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9B27C87" w14:textId="77777777" w:rsidR="002D7B36" w:rsidRPr="00DE12A3" w:rsidRDefault="00242DA0" w:rsidP="00C917D6">
      <w:pPr>
        <w:spacing w:before="120" w:after="120"/>
        <w:ind w:left="709" w:hanging="709"/>
        <w:jc w:val="center"/>
        <w:rPr>
          <w:rFonts w:cs="Times New Roman"/>
          <w:b/>
          <w:color w:val="auto"/>
        </w:rPr>
      </w:pPr>
      <w:r w:rsidRPr="00DE12A3">
        <w:rPr>
          <w:rFonts w:cs="Times New Roman"/>
          <w:b/>
          <w:color w:val="auto"/>
        </w:rPr>
        <w:t>EKLER</w:t>
      </w:r>
    </w:p>
    <w:tbl>
      <w:tblPr>
        <w:tblW w:w="8450" w:type="dxa"/>
        <w:jc w:val="center"/>
        <w:tblLayout w:type="fixed"/>
        <w:tblLook w:val="0000" w:firstRow="0" w:lastRow="0" w:firstColumn="0" w:lastColumn="0" w:noHBand="0" w:noVBand="0"/>
      </w:tblPr>
      <w:tblGrid>
        <w:gridCol w:w="1415"/>
        <w:gridCol w:w="7035"/>
      </w:tblGrid>
      <w:tr w:rsidR="00DE12A3" w:rsidRPr="00DE12A3" w14:paraId="404BD8AD" w14:textId="77777777" w:rsidTr="009633D5">
        <w:trPr>
          <w:jc w:val="center"/>
        </w:trPr>
        <w:tc>
          <w:tcPr>
            <w:tcW w:w="1415" w:type="dxa"/>
            <w:tcBorders>
              <w:top w:val="single" w:sz="2" w:space="0" w:color="auto"/>
              <w:left w:val="single" w:sz="2" w:space="0" w:color="auto"/>
              <w:bottom w:val="single" w:sz="2" w:space="0" w:color="auto"/>
              <w:right w:val="single" w:sz="2" w:space="0" w:color="auto"/>
            </w:tcBorders>
            <w:vAlign w:val="center"/>
          </w:tcPr>
          <w:p w14:paraId="6F5FFABE" w14:textId="77777777" w:rsidR="007C6B8E" w:rsidRPr="00DE12A3" w:rsidRDefault="007C6B8E" w:rsidP="009633D5">
            <w:pPr>
              <w:widowControl/>
              <w:autoSpaceDE w:val="0"/>
              <w:autoSpaceDN w:val="0"/>
              <w:spacing w:before="120" w:after="120"/>
              <w:jc w:val="center"/>
              <w:rPr>
                <w:rFonts w:eastAsiaTheme="minorEastAsia" w:cs="Times New Roman"/>
                <w:b/>
                <w:color w:val="auto"/>
                <w:lang w:val="fr-FR"/>
              </w:rPr>
            </w:pPr>
            <w:r w:rsidRPr="00DE12A3">
              <w:rPr>
                <w:rFonts w:eastAsiaTheme="minorEastAsia" w:cs="Times New Roman"/>
                <w:b/>
                <w:color w:val="auto"/>
                <w:lang w:val="fr-FR"/>
              </w:rPr>
              <w:t>Ek Numarası</w:t>
            </w:r>
          </w:p>
        </w:tc>
        <w:tc>
          <w:tcPr>
            <w:tcW w:w="7035" w:type="dxa"/>
            <w:tcBorders>
              <w:top w:val="single" w:sz="2" w:space="0" w:color="auto"/>
              <w:left w:val="single" w:sz="2" w:space="0" w:color="auto"/>
              <w:bottom w:val="single" w:sz="2" w:space="0" w:color="auto"/>
              <w:right w:val="single" w:sz="2" w:space="0" w:color="auto"/>
            </w:tcBorders>
            <w:vAlign w:val="center"/>
          </w:tcPr>
          <w:p w14:paraId="5023319A" w14:textId="0ED6E370" w:rsidR="007C6B8E" w:rsidRPr="00DE12A3" w:rsidRDefault="007C6B8E" w:rsidP="009633D5">
            <w:pPr>
              <w:widowControl/>
              <w:autoSpaceDE w:val="0"/>
              <w:autoSpaceDN w:val="0"/>
              <w:spacing w:before="120" w:after="120"/>
              <w:jc w:val="center"/>
              <w:rPr>
                <w:rFonts w:eastAsiaTheme="minorEastAsia" w:cs="Times New Roman"/>
                <w:b/>
                <w:color w:val="auto"/>
                <w:lang w:val="fr-FR"/>
              </w:rPr>
            </w:pPr>
            <w:r w:rsidRPr="00DE12A3">
              <w:rPr>
                <w:rFonts w:eastAsiaTheme="minorEastAsia" w:cs="Times New Roman"/>
                <w:b/>
                <w:color w:val="auto"/>
              </w:rPr>
              <w:t>Ek</w:t>
            </w:r>
            <w:r w:rsidR="009633D5" w:rsidRPr="00DE12A3">
              <w:rPr>
                <w:rFonts w:eastAsiaTheme="minorEastAsia" w:cs="Times New Roman"/>
                <w:b/>
                <w:color w:val="auto"/>
              </w:rPr>
              <w:t xml:space="preserve"> B</w:t>
            </w:r>
            <w:r w:rsidRPr="00DE12A3">
              <w:rPr>
                <w:rFonts w:eastAsiaTheme="minorEastAsia" w:cs="Times New Roman"/>
                <w:b/>
                <w:color w:val="auto"/>
              </w:rPr>
              <w:t>aşlığı</w:t>
            </w:r>
          </w:p>
        </w:tc>
      </w:tr>
      <w:tr w:rsidR="00DE12A3" w:rsidRPr="00DE12A3" w14:paraId="54340EFE" w14:textId="77777777" w:rsidTr="009633D5">
        <w:trPr>
          <w:jc w:val="center"/>
        </w:trPr>
        <w:tc>
          <w:tcPr>
            <w:tcW w:w="1415" w:type="dxa"/>
            <w:tcBorders>
              <w:top w:val="single" w:sz="2" w:space="0" w:color="auto"/>
              <w:left w:val="single" w:sz="2" w:space="0" w:color="auto"/>
              <w:bottom w:val="single" w:sz="2" w:space="0" w:color="auto"/>
              <w:right w:val="single" w:sz="2" w:space="0" w:color="auto"/>
            </w:tcBorders>
            <w:vAlign w:val="center"/>
          </w:tcPr>
          <w:p w14:paraId="38C44847" w14:textId="77777777" w:rsidR="007C6B8E" w:rsidRPr="00DE12A3" w:rsidRDefault="007C6B8E" w:rsidP="009633D5">
            <w:pPr>
              <w:widowControl/>
              <w:autoSpaceDE w:val="0"/>
              <w:autoSpaceDN w:val="0"/>
              <w:spacing w:before="120" w:after="120"/>
              <w:jc w:val="center"/>
              <w:rPr>
                <w:rFonts w:eastAsiaTheme="minorEastAsia" w:cs="Times New Roman"/>
                <w:color w:val="auto"/>
                <w:lang w:val="fr-FR"/>
              </w:rPr>
            </w:pPr>
            <w:r w:rsidRPr="00DE12A3">
              <w:rPr>
                <w:rFonts w:eastAsiaTheme="minorEastAsia" w:cs="Times New Roman"/>
                <w:color w:val="auto"/>
                <w:lang w:val="fr-FR"/>
              </w:rPr>
              <w:t>I</w:t>
            </w:r>
          </w:p>
        </w:tc>
        <w:tc>
          <w:tcPr>
            <w:tcW w:w="7035" w:type="dxa"/>
            <w:tcBorders>
              <w:top w:val="single" w:sz="2" w:space="0" w:color="auto"/>
              <w:left w:val="single" w:sz="2" w:space="0" w:color="auto"/>
              <w:bottom w:val="single" w:sz="2" w:space="0" w:color="auto"/>
              <w:right w:val="single" w:sz="2" w:space="0" w:color="auto"/>
            </w:tcBorders>
          </w:tcPr>
          <w:p w14:paraId="5D15A70E" w14:textId="77777777" w:rsidR="007C6B8E" w:rsidRPr="00DE12A3" w:rsidRDefault="007C6B8E" w:rsidP="00C917D6">
            <w:pPr>
              <w:widowControl/>
              <w:autoSpaceDE w:val="0"/>
              <w:autoSpaceDN w:val="0"/>
              <w:spacing w:before="120" w:after="120"/>
              <w:jc w:val="both"/>
              <w:rPr>
                <w:rFonts w:eastAsiaTheme="minorEastAsia" w:cs="Times New Roman"/>
                <w:color w:val="auto"/>
                <w:lang w:val="fr-FR"/>
              </w:rPr>
            </w:pPr>
            <w:r w:rsidRPr="00DE12A3">
              <w:rPr>
                <w:rFonts w:eastAsiaTheme="minorEastAsia" w:cs="Times New Roman"/>
                <w:color w:val="auto"/>
                <w:lang w:val="fr-FR"/>
              </w:rPr>
              <w:t>Belirtilen diğer tüm yakıtlar, yakıt karışımları veya yakıt emülsiyonlarına ilişkin gereklilikler</w:t>
            </w:r>
          </w:p>
        </w:tc>
      </w:tr>
      <w:tr w:rsidR="00DE12A3" w:rsidRPr="00DE12A3" w14:paraId="213DD7BE" w14:textId="77777777" w:rsidTr="009633D5">
        <w:trPr>
          <w:jc w:val="center"/>
        </w:trPr>
        <w:tc>
          <w:tcPr>
            <w:tcW w:w="1415" w:type="dxa"/>
            <w:tcBorders>
              <w:top w:val="single" w:sz="2" w:space="0" w:color="auto"/>
              <w:left w:val="single" w:sz="2" w:space="0" w:color="auto"/>
              <w:bottom w:val="single" w:sz="2" w:space="0" w:color="auto"/>
              <w:right w:val="single" w:sz="2" w:space="0" w:color="auto"/>
            </w:tcBorders>
            <w:vAlign w:val="center"/>
          </w:tcPr>
          <w:p w14:paraId="6C2FFB9D" w14:textId="77777777" w:rsidR="007C6B8E" w:rsidRPr="00DE12A3" w:rsidRDefault="007C6B8E" w:rsidP="009633D5">
            <w:pPr>
              <w:widowControl/>
              <w:autoSpaceDE w:val="0"/>
              <w:autoSpaceDN w:val="0"/>
              <w:spacing w:before="120" w:after="120"/>
              <w:jc w:val="center"/>
              <w:rPr>
                <w:rFonts w:eastAsiaTheme="minorEastAsia" w:cs="Times New Roman"/>
                <w:color w:val="auto"/>
                <w:lang w:val="fr-FR"/>
              </w:rPr>
            </w:pPr>
            <w:r w:rsidRPr="00DE12A3">
              <w:rPr>
                <w:rFonts w:eastAsiaTheme="minorEastAsia" w:cs="Times New Roman"/>
                <w:color w:val="auto"/>
                <w:lang w:val="fr-FR"/>
              </w:rPr>
              <w:t>II</w:t>
            </w:r>
          </w:p>
        </w:tc>
        <w:tc>
          <w:tcPr>
            <w:tcW w:w="7035" w:type="dxa"/>
            <w:tcBorders>
              <w:top w:val="single" w:sz="2" w:space="0" w:color="auto"/>
              <w:left w:val="single" w:sz="2" w:space="0" w:color="auto"/>
              <w:bottom w:val="single" w:sz="2" w:space="0" w:color="auto"/>
              <w:right w:val="single" w:sz="2" w:space="0" w:color="auto"/>
            </w:tcBorders>
          </w:tcPr>
          <w:p w14:paraId="07D4B1F8" w14:textId="77777777" w:rsidR="007C6B8E" w:rsidRPr="00DE12A3" w:rsidRDefault="007C6B8E" w:rsidP="00C917D6">
            <w:pPr>
              <w:widowControl/>
              <w:autoSpaceDE w:val="0"/>
              <w:autoSpaceDN w:val="0"/>
              <w:spacing w:before="120" w:after="120"/>
              <w:jc w:val="both"/>
              <w:rPr>
                <w:rFonts w:eastAsiaTheme="minorEastAsia" w:cs="Times New Roman"/>
                <w:color w:val="auto"/>
                <w:lang w:val="fr-FR"/>
              </w:rPr>
            </w:pPr>
            <w:r w:rsidRPr="00DE12A3">
              <w:rPr>
                <w:rFonts w:eastAsiaTheme="minorEastAsia" w:cs="Times New Roman"/>
                <w:color w:val="auto"/>
                <w:lang w:val="fr-FR"/>
              </w:rPr>
              <w:t>Üretimin uygunluğu ile ilgili düzenlemeler</w:t>
            </w:r>
          </w:p>
        </w:tc>
      </w:tr>
      <w:tr w:rsidR="00DE12A3" w:rsidRPr="00DE12A3" w14:paraId="36892136" w14:textId="77777777" w:rsidTr="009633D5">
        <w:trPr>
          <w:jc w:val="center"/>
        </w:trPr>
        <w:tc>
          <w:tcPr>
            <w:tcW w:w="1415" w:type="dxa"/>
            <w:tcBorders>
              <w:top w:val="single" w:sz="2" w:space="0" w:color="auto"/>
              <w:left w:val="single" w:sz="2" w:space="0" w:color="auto"/>
              <w:bottom w:val="single" w:sz="2" w:space="0" w:color="auto"/>
              <w:right w:val="single" w:sz="2" w:space="0" w:color="auto"/>
            </w:tcBorders>
            <w:vAlign w:val="center"/>
          </w:tcPr>
          <w:p w14:paraId="5C8A6B04" w14:textId="77777777" w:rsidR="007C6B8E" w:rsidRPr="00DE12A3" w:rsidRDefault="007C6B8E" w:rsidP="009633D5">
            <w:pPr>
              <w:widowControl/>
              <w:autoSpaceDE w:val="0"/>
              <w:autoSpaceDN w:val="0"/>
              <w:spacing w:before="120" w:after="120"/>
              <w:jc w:val="center"/>
              <w:rPr>
                <w:rFonts w:eastAsiaTheme="minorEastAsia" w:cs="Times New Roman"/>
                <w:color w:val="auto"/>
                <w:lang w:val="fr-FR"/>
              </w:rPr>
            </w:pPr>
            <w:r w:rsidRPr="00DE12A3">
              <w:rPr>
                <w:rFonts w:eastAsiaTheme="minorEastAsia" w:cs="Times New Roman"/>
                <w:color w:val="auto"/>
                <w:lang w:val="fr-FR"/>
              </w:rPr>
              <w:t>III</w:t>
            </w:r>
          </w:p>
        </w:tc>
        <w:tc>
          <w:tcPr>
            <w:tcW w:w="7035" w:type="dxa"/>
            <w:tcBorders>
              <w:top w:val="single" w:sz="2" w:space="0" w:color="auto"/>
              <w:left w:val="single" w:sz="2" w:space="0" w:color="auto"/>
              <w:bottom w:val="single" w:sz="2" w:space="0" w:color="auto"/>
              <w:right w:val="single" w:sz="2" w:space="0" w:color="auto"/>
            </w:tcBorders>
          </w:tcPr>
          <w:p w14:paraId="45384DDF" w14:textId="77777777" w:rsidR="007C6B8E" w:rsidRPr="00DE12A3" w:rsidRDefault="007C6B8E" w:rsidP="00C917D6">
            <w:pPr>
              <w:widowControl/>
              <w:autoSpaceDE w:val="0"/>
              <w:autoSpaceDN w:val="0"/>
              <w:spacing w:before="120" w:after="120"/>
              <w:jc w:val="both"/>
              <w:rPr>
                <w:rFonts w:eastAsiaTheme="minorEastAsia" w:cs="Times New Roman"/>
                <w:color w:val="auto"/>
                <w:lang w:val="fr-FR"/>
              </w:rPr>
            </w:pPr>
            <w:r w:rsidRPr="00DE12A3">
              <w:rPr>
                <w:rFonts w:eastAsiaTheme="minorEastAsia" w:cs="Times New Roman"/>
                <w:color w:val="auto"/>
                <w:lang w:val="fr-FR"/>
              </w:rPr>
              <w:t>Emisyon laboratuvarı test sonuçlarının bozulma faktörlerini içerecek şekilde uyarlanmasına yönelik metodoloji</w:t>
            </w:r>
          </w:p>
        </w:tc>
      </w:tr>
      <w:tr w:rsidR="00DE12A3" w:rsidRPr="00DE12A3" w14:paraId="585EB875" w14:textId="77777777" w:rsidTr="009633D5">
        <w:trPr>
          <w:jc w:val="center"/>
        </w:trPr>
        <w:tc>
          <w:tcPr>
            <w:tcW w:w="1415" w:type="dxa"/>
            <w:tcBorders>
              <w:top w:val="single" w:sz="2" w:space="0" w:color="auto"/>
              <w:left w:val="single" w:sz="2" w:space="0" w:color="auto"/>
              <w:bottom w:val="single" w:sz="2" w:space="0" w:color="auto"/>
              <w:right w:val="single" w:sz="2" w:space="0" w:color="auto"/>
            </w:tcBorders>
            <w:vAlign w:val="center"/>
          </w:tcPr>
          <w:p w14:paraId="45CBF31A" w14:textId="77777777" w:rsidR="007C6B8E" w:rsidRPr="00DE12A3" w:rsidRDefault="007C6B8E" w:rsidP="009633D5">
            <w:pPr>
              <w:widowControl/>
              <w:autoSpaceDE w:val="0"/>
              <w:autoSpaceDN w:val="0"/>
              <w:spacing w:before="120" w:after="120"/>
              <w:jc w:val="center"/>
              <w:rPr>
                <w:rFonts w:eastAsiaTheme="minorEastAsia" w:cs="Times New Roman"/>
                <w:color w:val="auto"/>
                <w:lang w:val="fr-FR"/>
              </w:rPr>
            </w:pPr>
            <w:r w:rsidRPr="00DE12A3">
              <w:rPr>
                <w:rFonts w:eastAsiaTheme="minorEastAsia" w:cs="Times New Roman"/>
                <w:color w:val="auto"/>
                <w:lang w:val="fr-FR"/>
              </w:rPr>
              <w:t>IV</w:t>
            </w:r>
          </w:p>
        </w:tc>
        <w:tc>
          <w:tcPr>
            <w:tcW w:w="7035" w:type="dxa"/>
            <w:tcBorders>
              <w:top w:val="single" w:sz="2" w:space="0" w:color="auto"/>
              <w:left w:val="single" w:sz="2" w:space="0" w:color="auto"/>
              <w:bottom w:val="single" w:sz="2" w:space="0" w:color="auto"/>
              <w:right w:val="single" w:sz="2" w:space="0" w:color="auto"/>
            </w:tcBorders>
          </w:tcPr>
          <w:p w14:paraId="3C3A0828" w14:textId="77777777" w:rsidR="007C6B8E" w:rsidRPr="00DE12A3" w:rsidRDefault="007C6B8E" w:rsidP="00C917D6">
            <w:pPr>
              <w:widowControl/>
              <w:autoSpaceDE w:val="0"/>
              <w:autoSpaceDN w:val="0"/>
              <w:spacing w:before="120" w:after="120"/>
              <w:jc w:val="both"/>
              <w:rPr>
                <w:rFonts w:eastAsiaTheme="minorEastAsia" w:cs="Times New Roman"/>
                <w:color w:val="auto"/>
                <w:lang w:val="fr-FR"/>
              </w:rPr>
            </w:pPr>
            <w:r w:rsidRPr="00DE12A3">
              <w:rPr>
                <w:rFonts w:eastAsiaTheme="minorEastAsia" w:cs="Times New Roman"/>
                <w:color w:val="auto"/>
                <w:lang w:val="fr-FR"/>
              </w:rPr>
              <w:t>Emisyon kontrol stratejileri, NOx kontrol tedbirleri ve partikül kontrol tedbirleri ile ilgili gereklilikler</w:t>
            </w:r>
          </w:p>
        </w:tc>
      </w:tr>
      <w:tr w:rsidR="00DE12A3" w:rsidRPr="00DE12A3" w14:paraId="278CB93D" w14:textId="77777777" w:rsidTr="009633D5">
        <w:trPr>
          <w:jc w:val="center"/>
        </w:trPr>
        <w:tc>
          <w:tcPr>
            <w:tcW w:w="1415" w:type="dxa"/>
            <w:tcBorders>
              <w:top w:val="single" w:sz="2" w:space="0" w:color="auto"/>
              <w:left w:val="single" w:sz="2" w:space="0" w:color="auto"/>
              <w:bottom w:val="single" w:sz="2" w:space="0" w:color="auto"/>
              <w:right w:val="single" w:sz="2" w:space="0" w:color="auto"/>
            </w:tcBorders>
            <w:vAlign w:val="center"/>
          </w:tcPr>
          <w:p w14:paraId="44D73818" w14:textId="77777777" w:rsidR="007C6B8E" w:rsidRPr="00DE12A3" w:rsidRDefault="007C6B8E" w:rsidP="009633D5">
            <w:pPr>
              <w:widowControl/>
              <w:autoSpaceDE w:val="0"/>
              <w:autoSpaceDN w:val="0"/>
              <w:spacing w:before="120" w:after="120"/>
              <w:jc w:val="center"/>
              <w:rPr>
                <w:rFonts w:eastAsiaTheme="minorEastAsia" w:cs="Times New Roman"/>
                <w:color w:val="auto"/>
                <w:lang w:val="fr-FR"/>
              </w:rPr>
            </w:pPr>
            <w:r w:rsidRPr="00DE12A3">
              <w:rPr>
                <w:rFonts w:eastAsiaTheme="minorEastAsia" w:cs="Times New Roman"/>
                <w:color w:val="auto"/>
                <w:lang w:val="fr-FR"/>
              </w:rPr>
              <w:t>V</w:t>
            </w:r>
          </w:p>
        </w:tc>
        <w:tc>
          <w:tcPr>
            <w:tcW w:w="7035" w:type="dxa"/>
            <w:tcBorders>
              <w:top w:val="single" w:sz="2" w:space="0" w:color="auto"/>
              <w:left w:val="single" w:sz="2" w:space="0" w:color="auto"/>
              <w:bottom w:val="single" w:sz="2" w:space="0" w:color="auto"/>
              <w:right w:val="single" w:sz="2" w:space="0" w:color="auto"/>
            </w:tcBorders>
          </w:tcPr>
          <w:p w14:paraId="0F8FD786" w14:textId="77777777" w:rsidR="007C6B8E" w:rsidRPr="00DE12A3" w:rsidRDefault="007C6B8E" w:rsidP="00C917D6">
            <w:pPr>
              <w:widowControl/>
              <w:autoSpaceDE w:val="0"/>
              <w:autoSpaceDN w:val="0"/>
              <w:spacing w:before="120" w:after="120"/>
              <w:jc w:val="both"/>
              <w:rPr>
                <w:rFonts w:eastAsiaTheme="minorEastAsia" w:cs="Times New Roman"/>
                <w:color w:val="auto"/>
                <w:lang w:val="fr-FR"/>
              </w:rPr>
            </w:pPr>
            <w:r w:rsidRPr="00DE12A3">
              <w:rPr>
                <w:rFonts w:eastAsiaTheme="minorEastAsia" w:cs="Times New Roman"/>
                <w:color w:val="auto"/>
                <w:lang w:val="fr-FR"/>
              </w:rPr>
              <w:t>Karayolu dışında kararlı durum testi çevrimi ile ilgili alana ilişkin ölçümler ve testler</w:t>
            </w:r>
          </w:p>
        </w:tc>
      </w:tr>
      <w:tr w:rsidR="00DE12A3" w:rsidRPr="00DE12A3" w14:paraId="62C2DAEE" w14:textId="77777777" w:rsidTr="009633D5">
        <w:trPr>
          <w:jc w:val="center"/>
        </w:trPr>
        <w:tc>
          <w:tcPr>
            <w:tcW w:w="1415" w:type="dxa"/>
            <w:tcBorders>
              <w:top w:val="single" w:sz="2" w:space="0" w:color="auto"/>
              <w:left w:val="single" w:sz="2" w:space="0" w:color="auto"/>
              <w:bottom w:val="single" w:sz="2" w:space="0" w:color="auto"/>
              <w:right w:val="single" w:sz="2" w:space="0" w:color="auto"/>
            </w:tcBorders>
            <w:vAlign w:val="center"/>
          </w:tcPr>
          <w:p w14:paraId="5CAB1B78" w14:textId="77777777" w:rsidR="007C6B8E" w:rsidRPr="00DE12A3" w:rsidRDefault="007C6B8E" w:rsidP="009633D5">
            <w:pPr>
              <w:widowControl/>
              <w:autoSpaceDE w:val="0"/>
              <w:autoSpaceDN w:val="0"/>
              <w:spacing w:before="120" w:after="120"/>
              <w:jc w:val="center"/>
              <w:rPr>
                <w:rFonts w:eastAsiaTheme="minorEastAsia" w:cs="Times New Roman"/>
                <w:color w:val="auto"/>
                <w:lang w:val="fr-FR"/>
              </w:rPr>
            </w:pPr>
            <w:r w:rsidRPr="00DE12A3">
              <w:rPr>
                <w:rFonts w:eastAsiaTheme="minorEastAsia" w:cs="Times New Roman"/>
                <w:color w:val="auto"/>
                <w:lang w:val="fr-FR"/>
              </w:rPr>
              <w:t>VI</w:t>
            </w:r>
          </w:p>
        </w:tc>
        <w:tc>
          <w:tcPr>
            <w:tcW w:w="7035" w:type="dxa"/>
            <w:tcBorders>
              <w:top w:val="single" w:sz="2" w:space="0" w:color="auto"/>
              <w:left w:val="single" w:sz="2" w:space="0" w:color="auto"/>
              <w:bottom w:val="single" w:sz="2" w:space="0" w:color="auto"/>
              <w:right w:val="single" w:sz="2" w:space="0" w:color="auto"/>
            </w:tcBorders>
          </w:tcPr>
          <w:p w14:paraId="2B49C148" w14:textId="77777777" w:rsidR="007C6B8E" w:rsidRPr="00DE12A3" w:rsidRDefault="007C6B8E" w:rsidP="00C917D6">
            <w:pPr>
              <w:widowControl/>
              <w:autoSpaceDE w:val="0"/>
              <w:autoSpaceDN w:val="0"/>
              <w:spacing w:before="120" w:after="120"/>
              <w:jc w:val="both"/>
              <w:rPr>
                <w:rFonts w:eastAsiaTheme="minorEastAsia" w:cs="Times New Roman"/>
                <w:color w:val="auto"/>
                <w:lang w:val="fr-FR"/>
              </w:rPr>
            </w:pPr>
            <w:r w:rsidRPr="00DE12A3">
              <w:rPr>
                <w:rFonts w:eastAsiaTheme="minorEastAsia" w:cs="Times New Roman"/>
                <w:color w:val="auto"/>
                <w:lang w:val="fr-FR"/>
              </w:rPr>
              <w:t>Testlerin gerçekleştirilmesine ve emisyon ölçümü ve örneklemeye ilişkin gereklilikler, yöntemler, prosedürler ve cihazlar</w:t>
            </w:r>
          </w:p>
        </w:tc>
      </w:tr>
      <w:tr w:rsidR="00DE12A3" w:rsidRPr="00DE12A3" w14:paraId="377E428D" w14:textId="77777777" w:rsidTr="009633D5">
        <w:trPr>
          <w:jc w:val="center"/>
        </w:trPr>
        <w:tc>
          <w:tcPr>
            <w:tcW w:w="1415" w:type="dxa"/>
            <w:tcBorders>
              <w:top w:val="single" w:sz="2" w:space="0" w:color="auto"/>
              <w:left w:val="single" w:sz="2" w:space="0" w:color="auto"/>
              <w:bottom w:val="single" w:sz="2" w:space="0" w:color="auto"/>
              <w:right w:val="single" w:sz="2" w:space="0" w:color="auto"/>
            </w:tcBorders>
            <w:vAlign w:val="center"/>
          </w:tcPr>
          <w:p w14:paraId="6855C7D5" w14:textId="77777777" w:rsidR="007C6B8E" w:rsidRPr="00DE12A3" w:rsidRDefault="007C6B8E" w:rsidP="009633D5">
            <w:pPr>
              <w:widowControl/>
              <w:autoSpaceDE w:val="0"/>
              <w:autoSpaceDN w:val="0"/>
              <w:spacing w:before="120" w:after="120"/>
              <w:jc w:val="center"/>
              <w:rPr>
                <w:rFonts w:eastAsiaTheme="minorEastAsia" w:cs="Times New Roman"/>
                <w:color w:val="auto"/>
                <w:lang w:val="fr-FR"/>
              </w:rPr>
            </w:pPr>
            <w:r w:rsidRPr="00DE12A3">
              <w:rPr>
                <w:rFonts w:eastAsiaTheme="minorEastAsia" w:cs="Times New Roman"/>
                <w:color w:val="auto"/>
                <w:lang w:val="fr-FR"/>
              </w:rPr>
              <w:t>VII</w:t>
            </w:r>
          </w:p>
        </w:tc>
        <w:tc>
          <w:tcPr>
            <w:tcW w:w="7035" w:type="dxa"/>
            <w:tcBorders>
              <w:top w:val="single" w:sz="2" w:space="0" w:color="auto"/>
              <w:left w:val="single" w:sz="2" w:space="0" w:color="auto"/>
              <w:bottom w:val="single" w:sz="2" w:space="0" w:color="auto"/>
              <w:right w:val="single" w:sz="2" w:space="0" w:color="auto"/>
            </w:tcBorders>
          </w:tcPr>
          <w:p w14:paraId="3DE01B62" w14:textId="77777777" w:rsidR="007C6B8E" w:rsidRPr="00DE12A3" w:rsidRDefault="007C6B8E" w:rsidP="00C917D6">
            <w:pPr>
              <w:widowControl/>
              <w:autoSpaceDE w:val="0"/>
              <w:autoSpaceDN w:val="0"/>
              <w:spacing w:before="120" w:after="120"/>
              <w:jc w:val="both"/>
              <w:rPr>
                <w:rFonts w:eastAsiaTheme="minorEastAsia" w:cs="Times New Roman"/>
                <w:color w:val="auto"/>
                <w:lang w:val="fr-FR"/>
              </w:rPr>
            </w:pPr>
            <w:r w:rsidRPr="00DE12A3">
              <w:rPr>
                <w:rFonts w:eastAsiaTheme="minorEastAsia" w:cs="Times New Roman"/>
                <w:color w:val="auto"/>
                <w:lang w:val="fr-FR"/>
              </w:rPr>
              <w:t>Veri değerlendirme ve hesaplamalara ilişkin yöntem</w:t>
            </w:r>
          </w:p>
        </w:tc>
      </w:tr>
      <w:tr w:rsidR="00DE12A3" w:rsidRPr="00DE12A3" w14:paraId="740E0BB8" w14:textId="77777777" w:rsidTr="009633D5">
        <w:trPr>
          <w:jc w:val="center"/>
        </w:trPr>
        <w:tc>
          <w:tcPr>
            <w:tcW w:w="1415" w:type="dxa"/>
            <w:tcBorders>
              <w:top w:val="single" w:sz="2" w:space="0" w:color="auto"/>
              <w:left w:val="single" w:sz="2" w:space="0" w:color="auto"/>
              <w:bottom w:val="single" w:sz="2" w:space="0" w:color="auto"/>
              <w:right w:val="single" w:sz="2" w:space="0" w:color="auto"/>
            </w:tcBorders>
            <w:vAlign w:val="center"/>
          </w:tcPr>
          <w:p w14:paraId="01CBFAE9" w14:textId="77777777" w:rsidR="007C6B8E" w:rsidRPr="00DE12A3" w:rsidRDefault="007C6B8E" w:rsidP="009633D5">
            <w:pPr>
              <w:widowControl/>
              <w:autoSpaceDE w:val="0"/>
              <w:autoSpaceDN w:val="0"/>
              <w:spacing w:before="120" w:after="120"/>
              <w:jc w:val="center"/>
              <w:rPr>
                <w:rFonts w:eastAsiaTheme="minorEastAsia" w:cs="Times New Roman"/>
                <w:color w:val="auto"/>
                <w:lang w:val="fr-FR"/>
              </w:rPr>
            </w:pPr>
            <w:r w:rsidRPr="00DE12A3">
              <w:rPr>
                <w:rFonts w:eastAsiaTheme="minorEastAsia" w:cs="Times New Roman"/>
                <w:color w:val="auto"/>
                <w:lang w:val="fr-FR"/>
              </w:rPr>
              <w:t>VIII</w:t>
            </w:r>
          </w:p>
        </w:tc>
        <w:tc>
          <w:tcPr>
            <w:tcW w:w="7035" w:type="dxa"/>
            <w:tcBorders>
              <w:top w:val="single" w:sz="2" w:space="0" w:color="auto"/>
              <w:left w:val="single" w:sz="2" w:space="0" w:color="auto"/>
              <w:bottom w:val="single" w:sz="2" w:space="0" w:color="auto"/>
              <w:right w:val="single" w:sz="2" w:space="0" w:color="auto"/>
            </w:tcBorders>
          </w:tcPr>
          <w:p w14:paraId="09656E67" w14:textId="77777777" w:rsidR="007C6B8E" w:rsidRPr="00DE12A3" w:rsidRDefault="007C6B8E" w:rsidP="00C917D6">
            <w:pPr>
              <w:widowControl/>
              <w:autoSpaceDE w:val="0"/>
              <w:autoSpaceDN w:val="0"/>
              <w:spacing w:before="120" w:after="120"/>
              <w:jc w:val="both"/>
              <w:rPr>
                <w:rFonts w:eastAsiaTheme="minorEastAsia" w:cs="Times New Roman"/>
                <w:color w:val="auto"/>
                <w:lang w:val="fr-FR"/>
              </w:rPr>
            </w:pPr>
            <w:r w:rsidRPr="00DE12A3">
              <w:rPr>
                <w:rFonts w:eastAsiaTheme="minorEastAsia" w:cs="Times New Roman"/>
                <w:color w:val="auto"/>
                <w:lang w:val="fr-FR"/>
              </w:rPr>
              <w:t>İki yakıtlı motorlar için performans gereklilikleri ve test prosedürleri</w:t>
            </w:r>
          </w:p>
        </w:tc>
      </w:tr>
      <w:tr w:rsidR="00DE12A3" w:rsidRPr="00DE12A3" w14:paraId="6EF33BF1" w14:textId="77777777" w:rsidTr="009633D5">
        <w:trPr>
          <w:jc w:val="center"/>
        </w:trPr>
        <w:tc>
          <w:tcPr>
            <w:tcW w:w="1415" w:type="dxa"/>
            <w:tcBorders>
              <w:top w:val="single" w:sz="2" w:space="0" w:color="auto"/>
              <w:left w:val="single" w:sz="2" w:space="0" w:color="auto"/>
              <w:bottom w:val="single" w:sz="2" w:space="0" w:color="auto"/>
              <w:right w:val="single" w:sz="2" w:space="0" w:color="auto"/>
            </w:tcBorders>
            <w:vAlign w:val="center"/>
          </w:tcPr>
          <w:p w14:paraId="59E48BDD" w14:textId="77777777" w:rsidR="007C6B8E" w:rsidRPr="00DE12A3" w:rsidRDefault="007C6B8E" w:rsidP="009633D5">
            <w:pPr>
              <w:widowControl/>
              <w:autoSpaceDE w:val="0"/>
              <w:autoSpaceDN w:val="0"/>
              <w:spacing w:before="120" w:after="120"/>
              <w:jc w:val="center"/>
              <w:rPr>
                <w:rFonts w:eastAsiaTheme="minorEastAsia" w:cs="Times New Roman"/>
                <w:color w:val="auto"/>
                <w:lang w:val="fr-FR"/>
              </w:rPr>
            </w:pPr>
            <w:r w:rsidRPr="00DE12A3">
              <w:rPr>
                <w:rFonts w:eastAsiaTheme="minorEastAsia" w:cs="Times New Roman"/>
                <w:color w:val="auto"/>
                <w:lang w:val="fr-FR"/>
              </w:rPr>
              <w:t>IX</w:t>
            </w:r>
          </w:p>
        </w:tc>
        <w:tc>
          <w:tcPr>
            <w:tcW w:w="7035" w:type="dxa"/>
            <w:tcBorders>
              <w:top w:val="single" w:sz="2" w:space="0" w:color="auto"/>
              <w:left w:val="single" w:sz="2" w:space="0" w:color="auto"/>
              <w:bottom w:val="single" w:sz="2" w:space="0" w:color="auto"/>
              <w:right w:val="single" w:sz="2" w:space="0" w:color="auto"/>
            </w:tcBorders>
          </w:tcPr>
          <w:p w14:paraId="2FD682D0" w14:textId="77777777" w:rsidR="007C6B8E" w:rsidRPr="00DE12A3" w:rsidRDefault="007C6B8E" w:rsidP="00C917D6">
            <w:pPr>
              <w:widowControl/>
              <w:autoSpaceDE w:val="0"/>
              <w:autoSpaceDN w:val="0"/>
              <w:spacing w:before="120" w:after="120"/>
              <w:jc w:val="both"/>
              <w:rPr>
                <w:rFonts w:eastAsiaTheme="minorEastAsia" w:cs="Times New Roman"/>
                <w:color w:val="auto"/>
                <w:lang w:val="fr-FR"/>
              </w:rPr>
            </w:pPr>
            <w:r w:rsidRPr="00DE12A3">
              <w:rPr>
                <w:rFonts w:eastAsiaTheme="minorEastAsia" w:cs="Times New Roman"/>
                <w:color w:val="auto"/>
                <w:lang w:val="fr-FR"/>
              </w:rPr>
              <w:t>Referans yakıtların teknik özellikleri</w:t>
            </w:r>
          </w:p>
        </w:tc>
      </w:tr>
      <w:tr w:rsidR="00DE12A3" w:rsidRPr="00DE12A3" w14:paraId="7CD3C29D" w14:textId="77777777" w:rsidTr="009633D5">
        <w:trPr>
          <w:jc w:val="center"/>
        </w:trPr>
        <w:tc>
          <w:tcPr>
            <w:tcW w:w="1415" w:type="dxa"/>
            <w:tcBorders>
              <w:top w:val="single" w:sz="2" w:space="0" w:color="auto"/>
              <w:left w:val="single" w:sz="2" w:space="0" w:color="auto"/>
              <w:bottom w:val="single" w:sz="2" w:space="0" w:color="auto"/>
              <w:right w:val="single" w:sz="2" w:space="0" w:color="auto"/>
            </w:tcBorders>
            <w:vAlign w:val="center"/>
          </w:tcPr>
          <w:p w14:paraId="044F6EDC" w14:textId="77777777" w:rsidR="007C6B8E" w:rsidRPr="00DE12A3" w:rsidRDefault="007C6B8E" w:rsidP="009633D5">
            <w:pPr>
              <w:widowControl/>
              <w:autoSpaceDE w:val="0"/>
              <w:autoSpaceDN w:val="0"/>
              <w:spacing w:before="120" w:after="120"/>
              <w:jc w:val="center"/>
              <w:rPr>
                <w:rFonts w:eastAsiaTheme="minorEastAsia" w:cs="Times New Roman"/>
                <w:color w:val="auto"/>
                <w:lang w:val="fr-FR"/>
              </w:rPr>
            </w:pPr>
            <w:r w:rsidRPr="00DE12A3">
              <w:rPr>
                <w:rFonts w:eastAsiaTheme="minorEastAsia" w:cs="Times New Roman"/>
                <w:color w:val="auto"/>
                <w:lang w:val="fr-FR"/>
              </w:rPr>
              <w:t>X</w:t>
            </w:r>
          </w:p>
        </w:tc>
        <w:tc>
          <w:tcPr>
            <w:tcW w:w="7035" w:type="dxa"/>
            <w:tcBorders>
              <w:top w:val="single" w:sz="2" w:space="0" w:color="auto"/>
              <w:left w:val="single" w:sz="2" w:space="0" w:color="auto"/>
              <w:bottom w:val="single" w:sz="2" w:space="0" w:color="auto"/>
              <w:right w:val="single" w:sz="2" w:space="0" w:color="auto"/>
            </w:tcBorders>
          </w:tcPr>
          <w:p w14:paraId="765CAD62" w14:textId="77777777" w:rsidR="007C6B8E" w:rsidRPr="00DE12A3" w:rsidRDefault="007C6B8E" w:rsidP="00C917D6">
            <w:pPr>
              <w:widowControl/>
              <w:autoSpaceDE w:val="0"/>
              <w:autoSpaceDN w:val="0"/>
              <w:spacing w:before="120" w:after="120"/>
              <w:jc w:val="both"/>
              <w:rPr>
                <w:rFonts w:eastAsiaTheme="minorEastAsia" w:cs="Times New Roman"/>
                <w:color w:val="auto"/>
                <w:lang w:val="fr-FR"/>
              </w:rPr>
            </w:pPr>
            <w:r w:rsidRPr="00DE12A3">
              <w:rPr>
                <w:rFonts w:eastAsiaTheme="minorEastAsia" w:cs="Times New Roman"/>
                <w:color w:val="auto"/>
                <w:lang w:val="fr-FR"/>
              </w:rPr>
              <w:t>Bir motorun, egzoz arıtma sisteminden ayrı olarak teslim edilmesine ilişkin ayrıntılı teknik şartnameler ve koşullar</w:t>
            </w:r>
          </w:p>
        </w:tc>
      </w:tr>
      <w:tr w:rsidR="00DE12A3" w:rsidRPr="00DE12A3" w14:paraId="76C64696" w14:textId="77777777" w:rsidTr="009633D5">
        <w:trPr>
          <w:jc w:val="center"/>
        </w:trPr>
        <w:tc>
          <w:tcPr>
            <w:tcW w:w="1415" w:type="dxa"/>
            <w:tcBorders>
              <w:top w:val="single" w:sz="2" w:space="0" w:color="auto"/>
              <w:left w:val="single" w:sz="2" w:space="0" w:color="auto"/>
              <w:bottom w:val="single" w:sz="2" w:space="0" w:color="auto"/>
              <w:right w:val="single" w:sz="2" w:space="0" w:color="auto"/>
            </w:tcBorders>
            <w:vAlign w:val="center"/>
          </w:tcPr>
          <w:p w14:paraId="62DDF2C6" w14:textId="77777777" w:rsidR="007C6B8E" w:rsidRPr="00DE12A3" w:rsidRDefault="007C6B8E" w:rsidP="009633D5">
            <w:pPr>
              <w:widowControl/>
              <w:autoSpaceDE w:val="0"/>
              <w:autoSpaceDN w:val="0"/>
              <w:spacing w:before="120" w:after="120"/>
              <w:jc w:val="center"/>
              <w:rPr>
                <w:rFonts w:eastAsiaTheme="minorEastAsia" w:cs="Times New Roman"/>
                <w:color w:val="auto"/>
                <w:lang w:val="fr-FR"/>
              </w:rPr>
            </w:pPr>
            <w:r w:rsidRPr="00DE12A3">
              <w:rPr>
                <w:rFonts w:eastAsiaTheme="minorEastAsia" w:cs="Times New Roman"/>
                <w:color w:val="auto"/>
                <w:lang w:val="fr-FR"/>
              </w:rPr>
              <w:t>XI</w:t>
            </w:r>
          </w:p>
        </w:tc>
        <w:tc>
          <w:tcPr>
            <w:tcW w:w="7035" w:type="dxa"/>
            <w:tcBorders>
              <w:top w:val="single" w:sz="2" w:space="0" w:color="auto"/>
              <w:left w:val="single" w:sz="2" w:space="0" w:color="auto"/>
              <w:bottom w:val="single" w:sz="2" w:space="0" w:color="auto"/>
              <w:right w:val="single" w:sz="2" w:space="0" w:color="auto"/>
            </w:tcBorders>
          </w:tcPr>
          <w:p w14:paraId="77B78BF0" w14:textId="77777777" w:rsidR="007C6B8E" w:rsidRPr="00DE12A3" w:rsidRDefault="007C6B8E" w:rsidP="00C917D6">
            <w:pPr>
              <w:widowControl/>
              <w:autoSpaceDE w:val="0"/>
              <w:autoSpaceDN w:val="0"/>
              <w:spacing w:before="120" w:after="120"/>
              <w:jc w:val="both"/>
              <w:rPr>
                <w:rFonts w:eastAsiaTheme="minorEastAsia" w:cs="Times New Roman"/>
                <w:color w:val="auto"/>
                <w:lang w:val="fr-FR"/>
              </w:rPr>
            </w:pPr>
            <w:r w:rsidRPr="00DE12A3">
              <w:rPr>
                <w:rFonts w:eastAsiaTheme="minorEastAsia" w:cs="Times New Roman"/>
                <w:color w:val="auto"/>
                <w:lang w:val="fr-FR"/>
              </w:rPr>
              <w:t>Saha testi amacıyla geçici olarak piyasaya arza ilişkin ayrıntılı teknik şartnameler ve koşullar</w:t>
            </w:r>
          </w:p>
        </w:tc>
      </w:tr>
      <w:tr w:rsidR="00DE12A3" w:rsidRPr="00DE12A3" w14:paraId="252EBF15" w14:textId="77777777" w:rsidTr="009633D5">
        <w:trPr>
          <w:jc w:val="center"/>
        </w:trPr>
        <w:tc>
          <w:tcPr>
            <w:tcW w:w="1415" w:type="dxa"/>
            <w:tcBorders>
              <w:top w:val="single" w:sz="2" w:space="0" w:color="auto"/>
              <w:left w:val="single" w:sz="2" w:space="0" w:color="auto"/>
              <w:bottom w:val="single" w:sz="2" w:space="0" w:color="auto"/>
              <w:right w:val="single" w:sz="2" w:space="0" w:color="auto"/>
            </w:tcBorders>
            <w:vAlign w:val="center"/>
          </w:tcPr>
          <w:p w14:paraId="2F8EDE6E" w14:textId="77777777" w:rsidR="007C6B8E" w:rsidRPr="00DE12A3" w:rsidRDefault="007C6B8E" w:rsidP="009633D5">
            <w:pPr>
              <w:widowControl/>
              <w:autoSpaceDE w:val="0"/>
              <w:autoSpaceDN w:val="0"/>
              <w:spacing w:before="120" w:after="120"/>
              <w:jc w:val="center"/>
              <w:rPr>
                <w:rFonts w:eastAsiaTheme="minorEastAsia" w:cs="Times New Roman"/>
                <w:color w:val="auto"/>
                <w:lang w:val="fr-FR"/>
              </w:rPr>
            </w:pPr>
            <w:r w:rsidRPr="00DE12A3">
              <w:rPr>
                <w:rFonts w:eastAsiaTheme="minorEastAsia" w:cs="Times New Roman"/>
                <w:color w:val="auto"/>
                <w:lang w:val="fr-FR"/>
              </w:rPr>
              <w:t>XII</w:t>
            </w:r>
          </w:p>
        </w:tc>
        <w:tc>
          <w:tcPr>
            <w:tcW w:w="7035" w:type="dxa"/>
            <w:tcBorders>
              <w:top w:val="single" w:sz="2" w:space="0" w:color="auto"/>
              <w:left w:val="single" w:sz="2" w:space="0" w:color="auto"/>
              <w:bottom w:val="single" w:sz="2" w:space="0" w:color="auto"/>
              <w:right w:val="single" w:sz="2" w:space="0" w:color="auto"/>
            </w:tcBorders>
          </w:tcPr>
          <w:p w14:paraId="16F7F835" w14:textId="77777777" w:rsidR="007C6B8E" w:rsidRPr="00DE12A3" w:rsidRDefault="007C6B8E" w:rsidP="00C917D6">
            <w:pPr>
              <w:widowControl/>
              <w:autoSpaceDE w:val="0"/>
              <w:autoSpaceDN w:val="0"/>
              <w:spacing w:before="120" w:after="120"/>
              <w:jc w:val="both"/>
              <w:rPr>
                <w:rFonts w:eastAsiaTheme="minorEastAsia" w:cs="Times New Roman"/>
                <w:color w:val="auto"/>
                <w:lang w:val="fr-FR"/>
              </w:rPr>
            </w:pPr>
            <w:r w:rsidRPr="00DE12A3">
              <w:rPr>
                <w:rFonts w:eastAsiaTheme="minorEastAsia" w:cs="Times New Roman"/>
                <w:color w:val="auto"/>
                <w:lang w:val="fr-FR"/>
              </w:rPr>
              <w:t>Özel amaçlı motorlara ilişkin detaylı teknik şartnameler ve koşullar</w:t>
            </w:r>
          </w:p>
        </w:tc>
      </w:tr>
      <w:tr w:rsidR="00DE12A3" w:rsidRPr="00DE12A3" w14:paraId="003E27DB" w14:textId="77777777" w:rsidTr="009633D5">
        <w:trPr>
          <w:jc w:val="center"/>
        </w:trPr>
        <w:tc>
          <w:tcPr>
            <w:tcW w:w="1415" w:type="dxa"/>
            <w:tcBorders>
              <w:top w:val="single" w:sz="2" w:space="0" w:color="auto"/>
              <w:left w:val="single" w:sz="2" w:space="0" w:color="auto"/>
              <w:bottom w:val="single" w:sz="2" w:space="0" w:color="auto"/>
              <w:right w:val="single" w:sz="2" w:space="0" w:color="auto"/>
            </w:tcBorders>
            <w:vAlign w:val="center"/>
          </w:tcPr>
          <w:p w14:paraId="0D6544E0" w14:textId="77777777" w:rsidR="007C6B8E" w:rsidRPr="00DE12A3" w:rsidRDefault="007C6B8E" w:rsidP="009633D5">
            <w:pPr>
              <w:widowControl/>
              <w:autoSpaceDE w:val="0"/>
              <w:autoSpaceDN w:val="0"/>
              <w:spacing w:before="120" w:after="120"/>
              <w:jc w:val="center"/>
              <w:rPr>
                <w:rFonts w:eastAsiaTheme="minorEastAsia" w:cs="Times New Roman"/>
                <w:color w:val="auto"/>
                <w:lang w:val="fr-FR"/>
              </w:rPr>
            </w:pPr>
            <w:r w:rsidRPr="00DE12A3">
              <w:rPr>
                <w:rFonts w:eastAsiaTheme="minorEastAsia" w:cs="Times New Roman"/>
                <w:color w:val="auto"/>
                <w:lang w:val="fr-FR"/>
              </w:rPr>
              <w:t>XIII</w:t>
            </w:r>
          </w:p>
        </w:tc>
        <w:tc>
          <w:tcPr>
            <w:tcW w:w="7035" w:type="dxa"/>
            <w:tcBorders>
              <w:top w:val="single" w:sz="2" w:space="0" w:color="auto"/>
              <w:left w:val="single" w:sz="2" w:space="0" w:color="auto"/>
              <w:bottom w:val="single" w:sz="2" w:space="0" w:color="auto"/>
              <w:right w:val="single" w:sz="2" w:space="0" w:color="auto"/>
            </w:tcBorders>
          </w:tcPr>
          <w:p w14:paraId="010FFA5A" w14:textId="77777777" w:rsidR="007C6B8E" w:rsidRPr="00DE12A3" w:rsidRDefault="007C6B8E" w:rsidP="00C917D6">
            <w:pPr>
              <w:widowControl/>
              <w:autoSpaceDE w:val="0"/>
              <w:autoSpaceDN w:val="0"/>
              <w:spacing w:before="120" w:after="120"/>
              <w:jc w:val="both"/>
              <w:rPr>
                <w:rFonts w:eastAsiaTheme="minorEastAsia" w:cs="Times New Roman"/>
                <w:color w:val="auto"/>
                <w:lang w:val="fr-FR"/>
              </w:rPr>
            </w:pPr>
            <w:r w:rsidRPr="00DE12A3">
              <w:rPr>
                <w:rFonts w:eastAsiaTheme="minorEastAsia" w:cs="Times New Roman"/>
                <w:color w:val="auto"/>
                <w:lang w:val="fr-FR"/>
              </w:rPr>
              <w:t>Muadil motor tip onaylarının kabulü</w:t>
            </w:r>
          </w:p>
        </w:tc>
      </w:tr>
      <w:tr w:rsidR="00DE12A3" w:rsidRPr="00DE12A3" w14:paraId="5A384ED1" w14:textId="77777777" w:rsidTr="009633D5">
        <w:trPr>
          <w:jc w:val="center"/>
        </w:trPr>
        <w:tc>
          <w:tcPr>
            <w:tcW w:w="1415" w:type="dxa"/>
            <w:tcBorders>
              <w:top w:val="single" w:sz="2" w:space="0" w:color="auto"/>
              <w:left w:val="single" w:sz="2" w:space="0" w:color="auto"/>
              <w:bottom w:val="single" w:sz="2" w:space="0" w:color="auto"/>
              <w:right w:val="single" w:sz="2" w:space="0" w:color="auto"/>
            </w:tcBorders>
            <w:vAlign w:val="center"/>
          </w:tcPr>
          <w:p w14:paraId="6B8BB760" w14:textId="77777777" w:rsidR="007C6B8E" w:rsidRPr="00DE12A3" w:rsidRDefault="007C6B8E" w:rsidP="009633D5">
            <w:pPr>
              <w:widowControl/>
              <w:autoSpaceDE w:val="0"/>
              <w:autoSpaceDN w:val="0"/>
              <w:spacing w:before="120" w:after="120"/>
              <w:jc w:val="center"/>
              <w:rPr>
                <w:rFonts w:eastAsiaTheme="minorEastAsia" w:cs="Times New Roman"/>
                <w:color w:val="auto"/>
                <w:lang w:val="fr-FR"/>
              </w:rPr>
            </w:pPr>
            <w:r w:rsidRPr="00DE12A3">
              <w:rPr>
                <w:rFonts w:eastAsiaTheme="minorEastAsia" w:cs="Times New Roman"/>
                <w:color w:val="auto"/>
                <w:lang w:val="fr-FR"/>
              </w:rPr>
              <w:t>XIV</w:t>
            </w:r>
          </w:p>
        </w:tc>
        <w:tc>
          <w:tcPr>
            <w:tcW w:w="7035" w:type="dxa"/>
            <w:tcBorders>
              <w:top w:val="single" w:sz="2" w:space="0" w:color="auto"/>
              <w:left w:val="single" w:sz="2" w:space="0" w:color="auto"/>
              <w:bottom w:val="single" w:sz="2" w:space="0" w:color="auto"/>
              <w:right w:val="single" w:sz="2" w:space="0" w:color="auto"/>
            </w:tcBorders>
          </w:tcPr>
          <w:p w14:paraId="6A06CE44" w14:textId="77777777" w:rsidR="007C6B8E" w:rsidRPr="00DE12A3" w:rsidRDefault="007C6B8E" w:rsidP="00C917D6">
            <w:pPr>
              <w:widowControl/>
              <w:autoSpaceDE w:val="0"/>
              <w:autoSpaceDN w:val="0"/>
              <w:spacing w:before="120" w:after="120"/>
              <w:jc w:val="both"/>
              <w:rPr>
                <w:rFonts w:eastAsiaTheme="minorEastAsia" w:cs="Times New Roman"/>
                <w:color w:val="auto"/>
                <w:lang w:val="fr-FR"/>
              </w:rPr>
            </w:pPr>
            <w:r w:rsidRPr="00DE12A3">
              <w:rPr>
                <w:rFonts w:eastAsiaTheme="minorEastAsia" w:cs="Times New Roman"/>
                <w:color w:val="auto"/>
                <w:lang w:val="fr-FR"/>
              </w:rPr>
              <w:t>OEM'lere ilişkin ilgili bilgilerin ve talimatların ayrıntıları</w:t>
            </w:r>
          </w:p>
        </w:tc>
      </w:tr>
      <w:tr w:rsidR="00DE12A3" w:rsidRPr="00DE12A3" w14:paraId="45EAC5A5" w14:textId="77777777" w:rsidTr="009633D5">
        <w:trPr>
          <w:jc w:val="center"/>
        </w:trPr>
        <w:tc>
          <w:tcPr>
            <w:tcW w:w="1415" w:type="dxa"/>
            <w:tcBorders>
              <w:top w:val="single" w:sz="2" w:space="0" w:color="auto"/>
              <w:left w:val="single" w:sz="2" w:space="0" w:color="auto"/>
              <w:bottom w:val="single" w:sz="2" w:space="0" w:color="auto"/>
              <w:right w:val="single" w:sz="2" w:space="0" w:color="auto"/>
            </w:tcBorders>
            <w:vAlign w:val="center"/>
          </w:tcPr>
          <w:p w14:paraId="3D348237" w14:textId="77777777" w:rsidR="007C6B8E" w:rsidRPr="00DE12A3" w:rsidRDefault="007C6B8E" w:rsidP="009633D5">
            <w:pPr>
              <w:widowControl/>
              <w:autoSpaceDE w:val="0"/>
              <w:autoSpaceDN w:val="0"/>
              <w:spacing w:before="120" w:after="120"/>
              <w:jc w:val="center"/>
              <w:rPr>
                <w:rFonts w:eastAsiaTheme="minorEastAsia" w:cs="Times New Roman"/>
                <w:color w:val="auto"/>
                <w:lang w:val="fr-FR"/>
              </w:rPr>
            </w:pPr>
            <w:r w:rsidRPr="00DE12A3">
              <w:rPr>
                <w:rFonts w:eastAsiaTheme="minorEastAsia" w:cs="Times New Roman"/>
                <w:color w:val="auto"/>
                <w:lang w:val="fr-FR"/>
              </w:rPr>
              <w:t>XV</w:t>
            </w:r>
          </w:p>
        </w:tc>
        <w:tc>
          <w:tcPr>
            <w:tcW w:w="7035" w:type="dxa"/>
            <w:tcBorders>
              <w:top w:val="single" w:sz="2" w:space="0" w:color="auto"/>
              <w:left w:val="single" w:sz="2" w:space="0" w:color="auto"/>
              <w:bottom w:val="single" w:sz="2" w:space="0" w:color="auto"/>
              <w:right w:val="single" w:sz="2" w:space="0" w:color="auto"/>
            </w:tcBorders>
          </w:tcPr>
          <w:p w14:paraId="22744D1A" w14:textId="77777777" w:rsidR="007C6B8E" w:rsidRPr="00DE12A3" w:rsidRDefault="007C6B8E" w:rsidP="00C917D6">
            <w:pPr>
              <w:widowControl/>
              <w:autoSpaceDE w:val="0"/>
              <w:autoSpaceDN w:val="0"/>
              <w:spacing w:before="120" w:after="120"/>
              <w:jc w:val="both"/>
              <w:rPr>
                <w:rFonts w:eastAsiaTheme="minorEastAsia" w:cs="Times New Roman"/>
                <w:color w:val="auto"/>
                <w:lang w:val="fr-FR"/>
              </w:rPr>
            </w:pPr>
            <w:r w:rsidRPr="00DE12A3">
              <w:rPr>
                <w:rFonts w:eastAsiaTheme="minorEastAsia" w:cs="Times New Roman"/>
                <w:color w:val="auto"/>
                <w:lang w:val="fr-FR"/>
              </w:rPr>
              <w:t>Son kullanıcılara ilişkin ilgili bilgilerin ve talimatların ayrıntıları</w:t>
            </w:r>
          </w:p>
        </w:tc>
      </w:tr>
      <w:tr w:rsidR="00DE12A3" w:rsidRPr="00DE12A3" w14:paraId="1BA85C06" w14:textId="77777777" w:rsidTr="009633D5">
        <w:trPr>
          <w:jc w:val="center"/>
        </w:trPr>
        <w:tc>
          <w:tcPr>
            <w:tcW w:w="1415" w:type="dxa"/>
            <w:tcBorders>
              <w:top w:val="single" w:sz="2" w:space="0" w:color="auto"/>
              <w:left w:val="single" w:sz="2" w:space="0" w:color="auto"/>
              <w:bottom w:val="single" w:sz="2" w:space="0" w:color="auto"/>
              <w:right w:val="single" w:sz="2" w:space="0" w:color="auto"/>
            </w:tcBorders>
            <w:vAlign w:val="center"/>
          </w:tcPr>
          <w:p w14:paraId="5AAD27ED" w14:textId="77777777" w:rsidR="007C6B8E" w:rsidRPr="00DE12A3" w:rsidRDefault="007C6B8E" w:rsidP="009633D5">
            <w:pPr>
              <w:widowControl/>
              <w:autoSpaceDE w:val="0"/>
              <w:autoSpaceDN w:val="0"/>
              <w:spacing w:before="120" w:after="120"/>
              <w:jc w:val="center"/>
              <w:rPr>
                <w:rFonts w:eastAsiaTheme="minorEastAsia" w:cs="Times New Roman"/>
                <w:color w:val="auto"/>
                <w:lang w:val="fr-FR"/>
              </w:rPr>
            </w:pPr>
            <w:r w:rsidRPr="00DE12A3">
              <w:rPr>
                <w:rFonts w:eastAsiaTheme="minorEastAsia" w:cs="Times New Roman"/>
                <w:color w:val="auto"/>
                <w:lang w:val="fr-FR"/>
              </w:rPr>
              <w:t>XVI</w:t>
            </w:r>
          </w:p>
        </w:tc>
        <w:tc>
          <w:tcPr>
            <w:tcW w:w="7035" w:type="dxa"/>
            <w:tcBorders>
              <w:top w:val="single" w:sz="2" w:space="0" w:color="auto"/>
              <w:left w:val="single" w:sz="2" w:space="0" w:color="auto"/>
              <w:bottom w:val="single" w:sz="2" w:space="0" w:color="auto"/>
              <w:right w:val="single" w:sz="2" w:space="0" w:color="auto"/>
            </w:tcBorders>
          </w:tcPr>
          <w:p w14:paraId="3FE198E6" w14:textId="77777777" w:rsidR="007C6B8E" w:rsidRPr="00DE12A3" w:rsidRDefault="007C6B8E" w:rsidP="00C917D6">
            <w:pPr>
              <w:widowControl/>
              <w:autoSpaceDE w:val="0"/>
              <w:autoSpaceDN w:val="0"/>
              <w:spacing w:before="120" w:after="120"/>
              <w:jc w:val="both"/>
              <w:rPr>
                <w:rFonts w:eastAsiaTheme="minorEastAsia" w:cs="Times New Roman"/>
                <w:color w:val="auto"/>
                <w:lang w:val="fr-FR"/>
              </w:rPr>
            </w:pPr>
            <w:r w:rsidRPr="00DE12A3">
              <w:rPr>
                <w:rFonts w:eastAsiaTheme="minorEastAsia" w:cs="Times New Roman"/>
                <w:color w:val="auto"/>
                <w:lang w:val="fr-FR"/>
              </w:rPr>
              <w:t>Performans standartları ve teknik hizmetlerin değerlendirilmesi</w:t>
            </w:r>
          </w:p>
        </w:tc>
      </w:tr>
      <w:tr w:rsidR="007C6B8E" w:rsidRPr="00DE12A3" w14:paraId="75104894" w14:textId="77777777" w:rsidTr="009633D5">
        <w:trPr>
          <w:jc w:val="center"/>
        </w:trPr>
        <w:tc>
          <w:tcPr>
            <w:tcW w:w="1415" w:type="dxa"/>
            <w:tcBorders>
              <w:top w:val="single" w:sz="2" w:space="0" w:color="auto"/>
              <w:left w:val="single" w:sz="2" w:space="0" w:color="auto"/>
              <w:bottom w:val="single" w:sz="2" w:space="0" w:color="auto"/>
              <w:right w:val="single" w:sz="2" w:space="0" w:color="auto"/>
            </w:tcBorders>
            <w:vAlign w:val="center"/>
          </w:tcPr>
          <w:p w14:paraId="24DF237B" w14:textId="77777777" w:rsidR="007C6B8E" w:rsidRPr="00DE12A3" w:rsidRDefault="007C6B8E" w:rsidP="009633D5">
            <w:pPr>
              <w:widowControl/>
              <w:autoSpaceDE w:val="0"/>
              <w:autoSpaceDN w:val="0"/>
              <w:spacing w:before="120" w:after="120"/>
              <w:jc w:val="center"/>
              <w:rPr>
                <w:rFonts w:eastAsiaTheme="minorEastAsia" w:cs="Times New Roman"/>
                <w:color w:val="auto"/>
                <w:lang w:val="fr-FR"/>
              </w:rPr>
            </w:pPr>
            <w:r w:rsidRPr="00DE12A3">
              <w:rPr>
                <w:rFonts w:eastAsiaTheme="minorEastAsia" w:cs="Times New Roman"/>
                <w:color w:val="auto"/>
                <w:lang w:val="fr-FR"/>
              </w:rPr>
              <w:t>XVII</w:t>
            </w:r>
          </w:p>
        </w:tc>
        <w:tc>
          <w:tcPr>
            <w:tcW w:w="7035" w:type="dxa"/>
            <w:tcBorders>
              <w:top w:val="single" w:sz="2" w:space="0" w:color="auto"/>
              <w:left w:val="single" w:sz="2" w:space="0" w:color="auto"/>
              <w:bottom w:val="single" w:sz="2" w:space="0" w:color="auto"/>
              <w:right w:val="single" w:sz="2" w:space="0" w:color="auto"/>
            </w:tcBorders>
          </w:tcPr>
          <w:p w14:paraId="1F60DC3C" w14:textId="74FEA3AA" w:rsidR="007C6B8E" w:rsidRPr="00DE12A3" w:rsidRDefault="007C6B8E" w:rsidP="00C917D6">
            <w:pPr>
              <w:widowControl/>
              <w:autoSpaceDE w:val="0"/>
              <w:autoSpaceDN w:val="0"/>
              <w:spacing w:before="120" w:after="120"/>
              <w:jc w:val="both"/>
              <w:rPr>
                <w:rFonts w:eastAsiaTheme="minorEastAsia" w:cs="Times New Roman"/>
                <w:color w:val="auto"/>
                <w:lang w:val="fr-FR"/>
              </w:rPr>
            </w:pPr>
            <w:r w:rsidRPr="00DE12A3">
              <w:rPr>
                <w:rFonts w:eastAsiaTheme="minorEastAsia" w:cs="Times New Roman"/>
                <w:color w:val="auto"/>
                <w:lang w:val="fr-FR"/>
              </w:rPr>
              <w:t>Kararlı durum ve süreksiz test çevrimlerinin özellikleri</w:t>
            </w:r>
          </w:p>
        </w:tc>
      </w:tr>
    </w:tbl>
    <w:p w14:paraId="0CBD59B8" w14:textId="77777777" w:rsidR="002D7B36" w:rsidRPr="00DE12A3" w:rsidRDefault="002D7B36" w:rsidP="00C917D6">
      <w:pPr>
        <w:spacing w:before="120" w:after="120"/>
        <w:ind w:left="709" w:hanging="709"/>
        <w:jc w:val="both"/>
        <w:rPr>
          <w:rFonts w:cs="Times New Roman"/>
          <w:color w:val="auto"/>
        </w:rPr>
      </w:pPr>
    </w:p>
    <w:p w14:paraId="57279660" w14:textId="77777777" w:rsidR="002D7B36" w:rsidRPr="00DE12A3" w:rsidRDefault="002D7B36" w:rsidP="00C917D6">
      <w:pPr>
        <w:spacing w:before="120" w:after="120"/>
        <w:ind w:left="709" w:hanging="709"/>
        <w:jc w:val="both"/>
        <w:rPr>
          <w:rFonts w:cs="Times New Roman"/>
          <w:color w:val="auto"/>
        </w:rPr>
      </w:pPr>
    </w:p>
    <w:p w14:paraId="24C0B300" w14:textId="77777777" w:rsidR="00F40555" w:rsidRPr="00DE12A3" w:rsidRDefault="00F40555">
      <w:pPr>
        <w:widowControl/>
        <w:rPr>
          <w:color w:val="auto"/>
        </w:rPr>
      </w:pPr>
      <w:bookmarkStart w:id="0" w:name="bookmark6"/>
      <w:r w:rsidRPr="00DE12A3">
        <w:rPr>
          <w:color w:val="auto"/>
        </w:rPr>
        <w:br w:type="page"/>
      </w:r>
    </w:p>
    <w:p w14:paraId="0F9FBD7A" w14:textId="1A1A7A4E" w:rsidR="002D7B36" w:rsidRPr="00DE12A3" w:rsidRDefault="00242DA0" w:rsidP="00C82856">
      <w:pPr>
        <w:pStyle w:val="Balk1"/>
        <w:rPr>
          <w:color w:val="auto"/>
        </w:rPr>
      </w:pPr>
      <w:r w:rsidRPr="00DE12A3">
        <w:rPr>
          <w:color w:val="auto"/>
        </w:rPr>
        <w:lastRenderedPageBreak/>
        <w:t>EK I</w:t>
      </w:r>
      <w:bookmarkEnd w:id="0"/>
    </w:p>
    <w:p w14:paraId="7E34A6D1" w14:textId="77777777" w:rsidR="002D7B36" w:rsidRPr="00DE12A3" w:rsidRDefault="00242DA0" w:rsidP="00F40555">
      <w:pPr>
        <w:jc w:val="both"/>
        <w:rPr>
          <w:b/>
          <w:color w:val="auto"/>
        </w:rPr>
      </w:pPr>
      <w:r w:rsidRPr="00DE12A3">
        <w:rPr>
          <w:b/>
          <w:color w:val="auto"/>
        </w:rPr>
        <w:t xml:space="preserve">Belirtilen diğer tüm yakıtlar, yakıt karışımları veya yakıt emülsiyonlarına ilişkin </w:t>
      </w:r>
      <w:r w:rsidR="0053289F" w:rsidRPr="00DE12A3">
        <w:rPr>
          <w:b/>
          <w:color w:val="auto"/>
        </w:rPr>
        <w:t>gereklilikler</w:t>
      </w:r>
    </w:p>
    <w:p w14:paraId="44F0944A" w14:textId="56579CF7" w:rsidR="002D7B36" w:rsidRPr="00DE12A3" w:rsidRDefault="00C555F5" w:rsidP="00C555F5">
      <w:pPr>
        <w:spacing w:before="120" w:after="120"/>
        <w:jc w:val="both"/>
        <w:rPr>
          <w:rFonts w:eastAsia="Times New Roman" w:cs="Times New Roman"/>
          <w:b/>
          <w:color w:val="auto"/>
        </w:rPr>
      </w:pPr>
      <w:r w:rsidRPr="00DE12A3">
        <w:rPr>
          <w:rFonts w:eastAsia="Times New Roman" w:cs="Times New Roman"/>
          <w:b/>
          <w:color w:val="auto"/>
        </w:rPr>
        <w:t>1.</w:t>
      </w:r>
      <w:r w:rsidR="0045371E" w:rsidRPr="00DE12A3">
        <w:rPr>
          <w:rFonts w:eastAsia="Times New Roman" w:cs="Times New Roman"/>
          <w:b/>
          <w:color w:val="auto"/>
        </w:rPr>
        <w:t xml:space="preserve"> </w:t>
      </w:r>
      <w:r w:rsidR="00242DA0" w:rsidRPr="00DE12A3">
        <w:rPr>
          <w:rFonts w:eastAsia="Times New Roman" w:cs="Times New Roman"/>
          <w:b/>
          <w:color w:val="auto"/>
        </w:rPr>
        <w:t xml:space="preserve">Sıvı yakıtlarla çalışan motorlara ilişkin </w:t>
      </w:r>
      <w:r w:rsidR="0053289F" w:rsidRPr="00DE12A3">
        <w:rPr>
          <w:rFonts w:eastAsia="Times New Roman" w:cs="Times New Roman"/>
          <w:b/>
          <w:color w:val="auto"/>
        </w:rPr>
        <w:t>gereklilikler</w:t>
      </w:r>
    </w:p>
    <w:p w14:paraId="5C75B82B" w14:textId="18D20F62" w:rsidR="002D7B36" w:rsidRPr="00DE12A3" w:rsidRDefault="00C555F5" w:rsidP="00C555F5">
      <w:pPr>
        <w:shd w:val="clear" w:color="auto" w:fill="FFFFFF"/>
        <w:spacing w:before="120" w:after="120"/>
        <w:jc w:val="both"/>
        <w:rPr>
          <w:rFonts w:eastAsia="Times New Roman" w:cs="Times New Roman"/>
          <w:color w:val="auto"/>
          <w:spacing w:val="3"/>
        </w:rPr>
      </w:pPr>
      <w:r w:rsidRPr="00DE12A3">
        <w:rPr>
          <w:rFonts w:eastAsia="Times New Roman" w:cs="Times New Roman"/>
          <w:color w:val="auto"/>
          <w:spacing w:val="3"/>
        </w:rPr>
        <w:t>1.1.</w:t>
      </w:r>
      <w:r w:rsidR="00E75F78" w:rsidRPr="00DE12A3">
        <w:rPr>
          <w:rFonts w:eastAsia="Times New Roman" w:cs="Times New Roman"/>
          <w:color w:val="auto"/>
          <w:spacing w:val="3"/>
        </w:rPr>
        <w:t xml:space="preserve"> </w:t>
      </w:r>
      <w:r w:rsidR="00242DA0" w:rsidRPr="00DE12A3">
        <w:rPr>
          <w:rFonts w:eastAsia="Times New Roman" w:cs="Times New Roman"/>
          <w:color w:val="auto"/>
          <w:spacing w:val="3"/>
        </w:rPr>
        <w:t>Bir AB tip onayı için başvururken, imalatçılar motorun yakıt tipi ile ilgili olarak aşağıdaki seçeneklerden birini seçebilirler:</w:t>
      </w:r>
    </w:p>
    <w:p w14:paraId="2B2728EE" w14:textId="7ACE1BFF" w:rsidR="002D7B36" w:rsidRPr="00DE12A3" w:rsidRDefault="00C555F5" w:rsidP="00C555F5">
      <w:pPr>
        <w:shd w:val="clear" w:color="auto" w:fill="FFFFFF"/>
        <w:spacing w:before="120" w:after="120"/>
        <w:ind w:firstLine="709"/>
        <w:jc w:val="both"/>
        <w:rPr>
          <w:rFonts w:eastAsia="Times New Roman" w:cs="Times New Roman"/>
          <w:color w:val="auto"/>
          <w:spacing w:val="3"/>
        </w:rPr>
      </w:pPr>
      <w:r w:rsidRPr="00DE12A3">
        <w:rPr>
          <w:rFonts w:eastAsia="Times New Roman" w:cs="Times New Roman"/>
          <w:color w:val="auto"/>
          <w:spacing w:val="3"/>
        </w:rPr>
        <w:t xml:space="preserve">(a) </w:t>
      </w:r>
      <w:r w:rsidR="00242DA0" w:rsidRPr="00DE12A3">
        <w:rPr>
          <w:rFonts w:eastAsia="Times New Roman" w:cs="Times New Roman"/>
          <w:color w:val="auto"/>
          <w:spacing w:val="3"/>
        </w:rPr>
        <w:t xml:space="preserve">1.2 bendinde belirtilen </w:t>
      </w:r>
      <w:r w:rsidR="0053289F" w:rsidRPr="00DE12A3">
        <w:rPr>
          <w:rFonts w:eastAsia="Times New Roman" w:cs="Times New Roman"/>
          <w:color w:val="auto"/>
          <w:spacing w:val="3"/>
        </w:rPr>
        <w:t>gereklilikler</w:t>
      </w:r>
      <w:r w:rsidR="00242DA0" w:rsidRPr="00DE12A3">
        <w:rPr>
          <w:rFonts w:eastAsia="Times New Roman" w:cs="Times New Roman"/>
          <w:color w:val="auto"/>
          <w:spacing w:val="3"/>
        </w:rPr>
        <w:t xml:space="preserve"> uyarınca standart yakıt tipli </w:t>
      </w:r>
      <w:r w:rsidR="00C633F3" w:rsidRPr="00DE12A3">
        <w:rPr>
          <w:rFonts w:eastAsia="Times New Roman" w:cs="Times New Roman"/>
          <w:color w:val="auto"/>
          <w:spacing w:val="3"/>
        </w:rPr>
        <w:t>motor</w:t>
      </w:r>
      <w:r w:rsidR="00242DA0" w:rsidRPr="00DE12A3">
        <w:rPr>
          <w:rFonts w:eastAsia="Times New Roman" w:cs="Times New Roman"/>
          <w:color w:val="auto"/>
          <w:spacing w:val="3"/>
        </w:rPr>
        <w:t xml:space="preserve"> veya,</w:t>
      </w:r>
    </w:p>
    <w:p w14:paraId="185A0E1A" w14:textId="329ECBDC" w:rsidR="002D7B36" w:rsidRPr="00DE12A3" w:rsidRDefault="00C555F5" w:rsidP="00C555F5">
      <w:pPr>
        <w:shd w:val="clear" w:color="auto" w:fill="FFFFFF"/>
        <w:spacing w:before="120" w:after="120"/>
        <w:ind w:firstLine="709"/>
        <w:jc w:val="both"/>
        <w:rPr>
          <w:rFonts w:eastAsia="Times New Roman" w:cs="Times New Roman"/>
          <w:color w:val="auto"/>
          <w:spacing w:val="3"/>
        </w:rPr>
      </w:pPr>
      <w:r w:rsidRPr="00DE12A3">
        <w:rPr>
          <w:rFonts w:eastAsia="Times New Roman" w:cs="Times New Roman"/>
          <w:color w:val="auto"/>
          <w:spacing w:val="3"/>
        </w:rPr>
        <w:t xml:space="preserve">(b) </w:t>
      </w:r>
      <w:r w:rsidR="00242DA0" w:rsidRPr="00DE12A3">
        <w:rPr>
          <w:rFonts w:eastAsia="Times New Roman" w:cs="Times New Roman"/>
          <w:color w:val="auto"/>
          <w:spacing w:val="3"/>
        </w:rPr>
        <w:t xml:space="preserve">1.3 bendinde belirtilen </w:t>
      </w:r>
      <w:r w:rsidR="0053289F" w:rsidRPr="00DE12A3">
        <w:rPr>
          <w:rFonts w:eastAsia="Times New Roman" w:cs="Times New Roman"/>
          <w:color w:val="auto"/>
          <w:spacing w:val="3"/>
        </w:rPr>
        <w:t>gereklilikler</w:t>
      </w:r>
      <w:r w:rsidR="00242DA0" w:rsidRPr="00DE12A3">
        <w:rPr>
          <w:rFonts w:eastAsia="Times New Roman" w:cs="Times New Roman"/>
          <w:color w:val="auto"/>
          <w:spacing w:val="3"/>
        </w:rPr>
        <w:t xml:space="preserve"> uyarınca belirli yakıtlı motor.</w:t>
      </w:r>
    </w:p>
    <w:p w14:paraId="51DBB48A" w14:textId="1BB1A646" w:rsidR="002D7B36" w:rsidRPr="00DE12A3" w:rsidRDefault="00C555F5" w:rsidP="00C555F5">
      <w:pPr>
        <w:shd w:val="clear" w:color="auto" w:fill="FFFFFF"/>
        <w:spacing w:before="120" w:after="120"/>
        <w:jc w:val="both"/>
        <w:rPr>
          <w:rFonts w:eastAsia="Times New Roman" w:cs="Times New Roman"/>
          <w:color w:val="auto"/>
          <w:spacing w:val="3"/>
        </w:rPr>
      </w:pPr>
      <w:r w:rsidRPr="00DE12A3">
        <w:rPr>
          <w:rFonts w:eastAsia="Times New Roman" w:cs="Times New Roman"/>
          <w:color w:val="auto"/>
          <w:spacing w:val="3"/>
        </w:rPr>
        <w:t xml:space="preserve">1.2. </w:t>
      </w:r>
      <w:r w:rsidR="00242DA0" w:rsidRPr="00DE12A3">
        <w:rPr>
          <w:rFonts w:eastAsia="Times New Roman" w:cs="Times New Roman"/>
          <w:color w:val="auto"/>
          <w:spacing w:val="3"/>
        </w:rPr>
        <w:t xml:space="preserve">Standart yakıt türleri (dizel, benzin) ile çalışan bir motora ilişkin </w:t>
      </w:r>
      <w:r w:rsidR="0053289F" w:rsidRPr="00DE12A3">
        <w:rPr>
          <w:rFonts w:eastAsia="Times New Roman" w:cs="Times New Roman"/>
          <w:color w:val="auto"/>
          <w:spacing w:val="3"/>
        </w:rPr>
        <w:t>gereklilikler</w:t>
      </w:r>
    </w:p>
    <w:p w14:paraId="74A9FBB4" w14:textId="6E2C67D3" w:rsidR="002D7B36" w:rsidRPr="00DE12A3" w:rsidRDefault="00242DA0" w:rsidP="00C555F5">
      <w:pPr>
        <w:shd w:val="clear" w:color="auto" w:fill="FFFFFF"/>
        <w:spacing w:before="120" w:after="120"/>
        <w:ind w:firstLine="709"/>
        <w:jc w:val="both"/>
        <w:rPr>
          <w:rFonts w:eastAsia="Times New Roman" w:cs="Times New Roman"/>
          <w:color w:val="auto"/>
          <w:spacing w:val="3"/>
        </w:rPr>
      </w:pPr>
      <w:r w:rsidRPr="00DE12A3">
        <w:rPr>
          <w:rFonts w:eastAsia="Times New Roman" w:cs="Times New Roman"/>
          <w:color w:val="auto"/>
          <w:spacing w:val="3"/>
        </w:rPr>
        <w:t xml:space="preserve">Standart yakıt türleri ile çalışan bir motor, 1.2.1 ila 1.2.4 bentlerinde belirtilen </w:t>
      </w:r>
      <w:r w:rsidR="0053289F" w:rsidRPr="00DE12A3">
        <w:rPr>
          <w:rFonts w:eastAsia="Times New Roman" w:cs="Times New Roman"/>
          <w:color w:val="auto"/>
          <w:spacing w:val="3"/>
        </w:rPr>
        <w:t>gereklilikleri</w:t>
      </w:r>
      <w:r w:rsidRPr="00DE12A3">
        <w:rPr>
          <w:rFonts w:eastAsia="Times New Roman" w:cs="Times New Roman"/>
          <w:color w:val="auto"/>
          <w:spacing w:val="3"/>
        </w:rPr>
        <w:t xml:space="preserve"> sağlamalıdır.</w:t>
      </w:r>
    </w:p>
    <w:p w14:paraId="28D218FB" w14:textId="074528DC" w:rsidR="007025C3" w:rsidRPr="00DE12A3" w:rsidRDefault="00EC3EF0" w:rsidP="00813A7D">
      <w:pPr>
        <w:shd w:val="clear" w:color="auto" w:fill="FFFFFF"/>
        <w:spacing w:before="120" w:after="120"/>
        <w:jc w:val="both"/>
        <w:rPr>
          <w:rFonts w:eastAsia="Times New Roman" w:cs="Times New Roman"/>
          <w:color w:val="auto"/>
          <w:spacing w:val="3"/>
        </w:rPr>
      </w:pPr>
      <w:r w:rsidRPr="00DE12A3">
        <w:rPr>
          <w:rFonts w:eastAsia="Times New Roman" w:cs="Times New Roman"/>
          <w:color w:val="auto"/>
          <w:spacing w:val="3"/>
        </w:rPr>
        <w:t xml:space="preserve">           </w:t>
      </w:r>
      <w:r w:rsidR="00C555F5" w:rsidRPr="00DE12A3">
        <w:rPr>
          <w:rFonts w:eastAsia="Times New Roman" w:cs="Times New Roman"/>
          <w:color w:val="auto"/>
          <w:spacing w:val="3"/>
        </w:rPr>
        <w:t xml:space="preserve">1.2.1. </w:t>
      </w:r>
      <w:r w:rsidR="007025C3" w:rsidRPr="00DE12A3">
        <w:rPr>
          <w:rFonts w:eastAsia="Times New Roman" w:cs="Times New Roman"/>
          <w:color w:val="auto"/>
          <w:spacing w:val="3"/>
        </w:rPr>
        <w:t xml:space="preserve">Ana </w:t>
      </w:r>
      <w:r w:rsidR="00195051" w:rsidRPr="00DE12A3">
        <w:rPr>
          <w:rFonts w:eastAsia="Times New Roman" w:cs="Times New Roman"/>
          <w:color w:val="auto"/>
          <w:spacing w:val="3"/>
        </w:rPr>
        <w:t xml:space="preserve">motor, </w:t>
      </w:r>
      <w:r w:rsidR="000533AE" w:rsidRPr="00DE12A3">
        <w:rPr>
          <w:rFonts w:eastAsia="Times New Roman" w:cs="Times New Roman"/>
          <w:color w:val="auto"/>
          <w:spacing w:val="3"/>
        </w:rPr>
        <w:t xml:space="preserve">bu Tebliğin </w:t>
      </w:r>
      <w:r w:rsidR="007025C3" w:rsidRPr="00DE12A3">
        <w:rPr>
          <w:rFonts w:eastAsia="Times New Roman" w:cs="Times New Roman"/>
          <w:color w:val="auto"/>
          <w:spacing w:val="3"/>
        </w:rPr>
        <w:t xml:space="preserve">Ek </w:t>
      </w:r>
      <w:r w:rsidR="00195051" w:rsidRPr="00DE12A3">
        <w:rPr>
          <w:rFonts w:eastAsia="Times New Roman" w:cs="Times New Roman"/>
          <w:color w:val="auto"/>
          <w:spacing w:val="3"/>
        </w:rPr>
        <w:t>IX’unun 1.1</w:t>
      </w:r>
      <w:r w:rsidR="007025C3" w:rsidRPr="00DE12A3">
        <w:rPr>
          <w:rFonts w:eastAsia="Times New Roman" w:cs="Times New Roman"/>
          <w:color w:val="auto"/>
          <w:spacing w:val="3"/>
        </w:rPr>
        <w:t xml:space="preserve"> veya 2.1 b</w:t>
      </w:r>
      <w:r w:rsidR="00D630EE" w:rsidRPr="00DE12A3">
        <w:rPr>
          <w:rFonts w:eastAsia="Times New Roman" w:cs="Times New Roman"/>
          <w:color w:val="auto"/>
          <w:spacing w:val="3"/>
        </w:rPr>
        <w:t>entlerind</w:t>
      </w:r>
      <w:r w:rsidR="007025C3" w:rsidRPr="00DE12A3">
        <w:rPr>
          <w:rFonts w:eastAsia="Times New Roman" w:cs="Times New Roman"/>
          <w:color w:val="auto"/>
          <w:spacing w:val="3"/>
        </w:rPr>
        <w:t xml:space="preserve">e belirtilen referans yakıtlarla çalıştırıldığında bu </w:t>
      </w:r>
      <w:r w:rsidR="00D630EE" w:rsidRPr="00DE12A3">
        <w:rPr>
          <w:rFonts w:eastAsia="Times New Roman" w:cs="Times New Roman"/>
          <w:color w:val="auto"/>
          <w:spacing w:val="3"/>
        </w:rPr>
        <w:t>Tebliğde</w:t>
      </w:r>
      <w:r w:rsidR="007025C3" w:rsidRPr="00DE12A3">
        <w:rPr>
          <w:rFonts w:eastAsia="Times New Roman" w:cs="Times New Roman"/>
          <w:color w:val="auto"/>
          <w:spacing w:val="3"/>
        </w:rPr>
        <w:t xml:space="preserve"> belirtilen </w:t>
      </w:r>
      <w:r w:rsidR="00D630EE" w:rsidRPr="00DE12A3">
        <w:rPr>
          <w:rFonts w:eastAsia="Times New Roman" w:cs="Times New Roman"/>
          <w:color w:val="auto"/>
          <w:spacing w:val="3"/>
        </w:rPr>
        <w:t>gerekleri</w:t>
      </w:r>
      <w:r w:rsidR="00195051" w:rsidRPr="00DE12A3">
        <w:rPr>
          <w:rFonts w:eastAsia="Times New Roman" w:cs="Times New Roman"/>
          <w:color w:val="auto"/>
          <w:spacing w:val="3"/>
        </w:rPr>
        <w:t xml:space="preserve"> </w:t>
      </w:r>
      <w:r w:rsidR="007A2B0F" w:rsidRPr="00DE12A3">
        <w:rPr>
          <w:rFonts w:eastAsia="Times New Roman" w:cs="Times New Roman"/>
          <w:color w:val="auto"/>
          <w:spacing w:val="3"/>
        </w:rPr>
        <w:t>ve 2016</w:t>
      </w:r>
      <w:r w:rsidR="00195051" w:rsidRPr="00DE12A3">
        <w:rPr>
          <w:rFonts w:eastAsia="Times New Roman" w:cs="Times New Roman"/>
          <w:color w:val="auto"/>
          <w:spacing w:val="3"/>
        </w:rPr>
        <w:t xml:space="preserve">/1628/AB Yönetmeliğinin Ek II'sinde belirtilen uygulanabilir sınır </w:t>
      </w:r>
      <w:r w:rsidR="00966EFF" w:rsidRPr="00DE12A3">
        <w:rPr>
          <w:rFonts w:eastAsia="Times New Roman" w:cs="Times New Roman"/>
          <w:color w:val="auto"/>
          <w:spacing w:val="3"/>
        </w:rPr>
        <w:t>değerlerini sağlamalıdır</w:t>
      </w:r>
      <w:r w:rsidR="007025C3" w:rsidRPr="00DE12A3">
        <w:rPr>
          <w:rFonts w:eastAsia="Times New Roman" w:cs="Times New Roman"/>
          <w:color w:val="auto"/>
          <w:spacing w:val="3"/>
        </w:rPr>
        <w:t>.</w:t>
      </w:r>
    </w:p>
    <w:p w14:paraId="43FF856B" w14:textId="6F71F822" w:rsidR="002D7B36" w:rsidRPr="00DE12A3" w:rsidRDefault="004C6C82" w:rsidP="00DC3580">
      <w:pPr>
        <w:shd w:val="clear" w:color="auto" w:fill="FFFFFF"/>
        <w:spacing w:before="120" w:after="120"/>
        <w:ind w:firstLine="709"/>
        <w:jc w:val="both"/>
        <w:rPr>
          <w:rFonts w:eastAsia="Times New Roman" w:cs="Times New Roman"/>
          <w:color w:val="auto"/>
          <w:spacing w:val="3"/>
        </w:rPr>
      </w:pPr>
      <w:r w:rsidRPr="00DE12A3">
        <w:rPr>
          <w:rFonts w:eastAsia="Times New Roman" w:cs="Times New Roman"/>
          <w:color w:val="auto"/>
          <w:spacing w:val="3"/>
        </w:rPr>
        <w:t xml:space="preserve">1.2.2. </w:t>
      </w:r>
      <w:r w:rsidR="00242DA0" w:rsidRPr="00DE12A3">
        <w:rPr>
          <w:rFonts w:eastAsia="Times New Roman" w:cs="Times New Roman"/>
          <w:color w:val="auto"/>
          <w:spacing w:val="3"/>
        </w:rPr>
        <w:t xml:space="preserve">Karayolu dışı </w:t>
      </w:r>
      <w:r w:rsidR="00FE3D3B" w:rsidRPr="00DE12A3">
        <w:rPr>
          <w:rFonts w:eastAsia="Times New Roman" w:cs="Times New Roman"/>
          <w:color w:val="auto"/>
          <w:spacing w:val="3"/>
        </w:rPr>
        <w:t>dizel yakıt</w:t>
      </w:r>
      <w:r w:rsidR="00242DA0" w:rsidRPr="00DE12A3">
        <w:rPr>
          <w:rFonts w:eastAsia="Times New Roman" w:cs="Times New Roman"/>
          <w:color w:val="auto"/>
          <w:spacing w:val="3"/>
        </w:rPr>
        <w:t xml:space="preserve"> için Avrupa Standartlar Komitesi standardı (“CEN standardı”) veya</w:t>
      </w:r>
      <w:r w:rsidR="003D6D3F" w:rsidRPr="00DE12A3">
        <w:rPr>
          <w:rFonts w:eastAsia="Times New Roman" w:cs="Times New Roman"/>
          <w:color w:val="auto"/>
          <w:spacing w:val="3"/>
        </w:rPr>
        <w:t xml:space="preserve"> </w:t>
      </w:r>
      <w:r w:rsidR="00242DA0" w:rsidRPr="00DE12A3">
        <w:rPr>
          <w:rFonts w:eastAsia="Times New Roman" w:cs="Times New Roman"/>
          <w:color w:val="auto"/>
          <w:spacing w:val="3"/>
        </w:rPr>
        <w:t>98/70/</w:t>
      </w:r>
      <w:r w:rsidR="00D25884" w:rsidRPr="00DE12A3">
        <w:rPr>
          <w:rFonts w:eastAsia="Times New Roman" w:cs="Times New Roman"/>
          <w:color w:val="auto"/>
          <w:spacing w:val="3"/>
        </w:rPr>
        <w:t>EC</w:t>
      </w:r>
      <w:r w:rsidR="00242DA0" w:rsidRPr="00DE12A3">
        <w:rPr>
          <w:rFonts w:eastAsia="Times New Roman" w:cs="Times New Roman"/>
          <w:color w:val="auto"/>
          <w:spacing w:val="3"/>
        </w:rPr>
        <w:t xml:space="preserve"> sayılı Avrupa Parlamentosu ve Konsey Direktifi </w:t>
      </w:r>
      <w:r w:rsidR="00C4107D" w:rsidRPr="00DE12A3">
        <w:rPr>
          <w:rFonts w:eastAsia="Times New Roman" w:cs="Times New Roman"/>
          <w:color w:val="auto"/>
          <w:spacing w:val="3"/>
          <w:vertAlign w:val="superscript"/>
        </w:rPr>
        <w:t>(</w:t>
      </w:r>
      <w:r w:rsidR="00FB7855" w:rsidRPr="00DE12A3">
        <w:rPr>
          <w:rStyle w:val="DipnotBavurusu"/>
          <w:rFonts w:eastAsia="Times New Roman" w:cs="Times New Roman"/>
          <w:color w:val="auto"/>
          <w:spacing w:val="3"/>
        </w:rPr>
        <w:footnoteReference w:id="1"/>
      </w:r>
      <w:r w:rsidR="00C4107D" w:rsidRPr="00DE12A3">
        <w:rPr>
          <w:rFonts w:eastAsia="Times New Roman" w:cs="Times New Roman"/>
          <w:color w:val="auto"/>
          <w:spacing w:val="3"/>
          <w:vertAlign w:val="superscript"/>
        </w:rPr>
        <w:t>)</w:t>
      </w:r>
      <w:r w:rsidR="00242DA0" w:rsidRPr="00DE12A3">
        <w:rPr>
          <w:rFonts w:eastAsia="Times New Roman" w:cs="Times New Roman"/>
          <w:color w:val="auto"/>
          <w:spacing w:val="3"/>
          <w:vertAlign w:val="superscript"/>
        </w:rPr>
        <w:t xml:space="preserve"> </w:t>
      </w:r>
      <w:r w:rsidR="00242DA0" w:rsidRPr="00DE12A3">
        <w:rPr>
          <w:rFonts w:eastAsia="Times New Roman" w:cs="Times New Roman"/>
          <w:color w:val="auto"/>
          <w:spacing w:val="3"/>
        </w:rPr>
        <w:t xml:space="preserve">içinde karayolu dışı </w:t>
      </w:r>
      <w:r w:rsidR="00FE3D3B" w:rsidRPr="00DE12A3">
        <w:rPr>
          <w:rFonts w:eastAsia="Times New Roman" w:cs="Times New Roman"/>
          <w:color w:val="auto"/>
          <w:spacing w:val="3"/>
        </w:rPr>
        <w:t>dizel</w:t>
      </w:r>
      <w:r w:rsidR="00242DA0" w:rsidRPr="00DE12A3">
        <w:rPr>
          <w:rFonts w:eastAsia="Times New Roman" w:cs="Times New Roman"/>
          <w:color w:val="auto"/>
          <w:spacing w:val="3"/>
        </w:rPr>
        <w:t xml:space="preserve"> yakıt özellikleri tablosu bulunma</w:t>
      </w:r>
      <w:r w:rsidR="003D6D3F" w:rsidRPr="00DE12A3">
        <w:rPr>
          <w:rFonts w:eastAsia="Times New Roman" w:cs="Times New Roman"/>
          <w:color w:val="auto"/>
          <w:spacing w:val="3"/>
        </w:rPr>
        <w:t>ması halinde</w:t>
      </w:r>
      <w:r w:rsidR="00242DA0" w:rsidRPr="00DE12A3">
        <w:rPr>
          <w:rFonts w:eastAsia="Times New Roman" w:cs="Times New Roman"/>
          <w:color w:val="auto"/>
          <w:spacing w:val="3"/>
        </w:rPr>
        <w:t>, p</w:t>
      </w:r>
      <w:r w:rsidR="00AB3567" w:rsidRPr="00DE12A3">
        <w:rPr>
          <w:rFonts w:eastAsia="Times New Roman" w:cs="Times New Roman"/>
          <w:color w:val="auto"/>
          <w:spacing w:val="3"/>
        </w:rPr>
        <w:t>iyasada</w:t>
      </w:r>
      <w:r w:rsidR="00242DA0" w:rsidRPr="00DE12A3">
        <w:rPr>
          <w:rFonts w:eastAsia="Times New Roman" w:cs="Times New Roman"/>
          <w:color w:val="auto"/>
          <w:spacing w:val="3"/>
        </w:rPr>
        <w:t xml:space="preserve"> sülfür miktarı 10 mg/kg’dan daha az olmayan, setan sayısı 45’ten az olmayan ve yağ asidi metil esteri ("FAME") miktarı </w:t>
      </w:r>
      <w:r w:rsidR="00977983" w:rsidRPr="00DE12A3">
        <w:rPr>
          <w:rFonts w:eastAsia="Times New Roman" w:cs="Times New Roman"/>
          <w:color w:val="auto"/>
          <w:spacing w:val="3"/>
        </w:rPr>
        <w:t>%8,0</w:t>
      </w:r>
      <w:r w:rsidR="00242DA0" w:rsidRPr="00DE12A3">
        <w:rPr>
          <w:rFonts w:eastAsia="Times New Roman" w:cs="Times New Roman"/>
          <w:color w:val="auto"/>
          <w:spacing w:val="3"/>
        </w:rPr>
        <w:t xml:space="preserve"> v/v'den daha büyük olmayan karayolu dışı </w:t>
      </w:r>
      <w:r w:rsidR="00E20EBD" w:rsidRPr="00DE12A3">
        <w:rPr>
          <w:rFonts w:eastAsia="Times New Roman" w:cs="Times New Roman"/>
          <w:color w:val="auto"/>
          <w:spacing w:val="3"/>
        </w:rPr>
        <w:t>dizel yakı</w:t>
      </w:r>
      <w:r w:rsidR="00AB3567" w:rsidRPr="00DE12A3">
        <w:rPr>
          <w:rFonts w:eastAsia="Times New Roman" w:cs="Times New Roman"/>
          <w:color w:val="auto"/>
          <w:spacing w:val="3"/>
        </w:rPr>
        <w:t>t</w:t>
      </w:r>
      <w:r w:rsidR="00E20EBD" w:rsidRPr="00DE12A3">
        <w:rPr>
          <w:rFonts w:eastAsia="Times New Roman" w:cs="Times New Roman"/>
          <w:color w:val="auto"/>
          <w:spacing w:val="3"/>
        </w:rPr>
        <w:t>ın</w:t>
      </w:r>
      <w:r w:rsidR="002804BD" w:rsidRPr="00DE12A3">
        <w:rPr>
          <w:rFonts w:eastAsia="Times New Roman" w:cs="Times New Roman"/>
          <w:color w:val="auto"/>
          <w:spacing w:val="3"/>
        </w:rPr>
        <w:t>ı</w:t>
      </w:r>
      <w:r w:rsidR="00242DA0" w:rsidRPr="00DE12A3">
        <w:rPr>
          <w:rFonts w:eastAsia="Times New Roman" w:cs="Times New Roman"/>
          <w:color w:val="auto"/>
          <w:spacing w:val="3"/>
        </w:rPr>
        <w:t>, IX</w:t>
      </w:r>
      <w:r w:rsidR="00EE5D5E" w:rsidRPr="00DE12A3">
        <w:rPr>
          <w:rFonts w:eastAsia="Times New Roman" w:cs="Times New Roman"/>
          <w:color w:val="auto"/>
          <w:spacing w:val="3"/>
        </w:rPr>
        <w:t xml:space="preserve">’uncu </w:t>
      </w:r>
      <w:r w:rsidR="00B8293D" w:rsidRPr="00DE12A3">
        <w:rPr>
          <w:rFonts w:eastAsia="Times New Roman" w:cs="Times New Roman"/>
          <w:color w:val="auto"/>
          <w:spacing w:val="3"/>
        </w:rPr>
        <w:t>E</w:t>
      </w:r>
      <w:r w:rsidR="00242DA0" w:rsidRPr="00DE12A3">
        <w:rPr>
          <w:rFonts w:eastAsia="Times New Roman" w:cs="Times New Roman"/>
          <w:color w:val="auto"/>
          <w:spacing w:val="3"/>
        </w:rPr>
        <w:t xml:space="preserve">kteki dizel (karayolu dışı </w:t>
      </w:r>
      <w:r w:rsidR="00FE3D3B" w:rsidRPr="00DE12A3">
        <w:rPr>
          <w:rFonts w:eastAsia="Times New Roman" w:cs="Times New Roman"/>
          <w:color w:val="auto"/>
          <w:spacing w:val="3"/>
        </w:rPr>
        <w:t>dizel yakıt</w:t>
      </w:r>
      <w:r w:rsidR="00242DA0" w:rsidRPr="00DE12A3">
        <w:rPr>
          <w:rFonts w:eastAsia="Times New Roman" w:cs="Times New Roman"/>
          <w:color w:val="auto"/>
          <w:spacing w:val="3"/>
        </w:rPr>
        <w:t>) referans yakıtı temsil eder. 1.2.2.1, 1.2.3 ve 1.2.4 bentleri uyarınca izin verilen haller dışında imalatçı, son kullanıcılara, X</w:t>
      </w:r>
      <w:r w:rsidR="00FA0678" w:rsidRPr="00DE12A3">
        <w:rPr>
          <w:rFonts w:eastAsia="Times New Roman" w:cs="Times New Roman"/>
          <w:color w:val="auto"/>
          <w:spacing w:val="3"/>
        </w:rPr>
        <w:t xml:space="preserve">V’inci </w:t>
      </w:r>
      <w:r w:rsidR="00850EBE" w:rsidRPr="00DE12A3">
        <w:rPr>
          <w:rFonts w:eastAsia="Times New Roman" w:cs="Times New Roman"/>
          <w:color w:val="auto"/>
          <w:spacing w:val="3"/>
        </w:rPr>
        <w:t>E</w:t>
      </w:r>
      <w:r w:rsidR="00FA0678" w:rsidRPr="00DE12A3">
        <w:rPr>
          <w:rFonts w:eastAsia="Times New Roman" w:cs="Times New Roman"/>
          <w:color w:val="auto"/>
          <w:spacing w:val="3"/>
        </w:rPr>
        <w:t>k</w:t>
      </w:r>
      <w:r w:rsidR="00242DA0" w:rsidRPr="00DE12A3">
        <w:rPr>
          <w:rFonts w:eastAsia="Times New Roman" w:cs="Times New Roman"/>
          <w:color w:val="auto"/>
          <w:spacing w:val="3"/>
        </w:rPr>
        <w:t xml:space="preserve">teki </w:t>
      </w:r>
      <w:r w:rsidR="0053289F" w:rsidRPr="00DE12A3">
        <w:rPr>
          <w:rFonts w:eastAsia="Times New Roman" w:cs="Times New Roman"/>
          <w:color w:val="auto"/>
          <w:spacing w:val="3"/>
        </w:rPr>
        <w:t>gereklilikler</w:t>
      </w:r>
      <w:r w:rsidR="00242DA0" w:rsidRPr="00DE12A3">
        <w:rPr>
          <w:rFonts w:eastAsia="Times New Roman" w:cs="Times New Roman"/>
          <w:color w:val="auto"/>
          <w:spacing w:val="3"/>
        </w:rPr>
        <w:t xml:space="preserve"> uyarınca motorun karayolu dışı </w:t>
      </w:r>
      <w:r w:rsidR="00FE3D3B" w:rsidRPr="00DE12A3">
        <w:rPr>
          <w:rFonts w:eastAsia="Times New Roman" w:cs="Times New Roman"/>
          <w:color w:val="auto"/>
          <w:spacing w:val="3"/>
        </w:rPr>
        <w:t>dizel yakıt</w:t>
      </w:r>
      <w:r w:rsidR="00242DA0" w:rsidRPr="00DE12A3">
        <w:rPr>
          <w:rFonts w:eastAsia="Times New Roman" w:cs="Times New Roman"/>
          <w:color w:val="auto"/>
          <w:spacing w:val="3"/>
        </w:rPr>
        <w:t xml:space="preserve"> ile çalışmasının, sülfür miktarı 10 mg/kg’dan (son dağıtım noktasında 20 mg/kg) daha az olmayan, setan sayısı 45’ten az olmayan ve yağ asidi metil esteri ("FAME") miktarı % 8,0 v/v'den daha büyük olmayan yakıtlarla sınırlı olduğuna dair bir beyanda bulunur.İmalatçı, isteğe bağlı olarak (örneğin, yağlama özellikleri için) başka parametreler de belirleyebilir.</w:t>
      </w:r>
    </w:p>
    <w:p w14:paraId="3CAE2A0B" w14:textId="42C2BDEE" w:rsidR="002D7B36" w:rsidRPr="00DE12A3" w:rsidRDefault="00DC3580" w:rsidP="00DC3580">
      <w:pPr>
        <w:shd w:val="clear" w:color="auto" w:fill="FFFFFF"/>
        <w:spacing w:before="120" w:after="120"/>
        <w:ind w:firstLine="709"/>
        <w:jc w:val="both"/>
        <w:rPr>
          <w:rFonts w:eastAsia="Times New Roman" w:cs="Times New Roman"/>
          <w:color w:val="auto"/>
          <w:spacing w:val="3"/>
        </w:rPr>
      </w:pPr>
      <w:r w:rsidRPr="00DE12A3">
        <w:rPr>
          <w:rFonts w:eastAsia="Times New Roman" w:cs="Times New Roman"/>
          <w:color w:val="auto"/>
          <w:spacing w:val="3"/>
        </w:rPr>
        <w:t xml:space="preserve">1.2.2.1. </w:t>
      </w:r>
      <w:r w:rsidR="00242DA0" w:rsidRPr="00DE12A3">
        <w:rPr>
          <w:rFonts w:eastAsia="Times New Roman" w:cs="Times New Roman"/>
          <w:color w:val="auto"/>
          <w:spacing w:val="3"/>
        </w:rPr>
        <w:t xml:space="preserve">Motor imalatçısı, ek olarak 1.2.3 bendinde belirtilen </w:t>
      </w:r>
      <w:r w:rsidR="0053289F" w:rsidRPr="00DE12A3">
        <w:rPr>
          <w:rFonts w:eastAsia="Times New Roman" w:cs="Times New Roman"/>
          <w:color w:val="auto"/>
          <w:spacing w:val="3"/>
        </w:rPr>
        <w:t>gerekliliklere</w:t>
      </w:r>
      <w:r w:rsidR="00242DA0" w:rsidRPr="00DE12A3">
        <w:rPr>
          <w:rFonts w:eastAsia="Times New Roman" w:cs="Times New Roman"/>
          <w:color w:val="auto"/>
          <w:spacing w:val="3"/>
        </w:rPr>
        <w:t xml:space="preserve"> uymadığı sürece, hiçbir </w:t>
      </w:r>
      <w:r w:rsidR="008D2F8F" w:rsidRPr="00DE12A3">
        <w:rPr>
          <w:rFonts w:eastAsia="Times New Roman" w:cs="Times New Roman"/>
          <w:color w:val="auto"/>
          <w:spacing w:val="3"/>
        </w:rPr>
        <w:t>zaman bir</w:t>
      </w:r>
      <w:r w:rsidR="00242DA0" w:rsidRPr="00DE12A3">
        <w:rPr>
          <w:rFonts w:eastAsia="Times New Roman" w:cs="Times New Roman"/>
          <w:color w:val="auto"/>
          <w:spacing w:val="3"/>
        </w:rPr>
        <w:t xml:space="preserve"> motor tipinin veya motor ailesinin, bu bentte belirtilenlere uyanlar dışındaki piyasa yakıtları ile çalıştırılabileceğini belirtmemelidir.</w:t>
      </w:r>
    </w:p>
    <w:p w14:paraId="008FCF7A" w14:textId="02491F1A" w:rsidR="002D7B36" w:rsidRPr="00DE12A3" w:rsidRDefault="0077358D" w:rsidP="0077358D">
      <w:pPr>
        <w:shd w:val="clear" w:color="auto" w:fill="FFFFFF"/>
        <w:spacing w:before="120" w:after="120"/>
        <w:ind w:firstLine="709"/>
        <w:jc w:val="both"/>
        <w:rPr>
          <w:rFonts w:eastAsia="Times New Roman" w:cs="Times New Roman"/>
          <w:color w:val="auto"/>
          <w:spacing w:val="3"/>
        </w:rPr>
      </w:pPr>
      <w:r w:rsidRPr="00DE12A3">
        <w:rPr>
          <w:rFonts w:eastAsia="Times New Roman" w:cs="Times New Roman"/>
          <w:color w:val="auto"/>
          <w:spacing w:val="3"/>
        </w:rPr>
        <w:t xml:space="preserve">(a) </w:t>
      </w:r>
      <w:r w:rsidR="00242DA0" w:rsidRPr="00DE12A3">
        <w:rPr>
          <w:rFonts w:eastAsia="Times New Roman" w:cs="Times New Roman"/>
          <w:color w:val="auto"/>
          <w:spacing w:val="3"/>
        </w:rPr>
        <w:t>Benzin durumunda, 98/70/</w:t>
      </w:r>
      <w:r w:rsidR="00D25884" w:rsidRPr="00DE12A3">
        <w:rPr>
          <w:rFonts w:eastAsia="Times New Roman" w:cs="Times New Roman"/>
          <w:color w:val="auto"/>
          <w:spacing w:val="3"/>
        </w:rPr>
        <w:t>EC</w:t>
      </w:r>
      <w:r w:rsidR="00242DA0" w:rsidRPr="00DE12A3">
        <w:rPr>
          <w:rFonts w:eastAsia="Times New Roman" w:cs="Times New Roman"/>
          <w:color w:val="auto"/>
          <w:spacing w:val="3"/>
        </w:rPr>
        <w:t xml:space="preserve"> sayılı Direktif veya CEN standardı EN 228:2012. İmalatçının belirttiği özelliklere göre yağlama yağı eklenebilir</w:t>
      </w:r>
      <w:r w:rsidR="007751A1" w:rsidRPr="00DE12A3">
        <w:rPr>
          <w:rFonts w:eastAsia="Times New Roman" w:cs="Times New Roman"/>
          <w:color w:val="auto"/>
          <w:spacing w:val="3"/>
        </w:rPr>
        <w:t>.</w:t>
      </w:r>
    </w:p>
    <w:p w14:paraId="281728E1" w14:textId="4A3AC78A" w:rsidR="002D7B36" w:rsidRPr="00DE12A3" w:rsidRDefault="0077358D" w:rsidP="0077358D">
      <w:pPr>
        <w:shd w:val="clear" w:color="auto" w:fill="FFFFFF"/>
        <w:spacing w:before="120" w:after="120"/>
        <w:ind w:firstLine="709"/>
        <w:jc w:val="both"/>
        <w:rPr>
          <w:rFonts w:eastAsia="Times New Roman" w:cs="Times New Roman"/>
          <w:color w:val="auto"/>
          <w:spacing w:val="3"/>
        </w:rPr>
      </w:pPr>
      <w:r w:rsidRPr="00DE12A3">
        <w:rPr>
          <w:rFonts w:eastAsia="Times New Roman" w:cs="Times New Roman"/>
          <w:color w:val="auto"/>
          <w:spacing w:val="3"/>
        </w:rPr>
        <w:t xml:space="preserve">(b) </w:t>
      </w:r>
      <w:r w:rsidR="00242DA0" w:rsidRPr="00DE12A3">
        <w:rPr>
          <w:rFonts w:eastAsia="Times New Roman" w:cs="Times New Roman"/>
          <w:color w:val="auto"/>
          <w:spacing w:val="3"/>
        </w:rPr>
        <w:t xml:space="preserve">Dizel durumunda (karayolu dışı </w:t>
      </w:r>
      <w:r w:rsidR="00FE3D3B" w:rsidRPr="00DE12A3">
        <w:rPr>
          <w:rFonts w:eastAsia="Times New Roman" w:cs="Times New Roman"/>
          <w:color w:val="auto"/>
          <w:spacing w:val="3"/>
        </w:rPr>
        <w:t>dizel yakıt</w:t>
      </w:r>
      <w:r w:rsidR="00242DA0" w:rsidRPr="00DE12A3">
        <w:rPr>
          <w:rFonts w:eastAsia="Times New Roman" w:cs="Times New Roman"/>
          <w:color w:val="auto"/>
          <w:spacing w:val="3"/>
        </w:rPr>
        <w:t xml:space="preserve"> dışında), 98/70/</w:t>
      </w:r>
      <w:r w:rsidR="00D25884" w:rsidRPr="00DE12A3">
        <w:rPr>
          <w:rFonts w:eastAsia="Times New Roman" w:cs="Times New Roman"/>
          <w:color w:val="auto"/>
          <w:spacing w:val="3"/>
        </w:rPr>
        <w:t>EC</w:t>
      </w:r>
      <w:r w:rsidR="00242DA0" w:rsidRPr="00DE12A3">
        <w:rPr>
          <w:rFonts w:eastAsia="Times New Roman" w:cs="Times New Roman"/>
          <w:color w:val="auto"/>
          <w:spacing w:val="3"/>
        </w:rPr>
        <w:t xml:space="preserve"> sayılı Avrupa Parlamentosu ve Konsey Direktifi veya CEN standardı EN 590:2013</w:t>
      </w:r>
      <w:r w:rsidR="007751A1" w:rsidRPr="00DE12A3">
        <w:rPr>
          <w:rFonts w:eastAsia="Times New Roman" w:cs="Times New Roman"/>
          <w:color w:val="auto"/>
          <w:spacing w:val="3"/>
        </w:rPr>
        <w:t>.</w:t>
      </w:r>
    </w:p>
    <w:p w14:paraId="1B880400" w14:textId="18F2CE0F" w:rsidR="00242DA0" w:rsidRPr="00DE12A3" w:rsidRDefault="00DC4358" w:rsidP="00DC4358">
      <w:pPr>
        <w:spacing w:before="120" w:after="120"/>
        <w:ind w:firstLine="709"/>
        <w:jc w:val="both"/>
        <w:rPr>
          <w:rFonts w:eastAsia="Times New Roman" w:cs="Times New Roman"/>
          <w:color w:val="auto"/>
          <w:spacing w:val="3"/>
        </w:rPr>
      </w:pPr>
      <w:r w:rsidRPr="00DE12A3">
        <w:rPr>
          <w:rFonts w:eastAsia="Times New Roman" w:cs="Times New Roman"/>
          <w:color w:val="auto"/>
          <w:spacing w:val="3"/>
        </w:rPr>
        <w:t>(c)</w:t>
      </w:r>
      <w:r w:rsidR="00977983" w:rsidRPr="00DE12A3">
        <w:rPr>
          <w:rFonts w:eastAsia="Times New Roman" w:cs="Times New Roman"/>
          <w:color w:val="auto"/>
          <w:spacing w:val="3"/>
        </w:rPr>
        <w:t xml:space="preserve"> </w:t>
      </w:r>
      <w:r w:rsidR="00242DA0" w:rsidRPr="00DE12A3">
        <w:rPr>
          <w:rFonts w:eastAsia="Times New Roman" w:cs="Times New Roman"/>
          <w:color w:val="auto"/>
          <w:spacing w:val="3"/>
        </w:rPr>
        <w:t>Dizel (karayolu dışı</w:t>
      </w:r>
      <w:r w:rsidR="00FE3D3B" w:rsidRPr="00DE12A3">
        <w:rPr>
          <w:rFonts w:eastAsia="Times New Roman" w:cs="Times New Roman"/>
          <w:color w:val="auto"/>
          <w:spacing w:val="3"/>
        </w:rPr>
        <w:t xml:space="preserve"> dizel yakıt</w:t>
      </w:r>
      <w:r w:rsidR="00242DA0" w:rsidRPr="00DE12A3">
        <w:rPr>
          <w:rFonts w:eastAsia="Times New Roman" w:cs="Times New Roman"/>
          <w:color w:val="auto"/>
          <w:spacing w:val="3"/>
        </w:rPr>
        <w:t>) söz konusu olduğunda, 98/70/A</w:t>
      </w:r>
      <w:r w:rsidR="008D2F8F" w:rsidRPr="00DE12A3">
        <w:rPr>
          <w:rFonts w:eastAsia="Times New Roman" w:cs="Times New Roman"/>
          <w:color w:val="auto"/>
          <w:spacing w:val="3"/>
        </w:rPr>
        <w:t>T</w:t>
      </w:r>
      <w:r w:rsidR="00242DA0" w:rsidRPr="00DE12A3">
        <w:rPr>
          <w:rFonts w:eastAsia="Times New Roman" w:cs="Times New Roman"/>
          <w:color w:val="auto"/>
          <w:spacing w:val="3"/>
        </w:rPr>
        <w:t xml:space="preserve"> sayılı Direktif ve ayrıca setan sayısı en az 45 ve FAME en çok </w:t>
      </w:r>
      <w:r w:rsidR="00C4107D" w:rsidRPr="00DE12A3">
        <w:rPr>
          <w:rFonts w:eastAsia="Times New Roman" w:cs="Times New Roman"/>
          <w:color w:val="auto"/>
          <w:spacing w:val="3"/>
        </w:rPr>
        <w:t>%8,0</w:t>
      </w:r>
      <w:r w:rsidR="00242DA0" w:rsidRPr="00DE12A3">
        <w:rPr>
          <w:rFonts w:eastAsia="Times New Roman" w:cs="Times New Roman"/>
          <w:color w:val="auto"/>
          <w:spacing w:val="3"/>
        </w:rPr>
        <w:t xml:space="preserve"> v/v.</w:t>
      </w:r>
    </w:p>
    <w:p w14:paraId="4C0E452F" w14:textId="19BBC0D4" w:rsidR="00242DA0" w:rsidRPr="00DE12A3" w:rsidRDefault="00A455C2" w:rsidP="00A455C2">
      <w:pPr>
        <w:spacing w:before="120" w:after="120"/>
        <w:ind w:firstLine="709"/>
        <w:jc w:val="both"/>
        <w:rPr>
          <w:rFonts w:eastAsia="Times New Roman" w:cs="Times New Roman"/>
          <w:color w:val="auto"/>
          <w:spacing w:val="3"/>
        </w:rPr>
      </w:pPr>
      <w:r w:rsidRPr="00DE12A3">
        <w:rPr>
          <w:rFonts w:eastAsia="Times New Roman" w:cs="Times New Roman"/>
          <w:color w:val="auto"/>
          <w:spacing w:val="3"/>
        </w:rPr>
        <w:t>1.2.3.</w:t>
      </w:r>
      <w:r w:rsidR="0045371E" w:rsidRPr="00DE12A3">
        <w:rPr>
          <w:rFonts w:eastAsia="Times New Roman" w:cs="Times New Roman"/>
          <w:color w:val="auto"/>
          <w:spacing w:val="3"/>
        </w:rPr>
        <w:t xml:space="preserve"> </w:t>
      </w:r>
      <w:r w:rsidR="00242DA0" w:rsidRPr="00DE12A3">
        <w:rPr>
          <w:rFonts w:eastAsia="Times New Roman" w:cs="Times New Roman"/>
          <w:color w:val="auto"/>
          <w:spacing w:val="3"/>
        </w:rPr>
        <w:t xml:space="preserve">İmalatçı, motorların 1.2.2 bendinde belirtilenler dışındaki ek piyasa yakıtları ile çalışmasına, örneğin B100 (EN 14214:2012+A1:2014), B20 veya B30 (EN16709:2015) veya belirli yakıtlar, yakıt karışımları veya yakıt emülsiyonları ile çalışmasına izin veriyorsa, imalatçı tarafından, 1.2.2.1 bendindeki </w:t>
      </w:r>
      <w:r w:rsidR="0053289F" w:rsidRPr="00DE12A3">
        <w:rPr>
          <w:rFonts w:eastAsia="Times New Roman" w:cs="Times New Roman"/>
          <w:color w:val="auto"/>
          <w:spacing w:val="3"/>
        </w:rPr>
        <w:t xml:space="preserve">gerekliliklere </w:t>
      </w:r>
      <w:r w:rsidR="00242DA0" w:rsidRPr="00DE12A3">
        <w:rPr>
          <w:rFonts w:eastAsia="Times New Roman" w:cs="Times New Roman"/>
          <w:color w:val="auto"/>
          <w:spacing w:val="3"/>
        </w:rPr>
        <w:t>ek olarak aşağıdaki faaliyetlerin tümü gerçekleştirilir:</w:t>
      </w:r>
    </w:p>
    <w:p w14:paraId="5A8101B7" w14:textId="4C05E196" w:rsidR="00242DA0" w:rsidRPr="00DE12A3" w:rsidRDefault="00A455C2" w:rsidP="00A455C2">
      <w:pPr>
        <w:spacing w:before="120" w:after="120"/>
        <w:ind w:firstLine="709"/>
        <w:jc w:val="both"/>
        <w:rPr>
          <w:rFonts w:eastAsia="Times New Roman" w:cs="Times New Roman"/>
          <w:color w:val="auto"/>
          <w:spacing w:val="3"/>
        </w:rPr>
      </w:pPr>
      <w:r w:rsidRPr="00DE12A3">
        <w:rPr>
          <w:rFonts w:eastAsia="Times New Roman" w:cs="Times New Roman"/>
          <w:color w:val="auto"/>
          <w:spacing w:val="3"/>
        </w:rPr>
        <w:t xml:space="preserve">(a) </w:t>
      </w:r>
      <w:r w:rsidR="00EE5D5E" w:rsidRPr="00DE12A3">
        <w:rPr>
          <w:rFonts w:eastAsia="Times New Roman" w:cs="Times New Roman"/>
          <w:color w:val="auto"/>
          <w:spacing w:val="3"/>
        </w:rPr>
        <w:t xml:space="preserve">2017/656/AB Tebliğinde </w:t>
      </w:r>
      <w:r w:rsidR="00242DA0" w:rsidRPr="00DE12A3">
        <w:rPr>
          <w:rFonts w:eastAsia="Times New Roman" w:cs="Times New Roman"/>
          <w:color w:val="auto"/>
          <w:spacing w:val="3"/>
        </w:rPr>
        <w:t xml:space="preserve">belirtilen bilgi dokümanında, motor ailesinin </w:t>
      </w:r>
      <w:r w:rsidR="00242DA0" w:rsidRPr="00DE12A3">
        <w:rPr>
          <w:rFonts w:eastAsia="Times New Roman" w:cs="Times New Roman"/>
          <w:color w:val="auto"/>
          <w:spacing w:val="3"/>
        </w:rPr>
        <w:lastRenderedPageBreak/>
        <w:t>çalışabileceği ticari yakıtların, yakıt karışımlarının veya emülsiyonlarının teknik özelliklerini beyan etmek</w:t>
      </w:r>
      <w:r w:rsidR="007751A1" w:rsidRPr="00DE12A3">
        <w:rPr>
          <w:rFonts w:eastAsia="Times New Roman" w:cs="Times New Roman"/>
          <w:color w:val="auto"/>
          <w:spacing w:val="3"/>
        </w:rPr>
        <w:t>.</w:t>
      </w:r>
    </w:p>
    <w:p w14:paraId="222B9F5A" w14:textId="18AC09EB" w:rsidR="00242DA0" w:rsidRPr="00DE12A3" w:rsidRDefault="00A455C2" w:rsidP="00A455C2">
      <w:pPr>
        <w:spacing w:before="120" w:after="120"/>
        <w:ind w:firstLine="709"/>
        <w:jc w:val="both"/>
        <w:rPr>
          <w:rFonts w:eastAsia="Times New Roman" w:cs="Times New Roman"/>
          <w:color w:val="auto"/>
          <w:spacing w:val="3"/>
        </w:rPr>
      </w:pPr>
      <w:r w:rsidRPr="00DE12A3">
        <w:rPr>
          <w:rFonts w:eastAsia="Times New Roman" w:cs="Times New Roman"/>
          <w:color w:val="auto"/>
          <w:spacing w:val="3"/>
        </w:rPr>
        <w:t xml:space="preserve">(b) </w:t>
      </w:r>
      <w:r w:rsidR="00FB7855" w:rsidRPr="00DE12A3">
        <w:rPr>
          <w:rFonts w:eastAsia="Times New Roman" w:cs="Times New Roman"/>
          <w:color w:val="auto"/>
          <w:spacing w:val="3"/>
        </w:rPr>
        <w:t>A</w:t>
      </w:r>
      <w:r w:rsidR="00242DA0" w:rsidRPr="00DE12A3">
        <w:rPr>
          <w:rFonts w:eastAsia="Times New Roman" w:cs="Times New Roman"/>
          <w:color w:val="auto"/>
          <w:spacing w:val="3"/>
        </w:rPr>
        <w:t>na motorun, bu T</w:t>
      </w:r>
      <w:r w:rsidR="00402A0D" w:rsidRPr="00DE12A3">
        <w:rPr>
          <w:rFonts w:eastAsia="Times New Roman" w:cs="Times New Roman"/>
          <w:color w:val="auto"/>
          <w:spacing w:val="3"/>
        </w:rPr>
        <w:t>ebliğin</w:t>
      </w:r>
      <w:r w:rsidR="00242DA0" w:rsidRPr="00DE12A3">
        <w:rPr>
          <w:rFonts w:eastAsia="Times New Roman" w:cs="Times New Roman"/>
          <w:color w:val="auto"/>
          <w:spacing w:val="3"/>
        </w:rPr>
        <w:t xml:space="preserve"> beyan ettiği yakıtlar, yakıt karışımları veya emülsiyonlarla ilgili </w:t>
      </w:r>
      <w:r w:rsidR="0053289F" w:rsidRPr="00DE12A3">
        <w:rPr>
          <w:rFonts w:eastAsia="Times New Roman" w:cs="Times New Roman"/>
          <w:color w:val="auto"/>
          <w:spacing w:val="3"/>
        </w:rPr>
        <w:t>gereklilikleri</w:t>
      </w:r>
      <w:r w:rsidR="00242DA0" w:rsidRPr="00DE12A3">
        <w:rPr>
          <w:rFonts w:eastAsia="Times New Roman" w:cs="Times New Roman"/>
          <w:color w:val="auto"/>
          <w:spacing w:val="3"/>
        </w:rPr>
        <w:t xml:space="preserve"> sağlama kabiliyetini göstermek</w:t>
      </w:r>
      <w:r w:rsidR="007751A1" w:rsidRPr="00DE12A3">
        <w:rPr>
          <w:rFonts w:eastAsia="Times New Roman" w:cs="Times New Roman"/>
          <w:color w:val="auto"/>
          <w:spacing w:val="3"/>
        </w:rPr>
        <w:t>.</w:t>
      </w:r>
    </w:p>
    <w:p w14:paraId="7E8CF950" w14:textId="033D34FA" w:rsidR="00242DA0" w:rsidRPr="00DE12A3" w:rsidRDefault="00A455C2" w:rsidP="00497BC3">
      <w:pPr>
        <w:spacing w:before="120" w:after="120"/>
        <w:ind w:firstLine="709"/>
        <w:jc w:val="both"/>
        <w:rPr>
          <w:rFonts w:eastAsia="Times New Roman" w:cs="Times New Roman"/>
          <w:color w:val="auto"/>
          <w:spacing w:val="3"/>
        </w:rPr>
      </w:pPr>
      <w:r w:rsidRPr="00DE12A3">
        <w:rPr>
          <w:rFonts w:eastAsia="Times New Roman" w:cs="Times New Roman"/>
          <w:color w:val="auto"/>
          <w:spacing w:val="3"/>
        </w:rPr>
        <w:t>(c)</w:t>
      </w:r>
      <w:r w:rsidR="0045371E" w:rsidRPr="00DE12A3">
        <w:rPr>
          <w:rFonts w:eastAsia="Times New Roman" w:cs="Times New Roman"/>
          <w:color w:val="auto"/>
          <w:spacing w:val="3"/>
        </w:rPr>
        <w:t xml:space="preserve"> </w:t>
      </w:r>
      <w:r w:rsidR="00FB7855" w:rsidRPr="00DE12A3">
        <w:rPr>
          <w:rFonts w:eastAsia="Times New Roman" w:cs="Times New Roman"/>
          <w:color w:val="auto"/>
          <w:spacing w:val="3"/>
        </w:rPr>
        <w:t>B</w:t>
      </w:r>
      <w:r w:rsidR="00242DA0" w:rsidRPr="00DE12A3">
        <w:rPr>
          <w:rFonts w:eastAsia="Times New Roman" w:cs="Times New Roman"/>
          <w:color w:val="auto"/>
          <w:spacing w:val="3"/>
        </w:rPr>
        <w:t xml:space="preserve">eyan edilen yakıtlar, yakıt karışımları veya emülsiyonlar arasındaki herhangi bir karışım ve 1.2.2.1 bendinde belirtilen uygulanabilir piyasa yakıtı da dahil olmak üzere beyan edilen yakıtlar, yakıt karışımları veya emülsiyonlar hakkında </w:t>
      </w:r>
      <w:r w:rsidR="00402A0D" w:rsidRPr="00DE12A3">
        <w:rPr>
          <w:rFonts w:eastAsia="Times New Roman" w:cs="Times New Roman"/>
          <w:color w:val="auto"/>
          <w:spacing w:val="3"/>
        </w:rPr>
        <w:t>2</w:t>
      </w:r>
      <w:r w:rsidR="00242DA0" w:rsidRPr="00DE12A3">
        <w:rPr>
          <w:rFonts w:eastAsia="Times New Roman" w:cs="Times New Roman"/>
          <w:color w:val="auto"/>
          <w:spacing w:val="3"/>
        </w:rPr>
        <w:t>017/655</w:t>
      </w:r>
      <w:r w:rsidR="00EE5D5E" w:rsidRPr="00DE12A3">
        <w:rPr>
          <w:rFonts w:eastAsia="Times New Roman" w:cs="Times New Roman"/>
          <w:color w:val="auto"/>
          <w:spacing w:val="3"/>
        </w:rPr>
        <w:t>/AB</w:t>
      </w:r>
      <w:r w:rsidR="00242DA0" w:rsidRPr="00DE12A3">
        <w:rPr>
          <w:rFonts w:eastAsia="Times New Roman" w:cs="Times New Roman"/>
          <w:color w:val="auto"/>
          <w:spacing w:val="3"/>
        </w:rPr>
        <w:t xml:space="preserve"> </w:t>
      </w:r>
      <w:r w:rsidR="00EE5D5E" w:rsidRPr="00DE12A3">
        <w:rPr>
          <w:rFonts w:eastAsia="Times New Roman" w:cs="Times New Roman"/>
          <w:color w:val="auto"/>
          <w:spacing w:val="3"/>
        </w:rPr>
        <w:t>Tebliğ</w:t>
      </w:r>
      <w:r w:rsidR="00242DA0" w:rsidRPr="00DE12A3">
        <w:rPr>
          <w:rFonts w:eastAsia="Times New Roman" w:cs="Times New Roman"/>
          <w:color w:val="auto"/>
          <w:spacing w:val="3"/>
        </w:rPr>
        <w:t>.</w:t>
      </w:r>
    </w:p>
    <w:p w14:paraId="0145660E" w14:textId="730DE1FF" w:rsidR="002D7B36" w:rsidRPr="00DE12A3" w:rsidRDefault="00497BC3" w:rsidP="00497BC3">
      <w:pPr>
        <w:spacing w:before="120" w:after="120"/>
        <w:jc w:val="both"/>
        <w:rPr>
          <w:rFonts w:eastAsia="Times New Roman" w:cs="Times New Roman"/>
          <w:color w:val="auto"/>
          <w:spacing w:val="3"/>
        </w:rPr>
      </w:pPr>
      <w:r w:rsidRPr="00DE12A3">
        <w:rPr>
          <w:rFonts w:eastAsia="Times New Roman" w:cs="Times New Roman"/>
          <w:color w:val="auto"/>
          <w:spacing w:val="3"/>
        </w:rPr>
        <w:tab/>
        <w:t>1.2.4.</w:t>
      </w:r>
      <w:r w:rsidR="0045371E" w:rsidRPr="00DE12A3">
        <w:rPr>
          <w:rFonts w:eastAsia="Times New Roman" w:cs="Times New Roman"/>
          <w:color w:val="auto"/>
          <w:spacing w:val="3"/>
        </w:rPr>
        <w:t xml:space="preserve"> </w:t>
      </w:r>
      <w:r w:rsidR="00242DA0" w:rsidRPr="00DE12A3">
        <w:rPr>
          <w:rFonts w:eastAsia="Times New Roman" w:cs="Times New Roman"/>
          <w:color w:val="auto"/>
          <w:spacing w:val="3"/>
        </w:rPr>
        <w:t>SI motorlar için yakıt/yağ karışım oranı, üretici tarafından tavsiye edilen oran olmalıdır. Yakıt/yağlama maddesi karışımındaki yağ yüzdesi,</w:t>
      </w:r>
      <w:r w:rsidR="001B71A9" w:rsidRPr="00DE12A3">
        <w:rPr>
          <w:rFonts w:eastAsia="Times New Roman" w:cs="Times New Roman"/>
          <w:color w:val="auto"/>
          <w:spacing w:val="3"/>
        </w:rPr>
        <w:t xml:space="preserve"> </w:t>
      </w:r>
      <w:r w:rsidR="00EE5D5E" w:rsidRPr="00DE12A3">
        <w:rPr>
          <w:rFonts w:eastAsia="Times New Roman" w:cs="Times New Roman"/>
          <w:color w:val="auto"/>
          <w:spacing w:val="3"/>
        </w:rPr>
        <w:t xml:space="preserve">2017/656/AB Tebliğinde </w:t>
      </w:r>
      <w:r w:rsidR="00242DA0" w:rsidRPr="00DE12A3">
        <w:rPr>
          <w:rFonts w:eastAsia="Times New Roman" w:cs="Times New Roman"/>
          <w:color w:val="auto"/>
          <w:spacing w:val="3"/>
        </w:rPr>
        <w:t>belirtilen bilgi dokümanına kaydedilmelidir.</w:t>
      </w:r>
    </w:p>
    <w:p w14:paraId="5E68E174" w14:textId="6E74C715" w:rsidR="002D7B36" w:rsidRPr="00DE12A3" w:rsidRDefault="00497BC3" w:rsidP="00F7260A">
      <w:pPr>
        <w:spacing w:before="120" w:after="120"/>
        <w:jc w:val="both"/>
        <w:rPr>
          <w:rFonts w:eastAsia="Times New Roman" w:cs="Times New Roman"/>
          <w:color w:val="auto"/>
          <w:spacing w:val="3"/>
        </w:rPr>
      </w:pPr>
      <w:r w:rsidRPr="00DE12A3">
        <w:rPr>
          <w:rFonts w:eastAsia="Times New Roman" w:cs="Times New Roman"/>
          <w:color w:val="auto"/>
          <w:spacing w:val="3"/>
        </w:rPr>
        <w:t>1.3.</w:t>
      </w:r>
      <w:r w:rsidR="0045371E" w:rsidRPr="00DE12A3">
        <w:rPr>
          <w:rFonts w:eastAsia="Times New Roman" w:cs="Times New Roman"/>
          <w:color w:val="auto"/>
          <w:spacing w:val="3"/>
        </w:rPr>
        <w:t xml:space="preserve"> </w:t>
      </w:r>
      <w:r w:rsidR="00242DA0" w:rsidRPr="00DE12A3">
        <w:rPr>
          <w:rFonts w:eastAsia="Times New Roman" w:cs="Times New Roman"/>
          <w:color w:val="auto"/>
          <w:spacing w:val="3"/>
        </w:rPr>
        <w:t xml:space="preserve">Belirli yakıt türleri (ED 95 veya E 85) ile çalışan bir motora ilişkin </w:t>
      </w:r>
      <w:r w:rsidR="0053289F" w:rsidRPr="00DE12A3">
        <w:rPr>
          <w:rFonts w:eastAsia="Times New Roman" w:cs="Times New Roman"/>
          <w:color w:val="auto"/>
          <w:spacing w:val="3"/>
        </w:rPr>
        <w:t>gereklilikler</w:t>
      </w:r>
    </w:p>
    <w:p w14:paraId="789E0C16" w14:textId="11065C3B" w:rsidR="002D7B36" w:rsidRPr="00DE12A3" w:rsidRDefault="00242DA0" w:rsidP="00497BC3">
      <w:pPr>
        <w:spacing w:before="120" w:after="120"/>
        <w:ind w:firstLine="709"/>
        <w:jc w:val="both"/>
        <w:rPr>
          <w:rFonts w:eastAsia="Times New Roman" w:cs="Times New Roman"/>
          <w:color w:val="auto"/>
          <w:spacing w:val="3"/>
        </w:rPr>
      </w:pPr>
      <w:r w:rsidRPr="00DE12A3">
        <w:rPr>
          <w:rFonts w:eastAsia="Times New Roman" w:cs="Times New Roman"/>
          <w:color w:val="auto"/>
          <w:spacing w:val="3"/>
        </w:rPr>
        <w:t xml:space="preserve">Belirli yakıt türleri (ED 95 veya E 85) ile çalışan bir motor, 1.3.1 ve 1.3.2 bentlerinde belirtilen </w:t>
      </w:r>
      <w:r w:rsidR="0053289F" w:rsidRPr="00DE12A3">
        <w:rPr>
          <w:rFonts w:eastAsia="Times New Roman" w:cs="Times New Roman"/>
          <w:color w:val="auto"/>
          <w:spacing w:val="3"/>
        </w:rPr>
        <w:t>gereklilikleri</w:t>
      </w:r>
      <w:r w:rsidRPr="00DE12A3">
        <w:rPr>
          <w:rFonts w:eastAsia="Times New Roman" w:cs="Times New Roman"/>
          <w:color w:val="auto"/>
          <w:spacing w:val="3"/>
        </w:rPr>
        <w:t xml:space="preserve"> sağlamalıdır.</w:t>
      </w:r>
    </w:p>
    <w:p w14:paraId="62429157" w14:textId="3CB45E90" w:rsidR="002D7B36" w:rsidRPr="00DE12A3" w:rsidRDefault="00497BC3" w:rsidP="00497BC3">
      <w:pPr>
        <w:spacing w:before="120" w:after="120"/>
        <w:ind w:firstLine="709"/>
        <w:jc w:val="both"/>
        <w:rPr>
          <w:rFonts w:eastAsia="Times New Roman" w:cs="Times New Roman"/>
          <w:color w:val="auto"/>
          <w:spacing w:val="3"/>
        </w:rPr>
      </w:pPr>
      <w:r w:rsidRPr="00DE12A3">
        <w:rPr>
          <w:rFonts w:eastAsia="Times New Roman" w:cs="Times New Roman"/>
          <w:color w:val="auto"/>
          <w:spacing w:val="3"/>
        </w:rPr>
        <w:t>1.3.1.</w:t>
      </w:r>
      <w:r w:rsidR="0045371E" w:rsidRPr="00DE12A3">
        <w:rPr>
          <w:rFonts w:eastAsia="Times New Roman" w:cs="Times New Roman"/>
          <w:color w:val="auto"/>
          <w:spacing w:val="3"/>
        </w:rPr>
        <w:t xml:space="preserve"> </w:t>
      </w:r>
      <w:r w:rsidR="00242DA0" w:rsidRPr="00DE12A3">
        <w:rPr>
          <w:rFonts w:eastAsia="Times New Roman" w:cs="Times New Roman"/>
          <w:color w:val="auto"/>
          <w:spacing w:val="3"/>
        </w:rPr>
        <w:t xml:space="preserve">ED 95 için ana </w:t>
      </w:r>
      <w:r w:rsidR="00977983" w:rsidRPr="00DE12A3">
        <w:rPr>
          <w:rFonts w:eastAsia="Times New Roman" w:cs="Times New Roman"/>
          <w:color w:val="auto"/>
          <w:spacing w:val="3"/>
        </w:rPr>
        <w:t xml:space="preserve">motor, </w:t>
      </w:r>
      <w:r w:rsidR="00CF5DB1" w:rsidRPr="00DE12A3">
        <w:rPr>
          <w:rFonts w:eastAsia="Times New Roman" w:cs="Times New Roman"/>
          <w:color w:val="auto"/>
          <w:spacing w:val="3"/>
        </w:rPr>
        <w:t xml:space="preserve">bu Tebliğin </w:t>
      </w:r>
      <w:r w:rsidR="00242DA0" w:rsidRPr="00DE12A3">
        <w:rPr>
          <w:rFonts w:eastAsia="Times New Roman" w:cs="Times New Roman"/>
          <w:color w:val="auto"/>
          <w:spacing w:val="3"/>
        </w:rPr>
        <w:t>IX</w:t>
      </w:r>
      <w:r w:rsidR="00EE5D5E" w:rsidRPr="00DE12A3">
        <w:rPr>
          <w:rFonts w:eastAsia="Times New Roman" w:cs="Times New Roman"/>
          <w:color w:val="auto"/>
          <w:spacing w:val="3"/>
        </w:rPr>
        <w:t xml:space="preserve">’uncu </w:t>
      </w:r>
      <w:r w:rsidR="00EC3EF0" w:rsidRPr="00DE12A3">
        <w:rPr>
          <w:rFonts w:eastAsia="Times New Roman" w:cs="Times New Roman"/>
          <w:color w:val="auto"/>
          <w:spacing w:val="3"/>
        </w:rPr>
        <w:t>E</w:t>
      </w:r>
      <w:r w:rsidR="00242DA0" w:rsidRPr="00DE12A3">
        <w:rPr>
          <w:rFonts w:eastAsia="Times New Roman" w:cs="Times New Roman"/>
          <w:color w:val="auto"/>
          <w:spacing w:val="3"/>
        </w:rPr>
        <w:t xml:space="preserve">kinin </w:t>
      </w:r>
      <w:r w:rsidR="00CF5DB1" w:rsidRPr="00DE12A3">
        <w:rPr>
          <w:rFonts w:eastAsia="Times New Roman" w:cs="Times New Roman"/>
          <w:color w:val="auto"/>
          <w:spacing w:val="3"/>
        </w:rPr>
        <w:t xml:space="preserve">1.2 </w:t>
      </w:r>
      <w:r w:rsidR="00242DA0" w:rsidRPr="00DE12A3">
        <w:rPr>
          <w:rFonts w:eastAsia="Times New Roman" w:cs="Times New Roman"/>
          <w:color w:val="auto"/>
          <w:spacing w:val="3"/>
        </w:rPr>
        <w:t xml:space="preserve">bendinde belirtilen referans yakıtlarla çalıştığında </w:t>
      </w:r>
      <w:r w:rsidR="00CF5DB1" w:rsidRPr="00DE12A3">
        <w:rPr>
          <w:rFonts w:eastAsia="Times New Roman" w:cs="Times New Roman"/>
          <w:color w:val="auto"/>
          <w:spacing w:val="3"/>
        </w:rPr>
        <w:t xml:space="preserve">2016/1628/AB Yönetmeliğinin </w:t>
      </w:r>
      <w:r w:rsidR="00242DA0" w:rsidRPr="00DE12A3">
        <w:rPr>
          <w:rFonts w:eastAsia="Times New Roman" w:cs="Times New Roman"/>
          <w:color w:val="auto"/>
          <w:spacing w:val="3"/>
        </w:rPr>
        <w:t>II</w:t>
      </w:r>
      <w:r w:rsidR="00552BDF" w:rsidRPr="00DE12A3">
        <w:rPr>
          <w:rFonts w:eastAsia="Times New Roman" w:cs="Times New Roman"/>
          <w:color w:val="auto"/>
          <w:spacing w:val="3"/>
        </w:rPr>
        <w:t xml:space="preserve">’nci </w:t>
      </w:r>
      <w:r w:rsidR="00242DA0" w:rsidRPr="00DE12A3">
        <w:rPr>
          <w:rFonts w:eastAsia="Times New Roman" w:cs="Times New Roman"/>
          <w:color w:val="auto"/>
          <w:spacing w:val="3"/>
        </w:rPr>
        <w:t>Ek</w:t>
      </w:r>
      <w:r w:rsidR="00CF5DB1" w:rsidRPr="00DE12A3">
        <w:rPr>
          <w:rFonts w:eastAsia="Times New Roman" w:cs="Times New Roman"/>
          <w:color w:val="auto"/>
          <w:spacing w:val="3"/>
        </w:rPr>
        <w:t>ind</w:t>
      </w:r>
      <w:r w:rsidR="00242DA0" w:rsidRPr="00DE12A3">
        <w:rPr>
          <w:rFonts w:eastAsia="Times New Roman" w:cs="Times New Roman"/>
          <w:color w:val="auto"/>
          <w:spacing w:val="3"/>
        </w:rPr>
        <w:t>e belirtilen geçerli sınır değerleri ve bu T</w:t>
      </w:r>
      <w:r w:rsidR="00EE5D5E" w:rsidRPr="00DE12A3">
        <w:rPr>
          <w:rFonts w:eastAsia="Times New Roman" w:cs="Times New Roman"/>
          <w:color w:val="auto"/>
          <w:spacing w:val="3"/>
        </w:rPr>
        <w:t>ebliğde</w:t>
      </w:r>
      <w:r w:rsidR="00242DA0" w:rsidRPr="00DE12A3">
        <w:rPr>
          <w:rFonts w:eastAsia="Times New Roman" w:cs="Times New Roman"/>
          <w:color w:val="auto"/>
          <w:spacing w:val="3"/>
        </w:rPr>
        <w:t xml:space="preserve"> belirtilen </w:t>
      </w:r>
      <w:r w:rsidR="0053289F" w:rsidRPr="00DE12A3">
        <w:rPr>
          <w:rFonts w:eastAsia="Times New Roman" w:cs="Times New Roman"/>
          <w:color w:val="auto"/>
          <w:spacing w:val="3"/>
        </w:rPr>
        <w:t xml:space="preserve">gereklilikleri </w:t>
      </w:r>
      <w:r w:rsidR="00242DA0" w:rsidRPr="00DE12A3">
        <w:rPr>
          <w:rFonts w:eastAsia="Times New Roman" w:cs="Times New Roman"/>
          <w:color w:val="auto"/>
          <w:spacing w:val="3"/>
        </w:rPr>
        <w:t>sağlamalıdır.</w:t>
      </w:r>
    </w:p>
    <w:p w14:paraId="2ECE9F6E" w14:textId="39D6F524" w:rsidR="002D7B36" w:rsidRPr="00DE12A3" w:rsidRDefault="00497BC3" w:rsidP="00497BC3">
      <w:pPr>
        <w:spacing w:before="120" w:after="120"/>
        <w:ind w:firstLine="709"/>
        <w:jc w:val="both"/>
        <w:rPr>
          <w:rFonts w:eastAsia="Times New Roman" w:cs="Times New Roman"/>
          <w:color w:val="auto"/>
          <w:spacing w:val="3"/>
        </w:rPr>
      </w:pPr>
      <w:r w:rsidRPr="00DE12A3">
        <w:rPr>
          <w:rFonts w:eastAsia="Times New Roman" w:cs="Times New Roman"/>
          <w:color w:val="auto"/>
          <w:spacing w:val="3"/>
        </w:rPr>
        <w:t>1.3.2.</w:t>
      </w:r>
      <w:r w:rsidR="0045371E" w:rsidRPr="00DE12A3">
        <w:rPr>
          <w:rFonts w:eastAsia="Times New Roman" w:cs="Times New Roman"/>
          <w:color w:val="auto"/>
          <w:spacing w:val="3"/>
        </w:rPr>
        <w:t xml:space="preserve"> </w:t>
      </w:r>
      <w:r w:rsidR="00242DA0" w:rsidRPr="00DE12A3">
        <w:rPr>
          <w:rFonts w:eastAsia="Times New Roman" w:cs="Times New Roman"/>
          <w:color w:val="auto"/>
          <w:spacing w:val="3"/>
        </w:rPr>
        <w:t xml:space="preserve">E 85 için ana </w:t>
      </w:r>
      <w:r w:rsidR="00EE5D5E" w:rsidRPr="00DE12A3">
        <w:rPr>
          <w:rFonts w:eastAsia="Times New Roman" w:cs="Times New Roman"/>
          <w:color w:val="auto"/>
          <w:spacing w:val="3"/>
        </w:rPr>
        <w:t xml:space="preserve">motor, </w:t>
      </w:r>
      <w:r w:rsidR="00CF5DB1" w:rsidRPr="00DE12A3">
        <w:rPr>
          <w:rFonts w:eastAsia="Times New Roman" w:cs="Times New Roman"/>
          <w:color w:val="auto"/>
          <w:spacing w:val="3"/>
        </w:rPr>
        <w:t xml:space="preserve">bu Tebliğin </w:t>
      </w:r>
      <w:r w:rsidR="00242DA0" w:rsidRPr="00DE12A3">
        <w:rPr>
          <w:rFonts w:eastAsia="Times New Roman" w:cs="Times New Roman"/>
          <w:color w:val="auto"/>
          <w:spacing w:val="3"/>
        </w:rPr>
        <w:t>IX</w:t>
      </w:r>
      <w:r w:rsidR="00EE5D5E" w:rsidRPr="00DE12A3">
        <w:rPr>
          <w:rFonts w:eastAsia="Times New Roman" w:cs="Times New Roman"/>
          <w:color w:val="auto"/>
          <w:spacing w:val="3"/>
        </w:rPr>
        <w:t xml:space="preserve">’uncu </w:t>
      </w:r>
      <w:r w:rsidR="00EC3EF0" w:rsidRPr="00DE12A3">
        <w:rPr>
          <w:rFonts w:eastAsia="Times New Roman" w:cs="Times New Roman"/>
          <w:color w:val="auto"/>
          <w:spacing w:val="3"/>
        </w:rPr>
        <w:t>Ekinin</w:t>
      </w:r>
      <w:r w:rsidR="00242DA0" w:rsidRPr="00DE12A3">
        <w:rPr>
          <w:rFonts w:eastAsia="Times New Roman" w:cs="Times New Roman"/>
          <w:color w:val="auto"/>
          <w:spacing w:val="3"/>
        </w:rPr>
        <w:t xml:space="preserve"> 2.2 bendinde belirtilen referans yakıtlarla çalıştığında </w:t>
      </w:r>
      <w:r w:rsidR="00CF5DB1" w:rsidRPr="00DE12A3">
        <w:rPr>
          <w:rFonts w:eastAsia="Times New Roman" w:cs="Times New Roman"/>
          <w:color w:val="auto"/>
          <w:spacing w:val="3"/>
        </w:rPr>
        <w:t xml:space="preserve">2016/1628/AB Yönetmeliğinin </w:t>
      </w:r>
      <w:r w:rsidR="00BB5F35" w:rsidRPr="00DE12A3">
        <w:rPr>
          <w:rFonts w:eastAsia="Times New Roman" w:cs="Times New Roman"/>
          <w:color w:val="auto"/>
          <w:spacing w:val="3"/>
        </w:rPr>
        <w:t>II’nci Ek</w:t>
      </w:r>
      <w:r w:rsidR="00CF5DB1" w:rsidRPr="00DE12A3">
        <w:rPr>
          <w:rFonts w:eastAsia="Times New Roman" w:cs="Times New Roman"/>
          <w:color w:val="auto"/>
          <w:spacing w:val="3"/>
        </w:rPr>
        <w:t>ind</w:t>
      </w:r>
      <w:r w:rsidR="00BB5F35" w:rsidRPr="00DE12A3">
        <w:rPr>
          <w:rFonts w:eastAsia="Times New Roman" w:cs="Times New Roman"/>
          <w:color w:val="auto"/>
          <w:spacing w:val="3"/>
        </w:rPr>
        <w:t>e</w:t>
      </w:r>
      <w:r w:rsidR="00242DA0" w:rsidRPr="00DE12A3">
        <w:rPr>
          <w:rFonts w:eastAsia="Times New Roman" w:cs="Times New Roman"/>
          <w:color w:val="auto"/>
          <w:spacing w:val="3"/>
        </w:rPr>
        <w:t xml:space="preserve"> belirtilen geçerli sınır değerleri ve bu </w:t>
      </w:r>
      <w:r w:rsidR="00EE5D5E" w:rsidRPr="00DE12A3">
        <w:rPr>
          <w:rFonts w:eastAsia="Times New Roman" w:cs="Times New Roman"/>
          <w:color w:val="auto"/>
          <w:spacing w:val="3"/>
        </w:rPr>
        <w:t>tebliğde</w:t>
      </w:r>
      <w:r w:rsidR="00242DA0" w:rsidRPr="00DE12A3">
        <w:rPr>
          <w:rFonts w:eastAsia="Times New Roman" w:cs="Times New Roman"/>
          <w:color w:val="auto"/>
          <w:spacing w:val="3"/>
        </w:rPr>
        <w:t xml:space="preserve"> belirtilen </w:t>
      </w:r>
      <w:r w:rsidR="0053289F" w:rsidRPr="00DE12A3">
        <w:rPr>
          <w:rFonts w:eastAsia="Times New Roman" w:cs="Times New Roman"/>
          <w:color w:val="auto"/>
          <w:spacing w:val="3"/>
        </w:rPr>
        <w:t xml:space="preserve">gereklilikleri </w:t>
      </w:r>
      <w:r w:rsidR="00242DA0" w:rsidRPr="00DE12A3">
        <w:rPr>
          <w:rFonts w:eastAsia="Times New Roman" w:cs="Times New Roman"/>
          <w:color w:val="auto"/>
          <w:spacing w:val="3"/>
        </w:rPr>
        <w:t>sağlamalıdır.</w:t>
      </w:r>
    </w:p>
    <w:p w14:paraId="47C71D38" w14:textId="0D2EE678" w:rsidR="00242DA0" w:rsidRPr="00DE12A3" w:rsidRDefault="00F7260A" w:rsidP="00F7260A">
      <w:pPr>
        <w:spacing w:before="120" w:after="120"/>
        <w:jc w:val="both"/>
        <w:rPr>
          <w:rFonts w:eastAsia="Times New Roman" w:cs="Times New Roman"/>
          <w:b/>
          <w:color w:val="auto"/>
        </w:rPr>
      </w:pPr>
      <w:r w:rsidRPr="00DE12A3">
        <w:rPr>
          <w:rFonts w:eastAsia="Times New Roman" w:cs="Times New Roman"/>
          <w:b/>
          <w:color w:val="auto"/>
        </w:rPr>
        <w:t>2.</w:t>
      </w:r>
      <w:r w:rsidR="00B51D2F" w:rsidRPr="00DE12A3">
        <w:rPr>
          <w:rFonts w:eastAsia="Times New Roman" w:cs="Times New Roman"/>
          <w:b/>
          <w:color w:val="auto"/>
        </w:rPr>
        <w:t xml:space="preserve"> </w:t>
      </w:r>
      <w:r w:rsidR="00242DA0" w:rsidRPr="00DE12A3">
        <w:rPr>
          <w:rFonts w:eastAsia="Times New Roman" w:cs="Times New Roman"/>
          <w:b/>
          <w:color w:val="auto"/>
        </w:rPr>
        <w:t xml:space="preserve">Çift yakıtlı motorlar da dahil olmak üzere, doğal gaz/biyometan (NG) veya sıvılaştırılmış petrol gazı (LPG) ile çalışan motorlara ilişkin </w:t>
      </w:r>
      <w:r w:rsidR="0053289F" w:rsidRPr="00DE12A3">
        <w:rPr>
          <w:rFonts w:eastAsia="Times New Roman" w:cs="Times New Roman"/>
          <w:b/>
          <w:color w:val="auto"/>
        </w:rPr>
        <w:t>gereklilikler</w:t>
      </w:r>
    </w:p>
    <w:p w14:paraId="3CB8DA84" w14:textId="290BCD18" w:rsidR="00242DA0" w:rsidRPr="00DE12A3" w:rsidRDefault="00F7260A" w:rsidP="00F7260A">
      <w:pPr>
        <w:spacing w:before="120" w:after="120"/>
        <w:jc w:val="both"/>
        <w:rPr>
          <w:rFonts w:eastAsia="Times New Roman" w:cs="Times New Roman"/>
          <w:color w:val="auto"/>
          <w:spacing w:val="3"/>
        </w:rPr>
      </w:pPr>
      <w:r w:rsidRPr="00DE12A3">
        <w:rPr>
          <w:rFonts w:eastAsia="Times New Roman" w:cs="Times New Roman"/>
          <w:color w:val="auto"/>
          <w:spacing w:val="3"/>
        </w:rPr>
        <w:t>2.1.</w:t>
      </w:r>
      <w:r w:rsidR="00B51D2F" w:rsidRPr="00DE12A3">
        <w:rPr>
          <w:rFonts w:eastAsia="Times New Roman" w:cs="Times New Roman"/>
          <w:color w:val="auto"/>
          <w:spacing w:val="3"/>
        </w:rPr>
        <w:t xml:space="preserve"> </w:t>
      </w:r>
      <w:r w:rsidR="00242DA0" w:rsidRPr="00DE12A3">
        <w:rPr>
          <w:rFonts w:eastAsia="Times New Roman" w:cs="Times New Roman"/>
          <w:color w:val="auto"/>
          <w:spacing w:val="3"/>
        </w:rPr>
        <w:t>Bir AB tip onayı için başvururken, imalatçılar motorun yakıt tipi ile ilgili olarak aşağıdaki seçeneklerden birini seçebilirler:</w:t>
      </w:r>
    </w:p>
    <w:p w14:paraId="1AA3C662" w14:textId="068744A4" w:rsidR="00242DA0" w:rsidRPr="00DE12A3" w:rsidRDefault="006508F6" w:rsidP="006508F6">
      <w:pPr>
        <w:spacing w:before="120" w:after="120"/>
        <w:ind w:firstLine="709"/>
        <w:jc w:val="both"/>
        <w:rPr>
          <w:rFonts w:eastAsia="Times New Roman" w:cs="Times New Roman"/>
          <w:color w:val="auto"/>
          <w:spacing w:val="3"/>
        </w:rPr>
      </w:pPr>
      <w:r w:rsidRPr="00DE12A3">
        <w:rPr>
          <w:rFonts w:eastAsia="Times New Roman" w:cs="Times New Roman"/>
          <w:color w:val="auto"/>
          <w:spacing w:val="3"/>
        </w:rPr>
        <w:t xml:space="preserve">(a) </w:t>
      </w:r>
      <w:r w:rsidR="00242DA0" w:rsidRPr="00DE12A3">
        <w:rPr>
          <w:rFonts w:eastAsia="Times New Roman" w:cs="Times New Roman"/>
          <w:color w:val="auto"/>
          <w:spacing w:val="3"/>
        </w:rPr>
        <w:t xml:space="preserve">2.3 bendinde belirtilen </w:t>
      </w:r>
      <w:r w:rsidR="0053289F" w:rsidRPr="00DE12A3">
        <w:rPr>
          <w:rFonts w:eastAsia="Times New Roman" w:cs="Times New Roman"/>
          <w:color w:val="auto"/>
          <w:spacing w:val="3"/>
        </w:rPr>
        <w:t>gereklilikler</w:t>
      </w:r>
      <w:r w:rsidR="00242DA0" w:rsidRPr="00DE12A3">
        <w:rPr>
          <w:rFonts w:eastAsia="Times New Roman" w:cs="Times New Roman"/>
          <w:color w:val="auto"/>
          <w:spacing w:val="3"/>
        </w:rPr>
        <w:t xml:space="preserve"> uyarınca evrensel yakıt türleri ile çalışan motor</w:t>
      </w:r>
      <w:r w:rsidR="007751A1" w:rsidRPr="00DE12A3">
        <w:rPr>
          <w:rFonts w:eastAsia="Times New Roman" w:cs="Times New Roman"/>
          <w:color w:val="auto"/>
          <w:spacing w:val="3"/>
        </w:rPr>
        <w:t>.</w:t>
      </w:r>
    </w:p>
    <w:p w14:paraId="17FE5B92" w14:textId="0E6103E6" w:rsidR="00242DA0" w:rsidRPr="00DE12A3" w:rsidRDefault="006508F6" w:rsidP="006508F6">
      <w:pPr>
        <w:spacing w:before="120" w:after="120"/>
        <w:ind w:firstLine="709"/>
        <w:jc w:val="both"/>
        <w:rPr>
          <w:rFonts w:eastAsia="Times New Roman" w:cs="Times New Roman"/>
          <w:color w:val="auto"/>
          <w:spacing w:val="3"/>
        </w:rPr>
      </w:pPr>
      <w:r w:rsidRPr="00DE12A3">
        <w:rPr>
          <w:rFonts w:eastAsia="Times New Roman" w:cs="Times New Roman"/>
          <w:color w:val="auto"/>
          <w:spacing w:val="3"/>
        </w:rPr>
        <w:t xml:space="preserve">(b) </w:t>
      </w:r>
      <w:r w:rsidR="00242DA0" w:rsidRPr="00DE12A3">
        <w:rPr>
          <w:rFonts w:eastAsia="Times New Roman" w:cs="Times New Roman"/>
          <w:color w:val="auto"/>
          <w:spacing w:val="3"/>
        </w:rPr>
        <w:t xml:space="preserve">2.4 bendine belirtilen </w:t>
      </w:r>
      <w:r w:rsidR="0053289F" w:rsidRPr="00DE12A3">
        <w:rPr>
          <w:rFonts w:eastAsia="Times New Roman" w:cs="Times New Roman"/>
          <w:color w:val="auto"/>
          <w:spacing w:val="3"/>
        </w:rPr>
        <w:t>gereklilikler</w:t>
      </w:r>
      <w:r w:rsidR="00242DA0" w:rsidRPr="00DE12A3">
        <w:rPr>
          <w:rFonts w:eastAsia="Times New Roman" w:cs="Times New Roman"/>
          <w:color w:val="auto"/>
          <w:spacing w:val="3"/>
        </w:rPr>
        <w:t xml:space="preserve"> uyarınca sınırlı yakıt türü ile çalışan motor</w:t>
      </w:r>
      <w:r w:rsidR="007751A1" w:rsidRPr="00DE12A3">
        <w:rPr>
          <w:rFonts w:eastAsia="Times New Roman" w:cs="Times New Roman"/>
          <w:color w:val="auto"/>
          <w:spacing w:val="3"/>
        </w:rPr>
        <w:t>.</w:t>
      </w:r>
    </w:p>
    <w:p w14:paraId="140BABD6" w14:textId="5D131378" w:rsidR="00242DA0" w:rsidRPr="00DE12A3" w:rsidRDefault="006508F6" w:rsidP="006508F6">
      <w:pPr>
        <w:spacing w:before="120" w:after="120"/>
        <w:ind w:firstLine="709"/>
        <w:jc w:val="both"/>
        <w:rPr>
          <w:rFonts w:eastAsia="Times New Roman" w:cs="Times New Roman"/>
          <w:color w:val="auto"/>
          <w:spacing w:val="3"/>
        </w:rPr>
      </w:pPr>
      <w:r w:rsidRPr="00DE12A3">
        <w:rPr>
          <w:rFonts w:eastAsia="Times New Roman" w:cs="Times New Roman"/>
          <w:color w:val="auto"/>
          <w:spacing w:val="3"/>
        </w:rPr>
        <w:t>(c)</w:t>
      </w:r>
      <w:r w:rsidR="0045371E" w:rsidRPr="00DE12A3">
        <w:rPr>
          <w:rFonts w:eastAsia="Times New Roman" w:cs="Times New Roman"/>
          <w:color w:val="auto"/>
          <w:spacing w:val="3"/>
        </w:rPr>
        <w:t xml:space="preserve"> </w:t>
      </w:r>
      <w:r w:rsidR="00242DA0" w:rsidRPr="00DE12A3">
        <w:rPr>
          <w:rFonts w:eastAsia="Times New Roman" w:cs="Times New Roman"/>
          <w:color w:val="auto"/>
          <w:spacing w:val="3"/>
        </w:rPr>
        <w:t xml:space="preserve">2.5 bendinde belirtilen </w:t>
      </w:r>
      <w:r w:rsidR="0053289F" w:rsidRPr="00DE12A3">
        <w:rPr>
          <w:rFonts w:eastAsia="Times New Roman" w:cs="Times New Roman"/>
          <w:color w:val="auto"/>
          <w:spacing w:val="3"/>
        </w:rPr>
        <w:t>gereklilikler</w:t>
      </w:r>
      <w:r w:rsidR="00242DA0" w:rsidRPr="00DE12A3">
        <w:rPr>
          <w:rFonts w:eastAsia="Times New Roman" w:cs="Times New Roman"/>
          <w:color w:val="auto"/>
          <w:spacing w:val="3"/>
        </w:rPr>
        <w:t xml:space="preserve"> uyarınca belirli bir yakıt ile çalışan motor.</w:t>
      </w:r>
    </w:p>
    <w:p w14:paraId="1ECBE246" w14:textId="67D99B3B" w:rsidR="00242DA0" w:rsidRPr="00DE12A3" w:rsidRDefault="00BA53D4" w:rsidP="00BA53D4">
      <w:pPr>
        <w:spacing w:before="120" w:after="120"/>
        <w:jc w:val="both"/>
        <w:rPr>
          <w:rFonts w:eastAsia="Times New Roman" w:cs="Times New Roman"/>
          <w:color w:val="auto"/>
          <w:spacing w:val="3"/>
        </w:rPr>
      </w:pPr>
      <w:r w:rsidRPr="00DE12A3">
        <w:rPr>
          <w:rFonts w:eastAsia="Times New Roman" w:cs="Times New Roman"/>
          <w:color w:val="auto"/>
          <w:spacing w:val="3"/>
        </w:rPr>
        <w:t>2.2.</w:t>
      </w:r>
      <w:r w:rsidR="00242DA0" w:rsidRPr="00DE12A3">
        <w:rPr>
          <w:rFonts w:eastAsia="Times New Roman" w:cs="Times New Roman"/>
          <w:color w:val="auto"/>
          <w:spacing w:val="3"/>
        </w:rPr>
        <w:t xml:space="preserve"> Doğal gaz/biyometan yakıtlı motorlar, LPG yakıtlı motorlar ve çift yakıtlı motorların AB tip onayına ilişkin </w:t>
      </w:r>
      <w:r w:rsidR="0053289F" w:rsidRPr="00DE12A3">
        <w:rPr>
          <w:rFonts w:eastAsia="Times New Roman" w:cs="Times New Roman"/>
          <w:color w:val="auto"/>
          <w:spacing w:val="3"/>
        </w:rPr>
        <w:t xml:space="preserve">gereklilikleri </w:t>
      </w:r>
      <w:r w:rsidR="00242DA0" w:rsidRPr="00DE12A3">
        <w:rPr>
          <w:rFonts w:eastAsia="Times New Roman" w:cs="Times New Roman"/>
          <w:color w:val="auto"/>
          <w:spacing w:val="3"/>
        </w:rPr>
        <w:t xml:space="preserve">özetleyen tablolar, </w:t>
      </w:r>
      <w:r w:rsidR="0007544E" w:rsidRPr="00DE12A3">
        <w:rPr>
          <w:rFonts w:eastAsia="Times New Roman" w:cs="Times New Roman"/>
          <w:color w:val="auto"/>
          <w:spacing w:val="3"/>
        </w:rPr>
        <w:t>1. Açıklayıcı Ek</w:t>
      </w:r>
      <w:r w:rsidR="00CC4905" w:rsidRPr="00DE12A3">
        <w:rPr>
          <w:rFonts w:eastAsia="Times New Roman" w:cs="Times New Roman"/>
          <w:color w:val="auto"/>
          <w:spacing w:val="3"/>
        </w:rPr>
        <w:t xml:space="preserve"> </w:t>
      </w:r>
      <w:r w:rsidR="00242DA0" w:rsidRPr="00DE12A3">
        <w:rPr>
          <w:rFonts w:eastAsia="Times New Roman" w:cs="Times New Roman"/>
          <w:color w:val="auto"/>
          <w:spacing w:val="3"/>
        </w:rPr>
        <w:t>içinde verilmiştir.</w:t>
      </w:r>
    </w:p>
    <w:p w14:paraId="0EB44D62" w14:textId="3CEDB402" w:rsidR="00242DA0" w:rsidRPr="00DE12A3" w:rsidRDefault="00BA53D4" w:rsidP="00BA53D4">
      <w:pPr>
        <w:spacing w:before="120" w:after="120"/>
        <w:jc w:val="both"/>
        <w:rPr>
          <w:rFonts w:eastAsia="Times New Roman" w:cs="Times New Roman"/>
          <w:color w:val="auto"/>
          <w:spacing w:val="3"/>
        </w:rPr>
      </w:pPr>
      <w:r w:rsidRPr="00DE12A3">
        <w:rPr>
          <w:rFonts w:eastAsia="Times New Roman" w:cs="Times New Roman"/>
          <w:color w:val="auto"/>
          <w:spacing w:val="3"/>
        </w:rPr>
        <w:t>2.3.</w:t>
      </w:r>
      <w:r w:rsidR="00242DA0" w:rsidRPr="00DE12A3">
        <w:rPr>
          <w:rFonts w:eastAsia="Times New Roman" w:cs="Times New Roman"/>
          <w:color w:val="auto"/>
          <w:spacing w:val="3"/>
        </w:rPr>
        <w:t xml:space="preserve"> Evrensel yakıt türleri ile çalışan bir motora ilişkin </w:t>
      </w:r>
      <w:r w:rsidR="0053289F" w:rsidRPr="00DE12A3">
        <w:rPr>
          <w:rFonts w:eastAsia="Times New Roman" w:cs="Times New Roman"/>
          <w:color w:val="auto"/>
          <w:spacing w:val="3"/>
        </w:rPr>
        <w:t>gereklilikler</w:t>
      </w:r>
    </w:p>
    <w:p w14:paraId="360953B0" w14:textId="7D021A21" w:rsidR="00242DA0" w:rsidRPr="00DE12A3" w:rsidRDefault="00BA53D4" w:rsidP="00BA53D4">
      <w:pPr>
        <w:spacing w:before="120" w:after="120"/>
        <w:ind w:firstLine="709"/>
        <w:jc w:val="both"/>
        <w:rPr>
          <w:rFonts w:eastAsia="Times New Roman" w:cs="Times New Roman"/>
          <w:color w:val="auto"/>
          <w:spacing w:val="3"/>
        </w:rPr>
      </w:pPr>
      <w:r w:rsidRPr="00DE12A3">
        <w:rPr>
          <w:rFonts w:eastAsia="Times New Roman" w:cs="Times New Roman"/>
          <w:color w:val="auto"/>
          <w:spacing w:val="3"/>
        </w:rPr>
        <w:t xml:space="preserve">2.3.1. </w:t>
      </w:r>
      <w:r w:rsidR="00242DA0" w:rsidRPr="00DE12A3">
        <w:rPr>
          <w:rFonts w:eastAsia="Times New Roman" w:cs="Times New Roman"/>
          <w:color w:val="auto"/>
          <w:spacing w:val="3"/>
        </w:rPr>
        <w:t xml:space="preserve">Çift yakıtlı motorlar da dahil olmak üzere, doğal gaz/biyometan ile çalışan motorlar için imalatçı ana motorun </w:t>
      </w:r>
      <w:r w:rsidR="00F61B7F" w:rsidRPr="00DE12A3">
        <w:rPr>
          <w:rFonts w:eastAsia="Times New Roman" w:cs="Times New Roman"/>
          <w:color w:val="auto"/>
          <w:spacing w:val="3"/>
        </w:rPr>
        <w:t>piyasa</w:t>
      </w:r>
      <w:r w:rsidR="00242DA0" w:rsidRPr="00DE12A3">
        <w:rPr>
          <w:rFonts w:eastAsia="Times New Roman" w:cs="Times New Roman"/>
          <w:color w:val="auto"/>
          <w:spacing w:val="3"/>
        </w:rPr>
        <w:t xml:space="preserve"> genelinde var olabilecek herhangi bir doğal gaz/biyometan bileşimine uyum sağlama kabiliyetini ispat etmelidir.</w:t>
      </w:r>
      <w:r w:rsidR="00B51D2F" w:rsidRPr="00DE12A3">
        <w:rPr>
          <w:rFonts w:eastAsia="Times New Roman" w:cs="Times New Roman"/>
          <w:color w:val="auto"/>
          <w:spacing w:val="3"/>
        </w:rPr>
        <w:t xml:space="preserve"> </w:t>
      </w:r>
      <w:r w:rsidR="00242DA0" w:rsidRPr="00DE12A3">
        <w:rPr>
          <w:rFonts w:eastAsia="Times New Roman" w:cs="Times New Roman"/>
          <w:color w:val="auto"/>
          <w:spacing w:val="3"/>
        </w:rPr>
        <w:t xml:space="preserve">Bu ispat, bu </w:t>
      </w:r>
      <w:r w:rsidR="00C93E76" w:rsidRPr="00DE12A3">
        <w:rPr>
          <w:rFonts w:eastAsia="Times New Roman" w:cs="Times New Roman"/>
          <w:color w:val="auto"/>
          <w:spacing w:val="3"/>
        </w:rPr>
        <w:t>Bölüm uyarınca</w:t>
      </w:r>
      <w:r w:rsidR="00242DA0" w:rsidRPr="00DE12A3">
        <w:rPr>
          <w:rFonts w:eastAsia="Times New Roman" w:cs="Times New Roman"/>
          <w:color w:val="auto"/>
          <w:spacing w:val="3"/>
        </w:rPr>
        <w:t xml:space="preserve"> ve çift yakıtlı motorlar durumunda, ayrıca </w:t>
      </w:r>
      <w:r w:rsidR="007F62FA" w:rsidRPr="00DE12A3">
        <w:rPr>
          <w:rFonts w:eastAsia="Times New Roman" w:cs="Times New Roman"/>
          <w:color w:val="auto"/>
          <w:spacing w:val="3"/>
        </w:rPr>
        <w:t xml:space="preserve">VIII’inci </w:t>
      </w:r>
      <w:r w:rsidR="00BB5F35" w:rsidRPr="00DE12A3">
        <w:rPr>
          <w:rFonts w:eastAsia="Times New Roman" w:cs="Times New Roman"/>
          <w:color w:val="auto"/>
          <w:spacing w:val="3"/>
        </w:rPr>
        <w:t>E</w:t>
      </w:r>
      <w:r w:rsidR="007F62FA" w:rsidRPr="00DE12A3">
        <w:rPr>
          <w:rFonts w:eastAsia="Times New Roman" w:cs="Times New Roman"/>
          <w:color w:val="auto"/>
          <w:spacing w:val="3"/>
        </w:rPr>
        <w:t>k</w:t>
      </w:r>
      <w:r w:rsidR="00242DA0" w:rsidRPr="00DE12A3">
        <w:rPr>
          <w:rFonts w:eastAsia="Times New Roman" w:cs="Times New Roman"/>
          <w:color w:val="auto"/>
          <w:spacing w:val="3"/>
        </w:rPr>
        <w:t>in 6.4 bendinde belirtilen yakıta uyum sağlama prosedürüne ilişkin ek hükümler uyarınca yapılır.</w:t>
      </w:r>
    </w:p>
    <w:p w14:paraId="1EDC4B6D" w14:textId="2339CFF7" w:rsidR="00242DA0" w:rsidRPr="00DE12A3" w:rsidRDefault="00BA53D4" w:rsidP="00BA53D4">
      <w:pPr>
        <w:spacing w:before="120" w:after="120"/>
        <w:ind w:firstLine="709"/>
        <w:jc w:val="both"/>
        <w:rPr>
          <w:rFonts w:eastAsia="Times New Roman" w:cs="Times New Roman"/>
          <w:color w:val="auto"/>
          <w:spacing w:val="3"/>
        </w:rPr>
      </w:pPr>
      <w:r w:rsidRPr="00DE12A3">
        <w:rPr>
          <w:rFonts w:eastAsia="Times New Roman" w:cs="Times New Roman"/>
          <w:color w:val="auto"/>
          <w:spacing w:val="3"/>
        </w:rPr>
        <w:t xml:space="preserve">2.3.1.1. </w:t>
      </w:r>
      <w:r w:rsidR="00242DA0" w:rsidRPr="00DE12A3">
        <w:rPr>
          <w:rFonts w:eastAsia="Times New Roman" w:cs="Times New Roman"/>
          <w:color w:val="auto"/>
          <w:spacing w:val="3"/>
        </w:rPr>
        <w:t>Sıkıştırılmış doğal gaz/biyometan (CNG) ile çalışan motorlar için genellikle iki tür yakıt bulunur</w:t>
      </w:r>
      <w:r w:rsidR="007751A1" w:rsidRPr="00DE12A3">
        <w:rPr>
          <w:rFonts w:eastAsia="Times New Roman" w:cs="Times New Roman"/>
          <w:color w:val="auto"/>
          <w:spacing w:val="3"/>
        </w:rPr>
        <w:t>;</w:t>
      </w:r>
      <w:r w:rsidR="00242DA0" w:rsidRPr="00DE12A3">
        <w:rPr>
          <w:rFonts w:eastAsia="Times New Roman" w:cs="Times New Roman"/>
          <w:color w:val="auto"/>
          <w:spacing w:val="3"/>
        </w:rPr>
        <w:t xml:space="preserve"> yüksek kalorili yakıt (H-gaz) ve düşük kalorili yakıt (L-gaz)</w:t>
      </w:r>
      <w:r w:rsidR="007751A1" w:rsidRPr="00DE12A3">
        <w:rPr>
          <w:rFonts w:eastAsia="Times New Roman" w:cs="Times New Roman"/>
          <w:color w:val="auto"/>
          <w:spacing w:val="3"/>
        </w:rPr>
        <w:t>. Ama</w:t>
      </w:r>
      <w:r w:rsidR="00242DA0" w:rsidRPr="00DE12A3">
        <w:rPr>
          <w:rFonts w:eastAsia="Times New Roman" w:cs="Times New Roman"/>
          <w:color w:val="auto"/>
          <w:spacing w:val="3"/>
        </w:rPr>
        <w:t xml:space="preserve"> her iki türde de belirgin bir çeşitlilik vardır; Wobbe endeksi ile ifade edilen enerji miktarları ve λ-</w:t>
      </w:r>
      <w:r w:rsidR="008750A9" w:rsidRPr="00DE12A3">
        <w:rPr>
          <w:rFonts w:eastAsia="Times New Roman" w:cs="Times New Roman"/>
          <w:color w:val="auto"/>
          <w:spacing w:val="3"/>
        </w:rPr>
        <w:t>değiştirme</w:t>
      </w:r>
      <w:r w:rsidR="00242DA0" w:rsidRPr="00DE12A3">
        <w:rPr>
          <w:rFonts w:eastAsia="Times New Roman" w:cs="Times New Roman"/>
          <w:color w:val="auto"/>
          <w:spacing w:val="3"/>
        </w:rPr>
        <w:t xml:space="preserve"> faktörleri (S</w:t>
      </w:r>
      <w:r w:rsidR="00242DA0" w:rsidRPr="00DE12A3">
        <w:rPr>
          <w:rFonts w:eastAsia="Times New Roman" w:cs="Times New Roman"/>
          <w:color w:val="auto"/>
          <w:spacing w:val="3"/>
          <w:vertAlign w:val="subscript"/>
        </w:rPr>
        <w:t>λ</w:t>
      </w:r>
      <w:r w:rsidR="00242DA0" w:rsidRPr="00DE12A3">
        <w:rPr>
          <w:rFonts w:eastAsia="Times New Roman" w:cs="Times New Roman"/>
          <w:color w:val="auto"/>
          <w:spacing w:val="3"/>
        </w:rPr>
        <w:t>) bakımından önemli ölçüde farklılık gösterirler.0,89 ile 1,08 arasında (0,89 ≤ S</w:t>
      </w:r>
      <w:r w:rsidR="00242DA0" w:rsidRPr="00DE12A3">
        <w:rPr>
          <w:rFonts w:eastAsia="Times New Roman" w:cs="Times New Roman"/>
          <w:color w:val="auto"/>
          <w:spacing w:val="3"/>
          <w:vertAlign w:val="subscript"/>
        </w:rPr>
        <w:t>λ</w:t>
      </w:r>
      <w:r w:rsidR="00242DA0" w:rsidRPr="00DE12A3">
        <w:rPr>
          <w:rFonts w:eastAsia="Times New Roman" w:cs="Times New Roman"/>
          <w:color w:val="auto"/>
          <w:spacing w:val="3"/>
        </w:rPr>
        <w:t xml:space="preserve"> ≤ 1,08) bir λ-</w:t>
      </w:r>
      <w:r w:rsidR="00C917D6" w:rsidRPr="00DE12A3">
        <w:rPr>
          <w:rFonts w:eastAsia="Times New Roman" w:cs="Times New Roman"/>
          <w:color w:val="auto"/>
          <w:spacing w:val="3"/>
        </w:rPr>
        <w:t>değiştirme faktörü</w:t>
      </w:r>
      <w:r w:rsidR="00242DA0" w:rsidRPr="00DE12A3">
        <w:rPr>
          <w:rFonts w:eastAsia="Times New Roman" w:cs="Times New Roman"/>
          <w:color w:val="auto"/>
          <w:spacing w:val="3"/>
        </w:rPr>
        <w:t>ne sahip doğal gazların H-aralığına girdiği kabul edilirken, 1,08 ile 1,19 arasında (1,08 ≤ S</w:t>
      </w:r>
      <w:r w:rsidR="00242DA0" w:rsidRPr="00DE12A3">
        <w:rPr>
          <w:rFonts w:eastAsia="Times New Roman" w:cs="Times New Roman"/>
          <w:color w:val="auto"/>
          <w:spacing w:val="3"/>
          <w:vertAlign w:val="subscript"/>
        </w:rPr>
        <w:t>λ</w:t>
      </w:r>
      <w:r w:rsidR="00242DA0" w:rsidRPr="00DE12A3">
        <w:rPr>
          <w:rFonts w:eastAsia="Times New Roman" w:cs="Times New Roman"/>
          <w:color w:val="auto"/>
          <w:spacing w:val="3"/>
        </w:rPr>
        <w:t xml:space="preserve"> ≤ 1,19) bir λ-</w:t>
      </w:r>
      <w:r w:rsidR="00C917D6" w:rsidRPr="00DE12A3">
        <w:rPr>
          <w:rFonts w:eastAsia="Times New Roman" w:cs="Times New Roman"/>
          <w:color w:val="auto"/>
          <w:spacing w:val="3"/>
        </w:rPr>
        <w:t>değiştirme faktörü</w:t>
      </w:r>
      <w:r w:rsidR="00242DA0" w:rsidRPr="00DE12A3">
        <w:rPr>
          <w:rFonts w:eastAsia="Times New Roman" w:cs="Times New Roman"/>
          <w:color w:val="auto"/>
          <w:spacing w:val="3"/>
        </w:rPr>
        <w:t>ne sahip doğal gazların L-aralığına girdiği kabul edilir. Referans yakıtların bileşimi, S</w:t>
      </w:r>
      <w:r w:rsidR="00242DA0" w:rsidRPr="00DE12A3">
        <w:rPr>
          <w:rFonts w:eastAsia="Times New Roman" w:cs="Times New Roman"/>
          <w:color w:val="auto"/>
          <w:spacing w:val="3"/>
          <w:vertAlign w:val="subscript"/>
        </w:rPr>
        <w:t>λ</w:t>
      </w:r>
      <w:r w:rsidR="00242DA0" w:rsidRPr="00DE12A3">
        <w:rPr>
          <w:rFonts w:eastAsia="Times New Roman" w:cs="Times New Roman"/>
          <w:color w:val="auto"/>
          <w:spacing w:val="3"/>
        </w:rPr>
        <w:t>'nın aşırı çeşitliliğini yansıtmaktadır.</w:t>
      </w:r>
    </w:p>
    <w:p w14:paraId="044648D4" w14:textId="29672CAC" w:rsidR="00242DA0" w:rsidRPr="00DE12A3" w:rsidRDefault="00242DA0" w:rsidP="00BA53D4">
      <w:pPr>
        <w:spacing w:before="120" w:after="120"/>
        <w:jc w:val="both"/>
        <w:rPr>
          <w:rFonts w:eastAsia="Times New Roman" w:cs="Times New Roman"/>
          <w:color w:val="auto"/>
          <w:spacing w:val="3"/>
        </w:rPr>
      </w:pPr>
      <w:r w:rsidRPr="00DE12A3">
        <w:rPr>
          <w:rFonts w:eastAsia="Times New Roman" w:cs="Times New Roman"/>
          <w:color w:val="auto"/>
          <w:spacing w:val="3"/>
        </w:rPr>
        <w:t xml:space="preserve">Ana motor, iki test arasında motor yakıt alma sisteminde herhangi bir manuel yeniden ayarlama yapılmadan (kendinden uyum sağlama gereklidir), bu </w:t>
      </w:r>
      <w:r w:rsidR="00C93E76" w:rsidRPr="00DE12A3">
        <w:rPr>
          <w:rFonts w:eastAsia="Times New Roman" w:cs="Times New Roman"/>
          <w:color w:val="auto"/>
          <w:spacing w:val="3"/>
        </w:rPr>
        <w:t>T</w:t>
      </w:r>
      <w:r w:rsidR="00EE5D5E" w:rsidRPr="00DE12A3">
        <w:rPr>
          <w:rFonts w:eastAsia="Times New Roman" w:cs="Times New Roman"/>
          <w:color w:val="auto"/>
          <w:spacing w:val="3"/>
        </w:rPr>
        <w:t>ebliğin</w:t>
      </w:r>
      <w:r w:rsidRPr="00DE12A3">
        <w:rPr>
          <w:rFonts w:eastAsia="Times New Roman" w:cs="Times New Roman"/>
          <w:color w:val="auto"/>
          <w:spacing w:val="3"/>
        </w:rPr>
        <w:t xml:space="preserve"> IX</w:t>
      </w:r>
      <w:r w:rsidR="00EE5D5E" w:rsidRPr="00DE12A3">
        <w:rPr>
          <w:rFonts w:eastAsia="Times New Roman" w:cs="Times New Roman"/>
          <w:color w:val="auto"/>
          <w:spacing w:val="3"/>
        </w:rPr>
        <w:t>’uncu</w:t>
      </w:r>
      <w:r w:rsidRPr="00DE12A3">
        <w:rPr>
          <w:rFonts w:eastAsia="Times New Roman" w:cs="Times New Roman"/>
          <w:color w:val="auto"/>
          <w:spacing w:val="3"/>
        </w:rPr>
        <w:t xml:space="preserve"> </w:t>
      </w:r>
      <w:r w:rsidR="00EC3EF0" w:rsidRPr="00DE12A3">
        <w:rPr>
          <w:rFonts w:eastAsia="Times New Roman" w:cs="Times New Roman"/>
          <w:color w:val="auto"/>
          <w:spacing w:val="3"/>
        </w:rPr>
        <w:t>Ekinde</w:t>
      </w:r>
      <w:r w:rsidRPr="00DE12A3">
        <w:rPr>
          <w:rFonts w:eastAsia="Times New Roman" w:cs="Times New Roman"/>
          <w:color w:val="auto"/>
          <w:spacing w:val="3"/>
        </w:rPr>
        <w:t xml:space="preserve"> </w:t>
      </w:r>
      <w:r w:rsidRPr="00DE12A3">
        <w:rPr>
          <w:rFonts w:eastAsia="Times New Roman" w:cs="Times New Roman"/>
          <w:color w:val="auto"/>
          <w:spacing w:val="3"/>
        </w:rPr>
        <w:lastRenderedPageBreak/>
        <w:t>belirtilen referans yakıtlar G</w:t>
      </w:r>
      <w:r w:rsidRPr="00DE12A3">
        <w:rPr>
          <w:rFonts w:eastAsia="Times New Roman" w:cs="Times New Roman"/>
          <w:color w:val="auto"/>
          <w:spacing w:val="3"/>
          <w:vertAlign w:val="subscript"/>
        </w:rPr>
        <w:t>R</w:t>
      </w:r>
      <w:r w:rsidRPr="00DE12A3">
        <w:rPr>
          <w:rFonts w:eastAsia="Times New Roman" w:cs="Times New Roman"/>
          <w:color w:val="auto"/>
          <w:spacing w:val="3"/>
        </w:rPr>
        <w:t xml:space="preserve"> (yakıt 1) ve G</w:t>
      </w:r>
      <w:r w:rsidRPr="00DE12A3">
        <w:rPr>
          <w:rFonts w:eastAsia="Times New Roman" w:cs="Times New Roman"/>
          <w:color w:val="auto"/>
          <w:spacing w:val="3"/>
          <w:vertAlign w:val="subscript"/>
        </w:rPr>
        <w:t>25</w:t>
      </w:r>
      <w:r w:rsidRPr="00DE12A3">
        <w:rPr>
          <w:rFonts w:eastAsia="Times New Roman" w:cs="Times New Roman"/>
          <w:color w:val="auto"/>
          <w:spacing w:val="3"/>
        </w:rPr>
        <w:t xml:space="preserve"> (yakıt 2) veya IX</w:t>
      </w:r>
      <w:r w:rsidR="00EE5D5E" w:rsidRPr="00DE12A3">
        <w:rPr>
          <w:rFonts w:eastAsia="Times New Roman" w:cs="Times New Roman"/>
          <w:color w:val="auto"/>
          <w:spacing w:val="3"/>
        </w:rPr>
        <w:t xml:space="preserve">’uncu </w:t>
      </w:r>
      <w:r w:rsidR="007751A1" w:rsidRPr="00DE12A3">
        <w:rPr>
          <w:rFonts w:eastAsia="Times New Roman" w:cs="Times New Roman"/>
          <w:color w:val="auto"/>
          <w:spacing w:val="3"/>
        </w:rPr>
        <w:t>E</w:t>
      </w:r>
      <w:r w:rsidRPr="00DE12A3">
        <w:rPr>
          <w:rFonts w:eastAsia="Times New Roman" w:cs="Times New Roman"/>
          <w:color w:val="auto"/>
          <w:spacing w:val="3"/>
        </w:rPr>
        <w:t xml:space="preserve">kin 1. Açıklamalı Ekinde belirtilen boruhattı gazının diğer gazlarla karışımlarını kullanılarak oluşturulan eşdeğer yakıtlar ile ilgili </w:t>
      </w:r>
      <w:r w:rsidR="0053289F" w:rsidRPr="00DE12A3">
        <w:rPr>
          <w:rFonts w:eastAsia="Times New Roman" w:cs="Times New Roman"/>
          <w:color w:val="auto"/>
          <w:spacing w:val="3"/>
        </w:rPr>
        <w:t>gerekliliklerini</w:t>
      </w:r>
      <w:r w:rsidRPr="00DE12A3">
        <w:rPr>
          <w:rFonts w:eastAsia="Times New Roman" w:cs="Times New Roman"/>
          <w:color w:val="auto"/>
          <w:spacing w:val="3"/>
        </w:rPr>
        <w:t xml:space="preserve"> sağlamalıdır. Yakıt değişiminden sonra bir uyum sağlama çalışmasına izin verilir. Uyum sağlama çalışması, ilgili test </w:t>
      </w:r>
      <w:r w:rsidR="00951351" w:rsidRPr="00DE12A3">
        <w:rPr>
          <w:rFonts w:eastAsia="Times New Roman" w:cs="Times New Roman"/>
          <w:color w:val="auto"/>
          <w:spacing w:val="3"/>
        </w:rPr>
        <w:t>çevrimi</w:t>
      </w:r>
      <w:r w:rsidRPr="00DE12A3">
        <w:rPr>
          <w:rFonts w:eastAsia="Times New Roman" w:cs="Times New Roman"/>
          <w:color w:val="auto"/>
          <w:spacing w:val="3"/>
        </w:rPr>
        <w:t xml:space="preserve">ne göre sonraki emisyon testi için ön koşullandırma yapılmasından ibarettir. Karayolu dışında </w:t>
      </w:r>
      <w:r w:rsidR="00951351" w:rsidRPr="00DE12A3">
        <w:rPr>
          <w:rFonts w:eastAsia="Times New Roman" w:cs="Times New Roman"/>
          <w:color w:val="auto"/>
          <w:spacing w:val="3"/>
        </w:rPr>
        <w:t xml:space="preserve">  kararlı </w:t>
      </w:r>
      <w:r w:rsidR="00977983" w:rsidRPr="00DE12A3">
        <w:rPr>
          <w:rFonts w:eastAsia="Times New Roman" w:cs="Times New Roman"/>
          <w:color w:val="auto"/>
          <w:spacing w:val="3"/>
        </w:rPr>
        <w:t>durum testi</w:t>
      </w:r>
      <w:r w:rsidRPr="00DE12A3">
        <w:rPr>
          <w:rFonts w:eastAsia="Times New Roman" w:cs="Times New Roman"/>
          <w:color w:val="auto"/>
          <w:spacing w:val="3"/>
        </w:rPr>
        <w:t xml:space="preserve"> </w:t>
      </w:r>
      <w:r w:rsidR="00F310B5" w:rsidRPr="00DE12A3">
        <w:rPr>
          <w:rFonts w:eastAsia="Times New Roman" w:cs="Times New Roman"/>
          <w:color w:val="auto"/>
          <w:spacing w:val="3"/>
        </w:rPr>
        <w:t>çevrim</w:t>
      </w:r>
      <w:r w:rsidRPr="00DE12A3">
        <w:rPr>
          <w:rFonts w:eastAsia="Times New Roman" w:cs="Times New Roman"/>
          <w:color w:val="auto"/>
          <w:spacing w:val="3"/>
        </w:rPr>
        <w:t xml:space="preserve">lerinde ("NRSC") test edilen motorlar durumunda, ön koşullandırma </w:t>
      </w:r>
      <w:r w:rsidR="00977983" w:rsidRPr="00DE12A3">
        <w:rPr>
          <w:rFonts w:eastAsia="Times New Roman" w:cs="Times New Roman"/>
          <w:color w:val="auto"/>
          <w:spacing w:val="3"/>
        </w:rPr>
        <w:t>çevrimi motorun</w:t>
      </w:r>
      <w:r w:rsidRPr="00DE12A3">
        <w:rPr>
          <w:rFonts w:eastAsia="Times New Roman" w:cs="Times New Roman"/>
          <w:color w:val="auto"/>
          <w:spacing w:val="3"/>
        </w:rPr>
        <w:t xml:space="preserve"> yakıt alımının kendinden uyumu için yetersiz olduğunda, motor ön koşullandırılmadan önce imalatçı tarafından belirtilen alternatif bir uyum sağlama çalışması gerçekleştirilebilir.</w:t>
      </w:r>
    </w:p>
    <w:p w14:paraId="17649149" w14:textId="2815DFA2" w:rsidR="00242DA0" w:rsidRPr="00DE12A3" w:rsidRDefault="00BA53D4" w:rsidP="00BA53D4">
      <w:pPr>
        <w:spacing w:before="120" w:after="120"/>
        <w:ind w:firstLine="709"/>
        <w:jc w:val="both"/>
        <w:rPr>
          <w:rFonts w:eastAsia="Times New Roman" w:cs="Times New Roman"/>
          <w:color w:val="auto"/>
          <w:spacing w:val="3"/>
        </w:rPr>
      </w:pPr>
      <w:r w:rsidRPr="00DE12A3">
        <w:rPr>
          <w:rFonts w:eastAsia="Times New Roman" w:cs="Times New Roman"/>
          <w:color w:val="auto"/>
          <w:spacing w:val="3"/>
        </w:rPr>
        <w:t>2.3.1.1.1.</w:t>
      </w:r>
      <w:r w:rsidR="0045371E" w:rsidRPr="00DE12A3">
        <w:rPr>
          <w:rFonts w:eastAsia="Times New Roman" w:cs="Times New Roman"/>
          <w:color w:val="auto"/>
          <w:spacing w:val="3"/>
        </w:rPr>
        <w:t xml:space="preserve"> </w:t>
      </w:r>
      <w:r w:rsidR="00242DA0" w:rsidRPr="00DE12A3">
        <w:rPr>
          <w:rFonts w:eastAsia="Times New Roman" w:cs="Times New Roman"/>
          <w:color w:val="auto"/>
          <w:spacing w:val="3"/>
        </w:rPr>
        <w:t>λ-</w:t>
      </w:r>
      <w:r w:rsidR="00C917D6" w:rsidRPr="00DE12A3">
        <w:rPr>
          <w:rFonts w:eastAsia="Times New Roman" w:cs="Times New Roman"/>
          <w:color w:val="auto"/>
          <w:spacing w:val="3"/>
        </w:rPr>
        <w:t>değiştirme faktörü</w:t>
      </w:r>
      <w:r w:rsidR="00242DA0" w:rsidRPr="00DE12A3">
        <w:rPr>
          <w:rFonts w:eastAsia="Times New Roman" w:cs="Times New Roman"/>
          <w:color w:val="auto"/>
          <w:spacing w:val="3"/>
        </w:rPr>
        <w:t xml:space="preserve"> (S</w:t>
      </w:r>
      <w:r w:rsidR="00242DA0" w:rsidRPr="00DE12A3">
        <w:rPr>
          <w:rFonts w:eastAsia="Times New Roman" w:cs="Times New Roman"/>
          <w:color w:val="auto"/>
          <w:spacing w:val="3"/>
          <w:vertAlign w:val="subscript"/>
        </w:rPr>
        <w:t>λ</w:t>
      </w:r>
      <w:r w:rsidR="00242DA0" w:rsidRPr="00DE12A3">
        <w:rPr>
          <w:rFonts w:eastAsia="Times New Roman" w:cs="Times New Roman"/>
          <w:color w:val="auto"/>
          <w:spacing w:val="3"/>
        </w:rPr>
        <w:t>) 0,89 (GR'nin alt aralığı) ile 1,19 (G</w:t>
      </w:r>
      <w:r w:rsidR="00242DA0" w:rsidRPr="00DE12A3">
        <w:rPr>
          <w:rFonts w:eastAsia="Times New Roman" w:cs="Times New Roman"/>
          <w:color w:val="auto"/>
          <w:spacing w:val="3"/>
          <w:vertAlign w:val="subscript"/>
        </w:rPr>
        <w:t>25</w:t>
      </w:r>
      <w:r w:rsidR="00242DA0" w:rsidRPr="00DE12A3">
        <w:rPr>
          <w:rFonts w:eastAsia="Times New Roman" w:cs="Times New Roman"/>
          <w:color w:val="auto"/>
          <w:spacing w:val="3"/>
        </w:rPr>
        <w:t>'in üst aralığı) arasındaysa, örneğin yakıt 3 bir piyasa yakıtı olduğunda, imalatçı motoru üçüncü bir yakıtla (yakıt 3) test edebilir.</w:t>
      </w:r>
      <w:r w:rsidR="00A60A9C" w:rsidRPr="00DE12A3">
        <w:rPr>
          <w:rFonts w:eastAsia="Times New Roman" w:cs="Times New Roman"/>
          <w:color w:val="auto"/>
          <w:spacing w:val="3"/>
        </w:rPr>
        <w:t xml:space="preserve"> </w:t>
      </w:r>
      <w:r w:rsidR="00242DA0" w:rsidRPr="00DE12A3">
        <w:rPr>
          <w:rFonts w:eastAsia="Times New Roman" w:cs="Times New Roman"/>
          <w:color w:val="auto"/>
          <w:spacing w:val="3"/>
        </w:rPr>
        <w:t>Bu testin sonuçları üretimin uygunluğunun değerlendirilmesi için bir temel olarak kullanılabilir.</w:t>
      </w:r>
    </w:p>
    <w:p w14:paraId="08264DB4" w14:textId="76297FFF" w:rsidR="002D7B36" w:rsidRPr="00DE12A3" w:rsidRDefault="00A60A9C" w:rsidP="00A60A9C">
      <w:pPr>
        <w:spacing w:before="120" w:after="120"/>
        <w:ind w:firstLine="709"/>
        <w:jc w:val="both"/>
        <w:rPr>
          <w:rFonts w:eastAsia="Times New Roman" w:cs="Times New Roman"/>
          <w:color w:val="auto"/>
          <w:spacing w:val="3"/>
        </w:rPr>
      </w:pPr>
      <w:r w:rsidRPr="00DE12A3">
        <w:rPr>
          <w:rFonts w:eastAsia="Times New Roman" w:cs="Times New Roman"/>
          <w:color w:val="auto"/>
          <w:spacing w:val="3"/>
        </w:rPr>
        <w:t xml:space="preserve">2.3.1.2. </w:t>
      </w:r>
      <w:r w:rsidR="00242DA0" w:rsidRPr="00DE12A3">
        <w:rPr>
          <w:rFonts w:eastAsia="Times New Roman" w:cs="Times New Roman"/>
          <w:color w:val="auto"/>
          <w:spacing w:val="3"/>
        </w:rPr>
        <w:t xml:space="preserve">Sıvılaştırılmış doğal gaz/sıvılaştırılmış biyometan (LNG) ile yakıt verilen motorlar için ana motor, iki test arasında motor yakıt alma sisteminde herhangi bir manuel yeniden ayarlama yapılmaksızın (kendinden uyum sağlama gereklidir), </w:t>
      </w:r>
      <w:r w:rsidR="00EE5D5E" w:rsidRPr="00DE12A3">
        <w:rPr>
          <w:rFonts w:eastAsia="Times New Roman" w:cs="Times New Roman"/>
          <w:color w:val="auto"/>
          <w:spacing w:val="3"/>
        </w:rPr>
        <w:t xml:space="preserve">bu </w:t>
      </w:r>
      <w:r w:rsidR="00677435" w:rsidRPr="00DE12A3">
        <w:rPr>
          <w:rFonts w:eastAsia="Times New Roman" w:cs="Times New Roman"/>
          <w:color w:val="auto"/>
          <w:spacing w:val="3"/>
        </w:rPr>
        <w:t>T</w:t>
      </w:r>
      <w:r w:rsidR="00EE5D5E" w:rsidRPr="00DE12A3">
        <w:rPr>
          <w:rFonts w:eastAsia="Times New Roman" w:cs="Times New Roman"/>
          <w:color w:val="auto"/>
          <w:spacing w:val="3"/>
        </w:rPr>
        <w:t>ebliğin</w:t>
      </w:r>
      <w:r w:rsidR="00242DA0" w:rsidRPr="00DE12A3">
        <w:rPr>
          <w:rFonts w:eastAsia="Times New Roman" w:cs="Times New Roman"/>
          <w:color w:val="auto"/>
          <w:spacing w:val="3"/>
        </w:rPr>
        <w:t xml:space="preserve"> IX</w:t>
      </w:r>
      <w:r w:rsidR="00EE5D5E" w:rsidRPr="00DE12A3">
        <w:rPr>
          <w:rFonts w:eastAsia="Times New Roman" w:cs="Times New Roman"/>
          <w:color w:val="auto"/>
          <w:spacing w:val="3"/>
        </w:rPr>
        <w:t xml:space="preserve">’uncu </w:t>
      </w:r>
      <w:r w:rsidR="00677435" w:rsidRPr="00DE12A3">
        <w:rPr>
          <w:rFonts w:eastAsia="Times New Roman" w:cs="Times New Roman"/>
          <w:color w:val="auto"/>
          <w:spacing w:val="3"/>
        </w:rPr>
        <w:t>E</w:t>
      </w:r>
      <w:r w:rsidR="00242DA0" w:rsidRPr="00DE12A3">
        <w:rPr>
          <w:rFonts w:eastAsia="Times New Roman" w:cs="Times New Roman"/>
          <w:color w:val="auto"/>
          <w:spacing w:val="3"/>
        </w:rPr>
        <w:t>k</w:t>
      </w:r>
      <w:r w:rsidR="00811F2B" w:rsidRPr="00DE12A3">
        <w:rPr>
          <w:rFonts w:eastAsia="Times New Roman" w:cs="Times New Roman"/>
          <w:color w:val="auto"/>
          <w:spacing w:val="3"/>
        </w:rPr>
        <w:t>inde</w:t>
      </w:r>
      <w:r w:rsidR="00242DA0" w:rsidRPr="00DE12A3">
        <w:rPr>
          <w:rFonts w:eastAsia="Times New Roman" w:cs="Times New Roman"/>
          <w:color w:val="auto"/>
          <w:spacing w:val="3"/>
        </w:rPr>
        <w:t xml:space="preserve"> belirtilen referans yakıtlar G</w:t>
      </w:r>
      <w:r w:rsidR="00242DA0" w:rsidRPr="00DE12A3">
        <w:rPr>
          <w:rFonts w:eastAsia="Times New Roman" w:cs="Times New Roman"/>
          <w:color w:val="auto"/>
          <w:spacing w:val="3"/>
          <w:vertAlign w:val="subscript"/>
        </w:rPr>
        <w:t>R</w:t>
      </w:r>
      <w:r w:rsidR="00242DA0" w:rsidRPr="00DE12A3">
        <w:rPr>
          <w:rFonts w:eastAsia="Times New Roman" w:cs="Times New Roman"/>
          <w:color w:val="auto"/>
          <w:spacing w:val="3"/>
        </w:rPr>
        <w:t xml:space="preserve"> (yakıt 1) ve G</w:t>
      </w:r>
      <w:r w:rsidR="00242DA0" w:rsidRPr="00DE12A3">
        <w:rPr>
          <w:rFonts w:eastAsia="Times New Roman" w:cs="Times New Roman"/>
          <w:color w:val="auto"/>
          <w:spacing w:val="3"/>
          <w:vertAlign w:val="subscript"/>
        </w:rPr>
        <w:t>20</w:t>
      </w:r>
      <w:r w:rsidR="00242DA0" w:rsidRPr="00DE12A3">
        <w:rPr>
          <w:rFonts w:eastAsia="Times New Roman" w:cs="Times New Roman"/>
          <w:color w:val="auto"/>
          <w:spacing w:val="3"/>
        </w:rPr>
        <w:t xml:space="preserve"> (yakıt 2) veya </w:t>
      </w:r>
      <w:r w:rsidR="00EE5D5E" w:rsidRPr="00DE12A3">
        <w:rPr>
          <w:rFonts w:eastAsia="Times New Roman" w:cs="Times New Roman"/>
          <w:color w:val="auto"/>
          <w:spacing w:val="3"/>
        </w:rPr>
        <w:t xml:space="preserve">IX’uncu </w:t>
      </w:r>
      <w:r w:rsidR="00677435" w:rsidRPr="00DE12A3">
        <w:rPr>
          <w:rFonts w:eastAsia="Times New Roman" w:cs="Times New Roman"/>
          <w:color w:val="auto"/>
          <w:spacing w:val="3"/>
        </w:rPr>
        <w:t>E</w:t>
      </w:r>
      <w:r w:rsidR="00EE5D5E" w:rsidRPr="00DE12A3">
        <w:rPr>
          <w:rFonts w:eastAsia="Times New Roman" w:cs="Times New Roman"/>
          <w:color w:val="auto"/>
          <w:spacing w:val="3"/>
        </w:rPr>
        <w:t xml:space="preserve">kin  </w:t>
      </w:r>
      <w:r w:rsidR="00242DA0" w:rsidRPr="00DE12A3">
        <w:rPr>
          <w:rFonts w:eastAsia="Times New Roman" w:cs="Times New Roman"/>
          <w:color w:val="auto"/>
          <w:spacing w:val="3"/>
        </w:rPr>
        <w:t>1. Açıklamalı Ekinde belirtilen boruhattı gazının diğer gazlar</w:t>
      </w:r>
      <w:r w:rsidR="00811F2B" w:rsidRPr="00DE12A3">
        <w:rPr>
          <w:rFonts w:eastAsia="Times New Roman" w:cs="Times New Roman"/>
          <w:color w:val="auto"/>
          <w:spacing w:val="3"/>
        </w:rPr>
        <w:t>ıy</w:t>
      </w:r>
      <w:r w:rsidR="00242DA0" w:rsidRPr="00DE12A3">
        <w:rPr>
          <w:rFonts w:eastAsia="Times New Roman" w:cs="Times New Roman"/>
          <w:color w:val="auto"/>
          <w:spacing w:val="3"/>
        </w:rPr>
        <w:t xml:space="preserve">la karışımları kullanılarak oluşturulan eşdeğer yakıtlar ile ilgili </w:t>
      </w:r>
      <w:r w:rsidR="0053289F" w:rsidRPr="00DE12A3">
        <w:rPr>
          <w:rFonts w:eastAsia="Times New Roman" w:cs="Times New Roman"/>
          <w:color w:val="auto"/>
          <w:spacing w:val="3"/>
        </w:rPr>
        <w:t xml:space="preserve">gerekliliklerini </w:t>
      </w:r>
      <w:r w:rsidR="00242DA0" w:rsidRPr="00DE12A3">
        <w:rPr>
          <w:rFonts w:eastAsia="Times New Roman" w:cs="Times New Roman"/>
          <w:color w:val="auto"/>
          <w:spacing w:val="3"/>
        </w:rPr>
        <w:t xml:space="preserve">sağlamalıdır. Yakıt değişiminden sonra bir uyum sağlama çalışmasına izin verilir. Uyum sağlama çalışması, ilgili test </w:t>
      </w:r>
      <w:r w:rsidR="00951351" w:rsidRPr="00DE12A3">
        <w:rPr>
          <w:rFonts w:eastAsia="Times New Roman" w:cs="Times New Roman"/>
          <w:color w:val="auto"/>
          <w:spacing w:val="3"/>
        </w:rPr>
        <w:t>çevrimi</w:t>
      </w:r>
      <w:r w:rsidR="00242DA0" w:rsidRPr="00DE12A3">
        <w:rPr>
          <w:rFonts w:eastAsia="Times New Roman" w:cs="Times New Roman"/>
          <w:color w:val="auto"/>
          <w:spacing w:val="3"/>
        </w:rPr>
        <w:t xml:space="preserve">ne göre sonraki emisyon testi için ön koşullandırma yapılmasından ibarettir. NRSC'de test edilen motorlar durumunda, ön koşullandırma </w:t>
      </w:r>
      <w:r w:rsidR="00977983" w:rsidRPr="00DE12A3">
        <w:rPr>
          <w:rFonts w:eastAsia="Times New Roman" w:cs="Times New Roman"/>
          <w:color w:val="auto"/>
          <w:spacing w:val="3"/>
        </w:rPr>
        <w:t>çevrimi motorun</w:t>
      </w:r>
      <w:r w:rsidR="00242DA0" w:rsidRPr="00DE12A3">
        <w:rPr>
          <w:rFonts w:eastAsia="Times New Roman" w:cs="Times New Roman"/>
          <w:color w:val="auto"/>
          <w:spacing w:val="3"/>
        </w:rPr>
        <w:t xml:space="preserve"> yakıt alımının kendinden uyumu için yetersiz olduğunda, motor ön koşullandırılmadan önce imalatçı tarafından belirtilen alternatif bir uyum sağlama çalışması gerçekleştirilebilir.</w:t>
      </w:r>
    </w:p>
    <w:p w14:paraId="407F9E00" w14:textId="74A0CEFD" w:rsidR="002D7B36" w:rsidRPr="00DE12A3" w:rsidRDefault="007F3E08" w:rsidP="007F3E08">
      <w:pPr>
        <w:spacing w:before="120" w:after="120"/>
        <w:ind w:firstLine="709"/>
        <w:jc w:val="both"/>
        <w:rPr>
          <w:rFonts w:eastAsia="Times New Roman" w:cs="Times New Roman"/>
          <w:color w:val="auto"/>
          <w:spacing w:val="3"/>
        </w:rPr>
      </w:pPr>
      <w:r w:rsidRPr="00DE12A3">
        <w:rPr>
          <w:rFonts w:eastAsia="Times New Roman" w:cs="Times New Roman"/>
          <w:color w:val="auto"/>
          <w:spacing w:val="3"/>
        </w:rPr>
        <w:t>2.3.2.</w:t>
      </w:r>
      <w:r w:rsidR="0045371E" w:rsidRPr="00DE12A3">
        <w:rPr>
          <w:rFonts w:eastAsia="Times New Roman" w:cs="Times New Roman"/>
          <w:color w:val="auto"/>
          <w:spacing w:val="3"/>
        </w:rPr>
        <w:t xml:space="preserve"> </w:t>
      </w:r>
      <w:r w:rsidR="00242DA0" w:rsidRPr="00DE12A3">
        <w:rPr>
          <w:rFonts w:eastAsia="Times New Roman" w:cs="Times New Roman"/>
          <w:color w:val="auto"/>
          <w:spacing w:val="3"/>
        </w:rPr>
        <w:t>Bir yandan H-gaz aralığına ve diğer yandan L-gaz aralığına kendinden uyumlu olan ve H-aralığı ile L-aralığı arasında bir anahtar vasıtasıyla geçiş yapan, sıkıştırılmış doğal gaz/biyometan (CNG) ile çalışan motorlar için, ana motor anahtarın her konumu için IX</w:t>
      </w:r>
      <w:r w:rsidR="00EE5D5E" w:rsidRPr="00DE12A3">
        <w:rPr>
          <w:rFonts w:eastAsia="Times New Roman" w:cs="Times New Roman"/>
          <w:color w:val="auto"/>
          <w:spacing w:val="3"/>
        </w:rPr>
        <w:t xml:space="preserve">’uncu </w:t>
      </w:r>
      <w:r w:rsidR="00677435" w:rsidRPr="00DE12A3">
        <w:rPr>
          <w:rFonts w:eastAsia="Times New Roman" w:cs="Times New Roman"/>
          <w:color w:val="auto"/>
          <w:spacing w:val="3"/>
        </w:rPr>
        <w:t>E</w:t>
      </w:r>
      <w:r w:rsidR="00242DA0" w:rsidRPr="00DE12A3">
        <w:rPr>
          <w:rFonts w:eastAsia="Times New Roman" w:cs="Times New Roman"/>
          <w:color w:val="auto"/>
          <w:spacing w:val="3"/>
        </w:rPr>
        <w:t>kte belirtilen ilgili referans yakıtı ile test edilir. Yakıtlar, H-gaz aralığı için G</w:t>
      </w:r>
      <w:r w:rsidR="00242DA0" w:rsidRPr="00DE12A3">
        <w:rPr>
          <w:rFonts w:eastAsia="Times New Roman" w:cs="Times New Roman"/>
          <w:color w:val="auto"/>
          <w:spacing w:val="3"/>
          <w:vertAlign w:val="subscript"/>
        </w:rPr>
        <w:t>R</w:t>
      </w:r>
      <w:r w:rsidR="00242DA0" w:rsidRPr="00DE12A3">
        <w:rPr>
          <w:rFonts w:eastAsia="Times New Roman" w:cs="Times New Roman"/>
          <w:color w:val="auto"/>
          <w:spacing w:val="3"/>
        </w:rPr>
        <w:t xml:space="preserve"> (yakıt 1) ve G</w:t>
      </w:r>
      <w:r w:rsidR="00242DA0" w:rsidRPr="00DE12A3">
        <w:rPr>
          <w:rFonts w:eastAsia="Times New Roman" w:cs="Times New Roman"/>
          <w:color w:val="auto"/>
          <w:spacing w:val="3"/>
          <w:vertAlign w:val="subscript"/>
        </w:rPr>
        <w:t>23</w:t>
      </w:r>
      <w:r w:rsidR="00242DA0" w:rsidRPr="00DE12A3">
        <w:rPr>
          <w:rFonts w:eastAsia="Times New Roman" w:cs="Times New Roman"/>
          <w:color w:val="auto"/>
          <w:spacing w:val="3"/>
        </w:rPr>
        <w:t xml:space="preserve"> (yakıt 3) ve L-gaz aralığı için G</w:t>
      </w:r>
      <w:r w:rsidR="00242DA0" w:rsidRPr="00DE12A3">
        <w:rPr>
          <w:rFonts w:eastAsia="Times New Roman" w:cs="Times New Roman"/>
          <w:color w:val="auto"/>
          <w:spacing w:val="3"/>
          <w:vertAlign w:val="subscript"/>
        </w:rPr>
        <w:t>25</w:t>
      </w:r>
      <w:r w:rsidR="00242DA0" w:rsidRPr="00DE12A3">
        <w:rPr>
          <w:rFonts w:eastAsia="Times New Roman" w:cs="Times New Roman"/>
          <w:color w:val="auto"/>
          <w:spacing w:val="3"/>
        </w:rPr>
        <w:t xml:space="preserve"> (yakıt 2) ve G</w:t>
      </w:r>
      <w:r w:rsidR="00242DA0" w:rsidRPr="00DE12A3">
        <w:rPr>
          <w:rFonts w:eastAsia="Times New Roman" w:cs="Times New Roman"/>
          <w:color w:val="auto"/>
          <w:spacing w:val="3"/>
          <w:vertAlign w:val="subscript"/>
        </w:rPr>
        <w:t>23</w:t>
      </w:r>
      <w:r w:rsidR="00242DA0" w:rsidRPr="00DE12A3">
        <w:rPr>
          <w:rFonts w:eastAsia="Times New Roman" w:cs="Times New Roman"/>
          <w:color w:val="auto"/>
          <w:spacing w:val="3"/>
        </w:rPr>
        <w:t xml:space="preserve"> (yakıt 3) ya da </w:t>
      </w:r>
      <w:r w:rsidR="00EE5D5E" w:rsidRPr="00DE12A3">
        <w:rPr>
          <w:rFonts w:eastAsia="Times New Roman" w:cs="Times New Roman"/>
          <w:color w:val="auto"/>
          <w:spacing w:val="3"/>
        </w:rPr>
        <w:t xml:space="preserve">IX’uncu </w:t>
      </w:r>
      <w:r w:rsidR="00EC3EF0" w:rsidRPr="00DE12A3">
        <w:rPr>
          <w:rFonts w:eastAsia="Times New Roman" w:cs="Times New Roman"/>
          <w:color w:val="auto"/>
          <w:spacing w:val="3"/>
        </w:rPr>
        <w:t>E</w:t>
      </w:r>
      <w:r w:rsidR="00977983" w:rsidRPr="00DE12A3">
        <w:rPr>
          <w:rFonts w:eastAsia="Times New Roman" w:cs="Times New Roman"/>
          <w:color w:val="auto"/>
          <w:spacing w:val="3"/>
        </w:rPr>
        <w:t>kin 1.</w:t>
      </w:r>
      <w:r w:rsidR="00242DA0" w:rsidRPr="00DE12A3">
        <w:rPr>
          <w:rFonts w:eastAsia="Times New Roman" w:cs="Times New Roman"/>
          <w:color w:val="auto"/>
          <w:spacing w:val="3"/>
        </w:rPr>
        <w:t xml:space="preserve"> Açıklamalı Ekinde belirtilen boru hattı gazının diğer gazlarla karışımları kullanılarak oluşturulan eşdeğer yakıtlardır. Ana motor, iki test arasında yakıt alımında herhangi bir yeniden ayarlama yapılmadan, bu </w:t>
      </w:r>
      <w:r w:rsidR="006B6346" w:rsidRPr="00DE12A3">
        <w:rPr>
          <w:rFonts w:eastAsia="Times New Roman" w:cs="Times New Roman"/>
          <w:color w:val="auto"/>
          <w:spacing w:val="3"/>
        </w:rPr>
        <w:t>Tebliğin</w:t>
      </w:r>
      <w:r w:rsidR="00242DA0" w:rsidRPr="00DE12A3">
        <w:rPr>
          <w:rFonts w:eastAsia="Times New Roman" w:cs="Times New Roman"/>
          <w:color w:val="auto"/>
          <w:spacing w:val="3"/>
        </w:rPr>
        <w:t xml:space="preserve"> </w:t>
      </w:r>
      <w:r w:rsidR="0053289F" w:rsidRPr="00DE12A3">
        <w:rPr>
          <w:rFonts w:eastAsia="Times New Roman" w:cs="Times New Roman"/>
          <w:color w:val="auto"/>
          <w:spacing w:val="3"/>
        </w:rPr>
        <w:t>gerekliliklerini</w:t>
      </w:r>
      <w:r w:rsidR="00242DA0" w:rsidRPr="00DE12A3">
        <w:rPr>
          <w:rFonts w:eastAsia="Times New Roman" w:cs="Times New Roman"/>
          <w:color w:val="auto"/>
          <w:spacing w:val="3"/>
        </w:rPr>
        <w:t xml:space="preserve"> anahtarın her iki konumunda da sağlamalıdır. Yakıt değişiminden sonra bir uyum sağlama çalışmasına izin verilir. Uyum sağlama çalışması, ilgili test </w:t>
      </w:r>
      <w:r w:rsidR="00951351" w:rsidRPr="00DE12A3">
        <w:rPr>
          <w:rFonts w:eastAsia="Times New Roman" w:cs="Times New Roman"/>
          <w:color w:val="auto"/>
          <w:spacing w:val="3"/>
        </w:rPr>
        <w:t>çevrimi</w:t>
      </w:r>
      <w:r w:rsidR="00242DA0" w:rsidRPr="00DE12A3">
        <w:rPr>
          <w:rFonts w:eastAsia="Times New Roman" w:cs="Times New Roman"/>
          <w:color w:val="auto"/>
          <w:spacing w:val="3"/>
        </w:rPr>
        <w:t xml:space="preserve">ne göre sonraki emisyon testi için ön koşullandırma yapılmasından ibarettir. NRSC'de test edilen motorlar durumunda, ön koşullandırma </w:t>
      </w:r>
      <w:r w:rsidR="00C633F3" w:rsidRPr="00DE12A3">
        <w:rPr>
          <w:rFonts w:eastAsia="Times New Roman" w:cs="Times New Roman"/>
          <w:color w:val="auto"/>
          <w:spacing w:val="3"/>
        </w:rPr>
        <w:t>çevrimi motorun</w:t>
      </w:r>
      <w:r w:rsidR="00242DA0" w:rsidRPr="00DE12A3">
        <w:rPr>
          <w:rFonts w:eastAsia="Times New Roman" w:cs="Times New Roman"/>
          <w:color w:val="auto"/>
          <w:spacing w:val="3"/>
        </w:rPr>
        <w:t xml:space="preserve"> yakıt alımının kendinden uyumu için yetersiz olduğunda, motor ön koşullandırılmadan önce imalatçı tarafından belirtilen alternatif bir uyum sağlama çalışması gerçekleştirilebilir.</w:t>
      </w:r>
    </w:p>
    <w:p w14:paraId="7ADD34E5" w14:textId="745137CA" w:rsidR="002D7B36" w:rsidRPr="00DE12A3" w:rsidRDefault="00242DA0" w:rsidP="007F3E08">
      <w:pPr>
        <w:spacing w:before="120" w:after="120"/>
        <w:ind w:firstLine="709"/>
        <w:jc w:val="both"/>
        <w:rPr>
          <w:rFonts w:eastAsia="Times New Roman" w:cs="Times New Roman"/>
          <w:color w:val="auto"/>
          <w:spacing w:val="3"/>
        </w:rPr>
      </w:pPr>
      <w:r w:rsidRPr="00DE12A3">
        <w:rPr>
          <w:rFonts w:eastAsia="Times New Roman" w:cs="Times New Roman"/>
          <w:color w:val="auto"/>
          <w:spacing w:val="3"/>
        </w:rPr>
        <w:t>2.3.2.1.</w:t>
      </w:r>
      <w:r w:rsidR="007F3E08" w:rsidRPr="00DE12A3">
        <w:rPr>
          <w:rFonts w:eastAsia="Times New Roman" w:cs="Times New Roman"/>
          <w:color w:val="auto"/>
          <w:spacing w:val="3"/>
        </w:rPr>
        <w:t xml:space="preserve"> </w:t>
      </w:r>
      <w:r w:rsidRPr="00DE12A3">
        <w:rPr>
          <w:rFonts w:eastAsia="Times New Roman" w:cs="Times New Roman"/>
          <w:color w:val="auto"/>
          <w:spacing w:val="3"/>
        </w:rPr>
        <w:t>λ-</w:t>
      </w:r>
      <w:r w:rsidR="00C917D6" w:rsidRPr="00DE12A3">
        <w:rPr>
          <w:rFonts w:eastAsia="Times New Roman" w:cs="Times New Roman"/>
          <w:color w:val="auto"/>
          <w:spacing w:val="3"/>
        </w:rPr>
        <w:t>değiştirme faktörü</w:t>
      </w:r>
      <w:r w:rsidRPr="00DE12A3">
        <w:rPr>
          <w:rFonts w:eastAsia="Times New Roman" w:cs="Times New Roman"/>
          <w:color w:val="auto"/>
          <w:spacing w:val="3"/>
        </w:rPr>
        <w:t xml:space="preserve"> (S</w:t>
      </w:r>
      <w:r w:rsidRPr="00DE12A3">
        <w:rPr>
          <w:rFonts w:eastAsia="Times New Roman" w:cs="Times New Roman"/>
          <w:color w:val="auto"/>
          <w:spacing w:val="3"/>
          <w:vertAlign w:val="subscript"/>
        </w:rPr>
        <w:t>λ</w:t>
      </w:r>
      <w:r w:rsidRPr="00DE12A3">
        <w:rPr>
          <w:rFonts w:eastAsia="Times New Roman" w:cs="Times New Roman"/>
          <w:color w:val="auto"/>
          <w:spacing w:val="3"/>
        </w:rPr>
        <w:t>) 0,89 (G</w:t>
      </w:r>
      <w:r w:rsidRPr="00DE12A3">
        <w:rPr>
          <w:rFonts w:eastAsia="Times New Roman" w:cs="Times New Roman"/>
          <w:color w:val="auto"/>
          <w:spacing w:val="3"/>
          <w:vertAlign w:val="subscript"/>
        </w:rPr>
        <w:t>R</w:t>
      </w:r>
      <w:r w:rsidRPr="00DE12A3">
        <w:rPr>
          <w:rFonts w:eastAsia="Times New Roman" w:cs="Times New Roman"/>
          <w:color w:val="auto"/>
          <w:spacing w:val="3"/>
        </w:rPr>
        <w:t>'nin alt aralığı) ile 1,19 (G</w:t>
      </w:r>
      <w:r w:rsidRPr="00DE12A3">
        <w:rPr>
          <w:rFonts w:eastAsia="Times New Roman" w:cs="Times New Roman"/>
          <w:color w:val="auto"/>
          <w:spacing w:val="3"/>
          <w:vertAlign w:val="subscript"/>
        </w:rPr>
        <w:t>25</w:t>
      </w:r>
      <w:r w:rsidRPr="00DE12A3">
        <w:rPr>
          <w:rFonts w:eastAsia="Times New Roman" w:cs="Times New Roman"/>
          <w:color w:val="auto"/>
          <w:spacing w:val="3"/>
        </w:rPr>
        <w:t>'in üst aralığı) arasındaysa, örneğin yakıt 3 bir piyasa yakıtı olduğunda, imalatçılar motoru G</w:t>
      </w:r>
      <w:r w:rsidRPr="00DE12A3">
        <w:rPr>
          <w:rFonts w:eastAsia="Times New Roman" w:cs="Times New Roman"/>
          <w:color w:val="auto"/>
          <w:spacing w:val="3"/>
          <w:vertAlign w:val="subscript"/>
        </w:rPr>
        <w:t>23</w:t>
      </w:r>
      <w:r w:rsidRPr="00DE12A3">
        <w:rPr>
          <w:rFonts w:eastAsia="Times New Roman" w:cs="Times New Roman"/>
          <w:color w:val="auto"/>
          <w:spacing w:val="3"/>
        </w:rPr>
        <w:t xml:space="preserve"> (yakıt 3) yerine üçüncü bir yakıtla test </w:t>
      </w:r>
      <w:r w:rsidR="00951351" w:rsidRPr="00DE12A3">
        <w:rPr>
          <w:rFonts w:eastAsia="Times New Roman" w:cs="Times New Roman"/>
          <w:color w:val="auto"/>
          <w:spacing w:val="3"/>
        </w:rPr>
        <w:t>edebilir. Bu</w:t>
      </w:r>
      <w:r w:rsidRPr="00DE12A3">
        <w:rPr>
          <w:rFonts w:eastAsia="Times New Roman" w:cs="Times New Roman"/>
          <w:color w:val="auto"/>
          <w:spacing w:val="3"/>
        </w:rPr>
        <w:t xml:space="preserve"> testin sonuçları üretimin uygunluğunun değerlendirilmesi için bir temel olarak kullanılabilir.</w:t>
      </w:r>
    </w:p>
    <w:p w14:paraId="13433FA9" w14:textId="06CD5FD9" w:rsidR="002D7B36" w:rsidRPr="00DE12A3" w:rsidRDefault="00242DA0" w:rsidP="00086A03">
      <w:pPr>
        <w:spacing w:before="120" w:after="120"/>
        <w:ind w:firstLine="709"/>
        <w:rPr>
          <w:rFonts w:eastAsia="Times New Roman" w:cs="Times New Roman"/>
          <w:color w:val="auto"/>
          <w:spacing w:val="3"/>
        </w:rPr>
      </w:pPr>
      <w:r w:rsidRPr="00DE12A3">
        <w:rPr>
          <w:rFonts w:eastAsia="Times New Roman" w:cs="Times New Roman"/>
          <w:color w:val="auto"/>
          <w:spacing w:val="3"/>
        </w:rPr>
        <w:t>2.3.3.</w:t>
      </w:r>
      <w:r w:rsidR="00086A03" w:rsidRPr="00DE12A3">
        <w:rPr>
          <w:rFonts w:eastAsia="Times New Roman" w:cs="Times New Roman"/>
          <w:color w:val="auto"/>
          <w:spacing w:val="3"/>
        </w:rPr>
        <w:t xml:space="preserve"> </w:t>
      </w:r>
      <w:r w:rsidRPr="00DE12A3">
        <w:rPr>
          <w:rFonts w:eastAsia="Times New Roman" w:cs="Times New Roman"/>
          <w:color w:val="auto"/>
          <w:spacing w:val="3"/>
        </w:rPr>
        <w:t>Doğal gaz/biyometan ile çalışan motorlarda, emisyon sonuçları oranı “r”, her kirletici madde için aşağıdaki şekilde belirlenir:</w:t>
      </w:r>
    </w:p>
    <w:p w14:paraId="15EE03A6" w14:textId="11ADFD8C" w:rsidR="002D7B36" w:rsidRPr="00DE12A3" w:rsidRDefault="00242DA0" w:rsidP="00497BC3">
      <w:pPr>
        <w:spacing w:before="120" w:after="120"/>
        <w:ind w:left="1134" w:hanging="1134"/>
        <w:jc w:val="center"/>
        <w:rPr>
          <w:rFonts w:eastAsia="Times New Roman" w:cs="Times New Roman"/>
          <w:color w:val="auto"/>
        </w:rPr>
      </w:pPr>
      <m:oMathPara>
        <m:oMath>
          <m:r>
            <m:rPr>
              <m:sty m:val="p"/>
            </m:rPr>
            <w:rPr>
              <w:rFonts w:ascii="Cambria Math" w:hAnsi="Cambria Math" w:cs="Times New Roman"/>
              <w:color w:val="auto"/>
            </w:rPr>
            <m:t>r=</m:t>
          </m:r>
          <m:f>
            <m:fPr>
              <m:ctrlPr>
                <w:rPr>
                  <w:rFonts w:ascii="Cambria Math" w:hAnsi="Cambria Math" w:cs="Times New Roman"/>
                  <w:color w:val="auto"/>
                </w:rPr>
              </m:ctrlPr>
            </m:fPr>
            <m:num>
              <m:r>
                <m:rPr>
                  <m:sty m:val="p"/>
                </m:rPr>
                <w:rPr>
                  <w:rFonts w:ascii="Cambria Math" w:hAnsi="Cambria Math" w:cs="Times New Roman"/>
                  <w:color w:val="auto"/>
                </w:rPr>
                <m:t>referans yakıt 2 ile emisyon sonuçları</m:t>
              </m:r>
            </m:num>
            <m:den>
              <m:r>
                <m:rPr>
                  <m:sty m:val="p"/>
                </m:rPr>
                <w:rPr>
                  <w:rFonts w:ascii="Cambria Math" w:hAnsi="Cambria Math" w:cs="Times New Roman"/>
                  <w:color w:val="auto"/>
                </w:rPr>
                <m:t>referans yakıt 1 ile emisyon sonuçları</m:t>
              </m:r>
            </m:den>
          </m:f>
        </m:oMath>
      </m:oMathPara>
    </w:p>
    <w:p w14:paraId="670EB532" w14:textId="77777777" w:rsidR="002D7B36" w:rsidRPr="00DE12A3" w:rsidRDefault="00242DA0" w:rsidP="00497BC3">
      <w:pPr>
        <w:spacing w:before="120" w:after="120"/>
        <w:ind w:left="1134" w:hanging="1134"/>
        <w:jc w:val="center"/>
        <w:rPr>
          <w:rFonts w:cs="Times New Roman"/>
          <w:color w:val="auto"/>
        </w:rPr>
      </w:pPr>
      <w:r w:rsidRPr="00DE12A3">
        <w:rPr>
          <w:rFonts w:eastAsia="Times New Roman" w:cs="Times New Roman"/>
          <w:color w:val="auto"/>
        </w:rPr>
        <w:t>veya</w:t>
      </w:r>
    </w:p>
    <w:p w14:paraId="3A4A1A5A" w14:textId="77777777" w:rsidR="002D7B36" w:rsidRPr="00DE12A3" w:rsidRDefault="007D72B7" w:rsidP="00497BC3">
      <w:pPr>
        <w:pStyle w:val="CM1"/>
        <w:spacing w:before="120" w:after="120"/>
        <w:ind w:left="1134" w:hanging="1134"/>
        <w:jc w:val="center"/>
        <w:rPr>
          <w:rFonts w:eastAsiaTheme="minorEastAsia"/>
        </w:rPr>
      </w:pPr>
      <m:oMathPara>
        <m:oMathParaPr>
          <m:jc m:val="center"/>
        </m:oMathParaPr>
        <m:oMath>
          <m:sSub>
            <m:sSubPr>
              <m:ctrlPr>
                <w:rPr>
                  <w:rFonts w:ascii="Cambria Math" w:hAnsi="Cambria Math"/>
                </w:rPr>
              </m:ctrlPr>
            </m:sSubPr>
            <m:e>
              <m:r>
                <m:rPr>
                  <m:sty m:val="p"/>
                </m:rPr>
                <w:rPr>
                  <w:rFonts w:ascii="Cambria Math" w:hAnsi="Cambria Math"/>
                </w:rPr>
                <m:t>r</m:t>
              </m:r>
            </m:e>
            <m:sub>
              <m:r>
                <m:rPr>
                  <m:sty m:val="p"/>
                </m:rPr>
                <w:rPr>
                  <w:rFonts w:ascii="Cambria Math" w:hAnsi="Cambria Math"/>
                </w:rPr>
                <m:t>a</m:t>
              </m:r>
            </m:sub>
          </m:sSub>
          <m:r>
            <m:rPr>
              <m:sty m:val="p"/>
            </m:rPr>
            <w:rPr>
              <w:rFonts w:ascii="Cambria Math" w:hAnsi="Cambria Math"/>
            </w:rPr>
            <m:t>=</m:t>
          </m:r>
          <m:f>
            <m:fPr>
              <m:ctrlPr>
                <w:rPr>
                  <w:rFonts w:ascii="Cambria Math" w:hAnsi="Cambria Math"/>
                </w:rPr>
              </m:ctrlPr>
            </m:fPr>
            <m:num>
              <m:r>
                <m:rPr>
                  <m:sty m:val="p"/>
                </m:rPr>
                <w:rPr>
                  <w:rFonts w:ascii="Cambria Math" w:hAnsi="Cambria Math"/>
                </w:rPr>
                <m:t>referans yakıt  2  ile emisyon sonuçları</m:t>
              </m:r>
            </m:num>
            <m:den>
              <m:r>
                <m:rPr>
                  <m:sty m:val="p"/>
                </m:rPr>
                <w:rPr>
                  <w:rFonts w:ascii="Cambria Math" w:hAnsi="Cambria Math"/>
                </w:rPr>
                <m:t>referans yakıt  3 ile emisyon sonuçları</m:t>
              </m:r>
            </m:den>
          </m:f>
        </m:oMath>
      </m:oMathPara>
    </w:p>
    <w:p w14:paraId="47E1CAB5" w14:textId="77777777" w:rsidR="002D7B36" w:rsidRPr="00DE12A3" w:rsidRDefault="00242DA0" w:rsidP="00497BC3">
      <w:pPr>
        <w:spacing w:before="120" w:after="120"/>
        <w:ind w:left="1134" w:hanging="1134"/>
        <w:jc w:val="center"/>
        <w:rPr>
          <w:rFonts w:eastAsiaTheme="minorHAnsi" w:cs="Times New Roman"/>
          <w:color w:val="auto"/>
          <w:lang w:eastAsia="en-US"/>
        </w:rPr>
      </w:pPr>
      <w:r w:rsidRPr="00DE12A3">
        <w:rPr>
          <w:rFonts w:eastAsia="Times New Roman" w:cs="Times New Roman"/>
          <w:color w:val="auto"/>
          <w:spacing w:val="3"/>
        </w:rPr>
        <w:t>ve</w:t>
      </w:r>
    </w:p>
    <w:p w14:paraId="3C2A5DB1" w14:textId="77777777" w:rsidR="002D7B36" w:rsidRPr="00DE12A3" w:rsidRDefault="007D72B7" w:rsidP="00497BC3">
      <w:pPr>
        <w:widowControl/>
        <w:autoSpaceDE w:val="0"/>
        <w:autoSpaceDN w:val="0"/>
        <w:adjustRightInd w:val="0"/>
        <w:spacing w:before="120" w:after="120"/>
        <w:ind w:left="1134" w:hanging="1134"/>
        <w:jc w:val="center"/>
        <w:rPr>
          <w:rFonts w:eastAsiaTheme="minorEastAsia" w:cs="Times New Roman"/>
          <w:color w:val="auto"/>
          <w:lang w:eastAsia="en-US"/>
        </w:rPr>
      </w:pPr>
      <m:oMathPara>
        <m:oMathParaPr>
          <m:jc m:val="center"/>
        </m:oMathParaPr>
        <m:oMath>
          <m:sSub>
            <m:sSubPr>
              <m:ctrlPr>
                <w:rPr>
                  <w:rFonts w:ascii="Cambria Math" w:eastAsiaTheme="minorHAnsi" w:hAnsi="Cambria Math" w:cs="Times New Roman"/>
                  <w:color w:val="auto"/>
                  <w:lang w:eastAsia="en-US"/>
                </w:rPr>
              </m:ctrlPr>
            </m:sSubPr>
            <m:e>
              <m:r>
                <m:rPr>
                  <m:sty m:val="p"/>
                </m:rPr>
                <w:rPr>
                  <w:rFonts w:ascii="Cambria Math" w:eastAsiaTheme="minorHAnsi" w:hAnsi="Cambria Math" w:cs="Times New Roman"/>
                  <w:color w:val="auto"/>
                  <w:lang w:eastAsia="en-US"/>
                </w:rPr>
                <m:t>r</m:t>
              </m:r>
            </m:e>
            <m:sub>
              <m:r>
                <m:rPr>
                  <m:sty m:val="p"/>
                </m:rPr>
                <w:rPr>
                  <w:rFonts w:ascii="Cambria Math" w:eastAsiaTheme="minorHAnsi" w:hAnsi="Cambria Math" w:cs="Times New Roman"/>
                  <w:color w:val="auto"/>
                  <w:lang w:eastAsia="en-US"/>
                </w:rPr>
                <m:t>b</m:t>
              </m:r>
            </m:sub>
          </m:sSub>
          <m:r>
            <m:rPr>
              <m:sty m:val="p"/>
            </m:rPr>
            <w:rPr>
              <w:rFonts w:ascii="Cambria Math" w:eastAsiaTheme="minorHAnsi" w:hAnsi="Cambria Math" w:cs="Times New Roman"/>
              <w:color w:val="auto"/>
              <w:lang w:eastAsia="en-US"/>
            </w:rPr>
            <m:t>=</m:t>
          </m:r>
          <m:f>
            <m:fPr>
              <m:ctrlPr>
                <w:rPr>
                  <w:rFonts w:ascii="Cambria Math" w:eastAsiaTheme="minorHAnsi" w:hAnsi="Cambria Math" w:cs="Times New Roman"/>
                  <w:color w:val="auto"/>
                  <w:lang w:eastAsia="en-US"/>
                </w:rPr>
              </m:ctrlPr>
            </m:fPr>
            <m:num>
              <m:r>
                <m:rPr>
                  <m:sty m:val="p"/>
                </m:rPr>
                <w:rPr>
                  <w:rFonts w:ascii="Cambria Math" w:eastAsiaTheme="minorHAnsi" w:hAnsi="Cambria Math" w:cs="Times New Roman"/>
                  <w:color w:val="auto"/>
                  <w:lang w:eastAsia="en-US"/>
                </w:rPr>
                <m:t>referans yakıt  1 ile emisyon sonuçları</m:t>
              </m:r>
            </m:num>
            <m:den>
              <m:r>
                <m:rPr>
                  <m:sty m:val="p"/>
                </m:rPr>
                <w:rPr>
                  <w:rFonts w:ascii="Cambria Math" w:eastAsiaTheme="minorHAnsi" w:hAnsi="Cambria Math" w:cs="Times New Roman"/>
                  <w:color w:val="auto"/>
                  <w:lang w:eastAsia="en-US"/>
                </w:rPr>
                <m:t>referans yakıt 3 ile emisyon sonuçları</m:t>
              </m:r>
            </m:den>
          </m:f>
        </m:oMath>
      </m:oMathPara>
    </w:p>
    <w:p w14:paraId="40592445" w14:textId="0A7B8956" w:rsidR="002D7B36" w:rsidRPr="00DE12A3" w:rsidRDefault="00086A03" w:rsidP="00086A03">
      <w:pPr>
        <w:spacing w:before="120" w:after="120"/>
        <w:ind w:firstLine="709"/>
        <w:jc w:val="both"/>
        <w:rPr>
          <w:rFonts w:eastAsia="Times New Roman" w:cs="Times New Roman"/>
          <w:color w:val="auto"/>
          <w:spacing w:val="3"/>
        </w:rPr>
      </w:pPr>
      <w:r w:rsidRPr="00DE12A3">
        <w:rPr>
          <w:rFonts w:eastAsia="Times New Roman" w:cs="Times New Roman"/>
          <w:color w:val="auto"/>
          <w:spacing w:val="3"/>
        </w:rPr>
        <w:t>2.3.4.</w:t>
      </w:r>
      <w:r w:rsidR="0045371E" w:rsidRPr="00DE12A3">
        <w:rPr>
          <w:rFonts w:eastAsia="Times New Roman" w:cs="Times New Roman"/>
          <w:color w:val="auto"/>
          <w:spacing w:val="3"/>
        </w:rPr>
        <w:t xml:space="preserve"> </w:t>
      </w:r>
      <w:r w:rsidR="00242DA0" w:rsidRPr="00DE12A3">
        <w:rPr>
          <w:rFonts w:eastAsia="Times New Roman" w:cs="Times New Roman"/>
          <w:color w:val="auto"/>
          <w:spacing w:val="3"/>
        </w:rPr>
        <w:t xml:space="preserve">LPG ile çalışan motorlar için imalatçı ana motorun </w:t>
      </w:r>
      <w:r w:rsidR="00F61B7F" w:rsidRPr="00DE12A3">
        <w:rPr>
          <w:rFonts w:eastAsia="Times New Roman" w:cs="Times New Roman"/>
          <w:color w:val="auto"/>
          <w:spacing w:val="3"/>
        </w:rPr>
        <w:t>piyasa</w:t>
      </w:r>
      <w:r w:rsidR="00242DA0" w:rsidRPr="00DE12A3">
        <w:rPr>
          <w:rFonts w:eastAsia="Times New Roman" w:cs="Times New Roman"/>
          <w:color w:val="auto"/>
          <w:spacing w:val="3"/>
        </w:rPr>
        <w:t xml:space="preserve"> genelinde var olabilecek herhangi bir yakıt bileşimine uyum sağlama kabiliyetini ispat etmelidir</w:t>
      </w:r>
      <w:r w:rsidRPr="00DE12A3">
        <w:rPr>
          <w:rFonts w:eastAsia="Times New Roman" w:cs="Times New Roman"/>
          <w:color w:val="auto"/>
          <w:spacing w:val="3"/>
        </w:rPr>
        <w:t>.</w:t>
      </w:r>
    </w:p>
    <w:p w14:paraId="36D14428" w14:textId="0EC1FD85" w:rsidR="002D7B36" w:rsidRPr="00DE12A3" w:rsidRDefault="00242DA0" w:rsidP="00086A03">
      <w:pPr>
        <w:spacing w:before="120" w:after="120"/>
        <w:jc w:val="both"/>
        <w:rPr>
          <w:rFonts w:eastAsia="Times New Roman" w:cs="Times New Roman"/>
          <w:color w:val="auto"/>
          <w:spacing w:val="3"/>
        </w:rPr>
      </w:pPr>
      <w:r w:rsidRPr="00DE12A3">
        <w:rPr>
          <w:rFonts w:eastAsia="Times New Roman" w:cs="Times New Roman"/>
          <w:color w:val="auto"/>
          <w:spacing w:val="3"/>
        </w:rPr>
        <w:t>LPG ile çalışan motorlar için C</w:t>
      </w:r>
      <w:r w:rsidRPr="00DE12A3">
        <w:rPr>
          <w:rFonts w:eastAsia="Times New Roman" w:cs="Times New Roman"/>
          <w:color w:val="auto"/>
          <w:spacing w:val="3"/>
          <w:vertAlign w:val="subscript"/>
        </w:rPr>
        <w:t>3</w:t>
      </w:r>
      <w:r w:rsidRPr="00DE12A3">
        <w:rPr>
          <w:rFonts w:eastAsia="Times New Roman" w:cs="Times New Roman"/>
          <w:color w:val="auto"/>
          <w:spacing w:val="3"/>
        </w:rPr>
        <w:t>/C</w:t>
      </w:r>
      <w:r w:rsidRPr="00DE12A3">
        <w:rPr>
          <w:rFonts w:eastAsia="Times New Roman" w:cs="Times New Roman"/>
          <w:color w:val="auto"/>
          <w:spacing w:val="3"/>
          <w:vertAlign w:val="subscript"/>
        </w:rPr>
        <w:t>4</w:t>
      </w:r>
      <w:r w:rsidRPr="00DE12A3">
        <w:rPr>
          <w:rFonts w:eastAsia="Times New Roman" w:cs="Times New Roman"/>
          <w:color w:val="auto"/>
          <w:spacing w:val="3"/>
        </w:rPr>
        <w:t xml:space="preserve"> bileşiminde farklılıklar vardır. Bu farklılıklar referans yakıtlara yansımaktadır. Ana motor, iki test arasında yakıt alımında herhangi bir yeniden ayarlama yapılmadan, IX</w:t>
      </w:r>
      <w:r w:rsidR="00EE5D5E" w:rsidRPr="00DE12A3">
        <w:rPr>
          <w:rFonts w:eastAsia="Times New Roman" w:cs="Times New Roman"/>
          <w:color w:val="auto"/>
          <w:spacing w:val="3"/>
        </w:rPr>
        <w:t xml:space="preserve">’uncu </w:t>
      </w:r>
      <w:r w:rsidR="00387FAA" w:rsidRPr="00DE12A3">
        <w:rPr>
          <w:rFonts w:eastAsia="Times New Roman" w:cs="Times New Roman"/>
          <w:color w:val="auto"/>
          <w:spacing w:val="3"/>
        </w:rPr>
        <w:t>E</w:t>
      </w:r>
      <w:r w:rsidRPr="00DE12A3">
        <w:rPr>
          <w:rFonts w:eastAsia="Times New Roman" w:cs="Times New Roman"/>
          <w:color w:val="auto"/>
          <w:spacing w:val="3"/>
        </w:rPr>
        <w:t xml:space="preserve">kte belirtilen referans yakıtlar A ve B ile çalışırken emisyon </w:t>
      </w:r>
      <w:r w:rsidR="0053289F" w:rsidRPr="00DE12A3">
        <w:rPr>
          <w:rFonts w:eastAsia="Times New Roman" w:cs="Times New Roman"/>
          <w:color w:val="auto"/>
          <w:spacing w:val="3"/>
        </w:rPr>
        <w:t>gerekliliklerini</w:t>
      </w:r>
      <w:r w:rsidRPr="00DE12A3">
        <w:rPr>
          <w:rFonts w:eastAsia="Times New Roman" w:cs="Times New Roman"/>
          <w:color w:val="auto"/>
          <w:spacing w:val="3"/>
        </w:rPr>
        <w:t xml:space="preserve"> sağlamalıdır. Yakıt değişiminden sonra bir uyum sağlama çalışmasına izin verilir. Uyum sağlama çalışması, ilgili test </w:t>
      </w:r>
      <w:r w:rsidR="00951351" w:rsidRPr="00DE12A3">
        <w:rPr>
          <w:rFonts w:eastAsia="Times New Roman" w:cs="Times New Roman"/>
          <w:color w:val="auto"/>
          <w:spacing w:val="3"/>
        </w:rPr>
        <w:t>çevrimi</w:t>
      </w:r>
      <w:r w:rsidRPr="00DE12A3">
        <w:rPr>
          <w:rFonts w:eastAsia="Times New Roman" w:cs="Times New Roman"/>
          <w:color w:val="auto"/>
          <w:spacing w:val="3"/>
        </w:rPr>
        <w:t xml:space="preserve">ne göre sonraki emisyon testi için ön koşullandırma yapılmasından ibarettir. NRSC'de test edilen motorlar durumunda, ön koşullandırma </w:t>
      </w:r>
      <w:r w:rsidR="00977983" w:rsidRPr="00DE12A3">
        <w:rPr>
          <w:rFonts w:eastAsia="Times New Roman" w:cs="Times New Roman"/>
          <w:color w:val="auto"/>
          <w:spacing w:val="3"/>
        </w:rPr>
        <w:t>çevrimi motorun</w:t>
      </w:r>
      <w:r w:rsidRPr="00DE12A3">
        <w:rPr>
          <w:rFonts w:eastAsia="Times New Roman" w:cs="Times New Roman"/>
          <w:color w:val="auto"/>
          <w:spacing w:val="3"/>
        </w:rPr>
        <w:t xml:space="preserve"> yakıt alımının kendinden uyumu için yetersiz olduğunda, motor ön koşullandırılmadan önce imalatçı tarafından belirtilen alternatif bir uyum sağlama çalışması gerçekleştirilebilir.</w:t>
      </w:r>
    </w:p>
    <w:p w14:paraId="15308B40" w14:textId="77777777" w:rsidR="002D7B36" w:rsidRPr="00DE12A3" w:rsidRDefault="002D7B36" w:rsidP="003D2EBB">
      <w:pPr>
        <w:spacing w:before="120" w:after="120"/>
        <w:jc w:val="both"/>
        <w:rPr>
          <w:rFonts w:eastAsia="Times New Roman" w:cs="Times New Roman"/>
          <w:color w:val="auto"/>
          <w:spacing w:val="3"/>
        </w:rPr>
      </w:pPr>
    </w:p>
    <w:p w14:paraId="025ACC21" w14:textId="3C3760DD" w:rsidR="002D7B36" w:rsidRPr="00DE12A3" w:rsidRDefault="005F1765" w:rsidP="005F1765">
      <w:pPr>
        <w:spacing w:before="120" w:after="120"/>
        <w:ind w:firstLine="709"/>
        <w:jc w:val="both"/>
        <w:rPr>
          <w:rFonts w:eastAsia="Times New Roman" w:cs="Times New Roman"/>
          <w:color w:val="auto"/>
        </w:rPr>
      </w:pPr>
      <w:r w:rsidRPr="00DE12A3">
        <w:rPr>
          <w:rFonts w:eastAsia="Times New Roman" w:cs="Times New Roman"/>
          <w:color w:val="auto"/>
          <w:spacing w:val="3"/>
        </w:rPr>
        <w:t xml:space="preserve">2.3.4.1. </w:t>
      </w:r>
      <w:r w:rsidR="00242DA0" w:rsidRPr="00DE12A3">
        <w:rPr>
          <w:rFonts w:eastAsia="Times New Roman" w:cs="Times New Roman"/>
          <w:color w:val="auto"/>
          <w:spacing w:val="3"/>
        </w:rPr>
        <w:t xml:space="preserve">Emisyon sonuçları oranı "r", her kirletici madde için aşağıdaki şekilde </w:t>
      </w:r>
      <w:r w:rsidR="00F310B5" w:rsidRPr="00DE12A3">
        <w:rPr>
          <w:rFonts w:eastAsia="Times New Roman" w:cs="Times New Roman"/>
          <w:color w:val="auto"/>
          <w:spacing w:val="3"/>
        </w:rPr>
        <w:t>belirlenir :</w:t>
      </w:r>
      <w:r w:rsidR="00242DA0" w:rsidRPr="00DE12A3">
        <w:rPr>
          <w:rFonts w:eastAsia="Times New Roman" w:cs="Times New Roman"/>
          <w:color w:val="auto"/>
        </w:rPr>
        <w:t xml:space="preserve"> </w:t>
      </w:r>
      <w:r w:rsidR="00242DA0" w:rsidRPr="00DE12A3">
        <w:rPr>
          <w:rFonts w:eastAsia="Times New Roman" w:cs="Times New Roman"/>
          <w:color w:val="auto"/>
        </w:rPr>
        <w:br/>
      </w:r>
      <m:oMathPara>
        <m:oMathParaPr>
          <m:jc m:val="center"/>
        </m:oMathParaPr>
        <m:oMath>
          <m:r>
            <m:rPr>
              <m:sty m:val="p"/>
            </m:rPr>
            <w:rPr>
              <w:rFonts w:ascii="Cambria Math" w:hAnsi="Cambria Math" w:cs="Times New Roman"/>
              <w:color w:val="auto"/>
            </w:rPr>
            <m:t>r=</m:t>
          </m:r>
          <m:f>
            <m:fPr>
              <m:ctrlPr>
                <w:rPr>
                  <w:rFonts w:ascii="Cambria Math" w:hAnsi="Cambria Math" w:cs="Times New Roman"/>
                  <w:color w:val="auto"/>
                </w:rPr>
              </m:ctrlPr>
            </m:fPr>
            <m:num>
              <m:r>
                <m:rPr>
                  <m:sty m:val="p"/>
                </m:rPr>
                <w:rPr>
                  <w:rFonts w:ascii="Cambria Math" w:hAnsi="Cambria Math" w:cs="Times New Roman"/>
                  <w:color w:val="auto"/>
                </w:rPr>
                <m:t>referans yakıt  B  ile emisyon sonuçları</m:t>
              </m:r>
            </m:num>
            <m:den>
              <m:r>
                <m:rPr>
                  <m:sty m:val="p"/>
                </m:rPr>
                <w:rPr>
                  <w:rFonts w:ascii="Cambria Math" w:hAnsi="Cambria Math" w:cs="Times New Roman"/>
                  <w:color w:val="auto"/>
                </w:rPr>
                <m:t>referans yakıt A  ile emisyon sonuçları</m:t>
              </m:r>
            </m:den>
          </m:f>
        </m:oMath>
      </m:oMathPara>
    </w:p>
    <w:p w14:paraId="7055B21A" w14:textId="20621627" w:rsidR="002D7B36" w:rsidRPr="00DE12A3" w:rsidRDefault="005F1765" w:rsidP="005F1765">
      <w:pPr>
        <w:spacing w:before="120" w:after="120"/>
        <w:jc w:val="both"/>
        <w:rPr>
          <w:rFonts w:eastAsia="Times New Roman" w:cs="Times New Roman"/>
          <w:color w:val="auto"/>
          <w:spacing w:val="3"/>
        </w:rPr>
      </w:pPr>
      <w:r w:rsidRPr="00DE12A3">
        <w:rPr>
          <w:rFonts w:eastAsia="Times New Roman" w:cs="Times New Roman"/>
          <w:color w:val="auto"/>
          <w:spacing w:val="3"/>
        </w:rPr>
        <w:t>2.4.</w:t>
      </w:r>
      <w:r w:rsidR="0045371E" w:rsidRPr="00DE12A3">
        <w:rPr>
          <w:rFonts w:eastAsia="Times New Roman" w:cs="Times New Roman"/>
          <w:color w:val="auto"/>
          <w:spacing w:val="3"/>
        </w:rPr>
        <w:t xml:space="preserve"> </w:t>
      </w:r>
      <w:r w:rsidR="00242DA0" w:rsidRPr="00DE12A3">
        <w:rPr>
          <w:rFonts w:eastAsia="Times New Roman" w:cs="Times New Roman"/>
          <w:color w:val="auto"/>
          <w:spacing w:val="3"/>
        </w:rPr>
        <w:t xml:space="preserve">Sınırlı yakıt türü ile çalışan bir motora ilişkin </w:t>
      </w:r>
      <w:r w:rsidR="0053289F" w:rsidRPr="00DE12A3">
        <w:rPr>
          <w:rFonts w:eastAsia="Times New Roman" w:cs="Times New Roman"/>
          <w:color w:val="auto"/>
          <w:spacing w:val="3"/>
        </w:rPr>
        <w:t>gereklilikler</w:t>
      </w:r>
    </w:p>
    <w:p w14:paraId="229E7E6B" w14:textId="3AB4159E" w:rsidR="002D7B36" w:rsidRPr="00DE12A3" w:rsidRDefault="00242DA0" w:rsidP="00134E9B">
      <w:pPr>
        <w:spacing w:before="120" w:after="120"/>
        <w:jc w:val="both"/>
        <w:rPr>
          <w:rFonts w:eastAsia="Times New Roman" w:cs="Times New Roman"/>
          <w:color w:val="auto"/>
          <w:spacing w:val="3"/>
        </w:rPr>
      </w:pPr>
      <w:r w:rsidRPr="00DE12A3">
        <w:rPr>
          <w:rFonts w:eastAsia="Times New Roman" w:cs="Times New Roman"/>
          <w:color w:val="auto"/>
          <w:spacing w:val="3"/>
        </w:rPr>
        <w:t xml:space="preserve">Sınırlı yakıt türü ile çalışan bir motor, 2.4.1 ila 2.4.3 bentlerinde belirtilen </w:t>
      </w:r>
      <w:r w:rsidR="0053289F" w:rsidRPr="00DE12A3">
        <w:rPr>
          <w:rFonts w:eastAsia="Times New Roman" w:cs="Times New Roman"/>
          <w:color w:val="auto"/>
          <w:spacing w:val="3"/>
        </w:rPr>
        <w:t>gereklilikleri</w:t>
      </w:r>
      <w:r w:rsidRPr="00DE12A3">
        <w:rPr>
          <w:rFonts w:eastAsia="Times New Roman" w:cs="Times New Roman"/>
          <w:color w:val="auto"/>
          <w:spacing w:val="3"/>
        </w:rPr>
        <w:t xml:space="preserve"> sağlamalıdır.</w:t>
      </w:r>
    </w:p>
    <w:p w14:paraId="356499BA" w14:textId="10304CF5" w:rsidR="002D7B36" w:rsidRPr="00DE12A3" w:rsidRDefault="005F1765" w:rsidP="005F1765">
      <w:pPr>
        <w:spacing w:before="120" w:after="120"/>
        <w:ind w:firstLine="709"/>
        <w:jc w:val="both"/>
        <w:rPr>
          <w:rFonts w:eastAsia="Times New Roman" w:cs="Times New Roman"/>
          <w:color w:val="auto"/>
          <w:spacing w:val="3"/>
        </w:rPr>
      </w:pPr>
      <w:r w:rsidRPr="00DE12A3">
        <w:rPr>
          <w:rFonts w:eastAsia="Times New Roman" w:cs="Times New Roman"/>
          <w:color w:val="auto"/>
          <w:spacing w:val="3"/>
        </w:rPr>
        <w:t>2.4.1.</w:t>
      </w:r>
      <w:r w:rsidR="0045371E" w:rsidRPr="00DE12A3">
        <w:rPr>
          <w:rFonts w:eastAsia="Times New Roman" w:cs="Times New Roman"/>
          <w:color w:val="auto"/>
          <w:spacing w:val="3"/>
        </w:rPr>
        <w:t xml:space="preserve"> </w:t>
      </w:r>
      <w:r w:rsidR="00242DA0" w:rsidRPr="00DE12A3">
        <w:rPr>
          <w:rFonts w:eastAsia="Times New Roman" w:cs="Times New Roman"/>
          <w:color w:val="auto"/>
          <w:spacing w:val="3"/>
        </w:rPr>
        <w:t>CNG ile çalışan ve H-gaz aralığında ya da L-gaz aralığında çalışmak üzere tasarlanmış motorlar</w:t>
      </w:r>
    </w:p>
    <w:p w14:paraId="6F6A39A7" w14:textId="41DE365F" w:rsidR="002D7B36" w:rsidRPr="00DE12A3" w:rsidRDefault="005F1765" w:rsidP="005F1765">
      <w:pPr>
        <w:spacing w:before="120" w:after="120"/>
        <w:ind w:firstLine="709"/>
        <w:jc w:val="both"/>
        <w:rPr>
          <w:rFonts w:eastAsia="Times New Roman" w:cs="Times New Roman"/>
          <w:color w:val="auto"/>
          <w:spacing w:val="3"/>
        </w:rPr>
      </w:pPr>
      <w:r w:rsidRPr="00DE12A3">
        <w:rPr>
          <w:rFonts w:eastAsia="Times New Roman" w:cs="Times New Roman"/>
          <w:color w:val="auto"/>
          <w:spacing w:val="3"/>
        </w:rPr>
        <w:t xml:space="preserve">2.4.1.1. </w:t>
      </w:r>
      <w:r w:rsidR="00242DA0" w:rsidRPr="00DE12A3">
        <w:rPr>
          <w:rFonts w:eastAsia="Times New Roman" w:cs="Times New Roman"/>
          <w:color w:val="auto"/>
          <w:spacing w:val="3"/>
        </w:rPr>
        <w:t xml:space="preserve">Ana motor, ilgili aralık için </w:t>
      </w:r>
      <w:r w:rsidR="00EE5D5E" w:rsidRPr="00DE12A3">
        <w:rPr>
          <w:rFonts w:eastAsia="Times New Roman" w:cs="Times New Roman"/>
          <w:color w:val="auto"/>
          <w:spacing w:val="3"/>
        </w:rPr>
        <w:t xml:space="preserve">IX’uncu </w:t>
      </w:r>
      <w:r w:rsidR="007E00AA" w:rsidRPr="00DE12A3">
        <w:rPr>
          <w:rFonts w:eastAsia="Times New Roman" w:cs="Times New Roman"/>
          <w:color w:val="auto"/>
          <w:spacing w:val="3"/>
        </w:rPr>
        <w:t>E</w:t>
      </w:r>
      <w:r w:rsidR="00EE5D5E" w:rsidRPr="00DE12A3">
        <w:rPr>
          <w:rFonts w:eastAsia="Times New Roman" w:cs="Times New Roman"/>
          <w:color w:val="auto"/>
          <w:spacing w:val="3"/>
        </w:rPr>
        <w:t xml:space="preserve">kte </w:t>
      </w:r>
      <w:r w:rsidR="00242DA0" w:rsidRPr="00DE12A3">
        <w:rPr>
          <w:rFonts w:eastAsia="Times New Roman" w:cs="Times New Roman"/>
          <w:color w:val="auto"/>
          <w:spacing w:val="3"/>
        </w:rPr>
        <w:t>belirtilen ilgili referans yakıt ile test edilecektir. Yakıtlar, H-gaz aralığı için G</w:t>
      </w:r>
      <w:r w:rsidR="00242DA0" w:rsidRPr="00DE12A3">
        <w:rPr>
          <w:rFonts w:eastAsia="Times New Roman" w:cs="Times New Roman"/>
          <w:color w:val="auto"/>
          <w:spacing w:val="3"/>
          <w:vertAlign w:val="subscript"/>
        </w:rPr>
        <w:t>R</w:t>
      </w:r>
      <w:r w:rsidR="00242DA0" w:rsidRPr="00DE12A3">
        <w:rPr>
          <w:rFonts w:eastAsia="Times New Roman" w:cs="Times New Roman"/>
          <w:color w:val="auto"/>
          <w:spacing w:val="3"/>
        </w:rPr>
        <w:t xml:space="preserve"> (yakıt 1) ve G</w:t>
      </w:r>
      <w:r w:rsidR="00242DA0" w:rsidRPr="00DE12A3">
        <w:rPr>
          <w:rFonts w:eastAsia="Times New Roman" w:cs="Times New Roman"/>
          <w:color w:val="auto"/>
          <w:spacing w:val="3"/>
          <w:vertAlign w:val="subscript"/>
        </w:rPr>
        <w:t>23</w:t>
      </w:r>
      <w:r w:rsidR="00242DA0" w:rsidRPr="00DE12A3">
        <w:rPr>
          <w:rFonts w:eastAsia="Times New Roman" w:cs="Times New Roman"/>
          <w:color w:val="auto"/>
          <w:spacing w:val="3"/>
        </w:rPr>
        <w:t xml:space="preserve"> (yakıt 3) ve L-gaz aralığı için G</w:t>
      </w:r>
      <w:r w:rsidR="00242DA0" w:rsidRPr="00DE12A3">
        <w:rPr>
          <w:rFonts w:eastAsia="Times New Roman" w:cs="Times New Roman"/>
          <w:color w:val="auto"/>
          <w:spacing w:val="3"/>
          <w:vertAlign w:val="subscript"/>
        </w:rPr>
        <w:t>25</w:t>
      </w:r>
      <w:r w:rsidR="00242DA0" w:rsidRPr="00DE12A3">
        <w:rPr>
          <w:rFonts w:eastAsia="Times New Roman" w:cs="Times New Roman"/>
          <w:color w:val="auto"/>
          <w:spacing w:val="3"/>
        </w:rPr>
        <w:t xml:space="preserve"> (yakıt 2) ve G</w:t>
      </w:r>
      <w:r w:rsidR="00242DA0" w:rsidRPr="00DE12A3">
        <w:rPr>
          <w:rFonts w:eastAsia="Times New Roman" w:cs="Times New Roman"/>
          <w:color w:val="auto"/>
          <w:spacing w:val="3"/>
          <w:vertAlign w:val="subscript"/>
        </w:rPr>
        <w:t>23</w:t>
      </w:r>
      <w:r w:rsidR="00242DA0" w:rsidRPr="00DE12A3">
        <w:rPr>
          <w:rFonts w:eastAsia="Times New Roman" w:cs="Times New Roman"/>
          <w:color w:val="auto"/>
          <w:spacing w:val="3"/>
        </w:rPr>
        <w:t xml:space="preserve"> (yakıt 3) ya da </w:t>
      </w:r>
      <w:r w:rsidR="00EE5D5E" w:rsidRPr="00DE12A3">
        <w:rPr>
          <w:rFonts w:eastAsia="Times New Roman" w:cs="Times New Roman"/>
          <w:color w:val="auto"/>
          <w:spacing w:val="3"/>
        </w:rPr>
        <w:t xml:space="preserve">IX’uncu </w:t>
      </w:r>
      <w:r w:rsidR="00387FAA" w:rsidRPr="00DE12A3">
        <w:rPr>
          <w:rFonts w:eastAsia="Times New Roman" w:cs="Times New Roman"/>
          <w:color w:val="auto"/>
          <w:spacing w:val="3"/>
        </w:rPr>
        <w:t>E</w:t>
      </w:r>
      <w:r w:rsidR="00977983" w:rsidRPr="00DE12A3">
        <w:rPr>
          <w:rFonts w:eastAsia="Times New Roman" w:cs="Times New Roman"/>
          <w:color w:val="auto"/>
          <w:spacing w:val="3"/>
        </w:rPr>
        <w:t>kin 1.</w:t>
      </w:r>
      <w:r w:rsidR="00242DA0" w:rsidRPr="00DE12A3">
        <w:rPr>
          <w:rFonts w:eastAsia="Times New Roman" w:cs="Times New Roman"/>
          <w:color w:val="auto"/>
          <w:spacing w:val="3"/>
        </w:rPr>
        <w:t xml:space="preserve"> Açıklamalı Ekinde belirtilen boru hattı gazının diğer gazlarla karışımları kullanılarak oluşturulan eşdeğer yakıtlardır. Ana motor, bu iki test arasında yakıt alımında herhangi bir yeniden ayarlama yapılmadan </w:t>
      </w:r>
      <w:r w:rsidR="00EE5D5E" w:rsidRPr="00DE12A3">
        <w:rPr>
          <w:rFonts w:eastAsia="Times New Roman" w:cs="Times New Roman"/>
          <w:color w:val="auto"/>
          <w:spacing w:val="3"/>
        </w:rPr>
        <w:t xml:space="preserve">bu </w:t>
      </w:r>
      <w:r w:rsidR="00977983" w:rsidRPr="00DE12A3">
        <w:rPr>
          <w:rFonts w:eastAsia="Times New Roman" w:cs="Times New Roman"/>
          <w:color w:val="auto"/>
          <w:spacing w:val="3"/>
        </w:rPr>
        <w:t xml:space="preserve">tebliğin </w:t>
      </w:r>
      <w:r w:rsidR="0053289F" w:rsidRPr="00DE12A3">
        <w:rPr>
          <w:rFonts w:eastAsia="Times New Roman" w:cs="Times New Roman"/>
          <w:color w:val="auto"/>
          <w:spacing w:val="3"/>
        </w:rPr>
        <w:t>gerekliliklerini</w:t>
      </w:r>
      <w:r w:rsidR="00242DA0" w:rsidRPr="00DE12A3">
        <w:rPr>
          <w:rFonts w:eastAsia="Times New Roman" w:cs="Times New Roman"/>
          <w:color w:val="auto"/>
          <w:spacing w:val="3"/>
        </w:rPr>
        <w:t xml:space="preserve"> sağlamalıdır. Yakıt değişiminden sonra bir uyum sağlama çalışmasına izin verilir. Uyum sağlama çalışması, ilgili test </w:t>
      </w:r>
      <w:r w:rsidR="00951351" w:rsidRPr="00DE12A3">
        <w:rPr>
          <w:rFonts w:eastAsia="Times New Roman" w:cs="Times New Roman"/>
          <w:color w:val="auto"/>
          <w:spacing w:val="3"/>
        </w:rPr>
        <w:t>çevrimi</w:t>
      </w:r>
      <w:r w:rsidR="00242DA0" w:rsidRPr="00DE12A3">
        <w:rPr>
          <w:rFonts w:eastAsia="Times New Roman" w:cs="Times New Roman"/>
          <w:color w:val="auto"/>
          <w:spacing w:val="3"/>
        </w:rPr>
        <w:t xml:space="preserve">ne göre sonraki emisyon testi için ön koşullandırma yapılmasından ibarettir. NRSC'de test edilen motorlar durumunda, ön koşullandırma </w:t>
      </w:r>
      <w:r w:rsidR="00977983" w:rsidRPr="00DE12A3">
        <w:rPr>
          <w:rFonts w:eastAsia="Times New Roman" w:cs="Times New Roman"/>
          <w:color w:val="auto"/>
          <w:spacing w:val="3"/>
        </w:rPr>
        <w:t>çevrimi motorun</w:t>
      </w:r>
      <w:r w:rsidR="00242DA0" w:rsidRPr="00DE12A3">
        <w:rPr>
          <w:rFonts w:eastAsia="Times New Roman" w:cs="Times New Roman"/>
          <w:color w:val="auto"/>
          <w:spacing w:val="3"/>
        </w:rPr>
        <w:t xml:space="preserve"> yakıt alımının kendinden uyumu için yetersiz olduğunda, motor ön koşullandırılmadan önce imalatçı tarafından belirtilen alternatif bir uyum sağlama çalışması gerçekleştirilebilir.</w:t>
      </w:r>
    </w:p>
    <w:p w14:paraId="5932A7A3" w14:textId="73BFE413" w:rsidR="002D7B36" w:rsidRPr="00DE12A3" w:rsidRDefault="005F1765" w:rsidP="005F1765">
      <w:pPr>
        <w:spacing w:before="120" w:after="120"/>
        <w:ind w:firstLine="709"/>
        <w:jc w:val="both"/>
        <w:rPr>
          <w:rFonts w:eastAsia="Times New Roman" w:cs="Times New Roman"/>
          <w:color w:val="auto"/>
          <w:spacing w:val="3"/>
        </w:rPr>
      </w:pPr>
      <w:r w:rsidRPr="00DE12A3">
        <w:rPr>
          <w:rFonts w:eastAsia="Times New Roman" w:cs="Times New Roman"/>
          <w:color w:val="auto"/>
          <w:spacing w:val="3"/>
        </w:rPr>
        <w:t xml:space="preserve">2.4.1.2. </w:t>
      </w:r>
      <w:r w:rsidR="00242DA0" w:rsidRPr="00DE12A3">
        <w:rPr>
          <w:rFonts w:eastAsia="Times New Roman" w:cs="Times New Roman"/>
          <w:color w:val="auto"/>
          <w:spacing w:val="3"/>
        </w:rPr>
        <w:t>λ-</w:t>
      </w:r>
      <w:r w:rsidR="00C917D6" w:rsidRPr="00DE12A3">
        <w:rPr>
          <w:rFonts w:eastAsia="Times New Roman" w:cs="Times New Roman"/>
          <w:color w:val="auto"/>
          <w:spacing w:val="3"/>
        </w:rPr>
        <w:t>değiştirme faktörü</w:t>
      </w:r>
      <w:r w:rsidR="00242DA0" w:rsidRPr="00DE12A3">
        <w:rPr>
          <w:rFonts w:eastAsia="Times New Roman" w:cs="Times New Roman"/>
          <w:color w:val="auto"/>
          <w:spacing w:val="3"/>
        </w:rPr>
        <w:t xml:space="preserve"> (S</w:t>
      </w:r>
      <w:r w:rsidR="00242DA0" w:rsidRPr="00DE12A3">
        <w:rPr>
          <w:rFonts w:eastAsia="Times New Roman" w:cs="Times New Roman"/>
          <w:color w:val="auto"/>
          <w:spacing w:val="3"/>
          <w:vertAlign w:val="subscript"/>
        </w:rPr>
        <w:t>λ</w:t>
      </w:r>
      <w:r w:rsidR="00242DA0" w:rsidRPr="00DE12A3">
        <w:rPr>
          <w:rFonts w:eastAsia="Times New Roman" w:cs="Times New Roman"/>
          <w:color w:val="auto"/>
          <w:spacing w:val="3"/>
        </w:rPr>
        <w:t>) 0,89 (GR'nin alt aralığı) ile 1,19 (G</w:t>
      </w:r>
      <w:r w:rsidR="00242DA0" w:rsidRPr="00DE12A3">
        <w:rPr>
          <w:rFonts w:eastAsia="Times New Roman" w:cs="Times New Roman"/>
          <w:color w:val="auto"/>
          <w:spacing w:val="3"/>
          <w:vertAlign w:val="subscript"/>
        </w:rPr>
        <w:t>25</w:t>
      </w:r>
      <w:r w:rsidR="00242DA0" w:rsidRPr="00DE12A3">
        <w:rPr>
          <w:rFonts w:eastAsia="Times New Roman" w:cs="Times New Roman"/>
          <w:color w:val="auto"/>
          <w:spacing w:val="3"/>
        </w:rPr>
        <w:t>'in üst aralığı) arasındaysa, örneğin yakıt 3 bir piyasa yakıtı olduğunda, imalatçılar motoru G</w:t>
      </w:r>
      <w:r w:rsidR="00242DA0" w:rsidRPr="00DE12A3">
        <w:rPr>
          <w:rFonts w:eastAsia="Times New Roman" w:cs="Times New Roman"/>
          <w:color w:val="auto"/>
          <w:spacing w:val="3"/>
          <w:vertAlign w:val="subscript"/>
        </w:rPr>
        <w:t>23</w:t>
      </w:r>
      <w:r w:rsidR="00242DA0" w:rsidRPr="00DE12A3">
        <w:rPr>
          <w:rFonts w:eastAsia="Times New Roman" w:cs="Times New Roman"/>
          <w:color w:val="auto"/>
          <w:spacing w:val="3"/>
        </w:rPr>
        <w:t xml:space="preserve"> (yakıt 3) yerine üçüncü bir yakıtla test edebilir. Bu testin sonuçları üretimin uygunluğunun değerlendirilmesi için bir temel olarak kullanılabilir.</w:t>
      </w:r>
    </w:p>
    <w:p w14:paraId="07560EAE" w14:textId="54B9DBA3" w:rsidR="002D7B36" w:rsidRPr="00DE12A3" w:rsidRDefault="005F1765" w:rsidP="005F1765">
      <w:pPr>
        <w:spacing w:before="120" w:after="120"/>
        <w:ind w:firstLine="709"/>
        <w:jc w:val="both"/>
        <w:rPr>
          <w:rFonts w:eastAsia="Times New Roman" w:cs="Times New Roman"/>
          <w:color w:val="auto"/>
          <w:spacing w:val="3"/>
        </w:rPr>
      </w:pPr>
      <w:r w:rsidRPr="00DE12A3">
        <w:rPr>
          <w:rFonts w:eastAsia="Times New Roman" w:cs="Times New Roman"/>
          <w:color w:val="auto"/>
          <w:spacing w:val="3"/>
        </w:rPr>
        <w:t xml:space="preserve">2.4.1.3. </w:t>
      </w:r>
      <w:r w:rsidR="00242DA0" w:rsidRPr="00DE12A3">
        <w:rPr>
          <w:rFonts w:eastAsia="Times New Roman" w:cs="Times New Roman"/>
          <w:color w:val="auto"/>
          <w:spacing w:val="3"/>
        </w:rPr>
        <w:t>Emisyon sonuçları oranı "r", her kirletici madde için aşağıdaki şekilde</w:t>
      </w:r>
      <w:r w:rsidR="00951351" w:rsidRPr="00DE12A3">
        <w:rPr>
          <w:rFonts w:eastAsia="Times New Roman" w:cs="Times New Roman"/>
          <w:color w:val="auto"/>
          <w:spacing w:val="3"/>
        </w:rPr>
        <w:t xml:space="preserve"> </w:t>
      </w:r>
      <w:r w:rsidR="00242DA0" w:rsidRPr="00DE12A3">
        <w:rPr>
          <w:rFonts w:eastAsia="Times New Roman" w:cs="Times New Roman"/>
          <w:color w:val="auto"/>
          <w:spacing w:val="3"/>
        </w:rPr>
        <w:t>belirlenir:</w:t>
      </w:r>
    </w:p>
    <w:p w14:paraId="0B7DE35C" w14:textId="2CAEEEAE" w:rsidR="002D7B36" w:rsidRPr="00DE12A3" w:rsidRDefault="00242DA0" w:rsidP="00497BC3">
      <w:pPr>
        <w:spacing w:before="120" w:after="120"/>
        <w:ind w:left="1134" w:hanging="1134"/>
        <w:jc w:val="center"/>
        <w:rPr>
          <w:rFonts w:eastAsia="Times New Roman" w:cs="Times New Roman"/>
          <w:color w:val="auto"/>
        </w:rPr>
      </w:pPr>
      <m:oMathPara>
        <m:oMath>
          <m:r>
            <m:rPr>
              <m:sty m:val="p"/>
            </m:rPr>
            <w:rPr>
              <w:rFonts w:ascii="Cambria Math" w:hAnsi="Cambria Math" w:cs="Times New Roman"/>
              <w:color w:val="auto"/>
            </w:rPr>
            <m:t>r=</m:t>
          </m:r>
          <m:f>
            <m:fPr>
              <m:ctrlPr>
                <w:rPr>
                  <w:rFonts w:ascii="Cambria Math" w:hAnsi="Cambria Math" w:cs="Times New Roman"/>
                  <w:color w:val="auto"/>
                </w:rPr>
              </m:ctrlPr>
            </m:fPr>
            <m:num>
              <m:r>
                <m:rPr>
                  <m:sty m:val="p"/>
                </m:rPr>
                <w:rPr>
                  <w:rFonts w:ascii="Cambria Math" w:hAnsi="Cambria Math" w:cs="Times New Roman"/>
                  <w:color w:val="auto"/>
                </w:rPr>
                <m:t>referans yakıt 2 ile emisyon sonuçları</m:t>
              </m:r>
            </m:num>
            <m:den>
              <m:r>
                <m:rPr>
                  <m:sty m:val="p"/>
                </m:rPr>
                <w:rPr>
                  <w:rFonts w:ascii="Cambria Math" w:hAnsi="Cambria Math" w:cs="Times New Roman"/>
                  <w:color w:val="auto"/>
                </w:rPr>
                <m:t>referans yakıt 1 ile emisyon sonuçları</m:t>
              </m:r>
            </m:den>
          </m:f>
        </m:oMath>
      </m:oMathPara>
    </w:p>
    <w:p w14:paraId="7787F219" w14:textId="77777777" w:rsidR="002D7B36" w:rsidRPr="00DE12A3" w:rsidRDefault="00242DA0" w:rsidP="00497BC3">
      <w:pPr>
        <w:spacing w:before="120" w:after="120"/>
        <w:ind w:left="1134" w:hanging="1134"/>
        <w:jc w:val="center"/>
        <w:rPr>
          <w:rFonts w:cs="Times New Roman"/>
          <w:color w:val="auto"/>
        </w:rPr>
      </w:pPr>
      <w:r w:rsidRPr="00DE12A3">
        <w:rPr>
          <w:rFonts w:eastAsia="Times New Roman" w:cs="Times New Roman"/>
          <w:color w:val="auto"/>
        </w:rPr>
        <w:t>veya</w:t>
      </w:r>
    </w:p>
    <w:p w14:paraId="355F9355" w14:textId="77777777" w:rsidR="002D7B36" w:rsidRPr="00DE12A3" w:rsidRDefault="007D72B7" w:rsidP="00497BC3">
      <w:pPr>
        <w:pStyle w:val="CM1"/>
        <w:spacing w:before="120" w:after="120"/>
        <w:ind w:left="1134" w:hanging="1134"/>
        <w:jc w:val="center"/>
        <w:rPr>
          <w:rFonts w:eastAsiaTheme="minorEastAsia"/>
        </w:rPr>
      </w:pPr>
      <m:oMathPara>
        <m:oMathParaPr>
          <m:jc m:val="center"/>
        </m:oMathParaPr>
        <m:oMath>
          <m:sSub>
            <m:sSubPr>
              <m:ctrlPr>
                <w:rPr>
                  <w:rFonts w:ascii="Cambria Math" w:hAnsi="Cambria Math"/>
                </w:rPr>
              </m:ctrlPr>
            </m:sSubPr>
            <m:e>
              <m:r>
                <m:rPr>
                  <m:sty m:val="p"/>
                </m:rPr>
                <w:rPr>
                  <w:rFonts w:ascii="Cambria Math" w:hAnsi="Cambria Math"/>
                </w:rPr>
                <m:t>r</m:t>
              </m:r>
            </m:e>
            <m:sub>
              <m:r>
                <m:rPr>
                  <m:sty m:val="p"/>
                </m:rPr>
                <w:rPr>
                  <w:rFonts w:ascii="Cambria Math" w:hAnsi="Cambria Math"/>
                </w:rPr>
                <m:t>a</m:t>
              </m:r>
            </m:sub>
          </m:sSub>
          <m:r>
            <m:rPr>
              <m:sty m:val="p"/>
            </m:rPr>
            <w:rPr>
              <w:rFonts w:ascii="Cambria Math" w:hAnsi="Cambria Math"/>
            </w:rPr>
            <m:t>=</m:t>
          </m:r>
          <m:f>
            <m:fPr>
              <m:ctrlPr>
                <w:rPr>
                  <w:rFonts w:ascii="Cambria Math" w:hAnsi="Cambria Math"/>
                </w:rPr>
              </m:ctrlPr>
            </m:fPr>
            <m:num>
              <m:r>
                <m:rPr>
                  <m:sty m:val="p"/>
                </m:rPr>
                <w:rPr>
                  <w:rFonts w:ascii="Cambria Math" w:hAnsi="Cambria Math"/>
                </w:rPr>
                <m:t>referans yakıt  2  ile emisyon sonuçları</m:t>
              </m:r>
            </m:num>
            <m:den>
              <m:r>
                <m:rPr>
                  <m:sty m:val="p"/>
                </m:rPr>
                <w:rPr>
                  <w:rFonts w:ascii="Cambria Math" w:hAnsi="Cambria Math"/>
                </w:rPr>
                <m:t>referans yakıt  3 ile emisyon sonuçları</m:t>
              </m:r>
            </m:den>
          </m:f>
        </m:oMath>
      </m:oMathPara>
    </w:p>
    <w:p w14:paraId="2EA3ED3C" w14:textId="77777777" w:rsidR="002D7B36" w:rsidRPr="00DE12A3" w:rsidRDefault="00242DA0" w:rsidP="00497BC3">
      <w:pPr>
        <w:spacing w:before="120" w:after="120"/>
        <w:ind w:left="1134" w:hanging="1134"/>
        <w:jc w:val="center"/>
        <w:rPr>
          <w:rFonts w:eastAsiaTheme="minorHAnsi" w:cs="Times New Roman"/>
          <w:color w:val="auto"/>
          <w:spacing w:val="3"/>
          <w:lang w:eastAsia="en-US"/>
        </w:rPr>
      </w:pPr>
      <w:r w:rsidRPr="00DE12A3">
        <w:rPr>
          <w:rFonts w:eastAsia="Times New Roman" w:cs="Times New Roman"/>
          <w:color w:val="auto"/>
          <w:spacing w:val="3"/>
        </w:rPr>
        <w:t>ve</w:t>
      </w:r>
    </w:p>
    <w:p w14:paraId="61D0E9F7" w14:textId="77777777" w:rsidR="002D7B36" w:rsidRPr="00DE12A3" w:rsidRDefault="007D72B7" w:rsidP="00497BC3">
      <w:pPr>
        <w:spacing w:before="120" w:after="120"/>
        <w:ind w:left="1134" w:hanging="1134"/>
        <w:jc w:val="both"/>
        <w:rPr>
          <w:rFonts w:eastAsia="Times New Roman" w:cs="Times New Roman"/>
          <w:color w:val="auto"/>
          <w:spacing w:val="3"/>
        </w:rPr>
      </w:pPr>
      <m:oMathPara>
        <m:oMath>
          <m:sSub>
            <m:sSubPr>
              <m:ctrlPr>
                <w:rPr>
                  <w:rFonts w:ascii="Cambria Math" w:eastAsiaTheme="minorHAnsi" w:hAnsi="Cambria Math" w:cs="Times New Roman"/>
                  <w:color w:val="auto"/>
                  <w:lang w:eastAsia="en-US"/>
                </w:rPr>
              </m:ctrlPr>
            </m:sSubPr>
            <m:e>
              <m:r>
                <m:rPr>
                  <m:sty m:val="p"/>
                </m:rPr>
                <w:rPr>
                  <w:rFonts w:ascii="Cambria Math" w:eastAsiaTheme="minorHAnsi" w:hAnsi="Cambria Math" w:cs="Times New Roman"/>
                  <w:color w:val="auto"/>
                  <w:lang w:eastAsia="en-US"/>
                </w:rPr>
                <m:t>r</m:t>
              </m:r>
            </m:e>
            <m:sub>
              <m:r>
                <m:rPr>
                  <m:sty m:val="p"/>
                </m:rPr>
                <w:rPr>
                  <w:rFonts w:ascii="Cambria Math" w:eastAsiaTheme="minorHAnsi" w:hAnsi="Cambria Math" w:cs="Times New Roman"/>
                  <w:color w:val="auto"/>
                  <w:lang w:eastAsia="en-US"/>
                </w:rPr>
                <m:t>b</m:t>
              </m:r>
            </m:sub>
          </m:sSub>
          <m:r>
            <m:rPr>
              <m:sty m:val="p"/>
            </m:rPr>
            <w:rPr>
              <w:rFonts w:ascii="Cambria Math" w:eastAsiaTheme="minorHAnsi" w:hAnsi="Cambria Math" w:cs="Times New Roman"/>
              <w:color w:val="auto"/>
              <w:lang w:eastAsia="en-US"/>
            </w:rPr>
            <m:t>=</m:t>
          </m:r>
          <m:f>
            <m:fPr>
              <m:ctrlPr>
                <w:rPr>
                  <w:rFonts w:ascii="Cambria Math" w:eastAsiaTheme="minorHAnsi" w:hAnsi="Cambria Math" w:cs="Times New Roman"/>
                  <w:color w:val="auto"/>
                  <w:lang w:eastAsia="en-US"/>
                </w:rPr>
              </m:ctrlPr>
            </m:fPr>
            <m:num>
              <m:r>
                <m:rPr>
                  <m:sty m:val="p"/>
                </m:rPr>
                <w:rPr>
                  <w:rFonts w:ascii="Cambria Math" w:eastAsiaTheme="minorHAnsi" w:hAnsi="Cambria Math" w:cs="Times New Roman"/>
                  <w:color w:val="auto"/>
                  <w:lang w:eastAsia="en-US"/>
                </w:rPr>
                <m:t>referans yakıt  1 ile emisyon sonuçları</m:t>
              </m:r>
            </m:num>
            <m:den>
              <m:r>
                <m:rPr>
                  <m:sty m:val="p"/>
                </m:rPr>
                <w:rPr>
                  <w:rFonts w:ascii="Cambria Math" w:eastAsiaTheme="minorHAnsi" w:hAnsi="Cambria Math" w:cs="Times New Roman"/>
                  <w:color w:val="auto"/>
                  <w:lang w:eastAsia="en-US"/>
                </w:rPr>
                <m:t>referans yakıt 3 ile emisyon sonuçları</m:t>
              </m:r>
            </m:den>
          </m:f>
        </m:oMath>
      </m:oMathPara>
    </w:p>
    <w:p w14:paraId="26AC9A66" w14:textId="54EDDE67" w:rsidR="002D7B36" w:rsidRPr="00DE12A3" w:rsidRDefault="005F1765" w:rsidP="005F1765">
      <w:pPr>
        <w:spacing w:before="120" w:after="120"/>
        <w:ind w:firstLine="709"/>
        <w:jc w:val="both"/>
        <w:rPr>
          <w:rFonts w:eastAsia="Times New Roman" w:cs="Times New Roman"/>
          <w:color w:val="auto"/>
          <w:spacing w:val="3"/>
        </w:rPr>
      </w:pPr>
      <w:r w:rsidRPr="00DE12A3">
        <w:rPr>
          <w:rFonts w:eastAsia="Times New Roman" w:cs="Times New Roman"/>
          <w:color w:val="auto"/>
          <w:spacing w:val="3"/>
        </w:rPr>
        <w:t xml:space="preserve">2.4.2. </w:t>
      </w:r>
      <w:r w:rsidR="00242DA0" w:rsidRPr="00DE12A3">
        <w:rPr>
          <w:rFonts w:eastAsia="Times New Roman" w:cs="Times New Roman"/>
          <w:color w:val="auto"/>
          <w:spacing w:val="3"/>
        </w:rPr>
        <w:t>Doğal gaz veya LPG ile çalışan ve belirli bir yakıt bileşimi ile çalışmak üzere tasarlanmış motorlar için</w:t>
      </w:r>
      <w:r w:rsidR="007E00AA" w:rsidRPr="00DE12A3">
        <w:rPr>
          <w:rFonts w:eastAsia="Times New Roman" w:cs="Times New Roman"/>
          <w:color w:val="auto"/>
          <w:spacing w:val="3"/>
        </w:rPr>
        <w:t>:</w:t>
      </w:r>
    </w:p>
    <w:p w14:paraId="46AC0396" w14:textId="04D8B494" w:rsidR="002D7B36" w:rsidRPr="00DE12A3" w:rsidRDefault="005F1765" w:rsidP="005F1765">
      <w:pPr>
        <w:spacing w:before="120" w:after="120"/>
        <w:ind w:firstLine="709"/>
        <w:jc w:val="both"/>
        <w:rPr>
          <w:rFonts w:eastAsia="Times New Roman" w:cs="Times New Roman"/>
          <w:color w:val="auto"/>
          <w:spacing w:val="3"/>
        </w:rPr>
      </w:pPr>
      <w:r w:rsidRPr="00DE12A3">
        <w:rPr>
          <w:rFonts w:eastAsia="Times New Roman" w:cs="Times New Roman"/>
          <w:color w:val="auto"/>
          <w:spacing w:val="3"/>
        </w:rPr>
        <w:t xml:space="preserve">2.4.2.1. </w:t>
      </w:r>
      <w:r w:rsidR="00242DA0" w:rsidRPr="00DE12A3">
        <w:rPr>
          <w:rFonts w:eastAsia="Times New Roman" w:cs="Times New Roman"/>
          <w:color w:val="auto"/>
          <w:spacing w:val="3"/>
        </w:rPr>
        <w:t>Ana motor, CNG söz konusu olduğunda referans yakıtlar G</w:t>
      </w:r>
      <w:r w:rsidR="00242DA0" w:rsidRPr="00DE12A3">
        <w:rPr>
          <w:rFonts w:eastAsia="Times New Roman" w:cs="Times New Roman"/>
          <w:color w:val="auto"/>
          <w:spacing w:val="3"/>
          <w:vertAlign w:val="subscript"/>
        </w:rPr>
        <w:t>R</w:t>
      </w:r>
      <w:r w:rsidR="00242DA0" w:rsidRPr="00DE12A3">
        <w:rPr>
          <w:rFonts w:eastAsia="Times New Roman" w:cs="Times New Roman"/>
          <w:color w:val="auto"/>
          <w:spacing w:val="3"/>
        </w:rPr>
        <w:t xml:space="preserve"> (yakıt 1) ve G</w:t>
      </w:r>
      <w:r w:rsidR="00242DA0" w:rsidRPr="00DE12A3">
        <w:rPr>
          <w:rFonts w:eastAsia="Times New Roman" w:cs="Times New Roman"/>
          <w:color w:val="auto"/>
          <w:spacing w:val="3"/>
          <w:vertAlign w:val="subscript"/>
        </w:rPr>
        <w:t>25</w:t>
      </w:r>
      <w:r w:rsidR="00242DA0" w:rsidRPr="00DE12A3">
        <w:rPr>
          <w:rFonts w:eastAsia="Times New Roman" w:cs="Times New Roman"/>
          <w:color w:val="auto"/>
          <w:spacing w:val="3"/>
        </w:rPr>
        <w:t xml:space="preserve"> (yakıt 2) veya </w:t>
      </w:r>
      <w:r w:rsidR="00EE5D5E" w:rsidRPr="00DE12A3">
        <w:rPr>
          <w:rFonts w:eastAsia="Times New Roman" w:cs="Times New Roman"/>
          <w:color w:val="auto"/>
          <w:spacing w:val="3"/>
        </w:rPr>
        <w:t xml:space="preserve">IX’uncu </w:t>
      </w:r>
      <w:r w:rsidR="00F96421" w:rsidRPr="00DE12A3">
        <w:rPr>
          <w:rFonts w:eastAsia="Times New Roman" w:cs="Times New Roman"/>
          <w:color w:val="auto"/>
          <w:spacing w:val="3"/>
        </w:rPr>
        <w:t xml:space="preserve">Ekin  </w:t>
      </w:r>
      <w:r w:rsidR="00242DA0" w:rsidRPr="00DE12A3">
        <w:rPr>
          <w:rFonts w:eastAsia="Times New Roman" w:cs="Times New Roman"/>
          <w:color w:val="auto"/>
          <w:spacing w:val="3"/>
        </w:rPr>
        <w:t>1. Açıklamalı Ekinde belirtilen boruhattı gazının diğer gazlarla karışımlarını kullanılarak oluşturulan eşdeğer yakıtlar, referans yakıtlar G</w:t>
      </w:r>
      <w:r w:rsidR="00242DA0" w:rsidRPr="00DE12A3">
        <w:rPr>
          <w:rFonts w:eastAsia="Times New Roman" w:cs="Times New Roman"/>
          <w:color w:val="auto"/>
          <w:spacing w:val="3"/>
          <w:vertAlign w:val="subscript"/>
        </w:rPr>
        <w:t>R</w:t>
      </w:r>
      <w:r w:rsidR="00242DA0" w:rsidRPr="00DE12A3">
        <w:rPr>
          <w:rFonts w:eastAsia="Times New Roman" w:cs="Times New Roman"/>
          <w:color w:val="auto"/>
          <w:spacing w:val="3"/>
        </w:rPr>
        <w:t xml:space="preserve"> ve G</w:t>
      </w:r>
      <w:r w:rsidR="00242DA0" w:rsidRPr="00DE12A3">
        <w:rPr>
          <w:rFonts w:eastAsia="Times New Roman" w:cs="Times New Roman"/>
          <w:color w:val="auto"/>
          <w:spacing w:val="3"/>
          <w:vertAlign w:val="subscript"/>
        </w:rPr>
        <w:t>20</w:t>
      </w:r>
      <w:r w:rsidR="00242DA0" w:rsidRPr="00DE12A3">
        <w:rPr>
          <w:rFonts w:eastAsia="Times New Roman" w:cs="Times New Roman"/>
          <w:color w:val="auto"/>
          <w:spacing w:val="3"/>
        </w:rPr>
        <w:t xml:space="preserve"> veya LNG söz konusu olduğunda </w:t>
      </w:r>
      <w:r w:rsidR="00FA0678" w:rsidRPr="00DE12A3">
        <w:rPr>
          <w:rFonts w:eastAsia="Times New Roman" w:cs="Times New Roman"/>
          <w:color w:val="auto"/>
          <w:spacing w:val="3"/>
        </w:rPr>
        <w:t xml:space="preserve">VI’ncı </w:t>
      </w:r>
      <w:r w:rsidR="00387FAA" w:rsidRPr="00DE12A3">
        <w:rPr>
          <w:rFonts w:eastAsia="Times New Roman" w:cs="Times New Roman"/>
          <w:color w:val="auto"/>
          <w:spacing w:val="3"/>
        </w:rPr>
        <w:t>E</w:t>
      </w:r>
      <w:r w:rsidR="00FA0678" w:rsidRPr="00DE12A3">
        <w:rPr>
          <w:rFonts w:eastAsia="Times New Roman" w:cs="Times New Roman"/>
          <w:color w:val="auto"/>
          <w:spacing w:val="3"/>
        </w:rPr>
        <w:t>k</w:t>
      </w:r>
      <w:r w:rsidR="00242DA0" w:rsidRPr="00DE12A3">
        <w:rPr>
          <w:rFonts w:eastAsia="Times New Roman" w:cs="Times New Roman"/>
          <w:color w:val="auto"/>
          <w:spacing w:val="3"/>
        </w:rPr>
        <w:t xml:space="preserve">in 2. Açıklamalı Ekinde belirtilen boruhattı gazının diğer gazlarla karışımlarını kullanılarak oluşturulan eşdeğer yakıtlar veya LPG söz konusu olduğunda  </w:t>
      </w:r>
      <w:r w:rsidR="00EE5D5E" w:rsidRPr="00DE12A3">
        <w:rPr>
          <w:rFonts w:eastAsia="Times New Roman" w:cs="Times New Roman"/>
          <w:color w:val="auto"/>
          <w:spacing w:val="3"/>
        </w:rPr>
        <w:t xml:space="preserve">IX’uncu </w:t>
      </w:r>
      <w:r w:rsidR="00387FAA" w:rsidRPr="00DE12A3">
        <w:rPr>
          <w:rFonts w:eastAsia="Times New Roman" w:cs="Times New Roman"/>
          <w:color w:val="auto"/>
          <w:spacing w:val="3"/>
        </w:rPr>
        <w:t>E</w:t>
      </w:r>
      <w:r w:rsidR="00EE5D5E" w:rsidRPr="00DE12A3">
        <w:rPr>
          <w:rFonts w:eastAsia="Times New Roman" w:cs="Times New Roman"/>
          <w:color w:val="auto"/>
          <w:spacing w:val="3"/>
        </w:rPr>
        <w:t xml:space="preserve">kte    </w:t>
      </w:r>
      <w:r w:rsidR="00242DA0" w:rsidRPr="00DE12A3">
        <w:rPr>
          <w:rFonts w:eastAsia="Times New Roman" w:cs="Times New Roman"/>
          <w:color w:val="auto"/>
          <w:spacing w:val="3"/>
        </w:rPr>
        <w:t xml:space="preserve">belirtilen referans yakıtlar A ve B ile ilgili emisyon </w:t>
      </w:r>
      <w:r w:rsidR="0053289F" w:rsidRPr="00DE12A3">
        <w:rPr>
          <w:rFonts w:eastAsia="Times New Roman" w:cs="Times New Roman"/>
          <w:color w:val="auto"/>
          <w:spacing w:val="3"/>
        </w:rPr>
        <w:t>gerekliliklerini</w:t>
      </w:r>
      <w:r w:rsidR="00242DA0" w:rsidRPr="00DE12A3">
        <w:rPr>
          <w:rFonts w:eastAsia="Times New Roman" w:cs="Times New Roman"/>
          <w:color w:val="auto"/>
          <w:spacing w:val="3"/>
        </w:rPr>
        <w:t xml:space="preserve"> sağlamalıdır.</w:t>
      </w:r>
    </w:p>
    <w:p w14:paraId="501264BD" w14:textId="418AC4D9" w:rsidR="002D7B36" w:rsidRPr="00DE12A3" w:rsidRDefault="005F1765" w:rsidP="005F1765">
      <w:pPr>
        <w:spacing w:before="120" w:after="120"/>
        <w:ind w:firstLine="709"/>
        <w:jc w:val="both"/>
        <w:rPr>
          <w:rFonts w:eastAsia="Times New Roman" w:cs="Times New Roman"/>
          <w:color w:val="auto"/>
          <w:spacing w:val="3"/>
        </w:rPr>
      </w:pPr>
      <w:r w:rsidRPr="00DE12A3">
        <w:rPr>
          <w:rFonts w:eastAsia="Times New Roman" w:cs="Times New Roman"/>
          <w:color w:val="auto"/>
          <w:spacing w:val="3"/>
        </w:rPr>
        <w:t xml:space="preserve">2.4.2.2. </w:t>
      </w:r>
      <w:r w:rsidR="00242DA0" w:rsidRPr="00DE12A3">
        <w:rPr>
          <w:rFonts w:eastAsia="Times New Roman" w:cs="Times New Roman"/>
          <w:color w:val="auto"/>
          <w:spacing w:val="3"/>
        </w:rPr>
        <w:t>CNG ile çalışan motorlar için, motoru referans yakıtlar G</w:t>
      </w:r>
      <w:r w:rsidR="00242DA0" w:rsidRPr="00DE12A3">
        <w:rPr>
          <w:rFonts w:eastAsia="Times New Roman" w:cs="Times New Roman"/>
          <w:color w:val="auto"/>
          <w:spacing w:val="3"/>
          <w:vertAlign w:val="subscript"/>
        </w:rPr>
        <w:t>R</w:t>
      </w:r>
      <w:r w:rsidR="00242DA0" w:rsidRPr="00DE12A3">
        <w:rPr>
          <w:rFonts w:eastAsia="Times New Roman" w:cs="Times New Roman"/>
          <w:color w:val="auto"/>
          <w:spacing w:val="3"/>
        </w:rPr>
        <w:t xml:space="preserve"> ve G</w:t>
      </w:r>
      <w:r w:rsidR="00242DA0" w:rsidRPr="00DE12A3">
        <w:rPr>
          <w:rFonts w:eastAsia="Times New Roman" w:cs="Times New Roman"/>
          <w:color w:val="auto"/>
          <w:spacing w:val="3"/>
          <w:vertAlign w:val="subscript"/>
        </w:rPr>
        <w:t>23</w:t>
      </w:r>
      <w:r w:rsidR="00242DA0" w:rsidRPr="00DE12A3">
        <w:rPr>
          <w:rFonts w:eastAsia="Times New Roman" w:cs="Times New Roman"/>
          <w:color w:val="auto"/>
          <w:spacing w:val="3"/>
        </w:rPr>
        <w:t xml:space="preserve"> veya referans yakıtlar G</w:t>
      </w:r>
      <w:r w:rsidR="00242DA0" w:rsidRPr="00DE12A3">
        <w:rPr>
          <w:rFonts w:eastAsia="Times New Roman" w:cs="Times New Roman"/>
          <w:color w:val="auto"/>
          <w:spacing w:val="3"/>
          <w:vertAlign w:val="subscript"/>
        </w:rPr>
        <w:t>25</w:t>
      </w:r>
      <w:r w:rsidR="00242DA0" w:rsidRPr="00DE12A3">
        <w:rPr>
          <w:rFonts w:eastAsia="Times New Roman" w:cs="Times New Roman"/>
          <w:color w:val="auto"/>
          <w:spacing w:val="3"/>
        </w:rPr>
        <w:t xml:space="preserve"> ve G</w:t>
      </w:r>
      <w:r w:rsidR="00242DA0" w:rsidRPr="00DE12A3">
        <w:rPr>
          <w:rFonts w:eastAsia="Times New Roman" w:cs="Times New Roman"/>
          <w:color w:val="auto"/>
          <w:spacing w:val="3"/>
          <w:vertAlign w:val="subscript"/>
        </w:rPr>
        <w:t>23</w:t>
      </w:r>
      <w:r w:rsidR="00242DA0" w:rsidRPr="00DE12A3">
        <w:rPr>
          <w:rFonts w:eastAsia="Times New Roman" w:cs="Times New Roman"/>
          <w:color w:val="auto"/>
          <w:spacing w:val="3"/>
        </w:rPr>
        <w:t xml:space="preserve"> veya </w:t>
      </w:r>
      <w:r w:rsidR="00EE5D5E" w:rsidRPr="00DE12A3">
        <w:rPr>
          <w:rFonts w:eastAsia="Times New Roman" w:cs="Times New Roman"/>
          <w:color w:val="auto"/>
          <w:spacing w:val="3"/>
        </w:rPr>
        <w:t xml:space="preserve">IX’uncu </w:t>
      </w:r>
      <w:r w:rsidR="00977983" w:rsidRPr="00DE12A3">
        <w:rPr>
          <w:rFonts w:eastAsia="Times New Roman" w:cs="Times New Roman"/>
          <w:color w:val="auto"/>
          <w:spacing w:val="3"/>
        </w:rPr>
        <w:t>ekin 1.</w:t>
      </w:r>
      <w:r w:rsidR="00242DA0" w:rsidRPr="00DE12A3">
        <w:rPr>
          <w:rFonts w:eastAsia="Times New Roman" w:cs="Times New Roman"/>
          <w:color w:val="auto"/>
          <w:spacing w:val="3"/>
        </w:rPr>
        <w:t xml:space="preserve"> Açıklayıcı Ekinde belirtilen boru hattı gazının diğer gazlarla karışımları kullanılarak oluşturulan eşdeğer yakıtlar ile test edebilir; bu durumda AB tip onayı sadece sırasıyla H-gaz aralığı ve L-gaz aralığı için geçerlidir.</w:t>
      </w:r>
    </w:p>
    <w:p w14:paraId="6CAF78EE" w14:textId="65380D63" w:rsidR="002D7B36" w:rsidRPr="00DE12A3" w:rsidRDefault="005F1765" w:rsidP="005F1765">
      <w:pPr>
        <w:spacing w:before="120" w:after="120"/>
        <w:ind w:firstLine="709"/>
        <w:jc w:val="both"/>
        <w:rPr>
          <w:rFonts w:eastAsia="Times New Roman" w:cs="Times New Roman"/>
          <w:color w:val="auto"/>
          <w:spacing w:val="3"/>
        </w:rPr>
      </w:pPr>
      <w:r w:rsidRPr="00DE12A3">
        <w:rPr>
          <w:rFonts w:eastAsia="Times New Roman" w:cs="Times New Roman"/>
          <w:color w:val="auto"/>
          <w:spacing w:val="3"/>
        </w:rPr>
        <w:t xml:space="preserve">2.4.2.3. </w:t>
      </w:r>
      <w:r w:rsidR="00242DA0" w:rsidRPr="00DE12A3">
        <w:rPr>
          <w:rFonts w:eastAsia="Times New Roman" w:cs="Times New Roman"/>
          <w:color w:val="auto"/>
          <w:spacing w:val="3"/>
        </w:rPr>
        <w:t>Müşteriye teslim edilirken motorun üzerinde, motor hangi yakıt aralığı bileşimi için kalibre edildiğini belirten 2017/656</w:t>
      </w:r>
      <w:r w:rsidR="00EE5D5E" w:rsidRPr="00DE12A3">
        <w:rPr>
          <w:rFonts w:eastAsia="Times New Roman" w:cs="Times New Roman"/>
          <w:color w:val="auto"/>
          <w:spacing w:val="3"/>
        </w:rPr>
        <w:t>/</w:t>
      </w:r>
      <w:r w:rsidR="003C361A" w:rsidRPr="00DE12A3">
        <w:rPr>
          <w:rFonts w:eastAsia="Times New Roman" w:cs="Times New Roman"/>
          <w:color w:val="auto"/>
          <w:spacing w:val="3"/>
        </w:rPr>
        <w:t>AB Tebliğinin</w:t>
      </w:r>
      <w:r w:rsidR="00242DA0" w:rsidRPr="00DE12A3">
        <w:rPr>
          <w:rFonts w:eastAsia="Times New Roman" w:cs="Times New Roman"/>
          <w:color w:val="auto"/>
          <w:spacing w:val="3"/>
        </w:rPr>
        <w:t xml:space="preserve"> III</w:t>
      </w:r>
      <w:r w:rsidR="00EE5D5E" w:rsidRPr="00DE12A3">
        <w:rPr>
          <w:rFonts w:eastAsia="Times New Roman" w:cs="Times New Roman"/>
          <w:color w:val="auto"/>
          <w:spacing w:val="3"/>
        </w:rPr>
        <w:t xml:space="preserve">’üncü </w:t>
      </w:r>
      <w:r w:rsidR="00EC3EF0" w:rsidRPr="00DE12A3">
        <w:rPr>
          <w:rFonts w:eastAsia="Times New Roman" w:cs="Times New Roman"/>
          <w:color w:val="auto"/>
          <w:spacing w:val="3"/>
        </w:rPr>
        <w:t>E</w:t>
      </w:r>
      <w:r w:rsidR="00242DA0" w:rsidRPr="00DE12A3">
        <w:rPr>
          <w:rFonts w:eastAsia="Times New Roman" w:cs="Times New Roman"/>
          <w:color w:val="auto"/>
          <w:spacing w:val="3"/>
        </w:rPr>
        <w:t>kinde belirtilen etiket bulunmalıdır.</w:t>
      </w:r>
    </w:p>
    <w:p w14:paraId="22BF2D3C" w14:textId="3D8937CC" w:rsidR="002D7B36" w:rsidRPr="00DE12A3" w:rsidRDefault="00134E9B" w:rsidP="00134E9B">
      <w:pPr>
        <w:spacing w:before="120" w:after="120"/>
        <w:jc w:val="both"/>
        <w:rPr>
          <w:rFonts w:eastAsia="Times New Roman" w:cs="Times New Roman"/>
          <w:color w:val="auto"/>
          <w:spacing w:val="3"/>
        </w:rPr>
      </w:pPr>
      <w:r w:rsidRPr="00DE12A3">
        <w:rPr>
          <w:rFonts w:eastAsia="Times New Roman" w:cs="Times New Roman"/>
          <w:color w:val="auto"/>
          <w:spacing w:val="3"/>
        </w:rPr>
        <w:t xml:space="preserve">2.5. </w:t>
      </w:r>
      <w:r w:rsidR="00242DA0" w:rsidRPr="00DE12A3">
        <w:rPr>
          <w:rFonts w:eastAsia="Times New Roman" w:cs="Times New Roman"/>
          <w:color w:val="auto"/>
          <w:spacing w:val="3"/>
        </w:rPr>
        <w:t>Sıvılaştırılmış doğal gaz/sıvılaştırılmış biyometan (LNG) ile çalışan bir yakıta özgü motora ilişkin şartlar</w:t>
      </w:r>
    </w:p>
    <w:p w14:paraId="1B372A7F" w14:textId="58459BBD" w:rsidR="002D7B36" w:rsidRPr="00DE12A3" w:rsidRDefault="00242DA0" w:rsidP="00134E9B">
      <w:pPr>
        <w:spacing w:before="120" w:after="120"/>
        <w:jc w:val="both"/>
        <w:rPr>
          <w:rFonts w:eastAsia="Times New Roman" w:cs="Times New Roman"/>
          <w:color w:val="auto"/>
          <w:spacing w:val="3"/>
        </w:rPr>
      </w:pPr>
      <w:r w:rsidRPr="00DE12A3">
        <w:rPr>
          <w:rFonts w:eastAsia="Times New Roman" w:cs="Times New Roman"/>
          <w:color w:val="auto"/>
          <w:spacing w:val="3"/>
        </w:rPr>
        <w:t xml:space="preserve">Sıvılaştırılmış doğal gaz/sıvılaştırılmış biyometan ile çalışan bir yakıta özgü motor, 2.5.1 ila 2.5.2 bentlerinde belirtilen </w:t>
      </w:r>
      <w:r w:rsidR="0053289F" w:rsidRPr="00DE12A3">
        <w:rPr>
          <w:rFonts w:eastAsia="Times New Roman" w:cs="Times New Roman"/>
          <w:color w:val="auto"/>
          <w:spacing w:val="3"/>
        </w:rPr>
        <w:t>gereklilikleri</w:t>
      </w:r>
      <w:r w:rsidRPr="00DE12A3">
        <w:rPr>
          <w:rFonts w:eastAsia="Times New Roman" w:cs="Times New Roman"/>
          <w:color w:val="auto"/>
          <w:spacing w:val="3"/>
        </w:rPr>
        <w:t xml:space="preserve"> sağlamalıdır.</w:t>
      </w:r>
    </w:p>
    <w:p w14:paraId="2E65F97E" w14:textId="0C20825B" w:rsidR="002D7B36" w:rsidRPr="00DE12A3" w:rsidRDefault="00134E9B" w:rsidP="00134E9B">
      <w:pPr>
        <w:spacing w:before="120" w:after="120"/>
        <w:ind w:firstLine="709"/>
        <w:jc w:val="both"/>
        <w:rPr>
          <w:rFonts w:eastAsia="Times New Roman" w:cs="Times New Roman"/>
          <w:color w:val="auto"/>
          <w:spacing w:val="3"/>
        </w:rPr>
      </w:pPr>
      <w:r w:rsidRPr="00DE12A3">
        <w:rPr>
          <w:rFonts w:eastAsia="Times New Roman" w:cs="Times New Roman"/>
          <w:color w:val="auto"/>
          <w:spacing w:val="3"/>
        </w:rPr>
        <w:t xml:space="preserve">2.5.1. </w:t>
      </w:r>
      <w:r w:rsidR="00242DA0" w:rsidRPr="00DE12A3">
        <w:rPr>
          <w:rFonts w:eastAsia="Times New Roman" w:cs="Times New Roman"/>
          <w:color w:val="auto"/>
          <w:spacing w:val="3"/>
        </w:rPr>
        <w:t>Sıvılaştırılmış doğal gaz/sıvılaştırılmış biyometan (LNG) ile çalışan yakıta özgü motor</w:t>
      </w:r>
    </w:p>
    <w:p w14:paraId="192128D3" w14:textId="311F4826" w:rsidR="002D7B36" w:rsidRPr="00DE12A3" w:rsidRDefault="00134E9B" w:rsidP="00134E9B">
      <w:pPr>
        <w:spacing w:before="120" w:after="120"/>
        <w:ind w:firstLine="709"/>
        <w:jc w:val="both"/>
        <w:rPr>
          <w:rFonts w:eastAsia="Times New Roman" w:cs="Times New Roman"/>
          <w:color w:val="auto"/>
          <w:spacing w:val="3"/>
        </w:rPr>
      </w:pPr>
      <w:r w:rsidRPr="00DE12A3">
        <w:rPr>
          <w:rFonts w:eastAsia="Times New Roman" w:cs="Times New Roman"/>
          <w:color w:val="auto"/>
          <w:spacing w:val="3"/>
        </w:rPr>
        <w:t xml:space="preserve">2.5.1.1. </w:t>
      </w:r>
      <w:r w:rsidR="00242DA0" w:rsidRPr="00DE12A3">
        <w:rPr>
          <w:rFonts w:eastAsia="Times New Roman" w:cs="Times New Roman"/>
          <w:color w:val="auto"/>
          <w:spacing w:val="3"/>
        </w:rPr>
        <w:t xml:space="preserve">Motor, </w:t>
      </w:r>
      <w:r w:rsidR="00EE5D5E" w:rsidRPr="00DE12A3">
        <w:rPr>
          <w:rFonts w:eastAsia="Times New Roman" w:cs="Times New Roman"/>
          <w:color w:val="auto"/>
          <w:spacing w:val="3"/>
        </w:rPr>
        <w:t xml:space="preserve">IX’uncu </w:t>
      </w:r>
      <w:r w:rsidR="00811F2B" w:rsidRPr="00DE12A3">
        <w:rPr>
          <w:rFonts w:eastAsia="Times New Roman" w:cs="Times New Roman"/>
          <w:color w:val="auto"/>
          <w:spacing w:val="3"/>
        </w:rPr>
        <w:t>E</w:t>
      </w:r>
      <w:r w:rsidR="00EE5D5E" w:rsidRPr="00DE12A3">
        <w:rPr>
          <w:rFonts w:eastAsia="Times New Roman" w:cs="Times New Roman"/>
          <w:color w:val="auto"/>
          <w:spacing w:val="3"/>
        </w:rPr>
        <w:t xml:space="preserve">kte </w:t>
      </w:r>
      <w:r w:rsidR="00242DA0" w:rsidRPr="00DE12A3">
        <w:rPr>
          <w:rFonts w:eastAsia="Times New Roman" w:cs="Times New Roman"/>
          <w:color w:val="auto"/>
          <w:spacing w:val="3"/>
        </w:rPr>
        <w:t>belirtilen G</w:t>
      </w:r>
      <w:r w:rsidR="00242DA0" w:rsidRPr="00DE12A3">
        <w:rPr>
          <w:rFonts w:eastAsia="Times New Roman" w:cs="Times New Roman"/>
          <w:color w:val="auto"/>
          <w:spacing w:val="3"/>
          <w:vertAlign w:val="subscript"/>
        </w:rPr>
        <w:t>20</w:t>
      </w:r>
      <w:r w:rsidR="00242DA0" w:rsidRPr="00DE12A3">
        <w:rPr>
          <w:rFonts w:eastAsia="Times New Roman" w:cs="Times New Roman"/>
          <w:color w:val="auto"/>
          <w:spacing w:val="3"/>
        </w:rPr>
        <w:t xml:space="preserve"> yakıtının λ-</w:t>
      </w:r>
      <w:r w:rsidR="00C917D6" w:rsidRPr="00DE12A3">
        <w:rPr>
          <w:rFonts w:eastAsia="Times New Roman" w:cs="Times New Roman"/>
          <w:color w:val="auto"/>
          <w:spacing w:val="3"/>
        </w:rPr>
        <w:t>değiştirme faktörü</w:t>
      </w:r>
      <w:r w:rsidR="00242DA0" w:rsidRPr="00DE12A3">
        <w:rPr>
          <w:rFonts w:eastAsia="Times New Roman" w:cs="Times New Roman"/>
          <w:color w:val="auto"/>
          <w:spacing w:val="3"/>
        </w:rPr>
        <w:t>nden %3'ten daha fazla farklı olmayan bir λ-</w:t>
      </w:r>
      <w:r w:rsidR="00C917D6" w:rsidRPr="00DE12A3">
        <w:rPr>
          <w:rFonts w:eastAsia="Times New Roman" w:cs="Times New Roman"/>
          <w:color w:val="auto"/>
          <w:spacing w:val="3"/>
        </w:rPr>
        <w:t>değiştirme faktörü</w:t>
      </w:r>
      <w:r w:rsidR="00242DA0" w:rsidRPr="00DE12A3">
        <w:rPr>
          <w:rFonts w:eastAsia="Times New Roman" w:cs="Times New Roman"/>
          <w:color w:val="auto"/>
          <w:spacing w:val="3"/>
        </w:rPr>
        <w:t xml:space="preserve">ne yol açan ve etan içeriği </w:t>
      </w:r>
      <w:r w:rsidR="00977983" w:rsidRPr="00DE12A3">
        <w:rPr>
          <w:rFonts w:eastAsia="Times New Roman" w:cs="Times New Roman"/>
          <w:color w:val="auto"/>
          <w:spacing w:val="3"/>
        </w:rPr>
        <w:t>%1,5</w:t>
      </w:r>
      <w:r w:rsidR="00242DA0" w:rsidRPr="00DE12A3">
        <w:rPr>
          <w:rFonts w:eastAsia="Times New Roman" w:cs="Times New Roman"/>
          <w:color w:val="auto"/>
          <w:spacing w:val="3"/>
        </w:rPr>
        <w:t>'i aşmayan belirli bir LNG gaz bileşimi için kalibre edilmelidir.</w:t>
      </w:r>
    </w:p>
    <w:p w14:paraId="2827D629" w14:textId="1FEF5830" w:rsidR="002D7B36" w:rsidRPr="00DE12A3" w:rsidRDefault="00134E9B" w:rsidP="00134E9B">
      <w:pPr>
        <w:spacing w:before="120" w:after="120"/>
        <w:ind w:firstLine="709"/>
        <w:jc w:val="both"/>
        <w:rPr>
          <w:rFonts w:eastAsia="Times New Roman" w:cs="Times New Roman"/>
          <w:color w:val="auto"/>
          <w:spacing w:val="3"/>
        </w:rPr>
      </w:pPr>
      <w:r w:rsidRPr="00DE12A3">
        <w:rPr>
          <w:rFonts w:eastAsia="Times New Roman" w:cs="Times New Roman"/>
          <w:color w:val="auto"/>
          <w:spacing w:val="3"/>
        </w:rPr>
        <w:t xml:space="preserve">2.5.1.2. </w:t>
      </w:r>
      <w:r w:rsidR="00242DA0" w:rsidRPr="00DE12A3">
        <w:rPr>
          <w:rFonts w:eastAsia="Times New Roman" w:cs="Times New Roman"/>
          <w:color w:val="auto"/>
          <w:spacing w:val="3"/>
        </w:rPr>
        <w:t>2.5.1.1 bendinde belirtilen şartlar sağlanmazsa, imalatçı 2.</w:t>
      </w:r>
      <w:r w:rsidR="00EC5499" w:rsidRPr="00DE12A3">
        <w:rPr>
          <w:rFonts w:eastAsia="Times New Roman" w:cs="Times New Roman"/>
          <w:color w:val="auto"/>
          <w:spacing w:val="3"/>
        </w:rPr>
        <w:t>3</w:t>
      </w:r>
      <w:r w:rsidR="00242DA0" w:rsidRPr="00DE12A3">
        <w:rPr>
          <w:rFonts w:eastAsia="Times New Roman" w:cs="Times New Roman"/>
          <w:color w:val="auto"/>
          <w:spacing w:val="3"/>
        </w:rPr>
        <w:t>.</w:t>
      </w:r>
      <w:r w:rsidR="00EC5499" w:rsidRPr="00DE12A3">
        <w:rPr>
          <w:rFonts w:eastAsia="Times New Roman" w:cs="Times New Roman"/>
          <w:color w:val="auto"/>
          <w:spacing w:val="3"/>
        </w:rPr>
        <w:t>1</w:t>
      </w:r>
      <w:r w:rsidR="00242DA0" w:rsidRPr="00DE12A3">
        <w:rPr>
          <w:rFonts w:eastAsia="Times New Roman" w:cs="Times New Roman"/>
          <w:color w:val="auto"/>
          <w:spacing w:val="3"/>
        </w:rPr>
        <w:t>.2 bendinde belirtilen özelliklere göre bir evrensel yakıtlı motor için başvuruda bulunur.</w:t>
      </w:r>
    </w:p>
    <w:p w14:paraId="1B4F9C84" w14:textId="5357ED38" w:rsidR="002D7B36" w:rsidRPr="00DE12A3" w:rsidRDefault="00134E9B" w:rsidP="00134E9B">
      <w:pPr>
        <w:spacing w:before="120" w:after="120"/>
        <w:ind w:firstLine="709"/>
        <w:jc w:val="both"/>
        <w:rPr>
          <w:rFonts w:eastAsia="Times New Roman" w:cs="Times New Roman"/>
          <w:color w:val="auto"/>
          <w:spacing w:val="3"/>
        </w:rPr>
      </w:pPr>
      <w:r w:rsidRPr="00DE12A3">
        <w:rPr>
          <w:rFonts w:eastAsia="Times New Roman" w:cs="Times New Roman"/>
          <w:color w:val="auto"/>
          <w:spacing w:val="3"/>
        </w:rPr>
        <w:t xml:space="preserve">2.5.2. </w:t>
      </w:r>
      <w:r w:rsidR="00242DA0" w:rsidRPr="00DE12A3">
        <w:rPr>
          <w:rFonts w:eastAsia="Times New Roman" w:cs="Times New Roman"/>
          <w:color w:val="auto"/>
          <w:spacing w:val="3"/>
        </w:rPr>
        <w:t>Sıvılaştırılmış Doğal Gaz (LNG) ile çalışan yakıta özgü iki yakıtlı motor</w:t>
      </w:r>
    </w:p>
    <w:p w14:paraId="58344194" w14:textId="1EC0C781" w:rsidR="002D7B36" w:rsidRPr="00DE12A3" w:rsidRDefault="00540548" w:rsidP="00540548">
      <w:pPr>
        <w:spacing w:before="120" w:after="120"/>
        <w:ind w:firstLine="709"/>
        <w:jc w:val="both"/>
        <w:rPr>
          <w:rFonts w:eastAsia="Times New Roman" w:cs="Times New Roman"/>
          <w:color w:val="auto"/>
          <w:spacing w:val="3"/>
        </w:rPr>
      </w:pPr>
      <w:r w:rsidRPr="00DE12A3">
        <w:rPr>
          <w:rFonts w:eastAsia="Times New Roman" w:cs="Times New Roman"/>
          <w:color w:val="auto"/>
          <w:spacing w:val="3"/>
        </w:rPr>
        <w:t xml:space="preserve">2.5.2.1. </w:t>
      </w:r>
      <w:r w:rsidR="00242DA0" w:rsidRPr="00DE12A3">
        <w:rPr>
          <w:rFonts w:eastAsia="Times New Roman" w:cs="Times New Roman"/>
          <w:color w:val="auto"/>
          <w:spacing w:val="3"/>
        </w:rPr>
        <w:t xml:space="preserve">Motorların, </w:t>
      </w:r>
      <w:r w:rsidR="00EE5D5E" w:rsidRPr="00DE12A3">
        <w:rPr>
          <w:rFonts w:eastAsia="Times New Roman" w:cs="Times New Roman"/>
          <w:color w:val="auto"/>
          <w:spacing w:val="3"/>
        </w:rPr>
        <w:t xml:space="preserve">IX’uncu ekte    </w:t>
      </w:r>
      <w:r w:rsidR="00242DA0" w:rsidRPr="00DE12A3">
        <w:rPr>
          <w:rFonts w:eastAsia="Times New Roman" w:cs="Times New Roman"/>
          <w:color w:val="auto"/>
          <w:spacing w:val="3"/>
        </w:rPr>
        <w:t>belirtilen G</w:t>
      </w:r>
      <w:r w:rsidR="00242DA0" w:rsidRPr="00DE12A3">
        <w:rPr>
          <w:rFonts w:eastAsia="Times New Roman" w:cs="Times New Roman"/>
          <w:color w:val="auto"/>
          <w:spacing w:val="3"/>
          <w:vertAlign w:val="subscript"/>
        </w:rPr>
        <w:t>20</w:t>
      </w:r>
      <w:r w:rsidR="00242DA0" w:rsidRPr="00DE12A3">
        <w:rPr>
          <w:rFonts w:eastAsia="Times New Roman" w:cs="Times New Roman"/>
          <w:color w:val="auto"/>
          <w:spacing w:val="3"/>
        </w:rPr>
        <w:t xml:space="preserve"> yakıtının λ-</w:t>
      </w:r>
      <w:r w:rsidR="00C917D6" w:rsidRPr="00DE12A3">
        <w:rPr>
          <w:rFonts w:eastAsia="Times New Roman" w:cs="Times New Roman"/>
          <w:color w:val="auto"/>
          <w:spacing w:val="3"/>
        </w:rPr>
        <w:t>değiştirme faktörü</w:t>
      </w:r>
      <w:r w:rsidR="00242DA0" w:rsidRPr="00DE12A3">
        <w:rPr>
          <w:rFonts w:eastAsia="Times New Roman" w:cs="Times New Roman"/>
          <w:color w:val="auto"/>
          <w:spacing w:val="3"/>
        </w:rPr>
        <w:t>nden %3'ten daha fazla farklı olmayan bir λ-</w:t>
      </w:r>
      <w:r w:rsidR="00C917D6" w:rsidRPr="00DE12A3">
        <w:rPr>
          <w:rFonts w:eastAsia="Times New Roman" w:cs="Times New Roman"/>
          <w:color w:val="auto"/>
          <w:spacing w:val="3"/>
        </w:rPr>
        <w:t>değiştirme faktörü</w:t>
      </w:r>
      <w:r w:rsidR="00242DA0" w:rsidRPr="00DE12A3">
        <w:rPr>
          <w:rFonts w:eastAsia="Times New Roman" w:cs="Times New Roman"/>
          <w:color w:val="auto"/>
          <w:spacing w:val="3"/>
        </w:rPr>
        <w:t xml:space="preserve">ne yol açan ve etan içeriği </w:t>
      </w:r>
      <w:r w:rsidR="00C633F3" w:rsidRPr="00DE12A3">
        <w:rPr>
          <w:rFonts w:eastAsia="Times New Roman" w:cs="Times New Roman"/>
          <w:color w:val="auto"/>
          <w:spacing w:val="3"/>
        </w:rPr>
        <w:t>%1,5</w:t>
      </w:r>
      <w:r w:rsidR="00242DA0" w:rsidRPr="00DE12A3">
        <w:rPr>
          <w:rFonts w:eastAsia="Times New Roman" w:cs="Times New Roman"/>
          <w:color w:val="auto"/>
          <w:spacing w:val="3"/>
        </w:rPr>
        <w:t>'i aşmayan belirli bir LNG gaz bileşimi için kalibre edildiği çift yakıtlı motor ailesi için, ana motor sadece referans gaz yakıt G</w:t>
      </w:r>
      <w:r w:rsidR="00242DA0" w:rsidRPr="00DE12A3">
        <w:rPr>
          <w:rFonts w:eastAsia="Times New Roman" w:cs="Times New Roman"/>
          <w:color w:val="auto"/>
          <w:spacing w:val="3"/>
          <w:vertAlign w:val="subscript"/>
        </w:rPr>
        <w:t>20</w:t>
      </w:r>
      <w:r w:rsidR="00242DA0" w:rsidRPr="00DE12A3">
        <w:rPr>
          <w:rFonts w:eastAsia="Times New Roman" w:cs="Times New Roman"/>
          <w:color w:val="auto"/>
          <w:spacing w:val="3"/>
        </w:rPr>
        <w:t xml:space="preserve"> veya </w:t>
      </w:r>
      <w:r w:rsidR="00EE5D5E" w:rsidRPr="00DE12A3">
        <w:rPr>
          <w:rFonts w:eastAsia="Times New Roman" w:cs="Times New Roman"/>
          <w:color w:val="auto"/>
          <w:spacing w:val="3"/>
        </w:rPr>
        <w:t xml:space="preserve">IX’uncu </w:t>
      </w:r>
      <w:r w:rsidR="00387FAA" w:rsidRPr="00DE12A3">
        <w:rPr>
          <w:rFonts w:eastAsia="Times New Roman" w:cs="Times New Roman"/>
          <w:color w:val="auto"/>
          <w:spacing w:val="3"/>
        </w:rPr>
        <w:t>E</w:t>
      </w:r>
      <w:r w:rsidR="00C633F3" w:rsidRPr="00DE12A3">
        <w:rPr>
          <w:rFonts w:eastAsia="Times New Roman" w:cs="Times New Roman"/>
          <w:color w:val="auto"/>
          <w:spacing w:val="3"/>
        </w:rPr>
        <w:t>kin 1.</w:t>
      </w:r>
      <w:r w:rsidR="00242DA0" w:rsidRPr="00DE12A3">
        <w:rPr>
          <w:rFonts w:eastAsia="Times New Roman" w:cs="Times New Roman"/>
          <w:color w:val="auto"/>
          <w:spacing w:val="3"/>
        </w:rPr>
        <w:t xml:space="preserve"> Açıklayıcı Ekinde belirtilen boru hattı gazının diğer gazlarla karışımları kullanılarak oluşturulan eşdeğer yakıtlar ile test edilmelidir.</w:t>
      </w:r>
    </w:p>
    <w:p w14:paraId="67C4AB7F" w14:textId="69C52A55" w:rsidR="002D7B36" w:rsidRPr="00DE12A3" w:rsidRDefault="00540548" w:rsidP="00540548">
      <w:pPr>
        <w:spacing w:before="120" w:after="120"/>
        <w:jc w:val="both"/>
        <w:rPr>
          <w:rFonts w:eastAsia="Times New Roman" w:cs="Times New Roman"/>
          <w:color w:val="auto"/>
          <w:spacing w:val="3"/>
        </w:rPr>
      </w:pPr>
      <w:r w:rsidRPr="00DE12A3">
        <w:rPr>
          <w:rFonts w:eastAsia="Times New Roman" w:cs="Times New Roman"/>
          <w:color w:val="auto"/>
          <w:spacing w:val="3"/>
        </w:rPr>
        <w:t xml:space="preserve">2.6. </w:t>
      </w:r>
      <w:r w:rsidR="00242DA0" w:rsidRPr="00DE12A3">
        <w:rPr>
          <w:rFonts w:eastAsia="Times New Roman" w:cs="Times New Roman"/>
          <w:color w:val="auto"/>
          <w:spacing w:val="3"/>
        </w:rPr>
        <w:t>Bir ailenin bir üyesinin AB tip onayı</w:t>
      </w:r>
    </w:p>
    <w:p w14:paraId="7EF41414" w14:textId="0362F228" w:rsidR="002D7B36" w:rsidRPr="00DE12A3" w:rsidRDefault="00540548" w:rsidP="00540548">
      <w:pPr>
        <w:spacing w:before="120" w:after="120"/>
        <w:ind w:firstLine="709"/>
        <w:jc w:val="both"/>
        <w:rPr>
          <w:rFonts w:eastAsia="Times New Roman" w:cs="Times New Roman"/>
          <w:color w:val="auto"/>
          <w:spacing w:val="3"/>
        </w:rPr>
      </w:pPr>
      <w:r w:rsidRPr="00DE12A3">
        <w:rPr>
          <w:rFonts w:eastAsia="Times New Roman" w:cs="Times New Roman"/>
          <w:color w:val="auto"/>
          <w:spacing w:val="3"/>
        </w:rPr>
        <w:t xml:space="preserve">2.6.1. </w:t>
      </w:r>
      <w:r w:rsidR="005A5AFB" w:rsidRPr="00DE12A3">
        <w:rPr>
          <w:rFonts w:eastAsia="Times New Roman" w:cs="Times New Roman"/>
          <w:color w:val="auto"/>
          <w:spacing w:val="3"/>
        </w:rPr>
        <w:t xml:space="preserve"> </w:t>
      </w:r>
      <w:r w:rsidR="00242DA0" w:rsidRPr="00DE12A3">
        <w:rPr>
          <w:rFonts w:eastAsia="Times New Roman" w:cs="Times New Roman"/>
          <w:color w:val="auto"/>
          <w:spacing w:val="3"/>
        </w:rPr>
        <w:t>2.6.2 bendinde belirtilen durum dışında, bir ana motorun AB tip onayı, (2.5 bendinde açıklanan motorlar durumunda) ana motorun AB tip onaylı olduğu türlerdeki herhangi bir yakıt bileşimi veya (2.3 ya da 2.4 ben</w:t>
      </w:r>
      <w:r w:rsidR="005A5AFB" w:rsidRPr="00DE12A3">
        <w:rPr>
          <w:rFonts w:eastAsia="Times New Roman" w:cs="Times New Roman"/>
          <w:color w:val="auto"/>
          <w:spacing w:val="3"/>
        </w:rPr>
        <w:t>tler</w:t>
      </w:r>
      <w:r w:rsidR="00242DA0" w:rsidRPr="00DE12A3">
        <w:rPr>
          <w:rFonts w:eastAsia="Times New Roman" w:cs="Times New Roman"/>
          <w:color w:val="auto"/>
          <w:spacing w:val="3"/>
        </w:rPr>
        <w:t>inde açıklanan motorlar durumunda) ana motorun AB tip onaylı olduğu aynı yakıt türleri için daha fazla test yapılmadan tüm aile üyelerini kapsayacak şekilde verilir.</w:t>
      </w:r>
    </w:p>
    <w:p w14:paraId="74B34783" w14:textId="18DC0189" w:rsidR="002D7B36" w:rsidRPr="00DE12A3" w:rsidRDefault="00540548" w:rsidP="00540548">
      <w:pPr>
        <w:spacing w:before="120" w:after="120"/>
        <w:ind w:firstLine="709"/>
        <w:jc w:val="both"/>
        <w:rPr>
          <w:rFonts w:eastAsia="Times New Roman" w:cs="Times New Roman"/>
          <w:color w:val="auto"/>
          <w:spacing w:val="3"/>
        </w:rPr>
      </w:pPr>
      <w:r w:rsidRPr="00DE12A3">
        <w:rPr>
          <w:rFonts w:eastAsia="Times New Roman" w:cs="Times New Roman"/>
          <w:color w:val="auto"/>
          <w:spacing w:val="3"/>
        </w:rPr>
        <w:lastRenderedPageBreak/>
        <w:t xml:space="preserve">2.6.2. </w:t>
      </w:r>
      <w:r w:rsidR="00381FB4" w:rsidRPr="00381FB4">
        <w:rPr>
          <w:rFonts w:eastAsia="Times New Roman" w:cs="Times New Roman"/>
          <w:b/>
          <w:color w:val="auto"/>
          <w:spacing w:val="3"/>
        </w:rPr>
        <w:t>(Değişik ibare:RG-27/9/2022-31966)</w:t>
      </w:r>
      <w:r w:rsidR="00381FB4" w:rsidRPr="00381FB4">
        <w:rPr>
          <w:rFonts w:eastAsia="Times New Roman" w:cs="Times New Roman"/>
          <w:b/>
          <w:color w:val="auto"/>
          <w:spacing w:val="3"/>
          <w:vertAlign w:val="superscript"/>
        </w:rPr>
        <w:t xml:space="preserve">(Bu değişiklik 1/10/2022 tarihinde yürürlüğe girer.) </w:t>
      </w:r>
      <w:r w:rsidR="00381FB4" w:rsidRPr="00381FB4">
        <w:rPr>
          <w:rFonts w:eastAsia="Times New Roman" w:cs="Times New Roman"/>
          <w:b/>
          <w:color w:val="auto"/>
          <w:spacing w:val="3"/>
        </w:rPr>
        <w:t xml:space="preserve"> </w:t>
      </w:r>
      <w:r w:rsidR="00381FB4" w:rsidRPr="00381FB4">
        <w:rPr>
          <w:rFonts w:eastAsia="Times New Roman" w:cs="Times New Roman"/>
          <w:color w:val="auto"/>
          <w:spacing w:val="3"/>
          <w:u w:val="single"/>
        </w:rPr>
        <w:t>Onay kuruluşunun</w:t>
      </w:r>
      <w:r w:rsidR="00242DA0" w:rsidRPr="00DE12A3">
        <w:rPr>
          <w:rFonts w:eastAsia="Times New Roman" w:cs="Times New Roman"/>
          <w:color w:val="auto"/>
          <w:spacing w:val="3"/>
        </w:rPr>
        <w:t xml:space="preserve">, seçilen ana motor ile ilgili olarak, sunulan </w:t>
      </w:r>
      <w:r w:rsidR="00977983" w:rsidRPr="00DE12A3">
        <w:rPr>
          <w:rFonts w:eastAsia="Times New Roman" w:cs="Times New Roman"/>
          <w:color w:val="auto"/>
          <w:spacing w:val="3"/>
        </w:rPr>
        <w:t>başvurunun 2017</w:t>
      </w:r>
      <w:r w:rsidR="00242DA0" w:rsidRPr="00DE12A3">
        <w:rPr>
          <w:rFonts w:eastAsia="Times New Roman" w:cs="Times New Roman"/>
          <w:color w:val="auto"/>
          <w:spacing w:val="3"/>
        </w:rPr>
        <w:t>/656</w:t>
      </w:r>
      <w:r w:rsidR="00EE5D5E" w:rsidRPr="00DE12A3">
        <w:rPr>
          <w:rFonts w:eastAsia="Times New Roman" w:cs="Times New Roman"/>
          <w:color w:val="auto"/>
          <w:spacing w:val="3"/>
        </w:rPr>
        <w:t>/AB</w:t>
      </w:r>
      <w:r w:rsidR="00242DA0" w:rsidRPr="00DE12A3">
        <w:rPr>
          <w:rFonts w:eastAsia="Times New Roman" w:cs="Times New Roman"/>
          <w:color w:val="auto"/>
          <w:spacing w:val="3"/>
        </w:rPr>
        <w:t xml:space="preserve"> T</w:t>
      </w:r>
      <w:r w:rsidR="00EE5D5E" w:rsidRPr="00DE12A3">
        <w:rPr>
          <w:rFonts w:eastAsia="Times New Roman" w:cs="Times New Roman"/>
          <w:color w:val="auto"/>
          <w:spacing w:val="3"/>
        </w:rPr>
        <w:t>ebliğinin</w:t>
      </w:r>
      <w:r w:rsidR="00242DA0" w:rsidRPr="00DE12A3">
        <w:rPr>
          <w:rFonts w:eastAsia="Times New Roman" w:cs="Times New Roman"/>
          <w:color w:val="auto"/>
          <w:spacing w:val="3"/>
        </w:rPr>
        <w:t xml:space="preserve"> IX</w:t>
      </w:r>
      <w:r w:rsidR="00EE5D5E" w:rsidRPr="00DE12A3">
        <w:rPr>
          <w:rFonts w:eastAsia="Times New Roman" w:cs="Times New Roman"/>
          <w:color w:val="auto"/>
          <w:spacing w:val="3"/>
        </w:rPr>
        <w:t>’uncu</w:t>
      </w:r>
      <w:r w:rsidR="00242DA0" w:rsidRPr="00DE12A3">
        <w:rPr>
          <w:rFonts w:eastAsia="Times New Roman" w:cs="Times New Roman"/>
          <w:color w:val="auto"/>
          <w:spacing w:val="3"/>
        </w:rPr>
        <w:t xml:space="preserve"> </w:t>
      </w:r>
      <w:r w:rsidR="00EC3EF0" w:rsidRPr="00DE12A3">
        <w:rPr>
          <w:rFonts w:eastAsia="Times New Roman" w:cs="Times New Roman"/>
          <w:color w:val="auto"/>
          <w:spacing w:val="3"/>
        </w:rPr>
        <w:t>Ekinde</w:t>
      </w:r>
      <w:r w:rsidR="00242DA0" w:rsidRPr="00DE12A3">
        <w:rPr>
          <w:rFonts w:eastAsia="Times New Roman" w:cs="Times New Roman"/>
          <w:color w:val="auto"/>
          <w:spacing w:val="3"/>
        </w:rPr>
        <w:t xml:space="preserve"> tanımlanan motor ailesini tam olarak temsil etmediğine karar vermesi durumunda, </w:t>
      </w:r>
      <w:r w:rsidR="00381FB4" w:rsidRPr="00381FB4">
        <w:rPr>
          <w:rFonts w:eastAsia="Times New Roman" w:cs="Times New Roman"/>
          <w:b/>
          <w:color w:val="auto"/>
          <w:spacing w:val="3"/>
        </w:rPr>
        <w:t>(Değişik ibare:RG-27/9/2022-31966)</w:t>
      </w:r>
      <w:r w:rsidR="00381FB4" w:rsidRPr="00381FB4">
        <w:rPr>
          <w:rFonts w:eastAsia="Times New Roman" w:cs="Times New Roman"/>
          <w:b/>
          <w:color w:val="auto"/>
          <w:spacing w:val="3"/>
          <w:vertAlign w:val="superscript"/>
        </w:rPr>
        <w:t xml:space="preserve">(Bu değişiklik 1/10/2022 tarihinde yürürlüğe girer.) </w:t>
      </w:r>
      <w:r w:rsidR="00381FB4" w:rsidRPr="00381FB4">
        <w:rPr>
          <w:rFonts w:eastAsia="Times New Roman" w:cs="Times New Roman"/>
          <w:b/>
          <w:color w:val="auto"/>
          <w:spacing w:val="3"/>
        </w:rPr>
        <w:t xml:space="preserve"> </w:t>
      </w:r>
      <w:r w:rsidR="00381FB4" w:rsidRPr="00381FB4">
        <w:rPr>
          <w:rFonts w:eastAsia="Times New Roman" w:cs="Times New Roman"/>
          <w:color w:val="auto"/>
          <w:spacing w:val="3"/>
          <w:u w:val="single"/>
        </w:rPr>
        <w:t>onay kuruluşu</w:t>
      </w:r>
      <w:r w:rsidR="00242DA0" w:rsidRPr="00DE12A3">
        <w:rPr>
          <w:rFonts w:eastAsia="Times New Roman" w:cs="Times New Roman"/>
          <w:color w:val="auto"/>
          <w:spacing w:val="3"/>
        </w:rPr>
        <w:t xml:space="preserve"> tarafından alternatif ve gerekirse ek bir referans test motoru seçilebilir ve test edilebilir.</w:t>
      </w:r>
    </w:p>
    <w:p w14:paraId="1CCB5D5C" w14:textId="1F458052" w:rsidR="002D7B36" w:rsidRPr="00DE12A3" w:rsidRDefault="00540548" w:rsidP="00B372C7">
      <w:pPr>
        <w:spacing w:before="120" w:after="120"/>
        <w:jc w:val="both"/>
        <w:rPr>
          <w:rFonts w:eastAsia="Times New Roman" w:cs="Times New Roman"/>
          <w:color w:val="auto"/>
          <w:spacing w:val="3"/>
        </w:rPr>
      </w:pPr>
      <w:r w:rsidRPr="00DE12A3">
        <w:rPr>
          <w:rFonts w:eastAsia="Times New Roman" w:cs="Times New Roman"/>
          <w:color w:val="auto"/>
          <w:spacing w:val="3"/>
        </w:rPr>
        <w:t xml:space="preserve">2.7. </w:t>
      </w:r>
      <w:r w:rsidR="00242DA0" w:rsidRPr="00DE12A3">
        <w:rPr>
          <w:rFonts w:eastAsia="Times New Roman" w:cs="Times New Roman"/>
          <w:color w:val="auto"/>
          <w:spacing w:val="3"/>
        </w:rPr>
        <w:t>İki yakıtlı motorlar için ek şartlar</w:t>
      </w:r>
    </w:p>
    <w:p w14:paraId="40C95422" w14:textId="07047738" w:rsidR="002D7B36" w:rsidRPr="00DE12A3" w:rsidRDefault="00242DA0" w:rsidP="00497BC3">
      <w:pPr>
        <w:spacing w:before="120" w:after="120"/>
        <w:ind w:left="1134" w:hanging="1134"/>
        <w:jc w:val="both"/>
        <w:rPr>
          <w:rFonts w:eastAsia="Times New Roman" w:cs="Times New Roman"/>
          <w:color w:val="auto"/>
          <w:spacing w:val="3"/>
        </w:rPr>
      </w:pPr>
      <w:r w:rsidRPr="00DE12A3">
        <w:rPr>
          <w:rFonts w:eastAsia="Times New Roman" w:cs="Times New Roman"/>
          <w:color w:val="auto"/>
          <w:spacing w:val="3"/>
        </w:rPr>
        <w:t>İki yakıtlı bir motor tipi veya motor ailesi için AB tip onayı almak için, imalatçı;</w:t>
      </w:r>
    </w:p>
    <w:p w14:paraId="06AD81A9" w14:textId="089451FC" w:rsidR="002D7B36" w:rsidRPr="00DE12A3" w:rsidRDefault="00540548" w:rsidP="00540548">
      <w:pPr>
        <w:spacing w:before="120" w:after="120"/>
        <w:ind w:firstLine="709"/>
        <w:jc w:val="both"/>
        <w:rPr>
          <w:rFonts w:eastAsia="Times New Roman" w:cs="Times New Roman"/>
          <w:color w:val="auto"/>
          <w:spacing w:val="3"/>
        </w:rPr>
      </w:pPr>
      <w:r w:rsidRPr="00DE12A3">
        <w:rPr>
          <w:rFonts w:eastAsia="Times New Roman" w:cs="Times New Roman"/>
          <w:color w:val="auto"/>
          <w:spacing w:val="3"/>
        </w:rPr>
        <w:t xml:space="preserve">(a) </w:t>
      </w:r>
      <w:r w:rsidR="00242DA0" w:rsidRPr="00DE12A3">
        <w:rPr>
          <w:rFonts w:eastAsia="Times New Roman" w:cs="Times New Roman"/>
          <w:color w:val="auto"/>
          <w:spacing w:val="3"/>
        </w:rPr>
        <w:t>Testleri, 1. Açıklayıcı Ekte</w:t>
      </w:r>
      <w:r w:rsidR="005A5AFB" w:rsidRPr="00DE12A3">
        <w:rPr>
          <w:rFonts w:eastAsia="Times New Roman" w:cs="Times New Roman"/>
          <w:color w:val="auto"/>
          <w:spacing w:val="3"/>
        </w:rPr>
        <w:t xml:space="preserve"> yer alan</w:t>
      </w:r>
      <w:r w:rsidR="00242DA0" w:rsidRPr="00DE12A3">
        <w:rPr>
          <w:rFonts w:eastAsia="Times New Roman" w:cs="Times New Roman"/>
          <w:color w:val="auto"/>
          <w:spacing w:val="3"/>
        </w:rPr>
        <w:t xml:space="preserve"> Tablo 1.3 uyarınca gerçekleştirir</w:t>
      </w:r>
      <w:r w:rsidR="007E00AA" w:rsidRPr="00DE12A3">
        <w:rPr>
          <w:rFonts w:eastAsia="Times New Roman" w:cs="Times New Roman"/>
          <w:color w:val="auto"/>
          <w:spacing w:val="3"/>
        </w:rPr>
        <w:t>.</w:t>
      </w:r>
    </w:p>
    <w:p w14:paraId="4953D3AF" w14:textId="4BE15076" w:rsidR="002D7B36" w:rsidRPr="00DE12A3" w:rsidRDefault="00540548" w:rsidP="00540548">
      <w:pPr>
        <w:spacing w:before="120" w:after="120"/>
        <w:ind w:firstLine="709"/>
        <w:jc w:val="both"/>
        <w:rPr>
          <w:rFonts w:eastAsia="Times New Roman" w:cs="Times New Roman"/>
          <w:color w:val="auto"/>
          <w:spacing w:val="3"/>
        </w:rPr>
      </w:pPr>
      <w:r w:rsidRPr="00DE12A3">
        <w:rPr>
          <w:rFonts w:eastAsia="Times New Roman" w:cs="Times New Roman"/>
          <w:color w:val="auto"/>
          <w:spacing w:val="3"/>
        </w:rPr>
        <w:t xml:space="preserve">(b) </w:t>
      </w:r>
      <w:r w:rsidR="005A5AFB" w:rsidRPr="00DE12A3">
        <w:rPr>
          <w:rFonts w:eastAsia="Times New Roman" w:cs="Times New Roman"/>
          <w:color w:val="auto"/>
          <w:spacing w:val="3"/>
        </w:rPr>
        <w:t>2. Bölüm</w:t>
      </w:r>
      <w:r w:rsidR="00242DA0" w:rsidRPr="00DE12A3">
        <w:rPr>
          <w:rFonts w:eastAsia="Times New Roman" w:cs="Times New Roman"/>
          <w:color w:val="auto"/>
          <w:spacing w:val="3"/>
        </w:rPr>
        <w:t xml:space="preserve">de belirtilen şartlara ek olarak, çift yakıtlı motorların testlere tabi tutulduğunu ve </w:t>
      </w:r>
      <w:r w:rsidR="007F62FA" w:rsidRPr="00DE12A3">
        <w:rPr>
          <w:rFonts w:eastAsia="Times New Roman" w:cs="Times New Roman"/>
          <w:color w:val="auto"/>
          <w:spacing w:val="3"/>
        </w:rPr>
        <w:t xml:space="preserve">VIII’inci </w:t>
      </w:r>
      <w:r w:rsidR="00811F2B" w:rsidRPr="00DE12A3">
        <w:rPr>
          <w:rFonts w:eastAsia="Times New Roman" w:cs="Times New Roman"/>
          <w:color w:val="auto"/>
          <w:spacing w:val="3"/>
        </w:rPr>
        <w:t>E</w:t>
      </w:r>
      <w:r w:rsidR="007F62FA" w:rsidRPr="00DE12A3">
        <w:rPr>
          <w:rFonts w:eastAsia="Times New Roman" w:cs="Times New Roman"/>
          <w:color w:val="auto"/>
          <w:spacing w:val="3"/>
        </w:rPr>
        <w:t>k</w:t>
      </w:r>
      <w:r w:rsidR="00242DA0" w:rsidRPr="00DE12A3">
        <w:rPr>
          <w:rFonts w:eastAsia="Times New Roman" w:cs="Times New Roman"/>
          <w:color w:val="auto"/>
          <w:spacing w:val="3"/>
        </w:rPr>
        <w:t>te belirtilen şartlara uygun olduğunu ispatlar.</w:t>
      </w:r>
    </w:p>
    <w:p w14:paraId="2FECCF9F" w14:textId="77777777" w:rsidR="002D7B36" w:rsidRPr="00DE12A3" w:rsidRDefault="002D7B36" w:rsidP="00540548">
      <w:pPr>
        <w:spacing w:before="120" w:after="120"/>
        <w:jc w:val="both"/>
        <w:rPr>
          <w:rFonts w:eastAsia="Times New Roman" w:cs="Times New Roman"/>
          <w:color w:val="auto"/>
          <w:spacing w:val="3"/>
        </w:rPr>
      </w:pPr>
    </w:p>
    <w:p w14:paraId="2AE5C195" w14:textId="77777777" w:rsidR="0045371E" w:rsidRPr="00DE12A3" w:rsidRDefault="0045371E" w:rsidP="00540548">
      <w:pPr>
        <w:spacing w:before="120" w:after="120"/>
        <w:jc w:val="both"/>
        <w:rPr>
          <w:rFonts w:eastAsia="Times New Roman" w:cs="Times New Roman"/>
          <w:color w:val="auto"/>
          <w:spacing w:val="3"/>
        </w:rPr>
      </w:pPr>
    </w:p>
    <w:p w14:paraId="4B403B28" w14:textId="77777777" w:rsidR="00FA490B" w:rsidRPr="00DE12A3" w:rsidRDefault="00FA490B" w:rsidP="00497BC3">
      <w:pPr>
        <w:widowControl/>
        <w:rPr>
          <w:rFonts w:eastAsia="Times New Roman" w:cs="Times New Roman"/>
          <w:color w:val="auto"/>
          <w:spacing w:val="3"/>
        </w:rPr>
      </w:pPr>
      <w:r w:rsidRPr="00DE12A3">
        <w:rPr>
          <w:rFonts w:eastAsia="Times New Roman" w:cs="Times New Roman"/>
          <w:color w:val="auto"/>
          <w:spacing w:val="3"/>
        </w:rPr>
        <w:br w:type="page"/>
      </w:r>
    </w:p>
    <w:p w14:paraId="45A73AAA" w14:textId="77777777" w:rsidR="002D7B36" w:rsidRPr="00DE12A3" w:rsidRDefault="00242DA0" w:rsidP="00F71ECF">
      <w:pPr>
        <w:pStyle w:val="Balk2"/>
        <w:rPr>
          <w:i/>
          <w:color w:val="auto"/>
        </w:rPr>
      </w:pPr>
      <w:r w:rsidRPr="00DE12A3">
        <w:rPr>
          <w:rStyle w:val="Gvdemetni4"/>
          <w:rFonts w:eastAsia="Courier New" w:cs="Courier New"/>
          <w:i w:val="0"/>
          <w:iCs w:val="0"/>
          <w:color w:val="auto"/>
          <w:sz w:val="24"/>
          <w:szCs w:val="24"/>
          <w:lang w:val="tr-TR"/>
        </w:rPr>
        <w:lastRenderedPageBreak/>
        <w:t>1.Açıklayıcı Ek</w:t>
      </w:r>
    </w:p>
    <w:p w14:paraId="3B8257D0" w14:textId="77777777" w:rsidR="002D7B36" w:rsidRPr="00DE12A3" w:rsidRDefault="00242DA0" w:rsidP="00C917D6">
      <w:pPr>
        <w:pStyle w:val="Gvdemetni50"/>
        <w:shd w:val="clear" w:color="auto" w:fill="auto"/>
        <w:spacing w:before="120" w:after="120" w:line="240" w:lineRule="auto"/>
        <w:ind w:left="1134" w:hanging="1134"/>
        <w:jc w:val="center"/>
        <w:rPr>
          <w:sz w:val="24"/>
          <w:szCs w:val="24"/>
        </w:rPr>
      </w:pPr>
      <w:r w:rsidRPr="00DE12A3">
        <w:rPr>
          <w:sz w:val="24"/>
          <w:szCs w:val="24"/>
        </w:rPr>
        <w:t>Çift yakıtlı motorlar da dahil olmak üzere, doğal gaz ve LPG ile çalışan motorlar için onay süreci özeti</w:t>
      </w:r>
    </w:p>
    <w:p w14:paraId="126F880E" w14:textId="3D19D736" w:rsidR="009D1D76" w:rsidRPr="00DE12A3" w:rsidRDefault="00242DA0" w:rsidP="00F71ECF">
      <w:pPr>
        <w:pStyle w:val="Gvdemetni0"/>
        <w:shd w:val="clear" w:color="auto" w:fill="auto"/>
        <w:spacing w:before="120" w:after="120" w:line="240" w:lineRule="auto"/>
        <w:ind w:firstLine="0"/>
        <w:jc w:val="both"/>
        <w:rPr>
          <w:spacing w:val="3"/>
          <w:sz w:val="24"/>
          <w:szCs w:val="24"/>
        </w:rPr>
      </w:pPr>
      <w:r w:rsidRPr="00DE12A3">
        <w:rPr>
          <w:sz w:val="24"/>
          <w:szCs w:val="24"/>
        </w:rPr>
        <w:t>Tablo 1.1 ila 1.</w:t>
      </w:r>
      <w:r w:rsidR="00F96421" w:rsidRPr="00DE12A3">
        <w:rPr>
          <w:sz w:val="24"/>
          <w:szCs w:val="24"/>
        </w:rPr>
        <w:t xml:space="preserve">3'te </w:t>
      </w:r>
      <w:r w:rsidRPr="00DE12A3">
        <w:rPr>
          <w:sz w:val="24"/>
          <w:szCs w:val="24"/>
        </w:rPr>
        <w:t>doğal gaz ile çalışan motorlar ve LPG ile çalışan motorlar için onay süreci ve çift yakıtlı motorların onaylanması için yapılması gereken asgari sayıda test ile ilgili bir özet gösterilmektedir.</w:t>
      </w:r>
    </w:p>
    <w:p w14:paraId="5BC32B1F" w14:textId="77777777" w:rsidR="002D7B36" w:rsidRPr="00DE12A3" w:rsidRDefault="002D7B36" w:rsidP="00C917D6">
      <w:pPr>
        <w:tabs>
          <w:tab w:val="left" w:pos="709"/>
        </w:tabs>
        <w:spacing w:before="120" w:after="120"/>
        <w:ind w:left="709" w:hanging="709"/>
        <w:jc w:val="both"/>
        <w:rPr>
          <w:rFonts w:eastAsia="Times New Roman" w:cs="Times New Roman"/>
          <w:b/>
          <w:color w:val="auto"/>
          <w:spacing w:val="3"/>
          <w:sz w:val="20"/>
          <w:szCs w:val="20"/>
        </w:rPr>
      </w:pPr>
    </w:p>
    <w:tbl>
      <w:tblPr>
        <w:tblW w:w="9605" w:type="dxa"/>
        <w:jc w:val="center"/>
        <w:tblLayout w:type="fixed"/>
        <w:tblLook w:val="0000" w:firstRow="0" w:lastRow="0" w:firstColumn="0" w:lastColumn="0" w:noHBand="0" w:noVBand="0"/>
      </w:tblPr>
      <w:tblGrid>
        <w:gridCol w:w="1415"/>
        <w:gridCol w:w="1559"/>
        <w:gridCol w:w="1103"/>
        <w:gridCol w:w="1559"/>
        <w:gridCol w:w="1276"/>
        <w:gridCol w:w="1134"/>
        <w:gridCol w:w="1559"/>
      </w:tblGrid>
      <w:tr w:rsidR="00DE12A3" w:rsidRPr="00DE12A3" w14:paraId="40AF03B7" w14:textId="77777777" w:rsidTr="0031699D">
        <w:trPr>
          <w:jc w:val="center"/>
        </w:trPr>
        <w:tc>
          <w:tcPr>
            <w:tcW w:w="9605" w:type="dxa"/>
            <w:gridSpan w:val="7"/>
            <w:tcBorders>
              <w:top w:val="single" w:sz="2" w:space="0" w:color="auto"/>
              <w:left w:val="single" w:sz="2" w:space="0" w:color="auto"/>
              <w:bottom w:val="single" w:sz="2" w:space="0" w:color="auto"/>
              <w:right w:val="single" w:sz="2" w:space="0" w:color="auto"/>
            </w:tcBorders>
          </w:tcPr>
          <w:p w14:paraId="695A1A47" w14:textId="77777777" w:rsidR="0031699D" w:rsidRPr="00DE12A3" w:rsidRDefault="0031699D" w:rsidP="00C917D6">
            <w:pPr>
              <w:widowControl/>
              <w:autoSpaceDE w:val="0"/>
              <w:autoSpaceDN w:val="0"/>
              <w:spacing w:before="120" w:after="120"/>
              <w:jc w:val="center"/>
              <w:rPr>
                <w:rFonts w:eastAsiaTheme="minorEastAsia" w:cs="Times New Roman"/>
                <w:color w:val="auto"/>
                <w:lang w:val="fr-FR"/>
              </w:rPr>
            </w:pPr>
            <w:r w:rsidRPr="00DE12A3">
              <w:rPr>
                <w:rFonts w:eastAsiaTheme="minorEastAsia" w:cs="Times New Roman"/>
                <w:iCs/>
                <w:color w:val="auto"/>
                <w:lang w:val="fr-FR"/>
              </w:rPr>
              <w:t>Tablo 1.1</w:t>
            </w:r>
          </w:p>
        </w:tc>
      </w:tr>
      <w:tr w:rsidR="00DE12A3" w:rsidRPr="00DE12A3" w14:paraId="5338701B" w14:textId="77777777" w:rsidTr="0031699D">
        <w:trPr>
          <w:jc w:val="center"/>
        </w:trPr>
        <w:tc>
          <w:tcPr>
            <w:tcW w:w="9605" w:type="dxa"/>
            <w:gridSpan w:val="7"/>
            <w:tcBorders>
              <w:top w:val="single" w:sz="2" w:space="0" w:color="auto"/>
              <w:left w:val="single" w:sz="2" w:space="0" w:color="auto"/>
              <w:bottom w:val="single" w:sz="2" w:space="0" w:color="auto"/>
              <w:right w:val="single" w:sz="2" w:space="0" w:color="auto"/>
            </w:tcBorders>
          </w:tcPr>
          <w:p w14:paraId="152E48DE" w14:textId="77777777" w:rsidR="0031699D" w:rsidRPr="00DE12A3" w:rsidRDefault="0031699D" w:rsidP="00C917D6">
            <w:pPr>
              <w:widowControl/>
              <w:autoSpaceDE w:val="0"/>
              <w:autoSpaceDN w:val="0"/>
              <w:spacing w:before="120" w:after="120"/>
              <w:jc w:val="center"/>
              <w:rPr>
                <w:rFonts w:eastAsiaTheme="minorEastAsia" w:cs="Times New Roman"/>
                <w:b/>
                <w:iCs/>
                <w:color w:val="auto"/>
              </w:rPr>
            </w:pPr>
            <w:r w:rsidRPr="00DE12A3">
              <w:rPr>
                <w:rFonts w:eastAsiaTheme="minorEastAsia" w:cs="Times New Roman"/>
                <w:b/>
                <w:iCs/>
                <w:color w:val="auto"/>
              </w:rPr>
              <w:t>Doğal gaz ile çalışan motorların AB tip onayı</w:t>
            </w:r>
          </w:p>
          <w:p w14:paraId="2BAE27C5" w14:textId="77777777" w:rsidR="0031699D" w:rsidRPr="00DE12A3" w:rsidRDefault="0031699D" w:rsidP="00C917D6">
            <w:pPr>
              <w:widowControl/>
              <w:autoSpaceDE w:val="0"/>
              <w:autoSpaceDN w:val="0"/>
              <w:spacing w:before="120" w:after="120"/>
              <w:jc w:val="center"/>
              <w:rPr>
                <w:rFonts w:eastAsiaTheme="minorEastAsia" w:cs="Times New Roman"/>
                <w:color w:val="auto"/>
                <w:lang w:val="fr-FR"/>
              </w:rPr>
            </w:pPr>
          </w:p>
        </w:tc>
      </w:tr>
      <w:tr w:rsidR="00DE12A3" w:rsidRPr="00DE12A3" w14:paraId="3670E6AF" w14:textId="77777777" w:rsidTr="0031699D">
        <w:trPr>
          <w:jc w:val="center"/>
        </w:trPr>
        <w:tc>
          <w:tcPr>
            <w:tcW w:w="1415" w:type="dxa"/>
            <w:tcBorders>
              <w:top w:val="single" w:sz="2" w:space="0" w:color="auto"/>
              <w:left w:val="single" w:sz="2" w:space="0" w:color="auto"/>
              <w:bottom w:val="single" w:sz="2" w:space="0" w:color="auto"/>
              <w:right w:val="single" w:sz="2" w:space="0" w:color="auto"/>
            </w:tcBorders>
          </w:tcPr>
          <w:p w14:paraId="373196D9" w14:textId="77777777" w:rsidR="0031699D" w:rsidRPr="00DE12A3" w:rsidRDefault="0031699D" w:rsidP="00C917D6">
            <w:pPr>
              <w:widowControl/>
              <w:autoSpaceDE w:val="0"/>
              <w:autoSpaceDN w:val="0"/>
              <w:adjustRightInd w:val="0"/>
              <w:spacing w:before="120" w:after="120"/>
              <w:jc w:val="both"/>
              <w:rPr>
                <w:rFonts w:eastAsiaTheme="minorEastAsia" w:cs="Times New Roman"/>
                <w:color w:val="auto"/>
              </w:rPr>
            </w:pPr>
          </w:p>
        </w:tc>
        <w:tc>
          <w:tcPr>
            <w:tcW w:w="1559" w:type="dxa"/>
            <w:tcBorders>
              <w:top w:val="single" w:sz="2" w:space="0" w:color="auto"/>
              <w:left w:val="single" w:sz="2" w:space="0" w:color="auto"/>
              <w:bottom w:val="single" w:sz="2" w:space="0" w:color="auto"/>
              <w:right w:val="single" w:sz="2" w:space="0" w:color="auto"/>
            </w:tcBorders>
          </w:tcPr>
          <w:p w14:paraId="0474D0E9" w14:textId="64F4F23A" w:rsidR="0031699D" w:rsidRPr="00DE12A3" w:rsidRDefault="0031699D" w:rsidP="00C917D6">
            <w:pPr>
              <w:widowControl/>
              <w:autoSpaceDE w:val="0"/>
              <w:autoSpaceDN w:val="0"/>
              <w:spacing w:before="120" w:after="120"/>
              <w:jc w:val="both"/>
              <w:rPr>
                <w:rFonts w:eastAsiaTheme="minorEastAsia" w:cs="Times New Roman"/>
                <w:color w:val="auto"/>
                <w:sz w:val="22"/>
                <w:szCs w:val="22"/>
                <w:lang w:val="fr-FR"/>
              </w:rPr>
            </w:pPr>
            <w:bookmarkStart w:id="1" w:name="_Hlk19536414"/>
            <w:r w:rsidRPr="00DE12A3">
              <w:rPr>
                <w:rFonts w:eastAsiaTheme="minorEastAsia" w:cs="Times New Roman"/>
                <w:color w:val="auto"/>
                <w:sz w:val="22"/>
                <w:szCs w:val="22"/>
              </w:rPr>
              <w:t>Bent 2.3: Evrensel yakıt türleri ile çalışan bir motora ilişkin şartlar</w:t>
            </w:r>
            <w:bookmarkEnd w:id="1"/>
          </w:p>
        </w:tc>
        <w:tc>
          <w:tcPr>
            <w:tcW w:w="1103" w:type="dxa"/>
            <w:tcBorders>
              <w:top w:val="single" w:sz="2" w:space="0" w:color="auto"/>
              <w:left w:val="single" w:sz="2" w:space="0" w:color="auto"/>
              <w:bottom w:val="single" w:sz="2" w:space="0" w:color="auto"/>
              <w:right w:val="single" w:sz="2" w:space="0" w:color="auto"/>
            </w:tcBorders>
          </w:tcPr>
          <w:p w14:paraId="107F3877" w14:textId="1C792063" w:rsidR="0031699D" w:rsidRPr="00DE12A3" w:rsidRDefault="0031699D" w:rsidP="00C917D6">
            <w:pPr>
              <w:widowControl/>
              <w:autoSpaceDE w:val="0"/>
              <w:autoSpaceDN w:val="0"/>
              <w:spacing w:before="120" w:after="120"/>
              <w:jc w:val="both"/>
              <w:rPr>
                <w:rFonts w:eastAsiaTheme="minorEastAsia" w:cs="Times New Roman"/>
                <w:color w:val="auto"/>
                <w:sz w:val="22"/>
                <w:szCs w:val="22"/>
                <w:lang w:val="fr-FR"/>
              </w:rPr>
            </w:pPr>
            <w:bookmarkStart w:id="2" w:name="_Hlk19536481"/>
            <w:r w:rsidRPr="00DE12A3">
              <w:rPr>
                <w:rFonts w:eastAsiaTheme="minorEastAsia" w:cs="Times New Roman"/>
                <w:color w:val="auto"/>
                <w:sz w:val="22"/>
                <w:szCs w:val="22"/>
              </w:rPr>
              <w:t>Test çalışması sayısı</w:t>
            </w:r>
            <w:bookmarkEnd w:id="2"/>
          </w:p>
        </w:tc>
        <w:tc>
          <w:tcPr>
            <w:tcW w:w="1559" w:type="dxa"/>
            <w:tcBorders>
              <w:top w:val="single" w:sz="2" w:space="0" w:color="auto"/>
              <w:left w:val="single" w:sz="2" w:space="0" w:color="auto"/>
              <w:bottom w:val="single" w:sz="2" w:space="0" w:color="auto"/>
              <w:right w:val="single" w:sz="2" w:space="0" w:color="auto"/>
            </w:tcBorders>
          </w:tcPr>
          <w:p w14:paraId="7BA5DB15" w14:textId="5051E637" w:rsidR="0031699D" w:rsidRPr="00DE12A3" w:rsidRDefault="0031699D" w:rsidP="00C917D6">
            <w:pPr>
              <w:widowControl/>
              <w:autoSpaceDE w:val="0"/>
              <w:autoSpaceDN w:val="0"/>
              <w:spacing w:before="120" w:after="120"/>
              <w:jc w:val="both"/>
              <w:rPr>
                <w:rFonts w:eastAsiaTheme="minorEastAsia" w:cs="Times New Roman"/>
                <w:color w:val="auto"/>
                <w:sz w:val="22"/>
                <w:szCs w:val="22"/>
                <w:lang w:val="fr-FR"/>
              </w:rPr>
            </w:pPr>
            <w:bookmarkStart w:id="3" w:name="_Hlk19536514"/>
            <w:r w:rsidRPr="00DE12A3">
              <w:rPr>
                <w:rFonts w:eastAsiaTheme="minorEastAsia" w:cs="Times New Roman"/>
                <w:color w:val="auto"/>
                <w:sz w:val="22"/>
                <w:szCs w:val="22"/>
              </w:rPr>
              <w:t>"r" değerinin hesaplanması</w:t>
            </w:r>
            <w:bookmarkEnd w:id="3"/>
          </w:p>
        </w:tc>
        <w:tc>
          <w:tcPr>
            <w:tcW w:w="1276" w:type="dxa"/>
            <w:tcBorders>
              <w:top w:val="single" w:sz="2" w:space="0" w:color="auto"/>
              <w:left w:val="single" w:sz="2" w:space="0" w:color="auto"/>
              <w:bottom w:val="single" w:sz="2" w:space="0" w:color="auto"/>
              <w:right w:val="single" w:sz="2" w:space="0" w:color="auto"/>
            </w:tcBorders>
          </w:tcPr>
          <w:p w14:paraId="24D2BB21" w14:textId="2E17F7AE" w:rsidR="0031699D" w:rsidRPr="00DE12A3" w:rsidRDefault="0031699D" w:rsidP="00C917D6">
            <w:pPr>
              <w:widowControl/>
              <w:autoSpaceDE w:val="0"/>
              <w:autoSpaceDN w:val="0"/>
              <w:spacing w:before="120" w:after="120"/>
              <w:jc w:val="both"/>
              <w:rPr>
                <w:rFonts w:eastAsiaTheme="minorEastAsia" w:cs="Times New Roman"/>
                <w:color w:val="auto"/>
                <w:sz w:val="22"/>
                <w:szCs w:val="22"/>
                <w:lang w:val="fr-FR"/>
              </w:rPr>
            </w:pPr>
            <w:bookmarkStart w:id="4" w:name="_Hlk19536567"/>
            <w:r w:rsidRPr="00DE12A3">
              <w:rPr>
                <w:rFonts w:eastAsiaTheme="minorEastAsia" w:cs="Times New Roman"/>
                <w:color w:val="auto"/>
                <w:sz w:val="22"/>
                <w:szCs w:val="22"/>
              </w:rPr>
              <w:t>Bent 2.4: Sınırlı yakıt türü ile çalışan bir motora ilişkin şartlar</w:t>
            </w:r>
            <w:bookmarkEnd w:id="4"/>
          </w:p>
        </w:tc>
        <w:tc>
          <w:tcPr>
            <w:tcW w:w="1134" w:type="dxa"/>
            <w:tcBorders>
              <w:top w:val="single" w:sz="2" w:space="0" w:color="auto"/>
              <w:left w:val="single" w:sz="2" w:space="0" w:color="auto"/>
              <w:bottom w:val="single" w:sz="2" w:space="0" w:color="auto"/>
              <w:right w:val="single" w:sz="2" w:space="0" w:color="auto"/>
            </w:tcBorders>
          </w:tcPr>
          <w:p w14:paraId="43619643" w14:textId="77777777" w:rsidR="0031699D" w:rsidRPr="00DE12A3" w:rsidRDefault="0031699D" w:rsidP="00C917D6">
            <w:pPr>
              <w:widowControl/>
              <w:autoSpaceDE w:val="0"/>
              <w:autoSpaceDN w:val="0"/>
              <w:spacing w:before="120" w:after="120"/>
              <w:jc w:val="both"/>
              <w:rPr>
                <w:rFonts w:eastAsiaTheme="minorEastAsia" w:cs="Times New Roman"/>
                <w:color w:val="auto"/>
                <w:sz w:val="22"/>
                <w:szCs w:val="22"/>
                <w:lang w:val="fr-FR"/>
              </w:rPr>
            </w:pPr>
            <w:r w:rsidRPr="00DE12A3">
              <w:rPr>
                <w:rFonts w:eastAsiaTheme="minorEastAsia" w:cs="Times New Roman"/>
                <w:color w:val="auto"/>
                <w:sz w:val="22"/>
                <w:szCs w:val="22"/>
              </w:rPr>
              <w:t>Test çalışması sayısı</w:t>
            </w:r>
          </w:p>
        </w:tc>
        <w:tc>
          <w:tcPr>
            <w:tcW w:w="1559" w:type="dxa"/>
            <w:tcBorders>
              <w:top w:val="single" w:sz="2" w:space="0" w:color="auto"/>
              <w:left w:val="single" w:sz="2" w:space="0" w:color="auto"/>
              <w:bottom w:val="single" w:sz="2" w:space="0" w:color="auto"/>
              <w:right w:val="single" w:sz="2" w:space="0" w:color="auto"/>
            </w:tcBorders>
          </w:tcPr>
          <w:p w14:paraId="11CE67CD" w14:textId="77777777" w:rsidR="0031699D" w:rsidRPr="00DE12A3" w:rsidRDefault="0031699D" w:rsidP="00C917D6">
            <w:pPr>
              <w:widowControl/>
              <w:autoSpaceDE w:val="0"/>
              <w:autoSpaceDN w:val="0"/>
              <w:spacing w:before="120" w:after="120"/>
              <w:jc w:val="both"/>
              <w:rPr>
                <w:rFonts w:eastAsiaTheme="minorEastAsia" w:cs="Times New Roman"/>
                <w:color w:val="auto"/>
                <w:sz w:val="22"/>
                <w:szCs w:val="22"/>
                <w:lang w:val="fr-FR"/>
              </w:rPr>
            </w:pPr>
            <w:r w:rsidRPr="00DE12A3">
              <w:rPr>
                <w:rFonts w:eastAsiaTheme="minorEastAsia" w:cs="Times New Roman"/>
                <w:color w:val="auto"/>
                <w:sz w:val="22"/>
                <w:szCs w:val="22"/>
              </w:rPr>
              <w:t>"r" değerinin hesaplanması</w:t>
            </w:r>
          </w:p>
        </w:tc>
      </w:tr>
      <w:tr w:rsidR="00DE12A3" w:rsidRPr="00DE12A3" w14:paraId="544064BC" w14:textId="77777777" w:rsidTr="0031699D">
        <w:trPr>
          <w:jc w:val="center"/>
        </w:trPr>
        <w:tc>
          <w:tcPr>
            <w:tcW w:w="1415" w:type="dxa"/>
            <w:tcBorders>
              <w:top w:val="single" w:sz="2" w:space="0" w:color="auto"/>
              <w:left w:val="single" w:sz="2" w:space="0" w:color="auto"/>
              <w:bottom w:val="single" w:sz="2" w:space="0" w:color="auto"/>
              <w:right w:val="single" w:sz="2" w:space="0" w:color="auto"/>
            </w:tcBorders>
          </w:tcPr>
          <w:p w14:paraId="244E9ECB" w14:textId="77777777" w:rsidR="0031699D" w:rsidRPr="00DE12A3" w:rsidRDefault="0031699D" w:rsidP="00C917D6">
            <w:pPr>
              <w:spacing w:before="120" w:after="120"/>
              <w:ind w:left="40"/>
              <w:jc w:val="both"/>
              <w:rPr>
                <w:rFonts w:eastAsia="Times New Roman" w:cs="Times New Roman"/>
                <w:color w:val="auto"/>
                <w:spacing w:val="4"/>
                <w:sz w:val="22"/>
                <w:szCs w:val="22"/>
              </w:rPr>
            </w:pPr>
            <w:bookmarkStart w:id="5" w:name="_Hlk19536755"/>
          </w:p>
          <w:p w14:paraId="772E95B4" w14:textId="77777777" w:rsidR="0031699D" w:rsidRPr="00DE12A3" w:rsidRDefault="0031699D" w:rsidP="00C917D6">
            <w:pPr>
              <w:spacing w:before="120" w:after="120"/>
              <w:ind w:left="40"/>
              <w:jc w:val="both"/>
              <w:rPr>
                <w:rFonts w:eastAsia="Times New Roman" w:cs="Times New Roman"/>
                <w:color w:val="auto"/>
                <w:spacing w:val="4"/>
                <w:sz w:val="22"/>
                <w:szCs w:val="22"/>
              </w:rPr>
            </w:pPr>
          </w:p>
          <w:p w14:paraId="513210ED" w14:textId="77777777" w:rsidR="0031699D" w:rsidRPr="00DE12A3" w:rsidRDefault="0031699D" w:rsidP="00C917D6">
            <w:pPr>
              <w:spacing w:before="120" w:after="120"/>
              <w:jc w:val="both"/>
              <w:rPr>
                <w:rFonts w:eastAsia="Times New Roman" w:cs="Times New Roman"/>
                <w:color w:val="auto"/>
                <w:spacing w:val="4"/>
                <w:sz w:val="22"/>
                <w:szCs w:val="22"/>
              </w:rPr>
            </w:pPr>
          </w:p>
          <w:p w14:paraId="08C03BBA" w14:textId="77777777" w:rsidR="0031699D" w:rsidRPr="00DE12A3" w:rsidRDefault="0031699D" w:rsidP="00C917D6">
            <w:pPr>
              <w:spacing w:before="120" w:after="120"/>
              <w:jc w:val="both"/>
              <w:rPr>
                <w:rFonts w:eastAsia="Times New Roman" w:cs="Times New Roman"/>
                <w:color w:val="auto"/>
                <w:spacing w:val="4"/>
                <w:sz w:val="22"/>
                <w:szCs w:val="22"/>
              </w:rPr>
            </w:pPr>
          </w:p>
          <w:p w14:paraId="51C00A10" w14:textId="66142ED3" w:rsidR="0031699D" w:rsidRPr="00DE12A3" w:rsidRDefault="0031699D" w:rsidP="00C917D6">
            <w:pPr>
              <w:spacing w:before="120" w:after="120"/>
              <w:jc w:val="both"/>
              <w:rPr>
                <w:rFonts w:eastAsia="Times New Roman" w:cs="Times New Roman"/>
                <w:color w:val="auto"/>
                <w:spacing w:val="4"/>
                <w:sz w:val="22"/>
                <w:szCs w:val="22"/>
              </w:rPr>
            </w:pPr>
            <w:r w:rsidRPr="00DE12A3">
              <w:rPr>
                <w:rFonts w:eastAsia="Times New Roman" w:cs="Times New Roman"/>
                <w:color w:val="auto"/>
                <w:spacing w:val="4"/>
                <w:sz w:val="22"/>
                <w:szCs w:val="22"/>
              </w:rPr>
              <w:t>2.3.1 bendine bakınız.</w:t>
            </w:r>
            <w:bookmarkEnd w:id="5"/>
          </w:p>
          <w:p w14:paraId="4F4EEA31" w14:textId="70444FA9" w:rsidR="0031699D" w:rsidRPr="00DE12A3" w:rsidRDefault="0031699D" w:rsidP="00C917D6">
            <w:pPr>
              <w:widowControl/>
              <w:autoSpaceDE w:val="0"/>
              <w:autoSpaceDN w:val="0"/>
              <w:spacing w:before="120" w:after="120"/>
              <w:jc w:val="both"/>
              <w:rPr>
                <w:rFonts w:eastAsiaTheme="minorEastAsia" w:cs="Times New Roman"/>
                <w:color w:val="auto"/>
                <w:sz w:val="22"/>
                <w:szCs w:val="22"/>
                <w:lang w:val="fr-FR"/>
              </w:rPr>
            </w:pPr>
            <w:bookmarkStart w:id="6" w:name="_Hlk19536792"/>
            <w:r w:rsidRPr="00DE12A3">
              <w:rPr>
                <w:rFonts w:cs="Times New Roman"/>
                <w:color w:val="auto"/>
                <w:sz w:val="22"/>
                <w:szCs w:val="22"/>
              </w:rPr>
              <w:t>Her yakıt bileşimine uyum sağlayabilen DG-motoru</w:t>
            </w:r>
            <w:bookmarkEnd w:id="6"/>
          </w:p>
        </w:tc>
        <w:tc>
          <w:tcPr>
            <w:tcW w:w="1559" w:type="dxa"/>
            <w:tcBorders>
              <w:top w:val="single" w:sz="2" w:space="0" w:color="auto"/>
              <w:left w:val="single" w:sz="2" w:space="0" w:color="auto"/>
              <w:bottom w:val="single" w:sz="2" w:space="0" w:color="auto"/>
              <w:right w:val="single" w:sz="2" w:space="0" w:color="auto"/>
            </w:tcBorders>
          </w:tcPr>
          <w:p w14:paraId="217B4699" w14:textId="77777777" w:rsidR="0031699D" w:rsidRPr="00DE12A3" w:rsidRDefault="0031699D" w:rsidP="00C917D6">
            <w:pPr>
              <w:spacing w:before="120" w:after="120"/>
              <w:ind w:right="193"/>
              <w:jc w:val="both"/>
              <w:rPr>
                <w:rFonts w:eastAsia="Times New Roman" w:cs="Times New Roman"/>
                <w:color w:val="auto"/>
                <w:spacing w:val="4"/>
                <w:sz w:val="22"/>
                <w:szCs w:val="22"/>
              </w:rPr>
            </w:pPr>
          </w:p>
          <w:p w14:paraId="11502B89" w14:textId="77777777" w:rsidR="0031699D" w:rsidRPr="00DE12A3" w:rsidRDefault="0031699D" w:rsidP="00C917D6">
            <w:pPr>
              <w:spacing w:before="120" w:after="120"/>
              <w:ind w:right="193"/>
              <w:jc w:val="both"/>
              <w:rPr>
                <w:rFonts w:eastAsia="Times New Roman" w:cs="Times New Roman"/>
                <w:color w:val="auto"/>
                <w:spacing w:val="4"/>
                <w:sz w:val="22"/>
                <w:szCs w:val="22"/>
              </w:rPr>
            </w:pPr>
          </w:p>
          <w:p w14:paraId="4BA2D2FA" w14:textId="77777777" w:rsidR="0031699D" w:rsidRPr="00DE12A3" w:rsidRDefault="0031699D" w:rsidP="00C917D6">
            <w:pPr>
              <w:spacing w:before="120" w:after="120"/>
              <w:ind w:right="193"/>
              <w:jc w:val="both"/>
              <w:rPr>
                <w:rFonts w:eastAsia="Times New Roman" w:cs="Times New Roman"/>
                <w:color w:val="auto"/>
                <w:spacing w:val="4"/>
                <w:sz w:val="22"/>
                <w:szCs w:val="22"/>
              </w:rPr>
            </w:pPr>
          </w:p>
          <w:p w14:paraId="4084A11A" w14:textId="77777777" w:rsidR="0031699D" w:rsidRPr="00DE12A3" w:rsidRDefault="0031699D" w:rsidP="00C917D6">
            <w:pPr>
              <w:spacing w:before="120" w:after="120"/>
              <w:ind w:right="193"/>
              <w:jc w:val="both"/>
              <w:rPr>
                <w:rFonts w:eastAsia="Times New Roman" w:cs="Times New Roman"/>
                <w:color w:val="auto"/>
                <w:spacing w:val="4"/>
                <w:sz w:val="22"/>
                <w:szCs w:val="22"/>
              </w:rPr>
            </w:pPr>
            <w:r w:rsidRPr="00DE12A3">
              <w:rPr>
                <w:rFonts w:eastAsia="Times New Roman" w:cs="Times New Roman"/>
                <w:color w:val="auto"/>
                <w:spacing w:val="4"/>
                <w:sz w:val="22"/>
                <w:szCs w:val="22"/>
              </w:rPr>
              <w:t>G</w:t>
            </w:r>
            <w:r w:rsidRPr="00DE12A3">
              <w:rPr>
                <w:rFonts w:eastAsia="Times New Roman" w:cs="Times New Roman"/>
                <w:color w:val="auto"/>
                <w:spacing w:val="4"/>
                <w:sz w:val="22"/>
                <w:szCs w:val="22"/>
                <w:vertAlign w:val="subscript"/>
              </w:rPr>
              <w:t xml:space="preserve">R </w:t>
            </w:r>
            <w:r w:rsidRPr="00DE12A3">
              <w:rPr>
                <w:rFonts w:eastAsia="Times New Roman" w:cs="Times New Roman"/>
                <w:color w:val="auto"/>
                <w:spacing w:val="4"/>
                <w:sz w:val="22"/>
                <w:szCs w:val="22"/>
              </w:rPr>
              <w:t>(1) ve G</w:t>
            </w:r>
            <w:r w:rsidRPr="00DE12A3">
              <w:rPr>
                <w:rFonts w:eastAsia="Times New Roman" w:cs="Times New Roman"/>
                <w:color w:val="auto"/>
                <w:spacing w:val="4"/>
                <w:sz w:val="22"/>
                <w:szCs w:val="22"/>
                <w:vertAlign w:val="subscript"/>
              </w:rPr>
              <w:t>25</w:t>
            </w:r>
            <w:r w:rsidRPr="00DE12A3">
              <w:rPr>
                <w:rFonts w:eastAsia="Times New Roman" w:cs="Times New Roman"/>
                <w:color w:val="auto"/>
                <w:spacing w:val="4"/>
                <w:sz w:val="22"/>
                <w:szCs w:val="22"/>
              </w:rPr>
              <w:t xml:space="preserve"> (2)</w:t>
            </w:r>
          </w:p>
          <w:p w14:paraId="3B254BF2" w14:textId="77777777" w:rsidR="0031699D" w:rsidRPr="00DE12A3" w:rsidRDefault="0031699D" w:rsidP="00C917D6">
            <w:pPr>
              <w:spacing w:before="120" w:after="120"/>
              <w:ind w:right="193"/>
              <w:jc w:val="both"/>
              <w:rPr>
                <w:rFonts w:eastAsia="Times New Roman" w:cs="Times New Roman"/>
                <w:color w:val="auto"/>
                <w:spacing w:val="4"/>
                <w:sz w:val="22"/>
                <w:szCs w:val="22"/>
              </w:rPr>
            </w:pPr>
            <w:bookmarkStart w:id="7" w:name="_Hlk19536873"/>
            <w:r w:rsidRPr="00DE12A3">
              <w:rPr>
                <w:rFonts w:eastAsia="Times New Roman" w:cs="Times New Roman"/>
                <w:color w:val="auto"/>
                <w:spacing w:val="4"/>
                <w:sz w:val="22"/>
                <w:szCs w:val="22"/>
              </w:rPr>
              <w:t>İmalatçının talebi üzerine motor ek bir piyasa yakıtı (3) ile test edilebilir,</w:t>
            </w:r>
          </w:p>
          <w:bookmarkEnd w:id="7"/>
          <w:p w14:paraId="20DF532A" w14:textId="77777777" w:rsidR="0031699D" w:rsidRPr="00DE12A3" w:rsidRDefault="0031699D" w:rsidP="00C917D6">
            <w:pPr>
              <w:widowControl/>
              <w:autoSpaceDE w:val="0"/>
              <w:autoSpaceDN w:val="0"/>
              <w:spacing w:before="120" w:after="120"/>
              <w:jc w:val="both"/>
              <w:rPr>
                <w:rFonts w:eastAsiaTheme="minorEastAsia" w:cs="Times New Roman"/>
                <w:color w:val="auto"/>
                <w:sz w:val="22"/>
                <w:szCs w:val="22"/>
                <w:lang w:val="fr-FR"/>
              </w:rPr>
            </w:pPr>
            <w:r w:rsidRPr="00DE12A3">
              <w:rPr>
                <w:rFonts w:cs="Times New Roman"/>
                <w:color w:val="auto"/>
                <w:sz w:val="22"/>
                <w:szCs w:val="22"/>
              </w:rPr>
              <w:t>S</w:t>
            </w:r>
            <w:r w:rsidRPr="00DE12A3">
              <w:rPr>
                <w:rFonts w:cs="Times New Roman"/>
                <w:color w:val="auto"/>
                <w:sz w:val="22"/>
                <w:szCs w:val="22"/>
                <w:vertAlign w:val="subscript"/>
              </w:rPr>
              <w:t>l</w:t>
            </w:r>
            <w:r w:rsidRPr="00DE12A3">
              <w:rPr>
                <w:rFonts w:cs="Times New Roman"/>
                <w:color w:val="auto"/>
                <w:sz w:val="22"/>
                <w:szCs w:val="22"/>
              </w:rPr>
              <w:t xml:space="preserve"> = 0,89- 1,19 ise</w:t>
            </w:r>
          </w:p>
        </w:tc>
        <w:tc>
          <w:tcPr>
            <w:tcW w:w="1103" w:type="dxa"/>
            <w:tcBorders>
              <w:top w:val="single" w:sz="2" w:space="0" w:color="auto"/>
              <w:left w:val="single" w:sz="2" w:space="0" w:color="auto"/>
              <w:bottom w:val="single" w:sz="2" w:space="0" w:color="auto"/>
              <w:right w:val="single" w:sz="2" w:space="0" w:color="auto"/>
            </w:tcBorders>
          </w:tcPr>
          <w:p w14:paraId="32863A57" w14:textId="77777777" w:rsidR="0031699D" w:rsidRPr="00DE12A3" w:rsidRDefault="0031699D" w:rsidP="00C917D6">
            <w:pPr>
              <w:spacing w:before="120" w:after="120"/>
              <w:jc w:val="both"/>
              <w:rPr>
                <w:rFonts w:eastAsia="Times New Roman" w:cs="Times New Roman"/>
                <w:color w:val="auto"/>
                <w:spacing w:val="4"/>
                <w:sz w:val="22"/>
                <w:szCs w:val="22"/>
              </w:rPr>
            </w:pPr>
          </w:p>
          <w:p w14:paraId="6278EB67" w14:textId="77777777" w:rsidR="0031699D" w:rsidRPr="00DE12A3" w:rsidRDefault="0031699D" w:rsidP="00C917D6">
            <w:pPr>
              <w:spacing w:before="120" w:after="120"/>
              <w:jc w:val="both"/>
              <w:rPr>
                <w:rFonts w:eastAsia="Times New Roman" w:cs="Times New Roman"/>
                <w:color w:val="auto"/>
                <w:spacing w:val="4"/>
                <w:sz w:val="22"/>
                <w:szCs w:val="22"/>
              </w:rPr>
            </w:pPr>
          </w:p>
          <w:p w14:paraId="53EBB96A" w14:textId="77777777" w:rsidR="0031699D" w:rsidRPr="00DE12A3" w:rsidRDefault="0031699D" w:rsidP="00C917D6">
            <w:pPr>
              <w:spacing w:before="120" w:after="120"/>
              <w:jc w:val="both"/>
              <w:rPr>
                <w:rFonts w:eastAsia="Times New Roman" w:cs="Times New Roman"/>
                <w:color w:val="auto"/>
                <w:spacing w:val="4"/>
                <w:sz w:val="22"/>
                <w:szCs w:val="22"/>
              </w:rPr>
            </w:pPr>
            <w:r w:rsidRPr="00DE12A3">
              <w:rPr>
                <w:rFonts w:eastAsia="Times New Roman" w:cs="Times New Roman"/>
                <w:color w:val="auto"/>
                <w:spacing w:val="4"/>
                <w:sz w:val="22"/>
                <w:szCs w:val="22"/>
              </w:rPr>
              <w:t xml:space="preserve"> </w:t>
            </w:r>
          </w:p>
          <w:p w14:paraId="15350009" w14:textId="77777777" w:rsidR="0031699D" w:rsidRPr="00DE12A3" w:rsidRDefault="0031699D" w:rsidP="00C917D6">
            <w:pPr>
              <w:spacing w:before="120" w:after="120"/>
              <w:jc w:val="both"/>
              <w:rPr>
                <w:rFonts w:eastAsia="Times New Roman" w:cs="Times New Roman"/>
                <w:color w:val="auto"/>
                <w:spacing w:val="4"/>
                <w:sz w:val="22"/>
                <w:szCs w:val="22"/>
              </w:rPr>
            </w:pPr>
          </w:p>
          <w:p w14:paraId="2D4F1BA8" w14:textId="77777777" w:rsidR="0031699D" w:rsidRPr="00DE12A3" w:rsidRDefault="0031699D" w:rsidP="00C917D6">
            <w:pPr>
              <w:spacing w:before="120" w:after="120"/>
              <w:jc w:val="both"/>
              <w:rPr>
                <w:rFonts w:eastAsia="Times New Roman" w:cs="Times New Roman"/>
                <w:color w:val="auto"/>
                <w:spacing w:val="4"/>
                <w:sz w:val="22"/>
                <w:szCs w:val="22"/>
              </w:rPr>
            </w:pPr>
            <w:r w:rsidRPr="00DE12A3">
              <w:rPr>
                <w:rFonts w:eastAsia="Times New Roman" w:cs="Times New Roman"/>
                <w:color w:val="auto"/>
                <w:spacing w:val="4"/>
                <w:sz w:val="22"/>
                <w:szCs w:val="22"/>
              </w:rPr>
              <w:t xml:space="preserve"> 2</w:t>
            </w:r>
          </w:p>
          <w:p w14:paraId="4EE4D352" w14:textId="77777777" w:rsidR="0031699D" w:rsidRPr="00DE12A3" w:rsidRDefault="0031699D" w:rsidP="00C917D6">
            <w:pPr>
              <w:widowControl/>
              <w:autoSpaceDE w:val="0"/>
              <w:autoSpaceDN w:val="0"/>
              <w:spacing w:before="120" w:after="120"/>
              <w:jc w:val="both"/>
              <w:rPr>
                <w:rFonts w:eastAsiaTheme="minorEastAsia" w:cs="Times New Roman"/>
                <w:color w:val="auto"/>
                <w:sz w:val="22"/>
                <w:szCs w:val="22"/>
                <w:lang w:val="fr-FR"/>
              </w:rPr>
            </w:pPr>
            <w:r w:rsidRPr="00DE12A3">
              <w:rPr>
                <w:rFonts w:cs="Times New Roman"/>
                <w:color w:val="auto"/>
                <w:sz w:val="22"/>
                <w:szCs w:val="22"/>
              </w:rPr>
              <w:t>(maks. 3)</w:t>
            </w:r>
          </w:p>
        </w:tc>
        <w:tc>
          <w:tcPr>
            <w:tcW w:w="1559" w:type="dxa"/>
            <w:tcBorders>
              <w:top w:val="single" w:sz="2" w:space="0" w:color="auto"/>
              <w:left w:val="single" w:sz="2" w:space="0" w:color="auto"/>
              <w:bottom w:val="single" w:sz="2" w:space="0" w:color="auto"/>
              <w:right w:val="single" w:sz="2" w:space="0" w:color="auto"/>
            </w:tcBorders>
          </w:tcPr>
          <w:p w14:paraId="3B8BE215" w14:textId="77777777" w:rsidR="0031699D" w:rsidRPr="00DE12A3" w:rsidRDefault="0031699D" w:rsidP="00C917D6">
            <w:pPr>
              <w:widowControl/>
              <w:autoSpaceDE w:val="0"/>
              <w:autoSpaceDN w:val="0"/>
              <w:spacing w:before="120" w:after="120"/>
              <w:jc w:val="both"/>
              <w:rPr>
                <w:rFonts w:eastAsiaTheme="minorEastAsia" w:cs="Times New Roman"/>
                <w:color w:val="auto"/>
                <w:sz w:val="22"/>
                <w:szCs w:val="22"/>
                <w:lang w:val="fr-FR"/>
              </w:rPr>
            </w:pPr>
          </w:p>
          <w:p w14:paraId="006D0BAF" w14:textId="77777777" w:rsidR="0031699D" w:rsidRPr="00DE12A3" w:rsidRDefault="0031699D" w:rsidP="00C917D6">
            <w:pPr>
              <w:spacing w:before="120" w:after="120"/>
              <w:ind w:left="40"/>
              <w:jc w:val="both"/>
              <w:rPr>
                <w:rFonts w:eastAsia="Times New Roman" w:cs="Times New Roman"/>
                <w:color w:val="auto"/>
                <w:spacing w:val="4"/>
                <w:sz w:val="22"/>
                <w:szCs w:val="22"/>
              </w:rPr>
            </w:pPr>
            <w:r w:rsidRPr="00DE12A3">
              <w:rPr>
                <w:rFonts w:eastAsia="Times New Roman" w:cs="Times New Roman"/>
                <w:color w:val="auto"/>
                <w:spacing w:val="4"/>
                <w:sz w:val="22"/>
                <w:szCs w:val="22"/>
              </w:rPr>
              <w:t>r = yakıt 2 (G</w:t>
            </w:r>
            <w:r w:rsidRPr="00DE12A3">
              <w:rPr>
                <w:rFonts w:eastAsia="Times New Roman" w:cs="Times New Roman"/>
                <w:color w:val="auto"/>
                <w:spacing w:val="4"/>
                <w:sz w:val="22"/>
                <w:szCs w:val="22"/>
                <w:vertAlign w:val="subscript"/>
              </w:rPr>
              <w:t>25</w:t>
            </w:r>
            <w:r w:rsidRPr="00DE12A3">
              <w:rPr>
                <w:rFonts w:eastAsia="Times New Roman" w:cs="Times New Roman"/>
                <w:color w:val="auto"/>
                <w:spacing w:val="4"/>
                <w:sz w:val="22"/>
                <w:szCs w:val="22"/>
              </w:rPr>
              <w:t>) / yakıt 1 (G</w:t>
            </w:r>
            <w:r w:rsidRPr="00DE12A3">
              <w:rPr>
                <w:rFonts w:eastAsia="Times New Roman" w:cs="Times New Roman"/>
                <w:color w:val="auto"/>
                <w:spacing w:val="4"/>
                <w:sz w:val="22"/>
                <w:szCs w:val="22"/>
                <w:vertAlign w:val="subscript"/>
              </w:rPr>
              <w:t>R</w:t>
            </w:r>
            <w:r w:rsidRPr="00DE12A3">
              <w:rPr>
                <w:rFonts w:eastAsia="Times New Roman" w:cs="Times New Roman"/>
                <w:color w:val="auto"/>
                <w:spacing w:val="4"/>
                <w:sz w:val="22"/>
                <w:szCs w:val="22"/>
              </w:rPr>
              <w:t>)</w:t>
            </w:r>
          </w:p>
          <w:p w14:paraId="7265FA0F" w14:textId="77777777" w:rsidR="0031699D" w:rsidRPr="00DE12A3" w:rsidRDefault="0031699D" w:rsidP="00C917D6">
            <w:pPr>
              <w:spacing w:before="120" w:after="120"/>
              <w:ind w:left="40"/>
              <w:jc w:val="both"/>
              <w:rPr>
                <w:rFonts w:eastAsia="Times New Roman" w:cs="Times New Roman"/>
                <w:color w:val="auto"/>
                <w:spacing w:val="4"/>
                <w:sz w:val="22"/>
                <w:szCs w:val="22"/>
              </w:rPr>
            </w:pPr>
            <w:r w:rsidRPr="00DE12A3">
              <w:rPr>
                <w:rFonts w:eastAsia="Times New Roman" w:cs="Times New Roman"/>
                <w:color w:val="auto"/>
                <w:spacing w:val="4"/>
                <w:sz w:val="22"/>
                <w:szCs w:val="22"/>
              </w:rPr>
              <w:t>ve ek bir yakıtla test edilirse;</w:t>
            </w:r>
          </w:p>
          <w:p w14:paraId="4D370836" w14:textId="77777777" w:rsidR="0031699D" w:rsidRPr="00DE12A3" w:rsidRDefault="0031699D" w:rsidP="00C917D6">
            <w:pPr>
              <w:spacing w:before="120" w:after="120"/>
              <w:ind w:left="40"/>
              <w:jc w:val="both"/>
              <w:rPr>
                <w:rFonts w:eastAsia="Times New Roman" w:cs="Times New Roman"/>
                <w:iCs/>
                <w:color w:val="auto"/>
                <w:spacing w:val="4"/>
                <w:sz w:val="22"/>
                <w:szCs w:val="22"/>
              </w:rPr>
            </w:pPr>
            <w:r w:rsidRPr="00DE12A3">
              <w:rPr>
                <w:rFonts w:eastAsia="Times New Roman" w:cs="Times New Roman"/>
                <w:color w:val="auto"/>
                <w:spacing w:val="4"/>
                <w:sz w:val="22"/>
                <w:szCs w:val="22"/>
              </w:rPr>
              <w:t>r</w:t>
            </w:r>
            <w:r w:rsidRPr="00DE12A3">
              <w:rPr>
                <w:rFonts w:eastAsia="Times New Roman" w:cs="Times New Roman"/>
                <w:color w:val="auto"/>
                <w:spacing w:val="4"/>
                <w:sz w:val="22"/>
                <w:szCs w:val="22"/>
                <w:vertAlign w:val="subscript"/>
              </w:rPr>
              <w:t>a</w:t>
            </w:r>
            <w:r w:rsidRPr="00DE12A3">
              <w:rPr>
                <w:rFonts w:eastAsia="Times New Roman" w:cs="Times New Roman"/>
                <w:color w:val="auto"/>
                <w:spacing w:val="4"/>
                <w:sz w:val="22"/>
                <w:szCs w:val="22"/>
              </w:rPr>
              <w:t xml:space="preserve"> = yakıt 2 (G</w:t>
            </w:r>
            <w:r w:rsidRPr="00DE12A3">
              <w:rPr>
                <w:rFonts w:eastAsia="Times New Roman" w:cs="Times New Roman"/>
                <w:color w:val="auto"/>
                <w:spacing w:val="4"/>
                <w:sz w:val="22"/>
                <w:szCs w:val="22"/>
                <w:vertAlign w:val="subscript"/>
              </w:rPr>
              <w:t>25</w:t>
            </w:r>
            <w:r w:rsidRPr="00DE12A3">
              <w:rPr>
                <w:rFonts w:eastAsia="Times New Roman" w:cs="Times New Roman"/>
                <w:color w:val="auto"/>
                <w:spacing w:val="4"/>
                <w:sz w:val="22"/>
                <w:szCs w:val="22"/>
              </w:rPr>
              <w:t>) / yakıt 3 (piyasa yakıtı)</w:t>
            </w:r>
          </w:p>
          <w:p w14:paraId="5342E13F" w14:textId="77777777" w:rsidR="0031699D" w:rsidRPr="00DE12A3" w:rsidRDefault="0031699D" w:rsidP="00C917D6">
            <w:pPr>
              <w:spacing w:before="120" w:after="120"/>
              <w:ind w:left="40"/>
              <w:jc w:val="both"/>
              <w:rPr>
                <w:rFonts w:eastAsia="Times New Roman" w:cs="Times New Roman"/>
                <w:color w:val="auto"/>
                <w:spacing w:val="4"/>
                <w:sz w:val="22"/>
                <w:szCs w:val="22"/>
              </w:rPr>
            </w:pPr>
            <w:r w:rsidRPr="00DE12A3">
              <w:rPr>
                <w:rFonts w:eastAsia="Times New Roman" w:cs="Times New Roman"/>
                <w:color w:val="auto"/>
                <w:spacing w:val="4"/>
                <w:sz w:val="22"/>
                <w:szCs w:val="22"/>
              </w:rPr>
              <w:t>ve</w:t>
            </w:r>
          </w:p>
          <w:p w14:paraId="47C821BA" w14:textId="77777777" w:rsidR="0031699D" w:rsidRPr="00DE12A3" w:rsidRDefault="0031699D" w:rsidP="00C917D6">
            <w:pPr>
              <w:spacing w:before="120" w:after="120"/>
              <w:ind w:left="40"/>
              <w:jc w:val="both"/>
              <w:rPr>
                <w:rFonts w:eastAsia="Times New Roman" w:cs="Times New Roman"/>
                <w:iCs/>
                <w:color w:val="auto"/>
                <w:spacing w:val="4"/>
                <w:sz w:val="22"/>
                <w:szCs w:val="22"/>
              </w:rPr>
            </w:pPr>
            <w:r w:rsidRPr="00DE12A3">
              <w:rPr>
                <w:rFonts w:eastAsia="Times New Roman" w:cs="Times New Roman"/>
                <w:iCs/>
                <w:color w:val="auto"/>
                <w:spacing w:val="4"/>
                <w:sz w:val="22"/>
                <w:szCs w:val="22"/>
              </w:rPr>
              <w:t>r</w:t>
            </w:r>
            <w:r w:rsidRPr="00DE12A3">
              <w:rPr>
                <w:rFonts w:eastAsia="Times New Roman" w:cs="Times New Roman"/>
                <w:iCs/>
                <w:color w:val="auto"/>
                <w:spacing w:val="4"/>
                <w:sz w:val="22"/>
                <w:szCs w:val="22"/>
                <w:vertAlign w:val="subscript"/>
              </w:rPr>
              <w:t>b</w:t>
            </w:r>
            <w:r w:rsidRPr="00DE12A3">
              <w:rPr>
                <w:rFonts w:eastAsia="Times New Roman" w:cs="Times New Roman"/>
                <w:iCs/>
                <w:color w:val="auto"/>
                <w:spacing w:val="4"/>
                <w:sz w:val="22"/>
                <w:szCs w:val="22"/>
              </w:rPr>
              <w:t xml:space="preserve"> = yakıt 1 (G</w:t>
            </w:r>
            <w:r w:rsidRPr="00DE12A3">
              <w:rPr>
                <w:rFonts w:eastAsia="Times New Roman" w:cs="Times New Roman"/>
                <w:iCs/>
                <w:color w:val="auto"/>
                <w:spacing w:val="4"/>
                <w:sz w:val="22"/>
                <w:szCs w:val="22"/>
                <w:vertAlign w:val="subscript"/>
              </w:rPr>
              <w:t>R</w:t>
            </w:r>
            <w:r w:rsidRPr="00DE12A3">
              <w:rPr>
                <w:rFonts w:eastAsia="Times New Roman" w:cs="Times New Roman"/>
                <w:iCs/>
                <w:color w:val="auto"/>
                <w:spacing w:val="4"/>
                <w:sz w:val="22"/>
                <w:szCs w:val="22"/>
              </w:rPr>
              <w:t>) / yakıt 3 (G</w:t>
            </w:r>
            <w:r w:rsidRPr="00DE12A3">
              <w:rPr>
                <w:rFonts w:eastAsia="Times New Roman" w:cs="Times New Roman"/>
                <w:iCs/>
                <w:color w:val="auto"/>
                <w:spacing w:val="4"/>
                <w:sz w:val="22"/>
                <w:szCs w:val="22"/>
                <w:vertAlign w:val="subscript"/>
              </w:rPr>
              <w:t>23</w:t>
            </w:r>
            <w:r w:rsidRPr="00DE12A3">
              <w:rPr>
                <w:rFonts w:eastAsia="Times New Roman" w:cs="Times New Roman"/>
                <w:iCs/>
                <w:color w:val="auto"/>
                <w:spacing w:val="4"/>
                <w:sz w:val="22"/>
                <w:szCs w:val="22"/>
              </w:rPr>
              <w:t xml:space="preserve"> veya piyasa yakıtı)</w:t>
            </w:r>
          </w:p>
          <w:p w14:paraId="63C2AF5D" w14:textId="77777777" w:rsidR="0031699D" w:rsidRPr="00DE12A3" w:rsidRDefault="0031699D" w:rsidP="00C917D6">
            <w:pPr>
              <w:widowControl/>
              <w:autoSpaceDE w:val="0"/>
              <w:autoSpaceDN w:val="0"/>
              <w:spacing w:before="120" w:after="120"/>
              <w:jc w:val="both"/>
              <w:rPr>
                <w:rFonts w:eastAsiaTheme="minorEastAsia" w:cs="Times New Roman"/>
                <w:color w:val="auto"/>
                <w:sz w:val="22"/>
                <w:szCs w:val="22"/>
                <w:lang w:val="fr-FR"/>
              </w:rPr>
            </w:pPr>
          </w:p>
        </w:tc>
        <w:tc>
          <w:tcPr>
            <w:tcW w:w="1276" w:type="dxa"/>
            <w:tcBorders>
              <w:top w:val="single" w:sz="2" w:space="0" w:color="auto"/>
              <w:left w:val="single" w:sz="2" w:space="0" w:color="auto"/>
              <w:bottom w:val="single" w:sz="2" w:space="0" w:color="auto"/>
              <w:right w:val="single" w:sz="2" w:space="0" w:color="auto"/>
            </w:tcBorders>
          </w:tcPr>
          <w:p w14:paraId="3ECE77F9" w14:textId="77777777" w:rsidR="0031699D" w:rsidRPr="00DE12A3" w:rsidRDefault="0031699D" w:rsidP="00C917D6">
            <w:pPr>
              <w:widowControl/>
              <w:autoSpaceDE w:val="0"/>
              <w:autoSpaceDN w:val="0"/>
              <w:spacing w:before="120" w:after="120"/>
              <w:jc w:val="both"/>
              <w:rPr>
                <w:rFonts w:eastAsiaTheme="minorEastAsia" w:cs="Times New Roman"/>
                <w:color w:val="auto"/>
                <w:sz w:val="22"/>
                <w:szCs w:val="22"/>
                <w:lang w:val="fr-FR"/>
              </w:rPr>
            </w:pPr>
          </w:p>
        </w:tc>
        <w:tc>
          <w:tcPr>
            <w:tcW w:w="1134" w:type="dxa"/>
            <w:tcBorders>
              <w:top w:val="single" w:sz="2" w:space="0" w:color="auto"/>
              <w:left w:val="single" w:sz="2" w:space="0" w:color="auto"/>
              <w:bottom w:val="single" w:sz="2" w:space="0" w:color="auto"/>
              <w:right w:val="single" w:sz="2" w:space="0" w:color="auto"/>
            </w:tcBorders>
          </w:tcPr>
          <w:p w14:paraId="11DD6899" w14:textId="77777777" w:rsidR="0031699D" w:rsidRPr="00DE12A3" w:rsidRDefault="0031699D" w:rsidP="00C917D6">
            <w:pPr>
              <w:widowControl/>
              <w:autoSpaceDE w:val="0"/>
              <w:autoSpaceDN w:val="0"/>
              <w:spacing w:before="120" w:after="120"/>
              <w:jc w:val="both"/>
              <w:rPr>
                <w:rFonts w:eastAsiaTheme="minorEastAsia" w:cs="Times New Roman"/>
                <w:color w:val="auto"/>
                <w:sz w:val="22"/>
                <w:szCs w:val="22"/>
                <w:lang w:val="fr-FR"/>
              </w:rPr>
            </w:pPr>
          </w:p>
        </w:tc>
        <w:tc>
          <w:tcPr>
            <w:tcW w:w="1559" w:type="dxa"/>
            <w:tcBorders>
              <w:top w:val="single" w:sz="2" w:space="0" w:color="auto"/>
              <w:left w:val="single" w:sz="2" w:space="0" w:color="auto"/>
              <w:bottom w:val="single" w:sz="2" w:space="0" w:color="auto"/>
              <w:right w:val="single" w:sz="2" w:space="0" w:color="auto"/>
            </w:tcBorders>
          </w:tcPr>
          <w:p w14:paraId="76026097" w14:textId="77777777" w:rsidR="0031699D" w:rsidRPr="00DE12A3" w:rsidRDefault="0031699D" w:rsidP="00C917D6">
            <w:pPr>
              <w:widowControl/>
              <w:autoSpaceDE w:val="0"/>
              <w:autoSpaceDN w:val="0"/>
              <w:spacing w:before="120" w:after="120"/>
              <w:jc w:val="both"/>
              <w:rPr>
                <w:rFonts w:eastAsiaTheme="minorEastAsia" w:cs="Times New Roman"/>
                <w:color w:val="auto"/>
                <w:lang w:val="fr-FR"/>
              </w:rPr>
            </w:pPr>
          </w:p>
        </w:tc>
      </w:tr>
      <w:tr w:rsidR="00DE12A3" w:rsidRPr="00DE12A3" w14:paraId="701B1FA9" w14:textId="77777777" w:rsidTr="00CA7FE3">
        <w:trPr>
          <w:trHeight w:val="5381"/>
          <w:jc w:val="center"/>
        </w:trPr>
        <w:tc>
          <w:tcPr>
            <w:tcW w:w="1415" w:type="dxa"/>
            <w:tcBorders>
              <w:top w:val="single" w:sz="2" w:space="0" w:color="auto"/>
              <w:left w:val="single" w:sz="2" w:space="0" w:color="auto"/>
              <w:bottom w:val="single" w:sz="2" w:space="0" w:color="auto"/>
              <w:right w:val="single" w:sz="2" w:space="0" w:color="auto"/>
            </w:tcBorders>
            <w:shd w:val="clear" w:color="auto" w:fill="FFFFFF" w:themeFill="background1"/>
          </w:tcPr>
          <w:p w14:paraId="45655F15" w14:textId="77777777" w:rsidR="0031699D" w:rsidRPr="00DE12A3" w:rsidRDefault="0031699D" w:rsidP="00C917D6">
            <w:pPr>
              <w:spacing w:before="120" w:after="120"/>
              <w:ind w:left="40"/>
              <w:jc w:val="both"/>
              <w:rPr>
                <w:rFonts w:eastAsia="Times New Roman" w:cs="Times New Roman"/>
                <w:color w:val="auto"/>
                <w:spacing w:val="4"/>
                <w:sz w:val="22"/>
                <w:szCs w:val="22"/>
              </w:rPr>
            </w:pPr>
            <w:bookmarkStart w:id="8" w:name="_Hlk19536819"/>
          </w:p>
          <w:p w14:paraId="5CFD79DA" w14:textId="77777777" w:rsidR="0031699D" w:rsidRPr="00DE12A3" w:rsidRDefault="0031699D" w:rsidP="00C917D6">
            <w:pPr>
              <w:spacing w:before="120" w:after="120"/>
              <w:ind w:left="40"/>
              <w:jc w:val="both"/>
              <w:rPr>
                <w:rFonts w:eastAsia="Times New Roman" w:cs="Times New Roman"/>
                <w:color w:val="auto"/>
                <w:spacing w:val="4"/>
                <w:sz w:val="22"/>
                <w:szCs w:val="22"/>
              </w:rPr>
            </w:pPr>
          </w:p>
          <w:p w14:paraId="03387624" w14:textId="1571FE75" w:rsidR="0031699D" w:rsidRPr="00DE12A3" w:rsidRDefault="0031699D" w:rsidP="00C917D6">
            <w:pPr>
              <w:spacing w:before="120" w:after="120"/>
              <w:ind w:left="40"/>
              <w:jc w:val="both"/>
              <w:rPr>
                <w:rFonts w:eastAsia="Times New Roman" w:cs="Times New Roman"/>
                <w:color w:val="auto"/>
                <w:spacing w:val="4"/>
                <w:sz w:val="22"/>
                <w:szCs w:val="22"/>
              </w:rPr>
            </w:pPr>
            <w:r w:rsidRPr="00DE12A3">
              <w:rPr>
                <w:rFonts w:eastAsia="Times New Roman" w:cs="Times New Roman"/>
                <w:color w:val="auto"/>
                <w:spacing w:val="4"/>
                <w:sz w:val="22"/>
                <w:szCs w:val="22"/>
              </w:rPr>
              <w:t>2.3.2 bendine bakınız.</w:t>
            </w:r>
            <w:bookmarkEnd w:id="8"/>
          </w:p>
          <w:p w14:paraId="281903AB" w14:textId="77777777" w:rsidR="0031699D" w:rsidRPr="00DE12A3" w:rsidRDefault="0031699D" w:rsidP="00C917D6">
            <w:pPr>
              <w:spacing w:before="120" w:after="120"/>
              <w:ind w:left="40"/>
              <w:jc w:val="both"/>
              <w:rPr>
                <w:rFonts w:eastAsia="Times New Roman" w:cs="Times New Roman"/>
                <w:color w:val="auto"/>
                <w:spacing w:val="4"/>
                <w:sz w:val="22"/>
                <w:szCs w:val="22"/>
              </w:rPr>
            </w:pPr>
            <w:bookmarkStart w:id="9" w:name="_Hlk19536844"/>
            <w:r w:rsidRPr="00DE12A3">
              <w:rPr>
                <w:rFonts w:eastAsia="Times New Roman" w:cs="Times New Roman"/>
                <w:color w:val="auto"/>
                <w:spacing w:val="4"/>
                <w:sz w:val="22"/>
                <w:szCs w:val="22"/>
              </w:rPr>
              <w:t xml:space="preserve">Bir anahtarla kendinden uyum sağlayan </w:t>
            </w:r>
          </w:p>
          <w:p w14:paraId="0309163E" w14:textId="65C0B265" w:rsidR="0031699D" w:rsidRPr="00DE12A3" w:rsidRDefault="0031699D" w:rsidP="00C917D6">
            <w:pPr>
              <w:spacing w:before="120" w:after="120"/>
              <w:ind w:left="40"/>
              <w:jc w:val="both"/>
              <w:rPr>
                <w:rFonts w:eastAsia="Times New Roman" w:cs="Times New Roman"/>
                <w:color w:val="auto"/>
                <w:spacing w:val="4"/>
                <w:sz w:val="22"/>
                <w:szCs w:val="22"/>
              </w:rPr>
            </w:pPr>
            <w:r w:rsidRPr="00DE12A3">
              <w:rPr>
                <w:rFonts w:eastAsia="Times New Roman" w:cs="Times New Roman"/>
                <w:color w:val="auto"/>
                <w:spacing w:val="4"/>
                <w:sz w:val="22"/>
                <w:szCs w:val="22"/>
              </w:rPr>
              <w:t>DG-motoru</w:t>
            </w:r>
            <w:bookmarkEnd w:id="9"/>
          </w:p>
          <w:p w14:paraId="0EA6F6D5" w14:textId="77777777" w:rsidR="0031699D" w:rsidRPr="00DE12A3" w:rsidRDefault="0031699D" w:rsidP="00C917D6">
            <w:pPr>
              <w:spacing w:before="120" w:after="120"/>
              <w:ind w:left="40"/>
              <w:jc w:val="both"/>
              <w:rPr>
                <w:rFonts w:eastAsia="Times New Roman" w:cs="Times New Roman"/>
                <w:color w:val="auto"/>
                <w:spacing w:val="4"/>
                <w:sz w:val="22"/>
                <w:szCs w:val="22"/>
              </w:rPr>
            </w:pPr>
          </w:p>
        </w:tc>
        <w:tc>
          <w:tcPr>
            <w:tcW w:w="1559" w:type="dxa"/>
            <w:tcBorders>
              <w:top w:val="single" w:sz="2" w:space="0" w:color="auto"/>
              <w:left w:val="single" w:sz="2" w:space="0" w:color="auto"/>
              <w:bottom w:val="single" w:sz="2" w:space="0" w:color="auto"/>
              <w:right w:val="single" w:sz="2" w:space="0" w:color="auto"/>
            </w:tcBorders>
            <w:shd w:val="clear" w:color="auto" w:fill="FFFFFF" w:themeFill="background1"/>
          </w:tcPr>
          <w:p w14:paraId="36580699" w14:textId="77777777" w:rsidR="0031699D" w:rsidRPr="00DE12A3" w:rsidRDefault="0031699D" w:rsidP="00C917D6">
            <w:pPr>
              <w:spacing w:before="120" w:after="120"/>
              <w:ind w:right="193"/>
              <w:jc w:val="both"/>
              <w:rPr>
                <w:rFonts w:eastAsia="Times New Roman" w:cs="Times New Roman"/>
                <w:color w:val="auto"/>
                <w:spacing w:val="4"/>
                <w:sz w:val="22"/>
                <w:szCs w:val="22"/>
              </w:rPr>
            </w:pPr>
          </w:p>
          <w:p w14:paraId="6A01F56B" w14:textId="77777777" w:rsidR="0031699D" w:rsidRPr="00DE12A3" w:rsidRDefault="0031699D" w:rsidP="00C917D6">
            <w:pPr>
              <w:spacing w:before="120" w:after="120"/>
              <w:ind w:right="193"/>
              <w:jc w:val="both"/>
              <w:rPr>
                <w:rFonts w:eastAsia="Times New Roman" w:cs="Times New Roman"/>
                <w:color w:val="auto"/>
                <w:spacing w:val="4"/>
                <w:sz w:val="22"/>
                <w:szCs w:val="22"/>
              </w:rPr>
            </w:pPr>
            <w:r w:rsidRPr="00DE12A3">
              <w:rPr>
                <w:rFonts w:eastAsia="Times New Roman" w:cs="Times New Roman"/>
                <w:color w:val="auto"/>
                <w:spacing w:val="4"/>
                <w:sz w:val="22"/>
                <w:szCs w:val="22"/>
              </w:rPr>
              <w:t>H için G</w:t>
            </w:r>
            <w:r w:rsidRPr="00DE12A3">
              <w:rPr>
                <w:rFonts w:eastAsia="Times New Roman" w:cs="Times New Roman"/>
                <w:color w:val="auto"/>
                <w:spacing w:val="4"/>
                <w:sz w:val="22"/>
                <w:szCs w:val="22"/>
                <w:vertAlign w:val="subscript"/>
              </w:rPr>
              <w:t>R</w:t>
            </w:r>
            <w:r w:rsidRPr="00DE12A3">
              <w:rPr>
                <w:rFonts w:eastAsia="Times New Roman" w:cs="Times New Roman"/>
                <w:color w:val="auto"/>
                <w:spacing w:val="4"/>
                <w:sz w:val="22"/>
                <w:szCs w:val="22"/>
              </w:rPr>
              <w:t xml:space="preserve"> (1) ve G</w:t>
            </w:r>
            <w:r w:rsidRPr="00DE12A3">
              <w:rPr>
                <w:rFonts w:eastAsia="Times New Roman" w:cs="Times New Roman"/>
                <w:color w:val="auto"/>
                <w:spacing w:val="4"/>
                <w:sz w:val="22"/>
                <w:szCs w:val="22"/>
                <w:vertAlign w:val="subscript"/>
              </w:rPr>
              <w:t xml:space="preserve">23 </w:t>
            </w:r>
            <w:r w:rsidRPr="00DE12A3">
              <w:rPr>
                <w:rFonts w:eastAsia="Times New Roman" w:cs="Times New Roman"/>
                <w:color w:val="auto"/>
                <w:spacing w:val="4"/>
                <w:sz w:val="22"/>
                <w:szCs w:val="22"/>
              </w:rPr>
              <w:t>(3) ve</w:t>
            </w:r>
          </w:p>
          <w:p w14:paraId="683101E7" w14:textId="77777777" w:rsidR="0031699D" w:rsidRPr="00DE12A3" w:rsidRDefault="0031699D" w:rsidP="00C917D6">
            <w:pPr>
              <w:spacing w:before="120" w:after="120"/>
              <w:ind w:right="193"/>
              <w:jc w:val="both"/>
              <w:rPr>
                <w:rFonts w:eastAsia="Times New Roman" w:cs="Times New Roman"/>
                <w:color w:val="auto"/>
                <w:spacing w:val="4"/>
                <w:sz w:val="22"/>
                <w:szCs w:val="22"/>
              </w:rPr>
            </w:pPr>
            <w:r w:rsidRPr="00DE12A3">
              <w:rPr>
                <w:rFonts w:eastAsia="Times New Roman" w:cs="Times New Roman"/>
                <w:color w:val="auto"/>
                <w:spacing w:val="4"/>
                <w:sz w:val="22"/>
                <w:szCs w:val="22"/>
              </w:rPr>
              <w:t>L için G</w:t>
            </w:r>
            <w:r w:rsidRPr="00DE12A3">
              <w:rPr>
                <w:rFonts w:eastAsia="Times New Roman" w:cs="Times New Roman"/>
                <w:color w:val="auto"/>
                <w:spacing w:val="4"/>
                <w:sz w:val="22"/>
                <w:szCs w:val="22"/>
                <w:vertAlign w:val="subscript"/>
              </w:rPr>
              <w:t>25</w:t>
            </w:r>
            <w:r w:rsidRPr="00DE12A3">
              <w:rPr>
                <w:rFonts w:eastAsia="Times New Roman" w:cs="Times New Roman"/>
                <w:color w:val="auto"/>
                <w:spacing w:val="4"/>
                <w:sz w:val="22"/>
                <w:szCs w:val="22"/>
              </w:rPr>
              <w:t xml:space="preserve"> (2) ve G</w:t>
            </w:r>
            <w:r w:rsidRPr="00DE12A3">
              <w:rPr>
                <w:rFonts w:eastAsia="Times New Roman" w:cs="Times New Roman"/>
                <w:color w:val="auto"/>
                <w:spacing w:val="4"/>
                <w:sz w:val="22"/>
                <w:szCs w:val="22"/>
                <w:vertAlign w:val="subscript"/>
              </w:rPr>
              <w:t xml:space="preserve">23 </w:t>
            </w:r>
            <w:r w:rsidRPr="00DE12A3">
              <w:rPr>
                <w:rFonts w:eastAsia="Times New Roman" w:cs="Times New Roman"/>
                <w:color w:val="auto"/>
                <w:spacing w:val="4"/>
                <w:sz w:val="22"/>
                <w:szCs w:val="22"/>
              </w:rPr>
              <w:t>(3)</w:t>
            </w:r>
          </w:p>
          <w:p w14:paraId="3B22FAAC" w14:textId="77777777" w:rsidR="0031699D" w:rsidRPr="00DE12A3" w:rsidRDefault="0031699D" w:rsidP="00C917D6">
            <w:pPr>
              <w:spacing w:before="120" w:after="120"/>
              <w:ind w:right="193"/>
              <w:jc w:val="both"/>
              <w:rPr>
                <w:rFonts w:eastAsia="Times New Roman" w:cs="Times New Roman"/>
                <w:color w:val="auto"/>
                <w:spacing w:val="4"/>
                <w:sz w:val="22"/>
                <w:szCs w:val="22"/>
              </w:rPr>
            </w:pPr>
            <w:r w:rsidRPr="00DE12A3">
              <w:rPr>
                <w:rFonts w:eastAsia="Times New Roman" w:cs="Times New Roman"/>
                <w:color w:val="auto"/>
                <w:spacing w:val="4"/>
                <w:sz w:val="22"/>
                <w:szCs w:val="22"/>
              </w:rPr>
              <w:t>Üreticinin isteği üzerine motor G</w:t>
            </w:r>
            <w:r w:rsidRPr="00DE12A3">
              <w:rPr>
                <w:rFonts w:eastAsia="Times New Roman" w:cs="Times New Roman"/>
                <w:color w:val="auto"/>
                <w:spacing w:val="4"/>
                <w:sz w:val="22"/>
                <w:szCs w:val="22"/>
                <w:vertAlign w:val="subscript"/>
              </w:rPr>
              <w:t>23</w:t>
            </w:r>
            <w:r w:rsidRPr="00DE12A3">
              <w:rPr>
                <w:rFonts w:eastAsia="Times New Roman" w:cs="Times New Roman"/>
                <w:color w:val="auto"/>
                <w:spacing w:val="4"/>
                <w:sz w:val="22"/>
                <w:szCs w:val="22"/>
              </w:rPr>
              <w:t xml:space="preserve"> yerine bir piyasa yakıtı (3) ile test edilebilir,</w:t>
            </w:r>
          </w:p>
          <w:p w14:paraId="47F766B6" w14:textId="77777777" w:rsidR="0031699D" w:rsidRPr="00DE12A3" w:rsidRDefault="0031699D" w:rsidP="00C917D6">
            <w:pPr>
              <w:spacing w:before="120" w:after="120"/>
              <w:ind w:right="193"/>
              <w:jc w:val="both"/>
              <w:rPr>
                <w:rFonts w:eastAsia="Times New Roman" w:cs="Times New Roman"/>
                <w:color w:val="auto"/>
                <w:spacing w:val="4"/>
                <w:sz w:val="22"/>
                <w:szCs w:val="22"/>
              </w:rPr>
            </w:pPr>
            <w:r w:rsidRPr="00DE12A3">
              <w:rPr>
                <w:rFonts w:eastAsia="Times New Roman" w:cs="Times New Roman"/>
                <w:color w:val="auto"/>
                <w:spacing w:val="4"/>
                <w:sz w:val="22"/>
                <w:szCs w:val="22"/>
              </w:rPr>
              <w:t>S</w:t>
            </w:r>
            <w:r w:rsidRPr="00DE12A3">
              <w:rPr>
                <w:rFonts w:eastAsia="Times New Roman" w:cs="Times New Roman"/>
                <w:color w:val="auto"/>
                <w:spacing w:val="4"/>
                <w:sz w:val="22"/>
                <w:szCs w:val="22"/>
                <w:vertAlign w:val="subscript"/>
              </w:rPr>
              <w:t>l</w:t>
            </w:r>
            <w:r w:rsidRPr="00DE12A3">
              <w:rPr>
                <w:rFonts w:eastAsia="Times New Roman" w:cs="Times New Roman"/>
                <w:color w:val="auto"/>
                <w:spacing w:val="4"/>
                <w:sz w:val="22"/>
                <w:szCs w:val="22"/>
              </w:rPr>
              <w:t xml:space="preserve"> = 0,89 - 1,19 ise</w:t>
            </w:r>
          </w:p>
        </w:tc>
        <w:tc>
          <w:tcPr>
            <w:tcW w:w="1103" w:type="dxa"/>
            <w:tcBorders>
              <w:top w:val="single" w:sz="2" w:space="0" w:color="auto"/>
              <w:left w:val="single" w:sz="2" w:space="0" w:color="auto"/>
              <w:bottom w:val="single" w:sz="2" w:space="0" w:color="auto"/>
            </w:tcBorders>
            <w:shd w:val="clear" w:color="auto" w:fill="FFFFFF" w:themeFill="background1"/>
          </w:tcPr>
          <w:p w14:paraId="792C1FDE" w14:textId="77777777" w:rsidR="0031699D" w:rsidRPr="00DE12A3" w:rsidRDefault="0031699D" w:rsidP="00C917D6">
            <w:pPr>
              <w:spacing w:before="120" w:after="120"/>
              <w:jc w:val="both"/>
              <w:rPr>
                <w:rFonts w:eastAsia="Times New Roman" w:cs="Times New Roman"/>
                <w:color w:val="auto"/>
                <w:spacing w:val="4"/>
                <w:sz w:val="22"/>
                <w:szCs w:val="22"/>
              </w:rPr>
            </w:pPr>
          </w:p>
          <w:p w14:paraId="2CCF79FE" w14:textId="77777777" w:rsidR="0031699D" w:rsidRPr="00DE12A3" w:rsidRDefault="0031699D" w:rsidP="00C917D6">
            <w:pPr>
              <w:spacing w:before="120" w:after="120"/>
              <w:jc w:val="both"/>
              <w:rPr>
                <w:rFonts w:eastAsia="Times New Roman" w:cs="Times New Roman"/>
                <w:color w:val="auto"/>
                <w:spacing w:val="4"/>
                <w:sz w:val="22"/>
                <w:szCs w:val="22"/>
              </w:rPr>
            </w:pPr>
          </w:p>
          <w:p w14:paraId="2E87BFF2" w14:textId="77777777" w:rsidR="0031699D" w:rsidRPr="00DE12A3" w:rsidRDefault="0031699D" w:rsidP="00C917D6">
            <w:pPr>
              <w:spacing w:before="120" w:after="120"/>
              <w:jc w:val="both"/>
              <w:rPr>
                <w:rFonts w:eastAsia="Times New Roman" w:cs="Times New Roman"/>
                <w:color w:val="auto"/>
                <w:spacing w:val="4"/>
                <w:sz w:val="22"/>
                <w:szCs w:val="22"/>
              </w:rPr>
            </w:pPr>
            <w:r w:rsidRPr="00DE12A3">
              <w:rPr>
                <w:rFonts w:eastAsia="Times New Roman" w:cs="Times New Roman"/>
                <w:color w:val="auto"/>
                <w:spacing w:val="4"/>
                <w:sz w:val="22"/>
                <w:szCs w:val="22"/>
              </w:rPr>
              <w:t xml:space="preserve">anahtarın ilgili konumunda </w:t>
            </w:r>
          </w:p>
          <w:p w14:paraId="28DB6302" w14:textId="77777777" w:rsidR="0031699D" w:rsidRPr="00DE12A3" w:rsidRDefault="0031699D" w:rsidP="00C917D6">
            <w:pPr>
              <w:spacing w:before="120" w:after="120"/>
              <w:jc w:val="both"/>
              <w:rPr>
                <w:rFonts w:eastAsia="Times New Roman" w:cs="Times New Roman"/>
                <w:color w:val="auto"/>
                <w:spacing w:val="4"/>
                <w:sz w:val="22"/>
                <w:szCs w:val="22"/>
              </w:rPr>
            </w:pPr>
          </w:p>
          <w:p w14:paraId="03721122" w14:textId="77777777" w:rsidR="0031699D" w:rsidRPr="00DE12A3" w:rsidRDefault="0031699D" w:rsidP="00C917D6">
            <w:pPr>
              <w:spacing w:before="120" w:after="120"/>
              <w:jc w:val="both"/>
              <w:rPr>
                <w:rFonts w:eastAsia="Times New Roman" w:cs="Times New Roman"/>
                <w:color w:val="auto"/>
                <w:spacing w:val="4"/>
                <w:sz w:val="22"/>
                <w:szCs w:val="22"/>
              </w:rPr>
            </w:pPr>
            <w:r w:rsidRPr="00DE12A3">
              <w:rPr>
                <w:rFonts w:eastAsia="Times New Roman" w:cs="Times New Roman"/>
                <w:color w:val="auto"/>
                <w:spacing w:val="4"/>
                <w:sz w:val="22"/>
                <w:szCs w:val="22"/>
              </w:rPr>
              <w:t>H-aralığı için 2,</w:t>
            </w:r>
          </w:p>
          <w:p w14:paraId="4A07EAD1" w14:textId="77777777" w:rsidR="0031699D" w:rsidRPr="00DE12A3" w:rsidRDefault="0031699D" w:rsidP="00C917D6">
            <w:pPr>
              <w:spacing w:before="120" w:after="120"/>
              <w:jc w:val="both"/>
              <w:rPr>
                <w:rFonts w:eastAsia="Times New Roman" w:cs="Times New Roman"/>
                <w:color w:val="auto"/>
                <w:spacing w:val="4"/>
                <w:sz w:val="22"/>
                <w:szCs w:val="22"/>
              </w:rPr>
            </w:pPr>
          </w:p>
          <w:p w14:paraId="2CC826DF" w14:textId="77777777" w:rsidR="0031699D" w:rsidRPr="00DE12A3" w:rsidRDefault="0031699D" w:rsidP="00C917D6">
            <w:pPr>
              <w:spacing w:before="120" w:after="120"/>
              <w:jc w:val="both"/>
              <w:rPr>
                <w:rFonts w:eastAsia="Times New Roman" w:cs="Times New Roman"/>
                <w:color w:val="auto"/>
                <w:spacing w:val="4"/>
                <w:sz w:val="22"/>
                <w:szCs w:val="22"/>
              </w:rPr>
            </w:pPr>
            <w:r w:rsidRPr="00DE12A3">
              <w:rPr>
                <w:rFonts w:eastAsia="Times New Roman" w:cs="Times New Roman"/>
                <w:color w:val="auto"/>
                <w:spacing w:val="4"/>
                <w:sz w:val="22"/>
                <w:szCs w:val="22"/>
              </w:rPr>
              <w:t>ve</w:t>
            </w:r>
          </w:p>
          <w:p w14:paraId="20B821D3" w14:textId="061B8890" w:rsidR="0031699D" w:rsidRPr="00DE12A3" w:rsidRDefault="0031699D" w:rsidP="00CA7FE3">
            <w:pPr>
              <w:spacing w:before="120" w:after="120"/>
              <w:jc w:val="both"/>
              <w:rPr>
                <w:rFonts w:eastAsia="Times New Roman" w:cs="Times New Roman"/>
                <w:color w:val="auto"/>
                <w:spacing w:val="4"/>
                <w:sz w:val="22"/>
                <w:szCs w:val="22"/>
              </w:rPr>
            </w:pPr>
            <w:r w:rsidRPr="00DE12A3">
              <w:rPr>
                <w:rFonts w:eastAsia="Times New Roman" w:cs="Times New Roman"/>
                <w:color w:val="auto"/>
                <w:spacing w:val="4"/>
                <w:sz w:val="22"/>
                <w:szCs w:val="22"/>
              </w:rPr>
              <w:t>L-aralığı için 2;</w:t>
            </w:r>
          </w:p>
        </w:tc>
        <w:tc>
          <w:tcPr>
            <w:tcW w:w="1559" w:type="dxa"/>
            <w:tcBorders>
              <w:top w:val="single" w:sz="2" w:space="0" w:color="auto"/>
              <w:left w:val="single" w:sz="2" w:space="0" w:color="auto"/>
              <w:bottom w:val="single" w:sz="2" w:space="0" w:color="auto"/>
              <w:right w:val="single" w:sz="2" w:space="0" w:color="auto"/>
            </w:tcBorders>
          </w:tcPr>
          <w:p w14:paraId="52F66DC6" w14:textId="77777777" w:rsidR="0031699D" w:rsidRPr="00DE12A3" w:rsidRDefault="0031699D" w:rsidP="00C917D6">
            <w:pPr>
              <w:widowControl/>
              <w:autoSpaceDE w:val="0"/>
              <w:autoSpaceDN w:val="0"/>
              <w:spacing w:before="120" w:after="120"/>
              <w:jc w:val="both"/>
              <w:rPr>
                <w:rFonts w:eastAsiaTheme="minorEastAsia" w:cs="Times New Roman"/>
                <w:color w:val="auto"/>
                <w:sz w:val="22"/>
                <w:szCs w:val="22"/>
                <w:lang w:val="fr-FR"/>
              </w:rPr>
            </w:pPr>
          </w:p>
          <w:p w14:paraId="52DE21C4" w14:textId="77777777" w:rsidR="0031699D" w:rsidRPr="00DE12A3" w:rsidRDefault="0031699D" w:rsidP="00C917D6">
            <w:pPr>
              <w:spacing w:before="120" w:after="120"/>
              <w:ind w:left="40"/>
              <w:jc w:val="both"/>
              <w:rPr>
                <w:rFonts w:eastAsia="Times New Roman" w:cs="Times New Roman"/>
                <w:color w:val="auto"/>
                <w:spacing w:val="4"/>
                <w:sz w:val="22"/>
                <w:szCs w:val="22"/>
              </w:rPr>
            </w:pPr>
            <w:r w:rsidRPr="00DE12A3">
              <w:rPr>
                <w:rFonts w:eastAsia="Times New Roman" w:cs="Times New Roman"/>
                <w:color w:val="auto"/>
                <w:spacing w:val="4"/>
                <w:sz w:val="22"/>
                <w:szCs w:val="22"/>
              </w:rPr>
              <w:t>r</w:t>
            </w:r>
            <w:r w:rsidRPr="00DE12A3">
              <w:rPr>
                <w:rFonts w:eastAsia="Times New Roman" w:cs="Times New Roman"/>
                <w:color w:val="auto"/>
                <w:spacing w:val="4"/>
                <w:sz w:val="22"/>
                <w:szCs w:val="22"/>
                <w:vertAlign w:val="subscript"/>
              </w:rPr>
              <w:t>b</w:t>
            </w:r>
            <w:r w:rsidRPr="00DE12A3">
              <w:rPr>
                <w:rFonts w:eastAsia="Times New Roman" w:cs="Times New Roman"/>
                <w:color w:val="auto"/>
                <w:spacing w:val="4"/>
                <w:sz w:val="22"/>
                <w:szCs w:val="22"/>
              </w:rPr>
              <w:t>=(yakıt 1 (G</w:t>
            </w:r>
            <w:r w:rsidRPr="00DE12A3">
              <w:rPr>
                <w:rFonts w:eastAsia="Times New Roman" w:cs="Times New Roman"/>
                <w:color w:val="auto"/>
                <w:spacing w:val="4"/>
                <w:sz w:val="22"/>
                <w:szCs w:val="22"/>
                <w:vertAlign w:val="subscript"/>
              </w:rPr>
              <w:t>R</w:t>
            </w:r>
            <w:r w:rsidRPr="00DE12A3">
              <w:rPr>
                <w:rFonts w:eastAsia="Times New Roman" w:cs="Times New Roman"/>
                <w:color w:val="auto"/>
                <w:spacing w:val="4"/>
                <w:sz w:val="22"/>
                <w:szCs w:val="22"/>
              </w:rPr>
              <w:t>)/(yakıt 3 (G</w:t>
            </w:r>
            <w:r w:rsidRPr="00DE12A3">
              <w:rPr>
                <w:rFonts w:eastAsia="Times New Roman" w:cs="Times New Roman"/>
                <w:color w:val="auto"/>
                <w:spacing w:val="4"/>
                <w:sz w:val="22"/>
                <w:szCs w:val="22"/>
                <w:vertAlign w:val="subscript"/>
              </w:rPr>
              <w:t>23</w:t>
            </w:r>
            <w:r w:rsidRPr="00DE12A3">
              <w:rPr>
                <w:rFonts w:eastAsia="Times New Roman" w:cs="Times New Roman"/>
                <w:color w:val="auto"/>
                <w:spacing w:val="4"/>
                <w:sz w:val="22"/>
                <w:szCs w:val="22"/>
              </w:rPr>
              <w:t xml:space="preserve"> veya piyasa yakıtı)</w:t>
            </w:r>
          </w:p>
          <w:p w14:paraId="2EC23811" w14:textId="77777777" w:rsidR="0031699D" w:rsidRPr="00DE12A3" w:rsidRDefault="0031699D" w:rsidP="00C917D6">
            <w:pPr>
              <w:spacing w:before="120" w:after="120"/>
              <w:ind w:left="40"/>
              <w:jc w:val="both"/>
              <w:rPr>
                <w:rFonts w:eastAsia="Times New Roman" w:cs="Times New Roman"/>
                <w:color w:val="auto"/>
                <w:spacing w:val="4"/>
                <w:sz w:val="22"/>
                <w:szCs w:val="22"/>
              </w:rPr>
            </w:pPr>
            <w:r w:rsidRPr="00DE12A3">
              <w:rPr>
                <w:rFonts w:eastAsia="Times New Roman" w:cs="Times New Roman"/>
                <w:color w:val="auto"/>
                <w:spacing w:val="4"/>
                <w:sz w:val="22"/>
                <w:szCs w:val="22"/>
              </w:rPr>
              <w:t>ve</w:t>
            </w:r>
          </w:p>
          <w:p w14:paraId="6BEDB22C" w14:textId="77777777" w:rsidR="0031699D" w:rsidRPr="00DE12A3" w:rsidRDefault="0031699D" w:rsidP="00C917D6">
            <w:pPr>
              <w:widowControl/>
              <w:autoSpaceDE w:val="0"/>
              <w:autoSpaceDN w:val="0"/>
              <w:spacing w:before="120" w:after="120"/>
              <w:jc w:val="both"/>
              <w:rPr>
                <w:rFonts w:eastAsiaTheme="minorEastAsia" w:cs="Times New Roman"/>
                <w:color w:val="auto"/>
                <w:sz w:val="22"/>
                <w:szCs w:val="22"/>
                <w:lang w:val="fr-FR"/>
              </w:rPr>
            </w:pPr>
            <w:r w:rsidRPr="00DE12A3">
              <w:rPr>
                <w:rFonts w:cs="Times New Roman"/>
                <w:color w:val="auto"/>
                <w:sz w:val="22"/>
                <w:szCs w:val="22"/>
              </w:rPr>
              <w:t>r</w:t>
            </w:r>
            <w:r w:rsidRPr="00DE12A3">
              <w:rPr>
                <w:rFonts w:cs="Times New Roman"/>
                <w:color w:val="auto"/>
                <w:sz w:val="22"/>
                <w:szCs w:val="22"/>
                <w:vertAlign w:val="subscript"/>
              </w:rPr>
              <w:t>a</w:t>
            </w:r>
            <w:r w:rsidRPr="00DE12A3">
              <w:rPr>
                <w:rFonts w:cs="Times New Roman"/>
                <w:color w:val="auto"/>
                <w:sz w:val="22"/>
                <w:szCs w:val="22"/>
              </w:rPr>
              <w:t xml:space="preserve"> = yakıt 2 (G</w:t>
            </w:r>
            <w:r w:rsidRPr="00DE12A3">
              <w:rPr>
                <w:rFonts w:cs="Times New Roman"/>
                <w:color w:val="auto"/>
                <w:sz w:val="22"/>
                <w:szCs w:val="22"/>
                <w:vertAlign w:val="subscript"/>
              </w:rPr>
              <w:t>25</w:t>
            </w:r>
            <w:r w:rsidRPr="00DE12A3">
              <w:rPr>
                <w:rFonts w:cs="Times New Roman"/>
                <w:color w:val="auto"/>
                <w:sz w:val="22"/>
                <w:szCs w:val="22"/>
              </w:rPr>
              <w:t>) / yakıt 3 (G</w:t>
            </w:r>
            <w:r w:rsidRPr="00DE12A3">
              <w:rPr>
                <w:rFonts w:cs="Times New Roman"/>
                <w:color w:val="auto"/>
                <w:sz w:val="22"/>
                <w:szCs w:val="22"/>
                <w:vertAlign w:val="subscript"/>
              </w:rPr>
              <w:t>23</w:t>
            </w:r>
            <w:r w:rsidRPr="00DE12A3">
              <w:rPr>
                <w:rFonts w:cs="Times New Roman"/>
                <w:color w:val="auto"/>
                <w:sz w:val="22"/>
                <w:szCs w:val="22"/>
              </w:rPr>
              <w:t xml:space="preserve"> veya piyasa yakıtı)</w:t>
            </w:r>
          </w:p>
        </w:tc>
        <w:tc>
          <w:tcPr>
            <w:tcW w:w="1276" w:type="dxa"/>
            <w:tcBorders>
              <w:top w:val="single" w:sz="2" w:space="0" w:color="auto"/>
              <w:left w:val="single" w:sz="2" w:space="0" w:color="auto"/>
              <w:bottom w:val="single" w:sz="2" w:space="0" w:color="auto"/>
              <w:right w:val="single" w:sz="2" w:space="0" w:color="auto"/>
            </w:tcBorders>
          </w:tcPr>
          <w:p w14:paraId="18D94590" w14:textId="77777777" w:rsidR="0031699D" w:rsidRPr="00DE12A3" w:rsidRDefault="0031699D" w:rsidP="00C917D6">
            <w:pPr>
              <w:widowControl/>
              <w:autoSpaceDE w:val="0"/>
              <w:autoSpaceDN w:val="0"/>
              <w:spacing w:before="120" w:after="120"/>
              <w:jc w:val="both"/>
              <w:rPr>
                <w:rFonts w:eastAsiaTheme="minorEastAsia" w:cs="Times New Roman"/>
                <w:color w:val="auto"/>
                <w:sz w:val="22"/>
                <w:szCs w:val="22"/>
                <w:lang w:val="fr-FR"/>
              </w:rPr>
            </w:pPr>
          </w:p>
        </w:tc>
        <w:tc>
          <w:tcPr>
            <w:tcW w:w="1134" w:type="dxa"/>
            <w:tcBorders>
              <w:top w:val="single" w:sz="2" w:space="0" w:color="auto"/>
              <w:left w:val="single" w:sz="2" w:space="0" w:color="auto"/>
              <w:bottom w:val="single" w:sz="2" w:space="0" w:color="auto"/>
              <w:right w:val="single" w:sz="2" w:space="0" w:color="auto"/>
            </w:tcBorders>
          </w:tcPr>
          <w:p w14:paraId="624E574A" w14:textId="77777777" w:rsidR="0031699D" w:rsidRPr="00DE12A3" w:rsidRDefault="0031699D" w:rsidP="00C917D6">
            <w:pPr>
              <w:widowControl/>
              <w:autoSpaceDE w:val="0"/>
              <w:autoSpaceDN w:val="0"/>
              <w:spacing w:before="120" w:after="120"/>
              <w:jc w:val="both"/>
              <w:rPr>
                <w:rFonts w:eastAsiaTheme="minorEastAsia" w:cs="Times New Roman"/>
                <w:color w:val="auto"/>
                <w:sz w:val="22"/>
                <w:szCs w:val="22"/>
                <w:lang w:val="fr-FR"/>
              </w:rPr>
            </w:pPr>
          </w:p>
        </w:tc>
        <w:tc>
          <w:tcPr>
            <w:tcW w:w="1559" w:type="dxa"/>
            <w:tcBorders>
              <w:top w:val="single" w:sz="2" w:space="0" w:color="auto"/>
              <w:left w:val="single" w:sz="2" w:space="0" w:color="auto"/>
              <w:bottom w:val="single" w:sz="2" w:space="0" w:color="auto"/>
              <w:right w:val="single" w:sz="2" w:space="0" w:color="auto"/>
            </w:tcBorders>
          </w:tcPr>
          <w:p w14:paraId="727791A3" w14:textId="77777777" w:rsidR="0031699D" w:rsidRPr="00DE12A3" w:rsidRDefault="0031699D" w:rsidP="00C917D6">
            <w:pPr>
              <w:widowControl/>
              <w:autoSpaceDE w:val="0"/>
              <w:autoSpaceDN w:val="0"/>
              <w:spacing w:before="120" w:after="120"/>
              <w:jc w:val="both"/>
              <w:rPr>
                <w:rFonts w:eastAsiaTheme="minorEastAsia" w:cs="Times New Roman"/>
                <w:color w:val="auto"/>
                <w:sz w:val="20"/>
                <w:szCs w:val="20"/>
                <w:lang w:val="fr-FR"/>
              </w:rPr>
            </w:pPr>
          </w:p>
        </w:tc>
      </w:tr>
      <w:tr w:rsidR="00DE12A3" w:rsidRPr="00DE12A3" w14:paraId="3A1CC557" w14:textId="77777777" w:rsidTr="00CA7FE3">
        <w:trPr>
          <w:trHeight w:val="5230"/>
          <w:jc w:val="center"/>
        </w:trPr>
        <w:tc>
          <w:tcPr>
            <w:tcW w:w="1415" w:type="dxa"/>
            <w:tcBorders>
              <w:top w:val="single" w:sz="2" w:space="0" w:color="auto"/>
              <w:left w:val="single" w:sz="2" w:space="0" w:color="auto"/>
              <w:bottom w:val="single" w:sz="2" w:space="0" w:color="auto"/>
              <w:right w:val="single" w:sz="2" w:space="0" w:color="auto"/>
            </w:tcBorders>
          </w:tcPr>
          <w:p w14:paraId="5B9A8390" w14:textId="77777777" w:rsidR="0031699D" w:rsidRPr="00DE12A3" w:rsidRDefault="0031699D" w:rsidP="00C917D6">
            <w:pPr>
              <w:spacing w:before="120" w:after="120"/>
              <w:ind w:left="40"/>
              <w:jc w:val="both"/>
              <w:rPr>
                <w:rFonts w:eastAsia="Times New Roman" w:cs="Times New Roman"/>
                <w:color w:val="auto"/>
                <w:spacing w:val="4"/>
                <w:sz w:val="22"/>
                <w:szCs w:val="22"/>
              </w:rPr>
            </w:pPr>
            <w:r w:rsidRPr="00DE12A3">
              <w:rPr>
                <w:rFonts w:eastAsia="Times New Roman" w:cs="Times New Roman"/>
                <w:color w:val="auto"/>
                <w:spacing w:val="4"/>
                <w:sz w:val="22"/>
                <w:szCs w:val="22"/>
              </w:rPr>
              <w:t>2.4.1 bendine bakınız.</w:t>
            </w:r>
          </w:p>
          <w:p w14:paraId="51B61E2D" w14:textId="77777777" w:rsidR="0031699D" w:rsidRPr="00DE12A3" w:rsidRDefault="0031699D" w:rsidP="00C917D6">
            <w:pPr>
              <w:widowControl/>
              <w:autoSpaceDE w:val="0"/>
              <w:autoSpaceDN w:val="0"/>
              <w:spacing w:before="120" w:after="120"/>
              <w:jc w:val="both"/>
              <w:rPr>
                <w:rFonts w:eastAsiaTheme="minorEastAsia" w:cs="Times New Roman"/>
                <w:color w:val="auto"/>
                <w:sz w:val="22"/>
                <w:szCs w:val="22"/>
                <w:lang w:val="fr-FR"/>
              </w:rPr>
            </w:pPr>
            <w:r w:rsidRPr="00DE12A3">
              <w:rPr>
                <w:rFonts w:cs="Times New Roman"/>
                <w:color w:val="auto"/>
                <w:sz w:val="22"/>
                <w:szCs w:val="22"/>
              </w:rPr>
              <w:t>H-gaz aralığı veya L-gaz aralığı ile çalışmak üzere tasarlanmış DG-motoru</w:t>
            </w:r>
            <w:r w:rsidRPr="00DE12A3">
              <w:rPr>
                <w:rFonts w:eastAsiaTheme="minorEastAsia" w:cs="Times New Roman"/>
                <w:color w:val="auto"/>
                <w:sz w:val="22"/>
                <w:szCs w:val="22"/>
                <w:lang w:val="fr-FR"/>
              </w:rPr>
              <w:t xml:space="preserve"> </w:t>
            </w:r>
          </w:p>
        </w:tc>
        <w:tc>
          <w:tcPr>
            <w:tcW w:w="1559" w:type="dxa"/>
            <w:tcBorders>
              <w:top w:val="single" w:sz="2" w:space="0" w:color="auto"/>
              <w:left w:val="single" w:sz="2" w:space="0" w:color="auto"/>
              <w:bottom w:val="single" w:sz="2" w:space="0" w:color="auto"/>
              <w:right w:val="single" w:sz="2" w:space="0" w:color="auto"/>
            </w:tcBorders>
          </w:tcPr>
          <w:p w14:paraId="52B08FA5" w14:textId="77777777" w:rsidR="0031699D" w:rsidRPr="00DE12A3" w:rsidRDefault="0031699D" w:rsidP="00C917D6">
            <w:pPr>
              <w:widowControl/>
              <w:autoSpaceDE w:val="0"/>
              <w:autoSpaceDN w:val="0"/>
              <w:spacing w:before="120" w:after="120"/>
              <w:jc w:val="both"/>
              <w:rPr>
                <w:rFonts w:eastAsiaTheme="minorEastAsia" w:cs="Times New Roman"/>
                <w:color w:val="auto"/>
                <w:sz w:val="22"/>
                <w:szCs w:val="22"/>
                <w:lang w:val="fr-FR"/>
              </w:rPr>
            </w:pPr>
          </w:p>
        </w:tc>
        <w:tc>
          <w:tcPr>
            <w:tcW w:w="1103" w:type="dxa"/>
            <w:tcBorders>
              <w:top w:val="single" w:sz="2" w:space="0" w:color="auto"/>
              <w:left w:val="single" w:sz="2" w:space="0" w:color="auto"/>
              <w:bottom w:val="single" w:sz="2" w:space="0" w:color="auto"/>
              <w:right w:val="single" w:sz="2" w:space="0" w:color="auto"/>
            </w:tcBorders>
          </w:tcPr>
          <w:p w14:paraId="5A838AFA" w14:textId="77777777" w:rsidR="0031699D" w:rsidRPr="00DE12A3" w:rsidRDefault="0031699D" w:rsidP="00C917D6">
            <w:pPr>
              <w:widowControl/>
              <w:autoSpaceDE w:val="0"/>
              <w:autoSpaceDN w:val="0"/>
              <w:spacing w:before="120" w:after="120"/>
              <w:jc w:val="both"/>
              <w:rPr>
                <w:rFonts w:eastAsiaTheme="minorEastAsia" w:cs="Times New Roman"/>
                <w:color w:val="auto"/>
                <w:sz w:val="22"/>
                <w:szCs w:val="22"/>
                <w:lang w:val="fr-FR"/>
              </w:rPr>
            </w:pPr>
          </w:p>
        </w:tc>
        <w:tc>
          <w:tcPr>
            <w:tcW w:w="1559" w:type="dxa"/>
            <w:tcBorders>
              <w:top w:val="single" w:sz="2" w:space="0" w:color="auto"/>
              <w:left w:val="single" w:sz="2" w:space="0" w:color="auto"/>
              <w:bottom w:val="single" w:sz="2" w:space="0" w:color="auto"/>
              <w:right w:val="single" w:sz="2" w:space="0" w:color="auto"/>
            </w:tcBorders>
          </w:tcPr>
          <w:p w14:paraId="03777117" w14:textId="77777777" w:rsidR="0031699D" w:rsidRPr="00DE12A3" w:rsidRDefault="0031699D" w:rsidP="00C917D6">
            <w:pPr>
              <w:widowControl/>
              <w:autoSpaceDE w:val="0"/>
              <w:autoSpaceDN w:val="0"/>
              <w:spacing w:before="120" w:after="120"/>
              <w:jc w:val="both"/>
              <w:rPr>
                <w:rFonts w:eastAsiaTheme="minorEastAsia" w:cs="Times New Roman"/>
                <w:color w:val="auto"/>
                <w:sz w:val="22"/>
                <w:szCs w:val="22"/>
                <w:lang w:val="fr-FR"/>
              </w:rPr>
            </w:pPr>
          </w:p>
        </w:tc>
        <w:tc>
          <w:tcPr>
            <w:tcW w:w="1276" w:type="dxa"/>
            <w:tcBorders>
              <w:top w:val="single" w:sz="2" w:space="0" w:color="auto"/>
              <w:left w:val="single" w:sz="2" w:space="0" w:color="auto"/>
              <w:bottom w:val="single" w:sz="2" w:space="0" w:color="auto"/>
              <w:right w:val="single" w:sz="2" w:space="0" w:color="auto"/>
            </w:tcBorders>
          </w:tcPr>
          <w:p w14:paraId="183A31C9" w14:textId="77777777" w:rsidR="0031699D" w:rsidRPr="00DE12A3" w:rsidRDefault="0031699D" w:rsidP="00C917D6">
            <w:pPr>
              <w:spacing w:before="120" w:after="120"/>
              <w:ind w:right="109"/>
              <w:jc w:val="both"/>
              <w:rPr>
                <w:rFonts w:eastAsia="Times New Roman" w:cs="Times New Roman"/>
                <w:color w:val="auto"/>
                <w:spacing w:val="4"/>
                <w:sz w:val="22"/>
                <w:szCs w:val="22"/>
              </w:rPr>
            </w:pPr>
            <w:r w:rsidRPr="00DE12A3">
              <w:rPr>
                <w:rFonts w:eastAsia="Times New Roman" w:cs="Times New Roman"/>
                <w:color w:val="auto"/>
                <w:spacing w:val="4"/>
                <w:sz w:val="22"/>
                <w:szCs w:val="22"/>
              </w:rPr>
              <w:t>H için G</w:t>
            </w:r>
            <w:r w:rsidRPr="00DE12A3">
              <w:rPr>
                <w:rFonts w:eastAsia="Times New Roman" w:cs="Times New Roman"/>
                <w:color w:val="auto"/>
                <w:spacing w:val="4"/>
                <w:sz w:val="22"/>
                <w:szCs w:val="22"/>
                <w:vertAlign w:val="subscript"/>
              </w:rPr>
              <w:t>R</w:t>
            </w:r>
            <w:r w:rsidRPr="00DE12A3">
              <w:rPr>
                <w:rFonts w:eastAsia="Times New Roman" w:cs="Times New Roman"/>
                <w:color w:val="auto"/>
                <w:spacing w:val="4"/>
                <w:sz w:val="22"/>
                <w:szCs w:val="22"/>
              </w:rPr>
              <w:t xml:space="preserve"> (1) ve G</w:t>
            </w:r>
            <w:r w:rsidRPr="00DE12A3">
              <w:rPr>
                <w:rFonts w:eastAsia="Times New Roman" w:cs="Times New Roman"/>
                <w:color w:val="auto"/>
                <w:spacing w:val="4"/>
                <w:sz w:val="22"/>
                <w:szCs w:val="22"/>
                <w:vertAlign w:val="subscript"/>
              </w:rPr>
              <w:t>23</w:t>
            </w:r>
            <w:r w:rsidRPr="00DE12A3">
              <w:rPr>
                <w:rFonts w:eastAsia="Times New Roman" w:cs="Times New Roman"/>
                <w:color w:val="auto"/>
                <w:spacing w:val="4"/>
                <w:sz w:val="22"/>
                <w:szCs w:val="22"/>
              </w:rPr>
              <w:t xml:space="preserve"> (3) veya</w:t>
            </w:r>
          </w:p>
          <w:p w14:paraId="0B94A8DD" w14:textId="77777777" w:rsidR="0031699D" w:rsidRPr="00DE12A3" w:rsidRDefault="0031699D" w:rsidP="00C917D6">
            <w:pPr>
              <w:spacing w:before="120" w:after="120"/>
              <w:jc w:val="both"/>
              <w:rPr>
                <w:rFonts w:eastAsia="Times New Roman" w:cs="Times New Roman"/>
                <w:color w:val="auto"/>
                <w:spacing w:val="4"/>
                <w:sz w:val="22"/>
                <w:szCs w:val="22"/>
              </w:rPr>
            </w:pPr>
            <w:r w:rsidRPr="00DE12A3">
              <w:rPr>
                <w:rFonts w:eastAsia="Times New Roman" w:cs="Times New Roman"/>
                <w:color w:val="auto"/>
                <w:spacing w:val="4"/>
                <w:sz w:val="22"/>
                <w:szCs w:val="22"/>
              </w:rPr>
              <w:t>L için G</w:t>
            </w:r>
            <w:r w:rsidRPr="00DE12A3">
              <w:rPr>
                <w:rFonts w:eastAsia="Times New Roman" w:cs="Times New Roman"/>
                <w:color w:val="auto"/>
                <w:spacing w:val="4"/>
                <w:sz w:val="22"/>
                <w:szCs w:val="22"/>
                <w:vertAlign w:val="subscript"/>
              </w:rPr>
              <w:t>25</w:t>
            </w:r>
            <w:r w:rsidRPr="00DE12A3">
              <w:rPr>
                <w:rFonts w:eastAsia="Times New Roman" w:cs="Times New Roman"/>
                <w:color w:val="auto"/>
                <w:spacing w:val="4"/>
                <w:sz w:val="22"/>
                <w:szCs w:val="22"/>
              </w:rPr>
              <w:t xml:space="preserve"> (2) ve G</w:t>
            </w:r>
            <w:r w:rsidRPr="00DE12A3">
              <w:rPr>
                <w:rFonts w:eastAsia="Times New Roman" w:cs="Times New Roman"/>
                <w:color w:val="auto"/>
                <w:spacing w:val="4"/>
                <w:sz w:val="22"/>
                <w:szCs w:val="22"/>
                <w:vertAlign w:val="subscript"/>
              </w:rPr>
              <w:t>23</w:t>
            </w:r>
            <w:r w:rsidRPr="00DE12A3">
              <w:rPr>
                <w:rFonts w:eastAsia="Times New Roman" w:cs="Times New Roman"/>
                <w:color w:val="auto"/>
                <w:spacing w:val="4"/>
                <w:sz w:val="22"/>
                <w:szCs w:val="22"/>
              </w:rPr>
              <w:t xml:space="preserve"> (3)</w:t>
            </w:r>
          </w:p>
          <w:p w14:paraId="611EECA4" w14:textId="77777777" w:rsidR="0031699D" w:rsidRPr="00DE12A3" w:rsidRDefault="0031699D" w:rsidP="00C917D6">
            <w:pPr>
              <w:spacing w:before="120" w:after="120"/>
              <w:jc w:val="both"/>
              <w:rPr>
                <w:rFonts w:eastAsia="Times New Roman" w:cs="Times New Roman"/>
                <w:color w:val="auto"/>
                <w:spacing w:val="4"/>
                <w:sz w:val="22"/>
                <w:szCs w:val="22"/>
              </w:rPr>
            </w:pPr>
            <w:r w:rsidRPr="00DE12A3">
              <w:rPr>
                <w:rFonts w:eastAsia="Times New Roman" w:cs="Times New Roman"/>
                <w:color w:val="auto"/>
                <w:spacing w:val="4"/>
                <w:sz w:val="22"/>
                <w:szCs w:val="22"/>
              </w:rPr>
              <w:t>Üreticinin isteği üzerine motor G</w:t>
            </w:r>
            <w:r w:rsidRPr="00DE12A3">
              <w:rPr>
                <w:rFonts w:eastAsia="Times New Roman" w:cs="Times New Roman"/>
                <w:color w:val="auto"/>
                <w:spacing w:val="4"/>
                <w:sz w:val="22"/>
                <w:szCs w:val="22"/>
                <w:vertAlign w:val="subscript"/>
              </w:rPr>
              <w:t>23</w:t>
            </w:r>
            <w:r w:rsidRPr="00DE12A3">
              <w:rPr>
                <w:rFonts w:eastAsia="Times New Roman" w:cs="Times New Roman"/>
                <w:color w:val="auto"/>
                <w:spacing w:val="4"/>
                <w:sz w:val="22"/>
                <w:szCs w:val="22"/>
              </w:rPr>
              <w:t xml:space="preserve"> yerine bir piyasa yakıtı (3) ile test edilebilir,</w:t>
            </w:r>
          </w:p>
          <w:p w14:paraId="7A693EEB" w14:textId="77777777" w:rsidR="0031699D" w:rsidRPr="00DE12A3" w:rsidRDefault="0031699D" w:rsidP="00C917D6">
            <w:pPr>
              <w:spacing w:before="120" w:after="120"/>
              <w:jc w:val="both"/>
              <w:rPr>
                <w:rFonts w:eastAsia="Times New Roman" w:cs="Times New Roman"/>
                <w:color w:val="auto"/>
                <w:spacing w:val="4"/>
                <w:sz w:val="22"/>
                <w:szCs w:val="22"/>
              </w:rPr>
            </w:pPr>
          </w:p>
          <w:p w14:paraId="34BFC795" w14:textId="3CF57F7A" w:rsidR="0031699D" w:rsidRPr="00DE12A3" w:rsidRDefault="0031699D" w:rsidP="00CA7FE3">
            <w:pPr>
              <w:widowControl/>
              <w:autoSpaceDE w:val="0"/>
              <w:autoSpaceDN w:val="0"/>
              <w:spacing w:before="120" w:after="120"/>
              <w:jc w:val="both"/>
              <w:rPr>
                <w:rFonts w:eastAsiaTheme="minorEastAsia" w:cs="Times New Roman"/>
                <w:color w:val="auto"/>
                <w:sz w:val="22"/>
                <w:szCs w:val="22"/>
                <w:lang w:val="fr-FR"/>
              </w:rPr>
            </w:pPr>
            <w:r w:rsidRPr="00DE12A3">
              <w:rPr>
                <w:rFonts w:cs="Times New Roman"/>
                <w:color w:val="auto"/>
                <w:sz w:val="22"/>
                <w:szCs w:val="22"/>
              </w:rPr>
              <w:t>S</w:t>
            </w:r>
            <w:r w:rsidRPr="00DE12A3">
              <w:rPr>
                <w:rFonts w:cs="Times New Roman"/>
                <w:color w:val="auto"/>
                <w:sz w:val="22"/>
                <w:szCs w:val="22"/>
                <w:vertAlign w:val="subscript"/>
              </w:rPr>
              <w:t>l</w:t>
            </w:r>
            <w:r w:rsidRPr="00DE12A3">
              <w:rPr>
                <w:rFonts w:cs="Times New Roman"/>
                <w:color w:val="auto"/>
                <w:sz w:val="22"/>
                <w:szCs w:val="22"/>
              </w:rPr>
              <w:t xml:space="preserve"> = 0,89 - 1,19 ise</w:t>
            </w:r>
            <w:r w:rsidRPr="00DE12A3">
              <w:rPr>
                <w:rFonts w:eastAsiaTheme="minorEastAsia" w:cs="Times New Roman"/>
                <w:color w:val="auto"/>
                <w:sz w:val="22"/>
                <w:szCs w:val="22"/>
                <w:lang w:val="fr-FR"/>
              </w:rPr>
              <w:t xml:space="preserve"> </w:t>
            </w:r>
          </w:p>
        </w:tc>
        <w:tc>
          <w:tcPr>
            <w:tcW w:w="1134" w:type="dxa"/>
            <w:tcBorders>
              <w:top w:val="single" w:sz="2" w:space="0" w:color="auto"/>
              <w:left w:val="single" w:sz="2" w:space="0" w:color="auto"/>
              <w:bottom w:val="single" w:sz="2" w:space="0" w:color="auto"/>
              <w:right w:val="single" w:sz="2" w:space="0" w:color="auto"/>
            </w:tcBorders>
          </w:tcPr>
          <w:p w14:paraId="3C586CC1" w14:textId="77777777" w:rsidR="0031699D" w:rsidRPr="00DE12A3" w:rsidRDefault="0031699D" w:rsidP="00C917D6">
            <w:pPr>
              <w:spacing w:before="120" w:after="120"/>
              <w:jc w:val="both"/>
              <w:rPr>
                <w:rFonts w:eastAsia="Times New Roman" w:cs="Times New Roman"/>
                <w:color w:val="auto"/>
                <w:spacing w:val="4"/>
                <w:sz w:val="22"/>
                <w:szCs w:val="22"/>
              </w:rPr>
            </w:pPr>
          </w:p>
          <w:p w14:paraId="275108D9" w14:textId="77777777" w:rsidR="0031699D" w:rsidRPr="00DE12A3" w:rsidRDefault="0031699D" w:rsidP="00C917D6">
            <w:pPr>
              <w:spacing w:before="120" w:after="120"/>
              <w:jc w:val="both"/>
              <w:rPr>
                <w:rFonts w:eastAsia="Times New Roman" w:cs="Times New Roman"/>
                <w:color w:val="auto"/>
                <w:spacing w:val="4"/>
                <w:sz w:val="22"/>
                <w:szCs w:val="22"/>
              </w:rPr>
            </w:pPr>
            <w:r w:rsidRPr="00DE12A3">
              <w:rPr>
                <w:rFonts w:eastAsia="Times New Roman" w:cs="Times New Roman"/>
                <w:color w:val="auto"/>
                <w:spacing w:val="4"/>
                <w:sz w:val="22"/>
                <w:szCs w:val="22"/>
              </w:rPr>
              <w:t>H-aralığı için 2</w:t>
            </w:r>
          </w:p>
          <w:p w14:paraId="6ACD336A" w14:textId="77777777" w:rsidR="0031699D" w:rsidRPr="00DE12A3" w:rsidRDefault="0031699D" w:rsidP="00C917D6">
            <w:pPr>
              <w:spacing w:before="120" w:after="120"/>
              <w:jc w:val="both"/>
              <w:rPr>
                <w:rFonts w:eastAsia="Times New Roman" w:cs="Times New Roman"/>
                <w:color w:val="auto"/>
                <w:spacing w:val="4"/>
                <w:sz w:val="22"/>
                <w:szCs w:val="22"/>
              </w:rPr>
            </w:pPr>
            <w:r w:rsidRPr="00DE12A3">
              <w:rPr>
                <w:rFonts w:eastAsia="Times New Roman" w:cs="Times New Roman"/>
                <w:color w:val="auto"/>
                <w:spacing w:val="4"/>
                <w:sz w:val="22"/>
                <w:szCs w:val="22"/>
              </w:rPr>
              <w:t>veya</w:t>
            </w:r>
          </w:p>
          <w:p w14:paraId="5D3A4764" w14:textId="77777777" w:rsidR="0031699D" w:rsidRPr="00DE12A3" w:rsidRDefault="0031699D" w:rsidP="00C917D6">
            <w:pPr>
              <w:spacing w:before="120" w:after="120"/>
              <w:jc w:val="both"/>
              <w:rPr>
                <w:rFonts w:eastAsia="Times New Roman" w:cs="Times New Roman"/>
                <w:color w:val="auto"/>
                <w:spacing w:val="4"/>
                <w:sz w:val="22"/>
                <w:szCs w:val="22"/>
              </w:rPr>
            </w:pPr>
            <w:r w:rsidRPr="00DE12A3">
              <w:rPr>
                <w:rFonts w:eastAsia="Times New Roman" w:cs="Times New Roman"/>
                <w:color w:val="auto"/>
                <w:spacing w:val="4"/>
                <w:sz w:val="22"/>
                <w:szCs w:val="22"/>
              </w:rPr>
              <w:t>L-aralığı için 2</w:t>
            </w:r>
          </w:p>
          <w:p w14:paraId="1FD1B819" w14:textId="77777777" w:rsidR="0031699D" w:rsidRPr="00DE12A3" w:rsidRDefault="0031699D" w:rsidP="00C917D6">
            <w:pPr>
              <w:widowControl/>
              <w:autoSpaceDE w:val="0"/>
              <w:autoSpaceDN w:val="0"/>
              <w:spacing w:before="120" w:after="120"/>
              <w:jc w:val="both"/>
              <w:rPr>
                <w:rFonts w:eastAsiaTheme="minorEastAsia" w:cs="Times New Roman"/>
                <w:color w:val="auto"/>
                <w:sz w:val="22"/>
                <w:szCs w:val="22"/>
                <w:lang w:val="fr-FR"/>
              </w:rPr>
            </w:pPr>
            <w:r w:rsidRPr="00DE12A3">
              <w:rPr>
                <w:rFonts w:cs="Times New Roman"/>
                <w:color w:val="auto"/>
                <w:sz w:val="22"/>
                <w:szCs w:val="22"/>
              </w:rPr>
              <w:t>2</w:t>
            </w:r>
          </w:p>
        </w:tc>
        <w:tc>
          <w:tcPr>
            <w:tcW w:w="1559" w:type="dxa"/>
            <w:tcBorders>
              <w:top w:val="single" w:sz="2" w:space="0" w:color="auto"/>
              <w:left w:val="single" w:sz="2" w:space="0" w:color="auto"/>
              <w:bottom w:val="single" w:sz="2" w:space="0" w:color="auto"/>
              <w:right w:val="single" w:sz="2" w:space="0" w:color="auto"/>
            </w:tcBorders>
          </w:tcPr>
          <w:p w14:paraId="4B9058B8" w14:textId="77777777" w:rsidR="0031699D" w:rsidRPr="00DE12A3" w:rsidRDefault="0031699D" w:rsidP="00C917D6">
            <w:pPr>
              <w:spacing w:before="120" w:after="120"/>
              <w:ind w:left="54" w:right="130"/>
              <w:jc w:val="both"/>
              <w:rPr>
                <w:rFonts w:eastAsia="Times New Roman" w:cs="Times New Roman"/>
                <w:color w:val="auto"/>
                <w:spacing w:val="4"/>
                <w:sz w:val="22"/>
                <w:szCs w:val="22"/>
              </w:rPr>
            </w:pPr>
            <w:r w:rsidRPr="00DE12A3">
              <w:rPr>
                <w:rFonts w:eastAsia="Times New Roman" w:cs="Times New Roman"/>
                <w:color w:val="auto"/>
                <w:spacing w:val="4"/>
                <w:sz w:val="22"/>
                <w:szCs w:val="22"/>
              </w:rPr>
              <w:t>H-aralığı için</w:t>
            </w:r>
          </w:p>
          <w:p w14:paraId="7BA8692D" w14:textId="77777777" w:rsidR="0031699D" w:rsidRPr="00DE12A3" w:rsidRDefault="0031699D" w:rsidP="00C917D6">
            <w:pPr>
              <w:spacing w:before="120" w:after="120"/>
              <w:ind w:left="54" w:right="130"/>
              <w:jc w:val="both"/>
              <w:rPr>
                <w:rFonts w:eastAsia="Times New Roman" w:cs="Times New Roman"/>
                <w:color w:val="auto"/>
                <w:spacing w:val="4"/>
                <w:sz w:val="22"/>
                <w:szCs w:val="22"/>
              </w:rPr>
            </w:pPr>
            <w:r w:rsidRPr="00DE12A3">
              <w:rPr>
                <w:rFonts w:eastAsia="Times New Roman" w:cs="Times New Roman"/>
                <w:color w:val="auto"/>
                <w:spacing w:val="4"/>
                <w:sz w:val="22"/>
                <w:szCs w:val="22"/>
              </w:rPr>
              <w:t>r</w:t>
            </w:r>
            <w:r w:rsidRPr="00DE12A3">
              <w:rPr>
                <w:rFonts w:eastAsia="Times New Roman" w:cs="Times New Roman"/>
                <w:color w:val="auto"/>
                <w:spacing w:val="4"/>
                <w:sz w:val="22"/>
                <w:szCs w:val="22"/>
                <w:vertAlign w:val="subscript"/>
              </w:rPr>
              <w:t>b</w:t>
            </w:r>
            <w:r w:rsidRPr="00DE12A3">
              <w:rPr>
                <w:rFonts w:eastAsia="Times New Roman" w:cs="Times New Roman"/>
                <w:color w:val="auto"/>
                <w:spacing w:val="4"/>
                <w:sz w:val="22"/>
                <w:szCs w:val="22"/>
              </w:rPr>
              <w:t>= yakıt 1 (G</w:t>
            </w:r>
            <w:r w:rsidRPr="00DE12A3">
              <w:rPr>
                <w:rFonts w:eastAsia="Times New Roman" w:cs="Times New Roman"/>
                <w:color w:val="auto"/>
                <w:spacing w:val="4"/>
                <w:sz w:val="22"/>
                <w:szCs w:val="22"/>
                <w:vertAlign w:val="subscript"/>
              </w:rPr>
              <w:t>R</w:t>
            </w:r>
            <w:r w:rsidRPr="00DE12A3">
              <w:rPr>
                <w:rFonts w:eastAsia="Times New Roman" w:cs="Times New Roman"/>
                <w:color w:val="auto"/>
                <w:spacing w:val="4"/>
                <w:sz w:val="22"/>
                <w:szCs w:val="22"/>
              </w:rPr>
              <w:t>) / yakıt 3 (G</w:t>
            </w:r>
            <w:r w:rsidRPr="00DE12A3">
              <w:rPr>
                <w:rFonts w:eastAsia="Times New Roman" w:cs="Times New Roman"/>
                <w:color w:val="auto"/>
                <w:spacing w:val="4"/>
                <w:sz w:val="22"/>
                <w:szCs w:val="22"/>
                <w:vertAlign w:val="subscript"/>
              </w:rPr>
              <w:t>23</w:t>
            </w:r>
            <w:r w:rsidRPr="00DE12A3">
              <w:rPr>
                <w:rFonts w:eastAsia="Times New Roman" w:cs="Times New Roman"/>
                <w:color w:val="auto"/>
                <w:spacing w:val="4"/>
                <w:sz w:val="22"/>
                <w:szCs w:val="22"/>
              </w:rPr>
              <w:t xml:space="preserve"> veya piyasa yakıtı)</w:t>
            </w:r>
          </w:p>
          <w:p w14:paraId="06D7D77E" w14:textId="77777777" w:rsidR="0031699D" w:rsidRPr="00DE12A3" w:rsidRDefault="0031699D" w:rsidP="00C917D6">
            <w:pPr>
              <w:spacing w:before="120" w:after="120"/>
              <w:ind w:left="54" w:right="130"/>
              <w:jc w:val="both"/>
              <w:rPr>
                <w:rFonts w:eastAsia="Times New Roman" w:cs="Times New Roman"/>
                <w:color w:val="auto"/>
                <w:spacing w:val="4"/>
                <w:sz w:val="22"/>
                <w:szCs w:val="22"/>
              </w:rPr>
            </w:pPr>
            <w:r w:rsidRPr="00DE12A3">
              <w:rPr>
                <w:rFonts w:eastAsia="Times New Roman" w:cs="Times New Roman"/>
                <w:color w:val="auto"/>
                <w:spacing w:val="4"/>
                <w:sz w:val="22"/>
                <w:szCs w:val="22"/>
              </w:rPr>
              <w:t>veya</w:t>
            </w:r>
          </w:p>
          <w:p w14:paraId="21729EDE" w14:textId="77777777" w:rsidR="0031699D" w:rsidRPr="00DE12A3" w:rsidRDefault="0031699D" w:rsidP="00C917D6">
            <w:pPr>
              <w:spacing w:before="120" w:after="120"/>
              <w:ind w:left="54" w:right="130"/>
              <w:jc w:val="both"/>
              <w:rPr>
                <w:rFonts w:eastAsia="Times New Roman" w:cs="Times New Roman"/>
                <w:color w:val="auto"/>
                <w:spacing w:val="4"/>
                <w:sz w:val="22"/>
                <w:szCs w:val="22"/>
              </w:rPr>
            </w:pPr>
            <w:r w:rsidRPr="00DE12A3">
              <w:rPr>
                <w:rFonts w:eastAsia="Times New Roman" w:cs="Times New Roman"/>
                <w:color w:val="auto"/>
                <w:spacing w:val="4"/>
                <w:sz w:val="22"/>
                <w:szCs w:val="22"/>
              </w:rPr>
              <w:t xml:space="preserve">L-aralığı için </w:t>
            </w:r>
          </w:p>
          <w:p w14:paraId="454576ED" w14:textId="77777777" w:rsidR="0031699D" w:rsidRPr="00DE12A3" w:rsidRDefault="0031699D" w:rsidP="00C917D6">
            <w:pPr>
              <w:spacing w:before="120" w:after="120"/>
              <w:ind w:left="54" w:right="130"/>
              <w:jc w:val="both"/>
              <w:rPr>
                <w:rFonts w:eastAsia="Times New Roman" w:cs="Times New Roman"/>
                <w:color w:val="auto"/>
                <w:spacing w:val="4"/>
                <w:sz w:val="22"/>
                <w:szCs w:val="22"/>
              </w:rPr>
            </w:pPr>
            <w:r w:rsidRPr="00DE12A3">
              <w:rPr>
                <w:rFonts w:eastAsia="Times New Roman" w:cs="Times New Roman"/>
                <w:color w:val="auto"/>
                <w:spacing w:val="4"/>
                <w:sz w:val="22"/>
                <w:szCs w:val="22"/>
              </w:rPr>
              <w:t>r</w:t>
            </w:r>
            <w:r w:rsidRPr="00DE12A3">
              <w:rPr>
                <w:rFonts w:eastAsia="Times New Roman" w:cs="Times New Roman"/>
                <w:color w:val="auto"/>
                <w:spacing w:val="4"/>
                <w:sz w:val="22"/>
                <w:szCs w:val="22"/>
                <w:vertAlign w:val="subscript"/>
              </w:rPr>
              <w:t>a</w:t>
            </w:r>
            <w:r w:rsidRPr="00DE12A3">
              <w:rPr>
                <w:rFonts w:eastAsia="Times New Roman" w:cs="Times New Roman"/>
                <w:color w:val="auto"/>
                <w:spacing w:val="4"/>
                <w:sz w:val="22"/>
                <w:szCs w:val="22"/>
              </w:rPr>
              <w:t>= yakıt 2 (G</w:t>
            </w:r>
            <w:r w:rsidRPr="00DE12A3">
              <w:rPr>
                <w:rFonts w:eastAsia="Times New Roman" w:cs="Times New Roman"/>
                <w:color w:val="auto"/>
                <w:spacing w:val="4"/>
                <w:sz w:val="22"/>
                <w:szCs w:val="22"/>
                <w:vertAlign w:val="subscript"/>
              </w:rPr>
              <w:t>25</w:t>
            </w:r>
            <w:r w:rsidRPr="00DE12A3">
              <w:rPr>
                <w:rFonts w:eastAsia="Times New Roman" w:cs="Times New Roman"/>
                <w:color w:val="auto"/>
                <w:spacing w:val="4"/>
                <w:sz w:val="22"/>
                <w:szCs w:val="22"/>
              </w:rPr>
              <w:t>) / yakıt 3 (G</w:t>
            </w:r>
            <w:r w:rsidRPr="00DE12A3">
              <w:rPr>
                <w:rFonts w:eastAsia="Times New Roman" w:cs="Times New Roman"/>
                <w:color w:val="auto"/>
                <w:spacing w:val="4"/>
                <w:sz w:val="22"/>
                <w:szCs w:val="22"/>
                <w:vertAlign w:val="subscript"/>
              </w:rPr>
              <w:t>23</w:t>
            </w:r>
            <w:r w:rsidRPr="00DE12A3">
              <w:rPr>
                <w:rFonts w:eastAsia="Times New Roman" w:cs="Times New Roman"/>
                <w:color w:val="auto"/>
                <w:spacing w:val="4"/>
                <w:sz w:val="22"/>
                <w:szCs w:val="22"/>
              </w:rPr>
              <w:t xml:space="preserve"> veya piyasa yakıtı)</w:t>
            </w:r>
          </w:p>
          <w:p w14:paraId="14F0387E" w14:textId="77777777" w:rsidR="0031699D" w:rsidRPr="00DE12A3" w:rsidRDefault="0031699D" w:rsidP="00C917D6">
            <w:pPr>
              <w:widowControl/>
              <w:autoSpaceDE w:val="0"/>
              <w:autoSpaceDN w:val="0"/>
              <w:spacing w:before="120" w:after="120"/>
              <w:jc w:val="both"/>
              <w:rPr>
                <w:rFonts w:eastAsiaTheme="minorEastAsia" w:cs="Times New Roman"/>
                <w:color w:val="auto"/>
                <w:sz w:val="22"/>
                <w:szCs w:val="22"/>
                <w:lang w:val="fr-FR"/>
              </w:rPr>
            </w:pPr>
          </w:p>
          <w:p w14:paraId="5EB3FDCF" w14:textId="77777777" w:rsidR="0031699D" w:rsidRPr="00DE12A3" w:rsidRDefault="0031699D" w:rsidP="00C917D6">
            <w:pPr>
              <w:widowControl/>
              <w:autoSpaceDE w:val="0"/>
              <w:autoSpaceDN w:val="0"/>
              <w:spacing w:before="120" w:after="120"/>
              <w:jc w:val="both"/>
              <w:rPr>
                <w:rFonts w:eastAsiaTheme="minorEastAsia" w:cs="Times New Roman"/>
                <w:color w:val="auto"/>
                <w:lang w:val="fr-FR"/>
              </w:rPr>
            </w:pPr>
          </w:p>
        </w:tc>
      </w:tr>
      <w:tr w:rsidR="0031699D" w:rsidRPr="00DE12A3" w14:paraId="33F21A28" w14:textId="77777777" w:rsidTr="0031699D">
        <w:trPr>
          <w:jc w:val="center"/>
        </w:trPr>
        <w:tc>
          <w:tcPr>
            <w:tcW w:w="1415" w:type="dxa"/>
            <w:tcBorders>
              <w:top w:val="single" w:sz="2" w:space="0" w:color="auto"/>
              <w:left w:val="single" w:sz="2" w:space="0" w:color="auto"/>
              <w:bottom w:val="single" w:sz="2" w:space="0" w:color="auto"/>
              <w:right w:val="single" w:sz="2" w:space="0" w:color="auto"/>
            </w:tcBorders>
          </w:tcPr>
          <w:p w14:paraId="7CCB7DF5" w14:textId="77777777" w:rsidR="0031699D" w:rsidRPr="00DE12A3" w:rsidRDefault="0031699D" w:rsidP="00C917D6">
            <w:pPr>
              <w:spacing w:before="120" w:after="120"/>
              <w:jc w:val="both"/>
              <w:rPr>
                <w:rFonts w:eastAsia="Times New Roman" w:cs="Times New Roman"/>
                <w:color w:val="auto"/>
                <w:spacing w:val="4"/>
                <w:sz w:val="22"/>
                <w:szCs w:val="22"/>
              </w:rPr>
            </w:pPr>
            <w:r w:rsidRPr="00DE12A3">
              <w:rPr>
                <w:rFonts w:eastAsia="Times New Roman" w:cs="Times New Roman"/>
                <w:color w:val="auto"/>
                <w:spacing w:val="4"/>
                <w:sz w:val="22"/>
                <w:szCs w:val="22"/>
              </w:rPr>
              <w:t>2.4.2 bendine bakınız.</w:t>
            </w:r>
          </w:p>
          <w:p w14:paraId="25AC1AAA" w14:textId="77777777" w:rsidR="0031699D" w:rsidRPr="00DE12A3" w:rsidRDefault="0031699D" w:rsidP="00C917D6">
            <w:pPr>
              <w:widowControl/>
              <w:autoSpaceDE w:val="0"/>
              <w:autoSpaceDN w:val="0"/>
              <w:spacing w:before="120" w:after="120"/>
              <w:jc w:val="both"/>
              <w:rPr>
                <w:rFonts w:eastAsiaTheme="minorEastAsia" w:cs="Times New Roman"/>
                <w:color w:val="auto"/>
                <w:sz w:val="22"/>
                <w:szCs w:val="22"/>
                <w:lang w:val="fr-FR"/>
              </w:rPr>
            </w:pPr>
            <w:r w:rsidRPr="00DE12A3">
              <w:rPr>
                <w:rFonts w:cs="Times New Roman"/>
                <w:color w:val="auto"/>
                <w:sz w:val="22"/>
                <w:szCs w:val="22"/>
              </w:rPr>
              <w:t>Belirli bir yakıt bileşimi ile çalışmak üzere tasarlanmış DG-motoru</w:t>
            </w:r>
          </w:p>
        </w:tc>
        <w:tc>
          <w:tcPr>
            <w:tcW w:w="1559" w:type="dxa"/>
            <w:tcBorders>
              <w:top w:val="single" w:sz="2" w:space="0" w:color="auto"/>
              <w:left w:val="single" w:sz="2" w:space="0" w:color="auto"/>
              <w:bottom w:val="single" w:sz="2" w:space="0" w:color="auto"/>
              <w:right w:val="single" w:sz="2" w:space="0" w:color="auto"/>
            </w:tcBorders>
          </w:tcPr>
          <w:p w14:paraId="5687AC92" w14:textId="77777777" w:rsidR="0031699D" w:rsidRPr="00DE12A3" w:rsidRDefault="0031699D" w:rsidP="00C917D6">
            <w:pPr>
              <w:widowControl/>
              <w:autoSpaceDE w:val="0"/>
              <w:autoSpaceDN w:val="0"/>
              <w:spacing w:before="120" w:after="120"/>
              <w:jc w:val="both"/>
              <w:rPr>
                <w:rFonts w:eastAsiaTheme="minorEastAsia" w:cs="Times New Roman"/>
                <w:color w:val="auto"/>
                <w:sz w:val="22"/>
                <w:szCs w:val="22"/>
                <w:lang w:val="fr-FR"/>
              </w:rPr>
            </w:pPr>
          </w:p>
        </w:tc>
        <w:tc>
          <w:tcPr>
            <w:tcW w:w="1103" w:type="dxa"/>
            <w:tcBorders>
              <w:top w:val="single" w:sz="2" w:space="0" w:color="auto"/>
              <w:left w:val="single" w:sz="2" w:space="0" w:color="auto"/>
              <w:bottom w:val="single" w:sz="2" w:space="0" w:color="auto"/>
              <w:right w:val="single" w:sz="2" w:space="0" w:color="auto"/>
            </w:tcBorders>
          </w:tcPr>
          <w:p w14:paraId="2DF43B73" w14:textId="77777777" w:rsidR="0031699D" w:rsidRPr="00DE12A3" w:rsidRDefault="0031699D" w:rsidP="00C917D6">
            <w:pPr>
              <w:widowControl/>
              <w:autoSpaceDE w:val="0"/>
              <w:autoSpaceDN w:val="0"/>
              <w:spacing w:before="120" w:after="120"/>
              <w:jc w:val="both"/>
              <w:rPr>
                <w:rFonts w:eastAsiaTheme="minorEastAsia" w:cs="Times New Roman"/>
                <w:color w:val="auto"/>
                <w:sz w:val="22"/>
                <w:szCs w:val="22"/>
                <w:lang w:val="fr-FR"/>
              </w:rPr>
            </w:pPr>
          </w:p>
        </w:tc>
        <w:tc>
          <w:tcPr>
            <w:tcW w:w="1559" w:type="dxa"/>
            <w:tcBorders>
              <w:top w:val="single" w:sz="2" w:space="0" w:color="auto"/>
              <w:left w:val="single" w:sz="2" w:space="0" w:color="auto"/>
              <w:bottom w:val="single" w:sz="2" w:space="0" w:color="auto"/>
              <w:right w:val="single" w:sz="2" w:space="0" w:color="auto"/>
            </w:tcBorders>
          </w:tcPr>
          <w:p w14:paraId="0D997F86" w14:textId="77777777" w:rsidR="0031699D" w:rsidRPr="00DE12A3" w:rsidRDefault="0031699D" w:rsidP="00C917D6">
            <w:pPr>
              <w:widowControl/>
              <w:autoSpaceDE w:val="0"/>
              <w:autoSpaceDN w:val="0"/>
              <w:spacing w:before="120" w:after="120"/>
              <w:jc w:val="both"/>
              <w:rPr>
                <w:rFonts w:eastAsiaTheme="minorEastAsia" w:cs="Times New Roman"/>
                <w:color w:val="auto"/>
                <w:sz w:val="22"/>
                <w:szCs w:val="22"/>
                <w:lang w:val="fr-FR"/>
              </w:rPr>
            </w:pPr>
          </w:p>
        </w:tc>
        <w:tc>
          <w:tcPr>
            <w:tcW w:w="1276" w:type="dxa"/>
            <w:tcBorders>
              <w:top w:val="single" w:sz="2" w:space="0" w:color="auto"/>
              <w:left w:val="single" w:sz="2" w:space="0" w:color="auto"/>
              <w:bottom w:val="single" w:sz="2" w:space="0" w:color="auto"/>
              <w:right w:val="single" w:sz="2" w:space="0" w:color="auto"/>
            </w:tcBorders>
          </w:tcPr>
          <w:p w14:paraId="54BDFBDD" w14:textId="77777777" w:rsidR="0031699D" w:rsidRPr="00DE12A3" w:rsidRDefault="0031699D" w:rsidP="00C917D6">
            <w:pPr>
              <w:spacing w:before="120" w:after="120"/>
              <w:ind w:left="100"/>
              <w:jc w:val="both"/>
              <w:rPr>
                <w:rFonts w:eastAsia="Times New Roman" w:cs="Times New Roman"/>
                <w:color w:val="auto"/>
                <w:spacing w:val="4"/>
                <w:sz w:val="22"/>
                <w:szCs w:val="22"/>
              </w:rPr>
            </w:pPr>
            <w:r w:rsidRPr="00DE12A3">
              <w:rPr>
                <w:rFonts w:eastAsia="Times New Roman" w:cs="Times New Roman"/>
                <w:color w:val="auto"/>
                <w:spacing w:val="4"/>
                <w:sz w:val="22"/>
                <w:szCs w:val="22"/>
              </w:rPr>
              <w:t>G</w:t>
            </w:r>
            <w:r w:rsidRPr="00DE12A3">
              <w:rPr>
                <w:rFonts w:eastAsia="Times New Roman" w:cs="Times New Roman"/>
                <w:color w:val="auto"/>
                <w:spacing w:val="4"/>
                <w:sz w:val="22"/>
                <w:szCs w:val="22"/>
                <w:vertAlign w:val="subscript"/>
              </w:rPr>
              <w:t>R</w:t>
            </w:r>
            <w:r w:rsidRPr="00DE12A3">
              <w:rPr>
                <w:rFonts w:eastAsia="Times New Roman" w:cs="Times New Roman"/>
                <w:color w:val="auto"/>
                <w:spacing w:val="4"/>
                <w:sz w:val="22"/>
                <w:szCs w:val="22"/>
              </w:rPr>
              <w:t xml:space="preserve"> (1) ve G</w:t>
            </w:r>
            <w:r w:rsidRPr="00DE12A3">
              <w:rPr>
                <w:rFonts w:eastAsia="Times New Roman" w:cs="Times New Roman"/>
                <w:color w:val="auto"/>
                <w:spacing w:val="4"/>
                <w:sz w:val="22"/>
                <w:szCs w:val="22"/>
                <w:vertAlign w:val="subscript"/>
              </w:rPr>
              <w:t>25</w:t>
            </w:r>
            <w:r w:rsidRPr="00DE12A3">
              <w:rPr>
                <w:rFonts w:eastAsia="Times New Roman" w:cs="Times New Roman"/>
                <w:color w:val="auto"/>
                <w:spacing w:val="4"/>
                <w:sz w:val="22"/>
                <w:szCs w:val="22"/>
              </w:rPr>
              <w:t xml:space="preserve"> (2),</w:t>
            </w:r>
          </w:p>
          <w:p w14:paraId="1774325E" w14:textId="6077FF6F" w:rsidR="0031699D" w:rsidRPr="00DE12A3" w:rsidRDefault="0031699D" w:rsidP="00C917D6">
            <w:pPr>
              <w:spacing w:before="120" w:after="120"/>
              <w:ind w:left="100"/>
              <w:jc w:val="both"/>
              <w:rPr>
                <w:rFonts w:eastAsia="Times New Roman" w:cs="Times New Roman"/>
                <w:color w:val="auto"/>
                <w:spacing w:val="4"/>
                <w:sz w:val="22"/>
                <w:szCs w:val="22"/>
              </w:rPr>
            </w:pPr>
            <w:r w:rsidRPr="00DE12A3">
              <w:rPr>
                <w:rFonts w:eastAsia="Times New Roman" w:cs="Times New Roman"/>
                <w:color w:val="auto"/>
                <w:spacing w:val="4"/>
                <w:sz w:val="22"/>
                <w:szCs w:val="22"/>
              </w:rPr>
              <w:t>Testler arasında ince ayar yapılması</w:t>
            </w:r>
            <w:r w:rsidR="007E00AA" w:rsidRPr="00DE12A3">
              <w:rPr>
                <w:rFonts w:eastAsia="Times New Roman" w:cs="Times New Roman"/>
                <w:color w:val="auto"/>
                <w:spacing w:val="4"/>
                <w:sz w:val="22"/>
                <w:szCs w:val="22"/>
              </w:rPr>
              <w:t>-</w:t>
            </w:r>
            <w:r w:rsidRPr="00DE12A3">
              <w:rPr>
                <w:rFonts w:eastAsia="Times New Roman" w:cs="Times New Roman"/>
                <w:color w:val="auto"/>
                <w:spacing w:val="4"/>
                <w:sz w:val="22"/>
                <w:szCs w:val="22"/>
              </w:rPr>
              <w:t>na izin verilir.</w:t>
            </w:r>
          </w:p>
          <w:p w14:paraId="7128A51B" w14:textId="5C6C0697" w:rsidR="00CA7FE3" w:rsidRPr="00DE12A3" w:rsidRDefault="0031699D" w:rsidP="00C917D6">
            <w:pPr>
              <w:spacing w:before="120" w:after="120"/>
              <w:ind w:left="100"/>
              <w:jc w:val="both"/>
              <w:rPr>
                <w:rFonts w:eastAsia="Times New Roman" w:cs="Times New Roman"/>
                <w:color w:val="auto"/>
                <w:spacing w:val="4"/>
                <w:sz w:val="22"/>
                <w:szCs w:val="22"/>
              </w:rPr>
            </w:pPr>
            <w:r w:rsidRPr="00DE12A3">
              <w:rPr>
                <w:rFonts w:eastAsia="Times New Roman" w:cs="Times New Roman"/>
                <w:color w:val="auto"/>
                <w:spacing w:val="4"/>
                <w:sz w:val="22"/>
                <w:szCs w:val="22"/>
              </w:rPr>
              <w:t>İmalatçı</w:t>
            </w:r>
            <w:r w:rsidR="007E00AA" w:rsidRPr="00DE12A3">
              <w:rPr>
                <w:rFonts w:eastAsia="Times New Roman" w:cs="Times New Roman"/>
                <w:color w:val="auto"/>
                <w:spacing w:val="4"/>
                <w:sz w:val="22"/>
                <w:szCs w:val="22"/>
              </w:rPr>
              <w:t>-</w:t>
            </w:r>
            <w:r w:rsidRPr="00DE12A3">
              <w:rPr>
                <w:rFonts w:eastAsia="Times New Roman" w:cs="Times New Roman"/>
                <w:color w:val="auto"/>
                <w:spacing w:val="4"/>
                <w:sz w:val="22"/>
                <w:szCs w:val="22"/>
              </w:rPr>
              <w:t xml:space="preserve">nın talebi üzerine </w:t>
            </w:r>
          </w:p>
          <w:p w14:paraId="63CC2A16" w14:textId="77777777" w:rsidR="00CA7FE3" w:rsidRPr="00DE12A3" w:rsidRDefault="00CA7FE3" w:rsidP="00C917D6">
            <w:pPr>
              <w:spacing w:before="120" w:after="120"/>
              <w:ind w:left="100"/>
              <w:jc w:val="both"/>
              <w:rPr>
                <w:rFonts w:eastAsia="Times New Roman" w:cs="Times New Roman"/>
                <w:color w:val="auto"/>
                <w:spacing w:val="4"/>
                <w:sz w:val="22"/>
                <w:szCs w:val="22"/>
              </w:rPr>
            </w:pPr>
          </w:p>
          <w:p w14:paraId="5FBCF4E5" w14:textId="43C28AEA" w:rsidR="0031699D" w:rsidRPr="00DE12A3" w:rsidRDefault="00B87888" w:rsidP="00C917D6">
            <w:pPr>
              <w:spacing w:before="120" w:after="120"/>
              <w:ind w:left="100"/>
              <w:jc w:val="both"/>
              <w:rPr>
                <w:rFonts w:eastAsia="Times New Roman" w:cs="Times New Roman"/>
                <w:color w:val="auto"/>
                <w:spacing w:val="4"/>
                <w:sz w:val="22"/>
                <w:szCs w:val="22"/>
              </w:rPr>
            </w:pPr>
            <w:r w:rsidRPr="00DE12A3">
              <w:rPr>
                <w:rFonts w:eastAsia="Times New Roman" w:cs="Times New Roman"/>
                <w:color w:val="auto"/>
                <w:spacing w:val="4"/>
                <w:sz w:val="22"/>
                <w:szCs w:val="22"/>
              </w:rPr>
              <w:lastRenderedPageBreak/>
              <w:t>A</w:t>
            </w:r>
            <w:r w:rsidR="0031699D" w:rsidRPr="00DE12A3">
              <w:rPr>
                <w:rFonts w:eastAsia="Times New Roman" w:cs="Times New Roman"/>
                <w:color w:val="auto"/>
                <w:spacing w:val="4"/>
                <w:sz w:val="22"/>
                <w:szCs w:val="22"/>
              </w:rPr>
              <w:t>şağıdaki</w:t>
            </w:r>
            <w:r w:rsidRPr="00DE12A3">
              <w:rPr>
                <w:rFonts w:eastAsia="Times New Roman" w:cs="Times New Roman"/>
                <w:color w:val="auto"/>
                <w:spacing w:val="4"/>
                <w:sz w:val="22"/>
                <w:szCs w:val="22"/>
              </w:rPr>
              <w:t>-</w:t>
            </w:r>
            <w:r w:rsidR="0031699D" w:rsidRPr="00DE12A3">
              <w:rPr>
                <w:rFonts w:eastAsia="Times New Roman" w:cs="Times New Roman"/>
                <w:color w:val="auto"/>
                <w:spacing w:val="4"/>
                <w:sz w:val="22"/>
                <w:szCs w:val="22"/>
              </w:rPr>
              <w:t xml:space="preserve">ler ile </w:t>
            </w:r>
            <w:r w:rsidR="00B655AE" w:rsidRPr="00DE12A3">
              <w:rPr>
                <w:rFonts w:eastAsia="Times New Roman" w:cs="Times New Roman"/>
                <w:color w:val="auto"/>
                <w:spacing w:val="4"/>
                <w:sz w:val="22"/>
                <w:szCs w:val="22"/>
              </w:rPr>
              <w:t xml:space="preserve">motor </w:t>
            </w:r>
            <w:r w:rsidR="0031699D" w:rsidRPr="00DE12A3">
              <w:rPr>
                <w:rFonts w:eastAsia="Times New Roman" w:cs="Times New Roman"/>
                <w:color w:val="auto"/>
                <w:spacing w:val="4"/>
                <w:sz w:val="22"/>
                <w:szCs w:val="22"/>
              </w:rPr>
              <w:t>test edilebilir:</w:t>
            </w:r>
          </w:p>
          <w:p w14:paraId="6F0BF099" w14:textId="77777777" w:rsidR="0031699D" w:rsidRPr="00DE12A3" w:rsidRDefault="0031699D" w:rsidP="00C917D6">
            <w:pPr>
              <w:spacing w:before="120" w:after="120"/>
              <w:ind w:left="100"/>
              <w:jc w:val="both"/>
              <w:rPr>
                <w:rFonts w:eastAsia="Times New Roman" w:cs="Times New Roman"/>
                <w:color w:val="auto"/>
                <w:spacing w:val="4"/>
                <w:sz w:val="22"/>
                <w:szCs w:val="22"/>
              </w:rPr>
            </w:pPr>
            <w:r w:rsidRPr="00DE12A3">
              <w:rPr>
                <w:rFonts w:eastAsia="Times New Roman" w:cs="Times New Roman"/>
                <w:color w:val="auto"/>
                <w:spacing w:val="4"/>
                <w:sz w:val="22"/>
                <w:szCs w:val="22"/>
              </w:rPr>
              <w:t>H için G</w:t>
            </w:r>
            <w:r w:rsidRPr="00DE12A3">
              <w:rPr>
                <w:rFonts w:eastAsia="Times New Roman" w:cs="Times New Roman"/>
                <w:color w:val="auto"/>
                <w:spacing w:val="4"/>
                <w:sz w:val="22"/>
                <w:szCs w:val="22"/>
                <w:vertAlign w:val="subscript"/>
              </w:rPr>
              <w:t>R</w:t>
            </w:r>
            <w:r w:rsidRPr="00DE12A3">
              <w:rPr>
                <w:rFonts w:eastAsia="Times New Roman" w:cs="Times New Roman"/>
                <w:color w:val="auto"/>
                <w:spacing w:val="4"/>
                <w:sz w:val="22"/>
                <w:szCs w:val="22"/>
              </w:rPr>
              <w:t xml:space="preserve"> (1) ve G</w:t>
            </w:r>
            <w:r w:rsidRPr="00DE12A3">
              <w:rPr>
                <w:rFonts w:eastAsia="Times New Roman" w:cs="Times New Roman"/>
                <w:color w:val="auto"/>
                <w:spacing w:val="4"/>
                <w:sz w:val="22"/>
                <w:szCs w:val="22"/>
                <w:vertAlign w:val="subscript"/>
              </w:rPr>
              <w:t>23</w:t>
            </w:r>
            <w:r w:rsidRPr="00DE12A3">
              <w:rPr>
                <w:rFonts w:eastAsia="Times New Roman" w:cs="Times New Roman"/>
                <w:color w:val="auto"/>
                <w:spacing w:val="4"/>
                <w:sz w:val="22"/>
                <w:szCs w:val="22"/>
              </w:rPr>
              <w:t xml:space="preserve"> (3) veya</w:t>
            </w:r>
          </w:p>
          <w:p w14:paraId="3819FDA4" w14:textId="77777777" w:rsidR="0031699D" w:rsidRPr="00DE12A3" w:rsidRDefault="0031699D" w:rsidP="00C917D6">
            <w:pPr>
              <w:widowControl/>
              <w:autoSpaceDE w:val="0"/>
              <w:autoSpaceDN w:val="0"/>
              <w:spacing w:before="120" w:after="120"/>
              <w:jc w:val="both"/>
              <w:rPr>
                <w:rFonts w:eastAsiaTheme="minorEastAsia" w:cs="Times New Roman"/>
                <w:color w:val="auto"/>
                <w:sz w:val="22"/>
                <w:szCs w:val="22"/>
                <w:lang w:val="fr-FR"/>
              </w:rPr>
            </w:pPr>
            <w:r w:rsidRPr="00DE12A3">
              <w:rPr>
                <w:rFonts w:cs="Times New Roman"/>
                <w:color w:val="auto"/>
                <w:sz w:val="22"/>
                <w:szCs w:val="22"/>
              </w:rPr>
              <w:t>L için G</w:t>
            </w:r>
            <w:r w:rsidRPr="00DE12A3">
              <w:rPr>
                <w:rFonts w:cs="Times New Roman"/>
                <w:color w:val="auto"/>
                <w:sz w:val="22"/>
                <w:szCs w:val="22"/>
                <w:vertAlign w:val="subscript"/>
              </w:rPr>
              <w:t>25</w:t>
            </w:r>
            <w:r w:rsidRPr="00DE12A3">
              <w:rPr>
                <w:rFonts w:cs="Times New Roman"/>
                <w:color w:val="auto"/>
                <w:sz w:val="22"/>
                <w:szCs w:val="22"/>
              </w:rPr>
              <w:t xml:space="preserve"> (2) ve G</w:t>
            </w:r>
            <w:r w:rsidRPr="00DE12A3">
              <w:rPr>
                <w:rFonts w:cs="Times New Roman"/>
                <w:color w:val="auto"/>
                <w:sz w:val="22"/>
                <w:szCs w:val="22"/>
                <w:vertAlign w:val="subscript"/>
              </w:rPr>
              <w:t>23</w:t>
            </w:r>
            <w:r w:rsidRPr="00DE12A3">
              <w:rPr>
                <w:rFonts w:cs="Times New Roman"/>
                <w:color w:val="auto"/>
                <w:sz w:val="22"/>
                <w:szCs w:val="22"/>
              </w:rPr>
              <w:t xml:space="preserve"> (3)</w:t>
            </w:r>
          </w:p>
        </w:tc>
        <w:tc>
          <w:tcPr>
            <w:tcW w:w="1134" w:type="dxa"/>
            <w:tcBorders>
              <w:top w:val="single" w:sz="2" w:space="0" w:color="auto"/>
              <w:left w:val="single" w:sz="2" w:space="0" w:color="auto"/>
              <w:bottom w:val="single" w:sz="2" w:space="0" w:color="auto"/>
              <w:right w:val="single" w:sz="2" w:space="0" w:color="auto"/>
            </w:tcBorders>
          </w:tcPr>
          <w:p w14:paraId="58245152" w14:textId="77777777" w:rsidR="0031699D" w:rsidRPr="00DE12A3" w:rsidRDefault="0031699D" w:rsidP="00C917D6">
            <w:pPr>
              <w:spacing w:before="120" w:after="120"/>
              <w:jc w:val="both"/>
              <w:rPr>
                <w:rFonts w:eastAsia="Times New Roman" w:cs="Times New Roman"/>
                <w:color w:val="auto"/>
                <w:spacing w:val="4"/>
                <w:sz w:val="22"/>
                <w:szCs w:val="22"/>
              </w:rPr>
            </w:pPr>
          </w:p>
          <w:p w14:paraId="0450A157" w14:textId="77777777" w:rsidR="0031699D" w:rsidRPr="00DE12A3" w:rsidRDefault="0031699D" w:rsidP="00C917D6">
            <w:pPr>
              <w:spacing w:before="120" w:after="120"/>
              <w:jc w:val="both"/>
              <w:rPr>
                <w:rFonts w:eastAsia="Times New Roman" w:cs="Times New Roman"/>
                <w:color w:val="auto"/>
                <w:spacing w:val="4"/>
                <w:sz w:val="22"/>
                <w:szCs w:val="22"/>
              </w:rPr>
            </w:pPr>
          </w:p>
          <w:p w14:paraId="244A4553" w14:textId="77777777" w:rsidR="0031699D" w:rsidRPr="00DE12A3" w:rsidRDefault="0031699D" w:rsidP="00C917D6">
            <w:pPr>
              <w:spacing w:before="120" w:after="120"/>
              <w:jc w:val="both"/>
              <w:rPr>
                <w:rFonts w:eastAsia="Times New Roman" w:cs="Times New Roman"/>
                <w:color w:val="auto"/>
                <w:spacing w:val="4"/>
                <w:sz w:val="22"/>
                <w:szCs w:val="22"/>
              </w:rPr>
            </w:pPr>
            <w:r w:rsidRPr="00DE12A3">
              <w:rPr>
                <w:rFonts w:eastAsia="Times New Roman" w:cs="Times New Roman"/>
                <w:color w:val="auto"/>
                <w:spacing w:val="4"/>
                <w:sz w:val="22"/>
                <w:szCs w:val="22"/>
              </w:rPr>
              <w:t>2</w:t>
            </w:r>
          </w:p>
          <w:p w14:paraId="505235E7" w14:textId="77777777" w:rsidR="0031699D" w:rsidRPr="00DE12A3" w:rsidRDefault="0031699D" w:rsidP="00C917D6">
            <w:pPr>
              <w:spacing w:before="120" w:after="120"/>
              <w:jc w:val="both"/>
              <w:rPr>
                <w:rFonts w:eastAsia="Times New Roman" w:cs="Times New Roman"/>
                <w:color w:val="auto"/>
                <w:spacing w:val="4"/>
                <w:sz w:val="22"/>
                <w:szCs w:val="22"/>
              </w:rPr>
            </w:pPr>
            <w:r w:rsidRPr="00DE12A3">
              <w:rPr>
                <w:rFonts w:eastAsia="Times New Roman" w:cs="Times New Roman"/>
                <w:color w:val="auto"/>
                <w:spacing w:val="4"/>
                <w:sz w:val="22"/>
                <w:szCs w:val="22"/>
              </w:rPr>
              <w:t>H-aralığı için 2</w:t>
            </w:r>
          </w:p>
          <w:p w14:paraId="7CEAB3F5" w14:textId="77777777" w:rsidR="0031699D" w:rsidRPr="00DE12A3" w:rsidRDefault="0031699D" w:rsidP="00C917D6">
            <w:pPr>
              <w:spacing w:before="120" w:after="120"/>
              <w:jc w:val="both"/>
              <w:rPr>
                <w:rFonts w:eastAsia="Times New Roman" w:cs="Times New Roman"/>
                <w:color w:val="auto"/>
                <w:spacing w:val="4"/>
                <w:sz w:val="22"/>
                <w:szCs w:val="22"/>
              </w:rPr>
            </w:pPr>
            <w:r w:rsidRPr="00DE12A3">
              <w:rPr>
                <w:rFonts w:eastAsia="Times New Roman" w:cs="Times New Roman"/>
                <w:color w:val="auto"/>
                <w:spacing w:val="4"/>
                <w:sz w:val="22"/>
                <w:szCs w:val="22"/>
              </w:rPr>
              <w:t>veya</w:t>
            </w:r>
          </w:p>
          <w:p w14:paraId="5306C46D" w14:textId="77777777" w:rsidR="0031699D" w:rsidRPr="00DE12A3" w:rsidRDefault="0031699D" w:rsidP="00C917D6">
            <w:pPr>
              <w:widowControl/>
              <w:autoSpaceDE w:val="0"/>
              <w:autoSpaceDN w:val="0"/>
              <w:spacing w:before="120" w:after="120"/>
              <w:jc w:val="both"/>
              <w:rPr>
                <w:rFonts w:eastAsiaTheme="minorEastAsia" w:cs="Times New Roman"/>
                <w:color w:val="auto"/>
                <w:sz w:val="22"/>
                <w:szCs w:val="22"/>
                <w:lang w:val="fr-FR"/>
              </w:rPr>
            </w:pPr>
            <w:r w:rsidRPr="00DE12A3">
              <w:rPr>
                <w:rFonts w:cs="Times New Roman"/>
                <w:color w:val="auto"/>
                <w:sz w:val="22"/>
                <w:szCs w:val="22"/>
              </w:rPr>
              <w:t>L-aralığı için 2</w:t>
            </w:r>
          </w:p>
        </w:tc>
        <w:tc>
          <w:tcPr>
            <w:tcW w:w="1559" w:type="dxa"/>
            <w:tcBorders>
              <w:top w:val="single" w:sz="2" w:space="0" w:color="auto"/>
              <w:left w:val="single" w:sz="2" w:space="0" w:color="auto"/>
              <w:bottom w:val="single" w:sz="2" w:space="0" w:color="auto"/>
              <w:right w:val="single" w:sz="2" w:space="0" w:color="auto"/>
            </w:tcBorders>
          </w:tcPr>
          <w:p w14:paraId="45AA5E57" w14:textId="77777777" w:rsidR="0031699D" w:rsidRPr="00DE12A3" w:rsidRDefault="0031699D" w:rsidP="00C917D6">
            <w:pPr>
              <w:widowControl/>
              <w:autoSpaceDE w:val="0"/>
              <w:autoSpaceDN w:val="0"/>
              <w:spacing w:before="120" w:after="120"/>
              <w:jc w:val="both"/>
              <w:rPr>
                <w:rFonts w:eastAsiaTheme="minorEastAsia" w:cs="Times New Roman"/>
                <w:color w:val="auto"/>
                <w:lang w:val="fr-FR"/>
              </w:rPr>
            </w:pPr>
          </w:p>
        </w:tc>
      </w:tr>
    </w:tbl>
    <w:p w14:paraId="253B5F00" w14:textId="77777777" w:rsidR="00CB0FA9" w:rsidRPr="00DE12A3" w:rsidRDefault="00CB0FA9" w:rsidP="00C917D6">
      <w:pPr>
        <w:tabs>
          <w:tab w:val="left" w:pos="709"/>
        </w:tabs>
        <w:spacing w:before="120" w:after="120"/>
        <w:ind w:left="709" w:hanging="709"/>
        <w:jc w:val="both"/>
        <w:rPr>
          <w:rFonts w:eastAsia="Times New Roman" w:cs="Times New Roman"/>
          <w:b/>
          <w:color w:val="auto"/>
          <w:spacing w:val="3"/>
          <w:sz w:val="20"/>
          <w:szCs w:val="20"/>
        </w:rPr>
      </w:pPr>
    </w:p>
    <w:p w14:paraId="71B8580A" w14:textId="77777777" w:rsidR="00CB0FA9" w:rsidRPr="00DE12A3" w:rsidRDefault="00CB0FA9" w:rsidP="00C917D6">
      <w:pPr>
        <w:tabs>
          <w:tab w:val="left" w:pos="709"/>
        </w:tabs>
        <w:spacing w:before="120" w:after="120"/>
        <w:ind w:left="709" w:hanging="709"/>
        <w:jc w:val="both"/>
        <w:rPr>
          <w:rFonts w:eastAsia="Times New Roman" w:cs="Times New Roman"/>
          <w:b/>
          <w:color w:val="auto"/>
          <w:spacing w:val="3"/>
          <w:sz w:val="20"/>
          <w:szCs w:val="20"/>
        </w:rPr>
      </w:pPr>
    </w:p>
    <w:tbl>
      <w:tblPr>
        <w:tblW w:w="0" w:type="auto"/>
        <w:jc w:val="center"/>
        <w:tblLayout w:type="fixed"/>
        <w:tblLook w:val="0000" w:firstRow="0" w:lastRow="0" w:firstColumn="0" w:lastColumn="0" w:noHBand="0" w:noVBand="0"/>
      </w:tblPr>
      <w:tblGrid>
        <w:gridCol w:w="1486"/>
        <w:gridCol w:w="1207"/>
        <w:gridCol w:w="1207"/>
        <w:gridCol w:w="1486"/>
        <w:gridCol w:w="1207"/>
        <w:gridCol w:w="1207"/>
        <w:gridCol w:w="1839"/>
      </w:tblGrid>
      <w:tr w:rsidR="00DE12A3" w:rsidRPr="00DE12A3" w14:paraId="21EEB3D5" w14:textId="77777777" w:rsidTr="0031699D">
        <w:trPr>
          <w:jc w:val="center"/>
        </w:trPr>
        <w:tc>
          <w:tcPr>
            <w:tcW w:w="9639" w:type="dxa"/>
            <w:gridSpan w:val="7"/>
            <w:tcBorders>
              <w:top w:val="single" w:sz="2" w:space="0" w:color="auto"/>
              <w:left w:val="single" w:sz="2" w:space="0" w:color="auto"/>
              <w:bottom w:val="single" w:sz="2" w:space="0" w:color="auto"/>
              <w:right w:val="single" w:sz="2" w:space="0" w:color="auto"/>
            </w:tcBorders>
          </w:tcPr>
          <w:p w14:paraId="48167E0E" w14:textId="77777777" w:rsidR="0031699D" w:rsidRPr="00DE12A3" w:rsidRDefault="0031699D" w:rsidP="00C917D6">
            <w:pPr>
              <w:widowControl/>
              <w:autoSpaceDE w:val="0"/>
              <w:autoSpaceDN w:val="0"/>
              <w:spacing w:before="120" w:after="120"/>
              <w:jc w:val="center"/>
              <w:rPr>
                <w:rFonts w:eastAsiaTheme="minorEastAsia" w:cs="Times New Roman"/>
                <w:color w:val="auto"/>
                <w:lang w:val="fr-FR"/>
              </w:rPr>
            </w:pPr>
            <w:r w:rsidRPr="00DE12A3">
              <w:rPr>
                <w:rFonts w:eastAsiaTheme="minorEastAsia" w:cs="Times New Roman"/>
                <w:iCs/>
                <w:color w:val="auto"/>
                <w:lang w:val="fr-FR"/>
              </w:rPr>
              <w:t>Tablo 1.2</w:t>
            </w:r>
          </w:p>
        </w:tc>
      </w:tr>
      <w:tr w:rsidR="00DE12A3" w:rsidRPr="00DE12A3" w14:paraId="2761B271" w14:textId="77777777" w:rsidTr="0031699D">
        <w:trPr>
          <w:trHeight w:val="730"/>
          <w:jc w:val="center"/>
        </w:trPr>
        <w:tc>
          <w:tcPr>
            <w:tcW w:w="9639" w:type="dxa"/>
            <w:gridSpan w:val="7"/>
            <w:tcBorders>
              <w:top w:val="single" w:sz="2" w:space="0" w:color="auto"/>
              <w:left w:val="single" w:sz="2" w:space="0" w:color="auto"/>
              <w:bottom w:val="single" w:sz="2" w:space="0" w:color="auto"/>
              <w:right w:val="single" w:sz="2" w:space="0" w:color="auto"/>
            </w:tcBorders>
          </w:tcPr>
          <w:p w14:paraId="5D75B690" w14:textId="77777777" w:rsidR="0031699D" w:rsidRPr="00DE12A3" w:rsidRDefault="0031699D" w:rsidP="00C917D6">
            <w:pPr>
              <w:widowControl/>
              <w:autoSpaceDE w:val="0"/>
              <w:autoSpaceDN w:val="0"/>
              <w:spacing w:before="120" w:after="120"/>
              <w:jc w:val="center"/>
              <w:rPr>
                <w:rFonts w:eastAsiaTheme="minorEastAsia" w:cs="Times New Roman"/>
                <w:b/>
                <w:iCs/>
                <w:color w:val="auto"/>
              </w:rPr>
            </w:pPr>
            <w:r w:rsidRPr="00DE12A3">
              <w:rPr>
                <w:rFonts w:eastAsiaTheme="minorEastAsia" w:cs="Times New Roman"/>
                <w:b/>
                <w:iCs/>
                <w:color w:val="auto"/>
              </w:rPr>
              <w:t>LPG ile çalışan motorların AB tip onayı</w:t>
            </w:r>
          </w:p>
          <w:p w14:paraId="07E99765" w14:textId="77777777" w:rsidR="0031699D" w:rsidRPr="00DE12A3" w:rsidRDefault="0031699D" w:rsidP="00C917D6">
            <w:pPr>
              <w:widowControl/>
              <w:autoSpaceDE w:val="0"/>
              <w:autoSpaceDN w:val="0"/>
              <w:spacing w:before="120" w:after="120"/>
              <w:jc w:val="center"/>
              <w:rPr>
                <w:rFonts w:eastAsiaTheme="minorEastAsia" w:cs="Times New Roman"/>
                <w:color w:val="auto"/>
                <w:lang w:val="fr-FR"/>
              </w:rPr>
            </w:pPr>
          </w:p>
        </w:tc>
      </w:tr>
      <w:tr w:rsidR="00DE12A3" w:rsidRPr="00DE12A3" w14:paraId="0B15BB09" w14:textId="77777777" w:rsidTr="0031699D">
        <w:trPr>
          <w:jc w:val="center"/>
        </w:trPr>
        <w:tc>
          <w:tcPr>
            <w:tcW w:w="1486" w:type="dxa"/>
            <w:tcBorders>
              <w:top w:val="single" w:sz="2" w:space="0" w:color="auto"/>
              <w:left w:val="single" w:sz="2" w:space="0" w:color="auto"/>
              <w:bottom w:val="single" w:sz="2" w:space="0" w:color="auto"/>
              <w:right w:val="single" w:sz="2" w:space="0" w:color="auto"/>
            </w:tcBorders>
          </w:tcPr>
          <w:p w14:paraId="6A076E18" w14:textId="77777777" w:rsidR="0031699D" w:rsidRPr="00DE12A3" w:rsidRDefault="0031699D" w:rsidP="00C917D6">
            <w:pPr>
              <w:widowControl/>
              <w:autoSpaceDE w:val="0"/>
              <w:autoSpaceDN w:val="0"/>
              <w:adjustRightInd w:val="0"/>
              <w:spacing w:before="120" w:after="120"/>
              <w:jc w:val="both"/>
              <w:rPr>
                <w:rFonts w:eastAsiaTheme="minorEastAsia" w:cs="Times New Roman"/>
                <w:color w:val="auto"/>
              </w:rPr>
            </w:pPr>
          </w:p>
        </w:tc>
        <w:tc>
          <w:tcPr>
            <w:tcW w:w="1207" w:type="dxa"/>
            <w:tcBorders>
              <w:top w:val="single" w:sz="2" w:space="0" w:color="auto"/>
              <w:left w:val="single" w:sz="2" w:space="0" w:color="auto"/>
              <w:bottom w:val="single" w:sz="2" w:space="0" w:color="auto"/>
              <w:right w:val="single" w:sz="2" w:space="0" w:color="auto"/>
            </w:tcBorders>
          </w:tcPr>
          <w:p w14:paraId="3A176EC7" w14:textId="77777777" w:rsidR="0031699D" w:rsidRPr="00DE12A3" w:rsidRDefault="0031699D" w:rsidP="00C917D6">
            <w:pPr>
              <w:widowControl/>
              <w:autoSpaceDE w:val="0"/>
              <w:autoSpaceDN w:val="0"/>
              <w:spacing w:before="120" w:after="120"/>
              <w:jc w:val="both"/>
              <w:rPr>
                <w:rFonts w:eastAsiaTheme="minorEastAsia" w:cs="Times New Roman"/>
                <w:color w:val="auto"/>
                <w:sz w:val="22"/>
                <w:szCs w:val="22"/>
                <w:lang w:val="fr-FR"/>
              </w:rPr>
            </w:pPr>
            <w:r w:rsidRPr="00DE12A3">
              <w:rPr>
                <w:rFonts w:eastAsiaTheme="minorEastAsia" w:cs="Times New Roman"/>
                <w:color w:val="auto"/>
                <w:sz w:val="22"/>
                <w:szCs w:val="22"/>
              </w:rPr>
              <w:t>Bent 2.3: Evrensel yakıt türleri ile çalışan bir motora ilişkin şartlar</w:t>
            </w:r>
          </w:p>
        </w:tc>
        <w:tc>
          <w:tcPr>
            <w:tcW w:w="1207" w:type="dxa"/>
            <w:tcBorders>
              <w:top w:val="single" w:sz="2" w:space="0" w:color="auto"/>
              <w:left w:val="single" w:sz="2" w:space="0" w:color="auto"/>
              <w:bottom w:val="single" w:sz="2" w:space="0" w:color="auto"/>
              <w:right w:val="single" w:sz="2" w:space="0" w:color="auto"/>
            </w:tcBorders>
          </w:tcPr>
          <w:p w14:paraId="30019CE3" w14:textId="77777777" w:rsidR="0031699D" w:rsidRPr="00DE12A3" w:rsidRDefault="0031699D" w:rsidP="00C917D6">
            <w:pPr>
              <w:widowControl/>
              <w:autoSpaceDE w:val="0"/>
              <w:autoSpaceDN w:val="0"/>
              <w:spacing w:before="120" w:after="120"/>
              <w:jc w:val="both"/>
              <w:rPr>
                <w:rFonts w:eastAsiaTheme="minorEastAsia" w:cs="Times New Roman"/>
                <w:color w:val="auto"/>
                <w:sz w:val="22"/>
                <w:szCs w:val="22"/>
                <w:lang w:val="fr-FR"/>
              </w:rPr>
            </w:pPr>
            <w:r w:rsidRPr="00DE12A3">
              <w:rPr>
                <w:rFonts w:eastAsiaTheme="minorEastAsia" w:cs="Times New Roman"/>
                <w:color w:val="auto"/>
                <w:sz w:val="22"/>
                <w:szCs w:val="22"/>
              </w:rPr>
              <w:t>Test çalışması sayısı</w:t>
            </w:r>
          </w:p>
        </w:tc>
        <w:tc>
          <w:tcPr>
            <w:tcW w:w="1486" w:type="dxa"/>
            <w:tcBorders>
              <w:top w:val="single" w:sz="2" w:space="0" w:color="auto"/>
              <w:left w:val="single" w:sz="2" w:space="0" w:color="auto"/>
              <w:bottom w:val="single" w:sz="2" w:space="0" w:color="auto"/>
              <w:right w:val="single" w:sz="2" w:space="0" w:color="auto"/>
            </w:tcBorders>
          </w:tcPr>
          <w:p w14:paraId="48EC8D13" w14:textId="77777777" w:rsidR="0031699D" w:rsidRPr="00DE12A3" w:rsidRDefault="0031699D" w:rsidP="00C917D6">
            <w:pPr>
              <w:widowControl/>
              <w:autoSpaceDE w:val="0"/>
              <w:autoSpaceDN w:val="0"/>
              <w:spacing w:before="120" w:after="120"/>
              <w:jc w:val="both"/>
              <w:rPr>
                <w:rFonts w:eastAsiaTheme="minorEastAsia" w:cs="Times New Roman"/>
                <w:color w:val="auto"/>
                <w:sz w:val="22"/>
                <w:szCs w:val="22"/>
                <w:lang w:val="fr-FR"/>
              </w:rPr>
            </w:pPr>
            <w:r w:rsidRPr="00DE12A3">
              <w:rPr>
                <w:rFonts w:eastAsiaTheme="minorEastAsia" w:cs="Times New Roman"/>
                <w:color w:val="auto"/>
                <w:sz w:val="22"/>
                <w:szCs w:val="22"/>
              </w:rPr>
              <w:t>"r" değerinin hesaplanması</w:t>
            </w:r>
          </w:p>
        </w:tc>
        <w:tc>
          <w:tcPr>
            <w:tcW w:w="1207" w:type="dxa"/>
            <w:tcBorders>
              <w:top w:val="single" w:sz="2" w:space="0" w:color="auto"/>
              <w:left w:val="single" w:sz="2" w:space="0" w:color="auto"/>
              <w:bottom w:val="single" w:sz="2" w:space="0" w:color="auto"/>
              <w:right w:val="single" w:sz="2" w:space="0" w:color="auto"/>
            </w:tcBorders>
          </w:tcPr>
          <w:p w14:paraId="35ECFF39" w14:textId="77777777" w:rsidR="0031699D" w:rsidRPr="00DE12A3" w:rsidRDefault="0031699D" w:rsidP="00C917D6">
            <w:pPr>
              <w:widowControl/>
              <w:autoSpaceDE w:val="0"/>
              <w:autoSpaceDN w:val="0"/>
              <w:spacing w:before="120" w:after="120"/>
              <w:jc w:val="both"/>
              <w:rPr>
                <w:rFonts w:eastAsiaTheme="minorEastAsia" w:cs="Times New Roman"/>
                <w:color w:val="auto"/>
                <w:sz w:val="22"/>
                <w:szCs w:val="22"/>
                <w:lang w:val="fr-FR"/>
              </w:rPr>
            </w:pPr>
            <w:r w:rsidRPr="00DE12A3">
              <w:rPr>
                <w:rFonts w:eastAsiaTheme="minorEastAsia" w:cs="Times New Roman"/>
                <w:color w:val="auto"/>
                <w:sz w:val="22"/>
                <w:szCs w:val="22"/>
              </w:rPr>
              <w:t>Bent 2.4: Sınırlı yakıt türü ile çalışan bir motora ilişkin şartlar</w:t>
            </w:r>
          </w:p>
        </w:tc>
        <w:tc>
          <w:tcPr>
            <w:tcW w:w="1207" w:type="dxa"/>
            <w:tcBorders>
              <w:top w:val="single" w:sz="2" w:space="0" w:color="auto"/>
              <w:left w:val="single" w:sz="2" w:space="0" w:color="auto"/>
              <w:bottom w:val="single" w:sz="2" w:space="0" w:color="auto"/>
              <w:right w:val="single" w:sz="2" w:space="0" w:color="auto"/>
            </w:tcBorders>
          </w:tcPr>
          <w:p w14:paraId="60080812" w14:textId="77777777" w:rsidR="0031699D" w:rsidRPr="00DE12A3" w:rsidRDefault="0031699D" w:rsidP="00C917D6">
            <w:pPr>
              <w:widowControl/>
              <w:autoSpaceDE w:val="0"/>
              <w:autoSpaceDN w:val="0"/>
              <w:spacing w:before="120" w:after="120"/>
              <w:jc w:val="both"/>
              <w:rPr>
                <w:rFonts w:eastAsiaTheme="minorEastAsia" w:cs="Times New Roman"/>
                <w:color w:val="auto"/>
                <w:sz w:val="22"/>
                <w:szCs w:val="22"/>
                <w:lang w:val="fr-FR"/>
              </w:rPr>
            </w:pPr>
            <w:r w:rsidRPr="00DE12A3">
              <w:rPr>
                <w:rFonts w:eastAsiaTheme="minorEastAsia" w:cs="Times New Roman"/>
                <w:color w:val="auto"/>
                <w:sz w:val="22"/>
                <w:szCs w:val="22"/>
              </w:rPr>
              <w:t>Test çalışması sayısı</w:t>
            </w:r>
          </w:p>
        </w:tc>
        <w:tc>
          <w:tcPr>
            <w:tcW w:w="1839" w:type="dxa"/>
            <w:tcBorders>
              <w:top w:val="single" w:sz="2" w:space="0" w:color="auto"/>
              <w:left w:val="single" w:sz="2" w:space="0" w:color="auto"/>
              <w:bottom w:val="single" w:sz="2" w:space="0" w:color="auto"/>
              <w:right w:val="single" w:sz="2" w:space="0" w:color="auto"/>
            </w:tcBorders>
          </w:tcPr>
          <w:p w14:paraId="2F2A76A1" w14:textId="77777777" w:rsidR="0031699D" w:rsidRPr="00DE12A3" w:rsidRDefault="0031699D" w:rsidP="00C917D6">
            <w:pPr>
              <w:widowControl/>
              <w:autoSpaceDE w:val="0"/>
              <w:autoSpaceDN w:val="0"/>
              <w:spacing w:before="120" w:after="120"/>
              <w:jc w:val="both"/>
              <w:rPr>
                <w:rFonts w:eastAsiaTheme="minorEastAsia" w:cs="Times New Roman"/>
                <w:color w:val="auto"/>
                <w:sz w:val="22"/>
                <w:szCs w:val="22"/>
                <w:lang w:val="fr-FR"/>
              </w:rPr>
            </w:pPr>
            <w:r w:rsidRPr="00DE12A3">
              <w:rPr>
                <w:rFonts w:eastAsiaTheme="minorEastAsia" w:cs="Times New Roman"/>
                <w:color w:val="auto"/>
                <w:sz w:val="22"/>
                <w:szCs w:val="22"/>
              </w:rPr>
              <w:t>"r" değerinin hesaplanması</w:t>
            </w:r>
          </w:p>
        </w:tc>
      </w:tr>
      <w:tr w:rsidR="00DE12A3" w:rsidRPr="00DE12A3" w14:paraId="4D56B747" w14:textId="77777777" w:rsidTr="0031699D">
        <w:trPr>
          <w:jc w:val="center"/>
        </w:trPr>
        <w:tc>
          <w:tcPr>
            <w:tcW w:w="1486" w:type="dxa"/>
            <w:tcBorders>
              <w:top w:val="single" w:sz="2" w:space="0" w:color="auto"/>
              <w:left w:val="single" w:sz="2" w:space="0" w:color="auto"/>
              <w:bottom w:val="single" w:sz="2" w:space="0" w:color="auto"/>
              <w:right w:val="single" w:sz="2" w:space="0" w:color="auto"/>
            </w:tcBorders>
          </w:tcPr>
          <w:p w14:paraId="5BB4F2C1" w14:textId="77777777" w:rsidR="0031699D" w:rsidRPr="00DE12A3" w:rsidRDefault="0031699D" w:rsidP="00C917D6">
            <w:pPr>
              <w:spacing w:before="120" w:after="120"/>
              <w:jc w:val="both"/>
              <w:rPr>
                <w:rFonts w:eastAsia="Times New Roman" w:cs="Times New Roman"/>
                <w:color w:val="auto"/>
                <w:spacing w:val="4"/>
                <w:sz w:val="22"/>
                <w:szCs w:val="22"/>
              </w:rPr>
            </w:pPr>
            <w:r w:rsidRPr="00DE12A3">
              <w:rPr>
                <w:rFonts w:eastAsia="Times New Roman" w:cs="Times New Roman"/>
                <w:color w:val="auto"/>
                <w:spacing w:val="4"/>
                <w:sz w:val="22"/>
                <w:szCs w:val="22"/>
              </w:rPr>
              <w:t>2.3.4 bendine bakınız.</w:t>
            </w:r>
          </w:p>
          <w:p w14:paraId="47D1AF94" w14:textId="77777777" w:rsidR="0031699D" w:rsidRPr="00DE12A3" w:rsidRDefault="0031699D" w:rsidP="00C917D6">
            <w:pPr>
              <w:widowControl/>
              <w:autoSpaceDE w:val="0"/>
              <w:autoSpaceDN w:val="0"/>
              <w:spacing w:before="120" w:after="120"/>
              <w:jc w:val="both"/>
              <w:rPr>
                <w:rFonts w:eastAsiaTheme="minorEastAsia" w:cs="Times New Roman"/>
                <w:color w:val="auto"/>
                <w:sz w:val="22"/>
                <w:szCs w:val="22"/>
                <w:lang w:val="fr-FR"/>
              </w:rPr>
            </w:pPr>
            <w:r w:rsidRPr="00DE12A3">
              <w:rPr>
                <w:rFonts w:cs="Times New Roman"/>
                <w:color w:val="auto"/>
                <w:sz w:val="22"/>
                <w:szCs w:val="22"/>
              </w:rPr>
              <w:t>Her yakıt bileşimine uyum sağlayabilen LPG-motoru</w:t>
            </w:r>
          </w:p>
        </w:tc>
        <w:tc>
          <w:tcPr>
            <w:tcW w:w="1207" w:type="dxa"/>
            <w:tcBorders>
              <w:top w:val="single" w:sz="2" w:space="0" w:color="auto"/>
              <w:left w:val="single" w:sz="2" w:space="0" w:color="auto"/>
              <w:bottom w:val="single" w:sz="2" w:space="0" w:color="auto"/>
              <w:right w:val="single" w:sz="2" w:space="0" w:color="auto"/>
            </w:tcBorders>
          </w:tcPr>
          <w:p w14:paraId="524995F5" w14:textId="77777777" w:rsidR="0031699D" w:rsidRPr="00DE12A3" w:rsidRDefault="0031699D" w:rsidP="00C917D6">
            <w:pPr>
              <w:widowControl/>
              <w:autoSpaceDE w:val="0"/>
              <w:autoSpaceDN w:val="0"/>
              <w:spacing w:before="120" w:after="120"/>
              <w:jc w:val="both"/>
              <w:rPr>
                <w:rFonts w:eastAsiaTheme="minorEastAsia" w:cs="Times New Roman"/>
                <w:color w:val="auto"/>
                <w:sz w:val="22"/>
                <w:szCs w:val="22"/>
                <w:lang w:val="fr-FR"/>
              </w:rPr>
            </w:pPr>
            <w:r w:rsidRPr="00DE12A3">
              <w:rPr>
                <w:rFonts w:eastAsiaTheme="minorEastAsia" w:cs="Times New Roman"/>
                <w:color w:val="auto"/>
                <w:sz w:val="22"/>
                <w:szCs w:val="22"/>
              </w:rPr>
              <w:t>Yakıt A ve yakıt B</w:t>
            </w:r>
          </w:p>
        </w:tc>
        <w:tc>
          <w:tcPr>
            <w:tcW w:w="1207" w:type="dxa"/>
            <w:tcBorders>
              <w:top w:val="single" w:sz="2" w:space="0" w:color="auto"/>
              <w:left w:val="single" w:sz="2" w:space="0" w:color="auto"/>
              <w:bottom w:val="single" w:sz="2" w:space="0" w:color="auto"/>
              <w:right w:val="single" w:sz="2" w:space="0" w:color="auto"/>
            </w:tcBorders>
          </w:tcPr>
          <w:p w14:paraId="6C0AC5FF" w14:textId="77777777" w:rsidR="0031699D" w:rsidRPr="00DE12A3" w:rsidRDefault="0031699D" w:rsidP="00C917D6">
            <w:pPr>
              <w:widowControl/>
              <w:autoSpaceDE w:val="0"/>
              <w:autoSpaceDN w:val="0"/>
              <w:spacing w:before="120" w:after="120"/>
              <w:jc w:val="both"/>
              <w:rPr>
                <w:rFonts w:eastAsiaTheme="minorEastAsia" w:cs="Times New Roman"/>
                <w:color w:val="auto"/>
                <w:sz w:val="22"/>
                <w:szCs w:val="22"/>
                <w:lang w:val="fr-FR"/>
              </w:rPr>
            </w:pPr>
            <w:r w:rsidRPr="00DE12A3">
              <w:rPr>
                <w:rFonts w:eastAsiaTheme="minorEastAsia" w:cs="Times New Roman"/>
                <w:color w:val="auto"/>
                <w:sz w:val="22"/>
                <w:szCs w:val="22"/>
                <w:lang w:val="fr-FR"/>
              </w:rPr>
              <w:t>2</w:t>
            </w:r>
          </w:p>
        </w:tc>
        <w:tc>
          <w:tcPr>
            <w:tcW w:w="1486" w:type="dxa"/>
            <w:tcBorders>
              <w:top w:val="single" w:sz="2" w:space="0" w:color="auto"/>
              <w:left w:val="single" w:sz="2" w:space="0" w:color="auto"/>
              <w:bottom w:val="single" w:sz="2" w:space="0" w:color="auto"/>
              <w:right w:val="single" w:sz="2" w:space="0" w:color="auto"/>
            </w:tcBorders>
          </w:tcPr>
          <w:p w14:paraId="745ABA59" w14:textId="77777777" w:rsidR="0031699D" w:rsidRPr="00DE12A3" w:rsidRDefault="0031699D" w:rsidP="00C917D6">
            <w:pPr>
              <w:spacing w:before="120" w:after="120"/>
              <w:ind w:left="128"/>
              <w:jc w:val="both"/>
              <w:rPr>
                <w:rFonts w:eastAsia="Times New Roman" w:cs="Times New Roman"/>
                <w:color w:val="auto"/>
                <w:spacing w:val="4"/>
                <w:sz w:val="22"/>
                <w:szCs w:val="22"/>
              </w:rPr>
            </w:pPr>
            <w:r w:rsidRPr="00DE12A3">
              <w:rPr>
                <w:rFonts w:eastAsia="Times New Roman" w:cs="Times New Roman"/>
                <w:color w:val="auto"/>
                <w:spacing w:val="4"/>
                <w:sz w:val="22"/>
                <w:szCs w:val="22"/>
              </w:rPr>
              <w:t>r=yakıt B/</w:t>
            </w:r>
          </w:p>
          <w:p w14:paraId="57ABEC21" w14:textId="77777777" w:rsidR="0031699D" w:rsidRPr="00DE12A3" w:rsidRDefault="0031699D" w:rsidP="00C917D6">
            <w:pPr>
              <w:widowControl/>
              <w:autoSpaceDE w:val="0"/>
              <w:autoSpaceDN w:val="0"/>
              <w:spacing w:before="120" w:after="120"/>
              <w:jc w:val="both"/>
              <w:rPr>
                <w:rFonts w:eastAsiaTheme="minorEastAsia" w:cs="Times New Roman"/>
                <w:color w:val="auto"/>
                <w:sz w:val="22"/>
                <w:szCs w:val="22"/>
                <w:lang w:val="fr-FR"/>
              </w:rPr>
            </w:pPr>
            <w:r w:rsidRPr="00DE12A3">
              <w:rPr>
                <w:rFonts w:cs="Times New Roman"/>
                <w:color w:val="auto"/>
                <w:sz w:val="22"/>
                <w:szCs w:val="22"/>
              </w:rPr>
              <w:t>yakıt A</w:t>
            </w:r>
          </w:p>
        </w:tc>
        <w:tc>
          <w:tcPr>
            <w:tcW w:w="1207" w:type="dxa"/>
            <w:tcBorders>
              <w:top w:val="single" w:sz="2" w:space="0" w:color="auto"/>
              <w:left w:val="single" w:sz="2" w:space="0" w:color="auto"/>
              <w:bottom w:val="single" w:sz="2" w:space="0" w:color="auto"/>
              <w:right w:val="single" w:sz="2" w:space="0" w:color="auto"/>
            </w:tcBorders>
          </w:tcPr>
          <w:p w14:paraId="798E9B4E" w14:textId="77777777" w:rsidR="0031699D" w:rsidRPr="00DE12A3" w:rsidRDefault="0031699D" w:rsidP="00C917D6">
            <w:pPr>
              <w:widowControl/>
              <w:autoSpaceDE w:val="0"/>
              <w:autoSpaceDN w:val="0"/>
              <w:spacing w:before="120" w:after="120"/>
              <w:jc w:val="both"/>
              <w:rPr>
                <w:rFonts w:eastAsiaTheme="minorEastAsia" w:cs="Times New Roman"/>
                <w:color w:val="auto"/>
                <w:sz w:val="22"/>
                <w:szCs w:val="22"/>
                <w:lang w:val="fr-FR"/>
              </w:rPr>
            </w:pPr>
          </w:p>
        </w:tc>
        <w:tc>
          <w:tcPr>
            <w:tcW w:w="1207" w:type="dxa"/>
            <w:tcBorders>
              <w:top w:val="single" w:sz="2" w:space="0" w:color="auto"/>
              <w:left w:val="single" w:sz="2" w:space="0" w:color="auto"/>
              <w:bottom w:val="single" w:sz="2" w:space="0" w:color="auto"/>
              <w:right w:val="single" w:sz="2" w:space="0" w:color="auto"/>
            </w:tcBorders>
          </w:tcPr>
          <w:p w14:paraId="6EE9000F" w14:textId="77777777" w:rsidR="0031699D" w:rsidRPr="00DE12A3" w:rsidRDefault="0031699D" w:rsidP="00C917D6">
            <w:pPr>
              <w:widowControl/>
              <w:autoSpaceDE w:val="0"/>
              <w:autoSpaceDN w:val="0"/>
              <w:spacing w:before="120" w:after="120"/>
              <w:jc w:val="both"/>
              <w:rPr>
                <w:rFonts w:eastAsiaTheme="minorEastAsia" w:cs="Times New Roman"/>
                <w:color w:val="auto"/>
                <w:sz w:val="22"/>
                <w:szCs w:val="22"/>
                <w:lang w:val="fr-FR"/>
              </w:rPr>
            </w:pPr>
          </w:p>
        </w:tc>
        <w:tc>
          <w:tcPr>
            <w:tcW w:w="1839" w:type="dxa"/>
            <w:tcBorders>
              <w:top w:val="single" w:sz="2" w:space="0" w:color="auto"/>
              <w:left w:val="single" w:sz="2" w:space="0" w:color="auto"/>
              <w:bottom w:val="single" w:sz="2" w:space="0" w:color="auto"/>
              <w:right w:val="single" w:sz="2" w:space="0" w:color="auto"/>
            </w:tcBorders>
          </w:tcPr>
          <w:p w14:paraId="7BB4420C" w14:textId="77777777" w:rsidR="0031699D" w:rsidRPr="00DE12A3" w:rsidRDefault="0031699D" w:rsidP="00C917D6">
            <w:pPr>
              <w:widowControl/>
              <w:autoSpaceDE w:val="0"/>
              <w:autoSpaceDN w:val="0"/>
              <w:spacing w:before="120" w:after="120"/>
              <w:jc w:val="both"/>
              <w:rPr>
                <w:rFonts w:eastAsiaTheme="minorEastAsia" w:cs="Times New Roman"/>
                <w:color w:val="auto"/>
                <w:sz w:val="22"/>
                <w:szCs w:val="22"/>
                <w:lang w:val="fr-FR"/>
              </w:rPr>
            </w:pPr>
          </w:p>
        </w:tc>
      </w:tr>
      <w:tr w:rsidR="0031699D" w:rsidRPr="00DE12A3" w14:paraId="316FD920" w14:textId="77777777" w:rsidTr="0031699D">
        <w:trPr>
          <w:jc w:val="center"/>
        </w:trPr>
        <w:tc>
          <w:tcPr>
            <w:tcW w:w="1486" w:type="dxa"/>
            <w:tcBorders>
              <w:top w:val="single" w:sz="2" w:space="0" w:color="auto"/>
              <w:left w:val="single" w:sz="2" w:space="0" w:color="auto"/>
              <w:bottom w:val="single" w:sz="2" w:space="0" w:color="auto"/>
              <w:right w:val="single" w:sz="2" w:space="0" w:color="auto"/>
            </w:tcBorders>
          </w:tcPr>
          <w:p w14:paraId="12C1EE72" w14:textId="77777777" w:rsidR="0031699D" w:rsidRPr="00DE12A3" w:rsidRDefault="0031699D" w:rsidP="00C917D6">
            <w:pPr>
              <w:spacing w:before="120" w:after="120"/>
              <w:jc w:val="both"/>
              <w:rPr>
                <w:rFonts w:eastAsia="Times New Roman" w:cs="Times New Roman"/>
                <w:color w:val="auto"/>
                <w:spacing w:val="4"/>
                <w:sz w:val="22"/>
                <w:szCs w:val="22"/>
              </w:rPr>
            </w:pPr>
            <w:r w:rsidRPr="00DE12A3">
              <w:rPr>
                <w:rFonts w:eastAsia="Times New Roman" w:cs="Times New Roman"/>
                <w:color w:val="auto"/>
                <w:spacing w:val="4"/>
                <w:sz w:val="22"/>
                <w:szCs w:val="22"/>
              </w:rPr>
              <w:t>2.4.2 bendine bakınız.</w:t>
            </w:r>
          </w:p>
          <w:p w14:paraId="34E5421D" w14:textId="77777777" w:rsidR="0031699D" w:rsidRPr="00DE12A3" w:rsidRDefault="0031699D" w:rsidP="00C917D6">
            <w:pPr>
              <w:widowControl/>
              <w:autoSpaceDE w:val="0"/>
              <w:autoSpaceDN w:val="0"/>
              <w:spacing w:before="120" w:after="120"/>
              <w:jc w:val="both"/>
              <w:rPr>
                <w:rFonts w:eastAsiaTheme="minorEastAsia" w:cs="Times New Roman"/>
                <w:color w:val="auto"/>
                <w:sz w:val="22"/>
                <w:szCs w:val="22"/>
                <w:lang w:val="fr-FR"/>
              </w:rPr>
            </w:pPr>
            <w:r w:rsidRPr="00DE12A3">
              <w:rPr>
                <w:rFonts w:cs="Times New Roman"/>
                <w:color w:val="auto"/>
                <w:sz w:val="22"/>
                <w:szCs w:val="22"/>
              </w:rPr>
              <w:t>Belirli bir yakıt bileşimi ile çalışmak üzere tasarlanmış LPG-motoru</w:t>
            </w:r>
          </w:p>
        </w:tc>
        <w:tc>
          <w:tcPr>
            <w:tcW w:w="1207" w:type="dxa"/>
            <w:tcBorders>
              <w:top w:val="single" w:sz="2" w:space="0" w:color="auto"/>
              <w:left w:val="single" w:sz="2" w:space="0" w:color="auto"/>
              <w:bottom w:val="single" w:sz="2" w:space="0" w:color="auto"/>
              <w:right w:val="single" w:sz="2" w:space="0" w:color="auto"/>
            </w:tcBorders>
          </w:tcPr>
          <w:p w14:paraId="5A261CF0" w14:textId="77777777" w:rsidR="0031699D" w:rsidRPr="00DE12A3" w:rsidRDefault="0031699D" w:rsidP="00C917D6">
            <w:pPr>
              <w:widowControl/>
              <w:autoSpaceDE w:val="0"/>
              <w:autoSpaceDN w:val="0"/>
              <w:spacing w:before="120" w:after="120"/>
              <w:jc w:val="both"/>
              <w:rPr>
                <w:rFonts w:eastAsiaTheme="minorEastAsia" w:cs="Times New Roman"/>
                <w:color w:val="auto"/>
                <w:sz w:val="22"/>
                <w:szCs w:val="22"/>
                <w:lang w:val="fr-FR"/>
              </w:rPr>
            </w:pPr>
          </w:p>
        </w:tc>
        <w:tc>
          <w:tcPr>
            <w:tcW w:w="1207" w:type="dxa"/>
            <w:tcBorders>
              <w:top w:val="single" w:sz="2" w:space="0" w:color="auto"/>
              <w:left w:val="single" w:sz="2" w:space="0" w:color="auto"/>
              <w:bottom w:val="single" w:sz="2" w:space="0" w:color="auto"/>
              <w:right w:val="single" w:sz="2" w:space="0" w:color="auto"/>
            </w:tcBorders>
          </w:tcPr>
          <w:p w14:paraId="03310B31" w14:textId="77777777" w:rsidR="0031699D" w:rsidRPr="00DE12A3" w:rsidRDefault="0031699D" w:rsidP="00C917D6">
            <w:pPr>
              <w:widowControl/>
              <w:autoSpaceDE w:val="0"/>
              <w:autoSpaceDN w:val="0"/>
              <w:spacing w:before="120" w:after="120"/>
              <w:jc w:val="both"/>
              <w:rPr>
                <w:rFonts w:eastAsiaTheme="minorEastAsia" w:cs="Times New Roman"/>
                <w:color w:val="auto"/>
                <w:sz w:val="22"/>
                <w:szCs w:val="22"/>
                <w:lang w:val="fr-FR"/>
              </w:rPr>
            </w:pPr>
          </w:p>
        </w:tc>
        <w:tc>
          <w:tcPr>
            <w:tcW w:w="1486" w:type="dxa"/>
            <w:tcBorders>
              <w:top w:val="single" w:sz="2" w:space="0" w:color="auto"/>
              <w:left w:val="single" w:sz="2" w:space="0" w:color="auto"/>
              <w:bottom w:val="single" w:sz="2" w:space="0" w:color="auto"/>
              <w:right w:val="single" w:sz="2" w:space="0" w:color="auto"/>
            </w:tcBorders>
          </w:tcPr>
          <w:p w14:paraId="0B870EC7" w14:textId="77777777" w:rsidR="0031699D" w:rsidRPr="00DE12A3" w:rsidRDefault="0031699D" w:rsidP="00C917D6">
            <w:pPr>
              <w:widowControl/>
              <w:autoSpaceDE w:val="0"/>
              <w:autoSpaceDN w:val="0"/>
              <w:spacing w:before="120" w:after="120"/>
              <w:jc w:val="both"/>
              <w:rPr>
                <w:rFonts w:eastAsiaTheme="minorEastAsia" w:cs="Times New Roman"/>
                <w:color w:val="auto"/>
                <w:sz w:val="22"/>
                <w:szCs w:val="22"/>
                <w:lang w:val="fr-FR"/>
              </w:rPr>
            </w:pPr>
          </w:p>
        </w:tc>
        <w:tc>
          <w:tcPr>
            <w:tcW w:w="1207" w:type="dxa"/>
            <w:tcBorders>
              <w:top w:val="single" w:sz="2" w:space="0" w:color="auto"/>
              <w:left w:val="single" w:sz="2" w:space="0" w:color="auto"/>
              <w:bottom w:val="single" w:sz="2" w:space="0" w:color="auto"/>
              <w:right w:val="single" w:sz="2" w:space="0" w:color="auto"/>
            </w:tcBorders>
          </w:tcPr>
          <w:p w14:paraId="574E8FB5" w14:textId="77777777" w:rsidR="0031699D" w:rsidRPr="00DE12A3" w:rsidRDefault="0031699D" w:rsidP="00C917D6">
            <w:pPr>
              <w:widowControl/>
              <w:autoSpaceDE w:val="0"/>
              <w:autoSpaceDN w:val="0"/>
              <w:spacing w:before="120" w:after="120"/>
              <w:jc w:val="both"/>
              <w:rPr>
                <w:rFonts w:eastAsiaTheme="minorEastAsia" w:cs="Times New Roman"/>
                <w:color w:val="auto"/>
                <w:sz w:val="22"/>
                <w:szCs w:val="22"/>
                <w:lang w:val="fr-FR"/>
              </w:rPr>
            </w:pPr>
            <w:r w:rsidRPr="00DE12A3">
              <w:rPr>
                <w:rFonts w:eastAsiaTheme="minorEastAsia" w:cs="Times New Roman"/>
                <w:color w:val="auto"/>
                <w:sz w:val="22"/>
                <w:szCs w:val="22"/>
              </w:rPr>
              <w:t>Yakıt A ve yakıt B, testler arasında ince ayar yapılmasına izin verilir</w:t>
            </w:r>
          </w:p>
        </w:tc>
        <w:tc>
          <w:tcPr>
            <w:tcW w:w="1207" w:type="dxa"/>
            <w:tcBorders>
              <w:top w:val="single" w:sz="2" w:space="0" w:color="auto"/>
              <w:left w:val="single" w:sz="2" w:space="0" w:color="auto"/>
              <w:bottom w:val="single" w:sz="2" w:space="0" w:color="auto"/>
              <w:right w:val="single" w:sz="2" w:space="0" w:color="auto"/>
            </w:tcBorders>
          </w:tcPr>
          <w:p w14:paraId="7BEBF20D" w14:textId="77777777" w:rsidR="0031699D" w:rsidRPr="00DE12A3" w:rsidRDefault="0031699D" w:rsidP="00C917D6">
            <w:pPr>
              <w:widowControl/>
              <w:autoSpaceDE w:val="0"/>
              <w:autoSpaceDN w:val="0"/>
              <w:spacing w:before="120" w:after="120"/>
              <w:jc w:val="both"/>
              <w:rPr>
                <w:rFonts w:eastAsiaTheme="minorEastAsia" w:cs="Times New Roman"/>
                <w:color w:val="auto"/>
                <w:sz w:val="22"/>
                <w:szCs w:val="22"/>
                <w:lang w:val="fr-FR"/>
              </w:rPr>
            </w:pPr>
            <w:r w:rsidRPr="00DE12A3">
              <w:rPr>
                <w:rFonts w:eastAsiaTheme="minorEastAsia" w:cs="Times New Roman"/>
                <w:color w:val="auto"/>
                <w:sz w:val="22"/>
                <w:szCs w:val="22"/>
                <w:lang w:val="fr-FR"/>
              </w:rPr>
              <w:t>2</w:t>
            </w:r>
          </w:p>
        </w:tc>
        <w:tc>
          <w:tcPr>
            <w:tcW w:w="1839" w:type="dxa"/>
            <w:tcBorders>
              <w:top w:val="single" w:sz="2" w:space="0" w:color="auto"/>
              <w:left w:val="single" w:sz="2" w:space="0" w:color="auto"/>
              <w:bottom w:val="single" w:sz="2" w:space="0" w:color="auto"/>
              <w:right w:val="single" w:sz="2" w:space="0" w:color="auto"/>
            </w:tcBorders>
          </w:tcPr>
          <w:p w14:paraId="25B1CF71" w14:textId="77777777" w:rsidR="0031699D" w:rsidRPr="00DE12A3" w:rsidRDefault="0031699D" w:rsidP="00C917D6">
            <w:pPr>
              <w:widowControl/>
              <w:autoSpaceDE w:val="0"/>
              <w:autoSpaceDN w:val="0"/>
              <w:spacing w:before="120" w:after="120"/>
              <w:jc w:val="both"/>
              <w:rPr>
                <w:rFonts w:eastAsiaTheme="minorEastAsia" w:cs="Times New Roman"/>
                <w:color w:val="auto"/>
                <w:lang w:val="fr-FR"/>
              </w:rPr>
            </w:pPr>
          </w:p>
        </w:tc>
      </w:tr>
    </w:tbl>
    <w:p w14:paraId="2AE96782" w14:textId="77777777" w:rsidR="0031699D" w:rsidRPr="00DE12A3" w:rsidRDefault="0031699D" w:rsidP="00C917D6">
      <w:pPr>
        <w:tabs>
          <w:tab w:val="left" w:pos="709"/>
        </w:tabs>
        <w:spacing w:before="120" w:after="120"/>
        <w:ind w:left="709" w:hanging="709"/>
        <w:jc w:val="both"/>
        <w:rPr>
          <w:rFonts w:eastAsia="Times New Roman" w:cs="Times New Roman"/>
          <w:b/>
          <w:color w:val="auto"/>
          <w:spacing w:val="3"/>
          <w:sz w:val="20"/>
          <w:szCs w:val="20"/>
        </w:rPr>
      </w:pPr>
    </w:p>
    <w:p w14:paraId="6DF9B480" w14:textId="2A7789DA" w:rsidR="002D7B36" w:rsidRPr="00DE12A3" w:rsidRDefault="002D7B36" w:rsidP="00C917D6">
      <w:pPr>
        <w:tabs>
          <w:tab w:val="left" w:pos="709"/>
        </w:tabs>
        <w:spacing w:before="120" w:after="120"/>
        <w:ind w:left="709" w:hanging="709"/>
        <w:jc w:val="both"/>
        <w:rPr>
          <w:rFonts w:eastAsia="Times New Roman" w:cs="Times New Roman"/>
          <w:b/>
          <w:color w:val="auto"/>
          <w:spacing w:val="3"/>
          <w:sz w:val="20"/>
          <w:szCs w:val="20"/>
        </w:rPr>
      </w:pPr>
    </w:p>
    <w:p w14:paraId="46F02D56" w14:textId="07081E7A" w:rsidR="00CA7FE3" w:rsidRPr="00DE12A3" w:rsidRDefault="00CA7FE3" w:rsidP="00C917D6">
      <w:pPr>
        <w:tabs>
          <w:tab w:val="left" w:pos="709"/>
        </w:tabs>
        <w:spacing w:before="120" w:after="120"/>
        <w:ind w:left="709" w:hanging="709"/>
        <w:jc w:val="both"/>
        <w:rPr>
          <w:rFonts w:eastAsia="Times New Roman" w:cs="Times New Roman"/>
          <w:b/>
          <w:color w:val="auto"/>
          <w:spacing w:val="3"/>
          <w:sz w:val="20"/>
          <w:szCs w:val="20"/>
        </w:rPr>
      </w:pPr>
    </w:p>
    <w:p w14:paraId="5D85E6D1" w14:textId="74F4B81D" w:rsidR="00CA7FE3" w:rsidRPr="00DE12A3" w:rsidRDefault="00CA7FE3" w:rsidP="00C917D6">
      <w:pPr>
        <w:tabs>
          <w:tab w:val="left" w:pos="709"/>
        </w:tabs>
        <w:spacing w:before="120" w:after="120"/>
        <w:ind w:left="709" w:hanging="709"/>
        <w:jc w:val="both"/>
        <w:rPr>
          <w:rFonts w:eastAsia="Times New Roman" w:cs="Times New Roman"/>
          <w:b/>
          <w:color w:val="auto"/>
          <w:spacing w:val="3"/>
          <w:sz w:val="20"/>
          <w:szCs w:val="20"/>
        </w:rPr>
      </w:pPr>
    </w:p>
    <w:p w14:paraId="6B4828B8" w14:textId="4A4F022B" w:rsidR="00CA7FE3" w:rsidRPr="00DE12A3" w:rsidRDefault="00CA7FE3" w:rsidP="00C917D6">
      <w:pPr>
        <w:tabs>
          <w:tab w:val="left" w:pos="709"/>
        </w:tabs>
        <w:spacing w:before="120" w:after="120"/>
        <w:ind w:left="709" w:hanging="709"/>
        <w:jc w:val="both"/>
        <w:rPr>
          <w:rFonts w:eastAsia="Times New Roman" w:cs="Times New Roman"/>
          <w:b/>
          <w:color w:val="auto"/>
          <w:spacing w:val="3"/>
          <w:sz w:val="20"/>
          <w:szCs w:val="20"/>
        </w:rPr>
      </w:pPr>
    </w:p>
    <w:p w14:paraId="5413180B" w14:textId="77777777" w:rsidR="00CA7FE3" w:rsidRPr="00DE12A3" w:rsidRDefault="00CA7FE3" w:rsidP="00C917D6">
      <w:pPr>
        <w:tabs>
          <w:tab w:val="left" w:pos="709"/>
        </w:tabs>
        <w:spacing w:before="120" w:after="120"/>
        <w:ind w:left="709" w:hanging="709"/>
        <w:jc w:val="both"/>
        <w:rPr>
          <w:rFonts w:eastAsia="Times New Roman" w:cs="Times New Roman"/>
          <w:b/>
          <w:color w:val="auto"/>
          <w:spacing w:val="3"/>
          <w:sz w:val="20"/>
          <w:szCs w:val="20"/>
        </w:rPr>
      </w:pPr>
    </w:p>
    <w:tbl>
      <w:tblPr>
        <w:tblW w:w="0" w:type="auto"/>
        <w:jc w:val="center"/>
        <w:tblLayout w:type="fixed"/>
        <w:tblLook w:val="0000" w:firstRow="0" w:lastRow="0" w:firstColumn="0" w:lastColumn="0" w:noHBand="0" w:noVBand="0"/>
      </w:tblPr>
      <w:tblGrid>
        <w:gridCol w:w="1300"/>
        <w:gridCol w:w="1579"/>
        <w:gridCol w:w="1578"/>
        <w:gridCol w:w="1486"/>
        <w:gridCol w:w="1764"/>
        <w:gridCol w:w="1932"/>
      </w:tblGrid>
      <w:tr w:rsidR="00DE12A3" w:rsidRPr="00DE12A3" w14:paraId="396E4E48" w14:textId="77777777" w:rsidTr="00877D3B">
        <w:trPr>
          <w:jc w:val="center"/>
        </w:trPr>
        <w:tc>
          <w:tcPr>
            <w:tcW w:w="9639" w:type="dxa"/>
            <w:gridSpan w:val="6"/>
            <w:tcBorders>
              <w:top w:val="single" w:sz="2" w:space="0" w:color="auto"/>
              <w:left w:val="single" w:sz="2" w:space="0" w:color="auto"/>
              <w:bottom w:val="single" w:sz="2" w:space="0" w:color="auto"/>
              <w:right w:val="single" w:sz="2" w:space="0" w:color="auto"/>
            </w:tcBorders>
          </w:tcPr>
          <w:p w14:paraId="1F8E8418" w14:textId="77777777" w:rsidR="00877D3B" w:rsidRPr="00DE12A3" w:rsidRDefault="00877D3B" w:rsidP="00C917D6">
            <w:pPr>
              <w:widowControl/>
              <w:autoSpaceDE w:val="0"/>
              <w:autoSpaceDN w:val="0"/>
              <w:spacing w:before="120" w:after="120"/>
              <w:jc w:val="center"/>
              <w:rPr>
                <w:rFonts w:eastAsiaTheme="minorEastAsia" w:cs="Times New Roman"/>
                <w:color w:val="auto"/>
                <w:lang w:val="fr-FR"/>
              </w:rPr>
            </w:pPr>
            <w:r w:rsidRPr="00DE12A3">
              <w:rPr>
                <w:rFonts w:eastAsiaTheme="minorEastAsia" w:cs="Times New Roman"/>
                <w:iCs/>
                <w:color w:val="auto"/>
                <w:lang w:val="fr-FR"/>
              </w:rPr>
              <w:lastRenderedPageBreak/>
              <w:t>Tablo 1.3</w:t>
            </w:r>
          </w:p>
        </w:tc>
      </w:tr>
      <w:tr w:rsidR="00DE12A3" w:rsidRPr="00DE12A3" w14:paraId="44BC72B2" w14:textId="77777777" w:rsidTr="00877D3B">
        <w:trPr>
          <w:jc w:val="center"/>
        </w:trPr>
        <w:tc>
          <w:tcPr>
            <w:tcW w:w="9639" w:type="dxa"/>
            <w:gridSpan w:val="6"/>
            <w:tcBorders>
              <w:top w:val="single" w:sz="2" w:space="0" w:color="auto"/>
              <w:left w:val="single" w:sz="2" w:space="0" w:color="auto"/>
              <w:bottom w:val="single" w:sz="2" w:space="0" w:color="auto"/>
              <w:right w:val="single" w:sz="2" w:space="0" w:color="auto"/>
            </w:tcBorders>
          </w:tcPr>
          <w:p w14:paraId="2DCDA194" w14:textId="1AF4D94A" w:rsidR="00877D3B" w:rsidRPr="00DE12A3" w:rsidRDefault="00877D3B" w:rsidP="00B372C7">
            <w:pPr>
              <w:widowControl/>
              <w:autoSpaceDE w:val="0"/>
              <w:autoSpaceDN w:val="0"/>
              <w:spacing w:before="120" w:after="120"/>
              <w:jc w:val="center"/>
              <w:rPr>
                <w:rFonts w:eastAsiaTheme="minorEastAsia" w:cs="Times New Roman"/>
                <w:color w:val="auto"/>
                <w:lang w:val="fr-FR"/>
              </w:rPr>
            </w:pPr>
            <w:r w:rsidRPr="00DE12A3">
              <w:rPr>
                <w:rFonts w:eastAsiaTheme="minorEastAsia" w:cs="Times New Roman"/>
                <w:b/>
                <w:iCs/>
                <w:color w:val="auto"/>
              </w:rPr>
              <w:t>İki yakıtlı motorların AB tip onayı için gereken asgari test sayısı</w:t>
            </w:r>
          </w:p>
        </w:tc>
      </w:tr>
      <w:tr w:rsidR="00DE12A3" w:rsidRPr="00DE12A3" w14:paraId="504DDD20" w14:textId="77777777" w:rsidTr="00877D3B">
        <w:trPr>
          <w:jc w:val="center"/>
        </w:trPr>
        <w:tc>
          <w:tcPr>
            <w:tcW w:w="1300" w:type="dxa"/>
            <w:vMerge w:val="restart"/>
            <w:tcBorders>
              <w:top w:val="single" w:sz="2" w:space="0" w:color="auto"/>
              <w:left w:val="single" w:sz="2" w:space="0" w:color="auto"/>
              <w:bottom w:val="single" w:sz="2" w:space="0" w:color="auto"/>
              <w:right w:val="single" w:sz="2" w:space="0" w:color="auto"/>
            </w:tcBorders>
          </w:tcPr>
          <w:p w14:paraId="0C88FEE5" w14:textId="77777777" w:rsidR="00877D3B" w:rsidRPr="00DE12A3" w:rsidRDefault="00877D3B" w:rsidP="00C917D6">
            <w:pPr>
              <w:widowControl/>
              <w:autoSpaceDE w:val="0"/>
              <w:autoSpaceDN w:val="0"/>
              <w:spacing w:before="120" w:after="120"/>
              <w:jc w:val="both"/>
              <w:rPr>
                <w:rFonts w:eastAsiaTheme="minorEastAsia" w:cs="Times New Roman"/>
                <w:color w:val="auto"/>
                <w:lang w:val="fr-FR"/>
              </w:rPr>
            </w:pPr>
            <w:r w:rsidRPr="00DE12A3">
              <w:rPr>
                <w:rFonts w:eastAsiaTheme="minorEastAsia" w:cs="Times New Roman"/>
                <w:color w:val="auto"/>
              </w:rPr>
              <w:t>Çift yakıtlı tip</w:t>
            </w:r>
          </w:p>
        </w:tc>
        <w:tc>
          <w:tcPr>
            <w:tcW w:w="1579" w:type="dxa"/>
            <w:vMerge w:val="restart"/>
            <w:tcBorders>
              <w:top w:val="single" w:sz="2" w:space="0" w:color="auto"/>
              <w:left w:val="single" w:sz="2" w:space="0" w:color="auto"/>
              <w:bottom w:val="single" w:sz="2" w:space="0" w:color="auto"/>
              <w:right w:val="single" w:sz="2" w:space="0" w:color="auto"/>
            </w:tcBorders>
          </w:tcPr>
          <w:p w14:paraId="7EA73DB3" w14:textId="77777777" w:rsidR="00877D3B" w:rsidRPr="00DE12A3" w:rsidRDefault="00877D3B" w:rsidP="00C917D6">
            <w:pPr>
              <w:widowControl/>
              <w:autoSpaceDE w:val="0"/>
              <w:autoSpaceDN w:val="0"/>
              <w:spacing w:before="120" w:after="120"/>
              <w:jc w:val="both"/>
              <w:rPr>
                <w:rFonts w:eastAsiaTheme="minorEastAsia" w:cs="Times New Roman"/>
                <w:color w:val="auto"/>
                <w:lang w:val="fr-FR"/>
              </w:rPr>
            </w:pPr>
            <w:r w:rsidRPr="00DE12A3">
              <w:rPr>
                <w:rFonts w:eastAsiaTheme="minorEastAsia" w:cs="Times New Roman"/>
                <w:color w:val="auto"/>
              </w:rPr>
              <w:t>Sıvı yakıt modu</w:t>
            </w:r>
          </w:p>
        </w:tc>
        <w:tc>
          <w:tcPr>
            <w:tcW w:w="6760" w:type="dxa"/>
            <w:gridSpan w:val="4"/>
            <w:tcBorders>
              <w:top w:val="single" w:sz="2" w:space="0" w:color="auto"/>
              <w:left w:val="single" w:sz="2" w:space="0" w:color="auto"/>
              <w:bottom w:val="single" w:sz="2" w:space="0" w:color="auto"/>
              <w:right w:val="single" w:sz="2" w:space="0" w:color="auto"/>
            </w:tcBorders>
          </w:tcPr>
          <w:p w14:paraId="70F70A2A" w14:textId="77777777" w:rsidR="00877D3B" w:rsidRPr="00DE12A3" w:rsidRDefault="00877D3B" w:rsidP="00C917D6">
            <w:pPr>
              <w:widowControl/>
              <w:autoSpaceDE w:val="0"/>
              <w:autoSpaceDN w:val="0"/>
              <w:spacing w:before="120" w:after="120"/>
              <w:jc w:val="both"/>
              <w:rPr>
                <w:rFonts w:eastAsiaTheme="minorEastAsia" w:cs="Times New Roman"/>
                <w:color w:val="auto"/>
                <w:lang w:val="fr-FR"/>
              </w:rPr>
            </w:pPr>
            <w:r w:rsidRPr="00DE12A3">
              <w:rPr>
                <w:rFonts w:eastAsiaTheme="minorEastAsia" w:cs="Times New Roman"/>
                <w:color w:val="auto"/>
              </w:rPr>
              <w:t>Çift yakıt modu</w:t>
            </w:r>
          </w:p>
        </w:tc>
      </w:tr>
      <w:tr w:rsidR="00DE12A3" w:rsidRPr="00DE12A3" w14:paraId="30A3E135" w14:textId="77777777" w:rsidTr="00877D3B">
        <w:trPr>
          <w:jc w:val="center"/>
        </w:trPr>
        <w:tc>
          <w:tcPr>
            <w:tcW w:w="1300" w:type="dxa"/>
            <w:vMerge/>
            <w:tcBorders>
              <w:top w:val="single" w:sz="2" w:space="0" w:color="auto"/>
              <w:left w:val="single" w:sz="2" w:space="0" w:color="auto"/>
              <w:bottom w:val="single" w:sz="2" w:space="0" w:color="auto"/>
              <w:right w:val="single" w:sz="2" w:space="0" w:color="auto"/>
            </w:tcBorders>
          </w:tcPr>
          <w:p w14:paraId="5628F5CE" w14:textId="77777777" w:rsidR="00877D3B" w:rsidRPr="00DE12A3" w:rsidRDefault="00877D3B" w:rsidP="00C917D6">
            <w:pPr>
              <w:widowControl/>
              <w:autoSpaceDE w:val="0"/>
              <w:autoSpaceDN w:val="0"/>
              <w:adjustRightInd w:val="0"/>
              <w:spacing w:before="120" w:after="120"/>
              <w:jc w:val="both"/>
              <w:rPr>
                <w:rFonts w:eastAsiaTheme="minorEastAsia" w:cs="Times New Roman"/>
                <w:color w:val="auto"/>
              </w:rPr>
            </w:pPr>
          </w:p>
        </w:tc>
        <w:tc>
          <w:tcPr>
            <w:tcW w:w="1579" w:type="dxa"/>
            <w:vMerge/>
            <w:tcBorders>
              <w:top w:val="single" w:sz="2" w:space="0" w:color="auto"/>
              <w:left w:val="single" w:sz="2" w:space="0" w:color="auto"/>
              <w:bottom w:val="single" w:sz="2" w:space="0" w:color="auto"/>
              <w:right w:val="single" w:sz="2" w:space="0" w:color="auto"/>
            </w:tcBorders>
          </w:tcPr>
          <w:p w14:paraId="7C6AD03A" w14:textId="77777777" w:rsidR="00877D3B" w:rsidRPr="00DE12A3" w:rsidRDefault="00877D3B" w:rsidP="00C917D6">
            <w:pPr>
              <w:widowControl/>
              <w:autoSpaceDE w:val="0"/>
              <w:autoSpaceDN w:val="0"/>
              <w:adjustRightInd w:val="0"/>
              <w:spacing w:before="120" w:after="120"/>
              <w:jc w:val="both"/>
              <w:rPr>
                <w:rFonts w:eastAsiaTheme="minorEastAsia" w:cs="Times New Roman"/>
                <w:color w:val="auto"/>
              </w:rPr>
            </w:pPr>
          </w:p>
        </w:tc>
        <w:tc>
          <w:tcPr>
            <w:tcW w:w="1578" w:type="dxa"/>
            <w:tcBorders>
              <w:top w:val="single" w:sz="2" w:space="0" w:color="auto"/>
              <w:left w:val="single" w:sz="2" w:space="0" w:color="auto"/>
              <w:bottom w:val="single" w:sz="2" w:space="0" w:color="auto"/>
              <w:right w:val="single" w:sz="2" w:space="0" w:color="auto"/>
            </w:tcBorders>
          </w:tcPr>
          <w:p w14:paraId="28C32C98" w14:textId="77777777" w:rsidR="00877D3B" w:rsidRPr="00DE12A3" w:rsidRDefault="00877D3B" w:rsidP="00C917D6">
            <w:pPr>
              <w:widowControl/>
              <w:autoSpaceDE w:val="0"/>
              <w:autoSpaceDN w:val="0"/>
              <w:spacing w:before="120" w:after="120"/>
              <w:jc w:val="both"/>
              <w:rPr>
                <w:rFonts w:eastAsiaTheme="minorEastAsia" w:cs="Times New Roman"/>
                <w:color w:val="auto"/>
                <w:lang w:val="fr-FR"/>
              </w:rPr>
            </w:pPr>
            <w:r w:rsidRPr="00DE12A3">
              <w:rPr>
                <w:rFonts w:eastAsiaTheme="minorEastAsia" w:cs="Times New Roman"/>
                <w:color w:val="auto"/>
                <w:lang w:val="fr-FR"/>
              </w:rPr>
              <w:t>CNG</w:t>
            </w:r>
          </w:p>
        </w:tc>
        <w:tc>
          <w:tcPr>
            <w:tcW w:w="1486" w:type="dxa"/>
            <w:tcBorders>
              <w:top w:val="single" w:sz="2" w:space="0" w:color="auto"/>
              <w:left w:val="single" w:sz="2" w:space="0" w:color="auto"/>
              <w:bottom w:val="single" w:sz="2" w:space="0" w:color="auto"/>
              <w:right w:val="single" w:sz="2" w:space="0" w:color="auto"/>
            </w:tcBorders>
          </w:tcPr>
          <w:p w14:paraId="62928FDE" w14:textId="77777777" w:rsidR="00877D3B" w:rsidRPr="00DE12A3" w:rsidRDefault="00877D3B" w:rsidP="00C917D6">
            <w:pPr>
              <w:widowControl/>
              <w:autoSpaceDE w:val="0"/>
              <w:autoSpaceDN w:val="0"/>
              <w:spacing w:before="120" w:after="120"/>
              <w:jc w:val="both"/>
              <w:rPr>
                <w:rFonts w:eastAsiaTheme="minorEastAsia" w:cs="Times New Roman"/>
                <w:color w:val="auto"/>
                <w:lang w:val="fr-FR"/>
              </w:rPr>
            </w:pPr>
            <w:r w:rsidRPr="00DE12A3">
              <w:rPr>
                <w:rFonts w:eastAsiaTheme="minorEastAsia" w:cs="Times New Roman"/>
                <w:color w:val="auto"/>
                <w:lang w:val="fr-FR"/>
              </w:rPr>
              <w:t>LNG</w:t>
            </w:r>
          </w:p>
        </w:tc>
        <w:tc>
          <w:tcPr>
            <w:tcW w:w="1764" w:type="dxa"/>
            <w:tcBorders>
              <w:top w:val="single" w:sz="2" w:space="0" w:color="auto"/>
              <w:left w:val="single" w:sz="2" w:space="0" w:color="auto"/>
              <w:bottom w:val="single" w:sz="2" w:space="0" w:color="auto"/>
              <w:right w:val="single" w:sz="2" w:space="0" w:color="auto"/>
            </w:tcBorders>
          </w:tcPr>
          <w:p w14:paraId="2BA630E2" w14:textId="77777777" w:rsidR="00877D3B" w:rsidRPr="00DE12A3" w:rsidRDefault="00877D3B" w:rsidP="00C917D6">
            <w:pPr>
              <w:widowControl/>
              <w:autoSpaceDE w:val="0"/>
              <w:autoSpaceDN w:val="0"/>
              <w:spacing w:before="120" w:after="120"/>
              <w:jc w:val="both"/>
              <w:rPr>
                <w:rFonts w:eastAsiaTheme="minorEastAsia" w:cs="Times New Roman"/>
                <w:color w:val="auto"/>
                <w:lang w:val="fr-FR"/>
              </w:rPr>
            </w:pPr>
            <w:r w:rsidRPr="00DE12A3">
              <w:rPr>
                <w:rFonts w:eastAsiaTheme="minorEastAsia" w:cs="Times New Roman"/>
                <w:color w:val="auto"/>
                <w:lang w:val="fr-FR"/>
              </w:rPr>
              <w:t>LNG</w:t>
            </w:r>
            <w:r w:rsidRPr="00DE12A3">
              <w:rPr>
                <w:rFonts w:eastAsiaTheme="minorEastAsia" w:cs="Times New Roman"/>
                <w:color w:val="auto"/>
                <w:vertAlign w:val="subscript"/>
                <w:lang w:val="fr-FR"/>
              </w:rPr>
              <w:t>20</w:t>
            </w:r>
          </w:p>
        </w:tc>
        <w:tc>
          <w:tcPr>
            <w:tcW w:w="1932" w:type="dxa"/>
            <w:tcBorders>
              <w:top w:val="single" w:sz="2" w:space="0" w:color="auto"/>
              <w:left w:val="single" w:sz="2" w:space="0" w:color="auto"/>
              <w:bottom w:val="single" w:sz="2" w:space="0" w:color="auto"/>
              <w:right w:val="single" w:sz="2" w:space="0" w:color="auto"/>
            </w:tcBorders>
          </w:tcPr>
          <w:p w14:paraId="21AE23E6" w14:textId="77777777" w:rsidR="00877D3B" w:rsidRPr="00DE12A3" w:rsidRDefault="00877D3B" w:rsidP="00C917D6">
            <w:pPr>
              <w:widowControl/>
              <w:autoSpaceDE w:val="0"/>
              <w:autoSpaceDN w:val="0"/>
              <w:spacing w:before="120" w:after="120"/>
              <w:jc w:val="both"/>
              <w:rPr>
                <w:rFonts w:eastAsiaTheme="minorEastAsia" w:cs="Times New Roman"/>
                <w:color w:val="auto"/>
                <w:lang w:val="fr-FR"/>
              </w:rPr>
            </w:pPr>
            <w:r w:rsidRPr="00DE12A3">
              <w:rPr>
                <w:rFonts w:eastAsiaTheme="minorEastAsia" w:cs="Times New Roman"/>
                <w:color w:val="auto"/>
                <w:lang w:val="fr-FR"/>
              </w:rPr>
              <w:t>LPG</w:t>
            </w:r>
          </w:p>
        </w:tc>
      </w:tr>
      <w:tr w:rsidR="00DE12A3" w:rsidRPr="00DE12A3" w14:paraId="30040857" w14:textId="77777777" w:rsidTr="00877D3B">
        <w:trPr>
          <w:jc w:val="center"/>
        </w:trPr>
        <w:tc>
          <w:tcPr>
            <w:tcW w:w="1300" w:type="dxa"/>
            <w:tcBorders>
              <w:top w:val="single" w:sz="2" w:space="0" w:color="auto"/>
              <w:left w:val="single" w:sz="2" w:space="0" w:color="auto"/>
              <w:bottom w:val="single" w:sz="2" w:space="0" w:color="auto"/>
              <w:right w:val="single" w:sz="2" w:space="0" w:color="auto"/>
            </w:tcBorders>
          </w:tcPr>
          <w:p w14:paraId="1A038001" w14:textId="77777777" w:rsidR="00877D3B" w:rsidRPr="00DE12A3" w:rsidRDefault="00877D3B" w:rsidP="00C917D6">
            <w:pPr>
              <w:widowControl/>
              <w:autoSpaceDE w:val="0"/>
              <w:autoSpaceDN w:val="0"/>
              <w:spacing w:before="120" w:after="120"/>
              <w:jc w:val="both"/>
              <w:rPr>
                <w:rFonts w:eastAsiaTheme="minorEastAsia" w:cs="Times New Roman"/>
                <w:color w:val="auto"/>
                <w:lang w:val="fr-FR"/>
              </w:rPr>
            </w:pPr>
            <w:r w:rsidRPr="00DE12A3">
              <w:rPr>
                <w:rFonts w:eastAsiaTheme="minorEastAsia" w:cs="Times New Roman"/>
                <w:color w:val="auto"/>
                <w:lang w:val="fr-FR"/>
              </w:rPr>
              <w:t>1A</w:t>
            </w:r>
          </w:p>
        </w:tc>
        <w:tc>
          <w:tcPr>
            <w:tcW w:w="1579" w:type="dxa"/>
            <w:tcBorders>
              <w:top w:val="single" w:sz="2" w:space="0" w:color="auto"/>
              <w:left w:val="single" w:sz="2" w:space="0" w:color="auto"/>
              <w:bottom w:val="single" w:sz="2" w:space="0" w:color="auto"/>
              <w:right w:val="single" w:sz="2" w:space="0" w:color="auto"/>
            </w:tcBorders>
          </w:tcPr>
          <w:p w14:paraId="1352605C" w14:textId="77777777" w:rsidR="00877D3B" w:rsidRPr="00DE12A3" w:rsidRDefault="00877D3B" w:rsidP="00C917D6">
            <w:pPr>
              <w:widowControl/>
              <w:autoSpaceDE w:val="0"/>
              <w:autoSpaceDN w:val="0"/>
              <w:spacing w:before="120" w:after="120"/>
              <w:jc w:val="both"/>
              <w:rPr>
                <w:rFonts w:eastAsiaTheme="minorEastAsia" w:cs="Times New Roman"/>
                <w:color w:val="auto"/>
                <w:lang w:val="fr-FR"/>
              </w:rPr>
            </w:pPr>
          </w:p>
        </w:tc>
        <w:tc>
          <w:tcPr>
            <w:tcW w:w="1578" w:type="dxa"/>
            <w:tcBorders>
              <w:top w:val="single" w:sz="2" w:space="0" w:color="auto"/>
              <w:left w:val="single" w:sz="2" w:space="0" w:color="auto"/>
              <w:bottom w:val="single" w:sz="2" w:space="0" w:color="auto"/>
              <w:right w:val="single" w:sz="2" w:space="0" w:color="auto"/>
            </w:tcBorders>
          </w:tcPr>
          <w:p w14:paraId="5A477386" w14:textId="77777777" w:rsidR="00877D3B" w:rsidRPr="00DE12A3" w:rsidRDefault="00877D3B" w:rsidP="00C917D6">
            <w:pPr>
              <w:widowControl/>
              <w:autoSpaceDE w:val="0"/>
              <w:autoSpaceDN w:val="0"/>
              <w:spacing w:before="120" w:after="120"/>
              <w:jc w:val="both"/>
              <w:rPr>
                <w:rFonts w:eastAsiaTheme="minorEastAsia" w:cs="Times New Roman"/>
                <w:color w:val="auto"/>
              </w:rPr>
            </w:pPr>
            <w:r w:rsidRPr="00DE12A3">
              <w:rPr>
                <w:rFonts w:eastAsiaTheme="minorEastAsia" w:cs="Times New Roman"/>
                <w:color w:val="auto"/>
              </w:rPr>
              <w:t xml:space="preserve">Evrensel veya sınırlı </w:t>
            </w:r>
          </w:p>
          <w:p w14:paraId="0227CE2D" w14:textId="77777777" w:rsidR="00877D3B" w:rsidRPr="00DE12A3" w:rsidRDefault="00877D3B" w:rsidP="00C917D6">
            <w:pPr>
              <w:widowControl/>
              <w:autoSpaceDE w:val="0"/>
              <w:autoSpaceDN w:val="0"/>
              <w:spacing w:before="120" w:after="120"/>
              <w:jc w:val="both"/>
              <w:rPr>
                <w:rFonts w:eastAsiaTheme="minorEastAsia" w:cs="Times New Roman"/>
                <w:color w:val="auto"/>
                <w:lang w:val="fr-FR"/>
              </w:rPr>
            </w:pPr>
            <w:r w:rsidRPr="00DE12A3">
              <w:rPr>
                <w:rFonts w:eastAsiaTheme="minorEastAsia" w:cs="Times New Roman"/>
                <w:color w:val="auto"/>
              </w:rPr>
              <w:t>(2 test)</w:t>
            </w:r>
          </w:p>
        </w:tc>
        <w:tc>
          <w:tcPr>
            <w:tcW w:w="1486" w:type="dxa"/>
            <w:tcBorders>
              <w:top w:val="single" w:sz="2" w:space="0" w:color="auto"/>
              <w:left w:val="single" w:sz="2" w:space="0" w:color="auto"/>
              <w:bottom w:val="single" w:sz="2" w:space="0" w:color="auto"/>
              <w:right w:val="single" w:sz="2" w:space="0" w:color="auto"/>
            </w:tcBorders>
          </w:tcPr>
          <w:p w14:paraId="4C1D3671" w14:textId="77777777" w:rsidR="00877D3B" w:rsidRPr="00DE12A3" w:rsidRDefault="00877D3B" w:rsidP="00C917D6">
            <w:pPr>
              <w:widowControl/>
              <w:autoSpaceDE w:val="0"/>
              <w:autoSpaceDN w:val="0"/>
              <w:spacing w:before="120" w:after="120"/>
              <w:jc w:val="both"/>
              <w:rPr>
                <w:rFonts w:eastAsiaTheme="minorEastAsia" w:cs="Times New Roman"/>
                <w:color w:val="auto"/>
              </w:rPr>
            </w:pPr>
            <w:r w:rsidRPr="00DE12A3">
              <w:rPr>
                <w:rFonts w:eastAsiaTheme="minorEastAsia" w:cs="Times New Roman"/>
                <w:color w:val="auto"/>
              </w:rPr>
              <w:t xml:space="preserve">Evrensel </w:t>
            </w:r>
          </w:p>
          <w:p w14:paraId="17BE5955" w14:textId="77777777" w:rsidR="00877D3B" w:rsidRPr="00DE12A3" w:rsidRDefault="00877D3B" w:rsidP="00C917D6">
            <w:pPr>
              <w:widowControl/>
              <w:autoSpaceDE w:val="0"/>
              <w:autoSpaceDN w:val="0"/>
              <w:spacing w:before="120" w:after="120"/>
              <w:jc w:val="both"/>
              <w:rPr>
                <w:rFonts w:eastAsiaTheme="minorEastAsia" w:cs="Times New Roman"/>
                <w:color w:val="auto"/>
                <w:lang w:val="fr-FR"/>
              </w:rPr>
            </w:pPr>
            <w:r w:rsidRPr="00DE12A3">
              <w:rPr>
                <w:rFonts w:eastAsiaTheme="minorEastAsia" w:cs="Times New Roman"/>
                <w:color w:val="auto"/>
              </w:rPr>
              <w:t>(2 test)</w:t>
            </w:r>
          </w:p>
        </w:tc>
        <w:tc>
          <w:tcPr>
            <w:tcW w:w="1764" w:type="dxa"/>
            <w:tcBorders>
              <w:top w:val="single" w:sz="2" w:space="0" w:color="auto"/>
              <w:left w:val="single" w:sz="2" w:space="0" w:color="auto"/>
              <w:bottom w:val="single" w:sz="2" w:space="0" w:color="auto"/>
              <w:right w:val="single" w:sz="2" w:space="0" w:color="auto"/>
            </w:tcBorders>
          </w:tcPr>
          <w:p w14:paraId="7C75D8E8" w14:textId="77777777" w:rsidR="00877D3B" w:rsidRPr="00DE12A3" w:rsidRDefault="00877D3B" w:rsidP="00C917D6">
            <w:pPr>
              <w:widowControl/>
              <w:autoSpaceDE w:val="0"/>
              <w:autoSpaceDN w:val="0"/>
              <w:spacing w:before="120" w:after="120"/>
              <w:jc w:val="both"/>
              <w:rPr>
                <w:rFonts w:eastAsiaTheme="minorEastAsia" w:cs="Times New Roman"/>
                <w:color w:val="auto"/>
              </w:rPr>
            </w:pPr>
            <w:r w:rsidRPr="00DE12A3">
              <w:rPr>
                <w:rFonts w:eastAsiaTheme="minorEastAsia" w:cs="Times New Roman"/>
                <w:color w:val="auto"/>
              </w:rPr>
              <w:t xml:space="preserve">Yakıta özgü </w:t>
            </w:r>
          </w:p>
          <w:p w14:paraId="500F43FA" w14:textId="77777777" w:rsidR="00877D3B" w:rsidRPr="00DE12A3" w:rsidRDefault="00877D3B" w:rsidP="00C917D6">
            <w:pPr>
              <w:widowControl/>
              <w:autoSpaceDE w:val="0"/>
              <w:autoSpaceDN w:val="0"/>
              <w:spacing w:before="120" w:after="120"/>
              <w:jc w:val="both"/>
              <w:rPr>
                <w:rFonts w:eastAsiaTheme="minorEastAsia" w:cs="Times New Roman"/>
                <w:color w:val="auto"/>
                <w:lang w:val="fr-FR"/>
              </w:rPr>
            </w:pPr>
            <w:r w:rsidRPr="00DE12A3">
              <w:rPr>
                <w:rFonts w:eastAsiaTheme="minorEastAsia" w:cs="Times New Roman"/>
                <w:color w:val="auto"/>
              </w:rPr>
              <w:t>(1 test)</w:t>
            </w:r>
          </w:p>
        </w:tc>
        <w:tc>
          <w:tcPr>
            <w:tcW w:w="1932" w:type="dxa"/>
            <w:tcBorders>
              <w:top w:val="single" w:sz="2" w:space="0" w:color="auto"/>
              <w:left w:val="single" w:sz="2" w:space="0" w:color="auto"/>
              <w:bottom w:val="single" w:sz="2" w:space="0" w:color="auto"/>
              <w:right w:val="single" w:sz="2" w:space="0" w:color="auto"/>
            </w:tcBorders>
          </w:tcPr>
          <w:p w14:paraId="74AFA5DC" w14:textId="77777777" w:rsidR="00877D3B" w:rsidRPr="00DE12A3" w:rsidRDefault="00877D3B" w:rsidP="00C917D6">
            <w:pPr>
              <w:widowControl/>
              <w:autoSpaceDE w:val="0"/>
              <w:autoSpaceDN w:val="0"/>
              <w:spacing w:before="120" w:after="120"/>
              <w:jc w:val="both"/>
              <w:rPr>
                <w:rFonts w:eastAsiaTheme="minorEastAsia" w:cs="Times New Roman"/>
                <w:color w:val="auto"/>
              </w:rPr>
            </w:pPr>
            <w:r w:rsidRPr="00DE12A3">
              <w:rPr>
                <w:rFonts w:eastAsiaTheme="minorEastAsia" w:cs="Times New Roman"/>
                <w:color w:val="auto"/>
              </w:rPr>
              <w:t xml:space="preserve">Evrensel veya sınırlı </w:t>
            </w:r>
          </w:p>
          <w:p w14:paraId="117AD32C" w14:textId="77777777" w:rsidR="00877D3B" w:rsidRPr="00DE12A3" w:rsidRDefault="00877D3B" w:rsidP="00C917D6">
            <w:pPr>
              <w:widowControl/>
              <w:autoSpaceDE w:val="0"/>
              <w:autoSpaceDN w:val="0"/>
              <w:spacing w:before="120" w:after="120"/>
              <w:jc w:val="both"/>
              <w:rPr>
                <w:rFonts w:eastAsiaTheme="minorEastAsia" w:cs="Times New Roman"/>
                <w:color w:val="auto"/>
                <w:lang w:val="fr-FR"/>
              </w:rPr>
            </w:pPr>
            <w:r w:rsidRPr="00DE12A3">
              <w:rPr>
                <w:rFonts w:eastAsiaTheme="minorEastAsia" w:cs="Times New Roman"/>
                <w:color w:val="auto"/>
              </w:rPr>
              <w:t>(2 test)</w:t>
            </w:r>
          </w:p>
        </w:tc>
      </w:tr>
      <w:tr w:rsidR="00DE12A3" w:rsidRPr="00DE12A3" w14:paraId="20AA6FC1" w14:textId="77777777" w:rsidTr="00877D3B">
        <w:trPr>
          <w:jc w:val="center"/>
        </w:trPr>
        <w:tc>
          <w:tcPr>
            <w:tcW w:w="1300" w:type="dxa"/>
            <w:tcBorders>
              <w:top w:val="single" w:sz="2" w:space="0" w:color="auto"/>
              <w:left w:val="single" w:sz="2" w:space="0" w:color="auto"/>
              <w:bottom w:val="single" w:sz="2" w:space="0" w:color="auto"/>
              <w:right w:val="single" w:sz="2" w:space="0" w:color="auto"/>
            </w:tcBorders>
          </w:tcPr>
          <w:p w14:paraId="25C0C4C7" w14:textId="77777777" w:rsidR="00877D3B" w:rsidRPr="00DE12A3" w:rsidRDefault="00877D3B" w:rsidP="00C917D6">
            <w:pPr>
              <w:widowControl/>
              <w:autoSpaceDE w:val="0"/>
              <w:autoSpaceDN w:val="0"/>
              <w:spacing w:before="120" w:after="120"/>
              <w:jc w:val="both"/>
              <w:rPr>
                <w:rFonts w:eastAsiaTheme="minorEastAsia" w:cs="Times New Roman"/>
                <w:color w:val="auto"/>
                <w:lang w:val="fr-FR"/>
              </w:rPr>
            </w:pPr>
            <w:r w:rsidRPr="00DE12A3">
              <w:rPr>
                <w:rFonts w:eastAsiaTheme="minorEastAsia" w:cs="Times New Roman"/>
                <w:color w:val="auto"/>
                <w:lang w:val="fr-FR"/>
              </w:rPr>
              <w:t>1B</w:t>
            </w:r>
          </w:p>
        </w:tc>
        <w:tc>
          <w:tcPr>
            <w:tcW w:w="1579" w:type="dxa"/>
            <w:tcBorders>
              <w:top w:val="single" w:sz="2" w:space="0" w:color="auto"/>
              <w:left w:val="single" w:sz="2" w:space="0" w:color="auto"/>
              <w:bottom w:val="single" w:sz="2" w:space="0" w:color="auto"/>
              <w:right w:val="single" w:sz="2" w:space="0" w:color="auto"/>
            </w:tcBorders>
          </w:tcPr>
          <w:p w14:paraId="6F49D198" w14:textId="77777777" w:rsidR="00877D3B" w:rsidRPr="00DE12A3" w:rsidRDefault="00877D3B" w:rsidP="00C917D6">
            <w:pPr>
              <w:widowControl/>
              <w:autoSpaceDE w:val="0"/>
              <w:autoSpaceDN w:val="0"/>
              <w:spacing w:before="120" w:after="120"/>
              <w:jc w:val="both"/>
              <w:rPr>
                <w:rFonts w:eastAsiaTheme="minorEastAsia" w:cs="Times New Roman"/>
                <w:color w:val="auto"/>
                <w:lang w:val="fr-FR"/>
              </w:rPr>
            </w:pPr>
            <w:r w:rsidRPr="00DE12A3">
              <w:rPr>
                <w:rFonts w:eastAsiaTheme="minorEastAsia" w:cs="Times New Roman"/>
                <w:color w:val="auto"/>
                <w:lang w:val="fr-FR"/>
              </w:rPr>
              <w:t>Universal</w:t>
            </w:r>
          </w:p>
          <w:p w14:paraId="7DFAA31C" w14:textId="77777777" w:rsidR="00877D3B" w:rsidRPr="00DE12A3" w:rsidRDefault="00877D3B" w:rsidP="00C917D6">
            <w:pPr>
              <w:widowControl/>
              <w:autoSpaceDE w:val="0"/>
              <w:autoSpaceDN w:val="0"/>
              <w:spacing w:before="120" w:after="120"/>
              <w:jc w:val="both"/>
              <w:rPr>
                <w:rFonts w:eastAsiaTheme="minorEastAsia" w:cs="Times New Roman"/>
                <w:color w:val="auto"/>
                <w:lang w:val="fr-FR"/>
              </w:rPr>
            </w:pPr>
            <w:r w:rsidRPr="00DE12A3">
              <w:rPr>
                <w:rFonts w:eastAsiaTheme="minorEastAsia" w:cs="Times New Roman"/>
                <w:color w:val="auto"/>
                <w:lang w:val="fr-FR"/>
              </w:rPr>
              <w:t>(1 test)</w:t>
            </w:r>
          </w:p>
        </w:tc>
        <w:tc>
          <w:tcPr>
            <w:tcW w:w="1578" w:type="dxa"/>
            <w:tcBorders>
              <w:top w:val="single" w:sz="2" w:space="0" w:color="auto"/>
              <w:left w:val="single" w:sz="2" w:space="0" w:color="auto"/>
              <w:bottom w:val="single" w:sz="2" w:space="0" w:color="auto"/>
              <w:right w:val="single" w:sz="2" w:space="0" w:color="auto"/>
            </w:tcBorders>
          </w:tcPr>
          <w:p w14:paraId="135062C9" w14:textId="77777777" w:rsidR="00877D3B" w:rsidRPr="00DE12A3" w:rsidRDefault="00877D3B" w:rsidP="00C917D6">
            <w:pPr>
              <w:widowControl/>
              <w:autoSpaceDE w:val="0"/>
              <w:autoSpaceDN w:val="0"/>
              <w:spacing w:before="120" w:after="120"/>
              <w:jc w:val="both"/>
              <w:rPr>
                <w:rFonts w:eastAsiaTheme="minorEastAsia" w:cs="Times New Roman"/>
                <w:color w:val="auto"/>
              </w:rPr>
            </w:pPr>
            <w:r w:rsidRPr="00DE12A3">
              <w:rPr>
                <w:rFonts w:eastAsiaTheme="minorEastAsia" w:cs="Times New Roman"/>
                <w:color w:val="auto"/>
              </w:rPr>
              <w:t xml:space="preserve">Evrensel veya sınırlı </w:t>
            </w:r>
          </w:p>
          <w:p w14:paraId="0DEA6501" w14:textId="77777777" w:rsidR="00877D3B" w:rsidRPr="00DE12A3" w:rsidRDefault="00877D3B" w:rsidP="00C917D6">
            <w:pPr>
              <w:widowControl/>
              <w:autoSpaceDE w:val="0"/>
              <w:autoSpaceDN w:val="0"/>
              <w:spacing w:before="120" w:after="120"/>
              <w:jc w:val="both"/>
              <w:rPr>
                <w:rFonts w:eastAsiaTheme="minorEastAsia" w:cs="Times New Roman"/>
                <w:color w:val="auto"/>
                <w:lang w:val="fr-FR"/>
              </w:rPr>
            </w:pPr>
            <w:r w:rsidRPr="00DE12A3">
              <w:rPr>
                <w:rFonts w:eastAsiaTheme="minorEastAsia" w:cs="Times New Roman"/>
                <w:color w:val="auto"/>
              </w:rPr>
              <w:t>(2 test)</w:t>
            </w:r>
          </w:p>
        </w:tc>
        <w:tc>
          <w:tcPr>
            <w:tcW w:w="1486" w:type="dxa"/>
            <w:tcBorders>
              <w:top w:val="single" w:sz="2" w:space="0" w:color="auto"/>
              <w:left w:val="single" w:sz="2" w:space="0" w:color="auto"/>
              <w:bottom w:val="single" w:sz="2" w:space="0" w:color="auto"/>
              <w:right w:val="single" w:sz="2" w:space="0" w:color="auto"/>
            </w:tcBorders>
          </w:tcPr>
          <w:p w14:paraId="7431A2BD" w14:textId="77777777" w:rsidR="00877D3B" w:rsidRPr="00DE12A3" w:rsidRDefault="00877D3B" w:rsidP="00C917D6">
            <w:pPr>
              <w:widowControl/>
              <w:autoSpaceDE w:val="0"/>
              <w:autoSpaceDN w:val="0"/>
              <w:spacing w:before="120" w:after="120"/>
              <w:jc w:val="both"/>
              <w:rPr>
                <w:rFonts w:eastAsiaTheme="minorEastAsia" w:cs="Times New Roman"/>
                <w:color w:val="auto"/>
              </w:rPr>
            </w:pPr>
            <w:r w:rsidRPr="00DE12A3">
              <w:rPr>
                <w:rFonts w:eastAsiaTheme="minorEastAsia" w:cs="Times New Roman"/>
                <w:color w:val="auto"/>
              </w:rPr>
              <w:t xml:space="preserve">Evrensel </w:t>
            </w:r>
          </w:p>
          <w:p w14:paraId="2F3D2286" w14:textId="77777777" w:rsidR="00877D3B" w:rsidRPr="00DE12A3" w:rsidRDefault="00877D3B" w:rsidP="00C917D6">
            <w:pPr>
              <w:widowControl/>
              <w:autoSpaceDE w:val="0"/>
              <w:autoSpaceDN w:val="0"/>
              <w:spacing w:before="120" w:after="120"/>
              <w:jc w:val="both"/>
              <w:rPr>
                <w:rFonts w:eastAsiaTheme="minorEastAsia" w:cs="Times New Roman"/>
                <w:color w:val="auto"/>
                <w:lang w:val="fr-FR"/>
              </w:rPr>
            </w:pPr>
            <w:r w:rsidRPr="00DE12A3">
              <w:rPr>
                <w:rFonts w:eastAsiaTheme="minorEastAsia" w:cs="Times New Roman"/>
                <w:color w:val="auto"/>
              </w:rPr>
              <w:t>(2 test)</w:t>
            </w:r>
          </w:p>
        </w:tc>
        <w:tc>
          <w:tcPr>
            <w:tcW w:w="1764" w:type="dxa"/>
            <w:tcBorders>
              <w:top w:val="single" w:sz="2" w:space="0" w:color="auto"/>
              <w:left w:val="single" w:sz="2" w:space="0" w:color="auto"/>
              <w:bottom w:val="single" w:sz="2" w:space="0" w:color="auto"/>
              <w:right w:val="single" w:sz="2" w:space="0" w:color="auto"/>
            </w:tcBorders>
          </w:tcPr>
          <w:p w14:paraId="57623DE1" w14:textId="77777777" w:rsidR="00877D3B" w:rsidRPr="00DE12A3" w:rsidRDefault="00877D3B" w:rsidP="00C917D6">
            <w:pPr>
              <w:widowControl/>
              <w:autoSpaceDE w:val="0"/>
              <w:autoSpaceDN w:val="0"/>
              <w:spacing w:before="120" w:after="120"/>
              <w:jc w:val="both"/>
              <w:rPr>
                <w:rFonts w:eastAsiaTheme="minorEastAsia" w:cs="Times New Roman"/>
                <w:color w:val="auto"/>
              </w:rPr>
            </w:pPr>
            <w:r w:rsidRPr="00DE12A3">
              <w:rPr>
                <w:rFonts w:eastAsiaTheme="minorEastAsia" w:cs="Times New Roman"/>
                <w:color w:val="auto"/>
              </w:rPr>
              <w:t xml:space="preserve">Yakıta özgü </w:t>
            </w:r>
          </w:p>
          <w:p w14:paraId="6EECBA5A" w14:textId="77777777" w:rsidR="00877D3B" w:rsidRPr="00DE12A3" w:rsidRDefault="00877D3B" w:rsidP="00C917D6">
            <w:pPr>
              <w:widowControl/>
              <w:autoSpaceDE w:val="0"/>
              <w:autoSpaceDN w:val="0"/>
              <w:spacing w:before="120" w:after="120"/>
              <w:jc w:val="both"/>
              <w:rPr>
                <w:rFonts w:eastAsiaTheme="minorEastAsia" w:cs="Times New Roman"/>
                <w:color w:val="auto"/>
                <w:lang w:val="fr-FR"/>
              </w:rPr>
            </w:pPr>
            <w:r w:rsidRPr="00DE12A3">
              <w:rPr>
                <w:rFonts w:eastAsiaTheme="minorEastAsia" w:cs="Times New Roman"/>
                <w:color w:val="auto"/>
              </w:rPr>
              <w:t>(1 test)</w:t>
            </w:r>
          </w:p>
        </w:tc>
        <w:tc>
          <w:tcPr>
            <w:tcW w:w="1932" w:type="dxa"/>
            <w:tcBorders>
              <w:top w:val="single" w:sz="2" w:space="0" w:color="auto"/>
              <w:left w:val="single" w:sz="2" w:space="0" w:color="auto"/>
              <w:bottom w:val="single" w:sz="2" w:space="0" w:color="auto"/>
              <w:right w:val="single" w:sz="2" w:space="0" w:color="auto"/>
            </w:tcBorders>
          </w:tcPr>
          <w:p w14:paraId="0AB5F1D4" w14:textId="77777777" w:rsidR="00877D3B" w:rsidRPr="00DE12A3" w:rsidRDefault="00877D3B" w:rsidP="00C917D6">
            <w:pPr>
              <w:widowControl/>
              <w:autoSpaceDE w:val="0"/>
              <w:autoSpaceDN w:val="0"/>
              <w:spacing w:before="120" w:after="120"/>
              <w:jc w:val="both"/>
              <w:rPr>
                <w:rFonts w:eastAsiaTheme="minorEastAsia" w:cs="Times New Roman"/>
                <w:color w:val="auto"/>
              </w:rPr>
            </w:pPr>
            <w:r w:rsidRPr="00DE12A3">
              <w:rPr>
                <w:rFonts w:eastAsiaTheme="minorEastAsia" w:cs="Times New Roman"/>
                <w:color w:val="auto"/>
              </w:rPr>
              <w:t xml:space="preserve">Evrensel veya sınırlı </w:t>
            </w:r>
          </w:p>
          <w:p w14:paraId="010B117C" w14:textId="77777777" w:rsidR="00877D3B" w:rsidRPr="00DE12A3" w:rsidRDefault="00877D3B" w:rsidP="00C917D6">
            <w:pPr>
              <w:widowControl/>
              <w:autoSpaceDE w:val="0"/>
              <w:autoSpaceDN w:val="0"/>
              <w:spacing w:before="120" w:after="120"/>
              <w:jc w:val="both"/>
              <w:rPr>
                <w:rFonts w:eastAsiaTheme="minorEastAsia" w:cs="Times New Roman"/>
                <w:color w:val="auto"/>
                <w:lang w:val="fr-FR"/>
              </w:rPr>
            </w:pPr>
            <w:r w:rsidRPr="00DE12A3">
              <w:rPr>
                <w:rFonts w:eastAsiaTheme="minorEastAsia" w:cs="Times New Roman"/>
                <w:color w:val="auto"/>
              </w:rPr>
              <w:t>(2 test)</w:t>
            </w:r>
          </w:p>
        </w:tc>
      </w:tr>
      <w:tr w:rsidR="00DE12A3" w:rsidRPr="00DE12A3" w14:paraId="34E28595" w14:textId="77777777" w:rsidTr="00877D3B">
        <w:trPr>
          <w:jc w:val="center"/>
        </w:trPr>
        <w:tc>
          <w:tcPr>
            <w:tcW w:w="1300" w:type="dxa"/>
            <w:tcBorders>
              <w:top w:val="single" w:sz="2" w:space="0" w:color="auto"/>
              <w:left w:val="single" w:sz="2" w:space="0" w:color="auto"/>
              <w:bottom w:val="single" w:sz="2" w:space="0" w:color="auto"/>
              <w:right w:val="single" w:sz="2" w:space="0" w:color="auto"/>
            </w:tcBorders>
          </w:tcPr>
          <w:p w14:paraId="458E1150" w14:textId="77777777" w:rsidR="00877D3B" w:rsidRPr="00DE12A3" w:rsidRDefault="00877D3B" w:rsidP="00C917D6">
            <w:pPr>
              <w:widowControl/>
              <w:autoSpaceDE w:val="0"/>
              <w:autoSpaceDN w:val="0"/>
              <w:spacing w:before="120" w:after="120"/>
              <w:jc w:val="both"/>
              <w:rPr>
                <w:rFonts w:eastAsiaTheme="minorEastAsia" w:cs="Times New Roman"/>
                <w:color w:val="auto"/>
                <w:lang w:val="fr-FR"/>
              </w:rPr>
            </w:pPr>
            <w:r w:rsidRPr="00DE12A3">
              <w:rPr>
                <w:rFonts w:eastAsiaTheme="minorEastAsia" w:cs="Times New Roman"/>
                <w:color w:val="auto"/>
                <w:lang w:val="fr-FR"/>
              </w:rPr>
              <w:t>2A</w:t>
            </w:r>
          </w:p>
        </w:tc>
        <w:tc>
          <w:tcPr>
            <w:tcW w:w="1579" w:type="dxa"/>
            <w:tcBorders>
              <w:top w:val="single" w:sz="2" w:space="0" w:color="auto"/>
              <w:left w:val="single" w:sz="2" w:space="0" w:color="auto"/>
              <w:bottom w:val="single" w:sz="2" w:space="0" w:color="auto"/>
              <w:right w:val="single" w:sz="2" w:space="0" w:color="auto"/>
            </w:tcBorders>
          </w:tcPr>
          <w:p w14:paraId="763AF301" w14:textId="77777777" w:rsidR="00877D3B" w:rsidRPr="00DE12A3" w:rsidRDefault="00877D3B" w:rsidP="00C917D6">
            <w:pPr>
              <w:widowControl/>
              <w:autoSpaceDE w:val="0"/>
              <w:autoSpaceDN w:val="0"/>
              <w:spacing w:before="120" w:after="120"/>
              <w:jc w:val="both"/>
              <w:rPr>
                <w:rFonts w:eastAsiaTheme="minorEastAsia" w:cs="Times New Roman"/>
                <w:color w:val="auto"/>
                <w:lang w:val="fr-FR"/>
              </w:rPr>
            </w:pPr>
          </w:p>
        </w:tc>
        <w:tc>
          <w:tcPr>
            <w:tcW w:w="1578" w:type="dxa"/>
            <w:tcBorders>
              <w:top w:val="single" w:sz="2" w:space="0" w:color="auto"/>
              <w:left w:val="single" w:sz="2" w:space="0" w:color="auto"/>
              <w:bottom w:val="single" w:sz="2" w:space="0" w:color="auto"/>
              <w:right w:val="single" w:sz="2" w:space="0" w:color="auto"/>
            </w:tcBorders>
          </w:tcPr>
          <w:p w14:paraId="4E8953B7" w14:textId="77777777" w:rsidR="00877D3B" w:rsidRPr="00DE12A3" w:rsidRDefault="00877D3B" w:rsidP="00C917D6">
            <w:pPr>
              <w:widowControl/>
              <w:autoSpaceDE w:val="0"/>
              <w:autoSpaceDN w:val="0"/>
              <w:spacing w:before="120" w:after="120"/>
              <w:jc w:val="both"/>
              <w:rPr>
                <w:rFonts w:eastAsiaTheme="minorEastAsia" w:cs="Times New Roman"/>
                <w:color w:val="auto"/>
              </w:rPr>
            </w:pPr>
            <w:r w:rsidRPr="00DE12A3">
              <w:rPr>
                <w:rFonts w:eastAsiaTheme="minorEastAsia" w:cs="Times New Roman"/>
                <w:color w:val="auto"/>
              </w:rPr>
              <w:t xml:space="preserve">Evrensel veya sınırlı </w:t>
            </w:r>
          </w:p>
          <w:p w14:paraId="055D721E" w14:textId="77777777" w:rsidR="00877D3B" w:rsidRPr="00DE12A3" w:rsidRDefault="00877D3B" w:rsidP="00C917D6">
            <w:pPr>
              <w:widowControl/>
              <w:autoSpaceDE w:val="0"/>
              <w:autoSpaceDN w:val="0"/>
              <w:spacing w:before="120" w:after="120"/>
              <w:jc w:val="both"/>
              <w:rPr>
                <w:rFonts w:eastAsiaTheme="minorEastAsia" w:cs="Times New Roman"/>
                <w:color w:val="auto"/>
                <w:lang w:val="fr-FR"/>
              </w:rPr>
            </w:pPr>
            <w:r w:rsidRPr="00DE12A3">
              <w:rPr>
                <w:rFonts w:eastAsiaTheme="minorEastAsia" w:cs="Times New Roman"/>
                <w:color w:val="auto"/>
              </w:rPr>
              <w:t>(2 test)</w:t>
            </w:r>
          </w:p>
        </w:tc>
        <w:tc>
          <w:tcPr>
            <w:tcW w:w="1486" w:type="dxa"/>
            <w:tcBorders>
              <w:top w:val="single" w:sz="2" w:space="0" w:color="auto"/>
              <w:left w:val="single" w:sz="2" w:space="0" w:color="auto"/>
              <w:bottom w:val="single" w:sz="2" w:space="0" w:color="auto"/>
              <w:right w:val="single" w:sz="2" w:space="0" w:color="auto"/>
            </w:tcBorders>
          </w:tcPr>
          <w:p w14:paraId="6CEFAC2E" w14:textId="77777777" w:rsidR="00877D3B" w:rsidRPr="00DE12A3" w:rsidRDefault="00877D3B" w:rsidP="00C917D6">
            <w:pPr>
              <w:widowControl/>
              <w:autoSpaceDE w:val="0"/>
              <w:autoSpaceDN w:val="0"/>
              <w:spacing w:before="120" w:after="120"/>
              <w:jc w:val="both"/>
              <w:rPr>
                <w:rFonts w:eastAsiaTheme="minorEastAsia" w:cs="Times New Roman"/>
                <w:color w:val="auto"/>
              </w:rPr>
            </w:pPr>
            <w:r w:rsidRPr="00DE12A3">
              <w:rPr>
                <w:rFonts w:eastAsiaTheme="minorEastAsia" w:cs="Times New Roman"/>
                <w:color w:val="auto"/>
              </w:rPr>
              <w:t xml:space="preserve">Evrensel </w:t>
            </w:r>
          </w:p>
          <w:p w14:paraId="41AD6542" w14:textId="77777777" w:rsidR="00877D3B" w:rsidRPr="00DE12A3" w:rsidRDefault="00877D3B" w:rsidP="00C917D6">
            <w:pPr>
              <w:widowControl/>
              <w:autoSpaceDE w:val="0"/>
              <w:autoSpaceDN w:val="0"/>
              <w:spacing w:before="120" w:after="120"/>
              <w:jc w:val="both"/>
              <w:rPr>
                <w:rFonts w:eastAsiaTheme="minorEastAsia" w:cs="Times New Roman"/>
                <w:color w:val="auto"/>
                <w:lang w:val="fr-FR"/>
              </w:rPr>
            </w:pPr>
            <w:r w:rsidRPr="00DE12A3">
              <w:rPr>
                <w:rFonts w:eastAsiaTheme="minorEastAsia" w:cs="Times New Roman"/>
                <w:color w:val="auto"/>
              </w:rPr>
              <w:t>(2 test)</w:t>
            </w:r>
          </w:p>
        </w:tc>
        <w:tc>
          <w:tcPr>
            <w:tcW w:w="1764" w:type="dxa"/>
            <w:tcBorders>
              <w:top w:val="single" w:sz="2" w:space="0" w:color="auto"/>
              <w:left w:val="single" w:sz="2" w:space="0" w:color="auto"/>
              <w:bottom w:val="single" w:sz="2" w:space="0" w:color="auto"/>
              <w:right w:val="single" w:sz="2" w:space="0" w:color="auto"/>
            </w:tcBorders>
          </w:tcPr>
          <w:p w14:paraId="34127B41" w14:textId="77777777" w:rsidR="00877D3B" w:rsidRPr="00DE12A3" w:rsidRDefault="00877D3B" w:rsidP="00C917D6">
            <w:pPr>
              <w:widowControl/>
              <w:autoSpaceDE w:val="0"/>
              <w:autoSpaceDN w:val="0"/>
              <w:spacing w:before="120" w:after="120"/>
              <w:jc w:val="both"/>
              <w:rPr>
                <w:rFonts w:eastAsiaTheme="minorEastAsia" w:cs="Times New Roman"/>
                <w:color w:val="auto"/>
              </w:rPr>
            </w:pPr>
            <w:r w:rsidRPr="00DE12A3">
              <w:rPr>
                <w:rFonts w:eastAsiaTheme="minorEastAsia" w:cs="Times New Roman"/>
                <w:color w:val="auto"/>
              </w:rPr>
              <w:t xml:space="preserve">Yakıta özgü </w:t>
            </w:r>
          </w:p>
          <w:p w14:paraId="440F4421" w14:textId="77777777" w:rsidR="00877D3B" w:rsidRPr="00DE12A3" w:rsidRDefault="00877D3B" w:rsidP="00C917D6">
            <w:pPr>
              <w:widowControl/>
              <w:autoSpaceDE w:val="0"/>
              <w:autoSpaceDN w:val="0"/>
              <w:spacing w:before="120" w:after="120"/>
              <w:jc w:val="both"/>
              <w:rPr>
                <w:rFonts w:eastAsiaTheme="minorEastAsia" w:cs="Times New Roman"/>
                <w:color w:val="auto"/>
                <w:lang w:val="fr-FR"/>
              </w:rPr>
            </w:pPr>
            <w:r w:rsidRPr="00DE12A3">
              <w:rPr>
                <w:rFonts w:eastAsiaTheme="minorEastAsia" w:cs="Times New Roman"/>
                <w:color w:val="auto"/>
              </w:rPr>
              <w:t>(1 test)</w:t>
            </w:r>
          </w:p>
        </w:tc>
        <w:tc>
          <w:tcPr>
            <w:tcW w:w="1932" w:type="dxa"/>
            <w:tcBorders>
              <w:top w:val="single" w:sz="2" w:space="0" w:color="auto"/>
              <w:left w:val="single" w:sz="2" w:space="0" w:color="auto"/>
              <w:bottom w:val="single" w:sz="2" w:space="0" w:color="auto"/>
              <w:right w:val="single" w:sz="2" w:space="0" w:color="auto"/>
            </w:tcBorders>
          </w:tcPr>
          <w:p w14:paraId="18B585D3" w14:textId="77777777" w:rsidR="00877D3B" w:rsidRPr="00DE12A3" w:rsidRDefault="00877D3B" w:rsidP="00C917D6">
            <w:pPr>
              <w:widowControl/>
              <w:autoSpaceDE w:val="0"/>
              <w:autoSpaceDN w:val="0"/>
              <w:spacing w:before="120" w:after="120"/>
              <w:jc w:val="both"/>
              <w:rPr>
                <w:rFonts w:eastAsiaTheme="minorEastAsia" w:cs="Times New Roman"/>
                <w:color w:val="auto"/>
              </w:rPr>
            </w:pPr>
            <w:r w:rsidRPr="00DE12A3">
              <w:rPr>
                <w:rFonts w:eastAsiaTheme="minorEastAsia" w:cs="Times New Roman"/>
                <w:color w:val="auto"/>
              </w:rPr>
              <w:t xml:space="preserve">Evrensel veya sınırlı </w:t>
            </w:r>
          </w:p>
          <w:p w14:paraId="06DBAF58" w14:textId="77777777" w:rsidR="00877D3B" w:rsidRPr="00DE12A3" w:rsidRDefault="00877D3B" w:rsidP="00C917D6">
            <w:pPr>
              <w:widowControl/>
              <w:autoSpaceDE w:val="0"/>
              <w:autoSpaceDN w:val="0"/>
              <w:spacing w:before="120" w:after="120"/>
              <w:jc w:val="both"/>
              <w:rPr>
                <w:rFonts w:eastAsiaTheme="minorEastAsia" w:cs="Times New Roman"/>
                <w:color w:val="auto"/>
                <w:lang w:val="fr-FR"/>
              </w:rPr>
            </w:pPr>
            <w:r w:rsidRPr="00DE12A3">
              <w:rPr>
                <w:rFonts w:eastAsiaTheme="minorEastAsia" w:cs="Times New Roman"/>
                <w:color w:val="auto"/>
              </w:rPr>
              <w:t>(2 test)</w:t>
            </w:r>
          </w:p>
        </w:tc>
      </w:tr>
      <w:tr w:rsidR="00DE12A3" w:rsidRPr="00DE12A3" w14:paraId="3E7651F6" w14:textId="77777777" w:rsidTr="00877D3B">
        <w:trPr>
          <w:jc w:val="center"/>
        </w:trPr>
        <w:tc>
          <w:tcPr>
            <w:tcW w:w="1300" w:type="dxa"/>
            <w:tcBorders>
              <w:top w:val="single" w:sz="2" w:space="0" w:color="auto"/>
              <w:left w:val="single" w:sz="2" w:space="0" w:color="auto"/>
              <w:bottom w:val="single" w:sz="2" w:space="0" w:color="auto"/>
              <w:right w:val="single" w:sz="2" w:space="0" w:color="auto"/>
            </w:tcBorders>
          </w:tcPr>
          <w:p w14:paraId="712B6AF6" w14:textId="77777777" w:rsidR="00877D3B" w:rsidRPr="00DE12A3" w:rsidRDefault="00877D3B" w:rsidP="00C917D6">
            <w:pPr>
              <w:widowControl/>
              <w:autoSpaceDE w:val="0"/>
              <w:autoSpaceDN w:val="0"/>
              <w:spacing w:before="120" w:after="120"/>
              <w:jc w:val="both"/>
              <w:rPr>
                <w:rFonts w:eastAsiaTheme="minorEastAsia" w:cs="Times New Roman"/>
                <w:color w:val="auto"/>
                <w:lang w:val="fr-FR"/>
              </w:rPr>
            </w:pPr>
            <w:r w:rsidRPr="00DE12A3">
              <w:rPr>
                <w:rFonts w:eastAsiaTheme="minorEastAsia" w:cs="Times New Roman"/>
                <w:color w:val="auto"/>
                <w:lang w:val="fr-FR"/>
              </w:rPr>
              <w:t>2B</w:t>
            </w:r>
          </w:p>
        </w:tc>
        <w:tc>
          <w:tcPr>
            <w:tcW w:w="1579" w:type="dxa"/>
            <w:tcBorders>
              <w:top w:val="single" w:sz="2" w:space="0" w:color="auto"/>
              <w:left w:val="single" w:sz="2" w:space="0" w:color="auto"/>
              <w:bottom w:val="single" w:sz="2" w:space="0" w:color="auto"/>
              <w:right w:val="single" w:sz="2" w:space="0" w:color="auto"/>
            </w:tcBorders>
          </w:tcPr>
          <w:p w14:paraId="29B3444C" w14:textId="77777777" w:rsidR="00877D3B" w:rsidRPr="00DE12A3" w:rsidRDefault="00877D3B" w:rsidP="00C917D6">
            <w:pPr>
              <w:widowControl/>
              <w:autoSpaceDE w:val="0"/>
              <w:autoSpaceDN w:val="0"/>
              <w:spacing w:before="120" w:after="120"/>
              <w:jc w:val="both"/>
              <w:rPr>
                <w:rFonts w:eastAsiaTheme="minorEastAsia" w:cs="Times New Roman"/>
                <w:color w:val="auto"/>
                <w:lang w:val="fr-FR"/>
              </w:rPr>
            </w:pPr>
            <w:r w:rsidRPr="00DE12A3">
              <w:rPr>
                <w:rFonts w:eastAsiaTheme="minorEastAsia" w:cs="Times New Roman"/>
                <w:color w:val="auto"/>
                <w:lang w:val="fr-FR"/>
              </w:rPr>
              <w:t>Universal</w:t>
            </w:r>
          </w:p>
          <w:p w14:paraId="5D4FE4DC" w14:textId="77777777" w:rsidR="00877D3B" w:rsidRPr="00DE12A3" w:rsidRDefault="00877D3B" w:rsidP="00C917D6">
            <w:pPr>
              <w:widowControl/>
              <w:autoSpaceDE w:val="0"/>
              <w:autoSpaceDN w:val="0"/>
              <w:spacing w:before="120" w:after="120"/>
              <w:jc w:val="both"/>
              <w:rPr>
                <w:rFonts w:eastAsiaTheme="minorEastAsia" w:cs="Times New Roman"/>
                <w:color w:val="auto"/>
                <w:lang w:val="fr-FR"/>
              </w:rPr>
            </w:pPr>
            <w:r w:rsidRPr="00DE12A3">
              <w:rPr>
                <w:rFonts w:eastAsiaTheme="minorEastAsia" w:cs="Times New Roman"/>
                <w:color w:val="auto"/>
                <w:lang w:val="fr-FR"/>
              </w:rPr>
              <w:t>(1 test)</w:t>
            </w:r>
          </w:p>
        </w:tc>
        <w:tc>
          <w:tcPr>
            <w:tcW w:w="1578" w:type="dxa"/>
            <w:tcBorders>
              <w:top w:val="single" w:sz="2" w:space="0" w:color="auto"/>
              <w:left w:val="single" w:sz="2" w:space="0" w:color="auto"/>
              <w:bottom w:val="single" w:sz="2" w:space="0" w:color="auto"/>
              <w:right w:val="single" w:sz="2" w:space="0" w:color="auto"/>
            </w:tcBorders>
          </w:tcPr>
          <w:p w14:paraId="5D0BB02D" w14:textId="77777777" w:rsidR="00877D3B" w:rsidRPr="00DE12A3" w:rsidRDefault="00877D3B" w:rsidP="00C917D6">
            <w:pPr>
              <w:widowControl/>
              <w:autoSpaceDE w:val="0"/>
              <w:autoSpaceDN w:val="0"/>
              <w:spacing w:before="120" w:after="120"/>
              <w:jc w:val="both"/>
              <w:rPr>
                <w:rFonts w:eastAsiaTheme="minorEastAsia" w:cs="Times New Roman"/>
                <w:color w:val="auto"/>
              </w:rPr>
            </w:pPr>
            <w:r w:rsidRPr="00DE12A3">
              <w:rPr>
                <w:rFonts w:eastAsiaTheme="minorEastAsia" w:cs="Times New Roman"/>
                <w:color w:val="auto"/>
              </w:rPr>
              <w:t xml:space="preserve">Evrensel veya sınırlı </w:t>
            </w:r>
          </w:p>
          <w:p w14:paraId="2472898A" w14:textId="77777777" w:rsidR="00877D3B" w:rsidRPr="00DE12A3" w:rsidRDefault="00877D3B" w:rsidP="00C917D6">
            <w:pPr>
              <w:widowControl/>
              <w:autoSpaceDE w:val="0"/>
              <w:autoSpaceDN w:val="0"/>
              <w:spacing w:before="120" w:after="120"/>
              <w:jc w:val="both"/>
              <w:rPr>
                <w:rFonts w:eastAsiaTheme="minorEastAsia" w:cs="Times New Roman"/>
                <w:color w:val="auto"/>
                <w:lang w:val="fr-FR"/>
              </w:rPr>
            </w:pPr>
            <w:r w:rsidRPr="00DE12A3">
              <w:rPr>
                <w:rFonts w:eastAsiaTheme="minorEastAsia" w:cs="Times New Roman"/>
                <w:color w:val="auto"/>
              </w:rPr>
              <w:t>(2 test)</w:t>
            </w:r>
          </w:p>
        </w:tc>
        <w:tc>
          <w:tcPr>
            <w:tcW w:w="1486" w:type="dxa"/>
            <w:tcBorders>
              <w:top w:val="single" w:sz="2" w:space="0" w:color="auto"/>
              <w:left w:val="single" w:sz="2" w:space="0" w:color="auto"/>
              <w:bottom w:val="single" w:sz="2" w:space="0" w:color="auto"/>
              <w:right w:val="single" w:sz="2" w:space="0" w:color="auto"/>
            </w:tcBorders>
          </w:tcPr>
          <w:p w14:paraId="591328C8" w14:textId="77777777" w:rsidR="00877D3B" w:rsidRPr="00DE12A3" w:rsidRDefault="00877D3B" w:rsidP="00C917D6">
            <w:pPr>
              <w:widowControl/>
              <w:autoSpaceDE w:val="0"/>
              <w:autoSpaceDN w:val="0"/>
              <w:spacing w:before="120" w:after="120"/>
              <w:jc w:val="both"/>
              <w:rPr>
                <w:rFonts w:eastAsiaTheme="minorEastAsia" w:cs="Times New Roman"/>
                <w:color w:val="auto"/>
              </w:rPr>
            </w:pPr>
            <w:r w:rsidRPr="00DE12A3">
              <w:rPr>
                <w:rFonts w:eastAsiaTheme="minorEastAsia" w:cs="Times New Roman"/>
                <w:color w:val="auto"/>
              </w:rPr>
              <w:t xml:space="preserve">Evrensel </w:t>
            </w:r>
          </w:p>
          <w:p w14:paraId="4F105C98" w14:textId="77777777" w:rsidR="00877D3B" w:rsidRPr="00DE12A3" w:rsidRDefault="00877D3B" w:rsidP="00C917D6">
            <w:pPr>
              <w:widowControl/>
              <w:autoSpaceDE w:val="0"/>
              <w:autoSpaceDN w:val="0"/>
              <w:spacing w:before="120" w:after="120"/>
              <w:jc w:val="both"/>
              <w:rPr>
                <w:rFonts w:eastAsiaTheme="minorEastAsia" w:cs="Times New Roman"/>
                <w:color w:val="auto"/>
                <w:lang w:val="fr-FR"/>
              </w:rPr>
            </w:pPr>
            <w:r w:rsidRPr="00DE12A3">
              <w:rPr>
                <w:rFonts w:eastAsiaTheme="minorEastAsia" w:cs="Times New Roman"/>
                <w:color w:val="auto"/>
              </w:rPr>
              <w:t>(2 test)</w:t>
            </w:r>
          </w:p>
        </w:tc>
        <w:tc>
          <w:tcPr>
            <w:tcW w:w="1764" w:type="dxa"/>
            <w:tcBorders>
              <w:top w:val="single" w:sz="2" w:space="0" w:color="auto"/>
              <w:left w:val="single" w:sz="2" w:space="0" w:color="auto"/>
              <w:bottom w:val="single" w:sz="2" w:space="0" w:color="auto"/>
              <w:right w:val="single" w:sz="2" w:space="0" w:color="auto"/>
            </w:tcBorders>
          </w:tcPr>
          <w:p w14:paraId="41BD0830" w14:textId="77777777" w:rsidR="00877D3B" w:rsidRPr="00DE12A3" w:rsidRDefault="00877D3B" w:rsidP="00C917D6">
            <w:pPr>
              <w:widowControl/>
              <w:autoSpaceDE w:val="0"/>
              <w:autoSpaceDN w:val="0"/>
              <w:spacing w:before="120" w:after="120"/>
              <w:jc w:val="both"/>
              <w:rPr>
                <w:rFonts w:eastAsiaTheme="minorEastAsia" w:cs="Times New Roman"/>
                <w:color w:val="auto"/>
              </w:rPr>
            </w:pPr>
            <w:r w:rsidRPr="00DE12A3">
              <w:rPr>
                <w:rFonts w:eastAsiaTheme="minorEastAsia" w:cs="Times New Roman"/>
                <w:color w:val="auto"/>
              </w:rPr>
              <w:t xml:space="preserve">Yakıta özgü </w:t>
            </w:r>
          </w:p>
          <w:p w14:paraId="0BEFF288" w14:textId="77777777" w:rsidR="00877D3B" w:rsidRPr="00DE12A3" w:rsidRDefault="00877D3B" w:rsidP="00C917D6">
            <w:pPr>
              <w:widowControl/>
              <w:autoSpaceDE w:val="0"/>
              <w:autoSpaceDN w:val="0"/>
              <w:spacing w:before="120" w:after="120"/>
              <w:jc w:val="both"/>
              <w:rPr>
                <w:rFonts w:eastAsiaTheme="minorEastAsia" w:cs="Times New Roman"/>
                <w:color w:val="auto"/>
                <w:lang w:val="fr-FR"/>
              </w:rPr>
            </w:pPr>
            <w:r w:rsidRPr="00DE12A3">
              <w:rPr>
                <w:rFonts w:eastAsiaTheme="minorEastAsia" w:cs="Times New Roman"/>
                <w:color w:val="auto"/>
              </w:rPr>
              <w:t>(1 test)</w:t>
            </w:r>
          </w:p>
        </w:tc>
        <w:tc>
          <w:tcPr>
            <w:tcW w:w="1932" w:type="dxa"/>
            <w:tcBorders>
              <w:top w:val="single" w:sz="2" w:space="0" w:color="auto"/>
              <w:left w:val="single" w:sz="2" w:space="0" w:color="auto"/>
              <w:bottom w:val="single" w:sz="2" w:space="0" w:color="auto"/>
              <w:right w:val="single" w:sz="2" w:space="0" w:color="auto"/>
            </w:tcBorders>
          </w:tcPr>
          <w:p w14:paraId="0F37FDC3" w14:textId="77777777" w:rsidR="00877D3B" w:rsidRPr="00DE12A3" w:rsidRDefault="00877D3B" w:rsidP="00C917D6">
            <w:pPr>
              <w:widowControl/>
              <w:autoSpaceDE w:val="0"/>
              <w:autoSpaceDN w:val="0"/>
              <w:spacing w:before="120" w:after="120"/>
              <w:jc w:val="both"/>
              <w:rPr>
                <w:rFonts w:eastAsiaTheme="minorEastAsia" w:cs="Times New Roman"/>
                <w:color w:val="auto"/>
              </w:rPr>
            </w:pPr>
            <w:r w:rsidRPr="00DE12A3">
              <w:rPr>
                <w:rFonts w:eastAsiaTheme="minorEastAsia" w:cs="Times New Roman"/>
                <w:color w:val="auto"/>
              </w:rPr>
              <w:t xml:space="preserve">Evrensel veya sınırlı </w:t>
            </w:r>
          </w:p>
          <w:p w14:paraId="720ED7B6" w14:textId="77777777" w:rsidR="00877D3B" w:rsidRPr="00DE12A3" w:rsidRDefault="00877D3B" w:rsidP="00C917D6">
            <w:pPr>
              <w:widowControl/>
              <w:autoSpaceDE w:val="0"/>
              <w:autoSpaceDN w:val="0"/>
              <w:spacing w:before="120" w:after="120"/>
              <w:jc w:val="both"/>
              <w:rPr>
                <w:rFonts w:eastAsiaTheme="minorEastAsia" w:cs="Times New Roman"/>
                <w:color w:val="auto"/>
                <w:lang w:val="fr-FR"/>
              </w:rPr>
            </w:pPr>
            <w:r w:rsidRPr="00DE12A3">
              <w:rPr>
                <w:rFonts w:eastAsiaTheme="minorEastAsia" w:cs="Times New Roman"/>
                <w:color w:val="auto"/>
              </w:rPr>
              <w:t>(2 test)</w:t>
            </w:r>
          </w:p>
        </w:tc>
      </w:tr>
      <w:tr w:rsidR="00877D3B" w:rsidRPr="00DE12A3" w14:paraId="7CE501D3" w14:textId="77777777" w:rsidTr="00877D3B">
        <w:trPr>
          <w:jc w:val="center"/>
        </w:trPr>
        <w:tc>
          <w:tcPr>
            <w:tcW w:w="1300" w:type="dxa"/>
            <w:tcBorders>
              <w:top w:val="single" w:sz="2" w:space="0" w:color="auto"/>
              <w:left w:val="single" w:sz="2" w:space="0" w:color="auto"/>
              <w:bottom w:val="single" w:sz="2" w:space="0" w:color="auto"/>
              <w:right w:val="single" w:sz="2" w:space="0" w:color="auto"/>
            </w:tcBorders>
          </w:tcPr>
          <w:p w14:paraId="5C33131F" w14:textId="77777777" w:rsidR="00877D3B" w:rsidRPr="00DE12A3" w:rsidRDefault="00877D3B" w:rsidP="00C917D6">
            <w:pPr>
              <w:widowControl/>
              <w:autoSpaceDE w:val="0"/>
              <w:autoSpaceDN w:val="0"/>
              <w:spacing w:before="120" w:after="120"/>
              <w:jc w:val="both"/>
              <w:rPr>
                <w:rFonts w:eastAsiaTheme="minorEastAsia" w:cs="Times New Roman"/>
                <w:color w:val="auto"/>
                <w:lang w:val="fr-FR"/>
              </w:rPr>
            </w:pPr>
            <w:r w:rsidRPr="00DE12A3">
              <w:rPr>
                <w:rFonts w:eastAsiaTheme="minorEastAsia" w:cs="Times New Roman"/>
                <w:color w:val="auto"/>
                <w:lang w:val="fr-FR"/>
              </w:rPr>
              <w:t>3B</w:t>
            </w:r>
          </w:p>
        </w:tc>
        <w:tc>
          <w:tcPr>
            <w:tcW w:w="1579" w:type="dxa"/>
            <w:tcBorders>
              <w:top w:val="single" w:sz="2" w:space="0" w:color="auto"/>
              <w:left w:val="single" w:sz="2" w:space="0" w:color="auto"/>
              <w:bottom w:val="single" w:sz="2" w:space="0" w:color="auto"/>
              <w:right w:val="single" w:sz="2" w:space="0" w:color="auto"/>
            </w:tcBorders>
          </w:tcPr>
          <w:p w14:paraId="2E71746A" w14:textId="77777777" w:rsidR="00877D3B" w:rsidRPr="00DE12A3" w:rsidRDefault="00877D3B" w:rsidP="00C917D6">
            <w:pPr>
              <w:widowControl/>
              <w:autoSpaceDE w:val="0"/>
              <w:autoSpaceDN w:val="0"/>
              <w:spacing w:before="120" w:after="120"/>
              <w:jc w:val="both"/>
              <w:rPr>
                <w:rFonts w:eastAsiaTheme="minorEastAsia" w:cs="Times New Roman"/>
                <w:color w:val="auto"/>
                <w:lang w:val="fr-FR"/>
              </w:rPr>
            </w:pPr>
            <w:r w:rsidRPr="00DE12A3">
              <w:rPr>
                <w:rFonts w:eastAsiaTheme="minorEastAsia" w:cs="Times New Roman"/>
                <w:color w:val="auto"/>
                <w:lang w:val="fr-FR"/>
              </w:rPr>
              <w:t>Universal</w:t>
            </w:r>
          </w:p>
          <w:p w14:paraId="518BCC6A" w14:textId="77777777" w:rsidR="00877D3B" w:rsidRPr="00DE12A3" w:rsidRDefault="00877D3B" w:rsidP="00C917D6">
            <w:pPr>
              <w:widowControl/>
              <w:autoSpaceDE w:val="0"/>
              <w:autoSpaceDN w:val="0"/>
              <w:spacing w:before="120" w:after="120"/>
              <w:jc w:val="both"/>
              <w:rPr>
                <w:rFonts w:eastAsiaTheme="minorEastAsia" w:cs="Times New Roman"/>
                <w:color w:val="auto"/>
                <w:lang w:val="fr-FR"/>
              </w:rPr>
            </w:pPr>
            <w:r w:rsidRPr="00DE12A3">
              <w:rPr>
                <w:rFonts w:eastAsiaTheme="minorEastAsia" w:cs="Times New Roman"/>
                <w:color w:val="auto"/>
                <w:lang w:val="fr-FR"/>
              </w:rPr>
              <w:t>(1 test)</w:t>
            </w:r>
          </w:p>
        </w:tc>
        <w:tc>
          <w:tcPr>
            <w:tcW w:w="1578" w:type="dxa"/>
            <w:tcBorders>
              <w:top w:val="single" w:sz="2" w:space="0" w:color="auto"/>
              <w:left w:val="single" w:sz="2" w:space="0" w:color="auto"/>
              <w:bottom w:val="single" w:sz="2" w:space="0" w:color="auto"/>
              <w:right w:val="single" w:sz="2" w:space="0" w:color="auto"/>
            </w:tcBorders>
          </w:tcPr>
          <w:p w14:paraId="7B2DEA67" w14:textId="77777777" w:rsidR="00877D3B" w:rsidRPr="00DE12A3" w:rsidRDefault="00877D3B" w:rsidP="00C917D6">
            <w:pPr>
              <w:widowControl/>
              <w:autoSpaceDE w:val="0"/>
              <w:autoSpaceDN w:val="0"/>
              <w:spacing w:before="120" w:after="120"/>
              <w:jc w:val="both"/>
              <w:rPr>
                <w:rFonts w:eastAsiaTheme="minorEastAsia" w:cs="Times New Roman"/>
                <w:color w:val="auto"/>
              </w:rPr>
            </w:pPr>
            <w:r w:rsidRPr="00DE12A3">
              <w:rPr>
                <w:rFonts w:eastAsiaTheme="minorEastAsia" w:cs="Times New Roman"/>
                <w:color w:val="auto"/>
              </w:rPr>
              <w:t xml:space="preserve">Evrensel veya sınırlı </w:t>
            </w:r>
          </w:p>
          <w:p w14:paraId="2B8660D7" w14:textId="77777777" w:rsidR="00877D3B" w:rsidRPr="00DE12A3" w:rsidRDefault="00877D3B" w:rsidP="00C917D6">
            <w:pPr>
              <w:widowControl/>
              <w:autoSpaceDE w:val="0"/>
              <w:autoSpaceDN w:val="0"/>
              <w:spacing w:before="120" w:after="120"/>
              <w:jc w:val="both"/>
              <w:rPr>
                <w:rFonts w:eastAsiaTheme="minorEastAsia" w:cs="Times New Roman"/>
                <w:color w:val="auto"/>
                <w:lang w:val="fr-FR"/>
              </w:rPr>
            </w:pPr>
            <w:r w:rsidRPr="00DE12A3">
              <w:rPr>
                <w:rFonts w:eastAsiaTheme="minorEastAsia" w:cs="Times New Roman"/>
                <w:color w:val="auto"/>
              </w:rPr>
              <w:t>(2 test)</w:t>
            </w:r>
          </w:p>
        </w:tc>
        <w:tc>
          <w:tcPr>
            <w:tcW w:w="1486" w:type="dxa"/>
            <w:tcBorders>
              <w:top w:val="single" w:sz="2" w:space="0" w:color="auto"/>
              <w:left w:val="single" w:sz="2" w:space="0" w:color="auto"/>
              <w:bottom w:val="single" w:sz="2" w:space="0" w:color="auto"/>
              <w:right w:val="single" w:sz="2" w:space="0" w:color="auto"/>
            </w:tcBorders>
          </w:tcPr>
          <w:p w14:paraId="5D3DCF7A" w14:textId="77777777" w:rsidR="00877D3B" w:rsidRPr="00DE12A3" w:rsidRDefault="00877D3B" w:rsidP="00C917D6">
            <w:pPr>
              <w:widowControl/>
              <w:autoSpaceDE w:val="0"/>
              <w:autoSpaceDN w:val="0"/>
              <w:spacing w:before="120" w:after="120"/>
              <w:jc w:val="both"/>
              <w:rPr>
                <w:rFonts w:eastAsiaTheme="minorEastAsia" w:cs="Times New Roman"/>
                <w:color w:val="auto"/>
              </w:rPr>
            </w:pPr>
            <w:r w:rsidRPr="00DE12A3">
              <w:rPr>
                <w:rFonts w:eastAsiaTheme="minorEastAsia" w:cs="Times New Roman"/>
                <w:color w:val="auto"/>
              </w:rPr>
              <w:t xml:space="preserve">Evrensel </w:t>
            </w:r>
          </w:p>
          <w:p w14:paraId="274D5E14" w14:textId="77777777" w:rsidR="00877D3B" w:rsidRPr="00DE12A3" w:rsidRDefault="00877D3B" w:rsidP="00C917D6">
            <w:pPr>
              <w:widowControl/>
              <w:autoSpaceDE w:val="0"/>
              <w:autoSpaceDN w:val="0"/>
              <w:spacing w:before="120" w:after="120"/>
              <w:jc w:val="both"/>
              <w:rPr>
                <w:rFonts w:eastAsiaTheme="minorEastAsia" w:cs="Times New Roman"/>
                <w:color w:val="auto"/>
                <w:lang w:val="fr-FR"/>
              </w:rPr>
            </w:pPr>
            <w:r w:rsidRPr="00DE12A3">
              <w:rPr>
                <w:rFonts w:eastAsiaTheme="minorEastAsia" w:cs="Times New Roman"/>
                <w:color w:val="auto"/>
              </w:rPr>
              <w:t>(2 test)</w:t>
            </w:r>
          </w:p>
        </w:tc>
        <w:tc>
          <w:tcPr>
            <w:tcW w:w="1764" w:type="dxa"/>
            <w:tcBorders>
              <w:top w:val="single" w:sz="2" w:space="0" w:color="auto"/>
              <w:left w:val="single" w:sz="2" w:space="0" w:color="auto"/>
              <w:bottom w:val="single" w:sz="2" w:space="0" w:color="auto"/>
              <w:right w:val="single" w:sz="2" w:space="0" w:color="auto"/>
            </w:tcBorders>
          </w:tcPr>
          <w:p w14:paraId="5E1EE82D" w14:textId="77777777" w:rsidR="00877D3B" w:rsidRPr="00DE12A3" w:rsidRDefault="00877D3B" w:rsidP="00C917D6">
            <w:pPr>
              <w:widowControl/>
              <w:autoSpaceDE w:val="0"/>
              <w:autoSpaceDN w:val="0"/>
              <w:spacing w:before="120" w:after="120"/>
              <w:jc w:val="both"/>
              <w:rPr>
                <w:rFonts w:eastAsiaTheme="minorEastAsia" w:cs="Times New Roman"/>
                <w:color w:val="auto"/>
              </w:rPr>
            </w:pPr>
            <w:r w:rsidRPr="00DE12A3">
              <w:rPr>
                <w:rFonts w:eastAsiaTheme="minorEastAsia" w:cs="Times New Roman"/>
                <w:color w:val="auto"/>
              </w:rPr>
              <w:t xml:space="preserve">Yakıta özgü </w:t>
            </w:r>
          </w:p>
          <w:p w14:paraId="62BDE80D" w14:textId="77777777" w:rsidR="00877D3B" w:rsidRPr="00DE12A3" w:rsidRDefault="00877D3B" w:rsidP="00C917D6">
            <w:pPr>
              <w:widowControl/>
              <w:autoSpaceDE w:val="0"/>
              <w:autoSpaceDN w:val="0"/>
              <w:spacing w:before="120" w:after="120"/>
              <w:jc w:val="both"/>
              <w:rPr>
                <w:rFonts w:eastAsiaTheme="minorEastAsia" w:cs="Times New Roman"/>
                <w:color w:val="auto"/>
                <w:lang w:val="fr-FR"/>
              </w:rPr>
            </w:pPr>
            <w:r w:rsidRPr="00DE12A3">
              <w:rPr>
                <w:rFonts w:eastAsiaTheme="minorEastAsia" w:cs="Times New Roman"/>
                <w:color w:val="auto"/>
              </w:rPr>
              <w:t>(1 test)</w:t>
            </w:r>
          </w:p>
        </w:tc>
        <w:tc>
          <w:tcPr>
            <w:tcW w:w="1932" w:type="dxa"/>
            <w:tcBorders>
              <w:top w:val="single" w:sz="2" w:space="0" w:color="auto"/>
              <w:left w:val="single" w:sz="2" w:space="0" w:color="auto"/>
              <w:bottom w:val="single" w:sz="2" w:space="0" w:color="auto"/>
              <w:right w:val="single" w:sz="2" w:space="0" w:color="auto"/>
            </w:tcBorders>
          </w:tcPr>
          <w:p w14:paraId="2A7C3588" w14:textId="77777777" w:rsidR="00877D3B" w:rsidRPr="00DE12A3" w:rsidRDefault="00877D3B" w:rsidP="00C917D6">
            <w:pPr>
              <w:widowControl/>
              <w:autoSpaceDE w:val="0"/>
              <w:autoSpaceDN w:val="0"/>
              <w:spacing w:before="120" w:after="120"/>
              <w:jc w:val="both"/>
              <w:rPr>
                <w:rFonts w:eastAsiaTheme="minorEastAsia" w:cs="Times New Roman"/>
                <w:color w:val="auto"/>
              </w:rPr>
            </w:pPr>
            <w:r w:rsidRPr="00DE12A3">
              <w:rPr>
                <w:rFonts w:eastAsiaTheme="minorEastAsia" w:cs="Times New Roman"/>
                <w:color w:val="auto"/>
              </w:rPr>
              <w:t xml:space="preserve">Evrensel veya sınırlı </w:t>
            </w:r>
          </w:p>
          <w:p w14:paraId="7A1E7114" w14:textId="77777777" w:rsidR="00877D3B" w:rsidRPr="00DE12A3" w:rsidRDefault="00877D3B" w:rsidP="00C917D6">
            <w:pPr>
              <w:widowControl/>
              <w:autoSpaceDE w:val="0"/>
              <w:autoSpaceDN w:val="0"/>
              <w:spacing w:before="120" w:after="120"/>
              <w:jc w:val="both"/>
              <w:rPr>
                <w:rFonts w:eastAsiaTheme="minorEastAsia" w:cs="Times New Roman"/>
                <w:color w:val="auto"/>
                <w:lang w:val="fr-FR"/>
              </w:rPr>
            </w:pPr>
            <w:r w:rsidRPr="00DE12A3">
              <w:rPr>
                <w:rFonts w:eastAsiaTheme="minorEastAsia" w:cs="Times New Roman"/>
                <w:color w:val="auto"/>
              </w:rPr>
              <w:t>(2 test)</w:t>
            </w:r>
          </w:p>
        </w:tc>
      </w:tr>
    </w:tbl>
    <w:p w14:paraId="7883FBB4" w14:textId="77777777" w:rsidR="002D7B36" w:rsidRPr="00DE12A3" w:rsidRDefault="002D7B36" w:rsidP="00C917D6">
      <w:pPr>
        <w:tabs>
          <w:tab w:val="left" w:pos="709"/>
        </w:tabs>
        <w:spacing w:before="120" w:after="120"/>
        <w:ind w:left="709" w:hanging="709"/>
        <w:jc w:val="both"/>
        <w:rPr>
          <w:rFonts w:eastAsia="Times New Roman" w:cs="Times New Roman"/>
          <w:b/>
          <w:color w:val="auto"/>
          <w:spacing w:val="3"/>
          <w:sz w:val="20"/>
          <w:szCs w:val="20"/>
        </w:rPr>
      </w:pPr>
    </w:p>
    <w:p w14:paraId="7A5C1290" w14:textId="77777777" w:rsidR="002D7B36" w:rsidRPr="00DE12A3" w:rsidRDefault="002D7B36" w:rsidP="00C917D6">
      <w:pPr>
        <w:tabs>
          <w:tab w:val="left" w:pos="709"/>
        </w:tabs>
        <w:spacing w:before="120" w:after="120"/>
        <w:ind w:left="709" w:hanging="709"/>
        <w:jc w:val="both"/>
        <w:rPr>
          <w:rFonts w:eastAsia="Times New Roman" w:cs="Times New Roman"/>
          <w:b/>
          <w:color w:val="auto"/>
          <w:spacing w:val="3"/>
          <w:sz w:val="20"/>
          <w:szCs w:val="20"/>
        </w:rPr>
      </w:pPr>
    </w:p>
    <w:p w14:paraId="394106FD" w14:textId="77777777" w:rsidR="002D7B36" w:rsidRPr="00DE12A3" w:rsidRDefault="002D7B36" w:rsidP="00C917D6">
      <w:pPr>
        <w:tabs>
          <w:tab w:val="left" w:pos="709"/>
        </w:tabs>
        <w:spacing w:before="120" w:after="120"/>
        <w:ind w:left="709" w:hanging="709"/>
        <w:jc w:val="both"/>
        <w:rPr>
          <w:rFonts w:eastAsia="Times New Roman" w:cs="Times New Roman"/>
          <w:b/>
          <w:color w:val="auto"/>
          <w:spacing w:val="3"/>
          <w:sz w:val="20"/>
          <w:szCs w:val="20"/>
        </w:rPr>
      </w:pPr>
    </w:p>
    <w:p w14:paraId="0EB5E850" w14:textId="77777777" w:rsidR="00FA490B" w:rsidRPr="00DE12A3" w:rsidRDefault="00FA490B">
      <w:pPr>
        <w:widowControl/>
        <w:rPr>
          <w:rFonts w:eastAsia="Times New Roman" w:cs="Times New Roman"/>
          <w:b/>
          <w:color w:val="auto"/>
          <w:spacing w:val="3"/>
          <w:sz w:val="20"/>
          <w:szCs w:val="20"/>
        </w:rPr>
      </w:pPr>
      <w:bookmarkStart w:id="10" w:name="bookmark15"/>
      <w:r w:rsidRPr="00DE12A3">
        <w:rPr>
          <w:rFonts w:eastAsia="Times New Roman" w:cs="Times New Roman"/>
          <w:b/>
          <w:color w:val="auto"/>
          <w:spacing w:val="3"/>
          <w:sz w:val="20"/>
          <w:szCs w:val="20"/>
        </w:rPr>
        <w:br w:type="page"/>
      </w:r>
    </w:p>
    <w:p w14:paraId="739DF4B7" w14:textId="57B214ED" w:rsidR="002D7B36" w:rsidRPr="00DE12A3" w:rsidRDefault="00242DA0" w:rsidP="00C82856">
      <w:pPr>
        <w:pStyle w:val="Balk1"/>
        <w:rPr>
          <w:color w:val="auto"/>
          <w:spacing w:val="-8"/>
        </w:rPr>
      </w:pPr>
      <w:r w:rsidRPr="00DE12A3">
        <w:rPr>
          <w:color w:val="auto"/>
        </w:rPr>
        <w:lastRenderedPageBreak/>
        <w:t>EK II</w:t>
      </w:r>
      <w:bookmarkEnd w:id="10"/>
    </w:p>
    <w:p w14:paraId="0DC1FE67" w14:textId="77777777" w:rsidR="002D7B36" w:rsidRPr="00DE12A3" w:rsidRDefault="00242DA0" w:rsidP="001251BB">
      <w:pPr>
        <w:jc w:val="center"/>
        <w:rPr>
          <w:b/>
          <w:i/>
          <w:iCs/>
          <w:color w:val="auto"/>
          <w:spacing w:val="-8"/>
        </w:rPr>
      </w:pPr>
      <w:r w:rsidRPr="00DE12A3">
        <w:rPr>
          <w:b/>
          <w:color w:val="auto"/>
        </w:rPr>
        <w:t>Üretimin uygunluğu ile ilgili düzenlemeler</w:t>
      </w:r>
    </w:p>
    <w:p w14:paraId="66497AE0" w14:textId="12C04283" w:rsidR="002D7B36" w:rsidRPr="00DE12A3" w:rsidRDefault="005821B9" w:rsidP="00E35FD4">
      <w:pPr>
        <w:spacing w:before="120" w:after="120"/>
        <w:jc w:val="both"/>
        <w:rPr>
          <w:rFonts w:eastAsia="Times New Roman" w:cs="Times New Roman"/>
          <w:b/>
          <w:color w:val="auto"/>
        </w:rPr>
      </w:pPr>
      <w:r w:rsidRPr="00DE12A3">
        <w:rPr>
          <w:rFonts w:eastAsia="Times New Roman" w:cs="Times New Roman"/>
          <w:b/>
          <w:color w:val="auto"/>
        </w:rPr>
        <w:t xml:space="preserve">1. </w:t>
      </w:r>
      <w:r w:rsidR="00242DA0" w:rsidRPr="00DE12A3">
        <w:rPr>
          <w:rFonts w:eastAsia="Times New Roman" w:cs="Times New Roman"/>
          <w:b/>
          <w:color w:val="auto"/>
        </w:rPr>
        <w:t>Tanımlar</w:t>
      </w:r>
    </w:p>
    <w:p w14:paraId="2BFBCBD4" w14:textId="0BEBAB57" w:rsidR="002D7B36" w:rsidRPr="00DE12A3" w:rsidRDefault="00242DA0" w:rsidP="00E35FD4">
      <w:pPr>
        <w:spacing w:before="120" w:after="120"/>
        <w:ind w:left="1134" w:hanging="1134"/>
        <w:jc w:val="both"/>
        <w:rPr>
          <w:rFonts w:eastAsia="Times New Roman" w:cs="Times New Roman"/>
          <w:color w:val="auto"/>
          <w:spacing w:val="3"/>
        </w:rPr>
      </w:pPr>
      <w:r w:rsidRPr="00DE12A3">
        <w:rPr>
          <w:rFonts w:eastAsia="Times New Roman" w:cs="Times New Roman"/>
          <w:color w:val="auto"/>
          <w:spacing w:val="3"/>
        </w:rPr>
        <w:t>Bu Ekin amaçları doğrultusunda, aşağıdaki tanımlar uygulanır:</w:t>
      </w:r>
    </w:p>
    <w:p w14:paraId="75C73F6E" w14:textId="236201F8" w:rsidR="002D7B36" w:rsidRPr="00DE12A3" w:rsidRDefault="005821B9" w:rsidP="00E35FD4">
      <w:pPr>
        <w:spacing w:before="120" w:after="120"/>
        <w:jc w:val="both"/>
        <w:rPr>
          <w:rFonts w:eastAsia="Times New Roman" w:cs="Times New Roman"/>
          <w:color w:val="auto"/>
          <w:spacing w:val="3"/>
        </w:rPr>
      </w:pPr>
      <w:r w:rsidRPr="00DE12A3">
        <w:rPr>
          <w:rFonts w:eastAsia="Times New Roman" w:cs="Times New Roman"/>
          <w:color w:val="auto"/>
          <w:spacing w:val="3"/>
        </w:rPr>
        <w:t xml:space="preserve">1.1. </w:t>
      </w:r>
      <w:r w:rsidR="00242DA0" w:rsidRPr="00DE12A3">
        <w:rPr>
          <w:rFonts w:eastAsia="Times New Roman" w:cs="Times New Roman"/>
          <w:color w:val="auto"/>
          <w:spacing w:val="3"/>
        </w:rPr>
        <w:t>“Kalite yönetim sistemi”, kuruluşların kalite politikalarının uygulanmasını ve kalite hedeflerine ulaşılmasını yönlendirmek ve kontrol etmek için kullandığı birbiriyle ilişkili veya etkileşimli unsurlar kümesi anlamına gelir</w:t>
      </w:r>
      <w:r w:rsidR="007E00AA" w:rsidRPr="00DE12A3">
        <w:rPr>
          <w:rFonts w:eastAsia="Times New Roman" w:cs="Times New Roman"/>
          <w:color w:val="auto"/>
          <w:spacing w:val="3"/>
        </w:rPr>
        <w:t>.</w:t>
      </w:r>
    </w:p>
    <w:p w14:paraId="77D960BC" w14:textId="13860581" w:rsidR="002D7B36" w:rsidRPr="00DE12A3" w:rsidRDefault="005821B9" w:rsidP="00E35FD4">
      <w:pPr>
        <w:spacing w:before="120" w:after="120"/>
        <w:jc w:val="both"/>
        <w:rPr>
          <w:rFonts w:eastAsia="Times New Roman" w:cs="Times New Roman"/>
          <w:color w:val="auto"/>
          <w:spacing w:val="3"/>
        </w:rPr>
      </w:pPr>
      <w:r w:rsidRPr="00DE12A3">
        <w:rPr>
          <w:rFonts w:eastAsia="Times New Roman" w:cs="Times New Roman"/>
          <w:color w:val="auto"/>
          <w:spacing w:val="3"/>
        </w:rPr>
        <w:t>1.2.</w:t>
      </w:r>
      <w:r w:rsidR="0045371E" w:rsidRPr="00DE12A3">
        <w:rPr>
          <w:rFonts w:eastAsia="Times New Roman" w:cs="Times New Roman"/>
          <w:color w:val="auto"/>
          <w:spacing w:val="3"/>
        </w:rPr>
        <w:t xml:space="preserve"> </w:t>
      </w:r>
      <w:r w:rsidR="00242DA0" w:rsidRPr="00DE12A3">
        <w:rPr>
          <w:rFonts w:eastAsia="Times New Roman" w:cs="Times New Roman"/>
          <w:color w:val="auto"/>
          <w:spacing w:val="3"/>
        </w:rPr>
        <w:t>“Denetim”, denetim kriterlerinin ne kadar iyi uygulandığını değerlendirmek için kullanılan bir kanıt toplama süreci anlamına gelir</w:t>
      </w:r>
      <w:r w:rsidR="007E00AA" w:rsidRPr="00DE12A3">
        <w:rPr>
          <w:rFonts w:eastAsia="Times New Roman" w:cs="Times New Roman"/>
          <w:color w:val="auto"/>
          <w:spacing w:val="3"/>
        </w:rPr>
        <w:t>.</w:t>
      </w:r>
      <w:r w:rsidR="00242DA0" w:rsidRPr="00DE12A3">
        <w:rPr>
          <w:rFonts w:eastAsia="Times New Roman" w:cs="Times New Roman"/>
          <w:color w:val="auto"/>
          <w:spacing w:val="3"/>
        </w:rPr>
        <w:t xml:space="preserve"> </w:t>
      </w:r>
      <w:r w:rsidR="007E00AA" w:rsidRPr="00DE12A3">
        <w:rPr>
          <w:rFonts w:eastAsia="Times New Roman" w:cs="Times New Roman"/>
          <w:color w:val="auto"/>
          <w:spacing w:val="3"/>
        </w:rPr>
        <w:t>O</w:t>
      </w:r>
      <w:r w:rsidR="00242DA0" w:rsidRPr="00DE12A3">
        <w:rPr>
          <w:rFonts w:eastAsia="Times New Roman" w:cs="Times New Roman"/>
          <w:color w:val="auto"/>
          <w:spacing w:val="3"/>
        </w:rPr>
        <w:t>bjektif, tarafsız ve bağımsız olmalıdır ve denetim süreci hem sistematik hem de belgelendirilmiş olmalıdır</w:t>
      </w:r>
      <w:r w:rsidR="007E00AA" w:rsidRPr="00DE12A3">
        <w:rPr>
          <w:rFonts w:eastAsia="Times New Roman" w:cs="Times New Roman"/>
          <w:color w:val="auto"/>
          <w:spacing w:val="3"/>
        </w:rPr>
        <w:t>.</w:t>
      </w:r>
    </w:p>
    <w:p w14:paraId="6960FD36" w14:textId="5D2B858E" w:rsidR="002D7B36" w:rsidRPr="00DE12A3" w:rsidRDefault="005821B9" w:rsidP="00E35FD4">
      <w:pPr>
        <w:spacing w:before="120" w:after="120"/>
        <w:jc w:val="both"/>
        <w:rPr>
          <w:rFonts w:eastAsia="Times New Roman" w:cs="Times New Roman"/>
          <w:color w:val="auto"/>
          <w:spacing w:val="3"/>
        </w:rPr>
      </w:pPr>
      <w:r w:rsidRPr="00DE12A3">
        <w:rPr>
          <w:rFonts w:eastAsia="Times New Roman" w:cs="Times New Roman"/>
          <w:color w:val="auto"/>
          <w:spacing w:val="3"/>
        </w:rPr>
        <w:t xml:space="preserve">1.3. </w:t>
      </w:r>
      <w:r w:rsidR="00242DA0" w:rsidRPr="00DE12A3">
        <w:rPr>
          <w:rFonts w:eastAsia="Times New Roman" w:cs="Times New Roman"/>
          <w:color w:val="auto"/>
          <w:spacing w:val="3"/>
        </w:rPr>
        <w:t>“Düzeltici faaliyetler”, bir uyumsuzluğun veya istenmeyen bir durumun nedenlerini ortadan kaldırmak için atılan ve tekrarlanmalarını önlemek için tasarlanan ardışık adımları olan bir sorun çözme süreci anlamına gelir</w:t>
      </w:r>
      <w:r w:rsidR="00E46DAA" w:rsidRPr="00DE12A3">
        <w:rPr>
          <w:rFonts w:eastAsia="Times New Roman" w:cs="Times New Roman"/>
          <w:color w:val="auto"/>
          <w:spacing w:val="3"/>
        </w:rPr>
        <w:t>.</w:t>
      </w:r>
    </w:p>
    <w:p w14:paraId="48DEF6A1" w14:textId="6E0556EB" w:rsidR="002D7B36" w:rsidRPr="00DE12A3" w:rsidRDefault="005821B9" w:rsidP="00E35FD4">
      <w:pPr>
        <w:spacing w:before="120" w:after="120"/>
        <w:jc w:val="both"/>
        <w:rPr>
          <w:rFonts w:eastAsia="Times New Roman" w:cs="Times New Roman"/>
          <w:b/>
          <w:color w:val="auto"/>
        </w:rPr>
      </w:pPr>
      <w:r w:rsidRPr="00DE12A3">
        <w:rPr>
          <w:rFonts w:eastAsia="Times New Roman" w:cs="Times New Roman"/>
          <w:b/>
          <w:color w:val="auto"/>
        </w:rPr>
        <w:t xml:space="preserve">2. </w:t>
      </w:r>
      <w:r w:rsidR="00242DA0" w:rsidRPr="00DE12A3">
        <w:rPr>
          <w:rFonts w:eastAsia="Times New Roman" w:cs="Times New Roman"/>
          <w:b/>
          <w:color w:val="auto"/>
        </w:rPr>
        <w:t>Amaç</w:t>
      </w:r>
    </w:p>
    <w:p w14:paraId="2CA85B8D" w14:textId="58203A1D" w:rsidR="002D7B36" w:rsidRPr="00DE12A3" w:rsidRDefault="00030B8A" w:rsidP="00E35FD4">
      <w:pPr>
        <w:spacing w:before="120" w:after="120"/>
        <w:jc w:val="both"/>
        <w:rPr>
          <w:rFonts w:eastAsia="Times New Roman" w:cs="Times New Roman"/>
          <w:color w:val="auto"/>
          <w:spacing w:val="3"/>
        </w:rPr>
      </w:pPr>
      <w:r w:rsidRPr="00DE12A3">
        <w:rPr>
          <w:rFonts w:eastAsia="Times New Roman" w:cs="Times New Roman"/>
          <w:color w:val="auto"/>
          <w:spacing w:val="3"/>
        </w:rPr>
        <w:t xml:space="preserve">2.1. </w:t>
      </w:r>
      <w:r w:rsidR="00242DA0" w:rsidRPr="00DE12A3">
        <w:rPr>
          <w:rFonts w:eastAsia="Times New Roman" w:cs="Times New Roman"/>
          <w:color w:val="auto"/>
          <w:spacing w:val="3"/>
        </w:rPr>
        <w:t xml:space="preserve">Üretim uygunluğu düzenlemeleri, her motorun, onaylı motor tipine veya motor ailesine ait özelliklere, performansa ve markalama </w:t>
      </w:r>
      <w:r w:rsidR="0053289F" w:rsidRPr="00DE12A3">
        <w:rPr>
          <w:rFonts w:eastAsia="Times New Roman" w:cs="Times New Roman"/>
          <w:color w:val="auto"/>
          <w:spacing w:val="3"/>
        </w:rPr>
        <w:t>gerekliliklerine</w:t>
      </w:r>
      <w:r w:rsidR="00242DA0" w:rsidRPr="00DE12A3">
        <w:rPr>
          <w:rFonts w:eastAsia="Times New Roman" w:cs="Times New Roman"/>
          <w:color w:val="auto"/>
          <w:spacing w:val="3"/>
        </w:rPr>
        <w:t xml:space="preserve"> uygun olmasını sağlamayı amaçlar.</w:t>
      </w:r>
    </w:p>
    <w:p w14:paraId="51CCFAA0" w14:textId="12563551" w:rsidR="002D7B36" w:rsidRPr="00DE12A3" w:rsidRDefault="00030B8A" w:rsidP="00E35FD4">
      <w:pPr>
        <w:spacing w:before="120" w:after="120"/>
        <w:jc w:val="both"/>
        <w:rPr>
          <w:rFonts w:eastAsia="Times New Roman" w:cs="Times New Roman"/>
          <w:color w:val="auto"/>
          <w:spacing w:val="3"/>
        </w:rPr>
      </w:pPr>
      <w:r w:rsidRPr="00DE12A3">
        <w:rPr>
          <w:rFonts w:eastAsia="Times New Roman" w:cs="Times New Roman"/>
          <w:color w:val="auto"/>
          <w:spacing w:val="3"/>
        </w:rPr>
        <w:t xml:space="preserve">2.2. </w:t>
      </w:r>
      <w:r w:rsidR="00242DA0" w:rsidRPr="00DE12A3">
        <w:rPr>
          <w:rFonts w:eastAsia="Times New Roman" w:cs="Times New Roman"/>
          <w:color w:val="auto"/>
          <w:spacing w:val="3"/>
        </w:rPr>
        <w:t xml:space="preserve">Prosedürler, ayrılmaz bir şekilde, “ilk değerlendirme” olarak adlandırılan ve 3. </w:t>
      </w:r>
      <w:r w:rsidR="00AE7733" w:rsidRPr="00DE12A3">
        <w:rPr>
          <w:rFonts w:eastAsia="Times New Roman" w:cs="Times New Roman"/>
          <w:color w:val="auto"/>
          <w:spacing w:val="3"/>
        </w:rPr>
        <w:t>B</w:t>
      </w:r>
      <w:r w:rsidR="00242DA0" w:rsidRPr="00DE12A3">
        <w:rPr>
          <w:rFonts w:eastAsia="Times New Roman" w:cs="Times New Roman"/>
          <w:color w:val="auto"/>
          <w:spacing w:val="3"/>
        </w:rPr>
        <w:t xml:space="preserve">ölümde belirtilen kalite kontrol sistemlerinin değerlendirmesini ve “ürün uygunluk düzenlemeleri” olarak adlandırılan ve 4. </w:t>
      </w:r>
      <w:r w:rsidR="00721C89" w:rsidRPr="00DE12A3">
        <w:rPr>
          <w:rFonts w:eastAsia="Times New Roman" w:cs="Times New Roman"/>
          <w:color w:val="auto"/>
          <w:spacing w:val="3"/>
        </w:rPr>
        <w:t>Bölüm</w:t>
      </w:r>
      <w:r w:rsidR="00242DA0" w:rsidRPr="00DE12A3">
        <w:rPr>
          <w:rFonts w:eastAsia="Times New Roman" w:cs="Times New Roman"/>
          <w:color w:val="auto"/>
          <w:spacing w:val="3"/>
        </w:rPr>
        <w:t>de belirtilen doğrulama ve üretim ile ilgili kontrolleri içerir.</w:t>
      </w:r>
    </w:p>
    <w:p w14:paraId="3FB7B420" w14:textId="773F2F31" w:rsidR="002D7B36" w:rsidRPr="00DE12A3" w:rsidRDefault="00030B8A" w:rsidP="00E35FD4">
      <w:pPr>
        <w:spacing w:before="120" w:after="120"/>
        <w:jc w:val="both"/>
        <w:rPr>
          <w:rFonts w:eastAsia="Times New Roman" w:cs="Times New Roman"/>
          <w:b/>
          <w:color w:val="auto"/>
        </w:rPr>
      </w:pPr>
      <w:r w:rsidRPr="00DE12A3">
        <w:rPr>
          <w:rFonts w:eastAsia="Times New Roman" w:cs="Times New Roman"/>
          <w:b/>
          <w:color w:val="auto"/>
        </w:rPr>
        <w:t xml:space="preserve">3. </w:t>
      </w:r>
      <w:r w:rsidR="00242DA0" w:rsidRPr="00DE12A3">
        <w:rPr>
          <w:rFonts w:eastAsia="Times New Roman" w:cs="Times New Roman"/>
          <w:b/>
          <w:color w:val="auto"/>
        </w:rPr>
        <w:t>İlk değerlendirme</w:t>
      </w:r>
    </w:p>
    <w:p w14:paraId="05860DF7" w14:textId="043EAA39" w:rsidR="002D7B36" w:rsidRPr="00DE12A3" w:rsidRDefault="00030B8A" w:rsidP="00E35FD4">
      <w:pPr>
        <w:spacing w:before="120" w:after="120"/>
        <w:jc w:val="both"/>
        <w:rPr>
          <w:rFonts w:eastAsia="Times New Roman" w:cs="Times New Roman"/>
          <w:color w:val="auto"/>
          <w:spacing w:val="3"/>
        </w:rPr>
      </w:pPr>
      <w:r w:rsidRPr="00DE12A3">
        <w:rPr>
          <w:rFonts w:eastAsia="Times New Roman" w:cs="Times New Roman"/>
          <w:color w:val="auto"/>
          <w:spacing w:val="3"/>
        </w:rPr>
        <w:t xml:space="preserve">3.1. </w:t>
      </w:r>
      <w:r w:rsidR="00242DA0" w:rsidRPr="00DE12A3">
        <w:rPr>
          <w:rFonts w:eastAsia="Times New Roman" w:cs="Times New Roman"/>
          <w:color w:val="auto"/>
          <w:spacing w:val="3"/>
        </w:rPr>
        <w:t xml:space="preserve">AB tip onayını vermeden önce, </w:t>
      </w:r>
      <w:r w:rsidR="007E2039" w:rsidRPr="00DE12A3">
        <w:rPr>
          <w:rFonts w:eastAsia="Times New Roman" w:cs="Times New Roman"/>
          <w:color w:val="auto"/>
          <w:spacing w:val="3"/>
        </w:rPr>
        <w:t xml:space="preserve">onay </w:t>
      </w:r>
      <w:r w:rsidR="00977983" w:rsidRPr="00DE12A3">
        <w:rPr>
          <w:rFonts w:eastAsia="Times New Roman" w:cs="Times New Roman"/>
          <w:color w:val="auto"/>
          <w:spacing w:val="3"/>
        </w:rPr>
        <w:t>kuruluşu,</w:t>
      </w:r>
      <w:r w:rsidR="00242DA0" w:rsidRPr="00DE12A3">
        <w:rPr>
          <w:rFonts w:eastAsia="Times New Roman" w:cs="Times New Roman"/>
          <w:color w:val="auto"/>
          <w:spacing w:val="3"/>
        </w:rPr>
        <w:t xml:space="preserve"> üretim sırasında motorların onaylı motor tipine veya motor ailesine uygun olmasının etkin kontrolünü sağlamak için üretici tarafından oluşturulan tatmin edici düzenlemeler ve prosedürler olduğunu doğrulamalıdır.</w:t>
      </w:r>
    </w:p>
    <w:p w14:paraId="02D26426" w14:textId="2749D3BE" w:rsidR="002D7B36" w:rsidRPr="00DE12A3" w:rsidRDefault="00030B8A" w:rsidP="00E35FD4">
      <w:pPr>
        <w:spacing w:before="120" w:after="120"/>
        <w:jc w:val="both"/>
        <w:rPr>
          <w:rFonts w:eastAsia="Times New Roman" w:cs="Times New Roman"/>
          <w:color w:val="auto"/>
          <w:spacing w:val="3"/>
        </w:rPr>
      </w:pPr>
      <w:r w:rsidRPr="00DE12A3">
        <w:rPr>
          <w:rFonts w:eastAsia="Times New Roman" w:cs="Times New Roman"/>
          <w:color w:val="auto"/>
          <w:spacing w:val="3"/>
        </w:rPr>
        <w:t xml:space="preserve">3.2. </w:t>
      </w:r>
      <w:r w:rsidR="00242DA0" w:rsidRPr="00DE12A3">
        <w:rPr>
          <w:rFonts w:eastAsia="Times New Roman" w:cs="Times New Roman"/>
          <w:color w:val="auto"/>
          <w:spacing w:val="3"/>
        </w:rPr>
        <w:t>İlk değerlendirmede EN ISO 19011:2011 standardında belirtilen kalite ve/veya çevre yönetim sistemlerine ilişkin denetim esasları uygulanır.</w:t>
      </w:r>
    </w:p>
    <w:p w14:paraId="5C58A7BF" w14:textId="178DDC90" w:rsidR="002D7B36" w:rsidRPr="00DE12A3" w:rsidRDefault="00030B8A" w:rsidP="00E35FD4">
      <w:pPr>
        <w:spacing w:before="120" w:after="120"/>
        <w:jc w:val="both"/>
        <w:rPr>
          <w:rFonts w:eastAsia="Times New Roman" w:cs="Times New Roman"/>
          <w:color w:val="auto"/>
          <w:spacing w:val="3"/>
        </w:rPr>
      </w:pPr>
      <w:r w:rsidRPr="00DE12A3">
        <w:rPr>
          <w:rFonts w:eastAsia="Times New Roman" w:cs="Times New Roman"/>
          <w:color w:val="auto"/>
          <w:spacing w:val="3"/>
        </w:rPr>
        <w:t xml:space="preserve">3.3. </w:t>
      </w:r>
      <w:r w:rsidR="007E2039" w:rsidRPr="00DE12A3">
        <w:rPr>
          <w:rFonts w:eastAsia="Times New Roman" w:cs="Times New Roman"/>
          <w:color w:val="auto"/>
          <w:spacing w:val="3"/>
        </w:rPr>
        <w:t xml:space="preserve">Onay </w:t>
      </w:r>
      <w:r w:rsidR="00977983" w:rsidRPr="00DE12A3">
        <w:rPr>
          <w:rFonts w:eastAsia="Times New Roman" w:cs="Times New Roman"/>
          <w:color w:val="auto"/>
          <w:spacing w:val="3"/>
        </w:rPr>
        <w:t>kuruluşu,</w:t>
      </w:r>
      <w:r w:rsidR="00242DA0" w:rsidRPr="00DE12A3">
        <w:rPr>
          <w:rFonts w:eastAsia="Times New Roman" w:cs="Times New Roman"/>
          <w:color w:val="auto"/>
          <w:spacing w:val="3"/>
        </w:rPr>
        <w:t xml:space="preserve"> 3.3.1 ila 3.3.3 </w:t>
      </w:r>
      <w:r w:rsidR="00AE7733" w:rsidRPr="00DE12A3">
        <w:rPr>
          <w:rFonts w:eastAsia="Times New Roman" w:cs="Times New Roman"/>
          <w:color w:val="auto"/>
          <w:spacing w:val="3"/>
        </w:rPr>
        <w:t>bentlerinde</w:t>
      </w:r>
      <w:r w:rsidR="00242DA0" w:rsidRPr="00DE12A3">
        <w:rPr>
          <w:rFonts w:eastAsia="Times New Roman" w:cs="Times New Roman"/>
          <w:color w:val="auto"/>
          <w:spacing w:val="3"/>
        </w:rPr>
        <w:t xml:space="preserve"> belirtilen düzenlemelerden birinin gerekliliğini dikkate alarak 4. </w:t>
      </w:r>
      <w:r w:rsidR="00721C89" w:rsidRPr="00DE12A3">
        <w:rPr>
          <w:rFonts w:eastAsia="Times New Roman" w:cs="Times New Roman"/>
          <w:color w:val="auto"/>
          <w:spacing w:val="3"/>
        </w:rPr>
        <w:t>Bölüm</w:t>
      </w:r>
      <w:r w:rsidR="00242DA0" w:rsidRPr="00DE12A3">
        <w:rPr>
          <w:rFonts w:eastAsia="Times New Roman" w:cs="Times New Roman"/>
          <w:color w:val="auto"/>
          <w:spacing w:val="3"/>
        </w:rPr>
        <w:t>deki ilk değerlendirmeden ve ürün uygunluk düzenlemelerinden veya bu düzenlemelerin tamamının veya bir kısmının bir birleşiminden tatmin olacaktır.</w:t>
      </w:r>
    </w:p>
    <w:p w14:paraId="50282F18" w14:textId="4254ED6A" w:rsidR="002D7B36" w:rsidRPr="00DE12A3" w:rsidRDefault="005B53DA" w:rsidP="00E35FD4">
      <w:pPr>
        <w:shd w:val="clear" w:color="auto" w:fill="FFFFFF"/>
        <w:spacing w:before="120" w:after="120"/>
        <w:ind w:firstLine="709"/>
        <w:jc w:val="both"/>
        <w:rPr>
          <w:rFonts w:eastAsia="Times New Roman" w:cs="Times New Roman"/>
          <w:color w:val="auto"/>
          <w:spacing w:val="3"/>
        </w:rPr>
      </w:pPr>
      <w:r w:rsidRPr="00DE12A3">
        <w:rPr>
          <w:rFonts w:eastAsia="Times New Roman" w:cs="Times New Roman"/>
          <w:color w:val="auto"/>
          <w:spacing w:val="3"/>
        </w:rPr>
        <w:t xml:space="preserve">3.3.1. </w:t>
      </w:r>
      <w:r w:rsidR="00242DA0" w:rsidRPr="00DE12A3">
        <w:rPr>
          <w:rFonts w:eastAsia="Times New Roman" w:cs="Times New Roman"/>
          <w:color w:val="auto"/>
          <w:spacing w:val="3"/>
        </w:rPr>
        <w:t xml:space="preserve">İlk değerlendirme ve/veya ürün uygunluk düzenlemelerinin doğrulanması, onayı veren onay </w:t>
      </w:r>
      <w:r w:rsidR="00C917D6" w:rsidRPr="00DE12A3">
        <w:rPr>
          <w:rFonts w:eastAsia="Times New Roman" w:cs="Times New Roman"/>
          <w:color w:val="auto"/>
          <w:spacing w:val="3"/>
        </w:rPr>
        <w:t>kuruluşu</w:t>
      </w:r>
      <w:r w:rsidR="00242DA0" w:rsidRPr="00DE12A3">
        <w:rPr>
          <w:rFonts w:eastAsia="Times New Roman" w:cs="Times New Roman"/>
          <w:color w:val="auto"/>
          <w:spacing w:val="3"/>
        </w:rPr>
        <w:t xml:space="preserve"> veya onay </w:t>
      </w:r>
      <w:r w:rsidR="00C917D6" w:rsidRPr="00DE12A3">
        <w:rPr>
          <w:rFonts w:eastAsia="Times New Roman" w:cs="Times New Roman"/>
          <w:color w:val="auto"/>
          <w:spacing w:val="3"/>
        </w:rPr>
        <w:t>kuruluşu</w:t>
      </w:r>
      <w:r w:rsidR="00242DA0" w:rsidRPr="00DE12A3">
        <w:rPr>
          <w:rFonts w:eastAsia="Times New Roman" w:cs="Times New Roman"/>
          <w:color w:val="auto"/>
          <w:spacing w:val="3"/>
        </w:rPr>
        <w:t xml:space="preserve"> adına hareket eden bir birim tarafından yapılır.</w:t>
      </w:r>
    </w:p>
    <w:p w14:paraId="30A37AFF" w14:textId="08B6C088" w:rsidR="002D7B36" w:rsidRPr="00DE12A3" w:rsidRDefault="00A121ED" w:rsidP="00E35FD4">
      <w:pPr>
        <w:spacing w:before="120" w:after="120"/>
        <w:ind w:firstLine="709"/>
        <w:jc w:val="both"/>
        <w:rPr>
          <w:rFonts w:eastAsia="Times New Roman" w:cs="Times New Roman"/>
          <w:color w:val="auto"/>
          <w:spacing w:val="3"/>
        </w:rPr>
      </w:pPr>
      <w:r w:rsidRPr="00DE12A3">
        <w:rPr>
          <w:rFonts w:eastAsia="Times New Roman" w:cs="Times New Roman"/>
          <w:color w:val="auto"/>
          <w:spacing w:val="3"/>
        </w:rPr>
        <w:t xml:space="preserve">3.3.1.1. </w:t>
      </w:r>
      <w:r w:rsidR="00242DA0" w:rsidRPr="00DE12A3">
        <w:rPr>
          <w:rFonts w:eastAsia="Times New Roman" w:cs="Times New Roman"/>
          <w:color w:val="auto"/>
          <w:spacing w:val="3"/>
        </w:rPr>
        <w:t xml:space="preserve">Yapılacak ilk değerlendirmenin kapsamını değerlendirirken, </w:t>
      </w:r>
      <w:r w:rsidR="007E2039" w:rsidRPr="00DE12A3">
        <w:rPr>
          <w:rFonts w:eastAsia="Times New Roman" w:cs="Times New Roman"/>
          <w:color w:val="auto"/>
          <w:spacing w:val="3"/>
        </w:rPr>
        <w:t xml:space="preserve">onay </w:t>
      </w:r>
      <w:r w:rsidR="00977983" w:rsidRPr="00DE12A3">
        <w:rPr>
          <w:rFonts w:eastAsia="Times New Roman" w:cs="Times New Roman"/>
          <w:color w:val="auto"/>
          <w:spacing w:val="3"/>
        </w:rPr>
        <w:t>kuruluşu 3.3.3</w:t>
      </w:r>
      <w:r w:rsidR="00242DA0" w:rsidRPr="00DE12A3">
        <w:rPr>
          <w:rFonts w:eastAsia="Times New Roman" w:cs="Times New Roman"/>
          <w:color w:val="auto"/>
          <w:spacing w:val="3"/>
        </w:rPr>
        <w:t xml:space="preserve"> </w:t>
      </w:r>
      <w:r w:rsidR="00AE7733" w:rsidRPr="00DE12A3">
        <w:rPr>
          <w:rFonts w:eastAsia="Times New Roman" w:cs="Times New Roman"/>
          <w:color w:val="auto"/>
          <w:spacing w:val="3"/>
        </w:rPr>
        <w:t>bendi</w:t>
      </w:r>
      <w:r w:rsidR="00242DA0" w:rsidRPr="00DE12A3">
        <w:rPr>
          <w:rFonts w:eastAsia="Times New Roman" w:cs="Times New Roman"/>
          <w:color w:val="auto"/>
          <w:spacing w:val="3"/>
        </w:rPr>
        <w:t xml:space="preserve"> kapsamında kabul edilmemiş olan imalatçı sertifikasyonu ile ilgili mevcut bilgileri dikkate alabilir.</w:t>
      </w:r>
    </w:p>
    <w:p w14:paraId="0AB242DC" w14:textId="0FE51AE0" w:rsidR="002D7B36" w:rsidRPr="00DE12A3" w:rsidRDefault="00A121ED" w:rsidP="00E35FD4">
      <w:pPr>
        <w:shd w:val="clear" w:color="auto" w:fill="FFFFFF"/>
        <w:spacing w:before="120" w:after="120"/>
        <w:ind w:firstLine="709"/>
        <w:jc w:val="both"/>
        <w:rPr>
          <w:rFonts w:eastAsia="Times New Roman" w:cs="Times New Roman"/>
          <w:color w:val="auto"/>
          <w:spacing w:val="3"/>
        </w:rPr>
      </w:pPr>
      <w:r w:rsidRPr="00DE12A3">
        <w:rPr>
          <w:rFonts w:eastAsia="Times New Roman" w:cs="Times New Roman"/>
          <w:color w:val="auto"/>
          <w:spacing w:val="3"/>
        </w:rPr>
        <w:t xml:space="preserve">3.3.2. </w:t>
      </w:r>
      <w:r w:rsidR="00242DA0" w:rsidRPr="00DE12A3">
        <w:rPr>
          <w:rFonts w:eastAsia="Times New Roman" w:cs="Times New Roman"/>
          <w:color w:val="auto"/>
          <w:spacing w:val="3"/>
        </w:rPr>
        <w:t xml:space="preserve">İlk değerlendirme ve/veya ürün uygunluk düzenlemelerinin doğrulanması, aynı zamanda başka bir </w:t>
      </w:r>
      <w:r w:rsidR="00AE7733" w:rsidRPr="00DE12A3">
        <w:rPr>
          <w:rFonts w:eastAsia="Times New Roman" w:cs="Times New Roman"/>
          <w:color w:val="auto"/>
          <w:spacing w:val="3"/>
        </w:rPr>
        <w:t>ü</w:t>
      </w:r>
      <w:r w:rsidR="00242DA0" w:rsidRPr="00DE12A3">
        <w:rPr>
          <w:rFonts w:eastAsia="Times New Roman" w:cs="Times New Roman"/>
          <w:color w:val="auto"/>
          <w:spacing w:val="3"/>
        </w:rPr>
        <w:t xml:space="preserve">ye </w:t>
      </w:r>
      <w:r w:rsidR="00AE7733" w:rsidRPr="00DE12A3">
        <w:rPr>
          <w:rFonts w:eastAsia="Times New Roman" w:cs="Times New Roman"/>
          <w:color w:val="auto"/>
          <w:spacing w:val="3"/>
        </w:rPr>
        <w:t>d</w:t>
      </w:r>
      <w:r w:rsidR="00242DA0" w:rsidRPr="00DE12A3">
        <w:rPr>
          <w:rFonts w:eastAsia="Times New Roman" w:cs="Times New Roman"/>
          <w:color w:val="auto"/>
          <w:spacing w:val="3"/>
        </w:rPr>
        <w:t xml:space="preserve">evletin onay </w:t>
      </w:r>
      <w:r w:rsidR="00C917D6" w:rsidRPr="00DE12A3">
        <w:rPr>
          <w:rFonts w:eastAsia="Times New Roman" w:cs="Times New Roman"/>
          <w:color w:val="auto"/>
          <w:spacing w:val="3"/>
        </w:rPr>
        <w:t>kuruluşu</w:t>
      </w:r>
      <w:r w:rsidR="00242DA0" w:rsidRPr="00DE12A3">
        <w:rPr>
          <w:rFonts w:eastAsia="Times New Roman" w:cs="Times New Roman"/>
          <w:color w:val="auto"/>
          <w:spacing w:val="3"/>
        </w:rPr>
        <w:t xml:space="preserve"> veya söz konusu onay </w:t>
      </w:r>
      <w:r w:rsidR="00C917D6" w:rsidRPr="00DE12A3">
        <w:rPr>
          <w:rFonts w:eastAsia="Times New Roman" w:cs="Times New Roman"/>
          <w:color w:val="auto"/>
          <w:spacing w:val="3"/>
        </w:rPr>
        <w:t>kuruluşu</w:t>
      </w:r>
      <w:r w:rsidR="00242DA0" w:rsidRPr="00DE12A3">
        <w:rPr>
          <w:rFonts w:eastAsia="Times New Roman" w:cs="Times New Roman"/>
          <w:color w:val="auto"/>
          <w:spacing w:val="3"/>
        </w:rPr>
        <w:t xml:space="preserve"> adına hareket eden bir birim ile </w:t>
      </w:r>
      <w:r w:rsidR="00CB0FA9" w:rsidRPr="00DE12A3">
        <w:rPr>
          <w:rFonts w:eastAsia="Times New Roman" w:cs="Times New Roman"/>
          <w:color w:val="auto"/>
          <w:spacing w:val="3"/>
        </w:rPr>
        <w:t>iş birliği</w:t>
      </w:r>
      <w:r w:rsidR="00242DA0" w:rsidRPr="00DE12A3">
        <w:rPr>
          <w:rFonts w:eastAsia="Times New Roman" w:cs="Times New Roman"/>
          <w:color w:val="auto"/>
          <w:spacing w:val="3"/>
        </w:rPr>
        <w:t xml:space="preserve"> içinde de yapılabilir.</w:t>
      </w:r>
    </w:p>
    <w:p w14:paraId="73BBAA91" w14:textId="7D6F9F7A" w:rsidR="002D7B36" w:rsidRPr="00DE12A3" w:rsidRDefault="00242DA0" w:rsidP="00E35FD4">
      <w:pPr>
        <w:shd w:val="clear" w:color="auto" w:fill="FFFFFF"/>
        <w:spacing w:before="120" w:after="120"/>
        <w:ind w:firstLine="709"/>
        <w:jc w:val="both"/>
        <w:rPr>
          <w:rFonts w:eastAsia="Times New Roman" w:cs="Times New Roman"/>
          <w:color w:val="auto"/>
          <w:spacing w:val="3"/>
        </w:rPr>
      </w:pPr>
      <w:r w:rsidRPr="00DE12A3">
        <w:rPr>
          <w:rFonts w:eastAsia="Times New Roman" w:cs="Times New Roman"/>
          <w:color w:val="auto"/>
          <w:spacing w:val="3"/>
        </w:rPr>
        <w:t>3.3.2.</w:t>
      </w:r>
      <w:r w:rsidR="00A121ED" w:rsidRPr="00DE12A3">
        <w:rPr>
          <w:rFonts w:eastAsia="Times New Roman" w:cs="Times New Roman"/>
          <w:color w:val="auto"/>
          <w:spacing w:val="3"/>
        </w:rPr>
        <w:t xml:space="preserve">1. </w:t>
      </w:r>
      <w:r w:rsidRPr="00DE12A3">
        <w:rPr>
          <w:rFonts w:eastAsia="Times New Roman" w:cs="Times New Roman"/>
          <w:color w:val="auto"/>
          <w:spacing w:val="3"/>
        </w:rPr>
        <w:t xml:space="preserve">Böyle bir durumda, diğer </w:t>
      </w:r>
      <w:r w:rsidR="00AE7733" w:rsidRPr="00DE12A3">
        <w:rPr>
          <w:rFonts w:eastAsia="Times New Roman" w:cs="Times New Roman"/>
          <w:color w:val="auto"/>
          <w:spacing w:val="3"/>
        </w:rPr>
        <w:t>ü</w:t>
      </w:r>
      <w:r w:rsidRPr="00DE12A3">
        <w:rPr>
          <w:rFonts w:eastAsia="Times New Roman" w:cs="Times New Roman"/>
          <w:color w:val="auto"/>
          <w:spacing w:val="3"/>
        </w:rPr>
        <w:t xml:space="preserve">ye </w:t>
      </w:r>
      <w:r w:rsidR="00AE7733" w:rsidRPr="00DE12A3">
        <w:rPr>
          <w:rFonts w:eastAsia="Times New Roman" w:cs="Times New Roman"/>
          <w:color w:val="auto"/>
          <w:spacing w:val="3"/>
        </w:rPr>
        <w:t>d</w:t>
      </w:r>
      <w:r w:rsidRPr="00DE12A3">
        <w:rPr>
          <w:rFonts w:eastAsia="Times New Roman" w:cs="Times New Roman"/>
          <w:color w:val="auto"/>
          <w:spacing w:val="3"/>
        </w:rPr>
        <w:t xml:space="preserve">evletin onay </w:t>
      </w:r>
      <w:r w:rsidR="00C917D6" w:rsidRPr="00DE12A3">
        <w:rPr>
          <w:rFonts w:eastAsia="Times New Roman" w:cs="Times New Roman"/>
          <w:color w:val="auto"/>
          <w:spacing w:val="3"/>
        </w:rPr>
        <w:t>kuruluşu</w:t>
      </w:r>
      <w:r w:rsidRPr="00DE12A3">
        <w:rPr>
          <w:rFonts w:eastAsia="Times New Roman" w:cs="Times New Roman"/>
          <w:color w:val="auto"/>
          <w:spacing w:val="3"/>
        </w:rPr>
        <w:t>, motorların AB tip onayı alması ile ilgili olarak kapsamına giren alanları ve üretim tesislerini özetleyen bir uyum beyanı hazırlar.</w:t>
      </w:r>
    </w:p>
    <w:p w14:paraId="018B62CF" w14:textId="0823198E" w:rsidR="002D7B36" w:rsidRPr="00DE12A3" w:rsidRDefault="00242DA0" w:rsidP="00E35FD4">
      <w:pPr>
        <w:shd w:val="clear" w:color="auto" w:fill="FFFFFF"/>
        <w:spacing w:before="120" w:after="120"/>
        <w:ind w:firstLine="709"/>
        <w:jc w:val="both"/>
        <w:rPr>
          <w:rFonts w:eastAsia="Times New Roman" w:cs="Times New Roman"/>
          <w:color w:val="auto"/>
          <w:spacing w:val="3"/>
        </w:rPr>
      </w:pPr>
      <w:r w:rsidRPr="00DE12A3">
        <w:rPr>
          <w:rFonts w:eastAsia="Times New Roman" w:cs="Times New Roman"/>
          <w:color w:val="auto"/>
          <w:spacing w:val="3"/>
        </w:rPr>
        <w:t>3.3.2.2</w:t>
      </w:r>
      <w:r w:rsidR="00A121ED" w:rsidRPr="00DE12A3">
        <w:rPr>
          <w:rFonts w:eastAsia="Times New Roman" w:cs="Times New Roman"/>
          <w:color w:val="auto"/>
          <w:spacing w:val="3"/>
        </w:rPr>
        <w:t xml:space="preserve">. </w:t>
      </w:r>
      <w:r w:rsidRPr="00DE12A3">
        <w:rPr>
          <w:rFonts w:eastAsia="Times New Roman" w:cs="Times New Roman"/>
          <w:color w:val="auto"/>
          <w:spacing w:val="3"/>
        </w:rPr>
        <w:t xml:space="preserve">Bir </w:t>
      </w:r>
      <w:r w:rsidR="00AE7733" w:rsidRPr="00DE12A3">
        <w:rPr>
          <w:rFonts w:eastAsia="Times New Roman" w:cs="Times New Roman"/>
          <w:color w:val="auto"/>
          <w:spacing w:val="3"/>
        </w:rPr>
        <w:t>ü</w:t>
      </w:r>
      <w:r w:rsidRPr="00DE12A3">
        <w:rPr>
          <w:rFonts w:eastAsia="Times New Roman" w:cs="Times New Roman"/>
          <w:color w:val="auto"/>
          <w:spacing w:val="3"/>
        </w:rPr>
        <w:t xml:space="preserve">ye </w:t>
      </w:r>
      <w:r w:rsidR="00AE7733" w:rsidRPr="00DE12A3">
        <w:rPr>
          <w:rFonts w:eastAsia="Times New Roman" w:cs="Times New Roman"/>
          <w:color w:val="auto"/>
          <w:spacing w:val="3"/>
        </w:rPr>
        <w:t>d</w:t>
      </w:r>
      <w:r w:rsidRPr="00DE12A3">
        <w:rPr>
          <w:rFonts w:eastAsia="Times New Roman" w:cs="Times New Roman"/>
          <w:color w:val="auto"/>
          <w:spacing w:val="3"/>
        </w:rPr>
        <w:t xml:space="preserve">evletin onay </w:t>
      </w:r>
      <w:r w:rsidR="00C917D6" w:rsidRPr="00DE12A3">
        <w:rPr>
          <w:rFonts w:eastAsia="Times New Roman" w:cs="Times New Roman"/>
          <w:color w:val="auto"/>
          <w:spacing w:val="3"/>
        </w:rPr>
        <w:t>kuruluşu</w:t>
      </w:r>
      <w:r w:rsidRPr="00DE12A3">
        <w:rPr>
          <w:rFonts w:eastAsia="Times New Roman" w:cs="Times New Roman"/>
          <w:color w:val="auto"/>
          <w:spacing w:val="3"/>
        </w:rPr>
        <w:t xml:space="preserve">, AB tip onayı veren başka bir </w:t>
      </w:r>
      <w:r w:rsidR="00AE7733" w:rsidRPr="00DE12A3">
        <w:rPr>
          <w:rFonts w:eastAsia="Times New Roman" w:cs="Times New Roman"/>
          <w:color w:val="auto"/>
          <w:spacing w:val="3"/>
        </w:rPr>
        <w:t>ü</w:t>
      </w:r>
      <w:r w:rsidRPr="00DE12A3">
        <w:rPr>
          <w:rFonts w:eastAsia="Times New Roman" w:cs="Times New Roman"/>
          <w:color w:val="auto"/>
          <w:spacing w:val="3"/>
        </w:rPr>
        <w:t xml:space="preserve">ye </w:t>
      </w:r>
      <w:r w:rsidR="00AE7733" w:rsidRPr="00DE12A3">
        <w:rPr>
          <w:rFonts w:eastAsia="Times New Roman" w:cs="Times New Roman"/>
          <w:color w:val="auto"/>
          <w:spacing w:val="3"/>
        </w:rPr>
        <w:t>d</w:t>
      </w:r>
      <w:r w:rsidRPr="00DE12A3">
        <w:rPr>
          <w:rFonts w:eastAsia="Times New Roman" w:cs="Times New Roman"/>
          <w:color w:val="auto"/>
          <w:spacing w:val="3"/>
        </w:rPr>
        <w:t xml:space="preserve">evletin onay </w:t>
      </w:r>
      <w:r w:rsidR="00C917D6" w:rsidRPr="00DE12A3">
        <w:rPr>
          <w:rFonts w:eastAsia="Times New Roman" w:cs="Times New Roman"/>
          <w:color w:val="auto"/>
          <w:spacing w:val="3"/>
        </w:rPr>
        <w:t>kuruluşu</w:t>
      </w:r>
      <w:r w:rsidRPr="00DE12A3">
        <w:rPr>
          <w:rFonts w:eastAsia="Times New Roman" w:cs="Times New Roman"/>
          <w:color w:val="auto"/>
          <w:spacing w:val="3"/>
        </w:rPr>
        <w:t xml:space="preserve">ndan bir uyumluluk beyanı başvurusu aldığında, derhal uyumluluk beyanını </w:t>
      </w:r>
      <w:r w:rsidRPr="00DE12A3">
        <w:rPr>
          <w:rFonts w:eastAsia="Times New Roman" w:cs="Times New Roman"/>
          <w:color w:val="auto"/>
          <w:spacing w:val="3"/>
        </w:rPr>
        <w:lastRenderedPageBreak/>
        <w:t>gönderir veya böyle bir beyanda bulunabilecek durumda olmadığını bildirir.</w:t>
      </w:r>
    </w:p>
    <w:p w14:paraId="5B5A427D" w14:textId="29A79640" w:rsidR="002D7B36" w:rsidRPr="00DE12A3" w:rsidRDefault="00242DA0" w:rsidP="00E35FD4">
      <w:pPr>
        <w:shd w:val="clear" w:color="auto" w:fill="FFFFFF"/>
        <w:spacing w:before="120" w:after="120"/>
        <w:ind w:firstLine="709"/>
        <w:jc w:val="both"/>
        <w:rPr>
          <w:rFonts w:eastAsia="Times New Roman" w:cs="Times New Roman"/>
          <w:color w:val="auto"/>
          <w:spacing w:val="3"/>
        </w:rPr>
      </w:pPr>
      <w:r w:rsidRPr="00DE12A3">
        <w:rPr>
          <w:rFonts w:eastAsia="Times New Roman" w:cs="Times New Roman"/>
          <w:color w:val="auto"/>
          <w:spacing w:val="3"/>
        </w:rPr>
        <w:t>3.3.2.3.</w:t>
      </w:r>
      <w:r w:rsidR="0045371E" w:rsidRPr="00DE12A3">
        <w:rPr>
          <w:rFonts w:eastAsia="Times New Roman" w:cs="Times New Roman"/>
          <w:color w:val="auto"/>
          <w:spacing w:val="3"/>
        </w:rPr>
        <w:t xml:space="preserve"> </w:t>
      </w:r>
      <w:r w:rsidRPr="00DE12A3">
        <w:rPr>
          <w:rFonts w:eastAsia="Times New Roman" w:cs="Times New Roman"/>
          <w:color w:val="auto"/>
          <w:spacing w:val="3"/>
        </w:rPr>
        <w:t>Uyumluluk beyanı en azından aşağıdakileri içermelidir:</w:t>
      </w:r>
    </w:p>
    <w:p w14:paraId="30B5A475" w14:textId="4112BFF2" w:rsidR="002D7B36" w:rsidRPr="00DE12A3" w:rsidRDefault="00242DA0" w:rsidP="00E35FD4">
      <w:pPr>
        <w:shd w:val="clear" w:color="auto" w:fill="FFFFFF"/>
        <w:spacing w:before="120" w:after="120"/>
        <w:ind w:firstLine="709"/>
        <w:jc w:val="both"/>
        <w:rPr>
          <w:rFonts w:eastAsia="Times New Roman" w:cs="Times New Roman"/>
          <w:color w:val="auto"/>
          <w:spacing w:val="3"/>
        </w:rPr>
      </w:pPr>
      <w:r w:rsidRPr="00DE12A3">
        <w:rPr>
          <w:rFonts w:eastAsia="Times New Roman" w:cs="Times New Roman"/>
          <w:color w:val="auto"/>
          <w:spacing w:val="3"/>
        </w:rPr>
        <w:t>3.3.2.3.1.</w:t>
      </w:r>
      <w:r w:rsidR="003C7891" w:rsidRPr="00DE12A3">
        <w:rPr>
          <w:rFonts w:eastAsia="Times New Roman" w:cs="Times New Roman"/>
          <w:color w:val="auto"/>
          <w:spacing w:val="3"/>
        </w:rPr>
        <w:t xml:space="preserve"> </w:t>
      </w:r>
      <w:r w:rsidR="00877D3B" w:rsidRPr="00DE12A3">
        <w:rPr>
          <w:rFonts w:eastAsia="Times New Roman" w:cs="Times New Roman"/>
          <w:color w:val="auto"/>
          <w:spacing w:val="3"/>
        </w:rPr>
        <w:t>G</w:t>
      </w:r>
      <w:r w:rsidRPr="00DE12A3">
        <w:rPr>
          <w:rFonts w:eastAsia="Times New Roman" w:cs="Times New Roman"/>
          <w:color w:val="auto"/>
          <w:spacing w:val="3"/>
        </w:rPr>
        <w:t>rup veya şirket (ör</w:t>
      </w:r>
      <w:r w:rsidR="00AE7733" w:rsidRPr="00DE12A3">
        <w:rPr>
          <w:rFonts w:eastAsia="Times New Roman" w:cs="Times New Roman"/>
          <w:color w:val="auto"/>
          <w:spacing w:val="3"/>
        </w:rPr>
        <w:t>neğin</w:t>
      </w:r>
      <w:r w:rsidRPr="00DE12A3">
        <w:rPr>
          <w:rFonts w:eastAsia="Times New Roman" w:cs="Times New Roman"/>
          <w:color w:val="auto"/>
          <w:spacing w:val="3"/>
        </w:rPr>
        <w:t xml:space="preserve"> XYZ imalat)</w:t>
      </w:r>
      <w:r w:rsidR="00AE7733" w:rsidRPr="00DE12A3">
        <w:rPr>
          <w:rFonts w:eastAsia="Times New Roman" w:cs="Times New Roman"/>
          <w:color w:val="auto"/>
          <w:spacing w:val="3"/>
        </w:rPr>
        <w:t>.</w:t>
      </w:r>
    </w:p>
    <w:p w14:paraId="4372E2C9" w14:textId="3E1B7003" w:rsidR="002D7B36" w:rsidRPr="00DE12A3" w:rsidRDefault="00242DA0" w:rsidP="00E35FD4">
      <w:pPr>
        <w:shd w:val="clear" w:color="auto" w:fill="FFFFFF"/>
        <w:spacing w:before="120" w:after="120"/>
        <w:ind w:firstLine="709"/>
        <w:jc w:val="both"/>
        <w:rPr>
          <w:rFonts w:eastAsia="Times New Roman" w:cs="Times New Roman"/>
          <w:color w:val="auto"/>
          <w:spacing w:val="3"/>
        </w:rPr>
      </w:pPr>
      <w:r w:rsidRPr="00DE12A3">
        <w:rPr>
          <w:rFonts w:eastAsia="Times New Roman" w:cs="Times New Roman"/>
          <w:color w:val="auto"/>
          <w:spacing w:val="3"/>
        </w:rPr>
        <w:t>3.3.2.3.2.</w:t>
      </w:r>
      <w:r w:rsidR="003C7891" w:rsidRPr="00DE12A3">
        <w:rPr>
          <w:rFonts w:eastAsia="Times New Roman" w:cs="Times New Roman"/>
          <w:color w:val="auto"/>
          <w:spacing w:val="3"/>
        </w:rPr>
        <w:t xml:space="preserve"> </w:t>
      </w:r>
      <w:r w:rsidR="00877D3B" w:rsidRPr="00DE12A3">
        <w:rPr>
          <w:rFonts w:eastAsia="Times New Roman" w:cs="Times New Roman"/>
          <w:color w:val="auto"/>
          <w:spacing w:val="3"/>
        </w:rPr>
        <w:t>B</w:t>
      </w:r>
      <w:r w:rsidRPr="00DE12A3">
        <w:rPr>
          <w:rFonts w:eastAsia="Times New Roman" w:cs="Times New Roman"/>
          <w:color w:val="auto"/>
          <w:spacing w:val="3"/>
        </w:rPr>
        <w:t>elirli kuruluş (ör</w:t>
      </w:r>
      <w:r w:rsidR="00AE7733" w:rsidRPr="00DE12A3">
        <w:rPr>
          <w:rFonts w:eastAsia="Times New Roman" w:cs="Times New Roman"/>
          <w:color w:val="auto"/>
          <w:spacing w:val="3"/>
        </w:rPr>
        <w:t>neğin</w:t>
      </w:r>
      <w:r w:rsidRPr="00DE12A3">
        <w:rPr>
          <w:rFonts w:eastAsia="Times New Roman" w:cs="Times New Roman"/>
          <w:color w:val="auto"/>
          <w:spacing w:val="3"/>
        </w:rPr>
        <w:t xml:space="preserve"> Avrupa bölümü)</w:t>
      </w:r>
      <w:r w:rsidR="00AE7733" w:rsidRPr="00DE12A3">
        <w:rPr>
          <w:rFonts w:eastAsia="Times New Roman" w:cs="Times New Roman"/>
          <w:color w:val="auto"/>
          <w:spacing w:val="3"/>
        </w:rPr>
        <w:t>.</w:t>
      </w:r>
    </w:p>
    <w:p w14:paraId="29732165" w14:textId="4978B1F8" w:rsidR="002D7B36" w:rsidRPr="00DE12A3" w:rsidRDefault="00242DA0" w:rsidP="00E35FD4">
      <w:pPr>
        <w:shd w:val="clear" w:color="auto" w:fill="FFFFFF"/>
        <w:spacing w:before="120" w:after="120"/>
        <w:ind w:firstLine="709"/>
        <w:jc w:val="both"/>
        <w:rPr>
          <w:rFonts w:eastAsia="Times New Roman" w:cs="Times New Roman"/>
          <w:color w:val="auto"/>
          <w:spacing w:val="3"/>
        </w:rPr>
      </w:pPr>
      <w:r w:rsidRPr="00DE12A3">
        <w:rPr>
          <w:rFonts w:eastAsia="Times New Roman" w:cs="Times New Roman"/>
          <w:color w:val="auto"/>
          <w:spacing w:val="3"/>
        </w:rPr>
        <w:t>3.3.2.3.3.</w:t>
      </w:r>
      <w:r w:rsidR="003C7891" w:rsidRPr="00DE12A3">
        <w:rPr>
          <w:rFonts w:eastAsia="Times New Roman" w:cs="Times New Roman"/>
          <w:color w:val="auto"/>
          <w:spacing w:val="3"/>
        </w:rPr>
        <w:t xml:space="preserve"> </w:t>
      </w:r>
      <w:r w:rsidR="00877D3B" w:rsidRPr="00DE12A3">
        <w:rPr>
          <w:rFonts w:eastAsia="Times New Roman" w:cs="Times New Roman"/>
          <w:color w:val="auto"/>
          <w:spacing w:val="3"/>
        </w:rPr>
        <w:t>T</w:t>
      </w:r>
      <w:r w:rsidRPr="00DE12A3">
        <w:rPr>
          <w:rFonts w:eastAsia="Times New Roman" w:cs="Times New Roman"/>
          <w:color w:val="auto"/>
          <w:spacing w:val="3"/>
        </w:rPr>
        <w:t>esisler/şantiyeler (ör</w:t>
      </w:r>
      <w:r w:rsidR="00AE7733" w:rsidRPr="00DE12A3">
        <w:rPr>
          <w:rFonts w:eastAsia="Times New Roman" w:cs="Times New Roman"/>
          <w:color w:val="auto"/>
          <w:spacing w:val="3"/>
        </w:rPr>
        <w:t>neğin</w:t>
      </w:r>
      <w:r w:rsidRPr="00DE12A3">
        <w:rPr>
          <w:rFonts w:eastAsia="Times New Roman" w:cs="Times New Roman"/>
          <w:color w:val="auto"/>
          <w:spacing w:val="3"/>
        </w:rPr>
        <w:t xml:space="preserve"> 1. motor tesisi (Birleşik Krallık) - 2. motor tesisi (Almanya))</w:t>
      </w:r>
      <w:r w:rsidR="00AE7733" w:rsidRPr="00DE12A3">
        <w:rPr>
          <w:rFonts w:eastAsia="Times New Roman" w:cs="Times New Roman"/>
          <w:color w:val="auto"/>
          <w:spacing w:val="3"/>
        </w:rPr>
        <w:t>.</w:t>
      </w:r>
    </w:p>
    <w:p w14:paraId="40D4FA81" w14:textId="2A09153A" w:rsidR="002D7B36" w:rsidRPr="00DE12A3" w:rsidRDefault="00242DA0" w:rsidP="00E35FD4">
      <w:pPr>
        <w:shd w:val="clear" w:color="auto" w:fill="FFFFFF"/>
        <w:spacing w:before="120" w:after="120"/>
        <w:ind w:firstLine="709"/>
        <w:jc w:val="both"/>
        <w:rPr>
          <w:rFonts w:eastAsia="Times New Roman" w:cs="Times New Roman"/>
          <w:color w:val="auto"/>
          <w:spacing w:val="3"/>
        </w:rPr>
      </w:pPr>
      <w:r w:rsidRPr="00DE12A3">
        <w:rPr>
          <w:rFonts w:eastAsia="Times New Roman" w:cs="Times New Roman"/>
          <w:color w:val="auto"/>
          <w:spacing w:val="3"/>
        </w:rPr>
        <w:t>3.3.2.3.4.</w:t>
      </w:r>
      <w:r w:rsidR="00E35FD4" w:rsidRPr="00DE12A3">
        <w:rPr>
          <w:rFonts w:eastAsia="Times New Roman" w:cs="Times New Roman"/>
          <w:color w:val="auto"/>
          <w:spacing w:val="3"/>
        </w:rPr>
        <w:t xml:space="preserve"> </w:t>
      </w:r>
      <w:r w:rsidR="00877D3B" w:rsidRPr="00DE12A3">
        <w:rPr>
          <w:rFonts w:eastAsia="Times New Roman" w:cs="Times New Roman"/>
          <w:color w:val="auto"/>
          <w:spacing w:val="3"/>
        </w:rPr>
        <w:t>D</w:t>
      </w:r>
      <w:r w:rsidRPr="00DE12A3">
        <w:rPr>
          <w:rFonts w:eastAsia="Times New Roman" w:cs="Times New Roman"/>
          <w:color w:val="auto"/>
          <w:spacing w:val="3"/>
        </w:rPr>
        <w:t>ahil edilen motor tipleri/motor aileleri</w:t>
      </w:r>
    </w:p>
    <w:p w14:paraId="459B0666" w14:textId="57A25202" w:rsidR="002D7B36" w:rsidRPr="00DE12A3" w:rsidRDefault="00242DA0" w:rsidP="00E35FD4">
      <w:pPr>
        <w:shd w:val="clear" w:color="auto" w:fill="FFFFFF"/>
        <w:spacing w:before="120" w:after="120"/>
        <w:ind w:firstLine="709"/>
        <w:jc w:val="both"/>
        <w:rPr>
          <w:rFonts w:eastAsia="Times New Roman" w:cs="Times New Roman"/>
          <w:color w:val="auto"/>
          <w:spacing w:val="3"/>
        </w:rPr>
      </w:pPr>
      <w:r w:rsidRPr="00DE12A3">
        <w:rPr>
          <w:rFonts w:eastAsia="Times New Roman" w:cs="Times New Roman"/>
          <w:color w:val="auto"/>
          <w:spacing w:val="3"/>
        </w:rPr>
        <w:t>3.3.2.3.5.</w:t>
      </w:r>
      <w:r w:rsidR="00CB0FA9" w:rsidRPr="00DE12A3">
        <w:rPr>
          <w:rFonts w:eastAsia="Times New Roman" w:cs="Times New Roman"/>
          <w:color w:val="auto"/>
          <w:spacing w:val="3"/>
        </w:rPr>
        <w:t xml:space="preserve"> </w:t>
      </w:r>
      <w:r w:rsidR="00877D3B" w:rsidRPr="00DE12A3">
        <w:rPr>
          <w:rFonts w:eastAsia="Times New Roman" w:cs="Times New Roman"/>
          <w:color w:val="auto"/>
          <w:spacing w:val="3"/>
        </w:rPr>
        <w:t>D</w:t>
      </w:r>
      <w:r w:rsidRPr="00DE12A3">
        <w:rPr>
          <w:rFonts w:eastAsia="Times New Roman" w:cs="Times New Roman"/>
          <w:color w:val="auto"/>
          <w:spacing w:val="3"/>
        </w:rPr>
        <w:t>eğerlendirilen alanlar (ör</w:t>
      </w:r>
      <w:r w:rsidR="00AE7733" w:rsidRPr="00DE12A3">
        <w:rPr>
          <w:rFonts w:eastAsia="Times New Roman" w:cs="Times New Roman"/>
          <w:color w:val="auto"/>
          <w:spacing w:val="3"/>
        </w:rPr>
        <w:t>neğin</w:t>
      </w:r>
      <w:r w:rsidRPr="00DE12A3">
        <w:rPr>
          <w:rFonts w:eastAsia="Times New Roman" w:cs="Times New Roman"/>
          <w:color w:val="auto"/>
          <w:spacing w:val="3"/>
        </w:rPr>
        <w:t xml:space="preserve"> motor montajı, motor testi, </w:t>
      </w:r>
      <w:r w:rsidR="007E2039" w:rsidRPr="00DE12A3">
        <w:rPr>
          <w:rFonts w:eastAsia="Times New Roman" w:cs="Times New Roman"/>
          <w:color w:val="auto"/>
          <w:spacing w:val="3"/>
        </w:rPr>
        <w:t xml:space="preserve">arıtma </w:t>
      </w:r>
      <w:r w:rsidRPr="00DE12A3">
        <w:rPr>
          <w:rFonts w:eastAsia="Times New Roman" w:cs="Times New Roman"/>
          <w:color w:val="auto"/>
          <w:spacing w:val="3"/>
        </w:rPr>
        <w:t>imalat)</w:t>
      </w:r>
    </w:p>
    <w:p w14:paraId="6751413B" w14:textId="38534AB8" w:rsidR="002D7B36" w:rsidRPr="00DE12A3" w:rsidRDefault="00242DA0" w:rsidP="00E35FD4">
      <w:pPr>
        <w:shd w:val="clear" w:color="auto" w:fill="FFFFFF"/>
        <w:spacing w:before="120" w:after="120"/>
        <w:ind w:firstLine="709"/>
        <w:jc w:val="both"/>
        <w:rPr>
          <w:rFonts w:eastAsia="Times New Roman" w:cs="Times New Roman"/>
          <w:color w:val="auto"/>
          <w:spacing w:val="3"/>
        </w:rPr>
      </w:pPr>
      <w:r w:rsidRPr="00DE12A3">
        <w:rPr>
          <w:rFonts w:eastAsia="Times New Roman" w:cs="Times New Roman"/>
          <w:color w:val="auto"/>
          <w:spacing w:val="3"/>
        </w:rPr>
        <w:t>3.3.2.3.6.</w:t>
      </w:r>
      <w:r w:rsidR="00CB0FA9" w:rsidRPr="00DE12A3">
        <w:rPr>
          <w:rFonts w:eastAsia="Times New Roman" w:cs="Times New Roman"/>
          <w:color w:val="auto"/>
          <w:spacing w:val="3"/>
        </w:rPr>
        <w:t xml:space="preserve"> İncelenen</w:t>
      </w:r>
      <w:r w:rsidRPr="00DE12A3">
        <w:rPr>
          <w:rFonts w:eastAsia="Times New Roman" w:cs="Times New Roman"/>
          <w:color w:val="auto"/>
          <w:spacing w:val="3"/>
        </w:rPr>
        <w:t xml:space="preserve"> belgeler (ör</w:t>
      </w:r>
      <w:r w:rsidR="00AE7733" w:rsidRPr="00DE12A3">
        <w:rPr>
          <w:rFonts w:eastAsia="Times New Roman" w:cs="Times New Roman"/>
          <w:color w:val="auto"/>
          <w:spacing w:val="3"/>
        </w:rPr>
        <w:t>neğin</w:t>
      </w:r>
      <w:r w:rsidRPr="00DE12A3">
        <w:rPr>
          <w:rFonts w:eastAsia="Times New Roman" w:cs="Times New Roman"/>
          <w:color w:val="auto"/>
          <w:spacing w:val="3"/>
        </w:rPr>
        <w:t xml:space="preserve"> şirket ve şantiye kalite el kitabı ve prosedürleri)</w:t>
      </w:r>
      <w:r w:rsidR="007E00AA" w:rsidRPr="00DE12A3">
        <w:rPr>
          <w:rFonts w:eastAsia="Times New Roman" w:cs="Times New Roman"/>
          <w:color w:val="auto"/>
          <w:spacing w:val="3"/>
        </w:rPr>
        <w:t>.</w:t>
      </w:r>
    </w:p>
    <w:p w14:paraId="33406DE5" w14:textId="6E66367A" w:rsidR="002D7B36" w:rsidRPr="00DE12A3" w:rsidRDefault="00242DA0" w:rsidP="00E35FD4">
      <w:pPr>
        <w:shd w:val="clear" w:color="auto" w:fill="FFFFFF"/>
        <w:spacing w:before="120" w:after="120"/>
        <w:ind w:firstLine="709"/>
        <w:jc w:val="both"/>
        <w:rPr>
          <w:rFonts w:eastAsia="Times New Roman" w:cs="Times New Roman"/>
          <w:color w:val="auto"/>
          <w:spacing w:val="3"/>
        </w:rPr>
      </w:pPr>
      <w:r w:rsidRPr="00DE12A3">
        <w:rPr>
          <w:rFonts w:eastAsia="Times New Roman" w:cs="Times New Roman"/>
          <w:color w:val="auto"/>
          <w:spacing w:val="3"/>
        </w:rPr>
        <w:t>3.3.2.3.7.</w:t>
      </w:r>
      <w:r w:rsidR="00CB0FA9" w:rsidRPr="00DE12A3">
        <w:rPr>
          <w:rFonts w:eastAsia="Times New Roman" w:cs="Times New Roman"/>
          <w:color w:val="auto"/>
          <w:spacing w:val="3"/>
        </w:rPr>
        <w:t xml:space="preserve"> </w:t>
      </w:r>
      <w:r w:rsidR="00877D3B" w:rsidRPr="00DE12A3">
        <w:rPr>
          <w:rFonts w:eastAsia="Times New Roman" w:cs="Times New Roman"/>
          <w:color w:val="auto"/>
          <w:spacing w:val="3"/>
        </w:rPr>
        <w:t>D</w:t>
      </w:r>
      <w:r w:rsidRPr="00DE12A3">
        <w:rPr>
          <w:rFonts w:eastAsia="Times New Roman" w:cs="Times New Roman"/>
          <w:color w:val="auto"/>
          <w:spacing w:val="3"/>
        </w:rPr>
        <w:t>eğerlendirme tarihi (ör</w:t>
      </w:r>
      <w:r w:rsidR="00AE7733" w:rsidRPr="00DE12A3">
        <w:rPr>
          <w:rFonts w:eastAsia="Times New Roman" w:cs="Times New Roman"/>
          <w:color w:val="auto"/>
          <w:spacing w:val="3"/>
        </w:rPr>
        <w:t>neğin</w:t>
      </w:r>
      <w:r w:rsidRPr="00DE12A3">
        <w:rPr>
          <w:rFonts w:eastAsia="Times New Roman" w:cs="Times New Roman"/>
          <w:color w:val="auto"/>
          <w:spacing w:val="3"/>
        </w:rPr>
        <w:t xml:space="preserve"> 18.5.2013 ila 30.5.2013 tarihleri arasında yapılan denetim)</w:t>
      </w:r>
      <w:r w:rsidR="007E00AA" w:rsidRPr="00DE12A3">
        <w:rPr>
          <w:rFonts w:eastAsia="Times New Roman" w:cs="Times New Roman"/>
          <w:color w:val="auto"/>
          <w:spacing w:val="3"/>
        </w:rPr>
        <w:t>.</w:t>
      </w:r>
    </w:p>
    <w:p w14:paraId="49C4AE87" w14:textId="59263F0F" w:rsidR="002D7B36" w:rsidRPr="00DE12A3" w:rsidRDefault="00242DA0" w:rsidP="00E35FD4">
      <w:pPr>
        <w:shd w:val="clear" w:color="auto" w:fill="FFFFFF"/>
        <w:spacing w:before="120" w:after="120"/>
        <w:ind w:firstLine="709"/>
        <w:jc w:val="both"/>
        <w:rPr>
          <w:rFonts w:eastAsia="Times New Roman" w:cs="Times New Roman"/>
          <w:color w:val="auto"/>
          <w:spacing w:val="3"/>
        </w:rPr>
      </w:pPr>
      <w:r w:rsidRPr="00DE12A3">
        <w:rPr>
          <w:rFonts w:eastAsia="Times New Roman" w:cs="Times New Roman"/>
          <w:color w:val="auto"/>
          <w:spacing w:val="3"/>
        </w:rPr>
        <w:t>3.3.2.3.8.</w:t>
      </w:r>
      <w:r w:rsidR="00CB0FA9" w:rsidRPr="00DE12A3">
        <w:rPr>
          <w:rFonts w:eastAsia="Times New Roman" w:cs="Times New Roman"/>
          <w:color w:val="auto"/>
          <w:spacing w:val="3"/>
        </w:rPr>
        <w:t xml:space="preserve"> </w:t>
      </w:r>
      <w:r w:rsidR="00877D3B" w:rsidRPr="00DE12A3">
        <w:rPr>
          <w:rFonts w:eastAsia="Times New Roman" w:cs="Times New Roman"/>
          <w:color w:val="auto"/>
          <w:spacing w:val="3"/>
        </w:rPr>
        <w:t>P</w:t>
      </w:r>
      <w:r w:rsidRPr="00DE12A3">
        <w:rPr>
          <w:rFonts w:eastAsia="Times New Roman" w:cs="Times New Roman"/>
          <w:color w:val="auto"/>
          <w:spacing w:val="3"/>
        </w:rPr>
        <w:t>lanlanan izleme ziyareti (ör</w:t>
      </w:r>
      <w:r w:rsidR="00AE7733" w:rsidRPr="00DE12A3">
        <w:rPr>
          <w:rFonts w:eastAsia="Times New Roman" w:cs="Times New Roman"/>
          <w:color w:val="auto"/>
          <w:spacing w:val="3"/>
        </w:rPr>
        <w:t>neğin</w:t>
      </w:r>
      <w:r w:rsidRPr="00DE12A3">
        <w:rPr>
          <w:rFonts w:eastAsia="Times New Roman" w:cs="Times New Roman"/>
          <w:color w:val="auto"/>
          <w:spacing w:val="3"/>
        </w:rPr>
        <w:t xml:space="preserve"> Ekim 2014).</w:t>
      </w:r>
    </w:p>
    <w:p w14:paraId="19683DB3" w14:textId="5816CA80" w:rsidR="002D7B36" w:rsidRPr="00DE12A3" w:rsidRDefault="00242DA0" w:rsidP="00E35FD4">
      <w:pPr>
        <w:shd w:val="clear" w:color="auto" w:fill="FFFFFF"/>
        <w:spacing w:before="120" w:after="120"/>
        <w:ind w:firstLine="709"/>
        <w:jc w:val="both"/>
        <w:rPr>
          <w:rFonts w:eastAsia="Times New Roman" w:cs="Times New Roman"/>
          <w:color w:val="auto"/>
          <w:spacing w:val="3"/>
        </w:rPr>
      </w:pPr>
      <w:r w:rsidRPr="00DE12A3">
        <w:rPr>
          <w:rFonts w:eastAsia="Times New Roman" w:cs="Times New Roman"/>
          <w:color w:val="auto"/>
          <w:spacing w:val="3"/>
        </w:rPr>
        <w:t>3.3.3.</w:t>
      </w:r>
      <w:r w:rsidR="00E35FD4" w:rsidRPr="00DE12A3">
        <w:rPr>
          <w:rFonts w:eastAsia="Times New Roman" w:cs="Times New Roman"/>
          <w:color w:val="auto"/>
          <w:spacing w:val="3"/>
        </w:rPr>
        <w:t xml:space="preserve"> </w:t>
      </w:r>
      <w:r w:rsidR="007E2039" w:rsidRPr="00DE12A3">
        <w:rPr>
          <w:rFonts w:eastAsia="Times New Roman" w:cs="Times New Roman"/>
          <w:color w:val="auto"/>
          <w:spacing w:val="3"/>
        </w:rPr>
        <w:t xml:space="preserve">Onay </w:t>
      </w:r>
      <w:r w:rsidR="00977983" w:rsidRPr="00DE12A3">
        <w:rPr>
          <w:rFonts w:eastAsia="Times New Roman" w:cs="Times New Roman"/>
          <w:color w:val="auto"/>
          <w:spacing w:val="3"/>
        </w:rPr>
        <w:t>kuruluşu,</w:t>
      </w:r>
      <w:r w:rsidRPr="00DE12A3">
        <w:rPr>
          <w:rFonts w:eastAsia="Times New Roman" w:cs="Times New Roman"/>
          <w:color w:val="auto"/>
          <w:spacing w:val="3"/>
        </w:rPr>
        <w:t xml:space="preserve"> imalatçının, uyumlaştırılmış EN ISO 9001:2008 standardına veya 3.3 </w:t>
      </w:r>
      <w:r w:rsidR="005F193A" w:rsidRPr="00DE12A3">
        <w:rPr>
          <w:rFonts w:eastAsia="Times New Roman" w:cs="Times New Roman"/>
          <w:color w:val="auto"/>
          <w:spacing w:val="3"/>
        </w:rPr>
        <w:t>bendindeki</w:t>
      </w:r>
      <w:r w:rsidRPr="00DE12A3">
        <w:rPr>
          <w:rFonts w:eastAsia="Times New Roman" w:cs="Times New Roman"/>
          <w:color w:val="auto"/>
          <w:spacing w:val="3"/>
        </w:rPr>
        <w:t xml:space="preserve"> ilk değerlendirme </w:t>
      </w:r>
      <w:r w:rsidR="0053289F" w:rsidRPr="00DE12A3">
        <w:rPr>
          <w:rFonts w:eastAsia="Times New Roman" w:cs="Times New Roman"/>
          <w:color w:val="auto"/>
          <w:spacing w:val="3"/>
        </w:rPr>
        <w:t>gerekliliklerini</w:t>
      </w:r>
      <w:r w:rsidRPr="00DE12A3">
        <w:rPr>
          <w:rFonts w:eastAsia="Times New Roman" w:cs="Times New Roman"/>
          <w:color w:val="auto"/>
          <w:spacing w:val="3"/>
        </w:rPr>
        <w:t xml:space="preserve"> yerine getiren eşdeğer bir uyumlaştırılmış standarda ilişkin uygun sertifikasını da kabul eder. İmalatçı, sertifikasyon detaylarını verir ve geçerliliği veya kapsamı üzerinde yapılan herhangi bir revizyonu onay </w:t>
      </w:r>
      <w:r w:rsidR="00C917D6" w:rsidRPr="00DE12A3">
        <w:rPr>
          <w:rFonts w:eastAsia="Times New Roman" w:cs="Times New Roman"/>
          <w:color w:val="auto"/>
          <w:spacing w:val="3"/>
        </w:rPr>
        <w:t>kuruluşu</w:t>
      </w:r>
      <w:r w:rsidRPr="00DE12A3">
        <w:rPr>
          <w:rFonts w:eastAsia="Times New Roman" w:cs="Times New Roman"/>
          <w:color w:val="auto"/>
          <w:spacing w:val="3"/>
        </w:rPr>
        <w:t>na bildirmeyi taahhüt eder.</w:t>
      </w:r>
    </w:p>
    <w:p w14:paraId="4F13A889" w14:textId="2F311966" w:rsidR="002D7B36" w:rsidRPr="00DE12A3" w:rsidRDefault="00242DA0" w:rsidP="00E85961">
      <w:pPr>
        <w:shd w:val="clear" w:color="auto" w:fill="FFFFFF"/>
        <w:spacing w:before="120" w:after="120"/>
        <w:jc w:val="both"/>
        <w:rPr>
          <w:rFonts w:eastAsia="Times New Roman" w:cs="Times New Roman"/>
          <w:color w:val="auto"/>
          <w:spacing w:val="3"/>
        </w:rPr>
      </w:pPr>
      <w:r w:rsidRPr="00DE12A3">
        <w:rPr>
          <w:rFonts w:eastAsia="Times New Roman" w:cs="Times New Roman"/>
          <w:b/>
          <w:color w:val="auto"/>
          <w:spacing w:val="3"/>
        </w:rPr>
        <w:t>4.</w:t>
      </w:r>
      <w:r w:rsidR="00A8049F" w:rsidRPr="00DE12A3">
        <w:rPr>
          <w:rFonts w:eastAsia="Times New Roman" w:cs="Times New Roman"/>
          <w:b/>
          <w:color w:val="auto"/>
          <w:spacing w:val="3"/>
        </w:rPr>
        <w:t xml:space="preserve"> </w:t>
      </w:r>
      <w:r w:rsidRPr="00DE12A3">
        <w:rPr>
          <w:rFonts w:eastAsia="Times New Roman" w:cs="Times New Roman"/>
          <w:b/>
          <w:color w:val="auto"/>
          <w:spacing w:val="3"/>
        </w:rPr>
        <w:t>Ürün uygunluk düzenlemeleri</w:t>
      </w:r>
    </w:p>
    <w:p w14:paraId="40356590" w14:textId="6244EB04" w:rsidR="002D7B36" w:rsidRPr="00DE12A3" w:rsidRDefault="00242DA0" w:rsidP="00E85961">
      <w:pPr>
        <w:shd w:val="clear" w:color="auto" w:fill="FFFFFF"/>
        <w:spacing w:before="120" w:after="120"/>
        <w:jc w:val="both"/>
        <w:rPr>
          <w:rFonts w:eastAsia="Times New Roman" w:cs="Times New Roman"/>
          <w:color w:val="auto"/>
          <w:spacing w:val="3"/>
        </w:rPr>
      </w:pPr>
      <w:r w:rsidRPr="00DE12A3">
        <w:rPr>
          <w:rFonts w:eastAsia="Times New Roman" w:cs="Times New Roman"/>
          <w:color w:val="auto"/>
          <w:spacing w:val="3"/>
        </w:rPr>
        <w:t>4.1.</w:t>
      </w:r>
      <w:r w:rsidR="00F94F18" w:rsidRPr="00DE12A3">
        <w:rPr>
          <w:rFonts w:eastAsia="Times New Roman" w:cs="Times New Roman"/>
          <w:color w:val="auto"/>
          <w:spacing w:val="3"/>
        </w:rPr>
        <w:t xml:space="preserve"> </w:t>
      </w:r>
      <w:r w:rsidRPr="00DE12A3">
        <w:rPr>
          <w:rFonts w:eastAsia="Times New Roman" w:cs="Times New Roman"/>
          <w:color w:val="auto"/>
          <w:spacing w:val="3"/>
        </w:rPr>
        <w:t>2016/1628</w:t>
      </w:r>
      <w:r w:rsidR="00EE5D5E" w:rsidRPr="00DE12A3">
        <w:rPr>
          <w:rFonts w:eastAsia="Times New Roman" w:cs="Times New Roman"/>
          <w:color w:val="auto"/>
          <w:spacing w:val="3"/>
        </w:rPr>
        <w:t>/AB Yönetmeli</w:t>
      </w:r>
      <w:r w:rsidR="00C633F3" w:rsidRPr="00DE12A3">
        <w:rPr>
          <w:rFonts w:eastAsia="Times New Roman" w:cs="Times New Roman"/>
          <w:color w:val="auto"/>
          <w:spacing w:val="3"/>
        </w:rPr>
        <w:t>ği</w:t>
      </w:r>
      <w:r w:rsidRPr="00DE12A3">
        <w:rPr>
          <w:rFonts w:eastAsia="Times New Roman" w:cs="Times New Roman"/>
          <w:color w:val="auto"/>
          <w:spacing w:val="3"/>
        </w:rPr>
        <w:t xml:space="preserve">, bu </w:t>
      </w:r>
      <w:r w:rsidR="00EE5D5E" w:rsidRPr="00DE12A3">
        <w:rPr>
          <w:rFonts w:eastAsia="Times New Roman" w:cs="Times New Roman"/>
          <w:color w:val="auto"/>
          <w:spacing w:val="3"/>
        </w:rPr>
        <w:t>Tebliğ</w:t>
      </w:r>
      <w:r w:rsidR="00C633F3" w:rsidRPr="00DE12A3">
        <w:rPr>
          <w:rFonts w:eastAsia="Times New Roman" w:cs="Times New Roman"/>
          <w:color w:val="auto"/>
          <w:spacing w:val="3"/>
        </w:rPr>
        <w:t>i</w:t>
      </w:r>
      <w:r w:rsidRPr="00DE12A3">
        <w:rPr>
          <w:rFonts w:eastAsia="Times New Roman" w:cs="Times New Roman"/>
          <w:color w:val="auto"/>
          <w:spacing w:val="3"/>
        </w:rPr>
        <w:t xml:space="preserve">, </w:t>
      </w:r>
      <w:r w:rsidR="00EE5D5E" w:rsidRPr="00DE12A3">
        <w:rPr>
          <w:rFonts w:eastAsia="Times New Roman" w:cs="Times New Roman"/>
          <w:color w:val="auto"/>
          <w:spacing w:val="3"/>
        </w:rPr>
        <w:t>2</w:t>
      </w:r>
      <w:r w:rsidRPr="00DE12A3">
        <w:rPr>
          <w:rFonts w:eastAsia="Times New Roman" w:cs="Times New Roman"/>
          <w:color w:val="auto"/>
          <w:spacing w:val="3"/>
        </w:rPr>
        <w:t>017/655</w:t>
      </w:r>
      <w:r w:rsidR="00EE5D5E" w:rsidRPr="00DE12A3">
        <w:rPr>
          <w:rFonts w:eastAsia="Times New Roman" w:cs="Times New Roman"/>
          <w:color w:val="auto"/>
          <w:spacing w:val="3"/>
        </w:rPr>
        <w:t>/AB</w:t>
      </w:r>
      <w:r w:rsidRPr="00DE12A3">
        <w:rPr>
          <w:rFonts w:eastAsia="Times New Roman" w:cs="Times New Roman"/>
          <w:color w:val="auto"/>
          <w:spacing w:val="3"/>
        </w:rPr>
        <w:t xml:space="preserve"> </w:t>
      </w:r>
      <w:r w:rsidR="00EE5D5E" w:rsidRPr="00DE12A3">
        <w:rPr>
          <w:rFonts w:eastAsia="Times New Roman" w:cs="Times New Roman"/>
          <w:color w:val="auto"/>
          <w:spacing w:val="3"/>
        </w:rPr>
        <w:t>Tebliğ</w:t>
      </w:r>
      <w:r w:rsidR="00C633F3" w:rsidRPr="00DE12A3">
        <w:rPr>
          <w:rFonts w:eastAsia="Times New Roman" w:cs="Times New Roman"/>
          <w:color w:val="auto"/>
          <w:spacing w:val="3"/>
        </w:rPr>
        <w:t>i</w:t>
      </w:r>
      <w:r w:rsidRPr="00DE12A3">
        <w:rPr>
          <w:rFonts w:eastAsia="Times New Roman" w:cs="Times New Roman"/>
          <w:color w:val="auto"/>
          <w:spacing w:val="3"/>
        </w:rPr>
        <w:t xml:space="preserve"> ve 2017/656</w:t>
      </w:r>
      <w:r w:rsidR="00EE5D5E" w:rsidRPr="00DE12A3">
        <w:rPr>
          <w:rFonts w:eastAsia="Times New Roman" w:cs="Times New Roman"/>
          <w:color w:val="auto"/>
          <w:spacing w:val="3"/>
        </w:rPr>
        <w:t>/AB</w:t>
      </w:r>
      <w:r w:rsidRPr="00DE12A3">
        <w:rPr>
          <w:rFonts w:eastAsia="Times New Roman" w:cs="Times New Roman"/>
          <w:color w:val="auto"/>
          <w:spacing w:val="3"/>
        </w:rPr>
        <w:t xml:space="preserve"> T</w:t>
      </w:r>
      <w:r w:rsidR="00EE5D5E" w:rsidRPr="00DE12A3">
        <w:rPr>
          <w:rFonts w:eastAsia="Times New Roman" w:cs="Times New Roman"/>
          <w:color w:val="auto"/>
          <w:spacing w:val="3"/>
        </w:rPr>
        <w:t xml:space="preserve">ebliği </w:t>
      </w:r>
      <w:r w:rsidRPr="00DE12A3">
        <w:rPr>
          <w:rFonts w:eastAsia="Times New Roman" w:cs="Times New Roman"/>
          <w:color w:val="auto"/>
          <w:spacing w:val="3"/>
        </w:rPr>
        <w:t xml:space="preserve">uyarınca AB tip onaylı her motor, bu </w:t>
      </w:r>
      <w:r w:rsidR="007E00AA" w:rsidRPr="00DE12A3">
        <w:rPr>
          <w:rFonts w:eastAsia="Times New Roman" w:cs="Times New Roman"/>
          <w:color w:val="auto"/>
          <w:spacing w:val="3"/>
        </w:rPr>
        <w:t>E</w:t>
      </w:r>
      <w:r w:rsidRPr="00DE12A3">
        <w:rPr>
          <w:rFonts w:eastAsia="Times New Roman" w:cs="Times New Roman"/>
          <w:color w:val="auto"/>
          <w:spacing w:val="3"/>
        </w:rPr>
        <w:t xml:space="preserve">kin ve yukarıda belirtilen </w:t>
      </w:r>
      <w:r w:rsidR="00EE5D5E" w:rsidRPr="00DE12A3">
        <w:rPr>
          <w:rFonts w:eastAsia="Times New Roman" w:cs="Times New Roman"/>
          <w:color w:val="auto"/>
          <w:spacing w:val="3"/>
        </w:rPr>
        <w:t>Yönetmelik ve Tebliğlerin</w:t>
      </w:r>
      <w:r w:rsidRPr="00DE12A3">
        <w:rPr>
          <w:rFonts w:eastAsia="Times New Roman" w:cs="Times New Roman"/>
          <w:color w:val="auto"/>
          <w:spacing w:val="3"/>
        </w:rPr>
        <w:t xml:space="preserve"> ve Uygulama T</w:t>
      </w:r>
      <w:r w:rsidR="00EE5D5E" w:rsidRPr="00DE12A3">
        <w:rPr>
          <w:rFonts w:eastAsia="Times New Roman" w:cs="Times New Roman"/>
          <w:color w:val="auto"/>
          <w:spacing w:val="3"/>
        </w:rPr>
        <w:t>ebliğinin</w:t>
      </w:r>
      <w:r w:rsidRPr="00DE12A3">
        <w:rPr>
          <w:rFonts w:eastAsia="Times New Roman" w:cs="Times New Roman"/>
          <w:color w:val="auto"/>
          <w:spacing w:val="3"/>
        </w:rPr>
        <w:t xml:space="preserve"> </w:t>
      </w:r>
      <w:r w:rsidR="0053289F" w:rsidRPr="00DE12A3">
        <w:rPr>
          <w:rFonts w:eastAsia="Times New Roman" w:cs="Times New Roman"/>
          <w:color w:val="auto"/>
          <w:spacing w:val="3"/>
        </w:rPr>
        <w:t>gerekliliklerini</w:t>
      </w:r>
      <w:r w:rsidRPr="00DE12A3">
        <w:rPr>
          <w:rFonts w:eastAsia="Times New Roman" w:cs="Times New Roman"/>
          <w:color w:val="auto"/>
          <w:spacing w:val="3"/>
        </w:rPr>
        <w:t xml:space="preserve"> yerine getirmek suretiyle onaylı motor tipine veya motor ailesine uygun şekilde imal edilmelidir.</w:t>
      </w:r>
    </w:p>
    <w:p w14:paraId="5B861E53" w14:textId="4FE19600" w:rsidR="002D7B36" w:rsidRPr="00DE12A3" w:rsidRDefault="00242DA0" w:rsidP="0014220F">
      <w:pPr>
        <w:shd w:val="clear" w:color="auto" w:fill="FFFFFF"/>
        <w:spacing w:before="120" w:after="120"/>
        <w:jc w:val="both"/>
        <w:rPr>
          <w:rFonts w:eastAsia="Times New Roman" w:cs="Times New Roman"/>
          <w:color w:val="auto"/>
          <w:spacing w:val="3"/>
        </w:rPr>
      </w:pPr>
      <w:r w:rsidRPr="00DE12A3">
        <w:rPr>
          <w:rFonts w:eastAsia="Times New Roman" w:cs="Times New Roman"/>
          <w:color w:val="auto"/>
          <w:spacing w:val="3"/>
        </w:rPr>
        <w:t>4.2.</w:t>
      </w:r>
      <w:r w:rsidR="0014220F" w:rsidRPr="00DE12A3">
        <w:rPr>
          <w:rFonts w:eastAsia="Times New Roman" w:cs="Times New Roman"/>
          <w:color w:val="auto"/>
          <w:spacing w:val="3"/>
        </w:rPr>
        <w:t xml:space="preserve"> </w:t>
      </w:r>
      <w:r w:rsidRPr="00DE12A3">
        <w:rPr>
          <w:rFonts w:eastAsia="Times New Roman" w:cs="Times New Roman"/>
          <w:color w:val="auto"/>
          <w:spacing w:val="3"/>
        </w:rPr>
        <w:t>2016/1628</w:t>
      </w:r>
      <w:r w:rsidR="00EE5D5E" w:rsidRPr="00DE12A3">
        <w:rPr>
          <w:rFonts w:eastAsia="Times New Roman" w:cs="Times New Roman"/>
          <w:color w:val="auto"/>
          <w:spacing w:val="3"/>
        </w:rPr>
        <w:t>/AB</w:t>
      </w:r>
      <w:r w:rsidRPr="00DE12A3">
        <w:rPr>
          <w:rFonts w:eastAsia="Times New Roman" w:cs="Times New Roman"/>
          <w:color w:val="auto"/>
          <w:spacing w:val="3"/>
        </w:rPr>
        <w:t xml:space="preserve"> </w:t>
      </w:r>
      <w:r w:rsidR="00EE5D5E" w:rsidRPr="00DE12A3">
        <w:rPr>
          <w:rFonts w:eastAsia="Times New Roman" w:cs="Times New Roman"/>
          <w:color w:val="auto"/>
          <w:spacing w:val="3"/>
        </w:rPr>
        <w:t>Yönetmeli</w:t>
      </w:r>
      <w:r w:rsidR="00C633F3" w:rsidRPr="00DE12A3">
        <w:rPr>
          <w:rFonts w:eastAsia="Times New Roman" w:cs="Times New Roman"/>
          <w:color w:val="auto"/>
          <w:spacing w:val="3"/>
        </w:rPr>
        <w:t>ği</w:t>
      </w:r>
      <w:r w:rsidR="00EE5D5E" w:rsidRPr="00DE12A3">
        <w:rPr>
          <w:rFonts w:eastAsia="Times New Roman" w:cs="Times New Roman"/>
          <w:color w:val="auto"/>
          <w:spacing w:val="3"/>
        </w:rPr>
        <w:t xml:space="preserve"> </w:t>
      </w:r>
      <w:r w:rsidRPr="00DE12A3">
        <w:rPr>
          <w:rFonts w:eastAsia="Times New Roman" w:cs="Times New Roman"/>
          <w:color w:val="auto"/>
          <w:spacing w:val="3"/>
        </w:rPr>
        <w:t>ve bu T</w:t>
      </w:r>
      <w:r w:rsidR="00EE5D5E" w:rsidRPr="00DE12A3">
        <w:rPr>
          <w:rFonts w:eastAsia="Times New Roman" w:cs="Times New Roman"/>
          <w:color w:val="auto"/>
          <w:spacing w:val="3"/>
        </w:rPr>
        <w:t>ebliğ</w:t>
      </w:r>
      <w:r w:rsidRPr="00DE12A3">
        <w:rPr>
          <w:rFonts w:eastAsia="Times New Roman" w:cs="Times New Roman"/>
          <w:color w:val="auto"/>
          <w:spacing w:val="3"/>
        </w:rPr>
        <w:t xml:space="preserve"> uyarınca</w:t>
      </w:r>
      <w:r w:rsidR="007D0EA7" w:rsidRPr="00DE12A3">
        <w:rPr>
          <w:rFonts w:eastAsia="Times New Roman" w:cs="Times New Roman"/>
          <w:color w:val="auto"/>
          <w:spacing w:val="3"/>
        </w:rPr>
        <w:t xml:space="preserve"> </w:t>
      </w:r>
      <w:r w:rsidRPr="00DE12A3">
        <w:rPr>
          <w:rFonts w:eastAsia="Times New Roman" w:cs="Times New Roman"/>
          <w:color w:val="auto"/>
          <w:spacing w:val="3"/>
        </w:rPr>
        <w:t xml:space="preserve">AB tip onayı vermeden önce, onay </w:t>
      </w:r>
      <w:r w:rsidR="00EE5D5E" w:rsidRPr="00DE12A3">
        <w:rPr>
          <w:rFonts w:eastAsia="Times New Roman" w:cs="Times New Roman"/>
          <w:color w:val="auto"/>
          <w:spacing w:val="3"/>
        </w:rPr>
        <w:t>kuruluşu</w:t>
      </w:r>
      <w:r w:rsidRPr="00DE12A3">
        <w:rPr>
          <w:rFonts w:eastAsia="Times New Roman" w:cs="Times New Roman"/>
          <w:color w:val="auto"/>
          <w:spacing w:val="3"/>
        </w:rPr>
        <w:t xml:space="preserve">, her onay için imalatçı ile kararlaştırılacak olan, yerine </w:t>
      </w:r>
      <w:r w:rsidR="00A339A7" w:rsidRPr="00DE12A3">
        <w:rPr>
          <w:rFonts w:eastAsia="Times New Roman" w:cs="Times New Roman"/>
          <w:color w:val="auto"/>
          <w:spacing w:val="3"/>
        </w:rPr>
        <w:t>göre 2016</w:t>
      </w:r>
      <w:r w:rsidRPr="00DE12A3">
        <w:rPr>
          <w:rFonts w:eastAsia="Times New Roman" w:cs="Times New Roman"/>
          <w:color w:val="auto"/>
          <w:spacing w:val="3"/>
        </w:rPr>
        <w:t>/1628</w:t>
      </w:r>
      <w:r w:rsidR="00EE5D5E" w:rsidRPr="00DE12A3">
        <w:rPr>
          <w:rFonts w:eastAsia="Times New Roman" w:cs="Times New Roman"/>
          <w:color w:val="auto"/>
          <w:spacing w:val="3"/>
        </w:rPr>
        <w:t>/AB</w:t>
      </w:r>
      <w:r w:rsidRPr="00DE12A3">
        <w:rPr>
          <w:rFonts w:eastAsia="Times New Roman" w:cs="Times New Roman"/>
          <w:color w:val="auto"/>
          <w:spacing w:val="3"/>
        </w:rPr>
        <w:t xml:space="preserve"> </w:t>
      </w:r>
      <w:r w:rsidR="00EE5D5E" w:rsidRPr="00DE12A3">
        <w:rPr>
          <w:rFonts w:eastAsia="Times New Roman" w:cs="Times New Roman"/>
          <w:color w:val="auto"/>
          <w:spacing w:val="3"/>
        </w:rPr>
        <w:t>Yönetmeli</w:t>
      </w:r>
      <w:r w:rsidR="00C633F3" w:rsidRPr="00DE12A3">
        <w:rPr>
          <w:rFonts w:eastAsia="Times New Roman" w:cs="Times New Roman"/>
          <w:color w:val="auto"/>
          <w:spacing w:val="3"/>
        </w:rPr>
        <w:t>ği</w:t>
      </w:r>
      <w:r w:rsidRPr="00DE12A3">
        <w:rPr>
          <w:rFonts w:eastAsia="Times New Roman" w:cs="Times New Roman"/>
          <w:color w:val="auto"/>
          <w:spacing w:val="3"/>
        </w:rPr>
        <w:t xml:space="preserve"> ve bu T</w:t>
      </w:r>
      <w:r w:rsidR="00EE5D5E" w:rsidRPr="00DE12A3">
        <w:rPr>
          <w:rFonts w:eastAsia="Times New Roman" w:cs="Times New Roman"/>
          <w:color w:val="auto"/>
          <w:spacing w:val="3"/>
        </w:rPr>
        <w:t>ebliğ</w:t>
      </w:r>
      <w:r w:rsidR="001B6225" w:rsidRPr="00DE12A3">
        <w:rPr>
          <w:rFonts w:eastAsia="Times New Roman" w:cs="Times New Roman"/>
          <w:color w:val="auto"/>
          <w:spacing w:val="3"/>
        </w:rPr>
        <w:t>de</w:t>
      </w:r>
      <w:r w:rsidRPr="00DE12A3">
        <w:rPr>
          <w:rFonts w:eastAsia="Times New Roman" w:cs="Times New Roman"/>
          <w:color w:val="auto"/>
          <w:spacing w:val="3"/>
        </w:rPr>
        <w:t xml:space="preserve"> belirtilen testler de dahil olmak üzere, onaylı motor tipine veya motor ailesine uygunluğun devam ettiğini doğrulamak için gerekli olan testlerin veya ilgili kontrollerin belirli aralıklarla yapılması için yeterli düzenlemelerin ve belgelendirilmiş kontrol planlarının olduğunu doğrulamalıdır.</w:t>
      </w:r>
    </w:p>
    <w:p w14:paraId="43464E43" w14:textId="05FF7CB8" w:rsidR="002D7B36" w:rsidRPr="00DE12A3" w:rsidRDefault="00242DA0" w:rsidP="00E35FD4">
      <w:pPr>
        <w:shd w:val="clear" w:color="auto" w:fill="FFFFFF"/>
        <w:spacing w:before="120" w:after="120"/>
        <w:ind w:left="1134" w:hanging="1134"/>
        <w:jc w:val="both"/>
        <w:rPr>
          <w:rFonts w:eastAsia="Times New Roman" w:cs="Times New Roman"/>
          <w:color w:val="auto"/>
          <w:spacing w:val="3"/>
        </w:rPr>
      </w:pPr>
      <w:r w:rsidRPr="00DE12A3">
        <w:rPr>
          <w:rFonts w:eastAsia="Times New Roman" w:cs="Times New Roman"/>
          <w:color w:val="auto"/>
          <w:spacing w:val="3"/>
        </w:rPr>
        <w:t>4.3</w:t>
      </w:r>
      <w:r w:rsidR="007E00AA" w:rsidRPr="00DE12A3">
        <w:rPr>
          <w:rFonts w:eastAsia="Times New Roman" w:cs="Times New Roman"/>
          <w:color w:val="auto"/>
          <w:spacing w:val="3"/>
        </w:rPr>
        <w:t>.</w:t>
      </w:r>
      <w:r w:rsidRPr="00DE12A3">
        <w:rPr>
          <w:rFonts w:eastAsia="Times New Roman" w:cs="Times New Roman"/>
          <w:color w:val="auto"/>
          <w:spacing w:val="3"/>
        </w:rPr>
        <w:t xml:space="preserve"> AB tip onayı sahibi;</w:t>
      </w:r>
    </w:p>
    <w:p w14:paraId="7B3540B2" w14:textId="08F8ECAC" w:rsidR="002D7B36" w:rsidRPr="00DE12A3" w:rsidRDefault="00242DA0" w:rsidP="00A87B3D">
      <w:pPr>
        <w:shd w:val="clear" w:color="auto" w:fill="FFFFFF"/>
        <w:spacing w:before="120" w:after="120"/>
        <w:ind w:firstLine="709"/>
        <w:jc w:val="both"/>
        <w:rPr>
          <w:rFonts w:eastAsia="Times New Roman" w:cs="Times New Roman"/>
          <w:color w:val="auto"/>
          <w:spacing w:val="3"/>
        </w:rPr>
      </w:pPr>
      <w:r w:rsidRPr="00DE12A3">
        <w:rPr>
          <w:rFonts w:eastAsia="Times New Roman" w:cs="Times New Roman"/>
          <w:color w:val="auto"/>
          <w:spacing w:val="3"/>
        </w:rPr>
        <w:t>4.3.1.</w:t>
      </w:r>
      <w:r w:rsidR="00F94F18" w:rsidRPr="00DE12A3">
        <w:rPr>
          <w:rFonts w:eastAsia="Times New Roman" w:cs="Times New Roman"/>
          <w:color w:val="auto"/>
          <w:spacing w:val="3"/>
        </w:rPr>
        <w:t xml:space="preserve"> </w:t>
      </w:r>
      <w:r w:rsidR="00877D3B" w:rsidRPr="00DE12A3">
        <w:rPr>
          <w:rFonts w:eastAsia="Times New Roman" w:cs="Times New Roman"/>
          <w:color w:val="auto"/>
          <w:spacing w:val="3"/>
        </w:rPr>
        <w:t>M</w:t>
      </w:r>
      <w:r w:rsidRPr="00DE12A3">
        <w:rPr>
          <w:rFonts w:eastAsia="Times New Roman" w:cs="Times New Roman"/>
          <w:color w:val="auto"/>
          <w:spacing w:val="3"/>
        </w:rPr>
        <w:t>otorların onaylı motor tipine veya motor ailesine uygunluğunun etkin kontrolüne yönelik prosedürlerin olmasını ve uygulanmasını sağlamalıdır</w:t>
      </w:r>
      <w:r w:rsidR="007E00AA" w:rsidRPr="00DE12A3">
        <w:rPr>
          <w:rFonts w:eastAsia="Times New Roman" w:cs="Times New Roman"/>
          <w:color w:val="auto"/>
          <w:spacing w:val="3"/>
        </w:rPr>
        <w:t>.</w:t>
      </w:r>
    </w:p>
    <w:p w14:paraId="44FFDD22" w14:textId="509C2B65" w:rsidR="002D7B36" w:rsidRPr="00DE12A3" w:rsidRDefault="00242DA0" w:rsidP="00A87B3D">
      <w:pPr>
        <w:shd w:val="clear" w:color="auto" w:fill="FFFFFF"/>
        <w:spacing w:before="120" w:after="120"/>
        <w:ind w:firstLine="709"/>
        <w:jc w:val="both"/>
        <w:rPr>
          <w:rFonts w:eastAsia="Times New Roman" w:cs="Times New Roman"/>
          <w:color w:val="auto"/>
          <w:spacing w:val="3"/>
        </w:rPr>
      </w:pPr>
      <w:r w:rsidRPr="00DE12A3">
        <w:rPr>
          <w:rFonts w:eastAsia="Times New Roman" w:cs="Times New Roman"/>
          <w:color w:val="auto"/>
          <w:spacing w:val="3"/>
        </w:rPr>
        <w:t>4.3.2.</w:t>
      </w:r>
      <w:r w:rsidR="00F94F18" w:rsidRPr="00DE12A3">
        <w:rPr>
          <w:rFonts w:eastAsia="Times New Roman" w:cs="Times New Roman"/>
          <w:color w:val="auto"/>
          <w:spacing w:val="3"/>
        </w:rPr>
        <w:t xml:space="preserve"> </w:t>
      </w:r>
      <w:r w:rsidR="00877D3B" w:rsidRPr="00DE12A3">
        <w:rPr>
          <w:rFonts w:eastAsia="Times New Roman" w:cs="Times New Roman"/>
          <w:color w:val="auto"/>
          <w:spacing w:val="3"/>
        </w:rPr>
        <w:t>O</w:t>
      </w:r>
      <w:r w:rsidRPr="00DE12A3">
        <w:rPr>
          <w:rFonts w:eastAsia="Times New Roman" w:cs="Times New Roman"/>
          <w:color w:val="auto"/>
          <w:spacing w:val="3"/>
        </w:rPr>
        <w:t>naylı her motor tipine veya motor ailesine uygunluğu kontrol etmek için gerekli testlere veya diğer uygun ekipmana erişimi olmalıdır</w:t>
      </w:r>
      <w:r w:rsidR="007E00AA" w:rsidRPr="00DE12A3">
        <w:rPr>
          <w:rFonts w:eastAsia="Times New Roman" w:cs="Times New Roman"/>
          <w:color w:val="auto"/>
          <w:spacing w:val="3"/>
        </w:rPr>
        <w:t>.</w:t>
      </w:r>
    </w:p>
    <w:p w14:paraId="26D32D8E" w14:textId="1239A247" w:rsidR="002D7B36" w:rsidRPr="00DE12A3" w:rsidRDefault="00242DA0" w:rsidP="00A87B3D">
      <w:pPr>
        <w:shd w:val="clear" w:color="auto" w:fill="FFFFFF"/>
        <w:spacing w:before="120" w:after="120"/>
        <w:ind w:firstLine="709"/>
        <w:jc w:val="both"/>
        <w:rPr>
          <w:rFonts w:eastAsia="Times New Roman" w:cs="Times New Roman"/>
          <w:color w:val="auto"/>
          <w:spacing w:val="3"/>
        </w:rPr>
      </w:pPr>
      <w:r w:rsidRPr="00DE12A3">
        <w:rPr>
          <w:rFonts w:eastAsia="Times New Roman" w:cs="Times New Roman"/>
          <w:color w:val="auto"/>
          <w:spacing w:val="3"/>
        </w:rPr>
        <w:t>4.3.3.</w:t>
      </w:r>
      <w:r w:rsidR="00F94F18" w:rsidRPr="00DE12A3">
        <w:rPr>
          <w:rFonts w:eastAsia="Times New Roman" w:cs="Times New Roman"/>
          <w:color w:val="auto"/>
          <w:spacing w:val="3"/>
        </w:rPr>
        <w:t xml:space="preserve"> </w:t>
      </w:r>
      <w:r w:rsidR="00877D3B" w:rsidRPr="00DE12A3">
        <w:rPr>
          <w:rFonts w:eastAsia="Times New Roman" w:cs="Times New Roman"/>
          <w:color w:val="auto"/>
          <w:spacing w:val="3"/>
        </w:rPr>
        <w:t>T</w:t>
      </w:r>
      <w:r w:rsidRPr="00DE12A3">
        <w:rPr>
          <w:rFonts w:eastAsia="Times New Roman" w:cs="Times New Roman"/>
          <w:color w:val="auto"/>
          <w:spacing w:val="3"/>
        </w:rPr>
        <w:t xml:space="preserve">est veya kontrol sonucu verilerinin kaydedilmesini ve ekli belgelerin, </w:t>
      </w:r>
      <w:r w:rsidR="007E2039" w:rsidRPr="00DE12A3">
        <w:rPr>
          <w:rFonts w:eastAsia="Times New Roman" w:cs="Times New Roman"/>
          <w:color w:val="auto"/>
          <w:spacing w:val="3"/>
        </w:rPr>
        <w:t xml:space="preserve">onay </w:t>
      </w:r>
      <w:r w:rsidR="00C633F3" w:rsidRPr="00DE12A3">
        <w:rPr>
          <w:rFonts w:eastAsia="Times New Roman" w:cs="Times New Roman"/>
          <w:color w:val="auto"/>
          <w:spacing w:val="3"/>
        </w:rPr>
        <w:t>kuruluşu ile</w:t>
      </w:r>
      <w:r w:rsidRPr="00DE12A3">
        <w:rPr>
          <w:rFonts w:eastAsia="Times New Roman" w:cs="Times New Roman"/>
          <w:color w:val="auto"/>
          <w:spacing w:val="3"/>
        </w:rPr>
        <w:t xml:space="preserve"> mutabakat içinde belirlenecek 10 yıla kadar bir süre boyunca hazır tutulmasını sağlamalıdır</w:t>
      </w:r>
      <w:r w:rsidR="007E00AA" w:rsidRPr="00DE12A3">
        <w:rPr>
          <w:rFonts w:eastAsia="Times New Roman" w:cs="Times New Roman"/>
          <w:color w:val="auto"/>
          <w:spacing w:val="3"/>
        </w:rPr>
        <w:t>.</w:t>
      </w:r>
    </w:p>
    <w:p w14:paraId="0E877003" w14:textId="13BD91A0" w:rsidR="002D7B36" w:rsidRPr="00DE12A3" w:rsidRDefault="00242DA0" w:rsidP="00A87B3D">
      <w:pPr>
        <w:shd w:val="clear" w:color="auto" w:fill="FFFFFF"/>
        <w:spacing w:before="120" w:after="120"/>
        <w:ind w:firstLine="709"/>
        <w:jc w:val="both"/>
        <w:rPr>
          <w:rFonts w:eastAsia="Times New Roman" w:cs="Times New Roman"/>
          <w:color w:val="auto"/>
          <w:spacing w:val="3"/>
        </w:rPr>
      </w:pPr>
      <w:r w:rsidRPr="00DE12A3">
        <w:rPr>
          <w:rFonts w:eastAsia="Times New Roman" w:cs="Times New Roman"/>
          <w:color w:val="auto"/>
          <w:spacing w:val="3"/>
        </w:rPr>
        <w:t>4.3.4.</w:t>
      </w:r>
      <w:r w:rsidR="00F94F18" w:rsidRPr="00DE12A3">
        <w:rPr>
          <w:rFonts w:eastAsia="Times New Roman" w:cs="Times New Roman"/>
          <w:color w:val="auto"/>
          <w:spacing w:val="3"/>
        </w:rPr>
        <w:t xml:space="preserve"> </w:t>
      </w:r>
      <w:r w:rsidRPr="00DE12A3">
        <w:rPr>
          <w:rFonts w:eastAsia="Times New Roman" w:cs="Times New Roman"/>
          <w:color w:val="auto"/>
          <w:spacing w:val="3"/>
        </w:rPr>
        <w:t xml:space="preserve">NRS-v-2b ve NRS-v-3 hariç, NRSh ve NRS motor kategorileri için, her motor tipi için en azından </w:t>
      </w:r>
      <w:r w:rsidR="00EE5D5E" w:rsidRPr="00DE12A3">
        <w:rPr>
          <w:rFonts w:eastAsia="Times New Roman" w:cs="Times New Roman"/>
          <w:color w:val="auto"/>
          <w:spacing w:val="3"/>
        </w:rPr>
        <w:t>2</w:t>
      </w:r>
      <w:r w:rsidRPr="00DE12A3">
        <w:rPr>
          <w:rFonts w:eastAsia="Times New Roman" w:cs="Times New Roman"/>
          <w:color w:val="auto"/>
          <w:spacing w:val="3"/>
        </w:rPr>
        <w:t>016/1628</w:t>
      </w:r>
      <w:r w:rsidR="00EE5D5E" w:rsidRPr="00DE12A3">
        <w:rPr>
          <w:rFonts w:eastAsia="Times New Roman" w:cs="Times New Roman"/>
          <w:color w:val="auto"/>
          <w:spacing w:val="3"/>
        </w:rPr>
        <w:t>/AB</w:t>
      </w:r>
      <w:r w:rsidRPr="00DE12A3">
        <w:rPr>
          <w:rFonts w:eastAsia="Times New Roman" w:cs="Times New Roman"/>
          <w:color w:val="auto"/>
          <w:spacing w:val="3"/>
        </w:rPr>
        <w:t xml:space="preserve"> </w:t>
      </w:r>
      <w:r w:rsidR="00EE5D5E" w:rsidRPr="00DE12A3">
        <w:rPr>
          <w:rFonts w:eastAsia="Times New Roman" w:cs="Times New Roman"/>
          <w:color w:val="auto"/>
          <w:spacing w:val="3"/>
        </w:rPr>
        <w:t>Yönetmeliğinde</w:t>
      </w:r>
      <w:r w:rsidRPr="00DE12A3">
        <w:rPr>
          <w:rFonts w:eastAsia="Times New Roman" w:cs="Times New Roman"/>
          <w:color w:val="auto"/>
          <w:spacing w:val="3"/>
        </w:rPr>
        <w:t xml:space="preserve"> </w:t>
      </w:r>
      <w:r w:rsidR="007D0EA7" w:rsidRPr="00DE12A3">
        <w:rPr>
          <w:rFonts w:eastAsia="Times New Roman" w:cs="Times New Roman"/>
          <w:color w:val="auto"/>
          <w:spacing w:val="3"/>
        </w:rPr>
        <w:t>ve bu</w:t>
      </w:r>
      <w:r w:rsidR="00875D97" w:rsidRPr="00DE12A3">
        <w:rPr>
          <w:rFonts w:eastAsia="Times New Roman" w:cs="Times New Roman"/>
          <w:color w:val="auto"/>
          <w:spacing w:val="3"/>
        </w:rPr>
        <w:t xml:space="preserve"> </w:t>
      </w:r>
      <w:r w:rsidRPr="00DE12A3">
        <w:rPr>
          <w:rFonts w:eastAsia="Times New Roman" w:cs="Times New Roman"/>
          <w:color w:val="auto"/>
          <w:spacing w:val="3"/>
        </w:rPr>
        <w:t>T</w:t>
      </w:r>
      <w:r w:rsidR="00EE5D5E" w:rsidRPr="00DE12A3">
        <w:rPr>
          <w:rFonts w:eastAsia="Times New Roman" w:cs="Times New Roman"/>
          <w:color w:val="auto"/>
          <w:spacing w:val="3"/>
        </w:rPr>
        <w:t>ebliğ</w:t>
      </w:r>
      <w:r w:rsidR="001B6225" w:rsidRPr="00DE12A3">
        <w:rPr>
          <w:rFonts w:eastAsia="Times New Roman" w:cs="Times New Roman"/>
          <w:color w:val="auto"/>
          <w:spacing w:val="3"/>
        </w:rPr>
        <w:t>de</w:t>
      </w:r>
      <w:r w:rsidRPr="00DE12A3">
        <w:rPr>
          <w:rFonts w:eastAsia="Times New Roman" w:cs="Times New Roman"/>
          <w:color w:val="auto"/>
          <w:spacing w:val="3"/>
        </w:rPr>
        <w:t xml:space="preserve"> belirtilen kontrollerin ve testlerin yapıldığından emin olmalıdır. Diğer kategoriler için, uygun kriterlerle, bileşen ya da bileşen tertibatı seviyesindeki testler, imalatçı ile </w:t>
      </w:r>
      <w:r w:rsidR="007E2039" w:rsidRPr="00DE12A3">
        <w:rPr>
          <w:rFonts w:eastAsia="Times New Roman" w:cs="Times New Roman"/>
          <w:color w:val="auto"/>
          <w:spacing w:val="3"/>
        </w:rPr>
        <w:t xml:space="preserve">onay </w:t>
      </w:r>
      <w:r w:rsidR="00977983" w:rsidRPr="00DE12A3">
        <w:rPr>
          <w:rFonts w:eastAsia="Times New Roman" w:cs="Times New Roman"/>
          <w:color w:val="auto"/>
          <w:spacing w:val="3"/>
        </w:rPr>
        <w:t>kuruluşu arasında</w:t>
      </w:r>
      <w:r w:rsidRPr="00DE12A3">
        <w:rPr>
          <w:rFonts w:eastAsia="Times New Roman" w:cs="Times New Roman"/>
          <w:color w:val="auto"/>
          <w:spacing w:val="3"/>
        </w:rPr>
        <w:t xml:space="preserve"> kararlaştırılabilir.</w:t>
      </w:r>
    </w:p>
    <w:p w14:paraId="7CE0EB3E" w14:textId="241C4CD1" w:rsidR="002D7B36" w:rsidRPr="00DE12A3" w:rsidRDefault="00242DA0" w:rsidP="00A87B3D">
      <w:pPr>
        <w:shd w:val="clear" w:color="auto" w:fill="FFFFFF"/>
        <w:spacing w:before="120" w:after="120"/>
        <w:ind w:firstLine="709"/>
        <w:jc w:val="both"/>
        <w:rPr>
          <w:rFonts w:eastAsia="Times New Roman" w:cs="Times New Roman"/>
          <w:color w:val="auto"/>
          <w:spacing w:val="3"/>
        </w:rPr>
      </w:pPr>
      <w:r w:rsidRPr="00DE12A3">
        <w:rPr>
          <w:rFonts w:eastAsia="Times New Roman" w:cs="Times New Roman"/>
          <w:color w:val="auto"/>
          <w:spacing w:val="3"/>
        </w:rPr>
        <w:t>4.3.5.</w:t>
      </w:r>
      <w:r w:rsidR="00F94F18" w:rsidRPr="00DE12A3">
        <w:rPr>
          <w:rFonts w:eastAsia="Times New Roman" w:cs="Times New Roman"/>
          <w:color w:val="auto"/>
          <w:spacing w:val="3"/>
        </w:rPr>
        <w:t xml:space="preserve"> </w:t>
      </w:r>
      <w:r w:rsidR="00877D3B" w:rsidRPr="00DE12A3">
        <w:rPr>
          <w:rFonts w:eastAsia="Times New Roman" w:cs="Times New Roman"/>
          <w:color w:val="auto"/>
          <w:spacing w:val="3"/>
        </w:rPr>
        <w:t>E</w:t>
      </w:r>
      <w:r w:rsidRPr="00DE12A3">
        <w:rPr>
          <w:rFonts w:eastAsia="Times New Roman" w:cs="Times New Roman"/>
          <w:color w:val="auto"/>
          <w:spacing w:val="3"/>
        </w:rPr>
        <w:t xml:space="preserve">ndüstriyel üretimdeki çeşitliliği hesaba katarak ürün özelliklerinin tutarlılığını doğrulamak ve sağlamak amacıyla her tür testin veya kontrolün sonuçlarını </w:t>
      </w:r>
      <w:r w:rsidRPr="00DE12A3">
        <w:rPr>
          <w:rFonts w:eastAsia="Times New Roman" w:cs="Times New Roman"/>
          <w:color w:val="auto"/>
          <w:spacing w:val="3"/>
        </w:rPr>
        <w:lastRenderedPageBreak/>
        <w:t>analiz etmelidir</w:t>
      </w:r>
      <w:r w:rsidR="007E00AA" w:rsidRPr="00DE12A3">
        <w:rPr>
          <w:rFonts w:eastAsia="Times New Roman" w:cs="Times New Roman"/>
          <w:color w:val="auto"/>
          <w:spacing w:val="3"/>
        </w:rPr>
        <w:t>.</w:t>
      </w:r>
    </w:p>
    <w:p w14:paraId="5BADA6A7" w14:textId="37A9F1FF" w:rsidR="002D7B36" w:rsidRPr="00DE12A3" w:rsidRDefault="00242DA0" w:rsidP="00A87B3D">
      <w:pPr>
        <w:shd w:val="clear" w:color="auto" w:fill="FFFFFF"/>
        <w:spacing w:before="120" w:after="120"/>
        <w:ind w:firstLine="709"/>
        <w:jc w:val="both"/>
        <w:rPr>
          <w:rFonts w:eastAsia="Times New Roman" w:cs="Times New Roman"/>
          <w:color w:val="auto"/>
          <w:spacing w:val="3"/>
        </w:rPr>
      </w:pPr>
      <w:r w:rsidRPr="00DE12A3">
        <w:rPr>
          <w:rFonts w:eastAsia="Times New Roman" w:cs="Times New Roman"/>
          <w:color w:val="auto"/>
          <w:spacing w:val="3"/>
        </w:rPr>
        <w:t>4.3.6.</w:t>
      </w:r>
      <w:r w:rsidR="00F94F18" w:rsidRPr="00DE12A3">
        <w:rPr>
          <w:rFonts w:eastAsia="Times New Roman" w:cs="Times New Roman"/>
          <w:color w:val="auto"/>
          <w:spacing w:val="3"/>
        </w:rPr>
        <w:t xml:space="preserve"> </w:t>
      </w:r>
      <w:r w:rsidR="00877D3B" w:rsidRPr="00DE12A3">
        <w:rPr>
          <w:rFonts w:eastAsia="Times New Roman" w:cs="Times New Roman"/>
          <w:color w:val="auto"/>
          <w:spacing w:val="3"/>
        </w:rPr>
        <w:t>S</w:t>
      </w:r>
      <w:r w:rsidRPr="00DE12A3">
        <w:rPr>
          <w:rFonts w:eastAsia="Times New Roman" w:cs="Times New Roman"/>
          <w:color w:val="auto"/>
          <w:spacing w:val="3"/>
        </w:rPr>
        <w:t>öz konusu test tipinde uygunsuzluk kanıtı sunan herhangi bir numune setinin veya test parçasının, daha fazla örneklemeye ve teste veya kontrole yol açmasını sağlamalıdır.</w:t>
      </w:r>
    </w:p>
    <w:p w14:paraId="2FDF3BB2" w14:textId="0ABBA40E" w:rsidR="002D7B36" w:rsidRPr="00DE12A3" w:rsidRDefault="00242DA0" w:rsidP="005A5B67">
      <w:pPr>
        <w:shd w:val="clear" w:color="auto" w:fill="FFFFFF"/>
        <w:spacing w:before="120" w:after="120"/>
        <w:jc w:val="both"/>
        <w:rPr>
          <w:rFonts w:eastAsia="Times New Roman" w:cs="Times New Roman"/>
          <w:color w:val="auto"/>
          <w:spacing w:val="3"/>
        </w:rPr>
      </w:pPr>
      <w:r w:rsidRPr="00DE12A3">
        <w:rPr>
          <w:rFonts w:eastAsia="Times New Roman" w:cs="Times New Roman"/>
          <w:color w:val="auto"/>
          <w:spacing w:val="3"/>
        </w:rPr>
        <w:t>4.4.</w:t>
      </w:r>
      <w:r w:rsidR="00F94F18" w:rsidRPr="00DE12A3">
        <w:rPr>
          <w:rFonts w:eastAsia="Times New Roman" w:cs="Times New Roman"/>
          <w:color w:val="auto"/>
          <w:spacing w:val="3"/>
        </w:rPr>
        <w:t xml:space="preserve"> </w:t>
      </w:r>
      <w:r w:rsidRPr="00DE12A3">
        <w:rPr>
          <w:rFonts w:eastAsia="Times New Roman" w:cs="Times New Roman"/>
          <w:color w:val="auto"/>
          <w:spacing w:val="3"/>
        </w:rPr>
        <w:t xml:space="preserve">4.3.6 bendinde belirtilen ilave denetim veya kontrol sonuçlarının onay </w:t>
      </w:r>
      <w:r w:rsidR="00C917D6" w:rsidRPr="00DE12A3">
        <w:rPr>
          <w:rFonts w:eastAsia="Times New Roman" w:cs="Times New Roman"/>
          <w:color w:val="auto"/>
          <w:spacing w:val="3"/>
        </w:rPr>
        <w:t xml:space="preserve">kuruluşunun </w:t>
      </w:r>
      <w:r w:rsidRPr="00DE12A3">
        <w:rPr>
          <w:rFonts w:eastAsia="Times New Roman" w:cs="Times New Roman"/>
          <w:color w:val="auto"/>
          <w:spacing w:val="3"/>
        </w:rPr>
        <w:t xml:space="preserve">görüşüne göre yeterli olmadığı kabul edilirse, imalatçı, düzeltici faaliyetler ile üretimin mümkün olan en kısa sürede, onay </w:t>
      </w:r>
      <w:r w:rsidR="00C917D6" w:rsidRPr="00DE12A3">
        <w:rPr>
          <w:rFonts w:eastAsia="Times New Roman" w:cs="Times New Roman"/>
          <w:color w:val="auto"/>
          <w:spacing w:val="3"/>
        </w:rPr>
        <w:t>kuruluşunu</w:t>
      </w:r>
      <w:r w:rsidRPr="00DE12A3">
        <w:rPr>
          <w:rFonts w:eastAsia="Times New Roman" w:cs="Times New Roman"/>
          <w:color w:val="auto"/>
          <w:spacing w:val="3"/>
        </w:rPr>
        <w:t xml:space="preserve"> tatmin edecek şekilde uygunluğa kavuşturulmasını sağlamalıdır.</w:t>
      </w:r>
    </w:p>
    <w:p w14:paraId="2201EC24" w14:textId="03A35A27" w:rsidR="002D7B36" w:rsidRPr="00DE12A3" w:rsidRDefault="00242DA0" w:rsidP="00F20EE2">
      <w:pPr>
        <w:shd w:val="clear" w:color="auto" w:fill="FFFFFF"/>
        <w:spacing w:before="120" w:after="120"/>
        <w:jc w:val="both"/>
        <w:rPr>
          <w:rFonts w:eastAsia="Times New Roman" w:cs="Times New Roman"/>
          <w:b/>
          <w:color w:val="auto"/>
          <w:spacing w:val="3"/>
        </w:rPr>
      </w:pPr>
      <w:r w:rsidRPr="00DE12A3">
        <w:rPr>
          <w:rFonts w:eastAsia="Times New Roman" w:cs="Times New Roman"/>
          <w:b/>
          <w:color w:val="auto"/>
          <w:spacing w:val="3"/>
        </w:rPr>
        <w:t>5.</w:t>
      </w:r>
      <w:r w:rsidR="00F20EE2" w:rsidRPr="00DE12A3">
        <w:rPr>
          <w:rFonts w:eastAsia="Times New Roman" w:cs="Times New Roman"/>
          <w:b/>
          <w:color w:val="auto"/>
          <w:spacing w:val="3"/>
        </w:rPr>
        <w:t xml:space="preserve"> </w:t>
      </w:r>
      <w:r w:rsidRPr="00DE12A3">
        <w:rPr>
          <w:rFonts w:eastAsia="Times New Roman" w:cs="Times New Roman"/>
          <w:b/>
          <w:color w:val="auto"/>
          <w:spacing w:val="3"/>
        </w:rPr>
        <w:t>Devam eden doğrulama düzenlemeleri</w:t>
      </w:r>
    </w:p>
    <w:p w14:paraId="3ECCD7B4" w14:textId="78F1A98E" w:rsidR="002D7B36" w:rsidRPr="00DE12A3" w:rsidRDefault="00242DA0" w:rsidP="00F20EE2">
      <w:pPr>
        <w:shd w:val="clear" w:color="auto" w:fill="FFFFFF"/>
        <w:spacing w:before="120" w:after="120"/>
        <w:jc w:val="both"/>
        <w:rPr>
          <w:rFonts w:eastAsia="Times New Roman" w:cs="Times New Roman"/>
          <w:color w:val="auto"/>
          <w:spacing w:val="3"/>
        </w:rPr>
      </w:pPr>
      <w:r w:rsidRPr="00DE12A3">
        <w:rPr>
          <w:rFonts w:eastAsia="Times New Roman" w:cs="Times New Roman"/>
          <w:color w:val="auto"/>
          <w:spacing w:val="3"/>
        </w:rPr>
        <w:t>5.1.</w:t>
      </w:r>
      <w:r w:rsidR="00F20EE2" w:rsidRPr="00DE12A3">
        <w:rPr>
          <w:rFonts w:eastAsia="Times New Roman" w:cs="Times New Roman"/>
          <w:color w:val="auto"/>
          <w:spacing w:val="3"/>
        </w:rPr>
        <w:t xml:space="preserve"> </w:t>
      </w:r>
      <w:r w:rsidRPr="00DE12A3">
        <w:rPr>
          <w:rFonts w:eastAsia="Times New Roman" w:cs="Times New Roman"/>
          <w:color w:val="auto"/>
          <w:spacing w:val="3"/>
        </w:rPr>
        <w:t xml:space="preserve">AB tip onayı veren otorite, herhangi bir zamanda, her üretim tesisinde uygulanan üretim kontrol yöntemlerinin uygunluklarını periyodik denetimlerle </w:t>
      </w:r>
      <w:r w:rsidR="00CB0FA9" w:rsidRPr="00DE12A3">
        <w:rPr>
          <w:rFonts w:eastAsia="Times New Roman" w:cs="Times New Roman"/>
          <w:color w:val="auto"/>
          <w:spacing w:val="3"/>
        </w:rPr>
        <w:t>doğrulayabilir. İmalatçı</w:t>
      </w:r>
      <w:r w:rsidRPr="00DE12A3">
        <w:rPr>
          <w:rFonts w:eastAsia="Times New Roman" w:cs="Times New Roman"/>
          <w:color w:val="auto"/>
          <w:spacing w:val="3"/>
        </w:rPr>
        <w:t xml:space="preserve"> bu amaçla, imalat, denetim, test, depolama ve dağıtım alanlarına erişim izni vermeli ve kalite yönetim sistemi dokümantasyonu ve kayıtları ile ilgili olarak gereken tüm bilgileri sağlamalıdır.</w:t>
      </w:r>
    </w:p>
    <w:p w14:paraId="537BD7D3" w14:textId="23A491B1" w:rsidR="002D7B36" w:rsidRPr="00DE12A3" w:rsidRDefault="00242DA0" w:rsidP="00F20EE2">
      <w:pPr>
        <w:shd w:val="clear" w:color="auto" w:fill="FFFFFF"/>
        <w:spacing w:before="120" w:after="120"/>
        <w:ind w:firstLine="709"/>
        <w:jc w:val="both"/>
        <w:rPr>
          <w:rFonts w:eastAsia="Times New Roman" w:cs="Times New Roman"/>
          <w:color w:val="auto"/>
          <w:spacing w:val="3"/>
        </w:rPr>
      </w:pPr>
      <w:r w:rsidRPr="00DE12A3">
        <w:rPr>
          <w:rFonts w:eastAsia="Times New Roman" w:cs="Times New Roman"/>
          <w:color w:val="auto"/>
          <w:spacing w:val="3"/>
        </w:rPr>
        <w:t>5.1.1.</w:t>
      </w:r>
      <w:r w:rsidR="00F94F18" w:rsidRPr="00DE12A3">
        <w:rPr>
          <w:rFonts w:eastAsia="Times New Roman" w:cs="Times New Roman"/>
          <w:color w:val="auto"/>
          <w:spacing w:val="3"/>
        </w:rPr>
        <w:t xml:space="preserve"> </w:t>
      </w:r>
      <w:r w:rsidRPr="00DE12A3">
        <w:rPr>
          <w:rFonts w:eastAsia="Times New Roman" w:cs="Times New Roman"/>
          <w:color w:val="auto"/>
          <w:spacing w:val="3"/>
        </w:rPr>
        <w:t xml:space="preserve">Bu tür periyodik denetimler için normal yaklaşım, 3. ve 4. </w:t>
      </w:r>
      <w:r w:rsidR="005F193A" w:rsidRPr="00DE12A3">
        <w:rPr>
          <w:rFonts w:eastAsia="Times New Roman" w:cs="Times New Roman"/>
          <w:color w:val="auto"/>
          <w:spacing w:val="3"/>
        </w:rPr>
        <w:t>B</w:t>
      </w:r>
      <w:r w:rsidRPr="00DE12A3">
        <w:rPr>
          <w:rFonts w:eastAsia="Times New Roman" w:cs="Times New Roman"/>
          <w:color w:val="auto"/>
          <w:spacing w:val="3"/>
        </w:rPr>
        <w:t>ölümlerde belirtilen prosedürlerin (ilk değerlendirme ve ürün uygunluk düzenlemeleri) etkinliğinin devamlılığını izlemek olmalıdır.</w:t>
      </w:r>
    </w:p>
    <w:p w14:paraId="5113A5C6" w14:textId="7699C49E" w:rsidR="002D7B36" w:rsidRPr="00DE12A3" w:rsidRDefault="00242DA0" w:rsidP="00F20EE2">
      <w:pPr>
        <w:shd w:val="clear" w:color="auto" w:fill="FFFFFF"/>
        <w:spacing w:before="120" w:after="120"/>
        <w:ind w:firstLine="709"/>
        <w:jc w:val="both"/>
        <w:rPr>
          <w:rFonts w:eastAsia="Times New Roman" w:cs="Times New Roman"/>
          <w:color w:val="auto"/>
          <w:spacing w:val="3"/>
        </w:rPr>
      </w:pPr>
      <w:r w:rsidRPr="00DE12A3">
        <w:rPr>
          <w:rFonts w:eastAsia="Times New Roman" w:cs="Times New Roman"/>
          <w:color w:val="auto"/>
          <w:spacing w:val="3"/>
        </w:rPr>
        <w:t>5.1.1.1.</w:t>
      </w:r>
      <w:r w:rsidR="00F94F18" w:rsidRPr="00DE12A3">
        <w:rPr>
          <w:rFonts w:eastAsia="Times New Roman" w:cs="Times New Roman"/>
          <w:color w:val="auto"/>
          <w:spacing w:val="3"/>
        </w:rPr>
        <w:t xml:space="preserve"> </w:t>
      </w:r>
      <w:r w:rsidRPr="00DE12A3">
        <w:rPr>
          <w:rFonts w:eastAsia="Times New Roman" w:cs="Times New Roman"/>
          <w:color w:val="auto"/>
          <w:spacing w:val="3"/>
        </w:rPr>
        <w:t xml:space="preserve">(3.3.3 bendinde belirtilen şekilde nitelikli veya tanınmış) teknik hizmetler tarafından yürütülen gözetim faaliyetlerinin, ilk değerlendirmede belirlenen prosedürler ile ilgili olarak 5.1.1 bendindeki </w:t>
      </w:r>
      <w:r w:rsidR="0053289F" w:rsidRPr="00DE12A3">
        <w:rPr>
          <w:rFonts w:eastAsia="Times New Roman" w:cs="Times New Roman"/>
          <w:color w:val="auto"/>
          <w:spacing w:val="3"/>
        </w:rPr>
        <w:t>gereklilikleri</w:t>
      </w:r>
      <w:r w:rsidRPr="00DE12A3">
        <w:rPr>
          <w:rFonts w:eastAsia="Times New Roman" w:cs="Times New Roman"/>
          <w:color w:val="auto"/>
          <w:spacing w:val="3"/>
        </w:rPr>
        <w:t xml:space="preserve"> yerine getirdiği kabul edilir.</w:t>
      </w:r>
    </w:p>
    <w:p w14:paraId="79CB7AE3" w14:textId="3DA506AC" w:rsidR="002D7B36" w:rsidRPr="00DE12A3" w:rsidRDefault="00242DA0" w:rsidP="00F20EE2">
      <w:pPr>
        <w:shd w:val="clear" w:color="auto" w:fill="FFFFFF"/>
        <w:spacing w:before="120" w:after="120"/>
        <w:ind w:firstLine="709"/>
        <w:jc w:val="both"/>
        <w:rPr>
          <w:rFonts w:eastAsia="Times New Roman" w:cs="Times New Roman"/>
          <w:color w:val="auto"/>
          <w:spacing w:val="3"/>
        </w:rPr>
      </w:pPr>
      <w:r w:rsidRPr="00DE12A3">
        <w:rPr>
          <w:rFonts w:eastAsia="Times New Roman" w:cs="Times New Roman"/>
          <w:color w:val="auto"/>
          <w:spacing w:val="3"/>
        </w:rPr>
        <w:t>5.1.1.2.</w:t>
      </w:r>
      <w:r w:rsidR="00F94F18" w:rsidRPr="00DE12A3">
        <w:rPr>
          <w:rFonts w:eastAsia="Times New Roman" w:cs="Times New Roman"/>
          <w:color w:val="auto"/>
          <w:spacing w:val="3"/>
        </w:rPr>
        <w:t xml:space="preserve"> </w:t>
      </w:r>
      <w:r w:rsidR="005F193A" w:rsidRPr="00DE12A3">
        <w:rPr>
          <w:rFonts w:eastAsia="Times New Roman" w:cs="Times New Roman"/>
          <w:color w:val="auto"/>
          <w:spacing w:val="3"/>
        </w:rPr>
        <w:t xml:space="preserve"> </w:t>
      </w:r>
      <w:r w:rsidRPr="00DE12A3">
        <w:rPr>
          <w:rFonts w:eastAsia="Times New Roman" w:cs="Times New Roman"/>
          <w:color w:val="auto"/>
          <w:spacing w:val="3"/>
        </w:rPr>
        <w:t xml:space="preserve">3. ve 4. </w:t>
      </w:r>
      <w:r w:rsidR="005F193A" w:rsidRPr="00DE12A3">
        <w:rPr>
          <w:rFonts w:eastAsia="Times New Roman" w:cs="Times New Roman"/>
          <w:color w:val="auto"/>
          <w:spacing w:val="3"/>
        </w:rPr>
        <w:t>B</w:t>
      </w:r>
      <w:r w:rsidRPr="00DE12A3">
        <w:rPr>
          <w:rFonts w:eastAsia="Times New Roman" w:cs="Times New Roman"/>
          <w:color w:val="auto"/>
          <w:spacing w:val="3"/>
        </w:rPr>
        <w:t>ölümler</w:t>
      </w:r>
      <w:r w:rsidR="00721C89" w:rsidRPr="00DE12A3">
        <w:rPr>
          <w:rFonts w:eastAsia="Times New Roman" w:cs="Times New Roman"/>
          <w:color w:val="auto"/>
          <w:spacing w:val="3"/>
        </w:rPr>
        <w:t>i</w:t>
      </w:r>
      <w:r w:rsidRPr="00DE12A3">
        <w:rPr>
          <w:rFonts w:eastAsia="Times New Roman" w:cs="Times New Roman"/>
          <w:color w:val="auto"/>
          <w:spacing w:val="3"/>
        </w:rPr>
        <w:t xml:space="preserve"> uyarınca uygulanan ilgili üretim uygunluğu kontrollerinin, onay </w:t>
      </w:r>
      <w:r w:rsidR="00C917D6" w:rsidRPr="00DE12A3">
        <w:rPr>
          <w:rFonts w:eastAsia="Times New Roman" w:cs="Times New Roman"/>
          <w:color w:val="auto"/>
          <w:spacing w:val="3"/>
        </w:rPr>
        <w:t>kuruluşu</w:t>
      </w:r>
      <w:r w:rsidRPr="00DE12A3">
        <w:rPr>
          <w:rFonts w:eastAsia="Times New Roman" w:cs="Times New Roman"/>
          <w:color w:val="auto"/>
          <w:spacing w:val="3"/>
        </w:rPr>
        <w:t xml:space="preserve"> tarafından belirlenen güven iklimi ile tutarlı bir süre boyunca gözden geçirilmesini sağlamaya yönelik (5.1.1.1 bendinde belirtilenler dışındaki) asgari doğrulama sıklığı, en az iki yılda bir olmalıdır.Bununla birlikte, yıllık üretime, önceki değerlendirmelerin sonuçlarına, düzeltici faaliyetleri izleme ihtiyacına bağlı olarak ve başka bir onay otoritesinden veya herhangi bir piyasa gözetimi otoritesinden gelen makul bir talep üzerine </w:t>
      </w:r>
      <w:r w:rsidR="007E2039" w:rsidRPr="00DE12A3">
        <w:rPr>
          <w:rFonts w:eastAsia="Times New Roman" w:cs="Times New Roman"/>
          <w:color w:val="auto"/>
          <w:spacing w:val="3"/>
        </w:rPr>
        <w:t xml:space="preserve">onay kuruluşu </w:t>
      </w:r>
      <w:r w:rsidRPr="00DE12A3">
        <w:rPr>
          <w:rFonts w:eastAsia="Times New Roman" w:cs="Times New Roman"/>
          <w:color w:val="auto"/>
          <w:spacing w:val="3"/>
        </w:rPr>
        <w:t xml:space="preserve"> tarafından ek doğrulamalar yapılır.</w:t>
      </w:r>
    </w:p>
    <w:p w14:paraId="0E364E21" w14:textId="6CBBB781" w:rsidR="002D7B36" w:rsidRPr="00DE12A3" w:rsidRDefault="00242DA0" w:rsidP="00F20EE2">
      <w:pPr>
        <w:shd w:val="clear" w:color="auto" w:fill="FFFFFF"/>
        <w:spacing w:before="120" w:after="120"/>
        <w:jc w:val="both"/>
        <w:rPr>
          <w:rFonts w:eastAsia="Times New Roman" w:cs="Times New Roman"/>
          <w:color w:val="auto"/>
          <w:spacing w:val="3"/>
        </w:rPr>
      </w:pPr>
      <w:r w:rsidRPr="00DE12A3">
        <w:rPr>
          <w:rFonts w:eastAsia="Times New Roman" w:cs="Times New Roman"/>
          <w:color w:val="auto"/>
          <w:spacing w:val="3"/>
        </w:rPr>
        <w:t>5.2.</w:t>
      </w:r>
      <w:r w:rsidR="00F20EE2" w:rsidRPr="00DE12A3">
        <w:rPr>
          <w:rFonts w:eastAsia="Times New Roman" w:cs="Times New Roman"/>
          <w:color w:val="auto"/>
          <w:spacing w:val="3"/>
        </w:rPr>
        <w:t xml:space="preserve"> </w:t>
      </w:r>
      <w:r w:rsidRPr="00DE12A3">
        <w:rPr>
          <w:rFonts w:eastAsia="Times New Roman" w:cs="Times New Roman"/>
          <w:color w:val="auto"/>
          <w:spacing w:val="3"/>
        </w:rPr>
        <w:t>Her incelemede testlere, kontrollere ilişkin kayıtlar ve üretim kayıtları ve özellikle de 4.2 bendinde belirtildiği şekilde belgelenen testlere veya kontrollere ilişkin kayıtlar denetçiye sunulur.</w:t>
      </w:r>
    </w:p>
    <w:p w14:paraId="545FFE9C" w14:textId="5A8BE654" w:rsidR="002D7B36" w:rsidRPr="00DE12A3" w:rsidRDefault="00242DA0" w:rsidP="00F20EE2">
      <w:pPr>
        <w:shd w:val="clear" w:color="auto" w:fill="FFFFFF"/>
        <w:spacing w:before="120" w:after="120"/>
        <w:jc w:val="both"/>
        <w:rPr>
          <w:rFonts w:eastAsia="Times New Roman" w:cs="Times New Roman"/>
          <w:color w:val="auto"/>
          <w:spacing w:val="3"/>
        </w:rPr>
      </w:pPr>
      <w:r w:rsidRPr="00DE12A3">
        <w:rPr>
          <w:rFonts w:eastAsia="Times New Roman" w:cs="Times New Roman"/>
          <w:color w:val="auto"/>
          <w:spacing w:val="3"/>
        </w:rPr>
        <w:t>5.3.</w:t>
      </w:r>
      <w:r w:rsidR="00F94F18" w:rsidRPr="00DE12A3">
        <w:rPr>
          <w:rFonts w:eastAsia="Times New Roman" w:cs="Times New Roman"/>
          <w:color w:val="auto"/>
          <w:spacing w:val="3"/>
        </w:rPr>
        <w:t xml:space="preserve"> </w:t>
      </w:r>
      <w:r w:rsidRPr="00DE12A3">
        <w:rPr>
          <w:rFonts w:eastAsia="Times New Roman" w:cs="Times New Roman"/>
          <w:color w:val="auto"/>
          <w:spacing w:val="3"/>
        </w:rPr>
        <w:t xml:space="preserve">Denetçi, imalatçının laboratuvarında veya teknik servis tesislerinde test edilmek üzere rastgele numuneler seçebilir; bu durumda sadece fiziksel testler </w:t>
      </w:r>
      <w:r w:rsidR="00C633F3" w:rsidRPr="00DE12A3">
        <w:rPr>
          <w:rFonts w:eastAsia="Times New Roman" w:cs="Times New Roman"/>
          <w:color w:val="auto"/>
          <w:spacing w:val="3"/>
        </w:rPr>
        <w:t>yapılır. Asgari</w:t>
      </w:r>
      <w:r w:rsidRPr="00DE12A3">
        <w:rPr>
          <w:rFonts w:eastAsia="Times New Roman" w:cs="Times New Roman"/>
          <w:color w:val="auto"/>
          <w:spacing w:val="3"/>
        </w:rPr>
        <w:t xml:space="preserve"> numune sayısı, imalatçının kendi doğrulama sonuçlarına göre belirlenebilir.</w:t>
      </w:r>
    </w:p>
    <w:p w14:paraId="01B7907A" w14:textId="1AF5FA30" w:rsidR="002D7B36" w:rsidRPr="00DE12A3" w:rsidRDefault="00242DA0" w:rsidP="00F20EE2">
      <w:pPr>
        <w:shd w:val="clear" w:color="auto" w:fill="FFFFFF"/>
        <w:spacing w:before="120" w:after="120"/>
        <w:jc w:val="both"/>
        <w:rPr>
          <w:rFonts w:eastAsia="Times New Roman" w:cs="Times New Roman"/>
          <w:color w:val="auto"/>
          <w:spacing w:val="3"/>
        </w:rPr>
      </w:pPr>
      <w:r w:rsidRPr="00DE12A3">
        <w:rPr>
          <w:rFonts w:eastAsia="Times New Roman" w:cs="Times New Roman"/>
          <w:color w:val="auto"/>
          <w:spacing w:val="3"/>
        </w:rPr>
        <w:t>5.4.</w:t>
      </w:r>
      <w:r w:rsidR="00F94F18" w:rsidRPr="00DE12A3">
        <w:rPr>
          <w:rFonts w:eastAsia="Times New Roman" w:cs="Times New Roman"/>
          <w:color w:val="auto"/>
          <w:spacing w:val="3"/>
        </w:rPr>
        <w:t xml:space="preserve"> </w:t>
      </w:r>
      <w:r w:rsidRPr="00DE12A3">
        <w:rPr>
          <w:rFonts w:eastAsia="Times New Roman" w:cs="Times New Roman"/>
          <w:color w:val="auto"/>
          <w:spacing w:val="3"/>
        </w:rPr>
        <w:t xml:space="preserve">Kontrol seviyesinin yeterli görünmediği veya 5.2 bendinin uygulanması sırasında yapılan testlerin geçerliliğinin doğrulanması gereken hallerde veya başka bir onay </w:t>
      </w:r>
      <w:r w:rsidR="00875D97" w:rsidRPr="00DE12A3">
        <w:rPr>
          <w:rFonts w:eastAsia="Times New Roman" w:cs="Times New Roman"/>
          <w:color w:val="auto"/>
          <w:spacing w:val="3"/>
        </w:rPr>
        <w:t>kuruluşundan</w:t>
      </w:r>
      <w:r w:rsidRPr="00DE12A3">
        <w:rPr>
          <w:rFonts w:eastAsia="Times New Roman" w:cs="Times New Roman"/>
          <w:color w:val="auto"/>
          <w:spacing w:val="3"/>
        </w:rPr>
        <w:t xml:space="preserve"> veya herhangi bir piyasa gözetimi </w:t>
      </w:r>
      <w:r w:rsidR="00875D97" w:rsidRPr="00DE12A3">
        <w:rPr>
          <w:rFonts w:eastAsia="Times New Roman" w:cs="Times New Roman"/>
          <w:color w:val="auto"/>
          <w:spacing w:val="3"/>
        </w:rPr>
        <w:t>kuruluşundan</w:t>
      </w:r>
      <w:r w:rsidRPr="00DE12A3">
        <w:rPr>
          <w:rFonts w:eastAsia="Times New Roman" w:cs="Times New Roman"/>
          <w:color w:val="auto"/>
          <w:spacing w:val="3"/>
        </w:rPr>
        <w:t xml:space="preserve"> bir gerekçeli talep üzerine denetçi, imalatçının laboratuvarında test edilecek veya 2016/1628</w:t>
      </w:r>
      <w:r w:rsidR="00EE5D5E" w:rsidRPr="00DE12A3">
        <w:rPr>
          <w:rFonts w:eastAsia="Times New Roman" w:cs="Times New Roman"/>
          <w:color w:val="auto"/>
          <w:spacing w:val="3"/>
        </w:rPr>
        <w:t>/AB</w:t>
      </w:r>
      <w:r w:rsidRPr="00DE12A3">
        <w:rPr>
          <w:rFonts w:eastAsia="Times New Roman" w:cs="Times New Roman"/>
          <w:color w:val="auto"/>
          <w:spacing w:val="3"/>
        </w:rPr>
        <w:t xml:space="preserve"> </w:t>
      </w:r>
      <w:r w:rsidR="00EE5D5E" w:rsidRPr="00DE12A3">
        <w:rPr>
          <w:rFonts w:eastAsia="Times New Roman" w:cs="Times New Roman"/>
          <w:color w:val="auto"/>
          <w:spacing w:val="3"/>
        </w:rPr>
        <w:t>Yönetme</w:t>
      </w:r>
      <w:r w:rsidR="00C633F3" w:rsidRPr="00DE12A3">
        <w:rPr>
          <w:rFonts w:eastAsia="Times New Roman" w:cs="Times New Roman"/>
          <w:color w:val="auto"/>
          <w:spacing w:val="3"/>
        </w:rPr>
        <w:t>l</w:t>
      </w:r>
      <w:r w:rsidR="00EE5D5E" w:rsidRPr="00DE12A3">
        <w:rPr>
          <w:rFonts w:eastAsia="Times New Roman" w:cs="Times New Roman"/>
          <w:color w:val="auto"/>
          <w:spacing w:val="3"/>
        </w:rPr>
        <w:t>i</w:t>
      </w:r>
      <w:r w:rsidR="00C633F3" w:rsidRPr="00DE12A3">
        <w:rPr>
          <w:rFonts w:eastAsia="Times New Roman" w:cs="Times New Roman"/>
          <w:color w:val="auto"/>
          <w:spacing w:val="3"/>
        </w:rPr>
        <w:t>ği</w:t>
      </w:r>
      <w:r w:rsidR="007D0EA7" w:rsidRPr="00DE12A3">
        <w:rPr>
          <w:rFonts w:eastAsia="Times New Roman" w:cs="Times New Roman"/>
          <w:color w:val="auto"/>
          <w:spacing w:val="3"/>
        </w:rPr>
        <w:t>nde</w:t>
      </w:r>
      <w:r w:rsidRPr="00DE12A3">
        <w:rPr>
          <w:rFonts w:eastAsia="Times New Roman" w:cs="Times New Roman"/>
          <w:color w:val="auto"/>
          <w:spacing w:val="3"/>
        </w:rPr>
        <w:t xml:space="preserve">, 6. Bölüm ve </w:t>
      </w:r>
      <w:r w:rsidR="00C633F3" w:rsidRPr="00DE12A3">
        <w:rPr>
          <w:rFonts w:eastAsia="Times New Roman" w:cs="Times New Roman"/>
          <w:color w:val="auto"/>
          <w:spacing w:val="3"/>
        </w:rPr>
        <w:t xml:space="preserve">bu </w:t>
      </w:r>
      <w:r w:rsidRPr="00DE12A3">
        <w:rPr>
          <w:rFonts w:eastAsia="Times New Roman" w:cs="Times New Roman"/>
          <w:color w:val="auto"/>
          <w:spacing w:val="3"/>
        </w:rPr>
        <w:t>T</w:t>
      </w:r>
      <w:r w:rsidR="00EE5D5E" w:rsidRPr="00DE12A3">
        <w:rPr>
          <w:rFonts w:eastAsia="Times New Roman" w:cs="Times New Roman"/>
          <w:color w:val="auto"/>
          <w:spacing w:val="3"/>
        </w:rPr>
        <w:t>ebliğ</w:t>
      </w:r>
      <w:r w:rsidR="001B6225" w:rsidRPr="00DE12A3">
        <w:rPr>
          <w:rFonts w:eastAsia="Times New Roman" w:cs="Times New Roman"/>
          <w:color w:val="auto"/>
          <w:spacing w:val="3"/>
        </w:rPr>
        <w:t>le</w:t>
      </w:r>
      <w:r w:rsidRPr="00DE12A3">
        <w:rPr>
          <w:rFonts w:eastAsia="Times New Roman" w:cs="Times New Roman"/>
          <w:color w:val="auto"/>
          <w:spacing w:val="3"/>
        </w:rPr>
        <w:t xml:space="preserve"> belirlenen şartlar uyarınca fiziksel testler yapmak üzere teknik servise gönderilecek numuneleri seçer.</w:t>
      </w:r>
    </w:p>
    <w:p w14:paraId="7A2E37B6" w14:textId="78F5EAED" w:rsidR="002D7B36" w:rsidRPr="00DE12A3" w:rsidRDefault="00242DA0" w:rsidP="00F20EE2">
      <w:pPr>
        <w:shd w:val="clear" w:color="auto" w:fill="FFFFFF"/>
        <w:spacing w:before="120" w:after="120"/>
        <w:jc w:val="both"/>
        <w:rPr>
          <w:rFonts w:eastAsia="Times New Roman" w:cs="Times New Roman"/>
          <w:color w:val="auto"/>
          <w:spacing w:val="3"/>
        </w:rPr>
      </w:pPr>
      <w:r w:rsidRPr="00DE12A3">
        <w:rPr>
          <w:rFonts w:eastAsia="Times New Roman" w:cs="Times New Roman"/>
          <w:color w:val="auto"/>
          <w:spacing w:val="3"/>
        </w:rPr>
        <w:t>5.5.</w:t>
      </w:r>
      <w:r w:rsidR="00F94F18" w:rsidRPr="00DE12A3">
        <w:rPr>
          <w:rFonts w:eastAsia="Times New Roman" w:cs="Times New Roman"/>
          <w:color w:val="auto"/>
          <w:spacing w:val="3"/>
        </w:rPr>
        <w:t xml:space="preserve"> </w:t>
      </w:r>
      <w:r w:rsidRPr="00DE12A3">
        <w:rPr>
          <w:rFonts w:eastAsia="Times New Roman" w:cs="Times New Roman"/>
          <w:color w:val="auto"/>
          <w:spacing w:val="3"/>
        </w:rPr>
        <w:t xml:space="preserve">Bir denetim veya izleme incelemesi sırasında </w:t>
      </w:r>
      <w:r w:rsidR="007E2039" w:rsidRPr="00DE12A3">
        <w:rPr>
          <w:rFonts w:eastAsia="Times New Roman" w:cs="Times New Roman"/>
          <w:color w:val="auto"/>
          <w:spacing w:val="3"/>
        </w:rPr>
        <w:t xml:space="preserve">onay </w:t>
      </w:r>
      <w:r w:rsidR="00977983" w:rsidRPr="00DE12A3">
        <w:rPr>
          <w:rFonts w:eastAsia="Times New Roman" w:cs="Times New Roman"/>
          <w:color w:val="auto"/>
          <w:spacing w:val="3"/>
        </w:rPr>
        <w:t>kuruluşu tarafından</w:t>
      </w:r>
      <w:r w:rsidRPr="00DE12A3">
        <w:rPr>
          <w:rFonts w:eastAsia="Times New Roman" w:cs="Times New Roman"/>
          <w:color w:val="auto"/>
          <w:spacing w:val="3"/>
        </w:rPr>
        <w:t xml:space="preserve"> veya diğer </w:t>
      </w:r>
      <w:r w:rsidR="005F193A" w:rsidRPr="00DE12A3">
        <w:rPr>
          <w:rFonts w:eastAsia="Times New Roman" w:cs="Times New Roman"/>
          <w:color w:val="auto"/>
          <w:spacing w:val="3"/>
        </w:rPr>
        <w:t>ü</w:t>
      </w:r>
      <w:r w:rsidRPr="00DE12A3">
        <w:rPr>
          <w:rFonts w:eastAsia="Times New Roman" w:cs="Times New Roman"/>
          <w:color w:val="auto"/>
          <w:spacing w:val="3"/>
        </w:rPr>
        <w:t xml:space="preserve">ye </w:t>
      </w:r>
      <w:r w:rsidR="005F193A" w:rsidRPr="00DE12A3">
        <w:rPr>
          <w:rFonts w:eastAsia="Times New Roman" w:cs="Times New Roman"/>
          <w:color w:val="auto"/>
          <w:spacing w:val="3"/>
        </w:rPr>
        <w:t>d</w:t>
      </w:r>
      <w:r w:rsidRPr="00DE12A3">
        <w:rPr>
          <w:rFonts w:eastAsia="Times New Roman" w:cs="Times New Roman"/>
          <w:color w:val="auto"/>
          <w:spacing w:val="3"/>
        </w:rPr>
        <w:t xml:space="preserve">evletlerdeki </w:t>
      </w:r>
      <w:r w:rsidR="007E2039" w:rsidRPr="00DE12A3">
        <w:rPr>
          <w:rFonts w:eastAsia="Times New Roman" w:cs="Times New Roman"/>
          <w:color w:val="auto"/>
          <w:spacing w:val="3"/>
        </w:rPr>
        <w:t xml:space="preserve">onay </w:t>
      </w:r>
      <w:r w:rsidR="00977983" w:rsidRPr="00DE12A3">
        <w:rPr>
          <w:rFonts w:eastAsia="Times New Roman" w:cs="Times New Roman"/>
          <w:color w:val="auto"/>
          <w:spacing w:val="3"/>
        </w:rPr>
        <w:t>kuruluşu tarafından</w:t>
      </w:r>
      <w:r w:rsidR="00EE5D5E" w:rsidRPr="00DE12A3">
        <w:rPr>
          <w:rFonts w:eastAsia="Times New Roman" w:cs="Times New Roman"/>
          <w:color w:val="auto"/>
          <w:spacing w:val="3"/>
        </w:rPr>
        <w:t>, 2016/1628/AB Yönetmeliği</w:t>
      </w:r>
      <w:r w:rsidR="005F193A" w:rsidRPr="00DE12A3">
        <w:rPr>
          <w:rFonts w:eastAsia="Times New Roman" w:cs="Times New Roman"/>
          <w:color w:val="auto"/>
          <w:spacing w:val="3"/>
        </w:rPr>
        <w:t>nin</w:t>
      </w:r>
      <w:r w:rsidR="00EE5D5E" w:rsidRPr="00DE12A3">
        <w:rPr>
          <w:rFonts w:eastAsia="Times New Roman" w:cs="Times New Roman"/>
          <w:color w:val="auto"/>
          <w:spacing w:val="3"/>
        </w:rPr>
        <w:t xml:space="preserve"> </w:t>
      </w:r>
      <w:r w:rsidRPr="00DE12A3">
        <w:rPr>
          <w:rFonts w:eastAsia="Times New Roman" w:cs="Times New Roman"/>
          <w:color w:val="auto"/>
          <w:spacing w:val="3"/>
        </w:rPr>
        <w:t>39</w:t>
      </w:r>
      <w:r w:rsidR="00EE5D5E" w:rsidRPr="00DE12A3">
        <w:rPr>
          <w:rFonts w:eastAsia="Times New Roman" w:cs="Times New Roman"/>
          <w:color w:val="auto"/>
          <w:spacing w:val="3"/>
        </w:rPr>
        <w:t xml:space="preserve"> uncu maddesi</w:t>
      </w:r>
      <w:r w:rsidR="005F193A" w:rsidRPr="00DE12A3">
        <w:rPr>
          <w:rFonts w:eastAsia="Times New Roman" w:cs="Times New Roman"/>
          <w:color w:val="auto"/>
          <w:spacing w:val="3"/>
        </w:rPr>
        <w:t>nin</w:t>
      </w:r>
      <w:r w:rsidR="00EE5D5E" w:rsidRPr="00DE12A3">
        <w:rPr>
          <w:rFonts w:eastAsia="Times New Roman" w:cs="Times New Roman"/>
          <w:color w:val="auto"/>
          <w:spacing w:val="3"/>
        </w:rPr>
        <w:t xml:space="preserve"> üçüncü fıkrası</w:t>
      </w:r>
      <w:r w:rsidRPr="00DE12A3">
        <w:rPr>
          <w:rFonts w:eastAsia="Times New Roman" w:cs="Times New Roman"/>
          <w:color w:val="auto"/>
          <w:spacing w:val="3"/>
        </w:rPr>
        <w:t xml:space="preserve"> uyarınca yetersiz sonuçlar bulunması halinde, </w:t>
      </w:r>
      <w:r w:rsidR="007E2039" w:rsidRPr="00DE12A3">
        <w:rPr>
          <w:rFonts w:eastAsia="Times New Roman" w:cs="Times New Roman"/>
          <w:color w:val="auto"/>
          <w:spacing w:val="3"/>
        </w:rPr>
        <w:t xml:space="preserve">onay </w:t>
      </w:r>
      <w:r w:rsidR="00977983" w:rsidRPr="00DE12A3">
        <w:rPr>
          <w:rFonts w:eastAsia="Times New Roman" w:cs="Times New Roman"/>
          <w:color w:val="auto"/>
          <w:spacing w:val="3"/>
        </w:rPr>
        <w:t>kuruluşu,</w:t>
      </w:r>
      <w:r w:rsidRPr="00DE12A3">
        <w:rPr>
          <w:rFonts w:eastAsia="Times New Roman" w:cs="Times New Roman"/>
          <w:color w:val="auto"/>
          <w:spacing w:val="3"/>
        </w:rPr>
        <w:t xml:space="preserve"> üretimi mümkün olan en hızlı şekilde uygunluğa kavuşturmak için gereken tüm adımların atılmasını sağlar.</w:t>
      </w:r>
    </w:p>
    <w:p w14:paraId="5A1C4571" w14:textId="787BB7F0" w:rsidR="002D7B36" w:rsidRPr="00DE12A3" w:rsidRDefault="00242DA0" w:rsidP="00F20EE2">
      <w:pPr>
        <w:shd w:val="clear" w:color="auto" w:fill="FFFFFF"/>
        <w:spacing w:before="120" w:after="120"/>
        <w:jc w:val="both"/>
        <w:rPr>
          <w:rFonts w:eastAsia="Times New Roman" w:cs="Times New Roman"/>
          <w:b/>
          <w:color w:val="auto"/>
          <w:spacing w:val="3"/>
        </w:rPr>
      </w:pPr>
      <w:r w:rsidRPr="00DE12A3">
        <w:rPr>
          <w:rFonts w:eastAsia="Times New Roman" w:cs="Times New Roman"/>
          <w:b/>
          <w:color w:val="auto"/>
          <w:spacing w:val="3"/>
        </w:rPr>
        <w:t>6.</w:t>
      </w:r>
      <w:r w:rsidR="00F20EE2" w:rsidRPr="00DE12A3">
        <w:rPr>
          <w:rFonts w:eastAsia="Times New Roman" w:cs="Times New Roman"/>
          <w:color w:val="auto"/>
          <w:spacing w:val="3"/>
        </w:rPr>
        <w:t xml:space="preserve"> </w:t>
      </w:r>
      <w:r w:rsidRPr="00DE12A3">
        <w:rPr>
          <w:rFonts w:eastAsia="Times New Roman" w:cs="Times New Roman"/>
          <w:b/>
          <w:color w:val="auto"/>
          <w:spacing w:val="3"/>
        </w:rPr>
        <w:t xml:space="preserve">5.4 bendinde belirtilen ürün uygunluk kontrolünün yetersiz seviyede olduğu hallerde üretim testi </w:t>
      </w:r>
      <w:r w:rsidR="0053289F" w:rsidRPr="00DE12A3">
        <w:rPr>
          <w:rFonts w:eastAsia="Times New Roman" w:cs="Times New Roman"/>
          <w:b/>
          <w:color w:val="auto"/>
          <w:spacing w:val="3"/>
        </w:rPr>
        <w:t>gerekliliklerini</w:t>
      </w:r>
      <w:r w:rsidRPr="00DE12A3">
        <w:rPr>
          <w:rFonts w:eastAsia="Times New Roman" w:cs="Times New Roman"/>
          <w:b/>
          <w:color w:val="auto"/>
          <w:spacing w:val="3"/>
        </w:rPr>
        <w:t>n uygunluğu</w:t>
      </w:r>
    </w:p>
    <w:p w14:paraId="09A0E86E" w14:textId="0D426EB3" w:rsidR="002D7B36" w:rsidRPr="00DE12A3" w:rsidRDefault="00242DA0" w:rsidP="00167200">
      <w:pPr>
        <w:shd w:val="clear" w:color="auto" w:fill="FFFFFF"/>
        <w:spacing w:before="120" w:after="120"/>
        <w:jc w:val="both"/>
        <w:rPr>
          <w:rFonts w:eastAsia="Times New Roman" w:cs="Times New Roman"/>
          <w:color w:val="auto"/>
          <w:spacing w:val="3"/>
        </w:rPr>
      </w:pPr>
      <w:r w:rsidRPr="00DE12A3">
        <w:rPr>
          <w:rFonts w:eastAsia="Times New Roman" w:cs="Times New Roman"/>
          <w:color w:val="auto"/>
          <w:spacing w:val="3"/>
        </w:rPr>
        <w:t>6.1.</w:t>
      </w:r>
      <w:r w:rsidR="00167200" w:rsidRPr="00DE12A3">
        <w:rPr>
          <w:rFonts w:eastAsia="Times New Roman" w:cs="Times New Roman"/>
          <w:color w:val="auto"/>
          <w:spacing w:val="3"/>
        </w:rPr>
        <w:t xml:space="preserve"> </w:t>
      </w:r>
      <w:r w:rsidRPr="00DE12A3">
        <w:rPr>
          <w:rFonts w:eastAsia="Times New Roman" w:cs="Times New Roman"/>
          <w:color w:val="auto"/>
          <w:spacing w:val="3"/>
        </w:rPr>
        <w:t xml:space="preserve">5.4 bendinde veya 5.5 bendinde belirtilen ürün uygunluk kontrolünün yetersiz seviyede </w:t>
      </w:r>
      <w:r w:rsidRPr="00DE12A3">
        <w:rPr>
          <w:rFonts w:eastAsia="Times New Roman" w:cs="Times New Roman"/>
          <w:color w:val="auto"/>
          <w:spacing w:val="3"/>
        </w:rPr>
        <w:lastRenderedPageBreak/>
        <w:t>olması halinde, üretimin uygunluğu, 2017/656</w:t>
      </w:r>
      <w:r w:rsidR="00EE5D5E" w:rsidRPr="00DE12A3">
        <w:rPr>
          <w:rFonts w:eastAsia="Times New Roman" w:cs="Times New Roman"/>
          <w:color w:val="auto"/>
          <w:spacing w:val="3"/>
        </w:rPr>
        <w:t>/AB</w:t>
      </w:r>
      <w:r w:rsidRPr="00DE12A3">
        <w:rPr>
          <w:rFonts w:eastAsia="Times New Roman" w:cs="Times New Roman"/>
          <w:color w:val="auto"/>
          <w:spacing w:val="3"/>
        </w:rPr>
        <w:t xml:space="preserve"> T</w:t>
      </w:r>
      <w:r w:rsidR="00EE5D5E" w:rsidRPr="00DE12A3">
        <w:rPr>
          <w:rFonts w:eastAsia="Times New Roman" w:cs="Times New Roman"/>
          <w:color w:val="auto"/>
          <w:spacing w:val="3"/>
        </w:rPr>
        <w:t>ebliğin</w:t>
      </w:r>
      <w:r w:rsidRPr="00DE12A3">
        <w:rPr>
          <w:rFonts w:eastAsia="Times New Roman" w:cs="Times New Roman"/>
          <w:color w:val="auto"/>
          <w:spacing w:val="3"/>
        </w:rPr>
        <w:t xml:space="preserve"> IV</w:t>
      </w:r>
      <w:r w:rsidR="00EE5D5E" w:rsidRPr="00DE12A3">
        <w:rPr>
          <w:rFonts w:eastAsia="Times New Roman" w:cs="Times New Roman"/>
          <w:color w:val="auto"/>
          <w:spacing w:val="3"/>
        </w:rPr>
        <w:t xml:space="preserve">’üncü </w:t>
      </w:r>
      <w:r w:rsidR="00EC3EF0" w:rsidRPr="00DE12A3">
        <w:rPr>
          <w:rFonts w:eastAsia="Times New Roman" w:cs="Times New Roman"/>
          <w:color w:val="auto"/>
          <w:spacing w:val="3"/>
        </w:rPr>
        <w:t>Ekinde</w:t>
      </w:r>
      <w:r w:rsidRPr="00DE12A3">
        <w:rPr>
          <w:rFonts w:eastAsia="Times New Roman" w:cs="Times New Roman"/>
          <w:color w:val="auto"/>
          <w:spacing w:val="3"/>
        </w:rPr>
        <w:t xml:space="preserve"> belirtilen AB tip onayı sertifikalarındaki açıklama esas alınarak emisyon testleri ile kontrol edilir.</w:t>
      </w:r>
    </w:p>
    <w:p w14:paraId="7D017868" w14:textId="0802A1E8" w:rsidR="002D7B36" w:rsidRPr="00DE12A3" w:rsidRDefault="00242DA0" w:rsidP="00167200">
      <w:pPr>
        <w:shd w:val="clear" w:color="auto" w:fill="FFFFFF"/>
        <w:spacing w:before="120" w:after="120"/>
        <w:jc w:val="both"/>
        <w:rPr>
          <w:rFonts w:eastAsia="Times New Roman" w:cs="Times New Roman"/>
          <w:color w:val="auto"/>
          <w:spacing w:val="3"/>
        </w:rPr>
      </w:pPr>
      <w:r w:rsidRPr="00DE12A3">
        <w:rPr>
          <w:rFonts w:eastAsia="Times New Roman" w:cs="Times New Roman"/>
          <w:color w:val="auto"/>
          <w:spacing w:val="3"/>
        </w:rPr>
        <w:t>6.2.</w:t>
      </w:r>
      <w:r w:rsidR="00F94F18" w:rsidRPr="00DE12A3">
        <w:rPr>
          <w:rFonts w:eastAsia="Times New Roman" w:cs="Times New Roman"/>
          <w:color w:val="auto"/>
          <w:spacing w:val="3"/>
        </w:rPr>
        <w:t xml:space="preserve"> </w:t>
      </w:r>
      <w:r w:rsidRPr="00DE12A3">
        <w:rPr>
          <w:rFonts w:eastAsia="Times New Roman" w:cs="Times New Roman"/>
          <w:color w:val="auto"/>
          <w:spacing w:val="3"/>
        </w:rPr>
        <w:t>6.3 bendinde aksi belirtilmedikçe, aşağıdaki prosedür uygulanır:</w:t>
      </w:r>
    </w:p>
    <w:p w14:paraId="3C7533AE" w14:textId="38AE5FC4" w:rsidR="002D7B36" w:rsidRPr="00DE12A3" w:rsidRDefault="00242DA0" w:rsidP="00167200">
      <w:pPr>
        <w:shd w:val="clear" w:color="auto" w:fill="FFFFFF"/>
        <w:spacing w:before="120" w:after="120"/>
        <w:ind w:firstLine="709"/>
        <w:jc w:val="both"/>
        <w:rPr>
          <w:rFonts w:eastAsia="Times New Roman" w:cs="Times New Roman"/>
          <w:color w:val="auto"/>
          <w:spacing w:val="3"/>
        </w:rPr>
      </w:pPr>
      <w:r w:rsidRPr="00DE12A3">
        <w:rPr>
          <w:rFonts w:eastAsia="Times New Roman" w:cs="Times New Roman"/>
          <w:color w:val="auto"/>
          <w:spacing w:val="3"/>
        </w:rPr>
        <w:t>6.2.1.</w:t>
      </w:r>
      <w:r w:rsidR="00F94F18" w:rsidRPr="00DE12A3">
        <w:rPr>
          <w:rFonts w:eastAsia="Times New Roman" w:cs="Times New Roman"/>
          <w:color w:val="auto"/>
          <w:spacing w:val="3"/>
        </w:rPr>
        <w:t xml:space="preserve"> </w:t>
      </w:r>
      <w:r w:rsidRPr="00DE12A3">
        <w:rPr>
          <w:rFonts w:eastAsia="Times New Roman" w:cs="Times New Roman"/>
          <w:color w:val="auto"/>
          <w:spacing w:val="3"/>
        </w:rPr>
        <w:t xml:space="preserve">Denetim için, söz konusu motor tipine dair seri üretimden rastgele üç motor ve eğer varsa üç </w:t>
      </w:r>
      <w:r w:rsidR="007E2039" w:rsidRPr="00DE12A3">
        <w:rPr>
          <w:rFonts w:eastAsia="Times New Roman" w:cs="Times New Roman"/>
          <w:color w:val="auto"/>
          <w:spacing w:val="3"/>
        </w:rPr>
        <w:t xml:space="preserve">arıtma </w:t>
      </w:r>
      <w:r w:rsidRPr="00DE12A3">
        <w:rPr>
          <w:rFonts w:eastAsia="Times New Roman" w:cs="Times New Roman"/>
          <w:color w:val="auto"/>
          <w:spacing w:val="3"/>
        </w:rPr>
        <w:t>sistemi alınır. Başarılı veya başarısız kararına varmak için gerekirse ilave motorlar alınır. Başarılı kararına ulaşmak için en az dört motorun test edilmesi gerekir.</w:t>
      </w:r>
    </w:p>
    <w:p w14:paraId="774C6476" w14:textId="489D9262" w:rsidR="002D7B36" w:rsidRPr="00DE12A3" w:rsidRDefault="00242DA0" w:rsidP="00167200">
      <w:pPr>
        <w:shd w:val="clear" w:color="auto" w:fill="FFFFFF"/>
        <w:spacing w:before="120" w:after="120"/>
        <w:ind w:firstLine="709"/>
        <w:jc w:val="both"/>
        <w:rPr>
          <w:rFonts w:eastAsia="Times New Roman" w:cs="Times New Roman"/>
          <w:color w:val="auto"/>
          <w:spacing w:val="3"/>
        </w:rPr>
      </w:pPr>
      <w:r w:rsidRPr="00DE12A3">
        <w:rPr>
          <w:rFonts w:eastAsia="Times New Roman" w:cs="Times New Roman"/>
          <w:color w:val="auto"/>
          <w:spacing w:val="3"/>
        </w:rPr>
        <w:t>6.2.2.</w:t>
      </w:r>
      <w:r w:rsidR="00F94F18" w:rsidRPr="00DE12A3">
        <w:rPr>
          <w:rFonts w:eastAsia="Times New Roman" w:cs="Times New Roman"/>
          <w:color w:val="auto"/>
          <w:spacing w:val="3"/>
        </w:rPr>
        <w:t xml:space="preserve"> </w:t>
      </w:r>
      <w:r w:rsidRPr="00DE12A3">
        <w:rPr>
          <w:rFonts w:eastAsia="Times New Roman" w:cs="Times New Roman"/>
          <w:color w:val="auto"/>
          <w:spacing w:val="3"/>
        </w:rPr>
        <w:t>Denetçi motorları seçtikten sonra, imalatçı seçilen motorlarda herhangi bir ayarlama yapmamalıdır.</w:t>
      </w:r>
    </w:p>
    <w:p w14:paraId="48B7034B" w14:textId="34A507CE" w:rsidR="002D7B36" w:rsidRPr="00DE12A3" w:rsidRDefault="00242DA0" w:rsidP="00167200">
      <w:pPr>
        <w:shd w:val="clear" w:color="auto" w:fill="FFFFFF"/>
        <w:spacing w:before="120" w:after="120"/>
        <w:ind w:firstLine="709"/>
        <w:jc w:val="both"/>
        <w:rPr>
          <w:rFonts w:eastAsia="Times New Roman" w:cs="Times New Roman"/>
          <w:color w:val="auto"/>
          <w:spacing w:val="3"/>
        </w:rPr>
      </w:pPr>
      <w:r w:rsidRPr="00DE12A3">
        <w:rPr>
          <w:rFonts w:eastAsia="Times New Roman" w:cs="Times New Roman"/>
          <w:color w:val="auto"/>
          <w:spacing w:val="3"/>
        </w:rPr>
        <w:t>6.2.3.</w:t>
      </w:r>
      <w:r w:rsidR="00F94F18" w:rsidRPr="00DE12A3">
        <w:rPr>
          <w:rFonts w:eastAsia="Times New Roman" w:cs="Times New Roman"/>
          <w:color w:val="auto"/>
          <w:spacing w:val="3"/>
        </w:rPr>
        <w:t xml:space="preserve"> </w:t>
      </w:r>
      <w:r w:rsidRPr="00DE12A3">
        <w:rPr>
          <w:rFonts w:eastAsia="Times New Roman" w:cs="Times New Roman"/>
          <w:color w:val="auto"/>
          <w:spacing w:val="3"/>
        </w:rPr>
        <w:t xml:space="preserve">Motorlar, </w:t>
      </w:r>
      <w:r w:rsidR="00FA0678" w:rsidRPr="00DE12A3">
        <w:rPr>
          <w:rFonts w:eastAsia="Times New Roman" w:cs="Times New Roman"/>
          <w:color w:val="auto"/>
          <w:spacing w:val="3"/>
        </w:rPr>
        <w:t>VI’ncı ek</w:t>
      </w:r>
      <w:r w:rsidRPr="00DE12A3">
        <w:rPr>
          <w:rFonts w:eastAsia="Times New Roman" w:cs="Times New Roman"/>
          <w:color w:val="auto"/>
          <w:spacing w:val="3"/>
        </w:rPr>
        <w:t xml:space="preserve">in </w:t>
      </w:r>
      <w:r w:rsidR="0053289F" w:rsidRPr="00DE12A3">
        <w:rPr>
          <w:rFonts w:eastAsia="Times New Roman" w:cs="Times New Roman"/>
          <w:color w:val="auto"/>
          <w:spacing w:val="3"/>
        </w:rPr>
        <w:t>gereklilikleri</w:t>
      </w:r>
      <w:r w:rsidRPr="00DE12A3">
        <w:rPr>
          <w:rFonts w:eastAsia="Times New Roman" w:cs="Times New Roman"/>
          <w:color w:val="auto"/>
          <w:spacing w:val="3"/>
        </w:rPr>
        <w:t xml:space="preserve"> uyarınca veya iki yakıtlı motorlar için, VIII</w:t>
      </w:r>
      <w:r w:rsidR="00C633F3" w:rsidRPr="00DE12A3">
        <w:rPr>
          <w:rFonts w:eastAsia="Times New Roman" w:cs="Times New Roman"/>
          <w:color w:val="auto"/>
          <w:spacing w:val="3"/>
        </w:rPr>
        <w:t xml:space="preserve">’inci </w:t>
      </w:r>
      <w:r w:rsidR="005F193A" w:rsidRPr="00DE12A3">
        <w:rPr>
          <w:rFonts w:eastAsia="Times New Roman" w:cs="Times New Roman"/>
          <w:color w:val="auto"/>
          <w:spacing w:val="3"/>
        </w:rPr>
        <w:t>E</w:t>
      </w:r>
      <w:r w:rsidRPr="00DE12A3">
        <w:rPr>
          <w:rFonts w:eastAsia="Times New Roman" w:cs="Times New Roman"/>
          <w:color w:val="auto"/>
          <w:spacing w:val="3"/>
        </w:rPr>
        <w:t>kin</w:t>
      </w:r>
      <w:r w:rsidR="005049DC" w:rsidRPr="00DE12A3">
        <w:rPr>
          <w:rFonts w:eastAsia="Times New Roman" w:cs="Times New Roman"/>
          <w:color w:val="auto"/>
          <w:spacing w:val="3"/>
        </w:rPr>
        <w:t>in</w:t>
      </w:r>
      <w:r w:rsidRPr="00DE12A3">
        <w:rPr>
          <w:rFonts w:eastAsia="Times New Roman" w:cs="Times New Roman"/>
          <w:color w:val="auto"/>
          <w:spacing w:val="3"/>
        </w:rPr>
        <w:t xml:space="preserve"> 2. </w:t>
      </w:r>
      <w:r w:rsidR="005F193A" w:rsidRPr="00DE12A3">
        <w:rPr>
          <w:rFonts w:eastAsia="Times New Roman" w:cs="Times New Roman"/>
          <w:color w:val="auto"/>
          <w:spacing w:val="3"/>
        </w:rPr>
        <w:t>Açıklayıcı Eki</w:t>
      </w:r>
      <w:r w:rsidRPr="00DE12A3">
        <w:rPr>
          <w:rFonts w:eastAsia="Times New Roman" w:cs="Times New Roman"/>
          <w:color w:val="auto"/>
          <w:spacing w:val="3"/>
        </w:rPr>
        <w:t xml:space="preserve"> uyarınca emisyon testine tabi tutulur ve XVII</w:t>
      </w:r>
      <w:r w:rsidR="00C633F3" w:rsidRPr="00DE12A3">
        <w:rPr>
          <w:rFonts w:eastAsia="Times New Roman" w:cs="Times New Roman"/>
          <w:color w:val="auto"/>
          <w:spacing w:val="3"/>
        </w:rPr>
        <w:t xml:space="preserve">’nci </w:t>
      </w:r>
      <w:r w:rsidR="005F193A" w:rsidRPr="00DE12A3">
        <w:rPr>
          <w:rFonts w:eastAsia="Times New Roman" w:cs="Times New Roman"/>
          <w:color w:val="auto"/>
          <w:spacing w:val="3"/>
        </w:rPr>
        <w:t>E</w:t>
      </w:r>
      <w:r w:rsidRPr="00DE12A3">
        <w:rPr>
          <w:rFonts w:eastAsia="Times New Roman" w:cs="Times New Roman"/>
          <w:color w:val="auto"/>
          <w:spacing w:val="3"/>
        </w:rPr>
        <w:t xml:space="preserve">k uyarınca motor tipi ile ilişkili test </w:t>
      </w:r>
      <w:r w:rsidR="00F310B5" w:rsidRPr="00DE12A3">
        <w:rPr>
          <w:rFonts w:eastAsia="Times New Roman" w:cs="Times New Roman"/>
          <w:color w:val="auto"/>
          <w:spacing w:val="3"/>
        </w:rPr>
        <w:t>çevrim</w:t>
      </w:r>
      <w:r w:rsidRPr="00DE12A3">
        <w:rPr>
          <w:rFonts w:eastAsia="Times New Roman" w:cs="Times New Roman"/>
          <w:color w:val="auto"/>
          <w:spacing w:val="3"/>
        </w:rPr>
        <w:t>lerine tabi tutulur.</w:t>
      </w:r>
    </w:p>
    <w:p w14:paraId="30063AF9" w14:textId="0C03D8DB" w:rsidR="002D7B36" w:rsidRPr="00DE12A3" w:rsidRDefault="00242DA0" w:rsidP="00167200">
      <w:pPr>
        <w:shd w:val="clear" w:color="auto" w:fill="FFFFFF"/>
        <w:spacing w:before="120" w:after="120"/>
        <w:ind w:firstLine="709"/>
        <w:jc w:val="both"/>
        <w:rPr>
          <w:rFonts w:eastAsia="Times New Roman" w:cs="Times New Roman"/>
          <w:color w:val="auto"/>
          <w:spacing w:val="3"/>
        </w:rPr>
      </w:pPr>
      <w:r w:rsidRPr="00DE12A3">
        <w:rPr>
          <w:rFonts w:eastAsia="Times New Roman" w:cs="Times New Roman"/>
          <w:color w:val="auto"/>
          <w:spacing w:val="3"/>
        </w:rPr>
        <w:t>6.2.3.1.</w:t>
      </w:r>
      <w:r w:rsidR="00F94F18" w:rsidRPr="00DE12A3">
        <w:rPr>
          <w:rFonts w:eastAsia="Times New Roman" w:cs="Times New Roman"/>
          <w:color w:val="auto"/>
          <w:spacing w:val="3"/>
        </w:rPr>
        <w:t xml:space="preserve"> </w:t>
      </w:r>
      <w:r w:rsidRPr="00DE12A3">
        <w:rPr>
          <w:rFonts w:eastAsia="Times New Roman" w:cs="Times New Roman"/>
          <w:color w:val="auto"/>
          <w:spacing w:val="3"/>
        </w:rPr>
        <w:t xml:space="preserve">6.2.3 bendine bakılmaksızın, RLL kategorisindeki motorlar söz konusu olduğunda, </w:t>
      </w:r>
      <w:r w:rsidR="00EE5D5E" w:rsidRPr="00DE12A3">
        <w:rPr>
          <w:rFonts w:eastAsia="Times New Roman" w:cs="Times New Roman"/>
          <w:color w:val="auto"/>
          <w:spacing w:val="3"/>
        </w:rPr>
        <w:t>2017/656/</w:t>
      </w:r>
      <w:r w:rsidR="00977983" w:rsidRPr="00DE12A3">
        <w:rPr>
          <w:rFonts w:eastAsia="Times New Roman" w:cs="Times New Roman"/>
          <w:color w:val="auto"/>
          <w:spacing w:val="3"/>
        </w:rPr>
        <w:t xml:space="preserve">AB Tebliğinin </w:t>
      </w:r>
      <w:r w:rsidR="00B87888" w:rsidRPr="00DE12A3">
        <w:rPr>
          <w:rFonts w:eastAsia="Times New Roman" w:cs="Times New Roman"/>
          <w:color w:val="auto"/>
          <w:spacing w:val="3"/>
        </w:rPr>
        <w:t>10 uncu</w:t>
      </w:r>
      <w:r w:rsidR="00633688" w:rsidRPr="00DE12A3">
        <w:rPr>
          <w:rFonts w:eastAsia="Times New Roman" w:cs="Times New Roman"/>
          <w:color w:val="auto"/>
          <w:spacing w:val="3"/>
        </w:rPr>
        <w:t xml:space="preserve"> </w:t>
      </w:r>
      <w:r w:rsidR="00977983" w:rsidRPr="00DE12A3">
        <w:rPr>
          <w:rFonts w:eastAsia="Times New Roman" w:cs="Times New Roman"/>
          <w:color w:val="auto"/>
          <w:spacing w:val="3"/>
        </w:rPr>
        <w:t>m</w:t>
      </w:r>
      <w:r w:rsidR="00EE5D5E" w:rsidRPr="00DE12A3">
        <w:rPr>
          <w:rFonts w:eastAsia="Times New Roman" w:cs="Times New Roman"/>
          <w:color w:val="auto"/>
          <w:spacing w:val="3"/>
        </w:rPr>
        <w:t>addesinin ikinci fıkrası</w:t>
      </w:r>
      <w:r w:rsidRPr="00DE12A3">
        <w:rPr>
          <w:rFonts w:eastAsia="Times New Roman" w:cs="Times New Roman"/>
          <w:color w:val="auto"/>
          <w:spacing w:val="3"/>
        </w:rPr>
        <w:t xml:space="preserve"> uyarınca tip onayı için mevcut bir test raporunun kullanılması halinde, bu Ekin amacı doğrultusunda yüzde yük ve güç ve F tipi test </w:t>
      </w:r>
      <w:r w:rsidR="00951351" w:rsidRPr="00DE12A3">
        <w:rPr>
          <w:rFonts w:eastAsia="Times New Roman" w:cs="Times New Roman"/>
          <w:color w:val="auto"/>
          <w:spacing w:val="3"/>
        </w:rPr>
        <w:t>çevriminin</w:t>
      </w:r>
      <w:r w:rsidRPr="00DE12A3">
        <w:rPr>
          <w:rFonts w:eastAsia="Times New Roman" w:cs="Times New Roman"/>
          <w:color w:val="auto"/>
          <w:spacing w:val="3"/>
        </w:rPr>
        <w:t xml:space="preserve"> mod numarasına ilişkin ağırlık faktörü, tip onayı testi için kullanılanlarla aynı olabilir.</w:t>
      </w:r>
    </w:p>
    <w:p w14:paraId="7A113D6B" w14:textId="5FA366C2" w:rsidR="002D7B36" w:rsidRPr="00DE12A3" w:rsidRDefault="00242DA0" w:rsidP="00167200">
      <w:pPr>
        <w:shd w:val="clear" w:color="auto" w:fill="FFFFFF"/>
        <w:spacing w:before="120" w:after="120"/>
        <w:ind w:firstLine="709"/>
        <w:jc w:val="both"/>
        <w:rPr>
          <w:rFonts w:eastAsia="Times New Roman" w:cs="Times New Roman"/>
          <w:color w:val="auto"/>
          <w:spacing w:val="3"/>
        </w:rPr>
      </w:pPr>
      <w:r w:rsidRPr="00DE12A3">
        <w:rPr>
          <w:rFonts w:eastAsia="Times New Roman" w:cs="Times New Roman"/>
          <w:color w:val="auto"/>
          <w:spacing w:val="3"/>
        </w:rPr>
        <w:t>6.2.4.</w:t>
      </w:r>
      <w:r w:rsidR="00F94F18" w:rsidRPr="00DE12A3">
        <w:rPr>
          <w:rFonts w:eastAsia="Times New Roman" w:cs="Times New Roman"/>
          <w:color w:val="auto"/>
          <w:spacing w:val="3"/>
        </w:rPr>
        <w:t xml:space="preserve"> </w:t>
      </w:r>
      <w:r w:rsidRPr="00DE12A3">
        <w:rPr>
          <w:rFonts w:eastAsia="Times New Roman" w:cs="Times New Roman"/>
          <w:color w:val="auto"/>
          <w:spacing w:val="3"/>
        </w:rPr>
        <w:t xml:space="preserve">Sınır </w:t>
      </w:r>
      <w:r w:rsidR="00977983" w:rsidRPr="00DE12A3">
        <w:rPr>
          <w:rFonts w:eastAsia="Times New Roman" w:cs="Times New Roman"/>
          <w:color w:val="auto"/>
          <w:spacing w:val="3"/>
        </w:rPr>
        <w:t>değerler, 2016</w:t>
      </w:r>
      <w:r w:rsidR="00EE5D5E" w:rsidRPr="00DE12A3">
        <w:rPr>
          <w:rFonts w:eastAsia="Times New Roman" w:cs="Times New Roman"/>
          <w:color w:val="auto"/>
          <w:spacing w:val="3"/>
        </w:rPr>
        <w:t>/1628/AB Yönetmeliğin</w:t>
      </w:r>
      <w:r w:rsidR="005F193A" w:rsidRPr="00DE12A3">
        <w:rPr>
          <w:rFonts w:eastAsia="Times New Roman" w:cs="Times New Roman"/>
          <w:color w:val="auto"/>
          <w:spacing w:val="3"/>
        </w:rPr>
        <w:t>in</w:t>
      </w:r>
      <w:r w:rsidR="00EE5D5E" w:rsidRPr="00DE12A3">
        <w:rPr>
          <w:rFonts w:eastAsia="Times New Roman" w:cs="Times New Roman"/>
          <w:color w:val="auto"/>
          <w:spacing w:val="3"/>
        </w:rPr>
        <w:t xml:space="preserve"> </w:t>
      </w:r>
      <w:r w:rsidRPr="00DE12A3">
        <w:rPr>
          <w:rFonts w:eastAsia="Times New Roman" w:cs="Times New Roman"/>
          <w:color w:val="auto"/>
          <w:spacing w:val="3"/>
        </w:rPr>
        <w:t>II</w:t>
      </w:r>
      <w:r w:rsidR="00EC3EF0" w:rsidRPr="00DE12A3">
        <w:rPr>
          <w:rFonts w:eastAsia="Times New Roman" w:cs="Times New Roman"/>
          <w:color w:val="auto"/>
          <w:spacing w:val="3"/>
        </w:rPr>
        <w:t>’</w:t>
      </w:r>
      <w:r w:rsidR="00195051" w:rsidRPr="00DE12A3">
        <w:rPr>
          <w:rFonts w:eastAsia="Times New Roman" w:cs="Times New Roman"/>
          <w:color w:val="auto"/>
          <w:spacing w:val="3"/>
        </w:rPr>
        <w:t>nci</w:t>
      </w:r>
      <w:r w:rsidRPr="00DE12A3">
        <w:rPr>
          <w:rFonts w:eastAsia="Times New Roman" w:cs="Times New Roman"/>
          <w:color w:val="auto"/>
          <w:spacing w:val="3"/>
        </w:rPr>
        <w:t xml:space="preserve"> Ekinde belirtilen değerlerdir. </w:t>
      </w:r>
      <w:r w:rsidR="007E2039" w:rsidRPr="00DE12A3">
        <w:rPr>
          <w:rFonts w:eastAsia="Times New Roman" w:cs="Times New Roman"/>
          <w:color w:val="auto"/>
          <w:spacing w:val="3"/>
        </w:rPr>
        <w:t xml:space="preserve">Arıtma </w:t>
      </w:r>
      <w:r w:rsidRPr="00DE12A3">
        <w:rPr>
          <w:rFonts w:eastAsia="Times New Roman" w:cs="Times New Roman"/>
          <w:color w:val="auto"/>
          <w:spacing w:val="3"/>
        </w:rPr>
        <w:t xml:space="preserve">uygulanmış bir motorun, </w:t>
      </w:r>
      <w:r w:rsidR="005049DC" w:rsidRPr="00DE12A3">
        <w:rPr>
          <w:rFonts w:eastAsia="Times New Roman" w:cs="Times New Roman"/>
          <w:color w:val="auto"/>
          <w:spacing w:val="3"/>
        </w:rPr>
        <w:t xml:space="preserve">bu Tebliğin </w:t>
      </w:r>
      <w:r w:rsidR="00C633F3" w:rsidRPr="00DE12A3">
        <w:rPr>
          <w:rFonts w:eastAsia="Times New Roman" w:cs="Times New Roman"/>
          <w:color w:val="auto"/>
          <w:spacing w:val="3"/>
        </w:rPr>
        <w:t xml:space="preserve">VI’ncı </w:t>
      </w:r>
      <w:r w:rsidR="005F193A" w:rsidRPr="00DE12A3">
        <w:rPr>
          <w:rFonts w:eastAsia="Times New Roman" w:cs="Times New Roman"/>
          <w:color w:val="auto"/>
          <w:spacing w:val="3"/>
        </w:rPr>
        <w:t>E</w:t>
      </w:r>
      <w:r w:rsidR="00C633F3" w:rsidRPr="00DE12A3">
        <w:rPr>
          <w:rFonts w:eastAsia="Times New Roman" w:cs="Times New Roman"/>
          <w:color w:val="auto"/>
          <w:spacing w:val="3"/>
        </w:rPr>
        <w:t>kin</w:t>
      </w:r>
      <w:r w:rsidR="005049DC" w:rsidRPr="00DE12A3">
        <w:rPr>
          <w:rFonts w:eastAsia="Times New Roman" w:cs="Times New Roman"/>
          <w:color w:val="auto"/>
          <w:spacing w:val="3"/>
        </w:rPr>
        <w:t>in</w:t>
      </w:r>
      <w:r w:rsidRPr="00DE12A3">
        <w:rPr>
          <w:rFonts w:eastAsia="Times New Roman" w:cs="Times New Roman"/>
          <w:color w:val="auto"/>
          <w:spacing w:val="3"/>
        </w:rPr>
        <w:t xml:space="preserve"> 6.6.2 bendinde belirtildiği gibi seyrek olarak yenilenmesi durumunda, her gaz veya </w:t>
      </w:r>
      <w:r w:rsidR="007E2039" w:rsidRPr="00DE12A3">
        <w:rPr>
          <w:rFonts w:eastAsia="Times New Roman" w:cs="Times New Roman"/>
          <w:color w:val="auto"/>
          <w:spacing w:val="3"/>
        </w:rPr>
        <w:t xml:space="preserve">partikül </w:t>
      </w:r>
      <w:r w:rsidRPr="00DE12A3">
        <w:rPr>
          <w:rFonts w:eastAsia="Times New Roman" w:cs="Times New Roman"/>
          <w:color w:val="auto"/>
          <w:spacing w:val="3"/>
        </w:rPr>
        <w:t xml:space="preserve">kirletici emisyonu sonucu, motor tipine uygulanan faktör ile ayarlanır. Her </w:t>
      </w:r>
      <w:r w:rsidR="00977983" w:rsidRPr="00DE12A3">
        <w:rPr>
          <w:rFonts w:eastAsia="Times New Roman" w:cs="Times New Roman"/>
          <w:color w:val="auto"/>
          <w:spacing w:val="3"/>
        </w:rPr>
        <w:t>halükârda</w:t>
      </w:r>
      <w:r w:rsidRPr="00DE12A3">
        <w:rPr>
          <w:rFonts w:eastAsia="Times New Roman" w:cs="Times New Roman"/>
          <w:color w:val="auto"/>
          <w:spacing w:val="3"/>
        </w:rPr>
        <w:t xml:space="preserve">, her gaz veya </w:t>
      </w:r>
      <w:r w:rsidR="007E2039" w:rsidRPr="00DE12A3">
        <w:rPr>
          <w:rFonts w:eastAsia="Times New Roman" w:cs="Times New Roman"/>
          <w:color w:val="auto"/>
          <w:spacing w:val="3"/>
        </w:rPr>
        <w:t xml:space="preserve">partikül </w:t>
      </w:r>
      <w:r w:rsidRPr="00DE12A3">
        <w:rPr>
          <w:rFonts w:eastAsia="Times New Roman" w:cs="Times New Roman"/>
          <w:color w:val="auto"/>
          <w:spacing w:val="3"/>
        </w:rPr>
        <w:t>kirletici emisyonu sonucu, söz konusu motor</w:t>
      </w:r>
      <w:r w:rsidR="003F01A9" w:rsidRPr="00DE12A3">
        <w:rPr>
          <w:rFonts w:eastAsia="Times New Roman" w:cs="Times New Roman"/>
          <w:color w:val="auto"/>
          <w:spacing w:val="3"/>
        </w:rPr>
        <w:t xml:space="preserve"> tipi </w:t>
      </w:r>
      <w:r w:rsidR="00CB0FA9" w:rsidRPr="00DE12A3">
        <w:rPr>
          <w:rFonts w:eastAsia="Times New Roman" w:cs="Times New Roman"/>
          <w:color w:val="auto"/>
          <w:spacing w:val="3"/>
        </w:rPr>
        <w:t>için III</w:t>
      </w:r>
      <w:r w:rsidR="00C633F3" w:rsidRPr="00DE12A3">
        <w:rPr>
          <w:rFonts w:eastAsia="Times New Roman" w:cs="Times New Roman"/>
          <w:color w:val="auto"/>
          <w:spacing w:val="3"/>
        </w:rPr>
        <w:t xml:space="preserve">’üncü </w:t>
      </w:r>
      <w:r w:rsidR="00633688" w:rsidRPr="00DE12A3">
        <w:rPr>
          <w:rFonts w:eastAsia="Times New Roman" w:cs="Times New Roman"/>
          <w:color w:val="auto"/>
          <w:spacing w:val="3"/>
        </w:rPr>
        <w:t>E</w:t>
      </w:r>
      <w:r w:rsidR="003F01A9" w:rsidRPr="00DE12A3">
        <w:rPr>
          <w:rFonts w:eastAsia="Times New Roman" w:cs="Times New Roman"/>
          <w:color w:val="auto"/>
          <w:spacing w:val="3"/>
        </w:rPr>
        <w:t xml:space="preserve">k uyarınca belirlenmiş </w:t>
      </w:r>
      <w:r w:rsidR="00977983" w:rsidRPr="00DE12A3">
        <w:rPr>
          <w:rFonts w:eastAsia="Times New Roman" w:cs="Times New Roman"/>
          <w:color w:val="auto"/>
          <w:spacing w:val="3"/>
        </w:rPr>
        <w:t>olan uygun</w:t>
      </w:r>
      <w:r w:rsidRPr="00DE12A3">
        <w:rPr>
          <w:rFonts w:eastAsia="Times New Roman" w:cs="Times New Roman"/>
          <w:color w:val="auto"/>
          <w:spacing w:val="3"/>
        </w:rPr>
        <w:t xml:space="preserve"> bozulma faktörleri (BF'ler) uygulanarak ayarlanır.</w:t>
      </w:r>
    </w:p>
    <w:p w14:paraId="026E1F58" w14:textId="7A7BD1D0" w:rsidR="002D7B36" w:rsidRPr="00DE12A3" w:rsidRDefault="00242DA0" w:rsidP="00167200">
      <w:pPr>
        <w:shd w:val="clear" w:color="auto" w:fill="FFFFFF"/>
        <w:spacing w:before="120" w:after="120"/>
        <w:ind w:firstLine="709"/>
        <w:jc w:val="both"/>
        <w:rPr>
          <w:rFonts w:eastAsia="Times New Roman" w:cs="Times New Roman"/>
          <w:color w:val="auto"/>
          <w:spacing w:val="3"/>
        </w:rPr>
      </w:pPr>
      <w:r w:rsidRPr="00DE12A3">
        <w:rPr>
          <w:rFonts w:eastAsia="Times New Roman" w:cs="Times New Roman"/>
          <w:color w:val="auto"/>
          <w:spacing w:val="3"/>
        </w:rPr>
        <w:t>6.2.5.</w:t>
      </w:r>
      <w:r w:rsidR="00F94F18" w:rsidRPr="00DE12A3">
        <w:rPr>
          <w:rFonts w:eastAsia="Times New Roman" w:cs="Times New Roman"/>
          <w:color w:val="auto"/>
          <w:spacing w:val="3"/>
        </w:rPr>
        <w:t xml:space="preserve"> </w:t>
      </w:r>
      <w:r w:rsidRPr="00DE12A3">
        <w:rPr>
          <w:rFonts w:eastAsia="Times New Roman" w:cs="Times New Roman"/>
          <w:color w:val="auto"/>
          <w:spacing w:val="3"/>
        </w:rPr>
        <w:t>Testler yeni imal edilmiş motorlar üzerinde yapılmalıdır.</w:t>
      </w:r>
    </w:p>
    <w:p w14:paraId="55B534FB" w14:textId="733F3D3C" w:rsidR="002D7B36" w:rsidRPr="00DE12A3" w:rsidRDefault="00242DA0" w:rsidP="003C032C">
      <w:pPr>
        <w:shd w:val="clear" w:color="auto" w:fill="FFFFFF"/>
        <w:spacing w:before="120" w:after="120"/>
        <w:ind w:firstLine="709"/>
        <w:jc w:val="both"/>
        <w:rPr>
          <w:rFonts w:eastAsia="Times New Roman" w:cs="Times New Roman"/>
          <w:color w:val="auto"/>
          <w:spacing w:val="3"/>
        </w:rPr>
      </w:pPr>
      <w:r w:rsidRPr="00DE12A3">
        <w:rPr>
          <w:rFonts w:eastAsia="Times New Roman" w:cs="Times New Roman"/>
          <w:color w:val="auto"/>
          <w:spacing w:val="3"/>
        </w:rPr>
        <w:t>6.2.5.1.</w:t>
      </w:r>
      <w:r w:rsidR="003C032C" w:rsidRPr="00DE12A3">
        <w:rPr>
          <w:rFonts w:eastAsia="Times New Roman" w:cs="Times New Roman"/>
          <w:color w:val="auto"/>
          <w:spacing w:val="3"/>
        </w:rPr>
        <w:t xml:space="preserve"> </w:t>
      </w:r>
      <w:r w:rsidRPr="00DE12A3">
        <w:rPr>
          <w:rFonts w:eastAsia="Times New Roman" w:cs="Times New Roman"/>
          <w:color w:val="auto"/>
          <w:spacing w:val="3"/>
        </w:rPr>
        <w:t>İmalatçının talebi üzerine testler, ya emisyona dayanıklılık süresinin %2'si kadar bir süre, ya da bu daha kısa bir süre ise, 125 saat çalıştırılmış motorlar üzerinde gerçekleştirilebilir. Bu durumda çalıştırma prosedürü, bu motorlarda herhangi bir ayarlama yapmamayı taahhüt eden imalatçı tarafından yürütülür. İmalatçının bilgi dokümanında, 2017/656</w:t>
      </w:r>
      <w:r w:rsidR="00EE5D5E" w:rsidRPr="00DE12A3">
        <w:rPr>
          <w:rFonts w:eastAsia="Times New Roman" w:cs="Times New Roman"/>
          <w:color w:val="auto"/>
          <w:spacing w:val="3"/>
        </w:rPr>
        <w:t>/AB</w:t>
      </w:r>
      <w:r w:rsidRPr="00DE12A3">
        <w:rPr>
          <w:rFonts w:eastAsia="Times New Roman" w:cs="Times New Roman"/>
          <w:color w:val="auto"/>
          <w:spacing w:val="3"/>
        </w:rPr>
        <w:t xml:space="preserve"> T</w:t>
      </w:r>
      <w:r w:rsidR="00EE5D5E" w:rsidRPr="00DE12A3">
        <w:rPr>
          <w:rFonts w:eastAsia="Times New Roman" w:cs="Times New Roman"/>
          <w:color w:val="auto"/>
          <w:spacing w:val="3"/>
        </w:rPr>
        <w:t>ebliğin</w:t>
      </w:r>
      <w:r w:rsidRPr="00DE12A3">
        <w:rPr>
          <w:rFonts w:eastAsia="Times New Roman" w:cs="Times New Roman"/>
          <w:color w:val="auto"/>
          <w:spacing w:val="3"/>
        </w:rPr>
        <w:t xml:space="preserve"> I</w:t>
      </w:r>
      <w:r w:rsidR="00EE5D5E" w:rsidRPr="00DE12A3">
        <w:rPr>
          <w:rFonts w:eastAsia="Times New Roman" w:cs="Times New Roman"/>
          <w:color w:val="auto"/>
          <w:spacing w:val="3"/>
        </w:rPr>
        <w:t>’</w:t>
      </w:r>
      <w:r w:rsidR="00633688" w:rsidRPr="00DE12A3">
        <w:rPr>
          <w:rFonts w:eastAsia="Times New Roman" w:cs="Times New Roman"/>
          <w:color w:val="auto"/>
          <w:spacing w:val="3"/>
        </w:rPr>
        <w:t>i</w:t>
      </w:r>
      <w:r w:rsidR="00195051" w:rsidRPr="00DE12A3">
        <w:rPr>
          <w:rFonts w:eastAsia="Times New Roman" w:cs="Times New Roman"/>
          <w:color w:val="auto"/>
          <w:spacing w:val="3"/>
        </w:rPr>
        <w:t>nci</w:t>
      </w:r>
      <w:r w:rsidR="00EE5D5E" w:rsidRPr="00DE12A3">
        <w:rPr>
          <w:rFonts w:eastAsia="Times New Roman" w:cs="Times New Roman"/>
          <w:color w:val="auto"/>
          <w:spacing w:val="3"/>
        </w:rPr>
        <w:t xml:space="preserve"> </w:t>
      </w:r>
      <w:r w:rsidR="00EC3EF0" w:rsidRPr="00DE12A3">
        <w:rPr>
          <w:rFonts w:eastAsia="Times New Roman" w:cs="Times New Roman"/>
          <w:color w:val="auto"/>
          <w:spacing w:val="3"/>
        </w:rPr>
        <w:t>Ekinde</w:t>
      </w:r>
      <w:r w:rsidRPr="00DE12A3">
        <w:rPr>
          <w:rFonts w:eastAsia="Times New Roman" w:cs="Times New Roman"/>
          <w:color w:val="auto"/>
          <w:spacing w:val="3"/>
        </w:rPr>
        <w:t xml:space="preserve"> belirtildiği gibi bir çalıştırma prosedürü belirlemesi durumunda, çalıştırma bu prosedür kullanılarak gerçekleştirilir.</w:t>
      </w:r>
    </w:p>
    <w:p w14:paraId="23BE5C00" w14:textId="26E6FD7C" w:rsidR="002D7B36" w:rsidRPr="00DE12A3" w:rsidRDefault="00242DA0" w:rsidP="003C032C">
      <w:pPr>
        <w:shd w:val="clear" w:color="auto" w:fill="FFFFFF"/>
        <w:spacing w:before="120" w:after="120"/>
        <w:ind w:firstLine="709"/>
        <w:jc w:val="both"/>
        <w:rPr>
          <w:rFonts w:eastAsia="Times New Roman" w:cs="Times New Roman"/>
          <w:color w:val="auto"/>
          <w:spacing w:val="3"/>
        </w:rPr>
      </w:pPr>
      <w:r w:rsidRPr="00DE12A3">
        <w:rPr>
          <w:rFonts w:eastAsia="Times New Roman" w:cs="Times New Roman"/>
          <w:color w:val="auto"/>
          <w:spacing w:val="3"/>
        </w:rPr>
        <w:t>6.2.6.</w:t>
      </w:r>
      <w:r w:rsidR="00F94F18" w:rsidRPr="00DE12A3">
        <w:rPr>
          <w:rFonts w:eastAsia="Times New Roman" w:cs="Times New Roman"/>
          <w:color w:val="auto"/>
          <w:spacing w:val="3"/>
        </w:rPr>
        <w:t xml:space="preserve"> </w:t>
      </w:r>
      <w:r w:rsidR="00633688" w:rsidRPr="00DE12A3">
        <w:rPr>
          <w:rFonts w:eastAsia="Times New Roman" w:cs="Times New Roman"/>
          <w:color w:val="auto"/>
          <w:spacing w:val="3"/>
        </w:rPr>
        <w:t>I’inci E</w:t>
      </w:r>
      <w:r w:rsidRPr="00DE12A3">
        <w:rPr>
          <w:rFonts w:eastAsia="Times New Roman" w:cs="Times New Roman"/>
          <w:color w:val="auto"/>
          <w:spacing w:val="3"/>
        </w:rPr>
        <w:t xml:space="preserve">kte belirtilen örnekleme ile motor testleri temelinde, değerlendirilen motorların seri üretiminin, tüm kirleticiler açısından başarılı olduğu kararına varıldığında, onaylı tipe uygun olduğu ve Şekil 2.1'de gösterildiği gibi ve </w:t>
      </w:r>
      <w:r w:rsidR="00C633F3" w:rsidRPr="00DE12A3">
        <w:rPr>
          <w:rFonts w:eastAsia="Times New Roman" w:cs="Times New Roman"/>
          <w:color w:val="auto"/>
          <w:spacing w:val="3"/>
        </w:rPr>
        <w:t>birinci</w:t>
      </w:r>
      <w:r w:rsidRPr="00DE12A3">
        <w:rPr>
          <w:rFonts w:eastAsia="Times New Roman" w:cs="Times New Roman"/>
          <w:color w:val="auto"/>
          <w:spacing w:val="3"/>
        </w:rPr>
        <w:t xml:space="preserve"> </w:t>
      </w:r>
      <w:r w:rsidR="00C633F3" w:rsidRPr="00DE12A3">
        <w:rPr>
          <w:rFonts w:eastAsia="Times New Roman" w:cs="Times New Roman"/>
          <w:color w:val="auto"/>
          <w:spacing w:val="3"/>
        </w:rPr>
        <w:t>e</w:t>
      </w:r>
      <w:r w:rsidRPr="00DE12A3">
        <w:rPr>
          <w:rFonts w:eastAsia="Times New Roman" w:cs="Times New Roman"/>
          <w:color w:val="auto"/>
          <w:spacing w:val="3"/>
        </w:rPr>
        <w:t>kte uygulanan test kriterleri uyarınca bir kirleticinin başarısız olduğu kararına varıldığında ise, onaylı tipe uygun olmadığı kabul edilir.</w:t>
      </w:r>
    </w:p>
    <w:p w14:paraId="58DC3C2C" w14:textId="174C0E6C" w:rsidR="002D7B36" w:rsidRPr="00DE12A3" w:rsidRDefault="00242DA0" w:rsidP="003C032C">
      <w:pPr>
        <w:shd w:val="clear" w:color="auto" w:fill="FFFFFF"/>
        <w:spacing w:before="120" w:after="120"/>
        <w:ind w:firstLine="709"/>
        <w:jc w:val="both"/>
        <w:rPr>
          <w:rFonts w:eastAsia="Times New Roman" w:cs="Times New Roman"/>
          <w:color w:val="auto"/>
          <w:spacing w:val="3"/>
        </w:rPr>
      </w:pPr>
      <w:r w:rsidRPr="00DE12A3">
        <w:rPr>
          <w:rFonts w:eastAsia="Times New Roman" w:cs="Times New Roman"/>
          <w:color w:val="auto"/>
          <w:spacing w:val="3"/>
        </w:rPr>
        <w:t>6.2.7.</w:t>
      </w:r>
      <w:r w:rsidR="00F94F18" w:rsidRPr="00DE12A3">
        <w:rPr>
          <w:rFonts w:eastAsia="Times New Roman" w:cs="Times New Roman"/>
          <w:color w:val="auto"/>
          <w:spacing w:val="3"/>
        </w:rPr>
        <w:t xml:space="preserve"> </w:t>
      </w:r>
      <w:r w:rsidRPr="00DE12A3">
        <w:rPr>
          <w:rFonts w:eastAsia="Times New Roman" w:cs="Times New Roman"/>
          <w:color w:val="auto"/>
          <w:spacing w:val="3"/>
        </w:rPr>
        <w:t>Bir kirletici açısından başarılı olduğu kararına varıldığında, bu karar diğer kirleticiler açısından bir karara varmak amacıyla yapılan ek testler sonucunda değişmeyebilir.</w:t>
      </w:r>
    </w:p>
    <w:p w14:paraId="13FD4B77" w14:textId="2E5F5943" w:rsidR="002D7B36" w:rsidRPr="00DE12A3" w:rsidRDefault="00242DA0" w:rsidP="00930587">
      <w:pPr>
        <w:shd w:val="clear" w:color="auto" w:fill="FFFFFF"/>
        <w:spacing w:before="120" w:after="120"/>
        <w:ind w:firstLine="709"/>
        <w:jc w:val="both"/>
        <w:rPr>
          <w:rFonts w:eastAsia="Times New Roman" w:cs="Times New Roman"/>
          <w:color w:val="auto"/>
          <w:spacing w:val="3"/>
        </w:rPr>
      </w:pPr>
      <w:r w:rsidRPr="00DE12A3">
        <w:rPr>
          <w:rFonts w:eastAsia="Times New Roman" w:cs="Times New Roman"/>
          <w:color w:val="auto"/>
          <w:spacing w:val="3"/>
        </w:rPr>
        <w:t>Tüm kirleticiler açısından başarılı olduğu ve kirleticilerin herhangi biri açısından başarısız olduğu kararına varılmazsa, başka bir motor üzerinde test yapılır.</w:t>
      </w:r>
    </w:p>
    <w:p w14:paraId="7744C1C9" w14:textId="31CF98CC" w:rsidR="002D7B36" w:rsidRPr="00DE12A3" w:rsidRDefault="00242DA0" w:rsidP="00930587">
      <w:pPr>
        <w:shd w:val="clear" w:color="auto" w:fill="FFFFFF"/>
        <w:spacing w:before="120" w:after="120"/>
        <w:ind w:firstLine="709"/>
        <w:jc w:val="both"/>
        <w:rPr>
          <w:rFonts w:eastAsia="Times New Roman" w:cs="Times New Roman"/>
          <w:color w:val="auto"/>
          <w:spacing w:val="3"/>
        </w:rPr>
      </w:pPr>
      <w:r w:rsidRPr="00DE12A3">
        <w:rPr>
          <w:rFonts w:eastAsia="Times New Roman" w:cs="Times New Roman"/>
          <w:color w:val="auto"/>
          <w:spacing w:val="3"/>
        </w:rPr>
        <w:t>6.2.8.</w:t>
      </w:r>
      <w:r w:rsidR="00F94F18" w:rsidRPr="00DE12A3">
        <w:rPr>
          <w:rFonts w:eastAsia="Times New Roman" w:cs="Times New Roman"/>
          <w:color w:val="auto"/>
          <w:spacing w:val="3"/>
        </w:rPr>
        <w:t xml:space="preserve"> </w:t>
      </w:r>
      <w:r w:rsidRPr="00DE12A3">
        <w:rPr>
          <w:rFonts w:eastAsia="Times New Roman" w:cs="Times New Roman"/>
          <w:color w:val="auto"/>
          <w:spacing w:val="3"/>
        </w:rPr>
        <w:t>Herhangi bir karara varılmazsa, imalatçı istediği zaman testi durdurmaya karar verebilir. O durumda başarısız olduğu kararı kaydedilir.</w:t>
      </w:r>
    </w:p>
    <w:p w14:paraId="23CB26A5" w14:textId="7A83D930" w:rsidR="002D7B36" w:rsidRPr="00DE12A3" w:rsidRDefault="00242DA0" w:rsidP="00930587">
      <w:pPr>
        <w:shd w:val="clear" w:color="auto" w:fill="FFFFFF"/>
        <w:spacing w:before="120" w:after="120"/>
        <w:ind w:firstLine="709"/>
        <w:jc w:val="both"/>
        <w:rPr>
          <w:rFonts w:eastAsia="Times New Roman" w:cs="Times New Roman"/>
          <w:color w:val="auto"/>
          <w:spacing w:val="3"/>
        </w:rPr>
      </w:pPr>
      <w:r w:rsidRPr="00DE12A3">
        <w:rPr>
          <w:rFonts w:eastAsia="Times New Roman" w:cs="Times New Roman"/>
          <w:color w:val="auto"/>
          <w:spacing w:val="3"/>
        </w:rPr>
        <w:t>6.3.</w:t>
      </w:r>
      <w:r w:rsidR="00F94F18" w:rsidRPr="00DE12A3">
        <w:rPr>
          <w:rFonts w:eastAsia="Times New Roman" w:cs="Times New Roman"/>
          <w:color w:val="auto"/>
          <w:spacing w:val="3"/>
        </w:rPr>
        <w:t xml:space="preserve"> </w:t>
      </w:r>
      <w:r w:rsidRPr="00DE12A3">
        <w:rPr>
          <w:rFonts w:eastAsia="Times New Roman" w:cs="Times New Roman"/>
          <w:color w:val="auto"/>
          <w:spacing w:val="3"/>
        </w:rPr>
        <w:t>AB içindeki satış hacmi yılda 100 adetten daha az olan motor tipleri için, 6.2.1 bendinden sapılarak, aşağıdaki prosedür uygulanır:</w:t>
      </w:r>
    </w:p>
    <w:p w14:paraId="43964DB3" w14:textId="1BC236AA" w:rsidR="002D7B36" w:rsidRPr="00DE12A3" w:rsidRDefault="00242DA0" w:rsidP="00930587">
      <w:pPr>
        <w:shd w:val="clear" w:color="auto" w:fill="FFFFFF"/>
        <w:spacing w:before="120" w:after="120"/>
        <w:ind w:firstLine="709"/>
        <w:jc w:val="both"/>
        <w:rPr>
          <w:rFonts w:eastAsia="Times New Roman" w:cs="Times New Roman"/>
          <w:color w:val="auto"/>
          <w:spacing w:val="3"/>
        </w:rPr>
      </w:pPr>
      <w:r w:rsidRPr="00DE12A3">
        <w:rPr>
          <w:rFonts w:eastAsia="Times New Roman" w:cs="Times New Roman"/>
          <w:color w:val="auto"/>
          <w:spacing w:val="3"/>
        </w:rPr>
        <w:t>6.3.1.</w:t>
      </w:r>
      <w:r w:rsidR="00F94F18" w:rsidRPr="00DE12A3">
        <w:rPr>
          <w:rFonts w:eastAsia="Times New Roman" w:cs="Times New Roman"/>
          <w:color w:val="auto"/>
          <w:spacing w:val="3"/>
        </w:rPr>
        <w:t xml:space="preserve"> </w:t>
      </w:r>
      <w:r w:rsidRPr="00DE12A3">
        <w:rPr>
          <w:rFonts w:eastAsia="Times New Roman" w:cs="Times New Roman"/>
          <w:color w:val="auto"/>
          <w:spacing w:val="3"/>
        </w:rPr>
        <w:t xml:space="preserve">Denetim için, söz konusu motor tipine dair seri üretimden rastgele bir motor ve eğer varsa bir </w:t>
      </w:r>
      <w:r w:rsidR="007E2039" w:rsidRPr="00DE12A3">
        <w:rPr>
          <w:rFonts w:eastAsia="Times New Roman" w:cs="Times New Roman"/>
          <w:color w:val="auto"/>
          <w:spacing w:val="3"/>
        </w:rPr>
        <w:t xml:space="preserve">arıtma </w:t>
      </w:r>
      <w:r w:rsidRPr="00DE12A3">
        <w:rPr>
          <w:rFonts w:eastAsia="Times New Roman" w:cs="Times New Roman"/>
          <w:color w:val="auto"/>
          <w:spacing w:val="3"/>
        </w:rPr>
        <w:t>sistemi alınır.</w:t>
      </w:r>
    </w:p>
    <w:p w14:paraId="782FA9FC" w14:textId="2D29BC29" w:rsidR="002D7B36" w:rsidRPr="00DE12A3" w:rsidRDefault="00242DA0" w:rsidP="00930587">
      <w:pPr>
        <w:shd w:val="clear" w:color="auto" w:fill="FFFFFF"/>
        <w:spacing w:before="120" w:after="120"/>
        <w:ind w:firstLine="709"/>
        <w:jc w:val="both"/>
        <w:rPr>
          <w:rFonts w:eastAsia="Times New Roman" w:cs="Times New Roman"/>
          <w:color w:val="auto"/>
          <w:spacing w:val="3"/>
        </w:rPr>
      </w:pPr>
      <w:r w:rsidRPr="00DE12A3">
        <w:rPr>
          <w:rFonts w:eastAsia="Times New Roman" w:cs="Times New Roman"/>
          <w:color w:val="auto"/>
          <w:spacing w:val="3"/>
        </w:rPr>
        <w:t>6.3.2.</w:t>
      </w:r>
      <w:r w:rsidR="00F94F18" w:rsidRPr="00DE12A3">
        <w:rPr>
          <w:rFonts w:eastAsia="Times New Roman" w:cs="Times New Roman"/>
          <w:color w:val="auto"/>
          <w:spacing w:val="3"/>
        </w:rPr>
        <w:t xml:space="preserve"> </w:t>
      </w:r>
      <w:r w:rsidRPr="00DE12A3">
        <w:rPr>
          <w:rFonts w:eastAsia="Times New Roman" w:cs="Times New Roman"/>
          <w:color w:val="auto"/>
          <w:spacing w:val="3"/>
        </w:rPr>
        <w:t xml:space="preserve">Motor, 6.2.4 bendinde belirtilen </w:t>
      </w:r>
      <w:r w:rsidR="0053289F" w:rsidRPr="00DE12A3">
        <w:rPr>
          <w:rFonts w:eastAsia="Times New Roman" w:cs="Times New Roman"/>
          <w:color w:val="auto"/>
          <w:spacing w:val="3"/>
        </w:rPr>
        <w:t>gereklilikleri</w:t>
      </w:r>
      <w:r w:rsidRPr="00DE12A3">
        <w:rPr>
          <w:rFonts w:eastAsia="Times New Roman" w:cs="Times New Roman"/>
          <w:color w:val="auto"/>
          <w:spacing w:val="3"/>
        </w:rPr>
        <w:t xml:space="preserve"> sağlıyorsa, başarılı olduğu </w:t>
      </w:r>
      <w:r w:rsidRPr="00DE12A3">
        <w:rPr>
          <w:rFonts w:eastAsia="Times New Roman" w:cs="Times New Roman"/>
          <w:color w:val="auto"/>
          <w:spacing w:val="3"/>
        </w:rPr>
        <w:lastRenderedPageBreak/>
        <w:t>kararına varılır ve başka bir test yapılması gerekmez.</w:t>
      </w:r>
    </w:p>
    <w:p w14:paraId="57992035" w14:textId="009B2C4C" w:rsidR="002D7B36" w:rsidRPr="00DE12A3" w:rsidRDefault="00242DA0" w:rsidP="00930587">
      <w:pPr>
        <w:shd w:val="clear" w:color="auto" w:fill="FFFFFF"/>
        <w:spacing w:before="120" w:after="120"/>
        <w:ind w:firstLine="709"/>
        <w:jc w:val="both"/>
        <w:rPr>
          <w:rFonts w:eastAsia="Times New Roman" w:cs="Times New Roman"/>
          <w:color w:val="auto"/>
          <w:spacing w:val="3"/>
        </w:rPr>
      </w:pPr>
      <w:r w:rsidRPr="00DE12A3">
        <w:rPr>
          <w:rFonts w:eastAsia="Times New Roman" w:cs="Times New Roman"/>
          <w:color w:val="auto"/>
          <w:spacing w:val="3"/>
        </w:rPr>
        <w:t>6.3.3.</w:t>
      </w:r>
      <w:r w:rsidR="00930587" w:rsidRPr="00DE12A3">
        <w:rPr>
          <w:rFonts w:eastAsia="Times New Roman" w:cs="Times New Roman"/>
          <w:color w:val="auto"/>
          <w:spacing w:val="3"/>
        </w:rPr>
        <w:t xml:space="preserve"> </w:t>
      </w:r>
      <w:r w:rsidRPr="00DE12A3">
        <w:rPr>
          <w:rFonts w:eastAsia="Times New Roman" w:cs="Times New Roman"/>
          <w:color w:val="auto"/>
          <w:spacing w:val="3"/>
        </w:rPr>
        <w:t xml:space="preserve">Test, 6.2.4 bendinde belirtilen </w:t>
      </w:r>
      <w:r w:rsidR="0053289F" w:rsidRPr="00DE12A3">
        <w:rPr>
          <w:rFonts w:eastAsia="Times New Roman" w:cs="Times New Roman"/>
          <w:color w:val="auto"/>
          <w:spacing w:val="3"/>
        </w:rPr>
        <w:t>gereklilikleri</w:t>
      </w:r>
      <w:r w:rsidRPr="00DE12A3">
        <w:rPr>
          <w:rFonts w:eastAsia="Times New Roman" w:cs="Times New Roman"/>
          <w:color w:val="auto"/>
          <w:spacing w:val="3"/>
        </w:rPr>
        <w:t xml:space="preserve"> sağlamazsa, 6.2.6 ila 6.2.9 bentlerinde özetlenen prosedür izlenmelidir.</w:t>
      </w:r>
    </w:p>
    <w:p w14:paraId="28756E3E" w14:textId="0AA31085" w:rsidR="002D7B36" w:rsidRPr="00DE12A3" w:rsidRDefault="00242DA0" w:rsidP="00930587">
      <w:pPr>
        <w:shd w:val="clear" w:color="auto" w:fill="FFFFFF"/>
        <w:spacing w:before="120" w:after="120"/>
        <w:ind w:firstLine="709"/>
        <w:jc w:val="both"/>
        <w:rPr>
          <w:rFonts w:eastAsia="Times New Roman" w:cs="Times New Roman"/>
          <w:color w:val="auto"/>
          <w:spacing w:val="3"/>
        </w:rPr>
      </w:pPr>
      <w:r w:rsidRPr="00DE12A3">
        <w:rPr>
          <w:rFonts w:eastAsia="Times New Roman" w:cs="Times New Roman"/>
          <w:color w:val="auto"/>
          <w:spacing w:val="3"/>
        </w:rPr>
        <w:t>6.4.</w:t>
      </w:r>
      <w:r w:rsidR="00F94F18" w:rsidRPr="00DE12A3">
        <w:rPr>
          <w:rFonts w:eastAsia="Times New Roman" w:cs="Times New Roman"/>
          <w:color w:val="auto"/>
          <w:spacing w:val="3"/>
        </w:rPr>
        <w:t xml:space="preserve"> </w:t>
      </w:r>
      <w:r w:rsidRPr="00DE12A3">
        <w:rPr>
          <w:rFonts w:eastAsia="Times New Roman" w:cs="Times New Roman"/>
          <w:color w:val="auto"/>
          <w:spacing w:val="3"/>
        </w:rPr>
        <w:t xml:space="preserve">Tüm bu testler, uygun piyasa yakıtları ile yapılabilir. Bununla birlikte, imalatçının talebi üzerine, </w:t>
      </w:r>
      <w:r w:rsidR="00EE5D5E" w:rsidRPr="00DE12A3">
        <w:rPr>
          <w:rFonts w:eastAsia="Times New Roman" w:cs="Times New Roman"/>
          <w:color w:val="auto"/>
          <w:spacing w:val="3"/>
        </w:rPr>
        <w:t xml:space="preserve">IX’uncu </w:t>
      </w:r>
      <w:r w:rsidR="00633688" w:rsidRPr="00DE12A3">
        <w:rPr>
          <w:rFonts w:eastAsia="Times New Roman" w:cs="Times New Roman"/>
          <w:color w:val="auto"/>
          <w:spacing w:val="3"/>
        </w:rPr>
        <w:t>E</w:t>
      </w:r>
      <w:r w:rsidR="00EE5D5E" w:rsidRPr="00DE12A3">
        <w:rPr>
          <w:rFonts w:eastAsia="Times New Roman" w:cs="Times New Roman"/>
          <w:color w:val="auto"/>
          <w:spacing w:val="3"/>
        </w:rPr>
        <w:t xml:space="preserve">kte    </w:t>
      </w:r>
      <w:r w:rsidRPr="00DE12A3">
        <w:rPr>
          <w:rFonts w:eastAsia="Times New Roman" w:cs="Times New Roman"/>
          <w:color w:val="auto"/>
          <w:spacing w:val="3"/>
        </w:rPr>
        <w:t xml:space="preserve">açıklanan referans yakıtlar kullanılır.  İki yakıtlı motorlar dahil olmak üzere, doğal gaz/biyometan (DG) veya sıvılaştırılmış petrol gazı (LPG) ile çalıştırılan motorlara yönelik testler, </w:t>
      </w:r>
      <w:r w:rsidR="00633688" w:rsidRPr="00DE12A3">
        <w:rPr>
          <w:rFonts w:eastAsia="Times New Roman" w:cs="Times New Roman"/>
          <w:color w:val="auto"/>
          <w:spacing w:val="3"/>
        </w:rPr>
        <w:t>I’inci</w:t>
      </w:r>
      <w:r w:rsidRPr="00DE12A3">
        <w:rPr>
          <w:rFonts w:eastAsia="Times New Roman" w:cs="Times New Roman"/>
          <w:color w:val="auto"/>
          <w:spacing w:val="3"/>
        </w:rPr>
        <w:t xml:space="preserve"> Ekin 1.</w:t>
      </w:r>
      <w:r w:rsidR="00633688" w:rsidRPr="00DE12A3">
        <w:rPr>
          <w:rFonts w:eastAsia="Times New Roman" w:cs="Times New Roman"/>
          <w:color w:val="auto"/>
          <w:spacing w:val="3"/>
        </w:rPr>
        <w:t xml:space="preserve"> Açıklayıcı Ekinde</w:t>
      </w:r>
      <w:r w:rsidRPr="00DE12A3">
        <w:rPr>
          <w:rFonts w:eastAsia="Times New Roman" w:cs="Times New Roman"/>
          <w:color w:val="auto"/>
          <w:spacing w:val="3"/>
        </w:rPr>
        <w:t xml:space="preserve"> açıklandığı gibi, sadece bir referans yakıt gereken yakıta özgü bir tip onayı olan gazla çalışan bir motor söz konusu olmadıkça, gazla çalışan her motor için en az iki referans yakıtı ile yapılmalıdır.Birden fazla gaz referans yakıtın kullanıldığı hallerde, sonuçlar motorun yakıtların her biri ile sınır değerleri sağladığını göstermelidir.</w:t>
      </w:r>
    </w:p>
    <w:p w14:paraId="3C1303F6" w14:textId="318861AB" w:rsidR="002D7B36" w:rsidRPr="00DE12A3" w:rsidRDefault="00242DA0" w:rsidP="00930587">
      <w:pPr>
        <w:shd w:val="clear" w:color="auto" w:fill="FFFFFF"/>
        <w:spacing w:before="120" w:after="120"/>
        <w:ind w:firstLine="709"/>
        <w:jc w:val="both"/>
        <w:rPr>
          <w:rFonts w:eastAsia="Times New Roman" w:cs="Times New Roman"/>
          <w:color w:val="auto"/>
          <w:spacing w:val="3"/>
        </w:rPr>
      </w:pPr>
      <w:r w:rsidRPr="00DE12A3">
        <w:rPr>
          <w:rFonts w:eastAsia="Times New Roman" w:cs="Times New Roman"/>
          <w:color w:val="auto"/>
          <w:spacing w:val="3"/>
        </w:rPr>
        <w:t>6.5.</w:t>
      </w:r>
      <w:r w:rsidR="00F94F18" w:rsidRPr="00DE12A3">
        <w:rPr>
          <w:rFonts w:eastAsia="Times New Roman" w:cs="Times New Roman"/>
          <w:color w:val="auto"/>
          <w:spacing w:val="3"/>
        </w:rPr>
        <w:t xml:space="preserve"> </w:t>
      </w:r>
      <w:r w:rsidRPr="00DE12A3">
        <w:rPr>
          <w:rFonts w:eastAsia="Times New Roman" w:cs="Times New Roman"/>
          <w:color w:val="auto"/>
          <w:spacing w:val="3"/>
        </w:rPr>
        <w:t>Gazla çalışan motorların uyumsuzluğu</w:t>
      </w:r>
    </w:p>
    <w:p w14:paraId="408BBA20" w14:textId="52D0FDB2" w:rsidR="002D7B36" w:rsidRPr="00DE12A3" w:rsidRDefault="00242DA0" w:rsidP="00930587">
      <w:pPr>
        <w:shd w:val="clear" w:color="auto" w:fill="FFFFFF"/>
        <w:spacing w:before="120" w:after="120"/>
        <w:ind w:firstLine="709"/>
        <w:jc w:val="both"/>
        <w:rPr>
          <w:rFonts w:eastAsia="Times New Roman" w:cs="Times New Roman"/>
          <w:color w:val="auto"/>
          <w:spacing w:val="3"/>
        </w:rPr>
      </w:pPr>
      <w:r w:rsidRPr="00DE12A3">
        <w:rPr>
          <w:rFonts w:eastAsia="Times New Roman" w:cs="Times New Roman"/>
          <w:color w:val="auto"/>
          <w:spacing w:val="3"/>
        </w:rPr>
        <w:t xml:space="preserve">İki yakıtlı motorlar da dahil olmak üzere, gaz yakıtlı motorların uyumuna ilişkin anlaşmazlık durumunda, bir piyasa yakıtı kullanılırken testler, ana motorun test edildiği her referans yakıt ve imalatçının talebi üzerine, </w:t>
      </w:r>
      <w:r w:rsidR="00633688" w:rsidRPr="00DE12A3">
        <w:rPr>
          <w:rFonts w:eastAsia="Times New Roman" w:cs="Times New Roman"/>
          <w:color w:val="auto"/>
          <w:spacing w:val="3"/>
        </w:rPr>
        <w:t>I’inci E</w:t>
      </w:r>
      <w:r w:rsidRPr="00DE12A3">
        <w:rPr>
          <w:rFonts w:eastAsia="Times New Roman" w:cs="Times New Roman"/>
          <w:color w:val="auto"/>
          <w:spacing w:val="3"/>
        </w:rPr>
        <w:t xml:space="preserve">kin 2.3.1.1.1 ve 2.4.1.2 bentlerinde belirtildiği şekilde, ana motorun test edilmiş olabileceği olası bir ilave üçüncü yakıt ile gerçekleştirilir.Uygulanabilir olduğunda, sonuç </w:t>
      </w:r>
      <w:r w:rsidR="00633688" w:rsidRPr="00DE12A3">
        <w:rPr>
          <w:rFonts w:eastAsia="Times New Roman" w:cs="Times New Roman"/>
          <w:color w:val="auto"/>
          <w:spacing w:val="3"/>
        </w:rPr>
        <w:t>I’inci E</w:t>
      </w:r>
      <w:r w:rsidR="00EF2C88" w:rsidRPr="00DE12A3">
        <w:rPr>
          <w:rFonts w:eastAsia="Times New Roman" w:cs="Times New Roman"/>
          <w:color w:val="auto"/>
          <w:spacing w:val="3"/>
        </w:rPr>
        <w:t xml:space="preserve">kin </w:t>
      </w:r>
      <w:r w:rsidRPr="00DE12A3">
        <w:rPr>
          <w:rFonts w:eastAsia="Times New Roman" w:cs="Times New Roman"/>
          <w:color w:val="auto"/>
          <w:spacing w:val="3"/>
        </w:rPr>
        <w:t>2.3.3, 2.3.4.1 ve 2.4.1.3 bentlerinde açıklanan ilgili faktörler"r", "r</w:t>
      </w:r>
      <w:r w:rsidRPr="00DE12A3">
        <w:rPr>
          <w:rFonts w:eastAsia="Times New Roman" w:cs="Times New Roman"/>
          <w:color w:val="auto"/>
          <w:spacing w:val="3"/>
          <w:vertAlign w:val="subscript"/>
        </w:rPr>
        <w:t>a</w:t>
      </w:r>
      <w:r w:rsidRPr="00DE12A3">
        <w:rPr>
          <w:rFonts w:eastAsia="Times New Roman" w:cs="Times New Roman"/>
          <w:color w:val="auto"/>
          <w:spacing w:val="3"/>
        </w:rPr>
        <w:t>" veya "r</w:t>
      </w:r>
      <w:r w:rsidRPr="00DE12A3">
        <w:rPr>
          <w:rFonts w:eastAsia="Times New Roman" w:cs="Times New Roman"/>
          <w:color w:val="auto"/>
          <w:spacing w:val="3"/>
          <w:vertAlign w:val="subscript"/>
        </w:rPr>
        <w:t>b</w:t>
      </w:r>
      <w:r w:rsidRPr="00DE12A3">
        <w:rPr>
          <w:rFonts w:eastAsia="Times New Roman" w:cs="Times New Roman"/>
          <w:color w:val="auto"/>
          <w:spacing w:val="3"/>
        </w:rPr>
        <w:t>" uygulanarak bir hesaplama ile dönüştürülür.</w:t>
      </w:r>
      <w:r w:rsidR="00EF2C88" w:rsidRPr="00DE12A3">
        <w:rPr>
          <w:rFonts w:eastAsia="Times New Roman" w:cs="Times New Roman"/>
          <w:color w:val="auto"/>
          <w:spacing w:val="3"/>
        </w:rPr>
        <w:t xml:space="preserve"> </w:t>
      </w:r>
      <w:r w:rsidRPr="00DE12A3">
        <w:rPr>
          <w:rFonts w:eastAsia="Times New Roman" w:cs="Times New Roman"/>
          <w:color w:val="auto"/>
          <w:spacing w:val="3"/>
        </w:rPr>
        <w:t>Eğer r, r</w:t>
      </w:r>
      <w:r w:rsidRPr="00DE12A3">
        <w:rPr>
          <w:rFonts w:eastAsia="Times New Roman" w:cs="Times New Roman"/>
          <w:color w:val="auto"/>
          <w:spacing w:val="3"/>
          <w:vertAlign w:val="subscript"/>
        </w:rPr>
        <w:t>a</w:t>
      </w:r>
      <w:r w:rsidRPr="00DE12A3">
        <w:rPr>
          <w:rFonts w:eastAsia="Times New Roman" w:cs="Times New Roman"/>
          <w:color w:val="auto"/>
          <w:spacing w:val="3"/>
        </w:rPr>
        <w:t xml:space="preserve"> veya r</w:t>
      </w:r>
      <w:r w:rsidRPr="00DE12A3">
        <w:rPr>
          <w:rFonts w:eastAsia="Times New Roman" w:cs="Times New Roman"/>
          <w:color w:val="auto"/>
          <w:spacing w:val="3"/>
          <w:vertAlign w:val="subscript"/>
        </w:rPr>
        <w:t>b</w:t>
      </w:r>
      <w:r w:rsidRPr="00DE12A3">
        <w:rPr>
          <w:rFonts w:eastAsia="Times New Roman" w:cs="Times New Roman"/>
          <w:color w:val="auto"/>
          <w:spacing w:val="3"/>
        </w:rPr>
        <w:t xml:space="preserve"> 1'den az ise, düzeltme yapılmaz. Ölçülen sonuçlar ve varsa hesaplanan sonuçlar, motorun ilgili tüm yakıtlarla (örneğin yakıt 1, 2 ve varsa doğal gaz/biyometan ile çalışan motorlar durumunda üçüncü yakıt ve LPG ile çalışan motorlar durumunda A ve B yakıtları) sınır değerleri sağladığını göstermelid</w:t>
      </w:r>
      <w:r w:rsidR="00877D3B" w:rsidRPr="00DE12A3">
        <w:rPr>
          <w:rFonts w:eastAsia="Times New Roman" w:cs="Times New Roman"/>
          <w:color w:val="auto"/>
          <w:spacing w:val="3"/>
        </w:rPr>
        <w:t>ir.</w:t>
      </w:r>
    </w:p>
    <w:p w14:paraId="4B703B96" w14:textId="77777777" w:rsidR="00877D3B" w:rsidRPr="00DE12A3" w:rsidRDefault="00877D3B" w:rsidP="00E35FD4">
      <w:pPr>
        <w:shd w:val="clear" w:color="auto" w:fill="FFFFFF"/>
        <w:spacing w:before="120" w:after="120"/>
        <w:ind w:left="1134" w:hanging="1134"/>
        <w:jc w:val="both"/>
        <w:rPr>
          <w:rFonts w:eastAsia="Times New Roman" w:cs="Times New Roman"/>
          <w:color w:val="auto"/>
          <w:spacing w:val="3"/>
        </w:rPr>
      </w:pPr>
    </w:p>
    <w:p w14:paraId="2BAABACA" w14:textId="77777777" w:rsidR="00877D3B" w:rsidRPr="00DE12A3" w:rsidRDefault="00877D3B" w:rsidP="00E35FD4">
      <w:pPr>
        <w:shd w:val="clear" w:color="auto" w:fill="FFFFFF"/>
        <w:spacing w:before="120" w:after="120"/>
        <w:ind w:left="1134" w:hanging="1134"/>
        <w:jc w:val="both"/>
        <w:rPr>
          <w:rFonts w:eastAsia="Times New Roman" w:cs="Times New Roman"/>
          <w:color w:val="auto"/>
          <w:spacing w:val="3"/>
        </w:rPr>
      </w:pPr>
    </w:p>
    <w:p w14:paraId="4FCCB44B" w14:textId="77777777" w:rsidR="001251BB" w:rsidRPr="00DE12A3" w:rsidRDefault="001251BB" w:rsidP="00E35FD4">
      <w:pPr>
        <w:widowControl/>
        <w:rPr>
          <w:rFonts w:eastAsia="Times New Roman" w:cs="Times New Roman"/>
          <w:color w:val="auto"/>
          <w:spacing w:val="3"/>
        </w:rPr>
      </w:pPr>
      <w:r w:rsidRPr="00DE12A3">
        <w:rPr>
          <w:rFonts w:eastAsia="Times New Roman" w:cs="Times New Roman"/>
          <w:color w:val="auto"/>
          <w:spacing w:val="3"/>
        </w:rPr>
        <w:br w:type="page"/>
      </w:r>
    </w:p>
    <w:p w14:paraId="7B2D8413" w14:textId="77777777" w:rsidR="002D7B36" w:rsidRPr="00DE12A3" w:rsidRDefault="00242DA0" w:rsidP="001251BB">
      <w:pPr>
        <w:shd w:val="clear" w:color="auto" w:fill="FFFFFF"/>
        <w:spacing w:before="120" w:after="120"/>
        <w:jc w:val="center"/>
        <w:rPr>
          <w:rFonts w:eastAsia="Times New Roman" w:cs="Times New Roman"/>
          <w:color w:val="auto"/>
          <w:spacing w:val="3"/>
        </w:rPr>
      </w:pPr>
      <w:r w:rsidRPr="00DE12A3">
        <w:rPr>
          <w:rFonts w:eastAsia="Times New Roman" w:cs="Times New Roman"/>
          <w:color w:val="auto"/>
          <w:spacing w:val="3"/>
        </w:rPr>
        <w:lastRenderedPageBreak/>
        <w:t>Şekil 2.1</w:t>
      </w:r>
    </w:p>
    <w:p w14:paraId="1C30BD26" w14:textId="77777777" w:rsidR="002D7B36" w:rsidRPr="00DE12A3" w:rsidRDefault="00242DA0" w:rsidP="00722E32">
      <w:pPr>
        <w:shd w:val="clear" w:color="auto" w:fill="FFFFFF"/>
        <w:spacing w:before="120" w:after="120"/>
        <w:jc w:val="center"/>
        <w:rPr>
          <w:rFonts w:eastAsia="Times New Roman" w:cs="Times New Roman"/>
          <w:b/>
          <w:color w:val="auto"/>
          <w:spacing w:val="3"/>
        </w:rPr>
      </w:pPr>
      <w:r w:rsidRPr="00DE12A3">
        <w:rPr>
          <w:rFonts w:eastAsia="Times New Roman" w:cs="Times New Roman"/>
          <w:b/>
          <w:color w:val="auto"/>
          <w:spacing w:val="3"/>
        </w:rPr>
        <w:t>Üretim uygunluk testi şeması</w:t>
      </w:r>
    </w:p>
    <w:p w14:paraId="14D5122E" w14:textId="2B6BAD3C" w:rsidR="002D7B36" w:rsidRPr="00DE12A3" w:rsidRDefault="00F43592" w:rsidP="00B372C7">
      <w:pPr>
        <w:jc w:val="center"/>
        <w:rPr>
          <w:rFonts w:eastAsia="Times New Roman"/>
          <w:b/>
          <w:color w:val="auto"/>
          <w:spacing w:val="3"/>
          <w:sz w:val="20"/>
          <w:szCs w:val="20"/>
        </w:rPr>
      </w:pPr>
      <w:r w:rsidRPr="00DE12A3">
        <w:rPr>
          <w:rFonts w:cs="Times New Roman"/>
          <w:noProof/>
          <w:color w:val="auto"/>
          <w:sz w:val="10"/>
          <w:szCs w:val="10"/>
        </w:rPr>
        <mc:AlternateContent>
          <mc:Choice Requires="wps">
            <w:drawing>
              <wp:anchor distT="0" distB="0" distL="114300" distR="114300" simplePos="0" relativeHeight="251706880" behindDoc="0" locked="0" layoutInCell="1" allowOverlap="1" wp14:anchorId="7DBBB28E" wp14:editId="339EE50B">
                <wp:simplePos x="0" y="0"/>
                <wp:positionH relativeFrom="column">
                  <wp:posOffset>4321175</wp:posOffset>
                </wp:positionH>
                <wp:positionV relativeFrom="paragraph">
                  <wp:posOffset>1510665</wp:posOffset>
                </wp:positionV>
                <wp:extent cx="723331" cy="533400"/>
                <wp:effectExtent l="0" t="0" r="19685" b="19050"/>
                <wp:wrapNone/>
                <wp:docPr id="11" name="Metin Kutusu 11"/>
                <wp:cNvGraphicFramePr/>
                <a:graphic xmlns:a="http://schemas.openxmlformats.org/drawingml/2006/main">
                  <a:graphicData uri="http://schemas.microsoft.com/office/word/2010/wordprocessingShape">
                    <wps:wsp>
                      <wps:cNvSpPr txBox="1"/>
                      <wps:spPr>
                        <a:xfrm>
                          <a:off x="0" y="0"/>
                          <a:ext cx="723331" cy="533400"/>
                        </a:xfrm>
                        <a:prstGeom prst="rect">
                          <a:avLst/>
                        </a:prstGeom>
                        <a:solidFill>
                          <a:schemeClr val="lt1"/>
                        </a:solidFill>
                        <a:ln w="6350">
                          <a:solidFill>
                            <a:prstClr val="black"/>
                          </a:solidFill>
                        </a:ln>
                      </wps:spPr>
                      <wps:txbx>
                        <w:txbxContent>
                          <w:p w14:paraId="11442CDB" w14:textId="1769C3C9" w:rsidR="00381FB4" w:rsidRPr="00EF0310" w:rsidRDefault="00381FB4">
                            <w:pPr>
                              <w:rPr>
                                <w:rFonts w:asciiTheme="minorHAnsi" w:hAnsiTheme="minorHAnsi"/>
                                <w:color w:val="auto"/>
                                <w:sz w:val="20"/>
                                <w:szCs w:val="20"/>
                              </w:rPr>
                            </w:pPr>
                            <w:r w:rsidRPr="00EF0310">
                              <w:rPr>
                                <w:rFonts w:asciiTheme="minorHAnsi" w:hAnsiTheme="minorHAnsi"/>
                                <w:color w:val="auto"/>
                                <w:sz w:val="20"/>
                                <w:szCs w:val="20"/>
                              </w:rPr>
                              <w:t>Seri red edilir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DBBB28E" id="_x0000_t202" coordsize="21600,21600" o:spt="202" path="m,l,21600r21600,l21600,xe">
                <v:stroke joinstyle="miter"/>
                <v:path gradientshapeok="t" o:connecttype="rect"/>
              </v:shapetype>
              <v:shape id="Metin Kutusu 11" o:spid="_x0000_s1026" type="#_x0000_t202" style="position:absolute;left:0;text-align:left;margin-left:340.25pt;margin-top:118.95pt;width:56.95pt;height:42pt;z-index:251706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" fillcolor="white [3201]" strokeweight=".5pt">
                <v:textbox>
                  <w:txbxContent>
                    <w:p w14:paraId="11442CDB" w14:textId="1769C3C9" w:rsidR="00381FB4" w:rsidRPr="00EF0310" w:rsidRDefault="00381FB4">
                      <w:pPr>
                        <w:rPr>
                          <w:rFonts w:asciiTheme="minorHAnsi" w:hAnsiTheme="minorHAnsi"/>
                          <w:color w:val="auto"/>
                          <w:sz w:val="20"/>
                          <w:szCs w:val="20"/>
                        </w:rPr>
                      </w:pPr>
                      <w:r w:rsidRPr="00EF0310">
                        <w:rPr>
                          <w:rFonts w:asciiTheme="minorHAnsi" w:hAnsiTheme="minorHAnsi"/>
                          <w:color w:val="auto"/>
                          <w:sz w:val="20"/>
                          <w:szCs w:val="20"/>
                        </w:rPr>
                        <w:t>Seri red edilir</w:t>
                      </w:r>
                    </w:p>
                  </w:txbxContent>
                </v:textbox>
              </v:shape>
            </w:pict>
          </mc:Fallback>
        </mc:AlternateContent>
      </w:r>
      <w:r w:rsidR="003F01A9" w:rsidRPr="00DE12A3">
        <w:rPr>
          <w:rStyle w:val="Gvdemetni365pt"/>
          <w:rFonts w:eastAsia="Courier New"/>
          <w:noProof/>
          <w:color w:val="auto"/>
        </w:rPr>
        <w:drawing>
          <wp:inline distT="0" distB="0" distL="0" distR="0" wp14:anchorId="0DB09360" wp14:editId="29011FAE">
            <wp:extent cx="4348800" cy="5104800"/>
            <wp:effectExtent l="0" t="0" r="0" b="635"/>
            <wp:docPr id="10"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a:xfrm>
                      <a:off x="0" y="0"/>
                      <a:ext cx="4348800" cy="5104800"/>
                    </a:xfrm>
                    <a:prstGeom prst="rect">
                      <a:avLst/>
                    </a:prstGeom>
                    <a:noFill/>
                    <a:ln>
                      <a:noFill/>
                    </a:ln>
                  </pic:spPr>
                </pic:pic>
              </a:graphicData>
            </a:graphic>
          </wp:inline>
        </w:drawing>
      </w:r>
    </w:p>
    <w:p w14:paraId="4D272B1A" w14:textId="77777777" w:rsidR="002D7B36" w:rsidRPr="00DE12A3" w:rsidRDefault="002D7B36" w:rsidP="001251BB">
      <w:pPr>
        <w:shd w:val="clear" w:color="auto" w:fill="FFFFFF"/>
        <w:spacing w:before="120" w:after="120"/>
        <w:jc w:val="both"/>
        <w:rPr>
          <w:rFonts w:eastAsia="Times New Roman" w:cs="Times New Roman"/>
          <w:b/>
          <w:color w:val="auto"/>
          <w:spacing w:val="3"/>
          <w:sz w:val="20"/>
          <w:szCs w:val="20"/>
        </w:rPr>
      </w:pPr>
    </w:p>
    <w:p w14:paraId="72AD6DB7" w14:textId="77777777" w:rsidR="002D7B36" w:rsidRPr="00DE12A3" w:rsidRDefault="002D7B36" w:rsidP="001251BB">
      <w:pPr>
        <w:shd w:val="clear" w:color="auto" w:fill="FFFFFF"/>
        <w:spacing w:before="120" w:after="120"/>
        <w:jc w:val="both"/>
        <w:rPr>
          <w:rFonts w:eastAsia="Times New Roman" w:cs="Times New Roman"/>
          <w:b/>
          <w:color w:val="auto"/>
          <w:spacing w:val="3"/>
          <w:sz w:val="20"/>
          <w:szCs w:val="20"/>
        </w:rPr>
      </w:pPr>
    </w:p>
    <w:p w14:paraId="02570D8E" w14:textId="77777777" w:rsidR="001251BB" w:rsidRPr="00DE12A3" w:rsidRDefault="001251BB">
      <w:pPr>
        <w:widowControl/>
        <w:rPr>
          <w:rFonts w:eastAsia="Times New Roman" w:cs="Times New Roman"/>
          <w:b/>
          <w:color w:val="auto"/>
          <w:spacing w:val="3"/>
          <w:sz w:val="20"/>
          <w:szCs w:val="20"/>
        </w:rPr>
      </w:pPr>
      <w:r w:rsidRPr="00DE12A3">
        <w:rPr>
          <w:rFonts w:eastAsia="Times New Roman" w:cs="Times New Roman"/>
          <w:b/>
          <w:color w:val="auto"/>
          <w:spacing w:val="3"/>
          <w:sz w:val="20"/>
          <w:szCs w:val="20"/>
        </w:rPr>
        <w:br w:type="page"/>
      </w:r>
    </w:p>
    <w:p w14:paraId="60AFAEAA" w14:textId="77777777" w:rsidR="002D7B36" w:rsidRPr="00DE12A3" w:rsidRDefault="008D5B5C" w:rsidP="00722E32">
      <w:pPr>
        <w:pStyle w:val="Balk2"/>
        <w:rPr>
          <w:color w:val="auto"/>
        </w:rPr>
      </w:pPr>
      <w:r w:rsidRPr="00DE12A3">
        <w:rPr>
          <w:color w:val="auto"/>
        </w:rPr>
        <w:lastRenderedPageBreak/>
        <w:t>1.</w:t>
      </w:r>
      <w:r w:rsidR="00242DA0" w:rsidRPr="00DE12A3">
        <w:rPr>
          <w:color w:val="auto"/>
        </w:rPr>
        <w:t>Açıklayıcı Ek</w:t>
      </w:r>
    </w:p>
    <w:p w14:paraId="4ECCA4CC" w14:textId="77777777" w:rsidR="002D7B36" w:rsidRPr="00DE12A3" w:rsidRDefault="00242DA0" w:rsidP="00722E32">
      <w:pPr>
        <w:shd w:val="clear" w:color="auto" w:fill="FFFFFF"/>
        <w:spacing w:before="120" w:after="120"/>
        <w:ind w:left="1134" w:hanging="1134"/>
        <w:jc w:val="center"/>
        <w:rPr>
          <w:rFonts w:eastAsia="Times New Roman" w:cs="Times New Roman"/>
          <w:b/>
          <w:color w:val="auto"/>
          <w:spacing w:val="3"/>
        </w:rPr>
      </w:pPr>
      <w:r w:rsidRPr="00DE12A3">
        <w:rPr>
          <w:rFonts w:eastAsia="Times New Roman" w:cs="Times New Roman"/>
          <w:b/>
          <w:color w:val="auto"/>
          <w:spacing w:val="3"/>
        </w:rPr>
        <w:t>Üretim uygunluk testine ilişkin prosedür</w:t>
      </w:r>
    </w:p>
    <w:p w14:paraId="1BDB0C50" w14:textId="021ED7A6" w:rsidR="002D7B36" w:rsidRPr="00DE12A3" w:rsidRDefault="00242DA0" w:rsidP="00722E32">
      <w:pPr>
        <w:shd w:val="clear" w:color="auto" w:fill="FFFFFF"/>
        <w:spacing w:before="120" w:after="120"/>
        <w:jc w:val="both"/>
        <w:rPr>
          <w:rFonts w:eastAsia="Times New Roman" w:cs="Times New Roman"/>
          <w:color w:val="auto"/>
          <w:spacing w:val="3"/>
        </w:rPr>
      </w:pPr>
      <w:r w:rsidRPr="00DE12A3">
        <w:rPr>
          <w:rFonts w:eastAsia="Times New Roman" w:cs="Times New Roman"/>
          <w:color w:val="auto"/>
          <w:spacing w:val="3"/>
        </w:rPr>
        <w:t>1.</w:t>
      </w:r>
      <w:r w:rsidR="00F94F18" w:rsidRPr="00DE12A3">
        <w:rPr>
          <w:rFonts w:eastAsia="Times New Roman" w:cs="Times New Roman"/>
          <w:color w:val="auto"/>
          <w:spacing w:val="3"/>
        </w:rPr>
        <w:t xml:space="preserve"> </w:t>
      </w:r>
      <w:r w:rsidRPr="00DE12A3">
        <w:rPr>
          <w:rFonts w:eastAsia="Times New Roman" w:cs="Times New Roman"/>
          <w:color w:val="auto"/>
          <w:spacing w:val="3"/>
        </w:rPr>
        <w:t xml:space="preserve">Bu </w:t>
      </w:r>
      <w:r w:rsidR="00E71539" w:rsidRPr="00DE12A3">
        <w:rPr>
          <w:rFonts w:eastAsia="Times New Roman" w:cs="Times New Roman"/>
          <w:color w:val="auto"/>
          <w:spacing w:val="3"/>
        </w:rPr>
        <w:t>A</w:t>
      </w:r>
      <w:r w:rsidRPr="00DE12A3">
        <w:rPr>
          <w:rFonts w:eastAsia="Times New Roman" w:cs="Times New Roman"/>
          <w:color w:val="auto"/>
          <w:spacing w:val="3"/>
        </w:rPr>
        <w:t xml:space="preserve">çıklayıcı </w:t>
      </w:r>
      <w:r w:rsidR="00E71539" w:rsidRPr="00DE12A3">
        <w:rPr>
          <w:rFonts w:eastAsia="Times New Roman" w:cs="Times New Roman"/>
          <w:color w:val="auto"/>
          <w:spacing w:val="3"/>
        </w:rPr>
        <w:t>E</w:t>
      </w:r>
      <w:r w:rsidRPr="00DE12A3">
        <w:rPr>
          <w:rFonts w:eastAsia="Times New Roman" w:cs="Times New Roman"/>
          <w:color w:val="auto"/>
          <w:spacing w:val="3"/>
        </w:rPr>
        <w:t>k</w:t>
      </w:r>
      <w:r w:rsidR="00211788" w:rsidRPr="00DE12A3">
        <w:rPr>
          <w:rFonts w:eastAsia="Times New Roman" w:cs="Times New Roman"/>
          <w:color w:val="auto"/>
          <w:spacing w:val="3"/>
        </w:rPr>
        <w:t>’</w:t>
      </w:r>
      <w:r w:rsidRPr="00DE12A3">
        <w:rPr>
          <w:rFonts w:eastAsia="Times New Roman" w:cs="Times New Roman"/>
          <w:color w:val="auto"/>
          <w:spacing w:val="3"/>
        </w:rPr>
        <w:t>te, kirletici emisyonlarının üretim uygunluğunu doğrulamak için kullanılacak prosedür açıklanmaktadır.</w:t>
      </w:r>
    </w:p>
    <w:p w14:paraId="3D74299C" w14:textId="7F1D6062" w:rsidR="002D7B36" w:rsidRPr="00DE12A3" w:rsidRDefault="00242DA0" w:rsidP="00722E32">
      <w:pPr>
        <w:shd w:val="clear" w:color="auto" w:fill="FFFFFF"/>
        <w:spacing w:before="120" w:after="120"/>
        <w:jc w:val="both"/>
        <w:rPr>
          <w:rFonts w:eastAsia="Times New Roman" w:cs="Times New Roman"/>
          <w:color w:val="auto"/>
          <w:spacing w:val="3"/>
        </w:rPr>
      </w:pPr>
      <w:r w:rsidRPr="00DE12A3">
        <w:rPr>
          <w:rFonts w:eastAsia="Times New Roman" w:cs="Times New Roman"/>
          <w:color w:val="auto"/>
          <w:spacing w:val="3"/>
        </w:rPr>
        <w:t>2.</w:t>
      </w:r>
      <w:r w:rsidR="00F94F18" w:rsidRPr="00DE12A3">
        <w:rPr>
          <w:rFonts w:eastAsia="Times New Roman" w:cs="Times New Roman"/>
          <w:color w:val="auto"/>
          <w:spacing w:val="3"/>
        </w:rPr>
        <w:t xml:space="preserve"> </w:t>
      </w:r>
      <w:r w:rsidRPr="00DE12A3">
        <w:rPr>
          <w:rFonts w:eastAsia="Times New Roman" w:cs="Times New Roman"/>
          <w:color w:val="auto"/>
          <w:spacing w:val="3"/>
        </w:rPr>
        <w:t>Asgari üç motorluk örneklem büyüklüğünde, örnekleme prosedürü, motorların %30'u arızalı olan bir partinin testi geçme olasılığı 0,90 (üreticinin riski = %10) olurken, motorların %65'i arızalı olan bir partinin kabul edilmesi olasılığı da 0,10 (tüketicinin riski = %10) olacak şekilde belirlenmelidir.</w:t>
      </w:r>
    </w:p>
    <w:p w14:paraId="2C6D29A1" w14:textId="44FB9A11" w:rsidR="002D7B36" w:rsidRPr="00DE12A3" w:rsidRDefault="00242DA0" w:rsidP="00722E32">
      <w:pPr>
        <w:shd w:val="clear" w:color="auto" w:fill="FFFFFF"/>
        <w:spacing w:before="120" w:after="120"/>
        <w:jc w:val="both"/>
        <w:rPr>
          <w:rFonts w:eastAsia="Times New Roman" w:cs="Times New Roman"/>
          <w:color w:val="auto"/>
          <w:spacing w:val="3"/>
        </w:rPr>
      </w:pPr>
      <w:r w:rsidRPr="00DE12A3">
        <w:rPr>
          <w:rFonts w:eastAsia="Times New Roman" w:cs="Times New Roman"/>
          <w:color w:val="auto"/>
          <w:spacing w:val="3"/>
        </w:rPr>
        <w:t>3.</w:t>
      </w:r>
      <w:r w:rsidR="00F94F18" w:rsidRPr="00DE12A3">
        <w:rPr>
          <w:rFonts w:eastAsia="Times New Roman" w:cs="Times New Roman"/>
          <w:color w:val="auto"/>
          <w:spacing w:val="3"/>
        </w:rPr>
        <w:t xml:space="preserve"> </w:t>
      </w:r>
      <w:r w:rsidRPr="00DE12A3">
        <w:rPr>
          <w:rFonts w:eastAsia="Times New Roman" w:cs="Times New Roman"/>
          <w:color w:val="auto"/>
          <w:spacing w:val="3"/>
        </w:rPr>
        <w:t>Emisyon kirleticilerinin her biri için aşağıdaki prosedür kullanılır (bkz. Şekil 2.1):</w:t>
      </w:r>
    </w:p>
    <w:p w14:paraId="72E2C4CD" w14:textId="77777777" w:rsidR="002D7B36" w:rsidRPr="00DE12A3" w:rsidRDefault="00242DA0" w:rsidP="00722E32">
      <w:pPr>
        <w:shd w:val="clear" w:color="auto" w:fill="FFFFFF"/>
        <w:spacing w:before="120" w:after="120"/>
        <w:jc w:val="center"/>
        <w:rPr>
          <w:rFonts w:eastAsia="Times New Roman" w:cs="Times New Roman"/>
          <w:color w:val="auto"/>
          <w:spacing w:val="3"/>
        </w:rPr>
      </w:pPr>
      <w:r w:rsidRPr="00DE12A3">
        <w:rPr>
          <w:rFonts w:eastAsia="Times New Roman" w:cs="Times New Roman"/>
          <w:color w:val="auto"/>
          <w:spacing w:val="3"/>
        </w:rPr>
        <w:t>n = geçerli numune numarası olsun.</w:t>
      </w:r>
    </w:p>
    <w:p w14:paraId="00A4D8F9" w14:textId="40A77EF3" w:rsidR="002D7B36" w:rsidRPr="00DE12A3" w:rsidRDefault="00242DA0" w:rsidP="00722E32">
      <w:pPr>
        <w:shd w:val="clear" w:color="auto" w:fill="FFFFFF"/>
        <w:spacing w:before="120" w:after="120"/>
        <w:jc w:val="both"/>
        <w:rPr>
          <w:rFonts w:eastAsia="Times New Roman" w:cs="Times New Roman"/>
          <w:color w:val="auto"/>
          <w:spacing w:val="3"/>
        </w:rPr>
      </w:pPr>
      <w:r w:rsidRPr="00DE12A3">
        <w:rPr>
          <w:rFonts w:eastAsia="Times New Roman" w:cs="Times New Roman"/>
          <w:color w:val="auto"/>
          <w:spacing w:val="3"/>
        </w:rPr>
        <w:t>4.</w:t>
      </w:r>
      <w:r w:rsidR="00F94F18" w:rsidRPr="00DE12A3">
        <w:rPr>
          <w:rFonts w:eastAsia="Times New Roman" w:cs="Times New Roman"/>
          <w:color w:val="auto"/>
          <w:spacing w:val="3"/>
        </w:rPr>
        <w:t xml:space="preserve"> </w:t>
      </w:r>
      <w:r w:rsidRPr="00DE12A3">
        <w:rPr>
          <w:rFonts w:eastAsia="Times New Roman" w:cs="Times New Roman"/>
          <w:color w:val="auto"/>
          <w:spacing w:val="3"/>
        </w:rPr>
        <w:t>Numune için, n numaralı testte uygun olmayan testlerin toplam sayısını ölçen test istatistiğini belirleyin.</w:t>
      </w:r>
    </w:p>
    <w:p w14:paraId="4F247C88" w14:textId="1A951861" w:rsidR="002D7B36" w:rsidRPr="00DE12A3" w:rsidRDefault="00242DA0" w:rsidP="00722E32">
      <w:pPr>
        <w:shd w:val="clear" w:color="auto" w:fill="FFFFFF"/>
        <w:spacing w:before="120" w:after="120"/>
        <w:jc w:val="both"/>
        <w:rPr>
          <w:rFonts w:eastAsia="Times New Roman" w:cs="Times New Roman"/>
          <w:color w:val="auto"/>
          <w:spacing w:val="3"/>
        </w:rPr>
      </w:pPr>
      <w:r w:rsidRPr="00DE12A3">
        <w:rPr>
          <w:rFonts w:eastAsia="Times New Roman" w:cs="Times New Roman"/>
          <w:color w:val="auto"/>
          <w:spacing w:val="3"/>
        </w:rPr>
        <w:t>5.</w:t>
      </w:r>
      <w:r w:rsidR="00F94F18" w:rsidRPr="00DE12A3">
        <w:rPr>
          <w:rFonts w:eastAsia="Times New Roman" w:cs="Times New Roman"/>
          <w:color w:val="auto"/>
          <w:spacing w:val="3"/>
        </w:rPr>
        <w:t xml:space="preserve"> </w:t>
      </w:r>
      <w:r w:rsidRPr="00DE12A3">
        <w:rPr>
          <w:rFonts w:eastAsia="Times New Roman" w:cs="Times New Roman"/>
          <w:color w:val="auto"/>
          <w:spacing w:val="3"/>
        </w:rPr>
        <w:t>Daha sonra:</w:t>
      </w:r>
    </w:p>
    <w:p w14:paraId="45CA5076" w14:textId="7AD76982" w:rsidR="002D7B36" w:rsidRPr="00DE12A3" w:rsidRDefault="00242DA0" w:rsidP="00722E32">
      <w:pPr>
        <w:shd w:val="clear" w:color="auto" w:fill="FFFFFF"/>
        <w:spacing w:before="120" w:after="120"/>
        <w:jc w:val="both"/>
        <w:rPr>
          <w:rFonts w:eastAsia="Times New Roman" w:cs="Times New Roman"/>
          <w:color w:val="auto"/>
          <w:spacing w:val="3"/>
        </w:rPr>
      </w:pPr>
      <w:r w:rsidRPr="00DE12A3">
        <w:rPr>
          <w:rFonts w:eastAsia="Times New Roman" w:cs="Times New Roman"/>
          <w:color w:val="auto"/>
          <w:spacing w:val="3"/>
        </w:rPr>
        <w:t>(a)</w:t>
      </w:r>
      <w:r w:rsidR="00722E32" w:rsidRPr="00DE12A3">
        <w:rPr>
          <w:rFonts w:eastAsia="Times New Roman" w:cs="Times New Roman"/>
          <w:color w:val="auto"/>
          <w:spacing w:val="3"/>
        </w:rPr>
        <w:t xml:space="preserve"> </w:t>
      </w:r>
      <w:r w:rsidRPr="00DE12A3">
        <w:rPr>
          <w:rFonts w:eastAsia="Times New Roman" w:cs="Times New Roman"/>
          <w:color w:val="auto"/>
          <w:spacing w:val="3"/>
        </w:rPr>
        <w:t>Test istatistiği, Tablo 2.1'de verilen örneklem büyüklüğü için başarılı kararı sayısına eşit veya daha az ise, ilgili kirletici açısından başarılı olduğu kararına varılır</w:t>
      </w:r>
      <w:r w:rsidR="005049DC" w:rsidRPr="00DE12A3">
        <w:rPr>
          <w:rFonts w:eastAsia="Times New Roman" w:cs="Times New Roman"/>
          <w:color w:val="auto"/>
          <w:spacing w:val="3"/>
        </w:rPr>
        <w:t>.</w:t>
      </w:r>
    </w:p>
    <w:p w14:paraId="7D7DA91D" w14:textId="34F7A97F" w:rsidR="002D7B36" w:rsidRPr="00DE12A3" w:rsidRDefault="00242DA0" w:rsidP="00722E32">
      <w:pPr>
        <w:shd w:val="clear" w:color="auto" w:fill="FFFFFF"/>
        <w:spacing w:before="120" w:after="120"/>
        <w:jc w:val="both"/>
        <w:rPr>
          <w:rFonts w:eastAsia="Times New Roman" w:cs="Times New Roman"/>
          <w:color w:val="auto"/>
          <w:spacing w:val="3"/>
        </w:rPr>
      </w:pPr>
      <w:r w:rsidRPr="00DE12A3">
        <w:rPr>
          <w:rFonts w:eastAsia="Times New Roman" w:cs="Times New Roman"/>
          <w:color w:val="auto"/>
          <w:spacing w:val="3"/>
        </w:rPr>
        <w:t>(b)</w:t>
      </w:r>
      <w:r w:rsidR="00722E32" w:rsidRPr="00DE12A3">
        <w:rPr>
          <w:rFonts w:eastAsia="Times New Roman" w:cs="Times New Roman"/>
          <w:color w:val="auto"/>
          <w:spacing w:val="3"/>
        </w:rPr>
        <w:t xml:space="preserve"> </w:t>
      </w:r>
      <w:r w:rsidRPr="00DE12A3">
        <w:rPr>
          <w:rFonts w:eastAsia="Times New Roman" w:cs="Times New Roman"/>
          <w:color w:val="auto"/>
          <w:spacing w:val="3"/>
        </w:rPr>
        <w:t>Test istatistiği, Tablo 2.1'de verilen örneklem büyüklüğü için başarısız kararı sayısına eşit veya daha büyükse, ilgili kirletici açısından başarısız olduğu kararına varılır</w:t>
      </w:r>
      <w:r w:rsidR="005049DC" w:rsidRPr="00DE12A3">
        <w:rPr>
          <w:rFonts w:eastAsia="Times New Roman" w:cs="Times New Roman"/>
          <w:color w:val="auto"/>
          <w:spacing w:val="3"/>
        </w:rPr>
        <w:t>.</w:t>
      </w:r>
    </w:p>
    <w:p w14:paraId="58CDAD1A" w14:textId="0FF82640" w:rsidR="002D7B36" w:rsidRPr="00DE12A3" w:rsidRDefault="00242DA0" w:rsidP="00722E32">
      <w:pPr>
        <w:shd w:val="clear" w:color="auto" w:fill="FFFFFF"/>
        <w:spacing w:before="120" w:after="120"/>
        <w:jc w:val="both"/>
        <w:rPr>
          <w:rFonts w:eastAsia="Times New Roman" w:cs="Times New Roman"/>
          <w:color w:val="auto"/>
          <w:spacing w:val="3"/>
        </w:rPr>
      </w:pPr>
      <w:r w:rsidRPr="00DE12A3">
        <w:rPr>
          <w:rFonts w:eastAsia="Times New Roman" w:cs="Times New Roman"/>
          <w:color w:val="auto"/>
          <w:spacing w:val="3"/>
        </w:rPr>
        <w:t>(c)</w:t>
      </w:r>
      <w:r w:rsidR="00722E32" w:rsidRPr="00DE12A3">
        <w:rPr>
          <w:rFonts w:eastAsia="Times New Roman" w:cs="Times New Roman"/>
          <w:color w:val="auto"/>
          <w:spacing w:val="3"/>
        </w:rPr>
        <w:t xml:space="preserve"> </w:t>
      </w:r>
      <w:r w:rsidRPr="00DE12A3">
        <w:rPr>
          <w:rFonts w:eastAsia="Times New Roman" w:cs="Times New Roman"/>
          <w:color w:val="auto"/>
          <w:spacing w:val="3"/>
        </w:rPr>
        <w:t>Aksi takdirde, 6.2 bendi uyarınca ek bir motor test edilir ve hesaplama prosedürü bir adet artmış örnekleme uygulanır.</w:t>
      </w:r>
    </w:p>
    <w:p w14:paraId="1F4D752C" w14:textId="5DEDF9F3" w:rsidR="00F94F18" w:rsidRPr="00DE12A3" w:rsidRDefault="00242DA0" w:rsidP="002654C8">
      <w:pPr>
        <w:shd w:val="clear" w:color="auto" w:fill="FFFFFF"/>
        <w:spacing w:before="120" w:after="120"/>
        <w:jc w:val="both"/>
        <w:rPr>
          <w:rFonts w:eastAsia="Times New Roman" w:cs="Times New Roman"/>
          <w:color w:val="auto"/>
          <w:spacing w:val="3"/>
        </w:rPr>
      </w:pPr>
      <w:r w:rsidRPr="00DE12A3">
        <w:rPr>
          <w:rFonts w:eastAsia="Times New Roman" w:cs="Times New Roman"/>
          <w:color w:val="auto"/>
          <w:spacing w:val="3"/>
        </w:rPr>
        <w:t>Tablo 2.1'de başarılı ve başarısız kararı sayıları Uluslararası ISO 8422/1991 Standardı kullanılarak hesaplanır.</w:t>
      </w:r>
    </w:p>
    <w:p w14:paraId="7994CD48" w14:textId="77777777" w:rsidR="002D7B36" w:rsidRPr="00DE12A3" w:rsidRDefault="00242DA0" w:rsidP="002654C8">
      <w:pPr>
        <w:shd w:val="clear" w:color="auto" w:fill="FFFFFF"/>
        <w:ind w:left="1134" w:hanging="1134"/>
        <w:jc w:val="center"/>
        <w:rPr>
          <w:rFonts w:eastAsia="Times New Roman" w:cs="Times New Roman"/>
          <w:color w:val="auto"/>
          <w:spacing w:val="3"/>
        </w:rPr>
      </w:pPr>
      <w:r w:rsidRPr="00DE12A3">
        <w:rPr>
          <w:rFonts w:eastAsia="Times New Roman" w:cs="Times New Roman"/>
          <w:color w:val="auto"/>
          <w:spacing w:val="3"/>
        </w:rPr>
        <w:t>Tablo 2.1</w:t>
      </w:r>
    </w:p>
    <w:p w14:paraId="5C943B1D" w14:textId="77777777" w:rsidR="002D7B36" w:rsidRPr="00DE12A3" w:rsidRDefault="00242DA0" w:rsidP="002654C8">
      <w:pPr>
        <w:shd w:val="clear" w:color="auto" w:fill="FFFFFF"/>
        <w:ind w:left="1134" w:hanging="1134"/>
        <w:jc w:val="center"/>
        <w:rPr>
          <w:rFonts w:eastAsia="Times New Roman" w:cs="Times New Roman"/>
          <w:b/>
          <w:color w:val="auto"/>
          <w:spacing w:val="3"/>
        </w:rPr>
      </w:pPr>
      <w:r w:rsidRPr="00DE12A3">
        <w:rPr>
          <w:rFonts w:eastAsia="Times New Roman" w:cs="Times New Roman"/>
          <w:b/>
          <w:color w:val="auto"/>
          <w:spacing w:val="3"/>
        </w:rPr>
        <w:t>Üretim uygunluk testi için test istatistikleri</w:t>
      </w:r>
    </w:p>
    <w:tbl>
      <w:tblPr>
        <w:tblW w:w="8702" w:type="dxa"/>
        <w:jc w:val="center"/>
        <w:tblLayout w:type="fixed"/>
        <w:tblLook w:val="0000" w:firstRow="0" w:lastRow="0" w:firstColumn="0" w:lastColumn="0" w:noHBand="0" w:noVBand="0"/>
      </w:tblPr>
      <w:tblGrid>
        <w:gridCol w:w="3820"/>
        <w:gridCol w:w="4882"/>
      </w:tblGrid>
      <w:tr w:rsidR="001D708B" w:rsidRPr="00DE12A3" w14:paraId="4029166C" w14:textId="77777777" w:rsidTr="002654C8">
        <w:trPr>
          <w:trHeight w:val="462"/>
          <w:jc w:val="center"/>
        </w:trPr>
        <w:tc>
          <w:tcPr>
            <w:tcW w:w="3820" w:type="dxa"/>
            <w:tcBorders>
              <w:top w:val="single" w:sz="2" w:space="0" w:color="auto"/>
              <w:left w:val="single" w:sz="2" w:space="0" w:color="auto"/>
              <w:bottom w:val="single" w:sz="2" w:space="0" w:color="auto"/>
              <w:right w:val="single" w:sz="2" w:space="0" w:color="auto"/>
            </w:tcBorders>
          </w:tcPr>
          <w:p w14:paraId="275DBC02" w14:textId="77777777" w:rsidR="001D708B" w:rsidRPr="00DE12A3" w:rsidRDefault="001D708B" w:rsidP="00722E32">
            <w:pPr>
              <w:widowControl/>
              <w:autoSpaceDE w:val="0"/>
              <w:autoSpaceDN w:val="0"/>
              <w:spacing w:before="120" w:after="120"/>
              <w:ind w:left="1134" w:hanging="1134"/>
              <w:jc w:val="both"/>
              <w:rPr>
                <w:rFonts w:eastAsiaTheme="minorEastAsia" w:cs="Times New Roman"/>
                <w:color w:val="auto"/>
                <w:sz w:val="22"/>
                <w:szCs w:val="22"/>
                <w:lang w:val="fr-FR"/>
              </w:rPr>
            </w:pPr>
            <w:r w:rsidRPr="00DE12A3">
              <w:rPr>
                <w:rFonts w:eastAsiaTheme="minorEastAsia" w:cs="Times New Roman"/>
                <w:color w:val="auto"/>
                <w:sz w:val="22"/>
                <w:szCs w:val="22"/>
                <w:lang w:val="fr-FR"/>
              </w:rPr>
              <w:t xml:space="preserve">Minimum örneklem </w:t>
            </w:r>
            <w:r w:rsidR="00F94F18" w:rsidRPr="00DE12A3">
              <w:rPr>
                <w:rFonts w:eastAsiaTheme="minorEastAsia" w:cs="Times New Roman"/>
                <w:color w:val="auto"/>
                <w:sz w:val="22"/>
                <w:szCs w:val="22"/>
                <w:lang w:val="fr-FR"/>
              </w:rPr>
              <w:t>büyüklüğü :</w:t>
            </w:r>
            <w:r w:rsidRPr="00DE12A3">
              <w:rPr>
                <w:rFonts w:eastAsiaTheme="minorEastAsia" w:cs="Times New Roman"/>
                <w:color w:val="auto"/>
                <w:sz w:val="22"/>
                <w:szCs w:val="22"/>
                <w:lang w:val="fr-FR"/>
              </w:rPr>
              <w:t xml:space="preserve"> 3</w:t>
            </w:r>
          </w:p>
        </w:tc>
        <w:tc>
          <w:tcPr>
            <w:tcW w:w="4882" w:type="dxa"/>
            <w:tcBorders>
              <w:top w:val="single" w:sz="2" w:space="0" w:color="auto"/>
              <w:left w:val="single" w:sz="2" w:space="0" w:color="auto"/>
              <w:bottom w:val="single" w:sz="2" w:space="0" w:color="auto"/>
              <w:right w:val="single" w:sz="2" w:space="0" w:color="auto"/>
            </w:tcBorders>
          </w:tcPr>
          <w:p w14:paraId="52025FFC" w14:textId="77777777" w:rsidR="001D708B" w:rsidRPr="00DE12A3" w:rsidRDefault="001D708B" w:rsidP="00722E32">
            <w:pPr>
              <w:widowControl/>
              <w:autoSpaceDE w:val="0"/>
              <w:autoSpaceDN w:val="0"/>
              <w:spacing w:before="120" w:after="120"/>
              <w:ind w:left="4"/>
              <w:jc w:val="both"/>
              <w:rPr>
                <w:rFonts w:eastAsiaTheme="minorEastAsia" w:cs="Times New Roman"/>
                <w:color w:val="auto"/>
                <w:sz w:val="22"/>
                <w:szCs w:val="22"/>
                <w:lang w:val="fr-FR"/>
              </w:rPr>
            </w:pPr>
            <w:r w:rsidRPr="00DE12A3">
              <w:rPr>
                <w:rFonts w:eastAsiaTheme="minorEastAsia" w:cs="Times New Roman"/>
                <w:color w:val="auto"/>
                <w:sz w:val="22"/>
                <w:szCs w:val="22"/>
                <w:lang w:val="fr-FR"/>
              </w:rPr>
              <w:t>Başarılı kararı için minimum örneklem büyüklüğü : 4</w:t>
            </w:r>
          </w:p>
        </w:tc>
      </w:tr>
    </w:tbl>
    <w:p w14:paraId="034DF8D7" w14:textId="77777777" w:rsidR="002D7B36" w:rsidRPr="00DE12A3" w:rsidRDefault="002D7B36" w:rsidP="00722E32">
      <w:pPr>
        <w:shd w:val="clear" w:color="auto" w:fill="FFFFFF"/>
        <w:spacing w:before="120" w:after="120"/>
        <w:jc w:val="both"/>
        <w:rPr>
          <w:rFonts w:eastAsia="Times New Roman" w:cs="Times New Roman"/>
          <w:color w:val="auto"/>
          <w:spacing w:val="3"/>
          <w:sz w:val="20"/>
          <w:szCs w:val="20"/>
        </w:rPr>
      </w:pPr>
    </w:p>
    <w:tbl>
      <w:tblPr>
        <w:tblStyle w:val="TabloKlavuzu"/>
        <w:tblW w:w="9923" w:type="dxa"/>
        <w:tblInd w:w="-289" w:type="dxa"/>
        <w:tblLook w:val="04A0" w:firstRow="1" w:lastRow="0" w:firstColumn="1" w:lastColumn="0" w:noHBand="0" w:noVBand="1"/>
      </w:tblPr>
      <w:tblGrid>
        <w:gridCol w:w="5246"/>
        <w:gridCol w:w="2268"/>
        <w:gridCol w:w="2409"/>
      </w:tblGrid>
      <w:tr w:rsidR="00DE12A3" w:rsidRPr="00DE12A3" w14:paraId="03D35A67" w14:textId="77777777" w:rsidTr="002654C8">
        <w:tc>
          <w:tcPr>
            <w:tcW w:w="5246" w:type="dxa"/>
            <w:vAlign w:val="center"/>
          </w:tcPr>
          <w:p w14:paraId="61500E25" w14:textId="77777777" w:rsidR="001D708B" w:rsidRPr="00DE12A3" w:rsidRDefault="001D708B" w:rsidP="00B655AE">
            <w:pPr>
              <w:jc w:val="center"/>
              <w:rPr>
                <w:rFonts w:ascii="Times New Roman" w:hAnsi="Times New Roman" w:cs="Times New Roman"/>
                <w:color w:val="auto"/>
                <w:lang w:val="tr-TR"/>
              </w:rPr>
            </w:pPr>
            <w:r w:rsidRPr="00DE12A3">
              <w:rPr>
                <w:rFonts w:ascii="Times New Roman" w:hAnsi="Times New Roman" w:cs="Times New Roman"/>
                <w:color w:val="auto"/>
                <w:lang w:val="fr-FR"/>
              </w:rPr>
              <w:t>Test edilen toplam motor sayısı (örneklem büyüklüğü)</w:t>
            </w:r>
          </w:p>
        </w:tc>
        <w:tc>
          <w:tcPr>
            <w:tcW w:w="2268" w:type="dxa"/>
            <w:vAlign w:val="center"/>
          </w:tcPr>
          <w:p w14:paraId="573B8A91" w14:textId="77777777" w:rsidR="001D708B" w:rsidRPr="00DE12A3" w:rsidRDefault="001D708B" w:rsidP="00B655AE">
            <w:pPr>
              <w:jc w:val="center"/>
              <w:rPr>
                <w:rFonts w:ascii="Times New Roman" w:hAnsi="Times New Roman" w:cs="Times New Roman"/>
                <w:color w:val="auto"/>
                <w:lang w:val="fr-FR"/>
              </w:rPr>
            </w:pPr>
            <w:r w:rsidRPr="00DE12A3">
              <w:rPr>
                <w:rFonts w:ascii="Times New Roman" w:hAnsi="Times New Roman" w:cs="Times New Roman"/>
                <w:color w:val="auto"/>
                <w:lang w:val="fr-FR"/>
              </w:rPr>
              <w:t>Başarılı kararı sayısı</w:t>
            </w:r>
          </w:p>
        </w:tc>
        <w:tc>
          <w:tcPr>
            <w:tcW w:w="2409" w:type="dxa"/>
            <w:vAlign w:val="center"/>
          </w:tcPr>
          <w:p w14:paraId="223FC773" w14:textId="77777777" w:rsidR="001D708B" w:rsidRPr="00DE12A3" w:rsidRDefault="001D708B" w:rsidP="00B655AE">
            <w:pPr>
              <w:jc w:val="center"/>
              <w:rPr>
                <w:rFonts w:ascii="Times New Roman" w:hAnsi="Times New Roman" w:cs="Times New Roman"/>
                <w:color w:val="auto"/>
                <w:lang w:val="fr-FR"/>
              </w:rPr>
            </w:pPr>
            <w:r w:rsidRPr="00DE12A3">
              <w:rPr>
                <w:rFonts w:ascii="Times New Roman" w:hAnsi="Times New Roman" w:cs="Times New Roman"/>
                <w:color w:val="auto"/>
                <w:lang w:val="fr-FR"/>
              </w:rPr>
              <w:t>Başarısız kararı sayısı</w:t>
            </w:r>
          </w:p>
        </w:tc>
      </w:tr>
      <w:tr w:rsidR="00DE12A3" w:rsidRPr="00DE12A3" w14:paraId="585FEE10" w14:textId="77777777" w:rsidTr="002654C8">
        <w:tc>
          <w:tcPr>
            <w:tcW w:w="5246" w:type="dxa"/>
            <w:vAlign w:val="center"/>
          </w:tcPr>
          <w:p w14:paraId="5E3FC9CE" w14:textId="77777777" w:rsidR="001D708B" w:rsidRPr="00DE12A3" w:rsidRDefault="001D708B" w:rsidP="00B655AE">
            <w:pPr>
              <w:jc w:val="center"/>
              <w:rPr>
                <w:rFonts w:ascii="Times New Roman" w:hAnsi="Times New Roman" w:cs="Times New Roman"/>
                <w:color w:val="auto"/>
              </w:rPr>
            </w:pPr>
            <w:r w:rsidRPr="00DE12A3">
              <w:rPr>
                <w:rFonts w:ascii="Times New Roman" w:hAnsi="Times New Roman" w:cs="Times New Roman"/>
                <w:color w:val="auto"/>
              </w:rPr>
              <w:t>3</w:t>
            </w:r>
          </w:p>
        </w:tc>
        <w:tc>
          <w:tcPr>
            <w:tcW w:w="2268" w:type="dxa"/>
            <w:vAlign w:val="center"/>
          </w:tcPr>
          <w:p w14:paraId="502DBA01" w14:textId="77777777" w:rsidR="001D708B" w:rsidRPr="00DE12A3" w:rsidRDefault="001D708B" w:rsidP="00B655AE">
            <w:pPr>
              <w:jc w:val="center"/>
              <w:rPr>
                <w:rFonts w:ascii="Times New Roman" w:hAnsi="Times New Roman" w:cs="Times New Roman"/>
                <w:color w:val="auto"/>
              </w:rPr>
            </w:pPr>
            <w:r w:rsidRPr="00DE12A3">
              <w:rPr>
                <w:rFonts w:ascii="Times New Roman" w:hAnsi="Times New Roman" w:cs="Times New Roman"/>
                <w:color w:val="auto"/>
              </w:rPr>
              <w:t>—</w:t>
            </w:r>
          </w:p>
        </w:tc>
        <w:tc>
          <w:tcPr>
            <w:tcW w:w="2409" w:type="dxa"/>
            <w:vAlign w:val="center"/>
          </w:tcPr>
          <w:p w14:paraId="05458DDC" w14:textId="77777777" w:rsidR="001D708B" w:rsidRPr="00DE12A3" w:rsidRDefault="001D708B" w:rsidP="00B655AE">
            <w:pPr>
              <w:jc w:val="center"/>
              <w:rPr>
                <w:rFonts w:ascii="Times New Roman" w:hAnsi="Times New Roman" w:cs="Times New Roman"/>
                <w:color w:val="auto"/>
              </w:rPr>
            </w:pPr>
            <w:r w:rsidRPr="00DE12A3">
              <w:rPr>
                <w:rFonts w:ascii="Times New Roman" w:hAnsi="Times New Roman" w:cs="Times New Roman"/>
                <w:color w:val="auto"/>
              </w:rPr>
              <w:t>3</w:t>
            </w:r>
          </w:p>
        </w:tc>
      </w:tr>
      <w:tr w:rsidR="00DE12A3" w:rsidRPr="00DE12A3" w14:paraId="02551664" w14:textId="77777777" w:rsidTr="002654C8">
        <w:tc>
          <w:tcPr>
            <w:tcW w:w="5246" w:type="dxa"/>
            <w:vAlign w:val="center"/>
          </w:tcPr>
          <w:p w14:paraId="733CBE0A" w14:textId="77777777" w:rsidR="001D708B" w:rsidRPr="00DE12A3" w:rsidRDefault="001D708B" w:rsidP="00B655AE">
            <w:pPr>
              <w:jc w:val="center"/>
              <w:rPr>
                <w:rFonts w:ascii="Times New Roman" w:hAnsi="Times New Roman" w:cs="Times New Roman"/>
                <w:color w:val="auto"/>
              </w:rPr>
            </w:pPr>
            <w:r w:rsidRPr="00DE12A3">
              <w:rPr>
                <w:rFonts w:ascii="Times New Roman" w:hAnsi="Times New Roman" w:cs="Times New Roman"/>
                <w:color w:val="auto"/>
              </w:rPr>
              <w:t>4</w:t>
            </w:r>
          </w:p>
        </w:tc>
        <w:tc>
          <w:tcPr>
            <w:tcW w:w="2268" w:type="dxa"/>
            <w:vAlign w:val="center"/>
          </w:tcPr>
          <w:p w14:paraId="7C538ADA" w14:textId="77777777" w:rsidR="001D708B" w:rsidRPr="00DE12A3" w:rsidRDefault="001D708B" w:rsidP="00B655AE">
            <w:pPr>
              <w:jc w:val="center"/>
              <w:rPr>
                <w:rFonts w:ascii="Times New Roman" w:hAnsi="Times New Roman" w:cs="Times New Roman"/>
                <w:color w:val="auto"/>
              </w:rPr>
            </w:pPr>
            <w:r w:rsidRPr="00DE12A3">
              <w:rPr>
                <w:rFonts w:ascii="Times New Roman" w:hAnsi="Times New Roman" w:cs="Times New Roman"/>
                <w:color w:val="auto"/>
              </w:rPr>
              <w:t>0</w:t>
            </w:r>
          </w:p>
        </w:tc>
        <w:tc>
          <w:tcPr>
            <w:tcW w:w="2409" w:type="dxa"/>
            <w:vAlign w:val="center"/>
          </w:tcPr>
          <w:p w14:paraId="2C02CBE7" w14:textId="77777777" w:rsidR="001D708B" w:rsidRPr="00DE12A3" w:rsidRDefault="001D708B" w:rsidP="00B655AE">
            <w:pPr>
              <w:jc w:val="center"/>
              <w:rPr>
                <w:rFonts w:ascii="Times New Roman" w:hAnsi="Times New Roman" w:cs="Times New Roman"/>
                <w:color w:val="auto"/>
              </w:rPr>
            </w:pPr>
            <w:r w:rsidRPr="00DE12A3">
              <w:rPr>
                <w:rFonts w:ascii="Times New Roman" w:hAnsi="Times New Roman" w:cs="Times New Roman"/>
                <w:color w:val="auto"/>
              </w:rPr>
              <w:t>4</w:t>
            </w:r>
          </w:p>
        </w:tc>
      </w:tr>
      <w:tr w:rsidR="00DE12A3" w:rsidRPr="00DE12A3" w14:paraId="0E3519FA" w14:textId="77777777" w:rsidTr="002654C8">
        <w:tc>
          <w:tcPr>
            <w:tcW w:w="5246" w:type="dxa"/>
            <w:vAlign w:val="center"/>
          </w:tcPr>
          <w:p w14:paraId="1548BA05" w14:textId="77777777" w:rsidR="001D708B" w:rsidRPr="00DE12A3" w:rsidRDefault="001D708B" w:rsidP="00B655AE">
            <w:pPr>
              <w:jc w:val="center"/>
              <w:rPr>
                <w:rFonts w:ascii="Times New Roman" w:hAnsi="Times New Roman" w:cs="Times New Roman"/>
                <w:color w:val="auto"/>
              </w:rPr>
            </w:pPr>
            <w:r w:rsidRPr="00DE12A3">
              <w:rPr>
                <w:rFonts w:ascii="Times New Roman" w:hAnsi="Times New Roman" w:cs="Times New Roman"/>
                <w:color w:val="auto"/>
              </w:rPr>
              <w:t>5</w:t>
            </w:r>
          </w:p>
        </w:tc>
        <w:tc>
          <w:tcPr>
            <w:tcW w:w="2268" w:type="dxa"/>
            <w:vAlign w:val="center"/>
          </w:tcPr>
          <w:p w14:paraId="2215146F" w14:textId="77777777" w:rsidR="001D708B" w:rsidRPr="00DE12A3" w:rsidRDefault="001D708B" w:rsidP="00B655AE">
            <w:pPr>
              <w:jc w:val="center"/>
              <w:rPr>
                <w:rFonts w:ascii="Times New Roman" w:hAnsi="Times New Roman" w:cs="Times New Roman"/>
                <w:color w:val="auto"/>
              </w:rPr>
            </w:pPr>
            <w:r w:rsidRPr="00DE12A3">
              <w:rPr>
                <w:rFonts w:ascii="Times New Roman" w:hAnsi="Times New Roman" w:cs="Times New Roman"/>
                <w:color w:val="auto"/>
              </w:rPr>
              <w:t>0</w:t>
            </w:r>
          </w:p>
        </w:tc>
        <w:tc>
          <w:tcPr>
            <w:tcW w:w="2409" w:type="dxa"/>
            <w:vAlign w:val="center"/>
          </w:tcPr>
          <w:p w14:paraId="1DBD9CCD" w14:textId="77777777" w:rsidR="001D708B" w:rsidRPr="00DE12A3" w:rsidRDefault="001D708B" w:rsidP="00B655AE">
            <w:pPr>
              <w:jc w:val="center"/>
              <w:rPr>
                <w:rFonts w:ascii="Times New Roman" w:hAnsi="Times New Roman" w:cs="Times New Roman"/>
                <w:color w:val="auto"/>
              </w:rPr>
            </w:pPr>
            <w:r w:rsidRPr="00DE12A3">
              <w:rPr>
                <w:rFonts w:ascii="Times New Roman" w:hAnsi="Times New Roman" w:cs="Times New Roman"/>
                <w:color w:val="auto"/>
              </w:rPr>
              <w:t>4</w:t>
            </w:r>
          </w:p>
        </w:tc>
      </w:tr>
      <w:tr w:rsidR="00DE12A3" w:rsidRPr="00DE12A3" w14:paraId="09265820" w14:textId="77777777" w:rsidTr="002654C8">
        <w:tc>
          <w:tcPr>
            <w:tcW w:w="5246" w:type="dxa"/>
            <w:vAlign w:val="center"/>
          </w:tcPr>
          <w:p w14:paraId="26323376" w14:textId="77777777" w:rsidR="001D708B" w:rsidRPr="00DE12A3" w:rsidRDefault="001D708B" w:rsidP="00B655AE">
            <w:pPr>
              <w:jc w:val="center"/>
              <w:rPr>
                <w:rFonts w:ascii="Times New Roman" w:hAnsi="Times New Roman" w:cs="Times New Roman"/>
                <w:color w:val="auto"/>
              </w:rPr>
            </w:pPr>
            <w:r w:rsidRPr="00DE12A3">
              <w:rPr>
                <w:rFonts w:ascii="Times New Roman" w:hAnsi="Times New Roman" w:cs="Times New Roman"/>
                <w:color w:val="auto"/>
              </w:rPr>
              <w:t>6</w:t>
            </w:r>
          </w:p>
        </w:tc>
        <w:tc>
          <w:tcPr>
            <w:tcW w:w="2268" w:type="dxa"/>
            <w:vAlign w:val="center"/>
          </w:tcPr>
          <w:p w14:paraId="6EECECB6" w14:textId="77777777" w:rsidR="001D708B" w:rsidRPr="00DE12A3" w:rsidRDefault="001D708B" w:rsidP="00B655AE">
            <w:pPr>
              <w:jc w:val="center"/>
              <w:rPr>
                <w:rFonts w:ascii="Times New Roman" w:hAnsi="Times New Roman" w:cs="Times New Roman"/>
                <w:color w:val="auto"/>
              </w:rPr>
            </w:pPr>
            <w:r w:rsidRPr="00DE12A3">
              <w:rPr>
                <w:rFonts w:ascii="Times New Roman" w:hAnsi="Times New Roman" w:cs="Times New Roman"/>
                <w:color w:val="auto"/>
              </w:rPr>
              <w:t>1</w:t>
            </w:r>
          </w:p>
        </w:tc>
        <w:tc>
          <w:tcPr>
            <w:tcW w:w="2409" w:type="dxa"/>
            <w:vAlign w:val="center"/>
          </w:tcPr>
          <w:p w14:paraId="124200D3" w14:textId="77777777" w:rsidR="001D708B" w:rsidRPr="00DE12A3" w:rsidRDefault="001D708B" w:rsidP="00B655AE">
            <w:pPr>
              <w:jc w:val="center"/>
              <w:rPr>
                <w:rFonts w:ascii="Times New Roman" w:hAnsi="Times New Roman" w:cs="Times New Roman"/>
                <w:color w:val="auto"/>
              </w:rPr>
            </w:pPr>
            <w:r w:rsidRPr="00DE12A3">
              <w:rPr>
                <w:rFonts w:ascii="Times New Roman" w:hAnsi="Times New Roman" w:cs="Times New Roman"/>
                <w:color w:val="auto"/>
              </w:rPr>
              <w:t>5</w:t>
            </w:r>
          </w:p>
        </w:tc>
      </w:tr>
      <w:tr w:rsidR="00DE12A3" w:rsidRPr="00DE12A3" w14:paraId="028BF02A" w14:textId="77777777" w:rsidTr="002654C8">
        <w:tc>
          <w:tcPr>
            <w:tcW w:w="5246" w:type="dxa"/>
            <w:vAlign w:val="center"/>
          </w:tcPr>
          <w:p w14:paraId="1F0F8351" w14:textId="77777777" w:rsidR="001D708B" w:rsidRPr="00DE12A3" w:rsidRDefault="001D708B" w:rsidP="00B655AE">
            <w:pPr>
              <w:jc w:val="center"/>
              <w:rPr>
                <w:rFonts w:ascii="Times New Roman" w:hAnsi="Times New Roman" w:cs="Times New Roman"/>
                <w:color w:val="auto"/>
              </w:rPr>
            </w:pPr>
            <w:r w:rsidRPr="00DE12A3">
              <w:rPr>
                <w:rFonts w:ascii="Times New Roman" w:hAnsi="Times New Roman" w:cs="Times New Roman"/>
                <w:color w:val="auto"/>
              </w:rPr>
              <w:t>7</w:t>
            </w:r>
          </w:p>
        </w:tc>
        <w:tc>
          <w:tcPr>
            <w:tcW w:w="2268" w:type="dxa"/>
            <w:vAlign w:val="center"/>
          </w:tcPr>
          <w:p w14:paraId="312D7D0A" w14:textId="77777777" w:rsidR="001D708B" w:rsidRPr="00DE12A3" w:rsidRDefault="001D708B" w:rsidP="00B655AE">
            <w:pPr>
              <w:jc w:val="center"/>
              <w:rPr>
                <w:rFonts w:ascii="Times New Roman" w:hAnsi="Times New Roman" w:cs="Times New Roman"/>
                <w:color w:val="auto"/>
              </w:rPr>
            </w:pPr>
            <w:r w:rsidRPr="00DE12A3">
              <w:rPr>
                <w:rFonts w:ascii="Times New Roman" w:hAnsi="Times New Roman" w:cs="Times New Roman"/>
                <w:color w:val="auto"/>
              </w:rPr>
              <w:t>1</w:t>
            </w:r>
          </w:p>
        </w:tc>
        <w:tc>
          <w:tcPr>
            <w:tcW w:w="2409" w:type="dxa"/>
            <w:vAlign w:val="center"/>
          </w:tcPr>
          <w:p w14:paraId="3922AE77" w14:textId="77777777" w:rsidR="001D708B" w:rsidRPr="00DE12A3" w:rsidRDefault="001D708B" w:rsidP="00B655AE">
            <w:pPr>
              <w:jc w:val="center"/>
              <w:rPr>
                <w:rFonts w:ascii="Times New Roman" w:hAnsi="Times New Roman" w:cs="Times New Roman"/>
                <w:color w:val="auto"/>
              </w:rPr>
            </w:pPr>
            <w:r w:rsidRPr="00DE12A3">
              <w:rPr>
                <w:rFonts w:ascii="Times New Roman" w:hAnsi="Times New Roman" w:cs="Times New Roman"/>
                <w:color w:val="auto"/>
              </w:rPr>
              <w:t>5</w:t>
            </w:r>
          </w:p>
        </w:tc>
      </w:tr>
      <w:tr w:rsidR="00DE12A3" w:rsidRPr="00DE12A3" w14:paraId="31638B4D" w14:textId="77777777" w:rsidTr="002654C8">
        <w:tc>
          <w:tcPr>
            <w:tcW w:w="5246" w:type="dxa"/>
            <w:vAlign w:val="center"/>
          </w:tcPr>
          <w:p w14:paraId="4D892212" w14:textId="77777777" w:rsidR="001D708B" w:rsidRPr="00DE12A3" w:rsidRDefault="001D708B" w:rsidP="00B655AE">
            <w:pPr>
              <w:jc w:val="center"/>
              <w:rPr>
                <w:rFonts w:ascii="Times New Roman" w:hAnsi="Times New Roman" w:cs="Times New Roman"/>
                <w:color w:val="auto"/>
              </w:rPr>
            </w:pPr>
            <w:r w:rsidRPr="00DE12A3">
              <w:rPr>
                <w:rFonts w:ascii="Times New Roman" w:hAnsi="Times New Roman" w:cs="Times New Roman"/>
                <w:color w:val="auto"/>
              </w:rPr>
              <w:t>8</w:t>
            </w:r>
          </w:p>
        </w:tc>
        <w:tc>
          <w:tcPr>
            <w:tcW w:w="2268" w:type="dxa"/>
            <w:vAlign w:val="center"/>
          </w:tcPr>
          <w:p w14:paraId="20ECE9D4" w14:textId="77777777" w:rsidR="001D708B" w:rsidRPr="00DE12A3" w:rsidRDefault="001D708B" w:rsidP="00B655AE">
            <w:pPr>
              <w:jc w:val="center"/>
              <w:rPr>
                <w:rFonts w:ascii="Times New Roman" w:hAnsi="Times New Roman" w:cs="Times New Roman"/>
                <w:color w:val="auto"/>
              </w:rPr>
            </w:pPr>
            <w:r w:rsidRPr="00DE12A3">
              <w:rPr>
                <w:rFonts w:ascii="Times New Roman" w:hAnsi="Times New Roman" w:cs="Times New Roman"/>
                <w:color w:val="auto"/>
              </w:rPr>
              <w:t>2</w:t>
            </w:r>
          </w:p>
        </w:tc>
        <w:tc>
          <w:tcPr>
            <w:tcW w:w="2409" w:type="dxa"/>
            <w:vAlign w:val="center"/>
          </w:tcPr>
          <w:p w14:paraId="3BD339F7" w14:textId="77777777" w:rsidR="001D708B" w:rsidRPr="00DE12A3" w:rsidRDefault="001D708B" w:rsidP="00B655AE">
            <w:pPr>
              <w:jc w:val="center"/>
              <w:rPr>
                <w:rFonts w:ascii="Times New Roman" w:hAnsi="Times New Roman" w:cs="Times New Roman"/>
                <w:color w:val="auto"/>
              </w:rPr>
            </w:pPr>
            <w:r w:rsidRPr="00DE12A3">
              <w:rPr>
                <w:rFonts w:ascii="Times New Roman" w:hAnsi="Times New Roman" w:cs="Times New Roman"/>
                <w:color w:val="auto"/>
              </w:rPr>
              <w:t>6</w:t>
            </w:r>
          </w:p>
        </w:tc>
      </w:tr>
      <w:tr w:rsidR="00DE12A3" w:rsidRPr="00DE12A3" w14:paraId="4AE61B1A" w14:textId="77777777" w:rsidTr="002654C8">
        <w:tc>
          <w:tcPr>
            <w:tcW w:w="5246" w:type="dxa"/>
            <w:vAlign w:val="center"/>
          </w:tcPr>
          <w:p w14:paraId="52E3E941" w14:textId="77777777" w:rsidR="001D708B" w:rsidRPr="00DE12A3" w:rsidRDefault="001D708B" w:rsidP="00B655AE">
            <w:pPr>
              <w:jc w:val="center"/>
              <w:rPr>
                <w:rFonts w:ascii="Times New Roman" w:hAnsi="Times New Roman" w:cs="Times New Roman"/>
                <w:color w:val="auto"/>
              </w:rPr>
            </w:pPr>
            <w:r w:rsidRPr="00DE12A3">
              <w:rPr>
                <w:rFonts w:ascii="Times New Roman" w:hAnsi="Times New Roman" w:cs="Times New Roman"/>
                <w:color w:val="auto"/>
              </w:rPr>
              <w:t>9</w:t>
            </w:r>
          </w:p>
        </w:tc>
        <w:tc>
          <w:tcPr>
            <w:tcW w:w="2268" w:type="dxa"/>
            <w:vAlign w:val="center"/>
          </w:tcPr>
          <w:p w14:paraId="0C784C1E" w14:textId="77777777" w:rsidR="001D708B" w:rsidRPr="00DE12A3" w:rsidRDefault="001D708B" w:rsidP="00B655AE">
            <w:pPr>
              <w:jc w:val="center"/>
              <w:rPr>
                <w:rFonts w:ascii="Times New Roman" w:hAnsi="Times New Roman" w:cs="Times New Roman"/>
                <w:color w:val="auto"/>
              </w:rPr>
            </w:pPr>
            <w:r w:rsidRPr="00DE12A3">
              <w:rPr>
                <w:rFonts w:ascii="Times New Roman" w:hAnsi="Times New Roman" w:cs="Times New Roman"/>
                <w:color w:val="auto"/>
              </w:rPr>
              <w:t>2</w:t>
            </w:r>
          </w:p>
        </w:tc>
        <w:tc>
          <w:tcPr>
            <w:tcW w:w="2409" w:type="dxa"/>
            <w:vAlign w:val="center"/>
          </w:tcPr>
          <w:p w14:paraId="7E0CC4C8" w14:textId="77777777" w:rsidR="001D708B" w:rsidRPr="00DE12A3" w:rsidRDefault="001D708B" w:rsidP="00B655AE">
            <w:pPr>
              <w:jc w:val="center"/>
              <w:rPr>
                <w:rFonts w:ascii="Times New Roman" w:hAnsi="Times New Roman" w:cs="Times New Roman"/>
                <w:color w:val="auto"/>
              </w:rPr>
            </w:pPr>
            <w:r w:rsidRPr="00DE12A3">
              <w:rPr>
                <w:rFonts w:ascii="Times New Roman" w:hAnsi="Times New Roman" w:cs="Times New Roman"/>
                <w:color w:val="auto"/>
              </w:rPr>
              <w:t>6</w:t>
            </w:r>
          </w:p>
        </w:tc>
      </w:tr>
      <w:tr w:rsidR="00DE12A3" w:rsidRPr="00DE12A3" w14:paraId="6F827000" w14:textId="77777777" w:rsidTr="002654C8">
        <w:tc>
          <w:tcPr>
            <w:tcW w:w="5246" w:type="dxa"/>
            <w:vAlign w:val="center"/>
          </w:tcPr>
          <w:p w14:paraId="78AA8464" w14:textId="77777777" w:rsidR="001D708B" w:rsidRPr="00DE12A3" w:rsidRDefault="001D708B" w:rsidP="00B655AE">
            <w:pPr>
              <w:jc w:val="center"/>
              <w:rPr>
                <w:rFonts w:ascii="Times New Roman" w:hAnsi="Times New Roman" w:cs="Times New Roman"/>
                <w:color w:val="auto"/>
              </w:rPr>
            </w:pPr>
            <w:r w:rsidRPr="00DE12A3">
              <w:rPr>
                <w:rFonts w:ascii="Times New Roman" w:hAnsi="Times New Roman" w:cs="Times New Roman"/>
                <w:color w:val="auto"/>
              </w:rPr>
              <w:t>10</w:t>
            </w:r>
          </w:p>
        </w:tc>
        <w:tc>
          <w:tcPr>
            <w:tcW w:w="2268" w:type="dxa"/>
            <w:vAlign w:val="center"/>
          </w:tcPr>
          <w:p w14:paraId="40A5E943" w14:textId="77777777" w:rsidR="001D708B" w:rsidRPr="00DE12A3" w:rsidRDefault="001D708B" w:rsidP="00B655AE">
            <w:pPr>
              <w:jc w:val="center"/>
              <w:rPr>
                <w:rFonts w:ascii="Times New Roman" w:hAnsi="Times New Roman" w:cs="Times New Roman"/>
                <w:color w:val="auto"/>
              </w:rPr>
            </w:pPr>
            <w:r w:rsidRPr="00DE12A3">
              <w:rPr>
                <w:rFonts w:ascii="Times New Roman" w:hAnsi="Times New Roman" w:cs="Times New Roman"/>
                <w:color w:val="auto"/>
              </w:rPr>
              <w:t>3</w:t>
            </w:r>
          </w:p>
        </w:tc>
        <w:tc>
          <w:tcPr>
            <w:tcW w:w="2409" w:type="dxa"/>
            <w:vAlign w:val="center"/>
          </w:tcPr>
          <w:p w14:paraId="37F28FC6" w14:textId="77777777" w:rsidR="001D708B" w:rsidRPr="00DE12A3" w:rsidRDefault="001D708B" w:rsidP="00B655AE">
            <w:pPr>
              <w:jc w:val="center"/>
              <w:rPr>
                <w:rFonts w:ascii="Times New Roman" w:hAnsi="Times New Roman" w:cs="Times New Roman"/>
                <w:color w:val="auto"/>
              </w:rPr>
            </w:pPr>
            <w:r w:rsidRPr="00DE12A3">
              <w:rPr>
                <w:rFonts w:ascii="Times New Roman" w:hAnsi="Times New Roman" w:cs="Times New Roman"/>
                <w:color w:val="auto"/>
              </w:rPr>
              <w:t>7</w:t>
            </w:r>
          </w:p>
        </w:tc>
      </w:tr>
      <w:tr w:rsidR="00DE12A3" w:rsidRPr="00DE12A3" w14:paraId="0257061F" w14:textId="77777777" w:rsidTr="002654C8">
        <w:tc>
          <w:tcPr>
            <w:tcW w:w="5246" w:type="dxa"/>
            <w:vAlign w:val="center"/>
          </w:tcPr>
          <w:p w14:paraId="7A0F9E5E" w14:textId="77777777" w:rsidR="001D708B" w:rsidRPr="00DE12A3" w:rsidRDefault="001D708B" w:rsidP="00B655AE">
            <w:pPr>
              <w:jc w:val="center"/>
              <w:rPr>
                <w:rFonts w:ascii="Times New Roman" w:hAnsi="Times New Roman" w:cs="Times New Roman"/>
                <w:color w:val="auto"/>
              </w:rPr>
            </w:pPr>
            <w:r w:rsidRPr="00DE12A3">
              <w:rPr>
                <w:rFonts w:ascii="Times New Roman" w:hAnsi="Times New Roman" w:cs="Times New Roman"/>
                <w:color w:val="auto"/>
              </w:rPr>
              <w:t>11</w:t>
            </w:r>
          </w:p>
        </w:tc>
        <w:tc>
          <w:tcPr>
            <w:tcW w:w="2268" w:type="dxa"/>
            <w:vAlign w:val="center"/>
          </w:tcPr>
          <w:p w14:paraId="443B6B6B" w14:textId="77777777" w:rsidR="001D708B" w:rsidRPr="00DE12A3" w:rsidRDefault="001D708B" w:rsidP="00B655AE">
            <w:pPr>
              <w:jc w:val="center"/>
              <w:rPr>
                <w:rFonts w:ascii="Times New Roman" w:hAnsi="Times New Roman" w:cs="Times New Roman"/>
                <w:color w:val="auto"/>
              </w:rPr>
            </w:pPr>
            <w:r w:rsidRPr="00DE12A3">
              <w:rPr>
                <w:rFonts w:ascii="Times New Roman" w:hAnsi="Times New Roman" w:cs="Times New Roman"/>
                <w:color w:val="auto"/>
              </w:rPr>
              <w:t>3</w:t>
            </w:r>
          </w:p>
        </w:tc>
        <w:tc>
          <w:tcPr>
            <w:tcW w:w="2409" w:type="dxa"/>
            <w:vAlign w:val="center"/>
          </w:tcPr>
          <w:p w14:paraId="3694B7AC" w14:textId="77777777" w:rsidR="001D708B" w:rsidRPr="00DE12A3" w:rsidRDefault="001D708B" w:rsidP="00B655AE">
            <w:pPr>
              <w:jc w:val="center"/>
              <w:rPr>
                <w:rFonts w:ascii="Times New Roman" w:hAnsi="Times New Roman" w:cs="Times New Roman"/>
                <w:color w:val="auto"/>
              </w:rPr>
            </w:pPr>
            <w:r w:rsidRPr="00DE12A3">
              <w:rPr>
                <w:rFonts w:ascii="Times New Roman" w:hAnsi="Times New Roman" w:cs="Times New Roman"/>
                <w:color w:val="auto"/>
              </w:rPr>
              <w:t>7</w:t>
            </w:r>
          </w:p>
        </w:tc>
      </w:tr>
      <w:tr w:rsidR="00DE12A3" w:rsidRPr="00DE12A3" w14:paraId="20F46555" w14:textId="77777777" w:rsidTr="002654C8">
        <w:tc>
          <w:tcPr>
            <w:tcW w:w="5246" w:type="dxa"/>
            <w:vAlign w:val="center"/>
          </w:tcPr>
          <w:p w14:paraId="5F92956C" w14:textId="77777777" w:rsidR="001D708B" w:rsidRPr="00DE12A3" w:rsidRDefault="001D708B" w:rsidP="00B655AE">
            <w:pPr>
              <w:jc w:val="center"/>
              <w:rPr>
                <w:rFonts w:ascii="Times New Roman" w:hAnsi="Times New Roman" w:cs="Times New Roman"/>
                <w:color w:val="auto"/>
              </w:rPr>
            </w:pPr>
            <w:r w:rsidRPr="00DE12A3">
              <w:rPr>
                <w:rFonts w:ascii="Times New Roman" w:hAnsi="Times New Roman" w:cs="Times New Roman"/>
                <w:color w:val="auto"/>
              </w:rPr>
              <w:t>12</w:t>
            </w:r>
          </w:p>
        </w:tc>
        <w:tc>
          <w:tcPr>
            <w:tcW w:w="2268" w:type="dxa"/>
            <w:vAlign w:val="center"/>
          </w:tcPr>
          <w:p w14:paraId="157B38FD" w14:textId="77777777" w:rsidR="001D708B" w:rsidRPr="00DE12A3" w:rsidRDefault="001D708B" w:rsidP="00B655AE">
            <w:pPr>
              <w:jc w:val="center"/>
              <w:rPr>
                <w:rFonts w:ascii="Times New Roman" w:hAnsi="Times New Roman" w:cs="Times New Roman"/>
                <w:color w:val="auto"/>
              </w:rPr>
            </w:pPr>
            <w:r w:rsidRPr="00DE12A3">
              <w:rPr>
                <w:rFonts w:ascii="Times New Roman" w:hAnsi="Times New Roman" w:cs="Times New Roman"/>
                <w:color w:val="auto"/>
              </w:rPr>
              <w:t>4</w:t>
            </w:r>
          </w:p>
        </w:tc>
        <w:tc>
          <w:tcPr>
            <w:tcW w:w="2409" w:type="dxa"/>
            <w:vAlign w:val="center"/>
          </w:tcPr>
          <w:p w14:paraId="334609D8" w14:textId="77777777" w:rsidR="001D708B" w:rsidRPr="00DE12A3" w:rsidRDefault="001D708B" w:rsidP="00B655AE">
            <w:pPr>
              <w:jc w:val="center"/>
              <w:rPr>
                <w:rFonts w:ascii="Times New Roman" w:hAnsi="Times New Roman" w:cs="Times New Roman"/>
                <w:color w:val="auto"/>
              </w:rPr>
            </w:pPr>
            <w:r w:rsidRPr="00DE12A3">
              <w:rPr>
                <w:rFonts w:ascii="Times New Roman" w:hAnsi="Times New Roman" w:cs="Times New Roman"/>
                <w:color w:val="auto"/>
              </w:rPr>
              <w:t>8</w:t>
            </w:r>
          </w:p>
        </w:tc>
      </w:tr>
      <w:tr w:rsidR="00DE12A3" w:rsidRPr="00DE12A3" w14:paraId="56AC2F1D" w14:textId="77777777" w:rsidTr="002654C8">
        <w:tc>
          <w:tcPr>
            <w:tcW w:w="5246" w:type="dxa"/>
            <w:vAlign w:val="center"/>
          </w:tcPr>
          <w:p w14:paraId="5AE03AC1" w14:textId="77777777" w:rsidR="001D708B" w:rsidRPr="00DE12A3" w:rsidRDefault="001D708B" w:rsidP="00B655AE">
            <w:pPr>
              <w:jc w:val="center"/>
              <w:rPr>
                <w:rFonts w:ascii="Times New Roman" w:hAnsi="Times New Roman" w:cs="Times New Roman"/>
                <w:color w:val="auto"/>
              </w:rPr>
            </w:pPr>
            <w:r w:rsidRPr="00DE12A3">
              <w:rPr>
                <w:rFonts w:ascii="Times New Roman" w:hAnsi="Times New Roman" w:cs="Times New Roman"/>
                <w:color w:val="auto"/>
              </w:rPr>
              <w:t>13</w:t>
            </w:r>
          </w:p>
        </w:tc>
        <w:tc>
          <w:tcPr>
            <w:tcW w:w="2268" w:type="dxa"/>
            <w:vAlign w:val="center"/>
          </w:tcPr>
          <w:p w14:paraId="673AE5E3" w14:textId="77777777" w:rsidR="001D708B" w:rsidRPr="00DE12A3" w:rsidRDefault="001D708B" w:rsidP="00B655AE">
            <w:pPr>
              <w:jc w:val="center"/>
              <w:rPr>
                <w:rFonts w:ascii="Times New Roman" w:hAnsi="Times New Roman" w:cs="Times New Roman"/>
                <w:color w:val="auto"/>
              </w:rPr>
            </w:pPr>
            <w:r w:rsidRPr="00DE12A3">
              <w:rPr>
                <w:rFonts w:ascii="Times New Roman" w:hAnsi="Times New Roman" w:cs="Times New Roman"/>
                <w:color w:val="auto"/>
              </w:rPr>
              <w:t>4</w:t>
            </w:r>
          </w:p>
        </w:tc>
        <w:tc>
          <w:tcPr>
            <w:tcW w:w="2409" w:type="dxa"/>
            <w:vAlign w:val="center"/>
          </w:tcPr>
          <w:p w14:paraId="59922542" w14:textId="77777777" w:rsidR="001D708B" w:rsidRPr="00DE12A3" w:rsidRDefault="001D708B" w:rsidP="00B655AE">
            <w:pPr>
              <w:jc w:val="center"/>
              <w:rPr>
                <w:rFonts w:ascii="Times New Roman" w:hAnsi="Times New Roman" w:cs="Times New Roman"/>
                <w:color w:val="auto"/>
              </w:rPr>
            </w:pPr>
            <w:r w:rsidRPr="00DE12A3">
              <w:rPr>
                <w:rFonts w:ascii="Times New Roman" w:hAnsi="Times New Roman" w:cs="Times New Roman"/>
                <w:color w:val="auto"/>
              </w:rPr>
              <w:t>8</w:t>
            </w:r>
          </w:p>
        </w:tc>
      </w:tr>
      <w:tr w:rsidR="00DE12A3" w:rsidRPr="00DE12A3" w14:paraId="1EDFFBCE" w14:textId="77777777" w:rsidTr="002654C8">
        <w:tc>
          <w:tcPr>
            <w:tcW w:w="5246" w:type="dxa"/>
            <w:vAlign w:val="center"/>
          </w:tcPr>
          <w:p w14:paraId="26985915" w14:textId="77777777" w:rsidR="001D708B" w:rsidRPr="00DE12A3" w:rsidRDefault="001D708B" w:rsidP="00B655AE">
            <w:pPr>
              <w:jc w:val="center"/>
              <w:rPr>
                <w:rFonts w:ascii="Times New Roman" w:hAnsi="Times New Roman" w:cs="Times New Roman"/>
                <w:color w:val="auto"/>
              </w:rPr>
            </w:pPr>
            <w:r w:rsidRPr="00DE12A3">
              <w:rPr>
                <w:rFonts w:ascii="Times New Roman" w:hAnsi="Times New Roman" w:cs="Times New Roman"/>
                <w:color w:val="auto"/>
              </w:rPr>
              <w:t>14</w:t>
            </w:r>
          </w:p>
        </w:tc>
        <w:tc>
          <w:tcPr>
            <w:tcW w:w="2268" w:type="dxa"/>
            <w:vAlign w:val="center"/>
          </w:tcPr>
          <w:p w14:paraId="3D9E4389" w14:textId="77777777" w:rsidR="001D708B" w:rsidRPr="00DE12A3" w:rsidRDefault="001D708B" w:rsidP="00B655AE">
            <w:pPr>
              <w:jc w:val="center"/>
              <w:rPr>
                <w:rFonts w:ascii="Times New Roman" w:hAnsi="Times New Roman" w:cs="Times New Roman"/>
                <w:color w:val="auto"/>
              </w:rPr>
            </w:pPr>
            <w:r w:rsidRPr="00DE12A3">
              <w:rPr>
                <w:rFonts w:ascii="Times New Roman" w:hAnsi="Times New Roman" w:cs="Times New Roman"/>
                <w:color w:val="auto"/>
              </w:rPr>
              <w:t>5</w:t>
            </w:r>
          </w:p>
        </w:tc>
        <w:tc>
          <w:tcPr>
            <w:tcW w:w="2409" w:type="dxa"/>
            <w:vAlign w:val="center"/>
          </w:tcPr>
          <w:p w14:paraId="7B91AE7D" w14:textId="77777777" w:rsidR="001D708B" w:rsidRPr="00DE12A3" w:rsidRDefault="001D708B" w:rsidP="00B655AE">
            <w:pPr>
              <w:jc w:val="center"/>
              <w:rPr>
                <w:rFonts w:ascii="Times New Roman" w:hAnsi="Times New Roman" w:cs="Times New Roman"/>
                <w:color w:val="auto"/>
              </w:rPr>
            </w:pPr>
            <w:r w:rsidRPr="00DE12A3">
              <w:rPr>
                <w:rFonts w:ascii="Times New Roman" w:hAnsi="Times New Roman" w:cs="Times New Roman"/>
                <w:color w:val="auto"/>
              </w:rPr>
              <w:t>9</w:t>
            </w:r>
          </w:p>
        </w:tc>
      </w:tr>
      <w:tr w:rsidR="00DE12A3" w:rsidRPr="00DE12A3" w14:paraId="323D7543" w14:textId="77777777" w:rsidTr="002654C8">
        <w:tc>
          <w:tcPr>
            <w:tcW w:w="5246" w:type="dxa"/>
            <w:vAlign w:val="center"/>
          </w:tcPr>
          <w:p w14:paraId="11CBD432" w14:textId="77777777" w:rsidR="001D708B" w:rsidRPr="00DE12A3" w:rsidRDefault="001D708B" w:rsidP="00B655AE">
            <w:pPr>
              <w:jc w:val="center"/>
              <w:rPr>
                <w:rFonts w:ascii="Times New Roman" w:hAnsi="Times New Roman" w:cs="Times New Roman"/>
                <w:color w:val="auto"/>
              </w:rPr>
            </w:pPr>
            <w:r w:rsidRPr="00DE12A3">
              <w:rPr>
                <w:rFonts w:ascii="Times New Roman" w:hAnsi="Times New Roman" w:cs="Times New Roman"/>
                <w:color w:val="auto"/>
              </w:rPr>
              <w:t>15</w:t>
            </w:r>
          </w:p>
        </w:tc>
        <w:tc>
          <w:tcPr>
            <w:tcW w:w="2268" w:type="dxa"/>
            <w:vAlign w:val="center"/>
          </w:tcPr>
          <w:p w14:paraId="53984B25" w14:textId="77777777" w:rsidR="001D708B" w:rsidRPr="00DE12A3" w:rsidRDefault="001D708B" w:rsidP="00B655AE">
            <w:pPr>
              <w:jc w:val="center"/>
              <w:rPr>
                <w:rFonts w:ascii="Times New Roman" w:hAnsi="Times New Roman" w:cs="Times New Roman"/>
                <w:color w:val="auto"/>
              </w:rPr>
            </w:pPr>
            <w:r w:rsidRPr="00DE12A3">
              <w:rPr>
                <w:rFonts w:ascii="Times New Roman" w:hAnsi="Times New Roman" w:cs="Times New Roman"/>
                <w:color w:val="auto"/>
              </w:rPr>
              <w:t>5</w:t>
            </w:r>
          </w:p>
        </w:tc>
        <w:tc>
          <w:tcPr>
            <w:tcW w:w="2409" w:type="dxa"/>
            <w:vAlign w:val="center"/>
          </w:tcPr>
          <w:p w14:paraId="1487A123" w14:textId="77777777" w:rsidR="001D708B" w:rsidRPr="00DE12A3" w:rsidRDefault="001D708B" w:rsidP="00B655AE">
            <w:pPr>
              <w:jc w:val="center"/>
              <w:rPr>
                <w:rFonts w:ascii="Times New Roman" w:hAnsi="Times New Roman" w:cs="Times New Roman"/>
                <w:color w:val="auto"/>
              </w:rPr>
            </w:pPr>
            <w:r w:rsidRPr="00DE12A3">
              <w:rPr>
                <w:rFonts w:ascii="Times New Roman" w:hAnsi="Times New Roman" w:cs="Times New Roman"/>
                <w:color w:val="auto"/>
              </w:rPr>
              <w:t>9</w:t>
            </w:r>
          </w:p>
        </w:tc>
      </w:tr>
      <w:tr w:rsidR="00DE12A3" w:rsidRPr="00DE12A3" w14:paraId="0BC2B169" w14:textId="77777777" w:rsidTr="002654C8">
        <w:tc>
          <w:tcPr>
            <w:tcW w:w="5246" w:type="dxa"/>
            <w:vAlign w:val="center"/>
          </w:tcPr>
          <w:p w14:paraId="7AC851FE" w14:textId="77777777" w:rsidR="001D708B" w:rsidRPr="00DE12A3" w:rsidRDefault="001D708B" w:rsidP="00B655AE">
            <w:pPr>
              <w:jc w:val="center"/>
              <w:rPr>
                <w:rFonts w:ascii="Times New Roman" w:hAnsi="Times New Roman" w:cs="Times New Roman"/>
                <w:color w:val="auto"/>
              </w:rPr>
            </w:pPr>
            <w:r w:rsidRPr="00DE12A3">
              <w:rPr>
                <w:rFonts w:ascii="Times New Roman" w:hAnsi="Times New Roman" w:cs="Times New Roman"/>
                <w:color w:val="auto"/>
              </w:rPr>
              <w:t>16</w:t>
            </w:r>
          </w:p>
        </w:tc>
        <w:tc>
          <w:tcPr>
            <w:tcW w:w="2268" w:type="dxa"/>
            <w:vAlign w:val="center"/>
          </w:tcPr>
          <w:p w14:paraId="71FE887D" w14:textId="77777777" w:rsidR="001D708B" w:rsidRPr="00DE12A3" w:rsidRDefault="001D708B" w:rsidP="00B655AE">
            <w:pPr>
              <w:jc w:val="center"/>
              <w:rPr>
                <w:rFonts w:ascii="Times New Roman" w:hAnsi="Times New Roman" w:cs="Times New Roman"/>
                <w:color w:val="auto"/>
              </w:rPr>
            </w:pPr>
            <w:r w:rsidRPr="00DE12A3">
              <w:rPr>
                <w:rFonts w:ascii="Times New Roman" w:hAnsi="Times New Roman" w:cs="Times New Roman"/>
                <w:color w:val="auto"/>
              </w:rPr>
              <w:t>6</w:t>
            </w:r>
          </w:p>
        </w:tc>
        <w:tc>
          <w:tcPr>
            <w:tcW w:w="2409" w:type="dxa"/>
            <w:vAlign w:val="center"/>
          </w:tcPr>
          <w:p w14:paraId="4CC71021" w14:textId="77777777" w:rsidR="001D708B" w:rsidRPr="00DE12A3" w:rsidRDefault="001D708B" w:rsidP="00B655AE">
            <w:pPr>
              <w:jc w:val="center"/>
              <w:rPr>
                <w:rFonts w:ascii="Times New Roman" w:hAnsi="Times New Roman" w:cs="Times New Roman"/>
                <w:color w:val="auto"/>
              </w:rPr>
            </w:pPr>
            <w:r w:rsidRPr="00DE12A3">
              <w:rPr>
                <w:rFonts w:ascii="Times New Roman" w:hAnsi="Times New Roman" w:cs="Times New Roman"/>
                <w:color w:val="auto"/>
              </w:rPr>
              <w:t>10</w:t>
            </w:r>
          </w:p>
        </w:tc>
      </w:tr>
      <w:tr w:rsidR="00DE12A3" w:rsidRPr="00DE12A3" w14:paraId="405A1D0C" w14:textId="77777777" w:rsidTr="002654C8">
        <w:tc>
          <w:tcPr>
            <w:tcW w:w="5246" w:type="dxa"/>
            <w:vAlign w:val="center"/>
          </w:tcPr>
          <w:p w14:paraId="471CC071" w14:textId="77777777" w:rsidR="001D708B" w:rsidRPr="00DE12A3" w:rsidRDefault="001D708B" w:rsidP="00B655AE">
            <w:pPr>
              <w:jc w:val="center"/>
              <w:rPr>
                <w:rFonts w:ascii="Times New Roman" w:hAnsi="Times New Roman" w:cs="Times New Roman"/>
                <w:color w:val="auto"/>
              </w:rPr>
            </w:pPr>
            <w:r w:rsidRPr="00DE12A3">
              <w:rPr>
                <w:rFonts w:ascii="Times New Roman" w:hAnsi="Times New Roman" w:cs="Times New Roman"/>
                <w:color w:val="auto"/>
              </w:rPr>
              <w:t>17</w:t>
            </w:r>
          </w:p>
        </w:tc>
        <w:tc>
          <w:tcPr>
            <w:tcW w:w="2268" w:type="dxa"/>
            <w:vAlign w:val="center"/>
          </w:tcPr>
          <w:p w14:paraId="350F8AD7" w14:textId="77777777" w:rsidR="001D708B" w:rsidRPr="00DE12A3" w:rsidRDefault="001D708B" w:rsidP="00B655AE">
            <w:pPr>
              <w:jc w:val="center"/>
              <w:rPr>
                <w:rFonts w:ascii="Times New Roman" w:hAnsi="Times New Roman" w:cs="Times New Roman"/>
                <w:color w:val="auto"/>
              </w:rPr>
            </w:pPr>
            <w:r w:rsidRPr="00DE12A3">
              <w:rPr>
                <w:rFonts w:ascii="Times New Roman" w:hAnsi="Times New Roman" w:cs="Times New Roman"/>
                <w:color w:val="auto"/>
              </w:rPr>
              <w:t>6</w:t>
            </w:r>
          </w:p>
        </w:tc>
        <w:tc>
          <w:tcPr>
            <w:tcW w:w="2409" w:type="dxa"/>
            <w:vAlign w:val="center"/>
          </w:tcPr>
          <w:p w14:paraId="304E2124" w14:textId="77777777" w:rsidR="001D708B" w:rsidRPr="00DE12A3" w:rsidRDefault="001D708B" w:rsidP="00B655AE">
            <w:pPr>
              <w:jc w:val="center"/>
              <w:rPr>
                <w:rFonts w:ascii="Times New Roman" w:hAnsi="Times New Roman" w:cs="Times New Roman"/>
                <w:color w:val="auto"/>
              </w:rPr>
            </w:pPr>
            <w:r w:rsidRPr="00DE12A3">
              <w:rPr>
                <w:rFonts w:ascii="Times New Roman" w:hAnsi="Times New Roman" w:cs="Times New Roman"/>
                <w:color w:val="auto"/>
              </w:rPr>
              <w:t>10</w:t>
            </w:r>
          </w:p>
        </w:tc>
      </w:tr>
      <w:tr w:rsidR="00DE12A3" w:rsidRPr="00DE12A3" w14:paraId="48202A87" w14:textId="77777777" w:rsidTr="002654C8">
        <w:tc>
          <w:tcPr>
            <w:tcW w:w="5246" w:type="dxa"/>
            <w:vAlign w:val="center"/>
          </w:tcPr>
          <w:p w14:paraId="5C192D53" w14:textId="77777777" w:rsidR="001D708B" w:rsidRPr="00DE12A3" w:rsidRDefault="001D708B" w:rsidP="00B655AE">
            <w:pPr>
              <w:jc w:val="center"/>
              <w:rPr>
                <w:rFonts w:ascii="Times New Roman" w:hAnsi="Times New Roman" w:cs="Times New Roman"/>
                <w:color w:val="auto"/>
              </w:rPr>
            </w:pPr>
            <w:r w:rsidRPr="00DE12A3">
              <w:rPr>
                <w:rFonts w:ascii="Times New Roman" w:hAnsi="Times New Roman" w:cs="Times New Roman"/>
                <w:color w:val="auto"/>
              </w:rPr>
              <w:t>18</w:t>
            </w:r>
          </w:p>
        </w:tc>
        <w:tc>
          <w:tcPr>
            <w:tcW w:w="2268" w:type="dxa"/>
            <w:vAlign w:val="center"/>
          </w:tcPr>
          <w:p w14:paraId="4CECAC6F" w14:textId="77777777" w:rsidR="001D708B" w:rsidRPr="00DE12A3" w:rsidRDefault="001D708B" w:rsidP="00B655AE">
            <w:pPr>
              <w:jc w:val="center"/>
              <w:rPr>
                <w:rFonts w:ascii="Times New Roman" w:hAnsi="Times New Roman" w:cs="Times New Roman"/>
                <w:color w:val="auto"/>
              </w:rPr>
            </w:pPr>
            <w:r w:rsidRPr="00DE12A3">
              <w:rPr>
                <w:rFonts w:ascii="Times New Roman" w:hAnsi="Times New Roman" w:cs="Times New Roman"/>
                <w:color w:val="auto"/>
              </w:rPr>
              <w:t>7</w:t>
            </w:r>
          </w:p>
        </w:tc>
        <w:tc>
          <w:tcPr>
            <w:tcW w:w="2409" w:type="dxa"/>
            <w:vAlign w:val="center"/>
          </w:tcPr>
          <w:p w14:paraId="2E9FEBA7" w14:textId="77777777" w:rsidR="001D708B" w:rsidRPr="00DE12A3" w:rsidRDefault="001D708B" w:rsidP="00B655AE">
            <w:pPr>
              <w:jc w:val="center"/>
              <w:rPr>
                <w:rFonts w:ascii="Times New Roman" w:hAnsi="Times New Roman" w:cs="Times New Roman"/>
                <w:color w:val="auto"/>
              </w:rPr>
            </w:pPr>
            <w:r w:rsidRPr="00DE12A3">
              <w:rPr>
                <w:rFonts w:ascii="Times New Roman" w:hAnsi="Times New Roman" w:cs="Times New Roman"/>
                <w:color w:val="auto"/>
              </w:rPr>
              <w:t>11</w:t>
            </w:r>
          </w:p>
        </w:tc>
      </w:tr>
      <w:tr w:rsidR="00DE12A3" w:rsidRPr="00DE12A3" w14:paraId="1D89E684" w14:textId="77777777" w:rsidTr="002654C8">
        <w:tc>
          <w:tcPr>
            <w:tcW w:w="5246" w:type="dxa"/>
            <w:vAlign w:val="center"/>
          </w:tcPr>
          <w:p w14:paraId="150C541D" w14:textId="77777777" w:rsidR="001D708B" w:rsidRPr="00DE12A3" w:rsidRDefault="001D708B" w:rsidP="00B655AE">
            <w:pPr>
              <w:jc w:val="center"/>
              <w:rPr>
                <w:rFonts w:ascii="Times New Roman" w:hAnsi="Times New Roman" w:cs="Times New Roman"/>
                <w:color w:val="auto"/>
              </w:rPr>
            </w:pPr>
            <w:r w:rsidRPr="00DE12A3">
              <w:rPr>
                <w:rFonts w:ascii="Times New Roman" w:hAnsi="Times New Roman" w:cs="Times New Roman"/>
                <w:color w:val="auto"/>
              </w:rPr>
              <w:t>19</w:t>
            </w:r>
          </w:p>
        </w:tc>
        <w:tc>
          <w:tcPr>
            <w:tcW w:w="2268" w:type="dxa"/>
            <w:vAlign w:val="center"/>
          </w:tcPr>
          <w:p w14:paraId="15039290" w14:textId="77777777" w:rsidR="001D708B" w:rsidRPr="00DE12A3" w:rsidRDefault="001D708B" w:rsidP="00B655AE">
            <w:pPr>
              <w:jc w:val="center"/>
              <w:rPr>
                <w:rFonts w:ascii="Times New Roman" w:hAnsi="Times New Roman" w:cs="Times New Roman"/>
                <w:color w:val="auto"/>
              </w:rPr>
            </w:pPr>
            <w:r w:rsidRPr="00DE12A3">
              <w:rPr>
                <w:rFonts w:ascii="Times New Roman" w:hAnsi="Times New Roman" w:cs="Times New Roman"/>
                <w:color w:val="auto"/>
              </w:rPr>
              <w:t>8</w:t>
            </w:r>
          </w:p>
        </w:tc>
        <w:tc>
          <w:tcPr>
            <w:tcW w:w="2409" w:type="dxa"/>
            <w:vAlign w:val="center"/>
          </w:tcPr>
          <w:p w14:paraId="451A505D" w14:textId="77777777" w:rsidR="001D708B" w:rsidRPr="00DE12A3" w:rsidRDefault="001D708B" w:rsidP="00B655AE">
            <w:pPr>
              <w:jc w:val="center"/>
              <w:rPr>
                <w:rFonts w:ascii="Times New Roman" w:hAnsi="Times New Roman" w:cs="Times New Roman"/>
                <w:color w:val="auto"/>
              </w:rPr>
            </w:pPr>
            <w:r w:rsidRPr="00DE12A3">
              <w:rPr>
                <w:rFonts w:ascii="Times New Roman" w:hAnsi="Times New Roman" w:cs="Times New Roman"/>
                <w:color w:val="auto"/>
              </w:rPr>
              <w:t>9</w:t>
            </w:r>
          </w:p>
        </w:tc>
      </w:tr>
    </w:tbl>
    <w:p w14:paraId="32095E9A" w14:textId="77777777" w:rsidR="00FA490B" w:rsidRPr="00DE12A3" w:rsidRDefault="00FA490B" w:rsidP="00722E32">
      <w:pPr>
        <w:widowControl/>
        <w:rPr>
          <w:rFonts w:eastAsia="Times New Roman" w:cs="Times New Roman"/>
          <w:color w:val="auto"/>
          <w:spacing w:val="3"/>
          <w:sz w:val="20"/>
          <w:szCs w:val="20"/>
        </w:rPr>
      </w:pPr>
      <w:r w:rsidRPr="00DE12A3">
        <w:rPr>
          <w:rFonts w:eastAsia="Times New Roman" w:cs="Times New Roman"/>
          <w:color w:val="auto"/>
          <w:spacing w:val="3"/>
          <w:sz w:val="20"/>
          <w:szCs w:val="20"/>
        </w:rPr>
        <w:br w:type="page"/>
      </w:r>
    </w:p>
    <w:p w14:paraId="2C7F0DCB" w14:textId="1CB0DA1A" w:rsidR="002D7B36" w:rsidRPr="00DE12A3" w:rsidRDefault="00242DA0" w:rsidP="00C82856">
      <w:pPr>
        <w:pStyle w:val="Balk1"/>
        <w:rPr>
          <w:color w:val="auto"/>
        </w:rPr>
      </w:pPr>
      <w:bookmarkStart w:id="11" w:name="bookmark27"/>
      <w:r w:rsidRPr="00DE12A3">
        <w:rPr>
          <w:rStyle w:val="Balk940ptbolukbraklyor"/>
          <w:i w:val="0"/>
          <w:iCs/>
          <w:color w:val="auto"/>
          <w:spacing w:val="-6"/>
          <w:sz w:val="24"/>
          <w:szCs w:val="24"/>
          <w:shd w:val="clear" w:color="auto" w:fill="auto"/>
          <w:lang w:val="tr-TR"/>
        </w:rPr>
        <w:lastRenderedPageBreak/>
        <w:t>EK III</w:t>
      </w:r>
      <w:bookmarkEnd w:id="11"/>
    </w:p>
    <w:p w14:paraId="2140E20A" w14:textId="77777777" w:rsidR="002D7B36" w:rsidRPr="00DE12A3" w:rsidRDefault="00242DA0" w:rsidP="00FA490B">
      <w:pPr>
        <w:jc w:val="center"/>
        <w:rPr>
          <w:b/>
          <w:color w:val="auto"/>
        </w:rPr>
      </w:pPr>
      <w:r w:rsidRPr="00DE12A3">
        <w:rPr>
          <w:b/>
          <w:color w:val="auto"/>
        </w:rPr>
        <w:t>Emisyon laboratuvarı test sonuçlarının bozulma faktörlerini içerecek şekilde uyarlanmasına yönelik metodoloji</w:t>
      </w:r>
    </w:p>
    <w:p w14:paraId="512C6370" w14:textId="11DDA5C9" w:rsidR="002D7B36" w:rsidRPr="00DE12A3" w:rsidRDefault="00AA16F7" w:rsidP="00AA16F7">
      <w:pPr>
        <w:spacing w:before="120" w:after="120"/>
        <w:jc w:val="both"/>
        <w:rPr>
          <w:rFonts w:eastAsia="Times New Roman" w:cs="Times New Roman"/>
          <w:b/>
          <w:color w:val="auto"/>
        </w:rPr>
      </w:pPr>
      <w:r w:rsidRPr="00DE12A3">
        <w:rPr>
          <w:rFonts w:eastAsia="Times New Roman" w:cs="Times New Roman"/>
          <w:b/>
          <w:color w:val="auto"/>
        </w:rPr>
        <w:t xml:space="preserve">1. </w:t>
      </w:r>
      <w:r w:rsidR="00242DA0" w:rsidRPr="00DE12A3">
        <w:rPr>
          <w:rFonts w:eastAsia="Times New Roman" w:cs="Times New Roman"/>
          <w:b/>
          <w:color w:val="auto"/>
        </w:rPr>
        <w:t>Tanımlar</w:t>
      </w:r>
    </w:p>
    <w:p w14:paraId="2EEF964E" w14:textId="5AD63D4F" w:rsidR="002D7B36" w:rsidRPr="00DE12A3" w:rsidRDefault="00242DA0" w:rsidP="00C917D6">
      <w:pPr>
        <w:pStyle w:val="Gvdemetni250"/>
        <w:shd w:val="clear" w:color="auto" w:fill="auto"/>
        <w:spacing w:before="120" w:after="120" w:line="240" w:lineRule="auto"/>
        <w:ind w:left="1134" w:hanging="1134"/>
        <w:rPr>
          <w:sz w:val="24"/>
          <w:szCs w:val="24"/>
        </w:rPr>
      </w:pPr>
      <w:r w:rsidRPr="00DE12A3">
        <w:rPr>
          <w:sz w:val="24"/>
          <w:szCs w:val="24"/>
        </w:rPr>
        <w:t>Bu Ekin amaçları doğrultusunda, aşağıdaki tanımlar uygulanır:</w:t>
      </w:r>
    </w:p>
    <w:p w14:paraId="38660747" w14:textId="432C4098" w:rsidR="002D7B36" w:rsidRPr="00DE12A3" w:rsidRDefault="00AA16F7" w:rsidP="00AA16F7">
      <w:pPr>
        <w:pStyle w:val="Gvdemetni250"/>
        <w:shd w:val="clear" w:color="auto" w:fill="auto"/>
        <w:tabs>
          <w:tab w:val="left" w:pos="567"/>
          <w:tab w:val="left" w:pos="1134"/>
          <w:tab w:val="right" w:pos="5633"/>
        </w:tabs>
        <w:spacing w:before="120" w:after="120" w:line="240" w:lineRule="auto"/>
        <w:ind w:firstLine="0"/>
        <w:rPr>
          <w:sz w:val="24"/>
          <w:szCs w:val="24"/>
        </w:rPr>
      </w:pPr>
      <w:r w:rsidRPr="00DE12A3">
        <w:rPr>
          <w:sz w:val="24"/>
          <w:szCs w:val="24"/>
        </w:rPr>
        <w:t xml:space="preserve">1.1. </w:t>
      </w:r>
      <w:r w:rsidR="00242DA0" w:rsidRPr="00DE12A3">
        <w:rPr>
          <w:sz w:val="24"/>
          <w:szCs w:val="24"/>
        </w:rPr>
        <w:t xml:space="preserve">“Yaşlanma </w:t>
      </w:r>
      <w:r w:rsidR="00EF2C88" w:rsidRPr="00DE12A3">
        <w:rPr>
          <w:sz w:val="24"/>
          <w:szCs w:val="24"/>
        </w:rPr>
        <w:t>çevrimi”</w:t>
      </w:r>
      <w:r w:rsidR="00242DA0" w:rsidRPr="00DE12A3">
        <w:rPr>
          <w:sz w:val="24"/>
          <w:szCs w:val="24"/>
        </w:rPr>
        <w:t>, servis birikme dönemi boyunca gerçekleştirilecek olan karayolu dışında kullanılan hareketli makine veya motor kullanımı (hız, yük, güç) anlamına gelir.</w:t>
      </w:r>
    </w:p>
    <w:p w14:paraId="3D31F992" w14:textId="51F1C555" w:rsidR="002D7B36" w:rsidRPr="00DE12A3" w:rsidRDefault="00AA16F7" w:rsidP="00AA16F7">
      <w:pPr>
        <w:pStyle w:val="Gvdemetni250"/>
        <w:shd w:val="clear" w:color="auto" w:fill="auto"/>
        <w:tabs>
          <w:tab w:val="left" w:pos="567"/>
          <w:tab w:val="left" w:pos="1134"/>
          <w:tab w:val="right" w:pos="5633"/>
        </w:tabs>
        <w:spacing w:before="120" w:after="120" w:line="240" w:lineRule="auto"/>
        <w:ind w:firstLine="0"/>
        <w:rPr>
          <w:sz w:val="24"/>
          <w:szCs w:val="24"/>
        </w:rPr>
      </w:pPr>
      <w:r w:rsidRPr="00DE12A3">
        <w:rPr>
          <w:sz w:val="24"/>
          <w:szCs w:val="24"/>
        </w:rPr>
        <w:t>1.2.</w:t>
      </w:r>
      <w:r w:rsidR="001D708B" w:rsidRPr="00DE12A3">
        <w:rPr>
          <w:sz w:val="24"/>
          <w:szCs w:val="24"/>
        </w:rPr>
        <w:t xml:space="preserve"> </w:t>
      </w:r>
      <w:r w:rsidR="00242DA0" w:rsidRPr="00DE12A3">
        <w:rPr>
          <w:sz w:val="24"/>
          <w:szCs w:val="24"/>
        </w:rPr>
        <w:t xml:space="preserve">“Emisyonla ilgili kritik bileşenler”, egzoz </w:t>
      </w:r>
      <w:r w:rsidR="007E2039" w:rsidRPr="00DE12A3">
        <w:rPr>
          <w:sz w:val="24"/>
          <w:szCs w:val="24"/>
        </w:rPr>
        <w:t xml:space="preserve">arıtma </w:t>
      </w:r>
      <w:r w:rsidR="00242DA0" w:rsidRPr="00DE12A3">
        <w:rPr>
          <w:sz w:val="24"/>
          <w:szCs w:val="24"/>
        </w:rPr>
        <w:t>sistemi, elektronik motor kontrol ünitesi ve onun ilgili sensörlerini ve aktüatörlerini ve ilgili tüm filtreler, soğutucular, kontrol valfleri ve borular da dahil olmak üzere egzoz gazı devirdaimi (EGR) anlamına gelir.</w:t>
      </w:r>
    </w:p>
    <w:p w14:paraId="41403A85" w14:textId="7CE99C7E" w:rsidR="002D7B36" w:rsidRPr="00DE12A3" w:rsidRDefault="00AA16F7" w:rsidP="00AA16F7">
      <w:pPr>
        <w:pStyle w:val="Gvdemetni250"/>
        <w:shd w:val="clear" w:color="auto" w:fill="auto"/>
        <w:tabs>
          <w:tab w:val="left" w:pos="567"/>
          <w:tab w:val="left" w:pos="709"/>
          <w:tab w:val="right" w:pos="5633"/>
        </w:tabs>
        <w:spacing w:before="120" w:after="120" w:line="240" w:lineRule="auto"/>
        <w:ind w:firstLine="0"/>
        <w:rPr>
          <w:sz w:val="24"/>
          <w:szCs w:val="24"/>
        </w:rPr>
      </w:pPr>
      <w:r w:rsidRPr="00DE12A3">
        <w:rPr>
          <w:sz w:val="24"/>
          <w:szCs w:val="24"/>
        </w:rPr>
        <w:t xml:space="preserve">1.3. </w:t>
      </w:r>
      <w:r w:rsidR="00242DA0" w:rsidRPr="00DE12A3">
        <w:rPr>
          <w:sz w:val="24"/>
          <w:szCs w:val="24"/>
        </w:rPr>
        <w:t>“Emisyonla ilgili kritik bakım”, motorun emisyonla ilgili kritik bileşenleri üzerinde yapılacak bakım anlamına gelir.</w:t>
      </w:r>
    </w:p>
    <w:p w14:paraId="5811CA0B" w14:textId="4824FB20" w:rsidR="002D7B36" w:rsidRPr="00DE12A3" w:rsidRDefault="002654C8" w:rsidP="00AA16F7">
      <w:pPr>
        <w:pStyle w:val="Gvdemetni250"/>
        <w:shd w:val="clear" w:color="auto" w:fill="auto"/>
        <w:tabs>
          <w:tab w:val="left" w:pos="851"/>
          <w:tab w:val="right" w:pos="3770"/>
          <w:tab w:val="left" w:pos="3805"/>
          <w:tab w:val="right" w:pos="5111"/>
          <w:tab w:val="right" w:pos="5633"/>
        </w:tabs>
        <w:spacing w:before="120" w:after="120" w:line="240" w:lineRule="auto"/>
        <w:ind w:firstLine="0"/>
        <w:rPr>
          <w:sz w:val="24"/>
          <w:szCs w:val="24"/>
        </w:rPr>
      </w:pPr>
      <w:r w:rsidRPr="00DE12A3">
        <w:rPr>
          <w:sz w:val="24"/>
          <w:szCs w:val="24"/>
        </w:rPr>
        <w:t>1.4. “</w:t>
      </w:r>
      <w:r w:rsidR="00242DA0" w:rsidRPr="00DE12A3">
        <w:rPr>
          <w:sz w:val="24"/>
          <w:szCs w:val="24"/>
        </w:rPr>
        <w:t>Emisyonla ilgili bakım”, karayolu dışında kullanılan hareketli makinelerin veya motorun normal kullanımı sırasında emisyonları önemli ölçüde etkileyen veya emisyon performansını etkilemesi muhtemel bakım anlamına gelir.</w:t>
      </w:r>
    </w:p>
    <w:p w14:paraId="3D80FE02" w14:textId="0E3D4071" w:rsidR="002D7B36" w:rsidRPr="00DE12A3" w:rsidRDefault="00AA16F7" w:rsidP="00AA16F7">
      <w:pPr>
        <w:pStyle w:val="Gvdemetni250"/>
        <w:shd w:val="clear" w:color="auto" w:fill="auto"/>
        <w:tabs>
          <w:tab w:val="left" w:pos="567"/>
          <w:tab w:val="left" w:pos="1134"/>
          <w:tab w:val="right" w:pos="3770"/>
          <w:tab w:val="left" w:pos="3805"/>
        </w:tabs>
        <w:spacing w:before="120" w:after="120" w:line="240" w:lineRule="auto"/>
        <w:ind w:firstLine="0"/>
        <w:rPr>
          <w:sz w:val="24"/>
          <w:szCs w:val="24"/>
        </w:rPr>
      </w:pPr>
      <w:r w:rsidRPr="00DE12A3">
        <w:rPr>
          <w:sz w:val="24"/>
          <w:szCs w:val="24"/>
        </w:rPr>
        <w:t>1.5.</w:t>
      </w:r>
      <w:r w:rsidR="00F94F18" w:rsidRPr="00DE12A3">
        <w:rPr>
          <w:sz w:val="24"/>
          <w:szCs w:val="24"/>
        </w:rPr>
        <w:t xml:space="preserve"> </w:t>
      </w:r>
      <w:r w:rsidR="00242DA0" w:rsidRPr="00DE12A3">
        <w:rPr>
          <w:sz w:val="24"/>
          <w:szCs w:val="24"/>
        </w:rPr>
        <w:t xml:space="preserve">“Motor </w:t>
      </w:r>
      <w:r w:rsidR="007E2039" w:rsidRPr="00DE12A3">
        <w:rPr>
          <w:sz w:val="24"/>
          <w:szCs w:val="24"/>
        </w:rPr>
        <w:t xml:space="preserve">arıtma </w:t>
      </w:r>
      <w:r w:rsidR="00242DA0" w:rsidRPr="00DE12A3">
        <w:rPr>
          <w:sz w:val="24"/>
          <w:szCs w:val="24"/>
        </w:rPr>
        <w:t xml:space="preserve">sistemi ailesi”, imalatçının motor ailesi tanımına uyan, ancak benzer bir egzoz </w:t>
      </w:r>
      <w:r w:rsidR="007E2039" w:rsidRPr="00DE12A3">
        <w:rPr>
          <w:sz w:val="24"/>
          <w:szCs w:val="24"/>
        </w:rPr>
        <w:t xml:space="preserve">arıtma </w:t>
      </w:r>
      <w:r w:rsidR="00242DA0" w:rsidRPr="00DE12A3">
        <w:rPr>
          <w:sz w:val="24"/>
          <w:szCs w:val="24"/>
        </w:rPr>
        <w:t>sistemi kullanan motor ailelerini kapsayan bir aile içinde ayrıca gruplandırdığı motor grubu anlamına gelir.</w:t>
      </w:r>
    </w:p>
    <w:p w14:paraId="189D6FCA" w14:textId="60B4AC27" w:rsidR="002D7B36" w:rsidRPr="00DE12A3" w:rsidRDefault="00AA16F7" w:rsidP="00AA16F7">
      <w:pPr>
        <w:pStyle w:val="Gvdemetni250"/>
        <w:shd w:val="clear" w:color="auto" w:fill="auto"/>
        <w:spacing w:before="120" w:after="120" w:line="240" w:lineRule="auto"/>
        <w:ind w:firstLine="0"/>
        <w:rPr>
          <w:sz w:val="24"/>
          <w:szCs w:val="24"/>
        </w:rPr>
      </w:pPr>
      <w:r w:rsidRPr="00DE12A3">
        <w:rPr>
          <w:sz w:val="24"/>
          <w:szCs w:val="24"/>
        </w:rPr>
        <w:t>1.6.</w:t>
      </w:r>
      <w:r w:rsidR="00F94F18" w:rsidRPr="00DE12A3">
        <w:rPr>
          <w:sz w:val="24"/>
          <w:szCs w:val="24"/>
        </w:rPr>
        <w:t xml:space="preserve"> </w:t>
      </w:r>
      <w:r w:rsidR="00242DA0" w:rsidRPr="00DE12A3">
        <w:rPr>
          <w:sz w:val="24"/>
          <w:szCs w:val="24"/>
        </w:rPr>
        <w:t>“Emisyonla ilgili olmayan bakım”, emisyonları önemli ölçüde etkilemeyen ve bakım bir kez yapıldıktan sonra karayolu dışında kullanılan hareketli makinelerin veya motorun normal kullanımı sırasında emisyon performansındaki bozulma üzerinde kalıcı bir etkisi olmayan bakım anlamına gelir.</w:t>
      </w:r>
    </w:p>
    <w:p w14:paraId="6AD662C9" w14:textId="581B789A" w:rsidR="002D7B36" w:rsidRPr="00DE12A3" w:rsidRDefault="00AA16F7" w:rsidP="00AA16F7">
      <w:pPr>
        <w:pStyle w:val="Gvdemetni250"/>
        <w:shd w:val="clear" w:color="auto" w:fill="auto"/>
        <w:spacing w:before="120" w:after="120" w:line="240" w:lineRule="auto"/>
        <w:ind w:firstLine="0"/>
        <w:rPr>
          <w:sz w:val="24"/>
          <w:szCs w:val="24"/>
        </w:rPr>
      </w:pPr>
      <w:r w:rsidRPr="00DE12A3">
        <w:rPr>
          <w:sz w:val="24"/>
          <w:szCs w:val="24"/>
        </w:rPr>
        <w:t>1.7.</w:t>
      </w:r>
      <w:r w:rsidR="00F94F18" w:rsidRPr="00DE12A3">
        <w:rPr>
          <w:sz w:val="24"/>
          <w:szCs w:val="24"/>
        </w:rPr>
        <w:t xml:space="preserve"> </w:t>
      </w:r>
      <w:r w:rsidR="00242DA0" w:rsidRPr="00DE12A3">
        <w:rPr>
          <w:sz w:val="24"/>
          <w:szCs w:val="24"/>
        </w:rPr>
        <w:t xml:space="preserve">"Servis birikme programı", yaşlanma </w:t>
      </w:r>
      <w:r w:rsidR="00EF2C88" w:rsidRPr="00DE12A3">
        <w:rPr>
          <w:sz w:val="24"/>
          <w:szCs w:val="24"/>
        </w:rPr>
        <w:t>çevrimi ve</w:t>
      </w:r>
      <w:r w:rsidR="00242DA0" w:rsidRPr="00DE12A3">
        <w:rPr>
          <w:sz w:val="24"/>
          <w:szCs w:val="24"/>
        </w:rPr>
        <w:t xml:space="preserve"> motor </w:t>
      </w:r>
      <w:r w:rsidR="007E2039" w:rsidRPr="00DE12A3">
        <w:rPr>
          <w:sz w:val="24"/>
          <w:szCs w:val="24"/>
        </w:rPr>
        <w:t xml:space="preserve">arıtma </w:t>
      </w:r>
      <w:r w:rsidR="00242DA0" w:rsidRPr="00DE12A3">
        <w:rPr>
          <w:sz w:val="24"/>
          <w:szCs w:val="24"/>
        </w:rPr>
        <w:t>sistemi ailesi için bozulma faktörlerini belirlemek için servis birikme süresi anlamına gelir.</w:t>
      </w:r>
    </w:p>
    <w:p w14:paraId="3D98A105" w14:textId="6AB78905" w:rsidR="002D7B36" w:rsidRPr="00DE12A3" w:rsidRDefault="00AA16F7" w:rsidP="00AA16F7">
      <w:pPr>
        <w:spacing w:before="120" w:after="120"/>
        <w:jc w:val="both"/>
        <w:rPr>
          <w:rFonts w:eastAsia="Times New Roman" w:cs="Times New Roman"/>
          <w:b/>
          <w:color w:val="auto"/>
        </w:rPr>
      </w:pPr>
      <w:bookmarkStart w:id="12" w:name="bookmark30"/>
      <w:r w:rsidRPr="00DE12A3">
        <w:rPr>
          <w:rFonts w:eastAsia="Times New Roman" w:cs="Times New Roman"/>
          <w:b/>
          <w:color w:val="auto"/>
        </w:rPr>
        <w:t xml:space="preserve">2. </w:t>
      </w:r>
      <w:r w:rsidR="00242DA0" w:rsidRPr="00DE12A3">
        <w:rPr>
          <w:rFonts w:eastAsia="Times New Roman" w:cs="Times New Roman"/>
          <w:b/>
          <w:color w:val="auto"/>
        </w:rPr>
        <w:t>Genel</w:t>
      </w:r>
      <w:bookmarkEnd w:id="12"/>
    </w:p>
    <w:p w14:paraId="23661B27" w14:textId="2EE6CA98" w:rsidR="002D7B36" w:rsidRPr="00DE12A3" w:rsidRDefault="00AA16F7" w:rsidP="00AA16F7">
      <w:pPr>
        <w:pStyle w:val="Gvdemetni250"/>
        <w:shd w:val="clear" w:color="auto" w:fill="auto"/>
        <w:spacing w:before="120" w:after="120" w:line="240" w:lineRule="auto"/>
        <w:ind w:firstLine="0"/>
        <w:rPr>
          <w:sz w:val="24"/>
          <w:szCs w:val="24"/>
        </w:rPr>
      </w:pPr>
      <w:r w:rsidRPr="00DE12A3">
        <w:rPr>
          <w:sz w:val="24"/>
          <w:szCs w:val="24"/>
        </w:rPr>
        <w:t xml:space="preserve">2.1. </w:t>
      </w:r>
      <w:r w:rsidR="00242DA0" w:rsidRPr="00DE12A3">
        <w:rPr>
          <w:sz w:val="24"/>
          <w:szCs w:val="24"/>
        </w:rPr>
        <w:t xml:space="preserve">Bu </w:t>
      </w:r>
      <w:r w:rsidR="00211788" w:rsidRPr="00DE12A3">
        <w:rPr>
          <w:sz w:val="24"/>
          <w:szCs w:val="24"/>
        </w:rPr>
        <w:t>E</w:t>
      </w:r>
      <w:r w:rsidR="00242DA0" w:rsidRPr="00DE12A3">
        <w:rPr>
          <w:sz w:val="24"/>
          <w:szCs w:val="24"/>
        </w:rPr>
        <w:t>k, motor tipi veya motor ailesi AB tip onayı ve üretim uygunluk değerlendirmesi için bozulma faktörlerinin belirlenmesi amacıyla bir servis birikme programı boyunca test edilecek motorların seçilmesine ilişkin prosedürleri detaylı olarak açıklamaktadır.</w:t>
      </w:r>
      <w:r w:rsidR="001D708B" w:rsidRPr="00DE12A3">
        <w:rPr>
          <w:sz w:val="24"/>
          <w:szCs w:val="24"/>
        </w:rPr>
        <w:t xml:space="preserve"> </w:t>
      </w:r>
      <w:r w:rsidR="00242DA0" w:rsidRPr="00DE12A3">
        <w:rPr>
          <w:sz w:val="24"/>
          <w:szCs w:val="24"/>
        </w:rPr>
        <w:t xml:space="preserve">Bozulma faktörleri, </w:t>
      </w:r>
      <w:r w:rsidR="00FA0678" w:rsidRPr="00DE12A3">
        <w:rPr>
          <w:sz w:val="24"/>
          <w:szCs w:val="24"/>
        </w:rPr>
        <w:t xml:space="preserve">VI’ncı </w:t>
      </w:r>
      <w:r w:rsidR="00211788" w:rsidRPr="00DE12A3">
        <w:rPr>
          <w:sz w:val="24"/>
          <w:szCs w:val="24"/>
        </w:rPr>
        <w:t>E</w:t>
      </w:r>
      <w:r w:rsidR="00FA0678" w:rsidRPr="00DE12A3">
        <w:rPr>
          <w:sz w:val="24"/>
          <w:szCs w:val="24"/>
        </w:rPr>
        <w:t>k</w:t>
      </w:r>
      <w:r w:rsidR="00242DA0" w:rsidRPr="00DE12A3">
        <w:rPr>
          <w:sz w:val="24"/>
          <w:szCs w:val="24"/>
        </w:rPr>
        <w:t xml:space="preserve"> uyarınca ölçülen ve </w:t>
      </w:r>
      <w:r w:rsidR="00FA0678" w:rsidRPr="00DE12A3">
        <w:rPr>
          <w:sz w:val="24"/>
          <w:szCs w:val="24"/>
        </w:rPr>
        <w:t xml:space="preserve">VII’nci </w:t>
      </w:r>
      <w:r w:rsidR="00211788" w:rsidRPr="00DE12A3">
        <w:rPr>
          <w:sz w:val="24"/>
          <w:szCs w:val="24"/>
        </w:rPr>
        <w:t>E</w:t>
      </w:r>
      <w:r w:rsidR="00FA0678" w:rsidRPr="00DE12A3">
        <w:rPr>
          <w:sz w:val="24"/>
          <w:szCs w:val="24"/>
        </w:rPr>
        <w:t>k</w:t>
      </w:r>
      <w:r w:rsidR="00242DA0" w:rsidRPr="00DE12A3">
        <w:rPr>
          <w:sz w:val="24"/>
          <w:szCs w:val="24"/>
        </w:rPr>
        <w:t xml:space="preserve"> uyarınca hesaplanan emisyonlara, sırasıyla </w:t>
      </w:r>
      <w:r w:rsidR="005049DC" w:rsidRPr="00DE12A3">
        <w:rPr>
          <w:sz w:val="24"/>
          <w:szCs w:val="24"/>
        </w:rPr>
        <w:t xml:space="preserve">bu Ekin </w:t>
      </w:r>
      <w:r w:rsidR="00242DA0" w:rsidRPr="00DE12A3">
        <w:rPr>
          <w:sz w:val="24"/>
          <w:szCs w:val="24"/>
        </w:rPr>
        <w:t>3.2.7 veya 4.3 bentlerinde belirtilen prosedür uyarınca uygulanır.</w:t>
      </w:r>
    </w:p>
    <w:p w14:paraId="1F2C74F2" w14:textId="71C160A3" w:rsidR="002D7B36" w:rsidRPr="00DE12A3" w:rsidRDefault="00AA16F7" w:rsidP="00AA16F7">
      <w:pPr>
        <w:pStyle w:val="Gvdemetni250"/>
        <w:shd w:val="clear" w:color="auto" w:fill="auto"/>
        <w:tabs>
          <w:tab w:val="left" w:pos="567"/>
          <w:tab w:val="left" w:pos="709"/>
        </w:tabs>
        <w:spacing w:before="120" w:after="120" w:line="240" w:lineRule="auto"/>
        <w:ind w:firstLine="0"/>
        <w:rPr>
          <w:sz w:val="24"/>
          <w:szCs w:val="24"/>
        </w:rPr>
      </w:pPr>
      <w:r w:rsidRPr="00DE12A3">
        <w:rPr>
          <w:sz w:val="24"/>
          <w:szCs w:val="24"/>
        </w:rPr>
        <w:t xml:space="preserve">2.2. </w:t>
      </w:r>
      <w:r w:rsidR="00242DA0" w:rsidRPr="00DE12A3">
        <w:rPr>
          <w:sz w:val="24"/>
          <w:szCs w:val="24"/>
        </w:rPr>
        <w:t xml:space="preserve">Servis birikme testlerinin veya bozulmayı belirlemek için yapılan emisyon testlerinin </w:t>
      </w:r>
      <w:r w:rsidR="007E2039" w:rsidRPr="00DE12A3">
        <w:rPr>
          <w:sz w:val="24"/>
          <w:szCs w:val="24"/>
        </w:rPr>
        <w:t xml:space="preserve">onay </w:t>
      </w:r>
      <w:r w:rsidR="00EF2C88" w:rsidRPr="00DE12A3">
        <w:rPr>
          <w:sz w:val="24"/>
          <w:szCs w:val="24"/>
        </w:rPr>
        <w:t>kuruluşu nezaretinde</w:t>
      </w:r>
      <w:r w:rsidR="00242DA0" w:rsidRPr="00DE12A3">
        <w:rPr>
          <w:sz w:val="24"/>
          <w:szCs w:val="24"/>
        </w:rPr>
        <w:t xml:space="preserve"> yapılması gerekmez.</w:t>
      </w:r>
    </w:p>
    <w:p w14:paraId="078F3039" w14:textId="1C2E3DFD" w:rsidR="002D7B36" w:rsidRPr="00DE12A3" w:rsidRDefault="00AA16F7" w:rsidP="00AA16F7">
      <w:pPr>
        <w:pStyle w:val="Gvdemetni250"/>
        <w:shd w:val="clear" w:color="auto" w:fill="auto"/>
        <w:spacing w:before="120" w:after="120" w:line="240" w:lineRule="auto"/>
        <w:ind w:firstLine="0"/>
        <w:rPr>
          <w:sz w:val="24"/>
          <w:szCs w:val="24"/>
        </w:rPr>
      </w:pPr>
      <w:r w:rsidRPr="00DE12A3">
        <w:rPr>
          <w:sz w:val="24"/>
          <w:szCs w:val="24"/>
        </w:rPr>
        <w:t xml:space="preserve">2.3. </w:t>
      </w:r>
      <w:r w:rsidR="00242DA0" w:rsidRPr="00DE12A3">
        <w:rPr>
          <w:sz w:val="24"/>
          <w:szCs w:val="24"/>
        </w:rPr>
        <w:t xml:space="preserve">Bu </w:t>
      </w:r>
      <w:r w:rsidR="005049DC" w:rsidRPr="00DE12A3">
        <w:rPr>
          <w:sz w:val="24"/>
          <w:szCs w:val="24"/>
        </w:rPr>
        <w:t>E</w:t>
      </w:r>
      <w:r w:rsidR="00242DA0" w:rsidRPr="00DE12A3">
        <w:rPr>
          <w:sz w:val="24"/>
          <w:szCs w:val="24"/>
        </w:rPr>
        <w:t>k ayrıca, bir servis birikme programından geçen motorlar üzerinde yapılması gereken veya yapılabilecek emisyonla ilgili ve emisyonla ilgili olmayan bakımları da detaylı olarak açıklamaktadır.</w:t>
      </w:r>
    </w:p>
    <w:p w14:paraId="1B39B90D" w14:textId="78C9FA24" w:rsidR="002D7B36" w:rsidRPr="00DE12A3" w:rsidRDefault="00AA16F7" w:rsidP="00AA16F7">
      <w:pPr>
        <w:pStyle w:val="Gvdemetni250"/>
        <w:shd w:val="clear" w:color="auto" w:fill="auto"/>
        <w:spacing w:before="120" w:after="120" w:line="240" w:lineRule="auto"/>
        <w:ind w:firstLine="0"/>
        <w:rPr>
          <w:b/>
          <w:sz w:val="24"/>
          <w:szCs w:val="24"/>
        </w:rPr>
      </w:pPr>
      <w:r w:rsidRPr="00DE12A3">
        <w:rPr>
          <w:b/>
          <w:sz w:val="24"/>
          <w:szCs w:val="24"/>
        </w:rPr>
        <w:t xml:space="preserve">3. </w:t>
      </w:r>
      <w:r w:rsidR="00242DA0" w:rsidRPr="00DE12A3">
        <w:rPr>
          <w:b/>
          <w:sz w:val="24"/>
          <w:szCs w:val="24"/>
        </w:rPr>
        <w:t>Motor kategorileri NRE, NRG, IWP, IWA, RLL, RLR, SMB, ATS ve alt kategoriler NRS-v-2b ve NRS-v-3</w:t>
      </w:r>
    </w:p>
    <w:p w14:paraId="107CDFFF" w14:textId="1D87C32C" w:rsidR="002D7B36" w:rsidRPr="00DE12A3" w:rsidRDefault="00AA16F7" w:rsidP="00AA16F7">
      <w:pPr>
        <w:pStyle w:val="Gvdemetni250"/>
        <w:shd w:val="clear" w:color="auto" w:fill="auto"/>
        <w:spacing w:before="120" w:after="120" w:line="240" w:lineRule="auto"/>
        <w:ind w:firstLine="0"/>
        <w:rPr>
          <w:sz w:val="24"/>
          <w:szCs w:val="24"/>
        </w:rPr>
      </w:pPr>
      <w:r w:rsidRPr="00DE12A3">
        <w:rPr>
          <w:sz w:val="24"/>
          <w:szCs w:val="24"/>
        </w:rPr>
        <w:t xml:space="preserve">3.1. </w:t>
      </w:r>
      <w:r w:rsidR="00242DA0" w:rsidRPr="00DE12A3">
        <w:rPr>
          <w:sz w:val="24"/>
          <w:szCs w:val="24"/>
        </w:rPr>
        <w:t>Emisyon dayanıklılık dönemi bozulma faktörlerinin belirlenmesi için motorların seçilmesi</w:t>
      </w:r>
    </w:p>
    <w:p w14:paraId="21A9FCED" w14:textId="5E25FF02" w:rsidR="002D7B36" w:rsidRPr="00DE12A3" w:rsidRDefault="00AA16F7" w:rsidP="00AA16F7">
      <w:pPr>
        <w:pStyle w:val="Gvdemetni250"/>
        <w:shd w:val="clear" w:color="auto" w:fill="auto"/>
        <w:spacing w:before="120" w:after="120" w:line="240" w:lineRule="auto"/>
        <w:ind w:firstLine="0"/>
        <w:rPr>
          <w:sz w:val="24"/>
          <w:szCs w:val="24"/>
        </w:rPr>
      </w:pPr>
      <w:r w:rsidRPr="00DE12A3">
        <w:rPr>
          <w:sz w:val="24"/>
          <w:szCs w:val="24"/>
        </w:rPr>
        <w:t xml:space="preserve">3.1.1. </w:t>
      </w:r>
      <w:r w:rsidR="00242DA0" w:rsidRPr="00DE12A3">
        <w:rPr>
          <w:sz w:val="24"/>
          <w:szCs w:val="24"/>
        </w:rPr>
        <w:t xml:space="preserve">Motorlar, emisyon dayanıklılık dönemi bozulma faktörlerini belirlemek amacıyla yapılan emisyon testi için </w:t>
      </w:r>
      <w:r w:rsidR="00EE5D5E" w:rsidRPr="00DE12A3">
        <w:rPr>
          <w:sz w:val="24"/>
          <w:szCs w:val="24"/>
        </w:rPr>
        <w:t xml:space="preserve">2017/656/AB Tebliğinin IX’uncu </w:t>
      </w:r>
      <w:r w:rsidR="00EC3EF0" w:rsidRPr="00DE12A3">
        <w:rPr>
          <w:sz w:val="24"/>
          <w:szCs w:val="24"/>
        </w:rPr>
        <w:t>Ekinin</w:t>
      </w:r>
      <w:r w:rsidR="00242DA0" w:rsidRPr="00DE12A3">
        <w:rPr>
          <w:sz w:val="24"/>
          <w:szCs w:val="24"/>
        </w:rPr>
        <w:t xml:space="preserve"> 2. </w:t>
      </w:r>
      <w:r w:rsidR="00721C89" w:rsidRPr="00DE12A3">
        <w:rPr>
          <w:sz w:val="24"/>
          <w:szCs w:val="24"/>
        </w:rPr>
        <w:t>Bölüm</w:t>
      </w:r>
      <w:r w:rsidR="00242DA0" w:rsidRPr="00DE12A3">
        <w:rPr>
          <w:sz w:val="24"/>
          <w:szCs w:val="24"/>
        </w:rPr>
        <w:t>ünde tanımlanan motor ailesinden seçilir.</w:t>
      </w:r>
    </w:p>
    <w:p w14:paraId="1158C7EC" w14:textId="5226945E" w:rsidR="002D7B36" w:rsidRPr="00DE12A3" w:rsidRDefault="00AA16F7" w:rsidP="00AA16F7">
      <w:pPr>
        <w:pStyle w:val="Gvdemetni250"/>
        <w:shd w:val="clear" w:color="auto" w:fill="auto"/>
        <w:tabs>
          <w:tab w:val="left" w:pos="821"/>
        </w:tabs>
        <w:spacing w:before="120" w:after="120" w:line="240" w:lineRule="auto"/>
        <w:ind w:firstLine="0"/>
        <w:rPr>
          <w:sz w:val="24"/>
          <w:szCs w:val="24"/>
        </w:rPr>
      </w:pPr>
      <w:r w:rsidRPr="00DE12A3">
        <w:rPr>
          <w:sz w:val="24"/>
          <w:szCs w:val="24"/>
        </w:rPr>
        <w:t xml:space="preserve">3.1.2. </w:t>
      </w:r>
      <w:r w:rsidR="00242DA0" w:rsidRPr="00DE12A3">
        <w:rPr>
          <w:sz w:val="24"/>
          <w:szCs w:val="24"/>
        </w:rPr>
        <w:t xml:space="preserve">Farklı motor ailelerine mensup motorlar, emisyon kontrol sisteminin teknik özelliklerinin benzerliği esasında, kullanılan egzoz </w:t>
      </w:r>
      <w:r w:rsidR="007E2039" w:rsidRPr="00DE12A3">
        <w:rPr>
          <w:sz w:val="24"/>
          <w:szCs w:val="24"/>
        </w:rPr>
        <w:t xml:space="preserve">arıtma </w:t>
      </w:r>
      <w:r w:rsidR="00242DA0" w:rsidRPr="00DE12A3">
        <w:rPr>
          <w:sz w:val="24"/>
          <w:szCs w:val="24"/>
        </w:rPr>
        <w:t xml:space="preserve">sisteminin tipine veya </w:t>
      </w:r>
      <w:r w:rsidR="007E2039" w:rsidRPr="00DE12A3">
        <w:rPr>
          <w:sz w:val="24"/>
          <w:szCs w:val="24"/>
        </w:rPr>
        <w:t xml:space="preserve">arıtma </w:t>
      </w:r>
      <w:r w:rsidR="00242DA0" w:rsidRPr="00DE12A3">
        <w:rPr>
          <w:sz w:val="24"/>
          <w:szCs w:val="24"/>
        </w:rPr>
        <w:lastRenderedPageBreak/>
        <w:t xml:space="preserve">kullanılmayan durumlara bağlı olarak başka aileler içinde birleştirilebilir. İmalatçı, </w:t>
      </w:r>
      <w:r w:rsidR="007E2039" w:rsidRPr="00DE12A3">
        <w:rPr>
          <w:sz w:val="24"/>
          <w:szCs w:val="24"/>
        </w:rPr>
        <w:t xml:space="preserve">onay </w:t>
      </w:r>
      <w:r w:rsidR="00EF2C88" w:rsidRPr="00DE12A3">
        <w:rPr>
          <w:sz w:val="24"/>
          <w:szCs w:val="24"/>
        </w:rPr>
        <w:t>kuruluşuna bu</w:t>
      </w:r>
      <w:r w:rsidR="00242DA0" w:rsidRPr="00DE12A3">
        <w:rPr>
          <w:sz w:val="24"/>
          <w:szCs w:val="24"/>
        </w:rPr>
        <w:t xml:space="preserve"> tür bir tespit için makul bir teknik gerekçe olduğuna ilişkin verileri sağlarsa, farklı silindir çapı ve strok, farklı konfigürasyon, farklı hava yönetim sistemleri veya farklı yakıt sistemlerine sahip motorlar, emisyonların bozulma özellikleri bakımından eşdeğer kabul edilebilir. Egzoz </w:t>
      </w:r>
      <w:r w:rsidR="007E2039" w:rsidRPr="00DE12A3">
        <w:rPr>
          <w:sz w:val="24"/>
          <w:szCs w:val="24"/>
        </w:rPr>
        <w:t xml:space="preserve">arıtma </w:t>
      </w:r>
      <w:r w:rsidR="00242DA0" w:rsidRPr="00DE12A3">
        <w:rPr>
          <w:sz w:val="24"/>
          <w:szCs w:val="24"/>
        </w:rPr>
        <w:t xml:space="preserve">sistemleri açısından benzer teknik özelliklere ve montaja sahip motor ailelerini, aynı motor </w:t>
      </w:r>
      <w:r w:rsidR="007E2039" w:rsidRPr="00DE12A3">
        <w:rPr>
          <w:sz w:val="24"/>
          <w:szCs w:val="24"/>
        </w:rPr>
        <w:t xml:space="preserve">arıtma </w:t>
      </w:r>
      <w:r w:rsidR="00242DA0" w:rsidRPr="00DE12A3">
        <w:rPr>
          <w:sz w:val="24"/>
          <w:szCs w:val="24"/>
        </w:rPr>
        <w:t xml:space="preserve">sistemi ailesi içine yerleştirmek için imalatçı, </w:t>
      </w:r>
      <w:r w:rsidR="007E2039" w:rsidRPr="00DE12A3">
        <w:rPr>
          <w:sz w:val="24"/>
          <w:szCs w:val="24"/>
        </w:rPr>
        <w:t xml:space="preserve">onay </w:t>
      </w:r>
      <w:r w:rsidR="00EF2C88" w:rsidRPr="00DE12A3">
        <w:rPr>
          <w:sz w:val="24"/>
          <w:szCs w:val="24"/>
        </w:rPr>
        <w:t>kuruluşuna bu</w:t>
      </w:r>
      <w:r w:rsidR="00242DA0" w:rsidRPr="00DE12A3">
        <w:rPr>
          <w:sz w:val="24"/>
          <w:szCs w:val="24"/>
        </w:rPr>
        <w:t xml:space="preserve"> tür motorların emisyon azaltma performansının benzer olduğunu gösteren veriler sağlamalıdır.</w:t>
      </w:r>
    </w:p>
    <w:p w14:paraId="15FA6894" w14:textId="506EA9C3" w:rsidR="002D7B36" w:rsidRPr="00DE12A3" w:rsidRDefault="00AA16F7" w:rsidP="00AA16F7">
      <w:pPr>
        <w:pStyle w:val="Gvdemetni250"/>
        <w:shd w:val="clear" w:color="auto" w:fill="auto"/>
        <w:spacing w:before="120" w:after="120" w:line="240" w:lineRule="auto"/>
        <w:ind w:firstLine="0"/>
        <w:rPr>
          <w:sz w:val="24"/>
          <w:szCs w:val="24"/>
        </w:rPr>
      </w:pPr>
      <w:r w:rsidRPr="00DE12A3">
        <w:rPr>
          <w:sz w:val="24"/>
          <w:szCs w:val="24"/>
        </w:rPr>
        <w:t>3.1.3.</w:t>
      </w:r>
      <w:r w:rsidR="001D708B" w:rsidRPr="00DE12A3">
        <w:rPr>
          <w:sz w:val="24"/>
          <w:szCs w:val="24"/>
        </w:rPr>
        <w:t xml:space="preserve"> </w:t>
      </w:r>
      <w:r w:rsidR="00242DA0" w:rsidRPr="00DE12A3">
        <w:rPr>
          <w:sz w:val="24"/>
          <w:szCs w:val="24"/>
        </w:rPr>
        <w:t xml:space="preserve">Test edilen motor, tip onayı için sonuçta ortaya çıkan bozulma faktörlerini uygulayacak olan motor ailelerinin emisyon bozulma özelliklerini temsil etmelidir. Motor imalatçısı, 3.2.2 bendinde belirtilen servis birikme programında test yapmak için, 3.1.2 bendi uyarınca belirlenen motor ailesini, motor aileleri grubunu veya motor </w:t>
      </w:r>
      <w:r w:rsidR="007E2039" w:rsidRPr="00DE12A3">
        <w:rPr>
          <w:sz w:val="24"/>
          <w:szCs w:val="24"/>
        </w:rPr>
        <w:t xml:space="preserve">arıtma </w:t>
      </w:r>
      <w:r w:rsidR="00242DA0" w:rsidRPr="00DE12A3">
        <w:rPr>
          <w:sz w:val="24"/>
          <w:szCs w:val="24"/>
        </w:rPr>
        <w:t xml:space="preserve">sistemi ailesini temsil eden bir motor seçmeli ve bunu herhangi bir test başlamadan önce </w:t>
      </w:r>
      <w:r w:rsidR="007E2039" w:rsidRPr="00DE12A3">
        <w:rPr>
          <w:sz w:val="24"/>
          <w:szCs w:val="24"/>
        </w:rPr>
        <w:t xml:space="preserve">onay </w:t>
      </w:r>
      <w:r w:rsidR="00EF2C88" w:rsidRPr="00DE12A3">
        <w:rPr>
          <w:sz w:val="24"/>
          <w:szCs w:val="24"/>
        </w:rPr>
        <w:t>kuruluşuna bildirmelidir</w:t>
      </w:r>
      <w:r w:rsidR="00242DA0" w:rsidRPr="00DE12A3">
        <w:rPr>
          <w:sz w:val="24"/>
          <w:szCs w:val="24"/>
        </w:rPr>
        <w:t>.</w:t>
      </w:r>
    </w:p>
    <w:p w14:paraId="428A9FF3" w14:textId="0E416EE3" w:rsidR="002D7B36" w:rsidRPr="00DE12A3" w:rsidRDefault="00AA16F7" w:rsidP="00AA16F7">
      <w:pPr>
        <w:pStyle w:val="Gvdemetni250"/>
        <w:shd w:val="clear" w:color="auto" w:fill="auto"/>
        <w:spacing w:before="120" w:after="120" w:line="240" w:lineRule="auto"/>
        <w:ind w:firstLine="0"/>
        <w:rPr>
          <w:sz w:val="24"/>
          <w:szCs w:val="24"/>
        </w:rPr>
      </w:pPr>
      <w:r w:rsidRPr="00DE12A3">
        <w:rPr>
          <w:sz w:val="24"/>
          <w:szCs w:val="24"/>
        </w:rPr>
        <w:t>3.1.4.</w:t>
      </w:r>
      <w:r w:rsidR="00F94F18" w:rsidRPr="00DE12A3">
        <w:rPr>
          <w:sz w:val="24"/>
          <w:szCs w:val="24"/>
        </w:rPr>
        <w:t xml:space="preserve"> </w:t>
      </w:r>
      <w:r w:rsidR="00242DA0" w:rsidRPr="00DE12A3">
        <w:rPr>
          <w:sz w:val="24"/>
          <w:szCs w:val="24"/>
        </w:rPr>
        <w:t xml:space="preserve">Onay otoritesi; motor ailesi, motor aileleri grubu veya motor </w:t>
      </w:r>
      <w:r w:rsidR="007E2039" w:rsidRPr="00DE12A3">
        <w:rPr>
          <w:sz w:val="24"/>
          <w:szCs w:val="24"/>
        </w:rPr>
        <w:t xml:space="preserve">arıtma </w:t>
      </w:r>
      <w:r w:rsidR="00242DA0" w:rsidRPr="00DE12A3">
        <w:rPr>
          <w:sz w:val="24"/>
          <w:szCs w:val="24"/>
        </w:rPr>
        <w:t xml:space="preserve">sistemi ailesinin en kötü durum emisyonlarının başka bir test motoru ile daha iyi nitelenebileceğine karar verirse, kullanılacak olan test motoru, </w:t>
      </w:r>
      <w:r w:rsidR="007E2039" w:rsidRPr="00DE12A3">
        <w:rPr>
          <w:sz w:val="24"/>
          <w:szCs w:val="24"/>
        </w:rPr>
        <w:t xml:space="preserve">onay </w:t>
      </w:r>
      <w:r w:rsidR="00EF2C88" w:rsidRPr="00DE12A3">
        <w:rPr>
          <w:sz w:val="24"/>
          <w:szCs w:val="24"/>
        </w:rPr>
        <w:t>kuruluşu ve</w:t>
      </w:r>
      <w:r w:rsidR="00242DA0" w:rsidRPr="00DE12A3">
        <w:rPr>
          <w:sz w:val="24"/>
          <w:szCs w:val="24"/>
        </w:rPr>
        <w:t xml:space="preserve"> motor imalatçısı tarafından müştereken seçilir.</w:t>
      </w:r>
    </w:p>
    <w:p w14:paraId="5B27113B" w14:textId="569B9EEC" w:rsidR="002D7B36" w:rsidRPr="00DE12A3" w:rsidRDefault="00AA16F7" w:rsidP="00AA16F7">
      <w:pPr>
        <w:pStyle w:val="Gvdemetni250"/>
        <w:shd w:val="clear" w:color="auto" w:fill="auto"/>
        <w:spacing w:before="120" w:after="120" w:line="240" w:lineRule="auto"/>
        <w:ind w:firstLine="0"/>
        <w:rPr>
          <w:sz w:val="24"/>
          <w:szCs w:val="24"/>
        </w:rPr>
      </w:pPr>
      <w:r w:rsidRPr="00DE12A3">
        <w:rPr>
          <w:sz w:val="24"/>
          <w:szCs w:val="24"/>
        </w:rPr>
        <w:t>3.2.</w:t>
      </w:r>
      <w:r w:rsidR="00F94F18" w:rsidRPr="00DE12A3">
        <w:rPr>
          <w:sz w:val="24"/>
          <w:szCs w:val="24"/>
        </w:rPr>
        <w:t xml:space="preserve"> </w:t>
      </w:r>
      <w:r w:rsidR="00242DA0" w:rsidRPr="00DE12A3">
        <w:rPr>
          <w:sz w:val="24"/>
          <w:szCs w:val="24"/>
        </w:rPr>
        <w:t>Emisyon dayanıklılık dönemi bozulma faktörlerinin belirlenmesi</w:t>
      </w:r>
    </w:p>
    <w:p w14:paraId="04CCEA1D" w14:textId="3465F515" w:rsidR="002D7B36" w:rsidRPr="00DE12A3" w:rsidRDefault="00E73622" w:rsidP="00E73622">
      <w:pPr>
        <w:pStyle w:val="Gvdemetni250"/>
        <w:shd w:val="clear" w:color="auto" w:fill="auto"/>
        <w:tabs>
          <w:tab w:val="left" w:pos="821"/>
          <w:tab w:val="left" w:pos="850"/>
        </w:tabs>
        <w:spacing w:before="120" w:after="120" w:line="240" w:lineRule="auto"/>
        <w:ind w:firstLine="0"/>
        <w:rPr>
          <w:sz w:val="24"/>
          <w:szCs w:val="24"/>
        </w:rPr>
      </w:pPr>
      <w:r w:rsidRPr="00DE12A3">
        <w:rPr>
          <w:sz w:val="24"/>
          <w:szCs w:val="24"/>
        </w:rPr>
        <w:t xml:space="preserve">3.2.1. </w:t>
      </w:r>
      <w:r w:rsidR="00242DA0" w:rsidRPr="00DE12A3">
        <w:rPr>
          <w:sz w:val="24"/>
          <w:szCs w:val="24"/>
        </w:rPr>
        <w:t>Genel</w:t>
      </w:r>
    </w:p>
    <w:p w14:paraId="443E20AB" w14:textId="46153649" w:rsidR="002D7B36" w:rsidRPr="00DE12A3" w:rsidRDefault="00242DA0" w:rsidP="00E73622">
      <w:pPr>
        <w:pStyle w:val="Gvdemetni250"/>
        <w:shd w:val="clear" w:color="auto" w:fill="auto"/>
        <w:spacing w:before="120" w:after="120" w:line="240" w:lineRule="auto"/>
        <w:ind w:firstLine="0"/>
        <w:rPr>
          <w:sz w:val="24"/>
          <w:szCs w:val="24"/>
        </w:rPr>
      </w:pPr>
      <w:r w:rsidRPr="00DE12A3">
        <w:rPr>
          <w:sz w:val="24"/>
          <w:szCs w:val="24"/>
        </w:rPr>
        <w:t xml:space="preserve">Bir motor ailesi, motor aileleri grubu veya bir motor </w:t>
      </w:r>
      <w:r w:rsidR="007E2039" w:rsidRPr="00DE12A3">
        <w:rPr>
          <w:sz w:val="24"/>
          <w:szCs w:val="24"/>
        </w:rPr>
        <w:t xml:space="preserve">arıtma </w:t>
      </w:r>
      <w:r w:rsidRPr="00DE12A3">
        <w:rPr>
          <w:sz w:val="24"/>
          <w:szCs w:val="24"/>
        </w:rPr>
        <w:t xml:space="preserve">sistemi ailesi için geçerli olan bozulma faktörleri, seçilen </w:t>
      </w:r>
      <w:r w:rsidR="00EF2C88" w:rsidRPr="00DE12A3">
        <w:rPr>
          <w:sz w:val="24"/>
          <w:szCs w:val="24"/>
        </w:rPr>
        <w:t>motorlardan, 2016</w:t>
      </w:r>
      <w:r w:rsidR="00EE5D5E" w:rsidRPr="00DE12A3">
        <w:rPr>
          <w:sz w:val="24"/>
          <w:szCs w:val="24"/>
        </w:rPr>
        <w:t>/1628/AB Yönetmeliği</w:t>
      </w:r>
      <w:r w:rsidR="005049DC" w:rsidRPr="00DE12A3">
        <w:rPr>
          <w:sz w:val="24"/>
          <w:szCs w:val="24"/>
        </w:rPr>
        <w:t>nin</w:t>
      </w:r>
      <w:r w:rsidR="00EE5D5E" w:rsidRPr="00DE12A3">
        <w:rPr>
          <w:sz w:val="24"/>
          <w:szCs w:val="24"/>
        </w:rPr>
        <w:t xml:space="preserve"> </w:t>
      </w:r>
      <w:r w:rsidRPr="00DE12A3">
        <w:rPr>
          <w:sz w:val="24"/>
          <w:szCs w:val="24"/>
        </w:rPr>
        <w:t>IV</w:t>
      </w:r>
      <w:r w:rsidR="00EF2C88" w:rsidRPr="00DE12A3">
        <w:rPr>
          <w:sz w:val="24"/>
          <w:szCs w:val="24"/>
        </w:rPr>
        <w:t xml:space="preserve">’üncü </w:t>
      </w:r>
      <w:r w:rsidR="00EC3EF0" w:rsidRPr="00DE12A3">
        <w:rPr>
          <w:sz w:val="24"/>
          <w:szCs w:val="24"/>
        </w:rPr>
        <w:t>E</w:t>
      </w:r>
      <w:r w:rsidRPr="00DE12A3">
        <w:rPr>
          <w:sz w:val="24"/>
          <w:szCs w:val="24"/>
        </w:rPr>
        <w:t xml:space="preserve">kinde verilen motor kategorisi için geçerli her test </w:t>
      </w:r>
      <w:r w:rsidR="00951351" w:rsidRPr="00DE12A3">
        <w:rPr>
          <w:sz w:val="24"/>
          <w:szCs w:val="24"/>
        </w:rPr>
        <w:t>çevrimi</w:t>
      </w:r>
      <w:r w:rsidRPr="00DE12A3">
        <w:rPr>
          <w:sz w:val="24"/>
          <w:szCs w:val="24"/>
        </w:rPr>
        <w:t xml:space="preserve">nde uygulanan, gaz ve </w:t>
      </w:r>
      <w:r w:rsidR="007E2039" w:rsidRPr="00DE12A3">
        <w:rPr>
          <w:sz w:val="24"/>
          <w:szCs w:val="24"/>
        </w:rPr>
        <w:t xml:space="preserve">partikül </w:t>
      </w:r>
      <w:r w:rsidRPr="00DE12A3">
        <w:rPr>
          <w:sz w:val="24"/>
          <w:szCs w:val="24"/>
        </w:rPr>
        <w:t xml:space="preserve">emisyonlarına ilişkin periyodik testleri içeren bir servis birikme programı esasında geliştirilir. NRE ("NRTC") kategorisindeki motorlar için karayolu dışında </w:t>
      </w:r>
      <w:r w:rsidR="00EF2C88" w:rsidRPr="00DE12A3">
        <w:rPr>
          <w:sz w:val="24"/>
          <w:szCs w:val="24"/>
        </w:rPr>
        <w:t>süreksiz test</w:t>
      </w:r>
      <w:r w:rsidR="00951351" w:rsidRPr="00DE12A3">
        <w:rPr>
          <w:sz w:val="24"/>
          <w:szCs w:val="24"/>
        </w:rPr>
        <w:t xml:space="preserve"> çevrimi </w:t>
      </w:r>
      <w:r w:rsidRPr="00DE12A3">
        <w:rPr>
          <w:sz w:val="24"/>
          <w:szCs w:val="24"/>
        </w:rPr>
        <w:t>söz konusu olduğunda, yalnızca NRTC’nin ("ön ısıtmalı NRTC") ön ısıtmalı çalışmasının sonuçları kullanılır.</w:t>
      </w:r>
    </w:p>
    <w:p w14:paraId="1E781A90" w14:textId="4CA40D85" w:rsidR="002D7B36" w:rsidRPr="00DE12A3" w:rsidRDefault="00E73622" w:rsidP="00E73622">
      <w:pPr>
        <w:pStyle w:val="Gvdemetni250"/>
        <w:shd w:val="clear" w:color="auto" w:fill="auto"/>
        <w:tabs>
          <w:tab w:val="left" w:pos="861"/>
        </w:tabs>
        <w:spacing w:before="120" w:after="120" w:line="240" w:lineRule="auto"/>
        <w:ind w:firstLine="0"/>
        <w:rPr>
          <w:sz w:val="24"/>
          <w:szCs w:val="24"/>
        </w:rPr>
      </w:pPr>
      <w:r w:rsidRPr="00DE12A3">
        <w:rPr>
          <w:sz w:val="24"/>
          <w:szCs w:val="24"/>
        </w:rPr>
        <w:t xml:space="preserve">3.2.1.1. </w:t>
      </w:r>
      <w:r w:rsidR="00242DA0" w:rsidRPr="00DE12A3">
        <w:rPr>
          <w:sz w:val="24"/>
          <w:szCs w:val="24"/>
        </w:rPr>
        <w:t xml:space="preserve">İmalatçının talebi üzerine, </w:t>
      </w:r>
      <w:r w:rsidR="007E2039" w:rsidRPr="00DE12A3">
        <w:rPr>
          <w:sz w:val="24"/>
          <w:szCs w:val="24"/>
        </w:rPr>
        <w:t xml:space="preserve">onay </w:t>
      </w:r>
      <w:r w:rsidR="00EF2C88" w:rsidRPr="00DE12A3">
        <w:rPr>
          <w:sz w:val="24"/>
          <w:szCs w:val="24"/>
        </w:rPr>
        <w:t>kuruluşu,</w:t>
      </w:r>
      <w:r w:rsidR="00242DA0" w:rsidRPr="00DE12A3">
        <w:rPr>
          <w:sz w:val="24"/>
          <w:szCs w:val="24"/>
        </w:rPr>
        <w:t xml:space="preserve"> 3.2.2 ila 3.2.5 bentlerinde belirtilenlere alternatif prosedürler kullanılarak belirlenen bozulma faktörlerinin kullanılmasına izin verebilir. Bu durumda imalatçı, kullanılan alternatif prosedürlerin, 3.2.2 ila 3.2.5 bentlerinde belirtilen prosedürlere göre daha özensiz olmadıklarını, onay </w:t>
      </w:r>
      <w:r w:rsidR="00EF2C88" w:rsidRPr="00DE12A3">
        <w:rPr>
          <w:sz w:val="24"/>
          <w:szCs w:val="24"/>
        </w:rPr>
        <w:t>kuruluşunu tatmin</w:t>
      </w:r>
      <w:r w:rsidR="00242DA0" w:rsidRPr="00DE12A3">
        <w:rPr>
          <w:sz w:val="24"/>
          <w:szCs w:val="24"/>
        </w:rPr>
        <w:t xml:space="preserve"> edecek şekilde göstermelidir.</w:t>
      </w:r>
    </w:p>
    <w:p w14:paraId="009FC302" w14:textId="6397F7DD" w:rsidR="002D7B36" w:rsidRPr="00DE12A3" w:rsidRDefault="00E73622" w:rsidP="00E73622">
      <w:pPr>
        <w:pStyle w:val="Gvdemetni250"/>
        <w:shd w:val="clear" w:color="auto" w:fill="auto"/>
        <w:tabs>
          <w:tab w:val="left" w:pos="861"/>
          <w:tab w:val="left" w:pos="874"/>
        </w:tabs>
        <w:spacing w:before="120" w:after="120" w:line="240" w:lineRule="auto"/>
        <w:ind w:firstLine="0"/>
        <w:rPr>
          <w:sz w:val="24"/>
          <w:szCs w:val="24"/>
        </w:rPr>
      </w:pPr>
      <w:r w:rsidRPr="00DE12A3">
        <w:rPr>
          <w:sz w:val="24"/>
          <w:szCs w:val="24"/>
        </w:rPr>
        <w:t xml:space="preserve">3.2.2. </w:t>
      </w:r>
      <w:r w:rsidR="00242DA0" w:rsidRPr="00DE12A3">
        <w:rPr>
          <w:sz w:val="24"/>
          <w:szCs w:val="24"/>
        </w:rPr>
        <w:t>Servis birikme programı</w:t>
      </w:r>
    </w:p>
    <w:p w14:paraId="0C08DC27" w14:textId="6C93D80C" w:rsidR="002D7B36" w:rsidRPr="00DE12A3" w:rsidRDefault="00242DA0" w:rsidP="00E73622">
      <w:pPr>
        <w:pStyle w:val="Gvdemetni250"/>
        <w:shd w:val="clear" w:color="auto" w:fill="auto"/>
        <w:spacing w:before="120" w:after="120" w:line="240" w:lineRule="auto"/>
        <w:ind w:firstLine="0"/>
        <w:rPr>
          <w:sz w:val="24"/>
          <w:szCs w:val="24"/>
        </w:rPr>
      </w:pPr>
      <w:r w:rsidRPr="00DE12A3">
        <w:rPr>
          <w:sz w:val="24"/>
          <w:szCs w:val="24"/>
        </w:rPr>
        <w:t>Servis birikme programları, imalatçının tercihine bağlı olarak, seçilen motorla donatılmış bir karayolu dışında kullanılan hareketli makine, bir "servis içi" birikme programında çalıştırılarak veya seçilen motor bir "dinamometre servisi" birikme programında çalıştırılarak gerçekleştirilebilir. İmalatçının, emisyon ölçüm test noktaları arasındaki servis birikmesi için referans yakıt kullanması gerekmez.</w:t>
      </w:r>
    </w:p>
    <w:p w14:paraId="4AF26F07" w14:textId="4E70412E" w:rsidR="002D7B36" w:rsidRPr="00DE12A3" w:rsidRDefault="00E73622" w:rsidP="00E73622">
      <w:pPr>
        <w:pStyle w:val="Gvdemetni250"/>
        <w:shd w:val="clear" w:color="auto" w:fill="auto"/>
        <w:tabs>
          <w:tab w:val="left" w:pos="861"/>
        </w:tabs>
        <w:spacing w:before="120" w:after="120" w:line="240" w:lineRule="auto"/>
        <w:ind w:firstLine="0"/>
        <w:rPr>
          <w:sz w:val="24"/>
          <w:szCs w:val="24"/>
        </w:rPr>
      </w:pPr>
      <w:r w:rsidRPr="00DE12A3">
        <w:rPr>
          <w:sz w:val="24"/>
          <w:szCs w:val="24"/>
        </w:rPr>
        <w:t xml:space="preserve">3.2.2.1. </w:t>
      </w:r>
      <w:r w:rsidR="00242DA0" w:rsidRPr="00DE12A3">
        <w:rPr>
          <w:sz w:val="24"/>
          <w:szCs w:val="24"/>
        </w:rPr>
        <w:t>Servis içi ve dinamometre servisi birikmesi</w:t>
      </w:r>
    </w:p>
    <w:p w14:paraId="519A40FD" w14:textId="69B9094B" w:rsidR="002D7B36" w:rsidRPr="00DE12A3" w:rsidRDefault="00E73622" w:rsidP="00E73622">
      <w:pPr>
        <w:pStyle w:val="Gvdemetni250"/>
        <w:shd w:val="clear" w:color="auto" w:fill="auto"/>
        <w:tabs>
          <w:tab w:val="left" w:pos="567"/>
          <w:tab w:val="left" w:pos="861"/>
          <w:tab w:val="left" w:pos="1134"/>
          <w:tab w:val="right" w:pos="5391"/>
          <w:tab w:val="right" w:pos="5686"/>
        </w:tabs>
        <w:spacing w:before="120" w:after="120" w:line="240" w:lineRule="auto"/>
        <w:ind w:firstLine="0"/>
        <w:rPr>
          <w:sz w:val="24"/>
          <w:szCs w:val="24"/>
        </w:rPr>
      </w:pPr>
      <w:r w:rsidRPr="00DE12A3">
        <w:rPr>
          <w:sz w:val="24"/>
          <w:szCs w:val="24"/>
        </w:rPr>
        <w:t xml:space="preserve">3.2.2.1.1. </w:t>
      </w:r>
      <w:r w:rsidR="00242DA0" w:rsidRPr="00DE12A3">
        <w:rPr>
          <w:sz w:val="24"/>
          <w:szCs w:val="24"/>
        </w:rPr>
        <w:t xml:space="preserve">İmalatçı, servis birikmesinin şeklini ve süresini ve motorlar için yaşlanma </w:t>
      </w:r>
      <w:r w:rsidR="00951351" w:rsidRPr="00DE12A3">
        <w:rPr>
          <w:sz w:val="24"/>
          <w:szCs w:val="24"/>
        </w:rPr>
        <w:t>çevrimini</w:t>
      </w:r>
      <w:r w:rsidR="00242DA0" w:rsidRPr="00DE12A3">
        <w:rPr>
          <w:sz w:val="24"/>
          <w:szCs w:val="24"/>
        </w:rPr>
        <w:t xml:space="preserve"> iyi mühendislik kararı ile tutarlı bir şekilde belirler.</w:t>
      </w:r>
    </w:p>
    <w:p w14:paraId="25BBF930" w14:textId="26A60BF8" w:rsidR="002D7B36" w:rsidRPr="00DE12A3" w:rsidRDefault="00E73622" w:rsidP="00E73622">
      <w:pPr>
        <w:pStyle w:val="Gvdemetni250"/>
        <w:shd w:val="clear" w:color="auto" w:fill="auto"/>
        <w:tabs>
          <w:tab w:val="left" w:pos="861"/>
          <w:tab w:val="left" w:pos="1134"/>
        </w:tabs>
        <w:spacing w:before="120" w:after="120" w:line="240" w:lineRule="auto"/>
        <w:ind w:firstLine="0"/>
        <w:rPr>
          <w:sz w:val="24"/>
          <w:szCs w:val="24"/>
        </w:rPr>
      </w:pPr>
      <w:r w:rsidRPr="00DE12A3">
        <w:rPr>
          <w:sz w:val="24"/>
          <w:szCs w:val="24"/>
        </w:rPr>
        <w:t xml:space="preserve">3.2.2.1.2. </w:t>
      </w:r>
      <w:r w:rsidR="00242DA0" w:rsidRPr="00DE12A3">
        <w:rPr>
          <w:sz w:val="24"/>
          <w:szCs w:val="24"/>
        </w:rPr>
        <w:t xml:space="preserve">İmalatçı, geçerli </w:t>
      </w:r>
      <w:r w:rsidR="00F310B5" w:rsidRPr="00DE12A3">
        <w:rPr>
          <w:sz w:val="24"/>
          <w:szCs w:val="24"/>
        </w:rPr>
        <w:t>çevrim</w:t>
      </w:r>
      <w:r w:rsidR="00242DA0" w:rsidRPr="00DE12A3">
        <w:rPr>
          <w:sz w:val="24"/>
          <w:szCs w:val="24"/>
        </w:rPr>
        <w:t xml:space="preserve">ler boyunca gaz ve </w:t>
      </w:r>
      <w:r w:rsidR="007E2039" w:rsidRPr="00DE12A3">
        <w:rPr>
          <w:sz w:val="24"/>
          <w:szCs w:val="24"/>
        </w:rPr>
        <w:t xml:space="preserve">partikül </w:t>
      </w:r>
      <w:r w:rsidR="00242DA0" w:rsidRPr="00DE12A3">
        <w:rPr>
          <w:sz w:val="24"/>
          <w:szCs w:val="24"/>
        </w:rPr>
        <w:t>emisyonlarının ölçüleceği test noktalarını aşağıdaki şekilde belirler:</w:t>
      </w:r>
    </w:p>
    <w:p w14:paraId="375360A8" w14:textId="11A9FA22" w:rsidR="002D7B36" w:rsidRPr="00DE12A3" w:rsidRDefault="00E73622" w:rsidP="00E73622">
      <w:pPr>
        <w:pStyle w:val="Gvdemetni250"/>
        <w:shd w:val="clear" w:color="auto" w:fill="auto"/>
        <w:spacing w:before="120" w:after="120" w:line="240" w:lineRule="auto"/>
        <w:ind w:firstLine="0"/>
        <w:rPr>
          <w:sz w:val="24"/>
          <w:szCs w:val="24"/>
        </w:rPr>
      </w:pPr>
      <w:r w:rsidRPr="00DE12A3">
        <w:rPr>
          <w:sz w:val="24"/>
          <w:szCs w:val="24"/>
        </w:rPr>
        <w:t xml:space="preserve">3.2.2.1.2.1. </w:t>
      </w:r>
      <w:r w:rsidR="00242DA0" w:rsidRPr="00DE12A3">
        <w:rPr>
          <w:sz w:val="24"/>
          <w:szCs w:val="24"/>
        </w:rPr>
        <w:t>3.2.2.1.7 bendi uyarınca emisyon dayanıklılık döneminden daha kısa bir servis birikme programı yürütülürken, asgari test noktası sayısı, biri servis birikme programının başında, biri yaklaşık ortasında ve biri de sonunda olmak üzere üçtür.</w:t>
      </w:r>
    </w:p>
    <w:p w14:paraId="14AFEC0B" w14:textId="1BD8BDB7" w:rsidR="002D7B36" w:rsidRPr="00DE12A3" w:rsidRDefault="00E73622" w:rsidP="00FD3D8E">
      <w:pPr>
        <w:pStyle w:val="Gvdemetni250"/>
        <w:shd w:val="clear" w:color="auto" w:fill="auto"/>
        <w:spacing w:before="120" w:after="120" w:line="240" w:lineRule="auto"/>
        <w:ind w:firstLine="0"/>
        <w:rPr>
          <w:sz w:val="24"/>
          <w:szCs w:val="24"/>
        </w:rPr>
      </w:pPr>
      <w:r w:rsidRPr="00DE12A3">
        <w:rPr>
          <w:sz w:val="24"/>
          <w:szCs w:val="24"/>
        </w:rPr>
        <w:t xml:space="preserve">3.2.2.1.2.2. </w:t>
      </w:r>
      <w:r w:rsidR="00242DA0" w:rsidRPr="00DE12A3">
        <w:rPr>
          <w:sz w:val="24"/>
          <w:szCs w:val="24"/>
        </w:rPr>
        <w:t xml:space="preserve">Emisyon dayanıklılık döneminin sonuna kadar servis birikmesi tamamlanırken, </w:t>
      </w:r>
      <w:r w:rsidR="00242DA0" w:rsidRPr="00DE12A3">
        <w:rPr>
          <w:sz w:val="24"/>
          <w:szCs w:val="24"/>
        </w:rPr>
        <w:lastRenderedPageBreak/>
        <w:t>asgari test noktası sayısı, biri servis birikmesinin başında, diğeri ise sonunda olmak üzere ikidir.</w:t>
      </w:r>
    </w:p>
    <w:p w14:paraId="3BFF21C3" w14:textId="5D428722" w:rsidR="002D7B36" w:rsidRPr="00DE12A3" w:rsidRDefault="00E73622" w:rsidP="00FD3D8E">
      <w:pPr>
        <w:pStyle w:val="Gvdemetni250"/>
        <w:shd w:val="clear" w:color="auto" w:fill="auto"/>
        <w:spacing w:before="120" w:after="120" w:line="240" w:lineRule="auto"/>
        <w:ind w:firstLine="0"/>
        <w:rPr>
          <w:sz w:val="24"/>
          <w:szCs w:val="24"/>
        </w:rPr>
      </w:pPr>
      <w:r w:rsidRPr="00DE12A3">
        <w:rPr>
          <w:sz w:val="24"/>
          <w:szCs w:val="24"/>
        </w:rPr>
        <w:t xml:space="preserve">3.2.2.1.2.3. </w:t>
      </w:r>
      <w:r w:rsidR="00242DA0" w:rsidRPr="00DE12A3">
        <w:rPr>
          <w:sz w:val="24"/>
          <w:szCs w:val="24"/>
        </w:rPr>
        <w:t>İmalatçı buna ek olarak eşit aralıklı ara noktalarda da test yapabilir.</w:t>
      </w:r>
    </w:p>
    <w:p w14:paraId="45BEFF6B" w14:textId="59095583" w:rsidR="002D7B36" w:rsidRPr="00DE12A3" w:rsidRDefault="00E73622" w:rsidP="00FD3D8E">
      <w:pPr>
        <w:jc w:val="both"/>
        <w:rPr>
          <w:color w:val="auto"/>
        </w:rPr>
      </w:pPr>
      <w:r w:rsidRPr="00DE12A3">
        <w:rPr>
          <w:rFonts w:eastAsia="Times New Roman" w:cs="Times New Roman"/>
          <w:color w:val="auto"/>
          <w:spacing w:val="3"/>
          <w:lang w:eastAsia="en-US"/>
        </w:rPr>
        <w:t xml:space="preserve">3.2.2.1.3. </w:t>
      </w:r>
      <w:r w:rsidR="00242DA0" w:rsidRPr="00DE12A3">
        <w:rPr>
          <w:color w:val="auto"/>
        </w:rPr>
        <w:t>3.2.5.1 bendi uyarınca hesaplanan ya da doğrudan 3.2.2.1.2.2 bendi uyarınca ölçülen, başlangıç noktasındaki ve emisyon dayanıklılık döneminin son noktasındaki emisyon değerleri, ilgili motor ailesine uygulanan sınır değerler içerisinde olmalıdır. Ancak, ara test noktalarından kaynaklanan münferit emisyon sonuçları bu limit değerleri aşabilir.</w:t>
      </w:r>
    </w:p>
    <w:p w14:paraId="4B5993F2" w14:textId="36D05627" w:rsidR="002D7B36" w:rsidRPr="00DE12A3" w:rsidRDefault="00E73622" w:rsidP="00FD3D8E">
      <w:pPr>
        <w:jc w:val="both"/>
        <w:rPr>
          <w:color w:val="auto"/>
        </w:rPr>
      </w:pPr>
      <w:r w:rsidRPr="00DE12A3">
        <w:rPr>
          <w:rFonts w:eastAsia="Times New Roman" w:cs="Times New Roman"/>
          <w:color w:val="auto"/>
          <w:spacing w:val="3"/>
          <w:lang w:eastAsia="en-US"/>
        </w:rPr>
        <w:t xml:space="preserve">3.2.2.1.4. </w:t>
      </w:r>
      <w:r w:rsidR="00242DA0" w:rsidRPr="00DE12A3">
        <w:rPr>
          <w:color w:val="auto"/>
        </w:rPr>
        <w:t xml:space="preserve">NRTC uygulanan motor kategorileri veya alt kategorileri için veya büyük ateşlemeli motor karayolu dışında </w:t>
      </w:r>
      <w:r w:rsidR="00951351" w:rsidRPr="00DE12A3">
        <w:rPr>
          <w:color w:val="auto"/>
        </w:rPr>
        <w:t xml:space="preserve">süreksiz test çevrimi </w:t>
      </w:r>
      <w:r w:rsidR="00242DA0" w:rsidRPr="00DE12A3">
        <w:rPr>
          <w:color w:val="auto"/>
        </w:rPr>
        <w:t xml:space="preserve">(“LSI-NRTC”) uygulanan NRS motor kategorileri veya alt kategorileri için, imalatçı, her test noktasında sadece bir test </w:t>
      </w:r>
      <w:r w:rsidR="00EF2C88" w:rsidRPr="00DE12A3">
        <w:rPr>
          <w:color w:val="auto"/>
        </w:rPr>
        <w:t>çevrimi (</w:t>
      </w:r>
      <w:r w:rsidR="00242DA0" w:rsidRPr="00DE12A3">
        <w:rPr>
          <w:color w:val="auto"/>
        </w:rPr>
        <w:t xml:space="preserve">ön ısıtmalı NRTC veya LSI-NRTC veya NRSC) çalıştırmak ve diğer test </w:t>
      </w:r>
      <w:r w:rsidR="00951351" w:rsidRPr="00DE12A3">
        <w:rPr>
          <w:color w:val="auto"/>
        </w:rPr>
        <w:t>çevrimini</w:t>
      </w:r>
      <w:r w:rsidR="00242DA0" w:rsidRPr="00DE12A3">
        <w:rPr>
          <w:color w:val="auto"/>
        </w:rPr>
        <w:t xml:space="preserve"> sadece servis birikme programı başında ve sonunda çalıştırmak için </w:t>
      </w:r>
      <w:r w:rsidR="007E2039" w:rsidRPr="00DE12A3">
        <w:rPr>
          <w:color w:val="auto"/>
        </w:rPr>
        <w:t xml:space="preserve">onay </w:t>
      </w:r>
      <w:r w:rsidR="00EF2C88" w:rsidRPr="00DE12A3">
        <w:rPr>
          <w:color w:val="auto"/>
        </w:rPr>
        <w:t>kuruluşunun rızasını</w:t>
      </w:r>
      <w:r w:rsidR="00242DA0" w:rsidRPr="00DE12A3">
        <w:rPr>
          <w:color w:val="auto"/>
        </w:rPr>
        <w:t xml:space="preserve"> isteyebilir.</w:t>
      </w:r>
    </w:p>
    <w:p w14:paraId="468D9038" w14:textId="384FE5AE" w:rsidR="002D7B36" w:rsidRPr="00DE12A3" w:rsidRDefault="00FD3D8E" w:rsidP="00FD3D8E">
      <w:pPr>
        <w:pStyle w:val="Gvdemetni250"/>
        <w:shd w:val="clear" w:color="auto" w:fill="auto"/>
        <w:spacing w:before="120" w:after="120" w:line="240" w:lineRule="auto"/>
        <w:ind w:firstLine="0"/>
        <w:rPr>
          <w:sz w:val="24"/>
          <w:szCs w:val="24"/>
        </w:rPr>
      </w:pPr>
      <w:r w:rsidRPr="00DE12A3">
        <w:rPr>
          <w:sz w:val="24"/>
          <w:szCs w:val="24"/>
        </w:rPr>
        <w:t xml:space="preserve">3.2.2.1.5. </w:t>
      </w:r>
      <w:r w:rsidR="00242DA0" w:rsidRPr="00DE12A3">
        <w:rPr>
          <w:sz w:val="24"/>
          <w:szCs w:val="24"/>
        </w:rPr>
        <w:t xml:space="preserve">Motor kategorileri veya alt kategoriler </w:t>
      </w:r>
      <w:r w:rsidR="00951351" w:rsidRPr="00DE12A3">
        <w:rPr>
          <w:sz w:val="24"/>
          <w:szCs w:val="24"/>
        </w:rPr>
        <w:t>için, 2016</w:t>
      </w:r>
      <w:r w:rsidR="00EE5D5E" w:rsidRPr="00DE12A3">
        <w:rPr>
          <w:sz w:val="24"/>
          <w:szCs w:val="24"/>
        </w:rPr>
        <w:t>/1628/AB Yönetmeliğin</w:t>
      </w:r>
      <w:r w:rsidR="005049DC" w:rsidRPr="00DE12A3">
        <w:rPr>
          <w:sz w:val="24"/>
          <w:szCs w:val="24"/>
        </w:rPr>
        <w:t>in</w:t>
      </w:r>
      <w:r w:rsidR="00EE5D5E" w:rsidRPr="00DE12A3">
        <w:rPr>
          <w:sz w:val="24"/>
          <w:szCs w:val="24"/>
        </w:rPr>
        <w:t xml:space="preserve"> </w:t>
      </w:r>
      <w:r w:rsidR="00FA0678" w:rsidRPr="00DE12A3">
        <w:rPr>
          <w:sz w:val="24"/>
          <w:szCs w:val="24"/>
        </w:rPr>
        <w:t>IV’</w:t>
      </w:r>
      <w:r w:rsidR="005049DC" w:rsidRPr="00DE12A3">
        <w:rPr>
          <w:sz w:val="24"/>
          <w:szCs w:val="24"/>
        </w:rPr>
        <w:t>ü</w:t>
      </w:r>
      <w:r w:rsidR="00FA0678" w:rsidRPr="00DE12A3">
        <w:rPr>
          <w:sz w:val="24"/>
          <w:szCs w:val="24"/>
        </w:rPr>
        <w:t xml:space="preserve">ncü </w:t>
      </w:r>
      <w:r w:rsidR="00EC3EF0" w:rsidRPr="00DE12A3">
        <w:rPr>
          <w:sz w:val="24"/>
          <w:szCs w:val="24"/>
        </w:rPr>
        <w:t>Ekinde</w:t>
      </w:r>
      <w:r w:rsidR="00242DA0" w:rsidRPr="00DE12A3">
        <w:rPr>
          <w:sz w:val="24"/>
          <w:szCs w:val="24"/>
        </w:rPr>
        <w:t xml:space="preserve"> verilmiş geçerli bir karayolu dışında</w:t>
      </w:r>
      <w:r w:rsidR="00951351" w:rsidRPr="00DE12A3">
        <w:rPr>
          <w:sz w:val="24"/>
          <w:szCs w:val="24"/>
        </w:rPr>
        <w:t xml:space="preserve"> süreksiz </w:t>
      </w:r>
      <w:r w:rsidR="00EF2C88" w:rsidRPr="00DE12A3">
        <w:rPr>
          <w:sz w:val="24"/>
          <w:szCs w:val="24"/>
        </w:rPr>
        <w:t>çevrimi olmaması</w:t>
      </w:r>
      <w:r w:rsidR="00242DA0" w:rsidRPr="00DE12A3">
        <w:rPr>
          <w:sz w:val="24"/>
          <w:szCs w:val="24"/>
        </w:rPr>
        <w:t xml:space="preserve"> halinde, her test noktasında sadece NRSC çalıştırılır.</w:t>
      </w:r>
    </w:p>
    <w:p w14:paraId="3FE27E00" w14:textId="1EB22F78" w:rsidR="002D7B36" w:rsidRPr="00DE12A3" w:rsidRDefault="00FD3D8E" w:rsidP="00FD3D8E">
      <w:pPr>
        <w:pStyle w:val="Gvdemetni250"/>
        <w:spacing w:before="120" w:after="120"/>
        <w:ind w:firstLine="0"/>
        <w:rPr>
          <w:sz w:val="24"/>
          <w:szCs w:val="24"/>
        </w:rPr>
      </w:pPr>
      <w:r w:rsidRPr="00DE12A3">
        <w:rPr>
          <w:sz w:val="24"/>
          <w:szCs w:val="24"/>
        </w:rPr>
        <w:t xml:space="preserve">3.2.2.1.6. </w:t>
      </w:r>
      <w:r w:rsidR="00242DA0" w:rsidRPr="00DE12A3">
        <w:rPr>
          <w:sz w:val="24"/>
          <w:szCs w:val="24"/>
        </w:rPr>
        <w:t xml:space="preserve">Servis birikme programları, farklı motor </w:t>
      </w:r>
      <w:r w:rsidR="007E2039" w:rsidRPr="00DE12A3">
        <w:rPr>
          <w:sz w:val="24"/>
          <w:szCs w:val="24"/>
        </w:rPr>
        <w:t xml:space="preserve">arıtma </w:t>
      </w:r>
      <w:r w:rsidR="00242DA0" w:rsidRPr="00DE12A3">
        <w:rPr>
          <w:sz w:val="24"/>
          <w:szCs w:val="24"/>
        </w:rPr>
        <w:t>sistemi aileleri için farklı olabilir.</w:t>
      </w:r>
    </w:p>
    <w:p w14:paraId="6F088EAE" w14:textId="09277B76" w:rsidR="002D7B36" w:rsidRPr="00DE12A3" w:rsidRDefault="00FD3D8E" w:rsidP="00FD3D8E">
      <w:pPr>
        <w:pStyle w:val="Gvdemetni250"/>
        <w:spacing w:before="120" w:after="120"/>
        <w:ind w:firstLine="0"/>
        <w:rPr>
          <w:sz w:val="24"/>
          <w:szCs w:val="24"/>
        </w:rPr>
      </w:pPr>
      <w:r w:rsidRPr="00DE12A3">
        <w:rPr>
          <w:sz w:val="24"/>
          <w:szCs w:val="24"/>
        </w:rPr>
        <w:t xml:space="preserve">3.2.2.1.7. </w:t>
      </w:r>
      <w:r w:rsidR="00242DA0" w:rsidRPr="00DE12A3">
        <w:rPr>
          <w:sz w:val="24"/>
          <w:szCs w:val="24"/>
        </w:rPr>
        <w:t xml:space="preserve">Servis birikme programları, emisyon dayanıklılık döneminden daha kısa olabilir, </w:t>
      </w:r>
      <w:r w:rsidR="00951351" w:rsidRPr="00DE12A3">
        <w:rPr>
          <w:sz w:val="24"/>
          <w:szCs w:val="24"/>
        </w:rPr>
        <w:t>ancak 2016</w:t>
      </w:r>
      <w:r w:rsidR="00EE5D5E" w:rsidRPr="00DE12A3">
        <w:rPr>
          <w:sz w:val="24"/>
          <w:szCs w:val="24"/>
        </w:rPr>
        <w:t>/1628/AB Yönetmeliğin</w:t>
      </w:r>
      <w:r w:rsidR="00BE5E13" w:rsidRPr="00DE12A3">
        <w:rPr>
          <w:sz w:val="24"/>
          <w:szCs w:val="24"/>
        </w:rPr>
        <w:t>in</w:t>
      </w:r>
      <w:r w:rsidR="00EE5D5E" w:rsidRPr="00DE12A3">
        <w:rPr>
          <w:sz w:val="24"/>
          <w:szCs w:val="24"/>
        </w:rPr>
        <w:t xml:space="preserve"> </w:t>
      </w:r>
      <w:r w:rsidR="00242DA0" w:rsidRPr="00DE12A3">
        <w:rPr>
          <w:sz w:val="24"/>
          <w:szCs w:val="24"/>
        </w:rPr>
        <w:t>V</w:t>
      </w:r>
      <w:r w:rsidR="00951351" w:rsidRPr="00DE12A3">
        <w:rPr>
          <w:sz w:val="24"/>
          <w:szCs w:val="24"/>
        </w:rPr>
        <w:t xml:space="preserve">’inci </w:t>
      </w:r>
      <w:r w:rsidR="00EC3EF0" w:rsidRPr="00DE12A3">
        <w:rPr>
          <w:sz w:val="24"/>
          <w:szCs w:val="24"/>
        </w:rPr>
        <w:t>Ekinde</w:t>
      </w:r>
      <w:r w:rsidR="00242DA0" w:rsidRPr="00DE12A3">
        <w:rPr>
          <w:sz w:val="24"/>
          <w:szCs w:val="24"/>
        </w:rPr>
        <w:t xml:space="preserve"> belirtilen ilgili emisyon dayanıklılık döneminin en az dörtte birine eşdeğer süreden daha kısa olmamalıdır.</w:t>
      </w:r>
    </w:p>
    <w:p w14:paraId="36568A65" w14:textId="494FD6E2" w:rsidR="002D7B36" w:rsidRPr="00DE12A3" w:rsidRDefault="00FD3D8E" w:rsidP="005969A9">
      <w:pPr>
        <w:jc w:val="both"/>
        <w:rPr>
          <w:color w:val="auto"/>
        </w:rPr>
      </w:pPr>
      <w:r w:rsidRPr="00DE12A3">
        <w:rPr>
          <w:rFonts w:eastAsia="Times New Roman" w:cs="Times New Roman"/>
          <w:color w:val="auto"/>
          <w:spacing w:val="3"/>
          <w:lang w:eastAsia="en-US"/>
        </w:rPr>
        <w:t>3.2.2.1.8.</w:t>
      </w:r>
      <w:r w:rsidR="00F94F18" w:rsidRPr="00DE12A3">
        <w:rPr>
          <w:color w:val="auto"/>
        </w:rPr>
        <w:t xml:space="preserve"> </w:t>
      </w:r>
      <w:r w:rsidR="00242DA0" w:rsidRPr="00DE12A3">
        <w:rPr>
          <w:color w:val="auto"/>
        </w:rPr>
        <w:t xml:space="preserve">Servis birikme programını yakıt tüketimine göre ayarlayarak hızlandırılmış yaşlandırmaya izin verilir. Düzenleme, tipik kullanımdaki yakıt tüketimi ile yaşlanma </w:t>
      </w:r>
      <w:r w:rsidR="00951351" w:rsidRPr="00DE12A3">
        <w:rPr>
          <w:color w:val="auto"/>
        </w:rPr>
        <w:t>çevrimi</w:t>
      </w:r>
      <w:r w:rsidR="00242DA0" w:rsidRPr="00DE12A3">
        <w:rPr>
          <w:color w:val="auto"/>
        </w:rPr>
        <w:t>ndeki yakıt tüketimi arasındaki orana dayalı olmalıdır</w:t>
      </w:r>
      <w:r w:rsidR="005049DC" w:rsidRPr="00DE12A3">
        <w:rPr>
          <w:color w:val="auto"/>
        </w:rPr>
        <w:t>.</w:t>
      </w:r>
      <w:r w:rsidR="00242DA0" w:rsidRPr="00DE12A3">
        <w:rPr>
          <w:color w:val="auto"/>
        </w:rPr>
        <w:t xml:space="preserve"> </w:t>
      </w:r>
      <w:r w:rsidR="005049DC" w:rsidRPr="00DE12A3">
        <w:rPr>
          <w:color w:val="auto"/>
        </w:rPr>
        <w:t>A</w:t>
      </w:r>
      <w:r w:rsidR="00242DA0" w:rsidRPr="00DE12A3">
        <w:rPr>
          <w:color w:val="auto"/>
        </w:rPr>
        <w:t xml:space="preserve">ncak yaşlanma </w:t>
      </w:r>
      <w:r w:rsidR="00951351" w:rsidRPr="00DE12A3">
        <w:rPr>
          <w:color w:val="auto"/>
        </w:rPr>
        <w:t>çevrimi</w:t>
      </w:r>
      <w:r w:rsidR="00242DA0" w:rsidRPr="00DE12A3">
        <w:rPr>
          <w:color w:val="auto"/>
        </w:rPr>
        <w:t>ndeki yakıt tüketimi, tipik kullanımdaki yakıt tüketimini en çok %30 oranında geçmelidir.</w:t>
      </w:r>
    </w:p>
    <w:p w14:paraId="31080ECC" w14:textId="74826435" w:rsidR="002D7B36" w:rsidRPr="00DE12A3" w:rsidRDefault="00FD3D8E" w:rsidP="00FD3D8E">
      <w:pPr>
        <w:pStyle w:val="Gvdemetni250"/>
        <w:shd w:val="clear" w:color="auto" w:fill="auto"/>
        <w:spacing w:before="120" w:after="120" w:line="240" w:lineRule="auto"/>
        <w:ind w:firstLine="0"/>
        <w:rPr>
          <w:sz w:val="24"/>
          <w:szCs w:val="24"/>
        </w:rPr>
      </w:pPr>
      <w:r w:rsidRPr="00DE12A3">
        <w:rPr>
          <w:sz w:val="24"/>
          <w:szCs w:val="24"/>
        </w:rPr>
        <w:t>3.2.2.1.9.</w:t>
      </w:r>
      <w:r w:rsidR="00F94F18" w:rsidRPr="00DE12A3">
        <w:rPr>
          <w:sz w:val="24"/>
          <w:szCs w:val="24"/>
        </w:rPr>
        <w:t xml:space="preserve"> </w:t>
      </w:r>
      <w:r w:rsidR="00242DA0" w:rsidRPr="00DE12A3">
        <w:rPr>
          <w:sz w:val="24"/>
          <w:szCs w:val="24"/>
        </w:rPr>
        <w:t xml:space="preserve">İmalatçı, </w:t>
      </w:r>
      <w:r w:rsidR="007E2039" w:rsidRPr="00DE12A3">
        <w:rPr>
          <w:sz w:val="24"/>
          <w:szCs w:val="24"/>
        </w:rPr>
        <w:t xml:space="preserve">onay </w:t>
      </w:r>
      <w:r w:rsidR="00EF2C88" w:rsidRPr="00DE12A3">
        <w:rPr>
          <w:sz w:val="24"/>
          <w:szCs w:val="24"/>
        </w:rPr>
        <w:t>kuruluşu tarafından</w:t>
      </w:r>
      <w:r w:rsidR="00242DA0" w:rsidRPr="00DE12A3">
        <w:rPr>
          <w:sz w:val="24"/>
          <w:szCs w:val="24"/>
        </w:rPr>
        <w:t xml:space="preserve"> onaylandığı takdirde, alternatif hızlandırılmış yaşlandırma yöntemleri kullanabilir.</w:t>
      </w:r>
    </w:p>
    <w:p w14:paraId="1D2C743D" w14:textId="33D367EA" w:rsidR="002D7B36" w:rsidRPr="00DE12A3" w:rsidRDefault="00FD3D8E" w:rsidP="00FD3D8E">
      <w:pPr>
        <w:pStyle w:val="Gvdemetni250"/>
        <w:shd w:val="clear" w:color="auto" w:fill="auto"/>
        <w:spacing w:before="120" w:after="120" w:line="240" w:lineRule="auto"/>
        <w:ind w:firstLine="0"/>
        <w:rPr>
          <w:sz w:val="24"/>
          <w:szCs w:val="24"/>
        </w:rPr>
      </w:pPr>
      <w:r w:rsidRPr="00DE12A3">
        <w:rPr>
          <w:sz w:val="24"/>
          <w:szCs w:val="24"/>
        </w:rPr>
        <w:t xml:space="preserve">3.2.2.1.10. </w:t>
      </w:r>
      <w:r w:rsidR="00242DA0" w:rsidRPr="00DE12A3">
        <w:rPr>
          <w:sz w:val="24"/>
          <w:szCs w:val="24"/>
        </w:rPr>
        <w:t xml:space="preserve">Servis birikme programı, AB tip onayı başvurusu içinde tam olarak tanımlanmalı ve herhangi bir test başlamadan önce </w:t>
      </w:r>
      <w:r w:rsidR="007E2039" w:rsidRPr="00DE12A3">
        <w:rPr>
          <w:sz w:val="24"/>
          <w:szCs w:val="24"/>
        </w:rPr>
        <w:t xml:space="preserve">onay </w:t>
      </w:r>
      <w:r w:rsidR="00EF2C88" w:rsidRPr="00DE12A3">
        <w:rPr>
          <w:sz w:val="24"/>
          <w:szCs w:val="24"/>
        </w:rPr>
        <w:t>kuruluşuna bildirilmelidir</w:t>
      </w:r>
      <w:r w:rsidR="00242DA0" w:rsidRPr="00DE12A3">
        <w:rPr>
          <w:sz w:val="24"/>
          <w:szCs w:val="24"/>
        </w:rPr>
        <w:t>.</w:t>
      </w:r>
    </w:p>
    <w:p w14:paraId="4D74109E" w14:textId="11003945" w:rsidR="002D7B36" w:rsidRPr="00DE12A3" w:rsidRDefault="00FD3D8E" w:rsidP="001534A3">
      <w:pPr>
        <w:pStyle w:val="Gvdemetni250"/>
        <w:spacing w:before="120" w:after="120"/>
        <w:ind w:firstLine="0"/>
        <w:rPr>
          <w:sz w:val="24"/>
          <w:szCs w:val="24"/>
        </w:rPr>
      </w:pPr>
      <w:r w:rsidRPr="00DE12A3">
        <w:rPr>
          <w:sz w:val="24"/>
          <w:szCs w:val="24"/>
        </w:rPr>
        <w:t>3.2.2.2.</w:t>
      </w:r>
      <w:r w:rsidR="00F94F18" w:rsidRPr="00DE12A3">
        <w:rPr>
          <w:sz w:val="24"/>
          <w:szCs w:val="24"/>
        </w:rPr>
        <w:t xml:space="preserve"> </w:t>
      </w:r>
      <w:r w:rsidR="007E2039" w:rsidRPr="00DE12A3">
        <w:rPr>
          <w:sz w:val="24"/>
          <w:szCs w:val="24"/>
        </w:rPr>
        <w:t xml:space="preserve">Onay </w:t>
      </w:r>
      <w:r w:rsidR="00EF2C88" w:rsidRPr="00DE12A3">
        <w:rPr>
          <w:sz w:val="24"/>
          <w:szCs w:val="24"/>
        </w:rPr>
        <w:t>kuruluşu,</w:t>
      </w:r>
      <w:r w:rsidR="00242DA0" w:rsidRPr="00DE12A3">
        <w:rPr>
          <w:sz w:val="24"/>
          <w:szCs w:val="24"/>
        </w:rPr>
        <w:t xml:space="preserve"> imalatçı tarafından seçilen noktalar arasında ek ölçümlerin yapılması gerektiğine karar verirse, bunu imalatçıya bildirir. Gözden geçirilmiş servis birikme programı, imalatçı tarafından hazırlanır ve </w:t>
      </w:r>
      <w:r w:rsidR="007E2039" w:rsidRPr="00DE12A3">
        <w:rPr>
          <w:sz w:val="24"/>
          <w:szCs w:val="24"/>
        </w:rPr>
        <w:t xml:space="preserve">onay </w:t>
      </w:r>
      <w:r w:rsidR="00CA7FE3" w:rsidRPr="00DE12A3">
        <w:rPr>
          <w:sz w:val="24"/>
          <w:szCs w:val="24"/>
        </w:rPr>
        <w:t>kuruluşu tarafından</w:t>
      </w:r>
      <w:r w:rsidR="00242DA0" w:rsidRPr="00DE12A3">
        <w:rPr>
          <w:sz w:val="24"/>
          <w:szCs w:val="24"/>
        </w:rPr>
        <w:t xml:space="preserve"> kararlaştırılır.</w:t>
      </w:r>
    </w:p>
    <w:p w14:paraId="78AE49AC" w14:textId="145EDBFA" w:rsidR="002D7B36" w:rsidRPr="00DE12A3" w:rsidRDefault="001534A3" w:rsidP="001534A3">
      <w:pPr>
        <w:pStyle w:val="Gvdemetni250"/>
        <w:shd w:val="clear" w:color="auto" w:fill="auto"/>
        <w:spacing w:before="120" w:after="120" w:line="240" w:lineRule="auto"/>
        <w:ind w:firstLine="0"/>
        <w:rPr>
          <w:sz w:val="24"/>
          <w:szCs w:val="24"/>
        </w:rPr>
      </w:pPr>
      <w:r w:rsidRPr="00DE12A3">
        <w:rPr>
          <w:sz w:val="24"/>
          <w:szCs w:val="24"/>
        </w:rPr>
        <w:t>3.2.3.</w:t>
      </w:r>
      <w:r w:rsidR="00F94F18" w:rsidRPr="00DE12A3">
        <w:rPr>
          <w:b/>
          <w:sz w:val="24"/>
          <w:szCs w:val="24"/>
        </w:rPr>
        <w:t xml:space="preserve"> </w:t>
      </w:r>
      <w:r w:rsidR="00242DA0" w:rsidRPr="00DE12A3">
        <w:rPr>
          <w:sz w:val="24"/>
          <w:szCs w:val="24"/>
        </w:rPr>
        <w:t>Motor testleri</w:t>
      </w:r>
    </w:p>
    <w:p w14:paraId="514D483D" w14:textId="321D9380" w:rsidR="002D7B36" w:rsidRPr="00DE12A3" w:rsidRDefault="001534A3" w:rsidP="001534A3">
      <w:pPr>
        <w:pStyle w:val="Gvdemetni250"/>
        <w:shd w:val="clear" w:color="auto" w:fill="auto"/>
        <w:spacing w:before="120" w:after="120" w:line="240" w:lineRule="auto"/>
        <w:ind w:firstLine="0"/>
        <w:rPr>
          <w:sz w:val="24"/>
          <w:szCs w:val="24"/>
        </w:rPr>
      </w:pPr>
      <w:r w:rsidRPr="00DE12A3">
        <w:rPr>
          <w:sz w:val="24"/>
          <w:szCs w:val="24"/>
        </w:rPr>
        <w:t>3.2.3.1.</w:t>
      </w:r>
      <w:r w:rsidR="00F94F18" w:rsidRPr="00DE12A3">
        <w:rPr>
          <w:sz w:val="24"/>
          <w:szCs w:val="24"/>
        </w:rPr>
        <w:t xml:space="preserve"> </w:t>
      </w:r>
      <w:r w:rsidR="00242DA0" w:rsidRPr="00DE12A3">
        <w:rPr>
          <w:sz w:val="24"/>
          <w:szCs w:val="24"/>
        </w:rPr>
        <w:t>Motor stabilizasyonu</w:t>
      </w:r>
    </w:p>
    <w:p w14:paraId="1CD936A3" w14:textId="31C6BA85" w:rsidR="002D7B36" w:rsidRPr="00DE12A3" w:rsidRDefault="001534A3" w:rsidP="001534A3">
      <w:pPr>
        <w:jc w:val="both"/>
        <w:rPr>
          <w:color w:val="auto"/>
        </w:rPr>
      </w:pPr>
      <w:r w:rsidRPr="00DE12A3">
        <w:rPr>
          <w:rFonts w:eastAsia="Times New Roman" w:cs="Times New Roman"/>
          <w:color w:val="auto"/>
          <w:spacing w:val="3"/>
          <w:lang w:eastAsia="en-US"/>
        </w:rPr>
        <w:t xml:space="preserve">3.2.3.1.1. </w:t>
      </w:r>
      <w:r w:rsidR="00242DA0" w:rsidRPr="00DE12A3">
        <w:rPr>
          <w:color w:val="auto"/>
        </w:rPr>
        <w:t xml:space="preserve">Her motor </w:t>
      </w:r>
      <w:r w:rsidR="007E2039" w:rsidRPr="00DE12A3">
        <w:rPr>
          <w:color w:val="auto"/>
        </w:rPr>
        <w:t xml:space="preserve">arıtma </w:t>
      </w:r>
      <w:r w:rsidR="00242DA0" w:rsidRPr="00DE12A3">
        <w:rPr>
          <w:color w:val="auto"/>
        </w:rPr>
        <w:t xml:space="preserve">sistemi ailesi için imalatçı, motor </w:t>
      </w:r>
      <w:r w:rsidR="007E2039" w:rsidRPr="00DE12A3">
        <w:rPr>
          <w:color w:val="auto"/>
        </w:rPr>
        <w:t xml:space="preserve">arıtma </w:t>
      </w:r>
      <w:r w:rsidR="00242DA0" w:rsidRPr="00DE12A3">
        <w:rPr>
          <w:color w:val="auto"/>
        </w:rPr>
        <w:t xml:space="preserve">sisteminin çalışması stabilize edildikten sonra karayolu dışında kullanılan hareketli makinaların veya motorun kaç saat çalıştığını belirler. </w:t>
      </w:r>
      <w:r w:rsidR="007E2039" w:rsidRPr="00DE12A3">
        <w:rPr>
          <w:color w:val="auto"/>
        </w:rPr>
        <w:t xml:space="preserve">Onay </w:t>
      </w:r>
      <w:r w:rsidR="00EF2C88" w:rsidRPr="00DE12A3">
        <w:rPr>
          <w:color w:val="auto"/>
        </w:rPr>
        <w:t>kuruluşu tarafından</w:t>
      </w:r>
      <w:r w:rsidR="00242DA0" w:rsidRPr="00DE12A3">
        <w:rPr>
          <w:color w:val="auto"/>
        </w:rPr>
        <w:t xml:space="preserve"> talep edilirse, imalatçı bu tespitin yapılmasında kullanılan verileri ve analizleri sunmalıdır. Alternatif olarak, imalatçı, motoru veya karayolu dışında kullanılan hareketli makinaları 60 ila 125 saat arasında veya motor </w:t>
      </w:r>
      <w:r w:rsidR="007E2039" w:rsidRPr="00DE12A3">
        <w:rPr>
          <w:color w:val="auto"/>
        </w:rPr>
        <w:t xml:space="preserve">arıtma </w:t>
      </w:r>
      <w:r w:rsidR="00242DA0" w:rsidRPr="00DE12A3">
        <w:rPr>
          <w:color w:val="auto"/>
        </w:rPr>
        <w:t xml:space="preserve">sistemini dengelemek için yaşlanma </w:t>
      </w:r>
      <w:r w:rsidR="00EF2C88" w:rsidRPr="00DE12A3">
        <w:rPr>
          <w:color w:val="auto"/>
        </w:rPr>
        <w:t>çevrimi üzerinde</w:t>
      </w:r>
      <w:r w:rsidR="00242DA0" w:rsidRPr="00DE12A3">
        <w:rPr>
          <w:color w:val="auto"/>
        </w:rPr>
        <w:t xml:space="preserve"> eşdeğer bir süre çalıştırabilir.</w:t>
      </w:r>
    </w:p>
    <w:p w14:paraId="2FEE45DA" w14:textId="77777777" w:rsidR="00CA7FE3" w:rsidRPr="00DE12A3" w:rsidRDefault="00CA7FE3" w:rsidP="001534A3">
      <w:pPr>
        <w:jc w:val="both"/>
        <w:rPr>
          <w:color w:val="auto"/>
        </w:rPr>
      </w:pPr>
    </w:p>
    <w:p w14:paraId="5411C2F6" w14:textId="05008579" w:rsidR="002D7B36" w:rsidRPr="00DE12A3" w:rsidRDefault="001534A3" w:rsidP="001534A3">
      <w:pPr>
        <w:jc w:val="both"/>
        <w:rPr>
          <w:color w:val="auto"/>
        </w:rPr>
      </w:pPr>
      <w:r w:rsidRPr="00DE12A3">
        <w:rPr>
          <w:rFonts w:eastAsia="Times New Roman" w:cs="Times New Roman"/>
          <w:color w:val="auto"/>
          <w:spacing w:val="3"/>
          <w:lang w:eastAsia="en-US"/>
        </w:rPr>
        <w:t xml:space="preserve">3.2.3.1.2. </w:t>
      </w:r>
      <w:r w:rsidR="00127D94" w:rsidRPr="00DE12A3">
        <w:rPr>
          <w:rFonts w:eastAsia="Times New Roman" w:cs="Times New Roman"/>
          <w:color w:val="auto"/>
          <w:spacing w:val="3"/>
          <w:lang w:eastAsia="en-US"/>
        </w:rPr>
        <w:t xml:space="preserve"> </w:t>
      </w:r>
      <w:r w:rsidR="00242DA0" w:rsidRPr="00DE12A3">
        <w:rPr>
          <w:color w:val="auto"/>
        </w:rPr>
        <w:t>3.2.3.1.1 bendinde belirtilen stabilizasyon süresinin sonu, servis birikme programının başlangıcı olarak kabul edilir.</w:t>
      </w:r>
    </w:p>
    <w:p w14:paraId="4871369A" w14:textId="27BC98E6" w:rsidR="002D7B36" w:rsidRPr="00DE12A3" w:rsidRDefault="001534A3" w:rsidP="001534A3">
      <w:pPr>
        <w:pStyle w:val="Gvdemetni250"/>
        <w:shd w:val="clear" w:color="auto" w:fill="auto"/>
        <w:spacing w:before="120" w:after="120" w:line="240" w:lineRule="auto"/>
        <w:ind w:firstLine="0"/>
        <w:rPr>
          <w:sz w:val="24"/>
          <w:szCs w:val="24"/>
        </w:rPr>
      </w:pPr>
      <w:r w:rsidRPr="00DE12A3">
        <w:rPr>
          <w:sz w:val="24"/>
          <w:szCs w:val="24"/>
        </w:rPr>
        <w:t>3.2.3.2.</w:t>
      </w:r>
      <w:r w:rsidR="00F94F18" w:rsidRPr="00DE12A3">
        <w:rPr>
          <w:sz w:val="24"/>
          <w:szCs w:val="24"/>
        </w:rPr>
        <w:t xml:space="preserve"> </w:t>
      </w:r>
      <w:r w:rsidR="00242DA0" w:rsidRPr="00DE12A3">
        <w:rPr>
          <w:sz w:val="24"/>
          <w:szCs w:val="24"/>
        </w:rPr>
        <w:t>Servis birikme testi</w:t>
      </w:r>
    </w:p>
    <w:p w14:paraId="3A48869D" w14:textId="16F373D8" w:rsidR="00161343" w:rsidRPr="00DE12A3" w:rsidRDefault="003F2650" w:rsidP="00ED1229">
      <w:pPr>
        <w:jc w:val="both"/>
        <w:rPr>
          <w:rFonts w:eastAsia="Times New Roman" w:cs="Times New Roman"/>
          <w:color w:val="auto"/>
          <w:spacing w:val="3"/>
          <w:lang w:eastAsia="en-US"/>
        </w:rPr>
      </w:pPr>
      <w:r w:rsidRPr="00DE12A3">
        <w:rPr>
          <w:rFonts w:eastAsia="Times New Roman" w:cs="Times New Roman"/>
          <w:color w:val="auto"/>
          <w:spacing w:val="3"/>
          <w:lang w:eastAsia="en-US"/>
        </w:rPr>
        <w:t xml:space="preserve">3.2.3.2.1. </w:t>
      </w:r>
      <w:r w:rsidR="00161343" w:rsidRPr="00DE12A3">
        <w:rPr>
          <w:color w:val="auto"/>
        </w:rPr>
        <w:t>Stabilizasyon sonrasında motor, 3.2.2 bendinde açıklandığı gibi, imalatçı tarafından seçilen servis birikme programında çalıştırılır. 2016/1628/AB Yönetmeliği</w:t>
      </w:r>
      <w:r w:rsidR="00006E5A" w:rsidRPr="00DE12A3">
        <w:rPr>
          <w:color w:val="auto"/>
        </w:rPr>
        <w:t>nin</w:t>
      </w:r>
      <w:r w:rsidR="00161343" w:rsidRPr="00DE12A3">
        <w:rPr>
          <w:color w:val="auto"/>
        </w:rPr>
        <w:t xml:space="preserve"> IV</w:t>
      </w:r>
      <w:r w:rsidR="006C4D23" w:rsidRPr="00DE12A3">
        <w:rPr>
          <w:color w:val="auto"/>
        </w:rPr>
        <w:t xml:space="preserve">’üncü </w:t>
      </w:r>
      <w:r w:rsidR="00EC3EF0" w:rsidRPr="00DE12A3">
        <w:rPr>
          <w:color w:val="auto"/>
        </w:rPr>
        <w:t>Ekinde</w:t>
      </w:r>
      <w:r w:rsidR="00161343" w:rsidRPr="00DE12A3">
        <w:rPr>
          <w:color w:val="auto"/>
        </w:rPr>
        <w:t xml:space="preserve"> belirtildiği gibi motor kategorisine </w:t>
      </w:r>
      <w:r w:rsidR="00006E5A" w:rsidRPr="00DE12A3">
        <w:rPr>
          <w:color w:val="auto"/>
        </w:rPr>
        <w:t>i</w:t>
      </w:r>
      <w:r w:rsidR="00161343" w:rsidRPr="00DE12A3">
        <w:rPr>
          <w:color w:val="auto"/>
        </w:rPr>
        <w:t xml:space="preserve">malatçı tarafından belirlenen ve uygun olduğu hallerde, 3.2.2.2 </w:t>
      </w:r>
      <w:r w:rsidR="00211788" w:rsidRPr="00DE12A3">
        <w:rPr>
          <w:color w:val="auto"/>
        </w:rPr>
        <w:t>bendine</w:t>
      </w:r>
      <w:r w:rsidR="00161343" w:rsidRPr="00DE12A3">
        <w:rPr>
          <w:color w:val="auto"/>
        </w:rPr>
        <w:t xml:space="preserve"> uygun olarak onay kuruluşu tarafından karar verilen servis biriktirme </w:t>
      </w:r>
      <w:r w:rsidR="00161343" w:rsidRPr="00DE12A3">
        <w:rPr>
          <w:color w:val="auto"/>
        </w:rPr>
        <w:lastRenderedPageBreak/>
        <w:t>programında, motor, sıcak çalıştırma NRTC ve NRSC veya LSI-NRTC ve NRSC üzerinden gaz ve partikül emisyonları açısından test edilmelidir.</w:t>
      </w:r>
    </w:p>
    <w:p w14:paraId="0B61189E" w14:textId="5DCA11EE" w:rsidR="00161343" w:rsidRPr="00DE12A3" w:rsidRDefault="00161343" w:rsidP="00FD3D8E">
      <w:pPr>
        <w:pStyle w:val="Gvdemetni250"/>
        <w:spacing w:before="120" w:after="120" w:line="240" w:lineRule="auto"/>
        <w:ind w:firstLine="0"/>
        <w:rPr>
          <w:sz w:val="24"/>
          <w:szCs w:val="24"/>
        </w:rPr>
      </w:pPr>
      <w:r w:rsidRPr="00DE12A3">
        <w:rPr>
          <w:sz w:val="24"/>
          <w:szCs w:val="24"/>
        </w:rPr>
        <w:t>İmalatçı, herhangi bir egzoz arıtma sisteminden önceki kirletici emisyonlarını, herhangi bir egzoz arıtma sisteminden sonraki kirletici emisyonlarından ayrı olarak ölçmeyi seçebilir.</w:t>
      </w:r>
    </w:p>
    <w:p w14:paraId="26FA283D" w14:textId="29840D13" w:rsidR="00161343" w:rsidRPr="00DE12A3" w:rsidRDefault="00ED1229" w:rsidP="00FD3D8E">
      <w:pPr>
        <w:pStyle w:val="Gvdemetni250"/>
        <w:shd w:val="clear" w:color="auto" w:fill="auto"/>
        <w:spacing w:before="120" w:after="120" w:line="240" w:lineRule="auto"/>
        <w:ind w:firstLine="0"/>
        <w:rPr>
          <w:sz w:val="24"/>
          <w:szCs w:val="24"/>
        </w:rPr>
      </w:pPr>
      <w:r w:rsidRPr="00DE12A3">
        <w:rPr>
          <w:sz w:val="24"/>
          <w:szCs w:val="24"/>
        </w:rPr>
        <w:t xml:space="preserve">             </w:t>
      </w:r>
      <w:r w:rsidR="00161343" w:rsidRPr="00DE12A3">
        <w:rPr>
          <w:sz w:val="24"/>
          <w:szCs w:val="24"/>
        </w:rPr>
        <w:t xml:space="preserve">3.2.2.1.4 bendi uyarınca, her test noktasında yalnızca bir test </w:t>
      </w:r>
      <w:r w:rsidR="00EF2C88" w:rsidRPr="00DE12A3">
        <w:rPr>
          <w:sz w:val="24"/>
          <w:szCs w:val="24"/>
        </w:rPr>
        <w:t>çevriminin (</w:t>
      </w:r>
      <w:r w:rsidR="00161343" w:rsidRPr="00DE12A3">
        <w:rPr>
          <w:sz w:val="24"/>
          <w:szCs w:val="24"/>
        </w:rPr>
        <w:t xml:space="preserve">ön ısıtmalı NRTC, LSI-NRTC veya NRSC) çalıştırılmasına karar verilirse, diğer test </w:t>
      </w:r>
      <w:r w:rsidR="00951351" w:rsidRPr="00DE12A3">
        <w:rPr>
          <w:sz w:val="24"/>
          <w:szCs w:val="24"/>
        </w:rPr>
        <w:t>çevrimi</w:t>
      </w:r>
      <w:r w:rsidR="00161343" w:rsidRPr="00DE12A3">
        <w:rPr>
          <w:sz w:val="24"/>
          <w:szCs w:val="24"/>
        </w:rPr>
        <w:t>nde (ön ısıtmalı NRTC, LSI -NRTC veya NRSC) servis birikme programının başında ve sonunda çalıştırılır.</w:t>
      </w:r>
    </w:p>
    <w:p w14:paraId="65E66088" w14:textId="25E94038" w:rsidR="00161343" w:rsidRPr="00DE12A3" w:rsidRDefault="00ED1229" w:rsidP="00FD3D8E">
      <w:pPr>
        <w:pStyle w:val="Gvdemetni250"/>
        <w:shd w:val="clear" w:color="auto" w:fill="auto"/>
        <w:spacing w:before="120" w:after="120" w:line="240" w:lineRule="auto"/>
        <w:ind w:firstLine="0"/>
        <w:rPr>
          <w:sz w:val="24"/>
          <w:szCs w:val="24"/>
        </w:rPr>
      </w:pPr>
      <w:r w:rsidRPr="00DE12A3">
        <w:rPr>
          <w:sz w:val="24"/>
          <w:szCs w:val="24"/>
        </w:rPr>
        <w:t xml:space="preserve">             </w:t>
      </w:r>
      <w:r w:rsidR="00161343" w:rsidRPr="00DE12A3">
        <w:rPr>
          <w:sz w:val="24"/>
          <w:szCs w:val="24"/>
        </w:rPr>
        <w:t>3.2.2.1.5 bendi uyarınca, motor kategorileri veya alt kategoriler için, 2016/1628/AB   Yönetmeliği</w:t>
      </w:r>
      <w:r w:rsidR="00006E5A" w:rsidRPr="00DE12A3">
        <w:rPr>
          <w:sz w:val="24"/>
          <w:szCs w:val="24"/>
        </w:rPr>
        <w:t>nin</w:t>
      </w:r>
      <w:r w:rsidR="00161343" w:rsidRPr="00DE12A3">
        <w:rPr>
          <w:sz w:val="24"/>
          <w:szCs w:val="24"/>
        </w:rPr>
        <w:t xml:space="preserve"> IV’üncü </w:t>
      </w:r>
      <w:r w:rsidR="00EC3EF0" w:rsidRPr="00DE12A3">
        <w:rPr>
          <w:sz w:val="24"/>
          <w:szCs w:val="24"/>
        </w:rPr>
        <w:t>Ekinde</w:t>
      </w:r>
      <w:r w:rsidR="00161343" w:rsidRPr="00DE12A3">
        <w:rPr>
          <w:sz w:val="24"/>
          <w:szCs w:val="24"/>
        </w:rPr>
        <w:t xml:space="preserve"> verilmiş geçerli bir karayolu dışında süreksiz </w:t>
      </w:r>
      <w:r w:rsidR="00EF2C88" w:rsidRPr="00DE12A3">
        <w:rPr>
          <w:sz w:val="24"/>
          <w:szCs w:val="24"/>
        </w:rPr>
        <w:t>çevrimi olmaması</w:t>
      </w:r>
      <w:r w:rsidR="00161343" w:rsidRPr="00DE12A3">
        <w:rPr>
          <w:sz w:val="24"/>
          <w:szCs w:val="24"/>
        </w:rPr>
        <w:t xml:space="preserve"> halinde, her test noktasında sadece NRSC çalıştırılır.</w:t>
      </w:r>
    </w:p>
    <w:p w14:paraId="52124056" w14:textId="0803F89E" w:rsidR="002D7B36" w:rsidRPr="00DE12A3" w:rsidRDefault="001534A3" w:rsidP="001534A3">
      <w:pPr>
        <w:pStyle w:val="Gvdemetni250"/>
        <w:shd w:val="clear" w:color="auto" w:fill="auto"/>
        <w:spacing w:before="120" w:after="120" w:line="240" w:lineRule="auto"/>
        <w:ind w:firstLine="0"/>
        <w:rPr>
          <w:sz w:val="24"/>
          <w:szCs w:val="24"/>
        </w:rPr>
      </w:pPr>
      <w:r w:rsidRPr="00DE12A3">
        <w:rPr>
          <w:sz w:val="24"/>
          <w:szCs w:val="24"/>
        </w:rPr>
        <w:t xml:space="preserve">3.2.3.2.2. </w:t>
      </w:r>
      <w:r w:rsidR="00242DA0" w:rsidRPr="00DE12A3">
        <w:rPr>
          <w:sz w:val="24"/>
          <w:szCs w:val="24"/>
        </w:rPr>
        <w:t>Servis birikme programı sırasında, 3.4 bendi uyarınca motor üzerinde bakım yapılır.</w:t>
      </w:r>
    </w:p>
    <w:p w14:paraId="213AF18B" w14:textId="24A41C58" w:rsidR="002D7B36" w:rsidRPr="00DE12A3" w:rsidRDefault="001534A3" w:rsidP="001534A3">
      <w:pPr>
        <w:pStyle w:val="Gvdemetni250"/>
        <w:shd w:val="clear" w:color="auto" w:fill="auto"/>
        <w:spacing w:before="120" w:after="120" w:line="240" w:lineRule="auto"/>
        <w:ind w:firstLine="0"/>
        <w:rPr>
          <w:sz w:val="24"/>
          <w:szCs w:val="24"/>
        </w:rPr>
      </w:pPr>
      <w:r w:rsidRPr="00DE12A3">
        <w:rPr>
          <w:sz w:val="24"/>
          <w:szCs w:val="24"/>
        </w:rPr>
        <w:t xml:space="preserve">3.2.3.2.3. </w:t>
      </w:r>
      <w:r w:rsidR="00242DA0" w:rsidRPr="00DE12A3">
        <w:rPr>
          <w:sz w:val="24"/>
          <w:szCs w:val="24"/>
        </w:rPr>
        <w:t>Servis birikme programı sırasında, örneğin imalatçının normal arıza teşhis sistemi, karayolu dışında kullanılan hareketli makina operatörüne bir arıza olduğunu gösteren bir sorun tespit ederse, motor veya karayolu dışında kullanılan hareketli makinalar üzerinde program dışı bir bakım gerçekleştirilebilir.</w:t>
      </w:r>
    </w:p>
    <w:p w14:paraId="6D513437" w14:textId="15F83529" w:rsidR="002D7B36" w:rsidRPr="00DE12A3" w:rsidRDefault="001534A3" w:rsidP="001534A3">
      <w:pPr>
        <w:pStyle w:val="Gvdemetni250"/>
        <w:shd w:val="clear" w:color="auto" w:fill="auto"/>
        <w:spacing w:before="120" w:after="120" w:line="240" w:lineRule="auto"/>
        <w:ind w:firstLine="0"/>
        <w:rPr>
          <w:sz w:val="24"/>
          <w:szCs w:val="24"/>
        </w:rPr>
      </w:pPr>
      <w:r w:rsidRPr="00DE12A3">
        <w:rPr>
          <w:sz w:val="24"/>
          <w:szCs w:val="24"/>
        </w:rPr>
        <w:t xml:space="preserve">3.2.4. </w:t>
      </w:r>
      <w:r w:rsidR="00242DA0" w:rsidRPr="00DE12A3">
        <w:rPr>
          <w:sz w:val="24"/>
          <w:szCs w:val="24"/>
        </w:rPr>
        <w:t>Raporlama</w:t>
      </w:r>
    </w:p>
    <w:p w14:paraId="5F4D1033" w14:textId="1023A31C" w:rsidR="002D7B36" w:rsidRPr="00DE12A3" w:rsidRDefault="001534A3" w:rsidP="001534A3">
      <w:pPr>
        <w:pStyle w:val="Gvdemetni250"/>
        <w:shd w:val="clear" w:color="auto" w:fill="auto"/>
        <w:spacing w:before="120" w:after="120" w:line="240" w:lineRule="auto"/>
        <w:ind w:firstLine="0"/>
        <w:rPr>
          <w:sz w:val="24"/>
          <w:szCs w:val="24"/>
        </w:rPr>
      </w:pPr>
      <w:r w:rsidRPr="00DE12A3">
        <w:rPr>
          <w:sz w:val="24"/>
          <w:szCs w:val="24"/>
        </w:rPr>
        <w:t xml:space="preserve">3.2.4.1. </w:t>
      </w:r>
      <w:r w:rsidR="00242DA0" w:rsidRPr="00DE12A3">
        <w:rPr>
          <w:sz w:val="24"/>
          <w:szCs w:val="24"/>
        </w:rPr>
        <w:t xml:space="preserve">Servis birikme programı sırasında yapılan tüm emisyon testlerinin (ön ısıtmalı NRTC, LSI-NRTC ve NRSC) sonuçları </w:t>
      </w:r>
      <w:r w:rsidR="007E2039" w:rsidRPr="00DE12A3">
        <w:rPr>
          <w:sz w:val="24"/>
          <w:szCs w:val="24"/>
        </w:rPr>
        <w:t xml:space="preserve">onay </w:t>
      </w:r>
      <w:r w:rsidR="00EF2C88" w:rsidRPr="00DE12A3">
        <w:rPr>
          <w:sz w:val="24"/>
          <w:szCs w:val="24"/>
        </w:rPr>
        <w:t>kuruluşuna sunulmalıdır. Bir</w:t>
      </w:r>
      <w:r w:rsidR="00242DA0" w:rsidRPr="00DE12A3">
        <w:rPr>
          <w:sz w:val="24"/>
          <w:szCs w:val="24"/>
        </w:rPr>
        <w:t xml:space="preserve"> emisyon testi geçersiz ilan edilirse, imalatçı testin geçersiz ilan edilmesinin gerekçelerini belirtmelidir. Böyle bir durumda, takip eden 100 saatlik servis birikmesi içerisinde başka bir emisyon testi serisi gerçekleştirilir.</w:t>
      </w:r>
    </w:p>
    <w:p w14:paraId="2A7355DC" w14:textId="5D9E55B3" w:rsidR="002D7B36" w:rsidRPr="00DE12A3" w:rsidRDefault="001534A3" w:rsidP="001534A3">
      <w:pPr>
        <w:pStyle w:val="Gvdemetni250"/>
        <w:shd w:val="clear" w:color="auto" w:fill="auto"/>
        <w:spacing w:before="120" w:after="120" w:line="240" w:lineRule="auto"/>
        <w:ind w:firstLine="0"/>
        <w:rPr>
          <w:sz w:val="24"/>
          <w:szCs w:val="24"/>
        </w:rPr>
      </w:pPr>
      <w:r w:rsidRPr="00DE12A3">
        <w:rPr>
          <w:sz w:val="24"/>
          <w:szCs w:val="24"/>
        </w:rPr>
        <w:t xml:space="preserve">3.2.4.2. </w:t>
      </w:r>
      <w:r w:rsidR="00242DA0" w:rsidRPr="00DE12A3">
        <w:rPr>
          <w:sz w:val="24"/>
          <w:szCs w:val="24"/>
        </w:rPr>
        <w:t xml:space="preserve">İmalatçı, servis birikme programı sırasında motor üzerinde gerçekleştirilen tüm emisyon testleri ve bakım ile ilgili tüm bilgilerin kayıtlarını tutmalıdır. Bu bilgi, servis birikme programı üzerinden yapılan emisyon testlerinin sonuçları ile birlikte </w:t>
      </w:r>
      <w:r w:rsidR="007E2039" w:rsidRPr="00DE12A3">
        <w:rPr>
          <w:sz w:val="24"/>
          <w:szCs w:val="24"/>
        </w:rPr>
        <w:t xml:space="preserve">onay </w:t>
      </w:r>
      <w:r w:rsidR="00EF2C88" w:rsidRPr="00DE12A3">
        <w:rPr>
          <w:sz w:val="24"/>
          <w:szCs w:val="24"/>
        </w:rPr>
        <w:t>kuruluşuna sunulur</w:t>
      </w:r>
      <w:r w:rsidR="00242DA0" w:rsidRPr="00DE12A3">
        <w:rPr>
          <w:sz w:val="24"/>
          <w:szCs w:val="24"/>
        </w:rPr>
        <w:t>.</w:t>
      </w:r>
    </w:p>
    <w:p w14:paraId="25B1B0E4" w14:textId="47B1E7D7" w:rsidR="002D7B36" w:rsidRPr="00DE12A3" w:rsidRDefault="001534A3" w:rsidP="001534A3">
      <w:pPr>
        <w:pStyle w:val="Gvdemetni250"/>
        <w:shd w:val="clear" w:color="auto" w:fill="auto"/>
        <w:spacing w:before="120" w:after="120" w:line="240" w:lineRule="auto"/>
        <w:ind w:firstLine="0"/>
        <w:rPr>
          <w:sz w:val="24"/>
          <w:szCs w:val="24"/>
        </w:rPr>
      </w:pPr>
      <w:r w:rsidRPr="00DE12A3">
        <w:rPr>
          <w:sz w:val="24"/>
          <w:szCs w:val="24"/>
        </w:rPr>
        <w:t>3.2.5.</w:t>
      </w:r>
      <w:r w:rsidR="006C4D23" w:rsidRPr="00DE12A3">
        <w:rPr>
          <w:sz w:val="24"/>
          <w:szCs w:val="24"/>
        </w:rPr>
        <w:t xml:space="preserve"> </w:t>
      </w:r>
      <w:r w:rsidR="00242DA0" w:rsidRPr="00DE12A3">
        <w:rPr>
          <w:sz w:val="24"/>
          <w:szCs w:val="24"/>
        </w:rPr>
        <w:t>Bozulma faktörlerinin belirlenmesi</w:t>
      </w:r>
    </w:p>
    <w:p w14:paraId="2CDBD7BF" w14:textId="41DC7ACB" w:rsidR="002D7B36" w:rsidRPr="00DE12A3" w:rsidRDefault="001534A3" w:rsidP="001534A3">
      <w:pPr>
        <w:pStyle w:val="Gvdemetni250"/>
        <w:shd w:val="clear" w:color="auto" w:fill="auto"/>
        <w:spacing w:before="120" w:after="120" w:line="240" w:lineRule="auto"/>
        <w:ind w:firstLine="0"/>
        <w:rPr>
          <w:sz w:val="24"/>
          <w:szCs w:val="24"/>
        </w:rPr>
      </w:pPr>
      <w:r w:rsidRPr="00DE12A3">
        <w:rPr>
          <w:sz w:val="24"/>
          <w:szCs w:val="24"/>
        </w:rPr>
        <w:t>3.2.5.1.</w:t>
      </w:r>
      <w:r w:rsidR="006C4D23" w:rsidRPr="00DE12A3">
        <w:rPr>
          <w:sz w:val="24"/>
          <w:szCs w:val="24"/>
        </w:rPr>
        <w:t xml:space="preserve"> </w:t>
      </w:r>
      <w:r w:rsidR="00242DA0" w:rsidRPr="00DE12A3">
        <w:rPr>
          <w:sz w:val="24"/>
          <w:szCs w:val="24"/>
        </w:rPr>
        <w:t>3.2.2.1.2.1 bendi veya 3.2.2.1.2.3 bendi uyarınca bir servis birikme programı yürütülürken, servis birikme programı sırasında her test noktasında ön ısıtmalı ​​NRTC, LSI-NRTC ve NRSC üzerinden ölçülen her kirletici için, tüm test sonuçlarına göre "en uygun" doğrusal regresyon analizi yapılır.</w:t>
      </w:r>
    </w:p>
    <w:p w14:paraId="08F087B7" w14:textId="57AE5996" w:rsidR="002D7B36" w:rsidRPr="00DE12A3" w:rsidRDefault="00ED1229" w:rsidP="00FD3D8E">
      <w:pPr>
        <w:pStyle w:val="Gvdemetni250"/>
        <w:shd w:val="clear" w:color="auto" w:fill="auto"/>
        <w:spacing w:before="120" w:after="120" w:line="240" w:lineRule="auto"/>
        <w:ind w:firstLine="0"/>
        <w:rPr>
          <w:sz w:val="24"/>
          <w:szCs w:val="24"/>
        </w:rPr>
      </w:pPr>
      <w:r w:rsidRPr="00DE12A3">
        <w:rPr>
          <w:sz w:val="24"/>
          <w:szCs w:val="24"/>
        </w:rPr>
        <w:t xml:space="preserve">              </w:t>
      </w:r>
      <w:r w:rsidR="00242DA0" w:rsidRPr="00DE12A3">
        <w:rPr>
          <w:sz w:val="24"/>
          <w:szCs w:val="24"/>
        </w:rPr>
        <w:t xml:space="preserve">3.2.2.1.4 bendi veya 3.2.2.1.5 bendi uyarınca, her test noktasında yalnızca bir test </w:t>
      </w:r>
      <w:r w:rsidR="00EF2C88" w:rsidRPr="00DE12A3">
        <w:rPr>
          <w:sz w:val="24"/>
          <w:szCs w:val="24"/>
        </w:rPr>
        <w:t>çevrimi (</w:t>
      </w:r>
      <w:r w:rsidR="00242DA0" w:rsidRPr="00DE12A3">
        <w:rPr>
          <w:sz w:val="24"/>
          <w:szCs w:val="24"/>
        </w:rPr>
        <w:t xml:space="preserve">ön ısıtmalı NRTC, LSI-NRTC veya NRSC) çalıştırıldığı takdirde, regresyon analizi sadece, her test noktasında yapılan test </w:t>
      </w:r>
      <w:r w:rsidR="00951351" w:rsidRPr="00DE12A3">
        <w:rPr>
          <w:sz w:val="24"/>
          <w:szCs w:val="24"/>
        </w:rPr>
        <w:t>çevrimi</w:t>
      </w:r>
      <w:r w:rsidR="00242DA0" w:rsidRPr="00DE12A3">
        <w:rPr>
          <w:sz w:val="24"/>
          <w:szCs w:val="24"/>
        </w:rPr>
        <w:t>nden elde edilen test sonuçları temelinde yapılır.</w:t>
      </w:r>
    </w:p>
    <w:p w14:paraId="0E933C58" w14:textId="3C045090" w:rsidR="002D7B36" w:rsidRPr="00DE12A3" w:rsidRDefault="00ED1229" w:rsidP="00FD3D8E">
      <w:pPr>
        <w:pStyle w:val="Gvdemetni250"/>
        <w:shd w:val="clear" w:color="auto" w:fill="auto"/>
        <w:spacing w:before="120" w:after="120" w:line="240" w:lineRule="auto"/>
        <w:ind w:firstLine="0"/>
        <w:rPr>
          <w:sz w:val="24"/>
          <w:szCs w:val="24"/>
        </w:rPr>
      </w:pPr>
      <w:r w:rsidRPr="00DE12A3">
        <w:rPr>
          <w:sz w:val="24"/>
          <w:szCs w:val="24"/>
        </w:rPr>
        <w:t xml:space="preserve">              </w:t>
      </w:r>
      <w:r w:rsidR="00242DA0" w:rsidRPr="00DE12A3">
        <w:rPr>
          <w:sz w:val="24"/>
          <w:szCs w:val="24"/>
        </w:rPr>
        <w:t xml:space="preserve">İmalatçı, doğrusal olmayan bir regresyon yapılması için önceden </w:t>
      </w:r>
      <w:r w:rsidR="007E2039" w:rsidRPr="00DE12A3">
        <w:rPr>
          <w:sz w:val="24"/>
          <w:szCs w:val="24"/>
        </w:rPr>
        <w:t xml:space="preserve">onay </w:t>
      </w:r>
      <w:r w:rsidR="00EF2C88" w:rsidRPr="00DE12A3">
        <w:rPr>
          <w:sz w:val="24"/>
          <w:szCs w:val="24"/>
        </w:rPr>
        <w:t>kuruluşunun onayını</w:t>
      </w:r>
      <w:r w:rsidR="00242DA0" w:rsidRPr="00DE12A3">
        <w:rPr>
          <w:sz w:val="24"/>
          <w:szCs w:val="24"/>
        </w:rPr>
        <w:t xml:space="preserve"> isteyebilir.</w:t>
      </w:r>
    </w:p>
    <w:p w14:paraId="417EACAC" w14:textId="14AFF3D9" w:rsidR="002D7B36" w:rsidRPr="00DE12A3" w:rsidRDefault="001534A3" w:rsidP="001534A3">
      <w:pPr>
        <w:pStyle w:val="Gvdemetni250"/>
        <w:shd w:val="clear" w:color="auto" w:fill="auto"/>
        <w:spacing w:before="120" w:after="120" w:line="240" w:lineRule="auto"/>
        <w:ind w:firstLine="0"/>
        <w:rPr>
          <w:sz w:val="24"/>
          <w:szCs w:val="24"/>
        </w:rPr>
      </w:pPr>
      <w:r w:rsidRPr="00DE12A3">
        <w:rPr>
          <w:sz w:val="24"/>
          <w:szCs w:val="24"/>
        </w:rPr>
        <w:t>3.2.5.2.</w:t>
      </w:r>
      <w:r w:rsidR="006C4D23" w:rsidRPr="00DE12A3">
        <w:rPr>
          <w:sz w:val="24"/>
          <w:szCs w:val="24"/>
        </w:rPr>
        <w:t xml:space="preserve"> </w:t>
      </w:r>
      <w:r w:rsidR="00242DA0" w:rsidRPr="00DE12A3">
        <w:rPr>
          <w:sz w:val="24"/>
          <w:szCs w:val="24"/>
        </w:rPr>
        <w:t>Her kirletici için, servis birikme programının başlangıcındaki ve test edilen motor için geçerli olan emisyon dayanıklılık döneminin son noktasındaki emisyon değerleri</w:t>
      </w:r>
      <w:r w:rsidR="00006E5A" w:rsidRPr="00DE12A3">
        <w:rPr>
          <w:sz w:val="24"/>
          <w:szCs w:val="24"/>
        </w:rPr>
        <w:t xml:space="preserve"> aşağıdaki iki durumdan biri ile tespit edilir.</w:t>
      </w:r>
    </w:p>
    <w:p w14:paraId="33B31EDF" w14:textId="3D2A7F29" w:rsidR="002D7B36" w:rsidRPr="00DE12A3" w:rsidRDefault="001534A3" w:rsidP="001534A3">
      <w:pPr>
        <w:pStyle w:val="Gvdemetni250"/>
        <w:shd w:val="clear" w:color="auto" w:fill="auto"/>
        <w:spacing w:before="120" w:after="120" w:line="240" w:lineRule="auto"/>
        <w:ind w:firstLine="709"/>
        <w:rPr>
          <w:sz w:val="24"/>
          <w:szCs w:val="24"/>
        </w:rPr>
      </w:pPr>
      <w:r w:rsidRPr="00DE12A3">
        <w:rPr>
          <w:sz w:val="24"/>
          <w:szCs w:val="24"/>
        </w:rPr>
        <w:t>(a)</w:t>
      </w:r>
      <w:r w:rsidR="006C4D23" w:rsidRPr="00DE12A3">
        <w:rPr>
          <w:sz w:val="24"/>
          <w:szCs w:val="24"/>
        </w:rPr>
        <w:t xml:space="preserve"> </w:t>
      </w:r>
      <w:r w:rsidR="00242DA0" w:rsidRPr="00DE12A3">
        <w:rPr>
          <w:sz w:val="24"/>
          <w:szCs w:val="24"/>
        </w:rPr>
        <w:t>3.2.2.1.2.1 bendi veya 3.2.2.1.2.3 bendi uyarınca bir servisbirikme programı yürütülürken, 3.2.5.1 bendindeki regresyon denkleminin ekstrapolasyonu ile belirlenir</w:t>
      </w:r>
      <w:r w:rsidR="00006E5A" w:rsidRPr="00DE12A3">
        <w:rPr>
          <w:sz w:val="24"/>
          <w:szCs w:val="24"/>
        </w:rPr>
        <w:t>.</w:t>
      </w:r>
    </w:p>
    <w:p w14:paraId="79B4296D" w14:textId="6E7EF331" w:rsidR="002D7B36" w:rsidRPr="00DE12A3" w:rsidRDefault="001534A3" w:rsidP="001534A3">
      <w:pPr>
        <w:pStyle w:val="Gvdemetni250"/>
        <w:shd w:val="clear" w:color="auto" w:fill="auto"/>
        <w:spacing w:before="120" w:after="120" w:line="240" w:lineRule="auto"/>
        <w:ind w:firstLine="709"/>
        <w:rPr>
          <w:sz w:val="24"/>
          <w:szCs w:val="24"/>
        </w:rPr>
      </w:pPr>
      <w:r w:rsidRPr="00DE12A3">
        <w:rPr>
          <w:sz w:val="24"/>
          <w:szCs w:val="24"/>
        </w:rPr>
        <w:t xml:space="preserve">(b) </w:t>
      </w:r>
      <w:r w:rsidR="00242DA0" w:rsidRPr="00DE12A3">
        <w:rPr>
          <w:sz w:val="24"/>
          <w:szCs w:val="24"/>
        </w:rPr>
        <w:t>3.2.2.1.2.2 bendi uyarınca bir servis birikme programı yürütülürken doğrudan ölçülür.</w:t>
      </w:r>
    </w:p>
    <w:p w14:paraId="0FA62154" w14:textId="4379289F" w:rsidR="009D1D76" w:rsidRPr="00DE12A3" w:rsidRDefault="00242DA0" w:rsidP="001534A3">
      <w:pPr>
        <w:pStyle w:val="Gvdemetni0"/>
        <w:shd w:val="clear" w:color="auto" w:fill="auto"/>
        <w:spacing w:before="120" w:after="120" w:line="240" w:lineRule="auto"/>
        <w:ind w:firstLine="709"/>
        <w:jc w:val="both"/>
        <w:rPr>
          <w:sz w:val="24"/>
          <w:szCs w:val="24"/>
        </w:rPr>
      </w:pPr>
      <w:r w:rsidRPr="00DE12A3">
        <w:rPr>
          <w:sz w:val="24"/>
          <w:szCs w:val="24"/>
        </w:rPr>
        <w:lastRenderedPageBreak/>
        <w:t xml:space="preserve">Emisyon değerlerinin aynı motor aileleri grubundaki motor aileleri veya motor </w:t>
      </w:r>
      <w:r w:rsidR="007E2039" w:rsidRPr="00DE12A3">
        <w:rPr>
          <w:sz w:val="24"/>
          <w:szCs w:val="24"/>
        </w:rPr>
        <w:t xml:space="preserve">arıtma </w:t>
      </w:r>
      <w:r w:rsidRPr="00DE12A3">
        <w:rPr>
          <w:sz w:val="24"/>
          <w:szCs w:val="24"/>
        </w:rPr>
        <w:t>ailesi için, ancak farklı emisyon dayanıklılık dönemleri ile kullanıldığı yerlerde, emisyon dayanıklılık dönemi bitiş noktasındaki emisyon değerleri, her bir emisyon dayanıklılık süresi için 3.2.5.1 bendinde belirtilen regresyon denkleminin ekstrapolasyonu veya enterpolasyonu yoluyla yeniden hesaplanmalıdır.</w:t>
      </w:r>
    </w:p>
    <w:p w14:paraId="73594830" w14:textId="47B9127D" w:rsidR="002D7B36" w:rsidRPr="00DE12A3" w:rsidRDefault="007663C6" w:rsidP="007663C6">
      <w:pPr>
        <w:pStyle w:val="Gvdemetni0"/>
        <w:shd w:val="clear" w:color="auto" w:fill="auto"/>
        <w:spacing w:before="120" w:after="120" w:line="240" w:lineRule="auto"/>
        <w:ind w:firstLine="0"/>
        <w:jc w:val="both"/>
        <w:rPr>
          <w:sz w:val="24"/>
          <w:szCs w:val="24"/>
        </w:rPr>
      </w:pPr>
      <w:r w:rsidRPr="00DE12A3">
        <w:rPr>
          <w:sz w:val="24"/>
          <w:szCs w:val="24"/>
        </w:rPr>
        <w:t>3.2.5.3.</w:t>
      </w:r>
      <w:r w:rsidR="006C4D23" w:rsidRPr="00DE12A3">
        <w:rPr>
          <w:sz w:val="24"/>
          <w:szCs w:val="24"/>
        </w:rPr>
        <w:t xml:space="preserve"> </w:t>
      </w:r>
      <w:r w:rsidR="00242DA0" w:rsidRPr="00DE12A3">
        <w:rPr>
          <w:sz w:val="24"/>
          <w:szCs w:val="24"/>
        </w:rPr>
        <w:t>Her kirletici için bozulma faktörü (BF), emisyon dayanıklılık dönemi bitiş noktasında ve servis birikme programının başlangıcında uygulanan emisyon değerlerinin oranı (çarpımsal bozulma faktörü) olarak tanımlanır.</w:t>
      </w:r>
    </w:p>
    <w:p w14:paraId="43334DE0" w14:textId="388C5F63" w:rsidR="002D7B36" w:rsidRPr="00DE12A3" w:rsidRDefault="00ED1229" w:rsidP="00FD3D8E">
      <w:pPr>
        <w:pStyle w:val="Gvdemetni0"/>
        <w:shd w:val="clear" w:color="auto" w:fill="auto"/>
        <w:spacing w:before="120" w:after="120" w:line="240" w:lineRule="auto"/>
        <w:ind w:firstLine="0"/>
        <w:jc w:val="both"/>
        <w:rPr>
          <w:sz w:val="24"/>
          <w:szCs w:val="24"/>
        </w:rPr>
      </w:pPr>
      <w:r w:rsidRPr="00DE12A3">
        <w:rPr>
          <w:sz w:val="24"/>
          <w:szCs w:val="24"/>
        </w:rPr>
        <w:t xml:space="preserve">             </w:t>
      </w:r>
      <w:r w:rsidR="00242DA0" w:rsidRPr="00DE12A3">
        <w:rPr>
          <w:sz w:val="24"/>
          <w:szCs w:val="24"/>
        </w:rPr>
        <w:t xml:space="preserve">İmalatçı, her kirleticiye karşılık bir ilave BF uygulanması için </w:t>
      </w:r>
      <w:r w:rsidR="007E2039" w:rsidRPr="00DE12A3">
        <w:rPr>
          <w:sz w:val="24"/>
          <w:szCs w:val="24"/>
        </w:rPr>
        <w:t xml:space="preserve">onay </w:t>
      </w:r>
      <w:r w:rsidR="00EF2C88" w:rsidRPr="00DE12A3">
        <w:rPr>
          <w:sz w:val="24"/>
          <w:szCs w:val="24"/>
        </w:rPr>
        <w:t>kuruluşunun önceden</w:t>
      </w:r>
      <w:r w:rsidR="00242DA0" w:rsidRPr="00DE12A3">
        <w:rPr>
          <w:sz w:val="24"/>
          <w:szCs w:val="24"/>
        </w:rPr>
        <w:t xml:space="preserve"> onayını talep edebilir. Eklenen BF, emisyon dayanıklılık dönemi bitiş noktası ile servis birikme programının başlangıcında hesaplanan emisyon değerleri arasındaki fark olarak tanımlanır.</w:t>
      </w:r>
    </w:p>
    <w:p w14:paraId="223F6EB5" w14:textId="70254503" w:rsidR="002D7B36" w:rsidRPr="00DE12A3" w:rsidRDefault="00ED1229" w:rsidP="00FD3D8E">
      <w:pPr>
        <w:pStyle w:val="Gvdemetni0"/>
        <w:shd w:val="clear" w:color="auto" w:fill="auto"/>
        <w:spacing w:before="120" w:after="120" w:line="240" w:lineRule="auto"/>
        <w:ind w:firstLine="0"/>
        <w:jc w:val="both"/>
        <w:rPr>
          <w:sz w:val="24"/>
          <w:szCs w:val="24"/>
        </w:rPr>
      </w:pPr>
      <w:r w:rsidRPr="00DE12A3">
        <w:rPr>
          <w:sz w:val="24"/>
          <w:szCs w:val="24"/>
        </w:rPr>
        <w:t xml:space="preserve">             </w:t>
      </w:r>
      <w:r w:rsidR="00242DA0" w:rsidRPr="00DE12A3">
        <w:rPr>
          <w:sz w:val="24"/>
          <w:szCs w:val="24"/>
        </w:rPr>
        <w:t>BF'lerin, doğrusal regresyon kullanarak belirlenmesine ilişkin bir örnek, NO</w:t>
      </w:r>
      <w:r w:rsidR="00242DA0" w:rsidRPr="00DE12A3">
        <w:rPr>
          <w:sz w:val="24"/>
          <w:szCs w:val="24"/>
          <w:vertAlign w:val="subscript"/>
        </w:rPr>
        <w:t>x</w:t>
      </w:r>
      <w:r w:rsidR="00242DA0" w:rsidRPr="00DE12A3">
        <w:rPr>
          <w:sz w:val="24"/>
          <w:szCs w:val="24"/>
        </w:rPr>
        <w:t xml:space="preserve"> emisyonu için Şekil 3.1'de gösterilmiştir.</w:t>
      </w:r>
    </w:p>
    <w:p w14:paraId="7686D18B" w14:textId="47DA9185" w:rsidR="002D7B36" w:rsidRPr="00DE12A3" w:rsidRDefault="00ED1229" w:rsidP="00FD3D8E">
      <w:pPr>
        <w:pStyle w:val="Gvdemetni0"/>
        <w:shd w:val="clear" w:color="auto" w:fill="auto"/>
        <w:spacing w:before="120" w:after="120" w:line="240" w:lineRule="auto"/>
        <w:ind w:firstLine="0"/>
        <w:jc w:val="both"/>
        <w:rPr>
          <w:sz w:val="24"/>
          <w:szCs w:val="24"/>
        </w:rPr>
      </w:pPr>
      <w:r w:rsidRPr="00DE12A3">
        <w:rPr>
          <w:sz w:val="24"/>
          <w:szCs w:val="24"/>
        </w:rPr>
        <w:t xml:space="preserve">             </w:t>
      </w:r>
      <w:r w:rsidR="00242DA0" w:rsidRPr="00DE12A3">
        <w:rPr>
          <w:sz w:val="24"/>
          <w:szCs w:val="24"/>
        </w:rPr>
        <w:t>Çarpımsal ve ilave BF'lerin bir kirletici kümesi içinde karıştırılmasına izin verilmez.</w:t>
      </w:r>
    </w:p>
    <w:p w14:paraId="2D21BFC0" w14:textId="6694011E" w:rsidR="002D7B36" w:rsidRPr="00DE12A3" w:rsidRDefault="00ED1229" w:rsidP="00FD3D8E">
      <w:pPr>
        <w:pStyle w:val="Gvdemetni0"/>
        <w:shd w:val="clear" w:color="auto" w:fill="auto"/>
        <w:spacing w:before="120" w:after="120" w:line="240" w:lineRule="auto"/>
        <w:ind w:firstLine="0"/>
        <w:jc w:val="both"/>
        <w:rPr>
          <w:sz w:val="24"/>
          <w:szCs w:val="24"/>
        </w:rPr>
      </w:pPr>
      <w:r w:rsidRPr="00DE12A3">
        <w:rPr>
          <w:sz w:val="24"/>
          <w:szCs w:val="24"/>
        </w:rPr>
        <w:t xml:space="preserve">             </w:t>
      </w:r>
      <w:r w:rsidR="00242DA0" w:rsidRPr="00DE12A3">
        <w:rPr>
          <w:sz w:val="24"/>
          <w:szCs w:val="24"/>
        </w:rPr>
        <w:t>Hesaplama, bir çarpımsal BF için 1,00'd</w:t>
      </w:r>
      <w:r w:rsidR="00006E5A" w:rsidRPr="00DE12A3">
        <w:rPr>
          <w:sz w:val="24"/>
          <w:szCs w:val="24"/>
        </w:rPr>
        <w:t>a</w:t>
      </w:r>
      <w:r w:rsidR="00242DA0" w:rsidRPr="00DE12A3">
        <w:rPr>
          <w:sz w:val="24"/>
          <w:szCs w:val="24"/>
        </w:rPr>
        <w:t>n veya bir ilave BF için 0,00'd</w:t>
      </w:r>
      <w:r w:rsidR="00006E5A" w:rsidRPr="00DE12A3">
        <w:rPr>
          <w:sz w:val="24"/>
          <w:szCs w:val="24"/>
        </w:rPr>
        <w:t>a</w:t>
      </w:r>
      <w:r w:rsidR="00242DA0" w:rsidRPr="00DE12A3">
        <w:rPr>
          <w:sz w:val="24"/>
          <w:szCs w:val="24"/>
        </w:rPr>
        <w:t>n düşük bir değerle sonuçlanırsa, bozulma faktörü sırasıyla 1,0 veya 0,00 olur.</w:t>
      </w:r>
    </w:p>
    <w:p w14:paraId="02C60524" w14:textId="020A733D" w:rsidR="002D7B36" w:rsidRPr="00DE12A3" w:rsidRDefault="00ED1229" w:rsidP="00FD3D8E">
      <w:pPr>
        <w:pStyle w:val="Gvdemetni0"/>
        <w:shd w:val="clear" w:color="auto" w:fill="auto"/>
        <w:spacing w:before="120" w:after="120" w:line="240" w:lineRule="auto"/>
        <w:ind w:firstLine="0"/>
        <w:jc w:val="both"/>
        <w:rPr>
          <w:sz w:val="24"/>
          <w:szCs w:val="24"/>
        </w:rPr>
      </w:pPr>
      <w:r w:rsidRPr="00DE12A3">
        <w:rPr>
          <w:sz w:val="24"/>
          <w:szCs w:val="24"/>
        </w:rPr>
        <w:t xml:space="preserve">              </w:t>
      </w:r>
      <w:r w:rsidR="00242DA0" w:rsidRPr="00DE12A3">
        <w:rPr>
          <w:sz w:val="24"/>
          <w:szCs w:val="24"/>
        </w:rPr>
        <w:t xml:space="preserve">3.2.2.1.4 bendi uyarınca, her test noktasında yalnızca bir test </w:t>
      </w:r>
      <w:r w:rsidR="00951351" w:rsidRPr="00DE12A3">
        <w:rPr>
          <w:sz w:val="24"/>
          <w:szCs w:val="24"/>
        </w:rPr>
        <w:t>çevriminin</w:t>
      </w:r>
      <w:r w:rsidR="00242DA0" w:rsidRPr="00DE12A3">
        <w:rPr>
          <w:sz w:val="24"/>
          <w:szCs w:val="24"/>
        </w:rPr>
        <w:t xml:space="preserve"> (ön ısıtmalı NRTC, LSI-NRTC veya NRSC) çalıştırılmasına karar verilirse ve diğer test </w:t>
      </w:r>
      <w:r w:rsidR="00951351" w:rsidRPr="00DE12A3">
        <w:rPr>
          <w:sz w:val="24"/>
          <w:szCs w:val="24"/>
        </w:rPr>
        <w:t>çevrimi</w:t>
      </w:r>
      <w:r w:rsidR="00242DA0" w:rsidRPr="00DE12A3">
        <w:rPr>
          <w:sz w:val="24"/>
          <w:szCs w:val="24"/>
        </w:rPr>
        <w:t xml:space="preserve">nde (ön ısıtmalı NRTC, LSI -NRTC veya NRSC) servis birikme programının sadece başında ve sonunda çalıştırılırsa, her test noktasında yürütülen test </w:t>
      </w:r>
      <w:r w:rsidR="00951351" w:rsidRPr="00DE12A3">
        <w:rPr>
          <w:sz w:val="24"/>
          <w:szCs w:val="24"/>
        </w:rPr>
        <w:t>çevrimi</w:t>
      </w:r>
      <w:r w:rsidR="00242DA0" w:rsidRPr="00DE12A3">
        <w:rPr>
          <w:sz w:val="24"/>
          <w:szCs w:val="24"/>
        </w:rPr>
        <w:t xml:space="preserve"> için hesaplanan bozulma faktörü diğer test </w:t>
      </w:r>
      <w:r w:rsidR="00951351" w:rsidRPr="00DE12A3">
        <w:rPr>
          <w:sz w:val="24"/>
          <w:szCs w:val="24"/>
        </w:rPr>
        <w:t xml:space="preserve">çevrimi </w:t>
      </w:r>
      <w:r w:rsidR="00242DA0" w:rsidRPr="00DE12A3">
        <w:rPr>
          <w:sz w:val="24"/>
          <w:szCs w:val="24"/>
        </w:rPr>
        <w:t>için de uygulanabilir.</w:t>
      </w:r>
    </w:p>
    <w:p w14:paraId="01BFE822" w14:textId="77777777" w:rsidR="00161343" w:rsidRPr="00DE12A3" w:rsidRDefault="00161343" w:rsidP="00FD3D8E">
      <w:pPr>
        <w:pStyle w:val="Gvdemetni50"/>
        <w:shd w:val="clear" w:color="auto" w:fill="auto"/>
        <w:spacing w:before="120" w:after="120" w:line="240" w:lineRule="auto"/>
        <w:ind w:left="1134" w:hanging="1134"/>
        <w:jc w:val="both"/>
        <w:rPr>
          <w:rStyle w:val="Gvdemetni5KalnDeiltalik0ptbolukbraklyor"/>
          <w:i w:val="0"/>
          <w:color w:val="auto"/>
          <w:sz w:val="24"/>
          <w:szCs w:val="24"/>
        </w:rPr>
      </w:pPr>
    </w:p>
    <w:p w14:paraId="3A3920B8" w14:textId="77777777" w:rsidR="002D7B36" w:rsidRPr="00DE12A3" w:rsidRDefault="00242DA0" w:rsidP="00C917D6">
      <w:pPr>
        <w:pStyle w:val="Gvdemetni50"/>
        <w:shd w:val="clear" w:color="auto" w:fill="auto"/>
        <w:spacing w:before="120" w:after="120" w:line="240" w:lineRule="auto"/>
        <w:ind w:left="1134" w:hanging="1134"/>
        <w:jc w:val="center"/>
        <w:rPr>
          <w:rStyle w:val="Gvdemetni5KalnDeiltalik0ptbolukbraklyor"/>
          <w:i w:val="0"/>
          <w:color w:val="auto"/>
          <w:sz w:val="24"/>
          <w:szCs w:val="24"/>
        </w:rPr>
      </w:pPr>
      <w:r w:rsidRPr="00DE12A3">
        <w:rPr>
          <w:rStyle w:val="Gvdemetni5KalnDeiltalik0ptbolukbraklyor"/>
          <w:i w:val="0"/>
          <w:color w:val="auto"/>
          <w:sz w:val="24"/>
          <w:szCs w:val="24"/>
        </w:rPr>
        <w:t>Şekil 3.1</w:t>
      </w:r>
    </w:p>
    <w:p w14:paraId="3CA8FE71" w14:textId="77777777" w:rsidR="002D7B36" w:rsidRPr="00DE12A3" w:rsidRDefault="00242DA0" w:rsidP="00C917D6">
      <w:pPr>
        <w:pStyle w:val="Gvdemetni50"/>
        <w:shd w:val="clear" w:color="auto" w:fill="auto"/>
        <w:spacing w:before="120" w:after="120" w:line="240" w:lineRule="auto"/>
        <w:ind w:left="1134" w:hanging="1134"/>
        <w:jc w:val="center"/>
        <w:rPr>
          <w:rStyle w:val="Gvdemetni5KalnDeiltalik0ptbolukbraklyor"/>
          <w:b/>
          <w:i w:val="0"/>
          <w:color w:val="auto"/>
          <w:sz w:val="24"/>
          <w:szCs w:val="24"/>
        </w:rPr>
      </w:pPr>
      <w:r w:rsidRPr="00DE12A3">
        <w:rPr>
          <w:rStyle w:val="Gvdemetni5KalnDeiltalik0ptbolukbraklyor"/>
          <w:b/>
          <w:i w:val="0"/>
          <w:color w:val="auto"/>
          <w:sz w:val="24"/>
          <w:szCs w:val="24"/>
        </w:rPr>
        <w:t>BF belirleme örneği</w:t>
      </w:r>
    </w:p>
    <w:p w14:paraId="3A3611D0" w14:textId="7351FDEE" w:rsidR="002D7B36" w:rsidRPr="00DE12A3" w:rsidRDefault="00FA490B" w:rsidP="00FA490B">
      <w:pPr>
        <w:pStyle w:val="Gvdemetni50"/>
        <w:shd w:val="clear" w:color="auto" w:fill="auto"/>
        <w:spacing w:before="120" w:after="120" w:line="240" w:lineRule="auto"/>
        <w:ind w:left="1134" w:hanging="1134"/>
        <w:jc w:val="center"/>
        <w:rPr>
          <w:rStyle w:val="Gvdemetni5KalnDeiltalik0ptbolukbraklyor"/>
          <w:b/>
          <w:i w:val="0"/>
          <w:color w:val="auto"/>
          <w:sz w:val="20"/>
          <w:szCs w:val="20"/>
        </w:rPr>
      </w:pPr>
      <w:r w:rsidRPr="00DE12A3">
        <w:rPr>
          <w:noProof/>
          <w:lang w:eastAsia="tr-TR"/>
        </w:rPr>
        <w:drawing>
          <wp:inline distT="0" distB="0" distL="0" distR="0" wp14:anchorId="435CABFD" wp14:editId="553ED0EA">
            <wp:extent cx="4892400" cy="2386800"/>
            <wp:effectExtent l="0" t="0" r="3810" b="0"/>
            <wp:docPr id="1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a:xfrm>
                      <a:off x="0" y="0"/>
                      <a:ext cx="4892400" cy="2386800"/>
                    </a:xfrm>
                    <a:prstGeom prst="rect">
                      <a:avLst/>
                    </a:prstGeom>
                    <a:noFill/>
                    <a:ln>
                      <a:noFill/>
                    </a:ln>
                  </pic:spPr>
                </pic:pic>
              </a:graphicData>
            </a:graphic>
          </wp:inline>
        </w:drawing>
      </w:r>
    </w:p>
    <w:p w14:paraId="501AB3A0" w14:textId="77777777" w:rsidR="002D7B36" w:rsidRPr="00DE12A3" w:rsidRDefault="002D7B36" w:rsidP="007663C6">
      <w:pPr>
        <w:pStyle w:val="Gvdemetni50"/>
        <w:shd w:val="clear" w:color="auto" w:fill="auto"/>
        <w:spacing w:before="120" w:after="120" w:line="240" w:lineRule="auto"/>
        <w:jc w:val="both"/>
        <w:rPr>
          <w:b w:val="0"/>
          <w:bCs w:val="0"/>
          <w:iCs/>
          <w:sz w:val="20"/>
          <w:szCs w:val="20"/>
        </w:rPr>
      </w:pPr>
    </w:p>
    <w:p w14:paraId="2B69DDF6" w14:textId="25C1B3F6" w:rsidR="002D7B36" w:rsidRPr="00DE12A3" w:rsidRDefault="007663C6" w:rsidP="007663C6">
      <w:pPr>
        <w:pStyle w:val="Gvdemetni250"/>
        <w:shd w:val="clear" w:color="auto" w:fill="auto"/>
        <w:spacing w:before="120" w:after="120" w:line="240" w:lineRule="auto"/>
        <w:ind w:firstLine="0"/>
        <w:rPr>
          <w:sz w:val="24"/>
          <w:szCs w:val="24"/>
        </w:rPr>
      </w:pPr>
      <w:r w:rsidRPr="00DE12A3">
        <w:rPr>
          <w:sz w:val="24"/>
          <w:szCs w:val="24"/>
        </w:rPr>
        <w:t xml:space="preserve">3.2.6. </w:t>
      </w:r>
      <w:r w:rsidR="00ED1229" w:rsidRPr="00DE12A3">
        <w:rPr>
          <w:sz w:val="24"/>
          <w:szCs w:val="24"/>
        </w:rPr>
        <w:t xml:space="preserve">   </w:t>
      </w:r>
      <w:r w:rsidR="00242DA0" w:rsidRPr="00DE12A3">
        <w:rPr>
          <w:sz w:val="24"/>
          <w:szCs w:val="24"/>
        </w:rPr>
        <w:t>Belirlenmiş bozulma faktörleri</w:t>
      </w:r>
    </w:p>
    <w:p w14:paraId="1775023B" w14:textId="5814DBD2" w:rsidR="00F7678E" w:rsidRPr="00DE12A3" w:rsidRDefault="007663C6" w:rsidP="007663C6">
      <w:pPr>
        <w:pStyle w:val="Gvdemetni250"/>
        <w:shd w:val="clear" w:color="auto" w:fill="auto"/>
        <w:spacing w:before="120" w:after="120" w:line="240" w:lineRule="auto"/>
        <w:ind w:firstLine="0"/>
        <w:rPr>
          <w:sz w:val="20"/>
          <w:szCs w:val="20"/>
        </w:rPr>
      </w:pPr>
      <w:r w:rsidRPr="00DE12A3">
        <w:rPr>
          <w:sz w:val="24"/>
          <w:szCs w:val="24"/>
        </w:rPr>
        <w:t>3.2.6.1.</w:t>
      </w:r>
      <w:r w:rsidR="006C4D23" w:rsidRPr="00DE12A3">
        <w:rPr>
          <w:sz w:val="24"/>
          <w:szCs w:val="24"/>
        </w:rPr>
        <w:t xml:space="preserve"> </w:t>
      </w:r>
      <w:r w:rsidR="00242DA0" w:rsidRPr="00DE12A3">
        <w:rPr>
          <w:sz w:val="24"/>
          <w:szCs w:val="24"/>
        </w:rPr>
        <w:t>BF'leri belirlemek için bir servis birikme programı kullanılmasına alternatif olarak, motor imalatçıları Tablo 3</w:t>
      </w:r>
      <w:r w:rsidR="00677F2C" w:rsidRPr="00DE12A3">
        <w:rPr>
          <w:sz w:val="24"/>
          <w:szCs w:val="24"/>
        </w:rPr>
        <w:t>.1</w:t>
      </w:r>
      <w:r w:rsidR="00242DA0" w:rsidRPr="00DE12A3">
        <w:rPr>
          <w:sz w:val="24"/>
          <w:szCs w:val="24"/>
        </w:rPr>
        <w:t>'de verilen belirlenmiş çarpımsal</w:t>
      </w:r>
      <w:r w:rsidR="002566A1" w:rsidRPr="00DE12A3">
        <w:rPr>
          <w:sz w:val="24"/>
          <w:szCs w:val="24"/>
        </w:rPr>
        <w:t xml:space="preserve"> </w:t>
      </w:r>
      <w:r w:rsidR="00242DA0" w:rsidRPr="00DE12A3">
        <w:rPr>
          <w:sz w:val="24"/>
          <w:szCs w:val="24"/>
        </w:rPr>
        <w:t>BF'ler kullanmayı seçebilir.</w:t>
      </w:r>
    </w:p>
    <w:p w14:paraId="7EE35F6E" w14:textId="77777777" w:rsidR="006C4D23" w:rsidRPr="00DE12A3" w:rsidRDefault="006C4D23" w:rsidP="007663C6">
      <w:pPr>
        <w:pStyle w:val="Gvdemetni250"/>
        <w:shd w:val="clear" w:color="auto" w:fill="auto"/>
        <w:spacing w:before="120" w:after="120" w:line="240" w:lineRule="auto"/>
        <w:ind w:firstLine="0"/>
        <w:rPr>
          <w:sz w:val="20"/>
          <w:szCs w:val="20"/>
        </w:rPr>
      </w:pP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714"/>
        <w:gridCol w:w="1188"/>
        <w:gridCol w:w="1181"/>
        <w:gridCol w:w="1188"/>
        <w:gridCol w:w="1181"/>
        <w:gridCol w:w="1240"/>
      </w:tblGrid>
      <w:tr w:rsidR="00DE12A3" w:rsidRPr="00DE12A3" w14:paraId="345B1A1C" w14:textId="77777777" w:rsidTr="00677F2C">
        <w:trPr>
          <w:trHeight w:hRule="exact" w:val="585"/>
          <w:jc w:val="right"/>
        </w:trPr>
        <w:tc>
          <w:tcPr>
            <w:tcW w:w="7692" w:type="dxa"/>
            <w:gridSpan w:val="6"/>
            <w:shd w:val="clear" w:color="auto" w:fill="auto"/>
          </w:tcPr>
          <w:p w14:paraId="73D10288" w14:textId="77777777" w:rsidR="00EF2C88" w:rsidRPr="00DE12A3" w:rsidRDefault="00EF2C88" w:rsidP="007663C6">
            <w:pPr>
              <w:pStyle w:val="Gvdemetni360"/>
              <w:shd w:val="clear" w:color="auto" w:fill="auto"/>
              <w:spacing w:before="120" w:after="120" w:line="240" w:lineRule="auto"/>
              <w:ind w:left="1134" w:hanging="1134"/>
              <w:jc w:val="center"/>
              <w:rPr>
                <w:rStyle w:val="Gvdemetni365pt0ptbolukbraklyor"/>
                <w:color w:val="auto"/>
                <w:sz w:val="24"/>
                <w:szCs w:val="24"/>
              </w:rPr>
            </w:pPr>
            <w:r w:rsidRPr="00DE12A3">
              <w:rPr>
                <w:rStyle w:val="Gvdemetni365pt0ptbolukbraklyor"/>
                <w:color w:val="auto"/>
                <w:sz w:val="24"/>
                <w:szCs w:val="24"/>
              </w:rPr>
              <w:lastRenderedPageBreak/>
              <w:t>Tablo 3.1</w:t>
            </w:r>
          </w:p>
        </w:tc>
      </w:tr>
      <w:tr w:rsidR="00DE12A3" w:rsidRPr="00DE12A3" w14:paraId="3CA6006B" w14:textId="77777777" w:rsidTr="00677F2C">
        <w:trPr>
          <w:trHeight w:hRule="exact" w:val="555"/>
          <w:jc w:val="right"/>
        </w:trPr>
        <w:tc>
          <w:tcPr>
            <w:tcW w:w="7692" w:type="dxa"/>
            <w:gridSpan w:val="6"/>
            <w:shd w:val="clear" w:color="auto" w:fill="auto"/>
          </w:tcPr>
          <w:p w14:paraId="26058402" w14:textId="77777777" w:rsidR="00EF2C88" w:rsidRPr="00DE12A3" w:rsidRDefault="00EF2C88" w:rsidP="007663C6">
            <w:pPr>
              <w:pStyle w:val="Gvdemetni360"/>
              <w:shd w:val="clear" w:color="auto" w:fill="auto"/>
              <w:spacing w:before="120" w:after="120" w:line="240" w:lineRule="auto"/>
              <w:ind w:left="1134" w:hanging="1134"/>
              <w:jc w:val="center"/>
              <w:rPr>
                <w:rStyle w:val="Gvdemetni365pt0ptbolukbraklyor"/>
                <w:b/>
                <w:color w:val="auto"/>
                <w:sz w:val="20"/>
                <w:szCs w:val="20"/>
              </w:rPr>
            </w:pPr>
            <w:r w:rsidRPr="00DE12A3">
              <w:rPr>
                <w:rStyle w:val="Gvdemetni365pt0ptbolukbraklyor"/>
                <w:b/>
                <w:color w:val="auto"/>
                <w:sz w:val="24"/>
                <w:szCs w:val="24"/>
              </w:rPr>
              <w:t>Belirlenmiş Bozulma Faktörleri</w:t>
            </w:r>
          </w:p>
        </w:tc>
      </w:tr>
      <w:tr w:rsidR="00DE12A3" w:rsidRPr="00DE12A3" w14:paraId="54482A94" w14:textId="77777777" w:rsidTr="00677F2C">
        <w:trPr>
          <w:trHeight w:hRule="exact" w:val="885"/>
          <w:jc w:val="right"/>
        </w:trPr>
        <w:tc>
          <w:tcPr>
            <w:tcW w:w="1714" w:type="dxa"/>
            <w:shd w:val="clear" w:color="auto" w:fill="auto"/>
          </w:tcPr>
          <w:p w14:paraId="476ACB7B" w14:textId="77777777" w:rsidR="00EF2C88" w:rsidRPr="00DE12A3" w:rsidRDefault="00EF2C88" w:rsidP="00B655AE">
            <w:pPr>
              <w:pStyle w:val="Gvdemetni360"/>
              <w:shd w:val="clear" w:color="auto" w:fill="auto"/>
              <w:spacing w:before="120" w:after="120" w:line="240" w:lineRule="auto"/>
              <w:ind w:left="1134" w:hanging="1134"/>
              <w:jc w:val="center"/>
              <w:rPr>
                <w:sz w:val="20"/>
                <w:szCs w:val="20"/>
              </w:rPr>
            </w:pPr>
            <w:r w:rsidRPr="00DE12A3">
              <w:rPr>
                <w:rStyle w:val="Gvdemetni367pt0ptbolukbraklyor"/>
                <w:color w:val="auto"/>
                <w:sz w:val="20"/>
                <w:szCs w:val="20"/>
              </w:rPr>
              <w:t>Test</w:t>
            </w:r>
          </w:p>
          <w:p w14:paraId="670D19E1" w14:textId="77777777" w:rsidR="00EF2C88" w:rsidRPr="00DE12A3" w:rsidRDefault="00F310B5" w:rsidP="00B655AE">
            <w:pPr>
              <w:pStyle w:val="Gvdemetni360"/>
              <w:shd w:val="clear" w:color="auto" w:fill="auto"/>
              <w:spacing w:before="120" w:after="120" w:line="240" w:lineRule="auto"/>
              <w:ind w:left="1134" w:hanging="1134"/>
              <w:jc w:val="center"/>
              <w:rPr>
                <w:sz w:val="20"/>
                <w:szCs w:val="20"/>
              </w:rPr>
            </w:pPr>
            <w:r w:rsidRPr="00DE12A3">
              <w:rPr>
                <w:rStyle w:val="Gvdemetni367pt0ptbolukbraklyor"/>
                <w:color w:val="auto"/>
                <w:sz w:val="20"/>
                <w:szCs w:val="20"/>
              </w:rPr>
              <w:t>çevrimi</w:t>
            </w:r>
          </w:p>
        </w:tc>
        <w:tc>
          <w:tcPr>
            <w:tcW w:w="1188" w:type="dxa"/>
            <w:shd w:val="clear" w:color="auto" w:fill="auto"/>
          </w:tcPr>
          <w:p w14:paraId="7CA6B1AA" w14:textId="77777777" w:rsidR="00EF2C88" w:rsidRPr="00DE12A3" w:rsidRDefault="00EF2C88" w:rsidP="00B655AE">
            <w:pPr>
              <w:pStyle w:val="Gvdemetni360"/>
              <w:shd w:val="clear" w:color="auto" w:fill="auto"/>
              <w:spacing w:before="120" w:after="120" w:line="240" w:lineRule="auto"/>
              <w:ind w:left="1134" w:hanging="1134"/>
              <w:jc w:val="center"/>
              <w:rPr>
                <w:sz w:val="20"/>
                <w:szCs w:val="20"/>
              </w:rPr>
            </w:pPr>
            <w:r w:rsidRPr="00DE12A3">
              <w:rPr>
                <w:rStyle w:val="Gvdemetni365pt0ptbolukbraklyor"/>
                <w:color w:val="auto"/>
                <w:sz w:val="20"/>
                <w:szCs w:val="20"/>
              </w:rPr>
              <w:t>CO</w:t>
            </w:r>
          </w:p>
        </w:tc>
        <w:tc>
          <w:tcPr>
            <w:tcW w:w="1181" w:type="dxa"/>
            <w:shd w:val="clear" w:color="auto" w:fill="auto"/>
          </w:tcPr>
          <w:p w14:paraId="21FABA4D" w14:textId="77777777" w:rsidR="00EF2C88" w:rsidRPr="00DE12A3" w:rsidRDefault="00EF2C88" w:rsidP="00B655AE">
            <w:pPr>
              <w:pStyle w:val="Gvdemetni360"/>
              <w:shd w:val="clear" w:color="auto" w:fill="auto"/>
              <w:spacing w:before="120" w:after="120" w:line="240" w:lineRule="auto"/>
              <w:ind w:left="1134" w:hanging="1134"/>
              <w:jc w:val="center"/>
              <w:rPr>
                <w:sz w:val="20"/>
                <w:szCs w:val="20"/>
              </w:rPr>
            </w:pPr>
            <w:r w:rsidRPr="00DE12A3">
              <w:rPr>
                <w:rStyle w:val="Gvdemetni365pt0ptbolukbraklyor"/>
                <w:color w:val="auto"/>
                <w:sz w:val="20"/>
                <w:szCs w:val="20"/>
              </w:rPr>
              <w:t>HC</w:t>
            </w:r>
          </w:p>
        </w:tc>
        <w:tc>
          <w:tcPr>
            <w:tcW w:w="1188" w:type="dxa"/>
            <w:shd w:val="clear" w:color="auto" w:fill="auto"/>
          </w:tcPr>
          <w:p w14:paraId="2AC9D30C" w14:textId="77777777" w:rsidR="00EF2C88" w:rsidRPr="00DE12A3" w:rsidRDefault="00EF2C88" w:rsidP="00B655AE">
            <w:pPr>
              <w:pStyle w:val="Gvdemetni360"/>
              <w:shd w:val="clear" w:color="auto" w:fill="auto"/>
              <w:spacing w:before="120" w:after="120" w:line="240" w:lineRule="auto"/>
              <w:ind w:left="1134" w:hanging="1134"/>
              <w:jc w:val="center"/>
              <w:rPr>
                <w:sz w:val="20"/>
                <w:szCs w:val="20"/>
              </w:rPr>
            </w:pPr>
            <w:r w:rsidRPr="00DE12A3">
              <w:rPr>
                <w:rStyle w:val="Gvdemetni367pt0ptbolukbraklyor"/>
                <w:color w:val="auto"/>
                <w:sz w:val="20"/>
                <w:szCs w:val="20"/>
                <w:lang w:val="tr-TR"/>
              </w:rPr>
              <w:t>NO</w:t>
            </w:r>
            <w:r w:rsidRPr="00DE12A3">
              <w:rPr>
                <w:rStyle w:val="Gvdemetni365pt"/>
                <w:color w:val="auto"/>
                <w:sz w:val="20"/>
                <w:szCs w:val="20"/>
              </w:rPr>
              <w:t>x</w:t>
            </w:r>
          </w:p>
        </w:tc>
        <w:tc>
          <w:tcPr>
            <w:tcW w:w="1181" w:type="dxa"/>
            <w:shd w:val="clear" w:color="auto" w:fill="auto"/>
          </w:tcPr>
          <w:p w14:paraId="1BB23A3E" w14:textId="77777777" w:rsidR="00EF2C88" w:rsidRPr="00DE12A3" w:rsidRDefault="00EF2C88" w:rsidP="00B655AE">
            <w:pPr>
              <w:pStyle w:val="Gvdemetni360"/>
              <w:shd w:val="clear" w:color="auto" w:fill="auto"/>
              <w:spacing w:before="120" w:after="120" w:line="240" w:lineRule="auto"/>
              <w:ind w:left="1134" w:hanging="1134"/>
              <w:jc w:val="center"/>
              <w:rPr>
                <w:sz w:val="20"/>
                <w:szCs w:val="20"/>
              </w:rPr>
            </w:pPr>
            <w:r w:rsidRPr="00DE12A3">
              <w:rPr>
                <w:rStyle w:val="Gvdemetni365pt0ptbolukbraklyor"/>
                <w:color w:val="auto"/>
                <w:sz w:val="20"/>
                <w:szCs w:val="20"/>
              </w:rPr>
              <w:t>PM</w:t>
            </w:r>
          </w:p>
        </w:tc>
        <w:tc>
          <w:tcPr>
            <w:tcW w:w="1240" w:type="dxa"/>
            <w:shd w:val="clear" w:color="auto" w:fill="auto"/>
          </w:tcPr>
          <w:p w14:paraId="1F712FEC" w14:textId="77777777" w:rsidR="00EF2C88" w:rsidRPr="00DE12A3" w:rsidRDefault="00EF2C88" w:rsidP="00B655AE">
            <w:pPr>
              <w:pStyle w:val="Gvdemetni360"/>
              <w:shd w:val="clear" w:color="auto" w:fill="auto"/>
              <w:spacing w:before="120" w:after="120" w:line="240" w:lineRule="auto"/>
              <w:ind w:left="1134" w:hanging="1134"/>
              <w:jc w:val="center"/>
              <w:rPr>
                <w:sz w:val="20"/>
                <w:szCs w:val="20"/>
              </w:rPr>
            </w:pPr>
            <w:r w:rsidRPr="00DE12A3">
              <w:rPr>
                <w:rStyle w:val="Gvdemetni365pt0ptbolukbraklyor"/>
                <w:color w:val="auto"/>
                <w:sz w:val="20"/>
                <w:szCs w:val="20"/>
              </w:rPr>
              <w:t>PN</w:t>
            </w:r>
          </w:p>
        </w:tc>
      </w:tr>
      <w:tr w:rsidR="00DE12A3" w:rsidRPr="00DE12A3" w14:paraId="44CA393D" w14:textId="77777777" w:rsidTr="00677F2C">
        <w:trPr>
          <w:trHeight w:hRule="exact" w:val="790"/>
          <w:jc w:val="right"/>
        </w:trPr>
        <w:tc>
          <w:tcPr>
            <w:tcW w:w="1714" w:type="dxa"/>
            <w:shd w:val="clear" w:color="auto" w:fill="auto"/>
          </w:tcPr>
          <w:p w14:paraId="6F96524B" w14:textId="77777777" w:rsidR="00EF2C88" w:rsidRPr="00DE12A3" w:rsidRDefault="00EF2C88" w:rsidP="007663C6">
            <w:pPr>
              <w:pStyle w:val="Gvdemetni360"/>
              <w:shd w:val="clear" w:color="auto" w:fill="auto"/>
              <w:spacing w:before="120" w:after="120" w:line="240" w:lineRule="auto"/>
              <w:ind w:left="1134" w:hanging="1134"/>
              <w:rPr>
                <w:sz w:val="20"/>
                <w:szCs w:val="20"/>
              </w:rPr>
            </w:pPr>
            <w:r w:rsidRPr="00DE12A3">
              <w:rPr>
                <w:rStyle w:val="Gvdemetni366pt0ptbolukbraklyor"/>
                <w:color w:val="auto"/>
                <w:sz w:val="20"/>
                <w:szCs w:val="20"/>
                <w:lang w:val="tr-TR"/>
              </w:rPr>
              <w:t>NRTC ve LSI-NRTC</w:t>
            </w:r>
          </w:p>
        </w:tc>
        <w:tc>
          <w:tcPr>
            <w:tcW w:w="1188" w:type="dxa"/>
            <w:shd w:val="clear" w:color="auto" w:fill="auto"/>
          </w:tcPr>
          <w:p w14:paraId="74E001FA" w14:textId="77777777" w:rsidR="00EF2C88" w:rsidRPr="00DE12A3" w:rsidRDefault="00EF2C88" w:rsidP="00B655AE">
            <w:pPr>
              <w:pStyle w:val="Gvdemetni360"/>
              <w:shd w:val="clear" w:color="auto" w:fill="auto"/>
              <w:spacing w:before="120" w:after="120" w:line="240" w:lineRule="auto"/>
              <w:ind w:left="1134" w:hanging="1134"/>
              <w:jc w:val="center"/>
              <w:rPr>
                <w:sz w:val="20"/>
                <w:szCs w:val="20"/>
              </w:rPr>
            </w:pPr>
            <w:r w:rsidRPr="00DE12A3">
              <w:rPr>
                <w:rStyle w:val="Gvdemetni366pt0ptbolukbraklyor"/>
                <w:color w:val="auto"/>
                <w:sz w:val="20"/>
                <w:szCs w:val="20"/>
                <w:lang w:val="tr-TR"/>
              </w:rPr>
              <w:t>1,3</w:t>
            </w:r>
          </w:p>
        </w:tc>
        <w:tc>
          <w:tcPr>
            <w:tcW w:w="1181" w:type="dxa"/>
            <w:shd w:val="clear" w:color="auto" w:fill="auto"/>
          </w:tcPr>
          <w:p w14:paraId="50B8C20A" w14:textId="77777777" w:rsidR="00EF2C88" w:rsidRPr="00DE12A3" w:rsidRDefault="00EF2C88" w:rsidP="00B655AE">
            <w:pPr>
              <w:pStyle w:val="Gvdemetni360"/>
              <w:shd w:val="clear" w:color="auto" w:fill="auto"/>
              <w:spacing w:before="120" w:after="120" w:line="240" w:lineRule="auto"/>
              <w:ind w:left="1134" w:hanging="1134"/>
              <w:jc w:val="center"/>
              <w:rPr>
                <w:sz w:val="20"/>
                <w:szCs w:val="20"/>
              </w:rPr>
            </w:pPr>
            <w:r w:rsidRPr="00DE12A3">
              <w:rPr>
                <w:rStyle w:val="Gvdemetni366pt0ptbolukbraklyor"/>
                <w:color w:val="auto"/>
                <w:sz w:val="20"/>
                <w:szCs w:val="20"/>
                <w:lang w:val="tr-TR"/>
              </w:rPr>
              <w:t>1,3</w:t>
            </w:r>
          </w:p>
        </w:tc>
        <w:tc>
          <w:tcPr>
            <w:tcW w:w="1188" w:type="dxa"/>
            <w:shd w:val="clear" w:color="auto" w:fill="auto"/>
          </w:tcPr>
          <w:p w14:paraId="5AF8DAF7" w14:textId="77777777" w:rsidR="00EF2C88" w:rsidRPr="00DE12A3" w:rsidRDefault="00EF2C88" w:rsidP="00B655AE">
            <w:pPr>
              <w:pStyle w:val="Gvdemetni360"/>
              <w:shd w:val="clear" w:color="auto" w:fill="auto"/>
              <w:spacing w:before="120" w:after="120" w:line="240" w:lineRule="auto"/>
              <w:ind w:left="1134" w:hanging="1134"/>
              <w:jc w:val="center"/>
              <w:rPr>
                <w:sz w:val="20"/>
                <w:szCs w:val="20"/>
              </w:rPr>
            </w:pPr>
            <w:r w:rsidRPr="00DE12A3">
              <w:rPr>
                <w:rStyle w:val="Gvdemetni366pt0ptbolukbraklyor"/>
                <w:color w:val="auto"/>
                <w:sz w:val="20"/>
                <w:szCs w:val="20"/>
                <w:lang w:val="tr-TR"/>
              </w:rPr>
              <w:t>1,15</w:t>
            </w:r>
          </w:p>
        </w:tc>
        <w:tc>
          <w:tcPr>
            <w:tcW w:w="1181" w:type="dxa"/>
            <w:shd w:val="clear" w:color="auto" w:fill="auto"/>
          </w:tcPr>
          <w:p w14:paraId="17F50DB3" w14:textId="77777777" w:rsidR="00EF2C88" w:rsidRPr="00DE12A3" w:rsidRDefault="00EF2C88" w:rsidP="00B655AE">
            <w:pPr>
              <w:pStyle w:val="Gvdemetni360"/>
              <w:shd w:val="clear" w:color="auto" w:fill="auto"/>
              <w:spacing w:before="120" w:after="120" w:line="240" w:lineRule="auto"/>
              <w:ind w:left="1134" w:hanging="1134"/>
              <w:jc w:val="center"/>
              <w:rPr>
                <w:sz w:val="20"/>
                <w:szCs w:val="20"/>
              </w:rPr>
            </w:pPr>
            <w:r w:rsidRPr="00DE12A3">
              <w:rPr>
                <w:rStyle w:val="Gvdemetni366pt0ptbolukbraklyor"/>
                <w:color w:val="auto"/>
                <w:sz w:val="20"/>
                <w:szCs w:val="20"/>
                <w:lang w:val="tr-TR"/>
              </w:rPr>
              <w:t>1,05</w:t>
            </w:r>
          </w:p>
        </w:tc>
        <w:tc>
          <w:tcPr>
            <w:tcW w:w="1240" w:type="dxa"/>
            <w:shd w:val="clear" w:color="auto" w:fill="auto"/>
          </w:tcPr>
          <w:p w14:paraId="2F1B48F2" w14:textId="77777777" w:rsidR="00EF2C88" w:rsidRPr="00DE12A3" w:rsidRDefault="00EF2C88" w:rsidP="00B655AE">
            <w:pPr>
              <w:pStyle w:val="Gvdemetni360"/>
              <w:shd w:val="clear" w:color="auto" w:fill="auto"/>
              <w:spacing w:before="120" w:after="120" w:line="240" w:lineRule="auto"/>
              <w:ind w:left="1134" w:hanging="1134"/>
              <w:jc w:val="center"/>
              <w:rPr>
                <w:sz w:val="20"/>
                <w:szCs w:val="20"/>
              </w:rPr>
            </w:pPr>
            <w:r w:rsidRPr="00DE12A3">
              <w:rPr>
                <w:rStyle w:val="Gvdemetni367pt0ptbolukbraklyor"/>
                <w:color w:val="auto"/>
                <w:sz w:val="20"/>
                <w:szCs w:val="20"/>
                <w:lang w:val="tr-TR"/>
              </w:rPr>
              <w:t>1,0</w:t>
            </w:r>
          </w:p>
        </w:tc>
      </w:tr>
      <w:tr w:rsidR="00EF2C88" w:rsidRPr="00DE12A3" w14:paraId="3C54A715" w14:textId="77777777" w:rsidTr="00677F2C">
        <w:trPr>
          <w:trHeight w:hRule="exact" w:val="574"/>
          <w:jc w:val="right"/>
        </w:trPr>
        <w:tc>
          <w:tcPr>
            <w:tcW w:w="1714" w:type="dxa"/>
            <w:shd w:val="clear" w:color="auto" w:fill="auto"/>
          </w:tcPr>
          <w:p w14:paraId="1D02C463" w14:textId="77777777" w:rsidR="00EF2C88" w:rsidRPr="00DE12A3" w:rsidRDefault="00EF2C88" w:rsidP="007663C6">
            <w:pPr>
              <w:pStyle w:val="Gvdemetni360"/>
              <w:shd w:val="clear" w:color="auto" w:fill="auto"/>
              <w:spacing w:before="120" w:after="120" w:line="240" w:lineRule="auto"/>
              <w:ind w:left="1134" w:hanging="1134"/>
              <w:rPr>
                <w:sz w:val="20"/>
                <w:szCs w:val="20"/>
              </w:rPr>
            </w:pPr>
            <w:r w:rsidRPr="00DE12A3">
              <w:rPr>
                <w:rStyle w:val="Gvdemetni366pt0ptbolukbraklyor"/>
                <w:color w:val="auto"/>
                <w:sz w:val="20"/>
                <w:szCs w:val="20"/>
                <w:lang w:val="tr-TR"/>
              </w:rPr>
              <w:t>NRSC</w:t>
            </w:r>
          </w:p>
        </w:tc>
        <w:tc>
          <w:tcPr>
            <w:tcW w:w="1188" w:type="dxa"/>
            <w:shd w:val="clear" w:color="auto" w:fill="auto"/>
          </w:tcPr>
          <w:p w14:paraId="0E34BAAC" w14:textId="77777777" w:rsidR="00EF2C88" w:rsidRPr="00DE12A3" w:rsidRDefault="00EF2C88" w:rsidP="00B655AE">
            <w:pPr>
              <w:pStyle w:val="Gvdemetni360"/>
              <w:shd w:val="clear" w:color="auto" w:fill="auto"/>
              <w:spacing w:before="120" w:after="120" w:line="240" w:lineRule="auto"/>
              <w:ind w:left="1134" w:hanging="1134"/>
              <w:jc w:val="center"/>
              <w:rPr>
                <w:sz w:val="20"/>
                <w:szCs w:val="20"/>
              </w:rPr>
            </w:pPr>
            <w:r w:rsidRPr="00DE12A3">
              <w:rPr>
                <w:rStyle w:val="Gvdemetni366pt0ptbolukbraklyor"/>
                <w:color w:val="auto"/>
                <w:sz w:val="20"/>
                <w:szCs w:val="20"/>
                <w:lang w:val="tr-TR"/>
              </w:rPr>
              <w:t>1,3</w:t>
            </w:r>
          </w:p>
        </w:tc>
        <w:tc>
          <w:tcPr>
            <w:tcW w:w="1181" w:type="dxa"/>
            <w:shd w:val="clear" w:color="auto" w:fill="auto"/>
          </w:tcPr>
          <w:p w14:paraId="17EA0E83" w14:textId="77777777" w:rsidR="00EF2C88" w:rsidRPr="00DE12A3" w:rsidRDefault="00EF2C88" w:rsidP="00B655AE">
            <w:pPr>
              <w:pStyle w:val="Gvdemetni360"/>
              <w:shd w:val="clear" w:color="auto" w:fill="auto"/>
              <w:spacing w:before="120" w:after="120" w:line="240" w:lineRule="auto"/>
              <w:ind w:left="1134" w:hanging="1134"/>
              <w:jc w:val="center"/>
              <w:rPr>
                <w:sz w:val="20"/>
                <w:szCs w:val="20"/>
              </w:rPr>
            </w:pPr>
            <w:r w:rsidRPr="00DE12A3">
              <w:rPr>
                <w:rStyle w:val="Gvdemetni366pt0ptbolukbraklyor"/>
                <w:color w:val="auto"/>
                <w:sz w:val="20"/>
                <w:szCs w:val="20"/>
                <w:lang w:val="tr-TR"/>
              </w:rPr>
              <w:t>1,3</w:t>
            </w:r>
          </w:p>
        </w:tc>
        <w:tc>
          <w:tcPr>
            <w:tcW w:w="1188" w:type="dxa"/>
            <w:shd w:val="clear" w:color="auto" w:fill="auto"/>
          </w:tcPr>
          <w:p w14:paraId="093B69A5" w14:textId="77777777" w:rsidR="00EF2C88" w:rsidRPr="00DE12A3" w:rsidRDefault="00EF2C88" w:rsidP="00B655AE">
            <w:pPr>
              <w:pStyle w:val="Gvdemetni360"/>
              <w:shd w:val="clear" w:color="auto" w:fill="auto"/>
              <w:spacing w:before="120" w:after="120" w:line="240" w:lineRule="auto"/>
              <w:ind w:left="1134" w:hanging="1134"/>
              <w:jc w:val="center"/>
              <w:rPr>
                <w:sz w:val="20"/>
                <w:szCs w:val="20"/>
              </w:rPr>
            </w:pPr>
            <w:r w:rsidRPr="00DE12A3">
              <w:rPr>
                <w:rStyle w:val="Gvdemetni366pt0ptbolukbraklyor"/>
                <w:color w:val="auto"/>
                <w:sz w:val="20"/>
                <w:szCs w:val="20"/>
                <w:lang w:val="tr-TR"/>
              </w:rPr>
              <w:t>1,15</w:t>
            </w:r>
          </w:p>
        </w:tc>
        <w:tc>
          <w:tcPr>
            <w:tcW w:w="1181" w:type="dxa"/>
            <w:shd w:val="clear" w:color="auto" w:fill="auto"/>
          </w:tcPr>
          <w:p w14:paraId="47509F4E" w14:textId="77777777" w:rsidR="00EF2C88" w:rsidRPr="00DE12A3" w:rsidRDefault="00EF2C88" w:rsidP="00B655AE">
            <w:pPr>
              <w:pStyle w:val="Gvdemetni360"/>
              <w:shd w:val="clear" w:color="auto" w:fill="auto"/>
              <w:spacing w:before="120" w:after="120" w:line="240" w:lineRule="auto"/>
              <w:ind w:left="1134" w:hanging="1134"/>
              <w:jc w:val="center"/>
              <w:rPr>
                <w:sz w:val="20"/>
                <w:szCs w:val="20"/>
              </w:rPr>
            </w:pPr>
            <w:r w:rsidRPr="00DE12A3">
              <w:rPr>
                <w:rStyle w:val="Gvdemetni366pt0ptbolukbraklyor"/>
                <w:color w:val="auto"/>
                <w:sz w:val="20"/>
                <w:szCs w:val="20"/>
                <w:lang w:val="tr-TR"/>
              </w:rPr>
              <w:t>1,05</w:t>
            </w:r>
          </w:p>
        </w:tc>
        <w:tc>
          <w:tcPr>
            <w:tcW w:w="1240" w:type="dxa"/>
            <w:shd w:val="clear" w:color="auto" w:fill="auto"/>
          </w:tcPr>
          <w:p w14:paraId="7AFC4E4C" w14:textId="77777777" w:rsidR="00EF2C88" w:rsidRPr="00DE12A3" w:rsidRDefault="00EF2C88" w:rsidP="00B655AE">
            <w:pPr>
              <w:pStyle w:val="Gvdemetni360"/>
              <w:shd w:val="clear" w:color="auto" w:fill="auto"/>
              <w:spacing w:before="120" w:after="120" w:line="240" w:lineRule="auto"/>
              <w:ind w:left="1134" w:hanging="1134"/>
              <w:jc w:val="center"/>
              <w:rPr>
                <w:sz w:val="20"/>
                <w:szCs w:val="20"/>
              </w:rPr>
            </w:pPr>
            <w:r w:rsidRPr="00DE12A3">
              <w:rPr>
                <w:rStyle w:val="Gvdemetni367pt0ptbolukbraklyor"/>
                <w:color w:val="auto"/>
                <w:sz w:val="20"/>
                <w:szCs w:val="20"/>
                <w:lang w:val="tr-TR"/>
              </w:rPr>
              <w:t>1,0</w:t>
            </w:r>
          </w:p>
        </w:tc>
      </w:tr>
    </w:tbl>
    <w:p w14:paraId="169A92A5" w14:textId="77777777" w:rsidR="006C4D23" w:rsidRPr="00DE12A3" w:rsidRDefault="006C4D23" w:rsidP="007663C6">
      <w:pPr>
        <w:pStyle w:val="Gvdemetni250"/>
        <w:shd w:val="clear" w:color="auto" w:fill="auto"/>
        <w:spacing w:before="120" w:after="120" w:line="240" w:lineRule="auto"/>
        <w:ind w:firstLine="0"/>
        <w:rPr>
          <w:sz w:val="20"/>
          <w:szCs w:val="20"/>
        </w:rPr>
      </w:pPr>
    </w:p>
    <w:p w14:paraId="42F87864" w14:textId="254A39E6" w:rsidR="002D7B36" w:rsidRPr="00DE12A3" w:rsidRDefault="00242DA0" w:rsidP="004E52D3">
      <w:pPr>
        <w:pStyle w:val="Gvdemetni0"/>
        <w:shd w:val="clear" w:color="auto" w:fill="auto"/>
        <w:spacing w:before="120" w:after="120" w:line="240" w:lineRule="auto"/>
        <w:ind w:firstLine="0"/>
        <w:jc w:val="both"/>
        <w:rPr>
          <w:sz w:val="24"/>
          <w:szCs w:val="24"/>
        </w:rPr>
      </w:pPr>
      <w:r w:rsidRPr="00DE12A3">
        <w:rPr>
          <w:sz w:val="24"/>
          <w:szCs w:val="24"/>
        </w:rPr>
        <w:t>Belirlenmiş ilave BF'ler verilemez. Belirlenmiş çarpımsal</w:t>
      </w:r>
      <w:r w:rsidR="002566A1" w:rsidRPr="00DE12A3">
        <w:rPr>
          <w:sz w:val="24"/>
          <w:szCs w:val="24"/>
        </w:rPr>
        <w:t xml:space="preserve"> </w:t>
      </w:r>
      <w:r w:rsidRPr="00DE12A3">
        <w:rPr>
          <w:sz w:val="24"/>
          <w:szCs w:val="24"/>
        </w:rPr>
        <w:t>BF'ler, ilave BF'lere dönüştürülemez.</w:t>
      </w:r>
    </w:p>
    <w:p w14:paraId="247CAF77" w14:textId="7DDCC8F6" w:rsidR="002D7B36" w:rsidRPr="00DE12A3" w:rsidRDefault="004E52D3" w:rsidP="00127D94">
      <w:pPr>
        <w:jc w:val="both"/>
        <w:rPr>
          <w:rFonts w:eastAsia="Times New Roman" w:cs="Times New Roman"/>
          <w:color w:val="auto"/>
          <w:spacing w:val="3"/>
          <w:lang w:eastAsia="en-US"/>
        </w:rPr>
      </w:pPr>
      <w:r w:rsidRPr="00DE12A3">
        <w:rPr>
          <w:rFonts w:eastAsia="Times New Roman" w:cs="Times New Roman"/>
          <w:color w:val="auto"/>
          <w:spacing w:val="3"/>
          <w:lang w:eastAsia="en-US"/>
        </w:rPr>
        <w:t xml:space="preserve">3.2.6.1.1. </w:t>
      </w:r>
      <w:r w:rsidR="00242DA0" w:rsidRPr="00DE12A3">
        <w:rPr>
          <w:color w:val="auto"/>
        </w:rPr>
        <w:t>3.2.6.1 bendine bakılmaksızın, PN için, aşağıdaki koşulların her ikisi de yerine getirilirse, PN için bir değer belirlemeyen önceki BF testinin sonuçları ile bağlantılı olarak, ya 0,0'lık bir ilave BF ya da 1,0'lık bir çarpımsal BF kullanılabilir:</w:t>
      </w:r>
    </w:p>
    <w:p w14:paraId="5E643B53" w14:textId="56FBCFBD" w:rsidR="002D7B36" w:rsidRPr="00DE12A3" w:rsidRDefault="002620E9" w:rsidP="002620E9">
      <w:pPr>
        <w:pStyle w:val="Gvdemetni250"/>
        <w:shd w:val="clear" w:color="auto" w:fill="auto"/>
        <w:spacing w:before="120" w:after="120" w:line="240" w:lineRule="auto"/>
        <w:ind w:firstLine="709"/>
        <w:rPr>
          <w:sz w:val="24"/>
          <w:szCs w:val="24"/>
        </w:rPr>
      </w:pPr>
      <w:r w:rsidRPr="00DE12A3">
        <w:rPr>
          <w:sz w:val="24"/>
          <w:szCs w:val="24"/>
        </w:rPr>
        <w:t xml:space="preserve">(a) </w:t>
      </w:r>
      <w:r w:rsidR="00F7678E" w:rsidRPr="00DE12A3">
        <w:rPr>
          <w:sz w:val="24"/>
          <w:szCs w:val="24"/>
        </w:rPr>
        <w:t>Ö</w:t>
      </w:r>
      <w:r w:rsidR="00242DA0" w:rsidRPr="00DE12A3">
        <w:rPr>
          <w:sz w:val="24"/>
          <w:szCs w:val="24"/>
        </w:rPr>
        <w:t xml:space="preserve">nceki BF testi, BF'lerin uygulanması öngörülen motor ailesi ile 3.1.2 bendinde belirtilen aynı motor </w:t>
      </w:r>
      <w:r w:rsidR="007E2039" w:rsidRPr="00DE12A3">
        <w:rPr>
          <w:sz w:val="24"/>
          <w:szCs w:val="24"/>
        </w:rPr>
        <w:t xml:space="preserve">arıtma </w:t>
      </w:r>
      <w:r w:rsidR="00242DA0" w:rsidRPr="00DE12A3">
        <w:rPr>
          <w:sz w:val="24"/>
          <w:szCs w:val="24"/>
        </w:rPr>
        <w:t>sistemi ailesine dahil edilecek nitelikte motor teknolojisi üzerinde yapılmıştır</w:t>
      </w:r>
      <w:r w:rsidR="00006E5A" w:rsidRPr="00DE12A3">
        <w:rPr>
          <w:sz w:val="24"/>
          <w:szCs w:val="24"/>
        </w:rPr>
        <w:t>.</w:t>
      </w:r>
    </w:p>
    <w:p w14:paraId="4644C9DA" w14:textId="76C22486" w:rsidR="002D7B36" w:rsidRPr="00DE12A3" w:rsidRDefault="002620E9" w:rsidP="002620E9">
      <w:pPr>
        <w:pStyle w:val="Gvdemetni250"/>
        <w:shd w:val="clear" w:color="auto" w:fill="auto"/>
        <w:spacing w:before="120" w:after="120" w:line="240" w:lineRule="auto"/>
        <w:ind w:firstLine="709"/>
        <w:rPr>
          <w:sz w:val="24"/>
          <w:szCs w:val="24"/>
        </w:rPr>
      </w:pPr>
      <w:r w:rsidRPr="00DE12A3">
        <w:rPr>
          <w:sz w:val="24"/>
          <w:szCs w:val="24"/>
        </w:rPr>
        <w:t xml:space="preserve">(b) </w:t>
      </w:r>
      <w:r w:rsidR="00F7678E" w:rsidRPr="00DE12A3">
        <w:rPr>
          <w:sz w:val="24"/>
          <w:szCs w:val="24"/>
        </w:rPr>
        <w:t>T</w:t>
      </w:r>
      <w:r w:rsidR="00242DA0" w:rsidRPr="00DE12A3">
        <w:rPr>
          <w:sz w:val="24"/>
          <w:szCs w:val="24"/>
        </w:rPr>
        <w:t xml:space="preserve">est </w:t>
      </w:r>
      <w:r w:rsidR="00EF2C88" w:rsidRPr="00DE12A3">
        <w:rPr>
          <w:sz w:val="24"/>
          <w:szCs w:val="24"/>
        </w:rPr>
        <w:t>sonuçları, 2016</w:t>
      </w:r>
      <w:r w:rsidR="00EE5D5E" w:rsidRPr="00DE12A3">
        <w:rPr>
          <w:sz w:val="24"/>
          <w:szCs w:val="24"/>
        </w:rPr>
        <w:t>/1628/AB Yönetmeliği</w:t>
      </w:r>
      <w:r w:rsidR="00006E5A" w:rsidRPr="00DE12A3">
        <w:rPr>
          <w:sz w:val="24"/>
          <w:szCs w:val="24"/>
        </w:rPr>
        <w:t>nin</w:t>
      </w:r>
      <w:r w:rsidR="00EE5D5E" w:rsidRPr="00DE12A3">
        <w:rPr>
          <w:sz w:val="24"/>
          <w:szCs w:val="24"/>
        </w:rPr>
        <w:t xml:space="preserve"> </w:t>
      </w:r>
      <w:r w:rsidR="00242DA0" w:rsidRPr="00DE12A3">
        <w:rPr>
          <w:sz w:val="24"/>
          <w:szCs w:val="24"/>
        </w:rPr>
        <w:t>III</w:t>
      </w:r>
      <w:r w:rsidR="00F310B5" w:rsidRPr="00DE12A3">
        <w:rPr>
          <w:sz w:val="24"/>
          <w:szCs w:val="24"/>
        </w:rPr>
        <w:t xml:space="preserve">’üncü </w:t>
      </w:r>
      <w:r w:rsidR="00EC3EF0" w:rsidRPr="00DE12A3">
        <w:rPr>
          <w:sz w:val="24"/>
          <w:szCs w:val="24"/>
        </w:rPr>
        <w:t>Ekinde</w:t>
      </w:r>
      <w:r w:rsidR="00242DA0" w:rsidRPr="00DE12A3">
        <w:rPr>
          <w:sz w:val="24"/>
          <w:szCs w:val="24"/>
        </w:rPr>
        <w:t xml:space="preserve"> verilen geçerli AB tip onayı tarihinden önce verilen daha önceki bir tip onayında kullanılmıştır.</w:t>
      </w:r>
    </w:p>
    <w:p w14:paraId="58007CD9" w14:textId="39174F54" w:rsidR="002D7B36" w:rsidRPr="00DE12A3" w:rsidRDefault="002620E9" w:rsidP="002620E9">
      <w:pPr>
        <w:pStyle w:val="Gvdemetni250"/>
        <w:shd w:val="clear" w:color="auto" w:fill="auto"/>
        <w:spacing w:before="120" w:after="120" w:line="240" w:lineRule="auto"/>
        <w:ind w:firstLine="0"/>
        <w:rPr>
          <w:sz w:val="24"/>
          <w:szCs w:val="24"/>
        </w:rPr>
      </w:pPr>
      <w:r w:rsidRPr="00DE12A3">
        <w:rPr>
          <w:sz w:val="24"/>
          <w:szCs w:val="24"/>
        </w:rPr>
        <w:t xml:space="preserve">3.2.6.2. </w:t>
      </w:r>
      <w:r w:rsidR="00242DA0" w:rsidRPr="00DE12A3">
        <w:rPr>
          <w:sz w:val="24"/>
          <w:szCs w:val="24"/>
        </w:rPr>
        <w:t xml:space="preserve">Belirlenmiş BF'lerin kullanıldığı yerlerde imalatçı, </w:t>
      </w:r>
      <w:r w:rsidR="007E2039" w:rsidRPr="00DE12A3">
        <w:rPr>
          <w:sz w:val="24"/>
          <w:szCs w:val="24"/>
        </w:rPr>
        <w:t xml:space="preserve">onay </w:t>
      </w:r>
      <w:r w:rsidR="00EF2C88" w:rsidRPr="00DE12A3">
        <w:rPr>
          <w:sz w:val="24"/>
          <w:szCs w:val="24"/>
        </w:rPr>
        <w:t>kuruluşuna</w:t>
      </w:r>
      <w:r w:rsidR="00242DA0" w:rsidRPr="00DE12A3">
        <w:rPr>
          <w:sz w:val="24"/>
          <w:szCs w:val="24"/>
        </w:rPr>
        <w:t xml:space="preserve"> emisyon kontrol bileşenlerinin bu belirlenmiş faktörlerle ilişkili emisyon dayanıklılığına sahip olmasının makul olarak beklenebileceğine dair güçlü kanıtlar sunmalıdır. Bu kanıt; tasarım analizine, testlere veya her ikisinin birleşimine dayalı olabilir.</w:t>
      </w:r>
    </w:p>
    <w:p w14:paraId="25C263B4" w14:textId="6510FE03" w:rsidR="002D7B36" w:rsidRPr="00DE12A3" w:rsidRDefault="002620E9" w:rsidP="002620E9">
      <w:pPr>
        <w:pStyle w:val="Gvdemetni250"/>
        <w:shd w:val="clear" w:color="auto" w:fill="auto"/>
        <w:spacing w:before="120" w:after="120" w:line="240" w:lineRule="auto"/>
        <w:ind w:firstLine="0"/>
        <w:rPr>
          <w:sz w:val="24"/>
          <w:szCs w:val="24"/>
        </w:rPr>
      </w:pPr>
      <w:r w:rsidRPr="00DE12A3">
        <w:rPr>
          <w:sz w:val="24"/>
          <w:szCs w:val="24"/>
        </w:rPr>
        <w:t xml:space="preserve">3.2.7. </w:t>
      </w:r>
      <w:r w:rsidR="00242DA0" w:rsidRPr="00DE12A3">
        <w:rPr>
          <w:sz w:val="24"/>
          <w:szCs w:val="24"/>
        </w:rPr>
        <w:t>Bozulma faktörlerinin uygulanması</w:t>
      </w:r>
    </w:p>
    <w:p w14:paraId="2D77C62F" w14:textId="7E242E80" w:rsidR="002D7B36" w:rsidRPr="00DE12A3" w:rsidRDefault="00F65F47" w:rsidP="00F65F47">
      <w:pPr>
        <w:pStyle w:val="Gvdemetni250"/>
        <w:shd w:val="clear" w:color="auto" w:fill="auto"/>
        <w:spacing w:before="120" w:after="120" w:line="240" w:lineRule="auto"/>
        <w:ind w:firstLine="0"/>
        <w:rPr>
          <w:sz w:val="24"/>
          <w:szCs w:val="24"/>
        </w:rPr>
      </w:pPr>
      <w:r w:rsidRPr="00DE12A3">
        <w:rPr>
          <w:sz w:val="24"/>
          <w:szCs w:val="24"/>
        </w:rPr>
        <w:t xml:space="preserve">3.2.7.1. </w:t>
      </w:r>
      <w:r w:rsidR="00242DA0" w:rsidRPr="00DE12A3">
        <w:rPr>
          <w:sz w:val="24"/>
          <w:szCs w:val="24"/>
        </w:rPr>
        <w:t xml:space="preserve">Motorlar, </w:t>
      </w:r>
      <w:r w:rsidR="00FA0678" w:rsidRPr="00DE12A3">
        <w:rPr>
          <w:sz w:val="24"/>
          <w:szCs w:val="24"/>
        </w:rPr>
        <w:t xml:space="preserve">VI’ncı </w:t>
      </w:r>
      <w:r w:rsidR="00B172A8" w:rsidRPr="00DE12A3">
        <w:rPr>
          <w:sz w:val="24"/>
          <w:szCs w:val="24"/>
        </w:rPr>
        <w:t>E</w:t>
      </w:r>
      <w:r w:rsidR="00FA0678" w:rsidRPr="00DE12A3">
        <w:rPr>
          <w:sz w:val="24"/>
          <w:szCs w:val="24"/>
        </w:rPr>
        <w:t>k</w:t>
      </w:r>
      <w:r w:rsidR="00242DA0" w:rsidRPr="00DE12A3">
        <w:rPr>
          <w:sz w:val="24"/>
          <w:szCs w:val="24"/>
        </w:rPr>
        <w:t xml:space="preserve"> (partikül ve her bir gaz için </w:t>
      </w:r>
      <w:r w:rsidR="00F310B5" w:rsidRPr="00DE12A3">
        <w:rPr>
          <w:sz w:val="24"/>
          <w:szCs w:val="24"/>
        </w:rPr>
        <w:t>çevrim</w:t>
      </w:r>
      <w:r w:rsidR="00242DA0" w:rsidRPr="00DE12A3">
        <w:rPr>
          <w:sz w:val="24"/>
          <w:szCs w:val="24"/>
        </w:rPr>
        <w:t xml:space="preserve"> ağırlıklı spesifik emisyon) uyarınca ölçülen test sonucundaki bozulma faktörleri uygulandıktan sonra, motor ailesine uygulanabilecek her kirletici için ilgili emisyon limitlerini sağlamalıdır.</w:t>
      </w:r>
    </w:p>
    <w:p w14:paraId="66FAD216" w14:textId="2288558A" w:rsidR="002D7B36" w:rsidRPr="00DE12A3" w:rsidRDefault="00F65F47" w:rsidP="00F65F47">
      <w:pPr>
        <w:pStyle w:val="Gvdemetni250"/>
        <w:shd w:val="clear" w:color="auto" w:fill="auto"/>
        <w:spacing w:before="120" w:after="120" w:line="240" w:lineRule="auto"/>
        <w:ind w:firstLine="709"/>
        <w:rPr>
          <w:sz w:val="24"/>
          <w:szCs w:val="24"/>
        </w:rPr>
      </w:pPr>
      <w:r w:rsidRPr="00DE12A3">
        <w:rPr>
          <w:sz w:val="24"/>
          <w:szCs w:val="24"/>
        </w:rPr>
        <w:t xml:space="preserve">(a) </w:t>
      </w:r>
      <w:r w:rsidR="00242DA0" w:rsidRPr="00DE12A3">
        <w:rPr>
          <w:sz w:val="24"/>
          <w:szCs w:val="24"/>
        </w:rPr>
        <w:t>Çarpımsal: (</w:t>
      </w:r>
      <w:r w:rsidR="00F310B5" w:rsidRPr="00DE12A3">
        <w:rPr>
          <w:sz w:val="24"/>
          <w:szCs w:val="24"/>
        </w:rPr>
        <w:t>çevrim</w:t>
      </w:r>
      <w:r w:rsidR="00242DA0" w:rsidRPr="00DE12A3">
        <w:rPr>
          <w:sz w:val="24"/>
          <w:szCs w:val="24"/>
        </w:rPr>
        <w:t xml:space="preserve"> ağırlıklı spesifik emisyon) x BF ≤ emisyon limiti</w:t>
      </w:r>
    </w:p>
    <w:p w14:paraId="3F5A8E1A" w14:textId="3FD9EA32" w:rsidR="002D7B36" w:rsidRPr="00DE12A3" w:rsidRDefault="00F65F47" w:rsidP="00F65F47">
      <w:pPr>
        <w:pStyle w:val="Gvdemetni250"/>
        <w:shd w:val="clear" w:color="auto" w:fill="auto"/>
        <w:spacing w:before="120" w:after="120" w:line="240" w:lineRule="auto"/>
        <w:ind w:firstLine="709"/>
        <w:rPr>
          <w:sz w:val="24"/>
          <w:szCs w:val="24"/>
        </w:rPr>
      </w:pPr>
      <w:r w:rsidRPr="00DE12A3">
        <w:rPr>
          <w:sz w:val="24"/>
          <w:szCs w:val="24"/>
        </w:rPr>
        <w:t xml:space="preserve">(b) </w:t>
      </w:r>
      <w:r w:rsidR="00242DA0" w:rsidRPr="00DE12A3">
        <w:rPr>
          <w:sz w:val="24"/>
          <w:szCs w:val="24"/>
        </w:rPr>
        <w:t>İlave: (</w:t>
      </w:r>
      <w:r w:rsidR="00F310B5" w:rsidRPr="00DE12A3">
        <w:rPr>
          <w:sz w:val="24"/>
          <w:szCs w:val="24"/>
        </w:rPr>
        <w:t>çevrim</w:t>
      </w:r>
      <w:r w:rsidR="00242DA0" w:rsidRPr="00DE12A3">
        <w:rPr>
          <w:sz w:val="24"/>
          <w:szCs w:val="24"/>
        </w:rPr>
        <w:t xml:space="preserve"> ağırlıklı spesifik emisyon) + BF ≤ emisyon limiti</w:t>
      </w:r>
    </w:p>
    <w:p w14:paraId="100A5BCE" w14:textId="5AC0AC8A" w:rsidR="002D7B36" w:rsidRPr="00DE12A3" w:rsidRDefault="00F310B5" w:rsidP="00F65F47">
      <w:pPr>
        <w:pStyle w:val="Gvdemetni250"/>
        <w:shd w:val="clear" w:color="auto" w:fill="auto"/>
        <w:spacing w:before="120" w:after="120" w:line="240" w:lineRule="auto"/>
        <w:ind w:firstLine="709"/>
        <w:rPr>
          <w:sz w:val="24"/>
          <w:szCs w:val="24"/>
        </w:rPr>
      </w:pPr>
      <w:r w:rsidRPr="00DE12A3">
        <w:rPr>
          <w:sz w:val="24"/>
          <w:szCs w:val="24"/>
        </w:rPr>
        <w:t>Çevrim</w:t>
      </w:r>
      <w:r w:rsidR="00242DA0" w:rsidRPr="00DE12A3">
        <w:rPr>
          <w:sz w:val="24"/>
          <w:szCs w:val="24"/>
        </w:rPr>
        <w:t xml:space="preserve"> ağırlıklı spesifik emisyon, varsa seyrek rejenerasyon ayarlamasını içerebilir.</w:t>
      </w:r>
    </w:p>
    <w:p w14:paraId="7870B7F0" w14:textId="77777777" w:rsidR="002D7B36" w:rsidRPr="00DE12A3" w:rsidRDefault="002D7B36" w:rsidP="007663C6">
      <w:pPr>
        <w:pStyle w:val="ListeParagraf"/>
        <w:spacing w:before="120" w:after="120"/>
        <w:ind w:left="1134"/>
        <w:contextualSpacing w:val="0"/>
        <w:jc w:val="both"/>
        <w:rPr>
          <w:rFonts w:eastAsia="Times New Roman" w:cs="Times New Roman"/>
          <w:vanish/>
          <w:color w:val="auto"/>
          <w:spacing w:val="3"/>
          <w:lang w:eastAsia="en-US"/>
        </w:rPr>
      </w:pPr>
    </w:p>
    <w:p w14:paraId="174D64AE" w14:textId="3A3BFFE0" w:rsidR="002D7B36" w:rsidRPr="00DE12A3" w:rsidRDefault="00F65F47" w:rsidP="00F65F47">
      <w:pPr>
        <w:pStyle w:val="Gvdemetni250"/>
        <w:shd w:val="clear" w:color="auto" w:fill="auto"/>
        <w:spacing w:before="120" w:after="120" w:line="240" w:lineRule="auto"/>
        <w:ind w:firstLine="0"/>
        <w:rPr>
          <w:sz w:val="24"/>
          <w:szCs w:val="24"/>
        </w:rPr>
      </w:pPr>
      <w:r w:rsidRPr="00DE12A3">
        <w:rPr>
          <w:sz w:val="24"/>
          <w:szCs w:val="24"/>
        </w:rPr>
        <w:t xml:space="preserve">3.2.7.2. </w:t>
      </w:r>
      <w:r w:rsidR="00242DA0" w:rsidRPr="00DE12A3">
        <w:rPr>
          <w:sz w:val="24"/>
          <w:szCs w:val="24"/>
        </w:rPr>
        <w:t>Bir çarpımsal</w:t>
      </w:r>
      <w:r w:rsidRPr="00DE12A3">
        <w:rPr>
          <w:sz w:val="24"/>
          <w:szCs w:val="24"/>
        </w:rPr>
        <w:t xml:space="preserve"> </w:t>
      </w:r>
      <w:r w:rsidR="00242DA0" w:rsidRPr="00DE12A3">
        <w:rPr>
          <w:sz w:val="24"/>
          <w:szCs w:val="24"/>
        </w:rPr>
        <w:t>NO</w:t>
      </w:r>
      <w:r w:rsidR="00242DA0" w:rsidRPr="00DE12A3">
        <w:rPr>
          <w:sz w:val="24"/>
          <w:szCs w:val="24"/>
          <w:vertAlign w:val="subscript"/>
        </w:rPr>
        <w:t>x</w:t>
      </w:r>
      <w:r w:rsidR="00242DA0" w:rsidRPr="00DE12A3">
        <w:rPr>
          <w:sz w:val="24"/>
          <w:szCs w:val="24"/>
        </w:rPr>
        <w:t xml:space="preserve"> + HC BF için, emisyon limitine uyum sağlamak amacıyla sonuçta ortaya çıkan bozulmuş NO</w:t>
      </w:r>
      <w:r w:rsidR="00242DA0" w:rsidRPr="00DE12A3">
        <w:rPr>
          <w:sz w:val="24"/>
          <w:szCs w:val="24"/>
          <w:vertAlign w:val="subscript"/>
        </w:rPr>
        <w:t>x</w:t>
      </w:r>
      <w:r w:rsidR="00242DA0" w:rsidRPr="00DE12A3">
        <w:rPr>
          <w:sz w:val="24"/>
          <w:szCs w:val="24"/>
        </w:rPr>
        <w:t xml:space="preserve"> ve HC değerleri birleştirilmeden önce, bir emisyon testi sonucundan çıkan bozulmuş emisyon seviyelerini hesaplarken ayrı HC ve NO</w:t>
      </w:r>
      <w:r w:rsidR="00242DA0" w:rsidRPr="00DE12A3">
        <w:rPr>
          <w:sz w:val="24"/>
          <w:szCs w:val="24"/>
          <w:vertAlign w:val="subscript"/>
        </w:rPr>
        <w:t>x</w:t>
      </w:r>
      <w:r w:rsidR="00242DA0" w:rsidRPr="00DE12A3">
        <w:rPr>
          <w:sz w:val="24"/>
          <w:szCs w:val="24"/>
        </w:rPr>
        <w:t>BF'ler belirlenmeli ve ayrı ayrı uygulanmalıdır.</w:t>
      </w:r>
    </w:p>
    <w:p w14:paraId="0F1C2FAB" w14:textId="4E4B26A7" w:rsidR="002D7B36" w:rsidRPr="00DE12A3" w:rsidRDefault="00F65F47" w:rsidP="00F65F47">
      <w:pPr>
        <w:pStyle w:val="Gvdemetni250"/>
        <w:shd w:val="clear" w:color="auto" w:fill="auto"/>
        <w:spacing w:before="120" w:after="120" w:line="240" w:lineRule="auto"/>
        <w:ind w:firstLine="0"/>
        <w:rPr>
          <w:sz w:val="24"/>
          <w:szCs w:val="24"/>
        </w:rPr>
      </w:pPr>
      <w:r w:rsidRPr="00DE12A3">
        <w:rPr>
          <w:sz w:val="24"/>
          <w:szCs w:val="24"/>
        </w:rPr>
        <w:t xml:space="preserve">3.2.7.3. </w:t>
      </w:r>
      <w:r w:rsidR="00242DA0" w:rsidRPr="00DE12A3">
        <w:rPr>
          <w:sz w:val="24"/>
          <w:szCs w:val="24"/>
        </w:rPr>
        <w:t xml:space="preserve">İmalatçı, bir motor </w:t>
      </w:r>
      <w:r w:rsidR="007E2039" w:rsidRPr="00DE12A3">
        <w:rPr>
          <w:sz w:val="24"/>
          <w:szCs w:val="24"/>
        </w:rPr>
        <w:t xml:space="preserve">arıtma </w:t>
      </w:r>
      <w:r w:rsidR="00242DA0" w:rsidRPr="00DE12A3">
        <w:rPr>
          <w:sz w:val="24"/>
          <w:szCs w:val="24"/>
        </w:rPr>
        <w:t xml:space="preserve">ailesi için belirlenen BF'leri, aynı motor </w:t>
      </w:r>
      <w:r w:rsidR="007E2039" w:rsidRPr="00DE12A3">
        <w:rPr>
          <w:sz w:val="24"/>
          <w:szCs w:val="24"/>
        </w:rPr>
        <w:t xml:space="preserve">arıtma </w:t>
      </w:r>
      <w:r w:rsidR="00242DA0" w:rsidRPr="00DE12A3">
        <w:rPr>
          <w:sz w:val="24"/>
          <w:szCs w:val="24"/>
        </w:rPr>
        <w:t xml:space="preserve">ailesine girmeyen bir motora taşıyabilir. Bu gibi durumlarda imalatçı, motor </w:t>
      </w:r>
      <w:r w:rsidR="007E2039" w:rsidRPr="00DE12A3">
        <w:rPr>
          <w:sz w:val="24"/>
          <w:szCs w:val="24"/>
        </w:rPr>
        <w:t xml:space="preserve">arıtma </w:t>
      </w:r>
      <w:r w:rsidR="00242DA0" w:rsidRPr="00DE12A3">
        <w:rPr>
          <w:sz w:val="24"/>
          <w:szCs w:val="24"/>
        </w:rPr>
        <w:t xml:space="preserve">sistemi ailesinin test edildiği motorun ve BF'lerin taşındığı motorun, karayolu dışında kullanılan hareketli makinalar ile benzer teknik özelliklere ve montaj </w:t>
      </w:r>
      <w:r w:rsidR="0053289F" w:rsidRPr="00DE12A3">
        <w:rPr>
          <w:sz w:val="24"/>
          <w:szCs w:val="24"/>
        </w:rPr>
        <w:t>gerekliliklerine</w:t>
      </w:r>
      <w:r w:rsidR="00242DA0" w:rsidRPr="00DE12A3">
        <w:rPr>
          <w:sz w:val="24"/>
          <w:szCs w:val="24"/>
        </w:rPr>
        <w:t xml:space="preserve"> sahip olduğunu ve bu tür motorların emisyonlarının benzer olduğunu </w:t>
      </w:r>
      <w:r w:rsidR="007E2039" w:rsidRPr="00DE12A3">
        <w:rPr>
          <w:sz w:val="24"/>
          <w:szCs w:val="24"/>
        </w:rPr>
        <w:t xml:space="preserve">onay </w:t>
      </w:r>
      <w:r w:rsidR="00EF2C88" w:rsidRPr="00DE12A3">
        <w:rPr>
          <w:sz w:val="24"/>
          <w:szCs w:val="24"/>
        </w:rPr>
        <w:t>kuruluşuna göstermelidir</w:t>
      </w:r>
      <w:r w:rsidR="00242DA0" w:rsidRPr="00DE12A3">
        <w:rPr>
          <w:sz w:val="24"/>
          <w:szCs w:val="24"/>
        </w:rPr>
        <w:t>.</w:t>
      </w:r>
    </w:p>
    <w:p w14:paraId="475D7F66" w14:textId="77777777" w:rsidR="002D7B36" w:rsidRPr="00DE12A3" w:rsidRDefault="00242DA0" w:rsidP="00F65F47">
      <w:pPr>
        <w:pStyle w:val="Gvdemetni250"/>
        <w:shd w:val="clear" w:color="auto" w:fill="auto"/>
        <w:spacing w:before="120" w:after="120" w:line="240" w:lineRule="auto"/>
        <w:ind w:firstLine="0"/>
        <w:rPr>
          <w:sz w:val="24"/>
          <w:szCs w:val="24"/>
        </w:rPr>
      </w:pPr>
      <w:r w:rsidRPr="00DE12A3">
        <w:rPr>
          <w:sz w:val="24"/>
          <w:szCs w:val="24"/>
        </w:rPr>
        <w:t>BF'lerin farklı bir emisyon dayanıklılık süresi olan bir motora taşınması durumunda, BF'ler geçerli emisyon dayanıklılığı dönemi için 3.2.5.1 bendinde belirtilen regresyon denkleminin ekstrapolasyonu veya enterpolasyonu yoluyla yeniden hesaplanmalıdır.</w:t>
      </w:r>
    </w:p>
    <w:p w14:paraId="68ED4272" w14:textId="110015DA" w:rsidR="002D7B36" w:rsidRPr="00DE12A3" w:rsidRDefault="00F65F47" w:rsidP="00F65F47">
      <w:pPr>
        <w:pStyle w:val="Gvdemetni250"/>
        <w:shd w:val="clear" w:color="auto" w:fill="auto"/>
        <w:spacing w:before="120" w:after="120" w:line="240" w:lineRule="auto"/>
        <w:ind w:firstLine="0"/>
        <w:rPr>
          <w:sz w:val="24"/>
          <w:szCs w:val="24"/>
        </w:rPr>
      </w:pPr>
      <w:r w:rsidRPr="00DE12A3">
        <w:rPr>
          <w:sz w:val="24"/>
          <w:szCs w:val="24"/>
        </w:rPr>
        <w:lastRenderedPageBreak/>
        <w:t xml:space="preserve">3.2.7.4. </w:t>
      </w:r>
      <w:r w:rsidR="00242DA0" w:rsidRPr="00DE12A3">
        <w:rPr>
          <w:sz w:val="24"/>
          <w:szCs w:val="24"/>
        </w:rPr>
        <w:t xml:space="preserve">Uygulanabilir her test </w:t>
      </w:r>
      <w:r w:rsidR="00EF2C88" w:rsidRPr="00DE12A3">
        <w:rPr>
          <w:sz w:val="24"/>
          <w:szCs w:val="24"/>
        </w:rPr>
        <w:t>çevrimi için</w:t>
      </w:r>
      <w:r w:rsidR="00242DA0" w:rsidRPr="00DE12A3">
        <w:rPr>
          <w:sz w:val="24"/>
          <w:szCs w:val="24"/>
        </w:rPr>
        <w:t xml:space="preserve"> her kirleticiye ilişkin BF, </w:t>
      </w:r>
      <w:r w:rsidR="00EE5D5E" w:rsidRPr="00DE12A3">
        <w:rPr>
          <w:sz w:val="24"/>
          <w:szCs w:val="24"/>
        </w:rPr>
        <w:t>2017/656/</w:t>
      </w:r>
      <w:r w:rsidR="00EF2C88" w:rsidRPr="00DE12A3">
        <w:rPr>
          <w:sz w:val="24"/>
          <w:szCs w:val="24"/>
        </w:rPr>
        <w:t>AB Tebliği</w:t>
      </w:r>
      <w:r w:rsidR="00006E5A" w:rsidRPr="00DE12A3">
        <w:rPr>
          <w:sz w:val="24"/>
          <w:szCs w:val="24"/>
        </w:rPr>
        <w:t>nin</w:t>
      </w:r>
      <w:r w:rsidR="00EF2C88" w:rsidRPr="00DE12A3">
        <w:rPr>
          <w:sz w:val="24"/>
          <w:szCs w:val="24"/>
        </w:rPr>
        <w:t xml:space="preserve"> VI’ncı</w:t>
      </w:r>
      <w:r w:rsidR="00EE5D5E" w:rsidRPr="00DE12A3">
        <w:rPr>
          <w:sz w:val="24"/>
          <w:szCs w:val="24"/>
        </w:rPr>
        <w:t xml:space="preserve"> </w:t>
      </w:r>
      <w:r w:rsidR="00EC3EF0" w:rsidRPr="00DE12A3">
        <w:rPr>
          <w:sz w:val="24"/>
          <w:szCs w:val="24"/>
        </w:rPr>
        <w:t>Ekinin</w:t>
      </w:r>
      <w:r w:rsidR="00242DA0" w:rsidRPr="00DE12A3">
        <w:rPr>
          <w:sz w:val="24"/>
          <w:szCs w:val="24"/>
        </w:rPr>
        <w:t xml:space="preserve"> 1. Açıklayıcı Ekinde belirtilen test raporu içine kaydedilir.</w:t>
      </w:r>
    </w:p>
    <w:p w14:paraId="711AF9CF" w14:textId="12333076" w:rsidR="002D7B36" w:rsidRPr="00DE12A3" w:rsidRDefault="000059EB" w:rsidP="000059EB">
      <w:pPr>
        <w:pStyle w:val="Gvdemetni250"/>
        <w:shd w:val="clear" w:color="auto" w:fill="auto"/>
        <w:spacing w:before="120" w:after="120" w:line="240" w:lineRule="auto"/>
        <w:ind w:firstLine="0"/>
        <w:rPr>
          <w:sz w:val="24"/>
          <w:szCs w:val="24"/>
        </w:rPr>
      </w:pPr>
      <w:r w:rsidRPr="00DE12A3">
        <w:rPr>
          <w:sz w:val="24"/>
          <w:szCs w:val="24"/>
        </w:rPr>
        <w:t xml:space="preserve">3.3. </w:t>
      </w:r>
      <w:r w:rsidR="00242DA0" w:rsidRPr="00DE12A3">
        <w:rPr>
          <w:sz w:val="24"/>
          <w:szCs w:val="24"/>
        </w:rPr>
        <w:t>Üretimin uygunluğunun kontrolü</w:t>
      </w:r>
    </w:p>
    <w:p w14:paraId="32EE77B5" w14:textId="51ECFFC5" w:rsidR="002D7B36" w:rsidRPr="00DE12A3" w:rsidRDefault="000059EB" w:rsidP="000059EB">
      <w:pPr>
        <w:pStyle w:val="Gvdemetni250"/>
        <w:shd w:val="clear" w:color="auto" w:fill="auto"/>
        <w:spacing w:before="120" w:after="120" w:line="240" w:lineRule="auto"/>
        <w:ind w:firstLine="0"/>
        <w:rPr>
          <w:sz w:val="24"/>
          <w:szCs w:val="24"/>
        </w:rPr>
      </w:pPr>
      <w:r w:rsidRPr="00DE12A3">
        <w:rPr>
          <w:sz w:val="24"/>
          <w:szCs w:val="24"/>
        </w:rPr>
        <w:t xml:space="preserve">3.3.1. </w:t>
      </w:r>
      <w:r w:rsidR="00242DA0" w:rsidRPr="00DE12A3">
        <w:rPr>
          <w:sz w:val="24"/>
          <w:szCs w:val="24"/>
        </w:rPr>
        <w:t>Emisyonlara uyum için üretimin uygunluğu, II</w:t>
      </w:r>
      <w:r w:rsidR="00C3007B" w:rsidRPr="00DE12A3">
        <w:rPr>
          <w:sz w:val="24"/>
          <w:szCs w:val="24"/>
        </w:rPr>
        <w:t>’nc</w:t>
      </w:r>
      <w:r w:rsidR="007C64EB" w:rsidRPr="00DE12A3">
        <w:rPr>
          <w:sz w:val="24"/>
          <w:szCs w:val="24"/>
        </w:rPr>
        <w:t>i</w:t>
      </w:r>
      <w:r w:rsidR="00C3007B" w:rsidRPr="00DE12A3">
        <w:rPr>
          <w:sz w:val="24"/>
          <w:szCs w:val="24"/>
        </w:rPr>
        <w:t xml:space="preserve"> </w:t>
      </w:r>
      <w:r w:rsidR="00721C89" w:rsidRPr="00DE12A3">
        <w:rPr>
          <w:sz w:val="24"/>
          <w:szCs w:val="24"/>
        </w:rPr>
        <w:t>E</w:t>
      </w:r>
      <w:r w:rsidR="00242DA0" w:rsidRPr="00DE12A3">
        <w:rPr>
          <w:sz w:val="24"/>
          <w:szCs w:val="24"/>
        </w:rPr>
        <w:t xml:space="preserve">kin 6. </w:t>
      </w:r>
      <w:r w:rsidR="00721C89" w:rsidRPr="00DE12A3">
        <w:rPr>
          <w:sz w:val="24"/>
          <w:szCs w:val="24"/>
        </w:rPr>
        <w:t>Bölüm</w:t>
      </w:r>
      <w:r w:rsidR="00242DA0" w:rsidRPr="00DE12A3">
        <w:rPr>
          <w:sz w:val="24"/>
          <w:szCs w:val="24"/>
        </w:rPr>
        <w:t>ü esasında kontrol edilir.</w:t>
      </w:r>
    </w:p>
    <w:p w14:paraId="017317D3" w14:textId="4B46630A" w:rsidR="002D7B36" w:rsidRPr="00DE12A3" w:rsidRDefault="000059EB" w:rsidP="000059EB">
      <w:pPr>
        <w:pStyle w:val="Gvdemetni250"/>
        <w:shd w:val="clear" w:color="auto" w:fill="auto"/>
        <w:spacing w:before="120" w:after="120" w:line="240" w:lineRule="auto"/>
        <w:ind w:firstLine="0"/>
        <w:rPr>
          <w:sz w:val="24"/>
          <w:szCs w:val="24"/>
        </w:rPr>
      </w:pPr>
      <w:r w:rsidRPr="00DE12A3">
        <w:rPr>
          <w:sz w:val="24"/>
          <w:szCs w:val="24"/>
        </w:rPr>
        <w:t xml:space="preserve">3.3.2. </w:t>
      </w:r>
      <w:r w:rsidR="00242DA0" w:rsidRPr="00DE12A3">
        <w:rPr>
          <w:sz w:val="24"/>
          <w:szCs w:val="24"/>
        </w:rPr>
        <w:t xml:space="preserve">İmalatçı, herhangi bir egzoz </w:t>
      </w:r>
      <w:r w:rsidR="007E2039" w:rsidRPr="00DE12A3">
        <w:rPr>
          <w:sz w:val="24"/>
          <w:szCs w:val="24"/>
        </w:rPr>
        <w:t xml:space="preserve">arıtma </w:t>
      </w:r>
      <w:r w:rsidR="00242DA0" w:rsidRPr="00DE12A3">
        <w:rPr>
          <w:sz w:val="24"/>
          <w:szCs w:val="24"/>
        </w:rPr>
        <w:t xml:space="preserve">sisteminden önceki kirletici emisyonlarını, AB tip onayı testinin gerçekleştirilmesi ile aynı anda ölçebilir. Bu amaçla, imalatçı, </w:t>
      </w:r>
      <w:r w:rsidR="007E2039" w:rsidRPr="00DE12A3">
        <w:rPr>
          <w:sz w:val="24"/>
          <w:szCs w:val="24"/>
        </w:rPr>
        <w:t xml:space="preserve">arıtma </w:t>
      </w:r>
      <w:r w:rsidR="00242DA0" w:rsidRPr="00DE12A3">
        <w:rPr>
          <w:sz w:val="24"/>
          <w:szCs w:val="24"/>
        </w:rPr>
        <w:t xml:space="preserve">sistemi olmayan motor için ve imalatçı tarafından üretim hattı denetiminin bitmesine yardımcı bir unsur olarak kullanılabilecek </w:t>
      </w:r>
      <w:r w:rsidR="007E2039" w:rsidRPr="00DE12A3">
        <w:rPr>
          <w:sz w:val="24"/>
          <w:szCs w:val="24"/>
        </w:rPr>
        <w:t xml:space="preserve">arıtma </w:t>
      </w:r>
      <w:r w:rsidR="00242DA0" w:rsidRPr="00DE12A3">
        <w:rPr>
          <w:sz w:val="24"/>
          <w:szCs w:val="24"/>
        </w:rPr>
        <w:t>sistemi için ayrı ayrı resmi olmayan BF'ler geliştirebilir.</w:t>
      </w:r>
    </w:p>
    <w:p w14:paraId="3765AE8D" w14:textId="3416A60B" w:rsidR="002D7B36" w:rsidRPr="00DE12A3" w:rsidRDefault="000059EB" w:rsidP="000059EB">
      <w:pPr>
        <w:pStyle w:val="Gvdemetni250"/>
        <w:shd w:val="clear" w:color="auto" w:fill="auto"/>
        <w:spacing w:before="120" w:after="120" w:line="240" w:lineRule="auto"/>
        <w:ind w:firstLine="0"/>
        <w:rPr>
          <w:sz w:val="24"/>
          <w:szCs w:val="24"/>
        </w:rPr>
      </w:pPr>
      <w:r w:rsidRPr="00DE12A3">
        <w:rPr>
          <w:sz w:val="24"/>
          <w:szCs w:val="24"/>
        </w:rPr>
        <w:t xml:space="preserve">3.3.3. </w:t>
      </w:r>
      <w:r w:rsidR="00242DA0" w:rsidRPr="00DE12A3">
        <w:rPr>
          <w:sz w:val="24"/>
          <w:szCs w:val="24"/>
        </w:rPr>
        <w:t xml:space="preserve">AB tip onayı amaçları doğrultusunda, yalnızca 3.2.5 bendi veya 3.2.6 bendi uyarınca belirlenen BF'ler, </w:t>
      </w:r>
      <w:r w:rsidR="00EE5D5E" w:rsidRPr="00DE12A3">
        <w:rPr>
          <w:sz w:val="24"/>
          <w:szCs w:val="24"/>
        </w:rPr>
        <w:t>2017/656/AB Tebliği</w:t>
      </w:r>
      <w:r w:rsidR="00006E5A" w:rsidRPr="00DE12A3">
        <w:rPr>
          <w:sz w:val="24"/>
          <w:szCs w:val="24"/>
        </w:rPr>
        <w:t>nin</w:t>
      </w:r>
      <w:r w:rsidR="00EE5D5E" w:rsidRPr="00DE12A3">
        <w:rPr>
          <w:sz w:val="24"/>
          <w:szCs w:val="24"/>
        </w:rPr>
        <w:t xml:space="preserve"> VI’ncı</w:t>
      </w:r>
      <w:r w:rsidR="00242DA0" w:rsidRPr="00DE12A3">
        <w:rPr>
          <w:sz w:val="24"/>
          <w:szCs w:val="24"/>
        </w:rPr>
        <w:t xml:space="preserve"> </w:t>
      </w:r>
      <w:r w:rsidR="00EC3EF0" w:rsidRPr="00DE12A3">
        <w:rPr>
          <w:sz w:val="24"/>
          <w:szCs w:val="24"/>
        </w:rPr>
        <w:t>Ekinin</w:t>
      </w:r>
      <w:r w:rsidR="00242DA0" w:rsidRPr="00DE12A3">
        <w:rPr>
          <w:sz w:val="24"/>
          <w:szCs w:val="24"/>
        </w:rPr>
        <w:t xml:space="preserve"> 1. Açıklayıcı Ekinde belirtilen test raporu içine kaydedilir.</w:t>
      </w:r>
    </w:p>
    <w:p w14:paraId="52E63A34" w14:textId="1CC5E996" w:rsidR="002D7B36" w:rsidRPr="00DE12A3" w:rsidRDefault="000059EB" w:rsidP="000059EB">
      <w:pPr>
        <w:pStyle w:val="Gvdemetni250"/>
        <w:shd w:val="clear" w:color="auto" w:fill="auto"/>
        <w:spacing w:before="120" w:after="120" w:line="240" w:lineRule="auto"/>
        <w:ind w:firstLine="0"/>
        <w:rPr>
          <w:sz w:val="24"/>
          <w:szCs w:val="24"/>
        </w:rPr>
      </w:pPr>
      <w:r w:rsidRPr="00DE12A3">
        <w:rPr>
          <w:sz w:val="24"/>
          <w:szCs w:val="24"/>
        </w:rPr>
        <w:t>3.4.</w:t>
      </w:r>
      <w:r w:rsidR="00C3007B" w:rsidRPr="00DE12A3">
        <w:rPr>
          <w:sz w:val="24"/>
          <w:szCs w:val="24"/>
        </w:rPr>
        <w:t xml:space="preserve"> </w:t>
      </w:r>
      <w:r w:rsidR="00242DA0" w:rsidRPr="00DE12A3">
        <w:rPr>
          <w:sz w:val="24"/>
          <w:szCs w:val="24"/>
        </w:rPr>
        <w:t>Bakım</w:t>
      </w:r>
    </w:p>
    <w:p w14:paraId="6553C02B" w14:textId="6F9ECF4B" w:rsidR="002D7B36" w:rsidRPr="00DE12A3" w:rsidRDefault="00242DA0" w:rsidP="000059EB">
      <w:pPr>
        <w:pStyle w:val="Gvdemetni250"/>
        <w:shd w:val="clear" w:color="auto" w:fill="auto"/>
        <w:spacing w:before="120" w:after="120" w:line="240" w:lineRule="auto"/>
        <w:ind w:firstLine="0"/>
        <w:rPr>
          <w:sz w:val="24"/>
          <w:szCs w:val="24"/>
        </w:rPr>
      </w:pPr>
      <w:r w:rsidRPr="00DE12A3">
        <w:rPr>
          <w:sz w:val="24"/>
          <w:szCs w:val="24"/>
        </w:rPr>
        <w:t>Servis birikme programı amacıyla yapılan bakım, servis ve bakıma yönelik imalatçı kılavuzu uyarınca yapılmalıdır.</w:t>
      </w:r>
    </w:p>
    <w:p w14:paraId="5900254F" w14:textId="7B23D9C6" w:rsidR="002D7B36" w:rsidRPr="00DE12A3" w:rsidRDefault="000059EB" w:rsidP="000059EB">
      <w:pPr>
        <w:pStyle w:val="Gvdemetni250"/>
        <w:shd w:val="clear" w:color="auto" w:fill="auto"/>
        <w:spacing w:before="120" w:after="120" w:line="240" w:lineRule="auto"/>
        <w:ind w:firstLine="0"/>
        <w:rPr>
          <w:sz w:val="24"/>
          <w:szCs w:val="24"/>
        </w:rPr>
      </w:pPr>
      <w:r w:rsidRPr="00DE12A3">
        <w:rPr>
          <w:sz w:val="24"/>
          <w:szCs w:val="24"/>
        </w:rPr>
        <w:t xml:space="preserve">3.4.1. </w:t>
      </w:r>
      <w:r w:rsidR="00242DA0" w:rsidRPr="00DE12A3">
        <w:rPr>
          <w:sz w:val="24"/>
          <w:szCs w:val="24"/>
        </w:rPr>
        <w:t>Emisyonla ilgili planlı bakım</w:t>
      </w:r>
    </w:p>
    <w:p w14:paraId="75A432EB" w14:textId="23293325" w:rsidR="002D7B36" w:rsidRPr="00DE12A3" w:rsidRDefault="000059EB" w:rsidP="000059EB">
      <w:pPr>
        <w:pStyle w:val="Gvdemetni250"/>
        <w:shd w:val="clear" w:color="auto" w:fill="auto"/>
        <w:spacing w:before="120" w:after="120" w:line="240" w:lineRule="auto"/>
        <w:ind w:firstLine="0"/>
        <w:rPr>
          <w:sz w:val="24"/>
          <w:szCs w:val="24"/>
        </w:rPr>
      </w:pPr>
      <w:r w:rsidRPr="00DE12A3">
        <w:rPr>
          <w:sz w:val="24"/>
          <w:szCs w:val="24"/>
        </w:rPr>
        <w:t xml:space="preserve">3.4.1.1. </w:t>
      </w:r>
      <w:r w:rsidR="00242DA0" w:rsidRPr="00DE12A3">
        <w:rPr>
          <w:sz w:val="24"/>
          <w:szCs w:val="24"/>
        </w:rPr>
        <w:t>Bir servis birikme programı yürütmek amacıyla motor çalışırken gerçekleştirilen planlanmış emisyonla ilgili bakım, karayolu dışında kullanılan hareketli makinaların veya motorun son kullanıcısına verilen imalatçı bakım talimatlarında belirtilenlere eşdeğer aralıklarla yapılır. Bu planlı bakım, test motoru üzerinde işlem yapıldıktan sonra hiçbir bakım işleminin bakım planlamasından silinmemesi koşuluyla, servis birikme programı boyunca gerektiğinde güncellenebilir.</w:t>
      </w:r>
    </w:p>
    <w:p w14:paraId="37425ECD" w14:textId="6883D98A" w:rsidR="002D7B36" w:rsidRPr="00DE12A3" w:rsidRDefault="000059EB" w:rsidP="000059EB">
      <w:pPr>
        <w:pStyle w:val="Gvdemetni250"/>
        <w:shd w:val="clear" w:color="auto" w:fill="auto"/>
        <w:spacing w:before="120" w:after="120" w:line="240" w:lineRule="auto"/>
        <w:ind w:firstLine="0"/>
        <w:rPr>
          <w:sz w:val="24"/>
          <w:szCs w:val="24"/>
        </w:rPr>
      </w:pPr>
      <w:r w:rsidRPr="00DE12A3">
        <w:rPr>
          <w:sz w:val="24"/>
          <w:szCs w:val="24"/>
        </w:rPr>
        <w:t xml:space="preserve">3.4.1.2. </w:t>
      </w:r>
      <w:r w:rsidR="00242DA0" w:rsidRPr="00DE12A3">
        <w:rPr>
          <w:sz w:val="24"/>
          <w:szCs w:val="24"/>
        </w:rPr>
        <w:t>Motorun arızalanmasını önlemek için emisyon dayanıklılık dönemi içinde periyodik olarak gerçekleştirilen emisyonla ilgili kritik bileşenlerin ayarlanması, sökülmesi, temizlenmesi veya değiştirilmesi, sadece emisyon kontrol sisteminin doğru çalışmasını sağlamak için teknolojik olarak gerekli olduğu ölçüde yapılmalıdır.Servis birikme programı dahilinde ve motorun belli bir çalışma süresi sonrasında, rutin değişim öğeleri olarak nitelendirilenler dışındaki emisyonla ilgili kritik bileşenlere ilişkin planlanmış değişim ihtiyacından kaçınılmalıdır. Bu bağlamda, düzenli yenileme için sarf malzemesi bakımı veya motorun belirli bir çalışma süresinden sonra temizlenmesini gerektiren unsurlar, rutin değişim unsurları olarak nitelendirilir.</w:t>
      </w:r>
    </w:p>
    <w:p w14:paraId="083BBB03" w14:textId="0EFB9311" w:rsidR="002D7B36" w:rsidRPr="00DE12A3" w:rsidRDefault="000059EB" w:rsidP="000059EB">
      <w:pPr>
        <w:pStyle w:val="Gvdemetni250"/>
        <w:shd w:val="clear" w:color="auto" w:fill="auto"/>
        <w:spacing w:before="120" w:after="120" w:line="240" w:lineRule="auto"/>
        <w:ind w:firstLine="0"/>
        <w:rPr>
          <w:sz w:val="24"/>
          <w:szCs w:val="24"/>
        </w:rPr>
      </w:pPr>
      <w:r w:rsidRPr="00DE12A3">
        <w:rPr>
          <w:sz w:val="24"/>
          <w:szCs w:val="24"/>
        </w:rPr>
        <w:t xml:space="preserve">3.4.1.3. </w:t>
      </w:r>
      <w:r w:rsidR="00242DA0" w:rsidRPr="00DE12A3">
        <w:rPr>
          <w:sz w:val="24"/>
          <w:szCs w:val="24"/>
        </w:rPr>
        <w:t xml:space="preserve">Herhangi bir planlı bakım gereksinimi, bir AB tip onayı verilmeden önce </w:t>
      </w:r>
      <w:r w:rsidR="007E2039" w:rsidRPr="00DE12A3">
        <w:rPr>
          <w:sz w:val="24"/>
          <w:szCs w:val="24"/>
        </w:rPr>
        <w:t xml:space="preserve">onay </w:t>
      </w:r>
      <w:r w:rsidR="00EF2C88" w:rsidRPr="00DE12A3">
        <w:rPr>
          <w:sz w:val="24"/>
          <w:szCs w:val="24"/>
        </w:rPr>
        <w:t>kuruluşunun onayına</w:t>
      </w:r>
      <w:r w:rsidR="00242DA0" w:rsidRPr="00DE12A3">
        <w:rPr>
          <w:sz w:val="24"/>
          <w:szCs w:val="24"/>
        </w:rPr>
        <w:t xml:space="preserve"> tabidir ve müşteri kılavuzuna dahil edilir. </w:t>
      </w:r>
      <w:r w:rsidR="007E2039" w:rsidRPr="00DE12A3">
        <w:rPr>
          <w:sz w:val="24"/>
          <w:szCs w:val="24"/>
        </w:rPr>
        <w:t xml:space="preserve">Onay </w:t>
      </w:r>
      <w:r w:rsidR="00EF2C88" w:rsidRPr="00DE12A3">
        <w:rPr>
          <w:sz w:val="24"/>
          <w:szCs w:val="24"/>
        </w:rPr>
        <w:t>kuruluşu,</w:t>
      </w:r>
      <w:r w:rsidR="00242DA0" w:rsidRPr="00DE12A3">
        <w:rPr>
          <w:sz w:val="24"/>
          <w:szCs w:val="24"/>
        </w:rPr>
        <w:t xml:space="preserve"> 3.4.1.4 bendinde belirtilenler de dahil, ancak bunlarla sınırlı olmamak kaydıyla, makul ve teknik olarak gerekli olan bakım </w:t>
      </w:r>
      <w:r w:rsidR="0053289F" w:rsidRPr="00DE12A3">
        <w:rPr>
          <w:sz w:val="24"/>
          <w:szCs w:val="24"/>
        </w:rPr>
        <w:t>gerekliliklerini</w:t>
      </w:r>
      <w:r w:rsidR="00242DA0" w:rsidRPr="00DE12A3">
        <w:rPr>
          <w:sz w:val="24"/>
          <w:szCs w:val="24"/>
        </w:rPr>
        <w:t xml:space="preserve"> onaylamayı reddetmez. </w:t>
      </w:r>
    </w:p>
    <w:p w14:paraId="76822213" w14:textId="18296D30" w:rsidR="002D7B36" w:rsidRPr="00DE12A3" w:rsidRDefault="000059EB" w:rsidP="000059EB">
      <w:pPr>
        <w:pStyle w:val="Gvdemetni250"/>
        <w:shd w:val="clear" w:color="auto" w:fill="auto"/>
        <w:spacing w:before="120" w:after="120" w:line="240" w:lineRule="auto"/>
        <w:ind w:firstLine="0"/>
        <w:rPr>
          <w:sz w:val="24"/>
          <w:szCs w:val="24"/>
        </w:rPr>
      </w:pPr>
      <w:r w:rsidRPr="00DE12A3">
        <w:rPr>
          <w:sz w:val="24"/>
          <w:szCs w:val="24"/>
        </w:rPr>
        <w:t xml:space="preserve">3.4.1.4. </w:t>
      </w:r>
      <w:r w:rsidR="00242DA0" w:rsidRPr="00DE12A3">
        <w:rPr>
          <w:sz w:val="24"/>
          <w:szCs w:val="24"/>
        </w:rPr>
        <w:t>Motor imalatçısı, servis birikme programları için aşağıdaki parçaların her ayarlanması, temizliği, (gerektiğinde) bakımı ve planlanmış değişim zamanını belirtmelidir:</w:t>
      </w:r>
    </w:p>
    <w:p w14:paraId="796237BF" w14:textId="77777777" w:rsidR="002D7B36" w:rsidRPr="00DE12A3" w:rsidRDefault="00F7678E" w:rsidP="00E20716">
      <w:pPr>
        <w:pStyle w:val="Gvdemetni0"/>
        <w:numPr>
          <w:ilvl w:val="0"/>
          <w:numId w:val="1"/>
        </w:numPr>
        <w:shd w:val="clear" w:color="auto" w:fill="auto"/>
        <w:spacing w:before="120" w:after="120" w:line="240" w:lineRule="auto"/>
        <w:ind w:left="1418" w:hanging="284"/>
        <w:jc w:val="both"/>
        <w:rPr>
          <w:sz w:val="24"/>
          <w:szCs w:val="24"/>
        </w:rPr>
      </w:pPr>
      <w:r w:rsidRPr="00DE12A3">
        <w:rPr>
          <w:sz w:val="24"/>
          <w:szCs w:val="24"/>
        </w:rPr>
        <w:t>E</w:t>
      </w:r>
      <w:r w:rsidR="00242DA0" w:rsidRPr="00DE12A3">
        <w:rPr>
          <w:sz w:val="24"/>
          <w:szCs w:val="24"/>
        </w:rPr>
        <w:t>gzoz gazı devridaimi içindeki (EGR) filtreler ve soğutucular</w:t>
      </w:r>
    </w:p>
    <w:p w14:paraId="48019C89" w14:textId="77777777" w:rsidR="002D7B36" w:rsidRPr="00DE12A3" w:rsidRDefault="00F7678E" w:rsidP="00E20716">
      <w:pPr>
        <w:pStyle w:val="Gvdemetni0"/>
        <w:numPr>
          <w:ilvl w:val="0"/>
          <w:numId w:val="1"/>
        </w:numPr>
        <w:shd w:val="clear" w:color="auto" w:fill="auto"/>
        <w:spacing w:before="120" w:after="120" w:line="240" w:lineRule="auto"/>
        <w:ind w:left="1418" w:hanging="284"/>
        <w:jc w:val="both"/>
        <w:rPr>
          <w:sz w:val="24"/>
          <w:szCs w:val="24"/>
        </w:rPr>
      </w:pPr>
      <w:r w:rsidRPr="00DE12A3">
        <w:rPr>
          <w:sz w:val="24"/>
          <w:szCs w:val="24"/>
        </w:rPr>
        <w:t>V</w:t>
      </w:r>
      <w:r w:rsidR="00242DA0" w:rsidRPr="00DE12A3">
        <w:rPr>
          <w:sz w:val="24"/>
          <w:szCs w:val="24"/>
        </w:rPr>
        <w:t>arsa pozitif karter havalandırma valfi</w:t>
      </w:r>
    </w:p>
    <w:p w14:paraId="00DF213E" w14:textId="77777777" w:rsidR="002D7B36" w:rsidRPr="00DE12A3" w:rsidRDefault="00F7678E" w:rsidP="00E20716">
      <w:pPr>
        <w:pStyle w:val="Gvdemetni0"/>
        <w:numPr>
          <w:ilvl w:val="0"/>
          <w:numId w:val="1"/>
        </w:numPr>
        <w:shd w:val="clear" w:color="auto" w:fill="auto"/>
        <w:spacing w:before="120" w:after="120" w:line="240" w:lineRule="auto"/>
        <w:ind w:left="1418" w:hanging="284"/>
        <w:jc w:val="both"/>
        <w:rPr>
          <w:sz w:val="24"/>
          <w:szCs w:val="24"/>
        </w:rPr>
      </w:pPr>
      <w:r w:rsidRPr="00DE12A3">
        <w:rPr>
          <w:sz w:val="24"/>
          <w:szCs w:val="24"/>
        </w:rPr>
        <w:t>Y</w:t>
      </w:r>
      <w:r w:rsidR="00242DA0" w:rsidRPr="00DE12A3">
        <w:rPr>
          <w:sz w:val="24"/>
          <w:szCs w:val="24"/>
        </w:rPr>
        <w:t>akıt enjektörü uçları (yalnızca temizlemeye izin verilir)</w:t>
      </w:r>
    </w:p>
    <w:p w14:paraId="0B0B0977" w14:textId="77777777" w:rsidR="002D7B36" w:rsidRPr="00DE12A3" w:rsidRDefault="00F7678E" w:rsidP="00E20716">
      <w:pPr>
        <w:pStyle w:val="Gvdemetni0"/>
        <w:numPr>
          <w:ilvl w:val="0"/>
          <w:numId w:val="1"/>
        </w:numPr>
        <w:shd w:val="clear" w:color="auto" w:fill="auto"/>
        <w:spacing w:before="120" w:after="120" w:line="240" w:lineRule="auto"/>
        <w:ind w:left="1418" w:hanging="284"/>
        <w:jc w:val="both"/>
        <w:rPr>
          <w:sz w:val="24"/>
          <w:szCs w:val="24"/>
        </w:rPr>
      </w:pPr>
      <w:r w:rsidRPr="00DE12A3">
        <w:rPr>
          <w:sz w:val="24"/>
          <w:szCs w:val="24"/>
        </w:rPr>
        <w:t>Y</w:t>
      </w:r>
      <w:r w:rsidR="00242DA0" w:rsidRPr="00DE12A3">
        <w:rPr>
          <w:sz w:val="24"/>
          <w:szCs w:val="24"/>
        </w:rPr>
        <w:t>akıt enjektörleri</w:t>
      </w:r>
    </w:p>
    <w:p w14:paraId="4176C7B7" w14:textId="77777777" w:rsidR="002D7B36" w:rsidRPr="00DE12A3" w:rsidRDefault="00F7678E" w:rsidP="00E20716">
      <w:pPr>
        <w:pStyle w:val="Gvdemetni0"/>
        <w:numPr>
          <w:ilvl w:val="0"/>
          <w:numId w:val="1"/>
        </w:numPr>
        <w:shd w:val="clear" w:color="auto" w:fill="auto"/>
        <w:spacing w:before="120" w:after="120" w:line="240" w:lineRule="auto"/>
        <w:ind w:left="1418" w:hanging="284"/>
        <w:jc w:val="both"/>
        <w:rPr>
          <w:sz w:val="24"/>
          <w:szCs w:val="24"/>
        </w:rPr>
      </w:pPr>
      <w:r w:rsidRPr="00DE12A3">
        <w:rPr>
          <w:sz w:val="24"/>
          <w:szCs w:val="24"/>
        </w:rPr>
        <w:t>T</w:t>
      </w:r>
      <w:r w:rsidR="00242DA0" w:rsidRPr="00DE12A3">
        <w:rPr>
          <w:sz w:val="24"/>
          <w:szCs w:val="24"/>
        </w:rPr>
        <w:t>urbo</w:t>
      </w:r>
    </w:p>
    <w:p w14:paraId="04D88047" w14:textId="77777777" w:rsidR="002D7B36" w:rsidRPr="00DE12A3" w:rsidRDefault="00F7678E" w:rsidP="00E20716">
      <w:pPr>
        <w:pStyle w:val="Gvdemetni0"/>
        <w:numPr>
          <w:ilvl w:val="0"/>
          <w:numId w:val="1"/>
        </w:numPr>
        <w:shd w:val="clear" w:color="auto" w:fill="auto"/>
        <w:spacing w:before="120" w:after="120" w:line="240" w:lineRule="auto"/>
        <w:ind w:left="1418" w:hanging="284"/>
        <w:jc w:val="both"/>
        <w:rPr>
          <w:sz w:val="24"/>
          <w:szCs w:val="24"/>
        </w:rPr>
      </w:pPr>
      <w:r w:rsidRPr="00DE12A3">
        <w:rPr>
          <w:sz w:val="24"/>
          <w:szCs w:val="24"/>
        </w:rPr>
        <w:t>E</w:t>
      </w:r>
      <w:r w:rsidR="00242DA0" w:rsidRPr="00DE12A3">
        <w:rPr>
          <w:sz w:val="24"/>
          <w:szCs w:val="24"/>
        </w:rPr>
        <w:t>lektronik motor kontrol ünitesi ve ilgili sensörleri ve işleticileri</w:t>
      </w:r>
    </w:p>
    <w:p w14:paraId="00BDD5D9" w14:textId="77777777" w:rsidR="002D7B36" w:rsidRPr="00DE12A3" w:rsidRDefault="007E2039" w:rsidP="00E20716">
      <w:pPr>
        <w:pStyle w:val="Gvdemetni0"/>
        <w:numPr>
          <w:ilvl w:val="0"/>
          <w:numId w:val="1"/>
        </w:numPr>
        <w:shd w:val="clear" w:color="auto" w:fill="auto"/>
        <w:spacing w:before="120" w:after="120" w:line="240" w:lineRule="auto"/>
        <w:ind w:left="1418" w:hanging="284"/>
        <w:jc w:val="both"/>
        <w:rPr>
          <w:sz w:val="24"/>
          <w:szCs w:val="24"/>
        </w:rPr>
      </w:pPr>
      <w:r w:rsidRPr="00DE12A3">
        <w:rPr>
          <w:sz w:val="24"/>
          <w:szCs w:val="24"/>
        </w:rPr>
        <w:t xml:space="preserve">Partikül arıtma </w:t>
      </w:r>
      <w:r w:rsidR="00242DA0" w:rsidRPr="00DE12A3">
        <w:rPr>
          <w:sz w:val="24"/>
          <w:szCs w:val="24"/>
        </w:rPr>
        <w:t>sistemi (ilgili bileşenler dahil olmak üzere)</w:t>
      </w:r>
    </w:p>
    <w:p w14:paraId="0DC1A633" w14:textId="77777777" w:rsidR="002D7B36" w:rsidRPr="00DE12A3" w:rsidRDefault="00242DA0" w:rsidP="00E20716">
      <w:pPr>
        <w:pStyle w:val="Gvdemetni0"/>
        <w:numPr>
          <w:ilvl w:val="0"/>
          <w:numId w:val="1"/>
        </w:numPr>
        <w:shd w:val="clear" w:color="auto" w:fill="auto"/>
        <w:spacing w:before="120" w:after="120" w:line="240" w:lineRule="auto"/>
        <w:ind w:left="1418" w:hanging="284"/>
        <w:jc w:val="both"/>
        <w:rPr>
          <w:sz w:val="24"/>
          <w:szCs w:val="24"/>
        </w:rPr>
      </w:pPr>
      <w:r w:rsidRPr="00DE12A3">
        <w:rPr>
          <w:sz w:val="24"/>
          <w:szCs w:val="24"/>
        </w:rPr>
        <w:lastRenderedPageBreak/>
        <w:t xml:space="preserve">NOx </w:t>
      </w:r>
      <w:r w:rsidR="007E2039" w:rsidRPr="00DE12A3">
        <w:rPr>
          <w:sz w:val="24"/>
          <w:szCs w:val="24"/>
        </w:rPr>
        <w:t xml:space="preserve">arıtma </w:t>
      </w:r>
      <w:r w:rsidRPr="00DE12A3">
        <w:rPr>
          <w:sz w:val="24"/>
          <w:szCs w:val="24"/>
        </w:rPr>
        <w:t>sistemi (ilgili bileşenler dahil olmak üzere)</w:t>
      </w:r>
    </w:p>
    <w:p w14:paraId="5911A721" w14:textId="77777777" w:rsidR="002D7B36" w:rsidRPr="00DE12A3" w:rsidRDefault="00F7678E" w:rsidP="00E20716">
      <w:pPr>
        <w:pStyle w:val="Gvdemetni0"/>
        <w:numPr>
          <w:ilvl w:val="0"/>
          <w:numId w:val="1"/>
        </w:numPr>
        <w:shd w:val="clear" w:color="auto" w:fill="auto"/>
        <w:spacing w:before="120" w:after="120" w:line="240" w:lineRule="auto"/>
        <w:ind w:left="1418" w:hanging="284"/>
        <w:jc w:val="both"/>
        <w:rPr>
          <w:sz w:val="24"/>
          <w:szCs w:val="24"/>
        </w:rPr>
      </w:pPr>
      <w:r w:rsidRPr="00DE12A3">
        <w:rPr>
          <w:sz w:val="24"/>
          <w:szCs w:val="24"/>
        </w:rPr>
        <w:t>İ</w:t>
      </w:r>
      <w:r w:rsidR="00242DA0" w:rsidRPr="00DE12A3">
        <w:rPr>
          <w:sz w:val="24"/>
          <w:szCs w:val="24"/>
        </w:rPr>
        <w:t>lgili tüm kontrol valfleri ve tüpleri de dahil olmak üzere egzoz gazı devridaimi (EGR)</w:t>
      </w:r>
    </w:p>
    <w:p w14:paraId="15456F9A" w14:textId="63ECB183" w:rsidR="002D7B36" w:rsidRPr="00DE12A3" w:rsidRDefault="00F7678E" w:rsidP="00E20716">
      <w:pPr>
        <w:pStyle w:val="Gvdemetni0"/>
        <w:numPr>
          <w:ilvl w:val="0"/>
          <w:numId w:val="1"/>
        </w:numPr>
        <w:shd w:val="clear" w:color="auto" w:fill="auto"/>
        <w:spacing w:before="120" w:after="120" w:line="240" w:lineRule="auto"/>
        <w:ind w:left="1418" w:hanging="284"/>
        <w:jc w:val="both"/>
        <w:rPr>
          <w:sz w:val="24"/>
          <w:szCs w:val="24"/>
        </w:rPr>
      </w:pPr>
      <w:r w:rsidRPr="00DE12A3">
        <w:rPr>
          <w:sz w:val="24"/>
          <w:szCs w:val="24"/>
        </w:rPr>
        <w:t>B</w:t>
      </w:r>
      <w:r w:rsidR="00242DA0" w:rsidRPr="00DE12A3">
        <w:rPr>
          <w:sz w:val="24"/>
          <w:szCs w:val="24"/>
        </w:rPr>
        <w:t xml:space="preserve">aşka herhangi bir egzoz </w:t>
      </w:r>
      <w:r w:rsidR="007E2039" w:rsidRPr="00DE12A3">
        <w:rPr>
          <w:sz w:val="24"/>
          <w:szCs w:val="24"/>
        </w:rPr>
        <w:t xml:space="preserve">arıtma </w:t>
      </w:r>
      <w:r w:rsidR="00242DA0" w:rsidRPr="00DE12A3">
        <w:rPr>
          <w:sz w:val="24"/>
          <w:szCs w:val="24"/>
        </w:rPr>
        <w:t>sistemi</w:t>
      </w:r>
    </w:p>
    <w:p w14:paraId="23D71135" w14:textId="586A08EC" w:rsidR="002D7B36" w:rsidRPr="00DE12A3" w:rsidRDefault="000059EB" w:rsidP="000059EB">
      <w:pPr>
        <w:pStyle w:val="Gvdemetni250"/>
        <w:shd w:val="clear" w:color="auto" w:fill="auto"/>
        <w:spacing w:before="120" w:after="120" w:line="240" w:lineRule="auto"/>
        <w:ind w:firstLine="0"/>
        <w:rPr>
          <w:sz w:val="24"/>
          <w:szCs w:val="24"/>
        </w:rPr>
      </w:pPr>
      <w:r w:rsidRPr="00DE12A3">
        <w:rPr>
          <w:sz w:val="24"/>
          <w:szCs w:val="24"/>
        </w:rPr>
        <w:t xml:space="preserve">3.4.1.5. </w:t>
      </w:r>
      <w:r w:rsidR="00242DA0" w:rsidRPr="00DE12A3">
        <w:rPr>
          <w:sz w:val="24"/>
          <w:szCs w:val="24"/>
        </w:rPr>
        <w:t>Emisyonla ilgili planlı kritik bakım, sadece kullanım sırasında yapılması gerekiyorsa gerçekleştirilir ve bu şart, motorun veya karayolu dışında kullanılan hareketli makinaların son kullanıcısına iletilir.</w:t>
      </w:r>
    </w:p>
    <w:p w14:paraId="0CBBE2D1" w14:textId="36922C3B" w:rsidR="002D7B36" w:rsidRPr="00DE12A3" w:rsidRDefault="000059EB" w:rsidP="000059EB">
      <w:pPr>
        <w:pStyle w:val="Gvdemetni250"/>
        <w:shd w:val="clear" w:color="auto" w:fill="auto"/>
        <w:spacing w:before="120" w:after="120" w:line="240" w:lineRule="auto"/>
        <w:ind w:firstLine="0"/>
        <w:rPr>
          <w:sz w:val="24"/>
          <w:szCs w:val="24"/>
        </w:rPr>
      </w:pPr>
      <w:r w:rsidRPr="00DE12A3">
        <w:rPr>
          <w:sz w:val="24"/>
          <w:szCs w:val="24"/>
        </w:rPr>
        <w:t xml:space="preserve">3.4.2. </w:t>
      </w:r>
      <w:r w:rsidR="00242DA0" w:rsidRPr="00DE12A3">
        <w:rPr>
          <w:sz w:val="24"/>
          <w:szCs w:val="24"/>
        </w:rPr>
        <w:t>Planlı bakımda değişiklik</w:t>
      </w:r>
    </w:p>
    <w:p w14:paraId="1EF9271F" w14:textId="5C05BF9C" w:rsidR="002D7B36" w:rsidRPr="00DE12A3" w:rsidRDefault="00242DA0" w:rsidP="000059EB">
      <w:pPr>
        <w:pStyle w:val="Gvdemetni250"/>
        <w:shd w:val="clear" w:color="auto" w:fill="auto"/>
        <w:spacing w:before="120" w:after="120" w:line="240" w:lineRule="auto"/>
        <w:ind w:firstLine="0"/>
        <w:rPr>
          <w:sz w:val="24"/>
          <w:szCs w:val="24"/>
        </w:rPr>
      </w:pPr>
      <w:r w:rsidRPr="00DE12A3">
        <w:rPr>
          <w:sz w:val="24"/>
          <w:szCs w:val="24"/>
        </w:rPr>
        <w:t xml:space="preserve">İmalatçı, servis birikme programı sırasında yapmak ve ardından karayolu dışında kullanılan hareketli makinaların ve motorların son kullanıcılarına önermek istediği yeni planlı bakımın onaylanması için </w:t>
      </w:r>
      <w:r w:rsidR="007E2039" w:rsidRPr="00DE12A3">
        <w:rPr>
          <w:sz w:val="24"/>
          <w:szCs w:val="24"/>
        </w:rPr>
        <w:t>onay kuruluşuna</w:t>
      </w:r>
      <w:r w:rsidRPr="00DE12A3">
        <w:rPr>
          <w:sz w:val="24"/>
          <w:szCs w:val="24"/>
        </w:rPr>
        <w:t xml:space="preserve"> bir talep sunar.</w:t>
      </w:r>
    </w:p>
    <w:p w14:paraId="575E96C5" w14:textId="6394B423" w:rsidR="002D7B36" w:rsidRPr="00DE12A3" w:rsidRDefault="00242DA0" w:rsidP="000059EB">
      <w:pPr>
        <w:pStyle w:val="Gvdemetni250"/>
        <w:shd w:val="clear" w:color="auto" w:fill="auto"/>
        <w:spacing w:before="120" w:after="120" w:line="240" w:lineRule="auto"/>
        <w:ind w:firstLine="0"/>
        <w:rPr>
          <w:sz w:val="24"/>
          <w:szCs w:val="24"/>
        </w:rPr>
      </w:pPr>
      <w:r w:rsidRPr="00DE12A3">
        <w:rPr>
          <w:sz w:val="24"/>
          <w:szCs w:val="24"/>
        </w:rPr>
        <w:t>Bu talep, yeni planlı bakım ihtiyacını ve bakım aralığını destekleyen verilerle birlikte sunulmalıdır.</w:t>
      </w:r>
    </w:p>
    <w:p w14:paraId="62CADA7B" w14:textId="4DB3B390" w:rsidR="002D7B36" w:rsidRPr="00DE12A3" w:rsidRDefault="000059EB" w:rsidP="000059EB">
      <w:pPr>
        <w:pStyle w:val="Gvdemetni250"/>
        <w:shd w:val="clear" w:color="auto" w:fill="auto"/>
        <w:spacing w:before="120" w:after="120" w:line="240" w:lineRule="auto"/>
        <w:ind w:firstLine="0"/>
        <w:rPr>
          <w:sz w:val="24"/>
          <w:szCs w:val="24"/>
        </w:rPr>
      </w:pPr>
      <w:r w:rsidRPr="00DE12A3">
        <w:rPr>
          <w:sz w:val="24"/>
          <w:szCs w:val="24"/>
        </w:rPr>
        <w:t xml:space="preserve">3.4.3. </w:t>
      </w:r>
      <w:r w:rsidR="00242DA0" w:rsidRPr="00DE12A3">
        <w:rPr>
          <w:sz w:val="24"/>
          <w:szCs w:val="24"/>
        </w:rPr>
        <w:t>Emisyonla ilgili olmayan planlı bakım</w:t>
      </w:r>
    </w:p>
    <w:p w14:paraId="1B2C9580" w14:textId="0B6ACD3B" w:rsidR="002D7B36" w:rsidRPr="00DE12A3" w:rsidRDefault="00242DA0" w:rsidP="000059EB">
      <w:pPr>
        <w:pStyle w:val="Gvdemetni250"/>
        <w:shd w:val="clear" w:color="auto" w:fill="auto"/>
        <w:spacing w:before="120" w:after="120" w:line="240" w:lineRule="auto"/>
        <w:ind w:firstLine="0"/>
        <w:rPr>
          <w:sz w:val="24"/>
          <w:szCs w:val="24"/>
        </w:rPr>
      </w:pPr>
      <w:r w:rsidRPr="00DE12A3">
        <w:rPr>
          <w:sz w:val="24"/>
          <w:szCs w:val="24"/>
        </w:rPr>
        <w:t xml:space="preserve">Makul ve teknik açıdan gerekli olan emisyonla ilgili planlı bakım (örneğin yağ değişimi, yağ filtresi değişimi, yakıt filtresi değişimi, hava filtresi değişimi, soğutma sistemi bakımı, rölanti devri ayarı, </w:t>
      </w:r>
      <w:r w:rsidR="00EF0D08" w:rsidRPr="00DE12A3">
        <w:rPr>
          <w:sz w:val="24"/>
          <w:szCs w:val="24"/>
        </w:rPr>
        <w:t>motor kontrol ünitesi</w:t>
      </w:r>
      <w:r w:rsidRPr="00DE12A3">
        <w:rPr>
          <w:sz w:val="24"/>
          <w:szCs w:val="24"/>
        </w:rPr>
        <w:t>, motor cıvatası torku, valf boşluğu, enjektör boşluğu, herhangi bir tahrik kayışı gerginliğinin, ayarlanması v</w:t>
      </w:r>
      <w:r w:rsidR="005C6D9F" w:rsidRPr="00DE12A3">
        <w:rPr>
          <w:sz w:val="24"/>
          <w:szCs w:val="24"/>
        </w:rPr>
        <w:t>e benzeri</w:t>
      </w:r>
      <w:r w:rsidRPr="00DE12A3">
        <w:rPr>
          <w:sz w:val="24"/>
          <w:szCs w:val="24"/>
        </w:rPr>
        <w:t>), imalatçı tarafından son kullanıcıya önerilen en sık aralıklarla (örneğin, ciddi servis için önerilen aralıklarla), servis birikme programı için seçilen motorlar veya karayolu dışında kullanılan hareketli makinalar üzerinde yapılabilir.</w:t>
      </w:r>
    </w:p>
    <w:p w14:paraId="187009CC" w14:textId="57AC6C79" w:rsidR="002D7B36" w:rsidRPr="00DE12A3" w:rsidRDefault="000059EB" w:rsidP="000059EB">
      <w:pPr>
        <w:pStyle w:val="Gvdemetni250"/>
        <w:shd w:val="clear" w:color="auto" w:fill="auto"/>
        <w:spacing w:before="120" w:after="120" w:line="240" w:lineRule="auto"/>
        <w:ind w:firstLine="0"/>
        <w:rPr>
          <w:sz w:val="24"/>
          <w:szCs w:val="24"/>
        </w:rPr>
      </w:pPr>
      <w:r w:rsidRPr="00DE12A3">
        <w:rPr>
          <w:sz w:val="24"/>
          <w:szCs w:val="24"/>
        </w:rPr>
        <w:t xml:space="preserve">3.5. </w:t>
      </w:r>
      <w:r w:rsidR="00242DA0" w:rsidRPr="00DE12A3">
        <w:rPr>
          <w:sz w:val="24"/>
          <w:szCs w:val="24"/>
        </w:rPr>
        <w:t>Onarım</w:t>
      </w:r>
    </w:p>
    <w:p w14:paraId="1D3496BA" w14:textId="199312CF" w:rsidR="002D7B36" w:rsidRPr="00DE12A3" w:rsidRDefault="000059EB" w:rsidP="000059EB">
      <w:pPr>
        <w:pStyle w:val="Gvdemetni250"/>
        <w:shd w:val="clear" w:color="auto" w:fill="auto"/>
        <w:spacing w:before="120" w:after="120" w:line="240" w:lineRule="auto"/>
        <w:ind w:firstLine="0"/>
        <w:rPr>
          <w:sz w:val="24"/>
          <w:szCs w:val="24"/>
        </w:rPr>
      </w:pPr>
      <w:r w:rsidRPr="00DE12A3">
        <w:rPr>
          <w:sz w:val="24"/>
          <w:szCs w:val="24"/>
        </w:rPr>
        <w:t xml:space="preserve">3.5.1. </w:t>
      </w:r>
      <w:r w:rsidR="00242DA0" w:rsidRPr="00DE12A3">
        <w:rPr>
          <w:sz w:val="24"/>
          <w:szCs w:val="24"/>
        </w:rPr>
        <w:t>Bir servis birikme programı üzerinden test yapmak için seçilen motor bileşenlerinin onarımları, sadece bileşen arızası veya motor arızası sonucu gerçekleştirilir.3.5.2 bendinde tanımlanan kapsam dışında, motorun kendisinin, emisyon kontrol sisteminin veya yakıt sisteminin onarımına izin verilmez.</w:t>
      </w:r>
    </w:p>
    <w:p w14:paraId="05871938" w14:textId="7913976B" w:rsidR="002D7B36" w:rsidRPr="00DE12A3" w:rsidRDefault="000059EB" w:rsidP="000059EB">
      <w:pPr>
        <w:pStyle w:val="Gvdemetni250"/>
        <w:shd w:val="clear" w:color="auto" w:fill="auto"/>
        <w:spacing w:before="120" w:after="120" w:line="240" w:lineRule="auto"/>
        <w:ind w:firstLine="0"/>
        <w:rPr>
          <w:sz w:val="24"/>
          <w:szCs w:val="24"/>
        </w:rPr>
      </w:pPr>
      <w:r w:rsidRPr="00DE12A3">
        <w:rPr>
          <w:sz w:val="24"/>
          <w:szCs w:val="24"/>
        </w:rPr>
        <w:t xml:space="preserve">3.5.2. </w:t>
      </w:r>
      <w:r w:rsidR="00242DA0" w:rsidRPr="00DE12A3">
        <w:rPr>
          <w:sz w:val="24"/>
          <w:szCs w:val="24"/>
        </w:rPr>
        <w:t>Motor, emisyon kontrol sistemi veya yakıt sistemi servis birikme programı sırasında başarısız olursa, servis birikmesi geçersiz sayılır ve yeni bir motorla yeni bir servis birikmesi başlatılır.</w:t>
      </w:r>
    </w:p>
    <w:p w14:paraId="2ADF1CF0" w14:textId="1B500423" w:rsidR="002D7B36" w:rsidRPr="00DE12A3" w:rsidRDefault="00242DA0" w:rsidP="000059EB">
      <w:pPr>
        <w:pStyle w:val="Gvdemetni250"/>
        <w:shd w:val="clear" w:color="auto" w:fill="auto"/>
        <w:spacing w:before="120" w:after="120" w:line="240" w:lineRule="auto"/>
        <w:ind w:firstLine="0"/>
        <w:rPr>
          <w:sz w:val="24"/>
          <w:szCs w:val="24"/>
        </w:rPr>
      </w:pPr>
      <w:r w:rsidRPr="00DE12A3">
        <w:rPr>
          <w:sz w:val="24"/>
          <w:szCs w:val="24"/>
        </w:rPr>
        <w:t xml:space="preserve">Arızalı bileşenler, benzer sayıda servis birikme saatine maruz kalmış dengi bileşenlerle değiştirilirken, </w:t>
      </w:r>
      <w:r w:rsidR="00327A59" w:rsidRPr="00DE12A3">
        <w:rPr>
          <w:sz w:val="24"/>
          <w:szCs w:val="24"/>
        </w:rPr>
        <w:t>bu bendin bir önceki cümlesi</w:t>
      </w:r>
      <w:r w:rsidRPr="00DE12A3">
        <w:rPr>
          <w:sz w:val="24"/>
          <w:szCs w:val="24"/>
        </w:rPr>
        <w:t xml:space="preserve"> uygulanmaz.</w:t>
      </w:r>
    </w:p>
    <w:p w14:paraId="4C65E161" w14:textId="5521DF4C" w:rsidR="002D7B36" w:rsidRPr="00DE12A3" w:rsidRDefault="000059EB" w:rsidP="000059EB">
      <w:pPr>
        <w:rPr>
          <w:i/>
          <w:iCs/>
          <w:color w:val="auto"/>
        </w:rPr>
      </w:pPr>
      <w:r w:rsidRPr="00DE12A3">
        <w:rPr>
          <w:rStyle w:val="Balk947pttalikdeil0ptbolukbraklyor"/>
          <w:rFonts w:eastAsia="Courier New"/>
          <w:b/>
          <w:bCs/>
          <w:i w:val="0"/>
          <w:iCs w:val="0"/>
          <w:color w:val="auto"/>
          <w:sz w:val="24"/>
          <w:szCs w:val="24"/>
        </w:rPr>
        <w:t>4.</w:t>
      </w:r>
      <w:r w:rsidR="00C3007B" w:rsidRPr="00DE12A3">
        <w:rPr>
          <w:rStyle w:val="Balk947pttalikdeil0ptbolukbraklyor"/>
          <w:rFonts w:eastAsia="Courier New"/>
          <w:b/>
          <w:bCs/>
          <w:i w:val="0"/>
          <w:iCs w:val="0"/>
          <w:color w:val="auto"/>
          <w:sz w:val="24"/>
          <w:szCs w:val="24"/>
        </w:rPr>
        <w:t xml:space="preserve"> </w:t>
      </w:r>
      <w:r w:rsidR="00242DA0" w:rsidRPr="00DE12A3">
        <w:rPr>
          <w:rStyle w:val="Balk947pttalikdeil0ptbolukbraklyor"/>
          <w:rFonts w:eastAsia="Courier New"/>
          <w:b/>
          <w:bCs/>
          <w:i w:val="0"/>
          <w:iCs w:val="0"/>
          <w:color w:val="auto"/>
          <w:sz w:val="24"/>
          <w:szCs w:val="24"/>
        </w:rPr>
        <w:t xml:space="preserve">NRSh ve NRS motor kategorileri ve </w:t>
      </w:r>
      <w:r w:rsidR="00784AF3" w:rsidRPr="00DE12A3">
        <w:rPr>
          <w:rStyle w:val="Balk947pttalikdeil0ptbolukbraklyor"/>
          <w:rFonts w:eastAsia="Courier New"/>
          <w:b/>
          <w:bCs/>
          <w:i w:val="0"/>
          <w:iCs w:val="0"/>
          <w:color w:val="auto"/>
          <w:sz w:val="24"/>
          <w:szCs w:val="24"/>
        </w:rPr>
        <w:t>(</w:t>
      </w:r>
      <w:r w:rsidR="00242DA0" w:rsidRPr="00DE12A3">
        <w:rPr>
          <w:rStyle w:val="Balk947pttalikdeil0ptbolukbraklyor"/>
          <w:rFonts w:eastAsia="Courier New"/>
          <w:b/>
          <w:bCs/>
          <w:i w:val="0"/>
          <w:iCs w:val="0"/>
          <w:color w:val="auto"/>
          <w:sz w:val="24"/>
          <w:szCs w:val="24"/>
        </w:rPr>
        <w:t>NRS-v-2b ve NRS-v-3 hariç</w:t>
      </w:r>
      <w:r w:rsidR="00784AF3" w:rsidRPr="00DE12A3">
        <w:rPr>
          <w:rStyle w:val="Balk947pttalikdeil0ptbolukbraklyor"/>
          <w:rFonts w:eastAsia="Courier New"/>
          <w:b/>
          <w:bCs/>
          <w:i w:val="0"/>
          <w:iCs w:val="0"/>
          <w:color w:val="auto"/>
          <w:sz w:val="24"/>
          <w:szCs w:val="24"/>
        </w:rPr>
        <w:t>)</w:t>
      </w:r>
      <w:r w:rsidR="00242DA0" w:rsidRPr="00DE12A3">
        <w:rPr>
          <w:rStyle w:val="Balk947pttalikdeil0ptbolukbraklyor"/>
          <w:rFonts w:eastAsia="Courier New"/>
          <w:b/>
          <w:bCs/>
          <w:i w:val="0"/>
          <w:iCs w:val="0"/>
          <w:color w:val="auto"/>
          <w:sz w:val="24"/>
          <w:szCs w:val="24"/>
        </w:rPr>
        <w:t xml:space="preserve"> alt kategorileri</w:t>
      </w:r>
    </w:p>
    <w:p w14:paraId="7B8416EF" w14:textId="67BB72ED" w:rsidR="002D7B36" w:rsidRPr="00DE12A3" w:rsidRDefault="004A524E" w:rsidP="004A524E">
      <w:pPr>
        <w:pStyle w:val="Gvdemetni250"/>
        <w:shd w:val="clear" w:color="auto" w:fill="auto"/>
        <w:spacing w:before="120" w:after="120" w:line="240" w:lineRule="auto"/>
        <w:ind w:firstLine="0"/>
        <w:rPr>
          <w:sz w:val="24"/>
          <w:szCs w:val="24"/>
        </w:rPr>
      </w:pPr>
      <w:r w:rsidRPr="00DE12A3">
        <w:rPr>
          <w:sz w:val="24"/>
          <w:szCs w:val="24"/>
        </w:rPr>
        <w:t xml:space="preserve">4.1. </w:t>
      </w:r>
      <w:r w:rsidR="00242DA0" w:rsidRPr="00DE12A3">
        <w:rPr>
          <w:sz w:val="24"/>
          <w:szCs w:val="24"/>
        </w:rPr>
        <w:t xml:space="preserve">Uygulanabilir EDP kategorisi ve ilgili bozulma faktörü (BF), bu </w:t>
      </w:r>
      <w:r w:rsidR="00D40E57" w:rsidRPr="00DE12A3">
        <w:rPr>
          <w:sz w:val="24"/>
          <w:szCs w:val="24"/>
        </w:rPr>
        <w:t xml:space="preserve">4. </w:t>
      </w:r>
      <w:r w:rsidR="00721C89" w:rsidRPr="00DE12A3">
        <w:rPr>
          <w:sz w:val="24"/>
          <w:szCs w:val="24"/>
        </w:rPr>
        <w:t>Bölüm</w:t>
      </w:r>
      <w:r w:rsidR="00242DA0" w:rsidRPr="00DE12A3">
        <w:rPr>
          <w:sz w:val="24"/>
          <w:szCs w:val="24"/>
        </w:rPr>
        <w:t xml:space="preserve"> uyarınca belirlenir.</w:t>
      </w:r>
    </w:p>
    <w:p w14:paraId="1570C0B8" w14:textId="4145A908" w:rsidR="002D7B36" w:rsidRPr="00DE12A3" w:rsidRDefault="004A524E" w:rsidP="004A524E">
      <w:pPr>
        <w:pStyle w:val="Gvdemetni250"/>
        <w:shd w:val="clear" w:color="auto" w:fill="auto"/>
        <w:spacing w:before="120" w:after="120" w:line="240" w:lineRule="auto"/>
        <w:ind w:firstLine="0"/>
        <w:rPr>
          <w:sz w:val="24"/>
          <w:szCs w:val="24"/>
        </w:rPr>
      </w:pPr>
      <w:r w:rsidRPr="00DE12A3">
        <w:rPr>
          <w:sz w:val="24"/>
          <w:szCs w:val="24"/>
        </w:rPr>
        <w:t xml:space="preserve">4.2. </w:t>
      </w:r>
      <w:r w:rsidR="00242DA0" w:rsidRPr="00DE12A3">
        <w:rPr>
          <w:sz w:val="24"/>
          <w:szCs w:val="24"/>
        </w:rPr>
        <w:t xml:space="preserve">Bir motor ailesi, söz konusu motor ailesini temsil eden tüm motorların emisyon test sonuçları 2. </w:t>
      </w:r>
      <w:r w:rsidR="00721C89" w:rsidRPr="00DE12A3">
        <w:rPr>
          <w:sz w:val="24"/>
          <w:szCs w:val="24"/>
        </w:rPr>
        <w:t>Bölüm</w:t>
      </w:r>
      <w:r w:rsidR="00242DA0" w:rsidRPr="00DE12A3">
        <w:rPr>
          <w:sz w:val="24"/>
          <w:szCs w:val="24"/>
        </w:rPr>
        <w:t>de belirtilen BF ile çarpılarak ayarlandıktan sonra bir motor alt kategorisi için gereken sınır değerlerden düşük veya onlara eşit olduğunda, o motor alt kategorisi için gerekli sınır değerlerle uyumlu kabul edilir.</w:t>
      </w:r>
      <w:r w:rsidR="00327A59" w:rsidRPr="00DE12A3">
        <w:rPr>
          <w:sz w:val="24"/>
          <w:szCs w:val="24"/>
        </w:rPr>
        <w:t xml:space="preserve"> </w:t>
      </w:r>
      <w:r w:rsidR="00242DA0" w:rsidRPr="00DE12A3">
        <w:rPr>
          <w:sz w:val="24"/>
          <w:szCs w:val="24"/>
        </w:rPr>
        <w:t xml:space="preserve">Bununla birlikte, motor ailesini temsil eden bir veya daha fazla motora ait bir veya daha fazla emisyon testi sonuçları, 2. </w:t>
      </w:r>
      <w:r w:rsidR="00721C89" w:rsidRPr="00DE12A3">
        <w:rPr>
          <w:sz w:val="24"/>
          <w:szCs w:val="24"/>
        </w:rPr>
        <w:t>Bölüm</w:t>
      </w:r>
      <w:r w:rsidR="00242DA0" w:rsidRPr="00DE12A3">
        <w:rPr>
          <w:sz w:val="24"/>
          <w:szCs w:val="24"/>
        </w:rPr>
        <w:t>de belirtilen BF ile çarpılarak ayarlandıktan sonra o motor alt kategorisi için gereken bir veya daha fazla bağımsız emisyon sınır değerinden daha yüksek olduğunda, motor ailesi, o motor alt kategorisi için gereken limit değerlerle uyumsuz</w:t>
      </w:r>
      <w:r w:rsidR="00C3007B" w:rsidRPr="00DE12A3">
        <w:rPr>
          <w:sz w:val="24"/>
          <w:szCs w:val="24"/>
        </w:rPr>
        <w:t xml:space="preserve"> </w:t>
      </w:r>
      <w:r w:rsidR="00242DA0" w:rsidRPr="00DE12A3">
        <w:rPr>
          <w:sz w:val="24"/>
          <w:szCs w:val="24"/>
        </w:rPr>
        <w:t>kabul edilir.</w:t>
      </w:r>
    </w:p>
    <w:p w14:paraId="219E09EB" w14:textId="1E5DB9FB" w:rsidR="002D7B36" w:rsidRPr="00DE12A3" w:rsidRDefault="004A524E" w:rsidP="004A524E">
      <w:pPr>
        <w:pStyle w:val="Gvdemetni250"/>
        <w:shd w:val="clear" w:color="auto" w:fill="auto"/>
        <w:spacing w:before="120" w:after="120" w:line="240" w:lineRule="auto"/>
        <w:ind w:firstLine="0"/>
        <w:rPr>
          <w:sz w:val="24"/>
          <w:szCs w:val="24"/>
        </w:rPr>
      </w:pPr>
      <w:r w:rsidRPr="00DE12A3">
        <w:rPr>
          <w:sz w:val="24"/>
          <w:szCs w:val="24"/>
        </w:rPr>
        <w:t xml:space="preserve">4.3. </w:t>
      </w:r>
      <w:r w:rsidR="00242DA0" w:rsidRPr="00DE12A3">
        <w:rPr>
          <w:sz w:val="24"/>
          <w:szCs w:val="24"/>
        </w:rPr>
        <w:t>BF'ler aşağıdaki şekilde belirlenir:</w:t>
      </w:r>
    </w:p>
    <w:p w14:paraId="084AD75C" w14:textId="4CCE98CC" w:rsidR="002D7B36" w:rsidRPr="00DE12A3" w:rsidRDefault="004A524E" w:rsidP="004A524E">
      <w:pPr>
        <w:spacing w:before="120" w:after="120"/>
        <w:jc w:val="both"/>
        <w:rPr>
          <w:rFonts w:cs="Times New Roman"/>
          <w:color w:val="auto"/>
        </w:rPr>
      </w:pPr>
      <w:r w:rsidRPr="00DE12A3">
        <w:rPr>
          <w:rFonts w:cs="Times New Roman"/>
          <w:color w:val="auto"/>
        </w:rPr>
        <w:t xml:space="preserve">4.3.1. </w:t>
      </w:r>
      <w:r w:rsidR="00242DA0" w:rsidRPr="00DE12A3">
        <w:rPr>
          <w:rFonts w:cs="Times New Roman"/>
          <w:color w:val="auto"/>
        </w:rPr>
        <w:t>HC + NO</w:t>
      </w:r>
      <w:r w:rsidR="00242DA0" w:rsidRPr="00DE12A3">
        <w:rPr>
          <w:rFonts w:cs="Times New Roman"/>
          <w:color w:val="auto"/>
          <w:vertAlign w:val="subscript"/>
        </w:rPr>
        <w:t xml:space="preserve">x </w:t>
      </w:r>
      <w:r w:rsidR="00242DA0" w:rsidRPr="00DE12A3">
        <w:rPr>
          <w:rFonts w:cs="Times New Roman"/>
          <w:color w:val="auto"/>
        </w:rPr>
        <w:t xml:space="preserve">emisyon sınırlarını aşması en muhtemel konfigürasyon olarak seçilen konfigürasyonu temsil eden ve üretim motorlarını temsil etmek üzere yapılmış olan en az bir </w:t>
      </w:r>
      <w:r w:rsidR="00242DA0" w:rsidRPr="00DE12A3">
        <w:rPr>
          <w:rFonts w:cs="Times New Roman"/>
          <w:color w:val="auto"/>
        </w:rPr>
        <w:lastRenderedPageBreak/>
        <w:t xml:space="preserve">test motoru üzerinde, (eksiksiz) test prosedürü emisyon testi, stabilize edilmiş emisyonları temsil eden sayıda saat sonra </w:t>
      </w:r>
      <w:r w:rsidR="00FA0678" w:rsidRPr="00DE12A3">
        <w:rPr>
          <w:rFonts w:cs="Times New Roman"/>
          <w:color w:val="auto"/>
        </w:rPr>
        <w:t xml:space="preserve">VI’ncı </w:t>
      </w:r>
      <w:r w:rsidR="00B172A8" w:rsidRPr="00DE12A3">
        <w:rPr>
          <w:rFonts w:cs="Times New Roman"/>
          <w:color w:val="auto"/>
        </w:rPr>
        <w:t>E</w:t>
      </w:r>
      <w:r w:rsidR="00FA0678" w:rsidRPr="00DE12A3">
        <w:rPr>
          <w:rFonts w:cs="Times New Roman"/>
          <w:color w:val="auto"/>
        </w:rPr>
        <w:t>k</w:t>
      </w:r>
      <w:r w:rsidR="00242DA0" w:rsidRPr="00DE12A3">
        <w:rPr>
          <w:rFonts w:cs="Times New Roman"/>
          <w:color w:val="auto"/>
        </w:rPr>
        <w:t>te tanımlandığı şekilde gerçekleştirilir.</w:t>
      </w:r>
    </w:p>
    <w:p w14:paraId="3DCA6C71" w14:textId="3DFA8754" w:rsidR="002D7B36" w:rsidRPr="00DE12A3" w:rsidRDefault="004A524E" w:rsidP="004A524E">
      <w:pPr>
        <w:pStyle w:val="Gvdemetni250"/>
        <w:shd w:val="clear" w:color="auto" w:fill="auto"/>
        <w:spacing w:before="120" w:after="120" w:line="240" w:lineRule="auto"/>
        <w:ind w:firstLine="0"/>
        <w:rPr>
          <w:sz w:val="24"/>
          <w:szCs w:val="24"/>
        </w:rPr>
      </w:pPr>
      <w:r w:rsidRPr="00DE12A3">
        <w:rPr>
          <w:sz w:val="24"/>
          <w:szCs w:val="24"/>
        </w:rPr>
        <w:t>4.3.2.</w:t>
      </w:r>
      <w:r w:rsidR="00C3007B" w:rsidRPr="00DE12A3">
        <w:rPr>
          <w:sz w:val="24"/>
          <w:szCs w:val="24"/>
        </w:rPr>
        <w:t xml:space="preserve"> </w:t>
      </w:r>
      <w:r w:rsidR="00242DA0" w:rsidRPr="00DE12A3">
        <w:rPr>
          <w:sz w:val="24"/>
          <w:szCs w:val="24"/>
        </w:rPr>
        <w:t>Birden fazla motor test edilirse, sonuçlar, test edilen tüm motorlara ilişkin sonuçların ortalaması olarak hesaplanmalı, geçerli sınır içindeki ile aynı sayıda ondalık basamağa yuvarlanıp, ek bir anlamlı basamak ile ifade edilmelidir.</w:t>
      </w:r>
    </w:p>
    <w:p w14:paraId="19AF044B" w14:textId="0CFCA82B" w:rsidR="002D7B36" w:rsidRPr="00DE12A3" w:rsidRDefault="004A524E" w:rsidP="004A524E">
      <w:pPr>
        <w:pStyle w:val="Gvdemetni250"/>
        <w:shd w:val="clear" w:color="auto" w:fill="auto"/>
        <w:spacing w:before="120" w:after="120" w:line="240" w:lineRule="auto"/>
        <w:ind w:firstLine="0"/>
        <w:rPr>
          <w:sz w:val="24"/>
          <w:szCs w:val="24"/>
        </w:rPr>
      </w:pPr>
      <w:r w:rsidRPr="00DE12A3">
        <w:rPr>
          <w:sz w:val="24"/>
          <w:szCs w:val="24"/>
        </w:rPr>
        <w:t xml:space="preserve">4.3.3. </w:t>
      </w:r>
      <w:r w:rsidR="00242DA0" w:rsidRPr="00DE12A3">
        <w:rPr>
          <w:sz w:val="24"/>
          <w:szCs w:val="24"/>
        </w:rPr>
        <w:t>Bu emisyon testleri motorun yaşlanmasını takiben tekrar yapılmalıdır. Yaşlanma prosedürü, imalatçının, emisyon performansını etkileyebilecek tipik tüketici kullanımı altında beklenen aşınma tipini ve diğer bozulma mekanizmalarını hesaba katarak, motorun EDP'sinde beklenen kullanımdaki emisyon bozulmasını uygun bir şekilde tahmin etmesini sağlayacak şekilde tasarlanmalıdır. Birden fazla motor test edilirse, sonuçlar, test edilen tüm motorlara ilişkin sonuçların ortalaması olarak hesaplanmalı, geçerli sınır içindeki ile aynı sayıda ondalık basamağa yuvarlanıp, ek bir anlamlı basamak ile ifade edilmelidir.</w:t>
      </w:r>
    </w:p>
    <w:p w14:paraId="6A447188" w14:textId="6C1C5B8E" w:rsidR="002D7B36" w:rsidRPr="00DE12A3" w:rsidRDefault="004F7D49" w:rsidP="004F7D49">
      <w:pPr>
        <w:pStyle w:val="Gvdemetni250"/>
        <w:shd w:val="clear" w:color="auto" w:fill="auto"/>
        <w:spacing w:before="120" w:after="120" w:line="240" w:lineRule="auto"/>
        <w:ind w:firstLine="0"/>
        <w:rPr>
          <w:sz w:val="24"/>
          <w:szCs w:val="24"/>
        </w:rPr>
      </w:pPr>
      <w:r w:rsidRPr="00DE12A3">
        <w:rPr>
          <w:sz w:val="24"/>
          <w:szCs w:val="24"/>
        </w:rPr>
        <w:t xml:space="preserve">4.3.4. </w:t>
      </w:r>
      <w:r w:rsidR="00242DA0" w:rsidRPr="00DE12A3">
        <w:rPr>
          <w:sz w:val="24"/>
          <w:szCs w:val="24"/>
        </w:rPr>
        <w:t>EDP'nin sonundaki emisyonlar (varsa, düzenlenmiş her kirletici madde için ortalama emisyonlar) stabilize edilmiş emisyonlara (varsa ortalama emisyonlara) bölünür ve iki anlamlı basamağa yuvarlanır. Sonuçta elde edilen sayı, 1,00'den küçük olmadığı sürece BF'dir, öyle olması durumunda BF 1,00'dir.</w:t>
      </w:r>
    </w:p>
    <w:p w14:paraId="5EC468C3" w14:textId="12D3F28D" w:rsidR="002D7B36" w:rsidRPr="00DE12A3" w:rsidRDefault="004F7D49" w:rsidP="004F7D49">
      <w:pPr>
        <w:pStyle w:val="Gvdemetni250"/>
        <w:shd w:val="clear" w:color="auto" w:fill="auto"/>
        <w:spacing w:before="120" w:after="120" w:line="240" w:lineRule="auto"/>
        <w:ind w:firstLine="0"/>
        <w:rPr>
          <w:sz w:val="24"/>
          <w:szCs w:val="24"/>
        </w:rPr>
      </w:pPr>
      <w:r w:rsidRPr="00DE12A3">
        <w:rPr>
          <w:sz w:val="24"/>
          <w:szCs w:val="24"/>
        </w:rPr>
        <w:t xml:space="preserve">4.3.5. </w:t>
      </w:r>
      <w:r w:rsidR="00242DA0" w:rsidRPr="00DE12A3">
        <w:rPr>
          <w:sz w:val="24"/>
          <w:szCs w:val="24"/>
        </w:rPr>
        <w:t>İmalatçı, stabilize edilmiş emisyon test noktası ile EDP'nin sonu arasında ek emisyon test noktaları planlayabilir. Ara testler planlanırsa, test noktaları EDP üzerinde eşit aralıklar (artı/eksi iki saat) ile yerleştirilmeli ve böyle bir test noktası eksiksiz EDP'nin yarısında (artı/eksi iki saat) olmalıdır.</w:t>
      </w:r>
    </w:p>
    <w:p w14:paraId="2FF3F26F" w14:textId="502449BA" w:rsidR="002D7B36" w:rsidRPr="00DE12A3" w:rsidRDefault="004F7D49" w:rsidP="004F7D49">
      <w:pPr>
        <w:pStyle w:val="Gvdemetni250"/>
        <w:shd w:val="clear" w:color="auto" w:fill="auto"/>
        <w:spacing w:before="120" w:after="120" w:line="240" w:lineRule="auto"/>
        <w:ind w:firstLine="0"/>
        <w:rPr>
          <w:sz w:val="24"/>
          <w:szCs w:val="24"/>
        </w:rPr>
      </w:pPr>
      <w:r w:rsidRPr="00DE12A3">
        <w:rPr>
          <w:sz w:val="24"/>
          <w:szCs w:val="24"/>
        </w:rPr>
        <w:t xml:space="preserve">4.3.6. </w:t>
      </w:r>
      <w:r w:rsidR="00242DA0" w:rsidRPr="00DE12A3">
        <w:rPr>
          <w:sz w:val="24"/>
          <w:szCs w:val="24"/>
        </w:rPr>
        <w:t>Her kirletici HC + NOx ve CO için, ilk testin sıfırıncı saatte gerçekleştiği düşünülerek ve en küçük kareler yöntemi kullanılarak veri noktaları düz bir çizgi ile birleştirilmelidir. BF, dayanıklılık döneminin sonunda hesaplanan emisyonun, sıfırıncı saatte hesaplanan emisyona bölümüdür.</w:t>
      </w:r>
    </w:p>
    <w:p w14:paraId="3CA84DE3" w14:textId="10BB47C3" w:rsidR="002D7B36" w:rsidRPr="00DE12A3" w:rsidRDefault="00242DA0" w:rsidP="004F7D49">
      <w:pPr>
        <w:pStyle w:val="Gvdemetni250"/>
        <w:shd w:val="clear" w:color="auto" w:fill="auto"/>
        <w:spacing w:before="120" w:after="120" w:line="240" w:lineRule="auto"/>
        <w:ind w:firstLine="2"/>
        <w:rPr>
          <w:sz w:val="24"/>
          <w:szCs w:val="24"/>
        </w:rPr>
      </w:pPr>
      <w:r w:rsidRPr="00DE12A3">
        <w:rPr>
          <w:sz w:val="24"/>
          <w:szCs w:val="24"/>
        </w:rPr>
        <w:t xml:space="preserve">Uygulanabilir her test </w:t>
      </w:r>
      <w:r w:rsidR="00EF2C88" w:rsidRPr="00DE12A3">
        <w:rPr>
          <w:sz w:val="24"/>
          <w:szCs w:val="24"/>
        </w:rPr>
        <w:t>çevrimi için</w:t>
      </w:r>
      <w:r w:rsidRPr="00DE12A3">
        <w:rPr>
          <w:sz w:val="24"/>
          <w:szCs w:val="24"/>
        </w:rPr>
        <w:t xml:space="preserve"> her kirleticiye ilişkin BF, </w:t>
      </w:r>
      <w:r w:rsidR="00EE5D5E" w:rsidRPr="00DE12A3">
        <w:rPr>
          <w:sz w:val="24"/>
          <w:szCs w:val="24"/>
        </w:rPr>
        <w:t>2017/656/AB Tebliğinin VI’nc</w:t>
      </w:r>
      <w:r w:rsidR="00327A59" w:rsidRPr="00DE12A3">
        <w:rPr>
          <w:sz w:val="24"/>
          <w:szCs w:val="24"/>
        </w:rPr>
        <w:t>ı</w:t>
      </w:r>
      <w:r w:rsidR="00EE5D5E" w:rsidRPr="00DE12A3">
        <w:rPr>
          <w:sz w:val="24"/>
          <w:szCs w:val="24"/>
        </w:rPr>
        <w:t xml:space="preserve"> </w:t>
      </w:r>
      <w:r w:rsidR="00EC3EF0" w:rsidRPr="00DE12A3">
        <w:rPr>
          <w:sz w:val="24"/>
          <w:szCs w:val="24"/>
        </w:rPr>
        <w:t>Ekinin</w:t>
      </w:r>
      <w:r w:rsidRPr="00DE12A3">
        <w:rPr>
          <w:sz w:val="24"/>
          <w:szCs w:val="24"/>
        </w:rPr>
        <w:t xml:space="preserve"> 1. Açıklayıcı Ekinde belirtilen test raporu içine kaydedilir.</w:t>
      </w:r>
    </w:p>
    <w:p w14:paraId="1FC0D4D5" w14:textId="48FC9265" w:rsidR="002D7B36" w:rsidRPr="00DE12A3" w:rsidRDefault="004F7D49" w:rsidP="004F7D49">
      <w:pPr>
        <w:pStyle w:val="Gvdemetni250"/>
        <w:shd w:val="clear" w:color="auto" w:fill="auto"/>
        <w:spacing w:before="120" w:after="120" w:line="240" w:lineRule="auto"/>
        <w:ind w:firstLine="0"/>
        <w:rPr>
          <w:sz w:val="24"/>
          <w:szCs w:val="24"/>
        </w:rPr>
      </w:pPr>
      <w:r w:rsidRPr="00DE12A3">
        <w:rPr>
          <w:sz w:val="24"/>
          <w:szCs w:val="24"/>
        </w:rPr>
        <w:t xml:space="preserve">4.3.7. </w:t>
      </w:r>
      <w:r w:rsidR="00242DA0" w:rsidRPr="00DE12A3">
        <w:rPr>
          <w:sz w:val="24"/>
          <w:szCs w:val="24"/>
        </w:rPr>
        <w:t xml:space="preserve">İmalatçı, AB tip onayı öncesinde </w:t>
      </w:r>
      <w:r w:rsidR="007E2039" w:rsidRPr="00DE12A3">
        <w:rPr>
          <w:sz w:val="24"/>
          <w:szCs w:val="24"/>
        </w:rPr>
        <w:t xml:space="preserve">onay </w:t>
      </w:r>
      <w:r w:rsidR="00EF2C88" w:rsidRPr="00DE12A3">
        <w:rPr>
          <w:sz w:val="24"/>
          <w:szCs w:val="24"/>
        </w:rPr>
        <w:t>kuruluşuna,</w:t>
      </w:r>
      <w:r w:rsidR="00242DA0" w:rsidRPr="00DE12A3">
        <w:rPr>
          <w:sz w:val="24"/>
          <w:szCs w:val="24"/>
        </w:rPr>
        <w:t xml:space="preserve"> etkilenen motor ailelerinin tasarım ve kullanılan teknoloji temelinde benzer emisyon bozulma özelliklerine sahip olmalarının makul olarak beklenebileceğine ilişkin kabul edilebilir bir gerekçe sunarsa, hesaplanan bozulma faktörleri, üzerinde oluşturuldukları aileye ek olarak başka aileleri de kapsayabilir.</w:t>
      </w:r>
    </w:p>
    <w:p w14:paraId="43B1C147" w14:textId="1156CF4D" w:rsidR="002D7B36" w:rsidRPr="00DE12A3" w:rsidRDefault="00242DA0" w:rsidP="004F7D49">
      <w:pPr>
        <w:pStyle w:val="Gvdemetni250"/>
        <w:shd w:val="clear" w:color="auto" w:fill="auto"/>
        <w:spacing w:before="120" w:after="120" w:line="240" w:lineRule="auto"/>
        <w:ind w:firstLine="2"/>
        <w:rPr>
          <w:sz w:val="24"/>
          <w:szCs w:val="24"/>
        </w:rPr>
      </w:pPr>
      <w:r w:rsidRPr="00DE12A3">
        <w:rPr>
          <w:sz w:val="24"/>
          <w:szCs w:val="24"/>
        </w:rPr>
        <w:t>Kapsamlı olmayan bir tasarım ve teknoloji gruplamaları listesi aşağıda verilmiştir:</w:t>
      </w:r>
    </w:p>
    <w:p w14:paraId="155088BA" w14:textId="77777777" w:rsidR="002D7B36" w:rsidRPr="00DE12A3" w:rsidRDefault="007E2039" w:rsidP="00E20716">
      <w:pPr>
        <w:pStyle w:val="Gvdemetni0"/>
        <w:numPr>
          <w:ilvl w:val="0"/>
          <w:numId w:val="1"/>
        </w:numPr>
        <w:shd w:val="clear" w:color="auto" w:fill="auto"/>
        <w:spacing w:before="120" w:after="120" w:line="240" w:lineRule="auto"/>
        <w:ind w:left="1418" w:hanging="284"/>
        <w:jc w:val="both"/>
        <w:rPr>
          <w:sz w:val="24"/>
          <w:szCs w:val="24"/>
        </w:rPr>
      </w:pPr>
      <w:r w:rsidRPr="00DE12A3">
        <w:rPr>
          <w:sz w:val="24"/>
          <w:szCs w:val="24"/>
        </w:rPr>
        <w:t xml:space="preserve">Arıtma </w:t>
      </w:r>
      <w:r w:rsidR="00242DA0" w:rsidRPr="00DE12A3">
        <w:rPr>
          <w:sz w:val="24"/>
          <w:szCs w:val="24"/>
        </w:rPr>
        <w:t>sistemi olmayan konvansiyonel iki zamanlı motorlar,</w:t>
      </w:r>
    </w:p>
    <w:p w14:paraId="4D9A096F" w14:textId="11DBDFD3" w:rsidR="002D7B36" w:rsidRPr="00DE12A3" w:rsidRDefault="00203FA5" w:rsidP="00E20716">
      <w:pPr>
        <w:pStyle w:val="Gvdemetni0"/>
        <w:numPr>
          <w:ilvl w:val="0"/>
          <w:numId w:val="1"/>
        </w:numPr>
        <w:shd w:val="clear" w:color="auto" w:fill="auto"/>
        <w:spacing w:before="120" w:after="120" w:line="240" w:lineRule="auto"/>
        <w:ind w:left="1418" w:hanging="284"/>
        <w:jc w:val="both"/>
        <w:rPr>
          <w:sz w:val="24"/>
          <w:szCs w:val="24"/>
        </w:rPr>
      </w:pPr>
      <w:r w:rsidRPr="00DE12A3">
        <w:rPr>
          <w:sz w:val="24"/>
          <w:szCs w:val="24"/>
        </w:rPr>
        <w:t>A</w:t>
      </w:r>
      <w:r w:rsidR="00242DA0" w:rsidRPr="00DE12A3">
        <w:rPr>
          <w:sz w:val="24"/>
          <w:szCs w:val="24"/>
        </w:rPr>
        <w:t>ynı aktif maddeye ve yüklemeye sahip bir katalizöre ve cm</w:t>
      </w:r>
      <w:r w:rsidR="00242DA0" w:rsidRPr="00DE12A3">
        <w:rPr>
          <w:sz w:val="24"/>
          <w:szCs w:val="24"/>
          <w:vertAlign w:val="superscript"/>
        </w:rPr>
        <w:t>2</w:t>
      </w:r>
      <w:r w:rsidR="00242DA0" w:rsidRPr="00DE12A3">
        <w:rPr>
          <w:sz w:val="24"/>
          <w:szCs w:val="24"/>
        </w:rPr>
        <w:t xml:space="preserve"> başına aynı sayıda hücreye sahip konvansiyonel iki zamanlı motorlar,</w:t>
      </w:r>
    </w:p>
    <w:p w14:paraId="2968B434" w14:textId="3B26537C" w:rsidR="002D7B36" w:rsidRPr="00DE12A3" w:rsidRDefault="00203FA5" w:rsidP="00E20716">
      <w:pPr>
        <w:pStyle w:val="Gvdemetni0"/>
        <w:numPr>
          <w:ilvl w:val="0"/>
          <w:numId w:val="1"/>
        </w:numPr>
        <w:shd w:val="clear" w:color="auto" w:fill="auto"/>
        <w:spacing w:before="120" w:after="120" w:line="240" w:lineRule="auto"/>
        <w:ind w:left="1418" w:hanging="284"/>
        <w:jc w:val="both"/>
        <w:rPr>
          <w:sz w:val="24"/>
          <w:szCs w:val="24"/>
        </w:rPr>
      </w:pPr>
      <w:r w:rsidRPr="00DE12A3">
        <w:rPr>
          <w:sz w:val="24"/>
          <w:szCs w:val="24"/>
        </w:rPr>
        <w:t>K</w:t>
      </w:r>
      <w:r w:rsidR="00242DA0" w:rsidRPr="00DE12A3">
        <w:rPr>
          <w:sz w:val="24"/>
          <w:szCs w:val="24"/>
        </w:rPr>
        <w:t>atmanlı püskürtmeli iki zamanlı motorlar,</w:t>
      </w:r>
    </w:p>
    <w:p w14:paraId="30D5F04E" w14:textId="485D7E82" w:rsidR="002D7B36" w:rsidRPr="00DE12A3" w:rsidRDefault="00203FA5" w:rsidP="00E20716">
      <w:pPr>
        <w:pStyle w:val="Gvdemetni0"/>
        <w:numPr>
          <w:ilvl w:val="0"/>
          <w:numId w:val="1"/>
        </w:numPr>
        <w:shd w:val="clear" w:color="auto" w:fill="auto"/>
        <w:spacing w:before="120" w:after="120" w:line="240" w:lineRule="auto"/>
        <w:ind w:left="1418" w:hanging="284"/>
        <w:jc w:val="both"/>
        <w:rPr>
          <w:sz w:val="24"/>
          <w:szCs w:val="24"/>
        </w:rPr>
      </w:pPr>
      <w:r w:rsidRPr="00DE12A3">
        <w:rPr>
          <w:sz w:val="24"/>
          <w:szCs w:val="24"/>
        </w:rPr>
        <w:t>A</w:t>
      </w:r>
      <w:r w:rsidR="00242DA0" w:rsidRPr="00DE12A3">
        <w:rPr>
          <w:sz w:val="24"/>
          <w:szCs w:val="24"/>
        </w:rPr>
        <w:t>ynı aktif maddeye ve yüklemeye sahip bir katalizöre ve cm</w:t>
      </w:r>
      <w:r w:rsidR="00242DA0" w:rsidRPr="00DE12A3">
        <w:rPr>
          <w:sz w:val="24"/>
          <w:szCs w:val="24"/>
          <w:vertAlign w:val="superscript"/>
        </w:rPr>
        <w:t>2</w:t>
      </w:r>
      <w:r w:rsidR="00242DA0" w:rsidRPr="00DE12A3">
        <w:rPr>
          <w:sz w:val="24"/>
          <w:szCs w:val="24"/>
        </w:rPr>
        <w:t xml:space="preserve"> başına aynı sayıda hücreye sahip katmanlı püskürtmeli iki zamanlı motorlar,</w:t>
      </w:r>
    </w:p>
    <w:p w14:paraId="1A70A9C5" w14:textId="45CB1F7C" w:rsidR="002D7B36" w:rsidRPr="00DE12A3" w:rsidRDefault="00203FA5" w:rsidP="00E20716">
      <w:pPr>
        <w:pStyle w:val="Gvdemetni0"/>
        <w:numPr>
          <w:ilvl w:val="0"/>
          <w:numId w:val="1"/>
        </w:numPr>
        <w:shd w:val="clear" w:color="auto" w:fill="auto"/>
        <w:spacing w:before="120" w:after="120" w:line="240" w:lineRule="auto"/>
        <w:ind w:left="1418" w:hanging="284"/>
        <w:jc w:val="both"/>
        <w:rPr>
          <w:sz w:val="24"/>
          <w:szCs w:val="24"/>
        </w:rPr>
      </w:pPr>
      <w:r w:rsidRPr="00DE12A3">
        <w:rPr>
          <w:sz w:val="24"/>
          <w:szCs w:val="24"/>
        </w:rPr>
        <w:t>A</w:t>
      </w:r>
      <w:r w:rsidR="00242DA0" w:rsidRPr="00DE12A3">
        <w:rPr>
          <w:sz w:val="24"/>
          <w:szCs w:val="24"/>
        </w:rPr>
        <w:t>ynı valf teknolojisine ve aynı yağlama sistemine sahip katalizörlü dört zamanlı motorlar,</w:t>
      </w:r>
    </w:p>
    <w:p w14:paraId="6F2D9E57" w14:textId="1C83C538" w:rsidR="002D7B36" w:rsidRPr="00DE12A3" w:rsidRDefault="00203FA5" w:rsidP="00E20716">
      <w:pPr>
        <w:pStyle w:val="Gvdemetni0"/>
        <w:numPr>
          <w:ilvl w:val="0"/>
          <w:numId w:val="1"/>
        </w:numPr>
        <w:shd w:val="clear" w:color="auto" w:fill="auto"/>
        <w:spacing w:before="120" w:after="120" w:line="240" w:lineRule="auto"/>
        <w:ind w:left="1418" w:hanging="284"/>
        <w:jc w:val="both"/>
        <w:rPr>
          <w:sz w:val="24"/>
          <w:szCs w:val="24"/>
        </w:rPr>
      </w:pPr>
      <w:r w:rsidRPr="00DE12A3">
        <w:rPr>
          <w:sz w:val="24"/>
          <w:szCs w:val="24"/>
        </w:rPr>
        <w:t>A</w:t>
      </w:r>
      <w:r w:rsidR="00242DA0" w:rsidRPr="00DE12A3">
        <w:rPr>
          <w:sz w:val="24"/>
          <w:szCs w:val="24"/>
        </w:rPr>
        <w:t>ynı valf teknolojisine ve aynı yağlama sistemine sahip katalizörsüz dört zamanlı motorlar.</w:t>
      </w:r>
    </w:p>
    <w:p w14:paraId="44205D27" w14:textId="301FCA83" w:rsidR="002D7B36" w:rsidRPr="00DE12A3" w:rsidRDefault="004F7D49" w:rsidP="004F7D49">
      <w:pPr>
        <w:pStyle w:val="Gvdemetni0"/>
        <w:shd w:val="clear" w:color="auto" w:fill="auto"/>
        <w:spacing w:before="120" w:after="120" w:line="240" w:lineRule="auto"/>
        <w:ind w:firstLine="0"/>
        <w:jc w:val="both"/>
        <w:rPr>
          <w:sz w:val="24"/>
          <w:szCs w:val="24"/>
        </w:rPr>
      </w:pPr>
      <w:r w:rsidRPr="00DE12A3">
        <w:rPr>
          <w:sz w:val="24"/>
          <w:szCs w:val="24"/>
        </w:rPr>
        <w:t xml:space="preserve">4.4. </w:t>
      </w:r>
      <w:r w:rsidR="00242DA0" w:rsidRPr="00DE12A3">
        <w:rPr>
          <w:sz w:val="24"/>
          <w:szCs w:val="24"/>
        </w:rPr>
        <w:t>EDP kategorileri</w:t>
      </w:r>
    </w:p>
    <w:p w14:paraId="28A26A3A" w14:textId="2B56CC24" w:rsidR="002D7B36" w:rsidRPr="00DE12A3" w:rsidRDefault="004F7D49" w:rsidP="004F7D49">
      <w:pPr>
        <w:spacing w:before="120" w:after="120"/>
        <w:jc w:val="both"/>
        <w:rPr>
          <w:rFonts w:cs="Times New Roman"/>
          <w:color w:val="auto"/>
        </w:rPr>
      </w:pPr>
      <w:r w:rsidRPr="00DE12A3">
        <w:rPr>
          <w:rFonts w:cs="Times New Roman"/>
          <w:color w:val="auto"/>
        </w:rPr>
        <w:t xml:space="preserve">4.4.1. </w:t>
      </w:r>
      <w:r w:rsidR="00242DA0" w:rsidRPr="00DE12A3">
        <w:rPr>
          <w:rFonts w:cs="Times New Roman"/>
          <w:color w:val="auto"/>
        </w:rPr>
        <w:t xml:space="preserve">EDP için alternatif değerlerin </w:t>
      </w:r>
      <w:r w:rsidR="00EF2C88" w:rsidRPr="00DE12A3">
        <w:rPr>
          <w:rFonts w:cs="Times New Roman"/>
          <w:color w:val="auto"/>
        </w:rPr>
        <w:t>bulunduğu 2016</w:t>
      </w:r>
      <w:r w:rsidR="00EE5D5E" w:rsidRPr="00DE12A3">
        <w:rPr>
          <w:rFonts w:cs="Times New Roman"/>
          <w:color w:val="auto"/>
        </w:rPr>
        <w:t>/1628/AB Yönetmeliği</w:t>
      </w:r>
      <w:r w:rsidR="00006E5A" w:rsidRPr="00DE12A3">
        <w:rPr>
          <w:rFonts w:cs="Times New Roman"/>
          <w:color w:val="auto"/>
        </w:rPr>
        <w:t>nin</w:t>
      </w:r>
      <w:r w:rsidR="00EE5D5E" w:rsidRPr="00DE12A3">
        <w:rPr>
          <w:rFonts w:cs="Times New Roman"/>
          <w:color w:val="auto"/>
        </w:rPr>
        <w:t xml:space="preserve"> </w:t>
      </w:r>
      <w:r w:rsidR="00242DA0" w:rsidRPr="00DE12A3">
        <w:rPr>
          <w:rFonts w:cs="Times New Roman"/>
          <w:color w:val="auto"/>
        </w:rPr>
        <w:t>V</w:t>
      </w:r>
      <w:r w:rsidR="00EF2C88" w:rsidRPr="00DE12A3">
        <w:rPr>
          <w:rFonts w:cs="Times New Roman"/>
          <w:color w:val="auto"/>
        </w:rPr>
        <w:t xml:space="preserve">’inci </w:t>
      </w:r>
      <w:r w:rsidR="00EC3EF0" w:rsidRPr="00DE12A3">
        <w:rPr>
          <w:rFonts w:cs="Times New Roman"/>
          <w:color w:val="auto"/>
        </w:rPr>
        <w:t>Ekinde</w:t>
      </w:r>
      <w:r w:rsidR="00EF2C88" w:rsidRPr="00DE12A3">
        <w:rPr>
          <w:rFonts w:cs="Times New Roman"/>
          <w:color w:val="auto"/>
        </w:rPr>
        <w:t>ki</w:t>
      </w:r>
      <w:r w:rsidR="00242DA0" w:rsidRPr="00DE12A3">
        <w:rPr>
          <w:rFonts w:cs="Times New Roman"/>
          <w:color w:val="auto"/>
        </w:rPr>
        <w:t xml:space="preserve"> Tablo V-3 veya V-4 içinde yer alan motor kategorileri için, imalatçılar AB tip onayı sırasında her motor ailesi için geçerli EDP kategorisini beyan eder.</w:t>
      </w:r>
      <w:r w:rsidRPr="00DE12A3">
        <w:rPr>
          <w:rFonts w:cs="Times New Roman"/>
          <w:color w:val="auto"/>
        </w:rPr>
        <w:t xml:space="preserve"> </w:t>
      </w:r>
      <w:r w:rsidR="00242DA0" w:rsidRPr="00DE12A3">
        <w:rPr>
          <w:rFonts w:cs="Times New Roman"/>
          <w:color w:val="auto"/>
        </w:rPr>
        <w:t xml:space="preserve">Bu kategori, motor imalatçısı </w:t>
      </w:r>
      <w:r w:rsidR="00242DA0" w:rsidRPr="00DE12A3">
        <w:rPr>
          <w:rFonts w:cs="Times New Roman"/>
          <w:color w:val="auto"/>
        </w:rPr>
        <w:lastRenderedPageBreak/>
        <w:t xml:space="preserve">tarafından belirlendiği şekilde, motorların monte edilmesi beklenen ekipmanların beklenen faydalı ömrüne en yakın değeri veren, Tablo 3.2'deki kategoridir. İmalatçılar, her motor ailesi için EDP kategorisi seçimlerini desteklemeye uygun verileri muhafaza etmelidir. Bu veriler, talep edildiğinde </w:t>
      </w:r>
      <w:r w:rsidR="007E2039" w:rsidRPr="00DE12A3">
        <w:rPr>
          <w:rFonts w:cs="Times New Roman"/>
          <w:color w:val="auto"/>
        </w:rPr>
        <w:t xml:space="preserve">onay </w:t>
      </w:r>
      <w:r w:rsidR="00EF2C88" w:rsidRPr="00DE12A3">
        <w:rPr>
          <w:rFonts w:cs="Times New Roman"/>
          <w:color w:val="auto"/>
        </w:rPr>
        <w:t>kuruluşuna sunulmalıdır</w:t>
      </w:r>
      <w:r w:rsidR="00242DA0" w:rsidRPr="00DE12A3">
        <w:rPr>
          <w:rFonts w:cs="Times New Roman"/>
          <w:color w:val="auto"/>
        </w:rPr>
        <w:t>.</w:t>
      </w:r>
    </w:p>
    <w:p w14:paraId="54AB1678" w14:textId="77777777" w:rsidR="00B372C7" w:rsidRPr="00DE12A3" w:rsidRDefault="00B372C7" w:rsidP="007663C6">
      <w:pPr>
        <w:spacing w:before="120" w:after="120"/>
        <w:jc w:val="both"/>
        <w:rPr>
          <w:rFonts w:cs="Times New Roman"/>
          <w:color w:val="auto"/>
        </w:rPr>
      </w:pPr>
    </w:p>
    <w:p w14:paraId="091C23B0" w14:textId="77777777" w:rsidR="0041109A" w:rsidRPr="00DE12A3" w:rsidRDefault="00B372C7" w:rsidP="007663C6">
      <w:pPr>
        <w:spacing w:before="120" w:after="120"/>
        <w:ind w:left="1118" w:hangingChars="466" w:hanging="1118"/>
        <w:jc w:val="center"/>
        <w:rPr>
          <w:iCs/>
          <w:color w:val="auto"/>
        </w:rPr>
      </w:pPr>
      <w:r w:rsidRPr="00DE12A3">
        <w:rPr>
          <w:iCs/>
          <w:color w:val="auto"/>
        </w:rPr>
        <w:t>Tablo 3.2</w:t>
      </w:r>
      <w:r w:rsidR="0041109A" w:rsidRPr="00DE12A3">
        <w:rPr>
          <w:iCs/>
          <w:color w:val="auto"/>
        </w:rPr>
        <w:t xml:space="preserve"> </w:t>
      </w:r>
    </w:p>
    <w:p w14:paraId="79D1EA5D" w14:textId="40CCBA84" w:rsidR="00E75F78" w:rsidRPr="00DE12A3" w:rsidRDefault="0041109A" w:rsidP="007663C6">
      <w:pPr>
        <w:spacing w:before="120" w:after="120"/>
        <w:ind w:left="1123" w:hangingChars="466" w:hanging="1123"/>
        <w:jc w:val="center"/>
        <w:rPr>
          <w:rFonts w:cs="Times New Roman"/>
          <w:color w:val="auto"/>
        </w:rPr>
      </w:pPr>
      <w:r w:rsidRPr="00DE12A3">
        <w:rPr>
          <w:b/>
          <w:iCs/>
          <w:color w:val="auto"/>
        </w:rPr>
        <w:t>EDP Kategorileri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419"/>
        <w:gridCol w:w="2679"/>
      </w:tblGrid>
      <w:tr w:rsidR="00DE12A3" w:rsidRPr="00DE12A3" w14:paraId="7B197926" w14:textId="77777777" w:rsidTr="00B372C7">
        <w:trPr>
          <w:trHeight w:hRule="exact" w:val="437"/>
          <w:jc w:val="center"/>
        </w:trPr>
        <w:tc>
          <w:tcPr>
            <w:tcW w:w="2419" w:type="dxa"/>
            <w:shd w:val="clear" w:color="auto" w:fill="auto"/>
          </w:tcPr>
          <w:p w14:paraId="78D0D91E" w14:textId="77777777" w:rsidR="00C3007B" w:rsidRPr="00DE12A3" w:rsidRDefault="00C3007B" w:rsidP="00B655AE">
            <w:pPr>
              <w:pStyle w:val="NormalCentered"/>
              <w:ind w:left="1134" w:hanging="1134"/>
            </w:pPr>
            <w:r w:rsidRPr="00DE12A3">
              <w:t>EDP Kategorisi</w:t>
            </w:r>
          </w:p>
        </w:tc>
        <w:tc>
          <w:tcPr>
            <w:tcW w:w="2679" w:type="dxa"/>
            <w:shd w:val="clear" w:color="auto" w:fill="auto"/>
          </w:tcPr>
          <w:p w14:paraId="7F264B08" w14:textId="77777777" w:rsidR="00C3007B" w:rsidRPr="00DE12A3" w:rsidRDefault="00C3007B" w:rsidP="00B655AE">
            <w:pPr>
              <w:pStyle w:val="NormalCentered"/>
              <w:ind w:left="1134" w:hanging="1134"/>
            </w:pPr>
            <w:r w:rsidRPr="00DE12A3">
              <w:t>Motor Uygulaması</w:t>
            </w:r>
          </w:p>
        </w:tc>
      </w:tr>
      <w:tr w:rsidR="00DE12A3" w:rsidRPr="00DE12A3" w14:paraId="203512F8" w14:textId="77777777" w:rsidTr="00B372C7">
        <w:trPr>
          <w:trHeight w:hRule="exact" w:val="374"/>
          <w:jc w:val="center"/>
        </w:trPr>
        <w:tc>
          <w:tcPr>
            <w:tcW w:w="2419" w:type="dxa"/>
            <w:shd w:val="clear" w:color="auto" w:fill="auto"/>
          </w:tcPr>
          <w:p w14:paraId="1B49A1C4" w14:textId="77777777" w:rsidR="00C3007B" w:rsidRPr="00DE12A3" w:rsidRDefault="00C3007B" w:rsidP="00B655AE">
            <w:pPr>
              <w:pStyle w:val="NormalCentered"/>
              <w:ind w:left="1134" w:hanging="1134"/>
            </w:pPr>
            <w:r w:rsidRPr="00DE12A3">
              <w:t>Kategori 1</w:t>
            </w:r>
          </w:p>
        </w:tc>
        <w:tc>
          <w:tcPr>
            <w:tcW w:w="2679" w:type="dxa"/>
            <w:shd w:val="clear" w:color="auto" w:fill="auto"/>
          </w:tcPr>
          <w:p w14:paraId="72CF9286" w14:textId="77777777" w:rsidR="00C3007B" w:rsidRPr="00DE12A3" w:rsidRDefault="00C3007B" w:rsidP="00B655AE">
            <w:pPr>
              <w:pStyle w:val="NormalCentered"/>
              <w:ind w:left="1134" w:hanging="1134"/>
            </w:pPr>
            <w:r w:rsidRPr="00DE12A3">
              <w:t>Tüketim malları</w:t>
            </w:r>
          </w:p>
        </w:tc>
      </w:tr>
      <w:tr w:rsidR="00DE12A3" w:rsidRPr="00DE12A3" w14:paraId="773795C5" w14:textId="77777777" w:rsidTr="00B372C7">
        <w:trPr>
          <w:trHeight w:hRule="exact" w:val="370"/>
          <w:jc w:val="center"/>
        </w:trPr>
        <w:tc>
          <w:tcPr>
            <w:tcW w:w="2419" w:type="dxa"/>
            <w:shd w:val="clear" w:color="auto" w:fill="auto"/>
          </w:tcPr>
          <w:p w14:paraId="2F258A56" w14:textId="77777777" w:rsidR="00C3007B" w:rsidRPr="00DE12A3" w:rsidRDefault="00C3007B" w:rsidP="00B655AE">
            <w:pPr>
              <w:pStyle w:val="NormalCentered"/>
              <w:ind w:left="1134" w:hanging="1134"/>
            </w:pPr>
            <w:r w:rsidRPr="00DE12A3">
              <w:t>Kategori 2</w:t>
            </w:r>
          </w:p>
        </w:tc>
        <w:tc>
          <w:tcPr>
            <w:tcW w:w="2679" w:type="dxa"/>
            <w:shd w:val="clear" w:color="auto" w:fill="auto"/>
          </w:tcPr>
          <w:p w14:paraId="4E38E1B4" w14:textId="77777777" w:rsidR="00C3007B" w:rsidRPr="00DE12A3" w:rsidRDefault="00C3007B" w:rsidP="00B655AE">
            <w:pPr>
              <w:pStyle w:val="NormalCentered"/>
              <w:ind w:left="1134" w:hanging="1134"/>
            </w:pPr>
            <w:r w:rsidRPr="00DE12A3">
              <w:t>Yarı profesyonel ürünler</w:t>
            </w:r>
          </w:p>
        </w:tc>
      </w:tr>
      <w:tr w:rsidR="00C3007B" w:rsidRPr="00DE12A3" w14:paraId="2BA153C2" w14:textId="77777777" w:rsidTr="00B372C7">
        <w:trPr>
          <w:trHeight w:hRule="exact" w:val="379"/>
          <w:jc w:val="center"/>
        </w:trPr>
        <w:tc>
          <w:tcPr>
            <w:tcW w:w="2419" w:type="dxa"/>
            <w:shd w:val="clear" w:color="auto" w:fill="auto"/>
          </w:tcPr>
          <w:p w14:paraId="2A79AF89" w14:textId="77777777" w:rsidR="00C3007B" w:rsidRPr="00DE12A3" w:rsidRDefault="00C3007B" w:rsidP="00B655AE">
            <w:pPr>
              <w:pStyle w:val="NormalCentered"/>
              <w:ind w:left="1134" w:hanging="1134"/>
            </w:pPr>
            <w:r w:rsidRPr="00DE12A3">
              <w:t>Kategori 3</w:t>
            </w:r>
          </w:p>
        </w:tc>
        <w:tc>
          <w:tcPr>
            <w:tcW w:w="2679" w:type="dxa"/>
            <w:shd w:val="clear" w:color="auto" w:fill="auto"/>
          </w:tcPr>
          <w:p w14:paraId="194FF61C" w14:textId="77777777" w:rsidR="00C3007B" w:rsidRPr="00DE12A3" w:rsidRDefault="00C3007B" w:rsidP="00B655AE">
            <w:pPr>
              <w:pStyle w:val="NormalCentered"/>
              <w:ind w:left="1134" w:hanging="1134"/>
            </w:pPr>
            <w:r w:rsidRPr="00DE12A3">
              <w:t>Profesyonel ürünler</w:t>
            </w:r>
          </w:p>
        </w:tc>
      </w:tr>
    </w:tbl>
    <w:p w14:paraId="4348C138" w14:textId="77777777" w:rsidR="002D7B36" w:rsidRPr="00DE12A3" w:rsidRDefault="002D7B36" w:rsidP="007663C6">
      <w:pPr>
        <w:pStyle w:val="Gvdemetni250"/>
        <w:shd w:val="clear" w:color="auto" w:fill="auto"/>
        <w:spacing w:before="120" w:after="120" w:line="240" w:lineRule="auto"/>
        <w:ind w:left="1134" w:hanging="1134"/>
        <w:rPr>
          <w:sz w:val="20"/>
          <w:szCs w:val="20"/>
        </w:rPr>
      </w:pPr>
    </w:p>
    <w:p w14:paraId="59295F4D" w14:textId="56202328" w:rsidR="002D7B36" w:rsidRPr="00DE12A3" w:rsidRDefault="004F7D49" w:rsidP="004F7D49">
      <w:pPr>
        <w:spacing w:before="120" w:after="120"/>
        <w:jc w:val="both"/>
        <w:rPr>
          <w:rFonts w:cs="Times New Roman"/>
          <w:color w:val="auto"/>
        </w:rPr>
      </w:pPr>
      <w:r w:rsidRPr="00DE12A3">
        <w:rPr>
          <w:rFonts w:cs="Times New Roman"/>
          <w:color w:val="auto"/>
        </w:rPr>
        <w:t xml:space="preserve">4.4.2. </w:t>
      </w:r>
      <w:r w:rsidR="00242DA0" w:rsidRPr="00DE12A3">
        <w:rPr>
          <w:rFonts w:cs="Times New Roman"/>
          <w:color w:val="auto"/>
        </w:rPr>
        <w:t xml:space="preserve">İmalatçı, beyan edilen EDP kategorisinin uygun olduğunu onay </w:t>
      </w:r>
      <w:r w:rsidR="00EF2C88" w:rsidRPr="00DE12A3">
        <w:rPr>
          <w:rFonts w:cs="Times New Roman"/>
          <w:color w:val="auto"/>
        </w:rPr>
        <w:t>kuruluşunu tatmin</w:t>
      </w:r>
      <w:r w:rsidR="00242DA0" w:rsidRPr="00DE12A3">
        <w:rPr>
          <w:rFonts w:cs="Times New Roman"/>
          <w:color w:val="auto"/>
        </w:rPr>
        <w:t xml:space="preserve"> edecek şekilde </w:t>
      </w:r>
      <w:r w:rsidR="00C3007B" w:rsidRPr="00DE12A3">
        <w:rPr>
          <w:rFonts w:cs="Times New Roman"/>
          <w:color w:val="auto"/>
        </w:rPr>
        <w:t>kanıtlamalıdır. İmalatçının</w:t>
      </w:r>
      <w:r w:rsidR="00242DA0" w:rsidRPr="00DE12A3">
        <w:rPr>
          <w:rFonts w:cs="Times New Roman"/>
          <w:color w:val="auto"/>
        </w:rPr>
        <w:t>, belli bir motor ailesi için EDP kategorisi seçimini destekleyen veriler, bunlarla sınırlı olmamak kaydıyla aşağıdakileri içerebilir:</w:t>
      </w:r>
    </w:p>
    <w:p w14:paraId="233A04A3" w14:textId="4E172ACF" w:rsidR="002D7B36" w:rsidRPr="00DE12A3" w:rsidRDefault="000B4BFB" w:rsidP="00E20716">
      <w:pPr>
        <w:pStyle w:val="Gvdemetni0"/>
        <w:numPr>
          <w:ilvl w:val="0"/>
          <w:numId w:val="1"/>
        </w:numPr>
        <w:shd w:val="clear" w:color="auto" w:fill="auto"/>
        <w:spacing w:before="120" w:after="120" w:line="240" w:lineRule="auto"/>
        <w:ind w:left="1418" w:hanging="284"/>
        <w:jc w:val="both"/>
        <w:rPr>
          <w:sz w:val="24"/>
          <w:szCs w:val="24"/>
        </w:rPr>
      </w:pPr>
      <w:r w:rsidRPr="00DE12A3">
        <w:rPr>
          <w:sz w:val="24"/>
          <w:szCs w:val="24"/>
        </w:rPr>
        <w:t>S</w:t>
      </w:r>
      <w:r w:rsidR="00242DA0" w:rsidRPr="00DE12A3">
        <w:rPr>
          <w:sz w:val="24"/>
          <w:szCs w:val="24"/>
        </w:rPr>
        <w:t>öz konusu motorların monte edildiği ekipmanın ömrünü kapsayan araştırmalar,</w:t>
      </w:r>
    </w:p>
    <w:p w14:paraId="03D097C4" w14:textId="69D2321F" w:rsidR="002D7B36" w:rsidRPr="00DE12A3" w:rsidRDefault="00242DA0" w:rsidP="00E20716">
      <w:pPr>
        <w:pStyle w:val="Gvdemetni0"/>
        <w:numPr>
          <w:ilvl w:val="0"/>
          <w:numId w:val="1"/>
        </w:numPr>
        <w:shd w:val="clear" w:color="auto" w:fill="auto"/>
        <w:spacing w:before="120" w:after="120" w:line="240" w:lineRule="auto"/>
        <w:ind w:left="1418" w:hanging="284"/>
        <w:jc w:val="both"/>
        <w:rPr>
          <w:sz w:val="24"/>
          <w:szCs w:val="24"/>
        </w:rPr>
      </w:pPr>
      <w:r w:rsidRPr="00DE12A3">
        <w:rPr>
          <w:sz w:val="24"/>
          <w:szCs w:val="24"/>
        </w:rPr>
        <w:t>Sahada yaşlandırılmış motorların, motor performansının ne zaman kullanım ve/veya güvenilirliği etkileyecek noktaya kadar, bakım veya değişim gerektirecek derecede bozulduğu belirleyen mühendislik değerlendirmeleri,</w:t>
      </w:r>
    </w:p>
    <w:p w14:paraId="745AF6AB" w14:textId="3FD9B0D2" w:rsidR="002D7B36" w:rsidRPr="00DE12A3" w:rsidRDefault="000B4BFB" w:rsidP="00E20716">
      <w:pPr>
        <w:pStyle w:val="Gvdemetni0"/>
        <w:numPr>
          <w:ilvl w:val="0"/>
          <w:numId w:val="1"/>
        </w:numPr>
        <w:shd w:val="clear" w:color="auto" w:fill="auto"/>
        <w:spacing w:before="120" w:after="120" w:line="240" w:lineRule="auto"/>
        <w:ind w:left="1418" w:hanging="284"/>
        <w:jc w:val="both"/>
        <w:rPr>
          <w:sz w:val="24"/>
          <w:szCs w:val="24"/>
        </w:rPr>
      </w:pPr>
      <w:r w:rsidRPr="00DE12A3">
        <w:rPr>
          <w:sz w:val="24"/>
          <w:szCs w:val="24"/>
        </w:rPr>
        <w:t>G</w:t>
      </w:r>
      <w:r w:rsidR="00242DA0" w:rsidRPr="00DE12A3">
        <w:rPr>
          <w:sz w:val="24"/>
          <w:szCs w:val="24"/>
        </w:rPr>
        <w:t>aranti beyanları ve garanti süreleri,</w:t>
      </w:r>
    </w:p>
    <w:p w14:paraId="60B5EE5D" w14:textId="1D612ECD" w:rsidR="002D7B36" w:rsidRPr="00DE12A3" w:rsidRDefault="000B4BFB" w:rsidP="00E20716">
      <w:pPr>
        <w:pStyle w:val="Gvdemetni0"/>
        <w:numPr>
          <w:ilvl w:val="0"/>
          <w:numId w:val="1"/>
        </w:numPr>
        <w:shd w:val="clear" w:color="auto" w:fill="auto"/>
        <w:spacing w:before="120" w:after="120" w:line="240" w:lineRule="auto"/>
        <w:ind w:left="1418" w:hanging="284"/>
        <w:jc w:val="both"/>
        <w:rPr>
          <w:sz w:val="24"/>
          <w:szCs w:val="24"/>
        </w:rPr>
      </w:pPr>
      <w:r w:rsidRPr="00DE12A3">
        <w:rPr>
          <w:sz w:val="24"/>
          <w:szCs w:val="24"/>
        </w:rPr>
        <w:t>M</w:t>
      </w:r>
      <w:r w:rsidR="00242DA0" w:rsidRPr="00DE12A3">
        <w:rPr>
          <w:sz w:val="24"/>
          <w:szCs w:val="24"/>
        </w:rPr>
        <w:t>otor ömrü ile ilgili pazarlama materyalleri,</w:t>
      </w:r>
    </w:p>
    <w:p w14:paraId="3E864385" w14:textId="344D1F07" w:rsidR="002D7B36" w:rsidRPr="00DE12A3" w:rsidRDefault="000B4BFB" w:rsidP="00E20716">
      <w:pPr>
        <w:pStyle w:val="Gvdemetni0"/>
        <w:numPr>
          <w:ilvl w:val="0"/>
          <w:numId w:val="1"/>
        </w:numPr>
        <w:shd w:val="clear" w:color="auto" w:fill="auto"/>
        <w:spacing w:before="120" w:after="120" w:line="240" w:lineRule="auto"/>
        <w:ind w:left="1418" w:hanging="284"/>
        <w:jc w:val="both"/>
        <w:rPr>
          <w:sz w:val="24"/>
          <w:szCs w:val="24"/>
        </w:rPr>
      </w:pPr>
      <w:r w:rsidRPr="00DE12A3">
        <w:rPr>
          <w:sz w:val="24"/>
          <w:szCs w:val="24"/>
        </w:rPr>
        <w:t>M</w:t>
      </w:r>
      <w:r w:rsidR="00242DA0" w:rsidRPr="00DE12A3">
        <w:rPr>
          <w:sz w:val="24"/>
          <w:szCs w:val="24"/>
        </w:rPr>
        <w:t>otor müşterilerinden gelen arıza raporları ve</w:t>
      </w:r>
    </w:p>
    <w:p w14:paraId="3FD92812" w14:textId="0DAC1DFF" w:rsidR="002D7B36" w:rsidRPr="00DE12A3" w:rsidRDefault="000B4BFB" w:rsidP="00E20716">
      <w:pPr>
        <w:pStyle w:val="Gvdemetni0"/>
        <w:numPr>
          <w:ilvl w:val="0"/>
          <w:numId w:val="1"/>
        </w:numPr>
        <w:shd w:val="clear" w:color="auto" w:fill="auto"/>
        <w:spacing w:before="120" w:after="120" w:line="240" w:lineRule="auto"/>
        <w:ind w:left="1418" w:hanging="284"/>
        <w:jc w:val="both"/>
        <w:rPr>
          <w:sz w:val="24"/>
          <w:szCs w:val="24"/>
        </w:rPr>
      </w:pPr>
      <w:r w:rsidRPr="00DE12A3">
        <w:rPr>
          <w:sz w:val="24"/>
          <w:szCs w:val="24"/>
        </w:rPr>
        <w:t>B</w:t>
      </w:r>
      <w:r w:rsidR="00242DA0" w:rsidRPr="00DE12A3">
        <w:rPr>
          <w:sz w:val="24"/>
          <w:szCs w:val="24"/>
        </w:rPr>
        <w:t>elirli motor teknolojilerinin, motor malzemelerinin veya motor tasarımlarının saatler cinsinden dayanıklılığına dair mühendislik değerlendirmeleri.</w:t>
      </w:r>
    </w:p>
    <w:p w14:paraId="08E323D1" w14:textId="77777777" w:rsidR="00FA490B" w:rsidRPr="00DE12A3" w:rsidRDefault="00FA490B" w:rsidP="007663C6">
      <w:pPr>
        <w:widowControl/>
        <w:rPr>
          <w:rFonts w:eastAsia="Times New Roman" w:cs="Times New Roman"/>
          <w:color w:val="auto"/>
          <w:spacing w:val="4"/>
          <w:lang w:eastAsia="en-US"/>
        </w:rPr>
      </w:pPr>
      <w:r w:rsidRPr="00DE12A3">
        <w:rPr>
          <w:color w:val="auto"/>
        </w:rPr>
        <w:br w:type="page"/>
      </w:r>
    </w:p>
    <w:p w14:paraId="0CE1C446" w14:textId="77777777" w:rsidR="002D7B36" w:rsidRPr="00DE12A3" w:rsidRDefault="00242DA0" w:rsidP="00C82856">
      <w:pPr>
        <w:pStyle w:val="Balk1"/>
        <w:rPr>
          <w:color w:val="auto"/>
        </w:rPr>
      </w:pPr>
      <w:r w:rsidRPr="00DE12A3">
        <w:rPr>
          <w:rStyle w:val="Balk940ptbolukbraklyor"/>
          <w:i w:val="0"/>
          <w:iCs/>
          <w:color w:val="auto"/>
          <w:spacing w:val="-6"/>
          <w:sz w:val="24"/>
          <w:szCs w:val="24"/>
          <w:shd w:val="clear" w:color="auto" w:fill="auto"/>
          <w:lang w:val="tr-TR"/>
        </w:rPr>
        <w:lastRenderedPageBreak/>
        <w:t>EK IV</w:t>
      </w:r>
    </w:p>
    <w:p w14:paraId="4C335F83" w14:textId="1736EC4B" w:rsidR="002D7B36" w:rsidRPr="00DE12A3" w:rsidRDefault="00242DA0" w:rsidP="00C917D6">
      <w:pPr>
        <w:pStyle w:val="Gvdemetni250"/>
        <w:shd w:val="clear" w:color="auto" w:fill="auto"/>
        <w:spacing w:before="120" w:after="120" w:line="240" w:lineRule="auto"/>
        <w:ind w:left="1134" w:hanging="1134"/>
        <w:jc w:val="center"/>
        <w:rPr>
          <w:b/>
          <w:bCs/>
          <w:sz w:val="24"/>
          <w:szCs w:val="24"/>
        </w:rPr>
      </w:pPr>
      <w:r w:rsidRPr="00DE12A3">
        <w:rPr>
          <w:b/>
          <w:bCs/>
          <w:sz w:val="24"/>
          <w:szCs w:val="24"/>
        </w:rPr>
        <w:t xml:space="preserve">Emisyon kontrol stratejileri, NOx kontrol tedbirleri ve </w:t>
      </w:r>
      <w:r w:rsidR="007E2039" w:rsidRPr="00DE12A3">
        <w:rPr>
          <w:b/>
          <w:bCs/>
          <w:sz w:val="24"/>
          <w:szCs w:val="24"/>
        </w:rPr>
        <w:t xml:space="preserve">partikül </w:t>
      </w:r>
      <w:r w:rsidRPr="00DE12A3">
        <w:rPr>
          <w:b/>
          <w:bCs/>
          <w:sz w:val="24"/>
          <w:szCs w:val="24"/>
        </w:rPr>
        <w:t xml:space="preserve">kontrol tedbirleri ile ilgili </w:t>
      </w:r>
      <w:r w:rsidR="00A761FA" w:rsidRPr="00DE12A3">
        <w:rPr>
          <w:b/>
          <w:bCs/>
          <w:sz w:val="24"/>
          <w:szCs w:val="24"/>
        </w:rPr>
        <w:t>gerekl</w:t>
      </w:r>
      <w:r w:rsidR="00006E5A" w:rsidRPr="00DE12A3">
        <w:rPr>
          <w:b/>
          <w:bCs/>
          <w:sz w:val="24"/>
          <w:szCs w:val="24"/>
        </w:rPr>
        <w:t>ilikl</w:t>
      </w:r>
      <w:r w:rsidR="00A761FA" w:rsidRPr="00DE12A3">
        <w:rPr>
          <w:b/>
          <w:bCs/>
          <w:sz w:val="24"/>
          <w:szCs w:val="24"/>
        </w:rPr>
        <w:t>er</w:t>
      </w:r>
    </w:p>
    <w:p w14:paraId="69E3F343" w14:textId="1834E08B" w:rsidR="002D7B36" w:rsidRPr="00DE12A3" w:rsidRDefault="00242DA0" w:rsidP="004F7D49">
      <w:pPr>
        <w:pStyle w:val="Gvdemetni250"/>
        <w:shd w:val="clear" w:color="auto" w:fill="auto"/>
        <w:spacing w:before="120" w:after="120" w:line="240" w:lineRule="auto"/>
        <w:ind w:left="1134" w:hanging="1134"/>
        <w:rPr>
          <w:b/>
          <w:sz w:val="24"/>
          <w:szCs w:val="24"/>
        </w:rPr>
      </w:pPr>
      <w:r w:rsidRPr="00DE12A3">
        <w:rPr>
          <w:b/>
          <w:bCs/>
          <w:sz w:val="24"/>
          <w:szCs w:val="24"/>
        </w:rPr>
        <w:t>1</w:t>
      </w:r>
      <w:r w:rsidR="004F7D49" w:rsidRPr="00DE12A3">
        <w:rPr>
          <w:b/>
          <w:bCs/>
          <w:sz w:val="24"/>
          <w:szCs w:val="24"/>
        </w:rPr>
        <w:t xml:space="preserve">. </w:t>
      </w:r>
      <w:r w:rsidRPr="00DE12A3">
        <w:rPr>
          <w:b/>
          <w:sz w:val="24"/>
          <w:szCs w:val="24"/>
        </w:rPr>
        <w:t>Tanımlar, kısaltmalar ve genel şartlar</w:t>
      </w:r>
    </w:p>
    <w:p w14:paraId="68F846E6" w14:textId="407BB154" w:rsidR="002D7B36" w:rsidRPr="00DE12A3" w:rsidRDefault="00242DA0" w:rsidP="004F7D49">
      <w:pPr>
        <w:pStyle w:val="Gvdemetni250"/>
        <w:shd w:val="clear" w:color="auto" w:fill="auto"/>
        <w:spacing w:before="120" w:after="120" w:line="240" w:lineRule="auto"/>
        <w:ind w:left="1134" w:hanging="1134"/>
        <w:rPr>
          <w:sz w:val="24"/>
          <w:szCs w:val="24"/>
        </w:rPr>
      </w:pPr>
      <w:r w:rsidRPr="00DE12A3">
        <w:rPr>
          <w:sz w:val="24"/>
          <w:szCs w:val="24"/>
        </w:rPr>
        <w:t>1.1.</w:t>
      </w:r>
      <w:r w:rsidR="004F7D49" w:rsidRPr="00DE12A3">
        <w:rPr>
          <w:sz w:val="24"/>
          <w:szCs w:val="24"/>
        </w:rPr>
        <w:t xml:space="preserve"> </w:t>
      </w:r>
      <w:r w:rsidRPr="00DE12A3">
        <w:rPr>
          <w:sz w:val="24"/>
          <w:szCs w:val="24"/>
        </w:rPr>
        <w:t>Bu Ekin amaçları doğrultusunda, aşağıdaki tanımlar ve kısaltmalar uygulanır:</w:t>
      </w:r>
    </w:p>
    <w:p w14:paraId="17C4E589" w14:textId="7BBCC506" w:rsidR="002D7B36" w:rsidRPr="00DE12A3" w:rsidRDefault="00242DA0" w:rsidP="00E20716">
      <w:pPr>
        <w:pStyle w:val="Gvdemetni250"/>
        <w:numPr>
          <w:ilvl w:val="0"/>
          <w:numId w:val="2"/>
        </w:numPr>
        <w:shd w:val="clear" w:color="auto" w:fill="auto"/>
        <w:spacing w:before="120" w:after="120" w:line="240" w:lineRule="auto"/>
        <w:ind w:left="1701" w:hanging="567"/>
        <w:rPr>
          <w:sz w:val="24"/>
          <w:szCs w:val="24"/>
        </w:rPr>
      </w:pPr>
      <w:r w:rsidRPr="00DE12A3">
        <w:rPr>
          <w:sz w:val="24"/>
          <w:szCs w:val="24"/>
        </w:rPr>
        <w:t>"Arıza tespit kodu (“DTC”)", bir NCM ve/veya PCM'yi tanımlayan veya etiketleyen sayısal veya alfa numerik bir kimlik anlamına gelir</w:t>
      </w:r>
      <w:r w:rsidR="00006E5A" w:rsidRPr="00DE12A3">
        <w:rPr>
          <w:sz w:val="24"/>
          <w:szCs w:val="24"/>
        </w:rPr>
        <w:t>.</w:t>
      </w:r>
    </w:p>
    <w:p w14:paraId="77A67589" w14:textId="13DF786F" w:rsidR="002D7B36" w:rsidRPr="00DE12A3" w:rsidRDefault="00242DA0" w:rsidP="00E20716">
      <w:pPr>
        <w:pStyle w:val="Gvdemetni250"/>
        <w:numPr>
          <w:ilvl w:val="0"/>
          <w:numId w:val="2"/>
        </w:numPr>
        <w:shd w:val="clear" w:color="auto" w:fill="auto"/>
        <w:spacing w:before="120" w:after="120" w:line="240" w:lineRule="auto"/>
        <w:ind w:left="1701" w:hanging="567"/>
        <w:rPr>
          <w:sz w:val="24"/>
          <w:szCs w:val="24"/>
        </w:rPr>
      </w:pPr>
      <w:r w:rsidRPr="00DE12A3">
        <w:rPr>
          <w:sz w:val="24"/>
          <w:szCs w:val="24"/>
        </w:rPr>
        <w:t>"Onaylanmış ve aktif DTC", NCD ve/veya PCD sisteminin bir arıza olduğu sonucuna vardığı zaman depolanan bir DTC anlamına gelir</w:t>
      </w:r>
      <w:r w:rsidR="00006E5A" w:rsidRPr="00DE12A3">
        <w:rPr>
          <w:sz w:val="24"/>
          <w:szCs w:val="24"/>
        </w:rPr>
        <w:t>.</w:t>
      </w:r>
    </w:p>
    <w:p w14:paraId="47F7EE86" w14:textId="7F1BFA89" w:rsidR="002D7B36" w:rsidRPr="00DE12A3" w:rsidRDefault="00242DA0" w:rsidP="00E20716">
      <w:pPr>
        <w:pStyle w:val="Gvdemetni250"/>
        <w:numPr>
          <w:ilvl w:val="0"/>
          <w:numId w:val="2"/>
        </w:numPr>
        <w:shd w:val="clear" w:color="auto" w:fill="auto"/>
        <w:spacing w:before="120" w:after="120" w:line="240" w:lineRule="auto"/>
        <w:ind w:left="1701" w:hanging="567"/>
        <w:rPr>
          <w:sz w:val="24"/>
          <w:szCs w:val="24"/>
        </w:rPr>
      </w:pPr>
      <w:r w:rsidRPr="00DE12A3">
        <w:rPr>
          <w:sz w:val="24"/>
          <w:szCs w:val="24"/>
        </w:rPr>
        <w:t>“NCD motor ailesi”, imalatçının, NCM'leri izlemek/teşhis etmek için ortak yöntemlere sahip motorlar grubu anlamına gelir</w:t>
      </w:r>
      <w:r w:rsidR="00006E5A" w:rsidRPr="00DE12A3">
        <w:rPr>
          <w:sz w:val="24"/>
          <w:szCs w:val="24"/>
        </w:rPr>
        <w:t>.</w:t>
      </w:r>
    </w:p>
    <w:p w14:paraId="0D8657EF" w14:textId="6F674D28" w:rsidR="002D7B36" w:rsidRPr="00DE12A3" w:rsidRDefault="00242DA0" w:rsidP="00E20716">
      <w:pPr>
        <w:pStyle w:val="Gvdemetni250"/>
        <w:numPr>
          <w:ilvl w:val="0"/>
          <w:numId w:val="2"/>
        </w:numPr>
        <w:shd w:val="clear" w:color="auto" w:fill="auto"/>
        <w:spacing w:before="120" w:after="120" w:line="240" w:lineRule="auto"/>
        <w:ind w:left="1701" w:hanging="567"/>
        <w:rPr>
          <w:sz w:val="24"/>
          <w:szCs w:val="24"/>
        </w:rPr>
      </w:pPr>
      <w:r w:rsidRPr="00DE12A3">
        <w:rPr>
          <w:sz w:val="24"/>
          <w:szCs w:val="24"/>
        </w:rPr>
        <w:t>"NOx Kontrol Teşhis sistemi (NCD)", motor üzerinde aşağıdaki yeteneklere sahip bir sistem anlamına gelir</w:t>
      </w:r>
      <w:r w:rsidR="00006E5A" w:rsidRPr="00DE12A3">
        <w:rPr>
          <w:sz w:val="24"/>
          <w:szCs w:val="24"/>
        </w:rPr>
        <w:t>;</w:t>
      </w:r>
    </w:p>
    <w:p w14:paraId="75E829B6" w14:textId="6907ED3E" w:rsidR="002D7B36" w:rsidRPr="00DE12A3" w:rsidRDefault="000E42E8" w:rsidP="00E20716">
      <w:pPr>
        <w:pStyle w:val="Gvdemetni250"/>
        <w:numPr>
          <w:ilvl w:val="0"/>
          <w:numId w:val="3"/>
        </w:numPr>
        <w:shd w:val="clear" w:color="auto" w:fill="auto"/>
        <w:spacing w:before="120" w:after="120" w:line="240" w:lineRule="auto"/>
        <w:ind w:left="2268" w:hanging="567"/>
        <w:rPr>
          <w:sz w:val="24"/>
          <w:szCs w:val="24"/>
        </w:rPr>
      </w:pPr>
      <w:r w:rsidRPr="00DE12A3">
        <w:rPr>
          <w:sz w:val="24"/>
          <w:szCs w:val="24"/>
        </w:rPr>
        <w:t xml:space="preserve"> </w:t>
      </w:r>
      <w:r w:rsidR="00242DA0" w:rsidRPr="00DE12A3">
        <w:rPr>
          <w:sz w:val="24"/>
          <w:szCs w:val="24"/>
        </w:rPr>
        <w:t>Bir NOx Kontrol Arızası tespit etmek</w:t>
      </w:r>
      <w:r w:rsidR="00006E5A" w:rsidRPr="00DE12A3">
        <w:rPr>
          <w:sz w:val="24"/>
          <w:szCs w:val="24"/>
        </w:rPr>
        <w:t>.</w:t>
      </w:r>
    </w:p>
    <w:p w14:paraId="66952CAB" w14:textId="70254B26" w:rsidR="002D7B36" w:rsidRPr="00DE12A3" w:rsidRDefault="000E42E8" w:rsidP="00E20716">
      <w:pPr>
        <w:pStyle w:val="Gvdemetni250"/>
        <w:numPr>
          <w:ilvl w:val="0"/>
          <w:numId w:val="3"/>
        </w:numPr>
        <w:shd w:val="clear" w:color="auto" w:fill="auto"/>
        <w:spacing w:before="120" w:after="120" w:line="240" w:lineRule="auto"/>
        <w:ind w:left="2268" w:hanging="567"/>
        <w:rPr>
          <w:sz w:val="24"/>
          <w:szCs w:val="24"/>
        </w:rPr>
      </w:pPr>
      <w:r w:rsidRPr="00DE12A3">
        <w:rPr>
          <w:sz w:val="24"/>
          <w:szCs w:val="24"/>
        </w:rPr>
        <w:t xml:space="preserve">  </w:t>
      </w:r>
      <w:r w:rsidR="00242DA0" w:rsidRPr="00DE12A3">
        <w:rPr>
          <w:sz w:val="24"/>
          <w:szCs w:val="24"/>
        </w:rPr>
        <w:t>NOx kontrol arızalarının muhtemel nedenlerini bilgisayar hafızasında saklanan bilgiler vasıtasıyla belirlemek ve/veya bu bilgiyi harici olarak iletmek</w:t>
      </w:r>
      <w:r w:rsidR="00006E5A" w:rsidRPr="00DE12A3">
        <w:rPr>
          <w:sz w:val="24"/>
          <w:szCs w:val="24"/>
        </w:rPr>
        <w:t>.</w:t>
      </w:r>
    </w:p>
    <w:p w14:paraId="03DF7836" w14:textId="61C0D2A9" w:rsidR="002D7B36" w:rsidRPr="00DE12A3" w:rsidRDefault="00242DA0" w:rsidP="00E20716">
      <w:pPr>
        <w:pStyle w:val="Gvdemetni250"/>
        <w:numPr>
          <w:ilvl w:val="0"/>
          <w:numId w:val="2"/>
        </w:numPr>
        <w:shd w:val="clear" w:color="auto" w:fill="auto"/>
        <w:spacing w:before="120" w:after="120" w:line="240" w:lineRule="auto"/>
        <w:ind w:left="1701" w:hanging="567"/>
        <w:rPr>
          <w:sz w:val="24"/>
          <w:szCs w:val="24"/>
        </w:rPr>
      </w:pPr>
      <w:r w:rsidRPr="00DE12A3">
        <w:rPr>
          <w:sz w:val="24"/>
          <w:szCs w:val="24"/>
        </w:rPr>
        <w:t>"NOx Kontrol Arızası (NCM)", bu T</w:t>
      </w:r>
      <w:r w:rsidR="00EE5D5E" w:rsidRPr="00DE12A3">
        <w:rPr>
          <w:sz w:val="24"/>
          <w:szCs w:val="24"/>
        </w:rPr>
        <w:t>ebliğ</w:t>
      </w:r>
      <w:r w:rsidRPr="00DE12A3">
        <w:rPr>
          <w:sz w:val="24"/>
          <w:szCs w:val="24"/>
        </w:rPr>
        <w:t xml:space="preserve"> tarafından, tespit edildiğinde bir uyarı veya ikna sisteminin devreye girmesini gerektirdiği değerlendirilen, bir motorun NOx kontrol sistemini </w:t>
      </w:r>
      <w:r w:rsidR="009745E1" w:rsidRPr="00DE12A3">
        <w:rPr>
          <w:sz w:val="24"/>
          <w:szCs w:val="24"/>
        </w:rPr>
        <w:t>onaysız değişiklik</w:t>
      </w:r>
      <w:r w:rsidRPr="00DE12A3">
        <w:rPr>
          <w:sz w:val="24"/>
          <w:szCs w:val="24"/>
        </w:rPr>
        <w:t xml:space="preserve"> girişimi veya </w:t>
      </w:r>
      <w:r w:rsidR="009745E1" w:rsidRPr="00DE12A3">
        <w:rPr>
          <w:sz w:val="24"/>
          <w:szCs w:val="24"/>
        </w:rPr>
        <w:t>onaysız değişiklik</w:t>
      </w:r>
      <w:r w:rsidRPr="00DE12A3">
        <w:rPr>
          <w:sz w:val="24"/>
          <w:szCs w:val="24"/>
        </w:rPr>
        <w:t xml:space="preserve"> dolayısıyla söz konusu sistemi etkileyen bir arıza anlamına gelir</w:t>
      </w:r>
      <w:r w:rsidR="00006E5A" w:rsidRPr="00DE12A3">
        <w:rPr>
          <w:sz w:val="24"/>
          <w:szCs w:val="24"/>
        </w:rPr>
        <w:t>.</w:t>
      </w:r>
    </w:p>
    <w:p w14:paraId="2F136C29" w14:textId="3D5E7FED" w:rsidR="002D7B36" w:rsidRPr="00DE12A3" w:rsidRDefault="00242DA0" w:rsidP="00E20716">
      <w:pPr>
        <w:pStyle w:val="Gvdemetni250"/>
        <w:numPr>
          <w:ilvl w:val="0"/>
          <w:numId w:val="2"/>
        </w:numPr>
        <w:shd w:val="clear" w:color="auto" w:fill="auto"/>
        <w:spacing w:before="120" w:after="120" w:line="240" w:lineRule="auto"/>
        <w:ind w:left="1701" w:hanging="567"/>
        <w:rPr>
          <w:sz w:val="24"/>
          <w:szCs w:val="24"/>
        </w:rPr>
      </w:pPr>
      <w:r w:rsidRPr="00DE12A3">
        <w:rPr>
          <w:sz w:val="24"/>
          <w:szCs w:val="24"/>
        </w:rPr>
        <w:t>"</w:t>
      </w:r>
      <w:r w:rsidR="007E2039" w:rsidRPr="00DE12A3">
        <w:rPr>
          <w:sz w:val="24"/>
          <w:szCs w:val="24"/>
        </w:rPr>
        <w:t xml:space="preserve">Partikül </w:t>
      </w:r>
      <w:r w:rsidRPr="00DE12A3">
        <w:rPr>
          <w:sz w:val="24"/>
          <w:szCs w:val="24"/>
        </w:rPr>
        <w:t>Kontrol Teşhis sistemi (PCD)", motorun üzerinde bulunan ve aşağıdaki yeteneklere sahip bir sistem anlamına gelir</w:t>
      </w:r>
      <w:r w:rsidR="00006E5A" w:rsidRPr="00DE12A3">
        <w:rPr>
          <w:sz w:val="24"/>
          <w:szCs w:val="24"/>
        </w:rPr>
        <w:t>;</w:t>
      </w:r>
    </w:p>
    <w:p w14:paraId="172931BF" w14:textId="6D5E7B77" w:rsidR="002D7B36" w:rsidRPr="00DE12A3" w:rsidRDefault="000E42E8" w:rsidP="00E20716">
      <w:pPr>
        <w:pStyle w:val="Gvdemetni250"/>
        <w:numPr>
          <w:ilvl w:val="0"/>
          <w:numId w:val="4"/>
        </w:numPr>
        <w:shd w:val="clear" w:color="auto" w:fill="auto"/>
        <w:spacing w:before="120" w:after="120" w:line="240" w:lineRule="auto"/>
        <w:ind w:left="2268" w:hanging="567"/>
        <w:rPr>
          <w:sz w:val="24"/>
          <w:szCs w:val="24"/>
        </w:rPr>
      </w:pPr>
      <w:r w:rsidRPr="00DE12A3">
        <w:rPr>
          <w:sz w:val="24"/>
          <w:szCs w:val="24"/>
        </w:rPr>
        <w:t xml:space="preserve">  </w:t>
      </w:r>
      <w:r w:rsidR="003A4B10" w:rsidRPr="00DE12A3">
        <w:rPr>
          <w:sz w:val="24"/>
          <w:szCs w:val="24"/>
        </w:rPr>
        <w:t>B</w:t>
      </w:r>
      <w:r w:rsidR="00242DA0" w:rsidRPr="00DE12A3">
        <w:rPr>
          <w:sz w:val="24"/>
          <w:szCs w:val="24"/>
        </w:rPr>
        <w:t xml:space="preserve">ir </w:t>
      </w:r>
      <w:r w:rsidR="007E2039" w:rsidRPr="00DE12A3">
        <w:rPr>
          <w:sz w:val="24"/>
          <w:szCs w:val="24"/>
        </w:rPr>
        <w:t xml:space="preserve">Partikül </w:t>
      </w:r>
      <w:r w:rsidR="00242DA0" w:rsidRPr="00DE12A3">
        <w:rPr>
          <w:sz w:val="24"/>
          <w:szCs w:val="24"/>
        </w:rPr>
        <w:t>Kontrol Arızasını tespit etmek</w:t>
      </w:r>
      <w:r w:rsidR="00006E5A" w:rsidRPr="00DE12A3">
        <w:rPr>
          <w:sz w:val="24"/>
          <w:szCs w:val="24"/>
        </w:rPr>
        <w:t>.</w:t>
      </w:r>
    </w:p>
    <w:p w14:paraId="22661F7D" w14:textId="5CB3724C" w:rsidR="002D7B36" w:rsidRPr="00DE12A3" w:rsidRDefault="000E42E8" w:rsidP="00E20716">
      <w:pPr>
        <w:pStyle w:val="Gvdemetni250"/>
        <w:numPr>
          <w:ilvl w:val="0"/>
          <w:numId w:val="4"/>
        </w:numPr>
        <w:shd w:val="clear" w:color="auto" w:fill="auto"/>
        <w:spacing w:before="120" w:after="120" w:line="240" w:lineRule="auto"/>
        <w:ind w:left="2268" w:hanging="567"/>
        <w:rPr>
          <w:sz w:val="24"/>
          <w:szCs w:val="24"/>
        </w:rPr>
      </w:pPr>
      <w:r w:rsidRPr="00DE12A3">
        <w:rPr>
          <w:sz w:val="24"/>
          <w:szCs w:val="24"/>
        </w:rPr>
        <w:t xml:space="preserve">  </w:t>
      </w:r>
      <w:r w:rsidR="007E2039" w:rsidRPr="00DE12A3">
        <w:rPr>
          <w:sz w:val="24"/>
          <w:szCs w:val="24"/>
        </w:rPr>
        <w:t xml:space="preserve">Partikül </w:t>
      </w:r>
      <w:r w:rsidR="00242DA0" w:rsidRPr="00DE12A3">
        <w:rPr>
          <w:sz w:val="24"/>
          <w:szCs w:val="24"/>
        </w:rPr>
        <w:t>kontrol arızalarının muhtemel nedenlerini bilgisayar hafızasında saklanan bilgiler vasıtasıyla belirlemek ve/veya bu bilgiyi harici olarak iletmek</w:t>
      </w:r>
      <w:r w:rsidR="00006E5A" w:rsidRPr="00DE12A3">
        <w:rPr>
          <w:sz w:val="24"/>
          <w:szCs w:val="24"/>
        </w:rPr>
        <w:t>.</w:t>
      </w:r>
    </w:p>
    <w:p w14:paraId="42D2D39B" w14:textId="6B34C75E" w:rsidR="002D7B36" w:rsidRPr="00DE12A3" w:rsidRDefault="00242DA0" w:rsidP="00E20716">
      <w:pPr>
        <w:pStyle w:val="Gvdemetni250"/>
        <w:numPr>
          <w:ilvl w:val="0"/>
          <w:numId w:val="2"/>
        </w:numPr>
        <w:shd w:val="clear" w:color="auto" w:fill="auto"/>
        <w:spacing w:before="120" w:after="120" w:line="240" w:lineRule="auto"/>
        <w:ind w:left="1701" w:hanging="567"/>
        <w:rPr>
          <w:sz w:val="24"/>
          <w:szCs w:val="24"/>
        </w:rPr>
      </w:pPr>
      <w:r w:rsidRPr="00DE12A3">
        <w:rPr>
          <w:sz w:val="24"/>
          <w:szCs w:val="24"/>
        </w:rPr>
        <w:t>"</w:t>
      </w:r>
      <w:r w:rsidR="007E2039" w:rsidRPr="00DE12A3">
        <w:rPr>
          <w:sz w:val="24"/>
          <w:szCs w:val="24"/>
        </w:rPr>
        <w:t xml:space="preserve">Partikül </w:t>
      </w:r>
      <w:r w:rsidRPr="00DE12A3">
        <w:rPr>
          <w:sz w:val="24"/>
          <w:szCs w:val="24"/>
        </w:rPr>
        <w:t xml:space="preserve">Kontrol Arızası (PCM)", bu </w:t>
      </w:r>
      <w:r w:rsidR="00EF2C88" w:rsidRPr="00DE12A3">
        <w:rPr>
          <w:sz w:val="24"/>
          <w:szCs w:val="24"/>
        </w:rPr>
        <w:t>Tebliğ tarafından</w:t>
      </w:r>
      <w:r w:rsidRPr="00DE12A3">
        <w:rPr>
          <w:sz w:val="24"/>
          <w:szCs w:val="24"/>
        </w:rPr>
        <w:t xml:space="preserve">, tespit edildiğinde bir uyarının devreye girmesini gerektirdiği değerlendirilen, bir motorun </w:t>
      </w:r>
      <w:r w:rsidR="007E2039" w:rsidRPr="00DE12A3">
        <w:rPr>
          <w:sz w:val="24"/>
          <w:szCs w:val="24"/>
        </w:rPr>
        <w:t xml:space="preserve">partikül arıtma </w:t>
      </w:r>
      <w:r w:rsidRPr="00DE12A3">
        <w:rPr>
          <w:sz w:val="24"/>
          <w:szCs w:val="24"/>
        </w:rPr>
        <w:t xml:space="preserve">sistemini </w:t>
      </w:r>
      <w:r w:rsidR="009745E1" w:rsidRPr="00DE12A3">
        <w:rPr>
          <w:sz w:val="24"/>
          <w:szCs w:val="24"/>
        </w:rPr>
        <w:t>onaysız değişiklik</w:t>
      </w:r>
      <w:r w:rsidRPr="00DE12A3">
        <w:rPr>
          <w:sz w:val="24"/>
          <w:szCs w:val="24"/>
        </w:rPr>
        <w:t xml:space="preserve"> girişimi veya </w:t>
      </w:r>
      <w:r w:rsidR="009745E1" w:rsidRPr="00DE12A3">
        <w:rPr>
          <w:sz w:val="24"/>
          <w:szCs w:val="24"/>
        </w:rPr>
        <w:t>onaysız değişiklik</w:t>
      </w:r>
      <w:r w:rsidRPr="00DE12A3">
        <w:rPr>
          <w:sz w:val="24"/>
          <w:szCs w:val="24"/>
        </w:rPr>
        <w:t xml:space="preserve"> dolayısıyla </w:t>
      </w:r>
      <w:r w:rsidR="007E2039" w:rsidRPr="00DE12A3">
        <w:rPr>
          <w:sz w:val="24"/>
          <w:szCs w:val="24"/>
        </w:rPr>
        <w:t xml:space="preserve">partikül arıtma </w:t>
      </w:r>
      <w:r w:rsidRPr="00DE12A3">
        <w:rPr>
          <w:sz w:val="24"/>
          <w:szCs w:val="24"/>
        </w:rPr>
        <w:t>sistemini etkileyen bir arıza anlamına gelir</w:t>
      </w:r>
      <w:r w:rsidR="00006E5A" w:rsidRPr="00DE12A3">
        <w:rPr>
          <w:sz w:val="24"/>
          <w:szCs w:val="24"/>
        </w:rPr>
        <w:t>.</w:t>
      </w:r>
    </w:p>
    <w:p w14:paraId="2D0CA8F1" w14:textId="62D1415B" w:rsidR="002D7B36" w:rsidRPr="00DE12A3" w:rsidRDefault="00242DA0" w:rsidP="00E20716">
      <w:pPr>
        <w:pStyle w:val="Gvdemetni250"/>
        <w:numPr>
          <w:ilvl w:val="0"/>
          <w:numId w:val="2"/>
        </w:numPr>
        <w:shd w:val="clear" w:color="auto" w:fill="auto"/>
        <w:spacing w:before="120" w:after="120" w:line="240" w:lineRule="auto"/>
        <w:ind w:left="1701" w:hanging="567"/>
        <w:rPr>
          <w:sz w:val="24"/>
          <w:szCs w:val="24"/>
        </w:rPr>
      </w:pPr>
      <w:r w:rsidRPr="00DE12A3">
        <w:rPr>
          <w:sz w:val="24"/>
          <w:szCs w:val="24"/>
        </w:rPr>
        <w:t>“PCD motor ailesi”, imalatçının, PCM'leri izlemek/teşhis etmek için ortak yöntemlere sahip motorlar grubu anlamına gelir</w:t>
      </w:r>
      <w:r w:rsidR="00006E5A" w:rsidRPr="00DE12A3">
        <w:rPr>
          <w:sz w:val="24"/>
          <w:szCs w:val="24"/>
        </w:rPr>
        <w:t>.</w:t>
      </w:r>
    </w:p>
    <w:p w14:paraId="59B9F1E7" w14:textId="77777777" w:rsidR="002D7B36" w:rsidRPr="00DE12A3" w:rsidRDefault="00242DA0" w:rsidP="00E20716">
      <w:pPr>
        <w:pStyle w:val="Gvdemetni250"/>
        <w:numPr>
          <w:ilvl w:val="0"/>
          <w:numId w:val="2"/>
        </w:numPr>
        <w:shd w:val="clear" w:color="auto" w:fill="auto"/>
        <w:spacing w:before="120" w:after="120" w:line="240" w:lineRule="auto"/>
        <w:ind w:left="1701" w:hanging="567"/>
        <w:rPr>
          <w:sz w:val="24"/>
          <w:szCs w:val="24"/>
        </w:rPr>
      </w:pPr>
      <w:r w:rsidRPr="00DE12A3">
        <w:rPr>
          <w:sz w:val="24"/>
          <w:szCs w:val="24"/>
        </w:rPr>
        <w:t>"Tarama aleti", NCD ve/veya PCD sistemi ile harici iletişim için kullanılan bir harici test cihazı anlamına gelir.</w:t>
      </w:r>
    </w:p>
    <w:p w14:paraId="4D820847" w14:textId="7AADD399" w:rsidR="002D7B36" w:rsidRPr="00DE12A3" w:rsidRDefault="002B0E52" w:rsidP="002B0E52">
      <w:pPr>
        <w:pStyle w:val="Gvdemetni250"/>
        <w:shd w:val="clear" w:color="auto" w:fill="auto"/>
        <w:spacing w:before="120" w:after="120" w:line="240" w:lineRule="auto"/>
        <w:ind w:firstLine="0"/>
        <w:rPr>
          <w:sz w:val="24"/>
          <w:szCs w:val="24"/>
        </w:rPr>
      </w:pPr>
      <w:r w:rsidRPr="00DE12A3">
        <w:rPr>
          <w:sz w:val="24"/>
          <w:szCs w:val="24"/>
        </w:rPr>
        <w:t>1.2.</w:t>
      </w:r>
      <w:r w:rsidR="00E75F78" w:rsidRPr="00DE12A3">
        <w:rPr>
          <w:sz w:val="24"/>
          <w:szCs w:val="24"/>
        </w:rPr>
        <w:t xml:space="preserve"> </w:t>
      </w:r>
      <w:r w:rsidR="00242DA0" w:rsidRPr="00DE12A3">
        <w:rPr>
          <w:sz w:val="24"/>
          <w:szCs w:val="24"/>
        </w:rPr>
        <w:t>Ortam sıcaklığı</w:t>
      </w:r>
    </w:p>
    <w:p w14:paraId="10847213" w14:textId="10C52298" w:rsidR="002D7B36" w:rsidRPr="00DE12A3" w:rsidRDefault="00242DA0" w:rsidP="002B0E52">
      <w:pPr>
        <w:pStyle w:val="Gvdemetni250"/>
        <w:shd w:val="clear" w:color="auto" w:fill="auto"/>
        <w:spacing w:before="120" w:after="120" w:line="240" w:lineRule="auto"/>
        <w:ind w:firstLine="0"/>
        <w:rPr>
          <w:sz w:val="24"/>
          <w:szCs w:val="24"/>
        </w:rPr>
      </w:pPr>
      <w:r w:rsidRPr="00DE12A3">
        <w:rPr>
          <w:sz w:val="24"/>
          <w:szCs w:val="24"/>
        </w:rPr>
        <w:t xml:space="preserve">Laboratuvar ortamı dışındaki ortamlarla ilgili olarak ortam sıcaklığına atıfta bulunulan </w:t>
      </w:r>
      <w:r w:rsidR="004C6305" w:rsidRPr="00DE12A3">
        <w:rPr>
          <w:sz w:val="24"/>
          <w:szCs w:val="24"/>
        </w:rPr>
        <w:t>bu Tebliğin 4 üncü maddesinde yer alan tanıma</w:t>
      </w:r>
      <w:r w:rsidR="006A7CA1" w:rsidRPr="00DE12A3">
        <w:rPr>
          <w:sz w:val="24"/>
          <w:szCs w:val="24"/>
        </w:rPr>
        <w:t xml:space="preserve"> </w:t>
      </w:r>
      <w:r w:rsidRPr="00DE12A3">
        <w:rPr>
          <w:sz w:val="24"/>
          <w:szCs w:val="24"/>
        </w:rPr>
        <w:t>bakılmaksızın, aşağıdaki hükümler uygulanır:</w:t>
      </w:r>
    </w:p>
    <w:p w14:paraId="4418F40E" w14:textId="5D0E74A1" w:rsidR="002D7B36" w:rsidRPr="00DE12A3" w:rsidRDefault="002B0E52" w:rsidP="002B0E52">
      <w:pPr>
        <w:pStyle w:val="Gvdemetni250"/>
        <w:shd w:val="clear" w:color="auto" w:fill="auto"/>
        <w:spacing w:before="120" w:after="120" w:line="240" w:lineRule="auto"/>
        <w:ind w:firstLine="0"/>
        <w:rPr>
          <w:sz w:val="24"/>
          <w:szCs w:val="24"/>
        </w:rPr>
      </w:pPr>
      <w:r w:rsidRPr="00DE12A3">
        <w:rPr>
          <w:sz w:val="24"/>
          <w:szCs w:val="24"/>
        </w:rPr>
        <w:t xml:space="preserve">1.2.1. </w:t>
      </w:r>
      <w:r w:rsidR="00242DA0" w:rsidRPr="00DE12A3">
        <w:rPr>
          <w:sz w:val="24"/>
          <w:szCs w:val="24"/>
        </w:rPr>
        <w:t>Test sehpasına monte edilmiş bir motor için ortam sıcaklığı, test edilen motorun herhangi bir parçasının giriş kısmından motora verilen yanma havasının sıcaklığıdır.</w:t>
      </w:r>
    </w:p>
    <w:p w14:paraId="0C579CEC" w14:textId="2EA7D9A8" w:rsidR="002D7B36" w:rsidRPr="00DE12A3" w:rsidRDefault="002B0E52" w:rsidP="002B0E52">
      <w:pPr>
        <w:pStyle w:val="Gvdemetni250"/>
        <w:shd w:val="clear" w:color="auto" w:fill="auto"/>
        <w:spacing w:before="120" w:after="120" w:line="240" w:lineRule="auto"/>
        <w:ind w:firstLine="0"/>
        <w:rPr>
          <w:sz w:val="24"/>
          <w:szCs w:val="24"/>
        </w:rPr>
      </w:pPr>
      <w:r w:rsidRPr="00DE12A3">
        <w:rPr>
          <w:sz w:val="24"/>
          <w:szCs w:val="24"/>
        </w:rPr>
        <w:t xml:space="preserve">1.2.2. </w:t>
      </w:r>
      <w:r w:rsidR="00242DA0" w:rsidRPr="00DE12A3">
        <w:rPr>
          <w:sz w:val="24"/>
          <w:szCs w:val="24"/>
        </w:rPr>
        <w:t>Karayolu dışında kullanılan hareketli makinalara monte edilmiş bir motor için ortam sıcaklığı, karayolu dışında kullanılan hareketli makina çeperinin hemen dışındaki hava sıcaklığıdır.</w:t>
      </w:r>
    </w:p>
    <w:p w14:paraId="182BC96D" w14:textId="2254823B" w:rsidR="002D7B36" w:rsidRPr="00DE12A3" w:rsidRDefault="002B0E52" w:rsidP="002B0E52">
      <w:pPr>
        <w:rPr>
          <w:b/>
          <w:bCs/>
          <w:color w:val="auto"/>
        </w:rPr>
      </w:pPr>
      <w:r w:rsidRPr="00DE12A3">
        <w:rPr>
          <w:b/>
          <w:bCs/>
          <w:color w:val="auto"/>
        </w:rPr>
        <w:lastRenderedPageBreak/>
        <w:t xml:space="preserve">2. </w:t>
      </w:r>
      <w:r w:rsidR="00242DA0" w:rsidRPr="00DE12A3">
        <w:rPr>
          <w:b/>
          <w:bCs/>
          <w:color w:val="auto"/>
        </w:rPr>
        <w:t>Emisyon kontrol stratejileri ile ilgili teknik şartlar</w:t>
      </w:r>
    </w:p>
    <w:p w14:paraId="62DB1D35" w14:textId="4D36ABC7" w:rsidR="002D7B36" w:rsidRPr="00DE12A3" w:rsidRDefault="002B0E52" w:rsidP="002B0E52">
      <w:pPr>
        <w:pStyle w:val="Gvdemetni250"/>
        <w:shd w:val="clear" w:color="auto" w:fill="auto"/>
        <w:spacing w:before="120" w:after="120" w:line="240" w:lineRule="auto"/>
        <w:ind w:firstLine="0"/>
        <w:rPr>
          <w:sz w:val="24"/>
          <w:szCs w:val="24"/>
        </w:rPr>
      </w:pPr>
      <w:r w:rsidRPr="00DE12A3">
        <w:rPr>
          <w:sz w:val="24"/>
          <w:szCs w:val="24"/>
        </w:rPr>
        <w:t xml:space="preserve">2.1. </w:t>
      </w:r>
      <w:r w:rsidR="00242DA0" w:rsidRPr="00DE12A3">
        <w:rPr>
          <w:sz w:val="24"/>
          <w:szCs w:val="24"/>
        </w:rPr>
        <w:t xml:space="preserve">Bu </w:t>
      </w:r>
      <w:r w:rsidR="00721C89" w:rsidRPr="00DE12A3">
        <w:rPr>
          <w:sz w:val="24"/>
          <w:szCs w:val="24"/>
        </w:rPr>
        <w:t>Bölüm</w:t>
      </w:r>
      <w:r w:rsidR="00EF2C88" w:rsidRPr="00DE12A3">
        <w:rPr>
          <w:sz w:val="24"/>
          <w:szCs w:val="24"/>
        </w:rPr>
        <w:t>, 2016</w:t>
      </w:r>
      <w:r w:rsidR="00EE5D5E" w:rsidRPr="00DE12A3">
        <w:rPr>
          <w:sz w:val="24"/>
          <w:szCs w:val="24"/>
        </w:rPr>
        <w:t>/1628/AB Yönetmeliği</w:t>
      </w:r>
      <w:r w:rsidR="00006E5A" w:rsidRPr="00DE12A3">
        <w:rPr>
          <w:sz w:val="24"/>
          <w:szCs w:val="24"/>
        </w:rPr>
        <w:t>nin</w:t>
      </w:r>
      <w:r w:rsidR="00EE5D5E" w:rsidRPr="00DE12A3">
        <w:rPr>
          <w:sz w:val="24"/>
          <w:szCs w:val="24"/>
        </w:rPr>
        <w:t xml:space="preserve"> </w:t>
      </w:r>
      <w:r w:rsidR="00242DA0" w:rsidRPr="00DE12A3">
        <w:rPr>
          <w:sz w:val="24"/>
          <w:szCs w:val="24"/>
        </w:rPr>
        <w:t>II</w:t>
      </w:r>
      <w:r w:rsidR="00EF2C88" w:rsidRPr="00DE12A3">
        <w:rPr>
          <w:sz w:val="24"/>
          <w:szCs w:val="24"/>
        </w:rPr>
        <w:t>’</w:t>
      </w:r>
      <w:r w:rsidR="00195051" w:rsidRPr="00DE12A3">
        <w:rPr>
          <w:sz w:val="24"/>
          <w:szCs w:val="24"/>
        </w:rPr>
        <w:t>nci</w:t>
      </w:r>
      <w:r w:rsidR="00EF2C88" w:rsidRPr="00DE12A3">
        <w:rPr>
          <w:sz w:val="24"/>
          <w:szCs w:val="24"/>
        </w:rPr>
        <w:t xml:space="preserve"> </w:t>
      </w:r>
      <w:r w:rsidR="00EC3EF0" w:rsidRPr="00DE12A3">
        <w:rPr>
          <w:sz w:val="24"/>
          <w:szCs w:val="24"/>
        </w:rPr>
        <w:t>Ekinde</w:t>
      </w:r>
      <w:r w:rsidR="00242DA0" w:rsidRPr="00DE12A3">
        <w:rPr>
          <w:sz w:val="24"/>
          <w:szCs w:val="24"/>
        </w:rPr>
        <w:t xml:space="preserve"> </w:t>
      </w:r>
      <w:r w:rsidR="00006E5A" w:rsidRPr="00DE12A3">
        <w:rPr>
          <w:sz w:val="24"/>
          <w:szCs w:val="24"/>
        </w:rPr>
        <w:t xml:space="preserve">yer alan </w:t>
      </w:r>
      <w:r w:rsidR="00242DA0" w:rsidRPr="00DE12A3">
        <w:rPr>
          <w:sz w:val="24"/>
          <w:szCs w:val="24"/>
        </w:rPr>
        <w:t>"</w:t>
      </w:r>
      <w:r w:rsidR="007C56F9" w:rsidRPr="00DE12A3">
        <w:rPr>
          <w:sz w:val="24"/>
          <w:szCs w:val="24"/>
        </w:rPr>
        <w:t>Faz</w:t>
      </w:r>
      <w:r w:rsidRPr="00DE12A3">
        <w:rPr>
          <w:sz w:val="24"/>
          <w:szCs w:val="24"/>
        </w:rPr>
        <w:t xml:space="preserve"> V</w:t>
      </w:r>
      <w:r w:rsidR="00242DA0" w:rsidRPr="00DE12A3">
        <w:rPr>
          <w:sz w:val="24"/>
          <w:szCs w:val="24"/>
        </w:rPr>
        <w:t>" emisyon sınırlarına uyan ve hem enjekte eden yakıtın miktarını hem de zamanlamasını belirlemek için elektronik kontrol kullanan veya NOx'i azaltmak için kullanılan emisyon kontrol sistemini etkinleştirmek, devre dışı bırakmak veya modüle etmek için elektronik kontrol kullanan NRE, NRG, IWP, IWA, RLL ve RLR kategorilerindeki elektronik olarak kontrol edilen m</w:t>
      </w:r>
      <w:r w:rsidR="006A7CA1" w:rsidRPr="00DE12A3">
        <w:rPr>
          <w:sz w:val="24"/>
          <w:szCs w:val="24"/>
        </w:rPr>
        <w:t xml:space="preserve"> </w:t>
      </w:r>
      <w:r w:rsidR="00242DA0" w:rsidRPr="00DE12A3">
        <w:rPr>
          <w:sz w:val="24"/>
          <w:szCs w:val="24"/>
        </w:rPr>
        <w:t>otorlar için uygulanır.</w:t>
      </w:r>
    </w:p>
    <w:p w14:paraId="0AFC6674" w14:textId="70E4244D" w:rsidR="002D7B36" w:rsidRPr="00DE12A3" w:rsidRDefault="003B61E7" w:rsidP="003B61E7">
      <w:pPr>
        <w:pStyle w:val="Gvdemetni250"/>
        <w:shd w:val="clear" w:color="auto" w:fill="auto"/>
        <w:spacing w:before="120" w:after="120" w:line="240" w:lineRule="auto"/>
        <w:ind w:firstLine="0"/>
        <w:rPr>
          <w:sz w:val="24"/>
          <w:szCs w:val="24"/>
        </w:rPr>
      </w:pPr>
      <w:r w:rsidRPr="00DE12A3">
        <w:rPr>
          <w:sz w:val="24"/>
          <w:szCs w:val="24"/>
        </w:rPr>
        <w:t xml:space="preserve">2.2. </w:t>
      </w:r>
      <w:r w:rsidR="00242DA0" w:rsidRPr="00DE12A3">
        <w:rPr>
          <w:sz w:val="24"/>
          <w:szCs w:val="24"/>
        </w:rPr>
        <w:t xml:space="preserve">Temel emisyon kontrol </w:t>
      </w:r>
      <w:r w:rsidR="00B66DE4" w:rsidRPr="00DE12A3">
        <w:rPr>
          <w:sz w:val="24"/>
          <w:szCs w:val="24"/>
        </w:rPr>
        <w:t>yönetimi</w:t>
      </w:r>
      <w:r w:rsidR="00242DA0" w:rsidRPr="00DE12A3">
        <w:rPr>
          <w:sz w:val="24"/>
          <w:szCs w:val="24"/>
        </w:rPr>
        <w:t>ne ilişkin şartlar</w:t>
      </w:r>
    </w:p>
    <w:p w14:paraId="0FF32EB6" w14:textId="3B411AB7" w:rsidR="002D7B36" w:rsidRPr="00DE12A3" w:rsidRDefault="003B61E7" w:rsidP="003B61E7">
      <w:pPr>
        <w:pStyle w:val="Gvdemetni250"/>
        <w:shd w:val="clear" w:color="auto" w:fill="auto"/>
        <w:spacing w:before="120" w:after="120" w:line="240" w:lineRule="auto"/>
        <w:ind w:firstLine="0"/>
        <w:rPr>
          <w:sz w:val="24"/>
          <w:szCs w:val="24"/>
        </w:rPr>
      </w:pPr>
      <w:r w:rsidRPr="00DE12A3">
        <w:rPr>
          <w:sz w:val="24"/>
          <w:szCs w:val="24"/>
        </w:rPr>
        <w:t xml:space="preserve">2.2.1. </w:t>
      </w:r>
      <w:r w:rsidR="00242DA0" w:rsidRPr="00DE12A3">
        <w:rPr>
          <w:sz w:val="24"/>
          <w:szCs w:val="24"/>
        </w:rPr>
        <w:t xml:space="preserve">Temel emisyon kontrol </w:t>
      </w:r>
      <w:r w:rsidR="00B66DE4" w:rsidRPr="00DE12A3">
        <w:rPr>
          <w:sz w:val="24"/>
          <w:szCs w:val="24"/>
        </w:rPr>
        <w:t>yönetimi</w:t>
      </w:r>
      <w:r w:rsidR="00242DA0" w:rsidRPr="00DE12A3">
        <w:rPr>
          <w:sz w:val="24"/>
          <w:szCs w:val="24"/>
        </w:rPr>
        <w:t>, normal kullanımda motorun bu T</w:t>
      </w:r>
      <w:r w:rsidR="00EE5D5E" w:rsidRPr="00DE12A3">
        <w:rPr>
          <w:sz w:val="24"/>
          <w:szCs w:val="24"/>
        </w:rPr>
        <w:t>ebliğin</w:t>
      </w:r>
      <w:r w:rsidR="00242DA0" w:rsidRPr="00DE12A3">
        <w:rPr>
          <w:sz w:val="24"/>
          <w:szCs w:val="24"/>
        </w:rPr>
        <w:t xml:space="preserve"> hükümlerine uymasını sağlayacak şekilde tasarlanmalıdır. Normal kullanım, 2.4 </w:t>
      </w:r>
      <w:r w:rsidR="00211788" w:rsidRPr="00DE12A3">
        <w:rPr>
          <w:sz w:val="24"/>
          <w:szCs w:val="24"/>
        </w:rPr>
        <w:t>bendinde</w:t>
      </w:r>
      <w:r w:rsidR="00242DA0" w:rsidRPr="00DE12A3">
        <w:rPr>
          <w:sz w:val="24"/>
          <w:szCs w:val="24"/>
        </w:rPr>
        <w:t xml:space="preserve"> belirtilen kontrol koşulları ile sınırlı değildir.</w:t>
      </w:r>
    </w:p>
    <w:p w14:paraId="7F53A2ED" w14:textId="21D84006" w:rsidR="002D7B36" w:rsidRPr="00DE12A3" w:rsidRDefault="003B61E7" w:rsidP="003B61E7">
      <w:pPr>
        <w:pStyle w:val="Gvdemetni250"/>
        <w:shd w:val="clear" w:color="auto" w:fill="auto"/>
        <w:spacing w:before="120" w:after="120" w:line="240" w:lineRule="auto"/>
        <w:ind w:firstLine="0"/>
        <w:rPr>
          <w:sz w:val="24"/>
          <w:szCs w:val="24"/>
        </w:rPr>
      </w:pPr>
      <w:r w:rsidRPr="00DE12A3">
        <w:rPr>
          <w:sz w:val="24"/>
          <w:szCs w:val="24"/>
        </w:rPr>
        <w:t xml:space="preserve">2.2.2. </w:t>
      </w:r>
      <w:r w:rsidR="00242DA0" w:rsidRPr="00DE12A3">
        <w:rPr>
          <w:sz w:val="24"/>
          <w:szCs w:val="24"/>
        </w:rPr>
        <w:t>Temel emisyon kontrol stratejileri, bunlarla sınırlı olmamak kaydıyla, aşağıdakileri kontrol etmeye yönelik haritalar veya algoritmalardır:</w:t>
      </w:r>
    </w:p>
    <w:p w14:paraId="469E61BF" w14:textId="4568C4B0" w:rsidR="002D7B36" w:rsidRPr="00DE12A3" w:rsidRDefault="003D2710" w:rsidP="003D2710">
      <w:pPr>
        <w:pStyle w:val="Gvdemetni250"/>
        <w:shd w:val="clear" w:color="auto" w:fill="auto"/>
        <w:spacing w:before="120" w:after="120" w:line="240" w:lineRule="auto"/>
        <w:ind w:firstLine="709"/>
        <w:rPr>
          <w:sz w:val="24"/>
          <w:szCs w:val="24"/>
        </w:rPr>
      </w:pPr>
      <w:r w:rsidRPr="00DE12A3">
        <w:rPr>
          <w:sz w:val="24"/>
          <w:szCs w:val="24"/>
        </w:rPr>
        <w:t xml:space="preserve">(a) </w:t>
      </w:r>
      <w:r w:rsidR="003A4B10" w:rsidRPr="00DE12A3">
        <w:rPr>
          <w:sz w:val="24"/>
          <w:szCs w:val="24"/>
        </w:rPr>
        <w:t>Y</w:t>
      </w:r>
      <w:r w:rsidR="00242DA0" w:rsidRPr="00DE12A3">
        <w:rPr>
          <w:sz w:val="24"/>
          <w:szCs w:val="24"/>
        </w:rPr>
        <w:t>akıt enjeksiyonu veya ateşleme zamanlaması (motor zamanlaması)</w:t>
      </w:r>
      <w:r w:rsidR="00804290" w:rsidRPr="00DE12A3">
        <w:rPr>
          <w:sz w:val="24"/>
          <w:szCs w:val="24"/>
        </w:rPr>
        <w:t>.</w:t>
      </w:r>
    </w:p>
    <w:p w14:paraId="4518BBC5" w14:textId="5F4E7425" w:rsidR="002D7B36" w:rsidRPr="00DE12A3" w:rsidRDefault="003D2710" w:rsidP="003D2710">
      <w:pPr>
        <w:pStyle w:val="Gvdemetni250"/>
        <w:shd w:val="clear" w:color="auto" w:fill="auto"/>
        <w:spacing w:before="120" w:after="120" w:line="240" w:lineRule="auto"/>
        <w:ind w:firstLine="709"/>
        <w:rPr>
          <w:sz w:val="24"/>
          <w:szCs w:val="24"/>
        </w:rPr>
      </w:pPr>
      <w:r w:rsidRPr="00DE12A3">
        <w:rPr>
          <w:sz w:val="24"/>
          <w:szCs w:val="24"/>
        </w:rPr>
        <w:t xml:space="preserve">(b) </w:t>
      </w:r>
      <w:r w:rsidR="003A4B10" w:rsidRPr="00DE12A3">
        <w:rPr>
          <w:sz w:val="24"/>
          <w:szCs w:val="24"/>
        </w:rPr>
        <w:t>E</w:t>
      </w:r>
      <w:r w:rsidR="00242DA0" w:rsidRPr="00DE12A3">
        <w:rPr>
          <w:sz w:val="24"/>
          <w:szCs w:val="24"/>
        </w:rPr>
        <w:t>gzoz gazı devridaimi (EGR)</w:t>
      </w:r>
      <w:r w:rsidR="00804290" w:rsidRPr="00DE12A3">
        <w:rPr>
          <w:sz w:val="24"/>
          <w:szCs w:val="24"/>
        </w:rPr>
        <w:t>.</w:t>
      </w:r>
    </w:p>
    <w:p w14:paraId="60E8572C" w14:textId="78FD76A8" w:rsidR="002D7B36" w:rsidRPr="00DE12A3" w:rsidRDefault="003D2710" w:rsidP="003D2710">
      <w:pPr>
        <w:pStyle w:val="Gvdemetni250"/>
        <w:shd w:val="clear" w:color="auto" w:fill="auto"/>
        <w:spacing w:before="120" w:after="120" w:line="240" w:lineRule="auto"/>
        <w:ind w:firstLine="709"/>
        <w:rPr>
          <w:sz w:val="24"/>
          <w:szCs w:val="24"/>
        </w:rPr>
      </w:pPr>
      <w:r w:rsidRPr="00DE12A3">
        <w:rPr>
          <w:sz w:val="24"/>
          <w:szCs w:val="24"/>
        </w:rPr>
        <w:t xml:space="preserve">(c) </w:t>
      </w:r>
      <w:r w:rsidR="00242DA0" w:rsidRPr="00DE12A3">
        <w:rPr>
          <w:sz w:val="24"/>
          <w:szCs w:val="24"/>
        </w:rPr>
        <w:t>SCR katalizör ayırıcı dozajı.</w:t>
      </w:r>
    </w:p>
    <w:p w14:paraId="4C650E52" w14:textId="68806CF8" w:rsidR="002D7B36" w:rsidRPr="00DE12A3" w:rsidRDefault="003B61E7" w:rsidP="003B61E7">
      <w:pPr>
        <w:pStyle w:val="Gvdemetni250"/>
        <w:shd w:val="clear" w:color="auto" w:fill="auto"/>
        <w:spacing w:before="120" w:after="120" w:line="240" w:lineRule="auto"/>
        <w:ind w:firstLine="0"/>
        <w:rPr>
          <w:sz w:val="24"/>
          <w:szCs w:val="24"/>
        </w:rPr>
      </w:pPr>
      <w:r w:rsidRPr="00DE12A3">
        <w:rPr>
          <w:sz w:val="24"/>
          <w:szCs w:val="24"/>
        </w:rPr>
        <w:t xml:space="preserve">2.2.3. </w:t>
      </w:r>
      <w:r w:rsidR="00242DA0" w:rsidRPr="00DE12A3">
        <w:rPr>
          <w:sz w:val="24"/>
          <w:szCs w:val="24"/>
        </w:rPr>
        <w:t xml:space="preserve">Standart bir AB tip onayı testi ile diğer çalışma koşulları arasında motor çalışmasını ayırt edebilen ve ardından AB tip onayı prosedürüne önemli ölçüde dahil edilen koşullar altında çalışmadığında emisyon kontrol seviyesini düşüren her temel emisyon kontrol </w:t>
      </w:r>
      <w:r w:rsidR="00B66DE4" w:rsidRPr="00DE12A3">
        <w:rPr>
          <w:sz w:val="24"/>
          <w:szCs w:val="24"/>
        </w:rPr>
        <w:t>yönetimi</w:t>
      </w:r>
      <w:r w:rsidR="00242DA0" w:rsidRPr="00DE12A3">
        <w:rPr>
          <w:sz w:val="24"/>
          <w:szCs w:val="24"/>
        </w:rPr>
        <w:t xml:space="preserve"> yasaktır.</w:t>
      </w:r>
    </w:p>
    <w:p w14:paraId="5BE349BC" w14:textId="27E83DBF" w:rsidR="002D7B36" w:rsidRPr="00DE12A3" w:rsidRDefault="003B61E7" w:rsidP="003B61E7">
      <w:pPr>
        <w:pStyle w:val="Gvdemetni250"/>
        <w:shd w:val="clear" w:color="auto" w:fill="auto"/>
        <w:spacing w:before="120" w:after="120" w:line="240" w:lineRule="auto"/>
        <w:ind w:firstLine="0"/>
        <w:rPr>
          <w:sz w:val="24"/>
          <w:szCs w:val="24"/>
        </w:rPr>
      </w:pPr>
      <w:r w:rsidRPr="00DE12A3">
        <w:rPr>
          <w:sz w:val="24"/>
          <w:szCs w:val="24"/>
        </w:rPr>
        <w:t xml:space="preserve">2.2.3.1. </w:t>
      </w:r>
      <w:r w:rsidR="00242DA0" w:rsidRPr="00DE12A3">
        <w:rPr>
          <w:sz w:val="24"/>
          <w:szCs w:val="24"/>
        </w:rPr>
        <w:t xml:space="preserve">2.2.3 </w:t>
      </w:r>
      <w:r w:rsidR="00211788" w:rsidRPr="00DE12A3">
        <w:rPr>
          <w:sz w:val="24"/>
          <w:szCs w:val="24"/>
        </w:rPr>
        <w:t>bendine</w:t>
      </w:r>
      <w:r w:rsidR="00242DA0" w:rsidRPr="00DE12A3">
        <w:rPr>
          <w:sz w:val="24"/>
          <w:szCs w:val="24"/>
        </w:rPr>
        <w:t xml:space="preserve"> bakılmaksızın, AB tip onayı amacıyla karayolu dışı </w:t>
      </w:r>
      <w:r w:rsidR="00951351" w:rsidRPr="00DE12A3">
        <w:rPr>
          <w:sz w:val="24"/>
          <w:szCs w:val="24"/>
        </w:rPr>
        <w:t>süreksiz</w:t>
      </w:r>
      <w:r w:rsidR="00242DA0" w:rsidRPr="00DE12A3">
        <w:rPr>
          <w:sz w:val="24"/>
          <w:szCs w:val="24"/>
        </w:rPr>
        <w:t xml:space="preserve"> test </w:t>
      </w:r>
      <w:r w:rsidR="00951351" w:rsidRPr="00DE12A3">
        <w:rPr>
          <w:sz w:val="24"/>
          <w:szCs w:val="24"/>
        </w:rPr>
        <w:t>çevrimlerine</w:t>
      </w:r>
      <w:r w:rsidR="00242DA0" w:rsidRPr="00DE12A3">
        <w:rPr>
          <w:sz w:val="24"/>
          <w:szCs w:val="24"/>
        </w:rPr>
        <w:t xml:space="preserve"> tabi olmayan motor (alt) kategorileri söz konusu olduğunda, temel emisyon kontrol </w:t>
      </w:r>
      <w:r w:rsidR="00B66DE4" w:rsidRPr="00DE12A3">
        <w:rPr>
          <w:sz w:val="24"/>
          <w:szCs w:val="24"/>
        </w:rPr>
        <w:t>yönetimi</w:t>
      </w:r>
      <w:r w:rsidR="00242DA0" w:rsidRPr="00DE12A3">
        <w:rPr>
          <w:sz w:val="24"/>
          <w:szCs w:val="24"/>
        </w:rPr>
        <w:t xml:space="preserve">, ilgili emisyon kontrol </w:t>
      </w:r>
      <w:r w:rsidR="00B66DE4" w:rsidRPr="00DE12A3">
        <w:rPr>
          <w:sz w:val="24"/>
          <w:szCs w:val="24"/>
        </w:rPr>
        <w:t>yönetimini</w:t>
      </w:r>
      <w:r w:rsidR="00242DA0" w:rsidRPr="00DE12A3">
        <w:rPr>
          <w:sz w:val="24"/>
          <w:szCs w:val="24"/>
        </w:rPr>
        <w:t xml:space="preserve">, geçiş çalışma koşulları ortaya çıktığında belirleyebilir ve uygulayabilir. Bu durumda, bu emisyon kontrol </w:t>
      </w:r>
      <w:r w:rsidR="00B66DE4" w:rsidRPr="00DE12A3">
        <w:rPr>
          <w:sz w:val="24"/>
          <w:szCs w:val="24"/>
        </w:rPr>
        <w:t>yönetimi</w:t>
      </w:r>
      <w:r w:rsidR="00242DA0" w:rsidRPr="00DE12A3">
        <w:rPr>
          <w:sz w:val="24"/>
          <w:szCs w:val="24"/>
        </w:rPr>
        <w:t xml:space="preserve"> 2017/656</w:t>
      </w:r>
      <w:r w:rsidR="00EE5D5E" w:rsidRPr="00DE12A3">
        <w:rPr>
          <w:sz w:val="24"/>
          <w:szCs w:val="24"/>
        </w:rPr>
        <w:t>/AB</w:t>
      </w:r>
      <w:r w:rsidR="00242DA0" w:rsidRPr="00DE12A3">
        <w:rPr>
          <w:sz w:val="24"/>
          <w:szCs w:val="24"/>
        </w:rPr>
        <w:t xml:space="preserve"> T</w:t>
      </w:r>
      <w:r w:rsidR="00EE5D5E" w:rsidRPr="00DE12A3">
        <w:rPr>
          <w:sz w:val="24"/>
          <w:szCs w:val="24"/>
        </w:rPr>
        <w:t>ebliği</w:t>
      </w:r>
      <w:r w:rsidR="00966EFF" w:rsidRPr="00DE12A3">
        <w:rPr>
          <w:sz w:val="24"/>
          <w:szCs w:val="24"/>
        </w:rPr>
        <w:t>nin</w:t>
      </w:r>
      <w:r w:rsidR="00242DA0" w:rsidRPr="00DE12A3">
        <w:rPr>
          <w:sz w:val="24"/>
          <w:szCs w:val="24"/>
        </w:rPr>
        <w:t xml:space="preserve"> I</w:t>
      </w:r>
      <w:r w:rsidR="00EE5D5E" w:rsidRPr="00DE12A3">
        <w:rPr>
          <w:sz w:val="24"/>
          <w:szCs w:val="24"/>
        </w:rPr>
        <w:t xml:space="preserve">’inci </w:t>
      </w:r>
      <w:r w:rsidR="00EC3EF0" w:rsidRPr="00DE12A3">
        <w:rPr>
          <w:sz w:val="24"/>
          <w:szCs w:val="24"/>
        </w:rPr>
        <w:t>Ekinin</w:t>
      </w:r>
      <w:r w:rsidR="00242DA0" w:rsidRPr="00DE12A3">
        <w:rPr>
          <w:sz w:val="24"/>
          <w:szCs w:val="24"/>
        </w:rPr>
        <w:t xml:space="preserve"> 1.4 bendinde şart koşulan temel emisyon kontrol </w:t>
      </w:r>
      <w:r w:rsidR="00B66DE4" w:rsidRPr="00DE12A3">
        <w:rPr>
          <w:sz w:val="24"/>
          <w:szCs w:val="24"/>
        </w:rPr>
        <w:t>yönetimi</w:t>
      </w:r>
      <w:r w:rsidR="00242DA0" w:rsidRPr="00DE12A3">
        <w:rPr>
          <w:sz w:val="24"/>
          <w:szCs w:val="24"/>
        </w:rPr>
        <w:t xml:space="preserve"> özetine ve söz konusu </w:t>
      </w:r>
      <w:r w:rsidR="00FA0678" w:rsidRPr="00DE12A3">
        <w:rPr>
          <w:sz w:val="24"/>
          <w:szCs w:val="24"/>
        </w:rPr>
        <w:t>e</w:t>
      </w:r>
      <w:r w:rsidR="00242DA0" w:rsidRPr="00DE12A3">
        <w:rPr>
          <w:sz w:val="24"/>
          <w:szCs w:val="24"/>
        </w:rPr>
        <w:t xml:space="preserve">kin 2. Açıklayıcı Ekinde belirtilen emisyon kontrol </w:t>
      </w:r>
      <w:r w:rsidR="00B66DE4" w:rsidRPr="00DE12A3">
        <w:rPr>
          <w:sz w:val="24"/>
          <w:szCs w:val="24"/>
        </w:rPr>
        <w:t>yönetimi</w:t>
      </w:r>
      <w:r w:rsidR="00242DA0" w:rsidRPr="00DE12A3">
        <w:rPr>
          <w:sz w:val="24"/>
          <w:szCs w:val="24"/>
        </w:rPr>
        <w:t>ne ilişkin gizli bilgilere dahil edilmelidir.</w:t>
      </w:r>
    </w:p>
    <w:p w14:paraId="3990AB5B" w14:textId="4EB70DBE" w:rsidR="002D7B36" w:rsidRPr="00DE12A3" w:rsidRDefault="003B61E7" w:rsidP="003B61E7">
      <w:pPr>
        <w:pStyle w:val="Gvdemetni250"/>
        <w:shd w:val="clear" w:color="auto" w:fill="auto"/>
        <w:spacing w:before="120" w:after="120" w:line="240" w:lineRule="auto"/>
        <w:ind w:firstLine="0"/>
        <w:rPr>
          <w:sz w:val="24"/>
          <w:szCs w:val="24"/>
        </w:rPr>
      </w:pPr>
      <w:r w:rsidRPr="00DE12A3">
        <w:rPr>
          <w:sz w:val="24"/>
          <w:szCs w:val="24"/>
        </w:rPr>
        <w:t xml:space="preserve">2.2.4. </w:t>
      </w:r>
      <w:r w:rsidR="00242DA0" w:rsidRPr="00DE12A3">
        <w:rPr>
          <w:sz w:val="24"/>
          <w:szCs w:val="24"/>
        </w:rPr>
        <w:t xml:space="preserve">İmalatçı, AB tip onayı testi sırasında, temel emisyon kontrol </w:t>
      </w:r>
      <w:r w:rsidR="00B66DE4" w:rsidRPr="00DE12A3">
        <w:rPr>
          <w:sz w:val="24"/>
          <w:szCs w:val="24"/>
        </w:rPr>
        <w:t>yönetimini</w:t>
      </w:r>
      <w:r w:rsidR="00242DA0" w:rsidRPr="00DE12A3">
        <w:rPr>
          <w:sz w:val="24"/>
          <w:szCs w:val="24"/>
        </w:rPr>
        <w:t>n uygulanmasının, 2.6 bendinde belirtilen dokümantasyon esasında bu bölümün hükümlerine uygun olduğunu teknik servise kanıtlamalıdır.</w:t>
      </w:r>
    </w:p>
    <w:p w14:paraId="7E0A97C6" w14:textId="6DD92C39" w:rsidR="002D7B36" w:rsidRPr="00DE12A3" w:rsidRDefault="003B61E7" w:rsidP="003B61E7">
      <w:pPr>
        <w:pStyle w:val="Gvdemetni250"/>
        <w:shd w:val="clear" w:color="auto" w:fill="auto"/>
        <w:spacing w:before="120" w:after="120" w:line="240" w:lineRule="auto"/>
        <w:ind w:firstLine="0"/>
        <w:rPr>
          <w:sz w:val="24"/>
          <w:szCs w:val="24"/>
        </w:rPr>
      </w:pPr>
      <w:r w:rsidRPr="00DE12A3">
        <w:rPr>
          <w:sz w:val="24"/>
          <w:szCs w:val="24"/>
        </w:rPr>
        <w:t xml:space="preserve">2.3. </w:t>
      </w:r>
      <w:r w:rsidR="00242DA0" w:rsidRPr="00DE12A3">
        <w:rPr>
          <w:sz w:val="24"/>
          <w:szCs w:val="24"/>
        </w:rPr>
        <w:t xml:space="preserve">Yardımcı emisyon kontrol </w:t>
      </w:r>
      <w:r w:rsidR="00B66DE4" w:rsidRPr="00DE12A3">
        <w:rPr>
          <w:sz w:val="24"/>
          <w:szCs w:val="24"/>
        </w:rPr>
        <w:t>yönetimi</w:t>
      </w:r>
      <w:r w:rsidR="00242DA0" w:rsidRPr="00DE12A3">
        <w:rPr>
          <w:sz w:val="24"/>
          <w:szCs w:val="24"/>
        </w:rPr>
        <w:t>ne ilişkin şartlar</w:t>
      </w:r>
    </w:p>
    <w:p w14:paraId="776D7F56" w14:textId="07DED3E0" w:rsidR="002D7B36" w:rsidRPr="00DE12A3" w:rsidRDefault="002A4A93" w:rsidP="002A4A93">
      <w:pPr>
        <w:pStyle w:val="Gvdemetni250"/>
        <w:shd w:val="clear" w:color="auto" w:fill="auto"/>
        <w:spacing w:before="120" w:after="120" w:line="240" w:lineRule="auto"/>
        <w:ind w:firstLine="0"/>
        <w:rPr>
          <w:sz w:val="24"/>
          <w:szCs w:val="24"/>
        </w:rPr>
      </w:pPr>
      <w:r w:rsidRPr="00DE12A3">
        <w:rPr>
          <w:sz w:val="24"/>
          <w:szCs w:val="24"/>
        </w:rPr>
        <w:t xml:space="preserve">2.3.1. </w:t>
      </w:r>
      <w:r w:rsidR="00242DA0" w:rsidRPr="00DE12A3">
        <w:rPr>
          <w:sz w:val="24"/>
          <w:szCs w:val="24"/>
        </w:rPr>
        <w:t xml:space="preserve">Bir yardımcı emisyon kontrol </w:t>
      </w:r>
      <w:r w:rsidR="00B66DE4" w:rsidRPr="00DE12A3">
        <w:rPr>
          <w:sz w:val="24"/>
          <w:szCs w:val="24"/>
        </w:rPr>
        <w:t>yönetimi</w:t>
      </w:r>
      <w:r w:rsidR="00242DA0" w:rsidRPr="00DE12A3">
        <w:rPr>
          <w:sz w:val="24"/>
          <w:szCs w:val="24"/>
        </w:rPr>
        <w:t>, aşağıdaki koşullarla, bir motor veya karayolu dışında kullanılan hareketli makina tarafından etkinleştirilebilir:</w:t>
      </w:r>
    </w:p>
    <w:p w14:paraId="3EBB028C" w14:textId="5FCA91F8" w:rsidR="002D7B36" w:rsidRPr="00DE12A3" w:rsidRDefault="002A4A93" w:rsidP="002A4A93">
      <w:pPr>
        <w:pStyle w:val="Gvdemetni250"/>
        <w:shd w:val="clear" w:color="auto" w:fill="auto"/>
        <w:spacing w:before="120" w:after="120" w:line="240" w:lineRule="auto"/>
        <w:ind w:firstLine="0"/>
        <w:rPr>
          <w:sz w:val="24"/>
          <w:szCs w:val="24"/>
        </w:rPr>
      </w:pPr>
      <w:r w:rsidRPr="00DE12A3">
        <w:rPr>
          <w:sz w:val="24"/>
          <w:szCs w:val="24"/>
        </w:rPr>
        <w:t xml:space="preserve">2.3.1.1. </w:t>
      </w:r>
      <w:r w:rsidR="003A4B10" w:rsidRPr="00DE12A3">
        <w:rPr>
          <w:sz w:val="24"/>
          <w:szCs w:val="24"/>
        </w:rPr>
        <w:t>Y</w:t>
      </w:r>
      <w:r w:rsidR="00242DA0" w:rsidRPr="00DE12A3">
        <w:rPr>
          <w:sz w:val="24"/>
          <w:szCs w:val="24"/>
        </w:rPr>
        <w:t xml:space="preserve">ardımcı emisyon kontrol </w:t>
      </w:r>
      <w:r w:rsidR="00B66DE4" w:rsidRPr="00DE12A3">
        <w:rPr>
          <w:sz w:val="24"/>
          <w:szCs w:val="24"/>
        </w:rPr>
        <w:t>yönetimi</w:t>
      </w:r>
      <w:r w:rsidR="00242DA0" w:rsidRPr="00DE12A3">
        <w:rPr>
          <w:sz w:val="24"/>
          <w:szCs w:val="24"/>
        </w:rPr>
        <w:t>, emisyon kontrol sisteminin etkinliğini kalıcı olarak azaltmadığında</w:t>
      </w:r>
      <w:r w:rsidR="00804290" w:rsidRPr="00DE12A3">
        <w:rPr>
          <w:sz w:val="24"/>
          <w:szCs w:val="24"/>
        </w:rPr>
        <w:t>.</w:t>
      </w:r>
    </w:p>
    <w:p w14:paraId="275D9BE3" w14:textId="794ED1D3" w:rsidR="002D7B36" w:rsidRPr="00DE12A3" w:rsidRDefault="002A4A93" w:rsidP="002A4A93">
      <w:pPr>
        <w:pStyle w:val="Gvdemetni250"/>
        <w:shd w:val="clear" w:color="auto" w:fill="auto"/>
        <w:spacing w:before="120" w:after="120" w:line="240" w:lineRule="auto"/>
        <w:ind w:firstLine="0"/>
        <w:rPr>
          <w:sz w:val="24"/>
          <w:szCs w:val="24"/>
        </w:rPr>
      </w:pPr>
      <w:r w:rsidRPr="00DE12A3">
        <w:rPr>
          <w:sz w:val="24"/>
          <w:szCs w:val="24"/>
        </w:rPr>
        <w:t xml:space="preserve">2.3.1.2. </w:t>
      </w:r>
      <w:r w:rsidR="003A4B10" w:rsidRPr="00DE12A3">
        <w:rPr>
          <w:sz w:val="24"/>
          <w:szCs w:val="24"/>
        </w:rPr>
        <w:t>Y</w:t>
      </w:r>
      <w:r w:rsidR="00242DA0" w:rsidRPr="00DE12A3">
        <w:rPr>
          <w:sz w:val="24"/>
          <w:szCs w:val="24"/>
        </w:rPr>
        <w:t xml:space="preserve">ardımcı emisyon kontrol </w:t>
      </w:r>
      <w:r w:rsidR="00B66DE4" w:rsidRPr="00DE12A3">
        <w:rPr>
          <w:sz w:val="24"/>
          <w:szCs w:val="24"/>
        </w:rPr>
        <w:t>yönetimi</w:t>
      </w:r>
      <w:r w:rsidR="00242DA0" w:rsidRPr="00DE12A3">
        <w:rPr>
          <w:sz w:val="24"/>
          <w:szCs w:val="24"/>
        </w:rPr>
        <w:t>, 2.3.2 ve 2.3.4 bentlerince izin verilen haller dışında, sadece 2.3.5 bendinde tanımlanan amaçlarla ve sadece söz konusu amaçlar için gerektiği sürece 2.4.1, 2.4.2 veya 2.4.3 bentlerinde belirtilen kontrol koşulları dışında çalıştığında</w:t>
      </w:r>
      <w:r w:rsidR="00804290" w:rsidRPr="00DE12A3">
        <w:rPr>
          <w:sz w:val="24"/>
          <w:szCs w:val="24"/>
        </w:rPr>
        <w:t>.</w:t>
      </w:r>
    </w:p>
    <w:p w14:paraId="4D3223F0" w14:textId="5FD479B8" w:rsidR="002D7B36" w:rsidRPr="00DE12A3" w:rsidRDefault="002A4A93" w:rsidP="002A4A93">
      <w:pPr>
        <w:pStyle w:val="Gvdemetni250"/>
        <w:shd w:val="clear" w:color="auto" w:fill="auto"/>
        <w:spacing w:before="120" w:after="120" w:line="240" w:lineRule="auto"/>
        <w:ind w:firstLine="0"/>
        <w:rPr>
          <w:sz w:val="24"/>
          <w:szCs w:val="24"/>
        </w:rPr>
      </w:pPr>
      <w:r w:rsidRPr="00DE12A3">
        <w:rPr>
          <w:sz w:val="24"/>
          <w:szCs w:val="24"/>
        </w:rPr>
        <w:t xml:space="preserve">2.3.1.3. </w:t>
      </w:r>
      <w:r w:rsidR="003A4B10" w:rsidRPr="00DE12A3">
        <w:rPr>
          <w:sz w:val="24"/>
          <w:szCs w:val="24"/>
        </w:rPr>
        <w:t>Y</w:t>
      </w:r>
      <w:r w:rsidR="00242DA0" w:rsidRPr="00DE12A3">
        <w:rPr>
          <w:sz w:val="24"/>
          <w:szCs w:val="24"/>
        </w:rPr>
        <w:t xml:space="preserve">ardımcı emisyon kontrol </w:t>
      </w:r>
      <w:r w:rsidR="00B66DE4" w:rsidRPr="00DE12A3">
        <w:rPr>
          <w:sz w:val="24"/>
          <w:szCs w:val="24"/>
        </w:rPr>
        <w:t>yönetimi</w:t>
      </w:r>
      <w:r w:rsidR="00242DA0" w:rsidRPr="00DE12A3">
        <w:rPr>
          <w:sz w:val="24"/>
          <w:szCs w:val="24"/>
        </w:rPr>
        <w:t xml:space="preserve">, sadece istisnai olarak sırasıyla 2.4.2 veya 2.4.3 bentlerindeki kontrol koşullarında etkinleştirildiğine, 2.3.5 bendinde belirtilen amaçlar için gerekli olduğu kanıtlanmış olduğunda, </w:t>
      </w:r>
      <w:r w:rsidR="007E2039" w:rsidRPr="00DE12A3">
        <w:rPr>
          <w:sz w:val="24"/>
          <w:szCs w:val="24"/>
        </w:rPr>
        <w:t xml:space="preserve">onay </w:t>
      </w:r>
      <w:r w:rsidR="00EF2C88" w:rsidRPr="00DE12A3">
        <w:rPr>
          <w:sz w:val="24"/>
          <w:szCs w:val="24"/>
        </w:rPr>
        <w:t>kuruluşu tarafından</w:t>
      </w:r>
      <w:r w:rsidR="00242DA0" w:rsidRPr="00DE12A3">
        <w:rPr>
          <w:sz w:val="24"/>
          <w:szCs w:val="24"/>
        </w:rPr>
        <w:t xml:space="preserve"> onaylanmış olduğunda ve bu amaçlar için gerekenden daha uzun süre etkin olmadığında</w:t>
      </w:r>
      <w:r w:rsidR="00804290" w:rsidRPr="00DE12A3">
        <w:rPr>
          <w:sz w:val="24"/>
          <w:szCs w:val="24"/>
        </w:rPr>
        <w:t>.</w:t>
      </w:r>
    </w:p>
    <w:p w14:paraId="17998B2D" w14:textId="1FD77DD3" w:rsidR="002D7B36" w:rsidRPr="00DE12A3" w:rsidRDefault="002A4A93" w:rsidP="002A4A93">
      <w:pPr>
        <w:pStyle w:val="Gvdemetni250"/>
        <w:shd w:val="clear" w:color="auto" w:fill="auto"/>
        <w:spacing w:before="120" w:after="120" w:line="240" w:lineRule="auto"/>
        <w:ind w:firstLine="0"/>
        <w:rPr>
          <w:sz w:val="24"/>
          <w:szCs w:val="24"/>
        </w:rPr>
      </w:pPr>
      <w:r w:rsidRPr="00DE12A3">
        <w:rPr>
          <w:sz w:val="24"/>
          <w:szCs w:val="24"/>
        </w:rPr>
        <w:t xml:space="preserve">2.3.1.4. </w:t>
      </w:r>
      <w:r w:rsidR="003A4B10" w:rsidRPr="00DE12A3">
        <w:rPr>
          <w:sz w:val="24"/>
          <w:szCs w:val="24"/>
        </w:rPr>
        <w:t>Y</w:t>
      </w:r>
      <w:r w:rsidR="00242DA0" w:rsidRPr="00DE12A3">
        <w:rPr>
          <w:sz w:val="24"/>
          <w:szCs w:val="24"/>
        </w:rPr>
        <w:t xml:space="preserve">ardımcı emisyon kontrol </w:t>
      </w:r>
      <w:r w:rsidR="00B66DE4" w:rsidRPr="00DE12A3">
        <w:rPr>
          <w:sz w:val="24"/>
          <w:szCs w:val="24"/>
        </w:rPr>
        <w:t>yönetimi</w:t>
      </w:r>
      <w:r w:rsidR="00242DA0" w:rsidRPr="00DE12A3">
        <w:rPr>
          <w:sz w:val="24"/>
          <w:szCs w:val="24"/>
        </w:rPr>
        <w:t xml:space="preserve">, emisyon kontrol sisteminin, temel emisyon kontrol </w:t>
      </w:r>
      <w:r w:rsidR="00B66DE4" w:rsidRPr="00DE12A3">
        <w:rPr>
          <w:sz w:val="24"/>
          <w:szCs w:val="24"/>
        </w:rPr>
        <w:t>yönetimi</w:t>
      </w:r>
      <w:r w:rsidR="00242DA0" w:rsidRPr="00DE12A3">
        <w:rPr>
          <w:sz w:val="24"/>
          <w:szCs w:val="24"/>
        </w:rPr>
        <w:t xml:space="preserve"> tarafından öngörülene mümkün olduğunca yakın bir performans </w:t>
      </w:r>
      <w:r w:rsidR="00242DA0" w:rsidRPr="00DE12A3">
        <w:rPr>
          <w:sz w:val="24"/>
          <w:szCs w:val="24"/>
        </w:rPr>
        <w:lastRenderedPageBreak/>
        <w:t>göstermesini sağladığında.</w:t>
      </w:r>
    </w:p>
    <w:p w14:paraId="787D00C8" w14:textId="1D5D864C" w:rsidR="002D7B36" w:rsidRPr="00DE12A3" w:rsidRDefault="002A4A93" w:rsidP="002A4A93">
      <w:pPr>
        <w:pStyle w:val="Gvdemetni250"/>
        <w:shd w:val="clear" w:color="auto" w:fill="auto"/>
        <w:spacing w:before="120" w:after="120" w:line="240" w:lineRule="auto"/>
        <w:ind w:firstLine="0"/>
        <w:rPr>
          <w:sz w:val="24"/>
          <w:szCs w:val="24"/>
        </w:rPr>
      </w:pPr>
      <w:r w:rsidRPr="00DE12A3">
        <w:rPr>
          <w:sz w:val="24"/>
          <w:szCs w:val="24"/>
        </w:rPr>
        <w:t xml:space="preserve">2.3.2. </w:t>
      </w:r>
      <w:r w:rsidR="00242DA0" w:rsidRPr="00DE12A3">
        <w:rPr>
          <w:sz w:val="24"/>
          <w:szCs w:val="24"/>
        </w:rPr>
        <w:t xml:space="preserve">Yardımcı emisyon kontrol </w:t>
      </w:r>
      <w:r w:rsidR="00B66DE4" w:rsidRPr="00DE12A3">
        <w:rPr>
          <w:sz w:val="24"/>
          <w:szCs w:val="24"/>
        </w:rPr>
        <w:t>yönetimini</w:t>
      </w:r>
      <w:r w:rsidR="00242DA0" w:rsidRPr="00DE12A3">
        <w:rPr>
          <w:sz w:val="24"/>
          <w:szCs w:val="24"/>
        </w:rPr>
        <w:t>n AB tip onayı testi sırasında etkinleştirildiği durumlarda, aktivasyon, 2.4 bendinde belirtilen kontrol koşulları dışında gerçekleşecek şekilde sınırlandırılmamalı ve amaç, 2.3.5 bendinde belirtilen kriterler ile sınırlı olmamalıdır.</w:t>
      </w:r>
    </w:p>
    <w:p w14:paraId="6E93E4C6" w14:textId="0A8CE186" w:rsidR="002D7B36" w:rsidRPr="00DE12A3" w:rsidRDefault="002A4A93" w:rsidP="002A4A93">
      <w:pPr>
        <w:pStyle w:val="Gvdemetni250"/>
        <w:shd w:val="clear" w:color="auto" w:fill="auto"/>
        <w:spacing w:before="120" w:after="120" w:line="240" w:lineRule="auto"/>
        <w:ind w:firstLine="0"/>
        <w:rPr>
          <w:sz w:val="24"/>
          <w:szCs w:val="24"/>
        </w:rPr>
      </w:pPr>
      <w:r w:rsidRPr="00DE12A3">
        <w:rPr>
          <w:sz w:val="24"/>
          <w:szCs w:val="24"/>
        </w:rPr>
        <w:t xml:space="preserve">2.3.3. </w:t>
      </w:r>
      <w:r w:rsidR="00242DA0" w:rsidRPr="00DE12A3">
        <w:rPr>
          <w:sz w:val="24"/>
          <w:szCs w:val="24"/>
        </w:rPr>
        <w:t xml:space="preserve">Yardımcı emisyon kontrol </w:t>
      </w:r>
      <w:r w:rsidR="00B66DE4" w:rsidRPr="00DE12A3">
        <w:rPr>
          <w:sz w:val="24"/>
          <w:szCs w:val="24"/>
        </w:rPr>
        <w:t>yönetimini</w:t>
      </w:r>
      <w:r w:rsidR="00242DA0" w:rsidRPr="00DE12A3">
        <w:rPr>
          <w:sz w:val="24"/>
          <w:szCs w:val="24"/>
        </w:rPr>
        <w:t xml:space="preserve">n AB tip onayı testi sırasında etkinleştirilmediği durumlarda, yardımcı emisyon kontrol </w:t>
      </w:r>
      <w:r w:rsidR="00B66DE4" w:rsidRPr="00DE12A3">
        <w:rPr>
          <w:sz w:val="24"/>
          <w:szCs w:val="24"/>
        </w:rPr>
        <w:t>yönetimini</w:t>
      </w:r>
      <w:r w:rsidR="00242DA0" w:rsidRPr="00DE12A3">
        <w:rPr>
          <w:sz w:val="24"/>
          <w:szCs w:val="24"/>
        </w:rPr>
        <w:t>n sadece 2.3.5 bendinde belirtilen amaçlar için gerektiği sürece etkin olduğu kanıtlanmalıdır.</w:t>
      </w:r>
    </w:p>
    <w:p w14:paraId="3ABC8454" w14:textId="2920DAB0" w:rsidR="002D7B36" w:rsidRPr="00DE12A3" w:rsidRDefault="002A4A93" w:rsidP="002A4A93">
      <w:pPr>
        <w:pStyle w:val="Gvdemetni250"/>
        <w:shd w:val="clear" w:color="auto" w:fill="auto"/>
        <w:spacing w:before="120" w:after="120" w:line="240" w:lineRule="auto"/>
        <w:ind w:firstLine="0"/>
        <w:rPr>
          <w:sz w:val="24"/>
          <w:szCs w:val="24"/>
        </w:rPr>
      </w:pPr>
      <w:r w:rsidRPr="00DE12A3">
        <w:rPr>
          <w:sz w:val="24"/>
          <w:szCs w:val="24"/>
        </w:rPr>
        <w:t xml:space="preserve">2.3.4. </w:t>
      </w:r>
      <w:r w:rsidR="00242DA0" w:rsidRPr="00DE12A3">
        <w:rPr>
          <w:sz w:val="24"/>
          <w:szCs w:val="24"/>
        </w:rPr>
        <w:t>Düşük sıcaklıkta çalışma</w:t>
      </w:r>
    </w:p>
    <w:p w14:paraId="6D2D62DB" w14:textId="4557FA00" w:rsidR="002D7B36" w:rsidRPr="00DE12A3" w:rsidRDefault="00242DA0" w:rsidP="002A4A93">
      <w:pPr>
        <w:pStyle w:val="Gvdemetni250"/>
        <w:shd w:val="clear" w:color="auto" w:fill="auto"/>
        <w:spacing w:before="120" w:after="120" w:line="240" w:lineRule="auto"/>
        <w:ind w:firstLine="0"/>
        <w:rPr>
          <w:sz w:val="24"/>
          <w:szCs w:val="24"/>
        </w:rPr>
      </w:pPr>
      <w:r w:rsidRPr="00DE12A3">
        <w:rPr>
          <w:sz w:val="24"/>
          <w:szCs w:val="24"/>
        </w:rPr>
        <w:t xml:space="preserve">Ortam sıcaklığı 275 K'nin (2°C) altındaysa ve aşağıdaki iki kriterden biri sağlanırsa, 2.4 bendindeki kontrol koşullarından bağımsız olarak egzoz gazı devridaimi (EGR) ile donatılmış bir motorda bir yardımcı emisyon kontrol </w:t>
      </w:r>
      <w:r w:rsidR="00B66DE4" w:rsidRPr="00DE12A3">
        <w:rPr>
          <w:sz w:val="24"/>
          <w:szCs w:val="24"/>
        </w:rPr>
        <w:t>yönetimi</w:t>
      </w:r>
      <w:r w:rsidRPr="00DE12A3">
        <w:rPr>
          <w:sz w:val="24"/>
          <w:szCs w:val="24"/>
        </w:rPr>
        <w:t xml:space="preserve"> etkinleştirilebilir:</w:t>
      </w:r>
    </w:p>
    <w:p w14:paraId="01364B52" w14:textId="754E8199" w:rsidR="002D7B36" w:rsidRPr="00DE12A3" w:rsidRDefault="001559CB" w:rsidP="001559CB">
      <w:pPr>
        <w:pStyle w:val="Gvdemetni250"/>
        <w:shd w:val="clear" w:color="auto" w:fill="auto"/>
        <w:spacing w:before="120" w:after="120" w:line="240" w:lineRule="auto"/>
        <w:ind w:firstLine="709"/>
        <w:rPr>
          <w:sz w:val="24"/>
          <w:szCs w:val="24"/>
        </w:rPr>
      </w:pPr>
      <w:r w:rsidRPr="00DE12A3">
        <w:rPr>
          <w:sz w:val="24"/>
          <w:szCs w:val="24"/>
        </w:rPr>
        <w:t xml:space="preserve">(a) </w:t>
      </w:r>
      <w:r w:rsidR="003A4B10" w:rsidRPr="00DE12A3">
        <w:rPr>
          <w:sz w:val="24"/>
          <w:szCs w:val="24"/>
        </w:rPr>
        <w:t>E</w:t>
      </w:r>
      <w:r w:rsidR="00242DA0" w:rsidRPr="00DE12A3">
        <w:rPr>
          <w:sz w:val="24"/>
          <w:szCs w:val="24"/>
        </w:rPr>
        <w:t>mme</w:t>
      </w:r>
      <w:r w:rsidR="003A4B10" w:rsidRPr="00DE12A3">
        <w:rPr>
          <w:sz w:val="24"/>
          <w:szCs w:val="24"/>
        </w:rPr>
        <w:t xml:space="preserve"> </w:t>
      </w:r>
      <w:r w:rsidR="00242DA0" w:rsidRPr="00DE12A3">
        <w:rPr>
          <w:sz w:val="24"/>
          <w:szCs w:val="24"/>
        </w:rPr>
        <w:t xml:space="preserve">manifoldu sıcaklığı, aşağıdaki denklem ile tanımlanan sıcaklığa eşit veya daha düşük ise: IMTc = PIM/15,75 + 304,4; </w:t>
      </w:r>
      <w:r w:rsidR="00EF2C88" w:rsidRPr="00DE12A3">
        <w:rPr>
          <w:sz w:val="24"/>
          <w:szCs w:val="24"/>
        </w:rPr>
        <w:t>burada: IMTc</w:t>
      </w:r>
      <w:r w:rsidR="00242DA0" w:rsidRPr="00DE12A3">
        <w:rPr>
          <w:sz w:val="24"/>
          <w:szCs w:val="24"/>
        </w:rPr>
        <w:t>, hesaplanan emme manifoldu sıcaklığı; K ve PIM, kPa cinsinden mutlak emme manifoldu basıncıdır</w:t>
      </w:r>
      <w:r w:rsidR="00804290" w:rsidRPr="00DE12A3">
        <w:rPr>
          <w:sz w:val="24"/>
          <w:szCs w:val="24"/>
        </w:rPr>
        <w:t>.</w:t>
      </w:r>
    </w:p>
    <w:p w14:paraId="1AF441AA" w14:textId="05C7DBC1" w:rsidR="002D7B36" w:rsidRPr="00DE12A3" w:rsidRDefault="001559CB" w:rsidP="001559CB">
      <w:pPr>
        <w:pStyle w:val="Gvdemetni250"/>
        <w:shd w:val="clear" w:color="auto" w:fill="auto"/>
        <w:spacing w:before="120" w:after="120" w:line="240" w:lineRule="auto"/>
        <w:ind w:firstLine="709"/>
        <w:rPr>
          <w:sz w:val="24"/>
          <w:szCs w:val="24"/>
        </w:rPr>
      </w:pPr>
      <w:r w:rsidRPr="00DE12A3">
        <w:rPr>
          <w:sz w:val="24"/>
          <w:szCs w:val="24"/>
        </w:rPr>
        <w:t xml:space="preserve">(b) </w:t>
      </w:r>
      <w:r w:rsidR="003A4B10" w:rsidRPr="00DE12A3">
        <w:rPr>
          <w:sz w:val="24"/>
          <w:szCs w:val="24"/>
        </w:rPr>
        <w:t>M</w:t>
      </w:r>
      <w:r w:rsidR="00242DA0" w:rsidRPr="00DE12A3">
        <w:rPr>
          <w:sz w:val="24"/>
          <w:szCs w:val="24"/>
        </w:rPr>
        <w:t>otor soğutma suyu sıcaklığı, aşağıdaki denklem ile tanımlanan sıcaklığa eşit veya daha düşük ise: ECTc = PIM/14,004 + 325,8; burada: ECTc, hesaplanan motor soğutma suyu sıcaklığı; K ve PIM, kPa cinsinden mutlak emme manifoldu basıncıdır.</w:t>
      </w:r>
    </w:p>
    <w:p w14:paraId="2787C511" w14:textId="24C34685" w:rsidR="002D7B36" w:rsidRPr="00DE12A3" w:rsidRDefault="001559CB" w:rsidP="001559CB">
      <w:pPr>
        <w:pStyle w:val="Gvdemetni250"/>
        <w:shd w:val="clear" w:color="auto" w:fill="auto"/>
        <w:spacing w:before="120" w:after="120" w:line="240" w:lineRule="auto"/>
        <w:ind w:firstLine="0"/>
        <w:rPr>
          <w:sz w:val="24"/>
          <w:szCs w:val="24"/>
        </w:rPr>
      </w:pPr>
      <w:r w:rsidRPr="00DE12A3">
        <w:rPr>
          <w:sz w:val="24"/>
          <w:szCs w:val="24"/>
        </w:rPr>
        <w:t xml:space="preserve">2.3.5. </w:t>
      </w:r>
      <w:r w:rsidR="00242DA0" w:rsidRPr="00DE12A3">
        <w:rPr>
          <w:sz w:val="24"/>
          <w:szCs w:val="24"/>
        </w:rPr>
        <w:t xml:space="preserve">2.3.2 bendi ile izin verilmediği sürece, bir yardımcı emisyon kontrol </w:t>
      </w:r>
      <w:r w:rsidR="00B66DE4" w:rsidRPr="00DE12A3">
        <w:rPr>
          <w:sz w:val="24"/>
          <w:szCs w:val="24"/>
        </w:rPr>
        <w:t>yönetimi</w:t>
      </w:r>
      <w:r w:rsidR="00242DA0" w:rsidRPr="00DE12A3">
        <w:rPr>
          <w:sz w:val="24"/>
          <w:szCs w:val="24"/>
        </w:rPr>
        <w:t xml:space="preserve"> sadece aşağıdaki amaçlarla etkinleştirilebilir:</w:t>
      </w:r>
    </w:p>
    <w:p w14:paraId="1E9FE5E5" w14:textId="5FCED127" w:rsidR="002D7B36" w:rsidRPr="00DE12A3" w:rsidRDefault="00160C9F" w:rsidP="00160C9F">
      <w:pPr>
        <w:pStyle w:val="Gvdemetni250"/>
        <w:shd w:val="clear" w:color="auto" w:fill="auto"/>
        <w:spacing w:before="120" w:after="120" w:line="240" w:lineRule="auto"/>
        <w:ind w:firstLine="709"/>
        <w:rPr>
          <w:sz w:val="24"/>
          <w:szCs w:val="24"/>
        </w:rPr>
      </w:pPr>
      <w:r w:rsidRPr="00DE12A3">
        <w:rPr>
          <w:sz w:val="24"/>
          <w:szCs w:val="24"/>
        </w:rPr>
        <w:t xml:space="preserve">(a) </w:t>
      </w:r>
      <w:r w:rsidR="003A4B10" w:rsidRPr="00DE12A3">
        <w:rPr>
          <w:sz w:val="24"/>
          <w:szCs w:val="24"/>
        </w:rPr>
        <w:t>D</w:t>
      </w:r>
      <w:r w:rsidR="00242DA0" w:rsidRPr="00DE12A3">
        <w:rPr>
          <w:sz w:val="24"/>
          <w:szCs w:val="24"/>
        </w:rPr>
        <w:t>ahili sinyaller ile, motoru (klima cihazının korunması da dahil olmak üzere) ve/veya motorun monte edildiği karayolu dışında kullanılan makinaları korumak için</w:t>
      </w:r>
      <w:r w:rsidR="00804290" w:rsidRPr="00DE12A3">
        <w:rPr>
          <w:sz w:val="24"/>
          <w:szCs w:val="24"/>
        </w:rPr>
        <w:t>.</w:t>
      </w:r>
    </w:p>
    <w:p w14:paraId="774353AC" w14:textId="1C3AA7B4" w:rsidR="002D7B36" w:rsidRPr="00DE12A3" w:rsidRDefault="00160C9F" w:rsidP="00160C9F">
      <w:pPr>
        <w:pStyle w:val="Gvdemetni250"/>
        <w:shd w:val="clear" w:color="auto" w:fill="auto"/>
        <w:spacing w:before="120" w:after="120" w:line="240" w:lineRule="auto"/>
        <w:ind w:firstLine="709"/>
        <w:rPr>
          <w:sz w:val="24"/>
          <w:szCs w:val="24"/>
        </w:rPr>
      </w:pPr>
      <w:r w:rsidRPr="00DE12A3">
        <w:rPr>
          <w:sz w:val="24"/>
          <w:szCs w:val="24"/>
        </w:rPr>
        <w:t xml:space="preserve">(b) </w:t>
      </w:r>
      <w:r w:rsidR="003A4B10" w:rsidRPr="00DE12A3">
        <w:rPr>
          <w:sz w:val="24"/>
          <w:szCs w:val="24"/>
        </w:rPr>
        <w:t>Ç</w:t>
      </w:r>
      <w:r w:rsidR="00242DA0" w:rsidRPr="00DE12A3">
        <w:rPr>
          <w:sz w:val="24"/>
          <w:szCs w:val="24"/>
        </w:rPr>
        <w:t>alışma güvenliği nedenleriyle</w:t>
      </w:r>
      <w:r w:rsidR="00804290" w:rsidRPr="00DE12A3">
        <w:rPr>
          <w:sz w:val="24"/>
          <w:szCs w:val="24"/>
        </w:rPr>
        <w:t>.</w:t>
      </w:r>
    </w:p>
    <w:p w14:paraId="6CEDEEFF" w14:textId="11405266" w:rsidR="002D7B36" w:rsidRPr="00DE12A3" w:rsidRDefault="00160C9F" w:rsidP="00160C9F">
      <w:pPr>
        <w:pStyle w:val="Gvdemetni250"/>
        <w:shd w:val="clear" w:color="auto" w:fill="auto"/>
        <w:spacing w:before="120" w:after="120" w:line="240" w:lineRule="auto"/>
        <w:ind w:firstLine="709"/>
        <w:rPr>
          <w:sz w:val="24"/>
          <w:szCs w:val="24"/>
        </w:rPr>
      </w:pPr>
      <w:r w:rsidRPr="00DE12A3">
        <w:rPr>
          <w:sz w:val="24"/>
          <w:szCs w:val="24"/>
        </w:rPr>
        <w:t xml:space="preserve">(c) </w:t>
      </w:r>
      <w:r w:rsidR="003A4B10" w:rsidRPr="00DE12A3">
        <w:rPr>
          <w:sz w:val="24"/>
          <w:szCs w:val="24"/>
        </w:rPr>
        <w:t>S</w:t>
      </w:r>
      <w:r w:rsidR="00242DA0" w:rsidRPr="00DE12A3">
        <w:rPr>
          <w:sz w:val="24"/>
          <w:szCs w:val="24"/>
        </w:rPr>
        <w:t>oğuk çalıştırma veya ısınma sırasında, kapanma sırasında, aşırı emisyonları önlemek için</w:t>
      </w:r>
      <w:r w:rsidR="00804290" w:rsidRPr="00DE12A3">
        <w:rPr>
          <w:sz w:val="24"/>
          <w:szCs w:val="24"/>
        </w:rPr>
        <w:t>.</w:t>
      </w:r>
    </w:p>
    <w:p w14:paraId="7EF69874" w14:textId="72656550" w:rsidR="002D7B36" w:rsidRPr="00DE12A3" w:rsidRDefault="00160C9F" w:rsidP="00160C9F">
      <w:pPr>
        <w:pStyle w:val="Gvdemetni250"/>
        <w:shd w:val="clear" w:color="auto" w:fill="auto"/>
        <w:spacing w:before="120" w:after="120" w:line="240" w:lineRule="auto"/>
        <w:ind w:firstLine="709"/>
        <w:rPr>
          <w:sz w:val="24"/>
          <w:szCs w:val="24"/>
        </w:rPr>
      </w:pPr>
      <w:r w:rsidRPr="00DE12A3">
        <w:rPr>
          <w:sz w:val="24"/>
          <w:szCs w:val="24"/>
        </w:rPr>
        <w:t xml:space="preserve">(d) </w:t>
      </w:r>
      <w:r w:rsidR="003A4B10" w:rsidRPr="00DE12A3">
        <w:rPr>
          <w:sz w:val="24"/>
          <w:szCs w:val="24"/>
        </w:rPr>
        <w:t>B</w:t>
      </w:r>
      <w:r w:rsidR="00242DA0" w:rsidRPr="00DE12A3">
        <w:rPr>
          <w:sz w:val="24"/>
          <w:szCs w:val="24"/>
        </w:rPr>
        <w:t>elirli ortam veya çalışma koşullarında bir düzenlenmiş kirleticinin kontrolünü dengelemek için kullanılırsa, diğer tüm düzenlenmiş kirleticilerin kontrolünü, ilgili motor için uygun olan emisyon sınır değerleri içerisinde tutmak için. Amaç, doğal olarak gerçekleşen olayları, tüm emisyon bileşenlerinin kabul edilebilir kontrolünü sağlayan bir şekilde telafi etmektir.</w:t>
      </w:r>
    </w:p>
    <w:p w14:paraId="5543A907" w14:textId="6BA5DAC2" w:rsidR="002D7B36" w:rsidRPr="00DE12A3" w:rsidRDefault="003D2710" w:rsidP="003D2710">
      <w:pPr>
        <w:pStyle w:val="Gvdemetni250"/>
        <w:shd w:val="clear" w:color="auto" w:fill="auto"/>
        <w:spacing w:before="120" w:after="120" w:line="240" w:lineRule="auto"/>
        <w:ind w:firstLine="0"/>
        <w:rPr>
          <w:sz w:val="24"/>
          <w:szCs w:val="24"/>
        </w:rPr>
      </w:pPr>
      <w:r w:rsidRPr="00DE12A3">
        <w:rPr>
          <w:sz w:val="24"/>
          <w:szCs w:val="24"/>
        </w:rPr>
        <w:t xml:space="preserve">2.3.6. </w:t>
      </w:r>
      <w:r w:rsidR="00242DA0" w:rsidRPr="00DE12A3">
        <w:rPr>
          <w:sz w:val="24"/>
          <w:szCs w:val="24"/>
        </w:rPr>
        <w:t xml:space="preserve">İmalatçı, AB tip onayı testi sırasında, herhangi bir yardımcı emisyon kontrol </w:t>
      </w:r>
      <w:r w:rsidR="00B66DE4" w:rsidRPr="00DE12A3">
        <w:rPr>
          <w:sz w:val="24"/>
          <w:szCs w:val="24"/>
        </w:rPr>
        <w:t>yönetimini</w:t>
      </w:r>
      <w:r w:rsidR="00242DA0" w:rsidRPr="00DE12A3">
        <w:rPr>
          <w:sz w:val="24"/>
          <w:szCs w:val="24"/>
        </w:rPr>
        <w:t xml:space="preserve">n uygulanmasının, bu </w:t>
      </w:r>
      <w:r w:rsidR="00804290" w:rsidRPr="00DE12A3">
        <w:rPr>
          <w:sz w:val="24"/>
          <w:szCs w:val="24"/>
        </w:rPr>
        <w:t>B</w:t>
      </w:r>
      <w:r w:rsidR="00242DA0" w:rsidRPr="00DE12A3">
        <w:rPr>
          <w:sz w:val="24"/>
          <w:szCs w:val="24"/>
        </w:rPr>
        <w:t>ölümün hükümlerine uygun olduğunu teknik servise kanıtlamalıdır. Bu kanıtlama, 2.6 bendinde belirtilen dokümantasyona yönelik bir değerlendirmeden ibarettir.</w:t>
      </w:r>
    </w:p>
    <w:p w14:paraId="1FB85A5F" w14:textId="7ADA8F31" w:rsidR="002D7B36" w:rsidRPr="00DE12A3" w:rsidRDefault="003D2710" w:rsidP="003D2710">
      <w:pPr>
        <w:pStyle w:val="Gvdemetni250"/>
        <w:shd w:val="clear" w:color="auto" w:fill="auto"/>
        <w:spacing w:before="120" w:after="120" w:line="240" w:lineRule="auto"/>
        <w:ind w:firstLine="0"/>
        <w:rPr>
          <w:sz w:val="24"/>
          <w:szCs w:val="24"/>
        </w:rPr>
      </w:pPr>
      <w:r w:rsidRPr="00DE12A3">
        <w:rPr>
          <w:sz w:val="24"/>
          <w:szCs w:val="24"/>
        </w:rPr>
        <w:t xml:space="preserve">2.3.7. </w:t>
      </w:r>
      <w:r w:rsidR="00242DA0" w:rsidRPr="00DE12A3">
        <w:rPr>
          <w:sz w:val="24"/>
          <w:szCs w:val="24"/>
        </w:rPr>
        <w:t xml:space="preserve">Yardımcı emisyon kontrol </w:t>
      </w:r>
      <w:r w:rsidR="00B66DE4" w:rsidRPr="00DE12A3">
        <w:rPr>
          <w:sz w:val="24"/>
          <w:szCs w:val="24"/>
        </w:rPr>
        <w:t>yönetimini</w:t>
      </w:r>
      <w:r w:rsidR="00242DA0" w:rsidRPr="00DE12A3">
        <w:rPr>
          <w:sz w:val="24"/>
          <w:szCs w:val="24"/>
        </w:rPr>
        <w:t>n 2.3.1 ila 2.3.5 bentleri ile uyumlu olmayan her kullanımı yasaktır.</w:t>
      </w:r>
    </w:p>
    <w:p w14:paraId="7E6FA668" w14:textId="4F5ACEA6" w:rsidR="002D7B36" w:rsidRPr="00DE12A3" w:rsidRDefault="003D2710" w:rsidP="003D2710">
      <w:pPr>
        <w:pStyle w:val="Gvdemetni250"/>
        <w:shd w:val="clear" w:color="auto" w:fill="auto"/>
        <w:spacing w:before="120" w:after="120" w:line="240" w:lineRule="auto"/>
        <w:ind w:firstLine="0"/>
        <w:rPr>
          <w:sz w:val="24"/>
          <w:szCs w:val="24"/>
        </w:rPr>
      </w:pPr>
      <w:r w:rsidRPr="00DE12A3">
        <w:rPr>
          <w:sz w:val="24"/>
          <w:szCs w:val="24"/>
        </w:rPr>
        <w:t xml:space="preserve">2.4. </w:t>
      </w:r>
      <w:r w:rsidR="00242DA0" w:rsidRPr="00DE12A3">
        <w:rPr>
          <w:sz w:val="24"/>
          <w:szCs w:val="24"/>
        </w:rPr>
        <w:t>Kontrol koşulları</w:t>
      </w:r>
    </w:p>
    <w:p w14:paraId="1C4FD0F4" w14:textId="63CDCC1C" w:rsidR="002D7B36" w:rsidRPr="00DE12A3" w:rsidRDefault="00242DA0" w:rsidP="003D2710">
      <w:pPr>
        <w:pStyle w:val="Gvdemetni250"/>
        <w:shd w:val="clear" w:color="auto" w:fill="auto"/>
        <w:spacing w:before="120" w:after="120" w:line="240" w:lineRule="auto"/>
        <w:ind w:firstLine="0"/>
        <w:rPr>
          <w:sz w:val="24"/>
          <w:szCs w:val="24"/>
        </w:rPr>
      </w:pPr>
      <w:r w:rsidRPr="00DE12A3">
        <w:rPr>
          <w:sz w:val="24"/>
          <w:szCs w:val="24"/>
        </w:rPr>
        <w:t>Kontrol koşulları, 2.3 bendi uyarınca yardımcı emisyon kontrol stratejilerinin genel olarak mı yoksa sadece istisnai olarak etkinleştirilebileceğini belirleyen bir rakım, ortam sıcaklığı ve motor soğutma suyu aralığı belirtir.</w:t>
      </w:r>
    </w:p>
    <w:p w14:paraId="3D0FED25" w14:textId="446C2CDA" w:rsidR="002D7B36" w:rsidRPr="00DE12A3" w:rsidRDefault="00242DA0" w:rsidP="003D2710">
      <w:pPr>
        <w:pStyle w:val="Gvdemetni250"/>
        <w:shd w:val="clear" w:color="auto" w:fill="auto"/>
        <w:spacing w:before="120" w:after="120" w:line="240" w:lineRule="auto"/>
        <w:ind w:firstLine="0"/>
        <w:rPr>
          <w:sz w:val="24"/>
          <w:szCs w:val="24"/>
        </w:rPr>
      </w:pPr>
      <w:r w:rsidRPr="00DE12A3">
        <w:rPr>
          <w:sz w:val="24"/>
          <w:szCs w:val="24"/>
        </w:rPr>
        <w:t>Kontrol koşulları, mutlak atmosferik statik basınç (ıslak veya kuru) olarak ölçülen bir atmosferik basınç ("Atmosferik basınç") belirtir.</w:t>
      </w:r>
    </w:p>
    <w:p w14:paraId="27096961" w14:textId="3BB45488" w:rsidR="002D7B36" w:rsidRPr="00DE12A3" w:rsidRDefault="003D2710" w:rsidP="003D2710">
      <w:pPr>
        <w:pStyle w:val="Gvdemetni250"/>
        <w:shd w:val="clear" w:color="auto" w:fill="auto"/>
        <w:spacing w:before="120" w:after="120" w:line="240" w:lineRule="auto"/>
        <w:ind w:firstLine="0"/>
        <w:rPr>
          <w:sz w:val="24"/>
          <w:szCs w:val="24"/>
        </w:rPr>
      </w:pPr>
      <w:r w:rsidRPr="00DE12A3">
        <w:rPr>
          <w:sz w:val="24"/>
          <w:szCs w:val="24"/>
        </w:rPr>
        <w:t xml:space="preserve">2.4.1. </w:t>
      </w:r>
      <w:r w:rsidR="00242DA0" w:rsidRPr="00DE12A3">
        <w:rPr>
          <w:sz w:val="24"/>
          <w:szCs w:val="24"/>
        </w:rPr>
        <w:t>IWP ve IWA kategorilerindeki motorlar için kontrol koşulları:</w:t>
      </w:r>
    </w:p>
    <w:p w14:paraId="2F1C65E9" w14:textId="54C63E29" w:rsidR="002D7B36" w:rsidRPr="00DE12A3" w:rsidRDefault="003D2710" w:rsidP="003D2710">
      <w:pPr>
        <w:pStyle w:val="Gvdemetni250"/>
        <w:shd w:val="clear" w:color="auto" w:fill="auto"/>
        <w:spacing w:before="120" w:after="120" w:line="240" w:lineRule="auto"/>
        <w:ind w:firstLine="709"/>
        <w:rPr>
          <w:sz w:val="24"/>
          <w:szCs w:val="24"/>
        </w:rPr>
      </w:pPr>
      <w:r w:rsidRPr="00DE12A3">
        <w:rPr>
          <w:sz w:val="24"/>
          <w:szCs w:val="24"/>
        </w:rPr>
        <w:t xml:space="preserve">(a) </w:t>
      </w:r>
      <w:r w:rsidR="00242DA0" w:rsidRPr="00DE12A3">
        <w:rPr>
          <w:sz w:val="24"/>
          <w:szCs w:val="24"/>
        </w:rPr>
        <w:t>500 metreyi geçmeyen bir rakım (veya 95,5 kPa eşdeğer atmosferik basınç)</w:t>
      </w:r>
      <w:r w:rsidR="00804290" w:rsidRPr="00DE12A3">
        <w:rPr>
          <w:sz w:val="24"/>
          <w:szCs w:val="24"/>
        </w:rPr>
        <w:t>.</w:t>
      </w:r>
    </w:p>
    <w:p w14:paraId="6F7E73E8" w14:textId="544B8422" w:rsidR="002D7B36" w:rsidRPr="00DE12A3" w:rsidRDefault="003D2710" w:rsidP="003D2710">
      <w:pPr>
        <w:pStyle w:val="Gvdemetni250"/>
        <w:shd w:val="clear" w:color="auto" w:fill="auto"/>
        <w:spacing w:before="120" w:after="120" w:line="240" w:lineRule="auto"/>
        <w:ind w:firstLine="709"/>
        <w:rPr>
          <w:sz w:val="24"/>
          <w:szCs w:val="24"/>
        </w:rPr>
      </w:pPr>
      <w:r w:rsidRPr="00DE12A3">
        <w:rPr>
          <w:sz w:val="24"/>
          <w:szCs w:val="24"/>
        </w:rPr>
        <w:lastRenderedPageBreak/>
        <w:t xml:space="preserve">(b) </w:t>
      </w:r>
      <w:r w:rsidR="00242DA0" w:rsidRPr="00DE12A3">
        <w:rPr>
          <w:sz w:val="24"/>
          <w:szCs w:val="24"/>
        </w:rPr>
        <w:t>275 K ila 303 K (2°C ila 30°C) aralığında bir ortam sıcaklığı</w:t>
      </w:r>
      <w:r w:rsidR="00804290" w:rsidRPr="00DE12A3">
        <w:rPr>
          <w:sz w:val="24"/>
          <w:szCs w:val="24"/>
        </w:rPr>
        <w:t>.</w:t>
      </w:r>
    </w:p>
    <w:p w14:paraId="61318A6F" w14:textId="04EE2684" w:rsidR="002D7B36" w:rsidRPr="00DE12A3" w:rsidRDefault="003D2710" w:rsidP="003D2710">
      <w:pPr>
        <w:pStyle w:val="Gvdemetni250"/>
        <w:shd w:val="clear" w:color="auto" w:fill="auto"/>
        <w:spacing w:before="120" w:after="120" w:line="240" w:lineRule="auto"/>
        <w:ind w:firstLine="709"/>
        <w:rPr>
          <w:sz w:val="24"/>
          <w:szCs w:val="24"/>
        </w:rPr>
      </w:pPr>
      <w:r w:rsidRPr="00DE12A3">
        <w:rPr>
          <w:sz w:val="24"/>
          <w:szCs w:val="24"/>
        </w:rPr>
        <w:t>(c)</w:t>
      </w:r>
      <w:r w:rsidR="000E42E8" w:rsidRPr="00DE12A3">
        <w:rPr>
          <w:sz w:val="24"/>
          <w:szCs w:val="24"/>
        </w:rPr>
        <w:t xml:space="preserve"> </w:t>
      </w:r>
      <w:r w:rsidR="00242DA0" w:rsidRPr="00DE12A3">
        <w:rPr>
          <w:sz w:val="24"/>
          <w:szCs w:val="24"/>
        </w:rPr>
        <w:t>343 K (70°C) üzerinde motor soğutma suyu sıcaklığı.</w:t>
      </w:r>
    </w:p>
    <w:p w14:paraId="4498A79B" w14:textId="59DEC74C" w:rsidR="002D7B36" w:rsidRPr="00DE12A3" w:rsidRDefault="003D2710" w:rsidP="003D2710">
      <w:pPr>
        <w:pStyle w:val="Gvdemetni250"/>
        <w:shd w:val="clear" w:color="auto" w:fill="auto"/>
        <w:spacing w:before="120" w:after="120" w:line="240" w:lineRule="auto"/>
        <w:ind w:firstLine="0"/>
        <w:rPr>
          <w:sz w:val="24"/>
          <w:szCs w:val="24"/>
        </w:rPr>
      </w:pPr>
      <w:r w:rsidRPr="00DE12A3">
        <w:rPr>
          <w:sz w:val="24"/>
          <w:szCs w:val="24"/>
        </w:rPr>
        <w:t xml:space="preserve">2.4.2. </w:t>
      </w:r>
      <w:r w:rsidR="00242DA0" w:rsidRPr="00DE12A3">
        <w:rPr>
          <w:sz w:val="24"/>
          <w:szCs w:val="24"/>
        </w:rPr>
        <w:t>RLL kategorisindeki motorlar için kontrol koşulları:</w:t>
      </w:r>
    </w:p>
    <w:p w14:paraId="2F62B2A3" w14:textId="7018F300" w:rsidR="002D7B36" w:rsidRPr="00DE12A3" w:rsidRDefault="003D2710" w:rsidP="003D2710">
      <w:pPr>
        <w:pStyle w:val="Gvdemetni250"/>
        <w:shd w:val="clear" w:color="auto" w:fill="auto"/>
        <w:spacing w:before="120" w:after="120" w:line="240" w:lineRule="auto"/>
        <w:ind w:firstLine="709"/>
        <w:rPr>
          <w:sz w:val="24"/>
          <w:szCs w:val="24"/>
        </w:rPr>
      </w:pPr>
      <w:r w:rsidRPr="00DE12A3">
        <w:rPr>
          <w:sz w:val="24"/>
          <w:szCs w:val="24"/>
        </w:rPr>
        <w:t xml:space="preserve">(a) </w:t>
      </w:r>
      <w:r w:rsidR="00242DA0" w:rsidRPr="00DE12A3">
        <w:rPr>
          <w:sz w:val="24"/>
          <w:szCs w:val="24"/>
        </w:rPr>
        <w:t>1000 metreyi geçmeyen bir rakım (veya 90 kPa eşdeğer atmosferik basınç)</w:t>
      </w:r>
      <w:r w:rsidR="00804290" w:rsidRPr="00DE12A3">
        <w:rPr>
          <w:sz w:val="24"/>
          <w:szCs w:val="24"/>
        </w:rPr>
        <w:t>.</w:t>
      </w:r>
    </w:p>
    <w:p w14:paraId="786BDC12" w14:textId="2797173E" w:rsidR="002D7B36" w:rsidRPr="00DE12A3" w:rsidRDefault="003D2710" w:rsidP="003D2710">
      <w:pPr>
        <w:pStyle w:val="Gvdemetni250"/>
        <w:shd w:val="clear" w:color="auto" w:fill="auto"/>
        <w:spacing w:before="120" w:after="120" w:line="240" w:lineRule="auto"/>
        <w:ind w:firstLine="709"/>
        <w:rPr>
          <w:sz w:val="24"/>
          <w:szCs w:val="24"/>
        </w:rPr>
      </w:pPr>
      <w:r w:rsidRPr="00DE12A3">
        <w:rPr>
          <w:sz w:val="24"/>
          <w:szCs w:val="24"/>
        </w:rPr>
        <w:t xml:space="preserve">(b) </w:t>
      </w:r>
      <w:r w:rsidR="00242DA0" w:rsidRPr="00DE12A3">
        <w:rPr>
          <w:sz w:val="24"/>
          <w:szCs w:val="24"/>
        </w:rPr>
        <w:t>275 K ila 303 K (2°C ila 30°C) aralığında bir ortam sıcaklığı;</w:t>
      </w:r>
    </w:p>
    <w:p w14:paraId="5CE69BF8" w14:textId="009128FD" w:rsidR="002D7B36" w:rsidRPr="00DE12A3" w:rsidRDefault="003D2710" w:rsidP="003D2710">
      <w:pPr>
        <w:pStyle w:val="Gvdemetni250"/>
        <w:shd w:val="clear" w:color="auto" w:fill="auto"/>
        <w:spacing w:before="120" w:after="120" w:line="240" w:lineRule="auto"/>
        <w:ind w:firstLine="709"/>
        <w:rPr>
          <w:sz w:val="24"/>
          <w:szCs w:val="24"/>
        </w:rPr>
      </w:pPr>
      <w:r w:rsidRPr="00DE12A3">
        <w:rPr>
          <w:sz w:val="24"/>
          <w:szCs w:val="24"/>
        </w:rPr>
        <w:t xml:space="preserve">(c) </w:t>
      </w:r>
      <w:r w:rsidR="00242DA0" w:rsidRPr="00DE12A3">
        <w:rPr>
          <w:sz w:val="24"/>
          <w:szCs w:val="24"/>
        </w:rPr>
        <w:t>343 K (70°C) üzerinde motor soğutma suyu sıcaklığı.</w:t>
      </w:r>
    </w:p>
    <w:p w14:paraId="15FA55A2" w14:textId="0D7B036C" w:rsidR="002D7B36" w:rsidRPr="00DE12A3" w:rsidRDefault="003D2710" w:rsidP="003D2710">
      <w:pPr>
        <w:pStyle w:val="Gvdemetni250"/>
        <w:shd w:val="clear" w:color="auto" w:fill="auto"/>
        <w:spacing w:before="120" w:after="120" w:line="240" w:lineRule="auto"/>
        <w:ind w:firstLine="0"/>
        <w:rPr>
          <w:sz w:val="24"/>
          <w:szCs w:val="24"/>
        </w:rPr>
      </w:pPr>
      <w:r w:rsidRPr="00DE12A3">
        <w:rPr>
          <w:sz w:val="24"/>
          <w:szCs w:val="24"/>
        </w:rPr>
        <w:t xml:space="preserve">2.4.3. </w:t>
      </w:r>
      <w:r w:rsidR="00242DA0" w:rsidRPr="00DE12A3">
        <w:rPr>
          <w:sz w:val="24"/>
          <w:szCs w:val="24"/>
        </w:rPr>
        <w:t>NRE, NRG ve RLR kategorilerindeki motorlar için kontrol koşulları:</w:t>
      </w:r>
    </w:p>
    <w:p w14:paraId="3FB3E7D7" w14:textId="082F415D" w:rsidR="002D7B36" w:rsidRPr="00DE12A3" w:rsidRDefault="00767EC3" w:rsidP="00767EC3">
      <w:pPr>
        <w:pStyle w:val="Gvdemetni250"/>
        <w:shd w:val="clear" w:color="auto" w:fill="auto"/>
        <w:spacing w:before="120" w:after="120" w:line="240" w:lineRule="auto"/>
        <w:ind w:firstLine="709"/>
        <w:rPr>
          <w:sz w:val="24"/>
          <w:szCs w:val="24"/>
        </w:rPr>
      </w:pPr>
      <w:r w:rsidRPr="00DE12A3">
        <w:rPr>
          <w:sz w:val="24"/>
          <w:szCs w:val="24"/>
        </w:rPr>
        <w:t xml:space="preserve">(a) </w:t>
      </w:r>
      <w:r w:rsidR="00242DA0" w:rsidRPr="00DE12A3">
        <w:rPr>
          <w:sz w:val="24"/>
          <w:szCs w:val="24"/>
        </w:rPr>
        <w:t>82,5 kPa veya daha büyük atmosferik basınç</w:t>
      </w:r>
      <w:r w:rsidR="00804290" w:rsidRPr="00DE12A3">
        <w:rPr>
          <w:sz w:val="24"/>
          <w:szCs w:val="24"/>
        </w:rPr>
        <w:t>.</w:t>
      </w:r>
    </w:p>
    <w:p w14:paraId="73D20196" w14:textId="17EB31BA" w:rsidR="002D7B36" w:rsidRPr="00DE12A3" w:rsidRDefault="00767EC3" w:rsidP="00767EC3">
      <w:pPr>
        <w:pStyle w:val="Gvdemetni250"/>
        <w:shd w:val="clear" w:color="auto" w:fill="auto"/>
        <w:spacing w:before="120" w:after="120" w:line="240" w:lineRule="auto"/>
        <w:ind w:firstLine="709"/>
        <w:rPr>
          <w:sz w:val="24"/>
          <w:szCs w:val="24"/>
        </w:rPr>
      </w:pPr>
      <w:r w:rsidRPr="00DE12A3">
        <w:rPr>
          <w:sz w:val="24"/>
          <w:szCs w:val="24"/>
        </w:rPr>
        <w:t xml:space="preserve">(b) </w:t>
      </w:r>
      <w:r w:rsidR="003A4B10" w:rsidRPr="00DE12A3">
        <w:rPr>
          <w:sz w:val="24"/>
          <w:szCs w:val="24"/>
        </w:rPr>
        <w:t>A</w:t>
      </w:r>
      <w:r w:rsidR="00242DA0" w:rsidRPr="00DE12A3">
        <w:rPr>
          <w:sz w:val="24"/>
          <w:szCs w:val="24"/>
        </w:rPr>
        <w:t>şağıdaki aralık dahilinde ortam sıcaklığı</w:t>
      </w:r>
      <w:r w:rsidR="00804290" w:rsidRPr="00DE12A3">
        <w:rPr>
          <w:sz w:val="24"/>
          <w:szCs w:val="24"/>
        </w:rPr>
        <w:t>;</w:t>
      </w:r>
    </w:p>
    <w:p w14:paraId="5A93D991" w14:textId="4F1028D4" w:rsidR="002D7B36" w:rsidRPr="00DE12A3" w:rsidRDefault="00767EC3" w:rsidP="00767EC3">
      <w:pPr>
        <w:pStyle w:val="Gvdemetni250"/>
        <w:shd w:val="clear" w:color="auto" w:fill="auto"/>
        <w:spacing w:before="120" w:after="120" w:line="240" w:lineRule="auto"/>
        <w:ind w:firstLine="709"/>
        <w:rPr>
          <w:sz w:val="24"/>
          <w:szCs w:val="24"/>
        </w:rPr>
      </w:pPr>
      <w:r w:rsidRPr="00DE12A3">
        <w:rPr>
          <w:sz w:val="24"/>
          <w:szCs w:val="24"/>
        </w:rPr>
        <w:t xml:space="preserve">- </w:t>
      </w:r>
      <w:r w:rsidR="00242DA0" w:rsidRPr="00DE12A3">
        <w:rPr>
          <w:sz w:val="24"/>
          <w:szCs w:val="24"/>
        </w:rPr>
        <w:t>266 K (-7°C) veya daha yüksek,</w:t>
      </w:r>
    </w:p>
    <w:p w14:paraId="750E761A" w14:textId="34DF751A" w:rsidR="002D7B36" w:rsidRPr="00DE12A3" w:rsidRDefault="00767EC3" w:rsidP="00767EC3">
      <w:pPr>
        <w:pStyle w:val="Gvdemetni250"/>
        <w:shd w:val="clear" w:color="auto" w:fill="auto"/>
        <w:spacing w:before="120" w:after="120" w:line="240" w:lineRule="auto"/>
        <w:ind w:left="709" w:firstLine="0"/>
        <w:rPr>
          <w:sz w:val="24"/>
          <w:szCs w:val="24"/>
        </w:rPr>
      </w:pPr>
      <w:r w:rsidRPr="00DE12A3">
        <w:rPr>
          <w:sz w:val="24"/>
          <w:szCs w:val="24"/>
        </w:rPr>
        <w:t xml:space="preserve">- </w:t>
      </w:r>
      <w:r w:rsidR="003A4B10" w:rsidRPr="00DE12A3">
        <w:rPr>
          <w:sz w:val="24"/>
          <w:szCs w:val="24"/>
        </w:rPr>
        <w:t>B</w:t>
      </w:r>
      <w:r w:rsidR="00242DA0" w:rsidRPr="00DE12A3">
        <w:rPr>
          <w:sz w:val="24"/>
          <w:szCs w:val="24"/>
        </w:rPr>
        <w:t>elirtilen atmosferik basınçta, aşağıdaki denklemle belirlenen sıcaklığa eşit veya daha az: Tc = - 0,4514 x (101,3 - Pb) + 311, burada: Tc, hesaplanan ortam sıcaklığı; K ve Pb, kPa cinsinden atmosferik basınçtır</w:t>
      </w:r>
      <w:r w:rsidR="00804290" w:rsidRPr="00DE12A3">
        <w:rPr>
          <w:sz w:val="24"/>
          <w:szCs w:val="24"/>
        </w:rPr>
        <w:t>.</w:t>
      </w:r>
    </w:p>
    <w:p w14:paraId="46D5A8E6" w14:textId="65942BC9" w:rsidR="002D7B36" w:rsidRPr="00DE12A3" w:rsidRDefault="00767EC3" w:rsidP="00767EC3">
      <w:pPr>
        <w:pStyle w:val="Gvdemetni250"/>
        <w:shd w:val="clear" w:color="auto" w:fill="auto"/>
        <w:spacing w:before="120" w:after="120" w:line="240" w:lineRule="auto"/>
        <w:ind w:firstLine="709"/>
        <w:rPr>
          <w:sz w:val="24"/>
          <w:szCs w:val="24"/>
        </w:rPr>
      </w:pPr>
      <w:r w:rsidRPr="00DE12A3">
        <w:rPr>
          <w:sz w:val="24"/>
          <w:szCs w:val="24"/>
        </w:rPr>
        <w:t xml:space="preserve">(c) </w:t>
      </w:r>
      <w:r w:rsidR="00242DA0" w:rsidRPr="00DE12A3">
        <w:rPr>
          <w:sz w:val="24"/>
          <w:szCs w:val="24"/>
        </w:rPr>
        <w:t>343 K (70°C) üzerinde motor soğutma suyu sıcaklığı.</w:t>
      </w:r>
    </w:p>
    <w:p w14:paraId="0DBD574D" w14:textId="7B9C39B0" w:rsidR="002D7B36" w:rsidRPr="00DE12A3" w:rsidRDefault="00767EC3" w:rsidP="00767EC3">
      <w:pPr>
        <w:pStyle w:val="Gvdemetni250"/>
        <w:shd w:val="clear" w:color="auto" w:fill="auto"/>
        <w:spacing w:before="120" w:after="120" w:line="240" w:lineRule="auto"/>
        <w:ind w:firstLine="0"/>
        <w:rPr>
          <w:sz w:val="24"/>
          <w:szCs w:val="24"/>
        </w:rPr>
      </w:pPr>
      <w:r w:rsidRPr="00DE12A3">
        <w:rPr>
          <w:sz w:val="24"/>
          <w:szCs w:val="24"/>
        </w:rPr>
        <w:t xml:space="preserve">2.5. </w:t>
      </w:r>
      <w:r w:rsidR="00242DA0" w:rsidRPr="00DE12A3">
        <w:rPr>
          <w:sz w:val="24"/>
          <w:szCs w:val="24"/>
        </w:rPr>
        <w:t>Ortam hava sıcaklığını tahmin etmek için motor giriş havası sıcaklık sensörünün kullanıldığı durumlarda, bir motor tipi veya motor ailesi için, iki ölçüm noktası arasındaki nominal fark değerlendirilmelidir. Kullanıldığı durumlarda ölçülen emme havası sıcaklığı, belirtilen motor tipinin veya motor ailesinin kullanıldığı bir montaj için ortam sıcaklığını tahmin etmek için nominal farka eşit bir miktarda ayarlanmalıdır.</w:t>
      </w:r>
    </w:p>
    <w:p w14:paraId="33CACCFC" w14:textId="3A3B84F6" w:rsidR="002D7B36" w:rsidRPr="00DE12A3" w:rsidRDefault="00242DA0" w:rsidP="00767EC3">
      <w:pPr>
        <w:pStyle w:val="Gvdemetni250"/>
        <w:shd w:val="clear" w:color="auto" w:fill="auto"/>
        <w:spacing w:before="120" w:after="120" w:line="240" w:lineRule="auto"/>
        <w:ind w:firstLine="0"/>
        <w:rPr>
          <w:sz w:val="24"/>
          <w:szCs w:val="24"/>
        </w:rPr>
      </w:pPr>
      <w:r w:rsidRPr="00DE12A3">
        <w:rPr>
          <w:sz w:val="24"/>
          <w:szCs w:val="24"/>
        </w:rPr>
        <w:t>Bu farka ilişkin değerlendirme, aşağıdakileri içeren teknik unsurlara (hesaplamalar, simülasyonlar, deneysel sonuçlar, veriler v</w:t>
      </w:r>
      <w:r w:rsidR="005C6D9F" w:rsidRPr="00DE12A3">
        <w:rPr>
          <w:sz w:val="24"/>
          <w:szCs w:val="24"/>
        </w:rPr>
        <w:t>e benzeri</w:t>
      </w:r>
      <w:r w:rsidRPr="00DE12A3">
        <w:rPr>
          <w:sz w:val="24"/>
          <w:szCs w:val="24"/>
        </w:rPr>
        <w:t>) dayalı iyi mühendislik kararı kullanılarak yapılır</w:t>
      </w:r>
      <w:r w:rsidR="00804290" w:rsidRPr="00DE12A3">
        <w:rPr>
          <w:sz w:val="24"/>
          <w:szCs w:val="24"/>
        </w:rPr>
        <w:t>;</w:t>
      </w:r>
    </w:p>
    <w:p w14:paraId="0626B93D" w14:textId="531B2F97" w:rsidR="002D7B36" w:rsidRPr="00DE12A3" w:rsidRDefault="00767EC3" w:rsidP="00767EC3">
      <w:pPr>
        <w:pStyle w:val="Gvdemetni250"/>
        <w:shd w:val="clear" w:color="auto" w:fill="auto"/>
        <w:spacing w:before="120" w:after="120" w:line="240" w:lineRule="auto"/>
        <w:ind w:firstLine="709"/>
        <w:rPr>
          <w:sz w:val="24"/>
          <w:szCs w:val="24"/>
        </w:rPr>
      </w:pPr>
      <w:r w:rsidRPr="00DE12A3">
        <w:rPr>
          <w:sz w:val="24"/>
          <w:szCs w:val="24"/>
        </w:rPr>
        <w:t xml:space="preserve">(a) </w:t>
      </w:r>
      <w:r w:rsidR="003A4B10" w:rsidRPr="00DE12A3">
        <w:rPr>
          <w:sz w:val="24"/>
          <w:szCs w:val="24"/>
        </w:rPr>
        <w:t>M</w:t>
      </w:r>
      <w:r w:rsidR="00242DA0" w:rsidRPr="00DE12A3">
        <w:rPr>
          <w:sz w:val="24"/>
          <w:szCs w:val="24"/>
        </w:rPr>
        <w:t>otor tipinin veya motor ailesinin monte edileceği, karayolu dışında kullanılan makinalara ait tipik kategoriler ve</w:t>
      </w:r>
    </w:p>
    <w:p w14:paraId="169D1CE6" w14:textId="4CFC9E09" w:rsidR="002D7B36" w:rsidRPr="00DE12A3" w:rsidRDefault="00767EC3" w:rsidP="00767EC3">
      <w:pPr>
        <w:pStyle w:val="Gvdemetni250"/>
        <w:shd w:val="clear" w:color="auto" w:fill="auto"/>
        <w:spacing w:before="120" w:after="120" w:line="240" w:lineRule="auto"/>
        <w:ind w:firstLine="709"/>
        <w:rPr>
          <w:sz w:val="24"/>
          <w:szCs w:val="24"/>
        </w:rPr>
      </w:pPr>
      <w:r w:rsidRPr="00DE12A3">
        <w:rPr>
          <w:sz w:val="24"/>
          <w:szCs w:val="24"/>
        </w:rPr>
        <w:t xml:space="preserve">(b) </w:t>
      </w:r>
      <w:r w:rsidR="003A4B10" w:rsidRPr="00DE12A3">
        <w:rPr>
          <w:sz w:val="24"/>
          <w:szCs w:val="24"/>
        </w:rPr>
        <w:t>İ</w:t>
      </w:r>
      <w:r w:rsidR="00242DA0" w:rsidRPr="00DE12A3">
        <w:rPr>
          <w:sz w:val="24"/>
          <w:szCs w:val="24"/>
        </w:rPr>
        <w:t>malatçı tarafından OEM'e verilen kurulum talimatları</w:t>
      </w:r>
      <w:r w:rsidR="00242DA0" w:rsidRPr="00DE12A3">
        <w:rPr>
          <w:rStyle w:val="Gvdemetni250ptbolukbraklyor"/>
          <w:color w:val="auto"/>
          <w:sz w:val="24"/>
          <w:szCs w:val="24"/>
        </w:rPr>
        <w:t>.</w:t>
      </w:r>
    </w:p>
    <w:p w14:paraId="246A5ED3" w14:textId="77777777" w:rsidR="002D7B36" w:rsidRPr="00DE12A3" w:rsidRDefault="00242DA0" w:rsidP="00767EC3">
      <w:pPr>
        <w:pStyle w:val="Gvdemetni250"/>
        <w:shd w:val="clear" w:color="auto" w:fill="auto"/>
        <w:spacing w:before="120" w:after="120" w:line="240" w:lineRule="auto"/>
        <w:ind w:firstLine="709"/>
        <w:rPr>
          <w:sz w:val="24"/>
          <w:szCs w:val="24"/>
        </w:rPr>
      </w:pPr>
      <w:r w:rsidRPr="00DE12A3">
        <w:rPr>
          <w:sz w:val="24"/>
          <w:szCs w:val="24"/>
        </w:rPr>
        <w:t xml:space="preserve">Değerlendirmenin bir kopyası talep üzerine </w:t>
      </w:r>
      <w:r w:rsidR="007E2039" w:rsidRPr="00DE12A3">
        <w:rPr>
          <w:sz w:val="24"/>
          <w:szCs w:val="24"/>
        </w:rPr>
        <w:t xml:space="preserve">onay </w:t>
      </w:r>
      <w:r w:rsidR="00EF2C88" w:rsidRPr="00DE12A3">
        <w:rPr>
          <w:sz w:val="24"/>
          <w:szCs w:val="24"/>
        </w:rPr>
        <w:t>kuruluşuna verilmelidir</w:t>
      </w:r>
      <w:r w:rsidRPr="00DE12A3">
        <w:rPr>
          <w:sz w:val="24"/>
          <w:szCs w:val="24"/>
        </w:rPr>
        <w:t>.</w:t>
      </w:r>
    </w:p>
    <w:p w14:paraId="1FC49221" w14:textId="1FE16B6F" w:rsidR="002D7B36" w:rsidRPr="00DE12A3" w:rsidRDefault="00242DA0" w:rsidP="004F7D49">
      <w:pPr>
        <w:pStyle w:val="Gvdemetni250"/>
        <w:shd w:val="clear" w:color="auto" w:fill="auto"/>
        <w:spacing w:before="120" w:after="120" w:line="240" w:lineRule="auto"/>
        <w:ind w:left="1134" w:hanging="1134"/>
        <w:rPr>
          <w:sz w:val="24"/>
          <w:szCs w:val="24"/>
        </w:rPr>
      </w:pPr>
      <w:r w:rsidRPr="00DE12A3">
        <w:rPr>
          <w:rStyle w:val="Gvdemetni250ptbolukbraklyor"/>
          <w:color w:val="auto"/>
          <w:sz w:val="24"/>
          <w:szCs w:val="24"/>
        </w:rPr>
        <w:t>2.6.</w:t>
      </w:r>
      <w:r w:rsidR="00412898" w:rsidRPr="00DE12A3">
        <w:rPr>
          <w:rStyle w:val="Gvdemetni250ptbolukbraklyor"/>
          <w:color w:val="auto"/>
          <w:sz w:val="24"/>
          <w:szCs w:val="24"/>
        </w:rPr>
        <w:t xml:space="preserve"> </w:t>
      </w:r>
      <w:r w:rsidRPr="00DE12A3">
        <w:rPr>
          <w:sz w:val="24"/>
          <w:szCs w:val="24"/>
        </w:rPr>
        <w:t xml:space="preserve">Dokümantasyon </w:t>
      </w:r>
      <w:r w:rsidR="0053289F" w:rsidRPr="00DE12A3">
        <w:rPr>
          <w:sz w:val="24"/>
          <w:szCs w:val="24"/>
        </w:rPr>
        <w:t>gereklilikleri</w:t>
      </w:r>
    </w:p>
    <w:p w14:paraId="5326CEC8" w14:textId="6A48B539" w:rsidR="002D7B36" w:rsidRPr="00DE12A3" w:rsidRDefault="00412898" w:rsidP="00412898">
      <w:pPr>
        <w:pStyle w:val="Gvdemetni250"/>
        <w:shd w:val="clear" w:color="auto" w:fill="auto"/>
        <w:spacing w:before="120" w:after="120" w:line="240" w:lineRule="auto"/>
        <w:ind w:firstLine="0"/>
        <w:rPr>
          <w:sz w:val="24"/>
          <w:szCs w:val="24"/>
        </w:rPr>
      </w:pPr>
      <w:r w:rsidRPr="00DE12A3">
        <w:rPr>
          <w:sz w:val="24"/>
          <w:szCs w:val="24"/>
        </w:rPr>
        <w:t xml:space="preserve">2.6.1. </w:t>
      </w:r>
      <w:r w:rsidR="00242DA0" w:rsidRPr="00DE12A3">
        <w:rPr>
          <w:sz w:val="24"/>
          <w:szCs w:val="24"/>
        </w:rPr>
        <w:t xml:space="preserve">İmalatçı, </w:t>
      </w:r>
      <w:r w:rsidR="00EE5D5E" w:rsidRPr="00DE12A3">
        <w:rPr>
          <w:sz w:val="24"/>
          <w:szCs w:val="24"/>
        </w:rPr>
        <w:t xml:space="preserve">2017/656/AB Tebliğinin I’inci </w:t>
      </w:r>
      <w:r w:rsidR="00EC3EF0" w:rsidRPr="00DE12A3">
        <w:rPr>
          <w:sz w:val="24"/>
          <w:szCs w:val="24"/>
        </w:rPr>
        <w:t>Ekinin</w:t>
      </w:r>
      <w:r w:rsidR="00242DA0" w:rsidRPr="00DE12A3">
        <w:rPr>
          <w:sz w:val="24"/>
          <w:szCs w:val="24"/>
        </w:rPr>
        <w:t xml:space="preserve"> A Bölümünün 1.4 bendinde ve söz konusu </w:t>
      </w:r>
      <w:r w:rsidR="00804290" w:rsidRPr="00DE12A3">
        <w:rPr>
          <w:sz w:val="24"/>
          <w:szCs w:val="24"/>
        </w:rPr>
        <w:t>ekin</w:t>
      </w:r>
      <w:r w:rsidR="00242DA0" w:rsidRPr="00DE12A3">
        <w:rPr>
          <w:sz w:val="24"/>
          <w:szCs w:val="24"/>
        </w:rPr>
        <w:t xml:space="preserve"> 2. Açıklayıcı Ekinde belirtilen dokümantasyon </w:t>
      </w:r>
      <w:r w:rsidR="0053289F" w:rsidRPr="00DE12A3">
        <w:rPr>
          <w:sz w:val="24"/>
          <w:szCs w:val="24"/>
        </w:rPr>
        <w:t>gerekliliklerine</w:t>
      </w:r>
      <w:r w:rsidR="00242DA0" w:rsidRPr="00DE12A3">
        <w:rPr>
          <w:sz w:val="24"/>
          <w:szCs w:val="24"/>
        </w:rPr>
        <w:t xml:space="preserve"> uymalıdır.</w:t>
      </w:r>
    </w:p>
    <w:p w14:paraId="12D7C3D9" w14:textId="4754F000" w:rsidR="002D7B36" w:rsidRPr="00DE12A3" w:rsidRDefault="00412898" w:rsidP="00412898">
      <w:pPr>
        <w:pStyle w:val="Gvdemetni250"/>
        <w:shd w:val="clear" w:color="auto" w:fill="auto"/>
        <w:spacing w:before="120" w:after="120" w:line="240" w:lineRule="auto"/>
        <w:ind w:firstLine="0"/>
        <w:rPr>
          <w:sz w:val="24"/>
          <w:szCs w:val="24"/>
        </w:rPr>
      </w:pPr>
      <w:r w:rsidRPr="00DE12A3">
        <w:rPr>
          <w:sz w:val="24"/>
          <w:szCs w:val="24"/>
        </w:rPr>
        <w:t xml:space="preserve">2.6.2. </w:t>
      </w:r>
      <w:r w:rsidR="00242DA0" w:rsidRPr="00DE12A3">
        <w:rPr>
          <w:sz w:val="24"/>
          <w:szCs w:val="24"/>
        </w:rPr>
        <w:t xml:space="preserve">İmalatçı, bu amaçla kullanılan tüm dokümanlara, bir kimlik numarası ve verilme tarihi yazıldığından emin olmalıdır. Kayıtlı bilgiler her değiştiğinde imalatçı bunu </w:t>
      </w:r>
      <w:r w:rsidR="007E2039" w:rsidRPr="00DE12A3">
        <w:rPr>
          <w:sz w:val="24"/>
          <w:szCs w:val="24"/>
        </w:rPr>
        <w:t xml:space="preserve">onay </w:t>
      </w:r>
      <w:r w:rsidR="00EF2C88" w:rsidRPr="00DE12A3">
        <w:rPr>
          <w:sz w:val="24"/>
          <w:szCs w:val="24"/>
        </w:rPr>
        <w:t>kuruluşuna bildirmelidir</w:t>
      </w:r>
      <w:r w:rsidR="00242DA0" w:rsidRPr="00DE12A3">
        <w:rPr>
          <w:sz w:val="24"/>
          <w:szCs w:val="24"/>
        </w:rPr>
        <w:t>. Bu durumda, ilgili belgelerin, ya ilgili sayfaları revizyon tarihini ve değişikliğin niteliğini açıkça gösterir şekilde işaretlenen güncellenmiş bir halini veya alternatif olarak, ayrıntılı bir açıklama ve her değişiklik tarihini içeren bir endeks ile birlikte yeni bir konsolide edilmiş versiyonunu sunmalıdır.</w:t>
      </w:r>
    </w:p>
    <w:p w14:paraId="7A81129A" w14:textId="0E3496FD" w:rsidR="002D7B36" w:rsidRPr="00DE12A3" w:rsidRDefault="00242DA0" w:rsidP="004F7D49">
      <w:pPr>
        <w:pStyle w:val="Balk100"/>
        <w:shd w:val="clear" w:color="auto" w:fill="auto"/>
        <w:spacing w:before="120" w:after="120" w:line="240" w:lineRule="auto"/>
        <w:ind w:left="1134" w:hanging="1134"/>
        <w:jc w:val="both"/>
        <w:rPr>
          <w:b/>
          <w:sz w:val="24"/>
          <w:szCs w:val="24"/>
        </w:rPr>
      </w:pPr>
      <w:r w:rsidRPr="00DE12A3">
        <w:rPr>
          <w:rStyle w:val="Balk100ptbolukbraklyor"/>
          <w:rFonts w:eastAsia="Malgun Gothic"/>
          <w:b/>
          <w:color w:val="auto"/>
          <w:sz w:val="24"/>
          <w:szCs w:val="24"/>
        </w:rPr>
        <w:t>3.</w:t>
      </w:r>
      <w:r w:rsidR="00412898" w:rsidRPr="00DE12A3">
        <w:rPr>
          <w:rStyle w:val="Balk100ptbolukbraklyor"/>
          <w:rFonts w:eastAsia="Malgun Gothic"/>
          <w:b/>
          <w:color w:val="auto"/>
          <w:sz w:val="24"/>
          <w:szCs w:val="24"/>
        </w:rPr>
        <w:t xml:space="preserve"> </w:t>
      </w:r>
      <w:r w:rsidRPr="00DE12A3">
        <w:rPr>
          <w:rStyle w:val="Balk100ptbolukbraklyor"/>
          <w:rFonts w:eastAsia="Malgun Gothic"/>
          <w:b/>
          <w:color w:val="auto"/>
          <w:sz w:val="24"/>
          <w:szCs w:val="24"/>
        </w:rPr>
        <w:t>NOx kontrol tedbirleri ile ilgili teknik şartlar</w:t>
      </w:r>
    </w:p>
    <w:p w14:paraId="44B395AE" w14:textId="4E810EF9" w:rsidR="002D7B36" w:rsidRPr="00DE12A3" w:rsidRDefault="00412898" w:rsidP="00412898">
      <w:pPr>
        <w:pStyle w:val="Gvdemetni250"/>
        <w:shd w:val="clear" w:color="auto" w:fill="auto"/>
        <w:spacing w:before="120" w:after="120" w:line="240" w:lineRule="auto"/>
        <w:ind w:firstLine="0"/>
        <w:rPr>
          <w:sz w:val="24"/>
          <w:szCs w:val="24"/>
        </w:rPr>
      </w:pPr>
      <w:r w:rsidRPr="00DE12A3">
        <w:rPr>
          <w:sz w:val="24"/>
          <w:szCs w:val="24"/>
        </w:rPr>
        <w:t xml:space="preserve">3.1. </w:t>
      </w:r>
      <w:r w:rsidR="00242DA0" w:rsidRPr="00DE12A3">
        <w:rPr>
          <w:sz w:val="24"/>
          <w:szCs w:val="24"/>
        </w:rPr>
        <w:t xml:space="preserve">Bu </w:t>
      </w:r>
      <w:r w:rsidR="00721C89" w:rsidRPr="00DE12A3">
        <w:rPr>
          <w:sz w:val="24"/>
          <w:szCs w:val="24"/>
        </w:rPr>
        <w:t>Bölüm</w:t>
      </w:r>
      <w:r w:rsidR="00242DA0" w:rsidRPr="00DE12A3">
        <w:rPr>
          <w:sz w:val="24"/>
          <w:szCs w:val="24"/>
        </w:rPr>
        <w:t xml:space="preserve">, </w:t>
      </w:r>
      <w:r w:rsidR="00EE5D5E" w:rsidRPr="00DE12A3">
        <w:rPr>
          <w:sz w:val="24"/>
          <w:szCs w:val="24"/>
        </w:rPr>
        <w:t>2016/1628/AB Yönetmeliğin</w:t>
      </w:r>
      <w:r w:rsidR="00804290" w:rsidRPr="00DE12A3">
        <w:rPr>
          <w:sz w:val="24"/>
          <w:szCs w:val="24"/>
        </w:rPr>
        <w:t>in</w:t>
      </w:r>
      <w:r w:rsidR="00EE5D5E" w:rsidRPr="00DE12A3">
        <w:rPr>
          <w:sz w:val="24"/>
          <w:szCs w:val="24"/>
        </w:rPr>
        <w:t xml:space="preserve"> </w:t>
      </w:r>
      <w:r w:rsidR="00242DA0" w:rsidRPr="00DE12A3">
        <w:rPr>
          <w:sz w:val="24"/>
          <w:szCs w:val="24"/>
        </w:rPr>
        <w:t>II</w:t>
      </w:r>
      <w:r w:rsidR="00EC3EF0" w:rsidRPr="00DE12A3">
        <w:rPr>
          <w:sz w:val="24"/>
          <w:szCs w:val="24"/>
        </w:rPr>
        <w:t>’</w:t>
      </w:r>
      <w:r w:rsidR="00195051" w:rsidRPr="00DE12A3">
        <w:rPr>
          <w:sz w:val="24"/>
          <w:szCs w:val="24"/>
        </w:rPr>
        <w:t>nci</w:t>
      </w:r>
      <w:r w:rsidR="00EC3EF0" w:rsidRPr="00DE12A3">
        <w:rPr>
          <w:sz w:val="24"/>
          <w:szCs w:val="24"/>
        </w:rPr>
        <w:t xml:space="preserve"> </w:t>
      </w:r>
      <w:r w:rsidR="00242DA0" w:rsidRPr="00DE12A3">
        <w:rPr>
          <w:sz w:val="24"/>
          <w:szCs w:val="24"/>
        </w:rPr>
        <w:t xml:space="preserve">Ekinde </w:t>
      </w:r>
      <w:r w:rsidR="00804290" w:rsidRPr="00DE12A3">
        <w:rPr>
          <w:sz w:val="24"/>
          <w:szCs w:val="24"/>
        </w:rPr>
        <w:t xml:space="preserve">yer alan </w:t>
      </w:r>
      <w:r w:rsidR="00242DA0" w:rsidRPr="00DE12A3">
        <w:rPr>
          <w:sz w:val="24"/>
          <w:szCs w:val="24"/>
        </w:rPr>
        <w:t>"</w:t>
      </w:r>
      <w:r w:rsidR="007C56F9" w:rsidRPr="00DE12A3">
        <w:rPr>
          <w:sz w:val="24"/>
          <w:szCs w:val="24"/>
        </w:rPr>
        <w:t>V. Faz</w:t>
      </w:r>
      <w:r w:rsidR="00242DA0" w:rsidRPr="00DE12A3">
        <w:rPr>
          <w:sz w:val="24"/>
          <w:szCs w:val="24"/>
        </w:rPr>
        <w:t>" emisyon sınırlarına uyan ve hem enjekte eden yakıtın miktarını hem de zamanlamasını belirlemek için elektronik kontrol kullanan veya NOx'i azaltmak için kullanılan emisyon kontrol sistemini etkinleştirmek, devre dışı bırakmak veya modüle etmek için elektronik kontrol kullanan NRE, NRG, IWP, IWA, RLL ve RLR kategorilerindeki elektronik olarak kontrol edilen motorlar için uygulanır.</w:t>
      </w:r>
    </w:p>
    <w:p w14:paraId="3882183E" w14:textId="0099531A" w:rsidR="002D7B36" w:rsidRPr="00DE12A3" w:rsidRDefault="00412898" w:rsidP="00412898">
      <w:pPr>
        <w:pStyle w:val="Gvdemetni250"/>
        <w:shd w:val="clear" w:color="auto" w:fill="auto"/>
        <w:spacing w:before="120" w:after="120" w:line="240" w:lineRule="auto"/>
        <w:ind w:firstLine="0"/>
        <w:rPr>
          <w:sz w:val="24"/>
          <w:szCs w:val="24"/>
        </w:rPr>
      </w:pPr>
      <w:r w:rsidRPr="00DE12A3">
        <w:rPr>
          <w:sz w:val="24"/>
          <w:szCs w:val="24"/>
        </w:rPr>
        <w:t xml:space="preserve">3.2. </w:t>
      </w:r>
      <w:r w:rsidR="00242DA0" w:rsidRPr="00DE12A3">
        <w:rPr>
          <w:sz w:val="24"/>
          <w:szCs w:val="24"/>
        </w:rPr>
        <w:t xml:space="preserve">İmalatçı, </w:t>
      </w:r>
      <w:r w:rsidR="00EE5D5E" w:rsidRPr="00DE12A3">
        <w:rPr>
          <w:sz w:val="24"/>
          <w:szCs w:val="24"/>
        </w:rPr>
        <w:t xml:space="preserve">2017/656/AB Tebliğinin I’inci </w:t>
      </w:r>
      <w:r w:rsidR="00EC3EF0" w:rsidRPr="00DE12A3">
        <w:rPr>
          <w:sz w:val="24"/>
          <w:szCs w:val="24"/>
        </w:rPr>
        <w:t>Ekinde</w:t>
      </w:r>
      <w:r w:rsidR="00242DA0" w:rsidRPr="00DE12A3">
        <w:rPr>
          <w:sz w:val="24"/>
          <w:szCs w:val="24"/>
        </w:rPr>
        <w:t xml:space="preserve"> belirtilen belgeleri kullanarak NOx </w:t>
      </w:r>
      <w:r w:rsidR="00242DA0" w:rsidRPr="00DE12A3">
        <w:rPr>
          <w:sz w:val="24"/>
          <w:szCs w:val="24"/>
        </w:rPr>
        <w:lastRenderedPageBreak/>
        <w:t>kontrol tedbirlerinin işlevsel kullanım özellikleri hakkında eksiksiz bilgi sağlamalıdır.</w:t>
      </w:r>
    </w:p>
    <w:p w14:paraId="71E8C8CE" w14:textId="16232E55" w:rsidR="002D7B36" w:rsidRPr="00DE12A3" w:rsidRDefault="00412898" w:rsidP="00412898">
      <w:pPr>
        <w:pStyle w:val="Gvdemetni250"/>
        <w:shd w:val="clear" w:color="auto" w:fill="auto"/>
        <w:spacing w:before="120" w:after="120" w:line="240" w:lineRule="auto"/>
        <w:ind w:firstLine="0"/>
        <w:rPr>
          <w:sz w:val="24"/>
          <w:szCs w:val="24"/>
        </w:rPr>
      </w:pPr>
      <w:r w:rsidRPr="00DE12A3">
        <w:rPr>
          <w:sz w:val="24"/>
          <w:szCs w:val="24"/>
        </w:rPr>
        <w:t xml:space="preserve">3.3. </w:t>
      </w:r>
      <w:r w:rsidR="00242DA0" w:rsidRPr="00DE12A3">
        <w:rPr>
          <w:sz w:val="24"/>
          <w:szCs w:val="24"/>
        </w:rPr>
        <w:t xml:space="preserve">NOx kontrol </w:t>
      </w:r>
      <w:r w:rsidR="00B66DE4" w:rsidRPr="00DE12A3">
        <w:rPr>
          <w:sz w:val="24"/>
          <w:szCs w:val="24"/>
        </w:rPr>
        <w:t>yönetimi</w:t>
      </w:r>
      <w:r w:rsidR="00242DA0" w:rsidRPr="00DE12A3">
        <w:rPr>
          <w:sz w:val="24"/>
          <w:szCs w:val="24"/>
        </w:rPr>
        <w:t>, Birlik bölgesinde özellikle düşük ortam sıcaklıklarında düzenli olarak gerçekleşen tüm çevre koşulları altında kullanılabilir olmalıdır.</w:t>
      </w:r>
    </w:p>
    <w:p w14:paraId="0A6C6F37" w14:textId="4FDAA270" w:rsidR="002D7B36" w:rsidRPr="00DE12A3" w:rsidRDefault="00412898" w:rsidP="00412898">
      <w:pPr>
        <w:pStyle w:val="Gvdemetni250"/>
        <w:shd w:val="clear" w:color="auto" w:fill="auto"/>
        <w:spacing w:before="120" w:after="120" w:line="240" w:lineRule="auto"/>
        <w:ind w:firstLine="0"/>
        <w:rPr>
          <w:sz w:val="24"/>
          <w:szCs w:val="24"/>
        </w:rPr>
      </w:pPr>
      <w:r w:rsidRPr="00DE12A3">
        <w:rPr>
          <w:sz w:val="24"/>
          <w:szCs w:val="24"/>
        </w:rPr>
        <w:t xml:space="preserve">3.4. </w:t>
      </w:r>
      <w:r w:rsidR="00242DA0" w:rsidRPr="00DE12A3">
        <w:rPr>
          <w:sz w:val="24"/>
          <w:szCs w:val="24"/>
        </w:rPr>
        <w:t xml:space="preserve">İmalatçı, bir ayıraç kullanıldığında AB tip onayı prosedürünün geçerli emisyon testi </w:t>
      </w:r>
      <w:r w:rsidR="00EF2C88" w:rsidRPr="00DE12A3">
        <w:rPr>
          <w:sz w:val="24"/>
          <w:szCs w:val="24"/>
        </w:rPr>
        <w:t>çevrimi sırasında</w:t>
      </w:r>
      <w:r w:rsidR="00242DA0" w:rsidRPr="00DE12A3">
        <w:rPr>
          <w:sz w:val="24"/>
          <w:szCs w:val="24"/>
        </w:rPr>
        <w:t xml:space="preserve"> amonyak emisyonunun, RLL kategorisindeki motorlar için ortalama 25 ppm ve geçerli tüm diğer kategorilerdeki motorlar için 10 ppm değerini aşmadığını kanıtlamalıdır.</w:t>
      </w:r>
    </w:p>
    <w:p w14:paraId="7CF34580" w14:textId="641DE52C" w:rsidR="002D7B36" w:rsidRPr="00DE12A3" w:rsidRDefault="00412898" w:rsidP="00412898">
      <w:pPr>
        <w:pStyle w:val="Gvdemetni250"/>
        <w:shd w:val="clear" w:color="auto" w:fill="auto"/>
        <w:spacing w:before="120" w:after="120" w:line="240" w:lineRule="auto"/>
        <w:ind w:firstLine="0"/>
        <w:rPr>
          <w:sz w:val="24"/>
          <w:szCs w:val="24"/>
        </w:rPr>
      </w:pPr>
      <w:r w:rsidRPr="00DE12A3">
        <w:rPr>
          <w:sz w:val="24"/>
          <w:szCs w:val="24"/>
        </w:rPr>
        <w:t xml:space="preserve">3.5. </w:t>
      </w:r>
      <w:r w:rsidR="00242DA0" w:rsidRPr="00DE12A3">
        <w:rPr>
          <w:sz w:val="24"/>
          <w:szCs w:val="24"/>
        </w:rPr>
        <w:t>Ayıraç kapları karayolu dışında kullanılan bir makinaya monte edilmiş veya bağlanmışsa, kapların içindeki ayıracın bir numunesini almaya yönelik araçlar eklenmelidir. Numune alma noktasına, herhangi bir özel alet veya cihaz kullanmak gerekmeden kolayca erişilebilmelidir.</w:t>
      </w:r>
    </w:p>
    <w:p w14:paraId="1BBE4C5E" w14:textId="0084B340" w:rsidR="002D7B36" w:rsidRPr="00DE12A3" w:rsidRDefault="00242DA0" w:rsidP="004F7D49">
      <w:pPr>
        <w:pStyle w:val="Gvdemetni250"/>
        <w:shd w:val="clear" w:color="auto" w:fill="auto"/>
        <w:spacing w:before="120" w:after="120" w:line="240" w:lineRule="auto"/>
        <w:ind w:left="1134" w:hanging="1134"/>
        <w:rPr>
          <w:spacing w:val="4"/>
          <w:sz w:val="24"/>
          <w:szCs w:val="24"/>
        </w:rPr>
      </w:pPr>
      <w:r w:rsidRPr="00DE12A3">
        <w:rPr>
          <w:spacing w:val="4"/>
          <w:sz w:val="24"/>
          <w:szCs w:val="24"/>
        </w:rPr>
        <w:t>3.6</w:t>
      </w:r>
      <w:r w:rsidR="00412898" w:rsidRPr="00DE12A3">
        <w:rPr>
          <w:spacing w:val="4"/>
          <w:sz w:val="24"/>
          <w:szCs w:val="24"/>
        </w:rPr>
        <w:t xml:space="preserve">. </w:t>
      </w:r>
      <w:r w:rsidRPr="00DE12A3">
        <w:rPr>
          <w:spacing w:val="4"/>
          <w:sz w:val="24"/>
          <w:szCs w:val="24"/>
        </w:rPr>
        <w:t>3.2 ila 3.5 bentlerinde belirtilen şartlara ek olarak, aşağıdaki şartlar da uygulanır:</w:t>
      </w:r>
    </w:p>
    <w:p w14:paraId="6E847834" w14:textId="48284C70" w:rsidR="002D7B36" w:rsidRPr="00DE12A3" w:rsidRDefault="00412898" w:rsidP="00412898">
      <w:pPr>
        <w:pStyle w:val="Gvdemetni250"/>
        <w:shd w:val="clear" w:color="auto" w:fill="auto"/>
        <w:spacing w:before="120" w:after="120" w:line="240" w:lineRule="auto"/>
        <w:ind w:firstLine="709"/>
        <w:rPr>
          <w:sz w:val="24"/>
          <w:szCs w:val="24"/>
        </w:rPr>
      </w:pPr>
      <w:r w:rsidRPr="00DE12A3">
        <w:rPr>
          <w:sz w:val="24"/>
          <w:szCs w:val="24"/>
        </w:rPr>
        <w:t xml:space="preserve">(a) </w:t>
      </w:r>
      <w:r w:rsidR="00242DA0" w:rsidRPr="00DE12A3">
        <w:rPr>
          <w:sz w:val="24"/>
          <w:szCs w:val="24"/>
        </w:rPr>
        <w:t>NRG kategorisindeki motorlar için, 1. Açıklayıcı Ekte belirtilen teknik şartlar</w:t>
      </w:r>
      <w:r w:rsidR="00804290" w:rsidRPr="00DE12A3">
        <w:rPr>
          <w:sz w:val="24"/>
          <w:szCs w:val="24"/>
        </w:rPr>
        <w:t>.</w:t>
      </w:r>
    </w:p>
    <w:p w14:paraId="6B045CB9" w14:textId="48F7E541" w:rsidR="002D7B36" w:rsidRPr="00DE12A3" w:rsidRDefault="00412898" w:rsidP="00412898">
      <w:pPr>
        <w:pStyle w:val="Gvdemetni250"/>
        <w:shd w:val="clear" w:color="auto" w:fill="auto"/>
        <w:spacing w:before="120" w:after="120" w:line="240" w:lineRule="auto"/>
        <w:ind w:firstLine="709"/>
        <w:rPr>
          <w:sz w:val="24"/>
          <w:szCs w:val="24"/>
        </w:rPr>
      </w:pPr>
      <w:r w:rsidRPr="00DE12A3">
        <w:rPr>
          <w:sz w:val="24"/>
          <w:szCs w:val="24"/>
        </w:rPr>
        <w:t xml:space="preserve">(b) </w:t>
      </w:r>
      <w:r w:rsidR="00242DA0" w:rsidRPr="00DE12A3">
        <w:rPr>
          <w:sz w:val="24"/>
          <w:szCs w:val="24"/>
        </w:rPr>
        <w:t>NRE kategorisindeki motorlar için:</w:t>
      </w:r>
    </w:p>
    <w:p w14:paraId="21660C89" w14:textId="4D093755" w:rsidR="002D7B36" w:rsidRPr="00DE12A3" w:rsidRDefault="00412898" w:rsidP="00412898">
      <w:pPr>
        <w:pStyle w:val="Gvdemetni250"/>
        <w:shd w:val="clear" w:color="auto" w:fill="auto"/>
        <w:spacing w:before="120" w:after="120" w:line="240" w:lineRule="auto"/>
        <w:ind w:firstLine="709"/>
        <w:rPr>
          <w:sz w:val="24"/>
          <w:szCs w:val="24"/>
        </w:rPr>
      </w:pPr>
      <w:r w:rsidRPr="00DE12A3">
        <w:rPr>
          <w:sz w:val="24"/>
          <w:szCs w:val="24"/>
        </w:rPr>
        <w:t xml:space="preserve">(i) </w:t>
      </w:r>
      <w:r w:rsidR="00EE5D5E" w:rsidRPr="00DE12A3">
        <w:rPr>
          <w:sz w:val="24"/>
          <w:szCs w:val="24"/>
        </w:rPr>
        <w:t xml:space="preserve">2016/1628/AB </w:t>
      </w:r>
      <w:r w:rsidR="00211788" w:rsidRPr="00DE12A3">
        <w:rPr>
          <w:sz w:val="24"/>
          <w:szCs w:val="24"/>
        </w:rPr>
        <w:t xml:space="preserve">Yönetmeliğinin 4’ncü maddesinin </w:t>
      </w:r>
      <w:r w:rsidR="00804290" w:rsidRPr="00DE12A3">
        <w:rPr>
          <w:sz w:val="24"/>
          <w:szCs w:val="24"/>
        </w:rPr>
        <w:t xml:space="preserve">birinci </w:t>
      </w:r>
      <w:r w:rsidR="00211788" w:rsidRPr="00DE12A3">
        <w:rPr>
          <w:sz w:val="24"/>
          <w:szCs w:val="24"/>
        </w:rPr>
        <w:t xml:space="preserve">fıkrasının </w:t>
      </w:r>
      <w:r w:rsidR="00242DA0" w:rsidRPr="00DE12A3">
        <w:rPr>
          <w:sz w:val="24"/>
          <w:szCs w:val="24"/>
        </w:rPr>
        <w:t xml:space="preserve">(b) bendi uyarınca motorun sadece IWP ve IWA kategorilerindeki </w:t>
      </w:r>
      <w:r w:rsidR="007C56F9" w:rsidRPr="00DE12A3">
        <w:rPr>
          <w:sz w:val="24"/>
          <w:szCs w:val="24"/>
        </w:rPr>
        <w:t>V. faz</w:t>
      </w:r>
      <w:r w:rsidR="00242DA0" w:rsidRPr="00DE12A3">
        <w:rPr>
          <w:sz w:val="24"/>
          <w:szCs w:val="24"/>
        </w:rPr>
        <w:t xml:space="preserve"> motorların yerine kullanılması amaçlandığında, 2. Açıklayıcı Ekte belirtilen şartlar; veya</w:t>
      </w:r>
    </w:p>
    <w:p w14:paraId="62FBA9D3" w14:textId="14919A5F" w:rsidR="002D7B36" w:rsidRPr="00DE12A3" w:rsidRDefault="00412898" w:rsidP="00412898">
      <w:pPr>
        <w:pStyle w:val="Gvdemetni250"/>
        <w:shd w:val="clear" w:color="auto" w:fill="auto"/>
        <w:spacing w:before="120" w:after="120" w:line="240" w:lineRule="auto"/>
        <w:ind w:firstLine="709"/>
        <w:rPr>
          <w:sz w:val="24"/>
          <w:szCs w:val="24"/>
        </w:rPr>
      </w:pPr>
      <w:r w:rsidRPr="00DE12A3">
        <w:rPr>
          <w:sz w:val="24"/>
          <w:szCs w:val="24"/>
        </w:rPr>
        <w:t>(ii)</w:t>
      </w:r>
      <w:r w:rsidR="009D331B" w:rsidRPr="00DE12A3">
        <w:rPr>
          <w:sz w:val="24"/>
          <w:szCs w:val="24"/>
        </w:rPr>
        <w:t xml:space="preserve"> </w:t>
      </w:r>
      <w:r w:rsidR="00242DA0" w:rsidRPr="00DE12A3">
        <w:rPr>
          <w:sz w:val="24"/>
          <w:szCs w:val="24"/>
        </w:rPr>
        <w:t>(i) paragrafı kapsamına girmeyen motorlar için 1. Açıklayıcı Ekte belirtilen şartlar</w:t>
      </w:r>
      <w:r w:rsidR="00804290" w:rsidRPr="00DE12A3">
        <w:rPr>
          <w:sz w:val="24"/>
          <w:szCs w:val="24"/>
        </w:rPr>
        <w:t>.</w:t>
      </w:r>
    </w:p>
    <w:p w14:paraId="6BAEFD7C" w14:textId="30DBD8D9" w:rsidR="002D7B36" w:rsidRPr="00DE12A3" w:rsidRDefault="00412898" w:rsidP="00412898">
      <w:pPr>
        <w:pStyle w:val="Gvdemetni250"/>
        <w:shd w:val="clear" w:color="auto" w:fill="auto"/>
        <w:spacing w:before="120" w:after="120" w:line="240" w:lineRule="auto"/>
        <w:ind w:firstLine="709"/>
        <w:rPr>
          <w:sz w:val="24"/>
          <w:szCs w:val="24"/>
        </w:rPr>
      </w:pPr>
      <w:r w:rsidRPr="00DE12A3">
        <w:rPr>
          <w:sz w:val="24"/>
          <w:szCs w:val="24"/>
        </w:rPr>
        <w:t xml:space="preserve">(c) </w:t>
      </w:r>
      <w:r w:rsidR="00242DA0" w:rsidRPr="00DE12A3">
        <w:rPr>
          <w:sz w:val="24"/>
          <w:szCs w:val="24"/>
        </w:rPr>
        <w:t>IWP, IWA ve RLR kategorilerindeki motorlar için, 2. Açıklayıcı Ekte belirtilen teknik şartlar</w:t>
      </w:r>
      <w:r w:rsidR="00804290" w:rsidRPr="00DE12A3">
        <w:rPr>
          <w:sz w:val="24"/>
          <w:szCs w:val="24"/>
        </w:rPr>
        <w:t>.</w:t>
      </w:r>
    </w:p>
    <w:p w14:paraId="333F6539" w14:textId="7D1AC85B" w:rsidR="002D7B36" w:rsidRPr="00DE12A3" w:rsidRDefault="00412898" w:rsidP="00412898">
      <w:pPr>
        <w:pStyle w:val="Gvdemetni250"/>
        <w:shd w:val="clear" w:color="auto" w:fill="auto"/>
        <w:spacing w:before="120" w:after="120" w:line="240" w:lineRule="auto"/>
        <w:ind w:firstLine="709"/>
        <w:rPr>
          <w:sz w:val="24"/>
          <w:szCs w:val="24"/>
        </w:rPr>
      </w:pPr>
      <w:r w:rsidRPr="00DE12A3">
        <w:rPr>
          <w:sz w:val="24"/>
          <w:szCs w:val="24"/>
        </w:rPr>
        <w:t xml:space="preserve">(d) </w:t>
      </w:r>
      <w:r w:rsidR="00242DA0" w:rsidRPr="00DE12A3">
        <w:rPr>
          <w:sz w:val="24"/>
          <w:szCs w:val="24"/>
        </w:rPr>
        <w:t xml:space="preserve">RLL kategorisindeki motorlar için, </w:t>
      </w:r>
      <w:r w:rsidR="00CD23C3" w:rsidRPr="00DE12A3">
        <w:rPr>
          <w:sz w:val="24"/>
          <w:szCs w:val="24"/>
        </w:rPr>
        <w:t>3. Açıklayıcı Ek</w:t>
      </w:r>
      <w:r w:rsidR="00242DA0" w:rsidRPr="00DE12A3">
        <w:rPr>
          <w:sz w:val="24"/>
          <w:szCs w:val="24"/>
        </w:rPr>
        <w:t>te belirtilen teknik şartlar</w:t>
      </w:r>
      <w:r w:rsidR="00804290" w:rsidRPr="00DE12A3">
        <w:rPr>
          <w:sz w:val="24"/>
          <w:szCs w:val="24"/>
        </w:rPr>
        <w:t>.</w:t>
      </w:r>
    </w:p>
    <w:p w14:paraId="221B1A32" w14:textId="4D405F04" w:rsidR="002D7B36" w:rsidRPr="00DE12A3" w:rsidRDefault="00242DA0" w:rsidP="004F7D49">
      <w:pPr>
        <w:pStyle w:val="Gvdemetni250"/>
        <w:shd w:val="clear" w:color="auto" w:fill="auto"/>
        <w:spacing w:before="120" w:after="120" w:line="240" w:lineRule="auto"/>
        <w:ind w:left="1134" w:hanging="1134"/>
        <w:rPr>
          <w:b/>
          <w:sz w:val="24"/>
          <w:szCs w:val="24"/>
        </w:rPr>
      </w:pPr>
      <w:r w:rsidRPr="00DE12A3">
        <w:rPr>
          <w:b/>
          <w:sz w:val="24"/>
          <w:szCs w:val="24"/>
        </w:rPr>
        <w:t>4.</w:t>
      </w:r>
      <w:r w:rsidR="00412898" w:rsidRPr="00DE12A3">
        <w:rPr>
          <w:b/>
          <w:sz w:val="24"/>
          <w:szCs w:val="24"/>
        </w:rPr>
        <w:t xml:space="preserve"> </w:t>
      </w:r>
      <w:r w:rsidR="007E2039" w:rsidRPr="00DE12A3">
        <w:rPr>
          <w:b/>
          <w:sz w:val="24"/>
          <w:szCs w:val="24"/>
        </w:rPr>
        <w:t xml:space="preserve">Partikül </w:t>
      </w:r>
      <w:r w:rsidRPr="00DE12A3">
        <w:rPr>
          <w:b/>
          <w:sz w:val="24"/>
          <w:szCs w:val="24"/>
        </w:rPr>
        <w:t>halindeki kirletici kontrol tedbirleri ile ilgili teknik şartlar</w:t>
      </w:r>
    </w:p>
    <w:p w14:paraId="04C8A584" w14:textId="7B5F38E8" w:rsidR="002D7B36" w:rsidRPr="00DE12A3" w:rsidRDefault="00412898" w:rsidP="00412898">
      <w:pPr>
        <w:pStyle w:val="Gvdemetni250"/>
        <w:shd w:val="clear" w:color="auto" w:fill="auto"/>
        <w:spacing w:before="120" w:after="120" w:line="240" w:lineRule="auto"/>
        <w:ind w:firstLine="0"/>
        <w:rPr>
          <w:sz w:val="24"/>
          <w:szCs w:val="24"/>
        </w:rPr>
      </w:pPr>
      <w:r w:rsidRPr="00DE12A3">
        <w:rPr>
          <w:sz w:val="24"/>
          <w:szCs w:val="24"/>
        </w:rPr>
        <w:t>4.1.</w:t>
      </w:r>
      <w:r w:rsidR="009D331B" w:rsidRPr="00DE12A3">
        <w:rPr>
          <w:sz w:val="24"/>
          <w:szCs w:val="24"/>
        </w:rPr>
        <w:t xml:space="preserve"> </w:t>
      </w:r>
      <w:r w:rsidR="00242DA0" w:rsidRPr="00DE12A3">
        <w:rPr>
          <w:sz w:val="24"/>
          <w:szCs w:val="24"/>
        </w:rPr>
        <w:t xml:space="preserve">Bu bölüm, bir </w:t>
      </w:r>
      <w:r w:rsidR="007E2039" w:rsidRPr="00DE12A3">
        <w:rPr>
          <w:sz w:val="24"/>
          <w:szCs w:val="24"/>
        </w:rPr>
        <w:t xml:space="preserve">partikül arıtma </w:t>
      </w:r>
      <w:r w:rsidR="00242DA0" w:rsidRPr="00DE12A3">
        <w:rPr>
          <w:sz w:val="24"/>
          <w:szCs w:val="24"/>
        </w:rPr>
        <w:t xml:space="preserve">sistemi ile </w:t>
      </w:r>
      <w:r w:rsidR="00EF2C88" w:rsidRPr="00DE12A3">
        <w:rPr>
          <w:sz w:val="24"/>
          <w:szCs w:val="24"/>
        </w:rPr>
        <w:t>donatılmış, 2016</w:t>
      </w:r>
      <w:r w:rsidR="00EE5D5E" w:rsidRPr="00DE12A3">
        <w:rPr>
          <w:sz w:val="24"/>
          <w:szCs w:val="24"/>
        </w:rPr>
        <w:t>/1628/AB Yönetmeliği</w:t>
      </w:r>
      <w:r w:rsidR="00804290" w:rsidRPr="00DE12A3">
        <w:rPr>
          <w:sz w:val="24"/>
          <w:szCs w:val="24"/>
        </w:rPr>
        <w:t>nin</w:t>
      </w:r>
      <w:r w:rsidR="00EE5D5E" w:rsidRPr="00DE12A3">
        <w:rPr>
          <w:sz w:val="24"/>
          <w:szCs w:val="24"/>
        </w:rPr>
        <w:t xml:space="preserve"> </w:t>
      </w:r>
      <w:r w:rsidR="00804290" w:rsidRPr="00DE12A3">
        <w:rPr>
          <w:sz w:val="24"/>
          <w:szCs w:val="24"/>
        </w:rPr>
        <w:t>EK II’sinde</w:t>
      </w:r>
      <w:r w:rsidR="00242DA0" w:rsidRPr="00DE12A3">
        <w:rPr>
          <w:sz w:val="24"/>
          <w:szCs w:val="24"/>
        </w:rPr>
        <w:t xml:space="preserve"> belirtilen "</w:t>
      </w:r>
      <w:r w:rsidR="00274519" w:rsidRPr="00DE12A3">
        <w:rPr>
          <w:sz w:val="24"/>
          <w:szCs w:val="24"/>
        </w:rPr>
        <w:t>Faz</w:t>
      </w:r>
      <w:r w:rsidR="00242DA0" w:rsidRPr="00DE12A3">
        <w:rPr>
          <w:sz w:val="24"/>
          <w:szCs w:val="24"/>
        </w:rPr>
        <w:t xml:space="preserve"> V" emisyon sınırları uyarınca bir PN limitine tabi alt kategorilerdeki motorlar için uygulanır. NOx kontrol sisteminin ve </w:t>
      </w:r>
      <w:r w:rsidR="007E2039" w:rsidRPr="00DE12A3">
        <w:rPr>
          <w:sz w:val="24"/>
          <w:szCs w:val="24"/>
        </w:rPr>
        <w:t xml:space="preserve">partikül </w:t>
      </w:r>
      <w:r w:rsidR="00242DA0" w:rsidRPr="00DE12A3">
        <w:rPr>
          <w:sz w:val="24"/>
          <w:szCs w:val="24"/>
        </w:rPr>
        <w:t>kontrol sisteminin aynı fiziksel bileşenleri (</w:t>
      </w:r>
      <w:r w:rsidR="005B014A" w:rsidRPr="00DE12A3">
        <w:rPr>
          <w:sz w:val="24"/>
          <w:szCs w:val="24"/>
        </w:rPr>
        <w:t>örneğin</w:t>
      </w:r>
      <w:r w:rsidR="00242DA0" w:rsidRPr="00DE12A3">
        <w:rPr>
          <w:sz w:val="24"/>
          <w:szCs w:val="24"/>
        </w:rPr>
        <w:t xml:space="preserve"> aynı altlığı (filtre üzerindeki SCR), aynı egzoz gazı sıcaklık sensörünü) paylaştığı durumlarda, </w:t>
      </w:r>
      <w:r w:rsidR="007E2039" w:rsidRPr="00DE12A3">
        <w:rPr>
          <w:sz w:val="24"/>
          <w:szCs w:val="24"/>
        </w:rPr>
        <w:t xml:space="preserve">onay </w:t>
      </w:r>
      <w:r w:rsidR="00EF2C88" w:rsidRPr="00DE12A3">
        <w:rPr>
          <w:sz w:val="24"/>
          <w:szCs w:val="24"/>
        </w:rPr>
        <w:t>kuruluşunun,</w:t>
      </w:r>
      <w:r w:rsidR="00242DA0" w:rsidRPr="00DE12A3">
        <w:rPr>
          <w:sz w:val="24"/>
          <w:szCs w:val="24"/>
        </w:rPr>
        <w:t xml:space="preserve"> imalatçı tarafından sağlanan bir gerekçeli değerlendirmeyi göz önüne aldıktan sonra, bu bölüm kapsamındaki </w:t>
      </w:r>
      <w:r w:rsidR="007E2039" w:rsidRPr="00DE12A3">
        <w:rPr>
          <w:sz w:val="24"/>
          <w:szCs w:val="24"/>
        </w:rPr>
        <w:t xml:space="preserve">partikül </w:t>
      </w:r>
      <w:r w:rsidR="00242DA0" w:rsidRPr="00DE12A3">
        <w:rPr>
          <w:sz w:val="24"/>
          <w:szCs w:val="24"/>
        </w:rPr>
        <w:t xml:space="preserve">kontrol arızasının, </w:t>
      </w:r>
      <w:r w:rsidR="00721C89" w:rsidRPr="00DE12A3">
        <w:rPr>
          <w:sz w:val="24"/>
          <w:szCs w:val="24"/>
        </w:rPr>
        <w:t>Bölüm</w:t>
      </w:r>
      <w:r w:rsidR="00242DA0" w:rsidRPr="00DE12A3">
        <w:rPr>
          <w:sz w:val="24"/>
          <w:szCs w:val="24"/>
        </w:rPr>
        <w:t xml:space="preserve"> 3 kapsamında ilgili bir NOx kontrol arızasına yol açacağı sonucuna varması halinde, bu </w:t>
      </w:r>
      <w:r w:rsidR="00804290" w:rsidRPr="00DE12A3">
        <w:rPr>
          <w:sz w:val="24"/>
          <w:szCs w:val="24"/>
        </w:rPr>
        <w:t>B</w:t>
      </w:r>
      <w:r w:rsidR="00242DA0" w:rsidRPr="00DE12A3">
        <w:rPr>
          <w:sz w:val="24"/>
          <w:szCs w:val="24"/>
        </w:rPr>
        <w:t xml:space="preserve">ölümün </w:t>
      </w:r>
      <w:r w:rsidR="0053289F" w:rsidRPr="00DE12A3">
        <w:rPr>
          <w:sz w:val="24"/>
          <w:szCs w:val="24"/>
        </w:rPr>
        <w:t>gereklilikleri</w:t>
      </w:r>
      <w:r w:rsidR="00242DA0" w:rsidRPr="00DE12A3">
        <w:rPr>
          <w:sz w:val="24"/>
          <w:szCs w:val="24"/>
        </w:rPr>
        <w:t xml:space="preserve"> herhangi bir bileşen veya arıza için uygulanmaz.</w:t>
      </w:r>
    </w:p>
    <w:p w14:paraId="20827905" w14:textId="2710F3DD" w:rsidR="002D7B36" w:rsidRPr="00DE12A3" w:rsidRDefault="00412898" w:rsidP="00412898">
      <w:pPr>
        <w:pStyle w:val="Gvdemetni250"/>
        <w:shd w:val="clear" w:color="auto" w:fill="auto"/>
        <w:spacing w:before="120" w:after="120" w:line="240" w:lineRule="auto"/>
        <w:ind w:firstLine="0"/>
        <w:rPr>
          <w:spacing w:val="4"/>
          <w:sz w:val="24"/>
          <w:szCs w:val="24"/>
        </w:rPr>
      </w:pPr>
      <w:r w:rsidRPr="00DE12A3">
        <w:rPr>
          <w:sz w:val="24"/>
          <w:szCs w:val="24"/>
        </w:rPr>
        <w:t xml:space="preserve">4.2. </w:t>
      </w:r>
      <w:r w:rsidR="007E2039" w:rsidRPr="00DE12A3">
        <w:rPr>
          <w:sz w:val="24"/>
          <w:szCs w:val="24"/>
        </w:rPr>
        <w:t xml:space="preserve">Partikül </w:t>
      </w:r>
      <w:r w:rsidR="00242DA0" w:rsidRPr="00DE12A3">
        <w:rPr>
          <w:sz w:val="24"/>
          <w:szCs w:val="24"/>
        </w:rPr>
        <w:t xml:space="preserve">halindeki kirletici kontrol tedbirleri ile ilgili ayrıntılı teknik şartlar </w:t>
      </w:r>
      <w:r w:rsidR="00CD23C3" w:rsidRPr="00DE12A3">
        <w:rPr>
          <w:sz w:val="24"/>
          <w:szCs w:val="24"/>
        </w:rPr>
        <w:t>4. Açıklayıcı Ek</w:t>
      </w:r>
      <w:r w:rsidR="00242DA0" w:rsidRPr="00DE12A3">
        <w:rPr>
          <w:sz w:val="24"/>
          <w:szCs w:val="24"/>
        </w:rPr>
        <w:t>te belirtilmiştir.</w:t>
      </w:r>
    </w:p>
    <w:p w14:paraId="0E2DEBD1" w14:textId="77777777" w:rsidR="009D331B" w:rsidRPr="00DE12A3" w:rsidRDefault="009D331B" w:rsidP="004F7D49">
      <w:pPr>
        <w:pStyle w:val="Gvdemetni250"/>
        <w:shd w:val="clear" w:color="auto" w:fill="auto"/>
        <w:spacing w:before="120" w:after="120" w:line="240" w:lineRule="auto"/>
        <w:ind w:firstLine="0"/>
        <w:rPr>
          <w:spacing w:val="4"/>
          <w:sz w:val="24"/>
          <w:szCs w:val="24"/>
        </w:rPr>
      </w:pPr>
    </w:p>
    <w:p w14:paraId="27D446B6" w14:textId="77777777" w:rsidR="004F7D49" w:rsidRPr="00DE12A3" w:rsidRDefault="004F7D49" w:rsidP="004F7D49">
      <w:pPr>
        <w:widowControl/>
        <w:rPr>
          <w:rFonts w:eastAsia="Times New Roman" w:cs="Times New Roman"/>
          <w:color w:val="auto"/>
          <w:spacing w:val="4"/>
          <w:lang w:eastAsia="en-US"/>
        </w:rPr>
      </w:pPr>
      <w:r w:rsidRPr="00DE12A3">
        <w:rPr>
          <w:i/>
          <w:iCs/>
          <w:color w:val="auto"/>
        </w:rPr>
        <w:br w:type="page"/>
      </w:r>
    </w:p>
    <w:p w14:paraId="33BC0A5E" w14:textId="638CB3A2" w:rsidR="002D7B36" w:rsidRPr="00DE12A3" w:rsidRDefault="00242DA0" w:rsidP="004F7D49">
      <w:pPr>
        <w:pStyle w:val="Balk2"/>
        <w:rPr>
          <w:color w:val="auto"/>
        </w:rPr>
      </w:pPr>
      <w:r w:rsidRPr="00DE12A3">
        <w:rPr>
          <w:color w:val="auto"/>
        </w:rPr>
        <w:lastRenderedPageBreak/>
        <w:t>1. Açıklayıcı Ek</w:t>
      </w:r>
    </w:p>
    <w:p w14:paraId="4FE68C98" w14:textId="77777777" w:rsidR="002D7B36" w:rsidRPr="00DE12A3" w:rsidRDefault="00242DA0" w:rsidP="0046577A">
      <w:pPr>
        <w:jc w:val="center"/>
        <w:rPr>
          <w:b/>
          <w:bCs/>
          <w:color w:val="auto"/>
        </w:rPr>
      </w:pPr>
      <w:r w:rsidRPr="00DE12A3">
        <w:rPr>
          <w:b/>
          <w:bCs/>
          <w:color w:val="auto"/>
        </w:rPr>
        <w:t>Bu stratejileri gösterme yöntemi de dahil olmak üzere, NRE ve NRG kategorisindeki motorlar için NOx kontrol tedbirleri ile ilgili ek teknik şartlar</w:t>
      </w:r>
    </w:p>
    <w:p w14:paraId="5AAC71E4" w14:textId="77777777" w:rsidR="002D7B36" w:rsidRPr="00DE12A3" w:rsidRDefault="009D331B" w:rsidP="00E20716">
      <w:pPr>
        <w:pStyle w:val="Balk460"/>
        <w:numPr>
          <w:ilvl w:val="0"/>
          <w:numId w:val="5"/>
        </w:numPr>
        <w:shd w:val="clear" w:color="auto" w:fill="auto"/>
        <w:spacing w:before="120" w:after="120" w:line="240" w:lineRule="auto"/>
        <w:ind w:left="1134" w:hanging="1134"/>
        <w:rPr>
          <w:b w:val="0"/>
          <w:sz w:val="24"/>
          <w:szCs w:val="24"/>
        </w:rPr>
      </w:pPr>
      <w:r w:rsidRPr="00DE12A3">
        <w:rPr>
          <w:rStyle w:val="Balk467ptKalnDeil0ptbolukbraklyor"/>
          <w:b/>
          <w:color w:val="auto"/>
          <w:sz w:val="24"/>
          <w:szCs w:val="24"/>
        </w:rPr>
        <w:t xml:space="preserve">      </w:t>
      </w:r>
      <w:r w:rsidR="00242DA0" w:rsidRPr="00DE12A3">
        <w:rPr>
          <w:rStyle w:val="Balk467ptKalnDeil0ptbolukbraklyor"/>
          <w:b/>
          <w:color w:val="auto"/>
          <w:sz w:val="24"/>
          <w:szCs w:val="24"/>
        </w:rPr>
        <w:t>Giriş</w:t>
      </w:r>
    </w:p>
    <w:p w14:paraId="249A2D65" w14:textId="77777777" w:rsidR="002D7B36" w:rsidRPr="00DE12A3" w:rsidRDefault="009D331B" w:rsidP="00C917D6">
      <w:pPr>
        <w:pStyle w:val="Gvdemetni250"/>
        <w:shd w:val="clear" w:color="auto" w:fill="auto"/>
        <w:spacing w:before="120" w:after="120" w:line="240" w:lineRule="auto"/>
        <w:ind w:left="1134" w:hanging="1134"/>
        <w:rPr>
          <w:sz w:val="24"/>
          <w:szCs w:val="24"/>
        </w:rPr>
      </w:pPr>
      <w:r w:rsidRPr="00DE12A3">
        <w:rPr>
          <w:sz w:val="24"/>
          <w:szCs w:val="24"/>
        </w:rPr>
        <w:t xml:space="preserve">                  </w:t>
      </w:r>
      <w:r w:rsidR="00242DA0" w:rsidRPr="00DE12A3">
        <w:rPr>
          <w:sz w:val="24"/>
          <w:szCs w:val="24"/>
        </w:rPr>
        <w:t xml:space="preserve">Bu Açıklayıcı Ek, NOx kontrol tedbirlerinin doğru işlemesini sağlamaya yönelik ek </w:t>
      </w:r>
      <w:r w:rsidR="0053289F" w:rsidRPr="00DE12A3">
        <w:rPr>
          <w:sz w:val="24"/>
          <w:szCs w:val="24"/>
        </w:rPr>
        <w:t>gereklilikleri</w:t>
      </w:r>
      <w:r w:rsidR="00242DA0" w:rsidRPr="00DE12A3">
        <w:rPr>
          <w:sz w:val="24"/>
          <w:szCs w:val="24"/>
        </w:rPr>
        <w:t xml:space="preserve"> ortaya koymaktadır. Emisyonları azaltmak için bir ayıraç kullanılmasına dayanan motorlara ilişkin </w:t>
      </w:r>
      <w:r w:rsidR="0053289F" w:rsidRPr="00DE12A3">
        <w:rPr>
          <w:sz w:val="24"/>
          <w:szCs w:val="24"/>
        </w:rPr>
        <w:t>gereklilikleri</w:t>
      </w:r>
      <w:r w:rsidR="00242DA0" w:rsidRPr="00DE12A3">
        <w:rPr>
          <w:sz w:val="24"/>
          <w:szCs w:val="24"/>
        </w:rPr>
        <w:t xml:space="preserve"> içermektedir. AB tip onayı, bu Açıklayıcı Ek'te belirtilen, operatör eğitimi, montaj dokümanları, operatör uyarı sistemi, ikna sistemi ve ayıraç donma koruması hakkındaki ilgili hükümlerin uygulanması şartına bağlı olmalıdır.</w:t>
      </w:r>
    </w:p>
    <w:p w14:paraId="49CC2EF1" w14:textId="77777777" w:rsidR="002D7B36" w:rsidRPr="00DE12A3" w:rsidRDefault="009D331B" w:rsidP="00E20716">
      <w:pPr>
        <w:pStyle w:val="Balk460"/>
        <w:numPr>
          <w:ilvl w:val="0"/>
          <w:numId w:val="5"/>
        </w:numPr>
        <w:shd w:val="clear" w:color="auto" w:fill="auto"/>
        <w:tabs>
          <w:tab w:val="left" w:pos="832"/>
        </w:tabs>
        <w:spacing w:before="120" w:after="120" w:line="240" w:lineRule="auto"/>
        <w:ind w:left="1134" w:hanging="1134"/>
        <w:rPr>
          <w:b w:val="0"/>
          <w:sz w:val="24"/>
          <w:szCs w:val="24"/>
        </w:rPr>
      </w:pPr>
      <w:r w:rsidRPr="00DE12A3">
        <w:rPr>
          <w:rStyle w:val="Balk467ptKalnDeil0ptbolukbraklyor"/>
          <w:b/>
          <w:color w:val="auto"/>
          <w:sz w:val="24"/>
          <w:szCs w:val="24"/>
        </w:rPr>
        <w:t xml:space="preserve">     </w:t>
      </w:r>
      <w:r w:rsidR="00242DA0" w:rsidRPr="00DE12A3">
        <w:rPr>
          <w:rStyle w:val="Balk467ptKalnDeil0ptbolukbraklyor"/>
          <w:b/>
          <w:color w:val="auto"/>
          <w:sz w:val="24"/>
          <w:szCs w:val="24"/>
        </w:rPr>
        <w:t>Genel şartlar</w:t>
      </w:r>
    </w:p>
    <w:p w14:paraId="3931B6AF" w14:textId="5B2AD31A" w:rsidR="002D7B36" w:rsidRPr="00DE12A3" w:rsidRDefault="009D331B" w:rsidP="00C917D6">
      <w:pPr>
        <w:pStyle w:val="Gvdemetni250"/>
        <w:shd w:val="clear" w:color="auto" w:fill="auto"/>
        <w:spacing w:before="120" w:after="120" w:line="240" w:lineRule="auto"/>
        <w:ind w:left="1134" w:hanging="1134"/>
        <w:rPr>
          <w:sz w:val="24"/>
          <w:szCs w:val="24"/>
        </w:rPr>
      </w:pPr>
      <w:r w:rsidRPr="00DE12A3">
        <w:rPr>
          <w:sz w:val="24"/>
          <w:szCs w:val="24"/>
        </w:rPr>
        <w:t xml:space="preserve">                   </w:t>
      </w:r>
      <w:r w:rsidR="00242DA0" w:rsidRPr="00DE12A3">
        <w:rPr>
          <w:sz w:val="24"/>
          <w:szCs w:val="24"/>
        </w:rPr>
        <w:t xml:space="preserve">Motor, NOx kontrol arızalarını (NCM'ler) tespit edebilen bir NOx Kontrol Teşhis sistemi (NCD) ile donatılmalıdır. Bu </w:t>
      </w:r>
      <w:r w:rsidR="00721C89" w:rsidRPr="00DE12A3">
        <w:rPr>
          <w:sz w:val="24"/>
          <w:szCs w:val="24"/>
        </w:rPr>
        <w:t>Bölüm</w:t>
      </w:r>
      <w:r w:rsidR="00242DA0" w:rsidRPr="00DE12A3">
        <w:rPr>
          <w:sz w:val="24"/>
          <w:szCs w:val="24"/>
        </w:rPr>
        <w:t xml:space="preserve"> kapsamındaki her motor, normal kullanım koşullarında motorun normal kullanım ömrü boyunca bu </w:t>
      </w:r>
      <w:r w:rsidR="0053289F" w:rsidRPr="00DE12A3">
        <w:rPr>
          <w:sz w:val="24"/>
          <w:szCs w:val="24"/>
        </w:rPr>
        <w:t>gereklilikleri</w:t>
      </w:r>
      <w:r w:rsidR="00242DA0" w:rsidRPr="00DE12A3">
        <w:rPr>
          <w:sz w:val="24"/>
          <w:szCs w:val="24"/>
        </w:rPr>
        <w:t xml:space="preserve"> sağlayabilecek şekilde tasarlanmalı, imal edilmeli ve monte edilmelidir. Bu amaca </w:t>
      </w:r>
      <w:r w:rsidR="00EF2C88" w:rsidRPr="00DE12A3">
        <w:rPr>
          <w:sz w:val="24"/>
          <w:szCs w:val="24"/>
        </w:rPr>
        <w:t>ulaşılırken, 2016</w:t>
      </w:r>
      <w:r w:rsidR="00EE5D5E" w:rsidRPr="00DE12A3">
        <w:rPr>
          <w:sz w:val="24"/>
          <w:szCs w:val="24"/>
        </w:rPr>
        <w:t>/1628/AB Yönetmeliği</w:t>
      </w:r>
      <w:r w:rsidR="00804290" w:rsidRPr="00DE12A3">
        <w:rPr>
          <w:sz w:val="24"/>
          <w:szCs w:val="24"/>
        </w:rPr>
        <w:t>nin</w:t>
      </w:r>
      <w:r w:rsidR="00EE5D5E" w:rsidRPr="00DE12A3">
        <w:rPr>
          <w:sz w:val="24"/>
          <w:szCs w:val="24"/>
        </w:rPr>
        <w:t xml:space="preserve"> </w:t>
      </w:r>
      <w:r w:rsidR="00804290" w:rsidRPr="00DE12A3">
        <w:rPr>
          <w:sz w:val="24"/>
          <w:szCs w:val="24"/>
        </w:rPr>
        <w:t>EK V’inde</w:t>
      </w:r>
      <w:r w:rsidR="00242DA0" w:rsidRPr="00DE12A3">
        <w:rPr>
          <w:sz w:val="24"/>
          <w:szCs w:val="24"/>
        </w:rPr>
        <w:t xml:space="preserve"> belirtilen emisyon dayanıklılık süresinin üzerinde kullanılmış motorların, NOx Kontrol Teşhis sisteminin (NCD) performansında ve hassasiyetinde, bu Ekte belirtilen eşik değerler, uyarı ve/veya ikna sistemleri devreye girmeden önce aşılabilecek şekilde bir miktar bozulma gösterdiği kabul edilebilir.</w:t>
      </w:r>
    </w:p>
    <w:p w14:paraId="433A16F7" w14:textId="77777777" w:rsidR="002D7B36" w:rsidRPr="00DE12A3" w:rsidRDefault="009D331B" w:rsidP="00E20716">
      <w:pPr>
        <w:pStyle w:val="Gvdemetni250"/>
        <w:numPr>
          <w:ilvl w:val="1"/>
          <w:numId w:val="5"/>
        </w:numPr>
        <w:shd w:val="clear" w:color="auto" w:fill="auto"/>
        <w:spacing w:before="120" w:after="120" w:line="240" w:lineRule="auto"/>
        <w:ind w:left="1134" w:hanging="1134"/>
        <w:rPr>
          <w:sz w:val="24"/>
          <w:szCs w:val="24"/>
        </w:rPr>
      </w:pPr>
      <w:r w:rsidRPr="00DE12A3">
        <w:rPr>
          <w:sz w:val="24"/>
          <w:szCs w:val="24"/>
        </w:rPr>
        <w:t xml:space="preserve">       </w:t>
      </w:r>
      <w:r w:rsidR="00242DA0" w:rsidRPr="00DE12A3">
        <w:rPr>
          <w:sz w:val="24"/>
          <w:szCs w:val="24"/>
        </w:rPr>
        <w:t>Gerekli bilgiler</w:t>
      </w:r>
    </w:p>
    <w:p w14:paraId="268FCED5" w14:textId="7A612B66" w:rsidR="002D7B36" w:rsidRPr="00DE12A3" w:rsidRDefault="0027539F" w:rsidP="00E20716">
      <w:pPr>
        <w:pStyle w:val="Gvdemetni250"/>
        <w:numPr>
          <w:ilvl w:val="2"/>
          <w:numId w:val="5"/>
        </w:numPr>
        <w:shd w:val="clear" w:color="auto" w:fill="auto"/>
        <w:spacing w:before="120" w:after="120" w:line="240" w:lineRule="auto"/>
        <w:ind w:left="1134" w:hanging="1134"/>
        <w:rPr>
          <w:sz w:val="24"/>
          <w:szCs w:val="24"/>
        </w:rPr>
      </w:pPr>
      <w:r w:rsidRPr="00DE12A3">
        <w:rPr>
          <w:sz w:val="24"/>
          <w:szCs w:val="24"/>
        </w:rPr>
        <w:t xml:space="preserve">  </w:t>
      </w:r>
      <w:r w:rsidR="009D331B" w:rsidRPr="00DE12A3">
        <w:rPr>
          <w:sz w:val="24"/>
          <w:szCs w:val="24"/>
        </w:rPr>
        <w:t xml:space="preserve">    </w:t>
      </w:r>
      <w:r w:rsidRPr="00DE12A3">
        <w:rPr>
          <w:sz w:val="24"/>
          <w:szCs w:val="24"/>
        </w:rPr>
        <w:t xml:space="preserve"> </w:t>
      </w:r>
      <w:r w:rsidR="00242DA0" w:rsidRPr="00DE12A3">
        <w:rPr>
          <w:sz w:val="24"/>
          <w:szCs w:val="24"/>
        </w:rPr>
        <w:t xml:space="preserve">Emisyon kontrol sistemi bir ayıraç gerektirirse, ayıracın tipi, solüsyon içinde olduğunda ayıraç konsantrasyonu hakkında bilgi, çalışma sıcaklığı koşulları, söz konusu ayıracın bileşimine ve kalitesine ve diğer özelliklerine ilişkin uluslararası standartlara bir atıf, </w:t>
      </w:r>
      <w:r w:rsidR="00EE5D5E" w:rsidRPr="00DE12A3">
        <w:rPr>
          <w:sz w:val="24"/>
          <w:szCs w:val="24"/>
        </w:rPr>
        <w:t xml:space="preserve">2017/656/AB </w:t>
      </w:r>
      <w:r w:rsidR="00F73CAC" w:rsidRPr="00DE12A3">
        <w:rPr>
          <w:sz w:val="24"/>
          <w:szCs w:val="24"/>
        </w:rPr>
        <w:t>Tebliği</w:t>
      </w:r>
      <w:r w:rsidR="00804290" w:rsidRPr="00DE12A3">
        <w:rPr>
          <w:sz w:val="24"/>
          <w:szCs w:val="24"/>
        </w:rPr>
        <w:t>nin</w:t>
      </w:r>
      <w:r w:rsidR="00F73CAC" w:rsidRPr="00DE12A3">
        <w:rPr>
          <w:sz w:val="24"/>
          <w:szCs w:val="24"/>
        </w:rPr>
        <w:t xml:space="preserve"> I’inci</w:t>
      </w:r>
      <w:r w:rsidR="00EE5D5E" w:rsidRPr="00DE12A3">
        <w:rPr>
          <w:sz w:val="24"/>
          <w:szCs w:val="24"/>
        </w:rPr>
        <w:t xml:space="preserve"> </w:t>
      </w:r>
      <w:r w:rsidR="00EC3EF0" w:rsidRPr="00DE12A3">
        <w:rPr>
          <w:sz w:val="24"/>
          <w:szCs w:val="24"/>
        </w:rPr>
        <w:t>Ekinin</w:t>
      </w:r>
      <w:r w:rsidR="00242DA0" w:rsidRPr="00DE12A3">
        <w:rPr>
          <w:sz w:val="24"/>
          <w:szCs w:val="24"/>
        </w:rPr>
        <w:t xml:space="preserve"> B Bölümü uyarınca imalatçı tarafından belirtilmelidir.</w:t>
      </w:r>
    </w:p>
    <w:p w14:paraId="75FE97B1" w14:textId="19EA9B79" w:rsidR="002D7B36" w:rsidRPr="00DE12A3" w:rsidRDefault="009D331B" w:rsidP="00E20716">
      <w:pPr>
        <w:pStyle w:val="Gvdemetni250"/>
        <w:numPr>
          <w:ilvl w:val="2"/>
          <w:numId w:val="5"/>
        </w:numPr>
        <w:shd w:val="clear" w:color="auto" w:fill="auto"/>
        <w:spacing w:before="120" w:after="120" w:line="240" w:lineRule="auto"/>
        <w:ind w:left="1134" w:hanging="1134"/>
        <w:rPr>
          <w:sz w:val="24"/>
          <w:szCs w:val="24"/>
        </w:rPr>
      </w:pPr>
      <w:r w:rsidRPr="00DE12A3">
        <w:rPr>
          <w:sz w:val="24"/>
          <w:szCs w:val="24"/>
        </w:rPr>
        <w:t xml:space="preserve">       </w:t>
      </w:r>
      <w:r w:rsidR="00242DA0" w:rsidRPr="00DE12A3">
        <w:rPr>
          <w:sz w:val="24"/>
          <w:szCs w:val="24"/>
        </w:rPr>
        <w:t xml:space="preserve">4. </w:t>
      </w:r>
      <w:r w:rsidR="00721C89" w:rsidRPr="00DE12A3">
        <w:rPr>
          <w:sz w:val="24"/>
          <w:szCs w:val="24"/>
        </w:rPr>
        <w:t>Bölüm</w:t>
      </w:r>
      <w:r w:rsidR="00242DA0" w:rsidRPr="00DE12A3">
        <w:rPr>
          <w:sz w:val="24"/>
          <w:szCs w:val="24"/>
        </w:rPr>
        <w:t xml:space="preserve">de belirtilen kullanıcı uyarı sisteminin ve 5. </w:t>
      </w:r>
      <w:r w:rsidR="00721C89" w:rsidRPr="00DE12A3">
        <w:rPr>
          <w:sz w:val="24"/>
          <w:szCs w:val="24"/>
        </w:rPr>
        <w:t>Bölüm</w:t>
      </w:r>
      <w:r w:rsidR="00242DA0" w:rsidRPr="00DE12A3">
        <w:rPr>
          <w:sz w:val="24"/>
          <w:szCs w:val="24"/>
        </w:rPr>
        <w:t xml:space="preserve">de belirtilen kullanıcı ikna sisteminin işlevsel çalışma özelliklerini tam olarak tanımlayan ayrıntılı yazılı bilgiler, AB tip onayı sırasında </w:t>
      </w:r>
      <w:r w:rsidR="007E2039" w:rsidRPr="00DE12A3">
        <w:rPr>
          <w:sz w:val="24"/>
          <w:szCs w:val="24"/>
        </w:rPr>
        <w:t xml:space="preserve">onay </w:t>
      </w:r>
      <w:r w:rsidR="00F73CAC" w:rsidRPr="00DE12A3">
        <w:rPr>
          <w:sz w:val="24"/>
          <w:szCs w:val="24"/>
        </w:rPr>
        <w:t>kuruluşuna sağlanmalıdır</w:t>
      </w:r>
      <w:r w:rsidR="00242DA0" w:rsidRPr="00DE12A3">
        <w:rPr>
          <w:sz w:val="24"/>
          <w:szCs w:val="24"/>
        </w:rPr>
        <w:t>.</w:t>
      </w:r>
    </w:p>
    <w:p w14:paraId="430E6B18" w14:textId="77777777" w:rsidR="002D7B36" w:rsidRPr="00DE12A3" w:rsidRDefault="009D331B" w:rsidP="00E20716">
      <w:pPr>
        <w:pStyle w:val="Gvdemetni250"/>
        <w:numPr>
          <w:ilvl w:val="2"/>
          <w:numId w:val="5"/>
        </w:numPr>
        <w:shd w:val="clear" w:color="auto" w:fill="auto"/>
        <w:spacing w:before="120" w:after="120" w:line="240" w:lineRule="auto"/>
        <w:ind w:left="1134" w:hanging="1134"/>
        <w:rPr>
          <w:sz w:val="24"/>
          <w:szCs w:val="24"/>
        </w:rPr>
      </w:pPr>
      <w:r w:rsidRPr="00DE12A3">
        <w:rPr>
          <w:sz w:val="24"/>
          <w:szCs w:val="24"/>
        </w:rPr>
        <w:t xml:space="preserve">        </w:t>
      </w:r>
      <w:r w:rsidR="00242DA0" w:rsidRPr="00DE12A3">
        <w:rPr>
          <w:sz w:val="24"/>
          <w:szCs w:val="24"/>
        </w:rPr>
        <w:t xml:space="preserve">İmalatçı, OEM'e, motorun karayolu dışında kullanılan hareketli makinalara; motor, emisyon kontrol sistemi ve karayolu dışında kullanılan hareketli makina parçalarının bu Açıklayıcı Ekin </w:t>
      </w:r>
      <w:r w:rsidR="0053289F" w:rsidRPr="00DE12A3">
        <w:rPr>
          <w:sz w:val="24"/>
          <w:szCs w:val="24"/>
        </w:rPr>
        <w:t>gerekliliklerine</w:t>
      </w:r>
      <w:r w:rsidR="00242DA0" w:rsidRPr="00DE12A3">
        <w:rPr>
          <w:sz w:val="24"/>
          <w:szCs w:val="24"/>
        </w:rPr>
        <w:t xml:space="preserve"> uygun bir şekilde çalışmasını sağlayacak şekilde nasıl monte edileceğine dair talimatlar içeren belgeler sunmalıdır. Bu dokümantasyon, motorun karayolu dışındaki hareketli makinalara doğru montajı için gereken, motora ait ayrıntılı teknik </w:t>
      </w:r>
      <w:r w:rsidR="0053289F" w:rsidRPr="00DE12A3">
        <w:rPr>
          <w:sz w:val="24"/>
          <w:szCs w:val="24"/>
        </w:rPr>
        <w:t>gereklilikleri</w:t>
      </w:r>
      <w:r w:rsidR="00242DA0" w:rsidRPr="00DE12A3">
        <w:rPr>
          <w:sz w:val="24"/>
          <w:szCs w:val="24"/>
        </w:rPr>
        <w:t xml:space="preserve"> (yazılım, donanım ve iletişim) içermelidir.</w:t>
      </w:r>
    </w:p>
    <w:p w14:paraId="1B2F530F" w14:textId="77777777" w:rsidR="002D7B36" w:rsidRPr="00DE12A3" w:rsidRDefault="009D331B" w:rsidP="00E20716">
      <w:pPr>
        <w:pStyle w:val="Gvdemetni250"/>
        <w:numPr>
          <w:ilvl w:val="1"/>
          <w:numId w:val="5"/>
        </w:numPr>
        <w:shd w:val="clear" w:color="auto" w:fill="auto"/>
        <w:spacing w:before="120" w:after="120" w:line="240" w:lineRule="auto"/>
        <w:ind w:left="1134" w:hanging="1134"/>
        <w:rPr>
          <w:sz w:val="24"/>
          <w:szCs w:val="24"/>
        </w:rPr>
      </w:pPr>
      <w:r w:rsidRPr="00DE12A3">
        <w:rPr>
          <w:sz w:val="24"/>
          <w:szCs w:val="24"/>
        </w:rPr>
        <w:t xml:space="preserve">       </w:t>
      </w:r>
      <w:r w:rsidR="00242DA0" w:rsidRPr="00DE12A3">
        <w:rPr>
          <w:sz w:val="24"/>
          <w:szCs w:val="24"/>
        </w:rPr>
        <w:t>Çalışma koşulları</w:t>
      </w:r>
    </w:p>
    <w:p w14:paraId="01922A0A" w14:textId="77777777" w:rsidR="002D7B36" w:rsidRPr="00DE12A3" w:rsidRDefault="009D331B" w:rsidP="00E20716">
      <w:pPr>
        <w:pStyle w:val="ListeParagraf"/>
        <w:numPr>
          <w:ilvl w:val="2"/>
          <w:numId w:val="6"/>
        </w:numPr>
        <w:spacing w:before="120" w:after="120"/>
        <w:ind w:left="1134" w:hanging="1134"/>
        <w:jc w:val="both"/>
        <w:rPr>
          <w:rFonts w:cs="Times New Roman"/>
          <w:color w:val="auto"/>
        </w:rPr>
      </w:pPr>
      <w:r w:rsidRPr="00DE12A3">
        <w:rPr>
          <w:rFonts w:cs="Times New Roman"/>
          <w:color w:val="auto"/>
        </w:rPr>
        <w:t xml:space="preserve">       </w:t>
      </w:r>
      <w:r w:rsidR="00242DA0" w:rsidRPr="00DE12A3">
        <w:rPr>
          <w:rFonts w:cs="Times New Roman"/>
          <w:color w:val="auto"/>
        </w:rPr>
        <w:t>Depolama tankındaki ayıraç seviyesine ilişkin izleme, teknik olarak ölçümün mümkün olduğu tüm koşullar altında (örneğin, bir sıvı ayıracın donmuş olmadığı tüm koşullar altında) yapılmalıdır.</w:t>
      </w:r>
    </w:p>
    <w:p w14:paraId="5F636EF6" w14:textId="77777777" w:rsidR="002D7B36" w:rsidRPr="00DE12A3" w:rsidRDefault="009D331B" w:rsidP="00E20716">
      <w:pPr>
        <w:pStyle w:val="Gvdemetni250"/>
        <w:numPr>
          <w:ilvl w:val="0"/>
          <w:numId w:val="7"/>
        </w:numPr>
        <w:shd w:val="clear" w:color="auto" w:fill="auto"/>
        <w:spacing w:before="120" w:after="120" w:line="240" w:lineRule="auto"/>
        <w:ind w:left="1134" w:hanging="1134"/>
        <w:rPr>
          <w:sz w:val="24"/>
          <w:szCs w:val="24"/>
        </w:rPr>
      </w:pPr>
      <w:r w:rsidRPr="00DE12A3">
        <w:rPr>
          <w:sz w:val="24"/>
          <w:szCs w:val="24"/>
        </w:rPr>
        <w:t xml:space="preserve">       </w:t>
      </w:r>
      <w:r w:rsidR="00242DA0" w:rsidRPr="00DE12A3">
        <w:rPr>
          <w:sz w:val="24"/>
          <w:szCs w:val="24"/>
        </w:rPr>
        <w:t>Ayıraç donma koruması 266 K (-7°C) veya altındaki ortam sıcaklıklarında uygulanır.</w:t>
      </w:r>
    </w:p>
    <w:p w14:paraId="04A4CF74" w14:textId="77777777" w:rsidR="002D7B36" w:rsidRPr="00DE12A3" w:rsidRDefault="009D331B" w:rsidP="00E20716">
      <w:pPr>
        <w:pStyle w:val="Gvdemetni250"/>
        <w:numPr>
          <w:ilvl w:val="0"/>
          <w:numId w:val="7"/>
        </w:numPr>
        <w:shd w:val="clear" w:color="auto" w:fill="auto"/>
        <w:spacing w:before="120" w:after="120" w:line="240" w:lineRule="auto"/>
        <w:ind w:left="1134" w:hanging="1134"/>
        <w:rPr>
          <w:sz w:val="24"/>
          <w:szCs w:val="24"/>
        </w:rPr>
      </w:pPr>
      <w:r w:rsidRPr="00DE12A3">
        <w:rPr>
          <w:sz w:val="24"/>
          <w:szCs w:val="24"/>
        </w:rPr>
        <w:t xml:space="preserve">       </w:t>
      </w:r>
      <w:r w:rsidR="00242DA0" w:rsidRPr="00DE12A3">
        <w:rPr>
          <w:sz w:val="24"/>
          <w:szCs w:val="24"/>
        </w:rPr>
        <w:t>NOx kontrol teşhis sisteminin 2.2.1 ve 2.2.2 bentlerinde sıralananlar dışındaki tüm unsurları, her motor kategorisi için en azından bu Ekin 2.4 bendinde belirtilen geçerli kontrol koşullarında çalışır durumda olmalıdır. Teşhis sistemi, teknik olarak mümkün olduğunda bu aralığın dışında da çalışmaya devam etmelidir.</w:t>
      </w:r>
    </w:p>
    <w:p w14:paraId="41B74C4A" w14:textId="77777777" w:rsidR="002D7B36" w:rsidRPr="00DE12A3" w:rsidRDefault="009D331B" w:rsidP="00E20716">
      <w:pPr>
        <w:pStyle w:val="Gvdemetni250"/>
        <w:numPr>
          <w:ilvl w:val="0"/>
          <w:numId w:val="8"/>
        </w:numPr>
        <w:shd w:val="clear" w:color="auto" w:fill="auto"/>
        <w:spacing w:before="120" w:after="120" w:line="240" w:lineRule="auto"/>
        <w:ind w:left="1134" w:hanging="1134"/>
        <w:rPr>
          <w:sz w:val="24"/>
          <w:szCs w:val="24"/>
        </w:rPr>
      </w:pPr>
      <w:r w:rsidRPr="00DE12A3">
        <w:rPr>
          <w:sz w:val="24"/>
          <w:szCs w:val="24"/>
        </w:rPr>
        <w:lastRenderedPageBreak/>
        <w:t xml:space="preserve">       </w:t>
      </w:r>
      <w:r w:rsidR="00242DA0" w:rsidRPr="00DE12A3">
        <w:rPr>
          <w:sz w:val="24"/>
          <w:szCs w:val="24"/>
        </w:rPr>
        <w:t>Ayıraç donma koruması</w:t>
      </w:r>
    </w:p>
    <w:p w14:paraId="2FF680BC" w14:textId="77777777" w:rsidR="002D7B36" w:rsidRPr="00DE12A3" w:rsidRDefault="009D331B" w:rsidP="00E20716">
      <w:pPr>
        <w:pStyle w:val="Gvdemetni250"/>
        <w:numPr>
          <w:ilvl w:val="0"/>
          <w:numId w:val="9"/>
        </w:numPr>
        <w:shd w:val="clear" w:color="auto" w:fill="auto"/>
        <w:tabs>
          <w:tab w:val="center" w:pos="851"/>
          <w:tab w:val="left" w:pos="3394"/>
          <w:tab w:val="left" w:pos="3542"/>
          <w:tab w:val="center" w:pos="4517"/>
          <w:tab w:val="right" w:pos="5640"/>
        </w:tabs>
        <w:spacing w:before="120" w:after="120" w:line="240" w:lineRule="auto"/>
        <w:ind w:left="1134" w:hanging="1134"/>
        <w:rPr>
          <w:sz w:val="24"/>
          <w:szCs w:val="24"/>
        </w:rPr>
      </w:pPr>
      <w:r w:rsidRPr="00DE12A3">
        <w:rPr>
          <w:sz w:val="24"/>
          <w:szCs w:val="24"/>
        </w:rPr>
        <w:t xml:space="preserve">     </w:t>
      </w:r>
      <w:r w:rsidR="00242DA0" w:rsidRPr="00DE12A3">
        <w:rPr>
          <w:sz w:val="24"/>
          <w:szCs w:val="24"/>
        </w:rPr>
        <w:t xml:space="preserve">Isıtmalı veya ısıtmasız bir ayıraç tankı ve dozaj sistemi kullanmasına izin verilir. Isıtmalı bir sistem, 2.3.2.2 ila 2.3.2.2.4 bentlerindeki </w:t>
      </w:r>
      <w:r w:rsidR="0053289F" w:rsidRPr="00DE12A3">
        <w:rPr>
          <w:sz w:val="24"/>
          <w:szCs w:val="24"/>
        </w:rPr>
        <w:t>gereklilikleri</w:t>
      </w:r>
      <w:r w:rsidR="00242DA0" w:rsidRPr="00DE12A3">
        <w:rPr>
          <w:sz w:val="24"/>
          <w:szCs w:val="24"/>
        </w:rPr>
        <w:t xml:space="preserve"> sağlamalıdır. Isıtmasız bir sistem, 2.3.2.3 bendinin </w:t>
      </w:r>
      <w:r w:rsidR="0053289F" w:rsidRPr="00DE12A3">
        <w:rPr>
          <w:sz w:val="24"/>
          <w:szCs w:val="24"/>
        </w:rPr>
        <w:t>gerekliliklerini</w:t>
      </w:r>
      <w:r w:rsidR="00242DA0" w:rsidRPr="00DE12A3">
        <w:rPr>
          <w:sz w:val="24"/>
          <w:szCs w:val="24"/>
        </w:rPr>
        <w:t xml:space="preserve"> sağlamalıdır.</w:t>
      </w:r>
    </w:p>
    <w:p w14:paraId="1EB57B93" w14:textId="77777777" w:rsidR="002D7B36" w:rsidRPr="00DE12A3" w:rsidRDefault="00242DA0" w:rsidP="00E20716">
      <w:pPr>
        <w:pStyle w:val="Gvdemetni250"/>
        <w:numPr>
          <w:ilvl w:val="0"/>
          <w:numId w:val="10"/>
        </w:numPr>
        <w:shd w:val="clear" w:color="auto" w:fill="auto"/>
        <w:spacing w:before="120" w:after="120" w:line="240" w:lineRule="auto"/>
        <w:ind w:left="1134" w:hanging="1134"/>
        <w:rPr>
          <w:sz w:val="24"/>
          <w:szCs w:val="24"/>
        </w:rPr>
      </w:pPr>
      <w:r w:rsidRPr="00DE12A3">
        <w:rPr>
          <w:sz w:val="24"/>
          <w:szCs w:val="24"/>
        </w:rPr>
        <w:t>Isıtmasız bir ayıraç tankının ve dozaj sisteminin kullanımı, karayolu dışındaki hareketli makinaların son kullanıcılarına verilen yazılı talimatlarda belirtilmelidir.</w:t>
      </w:r>
    </w:p>
    <w:p w14:paraId="3352709F" w14:textId="77777777" w:rsidR="002D7B36" w:rsidRPr="00DE12A3" w:rsidRDefault="00242DA0" w:rsidP="00C917D6">
      <w:pPr>
        <w:pStyle w:val="Gvdemetni250"/>
        <w:shd w:val="clear" w:color="auto" w:fill="auto"/>
        <w:spacing w:before="120" w:after="120" w:line="240" w:lineRule="auto"/>
        <w:ind w:left="1134" w:hanging="1134"/>
        <w:rPr>
          <w:sz w:val="24"/>
          <w:szCs w:val="24"/>
        </w:rPr>
      </w:pPr>
      <w:r w:rsidRPr="00DE12A3">
        <w:rPr>
          <w:sz w:val="24"/>
          <w:szCs w:val="24"/>
        </w:rPr>
        <w:t>2.3.2.</w:t>
      </w:r>
      <w:r w:rsidRPr="00DE12A3">
        <w:rPr>
          <w:sz w:val="24"/>
          <w:szCs w:val="24"/>
        </w:rPr>
        <w:tab/>
        <w:t>Ayıraç tankı ve dozaj sistemi</w:t>
      </w:r>
    </w:p>
    <w:p w14:paraId="7CB762C4" w14:textId="77777777" w:rsidR="002D7B36" w:rsidRPr="00DE12A3" w:rsidRDefault="009D331B" w:rsidP="00E20716">
      <w:pPr>
        <w:pStyle w:val="Gvdemetni250"/>
        <w:numPr>
          <w:ilvl w:val="0"/>
          <w:numId w:val="11"/>
        </w:numPr>
        <w:shd w:val="clear" w:color="auto" w:fill="auto"/>
        <w:tabs>
          <w:tab w:val="center" w:pos="851"/>
          <w:tab w:val="center" w:pos="4776"/>
          <w:tab w:val="center" w:pos="5256"/>
        </w:tabs>
        <w:spacing w:before="120" w:after="120" w:line="240" w:lineRule="auto"/>
        <w:ind w:left="1134" w:hanging="1134"/>
        <w:rPr>
          <w:sz w:val="24"/>
          <w:szCs w:val="24"/>
        </w:rPr>
      </w:pPr>
      <w:r w:rsidRPr="00DE12A3">
        <w:rPr>
          <w:sz w:val="24"/>
          <w:szCs w:val="24"/>
        </w:rPr>
        <w:t xml:space="preserve">     </w:t>
      </w:r>
      <w:r w:rsidR="00242DA0" w:rsidRPr="00DE12A3">
        <w:rPr>
          <w:sz w:val="24"/>
          <w:szCs w:val="24"/>
        </w:rPr>
        <w:t>Ayıraç donmuşsa, motor 266 K (-7°C) ortam sıcaklığında çalıştırıldıktan sonra en fazla 70 dakika içinde ayıraç kullanıma hazır olmalıdır.</w:t>
      </w:r>
    </w:p>
    <w:p w14:paraId="225505B2" w14:textId="77777777" w:rsidR="002D7B36" w:rsidRPr="00DE12A3" w:rsidRDefault="00242DA0" w:rsidP="00E20716">
      <w:pPr>
        <w:pStyle w:val="Gvdemetni250"/>
        <w:numPr>
          <w:ilvl w:val="0"/>
          <w:numId w:val="11"/>
        </w:numPr>
        <w:shd w:val="clear" w:color="auto" w:fill="auto"/>
        <w:spacing w:before="120" w:after="120" w:line="240" w:lineRule="auto"/>
        <w:ind w:left="1134" w:hanging="1134"/>
        <w:rPr>
          <w:sz w:val="24"/>
          <w:szCs w:val="24"/>
        </w:rPr>
      </w:pPr>
      <w:r w:rsidRPr="00DE12A3">
        <w:rPr>
          <w:sz w:val="24"/>
          <w:szCs w:val="24"/>
        </w:rPr>
        <w:t>Isıtmalı sistem için tasarım kriterleri</w:t>
      </w:r>
    </w:p>
    <w:p w14:paraId="32C84752" w14:textId="14F166A9" w:rsidR="002D7B36" w:rsidRPr="00DE12A3" w:rsidRDefault="009D331B" w:rsidP="00C917D6">
      <w:pPr>
        <w:pStyle w:val="Gvdemetni250"/>
        <w:shd w:val="clear" w:color="auto" w:fill="auto"/>
        <w:spacing w:before="120" w:after="120" w:line="240" w:lineRule="auto"/>
        <w:ind w:left="1134" w:hanging="1134"/>
        <w:rPr>
          <w:sz w:val="24"/>
          <w:szCs w:val="24"/>
        </w:rPr>
      </w:pPr>
      <w:r w:rsidRPr="00DE12A3">
        <w:rPr>
          <w:sz w:val="24"/>
          <w:szCs w:val="24"/>
        </w:rPr>
        <w:t xml:space="preserve">                   </w:t>
      </w:r>
      <w:r w:rsidR="00242DA0" w:rsidRPr="00DE12A3">
        <w:rPr>
          <w:sz w:val="24"/>
          <w:szCs w:val="24"/>
        </w:rPr>
        <w:t>Isıtmalı bir sistem,</w:t>
      </w:r>
      <w:r w:rsidR="00392980" w:rsidRPr="00DE12A3">
        <w:rPr>
          <w:sz w:val="24"/>
          <w:szCs w:val="24"/>
        </w:rPr>
        <w:t xml:space="preserve"> belirlenmiş bir</w:t>
      </w:r>
      <w:r w:rsidR="00242DA0" w:rsidRPr="00DE12A3">
        <w:rPr>
          <w:sz w:val="24"/>
          <w:szCs w:val="24"/>
        </w:rPr>
        <w:t xml:space="preserve"> prosedür kullanılarak test edildiğinde 2.3.2 ila 2.3.2.2.4 bentlerinde belirtilen performans </w:t>
      </w:r>
      <w:r w:rsidR="0053289F" w:rsidRPr="00DE12A3">
        <w:rPr>
          <w:sz w:val="24"/>
          <w:szCs w:val="24"/>
        </w:rPr>
        <w:t>gerekliliklerini</w:t>
      </w:r>
      <w:r w:rsidR="00242DA0" w:rsidRPr="00DE12A3">
        <w:rPr>
          <w:sz w:val="24"/>
          <w:szCs w:val="24"/>
        </w:rPr>
        <w:t xml:space="preserve"> sağlayacak şekilde tasarlanmalıdır.</w:t>
      </w:r>
    </w:p>
    <w:p w14:paraId="4864DD78" w14:textId="77777777" w:rsidR="002D7B36" w:rsidRPr="00DE12A3" w:rsidRDefault="00242DA0" w:rsidP="00E20716">
      <w:pPr>
        <w:pStyle w:val="Gvdemetni250"/>
        <w:numPr>
          <w:ilvl w:val="0"/>
          <w:numId w:val="12"/>
        </w:numPr>
        <w:shd w:val="clear" w:color="auto" w:fill="auto"/>
        <w:tabs>
          <w:tab w:val="left" w:pos="1134"/>
        </w:tabs>
        <w:spacing w:before="120" w:after="120" w:line="240" w:lineRule="auto"/>
        <w:ind w:left="1134" w:hanging="1134"/>
        <w:rPr>
          <w:sz w:val="24"/>
          <w:szCs w:val="24"/>
        </w:rPr>
      </w:pPr>
      <w:r w:rsidRPr="00DE12A3">
        <w:rPr>
          <w:sz w:val="24"/>
          <w:szCs w:val="24"/>
        </w:rPr>
        <w:t>Ayıraç tankı ve dozaj sistemi, hangisi önce olursa, 255 K (18°C) sıcaklıkta 72 saat boyunca veya ayıraç katı hale gelinceye kadar ıslatılmalıdır.</w:t>
      </w:r>
    </w:p>
    <w:p w14:paraId="609125C6" w14:textId="77777777" w:rsidR="002D7B36" w:rsidRPr="00DE12A3" w:rsidRDefault="00242DA0" w:rsidP="00E20716">
      <w:pPr>
        <w:pStyle w:val="Gvdemetni250"/>
        <w:numPr>
          <w:ilvl w:val="0"/>
          <w:numId w:val="12"/>
        </w:numPr>
        <w:shd w:val="clear" w:color="auto" w:fill="auto"/>
        <w:spacing w:before="120" w:after="120" w:line="240" w:lineRule="auto"/>
        <w:ind w:left="1134" w:hanging="1134"/>
        <w:rPr>
          <w:sz w:val="24"/>
          <w:szCs w:val="24"/>
        </w:rPr>
      </w:pPr>
      <w:r w:rsidRPr="00DE12A3">
        <w:rPr>
          <w:sz w:val="24"/>
          <w:szCs w:val="24"/>
        </w:rPr>
        <w:t>2.3.2.2.1 bendinde belirtilen ıslanma süresinden sonra, karayolu dışında kullanılan hareketli makinalar/motor, aşağıdaki şekilde 266 K (-7°C) ortam sıcaklığında çalıştırılmalı ve kullanılmalıdır:</w:t>
      </w:r>
    </w:p>
    <w:p w14:paraId="3B630D53" w14:textId="77777777" w:rsidR="002D7B36" w:rsidRPr="00DE12A3" w:rsidRDefault="00242DA0" w:rsidP="00E20716">
      <w:pPr>
        <w:pStyle w:val="Gvdemetni250"/>
        <w:numPr>
          <w:ilvl w:val="0"/>
          <w:numId w:val="13"/>
        </w:numPr>
        <w:shd w:val="clear" w:color="auto" w:fill="auto"/>
        <w:tabs>
          <w:tab w:val="left" w:pos="1843"/>
        </w:tabs>
        <w:spacing w:before="120" w:after="120" w:line="240" w:lineRule="auto"/>
        <w:ind w:left="1701" w:hanging="567"/>
        <w:rPr>
          <w:sz w:val="24"/>
          <w:szCs w:val="24"/>
        </w:rPr>
      </w:pPr>
      <w:r w:rsidRPr="00DE12A3">
        <w:rPr>
          <w:sz w:val="24"/>
          <w:szCs w:val="24"/>
        </w:rPr>
        <w:t>10 ila 20 dakika rölantide; ardından</w:t>
      </w:r>
    </w:p>
    <w:p w14:paraId="6202EE4F" w14:textId="77777777" w:rsidR="002D7B36" w:rsidRPr="00DE12A3" w:rsidRDefault="00140F1E" w:rsidP="00E20716">
      <w:pPr>
        <w:pStyle w:val="Gvdemetni250"/>
        <w:numPr>
          <w:ilvl w:val="0"/>
          <w:numId w:val="13"/>
        </w:numPr>
        <w:shd w:val="clear" w:color="auto" w:fill="auto"/>
        <w:tabs>
          <w:tab w:val="left" w:pos="1843"/>
        </w:tabs>
        <w:spacing w:before="120" w:after="120" w:line="240" w:lineRule="auto"/>
        <w:ind w:left="1701" w:hanging="567"/>
        <w:rPr>
          <w:sz w:val="24"/>
          <w:szCs w:val="24"/>
        </w:rPr>
      </w:pPr>
      <w:r w:rsidRPr="00DE12A3">
        <w:rPr>
          <w:sz w:val="24"/>
          <w:szCs w:val="24"/>
        </w:rPr>
        <w:t xml:space="preserve"> E</w:t>
      </w:r>
      <w:r w:rsidR="00242DA0" w:rsidRPr="00DE12A3">
        <w:rPr>
          <w:sz w:val="24"/>
          <w:szCs w:val="24"/>
        </w:rPr>
        <w:t>n çok %40 nominal yükte, 50 dakikaya kadar.</w:t>
      </w:r>
    </w:p>
    <w:p w14:paraId="257D3FA4" w14:textId="77777777" w:rsidR="002D7B36" w:rsidRPr="00DE12A3" w:rsidRDefault="00242DA0" w:rsidP="00E20716">
      <w:pPr>
        <w:pStyle w:val="Gvdemetni250"/>
        <w:numPr>
          <w:ilvl w:val="0"/>
          <w:numId w:val="12"/>
        </w:numPr>
        <w:shd w:val="clear" w:color="auto" w:fill="auto"/>
        <w:spacing w:before="120" w:after="120" w:line="240" w:lineRule="auto"/>
        <w:ind w:left="1134" w:hanging="1134"/>
        <w:rPr>
          <w:sz w:val="24"/>
          <w:szCs w:val="24"/>
        </w:rPr>
      </w:pPr>
      <w:r w:rsidRPr="00DE12A3">
        <w:rPr>
          <w:sz w:val="24"/>
          <w:szCs w:val="24"/>
        </w:rPr>
        <w:t>2.3.2.2.2 bendinde belirtilen test prosedürünün sonunda, ayıraç dozaj sistemi tamamen işlevsel olmalıdır.</w:t>
      </w:r>
    </w:p>
    <w:p w14:paraId="50FF427B" w14:textId="77777777" w:rsidR="002D7B36" w:rsidRPr="00DE12A3" w:rsidRDefault="00242DA0" w:rsidP="00E20716">
      <w:pPr>
        <w:pStyle w:val="Gvdemetni250"/>
        <w:numPr>
          <w:ilvl w:val="0"/>
          <w:numId w:val="12"/>
        </w:numPr>
        <w:shd w:val="clear" w:color="auto" w:fill="auto"/>
        <w:spacing w:before="120" w:after="120" w:line="240" w:lineRule="auto"/>
        <w:ind w:left="1134" w:hanging="1134"/>
        <w:rPr>
          <w:sz w:val="24"/>
          <w:szCs w:val="24"/>
        </w:rPr>
      </w:pPr>
      <w:r w:rsidRPr="00DE12A3">
        <w:rPr>
          <w:sz w:val="24"/>
          <w:szCs w:val="24"/>
        </w:rPr>
        <w:t>Tasarım kriterleri değerlendirmesi, tam bir karayolu dışında kullanılan hareketli makina veya karayolu dışında kullanılan hareketli makina monte edilecek parçaları temsil eden parçalar kullanılarak bir soğuk oda test hücresinde veya saha testlerine dayalı olarak yapılabilir.</w:t>
      </w:r>
    </w:p>
    <w:p w14:paraId="6BA64298" w14:textId="0BFC2F8C" w:rsidR="002D7B36" w:rsidRPr="00DE12A3" w:rsidRDefault="00242DA0" w:rsidP="00C917D6">
      <w:pPr>
        <w:pStyle w:val="Gvdemetni250"/>
        <w:shd w:val="clear" w:color="auto" w:fill="auto"/>
        <w:spacing w:before="120" w:after="120" w:line="240" w:lineRule="auto"/>
        <w:ind w:left="1134" w:hanging="1134"/>
        <w:rPr>
          <w:sz w:val="24"/>
          <w:szCs w:val="24"/>
        </w:rPr>
      </w:pPr>
      <w:r w:rsidRPr="00DE12A3">
        <w:rPr>
          <w:sz w:val="24"/>
          <w:szCs w:val="24"/>
        </w:rPr>
        <w:t>2.3.2.3.</w:t>
      </w:r>
      <w:r w:rsidRPr="00DE12A3">
        <w:rPr>
          <w:sz w:val="24"/>
          <w:szCs w:val="24"/>
        </w:rPr>
        <w:tab/>
        <w:t>Isıtmasız bir sistem için operatör uyarı ve ikna sisteminin devreye girmesi</w:t>
      </w:r>
    </w:p>
    <w:p w14:paraId="6455C038" w14:textId="77777777" w:rsidR="002D7B36" w:rsidRPr="00DE12A3" w:rsidRDefault="00242DA0" w:rsidP="00E20716">
      <w:pPr>
        <w:pStyle w:val="Gvdemetni250"/>
        <w:numPr>
          <w:ilvl w:val="0"/>
          <w:numId w:val="14"/>
        </w:numPr>
        <w:shd w:val="clear" w:color="auto" w:fill="auto"/>
        <w:spacing w:before="120" w:after="120" w:line="240" w:lineRule="auto"/>
        <w:ind w:left="1134" w:hanging="1134"/>
        <w:rPr>
          <w:sz w:val="24"/>
          <w:szCs w:val="24"/>
        </w:rPr>
      </w:pPr>
      <w:r w:rsidRPr="00DE12A3">
        <w:rPr>
          <w:sz w:val="24"/>
          <w:szCs w:val="24"/>
        </w:rPr>
        <w:t>266 K (-7°C) ortam sıcaklığında ayıraç dozajı yapılmazsa, 4 ila 4.9 bentlerinde açıklanan operatör uyarı sistemi devreye girmelidir.</w:t>
      </w:r>
    </w:p>
    <w:p w14:paraId="48BC200D" w14:textId="33B26915" w:rsidR="002D7B36" w:rsidRPr="00DE12A3" w:rsidRDefault="00242DA0" w:rsidP="00E20716">
      <w:pPr>
        <w:pStyle w:val="Gvdemetni250"/>
        <w:numPr>
          <w:ilvl w:val="0"/>
          <w:numId w:val="14"/>
        </w:numPr>
        <w:shd w:val="clear" w:color="auto" w:fill="auto"/>
        <w:tabs>
          <w:tab w:val="right" w:pos="993"/>
        </w:tabs>
        <w:spacing w:before="120" w:after="120" w:line="240" w:lineRule="auto"/>
        <w:ind w:left="1134" w:hanging="1134"/>
        <w:rPr>
          <w:sz w:val="24"/>
          <w:szCs w:val="24"/>
        </w:rPr>
      </w:pPr>
      <w:r w:rsidRPr="00DE12A3">
        <w:rPr>
          <w:sz w:val="24"/>
          <w:szCs w:val="24"/>
        </w:rPr>
        <w:t>Motor &lt;266 K (-7°C) ortam sıcaklığında çalıştırıldıktan sonra en fazla 70 dakika içinde ayıraç dozajının gerçekleşmemesi halinde, 5.4 bendinde belirtilen ağır seviye ikna sistemi devreye girmelidir</w:t>
      </w:r>
      <w:r w:rsidR="00BF667A" w:rsidRPr="00DE12A3">
        <w:rPr>
          <w:sz w:val="24"/>
          <w:szCs w:val="24"/>
        </w:rPr>
        <w:t>.</w:t>
      </w:r>
    </w:p>
    <w:p w14:paraId="7426684A" w14:textId="77777777" w:rsidR="002D7B36" w:rsidRPr="00DE12A3" w:rsidRDefault="009D331B" w:rsidP="00E20716">
      <w:pPr>
        <w:pStyle w:val="Gvdemetni250"/>
        <w:numPr>
          <w:ilvl w:val="0"/>
          <w:numId w:val="15"/>
        </w:numPr>
        <w:shd w:val="clear" w:color="auto" w:fill="auto"/>
        <w:tabs>
          <w:tab w:val="left" w:pos="826"/>
          <w:tab w:val="left" w:pos="854"/>
        </w:tabs>
        <w:spacing w:before="120" w:after="120" w:line="240" w:lineRule="auto"/>
        <w:ind w:left="1134" w:hanging="1134"/>
        <w:rPr>
          <w:sz w:val="24"/>
          <w:szCs w:val="24"/>
        </w:rPr>
      </w:pPr>
      <w:r w:rsidRPr="00DE12A3">
        <w:rPr>
          <w:sz w:val="24"/>
          <w:szCs w:val="24"/>
        </w:rPr>
        <w:t xml:space="preserve">     </w:t>
      </w:r>
      <w:r w:rsidR="00242DA0" w:rsidRPr="00DE12A3">
        <w:rPr>
          <w:sz w:val="24"/>
          <w:szCs w:val="24"/>
        </w:rPr>
        <w:t xml:space="preserve">Teşhis </w:t>
      </w:r>
      <w:r w:rsidR="0053289F" w:rsidRPr="00DE12A3">
        <w:rPr>
          <w:sz w:val="24"/>
          <w:szCs w:val="24"/>
        </w:rPr>
        <w:t>gereklilikleri</w:t>
      </w:r>
    </w:p>
    <w:p w14:paraId="007BC95C" w14:textId="77777777" w:rsidR="002D7B36" w:rsidRPr="00DE12A3" w:rsidRDefault="009D331B" w:rsidP="00E20716">
      <w:pPr>
        <w:pStyle w:val="Gvdemetni250"/>
        <w:numPr>
          <w:ilvl w:val="0"/>
          <w:numId w:val="16"/>
        </w:numPr>
        <w:shd w:val="clear" w:color="auto" w:fill="auto"/>
        <w:tabs>
          <w:tab w:val="left" w:pos="826"/>
        </w:tabs>
        <w:spacing w:before="120" w:after="120" w:line="240" w:lineRule="auto"/>
        <w:ind w:left="1134" w:hanging="1134"/>
        <w:rPr>
          <w:sz w:val="24"/>
          <w:szCs w:val="24"/>
        </w:rPr>
      </w:pPr>
      <w:r w:rsidRPr="00DE12A3">
        <w:rPr>
          <w:sz w:val="24"/>
          <w:szCs w:val="24"/>
        </w:rPr>
        <w:t xml:space="preserve">     </w:t>
      </w:r>
      <w:r w:rsidR="00242DA0" w:rsidRPr="00DE12A3">
        <w:rPr>
          <w:sz w:val="24"/>
          <w:szCs w:val="24"/>
        </w:rPr>
        <w:t>NOx Kontrol Teşhis sistemi (NCD), NOx kontrol arızalarını (NCM'leri), bilgisayar hafızasına kaydedilen Teşhis Hata Kodları (DTC'ler) vasıtasıyla tanımlayabilmeli ve talep üzerine bu bilgiyi harici olarak iletebilmelidir.</w:t>
      </w:r>
    </w:p>
    <w:p w14:paraId="27E8863F" w14:textId="77777777" w:rsidR="002D7B36" w:rsidRPr="00DE12A3" w:rsidRDefault="009D331B" w:rsidP="00E20716">
      <w:pPr>
        <w:pStyle w:val="Gvdemetni250"/>
        <w:numPr>
          <w:ilvl w:val="0"/>
          <w:numId w:val="16"/>
        </w:numPr>
        <w:shd w:val="clear" w:color="auto" w:fill="auto"/>
        <w:tabs>
          <w:tab w:val="left" w:pos="826"/>
        </w:tabs>
        <w:spacing w:before="120" w:after="120" w:line="240" w:lineRule="auto"/>
        <w:ind w:left="1134" w:hanging="1134"/>
        <w:rPr>
          <w:sz w:val="24"/>
          <w:szCs w:val="24"/>
        </w:rPr>
      </w:pPr>
      <w:r w:rsidRPr="00DE12A3">
        <w:rPr>
          <w:sz w:val="24"/>
          <w:szCs w:val="24"/>
        </w:rPr>
        <w:t xml:space="preserve">     </w:t>
      </w:r>
      <w:r w:rsidR="00242DA0" w:rsidRPr="00DE12A3">
        <w:rPr>
          <w:sz w:val="24"/>
          <w:szCs w:val="24"/>
        </w:rPr>
        <w:t>Teşhis Hata Kodlarının (DTC'lerin) kaydedilmesine ilişkin şartlar</w:t>
      </w:r>
    </w:p>
    <w:p w14:paraId="1E72DEBB" w14:textId="77777777" w:rsidR="002D7B36" w:rsidRPr="00DE12A3" w:rsidRDefault="009D331B" w:rsidP="00E20716">
      <w:pPr>
        <w:pStyle w:val="Gvdemetni250"/>
        <w:numPr>
          <w:ilvl w:val="0"/>
          <w:numId w:val="17"/>
        </w:numPr>
        <w:shd w:val="clear" w:color="auto" w:fill="auto"/>
        <w:tabs>
          <w:tab w:val="left" w:pos="826"/>
        </w:tabs>
        <w:spacing w:before="120" w:after="120" w:line="240" w:lineRule="auto"/>
        <w:ind w:left="1134" w:hanging="1134"/>
        <w:rPr>
          <w:sz w:val="24"/>
          <w:szCs w:val="24"/>
        </w:rPr>
      </w:pPr>
      <w:r w:rsidRPr="00DE12A3">
        <w:rPr>
          <w:sz w:val="24"/>
          <w:szCs w:val="24"/>
        </w:rPr>
        <w:t xml:space="preserve">     </w:t>
      </w:r>
      <w:r w:rsidR="00242DA0" w:rsidRPr="00DE12A3">
        <w:rPr>
          <w:sz w:val="24"/>
          <w:szCs w:val="24"/>
        </w:rPr>
        <w:t>NCD sistemi, her farklı NOx Kontrol Arızası (NCM) için bir DTC kaydetmelidir.</w:t>
      </w:r>
    </w:p>
    <w:p w14:paraId="37D7619F" w14:textId="3C3560A0" w:rsidR="002D7B36" w:rsidRPr="00DE12A3" w:rsidRDefault="009D331B" w:rsidP="00E20716">
      <w:pPr>
        <w:pStyle w:val="Gvdemetni250"/>
        <w:numPr>
          <w:ilvl w:val="0"/>
          <w:numId w:val="17"/>
        </w:numPr>
        <w:shd w:val="clear" w:color="auto" w:fill="auto"/>
        <w:tabs>
          <w:tab w:val="left" w:pos="826"/>
        </w:tabs>
        <w:spacing w:before="120" w:after="120" w:line="240" w:lineRule="auto"/>
        <w:ind w:left="1134" w:hanging="1134"/>
        <w:rPr>
          <w:sz w:val="24"/>
          <w:szCs w:val="24"/>
        </w:rPr>
      </w:pPr>
      <w:r w:rsidRPr="00DE12A3">
        <w:rPr>
          <w:sz w:val="24"/>
          <w:szCs w:val="24"/>
        </w:rPr>
        <w:t xml:space="preserve">     </w:t>
      </w:r>
      <w:r w:rsidR="00242DA0" w:rsidRPr="00DE12A3">
        <w:rPr>
          <w:sz w:val="24"/>
          <w:szCs w:val="24"/>
        </w:rPr>
        <w:t xml:space="preserve">NCD sistemi, motor çalıştırıldıktan sonra 60 dakika içinde tespit edilebilir bir arıza olup olmadığını belirlemelidir. Bu anda, "doğrulanmış ve devrede" bir DTC kaydedilmeli ve 4. </w:t>
      </w:r>
      <w:r w:rsidR="00721C89" w:rsidRPr="00DE12A3">
        <w:rPr>
          <w:sz w:val="24"/>
          <w:szCs w:val="24"/>
        </w:rPr>
        <w:t>Bölüm</w:t>
      </w:r>
      <w:r w:rsidR="00242DA0" w:rsidRPr="00DE12A3">
        <w:rPr>
          <w:sz w:val="24"/>
          <w:szCs w:val="24"/>
        </w:rPr>
        <w:t xml:space="preserve"> uyarınca uyarı sistemi etkinleştirilmelidir.</w:t>
      </w:r>
    </w:p>
    <w:p w14:paraId="5CC8DD00" w14:textId="64B8D2A4" w:rsidR="002D7B36" w:rsidRPr="00DE12A3" w:rsidRDefault="009D331B" w:rsidP="00E20716">
      <w:pPr>
        <w:pStyle w:val="Gvdemetni250"/>
        <w:numPr>
          <w:ilvl w:val="0"/>
          <w:numId w:val="17"/>
        </w:numPr>
        <w:shd w:val="clear" w:color="auto" w:fill="auto"/>
        <w:tabs>
          <w:tab w:val="left" w:pos="826"/>
        </w:tabs>
        <w:spacing w:before="120" w:after="120" w:line="240" w:lineRule="auto"/>
        <w:ind w:left="1134" w:hanging="1134"/>
        <w:rPr>
          <w:sz w:val="24"/>
          <w:szCs w:val="24"/>
        </w:rPr>
      </w:pPr>
      <w:r w:rsidRPr="00DE12A3">
        <w:rPr>
          <w:sz w:val="24"/>
          <w:szCs w:val="24"/>
        </w:rPr>
        <w:t xml:space="preserve">      </w:t>
      </w:r>
      <w:r w:rsidR="00242DA0" w:rsidRPr="00DE12A3">
        <w:rPr>
          <w:sz w:val="24"/>
          <w:szCs w:val="24"/>
        </w:rPr>
        <w:t>İzleme sistemlerinin (</w:t>
      </w:r>
      <w:r w:rsidR="005B014A" w:rsidRPr="00DE12A3">
        <w:rPr>
          <w:sz w:val="24"/>
          <w:szCs w:val="24"/>
        </w:rPr>
        <w:t>örneğin</w:t>
      </w:r>
      <w:r w:rsidR="00242DA0" w:rsidRPr="00DE12A3">
        <w:rPr>
          <w:sz w:val="24"/>
          <w:szCs w:val="24"/>
        </w:rPr>
        <w:t xml:space="preserve"> istatistiksel modeller kullanan veya karayolu </w:t>
      </w:r>
      <w:r w:rsidR="00242DA0" w:rsidRPr="00DE12A3">
        <w:rPr>
          <w:sz w:val="24"/>
          <w:szCs w:val="24"/>
        </w:rPr>
        <w:lastRenderedPageBreak/>
        <w:t>dışında kullanılan hareketli makinalarda sıvı tüketimine ilişkin izleme sistemlerinin) bir NCM'yi doğru bir şekilde tespit edip onaylaması için 60 dakikadan daha fazla çalışma süresi gerektiğinde, imalatçının daha uzun bir süreye olan ihtiyacı (örneğin teknik gerekçeyle, deneysel sonuçlarla, işletme içi deneyimle v</w:t>
      </w:r>
      <w:r w:rsidR="005C6D9F" w:rsidRPr="00DE12A3">
        <w:rPr>
          <w:sz w:val="24"/>
          <w:szCs w:val="24"/>
        </w:rPr>
        <w:t>e benzeri</w:t>
      </w:r>
      <w:r w:rsidR="00242DA0" w:rsidRPr="00DE12A3">
        <w:rPr>
          <w:sz w:val="24"/>
          <w:szCs w:val="24"/>
        </w:rPr>
        <w:t xml:space="preserve">) kanıtlaması kaydıyla, </w:t>
      </w:r>
      <w:r w:rsidR="007E2039" w:rsidRPr="00DE12A3">
        <w:rPr>
          <w:sz w:val="24"/>
          <w:szCs w:val="24"/>
        </w:rPr>
        <w:t xml:space="preserve">onay </w:t>
      </w:r>
      <w:r w:rsidR="00F73CAC" w:rsidRPr="00DE12A3">
        <w:rPr>
          <w:sz w:val="24"/>
          <w:szCs w:val="24"/>
        </w:rPr>
        <w:t>kuruluşu izleme</w:t>
      </w:r>
      <w:r w:rsidR="00242DA0" w:rsidRPr="00DE12A3">
        <w:rPr>
          <w:sz w:val="24"/>
          <w:szCs w:val="24"/>
        </w:rPr>
        <w:t xml:space="preserve"> için daha uzun bir süreye izin verebilir.</w:t>
      </w:r>
    </w:p>
    <w:p w14:paraId="20D32F0E" w14:textId="77777777" w:rsidR="002D7B36" w:rsidRPr="00DE12A3" w:rsidRDefault="009D331B" w:rsidP="00E20716">
      <w:pPr>
        <w:pStyle w:val="Gvdemetni250"/>
        <w:numPr>
          <w:ilvl w:val="0"/>
          <w:numId w:val="18"/>
        </w:numPr>
        <w:shd w:val="clear" w:color="auto" w:fill="auto"/>
        <w:tabs>
          <w:tab w:val="left" w:pos="826"/>
        </w:tabs>
        <w:spacing w:before="120" w:after="120" w:line="240" w:lineRule="auto"/>
        <w:ind w:left="1134" w:hanging="1134"/>
        <w:rPr>
          <w:sz w:val="24"/>
          <w:szCs w:val="24"/>
        </w:rPr>
      </w:pPr>
      <w:r w:rsidRPr="00DE12A3">
        <w:rPr>
          <w:sz w:val="24"/>
          <w:szCs w:val="24"/>
        </w:rPr>
        <w:t xml:space="preserve">      </w:t>
      </w:r>
      <w:r w:rsidR="00242DA0" w:rsidRPr="00DE12A3">
        <w:rPr>
          <w:sz w:val="24"/>
          <w:szCs w:val="24"/>
        </w:rPr>
        <w:t>Teşhis Hata Kodlarının (DTC'lerin) silinmesine ilişkin şartlar</w:t>
      </w:r>
    </w:p>
    <w:p w14:paraId="60C0EEB2" w14:textId="77777777" w:rsidR="002D7B36" w:rsidRPr="00DE12A3" w:rsidRDefault="009D331B" w:rsidP="00E20716">
      <w:pPr>
        <w:pStyle w:val="Gvdemetni250"/>
        <w:numPr>
          <w:ilvl w:val="0"/>
          <w:numId w:val="19"/>
        </w:numPr>
        <w:shd w:val="clear" w:color="auto" w:fill="auto"/>
        <w:spacing w:before="120" w:after="120" w:line="240" w:lineRule="auto"/>
        <w:ind w:left="1701" w:hanging="708"/>
        <w:rPr>
          <w:sz w:val="24"/>
          <w:szCs w:val="24"/>
        </w:rPr>
      </w:pPr>
      <w:r w:rsidRPr="00DE12A3">
        <w:rPr>
          <w:sz w:val="24"/>
          <w:szCs w:val="24"/>
        </w:rPr>
        <w:t xml:space="preserve">    </w:t>
      </w:r>
      <w:r w:rsidR="00242DA0" w:rsidRPr="00DE12A3">
        <w:rPr>
          <w:sz w:val="24"/>
          <w:szCs w:val="24"/>
        </w:rPr>
        <w:t>DTC'ler, söz konusu DTC ile ilgili arıza giderilinceye kadar, NCD sisteminin kendisi tarafından bilgisayar belleğinden silinmez.</w:t>
      </w:r>
    </w:p>
    <w:p w14:paraId="64920EDC" w14:textId="77777777" w:rsidR="002D7B36" w:rsidRPr="00DE12A3" w:rsidRDefault="009D331B" w:rsidP="00E20716">
      <w:pPr>
        <w:pStyle w:val="Gvdemetni250"/>
        <w:numPr>
          <w:ilvl w:val="0"/>
          <w:numId w:val="19"/>
        </w:numPr>
        <w:shd w:val="clear" w:color="auto" w:fill="auto"/>
        <w:spacing w:before="120" w:after="120" w:line="240" w:lineRule="auto"/>
        <w:ind w:left="1701" w:hanging="708"/>
        <w:rPr>
          <w:sz w:val="24"/>
          <w:szCs w:val="24"/>
        </w:rPr>
      </w:pPr>
      <w:r w:rsidRPr="00DE12A3">
        <w:rPr>
          <w:sz w:val="24"/>
          <w:szCs w:val="24"/>
        </w:rPr>
        <w:t xml:space="preserve">    </w:t>
      </w:r>
      <w:r w:rsidR="00242DA0" w:rsidRPr="00DE12A3">
        <w:rPr>
          <w:sz w:val="24"/>
          <w:szCs w:val="24"/>
        </w:rPr>
        <w:t>NCD sistemi, motor imalatçısı tarafından sağlanan tescilli bir tarama veya bakım aletine ait tüm DTC'leri talep üzerine veya motor imalatçısı tarafından sağlanan bir şifreyi kullanarak silebilir.</w:t>
      </w:r>
    </w:p>
    <w:p w14:paraId="5250F2D9" w14:textId="77777777" w:rsidR="002D7B36" w:rsidRPr="00DE12A3" w:rsidRDefault="009D331B" w:rsidP="00E20716">
      <w:pPr>
        <w:pStyle w:val="Gvdemetni250"/>
        <w:numPr>
          <w:ilvl w:val="0"/>
          <w:numId w:val="18"/>
        </w:numPr>
        <w:shd w:val="clear" w:color="auto" w:fill="auto"/>
        <w:tabs>
          <w:tab w:val="left" w:pos="826"/>
        </w:tabs>
        <w:spacing w:before="120" w:after="120" w:line="240" w:lineRule="auto"/>
        <w:ind w:left="1134" w:hanging="1134"/>
        <w:rPr>
          <w:sz w:val="24"/>
          <w:szCs w:val="24"/>
        </w:rPr>
      </w:pPr>
      <w:r w:rsidRPr="00DE12A3">
        <w:rPr>
          <w:sz w:val="24"/>
          <w:szCs w:val="24"/>
        </w:rPr>
        <w:t xml:space="preserve">    </w:t>
      </w:r>
      <w:r w:rsidR="00242DA0" w:rsidRPr="00DE12A3">
        <w:rPr>
          <w:sz w:val="24"/>
          <w:szCs w:val="24"/>
        </w:rPr>
        <w:t>Bir NCD sistemi, motorun fiili kullanım ömrü boyunca karayolu dışında kullanılan hareketli makinaların yaşına bağlı olarak kısmen veya tamamen devre dışı kalacak şekilde programlanmamalı veya tasarlanmamalı, zaman içinde NCD sisteminin etkinliğini azaltmak için tasarlanmış herhangi bir algoritma veya strateji içermemelidir.</w:t>
      </w:r>
    </w:p>
    <w:p w14:paraId="06816260" w14:textId="77777777" w:rsidR="002D7B36" w:rsidRPr="00DE12A3" w:rsidRDefault="009D331B" w:rsidP="00E20716">
      <w:pPr>
        <w:pStyle w:val="Gvdemetni250"/>
        <w:numPr>
          <w:ilvl w:val="0"/>
          <w:numId w:val="18"/>
        </w:numPr>
        <w:shd w:val="clear" w:color="auto" w:fill="auto"/>
        <w:tabs>
          <w:tab w:val="left" w:pos="826"/>
        </w:tabs>
        <w:spacing w:before="120" w:after="120" w:line="240" w:lineRule="auto"/>
        <w:ind w:left="1134" w:hanging="1134"/>
        <w:rPr>
          <w:sz w:val="24"/>
          <w:szCs w:val="24"/>
        </w:rPr>
      </w:pPr>
      <w:r w:rsidRPr="00DE12A3">
        <w:rPr>
          <w:sz w:val="24"/>
          <w:szCs w:val="24"/>
        </w:rPr>
        <w:t xml:space="preserve">    </w:t>
      </w:r>
      <w:r w:rsidR="00242DA0" w:rsidRPr="00DE12A3">
        <w:rPr>
          <w:sz w:val="24"/>
          <w:szCs w:val="24"/>
        </w:rPr>
        <w:t>NCD sistemine ait yeniden programlanabilir bilgisayar kodları veya çalışma parametreleri kurcalanmaya dirençli olmalıdır.</w:t>
      </w:r>
    </w:p>
    <w:p w14:paraId="2CA7B3CD" w14:textId="77777777" w:rsidR="002D7B36" w:rsidRPr="00DE12A3" w:rsidRDefault="0027539F" w:rsidP="00E20716">
      <w:pPr>
        <w:pStyle w:val="Gvdemetni250"/>
        <w:numPr>
          <w:ilvl w:val="0"/>
          <w:numId w:val="18"/>
        </w:numPr>
        <w:shd w:val="clear" w:color="auto" w:fill="auto"/>
        <w:spacing w:before="120" w:after="120" w:line="240" w:lineRule="auto"/>
        <w:ind w:left="1134" w:hanging="1134"/>
        <w:rPr>
          <w:sz w:val="24"/>
          <w:szCs w:val="24"/>
        </w:rPr>
      </w:pPr>
      <w:r w:rsidRPr="00DE12A3">
        <w:rPr>
          <w:sz w:val="24"/>
          <w:szCs w:val="24"/>
        </w:rPr>
        <w:t xml:space="preserve"> </w:t>
      </w:r>
      <w:r w:rsidR="009D331B" w:rsidRPr="00DE12A3">
        <w:rPr>
          <w:sz w:val="24"/>
          <w:szCs w:val="24"/>
        </w:rPr>
        <w:t xml:space="preserve">    </w:t>
      </w:r>
      <w:r w:rsidRPr="00DE12A3">
        <w:rPr>
          <w:sz w:val="24"/>
          <w:szCs w:val="24"/>
        </w:rPr>
        <w:t xml:space="preserve"> </w:t>
      </w:r>
      <w:r w:rsidR="00242DA0" w:rsidRPr="00DE12A3">
        <w:rPr>
          <w:sz w:val="24"/>
          <w:szCs w:val="24"/>
        </w:rPr>
        <w:t>NCD motor ailesi</w:t>
      </w:r>
    </w:p>
    <w:p w14:paraId="38A9786B" w14:textId="77777777" w:rsidR="002D7B36" w:rsidRPr="00DE12A3" w:rsidRDefault="009D331B" w:rsidP="00C917D6">
      <w:pPr>
        <w:pStyle w:val="Gvdemetni250"/>
        <w:shd w:val="clear" w:color="auto" w:fill="auto"/>
        <w:spacing w:before="120" w:after="120" w:line="240" w:lineRule="auto"/>
        <w:ind w:left="1134" w:hanging="1134"/>
        <w:rPr>
          <w:sz w:val="24"/>
          <w:szCs w:val="24"/>
        </w:rPr>
      </w:pPr>
      <w:r w:rsidRPr="00DE12A3">
        <w:rPr>
          <w:sz w:val="24"/>
          <w:szCs w:val="24"/>
        </w:rPr>
        <w:t xml:space="preserve">                   </w:t>
      </w:r>
      <w:r w:rsidR="00242DA0" w:rsidRPr="00DE12A3">
        <w:rPr>
          <w:sz w:val="24"/>
          <w:szCs w:val="24"/>
        </w:rPr>
        <w:t xml:space="preserve">Bir NCD motor ailesinin bileşiminin belirlenmesinden imalatçı sorumludur. Bir NCD motor ailesi içindeki motorların gruplandırılması, iyi mühendislik kararına dayanmalıdır ve </w:t>
      </w:r>
      <w:r w:rsidR="007E2039" w:rsidRPr="00DE12A3">
        <w:rPr>
          <w:sz w:val="24"/>
          <w:szCs w:val="24"/>
        </w:rPr>
        <w:t xml:space="preserve">onay </w:t>
      </w:r>
      <w:r w:rsidR="00F73CAC" w:rsidRPr="00DE12A3">
        <w:rPr>
          <w:sz w:val="24"/>
          <w:szCs w:val="24"/>
        </w:rPr>
        <w:t>kuruluşunun onayına</w:t>
      </w:r>
      <w:r w:rsidR="00242DA0" w:rsidRPr="00DE12A3">
        <w:rPr>
          <w:sz w:val="24"/>
          <w:szCs w:val="24"/>
        </w:rPr>
        <w:t xml:space="preserve"> tabidir.</w:t>
      </w:r>
    </w:p>
    <w:p w14:paraId="587D7C82" w14:textId="77777777" w:rsidR="002D7B36" w:rsidRPr="00DE12A3" w:rsidRDefault="009D331B" w:rsidP="00C917D6">
      <w:pPr>
        <w:pStyle w:val="Gvdemetni250"/>
        <w:shd w:val="clear" w:color="auto" w:fill="auto"/>
        <w:spacing w:before="120" w:after="120" w:line="240" w:lineRule="auto"/>
        <w:ind w:left="1134" w:hanging="1134"/>
        <w:rPr>
          <w:sz w:val="24"/>
          <w:szCs w:val="24"/>
        </w:rPr>
      </w:pPr>
      <w:r w:rsidRPr="00DE12A3">
        <w:rPr>
          <w:sz w:val="24"/>
          <w:szCs w:val="24"/>
        </w:rPr>
        <w:t xml:space="preserve">                  </w:t>
      </w:r>
      <w:r w:rsidR="00242DA0" w:rsidRPr="00DE12A3">
        <w:rPr>
          <w:sz w:val="24"/>
          <w:szCs w:val="24"/>
        </w:rPr>
        <w:t>Aynı motor ailesi içinde olmayan motorlar, yine de aynı NCD motor ailesi içinde olabilir.</w:t>
      </w:r>
    </w:p>
    <w:p w14:paraId="611E66AF" w14:textId="77777777" w:rsidR="002D7B36" w:rsidRPr="00DE12A3" w:rsidRDefault="00242DA0" w:rsidP="00E20716">
      <w:pPr>
        <w:pStyle w:val="Gvdemetni250"/>
        <w:numPr>
          <w:ilvl w:val="0"/>
          <w:numId w:val="20"/>
        </w:numPr>
        <w:shd w:val="clear" w:color="auto" w:fill="auto"/>
        <w:spacing w:before="120" w:after="120" w:line="240" w:lineRule="auto"/>
        <w:ind w:left="1134" w:hanging="1134"/>
        <w:rPr>
          <w:sz w:val="24"/>
          <w:szCs w:val="24"/>
        </w:rPr>
      </w:pPr>
      <w:r w:rsidRPr="00DE12A3">
        <w:rPr>
          <w:sz w:val="24"/>
          <w:szCs w:val="24"/>
        </w:rPr>
        <w:t>Bir NCD motor ailesini tanımlayan parametreler</w:t>
      </w:r>
    </w:p>
    <w:p w14:paraId="66563125" w14:textId="77777777" w:rsidR="002D7B36" w:rsidRPr="00DE12A3" w:rsidRDefault="009D331B" w:rsidP="00C917D6">
      <w:pPr>
        <w:pStyle w:val="Gvdemetni250"/>
        <w:shd w:val="clear" w:color="auto" w:fill="auto"/>
        <w:spacing w:before="120" w:after="120" w:line="240" w:lineRule="auto"/>
        <w:ind w:left="1134" w:hanging="1134"/>
        <w:rPr>
          <w:sz w:val="24"/>
          <w:szCs w:val="24"/>
        </w:rPr>
      </w:pPr>
      <w:r w:rsidRPr="00DE12A3">
        <w:rPr>
          <w:sz w:val="24"/>
          <w:szCs w:val="24"/>
        </w:rPr>
        <w:t xml:space="preserve">                  </w:t>
      </w:r>
      <w:r w:rsidR="00242DA0" w:rsidRPr="00DE12A3">
        <w:rPr>
          <w:sz w:val="24"/>
          <w:szCs w:val="24"/>
        </w:rPr>
        <w:t>Bir NCD motor ailesi, aile içindeki motorlar için ortak olan temel tasarım parametreleri ile tanımlanır.</w:t>
      </w:r>
    </w:p>
    <w:p w14:paraId="13A85606" w14:textId="77777777" w:rsidR="002D7B36" w:rsidRPr="00DE12A3" w:rsidRDefault="009D331B" w:rsidP="00C917D6">
      <w:pPr>
        <w:pStyle w:val="Gvdemetni250"/>
        <w:shd w:val="clear" w:color="auto" w:fill="auto"/>
        <w:spacing w:before="120" w:after="120" w:line="240" w:lineRule="auto"/>
        <w:ind w:left="1134" w:hanging="1134"/>
        <w:rPr>
          <w:sz w:val="24"/>
          <w:szCs w:val="24"/>
        </w:rPr>
      </w:pPr>
      <w:r w:rsidRPr="00DE12A3">
        <w:rPr>
          <w:sz w:val="24"/>
          <w:szCs w:val="24"/>
        </w:rPr>
        <w:t xml:space="preserve">                  </w:t>
      </w:r>
      <w:r w:rsidR="00242DA0" w:rsidRPr="00DE12A3">
        <w:rPr>
          <w:sz w:val="24"/>
          <w:szCs w:val="24"/>
        </w:rPr>
        <w:t>Motorların aynı NCD motor ailesi içinde olduğu düşünüldüğünde, aşağıdaki temel parametreler listesi benzer olmalıdır:</w:t>
      </w:r>
    </w:p>
    <w:p w14:paraId="3BF8E824" w14:textId="2175D40B" w:rsidR="002D7B36" w:rsidRPr="00DE12A3" w:rsidRDefault="009D331B" w:rsidP="00E20716">
      <w:pPr>
        <w:pStyle w:val="Gvdemetni250"/>
        <w:numPr>
          <w:ilvl w:val="0"/>
          <w:numId w:val="21"/>
        </w:numPr>
        <w:shd w:val="clear" w:color="auto" w:fill="auto"/>
        <w:spacing w:before="120" w:after="120" w:line="240" w:lineRule="auto"/>
        <w:ind w:left="1701" w:hanging="567"/>
        <w:rPr>
          <w:sz w:val="24"/>
          <w:szCs w:val="24"/>
        </w:rPr>
      </w:pPr>
      <w:r w:rsidRPr="00DE12A3">
        <w:rPr>
          <w:sz w:val="24"/>
          <w:szCs w:val="24"/>
        </w:rPr>
        <w:t xml:space="preserve">     </w:t>
      </w:r>
      <w:r w:rsidR="00140F1E" w:rsidRPr="00DE12A3">
        <w:rPr>
          <w:sz w:val="24"/>
          <w:szCs w:val="24"/>
        </w:rPr>
        <w:t>E</w:t>
      </w:r>
      <w:r w:rsidR="00242DA0" w:rsidRPr="00DE12A3">
        <w:rPr>
          <w:sz w:val="24"/>
          <w:szCs w:val="24"/>
        </w:rPr>
        <w:t>misyon kontrol sistemleri</w:t>
      </w:r>
      <w:r w:rsidR="00BF667A" w:rsidRPr="00DE12A3">
        <w:rPr>
          <w:sz w:val="24"/>
          <w:szCs w:val="24"/>
        </w:rPr>
        <w:t>.</w:t>
      </w:r>
    </w:p>
    <w:p w14:paraId="56EE7D40" w14:textId="40546424" w:rsidR="002D7B36" w:rsidRPr="00DE12A3" w:rsidRDefault="00242DA0" w:rsidP="00E20716">
      <w:pPr>
        <w:pStyle w:val="Gvdemetni250"/>
        <w:numPr>
          <w:ilvl w:val="0"/>
          <w:numId w:val="21"/>
        </w:numPr>
        <w:shd w:val="clear" w:color="auto" w:fill="auto"/>
        <w:spacing w:before="120" w:after="120" w:line="240" w:lineRule="auto"/>
        <w:ind w:left="1701" w:hanging="567"/>
        <w:rPr>
          <w:sz w:val="24"/>
          <w:szCs w:val="24"/>
        </w:rPr>
      </w:pPr>
      <w:r w:rsidRPr="00DE12A3">
        <w:rPr>
          <w:sz w:val="24"/>
          <w:szCs w:val="24"/>
        </w:rPr>
        <w:t>NCD izleme yöntemleri</w:t>
      </w:r>
      <w:r w:rsidR="00BF667A" w:rsidRPr="00DE12A3">
        <w:rPr>
          <w:sz w:val="24"/>
          <w:szCs w:val="24"/>
        </w:rPr>
        <w:t>.</w:t>
      </w:r>
    </w:p>
    <w:p w14:paraId="1647E7BB" w14:textId="00929120" w:rsidR="002D7B36" w:rsidRPr="00DE12A3" w:rsidRDefault="009D331B" w:rsidP="00E20716">
      <w:pPr>
        <w:pStyle w:val="Gvdemetni250"/>
        <w:numPr>
          <w:ilvl w:val="0"/>
          <w:numId w:val="21"/>
        </w:numPr>
        <w:shd w:val="clear" w:color="auto" w:fill="auto"/>
        <w:spacing w:before="120" w:after="120" w:line="240" w:lineRule="auto"/>
        <w:ind w:left="1701" w:hanging="567"/>
        <w:rPr>
          <w:sz w:val="24"/>
          <w:szCs w:val="24"/>
        </w:rPr>
      </w:pPr>
      <w:r w:rsidRPr="00DE12A3">
        <w:rPr>
          <w:sz w:val="24"/>
          <w:szCs w:val="24"/>
        </w:rPr>
        <w:t xml:space="preserve">     </w:t>
      </w:r>
      <w:r w:rsidR="00242DA0" w:rsidRPr="00DE12A3">
        <w:rPr>
          <w:sz w:val="24"/>
          <w:szCs w:val="24"/>
        </w:rPr>
        <w:t>NCD izleme kriterleri</w:t>
      </w:r>
      <w:r w:rsidR="00BF667A" w:rsidRPr="00DE12A3">
        <w:rPr>
          <w:sz w:val="24"/>
          <w:szCs w:val="24"/>
        </w:rPr>
        <w:t>.</w:t>
      </w:r>
    </w:p>
    <w:p w14:paraId="5F919E7D" w14:textId="1407F944" w:rsidR="002D7B36" w:rsidRPr="00DE12A3" w:rsidRDefault="00140F1E" w:rsidP="00E20716">
      <w:pPr>
        <w:pStyle w:val="Gvdemetni250"/>
        <w:numPr>
          <w:ilvl w:val="0"/>
          <w:numId w:val="21"/>
        </w:numPr>
        <w:shd w:val="clear" w:color="auto" w:fill="auto"/>
        <w:spacing w:before="120" w:after="120" w:line="240" w:lineRule="auto"/>
        <w:ind w:left="1701" w:hanging="567"/>
        <w:rPr>
          <w:sz w:val="24"/>
          <w:szCs w:val="24"/>
        </w:rPr>
      </w:pPr>
      <w:r w:rsidRPr="00DE12A3">
        <w:rPr>
          <w:sz w:val="24"/>
          <w:szCs w:val="24"/>
        </w:rPr>
        <w:t>İ</w:t>
      </w:r>
      <w:r w:rsidR="00242DA0" w:rsidRPr="00DE12A3">
        <w:rPr>
          <w:sz w:val="24"/>
          <w:szCs w:val="24"/>
        </w:rPr>
        <w:t>zleme parametreleri (</w:t>
      </w:r>
      <w:r w:rsidR="005B014A" w:rsidRPr="00DE12A3">
        <w:rPr>
          <w:sz w:val="24"/>
          <w:szCs w:val="24"/>
        </w:rPr>
        <w:t>örneğin</w:t>
      </w:r>
      <w:r w:rsidR="00242DA0" w:rsidRPr="00DE12A3">
        <w:rPr>
          <w:sz w:val="24"/>
          <w:szCs w:val="24"/>
        </w:rPr>
        <w:t xml:space="preserve"> frekans).</w:t>
      </w:r>
    </w:p>
    <w:p w14:paraId="707A0C08" w14:textId="77777777" w:rsidR="002D7B36" w:rsidRPr="00DE12A3" w:rsidRDefault="009D331B" w:rsidP="00C917D6">
      <w:pPr>
        <w:pStyle w:val="Gvdemetni250"/>
        <w:shd w:val="clear" w:color="auto" w:fill="auto"/>
        <w:spacing w:before="120" w:after="120" w:line="240" w:lineRule="auto"/>
        <w:ind w:left="1134" w:hanging="1134"/>
        <w:rPr>
          <w:sz w:val="24"/>
          <w:szCs w:val="24"/>
        </w:rPr>
      </w:pPr>
      <w:r w:rsidRPr="00DE12A3">
        <w:rPr>
          <w:sz w:val="24"/>
          <w:szCs w:val="24"/>
        </w:rPr>
        <w:t xml:space="preserve">                  </w:t>
      </w:r>
      <w:r w:rsidR="00242DA0" w:rsidRPr="00DE12A3">
        <w:rPr>
          <w:sz w:val="24"/>
          <w:szCs w:val="24"/>
        </w:rPr>
        <w:t xml:space="preserve">Bu benzerlikler, imalatçı tarafından ilgili mühendislik sunumları veya diğer uygun prosedürler yoluyla kanıtlanmalıdır ve </w:t>
      </w:r>
      <w:r w:rsidR="007E2039" w:rsidRPr="00DE12A3">
        <w:rPr>
          <w:sz w:val="24"/>
          <w:szCs w:val="24"/>
        </w:rPr>
        <w:t xml:space="preserve">onay </w:t>
      </w:r>
      <w:r w:rsidR="00F73CAC" w:rsidRPr="00DE12A3">
        <w:rPr>
          <w:sz w:val="24"/>
          <w:szCs w:val="24"/>
        </w:rPr>
        <w:t>kuruluşunun onayına</w:t>
      </w:r>
      <w:r w:rsidR="00242DA0" w:rsidRPr="00DE12A3">
        <w:rPr>
          <w:sz w:val="24"/>
          <w:szCs w:val="24"/>
        </w:rPr>
        <w:t xml:space="preserve"> tabidir.</w:t>
      </w:r>
    </w:p>
    <w:p w14:paraId="152C7AF5" w14:textId="5D1C7902" w:rsidR="002D7B36" w:rsidRPr="00DE12A3" w:rsidRDefault="009D331B" w:rsidP="00C917D6">
      <w:pPr>
        <w:pStyle w:val="Gvdemetni250"/>
        <w:shd w:val="clear" w:color="auto" w:fill="auto"/>
        <w:spacing w:before="120" w:after="120" w:line="240" w:lineRule="auto"/>
        <w:ind w:left="1134" w:hanging="1134"/>
        <w:rPr>
          <w:sz w:val="24"/>
          <w:szCs w:val="24"/>
        </w:rPr>
      </w:pPr>
      <w:r w:rsidRPr="00DE12A3">
        <w:rPr>
          <w:sz w:val="24"/>
          <w:szCs w:val="24"/>
        </w:rPr>
        <w:t xml:space="preserve">                  </w:t>
      </w:r>
      <w:r w:rsidR="00242DA0" w:rsidRPr="00DE12A3">
        <w:rPr>
          <w:sz w:val="24"/>
          <w:szCs w:val="24"/>
        </w:rPr>
        <w:t>İmalatçı tarafından bu yöntemlerin benzer olduğunu ve sadece incelenmekte olan bileşenlere ait belirli özelliklere (örneğin büyüklük, egzoz gazı akışı v</w:t>
      </w:r>
      <w:r w:rsidR="005C6D9F" w:rsidRPr="00DE12A3">
        <w:rPr>
          <w:sz w:val="24"/>
          <w:szCs w:val="24"/>
        </w:rPr>
        <w:t>e benzeri</w:t>
      </w:r>
      <w:r w:rsidR="00242DA0" w:rsidRPr="00DE12A3">
        <w:rPr>
          <w:sz w:val="24"/>
          <w:szCs w:val="24"/>
        </w:rPr>
        <w:t xml:space="preserve">) uyması açısından farklılık gösterdiği değerlendirildiğinde veya benzerlikleri iyi mühendislik kararına dayandığında, imalatçı NCD sistemini izleme/teşhis yöntemlerindeki küçük farklılıkların </w:t>
      </w:r>
      <w:r w:rsidR="007E2039" w:rsidRPr="00DE12A3">
        <w:rPr>
          <w:sz w:val="24"/>
          <w:szCs w:val="24"/>
        </w:rPr>
        <w:t xml:space="preserve">onay </w:t>
      </w:r>
      <w:r w:rsidR="00B655AE" w:rsidRPr="00DE12A3">
        <w:rPr>
          <w:sz w:val="24"/>
          <w:szCs w:val="24"/>
        </w:rPr>
        <w:t>kuruluşu tarafından</w:t>
      </w:r>
      <w:r w:rsidR="00242DA0" w:rsidRPr="00DE12A3">
        <w:rPr>
          <w:sz w:val="24"/>
          <w:szCs w:val="24"/>
        </w:rPr>
        <w:t xml:space="preserve"> onaylanmasını talep edebilir.</w:t>
      </w:r>
    </w:p>
    <w:p w14:paraId="6675B9C8" w14:textId="77777777" w:rsidR="002D7B36" w:rsidRPr="00DE12A3" w:rsidRDefault="009D331B" w:rsidP="00E20716">
      <w:pPr>
        <w:pStyle w:val="Balk460"/>
        <w:numPr>
          <w:ilvl w:val="0"/>
          <w:numId w:val="5"/>
        </w:numPr>
        <w:shd w:val="clear" w:color="auto" w:fill="auto"/>
        <w:spacing w:before="120" w:after="120" w:line="240" w:lineRule="auto"/>
        <w:ind w:left="1134" w:hanging="1134"/>
        <w:rPr>
          <w:b w:val="0"/>
          <w:sz w:val="24"/>
          <w:szCs w:val="24"/>
        </w:rPr>
      </w:pPr>
      <w:r w:rsidRPr="00DE12A3">
        <w:rPr>
          <w:rStyle w:val="Balk467ptKalnDeil0ptbolukbraklyor"/>
          <w:b/>
          <w:color w:val="auto"/>
          <w:sz w:val="24"/>
          <w:szCs w:val="24"/>
        </w:rPr>
        <w:t xml:space="preserve">       </w:t>
      </w:r>
      <w:r w:rsidR="00242DA0" w:rsidRPr="00DE12A3">
        <w:rPr>
          <w:rStyle w:val="Balk467ptKalnDeil0ptbolukbraklyor"/>
          <w:b/>
          <w:color w:val="auto"/>
          <w:sz w:val="24"/>
          <w:szCs w:val="24"/>
        </w:rPr>
        <w:t xml:space="preserve">Bakım </w:t>
      </w:r>
      <w:r w:rsidR="0053289F" w:rsidRPr="00DE12A3">
        <w:rPr>
          <w:rStyle w:val="Balk467ptKalnDeil0ptbolukbraklyor"/>
          <w:b/>
          <w:color w:val="auto"/>
          <w:sz w:val="24"/>
          <w:szCs w:val="24"/>
        </w:rPr>
        <w:t>gereklilikleri</w:t>
      </w:r>
    </w:p>
    <w:p w14:paraId="4D651103" w14:textId="654E8DEA" w:rsidR="002D7B36" w:rsidRPr="00DE12A3" w:rsidRDefault="009D331B" w:rsidP="00E20716">
      <w:pPr>
        <w:pStyle w:val="Gvdemetni250"/>
        <w:numPr>
          <w:ilvl w:val="1"/>
          <w:numId w:val="5"/>
        </w:numPr>
        <w:shd w:val="clear" w:color="auto" w:fill="auto"/>
        <w:tabs>
          <w:tab w:val="left" w:pos="851"/>
          <w:tab w:val="right" w:pos="5657"/>
        </w:tabs>
        <w:spacing w:before="120" w:after="120" w:line="240" w:lineRule="auto"/>
        <w:ind w:left="1134" w:hanging="1134"/>
        <w:rPr>
          <w:sz w:val="24"/>
          <w:szCs w:val="24"/>
        </w:rPr>
      </w:pPr>
      <w:r w:rsidRPr="00DE12A3">
        <w:rPr>
          <w:sz w:val="24"/>
          <w:szCs w:val="24"/>
        </w:rPr>
        <w:t xml:space="preserve">     </w:t>
      </w:r>
      <w:r w:rsidR="00242DA0" w:rsidRPr="00DE12A3">
        <w:rPr>
          <w:sz w:val="24"/>
          <w:szCs w:val="24"/>
        </w:rPr>
        <w:t>OEM, X</w:t>
      </w:r>
      <w:r w:rsidR="00FA0678" w:rsidRPr="00DE12A3">
        <w:rPr>
          <w:sz w:val="24"/>
          <w:szCs w:val="24"/>
        </w:rPr>
        <w:t xml:space="preserve">V’inci </w:t>
      </w:r>
      <w:r w:rsidR="00A82A16" w:rsidRPr="00DE12A3">
        <w:rPr>
          <w:sz w:val="24"/>
          <w:szCs w:val="24"/>
        </w:rPr>
        <w:t>E</w:t>
      </w:r>
      <w:r w:rsidR="00FA0678" w:rsidRPr="00DE12A3">
        <w:rPr>
          <w:sz w:val="24"/>
          <w:szCs w:val="24"/>
        </w:rPr>
        <w:t>k</w:t>
      </w:r>
      <w:r w:rsidR="00242DA0" w:rsidRPr="00DE12A3">
        <w:rPr>
          <w:sz w:val="24"/>
          <w:szCs w:val="24"/>
        </w:rPr>
        <w:t xml:space="preserve"> uyarınca yeni karayolu dışında kullanılan hareketli </w:t>
      </w:r>
      <w:r w:rsidR="00242DA0" w:rsidRPr="00DE12A3">
        <w:rPr>
          <w:sz w:val="24"/>
          <w:szCs w:val="24"/>
        </w:rPr>
        <w:lastRenderedPageBreak/>
        <w:t>makinaların tüm son kullanıcılarına, emisyon kontrol sistemi ve doğru kullanımı hakkında yazılı talimatlar sağlamalıdır.</w:t>
      </w:r>
    </w:p>
    <w:p w14:paraId="394A7463" w14:textId="77777777" w:rsidR="002D7B36" w:rsidRPr="00DE12A3" w:rsidRDefault="009D331B" w:rsidP="00E20716">
      <w:pPr>
        <w:pStyle w:val="Balk460"/>
        <w:numPr>
          <w:ilvl w:val="0"/>
          <w:numId w:val="5"/>
        </w:numPr>
        <w:shd w:val="clear" w:color="auto" w:fill="auto"/>
        <w:spacing w:before="120" w:after="120" w:line="240" w:lineRule="auto"/>
        <w:ind w:left="1134" w:hanging="1134"/>
        <w:rPr>
          <w:b w:val="0"/>
          <w:sz w:val="24"/>
          <w:szCs w:val="24"/>
        </w:rPr>
      </w:pPr>
      <w:r w:rsidRPr="00DE12A3">
        <w:rPr>
          <w:rStyle w:val="Balk467ptKalnDeil0ptbolukbraklyor"/>
          <w:b/>
          <w:color w:val="auto"/>
          <w:sz w:val="24"/>
          <w:szCs w:val="24"/>
        </w:rPr>
        <w:t xml:space="preserve">       </w:t>
      </w:r>
      <w:r w:rsidR="00242DA0" w:rsidRPr="00DE12A3">
        <w:rPr>
          <w:rStyle w:val="Balk467ptKalnDeil0ptbolukbraklyor"/>
          <w:b/>
          <w:color w:val="auto"/>
          <w:sz w:val="24"/>
          <w:szCs w:val="24"/>
        </w:rPr>
        <w:t>Operatör uyarı sistemi</w:t>
      </w:r>
    </w:p>
    <w:p w14:paraId="785FBAB3" w14:textId="29B5196F" w:rsidR="002D7B36" w:rsidRPr="00DE12A3" w:rsidRDefault="0027539F" w:rsidP="00E20716">
      <w:pPr>
        <w:pStyle w:val="Gvdemetni250"/>
        <w:numPr>
          <w:ilvl w:val="1"/>
          <w:numId w:val="5"/>
        </w:numPr>
        <w:shd w:val="clear" w:color="auto" w:fill="auto"/>
        <w:spacing w:before="120" w:after="120" w:line="240" w:lineRule="auto"/>
        <w:ind w:left="1134" w:hanging="1134"/>
        <w:rPr>
          <w:sz w:val="24"/>
          <w:szCs w:val="24"/>
        </w:rPr>
      </w:pPr>
      <w:r w:rsidRPr="00DE12A3">
        <w:rPr>
          <w:sz w:val="24"/>
          <w:szCs w:val="24"/>
        </w:rPr>
        <w:t xml:space="preserve">  </w:t>
      </w:r>
      <w:r w:rsidR="009D331B" w:rsidRPr="00DE12A3">
        <w:rPr>
          <w:sz w:val="24"/>
          <w:szCs w:val="24"/>
        </w:rPr>
        <w:t xml:space="preserve">     </w:t>
      </w:r>
      <w:r w:rsidR="00242DA0" w:rsidRPr="00DE12A3">
        <w:rPr>
          <w:sz w:val="24"/>
          <w:szCs w:val="24"/>
        </w:rPr>
        <w:t xml:space="preserve">Karayolu dışında kullanılan hareketli makinalar, zamanında giderilmediği takdirde operatör ikna sisteminin devreye girmesine yol açacak olan, düşük ayıraç seviyesi, yanlış ayıraç kalitesi, dozajın kesintiye uğraması veya 9. </w:t>
      </w:r>
      <w:r w:rsidR="00721C89" w:rsidRPr="00DE12A3">
        <w:rPr>
          <w:sz w:val="24"/>
          <w:szCs w:val="24"/>
        </w:rPr>
        <w:t>Bölüm</w:t>
      </w:r>
      <w:r w:rsidR="00242DA0" w:rsidRPr="00DE12A3">
        <w:rPr>
          <w:sz w:val="24"/>
          <w:szCs w:val="24"/>
        </w:rPr>
        <w:t xml:space="preserve">de belirtilen bir arıza tespit edildiğinde görsel alarmlar kulllanarak operatörü bilgilendiren bir operatör uyarı sistemi içermelidir. 5. </w:t>
      </w:r>
      <w:r w:rsidR="00721C89" w:rsidRPr="00DE12A3">
        <w:rPr>
          <w:sz w:val="24"/>
          <w:szCs w:val="24"/>
        </w:rPr>
        <w:t>Bölüm</w:t>
      </w:r>
      <w:r w:rsidR="00242DA0" w:rsidRPr="00DE12A3">
        <w:rPr>
          <w:sz w:val="24"/>
          <w:szCs w:val="24"/>
        </w:rPr>
        <w:t>de açıklanan operatör ikna sistemi devreye girdiğinde uyarı sistemi devrede kalır.</w:t>
      </w:r>
    </w:p>
    <w:p w14:paraId="0B8A62D6" w14:textId="77777777" w:rsidR="002D7B36" w:rsidRPr="00DE12A3" w:rsidRDefault="009D331B" w:rsidP="00E20716">
      <w:pPr>
        <w:pStyle w:val="Gvdemetni250"/>
        <w:numPr>
          <w:ilvl w:val="1"/>
          <w:numId w:val="5"/>
        </w:numPr>
        <w:shd w:val="clear" w:color="auto" w:fill="auto"/>
        <w:tabs>
          <w:tab w:val="left" w:pos="851"/>
          <w:tab w:val="right" w:pos="5657"/>
        </w:tabs>
        <w:spacing w:before="120" w:after="120" w:line="240" w:lineRule="auto"/>
        <w:ind w:left="1134" w:hanging="1134"/>
        <w:rPr>
          <w:sz w:val="24"/>
          <w:szCs w:val="24"/>
        </w:rPr>
      </w:pPr>
      <w:r w:rsidRPr="00DE12A3">
        <w:rPr>
          <w:sz w:val="24"/>
          <w:szCs w:val="24"/>
        </w:rPr>
        <w:t xml:space="preserve">     </w:t>
      </w:r>
      <w:r w:rsidR="00242DA0" w:rsidRPr="00DE12A3">
        <w:rPr>
          <w:sz w:val="24"/>
          <w:szCs w:val="24"/>
        </w:rPr>
        <w:t xml:space="preserve">Uyarılar, aynı uyarı sistemini kullansa bile, arıza veya diğer motor bakımları amacıyla </w:t>
      </w:r>
      <w:r w:rsidR="00140F1E" w:rsidRPr="00DE12A3">
        <w:rPr>
          <w:sz w:val="24"/>
          <w:szCs w:val="24"/>
        </w:rPr>
        <w:t>kullanılan uyarı</w:t>
      </w:r>
      <w:r w:rsidR="00242DA0" w:rsidRPr="00DE12A3">
        <w:rPr>
          <w:sz w:val="24"/>
          <w:szCs w:val="24"/>
        </w:rPr>
        <w:t xml:space="preserve"> ile aynı değildir.</w:t>
      </w:r>
    </w:p>
    <w:p w14:paraId="56FE5E51" w14:textId="77777777" w:rsidR="002D7B36" w:rsidRPr="00DE12A3" w:rsidRDefault="0027539F" w:rsidP="00E20716">
      <w:pPr>
        <w:pStyle w:val="Gvdemetni250"/>
        <w:numPr>
          <w:ilvl w:val="1"/>
          <w:numId w:val="5"/>
        </w:numPr>
        <w:shd w:val="clear" w:color="auto" w:fill="auto"/>
        <w:spacing w:before="120" w:after="120" w:line="240" w:lineRule="auto"/>
        <w:ind w:left="1134" w:hanging="1134"/>
        <w:rPr>
          <w:sz w:val="24"/>
          <w:szCs w:val="24"/>
        </w:rPr>
      </w:pPr>
      <w:r w:rsidRPr="00DE12A3">
        <w:rPr>
          <w:sz w:val="24"/>
          <w:szCs w:val="24"/>
        </w:rPr>
        <w:t xml:space="preserve">  </w:t>
      </w:r>
      <w:r w:rsidR="009D331B" w:rsidRPr="00DE12A3">
        <w:rPr>
          <w:sz w:val="24"/>
          <w:szCs w:val="24"/>
        </w:rPr>
        <w:t xml:space="preserve">     </w:t>
      </w:r>
      <w:r w:rsidR="00242DA0" w:rsidRPr="00DE12A3">
        <w:rPr>
          <w:sz w:val="24"/>
          <w:szCs w:val="24"/>
        </w:rPr>
        <w:t>Operatör uyarı sistemi bir veya daha fazla lambadan oluşabilir veya örneğin açıkça aşağıdakileri ifade eden mesajlar içeren kısa mesajlar görüntüleyebilir:</w:t>
      </w:r>
    </w:p>
    <w:p w14:paraId="77753A90" w14:textId="77777777" w:rsidR="002D7B36" w:rsidRPr="00DE12A3" w:rsidRDefault="00BA211C" w:rsidP="00E20716">
      <w:pPr>
        <w:pStyle w:val="Gvdemetni250"/>
        <w:numPr>
          <w:ilvl w:val="0"/>
          <w:numId w:val="22"/>
        </w:numPr>
        <w:shd w:val="clear" w:color="auto" w:fill="auto"/>
        <w:spacing w:before="120" w:after="120" w:line="240" w:lineRule="auto"/>
        <w:ind w:left="1701" w:hanging="567"/>
        <w:rPr>
          <w:sz w:val="24"/>
          <w:szCs w:val="24"/>
        </w:rPr>
      </w:pPr>
      <w:r w:rsidRPr="00DE12A3">
        <w:rPr>
          <w:sz w:val="24"/>
          <w:szCs w:val="24"/>
        </w:rPr>
        <w:t xml:space="preserve">     D</w:t>
      </w:r>
      <w:r w:rsidR="00242DA0" w:rsidRPr="00DE12A3">
        <w:rPr>
          <w:sz w:val="24"/>
          <w:szCs w:val="24"/>
        </w:rPr>
        <w:t>üşük seviye ve/veya ağır seviye iknalar devreye girmeden önce kalan süre,</w:t>
      </w:r>
    </w:p>
    <w:p w14:paraId="6754B127" w14:textId="77777777" w:rsidR="002D7B36" w:rsidRPr="00DE12A3" w:rsidRDefault="00BA211C" w:rsidP="00E20716">
      <w:pPr>
        <w:pStyle w:val="Gvdemetni250"/>
        <w:numPr>
          <w:ilvl w:val="0"/>
          <w:numId w:val="22"/>
        </w:numPr>
        <w:shd w:val="clear" w:color="auto" w:fill="auto"/>
        <w:spacing w:before="120" w:after="120" w:line="240" w:lineRule="auto"/>
        <w:ind w:left="1701" w:hanging="567"/>
        <w:rPr>
          <w:sz w:val="24"/>
          <w:szCs w:val="24"/>
        </w:rPr>
      </w:pPr>
      <w:r w:rsidRPr="00DE12A3">
        <w:rPr>
          <w:sz w:val="24"/>
          <w:szCs w:val="24"/>
        </w:rPr>
        <w:t>D</w:t>
      </w:r>
      <w:r w:rsidR="00242DA0" w:rsidRPr="00DE12A3">
        <w:rPr>
          <w:sz w:val="24"/>
          <w:szCs w:val="24"/>
        </w:rPr>
        <w:t>üşük seviye ve/veya ağır seviye ikna miktarı, örneğin tork azaltma miktarı,</w:t>
      </w:r>
    </w:p>
    <w:p w14:paraId="371D1556" w14:textId="77777777" w:rsidR="002D7B36" w:rsidRPr="00DE12A3" w:rsidRDefault="00BA211C" w:rsidP="00E20716">
      <w:pPr>
        <w:pStyle w:val="Gvdemetni250"/>
        <w:numPr>
          <w:ilvl w:val="0"/>
          <w:numId w:val="22"/>
        </w:numPr>
        <w:shd w:val="clear" w:color="auto" w:fill="auto"/>
        <w:spacing w:before="120" w:after="120" w:line="240" w:lineRule="auto"/>
        <w:ind w:left="1701" w:hanging="567"/>
        <w:rPr>
          <w:sz w:val="24"/>
          <w:szCs w:val="24"/>
        </w:rPr>
      </w:pPr>
      <w:r w:rsidRPr="00DE12A3">
        <w:rPr>
          <w:sz w:val="24"/>
          <w:szCs w:val="24"/>
        </w:rPr>
        <w:t xml:space="preserve">     K</w:t>
      </w:r>
      <w:r w:rsidR="00242DA0" w:rsidRPr="00DE12A3">
        <w:rPr>
          <w:sz w:val="24"/>
          <w:szCs w:val="24"/>
        </w:rPr>
        <w:t>arayolu dışında kullanılan makinaların devre dışı kaldığı koşullar ortadan kaldırılabilir.</w:t>
      </w:r>
    </w:p>
    <w:p w14:paraId="71C85ADB" w14:textId="77777777" w:rsidR="002D7B36" w:rsidRPr="00DE12A3" w:rsidRDefault="009D331B" w:rsidP="00C917D6">
      <w:pPr>
        <w:pStyle w:val="Gvdemetni250"/>
        <w:shd w:val="clear" w:color="auto" w:fill="auto"/>
        <w:spacing w:before="120" w:after="120" w:line="240" w:lineRule="auto"/>
        <w:ind w:left="1134" w:hanging="1134"/>
        <w:rPr>
          <w:sz w:val="24"/>
          <w:szCs w:val="24"/>
        </w:rPr>
      </w:pPr>
      <w:r w:rsidRPr="00DE12A3">
        <w:rPr>
          <w:sz w:val="24"/>
          <w:szCs w:val="24"/>
        </w:rPr>
        <w:t xml:space="preserve">                  </w:t>
      </w:r>
      <w:r w:rsidR="00242DA0" w:rsidRPr="00DE12A3">
        <w:rPr>
          <w:sz w:val="24"/>
          <w:szCs w:val="24"/>
        </w:rPr>
        <w:t>Mesajların görüntülenmesi durumunda, bu mesajları görüntülemek için kullanılan sistem, diğer bakım amaçlı kullanılan sistemle aynı olabilir.</w:t>
      </w:r>
    </w:p>
    <w:p w14:paraId="2E5282DD" w14:textId="77777777" w:rsidR="002D7B36" w:rsidRPr="00DE12A3" w:rsidRDefault="009D331B" w:rsidP="00E20716">
      <w:pPr>
        <w:pStyle w:val="Gvdemetni250"/>
        <w:numPr>
          <w:ilvl w:val="1"/>
          <w:numId w:val="5"/>
        </w:numPr>
        <w:shd w:val="clear" w:color="auto" w:fill="auto"/>
        <w:tabs>
          <w:tab w:val="left" w:pos="827"/>
        </w:tabs>
        <w:spacing w:before="120" w:after="120" w:line="240" w:lineRule="auto"/>
        <w:ind w:left="1134" w:hanging="1134"/>
        <w:rPr>
          <w:sz w:val="24"/>
          <w:szCs w:val="24"/>
        </w:rPr>
      </w:pPr>
      <w:r w:rsidRPr="00DE12A3">
        <w:rPr>
          <w:sz w:val="24"/>
          <w:szCs w:val="24"/>
        </w:rPr>
        <w:t xml:space="preserve">    </w:t>
      </w:r>
      <w:r w:rsidR="00242DA0" w:rsidRPr="00DE12A3">
        <w:rPr>
          <w:sz w:val="24"/>
          <w:szCs w:val="24"/>
        </w:rPr>
        <w:t>İmalatçının tercihine bağlı olarak, uyarı sistemi operatörü uyarmak için bir sesli bileşen içerebilir. Sesli uyarıların operatör tarafından iptal edilmesine izin verilir.</w:t>
      </w:r>
    </w:p>
    <w:p w14:paraId="2E732324" w14:textId="77777777" w:rsidR="002D7B36" w:rsidRPr="00DE12A3" w:rsidRDefault="009D331B" w:rsidP="00E20716">
      <w:pPr>
        <w:pStyle w:val="Gvdemetni250"/>
        <w:numPr>
          <w:ilvl w:val="1"/>
          <w:numId w:val="5"/>
        </w:numPr>
        <w:shd w:val="clear" w:color="auto" w:fill="auto"/>
        <w:tabs>
          <w:tab w:val="left" w:pos="827"/>
        </w:tabs>
        <w:spacing w:before="120" w:after="120" w:line="240" w:lineRule="auto"/>
        <w:ind w:left="1134" w:hanging="1134"/>
        <w:rPr>
          <w:sz w:val="24"/>
          <w:szCs w:val="24"/>
        </w:rPr>
      </w:pPr>
      <w:r w:rsidRPr="00DE12A3">
        <w:rPr>
          <w:sz w:val="24"/>
          <w:szCs w:val="24"/>
        </w:rPr>
        <w:t xml:space="preserve">     </w:t>
      </w:r>
      <w:r w:rsidR="00242DA0" w:rsidRPr="00DE12A3">
        <w:rPr>
          <w:sz w:val="24"/>
          <w:szCs w:val="24"/>
        </w:rPr>
        <w:t>Operatör uyarı sistemi, sırasıyla 6.2, 7.2, 8.4 ve 9.3 bentlerinde belirtilen şekilde devreye girmelidir.</w:t>
      </w:r>
    </w:p>
    <w:p w14:paraId="1217E12A" w14:textId="77777777" w:rsidR="002D7B36" w:rsidRPr="00DE12A3" w:rsidRDefault="009D331B" w:rsidP="00E20716">
      <w:pPr>
        <w:pStyle w:val="Gvdemetni250"/>
        <w:numPr>
          <w:ilvl w:val="1"/>
          <w:numId w:val="5"/>
        </w:numPr>
        <w:shd w:val="clear" w:color="auto" w:fill="auto"/>
        <w:tabs>
          <w:tab w:val="left" w:pos="827"/>
        </w:tabs>
        <w:spacing w:before="120" w:after="120" w:line="240" w:lineRule="auto"/>
        <w:ind w:left="1134" w:hanging="1134"/>
        <w:rPr>
          <w:sz w:val="24"/>
          <w:szCs w:val="24"/>
        </w:rPr>
      </w:pPr>
      <w:r w:rsidRPr="00DE12A3">
        <w:rPr>
          <w:sz w:val="24"/>
          <w:szCs w:val="24"/>
        </w:rPr>
        <w:t xml:space="preserve">     </w:t>
      </w:r>
      <w:r w:rsidR="00242DA0" w:rsidRPr="00DE12A3">
        <w:rPr>
          <w:sz w:val="24"/>
          <w:szCs w:val="24"/>
        </w:rPr>
        <w:t xml:space="preserve">Operatör uyarı sistemi, devreye girmesine ilişkin koşullar sona erdiğinde devreden </w:t>
      </w:r>
      <w:r w:rsidRPr="00DE12A3">
        <w:rPr>
          <w:sz w:val="24"/>
          <w:szCs w:val="24"/>
        </w:rPr>
        <w:t>çıkar. Operatör</w:t>
      </w:r>
      <w:r w:rsidR="00242DA0" w:rsidRPr="00DE12A3">
        <w:rPr>
          <w:sz w:val="24"/>
          <w:szCs w:val="24"/>
        </w:rPr>
        <w:t xml:space="preserve"> uyarı sistemi, devreye girmesine ilişkin sebep giderilmedikçe otomatik olarak devreden çıkmaz.</w:t>
      </w:r>
    </w:p>
    <w:p w14:paraId="3925CDDE" w14:textId="77777777" w:rsidR="002D7B36" w:rsidRPr="00DE12A3" w:rsidRDefault="009D331B" w:rsidP="00E20716">
      <w:pPr>
        <w:pStyle w:val="Gvdemetni250"/>
        <w:numPr>
          <w:ilvl w:val="1"/>
          <w:numId w:val="5"/>
        </w:numPr>
        <w:shd w:val="clear" w:color="auto" w:fill="auto"/>
        <w:tabs>
          <w:tab w:val="left" w:pos="827"/>
        </w:tabs>
        <w:spacing w:before="120" w:after="120" w:line="240" w:lineRule="auto"/>
        <w:ind w:left="1134" w:hanging="1134"/>
        <w:rPr>
          <w:sz w:val="24"/>
          <w:szCs w:val="24"/>
        </w:rPr>
      </w:pPr>
      <w:r w:rsidRPr="00DE12A3">
        <w:rPr>
          <w:sz w:val="24"/>
          <w:szCs w:val="24"/>
        </w:rPr>
        <w:t xml:space="preserve">     </w:t>
      </w:r>
      <w:r w:rsidR="00242DA0" w:rsidRPr="00DE12A3">
        <w:rPr>
          <w:sz w:val="24"/>
          <w:szCs w:val="24"/>
        </w:rPr>
        <w:t>Uyarı sistemi, güvenlikle ilgili önemli mesajlar veren diğer uyarı sinyalleri ile geçici olarak kesintiye uğrayabilir.</w:t>
      </w:r>
    </w:p>
    <w:p w14:paraId="7A578DAB" w14:textId="6EA5EC20" w:rsidR="002D7B36" w:rsidRPr="00DE12A3" w:rsidRDefault="009D331B" w:rsidP="00E20716">
      <w:pPr>
        <w:pStyle w:val="Gvdemetni250"/>
        <w:numPr>
          <w:ilvl w:val="1"/>
          <w:numId w:val="5"/>
        </w:numPr>
        <w:shd w:val="clear" w:color="auto" w:fill="auto"/>
        <w:tabs>
          <w:tab w:val="left" w:pos="827"/>
        </w:tabs>
        <w:spacing w:before="120" w:after="120" w:line="240" w:lineRule="auto"/>
        <w:ind w:left="1134" w:hanging="1134"/>
        <w:rPr>
          <w:sz w:val="24"/>
          <w:szCs w:val="24"/>
        </w:rPr>
      </w:pPr>
      <w:r w:rsidRPr="00DE12A3">
        <w:rPr>
          <w:sz w:val="24"/>
          <w:szCs w:val="24"/>
        </w:rPr>
        <w:t xml:space="preserve">     </w:t>
      </w:r>
      <w:r w:rsidR="00242DA0" w:rsidRPr="00DE12A3">
        <w:rPr>
          <w:sz w:val="24"/>
          <w:szCs w:val="24"/>
        </w:rPr>
        <w:t xml:space="preserve">Operatör uyarı sisteminin devreye giriş ve devreden çıkış prosedürlerinin detayları 11. </w:t>
      </w:r>
      <w:r w:rsidR="00721C89" w:rsidRPr="00DE12A3">
        <w:rPr>
          <w:sz w:val="24"/>
          <w:szCs w:val="24"/>
        </w:rPr>
        <w:t>Bölüm</w:t>
      </w:r>
      <w:r w:rsidR="00242DA0" w:rsidRPr="00DE12A3">
        <w:rPr>
          <w:sz w:val="24"/>
          <w:szCs w:val="24"/>
        </w:rPr>
        <w:t>de açıklanmıştır.</w:t>
      </w:r>
    </w:p>
    <w:p w14:paraId="0BE2D907" w14:textId="07368DFA" w:rsidR="002D7B36" w:rsidRPr="00DE12A3" w:rsidRDefault="009D331B" w:rsidP="00E20716">
      <w:pPr>
        <w:pStyle w:val="Gvdemetni250"/>
        <w:numPr>
          <w:ilvl w:val="1"/>
          <w:numId w:val="5"/>
        </w:numPr>
        <w:shd w:val="clear" w:color="auto" w:fill="auto"/>
        <w:tabs>
          <w:tab w:val="left" w:pos="827"/>
        </w:tabs>
        <w:spacing w:before="120" w:after="120" w:line="240" w:lineRule="auto"/>
        <w:ind w:left="1134" w:hanging="1134"/>
        <w:rPr>
          <w:sz w:val="24"/>
          <w:szCs w:val="24"/>
        </w:rPr>
      </w:pPr>
      <w:r w:rsidRPr="00DE12A3">
        <w:rPr>
          <w:sz w:val="24"/>
          <w:szCs w:val="24"/>
        </w:rPr>
        <w:t xml:space="preserve">      </w:t>
      </w:r>
      <w:r w:rsidR="00242DA0" w:rsidRPr="00DE12A3">
        <w:rPr>
          <w:sz w:val="24"/>
          <w:szCs w:val="24"/>
        </w:rPr>
        <w:t xml:space="preserve">Bu </w:t>
      </w:r>
      <w:r w:rsidR="00ED1229" w:rsidRPr="00DE12A3">
        <w:rPr>
          <w:sz w:val="24"/>
          <w:szCs w:val="24"/>
        </w:rPr>
        <w:t>Tebliğe uygun olarak</w:t>
      </w:r>
      <w:r w:rsidR="00242DA0" w:rsidRPr="00DE12A3">
        <w:rPr>
          <w:sz w:val="24"/>
          <w:szCs w:val="24"/>
        </w:rPr>
        <w:t xml:space="preserve"> AB tip onayı başvurusunun bir parçası olarak imalatçı, 10. </w:t>
      </w:r>
      <w:r w:rsidR="00721C89" w:rsidRPr="00DE12A3">
        <w:rPr>
          <w:sz w:val="24"/>
          <w:szCs w:val="24"/>
        </w:rPr>
        <w:t>Bölüm</w:t>
      </w:r>
      <w:r w:rsidR="00242DA0" w:rsidRPr="00DE12A3">
        <w:rPr>
          <w:sz w:val="24"/>
          <w:szCs w:val="24"/>
        </w:rPr>
        <w:t>de belirtildiği gibi operatör uyarı sisteminin çalışmasını göstermelidir.</w:t>
      </w:r>
    </w:p>
    <w:p w14:paraId="18AC976B" w14:textId="77777777" w:rsidR="002D7B36" w:rsidRPr="00DE12A3" w:rsidRDefault="009D331B" w:rsidP="00E20716">
      <w:pPr>
        <w:pStyle w:val="Balk460"/>
        <w:numPr>
          <w:ilvl w:val="0"/>
          <w:numId w:val="5"/>
        </w:numPr>
        <w:shd w:val="clear" w:color="auto" w:fill="auto"/>
        <w:tabs>
          <w:tab w:val="left" w:pos="827"/>
          <w:tab w:val="left" w:pos="850"/>
        </w:tabs>
        <w:spacing w:before="120" w:after="120" w:line="240" w:lineRule="auto"/>
        <w:ind w:left="1134" w:hanging="1134"/>
        <w:rPr>
          <w:rStyle w:val="Balk467ptKalnDeil0ptbolukbraklyor"/>
          <w:bCs/>
          <w:color w:val="auto"/>
          <w:spacing w:val="18"/>
          <w:sz w:val="24"/>
          <w:szCs w:val="24"/>
          <w:shd w:val="clear" w:color="auto" w:fill="auto"/>
          <w:lang w:val="tr-TR"/>
        </w:rPr>
      </w:pPr>
      <w:r w:rsidRPr="00DE12A3">
        <w:rPr>
          <w:rStyle w:val="Balk467ptKalnDeil0ptbolukbraklyor"/>
          <w:b/>
          <w:color w:val="auto"/>
          <w:sz w:val="24"/>
          <w:szCs w:val="24"/>
        </w:rPr>
        <w:t xml:space="preserve">     </w:t>
      </w:r>
      <w:r w:rsidR="00242DA0" w:rsidRPr="00DE12A3">
        <w:rPr>
          <w:rStyle w:val="Balk467ptKalnDeil0ptbolukbraklyor"/>
          <w:b/>
          <w:color w:val="auto"/>
          <w:sz w:val="24"/>
          <w:szCs w:val="24"/>
        </w:rPr>
        <w:t>Operatör ikna sistemi</w:t>
      </w:r>
    </w:p>
    <w:p w14:paraId="3039AE5A" w14:textId="77777777" w:rsidR="002D7B36" w:rsidRPr="00DE12A3" w:rsidRDefault="009D331B" w:rsidP="00E20716">
      <w:pPr>
        <w:pStyle w:val="Gvdemetni250"/>
        <w:numPr>
          <w:ilvl w:val="1"/>
          <w:numId w:val="5"/>
        </w:numPr>
        <w:shd w:val="clear" w:color="auto" w:fill="auto"/>
        <w:tabs>
          <w:tab w:val="left" w:pos="827"/>
        </w:tabs>
        <w:spacing w:before="120" w:after="120" w:line="240" w:lineRule="auto"/>
        <w:ind w:left="1134" w:hanging="1134"/>
        <w:rPr>
          <w:sz w:val="24"/>
          <w:szCs w:val="24"/>
        </w:rPr>
      </w:pPr>
      <w:r w:rsidRPr="00DE12A3">
        <w:rPr>
          <w:sz w:val="24"/>
          <w:szCs w:val="24"/>
        </w:rPr>
        <w:t xml:space="preserve">      </w:t>
      </w:r>
      <w:r w:rsidR="00242DA0" w:rsidRPr="00DE12A3">
        <w:rPr>
          <w:sz w:val="24"/>
          <w:szCs w:val="24"/>
        </w:rPr>
        <w:t>Motorda, aşağıdaki ilkelerden birine dayanan bir operatör ikna sistemi bulunmalıdır:</w:t>
      </w:r>
    </w:p>
    <w:p w14:paraId="2FE27B4D" w14:textId="285B38D4" w:rsidR="002D7B36" w:rsidRPr="00DE12A3" w:rsidRDefault="009D331B" w:rsidP="00E20716">
      <w:pPr>
        <w:pStyle w:val="Gvdemetni250"/>
        <w:numPr>
          <w:ilvl w:val="2"/>
          <w:numId w:val="5"/>
        </w:numPr>
        <w:shd w:val="clear" w:color="auto" w:fill="auto"/>
        <w:tabs>
          <w:tab w:val="left" w:pos="827"/>
        </w:tabs>
        <w:spacing w:before="120" w:after="120" w:line="240" w:lineRule="auto"/>
        <w:ind w:left="1134" w:hanging="1134"/>
        <w:rPr>
          <w:sz w:val="24"/>
          <w:szCs w:val="24"/>
        </w:rPr>
      </w:pPr>
      <w:r w:rsidRPr="00DE12A3">
        <w:rPr>
          <w:sz w:val="24"/>
          <w:szCs w:val="24"/>
        </w:rPr>
        <w:t xml:space="preserve">     D</w:t>
      </w:r>
      <w:r w:rsidR="00242DA0" w:rsidRPr="00DE12A3">
        <w:rPr>
          <w:sz w:val="24"/>
          <w:szCs w:val="24"/>
        </w:rPr>
        <w:t>üşük seviye bir ikna ile başlayan (performans kısıtlaması), ardından ağır seviye bir ikna (karayolu dışında kullanılan hareketli makinaların çalışmasının etkin şekilde devre dışı bırakılması) ile devam eden iki aşamalı ikna sistemi</w:t>
      </w:r>
      <w:r w:rsidR="00BF667A" w:rsidRPr="00DE12A3">
        <w:rPr>
          <w:sz w:val="24"/>
          <w:szCs w:val="24"/>
        </w:rPr>
        <w:t>.</w:t>
      </w:r>
    </w:p>
    <w:p w14:paraId="1EA11330" w14:textId="77777777" w:rsidR="002D7B36" w:rsidRPr="00DE12A3" w:rsidRDefault="009D331B" w:rsidP="00E20716">
      <w:pPr>
        <w:pStyle w:val="Gvdemetni250"/>
        <w:numPr>
          <w:ilvl w:val="2"/>
          <w:numId w:val="5"/>
        </w:numPr>
        <w:shd w:val="clear" w:color="auto" w:fill="auto"/>
        <w:tabs>
          <w:tab w:val="left" w:pos="827"/>
        </w:tabs>
        <w:spacing w:before="120" w:after="120" w:line="240" w:lineRule="auto"/>
        <w:ind w:left="1134" w:hanging="1134"/>
        <w:rPr>
          <w:sz w:val="24"/>
          <w:szCs w:val="24"/>
        </w:rPr>
      </w:pPr>
      <w:r w:rsidRPr="00DE12A3">
        <w:rPr>
          <w:sz w:val="24"/>
          <w:szCs w:val="24"/>
        </w:rPr>
        <w:t xml:space="preserve">     </w:t>
      </w:r>
      <w:r w:rsidR="00242DA0" w:rsidRPr="00DE12A3">
        <w:rPr>
          <w:sz w:val="24"/>
          <w:szCs w:val="24"/>
        </w:rPr>
        <w:t>6.3.1, 7.3.1 ve 9.4.1 bentlerinde belirtildiği gibi, düşük seviyeli bir ikna sistemi koşullarında devreye giren, tek aşamalı bir ağır seviye ikna sistemi (karayolu dışında kullanılan hareketli makinaların çalışmasının etkin şekilde devre dışı bırakılması).</w:t>
      </w:r>
    </w:p>
    <w:p w14:paraId="2469E697" w14:textId="77777777" w:rsidR="002D7B36" w:rsidRPr="00DE12A3" w:rsidRDefault="009D331B" w:rsidP="00C917D6">
      <w:pPr>
        <w:pStyle w:val="Gvdemetni250"/>
        <w:shd w:val="clear" w:color="auto" w:fill="auto"/>
        <w:spacing w:before="120" w:after="120" w:line="240" w:lineRule="auto"/>
        <w:ind w:left="1134" w:hanging="1134"/>
        <w:rPr>
          <w:sz w:val="24"/>
          <w:szCs w:val="24"/>
        </w:rPr>
      </w:pPr>
      <w:r w:rsidRPr="00DE12A3">
        <w:rPr>
          <w:sz w:val="24"/>
          <w:szCs w:val="24"/>
        </w:rPr>
        <w:lastRenderedPageBreak/>
        <w:t xml:space="preserve">                   </w:t>
      </w:r>
      <w:r w:rsidR="00242DA0" w:rsidRPr="00DE12A3">
        <w:rPr>
          <w:sz w:val="24"/>
          <w:szCs w:val="24"/>
        </w:rPr>
        <w:t>İmalatçının, tek aşamalı ağır seviye ikna şartını yerine getirmek için motoru durdurmayı seçmesi durumunda, ayıraç seviyesi için ikna, imalatçının tercihine göre, 6.3.1 bendindeki koşullar yerine 6.3.2 bendindeki koşullar altında devreye girebilir.</w:t>
      </w:r>
    </w:p>
    <w:p w14:paraId="0DBFF3A5" w14:textId="77777777" w:rsidR="002D7B36" w:rsidRPr="00DE12A3" w:rsidRDefault="009D331B" w:rsidP="00E20716">
      <w:pPr>
        <w:pStyle w:val="Gvdemetni250"/>
        <w:numPr>
          <w:ilvl w:val="1"/>
          <w:numId w:val="5"/>
        </w:numPr>
        <w:shd w:val="clear" w:color="auto" w:fill="auto"/>
        <w:tabs>
          <w:tab w:val="left" w:pos="851"/>
        </w:tabs>
        <w:spacing w:before="120" w:after="120" w:line="240" w:lineRule="auto"/>
        <w:ind w:left="1134" w:hanging="1134"/>
        <w:rPr>
          <w:sz w:val="24"/>
          <w:szCs w:val="24"/>
        </w:rPr>
      </w:pPr>
      <w:r w:rsidRPr="00DE12A3">
        <w:rPr>
          <w:sz w:val="24"/>
          <w:szCs w:val="24"/>
        </w:rPr>
        <w:t xml:space="preserve">     </w:t>
      </w:r>
      <w:r w:rsidR="00242DA0" w:rsidRPr="00DE12A3">
        <w:rPr>
          <w:sz w:val="24"/>
          <w:szCs w:val="24"/>
        </w:rPr>
        <w:t xml:space="preserve">Motora, 5.2.1 bendinin </w:t>
      </w:r>
      <w:r w:rsidR="0053289F" w:rsidRPr="00DE12A3">
        <w:rPr>
          <w:sz w:val="24"/>
          <w:szCs w:val="24"/>
        </w:rPr>
        <w:t>gerekliliklerine</w:t>
      </w:r>
      <w:r w:rsidR="00242DA0" w:rsidRPr="00DE12A3">
        <w:rPr>
          <w:sz w:val="24"/>
          <w:szCs w:val="24"/>
        </w:rPr>
        <w:t xml:space="preserve"> uygun olması koşuluyla operatör ikna sistemini devre dışı bırakmak için bir araç takılabilir.</w:t>
      </w:r>
    </w:p>
    <w:p w14:paraId="17F2AAAE" w14:textId="77777777" w:rsidR="002D7B36" w:rsidRPr="00DE12A3" w:rsidRDefault="0027539F" w:rsidP="00E20716">
      <w:pPr>
        <w:pStyle w:val="Gvdemetni250"/>
        <w:numPr>
          <w:ilvl w:val="0"/>
          <w:numId w:val="23"/>
        </w:numPr>
        <w:shd w:val="clear" w:color="auto" w:fill="auto"/>
        <w:spacing w:before="120" w:after="120" w:line="240" w:lineRule="auto"/>
        <w:ind w:left="1134" w:hanging="1134"/>
        <w:rPr>
          <w:sz w:val="24"/>
          <w:szCs w:val="24"/>
        </w:rPr>
      </w:pPr>
      <w:r w:rsidRPr="00DE12A3">
        <w:rPr>
          <w:sz w:val="24"/>
          <w:szCs w:val="24"/>
        </w:rPr>
        <w:t xml:space="preserve"> </w:t>
      </w:r>
      <w:r w:rsidR="009D331B" w:rsidRPr="00DE12A3">
        <w:rPr>
          <w:sz w:val="24"/>
          <w:szCs w:val="24"/>
        </w:rPr>
        <w:t xml:space="preserve">      </w:t>
      </w:r>
      <w:r w:rsidR="00242DA0" w:rsidRPr="00DE12A3">
        <w:rPr>
          <w:sz w:val="24"/>
          <w:szCs w:val="24"/>
        </w:rPr>
        <w:t>Motora, ulusal veya bölgesel yönetim, onların acil servisleri veya silahlı kuvvetleri tarafından bildirilen bir acil durum sırasında operatör ikna sistemini geçici olarak devre dışı bırakmak için bir araç takılabilir.</w:t>
      </w:r>
    </w:p>
    <w:p w14:paraId="538A8F5B" w14:textId="77777777" w:rsidR="002D7B36" w:rsidRPr="00DE12A3" w:rsidRDefault="009D331B" w:rsidP="00E20716">
      <w:pPr>
        <w:pStyle w:val="Gvdemetni250"/>
        <w:numPr>
          <w:ilvl w:val="0"/>
          <w:numId w:val="24"/>
        </w:numPr>
        <w:shd w:val="clear" w:color="auto" w:fill="auto"/>
        <w:tabs>
          <w:tab w:val="left" w:pos="851"/>
        </w:tabs>
        <w:spacing w:before="120" w:after="120" w:line="240" w:lineRule="auto"/>
        <w:ind w:left="1134" w:hanging="1134"/>
        <w:rPr>
          <w:sz w:val="24"/>
          <w:szCs w:val="24"/>
        </w:rPr>
      </w:pPr>
      <w:r w:rsidRPr="00DE12A3">
        <w:rPr>
          <w:sz w:val="24"/>
          <w:szCs w:val="24"/>
        </w:rPr>
        <w:t xml:space="preserve">     </w:t>
      </w:r>
      <w:r w:rsidR="00242DA0" w:rsidRPr="00DE12A3">
        <w:rPr>
          <w:sz w:val="24"/>
          <w:szCs w:val="24"/>
        </w:rPr>
        <w:t>Bir motora, acil durumlarda operatör ikna sistemini geçici olarak devre dışı bırakmak için bir araç takıldığında, aşağıdaki koşulların tümü geçerlidir:</w:t>
      </w:r>
    </w:p>
    <w:p w14:paraId="05AA6E1A" w14:textId="4E9FD8CF" w:rsidR="002D7B36" w:rsidRPr="00DE12A3" w:rsidRDefault="009D331B" w:rsidP="00E20716">
      <w:pPr>
        <w:pStyle w:val="Gvdemetni250"/>
        <w:numPr>
          <w:ilvl w:val="0"/>
          <w:numId w:val="25"/>
        </w:numPr>
        <w:shd w:val="clear" w:color="auto" w:fill="auto"/>
        <w:spacing w:before="120" w:after="120" w:line="240" w:lineRule="auto"/>
        <w:ind w:left="1701" w:hanging="567"/>
        <w:rPr>
          <w:sz w:val="24"/>
          <w:szCs w:val="24"/>
        </w:rPr>
      </w:pPr>
      <w:r w:rsidRPr="00DE12A3">
        <w:rPr>
          <w:sz w:val="24"/>
          <w:szCs w:val="24"/>
        </w:rPr>
        <w:t xml:space="preserve">     </w:t>
      </w:r>
      <w:r w:rsidR="00242DA0" w:rsidRPr="00DE12A3">
        <w:rPr>
          <w:sz w:val="24"/>
          <w:szCs w:val="24"/>
        </w:rPr>
        <w:t>İkna sisteminin operatör tarafından devre dışı bırakılabileceği azami çalışma süresi 120 saattir</w:t>
      </w:r>
      <w:r w:rsidR="00BF667A" w:rsidRPr="00DE12A3">
        <w:rPr>
          <w:sz w:val="24"/>
          <w:szCs w:val="24"/>
        </w:rPr>
        <w:t>.</w:t>
      </w:r>
    </w:p>
    <w:p w14:paraId="764E9F54" w14:textId="654D5517" w:rsidR="002D7B36" w:rsidRPr="00DE12A3" w:rsidRDefault="00242DA0" w:rsidP="00E20716">
      <w:pPr>
        <w:pStyle w:val="Gvdemetni250"/>
        <w:numPr>
          <w:ilvl w:val="0"/>
          <w:numId w:val="25"/>
        </w:numPr>
        <w:shd w:val="clear" w:color="auto" w:fill="auto"/>
        <w:spacing w:before="120" w:after="120" w:line="240" w:lineRule="auto"/>
        <w:ind w:left="1701" w:hanging="567"/>
        <w:rPr>
          <w:sz w:val="24"/>
          <w:szCs w:val="24"/>
        </w:rPr>
      </w:pPr>
      <w:r w:rsidRPr="00DE12A3">
        <w:rPr>
          <w:sz w:val="24"/>
          <w:szCs w:val="24"/>
        </w:rPr>
        <w:t>Devreye girme yöntemi, isteğe bağlı çift işlem gerektirmek suretiyle yanlışlıkla çalışmayı önleyecek şekilde tasarlanmalı ve en azından "SADECE ACİL KULLANIM İÇİN" uyarısı net bir şekilde yazılmış olmalıdır</w:t>
      </w:r>
      <w:r w:rsidR="00BF667A" w:rsidRPr="00DE12A3">
        <w:rPr>
          <w:sz w:val="24"/>
          <w:szCs w:val="24"/>
        </w:rPr>
        <w:t>.</w:t>
      </w:r>
    </w:p>
    <w:p w14:paraId="41434916" w14:textId="62C62FAA" w:rsidR="002D7B36" w:rsidRPr="00DE12A3" w:rsidRDefault="009D331B" w:rsidP="00E20716">
      <w:pPr>
        <w:pStyle w:val="Gvdemetni250"/>
        <w:numPr>
          <w:ilvl w:val="0"/>
          <w:numId w:val="25"/>
        </w:numPr>
        <w:shd w:val="clear" w:color="auto" w:fill="auto"/>
        <w:spacing w:before="120" w:after="120" w:line="240" w:lineRule="auto"/>
        <w:ind w:left="1701" w:hanging="567"/>
        <w:rPr>
          <w:sz w:val="24"/>
          <w:szCs w:val="24"/>
        </w:rPr>
      </w:pPr>
      <w:r w:rsidRPr="00DE12A3">
        <w:rPr>
          <w:sz w:val="24"/>
          <w:szCs w:val="24"/>
        </w:rPr>
        <w:t xml:space="preserve">     </w:t>
      </w:r>
      <w:r w:rsidR="00242DA0" w:rsidRPr="00DE12A3">
        <w:rPr>
          <w:sz w:val="24"/>
          <w:szCs w:val="24"/>
        </w:rPr>
        <w:t>Devre dışı bırakma, 120 saat geçtikten sonra otomatik olarak kapanmalı ve acil durum sona erdiyse operatörün devre dışı bırakmayı manuel olarak kapatması için de bir araç olmalıdır</w:t>
      </w:r>
      <w:r w:rsidR="00BF667A" w:rsidRPr="00DE12A3">
        <w:rPr>
          <w:sz w:val="24"/>
          <w:szCs w:val="24"/>
        </w:rPr>
        <w:t>.</w:t>
      </w:r>
    </w:p>
    <w:p w14:paraId="4D57964D" w14:textId="681F8491" w:rsidR="002D7B36" w:rsidRPr="00DE12A3" w:rsidRDefault="00242DA0" w:rsidP="00E20716">
      <w:pPr>
        <w:pStyle w:val="Gvdemetni250"/>
        <w:numPr>
          <w:ilvl w:val="0"/>
          <w:numId w:val="25"/>
        </w:numPr>
        <w:shd w:val="clear" w:color="auto" w:fill="auto"/>
        <w:spacing w:before="120" w:after="120" w:line="240" w:lineRule="auto"/>
        <w:ind w:left="1701" w:hanging="567"/>
        <w:rPr>
          <w:sz w:val="24"/>
          <w:szCs w:val="24"/>
        </w:rPr>
      </w:pPr>
      <w:r w:rsidRPr="00DE12A3">
        <w:rPr>
          <w:sz w:val="24"/>
          <w:szCs w:val="24"/>
        </w:rPr>
        <w:t>120 saatlik çalışma süresi dolduktan sonra, bir imalatçı geçici güvenlik kodu girilerek veya motorun ECU'su kalifiye bir servis teknisyeninin yeniden yapılandırılarak veya her motora denk bir güvenlik özelliği ile devre dışı bırakma aracı yeniden devreye sokulmadıkça, ikna sisteminin devre dışı bırakılması artık mümkün olmamalıdır</w:t>
      </w:r>
      <w:r w:rsidR="00BF667A" w:rsidRPr="00DE12A3">
        <w:rPr>
          <w:sz w:val="24"/>
          <w:szCs w:val="24"/>
        </w:rPr>
        <w:t>.</w:t>
      </w:r>
    </w:p>
    <w:p w14:paraId="342DE27D" w14:textId="1C2D9987" w:rsidR="002D7B36" w:rsidRPr="00DE12A3" w:rsidRDefault="009D331B" w:rsidP="00E20716">
      <w:pPr>
        <w:pStyle w:val="Gvdemetni250"/>
        <w:numPr>
          <w:ilvl w:val="0"/>
          <w:numId w:val="25"/>
        </w:numPr>
        <w:shd w:val="clear" w:color="auto" w:fill="auto"/>
        <w:spacing w:before="120" w:after="120" w:line="240" w:lineRule="auto"/>
        <w:ind w:left="1701" w:hanging="567"/>
        <w:rPr>
          <w:sz w:val="24"/>
          <w:szCs w:val="24"/>
        </w:rPr>
      </w:pPr>
      <w:r w:rsidRPr="00DE12A3">
        <w:rPr>
          <w:sz w:val="24"/>
          <w:szCs w:val="24"/>
        </w:rPr>
        <w:t xml:space="preserve">    </w:t>
      </w:r>
      <w:r w:rsidR="00242DA0" w:rsidRPr="00DE12A3">
        <w:rPr>
          <w:sz w:val="24"/>
          <w:szCs w:val="24"/>
        </w:rPr>
        <w:t>Devre dışı bırakma işlemlerinin toplam sayısı ve süresi, bilginin kasıtlı olarak silinememesini sağlayacak bir şekilde, geçici olmayan elektronik bellekte veya sayaçlarda saklanmalıdır. Ulusal teftiş makamlarının bir tarama aletiyle bu kayıtları okuması mümkün olmalıdır</w:t>
      </w:r>
      <w:r w:rsidR="00BF667A" w:rsidRPr="00DE12A3">
        <w:rPr>
          <w:sz w:val="24"/>
          <w:szCs w:val="24"/>
        </w:rPr>
        <w:t>.</w:t>
      </w:r>
    </w:p>
    <w:p w14:paraId="5F569912" w14:textId="7473C9EC" w:rsidR="002D7B36" w:rsidRPr="00DE12A3" w:rsidRDefault="00242DA0" w:rsidP="00C917D6">
      <w:pPr>
        <w:pStyle w:val="Gvdemetni250"/>
        <w:shd w:val="clear" w:color="auto" w:fill="auto"/>
        <w:spacing w:before="120" w:after="120" w:line="240" w:lineRule="auto"/>
        <w:ind w:left="1701" w:hanging="567"/>
        <w:rPr>
          <w:sz w:val="24"/>
          <w:szCs w:val="24"/>
        </w:rPr>
      </w:pPr>
      <w:r w:rsidRPr="00DE12A3">
        <w:rPr>
          <w:rStyle w:val="Gvdemetni250ptbolukbraklyor"/>
          <w:color w:val="auto"/>
          <w:sz w:val="24"/>
          <w:szCs w:val="24"/>
        </w:rPr>
        <w:t>(ea)</w:t>
      </w:r>
      <w:r w:rsidRPr="00DE12A3">
        <w:rPr>
          <w:rStyle w:val="Gvdemetni250ptbolukbraklyor"/>
          <w:color w:val="auto"/>
          <w:sz w:val="24"/>
          <w:szCs w:val="24"/>
        </w:rPr>
        <w:tab/>
      </w:r>
      <w:r w:rsidRPr="00DE12A3">
        <w:rPr>
          <w:sz w:val="24"/>
          <w:szCs w:val="24"/>
        </w:rPr>
        <w:t xml:space="preserve">(e) </w:t>
      </w:r>
      <w:r w:rsidR="004C6305" w:rsidRPr="00DE12A3">
        <w:rPr>
          <w:sz w:val="24"/>
          <w:szCs w:val="24"/>
        </w:rPr>
        <w:t xml:space="preserve">numaralı alt </w:t>
      </w:r>
      <w:r w:rsidRPr="00DE12A3">
        <w:rPr>
          <w:sz w:val="24"/>
          <w:szCs w:val="24"/>
        </w:rPr>
        <w:t xml:space="preserve">bendinde belirtilen kayıtlar için bağlantıya ilişkin açıklama ve okuma metodu, </w:t>
      </w:r>
      <w:r w:rsidR="00EE5D5E" w:rsidRPr="00DE12A3">
        <w:rPr>
          <w:sz w:val="24"/>
          <w:szCs w:val="24"/>
        </w:rPr>
        <w:t xml:space="preserve">2017/656/AB Tebliğinin I’inci </w:t>
      </w:r>
      <w:r w:rsidR="00EC3EF0" w:rsidRPr="00DE12A3">
        <w:rPr>
          <w:sz w:val="24"/>
          <w:szCs w:val="24"/>
        </w:rPr>
        <w:t>Ekinin</w:t>
      </w:r>
      <w:r w:rsidRPr="00DE12A3">
        <w:rPr>
          <w:sz w:val="24"/>
          <w:szCs w:val="24"/>
        </w:rPr>
        <w:t xml:space="preserve"> A Bölümünde belirtilen bilgi klasörüne dahil edilmelidir;</w:t>
      </w:r>
    </w:p>
    <w:p w14:paraId="183B2234" w14:textId="77777777" w:rsidR="002D7B36" w:rsidRPr="00DE12A3" w:rsidRDefault="009D331B" w:rsidP="00E20716">
      <w:pPr>
        <w:pStyle w:val="Gvdemetni250"/>
        <w:numPr>
          <w:ilvl w:val="0"/>
          <w:numId w:val="25"/>
        </w:numPr>
        <w:shd w:val="clear" w:color="auto" w:fill="auto"/>
        <w:spacing w:before="120" w:after="120" w:line="240" w:lineRule="auto"/>
        <w:ind w:left="1701" w:hanging="567"/>
        <w:rPr>
          <w:sz w:val="24"/>
          <w:szCs w:val="24"/>
        </w:rPr>
      </w:pPr>
      <w:r w:rsidRPr="00DE12A3">
        <w:rPr>
          <w:sz w:val="24"/>
          <w:szCs w:val="24"/>
        </w:rPr>
        <w:t xml:space="preserve">     </w:t>
      </w:r>
      <w:r w:rsidR="00242DA0" w:rsidRPr="00DE12A3">
        <w:rPr>
          <w:sz w:val="24"/>
          <w:szCs w:val="24"/>
        </w:rPr>
        <w:t>İmalatçı, operatör iknasını geçici olarak devre dışı bırakma araçlarını yeniden düzenlemek için her talebin kaydını tutmalı ve talep üzerine bu kayıtları Komisyona veya ulusal otoritelere sunmalıdır.</w:t>
      </w:r>
    </w:p>
    <w:p w14:paraId="2F9BF67D" w14:textId="77777777" w:rsidR="002D7B36" w:rsidRPr="00DE12A3" w:rsidRDefault="009D331B" w:rsidP="00E20716">
      <w:pPr>
        <w:pStyle w:val="Gvdemetni250"/>
        <w:numPr>
          <w:ilvl w:val="1"/>
          <w:numId w:val="5"/>
        </w:numPr>
        <w:shd w:val="clear" w:color="auto" w:fill="auto"/>
        <w:spacing w:before="120" w:after="120" w:line="240" w:lineRule="auto"/>
        <w:ind w:left="1134" w:hanging="1134"/>
        <w:rPr>
          <w:sz w:val="24"/>
          <w:szCs w:val="24"/>
        </w:rPr>
      </w:pPr>
      <w:r w:rsidRPr="00DE12A3">
        <w:rPr>
          <w:sz w:val="24"/>
          <w:szCs w:val="24"/>
        </w:rPr>
        <w:t xml:space="preserve">       </w:t>
      </w:r>
      <w:r w:rsidR="00242DA0" w:rsidRPr="00DE12A3">
        <w:rPr>
          <w:sz w:val="24"/>
          <w:szCs w:val="24"/>
        </w:rPr>
        <w:t>Düşük seviye ikna sistemi</w:t>
      </w:r>
    </w:p>
    <w:p w14:paraId="0D4BEBD6" w14:textId="1C678445" w:rsidR="002D7B36" w:rsidRPr="00DE12A3" w:rsidRDefault="009D331B" w:rsidP="00E20716">
      <w:pPr>
        <w:pStyle w:val="Gvdemetni250"/>
        <w:numPr>
          <w:ilvl w:val="2"/>
          <w:numId w:val="5"/>
        </w:numPr>
        <w:shd w:val="clear" w:color="auto" w:fill="auto"/>
        <w:spacing w:before="120" w:after="120" w:line="240" w:lineRule="auto"/>
        <w:ind w:left="1134" w:hanging="1134"/>
        <w:rPr>
          <w:sz w:val="24"/>
          <w:szCs w:val="24"/>
        </w:rPr>
      </w:pPr>
      <w:r w:rsidRPr="00DE12A3">
        <w:rPr>
          <w:sz w:val="24"/>
          <w:szCs w:val="24"/>
        </w:rPr>
        <w:t xml:space="preserve">       </w:t>
      </w:r>
      <w:r w:rsidR="00242DA0" w:rsidRPr="00DE12A3">
        <w:rPr>
          <w:sz w:val="24"/>
          <w:szCs w:val="24"/>
        </w:rPr>
        <w:t>Düşük seviye ikna sistemi, 6.3.1</w:t>
      </w:r>
      <w:r w:rsidR="00BF667A" w:rsidRPr="00DE12A3">
        <w:rPr>
          <w:sz w:val="24"/>
          <w:szCs w:val="24"/>
        </w:rPr>
        <w:t xml:space="preserve">, </w:t>
      </w:r>
      <w:r w:rsidR="00242DA0" w:rsidRPr="00DE12A3">
        <w:rPr>
          <w:sz w:val="24"/>
          <w:szCs w:val="24"/>
        </w:rPr>
        <w:t>7.3.1, 8.4.1 ve 9.4.1 bentlerinde belirtilen şartlardan herhangi biri gerçekleştikten sonra çalıştırılmalıdır.</w:t>
      </w:r>
    </w:p>
    <w:p w14:paraId="34A31CBA" w14:textId="77777777" w:rsidR="002D7B36" w:rsidRPr="00DE12A3" w:rsidRDefault="009D331B" w:rsidP="00E20716">
      <w:pPr>
        <w:pStyle w:val="Gvdemetni250"/>
        <w:numPr>
          <w:ilvl w:val="2"/>
          <w:numId w:val="5"/>
        </w:numPr>
        <w:shd w:val="clear" w:color="auto" w:fill="auto"/>
        <w:tabs>
          <w:tab w:val="center" w:pos="851"/>
          <w:tab w:val="right" w:pos="3470"/>
        </w:tabs>
        <w:spacing w:before="120" w:after="120" w:line="240" w:lineRule="auto"/>
        <w:ind w:left="1134" w:hanging="1134"/>
        <w:rPr>
          <w:sz w:val="24"/>
          <w:szCs w:val="24"/>
        </w:rPr>
      </w:pPr>
      <w:r w:rsidRPr="00DE12A3">
        <w:rPr>
          <w:sz w:val="24"/>
          <w:szCs w:val="24"/>
        </w:rPr>
        <w:t xml:space="preserve">    </w:t>
      </w:r>
      <w:r w:rsidR="00242DA0" w:rsidRPr="00DE12A3">
        <w:rPr>
          <w:sz w:val="24"/>
          <w:szCs w:val="24"/>
        </w:rPr>
        <w:t>Düşük seviye ikna sistemi, Şekil 4.1'de gösterildiği gibi, tepe tork devri ile regülatör kesme noktası arasında motor devir aralığı boyunca mevcut azami motor torkunu en az %25 oranında azaltır. Tork azaltma oranı en az dakikada %1 olmalıdır.</w:t>
      </w:r>
    </w:p>
    <w:p w14:paraId="7091D6F2" w14:textId="77777777" w:rsidR="002D7B36" w:rsidRPr="00DE12A3" w:rsidRDefault="009D331B" w:rsidP="00E20716">
      <w:pPr>
        <w:pStyle w:val="Gvdemetni0"/>
        <w:numPr>
          <w:ilvl w:val="2"/>
          <w:numId w:val="5"/>
        </w:numPr>
        <w:shd w:val="clear" w:color="auto" w:fill="auto"/>
        <w:tabs>
          <w:tab w:val="left" w:pos="842"/>
        </w:tabs>
        <w:spacing w:before="120" w:after="120" w:line="240" w:lineRule="auto"/>
        <w:ind w:left="1134" w:hanging="1134"/>
        <w:jc w:val="both"/>
        <w:rPr>
          <w:sz w:val="24"/>
          <w:szCs w:val="24"/>
        </w:rPr>
      </w:pPr>
      <w:r w:rsidRPr="00DE12A3">
        <w:rPr>
          <w:sz w:val="24"/>
          <w:szCs w:val="24"/>
        </w:rPr>
        <w:t xml:space="preserve">     </w:t>
      </w:r>
      <w:r w:rsidR="00242DA0" w:rsidRPr="00DE12A3">
        <w:rPr>
          <w:sz w:val="24"/>
          <w:szCs w:val="24"/>
        </w:rPr>
        <w:t xml:space="preserve">Aynı veya daha yüksek ciddiyet seviyesine sahip olduğu </w:t>
      </w:r>
      <w:r w:rsidR="007E2039" w:rsidRPr="00DE12A3">
        <w:rPr>
          <w:sz w:val="24"/>
          <w:szCs w:val="24"/>
        </w:rPr>
        <w:t xml:space="preserve">onay </w:t>
      </w:r>
      <w:r w:rsidR="00F73CAC" w:rsidRPr="00DE12A3">
        <w:rPr>
          <w:sz w:val="24"/>
          <w:szCs w:val="24"/>
        </w:rPr>
        <w:t>kuruluşuna gösterilen</w:t>
      </w:r>
      <w:r w:rsidR="00242DA0" w:rsidRPr="00DE12A3">
        <w:rPr>
          <w:sz w:val="24"/>
          <w:szCs w:val="24"/>
        </w:rPr>
        <w:t xml:space="preserve"> diğer ikna tedbirleri kullanılabilir.</w:t>
      </w:r>
    </w:p>
    <w:p w14:paraId="44D394FC" w14:textId="77777777" w:rsidR="00ED1229" w:rsidRPr="00DE12A3" w:rsidRDefault="00ED1229" w:rsidP="00C917D6">
      <w:pPr>
        <w:spacing w:before="120" w:after="120"/>
        <w:ind w:left="1134" w:hanging="1134"/>
        <w:jc w:val="center"/>
        <w:rPr>
          <w:rStyle w:val="Gvdemetni40ptbolukbraklyor"/>
          <w:rFonts w:eastAsia="Courier New"/>
          <w:i w:val="0"/>
          <w:color w:val="auto"/>
          <w:sz w:val="24"/>
          <w:szCs w:val="24"/>
          <w:lang w:val="tr-TR"/>
        </w:rPr>
      </w:pPr>
    </w:p>
    <w:p w14:paraId="25EFF7C7" w14:textId="30A8550D" w:rsidR="002D7B36" w:rsidRPr="00DE12A3" w:rsidRDefault="00242DA0" w:rsidP="00C917D6">
      <w:pPr>
        <w:spacing w:before="120" w:after="120"/>
        <w:ind w:left="1134" w:hanging="1134"/>
        <w:jc w:val="center"/>
        <w:rPr>
          <w:rFonts w:cs="Times New Roman"/>
          <w:i/>
          <w:color w:val="auto"/>
        </w:rPr>
      </w:pPr>
      <w:r w:rsidRPr="00DE12A3">
        <w:rPr>
          <w:rStyle w:val="Gvdemetni40ptbolukbraklyor"/>
          <w:rFonts w:eastAsia="Courier New"/>
          <w:i w:val="0"/>
          <w:color w:val="auto"/>
          <w:sz w:val="24"/>
          <w:szCs w:val="24"/>
          <w:lang w:val="tr-TR"/>
        </w:rPr>
        <w:lastRenderedPageBreak/>
        <w:t>Şekil 4.1</w:t>
      </w:r>
    </w:p>
    <w:p w14:paraId="02015C7F" w14:textId="77777777" w:rsidR="002D7B36" w:rsidRPr="00DE12A3" w:rsidRDefault="00242DA0" w:rsidP="00C917D6">
      <w:pPr>
        <w:pStyle w:val="Gvdemetni50"/>
        <w:shd w:val="clear" w:color="auto" w:fill="auto"/>
        <w:spacing w:before="120" w:after="120" w:line="240" w:lineRule="auto"/>
        <w:ind w:left="1134" w:hanging="1134"/>
        <w:jc w:val="center"/>
        <w:rPr>
          <w:sz w:val="24"/>
          <w:szCs w:val="24"/>
        </w:rPr>
      </w:pPr>
      <w:r w:rsidRPr="00DE12A3">
        <w:rPr>
          <w:sz w:val="24"/>
          <w:szCs w:val="24"/>
        </w:rPr>
        <w:t>Düşük seviye ikna tork azaltma şeması</w:t>
      </w:r>
    </w:p>
    <w:p w14:paraId="09462764" w14:textId="62079DAE" w:rsidR="002D7B36" w:rsidRPr="00DE12A3" w:rsidRDefault="001D0A9D" w:rsidP="00C917D6">
      <w:pPr>
        <w:pStyle w:val="Gvdemetni250"/>
        <w:shd w:val="clear" w:color="auto" w:fill="auto"/>
        <w:spacing w:before="120" w:after="120" w:line="240" w:lineRule="auto"/>
        <w:ind w:left="1134" w:hanging="1134"/>
        <w:jc w:val="center"/>
        <w:rPr>
          <w:spacing w:val="4"/>
          <w:sz w:val="24"/>
          <w:szCs w:val="24"/>
        </w:rPr>
      </w:pPr>
      <w:r w:rsidRPr="00DE12A3">
        <w:rPr>
          <w:noProof/>
          <w:spacing w:val="4"/>
          <w:sz w:val="24"/>
          <w:szCs w:val="24"/>
          <w:lang w:eastAsia="tr-TR"/>
        </w:rPr>
        <w:drawing>
          <wp:inline distT="0" distB="0" distL="0" distR="0" wp14:anchorId="65E19033" wp14:editId="50ECC294">
            <wp:extent cx="4357675" cy="2066925"/>
            <wp:effectExtent l="0" t="0" r="5080" b="0"/>
            <wp:docPr id="28" name="Resim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405558" cy="2089637"/>
                    </a:xfrm>
                    <a:prstGeom prst="rect">
                      <a:avLst/>
                    </a:prstGeom>
                    <a:noFill/>
                    <a:ln>
                      <a:noFill/>
                    </a:ln>
                  </pic:spPr>
                </pic:pic>
              </a:graphicData>
            </a:graphic>
          </wp:inline>
        </w:drawing>
      </w:r>
    </w:p>
    <w:p w14:paraId="3D786977" w14:textId="77777777" w:rsidR="002D7B36" w:rsidRPr="00DE12A3" w:rsidRDefault="009D331B" w:rsidP="00E20716">
      <w:pPr>
        <w:pStyle w:val="Gvdemetni0"/>
        <w:numPr>
          <w:ilvl w:val="1"/>
          <w:numId w:val="5"/>
        </w:numPr>
        <w:shd w:val="clear" w:color="auto" w:fill="auto"/>
        <w:tabs>
          <w:tab w:val="left" w:pos="847"/>
          <w:tab w:val="left" w:pos="850"/>
        </w:tabs>
        <w:spacing w:before="120" w:after="120" w:line="240" w:lineRule="auto"/>
        <w:ind w:left="1134" w:hanging="1134"/>
        <w:jc w:val="both"/>
        <w:rPr>
          <w:sz w:val="24"/>
          <w:szCs w:val="24"/>
        </w:rPr>
      </w:pPr>
      <w:r w:rsidRPr="00DE12A3">
        <w:rPr>
          <w:sz w:val="24"/>
          <w:szCs w:val="24"/>
        </w:rPr>
        <w:t xml:space="preserve">    </w:t>
      </w:r>
      <w:r w:rsidR="00242DA0" w:rsidRPr="00DE12A3">
        <w:rPr>
          <w:sz w:val="24"/>
          <w:szCs w:val="24"/>
        </w:rPr>
        <w:t>Ağır seviye ikna sistemi</w:t>
      </w:r>
    </w:p>
    <w:p w14:paraId="4F72D558" w14:textId="4A4A15B2" w:rsidR="002D7B36" w:rsidRPr="00DE12A3" w:rsidRDefault="009D331B" w:rsidP="00E20716">
      <w:pPr>
        <w:pStyle w:val="Gvdemetni0"/>
        <w:numPr>
          <w:ilvl w:val="2"/>
          <w:numId w:val="5"/>
        </w:numPr>
        <w:shd w:val="clear" w:color="auto" w:fill="auto"/>
        <w:tabs>
          <w:tab w:val="left" w:pos="847"/>
          <w:tab w:val="left" w:pos="2568"/>
          <w:tab w:val="left" w:pos="3096"/>
          <w:tab w:val="left" w:pos="3514"/>
          <w:tab w:val="left" w:pos="4421"/>
          <w:tab w:val="right" w:pos="5664"/>
        </w:tabs>
        <w:spacing w:before="120" w:after="120" w:line="240" w:lineRule="auto"/>
        <w:ind w:left="1134" w:hanging="1134"/>
        <w:jc w:val="both"/>
        <w:rPr>
          <w:sz w:val="24"/>
          <w:szCs w:val="24"/>
        </w:rPr>
      </w:pPr>
      <w:r w:rsidRPr="00DE12A3">
        <w:rPr>
          <w:sz w:val="24"/>
          <w:szCs w:val="24"/>
        </w:rPr>
        <w:t xml:space="preserve">     </w:t>
      </w:r>
      <w:r w:rsidR="00242DA0" w:rsidRPr="00DE12A3">
        <w:rPr>
          <w:sz w:val="24"/>
          <w:szCs w:val="24"/>
        </w:rPr>
        <w:t>Ağır seviye ikna sistemi, 6.3.2, 7.3.2, 8.4.2 ve 9.4.2 bendinde belirtilen şartlardan herhangi biri gerçekleştikten sonra çalıştırılmalıdır.</w:t>
      </w:r>
    </w:p>
    <w:p w14:paraId="036F6604" w14:textId="129A9F5A" w:rsidR="002D7B36" w:rsidRPr="00DE12A3" w:rsidRDefault="009D331B" w:rsidP="00E20716">
      <w:pPr>
        <w:pStyle w:val="Gvdemetni0"/>
        <w:numPr>
          <w:ilvl w:val="2"/>
          <w:numId w:val="5"/>
        </w:numPr>
        <w:shd w:val="clear" w:color="auto" w:fill="auto"/>
        <w:tabs>
          <w:tab w:val="left" w:pos="847"/>
          <w:tab w:val="left" w:pos="2568"/>
          <w:tab w:val="left" w:pos="3096"/>
          <w:tab w:val="left" w:pos="3514"/>
          <w:tab w:val="left" w:pos="4421"/>
          <w:tab w:val="right" w:pos="5664"/>
        </w:tabs>
        <w:spacing w:before="120" w:after="120" w:line="240" w:lineRule="auto"/>
        <w:ind w:left="1134" w:hanging="1134"/>
        <w:jc w:val="both"/>
        <w:rPr>
          <w:sz w:val="24"/>
          <w:szCs w:val="24"/>
        </w:rPr>
      </w:pPr>
      <w:r w:rsidRPr="00DE12A3">
        <w:rPr>
          <w:sz w:val="24"/>
          <w:szCs w:val="24"/>
        </w:rPr>
        <w:t xml:space="preserve">     </w:t>
      </w:r>
      <w:r w:rsidR="00242DA0" w:rsidRPr="00DE12A3">
        <w:rPr>
          <w:sz w:val="24"/>
          <w:szCs w:val="24"/>
        </w:rPr>
        <w:t xml:space="preserve">Ağır seviye ikna sistemi, karayolu dışında kullanılan hareketli makinaların kullanımını, operatörün 6. ila 9. </w:t>
      </w:r>
      <w:r w:rsidR="00721C89" w:rsidRPr="00DE12A3">
        <w:rPr>
          <w:sz w:val="24"/>
          <w:szCs w:val="24"/>
        </w:rPr>
        <w:t>Bölüm</w:t>
      </w:r>
      <w:r w:rsidR="00242DA0" w:rsidRPr="00DE12A3">
        <w:rPr>
          <w:sz w:val="24"/>
          <w:szCs w:val="24"/>
        </w:rPr>
        <w:t>ler ile ilgili herhangi bir sorunu çözmesi bakımından yeterince zahmetli bir seviyeye indirecektir. Aşağıdaki stratejiler kabul edilebilir:</w:t>
      </w:r>
    </w:p>
    <w:p w14:paraId="63A96125" w14:textId="77777777" w:rsidR="002D7B36" w:rsidRPr="00DE12A3" w:rsidRDefault="00242DA0" w:rsidP="00E20716">
      <w:pPr>
        <w:pStyle w:val="ListeParagraf"/>
        <w:numPr>
          <w:ilvl w:val="3"/>
          <w:numId w:val="5"/>
        </w:numPr>
        <w:spacing w:before="120" w:after="120"/>
        <w:ind w:left="1134" w:hanging="1134"/>
        <w:jc w:val="both"/>
        <w:rPr>
          <w:rFonts w:cs="Times New Roman"/>
          <w:color w:val="auto"/>
        </w:rPr>
      </w:pPr>
      <w:r w:rsidRPr="00DE12A3">
        <w:rPr>
          <w:rFonts w:cs="Times New Roman"/>
          <w:color w:val="auto"/>
        </w:rPr>
        <w:t>Tepe torku devri ile regülatör kesme noktası arasındaki motor torku, Şekil 4.1'deki düşük seviye ikna torkundan, dakikada asgari %1 ile azami torkun %50'sine veya daha altına kademeli olarak düşürülmeli ve değişken devirli motorlar için motor devri, Şekil 4.2'de gösterildiği gibi, tork azaltma ile aynı sürede nominal devrin %60'ına veya daha altına kademeli olarak düşürülmelidir.</w:t>
      </w:r>
    </w:p>
    <w:p w14:paraId="7400C365" w14:textId="77777777" w:rsidR="002D7B36" w:rsidRPr="00DE12A3" w:rsidRDefault="00242DA0" w:rsidP="00C917D6">
      <w:pPr>
        <w:pStyle w:val="Gvdemetni260"/>
        <w:shd w:val="clear" w:color="auto" w:fill="auto"/>
        <w:spacing w:before="120" w:after="120" w:line="240" w:lineRule="auto"/>
        <w:ind w:left="1134" w:hanging="1134"/>
        <w:rPr>
          <w:sz w:val="24"/>
          <w:szCs w:val="24"/>
        </w:rPr>
      </w:pPr>
      <w:r w:rsidRPr="00DE12A3">
        <w:rPr>
          <w:rStyle w:val="Gvdemetni260ptbolukbraklyor"/>
          <w:color w:val="auto"/>
          <w:sz w:val="24"/>
          <w:szCs w:val="24"/>
        </w:rPr>
        <w:t>Şekil 4.2</w:t>
      </w:r>
    </w:p>
    <w:p w14:paraId="5C54FCAA" w14:textId="77777777" w:rsidR="002D7B36" w:rsidRPr="00DE12A3" w:rsidRDefault="004B1314" w:rsidP="00C917D6">
      <w:pPr>
        <w:pStyle w:val="Gvdemetni250"/>
        <w:shd w:val="clear" w:color="auto" w:fill="auto"/>
        <w:spacing w:before="120" w:after="120" w:line="240" w:lineRule="auto"/>
        <w:ind w:left="1134" w:hanging="1134"/>
        <w:jc w:val="center"/>
        <w:rPr>
          <w:b/>
          <w:sz w:val="24"/>
          <w:szCs w:val="24"/>
        </w:rPr>
      </w:pPr>
      <w:r w:rsidRPr="00DE12A3">
        <w:rPr>
          <w:rStyle w:val="Gvdemetni250ptbolukbraklyor"/>
          <w:b/>
          <w:color w:val="auto"/>
          <w:sz w:val="24"/>
          <w:szCs w:val="24"/>
        </w:rPr>
        <w:t>Ağır</w:t>
      </w:r>
      <w:r w:rsidR="00675FC1" w:rsidRPr="00DE12A3">
        <w:rPr>
          <w:rStyle w:val="Gvdemetni250ptbolukbraklyor"/>
          <w:b/>
          <w:color w:val="auto"/>
          <w:sz w:val="24"/>
          <w:szCs w:val="24"/>
        </w:rPr>
        <w:t xml:space="preserve"> seviye ikna tork azaltma şeması</w:t>
      </w:r>
    </w:p>
    <w:p w14:paraId="436DF314" w14:textId="6B8261D7" w:rsidR="002D7B36" w:rsidRPr="00DE12A3" w:rsidRDefault="00242DA0" w:rsidP="00C917D6">
      <w:pPr>
        <w:pStyle w:val="Gvdemetni250"/>
        <w:shd w:val="clear" w:color="auto" w:fill="auto"/>
        <w:spacing w:before="120" w:after="120" w:line="240" w:lineRule="auto"/>
        <w:ind w:left="1134" w:hanging="1134"/>
        <w:rPr>
          <w:spacing w:val="4"/>
          <w:sz w:val="24"/>
          <w:szCs w:val="24"/>
        </w:rPr>
      </w:pPr>
      <w:r w:rsidRPr="00DE12A3">
        <w:rPr>
          <w:noProof/>
          <w:sz w:val="24"/>
          <w:szCs w:val="24"/>
          <w:lang w:eastAsia="tr-TR"/>
        </w:rPr>
        <w:drawing>
          <wp:anchor distT="0" distB="0" distL="114300" distR="114300" simplePos="0" relativeHeight="251666944" behindDoc="0" locked="0" layoutInCell="1" allowOverlap="1" wp14:anchorId="74DB1917" wp14:editId="21268413">
            <wp:simplePos x="0" y="0"/>
            <wp:positionH relativeFrom="column">
              <wp:posOffset>857250</wp:posOffset>
            </wp:positionH>
            <wp:positionV relativeFrom="paragraph">
              <wp:posOffset>5715</wp:posOffset>
            </wp:positionV>
            <wp:extent cx="4150360" cy="1780540"/>
            <wp:effectExtent l="0" t="0" r="2540" b="0"/>
            <wp:wrapNone/>
            <wp:docPr id="17"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a:xfrm>
                      <a:off x="0" y="0"/>
                      <a:ext cx="4150360" cy="1780540"/>
                    </a:xfrm>
                    <a:prstGeom prst="rect">
                      <a:avLst/>
                    </a:prstGeom>
                    <a:noFill/>
                    <a:ln>
                      <a:noFill/>
                    </a:ln>
                  </pic:spPr>
                </pic:pic>
              </a:graphicData>
            </a:graphic>
          </wp:anchor>
        </w:drawing>
      </w:r>
    </w:p>
    <w:p w14:paraId="6C1320A0" w14:textId="77777777" w:rsidR="002D7B36" w:rsidRPr="00DE12A3" w:rsidRDefault="002D7B36" w:rsidP="00C917D6">
      <w:pPr>
        <w:pStyle w:val="Gvdemetni250"/>
        <w:shd w:val="clear" w:color="auto" w:fill="auto"/>
        <w:spacing w:before="120" w:after="120" w:line="240" w:lineRule="auto"/>
        <w:ind w:left="1134" w:hanging="1134"/>
        <w:rPr>
          <w:spacing w:val="4"/>
          <w:sz w:val="24"/>
          <w:szCs w:val="24"/>
        </w:rPr>
      </w:pPr>
    </w:p>
    <w:p w14:paraId="34D79C93" w14:textId="77777777" w:rsidR="002D7B36" w:rsidRPr="00DE12A3" w:rsidRDefault="002D7B36" w:rsidP="00C917D6">
      <w:pPr>
        <w:pStyle w:val="Gvdemetni250"/>
        <w:shd w:val="clear" w:color="auto" w:fill="auto"/>
        <w:spacing w:before="120" w:after="120" w:line="240" w:lineRule="auto"/>
        <w:ind w:left="1134" w:hanging="1134"/>
        <w:rPr>
          <w:spacing w:val="4"/>
          <w:sz w:val="24"/>
          <w:szCs w:val="24"/>
        </w:rPr>
      </w:pPr>
    </w:p>
    <w:p w14:paraId="4E9E9662" w14:textId="77777777" w:rsidR="002D7B36" w:rsidRPr="00DE12A3" w:rsidRDefault="002D7B36" w:rsidP="00C917D6">
      <w:pPr>
        <w:pStyle w:val="Gvdemetni250"/>
        <w:shd w:val="clear" w:color="auto" w:fill="auto"/>
        <w:spacing w:before="120" w:after="120" w:line="240" w:lineRule="auto"/>
        <w:ind w:left="1134" w:hanging="1134"/>
        <w:rPr>
          <w:spacing w:val="4"/>
          <w:sz w:val="24"/>
          <w:szCs w:val="24"/>
        </w:rPr>
      </w:pPr>
    </w:p>
    <w:p w14:paraId="34FC056B" w14:textId="77777777" w:rsidR="002D7B36" w:rsidRPr="00DE12A3" w:rsidRDefault="002D7B36" w:rsidP="00C917D6">
      <w:pPr>
        <w:pStyle w:val="Gvdemetni250"/>
        <w:shd w:val="clear" w:color="auto" w:fill="auto"/>
        <w:spacing w:before="120" w:after="120" w:line="240" w:lineRule="auto"/>
        <w:ind w:left="1134" w:hanging="1134"/>
        <w:rPr>
          <w:spacing w:val="4"/>
          <w:sz w:val="24"/>
          <w:szCs w:val="24"/>
        </w:rPr>
      </w:pPr>
    </w:p>
    <w:p w14:paraId="4368AF37" w14:textId="77777777" w:rsidR="002D7B36" w:rsidRPr="00DE12A3" w:rsidRDefault="002D7B36" w:rsidP="00C917D6">
      <w:pPr>
        <w:pStyle w:val="Gvdemetni250"/>
        <w:shd w:val="clear" w:color="auto" w:fill="auto"/>
        <w:spacing w:before="120" w:after="120" w:line="240" w:lineRule="auto"/>
        <w:ind w:left="1134" w:hanging="1134"/>
        <w:rPr>
          <w:spacing w:val="4"/>
          <w:sz w:val="24"/>
          <w:szCs w:val="24"/>
        </w:rPr>
      </w:pPr>
    </w:p>
    <w:p w14:paraId="2216A68D" w14:textId="77777777" w:rsidR="009D331B" w:rsidRPr="00DE12A3" w:rsidRDefault="009D331B" w:rsidP="00C917D6">
      <w:pPr>
        <w:pStyle w:val="Gvdemetni250"/>
        <w:shd w:val="clear" w:color="auto" w:fill="auto"/>
        <w:spacing w:before="120" w:after="120" w:line="240" w:lineRule="auto"/>
        <w:ind w:left="1134" w:hanging="1134"/>
        <w:rPr>
          <w:spacing w:val="4"/>
          <w:sz w:val="24"/>
          <w:szCs w:val="24"/>
        </w:rPr>
      </w:pPr>
    </w:p>
    <w:p w14:paraId="5A003355" w14:textId="77777777" w:rsidR="009D331B" w:rsidRPr="00DE12A3" w:rsidRDefault="009D331B" w:rsidP="00C917D6">
      <w:pPr>
        <w:pStyle w:val="Gvdemetni250"/>
        <w:shd w:val="clear" w:color="auto" w:fill="auto"/>
        <w:spacing w:before="120" w:after="120" w:line="240" w:lineRule="auto"/>
        <w:ind w:left="1134" w:hanging="1134"/>
        <w:rPr>
          <w:spacing w:val="4"/>
          <w:sz w:val="24"/>
          <w:szCs w:val="24"/>
        </w:rPr>
      </w:pPr>
    </w:p>
    <w:p w14:paraId="54BE21FD" w14:textId="2610E9D7" w:rsidR="002D7B36" w:rsidRPr="00DE12A3" w:rsidRDefault="009D331B" w:rsidP="00E20716">
      <w:pPr>
        <w:pStyle w:val="Gvdemetni0"/>
        <w:numPr>
          <w:ilvl w:val="3"/>
          <w:numId w:val="5"/>
        </w:numPr>
        <w:shd w:val="clear" w:color="auto" w:fill="auto"/>
        <w:tabs>
          <w:tab w:val="left" w:pos="847"/>
        </w:tabs>
        <w:spacing w:before="120" w:after="120" w:line="240" w:lineRule="auto"/>
        <w:ind w:left="1134" w:hanging="1134"/>
        <w:jc w:val="both"/>
        <w:rPr>
          <w:sz w:val="24"/>
          <w:szCs w:val="24"/>
        </w:rPr>
      </w:pPr>
      <w:r w:rsidRPr="00DE12A3">
        <w:rPr>
          <w:sz w:val="24"/>
          <w:szCs w:val="24"/>
        </w:rPr>
        <w:t xml:space="preserve">     </w:t>
      </w:r>
      <w:r w:rsidR="00242DA0" w:rsidRPr="00DE12A3">
        <w:rPr>
          <w:sz w:val="24"/>
          <w:szCs w:val="24"/>
        </w:rPr>
        <w:t xml:space="preserve">Aynı veya daha yüksek ciddiyet seviyesine sahip olduğu </w:t>
      </w:r>
      <w:r w:rsidR="007E2039" w:rsidRPr="00DE12A3">
        <w:rPr>
          <w:sz w:val="24"/>
          <w:szCs w:val="24"/>
        </w:rPr>
        <w:t xml:space="preserve">onay </w:t>
      </w:r>
      <w:r w:rsidR="00FD681E" w:rsidRPr="00DE12A3">
        <w:rPr>
          <w:sz w:val="24"/>
          <w:szCs w:val="24"/>
        </w:rPr>
        <w:t>kuruluşuna gösterilen</w:t>
      </w:r>
      <w:r w:rsidR="00242DA0" w:rsidRPr="00DE12A3">
        <w:rPr>
          <w:sz w:val="24"/>
          <w:szCs w:val="24"/>
        </w:rPr>
        <w:t xml:space="preserve"> diğer ikna tedbirleri kullanılabilir.</w:t>
      </w:r>
    </w:p>
    <w:p w14:paraId="1D2AC625" w14:textId="77777777" w:rsidR="002D7B36" w:rsidRPr="00DE12A3" w:rsidRDefault="009D331B" w:rsidP="00E20716">
      <w:pPr>
        <w:pStyle w:val="Gvdemetni250"/>
        <w:numPr>
          <w:ilvl w:val="1"/>
          <w:numId w:val="5"/>
        </w:numPr>
        <w:shd w:val="clear" w:color="auto" w:fill="auto"/>
        <w:spacing w:before="120" w:after="120" w:line="240" w:lineRule="auto"/>
        <w:ind w:left="1134" w:hanging="1134"/>
        <w:rPr>
          <w:sz w:val="24"/>
          <w:szCs w:val="24"/>
        </w:rPr>
      </w:pPr>
      <w:r w:rsidRPr="00DE12A3">
        <w:rPr>
          <w:sz w:val="24"/>
          <w:szCs w:val="24"/>
        </w:rPr>
        <w:t xml:space="preserve">      </w:t>
      </w:r>
      <w:r w:rsidR="00675FC1" w:rsidRPr="00DE12A3">
        <w:rPr>
          <w:sz w:val="24"/>
          <w:szCs w:val="24"/>
        </w:rPr>
        <w:t xml:space="preserve">  </w:t>
      </w:r>
      <w:r w:rsidR="00242DA0" w:rsidRPr="00DE12A3">
        <w:rPr>
          <w:sz w:val="24"/>
          <w:szCs w:val="24"/>
        </w:rPr>
        <w:t xml:space="preserve">Güvenlik kaygılarını hesaba katmak ve kendini iyileştiren teşhise imkan tanımak için, tam motor gücünü serbest bırakmak için bir ikna geçersiz kılma işlevinin kullanılmasına, aşağıdaki şartlarla izin verilir: </w:t>
      </w:r>
    </w:p>
    <w:p w14:paraId="0D004E1D" w14:textId="77777777" w:rsidR="002D7B36" w:rsidRPr="00DE12A3" w:rsidRDefault="002B2CB0" w:rsidP="00E20716">
      <w:pPr>
        <w:pStyle w:val="Gvdemetni250"/>
        <w:numPr>
          <w:ilvl w:val="0"/>
          <w:numId w:val="26"/>
        </w:numPr>
        <w:shd w:val="clear" w:color="auto" w:fill="auto"/>
        <w:spacing w:before="120" w:after="120" w:line="240" w:lineRule="auto"/>
        <w:ind w:left="1701" w:hanging="567"/>
        <w:rPr>
          <w:sz w:val="24"/>
          <w:szCs w:val="24"/>
        </w:rPr>
      </w:pPr>
      <w:r w:rsidRPr="00DE12A3">
        <w:rPr>
          <w:sz w:val="24"/>
          <w:szCs w:val="24"/>
        </w:rPr>
        <w:t xml:space="preserve">     </w:t>
      </w:r>
      <w:r w:rsidR="00242DA0" w:rsidRPr="00DE12A3">
        <w:rPr>
          <w:sz w:val="24"/>
          <w:szCs w:val="24"/>
        </w:rPr>
        <w:t>30 dakikadan uzun olmayan bir süre devrede kalır; ve</w:t>
      </w:r>
    </w:p>
    <w:p w14:paraId="5FC16BC0" w14:textId="77777777" w:rsidR="002D7B36" w:rsidRPr="00DE12A3" w:rsidRDefault="002B2CB0" w:rsidP="00E20716">
      <w:pPr>
        <w:pStyle w:val="Gvdemetni250"/>
        <w:numPr>
          <w:ilvl w:val="0"/>
          <w:numId w:val="26"/>
        </w:numPr>
        <w:shd w:val="clear" w:color="auto" w:fill="auto"/>
        <w:tabs>
          <w:tab w:val="left" w:pos="851"/>
        </w:tabs>
        <w:spacing w:before="120" w:after="120" w:line="240" w:lineRule="auto"/>
        <w:ind w:left="1701" w:hanging="567"/>
        <w:rPr>
          <w:sz w:val="24"/>
          <w:szCs w:val="24"/>
        </w:rPr>
      </w:pPr>
      <w:r w:rsidRPr="00DE12A3">
        <w:rPr>
          <w:sz w:val="24"/>
          <w:szCs w:val="24"/>
        </w:rPr>
        <w:t>O</w:t>
      </w:r>
      <w:r w:rsidR="00242DA0" w:rsidRPr="00DE12A3">
        <w:rPr>
          <w:sz w:val="24"/>
          <w:szCs w:val="24"/>
        </w:rPr>
        <w:t>peratör ikna sisteminin devrede olduğu her periyotta 3 aktivasyon ile sınırlıdır.</w:t>
      </w:r>
    </w:p>
    <w:p w14:paraId="1A4F8DF4" w14:textId="77777777" w:rsidR="002D7B36" w:rsidRPr="00DE12A3" w:rsidRDefault="002B2CB0" w:rsidP="00E20716">
      <w:pPr>
        <w:pStyle w:val="Gvdemetni250"/>
        <w:numPr>
          <w:ilvl w:val="1"/>
          <w:numId w:val="5"/>
        </w:numPr>
        <w:shd w:val="clear" w:color="auto" w:fill="auto"/>
        <w:spacing w:before="120" w:after="120" w:line="240" w:lineRule="auto"/>
        <w:ind w:left="1134" w:hanging="1134"/>
        <w:rPr>
          <w:sz w:val="24"/>
          <w:szCs w:val="24"/>
        </w:rPr>
      </w:pPr>
      <w:r w:rsidRPr="00DE12A3">
        <w:rPr>
          <w:sz w:val="24"/>
          <w:szCs w:val="24"/>
        </w:rPr>
        <w:lastRenderedPageBreak/>
        <w:t xml:space="preserve">   </w:t>
      </w:r>
      <w:r w:rsidR="009D331B" w:rsidRPr="00DE12A3">
        <w:rPr>
          <w:sz w:val="24"/>
          <w:szCs w:val="24"/>
        </w:rPr>
        <w:t xml:space="preserve">    </w:t>
      </w:r>
      <w:r w:rsidR="00242DA0" w:rsidRPr="00DE12A3">
        <w:rPr>
          <w:sz w:val="24"/>
          <w:szCs w:val="24"/>
        </w:rPr>
        <w:t>Operatör ikna sistemi, devreye girmesine ilişkin koşullar sona erdiğinde devreden çıkar.</w:t>
      </w:r>
      <w:r w:rsidRPr="00DE12A3">
        <w:rPr>
          <w:sz w:val="24"/>
          <w:szCs w:val="24"/>
        </w:rPr>
        <w:t xml:space="preserve"> </w:t>
      </w:r>
      <w:r w:rsidR="00242DA0" w:rsidRPr="00DE12A3">
        <w:rPr>
          <w:sz w:val="24"/>
          <w:szCs w:val="24"/>
        </w:rPr>
        <w:t>Operatör ikna sistemi, devreye girmesine ilişkin sebep giderilmedikçe otomatik olarak devreden çıkmaz.</w:t>
      </w:r>
    </w:p>
    <w:p w14:paraId="79057E03" w14:textId="3BEAE05D" w:rsidR="002D7B36" w:rsidRPr="00DE12A3" w:rsidRDefault="002B2CB0" w:rsidP="00E20716">
      <w:pPr>
        <w:pStyle w:val="Gvdemetni250"/>
        <w:numPr>
          <w:ilvl w:val="1"/>
          <w:numId w:val="5"/>
        </w:numPr>
        <w:shd w:val="clear" w:color="auto" w:fill="auto"/>
        <w:spacing w:before="120" w:after="120" w:line="240" w:lineRule="auto"/>
        <w:ind w:left="1134" w:hanging="1134"/>
        <w:rPr>
          <w:sz w:val="24"/>
          <w:szCs w:val="24"/>
        </w:rPr>
      </w:pPr>
      <w:r w:rsidRPr="00DE12A3">
        <w:rPr>
          <w:sz w:val="24"/>
          <w:szCs w:val="24"/>
        </w:rPr>
        <w:t xml:space="preserve"> </w:t>
      </w:r>
      <w:r w:rsidR="009D331B" w:rsidRPr="00DE12A3">
        <w:rPr>
          <w:sz w:val="24"/>
          <w:szCs w:val="24"/>
        </w:rPr>
        <w:t xml:space="preserve">    </w:t>
      </w:r>
      <w:r w:rsidRPr="00DE12A3">
        <w:rPr>
          <w:sz w:val="24"/>
          <w:szCs w:val="24"/>
        </w:rPr>
        <w:t xml:space="preserve">  </w:t>
      </w:r>
      <w:r w:rsidR="00242DA0" w:rsidRPr="00DE12A3">
        <w:rPr>
          <w:sz w:val="24"/>
          <w:szCs w:val="24"/>
        </w:rPr>
        <w:t xml:space="preserve">Operatör ikna sisteminin devreye giriş ve devreden çıkış prosedürlerinin detayları 11. </w:t>
      </w:r>
      <w:r w:rsidR="00721C89" w:rsidRPr="00DE12A3">
        <w:rPr>
          <w:sz w:val="24"/>
          <w:szCs w:val="24"/>
        </w:rPr>
        <w:t>Bölüm</w:t>
      </w:r>
      <w:r w:rsidR="00242DA0" w:rsidRPr="00DE12A3">
        <w:rPr>
          <w:sz w:val="24"/>
          <w:szCs w:val="24"/>
        </w:rPr>
        <w:t>de açıklanmıştır.</w:t>
      </w:r>
    </w:p>
    <w:p w14:paraId="62C03804" w14:textId="7D5AD501" w:rsidR="002D7B36" w:rsidRPr="00DE12A3" w:rsidRDefault="009D331B" w:rsidP="00E20716">
      <w:pPr>
        <w:pStyle w:val="Gvdemetni250"/>
        <w:numPr>
          <w:ilvl w:val="1"/>
          <w:numId w:val="5"/>
        </w:numPr>
        <w:shd w:val="clear" w:color="auto" w:fill="auto"/>
        <w:tabs>
          <w:tab w:val="center" w:pos="851"/>
          <w:tab w:val="center" w:pos="3174"/>
          <w:tab w:val="left" w:pos="4400"/>
          <w:tab w:val="center" w:pos="5012"/>
          <w:tab w:val="center" w:pos="5257"/>
        </w:tabs>
        <w:spacing w:before="120" w:after="120" w:line="240" w:lineRule="auto"/>
        <w:ind w:left="1134" w:hanging="1134"/>
        <w:rPr>
          <w:sz w:val="24"/>
          <w:szCs w:val="24"/>
        </w:rPr>
      </w:pPr>
      <w:r w:rsidRPr="00DE12A3">
        <w:rPr>
          <w:sz w:val="24"/>
          <w:szCs w:val="24"/>
        </w:rPr>
        <w:t xml:space="preserve">     </w:t>
      </w:r>
      <w:r w:rsidR="00242DA0" w:rsidRPr="00DE12A3">
        <w:rPr>
          <w:sz w:val="24"/>
          <w:szCs w:val="24"/>
        </w:rPr>
        <w:t xml:space="preserve">Bu </w:t>
      </w:r>
      <w:r w:rsidR="00EF0D08" w:rsidRPr="00DE12A3">
        <w:rPr>
          <w:sz w:val="24"/>
          <w:szCs w:val="24"/>
        </w:rPr>
        <w:t>Tebliğ uyarınca</w:t>
      </w:r>
      <w:r w:rsidR="00242DA0" w:rsidRPr="00DE12A3">
        <w:rPr>
          <w:sz w:val="24"/>
          <w:szCs w:val="24"/>
        </w:rPr>
        <w:t xml:space="preserve"> AB tip onayı başvurusunun bir parçası olarak imalatçı, 11. </w:t>
      </w:r>
      <w:r w:rsidR="00721C89" w:rsidRPr="00DE12A3">
        <w:rPr>
          <w:sz w:val="24"/>
          <w:szCs w:val="24"/>
        </w:rPr>
        <w:t>Bölüm</w:t>
      </w:r>
      <w:r w:rsidR="00242DA0" w:rsidRPr="00DE12A3">
        <w:rPr>
          <w:sz w:val="24"/>
          <w:szCs w:val="24"/>
        </w:rPr>
        <w:t>de belirtildiği gibi operatör ikna sisteminin çalışmasını göstermelidir.</w:t>
      </w:r>
    </w:p>
    <w:p w14:paraId="0331E645" w14:textId="77777777" w:rsidR="002D7B36" w:rsidRPr="00DE12A3" w:rsidRDefault="00242DA0" w:rsidP="00C917D6">
      <w:pPr>
        <w:pStyle w:val="Balk460"/>
        <w:shd w:val="clear" w:color="auto" w:fill="auto"/>
        <w:spacing w:before="120" w:after="120" w:line="240" w:lineRule="auto"/>
        <w:ind w:left="1134" w:hanging="1134"/>
        <w:rPr>
          <w:sz w:val="24"/>
          <w:szCs w:val="24"/>
        </w:rPr>
      </w:pPr>
      <w:r w:rsidRPr="00DE12A3">
        <w:rPr>
          <w:rStyle w:val="Balk460ptbolukbraklyor"/>
          <w:color w:val="auto"/>
          <w:sz w:val="24"/>
          <w:szCs w:val="24"/>
        </w:rPr>
        <w:t>6</w:t>
      </w:r>
      <w:r w:rsidRPr="00DE12A3">
        <w:rPr>
          <w:rStyle w:val="Balk467ptKalnDeil0ptbolukbraklyor"/>
          <w:color w:val="auto"/>
          <w:sz w:val="24"/>
          <w:szCs w:val="24"/>
        </w:rPr>
        <w:t>.</w:t>
      </w:r>
      <w:r w:rsidRPr="00DE12A3">
        <w:rPr>
          <w:rStyle w:val="Balk467ptKalnDeil0ptbolukbraklyor"/>
          <w:color w:val="auto"/>
          <w:sz w:val="24"/>
          <w:szCs w:val="24"/>
        </w:rPr>
        <w:tab/>
      </w:r>
      <w:r w:rsidRPr="00DE12A3">
        <w:rPr>
          <w:bCs w:val="0"/>
          <w:spacing w:val="3"/>
          <w:sz w:val="24"/>
          <w:szCs w:val="24"/>
        </w:rPr>
        <w:t>Ayıraç uygunluğu</w:t>
      </w:r>
    </w:p>
    <w:p w14:paraId="2C5B9F5D" w14:textId="77777777" w:rsidR="002D7B36" w:rsidRPr="00DE12A3" w:rsidRDefault="009D331B" w:rsidP="00E20716">
      <w:pPr>
        <w:pStyle w:val="Gvdemetni250"/>
        <w:numPr>
          <w:ilvl w:val="0"/>
          <w:numId w:val="27"/>
        </w:numPr>
        <w:shd w:val="clear" w:color="auto" w:fill="auto"/>
        <w:spacing w:before="120" w:after="120" w:line="240" w:lineRule="auto"/>
        <w:ind w:left="1134" w:hanging="1134"/>
        <w:rPr>
          <w:sz w:val="24"/>
          <w:szCs w:val="24"/>
        </w:rPr>
      </w:pPr>
      <w:r w:rsidRPr="00DE12A3">
        <w:rPr>
          <w:sz w:val="24"/>
          <w:szCs w:val="24"/>
        </w:rPr>
        <w:t xml:space="preserve">       </w:t>
      </w:r>
      <w:r w:rsidR="00242DA0" w:rsidRPr="00DE12A3">
        <w:rPr>
          <w:sz w:val="24"/>
          <w:szCs w:val="24"/>
        </w:rPr>
        <w:t>Ayıraç seviye göstergesi</w:t>
      </w:r>
    </w:p>
    <w:p w14:paraId="51FD7267" w14:textId="49815306" w:rsidR="002D7B36" w:rsidRPr="00DE12A3" w:rsidRDefault="002B2CB0" w:rsidP="00C917D6">
      <w:pPr>
        <w:pStyle w:val="Gvdemetni250"/>
        <w:shd w:val="clear" w:color="auto" w:fill="auto"/>
        <w:spacing w:before="120" w:after="120" w:line="240" w:lineRule="auto"/>
        <w:ind w:left="1134" w:hanging="1134"/>
        <w:rPr>
          <w:sz w:val="24"/>
          <w:szCs w:val="24"/>
        </w:rPr>
      </w:pPr>
      <w:r w:rsidRPr="00DE12A3">
        <w:rPr>
          <w:sz w:val="24"/>
          <w:szCs w:val="24"/>
        </w:rPr>
        <w:t xml:space="preserve">             </w:t>
      </w:r>
      <w:r w:rsidR="009D331B" w:rsidRPr="00DE12A3">
        <w:rPr>
          <w:sz w:val="24"/>
          <w:szCs w:val="24"/>
        </w:rPr>
        <w:t xml:space="preserve">     </w:t>
      </w:r>
      <w:r w:rsidR="00242DA0" w:rsidRPr="00DE12A3">
        <w:rPr>
          <w:sz w:val="24"/>
          <w:szCs w:val="24"/>
        </w:rPr>
        <w:t xml:space="preserve">Karayolu dışında kullanılan hareketli makinalarda, ayıraç depolama tankındaki ayıraç seviyesini operatöre açıkça bildiren bir gösterge olmalıdır. Ayıraç göstergesi için kabul edilebilir asgari performans düzeyi, 4. </w:t>
      </w:r>
      <w:r w:rsidR="00721C89" w:rsidRPr="00DE12A3">
        <w:rPr>
          <w:sz w:val="24"/>
          <w:szCs w:val="24"/>
        </w:rPr>
        <w:t>Bölüm</w:t>
      </w:r>
      <w:r w:rsidR="00242DA0" w:rsidRPr="00DE12A3">
        <w:rPr>
          <w:sz w:val="24"/>
          <w:szCs w:val="24"/>
        </w:rPr>
        <w:t>de belirtilen operatör uyarı sistemi devredeyken ayıraç seviyesini sürekli olarak göstermesidir. Ayıraç göstergesi analog veya dijital bir gösterge şeklinde olabilir ve seviyeyi, dolu tank kapasitesinin bir oranı olarak, kalan ayıraç miktarı veya kalan tahmini çalışma saati olarak gösterebilir.</w:t>
      </w:r>
    </w:p>
    <w:p w14:paraId="031AAC11" w14:textId="77777777" w:rsidR="002D7B36" w:rsidRPr="00DE12A3" w:rsidRDefault="002B2CB0" w:rsidP="00E20716">
      <w:pPr>
        <w:pStyle w:val="Gvdemetni250"/>
        <w:numPr>
          <w:ilvl w:val="0"/>
          <w:numId w:val="27"/>
        </w:numPr>
        <w:shd w:val="clear" w:color="auto" w:fill="auto"/>
        <w:spacing w:before="120" w:after="120" w:line="240" w:lineRule="auto"/>
        <w:ind w:left="1134" w:hanging="1134"/>
        <w:rPr>
          <w:sz w:val="24"/>
          <w:szCs w:val="24"/>
        </w:rPr>
      </w:pPr>
      <w:r w:rsidRPr="00DE12A3">
        <w:rPr>
          <w:sz w:val="24"/>
          <w:szCs w:val="24"/>
        </w:rPr>
        <w:t xml:space="preserve"> </w:t>
      </w:r>
      <w:r w:rsidR="009D331B" w:rsidRPr="00DE12A3">
        <w:rPr>
          <w:sz w:val="24"/>
          <w:szCs w:val="24"/>
        </w:rPr>
        <w:t xml:space="preserve">    </w:t>
      </w:r>
      <w:r w:rsidRPr="00DE12A3">
        <w:rPr>
          <w:sz w:val="24"/>
          <w:szCs w:val="24"/>
        </w:rPr>
        <w:t xml:space="preserve"> </w:t>
      </w:r>
      <w:r w:rsidR="00242DA0" w:rsidRPr="00DE12A3">
        <w:rPr>
          <w:sz w:val="24"/>
          <w:szCs w:val="24"/>
        </w:rPr>
        <w:t>Operatör uyarı sisteminin devreye girmesi</w:t>
      </w:r>
    </w:p>
    <w:p w14:paraId="3147C911" w14:textId="1A573A38" w:rsidR="002D7B36" w:rsidRPr="00DE12A3" w:rsidRDefault="002B2CB0" w:rsidP="00E20716">
      <w:pPr>
        <w:pStyle w:val="Gvdemetni250"/>
        <w:numPr>
          <w:ilvl w:val="0"/>
          <w:numId w:val="28"/>
        </w:numPr>
        <w:shd w:val="clear" w:color="auto" w:fill="auto"/>
        <w:spacing w:before="120" w:after="120" w:line="240" w:lineRule="auto"/>
        <w:ind w:left="1134" w:hanging="1134"/>
        <w:rPr>
          <w:sz w:val="24"/>
          <w:szCs w:val="24"/>
        </w:rPr>
      </w:pPr>
      <w:r w:rsidRPr="00DE12A3">
        <w:rPr>
          <w:sz w:val="24"/>
          <w:szCs w:val="24"/>
        </w:rPr>
        <w:t xml:space="preserve">  </w:t>
      </w:r>
      <w:r w:rsidR="009D331B" w:rsidRPr="00DE12A3">
        <w:rPr>
          <w:sz w:val="24"/>
          <w:szCs w:val="24"/>
        </w:rPr>
        <w:t xml:space="preserve">     </w:t>
      </w:r>
      <w:r w:rsidR="00242DA0" w:rsidRPr="00DE12A3">
        <w:rPr>
          <w:sz w:val="24"/>
          <w:szCs w:val="24"/>
        </w:rPr>
        <w:t xml:space="preserve">4. </w:t>
      </w:r>
      <w:r w:rsidR="00721C89" w:rsidRPr="00DE12A3">
        <w:rPr>
          <w:sz w:val="24"/>
          <w:szCs w:val="24"/>
        </w:rPr>
        <w:t>Bölüm</w:t>
      </w:r>
      <w:r w:rsidR="00242DA0" w:rsidRPr="00DE12A3">
        <w:rPr>
          <w:sz w:val="24"/>
          <w:szCs w:val="24"/>
        </w:rPr>
        <w:t>de belirtilen kullanıcı uyarı sistemi, ayıraç seviyesi ayıraç tankı kapasitesinin %10'unun altına veya imalatçının tercihine bağlı olarak daha yüksek bir yüzdeye düştüğünde devreye girmelidir.</w:t>
      </w:r>
    </w:p>
    <w:p w14:paraId="29F95032" w14:textId="172F2436" w:rsidR="002D7B36" w:rsidRPr="00DE12A3" w:rsidRDefault="002B2CB0" w:rsidP="00E20716">
      <w:pPr>
        <w:pStyle w:val="Gvdemetni250"/>
        <w:numPr>
          <w:ilvl w:val="0"/>
          <w:numId w:val="28"/>
        </w:numPr>
        <w:shd w:val="clear" w:color="auto" w:fill="auto"/>
        <w:spacing w:before="120" w:after="120" w:line="240" w:lineRule="auto"/>
        <w:ind w:left="1134" w:hanging="1134"/>
        <w:rPr>
          <w:sz w:val="24"/>
          <w:szCs w:val="24"/>
        </w:rPr>
      </w:pPr>
      <w:r w:rsidRPr="00DE12A3">
        <w:rPr>
          <w:sz w:val="24"/>
          <w:szCs w:val="24"/>
        </w:rPr>
        <w:t xml:space="preserve">   </w:t>
      </w:r>
      <w:r w:rsidR="009D331B" w:rsidRPr="00DE12A3">
        <w:rPr>
          <w:sz w:val="24"/>
          <w:szCs w:val="24"/>
        </w:rPr>
        <w:t xml:space="preserve">    </w:t>
      </w:r>
      <w:r w:rsidR="00242DA0" w:rsidRPr="00DE12A3">
        <w:rPr>
          <w:sz w:val="24"/>
          <w:szCs w:val="24"/>
        </w:rPr>
        <w:t>Yapılan uyarı, ayıraç göstergesi ile beraber, operatörün ayıraç seviyesinin düşük olduğunu anlaması açısından yeterince açık olmalıdır. Uyarı sisteminde bir mesaj görüntüleme sistemi olduğunda, görsel uyarı, ayıraç seviyesinin düşük olduğunu belirten bir mesaj göstermelidir (örneğin, "üre seviyesi düşük", "AdBlue seviyesi düşük" veya "ayıraç seviyesi düşük").</w:t>
      </w:r>
    </w:p>
    <w:p w14:paraId="5C864F6D" w14:textId="77777777" w:rsidR="002D7B36" w:rsidRPr="00DE12A3" w:rsidRDefault="002B2CB0" w:rsidP="00E20716">
      <w:pPr>
        <w:pStyle w:val="Gvdemetni250"/>
        <w:numPr>
          <w:ilvl w:val="0"/>
          <w:numId w:val="28"/>
        </w:numPr>
        <w:shd w:val="clear" w:color="auto" w:fill="auto"/>
        <w:spacing w:before="120" w:after="120" w:line="240" w:lineRule="auto"/>
        <w:ind w:left="1134" w:hanging="1134"/>
        <w:rPr>
          <w:sz w:val="24"/>
          <w:szCs w:val="24"/>
        </w:rPr>
      </w:pPr>
      <w:r w:rsidRPr="00DE12A3">
        <w:rPr>
          <w:sz w:val="24"/>
          <w:szCs w:val="24"/>
        </w:rPr>
        <w:t xml:space="preserve">  </w:t>
      </w:r>
      <w:r w:rsidR="009D331B" w:rsidRPr="00DE12A3">
        <w:rPr>
          <w:sz w:val="24"/>
          <w:szCs w:val="24"/>
        </w:rPr>
        <w:t xml:space="preserve">     </w:t>
      </w:r>
      <w:r w:rsidR="00242DA0" w:rsidRPr="00DE12A3">
        <w:rPr>
          <w:sz w:val="24"/>
          <w:szCs w:val="24"/>
        </w:rPr>
        <w:t>Operatör uyarı sisteminin başlangıçta sürekli olarak devrede olması gerekmez (örneğin bir mesajın sürekli olarak gösterilmesine gerek yoktur), ancak devrede kalmanın yoğunluğu (örneğin bir lambanın yanıp sönme frekansı) artmalı, böylece ayıraç seviyesi sıfıra yaklaştıkça ve operatör ikna sisteminin devreye gireceği noktaya yaklaşılırken sürekli hale gelmelidir. İmalatçının tercihine bağlı bir seviyede bir operatör bildirimine yol açmalı, ancak 6.3 bendindeki operatör ikna sisteminin devreye girdiği noktada, ilk gösterildiğinden çok daha fark edilir olmalıdır.</w:t>
      </w:r>
    </w:p>
    <w:p w14:paraId="27A1EA75" w14:textId="77777777" w:rsidR="002D7B36" w:rsidRPr="00DE12A3" w:rsidRDefault="009D331B" w:rsidP="00E20716">
      <w:pPr>
        <w:pStyle w:val="Gvdemetni250"/>
        <w:numPr>
          <w:ilvl w:val="0"/>
          <w:numId w:val="28"/>
        </w:numPr>
        <w:shd w:val="clear" w:color="auto" w:fill="auto"/>
        <w:tabs>
          <w:tab w:val="left" w:pos="840"/>
        </w:tabs>
        <w:spacing w:before="120" w:after="120" w:line="240" w:lineRule="auto"/>
        <w:ind w:left="1134" w:hanging="1134"/>
        <w:rPr>
          <w:sz w:val="24"/>
          <w:szCs w:val="24"/>
        </w:rPr>
      </w:pPr>
      <w:r w:rsidRPr="00DE12A3">
        <w:rPr>
          <w:sz w:val="24"/>
          <w:szCs w:val="24"/>
        </w:rPr>
        <w:t xml:space="preserve">     </w:t>
      </w:r>
      <w:r w:rsidR="00242DA0" w:rsidRPr="00DE12A3">
        <w:rPr>
          <w:sz w:val="24"/>
          <w:szCs w:val="24"/>
        </w:rPr>
        <w:t>Sürekli uyarı kolayca devre dışı bırakılamamalı veya gözardı edilememelidir. Uyarı sisteminde bir mesaj görüntüleme sistemi olduğunda, açık bir mesaj gösterilmelidir (örneğin, "üre doldur", "AdBlue doldur" veya "ayıraç doldur"). Sürekli uyarı, güvenlikle ilgili önemli mesajlar veren diğer uyarı sinyalleri ile geçici olarak kesintiye uğrayabilir.</w:t>
      </w:r>
    </w:p>
    <w:p w14:paraId="09AC4686" w14:textId="64D0D5CF" w:rsidR="002D7B36" w:rsidRPr="00DE12A3" w:rsidRDefault="009D331B" w:rsidP="00E20716">
      <w:pPr>
        <w:pStyle w:val="Gvdemetni250"/>
        <w:numPr>
          <w:ilvl w:val="0"/>
          <w:numId w:val="28"/>
        </w:numPr>
        <w:shd w:val="clear" w:color="auto" w:fill="auto"/>
        <w:tabs>
          <w:tab w:val="left" w:pos="840"/>
        </w:tabs>
        <w:spacing w:before="120" w:after="120" w:line="240" w:lineRule="auto"/>
        <w:ind w:left="1134" w:hanging="1134"/>
        <w:rPr>
          <w:sz w:val="24"/>
          <w:szCs w:val="24"/>
        </w:rPr>
      </w:pPr>
      <w:r w:rsidRPr="00DE12A3">
        <w:rPr>
          <w:sz w:val="24"/>
          <w:szCs w:val="24"/>
        </w:rPr>
        <w:t xml:space="preserve">    </w:t>
      </w:r>
      <w:r w:rsidR="00242DA0" w:rsidRPr="00DE12A3">
        <w:rPr>
          <w:sz w:val="24"/>
          <w:szCs w:val="24"/>
        </w:rPr>
        <w:t>Ayıraç, devrede kalmasını gerektirmeyen bir seviyeye kadar ikmal edilinceye dek, çalışan uyarı sistemini kapatmak mümkün değildir</w:t>
      </w:r>
      <w:r w:rsidR="00BF667A" w:rsidRPr="00DE12A3">
        <w:rPr>
          <w:sz w:val="24"/>
          <w:szCs w:val="24"/>
        </w:rPr>
        <w:t>.</w:t>
      </w:r>
    </w:p>
    <w:p w14:paraId="311A491D" w14:textId="77777777" w:rsidR="002D7B36" w:rsidRPr="00DE12A3" w:rsidRDefault="002B2CB0" w:rsidP="00E20716">
      <w:pPr>
        <w:pStyle w:val="ListeParagraf"/>
        <w:numPr>
          <w:ilvl w:val="1"/>
          <w:numId w:val="29"/>
        </w:numPr>
        <w:spacing w:before="120" w:after="120"/>
        <w:ind w:left="1134" w:hanging="1134"/>
        <w:jc w:val="both"/>
        <w:rPr>
          <w:rFonts w:cs="Times New Roman"/>
          <w:color w:val="auto"/>
        </w:rPr>
      </w:pPr>
      <w:r w:rsidRPr="00DE12A3">
        <w:rPr>
          <w:rFonts w:cs="Times New Roman"/>
          <w:color w:val="auto"/>
        </w:rPr>
        <w:t xml:space="preserve">  </w:t>
      </w:r>
      <w:r w:rsidR="009D331B" w:rsidRPr="00DE12A3">
        <w:rPr>
          <w:rFonts w:cs="Times New Roman"/>
          <w:color w:val="auto"/>
        </w:rPr>
        <w:t xml:space="preserve">     </w:t>
      </w:r>
      <w:r w:rsidR="00242DA0" w:rsidRPr="00DE12A3">
        <w:rPr>
          <w:rFonts w:cs="Times New Roman"/>
          <w:color w:val="auto"/>
        </w:rPr>
        <w:t>Operatör ikna sisteminin devreye girmesi</w:t>
      </w:r>
    </w:p>
    <w:p w14:paraId="5873AD7C" w14:textId="414EF89F" w:rsidR="002D7B36" w:rsidRPr="00DE12A3" w:rsidRDefault="002B2CB0" w:rsidP="00E20716">
      <w:pPr>
        <w:pStyle w:val="Gvdemetni250"/>
        <w:numPr>
          <w:ilvl w:val="0"/>
          <w:numId w:val="30"/>
        </w:numPr>
        <w:shd w:val="clear" w:color="auto" w:fill="auto"/>
        <w:spacing w:before="120" w:after="120" w:line="240" w:lineRule="auto"/>
        <w:ind w:left="1134" w:hanging="1134"/>
        <w:rPr>
          <w:sz w:val="24"/>
          <w:szCs w:val="24"/>
        </w:rPr>
      </w:pPr>
      <w:bookmarkStart w:id="13" w:name="_Hlk22237109"/>
      <w:r w:rsidRPr="00DE12A3">
        <w:rPr>
          <w:sz w:val="24"/>
          <w:szCs w:val="24"/>
        </w:rPr>
        <w:t xml:space="preserve">  </w:t>
      </w:r>
      <w:r w:rsidR="009D331B" w:rsidRPr="00DE12A3">
        <w:rPr>
          <w:sz w:val="24"/>
          <w:szCs w:val="24"/>
        </w:rPr>
        <w:t xml:space="preserve">     </w:t>
      </w:r>
      <w:r w:rsidR="00242DA0" w:rsidRPr="00DE12A3">
        <w:rPr>
          <w:sz w:val="24"/>
          <w:szCs w:val="24"/>
        </w:rPr>
        <w:t>5.3 bendinde açıklanan düşük seviye ikna sistemi, ayıraç tankı seviyesi nominal olarak tam kapasitesinin %2,5'inin altına veya imalatçının tercihine bağlı olarak daha yüksek bir orana düşerse devreye girmelidir.</w:t>
      </w:r>
      <w:bookmarkEnd w:id="13"/>
    </w:p>
    <w:p w14:paraId="68D3409E" w14:textId="77777777" w:rsidR="002D7B36" w:rsidRPr="00DE12A3" w:rsidRDefault="009D331B" w:rsidP="00E20716">
      <w:pPr>
        <w:pStyle w:val="Gvdemetni250"/>
        <w:numPr>
          <w:ilvl w:val="0"/>
          <w:numId w:val="31"/>
        </w:numPr>
        <w:shd w:val="clear" w:color="auto" w:fill="auto"/>
        <w:tabs>
          <w:tab w:val="left" w:pos="840"/>
        </w:tabs>
        <w:spacing w:before="120" w:after="120" w:line="240" w:lineRule="auto"/>
        <w:ind w:left="1134" w:hanging="1134"/>
        <w:rPr>
          <w:sz w:val="24"/>
          <w:szCs w:val="24"/>
        </w:rPr>
      </w:pPr>
      <w:r w:rsidRPr="00DE12A3">
        <w:rPr>
          <w:sz w:val="24"/>
          <w:szCs w:val="24"/>
        </w:rPr>
        <w:t xml:space="preserve">     </w:t>
      </w:r>
      <w:r w:rsidR="00242DA0" w:rsidRPr="00DE12A3">
        <w:rPr>
          <w:sz w:val="24"/>
          <w:szCs w:val="24"/>
        </w:rPr>
        <w:t xml:space="preserve">5.4 bendinde açıklanan ağır seviye ikna sistemi, ayıraç tankı boşsa, yani dozaj sistemi tanktan daha fazla ayıraç çekemediğinde veya imalatçının takdirine bağlı </w:t>
      </w:r>
      <w:r w:rsidR="00242DA0" w:rsidRPr="00DE12A3">
        <w:rPr>
          <w:sz w:val="24"/>
          <w:szCs w:val="24"/>
        </w:rPr>
        <w:lastRenderedPageBreak/>
        <w:t>olarak, nominal olarak tam kapasitesinin %2,5'inin altındaki herhangi bir seviyede devreye girmelidir.</w:t>
      </w:r>
    </w:p>
    <w:p w14:paraId="0B62CDAF" w14:textId="77777777" w:rsidR="002D7B36" w:rsidRPr="00DE12A3" w:rsidRDefault="009D331B" w:rsidP="00E20716">
      <w:pPr>
        <w:pStyle w:val="Gvdemetni250"/>
        <w:numPr>
          <w:ilvl w:val="0"/>
          <w:numId w:val="31"/>
        </w:numPr>
        <w:shd w:val="clear" w:color="auto" w:fill="auto"/>
        <w:tabs>
          <w:tab w:val="left" w:pos="840"/>
        </w:tabs>
        <w:spacing w:before="120" w:after="120" w:line="240" w:lineRule="auto"/>
        <w:ind w:left="1134" w:hanging="1134"/>
        <w:rPr>
          <w:sz w:val="24"/>
          <w:szCs w:val="24"/>
        </w:rPr>
      </w:pPr>
      <w:r w:rsidRPr="00DE12A3">
        <w:rPr>
          <w:sz w:val="24"/>
          <w:szCs w:val="24"/>
        </w:rPr>
        <w:t xml:space="preserve">     </w:t>
      </w:r>
      <w:r w:rsidR="00242DA0" w:rsidRPr="00DE12A3">
        <w:rPr>
          <w:sz w:val="24"/>
          <w:szCs w:val="24"/>
        </w:rPr>
        <w:t>5.5 bendinde izin verilen haller dışında, ayıraç devreye girmelerini gerektirmeyen bir seviyeye gelene kadar ikmal edilinceye dek, düşük seviyeli veya ağır seviyeli ikna sistemini kapatmak mümkün değildir.</w:t>
      </w:r>
    </w:p>
    <w:p w14:paraId="687975B5" w14:textId="77777777" w:rsidR="002D7B36" w:rsidRPr="00DE12A3" w:rsidRDefault="009D331B" w:rsidP="00E20716">
      <w:pPr>
        <w:pStyle w:val="Balk460"/>
        <w:numPr>
          <w:ilvl w:val="0"/>
          <w:numId w:val="466"/>
        </w:numPr>
        <w:shd w:val="clear" w:color="auto" w:fill="auto"/>
        <w:tabs>
          <w:tab w:val="left" w:pos="840"/>
        </w:tabs>
        <w:spacing w:before="120" w:after="120" w:line="240" w:lineRule="auto"/>
        <w:rPr>
          <w:sz w:val="24"/>
          <w:szCs w:val="24"/>
        </w:rPr>
      </w:pPr>
      <w:r w:rsidRPr="00DE12A3">
        <w:rPr>
          <w:rStyle w:val="Balk467ptKalnDeil0ptbolukbraklyor"/>
          <w:color w:val="auto"/>
          <w:sz w:val="24"/>
          <w:szCs w:val="24"/>
        </w:rPr>
        <w:t xml:space="preserve">      </w:t>
      </w:r>
      <w:r w:rsidR="00242DA0" w:rsidRPr="00DE12A3">
        <w:rPr>
          <w:bCs w:val="0"/>
          <w:spacing w:val="3"/>
          <w:sz w:val="24"/>
          <w:szCs w:val="24"/>
        </w:rPr>
        <w:t>Ayıraç kalitesinin izlenmesi</w:t>
      </w:r>
    </w:p>
    <w:p w14:paraId="16A5975E" w14:textId="77777777" w:rsidR="002D7B36" w:rsidRPr="00DE12A3" w:rsidRDefault="009D331B" w:rsidP="00E20716">
      <w:pPr>
        <w:pStyle w:val="Gvdemetni250"/>
        <w:numPr>
          <w:ilvl w:val="0"/>
          <w:numId w:val="32"/>
        </w:numPr>
        <w:shd w:val="clear" w:color="auto" w:fill="auto"/>
        <w:tabs>
          <w:tab w:val="left" w:pos="840"/>
        </w:tabs>
        <w:spacing w:before="120" w:after="120" w:line="240" w:lineRule="auto"/>
        <w:ind w:left="1134" w:hanging="1134"/>
        <w:rPr>
          <w:sz w:val="24"/>
          <w:szCs w:val="24"/>
        </w:rPr>
      </w:pPr>
      <w:r w:rsidRPr="00DE12A3">
        <w:rPr>
          <w:sz w:val="24"/>
          <w:szCs w:val="24"/>
        </w:rPr>
        <w:t xml:space="preserve">     </w:t>
      </w:r>
      <w:r w:rsidR="00242DA0" w:rsidRPr="00DE12A3">
        <w:rPr>
          <w:sz w:val="24"/>
          <w:szCs w:val="24"/>
        </w:rPr>
        <w:t>Motor veya karayolu dışında kullanılan hareketli makinalarda, karayolu dışında kullanılan bir hareketli makinada yanlış bir ayıraç bulunduğunu tespit etme imkanı olmalıdır.</w:t>
      </w:r>
    </w:p>
    <w:p w14:paraId="69ACB93A" w14:textId="77777777" w:rsidR="002D7B36" w:rsidRPr="00DE12A3" w:rsidRDefault="009D331B" w:rsidP="00E20716">
      <w:pPr>
        <w:pStyle w:val="Gvdemetni250"/>
        <w:numPr>
          <w:ilvl w:val="0"/>
          <w:numId w:val="33"/>
        </w:numPr>
        <w:shd w:val="clear" w:color="auto" w:fill="auto"/>
        <w:tabs>
          <w:tab w:val="left" w:pos="840"/>
        </w:tabs>
        <w:spacing w:before="120" w:after="120" w:line="240" w:lineRule="auto"/>
        <w:ind w:left="1134" w:hanging="1134"/>
        <w:rPr>
          <w:sz w:val="24"/>
          <w:szCs w:val="24"/>
        </w:rPr>
      </w:pPr>
      <w:r w:rsidRPr="00DE12A3">
        <w:rPr>
          <w:sz w:val="24"/>
          <w:szCs w:val="24"/>
        </w:rPr>
        <w:t xml:space="preserve">     </w:t>
      </w:r>
      <w:r w:rsidR="00242DA0" w:rsidRPr="00DE12A3">
        <w:rPr>
          <w:sz w:val="24"/>
          <w:szCs w:val="24"/>
        </w:rPr>
        <w:t>İmalatçı, egzoz borusu NOx emisyonlarının, ya geçerli NOx limiti çarpı 2,25 ya da geçerli NOx limiti artı 1,5 g/kWh değerini aşmamasını sağlayacak bir asgari kabul edilebilir ayıraç konsantrasyonu, CDmin belirlemelidir. Birleşik bir HC ve NOx sınırı olan motor alt kategorileri için, bu bendin amacı doğrultusunda geçerli NOx sınır değeri, HC ve NOx için birleşik limit değeri eksi 0,19 g/kWh olmalıdır.</w:t>
      </w:r>
    </w:p>
    <w:p w14:paraId="224ADC3C" w14:textId="2BB371C8" w:rsidR="002D7B36" w:rsidRPr="00DE12A3" w:rsidRDefault="009D331B" w:rsidP="00E20716">
      <w:pPr>
        <w:pStyle w:val="Gvdemetni250"/>
        <w:numPr>
          <w:ilvl w:val="0"/>
          <w:numId w:val="34"/>
        </w:numPr>
        <w:shd w:val="clear" w:color="auto" w:fill="auto"/>
        <w:tabs>
          <w:tab w:val="left" w:pos="840"/>
        </w:tabs>
        <w:spacing w:before="120" w:after="120" w:line="240" w:lineRule="auto"/>
        <w:ind w:left="1134" w:hanging="1134"/>
        <w:rPr>
          <w:sz w:val="24"/>
          <w:szCs w:val="24"/>
        </w:rPr>
      </w:pPr>
      <w:r w:rsidRPr="00DE12A3">
        <w:rPr>
          <w:sz w:val="24"/>
          <w:szCs w:val="24"/>
        </w:rPr>
        <w:t xml:space="preserve">     </w:t>
      </w:r>
      <w:r w:rsidR="00242DA0" w:rsidRPr="00DE12A3">
        <w:rPr>
          <w:sz w:val="24"/>
          <w:szCs w:val="24"/>
        </w:rPr>
        <w:t xml:space="preserve">İmalaltçı tarafından belirlenen CDmin değeri, 13. </w:t>
      </w:r>
      <w:r w:rsidR="00721C89" w:rsidRPr="00DE12A3">
        <w:rPr>
          <w:sz w:val="24"/>
          <w:szCs w:val="24"/>
        </w:rPr>
        <w:t>Bölüm</w:t>
      </w:r>
      <w:r w:rsidR="00242DA0" w:rsidRPr="00DE12A3">
        <w:rPr>
          <w:sz w:val="24"/>
          <w:szCs w:val="24"/>
        </w:rPr>
        <w:t xml:space="preserve">de belirtilen gösterim sırasında kullanılmalı ve </w:t>
      </w:r>
      <w:r w:rsidR="00EE5D5E" w:rsidRPr="00DE12A3">
        <w:rPr>
          <w:sz w:val="24"/>
          <w:szCs w:val="24"/>
        </w:rPr>
        <w:t xml:space="preserve">2017/656/AB Tebliğinin </w:t>
      </w:r>
      <w:r w:rsidR="003509F0" w:rsidRPr="00DE12A3">
        <w:rPr>
          <w:sz w:val="24"/>
          <w:szCs w:val="24"/>
        </w:rPr>
        <w:t>3</w:t>
      </w:r>
      <w:r w:rsidR="00EE5D5E" w:rsidRPr="00DE12A3">
        <w:rPr>
          <w:sz w:val="24"/>
          <w:szCs w:val="24"/>
        </w:rPr>
        <w:t>’</w:t>
      </w:r>
      <w:r w:rsidR="003509F0" w:rsidRPr="00DE12A3">
        <w:rPr>
          <w:sz w:val="24"/>
          <w:szCs w:val="24"/>
        </w:rPr>
        <w:t>ü</w:t>
      </w:r>
      <w:r w:rsidR="00EE5D5E" w:rsidRPr="00DE12A3">
        <w:rPr>
          <w:sz w:val="24"/>
          <w:szCs w:val="24"/>
        </w:rPr>
        <w:t>nc</w:t>
      </w:r>
      <w:r w:rsidR="003509F0" w:rsidRPr="00DE12A3">
        <w:rPr>
          <w:sz w:val="24"/>
          <w:szCs w:val="24"/>
        </w:rPr>
        <w:t>ü Açıklayıcı</w:t>
      </w:r>
      <w:r w:rsidR="00EE5D5E" w:rsidRPr="00DE12A3">
        <w:rPr>
          <w:sz w:val="24"/>
          <w:szCs w:val="24"/>
        </w:rPr>
        <w:t xml:space="preserve"> </w:t>
      </w:r>
      <w:r w:rsidR="00EC3EF0" w:rsidRPr="00DE12A3">
        <w:rPr>
          <w:sz w:val="24"/>
          <w:szCs w:val="24"/>
        </w:rPr>
        <w:t>Ekinde</w:t>
      </w:r>
      <w:r w:rsidR="00242DA0" w:rsidRPr="00DE12A3">
        <w:rPr>
          <w:sz w:val="24"/>
          <w:szCs w:val="24"/>
        </w:rPr>
        <w:t xml:space="preserve"> belirtilen bilgi dokümanının C </w:t>
      </w:r>
      <w:r w:rsidR="003509F0" w:rsidRPr="00DE12A3">
        <w:rPr>
          <w:sz w:val="24"/>
          <w:szCs w:val="24"/>
        </w:rPr>
        <w:t xml:space="preserve">Kısmına </w:t>
      </w:r>
      <w:r w:rsidR="00242DA0" w:rsidRPr="00DE12A3">
        <w:rPr>
          <w:sz w:val="24"/>
          <w:szCs w:val="24"/>
        </w:rPr>
        <w:t>kaydedilmelidir.</w:t>
      </w:r>
    </w:p>
    <w:p w14:paraId="2CEFAE6F" w14:textId="77777777" w:rsidR="002D7B36" w:rsidRPr="00DE12A3" w:rsidRDefault="009D331B" w:rsidP="00E20716">
      <w:pPr>
        <w:pStyle w:val="Gvdemetni250"/>
        <w:numPr>
          <w:ilvl w:val="0"/>
          <w:numId w:val="33"/>
        </w:numPr>
        <w:shd w:val="clear" w:color="auto" w:fill="auto"/>
        <w:tabs>
          <w:tab w:val="left" w:pos="840"/>
        </w:tabs>
        <w:spacing w:before="120" w:after="120" w:line="240" w:lineRule="auto"/>
        <w:ind w:left="1134" w:hanging="1134"/>
        <w:rPr>
          <w:sz w:val="24"/>
          <w:szCs w:val="24"/>
        </w:rPr>
      </w:pPr>
      <w:r w:rsidRPr="00DE12A3">
        <w:rPr>
          <w:sz w:val="24"/>
          <w:szCs w:val="24"/>
        </w:rPr>
        <w:t xml:space="preserve">    </w:t>
      </w:r>
      <w:r w:rsidR="00242DA0" w:rsidRPr="00DE12A3">
        <w:rPr>
          <w:sz w:val="24"/>
          <w:szCs w:val="24"/>
        </w:rPr>
        <w:t>CDmin değerinden daha düşük herhangi bir ayıraç konsantrasyonu tespit edilmeli ve 7.1 bendinin amacı doğrultusunda yanlış ayıraç olarak kabul edilmelidir.</w:t>
      </w:r>
    </w:p>
    <w:p w14:paraId="02039A7D" w14:textId="77777777" w:rsidR="002D7B36" w:rsidRPr="00DE12A3" w:rsidRDefault="009D331B" w:rsidP="00E20716">
      <w:pPr>
        <w:pStyle w:val="Gvdemetni250"/>
        <w:numPr>
          <w:ilvl w:val="0"/>
          <w:numId w:val="33"/>
        </w:numPr>
        <w:shd w:val="clear" w:color="auto" w:fill="auto"/>
        <w:tabs>
          <w:tab w:val="left" w:pos="840"/>
        </w:tabs>
        <w:spacing w:before="120" w:after="120" w:line="240" w:lineRule="auto"/>
        <w:ind w:left="1134" w:hanging="1134"/>
        <w:rPr>
          <w:sz w:val="24"/>
          <w:szCs w:val="24"/>
        </w:rPr>
      </w:pPr>
      <w:r w:rsidRPr="00DE12A3">
        <w:rPr>
          <w:sz w:val="24"/>
          <w:szCs w:val="24"/>
        </w:rPr>
        <w:t xml:space="preserve">     </w:t>
      </w:r>
      <w:r w:rsidR="00242DA0" w:rsidRPr="00DE12A3">
        <w:rPr>
          <w:sz w:val="24"/>
          <w:szCs w:val="24"/>
        </w:rPr>
        <w:t>Ayıraç kalitesine özel bir sayaç ("ayıraç kalitesi sayacı") ayrılmalıdır. Ayıraç kalitesi sayacı, motorun yanlış bir ayıraç ile çalıştığı saatleri saymalıdır.</w:t>
      </w:r>
    </w:p>
    <w:p w14:paraId="5F4A6FCC" w14:textId="3BA54118" w:rsidR="002D7B36" w:rsidRPr="00DE12A3" w:rsidRDefault="009D331B" w:rsidP="00E20716">
      <w:pPr>
        <w:pStyle w:val="Gvdemetni250"/>
        <w:numPr>
          <w:ilvl w:val="0"/>
          <w:numId w:val="35"/>
        </w:numPr>
        <w:shd w:val="clear" w:color="auto" w:fill="auto"/>
        <w:tabs>
          <w:tab w:val="left" w:pos="835"/>
        </w:tabs>
        <w:spacing w:before="120" w:after="120" w:line="240" w:lineRule="auto"/>
        <w:ind w:left="1134" w:hanging="1134"/>
        <w:rPr>
          <w:sz w:val="24"/>
          <w:szCs w:val="24"/>
        </w:rPr>
      </w:pPr>
      <w:r w:rsidRPr="00DE12A3">
        <w:rPr>
          <w:sz w:val="24"/>
          <w:szCs w:val="24"/>
        </w:rPr>
        <w:t xml:space="preserve">     </w:t>
      </w:r>
      <w:r w:rsidR="00242DA0" w:rsidRPr="00DE12A3">
        <w:rPr>
          <w:sz w:val="24"/>
          <w:szCs w:val="24"/>
        </w:rPr>
        <w:t xml:space="preserve">İsteğe bağlı olarak, imalatçı, ayıraç kalitesi kusurunu 8. ve 9. </w:t>
      </w:r>
      <w:r w:rsidR="00721C89" w:rsidRPr="00DE12A3">
        <w:rPr>
          <w:sz w:val="24"/>
          <w:szCs w:val="24"/>
        </w:rPr>
        <w:t>Bölüm</w:t>
      </w:r>
      <w:r w:rsidR="00242DA0" w:rsidRPr="00DE12A3">
        <w:rPr>
          <w:sz w:val="24"/>
          <w:szCs w:val="24"/>
        </w:rPr>
        <w:t>lerde listelenen kusurların biri veya daha fazlası ile birlikte tek bir sayaçta gruplandırabilir.</w:t>
      </w:r>
    </w:p>
    <w:p w14:paraId="45AFBC67" w14:textId="36FE0487" w:rsidR="002D7B36" w:rsidRPr="00DE12A3" w:rsidRDefault="009D331B" w:rsidP="00E20716">
      <w:pPr>
        <w:pStyle w:val="Gvdemetni250"/>
        <w:numPr>
          <w:ilvl w:val="0"/>
          <w:numId w:val="33"/>
        </w:numPr>
        <w:shd w:val="clear" w:color="auto" w:fill="auto"/>
        <w:tabs>
          <w:tab w:val="left" w:pos="835"/>
          <w:tab w:val="left" w:pos="870"/>
        </w:tabs>
        <w:spacing w:before="120" w:after="120" w:line="240" w:lineRule="auto"/>
        <w:ind w:left="1134" w:hanging="1134"/>
        <w:rPr>
          <w:sz w:val="24"/>
          <w:szCs w:val="24"/>
        </w:rPr>
      </w:pPr>
      <w:r w:rsidRPr="00DE12A3">
        <w:rPr>
          <w:sz w:val="24"/>
          <w:szCs w:val="24"/>
        </w:rPr>
        <w:t xml:space="preserve">     </w:t>
      </w:r>
      <w:r w:rsidR="00242DA0" w:rsidRPr="00DE12A3">
        <w:rPr>
          <w:sz w:val="24"/>
          <w:szCs w:val="24"/>
        </w:rPr>
        <w:t xml:space="preserve">Ayıraç kalitesi sayacının devreye girmesine ve devreden çıkmasına ilişkin kriterlere ve mekanizmalara dair ayrıntılar 11. </w:t>
      </w:r>
      <w:r w:rsidR="00721C89" w:rsidRPr="00DE12A3">
        <w:rPr>
          <w:sz w:val="24"/>
          <w:szCs w:val="24"/>
        </w:rPr>
        <w:t>Bölüm</w:t>
      </w:r>
      <w:r w:rsidR="00242DA0" w:rsidRPr="00DE12A3">
        <w:rPr>
          <w:sz w:val="24"/>
          <w:szCs w:val="24"/>
        </w:rPr>
        <w:t>de açıklanmıştır.</w:t>
      </w:r>
    </w:p>
    <w:p w14:paraId="01DB9D5A" w14:textId="77777777" w:rsidR="002D7B36" w:rsidRPr="00DE12A3" w:rsidRDefault="009D331B" w:rsidP="00E20716">
      <w:pPr>
        <w:pStyle w:val="Gvdemetni250"/>
        <w:numPr>
          <w:ilvl w:val="0"/>
          <w:numId w:val="32"/>
        </w:numPr>
        <w:shd w:val="clear" w:color="auto" w:fill="auto"/>
        <w:tabs>
          <w:tab w:val="left" w:pos="835"/>
        </w:tabs>
        <w:spacing w:before="120" w:after="120" w:line="240" w:lineRule="auto"/>
        <w:ind w:left="1134" w:hanging="1134"/>
        <w:rPr>
          <w:sz w:val="24"/>
          <w:szCs w:val="24"/>
        </w:rPr>
      </w:pPr>
      <w:r w:rsidRPr="00DE12A3">
        <w:rPr>
          <w:sz w:val="24"/>
          <w:szCs w:val="24"/>
        </w:rPr>
        <w:t xml:space="preserve">     </w:t>
      </w:r>
      <w:r w:rsidR="00242DA0" w:rsidRPr="00DE12A3">
        <w:rPr>
          <w:sz w:val="24"/>
          <w:szCs w:val="24"/>
        </w:rPr>
        <w:t>Operatör uyarı sisteminin devreye girmesi</w:t>
      </w:r>
    </w:p>
    <w:p w14:paraId="613048AE" w14:textId="0D6B6780" w:rsidR="002D7B36" w:rsidRPr="00DE12A3" w:rsidRDefault="009D331B" w:rsidP="00C917D6">
      <w:pPr>
        <w:pStyle w:val="Gvdemetni250"/>
        <w:shd w:val="clear" w:color="auto" w:fill="auto"/>
        <w:spacing w:before="120" w:after="120" w:line="240" w:lineRule="auto"/>
        <w:ind w:left="1134" w:hanging="1134"/>
        <w:rPr>
          <w:sz w:val="24"/>
          <w:szCs w:val="24"/>
        </w:rPr>
      </w:pPr>
      <w:r w:rsidRPr="00DE12A3">
        <w:rPr>
          <w:sz w:val="24"/>
          <w:szCs w:val="24"/>
        </w:rPr>
        <w:t xml:space="preserve">                  </w:t>
      </w:r>
      <w:r w:rsidR="00242DA0" w:rsidRPr="00DE12A3">
        <w:rPr>
          <w:sz w:val="24"/>
          <w:szCs w:val="24"/>
        </w:rPr>
        <w:t xml:space="preserve">İzleme sistemi ayıraç kalitesinin yanlış olduğunu doğruladığında, 4. </w:t>
      </w:r>
      <w:r w:rsidR="00721C89" w:rsidRPr="00DE12A3">
        <w:rPr>
          <w:sz w:val="24"/>
          <w:szCs w:val="24"/>
        </w:rPr>
        <w:t>Bölüm</w:t>
      </w:r>
      <w:r w:rsidR="00242DA0" w:rsidRPr="00DE12A3">
        <w:rPr>
          <w:sz w:val="24"/>
          <w:szCs w:val="24"/>
        </w:rPr>
        <w:t>de açıklanan operatör uyarı sistemi devreye girmelidir. Uyarı sisteminde bir mesaj görüntüleme sistemi olduğunda, uyarının nedenini belirten bir mesaj göstermelidir (örneğin, "yanlış üre tespit edildi", "yanlış AdBlue tespit edildi" veya "yanlış ayıraç tespit edildi").</w:t>
      </w:r>
    </w:p>
    <w:p w14:paraId="146123E4" w14:textId="77777777" w:rsidR="002D7B36" w:rsidRPr="00DE12A3" w:rsidRDefault="009D331B" w:rsidP="00E20716">
      <w:pPr>
        <w:pStyle w:val="Gvdemetni250"/>
        <w:numPr>
          <w:ilvl w:val="0"/>
          <w:numId w:val="36"/>
        </w:numPr>
        <w:shd w:val="clear" w:color="auto" w:fill="auto"/>
        <w:tabs>
          <w:tab w:val="left" w:pos="835"/>
          <w:tab w:val="left" w:pos="865"/>
        </w:tabs>
        <w:spacing w:before="120" w:after="120" w:line="240" w:lineRule="auto"/>
        <w:ind w:left="1134" w:hanging="1134"/>
        <w:rPr>
          <w:sz w:val="24"/>
          <w:szCs w:val="24"/>
        </w:rPr>
      </w:pPr>
      <w:r w:rsidRPr="00DE12A3">
        <w:rPr>
          <w:sz w:val="24"/>
          <w:szCs w:val="24"/>
        </w:rPr>
        <w:t xml:space="preserve">     </w:t>
      </w:r>
      <w:r w:rsidR="00242DA0" w:rsidRPr="00DE12A3">
        <w:rPr>
          <w:sz w:val="24"/>
          <w:szCs w:val="24"/>
        </w:rPr>
        <w:t>Operatör ikna sisteminin devreye girmesi</w:t>
      </w:r>
    </w:p>
    <w:p w14:paraId="6DAAA2CA" w14:textId="77777777" w:rsidR="002D7B36" w:rsidRPr="00DE12A3" w:rsidRDefault="009D331B" w:rsidP="00E20716">
      <w:pPr>
        <w:pStyle w:val="Gvdemetni250"/>
        <w:numPr>
          <w:ilvl w:val="0"/>
          <w:numId w:val="37"/>
        </w:numPr>
        <w:shd w:val="clear" w:color="auto" w:fill="auto"/>
        <w:tabs>
          <w:tab w:val="left" w:pos="835"/>
        </w:tabs>
        <w:spacing w:before="120" w:after="120" w:line="240" w:lineRule="auto"/>
        <w:ind w:left="1134" w:hanging="1134"/>
        <w:rPr>
          <w:sz w:val="24"/>
          <w:szCs w:val="24"/>
        </w:rPr>
      </w:pPr>
      <w:r w:rsidRPr="00DE12A3">
        <w:rPr>
          <w:sz w:val="24"/>
          <w:szCs w:val="24"/>
        </w:rPr>
        <w:t xml:space="preserve">      </w:t>
      </w:r>
      <w:r w:rsidR="00242DA0" w:rsidRPr="00DE12A3">
        <w:rPr>
          <w:sz w:val="24"/>
          <w:szCs w:val="24"/>
        </w:rPr>
        <w:t>5.3 bendinde açıklanan düşük seviye ikna sistemi, 7.2 bendinde açıklandığı gibi operatör uyarı sistemi devreye girdikten sonra azami 10 motor çalışma saati içinde ayıraç kalitesi düzeltilmezse devreye girmelidir.</w:t>
      </w:r>
    </w:p>
    <w:p w14:paraId="46340BBB" w14:textId="77777777" w:rsidR="002D7B36" w:rsidRPr="00DE12A3" w:rsidRDefault="009D331B" w:rsidP="00E20716">
      <w:pPr>
        <w:pStyle w:val="Gvdemetni250"/>
        <w:numPr>
          <w:ilvl w:val="0"/>
          <w:numId w:val="37"/>
        </w:numPr>
        <w:shd w:val="clear" w:color="auto" w:fill="auto"/>
        <w:tabs>
          <w:tab w:val="left" w:pos="835"/>
        </w:tabs>
        <w:spacing w:before="120" w:after="120" w:line="240" w:lineRule="auto"/>
        <w:ind w:left="1134" w:hanging="1134"/>
        <w:rPr>
          <w:sz w:val="24"/>
          <w:szCs w:val="24"/>
        </w:rPr>
      </w:pPr>
      <w:r w:rsidRPr="00DE12A3">
        <w:rPr>
          <w:sz w:val="24"/>
          <w:szCs w:val="24"/>
        </w:rPr>
        <w:t xml:space="preserve">     </w:t>
      </w:r>
      <w:r w:rsidR="00242DA0" w:rsidRPr="00DE12A3">
        <w:rPr>
          <w:sz w:val="24"/>
          <w:szCs w:val="24"/>
        </w:rPr>
        <w:t>5.4 bendinde açıklanan ağır seviye ikna sistemi, 7.2 bendinde açıklandığı gibi operatör uyarı sistemi devreye girdikten sonra azami 20 motor çalışma saati içinde ayıraç kalitesi düzeltilmezse devreye girmelidir.</w:t>
      </w:r>
    </w:p>
    <w:p w14:paraId="55B2D196" w14:textId="5C66DD31" w:rsidR="002D7B36" w:rsidRPr="00DE12A3" w:rsidRDefault="009D331B" w:rsidP="00E20716">
      <w:pPr>
        <w:pStyle w:val="Gvdemetni250"/>
        <w:numPr>
          <w:ilvl w:val="0"/>
          <w:numId w:val="37"/>
        </w:numPr>
        <w:shd w:val="clear" w:color="auto" w:fill="auto"/>
        <w:tabs>
          <w:tab w:val="left" w:pos="835"/>
        </w:tabs>
        <w:spacing w:before="120" w:after="120" w:line="240" w:lineRule="auto"/>
        <w:ind w:left="1134" w:hanging="1134"/>
        <w:rPr>
          <w:sz w:val="24"/>
          <w:szCs w:val="24"/>
        </w:rPr>
      </w:pPr>
      <w:r w:rsidRPr="00DE12A3">
        <w:rPr>
          <w:sz w:val="24"/>
          <w:szCs w:val="24"/>
        </w:rPr>
        <w:t xml:space="preserve">     </w:t>
      </w:r>
      <w:r w:rsidR="00242DA0" w:rsidRPr="00DE12A3">
        <w:rPr>
          <w:sz w:val="24"/>
          <w:szCs w:val="24"/>
        </w:rPr>
        <w:t xml:space="preserve">11. </w:t>
      </w:r>
      <w:r w:rsidR="00721C89" w:rsidRPr="00DE12A3">
        <w:rPr>
          <w:sz w:val="24"/>
          <w:szCs w:val="24"/>
        </w:rPr>
        <w:t>Bölüm</w:t>
      </w:r>
      <w:r w:rsidR="00242DA0" w:rsidRPr="00DE12A3">
        <w:rPr>
          <w:sz w:val="24"/>
          <w:szCs w:val="24"/>
        </w:rPr>
        <w:t>de açıklanan mekanizmaya göre arızanın tekrarlanması durumunda, ikna sistemleri devreye girmeden önceki saat sayısı azaltılmalıdır.</w:t>
      </w:r>
    </w:p>
    <w:p w14:paraId="481F3A5D" w14:textId="77777777" w:rsidR="002D7B36" w:rsidRPr="00DE12A3" w:rsidRDefault="009D331B" w:rsidP="00E20716">
      <w:pPr>
        <w:pStyle w:val="Balk460"/>
        <w:numPr>
          <w:ilvl w:val="0"/>
          <w:numId w:val="466"/>
        </w:numPr>
        <w:shd w:val="clear" w:color="auto" w:fill="auto"/>
        <w:tabs>
          <w:tab w:val="left" w:pos="835"/>
        </w:tabs>
        <w:spacing w:before="120" w:after="120" w:line="240" w:lineRule="auto"/>
        <w:rPr>
          <w:sz w:val="24"/>
          <w:szCs w:val="24"/>
        </w:rPr>
      </w:pPr>
      <w:r w:rsidRPr="00DE12A3">
        <w:rPr>
          <w:rStyle w:val="Balk467ptKalnDeil0ptbolukbraklyor"/>
          <w:color w:val="auto"/>
          <w:sz w:val="24"/>
          <w:szCs w:val="24"/>
        </w:rPr>
        <w:t xml:space="preserve">      </w:t>
      </w:r>
      <w:r w:rsidR="00242DA0" w:rsidRPr="00DE12A3">
        <w:rPr>
          <w:sz w:val="24"/>
          <w:szCs w:val="24"/>
        </w:rPr>
        <w:t>Ayıraç dozaj faaliyeti</w:t>
      </w:r>
    </w:p>
    <w:p w14:paraId="710ED793" w14:textId="77777777" w:rsidR="002D7B36" w:rsidRPr="00DE12A3" w:rsidRDefault="009D331B" w:rsidP="00E20716">
      <w:pPr>
        <w:pStyle w:val="Gvdemetni250"/>
        <w:numPr>
          <w:ilvl w:val="0"/>
          <w:numId w:val="38"/>
        </w:numPr>
        <w:shd w:val="clear" w:color="auto" w:fill="auto"/>
        <w:tabs>
          <w:tab w:val="left" w:pos="835"/>
          <w:tab w:val="left" w:pos="865"/>
        </w:tabs>
        <w:spacing w:before="120" w:after="120" w:line="240" w:lineRule="auto"/>
        <w:ind w:left="1134" w:hanging="1134"/>
        <w:rPr>
          <w:sz w:val="24"/>
          <w:szCs w:val="24"/>
        </w:rPr>
      </w:pPr>
      <w:r w:rsidRPr="00DE12A3">
        <w:rPr>
          <w:sz w:val="24"/>
          <w:szCs w:val="24"/>
        </w:rPr>
        <w:t xml:space="preserve">      </w:t>
      </w:r>
      <w:r w:rsidR="00242DA0" w:rsidRPr="00DE12A3">
        <w:rPr>
          <w:sz w:val="24"/>
          <w:szCs w:val="24"/>
        </w:rPr>
        <w:t>Motorda, dozajın kesintiye uğradığını tespit etme imkanı olmalıdır.</w:t>
      </w:r>
    </w:p>
    <w:p w14:paraId="617121C7" w14:textId="77777777" w:rsidR="002D7B36" w:rsidRPr="00DE12A3" w:rsidRDefault="009D331B" w:rsidP="00E20716">
      <w:pPr>
        <w:pStyle w:val="Gvdemetni250"/>
        <w:numPr>
          <w:ilvl w:val="0"/>
          <w:numId w:val="39"/>
        </w:numPr>
        <w:shd w:val="clear" w:color="auto" w:fill="auto"/>
        <w:tabs>
          <w:tab w:val="left" w:pos="0"/>
        </w:tabs>
        <w:spacing w:before="120" w:after="120" w:line="240" w:lineRule="auto"/>
        <w:ind w:left="1134" w:hanging="1134"/>
        <w:rPr>
          <w:sz w:val="24"/>
          <w:szCs w:val="24"/>
        </w:rPr>
      </w:pPr>
      <w:r w:rsidRPr="00DE12A3">
        <w:rPr>
          <w:sz w:val="24"/>
          <w:szCs w:val="24"/>
        </w:rPr>
        <w:lastRenderedPageBreak/>
        <w:t xml:space="preserve">        </w:t>
      </w:r>
      <w:r w:rsidR="00242DA0" w:rsidRPr="00DE12A3">
        <w:rPr>
          <w:sz w:val="24"/>
          <w:szCs w:val="24"/>
        </w:rPr>
        <w:t>Ayıraç dozaj faaliyeti sayacı</w:t>
      </w:r>
    </w:p>
    <w:p w14:paraId="4C29C767" w14:textId="77777777" w:rsidR="002D7B36" w:rsidRPr="00DE12A3" w:rsidRDefault="009D331B" w:rsidP="00E20716">
      <w:pPr>
        <w:pStyle w:val="Gvdemetni250"/>
        <w:numPr>
          <w:ilvl w:val="0"/>
          <w:numId w:val="40"/>
        </w:numPr>
        <w:shd w:val="clear" w:color="auto" w:fill="auto"/>
        <w:tabs>
          <w:tab w:val="left" w:pos="0"/>
        </w:tabs>
        <w:spacing w:before="120" w:after="120" w:line="240" w:lineRule="auto"/>
        <w:ind w:left="1134" w:hanging="1134"/>
        <w:rPr>
          <w:sz w:val="24"/>
          <w:szCs w:val="24"/>
        </w:rPr>
      </w:pPr>
      <w:r w:rsidRPr="00DE12A3">
        <w:rPr>
          <w:sz w:val="24"/>
          <w:szCs w:val="24"/>
        </w:rPr>
        <w:t xml:space="preserve">       </w:t>
      </w:r>
      <w:r w:rsidR="00242DA0" w:rsidRPr="00DE12A3">
        <w:rPr>
          <w:sz w:val="24"/>
          <w:szCs w:val="24"/>
        </w:rPr>
        <w:t>Dozaj faaliyetine özel bir sayaç ("dozaj faaliyeti sayacı") ayrılmalıdır. Sayaç, motorun bir ayıraç dozaj faaliyeti kesintisi ile çalıştığı saatleri saymalıdır. Bu tür bir kesinti motor ECU'su tarafından talep edildiğinde bu gerekli değildir, çünkü karayolu dışında kullanılan hareketli makinaların çalışma koşulları, karayolu dışında kullanılan hareketli makinaların emisyon performansının ayıraç dozajı gerektirmeyeceği şekildedir.</w:t>
      </w:r>
    </w:p>
    <w:p w14:paraId="79D39AC6" w14:textId="549915A0" w:rsidR="002D7B36" w:rsidRPr="00DE12A3" w:rsidRDefault="009D331B" w:rsidP="00E20716">
      <w:pPr>
        <w:pStyle w:val="Gvdemetni250"/>
        <w:numPr>
          <w:ilvl w:val="0"/>
          <w:numId w:val="41"/>
        </w:numPr>
        <w:shd w:val="clear" w:color="auto" w:fill="auto"/>
        <w:tabs>
          <w:tab w:val="left" w:pos="835"/>
        </w:tabs>
        <w:spacing w:before="120" w:after="120" w:line="240" w:lineRule="auto"/>
        <w:ind w:left="1134" w:hanging="1134"/>
        <w:rPr>
          <w:sz w:val="24"/>
          <w:szCs w:val="24"/>
        </w:rPr>
      </w:pPr>
      <w:r w:rsidRPr="00DE12A3">
        <w:rPr>
          <w:sz w:val="24"/>
          <w:szCs w:val="24"/>
        </w:rPr>
        <w:t xml:space="preserve">     </w:t>
      </w:r>
      <w:r w:rsidR="00242DA0" w:rsidRPr="00DE12A3">
        <w:rPr>
          <w:sz w:val="24"/>
          <w:szCs w:val="24"/>
        </w:rPr>
        <w:t xml:space="preserve">İsteğe bağlı olarak, imalatçı, ayıraç dozajı kusurunu 7. ve 9. </w:t>
      </w:r>
      <w:r w:rsidR="00721C89" w:rsidRPr="00DE12A3">
        <w:rPr>
          <w:sz w:val="24"/>
          <w:szCs w:val="24"/>
        </w:rPr>
        <w:t>Bölüm</w:t>
      </w:r>
      <w:r w:rsidR="00242DA0" w:rsidRPr="00DE12A3">
        <w:rPr>
          <w:sz w:val="24"/>
          <w:szCs w:val="24"/>
        </w:rPr>
        <w:t>lerde listelenen kusurların biri veya daha fazlası ile birlikte tek bir sayaçta gruplandırabilir.</w:t>
      </w:r>
    </w:p>
    <w:p w14:paraId="45E58E66" w14:textId="0AF2F544" w:rsidR="002D7B36" w:rsidRPr="00DE12A3" w:rsidRDefault="009D331B" w:rsidP="00E20716">
      <w:pPr>
        <w:pStyle w:val="ListeParagraf"/>
        <w:numPr>
          <w:ilvl w:val="2"/>
          <w:numId w:val="42"/>
        </w:numPr>
        <w:spacing w:before="120" w:after="120"/>
        <w:ind w:left="1134" w:hanging="1134"/>
        <w:jc w:val="both"/>
        <w:rPr>
          <w:rFonts w:cs="Times New Roman"/>
          <w:color w:val="auto"/>
        </w:rPr>
      </w:pPr>
      <w:r w:rsidRPr="00DE12A3">
        <w:rPr>
          <w:rFonts w:cs="Times New Roman"/>
          <w:color w:val="auto"/>
        </w:rPr>
        <w:t xml:space="preserve">       </w:t>
      </w:r>
      <w:r w:rsidR="00242DA0" w:rsidRPr="00DE12A3">
        <w:rPr>
          <w:rFonts w:cs="Times New Roman"/>
          <w:color w:val="auto"/>
        </w:rPr>
        <w:t xml:space="preserve">Ayıraç dozaj faaliyeti sayacının devreye girmesine ve devreden çıkmasına ilişkin kriterlere ve mekanizmalara dair ayrıntılar 11. </w:t>
      </w:r>
      <w:r w:rsidR="00721C89" w:rsidRPr="00DE12A3">
        <w:rPr>
          <w:rFonts w:cs="Times New Roman"/>
          <w:color w:val="auto"/>
        </w:rPr>
        <w:t>Bölüm</w:t>
      </w:r>
      <w:r w:rsidR="00242DA0" w:rsidRPr="00DE12A3">
        <w:rPr>
          <w:rFonts w:cs="Times New Roman"/>
          <w:color w:val="auto"/>
        </w:rPr>
        <w:t>de açıklanmıştır.</w:t>
      </w:r>
    </w:p>
    <w:p w14:paraId="1294AB43" w14:textId="77777777" w:rsidR="002D7B36" w:rsidRPr="00DE12A3" w:rsidRDefault="009D331B" w:rsidP="00E20716">
      <w:pPr>
        <w:pStyle w:val="Gvdemetni250"/>
        <w:numPr>
          <w:ilvl w:val="0"/>
          <w:numId w:val="39"/>
        </w:numPr>
        <w:shd w:val="clear" w:color="auto" w:fill="auto"/>
        <w:spacing w:before="120" w:after="120" w:line="240" w:lineRule="auto"/>
        <w:ind w:left="1134" w:hanging="1134"/>
        <w:rPr>
          <w:sz w:val="24"/>
          <w:szCs w:val="24"/>
        </w:rPr>
      </w:pPr>
      <w:r w:rsidRPr="00DE12A3">
        <w:rPr>
          <w:sz w:val="24"/>
          <w:szCs w:val="24"/>
        </w:rPr>
        <w:t xml:space="preserve">       </w:t>
      </w:r>
      <w:r w:rsidR="00242DA0" w:rsidRPr="00DE12A3">
        <w:rPr>
          <w:sz w:val="24"/>
          <w:szCs w:val="24"/>
        </w:rPr>
        <w:t>Operatör uyarı sisteminin devreye girmesi</w:t>
      </w:r>
    </w:p>
    <w:p w14:paraId="6C7AD266" w14:textId="1E0A82EA" w:rsidR="002D7B36" w:rsidRPr="00DE12A3" w:rsidRDefault="009D331B" w:rsidP="00C917D6">
      <w:pPr>
        <w:pStyle w:val="Gvdemetni250"/>
        <w:shd w:val="clear" w:color="auto" w:fill="auto"/>
        <w:tabs>
          <w:tab w:val="right" w:pos="4126"/>
          <w:tab w:val="left" w:pos="4196"/>
        </w:tabs>
        <w:spacing w:before="120" w:after="120" w:line="240" w:lineRule="auto"/>
        <w:ind w:left="1134" w:hanging="1134"/>
        <w:rPr>
          <w:sz w:val="24"/>
          <w:szCs w:val="24"/>
        </w:rPr>
      </w:pPr>
      <w:r w:rsidRPr="00DE12A3">
        <w:rPr>
          <w:sz w:val="24"/>
          <w:szCs w:val="24"/>
        </w:rPr>
        <w:t xml:space="preserve">                   </w:t>
      </w:r>
      <w:r w:rsidR="00242DA0" w:rsidRPr="00DE12A3">
        <w:rPr>
          <w:sz w:val="24"/>
          <w:szCs w:val="24"/>
        </w:rPr>
        <w:t xml:space="preserve">8.2.1 bendi uyarınca dozaj faaliyeti sayacını ayarlayan, dozajın kesintiye uğraması durumunda, 4. </w:t>
      </w:r>
      <w:r w:rsidR="00721C89" w:rsidRPr="00DE12A3">
        <w:rPr>
          <w:sz w:val="24"/>
          <w:szCs w:val="24"/>
        </w:rPr>
        <w:t>Bölüm</w:t>
      </w:r>
      <w:r w:rsidR="00242DA0" w:rsidRPr="00DE12A3">
        <w:rPr>
          <w:sz w:val="24"/>
          <w:szCs w:val="24"/>
        </w:rPr>
        <w:t>de açıklanan operatör uyarı sistemi devreye girmelidir. Uyarı sisteminde bir mesaj görüntüleme sistemi olduğunda, uyarının nedenini belirten bir mesaj göstermelidir (örneğin, "üre dozaj arızası", "AdBlue dozaj arızası" veya "ayıraç dozaj arızası").</w:t>
      </w:r>
    </w:p>
    <w:p w14:paraId="3EE68193" w14:textId="77777777" w:rsidR="002D7B36" w:rsidRPr="00DE12A3" w:rsidRDefault="009D331B" w:rsidP="00E20716">
      <w:pPr>
        <w:pStyle w:val="Gvdemetni250"/>
        <w:numPr>
          <w:ilvl w:val="0"/>
          <w:numId w:val="39"/>
        </w:numPr>
        <w:shd w:val="clear" w:color="auto" w:fill="auto"/>
        <w:tabs>
          <w:tab w:val="left" w:pos="838"/>
          <w:tab w:val="left" w:pos="860"/>
        </w:tabs>
        <w:spacing w:before="120" w:after="120" w:line="240" w:lineRule="auto"/>
        <w:ind w:left="1134" w:hanging="1134"/>
        <w:rPr>
          <w:sz w:val="24"/>
          <w:szCs w:val="24"/>
        </w:rPr>
      </w:pPr>
      <w:r w:rsidRPr="00DE12A3">
        <w:rPr>
          <w:sz w:val="24"/>
          <w:szCs w:val="24"/>
        </w:rPr>
        <w:t xml:space="preserve">     </w:t>
      </w:r>
      <w:r w:rsidR="00242DA0" w:rsidRPr="00DE12A3">
        <w:rPr>
          <w:sz w:val="24"/>
          <w:szCs w:val="24"/>
        </w:rPr>
        <w:t>Operatör ikna sisteminin devreye girmesi</w:t>
      </w:r>
    </w:p>
    <w:p w14:paraId="2C05BB3F" w14:textId="77777777" w:rsidR="002D7B36" w:rsidRPr="00DE12A3" w:rsidRDefault="009D331B" w:rsidP="00E20716">
      <w:pPr>
        <w:pStyle w:val="Gvdemetni250"/>
        <w:numPr>
          <w:ilvl w:val="0"/>
          <w:numId w:val="43"/>
        </w:numPr>
        <w:shd w:val="clear" w:color="auto" w:fill="auto"/>
        <w:tabs>
          <w:tab w:val="left" w:pos="838"/>
          <w:tab w:val="center" w:pos="5238"/>
          <w:tab w:val="right" w:pos="5640"/>
        </w:tabs>
        <w:spacing w:before="120" w:after="120" w:line="240" w:lineRule="auto"/>
        <w:ind w:left="1134" w:hanging="1134"/>
        <w:rPr>
          <w:sz w:val="24"/>
          <w:szCs w:val="24"/>
        </w:rPr>
      </w:pPr>
      <w:r w:rsidRPr="00DE12A3">
        <w:rPr>
          <w:sz w:val="24"/>
          <w:szCs w:val="24"/>
        </w:rPr>
        <w:t xml:space="preserve">      </w:t>
      </w:r>
      <w:r w:rsidR="00242DA0" w:rsidRPr="00DE12A3">
        <w:rPr>
          <w:sz w:val="24"/>
          <w:szCs w:val="24"/>
        </w:rPr>
        <w:t>5.3 bendinde açıklanan düşük seviye ikna sistemi, 8.3 bendi uyarınca operatör uyarı sistemi devreye girdikten sonra azami 10 motor çalışma saati içinde ayıraç dozajındaki bir kesinti düzeltilmezse devreye girmelidir.</w:t>
      </w:r>
    </w:p>
    <w:p w14:paraId="72ED275E" w14:textId="77777777" w:rsidR="002D7B36" w:rsidRPr="00DE12A3" w:rsidRDefault="009D331B" w:rsidP="00E20716">
      <w:pPr>
        <w:pStyle w:val="Gvdemetni250"/>
        <w:numPr>
          <w:ilvl w:val="0"/>
          <w:numId w:val="43"/>
        </w:numPr>
        <w:shd w:val="clear" w:color="auto" w:fill="auto"/>
        <w:tabs>
          <w:tab w:val="left" w:pos="838"/>
          <w:tab w:val="center" w:pos="5238"/>
          <w:tab w:val="right" w:pos="5640"/>
        </w:tabs>
        <w:spacing w:before="120" w:after="120" w:line="240" w:lineRule="auto"/>
        <w:ind w:left="1134" w:hanging="1134"/>
        <w:rPr>
          <w:sz w:val="24"/>
          <w:szCs w:val="24"/>
        </w:rPr>
      </w:pPr>
      <w:r w:rsidRPr="00DE12A3">
        <w:rPr>
          <w:sz w:val="24"/>
          <w:szCs w:val="24"/>
        </w:rPr>
        <w:t xml:space="preserve">      </w:t>
      </w:r>
      <w:r w:rsidR="00242DA0" w:rsidRPr="00DE12A3">
        <w:rPr>
          <w:sz w:val="24"/>
          <w:szCs w:val="24"/>
        </w:rPr>
        <w:t>5.4 bendinde açıklanan ağır seviye ikna sistemi, 8.3 bendi uyarınca operatör uyarı sistemi devreye girdikten sonra azami 20 motor çalışma saati içinde ayıraç dozajındaki bir kesinti düzeltilmezse devreye girmelidir.</w:t>
      </w:r>
    </w:p>
    <w:p w14:paraId="0F0C25EE" w14:textId="6CCAFEAD" w:rsidR="002D7B36" w:rsidRPr="00DE12A3" w:rsidRDefault="009D331B" w:rsidP="00E20716">
      <w:pPr>
        <w:pStyle w:val="Gvdemetni250"/>
        <w:numPr>
          <w:ilvl w:val="0"/>
          <w:numId w:val="43"/>
        </w:numPr>
        <w:shd w:val="clear" w:color="auto" w:fill="auto"/>
        <w:tabs>
          <w:tab w:val="left" w:pos="838"/>
        </w:tabs>
        <w:spacing w:before="120" w:after="120" w:line="240" w:lineRule="auto"/>
        <w:ind w:left="1134" w:hanging="1134"/>
        <w:rPr>
          <w:sz w:val="24"/>
          <w:szCs w:val="24"/>
        </w:rPr>
      </w:pPr>
      <w:r w:rsidRPr="00DE12A3">
        <w:rPr>
          <w:sz w:val="24"/>
          <w:szCs w:val="24"/>
        </w:rPr>
        <w:t xml:space="preserve">      </w:t>
      </w:r>
      <w:r w:rsidR="00242DA0" w:rsidRPr="00DE12A3">
        <w:rPr>
          <w:sz w:val="24"/>
          <w:szCs w:val="24"/>
        </w:rPr>
        <w:t xml:space="preserve">11. </w:t>
      </w:r>
      <w:r w:rsidR="00721C89" w:rsidRPr="00DE12A3">
        <w:rPr>
          <w:sz w:val="24"/>
          <w:szCs w:val="24"/>
        </w:rPr>
        <w:t>Bölüm</w:t>
      </w:r>
      <w:r w:rsidR="00242DA0" w:rsidRPr="00DE12A3">
        <w:rPr>
          <w:sz w:val="24"/>
          <w:szCs w:val="24"/>
        </w:rPr>
        <w:t>de açıklanan mekanizmaya göre arızanın tekrarlanması durumunda, ikna sistemleri devreye girmeden önceki saat sayısı azaltılmalıdır.</w:t>
      </w:r>
    </w:p>
    <w:p w14:paraId="6017DAC6" w14:textId="77777777" w:rsidR="002D7B36" w:rsidRPr="00DE12A3" w:rsidRDefault="009D331B" w:rsidP="00E20716">
      <w:pPr>
        <w:pStyle w:val="Balk460"/>
        <w:numPr>
          <w:ilvl w:val="0"/>
          <w:numId w:val="466"/>
        </w:numPr>
        <w:shd w:val="clear" w:color="auto" w:fill="auto"/>
        <w:tabs>
          <w:tab w:val="left" w:pos="838"/>
        </w:tabs>
        <w:spacing w:before="120" w:after="120" w:line="240" w:lineRule="auto"/>
        <w:rPr>
          <w:b w:val="0"/>
          <w:sz w:val="24"/>
          <w:szCs w:val="24"/>
        </w:rPr>
      </w:pPr>
      <w:r w:rsidRPr="00DE12A3">
        <w:rPr>
          <w:rStyle w:val="Balk467ptKalnDeil0ptbolukbraklyor"/>
          <w:b/>
          <w:color w:val="auto"/>
          <w:sz w:val="24"/>
          <w:szCs w:val="24"/>
        </w:rPr>
        <w:t xml:space="preserve">      </w:t>
      </w:r>
      <w:r w:rsidR="009745E1" w:rsidRPr="00DE12A3">
        <w:rPr>
          <w:bCs w:val="0"/>
          <w:spacing w:val="3"/>
          <w:sz w:val="24"/>
          <w:szCs w:val="24"/>
        </w:rPr>
        <w:t>Onaysız</w:t>
      </w:r>
      <w:r w:rsidR="009745E1" w:rsidRPr="00DE12A3">
        <w:rPr>
          <w:b w:val="0"/>
          <w:bCs w:val="0"/>
          <w:spacing w:val="3"/>
          <w:sz w:val="24"/>
          <w:szCs w:val="24"/>
        </w:rPr>
        <w:t xml:space="preserve"> </w:t>
      </w:r>
      <w:r w:rsidR="009745E1" w:rsidRPr="00DE12A3">
        <w:rPr>
          <w:bCs w:val="0"/>
          <w:spacing w:val="3"/>
          <w:sz w:val="24"/>
          <w:szCs w:val="24"/>
        </w:rPr>
        <w:t>değişiklikten</w:t>
      </w:r>
      <w:r w:rsidR="00242DA0" w:rsidRPr="00DE12A3">
        <w:rPr>
          <w:bCs w:val="0"/>
          <w:spacing w:val="3"/>
          <w:sz w:val="24"/>
          <w:szCs w:val="24"/>
        </w:rPr>
        <w:t xml:space="preserve"> kaynaklanabilecek diğer arızalar</w:t>
      </w:r>
    </w:p>
    <w:p w14:paraId="0E30CA6E" w14:textId="1E20C38D" w:rsidR="002D7B36" w:rsidRPr="00DE12A3" w:rsidRDefault="009D331B" w:rsidP="00E20716">
      <w:pPr>
        <w:pStyle w:val="Gvdemetni250"/>
        <w:numPr>
          <w:ilvl w:val="0"/>
          <w:numId w:val="44"/>
        </w:numPr>
        <w:shd w:val="clear" w:color="auto" w:fill="auto"/>
        <w:tabs>
          <w:tab w:val="left" w:pos="838"/>
          <w:tab w:val="center" w:pos="3706"/>
          <w:tab w:val="center" w:pos="3927"/>
          <w:tab w:val="left" w:pos="4388"/>
          <w:tab w:val="center" w:pos="4964"/>
          <w:tab w:val="center" w:pos="5238"/>
        </w:tabs>
        <w:spacing w:before="120" w:after="120" w:line="240" w:lineRule="auto"/>
        <w:ind w:left="1134" w:hanging="1134"/>
        <w:rPr>
          <w:sz w:val="24"/>
          <w:szCs w:val="24"/>
        </w:rPr>
      </w:pPr>
      <w:r w:rsidRPr="00DE12A3">
        <w:rPr>
          <w:sz w:val="24"/>
          <w:szCs w:val="24"/>
        </w:rPr>
        <w:t xml:space="preserve">    </w:t>
      </w:r>
      <w:r w:rsidR="00242DA0" w:rsidRPr="00DE12A3">
        <w:rPr>
          <w:sz w:val="24"/>
          <w:szCs w:val="24"/>
        </w:rPr>
        <w:t>Ayıraç tankındaki ayıraç seviyesine, ayıraç kalitesine ve dozajın kesinti</w:t>
      </w:r>
      <w:r w:rsidR="00BF667A" w:rsidRPr="00DE12A3">
        <w:rPr>
          <w:sz w:val="24"/>
          <w:szCs w:val="24"/>
        </w:rPr>
        <w:t>y</w:t>
      </w:r>
      <w:r w:rsidR="00242DA0" w:rsidRPr="00DE12A3">
        <w:rPr>
          <w:sz w:val="24"/>
          <w:szCs w:val="24"/>
        </w:rPr>
        <w:t xml:space="preserve">e uğramasına ek olarak aşağıdaki arızalar </w:t>
      </w:r>
      <w:r w:rsidR="009745E1" w:rsidRPr="00DE12A3">
        <w:rPr>
          <w:sz w:val="24"/>
          <w:szCs w:val="24"/>
        </w:rPr>
        <w:t>onaysız değişiklikten</w:t>
      </w:r>
      <w:r w:rsidR="00242DA0" w:rsidRPr="00DE12A3">
        <w:rPr>
          <w:sz w:val="24"/>
          <w:szCs w:val="24"/>
        </w:rPr>
        <w:t xml:space="preserve"> kaynalanabileceği için izlenmelidir:</w:t>
      </w:r>
    </w:p>
    <w:p w14:paraId="00D2920A" w14:textId="69FAAD0B" w:rsidR="002D7B36" w:rsidRPr="00DE12A3" w:rsidRDefault="002B2CB0" w:rsidP="00E20716">
      <w:pPr>
        <w:pStyle w:val="Gvdemetni250"/>
        <w:numPr>
          <w:ilvl w:val="0"/>
          <w:numId w:val="45"/>
        </w:numPr>
        <w:shd w:val="clear" w:color="auto" w:fill="auto"/>
        <w:tabs>
          <w:tab w:val="left" w:pos="0"/>
          <w:tab w:val="left" w:pos="1418"/>
          <w:tab w:val="left" w:pos="1985"/>
          <w:tab w:val="right" w:pos="5374"/>
          <w:tab w:val="right" w:pos="5640"/>
        </w:tabs>
        <w:spacing w:before="120" w:after="120" w:line="240" w:lineRule="auto"/>
        <w:ind w:left="1701" w:hanging="567"/>
        <w:rPr>
          <w:sz w:val="24"/>
          <w:szCs w:val="24"/>
        </w:rPr>
      </w:pPr>
      <w:r w:rsidRPr="00DE12A3">
        <w:rPr>
          <w:sz w:val="24"/>
          <w:szCs w:val="24"/>
        </w:rPr>
        <w:t xml:space="preserve">    </w:t>
      </w:r>
      <w:r w:rsidR="008E6900" w:rsidRPr="00DE12A3">
        <w:rPr>
          <w:sz w:val="24"/>
          <w:szCs w:val="24"/>
        </w:rPr>
        <w:t xml:space="preserve">  </w:t>
      </w:r>
      <w:r w:rsidRPr="00DE12A3">
        <w:rPr>
          <w:sz w:val="24"/>
          <w:szCs w:val="24"/>
        </w:rPr>
        <w:t xml:space="preserve"> </w:t>
      </w:r>
      <w:r w:rsidR="00242DA0" w:rsidRPr="00DE12A3">
        <w:rPr>
          <w:sz w:val="24"/>
          <w:szCs w:val="24"/>
        </w:rPr>
        <w:t>9.2.1. bendinde açıklanan NOx Kontrol Teşhis (NCD) sistemi arızaları</w:t>
      </w:r>
      <w:r w:rsidR="00BF667A" w:rsidRPr="00DE12A3">
        <w:rPr>
          <w:sz w:val="24"/>
          <w:szCs w:val="24"/>
        </w:rPr>
        <w:t>.</w:t>
      </w:r>
    </w:p>
    <w:p w14:paraId="29394654" w14:textId="77777777" w:rsidR="002D7B36" w:rsidRPr="00DE12A3" w:rsidRDefault="00242DA0" w:rsidP="00E20716">
      <w:pPr>
        <w:pStyle w:val="Gvdemetni250"/>
        <w:numPr>
          <w:ilvl w:val="0"/>
          <w:numId w:val="45"/>
        </w:numPr>
        <w:shd w:val="clear" w:color="auto" w:fill="auto"/>
        <w:tabs>
          <w:tab w:val="left" w:pos="0"/>
          <w:tab w:val="left" w:pos="1418"/>
          <w:tab w:val="left" w:pos="1985"/>
          <w:tab w:val="left" w:pos="4380"/>
          <w:tab w:val="right" w:pos="5640"/>
        </w:tabs>
        <w:spacing w:before="120" w:after="120" w:line="240" w:lineRule="auto"/>
        <w:ind w:left="1701" w:hanging="567"/>
        <w:rPr>
          <w:sz w:val="24"/>
          <w:szCs w:val="24"/>
        </w:rPr>
      </w:pPr>
      <w:r w:rsidRPr="00DE12A3">
        <w:rPr>
          <w:sz w:val="24"/>
          <w:szCs w:val="24"/>
        </w:rPr>
        <w:t>9.2.2 bendinde açıklanan egzoz gazı devridaim (EGR) valfi arızaları.</w:t>
      </w:r>
    </w:p>
    <w:p w14:paraId="154BBCF1" w14:textId="77777777" w:rsidR="002D7B36" w:rsidRPr="00DE12A3" w:rsidRDefault="008E6900" w:rsidP="00E20716">
      <w:pPr>
        <w:pStyle w:val="Gvdemetni250"/>
        <w:numPr>
          <w:ilvl w:val="0"/>
          <w:numId w:val="44"/>
        </w:numPr>
        <w:shd w:val="clear" w:color="auto" w:fill="auto"/>
        <w:tabs>
          <w:tab w:val="left" w:pos="838"/>
          <w:tab w:val="left" w:pos="2943"/>
        </w:tabs>
        <w:spacing w:before="120" w:after="120" w:line="240" w:lineRule="auto"/>
        <w:ind w:left="1134" w:hanging="1134"/>
        <w:rPr>
          <w:sz w:val="24"/>
          <w:szCs w:val="24"/>
        </w:rPr>
      </w:pPr>
      <w:r w:rsidRPr="00DE12A3">
        <w:rPr>
          <w:sz w:val="24"/>
          <w:szCs w:val="24"/>
        </w:rPr>
        <w:t xml:space="preserve">     </w:t>
      </w:r>
      <w:r w:rsidR="00242DA0" w:rsidRPr="00DE12A3">
        <w:rPr>
          <w:sz w:val="24"/>
          <w:szCs w:val="24"/>
        </w:rPr>
        <w:t xml:space="preserve">İzleme </w:t>
      </w:r>
      <w:r w:rsidR="0053289F" w:rsidRPr="00DE12A3">
        <w:rPr>
          <w:sz w:val="24"/>
          <w:szCs w:val="24"/>
        </w:rPr>
        <w:t>gereklilikleri</w:t>
      </w:r>
      <w:r w:rsidR="00242DA0" w:rsidRPr="00DE12A3">
        <w:rPr>
          <w:sz w:val="24"/>
          <w:szCs w:val="24"/>
        </w:rPr>
        <w:t xml:space="preserve"> ve sayaçlar</w:t>
      </w:r>
    </w:p>
    <w:p w14:paraId="159C1FEA" w14:textId="77777777" w:rsidR="002D7B36" w:rsidRPr="00DE12A3" w:rsidRDefault="008E6900" w:rsidP="00E20716">
      <w:pPr>
        <w:pStyle w:val="Gvdemetni250"/>
        <w:numPr>
          <w:ilvl w:val="0"/>
          <w:numId w:val="46"/>
        </w:numPr>
        <w:shd w:val="clear" w:color="auto" w:fill="auto"/>
        <w:tabs>
          <w:tab w:val="left" w:pos="838"/>
        </w:tabs>
        <w:spacing w:before="120" w:after="120" w:line="240" w:lineRule="auto"/>
        <w:ind w:left="1134" w:hanging="1134"/>
        <w:rPr>
          <w:sz w:val="24"/>
          <w:szCs w:val="24"/>
        </w:rPr>
      </w:pPr>
      <w:r w:rsidRPr="00DE12A3">
        <w:rPr>
          <w:sz w:val="24"/>
          <w:szCs w:val="24"/>
        </w:rPr>
        <w:t xml:space="preserve">     </w:t>
      </w:r>
      <w:r w:rsidR="00242DA0" w:rsidRPr="00DE12A3">
        <w:rPr>
          <w:sz w:val="24"/>
          <w:szCs w:val="24"/>
        </w:rPr>
        <w:t>NCD sistemi</w:t>
      </w:r>
    </w:p>
    <w:p w14:paraId="2181123D" w14:textId="65522DF7" w:rsidR="002D7B36" w:rsidRPr="00DE12A3" w:rsidRDefault="00242DA0" w:rsidP="00E20716">
      <w:pPr>
        <w:pStyle w:val="Gvdemetni250"/>
        <w:numPr>
          <w:ilvl w:val="3"/>
          <w:numId w:val="47"/>
        </w:numPr>
        <w:shd w:val="clear" w:color="auto" w:fill="auto"/>
        <w:spacing w:before="120" w:after="120" w:line="240" w:lineRule="auto"/>
        <w:ind w:left="1134" w:hanging="1134"/>
        <w:rPr>
          <w:sz w:val="24"/>
          <w:szCs w:val="24"/>
        </w:rPr>
      </w:pPr>
      <w:r w:rsidRPr="00DE12A3">
        <w:rPr>
          <w:sz w:val="24"/>
          <w:szCs w:val="24"/>
        </w:rPr>
        <w:t>NOx Kontrol Teşhis (NCD) sistemi, elektrik arızaları ve 6</w:t>
      </w:r>
      <w:r w:rsidR="00BF667A" w:rsidRPr="00DE12A3">
        <w:rPr>
          <w:sz w:val="24"/>
          <w:szCs w:val="24"/>
        </w:rPr>
        <w:t>.</w:t>
      </w:r>
      <w:r w:rsidRPr="00DE12A3">
        <w:rPr>
          <w:sz w:val="24"/>
          <w:szCs w:val="24"/>
        </w:rPr>
        <w:t xml:space="preserve"> ila 8. </w:t>
      </w:r>
      <w:r w:rsidR="00721C89" w:rsidRPr="00DE12A3">
        <w:rPr>
          <w:sz w:val="24"/>
          <w:szCs w:val="24"/>
        </w:rPr>
        <w:t>Bölüm</w:t>
      </w:r>
      <w:r w:rsidRPr="00DE12A3">
        <w:rPr>
          <w:sz w:val="24"/>
          <w:szCs w:val="24"/>
        </w:rPr>
        <w:t>lerde (bileşen izleme) belirtilen diğer arızaları teşhis etmesini önleyen herhangi bir sensörün sökülmesi veya devreden çıkarılması için izlenmelidir.</w:t>
      </w:r>
    </w:p>
    <w:p w14:paraId="6FA56F28" w14:textId="77777777" w:rsidR="002D7B36" w:rsidRPr="00DE12A3" w:rsidRDefault="008E6900" w:rsidP="00C917D6">
      <w:pPr>
        <w:pStyle w:val="Gvdemetni250"/>
        <w:shd w:val="clear" w:color="auto" w:fill="auto"/>
        <w:spacing w:before="120" w:after="120" w:line="240" w:lineRule="auto"/>
        <w:ind w:left="1134" w:hanging="1134"/>
        <w:rPr>
          <w:sz w:val="24"/>
          <w:szCs w:val="24"/>
        </w:rPr>
      </w:pPr>
      <w:r w:rsidRPr="00DE12A3">
        <w:rPr>
          <w:sz w:val="24"/>
          <w:szCs w:val="24"/>
        </w:rPr>
        <w:t xml:space="preserve">                  </w:t>
      </w:r>
      <w:r w:rsidR="00242DA0" w:rsidRPr="00DE12A3">
        <w:rPr>
          <w:sz w:val="24"/>
          <w:szCs w:val="24"/>
        </w:rPr>
        <w:t>Teşhis kabiliyetini etkileyen sensörlerin bunlarla sınırlı olmayan bir listesi; doğrudan NOx konsantrasyonunu ölçen sensörler, üre kalite sensörleri, ortam sensörleri ve ayıraç dozaj faaliyetini, ayıraç seviyesini veya ayıraç tüketimini izlemek için kullanılan sensörlerdir.</w:t>
      </w:r>
    </w:p>
    <w:p w14:paraId="38A6548B" w14:textId="77777777" w:rsidR="002D7B36" w:rsidRPr="00DE12A3" w:rsidRDefault="008E6900" w:rsidP="00E20716">
      <w:pPr>
        <w:pStyle w:val="Gvdemetni250"/>
        <w:numPr>
          <w:ilvl w:val="3"/>
          <w:numId w:val="48"/>
        </w:numPr>
        <w:shd w:val="clear" w:color="auto" w:fill="auto"/>
        <w:tabs>
          <w:tab w:val="left" w:pos="838"/>
        </w:tabs>
        <w:spacing w:before="120" w:after="120" w:line="240" w:lineRule="auto"/>
        <w:ind w:left="1134" w:hanging="1134"/>
        <w:rPr>
          <w:sz w:val="24"/>
          <w:szCs w:val="24"/>
        </w:rPr>
      </w:pPr>
      <w:r w:rsidRPr="00DE12A3">
        <w:rPr>
          <w:sz w:val="24"/>
          <w:szCs w:val="24"/>
        </w:rPr>
        <w:t xml:space="preserve">     </w:t>
      </w:r>
      <w:r w:rsidR="00242DA0" w:rsidRPr="00DE12A3">
        <w:rPr>
          <w:sz w:val="24"/>
          <w:szCs w:val="24"/>
        </w:rPr>
        <w:t xml:space="preserve">İzleme arızalarının her birine bir sayaç ayrılmalıdır. NCD sisteminin bir arızasıyla bağlantılı DTC'nin devrede olduğu doğrulandığında, NCD sistemi </w:t>
      </w:r>
      <w:r w:rsidR="00242DA0" w:rsidRPr="00DE12A3">
        <w:rPr>
          <w:sz w:val="24"/>
          <w:szCs w:val="24"/>
        </w:rPr>
        <w:lastRenderedPageBreak/>
        <w:t>sayaçları motor çalışma saatlerini saymalıdır. Farklı NCD sistemi arızaları tek bir sayaçta gruplandırılabilir.</w:t>
      </w:r>
    </w:p>
    <w:p w14:paraId="6006363B" w14:textId="444A1263" w:rsidR="002D7B36" w:rsidRPr="00DE12A3" w:rsidRDefault="008E6900" w:rsidP="00E20716">
      <w:pPr>
        <w:pStyle w:val="Gvdemetni250"/>
        <w:numPr>
          <w:ilvl w:val="4"/>
          <w:numId w:val="49"/>
        </w:numPr>
        <w:shd w:val="clear" w:color="auto" w:fill="auto"/>
        <w:tabs>
          <w:tab w:val="left" w:pos="838"/>
          <w:tab w:val="left" w:pos="993"/>
        </w:tabs>
        <w:spacing w:before="120" w:after="120" w:line="240" w:lineRule="auto"/>
        <w:ind w:left="1134" w:hanging="1134"/>
        <w:rPr>
          <w:sz w:val="24"/>
          <w:szCs w:val="24"/>
        </w:rPr>
      </w:pPr>
      <w:r w:rsidRPr="00DE12A3">
        <w:rPr>
          <w:sz w:val="24"/>
          <w:szCs w:val="24"/>
        </w:rPr>
        <w:t xml:space="preserve">   </w:t>
      </w:r>
      <w:r w:rsidR="00242DA0" w:rsidRPr="00DE12A3">
        <w:rPr>
          <w:sz w:val="24"/>
          <w:szCs w:val="24"/>
        </w:rPr>
        <w:t xml:space="preserve">İmalatçı, NCD sistem arızasını, 7. ve 8. </w:t>
      </w:r>
      <w:r w:rsidR="00721C89" w:rsidRPr="00DE12A3">
        <w:rPr>
          <w:sz w:val="24"/>
          <w:szCs w:val="24"/>
        </w:rPr>
        <w:t>Bölüm</w:t>
      </w:r>
      <w:r w:rsidR="00242DA0" w:rsidRPr="00DE12A3">
        <w:rPr>
          <w:sz w:val="24"/>
          <w:szCs w:val="24"/>
        </w:rPr>
        <w:t>lerde ve 9.2.2 bendinde listelenen sistemlerden biri veya birkaçı ile birlikte tek bir sayaçta gruplandırabilir.</w:t>
      </w:r>
    </w:p>
    <w:p w14:paraId="695B5830" w14:textId="4936A192" w:rsidR="002D7B36" w:rsidRPr="00DE12A3" w:rsidRDefault="008E6900" w:rsidP="00E20716">
      <w:pPr>
        <w:pStyle w:val="Gvdemetni250"/>
        <w:numPr>
          <w:ilvl w:val="3"/>
          <w:numId w:val="49"/>
        </w:numPr>
        <w:shd w:val="clear" w:color="auto" w:fill="auto"/>
        <w:tabs>
          <w:tab w:val="left" w:pos="838"/>
        </w:tabs>
        <w:spacing w:before="120" w:after="120" w:line="240" w:lineRule="auto"/>
        <w:ind w:left="1134" w:hanging="1134"/>
        <w:rPr>
          <w:sz w:val="24"/>
          <w:szCs w:val="24"/>
        </w:rPr>
      </w:pPr>
      <w:r w:rsidRPr="00DE12A3">
        <w:rPr>
          <w:sz w:val="24"/>
          <w:szCs w:val="24"/>
        </w:rPr>
        <w:t xml:space="preserve">     </w:t>
      </w:r>
      <w:r w:rsidR="00242DA0" w:rsidRPr="00DE12A3">
        <w:rPr>
          <w:sz w:val="24"/>
          <w:szCs w:val="24"/>
        </w:rPr>
        <w:t xml:space="preserve">NCD sistemi sayaçlarının devreye girmesine ve devreden çıkmasına ilişkin kriterlere ve mekanizmalara dair ayrıntılar 11. </w:t>
      </w:r>
      <w:r w:rsidR="00721C89" w:rsidRPr="00DE12A3">
        <w:rPr>
          <w:sz w:val="24"/>
          <w:szCs w:val="24"/>
        </w:rPr>
        <w:t>Bölüm</w:t>
      </w:r>
      <w:r w:rsidR="00242DA0" w:rsidRPr="00DE12A3">
        <w:rPr>
          <w:sz w:val="24"/>
          <w:szCs w:val="24"/>
        </w:rPr>
        <w:t>de açıklanmıştır.</w:t>
      </w:r>
    </w:p>
    <w:p w14:paraId="705312B6" w14:textId="77777777" w:rsidR="002D7B36" w:rsidRPr="00DE12A3" w:rsidRDefault="008E6900" w:rsidP="00E20716">
      <w:pPr>
        <w:pStyle w:val="Gvdemetni250"/>
        <w:numPr>
          <w:ilvl w:val="0"/>
          <w:numId w:val="46"/>
        </w:numPr>
        <w:shd w:val="clear" w:color="auto" w:fill="auto"/>
        <w:tabs>
          <w:tab w:val="left" w:pos="838"/>
          <w:tab w:val="left" w:pos="870"/>
        </w:tabs>
        <w:spacing w:before="120" w:after="120" w:line="240" w:lineRule="auto"/>
        <w:ind w:left="1134" w:hanging="1134"/>
        <w:rPr>
          <w:sz w:val="24"/>
          <w:szCs w:val="24"/>
        </w:rPr>
      </w:pPr>
      <w:r w:rsidRPr="00DE12A3">
        <w:rPr>
          <w:sz w:val="24"/>
          <w:szCs w:val="24"/>
        </w:rPr>
        <w:t xml:space="preserve">     </w:t>
      </w:r>
      <w:r w:rsidR="00242DA0" w:rsidRPr="00DE12A3">
        <w:rPr>
          <w:sz w:val="24"/>
          <w:szCs w:val="24"/>
        </w:rPr>
        <w:t>Engellenmiş EGR valfı</w:t>
      </w:r>
    </w:p>
    <w:p w14:paraId="3E01B1D3" w14:textId="77777777" w:rsidR="002D7B36" w:rsidRPr="00DE12A3" w:rsidRDefault="008E6900" w:rsidP="00E20716">
      <w:pPr>
        <w:pStyle w:val="Gvdemetni250"/>
        <w:numPr>
          <w:ilvl w:val="0"/>
          <w:numId w:val="50"/>
        </w:numPr>
        <w:shd w:val="clear" w:color="auto" w:fill="auto"/>
        <w:tabs>
          <w:tab w:val="left" w:pos="838"/>
        </w:tabs>
        <w:spacing w:before="120" w:after="120" w:line="240" w:lineRule="auto"/>
        <w:ind w:left="1134" w:hanging="1134"/>
        <w:rPr>
          <w:sz w:val="24"/>
          <w:szCs w:val="24"/>
        </w:rPr>
      </w:pPr>
      <w:r w:rsidRPr="00DE12A3">
        <w:rPr>
          <w:sz w:val="24"/>
          <w:szCs w:val="24"/>
        </w:rPr>
        <w:t xml:space="preserve">     </w:t>
      </w:r>
      <w:r w:rsidR="00242DA0" w:rsidRPr="00DE12A3">
        <w:rPr>
          <w:sz w:val="24"/>
          <w:szCs w:val="24"/>
        </w:rPr>
        <w:t>Egzoz gazı devridaim (EGR) sistemi engellenmiş bir EGR valfı için izlenmelidir.</w:t>
      </w:r>
    </w:p>
    <w:p w14:paraId="620FC018" w14:textId="77777777" w:rsidR="002D7B36" w:rsidRPr="00DE12A3" w:rsidRDefault="008E6900" w:rsidP="00E20716">
      <w:pPr>
        <w:pStyle w:val="Gvdemetni250"/>
        <w:numPr>
          <w:ilvl w:val="0"/>
          <w:numId w:val="50"/>
        </w:numPr>
        <w:shd w:val="clear" w:color="auto" w:fill="auto"/>
        <w:tabs>
          <w:tab w:val="left" w:pos="836"/>
        </w:tabs>
        <w:spacing w:before="120" w:after="120" w:line="240" w:lineRule="auto"/>
        <w:ind w:left="1134" w:hanging="1134"/>
        <w:rPr>
          <w:sz w:val="24"/>
          <w:szCs w:val="24"/>
        </w:rPr>
      </w:pPr>
      <w:r w:rsidRPr="00DE12A3">
        <w:rPr>
          <w:sz w:val="24"/>
          <w:szCs w:val="24"/>
        </w:rPr>
        <w:t xml:space="preserve">      </w:t>
      </w:r>
      <w:r w:rsidR="00242DA0" w:rsidRPr="00DE12A3">
        <w:rPr>
          <w:sz w:val="24"/>
          <w:szCs w:val="24"/>
        </w:rPr>
        <w:t>Engellenmiş bir EGR valfına bir sayaç ayrılmalıdır. Engellenmiş bir EGR valfı ile bağlantılı DTC'nin devrede olduğu doğrulandığında, EGR valfı sayacı motor çalışma saatlerini saymalıdır.</w:t>
      </w:r>
    </w:p>
    <w:p w14:paraId="11494DC3" w14:textId="0FE150A0" w:rsidR="002D7B36" w:rsidRPr="00DE12A3" w:rsidRDefault="00242DA0" w:rsidP="00E20716">
      <w:pPr>
        <w:pStyle w:val="Gvdemetni250"/>
        <w:numPr>
          <w:ilvl w:val="0"/>
          <w:numId w:val="51"/>
        </w:numPr>
        <w:shd w:val="clear" w:color="auto" w:fill="auto"/>
        <w:tabs>
          <w:tab w:val="left" w:pos="836"/>
        </w:tabs>
        <w:spacing w:before="120" w:after="120" w:line="240" w:lineRule="auto"/>
        <w:ind w:left="1134" w:hanging="1134"/>
        <w:rPr>
          <w:sz w:val="24"/>
          <w:szCs w:val="24"/>
        </w:rPr>
      </w:pPr>
      <w:r w:rsidRPr="00DE12A3">
        <w:rPr>
          <w:sz w:val="24"/>
          <w:szCs w:val="24"/>
        </w:rPr>
        <w:t xml:space="preserve">İmalatçı, EGR valfı arızasını, 7. ve 8. </w:t>
      </w:r>
      <w:r w:rsidR="00721C89" w:rsidRPr="00DE12A3">
        <w:rPr>
          <w:sz w:val="24"/>
          <w:szCs w:val="24"/>
        </w:rPr>
        <w:t>Bölüm</w:t>
      </w:r>
      <w:r w:rsidRPr="00DE12A3">
        <w:rPr>
          <w:sz w:val="24"/>
          <w:szCs w:val="24"/>
        </w:rPr>
        <w:t>lerde ve 9.2.1 bendinde listelenen sistemlerden biri veya birkaçı ile birlikte tek bir sayaçta gruplandırabilir.</w:t>
      </w:r>
    </w:p>
    <w:p w14:paraId="4438DAAD" w14:textId="6C4A0A04" w:rsidR="002D7B36" w:rsidRPr="00DE12A3" w:rsidRDefault="008E6900" w:rsidP="00E20716">
      <w:pPr>
        <w:pStyle w:val="Gvdemetni250"/>
        <w:numPr>
          <w:ilvl w:val="0"/>
          <w:numId w:val="50"/>
        </w:numPr>
        <w:shd w:val="clear" w:color="auto" w:fill="auto"/>
        <w:tabs>
          <w:tab w:val="left" w:pos="836"/>
        </w:tabs>
        <w:spacing w:before="120" w:after="120" w:line="240" w:lineRule="auto"/>
        <w:ind w:left="1134" w:hanging="1134"/>
        <w:rPr>
          <w:sz w:val="24"/>
          <w:szCs w:val="24"/>
        </w:rPr>
      </w:pPr>
      <w:r w:rsidRPr="00DE12A3">
        <w:rPr>
          <w:sz w:val="24"/>
          <w:szCs w:val="24"/>
        </w:rPr>
        <w:t xml:space="preserve">     </w:t>
      </w:r>
      <w:r w:rsidR="00242DA0" w:rsidRPr="00DE12A3">
        <w:rPr>
          <w:sz w:val="24"/>
          <w:szCs w:val="24"/>
        </w:rPr>
        <w:t xml:space="preserve">EGR valfı sayacının devreye girmesine ve devreden çıkmasına ilişkin kriterlere ve mekanizmalara dair ayrıntılar 11. </w:t>
      </w:r>
      <w:r w:rsidR="00721C89" w:rsidRPr="00DE12A3">
        <w:rPr>
          <w:sz w:val="24"/>
          <w:szCs w:val="24"/>
        </w:rPr>
        <w:t>Bölüm</w:t>
      </w:r>
      <w:r w:rsidR="00242DA0" w:rsidRPr="00DE12A3">
        <w:rPr>
          <w:sz w:val="24"/>
          <w:szCs w:val="24"/>
        </w:rPr>
        <w:t>de açıklanmıştır.</w:t>
      </w:r>
    </w:p>
    <w:p w14:paraId="5429F876" w14:textId="77777777" w:rsidR="002D7B36" w:rsidRPr="00DE12A3" w:rsidRDefault="008E6900" w:rsidP="00E20716">
      <w:pPr>
        <w:pStyle w:val="Gvdemetni250"/>
        <w:numPr>
          <w:ilvl w:val="0"/>
          <w:numId w:val="44"/>
        </w:numPr>
        <w:shd w:val="clear" w:color="auto" w:fill="auto"/>
        <w:tabs>
          <w:tab w:val="left" w:pos="836"/>
        </w:tabs>
        <w:spacing w:before="120" w:after="120" w:line="240" w:lineRule="auto"/>
        <w:ind w:left="1134" w:hanging="1134"/>
        <w:rPr>
          <w:sz w:val="24"/>
          <w:szCs w:val="24"/>
        </w:rPr>
      </w:pPr>
      <w:r w:rsidRPr="00DE12A3">
        <w:rPr>
          <w:sz w:val="24"/>
          <w:szCs w:val="24"/>
        </w:rPr>
        <w:t xml:space="preserve">     </w:t>
      </w:r>
      <w:r w:rsidR="00242DA0" w:rsidRPr="00DE12A3">
        <w:rPr>
          <w:sz w:val="24"/>
          <w:szCs w:val="24"/>
        </w:rPr>
        <w:t>Operatör uyarı sisteminin devreye girmesi</w:t>
      </w:r>
    </w:p>
    <w:p w14:paraId="692DA9FF" w14:textId="16F1E8FE" w:rsidR="002D7B36" w:rsidRPr="00DE12A3" w:rsidRDefault="008E6900" w:rsidP="00C917D6">
      <w:pPr>
        <w:pStyle w:val="Gvdemetni250"/>
        <w:shd w:val="clear" w:color="auto" w:fill="auto"/>
        <w:spacing w:before="120" w:after="120" w:line="240" w:lineRule="auto"/>
        <w:ind w:left="1134" w:hanging="1134"/>
        <w:rPr>
          <w:sz w:val="24"/>
          <w:szCs w:val="24"/>
        </w:rPr>
      </w:pPr>
      <w:r w:rsidRPr="00DE12A3">
        <w:rPr>
          <w:sz w:val="24"/>
          <w:szCs w:val="24"/>
        </w:rPr>
        <w:t xml:space="preserve">                   </w:t>
      </w:r>
      <w:r w:rsidR="00242DA0" w:rsidRPr="00DE12A3">
        <w:rPr>
          <w:sz w:val="24"/>
          <w:szCs w:val="24"/>
        </w:rPr>
        <w:t xml:space="preserve">9.1 </w:t>
      </w:r>
      <w:r w:rsidRPr="00DE12A3">
        <w:rPr>
          <w:sz w:val="24"/>
          <w:szCs w:val="24"/>
        </w:rPr>
        <w:t>b</w:t>
      </w:r>
      <w:r w:rsidR="00242DA0" w:rsidRPr="00DE12A3">
        <w:rPr>
          <w:sz w:val="24"/>
          <w:szCs w:val="24"/>
        </w:rPr>
        <w:t xml:space="preserve">endinde belirtilen arızalardan herhangi birinin oluşması durumunda, 4. </w:t>
      </w:r>
      <w:r w:rsidR="00721C89" w:rsidRPr="00DE12A3">
        <w:rPr>
          <w:sz w:val="24"/>
          <w:szCs w:val="24"/>
        </w:rPr>
        <w:t>Bölüm</w:t>
      </w:r>
      <w:r w:rsidR="00242DA0" w:rsidRPr="00DE12A3">
        <w:rPr>
          <w:sz w:val="24"/>
          <w:szCs w:val="24"/>
        </w:rPr>
        <w:t>de belirtilen kullanıcı uyarı sistemi devreye girmeli ve acil onarım gerektiğini belirtmelidir. Uyarı sisteminde bir mesaj görüntüleme sistemi olduğunda, uyarının nedenini belirten bir mesaj göstermelidir (örneğin, "ayıraç dozaj valfı bağlantısı kesik" veya "kritik emisyon arızası").</w:t>
      </w:r>
    </w:p>
    <w:p w14:paraId="17DF8164" w14:textId="77777777" w:rsidR="002D7B36" w:rsidRPr="00DE12A3" w:rsidRDefault="008E6900" w:rsidP="00E20716">
      <w:pPr>
        <w:pStyle w:val="Gvdemetni250"/>
        <w:numPr>
          <w:ilvl w:val="0"/>
          <w:numId w:val="44"/>
        </w:numPr>
        <w:shd w:val="clear" w:color="auto" w:fill="auto"/>
        <w:tabs>
          <w:tab w:val="left" w:pos="836"/>
        </w:tabs>
        <w:spacing w:before="120" w:after="120" w:line="240" w:lineRule="auto"/>
        <w:ind w:left="1134" w:hanging="1134"/>
        <w:rPr>
          <w:sz w:val="24"/>
          <w:szCs w:val="24"/>
        </w:rPr>
      </w:pPr>
      <w:r w:rsidRPr="00DE12A3">
        <w:rPr>
          <w:sz w:val="24"/>
          <w:szCs w:val="24"/>
        </w:rPr>
        <w:t xml:space="preserve">      </w:t>
      </w:r>
      <w:r w:rsidR="00242DA0" w:rsidRPr="00DE12A3">
        <w:rPr>
          <w:sz w:val="24"/>
          <w:szCs w:val="24"/>
        </w:rPr>
        <w:t>Operatör ikna sisteminin devreye girmesi</w:t>
      </w:r>
    </w:p>
    <w:p w14:paraId="7473A66D" w14:textId="77777777" w:rsidR="002D7B36" w:rsidRPr="00DE12A3" w:rsidRDefault="008E6900" w:rsidP="00E20716">
      <w:pPr>
        <w:pStyle w:val="Gvdemetni250"/>
        <w:numPr>
          <w:ilvl w:val="0"/>
          <w:numId w:val="52"/>
        </w:numPr>
        <w:shd w:val="clear" w:color="auto" w:fill="auto"/>
        <w:tabs>
          <w:tab w:val="left" w:pos="836"/>
        </w:tabs>
        <w:spacing w:before="120" w:after="120" w:line="240" w:lineRule="auto"/>
        <w:ind w:left="1134" w:hanging="1134"/>
        <w:rPr>
          <w:sz w:val="24"/>
          <w:szCs w:val="24"/>
        </w:rPr>
      </w:pPr>
      <w:r w:rsidRPr="00DE12A3">
        <w:rPr>
          <w:sz w:val="24"/>
          <w:szCs w:val="24"/>
        </w:rPr>
        <w:t xml:space="preserve">      </w:t>
      </w:r>
      <w:r w:rsidR="00242DA0" w:rsidRPr="00DE12A3">
        <w:rPr>
          <w:sz w:val="24"/>
          <w:szCs w:val="24"/>
        </w:rPr>
        <w:t>9.1 bendinde belirtilen bir arıza, 9.3 bendinde belirtilen kullanıcı uyarı sisteminin devreye girmesinden sonra en fazla 36 motor çalışma saati içerisinde giderilmezse, 5.3 bendinde açıklanan düşük seviye ikna sistemi devreye girmelidir.</w:t>
      </w:r>
    </w:p>
    <w:p w14:paraId="13C4A048" w14:textId="77777777" w:rsidR="002D7B36" w:rsidRPr="00DE12A3" w:rsidRDefault="008E6900" w:rsidP="00E20716">
      <w:pPr>
        <w:pStyle w:val="Gvdemetni250"/>
        <w:numPr>
          <w:ilvl w:val="0"/>
          <w:numId w:val="52"/>
        </w:numPr>
        <w:shd w:val="clear" w:color="auto" w:fill="auto"/>
        <w:tabs>
          <w:tab w:val="left" w:pos="836"/>
        </w:tabs>
        <w:spacing w:before="120" w:after="120" w:line="240" w:lineRule="auto"/>
        <w:ind w:left="1134" w:hanging="1134"/>
        <w:rPr>
          <w:sz w:val="24"/>
          <w:szCs w:val="24"/>
        </w:rPr>
      </w:pPr>
      <w:r w:rsidRPr="00DE12A3">
        <w:rPr>
          <w:sz w:val="24"/>
          <w:szCs w:val="24"/>
        </w:rPr>
        <w:t xml:space="preserve">      </w:t>
      </w:r>
      <w:r w:rsidR="00242DA0" w:rsidRPr="00DE12A3">
        <w:rPr>
          <w:sz w:val="24"/>
          <w:szCs w:val="24"/>
        </w:rPr>
        <w:t>9.1 bendinde belirtilen bir arıza, 9.3 bendinde belirtilen kullanıcı uyarı sisteminin devreye girmesinden sonra en fazla 100 motor çalışma saati içerisinde giderilmezse, 5.4 bendinde açıklanan ağır seviye ikna sistemi devreye girmelidir.</w:t>
      </w:r>
    </w:p>
    <w:p w14:paraId="7945A738" w14:textId="3D896AF8" w:rsidR="002D7B36" w:rsidRPr="00DE12A3" w:rsidRDefault="008E6900" w:rsidP="00E20716">
      <w:pPr>
        <w:pStyle w:val="Gvdemetni250"/>
        <w:numPr>
          <w:ilvl w:val="0"/>
          <w:numId w:val="52"/>
        </w:numPr>
        <w:shd w:val="clear" w:color="auto" w:fill="auto"/>
        <w:tabs>
          <w:tab w:val="left" w:pos="836"/>
        </w:tabs>
        <w:spacing w:before="120" w:after="120" w:line="240" w:lineRule="auto"/>
        <w:ind w:left="1134" w:hanging="1134"/>
        <w:rPr>
          <w:sz w:val="24"/>
          <w:szCs w:val="24"/>
        </w:rPr>
      </w:pPr>
      <w:r w:rsidRPr="00DE12A3">
        <w:rPr>
          <w:sz w:val="24"/>
          <w:szCs w:val="24"/>
        </w:rPr>
        <w:t xml:space="preserve">     </w:t>
      </w:r>
      <w:r w:rsidR="00242DA0" w:rsidRPr="00DE12A3">
        <w:rPr>
          <w:sz w:val="24"/>
          <w:szCs w:val="24"/>
        </w:rPr>
        <w:t xml:space="preserve">11. </w:t>
      </w:r>
      <w:r w:rsidR="00721C89" w:rsidRPr="00DE12A3">
        <w:rPr>
          <w:sz w:val="24"/>
          <w:szCs w:val="24"/>
        </w:rPr>
        <w:t>Bölüm</w:t>
      </w:r>
      <w:r w:rsidR="00242DA0" w:rsidRPr="00DE12A3">
        <w:rPr>
          <w:sz w:val="24"/>
          <w:szCs w:val="24"/>
        </w:rPr>
        <w:t>de açıklanan mekanizmaya göre arızanın tekrarlanması durumunda, ikna sistemleri devreye girmeden önceki saat sayısı azaltılmalıdır.</w:t>
      </w:r>
    </w:p>
    <w:p w14:paraId="002D10F9" w14:textId="77777777" w:rsidR="002D7B36" w:rsidRPr="00DE12A3" w:rsidRDefault="008E6900" w:rsidP="00E20716">
      <w:pPr>
        <w:pStyle w:val="Gvdemetni250"/>
        <w:numPr>
          <w:ilvl w:val="0"/>
          <w:numId w:val="44"/>
        </w:numPr>
        <w:shd w:val="clear" w:color="auto" w:fill="auto"/>
        <w:tabs>
          <w:tab w:val="left" w:pos="836"/>
        </w:tabs>
        <w:spacing w:before="120" w:after="120" w:line="240" w:lineRule="auto"/>
        <w:ind w:left="1134" w:hanging="1134"/>
        <w:rPr>
          <w:sz w:val="24"/>
          <w:szCs w:val="24"/>
        </w:rPr>
      </w:pPr>
      <w:r w:rsidRPr="00DE12A3">
        <w:rPr>
          <w:sz w:val="24"/>
          <w:szCs w:val="24"/>
        </w:rPr>
        <w:t xml:space="preserve">     </w:t>
      </w:r>
      <w:r w:rsidR="00242DA0" w:rsidRPr="00DE12A3">
        <w:rPr>
          <w:sz w:val="24"/>
          <w:szCs w:val="24"/>
        </w:rPr>
        <w:t xml:space="preserve">9.2 bendinde belirtilen izleme </w:t>
      </w:r>
      <w:r w:rsidR="0053289F" w:rsidRPr="00DE12A3">
        <w:rPr>
          <w:sz w:val="24"/>
          <w:szCs w:val="24"/>
        </w:rPr>
        <w:t>gerekliliklerine</w:t>
      </w:r>
      <w:r w:rsidR="00242DA0" w:rsidRPr="00DE12A3">
        <w:rPr>
          <w:sz w:val="24"/>
          <w:szCs w:val="24"/>
        </w:rPr>
        <w:t xml:space="preserve"> alternatif olarak, imalatçı egzoz sistemine yerleştirilmiş bir NOxsensörü kullanarak arızaları izleyebilir.</w:t>
      </w:r>
    </w:p>
    <w:p w14:paraId="5BF0DD39" w14:textId="77777777" w:rsidR="002D7B36" w:rsidRPr="00DE12A3" w:rsidRDefault="008E6900" w:rsidP="00E20716">
      <w:pPr>
        <w:pStyle w:val="Gvdemetni250"/>
        <w:numPr>
          <w:ilvl w:val="0"/>
          <w:numId w:val="53"/>
        </w:numPr>
        <w:shd w:val="clear" w:color="auto" w:fill="auto"/>
        <w:spacing w:before="120" w:after="120" w:line="240" w:lineRule="auto"/>
        <w:ind w:left="1701" w:hanging="567"/>
        <w:rPr>
          <w:sz w:val="24"/>
          <w:szCs w:val="24"/>
        </w:rPr>
      </w:pPr>
      <w:r w:rsidRPr="00DE12A3">
        <w:rPr>
          <w:sz w:val="24"/>
          <w:szCs w:val="24"/>
        </w:rPr>
        <w:t xml:space="preserve">     </w:t>
      </w:r>
      <w:r w:rsidR="00242DA0" w:rsidRPr="00DE12A3">
        <w:rPr>
          <w:sz w:val="24"/>
          <w:szCs w:val="24"/>
        </w:rPr>
        <w:t>Birleşik bir HC ve NOx sınırı olan motor alt kategorileri için, bu bendin amacı doğrultusunda geçerli NOx sınır değeri, HC ve NOx için birleşik limit değeri eksi 0,19 g/kWh olmalıdır.</w:t>
      </w:r>
    </w:p>
    <w:p w14:paraId="4263B976" w14:textId="50CD815F" w:rsidR="002D7B36" w:rsidRPr="00DE12A3" w:rsidRDefault="002B2CB0" w:rsidP="00E20716">
      <w:pPr>
        <w:pStyle w:val="Gvdemetni250"/>
        <w:numPr>
          <w:ilvl w:val="0"/>
          <w:numId w:val="53"/>
        </w:numPr>
        <w:shd w:val="clear" w:color="auto" w:fill="auto"/>
        <w:spacing w:before="120" w:after="120" w:line="240" w:lineRule="auto"/>
        <w:ind w:left="1701" w:hanging="567"/>
        <w:rPr>
          <w:sz w:val="24"/>
          <w:szCs w:val="24"/>
        </w:rPr>
      </w:pPr>
      <w:r w:rsidRPr="00DE12A3">
        <w:rPr>
          <w:sz w:val="24"/>
          <w:szCs w:val="24"/>
        </w:rPr>
        <w:t>M</w:t>
      </w:r>
      <w:r w:rsidR="00242DA0" w:rsidRPr="00DE12A3">
        <w:rPr>
          <w:sz w:val="24"/>
          <w:szCs w:val="24"/>
        </w:rPr>
        <w:t>esajların kullanılması durumunda, "yüksek NOx - kök neden bilinmiyor" ifadesi de dahil tek bir uyarı kullanılabilir</w:t>
      </w:r>
      <w:r w:rsidR="00BF667A" w:rsidRPr="00DE12A3">
        <w:rPr>
          <w:sz w:val="24"/>
          <w:szCs w:val="24"/>
        </w:rPr>
        <w:t>.</w:t>
      </w:r>
    </w:p>
    <w:p w14:paraId="06CEBF5C" w14:textId="76E8F572" w:rsidR="002D7B36" w:rsidRPr="00DE12A3" w:rsidRDefault="002B2CB0" w:rsidP="00E20716">
      <w:pPr>
        <w:pStyle w:val="Gvdemetni250"/>
        <w:numPr>
          <w:ilvl w:val="0"/>
          <w:numId w:val="53"/>
        </w:numPr>
        <w:shd w:val="clear" w:color="auto" w:fill="auto"/>
        <w:spacing w:before="120" w:after="120" w:line="240" w:lineRule="auto"/>
        <w:ind w:left="1701" w:hanging="567"/>
        <w:rPr>
          <w:sz w:val="24"/>
          <w:szCs w:val="24"/>
        </w:rPr>
      </w:pPr>
      <w:r w:rsidRPr="00DE12A3">
        <w:rPr>
          <w:sz w:val="24"/>
          <w:szCs w:val="24"/>
        </w:rPr>
        <w:t xml:space="preserve">     </w:t>
      </w:r>
      <w:r w:rsidR="00242DA0" w:rsidRPr="00DE12A3">
        <w:rPr>
          <w:sz w:val="24"/>
          <w:szCs w:val="24"/>
        </w:rPr>
        <w:t>9.4.1 bendinde, operatör uyarı sisteminin devreye girmesi ile düşük seviye ikna sisteminin devreye girmesi arasındaki azami motor çalışma saati sayısı 10'a düşürülmelidir</w:t>
      </w:r>
      <w:r w:rsidR="00BF667A" w:rsidRPr="00DE12A3">
        <w:rPr>
          <w:sz w:val="24"/>
          <w:szCs w:val="24"/>
        </w:rPr>
        <w:t>.</w:t>
      </w:r>
    </w:p>
    <w:p w14:paraId="448FD795" w14:textId="621D11BF" w:rsidR="002D7B36" w:rsidRPr="00DE12A3" w:rsidRDefault="00242DA0" w:rsidP="00E20716">
      <w:pPr>
        <w:pStyle w:val="Gvdemetni250"/>
        <w:numPr>
          <w:ilvl w:val="0"/>
          <w:numId w:val="53"/>
        </w:numPr>
        <w:shd w:val="clear" w:color="auto" w:fill="auto"/>
        <w:spacing w:before="120" w:after="120" w:line="240" w:lineRule="auto"/>
        <w:ind w:left="1701" w:hanging="567"/>
        <w:rPr>
          <w:sz w:val="24"/>
          <w:szCs w:val="24"/>
        </w:rPr>
      </w:pPr>
      <w:r w:rsidRPr="00DE12A3">
        <w:rPr>
          <w:sz w:val="24"/>
          <w:szCs w:val="24"/>
        </w:rPr>
        <w:t>9.4.2 bendinde, operatör uyarı sisteminin devreye girmesi ile ağır seviye ikna sisteminin devreye girmesi arasındaki azami motor çalışma saati sayısı 20'ye düşürülmelidir</w:t>
      </w:r>
      <w:r w:rsidR="00BF667A" w:rsidRPr="00DE12A3">
        <w:rPr>
          <w:sz w:val="24"/>
          <w:szCs w:val="24"/>
        </w:rPr>
        <w:t>.</w:t>
      </w:r>
    </w:p>
    <w:p w14:paraId="5D4E3A95" w14:textId="77777777" w:rsidR="002D7B36" w:rsidRPr="00DE12A3" w:rsidRDefault="00242DA0" w:rsidP="00C917D6">
      <w:pPr>
        <w:pStyle w:val="Balk460"/>
        <w:shd w:val="clear" w:color="auto" w:fill="auto"/>
        <w:spacing w:before="120" w:after="120" w:line="240" w:lineRule="auto"/>
        <w:ind w:left="1134" w:hanging="1134"/>
        <w:rPr>
          <w:sz w:val="24"/>
          <w:szCs w:val="24"/>
        </w:rPr>
      </w:pPr>
      <w:bookmarkStart w:id="14" w:name="bookmark19"/>
      <w:r w:rsidRPr="00DE12A3">
        <w:rPr>
          <w:rStyle w:val="Balk467ptKalnDeil0ptbolukbraklyor"/>
          <w:b/>
          <w:color w:val="auto"/>
          <w:sz w:val="24"/>
          <w:szCs w:val="24"/>
        </w:rPr>
        <w:lastRenderedPageBreak/>
        <w:t>10</w:t>
      </w:r>
      <w:r w:rsidRPr="00DE12A3">
        <w:rPr>
          <w:rStyle w:val="Balk467ptKalnDeil0ptbolukbraklyor"/>
          <w:color w:val="auto"/>
          <w:sz w:val="24"/>
          <w:szCs w:val="24"/>
        </w:rPr>
        <w:t>.</w:t>
      </w:r>
      <w:r w:rsidRPr="00DE12A3">
        <w:rPr>
          <w:rStyle w:val="Balk467ptKalnDeil0ptbolukbraklyor"/>
          <w:color w:val="auto"/>
          <w:sz w:val="24"/>
          <w:szCs w:val="24"/>
        </w:rPr>
        <w:tab/>
      </w:r>
      <w:bookmarkEnd w:id="14"/>
      <w:r w:rsidRPr="00DE12A3">
        <w:rPr>
          <w:spacing w:val="0"/>
          <w:sz w:val="24"/>
          <w:szCs w:val="24"/>
        </w:rPr>
        <w:t xml:space="preserve">İspat </w:t>
      </w:r>
      <w:r w:rsidR="0053289F" w:rsidRPr="00DE12A3">
        <w:rPr>
          <w:spacing w:val="0"/>
          <w:sz w:val="24"/>
          <w:szCs w:val="24"/>
        </w:rPr>
        <w:t>gereklilikleri</w:t>
      </w:r>
    </w:p>
    <w:p w14:paraId="1D2A3C99" w14:textId="77777777" w:rsidR="002D7B36" w:rsidRPr="00DE12A3" w:rsidRDefault="008E6900" w:rsidP="00E20716">
      <w:pPr>
        <w:pStyle w:val="Gvdemetni250"/>
        <w:numPr>
          <w:ilvl w:val="0"/>
          <w:numId w:val="54"/>
        </w:numPr>
        <w:shd w:val="clear" w:color="auto" w:fill="auto"/>
        <w:spacing w:before="120" w:after="120" w:line="240" w:lineRule="auto"/>
        <w:ind w:left="1134" w:hanging="1134"/>
        <w:rPr>
          <w:sz w:val="24"/>
          <w:szCs w:val="24"/>
        </w:rPr>
      </w:pPr>
      <w:r w:rsidRPr="00DE12A3">
        <w:rPr>
          <w:sz w:val="24"/>
          <w:szCs w:val="24"/>
        </w:rPr>
        <w:t xml:space="preserve">       </w:t>
      </w:r>
      <w:r w:rsidR="00242DA0" w:rsidRPr="00DE12A3">
        <w:rPr>
          <w:sz w:val="24"/>
          <w:szCs w:val="24"/>
        </w:rPr>
        <w:t>Genel</w:t>
      </w:r>
    </w:p>
    <w:p w14:paraId="78638495" w14:textId="103EA5A1" w:rsidR="002D7B36" w:rsidRPr="00DE12A3" w:rsidRDefault="008E6900" w:rsidP="00C917D6">
      <w:pPr>
        <w:pStyle w:val="Gvdemetni250"/>
        <w:shd w:val="clear" w:color="auto" w:fill="auto"/>
        <w:spacing w:before="120" w:after="120" w:line="240" w:lineRule="auto"/>
        <w:ind w:left="1134" w:hanging="1134"/>
        <w:rPr>
          <w:sz w:val="24"/>
          <w:szCs w:val="24"/>
        </w:rPr>
      </w:pPr>
      <w:r w:rsidRPr="00DE12A3">
        <w:rPr>
          <w:sz w:val="24"/>
          <w:szCs w:val="24"/>
        </w:rPr>
        <w:t xml:space="preserve">                   </w:t>
      </w:r>
      <w:r w:rsidR="00242DA0" w:rsidRPr="00DE12A3">
        <w:rPr>
          <w:sz w:val="24"/>
          <w:szCs w:val="24"/>
        </w:rPr>
        <w:t xml:space="preserve">Bu Ekin </w:t>
      </w:r>
      <w:r w:rsidR="0053289F" w:rsidRPr="00DE12A3">
        <w:rPr>
          <w:sz w:val="24"/>
          <w:szCs w:val="24"/>
        </w:rPr>
        <w:t>gerekliliklerine</w:t>
      </w:r>
      <w:r w:rsidR="00242DA0" w:rsidRPr="00DE12A3">
        <w:rPr>
          <w:sz w:val="24"/>
          <w:szCs w:val="24"/>
        </w:rPr>
        <w:t xml:space="preserve"> uyum, AB tip onayı sırasında, Tablo 4.1’de gösterildiği ve bu </w:t>
      </w:r>
      <w:r w:rsidR="00721C89" w:rsidRPr="00DE12A3">
        <w:rPr>
          <w:sz w:val="24"/>
          <w:szCs w:val="24"/>
        </w:rPr>
        <w:t>Bölüm</w:t>
      </w:r>
      <w:r w:rsidR="00BF667A" w:rsidRPr="00DE12A3">
        <w:rPr>
          <w:sz w:val="24"/>
          <w:szCs w:val="24"/>
        </w:rPr>
        <w:t>’de</w:t>
      </w:r>
      <w:r w:rsidR="00242DA0" w:rsidRPr="00DE12A3">
        <w:rPr>
          <w:sz w:val="24"/>
          <w:szCs w:val="24"/>
        </w:rPr>
        <w:t xml:space="preserve"> belirtildiği şekilde, aşağıdakiler gerçekleştirilerek ispatlanmalıdır:</w:t>
      </w:r>
    </w:p>
    <w:p w14:paraId="1CE24184" w14:textId="4E64D1C7" w:rsidR="002D7B36" w:rsidRPr="00DE12A3" w:rsidRDefault="002B2CB0" w:rsidP="00E20716">
      <w:pPr>
        <w:pStyle w:val="Gvdemetni250"/>
        <w:numPr>
          <w:ilvl w:val="0"/>
          <w:numId w:val="55"/>
        </w:numPr>
        <w:shd w:val="clear" w:color="auto" w:fill="auto"/>
        <w:tabs>
          <w:tab w:val="left" w:pos="2410"/>
        </w:tabs>
        <w:spacing w:before="120" w:after="120" w:line="240" w:lineRule="auto"/>
        <w:ind w:left="1701" w:hanging="567"/>
        <w:rPr>
          <w:sz w:val="24"/>
          <w:szCs w:val="24"/>
        </w:rPr>
      </w:pPr>
      <w:r w:rsidRPr="00DE12A3">
        <w:rPr>
          <w:sz w:val="24"/>
          <w:szCs w:val="24"/>
        </w:rPr>
        <w:t>U</w:t>
      </w:r>
      <w:r w:rsidR="00242DA0" w:rsidRPr="00DE12A3">
        <w:rPr>
          <w:sz w:val="24"/>
          <w:szCs w:val="24"/>
        </w:rPr>
        <w:t>yarı sisteminin devreye girdiğinin ispatı</w:t>
      </w:r>
      <w:r w:rsidR="00BF667A" w:rsidRPr="00DE12A3">
        <w:rPr>
          <w:sz w:val="24"/>
          <w:szCs w:val="24"/>
        </w:rPr>
        <w:t>.</w:t>
      </w:r>
    </w:p>
    <w:p w14:paraId="2EF82252" w14:textId="0CD0934B" w:rsidR="002D7B36" w:rsidRPr="00DE12A3" w:rsidRDefault="002B2CB0" w:rsidP="00E20716">
      <w:pPr>
        <w:pStyle w:val="Gvdemetni250"/>
        <w:numPr>
          <w:ilvl w:val="0"/>
          <w:numId w:val="55"/>
        </w:numPr>
        <w:shd w:val="clear" w:color="auto" w:fill="auto"/>
        <w:tabs>
          <w:tab w:val="left" w:pos="2410"/>
        </w:tabs>
        <w:spacing w:before="120" w:after="120" w:line="240" w:lineRule="auto"/>
        <w:ind w:left="1701" w:hanging="567"/>
        <w:rPr>
          <w:sz w:val="24"/>
          <w:szCs w:val="24"/>
        </w:rPr>
      </w:pPr>
      <w:r w:rsidRPr="00DE12A3">
        <w:rPr>
          <w:sz w:val="24"/>
          <w:szCs w:val="24"/>
        </w:rPr>
        <w:t>V</w:t>
      </w:r>
      <w:r w:rsidR="00242DA0" w:rsidRPr="00DE12A3">
        <w:rPr>
          <w:sz w:val="24"/>
          <w:szCs w:val="24"/>
        </w:rPr>
        <w:t>arsa, düşük seviye ikna sisteminin devreye girdiğinin ispatı</w:t>
      </w:r>
      <w:r w:rsidR="00BF667A" w:rsidRPr="00DE12A3">
        <w:rPr>
          <w:sz w:val="24"/>
          <w:szCs w:val="24"/>
        </w:rPr>
        <w:t>.</w:t>
      </w:r>
    </w:p>
    <w:p w14:paraId="00497491" w14:textId="77777777" w:rsidR="002D7B36" w:rsidRPr="00DE12A3" w:rsidRDefault="002B2CB0" w:rsidP="00E20716">
      <w:pPr>
        <w:pStyle w:val="Gvdemetni250"/>
        <w:numPr>
          <w:ilvl w:val="0"/>
          <w:numId w:val="55"/>
        </w:numPr>
        <w:shd w:val="clear" w:color="auto" w:fill="auto"/>
        <w:tabs>
          <w:tab w:val="left" w:pos="2410"/>
        </w:tabs>
        <w:spacing w:before="120" w:after="120" w:line="240" w:lineRule="auto"/>
        <w:ind w:left="1701" w:hanging="567"/>
        <w:rPr>
          <w:sz w:val="24"/>
          <w:szCs w:val="24"/>
        </w:rPr>
      </w:pPr>
      <w:r w:rsidRPr="00DE12A3">
        <w:rPr>
          <w:sz w:val="24"/>
          <w:szCs w:val="24"/>
        </w:rPr>
        <w:t>A</w:t>
      </w:r>
      <w:r w:rsidR="00242DA0" w:rsidRPr="00DE12A3">
        <w:rPr>
          <w:sz w:val="24"/>
          <w:szCs w:val="24"/>
        </w:rPr>
        <w:t>ğır seviye ikna sisteminin devreye girdiğinin ispatı.</w:t>
      </w:r>
    </w:p>
    <w:p w14:paraId="1D098AD0" w14:textId="77777777" w:rsidR="002D7B36" w:rsidRPr="00DE12A3" w:rsidRDefault="008E6900" w:rsidP="00E20716">
      <w:pPr>
        <w:pStyle w:val="Gvdemetni250"/>
        <w:numPr>
          <w:ilvl w:val="0"/>
          <w:numId w:val="54"/>
        </w:numPr>
        <w:shd w:val="clear" w:color="auto" w:fill="auto"/>
        <w:spacing w:before="120" w:after="120" w:line="240" w:lineRule="auto"/>
        <w:ind w:left="1134" w:hanging="1134"/>
        <w:rPr>
          <w:sz w:val="24"/>
          <w:szCs w:val="24"/>
        </w:rPr>
      </w:pPr>
      <w:r w:rsidRPr="00DE12A3">
        <w:rPr>
          <w:sz w:val="24"/>
          <w:szCs w:val="24"/>
        </w:rPr>
        <w:t xml:space="preserve">      </w:t>
      </w:r>
      <w:r w:rsidR="00242DA0" w:rsidRPr="00DE12A3">
        <w:rPr>
          <w:sz w:val="24"/>
          <w:szCs w:val="24"/>
        </w:rPr>
        <w:t>Motor aileleri ve NCD motor aileleri</w:t>
      </w:r>
    </w:p>
    <w:p w14:paraId="121F0085" w14:textId="38AF491D" w:rsidR="002D7B36" w:rsidRPr="00DE12A3" w:rsidRDefault="008E6900" w:rsidP="00C917D6">
      <w:pPr>
        <w:pStyle w:val="Gvdemetni250"/>
        <w:shd w:val="clear" w:color="auto" w:fill="auto"/>
        <w:spacing w:before="120" w:after="120" w:line="240" w:lineRule="auto"/>
        <w:ind w:left="1134" w:hanging="1134"/>
        <w:rPr>
          <w:sz w:val="24"/>
          <w:szCs w:val="24"/>
        </w:rPr>
      </w:pPr>
      <w:r w:rsidRPr="00DE12A3">
        <w:rPr>
          <w:sz w:val="24"/>
          <w:szCs w:val="24"/>
        </w:rPr>
        <w:t xml:space="preserve">                  </w:t>
      </w:r>
      <w:r w:rsidR="00242DA0" w:rsidRPr="00DE12A3">
        <w:rPr>
          <w:sz w:val="24"/>
          <w:szCs w:val="24"/>
        </w:rPr>
        <w:t xml:space="preserve">Bir motor ailesinin veya bir NCD motor ailesinin bu </w:t>
      </w:r>
      <w:r w:rsidR="00721C89" w:rsidRPr="00DE12A3">
        <w:rPr>
          <w:sz w:val="24"/>
          <w:szCs w:val="24"/>
        </w:rPr>
        <w:t>Bölüm</w:t>
      </w:r>
      <w:r w:rsidR="00242DA0" w:rsidRPr="00DE12A3">
        <w:rPr>
          <w:sz w:val="24"/>
          <w:szCs w:val="24"/>
        </w:rPr>
        <w:t xml:space="preserve">ün </w:t>
      </w:r>
      <w:r w:rsidR="0053289F" w:rsidRPr="00DE12A3">
        <w:rPr>
          <w:sz w:val="24"/>
          <w:szCs w:val="24"/>
        </w:rPr>
        <w:t>gerekliliklerine</w:t>
      </w:r>
      <w:r w:rsidR="00242DA0" w:rsidRPr="00DE12A3">
        <w:rPr>
          <w:sz w:val="24"/>
          <w:szCs w:val="24"/>
        </w:rPr>
        <w:t xml:space="preserve"> uyumu, imalatçının, bu Ekin şartlara uymak için gereken izleme sistemlerinin aile içinde benzer olduğunu </w:t>
      </w:r>
      <w:r w:rsidR="007E2039" w:rsidRPr="00DE12A3">
        <w:rPr>
          <w:sz w:val="24"/>
          <w:szCs w:val="24"/>
        </w:rPr>
        <w:t>onay kuruluşuna</w:t>
      </w:r>
      <w:r w:rsidR="00242DA0" w:rsidRPr="00DE12A3">
        <w:rPr>
          <w:sz w:val="24"/>
          <w:szCs w:val="24"/>
        </w:rPr>
        <w:t xml:space="preserve"> ispatlaması şartıyla, inclenen ailenin üyelerinden birinin test edilmesi yoluyla ispatlanabilir.</w:t>
      </w:r>
    </w:p>
    <w:p w14:paraId="4A639D99" w14:textId="647C62AC" w:rsidR="002D7B36" w:rsidRPr="00DE12A3" w:rsidRDefault="002B2CB0" w:rsidP="00E20716">
      <w:pPr>
        <w:pStyle w:val="Gvdemetni250"/>
        <w:numPr>
          <w:ilvl w:val="0"/>
          <w:numId w:val="56"/>
        </w:numPr>
        <w:shd w:val="clear" w:color="auto" w:fill="auto"/>
        <w:spacing w:before="120" w:after="120" w:line="240" w:lineRule="auto"/>
        <w:ind w:left="1134" w:hanging="1134"/>
        <w:rPr>
          <w:sz w:val="24"/>
          <w:szCs w:val="24"/>
        </w:rPr>
      </w:pPr>
      <w:r w:rsidRPr="00DE12A3">
        <w:rPr>
          <w:sz w:val="24"/>
          <w:szCs w:val="24"/>
        </w:rPr>
        <w:t xml:space="preserve">   </w:t>
      </w:r>
      <w:r w:rsidR="008E6900" w:rsidRPr="00DE12A3">
        <w:rPr>
          <w:sz w:val="24"/>
          <w:szCs w:val="24"/>
        </w:rPr>
        <w:t xml:space="preserve">    </w:t>
      </w:r>
      <w:r w:rsidR="00242DA0" w:rsidRPr="00DE12A3">
        <w:rPr>
          <w:sz w:val="24"/>
          <w:szCs w:val="24"/>
        </w:rPr>
        <w:t>NCD motor ailesinin diğer üyeleri için izleme sistemlerinin benzer olduğunun ispatı, algoritmalar, fonksiyonel analizler v</w:t>
      </w:r>
      <w:r w:rsidR="00BF667A" w:rsidRPr="00DE12A3">
        <w:rPr>
          <w:sz w:val="24"/>
          <w:szCs w:val="24"/>
        </w:rPr>
        <w:t>e benzeri</w:t>
      </w:r>
      <w:r w:rsidR="00242DA0" w:rsidRPr="00DE12A3">
        <w:rPr>
          <w:sz w:val="24"/>
          <w:szCs w:val="24"/>
        </w:rPr>
        <w:t xml:space="preserve"> unsurların onay otoritelerine sunulması yoluyla gerçekleştirilebilir.</w:t>
      </w:r>
    </w:p>
    <w:p w14:paraId="6AA1C1A8" w14:textId="38983340" w:rsidR="002D7B36" w:rsidRPr="00DE12A3" w:rsidRDefault="002B2CB0" w:rsidP="00E20716">
      <w:pPr>
        <w:pStyle w:val="Gvdemetni250"/>
        <w:numPr>
          <w:ilvl w:val="0"/>
          <w:numId w:val="56"/>
        </w:numPr>
        <w:shd w:val="clear" w:color="auto" w:fill="auto"/>
        <w:spacing w:before="120" w:after="120" w:line="240" w:lineRule="auto"/>
        <w:ind w:left="1134" w:hanging="1134"/>
        <w:rPr>
          <w:sz w:val="24"/>
          <w:szCs w:val="24"/>
        </w:rPr>
      </w:pPr>
      <w:r w:rsidRPr="00DE12A3">
        <w:rPr>
          <w:sz w:val="24"/>
          <w:szCs w:val="24"/>
        </w:rPr>
        <w:t xml:space="preserve">  </w:t>
      </w:r>
      <w:r w:rsidR="008E6900" w:rsidRPr="00DE12A3">
        <w:rPr>
          <w:sz w:val="24"/>
          <w:szCs w:val="24"/>
        </w:rPr>
        <w:t xml:space="preserve">     </w:t>
      </w:r>
      <w:r w:rsidR="00242DA0" w:rsidRPr="00DE12A3">
        <w:rPr>
          <w:sz w:val="24"/>
          <w:szCs w:val="24"/>
        </w:rPr>
        <w:t xml:space="preserve">Test motoru, </w:t>
      </w:r>
      <w:r w:rsidR="007E2039" w:rsidRPr="00DE12A3">
        <w:rPr>
          <w:sz w:val="24"/>
          <w:szCs w:val="24"/>
        </w:rPr>
        <w:t xml:space="preserve">onay kuruluşu </w:t>
      </w:r>
      <w:r w:rsidR="00242DA0" w:rsidRPr="00DE12A3">
        <w:rPr>
          <w:sz w:val="24"/>
          <w:szCs w:val="24"/>
        </w:rPr>
        <w:t>ile mutabakat içinde imalatçı tarafından seçilir. Test motorunun incelenen ailenin ana motoru olmasına ilişkin bir şart yoktur.</w:t>
      </w:r>
    </w:p>
    <w:p w14:paraId="5A8F4A62" w14:textId="77777777" w:rsidR="002D7B36" w:rsidRPr="00DE12A3" w:rsidRDefault="002B2CB0" w:rsidP="00E20716">
      <w:pPr>
        <w:pStyle w:val="Gvdemetni250"/>
        <w:numPr>
          <w:ilvl w:val="0"/>
          <w:numId w:val="56"/>
        </w:numPr>
        <w:shd w:val="clear" w:color="auto" w:fill="auto"/>
        <w:spacing w:before="120" w:after="120" w:line="240" w:lineRule="auto"/>
        <w:ind w:left="1134" w:hanging="1134"/>
        <w:rPr>
          <w:sz w:val="24"/>
          <w:szCs w:val="24"/>
        </w:rPr>
      </w:pPr>
      <w:r w:rsidRPr="00DE12A3">
        <w:rPr>
          <w:sz w:val="24"/>
          <w:szCs w:val="24"/>
        </w:rPr>
        <w:t xml:space="preserve">  </w:t>
      </w:r>
      <w:r w:rsidR="008E6900" w:rsidRPr="00DE12A3">
        <w:rPr>
          <w:sz w:val="24"/>
          <w:szCs w:val="24"/>
        </w:rPr>
        <w:t xml:space="preserve">     </w:t>
      </w:r>
      <w:r w:rsidR="00242DA0" w:rsidRPr="00DE12A3">
        <w:rPr>
          <w:sz w:val="24"/>
          <w:szCs w:val="24"/>
        </w:rPr>
        <w:t xml:space="preserve">Bir motor ailesi içindeki motorların, 10.2.1 bendinde (Şekil 4.3) belirtildiği gibi, halihazırda AB tip onaylı bir NCD motor ailesine mensup olması durumunda, imalatçının, bu Ekin </w:t>
      </w:r>
      <w:r w:rsidR="0053289F" w:rsidRPr="00DE12A3">
        <w:rPr>
          <w:sz w:val="24"/>
          <w:szCs w:val="24"/>
        </w:rPr>
        <w:t>gerekliliklerine</w:t>
      </w:r>
      <w:r w:rsidR="00242DA0" w:rsidRPr="00DE12A3">
        <w:rPr>
          <w:sz w:val="24"/>
          <w:szCs w:val="24"/>
        </w:rPr>
        <w:t xml:space="preserve"> uymak için gereken izleme sistemlerinin, incelenen motor ve NCD motor aileleri içinde benzer olduğunu ispatlaması şartıyla, bu motor ailesinin uyumu daha fazla test edilmeden ispatlanmış sayılır.</w:t>
      </w:r>
    </w:p>
    <w:p w14:paraId="46257136" w14:textId="77777777" w:rsidR="008E6900" w:rsidRPr="00DE12A3" w:rsidRDefault="008E6900" w:rsidP="00C917D6">
      <w:pPr>
        <w:pStyle w:val="Gvdemetni250"/>
        <w:shd w:val="clear" w:color="auto" w:fill="auto"/>
        <w:spacing w:before="120" w:after="120" w:line="240" w:lineRule="auto"/>
        <w:ind w:firstLine="0"/>
        <w:rPr>
          <w:sz w:val="24"/>
          <w:szCs w:val="24"/>
        </w:rPr>
      </w:pPr>
    </w:p>
    <w:p w14:paraId="3C5F42FC" w14:textId="4AC0A76A" w:rsidR="008E6900" w:rsidRPr="00DE12A3" w:rsidRDefault="000745D9" w:rsidP="000745D9">
      <w:pPr>
        <w:jc w:val="center"/>
        <w:rPr>
          <w:b/>
          <w:bCs/>
          <w:color w:val="auto"/>
        </w:rPr>
      </w:pPr>
      <w:r w:rsidRPr="00DE12A3">
        <w:rPr>
          <w:b/>
          <w:bCs/>
          <w:color w:val="auto"/>
        </w:rPr>
        <w:t>Tablo 4.1</w:t>
      </w:r>
    </w:p>
    <w:p w14:paraId="5BE36BC4" w14:textId="3D4AE1DF" w:rsidR="000745D9" w:rsidRPr="00DE12A3" w:rsidRDefault="000745D9" w:rsidP="000745D9">
      <w:pPr>
        <w:jc w:val="center"/>
        <w:rPr>
          <w:color w:val="auto"/>
        </w:rPr>
      </w:pPr>
      <w:r w:rsidRPr="00DE12A3">
        <w:rPr>
          <w:rFonts w:eastAsiaTheme="minorEastAsia" w:cs="Times New Roman"/>
          <w:b/>
          <w:iCs/>
          <w:color w:val="auto"/>
          <w:lang w:val="fr-FR"/>
        </w:rPr>
        <w:t>10.3 ve 10.4. bentlerinde yer alan hükümlere göre gösteri sürecinin içeriğinin gösterimi</w:t>
      </w:r>
    </w:p>
    <w:tbl>
      <w:tblPr>
        <w:tblW w:w="0" w:type="auto"/>
        <w:jc w:val="center"/>
        <w:tblLayout w:type="fixed"/>
        <w:tblLook w:val="0000" w:firstRow="0" w:lastRow="0" w:firstColumn="0" w:lastColumn="0" w:noHBand="0" w:noVBand="0"/>
      </w:tblPr>
      <w:tblGrid>
        <w:gridCol w:w="2920"/>
        <w:gridCol w:w="5943"/>
      </w:tblGrid>
      <w:tr w:rsidR="00DE12A3" w:rsidRPr="00DE12A3" w14:paraId="3EBA6022" w14:textId="77777777" w:rsidTr="000745D9">
        <w:trPr>
          <w:jc w:val="center"/>
        </w:trPr>
        <w:tc>
          <w:tcPr>
            <w:tcW w:w="2920" w:type="dxa"/>
            <w:tcBorders>
              <w:top w:val="single" w:sz="2" w:space="0" w:color="auto"/>
              <w:left w:val="single" w:sz="2" w:space="0" w:color="auto"/>
              <w:bottom w:val="single" w:sz="2" w:space="0" w:color="auto"/>
              <w:right w:val="single" w:sz="2" w:space="0" w:color="auto"/>
            </w:tcBorders>
          </w:tcPr>
          <w:p w14:paraId="0B323944" w14:textId="77777777" w:rsidR="001D0A9D" w:rsidRPr="00DE12A3" w:rsidRDefault="001D0A9D" w:rsidP="000745D9">
            <w:pPr>
              <w:widowControl/>
              <w:autoSpaceDE w:val="0"/>
              <w:autoSpaceDN w:val="0"/>
              <w:spacing w:before="120" w:after="120"/>
              <w:jc w:val="both"/>
              <w:rPr>
                <w:rFonts w:eastAsiaTheme="minorEastAsia" w:cs="Times New Roman"/>
                <w:color w:val="auto"/>
                <w:lang w:val="fr-FR"/>
              </w:rPr>
            </w:pPr>
            <w:r w:rsidRPr="00DE12A3">
              <w:rPr>
                <w:rFonts w:eastAsiaTheme="minorEastAsia" w:cs="Times New Roman"/>
                <w:color w:val="auto"/>
                <w:lang w:val="fr-FR"/>
              </w:rPr>
              <w:t>Mekanizma</w:t>
            </w:r>
          </w:p>
        </w:tc>
        <w:tc>
          <w:tcPr>
            <w:tcW w:w="5943" w:type="dxa"/>
            <w:tcBorders>
              <w:top w:val="single" w:sz="2" w:space="0" w:color="auto"/>
              <w:left w:val="single" w:sz="2" w:space="0" w:color="auto"/>
              <w:bottom w:val="single" w:sz="2" w:space="0" w:color="auto"/>
              <w:right w:val="single" w:sz="2" w:space="0" w:color="auto"/>
            </w:tcBorders>
          </w:tcPr>
          <w:p w14:paraId="20CB9FB3" w14:textId="77777777" w:rsidR="001D0A9D" w:rsidRPr="00DE12A3" w:rsidRDefault="001D0A9D" w:rsidP="000745D9">
            <w:pPr>
              <w:widowControl/>
              <w:autoSpaceDE w:val="0"/>
              <w:autoSpaceDN w:val="0"/>
              <w:spacing w:before="120" w:after="120"/>
              <w:jc w:val="both"/>
              <w:rPr>
                <w:rFonts w:eastAsiaTheme="minorEastAsia" w:cs="Times New Roman"/>
                <w:color w:val="auto"/>
                <w:lang w:val="fr-FR"/>
              </w:rPr>
            </w:pPr>
            <w:r w:rsidRPr="00DE12A3">
              <w:rPr>
                <w:rFonts w:eastAsiaTheme="minorEastAsia" w:cs="Times New Roman"/>
                <w:color w:val="auto"/>
                <w:lang w:val="fr-FR"/>
              </w:rPr>
              <w:t>İspat unsurları</w:t>
            </w:r>
          </w:p>
        </w:tc>
      </w:tr>
      <w:tr w:rsidR="00DE12A3" w:rsidRPr="00DE12A3" w14:paraId="245B4974" w14:textId="77777777" w:rsidTr="000745D9">
        <w:trPr>
          <w:jc w:val="center"/>
        </w:trPr>
        <w:tc>
          <w:tcPr>
            <w:tcW w:w="2920" w:type="dxa"/>
            <w:tcBorders>
              <w:top w:val="single" w:sz="2" w:space="0" w:color="auto"/>
              <w:left w:val="single" w:sz="2" w:space="0" w:color="auto"/>
              <w:bottom w:val="single" w:sz="2" w:space="0" w:color="auto"/>
              <w:right w:val="single" w:sz="2" w:space="0" w:color="auto"/>
            </w:tcBorders>
          </w:tcPr>
          <w:p w14:paraId="0F06C47B" w14:textId="77777777" w:rsidR="001D0A9D" w:rsidRPr="00DE12A3" w:rsidRDefault="001D0A9D" w:rsidP="000745D9">
            <w:pPr>
              <w:widowControl/>
              <w:autoSpaceDE w:val="0"/>
              <w:autoSpaceDN w:val="0"/>
              <w:spacing w:before="120" w:after="120"/>
              <w:jc w:val="both"/>
              <w:rPr>
                <w:rFonts w:eastAsiaTheme="minorEastAsia" w:cs="Times New Roman"/>
                <w:color w:val="auto"/>
                <w:lang w:val="fr-FR"/>
              </w:rPr>
            </w:pPr>
            <w:r w:rsidRPr="00DE12A3">
              <w:rPr>
                <w:rFonts w:eastAsiaTheme="minorEastAsia" w:cs="Times New Roman"/>
                <w:color w:val="auto"/>
              </w:rPr>
              <w:t>10.3 bendinde belirtilen uyarı sisteminin devreye girmesi</w:t>
            </w:r>
          </w:p>
        </w:tc>
        <w:tc>
          <w:tcPr>
            <w:tcW w:w="5943" w:type="dxa"/>
            <w:tcBorders>
              <w:top w:val="single" w:sz="2" w:space="0" w:color="auto"/>
              <w:left w:val="single" w:sz="2" w:space="0" w:color="auto"/>
              <w:bottom w:val="single" w:sz="2" w:space="0" w:color="auto"/>
              <w:right w:val="single" w:sz="2" w:space="0" w:color="auto"/>
            </w:tcBorders>
          </w:tcPr>
          <w:p w14:paraId="11AC6B24" w14:textId="77777777" w:rsidR="001D0A9D" w:rsidRPr="00DE12A3" w:rsidRDefault="001D0A9D" w:rsidP="00E20716">
            <w:pPr>
              <w:pStyle w:val="Tiret0"/>
              <w:numPr>
                <w:ilvl w:val="0"/>
                <w:numId w:val="444"/>
              </w:numPr>
            </w:pPr>
            <w:r w:rsidRPr="00DE12A3">
              <w:t>2 devreye girme testi (ayıraç eksikliği dahil)</w:t>
            </w:r>
          </w:p>
          <w:p w14:paraId="1E97105C" w14:textId="77777777" w:rsidR="001D0A9D" w:rsidRPr="00DE12A3" w:rsidRDefault="001D0A9D" w:rsidP="00E20716">
            <w:pPr>
              <w:pStyle w:val="Tiret0"/>
              <w:numPr>
                <w:ilvl w:val="0"/>
                <w:numId w:val="444"/>
              </w:numPr>
            </w:pPr>
            <w:r w:rsidRPr="00DE12A3">
              <w:t>Duruma göre ilave ispat unsurları</w:t>
            </w:r>
          </w:p>
        </w:tc>
      </w:tr>
      <w:tr w:rsidR="00DE12A3" w:rsidRPr="00DE12A3" w14:paraId="3A4F0850" w14:textId="77777777" w:rsidTr="000745D9">
        <w:trPr>
          <w:jc w:val="center"/>
        </w:trPr>
        <w:tc>
          <w:tcPr>
            <w:tcW w:w="2920" w:type="dxa"/>
            <w:tcBorders>
              <w:top w:val="single" w:sz="2" w:space="0" w:color="auto"/>
              <w:left w:val="single" w:sz="2" w:space="0" w:color="auto"/>
              <w:bottom w:val="single" w:sz="2" w:space="0" w:color="auto"/>
              <w:right w:val="single" w:sz="2" w:space="0" w:color="auto"/>
            </w:tcBorders>
          </w:tcPr>
          <w:p w14:paraId="5D1DAB2D" w14:textId="77777777" w:rsidR="001D0A9D" w:rsidRPr="00DE12A3" w:rsidRDefault="001D0A9D" w:rsidP="000745D9">
            <w:pPr>
              <w:pStyle w:val="NormalLeft"/>
              <w:jc w:val="both"/>
            </w:pPr>
            <w:r w:rsidRPr="00DE12A3">
              <w:t>10.4 bendinde belirtilen düşük seviye ikna sisteminin devreye girmesi.</w:t>
            </w:r>
          </w:p>
        </w:tc>
        <w:tc>
          <w:tcPr>
            <w:tcW w:w="5943" w:type="dxa"/>
            <w:tcBorders>
              <w:top w:val="single" w:sz="2" w:space="0" w:color="auto"/>
              <w:left w:val="single" w:sz="2" w:space="0" w:color="auto"/>
              <w:bottom w:val="single" w:sz="2" w:space="0" w:color="auto"/>
              <w:right w:val="single" w:sz="2" w:space="0" w:color="auto"/>
            </w:tcBorders>
          </w:tcPr>
          <w:p w14:paraId="563CB47D" w14:textId="77777777" w:rsidR="001D0A9D" w:rsidRPr="00DE12A3" w:rsidRDefault="001D0A9D" w:rsidP="00E20716">
            <w:pPr>
              <w:pStyle w:val="Tiret0"/>
              <w:numPr>
                <w:ilvl w:val="0"/>
                <w:numId w:val="444"/>
              </w:numPr>
            </w:pPr>
            <w:r w:rsidRPr="00DE12A3">
              <w:t>2 devreye girme testi (ayıraç eksikliği dahil)</w:t>
            </w:r>
          </w:p>
          <w:p w14:paraId="71E502C3" w14:textId="77777777" w:rsidR="001D0A9D" w:rsidRPr="00DE12A3" w:rsidRDefault="001D0A9D" w:rsidP="00E20716">
            <w:pPr>
              <w:pStyle w:val="Tiret0"/>
              <w:numPr>
                <w:ilvl w:val="0"/>
                <w:numId w:val="444"/>
              </w:numPr>
            </w:pPr>
            <w:r w:rsidRPr="00DE12A3">
              <w:t>Duruma göre ilave ispat unsurları</w:t>
            </w:r>
          </w:p>
          <w:p w14:paraId="79A7ED7F" w14:textId="77777777" w:rsidR="001D0A9D" w:rsidRPr="00DE12A3" w:rsidRDefault="001D0A9D" w:rsidP="00E20716">
            <w:pPr>
              <w:pStyle w:val="Tiret0"/>
              <w:numPr>
                <w:ilvl w:val="0"/>
                <w:numId w:val="444"/>
              </w:numPr>
            </w:pPr>
            <w:r w:rsidRPr="00DE12A3">
              <w:t>1 tork azaltma testi</w:t>
            </w:r>
          </w:p>
        </w:tc>
      </w:tr>
      <w:tr w:rsidR="001D0A9D" w:rsidRPr="00DE12A3" w14:paraId="6D2BDAAE" w14:textId="77777777" w:rsidTr="000745D9">
        <w:trPr>
          <w:jc w:val="center"/>
        </w:trPr>
        <w:tc>
          <w:tcPr>
            <w:tcW w:w="2920" w:type="dxa"/>
            <w:tcBorders>
              <w:top w:val="single" w:sz="2" w:space="0" w:color="auto"/>
              <w:left w:val="single" w:sz="2" w:space="0" w:color="auto"/>
              <w:bottom w:val="single" w:sz="2" w:space="0" w:color="auto"/>
              <w:right w:val="single" w:sz="2" w:space="0" w:color="auto"/>
            </w:tcBorders>
          </w:tcPr>
          <w:p w14:paraId="04FEC38D" w14:textId="77777777" w:rsidR="001D0A9D" w:rsidRPr="00DE12A3" w:rsidRDefault="001D0A9D" w:rsidP="000745D9">
            <w:pPr>
              <w:pStyle w:val="NormalLeft"/>
              <w:jc w:val="both"/>
            </w:pPr>
            <w:r w:rsidRPr="00DE12A3">
              <w:t>10.4 bendinde belirtilen ağır seviye ikna sisteminin devreye girmesi</w:t>
            </w:r>
          </w:p>
        </w:tc>
        <w:tc>
          <w:tcPr>
            <w:tcW w:w="5943" w:type="dxa"/>
            <w:tcBorders>
              <w:top w:val="single" w:sz="2" w:space="0" w:color="auto"/>
              <w:left w:val="single" w:sz="2" w:space="0" w:color="auto"/>
              <w:bottom w:val="single" w:sz="2" w:space="0" w:color="auto"/>
              <w:right w:val="single" w:sz="2" w:space="0" w:color="auto"/>
            </w:tcBorders>
          </w:tcPr>
          <w:p w14:paraId="3CA0AD92" w14:textId="77777777" w:rsidR="001D0A9D" w:rsidRPr="00DE12A3" w:rsidRDefault="001D0A9D" w:rsidP="00E20716">
            <w:pPr>
              <w:pStyle w:val="Tiret0"/>
              <w:numPr>
                <w:ilvl w:val="0"/>
                <w:numId w:val="444"/>
              </w:numPr>
            </w:pPr>
            <w:r w:rsidRPr="00DE12A3">
              <w:t>2 devreye girme testi (ayıraç eksikliği dahil)</w:t>
            </w:r>
          </w:p>
          <w:p w14:paraId="7B2FA076" w14:textId="77777777" w:rsidR="001D0A9D" w:rsidRPr="00DE12A3" w:rsidRDefault="001D0A9D" w:rsidP="00E20716">
            <w:pPr>
              <w:pStyle w:val="Tiret0"/>
              <w:numPr>
                <w:ilvl w:val="0"/>
                <w:numId w:val="444"/>
              </w:numPr>
            </w:pPr>
            <w:r w:rsidRPr="00DE12A3">
              <w:t>Duruma göre ilave ispat unsurları</w:t>
            </w:r>
          </w:p>
        </w:tc>
      </w:tr>
    </w:tbl>
    <w:p w14:paraId="46714351" w14:textId="77777777" w:rsidR="00C41A02" w:rsidRPr="00DE12A3" w:rsidRDefault="00C41A02" w:rsidP="000745D9">
      <w:pPr>
        <w:pStyle w:val="Gvdemetni250"/>
        <w:shd w:val="clear" w:color="auto" w:fill="auto"/>
        <w:spacing w:before="120" w:after="120" w:line="240" w:lineRule="auto"/>
        <w:ind w:firstLine="0"/>
        <w:rPr>
          <w:rStyle w:val="Tabloyazs20ptbolukbraklyor"/>
          <w:i w:val="0"/>
          <w:iCs w:val="0"/>
          <w:color w:val="auto"/>
          <w:sz w:val="20"/>
          <w:szCs w:val="20"/>
        </w:rPr>
      </w:pPr>
    </w:p>
    <w:p w14:paraId="3F13F150" w14:textId="77777777" w:rsidR="00FD681E" w:rsidRPr="00DE12A3" w:rsidRDefault="00FD681E" w:rsidP="000745D9">
      <w:pPr>
        <w:spacing w:before="120" w:after="120"/>
        <w:jc w:val="center"/>
        <w:rPr>
          <w:rFonts w:cs="Times New Roman"/>
          <w:color w:val="auto"/>
          <w:spacing w:val="2"/>
        </w:rPr>
      </w:pPr>
    </w:p>
    <w:p w14:paraId="337430BC" w14:textId="77777777" w:rsidR="00FD681E" w:rsidRPr="00DE12A3" w:rsidRDefault="00FD681E" w:rsidP="000745D9">
      <w:pPr>
        <w:spacing w:before="120" w:after="120"/>
        <w:jc w:val="center"/>
        <w:rPr>
          <w:rFonts w:cs="Times New Roman"/>
          <w:color w:val="auto"/>
          <w:spacing w:val="2"/>
        </w:rPr>
      </w:pPr>
    </w:p>
    <w:p w14:paraId="0C957941" w14:textId="77777777" w:rsidR="00FD681E" w:rsidRPr="00DE12A3" w:rsidRDefault="00FD681E" w:rsidP="000745D9">
      <w:pPr>
        <w:spacing w:before="120" w:after="120"/>
        <w:jc w:val="center"/>
        <w:rPr>
          <w:rFonts w:cs="Times New Roman"/>
          <w:color w:val="auto"/>
          <w:spacing w:val="2"/>
        </w:rPr>
      </w:pPr>
    </w:p>
    <w:p w14:paraId="023048E1" w14:textId="0B7E6FD8" w:rsidR="002D7B36" w:rsidRPr="00DE12A3" w:rsidRDefault="00242DA0" w:rsidP="000745D9">
      <w:pPr>
        <w:spacing w:before="120" w:after="120"/>
        <w:jc w:val="center"/>
        <w:rPr>
          <w:rStyle w:val="Gvdemetni40ptbolukbraklyor"/>
          <w:rFonts w:eastAsia="Courier New"/>
          <w:color w:val="auto"/>
          <w:sz w:val="24"/>
          <w:szCs w:val="24"/>
          <w:lang w:val="tr-TR"/>
        </w:rPr>
      </w:pPr>
      <w:r w:rsidRPr="00DE12A3">
        <w:rPr>
          <w:rFonts w:cs="Times New Roman"/>
          <w:color w:val="auto"/>
          <w:spacing w:val="2"/>
        </w:rPr>
        <w:lastRenderedPageBreak/>
        <w:t xml:space="preserve">Şekil </w:t>
      </w:r>
      <w:r w:rsidRPr="00DE12A3">
        <w:rPr>
          <w:rStyle w:val="Gvdemetni40ptbolukbraklyor"/>
          <w:rFonts w:eastAsia="Courier New"/>
          <w:i w:val="0"/>
          <w:color w:val="auto"/>
          <w:sz w:val="24"/>
          <w:szCs w:val="24"/>
          <w:lang w:val="tr-TR"/>
        </w:rPr>
        <w:t>4.3</w:t>
      </w:r>
    </w:p>
    <w:p w14:paraId="11689A09" w14:textId="77777777" w:rsidR="002D7B36" w:rsidRPr="00DE12A3" w:rsidRDefault="00242DA0" w:rsidP="000745D9">
      <w:pPr>
        <w:pStyle w:val="Gvdemetni50"/>
        <w:shd w:val="clear" w:color="auto" w:fill="auto"/>
        <w:spacing w:before="120" w:after="120" w:line="240" w:lineRule="auto"/>
        <w:jc w:val="center"/>
        <w:rPr>
          <w:sz w:val="24"/>
          <w:szCs w:val="24"/>
        </w:rPr>
      </w:pPr>
      <w:r w:rsidRPr="00DE12A3">
        <w:rPr>
          <w:spacing w:val="0"/>
          <w:sz w:val="24"/>
          <w:szCs w:val="24"/>
        </w:rPr>
        <w:t>Bir NCD motor ailesinin önceden ispatlanmış uyumluluğu</w:t>
      </w:r>
    </w:p>
    <w:p w14:paraId="74EA0AE2" w14:textId="38296DF9" w:rsidR="002D7B36" w:rsidRPr="00DE12A3" w:rsidRDefault="001D0A9D" w:rsidP="000745D9">
      <w:pPr>
        <w:pStyle w:val="Gvdemetni250"/>
        <w:shd w:val="clear" w:color="auto" w:fill="auto"/>
        <w:spacing w:before="120" w:after="120" w:line="240" w:lineRule="auto"/>
        <w:ind w:left="709" w:hanging="709"/>
        <w:jc w:val="center"/>
        <w:rPr>
          <w:spacing w:val="4"/>
          <w:sz w:val="24"/>
          <w:szCs w:val="24"/>
        </w:rPr>
      </w:pPr>
      <w:r w:rsidRPr="00DE12A3">
        <w:rPr>
          <w:noProof/>
          <w:lang w:eastAsia="tr-TR"/>
        </w:rPr>
        <w:drawing>
          <wp:inline distT="0" distB="0" distL="0" distR="0" wp14:anchorId="0686AD1A" wp14:editId="5DA5A218">
            <wp:extent cx="3902400" cy="2592000"/>
            <wp:effectExtent l="0" t="0" r="3175" b="0"/>
            <wp:docPr id="18"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a:xfrm>
                      <a:off x="0" y="0"/>
                      <a:ext cx="3902400" cy="2592000"/>
                    </a:xfrm>
                    <a:prstGeom prst="rect">
                      <a:avLst/>
                    </a:prstGeom>
                    <a:noFill/>
                    <a:ln>
                      <a:noFill/>
                    </a:ln>
                  </pic:spPr>
                </pic:pic>
              </a:graphicData>
            </a:graphic>
          </wp:inline>
        </w:drawing>
      </w:r>
    </w:p>
    <w:p w14:paraId="51B0791C" w14:textId="77777777" w:rsidR="002D7B36" w:rsidRPr="00DE12A3" w:rsidRDefault="002D7B36" w:rsidP="00C917D6">
      <w:pPr>
        <w:pStyle w:val="Gvdemetni250"/>
        <w:shd w:val="clear" w:color="auto" w:fill="auto"/>
        <w:spacing w:before="120" w:after="120" w:line="240" w:lineRule="auto"/>
        <w:ind w:left="709" w:hanging="709"/>
        <w:rPr>
          <w:spacing w:val="4"/>
          <w:sz w:val="24"/>
          <w:szCs w:val="24"/>
        </w:rPr>
      </w:pPr>
    </w:p>
    <w:p w14:paraId="13D02B55" w14:textId="77777777" w:rsidR="002D7B36" w:rsidRPr="00DE12A3" w:rsidRDefault="00242DA0" w:rsidP="00E20716">
      <w:pPr>
        <w:pStyle w:val="ListeParagraf"/>
        <w:numPr>
          <w:ilvl w:val="1"/>
          <w:numId w:val="57"/>
        </w:numPr>
        <w:tabs>
          <w:tab w:val="left" w:pos="0"/>
        </w:tabs>
        <w:spacing w:before="120" w:after="120"/>
        <w:ind w:left="1134" w:hanging="1134"/>
        <w:jc w:val="both"/>
        <w:rPr>
          <w:rFonts w:cs="Times New Roman"/>
          <w:color w:val="auto"/>
        </w:rPr>
      </w:pPr>
      <w:r w:rsidRPr="00DE12A3">
        <w:rPr>
          <w:rFonts w:cs="Times New Roman"/>
          <w:color w:val="auto"/>
        </w:rPr>
        <w:t xml:space="preserve"> </w:t>
      </w:r>
      <w:r w:rsidR="003D74CF" w:rsidRPr="00DE12A3">
        <w:rPr>
          <w:rFonts w:cs="Times New Roman"/>
          <w:color w:val="auto"/>
        </w:rPr>
        <w:t xml:space="preserve">  </w:t>
      </w:r>
      <w:r w:rsidR="008E6900" w:rsidRPr="00DE12A3">
        <w:rPr>
          <w:rFonts w:cs="Times New Roman"/>
          <w:color w:val="auto"/>
        </w:rPr>
        <w:t xml:space="preserve">   </w:t>
      </w:r>
      <w:r w:rsidRPr="00DE12A3">
        <w:rPr>
          <w:rFonts w:cs="Times New Roman"/>
          <w:color w:val="auto"/>
        </w:rPr>
        <w:t>Uyarı sisteminin devreye girdiğinin ispatı</w:t>
      </w:r>
    </w:p>
    <w:p w14:paraId="341B082A" w14:textId="12E24EC8" w:rsidR="002D7B36" w:rsidRPr="00DE12A3" w:rsidRDefault="008E6900" w:rsidP="00E20716">
      <w:pPr>
        <w:pStyle w:val="Gvdemetni250"/>
        <w:numPr>
          <w:ilvl w:val="0"/>
          <w:numId w:val="58"/>
        </w:numPr>
        <w:shd w:val="clear" w:color="auto" w:fill="auto"/>
        <w:tabs>
          <w:tab w:val="left" w:pos="0"/>
        </w:tabs>
        <w:spacing w:before="120" w:after="120" w:line="240" w:lineRule="auto"/>
        <w:ind w:left="1134" w:hanging="1134"/>
        <w:rPr>
          <w:sz w:val="24"/>
          <w:szCs w:val="24"/>
        </w:rPr>
      </w:pPr>
      <w:r w:rsidRPr="00DE12A3">
        <w:rPr>
          <w:sz w:val="24"/>
          <w:szCs w:val="24"/>
        </w:rPr>
        <w:t xml:space="preserve">      </w:t>
      </w:r>
      <w:r w:rsidR="00242DA0" w:rsidRPr="00DE12A3">
        <w:rPr>
          <w:sz w:val="24"/>
          <w:szCs w:val="24"/>
        </w:rPr>
        <w:t>Uyarı sisteminin devreye girişinin uyumluluğu iki test yapılarak ispatlanır: Ayıraç eksikliği ve 7</w:t>
      </w:r>
      <w:r w:rsidR="00BF667A" w:rsidRPr="00DE12A3">
        <w:rPr>
          <w:sz w:val="24"/>
          <w:szCs w:val="24"/>
        </w:rPr>
        <w:t>. ,</w:t>
      </w:r>
      <w:r w:rsidR="00242DA0" w:rsidRPr="00DE12A3">
        <w:rPr>
          <w:sz w:val="24"/>
          <w:szCs w:val="24"/>
        </w:rPr>
        <w:t>8</w:t>
      </w:r>
      <w:r w:rsidR="00BF667A" w:rsidRPr="00DE12A3">
        <w:rPr>
          <w:sz w:val="24"/>
          <w:szCs w:val="24"/>
        </w:rPr>
        <w:t>.</w:t>
      </w:r>
      <w:r w:rsidR="00242DA0" w:rsidRPr="00DE12A3">
        <w:rPr>
          <w:sz w:val="24"/>
          <w:szCs w:val="24"/>
        </w:rPr>
        <w:t xml:space="preserve"> veya 9. </w:t>
      </w:r>
      <w:r w:rsidR="00721C89" w:rsidRPr="00DE12A3">
        <w:rPr>
          <w:sz w:val="24"/>
          <w:szCs w:val="24"/>
        </w:rPr>
        <w:t>Bölüm</w:t>
      </w:r>
      <w:r w:rsidR="00242DA0" w:rsidRPr="00DE12A3">
        <w:rPr>
          <w:sz w:val="24"/>
          <w:szCs w:val="24"/>
        </w:rPr>
        <w:t>ler</w:t>
      </w:r>
      <w:r w:rsidR="00721C89" w:rsidRPr="00DE12A3">
        <w:rPr>
          <w:sz w:val="24"/>
          <w:szCs w:val="24"/>
        </w:rPr>
        <w:t>in</w:t>
      </w:r>
      <w:r w:rsidR="00242DA0" w:rsidRPr="00DE12A3">
        <w:rPr>
          <w:sz w:val="24"/>
          <w:szCs w:val="24"/>
        </w:rPr>
        <w:t>de tanımlanan bir arıza kategorisi.</w:t>
      </w:r>
    </w:p>
    <w:p w14:paraId="0C14F426" w14:textId="378E5774" w:rsidR="002D7B36" w:rsidRPr="00DE12A3" w:rsidRDefault="003D74CF" w:rsidP="00E20716">
      <w:pPr>
        <w:pStyle w:val="Gvdemetni250"/>
        <w:numPr>
          <w:ilvl w:val="0"/>
          <w:numId w:val="58"/>
        </w:numPr>
        <w:shd w:val="clear" w:color="auto" w:fill="auto"/>
        <w:tabs>
          <w:tab w:val="left" w:pos="835"/>
        </w:tabs>
        <w:spacing w:before="120" w:after="120" w:line="240" w:lineRule="auto"/>
        <w:ind w:left="1134" w:hanging="1134"/>
        <w:rPr>
          <w:sz w:val="24"/>
          <w:szCs w:val="24"/>
        </w:rPr>
      </w:pPr>
      <w:r w:rsidRPr="00DE12A3">
        <w:rPr>
          <w:sz w:val="24"/>
          <w:szCs w:val="24"/>
        </w:rPr>
        <w:t xml:space="preserve">  </w:t>
      </w:r>
      <w:r w:rsidR="008E6900" w:rsidRPr="00DE12A3">
        <w:rPr>
          <w:sz w:val="24"/>
          <w:szCs w:val="24"/>
        </w:rPr>
        <w:t xml:space="preserve">   </w:t>
      </w:r>
      <w:r w:rsidR="00242DA0" w:rsidRPr="00DE12A3">
        <w:rPr>
          <w:sz w:val="24"/>
          <w:szCs w:val="24"/>
        </w:rPr>
        <w:t>Test edilecek arızanın 7</w:t>
      </w:r>
      <w:r w:rsidR="00BF667A" w:rsidRPr="00DE12A3">
        <w:rPr>
          <w:sz w:val="24"/>
          <w:szCs w:val="24"/>
        </w:rPr>
        <w:t>.</w:t>
      </w:r>
      <w:r w:rsidR="00242DA0" w:rsidRPr="00DE12A3">
        <w:rPr>
          <w:sz w:val="24"/>
          <w:szCs w:val="24"/>
        </w:rPr>
        <w:t>, 8</w:t>
      </w:r>
      <w:r w:rsidR="00BF667A" w:rsidRPr="00DE12A3">
        <w:rPr>
          <w:sz w:val="24"/>
          <w:szCs w:val="24"/>
        </w:rPr>
        <w:t>.</w:t>
      </w:r>
      <w:r w:rsidR="00242DA0" w:rsidRPr="00DE12A3">
        <w:rPr>
          <w:sz w:val="24"/>
          <w:szCs w:val="24"/>
        </w:rPr>
        <w:t xml:space="preserve"> veya 9. </w:t>
      </w:r>
      <w:r w:rsidR="00721C89" w:rsidRPr="00DE12A3">
        <w:rPr>
          <w:sz w:val="24"/>
          <w:szCs w:val="24"/>
        </w:rPr>
        <w:t>Bölüm</w:t>
      </w:r>
      <w:r w:rsidR="00242DA0" w:rsidRPr="00DE12A3">
        <w:rPr>
          <w:sz w:val="24"/>
          <w:szCs w:val="24"/>
        </w:rPr>
        <w:t>ler</w:t>
      </w:r>
      <w:r w:rsidR="00721C89" w:rsidRPr="00DE12A3">
        <w:rPr>
          <w:sz w:val="24"/>
          <w:szCs w:val="24"/>
        </w:rPr>
        <w:t>in</w:t>
      </w:r>
      <w:r w:rsidR="00242DA0" w:rsidRPr="00DE12A3">
        <w:rPr>
          <w:sz w:val="24"/>
          <w:szCs w:val="24"/>
        </w:rPr>
        <w:t>de belirtilenler arasından seçilmesi.</w:t>
      </w:r>
    </w:p>
    <w:p w14:paraId="1AE714D2" w14:textId="702DD528" w:rsidR="002D7B36" w:rsidRPr="00DE12A3" w:rsidRDefault="007E2039" w:rsidP="00E20716">
      <w:pPr>
        <w:pStyle w:val="Gvdemetni250"/>
        <w:numPr>
          <w:ilvl w:val="0"/>
          <w:numId w:val="59"/>
        </w:numPr>
        <w:shd w:val="clear" w:color="auto" w:fill="auto"/>
        <w:tabs>
          <w:tab w:val="left" w:pos="0"/>
        </w:tabs>
        <w:spacing w:before="120" w:after="120" w:line="240" w:lineRule="auto"/>
        <w:ind w:left="1134" w:hanging="1134"/>
        <w:rPr>
          <w:sz w:val="24"/>
          <w:szCs w:val="24"/>
        </w:rPr>
      </w:pPr>
      <w:r w:rsidRPr="00DE12A3">
        <w:rPr>
          <w:sz w:val="24"/>
          <w:szCs w:val="24"/>
        </w:rPr>
        <w:t xml:space="preserve">Onay kuruluşu </w:t>
      </w:r>
      <w:r w:rsidR="00242DA0" w:rsidRPr="00DE12A3">
        <w:rPr>
          <w:sz w:val="24"/>
          <w:szCs w:val="24"/>
        </w:rPr>
        <w:t xml:space="preserve">bir arıza kategorisi seçer. 7. veya 9. </w:t>
      </w:r>
      <w:r w:rsidR="00721C89" w:rsidRPr="00DE12A3">
        <w:rPr>
          <w:sz w:val="24"/>
          <w:szCs w:val="24"/>
        </w:rPr>
        <w:t>Bölüm</w:t>
      </w:r>
      <w:r w:rsidR="00242DA0" w:rsidRPr="00DE12A3">
        <w:rPr>
          <w:sz w:val="24"/>
          <w:szCs w:val="24"/>
        </w:rPr>
        <w:t>den bir arıza seçilmesi halinde, sırasıyla 10.3.2.2 veya 10.3.2.3 bentlerinde belirtilen ilave şartlar uygulanır.</w:t>
      </w:r>
    </w:p>
    <w:p w14:paraId="2E168CEA" w14:textId="77777777" w:rsidR="002D7B36" w:rsidRPr="00DE12A3" w:rsidRDefault="00242DA0" w:rsidP="00E20716">
      <w:pPr>
        <w:pStyle w:val="Gvdemetni250"/>
        <w:numPr>
          <w:ilvl w:val="0"/>
          <w:numId w:val="59"/>
        </w:numPr>
        <w:shd w:val="clear" w:color="auto" w:fill="auto"/>
        <w:spacing w:before="120" w:after="120" w:line="240" w:lineRule="auto"/>
        <w:ind w:left="1134" w:hanging="1134"/>
        <w:rPr>
          <w:sz w:val="24"/>
          <w:szCs w:val="24"/>
        </w:rPr>
      </w:pPr>
      <w:r w:rsidRPr="00DE12A3">
        <w:rPr>
          <w:sz w:val="24"/>
          <w:szCs w:val="24"/>
        </w:rPr>
        <w:t>Yanlış ayıraç kalitesi durumunda uyarı sisteminin devreye girdiğinin ispatlanması amacıyla, 7 ila 7.3.3 bentlerinde belirtilen şartlar uyarınca en az imalatçı tarafından bildirilen düzeyde seyreltik bir aktif madde seyreltisine sahip bir ayıraç seçilmelidir.</w:t>
      </w:r>
    </w:p>
    <w:p w14:paraId="3228B192" w14:textId="1393F400" w:rsidR="002D7B36" w:rsidRPr="00DE12A3" w:rsidRDefault="00242DA0" w:rsidP="00E20716">
      <w:pPr>
        <w:pStyle w:val="Gvdemetni250"/>
        <w:numPr>
          <w:ilvl w:val="0"/>
          <w:numId w:val="59"/>
        </w:numPr>
        <w:shd w:val="clear" w:color="auto" w:fill="auto"/>
        <w:tabs>
          <w:tab w:val="left" w:pos="835"/>
        </w:tabs>
        <w:spacing w:before="120" w:after="120" w:line="240" w:lineRule="auto"/>
        <w:ind w:left="1134" w:hanging="1134"/>
        <w:rPr>
          <w:sz w:val="24"/>
          <w:szCs w:val="24"/>
        </w:rPr>
      </w:pPr>
      <w:r w:rsidRPr="00DE12A3">
        <w:rPr>
          <w:sz w:val="24"/>
          <w:szCs w:val="24"/>
        </w:rPr>
        <w:t xml:space="preserve">Kurcalanmadan kaynaklanabilecek ve 9. </w:t>
      </w:r>
      <w:r w:rsidR="00721C89" w:rsidRPr="00DE12A3">
        <w:rPr>
          <w:sz w:val="24"/>
          <w:szCs w:val="24"/>
        </w:rPr>
        <w:t>Bölüm</w:t>
      </w:r>
      <w:r w:rsidRPr="00DE12A3">
        <w:rPr>
          <w:sz w:val="24"/>
          <w:szCs w:val="24"/>
        </w:rPr>
        <w:t>de tanımlanan arızalar durumunda uyarı sisteminin devreye girdiğinin ispatlanması amacıyla, seçim aşağıdaki şartlar uyarınca yapılmalıdır:</w:t>
      </w:r>
    </w:p>
    <w:p w14:paraId="5E30E93B" w14:textId="77777777" w:rsidR="002D7B36" w:rsidRPr="00DE12A3" w:rsidRDefault="00242DA0" w:rsidP="00E20716">
      <w:pPr>
        <w:pStyle w:val="Gvdemetni250"/>
        <w:numPr>
          <w:ilvl w:val="0"/>
          <w:numId w:val="60"/>
        </w:numPr>
        <w:shd w:val="clear" w:color="auto" w:fill="auto"/>
        <w:tabs>
          <w:tab w:val="left" w:pos="567"/>
          <w:tab w:val="left" w:pos="709"/>
        </w:tabs>
        <w:spacing w:before="120" w:after="120" w:line="240" w:lineRule="auto"/>
        <w:ind w:left="1134" w:hanging="1134"/>
        <w:rPr>
          <w:spacing w:val="4"/>
          <w:sz w:val="24"/>
          <w:szCs w:val="24"/>
        </w:rPr>
      </w:pPr>
      <w:r w:rsidRPr="00DE12A3">
        <w:rPr>
          <w:sz w:val="24"/>
          <w:szCs w:val="24"/>
        </w:rPr>
        <w:t xml:space="preserve">İmalatçı, </w:t>
      </w:r>
      <w:r w:rsidR="007E2039" w:rsidRPr="00DE12A3">
        <w:rPr>
          <w:sz w:val="24"/>
          <w:szCs w:val="24"/>
        </w:rPr>
        <w:t xml:space="preserve">onay </w:t>
      </w:r>
      <w:r w:rsidR="00F73CAC" w:rsidRPr="00DE12A3">
        <w:rPr>
          <w:sz w:val="24"/>
          <w:szCs w:val="24"/>
        </w:rPr>
        <w:t>kuruluşuna bu</w:t>
      </w:r>
      <w:r w:rsidRPr="00DE12A3">
        <w:rPr>
          <w:sz w:val="24"/>
          <w:szCs w:val="24"/>
        </w:rPr>
        <w:t xml:space="preserve"> tür olası arızaların bir listesini sağlamalıdır.</w:t>
      </w:r>
    </w:p>
    <w:p w14:paraId="1570694F" w14:textId="04171ADA" w:rsidR="002D7B36" w:rsidRPr="00DE12A3" w:rsidRDefault="00242DA0" w:rsidP="00C917D6">
      <w:pPr>
        <w:pStyle w:val="Gvdemetni250"/>
        <w:shd w:val="clear" w:color="auto" w:fill="auto"/>
        <w:spacing w:before="120" w:after="120" w:line="240" w:lineRule="auto"/>
        <w:ind w:left="1134" w:hanging="1134"/>
        <w:rPr>
          <w:spacing w:val="4"/>
          <w:sz w:val="24"/>
          <w:szCs w:val="24"/>
        </w:rPr>
      </w:pPr>
      <w:r w:rsidRPr="00DE12A3">
        <w:rPr>
          <w:spacing w:val="4"/>
          <w:sz w:val="24"/>
          <w:szCs w:val="24"/>
        </w:rPr>
        <w:t xml:space="preserve">10.3.2.3.2.Testte incelenecek arıza, 10.3.2.3.1 bendinde belirtilen listeden onay otoritesi tarafından </w:t>
      </w:r>
      <w:r w:rsidR="00794FBF" w:rsidRPr="00DE12A3">
        <w:rPr>
          <w:spacing w:val="4"/>
          <w:sz w:val="24"/>
          <w:szCs w:val="24"/>
        </w:rPr>
        <w:t>s</w:t>
      </w:r>
      <w:r w:rsidRPr="00DE12A3">
        <w:rPr>
          <w:spacing w:val="4"/>
          <w:sz w:val="24"/>
          <w:szCs w:val="24"/>
        </w:rPr>
        <w:t>eçilmelidir.</w:t>
      </w:r>
    </w:p>
    <w:p w14:paraId="1484AC41" w14:textId="77777777" w:rsidR="002D7B36" w:rsidRPr="00DE12A3" w:rsidRDefault="00794FBF" w:rsidP="00E20716">
      <w:pPr>
        <w:pStyle w:val="Gvdemetni250"/>
        <w:numPr>
          <w:ilvl w:val="0"/>
          <w:numId w:val="58"/>
        </w:numPr>
        <w:shd w:val="clear" w:color="auto" w:fill="auto"/>
        <w:tabs>
          <w:tab w:val="left" w:pos="567"/>
        </w:tabs>
        <w:spacing w:before="120" w:after="120" w:line="240" w:lineRule="auto"/>
        <w:ind w:left="1134" w:hanging="1134"/>
        <w:rPr>
          <w:sz w:val="24"/>
          <w:szCs w:val="24"/>
        </w:rPr>
      </w:pPr>
      <w:r w:rsidRPr="00DE12A3">
        <w:rPr>
          <w:sz w:val="24"/>
          <w:szCs w:val="24"/>
        </w:rPr>
        <w:t xml:space="preserve">       </w:t>
      </w:r>
      <w:r w:rsidR="00242DA0" w:rsidRPr="00DE12A3">
        <w:rPr>
          <w:sz w:val="24"/>
          <w:szCs w:val="24"/>
        </w:rPr>
        <w:t>İspat</w:t>
      </w:r>
    </w:p>
    <w:p w14:paraId="40D10810" w14:textId="77777777" w:rsidR="002D7B36" w:rsidRPr="00DE12A3" w:rsidRDefault="00242DA0" w:rsidP="00E20716">
      <w:pPr>
        <w:pStyle w:val="Gvdemetni250"/>
        <w:numPr>
          <w:ilvl w:val="0"/>
          <w:numId w:val="61"/>
        </w:numPr>
        <w:shd w:val="clear" w:color="auto" w:fill="auto"/>
        <w:spacing w:before="120" w:after="120" w:line="240" w:lineRule="auto"/>
        <w:ind w:left="1134" w:hanging="1134"/>
        <w:rPr>
          <w:sz w:val="24"/>
          <w:szCs w:val="24"/>
        </w:rPr>
      </w:pPr>
      <w:r w:rsidRPr="00DE12A3">
        <w:rPr>
          <w:sz w:val="24"/>
          <w:szCs w:val="24"/>
        </w:rPr>
        <w:t xml:space="preserve">Bu ispatın amacı doğrultusunda, ayıraç eksikliği ve seçilen arıza için 10.3.2 </w:t>
      </w:r>
      <w:r w:rsidR="00794FBF" w:rsidRPr="00DE12A3">
        <w:rPr>
          <w:sz w:val="24"/>
          <w:szCs w:val="24"/>
        </w:rPr>
        <w:t xml:space="preserve">   </w:t>
      </w:r>
      <w:r w:rsidRPr="00DE12A3">
        <w:rPr>
          <w:sz w:val="24"/>
          <w:szCs w:val="24"/>
        </w:rPr>
        <w:t>ila 10.3.2.3.2 bentleri uyarınca ayrı bir test yapılmalıdır.</w:t>
      </w:r>
    </w:p>
    <w:p w14:paraId="2E2F2E79" w14:textId="77777777" w:rsidR="002D7B36" w:rsidRPr="00DE12A3" w:rsidRDefault="00242DA0" w:rsidP="00E20716">
      <w:pPr>
        <w:pStyle w:val="Gvdemetni250"/>
        <w:numPr>
          <w:ilvl w:val="0"/>
          <w:numId w:val="61"/>
        </w:numPr>
        <w:shd w:val="clear" w:color="auto" w:fill="auto"/>
        <w:spacing w:before="120" w:after="120" w:line="240" w:lineRule="auto"/>
        <w:ind w:left="1134" w:hanging="1134"/>
        <w:rPr>
          <w:sz w:val="24"/>
          <w:szCs w:val="24"/>
        </w:rPr>
      </w:pPr>
      <w:r w:rsidRPr="00DE12A3">
        <w:rPr>
          <w:sz w:val="24"/>
          <w:szCs w:val="24"/>
        </w:rPr>
        <w:t>Test sırasında, teste tabi tutulan arızadan başka bir arıza olmamalıdır.</w:t>
      </w:r>
    </w:p>
    <w:p w14:paraId="63169792" w14:textId="77777777" w:rsidR="002D7B36" w:rsidRPr="00DE12A3" w:rsidRDefault="00242DA0" w:rsidP="00E20716">
      <w:pPr>
        <w:pStyle w:val="Gvdemetni250"/>
        <w:numPr>
          <w:ilvl w:val="0"/>
          <w:numId w:val="61"/>
        </w:numPr>
        <w:shd w:val="clear" w:color="auto" w:fill="auto"/>
        <w:spacing w:before="120" w:after="120" w:line="240" w:lineRule="auto"/>
        <w:ind w:left="1134" w:hanging="1134"/>
        <w:rPr>
          <w:sz w:val="24"/>
          <w:szCs w:val="24"/>
        </w:rPr>
      </w:pPr>
      <w:r w:rsidRPr="00DE12A3">
        <w:rPr>
          <w:sz w:val="24"/>
          <w:szCs w:val="24"/>
        </w:rPr>
        <w:t>Bir teste başlamadan önce, tüm DTC'ler silinmiş olmalıdır.</w:t>
      </w:r>
    </w:p>
    <w:p w14:paraId="74C19E0B" w14:textId="77777777" w:rsidR="002D7B36" w:rsidRPr="00DE12A3" w:rsidRDefault="00242DA0" w:rsidP="00E20716">
      <w:pPr>
        <w:pStyle w:val="Gvdemetni250"/>
        <w:numPr>
          <w:ilvl w:val="0"/>
          <w:numId w:val="61"/>
        </w:numPr>
        <w:shd w:val="clear" w:color="auto" w:fill="auto"/>
        <w:spacing w:before="120" w:after="120" w:line="240" w:lineRule="auto"/>
        <w:ind w:left="1134" w:hanging="1134"/>
        <w:rPr>
          <w:sz w:val="24"/>
          <w:szCs w:val="24"/>
        </w:rPr>
      </w:pPr>
      <w:r w:rsidRPr="00DE12A3">
        <w:rPr>
          <w:sz w:val="24"/>
          <w:szCs w:val="24"/>
        </w:rPr>
        <w:t xml:space="preserve">İmalatçının talebi üzerine ve </w:t>
      </w:r>
      <w:r w:rsidR="007E2039" w:rsidRPr="00DE12A3">
        <w:rPr>
          <w:sz w:val="24"/>
          <w:szCs w:val="24"/>
        </w:rPr>
        <w:t xml:space="preserve">onay </w:t>
      </w:r>
      <w:r w:rsidR="00F73CAC" w:rsidRPr="00DE12A3">
        <w:rPr>
          <w:sz w:val="24"/>
          <w:szCs w:val="24"/>
        </w:rPr>
        <w:t>kuruluşunun mutabakatıyla</w:t>
      </w:r>
      <w:r w:rsidRPr="00DE12A3">
        <w:rPr>
          <w:sz w:val="24"/>
          <w:szCs w:val="24"/>
        </w:rPr>
        <w:t xml:space="preserve">, teste tabi tutulan </w:t>
      </w:r>
      <w:r w:rsidR="00794FBF" w:rsidRPr="00DE12A3">
        <w:rPr>
          <w:sz w:val="24"/>
          <w:szCs w:val="24"/>
        </w:rPr>
        <w:t xml:space="preserve">   </w:t>
      </w:r>
      <w:r w:rsidRPr="00DE12A3">
        <w:rPr>
          <w:sz w:val="24"/>
          <w:szCs w:val="24"/>
        </w:rPr>
        <w:t>arızaların simülasyonu yapılabilir.</w:t>
      </w:r>
    </w:p>
    <w:p w14:paraId="42D8FC50" w14:textId="77777777" w:rsidR="002D7B36" w:rsidRPr="00DE12A3" w:rsidRDefault="00242DA0" w:rsidP="00E20716">
      <w:pPr>
        <w:pStyle w:val="Gvdemetni250"/>
        <w:numPr>
          <w:ilvl w:val="0"/>
          <w:numId w:val="61"/>
        </w:numPr>
        <w:shd w:val="clear" w:color="auto" w:fill="auto"/>
        <w:tabs>
          <w:tab w:val="left" w:pos="1134"/>
        </w:tabs>
        <w:spacing w:before="120" w:after="120" w:line="240" w:lineRule="auto"/>
        <w:ind w:left="1134" w:hanging="1134"/>
        <w:rPr>
          <w:sz w:val="24"/>
          <w:szCs w:val="24"/>
        </w:rPr>
      </w:pPr>
      <w:r w:rsidRPr="00DE12A3">
        <w:rPr>
          <w:sz w:val="24"/>
          <w:szCs w:val="24"/>
        </w:rPr>
        <w:t>Ayıraç eksikliği dışındaki arızaların tespiti.</w:t>
      </w:r>
    </w:p>
    <w:p w14:paraId="19546DB2" w14:textId="77777777" w:rsidR="002D7B36" w:rsidRPr="00DE12A3" w:rsidRDefault="003D74CF" w:rsidP="00C917D6">
      <w:pPr>
        <w:pStyle w:val="Gvdemetni250"/>
        <w:shd w:val="clear" w:color="auto" w:fill="auto"/>
        <w:spacing w:before="120" w:after="120" w:line="240" w:lineRule="auto"/>
        <w:ind w:left="1134" w:hanging="1134"/>
        <w:rPr>
          <w:sz w:val="24"/>
          <w:szCs w:val="24"/>
        </w:rPr>
      </w:pPr>
      <w:r w:rsidRPr="00DE12A3">
        <w:rPr>
          <w:sz w:val="24"/>
          <w:szCs w:val="24"/>
        </w:rPr>
        <w:t xml:space="preserve">                  </w:t>
      </w:r>
      <w:r w:rsidR="00242DA0" w:rsidRPr="00DE12A3">
        <w:rPr>
          <w:sz w:val="24"/>
          <w:szCs w:val="24"/>
        </w:rPr>
        <w:t xml:space="preserve">Ayıraç eksikliği dışındaki arızalar için, arıza bir kez başlatıldığında veya </w:t>
      </w:r>
      <w:r w:rsidR="00242DA0" w:rsidRPr="00DE12A3">
        <w:rPr>
          <w:sz w:val="24"/>
          <w:szCs w:val="24"/>
        </w:rPr>
        <w:lastRenderedPageBreak/>
        <w:t>simülasyonu yapıldığında, bu arızanın tespiti aşağıdaki şekilde yapılmalıdır:</w:t>
      </w:r>
    </w:p>
    <w:p w14:paraId="5700F6F7" w14:textId="77777777" w:rsidR="002D7B36" w:rsidRPr="00DE12A3" w:rsidRDefault="00242DA0" w:rsidP="00E20716">
      <w:pPr>
        <w:pStyle w:val="Gvdemetni250"/>
        <w:numPr>
          <w:ilvl w:val="0"/>
          <w:numId w:val="62"/>
        </w:numPr>
        <w:shd w:val="clear" w:color="auto" w:fill="auto"/>
        <w:spacing w:before="120" w:after="120" w:line="240" w:lineRule="auto"/>
        <w:ind w:left="1134" w:hanging="1134"/>
        <w:rPr>
          <w:sz w:val="24"/>
          <w:szCs w:val="24"/>
        </w:rPr>
      </w:pPr>
      <w:r w:rsidRPr="00DE12A3">
        <w:rPr>
          <w:sz w:val="24"/>
          <w:szCs w:val="24"/>
        </w:rPr>
        <w:t xml:space="preserve">NCD sistemi, bu Ekin hükümleri uyarınca </w:t>
      </w:r>
      <w:r w:rsidR="007E2039" w:rsidRPr="00DE12A3">
        <w:rPr>
          <w:sz w:val="24"/>
          <w:szCs w:val="24"/>
        </w:rPr>
        <w:t xml:space="preserve">onay </w:t>
      </w:r>
      <w:r w:rsidR="00F73CAC" w:rsidRPr="00DE12A3">
        <w:rPr>
          <w:sz w:val="24"/>
          <w:szCs w:val="24"/>
        </w:rPr>
        <w:t>kuruluşu tarafından</w:t>
      </w:r>
      <w:r w:rsidRPr="00DE12A3">
        <w:rPr>
          <w:sz w:val="24"/>
          <w:szCs w:val="24"/>
        </w:rPr>
        <w:t xml:space="preserve"> uygun görülen bir arızanın çıkmasına tepki göstermelidir. Devreye girmenin 10.3.3.7 bendine göre ardışık iki NCD test </w:t>
      </w:r>
      <w:r w:rsidR="00F73CAC" w:rsidRPr="00DE12A3">
        <w:rPr>
          <w:sz w:val="24"/>
          <w:szCs w:val="24"/>
        </w:rPr>
        <w:t>çevrimi içinde</w:t>
      </w:r>
      <w:r w:rsidRPr="00DE12A3">
        <w:rPr>
          <w:sz w:val="24"/>
          <w:szCs w:val="24"/>
        </w:rPr>
        <w:t xml:space="preserve"> gerçekleşmesi durumunda bunun ispat edildiği kabul edilir.</w:t>
      </w:r>
    </w:p>
    <w:p w14:paraId="5B0F4F80" w14:textId="77777777" w:rsidR="002D7B36" w:rsidRPr="00DE12A3" w:rsidRDefault="003D74CF" w:rsidP="00C917D6">
      <w:pPr>
        <w:pStyle w:val="Gvdemetni250"/>
        <w:shd w:val="clear" w:color="auto" w:fill="auto"/>
        <w:spacing w:before="120" w:after="120" w:line="240" w:lineRule="auto"/>
        <w:ind w:left="1134" w:hanging="1134"/>
        <w:rPr>
          <w:sz w:val="24"/>
          <w:szCs w:val="24"/>
        </w:rPr>
      </w:pPr>
      <w:r w:rsidRPr="00DE12A3">
        <w:rPr>
          <w:sz w:val="24"/>
          <w:szCs w:val="24"/>
        </w:rPr>
        <w:t xml:space="preserve">                  </w:t>
      </w:r>
      <w:r w:rsidR="00242DA0" w:rsidRPr="00DE12A3">
        <w:rPr>
          <w:sz w:val="24"/>
          <w:szCs w:val="24"/>
        </w:rPr>
        <w:t xml:space="preserve">Belirli bir izlemecinin izlemesini tamamlaması için ikiden fazla NCD test </w:t>
      </w:r>
      <w:r w:rsidR="00951351" w:rsidRPr="00DE12A3">
        <w:rPr>
          <w:sz w:val="24"/>
          <w:szCs w:val="24"/>
        </w:rPr>
        <w:t>çevrimi</w:t>
      </w:r>
      <w:r w:rsidR="00242DA0" w:rsidRPr="00DE12A3">
        <w:rPr>
          <w:sz w:val="24"/>
          <w:szCs w:val="24"/>
        </w:rPr>
        <w:t xml:space="preserve">ne ihtiyaç duyduğu izleme açıklamasında belirtildiğinde ve </w:t>
      </w:r>
      <w:r w:rsidR="007E2039" w:rsidRPr="00DE12A3">
        <w:rPr>
          <w:sz w:val="24"/>
          <w:szCs w:val="24"/>
        </w:rPr>
        <w:t xml:space="preserve">onay </w:t>
      </w:r>
      <w:r w:rsidR="00F73CAC" w:rsidRPr="00DE12A3">
        <w:rPr>
          <w:sz w:val="24"/>
          <w:szCs w:val="24"/>
        </w:rPr>
        <w:t>kuruluşu tarafından</w:t>
      </w:r>
      <w:r w:rsidR="00242DA0" w:rsidRPr="00DE12A3">
        <w:rPr>
          <w:sz w:val="24"/>
          <w:szCs w:val="24"/>
        </w:rPr>
        <w:t xml:space="preserve"> kabul edildiğinde, NCD test </w:t>
      </w:r>
      <w:r w:rsidR="00F310B5" w:rsidRPr="00DE12A3">
        <w:rPr>
          <w:sz w:val="24"/>
          <w:szCs w:val="24"/>
        </w:rPr>
        <w:t>çevrim</w:t>
      </w:r>
      <w:r w:rsidR="00242DA0" w:rsidRPr="00DE12A3">
        <w:rPr>
          <w:sz w:val="24"/>
          <w:szCs w:val="24"/>
        </w:rPr>
        <w:t xml:space="preserve">lerinin sayısı 3 NCD test </w:t>
      </w:r>
      <w:r w:rsidR="00951351" w:rsidRPr="00DE12A3">
        <w:rPr>
          <w:sz w:val="24"/>
          <w:szCs w:val="24"/>
        </w:rPr>
        <w:t>çevrimi</w:t>
      </w:r>
      <w:r w:rsidR="00242DA0" w:rsidRPr="00DE12A3">
        <w:rPr>
          <w:sz w:val="24"/>
          <w:szCs w:val="24"/>
        </w:rPr>
        <w:t>ne yükseltilebilir.</w:t>
      </w:r>
    </w:p>
    <w:p w14:paraId="7569BF4F" w14:textId="0EF51086" w:rsidR="002D7B36" w:rsidRPr="00DE12A3" w:rsidRDefault="003D74CF" w:rsidP="00C917D6">
      <w:pPr>
        <w:pStyle w:val="Gvdemetni250"/>
        <w:shd w:val="clear" w:color="auto" w:fill="auto"/>
        <w:spacing w:before="120" w:after="120" w:line="240" w:lineRule="auto"/>
        <w:ind w:left="1134" w:hanging="1134"/>
        <w:rPr>
          <w:sz w:val="24"/>
          <w:szCs w:val="24"/>
        </w:rPr>
      </w:pPr>
      <w:r w:rsidRPr="00DE12A3">
        <w:rPr>
          <w:sz w:val="24"/>
          <w:szCs w:val="24"/>
        </w:rPr>
        <w:t xml:space="preserve">                  </w:t>
      </w:r>
      <w:r w:rsidR="00242DA0" w:rsidRPr="00DE12A3">
        <w:rPr>
          <w:sz w:val="24"/>
          <w:szCs w:val="24"/>
        </w:rPr>
        <w:t xml:space="preserve">İspat testindeki her bağımsız NCD test </w:t>
      </w:r>
      <w:r w:rsidR="00F73CAC" w:rsidRPr="00DE12A3">
        <w:rPr>
          <w:sz w:val="24"/>
          <w:szCs w:val="24"/>
        </w:rPr>
        <w:t>çevrimi bir</w:t>
      </w:r>
      <w:r w:rsidR="00242DA0" w:rsidRPr="00DE12A3">
        <w:rPr>
          <w:sz w:val="24"/>
          <w:szCs w:val="24"/>
        </w:rPr>
        <w:t xml:space="preserve"> motor kapatma ile birbirinden ayrılabilir. Bir sonraki çalıştırmaya kadar geçecek süre için, motorun kapatılmasından sonra olabilecek izlemeler ve izlemenin bir sonraki çalıştırmada gerçekleşmesi için gereken her tür koşul dikkate alınmalıdır.</w:t>
      </w:r>
    </w:p>
    <w:p w14:paraId="74DD236C" w14:textId="77777777" w:rsidR="002D7B36" w:rsidRPr="00DE12A3" w:rsidRDefault="00242DA0" w:rsidP="00E20716">
      <w:pPr>
        <w:pStyle w:val="Gvdemetni250"/>
        <w:numPr>
          <w:ilvl w:val="0"/>
          <w:numId w:val="62"/>
        </w:numPr>
        <w:shd w:val="clear" w:color="auto" w:fill="auto"/>
        <w:spacing w:before="120" w:after="120" w:line="240" w:lineRule="auto"/>
        <w:ind w:left="1134" w:hanging="1134"/>
        <w:rPr>
          <w:sz w:val="24"/>
          <w:szCs w:val="24"/>
        </w:rPr>
      </w:pPr>
      <w:r w:rsidRPr="00DE12A3">
        <w:rPr>
          <w:sz w:val="24"/>
          <w:szCs w:val="24"/>
        </w:rPr>
        <w:t>10.3.3 bendi uyarınca yapılan her ispat testinin sonunda, uyarı sisteminin uygun şekilde devreye girmesi ve seçilen arıza için DTC'nin "doğrulandı ve devrede" olması durumunda, uyarı sisteminin devreye girdiğinin ispatı yapılmış sayılır.</w:t>
      </w:r>
    </w:p>
    <w:p w14:paraId="62A4CB76" w14:textId="77777777" w:rsidR="002D7B36" w:rsidRPr="00DE12A3" w:rsidRDefault="00242DA0" w:rsidP="00E20716">
      <w:pPr>
        <w:pStyle w:val="Gvdemetni250"/>
        <w:numPr>
          <w:ilvl w:val="0"/>
          <w:numId w:val="61"/>
        </w:numPr>
        <w:shd w:val="clear" w:color="auto" w:fill="auto"/>
        <w:spacing w:before="120" w:after="120" w:line="240" w:lineRule="auto"/>
        <w:ind w:left="1134" w:hanging="1134"/>
        <w:rPr>
          <w:sz w:val="24"/>
          <w:szCs w:val="24"/>
        </w:rPr>
      </w:pPr>
      <w:r w:rsidRPr="00DE12A3">
        <w:rPr>
          <w:sz w:val="24"/>
          <w:szCs w:val="24"/>
        </w:rPr>
        <w:t>Ayıraç yetersizliği durumunda tespit</w:t>
      </w:r>
    </w:p>
    <w:p w14:paraId="671E56FD" w14:textId="69D1E800" w:rsidR="002D7B36" w:rsidRPr="00DE12A3" w:rsidRDefault="003D74CF" w:rsidP="00C917D6">
      <w:pPr>
        <w:pStyle w:val="Gvdemetni250"/>
        <w:shd w:val="clear" w:color="auto" w:fill="auto"/>
        <w:spacing w:before="120" w:after="120" w:line="240" w:lineRule="auto"/>
        <w:ind w:left="1134" w:hanging="1134"/>
        <w:rPr>
          <w:sz w:val="24"/>
          <w:szCs w:val="24"/>
        </w:rPr>
      </w:pPr>
      <w:r w:rsidRPr="00DE12A3">
        <w:rPr>
          <w:sz w:val="24"/>
          <w:szCs w:val="24"/>
        </w:rPr>
        <w:t xml:space="preserve">                   </w:t>
      </w:r>
      <w:r w:rsidR="00242DA0" w:rsidRPr="00DE12A3">
        <w:rPr>
          <w:sz w:val="24"/>
          <w:szCs w:val="24"/>
        </w:rPr>
        <w:t xml:space="preserve">Ayıracın yetersiz olması durumunda uyarı sisteminin devreye girdiğinin ispatı amacıyla, imalatçının takdirine bağlı olarak motor bir veya birkaç NCD test </w:t>
      </w:r>
      <w:r w:rsidR="00DB50AB" w:rsidRPr="00DE12A3">
        <w:rPr>
          <w:sz w:val="24"/>
          <w:szCs w:val="24"/>
        </w:rPr>
        <w:t>çevrimi üzerinde</w:t>
      </w:r>
      <w:r w:rsidR="00242DA0" w:rsidRPr="00DE12A3">
        <w:rPr>
          <w:sz w:val="24"/>
          <w:szCs w:val="24"/>
        </w:rPr>
        <w:t xml:space="preserve"> çalıştırılmalıdır.</w:t>
      </w:r>
    </w:p>
    <w:p w14:paraId="11FC220C" w14:textId="77777777" w:rsidR="002D7B36" w:rsidRPr="00DE12A3" w:rsidRDefault="00242DA0" w:rsidP="00E20716">
      <w:pPr>
        <w:pStyle w:val="Gvdemetni250"/>
        <w:numPr>
          <w:ilvl w:val="0"/>
          <w:numId w:val="63"/>
        </w:numPr>
        <w:shd w:val="clear" w:color="auto" w:fill="auto"/>
        <w:spacing w:before="120" w:after="120" w:line="240" w:lineRule="auto"/>
        <w:ind w:left="1134" w:hanging="1134"/>
        <w:rPr>
          <w:sz w:val="24"/>
          <w:szCs w:val="24"/>
        </w:rPr>
      </w:pPr>
      <w:r w:rsidRPr="00DE12A3">
        <w:rPr>
          <w:sz w:val="24"/>
          <w:szCs w:val="24"/>
        </w:rPr>
        <w:t xml:space="preserve">İspat, tank içinde, imalatçı ve </w:t>
      </w:r>
      <w:r w:rsidR="007E2039" w:rsidRPr="00DE12A3">
        <w:rPr>
          <w:sz w:val="24"/>
          <w:szCs w:val="24"/>
        </w:rPr>
        <w:t xml:space="preserve">onay </w:t>
      </w:r>
      <w:r w:rsidR="00F73CAC" w:rsidRPr="00DE12A3">
        <w:rPr>
          <w:sz w:val="24"/>
          <w:szCs w:val="24"/>
        </w:rPr>
        <w:t>kuruluşu arasında</w:t>
      </w:r>
      <w:r w:rsidRPr="00DE12A3">
        <w:rPr>
          <w:sz w:val="24"/>
          <w:szCs w:val="24"/>
        </w:rPr>
        <w:t xml:space="preserve"> kararlaştırılacak olan ancak tankın nominal kapasitesinin %10'undan daha azını temsil etmeyen bir ayıraç seviyesi ile başlamalıdır.</w:t>
      </w:r>
    </w:p>
    <w:p w14:paraId="10B2DCB0" w14:textId="77777777" w:rsidR="002D7B36" w:rsidRPr="00DE12A3" w:rsidRDefault="00242DA0" w:rsidP="00E20716">
      <w:pPr>
        <w:pStyle w:val="Gvdemetni250"/>
        <w:numPr>
          <w:ilvl w:val="0"/>
          <w:numId w:val="63"/>
        </w:numPr>
        <w:shd w:val="clear" w:color="auto" w:fill="auto"/>
        <w:spacing w:before="120" w:after="120" w:line="240" w:lineRule="auto"/>
        <w:ind w:left="1134" w:hanging="1134"/>
        <w:rPr>
          <w:sz w:val="24"/>
          <w:szCs w:val="24"/>
        </w:rPr>
      </w:pPr>
      <w:r w:rsidRPr="00DE12A3">
        <w:rPr>
          <w:sz w:val="24"/>
          <w:szCs w:val="24"/>
        </w:rPr>
        <w:t>Aşağıdaki koşullar eşzamanlı olarak sağlanırsa, uyarı sisteminin doğru şekilde çalıştığı kabul edilir:</w:t>
      </w:r>
    </w:p>
    <w:p w14:paraId="38C8F380" w14:textId="77777777" w:rsidR="002D7B36" w:rsidRPr="00DE12A3" w:rsidRDefault="00794FBF" w:rsidP="00E20716">
      <w:pPr>
        <w:pStyle w:val="Gvdemetni250"/>
        <w:numPr>
          <w:ilvl w:val="0"/>
          <w:numId w:val="64"/>
        </w:numPr>
        <w:shd w:val="clear" w:color="auto" w:fill="auto"/>
        <w:spacing w:before="120" w:after="120" w:line="240" w:lineRule="auto"/>
        <w:ind w:left="1134" w:firstLine="0"/>
        <w:rPr>
          <w:sz w:val="24"/>
          <w:szCs w:val="24"/>
        </w:rPr>
      </w:pPr>
      <w:r w:rsidRPr="00DE12A3">
        <w:rPr>
          <w:sz w:val="24"/>
          <w:szCs w:val="24"/>
        </w:rPr>
        <w:t>U</w:t>
      </w:r>
      <w:r w:rsidR="00242DA0" w:rsidRPr="00DE12A3">
        <w:rPr>
          <w:sz w:val="24"/>
          <w:szCs w:val="24"/>
        </w:rPr>
        <w:t>yarı sistemi, ayıraç tankı kapasitesinin %10'una eşit veya daha fazla bir ayıraç miktarı ile devreye girerse; ve</w:t>
      </w:r>
    </w:p>
    <w:p w14:paraId="10324BBF" w14:textId="7A73F445" w:rsidR="002D7B36" w:rsidRPr="00DE12A3" w:rsidRDefault="00242DA0" w:rsidP="00E20716">
      <w:pPr>
        <w:pStyle w:val="Gvdemetni250"/>
        <w:numPr>
          <w:ilvl w:val="0"/>
          <w:numId w:val="64"/>
        </w:numPr>
        <w:shd w:val="clear" w:color="auto" w:fill="auto"/>
        <w:tabs>
          <w:tab w:val="left" w:pos="1418"/>
          <w:tab w:val="left" w:pos="1560"/>
        </w:tabs>
        <w:spacing w:before="120" w:after="120" w:line="240" w:lineRule="auto"/>
        <w:ind w:left="1134" w:firstLine="0"/>
        <w:rPr>
          <w:sz w:val="24"/>
          <w:szCs w:val="24"/>
        </w:rPr>
      </w:pPr>
      <w:r w:rsidRPr="00DE12A3">
        <w:rPr>
          <w:sz w:val="24"/>
          <w:szCs w:val="24"/>
        </w:rPr>
        <w:t>“</w:t>
      </w:r>
      <w:r w:rsidR="00DB50AB" w:rsidRPr="00DE12A3">
        <w:rPr>
          <w:sz w:val="24"/>
          <w:szCs w:val="24"/>
        </w:rPr>
        <w:t>Sürekli</w:t>
      </w:r>
      <w:r w:rsidRPr="00DE12A3">
        <w:rPr>
          <w:sz w:val="24"/>
          <w:szCs w:val="24"/>
        </w:rPr>
        <w:t xml:space="preserve">” uyarı sistemi, 6. </w:t>
      </w:r>
      <w:r w:rsidR="00721C89" w:rsidRPr="00DE12A3">
        <w:rPr>
          <w:sz w:val="24"/>
          <w:szCs w:val="24"/>
        </w:rPr>
        <w:t>Bölüm</w:t>
      </w:r>
      <w:r w:rsidRPr="00DE12A3">
        <w:rPr>
          <w:sz w:val="24"/>
          <w:szCs w:val="24"/>
        </w:rPr>
        <w:t>deki hükümler uyarınca imalatçı tarafından beyan edilen değere eşit veya daha büyük bir ayıraç miktarı ile devreye girerse.</w:t>
      </w:r>
    </w:p>
    <w:p w14:paraId="7490947B" w14:textId="77777777" w:rsidR="002D7B36" w:rsidRPr="00DE12A3" w:rsidRDefault="00242DA0" w:rsidP="00C917D6">
      <w:pPr>
        <w:pStyle w:val="Gvdemetni250"/>
        <w:shd w:val="clear" w:color="auto" w:fill="auto"/>
        <w:spacing w:before="120" w:after="120" w:line="240" w:lineRule="auto"/>
        <w:ind w:left="1134" w:hanging="1134"/>
        <w:rPr>
          <w:sz w:val="24"/>
          <w:szCs w:val="24"/>
        </w:rPr>
      </w:pPr>
      <w:r w:rsidRPr="00DE12A3">
        <w:rPr>
          <w:sz w:val="24"/>
          <w:szCs w:val="24"/>
        </w:rPr>
        <w:t xml:space="preserve">10.3.3.7.  </w:t>
      </w:r>
      <w:r w:rsidR="003D74CF" w:rsidRPr="00DE12A3">
        <w:rPr>
          <w:sz w:val="24"/>
          <w:szCs w:val="24"/>
        </w:rPr>
        <w:t xml:space="preserve">  </w:t>
      </w:r>
      <w:r w:rsidRPr="00DE12A3">
        <w:rPr>
          <w:sz w:val="24"/>
          <w:szCs w:val="24"/>
        </w:rPr>
        <w:t xml:space="preserve">NCD test </w:t>
      </w:r>
      <w:r w:rsidR="00951351" w:rsidRPr="00DE12A3">
        <w:rPr>
          <w:sz w:val="24"/>
          <w:szCs w:val="24"/>
        </w:rPr>
        <w:t xml:space="preserve">çevrimi </w:t>
      </w:r>
    </w:p>
    <w:p w14:paraId="699D386E" w14:textId="6A878B31" w:rsidR="002D7B36" w:rsidRPr="00DE12A3" w:rsidRDefault="003D74CF" w:rsidP="00E20716">
      <w:pPr>
        <w:pStyle w:val="Gvdemetni250"/>
        <w:numPr>
          <w:ilvl w:val="0"/>
          <w:numId w:val="65"/>
        </w:numPr>
        <w:shd w:val="clear" w:color="auto" w:fill="auto"/>
        <w:tabs>
          <w:tab w:val="left" w:pos="993"/>
        </w:tabs>
        <w:spacing w:before="120" w:after="120" w:line="240" w:lineRule="auto"/>
        <w:ind w:left="1134" w:hanging="1134"/>
        <w:rPr>
          <w:sz w:val="24"/>
          <w:szCs w:val="24"/>
        </w:rPr>
      </w:pPr>
      <w:r w:rsidRPr="00DE12A3">
        <w:rPr>
          <w:sz w:val="24"/>
          <w:szCs w:val="24"/>
        </w:rPr>
        <w:t xml:space="preserve">  </w:t>
      </w:r>
      <w:r w:rsidR="00242DA0" w:rsidRPr="00DE12A3">
        <w:rPr>
          <w:sz w:val="24"/>
          <w:szCs w:val="24"/>
        </w:rPr>
        <w:t xml:space="preserve">NCD sisteminin doğru çalıştığının ispatlanması için bu </w:t>
      </w:r>
      <w:r w:rsidR="00721C89" w:rsidRPr="00DE12A3">
        <w:rPr>
          <w:sz w:val="24"/>
          <w:szCs w:val="24"/>
        </w:rPr>
        <w:t>Bölüm</w:t>
      </w:r>
      <w:r w:rsidR="00242DA0" w:rsidRPr="00DE12A3">
        <w:rPr>
          <w:sz w:val="24"/>
          <w:szCs w:val="24"/>
        </w:rPr>
        <w:t xml:space="preserve">de ele alınan NCD test </w:t>
      </w:r>
      <w:r w:rsidR="00DB50AB" w:rsidRPr="00DE12A3">
        <w:rPr>
          <w:sz w:val="24"/>
          <w:szCs w:val="24"/>
        </w:rPr>
        <w:t>çevrimi,</w:t>
      </w:r>
      <w:r w:rsidR="00242DA0" w:rsidRPr="00DE12A3">
        <w:rPr>
          <w:sz w:val="24"/>
          <w:szCs w:val="24"/>
        </w:rPr>
        <w:t xml:space="preserve"> NRE-v-3, NRE-v-4, NRE-v-5, NRE-v-6 alt kategorisindeki motorlar için ön ısıtmalı NRTC ve diğer tüm kategoriler için geçerli NRSC'dir.</w:t>
      </w:r>
    </w:p>
    <w:p w14:paraId="4F8AB6A4" w14:textId="5DE2FD32" w:rsidR="002D7B36" w:rsidRPr="00DE12A3" w:rsidRDefault="00242DA0" w:rsidP="00E20716">
      <w:pPr>
        <w:pStyle w:val="Gvdemetni250"/>
        <w:numPr>
          <w:ilvl w:val="0"/>
          <w:numId w:val="65"/>
        </w:numPr>
        <w:shd w:val="clear" w:color="auto" w:fill="auto"/>
        <w:spacing w:before="120" w:after="120" w:line="240" w:lineRule="auto"/>
        <w:ind w:left="1134" w:hanging="1134"/>
        <w:rPr>
          <w:sz w:val="24"/>
          <w:szCs w:val="24"/>
        </w:rPr>
      </w:pPr>
      <w:r w:rsidRPr="00DE12A3">
        <w:rPr>
          <w:sz w:val="24"/>
          <w:szCs w:val="24"/>
        </w:rPr>
        <w:t xml:space="preserve">İmalatçının talebi üzerine ve </w:t>
      </w:r>
      <w:r w:rsidR="007E2039" w:rsidRPr="00DE12A3">
        <w:rPr>
          <w:sz w:val="24"/>
          <w:szCs w:val="24"/>
        </w:rPr>
        <w:t xml:space="preserve">onay </w:t>
      </w:r>
      <w:r w:rsidR="00F73CAC" w:rsidRPr="00DE12A3">
        <w:rPr>
          <w:sz w:val="24"/>
          <w:szCs w:val="24"/>
        </w:rPr>
        <w:t>kuruluşunun onayı</w:t>
      </w:r>
      <w:r w:rsidRPr="00DE12A3">
        <w:rPr>
          <w:sz w:val="24"/>
          <w:szCs w:val="24"/>
        </w:rPr>
        <w:t xml:space="preserve"> ile belirli bir izlemeci için (</w:t>
      </w:r>
      <w:r w:rsidR="005B014A" w:rsidRPr="00DE12A3">
        <w:rPr>
          <w:sz w:val="24"/>
          <w:szCs w:val="24"/>
        </w:rPr>
        <w:t>örneğin</w:t>
      </w:r>
      <w:r w:rsidRPr="00DE12A3">
        <w:rPr>
          <w:sz w:val="24"/>
          <w:szCs w:val="24"/>
        </w:rPr>
        <w:t xml:space="preserve"> NTRC veya NRSC dışında) alternatif bir NCD test </w:t>
      </w:r>
      <w:r w:rsidR="00F73CAC" w:rsidRPr="00DE12A3">
        <w:rPr>
          <w:sz w:val="24"/>
          <w:szCs w:val="24"/>
        </w:rPr>
        <w:t>çevrimi kullanılabilir</w:t>
      </w:r>
      <w:r w:rsidRPr="00DE12A3">
        <w:rPr>
          <w:sz w:val="24"/>
          <w:szCs w:val="24"/>
        </w:rPr>
        <w:t>. Bu talep, aşağıdakileri ispatlayan unsurları (teknik hususlar, simülasyon, test sonuçları v</w:t>
      </w:r>
      <w:r w:rsidR="005C6D9F" w:rsidRPr="00DE12A3">
        <w:rPr>
          <w:sz w:val="24"/>
          <w:szCs w:val="24"/>
        </w:rPr>
        <w:t>e benzeri</w:t>
      </w:r>
      <w:r w:rsidRPr="00DE12A3">
        <w:rPr>
          <w:sz w:val="24"/>
          <w:szCs w:val="24"/>
        </w:rPr>
        <w:t>) içermelidir:</w:t>
      </w:r>
    </w:p>
    <w:p w14:paraId="178D93E3" w14:textId="77777777" w:rsidR="002D7B36" w:rsidRPr="00DE12A3" w:rsidRDefault="00794FBF" w:rsidP="00E20716">
      <w:pPr>
        <w:pStyle w:val="Gvdemetni250"/>
        <w:numPr>
          <w:ilvl w:val="0"/>
          <w:numId w:val="66"/>
        </w:numPr>
        <w:shd w:val="clear" w:color="auto" w:fill="auto"/>
        <w:spacing w:before="120" w:after="120" w:line="240" w:lineRule="auto"/>
        <w:ind w:left="1134" w:firstLine="0"/>
        <w:rPr>
          <w:sz w:val="24"/>
          <w:szCs w:val="24"/>
        </w:rPr>
      </w:pPr>
      <w:r w:rsidRPr="00DE12A3">
        <w:rPr>
          <w:sz w:val="24"/>
          <w:szCs w:val="24"/>
        </w:rPr>
        <w:t xml:space="preserve">    T</w:t>
      </w:r>
      <w:r w:rsidR="00242DA0" w:rsidRPr="00DE12A3">
        <w:rPr>
          <w:sz w:val="24"/>
          <w:szCs w:val="24"/>
        </w:rPr>
        <w:t xml:space="preserve">alep edilen test </w:t>
      </w:r>
      <w:r w:rsidR="00F73CAC" w:rsidRPr="00DE12A3">
        <w:rPr>
          <w:sz w:val="24"/>
          <w:szCs w:val="24"/>
        </w:rPr>
        <w:t>çevrimi,</w:t>
      </w:r>
      <w:r w:rsidR="00242DA0" w:rsidRPr="00DE12A3">
        <w:rPr>
          <w:sz w:val="24"/>
          <w:szCs w:val="24"/>
        </w:rPr>
        <w:t xml:space="preserve"> gerçek dünyadaki işlemlerde çalışacak bir izleme sistemine yol açar; ve</w:t>
      </w:r>
    </w:p>
    <w:p w14:paraId="2D6F2AEE" w14:textId="77777777" w:rsidR="002D7B36" w:rsidRPr="00DE12A3" w:rsidRDefault="00242DA0" w:rsidP="00E20716">
      <w:pPr>
        <w:pStyle w:val="Gvdemetni250"/>
        <w:numPr>
          <w:ilvl w:val="0"/>
          <w:numId w:val="66"/>
        </w:numPr>
        <w:shd w:val="clear" w:color="auto" w:fill="auto"/>
        <w:tabs>
          <w:tab w:val="left" w:pos="851"/>
          <w:tab w:val="left" w:pos="1560"/>
        </w:tabs>
        <w:spacing w:before="120" w:after="120" w:line="240" w:lineRule="auto"/>
        <w:ind w:left="1134" w:firstLine="0"/>
        <w:rPr>
          <w:sz w:val="24"/>
          <w:szCs w:val="24"/>
        </w:rPr>
      </w:pPr>
      <w:r w:rsidRPr="00DE12A3">
        <w:rPr>
          <w:sz w:val="24"/>
          <w:szCs w:val="24"/>
        </w:rPr>
        <w:t xml:space="preserve">10.3.3.7.1 bendinde belirtilen geçerli NCD test </w:t>
      </w:r>
      <w:r w:rsidR="00951351" w:rsidRPr="00DE12A3">
        <w:rPr>
          <w:sz w:val="24"/>
          <w:szCs w:val="24"/>
        </w:rPr>
        <w:t>çevriminin</w:t>
      </w:r>
      <w:r w:rsidRPr="00DE12A3">
        <w:rPr>
          <w:sz w:val="24"/>
          <w:szCs w:val="24"/>
        </w:rPr>
        <w:t xml:space="preserve">, öngörülen </w:t>
      </w:r>
      <w:r w:rsidR="003D74CF" w:rsidRPr="00DE12A3">
        <w:rPr>
          <w:sz w:val="24"/>
          <w:szCs w:val="24"/>
        </w:rPr>
        <w:t xml:space="preserve">   </w:t>
      </w:r>
      <w:r w:rsidRPr="00DE12A3">
        <w:rPr>
          <w:sz w:val="24"/>
          <w:szCs w:val="24"/>
        </w:rPr>
        <w:t>izleme için yeterince uygun olmadığı gösterilmiştir.</w:t>
      </w:r>
    </w:p>
    <w:p w14:paraId="1CCEC088" w14:textId="77777777" w:rsidR="002D7B36" w:rsidRPr="00DE12A3" w:rsidRDefault="00794FBF" w:rsidP="00E20716">
      <w:pPr>
        <w:pStyle w:val="Gvdemetni250"/>
        <w:numPr>
          <w:ilvl w:val="0"/>
          <w:numId w:val="67"/>
        </w:numPr>
        <w:shd w:val="clear" w:color="auto" w:fill="auto"/>
        <w:spacing w:before="120" w:after="120" w:line="240" w:lineRule="auto"/>
        <w:ind w:left="1134" w:hanging="1134"/>
        <w:rPr>
          <w:sz w:val="24"/>
          <w:szCs w:val="24"/>
        </w:rPr>
      </w:pPr>
      <w:r w:rsidRPr="00DE12A3">
        <w:rPr>
          <w:sz w:val="24"/>
          <w:szCs w:val="24"/>
        </w:rPr>
        <w:t xml:space="preserve">  </w:t>
      </w:r>
      <w:r w:rsidR="003D74CF" w:rsidRPr="00DE12A3">
        <w:rPr>
          <w:sz w:val="24"/>
          <w:szCs w:val="24"/>
        </w:rPr>
        <w:t xml:space="preserve">    </w:t>
      </w:r>
      <w:r w:rsidR="00242DA0" w:rsidRPr="00DE12A3">
        <w:rPr>
          <w:sz w:val="24"/>
          <w:szCs w:val="24"/>
        </w:rPr>
        <w:t>10.3.3 bendi uyarınca yapılan her ispat testinin sonunda, uyarı sisteminin uygun şekilde devreye girmesi durumunda, uyarı sisteminin devreye girdiğinin ispatı yapılmış sayılır.</w:t>
      </w:r>
    </w:p>
    <w:p w14:paraId="42BCF39A" w14:textId="77777777" w:rsidR="002D7B36" w:rsidRPr="00DE12A3" w:rsidRDefault="003D74CF" w:rsidP="00E20716">
      <w:pPr>
        <w:pStyle w:val="Gvdemetni250"/>
        <w:numPr>
          <w:ilvl w:val="0"/>
          <w:numId w:val="68"/>
        </w:numPr>
        <w:shd w:val="clear" w:color="auto" w:fill="auto"/>
        <w:spacing w:before="120" w:after="120" w:line="240" w:lineRule="auto"/>
        <w:ind w:left="1134" w:hanging="1134"/>
        <w:rPr>
          <w:sz w:val="24"/>
          <w:szCs w:val="24"/>
        </w:rPr>
      </w:pPr>
      <w:r w:rsidRPr="00DE12A3">
        <w:rPr>
          <w:sz w:val="24"/>
          <w:szCs w:val="24"/>
        </w:rPr>
        <w:t xml:space="preserve">      </w:t>
      </w:r>
      <w:r w:rsidR="00242DA0" w:rsidRPr="00DE12A3">
        <w:rPr>
          <w:sz w:val="24"/>
          <w:szCs w:val="24"/>
        </w:rPr>
        <w:t>İkna sisteminin ispatı</w:t>
      </w:r>
    </w:p>
    <w:p w14:paraId="65DA3EBF" w14:textId="77777777" w:rsidR="002D7B36" w:rsidRPr="00DE12A3" w:rsidRDefault="003D74CF" w:rsidP="00E20716">
      <w:pPr>
        <w:pStyle w:val="Gvdemetni250"/>
        <w:numPr>
          <w:ilvl w:val="0"/>
          <w:numId w:val="69"/>
        </w:numPr>
        <w:shd w:val="clear" w:color="auto" w:fill="auto"/>
        <w:tabs>
          <w:tab w:val="left" w:pos="851"/>
          <w:tab w:val="left" w:pos="4004"/>
        </w:tabs>
        <w:spacing w:before="120" w:after="120" w:line="240" w:lineRule="auto"/>
        <w:ind w:left="1134" w:hanging="1134"/>
        <w:rPr>
          <w:sz w:val="24"/>
          <w:szCs w:val="24"/>
        </w:rPr>
      </w:pPr>
      <w:r w:rsidRPr="00DE12A3">
        <w:rPr>
          <w:sz w:val="24"/>
          <w:szCs w:val="24"/>
        </w:rPr>
        <w:lastRenderedPageBreak/>
        <w:t xml:space="preserve">    </w:t>
      </w:r>
      <w:r w:rsidR="00242DA0" w:rsidRPr="00DE12A3">
        <w:rPr>
          <w:sz w:val="24"/>
          <w:szCs w:val="24"/>
        </w:rPr>
        <w:t>İkna sisteminin ispatı, bir motor test tezgahında gerçekleştirilen testlerle yapılır.</w:t>
      </w:r>
    </w:p>
    <w:p w14:paraId="00A6237F" w14:textId="39110FAD" w:rsidR="002D7B36" w:rsidRPr="00DE12A3" w:rsidRDefault="00242DA0" w:rsidP="00E20716">
      <w:pPr>
        <w:pStyle w:val="Gvdemetni250"/>
        <w:numPr>
          <w:ilvl w:val="0"/>
          <w:numId w:val="70"/>
        </w:numPr>
        <w:shd w:val="clear" w:color="auto" w:fill="auto"/>
        <w:tabs>
          <w:tab w:val="left" w:pos="0"/>
        </w:tabs>
        <w:spacing w:before="120" w:after="120" w:line="240" w:lineRule="auto"/>
        <w:ind w:left="1134" w:hanging="1134"/>
        <w:rPr>
          <w:sz w:val="24"/>
          <w:szCs w:val="24"/>
        </w:rPr>
      </w:pPr>
      <w:r w:rsidRPr="00DE12A3">
        <w:rPr>
          <w:sz w:val="24"/>
          <w:szCs w:val="24"/>
        </w:rPr>
        <w:t xml:space="preserve">Bunlarla sınırlı olmamak kaydıyla, ortam sıcaklığı sensörleri, seviye sensörleri ve operatör uyarı ve bilgi sistemleri gibi ispatların yapılması amacıyla gerekli olan, motora fiziksel olarak monte edilmemiş tüm bileşenler veya alt sistemler bu amaçla motora bağlanmalı veya bunların simulasyonları onay </w:t>
      </w:r>
      <w:r w:rsidR="00B655AE" w:rsidRPr="00DE12A3">
        <w:rPr>
          <w:sz w:val="24"/>
          <w:szCs w:val="24"/>
        </w:rPr>
        <w:t>kuruluşunu tatmin</w:t>
      </w:r>
      <w:r w:rsidRPr="00DE12A3">
        <w:rPr>
          <w:sz w:val="24"/>
          <w:szCs w:val="24"/>
        </w:rPr>
        <w:t xml:space="preserve"> edecek şekilde yapılmalıdır.</w:t>
      </w:r>
    </w:p>
    <w:p w14:paraId="00AC6727" w14:textId="77777777" w:rsidR="002D7B36" w:rsidRPr="00DE12A3" w:rsidRDefault="00242DA0" w:rsidP="00E20716">
      <w:pPr>
        <w:pStyle w:val="Gvdemetni250"/>
        <w:numPr>
          <w:ilvl w:val="0"/>
          <w:numId w:val="70"/>
        </w:numPr>
        <w:shd w:val="clear" w:color="auto" w:fill="auto"/>
        <w:spacing w:before="120" w:after="120" w:line="240" w:lineRule="auto"/>
        <w:ind w:left="1134" w:hanging="1134"/>
        <w:rPr>
          <w:sz w:val="24"/>
          <w:szCs w:val="24"/>
        </w:rPr>
      </w:pPr>
      <w:r w:rsidRPr="00DE12A3">
        <w:rPr>
          <w:sz w:val="24"/>
          <w:szCs w:val="24"/>
        </w:rPr>
        <w:t xml:space="preserve">İmalatçı öyle tercih eder ve </w:t>
      </w:r>
      <w:r w:rsidR="007E2039" w:rsidRPr="00DE12A3">
        <w:rPr>
          <w:sz w:val="24"/>
          <w:szCs w:val="24"/>
        </w:rPr>
        <w:t xml:space="preserve">onay </w:t>
      </w:r>
      <w:r w:rsidR="00F73CAC" w:rsidRPr="00DE12A3">
        <w:rPr>
          <w:sz w:val="24"/>
          <w:szCs w:val="24"/>
        </w:rPr>
        <w:t>kuruluşu da</w:t>
      </w:r>
      <w:r w:rsidRPr="00DE12A3">
        <w:rPr>
          <w:sz w:val="24"/>
          <w:szCs w:val="24"/>
        </w:rPr>
        <w:t xml:space="preserve"> mutabık kalırsa, ispat testleri, komple bir karayolu dışında kullanılan hareketli makina veya makinalar üzerinde, ya karayolu dışında kullanılan hareketli makina uygun bir test tezgahına bağlanarak ya da 10.4.1 bendine bakılmaksızın, kontrollü koşullar altında bir deneme pistinde çalıştırılarak yapılabilir.</w:t>
      </w:r>
    </w:p>
    <w:p w14:paraId="70FDF67E" w14:textId="77777777" w:rsidR="002D7B36" w:rsidRPr="00DE12A3" w:rsidRDefault="00242DA0" w:rsidP="00E20716">
      <w:pPr>
        <w:pStyle w:val="Gvdemetni250"/>
        <w:numPr>
          <w:ilvl w:val="0"/>
          <w:numId w:val="69"/>
        </w:numPr>
        <w:shd w:val="clear" w:color="auto" w:fill="auto"/>
        <w:spacing w:before="120" w:after="120" w:line="240" w:lineRule="auto"/>
        <w:ind w:left="1134" w:hanging="1134"/>
        <w:rPr>
          <w:sz w:val="24"/>
          <w:szCs w:val="24"/>
        </w:rPr>
      </w:pPr>
      <w:r w:rsidRPr="00DE12A3">
        <w:rPr>
          <w:sz w:val="24"/>
          <w:szCs w:val="24"/>
        </w:rPr>
        <w:t xml:space="preserve">Test dizisi, uyarı sisteminin testi için 10.3.2.1 bendinde belirtilen listeden </w:t>
      </w:r>
      <w:r w:rsidR="007E2039" w:rsidRPr="00DE12A3">
        <w:rPr>
          <w:sz w:val="24"/>
          <w:szCs w:val="24"/>
        </w:rPr>
        <w:t xml:space="preserve">onay </w:t>
      </w:r>
      <w:r w:rsidR="00F73CAC" w:rsidRPr="00DE12A3">
        <w:rPr>
          <w:sz w:val="24"/>
          <w:szCs w:val="24"/>
        </w:rPr>
        <w:t>kuruluşu tarafından</w:t>
      </w:r>
      <w:r w:rsidRPr="00DE12A3">
        <w:rPr>
          <w:sz w:val="24"/>
          <w:szCs w:val="24"/>
        </w:rPr>
        <w:t xml:space="preserve"> seçilen bir arıza durumunda ikna sisteminin devreye girdiğini göstermelidir.</w:t>
      </w:r>
    </w:p>
    <w:p w14:paraId="59E6355F" w14:textId="6818414D" w:rsidR="002D7B36" w:rsidRPr="00DE12A3" w:rsidRDefault="003D74CF" w:rsidP="00E20716">
      <w:pPr>
        <w:pStyle w:val="Gvdemetni250"/>
        <w:numPr>
          <w:ilvl w:val="0"/>
          <w:numId w:val="69"/>
        </w:numPr>
        <w:shd w:val="clear" w:color="auto" w:fill="auto"/>
        <w:spacing w:before="120" w:after="120" w:line="240" w:lineRule="auto"/>
        <w:ind w:left="1134" w:hanging="1134"/>
        <w:rPr>
          <w:sz w:val="24"/>
          <w:szCs w:val="24"/>
        </w:rPr>
      </w:pPr>
      <w:r w:rsidRPr="00DE12A3">
        <w:rPr>
          <w:sz w:val="24"/>
          <w:szCs w:val="24"/>
        </w:rPr>
        <w:t xml:space="preserve">      </w:t>
      </w:r>
      <w:r w:rsidR="00242DA0" w:rsidRPr="00DE12A3">
        <w:rPr>
          <w:sz w:val="24"/>
          <w:szCs w:val="24"/>
        </w:rPr>
        <w:t>Bu ispat amacıyla</w:t>
      </w:r>
      <w:r w:rsidR="00B5565B" w:rsidRPr="00DE12A3">
        <w:rPr>
          <w:sz w:val="24"/>
          <w:szCs w:val="24"/>
        </w:rPr>
        <w:t>;</w:t>
      </w:r>
    </w:p>
    <w:p w14:paraId="6F9A56E6" w14:textId="058E1486" w:rsidR="002D7B36" w:rsidRPr="00DE12A3" w:rsidRDefault="00DB50AB" w:rsidP="00E20716">
      <w:pPr>
        <w:pStyle w:val="Gvdemetni250"/>
        <w:numPr>
          <w:ilvl w:val="0"/>
          <w:numId w:val="71"/>
        </w:numPr>
        <w:shd w:val="clear" w:color="auto" w:fill="auto"/>
        <w:spacing w:before="120" w:after="120" w:line="240" w:lineRule="auto"/>
        <w:ind w:left="1134" w:firstLine="0"/>
        <w:rPr>
          <w:sz w:val="24"/>
          <w:szCs w:val="24"/>
        </w:rPr>
      </w:pPr>
      <w:r w:rsidRPr="00DE12A3">
        <w:rPr>
          <w:sz w:val="24"/>
          <w:szCs w:val="24"/>
        </w:rPr>
        <w:t xml:space="preserve"> </w:t>
      </w:r>
      <w:r w:rsidR="007E2039" w:rsidRPr="00DE12A3">
        <w:rPr>
          <w:sz w:val="24"/>
          <w:szCs w:val="24"/>
        </w:rPr>
        <w:t xml:space="preserve">Onay </w:t>
      </w:r>
      <w:r w:rsidR="00F73CAC" w:rsidRPr="00DE12A3">
        <w:rPr>
          <w:sz w:val="24"/>
          <w:szCs w:val="24"/>
        </w:rPr>
        <w:t>kuruluşu ile</w:t>
      </w:r>
      <w:r w:rsidR="00242DA0" w:rsidRPr="00DE12A3">
        <w:rPr>
          <w:sz w:val="24"/>
          <w:szCs w:val="24"/>
        </w:rPr>
        <w:t xml:space="preserve"> mutabakat içinde, belli bir sayıda çalışma saatine ulaşılması simülasyonu yapılarak imalatçının testi hızlandırmasına izin verilir</w:t>
      </w:r>
      <w:r w:rsidR="00B5565B" w:rsidRPr="00DE12A3">
        <w:rPr>
          <w:sz w:val="24"/>
          <w:szCs w:val="24"/>
        </w:rPr>
        <w:t>.</w:t>
      </w:r>
    </w:p>
    <w:p w14:paraId="0F04AA25" w14:textId="36B5FB39" w:rsidR="002D7B36" w:rsidRPr="00DE12A3" w:rsidRDefault="00794FBF" w:rsidP="00E20716">
      <w:pPr>
        <w:pStyle w:val="Gvdemetni250"/>
        <w:numPr>
          <w:ilvl w:val="0"/>
          <w:numId w:val="71"/>
        </w:numPr>
        <w:shd w:val="clear" w:color="auto" w:fill="auto"/>
        <w:tabs>
          <w:tab w:val="left" w:pos="1418"/>
          <w:tab w:val="left" w:pos="1560"/>
        </w:tabs>
        <w:spacing w:before="120" w:after="120" w:line="240" w:lineRule="auto"/>
        <w:ind w:left="1134" w:firstLine="0"/>
        <w:rPr>
          <w:sz w:val="24"/>
          <w:szCs w:val="24"/>
        </w:rPr>
      </w:pPr>
      <w:r w:rsidRPr="00DE12A3">
        <w:rPr>
          <w:sz w:val="24"/>
          <w:szCs w:val="24"/>
        </w:rPr>
        <w:t>D</w:t>
      </w:r>
      <w:r w:rsidR="00242DA0" w:rsidRPr="00DE12A3">
        <w:rPr>
          <w:sz w:val="24"/>
          <w:szCs w:val="24"/>
        </w:rPr>
        <w:t xml:space="preserve">üşük seviye ikna için gereken tork azaltmanın sağlanması, bu </w:t>
      </w:r>
      <w:r w:rsidR="00F73CAC" w:rsidRPr="00DE12A3">
        <w:rPr>
          <w:sz w:val="24"/>
          <w:szCs w:val="24"/>
        </w:rPr>
        <w:t>Tebliğ uyarınca</w:t>
      </w:r>
      <w:r w:rsidR="00242DA0" w:rsidRPr="00DE12A3">
        <w:rPr>
          <w:sz w:val="24"/>
          <w:szCs w:val="24"/>
        </w:rPr>
        <w:t xml:space="preserve"> gerçekleştirilen genel motor performansı onay süreci ile aynı anda ispatlanabilir. Bu durumda, ikna sistemi ispatı sırasında ayrı bir tork ölçümü gerekmez</w:t>
      </w:r>
      <w:r w:rsidR="00B5565B" w:rsidRPr="00DE12A3">
        <w:rPr>
          <w:sz w:val="24"/>
          <w:szCs w:val="24"/>
        </w:rPr>
        <w:t>.</w:t>
      </w:r>
    </w:p>
    <w:p w14:paraId="41001932" w14:textId="77777777" w:rsidR="002D7B36" w:rsidRPr="00DE12A3" w:rsidRDefault="003D74CF" w:rsidP="00E20716">
      <w:pPr>
        <w:pStyle w:val="Gvdemetni250"/>
        <w:numPr>
          <w:ilvl w:val="0"/>
          <w:numId w:val="71"/>
        </w:numPr>
        <w:shd w:val="clear" w:color="auto" w:fill="auto"/>
        <w:spacing w:before="120" w:after="120" w:line="240" w:lineRule="auto"/>
        <w:ind w:left="1134" w:firstLine="0"/>
        <w:rPr>
          <w:sz w:val="24"/>
          <w:szCs w:val="24"/>
        </w:rPr>
      </w:pPr>
      <w:r w:rsidRPr="00DE12A3">
        <w:rPr>
          <w:sz w:val="24"/>
          <w:szCs w:val="24"/>
        </w:rPr>
        <w:t xml:space="preserve">   </w:t>
      </w:r>
      <w:r w:rsidR="00794FBF" w:rsidRPr="00DE12A3">
        <w:rPr>
          <w:sz w:val="24"/>
          <w:szCs w:val="24"/>
        </w:rPr>
        <w:t>V</w:t>
      </w:r>
      <w:r w:rsidR="00242DA0" w:rsidRPr="00DE12A3">
        <w:rPr>
          <w:sz w:val="24"/>
          <w:szCs w:val="24"/>
        </w:rPr>
        <w:t>arsa düşük seviye ikna, 10.4.5 bendindeki şartlar uyarınca ispatlanmalıdır.</w:t>
      </w:r>
    </w:p>
    <w:p w14:paraId="3BD35F24" w14:textId="77777777" w:rsidR="002D7B36" w:rsidRPr="00DE12A3" w:rsidRDefault="00794FBF" w:rsidP="00E20716">
      <w:pPr>
        <w:pStyle w:val="Gvdemetni250"/>
        <w:numPr>
          <w:ilvl w:val="0"/>
          <w:numId w:val="55"/>
        </w:numPr>
        <w:shd w:val="clear" w:color="auto" w:fill="auto"/>
        <w:tabs>
          <w:tab w:val="left" w:pos="1276"/>
        </w:tabs>
        <w:spacing w:before="120" w:after="120" w:line="240" w:lineRule="auto"/>
        <w:ind w:left="1560" w:hanging="426"/>
        <w:rPr>
          <w:sz w:val="24"/>
          <w:szCs w:val="24"/>
        </w:rPr>
      </w:pPr>
      <w:r w:rsidRPr="00DE12A3">
        <w:rPr>
          <w:sz w:val="24"/>
          <w:szCs w:val="24"/>
        </w:rPr>
        <w:t>A</w:t>
      </w:r>
      <w:r w:rsidR="00242DA0" w:rsidRPr="00DE12A3">
        <w:rPr>
          <w:sz w:val="24"/>
          <w:szCs w:val="24"/>
        </w:rPr>
        <w:t>ğır seviye ikna, 10.4.6 bendindeki şartlar uyarınca ispatlanmalıdır.</w:t>
      </w:r>
    </w:p>
    <w:p w14:paraId="36F5C8F6" w14:textId="3B8C73B9" w:rsidR="002D7B36" w:rsidRPr="00DE12A3" w:rsidRDefault="00242DA0" w:rsidP="00E20716">
      <w:pPr>
        <w:pStyle w:val="Gvdemetni250"/>
        <w:numPr>
          <w:ilvl w:val="0"/>
          <w:numId w:val="72"/>
        </w:numPr>
        <w:shd w:val="clear" w:color="auto" w:fill="auto"/>
        <w:spacing w:before="120" w:after="120" w:line="240" w:lineRule="auto"/>
        <w:ind w:left="1134" w:hanging="1134"/>
        <w:rPr>
          <w:sz w:val="24"/>
          <w:szCs w:val="24"/>
        </w:rPr>
      </w:pPr>
      <w:r w:rsidRPr="00DE12A3">
        <w:rPr>
          <w:sz w:val="24"/>
          <w:szCs w:val="24"/>
        </w:rPr>
        <w:t>İmalatçı ayrıca, 10.4.1 ila 10.4.3 bentlerinde açıklanan ispat testlerinde kullanılmak üzere seçilmemiş olan, 7</w:t>
      </w:r>
      <w:r w:rsidR="00B5565B" w:rsidRPr="00DE12A3">
        <w:rPr>
          <w:sz w:val="24"/>
          <w:szCs w:val="24"/>
        </w:rPr>
        <w:t>.</w:t>
      </w:r>
      <w:r w:rsidRPr="00DE12A3">
        <w:rPr>
          <w:sz w:val="24"/>
          <w:szCs w:val="24"/>
        </w:rPr>
        <w:t>, 8</w:t>
      </w:r>
      <w:r w:rsidR="00B5565B" w:rsidRPr="00DE12A3">
        <w:rPr>
          <w:sz w:val="24"/>
          <w:szCs w:val="24"/>
        </w:rPr>
        <w:t>.</w:t>
      </w:r>
      <w:r w:rsidRPr="00DE12A3">
        <w:rPr>
          <w:sz w:val="24"/>
          <w:szCs w:val="24"/>
        </w:rPr>
        <w:t xml:space="preserve"> veya 9. </w:t>
      </w:r>
      <w:r w:rsidR="00721C89" w:rsidRPr="00DE12A3">
        <w:rPr>
          <w:sz w:val="24"/>
          <w:szCs w:val="24"/>
        </w:rPr>
        <w:t>Bölüm</w:t>
      </w:r>
      <w:r w:rsidRPr="00DE12A3">
        <w:rPr>
          <w:sz w:val="24"/>
          <w:szCs w:val="24"/>
        </w:rPr>
        <w:t>de tanımlanan arıza koşulları altında ikna sisteminin çalışmasını ispatlamalıdır.</w:t>
      </w:r>
    </w:p>
    <w:p w14:paraId="0E2B59E4" w14:textId="77777777" w:rsidR="002D7B36" w:rsidRPr="00DE12A3" w:rsidRDefault="003D74CF" w:rsidP="00C917D6">
      <w:pPr>
        <w:pStyle w:val="Gvdemetni250"/>
        <w:shd w:val="clear" w:color="auto" w:fill="auto"/>
        <w:spacing w:before="120" w:after="120" w:line="240" w:lineRule="auto"/>
        <w:ind w:left="1134" w:hanging="1134"/>
        <w:rPr>
          <w:sz w:val="24"/>
          <w:szCs w:val="24"/>
        </w:rPr>
      </w:pPr>
      <w:r w:rsidRPr="00DE12A3">
        <w:rPr>
          <w:sz w:val="24"/>
          <w:szCs w:val="24"/>
        </w:rPr>
        <w:t xml:space="preserve">                 </w:t>
      </w:r>
      <w:r w:rsidR="00242DA0" w:rsidRPr="00DE12A3">
        <w:rPr>
          <w:sz w:val="24"/>
          <w:szCs w:val="24"/>
        </w:rPr>
        <w:t xml:space="preserve">Bu ilave ispatlar, teknik bir durumun, algoritmalar, işlev analizleri ve önceki testlerin sonuçları gibi kanıtlar kullanılarak </w:t>
      </w:r>
      <w:r w:rsidR="007E2039" w:rsidRPr="00DE12A3">
        <w:rPr>
          <w:sz w:val="24"/>
          <w:szCs w:val="24"/>
        </w:rPr>
        <w:t xml:space="preserve">onay </w:t>
      </w:r>
      <w:r w:rsidR="00F73CAC" w:rsidRPr="00DE12A3">
        <w:rPr>
          <w:sz w:val="24"/>
          <w:szCs w:val="24"/>
        </w:rPr>
        <w:t>kuruluşuna sunulması</w:t>
      </w:r>
      <w:r w:rsidR="00242DA0" w:rsidRPr="00DE12A3">
        <w:rPr>
          <w:sz w:val="24"/>
          <w:szCs w:val="24"/>
        </w:rPr>
        <w:t xml:space="preserve"> yoluyla gerçekleştirilebilir.</w:t>
      </w:r>
    </w:p>
    <w:p w14:paraId="30242F1C" w14:textId="77777777" w:rsidR="002D7B36" w:rsidRPr="00DE12A3" w:rsidRDefault="00242DA0" w:rsidP="00E20716">
      <w:pPr>
        <w:pStyle w:val="Gvdemetni250"/>
        <w:numPr>
          <w:ilvl w:val="0"/>
          <w:numId w:val="73"/>
        </w:numPr>
        <w:shd w:val="clear" w:color="auto" w:fill="auto"/>
        <w:tabs>
          <w:tab w:val="left" w:pos="1134"/>
        </w:tabs>
        <w:spacing w:before="120" w:after="120" w:line="240" w:lineRule="auto"/>
        <w:ind w:left="1134" w:hanging="1134"/>
        <w:rPr>
          <w:sz w:val="24"/>
          <w:szCs w:val="24"/>
        </w:rPr>
      </w:pPr>
      <w:r w:rsidRPr="00DE12A3">
        <w:rPr>
          <w:sz w:val="24"/>
          <w:szCs w:val="24"/>
        </w:rPr>
        <w:t xml:space="preserve">Bu ilave ispatlar, özellikle de motor ECU'suna doğru tork azaltma mekanizmasının dahil edildiğini onay </w:t>
      </w:r>
      <w:r w:rsidR="00F73CAC" w:rsidRPr="00DE12A3">
        <w:rPr>
          <w:sz w:val="24"/>
          <w:szCs w:val="24"/>
        </w:rPr>
        <w:t>kuruluşunu tatmin</w:t>
      </w:r>
      <w:r w:rsidRPr="00DE12A3">
        <w:rPr>
          <w:sz w:val="24"/>
          <w:szCs w:val="24"/>
        </w:rPr>
        <w:t xml:space="preserve"> edecek şekilde göstermelidir.</w:t>
      </w:r>
    </w:p>
    <w:p w14:paraId="7730103F" w14:textId="77777777" w:rsidR="002D7B36" w:rsidRPr="00DE12A3" w:rsidRDefault="00242DA0" w:rsidP="00E20716">
      <w:pPr>
        <w:pStyle w:val="Gvdemetni250"/>
        <w:numPr>
          <w:ilvl w:val="0"/>
          <w:numId w:val="72"/>
        </w:numPr>
        <w:shd w:val="clear" w:color="auto" w:fill="auto"/>
        <w:spacing w:before="120" w:after="120" w:line="240" w:lineRule="auto"/>
        <w:ind w:left="1134" w:hanging="1134"/>
        <w:rPr>
          <w:sz w:val="24"/>
          <w:szCs w:val="24"/>
        </w:rPr>
      </w:pPr>
      <w:r w:rsidRPr="00DE12A3">
        <w:rPr>
          <w:sz w:val="24"/>
          <w:szCs w:val="24"/>
        </w:rPr>
        <w:t>Düşük seviye ikna sisteminin ispat testi</w:t>
      </w:r>
    </w:p>
    <w:p w14:paraId="09EC413E" w14:textId="77777777" w:rsidR="002D7B36" w:rsidRPr="00DE12A3" w:rsidRDefault="00242DA0" w:rsidP="00E20716">
      <w:pPr>
        <w:pStyle w:val="Gvdemetni250"/>
        <w:numPr>
          <w:ilvl w:val="0"/>
          <w:numId w:val="74"/>
        </w:numPr>
        <w:shd w:val="clear" w:color="auto" w:fill="auto"/>
        <w:tabs>
          <w:tab w:val="left" w:pos="1134"/>
        </w:tabs>
        <w:spacing w:before="120" w:after="120" w:line="240" w:lineRule="auto"/>
        <w:ind w:left="1134" w:hanging="1134"/>
        <w:rPr>
          <w:sz w:val="24"/>
          <w:szCs w:val="24"/>
        </w:rPr>
      </w:pPr>
      <w:r w:rsidRPr="00DE12A3">
        <w:rPr>
          <w:sz w:val="24"/>
          <w:szCs w:val="24"/>
        </w:rPr>
        <w:t xml:space="preserve">Bu ispat, </w:t>
      </w:r>
      <w:r w:rsidR="007E2039" w:rsidRPr="00DE12A3">
        <w:rPr>
          <w:sz w:val="24"/>
          <w:szCs w:val="24"/>
        </w:rPr>
        <w:t xml:space="preserve">onay </w:t>
      </w:r>
      <w:r w:rsidR="00F73CAC" w:rsidRPr="00DE12A3">
        <w:rPr>
          <w:sz w:val="24"/>
          <w:szCs w:val="24"/>
        </w:rPr>
        <w:t>kuruluşu tarafından</w:t>
      </w:r>
      <w:r w:rsidRPr="00DE12A3">
        <w:rPr>
          <w:sz w:val="24"/>
          <w:szCs w:val="24"/>
        </w:rPr>
        <w:t xml:space="preserve"> seçilen bir arızanın tespit edilmesinin sonucu olarak uyarı sistemi veya varsa "sürekli" uyarı sistemi devreye girdiğinde başlar.</w:t>
      </w:r>
    </w:p>
    <w:p w14:paraId="478FA0D8" w14:textId="77777777" w:rsidR="002D7B36" w:rsidRPr="00DE12A3" w:rsidRDefault="00242DA0" w:rsidP="00E20716">
      <w:pPr>
        <w:pStyle w:val="Gvdemetni250"/>
        <w:numPr>
          <w:ilvl w:val="0"/>
          <w:numId w:val="74"/>
        </w:numPr>
        <w:shd w:val="clear" w:color="auto" w:fill="auto"/>
        <w:tabs>
          <w:tab w:val="left" w:pos="1134"/>
        </w:tabs>
        <w:spacing w:before="120" w:after="120" w:line="240" w:lineRule="auto"/>
        <w:ind w:left="1134" w:hanging="1134"/>
        <w:rPr>
          <w:sz w:val="24"/>
          <w:szCs w:val="24"/>
        </w:rPr>
      </w:pPr>
      <w:r w:rsidRPr="00DE12A3">
        <w:rPr>
          <w:sz w:val="24"/>
          <w:szCs w:val="24"/>
        </w:rPr>
        <w:t>Sistem, tankta ayıraç eksikliği durumunda verdiği tepki bakımından kontrol edilirken, ayıraç miktarı tankın nominal tam kapasitesinin %2,5'ine veya tankın nominal tam kapasitesine veya 6.3.1 bendi uyarınca düşük seviye ikna sisteminin çalışması amaçlanan, imalatçı tarafından beyan edilen değere ulaşana kadar motor çalıştırılır.</w:t>
      </w:r>
    </w:p>
    <w:p w14:paraId="6C1A5695" w14:textId="77777777" w:rsidR="002D7B36" w:rsidRPr="00DE12A3" w:rsidRDefault="00242DA0" w:rsidP="00E20716">
      <w:pPr>
        <w:pStyle w:val="Gvdemetni250"/>
        <w:numPr>
          <w:ilvl w:val="0"/>
          <w:numId w:val="75"/>
        </w:numPr>
        <w:shd w:val="clear" w:color="auto" w:fill="auto"/>
        <w:spacing w:before="120" w:after="120" w:line="240" w:lineRule="auto"/>
        <w:ind w:left="1134" w:hanging="1134"/>
        <w:rPr>
          <w:sz w:val="24"/>
          <w:szCs w:val="24"/>
        </w:rPr>
      </w:pPr>
      <w:r w:rsidRPr="00DE12A3">
        <w:rPr>
          <w:sz w:val="24"/>
          <w:szCs w:val="24"/>
        </w:rPr>
        <w:t xml:space="preserve">İmalatçı, </w:t>
      </w:r>
      <w:r w:rsidR="007E2039" w:rsidRPr="00DE12A3">
        <w:rPr>
          <w:sz w:val="24"/>
          <w:szCs w:val="24"/>
        </w:rPr>
        <w:t xml:space="preserve">onay </w:t>
      </w:r>
      <w:r w:rsidR="00F73CAC" w:rsidRPr="00DE12A3">
        <w:rPr>
          <w:sz w:val="24"/>
          <w:szCs w:val="24"/>
        </w:rPr>
        <w:t>kuruluşunun mutabakatı</w:t>
      </w:r>
      <w:r w:rsidRPr="00DE12A3">
        <w:rPr>
          <w:sz w:val="24"/>
          <w:szCs w:val="24"/>
        </w:rPr>
        <w:t xml:space="preserve"> ile, sürekli çalışmanın simülasyonunu, motor çalışırken veya durdurulduğunda tanktan ayıraç çekerek yapabilir.</w:t>
      </w:r>
    </w:p>
    <w:p w14:paraId="49788358" w14:textId="77777777" w:rsidR="002D7B36" w:rsidRPr="00DE12A3" w:rsidRDefault="00242DA0" w:rsidP="00E20716">
      <w:pPr>
        <w:pStyle w:val="Gvdemetni250"/>
        <w:numPr>
          <w:ilvl w:val="0"/>
          <w:numId w:val="74"/>
        </w:numPr>
        <w:shd w:val="clear" w:color="auto" w:fill="auto"/>
        <w:tabs>
          <w:tab w:val="left" w:pos="1134"/>
        </w:tabs>
        <w:spacing w:before="120" w:after="120" w:line="240" w:lineRule="auto"/>
        <w:ind w:left="1134" w:hanging="1134"/>
        <w:rPr>
          <w:sz w:val="24"/>
          <w:szCs w:val="24"/>
        </w:rPr>
      </w:pPr>
      <w:r w:rsidRPr="00DE12A3">
        <w:rPr>
          <w:sz w:val="24"/>
          <w:szCs w:val="24"/>
        </w:rPr>
        <w:t xml:space="preserve">Sistem, tankta ayıraç eksikliği dışında bir arıza durumunda verdiği tepki bakımından kontrol edildiğinde, motor Tablo 4.3’te belirtilen ilgili çalışma saatleri boyunca veya imalatçının tercihine bağlı olarak, ilgili sayaç düşük seviye </w:t>
      </w:r>
      <w:r w:rsidRPr="00DE12A3">
        <w:rPr>
          <w:sz w:val="24"/>
          <w:szCs w:val="24"/>
        </w:rPr>
        <w:lastRenderedPageBreak/>
        <w:t>ikna sisteminin devreye girdiği değere ulaşıncaya kadar çalıştırılır.</w:t>
      </w:r>
    </w:p>
    <w:p w14:paraId="2F53B27E" w14:textId="0D269FD7" w:rsidR="002D7B36" w:rsidRPr="00DE12A3" w:rsidRDefault="00242DA0" w:rsidP="00E20716">
      <w:pPr>
        <w:pStyle w:val="Gvdemetni250"/>
        <w:numPr>
          <w:ilvl w:val="0"/>
          <w:numId w:val="74"/>
        </w:numPr>
        <w:shd w:val="clear" w:color="auto" w:fill="auto"/>
        <w:tabs>
          <w:tab w:val="left" w:pos="1134"/>
        </w:tabs>
        <w:spacing w:before="120" w:after="120" w:line="240" w:lineRule="auto"/>
        <w:ind w:left="1134" w:hanging="1134"/>
        <w:rPr>
          <w:sz w:val="24"/>
          <w:szCs w:val="24"/>
        </w:rPr>
      </w:pPr>
      <w:r w:rsidRPr="00DE12A3">
        <w:rPr>
          <w:sz w:val="24"/>
          <w:szCs w:val="24"/>
        </w:rPr>
        <w:t xml:space="preserve">10.4.5.2 ve 10.4.5.3 bentlerine göre yapılan her ispat testinin sonunda imalatçı motor ECU’sunun tork azaltma mekanizmasını devreye soktuğunu </w:t>
      </w:r>
      <w:r w:rsidR="007E2039" w:rsidRPr="00DE12A3">
        <w:rPr>
          <w:sz w:val="24"/>
          <w:szCs w:val="24"/>
        </w:rPr>
        <w:t>onay kuruluşuna ispatlarsa</w:t>
      </w:r>
      <w:r w:rsidRPr="00DE12A3">
        <w:rPr>
          <w:sz w:val="24"/>
          <w:szCs w:val="24"/>
        </w:rPr>
        <w:t xml:space="preserve">, düşük seviye ikna sisteminin ispatı yapılmış kabul </w:t>
      </w:r>
      <w:r w:rsidR="007E2039" w:rsidRPr="00DE12A3">
        <w:rPr>
          <w:sz w:val="24"/>
          <w:szCs w:val="24"/>
        </w:rPr>
        <w:t xml:space="preserve">edilir. </w:t>
      </w:r>
    </w:p>
    <w:p w14:paraId="38F3585A" w14:textId="77777777" w:rsidR="002D7B36" w:rsidRPr="00DE12A3" w:rsidRDefault="00242DA0" w:rsidP="00E20716">
      <w:pPr>
        <w:pStyle w:val="Gvdemetni250"/>
        <w:numPr>
          <w:ilvl w:val="0"/>
          <w:numId w:val="72"/>
        </w:numPr>
        <w:shd w:val="clear" w:color="auto" w:fill="auto"/>
        <w:spacing w:before="120" w:after="120" w:line="240" w:lineRule="auto"/>
        <w:ind w:left="1134" w:hanging="1134"/>
        <w:rPr>
          <w:sz w:val="24"/>
          <w:szCs w:val="24"/>
        </w:rPr>
      </w:pPr>
      <w:r w:rsidRPr="00DE12A3">
        <w:rPr>
          <w:sz w:val="24"/>
          <w:szCs w:val="24"/>
        </w:rPr>
        <w:t>Ağır seviye ikna sisteminin ispat testi</w:t>
      </w:r>
    </w:p>
    <w:p w14:paraId="6A914098" w14:textId="77777777" w:rsidR="002D7B36" w:rsidRPr="00DE12A3" w:rsidRDefault="00242DA0" w:rsidP="00E20716">
      <w:pPr>
        <w:pStyle w:val="Gvdemetni250"/>
        <w:numPr>
          <w:ilvl w:val="0"/>
          <w:numId w:val="76"/>
        </w:numPr>
        <w:shd w:val="clear" w:color="auto" w:fill="auto"/>
        <w:tabs>
          <w:tab w:val="left" w:pos="1134"/>
        </w:tabs>
        <w:spacing w:before="120" w:after="120" w:line="240" w:lineRule="auto"/>
        <w:ind w:left="1134" w:hanging="1134"/>
        <w:rPr>
          <w:sz w:val="24"/>
          <w:szCs w:val="24"/>
        </w:rPr>
      </w:pPr>
      <w:r w:rsidRPr="00DE12A3">
        <w:rPr>
          <w:sz w:val="24"/>
          <w:szCs w:val="24"/>
        </w:rPr>
        <w:t>Bu ispat, düşük seviye ikna sisteminin daha önce devreye girdiği bir durumda başlar ve düşük seviye ikna sistemini ispatlamak için gerçekleştirilen testlerin bir devamı olarak yapılabilir.</w:t>
      </w:r>
    </w:p>
    <w:p w14:paraId="6168077F" w14:textId="77777777" w:rsidR="002D7B36" w:rsidRPr="00DE12A3" w:rsidRDefault="00242DA0" w:rsidP="00E20716">
      <w:pPr>
        <w:pStyle w:val="Gvdemetni250"/>
        <w:numPr>
          <w:ilvl w:val="0"/>
          <w:numId w:val="76"/>
        </w:numPr>
        <w:shd w:val="clear" w:color="auto" w:fill="auto"/>
        <w:tabs>
          <w:tab w:val="left" w:pos="993"/>
        </w:tabs>
        <w:spacing w:before="120" w:after="120" w:line="240" w:lineRule="auto"/>
        <w:ind w:left="1134" w:hanging="1134"/>
        <w:rPr>
          <w:sz w:val="24"/>
          <w:szCs w:val="24"/>
        </w:rPr>
      </w:pPr>
      <w:r w:rsidRPr="00DE12A3">
        <w:rPr>
          <w:sz w:val="24"/>
          <w:szCs w:val="24"/>
        </w:rPr>
        <w:t>Sistem, tankta ayıraç eksikliği durumunda verdiği tepki bakımından kontrol edilirken, ayıraç tankı boşalıncaya veya imalatçı tarafından ağır seviye ikna sisteminin devreye girdiği beyan edilen, tankın nominal tam kapasitesinin %2,5'i seviyesine ulaşana kadar motor çalıştırılır.</w:t>
      </w:r>
    </w:p>
    <w:p w14:paraId="6EF46BC6" w14:textId="77777777" w:rsidR="002D7B36" w:rsidRPr="00DE12A3" w:rsidRDefault="00242DA0" w:rsidP="00E20716">
      <w:pPr>
        <w:pStyle w:val="Gvdemetni250"/>
        <w:numPr>
          <w:ilvl w:val="0"/>
          <w:numId w:val="77"/>
        </w:numPr>
        <w:shd w:val="clear" w:color="auto" w:fill="auto"/>
        <w:tabs>
          <w:tab w:val="left" w:pos="1134"/>
        </w:tabs>
        <w:spacing w:before="120" w:after="120" w:line="240" w:lineRule="auto"/>
        <w:ind w:left="1134" w:hanging="1134"/>
        <w:rPr>
          <w:sz w:val="24"/>
          <w:szCs w:val="24"/>
        </w:rPr>
      </w:pPr>
      <w:r w:rsidRPr="00DE12A3">
        <w:rPr>
          <w:sz w:val="24"/>
          <w:szCs w:val="24"/>
        </w:rPr>
        <w:t xml:space="preserve">İmalatçı, </w:t>
      </w:r>
      <w:r w:rsidR="007E2039" w:rsidRPr="00DE12A3">
        <w:rPr>
          <w:sz w:val="24"/>
          <w:szCs w:val="24"/>
        </w:rPr>
        <w:t>onay kuruluşunun mutabakatı</w:t>
      </w:r>
      <w:r w:rsidRPr="00DE12A3">
        <w:rPr>
          <w:sz w:val="24"/>
          <w:szCs w:val="24"/>
        </w:rPr>
        <w:t xml:space="preserve"> ile, sürekli çalışmanın simülasyonunu, motor çalışırken veya durdurulduğunda tanktan ayıraç çekerek yapabilir.</w:t>
      </w:r>
    </w:p>
    <w:p w14:paraId="31D78690" w14:textId="77777777" w:rsidR="002D7B36" w:rsidRPr="00DE12A3" w:rsidRDefault="00242DA0" w:rsidP="00E20716">
      <w:pPr>
        <w:pStyle w:val="Gvdemetni250"/>
        <w:numPr>
          <w:ilvl w:val="0"/>
          <w:numId w:val="76"/>
        </w:numPr>
        <w:shd w:val="clear" w:color="auto" w:fill="auto"/>
        <w:tabs>
          <w:tab w:val="left" w:pos="1134"/>
        </w:tabs>
        <w:spacing w:before="120" w:after="120" w:line="240" w:lineRule="auto"/>
        <w:ind w:left="1134" w:hanging="1134"/>
        <w:rPr>
          <w:sz w:val="24"/>
          <w:szCs w:val="24"/>
        </w:rPr>
      </w:pPr>
      <w:r w:rsidRPr="00DE12A3">
        <w:rPr>
          <w:sz w:val="24"/>
          <w:szCs w:val="24"/>
        </w:rPr>
        <w:t>Sistem, tankta ayıraç eksikliği olmayan bir arıza durumunda verdiği tepki bakımından kontrol edildiğinde, bu durumda motor Tablo 4.4’te belirtilen ilgili çalışma saatleri boyunca veya imalatçının tercihine bağlı olarak, ilgili sayaç ağır seviye ikna sisteminin devreye girdiği değere ulaşıncaya kadar çalıştırılır.</w:t>
      </w:r>
    </w:p>
    <w:p w14:paraId="34521110" w14:textId="77777777" w:rsidR="004B1314" w:rsidRPr="00DE12A3" w:rsidRDefault="00242DA0" w:rsidP="00E20716">
      <w:pPr>
        <w:pStyle w:val="Gvdemetni250"/>
        <w:numPr>
          <w:ilvl w:val="0"/>
          <w:numId w:val="76"/>
        </w:numPr>
        <w:shd w:val="clear" w:color="auto" w:fill="auto"/>
        <w:tabs>
          <w:tab w:val="left" w:pos="1134"/>
        </w:tabs>
        <w:spacing w:before="120" w:after="120" w:line="240" w:lineRule="auto"/>
        <w:ind w:left="1134" w:hanging="1134"/>
        <w:rPr>
          <w:sz w:val="24"/>
          <w:szCs w:val="24"/>
        </w:rPr>
      </w:pPr>
      <w:r w:rsidRPr="00DE12A3">
        <w:rPr>
          <w:sz w:val="24"/>
          <w:szCs w:val="24"/>
        </w:rPr>
        <w:t xml:space="preserve">10.4.6.2 ve 10.4.6.3 bentlerine göre yapılan her ispat testinin sonunda imalatçı bu Ek içinde incelenen ağır seviye ikna mekanizmasının devreye girdiğini </w:t>
      </w:r>
      <w:r w:rsidR="007E2039" w:rsidRPr="00DE12A3">
        <w:rPr>
          <w:sz w:val="24"/>
          <w:szCs w:val="24"/>
        </w:rPr>
        <w:t xml:space="preserve">onay </w:t>
      </w:r>
      <w:r w:rsidR="00F73CAC" w:rsidRPr="00DE12A3">
        <w:rPr>
          <w:sz w:val="24"/>
          <w:szCs w:val="24"/>
        </w:rPr>
        <w:t>kuruluşuna ispatlarsa</w:t>
      </w:r>
      <w:r w:rsidRPr="00DE12A3">
        <w:rPr>
          <w:sz w:val="24"/>
          <w:szCs w:val="24"/>
        </w:rPr>
        <w:t>, ağır seviye ikna sisteminin ispatı yapılmış kabul edilir.</w:t>
      </w:r>
    </w:p>
    <w:p w14:paraId="4B6568FB" w14:textId="77777777" w:rsidR="002D7B36" w:rsidRPr="00DE12A3" w:rsidRDefault="00242DA0" w:rsidP="00E20716">
      <w:pPr>
        <w:pStyle w:val="Gvdemetni250"/>
        <w:numPr>
          <w:ilvl w:val="0"/>
          <w:numId w:val="72"/>
        </w:numPr>
        <w:shd w:val="clear" w:color="auto" w:fill="auto"/>
        <w:spacing w:before="120" w:after="120" w:line="240" w:lineRule="auto"/>
        <w:ind w:left="1134" w:hanging="1134"/>
        <w:rPr>
          <w:sz w:val="24"/>
          <w:szCs w:val="24"/>
        </w:rPr>
      </w:pPr>
      <w:r w:rsidRPr="00DE12A3">
        <w:rPr>
          <w:sz w:val="24"/>
          <w:szCs w:val="24"/>
        </w:rPr>
        <w:t xml:space="preserve">Alternatif olarak, imalatçı öyle tercih eder ve </w:t>
      </w:r>
      <w:r w:rsidR="007E2039" w:rsidRPr="00DE12A3">
        <w:rPr>
          <w:sz w:val="24"/>
          <w:szCs w:val="24"/>
        </w:rPr>
        <w:t xml:space="preserve">onay kuruluşu </w:t>
      </w:r>
      <w:r w:rsidRPr="00DE12A3">
        <w:rPr>
          <w:sz w:val="24"/>
          <w:szCs w:val="24"/>
        </w:rPr>
        <w:t xml:space="preserve"> d</w:t>
      </w:r>
      <w:r w:rsidR="00F73CAC" w:rsidRPr="00DE12A3">
        <w:rPr>
          <w:sz w:val="24"/>
          <w:szCs w:val="24"/>
        </w:rPr>
        <w:t>a</w:t>
      </w:r>
      <w:r w:rsidRPr="00DE12A3">
        <w:rPr>
          <w:sz w:val="24"/>
          <w:szCs w:val="24"/>
        </w:rPr>
        <w:t xml:space="preserve"> mutabık kalırsa, ikna mekanizmalarının ispatı, 5.4 ve 10.4.1 bendindeki şartlar uyarınca komple bir karayolu dışında kullanılan hareketli makina üzerinde, ya karayolu dışında kullanılan hareketli makina uygun bir test tezgahına bağlanarak ya da kontrollü koşullar altında bir deneme pistinde çalıştırılarak yapılabilir.</w:t>
      </w:r>
    </w:p>
    <w:p w14:paraId="0C793AAE" w14:textId="77777777" w:rsidR="002D7B36" w:rsidRPr="00DE12A3" w:rsidRDefault="00242DA0" w:rsidP="00E20716">
      <w:pPr>
        <w:pStyle w:val="Gvdemetni250"/>
        <w:numPr>
          <w:ilvl w:val="0"/>
          <w:numId w:val="78"/>
        </w:numPr>
        <w:shd w:val="clear" w:color="auto" w:fill="auto"/>
        <w:tabs>
          <w:tab w:val="left" w:pos="1134"/>
        </w:tabs>
        <w:spacing w:before="120" w:after="120" w:line="240" w:lineRule="auto"/>
        <w:ind w:left="1134" w:hanging="1134"/>
        <w:rPr>
          <w:sz w:val="24"/>
          <w:szCs w:val="24"/>
        </w:rPr>
      </w:pPr>
      <w:r w:rsidRPr="00DE12A3">
        <w:rPr>
          <w:sz w:val="24"/>
          <w:szCs w:val="24"/>
        </w:rPr>
        <w:t xml:space="preserve">Karayolu dışında kullanılan hareketli makinalar, seçilen arıza ile bağlantılı sayaç Tablo 4.4'te belirtilen ilgili çalışma saatlerine ulaşana kadar veya duruma göre ya ayıraç tankı boşalana kadar ya da imalatçının ağır seviye ikna sistemini devreye sokmayı seçtiği, tankın nominal tam kapasitesinin </w:t>
      </w:r>
      <w:r w:rsidR="00EC31DF" w:rsidRPr="00DE12A3">
        <w:rPr>
          <w:sz w:val="24"/>
          <w:szCs w:val="24"/>
        </w:rPr>
        <w:t>%2,5</w:t>
      </w:r>
      <w:r w:rsidRPr="00DE12A3">
        <w:rPr>
          <w:sz w:val="24"/>
          <w:szCs w:val="24"/>
        </w:rPr>
        <w:t>'i seviyesine ulaşana kadar çalıştırılmalıdır.</w:t>
      </w:r>
    </w:p>
    <w:p w14:paraId="21CCE25B" w14:textId="77777777" w:rsidR="002D7B36" w:rsidRPr="00DE12A3" w:rsidRDefault="003D74CF" w:rsidP="00E20716">
      <w:pPr>
        <w:pStyle w:val="Gvdemetni250"/>
        <w:numPr>
          <w:ilvl w:val="0"/>
          <w:numId w:val="79"/>
        </w:numPr>
        <w:shd w:val="clear" w:color="auto" w:fill="auto"/>
        <w:spacing w:before="120" w:after="120" w:line="240" w:lineRule="auto"/>
        <w:ind w:left="1134" w:hanging="1134"/>
        <w:rPr>
          <w:sz w:val="24"/>
          <w:szCs w:val="24"/>
        </w:rPr>
      </w:pPr>
      <w:r w:rsidRPr="00DE12A3">
        <w:rPr>
          <w:sz w:val="24"/>
          <w:szCs w:val="24"/>
        </w:rPr>
        <w:t xml:space="preserve">      </w:t>
      </w:r>
      <w:r w:rsidR="00242DA0" w:rsidRPr="00DE12A3">
        <w:rPr>
          <w:sz w:val="24"/>
          <w:szCs w:val="24"/>
        </w:rPr>
        <w:t>İspatın dokümantasyonu</w:t>
      </w:r>
    </w:p>
    <w:p w14:paraId="4C1478ED" w14:textId="77777777" w:rsidR="002D7B36" w:rsidRPr="00DE12A3" w:rsidRDefault="003D74CF" w:rsidP="00E20716">
      <w:pPr>
        <w:pStyle w:val="Gvdemetni250"/>
        <w:numPr>
          <w:ilvl w:val="0"/>
          <w:numId w:val="80"/>
        </w:numPr>
        <w:shd w:val="clear" w:color="auto" w:fill="auto"/>
        <w:spacing w:before="120" w:after="120" w:line="240" w:lineRule="auto"/>
        <w:ind w:left="1134" w:hanging="1134"/>
        <w:rPr>
          <w:sz w:val="24"/>
          <w:szCs w:val="24"/>
        </w:rPr>
      </w:pPr>
      <w:r w:rsidRPr="00DE12A3">
        <w:rPr>
          <w:sz w:val="24"/>
          <w:szCs w:val="24"/>
        </w:rPr>
        <w:t xml:space="preserve">        </w:t>
      </w:r>
      <w:r w:rsidR="00242DA0" w:rsidRPr="00DE12A3">
        <w:rPr>
          <w:sz w:val="24"/>
          <w:szCs w:val="24"/>
        </w:rPr>
        <w:t>NCD sisteminin ispatı, bir ispat raporu ile belgelenmelidir. Bu rapor:</w:t>
      </w:r>
    </w:p>
    <w:p w14:paraId="486FFAF5" w14:textId="7E73896D" w:rsidR="002D7B36" w:rsidRPr="00DE12A3" w:rsidRDefault="004B1314" w:rsidP="00E20716">
      <w:pPr>
        <w:pStyle w:val="Gvdemetni250"/>
        <w:numPr>
          <w:ilvl w:val="0"/>
          <w:numId w:val="81"/>
        </w:numPr>
        <w:shd w:val="clear" w:color="auto" w:fill="auto"/>
        <w:tabs>
          <w:tab w:val="left" w:pos="1134"/>
        </w:tabs>
        <w:spacing w:before="120" w:after="120" w:line="240" w:lineRule="auto"/>
        <w:ind w:left="1134" w:firstLine="0"/>
        <w:rPr>
          <w:sz w:val="24"/>
          <w:szCs w:val="24"/>
        </w:rPr>
      </w:pPr>
      <w:r w:rsidRPr="00DE12A3">
        <w:rPr>
          <w:sz w:val="24"/>
          <w:szCs w:val="24"/>
        </w:rPr>
        <w:t xml:space="preserve">     İ</w:t>
      </w:r>
      <w:r w:rsidR="00242DA0" w:rsidRPr="00DE12A3">
        <w:rPr>
          <w:sz w:val="24"/>
          <w:szCs w:val="24"/>
        </w:rPr>
        <w:t>ncelenen arızaları tanımlamalı</w:t>
      </w:r>
      <w:r w:rsidR="00B5565B" w:rsidRPr="00DE12A3">
        <w:rPr>
          <w:sz w:val="24"/>
          <w:szCs w:val="24"/>
        </w:rPr>
        <w:t>,</w:t>
      </w:r>
    </w:p>
    <w:p w14:paraId="0AFB6133" w14:textId="316C24FE" w:rsidR="002D7B36" w:rsidRPr="00DE12A3" w:rsidRDefault="004B1314" w:rsidP="00E20716">
      <w:pPr>
        <w:pStyle w:val="Gvdemetni250"/>
        <w:numPr>
          <w:ilvl w:val="0"/>
          <w:numId w:val="81"/>
        </w:numPr>
        <w:shd w:val="clear" w:color="auto" w:fill="auto"/>
        <w:tabs>
          <w:tab w:val="left" w:pos="851"/>
          <w:tab w:val="left" w:pos="1134"/>
          <w:tab w:val="left" w:pos="1418"/>
          <w:tab w:val="left" w:pos="1701"/>
        </w:tabs>
        <w:spacing w:before="120" w:after="120" w:line="240" w:lineRule="auto"/>
        <w:ind w:left="1134" w:firstLine="0"/>
        <w:rPr>
          <w:sz w:val="24"/>
          <w:szCs w:val="24"/>
        </w:rPr>
      </w:pPr>
      <w:r w:rsidRPr="00DE12A3">
        <w:rPr>
          <w:sz w:val="24"/>
          <w:szCs w:val="24"/>
        </w:rPr>
        <w:t>G</w:t>
      </w:r>
      <w:r w:rsidR="00242DA0" w:rsidRPr="00DE12A3">
        <w:rPr>
          <w:sz w:val="24"/>
          <w:szCs w:val="24"/>
        </w:rPr>
        <w:t xml:space="preserve">eçerli test </w:t>
      </w:r>
      <w:r w:rsidR="00951351" w:rsidRPr="00DE12A3">
        <w:rPr>
          <w:sz w:val="24"/>
          <w:szCs w:val="24"/>
        </w:rPr>
        <w:t xml:space="preserve">çevrimi  </w:t>
      </w:r>
      <w:r w:rsidR="00242DA0" w:rsidRPr="00DE12A3">
        <w:rPr>
          <w:sz w:val="24"/>
          <w:szCs w:val="24"/>
        </w:rPr>
        <w:t xml:space="preserve"> de dahil olmak üzere yapılan ispatı açıklamalı</w:t>
      </w:r>
      <w:r w:rsidR="00B5565B" w:rsidRPr="00DE12A3">
        <w:rPr>
          <w:sz w:val="24"/>
          <w:szCs w:val="24"/>
        </w:rPr>
        <w:t>,</w:t>
      </w:r>
    </w:p>
    <w:p w14:paraId="68CC8CFC" w14:textId="1CD3EAA2" w:rsidR="002D7B36" w:rsidRPr="00DE12A3" w:rsidRDefault="003D74CF" w:rsidP="00E20716">
      <w:pPr>
        <w:pStyle w:val="Gvdemetni250"/>
        <w:numPr>
          <w:ilvl w:val="0"/>
          <w:numId w:val="81"/>
        </w:numPr>
        <w:shd w:val="clear" w:color="auto" w:fill="auto"/>
        <w:spacing w:before="120" w:after="120" w:line="240" w:lineRule="auto"/>
        <w:ind w:left="1843" w:hanging="709"/>
        <w:rPr>
          <w:sz w:val="24"/>
          <w:szCs w:val="24"/>
        </w:rPr>
      </w:pPr>
      <w:r w:rsidRPr="00DE12A3">
        <w:rPr>
          <w:sz w:val="24"/>
          <w:szCs w:val="24"/>
        </w:rPr>
        <w:t xml:space="preserve">     </w:t>
      </w:r>
      <w:r w:rsidR="004B1314" w:rsidRPr="00DE12A3">
        <w:rPr>
          <w:sz w:val="24"/>
          <w:szCs w:val="24"/>
        </w:rPr>
        <w:t>G</w:t>
      </w:r>
      <w:r w:rsidR="00242DA0" w:rsidRPr="00DE12A3">
        <w:rPr>
          <w:sz w:val="24"/>
          <w:szCs w:val="24"/>
        </w:rPr>
        <w:t xml:space="preserve">eçerli uyarı ve ikna sistemlerinin bu düzenlemenin gerektirdiği </w:t>
      </w:r>
      <w:r w:rsidR="00EC31DF" w:rsidRPr="00DE12A3">
        <w:rPr>
          <w:sz w:val="24"/>
          <w:szCs w:val="24"/>
        </w:rPr>
        <w:t>şekilde devreye</w:t>
      </w:r>
      <w:r w:rsidR="00242DA0" w:rsidRPr="00DE12A3">
        <w:rPr>
          <w:sz w:val="24"/>
          <w:szCs w:val="24"/>
        </w:rPr>
        <w:t xml:space="preserve"> girdiğini doğrulamalı</w:t>
      </w:r>
      <w:r w:rsidR="00B5565B" w:rsidRPr="00DE12A3">
        <w:rPr>
          <w:sz w:val="24"/>
          <w:szCs w:val="24"/>
        </w:rPr>
        <w:t>,</w:t>
      </w:r>
      <w:r w:rsidR="00242DA0" w:rsidRPr="00DE12A3">
        <w:rPr>
          <w:sz w:val="24"/>
          <w:szCs w:val="24"/>
        </w:rPr>
        <w:t xml:space="preserve"> ve</w:t>
      </w:r>
    </w:p>
    <w:p w14:paraId="0A4986E0" w14:textId="4729F7D2" w:rsidR="002D7B36" w:rsidRPr="00DE12A3" w:rsidRDefault="00B809B6" w:rsidP="00E20716">
      <w:pPr>
        <w:pStyle w:val="Gvdemetni250"/>
        <w:numPr>
          <w:ilvl w:val="0"/>
          <w:numId w:val="81"/>
        </w:numPr>
        <w:shd w:val="clear" w:color="auto" w:fill="auto"/>
        <w:tabs>
          <w:tab w:val="left" w:pos="1560"/>
        </w:tabs>
        <w:spacing w:before="120" w:after="120" w:line="240" w:lineRule="auto"/>
        <w:ind w:left="1843" w:hanging="709"/>
        <w:rPr>
          <w:sz w:val="24"/>
          <w:szCs w:val="24"/>
        </w:rPr>
      </w:pPr>
      <w:r w:rsidRPr="00DE12A3">
        <w:rPr>
          <w:sz w:val="24"/>
          <w:szCs w:val="24"/>
        </w:rPr>
        <w:t xml:space="preserve">    </w:t>
      </w:r>
      <w:r w:rsidR="00EE5D5E" w:rsidRPr="00DE12A3">
        <w:rPr>
          <w:sz w:val="24"/>
          <w:szCs w:val="24"/>
        </w:rPr>
        <w:t xml:space="preserve">2017/656/AB Tebliğinin I’inci </w:t>
      </w:r>
      <w:r w:rsidR="00EC3EF0" w:rsidRPr="00DE12A3">
        <w:rPr>
          <w:sz w:val="24"/>
          <w:szCs w:val="24"/>
        </w:rPr>
        <w:t>Ekinin</w:t>
      </w:r>
      <w:r w:rsidR="00242DA0" w:rsidRPr="00DE12A3">
        <w:rPr>
          <w:sz w:val="24"/>
          <w:szCs w:val="24"/>
        </w:rPr>
        <w:t xml:space="preserve"> A Bölümünde belirtilen bilgi klasörüne eklenmelidir.</w:t>
      </w:r>
    </w:p>
    <w:p w14:paraId="41C8055C" w14:textId="77777777" w:rsidR="002D7B36" w:rsidRPr="00DE12A3" w:rsidRDefault="00E548C2" w:rsidP="00E20716">
      <w:pPr>
        <w:pStyle w:val="Gvdemetni250"/>
        <w:numPr>
          <w:ilvl w:val="0"/>
          <w:numId w:val="82"/>
        </w:numPr>
        <w:shd w:val="clear" w:color="auto" w:fill="auto"/>
        <w:spacing w:before="120" w:after="120" w:line="240" w:lineRule="auto"/>
        <w:ind w:left="1134" w:hanging="1134"/>
        <w:rPr>
          <w:b/>
          <w:sz w:val="24"/>
          <w:szCs w:val="24"/>
        </w:rPr>
      </w:pPr>
      <w:r w:rsidRPr="00DE12A3">
        <w:rPr>
          <w:b/>
          <w:sz w:val="24"/>
          <w:szCs w:val="24"/>
        </w:rPr>
        <w:t xml:space="preserve">       </w:t>
      </w:r>
      <w:r w:rsidR="00242DA0" w:rsidRPr="00DE12A3">
        <w:rPr>
          <w:b/>
          <w:sz w:val="24"/>
          <w:szCs w:val="24"/>
        </w:rPr>
        <w:t>Operatör uyarı ve ikna mekanizmalarının devreye girmesine ve devreden çıkmasına dair açıklama</w:t>
      </w:r>
    </w:p>
    <w:p w14:paraId="318266ED" w14:textId="2401EF13" w:rsidR="002D7B36" w:rsidRPr="00DE12A3" w:rsidRDefault="00E548C2" w:rsidP="00E20716">
      <w:pPr>
        <w:pStyle w:val="Gvdemetni250"/>
        <w:numPr>
          <w:ilvl w:val="1"/>
          <w:numId w:val="82"/>
        </w:numPr>
        <w:shd w:val="clear" w:color="auto" w:fill="auto"/>
        <w:spacing w:before="120" w:after="120" w:line="240" w:lineRule="auto"/>
        <w:ind w:left="1134" w:hanging="1134"/>
        <w:rPr>
          <w:sz w:val="24"/>
          <w:szCs w:val="24"/>
        </w:rPr>
      </w:pPr>
      <w:r w:rsidRPr="00DE12A3">
        <w:rPr>
          <w:sz w:val="24"/>
          <w:szCs w:val="24"/>
        </w:rPr>
        <w:t xml:space="preserve">       </w:t>
      </w:r>
      <w:r w:rsidR="00242DA0" w:rsidRPr="00DE12A3">
        <w:rPr>
          <w:sz w:val="24"/>
          <w:szCs w:val="24"/>
        </w:rPr>
        <w:t xml:space="preserve">Bu Ekte belirtilen uyarı ve ikna sistemlerinin devreye girme ve devreden çıkma mekanizmaları ile ilgili </w:t>
      </w:r>
      <w:r w:rsidR="0053289F" w:rsidRPr="00DE12A3">
        <w:rPr>
          <w:sz w:val="24"/>
          <w:szCs w:val="24"/>
        </w:rPr>
        <w:t>gereklilikleri</w:t>
      </w:r>
      <w:r w:rsidR="00242DA0" w:rsidRPr="00DE12A3">
        <w:rPr>
          <w:sz w:val="24"/>
          <w:szCs w:val="24"/>
        </w:rPr>
        <w:t xml:space="preserve"> tamamlamak için, bu </w:t>
      </w:r>
      <w:r w:rsidR="00721C89" w:rsidRPr="00DE12A3">
        <w:rPr>
          <w:sz w:val="24"/>
          <w:szCs w:val="24"/>
        </w:rPr>
        <w:t>Bölüm</w:t>
      </w:r>
      <w:r w:rsidR="00242DA0" w:rsidRPr="00DE12A3">
        <w:rPr>
          <w:sz w:val="24"/>
          <w:szCs w:val="24"/>
        </w:rPr>
        <w:t>de, devreye girme ve devreden çıkma mekanizmalarının bir uygulamasına ilişkin teknik şartlar belirtilmiştir.</w:t>
      </w:r>
    </w:p>
    <w:p w14:paraId="72B35707" w14:textId="77777777" w:rsidR="002D7B36" w:rsidRPr="00DE12A3" w:rsidRDefault="00E548C2" w:rsidP="00E20716">
      <w:pPr>
        <w:pStyle w:val="Gvdemetni250"/>
        <w:numPr>
          <w:ilvl w:val="0"/>
          <w:numId w:val="83"/>
        </w:numPr>
        <w:shd w:val="clear" w:color="auto" w:fill="auto"/>
        <w:spacing w:before="120" w:after="120" w:line="240" w:lineRule="auto"/>
        <w:ind w:left="1134" w:hanging="1134"/>
        <w:rPr>
          <w:sz w:val="24"/>
          <w:szCs w:val="24"/>
        </w:rPr>
      </w:pPr>
      <w:r w:rsidRPr="00DE12A3">
        <w:rPr>
          <w:sz w:val="24"/>
          <w:szCs w:val="24"/>
        </w:rPr>
        <w:lastRenderedPageBreak/>
        <w:t xml:space="preserve">      </w:t>
      </w:r>
      <w:r w:rsidR="00242DA0" w:rsidRPr="00DE12A3">
        <w:rPr>
          <w:sz w:val="24"/>
          <w:szCs w:val="24"/>
        </w:rPr>
        <w:t>Uyarı sisteminin devreye girme ve devreden çıkma mekanizmaları</w:t>
      </w:r>
    </w:p>
    <w:p w14:paraId="651EABF0" w14:textId="77777777" w:rsidR="002D7B36" w:rsidRPr="00DE12A3" w:rsidRDefault="00242DA0" w:rsidP="00C917D6">
      <w:pPr>
        <w:pStyle w:val="Gvdemetni250"/>
        <w:shd w:val="clear" w:color="auto" w:fill="auto"/>
        <w:spacing w:before="120" w:after="120" w:line="240" w:lineRule="auto"/>
        <w:ind w:left="1134" w:hanging="1134"/>
        <w:rPr>
          <w:sz w:val="24"/>
          <w:szCs w:val="24"/>
        </w:rPr>
      </w:pPr>
      <w:r w:rsidRPr="00DE12A3">
        <w:rPr>
          <w:sz w:val="24"/>
          <w:szCs w:val="24"/>
        </w:rPr>
        <w:t>11.2.1.</w:t>
      </w:r>
      <w:r w:rsidRPr="00DE12A3">
        <w:rPr>
          <w:sz w:val="24"/>
          <w:szCs w:val="24"/>
        </w:rPr>
        <w:tab/>
        <w:t xml:space="preserve">Operatör uyarı sistemi, devreye girdiğini doğrulayan bir NCM ile ilişkili teşhis hata </w:t>
      </w:r>
      <w:r w:rsidR="004B1314" w:rsidRPr="00DE12A3">
        <w:rPr>
          <w:sz w:val="24"/>
          <w:szCs w:val="24"/>
        </w:rPr>
        <w:t>kodu (DTC) Tablo</w:t>
      </w:r>
      <w:r w:rsidRPr="00DE12A3">
        <w:rPr>
          <w:sz w:val="24"/>
          <w:szCs w:val="24"/>
        </w:rPr>
        <w:t xml:space="preserve"> 4.2'de tanımlanan durumda olduğunda devreye girer.</w:t>
      </w:r>
    </w:p>
    <w:p w14:paraId="64B714E4" w14:textId="77777777" w:rsidR="008E6900" w:rsidRPr="00DE12A3" w:rsidRDefault="008E6900" w:rsidP="00C917D6">
      <w:pPr>
        <w:pStyle w:val="Gvdemetni250"/>
        <w:shd w:val="clear" w:color="auto" w:fill="auto"/>
        <w:spacing w:before="120" w:after="120" w:line="240" w:lineRule="auto"/>
        <w:ind w:left="1134" w:hanging="1134"/>
        <w:rPr>
          <w:sz w:val="20"/>
          <w:szCs w:val="20"/>
        </w:rPr>
      </w:pPr>
    </w:p>
    <w:p w14:paraId="5EA94E96" w14:textId="46563DD7" w:rsidR="008E6900" w:rsidRPr="00DE12A3" w:rsidRDefault="000745D9" w:rsidP="000745D9">
      <w:pPr>
        <w:jc w:val="center"/>
        <w:rPr>
          <w:b/>
          <w:bCs/>
          <w:color w:val="auto"/>
        </w:rPr>
      </w:pPr>
      <w:r w:rsidRPr="00DE12A3">
        <w:rPr>
          <w:b/>
          <w:bCs/>
          <w:color w:val="auto"/>
        </w:rPr>
        <w:t>Tablo 4.2</w:t>
      </w:r>
    </w:p>
    <w:p w14:paraId="3D965C70" w14:textId="4B06DDE0" w:rsidR="008E6900" w:rsidRPr="00DE12A3" w:rsidRDefault="000745D9" w:rsidP="000745D9">
      <w:pPr>
        <w:jc w:val="center"/>
        <w:rPr>
          <w:b/>
          <w:bCs/>
          <w:color w:val="auto"/>
        </w:rPr>
      </w:pPr>
      <w:r w:rsidRPr="00DE12A3">
        <w:rPr>
          <w:b/>
          <w:bCs/>
          <w:color w:val="auto"/>
        </w:rPr>
        <w:t>Operatör uyarı sisteminin devreye girmesi</w:t>
      </w:r>
    </w:p>
    <w:p w14:paraId="5A13B7EC" w14:textId="77777777" w:rsidR="008E6900" w:rsidRPr="00DE12A3" w:rsidRDefault="008E6900" w:rsidP="00C917D6">
      <w:pPr>
        <w:pStyle w:val="Gvdemetni250"/>
        <w:shd w:val="clear" w:color="auto" w:fill="auto"/>
        <w:spacing w:before="120" w:after="120" w:line="240" w:lineRule="auto"/>
        <w:ind w:left="1134" w:hanging="1134"/>
        <w:rPr>
          <w:sz w:val="20"/>
          <w:szCs w:val="20"/>
        </w:rPr>
      </w:pPr>
    </w:p>
    <w:tbl>
      <w:tblPr>
        <w:tblW w:w="0" w:type="auto"/>
        <w:jc w:val="center"/>
        <w:tblLayout w:type="fixed"/>
        <w:tblLook w:val="0000" w:firstRow="0" w:lastRow="0" w:firstColumn="0" w:lastColumn="0" w:noHBand="0" w:noVBand="0"/>
      </w:tblPr>
      <w:tblGrid>
        <w:gridCol w:w="4053"/>
        <w:gridCol w:w="4954"/>
      </w:tblGrid>
      <w:tr w:rsidR="00DE12A3" w:rsidRPr="00DE12A3" w14:paraId="0B92E8B0" w14:textId="77777777" w:rsidTr="00B655AE">
        <w:trPr>
          <w:jc w:val="center"/>
        </w:trPr>
        <w:tc>
          <w:tcPr>
            <w:tcW w:w="4053" w:type="dxa"/>
            <w:tcBorders>
              <w:top w:val="single" w:sz="2" w:space="0" w:color="auto"/>
              <w:left w:val="single" w:sz="2" w:space="0" w:color="auto"/>
              <w:bottom w:val="single" w:sz="2" w:space="0" w:color="auto"/>
              <w:right w:val="single" w:sz="2" w:space="0" w:color="auto"/>
            </w:tcBorders>
          </w:tcPr>
          <w:p w14:paraId="0459E9F9" w14:textId="77777777" w:rsidR="00EC31DF" w:rsidRPr="00DE12A3" w:rsidRDefault="00EC31DF" w:rsidP="00C917D6">
            <w:pPr>
              <w:widowControl/>
              <w:autoSpaceDE w:val="0"/>
              <w:autoSpaceDN w:val="0"/>
              <w:spacing w:before="120" w:after="120"/>
              <w:jc w:val="both"/>
              <w:rPr>
                <w:rFonts w:eastAsiaTheme="minorEastAsia" w:cs="Times New Roman"/>
                <w:color w:val="auto"/>
                <w:lang w:val="fr-FR"/>
              </w:rPr>
            </w:pPr>
            <w:r w:rsidRPr="00DE12A3">
              <w:rPr>
                <w:rFonts w:eastAsiaTheme="minorEastAsia" w:cs="Times New Roman"/>
                <w:color w:val="auto"/>
                <w:lang w:val="fr-FR"/>
              </w:rPr>
              <w:t>Arıza tipi</w:t>
            </w:r>
          </w:p>
        </w:tc>
        <w:tc>
          <w:tcPr>
            <w:tcW w:w="4954" w:type="dxa"/>
            <w:tcBorders>
              <w:top w:val="single" w:sz="2" w:space="0" w:color="auto"/>
              <w:left w:val="single" w:sz="2" w:space="0" w:color="auto"/>
              <w:bottom w:val="single" w:sz="2" w:space="0" w:color="auto"/>
              <w:right w:val="single" w:sz="2" w:space="0" w:color="auto"/>
            </w:tcBorders>
          </w:tcPr>
          <w:p w14:paraId="0871A9FC" w14:textId="77777777" w:rsidR="00EC31DF" w:rsidRPr="00DE12A3" w:rsidRDefault="00EC31DF" w:rsidP="00C917D6">
            <w:pPr>
              <w:widowControl/>
              <w:autoSpaceDE w:val="0"/>
              <w:autoSpaceDN w:val="0"/>
              <w:spacing w:before="120" w:after="120"/>
              <w:jc w:val="both"/>
              <w:rPr>
                <w:rFonts w:eastAsiaTheme="minorEastAsia" w:cs="Times New Roman"/>
                <w:color w:val="auto"/>
                <w:lang w:val="fr-FR"/>
              </w:rPr>
            </w:pPr>
            <w:r w:rsidRPr="00DE12A3">
              <w:rPr>
                <w:rFonts w:eastAsiaTheme="minorEastAsia" w:cs="Times New Roman"/>
                <w:color w:val="auto"/>
                <w:lang w:val="fr-FR"/>
              </w:rPr>
              <w:t>Uyarı sisteminin devreye girmesi için DTC durumu</w:t>
            </w:r>
          </w:p>
        </w:tc>
      </w:tr>
      <w:tr w:rsidR="00DE12A3" w:rsidRPr="00DE12A3" w14:paraId="1A4329FD" w14:textId="77777777" w:rsidTr="00B655AE">
        <w:trPr>
          <w:jc w:val="center"/>
        </w:trPr>
        <w:tc>
          <w:tcPr>
            <w:tcW w:w="4053" w:type="dxa"/>
            <w:tcBorders>
              <w:top w:val="single" w:sz="2" w:space="0" w:color="auto"/>
              <w:left w:val="single" w:sz="2" w:space="0" w:color="auto"/>
              <w:bottom w:val="single" w:sz="2" w:space="0" w:color="auto"/>
              <w:right w:val="single" w:sz="2" w:space="0" w:color="auto"/>
            </w:tcBorders>
          </w:tcPr>
          <w:p w14:paraId="1DF56DFF" w14:textId="77777777" w:rsidR="00EC31DF" w:rsidRPr="00DE12A3" w:rsidRDefault="00EC31DF" w:rsidP="00C917D6">
            <w:pPr>
              <w:widowControl/>
              <w:autoSpaceDE w:val="0"/>
              <w:autoSpaceDN w:val="0"/>
              <w:spacing w:before="120" w:after="120"/>
              <w:jc w:val="both"/>
              <w:rPr>
                <w:rFonts w:eastAsiaTheme="minorEastAsia" w:cs="Times New Roman"/>
                <w:color w:val="auto"/>
                <w:lang w:val="fr-FR"/>
              </w:rPr>
            </w:pPr>
            <w:r w:rsidRPr="00DE12A3">
              <w:rPr>
                <w:rFonts w:eastAsiaTheme="minorEastAsia" w:cs="Times New Roman"/>
                <w:color w:val="auto"/>
                <w:lang w:val="fr-FR"/>
              </w:rPr>
              <w:t>Düşük ayıraç kalitesi</w:t>
            </w:r>
          </w:p>
        </w:tc>
        <w:tc>
          <w:tcPr>
            <w:tcW w:w="4954" w:type="dxa"/>
            <w:tcBorders>
              <w:top w:val="single" w:sz="2" w:space="0" w:color="auto"/>
              <w:left w:val="single" w:sz="2" w:space="0" w:color="auto"/>
              <w:bottom w:val="single" w:sz="2" w:space="0" w:color="auto"/>
              <w:right w:val="single" w:sz="2" w:space="0" w:color="auto"/>
            </w:tcBorders>
          </w:tcPr>
          <w:p w14:paraId="6B89A31B" w14:textId="37D28CDC" w:rsidR="00EC31DF" w:rsidRPr="00DE12A3" w:rsidRDefault="00DB50AB" w:rsidP="00C917D6">
            <w:pPr>
              <w:widowControl/>
              <w:autoSpaceDE w:val="0"/>
              <w:autoSpaceDN w:val="0"/>
              <w:spacing w:before="120" w:after="120"/>
              <w:jc w:val="both"/>
              <w:rPr>
                <w:rFonts w:eastAsiaTheme="minorEastAsia" w:cs="Times New Roman"/>
                <w:color w:val="auto"/>
                <w:lang w:val="fr-FR"/>
              </w:rPr>
            </w:pPr>
            <w:r w:rsidRPr="00DE12A3">
              <w:rPr>
                <w:rFonts w:eastAsiaTheme="minorEastAsia" w:cs="Times New Roman"/>
                <w:color w:val="auto"/>
              </w:rPr>
              <w:t>Doğrulandı</w:t>
            </w:r>
            <w:r w:rsidR="00EC31DF" w:rsidRPr="00DE12A3">
              <w:rPr>
                <w:rFonts w:eastAsiaTheme="minorEastAsia" w:cs="Times New Roman"/>
                <w:color w:val="auto"/>
              </w:rPr>
              <w:t xml:space="preserve"> ve devrede</w:t>
            </w:r>
          </w:p>
        </w:tc>
      </w:tr>
      <w:tr w:rsidR="00DE12A3" w:rsidRPr="00DE12A3" w14:paraId="6606A8D3" w14:textId="77777777" w:rsidTr="00B655AE">
        <w:trPr>
          <w:jc w:val="center"/>
        </w:trPr>
        <w:tc>
          <w:tcPr>
            <w:tcW w:w="4053" w:type="dxa"/>
            <w:tcBorders>
              <w:top w:val="single" w:sz="2" w:space="0" w:color="auto"/>
              <w:left w:val="single" w:sz="2" w:space="0" w:color="auto"/>
              <w:bottom w:val="single" w:sz="2" w:space="0" w:color="auto"/>
              <w:right w:val="single" w:sz="2" w:space="0" w:color="auto"/>
            </w:tcBorders>
          </w:tcPr>
          <w:p w14:paraId="1DAE8709" w14:textId="77777777" w:rsidR="00EC31DF" w:rsidRPr="00DE12A3" w:rsidRDefault="00EC31DF" w:rsidP="00C917D6">
            <w:pPr>
              <w:widowControl/>
              <w:autoSpaceDE w:val="0"/>
              <w:autoSpaceDN w:val="0"/>
              <w:spacing w:before="120" w:after="120"/>
              <w:jc w:val="both"/>
              <w:rPr>
                <w:rFonts w:eastAsiaTheme="minorEastAsia" w:cs="Times New Roman"/>
                <w:color w:val="auto"/>
                <w:lang w:val="fr-FR"/>
              </w:rPr>
            </w:pPr>
            <w:r w:rsidRPr="00DE12A3">
              <w:rPr>
                <w:rFonts w:eastAsiaTheme="minorEastAsia" w:cs="Times New Roman"/>
                <w:color w:val="auto"/>
              </w:rPr>
              <w:t>Dozaj kesintisi</w:t>
            </w:r>
          </w:p>
        </w:tc>
        <w:tc>
          <w:tcPr>
            <w:tcW w:w="4954" w:type="dxa"/>
            <w:tcBorders>
              <w:top w:val="single" w:sz="2" w:space="0" w:color="auto"/>
              <w:left w:val="single" w:sz="2" w:space="0" w:color="auto"/>
              <w:bottom w:val="single" w:sz="2" w:space="0" w:color="auto"/>
              <w:right w:val="single" w:sz="2" w:space="0" w:color="auto"/>
            </w:tcBorders>
          </w:tcPr>
          <w:p w14:paraId="4B7F199E" w14:textId="013906C0" w:rsidR="00EC31DF" w:rsidRPr="00DE12A3" w:rsidRDefault="00DB50AB" w:rsidP="00C917D6">
            <w:pPr>
              <w:widowControl/>
              <w:autoSpaceDE w:val="0"/>
              <w:autoSpaceDN w:val="0"/>
              <w:spacing w:before="120" w:after="120"/>
              <w:jc w:val="both"/>
              <w:rPr>
                <w:rFonts w:eastAsiaTheme="minorEastAsia" w:cs="Times New Roman"/>
                <w:color w:val="auto"/>
                <w:lang w:val="fr-FR"/>
              </w:rPr>
            </w:pPr>
            <w:r w:rsidRPr="00DE12A3">
              <w:rPr>
                <w:rFonts w:eastAsiaTheme="minorEastAsia" w:cs="Times New Roman"/>
                <w:color w:val="auto"/>
              </w:rPr>
              <w:t>Doğrulandı</w:t>
            </w:r>
            <w:r w:rsidR="00EC31DF" w:rsidRPr="00DE12A3">
              <w:rPr>
                <w:rFonts w:eastAsiaTheme="minorEastAsia" w:cs="Times New Roman"/>
                <w:color w:val="auto"/>
              </w:rPr>
              <w:t xml:space="preserve"> ve devrede</w:t>
            </w:r>
          </w:p>
        </w:tc>
      </w:tr>
      <w:tr w:rsidR="00DE12A3" w:rsidRPr="00DE12A3" w14:paraId="4AB992DB" w14:textId="77777777" w:rsidTr="00B655AE">
        <w:trPr>
          <w:jc w:val="center"/>
        </w:trPr>
        <w:tc>
          <w:tcPr>
            <w:tcW w:w="4053" w:type="dxa"/>
            <w:tcBorders>
              <w:top w:val="single" w:sz="2" w:space="0" w:color="auto"/>
              <w:left w:val="single" w:sz="2" w:space="0" w:color="auto"/>
              <w:bottom w:val="single" w:sz="2" w:space="0" w:color="auto"/>
              <w:right w:val="single" w:sz="2" w:space="0" w:color="auto"/>
            </w:tcBorders>
          </w:tcPr>
          <w:p w14:paraId="28878C1B" w14:textId="77777777" w:rsidR="00EC31DF" w:rsidRPr="00DE12A3" w:rsidRDefault="00EC31DF" w:rsidP="00C917D6">
            <w:pPr>
              <w:widowControl/>
              <w:autoSpaceDE w:val="0"/>
              <w:autoSpaceDN w:val="0"/>
              <w:spacing w:before="120" w:after="120"/>
              <w:jc w:val="both"/>
              <w:rPr>
                <w:rFonts w:eastAsiaTheme="minorEastAsia" w:cs="Times New Roman"/>
                <w:color w:val="auto"/>
                <w:lang w:val="fr-FR"/>
              </w:rPr>
            </w:pPr>
            <w:r w:rsidRPr="00DE12A3">
              <w:rPr>
                <w:rFonts w:eastAsiaTheme="minorEastAsia" w:cs="Times New Roman"/>
                <w:color w:val="auto"/>
              </w:rPr>
              <w:t>Engellenmiş EGR valfı</w:t>
            </w:r>
          </w:p>
        </w:tc>
        <w:tc>
          <w:tcPr>
            <w:tcW w:w="4954" w:type="dxa"/>
            <w:tcBorders>
              <w:top w:val="single" w:sz="2" w:space="0" w:color="auto"/>
              <w:left w:val="single" w:sz="2" w:space="0" w:color="auto"/>
              <w:bottom w:val="single" w:sz="2" w:space="0" w:color="auto"/>
              <w:right w:val="single" w:sz="2" w:space="0" w:color="auto"/>
            </w:tcBorders>
          </w:tcPr>
          <w:p w14:paraId="7316BF66" w14:textId="28702358" w:rsidR="00EC31DF" w:rsidRPr="00DE12A3" w:rsidRDefault="00DB50AB" w:rsidP="00C917D6">
            <w:pPr>
              <w:widowControl/>
              <w:autoSpaceDE w:val="0"/>
              <w:autoSpaceDN w:val="0"/>
              <w:spacing w:before="120" w:after="120"/>
              <w:jc w:val="both"/>
              <w:rPr>
                <w:rFonts w:eastAsiaTheme="minorEastAsia" w:cs="Times New Roman"/>
                <w:color w:val="auto"/>
                <w:lang w:val="fr-FR"/>
              </w:rPr>
            </w:pPr>
            <w:r w:rsidRPr="00DE12A3">
              <w:rPr>
                <w:rFonts w:eastAsiaTheme="minorEastAsia" w:cs="Times New Roman"/>
                <w:color w:val="auto"/>
              </w:rPr>
              <w:t>Doğrulandı</w:t>
            </w:r>
            <w:r w:rsidR="00EC31DF" w:rsidRPr="00DE12A3">
              <w:rPr>
                <w:rFonts w:eastAsiaTheme="minorEastAsia" w:cs="Times New Roman"/>
                <w:color w:val="auto"/>
              </w:rPr>
              <w:t xml:space="preserve"> ve devrede</w:t>
            </w:r>
          </w:p>
        </w:tc>
      </w:tr>
      <w:tr w:rsidR="00DE12A3" w:rsidRPr="00DE12A3" w14:paraId="0EB8F428" w14:textId="77777777" w:rsidTr="00B655AE">
        <w:trPr>
          <w:jc w:val="center"/>
        </w:trPr>
        <w:tc>
          <w:tcPr>
            <w:tcW w:w="4053" w:type="dxa"/>
            <w:tcBorders>
              <w:top w:val="single" w:sz="2" w:space="0" w:color="auto"/>
              <w:left w:val="single" w:sz="2" w:space="0" w:color="auto"/>
              <w:bottom w:val="single" w:sz="2" w:space="0" w:color="auto"/>
              <w:right w:val="single" w:sz="2" w:space="0" w:color="auto"/>
            </w:tcBorders>
          </w:tcPr>
          <w:p w14:paraId="4C43BD7D" w14:textId="77777777" w:rsidR="00EC31DF" w:rsidRPr="00DE12A3" w:rsidRDefault="00EC31DF" w:rsidP="00C917D6">
            <w:pPr>
              <w:widowControl/>
              <w:autoSpaceDE w:val="0"/>
              <w:autoSpaceDN w:val="0"/>
              <w:spacing w:before="120" w:after="120"/>
              <w:jc w:val="both"/>
              <w:rPr>
                <w:rFonts w:eastAsiaTheme="minorEastAsia" w:cs="Times New Roman"/>
                <w:color w:val="auto"/>
                <w:lang w:val="fr-FR"/>
              </w:rPr>
            </w:pPr>
            <w:r w:rsidRPr="00DE12A3">
              <w:rPr>
                <w:rFonts w:eastAsiaTheme="minorEastAsia" w:cs="Times New Roman"/>
                <w:color w:val="auto"/>
              </w:rPr>
              <w:t>İzleme sistemi arızası</w:t>
            </w:r>
          </w:p>
        </w:tc>
        <w:tc>
          <w:tcPr>
            <w:tcW w:w="4954" w:type="dxa"/>
            <w:tcBorders>
              <w:top w:val="single" w:sz="2" w:space="0" w:color="auto"/>
              <w:left w:val="single" w:sz="2" w:space="0" w:color="auto"/>
              <w:bottom w:val="single" w:sz="2" w:space="0" w:color="auto"/>
              <w:right w:val="single" w:sz="2" w:space="0" w:color="auto"/>
            </w:tcBorders>
          </w:tcPr>
          <w:p w14:paraId="5DC94DC2" w14:textId="73688C03" w:rsidR="00EC31DF" w:rsidRPr="00DE12A3" w:rsidRDefault="00DB50AB" w:rsidP="00C917D6">
            <w:pPr>
              <w:widowControl/>
              <w:autoSpaceDE w:val="0"/>
              <w:autoSpaceDN w:val="0"/>
              <w:spacing w:before="120" w:after="120"/>
              <w:jc w:val="both"/>
              <w:rPr>
                <w:rFonts w:eastAsiaTheme="minorEastAsia" w:cs="Times New Roman"/>
                <w:color w:val="auto"/>
                <w:lang w:val="fr-FR"/>
              </w:rPr>
            </w:pPr>
            <w:r w:rsidRPr="00DE12A3">
              <w:rPr>
                <w:rFonts w:eastAsiaTheme="minorEastAsia" w:cs="Times New Roman"/>
                <w:color w:val="auto"/>
              </w:rPr>
              <w:t>Doğrulandı</w:t>
            </w:r>
            <w:r w:rsidR="00EC31DF" w:rsidRPr="00DE12A3">
              <w:rPr>
                <w:rFonts w:eastAsiaTheme="minorEastAsia" w:cs="Times New Roman"/>
                <w:color w:val="auto"/>
              </w:rPr>
              <w:t xml:space="preserve"> ve devrede</w:t>
            </w:r>
          </w:p>
        </w:tc>
      </w:tr>
      <w:tr w:rsidR="00EC31DF" w:rsidRPr="00DE12A3" w14:paraId="6DBA0654" w14:textId="77777777" w:rsidTr="00B655AE">
        <w:trPr>
          <w:jc w:val="center"/>
        </w:trPr>
        <w:tc>
          <w:tcPr>
            <w:tcW w:w="4053" w:type="dxa"/>
            <w:tcBorders>
              <w:top w:val="single" w:sz="2" w:space="0" w:color="auto"/>
              <w:left w:val="single" w:sz="2" w:space="0" w:color="auto"/>
              <w:bottom w:val="single" w:sz="2" w:space="0" w:color="auto"/>
              <w:right w:val="single" w:sz="2" w:space="0" w:color="auto"/>
            </w:tcBorders>
          </w:tcPr>
          <w:p w14:paraId="687B4C7D" w14:textId="77777777" w:rsidR="00EC31DF" w:rsidRPr="00DE12A3" w:rsidRDefault="00EC31DF" w:rsidP="00C917D6">
            <w:pPr>
              <w:widowControl/>
              <w:autoSpaceDE w:val="0"/>
              <w:autoSpaceDN w:val="0"/>
              <w:spacing w:before="120" w:after="120"/>
              <w:jc w:val="both"/>
              <w:rPr>
                <w:rFonts w:eastAsiaTheme="minorEastAsia" w:cs="Times New Roman"/>
                <w:color w:val="auto"/>
                <w:lang w:val="fr-FR"/>
              </w:rPr>
            </w:pPr>
            <w:r w:rsidRPr="00DE12A3">
              <w:rPr>
                <w:rFonts w:eastAsiaTheme="minorEastAsia" w:cs="Times New Roman"/>
                <w:color w:val="auto"/>
              </w:rPr>
              <w:t>Varsa, NOx eşik değeri</w:t>
            </w:r>
          </w:p>
        </w:tc>
        <w:tc>
          <w:tcPr>
            <w:tcW w:w="4954" w:type="dxa"/>
            <w:tcBorders>
              <w:top w:val="single" w:sz="2" w:space="0" w:color="auto"/>
              <w:left w:val="single" w:sz="2" w:space="0" w:color="auto"/>
              <w:bottom w:val="single" w:sz="2" w:space="0" w:color="auto"/>
              <w:right w:val="single" w:sz="2" w:space="0" w:color="auto"/>
            </w:tcBorders>
          </w:tcPr>
          <w:p w14:paraId="5D324CD2" w14:textId="2B542677" w:rsidR="00EC31DF" w:rsidRPr="00DE12A3" w:rsidRDefault="00DB50AB" w:rsidP="00C917D6">
            <w:pPr>
              <w:widowControl/>
              <w:autoSpaceDE w:val="0"/>
              <w:autoSpaceDN w:val="0"/>
              <w:spacing w:before="120" w:after="120"/>
              <w:jc w:val="both"/>
              <w:rPr>
                <w:rFonts w:eastAsiaTheme="minorEastAsia" w:cs="Times New Roman"/>
                <w:color w:val="auto"/>
                <w:lang w:val="fr-FR"/>
              </w:rPr>
            </w:pPr>
            <w:r w:rsidRPr="00DE12A3">
              <w:rPr>
                <w:rFonts w:eastAsiaTheme="minorEastAsia" w:cs="Times New Roman"/>
                <w:color w:val="auto"/>
              </w:rPr>
              <w:t>Doğrulandı</w:t>
            </w:r>
            <w:r w:rsidR="00EC31DF" w:rsidRPr="00DE12A3">
              <w:rPr>
                <w:rFonts w:eastAsiaTheme="minorEastAsia" w:cs="Times New Roman"/>
                <w:color w:val="auto"/>
              </w:rPr>
              <w:t xml:space="preserve"> ve devrede</w:t>
            </w:r>
          </w:p>
        </w:tc>
      </w:tr>
    </w:tbl>
    <w:p w14:paraId="1491AFE4" w14:textId="77777777" w:rsidR="00EC31DF" w:rsidRPr="00DE12A3" w:rsidRDefault="00EC31DF" w:rsidP="00C917D6">
      <w:pPr>
        <w:pStyle w:val="Gvdemetni250"/>
        <w:shd w:val="clear" w:color="auto" w:fill="auto"/>
        <w:spacing w:before="120" w:after="120" w:line="240" w:lineRule="auto"/>
        <w:ind w:left="709" w:hanging="709"/>
        <w:rPr>
          <w:spacing w:val="4"/>
          <w:sz w:val="20"/>
          <w:szCs w:val="20"/>
        </w:rPr>
      </w:pPr>
    </w:p>
    <w:p w14:paraId="34157C8B" w14:textId="77777777" w:rsidR="002D7B36" w:rsidRPr="00DE12A3" w:rsidRDefault="00EC31DF" w:rsidP="00E20716">
      <w:pPr>
        <w:pStyle w:val="Gvdemetni0"/>
        <w:numPr>
          <w:ilvl w:val="2"/>
          <w:numId w:val="84"/>
        </w:numPr>
        <w:shd w:val="clear" w:color="auto" w:fill="auto"/>
        <w:spacing w:before="120" w:after="120" w:line="240" w:lineRule="auto"/>
        <w:ind w:left="1134" w:hanging="1134"/>
        <w:jc w:val="both"/>
        <w:rPr>
          <w:sz w:val="24"/>
          <w:szCs w:val="24"/>
        </w:rPr>
      </w:pPr>
      <w:r w:rsidRPr="00DE12A3">
        <w:rPr>
          <w:sz w:val="24"/>
          <w:szCs w:val="24"/>
        </w:rPr>
        <w:t xml:space="preserve">   </w:t>
      </w:r>
      <w:r w:rsidR="008E6900" w:rsidRPr="00DE12A3">
        <w:rPr>
          <w:sz w:val="24"/>
          <w:szCs w:val="24"/>
        </w:rPr>
        <w:t xml:space="preserve">   </w:t>
      </w:r>
      <w:r w:rsidR="00242DA0" w:rsidRPr="00DE12A3">
        <w:rPr>
          <w:sz w:val="24"/>
          <w:szCs w:val="24"/>
        </w:rPr>
        <w:t>Operatör uyarı sistemi, teşhis sistemi söz konusu uyarı ile ilgili arızanın artık olmadığı sonucuna vardığında veya devreye girmesine neden olan arızalar ile ilgili DTC'leri içeren bilgiler bir tarama aleti tarafından silindiğinde devreden çıkar.</w:t>
      </w:r>
    </w:p>
    <w:p w14:paraId="3757BB9C" w14:textId="77777777" w:rsidR="002D7B36" w:rsidRPr="00DE12A3" w:rsidRDefault="00242DA0" w:rsidP="00E20716">
      <w:pPr>
        <w:pStyle w:val="Gvdemetni0"/>
        <w:numPr>
          <w:ilvl w:val="0"/>
          <w:numId w:val="85"/>
        </w:numPr>
        <w:shd w:val="clear" w:color="auto" w:fill="auto"/>
        <w:spacing w:before="120" w:after="120" w:line="240" w:lineRule="auto"/>
        <w:ind w:left="1134" w:hanging="1134"/>
        <w:jc w:val="both"/>
        <w:rPr>
          <w:sz w:val="24"/>
          <w:szCs w:val="24"/>
        </w:rPr>
      </w:pPr>
      <w:r w:rsidRPr="00DE12A3">
        <w:rPr>
          <w:sz w:val="24"/>
          <w:szCs w:val="24"/>
        </w:rPr>
        <w:t>"NOx kontrol bilgilerinin" silinmesine ilişkin şartlar</w:t>
      </w:r>
    </w:p>
    <w:p w14:paraId="3BC524B7" w14:textId="77777777" w:rsidR="002D7B36" w:rsidRPr="00DE12A3" w:rsidRDefault="00242DA0" w:rsidP="00E20716">
      <w:pPr>
        <w:pStyle w:val="Gvdemetni0"/>
        <w:numPr>
          <w:ilvl w:val="0"/>
          <w:numId w:val="86"/>
        </w:numPr>
        <w:shd w:val="clear" w:color="auto" w:fill="auto"/>
        <w:tabs>
          <w:tab w:val="left" w:pos="1134"/>
        </w:tabs>
        <w:spacing w:before="120" w:after="120" w:line="240" w:lineRule="auto"/>
        <w:ind w:left="1134" w:hanging="1134"/>
        <w:jc w:val="both"/>
        <w:rPr>
          <w:sz w:val="24"/>
          <w:szCs w:val="24"/>
        </w:rPr>
      </w:pPr>
      <w:r w:rsidRPr="00DE12A3">
        <w:rPr>
          <w:sz w:val="24"/>
          <w:szCs w:val="24"/>
        </w:rPr>
        <w:t>"NOx kontrol bilgilerinin" bir tarama aleti ile silinmesi/sıfırlanması</w:t>
      </w:r>
    </w:p>
    <w:p w14:paraId="151E608B" w14:textId="75A725D6" w:rsidR="002D7B36" w:rsidRPr="00DE12A3" w:rsidRDefault="00242DA0" w:rsidP="00C917D6">
      <w:pPr>
        <w:pStyle w:val="Gvdemetni0"/>
        <w:shd w:val="clear" w:color="auto" w:fill="auto"/>
        <w:spacing w:before="120" w:after="120" w:line="240" w:lineRule="auto"/>
        <w:ind w:left="1134" w:firstLine="0"/>
        <w:jc w:val="both"/>
        <w:rPr>
          <w:sz w:val="24"/>
          <w:szCs w:val="24"/>
        </w:rPr>
      </w:pPr>
      <w:r w:rsidRPr="00DE12A3">
        <w:rPr>
          <w:sz w:val="24"/>
          <w:szCs w:val="24"/>
        </w:rPr>
        <w:t>Tarama aletinin talebi üzerine, aşağıdaki veriler silinir veya bu Ekte belirtilen değere sıfırlanır (bkz. Tablo 4.3).</w:t>
      </w:r>
    </w:p>
    <w:p w14:paraId="3B450F35" w14:textId="77777777" w:rsidR="000745D9" w:rsidRPr="00DE12A3" w:rsidRDefault="000745D9" w:rsidP="000745D9">
      <w:pPr>
        <w:rPr>
          <w:color w:val="auto"/>
        </w:rPr>
      </w:pPr>
    </w:p>
    <w:p w14:paraId="28638100" w14:textId="0C087389" w:rsidR="000745D9" w:rsidRPr="00DE12A3" w:rsidRDefault="000745D9" w:rsidP="000745D9">
      <w:pPr>
        <w:jc w:val="center"/>
        <w:rPr>
          <w:b/>
          <w:bCs/>
          <w:color w:val="auto"/>
        </w:rPr>
      </w:pPr>
      <w:r w:rsidRPr="00DE12A3">
        <w:rPr>
          <w:b/>
          <w:bCs/>
          <w:color w:val="auto"/>
        </w:rPr>
        <w:t>Tablo 4.3</w:t>
      </w:r>
    </w:p>
    <w:p w14:paraId="11626CD2" w14:textId="083C4AA6" w:rsidR="000745D9" w:rsidRPr="00DE12A3" w:rsidRDefault="000745D9" w:rsidP="000745D9">
      <w:pPr>
        <w:jc w:val="center"/>
        <w:rPr>
          <w:color w:val="auto"/>
        </w:rPr>
      </w:pPr>
      <w:r w:rsidRPr="00DE12A3">
        <w:rPr>
          <w:rFonts w:eastAsiaTheme="minorEastAsia" w:cs="Times New Roman"/>
          <w:b/>
          <w:bCs/>
          <w:iCs/>
          <w:color w:val="auto"/>
        </w:rPr>
        <w:t>"NOx kontrol bilgilerinin" bir tarama aleti ile silinmesi/sıfırlanması</w:t>
      </w:r>
    </w:p>
    <w:tbl>
      <w:tblPr>
        <w:tblW w:w="0" w:type="auto"/>
        <w:jc w:val="center"/>
        <w:tblLayout w:type="fixed"/>
        <w:tblLook w:val="0000" w:firstRow="0" w:lastRow="0" w:firstColumn="0" w:lastColumn="0" w:noHBand="0" w:noVBand="0"/>
      </w:tblPr>
      <w:tblGrid>
        <w:gridCol w:w="5850"/>
        <w:gridCol w:w="1672"/>
        <w:gridCol w:w="1764"/>
      </w:tblGrid>
      <w:tr w:rsidR="00DE12A3" w:rsidRPr="00DE12A3" w14:paraId="04DA6A2E" w14:textId="77777777" w:rsidTr="000745D9">
        <w:trPr>
          <w:jc w:val="center"/>
        </w:trPr>
        <w:tc>
          <w:tcPr>
            <w:tcW w:w="5850" w:type="dxa"/>
            <w:tcBorders>
              <w:top w:val="single" w:sz="2" w:space="0" w:color="auto"/>
              <w:left w:val="single" w:sz="2" w:space="0" w:color="auto"/>
              <w:bottom w:val="single" w:sz="2" w:space="0" w:color="auto"/>
              <w:right w:val="single" w:sz="2" w:space="0" w:color="auto"/>
            </w:tcBorders>
          </w:tcPr>
          <w:p w14:paraId="1180C714" w14:textId="77777777" w:rsidR="00EC31DF" w:rsidRPr="00DE12A3" w:rsidRDefault="00EC31DF" w:rsidP="000745D9">
            <w:pPr>
              <w:widowControl/>
              <w:autoSpaceDE w:val="0"/>
              <w:autoSpaceDN w:val="0"/>
              <w:spacing w:before="120" w:after="120"/>
              <w:jc w:val="both"/>
              <w:rPr>
                <w:rFonts w:eastAsiaTheme="minorEastAsia" w:cs="Times New Roman"/>
                <w:color w:val="auto"/>
                <w:lang w:val="fr-FR"/>
              </w:rPr>
            </w:pPr>
            <w:r w:rsidRPr="00DE12A3">
              <w:rPr>
                <w:rFonts w:eastAsiaTheme="minorEastAsia" w:cs="Times New Roman"/>
                <w:color w:val="auto"/>
                <w:lang w:val="fr-FR"/>
              </w:rPr>
              <w:t>NOx kontrol bilgileri</w:t>
            </w:r>
          </w:p>
        </w:tc>
        <w:tc>
          <w:tcPr>
            <w:tcW w:w="1672" w:type="dxa"/>
            <w:tcBorders>
              <w:top w:val="single" w:sz="2" w:space="0" w:color="auto"/>
              <w:left w:val="single" w:sz="2" w:space="0" w:color="auto"/>
              <w:bottom w:val="single" w:sz="2" w:space="0" w:color="auto"/>
              <w:right w:val="single" w:sz="2" w:space="0" w:color="auto"/>
            </w:tcBorders>
          </w:tcPr>
          <w:p w14:paraId="1461F4C1" w14:textId="77777777" w:rsidR="00EC31DF" w:rsidRPr="00DE12A3" w:rsidRDefault="00EC31DF" w:rsidP="000745D9">
            <w:pPr>
              <w:widowControl/>
              <w:autoSpaceDE w:val="0"/>
              <w:autoSpaceDN w:val="0"/>
              <w:spacing w:before="120" w:after="120"/>
              <w:jc w:val="both"/>
              <w:rPr>
                <w:rFonts w:eastAsiaTheme="minorEastAsia" w:cs="Times New Roman"/>
                <w:color w:val="auto"/>
                <w:lang w:val="fr-FR"/>
              </w:rPr>
            </w:pPr>
            <w:r w:rsidRPr="00DE12A3">
              <w:rPr>
                <w:rFonts w:eastAsiaTheme="minorEastAsia" w:cs="Times New Roman"/>
                <w:color w:val="auto"/>
                <w:lang w:val="fr-FR"/>
              </w:rPr>
              <w:t>Silinebilir</w:t>
            </w:r>
          </w:p>
        </w:tc>
        <w:tc>
          <w:tcPr>
            <w:tcW w:w="1764" w:type="dxa"/>
            <w:tcBorders>
              <w:top w:val="single" w:sz="2" w:space="0" w:color="auto"/>
              <w:left w:val="single" w:sz="2" w:space="0" w:color="auto"/>
              <w:bottom w:val="single" w:sz="2" w:space="0" w:color="auto"/>
              <w:right w:val="single" w:sz="2" w:space="0" w:color="auto"/>
            </w:tcBorders>
          </w:tcPr>
          <w:p w14:paraId="0CF74338" w14:textId="77777777" w:rsidR="00EC31DF" w:rsidRPr="00DE12A3" w:rsidRDefault="00EC31DF" w:rsidP="000745D9">
            <w:pPr>
              <w:widowControl/>
              <w:autoSpaceDE w:val="0"/>
              <w:autoSpaceDN w:val="0"/>
              <w:spacing w:before="120" w:after="120"/>
              <w:jc w:val="both"/>
              <w:rPr>
                <w:rFonts w:eastAsiaTheme="minorEastAsia" w:cs="Times New Roman"/>
                <w:color w:val="auto"/>
                <w:lang w:val="fr-FR"/>
              </w:rPr>
            </w:pPr>
            <w:r w:rsidRPr="00DE12A3">
              <w:rPr>
                <w:rFonts w:eastAsiaTheme="minorEastAsia" w:cs="Times New Roman"/>
                <w:color w:val="auto"/>
                <w:lang w:val="fr-FR"/>
              </w:rPr>
              <w:t>Sıfırlanabilir</w:t>
            </w:r>
          </w:p>
        </w:tc>
      </w:tr>
      <w:tr w:rsidR="00DE12A3" w:rsidRPr="00DE12A3" w14:paraId="518B1D6A" w14:textId="77777777" w:rsidTr="000745D9">
        <w:trPr>
          <w:jc w:val="center"/>
        </w:trPr>
        <w:tc>
          <w:tcPr>
            <w:tcW w:w="5850" w:type="dxa"/>
            <w:tcBorders>
              <w:top w:val="single" w:sz="2" w:space="0" w:color="auto"/>
              <w:left w:val="single" w:sz="2" w:space="0" w:color="auto"/>
              <w:bottom w:val="single" w:sz="2" w:space="0" w:color="auto"/>
              <w:right w:val="single" w:sz="2" w:space="0" w:color="auto"/>
            </w:tcBorders>
          </w:tcPr>
          <w:p w14:paraId="4A2807FB" w14:textId="77777777" w:rsidR="00EC31DF" w:rsidRPr="00DE12A3" w:rsidRDefault="00EC31DF" w:rsidP="000745D9">
            <w:pPr>
              <w:widowControl/>
              <w:autoSpaceDE w:val="0"/>
              <w:autoSpaceDN w:val="0"/>
              <w:spacing w:before="120" w:after="120"/>
              <w:jc w:val="both"/>
              <w:rPr>
                <w:rFonts w:eastAsiaTheme="minorEastAsia" w:cs="Times New Roman"/>
                <w:color w:val="auto"/>
                <w:lang w:val="fr-FR"/>
              </w:rPr>
            </w:pPr>
            <w:r w:rsidRPr="00DE12A3">
              <w:rPr>
                <w:rFonts w:eastAsiaTheme="minorEastAsia" w:cs="Times New Roman"/>
                <w:color w:val="auto"/>
              </w:rPr>
              <w:t>Tüm DTC'ler</w:t>
            </w:r>
          </w:p>
        </w:tc>
        <w:tc>
          <w:tcPr>
            <w:tcW w:w="1672" w:type="dxa"/>
            <w:tcBorders>
              <w:top w:val="single" w:sz="2" w:space="0" w:color="auto"/>
              <w:left w:val="single" w:sz="2" w:space="0" w:color="auto"/>
              <w:bottom w:val="single" w:sz="2" w:space="0" w:color="auto"/>
              <w:right w:val="single" w:sz="2" w:space="0" w:color="auto"/>
            </w:tcBorders>
          </w:tcPr>
          <w:p w14:paraId="7CC6F488" w14:textId="77777777" w:rsidR="00EC31DF" w:rsidRPr="00DE12A3" w:rsidRDefault="00EC31DF" w:rsidP="000745D9">
            <w:pPr>
              <w:widowControl/>
              <w:autoSpaceDE w:val="0"/>
              <w:autoSpaceDN w:val="0"/>
              <w:spacing w:before="120" w:after="120"/>
              <w:jc w:val="both"/>
              <w:rPr>
                <w:rFonts w:eastAsiaTheme="minorEastAsia" w:cs="Times New Roman"/>
                <w:color w:val="auto"/>
                <w:lang w:val="fr-FR"/>
              </w:rPr>
            </w:pPr>
            <w:r w:rsidRPr="00DE12A3">
              <w:rPr>
                <w:rFonts w:eastAsiaTheme="minorEastAsia" w:cs="Times New Roman"/>
                <w:color w:val="auto"/>
                <w:lang w:val="fr-FR"/>
              </w:rPr>
              <w:t>X</w:t>
            </w:r>
          </w:p>
        </w:tc>
        <w:tc>
          <w:tcPr>
            <w:tcW w:w="1764" w:type="dxa"/>
            <w:tcBorders>
              <w:top w:val="single" w:sz="2" w:space="0" w:color="auto"/>
              <w:left w:val="single" w:sz="2" w:space="0" w:color="auto"/>
              <w:bottom w:val="single" w:sz="2" w:space="0" w:color="auto"/>
              <w:right w:val="single" w:sz="2" w:space="0" w:color="auto"/>
            </w:tcBorders>
          </w:tcPr>
          <w:p w14:paraId="77A00921" w14:textId="77777777" w:rsidR="00EC31DF" w:rsidRPr="00DE12A3" w:rsidRDefault="00EC31DF" w:rsidP="000745D9">
            <w:pPr>
              <w:widowControl/>
              <w:autoSpaceDE w:val="0"/>
              <w:autoSpaceDN w:val="0"/>
              <w:spacing w:before="120" w:after="120"/>
              <w:jc w:val="both"/>
              <w:rPr>
                <w:rFonts w:eastAsiaTheme="minorEastAsia" w:cs="Times New Roman"/>
                <w:color w:val="auto"/>
                <w:lang w:val="fr-FR"/>
              </w:rPr>
            </w:pPr>
          </w:p>
        </w:tc>
      </w:tr>
      <w:tr w:rsidR="00DE12A3" w:rsidRPr="00DE12A3" w14:paraId="67FBFDF8" w14:textId="77777777" w:rsidTr="000745D9">
        <w:trPr>
          <w:jc w:val="center"/>
        </w:trPr>
        <w:tc>
          <w:tcPr>
            <w:tcW w:w="5850" w:type="dxa"/>
            <w:tcBorders>
              <w:top w:val="single" w:sz="2" w:space="0" w:color="auto"/>
              <w:left w:val="single" w:sz="2" w:space="0" w:color="auto"/>
              <w:bottom w:val="single" w:sz="2" w:space="0" w:color="auto"/>
              <w:right w:val="single" w:sz="2" w:space="0" w:color="auto"/>
            </w:tcBorders>
          </w:tcPr>
          <w:p w14:paraId="60F45109" w14:textId="77777777" w:rsidR="00EC31DF" w:rsidRPr="00DE12A3" w:rsidRDefault="00EC31DF" w:rsidP="000745D9">
            <w:pPr>
              <w:widowControl/>
              <w:autoSpaceDE w:val="0"/>
              <w:autoSpaceDN w:val="0"/>
              <w:spacing w:before="120" w:after="120"/>
              <w:jc w:val="both"/>
              <w:rPr>
                <w:rFonts w:eastAsiaTheme="minorEastAsia" w:cs="Times New Roman"/>
                <w:color w:val="auto"/>
                <w:lang w:val="fr-FR"/>
              </w:rPr>
            </w:pPr>
            <w:r w:rsidRPr="00DE12A3">
              <w:rPr>
                <w:rFonts w:eastAsiaTheme="minorEastAsia" w:cs="Times New Roman"/>
                <w:color w:val="auto"/>
              </w:rPr>
              <w:t>En yüksek motor çalışma saatlerinin olduğu sayacın değeri</w:t>
            </w:r>
          </w:p>
        </w:tc>
        <w:tc>
          <w:tcPr>
            <w:tcW w:w="1672" w:type="dxa"/>
            <w:tcBorders>
              <w:top w:val="single" w:sz="2" w:space="0" w:color="auto"/>
              <w:left w:val="single" w:sz="2" w:space="0" w:color="auto"/>
              <w:bottom w:val="single" w:sz="2" w:space="0" w:color="auto"/>
              <w:right w:val="single" w:sz="2" w:space="0" w:color="auto"/>
            </w:tcBorders>
          </w:tcPr>
          <w:p w14:paraId="17D5A4D5" w14:textId="77777777" w:rsidR="00EC31DF" w:rsidRPr="00DE12A3" w:rsidRDefault="00EC31DF" w:rsidP="000745D9">
            <w:pPr>
              <w:widowControl/>
              <w:autoSpaceDE w:val="0"/>
              <w:autoSpaceDN w:val="0"/>
              <w:spacing w:before="120" w:after="120"/>
              <w:jc w:val="both"/>
              <w:rPr>
                <w:rFonts w:eastAsiaTheme="minorEastAsia" w:cs="Times New Roman"/>
                <w:color w:val="auto"/>
                <w:lang w:val="fr-FR"/>
              </w:rPr>
            </w:pPr>
          </w:p>
        </w:tc>
        <w:tc>
          <w:tcPr>
            <w:tcW w:w="1764" w:type="dxa"/>
            <w:tcBorders>
              <w:top w:val="single" w:sz="2" w:space="0" w:color="auto"/>
              <w:left w:val="single" w:sz="2" w:space="0" w:color="auto"/>
              <w:bottom w:val="single" w:sz="2" w:space="0" w:color="auto"/>
              <w:right w:val="single" w:sz="2" w:space="0" w:color="auto"/>
            </w:tcBorders>
          </w:tcPr>
          <w:p w14:paraId="7A213BB1" w14:textId="77777777" w:rsidR="00EC31DF" w:rsidRPr="00DE12A3" w:rsidRDefault="00EC31DF" w:rsidP="000745D9">
            <w:pPr>
              <w:widowControl/>
              <w:autoSpaceDE w:val="0"/>
              <w:autoSpaceDN w:val="0"/>
              <w:spacing w:before="120" w:after="120"/>
              <w:jc w:val="both"/>
              <w:rPr>
                <w:rFonts w:eastAsiaTheme="minorEastAsia" w:cs="Times New Roman"/>
                <w:color w:val="auto"/>
                <w:lang w:val="fr-FR"/>
              </w:rPr>
            </w:pPr>
            <w:r w:rsidRPr="00DE12A3">
              <w:rPr>
                <w:rFonts w:eastAsiaTheme="minorEastAsia" w:cs="Times New Roman"/>
                <w:color w:val="auto"/>
                <w:lang w:val="fr-FR"/>
              </w:rPr>
              <w:t>X</w:t>
            </w:r>
          </w:p>
        </w:tc>
      </w:tr>
      <w:tr w:rsidR="00EC31DF" w:rsidRPr="00DE12A3" w14:paraId="5A6DB4B6" w14:textId="77777777" w:rsidTr="000745D9">
        <w:trPr>
          <w:jc w:val="center"/>
        </w:trPr>
        <w:tc>
          <w:tcPr>
            <w:tcW w:w="5850" w:type="dxa"/>
            <w:tcBorders>
              <w:top w:val="single" w:sz="2" w:space="0" w:color="auto"/>
              <w:left w:val="single" w:sz="2" w:space="0" w:color="auto"/>
              <w:bottom w:val="single" w:sz="2" w:space="0" w:color="auto"/>
              <w:right w:val="single" w:sz="2" w:space="0" w:color="auto"/>
            </w:tcBorders>
          </w:tcPr>
          <w:p w14:paraId="494AF8EC" w14:textId="77777777" w:rsidR="00EC31DF" w:rsidRPr="00DE12A3" w:rsidRDefault="00EC31DF" w:rsidP="000745D9">
            <w:pPr>
              <w:widowControl/>
              <w:autoSpaceDE w:val="0"/>
              <w:autoSpaceDN w:val="0"/>
              <w:spacing w:before="120" w:after="120"/>
              <w:jc w:val="both"/>
              <w:rPr>
                <w:rFonts w:eastAsiaTheme="minorEastAsia" w:cs="Times New Roman"/>
                <w:color w:val="auto"/>
                <w:lang w:val="fr-FR"/>
              </w:rPr>
            </w:pPr>
            <w:r w:rsidRPr="00DE12A3">
              <w:rPr>
                <w:rFonts w:eastAsiaTheme="minorEastAsia" w:cs="Times New Roman"/>
                <w:color w:val="auto"/>
              </w:rPr>
              <w:t>NCD sayaçlarından gelen motor çalışma saati sayısı</w:t>
            </w:r>
          </w:p>
        </w:tc>
        <w:tc>
          <w:tcPr>
            <w:tcW w:w="1672" w:type="dxa"/>
            <w:tcBorders>
              <w:top w:val="single" w:sz="2" w:space="0" w:color="auto"/>
              <w:left w:val="single" w:sz="2" w:space="0" w:color="auto"/>
              <w:bottom w:val="single" w:sz="2" w:space="0" w:color="auto"/>
              <w:right w:val="single" w:sz="2" w:space="0" w:color="auto"/>
            </w:tcBorders>
          </w:tcPr>
          <w:p w14:paraId="5C3C49CD" w14:textId="77777777" w:rsidR="00EC31DF" w:rsidRPr="00DE12A3" w:rsidRDefault="00EC31DF" w:rsidP="000745D9">
            <w:pPr>
              <w:widowControl/>
              <w:autoSpaceDE w:val="0"/>
              <w:autoSpaceDN w:val="0"/>
              <w:spacing w:before="120" w:after="120"/>
              <w:jc w:val="both"/>
              <w:rPr>
                <w:rFonts w:eastAsiaTheme="minorEastAsia" w:cs="Times New Roman"/>
                <w:color w:val="auto"/>
                <w:lang w:val="fr-FR"/>
              </w:rPr>
            </w:pPr>
          </w:p>
        </w:tc>
        <w:tc>
          <w:tcPr>
            <w:tcW w:w="1764" w:type="dxa"/>
            <w:tcBorders>
              <w:top w:val="single" w:sz="2" w:space="0" w:color="auto"/>
              <w:left w:val="single" w:sz="2" w:space="0" w:color="auto"/>
              <w:bottom w:val="single" w:sz="2" w:space="0" w:color="auto"/>
              <w:right w:val="single" w:sz="2" w:space="0" w:color="auto"/>
            </w:tcBorders>
          </w:tcPr>
          <w:p w14:paraId="0FE83609" w14:textId="77777777" w:rsidR="00EC31DF" w:rsidRPr="00DE12A3" w:rsidRDefault="00EC31DF" w:rsidP="000745D9">
            <w:pPr>
              <w:widowControl/>
              <w:autoSpaceDE w:val="0"/>
              <w:autoSpaceDN w:val="0"/>
              <w:spacing w:before="120" w:after="120"/>
              <w:jc w:val="both"/>
              <w:rPr>
                <w:rFonts w:eastAsiaTheme="minorEastAsia" w:cs="Times New Roman"/>
                <w:color w:val="auto"/>
                <w:lang w:val="fr-FR"/>
              </w:rPr>
            </w:pPr>
            <w:r w:rsidRPr="00DE12A3">
              <w:rPr>
                <w:rFonts w:eastAsiaTheme="minorEastAsia" w:cs="Times New Roman"/>
                <w:color w:val="auto"/>
                <w:lang w:val="fr-FR"/>
              </w:rPr>
              <w:t>X</w:t>
            </w:r>
          </w:p>
        </w:tc>
      </w:tr>
    </w:tbl>
    <w:p w14:paraId="3DBA81DC" w14:textId="77777777" w:rsidR="002D7B36" w:rsidRPr="00DE12A3" w:rsidRDefault="002D7B36" w:rsidP="00E20716">
      <w:pPr>
        <w:pStyle w:val="ListeParagraf"/>
        <w:numPr>
          <w:ilvl w:val="0"/>
          <w:numId w:val="87"/>
        </w:numPr>
        <w:spacing w:before="120" w:after="120"/>
        <w:ind w:left="709" w:hanging="709"/>
        <w:contextualSpacing w:val="0"/>
        <w:jc w:val="both"/>
        <w:rPr>
          <w:rFonts w:eastAsia="Times New Roman" w:cs="Times New Roman"/>
          <w:vanish/>
          <w:color w:val="auto"/>
          <w:spacing w:val="4"/>
          <w:sz w:val="20"/>
          <w:szCs w:val="20"/>
          <w:lang w:eastAsia="en-US"/>
        </w:rPr>
      </w:pPr>
    </w:p>
    <w:p w14:paraId="3714A34C" w14:textId="77777777" w:rsidR="002D7B36" w:rsidRPr="00DE12A3" w:rsidRDefault="00242DA0" w:rsidP="00E20716">
      <w:pPr>
        <w:pStyle w:val="Gvdemetni0"/>
        <w:numPr>
          <w:ilvl w:val="0"/>
          <w:numId w:val="87"/>
        </w:numPr>
        <w:shd w:val="clear" w:color="auto" w:fill="auto"/>
        <w:spacing w:before="120" w:after="120" w:line="240" w:lineRule="auto"/>
        <w:ind w:left="1134" w:hanging="1134"/>
        <w:jc w:val="both"/>
        <w:rPr>
          <w:sz w:val="24"/>
          <w:szCs w:val="24"/>
        </w:rPr>
      </w:pPr>
      <w:r w:rsidRPr="00DE12A3">
        <w:rPr>
          <w:sz w:val="24"/>
          <w:szCs w:val="24"/>
        </w:rPr>
        <w:t>NOx kontrol bilgileri, karayolu dışında kullanılan hareketli makinaların akü bağlantısı kesilerek silinemez.</w:t>
      </w:r>
    </w:p>
    <w:p w14:paraId="2DC9744D" w14:textId="77777777" w:rsidR="002D7B36" w:rsidRPr="00DE12A3" w:rsidRDefault="00242DA0" w:rsidP="00E20716">
      <w:pPr>
        <w:pStyle w:val="Gvdemetni0"/>
        <w:numPr>
          <w:ilvl w:val="0"/>
          <w:numId w:val="87"/>
        </w:numPr>
        <w:shd w:val="clear" w:color="auto" w:fill="auto"/>
        <w:spacing w:before="120" w:after="120" w:line="240" w:lineRule="auto"/>
        <w:ind w:left="1134" w:hanging="1134"/>
        <w:jc w:val="both"/>
        <w:rPr>
          <w:sz w:val="24"/>
          <w:szCs w:val="24"/>
        </w:rPr>
      </w:pPr>
      <w:r w:rsidRPr="00DE12A3">
        <w:rPr>
          <w:sz w:val="24"/>
          <w:szCs w:val="24"/>
        </w:rPr>
        <w:t>"NOx kontrol bilgilerinin" silinmesi sadece "motor kapalı" koşullarda mümkündür.</w:t>
      </w:r>
    </w:p>
    <w:p w14:paraId="247F71B6" w14:textId="77777777" w:rsidR="002D7B36" w:rsidRPr="00DE12A3" w:rsidRDefault="002D7B36" w:rsidP="00E20716">
      <w:pPr>
        <w:pStyle w:val="ListeParagraf"/>
        <w:numPr>
          <w:ilvl w:val="0"/>
          <w:numId w:val="86"/>
        </w:numPr>
        <w:spacing w:before="120" w:after="120"/>
        <w:ind w:left="1134" w:hanging="1134"/>
        <w:contextualSpacing w:val="0"/>
        <w:jc w:val="both"/>
        <w:rPr>
          <w:rFonts w:eastAsia="Times New Roman" w:cs="Times New Roman"/>
          <w:vanish/>
          <w:color w:val="auto"/>
          <w:spacing w:val="3"/>
          <w:lang w:eastAsia="en-US"/>
        </w:rPr>
      </w:pPr>
    </w:p>
    <w:p w14:paraId="483A0E63" w14:textId="77777777" w:rsidR="002D7B36" w:rsidRPr="00DE12A3" w:rsidRDefault="002D7B36" w:rsidP="00E20716">
      <w:pPr>
        <w:pStyle w:val="ListeParagraf"/>
        <w:numPr>
          <w:ilvl w:val="0"/>
          <w:numId w:val="86"/>
        </w:numPr>
        <w:spacing w:before="120" w:after="120"/>
        <w:ind w:left="1134" w:hanging="1134"/>
        <w:contextualSpacing w:val="0"/>
        <w:jc w:val="both"/>
        <w:rPr>
          <w:rFonts w:eastAsia="Times New Roman" w:cs="Times New Roman"/>
          <w:vanish/>
          <w:color w:val="auto"/>
          <w:spacing w:val="3"/>
          <w:lang w:eastAsia="en-US"/>
        </w:rPr>
      </w:pPr>
    </w:p>
    <w:p w14:paraId="7646B970" w14:textId="2A756D23" w:rsidR="002D7B36" w:rsidRPr="00DE12A3" w:rsidRDefault="00242DA0" w:rsidP="00E20716">
      <w:pPr>
        <w:pStyle w:val="Gvdemetni250"/>
        <w:numPr>
          <w:ilvl w:val="0"/>
          <w:numId w:val="86"/>
        </w:numPr>
        <w:shd w:val="clear" w:color="auto" w:fill="auto"/>
        <w:spacing w:before="120" w:after="120" w:line="240" w:lineRule="auto"/>
        <w:ind w:left="1134" w:hanging="1134"/>
        <w:rPr>
          <w:sz w:val="24"/>
          <w:szCs w:val="24"/>
        </w:rPr>
      </w:pPr>
      <w:r w:rsidRPr="00DE12A3">
        <w:rPr>
          <w:sz w:val="24"/>
          <w:szCs w:val="24"/>
        </w:rPr>
        <w:t xml:space="preserve">DTC'ler dahil "NOx kontrol bilgileri" silindiğinde, bu arızalarla bağlantılı olan ve bu Ekte belirtilen hiçbir sayaç silinmez, ancak bu Açıklayıcı Ekin uygun </w:t>
      </w:r>
      <w:r w:rsidR="00721C89" w:rsidRPr="00DE12A3">
        <w:rPr>
          <w:sz w:val="24"/>
          <w:szCs w:val="24"/>
        </w:rPr>
        <w:t>Bölüm</w:t>
      </w:r>
      <w:r w:rsidRPr="00DE12A3">
        <w:rPr>
          <w:sz w:val="24"/>
          <w:szCs w:val="24"/>
        </w:rPr>
        <w:t>ünde belirtilen değere sıfırlanır.</w:t>
      </w:r>
    </w:p>
    <w:p w14:paraId="1244F6DA" w14:textId="77777777" w:rsidR="002D7B36" w:rsidRPr="00DE12A3" w:rsidRDefault="00EC31DF" w:rsidP="00E20716">
      <w:pPr>
        <w:pStyle w:val="Gvdemetni250"/>
        <w:numPr>
          <w:ilvl w:val="0"/>
          <w:numId w:val="83"/>
        </w:numPr>
        <w:shd w:val="clear" w:color="auto" w:fill="auto"/>
        <w:spacing w:before="120" w:after="120" w:line="240" w:lineRule="auto"/>
        <w:ind w:left="1134" w:hanging="1134"/>
        <w:rPr>
          <w:sz w:val="24"/>
          <w:szCs w:val="24"/>
        </w:rPr>
      </w:pPr>
      <w:r w:rsidRPr="00DE12A3">
        <w:rPr>
          <w:sz w:val="24"/>
          <w:szCs w:val="24"/>
        </w:rPr>
        <w:lastRenderedPageBreak/>
        <w:t xml:space="preserve">       </w:t>
      </w:r>
      <w:r w:rsidR="00242DA0" w:rsidRPr="00DE12A3">
        <w:rPr>
          <w:sz w:val="24"/>
          <w:szCs w:val="24"/>
        </w:rPr>
        <w:t>Operatör ikna sisteminin devreye girme ve devreden çıkma mekanizması</w:t>
      </w:r>
    </w:p>
    <w:p w14:paraId="7ABEB1BA" w14:textId="77777777" w:rsidR="002D7B36" w:rsidRPr="00DE12A3" w:rsidRDefault="00EC31DF" w:rsidP="00E20716">
      <w:pPr>
        <w:pStyle w:val="Gvdemetni250"/>
        <w:numPr>
          <w:ilvl w:val="0"/>
          <w:numId w:val="88"/>
        </w:numPr>
        <w:shd w:val="clear" w:color="auto" w:fill="auto"/>
        <w:spacing w:before="120" w:after="120" w:line="240" w:lineRule="auto"/>
        <w:ind w:left="1134" w:hanging="1134"/>
        <w:rPr>
          <w:sz w:val="24"/>
          <w:szCs w:val="24"/>
        </w:rPr>
      </w:pPr>
      <w:r w:rsidRPr="00DE12A3">
        <w:rPr>
          <w:sz w:val="24"/>
          <w:szCs w:val="24"/>
        </w:rPr>
        <w:t xml:space="preserve">       </w:t>
      </w:r>
      <w:r w:rsidR="00242DA0" w:rsidRPr="00DE12A3">
        <w:rPr>
          <w:sz w:val="24"/>
          <w:szCs w:val="24"/>
        </w:rPr>
        <w:t>Operatör ikna sistemi, uyarı sistemi devrede olduğunda ve devreye girmelerine neden olan NCM tipi ile ilgili sayaç Tablo 4.4'te belirtilen değere ulaştığında devreye girer.</w:t>
      </w:r>
    </w:p>
    <w:p w14:paraId="00B5370B" w14:textId="77777777" w:rsidR="002D7B36" w:rsidRPr="00DE12A3" w:rsidRDefault="00EC31DF" w:rsidP="00E20716">
      <w:pPr>
        <w:pStyle w:val="Gvdemetni250"/>
        <w:numPr>
          <w:ilvl w:val="0"/>
          <w:numId w:val="88"/>
        </w:numPr>
        <w:shd w:val="clear" w:color="auto" w:fill="auto"/>
        <w:spacing w:before="120" w:after="120" w:line="240" w:lineRule="auto"/>
        <w:ind w:left="1134" w:hanging="1134"/>
        <w:rPr>
          <w:sz w:val="24"/>
          <w:szCs w:val="24"/>
        </w:rPr>
      </w:pPr>
      <w:r w:rsidRPr="00DE12A3">
        <w:rPr>
          <w:sz w:val="24"/>
          <w:szCs w:val="24"/>
        </w:rPr>
        <w:t xml:space="preserve">       </w:t>
      </w:r>
      <w:r w:rsidR="00242DA0" w:rsidRPr="00DE12A3">
        <w:rPr>
          <w:sz w:val="24"/>
          <w:szCs w:val="24"/>
        </w:rPr>
        <w:t>Operatör ikna sistemi, sistem devreye girmesine neden olan arızayı artık tespit etmediğinde veya devreye girmesine neden olan NCM'lere ilişkin DTC'leri içeren bilgiler bir tarama aleti veya bakım aleti tarafından silinmişse devreden çıkar.</w:t>
      </w:r>
    </w:p>
    <w:p w14:paraId="430D47E2" w14:textId="78CB5EF5" w:rsidR="002D7B36" w:rsidRPr="00DE12A3" w:rsidRDefault="00242DA0" w:rsidP="00E20716">
      <w:pPr>
        <w:pStyle w:val="Gvdemetni250"/>
        <w:numPr>
          <w:ilvl w:val="0"/>
          <w:numId w:val="88"/>
        </w:numPr>
        <w:shd w:val="clear" w:color="auto" w:fill="auto"/>
        <w:tabs>
          <w:tab w:val="left" w:pos="1134"/>
          <w:tab w:val="center" w:pos="2400"/>
          <w:tab w:val="center" w:pos="2789"/>
          <w:tab w:val="center" w:pos="3643"/>
          <w:tab w:val="left" w:pos="4132"/>
          <w:tab w:val="center" w:pos="4613"/>
          <w:tab w:val="center" w:pos="4982"/>
        </w:tabs>
        <w:spacing w:before="120" w:after="120" w:line="240" w:lineRule="auto"/>
        <w:ind w:left="1134" w:hanging="1134"/>
        <w:rPr>
          <w:sz w:val="24"/>
          <w:szCs w:val="24"/>
        </w:rPr>
      </w:pPr>
      <w:r w:rsidRPr="00DE12A3">
        <w:rPr>
          <w:sz w:val="24"/>
          <w:szCs w:val="24"/>
        </w:rPr>
        <w:t xml:space="preserve">Operatör uyarı ve ikna sistemleri, ayıraç tankındaki ayıraç miktarının değerlendirilmesinden sonra 6. </w:t>
      </w:r>
      <w:r w:rsidR="00721C89" w:rsidRPr="00DE12A3">
        <w:rPr>
          <w:sz w:val="24"/>
          <w:szCs w:val="24"/>
        </w:rPr>
        <w:t>Bölüm</w:t>
      </w:r>
      <w:r w:rsidRPr="00DE12A3">
        <w:rPr>
          <w:sz w:val="24"/>
          <w:szCs w:val="24"/>
        </w:rPr>
        <w:t>deki hükümler uyarınca duruma göre derhal devreye girer veya devreden çıkar. Bu durumda, devreye girme veya devreden çıkma mekanizmaları, ilgili herhangi bir DTC'nin durumuna bağlı değildir.</w:t>
      </w:r>
    </w:p>
    <w:p w14:paraId="6F8B8D5B" w14:textId="77777777" w:rsidR="002D7B36" w:rsidRPr="00DE12A3" w:rsidRDefault="00EC31DF" w:rsidP="00E20716">
      <w:pPr>
        <w:pStyle w:val="Gvdemetni250"/>
        <w:numPr>
          <w:ilvl w:val="0"/>
          <w:numId w:val="83"/>
        </w:numPr>
        <w:shd w:val="clear" w:color="auto" w:fill="auto"/>
        <w:spacing w:before="120" w:after="120" w:line="240" w:lineRule="auto"/>
        <w:ind w:left="1134" w:hanging="1134"/>
        <w:rPr>
          <w:sz w:val="24"/>
          <w:szCs w:val="24"/>
        </w:rPr>
      </w:pPr>
      <w:r w:rsidRPr="00DE12A3">
        <w:rPr>
          <w:sz w:val="24"/>
          <w:szCs w:val="24"/>
        </w:rPr>
        <w:t xml:space="preserve">       </w:t>
      </w:r>
      <w:r w:rsidR="00242DA0" w:rsidRPr="00DE12A3">
        <w:rPr>
          <w:sz w:val="24"/>
          <w:szCs w:val="24"/>
        </w:rPr>
        <w:t>Sayaç mekanizması</w:t>
      </w:r>
    </w:p>
    <w:p w14:paraId="57BAC2B6" w14:textId="77777777" w:rsidR="002D7B36" w:rsidRPr="00DE12A3" w:rsidRDefault="00EC31DF" w:rsidP="00E20716">
      <w:pPr>
        <w:pStyle w:val="Gvdemetni250"/>
        <w:numPr>
          <w:ilvl w:val="0"/>
          <w:numId w:val="89"/>
        </w:numPr>
        <w:shd w:val="clear" w:color="auto" w:fill="auto"/>
        <w:spacing w:before="120" w:after="120" w:line="240" w:lineRule="auto"/>
        <w:ind w:left="1134" w:hanging="1134"/>
        <w:rPr>
          <w:sz w:val="24"/>
          <w:szCs w:val="24"/>
        </w:rPr>
      </w:pPr>
      <w:r w:rsidRPr="00DE12A3">
        <w:rPr>
          <w:sz w:val="24"/>
          <w:szCs w:val="24"/>
        </w:rPr>
        <w:t xml:space="preserve">        </w:t>
      </w:r>
      <w:r w:rsidR="00242DA0" w:rsidRPr="00DE12A3">
        <w:rPr>
          <w:sz w:val="24"/>
          <w:szCs w:val="24"/>
        </w:rPr>
        <w:t>Genel</w:t>
      </w:r>
    </w:p>
    <w:p w14:paraId="32CC9443" w14:textId="77777777" w:rsidR="002D7B36" w:rsidRPr="00DE12A3" w:rsidRDefault="00242DA0" w:rsidP="00E20716">
      <w:pPr>
        <w:pStyle w:val="Gvdemetni250"/>
        <w:numPr>
          <w:ilvl w:val="0"/>
          <w:numId w:val="90"/>
        </w:numPr>
        <w:shd w:val="clear" w:color="auto" w:fill="auto"/>
        <w:spacing w:before="120" w:after="120" w:line="240" w:lineRule="auto"/>
        <w:ind w:left="1134" w:hanging="1134"/>
        <w:rPr>
          <w:sz w:val="24"/>
          <w:szCs w:val="24"/>
        </w:rPr>
      </w:pPr>
      <w:r w:rsidRPr="00DE12A3">
        <w:rPr>
          <w:sz w:val="24"/>
          <w:szCs w:val="24"/>
        </w:rPr>
        <w:t xml:space="preserve">Bu Açıklayıcı Ekin </w:t>
      </w:r>
      <w:r w:rsidR="0053289F" w:rsidRPr="00DE12A3">
        <w:rPr>
          <w:sz w:val="24"/>
          <w:szCs w:val="24"/>
        </w:rPr>
        <w:t>gerekliliklerine</w:t>
      </w:r>
      <w:r w:rsidRPr="00DE12A3">
        <w:rPr>
          <w:sz w:val="24"/>
          <w:szCs w:val="24"/>
        </w:rPr>
        <w:t xml:space="preserve"> uyması için, sistem aşağıdaki NCM’lerden herhangi birini tespit ettiğinde, sistemde motorun çalıştığı saat sayısını kaydetmek için sayaçlar bulunmalıdır:</w:t>
      </w:r>
    </w:p>
    <w:p w14:paraId="6D60A781" w14:textId="793D6572" w:rsidR="002D7B36" w:rsidRPr="00DE12A3" w:rsidRDefault="006065F5" w:rsidP="00E20716">
      <w:pPr>
        <w:pStyle w:val="Gvdemetni250"/>
        <w:numPr>
          <w:ilvl w:val="0"/>
          <w:numId w:val="91"/>
        </w:numPr>
        <w:shd w:val="clear" w:color="auto" w:fill="auto"/>
        <w:spacing w:before="120" w:after="120" w:line="240" w:lineRule="auto"/>
        <w:ind w:left="1134" w:firstLine="0"/>
        <w:rPr>
          <w:sz w:val="24"/>
          <w:szCs w:val="24"/>
        </w:rPr>
      </w:pPr>
      <w:r w:rsidRPr="00DE12A3">
        <w:rPr>
          <w:sz w:val="24"/>
          <w:szCs w:val="24"/>
        </w:rPr>
        <w:t xml:space="preserve">  Y</w:t>
      </w:r>
      <w:r w:rsidR="00242DA0" w:rsidRPr="00DE12A3">
        <w:rPr>
          <w:sz w:val="24"/>
          <w:szCs w:val="24"/>
        </w:rPr>
        <w:t>anlış ayıraç kalitesi</w:t>
      </w:r>
      <w:r w:rsidR="00B5565B" w:rsidRPr="00DE12A3">
        <w:rPr>
          <w:sz w:val="24"/>
          <w:szCs w:val="24"/>
        </w:rPr>
        <w:t>.</w:t>
      </w:r>
    </w:p>
    <w:p w14:paraId="3006DF8C" w14:textId="4369B36F" w:rsidR="002D7B36" w:rsidRPr="00DE12A3" w:rsidRDefault="006065F5" w:rsidP="00E20716">
      <w:pPr>
        <w:pStyle w:val="Gvdemetni250"/>
        <w:numPr>
          <w:ilvl w:val="0"/>
          <w:numId w:val="91"/>
        </w:numPr>
        <w:shd w:val="clear" w:color="auto" w:fill="auto"/>
        <w:tabs>
          <w:tab w:val="left" w:pos="1134"/>
          <w:tab w:val="left" w:pos="1418"/>
          <w:tab w:val="left" w:pos="1560"/>
        </w:tabs>
        <w:spacing w:before="120" w:after="120" w:line="240" w:lineRule="auto"/>
        <w:ind w:left="1134" w:firstLine="0"/>
        <w:rPr>
          <w:sz w:val="24"/>
          <w:szCs w:val="24"/>
        </w:rPr>
      </w:pPr>
      <w:r w:rsidRPr="00DE12A3">
        <w:rPr>
          <w:sz w:val="24"/>
          <w:szCs w:val="24"/>
        </w:rPr>
        <w:t>A</w:t>
      </w:r>
      <w:r w:rsidR="00242DA0" w:rsidRPr="00DE12A3">
        <w:rPr>
          <w:sz w:val="24"/>
          <w:szCs w:val="24"/>
        </w:rPr>
        <w:t>yıraç dozaj faaliyetinde kesinti</w:t>
      </w:r>
      <w:r w:rsidR="00B5565B" w:rsidRPr="00DE12A3">
        <w:rPr>
          <w:sz w:val="24"/>
          <w:szCs w:val="24"/>
        </w:rPr>
        <w:t>.</w:t>
      </w:r>
    </w:p>
    <w:p w14:paraId="12BAD60E" w14:textId="49158E41" w:rsidR="002D7B36" w:rsidRPr="00DE12A3" w:rsidRDefault="006065F5" w:rsidP="00E20716">
      <w:pPr>
        <w:pStyle w:val="Gvdemetni250"/>
        <w:numPr>
          <w:ilvl w:val="0"/>
          <w:numId w:val="91"/>
        </w:numPr>
        <w:shd w:val="clear" w:color="auto" w:fill="auto"/>
        <w:spacing w:before="120" w:after="120" w:line="240" w:lineRule="auto"/>
        <w:ind w:left="1134" w:firstLine="0"/>
        <w:rPr>
          <w:sz w:val="24"/>
          <w:szCs w:val="24"/>
        </w:rPr>
      </w:pPr>
      <w:r w:rsidRPr="00DE12A3">
        <w:rPr>
          <w:sz w:val="24"/>
          <w:szCs w:val="24"/>
        </w:rPr>
        <w:t xml:space="preserve">   E</w:t>
      </w:r>
      <w:r w:rsidR="00242DA0" w:rsidRPr="00DE12A3">
        <w:rPr>
          <w:sz w:val="24"/>
          <w:szCs w:val="24"/>
        </w:rPr>
        <w:t>ngellenmiş EGR valfı</w:t>
      </w:r>
      <w:r w:rsidR="00B5565B" w:rsidRPr="00DE12A3">
        <w:rPr>
          <w:sz w:val="24"/>
          <w:szCs w:val="24"/>
        </w:rPr>
        <w:t>.</w:t>
      </w:r>
    </w:p>
    <w:p w14:paraId="24B2828C" w14:textId="77777777" w:rsidR="002D7B36" w:rsidRPr="00DE12A3" w:rsidRDefault="00242DA0" w:rsidP="00E20716">
      <w:pPr>
        <w:pStyle w:val="Gvdemetni250"/>
        <w:numPr>
          <w:ilvl w:val="0"/>
          <w:numId w:val="91"/>
        </w:numPr>
        <w:shd w:val="clear" w:color="auto" w:fill="auto"/>
        <w:tabs>
          <w:tab w:val="left" w:pos="1418"/>
          <w:tab w:val="left" w:pos="1560"/>
        </w:tabs>
        <w:spacing w:before="120" w:after="120" w:line="240" w:lineRule="auto"/>
        <w:ind w:left="1134" w:firstLine="0"/>
        <w:rPr>
          <w:sz w:val="24"/>
          <w:szCs w:val="24"/>
        </w:rPr>
      </w:pPr>
      <w:r w:rsidRPr="00DE12A3">
        <w:rPr>
          <w:sz w:val="24"/>
          <w:szCs w:val="24"/>
        </w:rPr>
        <w:t>NCD sistemi arızası.</w:t>
      </w:r>
    </w:p>
    <w:p w14:paraId="6F46F5D2" w14:textId="77777777" w:rsidR="002D7B36" w:rsidRPr="00DE12A3" w:rsidRDefault="00242DA0" w:rsidP="00E20716">
      <w:pPr>
        <w:pStyle w:val="Gvdemetni250"/>
        <w:numPr>
          <w:ilvl w:val="0"/>
          <w:numId w:val="92"/>
        </w:numPr>
        <w:shd w:val="clear" w:color="auto" w:fill="auto"/>
        <w:spacing w:before="120" w:after="120" w:line="240" w:lineRule="auto"/>
        <w:ind w:left="1134" w:hanging="1134"/>
        <w:rPr>
          <w:sz w:val="24"/>
          <w:szCs w:val="24"/>
        </w:rPr>
      </w:pPr>
      <w:r w:rsidRPr="00DE12A3">
        <w:rPr>
          <w:sz w:val="24"/>
          <w:szCs w:val="24"/>
        </w:rPr>
        <w:t>İmalatçı, 11.4.1.1 bendinde belirtilen NCM'leri gruplamak için bir veya birkaç sayaç kullanabilir.</w:t>
      </w:r>
    </w:p>
    <w:p w14:paraId="105165A3" w14:textId="77777777" w:rsidR="002D7B36" w:rsidRPr="00DE12A3" w:rsidRDefault="00242DA0" w:rsidP="00E20716">
      <w:pPr>
        <w:pStyle w:val="Gvdemetni250"/>
        <w:numPr>
          <w:ilvl w:val="0"/>
          <w:numId w:val="90"/>
        </w:numPr>
        <w:shd w:val="clear" w:color="auto" w:fill="auto"/>
        <w:spacing w:before="120" w:after="120" w:line="240" w:lineRule="auto"/>
        <w:ind w:left="1134" w:hanging="1134"/>
        <w:rPr>
          <w:sz w:val="24"/>
          <w:szCs w:val="24"/>
        </w:rPr>
      </w:pPr>
      <w:r w:rsidRPr="00DE12A3">
        <w:rPr>
          <w:sz w:val="24"/>
          <w:szCs w:val="24"/>
        </w:rPr>
        <w:t>Sayaçların her biri, 1 saat çözünürlüğe sahip 2 bitlik bir sayaçta öngörülen azami değere kadar saymalı ve sayacın sıfırlanmasına izin veren koşullar sağlanmadıkça bu değeri tutmalıdır.</w:t>
      </w:r>
    </w:p>
    <w:p w14:paraId="1DB4EADE" w14:textId="77777777" w:rsidR="002D7B36" w:rsidRPr="00DE12A3" w:rsidRDefault="00242DA0" w:rsidP="00E20716">
      <w:pPr>
        <w:pStyle w:val="Gvdemetni250"/>
        <w:numPr>
          <w:ilvl w:val="0"/>
          <w:numId w:val="90"/>
        </w:numPr>
        <w:shd w:val="clear" w:color="auto" w:fill="auto"/>
        <w:spacing w:before="120" w:after="120" w:line="240" w:lineRule="auto"/>
        <w:ind w:left="1134" w:hanging="1134"/>
        <w:rPr>
          <w:sz w:val="24"/>
          <w:szCs w:val="24"/>
        </w:rPr>
      </w:pPr>
      <w:r w:rsidRPr="00DE12A3">
        <w:rPr>
          <w:sz w:val="24"/>
          <w:szCs w:val="24"/>
        </w:rPr>
        <w:t>Bir imalatçı, tek bir NCD sistem sayacı veya çoklu NCD sistem sayaçları kullanabilir. Tek bir sayaç, söz konusu sayaç tipi ile ilgili, hiçbiri tek sayacın gösterdiği zamana ulaşmamış olan 2 veya daha fazla farklı arızaya ait saat sayısını toplayabilir.</w:t>
      </w:r>
    </w:p>
    <w:p w14:paraId="40A31985" w14:textId="77777777" w:rsidR="002D7B36" w:rsidRPr="00DE12A3" w:rsidRDefault="00242DA0" w:rsidP="00E20716">
      <w:pPr>
        <w:pStyle w:val="Gvdemetni250"/>
        <w:numPr>
          <w:ilvl w:val="0"/>
          <w:numId w:val="93"/>
        </w:numPr>
        <w:shd w:val="clear" w:color="auto" w:fill="auto"/>
        <w:spacing w:before="120" w:after="120" w:line="240" w:lineRule="auto"/>
        <w:ind w:left="1134" w:hanging="1134"/>
        <w:rPr>
          <w:sz w:val="24"/>
          <w:szCs w:val="24"/>
        </w:rPr>
      </w:pPr>
      <w:r w:rsidRPr="00DE12A3">
        <w:rPr>
          <w:sz w:val="24"/>
          <w:szCs w:val="24"/>
        </w:rPr>
        <w:t>İmalatçı birden fazla NCD sistem sayacı kullanmaya karar verdiğinde, sistem bu Açıklayıcı Ek uyarınca söz konusu sayaç tipi ile ilgili her arızaya özel bir izleme sistemi sayacı atama kabiliyetine sahip olmalıdır.</w:t>
      </w:r>
    </w:p>
    <w:p w14:paraId="4C16D91C" w14:textId="77777777" w:rsidR="002D7B36" w:rsidRPr="00DE12A3" w:rsidRDefault="006065F5" w:rsidP="00E20716">
      <w:pPr>
        <w:pStyle w:val="Gvdemetni250"/>
        <w:numPr>
          <w:ilvl w:val="0"/>
          <w:numId w:val="89"/>
        </w:numPr>
        <w:shd w:val="clear" w:color="auto" w:fill="auto"/>
        <w:spacing w:before="120" w:after="120" w:line="240" w:lineRule="auto"/>
        <w:ind w:left="1134" w:hanging="1134"/>
        <w:rPr>
          <w:sz w:val="24"/>
          <w:szCs w:val="24"/>
        </w:rPr>
      </w:pPr>
      <w:r w:rsidRPr="00DE12A3">
        <w:rPr>
          <w:sz w:val="24"/>
          <w:szCs w:val="24"/>
        </w:rPr>
        <w:t xml:space="preserve">       </w:t>
      </w:r>
      <w:r w:rsidR="00242DA0" w:rsidRPr="00DE12A3">
        <w:rPr>
          <w:sz w:val="24"/>
          <w:szCs w:val="24"/>
        </w:rPr>
        <w:t>Sayaç mekanizması ilkesi</w:t>
      </w:r>
    </w:p>
    <w:p w14:paraId="2393E030" w14:textId="77777777" w:rsidR="002D7B36" w:rsidRPr="00DE12A3" w:rsidRDefault="00242DA0" w:rsidP="00E20716">
      <w:pPr>
        <w:pStyle w:val="Gvdemetni250"/>
        <w:numPr>
          <w:ilvl w:val="0"/>
          <w:numId w:val="94"/>
        </w:numPr>
        <w:shd w:val="clear" w:color="auto" w:fill="auto"/>
        <w:spacing w:before="120" w:after="120" w:line="240" w:lineRule="auto"/>
        <w:ind w:left="1134" w:hanging="1134"/>
        <w:rPr>
          <w:sz w:val="24"/>
          <w:szCs w:val="24"/>
        </w:rPr>
      </w:pPr>
      <w:r w:rsidRPr="00DE12A3">
        <w:rPr>
          <w:sz w:val="24"/>
          <w:szCs w:val="24"/>
        </w:rPr>
        <w:t>Sayaçların her biri aşağıdaki şekilde çalışmalıdır:</w:t>
      </w:r>
    </w:p>
    <w:p w14:paraId="7B0C632E" w14:textId="77777777" w:rsidR="002D7B36" w:rsidRPr="00DE12A3" w:rsidRDefault="00242DA0" w:rsidP="00E20716">
      <w:pPr>
        <w:pStyle w:val="Gvdemetni250"/>
        <w:numPr>
          <w:ilvl w:val="0"/>
          <w:numId w:val="95"/>
        </w:numPr>
        <w:shd w:val="clear" w:color="auto" w:fill="auto"/>
        <w:spacing w:before="120" w:after="120" w:line="240" w:lineRule="auto"/>
        <w:ind w:left="1134" w:hanging="1134"/>
        <w:rPr>
          <w:sz w:val="24"/>
          <w:szCs w:val="24"/>
        </w:rPr>
      </w:pPr>
      <w:r w:rsidRPr="00DE12A3">
        <w:rPr>
          <w:sz w:val="24"/>
          <w:szCs w:val="24"/>
        </w:rPr>
        <w:t>Sayaç sıfırdan başlıyorsa, söz konusu sayaçla ilgili bir arıza tespit edilir edilmez ve ilgili teşhis hata kodu (DTC) Tablo 4.2'de tanımlanan duruma gelir gelmez saymaya başlamalıdır.</w:t>
      </w:r>
    </w:p>
    <w:p w14:paraId="2545E26F" w14:textId="5AFF20CA" w:rsidR="002D7B36" w:rsidRPr="00DE12A3" w:rsidRDefault="00242DA0" w:rsidP="00E20716">
      <w:pPr>
        <w:pStyle w:val="Gvdemetni250"/>
        <w:numPr>
          <w:ilvl w:val="0"/>
          <w:numId w:val="95"/>
        </w:numPr>
        <w:shd w:val="clear" w:color="auto" w:fill="auto"/>
        <w:spacing w:before="120" w:after="120" w:line="240" w:lineRule="auto"/>
        <w:ind w:left="1134" w:hanging="1134"/>
        <w:rPr>
          <w:sz w:val="24"/>
          <w:szCs w:val="24"/>
        </w:rPr>
      </w:pPr>
      <w:r w:rsidRPr="00DE12A3">
        <w:rPr>
          <w:sz w:val="24"/>
          <w:szCs w:val="24"/>
        </w:rPr>
        <w:t>Tekrarlanan arızalar söz konusu olduğunda imalatçının tercihine bağlı olarak aşağıdaki hükümlerden biri uygulanır</w:t>
      </w:r>
      <w:r w:rsidR="00B5565B" w:rsidRPr="00DE12A3">
        <w:rPr>
          <w:sz w:val="24"/>
          <w:szCs w:val="24"/>
        </w:rPr>
        <w:t>:</w:t>
      </w:r>
    </w:p>
    <w:p w14:paraId="050C8695" w14:textId="77777777" w:rsidR="002D7B36" w:rsidRPr="00DE12A3" w:rsidRDefault="00242DA0" w:rsidP="00E20716">
      <w:pPr>
        <w:pStyle w:val="Gvdemetni250"/>
        <w:numPr>
          <w:ilvl w:val="0"/>
          <w:numId w:val="96"/>
        </w:numPr>
        <w:shd w:val="clear" w:color="auto" w:fill="auto"/>
        <w:spacing w:before="120" w:after="120" w:line="240" w:lineRule="auto"/>
        <w:ind w:left="1134" w:firstLine="0"/>
        <w:rPr>
          <w:sz w:val="24"/>
          <w:szCs w:val="24"/>
        </w:rPr>
      </w:pPr>
      <w:r w:rsidRPr="00DE12A3">
        <w:rPr>
          <w:sz w:val="24"/>
          <w:szCs w:val="24"/>
        </w:rPr>
        <w:t xml:space="preserve">Tek bir izleme olayı meydana gelirse ve sayacı başlangıçta devreye sokan bir arıza artık tespit edilmezse veya arıza bir tarama aleti veya bakım aleti tarafından silinirse, sayaç durur ve mevcut değerinde kalır. Sayaç ağır seviye ikna sistemi </w:t>
      </w:r>
      <w:r w:rsidRPr="00DE12A3">
        <w:rPr>
          <w:sz w:val="24"/>
          <w:szCs w:val="24"/>
        </w:rPr>
        <w:lastRenderedPageBreak/>
        <w:t>devredeyken saymayı bırakırsa, sayaç Tablo 4.4'te belirtilen değerde veya ağır seviye ikna için sayaç değeri eksi 30 dakikaya eşit veya daha büyük bir değerde dondurulur.</w:t>
      </w:r>
    </w:p>
    <w:p w14:paraId="4C93B5D4" w14:textId="77777777" w:rsidR="002D7B36" w:rsidRPr="00DE12A3" w:rsidRDefault="00242DA0" w:rsidP="00E20716">
      <w:pPr>
        <w:pStyle w:val="Gvdemetni250"/>
        <w:numPr>
          <w:ilvl w:val="0"/>
          <w:numId w:val="96"/>
        </w:numPr>
        <w:shd w:val="clear" w:color="auto" w:fill="auto"/>
        <w:tabs>
          <w:tab w:val="left" w:pos="1078"/>
          <w:tab w:val="left" w:pos="1418"/>
          <w:tab w:val="left" w:pos="1560"/>
        </w:tabs>
        <w:spacing w:before="120" w:after="120" w:line="240" w:lineRule="auto"/>
        <w:ind w:left="1134" w:firstLine="0"/>
        <w:rPr>
          <w:sz w:val="24"/>
          <w:szCs w:val="24"/>
        </w:rPr>
      </w:pPr>
      <w:r w:rsidRPr="00DE12A3">
        <w:rPr>
          <w:sz w:val="24"/>
          <w:szCs w:val="24"/>
        </w:rPr>
        <w:t>Sayaç, Tablo 4.4'te tanımlanan değerde veya ağır seviye ikna için sayaç değeri eksi 30 dakikaya eşit veya daha büyük bir değerde donmuş olarak tutulmalıdır.</w:t>
      </w:r>
    </w:p>
    <w:p w14:paraId="59B36C97" w14:textId="77777777" w:rsidR="002D7B36" w:rsidRPr="00DE12A3" w:rsidRDefault="006065F5" w:rsidP="00C917D6">
      <w:pPr>
        <w:pStyle w:val="Gvdemetni250"/>
        <w:shd w:val="clear" w:color="auto" w:fill="auto"/>
        <w:spacing w:before="120" w:after="120" w:line="240" w:lineRule="auto"/>
        <w:ind w:left="1134" w:hanging="1134"/>
        <w:rPr>
          <w:sz w:val="24"/>
          <w:szCs w:val="24"/>
        </w:rPr>
      </w:pPr>
      <w:r w:rsidRPr="00DE12A3">
        <w:rPr>
          <w:sz w:val="24"/>
          <w:szCs w:val="24"/>
        </w:rPr>
        <w:t>11.4.2.1.3. Tek</w:t>
      </w:r>
      <w:r w:rsidR="00242DA0" w:rsidRPr="00DE12A3">
        <w:rPr>
          <w:sz w:val="24"/>
          <w:szCs w:val="24"/>
        </w:rPr>
        <w:t xml:space="preserve"> bir izleme sistemi sayacı söz konusu olduğunda, söz konusu sayaç ile ilgili bir NCM tespit edilmişse ve ilgili Teşhis hata kodu (DTC) "doğrulandı ve devrede" durumunda ise söz konusu sayaç saymaya devam eder. Sayacın devreye girmesine neden olacak hiçbir NCM tespit edilmezse veya bu sayaca ilişkin tüm arızalar bir tarama aleti veya bir bakım aleti tarafından silinmişse, sayaç durur ve 11.4.2.1.2 bendinde belirtilen değerlerden birinde kalır.</w:t>
      </w:r>
    </w:p>
    <w:p w14:paraId="5359D03F" w14:textId="25409B1C" w:rsidR="006065F5" w:rsidRPr="00DE12A3" w:rsidRDefault="006065F5" w:rsidP="00C917D6">
      <w:pPr>
        <w:pStyle w:val="Tabloyazs20"/>
        <w:shd w:val="clear" w:color="auto" w:fill="auto"/>
        <w:spacing w:before="120" w:after="120" w:line="240" w:lineRule="auto"/>
        <w:ind w:left="709" w:hanging="709"/>
        <w:jc w:val="both"/>
        <w:rPr>
          <w:rStyle w:val="Tabloyazs20ptbolukbraklyor"/>
          <w:color w:val="auto"/>
          <w:sz w:val="20"/>
          <w:szCs w:val="20"/>
        </w:rPr>
      </w:pPr>
    </w:p>
    <w:p w14:paraId="3A8B4A4D" w14:textId="0B0FF487" w:rsidR="000745D9" w:rsidRPr="00DE12A3" w:rsidRDefault="000745D9" w:rsidP="000745D9">
      <w:pPr>
        <w:pStyle w:val="Tabloyazs20"/>
        <w:shd w:val="clear" w:color="auto" w:fill="auto"/>
        <w:spacing w:before="120" w:after="120" w:line="240" w:lineRule="auto"/>
        <w:ind w:left="709" w:hanging="709"/>
        <w:jc w:val="center"/>
        <w:rPr>
          <w:rStyle w:val="Tabloyazs20ptbolukbraklyor"/>
          <w:b/>
          <w:bCs/>
          <w:color w:val="auto"/>
          <w:sz w:val="20"/>
          <w:szCs w:val="20"/>
        </w:rPr>
      </w:pPr>
      <w:r w:rsidRPr="00DE12A3">
        <w:rPr>
          <w:b/>
          <w:bCs/>
          <w:i w:val="0"/>
          <w:iCs w:val="0"/>
          <w:sz w:val="24"/>
          <w:szCs w:val="24"/>
        </w:rPr>
        <w:t>Tablo 4.4</w:t>
      </w:r>
    </w:p>
    <w:p w14:paraId="6C150181" w14:textId="77777777" w:rsidR="000745D9" w:rsidRPr="00DE12A3" w:rsidRDefault="000745D9" w:rsidP="000745D9">
      <w:pPr>
        <w:pStyle w:val="NormalCentered"/>
        <w:rPr>
          <w:b/>
          <w:bCs/>
        </w:rPr>
      </w:pPr>
      <w:r w:rsidRPr="00DE12A3">
        <w:rPr>
          <w:b/>
          <w:bCs/>
        </w:rPr>
        <w:t>Sayaçlar ve ikna</w:t>
      </w:r>
    </w:p>
    <w:p w14:paraId="1656FB9D" w14:textId="77777777" w:rsidR="000745D9" w:rsidRPr="00DE12A3" w:rsidRDefault="000745D9" w:rsidP="00C917D6">
      <w:pPr>
        <w:pStyle w:val="Tabloyazs20"/>
        <w:shd w:val="clear" w:color="auto" w:fill="auto"/>
        <w:spacing w:before="120" w:after="120" w:line="240" w:lineRule="auto"/>
        <w:ind w:left="709" w:hanging="709"/>
        <w:jc w:val="both"/>
        <w:rPr>
          <w:rStyle w:val="Tabloyazs20ptbolukbraklyor"/>
          <w:color w:val="auto"/>
          <w:sz w:val="20"/>
          <w:szCs w:val="20"/>
        </w:rPr>
      </w:pPr>
    </w:p>
    <w:tbl>
      <w:tblPr>
        <w:tblW w:w="89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CellMar>
          <w:left w:w="10" w:type="dxa"/>
          <w:right w:w="10" w:type="dxa"/>
        </w:tblCellMar>
        <w:tblLook w:val="04A0" w:firstRow="1" w:lastRow="0" w:firstColumn="1" w:lastColumn="0" w:noHBand="0" w:noVBand="1"/>
      </w:tblPr>
      <w:tblGrid>
        <w:gridCol w:w="1747"/>
        <w:gridCol w:w="1497"/>
        <w:gridCol w:w="1285"/>
        <w:gridCol w:w="1280"/>
        <w:gridCol w:w="3117"/>
      </w:tblGrid>
      <w:tr w:rsidR="00DE12A3" w:rsidRPr="00DE12A3" w14:paraId="07E32540" w14:textId="77777777" w:rsidTr="00DB50AB">
        <w:trPr>
          <w:trHeight w:hRule="exact" w:val="1230"/>
          <w:jc w:val="center"/>
        </w:trPr>
        <w:tc>
          <w:tcPr>
            <w:tcW w:w="1747" w:type="dxa"/>
            <w:shd w:val="clear" w:color="auto" w:fill="FFFFFF" w:themeFill="background1"/>
          </w:tcPr>
          <w:p w14:paraId="6924745F" w14:textId="77777777" w:rsidR="008E6900" w:rsidRPr="00DE12A3" w:rsidRDefault="008E6900" w:rsidP="000745D9">
            <w:pPr>
              <w:spacing w:before="120" w:after="120"/>
              <w:jc w:val="both"/>
              <w:rPr>
                <w:rFonts w:cs="Times New Roman"/>
                <w:color w:val="auto"/>
                <w:sz w:val="20"/>
                <w:szCs w:val="20"/>
              </w:rPr>
            </w:pPr>
          </w:p>
        </w:tc>
        <w:tc>
          <w:tcPr>
            <w:tcW w:w="1497" w:type="dxa"/>
            <w:shd w:val="clear" w:color="auto" w:fill="FFFFFF" w:themeFill="background1"/>
          </w:tcPr>
          <w:p w14:paraId="36914EA8" w14:textId="77777777" w:rsidR="008E6900" w:rsidRPr="00DE12A3" w:rsidRDefault="008E6900" w:rsidP="000745D9">
            <w:pPr>
              <w:pStyle w:val="Gvdemetni0"/>
              <w:shd w:val="clear" w:color="auto" w:fill="auto"/>
              <w:spacing w:before="120" w:after="120" w:line="240" w:lineRule="auto"/>
              <w:ind w:firstLine="0"/>
              <w:jc w:val="both"/>
              <w:rPr>
                <w:sz w:val="20"/>
                <w:szCs w:val="20"/>
              </w:rPr>
            </w:pPr>
            <w:r w:rsidRPr="00DE12A3">
              <w:rPr>
                <w:rFonts w:eastAsiaTheme="minorEastAsia"/>
                <w:spacing w:val="0"/>
                <w:sz w:val="24"/>
                <w:szCs w:val="24"/>
                <w:lang w:val="fr-FR"/>
              </w:rPr>
              <w:t>Sayacın ilk devreye girişi için DTC</w:t>
            </w:r>
            <w:r w:rsidRPr="00DE12A3">
              <w:rPr>
                <w:sz w:val="20"/>
                <w:szCs w:val="20"/>
              </w:rPr>
              <w:t xml:space="preserve"> durumu</w:t>
            </w:r>
          </w:p>
        </w:tc>
        <w:tc>
          <w:tcPr>
            <w:tcW w:w="1285" w:type="dxa"/>
            <w:shd w:val="clear" w:color="auto" w:fill="FFFFFF" w:themeFill="background1"/>
          </w:tcPr>
          <w:p w14:paraId="7F835D51" w14:textId="77777777" w:rsidR="008E6900" w:rsidRPr="00DE12A3" w:rsidRDefault="008E6900" w:rsidP="000745D9">
            <w:pPr>
              <w:pStyle w:val="Gvdemetni0"/>
              <w:shd w:val="clear" w:color="auto" w:fill="auto"/>
              <w:spacing w:before="120" w:after="120" w:line="240" w:lineRule="auto"/>
              <w:ind w:firstLine="0"/>
              <w:jc w:val="both"/>
              <w:rPr>
                <w:rFonts w:eastAsiaTheme="minorEastAsia"/>
                <w:spacing w:val="0"/>
                <w:sz w:val="24"/>
                <w:szCs w:val="24"/>
                <w:lang w:val="fr-FR"/>
              </w:rPr>
            </w:pPr>
            <w:r w:rsidRPr="00DE12A3">
              <w:rPr>
                <w:rFonts w:eastAsiaTheme="minorEastAsia"/>
                <w:spacing w:val="0"/>
                <w:sz w:val="24"/>
                <w:szCs w:val="24"/>
                <w:lang w:val="fr-FR"/>
              </w:rPr>
              <w:t>Düşük seviye ikna için sayaç değeri</w:t>
            </w:r>
          </w:p>
        </w:tc>
        <w:tc>
          <w:tcPr>
            <w:tcW w:w="1280" w:type="dxa"/>
            <w:shd w:val="clear" w:color="auto" w:fill="FFFFFF" w:themeFill="background1"/>
          </w:tcPr>
          <w:p w14:paraId="6D9FE7E8" w14:textId="77777777" w:rsidR="008E6900" w:rsidRPr="00DE12A3" w:rsidRDefault="008E6900" w:rsidP="000745D9">
            <w:pPr>
              <w:pStyle w:val="Gvdemetni0"/>
              <w:shd w:val="clear" w:color="auto" w:fill="auto"/>
              <w:spacing w:before="120" w:after="120" w:line="240" w:lineRule="auto"/>
              <w:ind w:firstLine="0"/>
              <w:jc w:val="both"/>
              <w:rPr>
                <w:rFonts w:eastAsiaTheme="minorEastAsia"/>
                <w:spacing w:val="0"/>
                <w:sz w:val="24"/>
                <w:szCs w:val="24"/>
                <w:lang w:val="fr-FR"/>
              </w:rPr>
            </w:pPr>
            <w:r w:rsidRPr="00DE12A3">
              <w:rPr>
                <w:rFonts w:eastAsiaTheme="minorEastAsia"/>
                <w:spacing w:val="0"/>
                <w:sz w:val="24"/>
                <w:szCs w:val="24"/>
                <w:lang w:val="fr-FR"/>
              </w:rPr>
              <w:t>Ağır seviye ikna için sayaç değeri</w:t>
            </w:r>
          </w:p>
        </w:tc>
        <w:tc>
          <w:tcPr>
            <w:tcW w:w="3117" w:type="dxa"/>
            <w:shd w:val="clear" w:color="auto" w:fill="FFFFFF" w:themeFill="background1"/>
          </w:tcPr>
          <w:p w14:paraId="2A90964F" w14:textId="77777777" w:rsidR="008E6900" w:rsidRPr="00DE12A3" w:rsidRDefault="008E6900" w:rsidP="000745D9">
            <w:pPr>
              <w:pStyle w:val="Gvdemetni0"/>
              <w:shd w:val="clear" w:color="auto" w:fill="auto"/>
              <w:spacing w:before="120" w:after="120" w:line="240" w:lineRule="auto"/>
              <w:ind w:firstLine="0"/>
              <w:jc w:val="both"/>
              <w:rPr>
                <w:rFonts w:eastAsiaTheme="minorEastAsia"/>
                <w:spacing w:val="0"/>
                <w:sz w:val="24"/>
                <w:szCs w:val="24"/>
                <w:lang w:val="fr-FR"/>
              </w:rPr>
            </w:pPr>
            <w:r w:rsidRPr="00DE12A3">
              <w:rPr>
                <w:rFonts w:eastAsiaTheme="minorEastAsia"/>
                <w:spacing w:val="0"/>
                <w:sz w:val="24"/>
                <w:szCs w:val="24"/>
                <w:lang w:val="fr-FR"/>
              </w:rPr>
              <w:t>Sayaç tarafından tutulan dondurulmuş değer</w:t>
            </w:r>
          </w:p>
        </w:tc>
      </w:tr>
      <w:tr w:rsidR="00DE12A3" w:rsidRPr="00DE12A3" w14:paraId="0E77A093" w14:textId="77777777" w:rsidTr="00DB50AB">
        <w:trPr>
          <w:trHeight w:hRule="exact" w:val="889"/>
          <w:jc w:val="center"/>
        </w:trPr>
        <w:tc>
          <w:tcPr>
            <w:tcW w:w="1747" w:type="dxa"/>
            <w:shd w:val="clear" w:color="auto" w:fill="FFFFFF" w:themeFill="background1"/>
          </w:tcPr>
          <w:p w14:paraId="3018C5D8" w14:textId="77777777" w:rsidR="008E6900" w:rsidRPr="00DE12A3" w:rsidRDefault="008E6900" w:rsidP="000745D9">
            <w:pPr>
              <w:pStyle w:val="NormalLeft"/>
              <w:jc w:val="both"/>
              <w:rPr>
                <w:lang w:val="tr-TR"/>
              </w:rPr>
            </w:pPr>
            <w:r w:rsidRPr="00DE12A3">
              <w:t>Ayıraç kalitesi sayacı</w:t>
            </w:r>
          </w:p>
        </w:tc>
        <w:tc>
          <w:tcPr>
            <w:tcW w:w="1497" w:type="dxa"/>
            <w:shd w:val="clear" w:color="auto" w:fill="FFFFFF" w:themeFill="background1"/>
          </w:tcPr>
          <w:p w14:paraId="416AAEC9" w14:textId="7F3870C6" w:rsidR="008E6900" w:rsidRPr="00DE12A3" w:rsidRDefault="00DB50AB" w:rsidP="000745D9">
            <w:pPr>
              <w:pStyle w:val="NormalLeft"/>
              <w:jc w:val="both"/>
            </w:pPr>
            <w:r w:rsidRPr="00DE12A3">
              <w:t>Doğrulandı</w:t>
            </w:r>
            <w:r w:rsidR="008E6900" w:rsidRPr="00DE12A3">
              <w:t xml:space="preserve"> ve devrede</w:t>
            </w:r>
          </w:p>
        </w:tc>
        <w:tc>
          <w:tcPr>
            <w:tcW w:w="1285" w:type="dxa"/>
            <w:shd w:val="clear" w:color="auto" w:fill="FFFFFF" w:themeFill="background1"/>
          </w:tcPr>
          <w:p w14:paraId="34C01B27" w14:textId="77777777" w:rsidR="008E6900" w:rsidRPr="00DE12A3" w:rsidRDefault="008E6900" w:rsidP="000745D9">
            <w:pPr>
              <w:pStyle w:val="NormalLeft"/>
              <w:jc w:val="both"/>
            </w:pPr>
            <w:r w:rsidRPr="00DE12A3">
              <w:t>≤ 10 saat</w:t>
            </w:r>
          </w:p>
        </w:tc>
        <w:tc>
          <w:tcPr>
            <w:tcW w:w="1280" w:type="dxa"/>
            <w:shd w:val="clear" w:color="auto" w:fill="FFFFFF" w:themeFill="background1"/>
          </w:tcPr>
          <w:p w14:paraId="48DE819B" w14:textId="77777777" w:rsidR="008E6900" w:rsidRPr="00DE12A3" w:rsidRDefault="008E6900" w:rsidP="000745D9">
            <w:pPr>
              <w:pStyle w:val="NormalLeft"/>
              <w:jc w:val="both"/>
            </w:pPr>
            <w:r w:rsidRPr="00DE12A3">
              <w:t>≤ 20 saat</w:t>
            </w:r>
          </w:p>
        </w:tc>
        <w:tc>
          <w:tcPr>
            <w:tcW w:w="3117" w:type="dxa"/>
            <w:shd w:val="clear" w:color="auto" w:fill="FFFFFF" w:themeFill="background1"/>
          </w:tcPr>
          <w:p w14:paraId="1B1EFA5E" w14:textId="77777777" w:rsidR="008E6900" w:rsidRPr="00DE12A3" w:rsidRDefault="008E6900" w:rsidP="000745D9">
            <w:pPr>
              <w:pStyle w:val="NormalLeft"/>
              <w:jc w:val="both"/>
            </w:pPr>
            <w:r w:rsidRPr="00DE12A3">
              <w:t>≥ Ağır seviye ikna için sayaç değerinin %90'ı</w:t>
            </w:r>
          </w:p>
        </w:tc>
      </w:tr>
      <w:tr w:rsidR="00DE12A3" w:rsidRPr="00DE12A3" w14:paraId="596CC510" w14:textId="77777777" w:rsidTr="00DB50AB">
        <w:trPr>
          <w:trHeight w:hRule="exact" w:val="975"/>
          <w:jc w:val="center"/>
        </w:trPr>
        <w:tc>
          <w:tcPr>
            <w:tcW w:w="1747" w:type="dxa"/>
            <w:shd w:val="clear" w:color="auto" w:fill="FFFFFF" w:themeFill="background1"/>
          </w:tcPr>
          <w:p w14:paraId="1E57D244" w14:textId="77777777" w:rsidR="008E6900" w:rsidRPr="00DE12A3" w:rsidRDefault="008E6900" w:rsidP="000745D9">
            <w:pPr>
              <w:pStyle w:val="NormalLeft"/>
              <w:jc w:val="both"/>
              <w:rPr>
                <w:lang w:val="tr-TR"/>
              </w:rPr>
            </w:pPr>
            <w:r w:rsidRPr="00DE12A3">
              <w:t>Dozaj sayacı</w:t>
            </w:r>
          </w:p>
        </w:tc>
        <w:tc>
          <w:tcPr>
            <w:tcW w:w="1497" w:type="dxa"/>
            <w:shd w:val="clear" w:color="auto" w:fill="FFFFFF" w:themeFill="background1"/>
          </w:tcPr>
          <w:p w14:paraId="2A2A2A49" w14:textId="6A659557" w:rsidR="008E6900" w:rsidRPr="00DE12A3" w:rsidRDefault="00DB50AB" w:rsidP="000745D9">
            <w:pPr>
              <w:pStyle w:val="NormalLeft"/>
              <w:jc w:val="both"/>
            </w:pPr>
            <w:r w:rsidRPr="00DE12A3">
              <w:t>Doğrulandı</w:t>
            </w:r>
            <w:r w:rsidR="008E6900" w:rsidRPr="00DE12A3">
              <w:t xml:space="preserve"> ve devrede</w:t>
            </w:r>
          </w:p>
        </w:tc>
        <w:tc>
          <w:tcPr>
            <w:tcW w:w="1285" w:type="dxa"/>
            <w:shd w:val="clear" w:color="auto" w:fill="FFFFFF" w:themeFill="background1"/>
          </w:tcPr>
          <w:p w14:paraId="2EA4F31C" w14:textId="77777777" w:rsidR="008E6900" w:rsidRPr="00DE12A3" w:rsidRDefault="008E6900" w:rsidP="000745D9">
            <w:pPr>
              <w:pStyle w:val="NormalLeft"/>
              <w:jc w:val="both"/>
            </w:pPr>
            <w:r w:rsidRPr="00DE12A3">
              <w:t>≤ 10 saat</w:t>
            </w:r>
          </w:p>
        </w:tc>
        <w:tc>
          <w:tcPr>
            <w:tcW w:w="1280" w:type="dxa"/>
            <w:shd w:val="clear" w:color="auto" w:fill="FFFFFF" w:themeFill="background1"/>
          </w:tcPr>
          <w:p w14:paraId="090F42AE" w14:textId="77777777" w:rsidR="008E6900" w:rsidRPr="00DE12A3" w:rsidRDefault="008E6900" w:rsidP="000745D9">
            <w:pPr>
              <w:pStyle w:val="NormalLeft"/>
              <w:jc w:val="both"/>
            </w:pPr>
            <w:r w:rsidRPr="00DE12A3">
              <w:t>≤ 20 saat</w:t>
            </w:r>
          </w:p>
        </w:tc>
        <w:tc>
          <w:tcPr>
            <w:tcW w:w="3117" w:type="dxa"/>
            <w:shd w:val="clear" w:color="auto" w:fill="FFFFFF" w:themeFill="background1"/>
          </w:tcPr>
          <w:p w14:paraId="297DC7F5" w14:textId="77777777" w:rsidR="008E6900" w:rsidRPr="00DE12A3" w:rsidRDefault="008E6900" w:rsidP="000745D9">
            <w:pPr>
              <w:pStyle w:val="NormalLeft"/>
              <w:jc w:val="both"/>
            </w:pPr>
            <w:r w:rsidRPr="00DE12A3">
              <w:t>≥ Ağır seviye ikna için sayaç değerinin %90'ı</w:t>
            </w:r>
          </w:p>
        </w:tc>
      </w:tr>
      <w:tr w:rsidR="00DE12A3" w:rsidRPr="00DE12A3" w14:paraId="08A7D163" w14:textId="77777777" w:rsidTr="00DB50AB">
        <w:trPr>
          <w:trHeight w:hRule="exact" w:val="966"/>
          <w:jc w:val="center"/>
        </w:trPr>
        <w:tc>
          <w:tcPr>
            <w:tcW w:w="1747" w:type="dxa"/>
            <w:shd w:val="clear" w:color="auto" w:fill="FFFFFF" w:themeFill="background1"/>
          </w:tcPr>
          <w:p w14:paraId="3CD0E675" w14:textId="77777777" w:rsidR="008E6900" w:rsidRPr="00DE12A3" w:rsidRDefault="008E6900" w:rsidP="000745D9">
            <w:pPr>
              <w:pStyle w:val="NormalLeft"/>
              <w:jc w:val="both"/>
              <w:rPr>
                <w:lang w:val="tr-TR"/>
              </w:rPr>
            </w:pPr>
            <w:r w:rsidRPr="00DE12A3">
              <w:t>EGR valfı sayacı</w:t>
            </w:r>
          </w:p>
        </w:tc>
        <w:tc>
          <w:tcPr>
            <w:tcW w:w="1497" w:type="dxa"/>
            <w:shd w:val="clear" w:color="auto" w:fill="FFFFFF" w:themeFill="background1"/>
          </w:tcPr>
          <w:p w14:paraId="3525E2B5" w14:textId="615A14EE" w:rsidR="008E6900" w:rsidRPr="00DE12A3" w:rsidRDefault="00DB50AB" w:rsidP="000745D9">
            <w:pPr>
              <w:pStyle w:val="NormalLeft"/>
              <w:jc w:val="both"/>
            </w:pPr>
            <w:r w:rsidRPr="00DE12A3">
              <w:t>Doğrulandı</w:t>
            </w:r>
            <w:r w:rsidR="008E6900" w:rsidRPr="00DE12A3">
              <w:t xml:space="preserve"> ve devrede</w:t>
            </w:r>
          </w:p>
        </w:tc>
        <w:tc>
          <w:tcPr>
            <w:tcW w:w="1285" w:type="dxa"/>
            <w:shd w:val="clear" w:color="auto" w:fill="FFFFFF" w:themeFill="background1"/>
          </w:tcPr>
          <w:p w14:paraId="0977092E" w14:textId="77777777" w:rsidR="008E6900" w:rsidRPr="00DE12A3" w:rsidRDefault="008E6900" w:rsidP="000745D9">
            <w:pPr>
              <w:pStyle w:val="NormalLeft"/>
              <w:jc w:val="both"/>
            </w:pPr>
            <w:r w:rsidRPr="00DE12A3">
              <w:t>≤ 36 saat</w:t>
            </w:r>
          </w:p>
        </w:tc>
        <w:tc>
          <w:tcPr>
            <w:tcW w:w="1280" w:type="dxa"/>
            <w:shd w:val="clear" w:color="auto" w:fill="FFFFFF" w:themeFill="background1"/>
          </w:tcPr>
          <w:p w14:paraId="36A7F1DE" w14:textId="77777777" w:rsidR="008E6900" w:rsidRPr="00DE12A3" w:rsidRDefault="008E6900" w:rsidP="000745D9">
            <w:pPr>
              <w:pStyle w:val="NormalLeft"/>
              <w:jc w:val="both"/>
            </w:pPr>
            <w:r w:rsidRPr="00DE12A3">
              <w:t>≤ 100 saat</w:t>
            </w:r>
          </w:p>
        </w:tc>
        <w:tc>
          <w:tcPr>
            <w:tcW w:w="3117" w:type="dxa"/>
            <w:shd w:val="clear" w:color="auto" w:fill="FFFFFF" w:themeFill="background1"/>
          </w:tcPr>
          <w:p w14:paraId="63F6A86A" w14:textId="77777777" w:rsidR="008E6900" w:rsidRPr="00DE12A3" w:rsidRDefault="008E6900" w:rsidP="000745D9">
            <w:pPr>
              <w:pStyle w:val="NormalLeft"/>
              <w:jc w:val="both"/>
            </w:pPr>
            <w:r w:rsidRPr="00DE12A3">
              <w:t>≥ Ağır seviye ikna için sayaç değerinin %95'i</w:t>
            </w:r>
          </w:p>
        </w:tc>
      </w:tr>
      <w:tr w:rsidR="00DE12A3" w:rsidRPr="00DE12A3" w14:paraId="6A151FCF" w14:textId="77777777" w:rsidTr="00DB50AB">
        <w:trPr>
          <w:trHeight w:hRule="exact" w:val="914"/>
          <w:jc w:val="center"/>
        </w:trPr>
        <w:tc>
          <w:tcPr>
            <w:tcW w:w="1747" w:type="dxa"/>
            <w:shd w:val="clear" w:color="auto" w:fill="FFFFFF" w:themeFill="background1"/>
          </w:tcPr>
          <w:p w14:paraId="29188581" w14:textId="77777777" w:rsidR="008E6900" w:rsidRPr="00DE12A3" w:rsidRDefault="008E6900" w:rsidP="000745D9">
            <w:pPr>
              <w:pStyle w:val="NormalLeft"/>
              <w:jc w:val="both"/>
              <w:rPr>
                <w:lang w:val="tr-TR"/>
              </w:rPr>
            </w:pPr>
            <w:r w:rsidRPr="00DE12A3">
              <w:t>İzleme sistemi sayacı</w:t>
            </w:r>
          </w:p>
        </w:tc>
        <w:tc>
          <w:tcPr>
            <w:tcW w:w="1497" w:type="dxa"/>
            <w:shd w:val="clear" w:color="auto" w:fill="FFFFFF" w:themeFill="background1"/>
          </w:tcPr>
          <w:p w14:paraId="2CC664BB" w14:textId="10F8568B" w:rsidR="008E6900" w:rsidRPr="00DE12A3" w:rsidRDefault="00DB50AB" w:rsidP="000745D9">
            <w:pPr>
              <w:pStyle w:val="NormalLeft"/>
              <w:jc w:val="both"/>
            </w:pPr>
            <w:r w:rsidRPr="00DE12A3">
              <w:t>Doğrulandı</w:t>
            </w:r>
            <w:r w:rsidR="008E6900" w:rsidRPr="00DE12A3">
              <w:t xml:space="preserve"> ve devrede</w:t>
            </w:r>
          </w:p>
        </w:tc>
        <w:tc>
          <w:tcPr>
            <w:tcW w:w="1285" w:type="dxa"/>
            <w:shd w:val="clear" w:color="auto" w:fill="FFFFFF" w:themeFill="background1"/>
          </w:tcPr>
          <w:p w14:paraId="52131C9E" w14:textId="77777777" w:rsidR="008E6900" w:rsidRPr="00DE12A3" w:rsidRDefault="008E6900" w:rsidP="000745D9">
            <w:pPr>
              <w:pStyle w:val="NormalLeft"/>
              <w:jc w:val="both"/>
            </w:pPr>
            <w:r w:rsidRPr="00DE12A3">
              <w:t>≤ 36 saat</w:t>
            </w:r>
          </w:p>
        </w:tc>
        <w:tc>
          <w:tcPr>
            <w:tcW w:w="1280" w:type="dxa"/>
            <w:shd w:val="clear" w:color="auto" w:fill="FFFFFF" w:themeFill="background1"/>
          </w:tcPr>
          <w:p w14:paraId="423DCC90" w14:textId="77777777" w:rsidR="008E6900" w:rsidRPr="00DE12A3" w:rsidRDefault="008E6900" w:rsidP="000745D9">
            <w:pPr>
              <w:pStyle w:val="NormalLeft"/>
              <w:jc w:val="both"/>
            </w:pPr>
            <w:r w:rsidRPr="00DE12A3">
              <w:t>≤ 100 saat</w:t>
            </w:r>
          </w:p>
        </w:tc>
        <w:tc>
          <w:tcPr>
            <w:tcW w:w="3117" w:type="dxa"/>
            <w:shd w:val="clear" w:color="auto" w:fill="FFFFFF" w:themeFill="background1"/>
          </w:tcPr>
          <w:p w14:paraId="57DD911E" w14:textId="77777777" w:rsidR="008E6900" w:rsidRPr="00DE12A3" w:rsidRDefault="008E6900" w:rsidP="000745D9">
            <w:pPr>
              <w:pStyle w:val="NormalLeft"/>
              <w:jc w:val="both"/>
            </w:pPr>
            <w:r w:rsidRPr="00DE12A3">
              <w:t>≥ Ağır seviye ikna için sayaç değerinin %95'i</w:t>
            </w:r>
          </w:p>
        </w:tc>
      </w:tr>
      <w:tr w:rsidR="00DE12A3" w:rsidRPr="00DE12A3" w14:paraId="03F05D75" w14:textId="77777777" w:rsidTr="00DB50AB">
        <w:trPr>
          <w:trHeight w:hRule="exact" w:val="1032"/>
          <w:jc w:val="center"/>
        </w:trPr>
        <w:tc>
          <w:tcPr>
            <w:tcW w:w="1747" w:type="dxa"/>
            <w:shd w:val="clear" w:color="auto" w:fill="FFFFFF" w:themeFill="background1"/>
          </w:tcPr>
          <w:p w14:paraId="47724854" w14:textId="77777777" w:rsidR="008E6900" w:rsidRPr="00DE12A3" w:rsidRDefault="008E6900" w:rsidP="000745D9">
            <w:pPr>
              <w:pStyle w:val="NormalLeft"/>
              <w:jc w:val="both"/>
              <w:rPr>
                <w:lang w:val="tr-TR"/>
              </w:rPr>
            </w:pPr>
            <w:r w:rsidRPr="00DE12A3">
              <w:t>Varsa, NOx eşik değeri</w:t>
            </w:r>
          </w:p>
        </w:tc>
        <w:tc>
          <w:tcPr>
            <w:tcW w:w="1497" w:type="dxa"/>
            <w:shd w:val="clear" w:color="auto" w:fill="FFFFFF" w:themeFill="background1"/>
          </w:tcPr>
          <w:p w14:paraId="064D8939" w14:textId="4778D562" w:rsidR="008E6900" w:rsidRPr="00DE12A3" w:rsidRDefault="00DB50AB" w:rsidP="000745D9">
            <w:pPr>
              <w:pStyle w:val="NormalLeft"/>
              <w:jc w:val="both"/>
            </w:pPr>
            <w:r w:rsidRPr="00DE12A3">
              <w:t>Doğrulandı</w:t>
            </w:r>
            <w:r w:rsidR="008E6900" w:rsidRPr="00DE12A3">
              <w:t xml:space="preserve"> ve devrede</w:t>
            </w:r>
          </w:p>
        </w:tc>
        <w:tc>
          <w:tcPr>
            <w:tcW w:w="1285" w:type="dxa"/>
            <w:shd w:val="clear" w:color="auto" w:fill="FFFFFF" w:themeFill="background1"/>
          </w:tcPr>
          <w:p w14:paraId="679606DA" w14:textId="77777777" w:rsidR="008E6900" w:rsidRPr="00DE12A3" w:rsidRDefault="008E6900" w:rsidP="000745D9">
            <w:pPr>
              <w:pStyle w:val="NormalLeft"/>
              <w:jc w:val="both"/>
            </w:pPr>
            <w:r w:rsidRPr="00DE12A3">
              <w:t>≤ 10 saat</w:t>
            </w:r>
          </w:p>
        </w:tc>
        <w:tc>
          <w:tcPr>
            <w:tcW w:w="1280" w:type="dxa"/>
            <w:shd w:val="clear" w:color="auto" w:fill="FFFFFF" w:themeFill="background1"/>
          </w:tcPr>
          <w:p w14:paraId="0191CD6A" w14:textId="77777777" w:rsidR="008E6900" w:rsidRPr="00DE12A3" w:rsidRDefault="008E6900" w:rsidP="000745D9">
            <w:pPr>
              <w:pStyle w:val="NormalLeft"/>
              <w:jc w:val="both"/>
            </w:pPr>
            <w:r w:rsidRPr="00DE12A3">
              <w:t>≤ 20 saat</w:t>
            </w:r>
          </w:p>
        </w:tc>
        <w:tc>
          <w:tcPr>
            <w:tcW w:w="3117" w:type="dxa"/>
            <w:shd w:val="clear" w:color="auto" w:fill="FFFFFF" w:themeFill="background1"/>
          </w:tcPr>
          <w:p w14:paraId="5182046B" w14:textId="77777777" w:rsidR="008E6900" w:rsidRPr="00DE12A3" w:rsidRDefault="008E6900" w:rsidP="000745D9">
            <w:pPr>
              <w:pStyle w:val="NormalLeft"/>
              <w:jc w:val="both"/>
            </w:pPr>
            <w:r w:rsidRPr="00DE12A3">
              <w:t>≥ Ağır seviye ikna için sayaç değerinin %90'ı</w:t>
            </w:r>
          </w:p>
        </w:tc>
      </w:tr>
    </w:tbl>
    <w:p w14:paraId="373E159D" w14:textId="77777777" w:rsidR="006065F5" w:rsidRPr="00DE12A3" w:rsidRDefault="006065F5" w:rsidP="00C917D6">
      <w:pPr>
        <w:pStyle w:val="Tabloyazs20"/>
        <w:shd w:val="clear" w:color="auto" w:fill="auto"/>
        <w:spacing w:before="120" w:after="120" w:line="240" w:lineRule="auto"/>
        <w:ind w:left="709" w:hanging="709"/>
        <w:jc w:val="both"/>
        <w:rPr>
          <w:rStyle w:val="Tabloyazs20ptbolukbraklyor"/>
          <w:color w:val="auto"/>
          <w:sz w:val="20"/>
          <w:szCs w:val="20"/>
        </w:rPr>
      </w:pPr>
    </w:p>
    <w:p w14:paraId="63D00625" w14:textId="77777777" w:rsidR="006065F5" w:rsidRPr="00DE12A3" w:rsidRDefault="006065F5" w:rsidP="00C917D6">
      <w:pPr>
        <w:pStyle w:val="Tabloyazs20"/>
        <w:shd w:val="clear" w:color="auto" w:fill="auto"/>
        <w:spacing w:before="120" w:after="120" w:line="240" w:lineRule="auto"/>
        <w:ind w:left="709" w:hanging="709"/>
        <w:jc w:val="both"/>
        <w:rPr>
          <w:rStyle w:val="Tabloyazs20ptbolukbraklyor"/>
          <w:color w:val="auto"/>
          <w:sz w:val="20"/>
          <w:szCs w:val="20"/>
        </w:rPr>
      </w:pPr>
    </w:p>
    <w:p w14:paraId="69E07C4A" w14:textId="77777777" w:rsidR="002D7B36" w:rsidRPr="00DE12A3" w:rsidRDefault="002D7B36" w:rsidP="00E20716">
      <w:pPr>
        <w:pStyle w:val="ListeParagraf"/>
        <w:numPr>
          <w:ilvl w:val="0"/>
          <w:numId w:val="97"/>
        </w:numPr>
        <w:spacing w:before="120" w:after="120"/>
        <w:ind w:left="1134" w:hanging="1134"/>
        <w:contextualSpacing w:val="0"/>
        <w:jc w:val="both"/>
        <w:rPr>
          <w:rFonts w:eastAsia="Times New Roman" w:cs="Times New Roman"/>
          <w:vanish/>
          <w:color w:val="auto"/>
          <w:spacing w:val="3"/>
          <w:lang w:eastAsia="en-US"/>
        </w:rPr>
      </w:pPr>
    </w:p>
    <w:p w14:paraId="640D1658" w14:textId="77777777" w:rsidR="002D7B36" w:rsidRPr="00DE12A3" w:rsidRDefault="002D7B36" w:rsidP="00E20716">
      <w:pPr>
        <w:pStyle w:val="ListeParagraf"/>
        <w:numPr>
          <w:ilvl w:val="0"/>
          <w:numId w:val="97"/>
        </w:numPr>
        <w:spacing w:before="120" w:after="120"/>
        <w:ind w:left="1134" w:hanging="1134"/>
        <w:contextualSpacing w:val="0"/>
        <w:jc w:val="both"/>
        <w:rPr>
          <w:rFonts w:eastAsia="Times New Roman" w:cs="Times New Roman"/>
          <w:vanish/>
          <w:color w:val="auto"/>
          <w:spacing w:val="3"/>
          <w:lang w:eastAsia="en-US"/>
        </w:rPr>
      </w:pPr>
    </w:p>
    <w:p w14:paraId="651F2AA6" w14:textId="77777777" w:rsidR="002D7B36" w:rsidRPr="00DE12A3" w:rsidRDefault="002D7B36" w:rsidP="00E20716">
      <w:pPr>
        <w:pStyle w:val="ListeParagraf"/>
        <w:numPr>
          <w:ilvl w:val="0"/>
          <w:numId w:val="97"/>
        </w:numPr>
        <w:spacing w:before="120" w:after="120"/>
        <w:ind w:left="1134" w:hanging="1134"/>
        <w:contextualSpacing w:val="0"/>
        <w:jc w:val="both"/>
        <w:rPr>
          <w:rFonts w:eastAsia="Times New Roman" w:cs="Times New Roman"/>
          <w:vanish/>
          <w:color w:val="auto"/>
          <w:spacing w:val="3"/>
          <w:lang w:eastAsia="en-US"/>
        </w:rPr>
      </w:pPr>
    </w:p>
    <w:p w14:paraId="77B405BB" w14:textId="7754DF41" w:rsidR="008E6900" w:rsidRPr="00DE12A3" w:rsidRDefault="00C241B0" w:rsidP="00127D94">
      <w:pPr>
        <w:pStyle w:val="Gvdemetni250"/>
        <w:shd w:val="clear" w:color="auto" w:fill="auto"/>
        <w:spacing w:before="120" w:after="120" w:line="240" w:lineRule="auto"/>
        <w:ind w:left="993" w:hanging="993"/>
        <w:rPr>
          <w:sz w:val="24"/>
          <w:szCs w:val="24"/>
        </w:rPr>
      </w:pPr>
      <w:r w:rsidRPr="00DE12A3">
        <w:rPr>
          <w:sz w:val="24"/>
          <w:szCs w:val="24"/>
        </w:rPr>
        <w:t>11.4.2.1.4.Bir kez dondurulduğunda</w:t>
      </w:r>
      <w:r w:rsidR="005969A9" w:rsidRPr="00DE12A3">
        <w:rPr>
          <w:sz w:val="24"/>
          <w:szCs w:val="24"/>
        </w:rPr>
        <w:t>;</w:t>
      </w:r>
      <w:r w:rsidRPr="00DE12A3">
        <w:rPr>
          <w:sz w:val="24"/>
          <w:szCs w:val="24"/>
        </w:rPr>
        <w:t xml:space="preserve"> </w:t>
      </w:r>
      <w:r w:rsidR="005969A9" w:rsidRPr="00DE12A3">
        <w:rPr>
          <w:sz w:val="24"/>
          <w:szCs w:val="24"/>
        </w:rPr>
        <w:t>sayaçla ilgili bir arıza tespit edi</w:t>
      </w:r>
      <w:r w:rsidR="00664507" w:rsidRPr="00DE12A3">
        <w:rPr>
          <w:sz w:val="24"/>
          <w:szCs w:val="24"/>
        </w:rPr>
        <w:t>l</w:t>
      </w:r>
      <w:r w:rsidR="005969A9" w:rsidRPr="00DE12A3">
        <w:rPr>
          <w:sz w:val="24"/>
          <w:szCs w:val="24"/>
        </w:rPr>
        <w:t xml:space="preserve">meden izleme çevriminin en az bir kez tamamlanması ve </w:t>
      </w:r>
      <w:r w:rsidRPr="00DE12A3">
        <w:rPr>
          <w:sz w:val="24"/>
          <w:szCs w:val="24"/>
        </w:rPr>
        <w:t>saya</w:t>
      </w:r>
      <w:r w:rsidR="005969A9" w:rsidRPr="00DE12A3">
        <w:rPr>
          <w:sz w:val="24"/>
          <w:szCs w:val="24"/>
        </w:rPr>
        <w:t>cın</w:t>
      </w:r>
      <w:r w:rsidRPr="00DE12A3">
        <w:rPr>
          <w:sz w:val="24"/>
          <w:szCs w:val="24"/>
        </w:rPr>
        <w:t xml:space="preserve"> en</w:t>
      </w:r>
      <w:r w:rsidR="005969A9" w:rsidRPr="00DE12A3">
        <w:rPr>
          <w:sz w:val="24"/>
          <w:szCs w:val="24"/>
        </w:rPr>
        <w:t xml:space="preserve"> </w:t>
      </w:r>
      <w:r w:rsidRPr="00DE12A3">
        <w:rPr>
          <w:sz w:val="24"/>
          <w:szCs w:val="24"/>
        </w:rPr>
        <w:t>son devrede olduğu</w:t>
      </w:r>
      <w:r w:rsidR="005969A9" w:rsidRPr="00DE12A3">
        <w:rPr>
          <w:sz w:val="24"/>
          <w:szCs w:val="24"/>
        </w:rPr>
        <w:t xml:space="preserve"> zamandan itibaren</w:t>
      </w:r>
      <w:r w:rsidRPr="00DE12A3">
        <w:rPr>
          <w:sz w:val="24"/>
          <w:szCs w:val="24"/>
        </w:rPr>
        <w:t xml:space="preserve"> </w:t>
      </w:r>
      <w:r w:rsidR="00835F87" w:rsidRPr="00DE12A3">
        <w:rPr>
          <w:sz w:val="24"/>
          <w:szCs w:val="24"/>
        </w:rPr>
        <w:t>36</w:t>
      </w:r>
      <w:r w:rsidRPr="00DE12A3">
        <w:rPr>
          <w:sz w:val="24"/>
          <w:szCs w:val="24"/>
        </w:rPr>
        <w:t xml:space="preserve"> </w:t>
      </w:r>
      <w:r w:rsidR="005969A9" w:rsidRPr="00DE12A3">
        <w:rPr>
          <w:sz w:val="24"/>
          <w:szCs w:val="24"/>
        </w:rPr>
        <w:t xml:space="preserve">motor çalışma saati süresince </w:t>
      </w:r>
      <w:r w:rsidRPr="00DE12A3">
        <w:rPr>
          <w:sz w:val="24"/>
          <w:szCs w:val="24"/>
        </w:rPr>
        <w:t xml:space="preserve">sayaç ile ilgili </w:t>
      </w:r>
      <w:r w:rsidR="00664507" w:rsidRPr="00DE12A3">
        <w:rPr>
          <w:sz w:val="24"/>
          <w:szCs w:val="24"/>
        </w:rPr>
        <w:t xml:space="preserve">bir </w:t>
      </w:r>
      <w:r w:rsidR="005969A9" w:rsidRPr="00DE12A3">
        <w:rPr>
          <w:sz w:val="24"/>
          <w:szCs w:val="24"/>
        </w:rPr>
        <w:t xml:space="preserve">arızaya </w:t>
      </w:r>
      <w:r w:rsidR="00664507" w:rsidRPr="00DE12A3">
        <w:rPr>
          <w:sz w:val="24"/>
          <w:szCs w:val="24"/>
        </w:rPr>
        <w:t>rastlanmaması durumunda</w:t>
      </w:r>
      <w:r w:rsidRPr="00DE12A3">
        <w:rPr>
          <w:sz w:val="24"/>
          <w:szCs w:val="24"/>
        </w:rPr>
        <w:t xml:space="preserve"> </w:t>
      </w:r>
      <w:r w:rsidR="00664507" w:rsidRPr="00DE12A3">
        <w:rPr>
          <w:sz w:val="24"/>
          <w:szCs w:val="24"/>
        </w:rPr>
        <w:t xml:space="preserve">sayaç </w:t>
      </w:r>
      <w:r w:rsidRPr="00DE12A3">
        <w:rPr>
          <w:sz w:val="24"/>
          <w:szCs w:val="24"/>
        </w:rPr>
        <w:t>sıfır</w:t>
      </w:r>
      <w:r w:rsidR="005969A9" w:rsidRPr="00DE12A3">
        <w:rPr>
          <w:sz w:val="24"/>
          <w:szCs w:val="24"/>
        </w:rPr>
        <w:t>lanır</w:t>
      </w:r>
      <w:r w:rsidRPr="00DE12A3">
        <w:rPr>
          <w:sz w:val="24"/>
          <w:szCs w:val="24"/>
        </w:rPr>
        <w:t>.</w:t>
      </w:r>
      <w:r w:rsidR="00E54E06" w:rsidRPr="00DE12A3">
        <w:rPr>
          <w:sz w:val="24"/>
          <w:szCs w:val="24"/>
        </w:rPr>
        <w:t xml:space="preserve"> (bakınız Şekil 4.4)</w:t>
      </w:r>
    </w:p>
    <w:p w14:paraId="7A30FBD3" w14:textId="01229635" w:rsidR="00604CF8" w:rsidRPr="00DE12A3" w:rsidRDefault="00604CF8" w:rsidP="00E54E06">
      <w:pPr>
        <w:pStyle w:val="Gvdemetni250"/>
        <w:shd w:val="clear" w:color="auto" w:fill="auto"/>
        <w:spacing w:before="120" w:after="120" w:line="240" w:lineRule="auto"/>
        <w:ind w:left="1134" w:firstLine="0"/>
        <w:rPr>
          <w:sz w:val="24"/>
          <w:szCs w:val="24"/>
        </w:rPr>
      </w:pPr>
    </w:p>
    <w:p w14:paraId="2C2D9784" w14:textId="77777777" w:rsidR="001A333D" w:rsidRPr="00DE12A3" w:rsidRDefault="001A333D" w:rsidP="00C917D6">
      <w:pPr>
        <w:pStyle w:val="Gvdemetni250"/>
        <w:shd w:val="clear" w:color="auto" w:fill="auto"/>
        <w:spacing w:before="120" w:after="120" w:line="240" w:lineRule="auto"/>
        <w:ind w:left="1134" w:firstLine="0"/>
        <w:rPr>
          <w:sz w:val="24"/>
          <w:szCs w:val="24"/>
        </w:rPr>
      </w:pPr>
    </w:p>
    <w:p w14:paraId="2F0D073E" w14:textId="77777777" w:rsidR="00604CF8" w:rsidRPr="00DE12A3" w:rsidRDefault="00604CF8" w:rsidP="00C917D6">
      <w:pPr>
        <w:pStyle w:val="Gvdemetni250"/>
        <w:shd w:val="clear" w:color="auto" w:fill="auto"/>
        <w:spacing w:before="120" w:after="120" w:line="240" w:lineRule="auto"/>
        <w:ind w:left="1134" w:firstLine="0"/>
        <w:rPr>
          <w:sz w:val="24"/>
          <w:szCs w:val="24"/>
        </w:rPr>
      </w:pPr>
    </w:p>
    <w:p w14:paraId="7E5AEA04" w14:textId="77777777" w:rsidR="002D7B36" w:rsidRPr="00DE12A3" w:rsidRDefault="002D7B36" w:rsidP="00E20716">
      <w:pPr>
        <w:pStyle w:val="ListeParagraf"/>
        <w:numPr>
          <w:ilvl w:val="0"/>
          <w:numId w:val="95"/>
        </w:numPr>
        <w:spacing w:before="120" w:after="120"/>
        <w:ind w:left="1134" w:hanging="1134"/>
        <w:contextualSpacing w:val="0"/>
        <w:jc w:val="both"/>
        <w:rPr>
          <w:rFonts w:eastAsia="Times New Roman" w:cs="Times New Roman"/>
          <w:vanish/>
          <w:color w:val="auto"/>
          <w:spacing w:val="3"/>
          <w:lang w:eastAsia="en-US"/>
        </w:rPr>
      </w:pPr>
    </w:p>
    <w:p w14:paraId="00D08EEC" w14:textId="77777777" w:rsidR="002D7B36" w:rsidRPr="00DE12A3" w:rsidRDefault="002D7B36" w:rsidP="00E20716">
      <w:pPr>
        <w:pStyle w:val="ListeParagraf"/>
        <w:numPr>
          <w:ilvl w:val="0"/>
          <w:numId w:val="95"/>
        </w:numPr>
        <w:spacing w:before="120" w:after="120"/>
        <w:ind w:left="1134" w:hanging="1134"/>
        <w:contextualSpacing w:val="0"/>
        <w:jc w:val="both"/>
        <w:rPr>
          <w:rFonts w:eastAsia="Times New Roman" w:cs="Times New Roman"/>
          <w:vanish/>
          <w:color w:val="auto"/>
          <w:spacing w:val="3"/>
          <w:lang w:eastAsia="en-US"/>
        </w:rPr>
      </w:pPr>
    </w:p>
    <w:p w14:paraId="5C07A3C3" w14:textId="77777777" w:rsidR="002D7B36" w:rsidRPr="00DE12A3" w:rsidRDefault="00242DA0" w:rsidP="00E20716">
      <w:pPr>
        <w:pStyle w:val="Gvdemetni250"/>
        <w:numPr>
          <w:ilvl w:val="0"/>
          <w:numId w:val="95"/>
        </w:numPr>
        <w:shd w:val="clear" w:color="auto" w:fill="auto"/>
        <w:spacing w:before="120" w:after="120" w:line="240" w:lineRule="auto"/>
        <w:ind w:left="1134" w:hanging="1134"/>
        <w:rPr>
          <w:sz w:val="24"/>
          <w:szCs w:val="24"/>
        </w:rPr>
      </w:pPr>
      <w:r w:rsidRPr="00DE12A3">
        <w:rPr>
          <w:sz w:val="24"/>
          <w:szCs w:val="24"/>
        </w:rPr>
        <w:t>Sayacın dondurulduğu süre zarfında söz konusu sayaçla ilgili bir arıza tespit edilirse, sayaç tutulduğu noktadan itibaren saymaya devam eder (bkz. Şekil 4.4).</w:t>
      </w:r>
    </w:p>
    <w:p w14:paraId="2C225A3E" w14:textId="77777777" w:rsidR="002D7B36" w:rsidRPr="00DE12A3" w:rsidRDefault="00242DA0" w:rsidP="00E20716">
      <w:pPr>
        <w:pStyle w:val="ListeParagraf"/>
        <w:numPr>
          <w:ilvl w:val="0"/>
          <w:numId w:val="84"/>
        </w:numPr>
        <w:tabs>
          <w:tab w:val="left" w:pos="1134"/>
        </w:tabs>
        <w:spacing w:before="120" w:after="120"/>
        <w:ind w:left="1134" w:hanging="1134"/>
        <w:jc w:val="both"/>
        <w:rPr>
          <w:rFonts w:cs="Times New Roman"/>
          <w:b/>
          <w:bCs/>
          <w:color w:val="auto"/>
        </w:rPr>
      </w:pPr>
      <w:r w:rsidRPr="00DE12A3">
        <w:rPr>
          <w:rFonts w:cs="Times New Roman"/>
          <w:b/>
          <w:bCs/>
          <w:color w:val="auto"/>
        </w:rPr>
        <w:t>Devreye</w:t>
      </w:r>
      <w:r w:rsidRPr="00DE12A3">
        <w:rPr>
          <w:rFonts w:cs="Times New Roman"/>
          <w:b/>
          <w:bCs/>
          <w:color w:val="auto"/>
          <w:spacing w:val="5"/>
        </w:rPr>
        <w:t xml:space="preserve"> girme ve devreden çıkma ve sayaç mekanizmalarının örneklerle açıklanması</w:t>
      </w:r>
    </w:p>
    <w:p w14:paraId="3CECB8C4" w14:textId="11EACF19" w:rsidR="002D7B36" w:rsidRPr="00DE12A3" w:rsidRDefault="00242DA0" w:rsidP="00E20716">
      <w:pPr>
        <w:pStyle w:val="Gvdemetni250"/>
        <w:numPr>
          <w:ilvl w:val="0"/>
          <w:numId w:val="98"/>
        </w:numPr>
        <w:shd w:val="clear" w:color="auto" w:fill="auto"/>
        <w:tabs>
          <w:tab w:val="left" w:pos="1134"/>
        </w:tabs>
        <w:spacing w:before="120" w:after="120" w:line="240" w:lineRule="auto"/>
        <w:ind w:left="1134" w:hanging="1134"/>
        <w:rPr>
          <w:sz w:val="24"/>
          <w:szCs w:val="24"/>
        </w:rPr>
      </w:pPr>
      <w:r w:rsidRPr="00DE12A3">
        <w:rPr>
          <w:sz w:val="24"/>
          <w:szCs w:val="24"/>
        </w:rPr>
        <w:t xml:space="preserve">Bu </w:t>
      </w:r>
      <w:r w:rsidR="00721C89" w:rsidRPr="00DE12A3">
        <w:rPr>
          <w:sz w:val="24"/>
          <w:szCs w:val="24"/>
        </w:rPr>
        <w:t>Bölüm</w:t>
      </w:r>
      <w:r w:rsidRPr="00DE12A3">
        <w:rPr>
          <w:sz w:val="24"/>
          <w:szCs w:val="24"/>
        </w:rPr>
        <w:t xml:space="preserve">de, bazı tipik durumlar için devreye girme ve devreden çıkma ve sayaç mekanizmaları örneklerle açıklanmaktadır. 12.2, 12.3 ve 12.4 bentlerinde verilen </w:t>
      </w:r>
      <w:r w:rsidR="00B5565B" w:rsidRPr="00DE12A3">
        <w:rPr>
          <w:sz w:val="24"/>
          <w:szCs w:val="24"/>
        </w:rPr>
        <w:t>ş</w:t>
      </w:r>
      <w:r w:rsidRPr="00DE12A3">
        <w:rPr>
          <w:sz w:val="24"/>
          <w:szCs w:val="24"/>
        </w:rPr>
        <w:t xml:space="preserve">ekiller ve açıklamalar bu Açıklayıcı Ek içinde sadece örneklerle açıklama amacıyla sağlanmıştır ve bunlara ne bu </w:t>
      </w:r>
      <w:r w:rsidR="00B5565B" w:rsidRPr="00DE12A3">
        <w:rPr>
          <w:sz w:val="24"/>
          <w:szCs w:val="24"/>
        </w:rPr>
        <w:t>T</w:t>
      </w:r>
      <w:r w:rsidR="00EE5D5E" w:rsidRPr="00DE12A3">
        <w:rPr>
          <w:sz w:val="24"/>
          <w:szCs w:val="24"/>
        </w:rPr>
        <w:t>ebliğin</w:t>
      </w:r>
      <w:r w:rsidRPr="00DE12A3">
        <w:rPr>
          <w:sz w:val="24"/>
          <w:szCs w:val="24"/>
        </w:rPr>
        <w:t xml:space="preserve"> </w:t>
      </w:r>
      <w:r w:rsidR="0053289F" w:rsidRPr="00DE12A3">
        <w:rPr>
          <w:sz w:val="24"/>
          <w:szCs w:val="24"/>
        </w:rPr>
        <w:t>gerekliliklerine</w:t>
      </w:r>
      <w:r w:rsidRPr="00DE12A3">
        <w:rPr>
          <w:sz w:val="24"/>
          <w:szCs w:val="24"/>
        </w:rPr>
        <w:t xml:space="preserve"> ilişkin örnekler olarak ne de ilgili süreçlerin kesin ifadeleri olarak başvurulmamalıdır. Şekil 4.6 ve 4.7'deki sayaç saatleri, Tablo 4.4'teki azami ağır seviye ikna değerlerini ifade eder. Basitleştirmek amacıyla, örneğin, uyarı sistemi devredeyken ikna sisteminin de devrede olacağı gerçeği verilen örnekli açıklamalarda belirtilmemiştir.</w:t>
      </w:r>
    </w:p>
    <w:p w14:paraId="6079128A" w14:textId="77777777" w:rsidR="002D7B36" w:rsidRDefault="00242DA0" w:rsidP="00C917D6">
      <w:pPr>
        <w:pStyle w:val="Gvdemetni250"/>
        <w:spacing w:before="120" w:after="120" w:line="240" w:lineRule="auto"/>
        <w:ind w:left="709" w:hanging="709"/>
        <w:jc w:val="center"/>
        <w:rPr>
          <w:sz w:val="24"/>
          <w:szCs w:val="24"/>
        </w:rPr>
      </w:pPr>
      <w:r w:rsidRPr="00DE12A3">
        <w:rPr>
          <w:sz w:val="24"/>
          <w:szCs w:val="24"/>
        </w:rPr>
        <w:t>Şekil 4.4</w:t>
      </w:r>
    </w:p>
    <w:p w14:paraId="32E07A09" w14:textId="4B5976E9" w:rsidR="00381FB4" w:rsidRPr="00381FB4" w:rsidRDefault="00381FB4" w:rsidP="00C917D6">
      <w:pPr>
        <w:pStyle w:val="Gvdemetni250"/>
        <w:spacing w:before="120" w:after="120" w:line="240" w:lineRule="auto"/>
        <w:ind w:left="709" w:hanging="709"/>
        <w:jc w:val="center"/>
        <w:rPr>
          <w:b/>
          <w:sz w:val="24"/>
          <w:szCs w:val="24"/>
        </w:rPr>
      </w:pPr>
      <w:r w:rsidRPr="00381FB4">
        <w:rPr>
          <w:b/>
          <w:sz w:val="24"/>
          <w:szCs w:val="24"/>
        </w:rPr>
        <w:t>(Değişik:RG-27/9/2022-31966)</w:t>
      </w:r>
      <w:r w:rsidRPr="00381FB4">
        <w:rPr>
          <w:b/>
          <w:sz w:val="24"/>
          <w:szCs w:val="24"/>
          <w:vertAlign w:val="superscript"/>
        </w:rPr>
        <w:t>(Bu değişiklik 1/10/2022 tarihinde yürürlüğe girer.)</w:t>
      </w:r>
    </w:p>
    <w:p w14:paraId="5AE824BA" w14:textId="77777777" w:rsidR="00381FB4" w:rsidRPr="00381FB4" w:rsidRDefault="00381FB4" w:rsidP="00381FB4">
      <w:pPr>
        <w:pStyle w:val="Gvdemetni250"/>
        <w:spacing w:before="120" w:after="120"/>
        <w:ind w:left="709" w:hanging="709"/>
        <w:jc w:val="center"/>
        <w:rPr>
          <w:b/>
          <w:sz w:val="22"/>
          <w:szCs w:val="22"/>
        </w:rPr>
      </w:pPr>
      <w:r w:rsidRPr="00381FB4">
        <w:rPr>
          <w:b/>
          <w:sz w:val="22"/>
          <w:szCs w:val="22"/>
        </w:rPr>
        <w:t>Bir sayacın, değeri dondurulduğunda bir süre sonra yeniden devreye girmesi ve sıfırlanması</w:t>
      </w:r>
    </w:p>
    <w:p w14:paraId="022D5354" w14:textId="7F37A529" w:rsidR="002D7B36" w:rsidRPr="00DE12A3" w:rsidRDefault="00381FB4" w:rsidP="00C917D6">
      <w:pPr>
        <w:pStyle w:val="Gvdemetni250"/>
        <w:shd w:val="clear" w:color="auto" w:fill="auto"/>
        <w:spacing w:before="120" w:after="120" w:line="240" w:lineRule="auto"/>
        <w:ind w:left="709" w:hanging="709"/>
        <w:rPr>
          <w:sz w:val="20"/>
          <w:szCs w:val="20"/>
        </w:rPr>
      </w:pPr>
      <w:r w:rsidRPr="00B47DC9">
        <w:rPr>
          <w:noProof/>
          <w:sz w:val="24"/>
          <w:szCs w:val="24"/>
          <w:lang w:eastAsia="tr-TR"/>
        </w:rPr>
        <w:drawing>
          <wp:inline distT="0" distB="0" distL="0" distR="0" wp14:anchorId="14C80325" wp14:editId="582D4F9F">
            <wp:extent cx="5511734" cy="3503221"/>
            <wp:effectExtent l="0" t="0" r="0" b="2540"/>
            <wp:docPr id="4" name="Res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515061" cy="3505335"/>
                    </a:xfrm>
                    <a:prstGeom prst="rect">
                      <a:avLst/>
                    </a:prstGeom>
                    <a:noFill/>
                    <a:ln>
                      <a:noFill/>
                    </a:ln>
                  </pic:spPr>
                </pic:pic>
              </a:graphicData>
            </a:graphic>
          </wp:inline>
        </w:drawing>
      </w:r>
    </w:p>
    <w:p w14:paraId="1FE26CDF" w14:textId="39D63029" w:rsidR="002D7B36" w:rsidRPr="00DE12A3" w:rsidRDefault="00381FB4" w:rsidP="00381FB4">
      <w:pPr>
        <w:pStyle w:val="Gvdemetni250"/>
        <w:shd w:val="clear" w:color="auto" w:fill="auto"/>
        <w:spacing w:before="120" w:after="120" w:line="240" w:lineRule="auto"/>
        <w:ind w:left="709" w:hanging="709"/>
        <w:jc w:val="center"/>
        <w:rPr>
          <w:sz w:val="20"/>
          <w:szCs w:val="20"/>
        </w:rPr>
      </w:pPr>
      <w:r w:rsidRPr="00B47DC9">
        <w:rPr>
          <w:sz w:val="24"/>
          <w:szCs w:val="24"/>
        </w:rPr>
        <w:t>Burada “X” 36 çalışma saatinden daha az olamaz.</w:t>
      </w:r>
    </w:p>
    <w:p w14:paraId="5F417F77" w14:textId="77777777" w:rsidR="002D7B36" w:rsidRPr="00DE12A3" w:rsidRDefault="00242DA0" w:rsidP="00E20716">
      <w:pPr>
        <w:pStyle w:val="Gvdemetni250"/>
        <w:numPr>
          <w:ilvl w:val="0"/>
          <w:numId w:val="98"/>
        </w:numPr>
        <w:shd w:val="clear" w:color="auto" w:fill="auto"/>
        <w:tabs>
          <w:tab w:val="left" w:pos="1134"/>
        </w:tabs>
        <w:spacing w:before="120" w:after="120" w:line="240" w:lineRule="auto"/>
        <w:ind w:left="1134" w:hanging="1276"/>
        <w:rPr>
          <w:sz w:val="24"/>
          <w:szCs w:val="24"/>
        </w:rPr>
      </w:pPr>
      <w:r w:rsidRPr="00DE12A3">
        <w:rPr>
          <w:sz w:val="24"/>
          <w:szCs w:val="24"/>
        </w:rPr>
        <w:t>Şekil 4.5, dört durum için ayıraç miktarını izlerken, devreye girme ve devreden çıkma mekanizmalarının işleyişini göstermektedir:</w:t>
      </w:r>
    </w:p>
    <w:p w14:paraId="6EC3D810" w14:textId="78179A8A" w:rsidR="002D7B36" w:rsidRPr="00DE12A3" w:rsidRDefault="009A4172" w:rsidP="00E20716">
      <w:pPr>
        <w:pStyle w:val="Gvdemetni250"/>
        <w:numPr>
          <w:ilvl w:val="0"/>
          <w:numId w:val="99"/>
        </w:numPr>
        <w:shd w:val="clear" w:color="auto" w:fill="auto"/>
        <w:spacing w:before="120" w:after="120" w:line="240" w:lineRule="auto"/>
        <w:ind w:left="1134" w:firstLine="0"/>
        <w:rPr>
          <w:sz w:val="24"/>
          <w:szCs w:val="24"/>
        </w:rPr>
      </w:pPr>
      <w:r w:rsidRPr="00DE12A3">
        <w:rPr>
          <w:sz w:val="24"/>
          <w:szCs w:val="24"/>
        </w:rPr>
        <w:t>K</w:t>
      </w:r>
      <w:r w:rsidR="00242DA0" w:rsidRPr="00DE12A3">
        <w:rPr>
          <w:sz w:val="24"/>
          <w:szCs w:val="24"/>
        </w:rPr>
        <w:t>ullanım senaryosu 1: Operatör, uyarıya rağmen, karayolu dışında kulanılan hareketli makina çalışmayı bırakana kadar karayolu dışında kulanılan hareketli makinayı çalıştırmaya devam eder</w:t>
      </w:r>
      <w:r w:rsidR="00B5565B" w:rsidRPr="00DE12A3">
        <w:rPr>
          <w:sz w:val="24"/>
          <w:szCs w:val="24"/>
        </w:rPr>
        <w:t>.</w:t>
      </w:r>
    </w:p>
    <w:p w14:paraId="6A44C3DD" w14:textId="3C90A3A2" w:rsidR="002D7B36" w:rsidRPr="00DE12A3" w:rsidRDefault="009A4172" w:rsidP="00E20716">
      <w:pPr>
        <w:pStyle w:val="Gvdemetni0"/>
        <w:numPr>
          <w:ilvl w:val="0"/>
          <w:numId w:val="100"/>
        </w:numPr>
        <w:shd w:val="clear" w:color="auto" w:fill="auto"/>
        <w:tabs>
          <w:tab w:val="left" w:pos="1134"/>
          <w:tab w:val="left" w:pos="1418"/>
          <w:tab w:val="left" w:pos="1560"/>
        </w:tabs>
        <w:spacing w:before="120" w:after="120" w:line="240" w:lineRule="auto"/>
        <w:ind w:left="1134" w:firstLine="0"/>
        <w:jc w:val="both"/>
        <w:rPr>
          <w:sz w:val="24"/>
          <w:szCs w:val="24"/>
        </w:rPr>
      </w:pPr>
      <w:r w:rsidRPr="00DE12A3">
        <w:rPr>
          <w:sz w:val="24"/>
          <w:szCs w:val="24"/>
        </w:rPr>
        <w:t>İ</w:t>
      </w:r>
      <w:r w:rsidR="00242DA0" w:rsidRPr="00DE12A3">
        <w:rPr>
          <w:sz w:val="24"/>
          <w:szCs w:val="24"/>
        </w:rPr>
        <w:t>kmal senaryosu 1 ("yeterli" ikmal): Operatör, ayıraç tankını %10 eşik değerinin üzerinde bir seviyeye ulaşacak şekilde doldurur. Uyarı ve ikna sistemleri devreden çıkar</w:t>
      </w:r>
      <w:r w:rsidR="00B5565B" w:rsidRPr="00DE12A3">
        <w:rPr>
          <w:sz w:val="24"/>
          <w:szCs w:val="24"/>
        </w:rPr>
        <w:t>.</w:t>
      </w:r>
    </w:p>
    <w:p w14:paraId="6B1ADE68" w14:textId="13E24F4D" w:rsidR="002D7B36" w:rsidRPr="00DE12A3" w:rsidRDefault="009A4172" w:rsidP="00E20716">
      <w:pPr>
        <w:pStyle w:val="Gvdemetni0"/>
        <w:numPr>
          <w:ilvl w:val="0"/>
          <w:numId w:val="100"/>
        </w:numPr>
        <w:shd w:val="clear" w:color="auto" w:fill="auto"/>
        <w:tabs>
          <w:tab w:val="left" w:pos="426"/>
        </w:tabs>
        <w:spacing w:before="120" w:after="120" w:line="240" w:lineRule="auto"/>
        <w:ind w:left="1134" w:firstLine="0"/>
        <w:jc w:val="both"/>
        <w:rPr>
          <w:sz w:val="24"/>
          <w:szCs w:val="24"/>
        </w:rPr>
      </w:pPr>
      <w:r w:rsidRPr="00DE12A3">
        <w:rPr>
          <w:sz w:val="24"/>
          <w:szCs w:val="24"/>
        </w:rPr>
        <w:t xml:space="preserve"> İ</w:t>
      </w:r>
      <w:r w:rsidR="00242DA0" w:rsidRPr="00DE12A3">
        <w:rPr>
          <w:sz w:val="24"/>
          <w:szCs w:val="24"/>
        </w:rPr>
        <w:t>kmal senaryoları 2 ve 3 (“yetersiz” ikmal): Uyarı sistemi devreye girer. Uyarı seviyesi, mevcut ayıraç miktarına bağlıdır</w:t>
      </w:r>
      <w:r w:rsidR="00B5565B" w:rsidRPr="00DE12A3">
        <w:rPr>
          <w:sz w:val="24"/>
          <w:szCs w:val="24"/>
        </w:rPr>
        <w:t>.</w:t>
      </w:r>
    </w:p>
    <w:p w14:paraId="00D335EB" w14:textId="77777777" w:rsidR="002D7B36" w:rsidRPr="00DE12A3" w:rsidRDefault="009A4172" w:rsidP="00E20716">
      <w:pPr>
        <w:pStyle w:val="Gvdemetni0"/>
        <w:numPr>
          <w:ilvl w:val="0"/>
          <w:numId w:val="100"/>
        </w:numPr>
        <w:shd w:val="clear" w:color="auto" w:fill="auto"/>
        <w:tabs>
          <w:tab w:val="left" w:pos="426"/>
          <w:tab w:val="left" w:pos="1134"/>
          <w:tab w:val="left" w:pos="1418"/>
          <w:tab w:val="left" w:pos="1560"/>
        </w:tabs>
        <w:spacing w:before="120" w:after="120" w:line="240" w:lineRule="auto"/>
        <w:ind w:left="1134" w:firstLine="0"/>
        <w:jc w:val="both"/>
        <w:rPr>
          <w:sz w:val="24"/>
          <w:szCs w:val="24"/>
        </w:rPr>
      </w:pPr>
      <w:r w:rsidRPr="00DE12A3">
        <w:rPr>
          <w:sz w:val="24"/>
          <w:szCs w:val="24"/>
        </w:rPr>
        <w:lastRenderedPageBreak/>
        <w:t>İ</w:t>
      </w:r>
      <w:r w:rsidR="00242DA0" w:rsidRPr="00DE12A3">
        <w:rPr>
          <w:sz w:val="24"/>
          <w:szCs w:val="24"/>
        </w:rPr>
        <w:t>kmal senaryosu 4 (“çok yetersiz” ikmal): Düşük seviye ikna derhal devreye girer.</w:t>
      </w:r>
    </w:p>
    <w:p w14:paraId="41C82ED8" w14:textId="77777777" w:rsidR="009A4172" w:rsidRPr="00DE12A3" w:rsidRDefault="009A4172" w:rsidP="00C917D6">
      <w:pPr>
        <w:pStyle w:val="Gvdemetni0"/>
        <w:shd w:val="clear" w:color="auto" w:fill="auto"/>
        <w:tabs>
          <w:tab w:val="left" w:pos="426"/>
        </w:tabs>
        <w:spacing w:before="120" w:after="120" w:line="240" w:lineRule="auto"/>
        <w:ind w:left="1134" w:firstLine="0"/>
        <w:jc w:val="both"/>
        <w:rPr>
          <w:sz w:val="24"/>
          <w:szCs w:val="24"/>
        </w:rPr>
      </w:pPr>
    </w:p>
    <w:p w14:paraId="37B9F055" w14:textId="77777777" w:rsidR="002D7B36" w:rsidRPr="00DE12A3" w:rsidRDefault="00242DA0" w:rsidP="00C917D6">
      <w:pPr>
        <w:pStyle w:val="Gvdemetni250"/>
        <w:spacing w:before="120" w:after="120" w:line="240" w:lineRule="auto"/>
        <w:ind w:left="709" w:hanging="709"/>
        <w:jc w:val="center"/>
        <w:rPr>
          <w:spacing w:val="4"/>
          <w:sz w:val="24"/>
          <w:szCs w:val="24"/>
        </w:rPr>
      </w:pPr>
      <w:r w:rsidRPr="00DE12A3">
        <w:rPr>
          <w:spacing w:val="4"/>
          <w:sz w:val="24"/>
          <w:szCs w:val="24"/>
        </w:rPr>
        <w:t>Şekil 4.5</w:t>
      </w:r>
    </w:p>
    <w:p w14:paraId="7345C657" w14:textId="77777777" w:rsidR="002D7B36" w:rsidRPr="00DE12A3" w:rsidRDefault="00242DA0" w:rsidP="00C917D6">
      <w:pPr>
        <w:pStyle w:val="Gvdemetni250"/>
        <w:shd w:val="clear" w:color="auto" w:fill="auto"/>
        <w:spacing w:before="120" w:after="120" w:line="240" w:lineRule="auto"/>
        <w:ind w:left="709" w:hanging="709"/>
        <w:jc w:val="center"/>
        <w:rPr>
          <w:b/>
          <w:spacing w:val="4"/>
          <w:sz w:val="24"/>
          <w:szCs w:val="24"/>
        </w:rPr>
      </w:pPr>
      <w:r w:rsidRPr="00DE12A3">
        <w:rPr>
          <w:b/>
          <w:spacing w:val="4"/>
          <w:sz w:val="24"/>
          <w:szCs w:val="24"/>
        </w:rPr>
        <w:t>Ayıraç yeterliliği</w:t>
      </w:r>
    </w:p>
    <w:p w14:paraId="56D6F329" w14:textId="3DB184D3" w:rsidR="002D7B36" w:rsidRPr="00DE12A3" w:rsidRDefault="00242DA0" w:rsidP="00C917D6">
      <w:pPr>
        <w:pStyle w:val="Gvdemetni250"/>
        <w:shd w:val="clear" w:color="auto" w:fill="auto"/>
        <w:spacing w:before="120" w:after="120" w:line="240" w:lineRule="auto"/>
        <w:ind w:left="709" w:hanging="709"/>
        <w:rPr>
          <w:b/>
          <w:spacing w:val="4"/>
          <w:sz w:val="20"/>
          <w:szCs w:val="20"/>
        </w:rPr>
      </w:pPr>
      <w:r w:rsidRPr="00DE12A3">
        <w:rPr>
          <w:noProof/>
          <w:lang w:eastAsia="tr-TR"/>
        </w:rPr>
        <w:drawing>
          <wp:inline distT="0" distB="0" distL="0" distR="0" wp14:anchorId="6300AA84" wp14:editId="11B318D6">
            <wp:extent cx="5410800" cy="4482000"/>
            <wp:effectExtent l="0" t="0" r="0" b="0"/>
            <wp:docPr id="7"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9"/>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a:xfrm>
                      <a:off x="0" y="0"/>
                      <a:ext cx="5410800" cy="4482000"/>
                    </a:xfrm>
                    <a:prstGeom prst="rect">
                      <a:avLst/>
                    </a:prstGeom>
                    <a:noFill/>
                    <a:ln>
                      <a:noFill/>
                    </a:ln>
                  </pic:spPr>
                </pic:pic>
              </a:graphicData>
            </a:graphic>
          </wp:inline>
        </w:drawing>
      </w:r>
    </w:p>
    <w:p w14:paraId="0F3B59F8" w14:textId="77777777" w:rsidR="002D7B36" w:rsidRPr="00DE12A3" w:rsidRDefault="002D7B36" w:rsidP="00C917D6">
      <w:pPr>
        <w:spacing w:before="120" w:after="120"/>
        <w:ind w:left="709" w:hanging="709"/>
        <w:jc w:val="both"/>
        <w:rPr>
          <w:rFonts w:cs="Times New Roman"/>
          <w:color w:val="auto"/>
          <w:lang w:eastAsia="en-US"/>
        </w:rPr>
      </w:pPr>
    </w:p>
    <w:p w14:paraId="3D5F524C" w14:textId="1FB68C98" w:rsidR="002D7B36" w:rsidRPr="00DE12A3" w:rsidRDefault="00242DA0" w:rsidP="00E20716">
      <w:pPr>
        <w:pStyle w:val="Gvdemetni0"/>
        <w:numPr>
          <w:ilvl w:val="1"/>
          <w:numId w:val="101"/>
        </w:numPr>
        <w:shd w:val="clear" w:color="auto" w:fill="auto"/>
        <w:spacing w:before="120" w:after="120" w:line="240" w:lineRule="auto"/>
        <w:ind w:left="1134" w:hanging="1134"/>
        <w:jc w:val="both"/>
        <w:rPr>
          <w:sz w:val="24"/>
          <w:szCs w:val="24"/>
        </w:rPr>
      </w:pPr>
      <w:r w:rsidRPr="00DE12A3">
        <w:rPr>
          <w:sz w:val="24"/>
          <w:szCs w:val="24"/>
        </w:rPr>
        <w:t>Şekil 4.6'</w:t>
      </w:r>
      <w:r w:rsidR="001F4F5F" w:rsidRPr="00DE12A3">
        <w:rPr>
          <w:sz w:val="24"/>
          <w:szCs w:val="24"/>
        </w:rPr>
        <w:t>da</w:t>
      </w:r>
      <w:r w:rsidRPr="00DE12A3">
        <w:rPr>
          <w:sz w:val="24"/>
          <w:szCs w:val="24"/>
        </w:rPr>
        <w:t xml:space="preserve"> yanlış ayıraç kalitesine ilişkin üç senaryo gösterilmektedir:</w:t>
      </w:r>
    </w:p>
    <w:p w14:paraId="0CE5043B" w14:textId="5DFB9820" w:rsidR="002D7B36" w:rsidRPr="00DE12A3" w:rsidRDefault="00127D94" w:rsidP="00E20716">
      <w:pPr>
        <w:pStyle w:val="Gvdemetni0"/>
        <w:numPr>
          <w:ilvl w:val="0"/>
          <w:numId w:val="102"/>
        </w:numPr>
        <w:shd w:val="clear" w:color="auto" w:fill="auto"/>
        <w:spacing w:before="120" w:after="120" w:line="240" w:lineRule="auto"/>
        <w:ind w:left="1134" w:firstLine="0"/>
        <w:jc w:val="both"/>
        <w:rPr>
          <w:sz w:val="24"/>
          <w:szCs w:val="24"/>
        </w:rPr>
      </w:pPr>
      <w:r w:rsidRPr="00DE12A3">
        <w:rPr>
          <w:sz w:val="24"/>
          <w:szCs w:val="24"/>
        </w:rPr>
        <w:t xml:space="preserve"> </w:t>
      </w:r>
      <w:r w:rsidR="009A4172" w:rsidRPr="00DE12A3">
        <w:rPr>
          <w:sz w:val="24"/>
          <w:szCs w:val="24"/>
        </w:rPr>
        <w:t>K</w:t>
      </w:r>
      <w:r w:rsidR="00242DA0" w:rsidRPr="00DE12A3">
        <w:rPr>
          <w:sz w:val="24"/>
          <w:szCs w:val="24"/>
        </w:rPr>
        <w:t>ullanım senaryosu 1: Operatör, uyarıya rağmen, karayolu dışında kulanılan hareketli makina çalışmayı bırakana kadar karayolu dışında kulanılan hareketli makinayı çalıştırmaya devam eder;</w:t>
      </w:r>
    </w:p>
    <w:p w14:paraId="48DFFE03" w14:textId="2F9B236C" w:rsidR="002D7B36" w:rsidRPr="00DE12A3" w:rsidRDefault="009A4172" w:rsidP="00E20716">
      <w:pPr>
        <w:pStyle w:val="Gvdemetni0"/>
        <w:numPr>
          <w:ilvl w:val="0"/>
          <w:numId w:val="102"/>
        </w:numPr>
        <w:shd w:val="clear" w:color="auto" w:fill="auto"/>
        <w:tabs>
          <w:tab w:val="left" w:pos="567"/>
          <w:tab w:val="left" w:pos="1134"/>
          <w:tab w:val="left" w:pos="1276"/>
          <w:tab w:val="left" w:pos="1418"/>
          <w:tab w:val="left" w:pos="1560"/>
        </w:tabs>
        <w:spacing w:before="120" w:after="120" w:line="240" w:lineRule="auto"/>
        <w:ind w:left="1134" w:firstLine="0"/>
        <w:jc w:val="both"/>
        <w:rPr>
          <w:sz w:val="24"/>
          <w:szCs w:val="24"/>
        </w:rPr>
      </w:pPr>
      <w:r w:rsidRPr="00DE12A3">
        <w:rPr>
          <w:sz w:val="24"/>
          <w:szCs w:val="24"/>
        </w:rPr>
        <w:t>T</w:t>
      </w:r>
      <w:r w:rsidR="00242DA0" w:rsidRPr="00DE12A3">
        <w:rPr>
          <w:sz w:val="24"/>
          <w:szCs w:val="24"/>
        </w:rPr>
        <w:t xml:space="preserve">amir senaryosu 1 ("kötü" veya "aldatıcı" tamir): </w:t>
      </w:r>
      <w:r w:rsidR="00B5565B" w:rsidRPr="00DE12A3">
        <w:rPr>
          <w:sz w:val="24"/>
          <w:szCs w:val="24"/>
        </w:rPr>
        <w:t>K</w:t>
      </w:r>
      <w:r w:rsidR="00242DA0" w:rsidRPr="00DE12A3">
        <w:rPr>
          <w:sz w:val="24"/>
          <w:szCs w:val="24"/>
        </w:rPr>
        <w:t>arayolu dışında kullanılan hareketli makinanın çalışmamasının ardından, operatör ayıracın kalitesini değiştirir</w:t>
      </w:r>
      <w:r w:rsidR="00B5565B" w:rsidRPr="00DE12A3">
        <w:rPr>
          <w:sz w:val="24"/>
          <w:szCs w:val="24"/>
        </w:rPr>
        <w:t>.</w:t>
      </w:r>
      <w:r w:rsidR="00242DA0" w:rsidRPr="00DE12A3">
        <w:rPr>
          <w:sz w:val="24"/>
          <w:szCs w:val="24"/>
        </w:rPr>
        <w:t xml:space="preserve"> </w:t>
      </w:r>
      <w:r w:rsidR="00B5565B" w:rsidRPr="00DE12A3">
        <w:rPr>
          <w:sz w:val="24"/>
          <w:szCs w:val="24"/>
        </w:rPr>
        <w:t>A</w:t>
      </w:r>
      <w:r w:rsidR="00242DA0" w:rsidRPr="00DE12A3">
        <w:rPr>
          <w:sz w:val="24"/>
          <w:szCs w:val="24"/>
        </w:rPr>
        <w:t>ncak kısa bir süre sonra düşük kaliteli bir ayıraç ile tekrar değiştirir. İkna sistemi derhal tekrar devreye girer ve motor 2 saat çalıştıktan sonra karayolu dışında kullanılan hareketli makina çalışmaz hale gelir.</w:t>
      </w:r>
    </w:p>
    <w:p w14:paraId="542083DE" w14:textId="6DAAC3BE" w:rsidR="002D7B36" w:rsidRPr="00DE12A3" w:rsidRDefault="00127D94" w:rsidP="00E20716">
      <w:pPr>
        <w:pStyle w:val="Gvdemetni0"/>
        <w:numPr>
          <w:ilvl w:val="0"/>
          <w:numId w:val="96"/>
        </w:numPr>
        <w:shd w:val="clear" w:color="auto" w:fill="auto"/>
        <w:tabs>
          <w:tab w:val="left" w:pos="567"/>
        </w:tabs>
        <w:spacing w:before="120" w:after="120" w:line="240" w:lineRule="auto"/>
        <w:ind w:left="1134" w:firstLine="0"/>
        <w:jc w:val="both"/>
        <w:rPr>
          <w:sz w:val="24"/>
          <w:szCs w:val="24"/>
        </w:rPr>
      </w:pPr>
      <w:r w:rsidRPr="00DE12A3">
        <w:rPr>
          <w:sz w:val="24"/>
          <w:szCs w:val="24"/>
        </w:rPr>
        <w:t xml:space="preserve"> </w:t>
      </w:r>
      <w:r w:rsidR="009A4172" w:rsidRPr="00DE12A3">
        <w:rPr>
          <w:sz w:val="24"/>
          <w:szCs w:val="24"/>
        </w:rPr>
        <w:t>T</w:t>
      </w:r>
      <w:r w:rsidR="00242DA0" w:rsidRPr="00DE12A3">
        <w:rPr>
          <w:sz w:val="24"/>
          <w:szCs w:val="24"/>
        </w:rPr>
        <w:t xml:space="preserve">amir senaryosu 2 ("iyi" tamir): </w:t>
      </w:r>
      <w:r w:rsidR="00B5565B" w:rsidRPr="00DE12A3">
        <w:rPr>
          <w:sz w:val="24"/>
          <w:szCs w:val="24"/>
        </w:rPr>
        <w:t>K</w:t>
      </w:r>
      <w:r w:rsidR="00242DA0" w:rsidRPr="00DE12A3">
        <w:rPr>
          <w:sz w:val="24"/>
          <w:szCs w:val="24"/>
        </w:rPr>
        <w:t>arayolu dışında kullanılan hareketli makina çalışmaz hale geldikten sonra, operatör ayıracın kalitesini düzeltir. Ancak bir süre sonra yine düşük kalitede bir ayıraç ile doldurur. Uyarı, ikna ve sayım süreçleri tekrar sıfırdan başlar.</w:t>
      </w:r>
    </w:p>
    <w:p w14:paraId="202A7BB8" w14:textId="77777777" w:rsidR="008E6900" w:rsidRPr="00DE12A3" w:rsidRDefault="008E6900" w:rsidP="00C917D6">
      <w:pPr>
        <w:pStyle w:val="Gvdemetni0"/>
        <w:shd w:val="clear" w:color="auto" w:fill="auto"/>
        <w:tabs>
          <w:tab w:val="left" w:pos="567"/>
        </w:tabs>
        <w:spacing w:before="120" w:after="120" w:line="240" w:lineRule="auto"/>
        <w:ind w:firstLine="0"/>
        <w:jc w:val="both"/>
        <w:rPr>
          <w:sz w:val="24"/>
          <w:szCs w:val="24"/>
        </w:rPr>
      </w:pPr>
    </w:p>
    <w:p w14:paraId="18D9117F" w14:textId="77777777" w:rsidR="008E6900" w:rsidRPr="00DE12A3" w:rsidRDefault="008E6900" w:rsidP="00C917D6">
      <w:pPr>
        <w:pStyle w:val="Gvdemetni0"/>
        <w:shd w:val="clear" w:color="auto" w:fill="auto"/>
        <w:tabs>
          <w:tab w:val="left" w:pos="567"/>
        </w:tabs>
        <w:spacing w:before="120" w:after="120" w:line="240" w:lineRule="auto"/>
        <w:ind w:firstLine="0"/>
        <w:jc w:val="both"/>
        <w:rPr>
          <w:sz w:val="24"/>
          <w:szCs w:val="24"/>
        </w:rPr>
      </w:pPr>
    </w:p>
    <w:p w14:paraId="49BF9140" w14:textId="77777777" w:rsidR="00FD681E" w:rsidRPr="00DE12A3" w:rsidRDefault="00FD681E" w:rsidP="00C917D6">
      <w:pPr>
        <w:pStyle w:val="Gvdemetni50"/>
        <w:shd w:val="clear" w:color="auto" w:fill="auto"/>
        <w:spacing w:before="120" w:after="120" w:line="240" w:lineRule="auto"/>
        <w:ind w:left="709" w:hanging="709"/>
        <w:jc w:val="center"/>
        <w:rPr>
          <w:rStyle w:val="Gvdemetni5KalnDeiltalik"/>
          <w:i w:val="0"/>
          <w:color w:val="auto"/>
          <w:sz w:val="24"/>
          <w:szCs w:val="24"/>
        </w:rPr>
      </w:pPr>
    </w:p>
    <w:p w14:paraId="5A80EBD5" w14:textId="5D59668A" w:rsidR="002D7B36" w:rsidRDefault="00242DA0" w:rsidP="00C917D6">
      <w:pPr>
        <w:pStyle w:val="Gvdemetni50"/>
        <w:shd w:val="clear" w:color="auto" w:fill="auto"/>
        <w:spacing w:before="120" w:after="120" w:line="240" w:lineRule="auto"/>
        <w:ind w:left="709" w:hanging="709"/>
        <w:jc w:val="center"/>
        <w:rPr>
          <w:rStyle w:val="Gvdemetni5KalnDeiltalik"/>
          <w:i w:val="0"/>
          <w:color w:val="auto"/>
          <w:sz w:val="24"/>
          <w:szCs w:val="24"/>
        </w:rPr>
      </w:pPr>
      <w:r w:rsidRPr="00DE12A3">
        <w:rPr>
          <w:rStyle w:val="Gvdemetni5KalnDeiltalik"/>
          <w:i w:val="0"/>
          <w:color w:val="auto"/>
          <w:sz w:val="24"/>
          <w:szCs w:val="24"/>
        </w:rPr>
        <w:lastRenderedPageBreak/>
        <w:t>Şekil 4.6</w:t>
      </w:r>
    </w:p>
    <w:p w14:paraId="0A870125" w14:textId="77777777" w:rsidR="00381FB4" w:rsidRPr="00381FB4" w:rsidRDefault="00381FB4" w:rsidP="00381FB4">
      <w:pPr>
        <w:pStyle w:val="Gvdemetni250"/>
        <w:spacing w:before="120" w:after="120" w:line="240" w:lineRule="auto"/>
        <w:ind w:left="709" w:hanging="709"/>
        <w:jc w:val="center"/>
        <w:rPr>
          <w:b/>
          <w:sz w:val="24"/>
          <w:szCs w:val="24"/>
        </w:rPr>
      </w:pPr>
      <w:r w:rsidRPr="00381FB4">
        <w:rPr>
          <w:b/>
          <w:sz w:val="24"/>
          <w:szCs w:val="24"/>
        </w:rPr>
        <w:t>(Değişik:RG-27/9/2022-31966)</w:t>
      </w:r>
      <w:r w:rsidRPr="00381FB4">
        <w:rPr>
          <w:b/>
          <w:sz w:val="24"/>
          <w:szCs w:val="24"/>
          <w:vertAlign w:val="superscript"/>
        </w:rPr>
        <w:t>(Bu değişiklik 1/10/2022 tarihinde yürürlüğe girer.)</w:t>
      </w:r>
    </w:p>
    <w:p w14:paraId="30456CDC" w14:textId="77777777" w:rsidR="00381FB4" w:rsidRDefault="00381FB4" w:rsidP="00381FB4">
      <w:pPr>
        <w:pStyle w:val="Gvdemetni0"/>
        <w:shd w:val="clear" w:color="auto" w:fill="auto"/>
        <w:tabs>
          <w:tab w:val="left" w:pos="9072"/>
        </w:tabs>
        <w:spacing w:before="120" w:after="120" w:line="240" w:lineRule="auto"/>
        <w:ind w:left="709" w:hanging="709"/>
        <w:rPr>
          <w:rStyle w:val="Gvdemetni50ptbolukbraklyor"/>
          <w:rFonts w:eastAsia="Sylfaen"/>
          <w:bCs w:val="0"/>
          <w:color w:val="auto"/>
          <w:sz w:val="24"/>
          <w:szCs w:val="24"/>
        </w:rPr>
      </w:pPr>
      <w:r w:rsidRPr="00381FB4">
        <w:rPr>
          <w:rStyle w:val="Gvdemetni50ptbolukbraklyor"/>
          <w:rFonts w:eastAsia="Sylfaen"/>
          <w:bCs w:val="0"/>
          <w:color w:val="auto"/>
          <w:sz w:val="24"/>
          <w:szCs w:val="24"/>
        </w:rPr>
        <w:t>Düşük kalitede ayıraç ile ikmal</w:t>
      </w:r>
    </w:p>
    <w:p w14:paraId="34BDE271" w14:textId="0C0897F1" w:rsidR="002D7B36" w:rsidRPr="00DE12A3" w:rsidRDefault="00381FB4" w:rsidP="00381FB4">
      <w:pPr>
        <w:pStyle w:val="Gvdemetni0"/>
        <w:shd w:val="clear" w:color="auto" w:fill="auto"/>
        <w:tabs>
          <w:tab w:val="left" w:pos="9072"/>
        </w:tabs>
        <w:spacing w:before="120" w:after="120" w:line="240" w:lineRule="auto"/>
        <w:ind w:left="709" w:hanging="709"/>
        <w:rPr>
          <w:sz w:val="20"/>
          <w:szCs w:val="20"/>
        </w:rPr>
      </w:pPr>
      <w:r w:rsidRPr="00B47DC9">
        <w:rPr>
          <w:noProof/>
          <w:sz w:val="24"/>
          <w:szCs w:val="24"/>
          <w:lang w:eastAsia="tr-TR"/>
        </w:rPr>
        <w:drawing>
          <wp:inline distT="0" distB="0" distL="0" distR="0" wp14:anchorId="40B9A3A3" wp14:editId="2CC768B3">
            <wp:extent cx="5170323" cy="3996046"/>
            <wp:effectExtent l="0" t="0" r="0" b="5080"/>
            <wp:docPr id="5" name="Resi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172780" cy="3997945"/>
                    </a:xfrm>
                    <a:prstGeom prst="rect">
                      <a:avLst/>
                    </a:prstGeom>
                    <a:noFill/>
                    <a:ln>
                      <a:noFill/>
                    </a:ln>
                  </pic:spPr>
                </pic:pic>
              </a:graphicData>
            </a:graphic>
          </wp:inline>
        </w:drawing>
      </w:r>
    </w:p>
    <w:p w14:paraId="6ABB8FB8" w14:textId="72225815" w:rsidR="009A4172" w:rsidRPr="00DE12A3" w:rsidRDefault="00381FB4" w:rsidP="00381FB4">
      <w:pPr>
        <w:spacing w:before="120" w:after="120"/>
        <w:ind w:left="709" w:hanging="709"/>
        <w:jc w:val="center"/>
        <w:rPr>
          <w:rFonts w:cs="Times New Roman"/>
          <w:color w:val="auto"/>
          <w:lang w:eastAsia="en-US"/>
        </w:rPr>
      </w:pPr>
      <w:r w:rsidRPr="00B47DC9">
        <w:rPr>
          <w:rFonts w:cs="Times New Roman"/>
        </w:rPr>
        <w:t>Burada “X” 36 çalışma saatinden daha az olamaz.</w:t>
      </w:r>
    </w:p>
    <w:p w14:paraId="38856D05" w14:textId="35F692FB" w:rsidR="009A4172" w:rsidRPr="00DE12A3" w:rsidRDefault="009A4172" w:rsidP="00C917D6">
      <w:pPr>
        <w:tabs>
          <w:tab w:val="left" w:pos="720"/>
        </w:tabs>
        <w:spacing w:before="120" w:after="120"/>
        <w:ind w:left="709" w:hanging="709"/>
        <w:jc w:val="both"/>
        <w:rPr>
          <w:rFonts w:cs="Times New Roman"/>
          <w:color w:val="auto"/>
          <w:lang w:eastAsia="en-US"/>
        </w:rPr>
      </w:pPr>
    </w:p>
    <w:p w14:paraId="71B43739" w14:textId="20F141B9" w:rsidR="002D7B36" w:rsidRPr="00DE12A3" w:rsidRDefault="00242DA0" w:rsidP="00E20716">
      <w:pPr>
        <w:pStyle w:val="Gvdemetni0"/>
        <w:numPr>
          <w:ilvl w:val="0"/>
          <w:numId w:val="103"/>
        </w:numPr>
        <w:shd w:val="clear" w:color="auto" w:fill="auto"/>
        <w:spacing w:before="120" w:after="120" w:line="240" w:lineRule="auto"/>
        <w:ind w:left="1134" w:hanging="1134"/>
        <w:jc w:val="both"/>
        <w:rPr>
          <w:sz w:val="24"/>
          <w:szCs w:val="24"/>
        </w:rPr>
      </w:pPr>
      <w:r w:rsidRPr="00DE12A3">
        <w:rPr>
          <w:sz w:val="24"/>
          <w:szCs w:val="24"/>
        </w:rPr>
        <w:t xml:space="preserve">Şekil 4.7'de, üre dozaj sistemi arızasına ilişkin üç senaryo gösterilmektedir. Bu Şekil aynı zamanda, 9. </w:t>
      </w:r>
      <w:r w:rsidR="00721C89" w:rsidRPr="00DE12A3">
        <w:rPr>
          <w:sz w:val="24"/>
          <w:szCs w:val="24"/>
        </w:rPr>
        <w:t>Bölüm</w:t>
      </w:r>
      <w:r w:rsidRPr="00DE12A3">
        <w:rPr>
          <w:sz w:val="24"/>
          <w:szCs w:val="24"/>
        </w:rPr>
        <w:t>de açıklanan izleme arızalarında uygulanan süreci de göstermektedir:</w:t>
      </w:r>
    </w:p>
    <w:p w14:paraId="29B780D1" w14:textId="4B24443D" w:rsidR="002D7B36" w:rsidRPr="00DE12A3" w:rsidRDefault="00B809B6" w:rsidP="00E20716">
      <w:pPr>
        <w:pStyle w:val="Gvdemetni0"/>
        <w:numPr>
          <w:ilvl w:val="0"/>
          <w:numId w:val="104"/>
        </w:numPr>
        <w:shd w:val="clear" w:color="auto" w:fill="auto"/>
        <w:spacing w:before="120" w:after="120" w:line="240" w:lineRule="auto"/>
        <w:ind w:left="1701" w:hanging="567"/>
        <w:jc w:val="both"/>
        <w:rPr>
          <w:sz w:val="24"/>
          <w:szCs w:val="24"/>
        </w:rPr>
      </w:pPr>
      <w:r w:rsidRPr="00DE12A3">
        <w:rPr>
          <w:sz w:val="24"/>
          <w:szCs w:val="24"/>
        </w:rPr>
        <w:t xml:space="preserve">    </w:t>
      </w:r>
      <w:r w:rsidR="009A4172" w:rsidRPr="00DE12A3">
        <w:rPr>
          <w:sz w:val="24"/>
          <w:szCs w:val="24"/>
        </w:rPr>
        <w:t>K</w:t>
      </w:r>
      <w:r w:rsidR="00242DA0" w:rsidRPr="00DE12A3">
        <w:rPr>
          <w:sz w:val="24"/>
          <w:szCs w:val="24"/>
        </w:rPr>
        <w:t>ullanım senaryosu 1: Operatör, uyarıya rağmen, karayolu dışında kulanılan hareketli makina çalışmayı bırakana kadar karayolu dışında kulanılan hareketli makinayı çalıştırmaya devam eder</w:t>
      </w:r>
      <w:r w:rsidR="00B5565B" w:rsidRPr="00DE12A3">
        <w:rPr>
          <w:sz w:val="24"/>
          <w:szCs w:val="24"/>
        </w:rPr>
        <w:t>.</w:t>
      </w:r>
    </w:p>
    <w:p w14:paraId="7FD5962F" w14:textId="495AA782" w:rsidR="002D7B36" w:rsidRPr="00DE12A3" w:rsidRDefault="009A4172" w:rsidP="00E20716">
      <w:pPr>
        <w:pStyle w:val="Gvdemetni0"/>
        <w:numPr>
          <w:ilvl w:val="0"/>
          <w:numId w:val="104"/>
        </w:numPr>
        <w:shd w:val="clear" w:color="auto" w:fill="auto"/>
        <w:spacing w:before="120" w:after="120" w:line="240" w:lineRule="auto"/>
        <w:ind w:left="1701" w:hanging="567"/>
        <w:jc w:val="both"/>
        <w:rPr>
          <w:sz w:val="24"/>
          <w:szCs w:val="24"/>
        </w:rPr>
      </w:pPr>
      <w:r w:rsidRPr="00DE12A3">
        <w:rPr>
          <w:sz w:val="24"/>
          <w:szCs w:val="24"/>
        </w:rPr>
        <w:t>T</w:t>
      </w:r>
      <w:r w:rsidR="00242DA0" w:rsidRPr="00DE12A3">
        <w:rPr>
          <w:sz w:val="24"/>
          <w:szCs w:val="24"/>
        </w:rPr>
        <w:t xml:space="preserve">amir senaryosu 1 ("iyi" tamir): </w:t>
      </w:r>
      <w:r w:rsidR="00B5565B" w:rsidRPr="00DE12A3">
        <w:rPr>
          <w:sz w:val="24"/>
          <w:szCs w:val="24"/>
        </w:rPr>
        <w:t>K</w:t>
      </w:r>
      <w:r w:rsidR="00242DA0" w:rsidRPr="00DE12A3">
        <w:rPr>
          <w:sz w:val="24"/>
          <w:szCs w:val="24"/>
        </w:rPr>
        <w:t>arayolu dışında kullanılan hareketli makina çalışmaz hale geldikten sonra, operatör dozaj sistemini tamir eder. Ancak bir süre sonra, dozaj sistemi tekrar arızalanır. Uyarı, ikna ve sayım süreçleri tekrar sıfırdan başlar.</w:t>
      </w:r>
    </w:p>
    <w:p w14:paraId="3FEF751F" w14:textId="70E35808" w:rsidR="002D7B36" w:rsidRPr="00DE12A3" w:rsidRDefault="00B809B6" w:rsidP="00E20716">
      <w:pPr>
        <w:pStyle w:val="Gvdemetni0"/>
        <w:numPr>
          <w:ilvl w:val="0"/>
          <w:numId w:val="104"/>
        </w:numPr>
        <w:shd w:val="clear" w:color="auto" w:fill="auto"/>
        <w:tabs>
          <w:tab w:val="left" w:pos="567"/>
        </w:tabs>
        <w:spacing w:before="120" w:after="120" w:line="240" w:lineRule="auto"/>
        <w:ind w:left="1701" w:hanging="567"/>
        <w:jc w:val="both"/>
        <w:rPr>
          <w:sz w:val="24"/>
          <w:szCs w:val="24"/>
        </w:rPr>
      </w:pPr>
      <w:r w:rsidRPr="00DE12A3">
        <w:rPr>
          <w:sz w:val="24"/>
          <w:szCs w:val="24"/>
        </w:rPr>
        <w:t xml:space="preserve">    </w:t>
      </w:r>
      <w:r w:rsidR="009A4172" w:rsidRPr="00DE12A3">
        <w:rPr>
          <w:sz w:val="24"/>
          <w:szCs w:val="24"/>
        </w:rPr>
        <w:t>T</w:t>
      </w:r>
      <w:r w:rsidR="00242DA0" w:rsidRPr="00DE12A3">
        <w:rPr>
          <w:sz w:val="24"/>
          <w:szCs w:val="24"/>
        </w:rPr>
        <w:t>amir senaryosu 2 ("kötü" tamir): Düşük seviye ikna süresi sırasında (tork azaltma), operatör dozaj sistemini tami</w:t>
      </w:r>
      <w:r w:rsidR="00B5565B" w:rsidRPr="00DE12A3">
        <w:rPr>
          <w:sz w:val="24"/>
          <w:szCs w:val="24"/>
        </w:rPr>
        <w:t>r</w:t>
      </w:r>
      <w:r w:rsidR="00242DA0" w:rsidRPr="00DE12A3">
        <w:rPr>
          <w:sz w:val="24"/>
          <w:szCs w:val="24"/>
        </w:rPr>
        <w:t xml:space="preserve"> eder. Ancak kısa bir süre sonra dozaj sistemi tekrar arızalanır. Düşük seviye ikna sistemi derhal tekrar devreye girer ve sayaç, tamir sırasında geldiği değerden yeniden başlar.</w:t>
      </w:r>
    </w:p>
    <w:p w14:paraId="606CFD67" w14:textId="77777777" w:rsidR="008E6900" w:rsidRPr="00DE12A3" w:rsidRDefault="008E6900" w:rsidP="005D0E41">
      <w:pPr>
        <w:pStyle w:val="Gvdemetni0"/>
        <w:shd w:val="clear" w:color="auto" w:fill="auto"/>
        <w:spacing w:before="120" w:after="120" w:line="240" w:lineRule="auto"/>
        <w:ind w:firstLine="0"/>
        <w:jc w:val="both"/>
        <w:rPr>
          <w:sz w:val="24"/>
          <w:szCs w:val="24"/>
        </w:rPr>
      </w:pPr>
    </w:p>
    <w:p w14:paraId="17FBEF3A" w14:textId="77777777" w:rsidR="008E6900" w:rsidRPr="00DE12A3" w:rsidRDefault="008E6900" w:rsidP="005D0E41">
      <w:pPr>
        <w:pStyle w:val="Gvdemetni0"/>
        <w:shd w:val="clear" w:color="auto" w:fill="auto"/>
        <w:spacing w:before="120" w:after="120" w:line="240" w:lineRule="auto"/>
        <w:ind w:firstLine="0"/>
        <w:jc w:val="both"/>
        <w:rPr>
          <w:sz w:val="24"/>
          <w:szCs w:val="24"/>
        </w:rPr>
      </w:pPr>
    </w:p>
    <w:p w14:paraId="371544CF" w14:textId="77777777" w:rsidR="008E6900" w:rsidRPr="00DE12A3" w:rsidRDefault="008E6900" w:rsidP="005D0E41">
      <w:pPr>
        <w:pStyle w:val="Gvdemetni0"/>
        <w:shd w:val="clear" w:color="auto" w:fill="auto"/>
        <w:spacing w:before="120" w:after="120" w:line="240" w:lineRule="auto"/>
        <w:ind w:firstLine="0"/>
        <w:jc w:val="both"/>
        <w:rPr>
          <w:sz w:val="24"/>
          <w:szCs w:val="24"/>
        </w:rPr>
      </w:pPr>
    </w:p>
    <w:p w14:paraId="274D2767" w14:textId="77777777" w:rsidR="00381FB4" w:rsidRDefault="00381FB4">
      <w:pPr>
        <w:widowControl/>
        <w:rPr>
          <w:rStyle w:val="Gvdemetni256pttalik0ptbolukbraklyor"/>
          <w:rFonts w:eastAsia="Courier New"/>
          <w:i w:val="0"/>
          <w:color w:val="auto"/>
          <w:sz w:val="24"/>
          <w:szCs w:val="24"/>
          <w:lang w:eastAsia="en-US"/>
        </w:rPr>
      </w:pPr>
      <w:r>
        <w:rPr>
          <w:rStyle w:val="Gvdemetni256pttalik0ptbolukbraklyor"/>
          <w:rFonts w:eastAsia="Courier New"/>
          <w:i w:val="0"/>
          <w:color w:val="auto"/>
          <w:sz w:val="24"/>
          <w:szCs w:val="24"/>
        </w:rPr>
        <w:br w:type="page"/>
      </w:r>
    </w:p>
    <w:p w14:paraId="45FD90A4" w14:textId="40EB8B56" w:rsidR="002D7B36" w:rsidRDefault="00242DA0" w:rsidP="00C917D6">
      <w:pPr>
        <w:pStyle w:val="Gvdemetni250"/>
        <w:shd w:val="clear" w:color="auto" w:fill="auto"/>
        <w:spacing w:before="120" w:after="120" w:line="240" w:lineRule="auto"/>
        <w:ind w:left="709" w:hanging="709"/>
        <w:jc w:val="center"/>
        <w:rPr>
          <w:rStyle w:val="Gvdemetni256pttalik0ptbolukbraklyor"/>
          <w:i w:val="0"/>
          <w:color w:val="auto"/>
          <w:sz w:val="24"/>
          <w:szCs w:val="24"/>
        </w:rPr>
      </w:pPr>
      <w:r w:rsidRPr="00DE12A3">
        <w:rPr>
          <w:rStyle w:val="Gvdemetni256pttalik0ptbolukbraklyor"/>
          <w:i w:val="0"/>
          <w:color w:val="auto"/>
          <w:sz w:val="24"/>
          <w:szCs w:val="24"/>
        </w:rPr>
        <w:lastRenderedPageBreak/>
        <w:t>Şekil 4.7</w:t>
      </w:r>
    </w:p>
    <w:p w14:paraId="0F95108B" w14:textId="77777777" w:rsidR="00381FB4" w:rsidRPr="00381FB4" w:rsidRDefault="00381FB4" w:rsidP="00381FB4">
      <w:pPr>
        <w:pStyle w:val="Gvdemetni250"/>
        <w:spacing w:before="120" w:after="120" w:line="240" w:lineRule="auto"/>
        <w:ind w:left="709" w:hanging="709"/>
        <w:jc w:val="center"/>
        <w:rPr>
          <w:b/>
          <w:sz w:val="24"/>
          <w:szCs w:val="24"/>
        </w:rPr>
      </w:pPr>
      <w:r w:rsidRPr="00381FB4">
        <w:rPr>
          <w:b/>
          <w:sz w:val="24"/>
          <w:szCs w:val="24"/>
        </w:rPr>
        <w:t>(Değişik:RG-27/9/2022-31966)</w:t>
      </w:r>
      <w:r w:rsidRPr="00381FB4">
        <w:rPr>
          <w:b/>
          <w:sz w:val="24"/>
          <w:szCs w:val="24"/>
          <w:vertAlign w:val="superscript"/>
        </w:rPr>
        <w:t>(Bu değişiklik 1/10/2022 tarihinde yürürlüğe girer.)</w:t>
      </w:r>
    </w:p>
    <w:p w14:paraId="064194C0" w14:textId="77777777" w:rsidR="00381FB4" w:rsidRDefault="00381FB4" w:rsidP="00381FB4">
      <w:pPr>
        <w:pStyle w:val="Gvdemetni250"/>
        <w:shd w:val="clear" w:color="auto" w:fill="auto"/>
        <w:spacing w:before="120" w:after="120" w:line="240" w:lineRule="auto"/>
        <w:ind w:left="709" w:hanging="709"/>
        <w:jc w:val="center"/>
        <w:rPr>
          <w:b/>
          <w:sz w:val="24"/>
          <w:szCs w:val="24"/>
        </w:rPr>
      </w:pPr>
      <w:r w:rsidRPr="00381FB4">
        <w:rPr>
          <w:b/>
          <w:sz w:val="24"/>
          <w:szCs w:val="24"/>
        </w:rPr>
        <w:t>Ayıraç dozaj sistemi arızası</w:t>
      </w:r>
    </w:p>
    <w:p w14:paraId="1D24253A" w14:textId="2D018A00" w:rsidR="002D7B36" w:rsidRDefault="00381FB4" w:rsidP="00381FB4">
      <w:pPr>
        <w:pStyle w:val="Gvdemetni250"/>
        <w:shd w:val="clear" w:color="auto" w:fill="auto"/>
        <w:spacing w:before="120" w:after="120" w:line="240" w:lineRule="auto"/>
        <w:ind w:left="709" w:hanging="709"/>
        <w:jc w:val="center"/>
        <w:rPr>
          <w:b/>
          <w:bCs/>
          <w:sz w:val="20"/>
          <w:szCs w:val="20"/>
        </w:rPr>
      </w:pPr>
      <w:r w:rsidRPr="00B47DC9">
        <w:rPr>
          <w:noProof/>
          <w:sz w:val="24"/>
          <w:szCs w:val="24"/>
          <w:lang w:eastAsia="tr-TR"/>
        </w:rPr>
        <w:drawing>
          <wp:inline distT="0" distB="0" distL="0" distR="0" wp14:anchorId="2F17F147" wp14:editId="448FEB03">
            <wp:extent cx="5245677" cy="3458590"/>
            <wp:effectExtent l="0" t="0" r="0" b="8890"/>
            <wp:docPr id="8" name="Resi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258910" cy="3467315"/>
                    </a:xfrm>
                    <a:prstGeom prst="rect">
                      <a:avLst/>
                    </a:prstGeom>
                    <a:noFill/>
                    <a:ln>
                      <a:noFill/>
                    </a:ln>
                  </pic:spPr>
                </pic:pic>
              </a:graphicData>
            </a:graphic>
          </wp:inline>
        </w:drawing>
      </w:r>
    </w:p>
    <w:p w14:paraId="6037B119" w14:textId="207CF0E3" w:rsidR="00381FB4" w:rsidRPr="00DE12A3" w:rsidRDefault="00381FB4" w:rsidP="00381FB4">
      <w:pPr>
        <w:pStyle w:val="Gvdemetni250"/>
        <w:shd w:val="clear" w:color="auto" w:fill="auto"/>
        <w:spacing w:before="120" w:after="120" w:line="240" w:lineRule="auto"/>
        <w:ind w:left="709" w:hanging="709"/>
        <w:jc w:val="center"/>
        <w:rPr>
          <w:b/>
          <w:bCs/>
          <w:sz w:val="20"/>
          <w:szCs w:val="20"/>
        </w:rPr>
      </w:pPr>
      <w:r w:rsidRPr="00B47DC9">
        <w:rPr>
          <w:sz w:val="24"/>
          <w:szCs w:val="24"/>
        </w:rPr>
        <w:t>Burada “X” 36 çalışma saatinden daha az olamaz.</w:t>
      </w:r>
    </w:p>
    <w:p w14:paraId="42522EAE" w14:textId="77777777" w:rsidR="002D7B36" w:rsidRPr="00DE12A3" w:rsidRDefault="00B809B6" w:rsidP="00E20716">
      <w:pPr>
        <w:numPr>
          <w:ilvl w:val="0"/>
          <w:numId w:val="105"/>
        </w:numPr>
        <w:spacing w:before="120" w:after="120"/>
        <w:ind w:left="1134" w:hanging="1134"/>
        <w:jc w:val="both"/>
        <w:rPr>
          <w:rFonts w:eastAsia="Times New Roman" w:cs="Times New Roman"/>
          <w:b/>
          <w:bCs/>
          <w:color w:val="auto"/>
          <w:spacing w:val="3"/>
          <w:lang w:eastAsia="en-US"/>
        </w:rPr>
      </w:pPr>
      <w:r w:rsidRPr="00DE12A3">
        <w:rPr>
          <w:rFonts w:eastAsia="Times New Roman" w:cs="Times New Roman"/>
          <w:b/>
          <w:bCs/>
          <w:color w:val="auto"/>
          <w:spacing w:val="3"/>
          <w:lang w:eastAsia="en-US"/>
        </w:rPr>
        <w:t xml:space="preserve">      </w:t>
      </w:r>
      <w:r w:rsidR="00242DA0" w:rsidRPr="00DE12A3">
        <w:rPr>
          <w:rFonts w:eastAsia="Times New Roman" w:cs="Times New Roman"/>
          <w:b/>
          <w:bCs/>
          <w:color w:val="auto"/>
          <w:spacing w:val="3"/>
          <w:lang w:eastAsia="en-US"/>
        </w:rPr>
        <w:t>Kabul edilebilir asgari ayıraç konsantrasyonu Cdmin ispatı</w:t>
      </w:r>
    </w:p>
    <w:p w14:paraId="65D5B063" w14:textId="77777777" w:rsidR="002D7B36" w:rsidRPr="00DE12A3" w:rsidRDefault="00B809B6" w:rsidP="00E20716">
      <w:pPr>
        <w:numPr>
          <w:ilvl w:val="0"/>
          <w:numId w:val="106"/>
        </w:numPr>
        <w:spacing w:before="120" w:after="120"/>
        <w:ind w:left="1134" w:hanging="1134"/>
        <w:jc w:val="both"/>
        <w:rPr>
          <w:rFonts w:eastAsia="Times New Roman" w:cs="Times New Roman"/>
          <w:color w:val="auto"/>
          <w:spacing w:val="3"/>
          <w:lang w:eastAsia="en-US"/>
        </w:rPr>
      </w:pPr>
      <w:r w:rsidRPr="00DE12A3">
        <w:rPr>
          <w:rFonts w:eastAsia="Times New Roman" w:cs="Times New Roman"/>
          <w:color w:val="auto"/>
          <w:spacing w:val="3"/>
          <w:lang w:eastAsia="en-US"/>
        </w:rPr>
        <w:t xml:space="preserve">       </w:t>
      </w:r>
      <w:r w:rsidR="00242DA0" w:rsidRPr="00DE12A3">
        <w:rPr>
          <w:rFonts w:eastAsia="Times New Roman" w:cs="Times New Roman"/>
          <w:color w:val="auto"/>
          <w:spacing w:val="3"/>
          <w:lang w:eastAsia="en-US"/>
        </w:rPr>
        <w:t xml:space="preserve">İmalatçı, NRE-v-3, NRE-v-4, NRE-v-5, NRE-v-6 alt kategorilerindeki motorlar için ön ısıtmalı NRTC ve CDmin konsantrasyonuna sahip bir ayıraç kullanan diğer tüm kategoriler için geçerli NRSC </w:t>
      </w:r>
      <w:r w:rsidR="00951351" w:rsidRPr="00DE12A3">
        <w:rPr>
          <w:rFonts w:eastAsia="Times New Roman" w:cs="Times New Roman"/>
          <w:color w:val="auto"/>
          <w:spacing w:val="3"/>
          <w:lang w:eastAsia="en-US"/>
        </w:rPr>
        <w:t xml:space="preserve">çevrimi  </w:t>
      </w:r>
      <w:r w:rsidR="00242DA0" w:rsidRPr="00DE12A3">
        <w:rPr>
          <w:rFonts w:eastAsia="Times New Roman" w:cs="Times New Roman"/>
          <w:color w:val="auto"/>
          <w:spacing w:val="3"/>
          <w:lang w:eastAsia="en-US"/>
        </w:rPr>
        <w:t xml:space="preserve"> gerçekleştirerek AB tip onayı sırasında doğru CDmin değerini ispatlamalıdır.</w:t>
      </w:r>
    </w:p>
    <w:p w14:paraId="51DCA460" w14:textId="77777777" w:rsidR="002D7B36" w:rsidRPr="00DE12A3" w:rsidRDefault="00B809B6" w:rsidP="00E20716">
      <w:pPr>
        <w:numPr>
          <w:ilvl w:val="0"/>
          <w:numId w:val="106"/>
        </w:numPr>
        <w:spacing w:before="120" w:after="120"/>
        <w:ind w:left="1134" w:hanging="1134"/>
        <w:jc w:val="both"/>
        <w:rPr>
          <w:rFonts w:eastAsia="Times New Roman" w:cs="Times New Roman"/>
          <w:color w:val="auto"/>
          <w:spacing w:val="3"/>
          <w:lang w:eastAsia="en-US"/>
        </w:rPr>
      </w:pPr>
      <w:r w:rsidRPr="00DE12A3">
        <w:rPr>
          <w:rFonts w:eastAsia="Times New Roman" w:cs="Times New Roman"/>
          <w:color w:val="auto"/>
          <w:spacing w:val="3"/>
          <w:lang w:eastAsia="en-US"/>
        </w:rPr>
        <w:t xml:space="preserve">       </w:t>
      </w:r>
      <w:r w:rsidR="00242DA0" w:rsidRPr="00DE12A3">
        <w:rPr>
          <w:rFonts w:eastAsia="Times New Roman" w:cs="Times New Roman"/>
          <w:color w:val="auto"/>
          <w:spacing w:val="3"/>
          <w:lang w:eastAsia="en-US"/>
        </w:rPr>
        <w:t xml:space="preserve">Test, kapalı devre bir NOx kontrol sisteminin CDmin konsantrasyonuna sahip ayıracın kalitesine adapte olmasına izin vererek, uygun NCD </w:t>
      </w:r>
      <w:r w:rsidR="00951351" w:rsidRPr="00DE12A3">
        <w:rPr>
          <w:rFonts w:eastAsia="Times New Roman" w:cs="Times New Roman"/>
          <w:color w:val="auto"/>
          <w:spacing w:val="3"/>
          <w:lang w:eastAsia="en-US"/>
        </w:rPr>
        <w:t>çevrimini</w:t>
      </w:r>
      <w:r w:rsidR="00242DA0" w:rsidRPr="00DE12A3">
        <w:rPr>
          <w:rFonts w:eastAsia="Times New Roman" w:cs="Times New Roman"/>
          <w:color w:val="auto"/>
          <w:spacing w:val="3"/>
          <w:lang w:eastAsia="en-US"/>
        </w:rPr>
        <w:t xml:space="preserve"> veya imalatçı tarafından tanımlanan ön şartlandırma </w:t>
      </w:r>
      <w:r w:rsidR="00951351" w:rsidRPr="00DE12A3">
        <w:rPr>
          <w:rFonts w:eastAsia="Times New Roman" w:cs="Times New Roman"/>
          <w:color w:val="auto"/>
          <w:spacing w:val="3"/>
          <w:lang w:eastAsia="en-US"/>
        </w:rPr>
        <w:t>çevrimini</w:t>
      </w:r>
      <w:r w:rsidR="00242DA0" w:rsidRPr="00DE12A3">
        <w:rPr>
          <w:rFonts w:eastAsia="Times New Roman" w:cs="Times New Roman"/>
          <w:color w:val="auto"/>
          <w:spacing w:val="3"/>
          <w:lang w:eastAsia="en-US"/>
        </w:rPr>
        <w:t xml:space="preserve"> izlemelidir.</w:t>
      </w:r>
    </w:p>
    <w:p w14:paraId="189ACB9F" w14:textId="77777777" w:rsidR="002D7B36" w:rsidRPr="00DE12A3" w:rsidRDefault="00B809B6" w:rsidP="00E20716">
      <w:pPr>
        <w:numPr>
          <w:ilvl w:val="0"/>
          <w:numId w:val="106"/>
        </w:numPr>
        <w:spacing w:before="120" w:after="120"/>
        <w:ind w:left="1134" w:hanging="1134"/>
        <w:jc w:val="both"/>
        <w:rPr>
          <w:rFonts w:eastAsia="Times New Roman" w:cs="Times New Roman"/>
          <w:color w:val="auto"/>
          <w:spacing w:val="3"/>
          <w:lang w:eastAsia="en-US"/>
        </w:rPr>
      </w:pPr>
      <w:r w:rsidRPr="00DE12A3">
        <w:rPr>
          <w:rFonts w:eastAsia="Times New Roman" w:cs="Times New Roman"/>
          <w:color w:val="auto"/>
          <w:spacing w:val="3"/>
          <w:lang w:eastAsia="en-US"/>
        </w:rPr>
        <w:t xml:space="preserve">       </w:t>
      </w:r>
      <w:r w:rsidR="00242DA0" w:rsidRPr="00DE12A3">
        <w:rPr>
          <w:rFonts w:eastAsia="Times New Roman" w:cs="Times New Roman"/>
          <w:color w:val="auto"/>
          <w:spacing w:val="3"/>
          <w:lang w:eastAsia="en-US"/>
        </w:rPr>
        <w:t>Bu testten kaynaklanan kirletici emisyonları 7.1.1 bendinde belirtilen NOx eşik değerini geçmemelidir.</w:t>
      </w:r>
    </w:p>
    <w:p w14:paraId="058256F3" w14:textId="77777777" w:rsidR="002D7B36" w:rsidRPr="00DE12A3" w:rsidRDefault="00B809B6" w:rsidP="00E20716">
      <w:pPr>
        <w:numPr>
          <w:ilvl w:val="0"/>
          <w:numId w:val="106"/>
        </w:numPr>
        <w:spacing w:before="120" w:after="120"/>
        <w:ind w:left="1134" w:hanging="1134"/>
        <w:jc w:val="both"/>
        <w:rPr>
          <w:rFonts w:eastAsia="Times New Roman" w:cs="Times New Roman"/>
          <w:color w:val="auto"/>
          <w:spacing w:val="3"/>
          <w:lang w:eastAsia="en-US"/>
        </w:rPr>
      </w:pPr>
      <w:r w:rsidRPr="00DE12A3">
        <w:rPr>
          <w:rFonts w:eastAsia="Times New Roman" w:cs="Times New Roman"/>
          <w:color w:val="auto"/>
          <w:spacing w:val="3"/>
          <w:lang w:eastAsia="en-US"/>
        </w:rPr>
        <w:t xml:space="preserve">       </w:t>
      </w:r>
      <w:r w:rsidR="00242DA0" w:rsidRPr="00DE12A3">
        <w:rPr>
          <w:rFonts w:eastAsia="Times New Roman" w:cs="Times New Roman"/>
          <w:color w:val="auto"/>
          <w:spacing w:val="3"/>
          <w:lang w:eastAsia="en-US"/>
        </w:rPr>
        <w:t>İspatın dokümantasyonu</w:t>
      </w:r>
    </w:p>
    <w:p w14:paraId="744E66FD" w14:textId="77777777" w:rsidR="002D7B36" w:rsidRPr="00DE12A3" w:rsidRDefault="00B809B6" w:rsidP="00E20716">
      <w:pPr>
        <w:numPr>
          <w:ilvl w:val="0"/>
          <w:numId w:val="107"/>
        </w:numPr>
        <w:spacing w:before="120" w:after="120"/>
        <w:ind w:left="1134" w:hanging="1134"/>
        <w:jc w:val="both"/>
        <w:rPr>
          <w:rFonts w:eastAsia="Times New Roman" w:cs="Times New Roman"/>
          <w:color w:val="auto"/>
          <w:spacing w:val="3"/>
          <w:lang w:eastAsia="en-US"/>
        </w:rPr>
      </w:pPr>
      <w:r w:rsidRPr="00DE12A3">
        <w:rPr>
          <w:rFonts w:eastAsia="Times New Roman" w:cs="Times New Roman"/>
          <w:color w:val="auto"/>
          <w:spacing w:val="3"/>
          <w:lang w:eastAsia="en-US"/>
        </w:rPr>
        <w:t xml:space="preserve">       </w:t>
      </w:r>
      <w:r w:rsidR="00242DA0" w:rsidRPr="00DE12A3">
        <w:rPr>
          <w:rFonts w:eastAsia="Times New Roman" w:cs="Times New Roman"/>
          <w:color w:val="auto"/>
          <w:spacing w:val="3"/>
          <w:lang w:eastAsia="en-US"/>
        </w:rPr>
        <w:t>Kabul edilebilir asgari ayıraç konsantrasyonunun ispatı, bir ispat raporu ile belgelenmelidir. Bu rapor:</w:t>
      </w:r>
    </w:p>
    <w:p w14:paraId="7ED1F962" w14:textId="35D90DC7" w:rsidR="002D7B36" w:rsidRPr="00DE12A3" w:rsidRDefault="001F4F5F" w:rsidP="00E20716">
      <w:pPr>
        <w:numPr>
          <w:ilvl w:val="0"/>
          <w:numId w:val="108"/>
        </w:numPr>
        <w:spacing w:before="120" w:after="120"/>
        <w:ind w:left="1701" w:hanging="567"/>
        <w:jc w:val="both"/>
        <w:rPr>
          <w:rFonts w:eastAsia="Times New Roman" w:cs="Times New Roman"/>
          <w:color w:val="auto"/>
          <w:spacing w:val="3"/>
          <w:lang w:eastAsia="en-US"/>
        </w:rPr>
      </w:pPr>
      <w:r w:rsidRPr="00DE12A3">
        <w:rPr>
          <w:rFonts w:eastAsia="Times New Roman" w:cs="Times New Roman"/>
          <w:color w:val="auto"/>
          <w:spacing w:val="3"/>
          <w:lang w:eastAsia="en-US"/>
        </w:rPr>
        <w:t xml:space="preserve">     İ</w:t>
      </w:r>
      <w:r w:rsidR="00242DA0" w:rsidRPr="00DE12A3">
        <w:rPr>
          <w:rFonts w:eastAsia="Times New Roman" w:cs="Times New Roman"/>
          <w:color w:val="auto"/>
          <w:spacing w:val="3"/>
          <w:lang w:eastAsia="en-US"/>
        </w:rPr>
        <w:t>ncelenen arızaları tanımlamalı</w:t>
      </w:r>
      <w:r w:rsidR="00B5565B" w:rsidRPr="00DE12A3">
        <w:rPr>
          <w:rFonts w:eastAsia="Times New Roman" w:cs="Times New Roman"/>
          <w:color w:val="auto"/>
          <w:spacing w:val="3"/>
          <w:lang w:eastAsia="en-US"/>
        </w:rPr>
        <w:t>.</w:t>
      </w:r>
    </w:p>
    <w:p w14:paraId="58592002" w14:textId="62F2662E" w:rsidR="002D7B36" w:rsidRPr="00DE12A3" w:rsidRDefault="001F4F5F" w:rsidP="00E20716">
      <w:pPr>
        <w:numPr>
          <w:ilvl w:val="0"/>
          <w:numId w:val="108"/>
        </w:numPr>
        <w:spacing w:before="120" w:after="120"/>
        <w:ind w:left="1701" w:hanging="567"/>
        <w:jc w:val="both"/>
        <w:rPr>
          <w:rFonts w:eastAsia="Times New Roman" w:cs="Times New Roman"/>
          <w:color w:val="auto"/>
          <w:spacing w:val="3"/>
          <w:lang w:eastAsia="en-US"/>
        </w:rPr>
      </w:pPr>
      <w:r w:rsidRPr="00DE12A3">
        <w:rPr>
          <w:rFonts w:eastAsia="Times New Roman" w:cs="Times New Roman"/>
          <w:color w:val="auto"/>
          <w:spacing w:val="3"/>
          <w:lang w:eastAsia="en-US"/>
        </w:rPr>
        <w:t>G</w:t>
      </w:r>
      <w:r w:rsidR="00242DA0" w:rsidRPr="00DE12A3">
        <w:rPr>
          <w:rFonts w:eastAsia="Times New Roman" w:cs="Times New Roman"/>
          <w:color w:val="auto"/>
          <w:spacing w:val="3"/>
          <w:lang w:eastAsia="en-US"/>
        </w:rPr>
        <w:t xml:space="preserve">eçerli test </w:t>
      </w:r>
      <w:r w:rsidR="00951351" w:rsidRPr="00DE12A3">
        <w:rPr>
          <w:rFonts w:eastAsia="Times New Roman" w:cs="Times New Roman"/>
          <w:color w:val="auto"/>
          <w:spacing w:val="3"/>
          <w:lang w:eastAsia="en-US"/>
        </w:rPr>
        <w:t xml:space="preserve">çevrimi  </w:t>
      </w:r>
      <w:r w:rsidR="00242DA0" w:rsidRPr="00DE12A3">
        <w:rPr>
          <w:rFonts w:eastAsia="Times New Roman" w:cs="Times New Roman"/>
          <w:color w:val="auto"/>
          <w:spacing w:val="3"/>
          <w:lang w:eastAsia="en-US"/>
        </w:rPr>
        <w:t xml:space="preserve"> de dahil olmak üzere yapılan ispatı açıklamalı</w:t>
      </w:r>
      <w:r w:rsidR="00B5565B" w:rsidRPr="00DE12A3">
        <w:rPr>
          <w:rFonts w:eastAsia="Times New Roman" w:cs="Times New Roman"/>
          <w:color w:val="auto"/>
          <w:spacing w:val="3"/>
          <w:lang w:eastAsia="en-US"/>
        </w:rPr>
        <w:t>.</w:t>
      </w:r>
    </w:p>
    <w:p w14:paraId="6E2DCCDB" w14:textId="0846D937" w:rsidR="002D7B36" w:rsidRPr="00DE12A3" w:rsidRDefault="001F4F5F" w:rsidP="00E20716">
      <w:pPr>
        <w:numPr>
          <w:ilvl w:val="0"/>
          <w:numId w:val="108"/>
        </w:numPr>
        <w:spacing w:before="120" w:after="120"/>
        <w:ind w:left="1701" w:hanging="567"/>
        <w:jc w:val="both"/>
        <w:rPr>
          <w:rFonts w:eastAsia="Times New Roman" w:cs="Times New Roman"/>
          <w:color w:val="auto"/>
          <w:spacing w:val="3"/>
          <w:lang w:eastAsia="en-US"/>
        </w:rPr>
      </w:pPr>
      <w:r w:rsidRPr="00DE12A3">
        <w:rPr>
          <w:rFonts w:eastAsia="Times New Roman" w:cs="Times New Roman"/>
          <w:color w:val="auto"/>
          <w:spacing w:val="3"/>
          <w:lang w:eastAsia="en-US"/>
        </w:rPr>
        <w:t xml:space="preserve">     B</w:t>
      </w:r>
      <w:r w:rsidR="00242DA0" w:rsidRPr="00DE12A3">
        <w:rPr>
          <w:rFonts w:eastAsia="Times New Roman" w:cs="Times New Roman"/>
          <w:color w:val="auto"/>
          <w:spacing w:val="3"/>
          <w:lang w:eastAsia="en-US"/>
        </w:rPr>
        <w:t>u ispattan kaynaklanan kirletici emisyonlarının 7.1.1 bendinde belirtilen NOx eşik değerini geçmediğini doğrulamalı</w:t>
      </w:r>
      <w:r w:rsidR="00B5565B" w:rsidRPr="00DE12A3">
        <w:rPr>
          <w:rFonts w:eastAsia="Times New Roman" w:cs="Times New Roman"/>
          <w:color w:val="auto"/>
          <w:spacing w:val="3"/>
          <w:lang w:eastAsia="en-US"/>
        </w:rPr>
        <w:t>.</w:t>
      </w:r>
    </w:p>
    <w:p w14:paraId="6E18EF7B" w14:textId="301511BD" w:rsidR="002D7B36" w:rsidRPr="00DE12A3" w:rsidRDefault="00EE5D5E" w:rsidP="00E20716">
      <w:pPr>
        <w:numPr>
          <w:ilvl w:val="0"/>
          <w:numId w:val="108"/>
        </w:numPr>
        <w:tabs>
          <w:tab w:val="left" w:pos="851"/>
        </w:tabs>
        <w:spacing w:before="120" w:after="120"/>
        <w:ind w:left="1701" w:hanging="567"/>
        <w:contextualSpacing/>
        <w:jc w:val="both"/>
        <w:rPr>
          <w:rFonts w:eastAsia="Times New Roman" w:cs="Times New Roman"/>
          <w:color w:val="auto"/>
          <w:spacing w:val="3"/>
          <w:lang w:eastAsia="en-US"/>
        </w:rPr>
      </w:pPr>
      <w:r w:rsidRPr="00DE12A3">
        <w:rPr>
          <w:rFonts w:eastAsia="Times New Roman" w:cs="Times New Roman"/>
          <w:color w:val="auto"/>
          <w:spacing w:val="3"/>
          <w:lang w:eastAsia="en-US"/>
        </w:rPr>
        <w:t xml:space="preserve">2017/656/AB Tebliğinin I’inci </w:t>
      </w:r>
      <w:r w:rsidR="00EC3EF0" w:rsidRPr="00DE12A3">
        <w:rPr>
          <w:rFonts w:eastAsia="Times New Roman" w:cs="Times New Roman"/>
          <w:color w:val="auto"/>
          <w:spacing w:val="3"/>
          <w:lang w:eastAsia="en-US"/>
        </w:rPr>
        <w:t>Ekinin</w:t>
      </w:r>
      <w:r w:rsidR="00242DA0" w:rsidRPr="00DE12A3">
        <w:rPr>
          <w:rFonts w:eastAsia="Times New Roman" w:cs="Times New Roman"/>
          <w:color w:val="auto"/>
          <w:spacing w:val="3"/>
          <w:lang w:eastAsia="en-US"/>
        </w:rPr>
        <w:t xml:space="preserve"> A Bölümünde belirtilen bilgi klasörüne eklenmelidir.</w:t>
      </w:r>
    </w:p>
    <w:p w14:paraId="4DA840B0" w14:textId="1D8890CC" w:rsidR="005D0E41" w:rsidRPr="00DE12A3" w:rsidRDefault="005D0E41">
      <w:pPr>
        <w:widowControl/>
        <w:rPr>
          <w:rFonts w:eastAsia="Times New Roman" w:cs="Times New Roman"/>
          <w:color w:val="auto"/>
          <w:spacing w:val="3"/>
          <w:sz w:val="20"/>
          <w:szCs w:val="20"/>
          <w:lang w:eastAsia="en-US"/>
        </w:rPr>
      </w:pPr>
      <w:r w:rsidRPr="00DE12A3">
        <w:rPr>
          <w:rFonts w:eastAsia="Times New Roman" w:cs="Times New Roman"/>
          <w:color w:val="auto"/>
          <w:spacing w:val="3"/>
          <w:sz w:val="20"/>
          <w:szCs w:val="20"/>
          <w:lang w:eastAsia="en-US"/>
        </w:rPr>
        <w:br w:type="page"/>
      </w:r>
    </w:p>
    <w:p w14:paraId="3A8E20BA" w14:textId="6017903F" w:rsidR="002D7B36" w:rsidRPr="00DE12A3" w:rsidRDefault="005D0E41" w:rsidP="005D0E41">
      <w:pPr>
        <w:pStyle w:val="Balk2"/>
        <w:rPr>
          <w:rStyle w:val="Resimyazs30ptbolukbraklyor"/>
          <w:rFonts w:eastAsia="Courier New"/>
          <w:i w:val="0"/>
          <w:iCs w:val="0"/>
          <w:color w:val="auto"/>
          <w:sz w:val="24"/>
          <w:szCs w:val="24"/>
          <w:lang w:val="tr-TR"/>
        </w:rPr>
      </w:pPr>
      <w:r w:rsidRPr="00DE12A3">
        <w:rPr>
          <w:rStyle w:val="Resimyazs30ptbolukbraklyor"/>
          <w:rFonts w:eastAsia="Courier New"/>
          <w:bCs/>
          <w:i w:val="0"/>
          <w:iCs w:val="0"/>
          <w:color w:val="auto"/>
          <w:sz w:val="24"/>
          <w:szCs w:val="24"/>
          <w:lang w:val="tr-TR"/>
        </w:rPr>
        <w:lastRenderedPageBreak/>
        <w:t>2.</w:t>
      </w:r>
      <w:r w:rsidRPr="00DE12A3">
        <w:rPr>
          <w:rStyle w:val="Resimyazs30ptbolukbraklyor"/>
          <w:rFonts w:eastAsia="Courier New"/>
          <w:b w:val="0"/>
          <w:i w:val="0"/>
          <w:iCs w:val="0"/>
          <w:color w:val="auto"/>
          <w:sz w:val="24"/>
          <w:szCs w:val="24"/>
          <w:lang w:val="tr-TR"/>
        </w:rPr>
        <w:t xml:space="preserve"> </w:t>
      </w:r>
      <w:r w:rsidR="00242DA0" w:rsidRPr="00DE12A3">
        <w:rPr>
          <w:rStyle w:val="Resimyazs30ptbolukbraklyor"/>
          <w:rFonts w:eastAsia="Courier New"/>
          <w:i w:val="0"/>
          <w:iCs w:val="0"/>
          <w:color w:val="auto"/>
          <w:sz w:val="24"/>
          <w:szCs w:val="24"/>
          <w:lang w:val="tr-TR"/>
        </w:rPr>
        <w:t>Açıklayıcı Ek</w:t>
      </w:r>
    </w:p>
    <w:p w14:paraId="798A43AD" w14:textId="77777777" w:rsidR="002D7B36" w:rsidRPr="00DE12A3" w:rsidRDefault="00242DA0" w:rsidP="00C917D6">
      <w:pPr>
        <w:pStyle w:val="Resimyazs170"/>
        <w:shd w:val="clear" w:color="auto" w:fill="auto"/>
        <w:spacing w:before="120" w:after="120" w:line="240" w:lineRule="auto"/>
        <w:ind w:left="1134" w:hanging="1134"/>
        <w:rPr>
          <w:b/>
          <w:bCs/>
          <w:sz w:val="24"/>
          <w:szCs w:val="24"/>
        </w:rPr>
      </w:pPr>
      <w:r w:rsidRPr="00DE12A3">
        <w:rPr>
          <w:rStyle w:val="Resimyazs170ptbolukbraklyor"/>
          <w:rFonts w:eastAsia="Malgun Gothic"/>
          <w:b/>
          <w:color w:val="auto"/>
          <w:sz w:val="24"/>
          <w:szCs w:val="24"/>
        </w:rPr>
        <w:t>Bu stratejileri ispat yöntemi de dahil olmak üzere, IWP, IWA ve RLR kategorisindeki motorlar için NOx kontrol tedbirleri ile ilgili ek teknik şartlar</w:t>
      </w:r>
    </w:p>
    <w:p w14:paraId="30D9614F" w14:textId="77777777" w:rsidR="005D0E41" w:rsidRPr="00DE12A3" w:rsidRDefault="005D0E41" w:rsidP="005D0E41">
      <w:pPr>
        <w:rPr>
          <w:color w:val="auto"/>
        </w:rPr>
      </w:pPr>
    </w:p>
    <w:p w14:paraId="48534852" w14:textId="649E8822" w:rsidR="002D7B36" w:rsidRPr="00DE12A3" w:rsidRDefault="005D0E41" w:rsidP="005D0E41">
      <w:pPr>
        <w:rPr>
          <w:b/>
          <w:bCs/>
          <w:color w:val="auto"/>
        </w:rPr>
      </w:pPr>
      <w:r w:rsidRPr="00DE12A3">
        <w:rPr>
          <w:b/>
          <w:bCs/>
          <w:color w:val="auto"/>
        </w:rPr>
        <w:t xml:space="preserve">1. </w:t>
      </w:r>
      <w:r w:rsidR="00242DA0" w:rsidRPr="00DE12A3">
        <w:rPr>
          <w:b/>
          <w:bCs/>
          <w:color w:val="auto"/>
        </w:rPr>
        <w:t>Giriş</w:t>
      </w:r>
    </w:p>
    <w:p w14:paraId="3E0A5106" w14:textId="6421EE35" w:rsidR="002D7B36" w:rsidRPr="00DE12A3" w:rsidRDefault="00242DA0" w:rsidP="005D0E41">
      <w:pPr>
        <w:pStyle w:val="Gvdemetni250"/>
        <w:shd w:val="clear" w:color="auto" w:fill="auto"/>
        <w:spacing w:before="120" w:after="120" w:line="240" w:lineRule="auto"/>
        <w:ind w:firstLine="0"/>
        <w:rPr>
          <w:sz w:val="24"/>
          <w:szCs w:val="24"/>
        </w:rPr>
      </w:pPr>
      <w:r w:rsidRPr="00DE12A3">
        <w:rPr>
          <w:sz w:val="24"/>
          <w:szCs w:val="24"/>
        </w:rPr>
        <w:t xml:space="preserve">Bu Açıklayıcı Ek, IWP, IWA ve RLR kategorisindeki motorlar için NOx kontrol tedbirlerinin doğru işlemesini sağlamaya yönelik ek </w:t>
      </w:r>
      <w:r w:rsidR="0053289F" w:rsidRPr="00DE12A3">
        <w:rPr>
          <w:sz w:val="24"/>
          <w:szCs w:val="24"/>
        </w:rPr>
        <w:t>gereklilikleri</w:t>
      </w:r>
      <w:r w:rsidRPr="00DE12A3">
        <w:rPr>
          <w:sz w:val="24"/>
          <w:szCs w:val="24"/>
        </w:rPr>
        <w:t xml:space="preserve"> ortaya koymaktadır.</w:t>
      </w:r>
    </w:p>
    <w:p w14:paraId="2CD327DA" w14:textId="0EC19C08" w:rsidR="002D7B36" w:rsidRPr="00DE12A3" w:rsidRDefault="005D0E41" w:rsidP="005D0E41">
      <w:pPr>
        <w:jc w:val="both"/>
        <w:rPr>
          <w:b/>
          <w:bCs/>
          <w:color w:val="auto"/>
        </w:rPr>
      </w:pPr>
      <w:r w:rsidRPr="00DE12A3">
        <w:rPr>
          <w:b/>
          <w:bCs/>
          <w:color w:val="auto"/>
        </w:rPr>
        <w:t xml:space="preserve">2. </w:t>
      </w:r>
      <w:r w:rsidR="00242DA0" w:rsidRPr="00DE12A3">
        <w:rPr>
          <w:b/>
          <w:bCs/>
          <w:color w:val="auto"/>
        </w:rPr>
        <w:t>Genel şartlar</w:t>
      </w:r>
    </w:p>
    <w:p w14:paraId="3BAC936A" w14:textId="48C391E3" w:rsidR="002D7B36" w:rsidRPr="00DE12A3" w:rsidRDefault="00FA0678" w:rsidP="005D0E41">
      <w:pPr>
        <w:pStyle w:val="Gvdemetni250"/>
        <w:shd w:val="clear" w:color="auto" w:fill="auto"/>
        <w:spacing w:before="120" w:after="120" w:line="240" w:lineRule="auto"/>
        <w:ind w:firstLine="0"/>
        <w:rPr>
          <w:sz w:val="24"/>
          <w:szCs w:val="24"/>
        </w:rPr>
      </w:pPr>
      <w:r w:rsidRPr="00DE12A3">
        <w:rPr>
          <w:sz w:val="24"/>
          <w:szCs w:val="24"/>
        </w:rPr>
        <w:t>1. Açıklayıcı Ekin</w:t>
      </w:r>
      <w:r w:rsidR="00242DA0" w:rsidRPr="00DE12A3">
        <w:rPr>
          <w:sz w:val="24"/>
          <w:szCs w:val="24"/>
        </w:rPr>
        <w:t xml:space="preserve"> </w:t>
      </w:r>
      <w:r w:rsidR="0053289F" w:rsidRPr="00DE12A3">
        <w:rPr>
          <w:sz w:val="24"/>
          <w:szCs w:val="24"/>
        </w:rPr>
        <w:t>gereklilikleri</w:t>
      </w:r>
      <w:r w:rsidR="00242DA0" w:rsidRPr="00DE12A3">
        <w:rPr>
          <w:sz w:val="24"/>
          <w:szCs w:val="24"/>
        </w:rPr>
        <w:t>, bu Açıklayıcı Ekin 3. ve 4. bentlerinde belirtilen haller dışında, bu Açıklayıcı Ek kapsamındaki motorlar için geçerlidir.</w:t>
      </w:r>
    </w:p>
    <w:p w14:paraId="66A00C58" w14:textId="749709D1" w:rsidR="002D7B36" w:rsidRPr="00DE12A3" w:rsidRDefault="005D0E41" w:rsidP="005D0E41">
      <w:pPr>
        <w:jc w:val="both"/>
        <w:rPr>
          <w:b/>
          <w:bCs/>
          <w:color w:val="auto"/>
        </w:rPr>
      </w:pPr>
      <w:r w:rsidRPr="00DE12A3">
        <w:rPr>
          <w:b/>
          <w:bCs/>
          <w:color w:val="auto"/>
        </w:rPr>
        <w:t>3</w:t>
      </w:r>
      <w:r w:rsidR="00242DA0" w:rsidRPr="00DE12A3">
        <w:rPr>
          <w:b/>
          <w:bCs/>
          <w:color w:val="auto"/>
        </w:rPr>
        <w:t xml:space="preserve">. Açıklayıcı Ekteki </w:t>
      </w:r>
      <w:r w:rsidR="0053289F" w:rsidRPr="00DE12A3">
        <w:rPr>
          <w:b/>
          <w:bCs/>
          <w:color w:val="auto"/>
        </w:rPr>
        <w:t>gereklilikleri</w:t>
      </w:r>
      <w:r w:rsidR="00242DA0" w:rsidRPr="00DE12A3">
        <w:rPr>
          <w:b/>
          <w:bCs/>
          <w:color w:val="auto"/>
        </w:rPr>
        <w:t>n istisnaları</w:t>
      </w:r>
    </w:p>
    <w:p w14:paraId="250666B5" w14:textId="6DA65A5A" w:rsidR="002D7B36" w:rsidRPr="00DE12A3" w:rsidRDefault="00242DA0" w:rsidP="005D0E41">
      <w:pPr>
        <w:pStyle w:val="Gvdemetni250"/>
        <w:shd w:val="clear" w:color="auto" w:fill="auto"/>
        <w:spacing w:before="120" w:after="120" w:line="240" w:lineRule="auto"/>
        <w:ind w:firstLine="0"/>
        <w:rPr>
          <w:sz w:val="24"/>
          <w:szCs w:val="24"/>
        </w:rPr>
      </w:pPr>
      <w:r w:rsidRPr="00DE12A3">
        <w:rPr>
          <w:sz w:val="24"/>
          <w:szCs w:val="24"/>
        </w:rPr>
        <w:t xml:space="preserve">Güvenlik kaygılarını hesaba katmak amacıyla, </w:t>
      </w:r>
      <w:r w:rsidR="00FA0678" w:rsidRPr="00DE12A3">
        <w:rPr>
          <w:sz w:val="24"/>
          <w:szCs w:val="24"/>
        </w:rPr>
        <w:t>1. Açıklayıcı Ekin</w:t>
      </w:r>
      <w:r w:rsidRPr="00DE12A3">
        <w:rPr>
          <w:sz w:val="24"/>
          <w:szCs w:val="24"/>
        </w:rPr>
        <w:t xml:space="preserve"> 5. ve 11. bentlerinde belirtilen operatör ikna sistemi, bu Açıklayıcı Ek kapsamındaki motorlara uygulanmaz. Verilerin, bu Açıklayıcı Ekin 4. bendinde belirtilen dahili bilgisayar günlüğünde saklanması şartı, </w:t>
      </w:r>
      <w:r w:rsidR="00FA0678" w:rsidRPr="00DE12A3">
        <w:rPr>
          <w:sz w:val="24"/>
          <w:szCs w:val="24"/>
        </w:rPr>
        <w:t>1. Açıklayıcı Ekin</w:t>
      </w:r>
      <w:r w:rsidRPr="00DE12A3">
        <w:rPr>
          <w:sz w:val="24"/>
          <w:szCs w:val="24"/>
        </w:rPr>
        <w:t xml:space="preserve"> 6.3, 7.3, 8.4 ve 9.4 bentleri uyarınca ikna sisteminin devreye girdiği her durumda uygulanır.</w:t>
      </w:r>
    </w:p>
    <w:p w14:paraId="019F0653" w14:textId="1493D638" w:rsidR="002D7B36" w:rsidRPr="00DE12A3" w:rsidRDefault="005D0E41" w:rsidP="005D0E41">
      <w:pPr>
        <w:jc w:val="both"/>
        <w:rPr>
          <w:b/>
          <w:bCs/>
          <w:color w:val="auto"/>
        </w:rPr>
      </w:pPr>
      <w:r w:rsidRPr="00DE12A3">
        <w:rPr>
          <w:b/>
          <w:bCs/>
          <w:color w:val="auto"/>
        </w:rPr>
        <w:t xml:space="preserve">4. </w:t>
      </w:r>
      <w:r w:rsidR="00242DA0" w:rsidRPr="00DE12A3">
        <w:rPr>
          <w:b/>
          <w:bCs/>
          <w:color w:val="auto"/>
        </w:rPr>
        <w:t>Motorun yetersiz ayıraç enjeksiyonu veya ayıraç kalitesi ile çalışmasına dair olayların saklanmasına ilişkin şart</w:t>
      </w:r>
    </w:p>
    <w:p w14:paraId="4CC24617" w14:textId="08B4A45C" w:rsidR="002D7B36" w:rsidRPr="00DE12A3" w:rsidRDefault="005D0E41" w:rsidP="005D0E41">
      <w:pPr>
        <w:pStyle w:val="Gvdemetni250"/>
        <w:shd w:val="clear" w:color="auto" w:fill="auto"/>
        <w:spacing w:before="120" w:after="120" w:line="240" w:lineRule="auto"/>
        <w:ind w:firstLine="0"/>
        <w:rPr>
          <w:sz w:val="24"/>
          <w:szCs w:val="24"/>
        </w:rPr>
      </w:pPr>
      <w:r w:rsidRPr="00DE12A3">
        <w:rPr>
          <w:sz w:val="24"/>
          <w:szCs w:val="24"/>
        </w:rPr>
        <w:t xml:space="preserve">4.1. </w:t>
      </w:r>
      <w:r w:rsidR="00242DA0" w:rsidRPr="00DE12A3">
        <w:rPr>
          <w:sz w:val="24"/>
          <w:szCs w:val="24"/>
        </w:rPr>
        <w:t>Dahili bilgisayar günlüğü, motorun yetersiz ayıraç enjeksiyonu veya ayıraç kalitesi ile çalışmasına dair tüm olayların toplam sayısını ve süresini, bilgilerin kasıtlı olarak silinememesini sağlayacak şekilde, kalıcı bilgisayar belleğine veya sayaçlara kaydetmelidir.</w:t>
      </w:r>
    </w:p>
    <w:p w14:paraId="5407B314" w14:textId="4EC0A279" w:rsidR="002D7B36" w:rsidRPr="00DE12A3" w:rsidRDefault="005D0E41" w:rsidP="005D0E41">
      <w:pPr>
        <w:pStyle w:val="Gvdemetni250"/>
        <w:shd w:val="clear" w:color="auto" w:fill="auto"/>
        <w:spacing w:before="120" w:after="120" w:line="240" w:lineRule="auto"/>
        <w:ind w:firstLine="709"/>
        <w:rPr>
          <w:sz w:val="24"/>
          <w:szCs w:val="24"/>
        </w:rPr>
      </w:pPr>
      <w:r w:rsidRPr="00DE12A3">
        <w:rPr>
          <w:sz w:val="24"/>
          <w:szCs w:val="24"/>
        </w:rPr>
        <w:t xml:space="preserve">4.1.1. </w:t>
      </w:r>
      <w:r w:rsidR="00242DA0" w:rsidRPr="00DE12A3">
        <w:rPr>
          <w:sz w:val="24"/>
          <w:szCs w:val="24"/>
        </w:rPr>
        <w:t>Ulusal denetim otoritelerinin bir tarama aletiyle bu kayıtları okuması mümkün olmalıdır.</w:t>
      </w:r>
    </w:p>
    <w:p w14:paraId="466DD996" w14:textId="33565036" w:rsidR="002D7B36" w:rsidRPr="00DE12A3" w:rsidRDefault="005D0E41" w:rsidP="005D0E41">
      <w:pPr>
        <w:pStyle w:val="Gvdemetni250"/>
        <w:shd w:val="clear" w:color="auto" w:fill="auto"/>
        <w:spacing w:before="120" w:after="120" w:line="240" w:lineRule="auto"/>
        <w:ind w:firstLine="709"/>
        <w:rPr>
          <w:sz w:val="24"/>
          <w:szCs w:val="24"/>
        </w:rPr>
      </w:pPr>
      <w:r w:rsidRPr="00DE12A3">
        <w:rPr>
          <w:sz w:val="24"/>
          <w:szCs w:val="24"/>
        </w:rPr>
        <w:t xml:space="preserve">4.1.2. </w:t>
      </w:r>
      <w:r w:rsidR="00242DA0" w:rsidRPr="00DE12A3">
        <w:rPr>
          <w:sz w:val="24"/>
          <w:szCs w:val="24"/>
        </w:rPr>
        <w:t xml:space="preserve">Bu kayıtlara ilişkin bağlantıya ve okuma yöntemine dair açıklama, </w:t>
      </w:r>
      <w:r w:rsidR="00EE5D5E" w:rsidRPr="00DE12A3">
        <w:rPr>
          <w:sz w:val="24"/>
          <w:szCs w:val="24"/>
        </w:rPr>
        <w:t xml:space="preserve">2017/656/AB Tebliğinin I’inci </w:t>
      </w:r>
      <w:r w:rsidR="00EC3EF0" w:rsidRPr="00DE12A3">
        <w:rPr>
          <w:sz w:val="24"/>
          <w:szCs w:val="24"/>
        </w:rPr>
        <w:t>Ekinin</w:t>
      </w:r>
      <w:r w:rsidR="00242DA0" w:rsidRPr="00DE12A3">
        <w:rPr>
          <w:sz w:val="24"/>
          <w:szCs w:val="24"/>
        </w:rPr>
        <w:t xml:space="preserve"> A Bölümünde belirtilen bilgi klasörüne eklenmelidir.</w:t>
      </w:r>
    </w:p>
    <w:p w14:paraId="7F4128BA" w14:textId="2107D90A" w:rsidR="002D7B36" w:rsidRPr="00DE12A3" w:rsidRDefault="005D0E41" w:rsidP="005D0E41">
      <w:pPr>
        <w:pStyle w:val="Gvdemetni250"/>
        <w:shd w:val="clear" w:color="auto" w:fill="auto"/>
        <w:spacing w:before="120" w:after="120" w:line="240" w:lineRule="auto"/>
        <w:ind w:firstLine="0"/>
        <w:rPr>
          <w:sz w:val="24"/>
          <w:szCs w:val="24"/>
        </w:rPr>
      </w:pPr>
      <w:r w:rsidRPr="00DE12A3">
        <w:rPr>
          <w:sz w:val="24"/>
          <w:szCs w:val="24"/>
        </w:rPr>
        <w:t xml:space="preserve">4.2. </w:t>
      </w:r>
      <w:r w:rsidR="00FA0678" w:rsidRPr="00DE12A3">
        <w:rPr>
          <w:sz w:val="24"/>
          <w:szCs w:val="24"/>
        </w:rPr>
        <w:t>1. Açıklayıcı Ekin</w:t>
      </w:r>
      <w:r w:rsidR="00242DA0" w:rsidRPr="00DE12A3">
        <w:rPr>
          <w:sz w:val="24"/>
          <w:szCs w:val="24"/>
        </w:rPr>
        <w:t xml:space="preserve"> 6.3 bendi uyarınca bir ikna sistemi yerine, 4.1 bendinde belirtilen dahili bilgisayar günlüğüne kaydedilen bir yetersiz ayıraç seviyesi olayının süresi, ayıraç tankı boşaldığında, yani dozaj sistemi tanktan daha fazla ayıraç çekemediğinde veya imalatçının takdirine bağlı olarak, nominal tam kapasitesinin %2,5'inin altındaki herhangi bir seviyede başlar.</w:t>
      </w:r>
    </w:p>
    <w:p w14:paraId="01C47497" w14:textId="6661F089" w:rsidR="002D7B36" w:rsidRPr="00DE12A3" w:rsidRDefault="005D0E41" w:rsidP="005D0E41">
      <w:pPr>
        <w:pStyle w:val="Gvdemetni250"/>
        <w:shd w:val="clear" w:color="auto" w:fill="auto"/>
        <w:spacing w:before="120" w:after="120" w:line="240" w:lineRule="auto"/>
        <w:ind w:firstLine="0"/>
        <w:rPr>
          <w:sz w:val="24"/>
          <w:szCs w:val="24"/>
        </w:rPr>
      </w:pPr>
      <w:r w:rsidRPr="00DE12A3">
        <w:rPr>
          <w:sz w:val="24"/>
          <w:szCs w:val="24"/>
        </w:rPr>
        <w:t xml:space="preserve">4.3. </w:t>
      </w:r>
      <w:r w:rsidR="00FA0678" w:rsidRPr="00DE12A3">
        <w:rPr>
          <w:sz w:val="24"/>
          <w:szCs w:val="24"/>
        </w:rPr>
        <w:t>1. Açıklayıcı Ekin</w:t>
      </w:r>
      <w:r w:rsidR="00242DA0" w:rsidRPr="00DE12A3">
        <w:rPr>
          <w:sz w:val="24"/>
          <w:szCs w:val="24"/>
        </w:rPr>
        <w:t xml:space="preserve"> 7.3, 8.4 ve 9.4 bentlerinde belirtilen ikna sistemi yerine, 4.1 bendinde belirtilen dahili bilgisayar günlüğüne kaydedilen bir olayın süresi, ilgili sayaç 1. Açıklayıcı Ekte Tablo 4.4'teki ağır seviye ikna değerine ulaştığında başlar.</w:t>
      </w:r>
    </w:p>
    <w:p w14:paraId="68B972A2" w14:textId="2C74F733" w:rsidR="002D7B36" w:rsidRPr="00DE12A3" w:rsidRDefault="005D0E41" w:rsidP="005D0E41">
      <w:pPr>
        <w:pStyle w:val="Gvdemetni250"/>
        <w:shd w:val="clear" w:color="auto" w:fill="auto"/>
        <w:spacing w:before="120" w:after="120" w:line="240" w:lineRule="auto"/>
        <w:ind w:firstLine="0"/>
        <w:rPr>
          <w:sz w:val="24"/>
          <w:szCs w:val="24"/>
        </w:rPr>
      </w:pPr>
      <w:r w:rsidRPr="00DE12A3">
        <w:rPr>
          <w:sz w:val="24"/>
          <w:szCs w:val="24"/>
        </w:rPr>
        <w:t xml:space="preserve">4.4. </w:t>
      </w:r>
      <w:r w:rsidR="00FA0678" w:rsidRPr="00DE12A3">
        <w:rPr>
          <w:sz w:val="24"/>
          <w:szCs w:val="24"/>
        </w:rPr>
        <w:t>1. Açıklayıcı Ekin</w:t>
      </w:r>
      <w:r w:rsidR="00242DA0" w:rsidRPr="00DE12A3">
        <w:rPr>
          <w:sz w:val="24"/>
          <w:szCs w:val="24"/>
        </w:rPr>
        <w:t xml:space="preserve"> 2.3.2.3.2 bendinde belirtilen ikna sistemi yerine, 4.1 bendinde belirtilen dahili bilgisayar günlüğüne kaydedilen bir olayın süresi, ikna sisteminin devreye girmesi gereken zaman başlar.</w:t>
      </w:r>
    </w:p>
    <w:p w14:paraId="2D6FB062" w14:textId="47B9613F" w:rsidR="002D7B36" w:rsidRPr="00DE12A3" w:rsidRDefault="005D0E41" w:rsidP="005D0E41">
      <w:pPr>
        <w:pStyle w:val="Gvdemetni250"/>
        <w:shd w:val="clear" w:color="auto" w:fill="auto"/>
        <w:spacing w:before="120" w:after="120" w:line="240" w:lineRule="auto"/>
        <w:ind w:firstLine="0"/>
        <w:rPr>
          <w:sz w:val="24"/>
          <w:szCs w:val="24"/>
        </w:rPr>
      </w:pPr>
      <w:r w:rsidRPr="00DE12A3">
        <w:rPr>
          <w:sz w:val="24"/>
          <w:szCs w:val="24"/>
        </w:rPr>
        <w:t xml:space="preserve">4.5. </w:t>
      </w:r>
      <w:r w:rsidR="00242DA0" w:rsidRPr="00DE12A3">
        <w:rPr>
          <w:sz w:val="24"/>
          <w:szCs w:val="24"/>
        </w:rPr>
        <w:t>4.1 bendinde belirtilen dahili bilgisayar günlüğüne kaydedilen bir olayın süresi, olay düzeltildiğinde sona erer.</w:t>
      </w:r>
    </w:p>
    <w:p w14:paraId="30CE6FED" w14:textId="02F6B06D" w:rsidR="002D7B36" w:rsidRPr="00DE12A3" w:rsidRDefault="005D0E41" w:rsidP="005D0E41">
      <w:pPr>
        <w:pStyle w:val="Gvdemetni250"/>
        <w:shd w:val="clear" w:color="auto" w:fill="auto"/>
        <w:spacing w:before="120" w:after="120" w:line="240" w:lineRule="auto"/>
        <w:ind w:firstLine="0"/>
        <w:rPr>
          <w:sz w:val="24"/>
          <w:szCs w:val="24"/>
        </w:rPr>
      </w:pPr>
      <w:r w:rsidRPr="00DE12A3">
        <w:rPr>
          <w:sz w:val="24"/>
          <w:szCs w:val="24"/>
        </w:rPr>
        <w:t xml:space="preserve">4.6. </w:t>
      </w:r>
      <w:r w:rsidR="00FA0678" w:rsidRPr="00DE12A3">
        <w:rPr>
          <w:sz w:val="24"/>
          <w:szCs w:val="24"/>
        </w:rPr>
        <w:t>1. Açıklayıcı Ekin</w:t>
      </w:r>
      <w:r w:rsidR="00242DA0" w:rsidRPr="00DE12A3">
        <w:rPr>
          <w:sz w:val="24"/>
          <w:szCs w:val="24"/>
        </w:rPr>
        <w:t xml:space="preserve"> 10.4 bendi uyarınca bir ispat yapılırken, söz konusu ispat, ağır seviye ikna sisteminin ispatı için geçerli olan şartlar uyarınca yapılmalı, ancak ağır seviye ikna sisteminin ispatın yerini, motorun yetersiz ayıraç enjeksiyonu veya ayıraç kalitesi ile çalışması olayının saklandığına dair ispat almalıdır.</w:t>
      </w:r>
    </w:p>
    <w:p w14:paraId="22DF75B8" w14:textId="77777777" w:rsidR="005D0E41" w:rsidRPr="00DE12A3" w:rsidRDefault="005D0E41">
      <w:pPr>
        <w:widowControl/>
        <w:rPr>
          <w:rFonts w:cs="Times New Roman"/>
          <w:b/>
          <w:color w:val="auto"/>
          <w:spacing w:val="-2"/>
        </w:rPr>
      </w:pPr>
      <w:r w:rsidRPr="00DE12A3">
        <w:rPr>
          <w:rFonts w:cs="Times New Roman"/>
          <w:color w:val="auto"/>
          <w:spacing w:val="-2"/>
        </w:rPr>
        <w:br w:type="page"/>
      </w:r>
    </w:p>
    <w:p w14:paraId="37180C72" w14:textId="74DB79E0" w:rsidR="002D7B36" w:rsidRPr="00DE12A3" w:rsidRDefault="00242DA0" w:rsidP="005D0E41">
      <w:pPr>
        <w:pStyle w:val="Balk2"/>
        <w:rPr>
          <w:color w:val="auto"/>
          <w:lang w:eastAsia="en-US"/>
        </w:rPr>
      </w:pPr>
      <w:r w:rsidRPr="00DE12A3">
        <w:rPr>
          <w:color w:val="auto"/>
          <w:lang w:eastAsia="en-US"/>
        </w:rPr>
        <w:lastRenderedPageBreak/>
        <w:t>3. Açıklayıcı Ek</w:t>
      </w:r>
    </w:p>
    <w:p w14:paraId="30A2415D" w14:textId="77777777" w:rsidR="002D7B36" w:rsidRPr="00DE12A3" w:rsidRDefault="00242DA0" w:rsidP="00AC1277">
      <w:pPr>
        <w:pStyle w:val="Gvdemetni50"/>
        <w:shd w:val="clear" w:color="auto" w:fill="auto"/>
        <w:spacing w:before="120" w:after="120" w:line="240" w:lineRule="auto"/>
        <w:ind w:left="1134" w:hanging="1134"/>
        <w:rPr>
          <w:bCs w:val="0"/>
          <w:spacing w:val="3"/>
          <w:sz w:val="24"/>
          <w:szCs w:val="24"/>
        </w:rPr>
      </w:pPr>
      <w:r w:rsidRPr="00DE12A3">
        <w:rPr>
          <w:spacing w:val="3"/>
          <w:sz w:val="24"/>
          <w:szCs w:val="24"/>
        </w:rPr>
        <w:t>RLL kategorisindeki motorlar için NOx kontrol tedbirleri ile ilgili ek teknik şartlar</w:t>
      </w:r>
    </w:p>
    <w:p w14:paraId="5BB25F5B" w14:textId="441CBBB4" w:rsidR="002D7B36" w:rsidRPr="00DE12A3" w:rsidRDefault="005737AB" w:rsidP="00EC53ED">
      <w:pPr>
        <w:rPr>
          <w:b/>
          <w:color w:val="auto"/>
        </w:rPr>
      </w:pPr>
      <w:r w:rsidRPr="00DE12A3">
        <w:rPr>
          <w:b/>
          <w:color w:val="auto"/>
        </w:rPr>
        <w:t xml:space="preserve">1. </w:t>
      </w:r>
      <w:r w:rsidR="00242DA0" w:rsidRPr="00DE12A3">
        <w:rPr>
          <w:b/>
          <w:color w:val="auto"/>
        </w:rPr>
        <w:t>Giriş</w:t>
      </w:r>
    </w:p>
    <w:p w14:paraId="65010657" w14:textId="46B36572" w:rsidR="002D7B36" w:rsidRPr="00DE12A3" w:rsidRDefault="00242DA0" w:rsidP="00EC53ED">
      <w:pPr>
        <w:pStyle w:val="Gvdemetni250"/>
        <w:shd w:val="clear" w:color="auto" w:fill="auto"/>
        <w:spacing w:before="120" w:after="120" w:line="240" w:lineRule="auto"/>
        <w:ind w:firstLine="0"/>
        <w:rPr>
          <w:sz w:val="24"/>
          <w:szCs w:val="24"/>
        </w:rPr>
      </w:pPr>
      <w:r w:rsidRPr="00DE12A3">
        <w:rPr>
          <w:sz w:val="24"/>
          <w:szCs w:val="24"/>
        </w:rPr>
        <w:t xml:space="preserve">Bu Açıklayıcı Ek, RLL kategorisindeki motorlar için NOx kontrol tedbirlerinin doğru işlemesini sağlamaya yönelik ek </w:t>
      </w:r>
      <w:r w:rsidR="0053289F" w:rsidRPr="00DE12A3">
        <w:rPr>
          <w:sz w:val="24"/>
          <w:szCs w:val="24"/>
        </w:rPr>
        <w:t>gereklilikleri</w:t>
      </w:r>
      <w:r w:rsidRPr="00DE12A3">
        <w:rPr>
          <w:sz w:val="24"/>
          <w:szCs w:val="24"/>
        </w:rPr>
        <w:t xml:space="preserve"> ortaya koymaktadır. Emisyonları azaltmak için bir ayıraç kullanılmasına dayanan motorlara ilişkin </w:t>
      </w:r>
      <w:r w:rsidR="0053289F" w:rsidRPr="00DE12A3">
        <w:rPr>
          <w:sz w:val="24"/>
          <w:szCs w:val="24"/>
        </w:rPr>
        <w:t>gereklilikleri</w:t>
      </w:r>
      <w:r w:rsidRPr="00DE12A3">
        <w:rPr>
          <w:sz w:val="24"/>
          <w:szCs w:val="24"/>
        </w:rPr>
        <w:t xml:space="preserve"> içermektedir. AB tip onayı, bu Açıklayıcı Ek'te belirtilen, operatör talimatı, montaj dokümanları ve operatör uyarı sistemi hakkındaki ilgili hükümlerin uygulanması şartına bağlı olmalıdır.</w:t>
      </w:r>
    </w:p>
    <w:p w14:paraId="735D211A" w14:textId="485BDA09" w:rsidR="002D7B36" w:rsidRPr="00DE12A3" w:rsidRDefault="005737AB" w:rsidP="00EC53ED">
      <w:pPr>
        <w:rPr>
          <w:b/>
          <w:color w:val="auto"/>
        </w:rPr>
      </w:pPr>
      <w:r w:rsidRPr="00DE12A3">
        <w:rPr>
          <w:b/>
          <w:color w:val="auto"/>
        </w:rPr>
        <w:t xml:space="preserve">2. </w:t>
      </w:r>
      <w:r w:rsidR="00242DA0" w:rsidRPr="00DE12A3">
        <w:rPr>
          <w:b/>
          <w:color w:val="auto"/>
        </w:rPr>
        <w:t>Gerekli bilgiler</w:t>
      </w:r>
    </w:p>
    <w:p w14:paraId="56CBD90E" w14:textId="114FE536" w:rsidR="002D7B36" w:rsidRPr="00DE12A3" w:rsidRDefault="005737AB" w:rsidP="00EC53ED">
      <w:pPr>
        <w:pStyle w:val="Gvdemetni250"/>
        <w:shd w:val="clear" w:color="auto" w:fill="auto"/>
        <w:spacing w:before="120" w:after="120" w:line="240" w:lineRule="auto"/>
        <w:ind w:firstLine="0"/>
        <w:rPr>
          <w:sz w:val="24"/>
          <w:szCs w:val="24"/>
        </w:rPr>
      </w:pPr>
      <w:r w:rsidRPr="00DE12A3">
        <w:rPr>
          <w:sz w:val="24"/>
          <w:szCs w:val="24"/>
        </w:rPr>
        <w:t xml:space="preserve">2.1. </w:t>
      </w:r>
      <w:r w:rsidR="00242DA0" w:rsidRPr="00DE12A3">
        <w:rPr>
          <w:sz w:val="24"/>
          <w:szCs w:val="24"/>
        </w:rPr>
        <w:t xml:space="preserve">İmalatçı, </w:t>
      </w:r>
      <w:r w:rsidR="00EE5D5E" w:rsidRPr="00DE12A3">
        <w:rPr>
          <w:sz w:val="24"/>
          <w:szCs w:val="24"/>
        </w:rPr>
        <w:t xml:space="preserve">2017/656/AB Tebliğinin I’inci </w:t>
      </w:r>
      <w:r w:rsidR="00EC3EF0" w:rsidRPr="00DE12A3">
        <w:rPr>
          <w:sz w:val="24"/>
          <w:szCs w:val="24"/>
        </w:rPr>
        <w:t>Ekinin</w:t>
      </w:r>
      <w:r w:rsidR="00242DA0" w:rsidRPr="00DE12A3">
        <w:rPr>
          <w:sz w:val="24"/>
          <w:szCs w:val="24"/>
        </w:rPr>
        <w:t xml:space="preserve"> A Bölümünün 1.5 bendi uyarınca, NOx kontrol tedbirlerinin işlevsel kullanım özelliklerini eksiksiz olarak açıklayan bilgileri sağlamalıdır.</w:t>
      </w:r>
    </w:p>
    <w:p w14:paraId="6552DC9A" w14:textId="01ED8E72" w:rsidR="002D7B36" w:rsidRPr="00DE12A3" w:rsidRDefault="005737AB" w:rsidP="00EC53ED">
      <w:pPr>
        <w:pStyle w:val="Gvdemetni250"/>
        <w:shd w:val="clear" w:color="auto" w:fill="auto"/>
        <w:spacing w:before="120" w:after="120" w:line="240" w:lineRule="auto"/>
        <w:ind w:firstLine="0"/>
        <w:rPr>
          <w:sz w:val="24"/>
          <w:szCs w:val="24"/>
        </w:rPr>
      </w:pPr>
      <w:r w:rsidRPr="00DE12A3">
        <w:rPr>
          <w:sz w:val="24"/>
          <w:szCs w:val="24"/>
        </w:rPr>
        <w:t xml:space="preserve">2.2. </w:t>
      </w:r>
      <w:r w:rsidR="00242DA0" w:rsidRPr="00DE12A3">
        <w:rPr>
          <w:sz w:val="24"/>
          <w:szCs w:val="24"/>
        </w:rPr>
        <w:t xml:space="preserve">Emisyon kontrol sistemi bir ayıraç gerektiriyorsa, ayıracın tipi, solüsyon içinde olduğunda ayıraç konsantrasyonu hakkında bilgi, çalışma sıcaklığı koşulları, bileşimine ve kalitesine ve diğer özelliklerine ilişkin uluslararası standartlara atıf da dahil olmak üzere söz konusu ayıracın özellikleri, imalatçı tarafından </w:t>
      </w:r>
      <w:r w:rsidR="00EE5D5E" w:rsidRPr="00DE12A3">
        <w:rPr>
          <w:sz w:val="24"/>
          <w:szCs w:val="24"/>
        </w:rPr>
        <w:t xml:space="preserve">2017/656/AB Tebliğinin I’inci </w:t>
      </w:r>
      <w:r w:rsidR="00EC3EF0" w:rsidRPr="00DE12A3">
        <w:rPr>
          <w:sz w:val="24"/>
          <w:szCs w:val="24"/>
        </w:rPr>
        <w:t>Ekinin</w:t>
      </w:r>
      <w:r w:rsidR="00242DA0" w:rsidRPr="00DE12A3">
        <w:rPr>
          <w:sz w:val="24"/>
          <w:szCs w:val="24"/>
        </w:rPr>
        <w:t xml:space="preserve"> </w:t>
      </w:r>
      <w:r w:rsidR="00CD23C3" w:rsidRPr="00DE12A3">
        <w:rPr>
          <w:sz w:val="24"/>
          <w:szCs w:val="24"/>
        </w:rPr>
        <w:t>3. Açıklayıcı Ek</w:t>
      </w:r>
      <w:r w:rsidR="00242DA0" w:rsidRPr="00DE12A3">
        <w:rPr>
          <w:sz w:val="24"/>
          <w:szCs w:val="24"/>
        </w:rPr>
        <w:t>inde belirtilen bilgi dokümanı içinde belirtilmelidir.</w:t>
      </w:r>
    </w:p>
    <w:p w14:paraId="36E5FD14" w14:textId="42C6A313" w:rsidR="002D7B36" w:rsidRPr="00DE12A3" w:rsidRDefault="005737AB" w:rsidP="00AC1277">
      <w:pPr>
        <w:rPr>
          <w:b/>
          <w:bCs/>
          <w:color w:val="auto"/>
        </w:rPr>
      </w:pPr>
      <w:r w:rsidRPr="00DE12A3">
        <w:rPr>
          <w:b/>
          <w:bCs/>
          <w:color w:val="auto"/>
        </w:rPr>
        <w:t xml:space="preserve">3. </w:t>
      </w:r>
      <w:r w:rsidR="00242DA0" w:rsidRPr="00DE12A3">
        <w:rPr>
          <w:b/>
          <w:bCs/>
          <w:color w:val="auto"/>
        </w:rPr>
        <w:t>Ayıraç yeterliliği ve operatör uyarı sistemi</w:t>
      </w:r>
    </w:p>
    <w:p w14:paraId="302AA8C8" w14:textId="3FD9F3B8" w:rsidR="002D7B36" w:rsidRPr="00DE12A3" w:rsidRDefault="00242DA0" w:rsidP="00EC53ED">
      <w:pPr>
        <w:pStyle w:val="Gvdemetni250"/>
        <w:shd w:val="clear" w:color="auto" w:fill="auto"/>
        <w:spacing w:before="120" w:after="120" w:line="240" w:lineRule="auto"/>
        <w:ind w:firstLine="0"/>
        <w:rPr>
          <w:sz w:val="24"/>
          <w:szCs w:val="24"/>
        </w:rPr>
      </w:pPr>
      <w:r w:rsidRPr="00DE12A3">
        <w:rPr>
          <w:sz w:val="24"/>
          <w:szCs w:val="24"/>
        </w:rPr>
        <w:t>Bir ayıraç kullanıldığında AB tip onayı, karayolu dışında kullanılan hareketli makinaların yapılandırmasına göre, operatörü aşağıdakiler hakkında bilgilendiren göstergeler veya diğer uygun imkanlar sağlanmasına bağlıdır:</w:t>
      </w:r>
    </w:p>
    <w:p w14:paraId="6F99C331" w14:textId="451E281A" w:rsidR="002D7B36" w:rsidRPr="00DE12A3" w:rsidRDefault="00EC53ED" w:rsidP="00EC53ED">
      <w:pPr>
        <w:pStyle w:val="Gvdemetni250"/>
        <w:shd w:val="clear" w:color="auto" w:fill="auto"/>
        <w:spacing w:before="120" w:after="120" w:line="240" w:lineRule="auto"/>
        <w:ind w:firstLine="0"/>
        <w:rPr>
          <w:sz w:val="24"/>
          <w:szCs w:val="24"/>
        </w:rPr>
      </w:pPr>
      <w:r w:rsidRPr="00DE12A3">
        <w:rPr>
          <w:sz w:val="24"/>
          <w:szCs w:val="24"/>
        </w:rPr>
        <w:t xml:space="preserve">(a) </w:t>
      </w:r>
      <w:r w:rsidR="001F4F5F" w:rsidRPr="00DE12A3">
        <w:rPr>
          <w:sz w:val="24"/>
          <w:szCs w:val="24"/>
        </w:rPr>
        <w:t>Ayıraç</w:t>
      </w:r>
      <w:r w:rsidR="00242DA0" w:rsidRPr="00DE12A3">
        <w:rPr>
          <w:sz w:val="24"/>
          <w:szCs w:val="24"/>
        </w:rPr>
        <w:t xml:space="preserve"> tankında kalan ayıraç miktarı ve ek bir özel sinyal ile geriye kalan ayıraç miktarının tam tank kapasitesinin %10'undan daha az olduğu</w:t>
      </w:r>
      <w:r w:rsidR="00DE725A" w:rsidRPr="00DE12A3">
        <w:rPr>
          <w:sz w:val="24"/>
          <w:szCs w:val="24"/>
        </w:rPr>
        <w:t>.</w:t>
      </w:r>
    </w:p>
    <w:p w14:paraId="78E21407" w14:textId="30F5549F" w:rsidR="002D7B36" w:rsidRPr="00DE12A3" w:rsidRDefault="00EC53ED" w:rsidP="00EC53ED">
      <w:pPr>
        <w:pStyle w:val="Gvdemetni250"/>
        <w:shd w:val="clear" w:color="auto" w:fill="auto"/>
        <w:spacing w:before="120" w:after="120" w:line="240" w:lineRule="auto"/>
        <w:ind w:firstLine="0"/>
        <w:rPr>
          <w:sz w:val="24"/>
          <w:szCs w:val="24"/>
        </w:rPr>
      </w:pPr>
      <w:r w:rsidRPr="00DE12A3">
        <w:rPr>
          <w:sz w:val="24"/>
          <w:szCs w:val="24"/>
        </w:rPr>
        <w:t xml:space="preserve">(b) </w:t>
      </w:r>
      <w:r w:rsidR="001F4F5F" w:rsidRPr="00DE12A3">
        <w:rPr>
          <w:sz w:val="24"/>
          <w:szCs w:val="24"/>
        </w:rPr>
        <w:t>Ayıraç</w:t>
      </w:r>
      <w:r w:rsidR="00242DA0" w:rsidRPr="00DE12A3">
        <w:rPr>
          <w:sz w:val="24"/>
          <w:szCs w:val="24"/>
        </w:rPr>
        <w:t xml:space="preserve"> tankının boşaldığı veya neredeyse boşaldığı</w:t>
      </w:r>
      <w:r w:rsidR="00DE725A" w:rsidRPr="00DE12A3">
        <w:rPr>
          <w:sz w:val="24"/>
          <w:szCs w:val="24"/>
        </w:rPr>
        <w:t>.</w:t>
      </w:r>
    </w:p>
    <w:p w14:paraId="142739AC" w14:textId="25DE0F87" w:rsidR="002D7B36" w:rsidRPr="00DE12A3" w:rsidRDefault="00EC53ED" w:rsidP="00EC53ED">
      <w:pPr>
        <w:pStyle w:val="Gvdemetni250"/>
        <w:shd w:val="clear" w:color="auto" w:fill="auto"/>
        <w:spacing w:before="120" w:after="120" w:line="240" w:lineRule="auto"/>
        <w:ind w:firstLine="0"/>
        <w:rPr>
          <w:sz w:val="24"/>
          <w:szCs w:val="24"/>
        </w:rPr>
      </w:pPr>
      <w:r w:rsidRPr="00DE12A3">
        <w:rPr>
          <w:sz w:val="24"/>
          <w:szCs w:val="24"/>
        </w:rPr>
        <w:t xml:space="preserve">(c) </w:t>
      </w:r>
      <w:r w:rsidR="001F4F5F" w:rsidRPr="00DE12A3">
        <w:rPr>
          <w:sz w:val="24"/>
          <w:szCs w:val="24"/>
        </w:rPr>
        <w:t>Depolama</w:t>
      </w:r>
      <w:r w:rsidR="00242DA0" w:rsidRPr="00DE12A3">
        <w:rPr>
          <w:sz w:val="24"/>
          <w:szCs w:val="24"/>
        </w:rPr>
        <w:t xml:space="preserve"> tankındaki ayıracın, takılı değerlendirme imkanları uyarınca, beyan edilen ve </w:t>
      </w:r>
      <w:r w:rsidR="00EE5D5E" w:rsidRPr="00DE12A3">
        <w:rPr>
          <w:sz w:val="24"/>
          <w:szCs w:val="24"/>
        </w:rPr>
        <w:t xml:space="preserve">2017/656/AB </w:t>
      </w:r>
      <w:r w:rsidR="006F6A17" w:rsidRPr="00DE12A3">
        <w:rPr>
          <w:sz w:val="24"/>
          <w:szCs w:val="24"/>
        </w:rPr>
        <w:t>Tebliği</w:t>
      </w:r>
      <w:r w:rsidR="00DE725A" w:rsidRPr="00DE12A3">
        <w:rPr>
          <w:sz w:val="24"/>
          <w:szCs w:val="24"/>
        </w:rPr>
        <w:t>nin</w:t>
      </w:r>
      <w:r w:rsidR="006F6A17" w:rsidRPr="00DE12A3">
        <w:rPr>
          <w:sz w:val="24"/>
          <w:szCs w:val="24"/>
        </w:rPr>
        <w:t xml:space="preserve"> I’inci</w:t>
      </w:r>
      <w:r w:rsidR="00EE5D5E" w:rsidRPr="00DE12A3">
        <w:rPr>
          <w:sz w:val="24"/>
          <w:szCs w:val="24"/>
        </w:rPr>
        <w:t xml:space="preserve"> </w:t>
      </w:r>
      <w:r w:rsidR="00EC3EF0" w:rsidRPr="00DE12A3">
        <w:rPr>
          <w:sz w:val="24"/>
          <w:szCs w:val="24"/>
        </w:rPr>
        <w:t>Ekinin</w:t>
      </w:r>
      <w:r w:rsidR="00242DA0" w:rsidRPr="00DE12A3">
        <w:rPr>
          <w:sz w:val="24"/>
          <w:szCs w:val="24"/>
        </w:rPr>
        <w:t xml:space="preserve"> </w:t>
      </w:r>
      <w:r w:rsidR="00CD23C3" w:rsidRPr="00DE12A3">
        <w:rPr>
          <w:sz w:val="24"/>
          <w:szCs w:val="24"/>
        </w:rPr>
        <w:t>3. Açıklayıcı Ek</w:t>
      </w:r>
      <w:r w:rsidR="00242DA0" w:rsidRPr="00DE12A3">
        <w:rPr>
          <w:sz w:val="24"/>
          <w:szCs w:val="24"/>
        </w:rPr>
        <w:t>inde belirtilen bilgi dokümanı içine kaydedilen özelliklere uymadığı.</w:t>
      </w:r>
    </w:p>
    <w:p w14:paraId="3FDC28F7" w14:textId="70657141" w:rsidR="002D7B36" w:rsidRPr="00DE12A3" w:rsidRDefault="00EC53ED" w:rsidP="00EC53ED">
      <w:pPr>
        <w:pStyle w:val="Gvdemetni250"/>
        <w:shd w:val="clear" w:color="auto" w:fill="auto"/>
        <w:spacing w:before="120" w:after="120" w:line="240" w:lineRule="auto"/>
        <w:ind w:firstLine="0"/>
        <w:rPr>
          <w:sz w:val="24"/>
          <w:szCs w:val="24"/>
        </w:rPr>
      </w:pPr>
      <w:r w:rsidRPr="00DE12A3">
        <w:rPr>
          <w:sz w:val="24"/>
          <w:szCs w:val="24"/>
        </w:rPr>
        <w:t>(d)</w:t>
      </w:r>
      <w:r w:rsidR="00B809B6" w:rsidRPr="00DE12A3">
        <w:rPr>
          <w:sz w:val="24"/>
          <w:szCs w:val="24"/>
        </w:rPr>
        <w:t xml:space="preserve"> </w:t>
      </w:r>
      <w:r w:rsidR="001F4F5F" w:rsidRPr="00DE12A3">
        <w:rPr>
          <w:sz w:val="24"/>
          <w:szCs w:val="24"/>
        </w:rPr>
        <w:t>Motor</w:t>
      </w:r>
      <w:r w:rsidR="00242DA0" w:rsidRPr="00DE12A3">
        <w:rPr>
          <w:sz w:val="24"/>
          <w:szCs w:val="24"/>
        </w:rPr>
        <w:t xml:space="preserve"> ECU'su veya dozaj kontrolörü tarafından yapılanlar dışındaki hallerde ayıraç dozaj faaliyetinin kesintiye uğradığı, dozajın gerekli olmadığı hallerde motor çalışma koşullarının </w:t>
      </w:r>
      <w:r w:rsidR="007E2039" w:rsidRPr="00DE12A3">
        <w:rPr>
          <w:sz w:val="24"/>
          <w:szCs w:val="24"/>
        </w:rPr>
        <w:t xml:space="preserve">onay </w:t>
      </w:r>
      <w:r w:rsidR="006F6A17" w:rsidRPr="00DE12A3">
        <w:rPr>
          <w:sz w:val="24"/>
          <w:szCs w:val="24"/>
        </w:rPr>
        <w:t>kuruluşuna sunulmuş</w:t>
      </w:r>
      <w:r w:rsidR="00242DA0" w:rsidRPr="00DE12A3">
        <w:rPr>
          <w:sz w:val="24"/>
          <w:szCs w:val="24"/>
        </w:rPr>
        <w:t xml:space="preserve"> olması kaydıyla bu çalışma koşullarına tepki verildiği.</w:t>
      </w:r>
    </w:p>
    <w:p w14:paraId="7C1C6F62" w14:textId="3C2D6DDB" w:rsidR="002D7B36" w:rsidRPr="00DE12A3" w:rsidRDefault="00EC53ED" w:rsidP="00EC53ED">
      <w:pPr>
        <w:rPr>
          <w:b/>
          <w:color w:val="auto"/>
        </w:rPr>
      </w:pPr>
      <w:r w:rsidRPr="00DE12A3">
        <w:rPr>
          <w:b/>
          <w:color w:val="auto"/>
        </w:rPr>
        <w:t xml:space="preserve">4. </w:t>
      </w:r>
      <w:r w:rsidR="00242DA0" w:rsidRPr="00DE12A3">
        <w:rPr>
          <w:b/>
          <w:color w:val="auto"/>
        </w:rPr>
        <w:t>Ayıraç kalitesi</w:t>
      </w:r>
    </w:p>
    <w:p w14:paraId="69E9F2C4" w14:textId="126287E2" w:rsidR="002D7B36" w:rsidRPr="00DE12A3" w:rsidRDefault="00242DA0" w:rsidP="00EC53ED">
      <w:pPr>
        <w:pStyle w:val="Gvdemetni250"/>
        <w:shd w:val="clear" w:color="auto" w:fill="auto"/>
        <w:spacing w:before="120" w:after="120" w:line="240" w:lineRule="auto"/>
        <w:ind w:firstLine="0"/>
        <w:rPr>
          <w:sz w:val="24"/>
          <w:szCs w:val="24"/>
        </w:rPr>
      </w:pPr>
      <w:r w:rsidRPr="00DE12A3">
        <w:rPr>
          <w:sz w:val="24"/>
          <w:szCs w:val="24"/>
        </w:rPr>
        <w:t xml:space="preserve">İmalatçının tercihine bağlı olarak, beyan edilen özelliklere ve bununla bağlantılı NOx emisyon toleransına ilişkin ayıraç uyumluluk </w:t>
      </w:r>
      <w:r w:rsidR="0053289F" w:rsidRPr="00DE12A3">
        <w:rPr>
          <w:sz w:val="24"/>
          <w:szCs w:val="24"/>
        </w:rPr>
        <w:t>gereklilikleri</w:t>
      </w:r>
      <w:r w:rsidRPr="00DE12A3">
        <w:rPr>
          <w:sz w:val="24"/>
          <w:szCs w:val="24"/>
        </w:rPr>
        <w:t xml:space="preserve"> aşağıdaki imkanlardan biri ile sağlanmalıdır:</w:t>
      </w:r>
    </w:p>
    <w:p w14:paraId="4F134642" w14:textId="625DF7AD" w:rsidR="002D7B36" w:rsidRPr="00DE12A3" w:rsidRDefault="00EC53ED" w:rsidP="00EC53ED">
      <w:pPr>
        <w:pStyle w:val="Gvdemetni250"/>
        <w:shd w:val="clear" w:color="auto" w:fill="auto"/>
        <w:spacing w:before="120" w:after="120" w:line="240" w:lineRule="auto"/>
        <w:ind w:firstLine="0"/>
        <w:rPr>
          <w:sz w:val="24"/>
          <w:szCs w:val="24"/>
        </w:rPr>
      </w:pPr>
      <w:r w:rsidRPr="00DE12A3">
        <w:rPr>
          <w:sz w:val="24"/>
          <w:szCs w:val="24"/>
        </w:rPr>
        <w:t xml:space="preserve">(a) </w:t>
      </w:r>
      <w:r w:rsidR="001F4F5F" w:rsidRPr="00DE12A3">
        <w:rPr>
          <w:sz w:val="24"/>
          <w:szCs w:val="24"/>
        </w:rPr>
        <w:t>B</w:t>
      </w:r>
      <w:r w:rsidR="00242DA0" w:rsidRPr="00DE12A3">
        <w:rPr>
          <w:sz w:val="24"/>
          <w:szCs w:val="24"/>
        </w:rPr>
        <w:t>ir ayıraç kalite sensörü kullanımı gibi doğrudan imkanlar.</w:t>
      </w:r>
    </w:p>
    <w:p w14:paraId="317B31E3" w14:textId="7AFB791F" w:rsidR="002D7B36" w:rsidRPr="00DE12A3" w:rsidRDefault="00EC53ED" w:rsidP="00EC53ED">
      <w:pPr>
        <w:pStyle w:val="Gvdemetni250"/>
        <w:shd w:val="clear" w:color="auto" w:fill="auto"/>
        <w:spacing w:before="120" w:after="120" w:line="240" w:lineRule="auto"/>
        <w:ind w:firstLine="0"/>
        <w:rPr>
          <w:sz w:val="24"/>
          <w:szCs w:val="24"/>
        </w:rPr>
      </w:pPr>
      <w:r w:rsidRPr="00DE12A3">
        <w:rPr>
          <w:sz w:val="24"/>
          <w:szCs w:val="24"/>
        </w:rPr>
        <w:t xml:space="preserve">(b) </w:t>
      </w:r>
      <w:r w:rsidR="001F4F5F" w:rsidRPr="00DE12A3">
        <w:rPr>
          <w:sz w:val="24"/>
          <w:szCs w:val="24"/>
        </w:rPr>
        <w:t>A</w:t>
      </w:r>
      <w:r w:rsidR="00242DA0" w:rsidRPr="00DE12A3">
        <w:rPr>
          <w:sz w:val="24"/>
          <w:szCs w:val="24"/>
        </w:rPr>
        <w:t>yıraç etkinliğini değerlendirmek için egzoz sisteminde bir N</w:t>
      </w:r>
      <w:r w:rsidR="00DE725A" w:rsidRPr="00DE12A3">
        <w:rPr>
          <w:sz w:val="24"/>
          <w:szCs w:val="24"/>
        </w:rPr>
        <w:t>o</w:t>
      </w:r>
      <w:r w:rsidR="00242DA0" w:rsidRPr="00DE12A3">
        <w:rPr>
          <w:sz w:val="24"/>
          <w:szCs w:val="24"/>
        </w:rPr>
        <w:t>x</w:t>
      </w:r>
      <w:r w:rsidR="00DE725A" w:rsidRPr="00DE12A3">
        <w:rPr>
          <w:sz w:val="24"/>
          <w:szCs w:val="24"/>
        </w:rPr>
        <w:t xml:space="preserve"> </w:t>
      </w:r>
      <w:r w:rsidR="00242DA0" w:rsidRPr="00DE12A3">
        <w:rPr>
          <w:sz w:val="24"/>
          <w:szCs w:val="24"/>
        </w:rPr>
        <w:t>sensörü kullanımı gibi dolaylı imkanlar.</w:t>
      </w:r>
    </w:p>
    <w:p w14:paraId="3CE71061" w14:textId="4EBC362C" w:rsidR="0052648E" w:rsidRPr="00DE12A3" w:rsidRDefault="00EC53ED" w:rsidP="00EC53ED">
      <w:pPr>
        <w:pStyle w:val="Gvdemetni250"/>
        <w:widowControl/>
        <w:shd w:val="clear" w:color="auto" w:fill="auto"/>
        <w:spacing w:before="120" w:after="120" w:line="240" w:lineRule="auto"/>
        <w:ind w:firstLine="0"/>
        <w:rPr>
          <w:sz w:val="24"/>
          <w:szCs w:val="24"/>
        </w:rPr>
      </w:pPr>
      <w:r w:rsidRPr="00DE12A3">
        <w:rPr>
          <w:sz w:val="24"/>
          <w:szCs w:val="24"/>
        </w:rPr>
        <w:t>(c)</w:t>
      </w:r>
      <w:r w:rsidR="00B809B6" w:rsidRPr="00DE12A3">
        <w:rPr>
          <w:sz w:val="24"/>
          <w:szCs w:val="24"/>
        </w:rPr>
        <w:t xml:space="preserve"> </w:t>
      </w:r>
      <w:r w:rsidR="001F4F5F" w:rsidRPr="00DE12A3">
        <w:rPr>
          <w:sz w:val="24"/>
          <w:szCs w:val="24"/>
        </w:rPr>
        <w:t>E</w:t>
      </w:r>
      <w:r w:rsidR="00242DA0" w:rsidRPr="00DE12A3">
        <w:rPr>
          <w:sz w:val="24"/>
          <w:szCs w:val="24"/>
        </w:rPr>
        <w:t xml:space="preserve">tkinliğinin en azından (a) veya (b) bentlerinin kullanılmasıyla elde edilene eşit olması ve bu </w:t>
      </w:r>
      <w:r w:rsidR="00B32A92" w:rsidRPr="00DE12A3">
        <w:rPr>
          <w:sz w:val="24"/>
          <w:szCs w:val="24"/>
        </w:rPr>
        <w:t>Bölüm</w:t>
      </w:r>
      <w:r w:rsidR="00242DA0" w:rsidRPr="00DE12A3">
        <w:rPr>
          <w:sz w:val="24"/>
          <w:szCs w:val="24"/>
        </w:rPr>
        <w:t xml:space="preserve">ün temel </w:t>
      </w:r>
      <w:r w:rsidR="0053289F" w:rsidRPr="00DE12A3">
        <w:rPr>
          <w:sz w:val="24"/>
          <w:szCs w:val="24"/>
        </w:rPr>
        <w:t>gerekliliklerini</w:t>
      </w:r>
      <w:r w:rsidR="00242DA0" w:rsidRPr="00DE12A3">
        <w:rPr>
          <w:sz w:val="24"/>
          <w:szCs w:val="24"/>
        </w:rPr>
        <w:t xml:space="preserve">n korunması kaydıyla başka herhangi bir </w:t>
      </w:r>
      <w:r w:rsidR="001F4F5F" w:rsidRPr="00DE12A3">
        <w:rPr>
          <w:sz w:val="24"/>
          <w:szCs w:val="24"/>
        </w:rPr>
        <w:t>imkân</w:t>
      </w:r>
      <w:r w:rsidR="00242DA0" w:rsidRPr="00DE12A3">
        <w:rPr>
          <w:sz w:val="24"/>
          <w:szCs w:val="24"/>
        </w:rPr>
        <w:t>.</w:t>
      </w:r>
    </w:p>
    <w:p w14:paraId="7A2477FD" w14:textId="3AB7EC0A" w:rsidR="005737AB" w:rsidRPr="00DE12A3" w:rsidRDefault="005737AB" w:rsidP="00EC53ED">
      <w:pPr>
        <w:pStyle w:val="Gvdemetni250"/>
        <w:widowControl/>
        <w:shd w:val="clear" w:color="auto" w:fill="auto"/>
        <w:spacing w:before="120" w:after="120" w:line="240" w:lineRule="auto"/>
        <w:ind w:firstLine="0"/>
      </w:pPr>
      <w:r w:rsidRPr="00DE12A3">
        <w:rPr>
          <w:sz w:val="24"/>
          <w:szCs w:val="24"/>
        </w:rPr>
        <w:br w:type="page"/>
      </w:r>
    </w:p>
    <w:p w14:paraId="4919C21D" w14:textId="77777777" w:rsidR="002D7B36" w:rsidRPr="00DE12A3" w:rsidRDefault="00242DA0" w:rsidP="005D0E41">
      <w:pPr>
        <w:pStyle w:val="Balk2"/>
        <w:rPr>
          <w:i/>
          <w:color w:val="auto"/>
        </w:rPr>
      </w:pPr>
      <w:r w:rsidRPr="00DE12A3">
        <w:rPr>
          <w:rStyle w:val="Gvdemetni40ptbolukbraklyor"/>
          <w:rFonts w:eastAsia="Courier New"/>
          <w:i w:val="0"/>
          <w:color w:val="auto"/>
          <w:sz w:val="24"/>
          <w:szCs w:val="24"/>
          <w:lang w:val="tr-TR"/>
        </w:rPr>
        <w:lastRenderedPageBreak/>
        <w:t>4. Açıklayıcı Ek</w:t>
      </w:r>
    </w:p>
    <w:p w14:paraId="7C38BF1A" w14:textId="77777777" w:rsidR="002D7B36" w:rsidRPr="00DE12A3" w:rsidRDefault="007E2039" w:rsidP="00C917D6">
      <w:pPr>
        <w:pStyle w:val="Gvdemetni50"/>
        <w:shd w:val="clear" w:color="auto" w:fill="auto"/>
        <w:spacing w:before="120" w:after="120" w:line="240" w:lineRule="auto"/>
        <w:ind w:left="709" w:hanging="709"/>
        <w:jc w:val="center"/>
        <w:rPr>
          <w:rFonts w:eastAsia="Malgun Gothic"/>
          <w:sz w:val="24"/>
          <w:szCs w:val="24"/>
        </w:rPr>
      </w:pPr>
      <w:r w:rsidRPr="00DE12A3">
        <w:rPr>
          <w:rFonts w:eastAsia="Malgun Gothic"/>
          <w:sz w:val="24"/>
          <w:szCs w:val="24"/>
        </w:rPr>
        <w:t xml:space="preserve">Partikül </w:t>
      </w:r>
      <w:r w:rsidR="00242DA0" w:rsidRPr="00DE12A3">
        <w:rPr>
          <w:rFonts w:eastAsia="Malgun Gothic"/>
          <w:sz w:val="24"/>
          <w:szCs w:val="24"/>
        </w:rPr>
        <w:t>kirletici kontrol tedbirlerini ispat yöntemi de dahil olmak üzere bu tedbirler ile ilgili teknik şartlar</w:t>
      </w:r>
    </w:p>
    <w:p w14:paraId="28085038" w14:textId="2ED26950" w:rsidR="002D7B36" w:rsidRPr="00DE12A3" w:rsidRDefault="0046577A" w:rsidP="0046577A">
      <w:pPr>
        <w:spacing w:before="120" w:after="120"/>
        <w:rPr>
          <w:b/>
          <w:bCs/>
          <w:color w:val="auto"/>
        </w:rPr>
      </w:pPr>
      <w:r w:rsidRPr="00DE12A3">
        <w:rPr>
          <w:b/>
          <w:bCs/>
          <w:color w:val="auto"/>
        </w:rPr>
        <w:t xml:space="preserve">1. </w:t>
      </w:r>
      <w:r w:rsidR="00242DA0" w:rsidRPr="00DE12A3">
        <w:rPr>
          <w:b/>
          <w:bCs/>
          <w:color w:val="auto"/>
        </w:rPr>
        <w:t>Giriş</w:t>
      </w:r>
    </w:p>
    <w:p w14:paraId="61FA2CEA" w14:textId="77777777" w:rsidR="002D7B36" w:rsidRPr="00DE12A3" w:rsidRDefault="00242DA0" w:rsidP="0046577A">
      <w:pPr>
        <w:pStyle w:val="Gvdemetni250"/>
        <w:shd w:val="clear" w:color="auto" w:fill="auto"/>
        <w:spacing w:before="120" w:after="120" w:line="240" w:lineRule="auto"/>
        <w:ind w:firstLine="0"/>
        <w:rPr>
          <w:sz w:val="24"/>
          <w:szCs w:val="24"/>
        </w:rPr>
      </w:pPr>
      <w:r w:rsidRPr="00DE12A3">
        <w:rPr>
          <w:sz w:val="24"/>
          <w:szCs w:val="24"/>
        </w:rPr>
        <w:t xml:space="preserve">Bu Açıklayıcı Ek, </w:t>
      </w:r>
      <w:r w:rsidR="007E2039" w:rsidRPr="00DE12A3">
        <w:rPr>
          <w:sz w:val="24"/>
          <w:szCs w:val="24"/>
        </w:rPr>
        <w:t xml:space="preserve">partikül </w:t>
      </w:r>
      <w:r w:rsidRPr="00DE12A3">
        <w:rPr>
          <w:sz w:val="24"/>
          <w:szCs w:val="24"/>
        </w:rPr>
        <w:t xml:space="preserve">kontrol tedbirlerinin doğru işlemesini sağlamaya yönelik </w:t>
      </w:r>
      <w:r w:rsidR="0053289F" w:rsidRPr="00DE12A3">
        <w:rPr>
          <w:sz w:val="24"/>
          <w:szCs w:val="24"/>
        </w:rPr>
        <w:t>gereklilikleri</w:t>
      </w:r>
      <w:r w:rsidRPr="00DE12A3">
        <w:rPr>
          <w:sz w:val="24"/>
          <w:szCs w:val="24"/>
        </w:rPr>
        <w:t xml:space="preserve"> ortaya koymaktadır.</w:t>
      </w:r>
    </w:p>
    <w:p w14:paraId="5599EC2A" w14:textId="1797D170" w:rsidR="002D7B36" w:rsidRPr="00DE12A3" w:rsidRDefault="0046577A" w:rsidP="0046577A">
      <w:pPr>
        <w:spacing w:before="120" w:after="120"/>
        <w:rPr>
          <w:b/>
          <w:bCs/>
          <w:color w:val="auto"/>
        </w:rPr>
      </w:pPr>
      <w:r w:rsidRPr="00DE12A3">
        <w:rPr>
          <w:b/>
          <w:bCs/>
          <w:color w:val="auto"/>
        </w:rPr>
        <w:t xml:space="preserve">2. </w:t>
      </w:r>
      <w:r w:rsidR="00242DA0" w:rsidRPr="00DE12A3">
        <w:rPr>
          <w:b/>
          <w:bCs/>
          <w:color w:val="auto"/>
        </w:rPr>
        <w:t>Genel şartlar</w:t>
      </w:r>
    </w:p>
    <w:p w14:paraId="0D05FB53" w14:textId="25770ABB" w:rsidR="002D7B36" w:rsidRPr="00DE12A3" w:rsidRDefault="00242DA0" w:rsidP="0046577A">
      <w:pPr>
        <w:pStyle w:val="Gvdemetni250"/>
        <w:shd w:val="clear" w:color="auto" w:fill="auto"/>
        <w:tabs>
          <w:tab w:val="center" w:pos="4112"/>
          <w:tab w:val="right" w:pos="4510"/>
          <w:tab w:val="right" w:pos="5180"/>
        </w:tabs>
        <w:spacing w:before="120" w:after="120" w:line="240" w:lineRule="auto"/>
        <w:ind w:firstLine="0"/>
        <w:rPr>
          <w:sz w:val="24"/>
          <w:szCs w:val="24"/>
        </w:rPr>
      </w:pPr>
      <w:r w:rsidRPr="00DE12A3">
        <w:rPr>
          <w:sz w:val="24"/>
          <w:szCs w:val="24"/>
        </w:rPr>
        <w:t xml:space="preserve">Motor, bu Ek tarafından değerlendirilen </w:t>
      </w:r>
      <w:r w:rsidR="007E2039" w:rsidRPr="00DE12A3">
        <w:rPr>
          <w:sz w:val="24"/>
          <w:szCs w:val="24"/>
        </w:rPr>
        <w:t xml:space="preserve">partikül arıtma </w:t>
      </w:r>
      <w:r w:rsidRPr="00DE12A3">
        <w:rPr>
          <w:sz w:val="24"/>
          <w:szCs w:val="24"/>
        </w:rPr>
        <w:t xml:space="preserve">sistemi arızalarını tanımlayabilen bir </w:t>
      </w:r>
      <w:r w:rsidR="007E2039" w:rsidRPr="00DE12A3">
        <w:rPr>
          <w:sz w:val="24"/>
          <w:szCs w:val="24"/>
        </w:rPr>
        <w:t xml:space="preserve">Partikül </w:t>
      </w:r>
      <w:r w:rsidRPr="00DE12A3">
        <w:rPr>
          <w:sz w:val="24"/>
          <w:szCs w:val="24"/>
        </w:rPr>
        <w:t xml:space="preserve">Kontrol Teşhis sistemi (PCD) ile donatılmalıdır. Bu </w:t>
      </w:r>
      <w:r w:rsidR="00B32A92" w:rsidRPr="00DE12A3">
        <w:rPr>
          <w:sz w:val="24"/>
          <w:szCs w:val="24"/>
        </w:rPr>
        <w:t>Bölüm</w:t>
      </w:r>
      <w:r w:rsidRPr="00DE12A3">
        <w:rPr>
          <w:sz w:val="24"/>
          <w:szCs w:val="24"/>
        </w:rPr>
        <w:t xml:space="preserve"> kapsamındaki her motor, normal kullanım koşullarında motorun normal kullanım ömrü boyunca bu </w:t>
      </w:r>
      <w:r w:rsidR="0053289F" w:rsidRPr="00DE12A3">
        <w:rPr>
          <w:sz w:val="24"/>
          <w:szCs w:val="24"/>
        </w:rPr>
        <w:t>gereklilikleri</w:t>
      </w:r>
      <w:r w:rsidRPr="00DE12A3">
        <w:rPr>
          <w:sz w:val="24"/>
          <w:szCs w:val="24"/>
        </w:rPr>
        <w:t xml:space="preserve"> sağlayabilecek şekilde tasarlanmalı, imal edilmeli ve monte edilmelidir. Bu amaca </w:t>
      </w:r>
      <w:r w:rsidR="006F6A17" w:rsidRPr="00DE12A3">
        <w:rPr>
          <w:sz w:val="24"/>
          <w:szCs w:val="24"/>
        </w:rPr>
        <w:t>ulaşılırken, 2016</w:t>
      </w:r>
      <w:r w:rsidR="00EE5D5E" w:rsidRPr="00DE12A3">
        <w:rPr>
          <w:sz w:val="24"/>
          <w:szCs w:val="24"/>
        </w:rPr>
        <w:t>/1628/AB Yönetmeliği</w:t>
      </w:r>
      <w:r w:rsidR="00DE725A" w:rsidRPr="00DE12A3">
        <w:rPr>
          <w:sz w:val="24"/>
          <w:szCs w:val="24"/>
        </w:rPr>
        <w:t>nin</w:t>
      </w:r>
      <w:r w:rsidR="00EE5D5E" w:rsidRPr="00DE12A3">
        <w:rPr>
          <w:sz w:val="24"/>
          <w:szCs w:val="24"/>
        </w:rPr>
        <w:t xml:space="preserve"> </w:t>
      </w:r>
      <w:r w:rsidRPr="00DE12A3">
        <w:rPr>
          <w:sz w:val="24"/>
          <w:szCs w:val="24"/>
        </w:rPr>
        <w:t>V</w:t>
      </w:r>
      <w:r w:rsidR="006F6A17" w:rsidRPr="00DE12A3">
        <w:rPr>
          <w:sz w:val="24"/>
          <w:szCs w:val="24"/>
        </w:rPr>
        <w:t xml:space="preserve">’inci </w:t>
      </w:r>
      <w:r w:rsidR="00EC3EF0" w:rsidRPr="00DE12A3">
        <w:rPr>
          <w:sz w:val="24"/>
          <w:szCs w:val="24"/>
        </w:rPr>
        <w:t>Ekinde</w:t>
      </w:r>
      <w:r w:rsidRPr="00DE12A3">
        <w:rPr>
          <w:sz w:val="24"/>
          <w:szCs w:val="24"/>
        </w:rPr>
        <w:t xml:space="preserve"> belirtilen emisyon dayanıklılık süresinin üzerinde kullanılmış motorların, PCD performansında ve hassasiyetinde bir miktar bozulma gösterdiği kabul edilebilir.</w:t>
      </w:r>
    </w:p>
    <w:p w14:paraId="3987607E" w14:textId="3D4A4F50" w:rsidR="002D7B36" w:rsidRPr="00DE12A3" w:rsidRDefault="00452AB9" w:rsidP="00452AB9">
      <w:pPr>
        <w:pStyle w:val="Gvdemetni250"/>
        <w:shd w:val="clear" w:color="auto" w:fill="auto"/>
        <w:spacing w:before="120" w:after="120" w:line="240" w:lineRule="auto"/>
        <w:ind w:firstLine="0"/>
        <w:rPr>
          <w:sz w:val="24"/>
          <w:szCs w:val="24"/>
        </w:rPr>
      </w:pPr>
      <w:r w:rsidRPr="00DE12A3">
        <w:rPr>
          <w:sz w:val="24"/>
          <w:szCs w:val="24"/>
        </w:rPr>
        <w:t xml:space="preserve">2.1. </w:t>
      </w:r>
      <w:r w:rsidR="00242DA0" w:rsidRPr="00DE12A3">
        <w:rPr>
          <w:sz w:val="24"/>
          <w:szCs w:val="24"/>
        </w:rPr>
        <w:t>Gerekli bilgiler</w:t>
      </w:r>
    </w:p>
    <w:p w14:paraId="198D843D" w14:textId="0EBA902B" w:rsidR="002D7B36" w:rsidRPr="00DE12A3" w:rsidRDefault="00452AB9" w:rsidP="00452AB9">
      <w:pPr>
        <w:pStyle w:val="Gvdemetni250"/>
        <w:shd w:val="clear" w:color="auto" w:fill="auto"/>
        <w:tabs>
          <w:tab w:val="right" w:pos="567"/>
          <w:tab w:val="left" w:pos="851"/>
          <w:tab w:val="left" w:pos="3775"/>
          <w:tab w:val="center" w:pos="4112"/>
          <w:tab w:val="right" w:pos="5180"/>
        </w:tabs>
        <w:spacing w:before="120" w:after="120" w:line="240" w:lineRule="auto"/>
        <w:ind w:firstLine="0"/>
        <w:rPr>
          <w:sz w:val="24"/>
          <w:szCs w:val="24"/>
        </w:rPr>
      </w:pPr>
      <w:r w:rsidRPr="00DE12A3">
        <w:rPr>
          <w:sz w:val="24"/>
          <w:szCs w:val="24"/>
        </w:rPr>
        <w:t>2.1.1.</w:t>
      </w:r>
      <w:r w:rsidR="00406930" w:rsidRPr="00DE12A3">
        <w:rPr>
          <w:sz w:val="24"/>
          <w:szCs w:val="24"/>
        </w:rPr>
        <w:t xml:space="preserve"> </w:t>
      </w:r>
      <w:r w:rsidR="00242DA0" w:rsidRPr="00DE12A3">
        <w:rPr>
          <w:sz w:val="24"/>
          <w:szCs w:val="24"/>
        </w:rPr>
        <w:t xml:space="preserve">Emisyon kontrol sistemi bir ayıraç, </w:t>
      </w:r>
      <w:r w:rsidR="005B014A" w:rsidRPr="00DE12A3">
        <w:rPr>
          <w:sz w:val="24"/>
          <w:szCs w:val="24"/>
        </w:rPr>
        <w:t>örneğin</w:t>
      </w:r>
      <w:r w:rsidR="00242DA0" w:rsidRPr="00DE12A3">
        <w:rPr>
          <w:sz w:val="24"/>
          <w:szCs w:val="24"/>
        </w:rPr>
        <w:t xml:space="preserve"> yakıt esaslı katalizör gerektiriyorsa, ayıracın tipi, solüsyon içinde olduğunda ayıraç konsantrasyonu hakkında bilgi, çalışma sıcaklığı koşulları, bileşimine ve kalitesine ve diğer özelliklerine ilişkin uluslararası standartlara atıf da dahil olmak üzere söz konusu ayıracın özellikleri, imalatçı tarafından </w:t>
      </w:r>
      <w:r w:rsidR="00EE5D5E" w:rsidRPr="00DE12A3">
        <w:rPr>
          <w:sz w:val="24"/>
          <w:szCs w:val="24"/>
        </w:rPr>
        <w:t>2017/656/</w:t>
      </w:r>
      <w:r w:rsidR="006F6A17" w:rsidRPr="00DE12A3">
        <w:rPr>
          <w:sz w:val="24"/>
          <w:szCs w:val="24"/>
        </w:rPr>
        <w:t>AB Tebliği</w:t>
      </w:r>
      <w:r w:rsidR="00966EFF" w:rsidRPr="00DE12A3">
        <w:rPr>
          <w:sz w:val="24"/>
          <w:szCs w:val="24"/>
        </w:rPr>
        <w:t>nin</w:t>
      </w:r>
      <w:r w:rsidR="006F6A17" w:rsidRPr="00DE12A3">
        <w:rPr>
          <w:sz w:val="24"/>
          <w:szCs w:val="24"/>
        </w:rPr>
        <w:t xml:space="preserve"> I’inci</w:t>
      </w:r>
      <w:r w:rsidR="00EE5D5E" w:rsidRPr="00DE12A3">
        <w:rPr>
          <w:sz w:val="24"/>
          <w:szCs w:val="24"/>
        </w:rPr>
        <w:t xml:space="preserve"> </w:t>
      </w:r>
      <w:r w:rsidR="00EC3EF0" w:rsidRPr="00DE12A3">
        <w:rPr>
          <w:sz w:val="24"/>
          <w:szCs w:val="24"/>
        </w:rPr>
        <w:t>Ekinin</w:t>
      </w:r>
      <w:r w:rsidR="00EE5D5E" w:rsidRPr="00DE12A3">
        <w:rPr>
          <w:sz w:val="24"/>
          <w:szCs w:val="24"/>
        </w:rPr>
        <w:t xml:space="preserve"> </w:t>
      </w:r>
      <w:r w:rsidR="00CD23C3" w:rsidRPr="00DE12A3">
        <w:rPr>
          <w:sz w:val="24"/>
          <w:szCs w:val="24"/>
        </w:rPr>
        <w:t>3. Açıklayıcı Ek</w:t>
      </w:r>
      <w:r w:rsidR="00242DA0" w:rsidRPr="00DE12A3">
        <w:rPr>
          <w:sz w:val="24"/>
          <w:szCs w:val="24"/>
        </w:rPr>
        <w:t>inde belirtilen bilgi dokümanı içinde belirtilmelidir.</w:t>
      </w:r>
    </w:p>
    <w:p w14:paraId="6516D00E" w14:textId="404677DA" w:rsidR="002D7B36" w:rsidRPr="00DE12A3" w:rsidRDefault="00452AB9" w:rsidP="00452AB9">
      <w:pPr>
        <w:pStyle w:val="Gvdemetni250"/>
        <w:shd w:val="clear" w:color="auto" w:fill="auto"/>
        <w:tabs>
          <w:tab w:val="left" w:pos="851"/>
        </w:tabs>
        <w:spacing w:before="120" w:after="120" w:line="240" w:lineRule="auto"/>
        <w:ind w:firstLine="0"/>
        <w:rPr>
          <w:sz w:val="24"/>
          <w:szCs w:val="24"/>
        </w:rPr>
      </w:pPr>
      <w:r w:rsidRPr="00DE12A3">
        <w:rPr>
          <w:sz w:val="24"/>
          <w:szCs w:val="24"/>
        </w:rPr>
        <w:t xml:space="preserve">2.1.2. </w:t>
      </w:r>
      <w:r w:rsidR="00242DA0" w:rsidRPr="00DE12A3">
        <w:rPr>
          <w:sz w:val="24"/>
          <w:szCs w:val="24"/>
        </w:rPr>
        <w:t xml:space="preserve">4. </w:t>
      </w:r>
      <w:r w:rsidR="00B32A92" w:rsidRPr="00DE12A3">
        <w:rPr>
          <w:sz w:val="24"/>
          <w:szCs w:val="24"/>
        </w:rPr>
        <w:t>Bölüm</w:t>
      </w:r>
      <w:r w:rsidR="00242DA0" w:rsidRPr="00DE12A3">
        <w:rPr>
          <w:sz w:val="24"/>
          <w:szCs w:val="24"/>
        </w:rPr>
        <w:t xml:space="preserve">de belirtilen kullanıcı uyarı sisteminin işlevsel çalışma özelliklerini tam olarak tanımlayan ayrıntılı yazılı bilgiler, AB tip onayı sırasında </w:t>
      </w:r>
      <w:r w:rsidR="007E2039" w:rsidRPr="00DE12A3">
        <w:rPr>
          <w:sz w:val="24"/>
          <w:szCs w:val="24"/>
        </w:rPr>
        <w:t xml:space="preserve">onay </w:t>
      </w:r>
      <w:r w:rsidR="006F6A17" w:rsidRPr="00DE12A3">
        <w:rPr>
          <w:sz w:val="24"/>
          <w:szCs w:val="24"/>
        </w:rPr>
        <w:t>kuruluşuna sağlanmalıdır</w:t>
      </w:r>
      <w:r w:rsidR="00242DA0" w:rsidRPr="00DE12A3">
        <w:rPr>
          <w:sz w:val="24"/>
          <w:szCs w:val="24"/>
        </w:rPr>
        <w:t>.</w:t>
      </w:r>
    </w:p>
    <w:p w14:paraId="37389642" w14:textId="176A3981" w:rsidR="002D7B36" w:rsidRPr="00DE12A3" w:rsidRDefault="00452AB9" w:rsidP="00452AB9">
      <w:pPr>
        <w:pStyle w:val="Gvdemetni250"/>
        <w:shd w:val="clear" w:color="auto" w:fill="auto"/>
        <w:spacing w:before="120" w:after="120" w:line="240" w:lineRule="auto"/>
        <w:ind w:firstLine="0"/>
        <w:rPr>
          <w:sz w:val="24"/>
          <w:szCs w:val="24"/>
        </w:rPr>
      </w:pPr>
      <w:r w:rsidRPr="00DE12A3">
        <w:rPr>
          <w:sz w:val="24"/>
          <w:szCs w:val="24"/>
        </w:rPr>
        <w:t xml:space="preserve">2.1.3. </w:t>
      </w:r>
      <w:r w:rsidR="00242DA0" w:rsidRPr="00DE12A3">
        <w:rPr>
          <w:sz w:val="24"/>
          <w:szCs w:val="24"/>
        </w:rPr>
        <w:t xml:space="preserve">İmalatçı, OEM tarafından kullanıldığında, karayolu dışında kullanılan hareketli makinalara monte edildiğinde, onaylı motor tipinin veya motor ailesinin bir parçası olan emisyon kontrol sistemi de dahil olmak üzere motorun, gerekli makine parçaları ile birlikte, bu Ekin </w:t>
      </w:r>
      <w:r w:rsidR="0053289F" w:rsidRPr="00DE12A3">
        <w:rPr>
          <w:sz w:val="24"/>
          <w:szCs w:val="24"/>
        </w:rPr>
        <w:t>gerekliliklerine</w:t>
      </w:r>
      <w:r w:rsidR="00242DA0" w:rsidRPr="00DE12A3">
        <w:rPr>
          <w:sz w:val="24"/>
          <w:szCs w:val="24"/>
        </w:rPr>
        <w:t xml:space="preserve"> uyacak şekilde çalışmasını sağlayacak montaj belgelerini sağlamalıdır. Bu dokümantasyon, motorun karayolu dışında kullanılan hareketli makinalara doğru montajı için gereken, motora ait ayrıntılı teknik </w:t>
      </w:r>
      <w:r w:rsidR="0053289F" w:rsidRPr="00DE12A3">
        <w:rPr>
          <w:sz w:val="24"/>
          <w:szCs w:val="24"/>
        </w:rPr>
        <w:t>gereklilikleri</w:t>
      </w:r>
      <w:r w:rsidR="00242DA0" w:rsidRPr="00DE12A3">
        <w:rPr>
          <w:sz w:val="24"/>
          <w:szCs w:val="24"/>
        </w:rPr>
        <w:t xml:space="preserve"> ve malzemeleri (yazılım, donanım ve iletişim) içermelidir.</w:t>
      </w:r>
    </w:p>
    <w:p w14:paraId="10E92E68" w14:textId="011F8638" w:rsidR="002D7B36" w:rsidRPr="00DE12A3" w:rsidRDefault="00452AB9" w:rsidP="00452AB9">
      <w:pPr>
        <w:pStyle w:val="Gvdemetni250"/>
        <w:shd w:val="clear" w:color="auto" w:fill="auto"/>
        <w:spacing w:before="120" w:after="120" w:line="240" w:lineRule="auto"/>
        <w:ind w:firstLine="0"/>
        <w:rPr>
          <w:b/>
          <w:bCs/>
          <w:sz w:val="24"/>
          <w:szCs w:val="24"/>
        </w:rPr>
      </w:pPr>
      <w:r w:rsidRPr="00DE12A3">
        <w:rPr>
          <w:bCs/>
          <w:sz w:val="24"/>
          <w:szCs w:val="24"/>
        </w:rPr>
        <w:t>2.2.</w:t>
      </w:r>
      <w:r w:rsidRPr="00DE12A3">
        <w:rPr>
          <w:b/>
          <w:bCs/>
          <w:sz w:val="24"/>
          <w:szCs w:val="24"/>
        </w:rPr>
        <w:t xml:space="preserve"> </w:t>
      </w:r>
      <w:r w:rsidR="00242DA0" w:rsidRPr="00DE12A3">
        <w:rPr>
          <w:bCs/>
          <w:sz w:val="24"/>
          <w:szCs w:val="24"/>
        </w:rPr>
        <w:t>Çalışma koşulları</w:t>
      </w:r>
    </w:p>
    <w:p w14:paraId="5CA609BF" w14:textId="62E36C1E" w:rsidR="002D7B36" w:rsidRPr="00DE12A3" w:rsidRDefault="00452AB9" w:rsidP="00452AB9">
      <w:pPr>
        <w:pStyle w:val="Gvdemetni250"/>
        <w:shd w:val="clear" w:color="auto" w:fill="auto"/>
        <w:spacing w:before="120" w:after="120" w:line="240" w:lineRule="auto"/>
        <w:ind w:firstLine="0"/>
        <w:rPr>
          <w:sz w:val="24"/>
          <w:szCs w:val="24"/>
        </w:rPr>
      </w:pPr>
      <w:r w:rsidRPr="00DE12A3">
        <w:rPr>
          <w:sz w:val="24"/>
          <w:szCs w:val="24"/>
        </w:rPr>
        <w:t xml:space="preserve">2.2.1. </w:t>
      </w:r>
      <w:r w:rsidR="00242DA0" w:rsidRPr="00DE12A3">
        <w:rPr>
          <w:sz w:val="24"/>
          <w:szCs w:val="24"/>
        </w:rPr>
        <w:t xml:space="preserve">PCD sistemi, asgari olarak, her motor kategorisi için </w:t>
      </w:r>
      <w:r w:rsidR="00FA0678" w:rsidRPr="00DE12A3">
        <w:rPr>
          <w:sz w:val="24"/>
          <w:szCs w:val="24"/>
        </w:rPr>
        <w:t>IV’</w:t>
      </w:r>
      <w:r w:rsidR="00DE725A" w:rsidRPr="00DE12A3">
        <w:rPr>
          <w:sz w:val="24"/>
          <w:szCs w:val="24"/>
        </w:rPr>
        <w:t>ü</w:t>
      </w:r>
      <w:r w:rsidR="00FA0678" w:rsidRPr="00DE12A3">
        <w:rPr>
          <w:sz w:val="24"/>
          <w:szCs w:val="24"/>
        </w:rPr>
        <w:t xml:space="preserve">ncü </w:t>
      </w:r>
      <w:r w:rsidR="00DE725A" w:rsidRPr="00DE12A3">
        <w:rPr>
          <w:sz w:val="24"/>
          <w:szCs w:val="24"/>
        </w:rPr>
        <w:t>E</w:t>
      </w:r>
      <w:r w:rsidR="00FA0678" w:rsidRPr="00DE12A3">
        <w:rPr>
          <w:sz w:val="24"/>
          <w:szCs w:val="24"/>
        </w:rPr>
        <w:t>k</w:t>
      </w:r>
      <w:r w:rsidR="00242DA0" w:rsidRPr="00DE12A3">
        <w:rPr>
          <w:sz w:val="24"/>
          <w:szCs w:val="24"/>
        </w:rPr>
        <w:t>in 2.4. bendinde belirtilen geçerli kontrol koşullarında çalışır durumda olmalıdır. Teşhis sistemi, teknik olarak mümkün olduğunda bu aralığın dışında da çalışmaya devam etmelidir.</w:t>
      </w:r>
    </w:p>
    <w:p w14:paraId="68D0C68A" w14:textId="27318E02" w:rsidR="002D7B36" w:rsidRPr="00DE12A3" w:rsidRDefault="00452AB9" w:rsidP="00452AB9">
      <w:pPr>
        <w:pStyle w:val="Gvdemetni250"/>
        <w:shd w:val="clear" w:color="auto" w:fill="auto"/>
        <w:spacing w:before="120" w:after="120" w:line="240" w:lineRule="auto"/>
        <w:ind w:firstLine="0"/>
        <w:rPr>
          <w:sz w:val="24"/>
          <w:szCs w:val="24"/>
        </w:rPr>
      </w:pPr>
      <w:r w:rsidRPr="00DE12A3">
        <w:rPr>
          <w:sz w:val="24"/>
          <w:szCs w:val="24"/>
        </w:rPr>
        <w:t xml:space="preserve">2.3. </w:t>
      </w:r>
      <w:r w:rsidR="00242DA0" w:rsidRPr="00DE12A3">
        <w:rPr>
          <w:sz w:val="24"/>
          <w:szCs w:val="24"/>
        </w:rPr>
        <w:t xml:space="preserve">Teşhis </w:t>
      </w:r>
      <w:r w:rsidR="0053289F" w:rsidRPr="00DE12A3">
        <w:rPr>
          <w:sz w:val="24"/>
          <w:szCs w:val="24"/>
        </w:rPr>
        <w:t>gereklilikleri</w:t>
      </w:r>
    </w:p>
    <w:p w14:paraId="2C5D9A63" w14:textId="21C75D1A" w:rsidR="002D7B36" w:rsidRPr="00DE12A3" w:rsidRDefault="00452AB9" w:rsidP="00452AB9">
      <w:pPr>
        <w:pStyle w:val="Gvdemetni250"/>
        <w:shd w:val="clear" w:color="auto" w:fill="auto"/>
        <w:tabs>
          <w:tab w:val="right" w:pos="709"/>
          <w:tab w:val="center" w:pos="4112"/>
        </w:tabs>
        <w:spacing w:before="120" w:after="120" w:line="240" w:lineRule="auto"/>
        <w:ind w:firstLine="0"/>
        <w:rPr>
          <w:sz w:val="24"/>
          <w:szCs w:val="24"/>
        </w:rPr>
      </w:pPr>
      <w:r w:rsidRPr="00DE12A3">
        <w:rPr>
          <w:sz w:val="24"/>
          <w:szCs w:val="24"/>
        </w:rPr>
        <w:t xml:space="preserve">2.3.1. </w:t>
      </w:r>
      <w:r w:rsidR="00242DA0" w:rsidRPr="00DE12A3">
        <w:rPr>
          <w:sz w:val="24"/>
          <w:szCs w:val="24"/>
        </w:rPr>
        <w:t xml:space="preserve">PCD sistemi, bilgisayar hafızasına kaydedilen Teşhis Hata Kodları (DTC'ler) vasıtasıyla bu Ekte ele alınan </w:t>
      </w:r>
      <w:r w:rsidR="007E2039" w:rsidRPr="00DE12A3">
        <w:rPr>
          <w:sz w:val="24"/>
          <w:szCs w:val="24"/>
        </w:rPr>
        <w:t xml:space="preserve">partikül </w:t>
      </w:r>
      <w:r w:rsidR="00242DA0" w:rsidRPr="00DE12A3">
        <w:rPr>
          <w:sz w:val="24"/>
          <w:szCs w:val="24"/>
        </w:rPr>
        <w:t>kontrol arızalarını (PCM) tanımlayabilmeli ve talep üzerine bu bilgiyi harici olarak iletebilmelidir.</w:t>
      </w:r>
    </w:p>
    <w:p w14:paraId="1DF8A447" w14:textId="046E6492" w:rsidR="002D7B36" w:rsidRPr="00DE12A3" w:rsidRDefault="00452AB9" w:rsidP="00452AB9">
      <w:pPr>
        <w:pStyle w:val="Gvdemetni250"/>
        <w:shd w:val="clear" w:color="auto" w:fill="auto"/>
        <w:spacing w:before="120" w:after="120" w:line="240" w:lineRule="auto"/>
        <w:ind w:firstLine="0"/>
        <w:rPr>
          <w:sz w:val="24"/>
          <w:szCs w:val="24"/>
        </w:rPr>
      </w:pPr>
      <w:r w:rsidRPr="00DE12A3">
        <w:rPr>
          <w:sz w:val="24"/>
          <w:szCs w:val="24"/>
        </w:rPr>
        <w:t xml:space="preserve">2.3.2. </w:t>
      </w:r>
      <w:r w:rsidR="00242DA0" w:rsidRPr="00DE12A3">
        <w:rPr>
          <w:sz w:val="24"/>
          <w:szCs w:val="24"/>
        </w:rPr>
        <w:t>Teşhis Hata Kodlarının (DTC'lerin) kaydedilmesine ilişkin şartlar</w:t>
      </w:r>
    </w:p>
    <w:p w14:paraId="66C3093D" w14:textId="2377653F" w:rsidR="002D7B36" w:rsidRPr="00DE12A3" w:rsidRDefault="00452AB9" w:rsidP="00452AB9">
      <w:pPr>
        <w:pStyle w:val="Gvdemetni250"/>
        <w:shd w:val="clear" w:color="auto" w:fill="auto"/>
        <w:tabs>
          <w:tab w:val="left" w:pos="851"/>
        </w:tabs>
        <w:spacing w:before="120" w:after="120" w:line="240" w:lineRule="auto"/>
        <w:ind w:firstLine="0"/>
        <w:rPr>
          <w:sz w:val="24"/>
          <w:szCs w:val="24"/>
        </w:rPr>
      </w:pPr>
      <w:r w:rsidRPr="00DE12A3">
        <w:rPr>
          <w:sz w:val="24"/>
          <w:szCs w:val="24"/>
        </w:rPr>
        <w:t xml:space="preserve">2.3.2.1. </w:t>
      </w:r>
      <w:r w:rsidR="00242DA0" w:rsidRPr="00DE12A3">
        <w:rPr>
          <w:sz w:val="24"/>
          <w:szCs w:val="24"/>
        </w:rPr>
        <w:t>PCD sistemi, her farklı PCM için bir DTC kaydetmelidir.</w:t>
      </w:r>
    </w:p>
    <w:p w14:paraId="63465402" w14:textId="49B79FFA" w:rsidR="002D7B36" w:rsidRPr="00DE12A3" w:rsidRDefault="00452AB9" w:rsidP="00452AB9">
      <w:pPr>
        <w:pStyle w:val="Gvdemetni250"/>
        <w:shd w:val="clear" w:color="auto" w:fill="auto"/>
        <w:spacing w:before="120" w:after="120" w:line="240" w:lineRule="auto"/>
        <w:ind w:firstLine="0"/>
        <w:rPr>
          <w:sz w:val="24"/>
          <w:szCs w:val="24"/>
        </w:rPr>
      </w:pPr>
      <w:r w:rsidRPr="00DE12A3">
        <w:rPr>
          <w:sz w:val="24"/>
          <w:szCs w:val="24"/>
        </w:rPr>
        <w:t xml:space="preserve">2.3.2.2. </w:t>
      </w:r>
      <w:r w:rsidR="00242DA0" w:rsidRPr="00DE12A3">
        <w:rPr>
          <w:sz w:val="24"/>
          <w:szCs w:val="24"/>
        </w:rPr>
        <w:t>PCD sistemi, Tablo 4.5'</w:t>
      </w:r>
      <w:r w:rsidR="00DE725A" w:rsidRPr="00DE12A3">
        <w:rPr>
          <w:sz w:val="24"/>
          <w:szCs w:val="24"/>
        </w:rPr>
        <w:t>t</w:t>
      </w:r>
      <w:r w:rsidR="00242DA0" w:rsidRPr="00DE12A3">
        <w:rPr>
          <w:sz w:val="24"/>
          <w:szCs w:val="24"/>
        </w:rPr>
        <w:t xml:space="preserve">e belirtilen motor çalışma süreleri içinde tespit edilebilir bir arızan olup olmadığını belirlemelidir. Bu anda, "doğrulanmış ve devrede" bir DTC kaydedilmeli ve 4. </w:t>
      </w:r>
      <w:r w:rsidR="00B32A92" w:rsidRPr="00DE12A3">
        <w:rPr>
          <w:sz w:val="24"/>
          <w:szCs w:val="24"/>
        </w:rPr>
        <w:t>Bölüm</w:t>
      </w:r>
      <w:r w:rsidR="00242DA0" w:rsidRPr="00DE12A3">
        <w:rPr>
          <w:sz w:val="24"/>
          <w:szCs w:val="24"/>
        </w:rPr>
        <w:t>de belirtilen uyarı sistemi etkinleştirilmelidir.</w:t>
      </w:r>
    </w:p>
    <w:p w14:paraId="1C11AB51" w14:textId="248114EF" w:rsidR="002D7B36" w:rsidRPr="00DE12A3" w:rsidRDefault="00452AB9" w:rsidP="00452AB9">
      <w:pPr>
        <w:pStyle w:val="Gvdemetni250"/>
        <w:shd w:val="clear" w:color="auto" w:fill="auto"/>
        <w:spacing w:before="120" w:after="120" w:line="240" w:lineRule="auto"/>
        <w:ind w:firstLine="0"/>
        <w:rPr>
          <w:sz w:val="24"/>
          <w:szCs w:val="24"/>
        </w:rPr>
      </w:pPr>
      <w:r w:rsidRPr="00DE12A3">
        <w:rPr>
          <w:sz w:val="24"/>
          <w:szCs w:val="24"/>
        </w:rPr>
        <w:t xml:space="preserve">2.3.2.3. </w:t>
      </w:r>
      <w:r w:rsidR="00242DA0" w:rsidRPr="00DE12A3">
        <w:rPr>
          <w:sz w:val="24"/>
          <w:szCs w:val="24"/>
        </w:rPr>
        <w:t>İzleme sistemlerinin (</w:t>
      </w:r>
      <w:r w:rsidR="005B014A" w:rsidRPr="00DE12A3">
        <w:rPr>
          <w:sz w:val="24"/>
          <w:szCs w:val="24"/>
        </w:rPr>
        <w:t>örneğin</w:t>
      </w:r>
      <w:r w:rsidR="00242DA0" w:rsidRPr="00DE12A3">
        <w:rPr>
          <w:sz w:val="24"/>
          <w:szCs w:val="24"/>
        </w:rPr>
        <w:t xml:space="preserve"> istatistiksel modeller kullanan veya karayolu dışında </w:t>
      </w:r>
      <w:r w:rsidR="00242DA0" w:rsidRPr="00DE12A3">
        <w:rPr>
          <w:sz w:val="24"/>
          <w:szCs w:val="24"/>
        </w:rPr>
        <w:lastRenderedPageBreak/>
        <w:t>kullanılan hareketli makinalarda sıvı tüketimine ilişkin izleme sistemlerinin) bir PCM'yi doğru bir şekilde tespit edip doğrulaması için Tablo 4.5'te belirtilenden daha fazla çalışma süresi gerektiğinde, imalatçının daha uzun bir süreye olan ihtiyacı (örneğin teknik gerekçeyle, deneysel sonuçlarla, işletme içi deneyimle v</w:t>
      </w:r>
      <w:r w:rsidR="005C6D9F" w:rsidRPr="00DE12A3">
        <w:rPr>
          <w:sz w:val="24"/>
          <w:szCs w:val="24"/>
        </w:rPr>
        <w:t>e benzeri</w:t>
      </w:r>
      <w:r w:rsidR="00242DA0" w:rsidRPr="00DE12A3">
        <w:rPr>
          <w:sz w:val="24"/>
          <w:szCs w:val="24"/>
        </w:rPr>
        <w:t xml:space="preserve">) kanıtlaması kaydıyla, </w:t>
      </w:r>
      <w:r w:rsidR="007E2039" w:rsidRPr="00DE12A3">
        <w:rPr>
          <w:sz w:val="24"/>
          <w:szCs w:val="24"/>
        </w:rPr>
        <w:t xml:space="preserve">onay </w:t>
      </w:r>
      <w:r w:rsidR="006F6A17" w:rsidRPr="00DE12A3">
        <w:rPr>
          <w:sz w:val="24"/>
          <w:szCs w:val="24"/>
        </w:rPr>
        <w:t>kuruluşu izleme</w:t>
      </w:r>
      <w:r w:rsidR="00242DA0" w:rsidRPr="00DE12A3">
        <w:rPr>
          <w:sz w:val="24"/>
          <w:szCs w:val="24"/>
        </w:rPr>
        <w:t xml:space="preserve"> için daha uzun bir süreye izin verebilir.</w:t>
      </w:r>
    </w:p>
    <w:p w14:paraId="3112F82B" w14:textId="3FC759B8" w:rsidR="005D0E41" w:rsidRPr="00DE12A3" w:rsidRDefault="005D0E41" w:rsidP="005D0E41">
      <w:pPr>
        <w:pStyle w:val="Gvdemetni250"/>
        <w:shd w:val="clear" w:color="auto" w:fill="auto"/>
        <w:spacing w:before="120" w:after="120" w:line="240" w:lineRule="auto"/>
        <w:ind w:firstLine="0"/>
        <w:rPr>
          <w:sz w:val="24"/>
          <w:szCs w:val="24"/>
        </w:rPr>
      </w:pPr>
    </w:p>
    <w:p w14:paraId="5DC9C85A" w14:textId="275127DD" w:rsidR="005D0E41" w:rsidRPr="00DE12A3" w:rsidRDefault="005D0E41" w:rsidP="005D0E41">
      <w:pPr>
        <w:jc w:val="center"/>
        <w:rPr>
          <w:b/>
          <w:bCs/>
          <w:color w:val="auto"/>
        </w:rPr>
      </w:pPr>
      <w:r w:rsidRPr="00DE12A3">
        <w:rPr>
          <w:b/>
          <w:bCs/>
          <w:color w:val="auto"/>
        </w:rPr>
        <w:t>Tablo 4.5.</w:t>
      </w:r>
    </w:p>
    <w:p w14:paraId="795AABA1" w14:textId="77777777" w:rsidR="005D0E41" w:rsidRPr="00DE12A3" w:rsidRDefault="005D0E41" w:rsidP="005D0E41">
      <w:pPr>
        <w:jc w:val="center"/>
        <w:rPr>
          <w:b/>
          <w:bCs/>
          <w:color w:val="auto"/>
        </w:rPr>
      </w:pPr>
      <w:r w:rsidRPr="00DE12A3">
        <w:rPr>
          <w:b/>
          <w:bCs/>
          <w:color w:val="auto"/>
        </w:rPr>
        <w:t>"Doğrulanmış ve devrede" bir DTC’nin kaydedileceği izleme sistemleri ve ilgili süre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4143"/>
        <w:gridCol w:w="4236"/>
      </w:tblGrid>
      <w:tr w:rsidR="00DE12A3" w:rsidRPr="00DE12A3" w14:paraId="14819E81" w14:textId="77777777" w:rsidTr="005D0E41">
        <w:trPr>
          <w:trHeight w:hRule="exact" w:val="761"/>
          <w:jc w:val="center"/>
        </w:trPr>
        <w:tc>
          <w:tcPr>
            <w:tcW w:w="4143" w:type="dxa"/>
            <w:shd w:val="clear" w:color="auto" w:fill="auto"/>
          </w:tcPr>
          <w:p w14:paraId="3F935227" w14:textId="77777777" w:rsidR="00125118" w:rsidRPr="00DE12A3" w:rsidRDefault="00125118" w:rsidP="005D0E41">
            <w:pPr>
              <w:pStyle w:val="NormalCentered"/>
              <w:jc w:val="both"/>
            </w:pPr>
            <w:r w:rsidRPr="00DE12A3">
              <w:t>İzleme sistemi tipi</w:t>
            </w:r>
          </w:p>
        </w:tc>
        <w:tc>
          <w:tcPr>
            <w:tcW w:w="4236" w:type="dxa"/>
            <w:shd w:val="clear" w:color="auto" w:fill="auto"/>
          </w:tcPr>
          <w:p w14:paraId="11C382E7" w14:textId="77777777" w:rsidR="00125118" w:rsidRPr="00DE12A3" w:rsidRDefault="00125118" w:rsidP="005D0E41">
            <w:pPr>
              <w:pStyle w:val="NormalCentered"/>
              <w:jc w:val="both"/>
            </w:pPr>
            <w:r w:rsidRPr="00DE12A3">
              <w:t>"Doğrulanmış ve devrede" bir DTC’nin kaydedileceği toplam çalışma süresi</w:t>
            </w:r>
          </w:p>
        </w:tc>
      </w:tr>
      <w:tr w:rsidR="00DE12A3" w:rsidRPr="00DE12A3" w14:paraId="5ADEC047" w14:textId="77777777" w:rsidTr="005D0E41">
        <w:trPr>
          <w:trHeight w:hRule="exact" w:val="554"/>
          <w:jc w:val="center"/>
        </w:trPr>
        <w:tc>
          <w:tcPr>
            <w:tcW w:w="4143" w:type="dxa"/>
            <w:shd w:val="clear" w:color="auto" w:fill="auto"/>
          </w:tcPr>
          <w:p w14:paraId="4BAA7262" w14:textId="77777777" w:rsidR="00125118" w:rsidRPr="00DE12A3" w:rsidRDefault="00125118" w:rsidP="005D0E41">
            <w:pPr>
              <w:pStyle w:val="NormalLeft"/>
              <w:jc w:val="both"/>
            </w:pPr>
            <w:r w:rsidRPr="00DE12A3">
              <w:t>Partikül arıtma sisteminin sökülmesi</w:t>
            </w:r>
          </w:p>
        </w:tc>
        <w:tc>
          <w:tcPr>
            <w:tcW w:w="4236" w:type="dxa"/>
            <w:shd w:val="clear" w:color="auto" w:fill="auto"/>
          </w:tcPr>
          <w:p w14:paraId="64F30A4B" w14:textId="77777777" w:rsidR="00125118" w:rsidRPr="00DE12A3" w:rsidRDefault="00125118" w:rsidP="005D0E41">
            <w:pPr>
              <w:pStyle w:val="NormalLeft"/>
              <w:jc w:val="both"/>
            </w:pPr>
            <w:r w:rsidRPr="00DE12A3">
              <w:t>60 dakika rölanti harici motor çalışması</w:t>
            </w:r>
          </w:p>
        </w:tc>
      </w:tr>
      <w:tr w:rsidR="00DE12A3" w:rsidRPr="00DE12A3" w14:paraId="6EE01C7E" w14:textId="77777777" w:rsidTr="005D0E41">
        <w:trPr>
          <w:trHeight w:hRule="exact" w:val="738"/>
          <w:jc w:val="center"/>
        </w:trPr>
        <w:tc>
          <w:tcPr>
            <w:tcW w:w="4143" w:type="dxa"/>
            <w:shd w:val="clear" w:color="auto" w:fill="auto"/>
          </w:tcPr>
          <w:p w14:paraId="2E834640" w14:textId="77777777" w:rsidR="00125118" w:rsidRPr="00DE12A3" w:rsidRDefault="00125118" w:rsidP="005D0E41">
            <w:pPr>
              <w:pStyle w:val="NormalLeft"/>
              <w:jc w:val="both"/>
            </w:pPr>
            <w:r w:rsidRPr="00DE12A3">
              <w:t>Partikül arıtma sisteminde işlev kaybı</w:t>
            </w:r>
          </w:p>
        </w:tc>
        <w:tc>
          <w:tcPr>
            <w:tcW w:w="4236" w:type="dxa"/>
            <w:shd w:val="clear" w:color="auto" w:fill="auto"/>
          </w:tcPr>
          <w:p w14:paraId="7D2AD2A6" w14:textId="77777777" w:rsidR="00125118" w:rsidRPr="00DE12A3" w:rsidRDefault="00125118" w:rsidP="005D0E41">
            <w:pPr>
              <w:pStyle w:val="NormalLeft"/>
              <w:jc w:val="both"/>
            </w:pPr>
            <w:r w:rsidRPr="00DE12A3">
              <w:t>240 dakika rölanti harici motor çalışması</w:t>
            </w:r>
          </w:p>
        </w:tc>
      </w:tr>
      <w:tr w:rsidR="00125118" w:rsidRPr="00DE12A3" w14:paraId="5A2DEA17" w14:textId="77777777" w:rsidTr="005D0E41">
        <w:trPr>
          <w:trHeight w:hRule="exact" w:val="593"/>
          <w:jc w:val="center"/>
        </w:trPr>
        <w:tc>
          <w:tcPr>
            <w:tcW w:w="4143" w:type="dxa"/>
            <w:shd w:val="clear" w:color="auto" w:fill="auto"/>
          </w:tcPr>
          <w:p w14:paraId="26B20716" w14:textId="77777777" w:rsidR="00125118" w:rsidRPr="00DE12A3" w:rsidRDefault="00125118" w:rsidP="005D0E41">
            <w:pPr>
              <w:pStyle w:val="NormalLeft"/>
              <w:jc w:val="both"/>
            </w:pPr>
            <w:r w:rsidRPr="00DE12A3">
              <w:t>PCD sistemi arızaları</w:t>
            </w:r>
          </w:p>
        </w:tc>
        <w:tc>
          <w:tcPr>
            <w:tcW w:w="4236" w:type="dxa"/>
            <w:shd w:val="clear" w:color="auto" w:fill="auto"/>
          </w:tcPr>
          <w:p w14:paraId="16C68D78" w14:textId="5E93230F" w:rsidR="00125118" w:rsidRPr="00DE12A3" w:rsidRDefault="00B655AE" w:rsidP="00E20716">
            <w:pPr>
              <w:pStyle w:val="NormalLeft"/>
              <w:numPr>
                <w:ilvl w:val="0"/>
                <w:numId w:val="464"/>
              </w:numPr>
              <w:jc w:val="both"/>
            </w:pPr>
            <w:r w:rsidRPr="00DE12A3">
              <w:t>d</w:t>
            </w:r>
            <w:r w:rsidR="00125118" w:rsidRPr="00DE12A3">
              <w:t>akika motor çalışması</w:t>
            </w:r>
          </w:p>
        </w:tc>
      </w:tr>
    </w:tbl>
    <w:p w14:paraId="2E7A68B8" w14:textId="77777777" w:rsidR="00125118" w:rsidRPr="00DE12A3" w:rsidRDefault="00125118" w:rsidP="00C917D6">
      <w:pPr>
        <w:pStyle w:val="Gvdemetni250"/>
        <w:shd w:val="clear" w:color="auto" w:fill="auto"/>
        <w:tabs>
          <w:tab w:val="left" w:pos="426"/>
        </w:tabs>
        <w:spacing w:before="120" w:after="120" w:line="240" w:lineRule="auto"/>
        <w:ind w:left="709" w:hanging="709"/>
        <w:rPr>
          <w:sz w:val="20"/>
          <w:szCs w:val="20"/>
        </w:rPr>
      </w:pPr>
    </w:p>
    <w:p w14:paraId="2910380E" w14:textId="2F8EF837" w:rsidR="002D7B36" w:rsidRPr="00DE12A3" w:rsidRDefault="00452AB9" w:rsidP="00452AB9">
      <w:pPr>
        <w:pStyle w:val="Gvdemetni250"/>
        <w:shd w:val="clear" w:color="auto" w:fill="auto"/>
        <w:spacing w:before="120" w:after="120" w:line="240" w:lineRule="auto"/>
        <w:ind w:firstLine="0"/>
        <w:rPr>
          <w:sz w:val="24"/>
          <w:szCs w:val="24"/>
        </w:rPr>
      </w:pPr>
      <w:r w:rsidRPr="00DE12A3">
        <w:rPr>
          <w:sz w:val="24"/>
          <w:szCs w:val="24"/>
        </w:rPr>
        <w:t xml:space="preserve">2.3.3. </w:t>
      </w:r>
      <w:r w:rsidR="00242DA0" w:rsidRPr="00DE12A3">
        <w:rPr>
          <w:sz w:val="24"/>
          <w:szCs w:val="24"/>
        </w:rPr>
        <w:t>Teşhis Hata Kodlarının (DTC'lerin) silinmesine ilişkin şartlar:</w:t>
      </w:r>
    </w:p>
    <w:p w14:paraId="6E43496D" w14:textId="070CE9DF" w:rsidR="002D7B36" w:rsidRPr="00DE12A3" w:rsidRDefault="00452AB9" w:rsidP="00127D94">
      <w:pPr>
        <w:jc w:val="both"/>
        <w:rPr>
          <w:color w:val="auto"/>
        </w:rPr>
      </w:pPr>
      <w:r w:rsidRPr="00DE12A3">
        <w:rPr>
          <w:color w:val="auto"/>
        </w:rPr>
        <w:t>(a)</w:t>
      </w:r>
      <w:r w:rsidR="00125118" w:rsidRPr="00DE12A3">
        <w:rPr>
          <w:color w:val="auto"/>
        </w:rPr>
        <w:t xml:space="preserve"> </w:t>
      </w:r>
      <w:r w:rsidR="00242DA0" w:rsidRPr="00DE12A3">
        <w:rPr>
          <w:color w:val="auto"/>
        </w:rPr>
        <w:t>DTC'ler, söz konusu DTC ile ilgili arıza giderilinceye kadar, PCD sisteminin kendisi tarafından bilgisayar belleğinden silinmez</w:t>
      </w:r>
      <w:r w:rsidR="00DE725A" w:rsidRPr="00DE12A3">
        <w:rPr>
          <w:color w:val="auto"/>
        </w:rPr>
        <w:t>.</w:t>
      </w:r>
    </w:p>
    <w:p w14:paraId="2664BA5C" w14:textId="75CAA02A" w:rsidR="002D7B36" w:rsidRPr="00DE12A3" w:rsidRDefault="00452AB9" w:rsidP="00127D94">
      <w:pPr>
        <w:jc w:val="both"/>
        <w:rPr>
          <w:color w:val="auto"/>
        </w:rPr>
      </w:pPr>
      <w:r w:rsidRPr="00DE12A3">
        <w:rPr>
          <w:color w:val="auto"/>
        </w:rPr>
        <w:t xml:space="preserve">(b) </w:t>
      </w:r>
      <w:r w:rsidR="00242DA0" w:rsidRPr="00DE12A3">
        <w:rPr>
          <w:color w:val="auto"/>
        </w:rPr>
        <w:t>PCD sistemi, motor imalatçısı tarafından sağlanan tescilli bir tarama veya bakım aletine ait tüm DTC'leri talep üzerine veya motor imalatçısı tarafından sağlanan bir şifreyi kullanarak silebilir.</w:t>
      </w:r>
    </w:p>
    <w:p w14:paraId="014E144C" w14:textId="6ADE49D8" w:rsidR="002D7B36" w:rsidRPr="00DE12A3" w:rsidRDefault="00452AB9" w:rsidP="00127D94">
      <w:pPr>
        <w:jc w:val="both"/>
        <w:rPr>
          <w:color w:val="auto"/>
        </w:rPr>
      </w:pPr>
      <w:r w:rsidRPr="00DE12A3">
        <w:rPr>
          <w:color w:val="auto"/>
        </w:rPr>
        <w:t>(c)</w:t>
      </w:r>
      <w:r w:rsidR="0040229E" w:rsidRPr="00DE12A3">
        <w:rPr>
          <w:color w:val="auto"/>
        </w:rPr>
        <w:t xml:space="preserve"> </w:t>
      </w:r>
      <w:r w:rsidR="00242DA0" w:rsidRPr="00DE12A3">
        <w:rPr>
          <w:color w:val="auto"/>
        </w:rPr>
        <w:t>5.2 bendi gereğince kalıcı hafızaya kaydedilmiş olan doğrulanmış ve devrede bir DTC ile çalışma olaylarına ait kayıt silinmemelidir.</w:t>
      </w:r>
    </w:p>
    <w:p w14:paraId="2B6D55EB" w14:textId="5546BB6C" w:rsidR="002D7B36" w:rsidRPr="00DE12A3" w:rsidRDefault="00452AB9" w:rsidP="00452AB9">
      <w:pPr>
        <w:pStyle w:val="Gvdemetni250"/>
        <w:shd w:val="clear" w:color="auto" w:fill="auto"/>
        <w:spacing w:before="120" w:after="120" w:line="240" w:lineRule="auto"/>
        <w:ind w:firstLine="0"/>
        <w:rPr>
          <w:sz w:val="24"/>
          <w:szCs w:val="24"/>
        </w:rPr>
      </w:pPr>
      <w:r w:rsidRPr="00DE12A3">
        <w:rPr>
          <w:sz w:val="24"/>
          <w:szCs w:val="24"/>
        </w:rPr>
        <w:t xml:space="preserve">2.3.4. </w:t>
      </w:r>
      <w:r w:rsidR="00242DA0" w:rsidRPr="00DE12A3">
        <w:rPr>
          <w:sz w:val="24"/>
          <w:szCs w:val="24"/>
        </w:rPr>
        <w:t>Bir PCD sistemi, motorun fiili kullanım ömrü boyunca karayolu dışında kullanılan hareketli makinaların yaşına bağlı olarak kısmen veya tamamen devre dışı kalacak şekilde programlanmamalı veya tasarlanmamalı, zaman içinde PCD sisteminin etkinliğini azaltmak için tasarlanmış herhangi bir algoritma veya strateji içermemelidir.</w:t>
      </w:r>
    </w:p>
    <w:p w14:paraId="1C85D597" w14:textId="71115478" w:rsidR="00125118" w:rsidRPr="00DE12A3" w:rsidRDefault="00452AB9" w:rsidP="00452AB9">
      <w:pPr>
        <w:pStyle w:val="Gvdemetni250"/>
        <w:shd w:val="clear" w:color="auto" w:fill="auto"/>
        <w:spacing w:before="120" w:after="120" w:line="240" w:lineRule="auto"/>
        <w:ind w:firstLine="0"/>
        <w:rPr>
          <w:sz w:val="24"/>
          <w:szCs w:val="24"/>
        </w:rPr>
      </w:pPr>
      <w:r w:rsidRPr="00DE12A3">
        <w:rPr>
          <w:sz w:val="24"/>
          <w:szCs w:val="24"/>
        </w:rPr>
        <w:t xml:space="preserve">2.3.5. </w:t>
      </w:r>
      <w:r w:rsidR="00242DA0" w:rsidRPr="00DE12A3">
        <w:rPr>
          <w:sz w:val="24"/>
          <w:szCs w:val="24"/>
        </w:rPr>
        <w:t>PCD sistemine ait yeniden programlanabilir bilgisayar kodları veya çalışma parametreleri kurcalanmaya dirençli olmalıdır.</w:t>
      </w:r>
    </w:p>
    <w:p w14:paraId="555FD031" w14:textId="6D483D3F" w:rsidR="002D7B36" w:rsidRPr="00DE12A3" w:rsidRDefault="00452AB9" w:rsidP="00452AB9">
      <w:pPr>
        <w:pStyle w:val="Gvdemetni250"/>
        <w:shd w:val="clear" w:color="auto" w:fill="auto"/>
        <w:spacing w:before="120" w:after="120" w:line="240" w:lineRule="auto"/>
        <w:ind w:firstLine="0"/>
        <w:rPr>
          <w:sz w:val="24"/>
          <w:szCs w:val="24"/>
        </w:rPr>
      </w:pPr>
      <w:r w:rsidRPr="00DE12A3">
        <w:rPr>
          <w:sz w:val="24"/>
          <w:szCs w:val="24"/>
        </w:rPr>
        <w:t xml:space="preserve">2.3.6. </w:t>
      </w:r>
      <w:r w:rsidR="00242DA0" w:rsidRPr="00DE12A3">
        <w:rPr>
          <w:sz w:val="24"/>
          <w:szCs w:val="24"/>
        </w:rPr>
        <w:t>PCD motor ailesi</w:t>
      </w:r>
    </w:p>
    <w:p w14:paraId="57C2D130" w14:textId="030CAA47" w:rsidR="002D7B36" w:rsidRPr="00DE12A3" w:rsidRDefault="00242DA0" w:rsidP="00452AB9">
      <w:pPr>
        <w:pStyle w:val="Gvdemetni250"/>
        <w:shd w:val="clear" w:color="auto" w:fill="auto"/>
        <w:spacing w:before="120" w:after="120" w:line="240" w:lineRule="auto"/>
        <w:ind w:firstLine="0"/>
        <w:rPr>
          <w:sz w:val="24"/>
          <w:szCs w:val="24"/>
        </w:rPr>
      </w:pPr>
      <w:r w:rsidRPr="00DE12A3">
        <w:rPr>
          <w:sz w:val="24"/>
          <w:szCs w:val="24"/>
        </w:rPr>
        <w:t xml:space="preserve">Bir PCD motor ailesinin bileşiminin belirlenmesinden imalatçı sorumludur. Bir PCD motor ailesi içindeki motorların gruplandırılması, iyi mühendislik kararına dayanmalıdır ve </w:t>
      </w:r>
      <w:r w:rsidR="007E2039" w:rsidRPr="00DE12A3">
        <w:rPr>
          <w:sz w:val="24"/>
          <w:szCs w:val="24"/>
        </w:rPr>
        <w:t xml:space="preserve">onay </w:t>
      </w:r>
      <w:r w:rsidR="006F6A17" w:rsidRPr="00DE12A3">
        <w:rPr>
          <w:sz w:val="24"/>
          <w:szCs w:val="24"/>
        </w:rPr>
        <w:t>kuruluşunun onayına</w:t>
      </w:r>
      <w:r w:rsidRPr="00DE12A3">
        <w:rPr>
          <w:sz w:val="24"/>
          <w:szCs w:val="24"/>
        </w:rPr>
        <w:t xml:space="preserve"> tabidir.</w:t>
      </w:r>
    </w:p>
    <w:p w14:paraId="67DFF773" w14:textId="17ED10F4" w:rsidR="002D7B36" w:rsidRPr="00DE12A3" w:rsidRDefault="00242DA0" w:rsidP="00452AB9">
      <w:pPr>
        <w:pStyle w:val="Gvdemetni250"/>
        <w:shd w:val="clear" w:color="auto" w:fill="auto"/>
        <w:spacing w:before="120" w:after="120" w:line="240" w:lineRule="auto"/>
        <w:ind w:firstLine="0"/>
        <w:rPr>
          <w:sz w:val="24"/>
          <w:szCs w:val="24"/>
        </w:rPr>
      </w:pPr>
      <w:r w:rsidRPr="00DE12A3">
        <w:rPr>
          <w:sz w:val="24"/>
          <w:szCs w:val="24"/>
        </w:rPr>
        <w:t>Aynı motor ailesi içinde olmayan motorlar, yine de aynı PCD motor ailesi içinde olabilir.</w:t>
      </w:r>
    </w:p>
    <w:p w14:paraId="1624EEE4" w14:textId="7423A7E1" w:rsidR="002D7B36" w:rsidRPr="00DE12A3" w:rsidRDefault="00452AB9" w:rsidP="00452AB9">
      <w:pPr>
        <w:pStyle w:val="Gvdemetni250"/>
        <w:shd w:val="clear" w:color="auto" w:fill="auto"/>
        <w:spacing w:before="120" w:after="120" w:line="240" w:lineRule="auto"/>
        <w:ind w:firstLine="0"/>
        <w:rPr>
          <w:bCs/>
          <w:sz w:val="24"/>
          <w:szCs w:val="24"/>
        </w:rPr>
      </w:pPr>
      <w:r w:rsidRPr="00DE12A3">
        <w:rPr>
          <w:bCs/>
          <w:sz w:val="24"/>
          <w:szCs w:val="24"/>
        </w:rPr>
        <w:t xml:space="preserve">2.3.6.1. </w:t>
      </w:r>
      <w:r w:rsidR="00242DA0" w:rsidRPr="00DE12A3">
        <w:rPr>
          <w:bCs/>
          <w:sz w:val="24"/>
          <w:szCs w:val="24"/>
        </w:rPr>
        <w:t>Bir PCD motor ailesini tanımlayan parametreler</w:t>
      </w:r>
    </w:p>
    <w:p w14:paraId="21ED5AD3" w14:textId="7CB02C18" w:rsidR="002D7B36" w:rsidRPr="00DE12A3" w:rsidRDefault="00242DA0" w:rsidP="00452AB9">
      <w:pPr>
        <w:pStyle w:val="Gvdemetni250"/>
        <w:shd w:val="clear" w:color="auto" w:fill="auto"/>
        <w:spacing w:before="120" w:after="120" w:line="240" w:lineRule="auto"/>
        <w:ind w:firstLine="0"/>
        <w:rPr>
          <w:sz w:val="24"/>
          <w:szCs w:val="24"/>
        </w:rPr>
      </w:pPr>
      <w:r w:rsidRPr="00DE12A3">
        <w:rPr>
          <w:sz w:val="24"/>
          <w:szCs w:val="24"/>
        </w:rPr>
        <w:t>Bir PCD motor ailesi, aile içindeki motorlar için ortak olan temel tasarım parametreleri ile tanımlanır.</w:t>
      </w:r>
    </w:p>
    <w:p w14:paraId="29C21AC2" w14:textId="0D988231" w:rsidR="002D7B36" w:rsidRPr="00DE12A3" w:rsidRDefault="00242DA0" w:rsidP="00452AB9">
      <w:pPr>
        <w:pStyle w:val="Gvdemetni250"/>
        <w:shd w:val="clear" w:color="auto" w:fill="auto"/>
        <w:spacing w:before="120" w:after="120" w:line="240" w:lineRule="auto"/>
        <w:ind w:firstLine="0"/>
        <w:rPr>
          <w:sz w:val="24"/>
          <w:szCs w:val="24"/>
        </w:rPr>
      </w:pPr>
      <w:r w:rsidRPr="00DE12A3">
        <w:rPr>
          <w:sz w:val="24"/>
          <w:szCs w:val="24"/>
        </w:rPr>
        <w:t>Motorların aynı PCD motor ailesi içinde olduğu düşünüldüğünde, aşağıdaki temel parametreler listesi benzer olmalıdır:</w:t>
      </w:r>
    </w:p>
    <w:p w14:paraId="1689509B" w14:textId="3C6AF959" w:rsidR="002D7B36" w:rsidRPr="00DE12A3" w:rsidRDefault="00452AB9" w:rsidP="00452AB9">
      <w:pPr>
        <w:pStyle w:val="Gvdemetni250"/>
        <w:shd w:val="clear" w:color="auto" w:fill="auto"/>
        <w:spacing w:before="120" w:after="120" w:line="240" w:lineRule="auto"/>
        <w:ind w:firstLine="0"/>
        <w:rPr>
          <w:sz w:val="24"/>
          <w:szCs w:val="24"/>
        </w:rPr>
      </w:pPr>
      <w:r w:rsidRPr="00DE12A3">
        <w:rPr>
          <w:sz w:val="24"/>
          <w:szCs w:val="24"/>
        </w:rPr>
        <w:t xml:space="preserve">(a) </w:t>
      </w:r>
      <w:r w:rsidR="007E2039" w:rsidRPr="00DE12A3">
        <w:rPr>
          <w:sz w:val="24"/>
          <w:szCs w:val="24"/>
        </w:rPr>
        <w:t xml:space="preserve">Partikül arıtma </w:t>
      </w:r>
      <w:r w:rsidR="00242DA0" w:rsidRPr="00DE12A3">
        <w:rPr>
          <w:sz w:val="24"/>
          <w:szCs w:val="24"/>
        </w:rPr>
        <w:t>sisteminin çalışma prensibi (</w:t>
      </w:r>
      <w:r w:rsidR="005B014A" w:rsidRPr="00DE12A3">
        <w:rPr>
          <w:sz w:val="24"/>
          <w:szCs w:val="24"/>
        </w:rPr>
        <w:t>örneğin</w:t>
      </w:r>
      <w:r w:rsidR="00242DA0" w:rsidRPr="00DE12A3">
        <w:rPr>
          <w:sz w:val="24"/>
          <w:szCs w:val="24"/>
        </w:rPr>
        <w:t xml:space="preserve"> mekanik, aerodinamik, yayınımlı, ataletli, periyodik rejeneratif, sürekli rejeneratif v</w:t>
      </w:r>
      <w:r w:rsidR="005C6D9F" w:rsidRPr="00DE12A3">
        <w:rPr>
          <w:sz w:val="24"/>
          <w:szCs w:val="24"/>
        </w:rPr>
        <w:t>e benzeri</w:t>
      </w:r>
      <w:r w:rsidR="00242DA0" w:rsidRPr="00DE12A3">
        <w:rPr>
          <w:sz w:val="24"/>
          <w:szCs w:val="24"/>
        </w:rPr>
        <w:t>)</w:t>
      </w:r>
    </w:p>
    <w:p w14:paraId="2CE612C4" w14:textId="6EECA7F1" w:rsidR="002D7B36" w:rsidRPr="00DE12A3" w:rsidRDefault="00452AB9" w:rsidP="00452AB9">
      <w:pPr>
        <w:pStyle w:val="Gvdemetni250"/>
        <w:shd w:val="clear" w:color="auto" w:fill="auto"/>
        <w:tabs>
          <w:tab w:val="left" w:pos="1418"/>
          <w:tab w:val="left" w:pos="1560"/>
        </w:tabs>
        <w:spacing w:before="120" w:after="120" w:line="240" w:lineRule="auto"/>
        <w:ind w:firstLine="0"/>
        <w:rPr>
          <w:sz w:val="24"/>
          <w:szCs w:val="24"/>
        </w:rPr>
      </w:pPr>
      <w:r w:rsidRPr="00DE12A3">
        <w:rPr>
          <w:sz w:val="24"/>
          <w:szCs w:val="24"/>
        </w:rPr>
        <w:t xml:space="preserve">(b) </w:t>
      </w:r>
      <w:r w:rsidR="00242DA0" w:rsidRPr="00DE12A3">
        <w:rPr>
          <w:sz w:val="24"/>
          <w:szCs w:val="24"/>
        </w:rPr>
        <w:t>PCD izleme yöntemleri</w:t>
      </w:r>
      <w:r w:rsidR="00DE725A" w:rsidRPr="00DE12A3">
        <w:rPr>
          <w:sz w:val="24"/>
          <w:szCs w:val="24"/>
        </w:rPr>
        <w:t>.</w:t>
      </w:r>
    </w:p>
    <w:p w14:paraId="116AB57C" w14:textId="07F3B5E0" w:rsidR="002D7B36" w:rsidRPr="00DE12A3" w:rsidRDefault="00452AB9" w:rsidP="00452AB9">
      <w:pPr>
        <w:pStyle w:val="Gvdemetni250"/>
        <w:shd w:val="clear" w:color="auto" w:fill="auto"/>
        <w:spacing w:before="120" w:after="120" w:line="240" w:lineRule="auto"/>
        <w:ind w:firstLine="0"/>
        <w:rPr>
          <w:sz w:val="24"/>
          <w:szCs w:val="24"/>
        </w:rPr>
      </w:pPr>
      <w:r w:rsidRPr="00DE12A3">
        <w:rPr>
          <w:sz w:val="24"/>
          <w:szCs w:val="24"/>
        </w:rPr>
        <w:lastRenderedPageBreak/>
        <w:t xml:space="preserve">(c) </w:t>
      </w:r>
      <w:r w:rsidR="00242DA0" w:rsidRPr="00DE12A3">
        <w:rPr>
          <w:sz w:val="24"/>
          <w:szCs w:val="24"/>
        </w:rPr>
        <w:t>PCD izleme kriterleri</w:t>
      </w:r>
      <w:r w:rsidR="00DE725A" w:rsidRPr="00DE12A3">
        <w:rPr>
          <w:sz w:val="24"/>
          <w:szCs w:val="24"/>
        </w:rPr>
        <w:t>.</w:t>
      </w:r>
    </w:p>
    <w:p w14:paraId="45C10613" w14:textId="2904D996" w:rsidR="002D7B36" w:rsidRPr="00DE12A3" w:rsidRDefault="00452AB9" w:rsidP="00452AB9">
      <w:pPr>
        <w:pStyle w:val="Gvdemetni250"/>
        <w:shd w:val="clear" w:color="auto" w:fill="auto"/>
        <w:tabs>
          <w:tab w:val="left" w:pos="1418"/>
          <w:tab w:val="left" w:pos="1560"/>
        </w:tabs>
        <w:spacing w:before="120" w:after="120" w:line="240" w:lineRule="auto"/>
        <w:ind w:firstLine="0"/>
        <w:rPr>
          <w:sz w:val="24"/>
          <w:szCs w:val="24"/>
        </w:rPr>
      </w:pPr>
      <w:r w:rsidRPr="00DE12A3">
        <w:rPr>
          <w:sz w:val="24"/>
          <w:szCs w:val="24"/>
        </w:rPr>
        <w:t xml:space="preserve">(d) </w:t>
      </w:r>
      <w:r w:rsidR="00125118" w:rsidRPr="00DE12A3">
        <w:rPr>
          <w:sz w:val="24"/>
          <w:szCs w:val="24"/>
        </w:rPr>
        <w:t>İ</w:t>
      </w:r>
      <w:r w:rsidR="00242DA0" w:rsidRPr="00DE12A3">
        <w:rPr>
          <w:sz w:val="24"/>
          <w:szCs w:val="24"/>
        </w:rPr>
        <w:t>zleme parametreleri (</w:t>
      </w:r>
      <w:r w:rsidR="005B014A" w:rsidRPr="00DE12A3">
        <w:rPr>
          <w:sz w:val="24"/>
          <w:szCs w:val="24"/>
        </w:rPr>
        <w:t>örneğin</w:t>
      </w:r>
      <w:r w:rsidR="00242DA0" w:rsidRPr="00DE12A3">
        <w:rPr>
          <w:sz w:val="24"/>
          <w:szCs w:val="24"/>
        </w:rPr>
        <w:t xml:space="preserve"> sıklık).</w:t>
      </w:r>
    </w:p>
    <w:p w14:paraId="1912F14E" w14:textId="2EC753D0" w:rsidR="002D7B36" w:rsidRPr="00DE12A3" w:rsidRDefault="00242DA0" w:rsidP="00452AB9">
      <w:pPr>
        <w:pStyle w:val="Gvdemetni250"/>
        <w:shd w:val="clear" w:color="auto" w:fill="auto"/>
        <w:spacing w:before="120" w:after="120" w:line="240" w:lineRule="auto"/>
        <w:ind w:firstLine="0"/>
        <w:rPr>
          <w:sz w:val="24"/>
          <w:szCs w:val="24"/>
        </w:rPr>
      </w:pPr>
      <w:r w:rsidRPr="00DE12A3">
        <w:rPr>
          <w:sz w:val="24"/>
          <w:szCs w:val="24"/>
        </w:rPr>
        <w:t xml:space="preserve">Bu benzerlikler, imalatçı tarafından ilgili mühendislik sunumları veya diğer uygun prosedürler yoluyla kanıtlanmalıdır ve </w:t>
      </w:r>
      <w:r w:rsidR="007E2039" w:rsidRPr="00DE12A3">
        <w:rPr>
          <w:sz w:val="24"/>
          <w:szCs w:val="24"/>
        </w:rPr>
        <w:t xml:space="preserve">onay </w:t>
      </w:r>
      <w:r w:rsidR="006F6A17" w:rsidRPr="00DE12A3">
        <w:rPr>
          <w:sz w:val="24"/>
          <w:szCs w:val="24"/>
        </w:rPr>
        <w:t>kuruluşunun onayına</w:t>
      </w:r>
      <w:r w:rsidRPr="00DE12A3">
        <w:rPr>
          <w:sz w:val="24"/>
          <w:szCs w:val="24"/>
        </w:rPr>
        <w:t xml:space="preserve"> tabidir.</w:t>
      </w:r>
    </w:p>
    <w:p w14:paraId="06BFEE1E" w14:textId="2B950674" w:rsidR="002D7B36" w:rsidRPr="00DE12A3" w:rsidRDefault="00242DA0" w:rsidP="00452AB9">
      <w:pPr>
        <w:pStyle w:val="Gvdemetni250"/>
        <w:shd w:val="clear" w:color="auto" w:fill="auto"/>
        <w:spacing w:before="120" w:after="120" w:line="240" w:lineRule="auto"/>
        <w:ind w:firstLine="0"/>
        <w:rPr>
          <w:sz w:val="24"/>
          <w:szCs w:val="24"/>
        </w:rPr>
      </w:pPr>
      <w:r w:rsidRPr="00DE12A3">
        <w:rPr>
          <w:sz w:val="24"/>
          <w:szCs w:val="24"/>
        </w:rPr>
        <w:t>İmalatçı tarafından bu yöntemlerin benzer olduğunu ve sadece incelenmekte olan bileşenlere ait belirli özelliklere (örneğin büyüklük, egzoz gazı akışı v</w:t>
      </w:r>
      <w:r w:rsidR="005C6D9F" w:rsidRPr="00DE12A3">
        <w:rPr>
          <w:sz w:val="24"/>
          <w:szCs w:val="24"/>
        </w:rPr>
        <w:t>e benzeri</w:t>
      </w:r>
      <w:r w:rsidRPr="00DE12A3">
        <w:rPr>
          <w:sz w:val="24"/>
          <w:szCs w:val="24"/>
        </w:rPr>
        <w:t xml:space="preserve">) uyması açısından farklılık gösterdiğini değerlendirildiğinde veya benzerlikleri iyi mühendislik kararına dayandığında, imalatçı PCD sistemini izleme/teşhis yöntemlerindeki küçük farklılıkların </w:t>
      </w:r>
      <w:r w:rsidR="007E2039" w:rsidRPr="00DE12A3">
        <w:rPr>
          <w:sz w:val="24"/>
          <w:szCs w:val="24"/>
        </w:rPr>
        <w:t xml:space="preserve">onay </w:t>
      </w:r>
      <w:r w:rsidR="006F6A17" w:rsidRPr="00DE12A3">
        <w:rPr>
          <w:sz w:val="24"/>
          <w:szCs w:val="24"/>
        </w:rPr>
        <w:t>kuruluşu tarafından</w:t>
      </w:r>
      <w:r w:rsidRPr="00DE12A3">
        <w:rPr>
          <w:sz w:val="24"/>
          <w:szCs w:val="24"/>
        </w:rPr>
        <w:t xml:space="preserve"> onaylanmasını talep edebilir.</w:t>
      </w:r>
    </w:p>
    <w:p w14:paraId="0C1EB1E5" w14:textId="1BBC93A7" w:rsidR="002D7B36" w:rsidRPr="00DE12A3" w:rsidRDefault="00452AB9" w:rsidP="00452AB9">
      <w:pPr>
        <w:spacing w:before="120" w:after="120"/>
        <w:jc w:val="both"/>
        <w:rPr>
          <w:rFonts w:cs="Times New Roman"/>
          <w:b/>
          <w:bCs/>
          <w:color w:val="auto"/>
        </w:rPr>
      </w:pPr>
      <w:r w:rsidRPr="00DE12A3">
        <w:rPr>
          <w:rFonts w:cs="Times New Roman"/>
          <w:b/>
          <w:bCs/>
          <w:color w:val="auto"/>
        </w:rPr>
        <w:t xml:space="preserve">3. </w:t>
      </w:r>
      <w:r w:rsidR="00242DA0" w:rsidRPr="00DE12A3">
        <w:rPr>
          <w:rFonts w:cs="Times New Roman"/>
          <w:b/>
          <w:bCs/>
          <w:color w:val="auto"/>
        </w:rPr>
        <w:t xml:space="preserve">Bakım </w:t>
      </w:r>
      <w:r w:rsidR="0053289F" w:rsidRPr="00DE12A3">
        <w:rPr>
          <w:rFonts w:cs="Times New Roman"/>
          <w:b/>
          <w:bCs/>
          <w:color w:val="auto"/>
        </w:rPr>
        <w:t>gereklilikleri</w:t>
      </w:r>
    </w:p>
    <w:p w14:paraId="109B4C20" w14:textId="140842BA" w:rsidR="002D7B36" w:rsidRPr="00DE12A3" w:rsidRDefault="00452AB9" w:rsidP="00452AB9">
      <w:pPr>
        <w:pStyle w:val="Gvdemetni250"/>
        <w:shd w:val="clear" w:color="auto" w:fill="auto"/>
        <w:tabs>
          <w:tab w:val="right" w:pos="851"/>
          <w:tab w:val="right" w:pos="3840"/>
          <w:tab w:val="left" w:pos="3879"/>
        </w:tabs>
        <w:spacing w:before="120" w:after="120" w:line="240" w:lineRule="auto"/>
        <w:ind w:firstLine="0"/>
        <w:rPr>
          <w:sz w:val="24"/>
          <w:szCs w:val="24"/>
        </w:rPr>
      </w:pPr>
      <w:r w:rsidRPr="00DE12A3">
        <w:rPr>
          <w:sz w:val="24"/>
          <w:szCs w:val="24"/>
        </w:rPr>
        <w:t xml:space="preserve">3.1. </w:t>
      </w:r>
      <w:r w:rsidR="00242DA0" w:rsidRPr="00DE12A3">
        <w:rPr>
          <w:sz w:val="24"/>
          <w:szCs w:val="24"/>
        </w:rPr>
        <w:t xml:space="preserve">OEM, </w:t>
      </w:r>
      <w:r w:rsidR="00DE725A" w:rsidRPr="00DE12A3">
        <w:rPr>
          <w:sz w:val="24"/>
          <w:szCs w:val="24"/>
        </w:rPr>
        <w:t xml:space="preserve">bu Tebliğin </w:t>
      </w:r>
      <w:r w:rsidR="00242DA0" w:rsidRPr="00DE12A3">
        <w:rPr>
          <w:sz w:val="24"/>
          <w:szCs w:val="24"/>
        </w:rPr>
        <w:t>X</w:t>
      </w:r>
      <w:r w:rsidR="00FA0678" w:rsidRPr="00DE12A3">
        <w:rPr>
          <w:sz w:val="24"/>
          <w:szCs w:val="24"/>
        </w:rPr>
        <w:t xml:space="preserve">V’inci </w:t>
      </w:r>
      <w:r w:rsidR="00A82A16" w:rsidRPr="00DE12A3">
        <w:rPr>
          <w:sz w:val="24"/>
          <w:szCs w:val="24"/>
        </w:rPr>
        <w:t>E</w:t>
      </w:r>
      <w:r w:rsidR="00FA0678" w:rsidRPr="00DE12A3">
        <w:rPr>
          <w:sz w:val="24"/>
          <w:szCs w:val="24"/>
        </w:rPr>
        <w:t>k</w:t>
      </w:r>
      <w:r w:rsidR="00DE725A" w:rsidRPr="00DE12A3">
        <w:rPr>
          <w:sz w:val="24"/>
          <w:szCs w:val="24"/>
        </w:rPr>
        <w:t>i</w:t>
      </w:r>
      <w:r w:rsidR="00242DA0" w:rsidRPr="00DE12A3">
        <w:rPr>
          <w:sz w:val="24"/>
          <w:szCs w:val="24"/>
        </w:rPr>
        <w:t xml:space="preserve"> gereğince yeni karayolu dışında kullanılan hareketli makinaların tüm son kullanıcılarına, emisyon kontrol sistemi ve doğru kullanımı hakkında yazılı talimatlar sağlamalıdır.</w:t>
      </w:r>
    </w:p>
    <w:p w14:paraId="30C4285D" w14:textId="5611BAB2" w:rsidR="002D7B36" w:rsidRPr="00DE12A3" w:rsidRDefault="00452AB9" w:rsidP="00452AB9">
      <w:pPr>
        <w:spacing w:before="120" w:after="120"/>
        <w:jc w:val="both"/>
        <w:rPr>
          <w:rFonts w:cs="Times New Roman"/>
          <w:b/>
          <w:bCs/>
          <w:color w:val="auto"/>
        </w:rPr>
      </w:pPr>
      <w:r w:rsidRPr="00DE12A3">
        <w:rPr>
          <w:rFonts w:cs="Times New Roman"/>
          <w:b/>
          <w:bCs/>
          <w:color w:val="auto"/>
        </w:rPr>
        <w:t xml:space="preserve">4. </w:t>
      </w:r>
      <w:r w:rsidR="00242DA0" w:rsidRPr="00DE12A3">
        <w:rPr>
          <w:rFonts w:cs="Times New Roman"/>
          <w:b/>
          <w:bCs/>
          <w:color w:val="auto"/>
        </w:rPr>
        <w:t>Operatör uyarı sistemi</w:t>
      </w:r>
    </w:p>
    <w:p w14:paraId="60E53CEF" w14:textId="237C118C" w:rsidR="002D7B36" w:rsidRPr="00DE12A3" w:rsidRDefault="00452AB9" w:rsidP="00452AB9">
      <w:pPr>
        <w:pStyle w:val="Gvdemetni250"/>
        <w:shd w:val="clear" w:color="auto" w:fill="auto"/>
        <w:spacing w:before="120" w:after="120" w:line="240" w:lineRule="auto"/>
        <w:ind w:firstLine="0"/>
        <w:rPr>
          <w:sz w:val="24"/>
          <w:szCs w:val="24"/>
        </w:rPr>
      </w:pPr>
      <w:r w:rsidRPr="00DE12A3">
        <w:rPr>
          <w:sz w:val="24"/>
          <w:szCs w:val="24"/>
        </w:rPr>
        <w:t xml:space="preserve">4.1. </w:t>
      </w:r>
      <w:r w:rsidR="00242DA0" w:rsidRPr="00DE12A3">
        <w:rPr>
          <w:sz w:val="24"/>
          <w:szCs w:val="24"/>
        </w:rPr>
        <w:t>Karayolu dışında kullanılan hareketli makinalar, görsel alarmlar kullanan bir operatör uyarı sistemi içermelidir.</w:t>
      </w:r>
    </w:p>
    <w:p w14:paraId="555F8726" w14:textId="0123D066" w:rsidR="002D7B36" w:rsidRPr="00DE12A3" w:rsidRDefault="00452AB9" w:rsidP="00452AB9">
      <w:pPr>
        <w:pStyle w:val="Gvdemetni250"/>
        <w:shd w:val="clear" w:color="auto" w:fill="auto"/>
        <w:spacing w:before="120" w:after="120" w:line="240" w:lineRule="auto"/>
        <w:ind w:firstLine="0"/>
        <w:rPr>
          <w:sz w:val="24"/>
          <w:szCs w:val="24"/>
        </w:rPr>
      </w:pPr>
      <w:r w:rsidRPr="00DE12A3">
        <w:rPr>
          <w:sz w:val="24"/>
          <w:szCs w:val="24"/>
        </w:rPr>
        <w:t>4.2.</w:t>
      </w:r>
      <w:r w:rsidR="00E548C2" w:rsidRPr="00DE12A3">
        <w:rPr>
          <w:sz w:val="24"/>
          <w:szCs w:val="24"/>
        </w:rPr>
        <w:t xml:space="preserve"> </w:t>
      </w:r>
      <w:r w:rsidR="00242DA0" w:rsidRPr="00DE12A3">
        <w:rPr>
          <w:sz w:val="24"/>
          <w:szCs w:val="24"/>
        </w:rPr>
        <w:t>Operatör uyarı sistemi bir veya daha fazla lambadan oluşabilir veya kısa mesajlar gösterebilir.</w:t>
      </w:r>
    </w:p>
    <w:p w14:paraId="4CD08CFA" w14:textId="6D3BA028" w:rsidR="002D7B36" w:rsidRPr="00DE12A3" w:rsidRDefault="00242DA0" w:rsidP="00452AB9">
      <w:pPr>
        <w:pStyle w:val="Gvdemetni250"/>
        <w:shd w:val="clear" w:color="auto" w:fill="auto"/>
        <w:spacing w:before="120" w:after="120" w:line="240" w:lineRule="auto"/>
        <w:ind w:firstLine="0"/>
        <w:rPr>
          <w:sz w:val="24"/>
          <w:szCs w:val="24"/>
        </w:rPr>
      </w:pPr>
      <w:r w:rsidRPr="00DE12A3">
        <w:rPr>
          <w:sz w:val="24"/>
          <w:szCs w:val="24"/>
        </w:rPr>
        <w:t>Bu mesajları görüntülemek için kullanılan sistem diğer bakım veya NCD</w:t>
      </w:r>
      <w:r w:rsidR="00E548C2" w:rsidRPr="00DE12A3">
        <w:rPr>
          <w:sz w:val="24"/>
          <w:szCs w:val="24"/>
        </w:rPr>
        <w:t xml:space="preserve"> </w:t>
      </w:r>
      <w:r w:rsidRPr="00DE12A3">
        <w:rPr>
          <w:sz w:val="24"/>
          <w:szCs w:val="24"/>
        </w:rPr>
        <w:t>amaçları için kullanılan sistemle aynı olabilir.</w:t>
      </w:r>
    </w:p>
    <w:p w14:paraId="77BD3A4B" w14:textId="71BCA610" w:rsidR="002D7B36" w:rsidRPr="00DE12A3" w:rsidRDefault="00242DA0" w:rsidP="00452AB9">
      <w:pPr>
        <w:pStyle w:val="Gvdemetni250"/>
        <w:shd w:val="clear" w:color="auto" w:fill="auto"/>
        <w:spacing w:before="120" w:after="120" w:line="240" w:lineRule="auto"/>
        <w:ind w:firstLine="0"/>
        <w:rPr>
          <w:sz w:val="24"/>
          <w:szCs w:val="24"/>
        </w:rPr>
      </w:pPr>
      <w:r w:rsidRPr="00DE12A3">
        <w:rPr>
          <w:sz w:val="24"/>
          <w:szCs w:val="24"/>
        </w:rPr>
        <w:t>Uyarı sistemi acil tamir gerektiğini göstermelidir. Uyarı sisteminde bir mesaj görüntüleme sistemi olduğunda, uyarının nedenini belirten bir mesaj göstermelidir (örneğin “sensör bağlantısı kesildi” veya “kritik emisyon arızası”).</w:t>
      </w:r>
    </w:p>
    <w:p w14:paraId="31724988" w14:textId="36360094" w:rsidR="002D7B36" w:rsidRPr="00DE12A3" w:rsidRDefault="00452AB9" w:rsidP="00452AB9">
      <w:pPr>
        <w:pStyle w:val="Gvdemetni250"/>
        <w:shd w:val="clear" w:color="auto" w:fill="auto"/>
        <w:spacing w:before="120" w:after="120" w:line="240" w:lineRule="auto"/>
        <w:ind w:firstLine="0"/>
        <w:rPr>
          <w:sz w:val="24"/>
          <w:szCs w:val="24"/>
        </w:rPr>
      </w:pPr>
      <w:r w:rsidRPr="00DE12A3">
        <w:rPr>
          <w:sz w:val="24"/>
          <w:szCs w:val="24"/>
        </w:rPr>
        <w:t xml:space="preserve">4.3. </w:t>
      </w:r>
      <w:r w:rsidR="00242DA0" w:rsidRPr="00DE12A3">
        <w:rPr>
          <w:sz w:val="24"/>
          <w:szCs w:val="24"/>
        </w:rPr>
        <w:t>İmalatçının tercihine bağlı olarak, uyarı sistemi operatörü uyarmak için bir sesli bileşen içerebilir. Sesli uyarıların operatör tarafından iptal edilmesine izin verilir.</w:t>
      </w:r>
    </w:p>
    <w:p w14:paraId="087BAAAB" w14:textId="7E303F2C" w:rsidR="002D7B36" w:rsidRPr="00DE12A3" w:rsidRDefault="00452AB9" w:rsidP="00452AB9">
      <w:pPr>
        <w:pStyle w:val="Gvdemetni250"/>
        <w:shd w:val="clear" w:color="auto" w:fill="auto"/>
        <w:spacing w:before="120" w:after="120" w:line="240" w:lineRule="auto"/>
        <w:ind w:firstLine="0"/>
        <w:rPr>
          <w:sz w:val="24"/>
          <w:szCs w:val="24"/>
        </w:rPr>
      </w:pPr>
      <w:r w:rsidRPr="00DE12A3">
        <w:rPr>
          <w:sz w:val="24"/>
          <w:szCs w:val="24"/>
        </w:rPr>
        <w:t>4.4.</w:t>
      </w:r>
      <w:r w:rsidR="00E548C2" w:rsidRPr="00DE12A3">
        <w:rPr>
          <w:sz w:val="24"/>
          <w:szCs w:val="24"/>
        </w:rPr>
        <w:t xml:space="preserve"> </w:t>
      </w:r>
      <w:r w:rsidR="00242DA0" w:rsidRPr="00DE12A3">
        <w:rPr>
          <w:sz w:val="24"/>
          <w:szCs w:val="24"/>
        </w:rPr>
        <w:t>Operatör uyarı sistemi, 2.3.2.2 bendinde belirtilen şekilde devreye girmelidir.</w:t>
      </w:r>
    </w:p>
    <w:p w14:paraId="0B4F27CF" w14:textId="2E28924A" w:rsidR="002D7B36" w:rsidRPr="00DE12A3" w:rsidRDefault="00452AB9" w:rsidP="00452AB9">
      <w:pPr>
        <w:pStyle w:val="Gvdemetni250"/>
        <w:shd w:val="clear" w:color="auto" w:fill="auto"/>
        <w:spacing w:before="120" w:after="120" w:line="240" w:lineRule="auto"/>
        <w:ind w:firstLine="0"/>
        <w:rPr>
          <w:sz w:val="24"/>
          <w:szCs w:val="24"/>
        </w:rPr>
      </w:pPr>
      <w:r w:rsidRPr="00DE12A3">
        <w:rPr>
          <w:sz w:val="24"/>
          <w:szCs w:val="24"/>
        </w:rPr>
        <w:t xml:space="preserve">4.5. </w:t>
      </w:r>
      <w:r w:rsidR="00242DA0" w:rsidRPr="00DE12A3">
        <w:rPr>
          <w:sz w:val="24"/>
          <w:szCs w:val="24"/>
        </w:rPr>
        <w:t>Operatör uyarı sistemi, devreye girmesine ilişkin koşullar sona erdiğinde devreden çıkar. Operatör uyarı sistemi, devreye girmesine ilişkin sebep giderilmedikçe otomatik olarak devreden çıkmaz.</w:t>
      </w:r>
    </w:p>
    <w:p w14:paraId="76B6E0D3" w14:textId="3667CBC1" w:rsidR="002D7B36" w:rsidRPr="00DE12A3" w:rsidRDefault="00452AB9" w:rsidP="00452AB9">
      <w:pPr>
        <w:pStyle w:val="Gvdemetni250"/>
        <w:shd w:val="clear" w:color="auto" w:fill="auto"/>
        <w:spacing w:before="120" w:after="120" w:line="240" w:lineRule="auto"/>
        <w:ind w:firstLine="0"/>
        <w:rPr>
          <w:sz w:val="24"/>
          <w:szCs w:val="24"/>
        </w:rPr>
      </w:pPr>
      <w:r w:rsidRPr="00DE12A3">
        <w:rPr>
          <w:sz w:val="24"/>
          <w:szCs w:val="24"/>
        </w:rPr>
        <w:t>4.6.</w:t>
      </w:r>
      <w:r w:rsidR="00E548C2" w:rsidRPr="00DE12A3">
        <w:rPr>
          <w:sz w:val="24"/>
          <w:szCs w:val="24"/>
        </w:rPr>
        <w:t xml:space="preserve"> </w:t>
      </w:r>
      <w:r w:rsidR="00242DA0" w:rsidRPr="00DE12A3">
        <w:rPr>
          <w:sz w:val="24"/>
          <w:szCs w:val="24"/>
        </w:rPr>
        <w:t>Uyarı sistemi, güvenlikle ilgili önemli mesajlar veren diğer uyarı sinyalleri ile geçici olarak kesintiye uğrayabilir.</w:t>
      </w:r>
    </w:p>
    <w:p w14:paraId="60DBFA6F" w14:textId="1F8888B7" w:rsidR="002D7B36" w:rsidRPr="00DE12A3" w:rsidRDefault="00452AB9" w:rsidP="00452AB9">
      <w:pPr>
        <w:pStyle w:val="Gvdemetni250"/>
        <w:shd w:val="clear" w:color="auto" w:fill="auto"/>
        <w:spacing w:before="120" w:after="120" w:line="240" w:lineRule="auto"/>
        <w:ind w:firstLine="0"/>
        <w:rPr>
          <w:sz w:val="24"/>
          <w:szCs w:val="24"/>
        </w:rPr>
      </w:pPr>
      <w:r w:rsidRPr="00DE12A3">
        <w:rPr>
          <w:sz w:val="24"/>
          <w:szCs w:val="24"/>
        </w:rPr>
        <w:t>4.7.</w:t>
      </w:r>
      <w:r w:rsidR="00EE5D5E" w:rsidRPr="00DE12A3">
        <w:rPr>
          <w:sz w:val="24"/>
          <w:szCs w:val="24"/>
        </w:rPr>
        <w:t xml:space="preserve"> 2016/1628/AB Yönetmeliği</w:t>
      </w:r>
      <w:r w:rsidR="00242DA0" w:rsidRPr="00DE12A3">
        <w:rPr>
          <w:sz w:val="24"/>
          <w:szCs w:val="24"/>
        </w:rPr>
        <w:t xml:space="preserve"> uyarınca AB tip onayı başvurusunda imalatçı, 9. Bölümde belirtildiği gibi operatör uyarı sisteminin çalışmasını gösterir.</w:t>
      </w:r>
    </w:p>
    <w:p w14:paraId="722350DC" w14:textId="63CC05D1" w:rsidR="002D7B36" w:rsidRPr="00DE12A3" w:rsidRDefault="00015466" w:rsidP="00015466">
      <w:pPr>
        <w:spacing w:before="120" w:after="120"/>
        <w:rPr>
          <w:b/>
          <w:bCs/>
          <w:color w:val="auto"/>
        </w:rPr>
      </w:pPr>
      <w:r w:rsidRPr="00DE12A3">
        <w:rPr>
          <w:b/>
          <w:bCs/>
          <w:color w:val="auto"/>
        </w:rPr>
        <w:t xml:space="preserve">5. </w:t>
      </w:r>
      <w:r w:rsidR="00242DA0" w:rsidRPr="00DE12A3">
        <w:rPr>
          <w:b/>
          <w:bCs/>
          <w:color w:val="auto"/>
        </w:rPr>
        <w:t>Operatör uyarı sisteminin devreye girmesi ile ilgili bilgileri saklama sistemi</w:t>
      </w:r>
    </w:p>
    <w:p w14:paraId="4FE1EE46" w14:textId="7ECBA50A" w:rsidR="002D7B36" w:rsidRPr="00DE12A3" w:rsidRDefault="00015466" w:rsidP="00015466">
      <w:pPr>
        <w:pStyle w:val="Gvdemetni250"/>
        <w:shd w:val="clear" w:color="auto" w:fill="auto"/>
        <w:spacing w:before="120" w:after="120" w:line="240" w:lineRule="auto"/>
        <w:ind w:firstLine="0"/>
        <w:rPr>
          <w:sz w:val="24"/>
          <w:szCs w:val="24"/>
        </w:rPr>
      </w:pPr>
      <w:r w:rsidRPr="00DE12A3">
        <w:rPr>
          <w:sz w:val="24"/>
          <w:szCs w:val="24"/>
        </w:rPr>
        <w:t xml:space="preserve">5.1. </w:t>
      </w:r>
      <w:r w:rsidR="00242DA0" w:rsidRPr="00DE12A3">
        <w:rPr>
          <w:sz w:val="24"/>
          <w:szCs w:val="24"/>
        </w:rPr>
        <w:t>PCD sisteminde, doğrulanmış ve devrede bir DTC ile motor çalışma olaylarını, bilgilerin kasıtlı olarak silinememesini sağlayacak şekilde saklamak için kalıcı bir bilgisayar belleği veya sayaçlar olmalıdır.</w:t>
      </w:r>
    </w:p>
    <w:p w14:paraId="297ED211" w14:textId="742A5F2F" w:rsidR="002D7B36" w:rsidRPr="00DE12A3" w:rsidRDefault="00015466" w:rsidP="00015466">
      <w:pPr>
        <w:pStyle w:val="Gvdemetni250"/>
        <w:shd w:val="clear" w:color="auto" w:fill="auto"/>
        <w:spacing w:before="120" w:after="120" w:line="240" w:lineRule="auto"/>
        <w:ind w:firstLine="0"/>
        <w:rPr>
          <w:sz w:val="24"/>
          <w:szCs w:val="24"/>
        </w:rPr>
      </w:pPr>
      <w:r w:rsidRPr="00DE12A3">
        <w:rPr>
          <w:sz w:val="24"/>
          <w:szCs w:val="24"/>
        </w:rPr>
        <w:t xml:space="preserve">5.2. </w:t>
      </w:r>
      <w:r w:rsidR="00242DA0" w:rsidRPr="00DE12A3">
        <w:rPr>
          <w:sz w:val="24"/>
          <w:szCs w:val="24"/>
        </w:rPr>
        <w:t>PCD, operatör uyarı sisteminin 20 saatlik motor çalışması veya imalatçının tercihine bağlı olarak daha kısa bir süre boyunca devrede olduğu, doğrulanmış ve devrede bir DTC ile tüm motor çalışma olaylarının toplam sayısını ve süresini kalıcı hafızada saklamalıdır.</w:t>
      </w:r>
    </w:p>
    <w:p w14:paraId="014D9977" w14:textId="3D0BD7B2" w:rsidR="002D7B36" w:rsidRPr="00DE12A3" w:rsidRDefault="00015466" w:rsidP="00015466">
      <w:pPr>
        <w:pStyle w:val="Gvdemetni250"/>
        <w:shd w:val="clear" w:color="auto" w:fill="auto"/>
        <w:spacing w:before="120" w:after="120" w:line="240" w:lineRule="auto"/>
        <w:ind w:firstLine="0"/>
        <w:rPr>
          <w:sz w:val="24"/>
          <w:szCs w:val="24"/>
        </w:rPr>
      </w:pPr>
      <w:r w:rsidRPr="00DE12A3">
        <w:rPr>
          <w:sz w:val="24"/>
          <w:szCs w:val="24"/>
        </w:rPr>
        <w:t xml:space="preserve">5.3. </w:t>
      </w:r>
      <w:r w:rsidR="00242DA0" w:rsidRPr="00DE12A3">
        <w:rPr>
          <w:sz w:val="24"/>
          <w:szCs w:val="24"/>
        </w:rPr>
        <w:t>Ulusal otoritelerin bu kayıtları bir tarama aletiyle okuması mümkün olmalıdır.</w:t>
      </w:r>
    </w:p>
    <w:p w14:paraId="1905220E" w14:textId="103B5261" w:rsidR="002D7B36" w:rsidRPr="00DE12A3" w:rsidRDefault="00015466" w:rsidP="00015466">
      <w:pPr>
        <w:pStyle w:val="Gvdemetni250"/>
        <w:shd w:val="clear" w:color="auto" w:fill="auto"/>
        <w:spacing w:before="120" w:after="120" w:line="240" w:lineRule="auto"/>
        <w:ind w:firstLine="0"/>
        <w:rPr>
          <w:sz w:val="24"/>
          <w:szCs w:val="24"/>
        </w:rPr>
      </w:pPr>
      <w:r w:rsidRPr="00DE12A3">
        <w:rPr>
          <w:sz w:val="24"/>
          <w:szCs w:val="24"/>
        </w:rPr>
        <w:t xml:space="preserve">5.4. </w:t>
      </w:r>
      <w:r w:rsidR="00242DA0" w:rsidRPr="00DE12A3">
        <w:rPr>
          <w:sz w:val="24"/>
          <w:szCs w:val="24"/>
        </w:rPr>
        <w:t xml:space="preserve">Bu kayıtlara ilişkin bağlantıya ve okuma yöntemine dair açıklama, </w:t>
      </w:r>
      <w:r w:rsidR="00EE5D5E" w:rsidRPr="00DE12A3">
        <w:rPr>
          <w:sz w:val="24"/>
          <w:szCs w:val="24"/>
        </w:rPr>
        <w:t>2017/656/</w:t>
      </w:r>
      <w:r w:rsidR="006F6A17" w:rsidRPr="00DE12A3">
        <w:rPr>
          <w:sz w:val="24"/>
          <w:szCs w:val="24"/>
        </w:rPr>
        <w:t>AB Tebliği</w:t>
      </w:r>
      <w:r w:rsidR="00DE725A" w:rsidRPr="00DE12A3">
        <w:rPr>
          <w:sz w:val="24"/>
          <w:szCs w:val="24"/>
        </w:rPr>
        <w:t>nin</w:t>
      </w:r>
      <w:r w:rsidR="006F6A17" w:rsidRPr="00DE12A3">
        <w:rPr>
          <w:sz w:val="24"/>
          <w:szCs w:val="24"/>
        </w:rPr>
        <w:t xml:space="preserve"> I’inci</w:t>
      </w:r>
      <w:r w:rsidR="00EE5D5E" w:rsidRPr="00DE12A3">
        <w:rPr>
          <w:sz w:val="24"/>
          <w:szCs w:val="24"/>
        </w:rPr>
        <w:t xml:space="preserve"> </w:t>
      </w:r>
      <w:r w:rsidR="00EC3EF0" w:rsidRPr="00DE12A3">
        <w:rPr>
          <w:sz w:val="24"/>
          <w:szCs w:val="24"/>
        </w:rPr>
        <w:t>Ekinin</w:t>
      </w:r>
      <w:r w:rsidR="00EE5D5E" w:rsidRPr="00DE12A3">
        <w:rPr>
          <w:sz w:val="24"/>
          <w:szCs w:val="24"/>
        </w:rPr>
        <w:t xml:space="preserve"> </w:t>
      </w:r>
      <w:r w:rsidR="00242DA0" w:rsidRPr="00DE12A3">
        <w:rPr>
          <w:sz w:val="24"/>
          <w:szCs w:val="24"/>
        </w:rPr>
        <w:t>A Bölümünde belirtilen bilgi klasörüne eklenir.</w:t>
      </w:r>
    </w:p>
    <w:p w14:paraId="74F832EC" w14:textId="5F2EBF8B" w:rsidR="002D7B36" w:rsidRPr="00DE12A3" w:rsidRDefault="00015466" w:rsidP="00015466">
      <w:pPr>
        <w:spacing w:before="120" w:after="120"/>
        <w:jc w:val="both"/>
        <w:rPr>
          <w:b/>
          <w:bCs/>
          <w:color w:val="auto"/>
        </w:rPr>
      </w:pPr>
      <w:r w:rsidRPr="00DE12A3">
        <w:rPr>
          <w:b/>
          <w:bCs/>
          <w:color w:val="auto"/>
        </w:rPr>
        <w:lastRenderedPageBreak/>
        <w:t xml:space="preserve">6. </w:t>
      </w:r>
      <w:r w:rsidR="007E2039" w:rsidRPr="00DE12A3">
        <w:rPr>
          <w:b/>
          <w:bCs/>
          <w:color w:val="auto"/>
        </w:rPr>
        <w:t xml:space="preserve">Partikül arıtma </w:t>
      </w:r>
      <w:r w:rsidR="00242DA0" w:rsidRPr="00DE12A3">
        <w:rPr>
          <w:b/>
          <w:bCs/>
          <w:color w:val="auto"/>
        </w:rPr>
        <w:t>sisteminin sökülmesine ilişkin izleme</w:t>
      </w:r>
    </w:p>
    <w:p w14:paraId="70C68A25" w14:textId="0F254CD6" w:rsidR="002D7B36" w:rsidRPr="00DE12A3" w:rsidRDefault="00015466" w:rsidP="00015466">
      <w:pPr>
        <w:pStyle w:val="Gvdemetni250"/>
        <w:shd w:val="clear" w:color="auto" w:fill="auto"/>
        <w:spacing w:before="120" w:after="120" w:line="240" w:lineRule="auto"/>
        <w:ind w:firstLine="0"/>
        <w:rPr>
          <w:sz w:val="24"/>
          <w:szCs w:val="24"/>
        </w:rPr>
      </w:pPr>
      <w:r w:rsidRPr="00DE12A3">
        <w:rPr>
          <w:sz w:val="24"/>
          <w:szCs w:val="24"/>
        </w:rPr>
        <w:t xml:space="preserve">6.1. </w:t>
      </w:r>
      <w:r w:rsidR="00242DA0" w:rsidRPr="00DE12A3">
        <w:rPr>
          <w:sz w:val="24"/>
          <w:szCs w:val="24"/>
        </w:rPr>
        <w:t>PCD sistemi</w:t>
      </w:r>
      <w:r w:rsidR="00DE725A" w:rsidRPr="00DE12A3">
        <w:rPr>
          <w:sz w:val="24"/>
          <w:szCs w:val="24"/>
        </w:rPr>
        <w:t>;</w:t>
      </w:r>
      <w:r w:rsidR="00242DA0" w:rsidRPr="00DE12A3">
        <w:rPr>
          <w:sz w:val="24"/>
          <w:szCs w:val="24"/>
        </w:rPr>
        <w:t xml:space="preserve"> çalışmasını izlemek, devreye sokmak, devreden çıkarmak veya değiştirmek için kullanılan sensörlerin sökülmesi de dahil olmak üzere </w:t>
      </w:r>
      <w:r w:rsidR="007E2039" w:rsidRPr="00DE12A3">
        <w:rPr>
          <w:sz w:val="24"/>
          <w:szCs w:val="24"/>
        </w:rPr>
        <w:t xml:space="preserve">partikül arıtma </w:t>
      </w:r>
      <w:r w:rsidR="00242DA0" w:rsidRPr="00DE12A3">
        <w:rPr>
          <w:sz w:val="24"/>
          <w:szCs w:val="24"/>
        </w:rPr>
        <w:t>sisteminin tamamen sökülmesini tespit eder.</w:t>
      </w:r>
    </w:p>
    <w:p w14:paraId="0BAEA029" w14:textId="62905466" w:rsidR="002D7B36" w:rsidRPr="00DE12A3" w:rsidRDefault="00015466" w:rsidP="00015466">
      <w:pPr>
        <w:spacing w:before="120" w:after="120"/>
        <w:jc w:val="both"/>
        <w:rPr>
          <w:b/>
          <w:bCs/>
          <w:color w:val="auto"/>
        </w:rPr>
      </w:pPr>
      <w:r w:rsidRPr="00DE12A3">
        <w:rPr>
          <w:b/>
          <w:bCs/>
          <w:color w:val="auto"/>
        </w:rPr>
        <w:t xml:space="preserve">7. </w:t>
      </w:r>
      <w:r w:rsidR="00242DA0" w:rsidRPr="00DE12A3">
        <w:rPr>
          <w:b/>
          <w:bCs/>
          <w:color w:val="auto"/>
        </w:rPr>
        <w:t>Bir ayıraç (</w:t>
      </w:r>
      <w:r w:rsidR="005B014A" w:rsidRPr="00DE12A3">
        <w:rPr>
          <w:b/>
          <w:bCs/>
          <w:color w:val="auto"/>
        </w:rPr>
        <w:t>örneğin</w:t>
      </w:r>
      <w:r w:rsidR="00242DA0" w:rsidRPr="00DE12A3">
        <w:rPr>
          <w:b/>
          <w:bCs/>
          <w:color w:val="auto"/>
        </w:rPr>
        <w:t xml:space="preserve"> yakıt esaslı katalizör) kullanan bir </w:t>
      </w:r>
      <w:r w:rsidR="007E2039" w:rsidRPr="00DE12A3">
        <w:rPr>
          <w:b/>
          <w:bCs/>
          <w:color w:val="auto"/>
        </w:rPr>
        <w:t xml:space="preserve">partikül arıtma </w:t>
      </w:r>
      <w:r w:rsidR="00242DA0" w:rsidRPr="00DE12A3">
        <w:rPr>
          <w:b/>
          <w:bCs/>
          <w:color w:val="auto"/>
        </w:rPr>
        <w:t>sistemi durumunda ek şartlar</w:t>
      </w:r>
    </w:p>
    <w:p w14:paraId="4542FBF8" w14:textId="13414EC6" w:rsidR="002D7B36" w:rsidRPr="00DE12A3" w:rsidRDefault="00015466" w:rsidP="00015466">
      <w:pPr>
        <w:pStyle w:val="Gvdemetni250"/>
        <w:shd w:val="clear" w:color="auto" w:fill="auto"/>
        <w:spacing w:before="120" w:after="120" w:line="240" w:lineRule="auto"/>
        <w:ind w:firstLine="0"/>
        <w:rPr>
          <w:sz w:val="24"/>
          <w:szCs w:val="24"/>
        </w:rPr>
      </w:pPr>
      <w:r w:rsidRPr="00DE12A3">
        <w:rPr>
          <w:sz w:val="24"/>
          <w:szCs w:val="24"/>
        </w:rPr>
        <w:t xml:space="preserve">7.1. </w:t>
      </w:r>
      <w:r w:rsidR="007E2039" w:rsidRPr="00DE12A3">
        <w:rPr>
          <w:sz w:val="24"/>
          <w:szCs w:val="24"/>
        </w:rPr>
        <w:t xml:space="preserve">Partikül arıtma </w:t>
      </w:r>
      <w:r w:rsidR="00242DA0" w:rsidRPr="00DE12A3">
        <w:rPr>
          <w:sz w:val="24"/>
          <w:szCs w:val="24"/>
        </w:rPr>
        <w:t xml:space="preserve">sisteminin sökülmesine veya </w:t>
      </w:r>
      <w:r w:rsidR="007E2039" w:rsidRPr="00DE12A3">
        <w:rPr>
          <w:sz w:val="24"/>
          <w:szCs w:val="24"/>
        </w:rPr>
        <w:t xml:space="preserve">partikül arıtma </w:t>
      </w:r>
      <w:r w:rsidR="00242DA0" w:rsidRPr="00DE12A3">
        <w:rPr>
          <w:sz w:val="24"/>
          <w:szCs w:val="24"/>
        </w:rPr>
        <w:t>sisteminin</w:t>
      </w:r>
      <w:r w:rsidR="00E548C2" w:rsidRPr="00DE12A3">
        <w:rPr>
          <w:sz w:val="24"/>
          <w:szCs w:val="24"/>
        </w:rPr>
        <w:t xml:space="preserve"> </w:t>
      </w:r>
      <w:r w:rsidR="00242DA0" w:rsidRPr="00DE12A3">
        <w:rPr>
          <w:sz w:val="24"/>
          <w:szCs w:val="24"/>
        </w:rPr>
        <w:t>işlev kaybına ilişkin doğrulanmış ve devrede bir DTC durumunda ayıraç dozajı derhal kesilmelidir. DTC artık devrede olmadığında dozaj yeniden</w:t>
      </w:r>
      <w:r w:rsidR="00E548C2" w:rsidRPr="00DE12A3">
        <w:rPr>
          <w:sz w:val="24"/>
          <w:szCs w:val="24"/>
        </w:rPr>
        <w:t xml:space="preserve"> </w:t>
      </w:r>
      <w:r w:rsidR="00242DA0" w:rsidRPr="00DE12A3">
        <w:rPr>
          <w:sz w:val="24"/>
          <w:szCs w:val="24"/>
        </w:rPr>
        <w:t>başlamalıdır.</w:t>
      </w:r>
    </w:p>
    <w:p w14:paraId="35C91FFA" w14:textId="1B899C01" w:rsidR="002D7B36" w:rsidRPr="00DE12A3" w:rsidRDefault="00015466" w:rsidP="00015466">
      <w:pPr>
        <w:pStyle w:val="Gvdemetni250"/>
        <w:shd w:val="clear" w:color="auto" w:fill="auto"/>
        <w:spacing w:before="120" w:after="120" w:line="240" w:lineRule="auto"/>
        <w:ind w:firstLine="0"/>
        <w:rPr>
          <w:sz w:val="24"/>
          <w:szCs w:val="24"/>
        </w:rPr>
      </w:pPr>
      <w:r w:rsidRPr="00DE12A3">
        <w:rPr>
          <w:sz w:val="24"/>
          <w:szCs w:val="24"/>
        </w:rPr>
        <w:t xml:space="preserve">7.2. </w:t>
      </w:r>
      <w:r w:rsidR="00242DA0" w:rsidRPr="00DE12A3">
        <w:rPr>
          <w:sz w:val="24"/>
          <w:szCs w:val="24"/>
        </w:rPr>
        <w:t>Katkı tankındaki ayıraç seviyesinin imalatçı tarafından belirtilen asgari değerin</w:t>
      </w:r>
      <w:r w:rsidR="00E548C2" w:rsidRPr="00DE12A3">
        <w:rPr>
          <w:sz w:val="24"/>
          <w:szCs w:val="24"/>
        </w:rPr>
        <w:t xml:space="preserve"> </w:t>
      </w:r>
      <w:r w:rsidR="00242DA0" w:rsidRPr="00DE12A3">
        <w:rPr>
          <w:sz w:val="24"/>
          <w:szCs w:val="24"/>
        </w:rPr>
        <w:t>altına düşmesi halinde uyarı sistemi devreye girmelidir.</w:t>
      </w:r>
    </w:p>
    <w:p w14:paraId="7FDC8D36" w14:textId="5D0041B1" w:rsidR="002D7B36" w:rsidRPr="00DE12A3" w:rsidRDefault="00015466" w:rsidP="00015466">
      <w:pPr>
        <w:spacing w:before="120" w:after="120"/>
        <w:jc w:val="both"/>
        <w:rPr>
          <w:rFonts w:cs="Times New Roman"/>
          <w:b/>
          <w:bCs/>
          <w:color w:val="auto"/>
        </w:rPr>
      </w:pPr>
      <w:r w:rsidRPr="00DE12A3">
        <w:rPr>
          <w:rFonts w:cs="Times New Roman"/>
          <w:b/>
          <w:bCs/>
          <w:color w:val="auto"/>
        </w:rPr>
        <w:t xml:space="preserve">8. </w:t>
      </w:r>
      <w:r w:rsidR="009745E1" w:rsidRPr="00DE12A3">
        <w:rPr>
          <w:rFonts w:cs="Times New Roman"/>
          <w:b/>
          <w:bCs/>
          <w:color w:val="auto"/>
          <w:spacing w:val="3"/>
        </w:rPr>
        <w:t>Onaysız değişiklikten</w:t>
      </w:r>
      <w:r w:rsidR="009745E1" w:rsidRPr="00DE12A3">
        <w:rPr>
          <w:b/>
          <w:bCs/>
          <w:color w:val="auto"/>
          <w:spacing w:val="3"/>
        </w:rPr>
        <w:t xml:space="preserve"> </w:t>
      </w:r>
      <w:r w:rsidR="00242DA0" w:rsidRPr="00DE12A3">
        <w:rPr>
          <w:rFonts w:cs="Times New Roman"/>
          <w:b/>
          <w:bCs/>
          <w:color w:val="auto"/>
        </w:rPr>
        <w:t>kaynaklanabilecek arızaların izlenmesi</w:t>
      </w:r>
    </w:p>
    <w:p w14:paraId="4B225730" w14:textId="50C69C20" w:rsidR="002D7B36" w:rsidRPr="00DE12A3" w:rsidRDefault="00015466" w:rsidP="00015466">
      <w:pPr>
        <w:pStyle w:val="Gvdemetni250"/>
        <w:shd w:val="clear" w:color="auto" w:fill="auto"/>
        <w:spacing w:before="120" w:after="120" w:line="240" w:lineRule="auto"/>
        <w:ind w:firstLine="0"/>
        <w:rPr>
          <w:sz w:val="24"/>
          <w:szCs w:val="24"/>
        </w:rPr>
      </w:pPr>
      <w:r w:rsidRPr="00DE12A3">
        <w:rPr>
          <w:sz w:val="24"/>
          <w:szCs w:val="24"/>
        </w:rPr>
        <w:t xml:space="preserve">8.1. </w:t>
      </w:r>
      <w:r w:rsidR="007E2039" w:rsidRPr="00DE12A3">
        <w:rPr>
          <w:sz w:val="24"/>
          <w:szCs w:val="24"/>
        </w:rPr>
        <w:t xml:space="preserve">Partikül arıtma </w:t>
      </w:r>
      <w:r w:rsidR="00242DA0" w:rsidRPr="00DE12A3">
        <w:rPr>
          <w:sz w:val="24"/>
          <w:szCs w:val="24"/>
        </w:rPr>
        <w:t xml:space="preserve">sisteminin sökülmesine ilişkin izlemeye ek olarak aşağıdaki arızalar </w:t>
      </w:r>
      <w:r w:rsidR="009745E1" w:rsidRPr="00DE12A3">
        <w:rPr>
          <w:b/>
          <w:bCs/>
          <w:sz w:val="24"/>
          <w:szCs w:val="24"/>
        </w:rPr>
        <w:t>onaysız değişiklikten</w:t>
      </w:r>
      <w:r w:rsidR="00242DA0" w:rsidRPr="00DE12A3">
        <w:rPr>
          <w:sz w:val="24"/>
          <w:szCs w:val="24"/>
        </w:rPr>
        <w:t xml:space="preserve"> kaynalanabileceği için izlenmelidir:</w:t>
      </w:r>
    </w:p>
    <w:p w14:paraId="7F77AEF7" w14:textId="2501662A" w:rsidR="002D7B36" w:rsidRPr="00DE12A3" w:rsidRDefault="00015466" w:rsidP="00015466">
      <w:pPr>
        <w:pStyle w:val="Gvdemetni250"/>
        <w:shd w:val="clear" w:color="auto" w:fill="auto"/>
        <w:spacing w:before="120" w:after="120" w:line="240" w:lineRule="auto"/>
        <w:ind w:firstLine="0"/>
        <w:rPr>
          <w:sz w:val="24"/>
          <w:szCs w:val="24"/>
        </w:rPr>
      </w:pPr>
      <w:r w:rsidRPr="00DE12A3">
        <w:rPr>
          <w:sz w:val="24"/>
          <w:szCs w:val="24"/>
        </w:rPr>
        <w:t>(a)</w:t>
      </w:r>
      <w:r w:rsidR="0040229E" w:rsidRPr="00DE12A3">
        <w:rPr>
          <w:sz w:val="24"/>
          <w:szCs w:val="24"/>
        </w:rPr>
        <w:t xml:space="preserve"> </w:t>
      </w:r>
      <w:r w:rsidR="007E2039" w:rsidRPr="00DE12A3">
        <w:rPr>
          <w:sz w:val="24"/>
          <w:szCs w:val="24"/>
        </w:rPr>
        <w:t xml:space="preserve">Partikül arıtma </w:t>
      </w:r>
      <w:r w:rsidR="00242DA0" w:rsidRPr="00DE12A3">
        <w:rPr>
          <w:sz w:val="24"/>
          <w:szCs w:val="24"/>
        </w:rPr>
        <w:t>sisteminde işlev kaybı</w:t>
      </w:r>
      <w:r w:rsidR="00DE725A" w:rsidRPr="00DE12A3">
        <w:rPr>
          <w:sz w:val="24"/>
          <w:szCs w:val="24"/>
        </w:rPr>
        <w:t>.</w:t>
      </w:r>
    </w:p>
    <w:p w14:paraId="2D803477" w14:textId="73A3ECC6" w:rsidR="002D7B36" w:rsidRPr="00DE12A3" w:rsidRDefault="00015466" w:rsidP="00015466">
      <w:pPr>
        <w:pStyle w:val="Gvdemetni250"/>
        <w:shd w:val="clear" w:color="auto" w:fill="auto"/>
        <w:spacing w:before="120" w:after="120" w:line="240" w:lineRule="auto"/>
        <w:ind w:firstLine="0"/>
        <w:rPr>
          <w:sz w:val="24"/>
          <w:szCs w:val="24"/>
        </w:rPr>
      </w:pPr>
      <w:r w:rsidRPr="00DE12A3">
        <w:rPr>
          <w:sz w:val="24"/>
          <w:szCs w:val="24"/>
        </w:rPr>
        <w:t xml:space="preserve">(b) </w:t>
      </w:r>
      <w:r w:rsidR="00242DA0" w:rsidRPr="00DE12A3">
        <w:rPr>
          <w:sz w:val="24"/>
          <w:szCs w:val="24"/>
        </w:rPr>
        <w:t>8.3 bendinde açıklanan PCD sistemi arızaları.</w:t>
      </w:r>
    </w:p>
    <w:p w14:paraId="2A698117" w14:textId="48FB2DE6" w:rsidR="002D7B36" w:rsidRPr="00DE12A3" w:rsidRDefault="00015466" w:rsidP="00015466">
      <w:pPr>
        <w:pStyle w:val="Gvdemetni250"/>
        <w:shd w:val="clear" w:color="auto" w:fill="auto"/>
        <w:spacing w:before="120" w:after="120" w:line="240" w:lineRule="auto"/>
        <w:ind w:firstLine="0"/>
        <w:rPr>
          <w:sz w:val="24"/>
          <w:szCs w:val="24"/>
        </w:rPr>
      </w:pPr>
      <w:r w:rsidRPr="00DE12A3">
        <w:rPr>
          <w:sz w:val="24"/>
          <w:szCs w:val="24"/>
        </w:rPr>
        <w:t xml:space="preserve">8.2. </w:t>
      </w:r>
      <w:r w:rsidR="007E2039" w:rsidRPr="00DE12A3">
        <w:rPr>
          <w:sz w:val="24"/>
          <w:szCs w:val="24"/>
        </w:rPr>
        <w:t xml:space="preserve">Partikül arıtma </w:t>
      </w:r>
      <w:r w:rsidR="00242DA0" w:rsidRPr="00DE12A3">
        <w:rPr>
          <w:sz w:val="24"/>
          <w:szCs w:val="24"/>
        </w:rPr>
        <w:t>sisteminde işlev kaybının izlenmesi</w:t>
      </w:r>
    </w:p>
    <w:p w14:paraId="2C8A0A40" w14:textId="19EC4FE5" w:rsidR="002D7B36" w:rsidRPr="00DE12A3" w:rsidRDefault="00242DA0" w:rsidP="00015466">
      <w:pPr>
        <w:pStyle w:val="Gvdemetni250"/>
        <w:shd w:val="clear" w:color="auto" w:fill="auto"/>
        <w:spacing w:before="120" w:after="120" w:line="240" w:lineRule="auto"/>
        <w:ind w:firstLine="0"/>
        <w:rPr>
          <w:sz w:val="24"/>
          <w:szCs w:val="24"/>
        </w:rPr>
      </w:pPr>
      <w:r w:rsidRPr="00DE12A3">
        <w:rPr>
          <w:sz w:val="24"/>
          <w:szCs w:val="24"/>
        </w:rPr>
        <w:t xml:space="preserve">PCD, </w:t>
      </w:r>
      <w:r w:rsidR="007E2039" w:rsidRPr="00DE12A3">
        <w:rPr>
          <w:sz w:val="24"/>
          <w:szCs w:val="24"/>
        </w:rPr>
        <w:t xml:space="preserve">partikül arıtma </w:t>
      </w:r>
      <w:r w:rsidRPr="00DE12A3">
        <w:rPr>
          <w:sz w:val="24"/>
          <w:szCs w:val="24"/>
        </w:rPr>
        <w:t xml:space="preserve">sistemi altlığının ("boş kutu") tamamen söküldüğünü tespit eder. Bu durumda, </w:t>
      </w:r>
      <w:r w:rsidR="007E2039" w:rsidRPr="00DE12A3">
        <w:rPr>
          <w:sz w:val="24"/>
          <w:szCs w:val="24"/>
        </w:rPr>
        <w:t xml:space="preserve">partikül arıtma </w:t>
      </w:r>
      <w:r w:rsidRPr="00DE12A3">
        <w:rPr>
          <w:sz w:val="24"/>
          <w:szCs w:val="24"/>
        </w:rPr>
        <w:t>sistemi muhafazası ve çalışmasını izlemek, devreye sokmak, devreden çıkarmak veya değiştirmek için kullanılan sensörler hala mevcuttur.</w:t>
      </w:r>
    </w:p>
    <w:p w14:paraId="46B80A3F" w14:textId="0CE4380D" w:rsidR="002D7B36" w:rsidRPr="00DE12A3" w:rsidRDefault="00015466" w:rsidP="00015466">
      <w:pPr>
        <w:pStyle w:val="Gvdemetni250"/>
        <w:shd w:val="clear" w:color="auto" w:fill="auto"/>
        <w:spacing w:before="120" w:after="120" w:line="240" w:lineRule="auto"/>
        <w:ind w:firstLine="0"/>
        <w:rPr>
          <w:sz w:val="24"/>
          <w:szCs w:val="24"/>
        </w:rPr>
      </w:pPr>
      <w:r w:rsidRPr="00DE12A3">
        <w:rPr>
          <w:sz w:val="24"/>
          <w:szCs w:val="24"/>
        </w:rPr>
        <w:t xml:space="preserve">8.3. </w:t>
      </w:r>
      <w:r w:rsidR="00242DA0" w:rsidRPr="00DE12A3">
        <w:rPr>
          <w:sz w:val="24"/>
          <w:szCs w:val="24"/>
        </w:rPr>
        <w:t>PCD sistemi arızalarının izlenmesi</w:t>
      </w:r>
    </w:p>
    <w:p w14:paraId="1D6DFA4A" w14:textId="41B92A7B" w:rsidR="002D7B36" w:rsidRPr="00DE12A3" w:rsidRDefault="00015466" w:rsidP="00015466">
      <w:pPr>
        <w:pStyle w:val="Gvdemetni250"/>
        <w:shd w:val="clear" w:color="auto" w:fill="auto"/>
        <w:spacing w:before="120" w:after="120" w:line="240" w:lineRule="auto"/>
        <w:ind w:firstLine="0"/>
        <w:rPr>
          <w:sz w:val="24"/>
          <w:szCs w:val="24"/>
        </w:rPr>
      </w:pPr>
      <w:r w:rsidRPr="00DE12A3">
        <w:rPr>
          <w:sz w:val="24"/>
          <w:szCs w:val="24"/>
        </w:rPr>
        <w:t xml:space="preserve">8.3.1. </w:t>
      </w:r>
      <w:r w:rsidR="00242DA0" w:rsidRPr="00DE12A3">
        <w:rPr>
          <w:sz w:val="24"/>
          <w:szCs w:val="24"/>
        </w:rPr>
        <w:t>PCD sistemi, elektrik arızaları ve 6.1</w:t>
      </w:r>
      <w:r w:rsidR="00DE725A" w:rsidRPr="00DE12A3">
        <w:rPr>
          <w:sz w:val="24"/>
          <w:szCs w:val="24"/>
        </w:rPr>
        <w:t xml:space="preserve"> bendinde</w:t>
      </w:r>
      <w:r w:rsidR="00242DA0" w:rsidRPr="00DE12A3">
        <w:rPr>
          <w:sz w:val="24"/>
          <w:szCs w:val="24"/>
        </w:rPr>
        <w:t xml:space="preserve"> ve 8.1</w:t>
      </w:r>
      <w:r w:rsidR="00B172A8" w:rsidRPr="00DE12A3">
        <w:rPr>
          <w:sz w:val="24"/>
          <w:szCs w:val="24"/>
        </w:rPr>
        <w:t xml:space="preserve"> </w:t>
      </w:r>
      <w:r w:rsidR="00DE725A" w:rsidRPr="00DE12A3">
        <w:rPr>
          <w:sz w:val="24"/>
          <w:szCs w:val="24"/>
        </w:rPr>
        <w:t>bendinin (a) numaralı alt bendinde</w:t>
      </w:r>
      <w:r w:rsidR="00242DA0" w:rsidRPr="00DE12A3">
        <w:rPr>
          <w:sz w:val="24"/>
          <w:szCs w:val="24"/>
        </w:rPr>
        <w:t xml:space="preserve"> (bileşen izleme) belirtilen diğer arızaları teşhis etmesini önleyen herhangi bir sensörün veya aktüatörün sökülmesi veya devreden çıkarılması durumuna karşı izlenmelidir.</w:t>
      </w:r>
    </w:p>
    <w:p w14:paraId="1F27B5D6" w14:textId="007D58F8" w:rsidR="002D7B36" w:rsidRPr="00DE12A3" w:rsidRDefault="00242DA0" w:rsidP="00015466">
      <w:pPr>
        <w:pStyle w:val="Gvdemetni250"/>
        <w:shd w:val="clear" w:color="auto" w:fill="auto"/>
        <w:spacing w:before="120" w:after="120" w:line="240" w:lineRule="auto"/>
        <w:ind w:firstLine="0"/>
        <w:rPr>
          <w:sz w:val="24"/>
          <w:szCs w:val="24"/>
        </w:rPr>
      </w:pPr>
      <w:r w:rsidRPr="00DE12A3">
        <w:rPr>
          <w:sz w:val="24"/>
          <w:szCs w:val="24"/>
        </w:rPr>
        <w:t xml:space="preserve">Teşhis kabiliyetini etkileyen sensörlerin kapsamlı olmayan bir listesi, </w:t>
      </w:r>
      <w:r w:rsidR="007E2039" w:rsidRPr="00DE12A3">
        <w:rPr>
          <w:sz w:val="24"/>
          <w:szCs w:val="24"/>
        </w:rPr>
        <w:t xml:space="preserve">partikül arıtma </w:t>
      </w:r>
      <w:r w:rsidRPr="00DE12A3">
        <w:rPr>
          <w:sz w:val="24"/>
          <w:szCs w:val="24"/>
        </w:rPr>
        <w:t xml:space="preserve">sistemi üzerindeki fark basınçlarını doğrudan ölçen sensörler ve </w:t>
      </w:r>
      <w:r w:rsidR="007E2039" w:rsidRPr="00DE12A3">
        <w:rPr>
          <w:sz w:val="24"/>
          <w:szCs w:val="24"/>
        </w:rPr>
        <w:t xml:space="preserve">partikül arıtma </w:t>
      </w:r>
      <w:r w:rsidRPr="00DE12A3">
        <w:rPr>
          <w:sz w:val="24"/>
          <w:szCs w:val="24"/>
        </w:rPr>
        <w:t>sistemi rejenerasyonunu kontrol etmeye yönelik egzoz gazı sıcaklık sensörleridir.</w:t>
      </w:r>
    </w:p>
    <w:p w14:paraId="51779B1F" w14:textId="779F86A0" w:rsidR="002D7B36" w:rsidRPr="00DE12A3" w:rsidRDefault="00015466" w:rsidP="00015466">
      <w:pPr>
        <w:pStyle w:val="Gvdemetni250"/>
        <w:shd w:val="clear" w:color="auto" w:fill="auto"/>
        <w:spacing w:before="120" w:after="120" w:line="240" w:lineRule="auto"/>
        <w:ind w:firstLine="0"/>
        <w:rPr>
          <w:sz w:val="24"/>
          <w:szCs w:val="24"/>
        </w:rPr>
      </w:pPr>
      <w:r w:rsidRPr="00DE12A3">
        <w:rPr>
          <w:sz w:val="24"/>
          <w:szCs w:val="24"/>
        </w:rPr>
        <w:t xml:space="preserve">8.3.2. </w:t>
      </w:r>
      <w:r w:rsidR="00242DA0" w:rsidRPr="00DE12A3">
        <w:rPr>
          <w:sz w:val="24"/>
          <w:szCs w:val="24"/>
        </w:rPr>
        <w:t xml:space="preserve">PCD sisteminin tek bir sensörünün veya aktüatörünün arızası, sökülmesi veya devreden çıkarılması, 6.1 </w:t>
      </w:r>
      <w:r w:rsidR="00DE725A" w:rsidRPr="00DE12A3">
        <w:rPr>
          <w:sz w:val="24"/>
          <w:szCs w:val="24"/>
        </w:rPr>
        <w:t xml:space="preserve">bendinde </w:t>
      </w:r>
      <w:r w:rsidR="00242DA0" w:rsidRPr="00DE12A3">
        <w:rPr>
          <w:sz w:val="24"/>
          <w:szCs w:val="24"/>
        </w:rPr>
        <w:t xml:space="preserve">ve 8.1 </w:t>
      </w:r>
      <w:r w:rsidR="00DE725A" w:rsidRPr="00DE12A3">
        <w:rPr>
          <w:sz w:val="24"/>
          <w:szCs w:val="24"/>
        </w:rPr>
        <w:t>bendinin (a) numaralı alt bendinde</w:t>
      </w:r>
      <w:r w:rsidR="00242DA0" w:rsidRPr="00DE12A3">
        <w:rPr>
          <w:sz w:val="24"/>
          <w:szCs w:val="24"/>
        </w:rPr>
        <w:t xml:space="preserve"> (yedekli sistem) bentlerinde belirtilen arızaların gereken zaman aralığı içinde teşhis edilmesini engellemiyorsa, ilave sensör veya aktüatör arızaları doğrulanmadığı ve devrede olmadığı sürece, uyarı sisteminin devreye girmesi ve operatör uyarı sisteminin devreye girmesi ile ilgili bilgilerin saklanması gerekmez.</w:t>
      </w:r>
    </w:p>
    <w:p w14:paraId="7486DFEE" w14:textId="390A3488" w:rsidR="002D7B36" w:rsidRPr="00DE12A3" w:rsidRDefault="00015466" w:rsidP="00015466">
      <w:pPr>
        <w:spacing w:before="120" w:after="120"/>
        <w:jc w:val="both"/>
        <w:rPr>
          <w:rFonts w:cs="Times New Roman"/>
          <w:b/>
          <w:bCs/>
          <w:color w:val="auto"/>
        </w:rPr>
      </w:pPr>
      <w:r w:rsidRPr="00DE12A3">
        <w:rPr>
          <w:rFonts w:cs="Times New Roman"/>
          <w:b/>
          <w:bCs/>
          <w:color w:val="auto"/>
        </w:rPr>
        <w:t xml:space="preserve">9. </w:t>
      </w:r>
      <w:r w:rsidR="00242DA0" w:rsidRPr="00DE12A3">
        <w:rPr>
          <w:rFonts w:cs="Times New Roman"/>
          <w:b/>
          <w:bCs/>
          <w:color w:val="auto"/>
        </w:rPr>
        <w:t xml:space="preserve">İspat </w:t>
      </w:r>
      <w:r w:rsidR="0053289F" w:rsidRPr="00DE12A3">
        <w:rPr>
          <w:rFonts w:cs="Times New Roman"/>
          <w:b/>
          <w:bCs/>
          <w:color w:val="auto"/>
        </w:rPr>
        <w:t>gereklilikleri</w:t>
      </w:r>
    </w:p>
    <w:p w14:paraId="7549AE56" w14:textId="03A25EE2" w:rsidR="002D7B36" w:rsidRPr="00DE12A3" w:rsidRDefault="00242DA0" w:rsidP="00C917D6">
      <w:pPr>
        <w:pStyle w:val="Gvdemetni250"/>
        <w:shd w:val="clear" w:color="auto" w:fill="auto"/>
        <w:spacing w:before="120" w:after="120" w:line="240" w:lineRule="auto"/>
        <w:ind w:left="1134" w:hanging="1134"/>
        <w:rPr>
          <w:sz w:val="24"/>
          <w:szCs w:val="24"/>
        </w:rPr>
      </w:pPr>
      <w:r w:rsidRPr="00DE12A3">
        <w:rPr>
          <w:sz w:val="24"/>
          <w:szCs w:val="24"/>
        </w:rPr>
        <w:t>9.1.</w:t>
      </w:r>
      <w:r w:rsidR="00015466" w:rsidRPr="00DE12A3">
        <w:rPr>
          <w:sz w:val="24"/>
          <w:szCs w:val="24"/>
        </w:rPr>
        <w:t xml:space="preserve"> </w:t>
      </w:r>
      <w:r w:rsidRPr="00DE12A3">
        <w:rPr>
          <w:sz w:val="24"/>
          <w:szCs w:val="24"/>
        </w:rPr>
        <w:t>Genel</w:t>
      </w:r>
    </w:p>
    <w:p w14:paraId="26B20345" w14:textId="1D09BBEC" w:rsidR="002D7B36" w:rsidRPr="00DE12A3" w:rsidRDefault="00242DA0" w:rsidP="00015466">
      <w:pPr>
        <w:pStyle w:val="Gvdemetni250"/>
        <w:shd w:val="clear" w:color="auto" w:fill="auto"/>
        <w:spacing w:before="120" w:after="120" w:line="240" w:lineRule="auto"/>
        <w:ind w:firstLine="0"/>
        <w:rPr>
          <w:sz w:val="24"/>
          <w:szCs w:val="24"/>
        </w:rPr>
      </w:pPr>
      <w:r w:rsidRPr="00DE12A3">
        <w:rPr>
          <w:sz w:val="24"/>
          <w:szCs w:val="24"/>
        </w:rPr>
        <w:t xml:space="preserve">Bu Açıklayıcı Ekin </w:t>
      </w:r>
      <w:r w:rsidR="0053289F" w:rsidRPr="00DE12A3">
        <w:rPr>
          <w:sz w:val="24"/>
          <w:szCs w:val="24"/>
        </w:rPr>
        <w:t>gerekliliklerine</w:t>
      </w:r>
      <w:r w:rsidRPr="00DE12A3">
        <w:rPr>
          <w:sz w:val="24"/>
          <w:szCs w:val="24"/>
        </w:rPr>
        <w:t xml:space="preserve"> uyum, AB tip onayı sırasında, Tablo 4.6’da gösterildiği ve bu </w:t>
      </w:r>
      <w:r w:rsidR="00B32A92" w:rsidRPr="00DE12A3">
        <w:rPr>
          <w:sz w:val="24"/>
          <w:szCs w:val="24"/>
        </w:rPr>
        <w:t>Bölüm</w:t>
      </w:r>
      <w:r w:rsidR="00DE725A" w:rsidRPr="00DE12A3">
        <w:rPr>
          <w:sz w:val="24"/>
          <w:szCs w:val="24"/>
        </w:rPr>
        <w:t>’</w:t>
      </w:r>
      <w:r w:rsidRPr="00DE12A3">
        <w:rPr>
          <w:sz w:val="24"/>
          <w:szCs w:val="24"/>
        </w:rPr>
        <w:t>d</w:t>
      </w:r>
      <w:r w:rsidR="00DE725A" w:rsidRPr="00DE12A3">
        <w:rPr>
          <w:sz w:val="24"/>
          <w:szCs w:val="24"/>
        </w:rPr>
        <w:t xml:space="preserve">e </w:t>
      </w:r>
      <w:r w:rsidRPr="00DE12A3">
        <w:rPr>
          <w:sz w:val="24"/>
          <w:szCs w:val="24"/>
        </w:rPr>
        <w:t>belirtildiği şekilde, uyarı sisteminin devreye girmesine ilişkin bir ispat gerçekleştirilerek ispatlanmalıdır.</w:t>
      </w:r>
    </w:p>
    <w:p w14:paraId="16342272" w14:textId="55342B47" w:rsidR="002D7B36" w:rsidRPr="00DE12A3" w:rsidRDefault="002D7B36" w:rsidP="00015466">
      <w:pPr>
        <w:pStyle w:val="Tabloyazs20"/>
        <w:shd w:val="clear" w:color="auto" w:fill="auto"/>
        <w:spacing w:before="120" w:after="120" w:line="240" w:lineRule="auto"/>
        <w:jc w:val="both"/>
        <w:rPr>
          <w:rStyle w:val="Tabloyazs20ptbolukbraklyor"/>
          <w:color w:val="auto"/>
          <w:sz w:val="24"/>
          <w:szCs w:val="24"/>
        </w:rPr>
      </w:pPr>
    </w:p>
    <w:p w14:paraId="4D6D1344" w14:textId="6C88F4B0" w:rsidR="00FD681E" w:rsidRPr="00DE12A3" w:rsidRDefault="00FD681E" w:rsidP="00015466">
      <w:pPr>
        <w:pStyle w:val="Tabloyazs20"/>
        <w:shd w:val="clear" w:color="auto" w:fill="auto"/>
        <w:spacing w:before="120" w:after="120" w:line="240" w:lineRule="auto"/>
        <w:jc w:val="both"/>
        <w:rPr>
          <w:rStyle w:val="Tabloyazs20ptbolukbraklyor"/>
          <w:color w:val="auto"/>
          <w:sz w:val="24"/>
          <w:szCs w:val="24"/>
        </w:rPr>
      </w:pPr>
    </w:p>
    <w:p w14:paraId="5D1FEDBC" w14:textId="2CF0316B" w:rsidR="00FD681E" w:rsidRPr="00DE12A3" w:rsidRDefault="00FD681E" w:rsidP="00015466">
      <w:pPr>
        <w:pStyle w:val="Tabloyazs20"/>
        <w:shd w:val="clear" w:color="auto" w:fill="auto"/>
        <w:spacing w:before="120" w:after="120" w:line="240" w:lineRule="auto"/>
        <w:jc w:val="both"/>
        <w:rPr>
          <w:rStyle w:val="Tabloyazs20ptbolukbraklyor"/>
          <w:color w:val="auto"/>
          <w:sz w:val="24"/>
          <w:szCs w:val="24"/>
        </w:rPr>
      </w:pPr>
    </w:p>
    <w:p w14:paraId="15A4B3D6" w14:textId="6A93C3AD" w:rsidR="00FD681E" w:rsidRPr="00DE12A3" w:rsidRDefault="00FD681E" w:rsidP="00015466">
      <w:pPr>
        <w:pStyle w:val="Tabloyazs20"/>
        <w:shd w:val="clear" w:color="auto" w:fill="auto"/>
        <w:spacing w:before="120" w:after="120" w:line="240" w:lineRule="auto"/>
        <w:jc w:val="both"/>
        <w:rPr>
          <w:rStyle w:val="Tabloyazs20ptbolukbraklyor"/>
          <w:color w:val="auto"/>
          <w:sz w:val="24"/>
          <w:szCs w:val="24"/>
        </w:rPr>
      </w:pPr>
    </w:p>
    <w:p w14:paraId="41C6A0C2" w14:textId="77777777" w:rsidR="00FD681E" w:rsidRPr="00DE12A3" w:rsidRDefault="00FD681E" w:rsidP="00015466">
      <w:pPr>
        <w:pStyle w:val="Tabloyazs20"/>
        <w:shd w:val="clear" w:color="auto" w:fill="auto"/>
        <w:spacing w:before="120" w:after="120" w:line="240" w:lineRule="auto"/>
        <w:jc w:val="both"/>
        <w:rPr>
          <w:rStyle w:val="Tabloyazs20ptbolukbraklyor"/>
          <w:color w:val="auto"/>
          <w:sz w:val="24"/>
          <w:szCs w:val="24"/>
        </w:rPr>
      </w:pPr>
    </w:p>
    <w:p w14:paraId="70217B3E" w14:textId="02BA15BF" w:rsidR="001C5108" w:rsidRPr="00DE12A3" w:rsidRDefault="001C5108" w:rsidP="001C5108">
      <w:pPr>
        <w:jc w:val="center"/>
        <w:rPr>
          <w:b/>
          <w:bCs/>
          <w:color w:val="auto"/>
        </w:rPr>
      </w:pPr>
      <w:r w:rsidRPr="00DE12A3">
        <w:rPr>
          <w:b/>
          <w:bCs/>
          <w:color w:val="auto"/>
        </w:rPr>
        <w:lastRenderedPageBreak/>
        <w:t>Tabl</w:t>
      </w:r>
      <w:r w:rsidR="00185F5F" w:rsidRPr="00DE12A3">
        <w:rPr>
          <w:b/>
          <w:bCs/>
          <w:color w:val="auto"/>
        </w:rPr>
        <w:t>o</w:t>
      </w:r>
      <w:r w:rsidRPr="00DE12A3">
        <w:rPr>
          <w:b/>
          <w:bCs/>
          <w:color w:val="auto"/>
        </w:rPr>
        <w:t xml:space="preserve"> 4.6</w:t>
      </w:r>
    </w:p>
    <w:p w14:paraId="2E751A6A" w14:textId="197B156B" w:rsidR="001C5108" w:rsidRPr="00DE12A3" w:rsidRDefault="001C5108" w:rsidP="001C5108">
      <w:pPr>
        <w:jc w:val="center"/>
        <w:rPr>
          <w:b/>
          <w:bCs/>
          <w:color w:val="auto"/>
        </w:rPr>
      </w:pPr>
      <w:r w:rsidRPr="00DE12A3">
        <w:rPr>
          <w:b/>
          <w:bCs/>
          <w:color w:val="auto"/>
        </w:rPr>
        <w:t>9.3 bendinde belirtilen hükümler uyarınca ispat süreci içeriğinin örneklerle açıklanması</w:t>
      </w:r>
    </w:p>
    <w:p w14:paraId="7E831357" w14:textId="77777777" w:rsidR="001C5108" w:rsidRPr="00DE12A3" w:rsidRDefault="001C5108" w:rsidP="00C917D6">
      <w:pPr>
        <w:pStyle w:val="Tabloyazs20"/>
        <w:shd w:val="clear" w:color="auto" w:fill="auto"/>
        <w:spacing w:before="120" w:after="120" w:line="240" w:lineRule="auto"/>
        <w:ind w:left="1134" w:hanging="1134"/>
        <w:jc w:val="both"/>
        <w:rPr>
          <w:rStyle w:val="Tabloyazs20ptbolukbraklyor"/>
          <w:color w:val="auto"/>
          <w:sz w:val="24"/>
          <w:szCs w:val="24"/>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137"/>
        <w:gridCol w:w="6930"/>
      </w:tblGrid>
      <w:tr w:rsidR="00DE12A3" w:rsidRPr="00DE12A3" w14:paraId="03CEEA6C" w14:textId="77777777" w:rsidTr="001C5108">
        <w:trPr>
          <w:trHeight w:hRule="exact" w:val="707"/>
        </w:trPr>
        <w:tc>
          <w:tcPr>
            <w:tcW w:w="2137" w:type="dxa"/>
            <w:shd w:val="clear" w:color="auto" w:fill="auto"/>
          </w:tcPr>
          <w:p w14:paraId="285B40AD" w14:textId="77777777" w:rsidR="00FE7AEF" w:rsidRPr="00DE12A3" w:rsidRDefault="00FE7AEF" w:rsidP="00B655AE">
            <w:pPr>
              <w:pStyle w:val="NormalCentered"/>
            </w:pPr>
            <w:r w:rsidRPr="00DE12A3">
              <w:t>Mekanizma</w:t>
            </w:r>
          </w:p>
        </w:tc>
        <w:tc>
          <w:tcPr>
            <w:tcW w:w="6930" w:type="dxa"/>
            <w:shd w:val="clear" w:color="auto" w:fill="auto"/>
          </w:tcPr>
          <w:p w14:paraId="4FCCEDE3" w14:textId="4EFE25F3" w:rsidR="00FE7AEF" w:rsidRPr="00DE12A3" w:rsidRDefault="00B655AE" w:rsidP="00B655AE">
            <w:pPr>
              <w:pStyle w:val="NormalCentered"/>
            </w:pPr>
            <w:r w:rsidRPr="00DE12A3">
              <w:t>Ispat</w:t>
            </w:r>
            <w:r w:rsidR="00FE7AEF" w:rsidRPr="00DE12A3">
              <w:t xml:space="preserve"> unsurları</w:t>
            </w:r>
          </w:p>
        </w:tc>
      </w:tr>
      <w:tr w:rsidR="00DE12A3" w:rsidRPr="00DE12A3" w14:paraId="6E7BE3E8" w14:textId="77777777" w:rsidTr="001C5108">
        <w:trPr>
          <w:trHeight w:hRule="exact" w:val="1445"/>
        </w:trPr>
        <w:tc>
          <w:tcPr>
            <w:tcW w:w="2137" w:type="dxa"/>
            <w:shd w:val="clear" w:color="auto" w:fill="auto"/>
          </w:tcPr>
          <w:p w14:paraId="3403D341" w14:textId="77777777" w:rsidR="00FE7AEF" w:rsidRPr="00DE12A3" w:rsidRDefault="00FE7AEF" w:rsidP="001C5108">
            <w:pPr>
              <w:pStyle w:val="NormalLeft"/>
              <w:jc w:val="both"/>
            </w:pPr>
            <w:r w:rsidRPr="00DE12A3">
              <w:t>4.4 bendinde belirtilen uyarı sisteminin devreye girmesi</w:t>
            </w:r>
          </w:p>
        </w:tc>
        <w:tc>
          <w:tcPr>
            <w:tcW w:w="6930" w:type="dxa"/>
            <w:shd w:val="clear" w:color="auto" w:fill="auto"/>
          </w:tcPr>
          <w:p w14:paraId="11CC29ED" w14:textId="77777777" w:rsidR="00FE7AEF" w:rsidRPr="00DE12A3" w:rsidRDefault="00FE7AEF" w:rsidP="00E20716">
            <w:pPr>
              <w:pStyle w:val="Tiret0"/>
              <w:numPr>
                <w:ilvl w:val="0"/>
                <w:numId w:val="445"/>
              </w:numPr>
              <w:ind w:left="851" w:hanging="851"/>
            </w:pPr>
            <w:r w:rsidRPr="00DE12A3">
              <w:t>2 devreye girme testi (partikül arıtma sisteminde işlev kaybı dahil)</w:t>
            </w:r>
          </w:p>
          <w:p w14:paraId="60711D3F" w14:textId="77777777" w:rsidR="00FE7AEF" w:rsidRPr="00DE12A3" w:rsidRDefault="00FE7AEF" w:rsidP="00E20716">
            <w:pPr>
              <w:pStyle w:val="Tiret0"/>
              <w:numPr>
                <w:ilvl w:val="0"/>
                <w:numId w:val="445"/>
              </w:numPr>
              <w:ind w:left="851" w:hanging="851"/>
            </w:pPr>
            <w:r w:rsidRPr="00DE12A3">
              <w:t>Duruma göre ilave ispat unsurları</w:t>
            </w:r>
          </w:p>
        </w:tc>
      </w:tr>
    </w:tbl>
    <w:p w14:paraId="21E33C4F" w14:textId="584D3B00" w:rsidR="002D7B36" w:rsidRPr="00DE12A3" w:rsidRDefault="00015466" w:rsidP="00015466">
      <w:pPr>
        <w:pStyle w:val="Gvdemetni250"/>
        <w:shd w:val="clear" w:color="auto" w:fill="auto"/>
        <w:spacing w:before="120" w:after="120" w:line="240" w:lineRule="auto"/>
        <w:ind w:firstLine="0"/>
        <w:rPr>
          <w:sz w:val="24"/>
          <w:szCs w:val="24"/>
        </w:rPr>
      </w:pPr>
      <w:r w:rsidRPr="00DE12A3">
        <w:rPr>
          <w:sz w:val="24"/>
          <w:szCs w:val="24"/>
        </w:rPr>
        <w:t xml:space="preserve">9.2. </w:t>
      </w:r>
      <w:r w:rsidR="00242DA0" w:rsidRPr="00DE12A3">
        <w:rPr>
          <w:sz w:val="24"/>
          <w:szCs w:val="24"/>
        </w:rPr>
        <w:t>Motor aileleri ve PCD motor aileleri</w:t>
      </w:r>
    </w:p>
    <w:p w14:paraId="258D7473" w14:textId="1769B2BC" w:rsidR="002D7B36" w:rsidRPr="00DE12A3" w:rsidRDefault="00015466" w:rsidP="00015466">
      <w:pPr>
        <w:pStyle w:val="Gvdemetni250"/>
        <w:shd w:val="clear" w:color="auto" w:fill="auto"/>
        <w:spacing w:before="120" w:after="120" w:line="240" w:lineRule="auto"/>
        <w:ind w:firstLine="0"/>
        <w:rPr>
          <w:sz w:val="24"/>
          <w:szCs w:val="24"/>
        </w:rPr>
      </w:pPr>
      <w:r w:rsidRPr="00DE12A3">
        <w:rPr>
          <w:sz w:val="24"/>
          <w:szCs w:val="24"/>
        </w:rPr>
        <w:t xml:space="preserve">9.2.1. </w:t>
      </w:r>
      <w:r w:rsidR="00242DA0" w:rsidRPr="00DE12A3">
        <w:rPr>
          <w:sz w:val="24"/>
          <w:szCs w:val="24"/>
        </w:rPr>
        <w:t xml:space="preserve">Bir motor ailesi içindeki motorların, 2.3.6 bendi (Şekil 4.8) uyarınca, halihazırda AB tip onaylı bir PCD motor ailesine mensup olması durumunda, imalatçının, bu Açıklayıcı Ekin </w:t>
      </w:r>
      <w:r w:rsidR="0053289F" w:rsidRPr="00DE12A3">
        <w:rPr>
          <w:sz w:val="24"/>
          <w:szCs w:val="24"/>
        </w:rPr>
        <w:t>gerekliliklerine</w:t>
      </w:r>
      <w:r w:rsidR="00242DA0" w:rsidRPr="00DE12A3">
        <w:rPr>
          <w:sz w:val="24"/>
          <w:szCs w:val="24"/>
        </w:rPr>
        <w:t xml:space="preserve"> uymak için gereken izleme sistemlerinin, incelenen motor ve PCD motor aileleri içinde benzer olduğunu ispatlaması şartıyla, bu motor ailesinin uyumu daha fazla test edilmeden ispatlanmış sayılır.</w:t>
      </w:r>
    </w:p>
    <w:p w14:paraId="3EB919C6" w14:textId="77777777" w:rsidR="003D1EE9" w:rsidRPr="00DE12A3" w:rsidRDefault="003D1EE9" w:rsidP="00015466">
      <w:pPr>
        <w:tabs>
          <w:tab w:val="left" w:pos="7313"/>
        </w:tabs>
        <w:spacing w:before="120" w:after="120"/>
        <w:jc w:val="both"/>
        <w:rPr>
          <w:rFonts w:cs="Times New Roman"/>
          <w:color w:val="auto"/>
          <w:lang w:eastAsia="en-US"/>
        </w:rPr>
      </w:pPr>
    </w:p>
    <w:p w14:paraId="7BDE2307" w14:textId="77777777" w:rsidR="002D7B36" w:rsidRPr="00DE12A3" w:rsidRDefault="00242DA0" w:rsidP="00C917D6">
      <w:pPr>
        <w:spacing w:before="120" w:after="120"/>
        <w:ind w:left="709" w:hanging="709"/>
        <w:jc w:val="center"/>
        <w:rPr>
          <w:rFonts w:cs="Times New Roman"/>
          <w:color w:val="auto"/>
        </w:rPr>
      </w:pPr>
      <w:r w:rsidRPr="00DE12A3">
        <w:rPr>
          <w:rStyle w:val="Gvdemetni40ptbolukbraklyor"/>
          <w:rFonts w:eastAsia="Courier New"/>
          <w:i w:val="0"/>
          <w:color w:val="auto"/>
          <w:sz w:val="24"/>
          <w:szCs w:val="24"/>
          <w:lang w:val="tr-TR"/>
        </w:rPr>
        <w:t>Şekil 4.8</w:t>
      </w:r>
    </w:p>
    <w:p w14:paraId="13F2C15A" w14:textId="77777777" w:rsidR="002D7B36" w:rsidRPr="00DE12A3" w:rsidRDefault="00242DA0" w:rsidP="00C917D6">
      <w:pPr>
        <w:pStyle w:val="Gvdemetni50"/>
        <w:shd w:val="clear" w:color="auto" w:fill="auto"/>
        <w:spacing w:before="120" w:after="120" w:line="240" w:lineRule="auto"/>
        <w:ind w:left="709" w:hanging="709"/>
        <w:jc w:val="center"/>
        <w:rPr>
          <w:spacing w:val="0"/>
          <w:sz w:val="24"/>
          <w:szCs w:val="24"/>
        </w:rPr>
      </w:pPr>
      <w:r w:rsidRPr="00DE12A3">
        <w:rPr>
          <w:spacing w:val="0"/>
          <w:sz w:val="24"/>
          <w:szCs w:val="24"/>
        </w:rPr>
        <w:t>Bir PCD motor ailesinin önceden ispatlanmış uyumluluğu</w:t>
      </w:r>
    </w:p>
    <w:p w14:paraId="37AAE435" w14:textId="1B073F25" w:rsidR="008E5388" w:rsidRPr="00DE12A3" w:rsidRDefault="008E5388" w:rsidP="00C917D6">
      <w:pPr>
        <w:pStyle w:val="Gvdemetni50"/>
        <w:shd w:val="clear" w:color="auto" w:fill="auto"/>
        <w:spacing w:before="120" w:after="120" w:line="240" w:lineRule="auto"/>
        <w:ind w:left="709" w:hanging="709"/>
        <w:jc w:val="center"/>
        <w:rPr>
          <w:sz w:val="24"/>
          <w:szCs w:val="24"/>
        </w:rPr>
      </w:pPr>
      <w:r w:rsidRPr="00DE12A3">
        <w:rPr>
          <w:noProof/>
          <w:sz w:val="24"/>
          <w:szCs w:val="24"/>
          <w:lang w:eastAsia="tr-TR"/>
        </w:rPr>
        <w:drawing>
          <wp:inline distT="0" distB="0" distL="0" distR="0" wp14:anchorId="3C38DF4C" wp14:editId="25471BC2">
            <wp:extent cx="3719743" cy="2437317"/>
            <wp:effectExtent l="0" t="0" r="0" b="1270"/>
            <wp:docPr id="104" name="Resim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727168" cy="2442182"/>
                    </a:xfrm>
                    <a:prstGeom prst="rect">
                      <a:avLst/>
                    </a:prstGeom>
                    <a:noFill/>
                    <a:ln>
                      <a:noFill/>
                    </a:ln>
                  </pic:spPr>
                </pic:pic>
              </a:graphicData>
            </a:graphic>
          </wp:inline>
        </w:drawing>
      </w:r>
    </w:p>
    <w:p w14:paraId="3201A9BC" w14:textId="77777777" w:rsidR="008E5388" w:rsidRPr="00DE12A3" w:rsidRDefault="008E5388" w:rsidP="00015466">
      <w:pPr>
        <w:pStyle w:val="Gvdemetni50"/>
        <w:shd w:val="clear" w:color="auto" w:fill="auto"/>
        <w:spacing w:before="120" w:after="120" w:line="240" w:lineRule="auto"/>
        <w:rPr>
          <w:sz w:val="24"/>
          <w:szCs w:val="24"/>
        </w:rPr>
      </w:pPr>
    </w:p>
    <w:p w14:paraId="04D95B08" w14:textId="740F5150" w:rsidR="002D7B36" w:rsidRPr="00DE12A3" w:rsidRDefault="00E11B69" w:rsidP="00E11B69">
      <w:pPr>
        <w:pStyle w:val="Gvdemetni250"/>
        <w:shd w:val="clear" w:color="auto" w:fill="auto"/>
        <w:spacing w:before="120" w:after="120" w:line="240" w:lineRule="auto"/>
        <w:ind w:firstLine="0"/>
        <w:rPr>
          <w:sz w:val="24"/>
          <w:szCs w:val="24"/>
        </w:rPr>
      </w:pPr>
      <w:r w:rsidRPr="00DE12A3">
        <w:rPr>
          <w:sz w:val="24"/>
          <w:szCs w:val="24"/>
        </w:rPr>
        <w:t xml:space="preserve">9.3. </w:t>
      </w:r>
      <w:r w:rsidR="00242DA0" w:rsidRPr="00DE12A3">
        <w:rPr>
          <w:sz w:val="24"/>
          <w:szCs w:val="24"/>
        </w:rPr>
        <w:t xml:space="preserve">Uyarı sisteminin devreye girdiğinin </w:t>
      </w:r>
      <w:r w:rsidR="00FB3DC9" w:rsidRPr="00DE12A3">
        <w:rPr>
          <w:sz w:val="24"/>
          <w:szCs w:val="24"/>
        </w:rPr>
        <w:t>ispatı</w:t>
      </w:r>
    </w:p>
    <w:p w14:paraId="2185EB32" w14:textId="6A540EAE" w:rsidR="002D7B36" w:rsidRPr="00DE12A3" w:rsidRDefault="00E11B69" w:rsidP="00E11B69">
      <w:pPr>
        <w:pStyle w:val="Gvdemetni250"/>
        <w:shd w:val="clear" w:color="auto" w:fill="auto"/>
        <w:tabs>
          <w:tab w:val="left" w:pos="1134"/>
          <w:tab w:val="right" w:pos="5651"/>
        </w:tabs>
        <w:spacing w:before="120" w:after="120" w:line="240" w:lineRule="auto"/>
        <w:ind w:firstLine="0"/>
        <w:rPr>
          <w:sz w:val="24"/>
          <w:szCs w:val="24"/>
        </w:rPr>
      </w:pPr>
      <w:r w:rsidRPr="00DE12A3">
        <w:rPr>
          <w:sz w:val="24"/>
          <w:szCs w:val="24"/>
        </w:rPr>
        <w:t xml:space="preserve">9.3.1. </w:t>
      </w:r>
      <w:r w:rsidR="00242DA0" w:rsidRPr="00DE12A3">
        <w:rPr>
          <w:sz w:val="24"/>
          <w:szCs w:val="24"/>
        </w:rPr>
        <w:t xml:space="preserve">Uyarı sisteminin devreye girişinin uyumluluğu iki test yapılarak ispatlanır: </w:t>
      </w:r>
      <w:r w:rsidR="007E2039" w:rsidRPr="00DE12A3">
        <w:rPr>
          <w:sz w:val="24"/>
          <w:szCs w:val="24"/>
        </w:rPr>
        <w:t xml:space="preserve">Partikül arıtma </w:t>
      </w:r>
      <w:r w:rsidR="00242DA0" w:rsidRPr="00DE12A3">
        <w:rPr>
          <w:sz w:val="24"/>
          <w:szCs w:val="24"/>
        </w:rPr>
        <w:t>sistemi işlev kaybı ve bu Ekin 6</w:t>
      </w:r>
      <w:r w:rsidR="00DE725A" w:rsidRPr="00DE12A3">
        <w:rPr>
          <w:sz w:val="24"/>
          <w:szCs w:val="24"/>
        </w:rPr>
        <w:t>.</w:t>
      </w:r>
      <w:r w:rsidR="00242DA0" w:rsidRPr="00DE12A3">
        <w:rPr>
          <w:sz w:val="24"/>
          <w:szCs w:val="24"/>
        </w:rPr>
        <w:t xml:space="preserve"> veya 8.3 bentlerinde ele alınan bir arıza kategorisi.</w:t>
      </w:r>
    </w:p>
    <w:p w14:paraId="299C93DD" w14:textId="683788FC" w:rsidR="002D7B36" w:rsidRPr="00DE12A3" w:rsidRDefault="00E11B69" w:rsidP="00E11B69">
      <w:pPr>
        <w:pStyle w:val="Gvdemetni250"/>
        <w:shd w:val="clear" w:color="auto" w:fill="auto"/>
        <w:spacing w:before="120" w:after="120" w:line="240" w:lineRule="auto"/>
        <w:ind w:firstLine="0"/>
        <w:rPr>
          <w:sz w:val="24"/>
          <w:szCs w:val="24"/>
        </w:rPr>
      </w:pPr>
      <w:r w:rsidRPr="00DE12A3">
        <w:rPr>
          <w:sz w:val="24"/>
          <w:szCs w:val="24"/>
        </w:rPr>
        <w:t xml:space="preserve">9.3.2. </w:t>
      </w:r>
      <w:r w:rsidR="00242DA0" w:rsidRPr="00DE12A3">
        <w:rPr>
          <w:sz w:val="24"/>
          <w:szCs w:val="24"/>
        </w:rPr>
        <w:t>Test edilecek arızaların seçimi</w:t>
      </w:r>
    </w:p>
    <w:p w14:paraId="76E14FB0" w14:textId="7AB7EBDB" w:rsidR="002D7B36" w:rsidRPr="00DE12A3" w:rsidRDefault="00E11B69" w:rsidP="00E11B69">
      <w:pPr>
        <w:pStyle w:val="Gvdemetni250"/>
        <w:shd w:val="clear" w:color="auto" w:fill="auto"/>
        <w:tabs>
          <w:tab w:val="left" w:pos="1134"/>
        </w:tabs>
        <w:spacing w:before="120" w:after="120" w:line="240" w:lineRule="auto"/>
        <w:ind w:firstLine="0"/>
        <w:rPr>
          <w:sz w:val="24"/>
          <w:szCs w:val="24"/>
        </w:rPr>
      </w:pPr>
      <w:r w:rsidRPr="00DE12A3">
        <w:rPr>
          <w:sz w:val="24"/>
          <w:szCs w:val="24"/>
        </w:rPr>
        <w:t xml:space="preserve">9.3.2.1. </w:t>
      </w:r>
      <w:r w:rsidR="00242DA0" w:rsidRPr="00DE12A3">
        <w:rPr>
          <w:sz w:val="24"/>
          <w:szCs w:val="24"/>
        </w:rPr>
        <w:t xml:space="preserve">İmalatçı, </w:t>
      </w:r>
      <w:r w:rsidR="007E2039" w:rsidRPr="00DE12A3">
        <w:rPr>
          <w:sz w:val="24"/>
          <w:szCs w:val="24"/>
        </w:rPr>
        <w:t xml:space="preserve">onay </w:t>
      </w:r>
      <w:r w:rsidR="00780D3A" w:rsidRPr="00DE12A3">
        <w:rPr>
          <w:sz w:val="24"/>
          <w:szCs w:val="24"/>
        </w:rPr>
        <w:t>kuruluşuna bu</w:t>
      </w:r>
      <w:r w:rsidR="00242DA0" w:rsidRPr="00DE12A3">
        <w:rPr>
          <w:sz w:val="24"/>
          <w:szCs w:val="24"/>
        </w:rPr>
        <w:t xml:space="preserve"> tür olası arızaların bir listesini sağlamalıdır.</w:t>
      </w:r>
    </w:p>
    <w:p w14:paraId="3CBAFAF0" w14:textId="20C1A1EB" w:rsidR="002D7B36" w:rsidRPr="00DE12A3" w:rsidRDefault="00E11B69" w:rsidP="00E11B69">
      <w:pPr>
        <w:pStyle w:val="Gvdemetni250"/>
        <w:shd w:val="clear" w:color="auto" w:fill="auto"/>
        <w:spacing w:before="120" w:after="120" w:line="240" w:lineRule="auto"/>
        <w:ind w:firstLine="0"/>
        <w:rPr>
          <w:sz w:val="24"/>
          <w:szCs w:val="24"/>
        </w:rPr>
      </w:pPr>
      <w:r w:rsidRPr="00DE12A3">
        <w:rPr>
          <w:sz w:val="24"/>
          <w:szCs w:val="24"/>
        </w:rPr>
        <w:t xml:space="preserve">9.3.2.2. </w:t>
      </w:r>
      <w:r w:rsidR="00242DA0" w:rsidRPr="00DE12A3">
        <w:rPr>
          <w:sz w:val="24"/>
          <w:szCs w:val="24"/>
        </w:rPr>
        <w:t xml:space="preserve">Testte incelenecek arıza, 9.3.2.1 bendinde belirtilen listeden </w:t>
      </w:r>
      <w:r w:rsidR="007E2039" w:rsidRPr="00DE12A3">
        <w:rPr>
          <w:sz w:val="24"/>
          <w:szCs w:val="24"/>
        </w:rPr>
        <w:t xml:space="preserve">onay </w:t>
      </w:r>
      <w:r w:rsidR="006F6A17" w:rsidRPr="00DE12A3">
        <w:rPr>
          <w:sz w:val="24"/>
          <w:szCs w:val="24"/>
        </w:rPr>
        <w:t>kuruluşu tarafından</w:t>
      </w:r>
      <w:r w:rsidR="00242DA0" w:rsidRPr="00DE12A3">
        <w:rPr>
          <w:sz w:val="24"/>
          <w:szCs w:val="24"/>
        </w:rPr>
        <w:t xml:space="preserve"> seçilmelidir.</w:t>
      </w:r>
    </w:p>
    <w:p w14:paraId="6C39A785" w14:textId="37B4D47D" w:rsidR="002D7B36" w:rsidRPr="00DE12A3" w:rsidRDefault="00E11B69" w:rsidP="00E11B69">
      <w:pPr>
        <w:pStyle w:val="Gvdemetni250"/>
        <w:shd w:val="clear" w:color="auto" w:fill="auto"/>
        <w:spacing w:before="120" w:after="120" w:line="240" w:lineRule="auto"/>
        <w:ind w:firstLine="0"/>
        <w:rPr>
          <w:sz w:val="24"/>
          <w:szCs w:val="24"/>
        </w:rPr>
      </w:pPr>
      <w:r w:rsidRPr="00DE12A3">
        <w:rPr>
          <w:sz w:val="24"/>
          <w:szCs w:val="24"/>
        </w:rPr>
        <w:t xml:space="preserve">9.3.3. </w:t>
      </w:r>
      <w:r w:rsidR="00242DA0" w:rsidRPr="00DE12A3">
        <w:rPr>
          <w:sz w:val="24"/>
          <w:szCs w:val="24"/>
        </w:rPr>
        <w:t>İspat</w:t>
      </w:r>
    </w:p>
    <w:p w14:paraId="7ADC8D74" w14:textId="35C414A9" w:rsidR="002D7B36" w:rsidRPr="00DE12A3" w:rsidRDefault="00E11B69" w:rsidP="00E11B69">
      <w:pPr>
        <w:pStyle w:val="Gvdemetni250"/>
        <w:shd w:val="clear" w:color="auto" w:fill="auto"/>
        <w:spacing w:before="120" w:after="120" w:line="240" w:lineRule="auto"/>
        <w:ind w:firstLine="0"/>
        <w:rPr>
          <w:sz w:val="24"/>
          <w:szCs w:val="24"/>
        </w:rPr>
      </w:pPr>
      <w:r w:rsidRPr="00DE12A3">
        <w:rPr>
          <w:sz w:val="24"/>
          <w:szCs w:val="24"/>
        </w:rPr>
        <w:t xml:space="preserve">9.3.3.1. </w:t>
      </w:r>
      <w:r w:rsidR="00242DA0" w:rsidRPr="00DE12A3">
        <w:rPr>
          <w:sz w:val="24"/>
          <w:szCs w:val="24"/>
        </w:rPr>
        <w:t xml:space="preserve">Bu ispatın amacı doğrultusunda, 8.2 bendinde belirtilen </w:t>
      </w:r>
      <w:r w:rsidR="007E2039" w:rsidRPr="00DE12A3">
        <w:rPr>
          <w:sz w:val="24"/>
          <w:szCs w:val="24"/>
        </w:rPr>
        <w:t xml:space="preserve">partikül arıtma </w:t>
      </w:r>
      <w:r w:rsidR="00242DA0" w:rsidRPr="00DE12A3">
        <w:rPr>
          <w:sz w:val="24"/>
          <w:szCs w:val="24"/>
        </w:rPr>
        <w:t>sistemi işlev kaybı ve 6</w:t>
      </w:r>
      <w:r w:rsidR="00DE725A" w:rsidRPr="00DE12A3">
        <w:rPr>
          <w:sz w:val="24"/>
          <w:szCs w:val="24"/>
        </w:rPr>
        <w:t>.</w:t>
      </w:r>
      <w:r w:rsidR="00242DA0" w:rsidRPr="00DE12A3">
        <w:rPr>
          <w:sz w:val="24"/>
          <w:szCs w:val="24"/>
        </w:rPr>
        <w:t xml:space="preserve"> ve 8.3 bentlerinde belirtilen arızalar için ayrı birer test yapılmalıdır. </w:t>
      </w:r>
      <w:r w:rsidR="007E2039" w:rsidRPr="00DE12A3">
        <w:rPr>
          <w:sz w:val="24"/>
          <w:szCs w:val="24"/>
        </w:rPr>
        <w:t xml:space="preserve">Partikül arıtma </w:t>
      </w:r>
      <w:r w:rsidR="00242DA0" w:rsidRPr="00DE12A3">
        <w:rPr>
          <w:sz w:val="24"/>
          <w:szCs w:val="24"/>
        </w:rPr>
        <w:t xml:space="preserve">sistemi işlev kaybı, altlığın </w:t>
      </w:r>
      <w:r w:rsidR="007E2039" w:rsidRPr="00DE12A3">
        <w:rPr>
          <w:sz w:val="24"/>
          <w:szCs w:val="24"/>
        </w:rPr>
        <w:t xml:space="preserve">partikül arıtma </w:t>
      </w:r>
      <w:r w:rsidR="00242DA0" w:rsidRPr="00DE12A3">
        <w:rPr>
          <w:sz w:val="24"/>
          <w:szCs w:val="24"/>
        </w:rPr>
        <w:t xml:space="preserve">sistemi muhafazasından tamamen </w:t>
      </w:r>
      <w:r w:rsidR="00242DA0" w:rsidRPr="00DE12A3">
        <w:rPr>
          <w:sz w:val="24"/>
          <w:szCs w:val="24"/>
        </w:rPr>
        <w:lastRenderedPageBreak/>
        <w:t>sökülmesi ile oluşturulmalıdır.</w:t>
      </w:r>
    </w:p>
    <w:p w14:paraId="7A2B89F5" w14:textId="488849B8" w:rsidR="002D7B36" w:rsidRPr="00DE12A3" w:rsidRDefault="00E11B69" w:rsidP="00E11B69">
      <w:pPr>
        <w:pStyle w:val="Gvdemetni250"/>
        <w:shd w:val="clear" w:color="auto" w:fill="auto"/>
        <w:tabs>
          <w:tab w:val="right" w:pos="851"/>
        </w:tabs>
        <w:spacing w:before="120" w:after="120" w:line="240" w:lineRule="auto"/>
        <w:ind w:firstLine="0"/>
        <w:rPr>
          <w:sz w:val="24"/>
          <w:szCs w:val="24"/>
        </w:rPr>
      </w:pPr>
      <w:r w:rsidRPr="00DE12A3">
        <w:rPr>
          <w:sz w:val="24"/>
          <w:szCs w:val="24"/>
        </w:rPr>
        <w:t xml:space="preserve">9.3.3.2. </w:t>
      </w:r>
      <w:r w:rsidR="00242DA0" w:rsidRPr="00DE12A3">
        <w:rPr>
          <w:sz w:val="24"/>
          <w:szCs w:val="24"/>
        </w:rPr>
        <w:t>Test sırasında, teste tabi tutulan arızadan başka bir arıza olmamalıdır.</w:t>
      </w:r>
    </w:p>
    <w:p w14:paraId="73586EB7" w14:textId="2E7A368E" w:rsidR="002D7B36" w:rsidRPr="00DE12A3" w:rsidRDefault="00E11B69" w:rsidP="00E11B69">
      <w:pPr>
        <w:pStyle w:val="Gvdemetni250"/>
        <w:shd w:val="clear" w:color="auto" w:fill="auto"/>
        <w:spacing w:before="120" w:after="120" w:line="240" w:lineRule="auto"/>
        <w:ind w:firstLine="0"/>
        <w:rPr>
          <w:sz w:val="24"/>
          <w:szCs w:val="24"/>
        </w:rPr>
      </w:pPr>
      <w:r w:rsidRPr="00DE12A3">
        <w:rPr>
          <w:sz w:val="24"/>
          <w:szCs w:val="24"/>
        </w:rPr>
        <w:t xml:space="preserve">9.3.3.3. </w:t>
      </w:r>
      <w:r w:rsidR="00242DA0" w:rsidRPr="00DE12A3">
        <w:rPr>
          <w:sz w:val="24"/>
          <w:szCs w:val="24"/>
        </w:rPr>
        <w:t>Bir teste başlamadan önce, tüm DTC'ler silinmiş olmalıdır.</w:t>
      </w:r>
    </w:p>
    <w:p w14:paraId="229C6648" w14:textId="5D546099" w:rsidR="002D7B36" w:rsidRPr="00DE12A3" w:rsidRDefault="00E11B69" w:rsidP="00E11B69">
      <w:pPr>
        <w:pStyle w:val="Gvdemetni250"/>
        <w:shd w:val="clear" w:color="auto" w:fill="auto"/>
        <w:spacing w:before="120" w:after="120" w:line="240" w:lineRule="auto"/>
        <w:ind w:firstLine="0"/>
        <w:rPr>
          <w:sz w:val="24"/>
          <w:szCs w:val="24"/>
        </w:rPr>
      </w:pPr>
      <w:r w:rsidRPr="00DE12A3">
        <w:rPr>
          <w:sz w:val="24"/>
          <w:szCs w:val="24"/>
        </w:rPr>
        <w:t xml:space="preserve">9.3.3.4. </w:t>
      </w:r>
      <w:r w:rsidR="00242DA0" w:rsidRPr="00DE12A3">
        <w:rPr>
          <w:sz w:val="24"/>
          <w:szCs w:val="24"/>
        </w:rPr>
        <w:t xml:space="preserve">İmalatçının talebi üzerine ve </w:t>
      </w:r>
      <w:r w:rsidR="007E2039" w:rsidRPr="00DE12A3">
        <w:rPr>
          <w:sz w:val="24"/>
          <w:szCs w:val="24"/>
        </w:rPr>
        <w:t xml:space="preserve">onay </w:t>
      </w:r>
      <w:r w:rsidR="006F6A17" w:rsidRPr="00DE12A3">
        <w:rPr>
          <w:sz w:val="24"/>
          <w:szCs w:val="24"/>
        </w:rPr>
        <w:t>kuruluşunun mutabakatıyla</w:t>
      </w:r>
      <w:r w:rsidR="00242DA0" w:rsidRPr="00DE12A3">
        <w:rPr>
          <w:sz w:val="24"/>
          <w:szCs w:val="24"/>
        </w:rPr>
        <w:t>, teste tabi tutulan arızaların simülasyonu yapılabilir.</w:t>
      </w:r>
    </w:p>
    <w:p w14:paraId="650C9F1D" w14:textId="5C4813DB" w:rsidR="002D7B36" w:rsidRPr="00DE12A3" w:rsidRDefault="00E11B69" w:rsidP="00E11B69">
      <w:pPr>
        <w:pStyle w:val="Gvdemetni250"/>
        <w:shd w:val="clear" w:color="auto" w:fill="auto"/>
        <w:spacing w:before="120" w:after="120" w:line="240" w:lineRule="auto"/>
        <w:ind w:firstLine="0"/>
        <w:rPr>
          <w:sz w:val="24"/>
          <w:szCs w:val="24"/>
        </w:rPr>
      </w:pPr>
      <w:r w:rsidRPr="00DE12A3">
        <w:rPr>
          <w:sz w:val="24"/>
          <w:szCs w:val="24"/>
        </w:rPr>
        <w:t xml:space="preserve">9.3.3.5. </w:t>
      </w:r>
      <w:r w:rsidR="00242DA0" w:rsidRPr="00DE12A3">
        <w:rPr>
          <w:sz w:val="24"/>
          <w:szCs w:val="24"/>
        </w:rPr>
        <w:t>Arızaların tespit edilmesi</w:t>
      </w:r>
    </w:p>
    <w:p w14:paraId="3040F5E6" w14:textId="08AE9030" w:rsidR="002D7B36" w:rsidRPr="00DE12A3" w:rsidRDefault="00E11B69" w:rsidP="00E11B69">
      <w:pPr>
        <w:pStyle w:val="Gvdemetni250"/>
        <w:shd w:val="clear" w:color="auto" w:fill="auto"/>
        <w:spacing w:before="120" w:after="120" w:line="240" w:lineRule="auto"/>
        <w:ind w:firstLine="0"/>
        <w:rPr>
          <w:sz w:val="24"/>
          <w:szCs w:val="24"/>
        </w:rPr>
      </w:pPr>
      <w:r w:rsidRPr="00DE12A3">
        <w:rPr>
          <w:sz w:val="24"/>
          <w:szCs w:val="24"/>
        </w:rPr>
        <w:t xml:space="preserve">9.3.3.5.1. </w:t>
      </w:r>
      <w:r w:rsidR="00242DA0" w:rsidRPr="00DE12A3">
        <w:rPr>
          <w:sz w:val="24"/>
          <w:szCs w:val="24"/>
        </w:rPr>
        <w:t xml:space="preserve">PCD sistemi, bu Açıklayıcı Ekin hükümleri uyarınca </w:t>
      </w:r>
      <w:r w:rsidR="007E2039" w:rsidRPr="00DE12A3">
        <w:rPr>
          <w:sz w:val="24"/>
          <w:szCs w:val="24"/>
        </w:rPr>
        <w:t xml:space="preserve">onay </w:t>
      </w:r>
      <w:r w:rsidR="006F6A17" w:rsidRPr="00DE12A3">
        <w:rPr>
          <w:sz w:val="24"/>
          <w:szCs w:val="24"/>
        </w:rPr>
        <w:t>kuruluşu tarafından</w:t>
      </w:r>
      <w:r w:rsidR="00242DA0" w:rsidRPr="00DE12A3">
        <w:rPr>
          <w:sz w:val="24"/>
          <w:szCs w:val="24"/>
        </w:rPr>
        <w:t xml:space="preserve"> uygun görülen bir arızanın çıkmasına tepki göstermelidir. Devreye girmenin, Tablo 4.7'de verilen ardışık sayıda PCD test </w:t>
      </w:r>
      <w:r w:rsidR="00951351" w:rsidRPr="00DE12A3">
        <w:rPr>
          <w:sz w:val="24"/>
          <w:szCs w:val="24"/>
        </w:rPr>
        <w:t xml:space="preserve">çevrimi  </w:t>
      </w:r>
      <w:r w:rsidR="00242DA0" w:rsidRPr="00DE12A3">
        <w:rPr>
          <w:sz w:val="24"/>
          <w:szCs w:val="24"/>
        </w:rPr>
        <w:t xml:space="preserve"> içinde gerçekleşmesi durumunda ispatlandığı kabul edilir.</w:t>
      </w:r>
    </w:p>
    <w:p w14:paraId="2489FA7C" w14:textId="77777777" w:rsidR="002D7B36" w:rsidRPr="00DE12A3" w:rsidRDefault="00242DA0" w:rsidP="00E11B69">
      <w:pPr>
        <w:pStyle w:val="Gvdemetni250"/>
        <w:shd w:val="clear" w:color="auto" w:fill="auto"/>
        <w:spacing w:before="120" w:after="120" w:line="240" w:lineRule="auto"/>
        <w:ind w:firstLine="0"/>
        <w:rPr>
          <w:sz w:val="24"/>
          <w:szCs w:val="24"/>
        </w:rPr>
      </w:pPr>
      <w:r w:rsidRPr="00DE12A3">
        <w:rPr>
          <w:sz w:val="24"/>
          <w:szCs w:val="24"/>
        </w:rPr>
        <w:t xml:space="preserve">Belirli bir izleme sisteminin izlemesini tamamlaması için Tablo 4.7'de belirtilenden daha fazla PCD test </w:t>
      </w:r>
      <w:r w:rsidR="00951351" w:rsidRPr="00DE12A3">
        <w:rPr>
          <w:sz w:val="24"/>
          <w:szCs w:val="24"/>
        </w:rPr>
        <w:t>çevrimi</w:t>
      </w:r>
      <w:r w:rsidRPr="00DE12A3">
        <w:rPr>
          <w:sz w:val="24"/>
          <w:szCs w:val="24"/>
        </w:rPr>
        <w:t xml:space="preserve">ne ihtiyaç duyduğu izleme açıklamasında belirtildiğinde ve </w:t>
      </w:r>
      <w:r w:rsidR="007E2039" w:rsidRPr="00DE12A3">
        <w:rPr>
          <w:sz w:val="24"/>
          <w:szCs w:val="24"/>
        </w:rPr>
        <w:t xml:space="preserve">onay </w:t>
      </w:r>
      <w:r w:rsidR="006F6A17" w:rsidRPr="00DE12A3">
        <w:rPr>
          <w:sz w:val="24"/>
          <w:szCs w:val="24"/>
        </w:rPr>
        <w:t>kuruluşu tarafından</w:t>
      </w:r>
      <w:r w:rsidRPr="00DE12A3">
        <w:rPr>
          <w:sz w:val="24"/>
          <w:szCs w:val="24"/>
        </w:rPr>
        <w:t xml:space="preserve"> kabul edildiğinde, PCD test </w:t>
      </w:r>
      <w:r w:rsidR="00F310B5" w:rsidRPr="00DE12A3">
        <w:rPr>
          <w:sz w:val="24"/>
          <w:szCs w:val="24"/>
        </w:rPr>
        <w:t>çevrim</w:t>
      </w:r>
      <w:r w:rsidRPr="00DE12A3">
        <w:rPr>
          <w:sz w:val="24"/>
          <w:szCs w:val="24"/>
        </w:rPr>
        <w:t>lerinin sayısı %50'sine kadar arttırılabilir.</w:t>
      </w:r>
    </w:p>
    <w:p w14:paraId="5C5B37E5" w14:textId="77777777" w:rsidR="002D7B36" w:rsidRPr="00DE12A3" w:rsidRDefault="00242DA0" w:rsidP="00E11B69">
      <w:pPr>
        <w:pStyle w:val="Gvdemetni250"/>
        <w:shd w:val="clear" w:color="auto" w:fill="auto"/>
        <w:spacing w:before="120" w:after="120" w:line="240" w:lineRule="auto"/>
        <w:ind w:firstLine="0"/>
        <w:rPr>
          <w:sz w:val="24"/>
          <w:szCs w:val="24"/>
        </w:rPr>
      </w:pPr>
      <w:r w:rsidRPr="00DE12A3">
        <w:rPr>
          <w:sz w:val="24"/>
          <w:szCs w:val="24"/>
        </w:rPr>
        <w:t xml:space="preserve">İspat testindeki her bağımsız PCD test </w:t>
      </w:r>
      <w:r w:rsidR="006F6A17" w:rsidRPr="00DE12A3">
        <w:rPr>
          <w:sz w:val="24"/>
          <w:szCs w:val="24"/>
        </w:rPr>
        <w:t>çevrimi bir</w:t>
      </w:r>
      <w:r w:rsidRPr="00DE12A3">
        <w:rPr>
          <w:sz w:val="24"/>
          <w:szCs w:val="24"/>
        </w:rPr>
        <w:t xml:space="preserve"> motor kapatma ile birbirinden ayırılabilir. Bir sonraki çalıştırmaya kadar geçecek süre için, motorun kapatılmasından sonra olabilecek izlemeler ve izlemenin bir sonraki çalıştırmada gerçekleşmesi için gereken her tür koşul dikkate alınmalıdır.</w:t>
      </w:r>
    </w:p>
    <w:p w14:paraId="327C25A8" w14:textId="38C7217A" w:rsidR="00293950" w:rsidRPr="00DE12A3" w:rsidRDefault="00293950" w:rsidP="00E11B69">
      <w:pPr>
        <w:pStyle w:val="Gvdemetni250"/>
        <w:shd w:val="clear" w:color="auto" w:fill="auto"/>
        <w:spacing w:before="120" w:after="120" w:line="240" w:lineRule="auto"/>
        <w:ind w:firstLine="0"/>
        <w:rPr>
          <w:sz w:val="24"/>
          <w:szCs w:val="24"/>
        </w:rPr>
      </w:pPr>
    </w:p>
    <w:p w14:paraId="4A5C21A2" w14:textId="4CE3EC5B" w:rsidR="001C5108" w:rsidRPr="00DE12A3" w:rsidRDefault="001C5108" w:rsidP="001C5108">
      <w:pPr>
        <w:jc w:val="center"/>
        <w:rPr>
          <w:b/>
          <w:bCs/>
          <w:color w:val="auto"/>
        </w:rPr>
      </w:pPr>
      <w:r w:rsidRPr="00DE12A3">
        <w:rPr>
          <w:b/>
          <w:bCs/>
          <w:color w:val="auto"/>
        </w:rPr>
        <w:t>Tabl</w:t>
      </w:r>
      <w:r w:rsidR="00185F5F" w:rsidRPr="00DE12A3">
        <w:rPr>
          <w:b/>
          <w:bCs/>
          <w:color w:val="auto"/>
        </w:rPr>
        <w:t>o</w:t>
      </w:r>
      <w:r w:rsidRPr="00DE12A3">
        <w:rPr>
          <w:b/>
          <w:bCs/>
          <w:color w:val="auto"/>
        </w:rPr>
        <w:t xml:space="preserve"> 4.7</w:t>
      </w:r>
    </w:p>
    <w:p w14:paraId="5E4FBFE4" w14:textId="77777777" w:rsidR="001C5108" w:rsidRPr="00DE12A3" w:rsidRDefault="001C5108" w:rsidP="001C5108">
      <w:pPr>
        <w:jc w:val="center"/>
        <w:rPr>
          <w:b/>
          <w:bCs/>
          <w:color w:val="auto"/>
        </w:rPr>
      </w:pPr>
      <w:r w:rsidRPr="00DE12A3">
        <w:rPr>
          <w:b/>
          <w:bCs/>
          <w:color w:val="auto"/>
        </w:rPr>
        <w:t>"Doğrulanmış ve devrede" bir DTC’nin kaydedileceği izleme sistemleri ve ilgili PCD test çevrimi sayısı</w:t>
      </w:r>
    </w:p>
    <w:tbl>
      <w:tblPr>
        <w:tblW w:w="818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3412"/>
        <w:gridCol w:w="4774"/>
      </w:tblGrid>
      <w:tr w:rsidR="00DE12A3" w:rsidRPr="00DE12A3" w14:paraId="1CFD70EC" w14:textId="77777777" w:rsidTr="001C5108">
        <w:trPr>
          <w:trHeight w:hRule="exact" w:val="837"/>
          <w:jc w:val="center"/>
        </w:trPr>
        <w:tc>
          <w:tcPr>
            <w:tcW w:w="3412" w:type="dxa"/>
            <w:shd w:val="clear" w:color="auto" w:fill="FFFFFF"/>
          </w:tcPr>
          <w:p w14:paraId="370ED66C" w14:textId="77777777" w:rsidR="00293950" w:rsidRPr="00DE12A3" w:rsidRDefault="00293950" w:rsidP="001C5108">
            <w:pPr>
              <w:pStyle w:val="NormalCentered"/>
              <w:jc w:val="both"/>
            </w:pPr>
            <w:r w:rsidRPr="00DE12A3">
              <w:t>İzleme sistemi tipi</w:t>
            </w:r>
          </w:p>
        </w:tc>
        <w:tc>
          <w:tcPr>
            <w:tcW w:w="4774" w:type="dxa"/>
            <w:shd w:val="clear" w:color="auto" w:fill="FFFFFF"/>
          </w:tcPr>
          <w:p w14:paraId="4F44C9C5" w14:textId="77777777" w:rsidR="00293950" w:rsidRPr="00DE12A3" w:rsidRDefault="00293950" w:rsidP="001C5108">
            <w:pPr>
              <w:pStyle w:val="NormalCentered"/>
              <w:jc w:val="both"/>
              <w:rPr>
                <w:sz w:val="20"/>
                <w:szCs w:val="20"/>
                <w:lang w:val="tr-TR"/>
              </w:rPr>
            </w:pPr>
            <w:r w:rsidRPr="00DE12A3">
              <w:t xml:space="preserve">"Doğrulanmış ve devrede" bir DTC’nin kaydedileceği PCD test </w:t>
            </w:r>
            <w:r w:rsidR="006F6A17" w:rsidRPr="00DE12A3">
              <w:t>çevrimi sayısı</w:t>
            </w:r>
          </w:p>
        </w:tc>
      </w:tr>
      <w:tr w:rsidR="00DE12A3" w:rsidRPr="00DE12A3" w14:paraId="2611C37F" w14:textId="77777777" w:rsidTr="001C5108">
        <w:trPr>
          <w:trHeight w:hRule="exact" w:val="837"/>
          <w:jc w:val="center"/>
        </w:trPr>
        <w:tc>
          <w:tcPr>
            <w:tcW w:w="3412" w:type="dxa"/>
            <w:shd w:val="clear" w:color="auto" w:fill="FFFFFF"/>
          </w:tcPr>
          <w:p w14:paraId="41E1C5DB" w14:textId="77777777" w:rsidR="00293950" w:rsidRPr="00DE12A3" w:rsidRDefault="00293950" w:rsidP="001C5108">
            <w:pPr>
              <w:pStyle w:val="NormalLeft"/>
              <w:jc w:val="both"/>
            </w:pPr>
            <w:r w:rsidRPr="00DE12A3">
              <w:t>Partikül arıtma sisteminin sökülmesi</w:t>
            </w:r>
          </w:p>
        </w:tc>
        <w:tc>
          <w:tcPr>
            <w:tcW w:w="4774" w:type="dxa"/>
            <w:shd w:val="clear" w:color="auto" w:fill="FFFFFF"/>
          </w:tcPr>
          <w:p w14:paraId="0D703E46" w14:textId="751E8F86" w:rsidR="00293950" w:rsidRPr="00DE12A3" w:rsidRDefault="00DE725A" w:rsidP="00127D94">
            <w:pPr>
              <w:pStyle w:val="NormalLeft"/>
              <w:jc w:val="both"/>
            </w:pPr>
            <w:r w:rsidRPr="00DE12A3">
              <w:t xml:space="preserve">          </w:t>
            </w:r>
            <w:r w:rsidR="00127D94" w:rsidRPr="00DE12A3">
              <w:t xml:space="preserve"> </w:t>
            </w:r>
            <w:r w:rsidR="00293950" w:rsidRPr="00DE12A3">
              <w:t>2</w:t>
            </w:r>
          </w:p>
        </w:tc>
      </w:tr>
      <w:tr w:rsidR="00DE12A3" w:rsidRPr="00DE12A3" w14:paraId="36B7B032" w14:textId="77777777" w:rsidTr="001C5108">
        <w:trPr>
          <w:trHeight w:hRule="exact" w:val="911"/>
          <w:jc w:val="center"/>
        </w:trPr>
        <w:tc>
          <w:tcPr>
            <w:tcW w:w="3412" w:type="dxa"/>
            <w:shd w:val="clear" w:color="auto" w:fill="FFFFFF"/>
          </w:tcPr>
          <w:p w14:paraId="12859E3B" w14:textId="77777777" w:rsidR="00293950" w:rsidRPr="00DE12A3" w:rsidRDefault="00293950" w:rsidP="001C5108">
            <w:pPr>
              <w:pStyle w:val="NormalLeft"/>
              <w:jc w:val="both"/>
            </w:pPr>
            <w:r w:rsidRPr="00DE12A3">
              <w:t>Partikül arıtma sisteminde işlev kaybı</w:t>
            </w:r>
          </w:p>
        </w:tc>
        <w:tc>
          <w:tcPr>
            <w:tcW w:w="4774" w:type="dxa"/>
            <w:shd w:val="clear" w:color="auto" w:fill="FFFFFF"/>
          </w:tcPr>
          <w:p w14:paraId="2B13EEAA" w14:textId="0551BF64" w:rsidR="00293950" w:rsidRPr="00DE12A3" w:rsidRDefault="00DE725A" w:rsidP="001C5108">
            <w:pPr>
              <w:pStyle w:val="NormalLeft"/>
              <w:jc w:val="both"/>
            </w:pPr>
            <w:r w:rsidRPr="00DE12A3">
              <w:t xml:space="preserve">            </w:t>
            </w:r>
            <w:r w:rsidR="00293950" w:rsidRPr="00DE12A3">
              <w:t>8</w:t>
            </w:r>
          </w:p>
        </w:tc>
      </w:tr>
      <w:tr w:rsidR="00DE12A3" w:rsidRPr="00DE12A3" w14:paraId="74507ED9" w14:textId="77777777" w:rsidTr="001C5108">
        <w:trPr>
          <w:trHeight w:hRule="exact" w:val="604"/>
          <w:jc w:val="center"/>
        </w:trPr>
        <w:tc>
          <w:tcPr>
            <w:tcW w:w="3412" w:type="dxa"/>
            <w:shd w:val="clear" w:color="auto" w:fill="FFFFFF"/>
          </w:tcPr>
          <w:p w14:paraId="3FEF5018" w14:textId="77777777" w:rsidR="00293950" w:rsidRPr="00DE12A3" w:rsidRDefault="00293950" w:rsidP="001C5108">
            <w:pPr>
              <w:pStyle w:val="NormalLeft"/>
              <w:jc w:val="both"/>
            </w:pPr>
            <w:r w:rsidRPr="00DE12A3">
              <w:t>PCD sistemi arızaları</w:t>
            </w:r>
          </w:p>
        </w:tc>
        <w:tc>
          <w:tcPr>
            <w:tcW w:w="4774" w:type="dxa"/>
            <w:shd w:val="clear" w:color="auto" w:fill="FFFFFF"/>
          </w:tcPr>
          <w:p w14:paraId="5AE09211" w14:textId="2C281281" w:rsidR="00293950" w:rsidRPr="00DE12A3" w:rsidRDefault="00DE725A" w:rsidP="001C5108">
            <w:pPr>
              <w:pStyle w:val="NormalLeft"/>
              <w:jc w:val="both"/>
            </w:pPr>
            <w:r w:rsidRPr="00DE12A3">
              <w:t xml:space="preserve">            </w:t>
            </w:r>
            <w:r w:rsidR="00293950" w:rsidRPr="00DE12A3">
              <w:t>2</w:t>
            </w:r>
          </w:p>
        </w:tc>
      </w:tr>
    </w:tbl>
    <w:p w14:paraId="6C96EA8A" w14:textId="77777777" w:rsidR="00293950" w:rsidRPr="00DE12A3" w:rsidRDefault="00293950" w:rsidP="00C917D6">
      <w:pPr>
        <w:spacing w:before="120" w:after="120"/>
        <w:ind w:left="709" w:hanging="709"/>
        <w:jc w:val="both"/>
        <w:rPr>
          <w:rFonts w:cs="Times New Roman"/>
          <w:color w:val="auto"/>
          <w:lang w:eastAsia="en-US"/>
        </w:rPr>
      </w:pPr>
    </w:p>
    <w:p w14:paraId="74B0A910" w14:textId="32B31EAF" w:rsidR="002D7B36" w:rsidRPr="00DE12A3" w:rsidRDefault="00E11B69" w:rsidP="00E11B69">
      <w:pPr>
        <w:pStyle w:val="Gvdemetni250"/>
        <w:shd w:val="clear" w:color="auto" w:fill="auto"/>
        <w:tabs>
          <w:tab w:val="left" w:pos="856"/>
          <w:tab w:val="left" w:pos="870"/>
        </w:tabs>
        <w:spacing w:before="120" w:after="120" w:line="240" w:lineRule="auto"/>
        <w:ind w:firstLine="0"/>
        <w:rPr>
          <w:sz w:val="24"/>
          <w:szCs w:val="24"/>
        </w:rPr>
      </w:pPr>
      <w:r w:rsidRPr="00DE12A3">
        <w:rPr>
          <w:sz w:val="24"/>
          <w:szCs w:val="24"/>
        </w:rPr>
        <w:t>9.3.3.6</w:t>
      </w:r>
      <w:r w:rsidR="00176B16" w:rsidRPr="00DE12A3">
        <w:rPr>
          <w:sz w:val="24"/>
          <w:szCs w:val="24"/>
        </w:rPr>
        <w:t xml:space="preserve"> </w:t>
      </w:r>
      <w:r w:rsidR="00242DA0" w:rsidRPr="00DE12A3">
        <w:rPr>
          <w:sz w:val="24"/>
          <w:szCs w:val="24"/>
        </w:rPr>
        <w:t xml:space="preserve">PCD test </w:t>
      </w:r>
      <w:r w:rsidR="00951351" w:rsidRPr="00DE12A3">
        <w:rPr>
          <w:sz w:val="24"/>
          <w:szCs w:val="24"/>
        </w:rPr>
        <w:t xml:space="preserve">çevrimi </w:t>
      </w:r>
    </w:p>
    <w:p w14:paraId="3852D19C" w14:textId="21F164B1" w:rsidR="002D7B36" w:rsidRPr="00DE12A3" w:rsidRDefault="00E11B69" w:rsidP="00E11B69">
      <w:pPr>
        <w:pStyle w:val="Gvdemetni250"/>
        <w:shd w:val="clear" w:color="auto" w:fill="auto"/>
        <w:spacing w:before="120" w:after="120" w:line="240" w:lineRule="auto"/>
        <w:ind w:firstLine="0"/>
        <w:rPr>
          <w:sz w:val="24"/>
          <w:szCs w:val="24"/>
        </w:rPr>
      </w:pPr>
      <w:r w:rsidRPr="00DE12A3">
        <w:rPr>
          <w:sz w:val="24"/>
          <w:szCs w:val="24"/>
        </w:rPr>
        <w:t xml:space="preserve">9.3.3.6.1. </w:t>
      </w:r>
      <w:r w:rsidR="007E2039" w:rsidRPr="00DE12A3">
        <w:rPr>
          <w:sz w:val="24"/>
          <w:szCs w:val="24"/>
        </w:rPr>
        <w:t xml:space="preserve">Partikül arıtma </w:t>
      </w:r>
      <w:r w:rsidR="00242DA0" w:rsidRPr="00DE12A3">
        <w:rPr>
          <w:sz w:val="24"/>
          <w:szCs w:val="24"/>
        </w:rPr>
        <w:t xml:space="preserve">sistemi izleme sisteminin doğru çalıştığının ispatlanması için bu </w:t>
      </w:r>
      <w:r w:rsidR="00B32A92" w:rsidRPr="00DE12A3">
        <w:rPr>
          <w:sz w:val="24"/>
          <w:szCs w:val="24"/>
        </w:rPr>
        <w:t>Bölüm</w:t>
      </w:r>
      <w:r w:rsidR="00DE725A" w:rsidRPr="00DE12A3">
        <w:rPr>
          <w:sz w:val="24"/>
          <w:szCs w:val="24"/>
        </w:rPr>
        <w:t>’</w:t>
      </w:r>
      <w:r w:rsidR="00242DA0" w:rsidRPr="00DE12A3">
        <w:rPr>
          <w:sz w:val="24"/>
          <w:szCs w:val="24"/>
        </w:rPr>
        <w:t xml:space="preserve">de ele alınan PCD test </w:t>
      </w:r>
      <w:r w:rsidR="006F6A17" w:rsidRPr="00DE12A3">
        <w:rPr>
          <w:sz w:val="24"/>
          <w:szCs w:val="24"/>
        </w:rPr>
        <w:t>çevrimi,</w:t>
      </w:r>
      <w:r w:rsidR="00242DA0" w:rsidRPr="00DE12A3">
        <w:rPr>
          <w:sz w:val="24"/>
          <w:szCs w:val="24"/>
        </w:rPr>
        <w:t xml:space="preserve"> NRE-v-3, NRE-v-4, NRE-v-5, NRE-v-6 alt kategorisindeki motorlar için ön ısıtmalı NRTC ve diğer tüm kategoriler için geçerli NRSC'dir.</w:t>
      </w:r>
    </w:p>
    <w:p w14:paraId="5C401ED1" w14:textId="479D160A" w:rsidR="002D7B36" w:rsidRPr="00DE12A3" w:rsidRDefault="00E11B69" w:rsidP="00E11B69">
      <w:pPr>
        <w:pStyle w:val="Gvdemetni250"/>
        <w:shd w:val="clear" w:color="auto" w:fill="auto"/>
        <w:spacing w:before="120" w:after="120" w:line="240" w:lineRule="auto"/>
        <w:ind w:firstLine="0"/>
        <w:rPr>
          <w:sz w:val="24"/>
          <w:szCs w:val="24"/>
        </w:rPr>
      </w:pPr>
      <w:r w:rsidRPr="00DE12A3">
        <w:rPr>
          <w:sz w:val="24"/>
          <w:szCs w:val="24"/>
        </w:rPr>
        <w:t xml:space="preserve">9.3.3.6.2. </w:t>
      </w:r>
      <w:r w:rsidR="00242DA0" w:rsidRPr="00DE12A3">
        <w:rPr>
          <w:sz w:val="24"/>
          <w:szCs w:val="24"/>
        </w:rPr>
        <w:t xml:space="preserve">İmalatçının talebi üzerine ve </w:t>
      </w:r>
      <w:r w:rsidR="007E2039" w:rsidRPr="00DE12A3">
        <w:rPr>
          <w:sz w:val="24"/>
          <w:szCs w:val="24"/>
        </w:rPr>
        <w:t xml:space="preserve">onay </w:t>
      </w:r>
      <w:r w:rsidR="006F6A17" w:rsidRPr="00DE12A3">
        <w:rPr>
          <w:sz w:val="24"/>
          <w:szCs w:val="24"/>
        </w:rPr>
        <w:t>kuruluşunun onayı</w:t>
      </w:r>
      <w:r w:rsidR="00242DA0" w:rsidRPr="00DE12A3">
        <w:rPr>
          <w:sz w:val="24"/>
          <w:szCs w:val="24"/>
        </w:rPr>
        <w:t xml:space="preserve"> ile belirli bir izleme sistemi için (</w:t>
      </w:r>
      <w:r w:rsidR="005B014A" w:rsidRPr="00DE12A3">
        <w:rPr>
          <w:sz w:val="24"/>
          <w:szCs w:val="24"/>
        </w:rPr>
        <w:t>örneğin</w:t>
      </w:r>
      <w:r w:rsidR="00242DA0" w:rsidRPr="00DE12A3">
        <w:rPr>
          <w:sz w:val="24"/>
          <w:szCs w:val="24"/>
        </w:rPr>
        <w:t xml:space="preserve"> NTRC veya NRSC dışında) alternatif bir PCD test </w:t>
      </w:r>
      <w:r w:rsidR="006F6A17" w:rsidRPr="00DE12A3">
        <w:rPr>
          <w:sz w:val="24"/>
          <w:szCs w:val="24"/>
        </w:rPr>
        <w:t>çevrimi kullanılabilir</w:t>
      </w:r>
      <w:r w:rsidR="00242DA0" w:rsidRPr="00DE12A3">
        <w:rPr>
          <w:sz w:val="24"/>
          <w:szCs w:val="24"/>
        </w:rPr>
        <w:t>. Bu talep, aşağıdakileri ispatlayan unsurları (teknik hususlar, simülasyon, test sonuçları v</w:t>
      </w:r>
      <w:r w:rsidR="005C6D9F" w:rsidRPr="00DE12A3">
        <w:rPr>
          <w:sz w:val="24"/>
          <w:szCs w:val="24"/>
        </w:rPr>
        <w:t>e benzeri</w:t>
      </w:r>
      <w:r w:rsidR="00242DA0" w:rsidRPr="00DE12A3">
        <w:rPr>
          <w:sz w:val="24"/>
          <w:szCs w:val="24"/>
        </w:rPr>
        <w:t>) içermelidir:</w:t>
      </w:r>
    </w:p>
    <w:p w14:paraId="22EB2D44" w14:textId="77F1E553" w:rsidR="002D7B36" w:rsidRPr="00DE12A3" w:rsidRDefault="00E11B69" w:rsidP="00E11B69">
      <w:pPr>
        <w:pStyle w:val="Gvdemetni250"/>
        <w:shd w:val="clear" w:color="auto" w:fill="auto"/>
        <w:tabs>
          <w:tab w:val="left" w:pos="1418"/>
        </w:tabs>
        <w:spacing w:before="120" w:after="120" w:line="240" w:lineRule="auto"/>
        <w:ind w:firstLine="0"/>
        <w:rPr>
          <w:sz w:val="24"/>
          <w:szCs w:val="24"/>
        </w:rPr>
      </w:pPr>
      <w:r w:rsidRPr="00DE12A3">
        <w:rPr>
          <w:sz w:val="24"/>
          <w:szCs w:val="24"/>
        </w:rPr>
        <w:t>(a)</w:t>
      </w:r>
      <w:r w:rsidR="00176B16" w:rsidRPr="00DE12A3">
        <w:rPr>
          <w:sz w:val="24"/>
          <w:szCs w:val="24"/>
        </w:rPr>
        <w:t xml:space="preserve"> T</w:t>
      </w:r>
      <w:r w:rsidR="00242DA0" w:rsidRPr="00DE12A3">
        <w:rPr>
          <w:sz w:val="24"/>
          <w:szCs w:val="24"/>
        </w:rPr>
        <w:t xml:space="preserve">alep edilen test </w:t>
      </w:r>
      <w:r w:rsidR="006F6A17" w:rsidRPr="00DE12A3">
        <w:rPr>
          <w:sz w:val="24"/>
          <w:szCs w:val="24"/>
        </w:rPr>
        <w:t>çevrimi,</w:t>
      </w:r>
      <w:r w:rsidR="00242DA0" w:rsidRPr="00DE12A3">
        <w:rPr>
          <w:sz w:val="24"/>
          <w:szCs w:val="24"/>
        </w:rPr>
        <w:t xml:space="preserve"> gerçek dünyadaki çalışma koşullarında çalışacak bir izleme sistemine yol açar ve</w:t>
      </w:r>
    </w:p>
    <w:p w14:paraId="33344E6A" w14:textId="02F934D7" w:rsidR="002D7B36" w:rsidRPr="00DE12A3" w:rsidRDefault="00E11B69" w:rsidP="00E11B69">
      <w:pPr>
        <w:pStyle w:val="Gvdemetni250"/>
        <w:shd w:val="clear" w:color="auto" w:fill="auto"/>
        <w:spacing w:before="120" w:after="120" w:line="240" w:lineRule="auto"/>
        <w:ind w:firstLine="0"/>
        <w:rPr>
          <w:sz w:val="24"/>
          <w:szCs w:val="24"/>
        </w:rPr>
      </w:pPr>
      <w:r w:rsidRPr="00DE12A3">
        <w:rPr>
          <w:sz w:val="24"/>
          <w:szCs w:val="24"/>
        </w:rPr>
        <w:lastRenderedPageBreak/>
        <w:t xml:space="preserve">(b) </w:t>
      </w:r>
      <w:r w:rsidR="00242DA0" w:rsidRPr="00DE12A3">
        <w:rPr>
          <w:sz w:val="24"/>
          <w:szCs w:val="24"/>
        </w:rPr>
        <w:t xml:space="preserve">9.3.3.6.1 bendinde belirtilen geçerli PCD test </w:t>
      </w:r>
      <w:r w:rsidR="006F6A17" w:rsidRPr="00DE12A3">
        <w:rPr>
          <w:sz w:val="24"/>
          <w:szCs w:val="24"/>
        </w:rPr>
        <w:t>çevrimi,</w:t>
      </w:r>
      <w:r w:rsidR="00242DA0" w:rsidRPr="00DE12A3">
        <w:rPr>
          <w:sz w:val="24"/>
          <w:szCs w:val="24"/>
        </w:rPr>
        <w:t xml:space="preserve"> öngörülen izleme için yeterince uygun değildir.</w:t>
      </w:r>
    </w:p>
    <w:p w14:paraId="78B101A2" w14:textId="4BBCE154" w:rsidR="002D7B36" w:rsidRPr="00DE12A3" w:rsidRDefault="00242DA0" w:rsidP="00E20716">
      <w:pPr>
        <w:pStyle w:val="Gvdemetni250"/>
        <w:numPr>
          <w:ilvl w:val="3"/>
          <w:numId w:val="465"/>
        </w:numPr>
        <w:shd w:val="clear" w:color="auto" w:fill="auto"/>
        <w:spacing w:before="120" w:after="120" w:line="240" w:lineRule="auto"/>
        <w:rPr>
          <w:sz w:val="24"/>
          <w:szCs w:val="24"/>
        </w:rPr>
      </w:pPr>
      <w:r w:rsidRPr="00DE12A3">
        <w:rPr>
          <w:sz w:val="24"/>
          <w:szCs w:val="24"/>
        </w:rPr>
        <w:t>Uyarı sisteminin devreye girdiğinin ispatı için yapılandırma</w:t>
      </w:r>
    </w:p>
    <w:p w14:paraId="3998AED8" w14:textId="4F3ECE90" w:rsidR="002D7B36" w:rsidRPr="00DE12A3" w:rsidRDefault="00E11B69" w:rsidP="00E11B69">
      <w:pPr>
        <w:pStyle w:val="Gvdemetni250"/>
        <w:shd w:val="clear" w:color="auto" w:fill="auto"/>
        <w:spacing w:before="120" w:after="120" w:line="240" w:lineRule="auto"/>
        <w:ind w:firstLine="0"/>
        <w:rPr>
          <w:sz w:val="24"/>
          <w:szCs w:val="24"/>
        </w:rPr>
      </w:pPr>
      <w:r w:rsidRPr="00DE12A3">
        <w:rPr>
          <w:sz w:val="24"/>
          <w:szCs w:val="24"/>
        </w:rPr>
        <w:t xml:space="preserve">9.3.3.7.1. </w:t>
      </w:r>
      <w:r w:rsidR="00242DA0" w:rsidRPr="00DE12A3">
        <w:rPr>
          <w:sz w:val="24"/>
          <w:szCs w:val="24"/>
        </w:rPr>
        <w:t>Uyarı sisteminin devreye girdiğinin ispatı, bir motor test tezgahında gerçekleştirilen testlerle yapılır.</w:t>
      </w:r>
    </w:p>
    <w:p w14:paraId="31786C36" w14:textId="1A920BE2" w:rsidR="002D7B36" w:rsidRPr="00DE12A3" w:rsidRDefault="00E11B69" w:rsidP="00E11B69">
      <w:pPr>
        <w:pStyle w:val="Gvdemetni250"/>
        <w:shd w:val="clear" w:color="auto" w:fill="auto"/>
        <w:spacing w:before="120" w:after="120" w:line="240" w:lineRule="auto"/>
        <w:ind w:firstLine="0"/>
        <w:rPr>
          <w:sz w:val="24"/>
          <w:szCs w:val="24"/>
        </w:rPr>
      </w:pPr>
      <w:r w:rsidRPr="00DE12A3">
        <w:rPr>
          <w:sz w:val="24"/>
          <w:szCs w:val="24"/>
        </w:rPr>
        <w:t xml:space="preserve">9.3.3.7.2. </w:t>
      </w:r>
      <w:r w:rsidR="00242DA0" w:rsidRPr="00DE12A3">
        <w:rPr>
          <w:sz w:val="24"/>
          <w:szCs w:val="24"/>
        </w:rPr>
        <w:t xml:space="preserve">Bunlarla sınırlı olmamak kaydıyla, ortam sıcaklığı sensörleri, seviye sensörleri ve operatör uyarı ve bilgi sistemleri gibi ispatların yapılması amacıyla gerekli olan, motora fiziksel olarak monte edilmemiş tüm bileşenler veya alt sistemler bu amaçla motora bağlanmalı veya bunların simulasyonları onay </w:t>
      </w:r>
      <w:r w:rsidR="006F6A17" w:rsidRPr="00DE12A3">
        <w:rPr>
          <w:sz w:val="24"/>
          <w:szCs w:val="24"/>
        </w:rPr>
        <w:t>kuruluşunu tatmin</w:t>
      </w:r>
      <w:r w:rsidR="00242DA0" w:rsidRPr="00DE12A3">
        <w:rPr>
          <w:sz w:val="24"/>
          <w:szCs w:val="24"/>
        </w:rPr>
        <w:t xml:space="preserve"> edecek şekilde yapılmalıdır.</w:t>
      </w:r>
    </w:p>
    <w:p w14:paraId="73DC21FD" w14:textId="667ED3B3" w:rsidR="002D7B36" w:rsidRPr="00DE12A3" w:rsidRDefault="00E11B69" w:rsidP="00E11B69">
      <w:pPr>
        <w:pStyle w:val="Gvdemetni250"/>
        <w:shd w:val="clear" w:color="auto" w:fill="auto"/>
        <w:spacing w:before="120" w:after="120" w:line="240" w:lineRule="auto"/>
        <w:ind w:firstLine="0"/>
        <w:rPr>
          <w:sz w:val="24"/>
          <w:szCs w:val="24"/>
        </w:rPr>
      </w:pPr>
      <w:r w:rsidRPr="00DE12A3">
        <w:rPr>
          <w:sz w:val="24"/>
          <w:szCs w:val="24"/>
        </w:rPr>
        <w:t xml:space="preserve">9.3.3.7.3. </w:t>
      </w:r>
      <w:r w:rsidR="00242DA0" w:rsidRPr="00DE12A3">
        <w:rPr>
          <w:sz w:val="24"/>
          <w:szCs w:val="24"/>
        </w:rPr>
        <w:t xml:space="preserve">İmalatçı öyle tercih eder ve </w:t>
      </w:r>
      <w:r w:rsidR="007E2039" w:rsidRPr="00DE12A3">
        <w:rPr>
          <w:sz w:val="24"/>
          <w:szCs w:val="24"/>
        </w:rPr>
        <w:t xml:space="preserve">onay </w:t>
      </w:r>
      <w:r w:rsidR="00780D3A" w:rsidRPr="00DE12A3">
        <w:rPr>
          <w:sz w:val="24"/>
          <w:szCs w:val="24"/>
        </w:rPr>
        <w:t>kuruluşu da</w:t>
      </w:r>
      <w:r w:rsidR="00242DA0" w:rsidRPr="00DE12A3">
        <w:rPr>
          <w:sz w:val="24"/>
          <w:szCs w:val="24"/>
        </w:rPr>
        <w:t xml:space="preserve"> mutabık kalırsa, ispat testleri, 9.3.3.7.1 bendine bakılmaksızın, komple bir karayolu dışında kullanılan hareketli makina veya makinalar üzerinde, ya karayolu dışında kullanılan hareketli makina uygun bir test tezgahına bağlanarak ya da kontrollü koşullar altında bir deneme pistinde çalıştırılarak yapılabilir.</w:t>
      </w:r>
    </w:p>
    <w:p w14:paraId="5F10E6F6" w14:textId="51FD894F" w:rsidR="002D7B36" w:rsidRPr="00DE12A3" w:rsidRDefault="00E11B69" w:rsidP="00E11B69">
      <w:pPr>
        <w:pStyle w:val="Gvdemetni250"/>
        <w:shd w:val="clear" w:color="auto" w:fill="auto"/>
        <w:tabs>
          <w:tab w:val="left" w:pos="851"/>
          <w:tab w:val="left" w:pos="9072"/>
        </w:tabs>
        <w:spacing w:before="120" w:after="120" w:line="240" w:lineRule="auto"/>
        <w:ind w:firstLine="0"/>
        <w:rPr>
          <w:sz w:val="24"/>
          <w:szCs w:val="24"/>
        </w:rPr>
      </w:pPr>
      <w:r w:rsidRPr="00DE12A3">
        <w:rPr>
          <w:sz w:val="24"/>
          <w:szCs w:val="24"/>
        </w:rPr>
        <w:t>9.3.4.</w:t>
      </w:r>
      <w:r w:rsidR="00176B16" w:rsidRPr="00DE12A3">
        <w:rPr>
          <w:sz w:val="24"/>
          <w:szCs w:val="24"/>
        </w:rPr>
        <w:t xml:space="preserve"> </w:t>
      </w:r>
      <w:r w:rsidR="00242DA0" w:rsidRPr="00DE12A3">
        <w:rPr>
          <w:sz w:val="24"/>
          <w:szCs w:val="24"/>
        </w:rPr>
        <w:t>9.3.3 bendi uyarınca yapılan her ispat testinin sonunda, uyarı sisteminin uygun şekilde devreye girmesi ve seçilen arıza için DTC'nin "doğrulandı ve devrede" olması durumunda, uyarı sisteminin devreye girdiğinin ispatı yapılmış kabul edilir.</w:t>
      </w:r>
    </w:p>
    <w:p w14:paraId="2679558B" w14:textId="48F10D3C" w:rsidR="002D7B36" w:rsidRPr="00DE12A3" w:rsidRDefault="00E11B69" w:rsidP="00E11B69">
      <w:pPr>
        <w:pStyle w:val="Gvdemetni250"/>
        <w:shd w:val="clear" w:color="auto" w:fill="auto"/>
        <w:spacing w:before="120" w:after="120" w:line="240" w:lineRule="auto"/>
        <w:ind w:firstLine="0"/>
        <w:rPr>
          <w:sz w:val="24"/>
          <w:szCs w:val="24"/>
        </w:rPr>
      </w:pPr>
      <w:r w:rsidRPr="00DE12A3">
        <w:rPr>
          <w:sz w:val="24"/>
          <w:szCs w:val="24"/>
        </w:rPr>
        <w:t>9.3.5.</w:t>
      </w:r>
      <w:r w:rsidR="00176B16" w:rsidRPr="00DE12A3">
        <w:rPr>
          <w:sz w:val="24"/>
          <w:szCs w:val="24"/>
        </w:rPr>
        <w:t xml:space="preserve"> </w:t>
      </w:r>
      <w:r w:rsidR="00242DA0" w:rsidRPr="00DE12A3">
        <w:rPr>
          <w:sz w:val="24"/>
          <w:szCs w:val="24"/>
        </w:rPr>
        <w:t xml:space="preserve">Bir ayıraç kullanan bir </w:t>
      </w:r>
      <w:r w:rsidR="007E2039" w:rsidRPr="00DE12A3">
        <w:rPr>
          <w:sz w:val="24"/>
          <w:szCs w:val="24"/>
        </w:rPr>
        <w:t xml:space="preserve">partikül arıtma </w:t>
      </w:r>
      <w:r w:rsidR="00242DA0" w:rsidRPr="00DE12A3">
        <w:rPr>
          <w:sz w:val="24"/>
          <w:szCs w:val="24"/>
        </w:rPr>
        <w:t xml:space="preserve">sisteminin, </w:t>
      </w:r>
      <w:r w:rsidR="007E2039" w:rsidRPr="00DE12A3">
        <w:rPr>
          <w:sz w:val="24"/>
          <w:szCs w:val="24"/>
        </w:rPr>
        <w:t xml:space="preserve">partikül arıtma </w:t>
      </w:r>
      <w:r w:rsidR="00242DA0" w:rsidRPr="00DE12A3">
        <w:rPr>
          <w:sz w:val="24"/>
          <w:szCs w:val="24"/>
        </w:rPr>
        <w:t xml:space="preserve">sisteminin işlev kaybına veya </w:t>
      </w:r>
      <w:r w:rsidR="007E2039" w:rsidRPr="00DE12A3">
        <w:rPr>
          <w:sz w:val="24"/>
          <w:szCs w:val="24"/>
        </w:rPr>
        <w:t xml:space="preserve">partikül arıtma </w:t>
      </w:r>
      <w:r w:rsidR="00242DA0" w:rsidRPr="00DE12A3">
        <w:rPr>
          <w:sz w:val="24"/>
          <w:szCs w:val="24"/>
        </w:rPr>
        <w:t>sisteminin sökülmesine ilişkin bir ispat testine tabi tutulması durumunda, aynı zamanda ayıraç dozajının kesintiye uğradığı da doğrulanmalıdır.</w:t>
      </w:r>
    </w:p>
    <w:p w14:paraId="17D377BC" w14:textId="1C3D6764" w:rsidR="002D7B36" w:rsidRPr="00DE12A3" w:rsidRDefault="00E11B69" w:rsidP="00E11B69">
      <w:pPr>
        <w:pStyle w:val="Gvdemetni250"/>
        <w:shd w:val="clear" w:color="auto" w:fill="auto"/>
        <w:spacing w:before="120" w:after="120" w:line="240" w:lineRule="auto"/>
        <w:ind w:firstLine="0"/>
        <w:rPr>
          <w:sz w:val="24"/>
          <w:szCs w:val="24"/>
        </w:rPr>
      </w:pPr>
      <w:r w:rsidRPr="00DE12A3">
        <w:rPr>
          <w:sz w:val="24"/>
          <w:szCs w:val="24"/>
        </w:rPr>
        <w:t>9.3.6.</w:t>
      </w:r>
      <w:r w:rsidR="00176B16" w:rsidRPr="00DE12A3">
        <w:rPr>
          <w:sz w:val="24"/>
          <w:szCs w:val="24"/>
        </w:rPr>
        <w:t xml:space="preserve"> </w:t>
      </w:r>
      <w:r w:rsidR="00242DA0" w:rsidRPr="00DE12A3">
        <w:rPr>
          <w:sz w:val="24"/>
          <w:szCs w:val="24"/>
        </w:rPr>
        <w:t>İspatın dokümantasyonu</w:t>
      </w:r>
    </w:p>
    <w:p w14:paraId="26A530A7" w14:textId="7E266B98" w:rsidR="002D7B36" w:rsidRPr="00DE12A3" w:rsidRDefault="00E11B69" w:rsidP="00E11B69">
      <w:pPr>
        <w:pStyle w:val="Gvdemetni250"/>
        <w:shd w:val="clear" w:color="auto" w:fill="auto"/>
        <w:tabs>
          <w:tab w:val="left" w:pos="851"/>
        </w:tabs>
        <w:spacing w:before="120" w:after="120" w:line="240" w:lineRule="auto"/>
        <w:ind w:firstLine="0"/>
        <w:rPr>
          <w:sz w:val="24"/>
          <w:szCs w:val="24"/>
        </w:rPr>
      </w:pPr>
      <w:r w:rsidRPr="00DE12A3">
        <w:rPr>
          <w:sz w:val="24"/>
          <w:szCs w:val="24"/>
        </w:rPr>
        <w:t>9.3.6.1.</w:t>
      </w:r>
      <w:r w:rsidR="00176B16" w:rsidRPr="00DE12A3">
        <w:rPr>
          <w:sz w:val="24"/>
          <w:szCs w:val="24"/>
        </w:rPr>
        <w:t xml:space="preserve"> </w:t>
      </w:r>
      <w:r w:rsidR="00242DA0" w:rsidRPr="00DE12A3">
        <w:rPr>
          <w:sz w:val="24"/>
          <w:szCs w:val="24"/>
        </w:rPr>
        <w:t>PCD sisteminin ispatı, bir ispat raporu ile belgelenmelidir. Bu rapor:</w:t>
      </w:r>
    </w:p>
    <w:p w14:paraId="2A4849D7" w14:textId="70634A35" w:rsidR="002D7B36" w:rsidRPr="00DE12A3" w:rsidRDefault="00E11B69" w:rsidP="00E11B69">
      <w:pPr>
        <w:pStyle w:val="Gvdemetni250"/>
        <w:shd w:val="clear" w:color="auto" w:fill="auto"/>
        <w:spacing w:before="120" w:after="120" w:line="240" w:lineRule="auto"/>
        <w:ind w:firstLine="0"/>
        <w:rPr>
          <w:sz w:val="24"/>
          <w:szCs w:val="24"/>
        </w:rPr>
      </w:pPr>
      <w:r w:rsidRPr="00DE12A3">
        <w:rPr>
          <w:sz w:val="24"/>
          <w:szCs w:val="24"/>
        </w:rPr>
        <w:t>(a)</w:t>
      </w:r>
      <w:r w:rsidR="00176B16" w:rsidRPr="00DE12A3">
        <w:rPr>
          <w:sz w:val="24"/>
          <w:szCs w:val="24"/>
        </w:rPr>
        <w:t xml:space="preserve"> İ</w:t>
      </w:r>
      <w:r w:rsidR="00242DA0" w:rsidRPr="00DE12A3">
        <w:rPr>
          <w:sz w:val="24"/>
          <w:szCs w:val="24"/>
        </w:rPr>
        <w:t>ncelenen arızaları tanımlamalı</w:t>
      </w:r>
      <w:r w:rsidR="00DE725A" w:rsidRPr="00DE12A3">
        <w:rPr>
          <w:sz w:val="24"/>
          <w:szCs w:val="24"/>
        </w:rPr>
        <w:t>.</w:t>
      </w:r>
    </w:p>
    <w:p w14:paraId="32458869" w14:textId="2C22C585" w:rsidR="002D7B36" w:rsidRPr="00DE12A3" w:rsidRDefault="00E11B69" w:rsidP="00E11B69">
      <w:pPr>
        <w:pStyle w:val="Gvdemetni250"/>
        <w:shd w:val="clear" w:color="auto" w:fill="auto"/>
        <w:spacing w:before="120" w:after="120" w:line="240" w:lineRule="auto"/>
        <w:ind w:firstLine="0"/>
        <w:rPr>
          <w:sz w:val="24"/>
          <w:szCs w:val="24"/>
        </w:rPr>
      </w:pPr>
      <w:r w:rsidRPr="00DE12A3">
        <w:rPr>
          <w:sz w:val="24"/>
          <w:szCs w:val="24"/>
        </w:rPr>
        <w:t xml:space="preserve">(b) </w:t>
      </w:r>
      <w:r w:rsidR="00176B16" w:rsidRPr="00DE12A3">
        <w:rPr>
          <w:sz w:val="24"/>
          <w:szCs w:val="24"/>
        </w:rPr>
        <w:t>G</w:t>
      </w:r>
      <w:r w:rsidR="00242DA0" w:rsidRPr="00DE12A3">
        <w:rPr>
          <w:sz w:val="24"/>
          <w:szCs w:val="24"/>
        </w:rPr>
        <w:t xml:space="preserve">eçerli test </w:t>
      </w:r>
      <w:r w:rsidR="006F6A17" w:rsidRPr="00DE12A3">
        <w:rPr>
          <w:sz w:val="24"/>
          <w:szCs w:val="24"/>
        </w:rPr>
        <w:t>çevrimi de</w:t>
      </w:r>
      <w:r w:rsidR="00242DA0" w:rsidRPr="00DE12A3">
        <w:rPr>
          <w:sz w:val="24"/>
          <w:szCs w:val="24"/>
        </w:rPr>
        <w:t xml:space="preserve"> dahil olmak üzere yapılan ispatı açıklamalı</w:t>
      </w:r>
      <w:r w:rsidR="00DE725A" w:rsidRPr="00DE12A3">
        <w:rPr>
          <w:sz w:val="24"/>
          <w:szCs w:val="24"/>
        </w:rPr>
        <w:t>.</w:t>
      </w:r>
    </w:p>
    <w:p w14:paraId="308EECAD" w14:textId="4D00594E" w:rsidR="002D7B36" w:rsidRPr="00DE12A3" w:rsidRDefault="00E11B69" w:rsidP="00E11B69">
      <w:pPr>
        <w:pStyle w:val="Gvdemetni250"/>
        <w:shd w:val="clear" w:color="auto" w:fill="auto"/>
        <w:spacing w:before="120" w:after="120" w:line="240" w:lineRule="auto"/>
        <w:ind w:firstLine="0"/>
        <w:rPr>
          <w:sz w:val="24"/>
          <w:szCs w:val="24"/>
        </w:rPr>
      </w:pPr>
      <w:r w:rsidRPr="00DE12A3">
        <w:rPr>
          <w:sz w:val="24"/>
          <w:szCs w:val="24"/>
        </w:rPr>
        <w:t>(c)</w:t>
      </w:r>
      <w:r w:rsidR="00176B16" w:rsidRPr="00DE12A3">
        <w:rPr>
          <w:sz w:val="24"/>
          <w:szCs w:val="24"/>
        </w:rPr>
        <w:t xml:space="preserve"> G</w:t>
      </w:r>
      <w:r w:rsidR="00242DA0" w:rsidRPr="00DE12A3">
        <w:rPr>
          <w:sz w:val="24"/>
          <w:szCs w:val="24"/>
        </w:rPr>
        <w:t>eçerli uyarıların bu düzenlemenin gerektirdiği şekilde devreye girdiğini doğrulamalı</w:t>
      </w:r>
      <w:r w:rsidR="00DE725A" w:rsidRPr="00DE12A3">
        <w:rPr>
          <w:sz w:val="24"/>
          <w:szCs w:val="24"/>
        </w:rPr>
        <w:t>.</w:t>
      </w:r>
    </w:p>
    <w:p w14:paraId="761A7C17" w14:textId="45F33C28" w:rsidR="002D7B36" w:rsidRPr="00DE12A3" w:rsidRDefault="00E11B69" w:rsidP="00E11B69">
      <w:pPr>
        <w:pStyle w:val="Gvdemetni250"/>
        <w:shd w:val="clear" w:color="auto" w:fill="auto"/>
        <w:spacing w:before="120" w:after="120" w:line="240" w:lineRule="auto"/>
        <w:ind w:firstLine="0"/>
        <w:rPr>
          <w:sz w:val="24"/>
          <w:szCs w:val="24"/>
        </w:rPr>
      </w:pPr>
      <w:r w:rsidRPr="00DE12A3">
        <w:rPr>
          <w:sz w:val="24"/>
          <w:szCs w:val="24"/>
        </w:rPr>
        <w:t xml:space="preserve">(d) </w:t>
      </w:r>
      <w:r w:rsidR="00EE5D5E" w:rsidRPr="00DE12A3">
        <w:rPr>
          <w:sz w:val="24"/>
          <w:szCs w:val="24"/>
        </w:rPr>
        <w:t>2017/656/</w:t>
      </w:r>
      <w:r w:rsidR="006F6A17" w:rsidRPr="00DE12A3">
        <w:rPr>
          <w:sz w:val="24"/>
          <w:szCs w:val="24"/>
        </w:rPr>
        <w:t>AB Tebliği</w:t>
      </w:r>
      <w:r w:rsidR="00966EFF" w:rsidRPr="00DE12A3">
        <w:rPr>
          <w:sz w:val="24"/>
          <w:szCs w:val="24"/>
        </w:rPr>
        <w:t>nin</w:t>
      </w:r>
      <w:r w:rsidR="006F6A17" w:rsidRPr="00DE12A3">
        <w:rPr>
          <w:sz w:val="24"/>
          <w:szCs w:val="24"/>
        </w:rPr>
        <w:t xml:space="preserve"> I’inci</w:t>
      </w:r>
      <w:r w:rsidR="00EE5D5E" w:rsidRPr="00DE12A3">
        <w:rPr>
          <w:sz w:val="24"/>
          <w:szCs w:val="24"/>
        </w:rPr>
        <w:t xml:space="preserve"> </w:t>
      </w:r>
      <w:r w:rsidR="00EC3EF0" w:rsidRPr="00DE12A3">
        <w:rPr>
          <w:sz w:val="24"/>
          <w:szCs w:val="24"/>
        </w:rPr>
        <w:t>Ekinin</w:t>
      </w:r>
      <w:r w:rsidR="00EE5D5E" w:rsidRPr="00DE12A3">
        <w:rPr>
          <w:sz w:val="24"/>
          <w:szCs w:val="24"/>
        </w:rPr>
        <w:t xml:space="preserve"> </w:t>
      </w:r>
      <w:r w:rsidR="00242DA0" w:rsidRPr="00DE12A3">
        <w:rPr>
          <w:sz w:val="24"/>
          <w:szCs w:val="24"/>
        </w:rPr>
        <w:t>A Bölümünde belirtilen bilgi klasörüne eklenmelidir.</w:t>
      </w:r>
    </w:p>
    <w:p w14:paraId="052E3785" w14:textId="64D9046E" w:rsidR="001C5108" w:rsidRPr="00DE12A3" w:rsidRDefault="001C5108">
      <w:pPr>
        <w:widowControl/>
        <w:rPr>
          <w:rFonts w:cs="Times New Roman"/>
          <w:color w:val="auto"/>
          <w:lang w:eastAsia="en-US"/>
        </w:rPr>
      </w:pPr>
      <w:r w:rsidRPr="00DE12A3">
        <w:rPr>
          <w:rFonts w:cs="Times New Roman"/>
          <w:color w:val="auto"/>
          <w:lang w:eastAsia="en-US"/>
        </w:rPr>
        <w:br w:type="page"/>
      </w:r>
    </w:p>
    <w:p w14:paraId="59148B8F" w14:textId="77777777" w:rsidR="002D7B36" w:rsidRPr="00DE12A3" w:rsidRDefault="00242DA0" w:rsidP="001C5108">
      <w:pPr>
        <w:pStyle w:val="Balk1"/>
        <w:rPr>
          <w:color w:val="auto"/>
          <w:lang w:eastAsia="en-US"/>
        </w:rPr>
      </w:pPr>
      <w:r w:rsidRPr="00DE12A3">
        <w:rPr>
          <w:color w:val="auto"/>
          <w:lang w:eastAsia="en-US"/>
        </w:rPr>
        <w:lastRenderedPageBreak/>
        <w:t>EK V</w:t>
      </w:r>
    </w:p>
    <w:p w14:paraId="043AC72B" w14:textId="601CB97F" w:rsidR="002D7B36" w:rsidRPr="00DE12A3" w:rsidRDefault="00242DA0" w:rsidP="00D27F95">
      <w:pPr>
        <w:spacing w:before="120" w:after="120"/>
        <w:ind w:left="1134" w:hanging="1134"/>
        <w:rPr>
          <w:rFonts w:cs="Times New Roman"/>
          <w:b/>
          <w:bCs/>
          <w:color w:val="auto"/>
          <w:lang w:eastAsia="en-US"/>
        </w:rPr>
      </w:pPr>
      <w:r w:rsidRPr="00DE12A3">
        <w:rPr>
          <w:rFonts w:cs="Times New Roman"/>
          <w:b/>
          <w:color w:val="auto"/>
          <w:lang w:eastAsia="en-US"/>
        </w:rPr>
        <w:t xml:space="preserve">Karayolu dışında </w:t>
      </w:r>
      <w:r w:rsidR="00951351" w:rsidRPr="00DE12A3">
        <w:rPr>
          <w:rFonts w:cs="Times New Roman"/>
          <w:b/>
          <w:color w:val="auto"/>
          <w:lang w:eastAsia="en-US"/>
        </w:rPr>
        <w:t xml:space="preserve">kararlı </w:t>
      </w:r>
      <w:r w:rsidR="0032662E" w:rsidRPr="00DE12A3">
        <w:rPr>
          <w:rFonts w:cs="Times New Roman"/>
          <w:b/>
          <w:color w:val="auto"/>
          <w:lang w:eastAsia="en-US"/>
        </w:rPr>
        <w:t>durum testi</w:t>
      </w:r>
      <w:r w:rsidRPr="00DE12A3">
        <w:rPr>
          <w:rFonts w:cs="Times New Roman"/>
          <w:b/>
          <w:color w:val="auto"/>
          <w:lang w:eastAsia="en-US"/>
        </w:rPr>
        <w:t xml:space="preserve"> </w:t>
      </w:r>
      <w:r w:rsidR="0032662E" w:rsidRPr="00DE12A3">
        <w:rPr>
          <w:rFonts w:cs="Times New Roman"/>
          <w:b/>
          <w:color w:val="auto"/>
          <w:lang w:eastAsia="en-US"/>
        </w:rPr>
        <w:t>çevrimi ile</w:t>
      </w:r>
      <w:r w:rsidRPr="00DE12A3">
        <w:rPr>
          <w:rFonts w:cs="Times New Roman"/>
          <w:b/>
          <w:color w:val="auto"/>
          <w:lang w:eastAsia="en-US"/>
        </w:rPr>
        <w:t xml:space="preserve"> ilgili alana ilişkin ölçümler ve testler</w:t>
      </w:r>
    </w:p>
    <w:p w14:paraId="5DF76468" w14:textId="78E520F8" w:rsidR="002D7B36" w:rsidRPr="00DE12A3" w:rsidRDefault="002D7B36" w:rsidP="00C917D6">
      <w:pPr>
        <w:spacing w:before="120" w:after="120"/>
        <w:ind w:left="1134" w:hanging="1134"/>
        <w:jc w:val="both"/>
        <w:rPr>
          <w:rFonts w:cs="Times New Roman"/>
          <w:b/>
          <w:i/>
          <w:iCs/>
          <w:color w:val="auto"/>
          <w:lang w:eastAsia="en-US"/>
        </w:rPr>
      </w:pPr>
    </w:p>
    <w:p w14:paraId="76D3D4ED" w14:textId="106753EC" w:rsidR="002D7B36" w:rsidRPr="00DE12A3" w:rsidRDefault="00D27F95" w:rsidP="00D27F95">
      <w:pPr>
        <w:spacing w:before="120" w:after="120"/>
        <w:jc w:val="both"/>
        <w:rPr>
          <w:rFonts w:cs="Times New Roman"/>
          <w:b/>
          <w:bCs/>
          <w:color w:val="auto"/>
        </w:rPr>
      </w:pPr>
      <w:r w:rsidRPr="00DE12A3">
        <w:rPr>
          <w:rFonts w:cs="Times New Roman"/>
          <w:b/>
          <w:bCs/>
          <w:color w:val="auto"/>
        </w:rPr>
        <w:t xml:space="preserve">1. </w:t>
      </w:r>
      <w:r w:rsidR="00242DA0" w:rsidRPr="00DE12A3">
        <w:rPr>
          <w:rFonts w:cs="Times New Roman"/>
          <w:b/>
          <w:bCs/>
          <w:color w:val="auto"/>
        </w:rPr>
        <w:t>Genel şartlar</w:t>
      </w:r>
    </w:p>
    <w:p w14:paraId="379C7E8F" w14:textId="216EE4F2" w:rsidR="002D7B36" w:rsidRPr="00DE12A3" w:rsidRDefault="00242DA0" w:rsidP="00D27F95">
      <w:pPr>
        <w:spacing w:before="120" w:after="120"/>
        <w:jc w:val="both"/>
        <w:rPr>
          <w:rFonts w:eastAsia="Times New Roman" w:cs="Times New Roman"/>
          <w:color w:val="auto"/>
          <w:spacing w:val="3"/>
          <w:lang w:eastAsia="en-US"/>
        </w:rPr>
      </w:pPr>
      <w:r w:rsidRPr="00DE12A3">
        <w:rPr>
          <w:rFonts w:eastAsia="Times New Roman" w:cs="Times New Roman"/>
          <w:color w:val="auto"/>
          <w:spacing w:val="3"/>
          <w:lang w:eastAsia="en-US"/>
        </w:rPr>
        <w:t xml:space="preserve">Bu </w:t>
      </w:r>
      <w:r w:rsidR="00DE725A" w:rsidRPr="00DE12A3">
        <w:rPr>
          <w:rFonts w:eastAsia="Times New Roman" w:cs="Times New Roman"/>
          <w:color w:val="auto"/>
          <w:spacing w:val="3"/>
          <w:lang w:eastAsia="en-US"/>
        </w:rPr>
        <w:t>E</w:t>
      </w:r>
      <w:r w:rsidR="006F6A17" w:rsidRPr="00DE12A3">
        <w:rPr>
          <w:rFonts w:eastAsia="Times New Roman" w:cs="Times New Roman"/>
          <w:color w:val="auto"/>
          <w:spacing w:val="3"/>
          <w:lang w:eastAsia="en-US"/>
        </w:rPr>
        <w:t>k, 2016</w:t>
      </w:r>
      <w:r w:rsidR="00EE5D5E" w:rsidRPr="00DE12A3">
        <w:rPr>
          <w:rFonts w:eastAsia="Times New Roman" w:cs="Times New Roman"/>
          <w:color w:val="auto"/>
          <w:spacing w:val="3"/>
          <w:lang w:eastAsia="en-US"/>
        </w:rPr>
        <w:t>/1628/AB Yönetmeliği</w:t>
      </w:r>
      <w:r w:rsidR="00DE725A" w:rsidRPr="00DE12A3">
        <w:rPr>
          <w:rFonts w:eastAsia="Times New Roman" w:cs="Times New Roman"/>
          <w:color w:val="auto"/>
          <w:spacing w:val="3"/>
          <w:lang w:eastAsia="en-US"/>
        </w:rPr>
        <w:t>nin</w:t>
      </w:r>
      <w:r w:rsidR="00EE5D5E" w:rsidRPr="00DE12A3">
        <w:rPr>
          <w:rFonts w:eastAsia="Times New Roman" w:cs="Times New Roman"/>
          <w:color w:val="auto"/>
          <w:spacing w:val="3"/>
          <w:lang w:eastAsia="en-US"/>
        </w:rPr>
        <w:t xml:space="preserve"> </w:t>
      </w:r>
      <w:r w:rsidRPr="00DE12A3">
        <w:rPr>
          <w:rFonts w:eastAsia="Times New Roman" w:cs="Times New Roman"/>
          <w:color w:val="auto"/>
          <w:spacing w:val="3"/>
          <w:lang w:eastAsia="en-US"/>
        </w:rPr>
        <w:t>II</w:t>
      </w:r>
      <w:r w:rsidR="006F6A17" w:rsidRPr="00DE12A3">
        <w:rPr>
          <w:rFonts w:eastAsia="Times New Roman" w:cs="Times New Roman"/>
          <w:color w:val="auto"/>
          <w:spacing w:val="3"/>
          <w:lang w:eastAsia="en-US"/>
        </w:rPr>
        <w:t>’</w:t>
      </w:r>
      <w:r w:rsidR="00195051" w:rsidRPr="00DE12A3">
        <w:rPr>
          <w:rFonts w:eastAsia="Times New Roman" w:cs="Times New Roman"/>
          <w:color w:val="auto"/>
          <w:spacing w:val="3"/>
          <w:lang w:eastAsia="en-US"/>
        </w:rPr>
        <w:t>nci</w:t>
      </w:r>
      <w:r w:rsidR="006F6A17" w:rsidRPr="00DE12A3">
        <w:rPr>
          <w:rFonts w:eastAsia="Times New Roman" w:cs="Times New Roman"/>
          <w:color w:val="auto"/>
          <w:spacing w:val="3"/>
          <w:lang w:eastAsia="en-US"/>
        </w:rPr>
        <w:t xml:space="preserve"> </w:t>
      </w:r>
      <w:r w:rsidR="00EC3EF0" w:rsidRPr="00DE12A3">
        <w:rPr>
          <w:rFonts w:eastAsia="Times New Roman" w:cs="Times New Roman"/>
          <w:color w:val="auto"/>
          <w:spacing w:val="3"/>
          <w:lang w:eastAsia="en-US"/>
        </w:rPr>
        <w:t>Ekinde</w:t>
      </w:r>
      <w:r w:rsidRPr="00DE12A3">
        <w:rPr>
          <w:rFonts w:eastAsia="Times New Roman" w:cs="Times New Roman"/>
          <w:color w:val="auto"/>
          <w:spacing w:val="3"/>
          <w:lang w:eastAsia="en-US"/>
        </w:rPr>
        <w:t xml:space="preserve"> belirtilen "</w:t>
      </w:r>
      <w:r w:rsidR="00274519" w:rsidRPr="00DE12A3">
        <w:rPr>
          <w:rFonts w:eastAsia="Times New Roman" w:cs="Times New Roman"/>
          <w:color w:val="auto"/>
          <w:spacing w:val="3"/>
          <w:lang w:eastAsia="en-US"/>
        </w:rPr>
        <w:t>Faz</w:t>
      </w:r>
      <w:r w:rsidRPr="00DE12A3">
        <w:rPr>
          <w:rFonts w:eastAsia="Times New Roman" w:cs="Times New Roman"/>
          <w:color w:val="auto"/>
          <w:spacing w:val="3"/>
          <w:lang w:eastAsia="en-US"/>
        </w:rPr>
        <w:t xml:space="preserve"> V" emisyon sınırlarına uyan ve hem enjekte eden yakıtın miktarını hem de zamanlamasını belirlemek için elektronik kontrol kullanan veya NOx'i azaltmak için kullanılan emisyon kontrol sistemini etkinleştirmek, devre dışı bırakmak veya modüle etmek için elektronik kontrol kullanan NRE, NRG, IWP, IWA ve RLR kategorilerindeki elektronik olarak kontrol edilen motorlar için uygulanır.</w:t>
      </w:r>
    </w:p>
    <w:p w14:paraId="09B01489" w14:textId="500A57FA" w:rsidR="002D7B36" w:rsidRPr="00DE12A3" w:rsidRDefault="00242DA0" w:rsidP="00D27F95">
      <w:pPr>
        <w:spacing w:before="120" w:after="120"/>
        <w:jc w:val="both"/>
        <w:rPr>
          <w:rFonts w:eastAsia="Times New Roman" w:cs="Times New Roman"/>
          <w:color w:val="auto"/>
          <w:spacing w:val="3"/>
          <w:lang w:eastAsia="en-US"/>
        </w:rPr>
      </w:pPr>
      <w:r w:rsidRPr="00DE12A3">
        <w:rPr>
          <w:rFonts w:eastAsia="Times New Roman" w:cs="Times New Roman"/>
          <w:color w:val="auto"/>
          <w:spacing w:val="3"/>
          <w:lang w:eastAsia="en-US"/>
        </w:rPr>
        <w:t xml:space="preserve">Bu Ek, içinde </w:t>
      </w:r>
      <w:r w:rsidR="006F6A17" w:rsidRPr="00DE12A3">
        <w:rPr>
          <w:rFonts w:eastAsia="Times New Roman" w:cs="Times New Roman"/>
          <w:color w:val="auto"/>
          <w:spacing w:val="3"/>
          <w:lang w:eastAsia="en-US"/>
        </w:rPr>
        <w:t>emisyonların 2016</w:t>
      </w:r>
      <w:r w:rsidR="00EE5D5E" w:rsidRPr="00DE12A3">
        <w:rPr>
          <w:rFonts w:eastAsia="Times New Roman" w:cs="Times New Roman"/>
          <w:color w:val="auto"/>
          <w:spacing w:val="3"/>
          <w:lang w:eastAsia="en-US"/>
        </w:rPr>
        <w:t>/1628/AB Yönetmeliği</w:t>
      </w:r>
      <w:r w:rsidR="00DE725A" w:rsidRPr="00DE12A3">
        <w:rPr>
          <w:rFonts w:eastAsia="Times New Roman" w:cs="Times New Roman"/>
          <w:color w:val="auto"/>
          <w:spacing w:val="3"/>
          <w:lang w:eastAsia="en-US"/>
        </w:rPr>
        <w:t>nin</w:t>
      </w:r>
      <w:r w:rsidR="00EE5D5E" w:rsidRPr="00DE12A3">
        <w:rPr>
          <w:rFonts w:eastAsia="Times New Roman" w:cs="Times New Roman"/>
          <w:color w:val="auto"/>
          <w:spacing w:val="3"/>
          <w:lang w:eastAsia="en-US"/>
        </w:rPr>
        <w:t xml:space="preserve"> </w:t>
      </w:r>
      <w:r w:rsidRPr="00DE12A3">
        <w:rPr>
          <w:rFonts w:eastAsia="Times New Roman" w:cs="Times New Roman"/>
          <w:color w:val="auto"/>
          <w:spacing w:val="3"/>
          <w:lang w:eastAsia="en-US"/>
        </w:rPr>
        <w:t>II</w:t>
      </w:r>
      <w:r w:rsidR="006F6A17" w:rsidRPr="00DE12A3">
        <w:rPr>
          <w:rFonts w:eastAsia="Times New Roman" w:cs="Times New Roman"/>
          <w:color w:val="auto"/>
          <w:spacing w:val="3"/>
          <w:lang w:eastAsia="en-US"/>
        </w:rPr>
        <w:t>’</w:t>
      </w:r>
      <w:r w:rsidR="00195051" w:rsidRPr="00DE12A3">
        <w:rPr>
          <w:rFonts w:eastAsia="Times New Roman" w:cs="Times New Roman"/>
          <w:color w:val="auto"/>
          <w:spacing w:val="3"/>
          <w:lang w:eastAsia="en-US"/>
        </w:rPr>
        <w:t>nci</w:t>
      </w:r>
      <w:r w:rsidR="006F6A17" w:rsidRPr="00DE12A3">
        <w:rPr>
          <w:rFonts w:eastAsia="Times New Roman" w:cs="Times New Roman"/>
          <w:color w:val="auto"/>
          <w:spacing w:val="3"/>
          <w:lang w:eastAsia="en-US"/>
        </w:rPr>
        <w:t xml:space="preserve"> </w:t>
      </w:r>
      <w:r w:rsidR="00EC3EF0" w:rsidRPr="00DE12A3">
        <w:rPr>
          <w:rFonts w:eastAsia="Times New Roman" w:cs="Times New Roman"/>
          <w:color w:val="auto"/>
          <w:spacing w:val="3"/>
          <w:lang w:eastAsia="en-US"/>
        </w:rPr>
        <w:t>Ekinde</w:t>
      </w:r>
      <w:r w:rsidRPr="00DE12A3">
        <w:rPr>
          <w:rFonts w:eastAsia="Times New Roman" w:cs="Times New Roman"/>
          <w:color w:val="auto"/>
          <w:spacing w:val="3"/>
          <w:lang w:eastAsia="en-US"/>
        </w:rPr>
        <w:t xml:space="preserve"> belirtilen emisyon sınırlarını aşmasına izin verilecek miktarın belirtildiği, ilgili NRSC ile bağlantılı alana ilişkin teknik </w:t>
      </w:r>
      <w:r w:rsidR="0053289F" w:rsidRPr="00DE12A3">
        <w:rPr>
          <w:rFonts w:eastAsia="Times New Roman" w:cs="Times New Roman"/>
          <w:color w:val="auto"/>
          <w:spacing w:val="3"/>
          <w:lang w:eastAsia="en-US"/>
        </w:rPr>
        <w:t>gereklilikleri</w:t>
      </w:r>
      <w:r w:rsidRPr="00DE12A3">
        <w:rPr>
          <w:rFonts w:eastAsia="Times New Roman" w:cs="Times New Roman"/>
          <w:color w:val="auto"/>
          <w:spacing w:val="3"/>
          <w:lang w:eastAsia="en-US"/>
        </w:rPr>
        <w:t xml:space="preserve"> belirtir.</w:t>
      </w:r>
    </w:p>
    <w:p w14:paraId="4310846A" w14:textId="27BDDF18" w:rsidR="002D7B36" w:rsidRPr="00DE12A3" w:rsidRDefault="00242DA0" w:rsidP="00D27F95">
      <w:pPr>
        <w:spacing w:before="120" w:after="120"/>
        <w:jc w:val="both"/>
        <w:rPr>
          <w:rFonts w:eastAsia="Times New Roman" w:cs="Times New Roman"/>
          <w:color w:val="auto"/>
          <w:spacing w:val="3"/>
          <w:lang w:eastAsia="en-US"/>
        </w:rPr>
      </w:pPr>
      <w:r w:rsidRPr="00DE12A3">
        <w:rPr>
          <w:rFonts w:eastAsia="Times New Roman" w:cs="Times New Roman"/>
          <w:color w:val="auto"/>
          <w:spacing w:val="3"/>
          <w:lang w:eastAsia="en-US"/>
        </w:rPr>
        <w:t xml:space="preserve">Bir motor, </w:t>
      </w:r>
      <w:r w:rsidR="00DE725A" w:rsidRPr="00DE12A3">
        <w:rPr>
          <w:rFonts w:eastAsia="Times New Roman" w:cs="Times New Roman"/>
          <w:color w:val="auto"/>
          <w:spacing w:val="3"/>
          <w:lang w:eastAsia="en-US"/>
        </w:rPr>
        <w:t>4. B</w:t>
      </w:r>
      <w:r w:rsidRPr="00DE12A3">
        <w:rPr>
          <w:rFonts w:eastAsia="Times New Roman" w:cs="Times New Roman"/>
          <w:color w:val="auto"/>
          <w:spacing w:val="3"/>
          <w:lang w:eastAsia="en-US"/>
        </w:rPr>
        <w:t xml:space="preserve">ölümdeki test </w:t>
      </w:r>
      <w:r w:rsidR="0053289F" w:rsidRPr="00DE12A3">
        <w:rPr>
          <w:rFonts w:eastAsia="Times New Roman" w:cs="Times New Roman"/>
          <w:color w:val="auto"/>
          <w:spacing w:val="3"/>
          <w:lang w:eastAsia="en-US"/>
        </w:rPr>
        <w:t>gereklilikleri</w:t>
      </w:r>
      <w:r w:rsidRPr="00DE12A3">
        <w:rPr>
          <w:rFonts w:eastAsia="Times New Roman" w:cs="Times New Roman"/>
          <w:color w:val="auto"/>
          <w:spacing w:val="3"/>
          <w:lang w:eastAsia="en-US"/>
        </w:rPr>
        <w:t>nd</w:t>
      </w:r>
      <w:r w:rsidR="0053289F" w:rsidRPr="00DE12A3">
        <w:rPr>
          <w:rFonts w:eastAsia="Times New Roman" w:cs="Times New Roman"/>
          <w:color w:val="auto"/>
          <w:spacing w:val="3"/>
          <w:lang w:eastAsia="en-US"/>
        </w:rPr>
        <w:t>e</w:t>
      </w:r>
      <w:r w:rsidRPr="00DE12A3">
        <w:rPr>
          <w:rFonts w:eastAsia="Times New Roman" w:cs="Times New Roman"/>
          <w:color w:val="auto"/>
          <w:spacing w:val="3"/>
          <w:lang w:eastAsia="en-US"/>
        </w:rPr>
        <w:t xml:space="preserve"> belirtilen şekilde test edildiğinde, 2. </w:t>
      </w:r>
      <w:r w:rsidR="00B32A92" w:rsidRPr="00DE12A3">
        <w:rPr>
          <w:rFonts w:eastAsia="Times New Roman" w:cs="Times New Roman"/>
          <w:color w:val="auto"/>
          <w:spacing w:val="3"/>
          <w:lang w:eastAsia="en-US"/>
        </w:rPr>
        <w:t>Bölüm</w:t>
      </w:r>
      <w:r w:rsidRPr="00DE12A3">
        <w:rPr>
          <w:rFonts w:eastAsia="Times New Roman" w:cs="Times New Roman"/>
          <w:color w:val="auto"/>
          <w:spacing w:val="3"/>
          <w:lang w:eastAsia="en-US"/>
        </w:rPr>
        <w:t xml:space="preserve">de belirtilen geçerli kontrol alanı içinde rastgele seçilen herhangi bir noktada örneklenen gaz ve </w:t>
      </w:r>
      <w:r w:rsidR="007E2039" w:rsidRPr="00DE12A3">
        <w:rPr>
          <w:rFonts w:eastAsia="Times New Roman" w:cs="Times New Roman"/>
          <w:color w:val="auto"/>
          <w:spacing w:val="3"/>
          <w:lang w:eastAsia="en-US"/>
        </w:rPr>
        <w:t xml:space="preserve">partikül </w:t>
      </w:r>
      <w:r w:rsidRPr="00DE12A3">
        <w:rPr>
          <w:rFonts w:eastAsia="Times New Roman" w:cs="Times New Roman"/>
          <w:color w:val="auto"/>
          <w:spacing w:val="3"/>
          <w:lang w:eastAsia="en-US"/>
        </w:rPr>
        <w:t xml:space="preserve">kirletici </w:t>
      </w:r>
      <w:r w:rsidR="006F6A17" w:rsidRPr="00DE12A3">
        <w:rPr>
          <w:rFonts w:eastAsia="Times New Roman" w:cs="Times New Roman"/>
          <w:color w:val="auto"/>
          <w:spacing w:val="3"/>
          <w:lang w:eastAsia="en-US"/>
        </w:rPr>
        <w:t>emisyonları, 2016</w:t>
      </w:r>
      <w:r w:rsidR="00EE5D5E" w:rsidRPr="00DE12A3">
        <w:rPr>
          <w:rFonts w:eastAsia="Times New Roman" w:cs="Times New Roman"/>
          <w:color w:val="auto"/>
          <w:spacing w:val="3"/>
          <w:lang w:eastAsia="en-US"/>
        </w:rPr>
        <w:t>/1628/AB Yönetmeliği</w:t>
      </w:r>
      <w:r w:rsidR="00DE725A" w:rsidRPr="00DE12A3">
        <w:rPr>
          <w:rFonts w:eastAsia="Times New Roman" w:cs="Times New Roman"/>
          <w:color w:val="auto"/>
          <w:spacing w:val="3"/>
          <w:lang w:eastAsia="en-US"/>
        </w:rPr>
        <w:t>nin</w:t>
      </w:r>
      <w:r w:rsidR="00EE5D5E" w:rsidRPr="00DE12A3">
        <w:rPr>
          <w:rFonts w:eastAsia="Times New Roman" w:cs="Times New Roman"/>
          <w:color w:val="auto"/>
          <w:spacing w:val="3"/>
          <w:lang w:eastAsia="en-US"/>
        </w:rPr>
        <w:t xml:space="preserve"> </w:t>
      </w:r>
      <w:r w:rsidRPr="00DE12A3">
        <w:rPr>
          <w:rFonts w:eastAsia="Times New Roman" w:cs="Times New Roman"/>
          <w:color w:val="auto"/>
          <w:spacing w:val="3"/>
          <w:lang w:eastAsia="en-US"/>
        </w:rPr>
        <w:t>II</w:t>
      </w:r>
      <w:r w:rsidR="006F6A17" w:rsidRPr="00DE12A3">
        <w:rPr>
          <w:rFonts w:eastAsia="Times New Roman" w:cs="Times New Roman"/>
          <w:color w:val="auto"/>
          <w:spacing w:val="3"/>
          <w:lang w:eastAsia="en-US"/>
        </w:rPr>
        <w:t>’</w:t>
      </w:r>
      <w:r w:rsidR="00195051" w:rsidRPr="00DE12A3">
        <w:rPr>
          <w:rFonts w:eastAsia="Times New Roman" w:cs="Times New Roman"/>
          <w:color w:val="auto"/>
          <w:spacing w:val="3"/>
          <w:lang w:eastAsia="en-US"/>
        </w:rPr>
        <w:t>nci</w:t>
      </w:r>
      <w:r w:rsidR="006F6A17" w:rsidRPr="00DE12A3">
        <w:rPr>
          <w:rFonts w:eastAsia="Times New Roman" w:cs="Times New Roman"/>
          <w:color w:val="auto"/>
          <w:spacing w:val="3"/>
          <w:lang w:eastAsia="en-US"/>
        </w:rPr>
        <w:t xml:space="preserve"> </w:t>
      </w:r>
      <w:r w:rsidR="00EC3EF0" w:rsidRPr="00DE12A3">
        <w:rPr>
          <w:rFonts w:eastAsia="Times New Roman" w:cs="Times New Roman"/>
          <w:color w:val="auto"/>
          <w:spacing w:val="3"/>
          <w:lang w:eastAsia="en-US"/>
        </w:rPr>
        <w:t>Ekinde</w:t>
      </w:r>
      <w:r w:rsidRPr="00DE12A3">
        <w:rPr>
          <w:rFonts w:eastAsia="Times New Roman" w:cs="Times New Roman"/>
          <w:color w:val="auto"/>
          <w:spacing w:val="3"/>
          <w:lang w:eastAsia="en-US"/>
        </w:rPr>
        <w:t>ki geçerli emisyon sınır değerlerini 2 katı olacak şekilde aşmamalıdır.</w:t>
      </w:r>
    </w:p>
    <w:p w14:paraId="6BB4BCA2" w14:textId="3A2464ED" w:rsidR="002D7B36" w:rsidRPr="00DE12A3" w:rsidRDefault="00242DA0" w:rsidP="00D27F95">
      <w:pPr>
        <w:spacing w:before="120" w:after="120"/>
        <w:jc w:val="both"/>
        <w:rPr>
          <w:rFonts w:eastAsia="Times New Roman" w:cs="Times New Roman"/>
          <w:color w:val="auto"/>
          <w:spacing w:val="3"/>
          <w:lang w:eastAsia="en-US"/>
        </w:rPr>
      </w:pPr>
      <w:r w:rsidRPr="00DE12A3">
        <w:rPr>
          <w:rFonts w:eastAsia="Times New Roman" w:cs="Times New Roman"/>
          <w:color w:val="auto"/>
          <w:spacing w:val="3"/>
          <w:lang w:eastAsia="en-US"/>
        </w:rPr>
        <w:t xml:space="preserve">3. </w:t>
      </w:r>
      <w:r w:rsidR="00B32A92" w:rsidRPr="00DE12A3">
        <w:rPr>
          <w:rFonts w:eastAsia="Times New Roman" w:cs="Times New Roman"/>
          <w:color w:val="auto"/>
          <w:spacing w:val="3"/>
          <w:lang w:eastAsia="en-US"/>
        </w:rPr>
        <w:t>Bölüm</w:t>
      </w:r>
      <w:r w:rsidRPr="00DE12A3">
        <w:rPr>
          <w:rFonts w:eastAsia="Times New Roman" w:cs="Times New Roman"/>
          <w:color w:val="auto"/>
          <w:spacing w:val="3"/>
          <w:lang w:eastAsia="en-US"/>
        </w:rPr>
        <w:t xml:space="preserve">, bu </w:t>
      </w:r>
      <w:r w:rsidR="00DE725A" w:rsidRPr="00DE12A3">
        <w:rPr>
          <w:rFonts w:eastAsia="Times New Roman" w:cs="Times New Roman"/>
          <w:color w:val="auto"/>
          <w:spacing w:val="3"/>
          <w:lang w:eastAsia="en-US"/>
        </w:rPr>
        <w:t>B</w:t>
      </w:r>
      <w:r w:rsidRPr="00DE12A3">
        <w:rPr>
          <w:rFonts w:eastAsia="Times New Roman" w:cs="Times New Roman"/>
          <w:color w:val="auto"/>
          <w:spacing w:val="3"/>
          <w:lang w:eastAsia="en-US"/>
        </w:rPr>
        <w:t xml:space="preserve">ölümün </w:t>
      </w:r>
      <w:r w:rsidR="0053289F" w:rsidRPr="00DE12A3">
        <w:rPr>
          <w:rFonts w:eastAsia="Times New Roman" w:cs="Times New Roman"/>
          <w:color w:val="auto"/>
          <w:spacing w:val="3"/>
          <w:lang w:eastAsia="en-US"/>
        </w:rPr>
        <w:t>gerekliliklerini</w:t>
      </w:r>
      <w:r w:rsidRPr="00DE12A3">
        <w:rPr>
          <w:rFonts w:eastAsia="Times New Roman" w:cs="Times New Roman"/>
          <w:color w:val="auto"/>
          <w:spacing w:val="3"/>
          <w:lang w:eastAsia="en-US"/>
        </w:rPr>
        <w:t xml:space="preserve">n sağlandığını ispat etmek amacıyla, emisyon </w:t>
      </w:r>
      <w:r w:rsidR="006F6A17" w:rsidRPr="00DE12A3">
        <w:rPr>
          <w:rFonts w:eastAsia="Times New Roman" w:cs="Times New Roman"/>
          <w:color w:val="auto"/>
          <w:spacing w:val="3"/>
          <w:lang w:eastAsia="en-US"/>
        </w:rPr>
        <w:t>tezgâhı</w:t>
      </w:r>
      <w:r w:rsidRPr="00DE12A3">
        <w:rPr>
          <w:rFonts w:eastAsia="Times New Roman" w:cs="Times New Roman"/>
          <w:color w:val="auto"/>
          <w:spacing w:val="3"/>
          <w:lang w:eastAsia="en-US"/>
        </w:rPr>
        <w:t xml:space="preserve"> testi sırasında teknik servisi tarafından kontrol alanı içinden ek ölçüm noktaları seçilmesini düzenlemektedir.</w:t>
      </w:r>
    </w:p>
    <w:p w14:paraId="0FB582CC" w14:textId="5ABF4975" w:rsidR="002D7B36" w:rsidRPr="00DE12A3" w:rsidRDefault="00313CC8" w:rsidP="00D27F95">
      <w:pPr>
        <w:spacing w:before="120" w:after="120"/>
        <w:jc w:val="both"/>
        <w:rPr>
          <w:rFonts w:eastAsia="Times New Roman" w:cs="Times New Roman"/>
          <w:color w:val="auto"/>
          <w:spacing w:val="3"/>
          <w:lang w:eastAsia="en-US"/>
        </w:rPr>
      </w:pPr>
      <w:r>
        <w:rPr>
          <w:rFonts w:eastAsia="Times New Roman" w:cs="Times New Roman"/>
          <w:b/>
          <w:color w:val="auto"/>
          <w:spacing w:val="3"/>
          <w:lang w:eastAsia="en-US"/>
        </w:rPr>
        <w:t>(Değişik paragraf</w:t>
      </w:r>
      <w:r w:rsidRPr="00313CC8">
        <w:rPr>
          <w:rFonts w:eastAsia="Times New Roman" w:cs="Times New Roman"/>
          <w:b/>
          <w:color w:val="auto"/>
          <w:spacing w:val="3"/>
          <w:lang w:eastAsia="en-US"/>
        </w:rPr>
        <w:t>:RG-27/9/2022-31966)</w:t>
      </w:r>
      <w:r w:rsidRPr="00313CC8">
        <w:rPr>
          <w:rFonts w:eastAsia="Times New Roman" w:cs="Times New Roman"/>
          <w:b/>
          <w:color w:val="auto"/>
          <w:spacing w:val="3"/>
          <w:vertAlign w:val="superscript"/>
          <w:lang w:eastAsia="en-US"/>
        </w:rPr>
        <w:t xml:space="preserve">(Bu değişiklik 1/10/2022 tarihinde yürürlüğe girer.) </w:t>
      </w:r>
      <w:r w:rsidRPr="00313CC8">
        <w:rPr>
          <w:rFonts w:eastAsia="Times New Roman" w:cs="Times New Roman"/>
          <w:color w:val="auto"/>
          <w:spacing w:val="3"/>
          <w:lang w:eastAsia="en-US"/>
        </w:rPr>
        <w:t>İmalatçı, 3. Bölümde belirtilen ispat sırasında teknik servisin, 2. Bölümde belirtilen kontrol alanlarından herhangi birinin çalışma noktalarını hariç tutmasını talep edebilir. İmalatçı, herhangi bir karayolu dışında kullanılan hareketli makina birleşiminde kullanıldığında, motorun bu tür noktalarda asla çalışamayacağını ispatlayabilirse, teknik servis onay kuruluşunun mutabakatı üzerine bu hariç tutma talebini kabul eder.</w:t>
      </w:r>
    </w:p>
    <w:p w14:paraId="41678DF9" w14:textId="64F5C929" w:rsidR="002D7B36" w:rsidRPr="00DE12A3" w:rsidRDefault="00242DA0" w:rsidP="00D27F95">
      <w:pPr>
        <w:spacing w:before="120" w:after="120"/>
        <w:jc w:val="both"/>
        <w:rPr>
          <w:rFonts w:eastAsia="Times New Roman" w:cs="Times New Roman"/>
          <w:color w:val="auto"/>
          <w:spacing w:val="3"/>
          <w:lang w:eastAsia="en-US"/>
        </w:rPr>
      </w:pPr>
      <w:r w:rsidRPr="00DE12A3">
        <w:rPr>
          <w:rFonts w:eastAsia="Times New Roman" w:cs="Times New Roman"/>
          <w:color w:val="auto"/>
          <w:spacing w:val="3"/>
          <w:lang w:eastAsia="en-US"/>
        </w:rPr>
        <w:t>İmalatçı tarafından OEM’e</w:t>
      </w:r>
      <w:r w:rsidR="00E266F7" w:rsidRPr="00DE12A3">
        <w:rPr>
          <w:rFonts w:eastAsia="Times New Roman" w:cs="Times New Roman"/>
          <w:color w:val="auto"/>
          <w:spacing w:val="3"/>
          <w:lang w:eastAsia="en-US"/>
        </w:rPr>
        <w:t xml:space="preserve"> bu Tebliğin XIV’üncü</w:t>
      </w:r>
      <w:r w:rsidRPr="00DE12A3">
        <w:rPr>
          <w:rFonts w:eastAsia="Times New Roman" w:cs="Times New Roman"/>
          <w:color w:val="auto"/>
          <w:spacing w:val="3"/>
          <w:lang w:eastAsia="en-US"/>
        </w:rPr>
        <w:t xml:space="preserve"> Ek</w:t>
      </w:r>
      <w:r w:rsidR="00E266F7" w:rsidRPr="00DE12A3">
        <w:rPr>
          <w:rFonts w:eastAsia="Times New Roman" w:cs="Times New Roman"/>
          <w:color w:val="auto"/>
          <w:spacing w:val="3"/>
          <w:lang w:eastAsia="en-US"/>
        </w:rPr>
        <w:t>i</w:t>
      </w:r>
      <w:r w:rsidRPr="00DE12A3">
        <w:rPr>
          <w:rFonts w:eastAsia="Times New Roman" w:cs="Times New Roman"/>
          <w:color w:val="auto"/>
          <w:spacing w:val="3"/>
          <w:lang w:eastAsia="en-US"/>
        </w:rPr>
        <w:t xml:space="preserve"> uyarınca sağlanan montaj talimatları, geçerli kontrol alanının üst ve alt sınırlarını tanımlamalı ve OEM’in motoru, sadece onaylanmış motor tipine veya motor ailesine karşılık gelen tork eğrisi için kontrol alanı dışındaki devir ve tork kombinasyonlarında kalıcı olarak çalışmakla sınırlandıracak bir şekilde monte etmeyeceğini netleştirmeye yönelik bir ifade içermelidir.</w:t>
      </w:r>
    </w:p>
    <w:p w14:paraId="3CBE5656" w14:textId="1EC84D2C" w:rsidR="002D7B36" w:rsidRPr="00DE12A3" w:rsidRDefault="00D27F95" w:rsidP="00D27F95">
      <w:pPr>
        <w:spacing w:before="120" w:after="120"/>
        <w:jc w:val="both"/>
        <w:rPr>
          <w:rFonts w:cs="Times New Roman"/>
          <w:b/>
          <w:bCs/>
          <w:color w:val="auto"/>
        </w:rPr>
      </w:pPr>
      <w:r w:rsidRPr="00DE12A3">
        <w:rPr>
          <w:rFonts w:cs="Times New Roman"/>
          <w:b/>
          <w:bCs/>
          <w:color w:val="auto"/>
        </w:rPr>
        <w:t xml:space="preserve">2. </w:t>
      </w:r>
      <w:r w:rsidR="00242DA0" w:rsidRPr="00DE12A3">
        <w:rPr>
          <w:rFonts w:cs="Times New Roman"/>
          <w:b/>
          <w:bCs/>
          <w:color w:val="auto"/>
        </w:rPr>
        <w:t>Motor kontrol alanı</w:t>
      </w:r>
    </w:p>
    <w:p w14:paraId="6D02E2A7" w14:textId="443310EC" w:rsidR="00176B16" w:rsidRPr="00DE12A3" w:rsidRDefault="00176B16" w:rsidP="00D27F95">
      <w:pPr>
        <w:spacing w:before="120" w:after="120"/>
        <w:jc w:val="both"/>
        <w:rPr>
          <w:rFonts w:eastAsia="Times New Roman" w:cs="Times New Roman"/>
          <w:color w:val="auto"/>
          <w:spacing w:val="3"/>
          <w:lang w:eastAsia="en-US"/>
        </w:rPr>
      </w:pPr>
      <w:r w:rsidRPr="00DE12A3">
        <w:rPr>
          <w:rFonts w:eastAsia="Times New Roman" w:cs="Times New Roman"/>
          <w:color w:val="auto"/>
          <w:spacing w:val="3"/>
          <w:lang w:eastAsia="en-US"/>
        </w:rPr>
        <w:t xml:space="preserve">Motor testini gerçekleştirmek için geçerli kontrol alanı, bu </w:t>
      </w:r>
      <w:r w:rsidR="00B32A92" w:rsidRPr="00DE12A3">
        <w:rPr>
          <w:rFonts w:eastAsia="Times New Roman" w:cs="Times New Roman"/>
          <w:color w:val="auto"/>
          <w:spacing w:val="3"/>
          <w:lang w:eastAsia="en-US"/>
        </w:rPr>
        <w:t>Bölüm</w:t>
      </w:r>
      <w:r w:rsidRPr="00DE12A3">
        <w:rPr>
          <w:rFonts w:eastAsia="Times New Roman" w:cs="Times New Roman"/>
          <w:color w:val="auto"/>
          <w:spacing w:val="3"/>
          <w:lang w:eastAsia="en-US"/>
        </w:rPr>
        <w:t>de tanımlanan, test edilen motor için geçerli NRSC'ye karşılık gelen alan olmalıdır.</w:t>
      </w:r>
    </w:p>
    <w:p w14:paraId="22BE1077" w14:textId="5D2FF7A8" w:rsidR="002D7B36" w:rsidRPr="00DE12A3" w:rsidRDefault="00242DA0" w:rsidP="00C917D6">
      <w:pPr>
        <w:spacing w:before="120" w:after="120"/>
        <w:ind w:left="1134" w:hanging="1134"/>
        <w:jc w:val="both"/>
        <w:rPr>
          <w:rFonts w:eastAsia="Times New Roman" w:cs="Times New Roman"/>
          <w:bCs/>
          <w:color w:val="auto"/>
          <w:spacing w:val="3"/>
          <w:lang w:eastAsia="en-US"/>
        </w:rPr>
      </w:pPr>
      <w:r w:rsidRPr="00DE12A3">
        <w:rPr>
          <w:rFonts w:eastAsia="Times New Roman" w:cs="Times New Roman"/>
          <w:bCs/>
          <w:color w:val="auto"/>
          <w:spacing w:val="3"/>
          <w:lang w:eastAsia="en-US"/>
        </w:rPr>
        <w:t>2.1</w:t>
      </w:r>
      <w:r w:rsidR="00D27F95" w:rsidRPr="00DE12A3">
        <w:rPr>
          <w:rFonts w:eastAsia="Times New Roman" w:cs="Times New Roman"/>
          <w:bCs/>
          <w:color w:val="auto"/>
          <w:spacing w:val="3"/>
          <w:lang w:eastAsia="en-US"/>
        </w:rPr>
        <w:t>.</w:t>
      </w:r>
      <w:r w:rsidRPr="00DE12A3">
        <w:rPr>
          <w:rFonts w:eastAsia="Times New Roman" w:cs="Times New Roman"/>
          <w:bCs/>
          <w:color w:val="auto"/>
          <w:spacing w:val="3"/>
          <w:lang w:eastAsia="en-US"/>
        </w:rPr>
        <w:t xml:space="preserve"> NRSC </w:t>
      </w:r>
      <w:r w:rsidR="006F6A17" w:rsidRPr="00DE12A3">
        <w:rPr>
          <w:rFonts w:eastAsia="Times New Roman" w:cs="Times New Roman"/>
          <w:bCs/>
          <w:color w:val="auto"/>
          <w:spacing w:val="3"/>
          <w:lang w:eastAsia="en-US"/>
        </w:rPr>
        <w:t>çevrimi C</w:t>
      </w:r>
      <w:r w:rsidRPr="00DE12A3">
        <w:rPr>
          <w:rFonts w:eastAsia="Times New Roman" w:cs="Times New Roman"/>
          <w:bCs/>
          <w:color w:val="auto"/>
          <w:spacing w:val="3"/>
          <w:lang w:eastAsia="en-US"/>
        </w:rPr>
        <w:t>1'de test edilen motorlar için kontrol alanı</w:t>
      </w:r>
    </w:p>
    <w:p w14:paraId="708A5901" w14:textId="77777777" w:rsidR="002D7B36" w:rsidRPr="00DE12A3" w:rsidRDefault="00242DA0" w:rsidP="00D27F95">
      <w:pPr>
        <w:spacing w:before="120" w:after="120"/>
        <w:jc w:val="both"/>
        <w:rPr>
          <w:rFonts w:eastAsia="Times New Roman" w:cs="Times New Roman"/>
          <w:color w:val="auto"/>
          <w:spacing w:val="3"/>
          <w:lang w:eastAsia="en-US"/>
        </w:rPr>
      </w:pPr>
      <w:r w:rsidRPr="00DE12A3">
        <w:rPr>
          <w:rFonts w:eastAsia="Times New Roman" w:cs="Times New Roman"/>
          <w:color w:val="auto"/>
          <w:spacing w:val="3"/>
          <w:lang w:eastAsia="en-US"/>
        </w:rPr>
        <w:t>Bu motorlar değişken devir ve yük ile çalışır. Motor (alt) kategorisine ve çalışma devrine bağlı olarak farklı kontrol alanı istisnaları uygulanır.</w:t>
      </w:r>
    </w:p>
    <w:p w14:paraId="068568EA" w14:textId="2A5F6CF6" w:rsidR="002D7B36" w:rsidRPr="00DE12A3" w:rsidRDefault="00D27F95" w:rsidP="00D27F95">
      <w:pPr>
        <w:spacing w:before="120" w:after="120"/>
        <w:jc w:val="both"/>
        <w:rPr>
          <w:rFonts w:eastAsia="Times New Roman" w:cs="Times New Roman"/>
          <w:color w:val="auto"/>
          <w:spacing w:val="4"/>
          <w:lang w:eastAsia="en-US"/>
        </w:rPr>
      </w:pPr>
      <w:r w:rsidRPr="00DE12A3">
        <w:rPr>
          <w:rFonts w:eastAsia="Times New Roman" w:cs="Times New Roman"/>
          <w:color w:val="auto"/>
          <w:spacing w:val="4"/>
          <w:lang w:eastAsia="en-US"/>
        </w:rPr>
        <w:t>2.1.1.</w:t>
      </w:r>
      <w:r w:rsidR="00176B16" w:rsidRPr="00DE12A3">
        <w:rPr>
          <w:rFonts w:eastAsia="Times New Roman" w:cs="Times New Roman"/>
          <w:color w:val="auto"/>
          <w:spacing w:val="4"/>
          <w:lang w:eastAsia="en-US"/>
        </w:rPr>
        <w:t xml:space="preserve"> </w:t>
      </w:r>
      <w:r w:rsidR="00242DA0" w:rsidRPr="00DE12A3">
        <w:rPr>
          <w:rFonts w:eastAsia="Times New Roman" w:cs="Times New Roman"/>
          <w:color w:val="auto"/>
          <w:spacing w:val="4"/>
          <w:lang w:eastAsia="en-US"/>
        </w:rPr>
        <w:t>Azami net gücü ≥19 kW olan NRE kategorisindeki değişken devirli motorlar, azami net gücü ≥300 kW olan IWA kategorisindeki değişken devirli motorlar, RLR kategorisindeki değişken devirli motorlar ve NRG kategorisindeki değişken devirli motorlar.</w:t>
      </w:r>
    </w:p>
    <w:p w14:paraId="47167BB3" w14:textId="1EF2BC3C" w:rsidR="002D7B36" w:rsidRPr="00DE12A3" w:rsidRDefault="00242DA0" w:rsidP="00C917D6">
      <w:pPr>
        <w:spacing w:before="120" w:after="120"/>
        <w:ind w:left="1134" w:hanging="1134"/>
        <w:jc w:val="both"/>
        <w:rPr>
          <w:rFonts w:eastAsia="Times New Roman" w:cs="Times New Roman"/>
          <w:color w:val="auto"/>
          <w:spacing w:val="4"/>
          <w:lang w:eastAsia="en-US"/>
        </w:rPr>
      </w:pPr>
      <w:r w:rsidRPr="00DE12A3">
        <w:rPr>
          <w:rFonts w:eastAsia="Times New Roman" w:cs="Times New Roman"/>
          <w:color w:val="auto"/>
          <w:spacing w:val="4"/>
          <w:lang w:eastAsia="en-US"/>
        </w:rPr>
        <w:t>Kontrol alanı (bkz. Şekil 5.1) aşağıdaki şekilde tanımlanmıştır:</w:t>
      </w:r>
    </w:p>
    <w:p w14:paraId="44945FB0" w14:textId="761CFE34" w:rsidR="002D7B36" w:rsidRPr="00DE12A3" w:rsidRDefault="00FD681E" w:rsidP="00C917D6">
      <w:pPr>
        <w:spacing w:before="120" w:after="120"/>
        <w:ind w:left="1134"/>
        <w:jc w:val="both"/>
        <w:rPr>
          <w:rFonts w:eastAsia="Times New Roman" w:cs="Times New Roman"/>
          <w:color w:val="auto"/>
          <w:spacing w:val="4"/>
          <w:lang w:eastAsia="en-US"/>
        </w:rPr>
      </w:pPr>
      <w:r w:rsidRPr="00DE12A3">
        <w:rPr>
          <w:rFonts w:eastAsia="Times New Roman" w:cs="Times New Roman"/>
          <w:color w:val="auto"/>
          <w:spacing w:val="4"/>
          <w:lang w:eastAsia="en-US"/>
        </w:rPr>
        <w:t>Üsttork</w:t>
      </w:r>
      <w:r w:rsidR="00242DA0" w:rsidRPr="00DE12A3">
        <w:rPr>
          <w:rFonts w:eastAsia="Times New Roman" w:cs="Times New Roman"/>
          <w:color w:val="auto"/>
          <w:spacing w:val="4"/>
          <w:lang w:eastAsia="en-US"/>
        </w:rPr>
        <w:t xml:space="preserve"> sınırı: tam yük tork eğrisi</w:t>
      </w:r>
      <w:r w:rsidR="00E266F7" w:rsidRPr="00DE12A3">
        <w:rPr>
          <w:rFonts w:eastAsia="Times New Roman" w:cs="Times New Roman"/>
          <w:color w:val="auto"/>
          <w:spacing w:val="4"/>
          <w:lang w:eastAsia="en-US"/>
        </w:rPr>
        <w:t>.</w:t>
      </w:r>
    </w:p>
    <w:p w14:paraId="0B27BEBA" w14:textId="5151143D" w:rsidR="002D7B36" w:rsidRPr="00DE12A3" w:rsidRDefault="00FD681E" w:rsidP="00C917D6">
      <w:pPr>
        <w:spacing w:before="120" w:after="120"/>
        <w:ind w:left="1134"/>
        <w:jc w:val="both"/>
        <w:rPr>
          <w:rFonts w:eastAsia="Times New Roman" w:cs="Times New Roman"/>
          <w:color w:val="auto"/>
          <w:spacing w:val="4"/>
          <w:lang w:eastAsia="en-US"/>
        </w:rPr>
      </w:pPr>
      <w:r w:rsidRPr="00DE12A3">
        <w:rPr>
          <w:rFonts w:eastAsia="Times New Roman" w:cs="Times New Roman"/>
          <w:color w:val="auto"/>
          <w:spacing w:val="4"/>
          <w:lang w:eastAsia="en-US"/>
        </w:rPr>
        <w:t>Devir</w:t>
      </w:r>
      <w:r w:rsidR="00242DA0" w:rsidRPr="00DE12A3">
        <w:rPr>
          <w:rFonts w:eastAsia="Times New Roman" w:cs="Times New Roman"/>
          <w:color w:val="auto"/>
          <w:spacing w:val="4"/>
          <w:lang w:eastAsia="en-US"/>
        </w:rPr>
        <w:t xml:space="preserve"> aralığı: A'dan nhi'ye kadar olan devir</w:t>
      </w:r>
      <w:r w:rsidR="00E266F7" w:rsidRPr="00DE12A3">
        <w:rPr>
          <w:rFonts w:eastAsia="Times New Roman" w:cs="Times New Roman"/>
          <w:color w:val="auto"/>
          <w:spacing w:val="4"/>
          <w:lang w:eastAsia="en-US"/>
        </w:rPr>
        <w:t>.</w:t>
      </w:r>
    </w:p>
    <w:p w14:paraId="0ECCAC9B" w14:textId="77777777" w:rsidR="002D7B36" w:rsidRPr="00DE12A3" w:rsidRDefault="006F6A17" w:rsidP="00C917D6">
      <w:pPr>
        <w:spacing w:before="120" w:after="120"/>
        <w:ind w:left="1134"/>
        <w:jc w:val="both"/>
        <w:rPr>
          <w:rFonts w:eastAsia="Times New Roman" w:cs="Times New Roman"/>
          <w:color w:val="auto"/>
          <w:spacing w:val="4"/>
          <w:lang w:eastAsia="en-US"/>
        </w:rPr>
      </w:pPr>
      <w:r w:rsidRPr="00DE12A3">
        <w:rPr>
          <w:rFonts w:eastAsia="Times New Roman" w:cs="Times New Roman"/>
          <w:color w:val="auto"/>
          <w:spacing w:val="4"/>
          <w:lang w:eastAsia="en-US"/>
        </w:rPr>
        <w:lastRenderedPageBreak/>
        <w:t>B</w:t>
      </w:r>
      <w:r w:rsidR="00242DA0" w:rsidRPr="00DE12A3">
        <w:rPr>
          <w:rFonts w:eastAsia="Times New Roman" w:cs="Times New Roman"/>
          <w:color w:val="auto"/>
          <w:spacing w:val="4"/>
          <w:lang w:eastAsia="en-US"/>
        </w:rPr>
        <w:t>urada:</w:t>
      </w:r>
    </w:p>
    <w:p w14:paraId="5D067147" w14:textId="2E825209" w:rsidR="002D7B36" w:rsidRPr="00DE12A3" w:rsidRDefault="00FD681E" w:rsidP="00C917D6">
      <w:pPr>
        <w:spacing w:before="120" w:after="120"/>
        <w:ind w:left="1134"/>
        <w:jc w:val="both"/>
        <w:rPr>
          <w:rFonts w:eastAsia="Times New Roman" w:cs="Times New Roman"/>
          <w:color w:val="auto"/>
          <w:spacing w:val="4"/>
          <w:lang w:eastAsia="en-US"/>
        </w:rPr>
      </w:pPr>
      <w:r w:rsidRPr="00DE12A3">
        <w:rPr>
          <w:rFonts w:eastAsia="Times New Roman" w:cs="Times New Roman"/>
          <w:color w:val="auto"/>
          <w:spacing w:val="4"/>
          <w:lang w:eastAsia="en-US"/>
        </w:rPr>
        <w:t>Devir</w:t>
      </w:r>
      <w:r w:rsidR="00242DA0" w:rsidRPr="00DE12A3">
        <w:rPr>
          <w:rFonts w:eastAsia="Times New Roman" w:cs="Times New Roman"/>
          <w:color w:val="auto"/>
          <w:spacing w:val="4"/>
          <w:lang w:eastAsia="en-US"/>
        </w:rPr>
        <w:t xml:space="preserve"> A = </w:t>
      </w:r>
      <w:r w:rsidR="00242DA0" w:rsidRPr="00DE12A3">
        <w:rPr>
          <w:rFonts w:eastAsia="Times New Roman" w:cs="Times New Roman"/>
          <w:i/>
          <w:iCs/>
          <w:color w:val="auto"/>
          <w:spacing w:val="2"/>
          <w:shd w:val="clear" w:color="auto" w:fill="FFFFFF"/>
          <w:lang w:eastAsia="en-US"/>
        </w:rPr>
        <w:t>n</w:t>
      </w:r>
      <w:r w:rsidR="00242DA0" w:rsidRPr="00DE12A3">
        <w:rPr>
          <w:rFonts w:eastAsia="Times New Roman" w:cs="Times New Roman"/>
          <w:i/>
          <w:iCs/>
          <w:color w:val="auto"/>
          <w:spacing w:val="2"/>
          <w:shd w:val="clear" w:color="auto" w:fill="FFFFFF"/>
          <w:vertAlign w:val="subscript"/>
          <w:lang w:eastAsia="en-US"/>
        </w:rPr>
        <w:t>lo</w:t>
      </w:r>
      <w:r w:rsidR="00242DA0" w:rsidRPr="00DE12A3">
        <w:rPr>
          <w:rFonts w:eastAsia="Times New Roman" w:cs="Times New Roman"/>
          <w:color w:val="auto"/>
          <w:spacing w:val="4"/>
          <w:lang w:eastAsia="en-US"/>
        </w:rPr>
        <w:t>+ 0,15 x (n</w:t>
      </w:r>
      <w:r w:rsidR="00242DA0" w:rsidRPr="00DE12A3">
        <w:rPr>
          <w:rFonts w:eastAsia="Times New Roman" w:cs="Times New Roman"/>
          <w:i/>
          <w:iCs/>
          <w:color w:val="auto"/>
          <w:spacing w:val="2"/>
          <w:shd w:val="clear" w:color="auto" w:fill="FFFFFF"/>
          <w:vertAlign w:val="subscript"/>
          <w:lang w:eastAsia="en-US"/>
        </w:rPr>
        <w:t>hi</w:t>
      </w:r>
      <w:r w:rsidR="00242DA0" w:rsidRPr="00DE12A3">
        <w:rPr>
          <w:rFonts w:eastAsia="Times New Roman" w:cs="Times New Roman"/>
          <w:color w:val="auto"/>
          <w:spacing w:val="4"/>
          <w:lang w:eastAsia="en-US"/>
        </w:rPr>
        <w:t>–n</w:t>
      </w:r>
      <w:r w:rsidR="00242DA0" w:rsidRPr="00DE12A3">
        <w:rPr>
          <w:rFonts w:eastAsia="Times New Roman" w:cs="Times New Roman"/>
          <w:color w:val="auto"/>
          <w:spacing w:val="4"/>
          <w:vertAlign w:val="subscript"/>
          <w:lang w:eastAsia="en-US"/>
        </w:rPr>
        <w:t>lo</w:t>
      </w:r>
      <w:r w:rsidR="00242DA0" w:rsidRPr="00DE12A3">
        <w:rPr>
          <w:rFonts w:eastAsia="Times New Roman" w:cs="Times New Roman"/>
          <w:color w:val="auto"/>
          <w:spacing w:val="4"/>
          <w:lang w:eastAsia="en-US"/>
        </w:rPr>
        <w:t>)</w:t>
      </w:r>
      <w:r w:rsidR="00E266F7" w:rsidRPr="00DE12A3">
        <w:rPr>
          <w:rFonts w:eastAsia="Times New Roman" w:cs="Times New Roman"/>
          <w:color w:val="auto"/>
          <w:spacing w:val="4"/>
          <w:lang w:eastAsia="en-US"/>
        </w:rPr>
        <w:t>.</w:t>
      </w:r>
    </w:p>
    <w:p w14:paraId="5B3488C2" w14:textId="5891EFFF" w:rsidR="002D7B36" w:rsidRPr="00DE12A3" w:rsidRDefault="00242DA0" w:rsidP="00C917D6">
      <w:pPr>
        <w:spacing w:before="120" w:after="120"/>
        <w:ind w:left="1134"/>
        <w:jc w:val="both"/>
        <w:rPr>
          <w:rFonts w:eastAsia="Times New Roman" w:cs="Times New Roman"/>
          <w:color w:val="auto"/>
          <w:spacing w:val="4"/>
          <w:lang w:eastAsia="en-US"/>
        </w:rPr>
      </w:pPr>
      <w:r w:rsidRPr="00DE12A3">
        <w:rPr>
          <w:rFonts w:eastAsia="Times New Roman" w:cs="Times New Roman"/>
          <w:color w:val="auto"/>
          <w:spacing w:val="4"/>
          <w:lang w:eastAsia="en-US"/>
        </w:rPr>
        <w:t>n</w:t>
      </w:r>
      <w:r w:rsidRPr="00DE12A3">
        <w:rPr>
          <w:rFonts w:eastAsia="Times New Roman" w:cs="Times New Roman"/>
          <w:i/>
          <w:iCs/>
          <w:color w:val="auto"/>
          <w:spacing w:val="2"/>
          <w:shd w:val="clear" w:color="auto" w:fill="FFFFFF"/>
          <w:vertAlign w:val="subscript"/>
          <w:lang w:eastAsia="en-US"/>
        </w:rPr>
        <w:t>hi</w:t>
      </w:r>
      <w:r w:rsidRPr="00DE12A3">
        <w:rPr>
          <w:rFonts w:eastAsia="Times New Roman" w:cs="Times New Roman"/>
          <w:color w:val="auto"/>
          <w:spacing w:val="4"/>
          <w:lang w:eastAsia="en-US"/>
        </w:rPr>
        <w:t xml:space="preserve">= </w:t>
      </w:r>
      <w:r w:rsidR="00B172A8" w:rsidRPr="00DE12A3">
        <w:rPr>
          <w:rFonts w:eastAsia="Times New Roman" w:cs="Times New Roman"/>
          <w:color w:val="auto"/>
          <w:spacing w:val="4"/>
          <w:lang w:eastAsia="en-US"/>
        </w:rPr>
        <w:t xml:space="preserve">Yüksek </w:t>
      </w:r>
      <w:r w:rsidRPr="00DE12A3">
        <w:rPr>
          <w:rFonts w:eastAsia="Times New Roman" w:cs="Times New Roman"/>
          <w:color w:val="auto"/>
          <w:spacing w:val="4"/>
          <w:lang w:eastAsia="en-US"/>
        </w:rPr>
        <w:t>devir</w:t>
      </w:r>
      <w:r w:rsidR="00E266F7" w:rsidRPr="00DE12A3">
        <w:rPr>
          <w:rFonts w:eastAsia="Times New Roman" w:cs="Times New Roman"/>
          <w:color w:val="auto"/>
          <w:spacing w:val="4"/>
          <w:lang w:eastAsia="en-US"/>
        </w:rPr>
        <w:t>.</w:t>
      </w:r>
    </w:p>
    <w:p w14:paraId="096F5DC3" w14:textId="71B0E379" w:rsidR="002D7B36" w:rsidRPr="00DE12A3" w:rsidRDefault="00242DA0" w:rsidP="00C917D6">
      <w:pPr>
        <w:spacing w:before="120" w:after="120"/>
        <w:ind w:left="1134"/>
        <w:jc w:val="both"/>
        <w:rPr>
          <w:rFonts w:eastAsia="Times New Roman" w:cs="Times New Roman"/>
          <w:color w:val="auto"/>
          <w:spacing w:val="4"/>
          <w:lang w:eastAsia="en-US"/>
        </w:rPr>
      </w:pPr>
      <w:r w:rsidRPr="00DE12A3">
        <w:rPr>
          <w:rFonts w:eastAsia="Times New Roman" w:cs="Times New Roman"/>
          <w:i/>
          <w:iCs/>
          <w:color w:val="auto"/>
          <w:spacing w:val="2"/>
          <w:shd w:val="clear" w:color="auto" w:fill="FFFFFF"/>
          <w:lang w:eastAsia="en-US"/>
        </w:rPr>
        <w:t>n</w:t>
      </w:r>
      <w:r w:rsidRPr="00DE12A3">
        <w:rPr>
          <w:rFonts w:eastAsia="Times New Roman" w:cs="Times New Roman"/>
          <w:i/>
          <w:iCs/>
          <w:color w:val="auto"/>
          <w:spacing w:val="2"/>
          <w:shd w:val="clear" w:color="auto" w:fill="FFFFFF"/>
          <w:vertAlign w:val="subscript"/>
          <w:lang w:eastAsia="en-US"/>
        </w:rPr>
        <w:t>lo</w:t>
      </w:r>
      <w:r w:rsidRPr="00DE12A3">
        <w:rPr>
          <w:rFonts w:eastAsia="Times New Roman" w:cs="Times New Roman"/>
          <w:color w:val="auto"/>
          <w:spacing w:val="4"/>
          <w:lang w:eastAsia="en-US"/>
        </w:rPr>
        <w:t xml:space="preserve">= </w:t>
      </w:r>
      <w:r w:rsidR="00B172A8" w:rsidRPr="00DE12A3">
        <w:rPr>
          <w:rFonts w:eastAsia="Times New Roman" w:cs="Times New Roman"/>
          <w:color w:val="auto"/>
          <w:spacing w:val="4"/>
          <w:lang w:eastAsia="en-US"/>
        </w:rPr>
        <w:t xml:space="preserve">Düşük </w:t>
      </w:r>
      <w:r w:rsidRPr="00DE12A3">
        <w:rPr>
          <w:rFonts w:eastAsia="Times New Roman" w:cs="Times New Roman"/>
          <w:color w:val="auto"/>
          <w:spacing w:val="4"/>
          <w:lang w:eastAsia="en-US"/>
        </w:rPr>
        <w:t>devir.</w:t>
      </w:r>
    </w:p>
    <w:p w14:paraId="106CA8CE" w14:textId="77777777" w:rsidR="002D7B36" w:rsidRPr="00DE12A3" w:rsidRDefault="00242DA0" w:rsidP="00C917D6">
      <w:pPr>
        <w:spacing w:before="120" w:after="120"/>
        <w:ind w:left="1134"/>
        <w:jc w:val="both"/>
        <w:rPr>
          <w:rFonts w:eastAsia="Times New Roman" w:cs="Times New Roman"/>
          <w:color w:val="auto"/>
          <w:spacing w:val="4"/>
          <w:lang w:eastAsia="en-US"/>
        </w:rPr>
      </w:pPr>
      <w:r w:rsidRPr="00DE12A3">
        <w:rPr>
          <w:rFonts w:eastAsia="Times New Roman" w:cs="Times New Roman"/>
          <w:color w:val="auto"/>
          <w:spacing w:val="4"/>
          <w:lang w:eastAsia="en-US"/>
        </w:rPr>
        <w:t>Aşağıdaki motor çalışma koşulları testin dışında bırakılmalıdır:</w:t>
      </w:r>
    </w:p>
    <w:p w14:paraId="3394ABB2" w14:textId="2A1390FE" w:rsidR="002D7B36" w:rsidRPr="00DE12A3" w:rsidRDefault="006816B0" w:rsidP="00E20716">
      <w:pPr>
        <w:numPr>
          <w:ilvl w:val="0"/>
          <w:numId w:val="109"/>
        </w:numPr>
        <w:spacing w:before="120" w:after="120"/>
        <w:ind w:left="1560" w:hanging="426"/>
        <w:jc w:val="both"/>
        <w:rPr>
          <w:rFonts w:eastAsia="Times New Roman" w:cs="Times New Roman"/>
          <w:color w:val="auto"/>
          <w:spacing w:val="4"/>
          <w:lang w:eastAsia="en-US"/>
        </w:rPr>
      </w:pPr>
      <w:r w:rsidRPr="00DE12A3">
        <w:rPr>
          <w:rFonts w:eastAsia="Times New Roman" w:cs="Times New Roman"/>
          <w:color w:val="auto"/>
          <w:spacing w:val="4"/>
          <w:lang w:eastAsia="en-US"/>
        </w:rPr>
        <w:t>A</w:t>
      </w:r>
      <w:r w:rsidR="00242DA0" w:rsidRPr="00DE12A3">
        <w:rPr>
          <w:rFonts w:eastAsia="Times New Roman" w:cs="Times New Roman"/>
          <w:color w:val="auto"/>
          <w:spacing w:val="4"/>
          <w:lang w:eastAsia="en-US"/>
        </w:rPr>
        <w:t>zamitorkun %30'unun altındaki noktalar</w:t>
      </w:r>
      <w:r w:rsidR="00E266F7" w:rsidRPr="00DE12A3">
        <w:rPr>
          <w:rFonts w:eastAsia="Times New Roman" w:cs="Times New Roman"/>
          <w:color w:val="auto"/>
          <w:spacing w:val="4"/>
          <w:lang w:eastAsia="en-US"/>
        </w:rPr>
        <w:t>.</w:t>
      </w:r>
    </w:p>
    <w:p w14:paraId="698BA2BB" w14:textId="77777777" w:rsidR="002D7B36" w:rsidRPr="00DE12A3" w:rsidRDefault="006816B0" w:rsidP="00E20716">
      <w:pPr>
        <w:numPr>
          <w:ilvl w:val="0"/>
          <w:numId w:val="109"/>
        </w:numPr>
        <w:tabs>
          <w:tab w:val="left" w:pos="1418"/>
          <w:tab w:val="left" w:pos="1701"/>
        </w:tabs>
        <w:spacing w:before="120" w:after="120"/>
        <w:ind w:left="1560" w:hanging="426"/>
        <w:jc w:val="both"/>
        <w:rPr>
          <w:rFonts w:eastAsia="Times New Roman" w:cs="Times New Roman"/>
          <w:color w:val="auto"/>
          <w:spacing w:val="4"/>
          <w:lang w:eastAsia="en-US"/>
        </w:rPr>
      </w:pPr>
      <w:r w:rsidRPr="00DE12A3">
        <w:rPr>
          <w:rFonts w:eastAsia="Times New Roman" w:cs="Times New Roman"/>
          <w:color w:val="auto"/>
          <w:spacing w:val="4"/>
          <w:lang w:eastAsia="en-US"/>
        </w:rPr>
        <w:t>A</w:t>
      </w:r>
      <w:r w:rsidR="00242DA0" w:rsidRPr="00DE12A3">
        <w:rPr>
          <w:rFonts w:eastAsia="Times New Roman" w:cs="Times New Roman"/>
          <w:color w:val="auto"/>
          <w:spacing w:val="4"/>
          <w:lang w:eastAsia="en-US"/>
        </w:rPr>
        <w:t>zami net gücün %30'unun altındaki noktalar.</w:t>
      </w:r>
    </w:p>
    <w:p w14:paraId="2CEEBC52" w14:textId="77777777" w:rsidR="002D7B36" w:rsidRPr="00DE12A3" w:rsidRDefault="00242DA0" w:rsidP="00C917D6">
      <w:pPr>
        <w:spacing w:before="120" w:after="120"/>
        <w:ind w:left="1134"/>
        <w:jc w:val="both"/>
        <w:rPr>
          <w:rFonts w:eastAsia="Times New Roman" w:cs="Times New Roman"/>
          <w:color w:val="auto"/>
          <w:spacing w:val="4"/>
          <w:lang w:eastAsia="en-US"/>
        </w:rPr>
      </w:pPr>
      <w:r w:rsidRPr="00DE12A3">
        <w:rPr>
          <w:rFonts w:eastAsia="Times New Roman" w:cs="Times New Roman"/>
          <w:color w:val="auto"/>
          <w:spacing w:val="4"/>
          <w:lang w:eastAsia="en-US"/>
        </w:rPr>
        <w:t>Ölçülen motor devri A, imalatçı tarafından beyan edilen motor devri ±%3 aralığı içinde ise, beyan edilen motor devri kullanılır. Test devirlerinden herhangi biri için tolerans aşılırsa, ölçülen motor devirleri kullanılır.</w:t>
      </w:r>
    </w:p>
    <w:p w14:paraId="5DBB6E34" w14:textId="77777777" w:rsidR="002D7B36" w:rsidRPr="00DE12A3" w:rsidRDefault="00242DA0" w:rsidP="00C917D6">
      <w:pPr>
        <w:spacing w:before="120" w:after="120"/>
        <w:ind w:left="1134"/>
        <w:jc w:val="both"/>
        <w:rPr>
          <w:rFonts w:eastAsia="Times New Roman" w:cs="Times New Roman"/>
          <w:color w:val="auto"/>
          <w:spacing w:val="4"/>
          <w:lang w:eastAsia="en-US"/>
        </w:rPr>
      </w:pPr>
      <w:r w:rsidRPr="00DE12A3">
        <w:rPr>
          <w:rFonts w:eastAsia="Times New Roman" w:cs="Times New Roman"/>
          <w:color w:val="auto"/>
          <w:spacing w:val="4"/>
          <w:lang w:eastAsia="en-US"/>
        </w:rPr>
        <w:t>Kontrol alanındaki ara test noktaları aşağıdaki gibi belirlenmelidir:</w:t>
      </w:r>
    </w:p>
    <w:p w14:paraId="7A7FA79D" w14:textId="77777777" w:rsidR="002D7B36" w:rsidRPr="00DE12A3" w:rsidRDefault="00242DA0" w:rsidP="00C917D6">
      <w:pPr>
        <w:spacing w:before="120" w:after="120"/>
        <w:ind w:left="1134"/>
        <w:jc w:val="both"/>
        <w:rPr>
          <w:rFonts w:eastAsia="Times New Roman" w:cs="Times New Roman"/>
          <w:color w:val="auto"/>
          <w:spacing w:val="4"/>
          <w:lang w:eastAsia="en-US"/>
        </w:rPr>
      </w:pPr>
      <w:r w:rsidRPr="00DE12A3">
        <w:rPr>
          <w:rFonts w:eastAsia="Times New Roman" w:cs="Times New Roman"/>
          <w:i/>
          <w:iCs/>
          <w:color w:val="auto"/>
          <w:spacing w:val="2"/>
          <w:shd w:val="clear" w:color="auto" w:fill="FFFFFF"/>
          <w:lang w:eastAsia="en-US"/>
        </w:rPr>
        <w:t>%torque</w:t>
      </w:r>
      <w:r w:rsidRPr="00DE12A3">
        <w:rPr>
          <w:rFonts w:eastAsia="Times New Roman" w:cs="Times New Roman"/>
          <w:color w:val="auto"/>
          <w:spacing w:val="4"/>
          <w:lang w:eastAsia="en-US"/>
        </w:rPr>
        <w:t xml:space="preserve"> = azami tork yüzdesi;</w:t>
      </w:r>
    </w:p>
    <w:p w14:paraId="0E4E335D" w14:textId="77777777" w:rsidR="006A293D" w:rsidRPr="00DE12A3" w:rsidRDefault="006A293D" w:rsidP="00C917D6">
      <w:pPr>
        <w:spacing w:before="120" w:after="120"/>
        <w:ind w:left="1134"/>
        <w:jc w:val="both"/>
        <w:rPr>
          <w:rFonts w:eastAsia="Times New Roman" w:cs="Times New Roman"/>
          <w:i/>
          <w:iCs/>
          <w:color w:val="auto"/>
          <w:spacing w:val="4"/>
          <w:lang w:eastAsia="en-US"/>
        </w:rPr>
      </w:pPr>
    </w:p>
    <w:p w14:paraId="69153E0A" w14:textId="39189728" w:rsidR="002D7B36" w:rsidRPr="00DE12A3" w:rsidRDefault="006A293D" w:rsidP="00C917D6">
      <w:pPr>
        <w:spacing w:before="120" w:after="120"/>
        <w:ind w:left="1134"/>
        <w:jc w:val="both"/>
        <w:rPr>
          <w:rFonts w:eastAsia="Times New Roman" w:cs="Times New Roman"/>
          <w:color w:val="auto"/>
          <w:spacing w:val="3"/>
          <w:lang w:eastAsia="en-US"/>
        </w:rPr>
      </w:pPr>
      <w:r w:rsidRPr="00DE12A3">
        <w:rPr>
          <w:rFonts w:cs="Times New Roman"/>
          <w:noProof/>
          <w:color w:val="auto"/>
        </w:rPr>
        <w:drawing>
          <wp:inline distT="0" distB="0" distL="0" distR="0" wp14:anchorId="30C31EC8" wp14:editId="222A273A">
            <wp:extent cx="2415540" cy="403860"/>
            <wp:effectExtent l="0" t="0" r="3810" b="0"/>
            <wp:docPr id="2402" name="Resim 24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415540" cy="403860"/>
                    </a:xfrm>
                    <a:prstGeom prst="rect">
                      <a:avLst/>
                    </a:prstGeom>
                    <a:noFill/>
                    <a:ln>
                      <a:noFill/>
                    </a:ln>
                  </pic:spPr>
                </pic:pic>
              </a:graphicData>
            </a:graphic>
          </wp:inline>
        </w:drawing>
      </w:r>
    </w:p>
    <w:p w14:paraId="6EF9FBDE" w14:textId="77777777" w:rsidR="002D7B36" w:rsidRPr="00DE12A3" w:rsidRDefault="002D7B36" w:rsidP="00C917D6">
      <w:pPr>
        <w:spacing w:before="120" w:after="120"/>
        <w:ind w:left="1134"/>
        <w:jc w:val="both"/>
        <w:rPr>
          <w:rFonts w:eastAsia="Times New Roman" w:cs="Times New Roman"/>
          <w:color w:val="auto"/>
          <w:spacing w:val="4"/>
          <w:lang w:eastAsia="en-US"/>
        </w:rPr>
      </w:pPr>
    </w:p>
    <w:p w14:paraId="0740659E" w14:textId="6786C80A" w:rsidR="002D7B36" w:rsidRPr="00DE12A3" w:rsidRDefault="00B655AE" w:rsidP="00C917D6">
      <w:pPr>
        <w:spacing w:before="120" w:after="120"/>
        <w:ind w:left="1134"/>
        <w:jc w:val="both"/>
        <w:rPr>
          <w:rFonts w:eastAsia="Times New Roman" w:cs="Times New Roman"/>
          <w:color w:val="auto"/>
          <w:spacing w:val="4"/>
          <w:lang w:eastAsia="en-US"/>
        </w:rPr>
      </w:pPr>
      <w:r w:rsidRPr="00DE12A3">
        <w:rPr>
          <w:rFonts w:eastAsia="Times New Roman" w:cs="Times New Roman"/>
          <w:color w:val="auto"/>
          <w:spacing w:val="4"/>
          <w:lang w:eastAsia="en-US"/>
        </w:rPr>
        <w:t>Burada</w:t>
      </w:r>
      <w:r w:rsidR="00242DA0" w:rsidRPr="00DE12A3">
        <w:rPr>
          <w:rFonts w:eastAsia="Times New Roman" w:cs="Times New Roman"/>
          <w:color w:val="auto"/>
          <w:spacing w:val="4"/>
          <w:lang w:eastAsia="en-US"/>
        </w:rPr>
        <w:t xml:space="preserve">: n100%, ilgili test </w:t>
      </w:r>
      <w:r w:rsidRPr="00DE12A3">
        <w:rPr>
          <w:rFonts w:eastAsia="Times New Roman" w:cs="Times New Roman"/>
          <w:color w:val="auto"/>
          <w:spacing w:val="4"/>
          <w:lang w:eastAsia="en-US"/>
        </w:rPr>
        <w:t>çevrimi için</w:t>
      </w:r>
      <w:r w:rsidR="00242DA0" w:rsidRPr="00DE12A3">
        <w:rPr>
          <w:rFonts w:eastAsia="Times New Roman" w:cs="Times New Roman"/>
          <w:color w:val="auto"/>
          <w:spacing w:val="4"/>
          <w:lang w:eastAsia="en-US"/>
        </w:rPr>
        <w:t xml:space="preserve"> %100 devirdir</w:t>
      </w:r>
    </w:p>
    <w:p w14:paraId="4C871C83" w14:textId="77777777" w:rsidR="002D7B36" w:rsidRPr="00DE12A3" w:rsidRDefault="002D7B36" w:rsidP="001C5108">
      <w:pPr>
        <w:spacing w:before="120" w:after="120"/>
        <w:jc w:val="both"/>
        <w:rPr>
          <w:rFonts w:eastAsia="Times New Roman" w:cs="Times New Roman"/>
          <w:color w:val="auto"/>
          <w:spacing w:val="3"/>
          <w:lang w:eastAsia="en-US"/>
        </w:rPr>
      </w:pPr>
    </w:p>
    <w:p w14:paraId="765DBDAE" w14:textId="77777777" w:rsidR="002D7B36" w:rsidRPr="00DE12A3" w:rsidRDefault="00242DA0" w:rsidP="001C5108">
      <w:pPr>
        <w:spacing w:before="120" w:after="120"/>
        <w:jc w:val="center"/>
        <w:rPr>
          <w:rFonts w:eastAsia="Times New Roman" w:cs="Times New Roman"/>
          <w:color w:val="auto"/>
          <w:spacing w:val="3"/>
          <w:lang w:eastAsia="en-US"/>
        </w:rPr>
      </w:pPr>
      <w:r w:rsidRPr="00DE12A3">
        <w:rPr>
          <w:rStyle w:val="Gvdemetni40ptbolukbraklyor"/>
          <w:rFonts w:eastAsia="Courier New"/>
          <w:i w:val="0"/>
          <w:color w:val="auto"/>
          <w:sz w:val="24"/>
          <w:szCs w:val="24"/>
          <w:lang w:val="tr-TR"/>
        </w:rPr>
        <w:t>Şekil 5.1</w:t>
      </w:r>
    </w:p>
    <w:p w14:paraId="0542B23A" w14:textId="77777777" w:rsidR="002D7B36" w:rsidRPr="00DE12A3" w:rsidRDefault="00242DA0" w:rsidP="001C5108">
      <w:pPr>
        <w:spacing w:before="120" w:after="120"/>
        <w:jc w:val="center"/>
        <w:rPr>
          <w:rFonts w:eastAsia="Times New Roman" w:cs="Times New Roman"/>
          <w:b/>
          <w:bCs/>
          <w:color w:val="auto"/>
          <w:spacing w:val="4"/>
          <w:lang w:eastAsia="en-US"/>
        </w:rPr>
      </w:pPr>
      <w:r w:rsidRPr="00DE12A3">
        <w:rPr>
          <w:rFonts w:eastAsia="Times New Roman" w:cs="Times New Roman"/>
          <w:b/>
          <w:bCs/>
          <w:color w:val="auto"/>
          <w:spacing w:val="4"/>
          <w:lang w:eastAsia="en-US"/>
        </w:rPr>
        <w:t>Azami net gücü &gt;19 kW olan NRE kategorisindeki değişken devirli motorlar, azami net gücü &gt;300 kW olan IWA kategorisindeki değişken devirli motorlar ve NRG kategorisindeki değişken devirli motorlar için kontrol alanı</w:t>
      </w:r>
    </w:p>
    <w:p w14:paraId="4C055CD7" w14:textId="3F0050D1" w:rsidR="002D7B36" w:rsidRPr="00DE12A3" w:rsidRDefault="002135B5" w:rsidP="001C5108">
      <w:pPr>
        <w:spacing w:before="120" w:after="120"/>
        <w:jc w:val="center"/>
        <w:rPr>
          <w:rFonts w:eastAsia="Times New Roman" w:cs="Times New Roman"/>
          <w:color w:val="auto"/>
          <w:spacing w:val="3"/>
          <w:sz w:val="20"/>
          <w:szCs w:val="20"/>
          <w:lang w:eastAsia="en-US"/>
        </w:rPr>
      </w:pPr>
      <w:r w:rsidRPr="00DE12A3">
        <w:rPr>
          <w:rFonts w:cs="Times New Roman"/>
          <w:noProof/>
          <w:color w:val="auto"/>
        </w:rPr>
        <w:drawing>
          <wp:inline distT="0" distB="0" distL="0" distR="0" wp14:anchorId="434E0E02" wp14:editId="2B774A74">
            <wp:extent cx="4937591" cy="2682531"/>
            <wp:effectExtent l="0" t="0" r="0" b="3810"/>
            <wp:docPr id="2403" name="Resim 24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941543" cy="2684678"/>
                    </a:xfrm>
                    <a:prstGeom prst="rect">
                      <a:avLst/>
                    </a:prstGeom>
                    <a:noFill/>
                    <a:ln>
                      <a:noFill/>
                    </a:ln>
                  </pic:spPr>
                </pic:pic>
              </a:graphicData>
            </a:graphic>
          </wp:inline>
        </w:drawing>
      </w:r>
    </w:p>
    <w:p w14:paraId="42BE0933" w14:textId="77777777" w:rsidR="001C5108" w:rsidRPr="00DE12A3" w:rsidRDefault="001C5108" w:rsidP="001C5108">
      <w:pPr>
        <w:spacing w:before="120" w:after="120"/>
        <w:rPr>
          <w:rFonts w:eastAsia="Times New Roman" w:cs="Times New Roman"/>
          <w:color w:val="auto"/>
          <w:spacing w:val="3"/>
          <w:sz w:val="20"/>
          <w:szCs w:val="20"/>
          <w:lang w:eastAsia="en-US"/>
        </w:rPr>
      </w:pPr>
    </w:p>
    <w:p w14:paraId="04C787FD" w14:textId="34364FA9" w:rsidR="002D7B36" w:rsidRPr="00DE12A3" w:rsidRDefault="00D27F95" w:rsidP="00D27F95">
      <w:pPr>
        <w:spacing w:before="120" w:after="120"/>
        <w:jc w:val="both"/>
        <w:rPr>
          <w:rFonts w:eastAsia="Times New Roman" w:cs="Times New Roman"/>
          <w:color w:val="auto"/>
          <w:spacing w:val="3"/>
          <w:lang w:eastAsia="en-US"/>
        </w:rPr>
      </w:pPr>
      <w:r w:rsidRPr="00DE12A3">
        <w:rPr>
          <w:rFonts w:eastAsia="Times New Roman" w:cs="Times New Roman"/>
          <w:color w:val="auto"/>
          <w:spacing w:val="3"/>
          <w:lang w:eastAsia="en-US"/>
        </w:rPr>
        <w:t>2.1.2.</w:t>
      </w:r>
      <w:r w:rsidR="006816B0" w:rsidRPr="00DE12A3">
        <w:rPr>
          <w:rFonts w:eastAsia="Times New Roman" w:cs="Times New Roman"/>
          <w:color w:val="auto"/>
          <w:spacing w:val="3"/>
          <w:lang w:eastAsia="en-US"/>
        </w:rPr>
        <w:t xml:space="preserve"> </w:t>
      </w:r>
      <w:r w:rsidR="00242DA0" w:rsidRPr="00DE12A3">
        <w:rPr>
          <w:rFonts w:eastAsia="Times New Roman" w:cs="Times New Roman"/>
          <w:color w:val="auto"/>
          <w:spacing w:val="3"/>
          <w:lang w:eastAsia="en-US"/>
        </w:rPr>
        <w:t>Azami net gücü &lt;19 kW olan NRE kategorisindeki değişken devirli motorlar, azami net gücü &lt;300 kW olan IWA kategorisindeki değişken devirli motorlar</w:t>
      </w:r>
    </w:p>
    <w:p w14:paraId="75B8AD41" w14:textId="77777777" w:rsidR="002D7B36" w:rsidRPr="00DE12A3" w:rsidRDefault="00242DA0" w:rsidP="00D27F95">
      <w:pPr>
        <w:spacing w:before="120" w:after="120"/>
        <w:jc w:val="both"/>
        <w:rPr>
          <w:rFonts w:eastAsia="Times New Roman" w:cs="Times New Roman"/>
          <w:color w:val="auto"/>
          <w:spacing w:val="3"/>
          <w:lang w:eastAsia="en-US"/>
        </w:rPr>
      </w:pPr>
      <w:r w:rsidRPr="00DE12A3">
        <w:rPr>
          <w:rFonts w:eastAsia="Times New Roman" w:cs="Times New Roman"/>
          <w:color w:val="auto"/>
          <w:spacing w:val="3"/>
          <w:lang w:eastAsia="en-US"/>
        </w:rPr>
        <w:t>2.1.1 bendinde belirtilen kontrol alanı, bu bentte verilen ve Şekil 5.2 ve 5.3'te gösterilen motor çalışma koşulları da hariç tutulmak kaydıyla uygulanır.</w:t>
      </w:r>
    </w:p>
    <w:p w14:paraId="48DB873B" w14:textId="4BAE39D0" w:rsidR="002D7B36" w:rsidRPr="00DE12A3" w:rsidRDefault="00D27F95" w:rsidP="00D27F95">
      <w:pPr>
        <w:tabs>
          <w:tab w:val="left" w:pos="851"/>
        </w:tabs>
        <w:spacing w:before="120" w:after="120"/>
        <w:jc w:val="both"/>
        <w:rPr>
          <w:rFonts w:eastAsia="Times New Roman" w:cs="Times New Roman"/>
          <w:color w:val="auto"/>
          <w:spacing w:val="3"/>
          <w:lang w:eastAsia="en-US"/>
        </w:rPr>
      </w:pPr>
      <w:r w:rsidRPr="00DE12A3">
        <w:rPr>
          <w:rFonts w:eastAsia="Times New Roman" w:cs="Times New Roman"/>
          <w:color w:val="auto"/>
          <w:spacing w:val="3"/>
          <w:lang w:eastAsia="en-US"/>
        </w:rPr>
        <w:t>(a)</w:t>
      </w:r>
      <w:r w:rsidR="006816B0" w:rsidRPr="00DE12A3">
        <w:rPr>
          <w:rFonts w:eastAsia="Times New Roman" w:cs="Times New Roman"/>
          <w:color w:val="auto"/>
          <w:spacing w:val="3"/>
          <w:lang w:eastAsia="en-US"/>
        </w:rPr>
        <w:t xml:space="preserve"> S</w:t>
      </w:r>
      <w:r w:rsidR="00242DA0" w:rsidRPr="00DE12A3">
        <w:rPr>
          <w:rFonts w:eastAsia="Times New Roman" w:cs="Times New Roman"/>
          <w:color w:val="auto"/>
          <w:spacing w:val="3"/>
          <w:lang w:eastAsia="en-US"/>
        </w:rPr>
        <w:t xml:space="preserve">adece </w:t>
      </w:r>
      <w:r w:rsidR="007E2039" w:rsidRPr="00DE12A3">
        <w:rPr>
          <w:rFonts w:eastAsia="Times New Roman" w:cs="Times New Roman"/>
          <w:color w:val="auto"/>
          <w:spacing w:val="3"/>
          <w:lang w:eastAsia="en-US"/>
        </w:rPr>
        <w:t xml:space="preserve">partikül </w:t>
      </w:r>
      <w:r w:rsidR="00242DA0" w:rsidRPr="00DE12A3">
        <w:rPr>
          <w:rFonts w:eastAsia="Times New Roman" w:cs="Times New Roman"/>
          <w:color w:val="auto"/>
          <w:spacing w:val="3"/>
          <w:lang w:eastAsia="en-US"/>
        </w:rPr>
        <w:t xml:space="preserve">halindeki madde için, eğer C devri 2400 dev/dak'nın altındaysa, B </w:t>
      </w:r>
      <w:r w:rsidR="00242DA0" w:rsidRPr="00DE12A3">
        <w:rPr>
          <w:rFonts w:eastAsia="Times New Roman" w:cs="Times New Roman"/>
          <w:color w:val="auto"/>
          <w:spacing w:val="3"/>
          <w:lang w:eastAsia="en-US"/>
        </w:rPr>
        <w:lastRenderedPageBreak/>
        <w:t>devrinde ve yüksek devirde azami net gücün %70'inde, hangisi daha büyükse, azami torkun %30'una veya azami net gücün %30'una ait noktalar birleştirilerek oluşturulan çizginin sağındaki veya altındaki noktalar</w:t>
      </w:r>
      <w:r w:rsidR="00E266F7" w:rsidRPr="00DE12A3">
        <w:rPr>
          <w:rFonts w:eastAsia="Times New Roman" w:cs="Times New Roman"/>
          <w:color w:val="auto"/>
          <w:spacing w:val="3"/>
          <w:lang w:eastAsia="en-US"/>
        </w:rPr>
        <w:t>.</w:t>
      </w:r>
    </w:p>
    <w:p w14:paraId="28DFBC93" w14:textId="6405C36B" w:rsidR="002D7B36" w:rsidRPr="00DE12A3" w:rsidRDefault="00D27F95" w:rsidP="00D27F95">
      <w:pPr>
        <w:tabs>
          <w:tab w:val="left" w:pos="993"/>
        </w:tabs>
        <w:spacing w:before="120" w:after="120"/>
        <w:jc w:val="both"/>
        <w:rPr>
          <w:rFonts w:eastAsia="Times New Roman" w:cs="Times New Roman"/>
          <w:color w:val="auto"/>
          <w:spacing w:val="3"/>
          <w:lang w:eastAsia="en-US"/>
        </w:rPr>
      </w:pPr>
      <w:r w:rsidRPr="00DE12A3">
        <w:rPr>
          <w:rFonts w:eastAsia="Times New Roman" w:cs="Times New Roman"/>
          <w:color w:val="auto"/>
          <w:spacing w:val="3"/>
          <w:lang w:eastAsia="en-US"/>
        </w:rPr>
        <w:t xml:space="preserve">(b) </w:t>
      </w:r>
      <w:r w:rsidR="006816B0" w:rsidRPr="00DE12A3">
        <w:rPr>
          <w:rFonts w:eastAsia="Times New Roman" w:cs="Times New Roman"/>
          <w:color w:val="auto"/>
          <w:spacing w:val="3"/>
          <w:lang w:eastAsia="en-US"/>
        </w:rPr>
        <w:t>S</w:t>
      </w:r>
      <w:r w:rsidR="00242DA0" w:rsidRPr="00DE12A3">
        <w:rPr>
          <w:rFonts w:eastAsia="Times New Roman" w:cs="Times New Roman"/>
          <w:color w:val="auto"/>
          <w:spacing w:val="3"/>
          <w:lang w:eastAsia="en-US"/>
        </w:rPr>
        <w:t xml:space="preserve">adece </w:t>
      </w:r>
      <w:r w:rsidR="007E2039" w:rsidRPr="00DE12A3">
        <w:rPr>
          <w:rFonts w:eastAsia="Times New Roman" w:cs="Times New Roman"/>
          <w:color w:val="auto"/>
          <w:spacing w:val="3"/>
          <w:lang w:eastAsia="en-US"/>
        </w:rPr>
        <w:t xml:space="preserve">partikül </w:t>
      </w:r>
      <w:r w:rsidR="00242DA0" w:rsidRPr="00DE12A3">
        <w:rPr>
          <w:rFonts w:eastAsia="Times New Roman" w:cs="Times New Roman"/>
          <w:color w:val="auto"/>
          <w:spacing w:val="3"/>
          <w:lang w:eastAsia="en-US"/>
        </w:rPr>
        <w:t>halindeki madde için, eğer C devri 2400 dev/dak veya üzerindeyse, B devrinde, 2400 dev/dak'da azami net gücün %50'sinde ve yüksek devirde azami net gücün %70'inde, hangisi daha büyükse, azami torkun %30'una veya azami net gücün %30'una ait noktalar birleştirilerek oluşturulan çizginin sağındaki noktalar.</w:t>
      </w:r>
    </w:p>
    <w:p w14:paraId="2A521A96" w14:textId="77777777" w:rsidR="002D7B36" w:rsidRPr="00DE12A3" w:rsidRDefault="0040229E" w:rsidP="00C917D6">
      <w:pPr>
        <w:spacing w:before="120" w:after="120"/>
        <w:ind w:left="1134"/>
        <w:jc w:val="both"/>
        <w:rPr>
          <w:rFonts w:eastAsia="Times New Roman" w:cs="Times New Roman"/>
          <w:color w:val="auto"/>
          <w:spacing w:val="3"/>
          <w:lang w:eastAsia="en-US"/>
        </w:rPr>
      </w:pPr>
      <w:r w:rsidRPr="00DE12A3">
        <w:rPr>
          <w:rFonts w:eastAsia="Times New Roman" w:cs="Times New Roman"/>
          <w:color w:val="auto"/>
          <w:spacing w:val="3"/>
          <w:lang w:eastAsia="en-US"/>
        </w:rPr>
        <w:t>B</w:t>
      </w:r>
      <w:r w:rsidR="00242DA0" w:rsidRPr="00DE12A3">
        <w:rPr>
          <w:rFonts w:eastAsia="Times New Roman" w:cs="Times New Roman"/>
          <w:color w:val="auto"/>
          <w:spacing w:val="3"/>
          <w:lang w:eastAsia="en-US"/>
        </w:rPr>
        <w:t>urada:</w:t>
      </w:r>
    </w:p>
    <w:p w14:paraId="2AD2B566" w14:textId="75ECBCB9" w:rsidR="002D7B36" w:rsidRPr="00DE12A3" w:rsidRDefault="00FD681E" w:rsidP="00C917D6">
      <w:pPr>
        <w:spacing w:before="120" w:after="120"/>
        <w:ind w:left="1134"/>
        <w:jc w:val="both"/>
        <w:rPr>
          <w:rFonts w:eastAsia="Times New Roman" w:cs="Times New Roman"/>
          <w:color w:val="auto"/>
          <w:spacing w:val="3"/>
          <w:lang w:eastAsia="en-US"/>
        </w:rPr>
      </w:pPr>
      <w:r w:rsidRPr="00DE12A3">
        <w:rPr>
          <w:rFonts w:eastAsia="Times New Roman" w:cs="Times New Roman"/>
          <w:color w:val="auto"/>
          <w:spacing w:val="3"/>
          <w:lang w:eastAsia="en-US"/>
        </w:rPr>
        <w:t>Devir</w:t>
      </w:r>
      <w:r w:rsidR="00242DA0" w:rsidRPr="00DE12A3">
        <w:rPr>
          <w:rFonts w:eastAsia="Times New Roman" w:cs="Times New Roman"/>
          <w:color w:val="auto"/>
          <w:spacing w:val="3"/>
          <w:lang w:eastAsia="en-US"/>
        </w:rPr>
        <w:t xml:space="preserve"> B = n</w:t>
      </w:r>
      <w:r w:rsidR="00242DA0" w:rsidRPr="00DE12A3">
        <w:rPr>
          <w:rFonts w:eastAsia="Times New Roman" w:cs="Times New Roman"/>
          <w:color w:val="auto"/>
          <w:spacing w:val="3"/>
          <w:vertAlign w:val="subscript"/>
          <w:lang w:eastAsia="en-US"/>
        </w:rPr>
        <w:t>lo</w:t>
      </w:r>
      <w:r w:rsidR="00242DA0" w:rsidRPr="00DE12A3">
        <w:rPr>
          <w:rFonts w:eastAsia="Times New Roman" w:cs="Times New Roman"/>
          <w:color w:val="auto"/>
          <w:spacing w:val="3"/>
          <w:lang w:eastAsia="en-US"/>
        </w:rPr>
        <w:t xml:space="preserve"> + 0,5 x (n</w:t>
      </w:r>
      <w:r w:rsidR="00242DA0" w:rsidRPr="00DE12A3">
        <w:rPr>
          <w:rFonts w:eastAsia="Times New Roman" w:cs="Times New Roman"/>
          <w:color w:val="auto"/>
          <w:spacing w:val="3"/>
          <w:vertAlign w:val="subscript"/>
          <w:lang w:eastAsia="en-US"/>
        </w:rPr>
        <w:t>hi</w:t>
      </w:r>
      <w:r w:rsidR="00242DA0" w:rsidRPr="00DE12A3">
        <w:rPr>
          <w:rFonts w:eastAsia="Times New Roman" w:cs="Times New Roman"/>
          <w:color w:val="auto"/>
          <w:spacing w:val="3"/>
          <w:lang w:eastAsia="en-US"/>
        </w:rPr>
        <w:t xml:space="preserve"> - n</w:t>
      </w:r>
      <w:r w:rsidR="00242DA0" w:rsidRPr="00DE12A3">
        <w:rPr>
          <w:rFonts w:eastAsia="Times New Roman" w:cs="Times New Roman"/>
          <w:color w:val="auto"/>
          <w:spacing w:val="3"/>
          <w:vertAlign w:val="subscript"/>
          <w:lang w:eastAsia="en-US"/>
        </w:rPr>
        <w:t>lo</w:t>
      </w:r>
      <w:r w:rsidR="00242DA0" w:rsidRPr="00DE12A3">
        <w:rPr>
          <w:rFonts w:eastAsia="Times New Roman" w:cs="Times New Roman"/>
          <w:color w:val="auto"/>
          <w:spacing w:val="3"/>
          <w:lang w:eastAsia="en-US"/>
        </w:rPr>
        <w:t>)</w:t>
      </w:r>
    </w:p>
    <w:p w14:paraId="7085D9C7" w14:textId="1610EF15" w:rsidR="002D7B36" w:rsidRPr="00DE12A3" w:rsidRDefault="00FD681E" w:rsidP="00C917D6">
      <w:pPr>
        <w:spacing w:before="120" w:after="120"/>
        <w:ind w:left="1134"/>
        <w:jc w:val="both"/>
        <w:rPr>
          <w:rFonts w:eastAsia="Times New Roman" w:cs="Times New Roman"/>
          <w:color w:val="auto"/>
          <w:spacing w:val="3"/>
          <w:lang w:eastAsia="en-US"/>
        </w:rPr>
      </w:pPr>
      <w:r w:rsidRPr="00DE12A3">
        <w:rPr>
          <w:rFonts w:eastAsia="Times New Roman" w:cs="Times New Roman"/>
          <w:color w:val="auto"/>
          <w:spacing w:val="3"/>
          <w:lang w:eastAsia="en-US"/>
        </w:rPr>
        <w:t>Devir</w:t>
      </w:r>
      <w:r w:rsidR="00242DA0" w:rsidRPr="00DE12A3">
        <w:rPr>
          <w:rFonts w:eastAsia="Times New Roman" w:cs="Times New Roman"/>
          <w:color w:val="auto"/>
          <w:spacing w:val="3"/>
          <w:lang w:eastAsia="en-US"/>
        </w:rPr>
        <w:t xml:space="preserve"> C = n</w:t>
      </w:r>
      <w:r w:rsidR="00242DA0" w:rsidRPr="00DE12A3">
        <w:rPr>
          <w:rFonts w:eastAsia="Times New Roman" w:cs="Times New Roman"/>
          <w:color w:val="auto"/>
          <w:spacing w:val="3"/>
          <w:vertAlign w:val="subscript"/>
          <w:lang w:eastAsia="en-US"/>
        </w:rPr>
        <w:t>lo</w:t>
      </w:r>
      <w:r w:rsidR="00242DA0" w:rsidRPr="00DE12A3">
        <w:rPr>
          <w:rFonts w:eastAsia="Times New Roman" w:cs="Times New Roman"/>
          <w:color w:val="auto"/>
          <w:spacing w:val="3"/>
          <w:lang w:eastAsia="en-US"/>
        </w:rPr>
        <w:t xml:space="preserve"> + 0,75 x (n</w:t>
      </w:r>
      <w:r w:rsidR="00242DA0" w:rsidRPr="00DE12A3">
        <w:rPr>
          <w:rFonts w:eastAsia="Times New Roman" w:cs="Times New Roman"/>
          <w:color w:val="auto"/>
          <w:spacing w:val="3"/>
          <w:vertAlign w:val="subscript"/>
          <w:lang w:eastAsia="en-US"/>
        </w:rPr>
        <w:t>hi</w:t>
      </w:r>
      <w:r w:rsidR="00242DA0" w:rsidRPr="00DE12A3">
        <w:rPr>
          <w:rFonts w:eastAsia="Times New Roman" w:cs="Times New Roman"/>
          <w:color w:val="auto"/>
          <w:spacing w:val="3"/>
          <w:lang w:eastAsia="en-US"/>
        </w:rPr>
        <w:t xml:space="preserve"> - n</w:t>
      </w:r>
      <w:r w:rsidR="00242DA0" w:rsidRPr="00DE12A3">
        <w:rPr>
          <w:rFonts w:eastAsia="Times New Roman" w:cs="Times New Roman"/>
          <w:color w:val="auto"/>
          <w:spacing w:val="3"/>
          <w:vertAlign w:val="subscript"/>
          <w:lang w:eastAsia="en-US"/>
        </w:rPr>
        <w:t>lo</w:t>
      </w:r>
      <w:r w:rsidR="00242DA0" w:rsidRPr="00DE12A3">
        <w:rPr>
          <w:rFonts w:eastAsia="Times New Roman" w:cs="Times New Roman"/>
          <w:color w:val="auto"/>
          <w:spacing w:val="3"/>
          <w:lang w:eastAsia="en-US"/>
        </w:rPr>
        <w:t>)</w:t>
      </w:r>
    </w:p>
    <w:p w14:paraId="5A008B52" w14:textId="22B0C56F" w:rsidR="002D7B36" w:rsidRPr="00DE12A3" w:rsidRDefault="00242DA0" w:rsidP="00C917D6">
      <w:pPr>
        <w:spacing w:before="120" w:after="120"/>
        <w:ind w:left="1134"/>
        <w:jc w:val="both"/>
        <w:rPr>
          <w:rFonts w:eastAsia="Times New Roman" w:cs="Times New Roman"/>
          <w:color w:val="auto"/>
          <w:spacing w:val="3"/>
          <w:lang w:eastAsia="en-US"/>
        </w:rPr>
      </w:pPr>
      <w:r w:rsidRPr="00DE12A3">
        <w:rPr>
          <w:rFonts w:eastAsia="Times New Roman" w:cs="Times New Roman"/>
          <w:color w:val="auto"/>
          <w:spacing w:val="3"/>
          <w:lang w:eastAsia="en-US"/>
        </w:rPr>
        <w:t>n</w:t>
      </w:r>
      <w:r w:rsidRPr="00DE12A3">
        <w:rPr>
          <w:rFonts w:eastAsia="Times New Roman" w:cs="Times New Roman"/>
          <w:color w:val="auto"/>
          <w:spacing w:val="3"/>
          <w:vertAlign w:val="subscript"/>
          <w:lang w:eastAsia="en-US"/>
        </w:rPr>
        <w:t>hi</w:t>
      </w:r>
      <w:r w:rsidRPr="00DE12A3">
        <w:rPr>
          <w:rFonts w:eastAsia="Times New Roman" w:cs="Times New Roman"/>
          <w:color w:val="auto"/>
          <w:spacing w:val="3"/>
          <w:lang w:eastAsia="en-US"/>
        </w:rPr>
        <w:t xml:space="preserve">= </w:t>
      </w:r>
      <w:r w:rsidR="00B172A8" w:rsidRPr="00DE12A3">
        <w:rPr>
          <w:rFonts w:eastAsia="Times New Roman" w:cs="Times New Roman"/>
          <w:color w:val="auto"/>
          <w:spacing w:val="3"/>
          <w:lang w:eastAsia="en-US"/>
        </w:rPr>
        <w:t xml:space="preserve">Yüksek </w:t>
      </w:r>
      <w:r w:rsidRPr="00DE12A3">
        <w:rPr>
          <w:rFonts w:eastAsia="Times New Roman" w:cs="Times New Roman"/>
          <w:color w:val="auto"/>
          <w:spacing w:val="3"/>
          <w:lang w:eastAsia="en-US"/>
        </w:rPr>
        <w:t>devir</w:t>
      </w:r>
      <w:r w:rsidR="00E266F7" w:rsidRPr="00DE12A3">
        <w:rPr>
          <w:rFonts w:eastAsia="Times New Roman" w:cs="Times New Roman"/>
          <w:color w:val="auto"/>
          <w:spacing w:val="3"/>
          <w:lang w:eastAsia="en-US"/>
        </w:rPr>
        <w:t>.</w:t>
      </w:r>
    </w:p>
    <w:p w14:paraId="61EDB582" w14:textId="7292EDC4" w:rsidR="002D7B36" w:rsidRPr="00DE12A3" w:rsidRDefault="00242DA0" w:rsidP="00C917D6">
      <w:pPr>
        <w:spacing w:before="120" w:after="120"/>
        <w:ind w:left="1134"/>
        <w:jc w:val="both"/>
        <w:rPr>
          <w:rFonts w:eastAsia="Times New Roman" w:cs="Times New Roman"/>
          <w:color w:val="auto"/>
          <w:spacing w:val="3"/>
          <w:lang w:eastAsia="en-US"/>
        </w:rPr>
      </w:pPr>
      <w:r w:rsidRPr="00DE12A3">
        <w:rPr>
          <w:rFonts w:eastAsia="Times New Roman" w:cs="Times New Roman"/>
          <w:color w:val="auto"/>
          <w:spacing w:val="3"/>
          <w:lang w:eastAsia="en-US"/>
        </w:rPr>
        <w:t>n</w:t>
      </w:r>
      <w:r w:rsidRPr="00DE12A3">
        <w:rPr>
          <w:rFonts w:eastAsia="Times New Roman" w:cs="Times New Roman"/>
          <w:color w:val="auto"/>
          <w:spacing w:val="3"/>
          <w:vertAlign w:val="subscript"/>
          <w:lang w:eastAsia="en-US"/>
        </w:rPr>
        <w:t>lo</w:t>
      </w:r>
      <w:r w:rsidRPr="00DE12A3">
        <w:rPr>
          <w:rFonts w:eastAsia="Times New Roman" w:cs="Times New Roman"/>
          <w:color w:val="auto"/>
          <w:spacing w:val="3"/>
          <w:lang w:eastAsia="en-US"/>
        </w:rPr>
        <w:t xml:space="preserve"> = </w:t>
      </w:r>
      <w:r w:rsidR="00B172A8" w:rsidRPr="00DE12A3">
        <w:rPr>
          <w:rFonts w:eastAsia="Times New Roman" w:cs="Times New Roman"/>
          <w:color w:val="auto"/>
          <w:spacing w:val="3"/>
          <w:lang w:eastAsia="en-US"/>
        </w:rPr>
        <w:t xml:space="preserve">Düşük </w:t>
      </w:r>
      <w:r w:rsidRPr="00DE12A3">
        <w:rPr>
          <w:rFonts w:eastAsia="Times New Roman" w:cs="Times New Roman"/>
          <w:color w:val="auto"/>
          <w:spacing w:val="3"/>
          <w:lang w:eastAsia="en-US"/>
        </w:rPr>
        <w:t>devir</w:t>
      </w:r>
      <w:r w:rsidR="00E266F7" w:rsidRPr="00DE12A3">
        <w:rPr>
          <w:rFonts w:eastAsia="Times New Roman" w:cs="Times New Roman"/>
          <w:color w:val="auto"/>
          <w:spacing w:val="3"/>
          <w:lang w:eastAsia="en-US"/>
        </w:rPr>
        <w:t>.</w:t>
      </w:r>
    </w:p>
    <w:p w14:paraId="77592B91" w14:textId="77777777" w:rsidR="002D7B36" w:rsidRPr="00DE12A3" w:rsidRDefault="00242DA0" w:rsidP="00C917D6">
      <w:pPr>
        <w:spacing w:before="120" w:after="120"/>
        <w:ind w:left="1134"/>
        <w:jc w:val="both"/>
        <w:rPr>
          <w:rFonts w:eastAsia="Times New Roman" w:cs="Times New Roman"/>
          <w:color w:val="auto"/>
          <w:spacing w:val="3"/>
          <w:lang w:eastAsia="en-US"/>
        </w:rPr>
      </w:pPr>
      <w:r w:rsidRPr="00DE12A3">
        <w:rPr>
          <w:rFonts w:eastAsia="Times New Roman" w:cs="Times New Roman"/>
          <w:color w:val="auto"/>
          <w:spacing w:val="3"/>
          <w:lang w:eastAsia="en-US"/>
        </w:rPr>
        <w:t>Ölçülen motor devirleri A, B ve C, imalatçı tarafından beyan edilen motor devri ±%3 aralığında ise, beyan edilen motor devirleri kullanılır. Test devirlerinden herhangi biri için tolerans aşılırsa, ölçülen motor devirleri kullanılır.</w:t>
      </w:r>
    </w:p>
    <w:p w14:paraId="4589312B" w14:textId="77777777" w:rsidR="0040229E" w:rsidRPr="00DE12A3" w:rsidRDefault="0040229E" w:rsidP="001C5108">
      <w:pPr>
        <w:spacing w:before="120" w:after="120"/>
        <w:jc w:val="both"/>
        <w:rPr>
          <w:rFonts w:eastAsia="Times New Roman" w:cs="Times New Roman"/>
          <w:color w:val="auto"/>
          <w:spacing w:val="3"/>
          <w:lang w:eastAsia="en-US"/>
        </w:rPr>
      </w:pPr>
    </w:p>
    <w:p w14:paraId="3B30237A" w14:textId="77777777" w:rsidR="002D7B36" w:rsidRPr="00DE12A3" w:rsidRDefault="00242DA0" w:rsidP="001C5108">
      <w:pPr>
        <w:spacing w:before="120" w:after="120"/>
        <w:jc w:val="center"/>
        <w:rPr>
          <w:rFonts w:cs="Times New Roman"/>
          <w:color w:val="auto"/>
        </w:rPr>
      </w:pPr>
      <w:r w:rsidRPr="00DE12A3">
        <w:rPr>
          <w:rFonts w:cs="Times New Roman"/>
          <w:color w:val="auto"/>
        </w:rPr>
        <w:t>Şekil 5.2</w:t>
      </w:r>
    </w:p>
    <w:p w14:paraId="40CDC587" w14:textId="77777777" w:rsidR="002D7B36" w:rsidRPr="00DE12A3" w:rsidRDefault="00242DA0" w:rsidP="001C5108">
      <w:pPr>
        <w:pStyle w:val="Gvdemetni50"/>
        <w:shd w:val="clear" w:color="auto" w:fill="auto"/>
        <w:spacing w:before="120" w:after="120" w:line="240" w:lineRule="auto"/>
        <w:jc w:val="center"/>
        <w:rPr>
          <w:spacing w:val="3"/>
          <w:sz w:val="24"/>
          <w:szCs w:val="24"/>
        </w:rPr>
      </w:pPr>
      <w:r w:rsidRPr="00DE12A3">
        <w:rPr>
          <w:sz w:val="24"/>
          <w:szCs w:val="24"/>
        </w:rPr>
        <w:t>Azami net gücü &lt;19 kW olan NRE kategorisindeki değişken devirli motorlar, azami net gücü &lt;300 kW olan IWA kategorisindeki değişken devirli motorlar, devir C &lt;2400 rpm için kontrol alanı</w:t>
      </w:r>
    </w:p>
    <w:p w14:paraId="311FAD73" w14:textId="77777777" w:rsidR="002D7B36" w:rsidRPr="00DE12A3" w:rsidRDefault="002D7B36" w:rsidP="00C917D6">
      <w:pPr>
        <w:spacing w:before="120" w:after="120"/>
        <w:ind w:left="709" w:hanging="709"/>
        <w:jc w:val="both"/>
        <w:rPr>
          <w:rFonts w:eastAsia="Times New Roman" w:cs="Times New Roman"/>
          <w:color w:val="auto"/>
          <w:spacing w:val="3"/>
          <w:lang w:eastAsia="en-US"/>
        </w:rPr>
      </w:pPr>
    </w:p>
    <w:p w14:paraId="274DF3B7" w14:textId="2A5B0D85" w:rsidR="002D7B36" w:rsidRPr="00DE12A3" w:rsidRDefault="00536E67" w:rsidP="001C5108">
      <w:pPr>
        <w:spacing w:before="120" w:after="120"/>
        <w:jc w:val="center"/>
        <w:rPr>
          <w:rFonts w:eastAsia="Times New Roman" w:cs="Times New Roman"/>
          <w:color w:val="auto"/>
          <w:sz w:val="20"/>
          <w:szCs w:val="20"/>
          <w:lang w:eastAsia="en-US"/>
        </w:rPr>
      </w:pPr>
      <w:r w:rsidRPr="00DE12A3">
        <w:rPr>
          <w:rFonts w:cs="Times New Roman"/>
          <w:noProof/>
          <w:color w:val="auto"/>
        </w:rPr>
        <w:drawing>
          <wp:inline distT="0" distB="0" distL="0" distR="0" wp14:anchorId="4B1B7025" wp14:editId="32F7DA7B">
            <wp:extent cx="3648217" cy="2987040"/>
            <wp:effectExtent l="0" t="0" r="9525" b="3810"/>
            <wp:docPr id="2404" name="Resim 24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21">
                      <a:extLst>
                        <a:ext uri="{28A0092B-C50C-407E-A947-70E740481C1C}">
                          <a14:useLocalDpi xmlns:a14="http://schemas.microsoft.com/office/drawing/2010/main" val="0"/>
                        </a:ext>
                      </a:extLst>
                    </a:blip>
                    <a:srcRect l="10240" r="9560"/>
                    <a:stretch/>
                  </pic:blipFill>
                  <pic:spPr bwMode="auto">
                    <a:xfrm>
                      <a:off x="0" y="0"/>
                      <a:ext cx="3649389" cy="2988000"/>
                    </a:xfrm>
                    <a:prstGeom prst="rect">
                      <a:avLst/>
                    </a:prstGeom>
                    <a:noFill/>
                    <a:ln>
                      <a:noFill/>
                    </a:ln>
                    <a:extLst>
                      <a:ext uri="{53640926-AAD7-44D8-BBD7-CCE9431645EC}">
                        <a14:shadowObscured xmlns:a14="http://schemas.microsoft.com/office/drawing/2010/main"/>
                      </a:ext>
                    </a:extLst>
                  </pic:spPr>
                </pic:pic>
              </a:graphicData>
            </a:graphic>
          </wp:inline>
        </w:drawing>
      </w:r>
    </w:p>
    <w:p w14:paraId="748B6C46" w14:textId="76B32894" w:rsidR="002D7B36" w:rsidRPr="00DE12A3" w:rsidRDefault="002D7B36" w:rsidP="00C917D6">
      <w:pPr>
        <w:tabs>
          <w:tab w:val="left" w:pos="5747"/>
        </w:tabs>
        <w:spacing w:before="120" w:after="120"/>
        <w:ind w:left="709" w:hanging="709"/>
        <w:jc w:val="both"/>
        <w:rPr>
          <w:rFonts w:eastAsia="Times New Roman" w:cs="Times New Roman"/>
          <w:color w:val="auto"/>
          <w:sz w:val="20"/>
          <w:szCs w:val="20"/>
          <w:lang w:eastAsia="en-US"/>
        </w:rPr>
      </w:pPr>
    </w:p>
    <w:p w14:paraId="23C5AD7F" w14:textId="77777777" w:rsidR="002D7B36" w:rsidRPr="00DE12A3" w:rsidRDefault="00242DA0" w:rsidP="00C917D6">
      <w:pPr>
        <w:spacing w:before="120" w:after="120"/>
        <w:ind w:left="709" w:hanging="709"/>
        <w:jc w:val="both"/>
        <w:rPr>
          <w:rFonts w:eastAsia="Times New Roman" w:cs="Times New Roman"/>
          <w:b/>
          <w:bCs/>
          <w:color w:val="auto"/>
          <w:spacing w:val="3"/>
          <w:lang w:eastAsia="en-US"/>
        </w:rPr>
      </w:pPr>
      <w:r w:rsidRPr="00DE12A3">
        <w:rPr>
          <w:rFonts w:eastAsia="Times New Roman" w:cs="Times New Roman"/>
          <w:b/>
          <w:bCs/>
          <w:color w:val="auto"/>
          <w:spacing w:val="3"/>
          <w:lang w:eastAsia="en-US"/>
        </w:rPr>
        <w:t>Anahtar</w:t>
      </w:r>
    </w:p>
    <w:p w14:paraId="719DA28C" w14:textId="77777777" w:rsidR="002D7B36" w:rsidRPr="00DE12A3" w:rsidRDefault="00242DA0" w:rsidP="00E20716">
      <w:pPr>
        <w:numPr>
          <w:ilvl w:val="0"/>
          <w:numId w:val="110"/>
        </w:numPr>
        <w:spacing w:before="120" w:after="120"/>
        <w:ind w:left="709" w:hanging="709"/>
        <w:jc w:val="both"/>
        <w:rPr>
          <w:rFonts w:eastAsia="Times New Roman" w:cs="Times New Roman"/>
          <w:color w:val="auto"/>
          <w:spacing w:val="3"/>
          <w:lang w:eastAsia="en-US"/>
        </w:rPr>
      </w:pPr>
      <w:r w:rsidRPr="00DE12A3">
        <w:rPr>
          <w:rFonts w:eastAsia="Times New Roman" w:cs="Times New Roman"/>
          <w:color w:val="auto"/>
          <w:spacing w:val="3"/>
          <w:lang w:eastAsia="en-US"/>
        </w:rPr>
        <w:t>Motor Kontrol Alanı</w:t>
      </w:r>
    </w:p>
    <w:p w14:paraId="4771C4A7" w14:textId="77777777" w:rsidR="002D7B36" w:rsidRPr="00DE12A3" w:rsidRDefault="00242DA0" w:rsidP="00E20716">
      <w:pPr>
        <w:numPr>
          <w:ilvl w:val="0"/>
          <w:numId w:val="110"/>
        </w:numPr>
        <w:spacing w:before="120" w:after="120"/>
        <w:ind w:left="709" w:hanging="709"/>
        <w:jc w:val="both"/>
        <w:rPr>
          <w:rFonts w:eastAsia="Times New Roman" w:cs="Times New Roman"/>
          <w:color w:val="auto"/>
          <w:spacing w:val="3"/>
          <w:lang w:eastAsia="en-US"/>
        </w:rPr>
      </w:pPr>
      <w:r w:rsidRPr="00DE12A3">
        <w:rPr>
          <w:rFonts w:eastAsia="Times New Roman" w:cs="Times New Roman"/>
          <w:color w:val="auto"/>
          <w:spacing w:val="3"/>
          <w:lang w:eastAsia="en-US"/>
        </w:rPr>
        <w:t>Tüm Emisyonlar Çıkarılmış</w:t>
      </w:r>
    </w:p>
    <w:p w14:paraId="729214CE" w14:textId="77777777" w:rsidR="002D7B36" w:rsidRPr="00DE12A3" w:rsidRDefault="00242DA0" w:rsidP="00E20716">
      <w:pPr>
        <w:numPr>
          <w:ilvl w:val="0"/>
          <w:numId w:val="110"/>
        </w:numPr>
        <w:spacing w:before="120" w:after="120"/>
        <w:ind w:left="709" w:hanging="709"/>
        <w:jc w:val="both"/>
        <w:rPr>
          <w:rFonts w:eastAsia="Times New Roman" w:cs="Times New Roman"/>
          <w:color w:val="auto"/>
          <w:spacing w:val="3"/>
          <w:lang w:eastAsia="en-US"/>
        </w:rPr>
      </w:pPr>
      <w:r w:rsidRPr="00DE12A3">
        <w:rPr>
          <w:rFonts w:eastAsia="Times New Roman" w:cs="Times New Roman"/>
          <w:color w:val="auto"/>
          <w:spacing w:val="3"/>
          <w:lang w:eastAsia="en-US"/>
        </w:rPr>
        <w:t>PM Çıkarılmış</w:t>
      </w:r>
    </w:p>
    <w:p w14:paraId="69351061" w14:textId="77777777" w:rsidR="002D7B36" w:rsidRPr="00DE12A3" w:rsidRDefault="00242DA0" w:rsidP="00C917D6">
      <w:pPr>
        <w:spacing w:before="120" w:after="120"/>
        <w:ind w:left="709" w:hanging="709"/>
        <w:jc w:val="both"/>
        <w:rPr>
          <w:rFonts w:eastAsia="Times New Roman" w:cs="Times New Roman"/>
          <w:color w:val="auto"/>
          <w:spacing w:val="3"/>
          <w:vertAlign w:val="superscript"/>
          <w:lang w:eastAsia="en-US"/>
        </w:rPr>
      </w:pPr>
      <w:r w:rsidRPr="00DE12A3">
        <w:rPr>
          <w:rFonts w:eastAsia="Times New Roman" w:cs="Times New Roman"/>
          <w:color w:val="auto"/>
          <w:spacing w:val="3"/>
          <w:vertAlign w:val="superscript"/>
          <w:lang w:eastAsia="en-US"/>
        </w:rPr>
        <w:t>a</w:t>
      </w:r>
      <w:r w:rsidRPr="00DE12A3">
        <w:rPr>
          <w:rFonts w:eastAsia="Times New Roman" w:cs="Times New Roman"/>
          <w:color w:val="auto"/>
          <w:spacing w:val="3"/>
          <w:vertAlign w:val="superscript"/>
          <w:lang w:eastAsia="en-US"/>
        </w:rPr>
        <w:tab/>
      </w:r>
      <w:r w:rsidR="000434FA" w:rsidRPr="00DE12A3">
        <w:rPr>
          <w:rFonts w:eastAsia="Times New Roman" w:cs="Times New Roman"/>
          <w:color w:val="auto"/>
          <w:spacing w:val="3"/>
          <w:lang w:eastAsia="en-US"/>
        </w:rPr>
        <w:t>Az</w:t>
      </w:r>
      <w:r w:rsidRPr="00DE12A3">
        <w:rPr>
          <w:rFonts w:eastAsia="Times New Roman" w:cs="Times New Roman"/>
          <w:color w:val="auto"/>
          <w:spacing w:val="3"/>
          <w:lang w:eastAsia="en-US"/>
        </w:rPr>
        <w:t>ami net güç yüzdesi</w:t>
      </w:r>
    </w:p>
    <w:p w14:paraId="33C248A8" w14:textId="77777777" w:rsidR="002D7B36" w:rsidRPr="00DE12A3" w:rsidRDefault="00242DA0" w:rsidP="00C917D6">
      <w:pPr>
        <w:spacing w:before="120" w:after="120"/>
        <w:ind w:left="709" w:hanging="709"/>
        <w:jc w:val="both"/>
        <w:rPr>
          <w:rFonts w:eastAsia="Times New Roman" w:cs="Times New Roman"/>
          <w:color w:val="auto"/>
          <w:spacing w:val="3"/>
          <w:lang w:eastAsia="en-US"/>
        </w:rPr>
      </w:pPr>
      <w:r w:rsidRPr="00DE12A3">
        <w:rPr>
          <w:rFonts w:eastAsia="Times New Roman" w:cs="Times New Roman"/>
          <w:color w:val="auto"/>
          <w:spacing w:val="3"/>
          <w:vertAlign w:val="superscript"/>
          <w:lang w:eastAsia="en-US"/>
        </w:rPr>
        <w:lastRenderedPageBreak/>
        <w:t>b</w:t>
      </w:r>
      <w:r w:rsidRPr="00DE12A3">
        <w:rPr>
          <w:rFonts w:eastAsia="Times New Roman" w:cs="Times New Roman"/>
          <w:color w:val="auto"/>
          <w:spacing w:val="3"/>
          <w:vertAlign w:val="superscript"/>
          <w:lang w:eastAsia="en-US"/>
        </w:rPr>
        <w:tab/>
      </w:r>
      <w:r w:rsidR="000434FA" w:rsidRPr="00DE12A3">
        <w:rPr>
          <w:rFonts w:eastAsia="Times New Roman" w:cs="Times New Roman"/>
          <w:color w:val="auto"/>
          <w:spacing w:val="3"/>
          <w:lang w:eastAsia="en-US"/>
        </w:rPr>
        <w:t>A</w:t>
      </w:r>
      <w:r w:rsidRPr="00DE12A3">
        <w:rPr>
          <w:rFonts w:eastAsia="Times New Roman" w:cs="Times New Roman"/>
          <w:color w:val="auto"/>
          <w:spacing w:val="3"/>
          <w:lang w:eastAsia="en-US"/>
        </w:rPr>
        <w:t>zami tork yüzdesi</w:t>
      </w:r>
    </w:p>
    <w:p w14:paraId="3F6A32B1" w14:textId="77777777" w:rsidR="00536E67" w:rsidRPr="00DE12A3" w:rsidRDefault="00536E67" w:rsidP="00C917D6">
      <w:pPr>
        <w:spacing w:before="120" w:after="120"/>
        <w:ind w:left="709" w:hanging="709"/>
        <w:jc w:val="both"/>
        <w:rPr>
          <w:rFonts w:eastAsia="Times New Roman" w:cs="Times New Roman"/>
          <w:color w:val="auto"/>
          <w:spacing w:val="3"/>
          <w:lang w:eastAsia="en-US"/>
        </w:rPr>
      </w:pPr>
    </w:p>
    <w:p w14:paraId="188F6CAF" w14:textId="77777777" w:rsidR="002D7B36" w:rsidRPr="00DE12A3" w:rsidRDefault="00242DA0" w:rsidP="001C5108">
      <w:pPr>
        <w:spacing w:before="120" w:after="120"/>
        <w:jc w:val="center"/>
        <w:rPr>
          <w:rFonts w:eastAsia="Times New Roman" w:cs="Times New Roman"/>
          <w:i/>
          <w:iCs/>
          <w:color w:val="auto"/>
          <w:spacing w:val="3"/>
          <w:lang w:eastAsia="en-US"/>
        </w:rPr>
      </w:pPr>
      <w:r w:rsidRPr="00DE12A3">
        <w:rPr>
          <w:rFonts w:eastAsia="Times New Roman" w:cs="Times New Roman"/>
          <w:color w:val="auto"/>
          <w:spacing w:val="3"/>
          <w:lang w:eastAsia="en-US"/>
        </w:rPr>
        <w:t>Şekil 5.3</w:t>
      </w:r>
    </w:p>
    <w:p w14:paraId="514934AA" w14:textId="77777777" w:rsidR="002D7B36" w:rsidRPr="00DE12A3" w:rsidRDefault="00242DA0" w:rsidP="001C5108">
      <w:pPr>
        <w:spacing w:before="120" w:after="120"/>
        <w:jc w:val="center"/>
        <w:rPr>
          <w:rFonts w:eastAsia="Times New Roman" w:cs="Times New Roman"/>
          <w:b/>
          <w:bCs/>
          <w:color w:val="auto"/>
          <w:spacing w:val="3"/>
          <w:lang w:eastAsia="en-US"/>
        </w:rPr>
      </w:pPr>
      <w:r w:rsidRPr="00DE12A3">
        <w:rPr>
          <w:rFonts w:eastAsia="Times New Roman" w:cs="Times New Roman"/>
          <w:b/>
          <w:bCs/>
          <w:color w:val="auto"/>
          <w:spacing w:val="3"/>
          <w:lang w:eastAsia="en-US"/>
        </w:rPr>
        <w:t>Azami net gücü &lt;19 kW olan NRE kategorisindeki değişken devirli motorlar, azami net gücü &lt;300 kW olan IWA kategorisindeki değişken devirli motorlar, devir C &gt;2400 rpm için kontrol alanı</w:t>
      </w:r>
    </w:p>
    <w:p w14:paraId="0076355A" w14:textId="77777777" w:rsidR="002D7B36" w:rsidRPr="00DE12A3" w:rsidRDefault="002D7B36" w:rsidP="001C5108">
      <w:pPr>
        <w:spacing w:before="120" w:after="120"/>
        <w:jc w:val="center"/>
        <w:rPr>
          <w:rFonts w:eastAsia="Times New Roman" w:cs="Times New Roman"/>
          <w:color w:val="auto"/>
          <w:spacing w:val="3"/>
          <w:sz w:val="20"/>
          <w:szCs w:val="20"/>
          <w:lang w:eastAsia="en-US"/>
        </w:rPr>
      </w:pPr>
    </w:p>
    <w:p w14:paraId="51E97E22" w14:textId="593A0128" w:rsidR="002D7B36" w:rsidRPr="00DE12A3" w:rsidRDefault="00536E67" w:rsidP="001C5108">
      <w:pPr>
        <w:spacing w:before="120" w:after="120"/>
        <w:jc w:val="center"/>
        <w:rPr>
          <w:rFonts w:eastAsia="Times New Roman" w:cs="Times New Roman"/>
          <w:color w:val="auto"/>
          <w:spacing w:val="3"/>
          <w:sz w:val="20"/>
          <w:szCs w:val="20"/>
          <w:lang w:eastAsia="en-US"/>
        </w:rPr>
      </w:pPr>
      <w:r w:rsidRPr="00DE12A3">
        <w:rPr>
          <w:rFonts w:cs="Times New Roman"/>
          <w:noProof/>
          <w:color w:val="auto"/>
        </w:rPr>
        <w:drawing>
          <wp:inline distT="0" distB="0" distL="0" distR="0" wp14:anchorId="74950D1F" wp14:editId="12E8E091">
            <wp:extent cx="3394206" cy="2733518"/>
            <wp:effectExtent l="0" t="0" r="0" b="0"/>
            <wp:docPr id="2405" name="Resim 2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22">
                      <a:extLst>
                        <a:ext uri="{28A0092B-C50C-407E-A947-70E740481C1C}">
                          <a14:useLocalDpi xmlns:a14="http://schemas.microsoft.com/office/drawing/2010/main" val="0"/>
                        </a:ext>
                      </a:extLst>
                    </a:blip>
                    <a:srcRect l="16270" r="12831"/>
                    <a:stretch/>
                  </pic:blipFill>
                  <pic:spPr bwMode="auto">
                    <a:xfrm>
                      <a:off x="0" y="0"/>
                      <a:ext cx="3397019" cy="2735783"/>
                    </a:xfrm>
                    <a:prstGeom prst="rect">
                      <a:avLst/>
                    </a:prstGeom>
                    <a:noFill/>
                    <a:ln>
                      <a:noFill/>
                    </a:ln>
                    <a:extLst>
                      <a:ext uri="{53640926-AAD7-44D8-BBD7-CCE9431645EC}">
                        <a14:shadowObscured xmlns:a14="http://schemas.microsoft.com/office/drawing/2010/main"/>
                      </a:ext>
                    </a:extLst>
                  </pic:spPr>
                </pic:pic>
              </a:graphicData>
            </a:graphic>
          </wp:inline>
        </w:drawing>
      </w:r>
    </w:p>
    <w:p w14:paraId="0598C04A" w14:textId="77777777" w:rsidR="002D7B36" w:rsidRPr="00DE12A3" w:rsidRDefault="00242DA0" w:rsidP="00C917D6">
      <w:pPr>
        <w:spacing w:before="120" w:after="120"/>
        <w:ind w:left="709" w:hanging="709"/>
        <w:jc w:val="both"/>
        <w:rPr>
          <w:rFonts w:eastAsia="Times New Roman" w:cs="Times New Roman"/>
          <w:b/>
          <w:bCs/>
          <w:color w:val="auto"/>
          <w:spacing w:val="3"/>
          <w:lang w:eastAsia="en-US"/>
        </w:rPr>
      </w:pPr>
      <w:r w:rsidRPr="00DE12A3">
        <w:rPr>
          <w:rFonts w:eastAsia="Times New Roman" w:cs="Times New Roman"/>
          <w:b/>
          <w:bCs/>
          <w:color w:val="auto"/>
          <w:spacing w:val="3"/>
          <w:lang w:eastAsia="en-US"/>
        </w:rPr>
        <w:t>Anahtar</w:t>
      </w:r>
    </w:p>
    <w:p w14:paraId="50157EF8" w14:textId="77777777" w:rsidR="002D7B36" w:rsidRPr="00DE12A3" w:rsidRDefault="00242DA0" w:rsidP="00E20716">
      <w:pPr>
        <w:numPr>
          <w:ilvl w:val="0"/>
          <w:numId w:val="111"/>
        </w:numPr>
        <w:spacing w:before="120" w:after="120"/>
        <w:ind w:left="709" w:hanging="709"/>
        <w:jc w:val="both"/>
        <w:rPr>
          <w:rFonts w:eastAsia="Times New Roman" w:cs="Times New Roman"/>
          <w:color w:val="auto"/>
          <w:spacing w:val="3"/>
          <w:lang w:eastAsia="en-US"/>
        </w:rPr>
      </w:pPr>
      <w:r w:rsidRPr="00DE12A3">
        <w:rPr>
          <w:rFonts w:eastAsia="Times New Roman" w:cs="Times New Roman"/>
          <w:color w:val="auto"/>
          <w:spacing w:val="3"/>
          <w:lang w:eastAsia="en-US"/>
        </w:rPr>
        <w:t>Motor Kontrol Alanı</w:t>
      </w:r>
    </w:p>
    <w:p w14:paraId="63B4D0C0" w14:textId="77777777" w:rsidR="002D7B36" w:rsidRPr="00DE12A3" w:rsidRDefault="00242DA0" w:rsidP="00E20716">
      <w:pPr>
        <w:numPr>
          <w:ilvl w:val="0"/>
          <w:numId w:val="111"/>
        </w:numPr>
        <w:spacing w:before="120" w:after="120"/>
        <w:ind w:left="709" w:hanging="709"/>
        <w:jc w:val="both"/>
        <w:rPr>
          <w:rFonts w:eastAsia="Times New Roman" w:cs="Times New Roman"/>
          <w:color w:val="auto"/>
          <w:spacing w:val="3"/>
          <w:lang w:eastAsia="en-US"/>
        </w:rPr>
      </w:pPr>
      <w:r w:rsidRPr="00DE12A3">
        <w:rPr>
          <w:rFonts w:eastAsia="Times New Roman" w:cs="Times New Roman"/>
          <w:color w:val="auto"/>
          <w:spacing w:val="3"/>
          <w:lang w:eastAsia="en-US"/>
        </w:rPr>
        <w:t>Tüm Emisyonlar Çıkarılmış</w:t>
      </w:r>
    </w:p>
    <w:p w14:paraId="2AB93BBB" w14:textId="77777777" w:rsidR="002D7B36" w:rsidRPr="00DE12A3" w:rsidRDefault="00242DA0" w:rsidP="00E20716">
      <w:pPr>
        <w:numPr>
          <w:ilvl w:val="0"/>
          <w:numId w:val="111"/>
        </w:numPr>
        <w:spacing w:before="120" w:after="120"/>
        <w:ind w:left="709" w:hanging="709"/>
        <w:jc w:val="both"/>
        <w:rPr>
          <w:rFonts w:eastAsia="Times New Roman" w:cs="Times New Roman"/>
          <w:color w:val="auto"/>
          <w:spacing w:val="3"/>
          <w:lang w:eastAsia="en-US"/>
        </w:rPr>
      </w:pPr>
      <w:r w:rsidRPr="00DE12A3">
        <w:rPr>
          <w:rFonts w:eastAsia="Times New Roman" w:cs="Times New Roman"/>
          <w:color w:val="auto"/>
          <w:spacing w:val="3"/>
          <w:lang w:eastAsia="en-US"/>
        </w:rPr>
        <w:t>PM Çıkarılmış</w:t>
      </w:r>
    </w:p>
    <w:p w14:paraId="1F353094" w14:textId="77777777" w:rsidR="002D7B36" w:rsidRPr="00DE12A3" w:rsidRDefault="00242DA0" w:rsidP="00C917D6">
      <w:pPr>
        <w:spacing w:before="120" w:after="120"/>
        <w:ind w:left="709" w:hanging="709"/>
        <w:jc w:val="both"/>
        <w:rPr>
          <w:rFonts w:eastAsia="Times New Roman" w:cs="Times New Roman"/>
          <w:color w:val="auto"/>
          <w:spacing w:val="3"/>
          <w:vertAlign w:val="superscript"/>
          <w:lang w:eastAsia="en-US"/>
        </w:rPr>
      </w:pPr>
      <w:r w:rsidRPr="00DE12A3">
        <w:rPr>
          <w:rFonts w:eastAsia="Times New Roman" w:cs="Times New Roman"/>
          <w:color w:val="auto"/>
          <w:spacing w:val="3"/>
          <w:vertAlign w:val="superscript"/>
          <w:lang w:eastAsia="en-US"/>
        </w:rPr>
        <w:t>a</w:t>
      </w:r>
      <w:r w:rsidRPr="00DE12A3">
        <w:rPr>
          <w:rFonts w:eastAsia="Times New Roman" w:cs="Times New Roman"/>
          <w:color w:val="auto"/>
          <w:spacing w:val="3"/>
          <w:vertAlign w:val="superscript"/>
          <w:lang w:eastAsia="en-US"/>
        </w:rPr>
        <w:tab/>
      </w:r>
      <w:r w:rsidR="000434FA" w:rsidRPr="00DE12A3">
        <w:rPr>
          <w:rFonts w:eastAsia="Times New Roman" w:cs="Times New Roman"/>
          <w:color w:val="auto"/>
          <w:spacing w:val="3"/>
          <w:lang w:eastAsia="en-US"/>
        </w:rPr>
        <w:t>A</w:t>
      </w:r>
      <w:r w:rsidRPr="00DE12A3">
        <w:rPr>
          <w:rFonts w:eastAsia="Times New Roman" w:cs="Times New Roman"/>
          <w:color w:val="auto"/>
          <w:spacing w:val="3"/>
          <w:lang w:eastAsia="en-US"/>
        </w:rPr>
        <w:t>zami net güç yüzdesi</w:t>
      </w:r>
    </w:p>
    <w:p w14:paraId="569567B8" w14:textId="77777777" w:rsidR="002D7B36" w:rsidRPr="00DE12A3" w:rsidRDefault="00242DA0" w:rsidP="00C917D6">
      <w:pPr>
        <w:spacing w:before="120" w:after="120"/>
        <w:ind w:left="709" w:hanging="709"/>
        <w:jc w:val="both"/>
        <w:rPr>
          <w:rFonts w:eastAsia="Times New Roman" w:cs="Times New Roman"/>
          <w:color w:val="auto"/>
          <w:spacing w:val="3"/>
          <w:lang w:eastAsia="en-US"/>
        </w:rPr>
      </w:pPr>
      <w:r w:rsidRPr="00DE12A3">
        <w:rPr>
          <w:rFonts w:eastAsia="Times New Roman" w:cs="Times New Roman"/>
          <w:color w:val="auto"/>
          <w:spacing w:val="3"/>
          <w:vertAlign w:val="superscript"/>
          <w:lang w:eastAsia="en-US"/>
        </w:rPr>
        <w:t>b</w:t>
      </w:r>
      <w:r w:rsidRPr="00DE12A3">
        <w:rPr>
          <w:rFonts w:eastAsia="Times New Roman" w:cs="Times New Roman"/>
          <w:color w:val="auto"/>
          <w:spacing w:val="3"/>
          <w:vertAlign w:val="superscript"/>
          <w:lang w:eastAsia="en-US"/>
        </w:rPr>
        <w:tab/>
      </w:r>
      <w:r w:rsidR="000434FA" w:rsidRPr="00DE12A3">
        <w:rPr>
          <w:rFonts w:eastAsia="Times New Roman" w:cs="Times New Roman"/>
          <w:color w:val="auto"/>
          <w:spacing w:val="3"/>
          <w:lang w:eastAsia="en-US"/>
        </w:rPr>
        <w:t>A</w:t>
      </w:r>
      <w:r w:rsidRPr="00DE12A3">
        <w:rPr>
          <w:rFonts w:eastAsia="Times New Roman" w:cs="Times New Roman"/>
          <w:color w:val="auto"/>
          <w:spacing w:val="3"/>
          <w:lang w:eastAsia="en-US"/>
        </w:rPr>
        <w:t>zami tork yüzdesi</w:t>
      </w:r>
    </w:p>
    <w:p w14:paraId="3CB8E266" w14:textId="77777777" w:rsidR="002D7B36" w:rsidRPr="00DE12A3" w:rsidRDefault="002D7B36" w:rsidP="00C917D6">
      <w:pPr>
        <w:spacing w:before="120" w:after="120"/>
        <w:ind w:left="709" w:hanging="709"/>
        <w:jc w:val="both"/>
        <w:rPr>
          <w:rFonts w:eastAsia="Times New Roman" w:cs="Times New Roman"/>
          <w:color w:val="auto"/>
          <w:spacing w:val="3"/>
          <w:sz w:val="20"/>
          <w:szCs w:val="20"/>
          <w:lang w:eastAsia="en-US"/>
        </w:rPr>
      </w:pPr>
    </w:p>
    <w:p w14:paraId="1BD233C1" w14:textId="1E95F00F" w:rsidR="002D7B36" w:rsidRPr="00DE12A3" w:rsidRDefault="00D27F95" w:rsidP="00D27F95">
      <w:pPr>
        <w:spacing w:before="120" w:after="120"/>
        <w:jc w:val="both"/>
        <w:rPr>
          <w:rFonts w:eastAsia="Times New Roman" w:cs="Times New Roman"/>
          <w:bCs/>
          <w:color w:val="auto"/>
          <w:spacing w:val="3"/>
          <w:lang w:eastAsia="en-US"/>
        </w:rPr>
      </w:pPr>
      <w:r w:rsidRPr="00DE12A3">
        <w:rPr>
          <w:rFonts w:eastAsia="Times New Roman" w:cs="Times New Roman"/>
          <w:bCs/>
          <w:color w:val="auto"/>
          <w:spacing w:val="3"/>
          <w:lang w:eastAsia="en-US"/>
        </w:rPr>
        <w:t xml:space="preserve">2.2. </w:t>
      </w:r>
      <w:r w:rsidR="00242DA0" w:rsidRPr="00DE12A3">
        <w:rPr>
          <w:rFonts w:eastAsia="Times New Roman" w:cs="Times New Roman"/>
          <w:bCs/>
          <w:color w:val="auto"/>
          <w:spacing w:val="3"/>
          <w:lang w:eastAsia="en-US"/>
        </w:rPr>
        <w:t xml:space="preserve">NRSC </w:t>
      </w:r>
      <w:r w:rsidR="00F310B5" w:rsidRPr="00DE12A3">
        <w:rPr>
          <w:rFonts w:eastAsia="Times New Roman" w:cs="Times New Roman"/>
          <w:bCs/>
          <w:color w:val="auto"/>
          <w:spacing w:val="3"/>
          <w:lang w:eastAsia="en-US"/>
        </w:rPr>
        <w:t>çevrim</w:t>
      </w:r>
      <w:r w:rsidR="00242DA0" w:rsidRPr="00DE12A3">
        <w:rPr>
          <w:rFonts w:eastAsia="Times New Roman" w:cs="Times New Roman"/>
          <w:bCs/>
          <w:color w:val="auto"/>
          <w:spacing w:val="3"/>
          <w:lang w:eastAsia="en-US"/>
        </w:rPr>
        <w:t>leri D2, E2 ve G2'de test edilen motorlar için kontrol alanı</w:t>
      </w:r>
    </w:p>
    <w:p w14:paraId="6A183EA4" w14:textId="031894BE" w:rsidR="002D7B36" w:rsidRPr="00DE12A3" w:rsidRDefault="00242DA0" w:rsidP="00D27F95">
      <w:pPr>
        <w:spacing w:before="120" w:after="120"/>
        <w:jc w:val="both"/>
        <w:rPr>
          <w:rFonts w:eastAsia="Times New Roman" w:cs="Times New Roman"/>
          <w:color w:val="auto"/>
          <w:spacing w:val="3"/>
          <w:lang w:eastAsia="en-US"/>
        </w:rPr>
      </w:pPr>
      <w:r w:rsidRPr="00DE12A3">
        <w:rPr>
          <w:rFonts w:eastAsia="Times New Roman" w:cs="Times New Roman"/>
          <w:color w:val="auto"/>
          <w:spacing w:val="3"/>
          <w:lang w:eastAsia="en-US"/>
        </w:rPr>
        <w:t>Bu motorlar esasen tasarlanan çalışma devirlerine çok yakın çalıştırılmaktadır</w:t>
      </w:r>
      <w:r w:rsidR="00E266F7" w:rsidRPr="00DE12A3">
        <w:rPr>
          <w:rFonts w:eastAsia="Times New Roman" w:cs="Times New Roman"/>
          <w:color w:val="auto"/>
          <w:spacing w:val="3"/>
          <w:lang w:eastAsia="en-US"/>
        </w:rPr>
        <w:t>.</w:t>
      </w:r>
      <w:r w:rsidRPr="00DE12A3">
        <w:rPr>
          <w:rFonts w:eastAsia="Times New Roman" w:cs="Times New Roman"/>
          <w:color w:val="auto"/>
          <w:spacing w:val="3"/>
          <w:lang w:eastAsia="en-US"/>
        </w:rPr>
        <w:t xml:space="preserve"> </w:t>
      </w:r>
      <w:r w:rsidR="00E266F7" w:rsidRPr="00DE12A3">
        <w:rPr>
          <w:rFonts w:eastAsia="Times New Roman" w:cs="Times New Roman"/>
          <w:color w:val="auto"/>
          <w:spacing w:val="3"/>
          <w:lang w:eastAsia="en-US"/>
        </w:rPr>
        <w:t>D</w:t>
      </w:r>
      <w:r w:rsidRPr="00DE12A3">
        <w:rPr>
          <w:rFonts w:eastAsia="Times New Roman" w:cs="Times New Roman"/>
          <w:color w:val="auto"/>
          <w:spacing w:val="3"/>
          <w:lang w:eastAsia="en-US"/>
        </w:rPr>
        <w:t>olayısıyla kontrol alanı şöyle tanımlanmaktadır:</w:t>
      </w:r>
    </w:p>
    <w:p w14:paraId="3F27F704" w14:textId="77777777" w:rsidR="002D7B36" w:rsidRPr="00DE12A3" w:rsidRDefault="00242DA0" w:rsidP="00D27F95">
      <w:pPr>
        <w:tabs>
          <w:tab w:val="right" w:pos="1778"/>
          <w:tab w:val="center" w:pos="1898"/>
        </w:tabs>
        <w:spacing w:before="120" w:after="120"/>
        <w:jc w:val="both"/>
        <w:rPr>
          <w:rFonts w:eastAsia="Times New Roman" w:cs="Times New Roman"/>
          <w:color w:val="auto"/>
          <w:spacing w:val="3"/>
          <w:lang w:eastAsia="en-US"/>
        </w:rPr>
      </w:pPr>
      <w:r w:rsidRPr="00DE12A3">
        <w:rPr>
          <w:rFonts w:eastAsia="Times New Roman" w:cs="Times New Roman"/>
          <w:color w:val="auto"/>
          <w:spacing w:val="3"/>
          <w:lang w:eastAsia="en-US"/>
        </w:rPr>
        <w:t>devir:</w:t>
      </w:r>
      <w:r w:rsidRPr="00DE12A3">
        <w:rPr>
          <w:rFonts w:eastAsia="Times New Roman" w:cs="Times New Roman"/>
          <w:color w:val="auto"/>
          <w:spacing w:val="3"/>
          <w:lang w:eastAsia="en-US"/>
        </w:rPr>
        <w:tab/>
        <w:t>% 100</w:t>
      </w:r>
    </w:p>
    <w:p w14:paraId="7B3C1B55" w14:textId="610EE855" w:rsidR="002D7B36" w:rsidRPr="00DE12A3" w:rsidRDefault="00242DA0" w:rsidP="00D27F95">
      <w:pPr>
        <w:spacing w:before="120" w:after="120"/>
        <w:jc w:val="both"/>
        <w:rPr>
          <w:rFonts w:eastAsia="Times New Roman" w:cs="Times New Roman"/>
          <w:color w:val="auto"/>
          <w:spacing w:val="3"/>
          <w:lang w:eastAsia="en-US"/>
        </w:rPr>
      </w:pPr>
      <w:r w:rsidRPr="00DE12A3">
        <w:rPr>
          <w:rFonts w:eastAsia="Times New Roman" w:cs="Times New Roman"/>
          <w:color w:val="auto"/>
          <w:spacing w:val="3"/>
          <w:lang w:eastAsia="en-US"/>
        </w:rPr>
        <w:t>tork aralığı: azami güce karşılık gelen torkun %50'si</w:t>
      </w:r>
    </w:p>
    <w:p w14:paraId="4BF185A3" w14:textId="53FB148D" w:rsidR="002D7B36" w:rsidRPr="00DE12A3" w:rsidRDefault="00D27F95" w:rsidP="00D27F95">
      <w:pPr>
        <w:spacing w:before="120" w:after="120"/>
        <w:jc w:val="both"/>
        <w:rPr>
          <w:rFonts w:eastAsia="Times New Roman" w:cs="Times New Roman"/>
          <w:bCs/>
          <w:color w:val="auto"/>
          <w:spacing w:val="3"/>
          <w:lang w:eastAsia="en-US"/>
        </w:rPr>
      </w:pPr>
      <w:r w:rsidRPr="00DE12A3">
        <w:rPr>
          <w:rFonts w:eastAsia="Times New Roman" w:cs="Times New Roman"/>
          <w:bCs/>
          <w:color w:val="auto"/>
          <w:spacing w:val="3"/>
          <w:lang w:eastAsia="en-US"/>
        </w:rPr>
        <w:t xml:space="preserve">2.3. </w:t>
      </w:r>
      <w:r w:rsidR="00242DA0" w:rsidRPr="00DE12A3">
        <w:rPr>
          <w:rFonts w:eastAsia="Times New Roman" w:cs="Times New Roman"/>
          <w:bCs/>
          <w:color w:val="auto"/>
          <w:spacing w:val="3"/>
          <w:lang w:eastAsia="en-US"/>
        </w:rPr>
        <w:t xml:space="preserve">NRSC </w:t>
      </w:r>
      <w:r w:rsidR="006F6A17" w:rsidRPr="00DE12A3">
        <w:rPr>
          <w:rFonts w:eastAsia="Times New Roman" w:cs="Times New Roman"/>
          <w:bCs/>
          <w:color w:val="auto"/>
          <w:spacing w:val="3"/>
          <w:lang w:eastAsia="en-US"/>
        </w:rPr>
        <w:t>çevrimi E</w:t>
      </w:r>
      <w:r w:rsidR="00242DA0" w:rsidRPr="00DE12A3">
        <w:rPr>
          <w:rFonts w:eastAsia="Times New Roman" w:cs="Times New Roman"/>
          <w:bCs/>
          <w:color w:val="auto"/>
          <w:spacing w:val="3"/>
          <w:lang w:eastAsia="en-US"/>
        </w:rPr>
        <w:t>3'te test edilen motorlar için kontrol alanı</w:t>
      </w:r>
    </w:p>
    <w:p w14:paraId="0BA09E80" w14:textId="07C86D64" w:rsidR="002D7B36" w:rsidRPr="00DE12A3" w:rsidRDefault="00242DA0" w:rsidP="00D27F95">
      <w:pPr>
        <w:spacing w:before="120" w:after="120"/>
        <w:jc w:val="both"/>
        <w:rPr>
          <w:rFonts w:eastAsia="Times New Roman" w:cs="Times New Roman"/>
          <w:color w:val="auto"/>
          <w:spacing w:val="3"/>
          <w:lang w:eastAsia="en-US"/>
        </w:rPr>
      </w:pPr>
      <w:r w:rsidRPr="00DE12A3">
        <w:rPr>
          <w:rFonts w:eastAsia="Times New Roman" w:cs="Times New Roman"/>
          <w:color w:val="auto"/>
          <w:spacing w:val="3"/>
          <w:lang w:eastAsia="en-US"/>
        </w:rPr>
        <w:t>Bu motorlar esasen bir sabit hatveli pervane eğrisinin biraz altında ve üstünde çalışır. Kontrol alanı, pervane eğrisi ile ilgilidir ve kontrol alanının sınırlarını tanımlayan matematiksel denklemlerin üstlerine sahiptir. Kontrol alanı aşağıdaki şekilde tanımlanır:</w:t>
      </w:r>
    </w:p>
    <w:p w14:paraId="2BED57A3" w14:textId="77777777" w:rsidR="002D7B36" w:rsidRPr="00DE12A3" w:rsidRDefault="00242DA0" w:rsidP="00C917D6">
      <w:pPr>
        <w:spacing w:before="120" w:after="120"/>
        <w:ind w:left="1134"/>
        <w:jc w:val="both"/>
        <w:rPr>
          <w:rFonts w:eastAsia="Times New Roman" w:cs="Times New Roman"/>
          <w:color w:val="auto"/>
          <w:spacing w:val="3"/>
          <w:lang w:eastAsia="en-US"/>
        </w:rPr>
      </w:pPr>
      <w:r w:rsidRPr="00DE12A3">
        <w:rPr>
          <w:rFonts w:eastAsia="Times New Roman" w:cs="Times New Roman"/>
          <w:color w:val="auto"/>
          <w:spacing w:val="3"/>
          <w:lang w:eastAsia="en-US"/>
        </w:rPr>
        <w:t>Alt devir sınırı:</w:t>
      </w:r>
      <w:r w:rsidRPr="00DE12A3">
        <w:rPr>
          <w:rFonts w:eastAsia="Times New Roman" w:cs="Times New Roman"/>
          <w:color w:val="auto"/>
          <w:spacing w:val="3"/>
          <w:lang w:eastAsia="en-US"/>
        </w:rPr>
        <w:tab/>
        <w:t xml:space="preserve">0,7 x </w:t>
      </w:r>
      <w:r w:rsidRPr="00DE12A3">
        <w:rPr>
          <w:rFonts w:eastAsia="Times New Roman" w:cs="Times New Roman"/>
          <w:i/>
          <w:iCs/>
          <w:color w:val="auto"/>
          <w:spacing w:val="3"/>
          <w:lang w:eastAsia="en-US"/>
        </w:rPr>
        <w:t>n</w:t>
      </w:r>
      <w:r w:rsidRPr="00DE12A3">
        <w:rPr>
          <w:rFonts w:eastAsia="Times New Roman" w:cs="Times New Roman"/>
          <w:color w:val="auto"/>
          <w:spacing w:val="3"/>
          <w:vertAlign w:val="subscript"/>
          <w:lang w:eastAsia="en-US"/>
        </w:rPr>
        <w:t>100%</w:t>
      </w:r>
    </w:p>
    <w:p w14:paraId="4B47D876" w14:textId="13F3DE46" w:rsidR="002D7B36" w:rsidRPr="00DE12A3" w:rsidRDefault="00242DA0" w:rsidP="00C917D6">
      <w:pPr>
        <w:spacing w:before="120" w:after="120"/>
        <w:ind w:left="1134"/>
        <w:jc w:val="both"/>
        <w:rPr>
          <w:rFonts w:eastAsia="Times New Roman" w:cs="Times New Roman"/>
          <w:color w:val="auto"/>
          <w:spacing w:val="3"/>
          <w:lang w:eastAsia="en-US"/>
        </w:rPr>
      </w:pPr>
      <w:r w:rsidRPr="00DE12A3">
        <w:rPr>
          <w:rFonts w:eastAsia="Times New Roman" w:cs="Times New Roman"/>
          <w:color w:val="auto"/>
          <w:spacing w:val="3"/>
          <w:lang w:eastAsia="en-US"/>
        </w:rPr>
        <w:t>Üst sınır eğrisi:</w:t>
      </w:r>
      <w:r w:rsidRPr="00DE12A3">
        <w:rPr>
          <w:rFonts w:eastAsia="Times New Roman" w:cs="Times New Roman"/>
          <w:color w:val="auto"/>
          <w:spacing w:val="3"/>
          <w:lang w:eastAsia="en-US"/>
        </w:rPr>
        <w:tab/>
      </w:r>
      <w:r w:rsidRPr="00DE12A3">
        <w:rPr>
          <w:rFonts w:eastAsia="Times New Roman" w:cs="Times New Roman"/>
          <w:i/>
          <w:iCs/>
          <w:color w:val="auto"/>
          <w:spacing w:val="3"/>
          <w:lang w:eastAsia="en-US"/>
        </w:rPr>
        <w:t>%power</w:t>
      </w:r>
      <w:r w:rsidRPr="00DE12A3">
        <w:rPr>
          <w:rFonts w:eastAsia="Times New Roman" w:cs="Times New Roman"/>
          <w:color w:val="auto"/>
          <w:spacing w:val="3"/>
          <w:lang w:eastAsia="en-US"/>
        </w:rPr>
        <w:t xml:space="preserve"> = 100 x (%speed/90)</w:t>
      </w:r>
      <w:r w:rsidRPr="00DE12A3">
        <w:rPr>
          <w:rFonts w:eastAsia="Times New Roman" w:cs="Times New Roman"/>
          <w:color w:val="auto"/>
          <w:spacing w:val="3"/>
          <w:vertAlign w:val="superscript"/>
          <w:lang w:eastAsia="en-US"/>
        </w:rPr>
        <w:t>3,5</w:t>
      </w:r>
    </w:p>
    <w:p w14:paraId="1E481550" w14:textId="0DA2E24C" w:rsidR="002D7B36" w:rsidRPr="00DE12A3" w:rsidRDefault="00242DA0" w:rsidP="00C917D6">
      <w:pPr>
        <w:spacing w:before="120" w:after="120"/>
        <w:ind w:left="1134"/>
        <w:jc w:val="both"/>
        <w:rPr>
          <w:rFonts w:eastAsia="Times New Roman" w:cs="Times New Roman"/>
          <w:color w:val="auto"/>
          <w:spacing w:val="3"/>
          <w:lang w:eastAsia="en-US"/>
        </w:rPr>
      </w:pPr>
      <w:r w:rsidRPr="00DE12A3">
        <w:rPr>
          <w:rFonts w:eastAsia="Times New Roman" w:cs="Times New Roman"/>
          <w:color w:val="auto"/>
          <w:spacing w:val="3"/>
          <w:lang w:eastAsia="en-US"/>
        </w:rPr>
        <w:t>Alt sınır eğrisi:</w:t>
      </w:r>
      <w:r w:rsidRPr="00DE12A3">
        <w:rPr>
          <w:rFonts w:eastAsia="Times New Roman" w:cs="Times New Roman"/>
          <w:color w:val="auto"/>
          <w:spacing w:val="3"/>
          <w:lang w:eastAsia="en-US"/>
        </w:rPr>
        <w:tab/>
      </w:r>
      <w:r w:rsidRPr="00DE12A3">
        <w:rPr>
          <w:rFonts w:eastAsia="Times New Roman" w:cs="Times New Roman"/>
          <w:i/>
          <w:iCs/>
          <w:color w:val="auto"/>
          <w:spacing w:val="3"/>
          <w:lang w:eastAsia="en-US"/>
        </w:rPr>
        <w:t>%power</w:t>
      </w:r>
      <w:r w:rsidRPr="00DE12A3">
        <w:rPr>
          <w:rFonts w:eastAsia="Times New Roman" w:cs="Times New Roman"/>
          <w:color w:val="auto"/>
          <w:spacing w:val="3"/>
          <w:lang w:eastAsia="en-US"/>
        </w:rPr>
        <w:t xml:space="preserve"> = 70 x</w:t>
      </w:r>
      <w:r w:rsidRPr="00DE12A3">
        <w:rPr>
          <w:rFonts w:eastAsia="Times New Roman" w:cs="Times New Roman"/>
          <w:color w:val="auto"/>
          <w:spacing w:val="3"/>
          <w:lang w:eastAsia="en-US"/>
        </w:rPr>
        <w:tab/>
        <w:t>(%speed/100)</w:t>
      </w:r>
      <w:r w:rsidRPr="00DE12A3">
        <w:rPr>
          <w:rFonts w:eastAsia="Times New Roman" w:cs="Times New Roman"/>
          <w:color w:val="auto"/>
          <w:spacing w:val="3"/>
          <w:vertAlign w:val="superscript"/>
          <w:lang w:eastAsia="en-US"/>
        </w:rPr>
        <w:t>2,5</w:t>
      </w:r>
    </w:p>
    <w:p w14:paraId="4E666DDC" w14:textId="77777777" w:rsidR="002D7B36" w:rsidRPr="00DE12A3" w:rsidRDefault="00242DA0" w:rsidP="00C917D6">
      <w:pPr>
        <w:spacing w:before="120" w:after="120"/>
        <w:ind w:left="1134"/>
        <w:jc w:val="both"/>
        <w:rPr>
          <w:rFonts w:eastAsia="Times New Roman" w:cs="Times New Roman"/>
          <w:color w:val="auto"/>
          <w:spacing w:val="3"/>
          <w:lang w:eastAsia="en-US"/>
        </w:rPr>
      </w:pPr>
      <w:r w:rsidRPr="00DE12A3">
        <w:rPr>
          <w:rFonts w:eastAsia="Times New Roman" w:cs="Times New Roman"/>
          <w:color w:val="auto"/>
          <w:spacing w:val="3"/>
          <w:lang w:eastAsia="en-US"/>
        </w:rPr>
        <w:t>Üst güç sınırı:</w:t>
      </w:r>
      <w:r w:rsidRPr="00DE12A3">
        <w:rPr>
          <w:rFonts w:eastAsia="Times New Roman" w:cs="Times New Roman"/>
          <w:color w:val="auto"/>
          <w:spacing w:val="3"/>
          <w:lang w:eastAsia="en-US"/>
        </w:rPr>
        <w:tab/>
        <w:t>Tam yük güç eğrisi</w:t>
      </w:r>
    </w:p>
    <w:p w14:paraId="4A917BEB" w14:textId="344CD00B" w:rsidR="002D7B36" w:rsidRPr="00DE12A3" w:rsidRDefault="00242DA0" w:rsidP="00C917D6">
      <w:pPr>
        <w:spacing w:before="120" w:after="120"/>
        <w:ind w:left="1134"/>
        <w:jc w:val="both"/>
        <w:rPr>
          <w:rFonts w:eastAsia="Times New Roman" w:cs="Times New Roman"/>
          <w:color w:val="auto"/>
          <w:spacing w:val="3"/>
          <w:lang w:eastAsia="en-US"/>
        </w:rPr>
      </w:pPr>
      <w:r w:rsidRPr="00DE12A3">
        <w:rPr>
          <w:rFonts w:eastAsia="Times New Roman" w:cs="Times New Roman"/>
          <w:color w:val="auto"/>
          <w:spacing w:val="3"/>
          <w:lang w:eastAsia="en-US"/>
        </w:rPr>
        <w:lastRenderedPageBreak/>
        <w:t>Üst devir sınırı:</w:t>
      </w:r>
      <w:r w:rsidRPr="00DE12A3">
        <w:rPr>
          <w:rFonts w:eastAsia="Times New Roman" w:cs="Times New Roman"/>
          <w:color w:val="auto"/>
          <w:spacing w:val="3"/>
          <w:lang w:eastAsia="en-US"/>
        </w:rPr>
        <w:tab/>
      </w:r>
      <w:r w:rsidR="00B172A8" w:rsidRPr="00DE12A3">
        <w:rPr>
          <w:rFonts w:eastAsia="Times New Roman" w:cs="Times New Roman"/>
          <w:color w:val="auto"/>
          <w:spacing w:val="3"/>
          <w:lang w:eastAsia="en-US"/>
        </w:rPr>
        <w:t xml:space="preserve">Motor </w:t>
      </w:r>
      <w:r w:rsidR="00EF0D08" w:rsidRPr="00DE12A3">
        <w:rPr>
          <w:rFonts w:eastAsia="Times New Roman" w:cs="Times New Roman"/>
          <w:color w:val="auto"/>
          <w:spacing w:val="3"/>
          <w:lang w:eastAsia="en-US"/>
        </w:rPr>
        <w:t xml:space="preserve">kontrol </w:t>
      </w:r>
      <w:r w:rsidR="00B655AE" w:rsidRPr="00DE12A3">
        <w:rPr>
          <w:rFonts w:eastAsia="Times New Roman" w:cs="Times New Roman"/>
          <w:color w:val="auto"/>
          <w:spacing w:val="3"/>
          <w:lang w:eastAsia="en-US"/>
        </w:rPr>
        <w:t>ünitesi tarafından</w:t>
      </w:r>
      <w:r w:rsidRPr="00DE12A3">
        <w:rPr>
          <w:rFonts w:eastAsia="Times New Roman" w:cs="Times New Roman"/>
          <w:color w:val="auto"/>
          <w:spacing w:val="3"/>
          <w:lang w:eastAsia="en-US"/>
        </w:rPr>
        <w:t xml:space="preserve"> izin verilen azami devir</w:t>
      </w:r>
    </w:p>
    <w:p w14:paraId="4A4BCEE5" w14:textId="3CD0404C" w:rsidR="002D7B36" w:rsidRPr="00DE12A3" w:rsidRDefault="00E266F7" w:rsidP="00C917D6">
      <w:pPr>
        <w:spacing w:before="120" w:after="120"/>
        <w:ind w:left="1134"/>
        <w:jc w:val="both"/>
        <w:rPr>
          <w:rFonts w:eastAsia="Times New Roman" w:cs="Times New Roman"/>
          <w:color w:val="auto"/>
          <w:spacing w:val="3"/>
          <w:lang w:eastAsia="en-US"/>
        </w:rPr>
      </w:pPr>
      <w:r w:rsidRPr="00DE12A3">
        <w:rPr>
          <w:rFonts w:eastAsia="Times New Roman" w:cs="Times New Roman"/>
          <w:color w:val="auto"/>
          <w:spacing w:val="3"/>
          <w:lang w:eastAsia="en-US"/>
        </w:rPr>
        <w:t>B</w:t>
      </w:r>
      <w:r w:rsidR="00242DA0" w:rsidRPr="00DE12A3">
        <w:rPr>
          <w:rFonts w:eastAsia="Times New Roman" w:cs="Times New Roman"/>
          <w:color w:val="auto"/>
          <w:spacing w:val="3"/>
          <w:lang w:eastAsia="en-US"/>
        </w:rPr>
        <w:t>urada:</w:t>
      </w:r>
    </w:p>
    <w:p w14:paraId="594D0FF1" w14:textId="77777777" w:rsidR="002D7B36" w:rsidRPr="00DE12A3" w:rsidRDefault="00242DA0" w:rsidP="00C917D6">
      <w:pPr>
        <w:spacing w:before="120" w:after="120"/>
        <w:ind w:left="1134"/>
        <w:jc w:val="both"/>
        <w:rPr>
          <w:rFonts w:eastAsia="Times New Roman" w:cs="Times New Roman"/>
          <w:color w:val="auto"/>
          <w:spacing w:val="3"/>
          <w:lang w:eastAsia="en-US"/>
        </w:rPr>
      </w:pPr>
      <w:r w:rsidRPr="00DE12A3">
        <w:rPr>
          <w:rFonts w:eastAsia="Times New Roman" w:cs="Times New Roman"/>
          <w:i/>
          <w:iCs/>
          <w:color w:val="auto"/>
          <w:spacing w:val="3"/>
          <w:lang w:eastAsia="en-US"/>
        </w:rPr>
        <w:t>%power,</w:t>
      </w:r>
      <w:r w:rsidR="000434FA" w:rsidRPr="00DE12A3">
        <w:rPr>
          <w:rFonts w:eastAsia="Times New Roman" w:cs="Times New Roman"/>
          <w:i/>
          <w:iCs/>
          <w:color w:val="auto"/>
          <w:spacing w:val="3"/>
          <w:lang w:eastAsia="en-US"/>
        </w:rPr>
        <w:t xml:space="preserve"> </w:t>
      </w:r>
      <w:r w:rsidRPr="00DE12A3">
        <w:rPr>
          <w:rFonts w:eastAsia="Times New Roman" w:cs="Times New Roman"/>
          <w:color w:val="auto"/>
          <w:spacing w:val="3"/>
          <w:lang w:eastAsia="en-US"/>
        </w:rPr>
        <w:t>azami net güç yüzdesidir;</w:t>
      </w:r>
    </w:p>
    <w:p w14:paraId="7C6967D7" w14:textId="77777777" w:rsidR="002D7B36" w:rsidRPr="00DE12A3" w:rsidRDefault="00242DA0" w:rsidP="00C917D6">
      <w:pPr>
        <w:spacing w:before="120" w:after="120"/>
        <w:ind w:left="1134"/>
        <w:jc w:val="both"/>
        <w:rPr>
          <w:rFonts w:eastAsia="Times New Roman" w:cs="Times New Roman"/>
          <w:color w:val="auto"/>
          <w:spacing w:val="3"/>
          <w:lang w:eastAsia="en-US"/>
        </w:rPr>
      </w:pPr>
      <w:r w:rsidRPr="00DE12A3">
        <w:rPr>
          <w:rFonts w:eastAsia="Times New Roman" w:cs="Times New Roman"/>
          <w:i/>
          <w:iCs/>
          <w:color w:val="auto"/>
          <w:spacing w:val="3"/>
          <w:lang w:eastAsia="en-US"/>
        </w:rPr>
        <w:t>%speed,</w:t>
      </w:r>
      <w:r w:rsidR="000434FA" w:rsidRPr="00DE12A3">
        <w:rPr>
          <w:rFonts w:eastAsia="Times New Roman" w:cs="Times New Roman"/>
          <w:i/>
          <w:iCs/>
          <w:color w:val="auto"/>
          <w:spacing w:val="3"/>
          <w:lang w:eastAsia="en-US"/>
        </w:rPr>
        <w:t xml:space="preserve"> </w:t>
      </w:r>
      <w:r w:rsidRPr="00DE12A3">
        <w:rPr>
          <w:rFonts w:eastAsia="Times New Roman" w:cs="Times New Roman"/>
          <w:i/>
          <w:iCs/>
          <w:color w:val="auto"/>
          <w:spacing w:val="3"/>
          <w:lang w:eastAsia="en-US"/>
        </w:rPr>
        <w:t>n</w:t>
      </w:r>
      <w:r w:rsidRPr="00DE12A3">
        <w:rPr>
          <w:rFonts w:eastAsia="Times New Roman" w:cs="Times New Roman"/>
          <w:color w:val="auto"/>
          <w:spacing w:val="3"/>
          <w:vertAlign w:val="subscript"/>
          <w:lang w:eastAsia="en-US"/>
        </w:rPr>
        <w:t>100%</w:t>
      </w:r>
      <w:r w:rsidRPr="00DE12A3">
        <w:rPr>
          <w:rFonts w:eastAsia="Times New Roman" w:cs="Times New Roman"/>
          <w:color w:val="auto"/>
          <w:spacing w:val="3"/>
          <w:lang w:eastAsia="en-US"/>
        </w:rPr>
        <w:t xml:space="preserve"> yüzdesidir</w:t>
      </w:r>
    </w:p>
    <w:p w14:paraId="72C19465" w14:textId="77777777" w:rsidR="002D7B36" w:rsidRPr="00DE12A3" w:rsidRDefault="00242DA0" w:rsidP="00C917D6">
      <w:pPr>
        <w:spacing w:before="120" w:after="120"/>
        <w:ind w:left="1134"/>
        <w:jc w:val="both"/>
        <w:rPr>
          <w:rFonts w:eastAsia="Times New Roman" w:cs="Times New Roman"/>
          <w:color w:val="auto"/>
          <w:spacing w:val="3"/>
          <w:lang w:eastAsia="en-US"/>
        </w:rPr>
      </w:pPr>
      <w:r w:rsidRPr="00DE12A3">
        <w:rPr>
          <w:rFonts w:eastAsia="Times New Roman" w:cs="Times New Roman"/>
          <w:i/>
          <w:iCs/>
          <w:color w:val="auto"/>
          <w:spacing w:val="3"/>
          <w:lang w:eastAsia="en-US"/>
        </w:rPr>
        <w:t>n</w:t>
      </w:r>
      <w:r w:rsidRPr="00DE12A3">
        <w:rPr>
          <w:rFonts w:eastAsia="Times New Roman" w:cs="Times New Roman"/>
          <w:color w:val="auto"/>
          <w:spacing w:val="3"/>
          <w:vertAlign w:val="subscript"/>
          <w:lang w:eastAsia="en-US"/>
        </w:rPr>
        <w:t>100%</w:t>
      </w:r>
      <w:r w:rsidRPr="00DE12A3">
        <w:rPr>
          <w:rFonts w:eastAsia="Times New Roman" w:cs="Times New Roman"/>
          <w:color w:val="auto"/>
          <w:spacing w:val="3"/>
          <w:lang w:eastAsia="en-US"/>
        </w:rPr>
        <w:t xml:space="preserve">, ilgili test </w:t>
      </w:r>
      <w:r w:rsidR="00951351" w:rsidRPr="00DE12A3">
        <w:rPr>
          <w:rFonts w:eastAsia="Times New Roman" w:cs="Times New Roman"/>
          <w:color w:val="auto"/>
          <w:spacing w:val="3"/>
          <w:lang w:eastAsia="en-US"/>
        </w:rPr>
        <w:t xml:space="preserve">çevrimi </w:t>
      </w:r>
      <w:r w:rsidRPr="00DE12A3">
        <w:rPr>
          <w:rFonts w:eastAsia="Times New Roman" w:cs="Times New Roman"/>
          <w:color w:val="auto"/>
          <w:spacing w:val="3"/>
          <w:lang w:eastAsia="en-US"/>
        </w:rPr>
        <w:t xml:space="preserve"> için %100 devirdir.</w:t>
      </w:r>
    </w:p>
    <w:p w14:paraId="0766D91C" w14:textId="77777777" w:rsidR="002D7B36" w:rsidRPr="00DE12A3" w:rsidRDefault="002D7B36" w:rsidP="001C5108">
      <w:pPr>
        <w:spacing w:before="120" w:after="120"/>
        <w:jc w:val="both"/>
        <w:rPr>
          <w:rFonts w:eastAsia="Times New Roman" w:cs="Times New Roman"/>
          <w:color w:val="auto"/>
          <w:spacing w:val="3"/>
          <w:lang w:eastAsia="en-US"/>
        </w:rPr>
      </w:pPr>
    </w:p>
    <w:p w14:paraId="0FA3C8BD" w14:textId="77777777" w:rsidR="002D7B36" w:rsidRPr="00DE12A3" w:rsidRDefault="00242DA0" w:rsidP="001C5108">
      <w:pPr>
        <w:spacing w:before="120" w:after="120"/>
        <w:jc w:val="center"/>
        <w:rPr>
          <w:rFonts w:eastAsia="Times New Roman" w:cs="Times New Roman"/>
          <w:color w:val="auto"/>
          <w:lang w:eastAsia="en-US"/>
        </w:rPr>
      </w:pPr>
      <w:r w:rsidRPr="00DE12A3">
        <w:rPr>
          <w:rFonts w:eastAsia="Times New Roman" w:cs="Times New Roman"/>
          <w:color w:val="auto"/>
          <w:lang w:eastAsia="en-US"/>
        </w:rPr>
        <w:t>Şekil 5.4</w:t>
      </w:r>
    </w:p>
    <w:p w14:paraId="1958ABAA" w14:textId="77777777" w:rsidR="002D7B36" w:rsidRPr="00DE12A3" w:rsidRDefault="00242DA0" w:rsidP="001C5108">
      <w:pPr>
        <w:spacing w:before="120" w:after="120"/>
        <w:jc w:val="center"/>
        <w:rPr>
          <w:rFonts w:eastAsia="Times New Roman" w:cs="Times New Roman"/>
          <w:b/>
          <w:color w:val="auto"/>
          <w:lang w:eastAsia="en-US"/>
        </w:rPr>
      </w:pPr>
      <w:r w:rsidRPr="00DE12A3">
        <w:rPr>
          <w:rFonts w:eastAsia="Times New Roman" w:cs="Times New Roman"/>
          <w:b/>
          <w:color w:val="auto"/>
          <w:lang w:eastAsia="en-US"/>
        </w:rPr>
        <w:t xml:space="preserve">NRSC </w:t>
      </w:r>
      <w:r w:rsidR="006F6A17" w:rsidRPr="00DE12A3">
        <w:rPr>
          <w:rFonts w:eastAsia="Times New Roman" w:cs="Times New Roman"/>
          <w:b/>
          <w:color w:val="auto"/>
          <w:lang w:eastAsia="en-US"/>
        </w:rPr>
        <w:t>çevrimi E</w:t>
      </w:r>
      <w:r w:rsidRPr="00DE12A3">
        <w:rPr>
          <w:rFonts w:eastAsia="Times New Roman" w:cs="Times New Roman"/>
          <w:b/>
          <w:color w:val="auto"/>
          <w:lang w:eastAsia="en-US"/>
        </w:rPr>
        <w:t>3'te test edilen motorlar için kontrol alanı</w:t>
      </w:r>
    </w:p>
    <w:p w14:paraId="79BE6AA7" w14:textId="77777777" w:rsidR="002D7B36" w:rsidRPr="00DE12A3" w:rsidRDefault="002D7B36" w:rsidP="001C5108">
      <w:pPr>
        <w:spacing w:before="120" w:after="120"/>
        <w:jc w:val="both"/>
        <w:rPr>
          <w:rFonts w:eastAsia="Times New Roman" w:cs="Times New Roman"/>
          <w:b/>
          <w:color w:val="auto"/>
          <w:sz w:val="20"/>
          <w:szCs w:val="20"/>
          <w:lang w:eastAsia="en-US"/>
        </w:rPr>
      </w:pPr>
    </w:p>
    <w:p w14:paraId="190E76F7" w14:textId="7563D10F" w:rsidR="002D7B36" w:rsidRPr="00DE12A3" w:rsidRDefault="00536E67" w:rsidP="00C917D6">
      <w:pPr>
        <w:spacing w:before="120" w:after="120"/>
        <w:ind w:left="709" w:hanging="709"/>
        <w:jc w:val="both"/>
        <w:rPr>
          <w:rFonts w:eastAsia="Times New Roman" w:cs="Times New Roman"/>
          <w:color w:val="auto"/>
          <w:sz w:val="20"/>
          <w:szCs w:val="20"/>
          <w:lang w:eastAsia="en-US"/>
        </w:rPr>
      </w:pPr>
      <w:r w:rsidRPr="00DE12A3">
        <w:rPr>
          <w:rFonts w:cs="Times New Roman"/>
          <w:noProof/>
          <w:color w:val="auto"/>
        </w:rPr>
        <w:drawing>
          <wp:inline distT="0" distB="0" distL="0" distR="0" wp14:anchorId="52E86C88" wp14:editId="1FD2F525">
            <wp:extent cx="5760720" cy="3208655"/>
            <wp:effectExtent l="0" t="0" r="0" b="0"/>
            <wp:docPr id="2406" name="Resim 24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760720" cy="3208655"/>
                    </a:xfrm>
                    <a:prstGeom prst="rect">
                      <a:avLst/>
                    </a:prstGeom>
                    <a:noFill/>
                    <a:ln>
                      <a:noFill/>
                    </a:ln>
                  </pic:spPr>
                </pic:pic>
              </a:graphicData>
            </a:graphic>
          </wp:inline>
        </w:drawing>
      </w:r>
    </w:p>
    <w:p w14:paraId="5AF6A397" w14:textId="77777777" w:rsidR="002D7B36" w:rsidRPr="00DE12A3" w:rsidRDefault="00242DA0" w:rsidP="00C917D6">
      <w:pPr>
        <w:spacing w:before="120" w:after="120"/>
        <w:ind w:left="709" w:hanging="709"/>
        <w:jc w:val="both"/>
        <w:rPr>
          <w:rFonts w:eastAsia="Times New Roman" w:cs="Times New Roman"/>
          <w:b/>
          <w:color w:val="auto"/>
          <w:lang w:eastAsia="en-US"/>
        </w:rPr>
      </w:pPr>
      <w:r w:rsidRPr="00DE12A3">
        <w:rPr>
          <w:rFonts w:eastAsia="Times New Roman" w:cs="Times New Roman"/>
          <w:b/>
          <w:color w:val="auto"/>
          <w:lang w:eastAsia="en-US"/>
        </w:rPr>
        <w:t>Anahtar:</w:t>
      </w:r>
    </w:p>
    <w:p w14:paraId="42EECB18" w14:textId="77777777" w:rsidR="002D7B36" w:rsidRPr="00DE12A3" w:rsidRDefault="00242DA0" w:rsidP="00C917D6">
      <w:pPr>
        <w:spacing w:before="120" w:after="120"/>
        <w:ind w:left="709" w:hanging="709"/>
        <w:jc w:val="both"/>
        <w:rPr>
          <w:rFonts w:eastAsia="Times New Roman" w:cs="Times New Roman"/>
          <w:color w:val="auto"/>
          <w:lang w:eastAsia="en-US"/>
        </w:rPr>
      </w:pPr>
      <w:r w:rsidRPr="00DE12A3">
        <w:rPr>
          <w:rFonts w:eastAsia="Times New Roman" w:cs="Times New Roman"/>
          <w:color w:val="auto"/>
          <w:lang w:eastAsia="en-US"/>
        </w:rPr>
        <w:t>1</w:t>
      </w:r>
      <w:r w:rsidRPr="00DE12A3">
        <w:rPr>
          <w:rFonts w:eastAsia="Times New Roman" w:cs="Times New Roman"/>
          <w:color w:val="auto"/>
          <w:lang w:eastAsia="en-US"/>
        </w:rPr>
        <w:tab/>
        <w:t>Alt devir sınırı</w:t>
      </w:r>
    </w:p>
    <w:p w14:paraId="5DF23F7E" w14:textId="77777777" w:rsidR="002D7B36" w:rsidRPr="00DE12A3" w:rsidRDefault="00242DA0" w:rsidP="00C917D6">
      <w:pPr>
        <w:spacing w:before="120" w:after="120"/>
        <w:ind w:left="709" w:hanging="709"/>
        <w:jc w:val="both"/>
        <w:rPr>
          <w:rFonts w:eastAsia="Times New Roman" w:cs="Times New Roman"/>
          <w:color w:val="auto"/>
          <w:lang w:eastAsia="en-US"/>
        </w:rPr>
      </w:pPr>
      <w:r w:rsidRPr="00DE12A3">
        <w:rPr>
          <w:rFonts w:eastAsia="Times New Roman" w:cs="Times New Roman"/>
          <w:color w:val="auto"/>
          <w:lang w:eastAsia="en-US"/>
        </w:rPr>
        <w:t>2</w:t>
      </w:r>
      <w:r w:rsidRPr="00DE12A3">
        <w:rPr>
          <w:rFonts w:eastAsia="Times New Roman" w:cs="Times New Roman"/>
          <w:color w:val="auto"/>
          <w:lang w:eastAsia="en-US"/>
        </w:rPr>
        <w:tab/>
        <w:t>Üst sınır eğrisi</w:t>
      </w:r>
    </w:p>
    <w:p w14:paraId="317AB491" w14:textId="77777777" w:rsidR="002D7B36" w:rsidRPr="00DE12A3" w:rsidRDefault="00242DA0" w:rsidP="00C917D6">
      <w:pPr>
        <w:spacing w:before="120" w:after="120"/>
        <w:ind w:left="709" w:hanging="709"/>
        <w:jc w:val="both"/>
        <w:rPr>
          <w:rFonts w:eastAsia="Times New Roman" w:cs="Times New Roman"/>
          <w:color w:val="auto"/>
          <w:lang w:eastAsia="en-US"/>
        </w:rPr>
      </w:pPr>
      <w:r w:rsidRPr="00DE12A3">
        <w:rPr>
          <w:rFonts w:eastAsia="Times New Roman" w:cs="Times New Roman"/>
          <w:color w:val="auto"/>
          <w:lang w:eastAsia="en-US"/>
        </w:rPr>
        <w:t>3</w:t>
      </w:r>
      <w:r w:rsidRPr="00DE12A3">
        <w:rPr>
          <w:rFonts w:eastAsia="Times New Roman" w:cs="Times New Roman"/>
          <w:color w:val="auto"/>
          <w:lang w:eastAsia="en-US"/>
        </w:rPr>
        <w:tab/>
        <w:t>Alt sınır eğrisi</w:t>
      </w:r>
    </w:p>
    <w:p w14:paraId="4B6DF8D0" w14:textId="77777777" w:rsidR="002D7B36" w:rsidRPr="00DE12A3" w:rsidRDefault="00242DA0" w:rsidP="00C917D6">
      <w:pPr>
        <w:spacing w:before="120" w:after="120"/>
        <w:ind w:left="709" w:hanging="709"/>
        <w:jc w:val="both"/>
        <w:rPr>
          <w:rFonts w:eastAsia="Times New Roman" w:cs="Times New Roman"/>
          <w:color w:val="auto"/>
          <w:lang w:eastAsia="en-US"/>
        </w:rPr>
      </w:pPr>
      <w:r w:rsidRPr="00DE12A3">
        <w:rPr>
          <w:rFonts w:eastAsia="Times New Roman" w:cs="Times New Roman"/>
          <w:color w:val="auto"/>
          <w:lang w:eastAsia="en-US"/>
        </w:rPr>
        <w:t>4</w:t>
      </w:r>
      <w:r w:rsidRPr="00DE12A3">
        <w:rPr>
          <w:rFonts w:eastAsia="Times New Roman" w:cs="Times New Roman"/>
          <w:color w:val="auto"/>
          <w:lang w:eastAsia="en-US"/>
        </w:rPr>
        <w:tab/>
        <w:t>Tam yük güç eğrisi</w:t>
      </w:r>
    </w:p>
    <w:p w14:paraId="54EF311B" w14:textId="77777777" w:rsidR="002D7B36" w:rsidRPr="00DE12A3" w:rsidRDefault="00242DA0" w:rsidP="00C917D6">
      <w:pPr>
        <w:spacing w:before="120" w:after="120"/>
        <w:ind w:left="709" w:hanging="709"/>
        <w:jc w:val="both"/>
        <w:rPr>
          <w:rFonts w:eastAsia="Times New Roman" w:cs="Times New Roman"/>
          <w:color w:val="auto"/>
          <w:lang w:eastAsia="en-US"/>
        </w:rPr>
      </w:pPr>
      <w:r w:rsidRPr="00DE12A3">
        <w:rPr>
          <w:rFonts w:eastAsia="Times New Roman" w:cs="Times New Roman"/>
          <w:color w:val="auto"/>
          <w:lang w:eastAsia="en-US"/>
        </w:rPr>
        <w:t>5</w:t>
      </w:r>
      <w:r w:rsidRPr="00DE12A3">
        <w:rPr>
          <w:rFonts w:eastAsia="Times New Roman" w:cs="Times New Roman"/>
          <w:color w:val="auto"/>
          <w:lang w:eastAsia="en-US"/>
        </w:rPr>
        <w:tab/>
      </w:r>
      <w:r w:rsidR="00EF0D08" w:rsidRPr="00DE12A3">
        <w:rPr>
          <w:rFonts w:eastAsia="Times New Roman" w:cs="Times New Roman"/>
          <w:color w:val="auto"/>
          <w:lang w:eastAsia="en-US"/>
        </w:rPr>
        <w:t>Motor kontrol ünitesi azami</w:t>
      </w:r>
      <w:r w:rsidRPr="00DE12A3">
        <w:rPr>
          <w:rFonts w:eastAsia="Times New Roman" w:cs="Times New Roman"/>
          <w:color w:val="auto"/>
          <w:lang w:eastAsia="en-US"/>
        </w:rPr>
        <w:t xml:space="preserve"> devri eğrisi</w:t>
      </w:r>
    </w:p>
    <w:p w14:paraId="773BC813" w14:textId="77777777" w:rsidR="002D7B36" w:rsidRPr="00DE12A3" w:rsidRDefault="00242DA0" w:rsidP="00C917D6">
      <w:pPr>
        <w:spacing w:before="120" w:after="120"/>
        <w:ind w:left="709" w:hanging="709"/>
        <w:jc w:val="both"/>
        <w:rPr>
          <w:rFonts w:eastAsia="Times New Roman" w:cs="Times New Roman"/>
          <w:color w:val="auto"/>
          <w:lang w:eastAsia="en-US"/>
        </w:rPr>
      </w:pPr>
      <w:r w:rsidRPr="00DE12A3">
        <w:rPr>
          <w:rFonts w:eastAsia="Times New Roman" w:cs="Times New Roman"/>
          <w:color w:val="auto"/>
          <w:lang w:eastAsia="en-US"/>
        </w:rPr>
        <w:t>6</w:t>
      </w:r>
      <w:r w:rsidRPr="00DE12A3">
        <w:rPr>
          <w:rFonts w:eastAsia="Times New Roman" w:cs="Times New Roman"/>
          <w:color w:val="auto"/>
          <w:lang w:eastAsia="en-US"/>
        </w:rPr>
        <w:tab/>
        <w:t xml:space="preserve">Motor </w:t>
      </w:r>
      <w:r w:rsidR="00EF0D08" w:rsidRPr="00DE12A3">
        <w:rPr>
          <w:rFonts w:eastAsia="Times New Roman" w:cs="Times New Roman"/>
          <w:color w:val="auto"/>
          <w:lang w:eastAsia="en-US"/>
        </w:rPr>
        <w:t>k</w:t>
      </w:r>
      <w:r w:rsidRPr="00DE12A3">
        <w:rPr>
          <w:rFonts w:eastAsia="Times New Roman" w:cs="Times New Roman"/>
          <w:color w:val="auto"/>
          <w:lang w:eastAsia="en-US"/>
        </w:rPr>
        <w:t xml:space="preserve">ontrol </w:t>
      </w:r>
      <w:r w:rsidR="00EF0D08" w:rsidRPr="00DE12A3">
        <w:rPr>
          <w:rFonts w:eastAsia="Times New Roman" w:cs="Times New Roman"/>
          <w:color w:val="auto"/>
          <w:lang w:eastAsia="en-US"/>
        </w:rPr>
        <w:t>a</w:t>
      </w:r>
      <w:r w:rsidRPr="00DE12A3">
        <w:rPr>
          <w:rFonts w:eastAsia="Times New Roman" w:cs="Times New Roman"/>
          <w:color w:val="auto"/>
          <w:lang w:eastAsia="en-US"/>
        </w:rPr>
        <w:t>lanı</w:t>
      </w:r>
    </w:p>
    <w:p w14:paraId="4B7776FD" w14:textId="3D9EA4A8" w:rsidR="002D7B36" w:rsidRPr="00DE12A3" w:rsidRDefault="00242DA0" w:rsidP="00C917D6">
      <w:pPr>
        <w:spacing w:before="120" w:after="120"/>
        <w:ind w:left="1134" w:hanging="1134"/>
        <w:jc w:val="both"/>
        <w:rPr>
          <w:rFonts w:eastAsia="Times New Roman" w:cs="Times New Roman"/>
          <w:b/>
          <w:bCs/>
          <w:color w:val="auto"/>
          <w:lang w:eastAsia="en-US"/>
        </w:rPr>
      </w:pPr>
      <w:r w:rsidRPr="00DE12A3">
        <w:rPr>
          <w:rFonts w:eastAsia="Times New Roman" w:cs="Times New Roman"/>
          <w:b/>
          <w:bCs/>
          <w:color w:val="auto"/>
          <w:lang w:eastAsia="en-US"/>
        </w:rPr>
        <w:t>3.</w:t>
      </w:r>
      <w:r w:rsidR="00D27F95" w:rsidRPr="00DE12A3">
        <w:rPr>
          <w:rFonts w:eastAsia="Times New Roman" w:cs="Times New Roman"/>
          <w:b/>
          <w:bCs/>
          <w:color w:val="auto"/>
          <w:sz w:val="20"/>
          <w:szCs w:val="20"/>
          <w:lang w:eastAsia="en-US"/>
        </w:rPr>
        <w:t xml:space="preserve"> </w:t>
      </w:r>
      <w:r w:rsidRPr="00DE12A3">
        <w:rPr>
          <w:rFonts w:eastAsia="Times New Roman" w:cs="Times New Roman"/>
          <w:b/>
          <w:bCs/>
          <w:color w:val="auto"/>
          <w:lang w:eastAsia="en-US"/>
        </w:rPr>
        <w:t xml:space="preserve">İspat </w:t>
      </w:r>
      <w:r w:rsidR="0053289F" w:rsidRPr="00DE12A3">
        <w:rPr>
          <w:rFonts w:eastAsia="Times New Roman" w:cs="Times New Roman"/>
          <w:b/>
          <w:bCs/>
          <w:color w:val="auto"/>
          <w:lang w:eastAsia="en-US"/>
        </w:rPr>
        <w:t>gereklilikleri</w:t>
      </w:r>
    </w:p>
    <w:p w14:paraId="411CABF1" w14:textId="473CFA31" w:rsidR="002D7B36" w:rsidRPr="00DE12A3" w:rsidRDefault="00242DA0" w:rsidP="00D27F95">
      <w:pPr>
        <w:spacing w:before="120" w:after="120"/>
        <w:jc w:val="both"/>
        <w:rPr>
          <w:rFonts w:eastAsia="Times New Roman" w:cs="Times New Roman"/>
          <w:color w:val="auto"/>
          <w:lang w:eastAsia="en-US"/>
        </w:rPr>
      </w:pPr>
      <w:r w:rsidRPr="00DE12A3">
        <w:rPr>
          <w:rFonts w:eastAsia="Times New Roman" w:cs="Times New Roman"/>
          <w:color w:val="auto"/>
          <w:lang w:eastAsia="en-US"/>
        </w:rPr>
        <w:t xml:space="preserve">Teknik servis, test için kontrol alanı içinde rastgele yük ve devir noktalarını seçmelidir. 2.1 bendine tabi motorlar için en fazla üç nokta seçilir. 2.2 bendine tabi motorlar için bir nokta seçilir. 2.3 bendine tabi motorlar için en fazla iki nokta seçilir. Teknik servis ayrıca, test noktalarına dair rastgele bir çalışma sırası da belirlemelidir. Test, NRSC'nin temel </w:t>
      </w:r>
      <w:r w:rsidR="0053289F" w:rsidRPr="00DE12A3">
        <w:rPr>
          <w:rFonts w:eastAsia="Times New Roman" w:cs="Times New Roman"/>
          <w:color w:val="auto"/>
          <w:lang w:eastAsia="en-US"/>
        </w:rPr>
        <w:t>gerekliliklerine</w:t>
      </w:r>
      <w:r w:rsidRPr="00DE12A3">
        <w:rPr>
          <w:rFonts w:eastAsia="Times New Roman" w:cs="Times New Roman"/>
          <w:color w:val="auto"/>
          <w:lang w:eastAsia="en-US"/>
        </w:rPr>
        <w:t xml:space="preserve"> uygun olarak yapılmalıdır</w:t>
      </w:r>
      <w:r w:rsidR="00E266F7" w:rsidRPr="00DE12A3">
        <w:rPr>
          <w:rFonts w:eastAsia="Times New Roman" w:cs="Times New Roman"/>
          <w:color w:val="auto"/>
          <w:lang w:eastAsia="en-US"/>
        </w:rPr>
        <w:t>.</w:t>
      </w:r>
      <w:r w:rsidRPr="00DE12A3">
        <w:rPr>
          <w:rFonts w:eastAsia="Times New Roman" w:cs="Times New Roman"/>
          <w:color w:val="auto"/>
          <w:lang w:eastAsia="en-US"/>
        </w:rPr>
        <w:t xml:space="preserve"> </w:t>
      </w:r>
      <w:r w:rsidR="00E266F7" w:rsidRPr="00DE12A3">
        <w:rPr>
          <w:rFonts w:eastAsia="Times New Roman" w:cs="Times New Roman"/>
          <w:color w:val="auto"/>
          <w:lang w:eastAsia="en-US"/>
        </w:rPr>
        <w:t>A</w:t>
      </w:r>
      <w:r w:rsidRPr="00DE12A3">
        <w:rPr>
          <w:rFonts w:eastAsia="Times New Roman" w:cs="Times New Roman"/>
          <w:color w:val="auto"/>
          <w:lang w:eastAsia="en-US"/>
        </w:rPr>
        <w:t>ncak her test noktası birbirinden ayrı değerlendirilmelidir.</w:t>
      </w:r>
    </w:p>
    <w:p w14:paraId="03FD02D6" w14:textId="09570392" w:rsidR="002D7B36" w:rsidRPr="00DE12A3" w:rsidRDefault="00242DA0" w:rsidP="00D27F95">
      <w:pPr>
        <w:spacing w:before="120" w:after="120"/>
        <w:jc w:val="both"/>
        <w:rPr>
          <w:rFonts w:eastAsia="Times New Roman" w:cs="Times New Roman"/>
          <w:color w:val="auto"/>
          <w:lang w:eastAsia="en-US"/>
        </w:rPr>
      </w:pPr>
      <w:r w:rsidRPr="00DE12A3">
        <w:rPr>
          <w:rFonts w:eastAsia="Times New Roman" w:cs="Times New Roman"/>
          <w:color w:val="auto"/>
          <w:lang w:eastAsia="en-US"/>
        </w:rPr>
        <w:t>3.1.</w:t>
      </w:r>
      <w:r w:rsidR="00D27F95" w:rsidRPr="00DE12A3">
        <w:rPr>
          <w:rFonts w:eastAsia="Times New Roman" w:cs="Times New Roman"/>
          <w:color w:val="auto"/>
          <w:lang w:eastAsia="en-US"/>
        </w:rPr>
        <w:t xml:space="preserve"> </w:t>
      </w:r>
      <w:r w:rsidRPr="00DE12A3">
        <w:rPr>
          <w:rFonts w:eastAsia="Times New Roman" w:cs="Times New Roman"/>
          <w:color w:val="auto"/>
          <w:lang w:eastAsia="en-US"/>
        </w:rPr>
        <w:t xml:space="preserve">3. </w:t>
      </w:r>
      <w:r w:rsidR="008E32ED" w:rsidRPr="00DE12A3">
        <w:rPr>
          <w:rFonts w:eastAsia="Times New Roman" w:cs="Times New Roman"/>
          <w:color w:val="auto"/>
          <w:lang w:eastAsia="en-US"/>
        </w:rPr>
        <w:t xml:space="preserve">Bölümde </w:t>
      </w:r>
      <w:r w:rsidRPr="00DE12A3">
        <w:rPr>
          <w:rFonts w:eastAsia="Times New Roman" w:cs="Times New Roman"/>
          <w:color w:val="auto"/>
          <w:lang w:eastAsia="en-US"/>
        </w:rPr>
        <w:t>istenen rastgele seçimler için, kabul görmüş istatistiksel rasgeleleştirme yöntemleri kullanılır.</w:t>
      </w:r>
    </w:p>
    <w:p w14:paraId="1C628DC2" w14:textId="57D93AE1" w:rsidR="002D7B36" w:rsidRPr="00DE12A3" w:rsidRDefault="00242DA0" w:rsidP="00C917D6">
      <w:pPr>
        <w:spacing w:before="120" w:after="120"/>
        <w:ind w:left="1134" w:hanging="1134"/>
        <w:jc w:val="both"/>
        <w:rPr>
          <w:rFonts w:eastAsia="Times New Roman" w:cs="Times New Roman"/>
          <w:b/>
          <w:color w:val="auto"/>
          <w:lang w:eastAsia="en-US"/>
        </w:rPr>
      </w:pPr>
      <w:r w:rsidRPr="00DE12A3">
        <w:rPr>
          <w:rFonts w:eastAsia="Times New Roman" w:cs="Times New Roman"/>
          <w:b/>
          <w:bCs/>
          <w:color w:val="auto"/>
          <w:lang w:eastAsia="en-US"/>
        </w:rPr>
        <w:lastRenderedPageBreak/>
        <w:t>4.</w:t>
      </w:r>
      <w:r w:rsidR="00D27F95" w:rsidRPr="00DE12A3">
        <w:rPr>
          <w:rFonts w:eastAsia="Times New Roman" w:cs="Times New Roman"/>
          <w:color w:val="auto"/>
          <w:lang w:eastAsia="en-US"/>
        </w:rPr>
        <w:t xml:space="preserve"> </w:t>
      </w:r>
      <w:r w:rsidRPr="00DE12A3">
        <w:rPr>
          <w:rFonts w:eastAsia="Times New Roman" w:cs="Times New Roman"/>
          <w:b/>
          <w:color w:val="auto"/>
          <w:lang w:eastAsia="en-US"/>
        </w:rPr>
        <w:t xml:space="preserve">Test </w:t>
      </w:r>
      <w:r w:rsidR="0053289F" w:rsidRPr="00DE12A3">
        <w:rPr>
          <w:rFonts w:eastAsia="Times New Roman" w:cs="Times New Roman"/>
          <w:b/>
          <w:color w:val="auto"/>
          <w:lang w:eastAsia="en-US"/>
        </w:rPr>
        <w:t>gereklilikleri</w:t>
      </w:r>
    </w:p>
    <w:p w14:paraId="0BE4FFEE" w14:textId="77777777" w:rsidR="002D7B36" w:rsidRPr="00DE12A3" w:rsidRDefault="00242DA0" w:rsidP="00D27F95">
      <w:pPr>
        <w:spacing w:before="120" w:after="120"/>
        <w:jc w:val="both"/>
        <w:rPr>
          <w:rFonts w:eastAsia="Times New Roman" w:cs="Times New Roman"/>
          <w:color w:val="auto"/>
          <w:lang w:eastAsia="en-US"/>
        </w:rPr>
      </w:pPr>
      <w:r w:rsidRPr="00DE12A3">
        <w:rPr>
          <w:rFonts w:eastAsia="Times New Roman" w:cs="Times New Roman"/>
          <w:color w:val="auto"/>
          <w:lang w:eastAsia="en-US"/>
        </w:rPr>
        <w:t>Test, geçerli NRSC'den hemen sonra aşağıdaki şekilde yapılmalıdır:</w:t>
      </w:r>
    </w:p>
    <w:p w14:paraId="6B3B06A1" w14:textId="65EC12BF" w:rsidR="002D7B36" w:rsidRPr="00DE12A3" w:rsidRDefault="00242DA0" w:rsidP="00D27F95">
      <w:pPr>
        <w:spacing w:before="120" w:after="120"/>
        <w:jc w:val="both"/>
        <w:rPr>
          <w:rFonts w:eastAsia="Times New Roman" w:cs="Times New Roman"/>
          <w:color w:val="auto"/>
          <w:lang w:eastAsia="en-US"/>
        </w:rPr>
      </w:pPr>
      <w:r w:rsidRPr="00DE12A3">
        <w:rPr>
          <w:rFonts w:eastAsia="Times New Roman" w:cs="Times New Roman"/>
          <w:color w:val="auto"/>
          <w:lang w:eastAsia="en-US"/>
        </w:rPr>
        <w:t>(a)</w:t>
      </w:r>
      <w:r w:rsidR="00D27F95" w:rsidRPr="00DE12A3">
        <w:rPr>
          <w:rFonts w:eastAsia="Times New Roman" w:cs="Times New Roman"/>
          <w:color w:val="auto"/>
          <w:lang w:eastAsia="en-US"/>
        </w:rPr>
        <w:t xml:space="preserve"> </w:t>
      </w:r>
      <w:r w:rsidR="000434FA" w:rsidRPr="00DE12A3">
        <w:rPr>
          <w:rFonts w:eastAsia="Times New Roman" w:cs="Times New Roman"/>
          <w:color w:val="auto"/>
          <w:lang w:eastAsia="en-US"/>
        </w:rPr>
        <w:t>R</w:t>
      </w:r>
      <w:r w:rsidRPr="00DE12A3">
        <w:rPr>
          <w:rFonts w:eastAsia="Times New Roman" w:cs="Times New Roman"/>
          <w:color w:val="auto"/>
          <w:lang w:eastAsia="en-US"/>
        </w:rPr>
        <w:t xml:space="preserve">astgele seçilen tork ve devir noktalarının testi, ilgili olduğu ölçüde, ya </w:t>
      </w:r>
      <w:r w:rsidR="00FA0678" w:rsidRPr="00DE12A3">
        <w:rPr>
          <w:rFonts w:eastAsia="Times New Roman" w:cs="Times New Roman"/>
          <w:color w:val="auto"/>
          <w:lang w:eastAsia="en-US"/>
        </w:rPr>
        <w:t>VI’ncı ek</w:t>
      </w:r>
      <w:r w:rsidRPr="00DE12A3">
        <w:rPr>
          <w:rFonts w:eastAsia="Times New Roman" w:cs="Times New Roman"/>
          <w:color w:val="auto"/>
          <w:lang w:eastAsia="en-US"/>
        </w:rPr>
        <w:t>in</w:t>
      </w:r>
      <w:r w:rsidR="008E32ED" w:rsidRPr="00DE12A3">
        <w:rPr>
          <w:rFonts w:eastAsia="Times New Roman" w:cs="Times New Roman"/>
          <w:color w:val="auto"/>
          <w:lang w:eastAsia="en-US"/>
        </w:rPr>
        <w:t xml:space="preserve"> 7.8.1.2</w:t>
      </w:r>
      <w:r w:rsidRPr="00DE12A3">
        <w:rPr>
          <w:rFonts w:eastAsia="Times New Roman" w:cs="Times New Roman"/>
          <w:color w:val="auto"/>
          <w:lang w:eastAsia="en-US"/>
        </w:rPr>
        <w:t xml:space="preserve"> </w:t>
      </w:r>
      <w:r w:rsidR="008E32ED" w:rsidRPr="00DE12A3">
        <w:rPr>
          <w:rFonts w:eastAsia="Times New Roman" w:cs="Times New Roman"/>
          <w:color w:val="auto"/>
          <w:lang w:eastAsia="en-US"/>
        </w:rPr>
        <w:t xml:space="preserve">bendinin </w:t>
      </w:r>
      <w:r w:rsidRPr="00DE12A3">
        <w:rPr>
          <w:rFonts w:eastAsia="Times New Roman" w:cs="Times New Roman"/>
          <w:color w:val="auto"/>
          <w:lang w:eastAsia="en-US"/>
        </w:rPr>
        <w:t xml:space="preserve">(a) ila (e) </w:t>
      </w:r>
      <w:r w:rsidR="008E32ED" w:rsidRPr="00DE12A3">
        <w:rPr>
          <w:rFonts w:eastAsia="Times New Roman" w:cs="Times New Roman"/>
          <w:color w:val="auto"/>
          <w:lang w:eastAsia="en-US"/>
        </w:rPr>
        <w:t xml:space="preserve">numaralı alt </w:t>
      </w:r>
      <w:r w:rsidRPr="00DE12A3">
        <w:rPr>
          <w:rFonts w:eastAsia="Times New Roman" w:cs="Times New Roman"/>
          <w:color w:val="auto"/>
          <w:lang w:eastAsia="en-US"/>
        </w:rPr>
        <w:t xml:space="preserve">bentlerinde açıklanan ayrık mod NRSC test dizisinden hemen sonra, ancak test sonrası prosedürlerden (f ) önce ya da </w:t>
      </w:r>
      <w:r w:rsidR="00FA0678" w:rsidRPr="00DE12A3">
        <w:rPr>
          <w:rFonts w:eastAsia="Times New Roman" w:cs="Times New Roman"/>
          <w:color w:val="auto"/>
          <w:lang w:eastAsia="en-US"/>
        </w:rPr>
        <w:t xml:space="preserve">VI’ncı </w:t>
      </w:r>
      <w:r w:rsidR="00E266F7" w:rsidRPr="00DE12A3">
        <w:rPr>
          <w:rFonts w:eastAsia="Times New Roman" w:cs="Times New Roman"/>
          <w:color w:val="auto"/>
          <w:lang w:eastAsia="en-US"/>
        </w:rPr>
        <w:t>E</w:t>
      </w:r>
      <w:r w:rsidR="00FA0678" w:rsidRPr="00DE12A3">
        <w:rPr>
          <w:rFonts w:eastAsia="Times New Roman" w:cs="Times New Roman"/>
          <w:color w:val="auto"/>
          <w:lang w:eastAsia="en-US"/>
        </w:rPr>
        <w:t>k</w:t>
      </w:r>
      <w:r w:rsidRPr="00DE12A3">
        <w:rPr>
          <w:rFonts w:eastAsia="Times New Roman" w:cs="Times New Roman"/>
          <w:color w:val="auto"/>
          <w:lang w:eastAsia="en-US"/>
        </w:rPr>
        <w:t xml:space="preserve">in 7.8.2.3 bendinin (a) ila (d) </w:t>
      </w:r>
      <w:r w:rsidR="00E266F7" w:rsidRPr="00DE12A3">
        <w:rPr>
          <w:rFonts w:eastAsia="Times New Roman" w:cs="Times New Roman"/>
          <w:color w:val="auto"/>
          <w:lang w:eastAsia="en-US"/>
        </w:rPr>
        <w:t xml:space="preserve">numaralı </w:t>
      </w:r>
      <w:r w:rsidRPr="00DE12A3">
        <w:rPr>
          <w:rFonts w:eastAsia="Times New Roman" w:cs="Times New Roman"/>
          <w:color w:val="auto"/>
          <w:lang w:eastAsia="en-US"/>
        </w:rPr>
        <w:t xml:space="preserve">alt bentlerinde açıklanan artırımlı modal karayolu dışında </w:t>
      </w:r>
      <w:r w:rsidR="00951351" w:rsidRPr="00DE12A3">
        <w:rPr>
          <w:rFonts w:eastAsia="Times New Roman" w:cs="Times New Roman"/>
          <w:color w:val="auto"/>
          <w:lang w:eastAsia="en-US"/>
        </w:rPr>
        <w:t xml:space="preserve">  kararlı durum  </w:t>
      </w:r>
      <w:r w:rsidRPr="00DE12A3">
        <w:rPr>
          <w:rFonts w:eastAsia="Times New Roman" w:cs="Times New Roman"/>
          <w:color w:val="auto"/>
          <w:lang w:eastAsia="en-US"/>
        </w:rPr>
        <w:t xml:space="preserve">test </w:t>
      </w:r>
      <w:r w:rsidR="00951351" w:rsidRPr="00DE12A3">
        <w:rPr>
          <w:rFonts w:eastAsia="Times New Roman" w:cs="Times New Roman"/>
          <w:color w:val="auto"/>
          <w:lang w:eastAsia="en-US"/>
        </w:rPr>
        <w:t xml:space="preserve">çevrimi </w:t>
      </w:r>
      <w:r w:rsidRPr="00DE12A3">
        <w:rPr>
          <w:rFonts w:eastAsia="Times New Roman" w:cs="Times New Roman"/>
          <w:color w:val="auto"/>
          <w:lang w:eastAsia="en-US"/>
        </w:rPr>
        <w:t xml:space="preserve"> ("RMC") test dizisinden sonra, ancak test sonrası prosedürlerden (e) önce yapılmalıdır</w:t>
      </w:r>
      <w:r w:rsidR="00E266F7" w:rsidRPr="00DE12A3">
        <w:rPr>
          <w:rFonts w:eastAsia="Times New Roman" w:cs="Times New Roman"/>
          <w:color w:val="auto"/>
          <w:lang w:eastAsia="en-US"/>
        </w:rPr>
        <w:t>.</w:t>
      </w:r>
    </w:p>
    <w:p w14:paraId="527A3F08" w14:textId="6166E31B" w:rsidR="002D7B36" w:rsidRPr="00DE12A3" w:rsidRDefault="00242DA0" w:rsidP="00D27F95">
      <w:pPr>
        <w:tabs>
          <w:tab w:val="left" w:pos="851"/>
        </w:tabs>
        <w:spacing w:before="120" w:after="120"/>
        <w:jc w:val="both"/>
        <w:rPr>
          <w:rFonts w:eastAsia="Times New Roman" w:cs="Times New Roman"/>
          <w:color w:val="auto"/>
          <w:lang w:eastAsia="en-US"/>
        </w:rPr>
      </w:pPr>
      <w:r w:rsidRPr="00DE12A3">
        <w:rPr>
          <w:rFonts w:eastAsia="Times New Roman" w:cs="Times New Roman"/>
          <w:color w:val="auto"/>
          <w:lang w:eastAsia="en-US"/>
        </w:rPr>
        <w:t>(b)</w:t>
      </w:r>
      <w:r w:rsidR="00EB3EA9" w:rsidRPr="00DE12A3">
        <w:rPr>
          <w:rFonts w:eastAsia="Times New Roman" w:cs="Times New Roman"/>
          <w:color w:val="auto"/>
          <w:lang w:eastAsia="en-US"/>
        </w:rPr>
        <w:t xml:space="preserve"> T</w:t>
      </w:r>
      <w:r w:rsidRPr="00DE12A3">
        <w:rPr>
          <w:rFonts w:eastAsia="Times New Roman" w:cs="Times New Roman"/>
          <w:color w:val="auto"/>
          <w:lang w:eastAsia="en-US"/>
        </w:rPr>
        <w:t xml:space="preserve">estler, 3. </w:t>
      </w:r>
      <w:r w:rsidR="00B32A92" w:rsidRPr="00DE12A3">
        <w:rPr>
          <w:rFonts w:eastAsia="Times New Roman" w:cs="Times New Roman"/>
          <w:color w:val="auto"/>
          <w:lang w:eastAsia="en-US"/>
        </w:rPr>
        <w:t>Bölüm</w:t>
      </w:r>
      <w:r w:rsidRPr="00DE12A3">
        <w:rPr>
          <w:rFonts w:eastAsia="Times New Roman" w:cs="Times New Roman"/>
          <w:color w:val="auto"/>
          <w:lang w:eastAsia="en-US"/>
        </w:rPr>
        <w:t xml:space="preserve"> uyarınca seçilen test noktalarının her biri için birden fazla filtre yöntemi (her test noktası için bir filtre) kullanılarak, </w:t>
      </w:r>
      <w:r w:rsidR="00FA0678" w:rsidRPr="00DE12A3">
        <w:rPr>
          <w:rFonts w:eastAsia="Times New Roman" w:cs="Times New Roman"/>
          <w:color w:val="auto"/>
          <w:lang w:eastAsia="en-US"/>
        </w:rPr>
        <w:t xml:space="preserve">VI’ncı </w:t>
      </w:r>
      <w:r w:rsidR="008E32ED" w:rsidRPr="00DE12A3">
        <w:rPr>
          <w:rFonts w:eastAsia="Times New Roman" w:cs="Times New Roman"/>
          <w:color w:val="auto"/>
          <w:lang w:eastAsia="en-US"/>
        </w:rPr>
        <w:t>E</w:t>
      </w:r>
      <w:r w:rsidR="00FA0678" w:rsidRPr="00DE12A3">
        <w:rPr>
          <w:rFonts w:eastAsia="Times New Roman" w:cs="Times New Roman"/>
          <w:color w:val="auto"/>
          <w:lang w:eastAsia="en-US"/>
        </w:rPr>
        <w:t>k</w:t>
      </w:r>
      <w:r w:rsidRPr="00DE12A3">
        <w:rPr>
          <w:rFonts w:eastAsia="Times New Roman" w:cs="Times New Roman"/>
          <w:color w:val="auto"/>
          <w:lang w:eastAsia="en-US"/>
        </w:rPr>
        <w:t>in 7.8.</w:t>
      </w:r>
      <w:r w:rsidR="008E32ED" w:rsidRPr="00DE12A3">
        <w:rPr>
          <w:rFonts w:eastAsia="Times New Roman" w:cs="Times New Roman"/>
          <w:color w:val="auto"/>
          <w:lang w:eastAsia="en-US"/>
        </w:rPr>
        <w:t>1</w:t>
      </w:r>
      <w:r w:rsidRPr="00DE12A3">
        <w:rPr>
          <w:rFonts w:eastAsia="Times New Roman" w:cs="Times New Roman"/>
          <w:color w:val="auto"/>
          <w:lang w:eastAsia="en-US"/>
        </w:rPr>
        <w:t>.</w:t>
      </w:r>
      <w:r w:rsidR="008E32ED" w:rsidRPr="00DE12A3">
        <w:rPr>
          <w:rFonts w:eastAsia="Times New Roman" w:cs="Times New Roman"/>
          <w:color w:val="auto"/>
          <w:lang w:eastAsia="en-US"/>
        </w:rPr>
        <w:t>2</w:t>
      </w:r>
      <w:r w:rsidRPr="00DE12A3">
        <w:rPr>
          <w:rFonts w:eastAsia="Times New Roman" w:cs="Times New Roman"/>
          <w:color w:val="auto"/>
          <w:lang w:eastAsia="en-US"/>
        </w:rPr>
        <w:t xml:space="preserve"> bendinin (b) ila (e) alt bentleri gereğince yapılmalıdır</w:t>
      </w:r>
      <w:r w:rsidR="00E266F7" w:rsidRPr="00DE12A3">
        <w:rPr>
          <w:rFonts w:eastAsia="Times New Roman" w:cs="Times New Roman"/>
          <w:color w:val="auto"/>
          <w:lang w:eastAsia="en-US"/>
        </w:rPr>
        <w:t>.</w:t>
      </w:r>
    </w:p>
    <w:p w14:paraId="36D0E927" w14:textId="432368F0" w:rsidR="002D7B36" w:rsidRPr="00DE12A3" w:rsidRDefault="00382808" w:rsidP="00D27F95">
      <w:pPr>
        <w:spacing w:before="120" w:after="120"/>
        <w:jc w:val="both"/>
        <w:rPr>
          <w:rFonts w:eastAsia="Times New Roman" w:cs="Times New Roman"/>
          <w:color w:val="auto"/>
          <w:lang w:eastAsia="en-US"/>
        </w:rPr>
      </w:pPr>
      <w:r w:rsidRPr="00DE12A3">
        <w:rPr>
          <w:rFonts w:eastAsia="Times New Roman" w:cs="Times New Roman"/>
          <w:color w:val="auto"/>
          <w:lang w:eastAsia="en-US"/>
        </w:rPr>
        <w:t xml:space="preserve">(c) </w:t>
      </w:r>
      <w:r w:rsidR="00EB3EA9" w:rsidRPr="00DE12A3">
        <w:rPr>
          <w:rFonts w:eastAsia="Times New Roman" w:cs="Times New Roman"/>
          <w:color w:val="auto"/>
          <w:lang w:eastAsia="en-US"/>
        </w:rPr>
        <w:t>H</w:t>
      </w:r>
      <w:r w:rsidR="00242DA0" w:rsidRPr="00DE12A3">
        <w:rPr>
          <w:rFonts w:eastAsia="Times New Roman" w:cs="Times New Roman"/>
          <w:color w:val="auto"/>
          <w:lang w:eastAsia="en-US"/>
        </w:rPr>
        <w:t>er test noktası için (g/kWh veya #/kWh cinsinden) belirli bir emisyon değeri hesaplanır</w:t>
      </w:r>
      <w:r w:rsidR="00E266F7" w:rsidRPr="00DE12A3">
        <w:rPr>
          <w:rFonts w:eastAsia="Times New Roman" w:cs="Times New Roman"/>
          <w:color w:val="auto"/>
          <w:lang w:eastAsia="en-US"/>
        </w:rPr>
        <w:t>.</w:t>
      </w:r>
    </w:p>
    <w:p w14:paraId="078D4F71" w14:textId="07F51C1A" w:rsidR="002D7B36" w:rsidRPr="00DE12A3" w:rsidRDefault="00382808" w:rsidP="00D27F95">
      <w:pPr>
        <w:spacing w:before="120" w:after="120"/>
        <w:jc w:val="both"/>
        <w:rPr>
          <w:rFonts w:eastAsia="Times New Roman" w:cs="Times New Roman"/>
          <w:color w:val="auto"/>
          <w:lang w:eastAsia="en-US"/>
        </w:rPr>
      </w:pPr>
      <w:r w:rsidRPr="00DE12A3">
        <w:rPr>
          <w:rFonts w:eastAsia="Times New Roman" w:cs="Times New Roman"/>
          <w:color w:val="auto"/>
          <w:lang w:eastAsia="en-US"/>
        </w:rPr>
        <w:t>(d)</w:t>
      </w:r>
      <w:r w:rsidR="00EB3EA9" w:rsidRPr="00DE12A3">
        <w:rPr>
          <w:rFonts w:eastAsia="Times New Roman" w:cs="Times New Roman"/>
          <w:color w:val="auto"/>
          <w:lang w:eastAsia="en-US"/>
        </w:rPr>
        <w:t xml:space="preserve"> E</w:t>
      </w:r>
      <w:r w:rsidR="00242DA0" w:rsidRPr="00DE12A3">
        <w:rPr>
          <w:rFonts w:eastAsia="Times New Roman" w:cs="Times New Roman"/>
          <w:color w:val="auto"/>
          <w:lang w:eastAsia="en-US"/>
        </w:rPr>
        <w:t xml:space="preserve">misyon değerleri, </w:t>
      </w:r>
      <w:r w:rsidR="00FA0678" w:rsidRPr="00DE12A3">
        <w:rPr>
          <w:rFonts w:eastAsia="Times New Roman" w:cs="Times New Roman"/>
          <w:color w:val="auto"/>
          <w:lang w:eastAsia="en-US"/>
        </w:rPr>
        <w:t xml:space="preserve">VII’nci </w:t>
      </w:r>
      <w:r w:rsidR="00850EBE" w:rsidRPr="00DE12A3">
        <w:rPr>
          <w:rFonts w:eastAsia="Times New Roman" w:cs="Times New Roman"/>
          <w:color w:val="auto"/>
          <w:lang w:eastAsia="en-US"/>
        </w:rPr>
        <w:t>E</w:t>
      </w:r>
      <w:r w:rsidR="00FA0678" w:rsidRPr="00DE12A3">
        <w:rPr>
          <w:rFonts w:eastAsia="Times New Roman" w:cs="Times New Roman"/>
          <w:color w:val="auto"/>
          <w:lang w:eastAsia="en-US"/>
        </w:rPr>
        <w:t>k</w:t>
      </w:r>
      <w:r w:rsidR="00242DA0" w:rsidRPr="00DE12A3">
        <w:rPr>
          <w:rFonts w:eastAsia="Times New Roman" w:cs="Times New Roman"/>
          <w:color w:val="auto"/>
          <w:lang w:eastAsia="en-US"/>
        </w:rPr>
        <w:t xml:space="preserve">in 2. </w:t>
      </w:r>
      <w:r w:rsidR="00850EBE" w:rsidRPr="00DE12A3">
        <w:rPr>
          <w:rFonts w:eastAsia="Times New Roman" w:cs="Times New Roman"/>
          <w:color w:val="auto"/>
          <w:lang w:eastAsia="en-US"/>
        </w:rPr>
        <w:t>B</w:t>
      </w:r>
      <w:r w:rsidR="00242DA0" w:rsidRPr="00DE12A3">
        <w:rPr>
          <w:rFonts w:eastAsia="Times New Roman" w:cs="Times New Roman"/>
          <w:color w:val="auto"/>
          <w:lang w:eastAsia="en-US"/>
        </w:rPr>
        <w:t xml:space="preserve">ölümü kullanılarak toplu olarak veya </w:t>
      </w:r>
      <w:r w:rsidR="00FA0678" w:rsidRPr="00DE12A3">
        <w:rPr>
          <w:rFonts w:eastAsia="Times New Roman" w:cs="Times New Roman"/>
          <w:color w:val="auto"/>
          <w:lang w:eastAsia="en-US"/>
        </w:rPr>
        <w:t xml:space="preserve">VII’nci </w:t>
      </w:r>
      <w:r w:rsidR="00850EBE" w:rsidRPr="00DE12A3">
        <w:rPr>
          <w:rFonts w:eastAsia="Times New Roman" w:cs="Times New Roman"/>
          <w:color w:val="auto"/>
          <w:lang w:eastAsia="en-US"/>
        </w:rPr>
        <w:t>E</w:t>
      </w:r>
      <w:r w:rsidR="00FA0678" w:rsidRPr="00DE12A3">
        <w:rPr>
          <w:rFonts w:eastAsia="Times New Roman" w:cs="Times New Roman"/>
          <w:color w:val="auto"/>
          <w:lang w:eastAsia="en-US"/>
        </w:rPr>
        <w:t>k</w:t>
      </w:r>
      <w:r w:rsidR="00242DA0" w:rsidRPr="00DE12A3">
        <w:rPr>
          <w:rFonts w:eastAsia="Times New Roman" w:cs="Times New Roman"/>
          <w:color w:val="auto"/>
          <w:lang w:eastAsia="en-US"/>
        </w:rPr>
        <w:t xml:space="preserve">in 3. </w:t>
      </w:r>
      <w:r w:rsidR="00850EBE" w:rsidRPr="00DE12A3">
        <w:rPr>
          <w:rFonts w:eastAsia="Times New Roman" w:cs="Times New Roman"/>
          <w:color w:val="auto"/>
          <w:lang w:eastAsia="en-US"/>
        </w:rPr>
        <w:t>B</w:t>
      </w:r>
      <w:r w:rsidR="00242DA0" w:rsidRPr="00DE12A3">
        <w:rPr>
          <w:rFonts w:eastAsia="Times New Roman" w:cs="Times New Roman"/>
          <w:color w:val="auto"/>
          <w:lang w:eastAsia="en-US"/>
        </w:rPr>
        <w:t>ölümü kullanılarak molar bazda hesaplanabilir</w:t>
      </w:r>
      <w:r w:rsidR="00E266F7" w:rsidRPr="00DE12A3">
        <w:rPr>
          <w:rFonts w:eastAsia="Times New Roman" w:cs="Times New Roman"/>
          <w:color w:val="auto"/>
          <w:lang w:eastAsia="en-US"/>
        </w:rPr>
        <w:t>.</w:t>
      </w:r>
      <w:r w:rsidR="00242DA0" w:rsidRPr="00DE12A3">
        <w:rPr>
          <w:rFonts w:eastAsia="Times New Roman" w:cs="Times New Roman"/>
          <w:color w:val="auto"/>
          <w:lang w:eastAsia="en-US"/>
        </w:rPr>
        <w:t xml:space="preserve"> </w:t>
      </w:r>
      <w:r w:rsidR="00E266F7" w:rsidRPr="00DE12A3">
        <w:rPr>
          <w:rFonts w:eastAsia="Times New Roman" w:cs="Times New Roman"/>
          <w:color w:val="auto"/>
          <w:lang w:eastAsia="en-US"/>
        </w:rPr>
        <w:t>A</w:t>
      </w:r>
      <w:r w:rsidR="00242DA0" w:rsidRPr="00DE12A3">
        <w:rPr>
          <w:rFonts w:eastAsia="Times New Roman" w:cs="Times New Roman"/>
          <w:color w:val="auto"/>
          <w:lang w:eastAsia="en-US"/>
        </w:rPr>
        <w:t>ncak ayrık mod NRSC veya RMC testi için kullanılan yöntem ile tutarlı olmalıdır</w:t>
      </w:r>
      <w:r w:rsidR="00E266F7" w:rsidRPr="00DE12A3">
        <w:rPr>
          <w:rFonts w:eastAsia="Times New Roman" w:cs="Times New Roman"/>
          <w:color w:val="auto"/>
          <w:lang w:eastAsia="en-US"/>
        </w:rPr>
        <w:t>.</w:t>
      </w:r>
    </w:p>
    <w:p w14:paraId="532D6676" w14:textId="77777777" w:rsidR="002D7B36" w:rsidRPr="00DE12A3" w:rsidRDefault="00382808" w:rsidP="00D27F95">
      <w:pPr>
        <w:spacing w:before="120" w:after="120"/>
        <w:jc w:val="both"/>
        <w:rPr>
          <w:rFonts w:eastAsia="Times New Roman" w:cs="Times New Roman"/>
          <w:color w:val="auto"/>
          <w:lang w:eastAsia="en-US"/>
        </w:rPr>
      </w:pPr>
      <w:r w:rsidRPr="00DE12A3">
        <w:rPr>
          <w:rFonts w:eastAsia="Times New Roman" w:cs="Times New Roman"/>
          <w:color w:val="auto"/>
          <w:lang w:eastAsia="en-US"/>
        </w:rPr>
        <w:t xml:space="preserve">(e) </w:t>
      </w:r>
      <w:r w:rsidR="00EB3EA9" w:rsidRPr="00DE12A3">
        <w:rPr>
          <w:rFonts w:eastAsia="Times New Roman" w:cs="Times New Roman"/>
          <w:color w:val="auto"/>
          <w:lang w:eastAsia="en-US"/>
        </w:rPr>
        <w:t>G</w:t>
      </w:r>
      <w:r w:rsidR="00242DA0" w:rsidRPr="00DE12A3">
        <w:rPr>
          <w:rFonts w:eastAsia="Times New Roman" w:cs="Times New Roman"/>
          <w:color w:val="auto"/>
          <w:lang w:eastAsia="en-US"/>
        </w:rPr>
        <w:t>az ve varsa PN toplama hesaplamaları için, denklemler (7-64) veya (7-131) ve (7-178) içindeki Nmod değeri 1 olarak ayarlanmalı ve ağırlık faktörü olarak 1 kullanılmalıdır;</w:t>
      </w:r>
    </w:p>
    <w:p w14:paraId="0FC0907E" w14:textId="7D797F56" w:rsidR="002D7B36" w:rsidRPr="00DE12A3" w:rsidRDefault="00382808" w:rsidP="00D27F95">
      <w:pPr>
        <w:spacing w:before="120" w:after="120"/>
        <w:jc w:val="both"/>
        <w:rPr>
          <w:rFonts w:eastAsia="Times New Roman" w:cs="Times New Roman"/>
          <w:color w:val="auto"/>
          <w:lang w:eastAsia="en-US"/>
        </w:rPr>
      </w:pPr>
      <w:r w:rsidRPr="00DE12A3">
        <w:rPr>
          <w:rFonts w:eastAsia="Times New Roman" w:cs="Times New Roman"/>
          <w:color w:val="auto"/>
          <w:lang w:eastAsia="en-US"/>
        </w:rPr>
        <w:t xml:space="preserve">(f) </w:t>
      </w:r>
      <w:r w:rsidR="00242DA0" w:rsidRPr="00DE12A3">
        <w:rPr>
          <w:rFonts w:eastAsia="Times New Roman" w:cs="Times New Roman"/>
          <w:color w:val="auto"/>
          <w:lang w:eastAsia="en-US"/>
        </w:rPr>
        <w:t>PM hesaplamaları için birden fazla filtre yöntemi kullanılır</w:t>
      </w:r>
      <w:r w:rsidR="00E266F7" w:rsidRPr="00DE12A3">
        <w:rPr>
          <w:rFonts w:eastAsia="Times New Roman" w:cs="Times New Roman"/>
          <w:color w:val="auto"/>
          <w:lang w:eastAsia="en-US"/>
        </w:rPr>
        <w:t>.</w:t>
      </w:r>
      <w:r w:rsidR="00242DA0" w:rsidRPr="00DE12A3">
        <w:rPr>
          <w:rFonts w:eastAsia="Times New Roman" w:cs="Times New Roman"/>
          <w:color w:val="auto"/>
          <w:lang w:eastAsia="en-US"/>
        </w:rPr>
        <w:t xml:space="preserve"> </w:t>
      </w:r>
      <w:r w:rsidR="00E266F7" w:rsidRPr="00DE12A3">
        <w:rPr>
          <w:rFonts w:eastAsia="Times New Roman" w:cs="Times New Roman"/>
          <w:color w:val="auto"/>
          <w:lang w:eastAsia="en-US"/>
        </w:rPr>
        <w:t>T</w:t>
      </w:r>
      <w:r w:rsidR="00242DA0" w:rsidRPr="00DE12A3">
        <w:rPr>
          <w:rFonts w:eastAsia="Times New Roman" w:cs="Times New Roman"/>
          <w:color w:val="auto"/>
          <w:lang w:eastAsia="en-US"/>
        </w:rPr>
        <w:t>oplama hesaplamaları için, denklemler (7-67) veya (7-134) içindeki Nmod 1 olarak ayarlanmalı ve ağırlık faktörü olarak 1 kullanılmalıdır.</w:t>
      </w:r>
    </w:p>
    <w:p w14:paraId="6973DA28" w14:textId="36552836" w:rsidR="002D7B36" w:rsidRPr="00DE12A3" w:rsidRDefault="00242DA0" w:rsidP="00C917D6">
      <w:pPr>
        <w:spacing w:before="120" w:after="120"/>
        <w:ind w:left="1134" w:hanging="1134"/>
        <w:jc w:val="both"/>
        <w:rPr>
          <w:rFonts w:eastAsia="Times New Roman" w:cs="Times New Roman"/>
          <w:b/>
          <w:color w:val="auto"/>
          <w:lang w:eastAsia="en-US"/>
        </w:rPr>
      </w:pPr>
      <w:r w:rsidRPr="00DE12A3">
        <w:rPr>
          <w:rFonts w:eastAsia="Times New Roman" w:cs="Times New Roman"/>
          <w:b/>
          <w:bCs/>
          <w:color w:val="auto"/>
          <w:lang w:eastAsia="en-US"/>
        </w:rPr>
        <w:t>5.</w:t>
      </w:r>
      <w:r w:rsidR="00D27F95" w:rsidRPr="00DE12A3">
        <w:rPr>
          <w:rFonts w:eastAsia="Times New Roman" w:cs="Times New Roman"/>
          <w:b/>
          <w:bCs/>
          <w:color w:val="auto"/>
          <w:lang w:eastAsia="en-US"/>
        </w:rPr>
        <w:t xml:space="preserve"> </w:t>
      </w:r>
      <w:r w:rsidRPr="00DE12A3">
        <w:rPr>
          <w:rFonts w:eastAsia="Times New Roman" w:cs="Times New Roman"/>
          <w:b/>
          <w:color w:val="auto"/>
          <w:lang w:eastAsia="en-US"/>
        </w:rPr>
        <w:t>Rejenerasyon</w:t>
      </w:r>
    </w:p>
    <w:p w14:paraId="1C852D11" w14:textId="39170DCA" w:rsidR="002D7B36" w:rsidRPr="00DE12A3" w:rsidRDefault="00242DA0" w:rsidP="00D27F95">
      <w:pPr>
        <w:spacing w:before="120" w:after="120"/>
        <w:jc w:val="both"/>
        <w:rPr>
          <w:rFonts w:eastAsia="Times New Roman" w:cs="Times New Roman"/>
          <w:color w:val="auto"/>
          <w:lang w:eastAsia="en-US"/>
        </w:rPr>
      </w:pPr>
      <w:r w:rsidRPr="00DE12A3">
        <w:rPr>
          <w:rFonts w:eastAsia="Times New Roman" w:cs="Times New Roman"/>
          <w:color w:val="auto"/>
          <w:lang w:eastAsia="en-US"/>
        </w:rPr>
        <w:t xml:space="preserve">4. </w:t>
      </w:r>
      <w:r w:rsidR="00E266F7" w:rsidRPr="00DE12A3">
        <w:rPr>
          <w:rFonts w:eastAsia="Times New Roman" w:cs="Times New Roman"/>
          <w:color w:val="auto"/>
          <w:lang w:eastAsia="en-US"/>
        </w:rPr>
        <w:t xml:space="preserve">Bölümde </w:t>
      </w:r>
      <w:r w:rsidRPr="00DE12A3">
        <w:rPr>
          <w:rFonts w:eastAsia="Times New Roman" w:cs="Times New Roman"/>
          <w:color w:val="auto"/>
          <w:lang w:eastAsia="en-US"/>
        </w:rPr>
        <w:t>belirtilen prosedür sırasında veya hemen öncesinde bir rejenerasyon olayı olması durumunda, rejenerasyonun nedenine bakılmaksızın, imalatçının talebi üzerine söz konusu prosedürün tamamlanmasından sonra test geçersiz sayılabilir. Bu durumda test tekrarlanır. Çalışma sırası değiştirilebilir, ancak aynı tork ve devir noktaları kullanılmalıdır. Başarılı sonucu elde edilmiş olan herhangi bir tork ve devir noktasını tekrarlamak gerekmez. Testi tekrarlamak için aşağıdaki prosedür kullanılır.</w:t>
      </w:r>
    </w:p>
    <w:p w14:paraId="3C1E944E" w14:textId="4478C87D" w:rsidR="002D7B36" w:rsidRPr="00DE12A3" w:rsidRDefault="00242DA0" w:rsidP="00D27F95">
      <w:pPr>
        <w:tabs>
          <w:tab w:val="left" w:pos="2127"/>
        </w:tabs>
        <w:spacing w:before="120" w:after="120"/>
        <w:jc w:val="both"/>
        <w:rPr>
          <w:rFonts w:eastAsia="Times New Roman" w:cs="Times New Roman"/>
          <w:color w:val="auto"/>
          <w:lang w:eastAsia="en-US"/>
        </w:rPr>
      </w:pPr>
      <w:r w:rsidRPr="00DE12A3">
        <w:rPr>
          <w:rFonts w:eastAsia="Times New Roman" w:cs="Times New Roman"/>
          <w:color w:val="auto"/>
          <w:lang w:eastAsia="en-US"/>
        </w:rPr>
        <w:t xml:space="preserve">(a) Motor, rejenerasyon olayının tamamlanmasını ve duruma göre </w:t>
      </w:r>
      <w:r w:rsidR="007E2039" w:rsidRPr="00DE12A3">
        <w:rPr>
          <w:rFonts w:eastAsia="Times New Roman" w:cs="Times New Roman"/>
          <w:color w:val="auto"/>
          <w:lang w:eastAsia="en-US"/>
        </w:rPr>
        <w:t xml:space="preserve">partikül arıtma </w:t>
      </w:r>
      <w:r w:rsidRPr="00DE12A3">
        <w:rPr>
          <w:rFonts w:eastAsia="Times New Roman" w:cs="Times New Roman"/>
          <w:color w:val="auto"/>
          <w:lang w:eastAsia="en-US"/>
        </w:rPr>
        <w:t>sistemindeki kurum yükünün yeniden tesis edilmesini sağlayacak şekilde çalıştırılmalıdır</w:t>
      </w:r>
      <w:r w:rsidR="00E266F7" w:rsidRPr="00DE12A3">
        <w:rPr>
          <w:rFonts w:eastAsia="Times New Roman" w:cs="Times New Roman"/>
          <w:color w:val="auto"/>
          <w:lang w:eastAsia="en-US"/>
        </w:rPr>
        <w:t>.</w:t>
      </w:r>
    </w:p>
    <w:p w14:paraId="7C2C57D6" w14:textId="68B02F89" w:rsidR="002D7B36" w:rsidRPr="00DE12A3" w:rsidRDefault="00242DA0" w:rsidP="00D27F95">
      <w:pPr>
        <w:tabs>
          <w:tab w:val="left" w:pos="1418"/>
          <w:tab w:val="left" w:pos="2127"/>
        </w:tabs>
        <w:spacing w:before="120" w:after="120"/>
        <w:jc w:val="both"/>
        <w:rPr>
          <w:rFonts w:eastAsia="Times New Roman" w:cs="Times New Roman"/>
          <w:color w:val="auto"/>
          <w:lang w:eastAsia="en-US"/>
        </w:rPr>
      </w:pPr>
      <w:r w:rsidRPr="00DE12A3">
        <w:rPr>
          <w:rFonts w:eastAsia="Times New Roman" w:cs="Times New Roman"/>
          <w:color w:val="auto"/>
          <w:lang w:eastAsia="en-US"/>
        </w:rPr>
        <w:t xml:space="preserve">(b) Motor ısınma prosedürü </w:t>
      </w:r>
      <w:r w:rsidR="00FA0678" w:rsidRPr="00DE12A3">
        <w:rPr>
          <w:rFonts w:eastAsia="Times New Roman" w:cs="Times New Roman"/>
          <w:color w:val="auto"/>
          <w:lang w:eastAsia="en-US"/>
        </w:rPr>
        <w:t>VI’ncı ek</w:t>
      </w:r>
      <w:r w:rsidRPr="00DE12A3">
        <w:rPr>
          <w:rFonts w:eastAsia="Times New Roman" w:cs="Times New Roman"/>
          <w:color w:val="auto"/>
          <w:lang w:eastAsia="en-US"/>
        </w:rPr>
        <w:t>in 7.8.1.1. bendi uyarınca gerçekleştirilmelidir</w:t>
      </w:r>
      <w:r w:rsidR="00E266F7" w:rsidRPr="00DE12A3">
        <w:rPr>
          <w:rFonts w:eastAsia="Times New Roman" w:cs="Times New Roman"/>
          <w:color w:val="auto"/>
          <w:lang w:eastAsia="en-US"/>
        </w:rPr>
        <w:t>.</w:t>
      </w:r>
    </w:p>
    <w:p w14:paraId="4C32B556" w14:textId="43D73222" w:rsidR="002D7B36" w:rsidRPr="00DE12A3" w:rsidRDefault="00242DA0" w:rsidP="00D27F95">
      <w:pPr>
        <w:tabs>
          <w:tab w:val="left" w:pos="2127"/>
        </w:tabs>
        <w:spacing w:before="120" w:after="120"/>
        <w:jc w:val="both"/>
        <w:rPr>
          <w:rFonts w:eastAsia="Times New Roman" w:cs="Times New Roman"/>
          <w:color w:val="auto"/>
          <w:sz w:val="20"/>
          <w:szCs w:val="20"/>
          <w:lang w:eastAsia="en-US"/>
        </w:rPr>
      </w:pPr>
      <w:r w:rsidRPr="00DE12A3">
        <w:rPr>
          <w:rFonts w:eastAsia="Times New Roman" w:cs="Times New Roman"/>
          <w:color w:val="auto"/>
          <w:lang w:eastAsia="en-US"/>
        </w:rPr>
        <w:t>(c)</w:t>
      </w:r>
      <w:r w:rsidR="00EB3EA9" w:rsidRPr="00DE12A3">
        <w:rPr>
          <w:rFonts w:eastAsia="Times New Roman" w:cs="Times New Roman"/>
          <w:color w:val="auto"/>
          <w:lang w:eastAsia="en-US"/>
        </w:rPr>
        <w:t xml:space="preserve"> </w:t>
      </w:r>
      <w:r w:rsidRPr="00DE12A3">
        <w:rPr>
          <w:rFonts w:eastAsia="Times New Roman" w:cs="Times New Roman"/>
          <w:color w:val="auto"/>
          <w:lang w:eastAsia="en-US"/>
        </w:rPr>
        <w:t xml:space="preserve">4. </w:t>
      </w:r>
      <w:r w:rsidR="00E266F7" w:rsidRPr="00DE12A3">
        <w:rPr>
          <w:rFonts w:eastAsia="Times New Roman" w:cs="Times New Roman"/>
          <w:color w:val="auto"/>
          <w:lang w:eastAsia="en-US"/>
        </w:rPr>
        <w:t xml:space="preserve">Bölümde </w:t>
      </w:r>
      <w:r w:rsidRPr="00DE12A3">
        <w:rPr>
          <w:rFonts w:eastAsia="Times New Roman" w:cs="Times New Roman"/>
          <w:color w:val="auto"/>
          <w:lang w:eastAsia="en-US"/>
        </w:rPr>
        <w:t xml:space="preserve">belirtilen test prosedürü, </w:t>
      </w:r>
      <w:r w:rsidR="008E32ED" w:rsidRPr="00DE12A3">
        <w:rPr>
          <w:rFonts w:eastAsia="Times New Roman" w:cs="Times New Roman"/>
          <w:color w:val="auto"/>
          <w:lang w:eastAsia="en-US"/>
        </w:rPr>
        <w:t xml:space="preserve">aynı Bölümün </w:t>
      </w:r>
      <w:r w:rsidRPr="00DE12A3">
        <w:rPr>
          <w:rFonts w:eastAsia="Times New Roman" w:cs="Times New Roman"/>
          <w:color w:val="auto"/>
          <w:lang w:eastAsia="en-US"/>
        </w:rPr>
        <w:t>(b) bendinde belirtilen aşamadan başlanarak tekrarlanmalıdır.</w:t>
      </w:r>
    </w:p>
    <w:p w14:paraId="5063832D" w14:textId="77777777" w:rsidR="0040229E" w:rsidRPr="00DE12A3" w:rsidRDefault="0040229E" w:rsidP="00D56EAF">
      <w:pPr>
        <w:spacing w:before="120" w:after="120"/>
        <w:rPr>
          <w:rFonts w:eastAsia="Times New Roman" w:cs="Times New Roman"/>
          <w:b/>
          <w:color w:val="auto"/>
          <w:lang w:eastAsia="en-US"/>
        </w:rPr>
      </w:pPr>
      <w:bookmarkStart w:id="15" w:name="bookmark66"/>
    </w:p>
    <w:p w14:paraId="61689051" w14:textId="77777777" w:rsidR="00D56EAF" w:rsidRPr="00DE12A3" w:rsidRDefault="00D56EAF">
      <w:pPr>
        <w:widowControl/>
        <w:rPr>
          <w:rFonts w:eastAsia="Times New Roman" w:cs="Times New Roman"/>
          <w:b/>
          <w:color w:val="auto"/>
          <w:lang w:eastAsia="en-US"/>
        </w:rPr>
      </w:pPr>
      <w:r w:rsidRPr="00DE12A3">
        <w:rPr>
          <w:rFonts w:eastAsia="Times New Roman" w:cs="Times New Roman"/>
          <w:b/>
          <w:color w:val="auto"/>
          <w:lang w:eastAsia="en-US"/>
        </w:rPr>
        <w:br w:type="page"/>
      </w:r>
    </w:p>
    <w:p w14:paraId="4A6772CD" w14:textId="43733F0A" w:rsidR="002D7B36" w:rsidRPr="00DE12A3" w:rsidRDefault="00242DA0" w:rsidP="00D56EAF">
      <w:pPr>
        <w:pStyle w:val="Balk1"/>
        <w:rPr>
          <w:color w:val="auto"/>
          <w:lang w:eastAsia="en-US"/>
        </w:rPr>
      </w:pPr>
      <w:r w:rsidRPr="00DE12A3">
        <w:rPr>
          <w:color w:val="auto"/>
          <w:lang w:eastAsia="en-US"/>
        </w:rPr>
        <w:lastRenderedPageBreak/>
        <w:t>EK VI</w:t>
      </w:r>
      <w:bookmarkEnd w:id="15"/>
    </w:p>
    <w:p w14:paraId="7DABEEE5" w14:textId="77777777" w:rsidR="002D7B36" w:rsidRPr="00DE12A3" w:rsidRDefault="00242DA0" w:rsidP="00C917D6">
      <w:pPr>
        <w:spacing w:before="120" w:after="120"/>
        <w:ind w:left="1134" w:hanging="1134"/>
        <w:jc w:val="center"/>
        <w:rPr>
          <w:rFonts w:eastAsia="Times New Roman" w:cs="Times New Roman"/>
          <w:b/>
          <w:color w:val="auto"/>
          <w:lang w:eastAsia="en-US"/>
        </w:rPr>
      </w:pPr>
      <w:r w:rsidRPr="00DE12A3">
        <w:rPr>
          <w:rFonts w:eastAsia="Times New Roman" w:cs="Times New Roman"/>
          <w:b/>
          <w:color w:val="auto"/>
          <w:lang w:eastAsia="en-US"/>
        </w:rPr>
        <w:t>Emisyon testlerinin yapılması ve ölçüm cihazlarına ilişkin şartlar</w:t>
      </w:r>
    </w:p>
    <w:p w14:paraId="47F8D1E2" w14:textId="77777777" w:rsidR="002D7B36" w:rsidRPr="00DE12A3" w:rsidRDefault="00EB3EA9" w:rsidP="00E20716">
      <w:pPr>
        <w:numPr>
          <w:ilvl w:val="0"/>
          <w:numId w:val="112"/>
        </w:numPr>
        <w:spacing w:before="120" w:after="120"/>
        <w:ind w:left="1134" w:hanging="1134"/>
        <w:jc w:val="both"/>
        <w:outlineLvl w:val="3"/>
        <w:rPr>
          <w:rFonts w:eastAsia="Times New Roman" w:cs="Times New Roman"/>
          <w:b/>
          <w:color w:val="auto"/>
          <w:spacing w:val="18"/>
          <w:lang w:eastAsia="en-US"/>
        </w:rPr>
      </w:pPr>
      <w:r w:rsidRPr="00DE12A3">
        <w:rPr>
          <w:rFonts w:eastAsia="Times New Roman" w:cs="Times New Roman"/>
          <w:b/>
          <w:color w:val="auto"/>
          <w:spacing w:val="3"/>
          <w:shd w:val="clear" w:color="auto" w:fill="FFFFFF"/>
          <w:lang w:eastAsia="en-US"/>
        </w:rPr>
        <w:t xml:space="preserve">       </w:t>
      </w:r>
      <w:r w:rsidR="00242DA0" w:rsidRPr="00DE12A3">
        <w:rPr>
          <w:rFonts w:eastAsia="Times New Roman" w:cs="Times New Roman"/>
          <w:b/>
          <w:color w:val="auto"/>
          <w:spacing w:val="3"/>
          <w:shd w:val="clear" w:color="auto" w:fill="FFFFFF"/>
          <w:lang w:eastAsia="en-US"/>
        </w:rPr>
        <w:t>Giriş</w:t>
      </w:r>
    </w:p>
    <w:p w14:paraId="2318A02D" w14:textId="28D8A28F" w:rsidR="00E54E06" w:rsidRPr="00DE12A3" w:rsidRDefault="00242DA0" w:rsidP="00C917D6">
      <w:pPr>
        <w:spacing w:before="120" w:after="120"/>
        <w:ind w:left="1134"/>
        <w:jc w:val="both"/>
        <w:rPr>
          <w:rFonts w:eastAsia="Times New Roman" w:cs="Times New Roman"/>
          <w:color w:val="auto"/>
          <w:spacing w:val="3"/>
          <w:lang w:eastAsia="en-US"/>
        </w:rPr>
      </w:pPr>
      <w:r w:rsidRPr="00DE12A3">
        <w:rPr>
          <w:rFonts w:eastAsia="Times New Roman" w:cs="Times New Roman"/>
          <w:color w:val="auto"/>
          <w:spacing w:val="3"/>
          <w:lang w:eastAsia="en-US"/>
        </w:rPr>
        <w:t xml:space="preserve">Bu Ekte, test edilecek motordaki gaz ve </w:t>
      </w:r>
      <w:r w:rsidR="007E2039" w:rsidRPr="00DE12A3">
        <w:rPr>
          <w:rFonts w:eastAsia="Times New Roman" w:cs="Times New Roman"/>
          <w:color w:val="auto"/>
          <w:spacing w:val="3"/>
          <w:lang w:eastAsia="en-US"/>
        </w:rPr>
        <w:t xml:space="preserve">partikül </w:t>
      </w:r>
      <w:r w:rsidRPr="00DE12A3">
        <w:rPr>
          <w:rFonts w:eastAsia="Times New Roman" w:cs="Times New Roman"/>
          <w:color w:val="auto"/>
          <w:spacing w:val="3"/>
          <w:lang w:eastAsia="en-US"/>
        </w:rPr>
        <w:t xml:space="preserve">kirletici emisyonlarının ve ölçüm ekipmanı ile ilgili özelliklerin belirlenmesine ilişkin yöntem açıklanmaktadır. 6. </w:t>
      </w:r>
      <w:r w:rsidR="00B32A92" w:rsidRPr="00DE12A3">
        <w:rPr>
          <w:rFonts w:eastAsia="Times New Roman" w:cs="Times New Roman"/>
          <w:color w:val="auto"/>
          <w:spacing w:val="3"/>
          <w:lang w:eastAsia="en-US"/>
        </w:rPr>
        <w:t>Bölüm</w:t>
      </w:r>
      <w:r w:rsidRPr="00DE12A3">
        <w:rPr>
          <w:rFonts w:eastAsia="Times New Roman" w:cs="Times New Roman"/>
          <w:color w:val="auto"/>
          <w:spacing w:val="3"/>
          <w:lang w:eastAsia="en-US"/>
        </w:rPr>
        <w:t xml:space="preserve">den itibaren, </w:t>
      </w:r>
      <w:r w:rsidR="00E54E06" w:rsidRPr="00DE12A3">
        <w:rPr>
          <w:rFonts w:eastAsia="Times New Roman" w:cs="Times New Roman"/>
          <w:color w:val="auto"/>
          <w:spacing w:val="3"/>
          <w:lang w:eastAsia="en-US"/>
        </w:rPr>
        <w:t xml:space="preserve"> Ek 4B, Değişiklik ( 2 )’nin UNECE Regülasyonu No:96.04 serileri ve Global </w:t>
      </w:r>
      <w:r w:rsidR="00E9358F" w:rsidRPr="00DE12A3">
        <w:rPr>
          <w:rFonts w:eastAsia="Times New Roman" w:cs="Times New Roman"/>
          <w:color w:val="auto"/>
          <w:spacing w:val="3"/>
          <w:lang w:eastAsia="en-US"/>
        </w:rPr>
        <w:t>T</w:t>
      </w:r>
      <w:r w:rsidR="00E54E06" w:rsidRPr="00DE12A3">
        <w:rPr>
          <w:rFonts w:eastAsia="Times New Roman" w:cs="Times New Roman"/>
          <w:color w:val="auto"/>
          <w:spacing w:val="3"/>
          <w:lang w:eastAsia="en-US"/>
        </w:rPr>
        <w:t>eknik Regülasyon</w:t>
      </w:r>
      <w:r w:rsidR="007A4717" w:rsidRPr="00DE12A3">
        <w:rPr>
          <w:rFonts w:eastAsia="Times New Roman" w:cs="Times New Roman"/>
          <w:color w:val="auto"/>
          <w:spacing w:val="3"/>
          <w:lang w:eastAsia="en-US"/>
        </w:rPr>
        <w:t xml:space="preserve"> No </w:t>
      </w:r>
      <w:r w:rsidR="00E54E06" w:rsidRPr="00DE12A3">
        <w:rPr>
          <w:rFonts w:eastAsia="Times New Roman" w:cs="Times New Roman"/>
          <w:color w:val="auto"/>
          <w:spacing w:val="3"/>
          <w:lang w:eastAsia="en-US"/>
        </w:rPr>
        <w:t xml:space="preserve"> 11 ( 1 ) (GTR No 11)</w:t>
      </w:r>
      <w:r w:rsidR="007A4717" w:rsidRPr="00DE12A3">
        <w:rPr>
          <w:rFonts w:eastAsia="Times New Roman" w:cs="Times New Roman"/>
          <w:color w:val="auto"/>
          <w:spacing w:val="3"/>
          <w:lang w:eastAsia="en-US"/>
        </w:rPr>
        <w:t xml:space="preserve">’nin numaralandırılması ile </w:t>
      </w:r>
      <w:r w:rsidR="00E54E06" w:rsidRPr="00DE12A3">
        <w:rPr>
          <w:rFonts w:eastAsia="Times New Roman" w:cs="Times New Roman"/>
          <w:color w:val="auto"/>
          <w:spacing w:val="3"/>
          <w:lang w:eastAsia="en-US"/>
        </w:rPr>
        <w:t xml:space="preserve"> </w:t>
      </w:r>
      <w:r w:rsidR="007A4717" w:rsidRPr="00DE12A3">
        <w:rPr>
          <w:rFonts w:eastAsia="Times New Roman" w:cs="Times New Roman"/>
          <w:color w:val="auto"/>
          <w:spacing w:val="3"/>
          <w:lang w:eastAsia="en-US"/>
        </w:rPr>
        <w:t>bu Ek'in numaralandır</w:t>
      </w:r>
      <w:r w:rsidR="00E9358F" w:rsidRPr="00DE12A3">
        <w:rPr>
          <w:rFonts w:eastAsia="Times New Roman" w:cs="Times New Roman"/>
          <w:color w:val="auto"/>
          <w:spacing w:val="3"/>
          <w:lang w:eastAsia="en-US"/>
        </w:rPr>
        <w:t>ıl</w:t>
      </w:r>
      <w:r w:rsidR="007A4717" w:rsidRPr="00DE12A3">
        <w:rPr>
          <w:rFonts w:eastAsia="Times New Roman" w:cs="Times New Roman"/>
          <w:color w:val="auto"/>
          <w:spacing w:val="3"/>
          <w:lang w:eastAsia="en-US"/>
        </w:rPr>
        <w:t xml:space="preserve">ması </w:t>
      </w:r>
      <w:r w:rsidR="00E54E06" w:rsidRPr="00DE12A3">
        <w:rPr>
          <w:rFonts w:eastAsia="Times New Roman" w:cs="Times New Roman"/>
          <w:color w:val="auto"/>
          <w:spacing w:val="3"/>
          <w:lang w:eastAsia="en-US"/>
        </w:rPr>
        <w:t xml:space="preserve">tutarlıdır. Ancak, </w:t>
      </w:r>
      <w:r w:rsidR="007A4717" w:rsidRPr="00DE12A3">
        <w:rPr>
          <w:rFonts w:eastAsia="Times New Roman" w:cs="Times New Roman"/>
          <w:color w:val="auto"/>
          <w:spacing w:val="3"/>
          <w:lang w:eastAsia="en-US"/>
        </w:rPr>
        <w:t xml:space="preserve">11 No'lu GTR'nin bazı noktalarına </w:t>
      </w:r>
      <w:r w:rsidR="00E54E06" w:rsidRPr="00DE12A3">
        <w:rPr>
          <w:rFonts w:eastAsia="Times New Roman" w:cs="Times New Roman"/>
          <w:color w:val="auto"/>
          <w:spacing w:val="3"/>
          <w:lang w:eastAsia="en-US"/>
        </w:rPr>
        <w:t xml:space="preserve">bu Ek'te gerek </w:t>
      </w:r>
      <w:r w:rsidR="007A4717" w:rsidRPr="00DE12A3">
        <w:rPr>
          <w:rFonts w:eastAsia="Times New Roman" w:cs="Times New Roman"/>
          <w:color w:val="auto"/>
          <w:spacing w:val="3"/>
          <w:lang w:eastAsia="en-US"/>
        </w:rPr>
        <w:t>görülmemektedir veya</w:t>
      </w:r>
      <w:r w:rsidR="00E54E06" w:rsidRPr="00DE12A3">
        <w:rPr>
          <w:rFonts w:eastAsia="Times New Roman" w:cs="Times New Roman"/>
          <w:color w:val="auto"/>
          <w:spacing w:val="3"/>
          <w:lang w:eastAsia="en-US"/>
        </w:rPr>
        <w:t xml:space="preserve"> teknik ilerlemeye göre değiştirilmiştir.</w:t>
      </w:r>
    </w:p>
    <w:p w14:paraId="0F3E74BE" w14:textId="77777777" w:rsidR="002D7B36" w:rsidRPr="00DE12A3" w:rsidRDefault="00EB3EA9" w:rsidP="00E20716">
      <w:pPr>
        <w:numPr>
          <w:ilvl w:val="0"/>
          <w:numId w:val="112"/>
        </w:numPr>
        <w:spacing w:before="120" w:after="120"/>
        <w:ind w:left="1134" w:hanging="1134"/>
        <w:jc w:val="both"/>
        <w:outlineLvl w:val="3"/>
        <w:rPr>
          <w:rFonts w:eastAsia="Times New Roman" w:cs="Times New Roman"/>
          <w:b/>
          <w:bCs/>
          <w:color w:val="auto"/>
          <w:spacing w:val="18"/>
          <w:lang w:eastAsia="en-US"/>
        </w:rPr>
      </w:pPr>
      <w:r w:rsidRPr="00DE12A3">
        <w:rPr>
          <w:rFonts w:eastAsia="Times New Roman" w:cs="Times New Roman"/>
          <w:b/>
          <w:bCs/>
          <w:color w:val="auto"/>
          <w:spacing w:val="3"/>
          <w:lang w:eastAsia="en-US"/>
        </w:rPr>
        <w:t xml:space="preserve">       </w:t>
      </w:r>
      <w:r w:rsidR="00242DA0" w:rsidRPr="00DE12A3">
        <w:rPr>
          <w:rFonts w:eastAsia="Times New Roman" w:cs="Times New Roman"/>
          <w:b/>
          <w:bCs/>
          <w:color w:val="auto"/>
          <w:spacing w:val="3"/>
          <w:lang w:eastAsia="en-US"/>
        </w:rPr>
        <w:t>Genel bakış</w:t>
      </w:r>
    </w:p>
    <w:p w14:paraId="6A114ED9" w14:textId="19E11CFF" w:rsidR="002D7B36" w:rsidRPr="00DE12A3" w:rsidRDefault="00242DA0" w:rsidP="00C917D6">
      <w:pPr>
        <w:spacing w:before="120" w:after="120"/>
        <w:ind w:left="1134"/>
        <w:jc w:val="both"/>
        <w:rPr>
          <w:rFonts w:eastAsia="Times New Roman" w:cs="Times New Roman"/>
          <w:color w:val="auto"/>
          <w:spacing w:val="3"/>
          <w:lang w:eastAsia="en-US"/>
        </w:rPr>
      </w:pPr>
      <w:r w:rsidRPr="00DE12A3">
        <w:rPr>
          <w:rFonts w:eastAsia="Times New Roman" w:cs="Times New Roman"/>
          <w:color w:val="auto"/>
          <w:spacing w:val="3"/>
          <w:lang w:eastAsia="en-US"/>
        </w:rPr>
        <w:t xml:space="preserve">Bu Ek, emisyon testi yapmak için gereken aşağıdaki teknik hükümleri içermektedir. Ek hükümler 3. </w:t>
      </w:r>
      <w:r w:rsidR="00DD44B6" w:rsidRPr="00DE12A3">
        <w:rPr>
          <w:rFonts w:eastAsia="Times New Roman" w:cs="Times New Roman"/>
          <w:color w:val="auto"/>
          <w:spacing w:val="3"/>
          <w:lang w:eastAsia="en-US"/>
        </w:rPr>
        <w:t xml:space="preserve">Bölümde </w:t>
      </w:r>
      <w:r w:rsidRPr="00DE12A3">
        <w:rPr>
          <w:rFonts w:eastAsia="Times New Roman" w:cs="Times New Roman"/>
          <w:color w:val="auto"/>
          <w:spacing w:val="3"/>
          <w:lang w:eastAsia="en-US"/>
        </w:rPr>
        <w:t>sıralanmıştır.</w:t>
      </w:r>
    </w:p>
    <w:p w14:paraId="350AD305" w14:textId="77777777" w:rsidR="002D7B36" w:rsidRPr="00DE12A3" w:rsidRDefault="00242DA0" w:rsidP="00E20716">
      <w:pPr>
        <w:numPr>
          <w:ilvl w:val="0"/>
          <w:numId w:val="113"/>
        </w:numPr>
        <w:spacing w:before="120" w:after="120"/>
        <w:ind w:left="1134"/>
        <w:jc w:val="both"/>
        <w:rPr>
          <w:rFonts w:eastAsia="Times New Roman" w:cs="Times New Roman"/>
          <w:color w:val="auto"/>
          <w:spacing w:val="3"/>
          <w:lang w:eastAsia="en-US"/>
        </w:rPr>
      </w:pPr>
      <w:r w:rsidRPr="00DE12A3">
        <w:rPr>
          <w:rFonts w:eastAsia="Times New Roman" w:cs="Times New Roman"/>
          <w:color w:val="auto"/>
          <w:spacing w:val="3"/>
          <w:lang w:eastAsia="en-US"/>
        </w:rPr>
        <w:t xml:space="preserve">Bölüm 5: Test devirlerinin belirlenmesi de dahil olmak üzere performans </w:t>
      </w:r>
      <w:r w:rsidR="0053289F" w:rsidRPr="00DE12A3">
        <w:rPr>
          <w:rFonts w:eastAsia="Times New Roman" w:cs="Times New Roman"/>
          <w:color w:val="auto"/>
          <w:spacing w:val="3"/>
          <w:lang w:eastAsia="en-US"/>
        </w:rPr>
        <w:t>gereklilikleri</w:t>
      </w:r>
    </w:p>
    <w:p w14:paraId="7B4E27C7" w14:textId="77777777" w:rsidR="002D7B36" w:rsidRPr="00DE12A3" w:rsidRDefault="00242DA0" w:rsidP="00E20716">
      <w:pPr>
        <w:numPr>
          <w:ilvl w:val="0"/>
          <w:numId w:val="113"/>
        </w:numPr>
        <w:spacing w:before="120" w:after="120"/>
        <w:ind w:left="1134"/>
        <w:jc w:val="both"/>
        <w:rPr>
          <w:rFonts w:eastAsia="Times New Roman" w:cs="Times New Roman"/>
          <w:color w:val="auto"/>
          <w:spacing w:val="3"/>
          <w:lang w:eastAsia="en-US"/>
        </w:rPr>
      </w:pPr>
      <w:r w:rsidRPr="00DE12A3">
        <w:rPr>
          <w:rFonts w:eastAsia="Times New Roman" w:cs="Times New Roman"/>
          <w:color w:val="auto"/>
          <w:spacing w:val="3"/>
          <w:lang w:eastAsia="en-US"/>
        </w:rPr>
        <w:t xml:space="preserve">Bölüm 6: Karter gazı emisyonlarının hesaba katılmasına ilişkin yöntem, egzoz </w:t>
      </w:r>
      <w:r w:rsidR="007E2039" w:rsidRPr="00DE12A3">
        <w:rPr>
          <w:rFonts w:eastAsia="Times New Roman" w:cs="Times New Roman"/>
          <w:color w:val="auto"/>
          <w:spacing w:val="3"/>
          <w:lang w:eastAsia="en-US"/>
        </w:rPr>
        <w:t xml:space="preserve">arıtma </w:t>
      </w:r>
      <w:r w:rsidRPr="00DE12A3">
        <w:rPr>
          <w:rFonts w:eastAsia="Times New Roman" w:cs="Times New Roman"/>
          <w:color w:val="auto"/>
          <w:spacing w:val="3"/>
          <w:lang w:eastAsia="en-US"/>
        </w:rPr>
        <w:t>sistemlerinin sürekli ve seyrek rejenerasyonunun belirlenmesine ve hesaba katılmasına ilişkin yöntem de dahil olmak üzere test koşulları</w:t>
      </w:r>
    </w:p>
    <w:p w14:paraId="0058E9A5" w14:textId="44CCEE06" w:rsidR="002D7B36" w:rsidRPr="00DE12A3" w:rsidRDefault="00242DA0" w:rsidP="00E20716">
      <w:pPr>
        <w:numPr>
          <w:ilvl w:val="0"/>
          <w:numId w:val="113"/>
        </w:numPr>
        <w:spacing w:before="120" w:after="120"/>
        <w:ind w:left="1134"/>
        <w:jc w:val="both"/>
        <w:rPr>
          <w:rFonts w:eastAsia="Times New Roman" w:cs="Times New Roman"/>
          <w:color w:val="auto"/>
          <w:spacing w:val="3"/>
          <w:lang w:eastAsia="en-US"/>
        </w:rPr>
      </w:pPr>
      <w:r w:rsidRPr="00DE12A3">
        <w:rPr>
          <w:rFonts w:eastAsia="Times New Roman" w:cs="Times New Roman"/>
          <w:color w:val="auto"/>
          <w:spacing w:val="3"/>
          <w:lang w:eastAsia="en-US"/>
        </w:rPr>
        <w:t xml:space="preserve">Bölüm 7: Motorların haritalanması, test </w:t>
      </w:r>
      <w:r w:rsidR="00B655AE" w:rsidRPr="00DE12A3">
        <w:rPr>
          <w:rFonts w:eastAsia="Times New Roman" w:cs="Times New Roman"/>
          <w:color w:val="auto"/>
          <w:spacing w:val="3"/>
          <w:lang w:eastAsia="en-US"/>
        </w:rPr>
        <w:t>çevrimi üretimi</w:t>
      </w:r>
      <w:r w:rsidRPr="00DE12A3">
        <w:rPr>
          <w:rFonts w:eastAsia="Times New Roman" w:cs="Times New Roman"/>
          <w:color w:val="auto"/>
          <w:spacing w:val="3"/>
          <w:lang w:eastAsia="en-US"/>
        </w:rPr>
        <w:t xml:space="preserve"> ve test </w:t>
      </w:r>
      <w:r w:rsidR="00B655AE" w:rsidRPr="00DE12A3">
        <w:rPr>
          <w:rFonts w:eastAsia="Times New Roman" w:cs="Times New Roman"/>
          <w:color w:val="auto"/>
          <w:spacing w:val="3"/>
          <w:lang w:eastAsia="en-US"/>
        </w:rPr>
        <w:t>çevrimi çalıştırma</w:t>
      </w:r>
      <w:r w:rsidRPr="00DE12A3">
        <w:rPr>
          <w:rFonts w:eastAsia="Times New Roman" w:cs="Times New Roman"/>
          <w:color w:val="auto"/>
          <w:spacing w:val="3"/>
          <w:lang w:eastAsia="en-US"/>
        </w:rPr>
        <w:t xml:space="preserve"> prosedürü de dahil olmak üzere test prosedürleri</w:t>
      </w:r>
    </w:p>
    <w:p w14:paraId="6E08053A" w14:textId="77777777" w:rsidR="002D7B36" w:rsidRPr="00DE12A3" w:rsidRDefault="00242DA0" w:rsidP="00E20716">
      <w:pPr>
        <w:numPr>
          <w:ilvl w:val="0"/>
          <w:numId w:val="113"/>
        </w:numPr>
        <w:spacing w:before="120" w:after="120"/>
        <w:ind w:left="1134"/>
        <w:jc w:val="both"/>
        <w:rPr>
          <w:rFonts w:eastAsia="Times New Roman" w:cs="Times New Roman"/>
          <w:color w:val="auto"/>
          <w:spacing w:val="3"/>
          <w:lang w:eastAsia="en-US"/>
        </w:rPr>
      </w:pPr>
      <w:r w:rsidRPr="00DE12A3">
        <w:rPr>
          <w:rFonts w:eastAsia="Times New Roman" w:cs="Times New Roman"/>
          <w:color w:val="auto"/>
          <w:spacing w:val="3"/>
          <w:lang w:eastAsia="en-US"/>
        </w:rPr>
        <w:t>Bölüm 8: Cihaz kalibrasyonu ve performans kontrolleri de dahil olmak üzere ölçüm prosedürleri ve test için cihaz doğrulaması</w:t>
      </w:r>
    </w:p>
    <w:p w14:paraId="44BD7B4E" w14:textId="77777777" w:rsidR="002D7B36" w:rsidRPr="00DE12A3" w:rsidRDefault="00242DA0" w:rsidP="00E20716">
      <w:pPr>
        <w:numPr>
          <w:ilvl w:val="0"/>
          <w:numId w:val="113"/>
        </w:numPr>
        <w:spacing w:before="120" w:after="120"/>
        <w:ind w:left="1134"/>
        <w:jc w:val="both"/>
        <w:rPr>
          <w:rFonts w:eastAsia="Times New Roman" w:cs="Times New Roman"/>
          <w:color w:val="auto"/>
          <w:spacing w:val="3"/>
          <w:lang w:eastAsia="en-US"/>
        </w:rPr>
      </w:pPr>
      <w:r w:rsidRPr="00DE12A3">
        <w:rPr>
          <w:rFonts w:eastAsia="Times New Roman" w:cs="Times New Roman"/>
          <w:color w:val="auto"/>
          <w:spacing w:val="3"/>
          <w:lang w:eastAsia="en-US"/>
        </w:rPr>
        <w:t>Bölüm 9: Ölçüm cihazları, seyreltme prosedürleri, örnekleme prosedürleri ve analitik gazlar ve kütle standartları da dahil olmak üzere ölçüm ekipmanları</w:t>
      </w:r>
    </w:p>
    <w:p w14:paraId="34304384" w14:textId="77777777" w:rsidR="002D7B36" w:rsidRPr="00DE12A3" w:rsidRDefault="00242DA0" w:rsidP="00E20716">
      <w:pPr>
        <w:numPr>
          <w:ilvl w:val="0"/>
          <w:numId w:val="113"/>
        </w:numPr>
        <w:spacing w:before="120" w:after="120"/>
        <w:ind w:left="1134"/>
        <w:jc w:val="both"/>
        <w:rPr>
          <w:rFonts w:eastAsia="Times New Roman" w:cs="Times New Roman"/>
          <w:color w:val="auto"/>
          <w:spacing w:val="3"/>
          <w:lang w:eastAsia="en-US"/>
        </w:rPr>
      </w:pPr>
      <w:r w:rsidRPr="00DE12A3">
        <w:rPr>
          <w:rFonts w:eastAsia="Times New Roman" w:cs="Times New Roman"/>
          <w:color w:val="auto"/>
          <w:spacing w:val="3"/>
          <w:lang w:eastAsia="en-US"/>
        </w:rPr>
        <w:t>1. Açıklayıcı Ek: PN ölçüm prosedürü</w:t>
      </w:r>
    </w:p>
    <w:p w14:paraId="3A9AF32C" w14:textId="77777777" w:rsidR="002D7B36" w:rsidRPr="00DE12A3" w:rsidRDefault="00EB3EA9" w:rsidP="00E20716">
      <w:pPr>
        <w:numPr>
          <w:ilvl w:val="0"/>
          <w:numId w:val="112"/>
        </w:numPr>
        <w:spacing w:before="120" w:after="120"/>
        <w:ind w:left="1134" w:hanging="1134"/>
        <w:jc w:val="both"/>
        <w:outlineLvl w:val="3"/>
        <w:rPr>
          <w:rFonts w:eastAsia="Times New Roman" w:cs="Times New Roman"/>
          <w:b/>
          <w:bCs/>
          <w:color w:val="auto"/>
          <w:spacing w:val="18"/>
          <w:lang w:eastAsia="en-US"/>
        </w:rPr>
      </w:pPr>
      <w:r w:rsidRPr="00DE12A3">
        <w:rPr>
          <w:rFonts w:eastAsia="Times New Roman" w:cs="Times New Roman"/>
          <w:b/>
          <w:bCs/>
          <w:color w:val="auto"/>
          <w:spacing w:val="3"/>
          <w:lang w:eastAsia="en-US"/>
        </w:rPr>
        <w:t xml:space="preserve">      </w:t>
      </w:r>
      <w:r w:rsidR="00242DA0" w:rsidRPr="00DE12A3">
        <w:rPr>
          <w:rFonts w:eastAsia="Times New Roman" w:cs="Times New Roman"/>
          <w:b/>
          <w:bCs/>
          <w:color w:val="auto"/>
          <w:spacing w:val="3"/>
          <w:lang w:eastAsia="en-US"/>
        </w:rPr>
        <w:t>İlgili ekler</w:t>
      </w:r>
    </w:p>
    <w:p w14:paraId="656FBF1E" w14:textId="1C061E2D" w:rsidR="002D7B36" w:rsidRPr="00DE12A3" w:rsidRDefault="00242DA0" w:rsidP="00E20716">
      <w:pPr>
        <w:numPr>
          <w:ilvl w:val="0"/>
          <w:numId w:val="113"/>
        </w:numPr>
        <w:tabs>
          <w:tab w:val="center" w:pos="1276"/>
          <w:tab w:val="left" w:pos="1701"/>
          <w:tab w:val="left" w:pos="2444"/>
          <w:tab w:val="right" w:pos="5670"/>
        </w:tabs>
        <w:spacing w:before="120" w:after="120"/>
        <w:ind w:left="1134"/>
        <w:jc w:val="both"/>
        <w:rPr>
          <w:rFonts w:eastAsia="Times New Roman" w:cs="Times New Roman"/>
          <w:color w:val="auto"/>
          <w:spacing w:val="2"/>
          <w:lang w:eastAsia="en-US"/>
        </w:rPr>
      </w:pPr>
      <w:r w:rsidRPr="00DE12A3">
        <w:rPr>
          <w:rFonts w:eastAsia="Times New Roman" w:cs="Times New Roman"/>
          <w:color w:val="auto"/>
          <w:spacing w:val="3"/>
          <w:shd w:val="clear" w:color="auto" w:fill="FFFFFF"/>
          <w:lang w:eastAsia="en-US"/>
        </w:rPr>
        <w:t>Veri değerlendirme ve hesaplama:</w:t>
      </w:r>
      <w:r w:rsidRPr="00DE12A3">
        <w:rPr>
          <w:rFonts w:eastAsia="Times New Roman" w:cs="Times New Roman"/>
          <w:color w:val="auto"/>
          <w:spacing w:val="3"/>
          <w:shd w:val="clear" w:color="auto" w:fill="FFFFFF"/>
          <w:lang w:eastAsia="en-US"/>
        </w:rPr>
        <w:tab/>
      </w:r>
      <w:r w:rsidR="005501E3" w:rsidRPr="00DE12A3">
        <w:rPr>
          <w:rFonts w:eastAsia="Times New Roman" w:cs="Times New Roman"/>
          <w:color w:val="auto"/>
          <w:spacing w:val="3"/>
          <w:shd w:val="clear" w:color="auto" w:fill="FFFFFF"/>
          <w:lang w:eastAsia="en-US"/>
        </w:rPr>
        <w:t xml:space="preserve"> </w:t>
      </w:r>
      <w:r w:rsidRPr="00DE12A3">
        <w:rPr>
          <w:rFonts w:eastAsia="Times New Roman" w:cs="Times New Roman"/>
          <w:color w:val="auto"/>
          <w:spacing w:val="3"/>
          <w:shd w:val="clear" w:color="auto" w:fill="FFFFFF"/>
          <w:lang w:eastAsia="en-US"/>
        </w:rPr>
        <w:t>Ek VII</w:t>
      </w:r>
    </w:p>
    <w:p w14:paraId="0B03BD77" w14:textId="2250650C" w:rsidR="002D7B36" w:rsidRPr="00DE12A3" w:rsidRDefault="00242DA0" w:rsidP="00E20716">
      <w:pPr>
        <w:numPr>
          <w:ilvl w:val="0"/>
          <w:numId w:val="113"/>
        </w:numPr>
        <w:tabs>
          <w:tab w:val="left" w:pos="1276"/>
          <w:tab w:val="left" w:pos="1701"/>
          <w:tab w:val="left" w:pos="2268"/>
          <w:tab w:val="right" w:pos="5670"/>
        </w:tabs>
        <w:spacing w:before="120" w:after="120"/>
        <w:ind w:left="1134"/>
        <w:jc w:val="both"/>
        <w:rPr>
          <w:rFonts w:eastAsia="Times New Roman" w:cs="Times New Roman"/>
          <w:color w:val="auto"/>
          <w:spacing w:val="2"/>
          <w:lang w:eastAsia="en-US"/>
        </w:rPr>
      </w:pPr>
      <w:r w:rsidRPr="00DE12A3">
        <w:rPr>
          <w:rFonts w:eastAsia="Times New Roman" w:cs="Times New Roman"/>
          <w:color w:val="auto"/>
          <w:spacing w:val="3"/>
          <w:lang w:eastAsia="en-US"/>
        </w:rPr>
        <w:t>İki yakıtlı motorlar için test prosedürleri:</w:t>
      </w:r>
      <w:r w:rsidR="005501E3" w:rsidRPr="00DE12A3">
        <w:rPr>
          <w:rFonts w:eastAsia="Times New Roman" w:cs="Times New Roman"/>
          <w:color w:val="auto"/>
          <w:spacing w:val="3"/>
          <w:lang w:eastAsia="en-US"/>
        </w:rPr>
        <w:t xml:space="preserve"> </w:t>
      </w:r>
      <w:r w:rsidRPr="00DE12A3">
        <w:rPr>
          <w:rFonts w:eastAsia="Times New Roman" w:cs="Times New Roman"/>
          <w:color w:val="auto"/>
          <w:spacing w:val="3"/>
          <w:lang w:eastAsia="en-US"/>
        </w:rPr>
        <w:t>Ek VIII</w:t>
      </w:r>
    </w:p>
    <w:p w14:paraId="2988305C" w14:textId="40230F13" w:rsidR="002D7B36" w:rsidRPr="00DE12A3" w:rsidRDefault="00242DA0" w:rsidP="00E20716">
      <w:pPr>
        <w:numPr>
          <w:ilvl w:val="0"/>
          <w:numId w:val="113"/>
        </w:numPr>
        <w:tabs>
          <w:tab w:val="right" w:pos="1134"/>
          <w:tab w:val="left" w:pos="1701"/>
          <w:tab w:val="left" w:pos="5103"/>
        </w:tabs>
        <w:spacing w:before="120" w:after="120"/>
        <w:ind w:left="1134"/>
        <w:jc w:val="both"/>
        <w:rPr>
          <w:rFonts w:eastAsia="Times New Roman" w:cs="Times New Roman"/>
          <w:color w:val="auto"/>
          <w:spacing w:val="2"/>
          <w:lang w:eastAsia="en-US"/>
        </w:rPr>
      </w:pPr>
      <w:r w:rsidRPr="00DE12A3">
        <w:rPr>
          <w:rFonts w:eastAsia="Times New Roman" w:cs="Times New Roman"/>
          <w:color w:val="auto"/>
          <w:spacing w:val="3"/>
          <w:lang w:eastAsia="en-US"/>
        </w:rPr>
        <w:t>Referans yakıtlar:</w:t>
      </w:r>
      <w:r w:rsidR="005501E3" w:rsidRPr="00DE12A3">
        <w:rPr>
          <w:rFonts w:eastAsia="Times New Roman" w:cs="Times New Roman"/>
          <w:color w:val="auto"/>
          <w:spacing w:val="3"/>
          <w:lang w:eastAsia="en-US"/>
        </w:rPr>
        <w:t xml:space="preserve"> </w:t>
      </w:r>
      <w:r w:rsidRPr="00DE12A3">
        <w:rPr>
          <w:rFonts w:eastAsia="Times New Roman" w:cs="Times New Roman"/>
          <w:color w:val="auto"/>
          <w:spacing w:val="3"/>
          <w:lang w:eastAsia="en-US"/>
        </w:rPr>
        <w:t>Ek IX</w:t>
      </w:r>
    </w:p>
    <w:p w14:paraId="68B400C0" w14:textId="3F377A4F" w:rsidR="002D7B36" w:rsidRPr="00DE12A3" w:rsidRDefault="00242DA0" w:rsidP="00E20716">
      <w:pPr>
        <w:numPr>
          <w:ilvl w:val="0"/>
          <w:numId w:val="113"/>
        </w:numPr>
        <w:tabs>
          <w:tab w:val="right" w:pos="1276"/>
          <w:tab w:val="left" w:pos="1701"/>
          <w:tab w:val="left" w:pos="4962"/>
        </w:tabs>
        <w:spacing w:before="120" w:after="120"/>
        <w:ind w:left="1134"/>
        <w:jc w:val="both"/>
        <w:rPr>
          <w:rFonts w:eastAsia="Times New Roman" w:cs="Times New Roman"/>
          <w:color w:val="auto"/>
          <w:spacing w:val="2"/>
          <w:lang w:eastAsia="en-US"/>
        </w:rPr>
      </w:pPr>
      <w:r w:rsidRPr="00DE12A3">
        <w:rPr>
          <w:rFonts w:eastAsia="Times New Roman" w:cs="Times New Roman"/>
          <w:color w:val="auto"/>
          <w:spacing w:val="3"/>
          <w:shd w:val="clear" w:color="auto" w:fill="FFFFFF"/>
          <w:lang w:eastAsia="en-US"/>
        </w:rPr>
        <w:t xml:space="preserve">Test </w:t>
      </w:r>
      <w:r w:rsidR="00F310B5" w:rsidRPr="00DE12A3">
        <w:rPr>
          <w:rFonts w:eastAsia="Times New Roman" w:cs="Times New Roman"/>
          <w:color w:val="auto"/>
          <w:spacing w:val="3"/>
          <w:shd w:val="clear" w:color="auto" w:fill="FFFFFF"/>
          <w:lang w:eastAsia="en-US"/>
        </w:rPr>
        <w:t>çevrim</w:t>
      </w:r>
      <w:r w:rsidRPr="00DE12A3">
        <w:rPr>
          <w:rFonts w:eastAsia="Times New Roman" w:cs="Times New Roman"/>
          <w:color w:val="auto"/>
          <w:spacing w:val="3"/>
          <w:shd w:val="clear" w:color="auto" w:fill="FFFFFF"/>
          <w:lang w:eastAsia="en-US"/>
        </w:rPr>
        <w:t>leri:</w:t>
      </w:r>
      <w:r w:rsidR="005501E3" w:rsidRPr="00DE12A3">
        <w:rPr>
          <w:rFonts w:eastAsia="Times New Roman" w:cs="Times New Roman"/>
          <w:color w:val="auto"/>
          <w:spacing w:val="3"/>
          <w:shd w:val="clear" w:color="auto" w:fill="FFFFFF"/>
          <w:lang w:eastAsia="en-US"/>
        </w:rPr>
        <w:t xml:space="preserve"> </w:t>
      </w:r>
      <w:r w:rsidRPr="00DE12A3">
        <w:rPr>
          <w:rFonts w:eastAsia="Times New Roman" w:cs="Times New Roman"/>
          <w:color w:val="auto"/>
          <w:spacing w:val="3"/>
          <w:shd w:val="clear" w:color="auto" w:fill="FFFFFF"/>
          <w:lang w:eastAsia="en-US"/>
        </w:rPr>
        <w:t>Ek XVII</w:t>
      </w:r>
    </w:p>
    <w:p w14:paraId="5C8DC2F4" w14:textId="77777777" w:rsidR="00382808" w:rsidRPr="00DE12A3" w:rsidRDefault="00382808" w:rsidP="00C917D6">
      <w:pPr>
        <w:tabs>
          <w:tab w:val="right" w:pos="0"/>
          <w:tab w:val="left" w:pos="4962"/>
        </w:tabs>
        <w:spacing w:before="120" w:after="120"/>
        <w:ind w:left="1134" w:hanging="1134"/>
        <w:jc w:val="both"/>
        <w:rPr>
          <w:rFonts w:eastAsia="Times New Roman" w:cs="Times New Roman"/>
          <w:color w:val="auto"/>
          <w:spacing w:val="3"/>
          <w:shd w:val="clear" w:color="auto" w:fill="FFFFFF"/>
          <w:lang w:eastAsia="en-US"/>
        </w:rPr>
      </w:pPr>
    </w:p>
    <w:p w14:paraId="457CF87C" w14:textId="77777777" w:rsidR="00644DDB" w:rsidRPr="00DE12A3" w:rsidRDefault="00644DDB" w:rsidP="00C917D6">
      <w:pPr>
        <w:tabs>
          <w:tab w:val="right" w:pos="0"/>
          <w:tab w:val="left" w:pos="4962"/>
        </w:tabs>
        <w:spacing w:before="120" w:after="120"/>
        <w:ind w:left="1134" w:hanging="1134"/>
        <w:jc w:val="both"/>
        <w:rPr>
          <w:rFonts w:eastAsia="Times New Roman" w:cs="Times New Roman"/>
          <w:color w:val="auto"/>
          <w:spacing w:val="3"/>
          <w:shd w:val="clear" w:color="auto" w:fill="FFFFFF"/>
          <w:lang w:eastAsia="en-US"/>
        </w:rPr>
      </w:pPr>
    </w:p>
    <w:p w14:paraId="665591D3" w14:textId="77777777" w:rsidR="00644DDB" w:rsidRPr="00DE12A3" w:rsidRDefault="00644DDB" w:rsidP="00C917D6">
      <w:pPr>
        <w:tabs>
          <w:tab w:val="right" w:pos="0"/>
          <w:tab w:val="left" w:pos="4962"/>
        </w:tabs>
        <w:spacing w:before="120" w:after="120"/>
        <w:ind w:left="1134" w:hanging="1134"/>
        <w:jc w:val="both"/>
        <w:rPr>
          <w:rFonts w:eastAsia="Times New Roman" w:cs="Times New Roman"/>
          <w:color w:val="auto"/>
          <w:spacing w:val="3"/>
          <w:shd w:val="clear" w:color="auto" w:fill="FFFFFF"/>
          <w:lang w:eastAsia="en-US"/>
        </w:rPr>
      </w:pPr>
    </w:p>
    <w:p w14:paraId="7BC83140" w14:textId="77777777" w:rsidR="00644DDB" w:rsidRPr="00DE12A3" w:rsidRDefault="00644DDB" w:rsidP="00C917D6">
      <w:pPr>
        <w:tabs>
          <w:tab w:val="right" w:pos="0"/>
          <w:tab w:val="left" w:pos="4962"/>
        </w:tabs>
        <w:spacing w:before="120" w:after="120"/>
        <w:ind w:left="1134" w:hanging="1134"/>
        <w:jc w:val="both"/>
        <w:rPr>
          <w:rFonts w:eastAsia="Times New Roman" w:cs="Times New Roman"/>
          <w:color w:val="auto"/>
          <w:spacing w:val="3"/>
          <w:shd w:val="clear" w:color="auto" w:fill="FFFFFF"/>
          <w:lang w:eastAsia="en-US"/>
        </w:rPr>
      </w:pPr>
    </w:p>
    <w:p w14:paraId="4A167024" w14:textId="77777777" w:rsidR="002D7B36" w:rsidRPr="00DE12A3" w:rsidRDefault="00E12A47" w:rsidP="00C917D6">
      <w:pPr>
        <w:tabs>
          <w:tab w:val="right" w:pos="1276"/>
          <w:tab w:val="left" w:pos="4962"/>
        </w:tabs>
        <w:spacing w:before="120" w:after="120"/>
        <w:ind w:left="709" w:hanging="709"/>
        <w:jc w:val="both"/>
        <w:rPr>
          <w:rFonts w:cs="Times New Roman"/>
          <w:color w:val="auto"/>
          <w:sz w:val="20"/>
          <w:szCs w:val="20"/>
        </w:rPr>
      </w:pPr>
      <w:r w:rsidRPr="00DE12A3">
        <w:rPr>
          <w:rFonts w:eastAsia="Times New Roman" w:cs="Times New Roman"/>
          <w:b/>
          <w:noProof/>
          <w:color w:val="auto"/>
          <w:sz w:val="20"/>
          <w:szCs w:val="20"/>
        </w:rPr>
        <mc:AlternateContent>
          <mc:Choice Requires="wps">
            <w:drawing>
              <wp:anchor distT="0" distB="0" distL="114300" distR="114300" simplePos="0" relativeHeight="251660800" behindDoc="0" locked="0" layoutInCell="1" allowOverlap="1" wp14:anchorId="2B540457" wp14:editId="7B13435C">
                <wp:simplePos x="0" y="0"/>
                <wp:positionH relativeFrom="column">
                  <wp:posOffset>140970</wp:posOffset>
                </wp:positionH>
                <wp:positionV relativeFrom="paragraph">
                  <wp:posOffset>10795</wp:posOffset>
                </wp:positionV>
                <wp:extent cx="1041400" cy="0"/>
                <wp:effectExtent l="0" t="0" r="25400" b="19050"/>
                <wp:wrapNone/>
                <wp:docPr id="30" name="Düz Bağlayıcı 30"/>
                <wp:cNvGraphicFramePr/>
                <a:graphic xmlns:a="http://schemas.openxmlformats.org/drawingml/2006/main">
                  <a:graphicData uri="http://schemas.microsoft.com/office/word/2010/wordprocessingShape">
                    <wps:wsp>
                      <wps:cNvCnPr/>
                      <wps:spPr>
                        <a:xfrm>
                          <a:off x="0" y="0"/>
                          <a:ext cx="10414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xmlns:w16sdtdh="http://schemas.microsoft.com/office/word/2020/wordml/sdtdatahash" xmlns:w16="http://schemas.microsoft.com/office/word/2018/wordml" xmlns:w16cex="http://schemas.microsoft.com/office/word/2018/wordml/cex">
            <w:pict>
              <v:line w14:anchorId="33016AC0" id="Düz Bağlayıcı 30" o:spid="_x0000_s1026" style="position:absolute;z-index:251660800;visibility:visible;mso-wrap-style:square;mso-wrap-distance-left:9pt;mso-wrap-distance-top:0;mso-wrap-distance-right:9pt;mso-wrap-distance-bottom:0;mso-position-horizontal:absolute;mso-position-horizontal-relative:text;mso-position-vertical:absolute;mso-position-vertical-relative:text" from="11.1pt,.85pt" to="93.1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" strokecolor="#4579b8 [3044]"/>
            </w:pict>
          </mc:Fallback>
        </mc:AlternateContent>
      </w:r>
      <w:r w:rsidR="00242DA0" w:rsidRPr="00DE12A3">
        <w:rPr>
          <w:rFonts w:cs="Times New Roman"/>
          <w:color w:val="auto"/>
        </w:rPr>
        <w:t>(</w:t>
      </w:r>
      <w:r w:rsidR="00242DA0" w:rsidRPr="00DE12A3">
        <w:rPr>
          <w:rFonts w:cs="Times New Roman"/>
          <w:color w:val="auto"/>
          <w:vertAlign w:val="superscript"/>
        </w:rPr>
        <w:t>1</w:t>
      </w:r>
      <w:r w:rsidR="00242DA0" w:rsidRPr="00DE12A3">
        <w:rPr>
          <w:rFonts w:cs="Times New Roman"/>
          <w:color w:val="auto"/>
        </w:rPr>
        <w:t>)</w:t>
      </w:r>
      <w:r w:rsidR="00242DA0" w:rsidRPr="00DE12A3">
        <w:rPr>
          <w:rFonts w:cs="Times New Roman"/>
          <w:color w:val="auto"/>
        </w:rPr>
        <w:tab/>
      </w:r>
      <w:r w:rsidR="00242DA0" w:rsidRPr="00DE12A3">
        <w:rPr>
          <w:rFonts w:cs="Times New Roman"/>
          <w:color w:val="auto"/>
          <w:sz w:val="20"/>
          <w:szCs w:val="20"/>
        </w:rPr>
        <w:t>Tekerlekli araçlar, tekerlekli araçlara takılabilen ve/veya tekerlekli araçlar üzerinde kullanılabilen aksam ve parçalara ilişkin Anlaşmanın 6. maddesi uyarınca 18 Kasım 2004 tarihinde oluşturulan Küresel Kayıt kapsamındaki tarım ve orman traktörlerinden ve karayolu dışında kullanılan hareketli makinalardan çıkan Motor Emisyonları ile ilgili 11 sayılı Küresel teknik düzenleme.</w:t>
      </w:r>
    </w:p>
    <w:p w14:paraId="59D8F3B6" w14:textId="4EC00559" w:rsidR="002D7B36" w:rsidRPr="00DE12A3" w:rsidRDefault="00242DA0" w:rsidP="00C917D6">
      <w:pPr>
        <w:pStyle w:val="Gvdemetni370"/>
        <w:shd w:val="clear" w:color="auto" w:fill="auto"/>
        <w:spacing w:before="120" w:after="120" w:line="240" w:lineRule="auto"/>
        <w:ind w:left="709" w:hanging="709"/>
        <w:rPr>
          <w:sz w:val="20"/>
          <w:szCs w:val="20"/>
        </w:rPr>
      </w:pPr>
      <w:r w:rsidRPr="00DE12A3">
        <w:rPr>
          <w:sz w:val="20"/>
          <w:szCs w:val="20"/>
        </w:rPr>
        <w:t>(</w:t>
      </w:r>
      <w:r w:rsidRPr="00DE12A3">
        <w:rPr>
          <w:sz w:val="20"/>
          <w:szCs w:val="20"/>
          <w:vertAlign w:val="superscript"/>
        </w:rPr>
        <w:t>2</w:t>
      </w:r>
      <w:r w:rsidRPr="00DE12A3">
        <w:rPr>
          <w:sz w:val="20"/>
          <w:szCs w:val="20"/>
        </w:rPr>
        <w:t>)</w:t>
      </w:r>
      <w:r w:rsidRPr="00DE12A3">
        <w:rPr>
          <w:sz w:val="20"/>
          <w:szCs w:val="20"/>
        </w:rPr>
        <w:tab/>
        <w:t xml:space="preserve">96 sayılı Birleşmiş Milletler Avrupa Ekonomik Komisyonu (BM/AEK) </w:t>
      </w:r>
      <w:r w:rsidR="009267B8" w:rsidRPr="00DE12A3">
        <w:rPr>
          <w:sz w:val="20"/>
          <w:szCs w:val="20"/>
        </w:rPr>
        <w:t>Düzenlemesi-</w:t>
      </w:r>
      <w:r w:rsidRPr="00DE12A3">
        <w:rPr>
          <w:sz w:val="20"/>
          <w:szCs w:val="20"/>
        </w:rPr>
        <w:t xml:space="preserve"> Motordan kaynaklanan kirleticilerin emisyonları hususunda tarım ve orman traktörlerine ve arayolu dışında kullanlan hareketli makinalara yerleştirilecek olan sıkıştırma ateşlemeli (C.I.) motorların onayı ile ilgili genel hükümler.</w:t>
      </w:r>
    </w:p>
    <w:p w14:paraId="379A0691" w14:textId="77777777" w:rsidR="00FD681E" w:rsidRPr="00DE12A3" w:rsidRDefault="00FD681E" w:rsidP="00C917D6">
      <w:pPr>
        <w:pStyle w:val="Gvdemetni370"/>
        <w:shd w:val="clear" w:color="auto" w:fill="auto"/>
        <w:spacing w:before="120" w:after="120" w:line="240" w:lineRule="auto"/>
        <w:ind w:left="709" w:hanging="709"/>
        <w:rPr>
          <w:sz w:val="20"/>
          <w:szCs w:val="20"/>
        </w:rPr>
      </w:pPr>
    </w:p>
    <w:p w14:paraId="730A76C3" w14:textId="77777777" w:rsidR="002D7B36" w:rsidRPr="00DE12A3" w:rsidRDefault="00242DA0" w:rsidP="00C917D6">
      <w:pPr>
        <w:spacing w:before="120" w:after="120"/>
        <w:ind w:left="1134" w:hanging="1134"/>
        <w:jc w:val="both"/>
        <w:rPr>
          <w:rFonts w:eastAsia="Times New Roman" w:cs="Times New Roman"/>
          <w:b/>
          <w:color w:val="auto"/>
          <w:lang w:eastAsia="en-US"/>
        </w:rPr>
      </w:pPr>
      <w:r w:rsidRPr="00DE12A3">
        <w:rPr>
          <w:rFonts w:eastAsia="Times New Roman" w:cs="Times New Roman"/>
          <w:color w:val="auto"/>
          <w:lang w:eastAsia="en-US"/>
        </w:rPr>
        <w:lastRenderedPageBreak/>
        <w:t>4</w:t>
      </w:r>
      <w:r w:rsidRPr="00DE12A3">
        <w:rPr>
          <w:rFonts w:eastAsia="Times New Roman" w:cs="Times New Roman"/>
          <w:color w:val="auto"/>
          <w:sz w:val="20"/>
          <w:szCs w:val="20"/>
          <w:lang w:eastAsia="en-US"/>
        </w:rPr>
        <w:t>.</w:t>
      </w:r>
      <w:r w:rsidRPr="00DE12A3">
        <w:rPr>
          <w:rFonts w:eastAsia="Times New Roman" w:cs="Times New Roman"/>
          <w:color w:val="auto"/>
          <w:sz w:val="20"/>
          <w:szCs w:val="20"/>
          <w:lang w:eastAsia="en-US"/>
        </w:rPr>
        <w:tab/>
      </w:r>
      <w:r w:rsidRPr="00DE12A3">
        <w:rPr>
          <w:rFonts w:eastAsia="Times New Roman" w:cs="Times New Roman"/>
          <w:b/>
          <w:color w:val="auto"/>
          <w:lang w:eastAsia="en-US"/>
        </w:rPr>
        <w:t>Genel şartlar</w:t>
      </w:r>
    </w:p>
    <w:p w14:paraId="737B1B63" w14:textId="1189245E" w:rsidR="002D7B36" w:rsidRPr="00DE12A3" w:rsidRDefault="00242DA0" w:rsidP="00C917D6">
      <w:pPr>
        <w:spacing w:before="120" w:after="120"/>
        <w:ind w:left="1134"/>
        <w:jc w:val="both"/>
        <w:rPr>
          <w:rFonts w:eastAsia="Times New Roman" w:cs="Times New Roman"/>
          <w:color w:val="auto"/>
          <w:lang w:eastAsia="en-US"/>
        </w:rPr>
      </w:pPr>
      <w:r w:rsidRPr="00DE12A3">
        <w:rPr>
          <w:rFonts w:eastAsia="Times New Roman" w:cs="Times New Roman"/>
          <w:color w:val="auto"/>
          <w:lang w:eastAsia="en-US"/>
        </w:rPr>
        <w:t xml:space="preserve">Test edilecek motorlar, 6. </w:t>
      </w:r>
      <w:r w:rsidR="00B32A92" w:rsidRPr="00DE12A3">
        <w:rPr>
          <w:rFonts w:eastAsia="Times New Roman" w:cs="Times New Roman"/>
          <w:color w:val="auto"/>
          <w:lang w:eastAsia="en-US"/>
        </w:rPr>
        <w:t>Bölüm</w:t>
      </w:r>
      <w:r w:rsidRPr="00DE12A3">
        <w:rPr>
          <w:rFonts w:eastAsia="Times New Roman" w:cs="Times New Roman"/>
          <w:color w:val="auto"/>
          <w:lang w:eastAsia="en-US"/>
        </w:rPr>
        <w:t xml:space="preserve">de belirtilen test koşulları ve 7. </w:t>
      </w:r>
      <w:r w:rsidR="00B32A92" w:rsidRPr="00DE12A3">
        <w:rPr>
          <w:rFonts w:eastAsia="Times New Roman" w:cs="Times New Roman"/>
          <w:color w:val="auto"/>
          <w:lang w:eastAsia="en-US"/>
        </w:rPr>
        <w:t>Bölüm</w:t>
      </w:r>
      <w:r w:rsidRPr="00DE12A3">
        <w:rPr>
          <w:rFonts w:eastAsia="Times New Roman" w:cs="Times New Roman"/>
          <w:color w:val="auto"/>
          <w:lang w:eastAsia="en-US"/>
        </w:rPr>
        <w:t xml:space="preserve">de belirtilen test prosedürleri uyarınca test edildiğinde 5. </w:t>
      </w:r>
      <w:r w:rsidR="00B32A92" w:rsidRPr="00DE12A3">
        <w:rPr>
          <w:rFonts w:eastAsia="Times New Roman" w:cs="Times New Roman"/>
          <w:color w:val="auto"/>
          <w:lang w:eastAsia="en-US"/>
        </w:rPr>
        <w:t>Bölüm</w:t>
      </w:r>
      <w:r w:rsidRPr="00DE12A3">
        <w:rPr>
          <w:rFonts w:eastAsia="Times New Roman" w:cs="Times New Roman"/>
          <w:color w:val="auto"/>
          <w:lang w:eastAsia="en-US"/>
        </w:rPr>
        <w:t xml:space="preserve">de belirtilen performans </w:t>
      </w:r>
      <w:r w:rsidR="0053289F" w:rsidRPr="00DE12A3">
        <w:rPr>
          <w:rFonts w:eastAsia="Times New Roman" w:cs="Times New Roman"/>
          <w:color w:val="auto"/>
          <w:lang w:eastAsia="en-US"/>
        </w:rPr>
        <w:t>gerekliliklerini</w:t>
      </w:r>
      <w:r w:rsidRPr="00DE12A3">
        <w:rPr>
          <w:rFonts w:eastAsia="Times New Roman" w:cs="Times New Roman"/>
          <w:color w:val="auto"/>
          <w:lang w:eastAsia="en-US"/>
        </w:rPr>
        <w:t xml:space="preserve"> sağlamalıdır.</w:t>
      </w:r>
    </w:p>
    <w:p w14:paraId="54D68B3E" w14:textId="77777777" w:rsidR="002D7B36" w:rsidRPr="00DE12A3" w:rsidRDefault="00242DA0" w:rsidP="00C917D6">
      <w:pPr>
        <w:spacing w:before="120" w:after="120"/>
        <w:ind w:left="1134" w:hanging="1134"/>
        <w:jc w:val="both"/>
        <w:rPr>
          <w:rFonts w:eastAsia="Times New Roman" w:cs="Times New Roman"/>
          <w:b/>
          <w:color w:val="auto"/>
          <w:lang w:eastAsia="en-US"/>
        </w:rPr>
      </w:pPr>
      <w:r w:rsidRPr="00DE12A3">
        <w:rPr>
          <w:rFonts w:eastAsia="Times New Roman" w:cs="Times New Roman"/>
          <w:b/>
          <w:color w:val="auto"/>
          <w:lang w:eastAsia="en-US"/>
        </w:rPr>
        <w:t>5</w:t>
      </w:r>
      <w:r w:rsidRPr="00DE12A3">
        <w:rPr>
          <w:rFonts w:eastAsia="Times New Roman" w:cs="Times New Roman"/>
          <w:color w:val="auto"/>
          <w:lang w:eastAsia="en-US"/>
        </w:rPr>
        <w:t>.</w:t>
      </w:r>
      <w:r w:rsidRPr="00DE12A3">
        <w:rPr>
          <w:rFonts w:eastAsia="Times New Roman" w:cs="Times New Roman"/>
          <w:color w:val="auto"/>
          <w:lang w:eastAsia="en-US"/>
        </w:rPr>
        <w:tab/>
      </w:r>
      <w:r w:rsidRPr="00DE12A3">
        <w:rPr>
          <w:rFonts w:eastAsia="Times New Roman" w:cs="Times New Roman"/>
          <w:b/>
          <w:color w:val="auto"/>
          <w:lang w:eastAsia="en-US"/>
        </w:rPr>
        <w:t xml:space="preserve">Performans </w:t>
      </w:r>
      <w:r w:rsidR="0053289F" w:rsidRPr="00DE12A3">
        <w:rPr>
          <w:rFonts w:eastAsia="Times New Roman" w:cs="Times New Roman"/>
          <w:b/>
          <w:color w:val="auto"/>
          <w:lang w:eastAsia="en-US"/>
        </w:rPr>
        <w:t>gereklilikleri</w:t>
      </w:r>
    </w:p>
    <w:p w14:paraId="45A8A11D" w14:textId="77777777" w:rsidR="002D7B36" w:rsidRPr="00DE12A3" w:rsidRDefault="00242DA0" w:rsidP="00C917D6">
      <w:pPr>
        <w:spacing w:before="120" w:after="120"/>
        <w:ind w:left="1134" w:hanging="1134"/>
        <w:jc w:val="both"/>
        <w:rPr>
          <w:rFonts w:eastAsia="Times New Roman" w:cs="Times New Roman"/>
          <w:color w:val="auto"/>
          <w:lang w:eastAsia="en-US"/>
        </w:rPr>
      </w:pPr>
      <w:r w:rsidRPr="00DE12A3">
        <w:rPr>
          <w:rFonts w:eastAsia="Times New Roman" w:cs="Times New Roman"/>
          <w:color w:val="auto"/>
          <w:lang w:eastAsia="en-US"/>
        </w:rPr>
        <w:t>5.1.</w:t>
      </w:r>
      <w:r w:rsidRPr="00DE12A3">
        <w:rPr>
          <w:rFonts w:eastAsia="Times New Roman" w:cs="Times New Roman"/>
          <w:color w:val="auto"/>
          <w:lang w:eastAsia="en-US"/>
        </w:rPr>
        <w:tab/>
        <w:t xml:space="preserve">Gaz ve </w:t>
      </w:r>
      <w:r w:rsidR="007E2039" w:rsidRPr="00DE12A3">
        <w:rPr>
          <w:rFonts w:eastAsia="Times New Roman" w:cs="Times New Roman"/>
          <w:color w:val="auto"/>
          <w:lang w:eastAsia="en-US"/>
        </w:rPr>
        <w:t xml:space="preserve">partikül </w:t>
      </w:r>
      <w:r w:rsidRPr="00DE12A3">
        <w:rPr>
          <w:rFonts w:eastAsia="Times New Roman" w:cs="Times New Roman"/>
          <w:color w:val="auto"/>
          <w:lang w:eastAsia="en-US"/>
        </w:rPr>
        <w:t>kirleticiler ile CO</w:t>
      </w:r>
      <w:r w:rsidRPr="00DE12A3">
        <w:rPr>
          <w:rFonts w:eastAsia="Times New Roman" w:cs="Times New Roman"/>
          <w:color w:val="auto"/>
          <w:vertAlign w:val="subscript"/>
          <w:lang w:eastAsia="en-US"/>
        </w:rPr>
        <w:t>2</w:t>
      </w:r>
      <w:r w:rsidRPr="00DE12A3">
        <w:rPr>
          <w:rFonts w:eastAsia="Times New Roman" w:cs="Times New Roman"/>
          <w:color w:val="auto"/>
          <w:lang w:eastAsia="en-US"/>
        </w:rPr>
        <w:t xml:space="preserve"> ve NH</w:t>
      </w:r>
      <w:r w:rsidRPr="00DE12A3">
        <w:rPr>
          <w:rFonts w:eastAsia="Times New Roman" w:cs="Times New Roman"/>
          <w:color w:val="auto"/>
          <w:vertAlign w:val="subscript"/>
          <w:lang w:eastAsia="en-US"/>
        </w:rPr>
        <w:t>3</w:t>
      </w:r>
      <w:r w:rsidRPr="00DE12A3">
        <w:rPr>
          <w:rFonts w:eastAsia="Times New Roman" w:cs="Times New Roman"/>
          <w:color w:val="auto"/>
          <w:lang w:eastAsia="en-US"/>
        </w:rPr>
        <w:t xml:space="preserve"> emisyonları</w:t>
      </w:r>
    </w:p>
    <w:p w14:paraId="7139BC56" w14:textId="77777777" w:rsidR="002D7B36" w:rsidRPr="00DE12A3" w:rsidRDefault="00242DA0" w:rsidP="00C917D6">
      <w:pPr>
        <w:spacing w:before="120" w:after="120"/>
        <w:ind w:left="1134"/>
        <w:jc w:val="both"/>
        <w:rPr>
          <w:rFonts w:eastAsia="Times New Roman" w:cs="Times New Roman"/>
          <w:color w:val="auto"/>
          <w:lang w:eastAsia="en-US"/>
        </w:rPr>
      </w:pPr>
      <w:r w:rsidRPr="00DE12A3">
        <w:rPr>
          <w:rFonts w:eastAsia="Times New Roman" w:cs="Times New Roman"/>
          <w:color w:val="auto"/>
          <w:lang w:eastAsia="en-US"/>
        </w:rPr>
        <w:t>Kirleticiler aşağıdakiler ile temsil edilir:</w:t>
      </w:r>
    </w:p>
    <w:p w14:paraId="4EFB112C" w14:textId="6C221C54" w:rsidR="002D7B36" w:rsidRPr="00DE12A3" w:rsidRDefault="00242DA0" w:rsidP="00C917D6">
      <w:pPr>
        <w:spacing w:before="120" w:after="120"/>
        <w:ind w:left="1134"/>
        <w:jc w:val="both"/>
        <w:rPr>
          <w:rFonts w:eastAsia="Times New Roman" w:cs="Times New Roman"/>
          <w:color w:val="auto"/>
          <w:lang w:eastAsia="en-US"/>
        </w:rPr>
      </w:pPr>
      <w:r w:rsidRPr="00DE12A3">
        <w:rPr>
          <w:rFonts w:eastAsia="Times New Roman" w:cs="Times New Roman"/>
          <w:color w:val="auto"/>
          <w:lang w:eastAsia="en-US"/>
        </w:rPr>
        <w:t>(a)</w:t>
      </w:r>
      <w:r w:rsidRPr="00DE12A3">
        <w:rPr>
          <w:rFonts w:eastAsia="Times New Roman" w:cs="Times New Roman"/>
          <w:color w:val="auto"/>
          <w:lang w:eastAsia="en-US"/>
        </w:rPr>
        <w:tab/>
        <w:t>Azot oksitler, N</w:t>
      </w:r>
      <w:r w:rsidR="00DD44B6" w:rsidRPr="00DE12A3">
        <w:rPr>
          <w:rFonts w:eastAsia="Times New Roman" w:cs="Times New Roman"/>
          <w:color w:val="auto"/>
          <w:lang w:eastAsia="en-US"/>
        </w:rPr>
        <w:t>o</w:t>
      </w:r>
      <w:r w:rsidRPr="00DE12A3">
        <w:rPr>
          <w:rFonts w:eastAsia="Times New Roman" w:cs="Times New Roman"/>
          <w:color w:val="auto"/>
          <w:lang w:eastAsia="en-US"/>
        </w:rPr>
        <w:t>x</w:t>
      </w:r>
      <w:r w:rsidR="00DD44B6" w:rsidRPr="00DE12A3">
        <w:rPr>
          <w:rFonts w:eastAsia="Times New Roman" w:cs="Times New Roman"/>
          <w:color w:val="auto"/>
          <w:lang w:eastAsia="en-US"/>
        </w:rPr>
        <w:t>.</w:t>
      </w:r>
    </w:p>
    <w:p w14:paraId="10CEAE69" w14:textId="73A5BD78" w:rsidR="002D7B36" w:rsidRPr="00DE12A3" w:rsidRDefault="00242DA0" w:rsidP="00C917D6">
      <w:pPr>
        <w:spacing w:before="120" w:after="120"/>
        <w:ind w:left="1134"/>
        <w:jc w:val="both"/>
        <w:rPr>
          <w:rFonts w:eastAsia="Times New Roman" w:cs="Times New Roman"/>
          <w:color w:val="auto"/>
          <w:lang w:eastAsia="en-US"/>
        </w:rPr>
      </w:pPr>
      <w:r w:rsidRPr="00DE12A3">
        <w:rPr>
          <w:rFonts w:eastAsia="Times New Roman" w:cs="Times New Roman"/>
          <w:color w:val="auto"/>
          <w:lang w:eastAsia="en-US"/>
        </w:rPr>
        <w:t>(b)</w:t>
      </w:r>
      <w:r w:rsidRPr="00DE12A3">
        <w:rPr>
          <w:rFonts w:eastAsia="Times New Roman" w:cs="Times New Roman"/>
          <w:color w:val="auto"/>
          <w:lang w:eastAsia="en-US"/>
        </w:rPr>
        <w:tab/>
        <w:t>Toplam hidrokarbonlar, HC veya THC olarak ifade edilen hidrokarbonlar</w:t>
      </w:r>
      <w:r w:rsidR="00DD44B6" w:rsidRPr="00DE12A3">
        <w:rPr>
          <w:rFonts w:eastAsia="Times New Roman" w:cs="Times New Roman"/>
          <w:color w:val="auto"/>
          <w:lang w:eastAsia="en-US"/>
        </w:rPr>
        <w:t>.</w:t>
      </w:r>
    </w:p>
    <w:p w14:paraId="6405BB6C" w14:textId="3862A7A5" w:rsidR="002D7B36" w:rsidRPr="00DE12A3" w:rsidRDefault="00242DA0" w:rsidP="00C917D6">
      <w:pPr>
        <w:spacing w:before="120" w:after="120"/>
        <w:ind w:left="1134"/>
        <w:jc w:val="both"/>
        <w:rPr>
          <w:rFonts w:eastAsia="Times New Roman" w:cs="Times New Roman"/>
          <w:color w:val="auto"/>
          <w:lang w:eastAsia="en-US"/>
        </w:rPr>
      </w:pPr>
      <w:r w:rsidRPr="00DE12A3">
        <w:rPr>
          <w:rFonts w:eastAsia="Times New Roman" w:cs="Times New Roman"/>
          <w:color w:val="auto"/>
          <w:lang w:eastAsia="en-US"/>
        </w:rPr>
        <w:t>(c)</w:t>
      </w:r>
      <w:r w:rsidRPr="00DE12A3">
        <w:rPr>
          <w:rFonts w:eastAsia="Times New Roman" w:cs="Times New Roman"/>
          <w:color w:val="auto"/>
          <w:lang w:eastAsia="en-US"/>
        </w:rPr>
        <w:tab/>
        <w:t>Karbon monoksit, CO</w:t>
      </w:r>
      <w:r w:rsidR="00DD44B6" w:rsidRPr="00DE12A3">
        <w:rPr>
          <w:rFonts w:eastAsia="Times New Roman" w:cs="Times New Roman"/>
          <w:color w:val="auto"/>
          <w:lang w:eastAsia="en-US"/>
        </w:rPr>
        <w:t>.</w:t>
      </w:r>
    </w:p>
    <w:p w14:paraId="4AF410CD" w14:textId="3BC632F1" w:rsidR="002D7B36" w:rsidRPr="00DE12A3" w:rsidRDefault="00242DA0" w:rsidP="00C917D6">
      <w:pPr>
        <w:spacing w:before="120" w:after="120"/>
        <w:ind w:left="1134"/>
        <w:jc w:val="both"/>
        <w:rPr>
          <w:rFonts w:eastAsia="Times New Roman" w:cs="Times New Roman"/>
          <w:color w:val="auto"/>
          <w:lang w:eastAsia="en-US"/>
        </w:rPr>
      </w:pPr>
      <w:r w:rsidRPr="00DE12A3">
        <w:rPr>
          <w:rFonts w:eastAsia="Times New Roman" w:cs="Times New Roman"/>
          <w:color w:val="auto"/>
          <w:lang w:eastAsia="en-US"/>
        </w:rPr>
        <w:t>(d)</w:t>
      </w:r>
      <w:r w:rsidRPr="00DE12A3">
        <w:rPr>
          <w:rFonts w:eastAsia="Times New Roman" w:cs="Times New Roman"/>
          <w:color w:val="auto"/>
          <w:lang w:eastAsia="en-US"/>
        </w:rPr>
        <w:tab/>
      </w:r>
      <w:r w:rsidR="007E2039" w:rsidRPr="00DE12A3">
        <w:rPr>
          <w:rFonts w:eastAsia="Times New Roman" w:cs="Times New Roman"/>
          <w:color w:val="auto"/>
          <w:lang w:eastAsia="en-US"/>
        </w:rPr>
        <w:t xml:space="preserve">Partikül </w:t>
      </w:r>
      <w:r w:rsidRPr="00DE12A3">
        <w:rPr>
          <w:rFonts w:eastAsia="Times New Roman" w:cs="Times New Roman"/>
          <w:color w:val="auto"/>
          <w:lang w:eastAsia="en-US"/>
        </w:rPr>
        <w:t>madde, PM</w:t>
      </w:r>
      <w:r w:rsidR="00DD44B6" w:rsidRPr="00DE12A3">
        <w:rPr>
          <w:rFonts w:eastAsia="Times New Roman" w:cs="Times New Roman"/>
          <w:color w:val="auto"/>
          <w:lang w:eastAsia="en-US"/>
        </w:rPr>
        <w:t>.</w:t>
      </w:r>
    </w:p>
    <w:p w14:paraId="103557E6" w14:textId="77777777" w:rsidR="002D7B36" w:rsidRPr="00DE12A3" w:rsidRDefault="00242DA0" w:rsidP="00C917D6">
      <w:pPr>
        <w:spacing w:before="120" w:after="120"/>
        <w:ind w:left="1134"/>
        <w:jc w:val="both"/>
        <w:rPr>
          <w:rFonts w:eastAsia="Times New Roman" w:cs="Times New Roman"/>
          <w:color w:val="auto"/>
          <w:lang w:eastAsia="en-US"/>
        </w:rPr>
      </w:pPr>
      <w:r w:rsidRPr="00DE12A3">
        <w:rPr>
          <w:rFonts w:eastAsia="Times New Roman" w:cs="Times New Roman"/>
          <w:color w:val="auto"/>
          <w:lang w:eastAsia="en-US"/>
        </w:rPr>
        <w:t>(e)</w:t>
      </w:r>
      <w:r w:rsidRPr="00DE12A3">
        <w:rPr>
          <w:rFonts w:eastAsia="Times New Roman" w:cs="Times New Roman"/>
          <w:color w:val="auto"/>
          <w:lang w:eastAsia="en-US"/>
        </w:rPr>
        <w:tab/>
      </w:r>
      <w:r w:rsidR="007E2039" w:rsidRPr="00DE12A3">
        <w:rPr>
          <w:rFonts w:eastAsia="Times New Roman" w:cs="Times New Roman"/>
          <w:color w:val="auto"/>
          <w:lang w:eastAsia="en-US"/>
        </w:rPr>
        <w:t xml:space="preserve">Partikül </w:t>
      </w:r>
      <w:r w:rsidRPr="00DE12A3">
        <w:rPr>
          <w:rFonts w:eastAsia="Times New Roman" w:cs="Times New Roman"/>
          <w:color w:val="auto"/>
          <w:lang w:eastAsia="en-US"/>
        </w:rPr>
        <w:t>numarası, PN.</w:t>
      </w:r>
    </w:p>
    <w:p w14:paraId="6979DAB5" w14:textId="77777777" w:rsidR="002D7B36" w:rsidRPr="00DE12A3" w:rsidRDefault="00242DA0" w:rsidP="00C917D6">
      <w:pPr>
        <w:spacing w:before="120" w:after="120"/>
        <w:ind w:left="1134"/>
        <w:jc w:val="both"/>
        <w:rPr>
          <w:rFonts w:eastAsia="Times New Roman" w:cs="Times New Roman"/>
          <w:color w:val="auto"/>
          <w:lang w:eastAsia="en-US"/>
        </w:rPr>
      </w:pPr>
      <w:r w:rsidRPr="00DE12A3">
        <w:rPr>
          <w:rFonts w:eastAsia="Times New Roman" w:cs="Times New Roman"/>
          <w:color w:val="auto"/>
          <w:lang w:eastAsia="en-US"/>
        </w:rPr>
        <w:t xml:space="preserve">Motor tarafından tüketilen gaz ve </w:t>
      </w:r>
      <w:r w:rsidR="007E2039" w:rsidRPr="00DE12A3">
        <w:rPr>
          <w:rFonts w:eastAsia="Times New Roman" w:cs="Times New Roman"/>
          <w:color w:val="auto"/>
          <w:lang w:eastAsia="en-US"/>
        </w:rPr>
        <w:t xml:space="preserve">partikül </w:t>
      </w:r>
      <w:r w:rsidRPr="00DE12A3">
        <w:rPr>
          <w:rFonts w:eastAsia="Times New Roman" w:cs="Times New Roman"/>
          <w:color w:val="auto"/>
          <w:lang w:eastAsia="en-US"/>
        </w:rPr>
        <w:t>halindeki kirletici maddelerin ve CO</w:t>
      </w:r>
      <w:r w:rsidRPr="00DE12A3">
        <w:rPr>
          <w:rFonts w:eastAsia="Times New Roman" w:cs="Times New Roman"/>
          <w:color w:val="auto"/>
          <w:vertAlign w:val="subscript"/>
          <w:lang w:eastAsia="en-US"/>
        </w:rPr>
        <w:t>2</w:t>
      </w:r>
      <w:r w:rsidRPr="00DE12A3">
        <w:rPr>
          <w:rFonts w:eastAsia="Times New Roman" w:cs="Times New Roman"/>
          <w:color w:val="auto"/>
          <w:lang w:eastAsia="en-US"/>
        </w:rPr>
        <w:t>'nin ölçülen değerleri, kilowatt-saat başına gram (g/kWh) veya PN için kilowatt-saat başına sayı (#/kWh) cinsinden frene özgü emisyonları ifade eder.</w:t>
      </w:r>
    </w:p>
    <w:p w14:paraId="02C84EE3" w14:textId="162B1BAE" w:rsidR="002D7B36" w:rsidRPr="00DE12A3" w:rsidRDefault="00242DA0" w:rsidP="00C917D6">
      <w:pPr>
        <w:spacing w:before="120" w:after="120"/>
        <w:ind w:left="1134"/>
        <w:jc w:val="both"/>
        <w:rPr>
          <w:rFonts w:eastAsia="Times New Roman" w:cs="Times New Roman"/>
          <w:color w:val="auto"/>
          <w:lang w:eastAsia="en-US"/>
        </w:rPr>
      </w:pPr>
      <w:r w:rsidRPr="00DE12A3">
        <w:rPr>
          <w:rFonts w:eastAsia="Times New Roman" w:cs="Times New Roman"/>
          <w:color w:val="auto"/>
          <w:lang w:eastAsia="en-US"/>
        </w:rPr>
        <w:t xml:space="preserve">Ölçülecek olan gaz ve </w:t>
      </w:r>
      <w:r w:rsidR="007E2039" w:rsidRPr="00DE12A3">
        <w:rPr>
          <w:rFonts w:eastAsia="Times New Roman" w:cs="Times New Roman"/>
          <w:color w:val="auto"/>
          <w:lang w:eastAsia="en-US"/>
        </w:rPr>
        <w:t xml:space="preserve">partikül </w:t>
      </w:r>
      <w:r w:rsidRPr="00DE12A3">
        <w:rPr>
          <w:rFonts w:eastAsia="Times New Roman" w:cs="Times New Roman"/>
          <w:color w:val="auto"/>
          <w:lang w:eastAsia="en-US"/>
        </w:rPr>
        <w:t xml:space="preserve">halindeki kirletici maddeler, sınır </w:t>
      </w:r>
      <w:r w:rsidR="00644DDB" w:rsidRPr="00DE12A3">
        <w:rPr>
          <w:rFonts w:eastAsia="Times New Roman" w:cs="Times New Roman"/>
          <w:color w:val="auto"/>
          <w:lang w:eastAsia="en-US"/>
        </w:rPr>
        <w:t>değerlerinin 2016</w:t>
      </w:r>
      <w:r w:rsidR="00EE5D5E" w:rsidRPr="00DE12A3">
        <w:rPr>
          <w:rFonts w:eastAsia="Times New Roman" w:cs="Times New Roman"/>
          <w:color w:val="auto"/>
          <w:lang w:eastAsia="en-US"/>
        </w:rPr>
        <w:t>/1628/AB Yönetmeliğin</w:t>
      </w:r>
      <w:r w:rsidR="00DD44B6" w:rsidRPr="00DE12A3">
        <w:rPr>
          <w:rFonts w:eastAsia="Times New Roman" w:cs="Times New Roman"/>
          <w:color w:val="auto"/>
          <w:lang w:eastAsia="en-US"/>
        </w:rPr>
        <w:t>in</w:t>
      </w:r>
      <w:r w:rsidR="00EE5D5E" w:rsidRPr="00DE12A3">
        <w:rPr>
          <w:rFonts w:eastAsia="Times New Roman" w:cs="Times New Roman"/>
          <w:color w:val="auto"/>
          <w:lang w:eastAsia="en-US"/>
        </w:rPr>
        <w:t xml:space="preserve"> </w:t>
      </w:r>
      <w:r w:rsidR="00DD44B6" w:rsidRPr="00DE12A3">
        <w:rPr>
          <w:rFonts w:eastAsia="Times New Roman" w:cs="Times New Roman"/>
          <w:color w:val="auto"/>
          <w:lang w:eastAsia="en-US"/>
        </w:rPr>
        <w:t>Ek II’sinde</w:t>
      </w:r>
      <w:r w:rsidRPr="00DE12A3">
        <w:rPr>
          <w:rFonts w:eastAsia="Times New Roman" w:cs="Times New Roman"/>
          <w:color w:val="auto"/>
          <w:lang w:eastAsia="en-US"/>
        </w:rPr>
        <w:t xml:space="preserve"> belirtildiği şekilde test edilen motor alt kategorisine uygulanabilir olan maddelerdir. Aşağıdakiler de dahil olmak üzere sonuçlar:</w:t>
      </w:r>
    </w:p>
    <w:p w14:paraId="59871AFA" w14:textId="118E0227" w:rsidR="002D7B36" w:rsidRPr="00DE12A3" w:rsidRDefault="00242DA0" w:rsidP="00644DDB">
      <w:pPr>
        <w:spacing w:before="120" w:after="120"/>
        <w:ind w:left="1701" w:hanging="567"/>
        <w:jc w:val="both"/>
        <w:rPr>
          <w:rFonts w:eastAsia="Times New Roman" w:cs="Times New Roman"/>
          <w:color w:val="auto"/>
          <w:lang w:eastAsia="en-US"/>
        </w:rPr>
      </w:pPr>
      <w:r w:rsidRPr="00DE12A3">
        <w:rPr>
          <w:rFonts w:eastAsia="Times New Roman" w:cs="Times New Roman"/>
          <w:color w:val="auto"/>
          <w:lang w:eastAsia="en-US"/>
        </w:rPr>
        <w:t>(a)</w:t>
      </w:r>
      <w:r w:rsidRPr="00DE12A3">
        <w:rPr>
          <w:rFonts w:eastAsia="Times New Roman" w:cs="Times New Roman"/>
          <w:color w:val="auto"/>
          <w:lang w:eastAsia="en-US"/>
        </w:rPr>
        <w:tab/>
      </w:r>
      <w:r w:rsidR="003C5E9B" w:rsidRPr="00DE12A3">
        <w:rPr>
          <w:rFonts w:eastAsia="Times New Roman" w:cs="Times New Roman"/>
          <w:color w:val="auto"/>
          <w:lang w:eastAsia="en-US"/>
        </w:rPr>
        <w:t>V</w:t>
      </w:r>
      <w:r w:rsidRPr="00DE12A3">
        <w:rPr>
          <w:rFonts w:eastAsia="Times New Roman" w:cs="Times New Roman"/>
          <w:color w:val="auto"/>
          <w:lang w:eastAsia="en-US"/>
        </w:rPr>
        <w:t xml:space="preserve">arsa, </w:t>
      </w:r>
      <w:r w:rsidR="00DD44B6" w:rsidRPr="00DE12A3">
        <w:rPr>
          <w:rFonts w:eastAsia="Times New Roman" w:cs="Times New Roman"/>
          <w:color w:val="auto"/>
          <w:lang w:eastAsia="en-US"/>
        </w:rPr>
        <w:t xml:space="preserve">bu Ekin </w:t>
      </w:r>
      <w:r w:rsidRPr="00DE12A3">
        <w:rPr>
          <w:rFonts w:eastAsia="Times New Roman" w:cs="Times New Roman"/>
          <w:color w:val="auto"/>
          <w:lang w:eastAsia="en-US"/>
        </w:rPr>
        <w:t xml:space="preserve">6.10 </w:t>
      </w:r>
      <w:r w:rsidR="00B32A92" w:rsidRPr="00DE12A3">
        <w:rPr>
          <w:rFonts w:eastAsia="Times New Roman" w:cs="Times New Roman"/>
          <w:color w:val="auto"/>
          <w:lang w:eastAsia="en-US"/>
        </w:rPr>
        <w:t xml:space="preserve">bendi </w:t>
      </w:r>
      <w:r w:rsidRPr="00DE12A3">
        <w:rPr>
          <w:rFonts w:eastAsia="Times New Roman" w:cs="Times New Roman"/>
          <w:color w:val="auto"/>
          <w:lang w:eastAsia="en-US"/>
        </w:rPr>
        <w:t>uyarınca belirlenen karter emisyonları</w:t>
      </w:r>
    </w:p>
    <w:p w14:paraId="2F22D1B9" w14:textId="0FF5589B" w:rsidR="002D7B36" w:rsidRPr="00DE12A3" w:rsidRDefault="00242DA0" w:rsidP="00644DDB">
      <w:pPr>
        <w:spacing w:before="120" w:after="120"/>
        <w:ind w:left="1701" w:hanging="567"/>
        <w:jc w:val="both"/>
        <w:rPr>
          <w:rFonts w:eastAsia="Times New Roman" w:cs="Times New Roman"/>
          <w:color w:val="auto"/>
          <w:lang w:eastAsia="en-US"/>
        </w:rPr>
      </w:pPr>
      <w:r w:rsidRPr="00DE12A3">
        <w:rPr>
          <w:rFonts w:eastAsia="Times New Roman" w:cs="Times New Roman"/>
          <w:color w:val="auto"/>
          <w:lang w:eastAsia="en-US"/>
        </w:rPr>
        <w:t>(b)</w:t>
      </w:r>
      <w:r w:rsidRPr="00DE12A3">
        <w:rPr>
          <w:rFonts w:eastAsia="Times New Roman" w:cs="Times New Roman"/>
          <w:color w:val="auto"/>
          <w:lang w:eastAsia="en-US"/>
        </w:rPr>
        <w:tab/>
      </w:r>
      <w:r w:rsidR="00B32A92" w:rsidRPr="00DE12A3">
        <w:rPr>
          <w:rFonts w:eastAsia="Times New Roman" w:cs="Times New Roman"/>
          <w:color w:val="auto"/>
          <w:lang w:eastAsia="en-US"/>
        </w:rPr>
        <w:t xml:space="preserve">Varsa, </w:t>
      </w:r>
      <w:r w:rsidR="00DD44B6" w:rsidRPr="00DE12A3">
        <w:rPr>
          <w:rFonts w:eastAsia="Times New Roman" w:cs="Times New Roman"/>
          <w:color w:val="auto"/>
          <w:lang w:eastAsia="en-US"/>
        </w:rPr>
        <w:t xml:space="preserve">bu Ekin </w:t>
      </w:r>
      <w:r w:rsidR="00B32A92" w:rsidRPr="00DE12A3">
        <w:rPr>
          <w:rFonts w:eastAsia="Times New Roman" w:cs="Times New Roman"/>
          <w:color w:val="auto"/>
          <w:lang w:eastAsia="en-US"/>
        </w:rPr>
        <w:t>6.6</w:t>
      </w:r>
      <w:r w:rsidRPr="00DE12A3">
        <w:rPr>
          <w:rFonts w:eastAsia="Times New Roman" w:cs="Times New Roman"/>
          <w:color w:val="auto"/>
          <w:lang w:eastAsia="en-US"/>
        </w:rPr>
        <w:t xml:space="preserve"> </w:t>
      </w:r>
      <w:r w:rsidR="00B32A92" w:rsidRPr="00DE12A3">
        <w:rPr>
          <w:rFonts w:eastAsia="Times New Roman" w:cs="Times New Roman"/>
          <w:color w:val="auto"/>
          <w:lang w:eastAsia="en-US"/>
        </w:rPr>
        <w:t xml:space="preserve">bendi </w:t>
      </w:r>
      <w:r w:rsidRPr="00DE12A3">
        <w:rPr>
          <w:rFonts w:eastAsia="Times New Roman" w:cs="Times New Roman"/>
          <w:color w:val="auto"/>
          <w:lang w:eastAsia="en-US"/>
        </w:rPr>
        <w:t xml:space="preserve">uyarınca belirlenen </w:t>
      </w:r>
      <w:r w:rsidR="007E2039" w:rsidRPr="00DE12A3">
        <w:rPr>
          <w:rFonts w:eastAsia="Times New Roman" w:cs="Times New Roman"/>
          <w:color w:val="auto"/>
          <w:lang w:eastAsia="en-US"/>
        </w:rPr>
        <w:t xml:space="preserve">arıtma </w:t>
      </w:r>
      <w:r w:rsidRPr="00DE12A3">
        <w:rPr>
          <w:rFonts w:eastAsia="Times New Roman" w:cs="Times New Roman"/>
          <w:color w:val="auto"/>
          <w:lang w:eastAsia="en-US"/>
        </w:rPr>
        <w:t>sisteminin seyrek rejenerasyonuna ilişkin ayar faktörleri ve</w:t>
      </w:r>
    </w:p>
    <w:p w14:paraId="65D47C13" w14:textId="0ED1A906" w:rsidR="002D7B36" w:rsidRPr="00DE12A3" w:rsidRDefault="00242DA0" w:rsidP="00644DDB">
      <w:pPr>
        <w:spacing w:before="120" w:after="120"/>
        <w:ind w:left="1701" w:hanging="567"/>
        <w:jc w:val="both"/>
        <w:rPr>
          <w:rFonts w:eastAsia="Times New Roman" w:cs="Times New Roman"/>
          <w:color w:val="auto"/>
          <w:lang w:eastAsia="en-US"/>
        </w:rPr>
      </w:pPr>
      <w:r w:rsidRPr="00DE12A3">
        <w:rPr>
          <w:rFonts w:eastAsia="Times New Roman" w:cs="Times New Roman"/>
          <w:color w:val="auto"/>
          <w:lang w:eastAsia="en-US"/>
        </w:rPr>
        <w:t>(c)</w:t>
      </w:r>
      <w:r w:rsidRPr="00DE12A3">
        <w:rPr>
          <w:rFonts w:eastAsia="Times New Roman" w:cs="Times New Roman"/>
          <w:color w:val="auto"/>
          <w:lang w:eastAsia="en-US"/>
        </w:rPr>
        <w:tab/>
      </w:r>
      <w:r w:rsidR="003C5E9B" w:rsidRPr="00DE12A3">
        <w:rPr>
          <w:rFonts w:eastAsia="Times New Roman" w:cs="Times New Roman"/>
          <w:color w:val="auto"/>
          <w:lang w:eastAsia="en-US"/>
        </w:rPr>
        <w:t>H</w:t>
      </w:r>
      <w:r w:rsidRPr="00DE12A3">
        <w:rPr>
          <w:rFonts w:eastAsia="Times New Roman" w:cs="Times New Roman"/>
          <w:color w:val="auto"/>
          <w:lang w:eastAsia="en-US"/>
        </w:rPr>
        <w:t xml:space="preserve">esaplamanın son adımı olarak, </w:t>
      </w:r>
      <w:r w:rsidR="00DD44B6" w:rsidRPr="00DE12A3">
        <w:rPr>
          <w:rFonts w:eastAsia="Times New Roman" w:cs="Times New Roman"/>
          <w:color w:val="auto"/>
          <w:lang w:eastAsia="en-US"/>
        </w:rPr>
        <w:t xml:space="preserve">bu Tebliğin </w:t>
      </w:r>
      <w:r w:rsidRPr="00DE12A3">
        <w:rPr>
          <w:rFonts w:eastAsia="Times New Roman" w:cs="Times New Roman"/>
          <w:color w:val="auto"/>
          <w:lang w:eastAsia="en-US"/>
        </w:rPr>
        <w:t>III</w:t>
      </w:r>
      <w:r w:rsidR="00DD44B6" w:rsidRPr="00DE12A3">
        <w:rPr>
          <w:rFonts w:eastAsia="Times New Roman" w:cs="Times New Roman"/>
          <w:color w:val="auto"/>
          <w:lang w:eastAsia="en-US"/>
        </w:rPr>
        <w:t>’üncü</w:t>
      </w:r>
      <w:r w:rsidRPr="00DE12A3">
        <w:rPr>
          <w:rFonts w:eastAsia="Times New Roman" w:cs="Times New Roman"/>
          <w:color w:val="auto"/>
          <w:lang w:eastAsia="en-US"/>
        </w:rPr>
        <w:t xml:space="preserve"> Ek</w:t>
      </w:r>
      <w:r w:rsidR="00DD44B6" w:rsidRPr="00DE12A3">
        <w:rPr>
          <w:rFonts w:eastAsia="Times New Roman" w:cs="Times New Roman"/>
          <w:color w:val="auto"/>
          <w:lang w:eastAsia="en-US"/>
        </w:rPr>
        <w:t>i</w:t>
      </w:r>
      <w:r w:rsidRPr="00DE12A3">
        <w:rPr>
          <w:rFonts w:eastAsia="Times New Roman" w:cs="Times New Roman"/>
          <w:color w:val="auto"/>
          <w:lang w:eastAsia="en-US"/>
        </w:rPr>
        <w:t xml:space="preserve"> uyarınca belirlenen bozulma faktörü</w:t>
      </w:r>
      <w:r w:rsidR="00644DDB" w:rsidRPr="00DE12A3">
        <w:rPr>
          <w:rFonts w:eastAsia="Times New Roman" w:cs="Times New Roman"/>
          <w:color w:val="auto"/>
          <w:lang w:eastAsia="en-US"/>
        </w:rPr>
        <w:t xml:space="preserve"> </w:t>
      </w:r>
      <w:r w:rsidRPr="00DE12A3">
        <w:rPr>
          <w:rFonts w:eastAsia="Times New Roman" w:cs="Times New Roman"/>
          <w:color w:val="auto"/>
          <w:lang w:eastAsia="en-US"/>
        </w:rPr>
        <w:t>geçerli sınır değerleri geçmemelidir.</w:t>
      </w:r>
    </w:p>
    <w:p w14:paraId="23A8C4E3" w14:textId="1C4DF13F" w:rsidR="002D7B36" w:rsidRPr="00DE12A3" w:rsidRDefault="006F6A17" w:rsidP="00C917D6">
      <w:pPr>
        <w:spacing w:before="120" w:after="120"/>
        <w:ind w:left="1134"/>
        <w:jc w:val="both"/>
        <w:rPr>
          <w:rFonts w:eastAsia="Times New Roman" w:cs="Times New Roman"/>
          <w:color w:val="auto"/>
          <w:lang w:eastAsia="en-US"/>
        </w:rPr>
      </w:pPr>
      <w:r w:rsidRPr="00DE12A3">
        <w:rPr>
          <w:rFonts w:eastAsia="Times New Roman" w:cs="Times New Roman"/>
          <w:color w:val="auto"/>
          <w:lang w:eastAsia="en-US"/>
        </w:rPr>
        <w:t>CO</w:t>
      </w:r>
      <w:r w:rsidRPr="00DE12A3">
        <w:rPr>
          <w:rFonts w:eastAsia="Times New Roman" w:cs="Times New Roman"/>
          <w:color w:val="auto"/>
          <w:vertAlign w:val="subscript"/>
          <w:lang w:eastAsia="en-US"/>
        </w:rPr>
        <w:t>2</w:t>
      </w:r>
      <w:r w:rsidRPr="00DE12A3">
        <w:rPr>
          <w:rFonts w:eastAsia="Times New Roman" w:cs="Times New Roman"/>
          <w:color w:val="auto"/>
          <w:lang w:eastAsia="en-US"/>
        </w:rPr>
        <w:t>, 2016</w:t>
      </w:r>
      <w:r w:rsidR="00EE5D5E" w:rsidRPr="00DE12A3">
        <w:rPr>
          <w:rFonts w:eastAsia="Times New Roman" w:cs="Times New Roman"/>
          <w:color w:val="auto"/>
          <w:lang w:eastAsia="en-US"/>
        </w:rPr>
        <w:t>/1628/AB Yönetmeliği</w:t>
      </w:r>
      <w:r w:rsidR="00211788" w:rsidRPr="00DE12A3">
        <w:rPr>
          <w:rFonts w:eastAsia="Times New Roman" w:cs="Times New Roman"/>
          <w:color w:val="auto"/>
          <w:lang w:eastAsia="en-US"/>
        </w:rPr>
        <w:t>nin</w:t>
      </w:r>
      <w:r w:rsidR="00EE5D5E" w:rsidRPr="00DE12A3">
        <w:rPr>
          <w:rFonts w:eastAsia="Times New Roman" w:cs="Times New Roman"/>
          <w:color w:val="auto"/>
          <w:lang w:eastAsia="en-US"/>
        </w:rPr>
        <w:t xml:space="preserve"> </w:t>
      </w:r>
      <w:r w:rsidRPr="00DE12A3">
        <w:rPr>
          <w:rFonts w:eastAsia="Times New Roman" w:cs="Times New Roman"/>
          <w:color w:val="auto"/>
          <w:lang w:eastAsia="en-US"/>
        </w:rPr>
        <w:t>43</w:t>
      </w:r>
      <w:r w:rsidR="00DD44B6" w:rsidRPr="00DE12A3">
        <w:rPr>
          <w:rFonts w:eastAsia="Times New Roman" w:cs="Times New Roman"/>
          <w:color w:val="auto"/>
          <w:lang w:eastAsia="en-US"/>
        </w:rPr>
        <w:t xml:space="preserve"> </w:t>
      </w:r>
      <w:r w:rsidRPr="00DE12A3">
        <w:rPr>
          <w:rFonts w:eastAsia="Times New Roman" w:cs="Times New Roman"/>
          <w:color w:val="auto"/>
          <w:lang w:eastAsia="en-US"/>
        </w:rPr>
        <w:t>üncü maddesi</w:t>
      </w:r>
      <w:r w:rsidR="00211788" w:rsidRPr="00DE12A3">
        <w:rPr>
          <w:rFonts w:eastAsia="Times New Roman" w:cs="Times New Roman"/>
          <w:color w:val="auto"/>
          <w:lang w:eastAsia="en-US"/>
        </w:rPr>
        <w:t>nin</w:t>
      </w:r>
      <w:r w:rsidRPr="00DE12A3">
        <w:rPr>
          <w:rFonts w:eastAsia="Times New Roman" w:cs="Times New Roman"/>
          <w:color w:val="auto"/>
          <w:lang w:eastAsia="en-US"/>
        </w:rPr>
        <w:t xml:space="preserve"> dördüncü fıkrası</w:t>
      </w:r>
      <w:r w:rsidR="00242DA0" w:rsidRPr="00DE12A3">
        <w:rPr>
          <w:rFonts w:eastAsia="Times New Roman" w:cs="Times New Roman"/>
          <w:color w:val="auto"/>
          <w:lang w:eastAsia="en-US"/>
        </w:rPr>
        <w:t xml:space="preserve"> gereğince tüm motor alt kategorileri için ölçülmeli ve raporlanmalıdır.</w:t>
      </w:r>
    </w:p>
    <w:p w14:paraId="1C960618" w14:textId="4991FED9" w:rsidR="002D7B36" w:rsidRPr="00DE12A3" w:rsidRDefault="00242DA0" w:rsidP="00C917D6">
      <w:pPr>
        <w:spacing w:before="120" w:after="120"/>
        <w:ind w:left="1134"/>
        <w:jc w:val="both"/>
        <w:rPr>
          <w:rFonts w:eastAsia="Times New Roman" w:cs="Times New Roman"/>
          <w:color w:val="auto"/>
          <w:lang w:eastAsia="en-US"/>
        </w:rPr>
      </w:pPr>
      <w:r w:rsidRPr="00DE12A3">
        <w:rPr>
          <w:rFonts w:eastAsia="Times New Roman" w:cs="Times New Roman"/>
          <w:color w:val="auto"/>
          <w:lang w:eastAsia="en-US"/>
        </w:rPr>
        <w:t>Motor emisyon kontrol sisteminin bir parçası olan NOx kontrol tedbirleri bir ayıraç kullanımını içerdiğinde, buna ek olarak IV</w:t>
      </w:r>
      <w:r w:rsidR="006F6A17" w:rsidRPr="00DE12A3">
        <w:rPr>
          <w:rFonts w:eastAsia="Times New Roman" w:cs="Times New Roman"/>
          <w:color w:val="auto"/>
          <w:lang w:eastAsia="en-US"/>
        </w:rPr>
        <w:t>’üncü e</w:t>
      </w:r>
      <w:r w:rsidRPr="00DE12A3">
        <w:rPr>
          <w:rFonts w:eastAsia="Times New Roman" w:cs="Times New Roman"/>
          <w:color w:val="auto"/>
          <w:lang w:eastAsia="en-US"/>
        </w:rPr>
        <w:t xml:space="preserve">kin 3. </w:t>
      </w:r>
      <w:r w:rsidR="00B32A92" w:rsidRPr="00DE12A3">
        <w:rPr>
          <w:rFonts w:eastAsia="Times New Roman" w:cs="Times New Roman"/>
          <w:color w:val="auto"/>
          <w:lang w:eastAsia="en-US"/>
        </w:rPr>
        <w:t>Bölüm</w:t>
      </w:r>
      <w:r w:rsidRPr="00DE12A3">
        <w:rPr>
          <w:rFonts w:eastAsia="Times New Roman" w:cs="Times New Roman"/>
          <w:color w:val="auto"/>
          <w:lang w:eastAsia="en-US"/>
        </w:rPr>
        <w:t>ü uyarınca gerektiği şekilde ortalama amonyak (NH3) emisyonu da ölçülmeli ve söz konusu bölümde belirtilen değerleri aşmamalıdır.</w:t>
      </w:r>
    </w:p>
    <w:p w14:paraId="42748117" w14:textId="502F7C5A" w:rsidR="002D7B36" w:rsidRPr="00DE12A3" w:rsidRDefault="00242DA0" w:rsidP="00C917D6">
      <w:pPr>
        <w:spacing w:before="120" w:after="120"/>
        <w:ind w:left="1134"/>
        <w:jc w:val="both"/>
        <w:rPr>
          <w:rFonts w:eastAsia="Times New Roman" w:cs="Times New Roman"/>
          <w:color w:val="auto"/>
          <w:lang w:eastAsia="en-US"/>
        </w:rPr>
      </w:pPr>
      <w:r w:rsidRPr="00DE12A3">
        <w:rPr>
          <w:rFonts w:eastAsia="Times New Roman" w:cs="Times New Roman"/>
          <w:color w:val="auto"/>
          <w:lang w:eastAsia="en-US"/>
        </w:rPr>
        <w:t xml:space="preserve">Emisyonlar, 7. </w:t>
      </w:r>
      <w:r w:rsidR="00850EBE" w:rsidRPr="00DE12A3">
        <w:rPr>
          <w:rFonts w:eastAsia="Times New Roman" w:cs="Times New Roman"/>
          <w:color w:val="auto"/>
          <w:lang w:eastAsia="en-US"/>
        </w:rPr>
        <w:t>B</w:t>
      </w:r>
      <w:r w:rsidRPr="00DE12A3">
        <w:rPr>
          <w:rFonts w:eastAsia="Times New Roman" w:cs="Times New Roman"/>
          <w:color w:val="auto"/>
          <w:lang w:eastAsia="en-US"/>
        </w:rPr>
        <w:t>ölüm ve XVII</w:t>
      </w:r>
      <w:r w:rsidR="006F6A17" w:rsidRPr="00DE12A3">
        <w:rPr>
          <w:rFonts w:eastAsia="Times New Roman" w:cs="Times New Roman"/>
          <w:color w:val="auto"/>
          <w:lang w:eastAsia="en-US"/>
        </w:rPr>
        <w:t>’</w:t>
      </w:r>
      <w:r w:rsidR="00195051" w:rsidRPr="00DE12A3">
        <w:rPr>
          <w:rFonts w:eastAsia="Times New Roman" w:cs="Times New Roman"/>
          <w:color w:val="auto"/>
          <w:lang w:eastAsia="en-US"/>
        </w:rPr>
        <w:t>nci</w:t>
      </w:r>
      <w:r w:rsidR="006F6A17" w:rsidRPr="00DE12A3">
        <w:rPr>
          <w:rFonts w:eastAsia="Times New Roman" w:cs="Times New Roman"/>
          <w:color w:val="auto"/>
          <w:lang w:eastAsia="en-US"/>
        </w:rPr>
        <w:t xml:space="preserve"> </w:t>
      </w:r>
      <w:r w:rsidR="00850EBE" w:rsidRPr="00DE12A3">
        <w:rPr>
          <w:rFonts w:eastAsia="Times New Roman" w:cs="Times New Roman"/>
          <w:color w:val="auto"/>
          <w:lang w:eastAsia="en-US"/>
        </w:rPr>
        <w:t>E</w:t>
      </w:r>
      <w:r w:rsidRPr="00DE12A3">
        <w:rPr>
          <w:rFonts w:eastAsia="Times New Roman" w:cs="Times New Roman"/>
          <w:color w:val="auto"/>
          <w:lang w:eastAsia="en-US"/>
        </w:rPr>
        <w:t xml:space="preserve">kte açıklandığı şekilde görev </w:t>
      </w:r>
      <w:r w:rsidR="00F310B5" w:rsidRPr="00DE12A3">
        <w:rPr>
          <w:rFonts w:eastAsia="Times New Roman" w:cs="Times New Roman"/>
          <w:color w:val="auto"/>
          <w:lang w:eastAsia="en-US"/>
        </w:rPr>
        <w:t>çevrim</w:t>
      </w:r>
      <w:r w:rsidRPr="00DE12A3">
        <w:rPr>
          <w:rFonts w:eastAsia="Times New Roman" w:cs="Times New Roman"/>
          <w:color w:val="auto"/>
          <w:lang w:eastAsia="en-US"/>
        </w:rPr>
        <w:t xml:space="preserve">leri </w:t>
      </w:r>
      <w:r w:rsidR="00185F5F" w:rsidRPr="00DE12A3">
        <w:rPr>
          <w:rFonts w:eastAsia="Times New Roman" w:cs="Times New Roman"/>
          <w:color w:val="auto"/>
          <w:lang w:eastAsia="en-US"/>
        </w:rPr>
        <w:t>(</w:t>
      </w:r>
      <w:r w:rsidR="00951351" w:rsidRPr="00DE12A3">
        <w:rPr>
          <w:rFonts w:eastAsia="Times New Roman" w:cs="Times New Roman"/>
          <w:color w:val="auto"/>
          <w:lang w:eastAsia="en-US"/>
        </w:rPr>
        <w:t xml:space="preserve">kararlı durum </w:t>
      </w:r>
      <w:r w:rsidRPr="00DE12A3">
        <w:rPr>
          <w:rFonts w:eastAsia="Times New Roman" w:cs="Times New Roman"/>
          <w:color w:val="auto"/>
          <w:lang w:eastAsia="en-US"/>
        </w:rPr>
        <w:t xml:space="preserve">ve/veya </w:t>
      </w:r>
      <w:r w:rsidR="00951351" w:rsidRPr="00DE12A3">
        <w:rPr>
          <w:rFonts w:eastAsia="Times New Roman" w:cs="Times New Roman"/>
          <w:color w:val="auto"/>
          <w:lang w:eastAsia="en-US"/>
        </w:rPr>
        <w:t>süreksiz</w:t>
      </w:r>
      <w:r w:rsidRPr="00DE12A3">
        <w:rPr>
          <w:rFonts w:eastAsia="Times New Roman" w:cs="Times New Roman"/>
          <w:color w:val="auto"/>
          <w:lang w:eastAsia="en-US"/>
        </w:rPr>
        <w:t xml:space="preserve"> test </w:t>
      </w:r>
      <w:r w:rsidR="00951351" w:rsidRPr="00DE12A3">
        <w:rPr>
          <w:rFonts w:eastAsia="Times New Roman" w:cs="Times New Roman"/>
          <w:color w:val="auto"/>
          <w:lang w:eastAsia="en-US"/>
        </w:rPr>
        <w:t>çevrimleri</w:t>
      </w:r>
      <w:r w:rsidRPr="00DE12A3">
        <w:rPr>
          <w:rFonts w:eastAsia="Times New Roman" w:cs="Times New Roman"/>
          <w:color w:val="auto"/>
          <w:lang w:eastAsia="en-US"/>
        </w:rPr>
        <w:t xml:space="preserve">) üzerinde belirlenir. Ölçüm sistemleri, 8. </w:t>
      </w:r>
      <w:r w:rsidR="00523AA8" w:rsidRPr="00DE12A3">
        <w:rPr>
          <w:rFonts w:eastAsia="Times New Roman" w:cs="Times New Roman"/>
          <w:color w:val="auto"/>
          <w:lang w:eastAsia="en-US"/>
        </w:rPr>
        <w:t>B</w:t>
      </w:r>
      <w:r w:rsidRPr="00DE12A3">
        <w:rPr>
          <w:rFonts w:eastAsia="Times New Roman" w:cs="Times New Roman"/>
          <w:color w:val="auto"/>
          <w:lang w:eastAsia="en-US"/>
        </w:rPr>
        <w:t xml:space="preserve">ölümde belirtilen kalibrasyon ve performans kontrollerini, 9. </w:t>
      </w:r>
      <w:r w:rsidR="00523AA8" w:rsidRPr="00DE12A3">
        <w:rPr>
          <w:rFonts w:eastAsia="Times New Roman" w:cs="Times New Roman"/>
          <w:color w:val="auto"/>
          <w:lang w:eastAsia="en-US"/>
        </w:rPr>
        <w:t>B</w:t>
      </w:r>
      <w:r w:rsidRPr="00DE12A3">
        <w:rPr>
          <w:rFonts w:eastAsia="Times New Roman" w:cs="Times New Roman"/>
          <w:color w:val="auto"/>
          <w:lang w:eastAsia="en-US"/>
        </w:rPr>
        <w:t>ölümde açıklanan ölçüm ekipmanı ile sağlamalıdır.</w:t>
      </w:r>
    </w:p>
    <w:p w14:paraId="0A8915F1" w14:textId="17176E3F" w:rsidR="002D7B36" w:rsidRPr="00DE12A3" w:rsidRDefault="00242DA0" w:rsidP="00C917D6">
      <w:pPr>
        <w:spacing w:before="120" w:after="120"/>
        <w:ind w:left="1134"/>
        <w:jc w:val="both"/>
        <w:rPr>
          <w:rFonts w:eastAsia="Times New Roman" w:cs="Times New Roman"/>
          <w:color w:val="auto"/>
          <w:lang w:eastAsia="en-US"/>
        </w:rPr>
      </w:pPr>
      <w:r w:rsidRPr="00DE12A3">
        <w:rPr>
          <w:rFonts w:eastAsia="Times New Roman" w:cs="Times New Roman"/>
          <w:color w:val="auto"/>
          <w:lang w:eastAsia="en-US"/>
        </w:rPr>
        <w:t xml:space="preserve">5.1.1 bendi uyarınca denk sonuçlar verdikleri tespit edilirse, diğer sistemler veya analiz cihazları </w:t>
      </w:r>
      <w:r w:rsidR="007E2039" w:rsidRPr="00DE12A3">
        <w:rPr>
          <w:rFonts w:eastAsia="Times New Roman" w:cs="Times New Roman"/>
          <w:color w:val="auto"/>
          <w:lang w:eastAsia="en-US"/>
        </w:rPr>
        <w:t xml:space="preserve">onay </w:t>
      </w:r>
      <w:r w:rsidR="006F6A17" w:rsidRPr="00DE12A3">
        <w:rPr>
          <w:rFonts w:eastAsia="Times New Roman" w:cs="Times New Roman"/>
          <w:color w:val="auto"/>
          <w:lang w:eastAsia="en-US"/>
        </w:rPr>
        <w:t>kuruluşu tarafından</w:t>
      </w:r>
      <w:r w:rsidRPr="00DE12A3">
        <w:rPr>
          <w:rFonts w:eastAsia="Times New Roman" w:cs="Times New Roman"/>
          <w:color w:val="auto"/>
          <w:lang w:eastAsia="en-US"/>
        </w:rPr>
        <w:t xml:space="preserve"> onaylanabilir. Sonuçlar, </w:t>
      </w:r>
      <w:r w:rsidR="00FA0678" w:rsidRPr="00DE12A3">
        <w:rPr>
          <w:rFonts w:eastAsia="Times New Roman" w:cs="Times New Roman"/>
          <w:color w:val="auto"/>
          <w:lang w:eastAsia="en-US"/>
        </w:rPr>
        <w:t xml:space="preserve">VII’nci </w:t>
      </w:r>
      <w:r w:rsidR="00850EBE" w:rsidRPr="00DE12A3">
        <w:rPr>
          <w:rFonts w:eastAsia="Times New Roman" w:cs="Times New Roman"/>
          <w:color w:val="auto"/>
          <w:lang w:eastAsia="en-US"/>
        </w:rPr>
        <w:t>E</w:t>
      </w:r>
      <w:r w:rsidR="00FA0678" w:rsidRPr="00DE12A3">
        <w:rPr>
          <w:rFonts w:eastAsia="Times New Roman" w:cs="Times New Roman"/>
          <w:color w:val="auto"/>
          <w:lang w:eastAsia="en-US"/>
        </w:rPr>
        <w:t>k</w:t>
      </w:r>
      <w:r w:rsidRPr="00DE12A3">
        <w:rPr>
          <w:rFonts w:eastAsia="Times New Roman" w:cs="Times New Roman"/>
          <w:color w:val="auto"/>
          <w:lang w:eastAsia="en-US"/>
        </w:rPr>
        <w:t>teki şartlara göre hesaplanır.</w:t>
      </w:r>
    </w:p>
    <w:p w14:paraId="481B7613" w14:textId="77777777" w:rsidR="002D7B36" w:rsidRPr="00DE12A3" w:rsidRDefault="003C5E9B" w:rsidP="00E20716">
      <w:pPr>
        <w:numPr>
          <w:ilvl w:val="0"/>
          <w:numId w:val="114"/>
        </w:numPr>
        <w:spacing w:before="120" w:after="120"/>
        <w:ind w:left="1134" w:hanging="1276"/>
        <w:jc w:val="both"/>
        <w:rPr>
          <w:rFonts w:eastAsia="Times New Roman" w:cs="Times New Roman"/>
          <w:color w:val="auto"/>
          <w:lang w:eastAsia="en-US"/>
        </w:rPr>
      </w:pPr>
      <w:r w:rsidRPr="00DE12A3">
        <w:rPr>
          <w:rFonts w:eastAsia="Times New Roman" w:cs="Times New Roman"/>
          <w:color w:val="auto"/>
          <w:lang w:eastAsia="en-US"/>
        </w:rPr>
        <w:t xml:space="preserve">       </w:t>
      </w:r>
      <w:r w:rsidR="00242DA0" w:rsidRPr="00DE12A3">
        <w:rPr>
          <w:rFonts w:eastAsia="Times New Roman" w:cs="Times New Roman"/>
          <w:color w:val="auto"/>
          <w:lang w:eastAsia="en-US"/>
        </w:rPr>
        <w:t>Denklik</w:t>
      </w:r>
    </w:p>
    <w:p w14:paraId="608D813B" w14:textId="6F6D353D" w:rsidR="002D7B36" w:rsidRPr="00DE12A3" w:rsidRDefault="00242DA0" w:rsidP="00C917D6">
      <w:pPr>
        <w:spacing w:before="120" w:after="120"/>
        <w:ind w:left="1134"/>
        <w:jc w:val="both"/>
        <w:rPr>
          <w:rFonts w:eastAsia="Times New Roman" w:cs="Times New Roman"/>
          <w:color w:val="auto"/>
          <w:lang w:eastAsia="en-US"/>
        </w:rPr>
      </w:pPr>
      <w:r w:rsidRPr="00DE12A3">
        <w:rPr>
          <w:rFonts w:eastAsia="Times New Roman" w:cs="Times New Roman"/>
          <w:color w:val="auto"/>
          <w:lang w:eastAsia="en-US"/>
        </w:rPr>
        <w:t xml:space="preserve">Sistem denkliğinin belirlenmesi, söz konusu sistem ile bu ekteki sistemlerden biri arasındaki yedi (veya daha çok) numune çiftli bir korelasyon çalışmasına dayandırılmalıdır. "Sonuçlar", belirli </w:t>
      </w:r>
      <w:r w:rsidR="00F310B5" w:rsidRPr="00DE12A3">
        <w:rPr>
          <w:rFonts w:eastAsia="Times New Roman" w:cs="Times New Roman"/>
          <w:color w:val="auto"/>
          <w:lang w:eastAsia="en-US"/>
        </w:rPr>
        <w:t>çevrim</w:t>
      </w:r>
      <w:r w:rsidRPr="00DE12A3">
        <w:rPr>
          <w:rFonts w:eastAsia="Times New Roman" w:cs="Times New Roman"/>
          <w:color w:val="auto"/>
          <w:lang w:eastAsia="en-US"/>
        </w:rPr>
        <w:t xml:space="preserve"> ağırlıklı emisyon değerlerini ifade eder. Korelasyon testinin, aynı laboratuvarda, test hücresinde ve aynı motor üzerinde yapılması gerekir ve eş zamanlı olarak çalıştırılması tercih edilir. Numune çifti ortalamalarının denkliği, laboratuvar, test hücresi ve yukarıda tarif edilen </w:t>
      </w:r>
      <w:r w:rsidRPr="00DE12A3">
        <w:rPr>
          <w:rFonts w:eastAsia="Times New Roman" w:cs="Times New Roman"/>
          <w:color w:val="auto"/>
          <w:lang w:eastAsia="en-US"/>
        </w:rPr>
        <w:lastRenderedPageBreak/>
        <w:t>motor koşulları altında elde edilen VII</w:t>
      </w:r>
      <w:r w:rsidR="006F6A17" w:rsidRPr="00DE12A3">
        <w:rPr>
          <w:rFonts w:eastAsia="Times New Roman" w:cs="Times New Roman"/>
          <w:color w:val="auto"/>
          <w:lang w:eastAsia="en-US"/>
        </w:rPr>
        <w:t>’</w:t>
      </w:r>
      <w:r w:rsidR="00195051" w:rsidRPr="00DE12A3">
        <w:rPr>
          <w:rFonts w:eastAsia="Times New Roman" w:cs="Times New Roman"/>
          <w:color w:val="auto"/>
          <w:lang w:eastAsia="en-US"/>
        </w:rPr>
        <w:t>nci</w:t>
      </w:r>
      <w:r w:rsidR="006F6A17" w:rsidRPr="00DE12A3">
        <w:rPr>
          <w:rFonts w:eastAsia="Times New Roman" w:cs="Times New Roman"/>
          <w:color w:val="auto"/>
          <w:lang w:eastAsia="en-US"/>
        </w:rPr>
        <w:t xml:space="preserve"> </w:t>
      </w:r>
      <w:r w:rsidR="00850EBE" w:rsidRPr="00DE12A3">
        <w:rPr>
          <w:rFonts w:eastAsia="Times New Roman" w:cs="Times New Roman"/>
          <w:color w:val="auto"/>
          <w:lang w:eastAsia="en-US"/>
        </w:rPr>
        <w:t>E</w:t>
      </w:r>
      <w:r w:rsidRPr="00DE12A3">
        <w:rPr>
          <w:rFonts w:eastAsia="Times New Roman" w:cs="Times New Roman"/>
          <w:color w:val="auto"/>
          <w:lang w:eastAsia="en-US"/>
        </w:rPr>
        <w:t xml:space="preserve">kin </w:t>
      </w:r>
      <w:r w:rsidR="00CD23C3" w:rsidRPr="00DE12A3">
        <w:rPr>
          <w:rFonts w:eastAsia="Times New Roman" w:cs="Times New Roman"/>
          <w:color w:val="auto"/>
          <w:lang w:eastAsia="en-US"/>
        </w:rPr>
        <w:t>3. Açıklayıcı Ek</w:t>
      </w:r>
      <w:r w:rsidRPr="00DE12A3">
        <w:rPr>
          <w:rFonts w:eastAsia="Times New Roman" w:cs="Times New Roman"/>
          <w:color w:val="auto"/>
          <w:lang w:eastAsia="en-US"/>
        </w:rPr>
        <w:t xml:space="preserve">inde açıklandığı gibi F-testi ve t-testi istatistikleri ile belirlenir. Aykırı değerler ISO 5725 uyarınca belirlenir ve veri tabanından çıkarılır. Korelasyon testi için kullanılacak sistemler </w:t>
      </w:r>
      <w:r w:rsidR="007E2039" w:rsidRPr="00DE12A3">
        <w:rPr>
          <w:rFonts w:eastAsia="Times New Roman" w:cs="Times New Roman"/>
          <w:color w:val="auto"/>
          <w:lang w:eastAsia="en-US"/>
        </w:rPr>
        <w:t xml:space="preserve">onay </w:t>
      </w:r>
      <w:r w:rsidR="006F6A17" w:rsidRPr="00DE12A3">
        <w:rPr>
          <w:rFonts w:eastAsia="Times New Roman" w:cs="Times New Roman"/>
          <w:color w:val="auto"/>
          <w:lang w:eastAsia="en-US"/>
        </w:rPr>
        <w:t>kuruluşunun onayına</w:t>
      </w:r>
      <w:r w:rsidRPr="00DE12A3">
        <w:rPr>
          <w:rFonts w:eastAsia="Times New Roman" w:cs="Times New Roman"/>
          <w:color w:val="auto"/>
          <w:lang w:eastAsia="en-US"/>
        </w:rPr>
        <w:t xml:space="preserve"> tabidir.</w:t>
      </w:r>
    </w:p>
    <w:p w14:paraId="2FA39578" w14:textId="77777777" w:rsidR="002D7B36" w:rsidRPr="00DE12A3" w:rsidRDefault="002D7B36" w:rsidP="00E20716">
      <w:pPr>
        <w:pStyle w:val="ListeParagraf"/>
        <w:numPr>
          <w:ilvl w:val="0"/>
          <w:numId w:val="112"/>
        </w:numPr>
        <w:spacing w:before="120" w:after="120"/>
        <w:ind w:left="1134" w:hanging="1134"/>
        <w:contextualSpacing w:val="0"/>
        <w:jc w:val="both"/>
        <w:rPr>
          <w:rFonts w:eastAsia="Times New Roman" w:cs="Times New Roman"/>
          <w:vanish/>
          <w:color w:val="auto"/>
          <w:lang w:eastAsia="en-US"/>
        </w:rPr>
      </w:pPr>
    </w:p>
    <w:p w14:paraId="31A9D8B0" w14:textId="77777777" w:rsidR="002D7B36" w:rsidRPr="00DE12A3" w:rsidRDefault="002D7B36" w:rsidP="00E20716">
      <w:pPr>
        <w:pStyle w:val="ListeParagraf"/>
        <w:numPr>
          <w:ilvl w:val="0"/>
          <w:numId w:val="112"/>
        </w:numPr>
        <w:spacing w:before="120" w:after="120"/>
        <w:ind w:left="1134" w:hanging="1134"/>
        <w:contextualSpacing w:val="0"/>
        <w:jc w:val="both"/>
        <w:rPr>
          <w:rFonts w:eastAsia="Times New Roman" w:cs="Times New Roman"/>
          <w:vanish/>
          <w:color w:val="auto"/>
          <w:lang w:eastAsia="en-US"/>
        </w:rPr>
      </w:pPr>
    </w:p>
    <w:p w14:paraId="5BEAA556" w14:textId="77777777" w:rsidR="002D7B36" w:rsidRPr="00DE12A3" w:rsidRDefault="002D7B36" w:rsidP="00E20716">
      <w:pPr>
        <w:pStyle w:val="ListeParagraf"/>
        <w:numPr>
          <w:ilvl w:val="1"/>
          <w:numId w:val="112"/>
        </w:numPr>
        <w:spacing w:before="120" w:after="120"/>
        <w:ind w:left="1134" w:hanging="1134"/>
        <w:contextualSpacing w:val="0"/>
        <w:jc w:val="both"/>
        <w:rPr>
          <w:rFonts w:eastAsia="Times New Roman" w:cs="Times New Roman"/>
          <w:vanish/>
          <w:color w:val="auto"/>
          <w:lang w:eastAsia="en-US"/>
        </w:rPr>
      </w:pPr>
    </w:p>
    <w:p w14:paraId="53D5C66F" w14:textId="77777777" w:rsidR="002D7B36" w:rsidRPr="00DE12A3" w:rsidRDefault="003C5E9B" w:rsidP="00E20716">
      <w:pPr>
        <w:numPr>
          <w:ilvl w:val="1"/>
          <w:numId w:val="112"/>
        </w:numPr>
        <w:spacing w:before="120" w:after="120"/>
        <w:ind w:left="1134" w:hanging="1134"/>
        <w:jc w:val="both"/>
        <w:rPr>
          <w:rFonts w:eastAsia="Times New Roman" w:cs="Times New Roman"/>
          <w:color w:val="auto"/>
          <w:lang w:eastAsia="en-US"/>
        </w:rPr>
      </w:pPr>
      <w:r w:rsidRPr="00DE12A3">
        <w:rPr>
          <w:rFonts w:eastAsia="Times New Roman" w:cs="Times New Roman"/>
          <w:color w:val="auto"/>
          <w:lang w:eastAsia="en-US"/>
        </w:rPr>
        <w:t xml:space="preserve">       </w:t>
      </w:r>
      <w:r w:rsidR="00242DA0" w:rsidRPr="00DE12A3">
        <w:rPr>
          <w:rFonts w:eastAsia="Times New Roman" w:cs="Times New Roman"/>
          <w:color w:val="auto"/>
          <w:lang w:eastAsia="en-US"/>
        </w:rPr>
        <w:t xml:space="preserve">Test </w:t>
      </w:r>
      <w:r w:rsidR="00F310B5" w:rsidRPr="00DE12A3">
        <w:rPr>
          <w:rFonts w:eastAsia="Times New Roman" w:cs="Times New Roman"/>
          <w:color w:val="auto"/>
          <w:lang w:eastAsia="en-US"/>
        </w:rPr>
        <w:t>çevrim</w:t>
      </w:r>
      <w:r w:rsidR="00242DA0" w:rsidRPr="00DE12A3">
        <w:rPr>
          <w:rFonts w:eastAsia="Times New Roman" w:cs="Times New Roman"/>
          <w:color w:val="auto"/>
          <w:lang w:eastAsia="en-US"/>
        </w:rPr>
        <w:t>leri ile ilgili genel şartlar</w:t>
      </w:r>
    </w:p>
    <w:p w14:paraId="4B2A6345" w14:textId="0B37AEB1" w:rsidR="002D7B36" w:rsidRPr="00DE12A3" w:rsidRDefault="003C5E9B" w:rsidP="00E20716">
      <w:pPr>
        <w:numPr>
          <w:ilvl w:val="2"/>
          <w:numId w:val="112"/>
        </w:numPr>
        <w:spacing w:before="120" w:after="120"/>
        <w:ind w:left="1134" w:hanging="1134"/>
        <w:jc w:val="both"/>
        <w:rPr>
          <w:rFonts w:eastAsia="Times New Roman" w:cs="Times New Roman"/>
          <w:color w:val="auto"/>
          <w:lang w:eastAsia="en-US"/>
        </w:rPr>
      </w:pPr>
      <w:r w:rsidRPr="00DE12A3">
        <w:rPr>
          <w:rFonts w:eastAsia="Times New Roman" w:cs="Times New Roman"/>
          <w:color w:val="auto"/>
          <w:lang w:eastAsia="en-US"/>
        </w:rPr>
        <w:t xml:space="preserve">       </w:t>
      </w:r>
      <w:r w:rsidR="00242DA0" w:rsidRPr="00DE12A3">
        <w:rPr>
          <w:rFonts w:eastAsia="Times New Roman" w:cs="Times New Roman"/>
          <w:color w:val="auto"/>
          <w:lang w:eastAsia="en-US"/>
        </w:rPr>
        <w:t xml:space="preserve">AB tip onayı </w:t>
      </w:r>
      <w:r w:rsidR="006F6A17" w:rsidRPr="00DE12A3">
        <w:rPr>
          <w:rFonts w:eastAsia="Times New Roman" w:cs="Times New Roman"/>
          <w:color w:val="auto"/>
          <w:lang w:eastAsia="en-US"/>
        </w:rPr>
        <w:t>testi, 2016</w:t>
      </w:r>
      <w:r w:rsidR="00EE5D5E" w:rsidRPr="00DE12A3">
        <w:rPr>
          <w:rFonts w:eastAsia="Times New Roman" w:cs="Times New Roman"/>
          <w:color w:val="auto"/>
          <w:lang w:eastAsia="en-US"/>
        </w:rPr>
        <w:t>/1628/AB Yönetmeliği</w:t>
      </w:r>
      <w:r w:rsidR="00211788" w:rsidRPr="00DE12A3">
        <w:rPr>
          <w:rFonts w:eastAsia="Times New Roman" w:cs="Times New Roman"/>
          <w:color w:val="auto"/>
          <w:lang w:eastAsia="en-US"/>
        </w:rPr>
        <w:t>nin</w:t>
      </w:r>
      <w:r w:rsidR="00EE5D5E" w:rsidRPr="00DE12A3">
        <w:rPr>
          <w:rFonts w:eastAsia="Times New Roman" w:cs="Times New Roman"/>
          <w:color w:val="auto"/>
          <w:lang w:eastAsia="en-US"/>
        </w:rPr>
        <w:t xml:space="preserve"> </w:t>
      </w:r>
      <w:r w:rsidR="00211788" w:rsidRPr="00DE12A3">
        <w:rPr>
          <w:rFonts w:eastAsia="Times New Roman" w:cs="Times New Roman"/>
          <w:color w:val="auto"/>
          <w:lang w:eastAsia="en-US"/>
        </w:rPr>
        <w:t>24</w:t>
      </w:r>
      <w:r w:rsidR="00DD44B6" w:rsidRPr="00DE12A3">
        <w:rPr>
          <w:rFonts w:eastAsia="Times New Roman" w:cs="Times New Roman"/>
          <w:color w:val="auto"/>
          <w:lang w:eastAsia="en-US"/>
        </w:rPr>
        <w:t xml:space="preserve"> </w:t>
      </w:r>
      <w:r w:rsidR="00211788" w:rsidRPr="00DE12A3">
        <w:rPr>
          <w:rFonts w:eastAsia="Times New Roman" w:cs="Times New Roman"/>
          <w:color w:val="auto"/>
          <w:lang w:eastAsia="en-US"/>
        </w:rPr>
        <w:t>üncü</w:t>
      </w:r>
      <w:r w:rsidR="006F6A17" w:rsidRPr="00DE12A3">
        <w:rPr>
          <w:rFonts w:eastAsia="Times New Roman" w:cs="Times New Roman"/>
          <w:color w:val="auto"/>
          <w:lang w:eastAsia="en-US"/>
        </w:rPr>
        <w:t xml:space="preserve"> </w:t>
      </w:r>
      <w:r w:rsidR="00242DA0" w:rsidRPr="00DE12A3">
        <w:rPr>
          <w:rFonts w:eastAsia="Times New Roman" w:cs="Times New Roman"/>
          <w:color w:val="auto"/>
          <w:lang w:eastAsia="en-US"/>
        </w:rPr>
        <w:t>maddesinde ve</w:t>
      </w:r>
      <w:r w:rsidR="00DD44B6" w:rsidRPr="00DE12A3">
        <w:rPr>
          <w:rFonts w:eastAsia="Times New Roman" w:cs="Times New Roman"/>
          <w:color w:val="auto"/>
          <w:lang w:eastAsia="en-US"/>
        </w:rPr>
        <w:t xml:space="preserve"> Ek IV’ünde </w:t>
      </w:r>
      <w:r w:rsidR="00242DA0" w:rsidRPr="00DE12A3">
        <w:rPr>
          <w:rFonts w:eastAsia="Times New Roman" w:cs="Times New Roman"/>
          <w:color w:val="auto"/>
          <w:lang w:eastAsia="en-US"/>
        </w:rPr>
        <w:t>belirtildiği gibi, uygun NRSC ve duruma göre NRTC ve LSI-NRTC kullanılarak yapılmalıdır.</w:t>
      </w:r>
    </w:p>
    <w:p w14:paraId="342F2AD4" w14:textId="72358427" w:rsidR="002D7B36" w:rsidRPr="00DE12A3" w:rsidRDefault="003C5E9B" w:rsidP="00E20716">
      <w:pPr>
        <w:numPr>
          <w:ilvl w:val="2"/>
          <w:numId w:val="112"/>
        </w:numPr>
        <w:spacing w:before="120" w:after="120"/>
        <w:ind w:left="1134" w:hanging="1134"/>
        <w:jc w:val="both"/>
        <w:rPr>
          <w:rFonts w:eastAsia="Times New Roman" w:cs="Times New Roman"/>
          <w:color w:val="auto"/>
          <w:lang w:eastAsia="en-US"/>
        </w:rPr>
      </w:pPr>
      <w:r w:rsidRPr="00DE12A3">
        <w:rPr>
          <w:rFonts w:eastAsia="Times New Roman" w:cs="Times New Roman"/>
          <w:color w:val="auto"/>
          <w:lang w:eastAsia="en-US"/>
        </w:rPr>
        <w:t xml:space="preserve">       </w:t>
      </w:r>
      <w:r w:rsidR="00242DA0" w:rsidRPr="00DE12A3">
        <w:rPr>
          <w:rFonts w:eastAsia="Times New Roman" w:cs="Times New Roman"/>
          <w:color w:val="auto"/>
          <w:lang w:eastAsia="en-US"/>
        </w:rPr>
        <w:t>NRSC'nin teknik özellikleri ve belirleyici özellikleri X</w:t>
      </w:r>
      <w:r w:rsidR="00FA0678" w:rsidRPr="00DE12A3">
        <w:rPr>
          <w:rFonts w:eastAsia="Times New Roman" w:cs="Times New Roman"/>
          <w:color w:val="auto"/>
          <w:lang w:eastAsia="en-US"/>
        </w:rPr>
        <w:t xml:space="preserve">VII’nci </w:t>
      </w:r>
      <w:r w:rsidR="00850EBE" w:rsidRPr="00DE12A3">
        <w:rPr>
          <w:rFonts w:eastAsia="Times New Roman" w:cs="Times New Roman"/>
          <w:color w:val="auto"/>
          <w:lang w:eastAsia="en-US"/>
        </w:rPr>
        <w:t>E</w:t>
      </w:r>
      <w:r w:rsidR="00FA0678" w:rsidRPr="00DE12A3">
        <w:rPr>
          <w:rFonts w:eastAsia="Times New Roman" w:cs="Times New Roman"/>
          <w:color w:val="auto"/>
          <w:lang w:eastAsia="en-US"/>
        </w:rPr>
        <w:t>k</w:t>
      </w:r>
      <w:r w:rsidR="00DD44B6" w:rsidRPr="00DE12A3">
        <w:rPr>
          <w:rFonts w:eastAsia="Times New Roman" w:cs="Times New Roman"/>
          <w:color w:val="auto"/>
          <w:lang w:eastAsia="en-US"/>
        </w:rPr>
        <w:t xml:space="preserve">te yer alan </w:t>
      </w:r>
      <w:r w:rsidR="00242DA0" w:rsidRPr="00DE12A3">
        <w:rPr>
          <w:rFonts w:eastAsia="Times New Roman" w:cs="Times New Roman"/>
          <w:color w:val="auto"/>
          <w:lang w:eastAsia="en-US"/>
        </w:rPr>
        <w:t xml:space="preserve">1. Açıklayıcı Ekte (ayrık mod NRSC) ve </w:t>
      </w:r>
      <w:r w:rsidR="00FA0678" w:rsidRPr="00DE12A3">
        <w:rPr>
          <w:rFonts w:eastAsia="Times New Roman" w:cs="Times New Roman"/>
          <w:color w:val="auto"/>
          <w:lang w:eastAsia="en-US"/>
        </w:rPr>
        <w:t>2. Açıklayıcı Ek</w:t>
      </w:r>
      <w:r w:rsidR="00242DA0" w:rsidRPr="00DE12A3">
        <w:rPr>
          <w:rFonts w:eastAsia="Times New Roman" w:cs="Times New Roman"/>
          <w:color w:val="auto"/>
          <w:lang w:eastAsia="en-US"/>
        </w:rPr>
        <w:t xml:space="preserve">te (artırımlı modal NRSC) </w:t>
      </w:r>
      <w:r w:rsidR="006F6A17" w:rsidRPr="00DE12A3">
        <w:rPr>
          <w:rFonts w:eastAsia="Times New Roman" w:cs="Times New Roman"/>
          <w:color w:val="auto"/>
          <w:lang w:eastAsia="en-US"/>
        </w:rPr>
        <w:t>belirtilmiştir. NRSC</w:t>
      </w:r>
      <w:r w:rsidR="00242DA0" w:rsidRPr="00DE12A3">
        <w:rPr>
          <w:rFonts w:eastAsia="Times New Roman" w:cs="Times New Roman"/>
          <w:color w:val="auto"/>
          <w:lang w:eastAsia="en-US"/>
        </w:rPr>
        <w:t xml:space="preserve"> testi, imalatçının tercihine bağlı olarak, bir ayrık mod NRSC veya varsa </w:t>
      </w:r>
      <w:r w:rsidR="00DD44B6" w:rsidRPr="00DE12A3">
        <w:rPr>
          <w:rFonts w:eastAsia="Times New Roman" w:cs="Times New Roman"/>
          <w:color w:val="auto"/>
          <w:lang w:eastAsia="en-US"/>
        </w:rPr>
        <w:t xml:space="preserve">bu Ekin </w:t>
      </w:r>
      <w:r w:rsidR="00242DA0" w:rsidRPr="00DE12A3">
        <w:rPr>
          <w:rFonts w:eastAsia="Times New Roman" w:cs="Times New Roman"/>
          <w:color w:val="auto"/>
          <w:lang w:eastAsia="en-US"/>
        </w:rPr>
        <w:t>7.4.1 bendinde belirtildiği şekilde bir artırımlı modal NRSC (“RMC”) olarak yapılabilir.</w:t>
      </w:r>
    </w:p>
    <w:p w14:paraId="108ADBEA" w14:textId="4CF5C6E6" w:rsidR="002D7B36" w:rsidRPr="00DE12A3" w:rsidRDefault="003C5E9B" w:rsidP="00E20716">
      <w:pPr>
        <w:numPr>
          <w:ilvl w:val="2"/>
          <w:numId w:val="112"/>
        </w:numPr>
        <w:tabs>
          <w:tab w:val="left" w:pos="142"/>
        </w:tabs>
        <w:spacing w:before="120" w:after="120"/>
        <w:ind w:left="1134" w:hanging="1134"/>
        <w:jc w:val="both"/>
        <w:rPr>
          <w:rFonts w:eastAsia="Times New Roman" w:cs="Times New Roman"/>
          <w:color w:val="auto"/>
          <w:lang w:eastAsia="en-US"/>
        </w:rPr>
      </w:pPr>
      <w:r w:rsidRPr="00DE12A3">
        <w:rPr>
          <w:rFonts w:eastAsia="Times New Roman" w:cs="Times New Roman"/>
          <w:color w:val="auto"/>
          <w:lang w:eastAsia="en-US"/>
        </w:rPr>
        <w:t xml:space="preserve">       </w:t>
      </w:r>
      <w:r w:rsidR="00242DA0" w:rsidRPr="00DE12A3">
        <w:rPr>
          <w:rFonts w:eastAsia="Times New Roman" w:cs="Times New Roman"/>
          <w:color w:val="auto"/>
          <w:lang w:eastAsia="en-US"/>
        </w:rPr>
        <w:t>NRTC ve LSI-NRTC'nin teknik özellikleri ve belirleyici özellikleri X</w:t>
      </w:r>
      <w:r w:rsidR="00FA0678" w:rsidRPr="00DE12A3">
        <w:rPr>
          <w:rFonts w:eastAsia="Times New Roman" w:cs="Times New Roman"/>
          <w:color w:val="auto"/>
          <w:lang w:eastAsia="en-US"/>
        </w:rPr>
        <w:t xml:space="preserve">VII’nci </w:t>
      </w:r>
      <w:r w:rsidR="00850EBE" w:rsidRPr="00DE12A3">
        <w:rPr>
          <w:rFonts w:eastAsia="Times New Roman" w:cs="Times New Roman"/>
          <w:color w:val="auto"/>
          <w:lang w:eastAsia="en-US"/>
        </w:rPr>
        <w:t>E</w:t>
      </w:r>
      <w:r w:rsidR="00FA0678" w:rsidRPr="00DE12A3">
        <w:rPr>
          <w:rFonts w:eastAsia="Times New Roman" w:cs="Times New Roman"/>
          <w:color w:val="auto"/>
          <w:lang w:eastAsia="en-US"/>
        </w:rPr>
        <w:t>k</w:t>
      </w:r>
      <w:r w:rsidR="00242DA0" w:rsidRPr="00DE12A3">
        <w:rPr>
          <w:rFonts w:eastAsia="Times New Roman" w:cs="Times New Roman"/>
          <w:color w:val="auto"/>
          <w:lang w:eastAsia="en-US"/>
        </w:rPr>
        <w:t xml:space="preserve">in </w:t>
      </w:r>
      <w:r w:rsidR="00CD23C3" w:rsidRPr="00DE12A3">
        <w:rPr>
          <w:rFonts w:eastAsia="Times New Roman" w:cs="Times New Roman"/>
          <w:color w:val="auto"/>
          <w:lang w:eastAsia="en-US"/>
        </w:rPr>
        <w:t>3. Açıklayıcı Ek</w:t>
      </w:r>
      <w:r w:rsidR="00242DA0" w:rsidRPr="00DE12A3">
        <w:rPr>
          <w:rFonts w:eastAsia="Times New Roman" w:cs="Times New Roman"/>
          <w:color w:val="auto"/>
          <w:lang w:eastAsia="en-US"/>
        </w:rPr>
        <w:t>inde belirtilmiştir.</w:t>
      </w:r>
    </w:p>
    <w:p w14:paraId="3A234BC4" w14:textId="4747B7EA" w:rsidR="002D7B36" w:rsidRPr="00DE12A3" w:rsidRDefault="003C5E9B" w:rsidP="00E20716">
      <w:pPr>
        <w:numPr>
          <w:ilvl w:val="2"/>
          <w:numId w:val="112"/>
        </w:numPr>
        <w:tabs>
          <w:tab w:val="left" w:pos="142"/>
        </w:tabs>
        <w:spacing w:before="120" w:after="120"/>
        <w:ind w:left="1134" w:hanging="1134"/>
        <w:jc w:val="both"/>
        <w:rPr>
          <w:rFonts w:eastAsia="Times New Roman" w:cs="Times New Roman"/>
          <w:color w:val="auto"/>
          <w:lang w:eastAsia="en-US"/>
        </w:rPr>
      </w:pPr>
      <w:r w:rsidRPr="00DE12A3">
        <w:rPr>
          <w:rFonts w:eastAsia="Times New Roman" w:cs="Times New Roman"/>
          <w:color w:val="auto"/>
          <w:lang w:eastAsia="en-US"/>
        </w:rPr>
        <w:t xml:space="preserve">       </w:t>
      </w:r>
      <w:r w:rsidR="00242DA0" w:rsidRPr="00DE12A3">
        <w:rPr>
          <w:rFonts w:eastAsia="Times New Roman" w:cs="Times New Roman"/>
          <w:color w:val="auto"/>
          <w:lang w:eastAsia="en-US"/>
        </w:rPr>
        <w:t>7.4 bendinde ve X</w:t>
      </w:r>
      <w:r w:rsidR="00FA0678" w:rsidRPr="00DE12A3">
        <w:rPr>
          <w:rFonts w:eastAsia="Times New Roman" w:cs="Times New Roman"/>
          <w:color w:val="auto"/>
          <w:lang w:eastAsia="en-US"/>
        </w:rPr>
        <w:t xml:space="preserve">VII’nci </w:t>
      </w:r>
      <w:r w:rsidR="00483E27" w:rsidRPr="00DE12A3">
        <w:rPr>
          <w:rFonts w:eastAsia="Times New Roman" w:cs="Times New Roman"/>
          <w:color w:val="auto"/>
          <w:lang w:eastAsia="en-US"/>
        </w:rPr>
        <w:t>E</w:t>
      </w:r>
      <w:r w:rsidR="00FA0678" w:rsidRPr="00DE12A3">
        <w:rPr>
          <w:rFonts w:eastAsia="Times New Roman" w:cs="Times New Roman"/>
          <w:color w:val="auto"/>
          <w:lang w:eastAsia="en-US"/>
        </w:rPr>
        <w:t>k</w:t>
      </w:r>
      <w:r w:rsidR="00242DA0" w:rsidRPr="00DE12A3">
        <w:rPr>
          <w:rFonts w:eastAsia="Times New Roman" w:cs="Times New Roman"/>
          <w:color w:val="auto"/>
          <w:lang w:eastAsia="en-US"/>
        </w:rPr>
        <w:t xml:space="preserve">te belirtilen test </w:t>
      </w:r>
      <w:r w:rsidR="00F310B5" w:rsidRPr="00DE12A3">
        <w:rPr>
          <w:rFonts w:eastAsia="Times New Roman" w:cs="Times New Roman"/>
          <w:color w:val="auto"/>
          <w:lang w:eastAsia="en-US"/>
        </w:rPr>
        <w:t>çevrim</w:t>
      </w:r>
      <w:r w:rsidR="00242DA0" w:rsidRPr="00DE12A3">
        <w:rPr>
          <w:rFonts w:eastAsia="Times New Roman" w:cs="Times New Roman"/>
          <w:color w:val="auto"/>
          <w:lang w:eastAsia="en-US"/>
        </w:rPr>
        <w:t xml:space="preserve">leri, azami tork veya güç yüzdeleri ve test </w:t>
      </w:r>
      <w:r w:rsidR="00F310B5" w:rsidRPr="00DE12A3">
        <w:rPr>
          <w:rFonts w:eastAsia="Times New Roman" w:cs="Times New Roman"/>
          <w:color w:val="auto"/>
          <w:lang w:eastAsia="en-US"/>
        </w:rPr>
        <w:t>çevrim</w:t>
      </w:r>
      <w:r w:rsidR="00242DA0" w:rsidRPr="00DE12A3">
        <w:rPr>
          <w:rFonts w:eastAsia="Times New Roman" w:cs="Times New Roman"/>
          <w:color w:val="auto"/>
          <w:lang w:eastAsia="en-US"/>
        </w:rPr>
        <w:t>lerinin doğru çalışması için belirlenmesi gereken test devirleri etrafında tasarlanmıştır:</w:t>
      </w:r>
    </w:p>
    <w:p w14:paraId="771E7B09" w14:textId="05DB4E0D" w:rsidR="002D7B36" w:rsidRPr="00DE12A3" w:rsidRDefault="003C5E9B" w:rsidP="00E20716">
      <w:pPr>
        <w:numPr>
          <w:ilvl w:val="0"/>
          <w:numId w:val="115"/>
        </w:numPr>
        <w:spacing w:before="120" w:after="120"/>
        <w:ind w:left="1701" w:hanging="567"/>
        <w:jc w:val="both"/>
        <w:rPr>
          <w:rFonts w:eastAsia="Times New Roman" w:cs="Times New Roman"/>
          <w:color w:val="auto"/>
          <w:lang w:eastAsia="en-US"/>
        </w:rPr>
      </w:pPr>
      <w:r w:rsidRPr="00DE12A3">
        <w:rPr>
          <w:rFonts w:eastAsia="Times New Roman" w:cs="Times New Roman"/>
          <w:color w:val="auto"/>
          <w:lang w:eastAsia="en-US"/>
        </w:rPr>
        <w:t xml:space="preserve">     </w:t>
      </w:r>
      <w:r w:rsidR="00242DA0" w:rsidRPr="00DE12A3">
        <w:rPr>
          <w:rFonts w:eastAsia="Times New Roman" w:cs="Times New Roman"/>
          <w:color w:val="auto"/>
          <w:lang w:eastAsia="en-US"/>
        </w:rPr>
        <w:t>%100 devir (azami test devri (MTS) veya nominal devir)</w:t>
      </w:r>
      <w:r w:rsidR="00DD44B6" w:rsidRPr="00DE12A3">
        <w:rPr>
          <w:rFonts w:eastAsia="Times New Roman" w:cs="Times New Roman"/>
          <w:color w:val="auto"/>
          <w:lang w:eastAsia="en-US"/>
        </w:rPr>
        <w:t>.</w:t>
      </w:r>
    </w:p>
    <w:p w14:paraId="67630A7E" w14:textId="0A1BD3CB" w:rsidR="002D7B36" w:rsidRPr="00DE12A3" w:rsidRDefault="00242DA0" w:rsidP="00E20716">
      <w:pPr>
        <w:numPr>
          <w:ilvl w:val="0"/>
          <w:numId w:val="115"/>
        </w:numPr>
        <w:spacing w:before="120" w:after="120"/>
        <w:ind w:left="1701" w:hanging="567"/>
        <w:jc w:val="both"/>
        <w:rPr>
          <w:rFonts w:eastAsia="Times New Roman" w:cs="Times New Roman"/>
          <w:color w:val="auto"/>
          <w:lang w:eastAsia="en-US"/>
        </w:rPr>
      </w:pPr>
      <w:r w:rsidRPr="00DE12A3">
        <w:rPr>
          <w:rFonts w:eastAsia="Times New Roman" w:cs="Times New Roman"/>
          <w:color w:val="auto"/>
          <w:lang w:eastAsia="en-US"/>
        </w:rPr>
        <w:t>5.2.5.4 bendinde belirtilen ara devirler</w:t>
      </w:r>
      <w:r w:rsidR="00DD44B6" w:rsidRPr="00DE12A3">
        <w:rPr>
          <w:rFonts w:eastAsia="Times New Roman" w:cs="Times New Roman"/>
          <w:color w:val="auto"/>
          <w:lang w:eastAsia="en-US"/>
        </w:rPr>
        <w:t>.</w:t>
      </w:r>
    </w:p>
    <w:p w14:paraId="5D967849" w14:textId="77777777" w:rsidR="002D7B36" w:rsidRPr="00DE12A3" w:rsidRDefault="003C5E9B" w:rsidP="00E20716">
      <w:pPr>
        <w:numPr>
          <w:ilvl w:val="0"/>
          <w:numId w:val="115"/>
        </w:numPr>
        <w:spacing w:before="120" w:after="120"/>
        <w:ind w:left="1701" w:hanging="567"/>
        <w:jc w:val="both"/>
        <w:rPr>
          <w:rFonts w:eastAsia="Times New Roman" w:cs="Times New Roman"/>
          <w:color w:val="auto"/>
          <w:lang w:eastAsia="en-US"/>
        </w:rPr>
      </w:pPr>
      <w:r w:rsidRPr="00DE12A3">
        <w:rPr>
          <w:rFonts w:eastAsia="Times New Roman" w:cs="Times New Roman"/>
          <w:color w:val="auto"/>
          <w:lang w:eastAsia="en-US"/>
        </w:rPr>
        <w:t xml:space="preserve">     </w:t>
      </w:r>
      <w:r w:rsidR="00242DA0" w:rsidRPr="00DE12A3">
        <w:rPr>
          <w:rFonts w:eastAsia="Times New Roman" w:cs="Times New Roman"/>
          <w:color w:val="auto"/>
          <w:lang w:eastAsia="en-US"/>
        </w:rPr>
        <w:t>5.2.5.5 bendinde belirtilen rölanti devri.</w:t>
      </w:r>
    </w:p>
    <w:p w14:paraId="709173AA" w14:textId="77777777" w:rsidR="002D7B36" w:rsidRPr="00DE12A3" w:rsidRDefault="00242DA0" w:rsidP="00C917D6">
      <w:pPr>
        <w:spacing w:before="120" w:after="120"/>
        <w:ind w:left="1134"/>
        <w:jc w:val="both"/>
        <w:rPr>
          <w:rFonts w:eastAsia="Times New Roman" w:cs="Times New Roman"/>
          <w:color w:val="auto"/>
          <w:lang w:eastAsia="en-US"/>
        </w:rPr>
      </w:pPr>
      <w:r w:rsidRPr="00DE12A3">
        <w:rPr>
          <w:rFonts w:eastAsia="Times New Roman" w:cs="Times New Roman"/>
          <w:color w:val="auto"/>
          <w:lang w:eastAsia="en-US"/>
        </w:rPr>
        <w:t>Test devirlerinin belirlenmesi 5.2.5 bendinde, tork ve güç kullanımı ise 5.2.6 bendinde belirtilmiştir.</w:t>
      </w:r>
    </w:p>
    <w:p w14:paraId="170F3739" w14:textId="77777777" w:rsidR="002D7B36" w:rsidRPr="00DE12A3" w:rsidRDefault="003C5E9B" w:rsidP="00E20716">
      <w:pPr>
        <w:numPr>
          <w:ilvl w:val="2"/>
          <w:numId w:val="112"/>
        </w:numPr>
        <w:spacing w:before="120" w:after="120"/>
        <w:ind w:left="1134" w:hanging="1134"/>
        <w:jc w:val="both"/>
        <w:rPr>
          <w:rFonts w:eastAsia="Times New Roman" w:cs="Times New Roman"/>
          <w:color w:val="auto"/>
          <w:lang w:eastAsia="en-US"/>
        </w:rPr>
      </w:pPr>
      <w:r w:rsidRPr="00DE12A3">
        <w:rPr>
          <w:rFonts w:eastAsia="Times New Roman" w:cs="Times New Roman"/>
          <w:color w:val="auto"/>
          <w:lang w:eastAsia="en-US"/>
        </w:rPr>
        <w:t xml:space="preserve">       </w:t>
      </w:r>
      <w:r w:rsidR="00242DA0" w:rsidRPr="00DE12A3">
        <w:rPr>
          <w:rFonts w:eastAsia="Times New Roman" w:cs="Times New Roman"/>
          <w:color w:val="auto"/>
          <w:lang w:eastAsia="en-US"/>
        </w:rPr>
        <w:t>Test devirleri</w:t>
      </w:r>
    </w:p>
    <w:p w14:paraId="3DC63FED" w14:textId="77777777" w:rsidR="002D7B36" w:rsidRPr="00DE12A3" w:rsidRDefault="00242DA0" w:rsidP="00E20716">
      <w:pPr>
        <w:numPr>
          <w:ilvl w:val="3"/>
          <w:numId w:val="112"/>
        </w:numPr>
        <w:spacing w:before="120" w:after="120"/>
        <w:ind w:left="1134" w:hanging="1134"/>
        <w:jc w:val="both"/>
        <w:rPr>
          <w:rFonts w:eastAsia="Times New Roman" w:cs="Times New Roman"/>
          <w:color w:val="auto"/>
          <w:lang w:eastAsia="en-US"/>
        </w:rPr>
      </w:pPr>
      <w:r w:rsidRPr="00DE12A3">
        <w:rPr>
          <w:rFonts w:eastAsia="Times New Roman" w:cs="Times New Roman"/>
          <w:color w:val="auto"/>
          <w:lang w:eastAsia="en-US"/>
        </w:rPr>
        <w:t>Azami test devri (MTS)</w:t>
      </w:r>
    </w:p>
    <w:p w14:paraId="798F461B" w14:textId="77777777" w:rsidR="002D7B36" w:rsidRPr="00DE12A3" w:rsidRDefault="003C5E9B" w:rsidP="00C917D6">
      <w:pPr>
        <w:spacing w:before="120" w:after="120"/>
        <w:ind w:left="1134" w:hanging="1134"/>
        <w:jc w:val="both"/>
        <w:rPr>
          <w:rFonts w:eastAsia="Times New Roman" w:cs="Times New Roman"/>
          <w:color w:val="auto"/>
          <w:lang w:eastAsia="en-US"/>
        </w:rPr>
      </w:pPr>
      <w:r w:rsidRPr="00DE12A3">
        <w:rPr>
          <w:rFonts w:eastAsia="Times New Roman" w:cs="Times New Roman"/>
          <w:color w:val="auto"/>
          <w:lang w:eastAsia="en-US"/>
        </w:rPr>
        <w:t xml:space="preserve">                   </w:t>
      </w:r>
      <w:r w:rsidR="00242DA0" w:rsidRPr="00DE12A3">
        <w:rPr>
          <w:rFonts w:eastAsia="Times New Roman" w:cs="Times New Roman"/>
          <w:color w:val="auto"/>
          <w:lang w:eastAsia="en-US"/>
        </w:rPr>
        <w:t>MTS, 5.2.5.1.1 bendi veya 5.2.5.1.3 bendi uyarınca hesaplanır.</w:t>
      </w:r>
    </w:p>
    <w:p w14:paraId="08815FF1" w14:textId="77777777" w:rsidR="002D7B36" w:rsidRPr="00DE12A3" w:rsidRDefault="003C5E9B" w:rsidP="00E20716">
      <w:pPr>
        <w:pStyle w:val="ListeParagraf"/>
        <w:numPr>
          <w:ilvl w:val="4"/>
          <w:numId w:val="112"/>
        </w:numPr>
        <w:tabs>
          <w:tab w:val="left" w:pos="993"/>
        </w:tabs>
        <w:spacing w:before="120" w:after="120"/>
        <w:jc w:val="both"/>
        <w:rPr>
          <w:rFonts w:eastAsia="Times New Roman" w:cs="Times New Roman"/>
          <w:color w:val="auto"/>
          <w:lang w:eastAsia="en-US"/>
        </w:rPr>
      </w:pPr>
      <w:r w:rsidRPr="00DE12A3">
        <w:rPr>
          <w:rFonts w:eastAsia="Times New Roman" w:cs="Times New Roman"/>
          <w:color w:val="auto"/>
          <w:lang w:eastAsia="en-US"/>
        </w:rPr>
        <w:t xml:space="preserve">   </w:t>
      </w:r>
      <w:r w:rsidR="00242DA0" w:rsidRPr="00DE12A3">
        <w:rPr>
          <w:rFonts w:eastAsia="Times New Roman" w:cs="Times New Roman"/>
          <w:color w:val="auto"/>
          <w:lang w:eastAsia="en-US"/>
        </w:rPr>
        <w:t>MTS'nin hesaplanması</w:t>
      </w:r>
    </w:p>
    <w:p w14:paraId="664A43D7" w14:textId="77777777" w:rsidR="002D7B36" w:rsidRPr="00DE12A3" w:rsidRDefault="003C5E9B" w:rsidP="00C917D6">
      <w:pPr>
        <w:spacing w:before="120" w:after="120"/>
        <w:ind w:left="1134" w:hanging="1134"/>
        <w:jc w:val="both"/>
        <w:rPr>
          <w:rFonts w:eastAsia="Times New Roman" w:cs="Times New Roman"/>
          <w:color w:val="auto"/>
          <w:lang w:eastAsia="en-US"/>
        </w:rPr>
      </w:pPr>
      <w:r w:rsidRPr="00DE12A3">
        <w:rPr>
          <w:rFonts w:eastAsia="Times New Roman" w:cs="Times New Roman"/>
          <w:color w:val="auto"/>
          <w:lang w:eastAsia="en-US"/>
        </w:rPr>
        <w:t xml:space="preserve">                    </w:t>
      </w:r>
      <w:r w:rsidR="00242DA0" w:rsidRPr="00DE12A3">
        <w:rPr>
          <w:rFonts w:eastAsia="Times New Roman" w:cs="Times New Roman"/>
          <w:color w:val="auto"/>
          <w:lang w:eastAsia="en-US"/>
        </w:rPr>
        <w:t>MTS'yi hesaplamak için 7.4 bendi uyarınca geçici eşleme prosedürü gerçekleştirilmelidir. Daha sonra MTS, eşlenmiş motor devrine karşı güç değerleri arasından belirlenir. MTS, aşağıdaki seçeneklerden biri vasıtasıyla hesaplanır:</w:t>
      </w:r>
    </w:p>
    <w:p w14:paraId="4A197E26" w14:textId="5243A601" w:rsidR="002D7B36" w:rsidRPr="00DE12A3" w:rsidRDefault="00242DA0" w:rsidP="00E20716">
      <w:pPr>
        <w:pStyle w:val="ListeParagraf"/>
        <w:numPr>
          <w:ilvl w:val="0"/>
          <w:numId w:val="116"/>
        </w:numPr>
        <w:spacing w:before="120" w:after="120"/>
        <w:ind w:left="1134" w:firstLine="0"/>
        <w:jc w:val="both"/>
        <w:rPr>
          <w:rFonts w:eastAsia="Times New Roman" w:cs="Times New Roman"/>
          <w:color w:val="auto"/>
          <w:lang w:eastAsia="en-US"/>
        </w:rPr>
      </w:pPr>
      <w:r w:rsidRPr="00DE12A3">
        <w:rPr>
          <w:rFonts w:eastAsia="Times New Roman" w:cs="Times New Roman"/>
          <w:color w:val="auto"/>
          <w:lang w:eastAsia="en-US"/>
        </w:rPr>
        <w:t>Düşük devir ve yüksek devir değerleri esasında hesaplama</w:t>
      </w:r>
      <w:r w:rsidR="00DD44B6" w:rsidRPr="00DE12A3">
        <w:rPr>
          <w:rFonts w:eastAsia="Times New Roman" w:cs="Times New Roman"/>
          <w:color w:val="auto"/>
          <w:lang w:eastAsia="en-US"/>
        </w:rPr>
        <w:t>;</w:t>
      </w:r>
    </w:p>
    <w:p w14:paraId="4F0958FC" w14:textId="77777777" w:rsidR="006A293D" w:rsidRPr="00DE12A3" w:rsidRDefault="006A293D" w:rsidP="00C917D6">
      <w:pPr>
        <w:spacing w:before="120" w:after="120"/>
        <w:jc w:val="both"/>
        <w:rPr>
          <w:rFonts w:eastAsia="Times New Roman" w:cs="Times New Roman"/>
          <w:color w:val="auto"/>
          <w:lang w:eastAsia="en-US"/>
        </w:rPr>
      </w:pPr>
    </w:p>
    <w:tbl>
      <w:tblPr>
        <w:tblW w:w="0" w:type="auto"/>
        <w:jc w:val="center"/>
        <w:tblLayout w:type="fixed"/>
        <w:tblLook w:val="0000" w:firstRow="0" w:lastRow="0" w:firstColumn="0" w:lastColumn="0" w:noHBand="0" w:noVBand="0"/>
      </w:tblPr>
      <w:tblGrid>
        <w:gridCol w:w="4265"/>
        <w:gridCol w:w="1202"/>
      </w:tblGrid>
      <w:tr w:rsidR="00DE12A3" w:rsidRPr="00DE12A3" w14:paraId="735A6FB1" w14:textId="77777777" w:rsidTr="004F6E3B">
        <w:trPr>
          <w:trHeight w:val="1205"/>
          <w:jc w:val="center"/>
        </w:trPr>
        <w:tc>
          <w:tcPr>
            <w:tcW w:w="4265" w:type="dxa"/>
          </w:tcPr>
          <w:p w14:paraId="34A7ABF1" w14:textId="77777777" w:rsidR="006A293D" w:rsidRPr="00DE12A3" w:rsidRDefault="006A293D" w:rsidP="00C917D6">
            <w:pPr>
              <w:pStyle w:val="NormalLeft"/>
              <w:rPr>
                <w:sz w:val="22"/>
              </w:rPr>
            </w:pPr>
            <w:r w:rsidRPr="00DE12A3">
              <w:rPr>
                <w:sz w:val="22"/>
              </w:rPr>
              <w:t xml:space="preserve">MTS = </w:t>
            </w:r>
            <w:r w:rsidRPr="00DE12A3">
              <w:rPr>
                <w:i/>
                <w:iCs/>
                <w:sz w:val="22"/>
              </w:rPr>
              <w:t>n</w:t>
            </w:r>
            <w:r w:rsidRPr="00DE12A3">
              <w:rPr>
                <w:sz w:val="22"/>
                <w:vertAlign w:val="subscript"/>
              </w:rPr>
              <w:t>lo</w:t>
            </w:r>
            <w:r w:rsidRPr="00DE12A3">
              <w:rPr>
                <w:sz w:val="22"/>
              </w:rPr>
              <w:t xml:space="preserve"> + 0,95 · (</w:t>
            </w:r>
            <w:r w:rsidRPr="00DE12A3">
              <w:rPr>
                <w:i/>
                <w:iCs/>
                <w:sz w:val="22"/>
              </w:rPr>
              <w:t>n</w:t>
            </w:r>
            <w:r w:rsidRPr="00DE12A3">
              <w:rPr>
                <w:sz w:val="22"/>
                <w:vertAlign w:val="subscript"/>
              </w:rPr>
              <w:t>hi</w:t>
            </w:r>
            <w:r w:rsidRPr="00DE12A3">
              <w:rPr>
                <w:sz w:val="22"/>
              </w:rPr>
              <w:t xml:space="preserve"> – </w:t>
            </w:r>
            <w:r w:rsidRPr="00DE12A3">
              <w:rPr>
                <w:i/>
                <w:iCs/>
                <w:sz w:val="22"/>
              </w:rPr>
              <w:t>n</w:t>
            </w:r>
            <w:r w:rsidRPr="00DE12A3">
              <w:rPr>
                <w:sz w:val="22"/>
                <w:vertAlign w:val="subscript"/>
              </w:rPr>
              <w:t>lo</w:t>
            </w:r>
            <w:r w:rsidRPr="00DE12A3">
              <w:rPr>
                <w:sz w:val="22"/>
              </w:rPr>
              <w:t>)</w:t>
            </w:r>
          </w:p>
        </w:tc>
        <w:tc>
          <w:tcPr>
            <w:tcW w:w="1202" w:type="dxa"/>
          </w:tcPr>
          <w:p w14:paraId="1F7C01B6" w14:textId="77777777" w:rsidR="006A293D" w:rsidRPr="00DE12A3" w:rsidRDefault="006A293D" w:rsidP="00C917D6">
            <w:pPr>
              <w:pStyle w:val="NormalLeft"/>
            </w:pPr>
            <w:r w:rsidRPr="00DE12A3">
              <w:t>(6-1)</w:t>
            </w:r>
          </w:p>
        </w:tc>
      </w:tr>
    </w:tbl>
    <w:p w14:paraId="6F7BCB90" w14:textId="77777777" w:rsidR="002D7B36" w:rsidRPr="00DE12A3" w:rsidRDefault="00E12A47" w:rsidP="00C917D6">
      <w:pPr>
        <w:pStyle w:val="ListeParagraf"/>
        <w:spacing w:before="120" w:after="120"/>
        <w:ind w:left="1134"/>
        <w:jc w:val="both"/>
        <w:rPr>
          <w:rFonts w:eastAsia="Times New Roman" w:cs="Times New Roman"/>
          <w:color w:val="auto"/>
          <w:lang w:eastAsia="en-US"/>
        </w:rPr>
      </w:pPr>
      <w:r w:rsidRPr="00DE12A3">
        <w:rPr>
          <w:rFonts w:eastAsia="Times New Roman" w:cs="Times New Roman"/>
          <w:color w:val="auto"/>
          <w:lang w:eastAsia="en-US"/>
        </w:rPr>
        <w:t>B</w:t>
      </w:r>
      <w:r w:rsidR="00242DA0" w:rsidRPr="00DE12A3">
        <w:rPr>
          <w:rFonts w:eastAsia="Times New Roman" w:cs="Times New Roman"/>
          <w:color w:val="auto"/>
          <w:lang w:eastAsia="en-US"/>
        </w:rPr>
        <w:t>urada:</w:t>
      </w:r>
    </w:p>
    <w:p w14:paraId="7B3D53A9" w14:textId="77777777" w:rsidR="002D7B36" w:rsidRPr="00DE12A3" w:rsidRDefault="002D7B36" w:rsidP="00C917D6">
      <w:pPr>
        <w:pStyle w:val="ListeParagraf"/>
        <w:spacing w:before="120" w:after="120"/>
        <w:ind w:left="1134"/>
        <w:jc w:val="both"/>
        <w:rPr>
          <w:rFonts w:eastAsia="Times New Roman" w:cs="Times New Roman"/>
          <w:color w:val="auto"/>
          <w:lang w:eastAsia="en-US"/>
        </w:rPr>
      </w:pPr>
    </w:p>
    <w:p w14:paraId="7ABF8070" w14:textId="6898BD87" w:rsidR="002D7B36" w:rsidRPr="00DE12A3" w:rsidRDefault="00242DA0" w:rsidP="00C917D6">
      <w:pPr>
        <w:pStyle w:val="ListeParagraf"/>
        <w:spacing w:before="120" w:after="120"/>
        <w:ind w:left="1134"/>
        <w:jc w:val="both"/>
        <w:rPr>
          <w:rFonts w:eastAsia="Times New Roman" w:cs="Times New Roman"/>
          <w:color w:val="auto"/>
          <w:lang w:eastAsia="en-US"/>
        </w:rPr>
      </w:pPr>
      <w:r w:rsidRPr="00DE12A3">
        <w:rPr>
          <w:rFonts w:eastAsia="Times New Roman" w:cs="Times New Roman"/>
          <w:i/>
          <w:iCs/>
          <w:color w:val="auto"/>
          <w:lang w:eastAsia="en-US"/>
        </w:rPr>
        <w:t>n</w:t>
      </w:r>
      <w:r w:rsidRPr="00DE12A3">
        <w:rPr>
          <w:rFonts w:eastAsia="Times New Roman" w:cs="Times New Roman"/>
          <w:color w:val="auto"/>
          <w:vertAlign w:val="subscript"/>
          <w:lang w:eastAsia="en-US"/>
        </w:rPr>
        <w:t>hi</w:t>
      </w:r>
      <w:r w:rsidRPr="00DE12A3">
        <w:rPr>
          <w:rFonts w:eastAsia="Times New Roman" w:cs="Times New Roman"/>
          <w:color w:val="auto"/>
          <w:lang w:eastAsia="en-US"/>
        </w:rPr>
        <w:tab/>
        <w:t xml:space="preserve">  </w:t>
      </w:r>
      <w:r w:rsidR="00DD44B6" w:rsidRPr="00DE12A3">
        <w:rPr>
          <w:rFonts w:eastAsia="Times New Roman" w:cs="Times New Roman"/>
          <w:color w:val="auto"/>
          <w:lang w:eastAsia="en-US"/>
        </w:rPr>
        <w:t xml:space="preserve">= </w:t>
      </w:r>
      <w:r w:rsidRPr="00DE12A3">
        <w:rPr>
          <w:rFonts w:eastAsia="Times New Roman" w:cs="Times New Roman"/>
          <w:color w:val="auto"/>
          <w:lang w:eastAsia="en-US"/>
        </w:rPr>
        <w:t>yüksek devir</w:t>
      </w:r>
    </w:p>
    <w:p w14:paraId="1FAF473E" w14:textId="77777777" w:rsidR="002D7B36" w:rsidRPr="00DE12A3" w:rsidRDefault="002D7B36" w:rsidP="00C917D6">
      <w:pPr>
        <w:pStyle w:val="ListeParagraf"/>
        <w:spacing w:before="120" w:after="120"/>
        <w:ind w:left="1134"/>
        <w:jc w:val="both"/>
        <w:rPr>
          <w:rFonts w:eastAsia="Times New Roman" w:cs="Times New Roman"/>
          <w:color w:val="auto"/>
          <w:lang w:eastAsia="en-US"/>
        </w:rPr>
      </w:pPr>
    </w:p>
    <w:p w14:paraId="224CE76C" w14:textId="46ABD961" w:rsidR="002D7B36" w:rsidRPr="00DE12A3" w:rsidRDefault="00242DA0" w:rsidP="00C917D6">
      <w:pPr>
        <w:pStyle w:val="ListeParagraf"/>
        <w:spacing w:before="120" w:after="120"/>
        <w:ind w:left="1134"/>
        <w:jc w:val="both"/>
        <w:rPr>
          <w:rFonts w:eastAsia="Times New Roman" w:cs="Times New Roman"/>
          <w:color w:val="auto"/>
          <w:lang w:eastAsia="en-US"/>
        </w:rPr>
      </w:pPr>
      <w:r w:rsidRPr="00DE12A3">
        <w:rPr>
          <w:rFonts w:eastAsia="Times New Roman" w:cs="Times New Roman"/>
          <w:i/>
          <w:iCs/>
          <w:color w:val="auto"/>
          <w:lang w:eastAsia="en-US"/>
        </w:rPr>
        <w:t>n</w:t>
      </w:r>
      <w:r w:rsidRPr="00DE12A3">
        <w:rPr>
          <w:rFonts w:eastAsia="Times New Roman" w:cs="Times New Roman"/>
          <w:i/>
          <w:iCs/>
          <w:color w:val="auto"/>
          <w:vertAlign w:val="subscript"/>
          <w:lang w:eastAsia="en-US"/>
        </w:rPr>
        <w:t>lo</w:t>
      </w:r>
      <w:r w:rsidRPr="00DE12A3">
        <w:rPr>
          <w:rFonts w:eastAsia="Times New Roman" w:cs="Times New Roman"/>
          <w:color w:val="auto"/>
          <w:lang w:eastAsia="en-US"/>
        </w:rPr>
        <w:t xml:space="preserve"> </w:t>
      </w:r>
      <w:r w:rsidR="00DD44B6" w:rsidRPr="00DE12A3">
        <w:rPr>
          <w:rFonts w:eastAsia="Times New Roman" w:cs="Times New Roman"/>
          <w:color w:val="auto"/>
          <w:lang w:eastAsia="en-US"/>
        </w:rPr>
        <w:t xml:space="preserve">= </w:t>
      </w:r>
      <w:r w:rsidRPr="00DE12A3">
        <w:rPr>
          <w:rFonts w:eastAsia="Times New Roman" w:cs="Times New Roman"/>
          <w:color w:val="auto"/>
          <w:lang w:eastAsia="en-US"/>
        </w:rPr>
        <w:t>düşük devir</w:t>
      </w:r>
    </w:p>
    <w:p w14:paraId="7B56E22A" w14:textId="77777777" w:rsidR="002D7B36" w:rsidRPr="00DE12A3" w:rsidRDefault="002D7B36" w:rsidP="00C917D6">
      <w:pPr>
        <w:pStyle w:val="ListeParagraf"/>
        <w:spacing w:before="120" w:after="120"/>
        <w:ind w:left="1134" w:hanging="1134"/>
        <w:jc w:val="both"/>
        <w:rPr>
          <w:rFonts w:eastAsia="Times New Roman" w:cs="Times New Roman"/>
          <w:color w:val="auto"/>
          <w:lang w:eastAsia="en-US"/>
        </w:rPr>
      </w:pPr>
    </w:p>
    <w:p w14:paraId="4F2F4D7C" w14:textId="77777777" w:rsidR="002D7B36" w:rsidRPr="00DE12A3" w:rsidRDefault="002D7B36" w:rsidP="00E20716">
      <w:pPr>
        <w:pStyle w:val="ListeParagraf"/>
        <w:numPr>
          <w:ilvl w:val="0"/>
          <w:numId w:val="117"/>
        </w:numPr>
        <w:spacing w:before="120" w:after="120"/>
        <w:ind w:left="1134" w:hanging="1134"/>
        <w:jc w:val="both"/>
        <w:rPr>
          <w:rFonts w:eastAsia="Times New Roman" w:cs="Times New Roman"/>
          <w:vanish/>
          <w:color w:val="auto"/>
          <w:lang w:eastAsia="en-US"/>
        </w:rPr>
      </w:pPr>
    </w:p>
    <w:p w14:paraId="64BC5AFF" w14:textId="0482DDD4" w:rsidR="002D7B36" w:rsidRPr="00DE12A3" w:rsidRDefault="00242DA0" w:rsidP="00E20716">
      <w:pPr>
        <w:pStyle w:val="ListeParagraf"/>
        <w:numPr>
          <w:ilvl w:val="0"/>
          <w:numId w:val="117"/>
        </w:numPr>
        <w:spacing w:before="120" w:after="120"/>
        <w:ind w:left="1134"/>
        <w:jc w:val="both"/>
        <w:rPr>
          <w:rFonts w:eastAsia="Times New Roman" w:cs="Times New Roman"/>
          <w:color w:val="auto"/>
          <w:lang w:eastAsia="en-US"/>
        </w:rPr>
      </w:pPr>
      <w:r w:rsidRPr="00DE12A3">
        <w:rPr>
          <w:rFonts w:eastAsia="Times New Roman" w:cs="Times New Roman"/>
          <w:color w:val="auto"/>
          <w:lang w:eastAsia="en-US"/>
        </w:rPr>
        <w:t>En uzun vektör yöntemi esasında hesaplama</w:t>
      </w:r>
      <w:r w:rsidR="00DD44B6" w:rsidRPr="00DE12A3">
        <w:rPr>
          <w:rFonts w:eastAsia="Times New Roman" w:cs="Times New Roman"/>
          <w:color w:val="auto"/>
          <w:lang w:eastAsia="en-US"/>
        </w:rPr>
        <w:t>;</w:t>
      </w:r>
    </w:p>
    <w:p w14:paraId="28FBD762" w14:textId="77777777" w:rsidR="002D7B36" w:rsidRPr="00DE12A3" w:rsidRDefault="002D7B36" w:rsidP="00C917D6">
      <w:pPr>
        <w:pStyle w:val="ListeParagraf"/>
        <w:spacing w:before="120" w:after="120"/>
        <w:ind w:left="1134"/>
        <w:jc w:val="both"/>
        <w:rPr>
          <w:rFonts w:eastAsia="Times New Roman" w:cs="Times New Roman"/>
          <w:color w:val="auto"/>
          <w:lang w:eastAsia="en-US"/>
        </w:rPr>
      </w:pPr>
    </w:p>
    <w:p w14:paraId="60828FE9" w14:textId="77777777" w:rsidR="006A293D" w:rsidRPr="00DE12A3" w:rsidRDefault="006A293D" w:rsidP="00C917D6">
      <w:pPr>
        <w:pStyle w:val="ListeParagraf"/>
        <w:spacing w:before="120" w:after="120"/>
        <w:ind w:left="1134"/>
        <w:jc w:val="both"/>
        <w:rPr>
          <w:rFonts w:eastAsia="Times New Roman" w:cs="Times New Roman"/>
          <w:color w:val="auto"/>
          <w:lang w:eastAsia="en-US"/>
        </w:rPr>
      </w:pPr>
    </w:p>
    <w:tbl>
      <w:tblPr>
        <w:tblW w:w="0" w:type="auto"/>
        <w:jc w:val="center"/>
        <w:tblLayout w:type="fixed"/>
        <w:tblLook w:val="0000" w:firstRow="0" w:lastRow="0" w:firstColumn="0" w:lastColumn="0" w:noHBand="0" w:noVBand="0"/>
      </w:tblPr>
      <w:tblGrid>
        <w:gridCol w:w="2742"/>
        <w:gridCol w:w="1830"/>
      </w:tblGrid>
      <w:tr w:rsidR="006A293D" w:rsidRPr="00DE12A3" w14:paraId="16A7E241" w14:textId="77777777" w:rsidTr="004F6E3B">
        <w:trPr>
          <w:trHeight w:val="699"/>
          <w:jc w:val="center"/>
        </w:trPr>
        <w:tc>
          <w:tcPr>
            <w:tcW w:w="2742" w:type="dxa"/>
          </w:tcPr>
          <w:p w14:paraId="0BD7B829" w14:textId="77777777" w:rsidR="006A293D" w:rsidRPr="00DE12A3" w:rsidRDefault="006A293D" w:rsidP="00C917D6">
            <w:pPr>
              <w:pStyle w:val="NormalLeft"/>
            </w:pPr>
            <w:r w:rsidRPr="00DE12A3">
              <w:t xml:space="preserve">MTS = </w:t>
            </w:r>
            <w:r w:rsidRPr="00DE12A3">
              <w:rPr>
                <w:i/>
                <w:iCs/>
              </w:rPr>
              <w:t>n</w:t>
            </w:r>
            <w:r w:rsidRPr="00DE12A3">
              <w:rPr>
                <w:i/>
                <w:iCs/>
                <w:vertAlign w:val="subscript"/>
              </w:rPr>
              <w:t>i</w:t>
            </w:r>
          </w:p>
        </w:tc>
        <w:tc>
          <w:tcPr>
            <w:tcW w:w="1830" w:type="dxa"/>
          </w:tcPr>
          <w:p w14:paraId="6DC0C08D" w14:textId="77777777" w:rsidR="006A293D" w:rsidRPr="00DE12A3" w:rsidRDefault="006A293D" w:rsidP="00C917D6">
            <w:pPr>
              <w:pStyle w:val="NormalLeft"/>
            </w:pPr>
            <w:r w:rsidRPr="00DE12A3">
              <w:t>(6-2)</w:t>
            </w:r>
          </w:p>
        </w:tc>
      </w:tr>
    </w:tbl>
    <w:p w14:paraId="419F82FF" w14:textId="77777777" w:rsidR="006A293D" w:rsidRPr="00DE12A3" w:rsidRDefault="006A293D" w:rsidP="00C917D6">
      <w:pPr>
        <w:pStyle w:val="ListeParagraf"/>
        <w:spacing w:before="120" w:after="120"/>
        <w:ind w:left="1134"/>
        <w:jc w:val="both"/>
        <w:rPr>
          <w:rFonts w:eastAsia="Times New Roman" w:cs="Times New Roman"/>
          <w:color w:val="auto"/>
          <w:lang w:eastAsia="en-US"/>
        </w:rPr>
      </w:pPr>
    </w:p>
    <w:p w14:paraId="1F7150FF" w14:textId="77777777" w:rsidR="002D7B36" w:rsidRPr="00DE12A3" w:rsidRDefault="00E12A47" w:rsidP="00C917D6">
      <w:pPr>
        <w:pStyle w:val="ListeParagraf"/>
        <w:spacing w:before="120" w:after="120"/>
        <w:ind w:left="1134"/>
        <w:jc w:val="both"/>
        <w:rPr>
          <w:rFonts w:eastAsia="Times New Roman" w:cs="Times New Roman"/>
          <w:color w:val="auto"/>
          <w:lang w:eastAsia="en-US"/>
        </w:rPr>
      </w:pPr>
      <w:r w:rsidRPr="00DE12A3">
        <w:rPr>
          <w:rFonts w:eastAsia="Times New Roman" w:cs="Times New Roman"/>
          <w:color w:val="auto"/>
          <w:lang w:eastAsia="en-US"/>
        </w:rPr>
        <w:t>B</w:t>
      </w:r>
      <w:r w:rsidR="00242DA0" w:rsidRPr="00DE12A3">
        <w:rPr>
          <w:rFonts w:eastAsia="Times New Roman" w:cs="Times New Roman"/>
          <w:color w:val="auto"/>
          <w:lang w:eastAsia="en-US"/>
        </w:rPr>
        <w:t>urada:</w:t>
      </w:r>
    </w:p>
    <w:p w14:paraId="593D10BD" w14:textId="77777777" w:rsidR="002D7B36" w:rsidRPr="00DE12A3" w:rsidRDefault="002D7B36" w:rsidP="00C917D6">
      <w:pPr>
        <w:pStyle w:val="ListeParagraf"/>
        <w:spacing w:before="120" w:after="120"/>
        <w:ind w:left="1134"/>
        <w:jc w:val="both"/>
        <w:rPr>
          <w:rFonts w:eastAsia="Times New Roman" w:cs="Times New Roman"/>
          <w:color w:val="auto"/>
          <w:lang w:eastAsia="en-US"/>
        </w:rPr>
      </w:pPr>
    </w:p>
    <w:p w14:paraId="16B81527" w14:textId="1E02DBD4" w:rsidR="002D7B36" w:rsidRPr="00DE12A3" w:rsidRDefault="00242DA0" w:rsidP="00C917D6">
      <w:pPr>
        <w:pStyle w:val="ListeParagraf"/>
        <w:spacing w:before="120" w:after="120"/>
        <w:ind w:left="1134"/>
        <w:jc w:val="both"/>
        <w:rPr>
          <w:rFonts w:eastAsia="Times New Roman" w:cs="Times New Roman"/>
          <w:color w:val="auto"/>
          <w:lang w:eastAsia="en-US"/>
        </w:rPr>
      </w:pPr>
      <w:r w:rsidRPr="00DE12A3">
        <w:rPr>
          <w:rFonts w:eastAsia="Times New Roman" w:cs="Times New Roman"/>
          <w:i/>
          <w:iCs/>
          <w:color w:val="auto"/>
          <w:lang w:eastAsia="en-US"/>
        </w:rPr>
        <w:t>n</w:t>
      </w:r>
      <w:r w:rsidRPr="00DE12A3">
        <w:rPr>
          <w:rFonts w:eastAsia="Times New Roman" w:cs="Times New Roman"/>
          <w:color w:val="auto"/>
          <w:vertAlign w:val="subscript"/>
          <w:lang w:eastAsia="en-US"/>
        </w:rPr>
        <w:t>i</w:t>
      </w:r>
      <w:bookmarkStart w:id="16" w:name="_Hlk22388515"/>
      <w:r w:rsidRPr="00DE12A3">
        <w:rPr>
          <w:rFonts w:eastAsia="Times New Roman" w:cs="Times New Roman"/>
          <w:color w:val="auto"/>
          <w:lang w:eastAsia="en-US"/>
        </w:rPr>
        <w:tab/>
        <w:t>(</w:t>
      </w:r>
      <w:r w:rsidRPr="00DE12A3">
        <w:rPr>
          <w:rFonts w:eastAsia="Times New Roman" w:cs="Times New Roman"/>
          <w:i/>
          <w:iCs/>
          <w:color w:val="auto"/>
          <w:lang w:eastAsia="en-US"/>
        </w:rPr>
        <w:t>n</w:t>
      </w:r>
      <w:r w:rsidRPr="00DE12A3">
        <w:rPr>
          <w:rFonts w:eastAsia="Times New Roman" w:cs="Times New Roman"/>
          <w:color w:val="auto"/>
          <w:vertAlign w:val="superscript"/>
          <w:lang w:eastAsia="en-US"/>
        </w:rPr>
        <w:t>2</w:t>
      </w:r>
      <w:r w:rsidRPr="00DE12A3">
        <w:rPr>
          <w:rFonts w:eastAsia="Times New Roman" w:cs="Times New Roman"/>
          <w:color w:val="auto"/>
          <w:vertAlign w:val="subscript"/>
          <w:lang w:eastAsia="en-US"/>
        </w:rPr>
        <w:t>norm</w:t>
      </w:r>
      <w:r w:rsidRPr="00DE12A3">
        <w:rPr>
          <w:rFonts w:eastAsia="Times New Roman" w:cs="Times New Roman"/>
          <w:i/>
          <w:iCs/>
          <w:color w:val="auto"/>
          <w:vertAlign w:val="subscript"/>
          <w:lang w:eastAsia="en-US"/>
        </w:rPr>
        <w:t>i</w:t>
      </w:r>
      <w:r w:rsidRPr="00DE12A3">
        <w:rPr>
          <w:rFonts w:eastAsia="Times New Roman" w:cs="Times New Roman"/>
          <w:color w:val="auto"/>
          <w:lang w:eastAsia="en-US"/>
        </w:rPr>
        <w:t xml:space="preserve"> + </w:t>
      </w:r>
      <w:r w:rsidRPr="00DE12A3">
        <w:rPr>
          <w:rFonts w:eastAsia="Times New Roman" w:cs="Times New Roman"/>
          <w:i/>
          <w:iCs/>
          <w:color w:val="auto"/>
          <w:lang w:eastAsia="en-US"/>
        </w:rPr>
        <w:t>P</w:t>
      </w:r>
      <w:r w:rsidRPr="00DE12A3">
        <w:rPr>
          <w:rFonts w:eastAsia="Times New Roman" w:cs="Times New Roman"/>
          <w:color w:val="auto"/>
          <w:vertAlign w:val="superscript"/>
          <w:lang w:eastAsia="en-US"/>
        </w:rPr>
        <w:t>2</w:t>
      </w:r>
      <w:r w:rsidRPr="00DE12A3">
        <w:rPr>
          <w:rFonts w:eastAsia="Times New Roman" w:cs="Times New Roman"/>
          <w:color w:val="auto"/>
          <w:vertAlign w:val="subscript"/>
          <w:lang w:eastAsia="en-US"/>
        </w:rPr>
        <w:t>norm</w:t>
      </w:r>
      <w:r w:rsidRPr="00DE12A3">
        <w:rPr>
          <w:rFonts w:eastAsia="Times New Roman" w:cs="Times New Roman"/>
          <w:i/>
          <w:iCs/>
          <w:color w:val="auto"/>
          <w:vertAlign w:val="subscript"/>
          <w:lang w:eastAsia="en-US"/>
        </w:rPr>
        <w:t>i</w:t>
      </w:r>
      <w:r w:rsidRPr="00DE12A3">
        <w:rPr>
          <w:rFonts w:eastAsia="Times New Roman" w:cs="Times New Roman"/>
          <w:color w:val="auto"/>
          <w:lang w:eastAsia="en-US"/>
        </w:rPr>
        <w:t>) değerinin, azami (</w:t>
      </w:r>
      <w:r w:rsidRPr="00DE12A3">
        <w:rPr>
          <w:rFonts w:eastAsia="Times New Roman" w:cs="Times New Roman"/>
          <w:i/>
          <w:iCs/>
          <w:color w:val="auto"/>
          <w:lang w:eastAsia="en-US"/>
        </w:rPr>
        <w:t>n</w:t>
      </w:r>
      <w:r w:rsidRPr="00DE12A3">
        <w:rPr>
          <w:rFonts w:eastAsia="Times New Roman" w:cs="Times New Roman"/>
          <w:color w:val="auto"/>
          <w:vertAlign w:val="superscript"/>
          <w:lang w:eastAsia="en-US"/>
        </w:rPr>
        <w:t>2</w:t>
      </w:r>
      <w:r w:rsidRPr="00DE12A3">
        <w:rPr>
          <w:rFonts w:eastAsia="Times New Roman" w:cs="Times New Roman"/>
          <w:color w:val="auto"/>
          <w:vertAlign w:val="subscript"/>
          <w:lang w:eastAsia="en-US"/>
        </w:rPr>
        <w:t>norm</w:t>
      </w:r>
      <w:r w:rsidRPr="00DE12A3">
        <w:rPr>
          <w:rFonts w:eastAsia="Times New Roman" w:cs="Times New Roman"/>
          <w:i/>
          <w:iCs/>
          <w:color w:val="auto"/>
          <w:vertAlign w:val="subscript"/>
          <w:lang w:eastAsia="en-US"/>
        </w:rPr>
        <w:t>i</w:t>
      </w:r>
      <w:r w:rsidRPr="00DE12A3">
        <w:rPr>
          <w:rFonts w:eastAsia="Times New Roman" w:cs="Times New Roman"/>
          <w:color w:val="auto"/>
          <w:lang w:eastAsia="en-US"/>
        </w:rPr>
        <w:t xml:space="preserve"> + </w:t>
      </w:r>
      <w:r w:rsidRPr="00DE12A3">
        <w:rPr>
          <w:rFonts w:eastAsia="Times New Roman" w:cs="Times New Roman"/>
          <w:i/>
          <w:iCs/>
          <w:color w:val="auto"/>
          <w:lang w:eastAsia="en-US"/>
        </w:rPr>
        <w:t>P</w:t>
      </w:r>
      <w:r w:rsidRPr="00DE12A3">
        <w:rPr>
          <w:rFonts w:eastAsia="Times New Roman" w:cs="Times New Roman"/>
          <w:color w:val="auto"/>
          <w:vertAlign w:val="superscript"/>
          <w:lang w:eastAsia="en-US"/>
        </w:rPr>
        <w:t>2</w:t>
      </w:r>
      <w:r w:rsidRPr="00DE12A3">
        <w:rPr>
          <w:rFonts w:eastAsia="Times New Roman" w:cs="Times New Roman"/>
          <w:color w:val="auto"/>
          <w:vertAlign w:val="subscript"/>
          <w:lang w:eastAsia="en-US"/>
        </w:rPr>
        <w:t>norm</w:t>
      </w:r>
      <w:r w:rsidRPr="00DE12A3">
        <w:rPr>
          <w:rFonts w:eastAsia="Times New Roman" w:cs="Times New Roman"/>
          <w:i/>
          <w:iCs/>
          <w:color w:val="auto"/>
          <w:vertAlign w:val="subscript"/>
          <w:lang w:eastAsia="en-US"/>
        </w:rPr>
        <w:t>i</w:t>
      </w:r>
      <w:r w:rsidRPr="00DE12A3">
        <w:rPr>
          <w:rFonts w:eastAsia="Times New Roman" w:cs="Times New Roman"/>
          <w:color w:val="auto"/>
          <w:lang w:eastAsia="en-US"/>
        </w:rPr>
        <w:t xml:space="preserve">) değerinin %98'ine eşit olduğu </w:t>
      </w:r>
      <w:bookmarkEnd w:id="16"/>
      <w:r w:rsidRPr="00DE12A3">
        <w:rPr>
          <w:rFonts w:eastAsia="Times New Roman" w:cs="Times New Roman"/>
          <w:color w:val="auto"/>
          <w:lang w:eastAsia="en-US"/>
        </w:rPr>
        <w:t>en düşük ve en yüksek devirlerin ortalamasıdır</w:t>
      </w:r>
      <w:r w:rsidR="00DD44B6" w:rsidRPr="00DE12A3">
        <w:rPr>
          <w:rFonts w:eastAsia="Times New Roman" w:cs="Times New Roman"/>
          <w:color w:val="auto"/>
          <w:lang w:eastAsia="en-US"/>
        </w:rPr>
        <w:t>.</w:t>
      </w:r>
    </w:p>
    <w:p w14:paraId="2F1041A0" w14:textId="77777777" w:rsidR="002D7B36" w:rsidRPr="00DE12A3" w:rsidRDefault="002D7B36" w:rsidP="00C917D6">
      <w:pPr>
        <w:pStyle w:val="ListeParagraf"/>
        <w:spacing w:before="120" w:after="120"/>
        <w:ind w:left="1134"/>
        <w:jc w:val="both"/>
        <w:rPr>
          <w:rFonts w:eastAsia="Times New Roman" w:cs="Times New Roman"/>
          <w:color w:val="auto"/>
          <w:lang w:eastAsia="en-US"/>
        </w:rPr>
      </w:pPr>
    </w:p>
    <w:p w14:paraId="1DB26368" w14:textId="49BF494F" w:rsidR="002D7B36" w:rsidRPr="00DE12A3" w:rsidRDefault="00242DA0" w:rsidP="00C917D6">
      <w:pPr>
        <w:pStyle w:val="ListeParagraf"/>
        <w:spacing w:before="120" w:after="120"/>
        <w:ind w:left="1134"/>
        <w:jc w:val="both"/>
        <w:rPr>
          <w:rFonts w:eastAsia="Times New Roman" w:cs="Times New Roman"/>
          <w:color w:val="auto"/>
          <w:lang w:eastAsia="en-US"/>
        </w:rPr>
      </w:pPr>
      <w:r w:rsidRPr="00DE12A3">
        <w:rPr>
          <w:rFonts w:eastAsia="Times New Roman" w:cs="Times New Roman"/>
          <w:color w:val="auto"/>
          <w:lang w:eastAsia="en-US"/>
        </w:rPr>
        <w:t>(</w:t>
      </w:r>
      <w:r w:rsidRPr="00DE12A3">
        <w:rPr>
          <w:rFonts w:eastAsia="Times New Roman" w:cs="Times New Roman"/>
          <w:i/>
          <w:iCs/>
          <w:color w:val="auto"/>
          <w:lang w:eastAsia="en-US"/>
        </w:rPr>
        <w:t>n</w:t>
      </w:r>
      <w:r w:rsidRPr="00DE12A3">
        <w:rPr>
          <w:rFonts w:eastAsia="Times New Roman" w:cs="Times New Roman"/>
          <w:color w:val="auto"/>
          <w:vertAlign w:val="superscript"/>
          <w:lang w:eastAsia="en-US"/>
        </w:rPr>
        <w:t>2</w:t>
      </w:r>
      <w:r w:rsidRPr="00DE12A3">
        <w:rPr>
          <w:rFonts w:eastAsia="Times New Roman" w:cs="Times New Roman"/>
          <w:color w:val="auto"/>
          <w:vertAlign w:val="subscript"/>
          <w:lang w:eastAsia="en-US"/>
        </w:rPr>
        <w:t>norm</w:t>
      </w:r>
      <w:r w:rsidRPr="00DE12A3">
        <w:rPr>
          <w:rFonts w:eastAsia="Times New Roman" w:cs="Times New Roman"/>
          <w:i/>
          <w:iCs/>
          <w:color w:val="auto"/>
          <w:vertAlign w:val="subscript"/>
          <w:lang w:eastAsia="en-US"/>
        </w:rPr>
        <w:t>i</w:t>
      </w:r>
      <w:r w:rsidRPr="00DE12A3">
        <w:rPr>
          <w:rFonts w:eastAsia="Times New Roman" w:cs="Times New Roman"/>
          <w:color w:val="auto"/>
          <w:lang w:eastAsia="en-US"/>
        </w:rPr>
        <w:t xml:space="preserve"> + </w:t>
      </w:r>
      <w:r w:rsidRPr="00DE12A3">
        <w:rPr>
          <w:rFonts w:eastAsia="Times New Roman" w:cs="Times New Roman"/>
          <w:i/>
          <w:iCs/>
          <w:color w:val="auto"/>
          <w:lang w:eastAsia="en-US"/>
        </w:rPr>
        <w:t>P</w:t>
      </w:r>
      <w:r w:rsidRPr="00DE12A3">
        <w:rPr>
          <w:rFonts w:eastAsia="Times New Roman" w:cs="Times New Roman"/>
          <w:color w:val="auto"/>
          <w:vertAlign w:val="superscript"/>
          <w:lang w:eastAsia="en-US"/>
        </w:rPr>
        <w:t>2</w:t>
      </w:r>
      <w:r w:rsidRPr="00DE12A3">
        <w:rPr>
          <w:rFonts w:eastAsia="Times New Roman" w:cs="Times New Roman"/>
          <w:color w:val="auto"/>
          <w:vertAlign w:val="subscript"/>
          <w:lang w:eastAsia="en-US"/>
        </w:rPr>
        <w:t>norm</w:t>
      </w:r>
      <w:r w:rsidRPr="00DE12A3">
        <w:rPr>
          <w:rFonts w:eastAsia="Times New Roman" w:cs="Times New Roman"/>
          <w:i/>
          <w:iCs/>
          <w:color w:val="auto"/>
          <w:vertAlign w:val="subscript"/>
          <w:lang w:eastAsia="en-US"/>
        </w:rPr>
        <w:t>i</w:t>
      </w:r>
      <w:r w:rsidRPr="00DE12A3">
        <w:rPr>
          <w:rFonts w:eastAsia="Times New Roman" w:cs="Times New Roman"/>
          <w:color w:val="auto"/>
          <w:lang w:eastAsia="en-US"/>
        </w:rPr>
        <w:t>) değerinin, azami (</w:t>
      </w:r>
      <w:r w:rsidRPr="00DE12A3">
        <w:rPr>
          <w:rFonts w:eastAsia="Times New Roman" w:cs="Times New Roman"/>
          <w:i/>
          <w:iCs/>
          <w:color w:val="auto"/>
          <w:lang w:eastAsia="en-US"/>
        </w:rPr>
        <w:t>n</w:t>
      </w:r>
      <w:r w:rsidRPr="00DE12A3">
        <w:rPr>
          <w:rFonts w:eastAsia="Times New Roman" w:cs="Times New Roman"/>
          <w:color w:val="auto"/>
          <w:vertAlign w:val="superscript"/>
          <w:lang w:eastAsia="en-US"/>
        </w:rPr>
        <w:t>2</w:t>
      </w:r>
      <w:r w:rsidRPr="00DE12A3">
        <w:rPr>
          <w:rFonts w:eastAsia="Times New Roman" w:cs="Times New Roman"/>
          <w:color w:val="auto"/>
          <w:vertAlign w:val="subscript"/>
          <w:lang w:eastAsia="en-US"/>
        </w:rPr>
        <w:t>norm</w:t>
      </w:r>
      <w:r w:rsidRPr="00DE12A3">
        <w:rPr>
          <w:rFonts w:eastAsia="Times New Roman" w:cs="Times New Roman"/>
          <w:i/>
          <w:iCs/>
          <w:color w:val="auto"/>
          <w:vertAlign w:val="subscript"/>
          <w:lang w:eastAsia="en-US"/>
        </w:rPr>
        <w:t>i</w:t>
      </w:r>
      <w:r w:rsidRPr="00DE12A3">
        <w:rPr>
          <w:rFonts w:eastAsia="Times New Roman" w:cs="Times New Roman"/>
          <w:color w:val="auto"/>
          <w:lang w:eastAsia="en-US"/>
        </w:rPr>
        <w:t xml:space="preserve"> + </w:t>
      </w:r>
      <w:r w:rsidRPr="00DE12A3">
        <w:rPr>
          <w:rFonts w:eastAsia="Times New Roman" w:cs="Times New Roman"/>
          <w:i/>
          <w:iCs/>
          <w:color w:val="auto"/>
          <w:lang w:eastAsia="en-US"/>
        </w:rPr>
        <w:t>P</w:t>
      </w:r>
      <w:r w:rsidRPr="00DE12A3">
        <w:rPr>
          <w:rFonts w:eastAsia="Times New Roman" w:cs="Times New Roman"/>
          <w:color w:val="auto"/>
          <w:vertAlign w:val="superscript"/>
          <w:lang w:eastAsia="en-US"/>
        </w:rPr>
        <w:t>2</w:t>
      </w:r>
      <w:r w:rsidRPr="00DE12A3">
        <w:rPr>
          <w:rFonts w:eastAsia="Times New Roman" w:cs="Times New Roman"/>
          <w:color w:val="auto"/>
          <w:vertAlign w:val="subscript"/>
          <w:lang w:eastAsia="en-US"/>
        </w:rPr>
        <w:t>norm</w:t>
      </w:r>
      <w:r w:rsidRPr="00DE12A3">
        <w:rPr>
          <w:rFonts w:eastAsia="Times New Roman" w:cs="Times New Roman"/>
          <w:i/>
          <w:iCs/>
          <w:color w:val="auto"/>
          <w:vertAlign w:val="subscript"/>
          <w:lang w:eastAsia="en-US"/>
        </w:rPr>
        <w:t>i</w:t>
      </w:r>
      <w:r w:rsidRPr="00DE12A3">
        <w:rPr>
          <w:rFonts w:eastAsia="Times New Roman" w:cs="Times New Roman"/>
          <w:color w:val="auto"/>
          <w:lang w:eastAsia="en-US"/>
        </w:rPr>
        <w:t>) değerinin %98'ine eşit olduğu tek bir devir varsa</w:t>
      </w:r>
      <w:r w:rsidR="00DD44B6" w:rsidRPr="00DE12A3">
        <w:rPr>
          <w:rFonts w:eastAsia="Times New Roman" w:cs="Times New Roman"/>
          <w:color w:val="auto"/>
          <w:lang w:eastAsia="en-US"/>
        </w:rPr>
        <w:t>;</w:t>
      </w:r>
    </w:p>
    <w:p w14:paraId="5F9C3CCF" w14:textId="77777777" w:rsidR="002D7B36" w:rsidRPr="00DE12A3" w:rsidRDefault="002D7B36" w:rsidP="00C917D6">
      <w:pPr>
        <w:pStyle w:val="ListeParagraf"/>
        <w:spacing w:before="120" w:after="120"/>
        <w:ind w:left="1134"/>
        <w:jc w:val="both"/>
        <w:rPr>
          <w:rFonts w:eastAsia="Times New Roman" w:cs="Times New Roman"/>
          <w:color w:val="auto"/>
          <w:lang w:eastAsia="en-US"/>
        </w:rPr>
      </w:pPr>
    </w:p>
    <w:p w14:paraId="07D5BB9A" w14:textId="77777777" w:rsidR="002D7B36" w:rsidRPr="00DE12A3" w:rsidRDefault="002D7B36" w:rsidP="00C917D6">
      <w:pPr>
        <w:pStyle w:val="ListeParagraf"/>
        <w:spacing w:before="120" w:after="120"/>
        <w:ind w:left="1134"/>
        <w:jc w:val="both"/>
        <w:rPr>
          <w:rFonts w:eastAsia="Times New Roman" w:cs="Times New Roman"/>
          <w:color w:val="auto"/>
          <w:lang w:eastAsia="en-US"/>
        </w:rPr>
      </w:pPr>
    </w:p>
    <w:tbl>
      <w:tblPr>
        <w:tblW w:w="5626" w:type="dxa"/>
        <w:jc w:val="center"/>
        <w:tblLayout w:type="fixed"/>
        <w:tblLook w:val="0000" w:firstRow="0" w:lastRow="0" w:firstColumn="0" w:lastColumn="0" w:noHBand="0" w:noVBand="0"/>
      </w:tblPr>
      <w:tblGrid>
        <w:gridCol w:w="3374"/>
        <w:gridCol w:w="2252"/>
      </w:tblGrid>
      <w:tr w:rsidR="00DE12A3" w:rsidRPr="00DE12A3" w14:paraId="35189F9C" w14:textId="77777777" w:rsidTr="004F6E3B">
        <w:trPr>
          <w:trHeight w:val="993"/>
          <w:jc w:val="center"/>
        </w:trPr>
        <w:tc>
          <w:tcPr>
            <w:tcW w:w="3374" w:type="dxa"/>
          </w:tcPr>
          <w:p w14:paraId="2D8AB3BA" w14:textId="77777777" w:rsidR="004F6E3B" w:rsidRPr="00DE12A3" w:rsidRDefault="004F6E3B" w:rsidP="00C917D6">
            <w:pPr>
              <w:pStyle w:val="NormalLeft"/>
            </w:pPr>
            <w:r w:rsidRPr="00DE12A3">
              <w:t xml:space="preserve">MTS = </w:t>
            </w:r>
            <w:r w:rsidRPr="00DE12A3">
              <w:rPr>
                <w:i/>
                <w:iCs/>
              </w:rPr>
              <w:t>n</w:t>
            </w:r>
            <w:r w:rsidRPr="00DE12A3">
              <w:rPr>
                <w:vertAlign w:val="subscript"/>
              </w:rPr>
              <w:t>i</w:t>
            </w:r>
          </w:p>
        </w:tc>
        <w:tc>
          <w:tcPr>
            <w:tcW w:w="2252" w:type="dxa"/>
          </w:tcPr>
          <w:p w14:paraId="3D1DA390" w14:textId="77777777" w:rsidR="004F6E3B" w:rsidRPr="00DE12A3" w:rsidRDefault="004F6E3B" w:rsidP="00C917D6">
            <w:pPr>
              <w:pStyle w:val="NormalLeft"/>
            </w:pPr>
            <w:r w:rsidRPr="00DE12A3">
              <w:t>(6-3)</w:t>
            </w:r>
          </w:p>
        </w:tc>
      </w:tr>
    </w:tbl>
    <w:p w14:paraId="0CAFE46A" w14:textId="77777777" w:rsidR="002D7B36" w:rsidRPr="00DE12A3" w:rsidRDefault="00E12A47" w:rsidP="00C917D6">
      <w:pPr>
        <w:pStyle w:val="ListeParagraf"/>
        <w:spacing w:before="120" w:after="120"/>
        <w:ind w:left="1134"/>
        <w:jc w:val="both"/>
        <w:rPr>
          <w:rFonts w:eastAsia="Times New Roman" w:cs="Times New Roman"/>
          <w:color w:val="auto"/>
          <w:lang w:eastAsia="en-US"/>
        </w:rPr>
      </w:pPr>
      <w:r w:rsidRPr="00DE12A3">
        <w:rPr>
          <w:rFonts w:eastAsia="Times New Roman" w:cs="Times New Roman"/>
          <w:color w:val="auto"/>
          <w:lang w:eastAsia="en-US"/>
        </w:rPr>
        <w:t>B</w:t>
      </w:r>
      <w:r w:rsidR="00242DA0" w:rsidRPr="00DE12A3">
        <w:rPr>
          <w:rFonts w:eastAsia="Times New Roman" w:cs="Times New Roman"/>
          <w:color w:val="auto"/>
          <w:lang w:eastAsia="en-US"/>
        </w:rPr>
        <w:t>urada:</w:t>
      </w:r>
    </w:p>
    <w:p w14:paraId="52DA6796" w14:textId="77777777" w:rsidR="002D7B36" w:rsidRPr="00DE12A3" w:rsidRDefault="002D7B36" w:rsidP="00C917D6">
      <w:pPr>
        <w:pStyle w:val="ListeParagraf"/>
        <w:spacing w:before="120" w:after="120"/>
        <w:ind w:left="1134"/>
        <w:jc w:val="both"/>
        <w:rPr>
          <w:rFonts w:eastAsia="Times New Roman" w:cs="Times New Roman"/>
          <w:color w:val="auto"/>
          <w:lang w:eastAsia="en-US"/>
        </w:rPr>
      </w:pPr>
    </w:p>
    <w:p w14:paraId="1FC4BE5C" w14:textId="77777777" w:rsidR="002D7B36" w:rsidRPr="00DE12A3" w:rsidRDefault="00242DA0" w:rsidP="00C917D6">
      <w:pPr>
        <w:pStyle w:val="ListeParagraf"/>
        <w:spacing w:before="120" w:after="120"/>
        <w:ind w:left="1134"/>
        <w:jc w:val="both"/>
        <w:rPr>
          <w:rFonts w:eastAsia="Times New Roman" w:cs="Times New Roman"/>
          <w:color w:val="auto"/>
          <w:lang w:eastAsia="en-US"/>
        </w:rPr>
      </w:pPr>
      <w:r w:rsidRPr="00DE12A3">
        <w:rPr>
          <w:rFonts w:eastAsia="Times New Roman" w:cs="Times New Roman"/>
          <w:i/>
          <w:iCs/>
          <w:color w:val="auto"/>
          <w:lang w:eastAsia="en-US"/>
        </w:rPr>
        <w:t>n</w:t>
      </w:r>
      <w:r w:rsidRPr="00DE12A3">
        <w:rPr>
          <w:rFonts w:eastAsia="Times New Roman" w:cs="Times New Roman"/>
          <w:color w:val="auto"/>
          <w:vertAlign w:val="subscript"/>
          <w:lang w:eastAsia="en-US"/>
        </w:rPr>
        <w:t>i</w:t>
      </w:r>
      <w:r w:rsidRPr="00DE12A3">
        <w:rPr>
          <w:rFonts w:eastAsia="Times New Roman" w:cs="Times New Roman"/>
          <w:color w:val="auto"/>
          <w:lang w:eastAsia="en-US"/>
        </w:rPr>
        <w:tab/>
        <w:t>azami (</w:t>
      </w:r>
      <w:r w:rsidRPr="00DE12A3">
        <w:rPr>
          <w:rFonts w:eastAsia="Times New Roman" w:cs="Times New Roman"/>
          <w:i/>
          <w:iCs/>
          <w:color w:val="auto"/>
          <w:lang w:eastAsia="en-US"/>
        </w:rPr>
        <w:t>n</w:t>
      </w:r>
      <w:r w:rsidRPr="00DE12A3">
        <w:rPr>
          <w:rFonts w:eastAsia="Times New Roman" w:cs="Times New Roman"/>
          <w:color w:val="auto"/>
          <w:vertAlign w:val="superscript"/>
          <w:lang w:eastAsia="en-US"/>
        </w:rPr>
        <w:t>2</w:t>
      </w:r>
      <w:r w:rsidRPr="00DE12A3">
        <w:rPr>
          <w:rFonts w:eastAsia="Times New Roman" w:cs="Times New Roman"/>
          <w:color w:val="auto"/>
          <w:vertAlign w:val="subscript"/>
          <w:lang w:eastAsia="en-US"/>
        </w:rPr>
        <w:t>norm</w:t>
      </w:r>
      <w:r w:rsidRPr="00DE12A3">
        <w:rPr>
          <w:rFonts w:eastAsia="Times New Roman" w:cs="Times New Roman"/>
          <w:i/>
          <w:iCs/>
          <w:color w:val="auto"/>
          <w:vertAlign w:val="subscript"/>
          <w:lang w:eastAsia="en-US"/>
        </w:rPr>
        <w:t>i</w:t>
      </w:r>
      <w:r w:rsidRPr="00DE12A3">
        <w:rPr>
          <w:rFonts w:eastAsia="Times New Roman" w:cs="Times New Roman"/>
          <w:color w:val="auto"/>
          <w:lang w:eastAsia="en-US"/>
        </w:rPr>
        <w:t xml:space="preserve"> + </w:t>
      </w:r>
      <w:r w:rsidRPr="00DE12A3">
        <w:rPr>
          <w:rFonts w:eastAsia="Times New Roman" w:cs="Times New Roman"/>
          <w:i/>
          <w:iCs/>
          <w:color w:val="auto"/>
          <w:lang w:eastAsia="en-US"/>
        </w:rPr>
        <w:t>P</w:t>
      </w:r>
      <w:r w:rsidRPr="00DE12A3">
        <w:rPr>
          <w:rFonts w:eastAsia="Times New Roman" w:cs="Times New Roman"/>
          <w:color w:val="auto"/>
          <w:vertAlign w:val="superscript"/>
          <w:lang w:eastAsia="en-US"/>
        </w:rPr>
        <w:t>2</w:t>
      </w:r>
      <w:r w:rsidRPr="00DE12A3">
        <w:rPr>
          <w:rFonts w:eastAsia="Times New Roman" w:cs="Times New Roman"/>
          <w:color w:val="auto"/>
          <w:vertAlign w:val="subscript"/>
          <w:lang w:eastAsia="en-US"/>
        </w:rPr>
        <w:t>norm</w:t>
      </w:r>
      <w:r w:rsidRPr="00DE12A3">
        <w:rPr>
          <w:rFonts w:eastAsia="Times New Roman" w:cs="Times New Roman"/>
          <w:i/>
          <w:iCs/>
          <w:color w:val="auto"/>
          <w:vertAlign w:val="subscript"/>
          <w:lang w:eastAsia="en-US"/>
        </w:rPr>
        <w:t>i</w:t>
      </w:r>
      <w:r w:rsidRPr="00DE12A3">
        <w:rPr>
          <w:rFonts w:eastAsia="Times New Roman" w:cs="Times New Roman"/>
          <w:color w:val="auto"/>
          <w:lang w:eastAsia="en-US"/>
        </w:rPr>
        <w:t>) değerine ulaşılan devirdir.</w:t>
      </w:r>
    </w:p>
    <w:p w14:paraId="59C7933B" w14:textId="77777777" w:rsidR="002D7B36" w:rsidRPr="00DE12A3" w:rsidRDefault="002D7B36" w:rsidP="00C917D6">
      <w:pPr>
        <w:pStyle w:val="ListeParagraf"/>
        <w:spacing w:before="120" w:after="120"/>
        <w:ind w:left="1134"/>
        <w:jc w:val="both"/>
        <w:rPr>
          <w:rFonts w:eastAsia="Times New Roman" w:cs="Times New Roman"/>
          <w:color w:val="auto"/>
          <w:lang w:eastAsia="en-US"/>
        </w:rPr>
      </w:pPr>
    </w:p>
    <w:p w14:paraId="58682708" w14:textId="77777777" w:rsidR="002D7B36" w:rsidRPr="00DE12A3" w:rsidRDefault="00E12A47" w:rsidP="00C917D6">
      <w:pPr>
        <w:pStyle w:val="ListeParagraf"/>
        <w:spacing w:before="120" w:after="120"/>
        <w:ind w:left="1134"/>
        <w:jc w:val="both"/>
        <w:rPr>
          <w:rFonts w:eastAsia="Times New Roman" w:cs="Times New Roman"/>
          <w:color w:val="auto"/>
          <w:lang w:eastAsia="en-US"/>
        </w:rPr>
      </w:pPr>
      <w:r w:rsidRPr="00DE12A3">
        <w:rPr>
          <w:rFonts w:eastAsia="Times New Roman" w:cs="Times New Roman"/>
          <w:color w:val="auto"/>
          <w:lang w:eastAsia="en-US"/>
        </w:rPr>
        <w:t>B</w:t>
      </w:r>
      <w:r w:rsidR="00242DA0" w:rsidRPr="00DE12A3">
        <w:rPr>
          <w:rFonts w:eastAsia="Times New Roman" w:cs="Times New Roman"/>
          <w:color w:val="auto"/>
          <w:lang w:eastAsia="en-US"/>
        </w:rPr>
        <w:t>urada:</w:t>
      </w:r>
    </w:p>
    <w:p w14:paraId="2EAE4DA0" w14:textId="77777777" w:rsidR="002D7B36" w:rsidRPr="00DE12A3" w:rsidRDefault="002D7B36" w:rsidP="00C917D6">
      <w:pPr>
        <w:pStyle w:val="ListeParagraf"/>
        <w:spacing w:before="120" w:after="120"/>
        <w:ind w:left="1134"/>
        <w:jc w:val="both"/>
        <w:rPr>
          <w:rFonts w:eastAsia="Times New Roman" w:cs="Times New Roman"/>
          <w:color w:val="auto"/>
          <w:lang w:eastAsia="en-US"/>
        </w:rPr>
      </w:pPr>
    </w:p>
    <w:p w14:paraId="6FE4C64B" w14:textId="77777777" w:rsidR="002D7B36" w:rsidRPr="00DE12A3" w:rsidRDefault="00242DA0" w:rsidP="00C917D6">
      <w:pPr>
        <w:pStyle w:val="ListeParagraf"/>
        <w:spacing w:before="120" w:after="120"/>
        <w:ind w:left="1134"/>
        <w:jc w:val="both"/>
        <w:rPr>
          <w:rFonts w:eastAsia="Times New Roman" w:cs="Times New Roman"/>
          <w:color w:val="auto"/>
          <w:lang w:eastAsia="en-US"/>
        </w:rPr>
      </w:pPr>
      <w:r w:rsidRPr="00DE12A3">
        <w:rPr>
          <w:rFonts w:eastAsia="Times New Roman" w:cs="Times New Roman"/>
          <w:i/>
          <w:iCs/>
          <w:color w:val="auto"/>
          <w:lang w:eastAsia="en-US"/>
        </w:rPr>
        <w:t>n</w:t>
      </w:r>
      <w:r w:rsidRPr="00DE12A3">
        <w:rPr>
          <w:rFonts w:eastAsia="Times New Roman" w:cs="Times New Roman"/>
          <w:color w:val="auto"/>
          <w:lang w:eastAsia="en-US"/>
        </w:rPr>
        <w:tab/>
        <w:t>motor devridir.</w:t>
      </w:r>
    </w:p>
    <w:p w14:paraId="36981CEA" w14:textId="77777777" w:rsidR="002D7B36" w:rsidRPr="00DE12A3" w:rsidRDefault="002D7B36" w:rsidP="00C917D6">
      <w:pPr>
        <w:pStyle w:val="ListeParagraf"/>
        <w:spacing w:before="120" w:after="120"/>
        <w:ind w:left="1134"/>
        <w:jc w:val="both"/>
        <w:rPr>
          <w:rFonts w:eastAsia="Times New Roman" w:cs="Times New Roman"/>
          <w:color w:val="auto"/>
          <w:lang w:eastAsia="en-US"/>
        </w:rPr>
      </w:pPr>
    </w:p>
    <w:p w14:paraId="049A059E" w14:textId="77777777" w:rsidR="002D7B36" w:rsidRPr="00DE12A3" w:rsidRDefault="00242DA0" w:rsidP="00C917D6">
      <w:pPr>
        <w:pStyle w:val="ListeParagraf"/>
        <w:spacing w:before="120" w:after="120"/>
        <w:ind w:left="1134"/>
        <w:jc w:val="both"/>
        <w:rPr>
          <w:rFonts w:eastAsia="Times New Roman" w:cs="Times New Roman"/>
          <w:color w:val="auto"/>
          <w:lang w:eastAsia="en-US"/>
        </w:rPr>
      </w:pPr>
      <w:r w:rsidRPr="00DE12A3">
        <w:rPr>
          <w:rFonts w:eastAsia="Times New Roman" w:cs="Times New Roman"/>
          <w:i/>
          <w:iCs/>
          <w:color w:val="auto"/>
          <w:lang w:eastAsia="en-US"/>
        </w:rPr>
        <w:t>i</w:t>
      </w:r>
      <w:r w:rsidRPr="00DE12A3">
        <w:rPr>
          <w:rFonts w:eastAsia="Times New Roman" w:cs="Times New Roman"/>
          <w:color w:val="auto"/>
          <w:lang w:eastAsia="en-US"/>
        </w:rPr>
        <w:tab/>
        <w:t>motor eşlemesinin bir kayıtlı değerini temsil eden bir endeks değişkenidir.</w:t>
      </w:r>
    </w:p>
    <w:p w14:paraId="23D63240" w14:textId="77777777" w:rsidR="002D7B36" w:rsidRPr="00DE12A3" w:rsidRDefault="002D7B36" w:rsidP="00C917D6">
      <w:pPr>
        <w:pStyle w:val="ListeParagraf"/>
        <w:spacing w:before="120" w:after="120"/>
        <w:ind w:left="1134"/>
        <w:jc w:val="both"/>
        <w:rPr>
          <w:rFonts w:eastAsia="Times New Roman" w:cs="Times New Roman"/>
          <w:color w:val="auto"/>
          <w:lang w:eastAsia="en-US"/>
        </w:rPr>
      </w:pPr>
    </w:p>
    <w:p w14:paraId="6B528F66" w14:textId="77777777" w:rsidR="002D7B36" w:rsidRPr="00DE12A3" w:rsidRDefault="00242DA0" w:rsidP="00C917D6">
      <w:pPr>
        <w:pStyle w:val="ListeParagraf"/>
        <w:spacing w:before="120" w:after="120"/>
        <w:ind w:left="1134"/>
        <w:jc w:val="both"/>
        <w:rPr>
          <w:rFonts w:eastAsia="Times New Roman" w:cs="Times New Roman"/>
          <w:color w:val="auto"/>
          <w:lang w:eastAsia="en-US"/>
        </w:rPr>
      </w:pPr>
      <w:r w:rsidRPr="00DE12A3">
        <w:rPr>
          <w:rFonts w:eastAsia="Times New Roman" w:cs="Times New Roman"/>
          <w:i/>
          <w:iCs/>
          <w:color w:val="auto"/>
          <w:lang w:eastAsia="en-US"/>
        </w:rPr>
        <w:t>n</w:t>
      </w:r>
      <w:r w:rsidRPr="00DE12A3">
        <w:rPr>
          <w:rFonts w:eastAsia="Times New Roman" w:cs="Times New Roman"/>
          <w:color w:val="auto"/>
          <w:vertAlign w:val="subscript"/>
          <w:lang w:eastAsia="en-US"/>
        </w:rPr>
        <w:t>normi</w:t>
      </w:r>
      <w:r w:rsidRPr="00DE12A3">
        <w:rPr>
          <w:rFonts w:eastAsia="Times New Roman" w:cs="Times New Roman"/>
          <w:color w:val="auto"/>
          <w:vertAlign w:val="subscript"/>
          <w:lang w:eastAsia="en-US"/>
        </w:rPr>
        <w:tab/>
      </w:r>
      <w:r w:rsidRPr="00DE12A3">
        <w:rPr>
          <w:rFonts w:eastAsia="Times New Roman" w:cs="Times New Roman"/>
          <w:i/>
          <w:iCs/>
          <w:color w:val="auto"/>
          <w:lang w:eastAsia="en-US"/>
        </w:rPr>
        <w:t>n</w:t>
      </w:r>
      <w:r w:rsidRPr="00DE12A3">
        <w:rPr>
          <w:rFonts w:eastAsia="Times New Roman" w:cs="Times New Roman"/>
          <w:color w:val="auto"/>
          <w:vertAlign w:val="subscript"/>
          <w:lang w:eastAsia="en-US"/>
        </w:rPr>
        <w:t>P</w:t>
      </w:r>
      <w:r w:rsidRPr="00DE12A3">
        <w:rPr>
          <w:rFonts w:eastAsia="Times New Roman" w:cs="Times New Roman"/>
          <w:i/>
          <w:iCs/>
          <w:color w:val="auto"/>
          <w:vertAlign w:val="subscript"/>
          <w:lang w:eastAsia="en-US"/>
        </w:rPr>
        <w:t>max</w:t>
      </w:r>
      <w:r w:rsidRPr="00DE12A3">
        <w:rPr>
          <w:rFonts w:eastAsia="Times New Roman" w:cs="Times New Roman"/>
          <w:color w:val="auto"/>
          <w:lang w:eastAsia="en-US"/>
        </w:rPr>
        <w:t>'a bölünerek normalize edilmiş bir motor devridir.</w:t>
      </w:r>
    </w:p>
    <w:p w14:paraId="59542733" w14:textId="77777777" w:rsidR="002D7B36" w:rsidRPr="00DE12A3" w:rsidRDefault="002D7B36" w:rsidP="00C917D6">
      <w:pPr>
        <w:pStyle w:val="ListeParagraf"/>
        <w:spacing w:before="120" w:after="120"/>
        <w:ind w:left="1134"/>
        <w:jc w:val="both"/>
        <w:rPr>
          <w:rFonts w:eastAsia="Times New Roman" w:cs="Times New Roman"/>
          <w:color w:val="auto"/>
          <w:lang w:eastAsia="en-US"/>
        </w:rPr>
      </w:pPr>
    </w:p>
    <w:p w14:paraId="0C70C624" w14:textId="77777777" w:rsidR="002D7B36" w:rsidRPr="00DE12A3" w:rsidRDefault="00242DA0" w:rsidP="00C917D6">
      <w:pPr>
        <w:pStyle w:val="ListeParagraf"/>
        <w:spacing w:before="120" w:after="120"/>
        <w:ind w:left="1134"/>
        <w:jc w:val="both"/>
        <w:rPr>
          <w:rFonts w:eastAsia="Times New Roman" w:cs="Times New Roman"/>
          <w:color w:val="auto"/>
          <w:lang w:eastAsia="en-US"/>
        </w:rPr>
      </w:pPr>
      <w:r w:rsidRPr="00DE12A3">
        <w:rPr>
          <w:rFonts w:eastAsia="Times New Roman" w:cs="Times New Roman"/>
          <w:i/>
          <w:iCs/>
          <w:color w:val="auto"/>
          <w:lang w:eastAsia="en-US"/>
        </w:rPr>
        <w:t>P</w:t>
      </w:r>
      <w:r w:rsidRPr="00DE12A3">
        <w:rPr>
          <w:rFonts w:eastAsia="Times New Roman" w:cs="Times New Roman"/>
          <w:color w:val="auto"/>
          <w:vertAlign w:val="subscript"/>
          <w:lang w:eastAsia="en-US"/>
        </w:rPr>
        <w:t>normi</w:t>
      </w:r>
      <w:r w:rsidRPr="00DE12A3">
        <w:rPr>
          <w:rFonts w:eastAsia="Times New Roman" w:cs="Times New Roman"/>
          <w:color w:val="auto"/>
          <w:vertAlign w:val="subscript"/>
          <w:lang w:eastAsia="en-US"/>
        </w:rPr>
        <w:tab/>
      </w:r>
      <w:r w:rsidRPr="00DE12A3">
        <w:rPr>
          <w:rFonts w:eastAsia="Times New Roman" w:cs="Times New Roman"/>
          <w:color w:val="auto"/>
          <w:lang w:eastAsia="en-US"/>
        </w:rPr>
        <w:t>P</w:t>
      </w:r>
      <w:r w:rsidRPr="00DE12A3">
        <w:rPr>
          <w:rFonts w:eastAsia="Times New Roman" w:cs="Times New Roman"/>
          <w:color w:val="auto"/>
          <w:vertAlign w:val="subscript"/>
          <w:lang w:eastAsia="en-US"/>
        </w:rPr>
        <w:t>max</w:t>
      </w:r>
      <w:r w:rsidRPr="00DE12A3">
        <w:rPr>
          <w:rFonts w:eastAsia="Times New Roman" w:cs="Times New Roman"/>
          <w:color w:val="auto"/>
          <w:lang w:eastAsia="en-US"/>
        </w:rPr>
        <w:t>’abölünerek normalize edilmiş bir motor gücüdür.</w:t>
      </w:r>
    </w:p>
    <w:p w14:paraId="5D6E1B28" w14:textId="77777777" w:rsidR="002D7B36" w:rsidRPr="00DE12A3" w:rsidRDefault="002D7B36" w:rsidP="00C917D6">
      <w:pPr>
        <w:pStyle w:val="ListeParagraf"/>
        <w:spacing w:before="120" w:after="120"/>
        <w:ind w:left="1134"/>
        <w:jc w:val="both"/>
        <w:rPr>
          <w:rFonts w:eastAsia="Times New Roman" w:cs="Times New Roman"/>
          <w:color w:val="auto"/>
          <w:lang w:eastAsia="en-US"/>
        </w:rPr>
      </w:pPr>
    </w:p>
    <w:p w14:paraId="6414C3B1" w14:textId="77777777" w:rsidR="002D7B36" w:rsidRPr="00DE12A3" w:rsidRDefault="00242DA0" w:rsidP="00C917D6">
      <w:pPr>
        <w:pStyle w:val="ListeParagraf"/>
        <w:spacing w:before="120" w:after="120"/>
        <w:ind w:left="1134"/>
        <w:jc w:val="both"/>
        <w:rPr>
          <w:rFonts w:eastAsia="Times New Roman" w:cs="Times New Roman"/>
          <w:color w:val="auto"/>
          <w:lang w:eastAsia="en-US"/>
        </w:rPr>
      </w:pPr>
      <w:r w:rsidRPr="00DE12A3">
        <w:rPr>
          <w:rFonts w:eastAsia="Times New Roman" w:cs="Times New Roman"/>
          <w:i/>
          <w:iCs/>
          <w:color w:val="auto"/>
          <w:lang w:eastAsia="en-US"/>
        </w:rPr>
        <w:t>n</w:t>
      </w:r>
      <w:r w:rsidRPr="00DE12A3">
        <w:rPr>
          <w:rFonts w:eastAsia="Times New Roman" w:cs="Times New Roman"/>
          <w:i/>
          <w:iCs/>
          <w:color w:val="auto"/>
          <w:vertAlign w:val="subscript"/>
          <w:lang w:eastAsia="en-US"/>
        </w:rPr>
        <w:t>Pmax</w:t>
      </w:r>
      <w:r w:rsidRPr="00DE12A3">
        <w:rPr>
          <w:rFonts w:eastAsia="Times New Roman" w:cs="Times New Roman"/>
          <w:i/>
          <w:iCs/>
          <w:color w:val="auto"/>
          <w:vertAlign w:val="subscript"/>
          <w:lang w:eastAsia="en-US"/>
        </w:rPr>
        <w:tab/>
      </w:r>
      <w:r w:rsidRPr="00DE12A3">
        <w:rPr>
          <w:rFonts w:eastAsia="Times New Roman" w:cs="Times New Roman"/>
          <w:color w:val="auto"/>
          <w:lang w:eastAsia="en-US"/>
        </w:rPr>
        <w:t>gücün P</w:t>
      </w:r>
      <w:r w:rsidRPr="00DE12A3">
        <w:rPr>
          <w:rFonts w:eastAsia="Times New Roman" w:cs="Times New Roman"/>
          <w:color w:val="auto"/>
          <w:vertAlign w:val="subscript"/>
          <w:lang w:eastAsia="en-US"/>
        </w:rPr>
        <w:t>max</w:t>
      </w:r>
      <w:r w:rsidRPr="00DE12A3">
        <w:rPr>
          <w:rFonts w:eastAsia="Times New Roman" w:cs="Times New Roman"/>
          <w:color w:val="auto"/>
          <w:lang w:eastAsia="en-US"/>
        </w:rPr>
        <w:t>'ın %98'ine eşit olduğu en düşük ve en yüksek devirlerin ortalamasıdır.</w:t>
      </w:r>
    </w:p>
    <w:p w14:paraId="0BA4484D" w14:textId="77777777" w:rsidR="002D7B36" w:rsidRPr="00DE12A3" w:rsidRDefault="002D7B36" w:rsidP="00C917D6">
      <w:pPr>
        <w:pStyle w:val="ListeParagraf"/>
        <w:spacing w:before="120" w:after="120"/>
        <w:ind w:left="1134"/>
        <w:jc w:val="both"/>
        <w:rPr>
          <w:rFonts w:eastAsia="Times New Roman" w:cs="Times New Roman"/>
          <w:color w:val="auto"/>
          <w:lang w:eastAsia="en-US"/>
        </w:rPr>
      </w:pPr>
    </w:p>
    <w:p w14:paraId="38767423" w14:textId="77777777" w:rsidR="002D7B36" w:rsidRPr="00DE12A3" w:rsidRDefault="00242DA0" w:rsidP="00C917D6">
      <w:pPr>
        <w:pStyle w:val="ListeParagraf"/>
        <w:spacing w:before="120" w:after="120"/>
        <w:ind w:left="1134"/>
        <w:jc w:val="both"/>
        <w:rPr>
          <w:rFonts w:eastAsia="Times New Roman" w:cs="Times New Roman"/>
          <w:color w:val="auto"/>
          <w:lang w:eastAsia="en-US"/>
        </w:rPr>
      </w:pPr>
      <w:r w:rsidRPr="00DE12A3">
        <w:rPr>
          <w:rFonts w:eastAsia="Times New Roman" w:cs="Times New Roman"/>
          <w:color w:val="auto"/>
          <w:lang w:eastAsia="en-US"/>
        </w:rPr>
        <w:t>Aşağıdakileri belirlemek için, eşlenmiş değerler arasında doğrusal enterpolasyon kullanılır:</w:t>
      </w:r>
    </w:p>
    <w:p w14:paraId="3352251A" w14:textId="77777777" w:rsidR="002D7B36" w:rsidRPr="00DE12A3" w:rsidRDefault="002D7B36" w:rsidP="00C917D6">
      <w:pPr>
        <w:pStyle w:val="ListeParagraf"/>
        <w:spacing w:before="120" w:after="120"/>
        <w:ind w:left="1134"/>
        <w:jc w:val="both"/>
        <w:rPr>
          <w:rFonts w:eastAsia="Times New Roman" w:cs="Times New Roman"/>
          <w:color w:val="auto"/>
          <w:lang w:eastAsia="en-US"/>
        </w:rPr>
      </w:pPr>
    </w:p>
    <w:p w14:paraId="77F57696" w14:textId="2C8CB25A" w:rsidR="002D7B36" w:rsidRPr="00DE12A3" w:rsidRDefault="003C5E9B" w:rsidP="004D26BE">
      <w:pPr>
        <w:pStyle w:val="ListeParagraf"/>
        <w:numPr>
          <w:ilvl w:val="0"/>
          <w:numId w:val="118"/>
        </w:numPr>
        <w:spacing w:before="120" w:after="120"/>
        <w:ind w:left="1985" w:hanging="284"/>
        <w:jc w:val="both"/>
        <w:rPr>
          <w:rFonts w:eastAsia="Times New Roman" w:cs="Times New Roman"/>
          <w:color w:val="auto"/>
          <w:lang w:eastAsia="en-US"/>
        </w:rPr>
      </w:pPr>
      <w:r w:rsidRPr="00DE12A3">
        <w:rPr>
          <w:rFonts w:eastAsia="Times New Roman" w:cs="Times New Roman"/>
          <w:color w:val="auto"/>
          <w:lang w:eastAsia="en-US"/>
        </w:rPr>
        <w:t>G</w:t>
      </w:r>
      <w:r w:rsidR="00242DA0" w:rsidRPr="00DE12A3">
        <w:rPr>
          <w:rFonts w:eastAsia="Times New Roman" w:cs="Times New Roman"/>
          <w:color w:val="auto"/>
          <w:lang w:eastAsia="en-US"/>
        </w:rPr>
        <w:t>ücün Pmax'ın %98'ine eşit olduğu devirler. Gücün Pmax'ın %98'ine eşit olduğu tek bir devir varsa, n</w:t>
      </w:r>
      <w:r w:rsidR="00242DA0" w:rsidRPr="00DE12A3">
        <w:rPr>
          <w:rFonts w:eastAsia="Times New Roman" w:cs="Times New Roman"/>
          <w:color w:val="auto"/>
          <w:vertAlign w:val="subscript"/>
          <w:lang w:eastAsia="en-US"/>
        </w:rPr>
        <w:t>Pmax</w:t>
      </w:r>
      <w:r w:rsidR="00242DA0" w:rsidRPr="00DE12A3">
        <w:rPr>
          <w:rFonts w:eastAsia="Times New Roman" w:cs="Times New Roman"/>
          <w:color w:val="auto"/>
          <w:lang w:eastAsia="en-US"/>
        </w:rPr>
        <w:t>, Pmax'a ulaşılan devirdir.</w:t>
      </w:r>
    </w:p>
    <w:p w14:paraId="1ED34AE9" w14:textId="77777777" w:rsidR="002D7B36" w:rsidRPr="00DE12A3" w:rsidRDefault="002D7B36" w:rsidP="00C917D6">
      <w:pPr>
        <w:pStyle w:val="ListeParagraf"/>
        <w:spacing w:before="120" w:after="120"/>
        <w:ind w:left="1985" w:hanging="284"/>
        <w:jc w:val="both"/>
        <w:rPr>
          <w:rFonts w:eastAsia="Times New Roman" w:cs="Times New Roman"/>
          <w:color w:val="auto"/>
          <w:lang w:eastAsia="en-US"/>
        </w:rPr>
      </w:pPr>
    </w:p>
    <w:p w14:paraId="2AED8E35" w14:textId="77777777" w:rsidR="002D7B36" w:rsidRPr="00DE12A3" w:rsidRDefault="00242DA0" w:rsidP="00E20716">
      <w:pPr>
        <w:pStyle w:val="ListeParagraf"/>
        <w:numPr>
          <w:ilvl w:val="0"/>
          <w:numId w:val="118"/>
        </w:numPr>
        <w:spacing w:before="120" w:after="120"/>
        <w:ind w:left="1985" w:hanging="284"/>
        <w:jc w:val="both"/>
        <w:rPr>
          <w:rFonts w:eastAsia="Times New Roman" w:cs="Times New Roman"/>
          <w:color w:val="auto"/>
          <w:lang w:eastAsia="en-US"/>
        </w:rPr>
      </w:pPr>
      <w:r w:rsidRPr="00DE12A3">
        <w:rPr>
          <w:rFonts w:eastAsia="Times New Roman" w:cs="Times New Roman"/>
          <w:color w:val="auto"/>
          <w:lang w:eastAsia="en-US"/>
        </w:rPr>
        <w:t>(</w:t>
      </w:r>
      <w:r w:rsidRPr="00DE12A3">
        <w:rPr>
          <w:rFonts w:eastAsia="Times New Roman" w:cs="Times New Roman"/>
          <w:i/>
          <w:iCs/>
          <w:color w:val="auto"/>
          <w:lang w:eastAsia="en-US"/>
        </w:rPr>
        <w:t>n</w:t>
      </w:r>
      <w:r w:rsidRPr="00DE12A3">
        <w:rPr>
          <w:rFonts w:eastAsia="Times New Roman" w:cs="Times New Roman"/>
          <w:color w:val="auto"/>
          <w:vertAlign w:val="superscript"/>
          <w:lang w:eastAsia="en-US"/>
        </w:rPr>
        <w:t>2</w:t>
      </w:r>
      <w:r w:rsidRPr="00DE12A3">
        <w:rPr>
          <w:rFonts w:eastAsia="Times New Roman" w:cs="Times New Roman"/>
          <w:color w:val="auto"/>
          <w:vertAlign w:val="subscript"/>
          <w:lang w:eastAsia="en-US"/>
        </w:rPr>
        <w:t>norm</w:t>
      </w:r>
      <w:r w:rsidRPr="00DE12A3">
        <w:rPr>
          <w:rFonts w:eastAsia="Times New Roman" w:cs="Times New Roman"/>
          <w:i/>
          <w:iCs/>
          <w:color w:val="auto"/>
          <w:vertAlign w:val="subscript"/>
          <w:lang w:eastAsia="en-US"/>
        </w:rPr>
        <w:t>i</w:t>
      </w:r>
      <w:r w:rsidRPr="00DE12A3">
        <w:rPr>
          <w:rFonts w:eastAsia="Times New Roman" w:cs="Times New Roman"/>
          <w:color w:val="auto"/>
          <w:lang w:eastAsia="en-US"/>
        </w:rPr>
        <w:t xml:space="preserve"> + </w:t>
      </w:r>
      <w:r w:rsidRPr="00DE12A3">
        <w:rPr>
          <w:rFonts w:eastAsia="Times New Roman" w:cs="Times New Roman"/>
          <w:i/>
          <w:iCs/>
          <w:color w:val="auto"/>
          <w:lang w:eastAsia="en-US"/>
        </w:rPr>
        <w:t>P</w:t>
      </w:r>
      <w:r w:rsidRPr="00DE12A3">
        <w:rPr>
          <w:rFonts w:eastAsia="Times New Roman" w:cs="Times New Roman"/>
          <w:color w:val="auto"/>
          <w:vertAlign w:val="superscript"/>
          <w:lang w:eastAsia="en-US"/>
        </w:rPr>
        <w:t>2</w:t>
      </w:r>
      <w:r w:rsidRPr="00DE12A3">
        <w:rPr>
          <w:rFonts w:eastAsia="Times New Roman" w:cs="Times New Roman"/>
          <w:color w:val="auto"/>
          <w:vertAlign w:val="subscript"/>
          <w:lang w:eastAsia="en-US"/>
        </w:rPr>
        <w:t>norm</w:t>
      </w:r>
      <w:r w:rsidRPr="00DE12A3">
        <w:rPr>
          <w:rFonts w:eastAsia="Times New Roman" w:cs="Times New Roman"/>
          <w:i/>
          <w:iCs/>
          <w:color w:val="auto"/>
          <w:vertAlign w:val="subscript"/>
          <w:lang w:eastAsia="en-US"/>
        </w:rPr>
        <w:t>i</w:t>
      </w:r>
      <w:r w:rsidRPr="00DE12A3">
        <w:rPr>
          <w:rFonts w:eastAsia="Times New Roman" w:cs="Times New Roman"/>
          <w:color w:val="auto"/>
          <w:lang w:eastAsia="en-US"/>
        </w:rPr>
        <w:t>) değerinin, azami (</w:t>
      </w:r>
      <w:r w:rsidRPr="00DE12A3">
        <w:rPr>
          <w:rFonts w:eastAsia="Times New Roman" w:cs="Times New Roman"/>
          <w:i/>
          <w:iCs/>
          <w:color w:val="auto"/>
          <w:lang w:eastAsia="en-US"/>
        </w:rPr>
        <w:t>n</w:t>
      </w:r>
      <w:r w:rsidRPr="00DE12A3">
        <w:rPr>
          <w:rFonts w:eastAsia="Times New Roman" w:cs="Times New Roman"/>
          <w:color w:val="auto"/>
          <w:vertAlign w:val="superscript"/>
          <w:lang w:eastAsia="en-US"/>
        </w:rPr>
        <w:t>2</w:t>
      </w:r>
      <w:r w:rsidRPr="00DE12A3">
        <w:rPr>
          <w:rFonts w:eastAsia="Times New Roman" w:cs="Times New Roman"/>
          <w:color w:val="auto"/>
          <w:vertAlign w:val="subscript"/>
          <w:lang w:eastAsia="en-US"/>
        </w:rPr>
        <w:t>norm</w:t>
      </w:r>
      <w:r w:rsidRPr="00DE12A3">
        <w:rPr>
          <w:rFonts w:eastAsia="Times New Roman" w:cs="Times New Roman"/>
          <w:i/>
          <w:iCs/>
          <w:color w:val="auto"/>
          <w:vertAlign w:val="subscript"/>
          <w:lang w:eastAsia="en-US"/>
        </w:rPr>
        <w:t>i</w:t>
      </w:r>
      <w:r w:rsidRPr="00DE12A3">
        <w:rPr>
          <w:rFonts w:eastAsia="Times New Roman" w:cs="Times New Roman"/>
          <w:color w:val="auto"/>
          <w:lang w:eastAsia="en-US"/>
        </w:rPr>
        <w:t xml:space="preserve"> + </w:t>
      </w:r>
      <w:r w:rsidRPr="00DE12A3">
        <w:rPr>
          <w:rFonts w:eastAsia="Times New Roman" w:cs="Times New Roman"/>
          <w:i/>
          <w:iCs/>
          <w:color w:val="auto"/>
          <w:lang w:eastAsia="en-US"/>
        </w:rPr>
        <w:t>P</w:t>
      </w:r>
      <w:r w:rsidRPr="00DE12A3">
        <w:rPr>
          <w:rFonts w:eastAsia="Times New Roman" w:cs="Times New Roman"/>
          <w:color w:val="auto"/>
          <w:vertAlign w:val="superscript"/>
          <w:lang w:eastAsia="en-US"/>
        </w:rPr>
        <w:t>2</w:t>
      </w:r>
      <w:r w:rsidRPr="00DE12A3">
        <w:rPr>
          <w:rFonts w:eastAsia="Times New Roman" w:cs="Times New Roman"/>
          <w:color w:val="auto"/>
          <w:vertAlign w:val="subscript"/>
          <w:lang w:eastAsia="en-US"/>
        </w:rPr>
        <w:t>norm</w:t>
      </w:r>
      <w:r w:rsidRPr="00DE12A3">
        <w:rPr>
          <w:rFonts w:eastAsia="Times New Roman" w:cs="Times New Roman"/>
          <w:i/>
          <w:iCs/>
          <w:color w:val="auto"/>
          <w:vertAlign w:val="subscript"/>
          <w:lang w:eastAsia="en-US"/>
        </w:rPr>
        <w:t>i</w:t>
      </w:r>
      <w:r w:rsidRPr="00DE12A3">
        <w:rPr>
          <w:rFonts w:eastAsia="Times New Roman" w:cs="Times New Roman"/>
          <w:color w:val="auto"/>
          <w:lang w:eastAsia="en-US"/>
        </w:rPr>
        <w:t>) değerinin %98'ine eşit olduğu devirler.</w:t>
      </w:r>
    </w:p>
    <w:p w14:paraId="76755E9E" w14:textId="77777777" w:rsidR="002D7B36" w:rsidRPr="00DE12A3" w:rsidRDefault="002D7B36" w:rsidP="00C917D6">
      <w:pPr>
        <w:pStyle w:val="ListeParagraf"/>
        <w:spacing w:before="120" w:after="120"/>
        <w:ind w:left="1134" w:hanging="1134"/>
        <w:jc w:val="both"/>
        <w:rPr>
          <w:rFonts w:eastAsia="Times New Roman" w:cs="Times New Roman"/>
          <w:color w:val="auto"/>
          <w:lang w:eastAsia="en-US"/>
        </w:rPr>
      </w:pPr>
    </w:p>
    <w:p w14:paraId="0FBBCBA9" w14:textId="4A6C4B31" w:rsidR="002D7B36" w:rsidRPr="00DE12A3" w:rsidRDefault="00242DA0" w:rsidP="00E20716">
      <w:pPr>
        <w:pStyle w:val="ListeParagraf"/>
        <w:numPr>
          <w:ilvl w:val="4"/>
          <w:numId w:val="119"/>
        </w:numPr>
        <w:spacing w:before="120" w:after="120"/>
        <w:ind w:left="1134" w:hanging="1134"/>
        <w:jc w:val="both"/>
        <w:rPr>
          <w:rFonts w:eastAsia="Times New Roman" w:cs="Times New Roman"/>
          <w:color w:val="auto"/>
          <w:lang w:eastAsia="en-US"/>
        </w:rPr>
      </w:pPr>
      <w:r w:rsidRPr="00DE12A3">
        <w:rPr>
          <w:rFonts w:eastAsia="Times New Roman" w:cs="Times New Roman"/>
          <w:color w:val="auto"/>
          <w:lang w:eastAsia="en-US"/>
        </w:rPr>
        <w:t>Beyan edilen bir MTS'nin kullanılması 5.2.5.1.1 bendi veya 5.2.5.1.3 bendi uyarınca hesaplanan MTS, imalatçı tarafından beyan edilen MTS'nin ±%3 aralığı içinde ise, emisyon testi için beyan edilen MTS kullanılabilir. Tolerans aşılırsa, emisyon testi için ölçülen MTS kullanılır.</w:t>
      </w:r>
    </w:p>
    <w:p w14:paraId="3280DA67" w14:textId="77777777" w:rsidR="002D7B36" w:rsidRPr="00DE12A3" w:rsidRDefault="002D7B36" w:rsidP="00C917D6">
      <w:pPr>
        <w:pStyle w:val="ListeParagraf"/>
        <w:spacing w:before="120" w:after="120"/>
        <w:ind w:left="1134" w:hanging="1134"/>
        <w:jc w:val="both"/>
        <w:rPr>
          <w:rFonts w:eastAsia="Times New Roman" w:cs="Times New Roman"/>
          <w:color w:val="auto"/>
          <w:lang w:eastAsia="en-US"/>
        </w:rPr>
      </w:pPr>
    </w:p>
    <w:p w14:paraId="14476A40" w14:textId="77777777" w:rsidR="002D7B36" w:rsidRPr="00DE12A3" w:rsidRDefault="00242DA0" w:rsidP="00E20716">
      <w:pPr>
        <w:pStyle w:val="ListeParagraf"/>
        <w:numPr>
          <w:ilvl w:val="4"/>
          <w:numId w:val="119"/>
        </w:numPr>
        <w:spacing w:before="120" w:after="120"/>
        <w:ind w:left="1134" w:hanging="1134"/>
        <w:jc w:val="both"/>
        <w:rPr>
          <w:rFonts w:eastAsia="Times New Roman" w:cs="Times New Roman"/>
          <w:color w:val="auto"/>
          <w:lang w:eastAsia="en-US"/>
        </w:rPr>
      </w:pPr>
      <w:r w:rsidRPr="00DE12A3">
        <w:rPr>
          <w:rFonts w:eastAsia="Times New Roman" w:cs="Times New Roman"/>
          <w:color w:val="auto"/>
          <w:lang w:eastAsia="en-US"/>
        </w:rPr>
        <w:t>Düzeltilmiş bir MTS'nin kullanılması</w:t>
      </w:r>
    </w:p>
    <w:p w14:paraId="12C3E202" w14:textId="77777777" w:rsidR="002D7B36" w:rsidRPr="00DE12A3" w:rsidRDefault="002D7B36" w:rsidP="00C917D6">
      <w:pPr>
        <w:pStyle w:val="ListeParagraf"/>
        <w:spacing w:before="120" w:after="120"/>
        <w:ind w:left="1134" w:hanging="1134"/>
        <w:jc w:val="both"/>
        <w:rPr>
          <w:rFonts w:eastAsia="Times New Roman" w:cs="Times New Roman"/>
          <w:color w:val="auto"/>
          <w:lang w:eastAsia="en-US"/>
        </w:rPr>
      </w:pPr>
    </w:p>
    <w:p w14:paraId="7FC22883" w14:textId="77777777" w:rsidR="002D7B36" w:rsidRPr="00DE12A3" w:rsidRDefault="00242DA0" w:rsidP="00C917D6">
      <w:pPr>
        <w:pStyle w:val="ListeParagraf"/>
        <w:spacing w:before="120" w:after="120"/>
        <w:ind w:left="1134"/>
        <w:jc w:val="both"/>
        <w:rPr>
          <w:rFonts w:eastAsia="Times New Roman" w:cs="Times New Roman"/>
          <w:color w:val="auto"/>
          <w:lang w:eastAsia="en-US"/>
        </w:rPr>
      </w:pPr>
      <w:r w:rsidRPr="00DE12A3">
        <w:rPr>
          <w:rFonts w:eastAsia="Times New Roman" w:cs="Times New Roman"/>
          <w:color w:val="auto"/>
          <w:lang w:eastAsia="en-US"/>
        </w:rPr>
        <w:lastRenderedPageBreak/>
        <w:t>Tam yük eğrisinin aşağı inen kısmı çok dik bir kenara sahipse, bu NRTC'nin %105 devrini doğru şekilde sürmek bakımından sorunlara yol açabilir. Bu durumda, teknik servisin önceden mutabakatı ile, aşağıdaki yöntemlerden biri kullanılarak belirlenen alternatif bir MTS değerinin kullanılmasına izin verilir:</w:t>
      </w:r>
    </w:p>
    <w:p w14:paraId="569915DC" w14:textId="77777777" w:rsidR="002D7B36" w:rsidRPr="00DE12A3" w:rsidRDefault="002D7B36" w:rsidP="00C917D6">
      <w:pPr>
        <w:pStyle w:val="ListeParagraf"/>
        <w:spacing w:before="120" w:after="120"/>
        <w:ind w:left="1134" w:hanging="1134"/>
        <w:jc w:val="both"/>
        <w:rPr>
          <w:rFonts w:eastAsia="Times New Roman" w:cs="Times New Roman"/>
          <w:color w:val="auto"/>
          <w:lang w:eastAsia="en-US"/>
        </w:rPr>
      </w:pPr>
    </w:p>
    <w:p w14:paraId="49E884E5" w14:textId="77777777" w:rsidR="002D7B36" w:rsidRPr="00DE12A3" w:rsidRDefault="00242DA0" w:rsidP="00C917D6">
      <w:pPr>
        <w:pStyle w:val="ListeParagraf"/>
        <w:spacing w:before="120" w:after="120"/>
        <w:ind w:left="1134"/>
        <w:jc w:val="both"/>
        <w:rPr>
          <w:rFonts w:eastAsia="Times New Roman" w:cs="Times New Roman"/>
          <w:color w:val="auto"/>
          <w:lang w:eastAsia="en-US"/>
        </w:rPr>
      </w:pPr>
      <w:r w:rsidRPr="00DE12A3">
        <w:rPr>
          <w:rFonts w:eastAsia="Times New Roman" w:cs="Times New Roman"/>
          <w:color w:val="auto"/>
          <w:lang w:eastAsia="en-US"/>
        </w:rPr>
        <w:t>(a) NRTC'yi doğru şekilde sürülmesini mümkün kılmak amacıyla MTS biraz (azami %3) düşürülebilir.</w:t>
      </w:r>
    </w:p>
    <w:p w14:paraId="783F1536" w14:textId="77777777" w:rsidR="002D7B36" w:rsidRPr="00DE12A3" w:rsidRDefault="002D7B36" w:rsidP="00C917D6">
      <w:pPr>
        <w:pStyle w:val="ListeParagraf"/>
        <w:spacing w:before="120" w:after="120"/>
        <w:ind w:left="1134"/>
        <w:jc w:val="both"/>
        <w:rPr>
          <w:rFonts w:eastAsia="Times New Roman" w:cs="Times New Roman"/>
          <w:color w:val="auto"/>
          <w:lang w:eastAsia="en-US"/>
        </w:rPr>
      </w:pPr>
    </w:p>
    <w:p w14:paraId="271DB886" w14:textId="49C502A0" w:rsidR="002D7B36" w:rsidRPr="00DE12A3" w:rsidRDefault="00242DA0" w:rsidP="00C917D6">
      <w:pPr>
        <w:pStyle w:val="ListeParagraf"/>
        <w:spacing w:before="120" w:after="120"/>
        <w:ind w:left="1134"/>
        <w:jc w:val="both"/>
        <w:rPr>
          <w:rFonts w:eastAsia="Times New Roman" w:cs="Times New Roman"/>
          <w:color w:val="auto"/>
          <w:lang w:eastAsia="en-US"/>
        </w:rPr>
      </w:pPr>
      <w:r w:rsidRPr="00DE12A3">
        <w:rPr>
          <w:rFonts w:eastAsia="Times New Roman" w:cs="Times New Roman"/>
          <w:color w:val="auto"/>
          <w:lang w:eastAsia="en-US"/>
        </w:rPr>
        <w:t xml:space="preserve">(b) (6-4) </w:t>
      </w:r>
      <w:r w:rsidR="005E1C7E" w:rsidRPr="00DE12A3">
        <w:rPr>
          <w:rFonts w:eastAsia="Times New Roman" w:cs="Times New Roman"/>
          <w:color w:val="auto"/>
          <w:lang w:eastAsia="en-US"/>
        </w:rPr>
        <w:t xml:space="preserve">numaralı </w:t>
      </w:r>
      <w:r w:rsidRPr="00DE12A3">
        <w:rPr>
          <w:rFonts w:eastAsia="Times New Roman" w:cs="Times New Roman"/>
          <w:color w:val="auto"/>
          <w:lang w:eastAsia="en-US"/>
        </w:rPr>
        <w:t>denklem ile alternatif bir MTS hesaplayın</w:t>
      </w:r>
      <w:r w:rsidR="00DD44B6" w:rsidRPr="00DE12A3">
        <w:rPr>
          <w:rFonts w:eastAsia="Times New Roman" w:cs="Times New Roman"/>
          <w:color w:val="auto"/>
          <w:lang w:eastAsia="en-US"/>
        </w:rPr>
        <w:t>;</w:t>
      </w:r>
    </w:p>
    <w:p w14:paraId="3A3CA28E" w14:textId="77777777" w:rsidR="002D7B36" w:rsidRPr="00DE12A3" w:rsidRDefault="002D7B36" w:rsidP="00C917D6">
      <w:pPr>
        <w:pStyle w:val="ListeParagraf"/>
        <w:spacing w:before="120" w:after="120"/>
        <w:ind w:left="1134"/>
        <w:jc w:val="both"/>
        <w:rPr>
          <w:rFonts w:eastAsia="Times New Roman" w:cs="Times New Roman"/>
          <w:color w:val="auto"/>
        </w:rPr>
      </w:pPr>
    </w:p>
    <w:tbl>
      <w:tblPr>
        <w:tblW w:w="0" w:type="auto"/>
        <w:jc w:val="center"/>
        <w:tblLayout w:type="fixed"/>
        <w:tblLook w:val="0000" w:firstRow="0" w:lastRow="0" w:firstColumn="0" w:lastColumn="0" w:noHBand="0" w:noVBand="0"/>
      </w:tblPr>
      <w:tblGrid>
        <w:gridCol w:w="5424"/>
        <w:gridCol w:w="1272"/>
      </w:tblGrid>
      <w:tr w:rsidR="00DE12A3" w:rsidRPr="00DE12A3" w14:paraId="20FDA2DF" w14:textId="77777777" w:rsidTr="004F6E3B">
        <w:trPr>
          <w:trHeight w:val="577"/>
          <w:jc w:val="center"/>
        </w:trPr>
        <w:tc>
          <w:tcPr>
            <w:tcW w:w="5424" w:type="dxa"/>
          </w:tcPr>
          <w:p w14:paraId="4334EC11" w14:textId="77777777" w:rsidR="004F6E3B" w:rsidRPr="00DE12A3" w:rsidRDefault="004F6E3B" w:rsidP="00C917D6">
            <w:pPr>
              <w:pStyle w:val="NormalLeft"/>
            </w:pPr>
            <w:r w:rsidRPr="00DE12A3">
              <w:t>MTS = ((</w:t>
            </w:r>
            <w:r w:rsidRPr="00DE12A3">
              <w:rPr>
                <w:i/>
                <w:iCs/>
              </w:rPr>
              <w:t>n</w:t>
            </w:r>
            <w:r w:rsidRPr="00DE12A3">
              <w:rPr>
                <w:vertAlign w:val="subscript"/>
              </w:rPr>
              <w:t>max</w:t>
            </w:r>
            <w:r w:rsidRPr="00DE12A3">
              <w:t xml:space="preserve"> – </w:t>
            </w:r>
            <w:r w:rsidRPr="00DE12A3">
              <w:rPr>
                <w:i/>
                <w:iCs/>
              </w:rPr>
              <w:t>n</w:t>
            </w:r>
            <w:r w:rsidR="00861C3B" w:rsidRPr="00DE12A3">
              <w:rPr>
                <w:vertAlign w:val="subscript"/>
              </w:rPr>
              <w:t>Rölanti</w:t>
            </w:r>
            <w:r w:rsidRPr="00DE12A3">
              <w:t xml:space="preserve">)/1,05) + </w:t>
            </w:r>
            <w:r w:rsidRPr="00DE12A3">
              <w:rPr>
                <w:i/>
                <w:iCs/>
              </w:rPr>
              <w:t>n</w:t>
            </w:r>
            <w:r w:rsidR="00861C3B" w:rsidRPr="00DE12A3">
              <w:rPr>
                <w:vertAlign w:val="subscript"/>
              </w:rPr>
              <w:t>Rölanti</w:t>
            </w:r>
          </w:p>
        </w:tc>
        <w:tc>
          <w:tcPr>
            <w:tcW w:w="1272" w:type="dxa"/>
          </w:tcPr>
          <w:p w14:paraId="605110C8" w14:textId="77777777" w:rsidR="004F6E3B" w:rsidRPr="00DE12A3" w:rsidRDefault="004F6E3B" w:rsidP="00C917D6">
            <w:pPr>
              <w:pStyle w:val="NormalLeft"/>
            </w:pPr>
            <w:r w:rsidRPr="00DE12A3">
              <w:t>(6-4)</w:t>
            </w:r>
          </w:p>
        </w:tc>
      </w:tr>
    </w:tbl>
    <w:p w14:paraId="3D5E132A" w14:textId="77777777" w:rsidR="002D7B36" w:rsidRPr="00DE12A3" w:rsidRDefault="00E12A47" w:rsidP="00C917D6">
      <w:pPr>
        <w:pStyle w:val="Gvdemetni250"/>
        <w:shd w:val="clear" w:color="auto" w:fill="auto"/>
        <w:spacing w:before="120" w:after="120" w:line="240" w:lineRule="auto"/>
        <w:ind w:left="1134" w:firstLine="0"/>
        <w:rPr>
          <w:sz w:val="24"/>
          <w:szCs w:val="24"/>
        </w:rPr>
      </w:pPr>
      <w:r w:rsidRPr="00DE12A3">
        <w:rPr>
          <w:sz w:val="24"/>
          <w:szCs w:val="24"/>
        </w:rPr>
        <w:t>B</w:t>
      </w:r>
      <w:r w:rsidR="00242DA0" w:rsidRPr="00DE12A3">
        <w:rPr>
          <w:sz w:val="24"/>
          <w:szCs w:val="24"/>
        </w:rPr>
        <w:t>urada:</w:t>
      </w:r>
    </w:p>
    <w:p w14:paraId="5D11F70A" w14:textId="77777777" w:rsidR="002D7B36" w:rsidRPr="00DE12A3" w:rsidRDefault="00242DA0" w:rsidP="00C917D6">
      <w:pPr>
        <w:pStyle w:val="Gvdemetni250"/>
        <w:shd w:val="clear" w:color="auto" w:fill="auto"/>
        <w:spacing w:before="120" w:after="120" w:line="240" w:lineRule="auto"/>
        <w:ind w:left="1134" w:firstLine="0"/>
        <w:rPr>
          <w:sz w:val="24"/>
          <w:szCs w:val="24"/>
        </w:rPr>
      </w:pPr>
      <w:r w:rsidRPr="00DE12A3">
        <w:rPr>
          <w:i/>
          <w:iCs/>
          <w:sz w:val="24"/>
          <w:szCs w:val="24"/>
        </w:rPr>
        <w:t>n</w:t>
      </w:r>
      <w:r w:rsidRPr="00DE12A3">
        <w:rPr>
          <w:sz w:val="24"/>
          <w:szCs w:val="24"/>
          <w:vertAlign w:val="subscript"/>
        </w:rPr>
        <w:t>max</w:t>
      </w:r>
      <w:r w:rsidRPr="00DE12A3">
        <w:rPr>
          <w:sz w:val="24"/>
          <w:szCs w:val="24"/>
        </w:rPr>
        <w:t xml:space="preserve"> =</w:t>
      </w:r>
      <w:r w:rsidRPr="00DE12A3">
        <w:rPr>
          <w:sz w:val="24"/>
          <w:szCs w:val="24"/>
        </w:rPr>
        <w:tab/>
      </w:r>
      <w:r w:rsidR="00EF0D08" w:rsidRPr="00DE12A3">
        <w:rPr>
          <w:sz w:val="24"/>
          <w:szCs w:val="24"/>
        </w:rPr>
        <w:t xml:space="preserve">motor kontrol ünitesi </w:t>
      </w:r>
      <w:r w:rsidR="007502D6" w:rsidRPr="00DE12A3">
        <w:rPr>
          <w:sz w:val="24"/>
          <w:szCs w:val="24"/>
        </w:rPr>
        <w:t xml:space="preserve"> </w:t>
      </w:r>
      <w:r w:rsidRPr="00DE12A3">
        <w:rPr>
          <w:sz w:val="24"/>
          <w:szCs w:val="24"/>
        </w:rPr>
        <w:t xml:space="preserve"> işlevinin, motor devrini, azami operatör talebi ve sıfır yük uygulanarak ("azami yüksüz devir") kontrol ettiği motor devridir.</w:t>
      </w:r>
    </w:p>
    <w:p w14:paraId="153F3119" w14:textId="77777777" w:rsidR="002D7B36" w:rsidRPr="00DE12A3" w:rsidRDefault="00242DA0" w:rsidP="00C917D6">
      <w:pPr>
        <w:pStyle w:val="Gvdemetni250"/>
        <w:shd w:val="clear" w:color="auto" w:fill="auto"/>
        <w:spacing w:before="120" w:after="120" w:line="240" w:lineRule="auto"/>
        <w:ind w:left="1134" w:firstLine="0"/>
        <w:rPr>
          <w:sz w:val="24"/>
          <w:szCs w:val="24"/>
        </w:rPr>
      </w:pPr>
      <w:r w:rsidRPr="00DE12A3">
        <w:rPr>
          <w:i/>
          <w:iCs/>
          <w:sz w:val="24"/>
          <w:szCs w:val="24"/>
        </w:rPr>
        <w:t>n</w:t>
      </w:r>
      <w:r w:rsidR="00861C3B" w:rsidRPr="00DE12A3">
        <w:rPr>
          <w:sz w:val="24"/>
          <w:szCs w:val="24"/>
          <w:vertAlign w:val="subscript"/>
        </w:rPr>
        <w:t>Rölanti</w:t>
      </w:r>
      <w:r w:rsidRPr="00DE12A3">
        <w:rPr>
          <w:sz w:val="24"/>
          <w:szCs w:val="24"/>
        </w:rPr>
        <w:t xml:space="preserve"> =</w:t>
      </w:r>
      <w:r w:rsidRPr="00DE12A3">
        <w:rPr>
          <w:sz w:val="24"/>
          <w:szCs w:val="24"/>
        </w:rPr>
        <w:tab/>
        <w:t>rölanti devridir.</w:t>
      </w:r>
    </w:p>
    <w:p w14:paraId="344B463A" w14:textId="77777777" w:rsidR="002D7B36" w:rsidRPr="00DE12A3" w:rsidRDefault="00242DA0" w:rsidP="00E20716">
      <w:pPr>
        <w:pStyle w:val="Gvdemetni250"/>
        <w:numPr>
          <w:ilvl w:val="3"/>
          <w:numId w:val="119"/>
        </w:numPr>
        <w:spacing w:before="120" w:after="120" w:line="240" w:lineRule="auto"/>
        <w:ind w:left="1134" w:hanging="1134"/>
        <w:rPr>
          <w:sz w:val="24"/>
          <w:szCs w:val="24"/>
        </w:rPr>
      </w:pPr>
      <w:r w:rsidRPr="00DE12A3">
        <w:rPr>
          <w:sz w:val="24"/>
          <w:szCs w:val="24"/>
        </w:rPr>
        <w:t>Nominal devir</w:t>
      </w:r>
    </w:p>
    <w:p w14:paraId="46D1F71C" w14:textId="641865B9" w:rsidR="002D7B36" w:rsidRPr="00DE12A3" w:rsidRDefault="00242DA0" w:rsidP="00C917D6">
      <w:pPr>
        <w:pStyle w:val="Gvdemetni250"/>
        <w:spacing w:before="120" w:after="120" w:line="240" w:lineRule="auto"/>
        <w:ind w:left="1134" w:firstLine="0"/>
        <w:rPr>
          <w:sz w:val="24"/>
          <w:szCs w:val="24"/>
        </w:rPr>
      </w:pPr>
      <w:r w:rsidRPr="00DE12A3">
        <w:rPr>
          <w:sz w:val="24"/>
          <w:szCs w:val="24"/>
        </w:rPr>
        <w:t xml:space="preserve">Nominal </w:t>
      </w:r>
      <w:r w:rsidR="006F6A17" w:rsidRPr="00DE12A3">
        <w:rPr>
          <w:sz w:val="24"/>
          <w:szCs w:val="24"/>
        </w:rPr>
        <w:t>devir, 2016</w:t>
      </w:r>
      <w:r w:rsidR="00EE5D5E" w:rsidRPr="00DE12A3">
        <w:rPr>
          <w:sz w:val="24"/>
          <w:szCs w:val="24"/>
        </w:rPr>
        <w:t>/1628/AB Yönetmeliği</w:t>
      </w:r>
      <w:r w:rsidR="00211788" w:rsidRPr="00DE12A3">
        <w:rPr>
          <w:sz w:val="24"/>
          <w:szCs w:val="24"/>
        </w:rPr>
        <w:t>nin</w:t>
      </w:r>
      <w:r w:rsidR="002969F2" w:rsidRPr="00DE12A3">
        <w:rPr>
          <w:sz w:val="24"/>
          <w:szCs w:val="24"/>
        </w:rPr>
        <w:t xml:space="preserve"> </w:t>
      </w:r>
      <w:r w:rsidR="00DD44B6" w:rsidRPr="00DE12A3">
        <w:rPr>
          <w:sz w:val="24"/>
          <w:szCs w:val="24"/>
        </w:rPr>
        <w:t xml:space="preserve">4 üncü </w:t>
      </w:r>
      <w:r w:rsidR="007D2050" w:rsidRPr="00DE12A3">
        <w:rPr>
          <w:sz w:val="24"/>
          <w:szCs w:val="24"/>
        </w:rPr>
        <w:t>maddesi</w:t>
      </w:r>
      <w:r w:rsidR="00211788" w:rsidRPr="00DE12A3">
        <w:rPr>
          <w:sz w:val="24"/>
          <w:szCs w:val="24"/>
        </w:rPr>
        <w:t>nin</w:t>
      </w:r>
      <w:r w:rsidR="007D2050" w:rsidRPr="00DE12A3">
        <w:rPr>
          <w:sz w:val="24"/>
          <w:szCs w:val="24"/>
        </w:rPr>
        <w:t xml:space="preserve"> birinci fıkrası</w:t>
      </w:r>
      <w:r w:rsidR="00DD44B6" w:rsidRPr="00DE12A3">
        <w:rPr>
          <w:sz w:val="24"/>
          <w:szCs w:val="24"/>
        </w:rPr>
        <w:t>nın</w:t>
      </w:r>
      <w:r w:rsidR="007D2050" w:rsidRPr="00DE12A3">
        <w:rPr>
          <w:sz w:val="24"/>
          <w:szCs w:val="24"/>
        </w:rPr>
        <w:t xml:space="preserve"> (</w:t>
      </w:r>
      <w:r w:rsidR="002969F2" w:rsidRPr="00DE12A3">
        <w:rPr>
          <w:sz w:val="24"/>
          <w:szCs w:val="24"/>
        </w:rPr>
        <w:t xml:space="preserve">rr) </w:t>
      </w:r>
      <w:r w:rsidR="007D2050" w:rsidRPr="00DE12A3">
        <w:rPr>
          <w:sz w:val="24"/>
          <w:szCs w:val="24"/>
        </w:rPr>
        <w:t>bendinde</w:t>
      </w:r>
      <w:r w:rsidRPr="00DE12A3">
        <w:rPr>
          <w:sz w:val="24"/>
          <w:szCs w:val="24"/>
        </w:rPr>
        <w:t xml:space="preserve"> tanımlanmıştır. Bu T</w:t>
      </w:r>
      <w:r w:rsidR="00EE5D5E" w:rsidRPr="00DE12A3">
        <w:rPr>
          <w:sz w:val="24"/>
          <w:szCs w:val="24"/>
        </w:rPr>
        <w:t>ebliğde</w:t>
      </w:r>
      <w:r w:rsidRPr="00DE12A3">
        <w:rPr>
          <w:sz w:val="24"/>
          <w:szCs w:val="24"/>
        </w:rPr>
        <w:t xml:space="preserve"> tanımlanan sabit devirli bir NRSC üzerinde test edilenler dışındaki, bir emisyon testine tabi tutulan değişken devirli motorlar için nominal devir, bu Ekin 7.6 bendinde belirtilen geçerli eşleme prosedürü ile belirlenir. Sabit devirli bir NRSC üzerinde test edilen değişken devirli motorlar için nominal devir, motor özelliklerine göre imalatçı tarafından beyan edilir. Sabit devirli motorlar için nominal devir, </w:t>
      </w:r>
      <w:r w:rsidR="00EF0D08" w:rsidRPr="00DE12A3">
        <w:rPr>
          <w:sz w:val="24"/>
          <w:szCs w:val="24"/>
        </w:rPr>
        <w:t>motor kontrol ünitesi özelliklerine</w:t>
      </w:r>
      <w:r w:rsidRPr="00DE12A3">
        <w:rPr>
          <w:sz w:val="24"/>
          <w:szCs w:val="24"/>
        </w:rPr>
        <w:t xml:space="preserve"> göre imalatçı tarafından beyan edilir. </w:t>
      </w:r>
      <w:r w:rsidR="00EE5D5E" w:rsidRPr="00DE12A3">
        <w:rPr>
          <w:sz w:val="24"/>
          <w:szCs w:val="24"/>
        </w:rPr>
        <w:t xml:space="preserve"> 2016/1628/AB Yönetmeliğin</w:t>
      </w:r>
      <w:r w:rsidR="00211788" w:rsidRPr="00DE12A3">
        <w:rPr>
          <w:sz w:val="24"/>
          <w:szCs w:val="24"/>
        </w:rPr>
        <w:t>in</w:t>
      </w:r>
      <w:r w:rsidR="00EE5D5E" w:rsidRPr="00DE12A3">
        <w:rPr>
          <w:sz w:val="24"/>
          <w:szCs w:val="24"/>
        </w:rPr>
        <w:t xml:space="preserve"> </w:t>
      </w:r>
      <w:r w:rsidR="00DD44B6" w:rsidRPr="00DE12A3">
        <w:rPr>
          <w:sz w:val="24"/>
          <w:szCs w:val="24"/>
        </w:rPr>
        <w:t xml:space="preserve">4 üncü </w:t>
      </w:r>
      <w:r w:rsidR="002969F2" w:rsidRPr="00DE12A3">
        <w:rPr>
          <w:sz w:val="24"/>
          <w:szCs w:val="24"/>
        </w:rPr>
        <w:t>maddesi</w:t>
      </w:r>
      <w:r w:rsidR="00211788" w:rsidRPr="00DE12A3">
        <w:rPr>
          <w:sz w:val="24"/>
          <w:szCs w:val="24"/>
        </w:rPr>
        <w:t>nin</w:t>
      </w:r>
      <w:r w:rsidR="002969F2" w:rsidRPr="00DE12A3">
        <w:rPr>
          <w:sz w:val="24"/>
          <w:szCs w:val="24"/>
        </w:rPr>
        <w:t xml:space="preserve"> </w:t>
      </w:r>
      <w:r w:rsidR="007D2050" w:rsidRPr="00DE12A3">
        <w:rPr>
          <w:sz w:val="24"/>
          <w:szCs w:val="24"/>
        </w:rPr>
        <w:t>birinci fıkrası</w:t>
      </w:r>
      <w:r w:rsidR="00DD44B6" w:rsidRPr="00DE12A3">
        <w:rPr>
          <w:sz w:val="24"/>
          <w:szCs w:val="24"/>
        </w:rPr>
        <w:t>nın</w:t>
      </w:r>
      <w:r w:rsidR="007D2050" w:rsidRPr="00DE12A3">
        <w:rPr>
          <w:sz w:val="24"/>
          <w:szCs w:val="24"/>
        </w:rPr>
        <w:t xml:space="preserve"> </w:t>
      </w:r>
      <w:r w:rsidRPr="00DE12A3">
        <w:rPr>
          <w:sz w:val="24"/>
          <w:szCs w:val="24"/>
        </w:rPr>
        <w:t>(</w:t>
      </w:r>
      <w:r w:rsidR="007D2050" w:rsidRPr="00DE12A3">
        <w:rPr>
          <w:sz w:val="24"/>
          <w:szCs w:val="24"/>
        </w:rPr>
        <w:t>ggg</w:t>
      </w:r>
      <w:r w:rsidRPr="00DE12A3">
        <w:rPr>
          <w:sz w:val="24"/>
          <w:szCs w:val="24"/>
        </w:rPr>
        <w:t xml:space="preserve">) </w:t>
      </w:r>
      <w:r w:rsidR="007D2050" w:rsidRPr="00DE12A3">
        <w:rPr>
          <w:sz w:val="24"/>
          <w:szCs w:val="24"/>
        </w:rPr>
        <w:t>bendinde</w:t>
      </w:r>
      <w:r w:rsidRPr="00DE12A3">
        <w:rPr>
          <w:sz w:val="24"/>
          <w:szCs w:val="24"/>
        </w:rPr>
        <w:t xml:space="preserve"> izin verilen alternatif devirlere sahip bir motor tipinin emisyon testine tabi tutulması halinde, her alternatif devir beyan edilmeli ve test edilmelidir.</w:t>
      </w:r>
    </w:p>
    <w:p w14:paraId="0001D76D" w14:textId="17034F5D" w:rsidR="002D7B36" w:rsidRPr="00DE12A3" w:rsidRDefault="00242DA0" w:rsidP="00C917D6">
      <w:pPr>
        <w:pStyle w:val="Gvdemetni250"/>
        <w:spacing w:before="120" w:after="120" w:line="240" w:lineRule="auto"/>
        <w:ind w:left="1134" w:firstLine="0"/>
        <w:rPr>
          <w:sz w:val="24"/>
          <w:szCs w:val="24"/>
        </w:rPr>
      </w:pPr>
      <w:r w:rsidRPr="00DE12A3">
        <w:rPr>
          <w:sz w:val="24"/>
          <w:szCs w:val="24"/>
        </w:rPr>
        <w:t>7.6 b</w:t>
      </w:r>
      <w:r w:rsidR="00B32A92" w:rsidRPr="00DE12A3">
        <w:rPr>
          <w:sz w:val="24"/>
          <w:szCs w:val="24"/>
        </w:rPr>
        <w:t>endinde</w:t>
      </w:r>
      <w:r w:rsidR="00EF6BD1" w:rsidRPr="00DE12A3">
        <w:rPr>
          <w:sz w:val="24"/>
          <w:szCs w:val="24"/>
        </w:rPr>
        <w:t xml:space="preserve"> yer alan</w:t>
      </w:r>
      <w:r w:rsidRPr="00DE12A3">
        <w:rPr>
          <w:sz w:val="24"/>
          <w:szCs w:val="24"/>
        </w:rPr>
        <w:t xml:space="preserve"> eşleme prosedürü ile belirlenen nominal devir, </w:t>
      </w:r>
      <w:r w:rsidR="00EF0D08" w:rsidRPr="00DE12A3">
        <w:rPr>
          <w:sz w:val="24"/>
          <w:szCs w:val="24"/>
        </w:rPr>
        <w:t>motor kontrol ünitesi ile</w:t>
      </w:r>
      <w:r w:rsidRPr="00DE12A3">
        <w:rPr>
          <w:sz w:val="24"/>
          <w:szCs w:val="24"/>
        </w:rPr>
        <w:t xml:space="preserve"> sağlanan NRS kategorisindeki motorlar için imalatçı tarafından beyan edilen değer ±150 rpm aralığı içinde ise veya </w:t>
      </w:r>
      <w:r w:rsidR="00EF0D08" w:rsidRPr="00DE12A3">
        <w:rPr>
          <w:sz w:val="24"/>
          <w:szCs w:val="24"/>
        </w:rPr>
        <w:t>motor kontrol ünitesiz</w:t>
      </w:r>
      <w:r w:rsidRPr="00DE12A3">
        <w:rPr>
          <w:sz w:val="24"/>
          <w:szCs w:val="24"/>
        </w:rPr>
        <w:t xml:space="preserve"> NRS kategorisindeki motorlar için, hangisi daha küçükse, ±350 rpm veya ±%4 aralığı içinde ise veya tüm diğer motor kategorileri için ± 100 rpm aralığı içinde ise, beyan edilen değer </w:t>
      </w:r>
      <w:r w:rsidR="007D2050" w:rsidRPr="00DE12A3">
        <w:rPr>
          <w:sz w:val="24"/>
          <w:szCs w:val="24"/>
        </w:rPr>
        <w:t>kullanılabilir. Tolerans</w:t>
      </w:r>
      <w:r w:rsidRPr="00DE12A3">
        <w:rPr>
          <w:sz w:val="24"/>
          <w:szCs w:val="24"/>
        </w:rPr>
        <w:t xml:space="preserve"> aşılırsa, eşleme prosedürü ile belirlenen nominal devir kullanılır.</w:t>
      </w:r>
    </w:p>
    <w:p w14:paraId="61B21370" w14:textId="77777777" w:rsidR="002D7B36" w:rsidRPr="00DE12A3" w:rsidRDefault="00242DA0" w:rsidP="00C917D6">
      <w:pPr>
        <w:pStyle w:val="Gvdemetni250"/>
        <w:spacing w:before="120" w:after="120" w:line="240" w:lineRule="auto"/>
        <w:ind w:left="1134" w:firstLine="0"/>
        <w:rPr>
          <w:sz w:val="24"/>
          <w:szCs w:val="24"/>
        </w:rPr>
      </w:pPr>
      <w:r w:rsidRPr="00DE12A3">
        <w:rPr>
          <w:sz w:val="24"/>
          <w:szCs w:val="24"/>
        </w:rPr>
        <w:t>NRSh kategorisindeki motorlar için, %100 test devri, imalatçı tarafından beyan edilen nominal devir ±350 rpm aralığı içindedir.</w:t>
      </w:r>
    </w:p>
    <w:p w14:paraId="07A09B4A" w14:textId="77777777" w:rsidR="002D7B36" w:rsidRPr="00DE12A3" w:rsidRDefault="00242DA0" w:rsidP="00C917D6">
      <w:pPr>
        <w:pStyle w:val="Gvdemetni250"/>
        <w:spacing w:before="120" w:after="120" w:line="240" w:lineRule="auto"/>
        <w:ind w:left="1134" w:firstLine="0"/>
        <w:rPr>
          <w:sz w:val="24"/>
          <w:szCs w:val="24"/>
        </w:rPr>
      </w:pPr>
      <w:r w:rsidRPr="00DE12A3">
        <w:rPr>
          <w:sz w:val="24"/>
          <w:szCs w:val="24"/>
        </w:rPr>
        <w:t xml:space="preserve">İsteğe bağlı olarak, herhangi bir </w:t>
      </w:r>
      <w:r w:rsidR="00951351" w:rsidRPr="00DE12A3">
        <w:rPr>
          <w:sz w:val="24"/>
          <w:szCs w:val="24"/>
        </w:rPr>
        <w:t xml:space="preserve">  kararlı </w:t>
      </w:r>
      <w:r w:rsidR="006F6A17" w:rsidRPr="00DE12A3">
        <w:rPr>
          <w:sz w:val="24"/>
          <w:szCs w:val="24"/>
        </w:rPr>
        <w:t>durum test</w:t>
      </w:r>
      <w:r w:rsidRPr="00DE12A3">
        <w:rPr>
          <w:sz w:val="24"/>
          <w:szCs w:val="24"/>
        </w:rPr>
        <w:t xml:space="preserve"> </w:t>
      </w:r>
      <w:r w:rsidR="006F6A17" w:rsidRPr="00DE12A3">
        <w:rPr>
          <w:sz w:val="24"/>
          <w:szCs w:val="24"/>
        </w:rPr>
        <w:t>çevrimi için</w:t>
      </w:r>
      <w:r w:rsidRPr="00DE12A3">
        <w:rPr>
          <w:sz w:val="24"/>
          <w:szCs w:val="24"/>
        </w:rPr>
        <w:t xml:space="preserve"> nominal devir yerine MTS kullanılabilir.</w:t>
      </w:r>
    </w:p>
    <w:p w14:paraId="377220ED" w14:textId="77777777" w:rsidR="002D7B36" w:rsidRPr="00DE12A3" w:rsidRDefault="00242DA0" w:rsidP="00E20716">
      <w:pPr>
        <w:pStyle w:val="Gvdemetni250"/>
        <w:numPr>
          <w:ilvl w:val="3"/>
          <w:numId w:val="119"/>
        </w:numPr>
        <w:spacing w:before="120" w:after="120" w:line="240" w:lineRule="auto"/>
        <w:ind w:left="1134" w:hanging="1134"/>
        <w:rPr>
          <w:sz w:val="24"/>
          <w:szCs w:val="24"/>
        </w:rPr>
      </w:pPr>
      <w:r w:rsidRPr="00DE12A3">
        <w:rPr>
          <w:sz w:val="24"/>
          <w:szCs w:val="24"/>
        </w:rPr>
        <w:t>Değişken devirli motorlar için azami tork devri</w:t>
      </w:r>
    </w:p>
    <w:p w14:paraId="30660308" w14:textId="77777777" w:rsidR="002D7B36" w:rsidRPr="00DE12A3" w:rsidRDefault="00242DA0" w:rsidP="00C917D6">
      <w:pPr>
        <w:pStyle w:val="Gvdemetni250"/>
        <w:spacing w:before="120" w:after="120" w:line="240" w:lineRule="auto"/>
        <w:ind w:left="1134" w:hanging="141"/>
        <w:rPr>
          <w:sz w:val="24"/>
          <w:szCs w:val="24"/>
        </w:rPr>
      </w:pPr>
      <w:r w:rsidRPr="00DE12A3">
        <w:rPr>
          <w:sz w:val="24"/>
          <w:szCs w:val="24"/>
        </w:rPr>
        <w:t xml:space="preserve">       Gerektiğinde, 7.6.1 veya 7.6.2 bendindeki geçerli motor eşleme prosedürü ile oluşturulan azami tork eğrisin ile belirlenen azami tork devri aşağıdakilerden biri olmalıdır:</w:t>
      </w:r>
    </w:p>
    <w:p w14:paraId="548F2910" w14:textId="5279AE51" w:rsidR="002D7B36" w:rsidRPr="00DE12A3" w:rsidRDefault="00653660" w:rsidP="00E20716">
      <w:pPr>
        <w:pStyle w:val="Gvdemetni250"/>
        <w:numPr>
          <w:ilvl w:val="0"/>
          <w:numId w:val="120"/>
        </w:numPr>
        <w:spacing w:before="120" w:after="120" w:line="240" w:lineRule="auto"/>
        <w:ind w:left="1701" w:hanging="567"/>
        <w:rPr>
          <w:sz w:val="24"/>
          <w:szCs w:val="24"/>
        </w:rPr>
      </w:pPr>
      <w:r w:rsidRPr="00DE12A3">
        <w:rPr>
          <w:sz w:val="24"/>
          <w:szCs w:val="24"/>
        </w:rPr>
        <w:t xml:space="preserve"> </w:t>
      </w:r>
      <w:r w:rsidR="00242DA0" w:rsidRPr="00DE12A3">
        <w:rPr>
          <w:sz w:val="24"/>
          <w:szCs w:val="24"/>
        </w:rPr>
        <w:t>En yüksek torkun kaydedildiği devir veya,</w:t>
      </w:r>
    </w:p>
    <w:p w14:paraId="13273EE1" w14:textId="77777777" w:rsidR="002D7B36" w:rsidRPr="00DE12A3" w:rsidRDefault="00242DA0" w:rsidP="00E20716">
      <w:pPr>
        <w:pStyle w:val="Gvdemetni250"/>
        <w:numPr>
          <w:ilvl w:val="0"/>
          <w:numId w:val="120"/>
        </w:numPr>
        <w:spacing w:before="120" w:after="120" w:line="240" w:lineRule="auto"/>
        <w:ind w:left="1701" w:hanging="567"/>
        <w:rPr>
          <w:sz w:val="24"/>
          <w:szCs w:val="24"/>
        </w:rPr>
      </w:pPr>
      <w:r w:rsidRPr="00DE12A3">
        <w:rPr>
          <w:sz w:val="24"/>
          <w:szCs w:val="24"/>
        </w:rPr>
        <w:t>Torkun azami torkun %98'ine eşit olduğu en düşük ve en yüksek devirlerin ortalaması. Gerektiğinde, torkun azami torkun %98'ine eşit olduğu devirleri belirlemek için doğrusal enterpolasyon kullanılır.</w:t>
      </w:r>
    </w:p>
    <w:p w14:paraId="63A3FF13" w14:textId="77777777" w:rsidR="002D7B36" w:rsidRPr="00DE12A3" w:rsidRDefault="00242DA0" w:rsidP="00C917D6">
      <w:pPr>
        <w:pStyle w:val="Gvdemetni250"/>
        <w:spacing w:before="120" w:after="120" w:line="240" w:lineRule="auto"/>
        <w:ind w:left="1134" w:hanging="425"/>
        <w:rPr>
          <w:sz w:val="24"/>
          <w:szCs w:val="24"/>
        </w:rPr>
      </w:pPr>
      <w:r w:rsidRPr="00DE12A3">
        <w:rPr>
          <w:sz w:val="24"/>
          <w:szCs w:val="24"/>
        </w:rPr>
        <w:lastRenderedPageBreak/>
        <w:t xml:space="preserve">       Azami tork eğrisi ile belirlenen azami tork devri, NRS by kategorisindeki motorlar için imalatçı tarafından beyan edilen azami tork devri ±%4 aralığı içinde veya tüm diğer motor kategorileri için imalatçı tarafından beyan edilen azami tork devri ±%2,5 aralığı içinde ise, bu düzenlemenin amacı doğrultusunda beyan edilen değer kullanılabilir. Tolerans aşılırsa, azami tork eğrisi ile belirlenen azami tork devri kullanılır.</w:t>
      </w:r>
    </w:p>
    <w:p w14:paraId="257D64BB" w14:textId="77777777" w:rsidR="002D7B36" w:rsidRPr="00DE12A3" w:rsidRDefault="00242DA0" w:rsidP="00E20716">
      <w:pPr>
        <w:pStyle w:val="Gvdemetni250"/>
        <w:numPr>
          <w:ilvl w:val="3"/>
          <w:numId w:val="119"/>
        </w:numPr>
        <w:spacing w:before="120" w:after="120" w:line="240" w:lineRule="auto"/>
        <w:ind w:left="1134" w:hanging="1134"/>
        <w:rPr>
          <w:sz w:val="24"/>
          <w:szCs w:val="24"/>
        </w:rPr>
      </w:pPr>
      <w:r w:rsidRPr="00DE12A3">
        <w:rPr>
          <w:sz w:val="24"/>
          <w:szCs w:val="24"/>
        </w:rPr>
        <w:t>Ara devir</w:t>
      </w:r>
    </w:p>
    <w:p w14:paraId="568E11D4" w14:textId="77777777" w:rsidR="002D7B36" w:rsidRPr="00DE12A3" w:rsidRDefault="00242DA0" w:rsidP="00C917D6">
      <w:pPr>
        <w:pStyle w:val="Gvdemetni250"/>
        <w:spacing w:before="120" w:after="120" w:line="240" w:lineRule="auto"/>
        <w:ind w:left="1134" w:firstLine="0"/>
        <w:rPr>
          <w:sz w:val="24"/>
          <w:szCs w:val="24"/>
        </w:rPr>
      </w:pPr>
      <w:r w:rsidRPr="00DE12A3">
        <w:rPr>
          <w:sz w:val="24"/>
          <w:szCs w:val="24"/>
        </w:rPr>
        <w:t>Ara devir aşağıdaki şartlardan birini sağlamalıdır:</w:t>
      </w:r>
    </w:p>
    <w:p w14:paraId="234EDF30" w14:textId="75085E80" w:rsidR="002D7B36" w:rsidRPr="00DE12A3" w:rsidRDefault="00653660" w:rsidP="00E20716">
      <w:pPr>
        <w:pStyle w:val="Gvdemetni250"/>
        <w:numPr>
          <w:ilvl w:val="0"/>
          <w:numId w:val="121"/>
        </w:numPr>
        <w:spacing w:before="120" w:after="120" w:line="240" w:lineRule="auto"/>
        <w:ind w:left="1701" w:hanging="567"/>
        <w:rPr>
          <w:sz w:val="24"/>
          <w:szCs w:val="24"/>
        </w:rPr>
      </w:pPr>
      <w:r w:rsidRPr="00DE12A3">
        <w:rPr>
          <w:sz w:val="24"/>
          <w:szCs w:val="24"/>
        </w:rPr>
        <w:t xml:space="preserve">    </w:t>
      </w:r>
      <w:r w:rsidR="00242DA0" w:rsidRPr="00DE12A3">
        <w:rPr>
          <w:sz w:val="24"/>
          <w:szCs w:val="24"/>
        </w:rPr>
        <w:t>Bir tam yük tork eğrisi üzerindeki bir devir aralığında çalışmak üzere tasarlanan motorlarda ara devir, nominal devrin %60 ila %75'i arasında gerçekleşirse, azami tork devridir</w:t>
      </w:r>
      <w:r w:rsidR="00EF6BD1" w:rsidRPr="00DE12A3">
        <w:rPr>
          <w:sz w:val="24"/>
          <w:szCs w:val="24"/>
        </w:rPr>
        <w:t>.</w:t>
      </w:r>
    </w:p>
    <w:p w14:paraId="23D500DE" w14:textId="5D1E4BC9" w:rsidR="002D7B36" w:rsidRPr="00DE12A3" w:rsidRDefault="00242DA0" w:rsidP="00E20716">
      <w:pPr>
        <w:pStyle w:val="Gvdemetni250"/>
        <w:numPr>
          <w:ilvl w:val="0"/>
          <w:numId w:val="121"/>
        </w:numPr>
        <w:spacing w:before="120" w:after="120" w:line="240" w:lineRule="auto"/>
        <w:ind w:left="1701" w:hanging="567"/>
        <w:rPr>
          <w:sz w:val="24"/>
          <w:szCs w:val="24"/>
        </w:rPr>
      </w:pPr>
      <w:r w:rsidRPr="00DE12A3">
        <w:rPr>
          <w:sz w:val="24"/>
          <w:szCs w:val="24"/>
        </w:rPr>
        <w:t>Azami tork devri, nominal devrin %60'ından az ise, o zaman ara devir, nominal devrin %60'ıdır</w:t>
      </w:r>
      <w:r w:rsidR="00EF6BD1" w:rsidRPr="00DE12A3">
        <w:rPr>
          <w:sz w:val="24"/>
          <w:szCs w:val="24"/>
        </w:rPr>
        <w:t>.</w:t>
      </w:r>
    </w:p>
    <w:p w14:paraId="3D8F029D" w14:textId="4ABEB936" w:rsidR="002D7B36" w:rsidRPr="00DE12A3" w:rsidRDefault="00653660" w:rsidP="00E20716">
      <w:pPr>
        <w:pStyle w:val="Gvdemetni250"/>
        <w:numPr>
          <w:ilvl w:val="0"/>
          <w:numId w:val="121"/>
        </w:numPr>
        <w:spacing w:before="120" w:after="120" w:line="240" w:lineRule="auto"/>
        <w:ind w:left="1701" w:hanging="567"/>
        <w:rPr>
          <w:sz w:val="24"/>
          <w:szCs w:val="24"/>
        </w:rPr>
      </w:pPr>
      <w:r w:rsidRPr="00DE12A3">
        <w:rPr>
          <w:sz w:val="24"/>
          <w:szCs w:val="24"/>
        </w:rPr>
        <w:t xml:space="preserve">     </w:t>
      </w:r>
      <w:r w:rsidR="00242DA0" w:rsidRPr="00DE12A3">
        <w:rPr>
          <w:sz w:val="24"/>
          <w:szCs w:val="24"/>
        </w:rPr>
        <w:t>Azami tork devri, nominal devrin %75'inden fazlaysa, o zaman ara devir, nominal devrin %75'idir. Motorun yalnızca nominal devrin %75'inden yüksek devirlerde çalışabildiği durumlarda ara devir, motorun çalıştırılabileceği en düşük devirdir</w:t>
      </w:r>
      <w:r w:rsidR="00EF6BD1" w:rsidRPr="00DE12A3">
        <w:rPr>
          <w:sz w:val="24"/>
          <w:szCs w:val="24"/>
        </w:rPr>
        <w:t>.</w:t>
      </w:r>
    </w:p>
    <w:p w14:paraId="32642331" w14:textId="41D9B2B2" w:rsidR="002D7B36" w:rsidRPr="00DE12A3" w:rsidRDefault="00242DA0" w:rsidP="00C917D6">
      <w:pPr>
        <w:pStyle w:val="Gvdemetni250"/>
        <w:spacing w:before="120" w:after="120" w:line="240" w:lineRule="auto"/>
        <w:ind w:left="1701" w:hanging="567"/>
        <w:rPr>
          <w:sz w:val="24"/>
          <w:szCs w:val="24"/>
        </w:rPr>
      </w:pPr>
      <w:r w:rsidRPr="00DE12A3">
        <w:rPr>
          <w:sz w:val="24"/>
          <w:szCs w:val="24"/>
        </w:rPr>
        <w:t>(d)</w:t>
      </w:r>
      <w:r w:rsidRPr="00DE12A3">
        <w:rPr>
          <w:sz w:val="24"/>
          <w:szCs w:val="24"/>
        </w:rPr>
        <w:tab/>
      </w:r>
      <w:r w:rsidR="006F6A17" w:rsidRPr="00DE12A3">
        <w:rPr>
          <w:sz w:val="24"/>
          <w:szCs w:val="24"/>
        </w:rPr>
        <w:t>K</w:t>
      </w:r>
      <w:r w:rsidR="00951351" w:rsidRPr="00DE12A3">
        <w:rPr>
          <w:sz w:val="24"/>
          <w:szCs w:val="24"/>
        </w:rPr>
        <w:t xml:space="preserve">ararlı </w:t>
      </w:r>
      <w:r w:rsidR="00FD681E" w:rsidRPr="00DE12A3">
        <w:rPr>
          <w:sz w:val="24"/>
          <w:szCs w:val="24"/>
        </w:rPr>
        <w:t>durum şartlarında</w:t>
      </w:r>
      <w:r w:rsidRPr="00DE12A3">
        <w:rPr>
          <w:sz w:val="24"/>
          <w:szCs w:val="24"/>
        </w:rPr>
        <w:t xml:space="preserve"> tam yük tork eğrisi üzerindeki bir devir aralığında çalışmak üzere tasarlanmamış olan motorlarda ara devir, nominal devrin %60 ila %70'i arasındadır.</w:t>
      </w:r>
    </w:p>
    <w:p w14:paraId="46A6E6B1" w14:textId="77777777" w:rsidR="002D7B36" w:rsidRPr="00DE12A3" w:rsidRDefault="00242DA0" w:rsidP="00C917D6">
      <w:pPr>
        <w:pStyle w:val="Gvdemetni250"/>
        <w:spacing w:before="120" w:after="120" w:line="240" w:lineRule="auto"/>
        <w:ind w:left="1701" w:hanging="567"/>
        <w:rPr>
          <w:sz w:val="24"/>
          <w:szCs w:val="24"/>
        </w:rPr>
      </w:pPr>
      <w:r w:rsidRPr="00DE12A3">
        <w:rPr>
          <w:sz w:val="24"/>
          <w:szCs w:val="24"/>
        </w:rPr>
        <w:t>(e)</w:t>
      </w:r>
      <w:r w:rsidRPr="00DE12A3">
        <w:rPr>
          <w:sz w:val="24"/>
          <w:szCs w:val="24"/>
        </w:rPr>
        <w:tab/>
        <w:t xml:space="preserve">ATS kategorisindeki motorlar hariç, G1 </w:t>
      </w:r>
      <w:r w:rsidR="00951351" w:rsidRPr="00DE12A3">
        <w:rPr>
          <w:sz w:val="24"/>
          <w:szCs w:val="24"/>
        </w:rPr>
        <w:t>çevrimi</w:t>
      </w:r>
      <w:r w:rsidRPr="00DE12A3">
        <w:rPr>
          <w:sz w:val="24"/>
          <w:szCs w:val="24"/>
        </w:rPr>
        <w:t>nde test edilecek olan motorlar için ara devir, nominal devrin %85'idir.</w:t>
      </w:r>
    </w:p>
    <w:p w14:paraId="0BECF09E" w14:textId="77777777" w:rsidR="002D7B36" w:rsidRPr="00DE12A3" w:rsidRDefault="00242DA0" w:rsidP="00C917D6">
      <w:pPr>
        <w:pStyle w:val="Gvdemetni250"/>
        <w:spacing w:before="120" w:after="120" w:line="240" w:lineRule="auto"/>
        <w:ind w:left="1701" w:hanging="567"/>
        <w:rPr>
          <w:sz w:val="24"/>
          <w:szCs w:val="24"/>
        </w:rPr>
      </w:pPr>
      <w:r w:rsidRPr="00DE12A3">
        <w:rPr>
          <w:sz w:val="24"/>
          <w:szCs w:val="24"/>
        </w:rPr>
        <w:t>(f)</w:t>
      </w:r>
      <w:r w:rsidRPr="00DE12A3">
        <w:rPr>
          <w:sz w:val="24"/>
          <w:szCs w:val="24"/>
        </w:rPr>
        <w:tab/>
        <w:t xml:space="preserve">G1 </w:t>
      </w:r>
      <w:r w:rsidR="00951351" w:rsidRPr="00DE12A3">
        <w:rPr>
          <w:sz w:val="24"/>
          <w:szCs w:val="24"/>
        </w:rPr>
        <w:t>çevrimi</w:t>
      </w:r>
      <w:r w:rsidRPr="00DE12A3">
        <w:rPr>
          <w:sz w:val="24"/>
          <w:szCs w:val="24"/>
        </w:rPr>
        <w:t>nde test edilen ATS kategorisindeki motorlar için ara devir, gerçek azami tork devrine daha yakın olan nominal devrin %60'ı veya %85'idir.</w:t>
      </w:r>
    </w:p>
    <w:p w14:paraId="1BD7887C" w14:textId="77777777" w:rsidR="002D7B36" w:rsidRPr="00DE12A3" w:rsidRDefault="00242DA0" w:rsidP="00C917D6">
      <w:pPr>
        <w:pStyle w:val="Gvdemetni250"/>
        <w:spacing w:before="120" w:after="120" w:line="240" w:lineRule="auto"/>
        <w:ind w:left="1134" w:firstLine="0"/>
        <w:rPr>
          <w:sz w:val="24"/>
          <w:szCs w:val="24"/>
        </w:rPr>
      </w:pPr>
      <w:r w:rsidRPr="00DE12A3">
        <w:rPr>
          <w:sz w:val="24"/>
          <w:szCs w:val="24"/>
        </w:rPr>
        <w:t>MTS'nin, %100 test devri için nominal devir yerine kullanılması halinde, ara devir belirlenirken MTS aynı zamanda nominal devrin de yerini alır.</w:t>
      </w:r>
    </w:p>
    <w:p w14:paraId="369BC188" w14:textId="77777777" w:rsidR="002D7B36" w:rsidRPr="00DE12A3" w:rsidRDefault="00242DA0" w:rsidP="00E20716">
      <w:pPr>
        <w:pStyle w:val="Gvdemetni250"/>
        <w:numPr>
          <w:ilvl w:val="3"/>
          <w:numId w:val="119"/>
        </w:numPr>
        <w:spacing w:before="120" w:after="120" w:line="240" w:lineRule="auto"/>
        <w:ind w:left="1134" w:hanging="1134"/>
        <w:rPr>
          <w:sz w:val="24"/>
          <w:szCs w:val="24"/>
        </w:rPr>
      </w:pPr>
      <w:r w:rsidRPr="00DE12A3">
        <w:rPr>
          <w:sz w:val="24"/>
          <w:szCs w:val="24"/>
        </w:rPr>
        <w:t>Rölanti devri</w:t>
      </w:r>
    </w:p>
    <w:p w14:paraId="105C58FF" w14:textId="77777777" w:rsidR="002D7B36" w:rsidRPr="00DE12A3" w:rsidRDefault="00653660" w:rsidP="00C917D6">
      <w:pPr>
        <w:pStyle w:val="Gvdemetni250"/>
        <w:spacing w:before="120" w:after="120" w:line="240" w:lineRule="auto"/>
        <w:ind w:left="1134" w:hanging="1134"/>
        <w:rPr>
          <w:sz w:val="24"/>
          <w:szCs w:val="24"/>
        </w:rPr>
      </w:pPr>
      <w:r w:rsidRPr="00DE12A3">
        <w:rPr>
          <w:sz w:val="24"/>
          <w:szCs w:val="24"/>
        </w:rPr>
        <w:t xml:space="preserve">                  </w:t>
      </w:r>
      <w:r w:rsidR="00242DA0" w:rsidRPr="00DE12A3">
        <w:rPr>
          <w:sz w:val="24"/>
          <w:szCs w:val="24"/>
        </w:rPr>
        <w:t xml:space="preserve">Bir </w:t>
      </w:r>
      <w:r w:rsidR="00EF0D08" w:rsidRPr="00DE12A3">
        <w:rPr>
          <w:sz w:val="24"/>
          <w:szCs w:val="24"/>
        </w:rPr>
        <w:t>motor kontrol ünitesi işlevinin</w:t>
      </w:r>
      <w:r w:rsidR="00242DA0" w:rsidRPr="00DE12A3">
        <w:rPr>
          <w:sz w:val="24"/>
          <w:szCs w:val="24"/>
        </w:rPr>
        <w:t xml:space="preserve"> motor devrini kontrol ettiği hallerde rölanti devri, asgari yüke (sıfır veya daha büyük yüke) sahip en düşük motor devridir. Rölanti devrini kontrol eden </w:t>
      </w:r>
      <w:r w:rsidR="00EF0D08" w:rsidRPr="00DE12A3">
        <w:rPr>
          <w:sz w:val="24"/>
          <w:szCs w:val="24"/>
        </w:rPr>
        <w:t>motor kontrol ünitesi</w:t>
      </w:r>
      <w:r w:rsidR="007502D6" w:rsidRPr="00DE12A3">
        <w:rPr>
          <w:sz w:val="24"/>
          <w:szCs w:val="24"/>
        </w:rPr>
        <w:t xml:space="preserve"> </w:t>
      </w:r>
      <w:r w:rsidR="006F6A17" w:rsidRPr="00DE12A3">
        <w:rPr>
          <w:sz w:val="24"/>
          <w:szCs w:val="24"/>
        </w:rPr>
        <w:t>işlevine</w:t>
      </w:r>
      <w:r w:rsidR="00242DA0" w:rsidRPr="00DE12A3">
        <w:rPr>
          <w:sz w:val="24"/>
          <w:szCs w:val="24"/>
        </w:rPr>
        <w:t xml:space="preserve"> sahip olmayan motorlar için rölanti devri, asgari yükte mümkün olan en düşük motor devri için imalatçının beyan ettiği değer anlamına gelir. Sıcak rölanti devrinin, ısınmış bir motorun rölanti devri olduğu unutulmamalıdır.</w:t>
      </w:r>
    </w:p>
    <w:p w14:paraId="41CEF944" w14:textId="77777777" w:rsidR="002D7B36" w:rsidRPr="00DE12A3" w:rsidRDefault="00242DA0" w:rsidP="00E20716">
      <w:pPr>
        <w:pStyle w:val="Gvdemetni250"/>
        <w:numPr>
          <w:ilvl w:val="3"/>
          <w:numId w:val="119"/>
        </w:numPr>
        <w:spacing w:before="120" w:after="120" w:line="240" w:lineRule="auto"/>
        <w:ind w:left="1134" w:hanging="1134"/>
        <w:rPr>
          <w:sz w:val="24"/>
          <w:szCs w:val="24"/>
        </w:rPr>
      </w:pPr>
      <w:r w:rsidRPr="00DE12A3">
        <w:rPr>
          <w:sz w:val="24"/>
          <w:szCs w:val="24"/>
        </w:rPr>
        <w:t>Sabit devirli motorlar için test devri</w:t>
      </w:r>
    </w:p>
    <w:p w14:paraId="3C3D7C3F" w14:textId="117CED9D" w:rsidR="002D7B36" w:rsidRPr="00DE12A3" w:rsidRDefault="00653660" w:rsidP="00C917D6">
      <w:pPr>
        <w:pStyle w:val="Gvdemetni250"/>
        <w:spacing w:before="120" w:after="120" w:line="240" w:lineRule="auto"/>
        <w:ind w:left="1134" w:hanging="1134"/>
        <w:rPr>
          <w:sz w:val="24"/>
          <w:szCs w:val="24"/>
        </w:rPr>
      </w:pPr>
      <w:r w:rsidRPr="00DE12A3">
        <w:rPr>
          <w:sz w:val="24"/>
          <w:szCs w:val="24"/>
        </w:rPr>
        <w:t xml:space="preserve">                   </w:t>
      </w:r>
      <w:r w:rsidR="00242DA0" w:rsidRPr="00DE12A3">
        <w:rPr>
          <w:sz w:val="24"/>
          <w:szCs w:val="24"/>
        </w:rPr>
        <w:t xml:space="preserve">Sabit devirli motorların </w:t>
      </w:r>
      <w:r w:rsidR="00EF0D08" w:rsidRPr="00DE12A3">
        <w:rPr>
          <w:sz w:val="24"/>
          <w:szCs w:val="24"/>
        </w:rPr>
        <w:t>motor kontrol ünitesi</w:t>
      </w:r>
      <w:r w:rsidR="00242DA0" w:rsidRPr="00DE12A3">
        <w:rPr>
          <w:sz w:val="24"/>
          <w:szCs w:val="24"/>
        </w:rPr>
        <w:t xml:space="preserve">, devri her zaman tam olarak sabit tutamayabilir. Tipik olarak devir, asgari devrin motorun azami güç noktası yakınında gerçekleşeceği şekilde, sıfır yükteki devrin %0,1 ila %10 altına düşebilir. Sabit devirli motorlar için test devri, motora takılan </w:t>
      </w:r>
      <w:r w:rsidR="00FD681E" w:rsidRPr="00DE12A3">
        <w:rPr>
          <w:sz w:val="24"/>
          <w:szCs w:val="24"/>
        </w:rPr>
        <w:t>motor kontrol</w:t>
      </w:r>
      <w:r w:rsidR="00EF0D08" w:rsidRPr="00DE12A3">
        <w:rPr>
          <w:sz w:val="24"/>
          <w:szCs w:val="24"/>
        </w:rPr>
        <w:t xml:space="preserve"> ünitesi</w:t>
      </w:r>
      <w:r w:rsidR="007502D6" w:rsidRPr="00DE12A3">
        <w:rPr>
          <w:sz w:val="24"/>
          <w:szCs w:val="24"/>
        </w:rPr>
        <w:t xml:space="preserve"> </w:t>
      </w:r>
      <w:r w:rsidR="003069A1" w:rsidRPr="00DE12A3">
        <w:rPr>
          <w:sz w:val="24"/>
          <w:szCs w:val="24"/>
        </w:rPr>
        <w:t>kullanılarak</w:t>
      </w:r>
      <w:r w:rsidR="00242DA0" w:rsidRPr="00DE12A3">
        <w:rPr>
          <w:sz w:val="24"/>
          <w:szCs w:val="24"/>
        </w:rPr>
        <w:t xml:space="preserve"> veya motor </w:t>
      </w:r>
      <w:r w:rsidR="00EF0D08" w:rsidRPr="00DE12A3">
        <w:rPr>
          <w:sz w:val="24"/>
          <w:szCs w:val="24"/>
        </w:rPr>
        <w:t xml:space="preserve">kontrol ünitesini </w:t>
      </w:r>
      <w:r w:rsidR="00242DA0" w:rsidRPr="00DE12A3">
        <w:rPr>
          <w:sz w:val="24"/>
          <w:szCs w:val="24"/>
        </w:rPr>
        <w:t>temsil ettiği hallerde bir test tezgâhı devir talebi kullanılarak kumanda edilebilir.</w:t>
      </w:r>
    </w:p>
    <w:p w14:paraId="1DD44EDC" w14:textId="7B5E393E" w:rsidR="002D7B36" w:rsidRPr="00DE12A3" w:rsidRDefault="00242DA0" w:rsidP="00C917D6">
      <w:pPr>
        <w:pStyle w:val="Gvdemetni250"/>
        <w:spacing w:before="120" w:after="120" w:line="240" w:lineRule="auto"/>
        <w:ind w:left="1134" w:firstLine="0"/>
        <w:rPr>
          <w:sz w:val="24"/>
          <w:szCs w:val="24"/>
        </w:rPr>
      </w:pPr>
      <w:r w:rsidRPr="00DE12A3">
        <w:rPr>
          <w:sz w:val="24"/>
          <w:szCs w:val="24"/>
        </w:rPr>
        <w:t xml:space="preserve">Motora takılan </w:t>
      </w:r>
      <w:r w:rsidR="00EF0D08" w:rsidRPr="00DE12A3">
        <w:rPr>
          <w:sz w:val="24"/>
          <w:szCs w:val="24"/>
        </w:rPr>
        <w:t>motor kontrol ünitesinin</w:t>
      </w:r>
      <w:r w:rsidRPr="00DE12A3">
        <w:rPr>
          <w:sz w:val="24"/>
          <w:szCs w:val="24"/>
        </w:rPr>
        <w:t xml:space="preserve"> kullanıldığı hallerde %100 devir, motor tarafından yönetilen</w:t>
      </w:r>
      <w:r w:rsidR="00F3153C" w:rsidRPr="00DE12A3">
        <w:rPr>
          <w:sz w:val="24"/>
          <w:szCs w:val="24"/>
        </w:rPr>
        <w:t>,</w:t>
      </w:r>
      <w:r w:rsidRPr="00DE12A3">
        <w:rPr>
          <w:sz w:val="24"/>
          <w:szCs w:val="24"/>
        </w:rPr>
        <w:t xml:space="preserve"> </w:t>
      </w:r>
      <w:r w:rsidR="00F3153C" w:rsidRPr="00DE12A3">
        <w:rPr>
          <w:sz w:val="24"/>
          <w:szCs w:val="24"/>
        </w:rPr>
        <w:t xml:space="preserve">bu Tebliğin 4 üncü maddesinin birinci fıkrasının (s) bendinde tanımlanan </w:t>
      </w:r>
      <w:r w:rsidRPr="00DE12A3">
        <w:rPr>
          <w:sz w:val="24"/>
          <w:szCs w:val="24"/>
        </w:rPr>
        <w:t>devirdir.</w:t>
      </w:r>
    </w:p>
    <w:p w14:paraId="74E21CD2" w14:textId="77777777" w:rsidR="002D7B36" w:rsidRPr="00DE12A3" w:rsidRDefault="00EF0D08" w:rsidP="00C917D6">
      <w:pPr>
        <w:pStyle w:val="Gvdemetni250"/>
        <w:spacing w:before="120" w:after="120" w:line="240" w:lineRule="auto"/>
        <w:ind w:left="1134" w:firstLine="0"/>
        <w:rPr>
          <w:sz w:val="24"/>
          <w:szCs w:val="24"/>
        </w:rPr>
      </w:pPr>
      <w:r w:rsidRPr="00DE12A3">
        <w:rPr>
          <w:sz w:val="24"/>
          <w:szCs w:val="24"/>
        </w:rPr>
        <w:t>Motor kontrol ünitesi</w:t>
      </w:r>
      <w:r w:rsidR="007502D6" w:rsidRPr="00DE12A3">
        <w:rPr>
          <w:sz w:val="24"/>
          <w:szCs w:val="24"/>
        </w:rPr>
        <w:t xml:space="preserve"> </w:t>
      </w:r>
      <w:r w:rsidR="003069A1" w:rsidRPr="00DE12A3">
        <w:rPr>
          <w:sz w:val="24"/>
          <w:szCs w:val="24"/>
        </w:rPr>
        <w:t>simülasyonu</w:t>
      </w:r>
      <w:r w:rsidR="00242DA0" w:rsidRPr="00DE12A3">
        <w:rPr>
          <w:sz w:val="24"/>
          <w:szCs w:val="24"/>
        </w:rPr>
        <w:t xml:space="preserve"> için bir test </w:t>
      </w:r>
      <w:r w:rsidR="006F6A17" w:rsidRPr="00DE12A3">
        <w:rPr>
          <w:sz w:val="24"/>
          <w:szCs w:val="24"/>
        </w:rPr>
        <w:t>tezgâhı</w:t>
      </w:r>
      <w:r w:rsidR="00242DA0" w:rsidRPr="00DE12A3">
        <w:rPr>
          <w:sz w:val="24"/>
          <w:szCs w:val="24"/>
        </w:rPr>
        <w:t xml:space="preserve"> devir talebi sinyali kullanılması halinde, sıfır yükte %100 devir söz konusu </w:t>
      </w:r>
      <w:r w:rsidRPr="00DE12A3">
        <w:rPr>
          <w:sz w:val="24"/>
          <w:szCs w:val="24"/>
        </w:rPr>
        <w:t>motor kontrol ünitesi</w:t>
      </w:r>
      <w:r w:rsidR="007502D6" w:rsidRPr="00DE12A3">
        <w:rPr>
          <w:sz w:val="24"/>
          <w:szCs w:val="24"/>
        </w:rPr>
        <w:t xml:space="preserve"> </w:t>
      </w:r>
      <w:r w:rsidR="00BB786A" w:rsidRPr="00DE12A3">
        <w:rPr>
          <w:sz w:val="24"/>
          <w:szCs w:val="24"/>
        </w:rPr>
        <w:lastRenderedPageBreak/>
        <w:t>ayarı</w:t>
      </w:r>
      <w:r w:rsidR="00242DA0" w:rsidRPr="00DE12A3">
        <w:rPr>
          <w:sz w:val="24"/>
          <w:szCs w:val="24"/>
        </w:rPr>
        <w:t xml:space="preserve"> için imalatçı tarafından belirtilen yüksüz devir ve tam yükte %100 devir söz konusu </w:t>
      </w:r>
      <w:r w:rsidRPr="00DE12A3">
        <w:rPr>
          <w:sz w:val="24"/>
          <w:szCs w:val="24"/>
        </w:rPr>
        <w:t>motor kontrol ünitesi</w:t>
      </w:r>
      <w:r w:rsidR="007502D6" w:rsidRPr="00DE12A3">
        <w:rPr>
          <w:sz w:val="24"/>
          <w:szCs w:val="24"/>
        </w:rPr>
        <w:t xml:space="preserve"> </w:t>
      </w:r>
      <w:r w:rsidR="00BB786A" w:rsidRPr="00DE12A3">
        <w:rPr>
          <w:sz w:val="24"/>
          <w:szCs w:val="24"/>
        </w:rPr>
        <w:t>ayarı</w:t>
      </w:r>
      <w:r w:rsidR="00242DA0" w:rsidRPr="00DE12A3">
        <w:rPr>
          <w:sz w:val="24"/>
          <w:szCs w:val="24"/>
        </w:rPr>
        <w:t xml:space="preserve"> için nominal devirdir. Diğer test modları için devri belirlemek için enterpolasyon kullanılır.</w:t>
      </w:r>
    </w:p>
    <w:p w14:paraId="21788865" w14:textId="77777777" w:rsidR="002D7B36" w:rsidRPr="00DE12A3" w:rsidRDefault="00EF0D08" w:rsidP="00C917D6">
      <w:pPr>
        <w:pStyle w:val="Gvdemetni250"/>
        <w:spacing w:before="120" w:after="120" w:line="240" w:lineRule="auto"/>
        <w:ind w:left="1134" w:firstLine="0"/>
        <w:rPr>
          <w:sz w:val="24"/>
          <w:szCs w:val="24"/>
        </w:rPr>
      </w:pPr>
      <w:r w:rsidRPr="00DE12A3">
        <w:rPr>
          <w:sz w:val="24"/>
          <w:szCs w:val="24"/>
        </w:rPr>
        <w:t>Motor kontrol ünitesinin</w:t>
      </w:r>
      <w:r w:rsidR="00242DA0" w:rsidRPr="00DE12A3">
        <w:rPr>
          <w:sz w:val="24"/>
          <w:szCs w:val="24"/>
        </w:rPr>
        <w:t xml:space="preserve"> eş zamanlı çalışma ayarına sahip olması veya imalatçı tarafından beyan edilen nominal devrin ve yüksüz devrin en fazla %3 olması halinde, imalatçı tarafından beyan edilen tek bir değer tüm yük noktalarında %100 devir için kullanılabilir.</w:t>
      </w:r>
    </w:p>
    <w:p w14:paraId="281557F2" w14:textId="77777777" w:rsidR="002D7B36" w:rsidRPr="00DE12A3" w:rsidRDefault="00653660" w:rsidP="00E20716">
      <w:pPr>
        <w:pStyle w:val="Gvdemetni250"/>
        <w:numPr>
          <w:ilvl w:val="2"/>
          <w:numId w:val="119"/>
        </w:numPr>
        <w:spacing w:before="120" w:after="120" w:line="240" w:lineRule="auto"/>
        <w:ind w:left="1134" w:hanging="1134"/>
        <w:rPr>
          <w:sz w:val="24"/>
          <w:szCs w:val="24"/>
        </w:rPr>
      </w:pPr>
      <w:r w:rsidRPr="00DE12A3">
        <w:rPr>
          <w:sz w:val="24"/>
          <w:szCs w:val="24"/>
        </w:rPr>
        <w:t xml:space="preserve">       </w:t>
      </w:r>
      <w:r w:rsidR="00242DA0" w:rsidRPr="00DE12A3">
        <w:rPr>
          <w:sz w:val="24"/>
          <w:szCs w:val="24"/>
        </w:rPr>
        <w:t>Tork ve Güç</w:t>
      </w:r>
    </w:p>
    <w:p w14:paraId="55DB9CCE" w14:textId="77777777" w:rsidR="002D7B36" w:rsidRPr="00DE12A3" w:rsidRDefault="00653660" w:rsidP="00E20716">
      <w:pPr>
        <w:pStyle w:val="Gvdemetni250"/>
        <w:numPr>
          <w:ilvl w:val="0"/>
          <w:numId w:val="122"/>
        </w:numPr>
        <w:spacing w:before="120" w:after="120" w:line="240" w:lineRule="auto"/>
        <w:ind w:left="1134" w:hanging="1134"/>
        <w:rPr>
          <w:sz w:val="24"/>
          <w:szCs w:val="24"/>
        </w:rPr>
      </w:pPr>
      <w:r w:rsidRPr="00DE12A3">
        <w:rPr>
          <w:sz w:val="24"/>
          <w:szCs w:val="24"/>
        </w:rPr>
        <w:t xml:space="preserve">       </w:t>
      </w:r>
      <w:r w:rsidR="00242DA0" w:rsidRPr="00DE12A3">
        <w:rPr>
          <w:sz w:val="24"/>
          <w:szCs w:val="24"/>
        </w:rPr>
        <w:t>Tork</w:t>
      </w:r>
    </w:p>
    <w:p w14:paraId="651B6606" w14:textId="77777777" w:rsidR="002D7B36" w:rsidRPr="00DE12A3" w:rsidRDefault="00653660" w:rsidP="00C917D6">
      <w:pPr>
        <w:pStyle w:val="Gvdemetni250"/>
        <w:spacing w:before="120" w:after="120" w:line="240" w:lineRule="auto"/>
        <w:ind w:left="1134" w:hanging="1134"/>
        <w:rPr>
          <w:sz w:val="24"/>
          <w:szCs w:val="24"/>
        </w:rPr>
      </w:pPr>
      <w:r w:rsidRPr="00DE12A3">
        <w:rPr>
          <w:sz w:val="24"/>
          <w:szCs w:val="24"/>
        </w:rPr>
        <w:t xml:space="preserve">                   </w:t>
      </w:r>
      <w:r w:rsidR="00242DA0" w:rsidRPr="00DE12A3">
        <w:rPr>
          <w:sz w:val="24"/>
          <w:szCs w:val="24"/>
        </w:rPr>
        <w:t xml:space="preserve">Test </w:t>
      </w:r>
      <w:r w:rsidR="00F310B5" w:rsidRPr="00DE12A3">
        <w:rPr>
          <w:sz w:val="24"/>
          <w:szCs w:val="24"/>
        </w:rPr>
        <w:t>çevrim</w:t>
      </w:r>
      <w:r w:rsidR="00242DA0" w:rsidRPr="00DE12A3">
        <w:rPr>
          <w:sz w:val="24"/>
          <w:szCs w:val="24"/>
        </w:rPr>
        <w:t>lerinde verilen tork değerleri, belli bir test modu için aşağıdakilerden birini temsil eden yüzde değerleridir:</w:t>
      </w:r>
    </w:p>
    <w:p w14:paraId="6725D031" w14:textId="11D43B24" w:rsidR="002D7B36" w:rsidRPr="00DE12A3" w:rsidRDefault="00242DA0" w:rsidP="00E20716">
      <w:pPr>
        <w:pStyle w:val="Gvdemetni250"/>
        <w:numPr>
          <w:ilvl w:val="0"/>
          <w:numId w:val="123"/>
        </w:numPr>
        <w:tabs>
          <w:tab w:val="left" w:pos="1701"/>
        </w:tabs>
        <w:spacing w:before="120" w:after="120" w:line="240" w:lineRule="auto"/>
        <w:ind w:left="1701" w:hanging="567"/>
        <w:rPr>
          <w:sz w:val="24"/>
          <w:szCs w:val="24"/>
        </w:rPr>
      </w:pPr>
      <w:r w:rsidRPr="00DE12A3">
        <w:rPr>
          <w:sz w:val="24"/>
          <w:szCs w:val="24"/>
        </w:rPr>
        <w:t xml:space="preserve">Belirtilen test devrinde gereken torkun mümkün olan azami torka oranı (D2 ve E2 hariç tüm </w:t>
      </w:r>
      <w:r w:rsidR="00F310B5" w:rsidRPr="00DE12A3">
        <w:rPr>
          <w:sz w:val="24"/>
          <w:szCs w:val="24"/>
        </w:rPr>
        <w:t>çevrim</w:t>
      </w:r>
      <w:r w:rsidRPr="00DE12A3">
        <w:rPr>
          <w:sz w:val="24"/>
          <w:szCs w:val="24"/>
        </w:rPr>
        <w:t>ler)</w:t>
      </w:r>
      <w:r w:rsidR="00EF6BD1" w:rsidRPr="00DE12A3">
        <w:rPr>
          <w:sz w:val="24"/>
          <w:szCs w:val="24"/>
        </w:rPr>
        <w:t>.</w:t>
      </w:r>
    </w:p>
    <w:p w14:paraId="30B0C3BD" w14:textId="77777777" w:rsidR="002D7B36" w:rsidRPr="00DE12A3" w:rsidRDefault="00242DA0" w:rsidP="00E20716">
      <w:pPr>
        <w:pStyle w:val="Gvdemetni250"/>
        <w:numPr>
          <w:ilvl w:val="0"/>
          <w:numId w:val="123"/>
        </w:numPr>
        <w:tabs>
          <w:tab w:val="left" w:pos="1701"/>
        </w:tabs>
        <w:spacing w:before="120" w:after="120" w:line="240" w:lineRule="auto"/>
        <w:ind w:left="1701" w:hanging="567"/>
        <w:rPr>
          <w:sz w:val="24"/>
          <w:szCs w:val="24"/>
        </w:rPr>
      </w:pPr>
      <w:r w:rsidRPr="00DE12A3">
        <w:rPr>
          <w:sz w:val="24"/>
          <w:szCs w:val="24"/>
        </w:rPr>
        <w:t>Gereken torkun imalatçı tarafından beyan edilen nominal net güce karşılık gelen torka oranı (</w:t>
      </w:r>
      <w:r w:rsidR="00F310B5" w:rsidRPr="00DE12A3">
        <w:rPr>
          <w:sz w:val="24"/>
          <w:szCs w:val="24"/>
        </w:rPr>
        <w:t>çevrim</w:t>
      </w:r>
      <w:r w:rsidRPr="00DE12A3">
        <w:rPr>
          <w:sz w:val="24"/>
          <w:szCs w:val="24"/>
        </w:rPr>
        <w:t xml:space="preserve"> D2 ve E2).</w:t>
      </w:r>
    </w:p>
    <w:p w14:paraId="0851FEA2" w14:textId="77777777" w:rsidR="002D7B36" w:rsidRPr="00DE12A3" w:rsidRDefault="00242DA0" w:rsidP="00E20716">
      <w:pPr>
        <w:pStyle w:val="Gvdemetni250"/>
        <w:numPr>
          <w:ilvl w:val="0"/>
          <w:numId w:val="124"/>
        </w:numPr>
        <w:spacing w:before="120" w:after="120" w:line="240" w:lineRule="auto"/>
        <w:ind w:left="1134" w:hanging="1134"/>
        <w:rPr>
          <w:sz w:val="24"/>
          <w:szCs w:val="24"/>
        </w:rPr>
      </w:pPr>
      <w:r w:rsidRPr="00DE12A3">
        <w:rPr>
          <w:sz w:val="24"/>
          <w:szCs w:val="24"/>
        </w:rPr>
        <w:t>Güç</w:t>
      </w:r>
    </w:p>
    <w:p w14:paraId="4CA23F94" w14:textId="77777777" w:rsidR="002D7B36" w:rsidRPr="00DE12A3" w:rsidRDefault="00242DA0" w:rsidP="00C917D6">
      <w:pPr>
        <w:pStyle w:val="Gvdemetni250"/>
        <w:spacing w:before="120" w:after="120" w:line="240" w:lineRule="auto"/>
        <w:ind w:left="1134" w:firstLine="0"/>
        <w:rPr>
          <w:sz w:val="24"/>
          <w:szCs w:val="24"/>
        </w:rPr>
      </w:pPr>
      <w:r w:rsidRPr="00DE12A3">
        <w:rPr>
          <w:sz w:val="24"/>
          <w:szCs w:val="24"/>
        </w:rPr>
        <w:t xml:space="preserve">Test </w:t>
      </w:r>
      <w:r w:rsidR="00F310B5" w:rsidRPr="00DE12A3">
        <w:rPr>
          <w:sz w:val="24"/>
          <w:szCs w:val="24"/>
        </w:rPr>
        <w:t>çevrim</w:t>
      </w:r>
      <w:r w:rsidRPr="00DE12A3">
        <w:rPr>
          <w:sz w:val="24"/>
          <w:szCs w:val="24"/>
        </w:rPr>
        <w:t>lerinde verilen güç değerleri, belli bir test modu için aşağıdakilerden birini temsil eden yüzde değerleridir:</w:t>
      </w:r>
    </w:p>
    <w:p w14:paraId="076DE97C" w14:textId="5400498F" w:rsidR="002D7B36" w:rsidRPr="00DE12A3" w:rsidRDefault="00242DA0" w:rsidP="00E20716">
      <w:pPr>
        <w:pStyle w:val="Gvdemetni250"/>
        <w:numPr>
          <w:ilvl w:val="0"/>
          <w:numId w:val="125"/>
        </w:numPr>
        <w:tabs>
          <w:tab w:val="left" w:pos="1701"/>
        </w:tabs>
        <w:spacing w:before="120" w:after="120" w:line="240" w:lineRule="auto"/>
        <w:ind w:left="1701" w:hanging="567"/>
        <w:rPr>
          <w:sz w:val="24"/>
          <w:szCs w:val="24"/>
        </w:rPr>
      </w:pPr>
      <w:r w:rsidRPr="00DE12A3">
        <w:rPr>
          <w:sz w:val="24"/>
          <w:szCs w:val="24"/>
        </w:rPr>
        <w:t xml:space="preserve">E3 test </w:t>
      </w:r>
      <w:r w:rsidR="00BB786A" w:rsidRPr="00DE12A3">
        <w:rPr>
          <w:sz w:val="24"/>
          <w:szCs w:val="24"/>
        </w:rPr>
        <w:t>çevrimi için</w:t>
      </w:r>
      <w:r w:rsidRPr="00DE12A3">
        <w:rPr>
          <w:sz w:val="24"/>
          <w:szCs w:val="24"/>
        </w:rPr>
        <w:t xml:space="preserve"> güç değerleri, %100 devirdeki azami net gücün yüzde değerleridir</w:t>
      </w:r>
      <w:r w:rsidR="00EF6BD1" w:rsidRPr="00DE12A3">
        <w:rPr>
          <w:sz w:val="24"/>
          <w:szCs w:val="24"/>
        </w:rPr>
        <w:t>.</w:t>
      </w:r>
      <w:r w:rsidRPr="00DE12A3">
        <w:rPr>
          <w:sz w:val="24"/>
          <w:szCs w:val="24"/>
        </w:rPr>
        <w:t xml:space="preserve"> </w:t>
      </w:r>
      <w:r w:rsidR="00EF6BD1" w:rsidRPr="00DE12A3">
        <w:rPr>
          <w:sz w:val="24"/>
          <w:szCs w:val="24"/>
        </w:rPr>
        <w:t>Ç</w:t>
      </w:r>
      <w:r w:rsidRPr="00DE12A3">
        <w:rPr>
          <w:sz w:val="24"/>
          <w:szCs w:val="24"/>
        </w:rPr>
        <w:t xml:space="preserve">ünkü bu </w:t>
      </w:r>
      <w:r w:rsidR="00F310B5" w:rsidRPr="00DE12A3">
        <w:rPr>
          <w:sz w:val="24"/>
          <w:szCs w:val="24"/>
        </w:rPr>
        <w:t>çevrim</w:t>
      </w:r>
      <w:r w:rsidRPr="00DE12A3">
        <w:rPr>
          <w:sz w:val="24"/>
          <w:szCs w:val="24"/>
        </w:rPr>
        <w:t xml:space="preserve"> uzunluk sınırı olmaksızın ağır hizmet motorları tarafından tahrik edilen araçlar için bir teorik pervane özelliği eğrisine dayanır.</w:t>
      </w:r>
    </w:p>
    <w:p w14:paraId="1EA2EFEC" w14:textId="77777777" w:rsidR="002D7B36" w:rsidRPr="00DE12A3" w:rsidRDefault="00242DA0" w:rsidP="00E20716">
      <w:pPr>
        <w:pStyle w:val="Gvdemetni250"/>
        <w:numPr>
          <w:ilvl w:val="0"/>
          <w:numId w:val="125"/>
        </w:numPr>
        <w:tabs>
          <w:tab w:val="left" w:pos="1701"/>
        </w:tabs>
        <w:spacing w:before="120" w:after="120" w:line="240" w:lineRule="auto"/>
        <w:ind w:left="1701" w:hanging="567"/>
        <w:rPr>
          <w:sz w:val="24"/>
          <w:szCs w:val="24"/>
        </w:rPr>
      </w:pPr>
      <w:r w:rsidRPr="00DE12A3">
        <w:rPr>
          <w:sz w:val="24"/>
          <w:szCs w:val="24"/>
        </w:rPr>
        <w:t xml:space="preserve">F test </w:t>
      </w:r>
      <w:r w:rsidR="00BB786A" w:rsidRPr="00DE12A3">
        <w:rPr>
          <w:sz w:val="24"/>
          <w:szCs w:val="24"/>
        </w:rPr>
        <w:t>çevrimi için</w:t>
      </w:r>
      <w:r w:rsidRPr="00DE12A3">
        <w:rPr>
          <w:sz w:val="24"/>
          <w:szCs w:val="24"/>
        </w:rPr>
        <w:t xml:space="preserve"> güç değerleri, %100 devirdeki azami net gücün bir yüzdesi olduğu hallerde rölanti devri hariç, belli test devrindeki azami net gücün yüzde değerleridir.</w:t>
      </w:r>
    </w:p>
    <w:p w14:paraId="6BDAFB36" w14:textId="77777777" w:rsidR="002D7B36" w:rsidRPr="00DE12A3" w:rsidRDefault="00242DA0" w:rsidP="00C917D6">
      <w:pPr>
        <w:pStyle w:val="Gvdemetni250"/>
        <w:spacing w:before="120" w:after="120" w:line="240" w:lineRule="auto"/>
        <w:ind w:left="1134" w:hanging="1134"/>
        <w:rPr>
          <w:b/>
          <w:bCs/>
          <w:sz w:val="24"/>
          <w:szCs w:val="24"/>
        </w:rPr>
      </w:pPr>
      <w:bookmarkStart w:id="17" w:name="bookmark73"/>
      <w:r w:rsidRPr="00DE12A3">
        <w:rPr>
          <w:sz w:val="24"/>
          <w:szCs w:val="24"/>
        </w:rPr>
        <w:t>6.</w:t>
      </w:r>
      <w:r w:rsidRPr="00DE12A3">
        <w:rPr>
          <w:sz w:val="24"/>
          <w:szCs w:val="24"/>
        </w:rPr>
        <w:tab/>
      </w:r>
      <w:r w:rsidRPr="00DE12A3">
        <w:rPr>
          <w:b/>
          <w:sz w:val="24"/>
          <w:szCs w:val="24"/>
        </w:rPr>
        <w:t xml:space="preserve">Test </w:t>
      </w:r>
      <w:bookmarkEnd w:id="17"/>
      <w:r w:rsidRPr="00DE12A3">
        <w:rPr>
          <w:b/>
          <w:bCs/>
          <w:sz w:val="24"/>
          <w:szCs w:val="24"/>
        </w:rPr>
        <w:t>Koşulları</w:t>
      </w:r>
    </w:p>
    <w:p w14:paraId="4AE43596" w14:textId="77777777" w:rsidR="002D7B36" w:rsidRPr="00DE12A3" w:rsidRDefault="00653660" w:rsidP="00E20716">
      <w:pPr>
        <w:pStyle w:val="Gvdemetni250"/>
        <w:numPr>
          <w:ilvl w:val="0"/>
          <w:numId w:val="126"/>
        </w:numPr>
        <w:spacing w:before="120" w:after="120" w:line="240" w:lineRule="auto"/>
        <w:ind w:left="1134" w:hanging="1134"/>
        <w:rPr>
          <w:sz w:val="24"/>
          <w:szCs w:val="24"/>
        </w:rPr>
      </w:pPr>
      <w:r w:rsidRPr="00DE12A3">
        <w:rPr>
          <w:sz w:val="24"/>
          <w:szCs w:val="24"/>
        </w:rPr>
        <w:t xml:space="preserve">       </w:t>
      </w:r>
      <w:r w:rsidR="00242DA0" w:rsidRPr="00DE12A3">
        <w:rPr>
          <w:sz w:val="24"/>
          <w:szCs w:val="24"/>
        </w:rPr>
        <w:t>Laboratuvar test koşulları</w:t>
      </w:r>
    </w:p>
    <w:p w14:paraId="2FE895C8" w14:textId="2A12DBDA" w:rsidR="002D7B36" w:rsidRPr="00DE12A3" w:rsidRDefault="00653660" w:rsidP="00C917D6">
      <w:pPr>
        <w:pStyle w:val="Gvdemetni250"/>
        <w:spacing w:before="120" w:after="120" w:line="240" w:lineRule="auto"/>
        <w:ind w:left="1134" w:hanging="1134"/>
        <w:rPr>
          <w:sz w:val="24"/>
          <w:szCs w:val="24"/>
        </w:rPr>
      </w:pPr>
      <w:r w:rsidRPr="00DE12A3">
        <w:rPr>
          <w:sz w:val="24"/>
          <w:szCs w:val="24"/>
        </w:rPr>
        <w:t xml:space="preserve">                  </w:t>
      </w:r>
      <w:r w:rsidR="00242DA0" w:rsidRPr="00DE12A3">
        <w:rPr>
          <w:sz w:val="24"/>
          <w:szCs w:val="24"/>
        </w:rPr>
        <w:t>Motor havasının, motor girişindeki Kelvin cinsinden ifade edilen mutlak sıcaklığı (</w:t>
      </w:r>
      <w:r w:rsidR="00242DA0" w:rsidRPr="00DE12A3">
        <w:rPr>
          <w:i/>
          <w:iCs/>
          <w:sz w:val="24"/>
          <w:szCs w:val="24"/>
        </w:rPr>
        <w:t>T</w:t>
      </w:r>
      <w:r w:rsidR="00242DA0" w:rsidRPr="00DE12A3">
        <w:rPr>
          <w:sz w:val="24"/>
          <w:szCs w:val="24"/>
          <w:vertAlign w:val="subscript"/>
        </w:rPr>
        <w:t>a</w:t>
      </w:r>
      <w:r w:rsidR="00242DA0" w:rsidRPr="00DE12A3">
        <w:rPr>
          <w:sz w:val="24"/>
          <w:szCs w:val="24"/>
        </w:rPr>
        <w:t>) ve kPa cinsinden ifade edilen kuru atmosferik basınç (</w:t>
      </w:r>
      <w:r w:rsidR="00242DA0" w:rsidRPr="00DE12A3">
        <w:rPr>
          <w:i/>
          <w:iCs/>
          <w:sz w:val="24"/>
          <w:szCs w:val="24"/>
        </w:rPr>
        <w:t>p</w:t>
      </w:r>
      <w:r w:rsidR="00242DA0" w:rsidRPr="00DE12A3">
        <w:rPr>
          <w:sz w:val="24"/>
          <w:szCs w:val="24"/>
          <w:vertAlign w:val="subscript"/>
        </w:rPr>
        <w:t>s</w:t>
      </w:r>
      <w:r w:rsidR="00242DA0" w:rsidRPr="00DE12A3">
        <w:rPr>
          <w:sz w:val="24"/>
          <w:szCs w:val="24"/>
        </w:rPr>
        <w:t xml:space="preserve">) ölçülmeli ve fa parametresi aşağıdaki hükümler uyarınca ve (6-5) veya (6-6) </w:t>
      </w:r>
      <w:r w:rsidR="005E1C7E" w:rsidRPr="00DE12A3">
        <w:rPr>
          <w:sz w:val="24"/>
          <w:szCs w:val="24"/>
        </w:rPr>
        <w:t xml:space="preserve">numaralı </w:t>
      </w:r>
      <w:r w:rsidR="00242DA0" w:rsidRPr="00DE12A3">
        <w:rPr>
          <w:sz w:val="24"/>
          <w:szCs w:val="24"/>
        </w:rPr>
        <w:t>denklem</w:t>
      </w:r>
      <w:r w:rsidR="005E1C7E" w:rsidRPr="00DE12A3">
        <w:rPr>
          <w:sz w:val="24"/>
          <w:szCs w:val="24"/>
        </w:rPr>
        <w:t>ler</w:t>
      </w:r>
      <w:r w:rsidR="00242DA0" w:rsidRPr="00DE12A3">
        <w:rPr>
          <w:sz w:val="24"/>
          <w:szCs w:val="24"/>
        </w:rPr>
        <w:t xml:space="preserve"> vasıtasıyla belirlenmelidir. Atmosferik basınç bir kanal içinde ölçülürse, atmosfer ile ölçüm yeri arasında göz ardı edilebilir basınç kayıpları olması sağlanmalı ve kanalın akıştan kaynaklanan statik basıncındaki değişiklikler hesaba katılmalıdır. Bir “V” motor yapılandırmasında olduğu gibi farklı emme manifoldu gruplarına sahip çok silindirli motorlarda, farklı grupların ortalama sıcaklığı alınır. </w:t>
      </w:r>
      <w:r w:rsidR="00242DA0" w:rsidRPr="00DE12A3">
        <w:rPr>
          <w:i/>
          <w:iCs/>
          <w:sz w:val="24"/>
          <w:szCs w:val="24"/>
        </w:rPr>
        <w:t>f</w:t>
      </w:r>
      <w:r w:rsidR="00242DA0" w:rsidRPr="00DE12A3">
        <w:rPr>
          <w:sz w:val="24"/>
          <w:szCs w:val="24"/>
          <w:vertAlign w:val="subscript"/>
        </w:rPr>
        <w:t>a</w:t>
      </w:r>
      <w:r w:rsidR="00242DA0" w:rsidRPr="00DE12A3">
        <w:rPr>
          <w:sz w:val="24"/>
          <w:szCs w:val="24"/>
        </w:rPr>
        <w:t xml:space="preserve"> parametresi test sonuçları ile birlikte rapor edilir.</w:t>
      </w:r>
    </w:p>
    <w:p w14:paraId="08C6EEC7" w14:textId="77777777" w:rsidR="002D7B36" w:rsidRPr="00DE12A3" w:rsidRDefault="00653660" w:rsidP="00C917D6">
      <w:pPr>
        <w:pStyle w:val="Gvdemetni250"/>
        <w:spacing w:before="120" w:after="120" w:line="240" w:lineRule="auto"/>
        <w:ind w:left="1134" w:hanging="1134"/>
        <w:rPr>
          <w:sz w:val="24"/>
          <w:szCs w:val="24"/>
        </w:rPr>
      </w:pPr>
      <w:r w:rsidRPr="00DE12A3">
        <w:rPr>
          <w:sz w:val="24"/>
          <w:szCs w:val="24"/>
        </w:rPr>
        <w:t xml:space="preserve">                  </w:t>
      </w:r>
      <w:r w:rsidR="00242DA0" w:rsidRPr="00DE12A3">
        <w:rPr>
          <w:sz w:val="24"/>
          <w:szCs w:val="24"/>
        </w:rPr>
        <w:t>Doğal emişli ve mekanik olarak turboşarjlı motorlar:</w:t>
      </w:r>
    </w:p>
    <w:p w14:paraId="52C308F5" w14:textId="77777777" w:rsidR="004F6E3B" w:rsidRPr="00DE12A3" w:rsidRDefault="004F6E3B" w:rsidP="00C917D6">
      <w:pPr>
        <w:pStyle w:val="Gvdemetni250"/>
        <w:spacing w:before="120" w:after="120" w:line="240" w:lineRule="auto"/>
        <w:ind w:left="1134" w:hanging="1134"/>
        <w:rPr>
          <w:sz w:val="24"/>
          <w:szCs w:val="24"/>
        </w:rPr>
      </w:pPr>
    </w:p>
    <w:tbl>
      <w:tblPr>
        <w:tblW w:w="8337" w:type="dxa"/>
        <w:jc w:val="center"/>
        <w:tblLayout w:type="fixed"/>
        <w:tblLook w:val="0000" w:firstRow="0" w:lastRow="0" w:firstColumn="0" w:lastColumn="0" w:noHBand="0" w:noVBand="0"/>
      </w:tblPr>
      <w:tblGrid>
        <w:gridCol w:w="6804"/>
        <w:gridCol w:w="1533"/>
      </w:tblGrid>
      <w:tr w:rsidR="00DE12A3" w:rsidRPr="00DE12A3" w14:paraId="4C843222" w14:textId="77777777" w:rsidTr="004F6E3B">
        <w:trPr>
          <w:trHeight w:val="1476"/>
          <w:jc w:val="center"/>
        </w:trPr>
        <w:tc>
          <w:tcPr>
            <w:tcW w:w="6804" w:type="dxa"/>
          </w:tcPr>
          <w:p w14:paraId="1F3B6F7B" w14:textId="43803836" w:rsidR="004F6E3B" w:rsidRPr="00DE12A3" w:rsidRDefault="004F6E3B" w:rsidP="00C917D6">
            <w:pPr>
              <w:pStyle w:val="NormalLeft"/>
              <w:jc w:val="center"/>
            </w:pPr>
            <w:r w:rsidRPr="00DE12A3">
              <w:rPr>
                <w:noProof/>
                <w:lang w:val="tr-TR"/>
              </w:rPr>
              <w:drawing>
                <wp:inline distT="0" distB="0" distL="0" distR="0" wp14:anchorId="535EDF5F" wp14:editId="2D0C2618">
                  <wp:extent cx="2720340" cy="495300"/>
                  <wp:effectExtent l="0" t="0" r="3810" b="0"/>
                  <wp:docPr id="2408" name="Resim 2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720340" cy="495300"/>
                          </a:xfrm>
                          <a:prstGeom prst="rect">
                            <a:avLst/>
                          </a:prstGeom>
                          <a:noFill/>
                          <a:ln>
                            <a:noFill/>
                          </a:ln>
                        </pic:spPr>
                      </pic:pic>
                    </a:graphicData>
                  </a:graphic>
                </wp:inline>
              </w:drawing>
            </w:r>
          </w:p>
        </w:tc>
        <w:tc>
          <w:tcPr>
            <w:tcW w:w="1533" w:type="dxa"/>
          </w:tcPr>
          <w:p w14:paraId="4630784E" w14:textId="77777777" w:rsidR="004F6E3B" w:rsidRPr="00DE12A3" w:rsidRDefault="004F6E3B" w:rsidP="00C917D6">
            <w:pPr>
              <w:pStyle w:val="NormalLeft"/>
            </w:pPr>
            <w:r w:rsidRPr="00DE12A3">
              <w:t>(6-5)</w:t>
            </w:r>
          </w:p>
        </w:tc>
      </w:tr>
    </w:tbl>
    <w:p w14:paraId="06842E7A" w14:textId="77777777" w:rsidR="002D7B36" w:rsidRPr="00DE12A3" w:rsidRDefault="00653660" w:rsidP="00C917D6">
      <w:pPr>
        <w:pStyle w:val="Gvdemetni250"/>
        <w:spacing w:before="120" w:after="120" w:line="240" w:lineRule="auto"/>
        <w:ind w:left="1134" w:hanging="1134"/>
        <w:rPr>
          <w:sz w:val="24"/>
          <w:szCs w:val="24"/>
        </w:rPr>
      </w:pPr>
      <w:r w:rsidRPr="00DE12A3">
        <w:rPr>
          <w:sz w:val="24"/>
          <w:szCs w:val="24"/>
        </w:rPr>
        <w:t xml:space="preserve">                   </w:t>
      </w:r>
      <w:r w:rsidR="00242DA0" w:rsidRPr="00DE12A3">
        <w:rPr>
          <w:sz w:val="24"/>
          <w:szCs w:val="24"/>
        </w:rPr>
        <w:t>Emme havası soğutmalı veya soğutmasız turboşarjlı motorlar:</w:t>
      </w:r>
    </w:p>
    <w:p w14:paraId="17F7B5EB" w14:textId="77777777" w:rsidR="004F6E3B" w:rsidRPr="00DE12A3" w:rsidRDefault="004F6E3B" w:rsidP="00C917D6">
      <w:pPr>
        <w:pStyle w:val="Gvdemetni250"/>
        <w:spacing w:before="120" w:after="120" w:line="240" w:lineRule="auto"/>
        <w:ind w:left="1134" w:hanging="1134"/>
        <w:rPr>
          <w:sz w:val="24"/>
          <w:szCs w:val="24"/>
        </w:rPr>
      </w:pPr>
    </w:p>
    <w:tbl>
      <w:tblPr>
        <w:tblW w:w="8002" w:type="dxa"/>
        <w:tblInd w:w="1242" w:type="dxa"/>
        <w:tblLayout w:type="fixed"/>
        <w:tblLook w:val="0000" w:firstRow="0" w:lastRow="0" w:firstColumn="0" w:lastColumn="0" w:noHBand="0" w:noVBand="0"/>
      </w:tblPr>
      <w:tblGrid>
        <w:gridCol w:w="5893"/>
        <w:gridCol w:w="2109"/>
      </w:tblGrid>
      <w:tr w:rsidR="004F6E3B" w:rsidRPr="00DE12A3" w14:paraId="21744FBD" w14:textId="77777777" w:rsidTr="004F6E3B">
        <w:trPr>
          <w:trHeight w:val="1343"/>
        </w:trPr>
        <w:tc>
          <w:tcPr>
            <w:tcW w:w="5893" w:type="dxa"/>
          </w:tcPr>
          <w:p w14:paraId="150AC9AC" w14:textId="6A970D55" w:rsidR="004F6E3B" w:rsidRPr="00DE12A3" w:rsidRDefault="004F6E3B" w:rsidP="00C917D6">
            <w:pPr>
              <w:pStyle w:val="NormalLeft"/>
            </w:pPr>
            <w:r w:rsidRPr="00DE12A3">
              <w:rPr>
                <w:noProof/>
                <w:lang w:val="tr-TR"/>
              </w:rPr>
              <w:drawing>
                <wp:inline distT="0" distB="0" distL="0" distR="0" wp14:anchorId="58CB9515" wp14:editId="461E425B">
                  <wp:extent cx="2926080" cy="746760"/>
                  <wp:effectExtent l="0" t="0" r="7620" b="0"/>
                  <wp:docPr id="2411" name="Resim 24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926080" cy="746760"/>
                          </a:xfrm>
                          <a:prstGeom prst="rect">
                            <a:avLst/>
                          </a:prstGeom>
                          <a:noFill/>
                          <a:ln>
                            <a:noFill/>
                          </a:ln>
                        </pic:spPr>
                      </pic:pic>
                    </a:graphicData>
                  </a:graphic>
                </wp:inline>
              </w:drawing>
            </w:r>
          </w:p>
        </w:tc>
        <w:tc>
          <w:tcPr>
            <w:tcW w:w="2109" w:type="dxa"/>
          </w:tcPr>
          <w:p w14:paraId="59E78208" w14:textId="77777777" w:rsidR="004F6E3B" w:rsidRPr="00DE12A3" w:rsidRDefault="004F6E3B" w:rsidP="00C917D6">
            <w:pPr>
              <w:pStyle w:val="NormalLeft"/>
            </w:pPr>
            <w:r w:rsidRPr="00DE12A3">
              <w:t>(6-6)</w:t>
            </w:r>
          </w:p>
        </w:tc>
      </w:tr>
    </w:tbl>
    <w:p w14:paraId="0623CF8B" w14:textId="77777777" w:rsidR="002D7B36" w:rsidRPr="00DE12A3" w:rsidRDefault="002D7B36" w:rsidP="00C917D6">
      <w:pPr>
        <w:pStyle w:val="Gvdemetni250"/>
        <w:spacing w:before="120" w:after="120" w:line="240" w:lineRule="auto"/>
        <w:ind w:left="1134" w:hanging="1134"/>
        <w:rPr>
          <w:sz w:val="24"/>
          <w:szCs w:val="24"/>
        </w:rPr>
      </w:pPr>
    </w:p>
    <w:p w14:paraId="26DDBEB8" w14:textId="77777777" w:rsidR="002D7B36" w:rsidRPr="00DE12A3" w:rsidRDefault="00653660" w:rsidP="00E20716">
      <w:pPr>
        <w:pStyle w:val="Gvdemetni250"/>
        <w:numPr>
          <w:ilvl w:val="0"/>
          <w:numId w:val="127"/>
        </w:numPr>
        <w:spacing w:before="120" w:after="120" w:line="240" w:lineRule="auto"/>
        <w:ind w:left="1134" w:hanging="1134"/>
        <w:rPr>
          <w:sz w:val="24"/>
          <w:szCs w:val="24"/>
        </w:rPr>
      </w:pPr>
      <w:r w:rsidRPr="00DE12A3">
        <w:rPr>
          <w:sz w:val="24"/>
          <w:szCs w:val="24"/>
        </w:rPr>
        <w:t xml:space="preserve">         </w:t>
      </w:r>
      <w:r w:rsidR="00242DA0" w:rsidRPr="00DE12A3">
        <w:rPr>
          <w:sz w:val="24"/>
          <w:szCs w:val="24"/>
        </w:rPr>
        <w:t>Testin geçerli sayılması için aşağıdaki koşulların her ikisi de sağlanmalıdır:</w:t>
      </w:r>
    </w:p>
    <w:p w14:paraId="23EA6DAA" w14:textId="77777777" w:rsidR="002D7B36" w:rsidRPr="00DE12A3" w:rsidRDefault="00242DA0" w:rsidP="00E20716">
      <w:pPr>
        <w:pStyle w:val="Gvdemetni250"/>
        <w:numPr>
          <w:ilvl w:val="0"/>
          <w:numId w:val="128"/>
        </w:numPr>
        <w:tabs>
          <w:tab w:val="left" w:pos="1701"/>
        </w:tabs>
        <w:spacing w:before="120" w:after="120" w:line="240" w:lineRule="auto"/>
        <w:ind w:left="1701" w:hanging="567"/>
        <w:rPr>
          <w:sz w:val="24"/>
          <w:szCs w:val="24"/>
        </w:rPr>
      </w:pPr>
      <w:r w:rsidRPr="00DE12A3">
        <w:rPr>
          <w:i/>
          <w:iCs/>
          <w:sz w:val="24"/>
          <w:szCs w:val="24"/>
        </w:rPr>
        <w:t>f</w:t>
      </w:r>
      <w:r w:rsidRPr="00DE12A3">
        <w:rPr>
          <w:sz w:val="24"/>
          <w:szCs w:val="24"/>
          <w:vertAlign w:val="subscript"/>
        </w:rPr>
        <w:t xml:space="preserve">a  </w:t>
      </w:r>
      <w:r w:rsidRPr="00DE12A3">
        <w:rPr>
          <w:iCs/>
          <w:sz w:val="24"/>
          <w:szCs w:val="24"/>
        </w:rPr>
        <w:t xml:space="preserve">6.1.2 ve 6.1.4 bentleri tarafından izin verilen durumlar dışında, 0,93 &lt; </w:t>
      </w:r>
      <w:r w:rsidR="004F6E3B" w:rsidRPr="00DE12A3">
        <w:rPr>
          <w:i/>
          <w:iCs/>
          <w:sz w:val="24"/>
          <w:szCs w:val="24"/>
        </w:rPr>
        <w:t>f</w:t>
      </w:r>
      <w:r w:rsidR="004F6E3B" w:rsidRPr="00DE12A3">
        <w:rPr>
          <w:sz w:val="24"/>
          <w:szCs w:val="24"/>
          <w:vertAlign w:val="subscript"/>
        </w:rPr>
        <w:t>a</w:t>
      </w:r>
      <w:r w:rsidRPr="00DE12A3">
        <w:rPr>
          <w:iCs/>
          <w:sz w:val="24"/>
          <w:szCs w:val="24"/>
        </w:rPr>
        <w:t xml:space="preserve"> &lt; 1,07 aralığında olmalıdır</w:t>
      </w:r>
      <w:r w:rsidRPr="00DE12A3">
        <w:rPr>
          <w:sz w:val="24"/>
          <w:szCs w:val="24"/>
        </w:rPr>
        <w:t>;</w:t>
      </w:r>
    </w:p>
    <w:p w14:paraId="737DDDE8" w14:textId="77777777" w:rsidR="002D7B36" w:rsidRPr="00DE12A3" w:rsidRDefault="00242DA0" w:rsidP="00E20716">
      <w:pPr>
        <w:pStyle w:val="Gvdemetni250"/>
        <w:numPr>
          <w:ilvl w:val="0"/>
          <w:numId w:val="129"/>
        </w:numPr>
        <w:tabs>
          <w:tab w:val="left" w:pos="1701"/>
        </w:tabs>
        <w:spacing w:before="120" w:after="120" w:line="240" w:lineRule="auto"/>
        <w:ind w:left="1701" w:hanging="567"/>
        <w:rPr>
          <w:sz w:val="24"/>
          <w:szCs w:val="24"/>
        </w:rPr>
      </w:pPr>
      <w:r w:rsidRPr="00DE12A3">
        <w:rPr>
          <w:sz w:val="24"/>
          <w:szCs w:val="24"/>
        </w:rPr>
        <w:t>Emme havası sıcaklığı, 6.1.3 ve 6.1.4 bentlerinde izin verilen durumlar dışında ve 6.1.5 ve 6.1.6 bentleri gereğince, herhangi bir motor bileşeninin giriş kısmında ölçülen, 298 ± 5 K (25 ± 5°C) değerinde tutulmalıdır.</w:t>
      </w:r>
    </w:p>
    <w:p w14:paraId="3EB7149A" w14:textId="77777777" w:rsidR="002D7B36" w:rsidRPr="00DE12A3" w:rsidRDefault="00242DA0" w:rsidP="00C917D6">
      <w:pPr>
        <w:pStyle w:val="Gvdemetni250"/>
        <w:spacing w:before="120" w:after="120" w:line="240" w:lineRule="auto"/>
        <w:ind w:left="1134" w:hanging="1134"/>
        <w:rPr>
          <w:sz w:val="24"/>
          <w:szCs w:val="24"/>
        </w:rPr>
      </w:pPr>
      <w:r w:rsidRPr="00DE12A3">
        <w:rPr>
          <w:sz w:val="24"/>
          <w:szCs w:val="24"/>
          <w:lang w:val="en-US"/>
        </w:rPr>
        <w:t>6.1.2.</w:t>
      </w:r>
      <w:r w:rsidRPr="00DE12A3">
        <w:rPr>
          <w:sz w:val="24"/>
          <w:szCs w:val="24"/>
          <w:lang w:val="en-US"/>
        </w:rPr>
        <w:tab/>
        <w:t xml:space="preserve">Motorun test edildiği laboratuvarın rakımının 600 m'yi aştığı durumlarda, imalatçının mutabakatı ile </w:t>
      </w:r>
      <w:r w:rsidRPr="00DE12A3">
        <w:rPr>
          <w:i/>
          <w:iCs/>
          <w:sz w:val="24"/>
          <w:szCs w:val="24"/>
        </w:rPr>
        <w:t>f</w:t>
      </w:r>
      <w:r w:rsidRPr="00DE12A3">
        <w:rPr>
          <w:sz w:val="24"/>
          <w:szCs w:val="24"/>
          <w:vertAlign w:val="subscript"/>
        </w:rPr>
        <w:t>a</w:t>
      </w:r>
      <w:r w:rsidRPr="00DE12A3">
        <w:rPr>
          <w:sz w:val="24"/>
          <w:szCs w:val="24"/>
        </w:rPr>
        <w:t xml:space="preserve">, </w:t>
      </w:r>
      <w:r w:rsidRPr="00DE12A3">
        <w:rPr>
          <w:i/>
          <w:iCs/>
          <w:sz w:val="24"/>
          <w:szCs w:val="24"/>
        </w:rPr>
        <w:t>p</w:t>
      </w:r>
      <w:r w:rsidRPr="00DE12A3">
        <w:rPr>
          <w:sz w:val="24"/>
          <w:szCs w:val="24"/>
          <w:vertAlign w:val="subscript"/>
        </w:rPr>
        <w:t>s</w:t>
      </w:r>
      <w:r w:rsidRPr="00DE12A3">
        <w:rPr>
          <w:sz w:val="24"/>
          <w:szCs w:val="24"/>
        </w:rPr>
        <w:t>'nin 80 kPa'dan az olmaması kaydıyla 1.07'yi aşabilir.</w:t>
      </w:r>
    </w:p>
    <w:p w14:paraId="109E3396" w14:textId="3C6F8792" w:rsidR="005C40B6" w:rsidRPr="00DE12A3" w:rsidRDefault="00F3153C" w:rsidP="005501E3">
      <w:pPr>
        <w:spacing w:before="120" w:after="120"/>
        <w:ind w:left="1134" w:hanging="1134"/>
        <w:rPr>
          <w:rFonts w:cs="Times New Roman"/>
          <w:color w:val="auto"/>
        </w:rPr>
      </w:pPr>
      <w:r w:rsidRPr="00DE12A3">
        <w:rPr>
          <w:rFonts w:cs="Times New Roman"/>
          <w:color w:val="auto"/>
        </w:rPr>
        <w:t>6.1.3.</w:t>
      </w:r>
      <w:r w:rsidRPr="00DE12A3">
        <w:rPr>
          <w:rFonts w:cs="Times New Roman"/>
          <w:color w:val="auto"/>
        </w:rPr>
        <w:tab/>
      </w:r>
      <w:r w:rsidR="005C40B6" w:rsidRPr="00DE12A3">
        <w:rPr>
          <w:rFonts w:cs="Times New Roman"/>
          <w:color w:val="auto"/>
        </w:rPr>
        <w:t>Test edilen motorun gücünün 560 kW'dan fazla olduğu durumlarda, üreticinin onayı ile giriş havası sıcaklığının maksimum değeri 308 K (35 ° C) 'yi aşmaması şartıyla 303 K (30 ° C)' yi aşabilir.</w:t>
      </w:r>
    </w:p>
    <w:p w14:paraId="202DBA97" w14:textId="77777777" w:rsidR="002D7B36" w:rsidRPr="00DE12A3" w:rsidRDefault="00242DA0" w:rsidP="00C917D6">
      <w:pPr>
        <w:pStyle w:val="Gvdemetni250"/>
        <w:spacing w:before="120" w:after="120" w:line="240" w:lineRule="auto"/>
        <w:ind w:left="1134" w:hanging="1134"/>
        <w:rPr>
          <w:sz w:val="24"/>
          <w:szCs w:val="24"/>
        </w:rPr>
      </w:pPr>
      <w:r w:rsidRPr="00DE12A3">
        <w:rPr>
          <w:sz w:val="24"/>
          <w:szCs w:val="24"/>
        </w:rPr>
        <w:t>6.1.4.</w:t>
      </w:r>
      <w:r w:rsidRPr="00DE12A3">
        <w:rPr>
          <w:sz w:val="20"/>
          <w:szCs w:val="20"/>
        </w:rPr>
        <w:tab/>
      </w:r>
      <w:r w:rsidRPr="00DE12A3">
        <w:rPr>
          <w:sz w:val="24"/>
          <w:szCs w:val="24"/>
        </w:rPr>
        <w:t xml:space="preserve">Motorun test edildiği laboratuvarın rakımının 300 m'yi aştığı ve test edilen motorun gücünün 560 kW'dan yüksek olduğu durumlarda, imalatçının mutabakatı ile </w:t>
      </w:r>
      <w:r w:rsidRPr="00DE12A3">
        <w:rPr>
          <w:i/>
          <w:iCs/>
          <w:sz w:val="24"/>
          <w:szCs w:val="24"/>
        </w:rPr>
        <w:t>f</w:t>
      </w:r>
      <w:r w:rsidRPr="00DE12A3">
        <w:rPr>
          <w:sz w:val="24"/>
          <w:szCs w:val="24"/>
          <w:vertAlign w:val="subscript"/>
        </w:rPr>
        <w:t>a</w:t>
      </w:r>
      <w:r w:rsidRPr="00DE12A3">
        <w:rPr>
          <w:sz w:val="24"/>
          <w:szCs w:val="24"/>
        </w:rPr>
        <w:t xml:space="preserve">, </w:t>
      </w:r>
      <w:r w:rsidRPr="00DE12A3">
        <w:rPr>
          <w:i/>
          <w:iCs/>
          <w:sz w:val="24"/>
          <w:szCs w:val="24"/>
        </w:rPr>
        <w:t>p</w:t>
      </w:r>
      <w:r w:rsidRPr="00DE12A3">
        <w:rPr>
          <w:sz w:val="24"/>
          <w:szCs w:val="24"/>
          <w:vertAlign w:val="subscript"/>
        </w:rPr>
        <w:t>s</w:t>
      </w:r>
      <w:r w:rsidRPr="00DE12A3">
        <w:rPr>
          <w:sz w:val="24"/>
          <w:szCs w:val="24"/>
        </w:rPr>
        <w:t>'nin 80 kPa'dan az olmaması koşuluyla 1.07'yi aşabilir ve azami emme havası sıcaklığı değeri, 308 K'yı (35°C) geçmemek koşuluyla 303 K'yı (30°C) aşabilir.</w:t>
      </w:r>
    </w:p>
    <w:p w14:paraId="155BF612" w14:textId="77777777" w:rsidR="002D7B36" w:rsidRPr="00DE12A3" w:rsidRDefault="00242DA0" w:rsidP="00C917D6">
      <w:pPr>
        <w:pStyle w:val="Gvdemetni250"/>
        <w:spacing w:before="120" w:after="120" w:line="240" w:lineRule="auto"/>
        <w:ind w:left="1134" w:hanging="1134"/>
        <w:rPr>
          <w:sz w:val="24"/>
          <w:szCs w:val="24"/>
        </w:rPr>
      </w:pPr>
      <w:r w:rsidRPr="00DE12A3">
        <w:rPr>
          <w:sz w:val="24"/>
          <w:szCs w:val="24"/>
        </w:rPr>
        <w:t>6.1.5.</w:t>
      </w:r>
      <w:r w:rsidRPr="00DE12A3">
        <w:rPr>
          <w:sz w:val="24"/>
          <w:szCs w:val="24"/>
        </w:rPr>
        <w:tab/>
        <w:t>Sadece kar küreyicilerde kullanılacak motor tiplerinden oluşan 19 kW'dan daha düşük NRS kategorisindeki bir motor ailesi söz konusu olduğunda, emme havasının sıcaklığı 273 K ile 268 K (0°C ve -5°C) arasında tutulmalıdır.</w:t>
      </w:r>
    </w:p>
    <w:p w14:paraId="03FBC165" w14:textId="77777777" w:rsidR="002D7B36" w:rsidRPr="00DE12A3" w:rsidRDefault="00242DA0" w:rsidP="00C917D6">
      <w:pPr>
        <w:pStyle w:val="Gvdemetni250"/>
        <w:spacing w:before="120" w:after="120" w:line="240" w:lineRule="auto"/>
        <w:ind w:left="1134" w:hanging="1134"/>
        <w:rPr>
          <w:sz w:val="24"/>
          <w:szCs w:val="24"/>
        </w:rPr>
      </w:pPr>
      <w:r w:rsidRPr="00DE12A3">
        <w:rPr>
          <w:sz w:val="24"/>
          <w:szCs w:val="24"/>
        </w:rPr>
        <w:t>6.1.6.</w:t>
      </w:r>
      <w:r w:rsidRPr="00DE12A3">
        <w:rPr>
          <w:sz w:val="24"/>
          <w:szCs w:val="24"/>
        </w:rPr>
        <w:tab/>
        <w:t>SMB kategorisindeki motorlar için emme havası sıcaklığı, 6.1.6.1 bendinde izin verilen haller dışında, 263 ± 5 K (-10 ± 5°C) aralığında tutulmalıdır.</w:t>
      </w:r>
    </w:p>
    <w:p w14:paraId="6C3703A6" w14:textId="77777777" w:rsidR="002D7B36" w:rsidRPr="00DE12A3" w:rsidRDefault="00242DA0" w:rsidP="00C917D6">
      <w:pPr>
        <w:pStyle w:val="Gvdemetni250"/>
        <w:spacing w:before="120" w:after="120" w:line="240" w:lineRule="auto"/>
        <w:ind w:left="1134" w:hanging="1134"/>
        <w:rPr>
          <w:sz w:val="24"/>
          <w:szCs w:val="24"/>
        </w:rPr>
      </w:pPr>
      <w:r w:rsidRPr="00DE12A3">
        <w:rPr>
          <w:sz w:val="24"/>
          <w:szCs w:val="24"/>
        </w:rPr>
        <w:t>6.1.6.1.</w:t>
      </w:r>
      <w:r w:rsidRPr="00DE12A3">
        <w:rPr>
          <w:sz w:val="24"/>
          <w:szCs w:val="24"/>
        </w:rPr>
        <w:tab/>
        <w:t>Yakıt akışını ayarlayan elektronik kontrollü yakıt enjeksiyonuna sahip SMB kategorisindeki motorlar için, imalatçının tercihine bağlı olarak, emme havası sıcaklığı alternatif olarak 298 ± 5 K (25 ± 5°C) aralığında tutulabilir.</w:t>
      </w:r>
    </w:p>
    <w:p w14:paraId="1593EDD8" w14:textId="77777777" w:rsidR="002D7B36" w:rsidRPr="00DE12A3" w:rsidRDefault="00242DA0" w:rsidP="00C917D6">
      <w:pPr>
        <w:pStyle w:val="Gvdemetni250"/>
        <w:spacing w:before="120" w:after="120" w:line="240" w:lineRule="auto"/>
        <w:ind w:left="1134" w:hanging="1134"/>
        <w:rPr>
          <w:sz w:val="24"/>
          <w:szCs w:val="24"/>
        </w:rPr>
      </w:pPr>
      <w:r w:rsidRPr="00DE12A3">
        <w:rPr>
          <w:sz w:val="24"/>
          <w:szCs w:val="24"/>
        </w:rPr>
        <w:t>6.1.7.</w:t>
      </w:r>
      <w:r w:rsidRPr="00DE12A3">
        <w:rPr>
          <w:sz w:val="24"/>
          <w:szCs w:val="24"/>
        </w:rPr>
        <w:tab/>
        <w:t>Aşağıdakilerin kullanmasına izin verilir:</w:t>
      </w:r>
    </w:p>
    <w:p w14:paraId="671838BB" w14:textId="3088F910" w:rsidR="002D7B36" w:rsidRPr="00DE12A3" w:rsidRDefault="00987432" w:rsidP="00E20716">
      <w:pPr>
        <w:pStyle w:val="Gvdemetni250"/>
        <w:numPr>
          <w:ilvl w:val="0"/>
          <w:numId w:val="130"/>
        </w:numPr>
        <w:spacing w:before="120" w:after="120" w:line="240" w:lineRule="auto"/>
        <w:ind w:left="1701" w:hanging="567"/>
        <w:rPr>
          <w:sz w:val="24"/>
          <w:szCs w:val="24"/>
        </w:rPr>
      </w:pPr>
      <w:r w:rsidRPr="00DE12A3">
        <w:rPr>
          <w:sz w:val="24"/>
          <w:szCs w:val="24"/>
        </w:rPr>
        <w:t xml:space="preserve">    M</w:t>
      </w:r>
      <w:r w:rsidR="00242DA0" w:rsidRPr="00DE12A3">
        <w:rPr>
          <w:sz w:val="24"/>
          <w:szCs w:val="24"/>
        </w:rPr>
        <w:t>otorun test edildiği yerde, emme havasını işleyen aksam ortam basıncını ±1 kPa paylaşılan atmosferik basınç aralığı içinde tuttuğu sürece, birden fazla dinamometre test hücresine sahip bir test tesisinin tamamı için çıktısı atmosferik basınç olarak kullanılan bir atmosferik basınç ölçer</w:t>
      </w:r>
      <w:r w:rsidR="00EF6BD1" w:rsidRPr="00DE12A3">
        <w:rPr>
          <w:sz w:val="24"/>
          <w:szCs w:val="24"/>
        </w:rPr>
        <w:t>.</w:t>
      </w:r>
    </w:p>
    <w:p w14:paraId="27453FCB" w14:textId="77777777" w:rsidR="002D7B36" w:rsidRPr="00DE12A3" w:rsidRDefault="00987432" w:rsidP="00E20716">
      <w:pPr>
        <w:pStyle w:val="Gvdemetni250"/>
        <w:numPr>
          <w:ilvl w:val="0"/>
          <w:numId w:val="130"/>
        </w:numPr>
        <w:spacing w:before="120" w:after="120" w:line="240" w:lineRule="auto"/>
        <w:ind w:left="1701" w:hanging="567"/>
        <w:rPr>
          <w:sz w:val="24"/>
          <w:szCs w:val="24"/>
        </w:rPr>
      </w:pPr>
      <w:r w:rsidRPr="00DE12A3">
        <w:rPr>
          <w:sz w:val="24"/>
          <w:szCs w:val="24"/>
        </w:rPr>
        <w:t>M</w:t>
      </w:r>
      <w:r w:rsidR="00242DA0" w:rsidRPr="00DE12A3">
        <w:rPr>
          <w:sz w:val="24"/>
          <w:szCs w:val="24"/>
        </w:rPr>
        <w:t>otorun test edildiği yerde, emme havasını işleyen aksam yoğuşma noktasını ±0,5 K paylaşılan nem ölçüm aralığı içinde tuttuğu sürece, birden fazla dinamometre test hücresine sahip bir test tesisinin tamamı için emme havası nemini ölçmek için bir nem ölçüm cihazı.</w:t>
      </w:r>
    </w:p>
    <w:p w14:paraId="26AD0AC4" w14:textId="77777777" w:rsidR="002D7B36" w:rsidRPr="00DE12A3" w:rsidRDefault="00242DA0" w:rsidP="00C917D6">
      <w:pPr>
        <w:pStyle w:val="Gvdemetni250"/>
        <w:spacing w:before="120" w:after="120" w:line="240" w:lineRule="auto"/>
        <w:ind w:left="1134" w:hanging="1134"/>
        <w:rPr>
          <w:sz w:val="24"/>
          <w:szCs w:val="24"/>
        </w:rPr>
      </w:pPr>
      <w:r w:rsidRPr="00DE12A3">
        <w:rPr>
          <w:sz w:val="24"/>
          <w:szCs w:val="24"/>
        </w:rPr>
        <w:t>6.2.</w:t>
      </w:r>
      <w:r w:rsidRPr="00DE12A3">
        <w:rPr>
          <w:sz w:val="24"/>
          <w:szCs w:val="24"/>
        </w:rPr>
        <w:tab/>
        <w:t>Ara soğutuculu motorlar</w:t>
      </w:r>
    </w:p>
    <w:p w14:paraId="5782C7A2" w14:textId="48D8ED8A" w:rsidR="002D7B36" w:rsidRPr="00DE12A3" w:rsidRDefault="00242DA0" w:rsidP="00C917D6">
      <w:pPr>
        <w:pStyle w:val="Gvdemetni250"/>
        <w:spacing w:before="120" w:after="120" w:line="240" w:lineRule="auto"/>
        <w:ind w:left="1134" w:hanging="1134"/>
        <w:rPr>
          <w:sz w:val="24"/>
          <w:szCs w:val="24"/>
        </w:rPr>
      </w:pPr>
      <w:r w:rsidRPr="00DE12A3">
        <w:rPr>
          <w:sz w:val="24"/>
          <w:szCs w:val="24"/>
        </w:rPr>
        <w:t xml:space="preserve">              </w:t>
      </w:r>
      <w:r w:rsidR="00987432" w:rsidRPr="00DE12A3">
        <w:rPr>
          <w:sz w:val="24"/>
          <w:szCs w:val="24"/>
        </w:rPr>
        <w:t xml:space="preserve">    </w:t>
      </w:r>
      <w:r w:rsidRPr="00DE12A3">
        <w:rPr>
          <w:sz w:val="24"/>
          <w:szCs w:val="24"/>
        </w:rPr>
        <w:t xml:space="preserve">Üretim motorlarının hizmet içi montajını temsil eden, toplam emme havası kapasitesine sahip bir ara soğutucu sistemi kullanılmalıdır. Herhangi bir laboratuvar ara soğutucu sistemi, yoğuşma suyu birikimini en aza düşürecek </w:t>
      </w:r>
      <w:r w:rsidRPr="00DE12A3">
        <w:rPr>
          <w:sz w:val="24"/>
          <w:szCs w:val="24"/>
        </w:rPr>
        <w:lastRenderedPageBreak/>
        <w:t>şekilde tasarlanmalıdır. Biriken tüm yoğuşma suyu boşaltılmalı ve emisyon testinden önce tüm boşaltma boruları tamamen kapatılmalıdır.</w:t>
      </w:r>
      <w:r w:rsidR="005454AA" w:rsidRPr="00DE12A3">
        <w:rPr>
          <w:sz w:val="24"/>
          <w:szCs w:val="24"/>
        </w:rPr>
        <w:t xml:space="preserve"> </w:t>
      </w:r>
      <w:r w:rsidRPr="00DE12A3">
        <w:rPr>
          <w:sz w:val="24"/>
          <w:szCs w:val="24"/>
        </w:rPr>
        <w:t>Emisyon testi sırasında boşaltma boruları kapalı tutulmalıdır. Soğutucu koşulları aşağıdaki gibi tutulmalıdır:</w:t>
      </w:r>
    </w:p>
    <w:p w14:paraId="4F31882A" w14:textId="11C79D80" w:rsidR="002D7B36" w:rsidRPr="00DE12A3" w:rsidRDefault="00987432" w:rsidP="00E20716">
      <w:pPr>
        <w:pStyle w:val="Gvdemetni250"/>
        <w:numPr>
          <w:ilvl w:val="0"/>
          <w:numId w:val="131"/>
        </w:numPr>
        <w:tabs>
          <w:tab w:val="left" w:pos="142"/>
        </w:tabs>
        <w:spacing w:before="120" w:after="120" w:line="240" w:lineRule="auto"/>
        <w:ind w:left="1701" w:hanging="567"/>
        <w:rPr>
          <w:sz w:val="24"/>
          <w:szCs w:val="24"/>
        </w:rPr>
      </w:pPr>
      <w:r w:rsidRPr="00DE12A3">
        <w:rPr>
          <w:sz w:val="24"/>
          <w:szCs w:val="24"/>
        </w:rPr>
        <w:t xml:space="preserve">    T</w:t>
      </w:r>
      <w:r w:rsidR="00242DA0" w:rsidRPr="00DE12A3">
        <w:rPr>
          <w:sz w:val="24"/>
          <w:szCs w:val="24"/>
        </w:rPr>
        <w:t>est boyunca ara soğutucu girişindeki soğutma suyu sıcaklığı en az 293 K (20°C) değerinde tutulmalıdır</w:t>
      </w:r>
      <w:r w:rsidR="00EF6BD1" w:rsidRPr="00DE12A3">
        <w:rPr>
          <w:sz w:val="24"/>
          <w:szCs w:val="24"/>
        </w:rPr>
        <w:t>.</w:t>
      </w:r>
    </w:p>
    <w:p w14:paraId="3A4185D4" w14:textId="31F2044D" w:rsidR="002D7B36" w:rsidRPr="00DE12A3" w:rsidRDefault="00987432" w:rsidP="00E20716">
      <w:pPr>
        <w:pStyle w:val="Gvdemetni250"/>
        <w:numPr>
          <w:ilvl w:val="0"/>
          <w:numId w:val="131"/>
        </w:numPr>
        <w:spacing w:before="120" w:after="120" w:line="240" w:lineRule="auto"/>
        <w:ind w:left="1701" w:hanging="567"/>
        <w:rPr>
          <w:sz w:val="24"/>
          <w:szCs w:val="24"/>
        </w:rPr>
      </w:pPr>
      <w:r w:rsidRPr="00DE12A3">
        <w:rPr>
          <w:sz w:val="24"/>
          <w:szCs w:val="24"/>
        </w:rPr>
        <w:t>N</w:t>
      </w:r>
      <w:r w:rsidR="00242DA0" w:rsidRPr="00DE12A3">
        <w:rPr>
          <w:sz w:val="24"/>
          <w:szCs w:val="24"/>
        </w:rPr>
        <w:t>ominal devir ve tam yükte, soğutma suyu akış hızı, ara soğutucunun çıkışından sonra imalatçı tarafından tasarlanan değer ±5 K (±5°C) aralığı içinde bir hava sıcaklığına ulaşacak şekilde ayarlanmalıdır. Hava çıkış sıcaklığı, imalatçı tarafından belirtilen noktada ölçülmelidir. Bu soğutucu akış hızı ayar noktası test boyunca kullanılmalıdır</w:t>
      </w:r>
      <w:r w:rsidR="00EF6BD1" w:rsidRPr="00DE12A3">
        <w:rPr>
          <w:sz w:val="24"/>
          <w:szCs w:val="24"/>
        </w:rPr>
        <w:t>.</w:t>
      </w:r>
    </w:p>
    <w:p w14:paraId="7EB7F64C" w14:textId="77777777" w:rsidR="002D7B36" w:rsidRPr="00DE12A3" w:rsidRDefault="00987432" w:rsidP="00E20716">
      <w:pPr>
        <w:pStyle w:val="Gvdemetni250"/>
        <w:numPr>
          <w:ilvl w:val="0"/>
          <w:numId w:val="131"/>
        </w:numPr>
        <w:spacing w:before="120" w:after="120" w:line="240" w:lineRule="auto"/>
        <w:ind w:left="1701" w:hanging="567"/>
        <w:rPr>
          <w:sz w:val="24"/>
          <w:szCs w:val="24"/>
        </w:rPr>
      </w:pPr>
      <w:r w:rsidRPr="00DE12A3">
        <w:rPr>
          <w:sz w:val="24"/>
          <w:szCs w:val="24"/>
        </w:rPr>
        <w:t xml:space="preserve">    </w:t>
      </w:r>
      <w:r w:rsidR="00242DA0" w:rsidRPr="00DE12A3">
        <w:rPr>
          <w:sz w:val="24"/>
          <w:szCs w:val="24"/>
        </w:rPr>
        <w:t>Motor imalatçısının ara soğutucu sistemindeki basınç düşme sınırlarını belirlemesi durumunda, imalatçı tarafından belirtilen motor koşullarında ara soğutucu sistemindeki basınç düşüşünün imalatçının belirlediği sınırlar içinde olması sağlanmalıdır. Basınç düşüşü, imalatçı tarafından belirtilen noktalarda ölçülmelidir.</w:t>
      </w:r>
    </w:p>
    <w:p w14:paraId="7270AB1B" w14:textId="77777777" w:rsidR="002D7B36" w:rsidRPr="00DE12A3" w:rsidRDefault="00242DA0" w:rsidP="00C917D6">
      <w:pPr>
        <w:pStyle w:val="Gvdemetni250"/>
        <w:spacing w:before="120" w:after="120" w:line="240" w:lineRule="auto"/>
        <w:ind w:left="1134" w:firstLine="0"/>
        <w:rPr>
          <w:sz w:val="24"/>
          <w:szCs w:val="24"/>
        </w:rPr>
      </w:pPr>
      <w:r w:rsidRPr="00DE12A3">
        <w:rPr>
          <w:sz w:val="24"/>
          <w:szCs w:val="24"/>
        </w:rPr>
        <w:t xml:space="preserve">5.2.5.1 bendinde tanımlanan MTS, test </w:t>
      </w:r>
      <w:r w:rsidR="00951351" w:rsidRPr="00DE12A3">
        <w:rPr>
          <w:sz w:val="24"/>
          <w:szCs w:val="24"/>
        </w:rPr>
        <w:t>çevrimini</w:t>
      </w:r>
      <w:r w:rsidRPr="00DE12A3">
        <w:rPr>
          <w:sz w:val="24"/>
          <w:szCs w:val="24"/>
        </w:rPr>
        <w:t xml:space="preserve"> yürütmek için nominal devir yerine kullanıldığında, bu devir, şarj havası sıcaklığını ayarlarken nominal devir yerine kullanılabilir.</w:t>
      </w:r>
    </w:p>
    <w:p w14:paraId="6761216B" w14:textId="2C9BDEC8" w:rsidR="002D7B36" w:rsidRPr="00DE12A3" w:rsidRDefault="00987432" w:rsidP="00C917D6">
      <w:pPr>
        <w:pStyle w:val="Gvdemetni250"/>
        <w:spacing w:before="120" w:after="120" w:line="240" w:lineRule="auto"/>
        <w:ind w:left="1134" w:hanging="1134"/>
        <w:rPr>
          <w:sz w:val="24"/>
          <w:szCs w:val="24"/>
        </w:rPr>
      </w:pPr>
      <w:r w:rsidRPr="00DE12A3">
        <w:rPr>
          <w:sz w:val="24"/>
          <w:szCs w:val="24"/>
        </w:rPr>
        <w:t xml:space="preserve">                  </w:t>
      </w:r>
      <w:r w:rsidR="00242DA0" w:rsidRPr="00DE12A3">
        <w:rPr>
          <w:sz w:val="24"/>
          <w:szCs w:val="24"/>
        </w:rPr>
        <w:t xml:space="preserve">Amaç, hizmet içi çalışmayı temsil eden emisyon sonuçları üretmektir. İyi mühendislik kararı, bu </w:t>
      </w:r>
      <w:r w:rsidR="00EF6BD1" w:rsidRPr="00DE12A3">
        <w:rPr>
          <w:sz w:val="24"/>
          <w:szCs w:val="24"/>
        </w:rPr>
        <w:t>B</w:t>
      </w:r>
      <w:r w:rsidR="00242DA0" w:rsidRPr="00DE12A3">
        <w:rPr>
          <w:sz w:val="24"/>
          <w:szCs w:val="24"/>
        </w:rPr>
        <w:t>ölümdeki özelliklerin, (emme havasının aşırı soğutulması gibi) temsil etmeyen testlere yol açacağını gösteriyorsa, daha temsil eden sonuçlar elde etmek için daha geliştirilmiş ayar noktaları ve şarj havası basınç düşüşü, soğutma suyu sıcaklığı ve akış hızı kontrolleri kullanılabilir.</w:t>
      </w:r>
    </w:p>
    <w:p w14:paraId="144BF465" w14:textId="77777777" w:rsidR="002D7B36" w:rsidRPr="00DE12A3" w:rsidRDefault="00242DA0" w:rsidP="00C917D6">
      <w:pPr>
        <w:pStyle w:val="Gvdemetni250"/>
        <w:spacing w:before="120" w:after="120" w:line="240" w:lineRule="auto"/>
        <w:ind w:left="1134" w:hanging="1134"/>
        <w:rPr>
          <w:sz w:val="24"/>
          <w:szCs w:val="24"/>
        </w:rPr>
      </w:pPr>
      <w:r w:rsidRPr="00DE12A3">
        <w:rPr>
          <w:sz w:val="24"/>
          <w:szCs w:val="24"/>
        </w:rPr>
        <w:t>6.3.</w:t>
      </w:r>
      <w:r w:rsidRPr="00DE12A3">
        <w:rPr>
          <w:sz w:val="24"/>
          <w:szCs w:val="24"/>
        </w:rPr>
        <w:tab/>
        <w:t>Motor gücü</w:t>
      </w:r>
    </w:p>
    <w:p w14:paraId="40EB7718" w14:textId="77777777" w:rsidR="002D7B36" w:rsidRPr="00DE12A3" w:rsidRDefault="00987432" w:rsidP="00E20716">
      <w:pPr>
        <w:pStyle w:val="Gvdemetni250"/>
        <w:numPr>
          <w:ilvl w:val="0"/>
          <w:numId w:val="132"/>
        </w:numPr>
        <w:spacing w:before="120" w:after="120" w:line="240" w:lineRule="auto"/>
        <w:ind w:left="1134" w:hanging="1134"/>
        <w:rPr>
          <w:sz w:val="24"/>
          <w:szCs w:val="24"/>
        </w:rPr>
      </w:pPr>
      <w:r w:rsidRPr="00DE12A3">
        <w:rPr>
          <w:sz w:val="24"/>
          <w:szCs w:val="24"/>
        </w:rPr>
        <w:t xml:space="preserve">       </w:t>
      </w:r>
      <w:r w:rsidR="00242DA0" w:rsidRPr="00DE12A3">
        <w:rPr>
          <w:sz w:val="24"/>
          <w:szCs w:val="24"/>
        </w:rPr>
        <w:t>Emisyon ölçümünün esası</w:t>
      </w:r>
    </w:p>
    <w:p w14:paraId="2444BA99" w14:textId="09D82C92" w:rsidR="002D7B36" w:rsidRPr="00DE12A3" w:rsidRDefault="00987432" w:rsidP="00C917D6">
      <w:pPr>
        <w:pStyle w:val="Gvdemetni250"/>
        <w:spacing w:before="120" w:after="120" w:line="240" w:lineRule="auto"/>
        <w:ind w:left="1134" w:hanging="1134"/>
        <w:rPr>
          <w:sz w:val="24"/>
          <w:szCs w:val="24"/>
        </w:rPr>
      </w:pPr>
      <w:r w:rsidRPr="00DE12A3">
        <w:rPr>
          <w:sz w:val="24"/>
          <w:szCs w:val="24"/>
        </w:rPr>
        <w:t xml:space="preserve">                   </w:t>
      </w:r>
      <w:r w:rsidR="00242DA0" w:rsidRPr="00DE12A3">
        <w:rPr>
          <w:sz w:val="24"/>
          <w:szCs w:val="24"/>
        </w:rPr>
        <w:t xml:space="preserve">Özgül emisyon ölçümünün </w:t>
      </w:r>
      <w:r w:rsidR="006F6A17" w:rsidRPr="00DE12A3">
        <w:rPr>
          <w:sz w:val="24"/>
          <w:szCs w:val="24"/>
        </w:rPr>
        <w:t>esası, 2016</w:t>
      </w:r>
      <w:r w:rsidR="00EE5D5E" w:rsidRPr="00DE12A3">
        <w:rPr>
          <w:sz w:val="24"/>
          <w:szCs w:val="24"/>
        </w:rPr>
        <w:t>/1628/AB Yönetmeliği</w:t>
      </w:r>
      <w:r w:rsidR="00211788" w:rsidRPr="00DE12A3">
        <w:rPr>
          <w:sz w:val="24"/>
          <w:szCs w:val="24"/>
        </w:rPr>
        <w:t>nin</w:t>
      </w:r>
      <w:r w:rsidR="00EE5D5E" w:rsidRPr="00DE12A3">
        <w:rPr>
          <w:sz w:val="24"/>
          <w:szCs w:val="24"/>
        </w:rPr>
        <w:t xml:space="preserve"> </w:t>
      </w:r>
      <w:r w:rsidR="00274519" w:rsidRPr="00DE12A3">
        <w:rPr>
          <w:sz w:val="24"/>
          <w:szCs w:val="24"/>
        </w:rPr>
        <w:t>3</w:t>
      </w:r>
      <w:r w:rsidR="00EF6BD1" w:rsidRPr="00DE12A3">
        <w:rPr>
          <w:sz w:val="24"/>
          <w:szCs w:val="24"/>
        </w:rPr>
        <w:t xml:space="preserve"> </w:t>
      </w:r>
      <w:r w:rsidR="00274519" w:rsidRPr="00DE12A3">
        <w:rPr>
          <w:sz w:val="24"/>
          <w:szCs w:val="24"/>
        </w:rPr>
        <w:t>üncü</w:t>
      </w:r>
      <w:r w:rsidR="006F6A17" w:rsidRPr="00DE12A3">
        <w:rPr>
          <w:sz w:val="24"/>
          <w:szCs w:val="24"/>
        </w:rPr>
        <w:t xml:space="preserve"> maddesi</w:t>
      </w:r>
      <w:r w:rsidR="00211788" w:rsidRPr="00DE12A3">
        <w:rPr>
          <w:sz w:val="24"/>
          <w:szCs w:val="24"/>
        </w:rPr>
        <w:t>nin</w:t>
      </w:r>
      <w:r w:rsidR="006F6A17" w:rsidRPr="00DE12A3">
        <w:rPr>
          <w:sz w:val="24"/>
          <w:szCs w:val="24"/>
        </w:rPr>
        <w:t xml:space="preserve"> </w:t>
      </w:r>
      <w:r w:rsidR="00F3153C" w:rsidRPr="00DE12A3">
        <w:rPr>
          <w:sz w:val="24"/>
          <w:szCs w:val="24"/>
        </w:rPr>
        <w:t>birinci fıkrasının (pp) bendinde</w:t>
      </w:r>
      <w:r w:rsidR="00242DA0" w:rsidRPr="00DE12A3">
        <w:rPr>
          <w:sz w:val="24"/>
          <w:szCs w:val="24"/>
        </w:rPr>
        <w:t>tanımlanan düzeltilmemiş net güçtür.</w:t>
      </w:r>
    </w:p>
    <w:p w14:paraId="7BB7421D" w14:textId="77777777" w:rsidR="002D7B36" w:rsidRPr="00DE12A3" w:rsidRDefault="00987432" w:rsidP="00E20716">
      <w:pPr>
        <w:pStyle w:val="Gvdemetni250"/>
        <w:numPr>
          <w:ilvl w:val="0"/>
          <w:numId w:val="132"/>
        </w:numPr>
        <w:spacing w:before="120" w:after="120" w:line="240" w:lineRule="auto"/>
        <w:ind w:left="1134" w:hanging="1134"/>
        <w:rPr>
          <w:sz w:val="24"/>
          <w:szCs w:val="24"/>
        </w:rPr>
      </w:pPr>
      <w:r w:rsidRPr="00DE12A3">
        <w:rPr>
          <w:sz w:val="24"/>
          <w:szCs w:val="24"/>
        </w:rPr>
        <w:t xml:space="preserve">       </w:t>
      </w:r>
      <w:r w:rsidR="00242DA0" w:rsidRPr="00DE12A3">
        <w:rPr>
          <w:sz w:val="24"/>
          <w:szCs w:val="24"/>
        </w:rPr>
        <w:t>Takılacak yardımcı cihazlar</w:t>
      </w:r>
    </w:p>
    <w:p w14:paraId="40705E20" w14:textId="4532A2A6" w:rsidR="002D7B36" w:rsidRPr="00DE12A3" w:rsidRDefault="00987432" w:rsidP="00C917D6">
      <w:pPr>
        <w:pStyle w:val="Gvdemetni250"/>
        <w:spacing w:before="120" w:after="120" w:line="240" w:lineRule="auto"/>
        <w:ind w:left="1134" w:hanging="1134"/>
        <w:rPr>
          <w:sz w:val="24"/>
          <w:szCs w:val="24"/>
        </w:rPr>
      </w:pPr>
      <w:r w:rsidRPr="00DE12A3">
        <w:rPr>
          <w:sz w:val="24"/>
          <w:szCs w:val="24"/>
        </w:rPr>
        <w:t xml:space="preserve">                  </w:t>
      </w:r>
      <w:r w:rsidR="00242DA0" w:rsidRPr="00DE12A3">
        <w:rPr>
          <w:sz w:val="24"/>
          <w:szCs w:val="24"/>
        </w:rPr>
        <w:t xml:space="preserve">Test sırasında, motorun çalışması için gerekli olan yardımcı cihazlar </w:t>
      </w:r>
      <w:r w:rsidR="00EF6BD1" w:rsidRPr="00DE12A3">
        <w:rPr>
          <w:sz w:val="24"/>
          <w:szCs w:val="24"/>
        </w:rPr>
        <w:t>bu Tebliğin II’nci Ekinin</w:t>
      </w:r>
      <w:r w:rsidR="00242DA0" w:rsidRPr="00DE12A3">
        <w:rPr>
          <w:sz w:val="24"/>
          <w:szCs w:val="24"/>
        </w:rPr>
        <w:t xml:space="preserve"> </w:t>
      </w:r>
      <w:r w:rsidR="0053289F" w:rsidRPr="00DE12A3">
        <w:rPr>
          <w:sz w:val="24"/>
          <w:szCs w:val="24"/>
        </w:rPr>
        <w:t>gerekliliklerine</w:t>
      </w:r>
      <w:r w:rsidR="00242DA0" w:rsidRPr="00DE12A3">
        <w:rPr>
          <w:sz w:val="24"/>
          <w:szCs w:val="24"/>
        </w:rPr>
        <w:t xml:space="preserve"> göre test tezgahına monte edilir.</w:t>
      </w:r>
    </w:p>
    <w:p w14:paraId="31D7DAC0" w14:textId="77777777" w:rsidR="002D7B36" w:rsidRPr="00DE12A3" w:rsidRDefault="00987432" w:rsidP="00C917D6">
      <w:pPr>
        <w:pStyle w:val="Gvdemetni250"/>
        <w:spacing w:before="120" w:after="120" w:line="240" w:lineRule="auto"/>
        <w:ind w:left="1134" w:hanging="1134"/>
        <w:rPr>
          <w:sz w:val="24"/>
          <w:szCs w:val="24"/>
        </w:rPr>
      </w:pPr>
      <w:r w:rsidRPr="00DE12A3">
        <w:rPr>
          <w:sz w:val="24"/>
          <w:szCs w:val="24"/>
        </w:rPr>
        <w:t xml:space="preserve">                 </w:t>
      </w:r>
      <w:r w:rsidR="00242DA0" w:rsidRPr="00DE12A3">
        <w:rPr>
          <w:sz w:val="24"/>
          <w:szCs w:val="24"/>
        </w:rPr>
        <w:t>Test için gereken yardımcı cihazların takılamaması durumunda, çektikleri güç belirlenmeli ve ölçülen motor gücünden çıkarılmalıdır.</w:t>
      </w:r>
    </w:p>
    <w:p w14:paraId="40EFCB85" w14:textId="1DB0BFD0" w:rsidR="002D7B36" w:rsidRPr="00DE12A3" w:rsidRDefault="00987432" w:rsidP="00E20716">
      <w:pPr>
        <w:pStyle w:val="Gvdemetni250"/>
        <w:numPr>
          <w:ilvl w:val="0"/>
          <w:numId w:val="132"/>
        </w:numPr>
        <w:spacing w:before="120" w:after="120" w:line="240" w:lineRule="auto"/>
        <w:ind w:left="1134" w:hanging="1134"/>
        <w:rPr>
          <w:sz w:val="24"/>
          <w:szCs w:val="24"/>
        </w:rPr>
      </w:pPr>
      <w:r w:rsidRPr="00DE12A3">
        <w:rPr>
          <w:sz w:val="24"/>
          <w:szCs w:val="24"/>
        </w:rPr>
        <w:t xml:space="preserve">     </w:t>
      </w:r>
      <w:r w:rsidR="00242DA0" w:rsidRPr="00DE12A3">
        <w:rPr>
          <w:sz w:val="24"/>
          <w:szCs w:val="24"/>
        </w:rPr>
        <w:t>Sökülecek yardımcı cihazlar</w:t>
      </w:r>
    </w:p>
    <w:p w14:paraId="4A5F8A01" w14:textId="77777777" w:rsidR="002D7B36" w:rsidRPr="00DE12A3" w:rsidRDefault="00987432" w:rsidP="00C917D6">
      <w:pPr>
        <w:pStyle w:val="Gvdemetni250"/>
        <w:spacing w:before="120" w:after="120" w:line="240" w:lineRule="auto"/>
        <w:ind w:left="1134" w:hanging="1134"/>
        <w:rPr>
          <w:sz w:val="24"/>
          <w:szCs w:val="24"/>
        </w:rPr>
      </w:pPr>
      <w:r w:rsidRPr="00DE12A3">
        <w:rPr>
          <w:sz w:val="24"/>
          <w:szCs w:val="24"/>
        </w:rPr>
        <w:t xml:space="preserve">                 </w:t>
      </w:r>
      <w:r w:rsidR="00242DA0" w:rsidRPr="00DE12A3">
        <w:rPr>
          <w:sz w:val="24"/>
          <w:szCs w:val="24"/>
        </w:rPr>
        <w:t>Tanımı, karayolu dışında kullanılan hareketli makinaların çalışmasıyla bağlantılı ve motora monte edilmiş olabilecek bazı yardımcı cihazlar test için sökülür.</w:t>
      </w:r>
    </w:p>
    <w:p w14:paraId="4E3E164A" w14:textId="2445920F" w:rsidR="002D7B36" w:rsidRPr="00DE12A3" w:rsidRDefault="00987432" w:rsidP="00C917D6">
      <w:pPr>
        <w:pStyle w:val="Gvdemetni250"/>
        <w:spacing w:before="120" w:after="120" w:line="240" w:lineRule="auto"/>
        <w:ind w:left="1134" w:hanging="1134"/>
        <w:rPr>
          <w:sz w:val="24"/>
          <w:szCs w:val="24"/>
        </w:rPr>
      </w:pPr>
      <w:r w:rsidRPr="00DE12A3">
        <w:rPr>
          <w:sz w:val="24"/>
          <w:szCs w:val="24"/>
        </w:rPr>
        <w:t xml:space="preserve">                  </w:t>
      </w:r>
      <w:r w:rsidR="00242DA0" w:rsidRPr="00DE12A3">
        <w:rPr>
          <w:sz w:val="24"/>
          <w:szCs w:val="24"/>
        </w:rPr>
        <w:t xml:space="preserve">Yardımcı cihazların sökülemediği durumlarda, yüksüz durumda çektikleri güç belirlenebilir ve ölçülen motor gücüne eklenebilir (bkz. </w:t>
      </w:r>
      <w:r w:rsidR="00EF6BD1" w:rsidRPr="00DE12A3">
        <w:rPr>
          <w:sz w:val="24"/>
          <w:szCs w:val="24"/>
        </w:rPr>
        <w:t xml:space="preserve">Bu Ekin </w:t>
      </w:r>
      <w:r w:rsidR="00FA0678" w:rsidRPr="00DE12A3">
        <w:rPr>
          <w:sz w:val="24"/>
          <w:szCs w:val="24"/>
        </w:rPr>
        <w:t>2. Açıklayıcı Ek</w:t>
      </w:r>
      <w:r w:rsidR="00EF6BD1" w:rsidRPr="00DE12A3">
        <w:rPr>
          <w:sz w:val="24"/>
          <w:szCs w:val="24"/>
        </w:rPr>
        <w:t>inde yer alan</w:t>
      </w:r>
      <w:r w:rsidR="00242DA0" w:rsidRPr="00DE12A3">
        <w:rPr>
          <w:sz w:val="24"/>
          <w:szCs w:val="24"/>
        </w:rPr>
        <w:t xml:space="preserve"> </w:t>
      </w:r>
      <w:r w:rsidR="00EF6BD1" w:rsidRPr="00DE12A3">
        <w:rPr>
          <w:sz w:val="24"/>
          <w:szCs w:val="24"/>
        </w:rPr>
        <w:t>(</w:t>
      </w:r>
      <w:r w:rsidR="00242DA0" w:rsidRPr="00DE12A3">
        <w:rPr>
          <w:sz w:val="24"/>
          <w:szCs w:val="24"/>
        </w:rPr>
        <w:t>g</w:t>
      </w:r>
      <w:r w:rsidR="00EF6BD1" w:rsidRPr="00DE12A3">
        <w:rPr>
          <w:sz w:val="24"/>
          <w:szCs w:val="24"/>
        </w:rPr>
        <w:t>)</w:t>
      </w:r>
      <w:r w:rsidR="00242DA0" w:rsidRPr="00DE12A3">
        <w:rPr>
          <w:sz w:val="24"/>
          <w:szCs w:val="24"/>
        </w:rPr>
        <w:t xml:space="preserve"> </w:t>
      </w:r>
      <w:r w:rsidR="00EF6BD1" w:rsidRPr="00DE12A3">
        <w:rPr>
          <w:sz w:val="24"/>
          <w:szCs w:val="24"/>
        </w:rPr>
        <w:t>dip</w:t>
      </w:r>
      <w:r w:rsidR="00242DA0" w:rsidRPr="00DE12A3">
        <w:rPr>
          <w:sz w:val="24"/>
          <w:szCs w:val="24"/>
        </w:rPr>
        <w:t>notu). Bu değer, test devrindeki azami gücün %3'ünden büyükse, teknik servis tarafından doğrulanabilir. Yardımcı cihazlar tarafından çekilen güç, ayar değerlerini ayarlamak ve 7.7.1.3</w:t>
      </w:r>
      <w:r w:rsidR="00EF6BD1" w:rsidRPr="00DE12A3">
        <w:rPr>
          <w:sz w:val="24"/>
          <w:szCs w:val="24"/>
        </w:rPr>
        <w:t xml:space="preserve"> bendi</w:t>
      </w:r>
      <w:r w:rsidR="00242DA0" w:rsidRPr="00DE12A3">
        <w:rPr>
          <w:sz w:val="24"/>
          <w:szCs w:val="24"/>
        </w:rPr>
        <w:t xml:space="preserve"> veya 7.7.2.3</w:t>
      </w:r>
      <w:r w:rsidR="00EF6BD1" w:rsidRPr="00DE12A3">
        <w:rPr>
          <w:sz w:val="24"/>
          <w:szCs w:val="24"/>
        </w:rPr>
        <w:t xml:space="preserve"> bendinin </w:t>
      </w:r>
      <w:r w:rsidR="00242DA0" w:rsidRPr="00DE12A3">
        <w:rPr>
          <w:sz w:val="24"/>
          <w:szCs w:val="24"/>
        </w:rPr>
        <w:t xml:space="preserve">(b) </w:t>
      </w:r>
      <w:r w:rsidR="00EF6BD1" w:rsidRPr="00DE12A3">
        <w:rPr>
          <w:sz w:val="24"/>
          <w:szCs w:val="24"/>
        </w:rPr>
        <w:t xml:space="preserve">numaralı alt </w:t>
      </w:r>
      <w:r w:rsidR="00242DA0" w:rsidRPr="00DE12A3">
        <w:rPr>
          <w:sz w:val="24"/>
          <w:szCs w:val="24"/>
        </w:rPr>
        <w:t>ben</w:t>
      </w:r>
      <w:r w:rsidR="00EF6BD1" w:rsidRPr="00DE12A3">
        <w:rPr>
          <w:sz w:val="24"/>
          <w:szCs w:val="24"/>
        </w:rPr>
        <w:t>di</w:t>
      </w:r>
      <w:r w:rsidR="00242DA0" w:rsidRPr="00DE12A3">
        <w:rPr>
          <w:sz w:val="24"/>
          <w:szCs w:val="24"/>
        </w:rPr>
        <w:t xml:space="preserve"> uyarınca, test </w:t>
      </w:r>
      <w:r w:rsidR="00EF0D08" w:rsidRPr="00DE12A3">
        <w:rPr>
          <w:sz w:val="24"/>
          <w:szCs w:val="24"/>
        </w:rPr>
        <w:t>çevrimi boyunca</w:t>
      </w:r>
      <w:r w:rsidR="00242DA0" w:rsidRPr="00DE12A3">
        <w:rPr>
          <w:sz w:val="24"/>
          <w:szCs w:val="24"/>
        </w:rPr>
        <w:t xml:space="preserve"> motor tarafından üretilen işi hesaplamak için kullanılır. </w:t>
      </w:r>
    </w:p>
    <w:p w14:paraId="3EE9EB20" w14:textId="77777777" w:rsidR="002D7B36" w:rsidRPr="00DE12A3" w:rsidRDefault="00987432" w:rsidP="00E20716">
      <w:pPr>
        <w:pStyle w:val="Gvdemetni250"/>
        <w:numPr>
          <w:ilvl w:val="0"/>
          <w:numId w:val="133"/>
        </w:numPr>
        <w:spacing w:before="120" w:after="120" w:line="240" w:lineRule="auto"/>
        <w:ind w:left="1134" w:hanging="1134"/>
        <w:rPr>
          <w:sz w:val="24"/>
          <w:szCs w:val="24"/>
        </w:rPr>
      </w:pPr>
      <w:r w:rsidRPr="00DE12A3">
        <w:rPr>
          <w:sz w:val="24"/>
          <w:szCs w:val="24"/>
        </w:rPr>
        <w:t xml:space="preserve">       </w:t>
      </w:r>
      <w:r w:rsidR="00242DA0" w:rsidRPr="00DE12A3">
        <w:rPr>
          <w:sz w:val="24"/>
          <w:szCs w:val="24"/>
        </w:rPr>
        <w:t>Yardımcı gücün belirlenmesi</w:t>
      </w:r>
    </w:p>
    <w:p w14:paraId="2EEE0716" w14:textId="77777777" w:rsidR="002D7B36" w:rsidRPr="00DE12A3" w:rsidRDefault="00987432" w:rsidP="00C917D6">
      <w:pPr>
        <w:pStyle w:val="Gvdemetni250"/>
        <w:spacing w:before="120" w:after="120" w:line="240" w:lineRule="auto"/>
        <w:ind w:left="1134" w:hanging="1134"/>
        <w:rPr>
          <w:sz w:val="24"/>
          <w:szCs w:val="24"/>
        </w:rPr>
      </w:pPr>
      <w:r w:rsidRPr="00DE12A3">
        <w:rPr>
          <w:sz w:val="24"/>
          <w:szCs w:val="24"/>
        </w:rPr>
        <w:t xml:space="preserve">                   </w:t>
      </w:r>
      <w:r w:rsidR="00242DA0" w:rsidRPr="00DE12A3">
        <w:rPr>
          <w:sz w:val="24"/>
          <w:szCs w:val="24"/>
        </w:rPr>
        <w:t xml:space="preserve">6.3.2 ve 6.3.3 bentleri uyarınca uygulanabildiği durumlarda, yardımcı güç </w:t>
      </w:r>
      <w:r w:rsidR="00242DA0" w:rsidRPr="00DE12A3">
        <w:rPr>
          <w:sz w:val="24"/>
          <w:szCs w:val="24"/>
        </w:rPr>
        <w:lastRenderedPageBreak/>
        <w:t xml:space="preserve">değerleri ve yardımcı gücü belirlemeye yönelik ölçüm/hesaplama yöntemi, geçerli test </w:t>
      </w:r>
      <w:r w:rsidR="00F310B5" w:rsidRPr="00DE12A3">
        <w:rPr>
          <w:sz w:val="24"/>
          <w:szCs w:val="24"/>
        </w:rPr>
        <w:t>çevrim</w:t>
      </w:r>
      <w:r w:rsidR="00242DA0" w:rsidRPr="00DE12A3">
        <w:rPr>
          <w:sz w:val="24"/>
          <w:szCs w:val="24"/>
        </w:rPr>
        <w:t xml:space="preserve">lerinin tüm çalışma alanı için motor imalatçısı tarafından sunulur ve </w:t>
      </w:r>
      <w:r w:rsidR="007E2039" w:rsidRPr="00DE12A3">
        <w:rPr>
          <w:sz w:val="24"/>
          <w:szCs w:val="24"/>
        </w:rPr>
        <w:t xml:space="preserve">onay </w:t>
      </w:r>
      <w:r w:rsidR="006F6A17" w:rsidRPr="00DE12A3">
        <w:rPr>
          <w:sz w:val="24"/>
          <w:szCs w:val="24"/>
        </w:rPr>
        <w:t>kuruluşu tarafından</w:t>
      </w:r>
      <w:r w:rsidR="00242DA0" w:rsidRPr="00DE12A3">
        <w:rPr>
          <w:sz w:val="24"/>
          <w:szCs w:val="24"/>
        </w:rPr>
        <w:t xml:space="preserve"> onaylanır.</w:t>
      </w:r>
    </w:p>
    <w:p w14:paraId="7C92B65F" w14:textId="77777777" w:rsidR="002D7B36" w:rsidRPr="00DE12A3" w:rsidRDefault="00987432" w:rsidP="00E20716">
      <w:pPr>
        <w:pStyle w:val="Gvdemetni250"/>
        <w:numPr>
          <w:ilvl w:val="0"/>
          <w:numId w:val="133"/>
        </w:numPr>
        <w:spacing w:before="120" w:after="120" w:line="240" w:lineRule="auto"/>
        <w:ind w:left="1134" w:hanging="1134"/>
        <w:rPr>
          <w:sz w:val="24"/>
          <w:szCs w:val="24"/>
        </w:rPr>
      </w:pPr>
      <w:r w:rsidRPr="00DE12A3">
        <w:rPr>
          <w:sz w:val="24"/>
          <w:szCs w:val="24"/>
        </w:rPr>
        <w:t xml:space="preserve">       </w:t>
      </w:r>
      <w:r w:rsidR="00242DA0" w:rsidRPr="00DE12A3">
        <w:rPr>
          <w:sz w:val="24"/>
          <w:szCs w:val="24"/>
        </w:rPr>
        <w:t xml:space="preserve">Motor </w:t>
      </w:r>
      <w:r w:rsidR="00F310B5" w:rsidRPr="00DE12A3">
        <w:rPr>
          <w:sz w:val="24"/>
          <w:szCs w:val="24"/>
        </w:rPr>
        <w:t>çevrim</w:t>
      </w:r>
      <w:r w:rsidR="00242DA0" w:rsidRPr="00DE12A3">
        <w:rPr>
          <w:sz w:val="24"/>
          <w:szCs w:val="24"/>
        </w:rPr>
        <w:t xml:space="preserve"> çalışması</w:t>
      </w:r>
    </w:p>
    <w:p w14:paraId="236B637C" w14:textId="1C00FF40" w:rsidR="002D7B36" w:rsidRPr="00DE12A3" w:rsidRDefault="00987432" w:rsidP="00C917D6">
      <w:pPr>
        <w:pStyle w:val="Gvdemetni250"/>
        <w:spacing w:before="120" w:after="120" w:line="240" w:lineRule="auto"/>
        <w:ind w:left="1134" w:hanging="1134"/>
        <w:rPr>
          <w:sz w:val="24"/>
          <w:szCs w:val="24"/>
        </w:rPr>
      </w:pPr>
      <w:r w:rsidRPr="00DE12A3">
        <w:rPr>
          <w:sz w:val="24"/>
          <w:szCs w:val="24"/>
        </w:rPr>
        <w:t xml:space="preserve">                   </w:t>
      </w:r>
      <w:r w:rsidR="00242DA0" w:rsidRPr="00DE12A3">
        <w:rPr>
          <w:sz w:val="24"/>
          <w:szCs w:val="24"/>
        </w:rPr>
        <w:t xml:space="preserve">Referans ve fiili </w:t>
      </w:r>
      <w:r w:rsidR="00F310B5" w:rsidRPr="00DE12A3">
        <w:rPr>
          <w:sz w:val="24"/>
          <w:szCs w:val="24"/>
        </w:rPr>
        <w:t>çevrim</w:t>
      </w:r>
      <w:r w:rsidR="00242DA0" w:rsidRPr="00DE12A3">
        <w:rPr>
          <w:sz w:val="24"/>
          <w:szCs w:val="24"/>
        </w:rPr>
        <w:t xml:space="preserve"> çalışmasının (bkz. 7.8.3.4 bendi) hesaplanması, 6.3.1 bendi uyarınca motor gücüne dayalı olmalıdır. Bu durumda, (6-7) </w:t>
      </w:r>
      <w:r w:rsidR="005E1C7E" w:rsidRPr="00DE12A3">
        <w:rPr>
          <w:sz w:val="24"/>
          <w:szCs w:val="24"/>
        </w:rPr>
        <w:t xml:space="preserve">numaralı </w:t>
      </w:r>
      <w:r w:rsidR="00242DA0" w:rsidRPr="00DE12A3">
        <w:rPr>
          <w:sz w:val="24"/>
          <w:szCs w:val="24"/>
        </w:rPr>
        <w:t xml:space="preserve">denklemde </w:t>
      </w:r>
      <w:r w:rsidR="00242DA0" w:rsidRPr="00DE12A3">
        <w:rPr>
          <w:i/>
          <w:iCs/>
          <w:sz w:val="24"/>
          <w:szCs w:val="24"/>
        </w:rPr>
        <w:t>P</w:t>
      </w:r>
      <w:r w:rsidR="00242DA0" w:rsidRPr="00DE12A3">
        <w:rPr>
          <w:sz w:val="24"/>
          <w:szCs w:val="24"/>
          <w:vertAlign w:val="subscript"/>
        </w:rPr>
        <w:t>f</w:t>
      </w:r>
      <w:r w:rsidR="00242DA0" w:rsidRPr="00DE12A3">
        <w:rPr>
          <w:sz w:val="24"/>
          <w:szCs w:val="24"/>
        </w:rPr>
        <w:t xml:space="preserve"> ve </w:t>
      </w:r>
      <w:r w:rsidR="00242DA0" w:rsidRPr="00DE12A3">
        <w:rPr>
          <w:i/>
          <w:iCs/>
          <w:sz w:val="24"/>
          <w:szCs w:val="24"/>
        </w:rPr>
        <w:t>P</w:t>
      </w:r>
      <w:r w:rsidR="00242DA0" w:rsidRPr="00DE12A3">
        <w:rPr>
          <w:sz w:val="24"/>
          <w:szCs w:val="24"/>
          <w:vertAlign w:val="subscript"/>
        </w:rPr>
        <w:t>r</w:t>
      </w:r>
      <w:r w:rsidR="00242DA0" w:rsidRPr="00DE12A3">
        <w:rPr>
          <w:sz w:val="24"/>
          <w:szCs w:val="24"/>
        </w:rPr>
        <w:t xml:space="preserve"> sıfırdır ve </w:t>
      </w:r>
      <w:r w:rsidR="00242DA0" w:rsidRPr="00DE12A3">
        <w:rPr>
          <w:i/>
          <w:iCs/>
          <w:sz w:val="24"/>
          <w:szCs w:val="24"/>
        </w:rPr>
        <w:t>P</w:t>
      </w:r>
      <w:r w:rsidR="00242DA0" w:rsidRPr="00DE12A3">
        <w:rPr>
          <w:sz w:val="24"/>
          <w:szCs w:val="24"/>
        </w:rPr>
        <w:t xml:space="preserve">, </w:t>
      </w:r>
      <w:r w:rsidR="00242DA0" w:rsidRPr="00DE12A3">
        <w:rPr>
          <w:i/>
          <w:iCs/>
          <w:sz w:val="24"/>
          <w:szCs w:val="24"/>
        </w:rPr>
        <w:t>P</w:t>
      </w:r>
      <w:r w:rsidR="00242DA0" w:rsidRPr="00DE12A3">
        <w:rPr>
          <w:sz w:val="24"/>
          <w:szCs w:val="24"/>
          <w:vertAlign w:val="subscript"/>
        </w:rPr>
        <w:t>m</w:t>
      </w:r>
      <w:r w:rsidR="00242DA0" w:rsidRPr="00DE12A3">
        <w:rPr>
          <w:sz w:val="24"/>
          <w:szCs w:val="24"/>
        </w:rPr>
        <w:t>'ye eşittir.</w:t>
      </w:r>
    </w:p>
    <w:p w14:paraId="69D44105" w14:textId="6D4CFDC2" w:rsidR="002D7B36" w:rsidRPr="00DE12A3" w:rsidRDefault="00987432" w:rsidP="00C917D6">
      <w:pPr>
        <w:pStyle w:val="Gvdemetni250"/>
        <w:spacing w:before="120" w:after="120" w:line="240" w:lineRule="auto"/>
        <w:ind w:left="1134" w:hanging="1134"/>
        <w:rPr>
          <w:sz w:val="24"/>
          <w:szCs w:val="24"/>
        </w:rPr>
      </w:pPr>
      <w:r w:rsidRPr="00DE12A3">
        <w:rPr>
          <w:sz w:val="24"/>
          <w:szCs w:val="24"/>
        </w:rPr>
        <w:t xml:space="preserve">                  </w:t>
      </w:r>
      <w:r w:rsidR="00242DA0" w:rsidRPr="00DE12A3">
        <w:rPr>
          <w:sz w:val="24"/>
          <w:szCs w:val="24"/>
        </w:rPr>
        <w:t xml:space="preserve">6.3.2 ve/veya 6.3.3 bentleri uyarınca yardımcı cihazlar/aksamlar monte edilmesi durumunda, bunlar tarafından çekilen güç, (6-8) </w:t>
      </w:r>
      <w:r w:rsidR="005E1C7E" w:rsidRPr="00DE12A3">
        <w:rPr>
          <w:sz w:val="24"/>
          <w:szCs w:val="24"/>
        </w:rPr>
        <w:t xml:space="preserve">numaralı </w:t>
      </w:r>
      <w:r w:rsidR="00242DA0" w:rsidRPr="00DE12A3">
        <w:rPr>
          <w:sz w:val="24"/>
          <w:szCs w:val="24"/>
        </w:rPr>
        <w:t xml:space="preserve">denklem ile her anlık </w:t>
      </w:r>
      <w:r w:rsidR="00F310B5" w:rsidRPr="00DE12A3">
        <w:rPr>
          <w:sz w:val="24"/>
          <w:szCs w:val="24"/>
        </w:rPr>
        <w:t>çevrim</w:t>
      </w:r>
      <w:r w:rsidR="00242DA0" w:rsidRPr="00DE12A3">
        <w:rPr>
          <w:sz w:val="24"/>
          <w:szCs w:val="24"/>
        </w:rPr>
        <w:t xml:space="preserve"> güç değerini (</w:t>
      </w:r>
      <w:r w:rsidR="00242DA0" w:rsidRPr="00DE12A3">
        <w:rPr>
          <w:i/>
          <w:iCs/>
          <w:sz w:val="24"/>
          <w:szCs w:val="24"/>
        </w:rPr>
        <w:t>P</w:t>
      </w:r>
      <w:r w:rsidR="00242DA0" w:rsidRPr="00DE12A3">
        <w:rPr>
          <w:sz w:val="24"/>
          <w:szCs w:val="24"/>
          <w:vertAlign w:val="subscript"/>
        </w:rPr>
        <w:t>m,i</w:t>
      </w:r>
      <w:r w:rsidR="00242DA0" w:rsidRPr="00DE12A3">
        <w:rPr>
          <w:sz w:val="24"/>
          <w:szCs w:val="24"/>
        </w:rPr>
        <w:t>) düzeltmek için kullanılır:</w:t>
      </w:r>
    </w:p>
    <w:p w14:paraId="0ECF46C5" w14:textId="77777777" w:rsidR="00987432" w:rsidRPr="00DE12A3" w:rsidRDefault="00987432" w:rsidP="00C917D6">
      <w:pPr>
        <w:pStyle w:val="Gvdemetni250"/>
        <w:spacing w:before="120" w:after="120" w:line="240" w:lineRule="auto"/>
        <w:ind w:left="1134" w:hanging="1134"/>
        <w:rPr>
          <w:sz w:val="24"/>
          <w:szCs w:val="24"/>
        </w:rPr>
      </w:pPr>
    </w:p>
    <w:tbl>
      <w:tblPr>
        <w:tblW w:w="0" w:type="auto"/>
        <w:jc w:val="center"/>
        <w:tblLayout w:type="fixed"/>
        <w:tblLook w:val="0000" w:firstRow="0" w:lastRow="0" w:firstColumn="0" w:lastColumn="0" w:noHBand="0" w:noVBand="0"/>
      </w:tblPr>
      <w:tblGrid>
        <w:gridCol w:w="3951"/>
        <w:gridCol w:w="1614"/>
      </w:tblGrid>
      <w:tr w:rsidR="00DE12A3" w:rsidRPr="00DE12A3" w14:paraId="347BE87A" w14:textId="77777777" w:rsidTr="00987432">
        <w:trPr>
          <w:trHeight w:val="842"/>
          <w:jc w:val="center"/>
        </w:trPr>
        <w:tc>
          <w:tcPr>
            <w:tcW w:w="3951" w:type="dxa"/>
          </w:tcPr>
          <w:p w14:paraId="40DAA0E6" w14:textId="77777777" w:rsidR="00987432" w:rsidRPr="00DE12A3" w:rsidRDefault="00987432" w:rsidP="00C917D6">
            <w:pPr>
              <w:pStyle w:val="NormalLeft"/>
            </w:pPr>
            <w:r w:rsidRPr="00DE12A3">
              <w:rPr>
                <w:i/>
                <w:iCs/>
              </w:rPr>
              <w:t>P</w:t>
            </w:r>
            <w:r w:rsidRPr="00DE12A3">
              <w:rPr>
                <w:vertAlign w:val="subscript"/>
              </w:rPr>
              <w:t>i</w:t>
            </w:r>
            <w:r w:rsidRPr="00DE12A3">
              <w:t xml:space="preserve"> = </w:t>
            </w:r>
            <w:r w:rsidRPr="00DE12A3">
              <w:rPr>
                <w:i/>
                <w:iCs/>
              </w:rPr>
              <w:t>P</w:t>
            </w:r>
            <w:r w:rsidRPr="00DE12A3">
              <w:rPr>
                <w:vertAlign w:val="subscript"/>
              </w:rPr>
              <w:t>m,i</w:t>
            </w:r>
            <w:r w:rsidRPr="00DE12A3">
              <w:t xml:space="preserve"> – </w:t>
            </w:r>
            <w:r w:rsidRPr="00DE12A3">
              <w:rPr>
                <w:i/>
                <w:iCs/>
              </w:rPr>
              <w:t>P</w:t>
            </w:r>
            <w:r w:rsidRPr="00DE12A3">
              <w:rPr>
                <w:vertAlign w:val="subscript"/>
              </w:rPr>
              <w:t>f,i</w:t>
            </w:r>
            <w:r w:rsidRPr="00DE12A3">
              <w:t xml:space="preserve"> + </w:t>
            </w:r>
            <w:r w:rsidRPr="00DE12A3">
              <w:rPr>
                <w:i/>
                <w:iCs/>
              </w:rPr>
              <w:t>P</w:t>
            </w:r>
            <w:r w:rsidRPr="00DE12A3">
              <w:rPr>
                <w:vertAlign w:val="subscript"/>
              </w:rPr>
              <w:t>r,i</w:t>
            </w:r>
          </w:p>
        </w:tc>
        <w:tc>
          <w:tcPr>
            <w:tcW w:w="1614" w:type="dxa"/>
          </w:tcPr>
          <w:p w14:paraId="1E5B6D46" w14:textId="77777777" w:rsidR="00987432" w:rsidRPr="00DE12A3" w:rsidRDefault="00987432" w:rsidP="00C917D6">
            <w:pPr>
              <w:pStyle w:val="NormalLeft"/>
            </w:pPr>
            <w:r w:rsidRPr="00DE12A3">
              <w:t>(6-7)</w:t>
            </w:r>
          </w:p>
        </w:tc>
      </w:tr>
      <w:tr w:rsidR="00DE12A3" w:rsidRPr="00DE12A3" w14:paraId="1E2D3FDD" w14:textId="77777777" w:rsidTr="00987432">
        <w:trPr>
          <w:trHeight w:val="561"/>
          <w:jc w:val="center"/>
        </w:trPr>
        <w:tc>
          <w:tcPr>
            <w:tcW w:w="3951" w:type="dxa"/>
          </w:tcPr>
          <w:p w14:paraId="10926631" w14:textId="77777777" w:rsidR="00987432" w:rsidRPr="00DE12A3" w:rsidRDefault="00987432" w:rsidP="00C917D6">
            <w:pPr>
              <w:pStyle w:val="NormalLeft"/>
            </w:pPr>
            <w:r w:rsidRPr="00DE12A3">
              <w:rPr>
                <w:i/>
                <w:iCs/>
              </w:rPr>
              <w:t>P</w:t>
            </w:r>
            <w:r w:rsidRPr="00DE12A3">
              <w:rPr>
                <w:vertAlign w:val="subscript"/>
              </w:rPr>
              <w:t>AUX</w:t>
            </w:r>
            <w:r w:rsidRPr="00DE12A3">
              <w:t xml:space="preserve"> = </w:t>
            </w:r>
            <w:r w:rsidRPr="00DE12A3">
              <w:rPr>
                <w:i/>
                <w:iCs/>
              </w:rPr>
              <w:t>P</w:t>
            </w:r>
            <w:r w:rsidRPr="00DE12A3">
              <w:rPr>
                <w:vertAlign w:val="subscript"/>
              </w:rPr>
              <w:t>r,i</w:t>
            </w:r>
            <w:r w:rsidRPr="00DE12A3">
              <w:t xml:space="preserve"> – </w:t>
            </w:r>
            <w:r w:rsidRPr="00DE12A3">
              <w:rPr>
                <w:i/>
                <w:iCs/>
              </w:rPr>
              <w:t>P</w:t>
            </w:r>
            <w:r w:rsidRPr="00DE12A3">
              <w:rPr>
                <w:vertAlign w:val="subscript"/>
              </w:rPr>
              <w:t>f,i</w:t>
            </w:r>
          </w:p>
        </w:tc>
        <w:tc>
          <w:tcPr>
            <w:tcW w:w="1614" w:type="dxa"/>
          </w:tcPr>
          <w:p w14:paraId="5B671F6B" w14:textId="77777777" w:rsidR="00987432" w:rsidRPr="00DE12A3" w:rsidRDefault="00987432" w:rsidP="00C917D6">
            <w:pPr>
              <w:pStyle w:val="NormalLeft"/>
            </w:pPr>
            <w:r w:rsidRPr="00DE12A3">
              <w:t>(6-8)</w:t>
            </w:r>
          </w:p>
        </w:tc>
      </w:tr>
    </w:tbl>
    <w:p w14:paraId="48F7BBA7" w14:textId="77777777" w:rsidR="002D7B36" w:rsidRPr="00DE12A3" w:rsidRDefault="00242DA0" w:rsidP="00C917D6">
      <w:pPr>
        <w:pStyle w:val="Gvdemetni250"/>
        <w:spacing w:before="120" w:after="120" w:line="240" w:lineRule="auto"/>
        <w:ind w:left="1134" w:firstLine="0"/>
        <w:rPr>
          <w:sz w:val="24"/>
          <w:szCs w:val="24"/>
        </w:rPr>
      </w:pPr>
      <w:r w:rsidRPr="00DE12A3">
        <w:rPr>
          <w:sz w:val="24"/>
          <w:szCs w:val="24"/>
        </w:rPr>
        <w:t>Burada:</w:t>
      </w:r>
    </w:p>
    <w:p w14:paraId="62E6E29D" w14:textId="77777777" w:rsidR="002D7B36" w:rsidRPr="00DE12A3" w:rsidRDefault="00242DA0" w:rsidP="00C917D6">
      <w:pPr>
        <w:pStyle w:val="Gvdemetni250"/>
        <w:spacing w:before="120" w:after="120" w:line="240" w:lineRule="auto"/>
        <w:ind w:left="1134" w:firstLine="0"/>
        <w:rPr>
          <w:sz w:val="24"/>
          <w:szCs w:val="24"/>
        </w:rPr>
      </w:pPr>
      <w:r w:rsidRPr="00DE12A3">
        <w:rPr>
          <w:i/>
          <w:iCs/>
          <w:sz w:val="24"/>
          <w:szCs w:val="24"/>
        </w:rPr>
        <w:t>P</w:t>
      </w:r>
      <w:r w:rsidRPr="00DE12A3">
        <w:rPr>
          <w:sz w:val="24"/>
          <w:szCs w:val="24"/>
          <w:vertAlign w:val="subscript"/>
        </w:rPr>
        <w:t>m,i</w:t>
      </w:r>
      <w:r w:rsidRPr="00DE12A3">
        <w:rPr>
          <w:i/>
          <w:iCs/>
          <w:sz w:val="24"/>
          <w:szCs w:val="24"/>
        </w:rPr>
        <w:tab/>
      </w:r>
      <w:r w:rsidRPr="00DE12A3">
        <w:rPr>
          <w:iCs/>
          <w:sz w:val="24"/>
          <w:szCs w:val="24"/>
        </w:rPr>
        <w:t>ölçülen motor gücüdür</w:t>
      </w:r>
      <w:r w:rsidRPr="00DE12A3">
        <w:rPr>
          <w:i/>
          <w:iCs/>
          <w:sz w:val="24"/>
          <w:szCs w:val="24"/>
        </w:rPr>
        <w:t>, kW</w:t>
      </w:r>
    </w:p>
    <w:p w14:paraId="4E907EEB" w14:textId="77777777" w:rsidR="002D7B36" w:rsidRPr="00DE12A3" w:rsidRDefault="00242DA0" w:rsidP="00C917D6">
      <w:pPr>
        <w:pStyle w:val="Gvdemetni250"/>
        <w:spacing w:before="120" w:after="120" w:line="240" w:lineRule="auto"/>
        <w:ind w:left="1134" w:firstLine="0"/>
        <w:rPr>
          <w:sz w:val="24"/>
          <w:szCs w:val="24"/>
        </w:rPr>
      </w:pPr>
      <w:r w:rsidRPr="00DE12A3">
        <w:rPr>
          <w:i/>
          <w:iCs/>
          <w:sz w:val="24"/>
          <w:szCs w:val="24"/>
        </w:rPr>
        <w:t>P</w:t>
      </w:r>
      <w:r w:rsidRPr="00DE12A3">
        <w:rPr>
          <w:i/>
          <w:iCs/>
          <w:sz w:val="24"/>
          <w:szCs w:val="24"/>
          <w:vertAlign w:val="subscript"/>
        </w:rPr>
        <w:t>f,i</w:t>
      </w:r>
      <w:r w:rsidRPr="00DE12A3">
        <w:rPr>
          <w:sz w:val="24"/>
          <w:szCs w:val="24"/>
        </w:rPr>
        <w:tab/>
      </w:r>
      <w:r w:rsidRPr="00DE12A3">
        <w:rPr>
          <w:iCs/>
          <w:sz w:val="24"/>
          <w:szCs w:val="24"/>
        </w:rPr>
        <w:t>test için takılacak olup da monte edilmemiş olan yardımcı cihazlar/aksamlar tarafından çekilen güçtür,</w:t>
      </w:r>
      <w:r w:rsidRPr="00DE12A3">
        <w:rPr>
          <w:i/>
          <w:iCs/>
          <w:sz w:val="24"/>
          <w:szCs w:val="24"/>
        </w:rPr>
        <w:t xml:space="preserve"> kW</w:t>
      </w:r>
    </w:p>
    <w:p w14:paraId="1861EE11" w14:textId="77777777" w:rsidR="002D7B36" w:rsidRPr="00DE12A3" w:rsidRDefault="00242DA0" w:rsidP="00C917D6">
      <w:pPr>
        <w:pStyle w:val="Gvdemetni250"/>
        <w:spacing w:before="120" w:after="120" w:line="240" w:lineRule="auto"/>
        <w:ind w:left="1134" w:firstLine="0"/>
        <w:rPr>
          <w:sz w:val="24"/>
          <w:szCs w:val="24"/>
        </w:rPr>
      </w:pPr>
      <w:r w:rsidRPr="00DE12A3">
        <w:rPr>
          <w:i/>
          <w:iCs/>
          <w:sz w:val="24"/>
          <w:szCs w:val="24"/>
        </w:rPr>
        <w:t>P</w:t>
      </w:r>
      <w:r w:rsidRPr="00DE12A3">
        <w:rPr>
          <w:b/>
          <w:bCs/>
          <w:sz w:val="24"/>
          <w:szCs w:val="24"/>
          <w:vertAlign w:val="subscript"/>
        </w:rPr>
        <w:t>r,i</w:t>
      </w:r>
      <w:r w:rsidRPr="00DE12A3">
        <w:rPr>
          <w:b/>
          <w:bCs/>
          <w:sz w:val="24"/>
          <w:szCs w:val="24"/>
        </w:rPr>
        <w:tab/>
      </w:r>
      <w:r w:rsidRPr="00DE12A3">
        <w:rPr>
          <w:iCs/>
          <w:sz w:val="24"/>
          <w:szCs w:val="24"/>
        </w:rPr>
        <w:t>test için sökülecek olup da monte edilmiş olan yardımcı cihazlar/aksamlar tarafından çekilen güçtür</w:t>
      </w:r>
      <w:r w:rsidRPr="00DE12A3">
        <w:rPr>
          <w:i/>
          <w:iCs/>
          <w:sz w:val="24"/>
          <w:szCs w:val="24"/>
        </w:rPr>
        <w:t>, kW</w:t>
      </w:r>
    </w:p>
    <w:p w14:paraId="7FF6BCD7" w14:textId="77777777" w:rsidR="002D7B36" w:rsidRPr="00DE12A3" w:rsidRDefault="00987432" w:rsidP="00E20716">
      <w:pPr>
        <w:pStyle w:val="Gvdemetni250"/>
        <w:numPr>
          <w:ilvl w:val="0"/>
          <w:numId w:val="134"/>
        </w:numPr>
        <w:spacing w:before="120" w:after="120" w:line="240" w:lineRule="auto"/>
        <w:ind w:left="1134" w:hanging="1134"/>
        <w:rPr>
          <w:sz w:val="24"/>
          <w:szCs w:val="24"/>
        </w:rPr>
      </w:pPr>
      <w:r w:rsidRPr="00DE12A3">
        <w:rPr>
          <w:sz w:val="24"/>
          <w:szCs w:val="24"/>
        </w:rPr>
        <w:t xml:space="preserve">       </w:t>
      </w:r>
      <w:r w:rsidR="00242DA0" w:rsidRPr="00DE12A3">
        <w:rPr>
          <w:sz w:val="24"/>
          <w:szCs w:val="24"/>
        </w:rPr>
        <w:t>Motor emme havası</w:t>
      </w:r>
    </w:p>
    <w:p w14:paraId="37B78CED" w14:textId="77777777" w:rsidR="002D7B36" w:rsidRPr="00DE12A3" w:rsidRDefault="00987432" w:rsidP="00E20716">
      <w:pPr>
        <w:pStyle w:val="Gvdemetni250"/>
        <w:numPr>
          <w:ilvl w:val="0"/>
          <w:numId w:val="135"/>
        </w:numPr>
        <w:spacing w:before="120" w:after="120" w:line="240" w:lineRule="auto"/>
        <w:ind w:left="1134" w:hanging="1134"/>
        <w:rPr>
          <w:sz w:val="24"/>
          <w:szCs w:val="24"/>
        </w:rPr>
      </w:pPr>
      <w:r w:rsidRPr="00DE12A3">
        <w:rPr>
          <w:sz w:val="24"/>
          <w:szCs w:val="24"/>
        </w:rPr>
        <w:t xml:space="preserve">       </w:t>
      </w:r>
      <w:r w:rsidR="00242DA0" w:rsidRPr="00DE12A3">
        <w:rPr>
          <w:sz w:val="24"/>
          <w:szCs w:val="24"/>
        </w:rPr>
        <w:t>Giriş</w:t>
      </w:r>
    </w:p>
    <w:p w14:paraId="17A62DA7" w14:textId="77777777" w:rsidR="002D7B36" w:rsidRPr="00DE12A3" w:rsidRDefault="00987432" w:rsidP="00C917D6">
      <w:pPr>
        <w:pStyle w:val="Gvdemetni250"/>
        <w:spacing w:before="120" w:after="120" w:line="240" w:lineRule="auto"/>
        <w:ind w:left="1134" w:hanging="1134"/>
        <w:rPr>
          <w:sz w:val="24"/>
          <w:szCs w:val="24"/>
        </w:rPr>
      </w:pPr>
      <w:r w:rsidRPr="00DE12A3">
        <w:rPr>
          <w:sz w:val="24"/>
          <w:szCs w:val="24"/>
        </w:rPr>
        <w:t xml:space="preserve">                  </w:t>
      </w:r>
      <w:r w:rsidR="00242DA0" w:rsidRPr="00DE12A3">
        <w:rPr>
          <w:sz w:val="24"/>
          <w:szCs w:val="24"/>
        </w:rPr>
        <w:t>Motora monte edilmiş veya tipik bir hizmet içi yapılandırmayı temsil eden bir emme havası sistemi kullanılmalıdır. Bu sistem, ara soğutucu ve egzoz gazı devridaimini (EGR) içerir.</w:t>
      </w:r>
    </w:p>
    <w:p w14:paraId="5D321311" w14:textId="77777777" w:rsidR="002D7B36" w:rsidRPr="00DE12A3" w:rsidRDefault="00987432" w:rsidP="00E20716">
      <w:pPr>
        <w:pStyle w:val="Gvdemetni250"/>
        <w:numPr>
          <w:ilvl w:val="0"/>
          <w:numId w:val="135"/>
        </w:numPr>
        <w:spacing w:before="120" w:after="120" w:line="240" w:lineRule="auto"/>
        <w:ind w:left="1134" w:hanging="1134"/>
        <w:rPr>
          <w:sz w:val="24"/>
          <w:szCs w:val="24"/>
        </w:rPr>
      </w:pPr>
      <w:r w:rsidRPr="00DE12A3">
        <w:rPr>
          <w:sz w:val="24"/>
          <w:szCs w:val="24"/>
        </w:rPr>
        <w:t xml:space="preserve">        </w:t>
      </w:r>
      <w:r w:rsidR="00242DA0" w:rsidRPr="00DE12A3">
        <w:rPr>
          <w:sz w:val="24"/>
          <w:szCs w:val="24"/>
        </w:rPr>
        <w:t>Emme havası basıncı kısıtlaması</w:t>
      </w:r>
    </w:p>
    <w:p w14:paraId="6512643E" w14:textId="77777777" w:rsidR="002D7B36" w:rsidRPr="00DE12A3" w:rsidRDefault="00987432" w:rsidP="00C917D6">
      <w:pPr>
        <w:pStyle w:val="Gvdemetni250"/>
        <w:spacing w:before="120" w:after="120" w:line="240" w:lineRule="auto"/>
        <w:ind w:left="1134" w:hanging="1134"/>
        <w:rPr>
          <w:sz w:val="24"/>
          <w:szCs w:val="24"/>
        </w:rPr>
      </w:pPr>
      <w:r w:rsidRPr="00DE12A3">
        <w:rPr>
          <w:sz w:val="24"/>
          <w:szCs w:val="24"/>
        </w:rPr>
        <w:t xml:space="preserve">                  </w:t>
      </w:r>
      <w:r w:rsidR="00242DA0" w:rsidRPr="00DE12A3">
        <w:rPr>
          <w:sz w:val="24"/>
          <w:szCs w:val="24"/>
        </w:rPr>
        <w:t>Nominal devirde ve tam yükte bir temiz hava temizleyici için imalatçı tarafından belirtilen azami değer ±300 Pa aralığı içinde bir emme havası basıncı kısıtlaması sunan bir motor emme havası sistemi veya bir test laboratuvarı sistemi kullanılmalıdır. Test laboratuvarı hava besleme sisteminin tasarımı nedeniyle bunun mümkün olmadığı durumlarda, kirli bir filtre için imalatçı tarafından belirtilen değeri aşmayan bir basınç kısıtlamasına, teknik servisin önceden onayı ile izin verilir. Basınç kısıtlamasının statik fark basıncı, imalatçı tarafından belirtilen yerde ve devir ve tork ayar noktalarında ölçülmelidir. İmalatçı bir yer belirtmezse, bu basınç, emme havası sistemine herhangi bir turboşarj veya egzoz gazı devridaimi (EGR) bağlantısından önce ölçülmelidir.</w:t>
      </w:r>
    </w:p>
    <w:p w14:paraId="0D9C7C0A" w14:textId="77777777" w:rsidR="002D7B36" w:rsidRPr="00DE12A3" w:rsidRDefault="00987432" w:rsidP="00C917D6">
      <w:pPr>
        <w:pStyle w:val="Gvdemetni250"/>
        <w:spacing w:before="120" w:after="120" w:line="240" w:lineRule="auto"/>
        <w:ind w:left="1134" w:hanging="1134"/>
        <w:rPr>
          <w:sz w:val="24"/>
          <w:szCs w:val="24"/>
        </w:rPr>
      </w:pPr>
      <w:r w:rsidRPr="00DE12A3">
        <w:rPr>
          <w:sz w:val="24"/>
          <w:szCs w:val="24"/>
          <w:lang w:val="en-US"/>
        </w:rPr>
        <w:t xml:space="preserve">                  </w:t>
      </w:r>
      <w:r w:rsidR="00242DA0" w:rsidRPr="00DE12A3">
        <w:rPr>
          <w:sz w:val="24"/>
          <w:szCs w:val="24"/>
          <w:lang w:val="en-US"/>
        </w:rPr>
        <w:t>5.2.5.1 bendinde tanımlanan MTS, test</w:t>
      </w:r>
      <w:r w:rsidR="00C26D28" w:rsidRPr="00DE12A3">
        <w:rPr>
          <w:sz w:val="24"/>
          <w:szCs w:val="24"/>
          <w:lang w:val="en-US"/>
        </w:rPr>
        <w:t xml:space="preserve"> çe</w:t>
      </w:r>
      <w:r w:rsidR="007E2039" w:rsidRPr="00DE12A3">
        <w:rPr>
          <w:sz w:val="24"/>
          <w:szCs w:val="24"/>
          <w:lang w:val="en-US"/>
        </w:rPr>
        <w:t>vrimini</w:t>
      </w:r>
      <w:r w:rsidR="00242DA0" w:rsidRPr="00DE12A3">
        <w:rPr>
          <w:sz w:val="24"/>
          <w:szCs w:val="24"/>
          <w:lang w:val="en-US"/>
        </w:rPr>
        <w:t xml:space="preserve"> yürütmek için nominal devir yerine kullanıldığında, bu devir, emme havası basıncı ayarlanırken nominal devir yerine kullanılabilir.</w:t>
      </w:r>
    </w:p>
    <w:p w14:paraId="474F331F" w14:textId="77777777" w:rsidR="002D7B36" w:rsidRPr="00DE12A3" w:rsidRDefault="00987432" w:rsidP="00E20716">
      <w:pPr>
        <w:pStyle w:val="Gvdemetni250"/>
        <w:numPr>
          <w:ilvl w:val="0"/>
          <w:numId w:val="134"/>
        </w:numPr>
        <w:spacing w:before="120" w:after="120" w:line="240" w:lineRule="auto"/>
        <w:ind w:left="1134" w:hanging="1134"/>
        <w:rPr>
          <w:sz w:val="24"/>
          <w:szCs w:val="24"/>
        </w:rPr>
      </w:pPr>
      <w:r w:rsidRPr="00DE12A3">
        <w:rPr>
          <w:sz w:val="24"/>
          <w:szCs w:val="24"/>
        </w:rPr>
        <w:t xml:space="preserve">       </w:t>
      </w:r>
      <w:r w:rsidR="00242DA0" w:rsidRPr="00DE12A3">
        <w:rPr>
          <w:sz w:val="24"/>
          <w:szCs w:val="24"/>
        </w:rPr>
        <w:t>Motor egzoz sistemi</w:t>
      </w:r>
    </w:p>
    <w:p w14:paraId="4468FB89" w14:textId="77777777" w:rsidR="002D7B36" w:rsidRPr="00DE12A3" w:rsidRDefault="00987432" w:rsidP="00C917D6">
      <w:pPr>
        <w:pStyle w:val="Gvdemetni250"/>
        <w:spacing w:before="120" w:after="120" w:line="240" w:lineRule="auto"/>
        <w:ind w:left="1134" w:hanging="1134"/>
        <w:rPr>
          <w:sz w:val="24"/>
          <w:szCs w:val="24"/>
        </w:rPr>
      </w:pPr>
      <w:r w:rsidRPr="00DE12A3">
        <w:rPr>
          <w:sz w:val="24"/>
          <w:szCs w:val="24"/>
        </w:rPr>
        <w:t xml:space="preserve">                  </w:t>
      </w:r>
      <w:r w:rsidR="00242DA0" w:rsidRPr="00DE12A3">
        <w:rPr>
          <w:sz w:val="24"/>
          <w:szCs w:val="24"/>
        </w:rPr>
        <w:t xml:space="preserve">Motora monte edilmiş veya tipik bir hizmet içi yapılandırmayı temsil eden bir egzoz sistemi kullanılmalıdır. Egzoz sistemi, 9.3 bendinde belirtilen, egzoz emisyon örneklemesine ilişkin şartlara uygun olmalıdır. Nominal devirde ve tam </w:t>
      </w:r>
      <w:r w:rsidR="00242DA0" w:rsidRPr="00DE12A3">
        <w:rPr>
          <w:sz w:val="24"/>
          <w:szCs w:val="24"/>
        </w:rPr>
        <w:lastRenderedPageBreak/>
        <w:t xml:space="preserve">yükte azami egzoz gazı basıncı kısıtlamasının %80'i ila %100'ü arasında bir statik egzoz gazı geri basıncı sunan bir motor egzoz sistemi veya bir test laboratuvarı sistemi kullanılmalıdır. Egzoz gazı basıncı sınırlaması bir valf kullanılarak ayarlanabilir. Azami egzoz gazı basıncı sınırlaması 5 kPa veya daha az ise, ayar noktası azami değerden en çok 1,0 kPa fazla olmalıdır. 5.2.5.1 bendinde tanımlanan MTS, test </w:t>
      </w:r>
      <w:r w:rsidR="007E2039" w:rsidRPr="00DE12A3">
        <w:rPr>
          <w:sz w:val="24"/>
          <w:szCs w:val="24"/>
        </w:rPr>
        <w:t>çevrimini yürütmek</w:t>
      </w:r>
      <w:r w:rsidR="00242DA0" w:rsidRPr="00DE12A3">
        <w:rPr>
          <w:sz w:val="24"/>
          <w:szCs w:val="24"/>
        </w:rPr>
        <w:t xml:space="preserve"> için nominal devir yerine kullanıldığında, bu devir, egzoz gazı basıncı ayarlanırken nominal devir yerine kullanılabilir.</w:t>
      </w:r>
    </w:p>
    <w:p w14:paraId="0A86975B" w14:textId="77777777" w:rsidR="002D7B36" w:rsidRPr="00DE12A3" w:rsidRDefault="00987432" w:rsidP="00E20716">
      <w:pPr>
        <w:pStyle w:val="Gvdemetni250"/>
        <w:numPr>
          <w:ilvl w:val="0"/>
          <w:numId w:val="134"/>
        </w:numPr>
        <w:spacing w:before="120" w:after="120" w:line="240" w:lineRule="auto"/>
        <w:ind w:left="1134" w:hanging="1134"/>
        <w:rPr>
          <w:sz w:val="24"/>
          <w:szCs w:val="24"/>
        </w:rPr>
      </w:pPr>
      <w:r w:rsidRPr="00DE12A3">
        <w:rPr>
          <w:sz w:val="24"/>
          <w:szCs w:val="24"/>
        </w:rPr>
        <w:t xml:space="preserve">      </w:t>
      </w:r>
      <w:r w:rsidR="00242DA0" w:rsidRPr="00DE12A3">
        <w:rPr>
          <w:sz w:val="24"/>
          <w:szCs w:val="24"/>
        </w:rPr>
        <w:t xml:space="preserve">Egzoz </w:t>
      </w:r>
      <w:r w:rsidR="007E2039" w:rsidRPr="00DE12A3">
        <w:rPr>
          <w:sz w:val="24"/>
          <w:szCs w:val="24"/>
        </w:rPr>
        <w:t xml:space="preserve">arıtma </w:t>
      </w:r>
      <w:r w:rsidR="00242DA0" w:rsidRPr="00DE12A3">
        <w:rPr>
          <w:sz w:val="24"/>
          <w:szCs w:val="24"/>
        </w:rPr>
        <w:t>sistemine sahip motor</w:t>
      </w:r>
    </w:p>
    <w:p w14:paraId="686936B4" w14:textId="77777777" w:rsidR="002D7B36" w:rsidRPr="00DE12A3" w:rsidRDefault="00987432" w:rsidP="00C917D6">
      <w:pPr>
        <w:pStyle w:val="Gvdemetni250"/>
        <w:spacing w:before="120" w:after="120" w:line="240" w:lineRule="auto"/>
        <w:ind w:left="1134" w:hanging="1134"/>
        <w:rPr>
          <w:sz w:val="24"/>
          <w:szCs w:val="24"/>
        </w:rPr>
      </w:pPr>
      <w:r w:rsidRPr="00DE12A3">
        <w:rPr>
          <w:sz w:val="24"/>
          <w:szCs w:val="24"/>
        </w:rPr>
        <w:t xml:space="preserve">                  </w:t>
      </w:r>
      <w:r w:rsidR="00242DA0" w:rsidRPr="00DE12A3">
        <w:rPr>
          <w:sz w:val="24"/>
          <w:szCs w:val="24"/>
        </w:rPr>
        <w:t xml:space="preserve">Motor, doğrudan motora monte edilmemiş bir egzoz </w:t>
      </w:r>
      <w:r w:rsidR="007E2039" w:rsidRPr="00DE12A3">
        <w:rPr>
          <w:sz w:val="24"/>
          <w:szCs w:val="24"/>
        </w:rPr>
        <w:t xml:space="preserve">arıtma </w:t>
      </w:r>
      <w:r w:rsidR="00242DA0" w:rsidRPr="00DE12A3">
        <w:rPr>
          <w:sz w:val="24"/>
          <w:szCs w:val="24"/>
        </w:rPr>
        <w:t xml:space="preserve">sistemi ile donatılmışsa, egzoz borusu, </w:t>
      </w:r>
      <w:r w:rsidR="007E2039" w:rsidRPr="00DE12A3">
        <w:rPr>
          <w:sz w:val="24"/>
          <w:szCs w:val="24"/>
        </w:rPr>
        <w:t xml:space="preserve">arıtma </w:t>
      </w:r>
      <w:r w:rsidR="00242DA0" w:rsidRPr="00DE12A3">
        <w:rPr>
          <w:sz w:val="24"/>
          <w:szCs w:val="24"/>
        </w:rPr>
        <w:t xml:space="preserve">cihazını içeren genleşme bölümünün girişinde en az dört boru çapı için kullanımda bulunanla aynı çapa sahip olmalıdır. Egzoz manifoldu flanşından veya turboşarj çıkışından egzoz </w:t>
      </w:r>
      <w:r w:rsidR="007E2039" w:rsidRPr="00DE12A3">
        <w:rPr>
          <w:sz w:val="24"/>
          <w:szCs w:val="24"/>
        </w:rPr>
        <w:t xml:space="preserve">arıtma </w:t>
      </w:r>
      <w:r w:rsidR="00242DA0" w:rsidRPr="00DE12A3">
        <w:rPr>
          <w:sz w:val="24"/>
          <w:szCs w:val="24"/>
        </w:rPr>
        <w:t xml:space="preserve">sistemine kadar olan mesafe, karayolu dışında kullanılan hareketli makinaların yapılandırmasındaki gibi veya imalatçının mesafe şartnameleri dahilinde olmalıdır. İmalatçı tarafından belirtilmesi halinde boru, imalatçı şartnamesi dahilindeki bir </w:t>
      </w:r>
      <w:r w:rsidR="007E2039" w:rsidRPr="00DE12A3">
        <w:rPr>
          <w:sz w:val="24"/>
          <w:szCs w:val="24"/>
        </w:rPr>
        <w:t xml:space="preserve">arıtma </w:t>
      </w:r>
      <w:r w:rsidR="00242DA0" w:rsidRPr="00DE12A3">
        <w:rPr>
          <w:sz w:val="24"/>
          <w:szCs w:val="24"/>
        </w:rPr>
        <w:t xml:space="preserve">giriş sıcaklığına ulaşması için yalıtılmalıdır. Diğer montaj </w:t>
      </w:r>
      <w:r w:rsidR="0053289F" w:rsidRPr="00DE12A3">
        <w:rPr>
          <w:sz w:val="24"/>
          <w:szCs w:val="24"/>
        </w:rPr>
        <w:t>gerekliliklerini</w:t>
      </w:r>
      <w:r w:rsidR="00242DA0" w:rsidRPr="00DE12A3">
        <w:rPr>
          <w:sz w:val="24"/>
          <w:szCs w:val="24"/>
        </w:rPr>
        <w:t xml:space="preserve">n imalatçı tarafından belirtilmesi halinde, bunlara aynı zamanda test yapılandırması için de uyulmalıdır. Egzoz gazı geri basıncı veya basınç kısıtlaması 6.5 bendine göre ayarlanmalıdır. Değişken egzoz gazı basıncı kısıtlamasına sahip egzoz </w:t>
      </w:r>
      <w:r w:rsidR="007E2039" w:rsidRPr="00DE12A3">
        <w:rPr>
          <w:sz w:val="24"/>
          <w:szCs w:val="24"/>
        </w:rPr>
        <w:t xml:space="preserve">arıtma </w:t>
      </w:r>
      <w:r w:rsidR="00242DA0" w:rsidRPr="00DE12A3">
        <w:rPr>
          <w:sz w:val="24"/>
          <w:szCs w:val="24"/>
        </w:rPr>
        <w:t xml:space="preserve">cihazları için, 6.5 bendinde kullanılan azami egzoz gazı basıncı kısıtlaması, imalatçı tarafından belirtilen </w:t>
      </w:r>
      <w:r w:rsidR="007E2039" w:rsidRPr="00DE12A3">
        <w:rPr>
          <w:sz w:val="24"/>
          <w:szCs w:val="24"/>
        </w:rPr>
        <w:t xml:space="preserve">arıtma </w:t>
      </w:r>
      <w:r w:rsidR="00242DA0" w:rsidRPr="00DE12A3">
        <w:rPr>
          <w:sz w:val="24"/>
          <w:szCs w:val="24"/>
        </w:rPr>
        <w:t xml:space="preserve">koşullarında (olgunlaştırma/yaşlandırma ve rejenerasyon/yükleme seviyesi) tanımlanmıştır. </w:t>
      </w:r>
      <w:r w:rsidR="007E2039" w:rsidRPr="00DE12A3">
        <w:rPr>
          <w:sz w:val="24"/>
          <w:szCs w:val="24"/>
        </w:rPr>
        <w:t xml:space="preserve">Arıtma </w:t>
      </w:r>
      <w:r w:rsidR="00242DA0" w:rsidRPr="00DE12A3">
        <w:rPr>
          <w:sz w:val="24"/>
          <w:szCs w:val="24"/>
        </w:rPr>
        <w:t>kabı, sahte testler sırasında ve motor eşlemesi sırasında sökülebilir ve pasif katalizör desteğine sahip denk bir kapla değiştirilebilir.</w:t>
      </w:r>
    </w:p>
    <w:p w14:paraId="27647D85" w14:textId="77777777" w:rsidR="002D7B36" w:rsidRPr="00DE12A3" w:rsidRDefault="00987432" w:rsidP="00C917D6">
      <w:pPr>
        <w:pStyle w:val="Gvdemetni250"/>
        <w:spacing w:before="120" w:after="120" w:line="240" w:lineRule="auto"/>
        <w:ind w:left="1134" w:hanging="1134"/>
        <w:rPr>
          <w:sz w:val="24"/>
          <w:szCs w:val="24"/>
        </w:rPr>
      </w:pPr>
      <w:r w:rsidRPr="00DE12A3">
        <w:rPr>
          <w:sz w:val="24"/>
          <w:szCs w:val="24"/>
        </w:rPr>
        <w:t xml:space="preserve">                 </w:t>
      </w:r>
      <w:r w:rsidR="00242DA0" w:rsidRPr="00DE12A3">
        <w:rPr>
          <w:sz w:val="24"/>
          <w:szCs w:val="24"/>
        </w:rPr>
        <w:t xml:space="preserve">Test </w:t>
      </w:r>
      <w:r w:rsidR="00F310B5" w:rsidRPr="00DE12A3">
        <w:rPr>
          <w:sz w:val="24"/>
          <w:szCs w:val="24"/>
        </w:rPr>
        <w:t>çevrimin</w:t>
      </w:r>
      <w:r w:rsidR="00242DA0" w:rsidRPr="00DE12A3">
        <w:rPr>
          <w:sz w:val="24"/>
          <w:szCs w:val="24"/>
        </w:rPr>
        <w:t xml:space="preserve">de ölçülen emisyonlar, sahadaki emisyonları temsil etmelidir. Bir ayıraç tüketilmesini gerektiren bir egzoz </w:t>
      </w:r>
      <w:r w:rsidR="007E2039" w:rsidRPr="00DE12A3">
        <w:rPr>
          <w:sz w:val="24"/>
          <w:szCs w:val="24"/>
        </w:rPr>
        <w:t xml:space="preserve">arıtma </w:t>
      </w:r>
      <w:r w:rsidR="00242DA0" w:rsidRPr="00DE12A3">
        <w:rPr>
          <w:sz w:val="24"/>
          <w:szCs w:val="24"/>
        </w:rPr>
        <w:t>sistemine sahip bir motorda, tüm testler için kullanılan ayıraç imalatçı tarafından beyan edilmelidir.</w:t>
      </w:r>
    </w:p>
    <w:p w14:paraId="553020E5" w14:textId="77777777" w:rsidR="00987432" w:rsidRPr="00DE12A3" w:rsidRDefault="00987432" w:rsidP="00C917D6">
      <w:pPr>
        <w:pStyle w:val="Gvdemetni250"/>
        <w:spacing w:before="120" w:after="120" w:line="240" w:lineRule="auto"/>
        <w:ind w:left="1134" w:hanging="1134"/>
        <w:rPr>
          <w:sz w:val="24"/>
          <w:szCs w:val="24"/>
        </w:rPr>
      </w:pPr>
    </w:p>
    <w:p w14:paraId="326AD945" w14:textId="77777777" w:rsidR="002D7B36" w:rsidRPr="00DE12A3" w:rsidRDefault="00987432" w:rsidP="00C917D6">
      <w:pPr>
        <w:pStyle w:val="Gvdemetni250"/>
        <w:spacing w:before="120" w:after="120" w:line="240" w:lineRule="auto"/>
        <w:ind w:left="1134" w:hanging="1134"/>
        <w:rPr>
          <w:sz w:val="24"/>
          <w:szCs w:val="24"/>
        </w:rPr>
      </w:pPr>
      <w:r w:rsidRPr="00DE12A3">
        <w:rPr>
          <w:sz w:val="24"/>
          <w:szCs w:val="24"/>
        </w:rPr>
        <w:t xml:space="preserve">                 </w:t>
      </w:r>
      <w:r w:rsidR="00242DA0" w:rsidRPr="00DE12A3">
        <w:rPr>
          <w:sz w:val="24"/>
          <w:szCs w:val="24"/>
        </w:rPr>
        <w:t xml:space="preserve"> 6.6.2 bendinde açıklandığı gibi, seyrek (periyodik) olarak rejenerasyonu yapılan egzoz </w:t>
      </w:r>
      <w:r w:rsidR="007E2039" w:rsidRPr="00DE12A3">
        <w:rPr>
          <w:sz w:val="24"/>
          <w:szCs w:val="24"/>
        </w:rPr>
        <w:t xml:space="preserve">arıtma </w:t>
      </w:r>
      <w:r w:rsidR="00242DA0" w:rsidRPr="00DE12A3">
        <w:rPr>
          <w:sz w:val="24"/>
          <w:szCs w:val="24"/>
        </w:rPr>
        <w:t>sistemleri ile donatılmış NRE, NRG, IWP, IWA, RLR, NRS, NRSh, SMB ve ATS kategorisindeki motorlar için emisyon sonuçları rejenerasyon olayları hesaba katılarak ayarlanmalıdır. Bu durumda, ortalama emisyon, rejenerasyonun gerçekleştiği testlerin oranı bakımından rejenerasyon olayının sıklığına bağlıdır.</w:t>
      </w:r>
    </w:p>
    <w:p w14:paraId="481DEB02" w14:textId="77777777" w:rsidR="002D7B36" w:rsidRPr="00DE12A3" w:rsidRDefault="00987432" w:rsidP="00C917D6">
      <w:pPr>
        <w:pStyle w:val="Gvdemetni250"/>
        <w:spacing w:before="120" w:after="120" w:line="240" w:lineRule="auto"/>
        <w:ind w:left="1134" w:hanging="1134"/>
        <w:rPr>
          <w:sz w:val="24"/>
          <w:szCs w:val="24"/>
        </w:rPr>
      </w:pPr>
      <w:r w:rsidRPr="00DE12A3">
        <w:rPr>
          <w:sz w:val="24"/>
          <w:szCs w:val="24"/>
        </w:rPr>
        <w:t xml:space="preserve">                  </w:t>
      </w:r>
      <w:r w:rsidR="00242DA0" w:rsidRPr="00DE12A3">
        <w:rPr>
          <w:sz w:val="24"/>
          <w:szCs w:val="24"/>
        </w:rPr>
        <w:t xml:space="preserve">Sürekli olarak veya en az bir kez uygulanabilir geçici (NRTC veya LSI-NRTC) test </w:t>
      </w:r>
      <w:r w:rsidR="00F310B5" w:rsidRPr="00DE12A3">
        <w:rPr>
          <w:sz w:val="24"/>
          <w:szCs w:val="24"/>
        </w:rPr>
        <w:t>çevrimi</w:t>
      </w:r>
      <w:r w:rsidR="00242DA0" w:rsidRPr="00DE12A3">
        <w:rPr>
          <w:sz w:val="24"/>
          <w:szCs w:val="24"/>
        </w:rPr>
        <w:t xml:space="preserve"> veya 6.6.1 bendi uyarınca RMC ("sürekli rejenerasyon") üzerinde gerçekleşen bir rejenerasyon işlemine sahip </w:t>
      </w:r>
      <w:r w:rsidR="007E2039" w:rsidRPr="00DE12A3">
        <w:rPr>
          <w:sz w:val="24"/>
          <w:szCs w:val="24"/>
        </w:rPr>
        <w:t xml:space="preserve">arıtma </w:t>
      </w:r>
      <w:r w:rsidR="00242DA0" w:rsidRPr="00DE12A3">
        <w:rPr>
          <w:sz w:val="24"/>
          <w:szCs w:val="24"/>
        </w:rPr>
        <w:t>sistemleri özel bir test prosedürü gerektirmez.</w:t>
      </w:r>
    </w:p>
    <w:p w14:paraId="3ECD7562" w14:textId="77777777" w:rsidR="002D7B36" w:rsidRPr="00DE12A3" w:rsidRDefault="00987432" w:rsidP="00E20716">
      <w:pPr>
        <w:pStyle w:val="Gvdemetni250"/>
        <w:numPr>
          <w:ilvl w:val="0"/>
          <w:numId w:val="136"/>
        </w:numPr>
        <w:spacing w:before="120" w:after="120" w:line="240" w:lineRule="auto"/>
        <w:ind w:left="1134" w:hanging="1134"/>
        <w:rPr>
          <w:sz w:val="24"/>
          <w:szCs w:val="24"/>
        </w:rPr>
      </w:pPr>
      <w:r w:rsidRPr="00DE12A3">
        <w:rPr>
          <w:sz w:val="24"/>
          <w:szCs w:val="24"/>
        </w:rPr>
        <w:t xml:space="preserve">       </w:t>
      </w:r>
      <w:r w:rsidR="00242DA0" w:rsidRPr="00DE12A3">
        <w:rPr>
          <w:sz w:val="24"/>
          <w:szCs w:val="24"/>
        </w:rPr>
        <w:t>Sürekli rejenerasyon</w:t>
      </w:r>
    </w:p>
    <w:p w14:paraId="6B1CF948" w14:textId="3DAFEE91" w:rsidR="002D7B36" w:rsidRPr="00DE12A3" w:rsidRDefault="00987432" w:rsidP="00C917D6">
      <w:pPr>
        <w:pStyle w:val="Gvdemetni250"/>
        <w:spacing w:before="120" w:after="120" w:line="240" w:lineRule="auto"/>
        <w:ind w:left="1134" w:hanging="1134"/>
        <w:rPr>
          <w:sz w:val="24"/>
          <w:szCs w:val="24"/>
        </w:rPr>
      </w:pPr>
      <w:r w:rsidRPr="00DE12A3">
        <w:rPr>
          <w:sz w:val="24"/>
          <w:szCs w:val="24"/>
        </w:rPr>
        <w:t xml:space="preserve">                  </w:t>
      </w:r>
      <w:r w:rsidR="00242DA0" w:rsidRPr="00DE12A3">
        <w:rPr>
          <w:sz w:val="24"/>
          <w:szCs w:val="24"/>
        </w:rPr>
        <w:t xml:space="preserve">Sürekli bir rejenerasyon sürecine dayalı bir egzoz </w:t>
      </w:r>
      <w:r w:rsidR="007E2039" w:rsidRPr="00DE12A3">
        <w:rPr>
          <w:sz w:val="24"/>
          <w:szCs w:val="24"/>
        </w:rPr>
        <w:t xml:space="preserve">arıtma </w:t>
      </w:r>
      <w:r w:rsidR="00242DA0" w:rsidRPr="00DE12A3">
        <w:rPr>
          <w:sz w:val="24"/>
          <w:szCs w:val="24"/>
        </w:rPr>
        <w:t xml:space="preserve">sistemi için emisyonlar, tekrarlanabilir emisyon davranışı ile sonuçlanacak şekilde stabilize edilmiş bir </w:t>
      </w:r>
      <w:r w:rsidR="007E2039" w:rsidRPr="00DE12A3">
        <w:rPr>
          <w:sz w:val="24"/>
          <w:szCs w:val="24"/>
        </w:rPr>
        <w:t xml:space="preserve">arıtma </w:t>
      </w:r>
      <w:r w:rsidR="00242DA0" w:rsidRPr="00DE12A3">
        <w:rPr>
          <w:sz w:val="24"/>
          <w:szCs w:val="24"/>
        </w:rPr>
        <w:t>sistemi üzerinde ölçülmelidir. Rejenerasyon işlemi, en kısa sürede ön ısıtmalı NRTC, LSI-NRTC veya NRSC testi sırasında gerçekmeli ve imalatçı rejenerasyonun gerçekleştiği normal koşulları (kurum yükü, sıcaklık, egzoz gazı geri basıncı v</w:t>
      </w:r>
      <w:r w:rsidR="00EF6BD1" w:rsidRPr="00DE12A3">
        <w:rPr>
          <w:sz w:val="24"/>
          <w:szCs w:val="24"/>
        </w:rPr>
        <w:t>e benzeri</w:t>
      </w:r>
      <w:r w:rsidR="00242DA0" w:rsidRPr="00DE12A3">
        <w:rPr>
          <w:sz w:val="24"/>
          <w:szCs w:val="24"/>
        </w:rPr>
        <w:t>) beyan etmelidir. Rejenerasyon işleminin sürekli olduğunu göstermek için en az üç ön ısıtmalı NRTC, LSI-NRTC veya NRSC yapılmalıdır. Ön ısıtmalı NRTC durumunda, motor 7.8.2.1 bendine göre ısıtılmalı, 7.4.2.1</w:t>
      </w:r>
      <w:r w:rsidR="00AE0A29" w:rsidRPr="00DE12A3">
        <w:rPr>
          <w:sz w:val="24"/>
          <w:szCs w:val="24"/>
        </w:rPr>
        <w:t xml:space="preserve"> bendinin  </w:t>
      </w:r>
      <w:r w:rsidR="00242DA0" w:rsidRPr="00DE12A3">
        <w:rPr>
          <w:sz w:val="24"/>
          <w:szCs w:val="24"/>
        </w:rPr>
        <w:t xml:space="preserve">(b) </w:t>
      </w:r>
      <w:r w:rsidR="00EF6BD1" w:rsidRPr="00DE12A3">
        <w:rPr>
          <w:sz w:val="24"/>
          <w:szCs w:val="24"/>
        </w:rPr>
        <w:t xml:space="preserve">numaralı </w:t>
      </w:r>
      <w:r w:rsidR="00AE0A29" w:rsidRPr="00DE12A3">
        <w:rPr>
          <w:sz w:val="24"/>
          <w:szCs w:val="24"/>
        </w:rPr>
        <w:t xml:space="preserve">alt </w:t>
      </w:r>
      <w:r w:rsidR="00242DA0" w:rsidRPr="00DE12A3">
        <w:rPr>
          <w:sz w:val="24"/>
          <w:szCs w:val="24"/>
        </w:rPr>
        <w:t xml:space="preserve">bendine ve ilk ön ısıtmalı NRTC'ye </w:t>
      </w:r>
      <w:r w:rsidR="00242DA0" w:rsidRPr="00DE12A3">
        <w:rPr>
          <w:sz w:val="24"/>
          <w:szCs w:val="24"/>
        </w:rPr>
        <w:lastRenderedPageBreak/>
        <w:t>göre ıslatılmalıdır.</w:t>
      </w:r>
    </w:p>
    <w:p w14:paraId="51942056" w14:textId="7C803B9F" w:rsidR="002D7B36" w:rsidRPr="00DE12A3" w:rsidRDefault="00987432" w:rsidP="00C917D6">
      <w:pPr>
        <w:pStyle w:val="Gvdemetni250"/>
        <w:spacing w:before="120" w:after="120" w:line="240" w:lineRule="auto"/>
        <w:ind w:left="1134" w:hanging="1134"/>
        <w:rPr>
          <w:sz w:val="24"/>
          <w:szCs w:val="24"/>
        </w:rPr>
      </w:pPr>
      <w:r w:rsidRPr="00DE12A3">
        <w:rPr>
          <w:sz w:val="24"/>
          <w:szCs w:val="24"/>
        </w:rPr>
        <w:t xml:space="preserve">                  </w:t>
      </w:r>
      <w:r w:rsidR="00242DA0" w:rsidRPr="00DE12A3">
        <w:rPr>
          <w:sz w:val="24"/>
          <w:szCs w:val="24"/>
        </w:rPr>
        <w:t>Sonraki ön ısıtmalı NRTC 7.4.2.1</w:t>
      </w:r>
      <w:r w:rsidR="00AE0A29" w:rsidRPr="00DE12A3">
        <w:rPr>
          <w:sz w:val="24"/>
          <w:szCs w:val="24"/>
        </w:rPr>
        <w:t xml:space="preserve"> bendinin  </w:t>
      </w:r>
      <w:r w:rsidR="00242DA0" w:rsidRPr="00DE12A3">
        <w:rPr>
          <w:sz w:val="24"/>
          <w:szCs w:val="24"/>
        </w:rPr>
        <w:t xml:space="preserve">(b) </w:t>
      </w:r>
      <w:r w:rsidR="00AE0A29" w:rsidRPr="00DE12A3">
        <w:rPr>
          <w:sz w:val="24"/>
          <w:szCs w:val="24"/>
        </w:rPr>
        <w:t xml:space="preserve"> </w:t>
      </w:r>
      <w:r w:rsidR="00EF6BD1" w:rsidRPr="00DE12A3">
        <w:rPr>
          <w:sz w:val="24"/>
          <w:szCs w:val="24"/>
        </w:rPr>
        <w:t xml:space="preserve">numaralı </w:t>
      </w:r>
      <w:r w:rsidR="00AE0A29" w:rsidRPr="00DE12A3">
        <w:rPr>
          <w:sz w:val="24"/>
          <w:szCs w:val="24"/>
        </w:rPr>
        <w:t xml:space="preserve">alt </w:t>
      </w:r>
      <w:r w:rsidR="00242DA0" w:rsidRPr="00DE12A3">
        <w:rPr>
          <w:sz w:val="24"/>
          <w:szCs w:val="24"/>
        </w:rPr>
        <w:t xml:space="preserve">bendine göre ıslatıldıktan sonra başlatılmalıdır. Testler sırasında, egzoz gazı sıcaklıkları ve basınçları (egzoz </w:t>
      </w:r>
      <w:r w:rsidR="007E2039" w:rsidRPr="00DE12A3">
        <w:rPr>
          <w:sz w:val="24"/>
          <w:szCs w:val="24"/>
        </w:rPr>
        <w:t xml:space="preserve">arıtma </w:t>
      </w:r>
      <w:r w:rsidR="00242DA0" w:rsidRPr="00DE12A3">
        <w:rPr>
          <w:sz w:val="24"/>
          <w:szCs w:val="24"/>
        </w:rPr>
        <w:t>sistemi öncesindeki ve sonrasındaki sıcaklık, egzoz gazı geri tepme basıncı, v</w:t>
      </w:r>
      <w:r w:rsidR="00EF6BD1" w:rsidRPr="00DE12A3">
        <w:rPr>
          <w:sz w:val="24"/>
          <w:szCs w:val="24"/>
        </w:rPr>
        <w:t>e benzeri</w:t>
      </w:r>
      <w:r w:rsidR="00242DA0" w:rsidRPr="00DE12A3">
        <w:rPr>
          <w:sz w:val="24"/>
          <w:szCs w:val="24"/>
        </w:rPr>
        <w:t xml:space="preserve">) kaydedilmelidir. İmalatçı tarafından beyan edilen koşullar test sırasında yeterli bir süre içerisinde gerçekleşirse ve emisyon sonuçları ortalama değerden hangisi daha </w:t>
      </w:r>
      <w:r w:rsidR="006F6A17" w:rsidRPr="00DE12A3">
        <w:rPr>
          <w:sz w:val="24"/>
          <w:szCs w:val="24"/>
        </w:rPr>
        <w:t>büyükse, ±</w:t>
      </w:r>
      <w:r w:rsidR="00242DA0" w:rsidRPr="00DE12A3">
        <w:rPr>
          <w:sz w:val="24"/>
          <w:szCs w:val="24"/>
        </w:rPr>
        <w:t xml:space="preserve">%25 veya 0,005 g/kWh'den daha fazla sapmazsa, egzoz </w:t>
      </w:r>
      <w:r w:rsidR="007E2039" w:rsidRPr="00DE12A3">
        <w:rPr>
          <w:sz w:val="24"/>
          <w:szCs w:val="24"/>
        </w:rPr>
        <w:t xml:space="preserve">arıtma </w:t>
      </w:r>
      <w:r w:rsidR="00242DA0" w:rsidRPr="00DE12A3">
        <w:rPr>
          <w:sz w:val="24"/>
          <w:szCs w:val="24"/>
        </w:rPr>
        <w:t>sisteminin başarılı olduğu kabul edilir.</w:t>
      </w:r>
    </w:p>
    <w:p w14:paraId="3AA973B6" w14:textId="77777777" w:rsidR="002D7B36" w:rsidRPr="00DE12A3" w:rsidRDefault="00987432" w:rsidP="00E20716">
      <w:pPr>
        <w:pStyle w:val="Gvdemetni250"/>
        <w:numPr>
          <w:ilvl w:val="0"/>
          <w:numId w:val="136"/>
        </w:numPr>
        <w:spacing w:before="120" w:after="120" w:line="240" w:lineRule="auto"/>
        <w:ind w:left="1134" w:hanging="1134"/>
        <w:rPr>
          <w:sz w:val="24"/>
          <w:szCs w:val="24"/>
        </w:rPr>
      </w:pPr>
      <w:r w:rsidRPr="00DE12A3">
        <w:rPr>
          <w:sz w:val="24"/>
          <w:szCs w:val="24"/>
        </w:rPr>
        <w:t xml:space="preserve">       </w:t>
      </w:r>
      <w:r w:rsidR="00242DA0" w:rsidRPr="00DE12A3">
        <w:rPr>
          <w:sz w:val="24"/>
          <w:szCs w:val="24"/>
        </w:rPr>
        <w:t>Seyrek rejenerasyon</w:t>
      </w:r>
    </w:p>
    <w:p w14:paraId="11C8D93F" w14:textId="77777777" w:rsidR="002D7B36" w:rsidRPr="00DE12A3" w:rsidRDefault="00987432" w:rsidP="00C917D6">
      <w:pPr>
        <w:pStyle w:val="Gvdemetni250"/>
        <w:spacing w:before="120" w:after="120" w:line="240" w:lineRule="auto"/>
        <w:ind w:left="1134" w:hanging="1134"/>
        <w:rPr>
          <w:sz w:val="24"/>
          <w:szCs w:val="24"/>
        </w:rPr>
      </w:pPr>
      <w:r w:rsidRPr="00DE12A3">
        <w:rPr>
          <w:sz w:val="24"/>
          <w:szCs w:val="24"/>
        </w:rPr>
        <w:t xml:space="preserve">                  </w:t>
      </w:r>
      <w:r w:rsidR="00242DA0" w:rsidRPr="00DE12A3">
        <w:rPr>
          <w:sz w:val="24"/>
          <w:szCs w:val="24"/>
        </w:rPr>
        <w:t xml:space="preserve">Bu hüküm sadece, tipik olarak 100 saatin altında normal motor çalışması içinde gerçekleşen seyrek rejenerasyonu yapılan egzoz </w:t>
      </w:r>
      <w:r w:rsidR="007E2039" w:rsidRPr="00DE12A3">
        <w:rPr>
          <w:sz w:val="24"/>
          <w:szCs w:val="24"/>
        </w:rPr>
        <w:t xml:space="preserve">arıtma </w:t>
      </w:r>
      <w:r w:rsidR="00242DA0" w:rsidRPr="00DE12A3">
        <w:rPr>
          <w:sz w:val="24"/>
          <w:szCs w:val="24"/>
        </w:rPr>
        <w:t>sistemine sahip motorlar için geçerlidir. Bu motorlar için, 6.6.2.4 ("ayar faktörü") bendinde belirtildiği gibi, yukarı veya aşağı doğru ayarlama için, ya ilave ya da çarpımsal faktörler belirlenmelidir.</w:t>
      </w:r>
    </w:p>
    <w:p w14:paraId="61430E57" w14:textId="77777777" w:rsidR="002D7B36" w:rsidRPr="00DE12A3" w:rsidRDefault="00987432" w:rsidP="00C917D6">
      <w:pPr>
        <w:pStyle w:val="Gvdemetni250"/>
        <w:spacing w:before="120" w:after="120" w:line="240" w:lineRule="auto"/>
        <w:ind w:left="1134" w:hanging="1134"/>
        <w:rPr>
          <w:sz w:val="24"/>
          <w:szCs w:val="24"/>
        </w:rPr>
      </w:pPr>
      <w:r w:rsidRPr="00DE12A3">
        <w:rPr>
          <w:sz w:val="24"/>
          <w:szCs w:val="24"/>
        </w:rPr>
        <w:t xml:space="preserve">                   </w:t>
      </w:r>
      <w:r w:rsidR="00242DA0" w:rsidRPr="00DE12A3">
        <w:rPr>
          <w:sz w:val="24"/>
          <w:szCs w:val="24"/>
        </w:rPr>
        <w:t xml:space="preserve">Ayar faktörlerinin test edilmesi ve geliştirilmesi sadece bir geçerli </w:t>
      </w:r>
      <w:r w:rsidR="00951351" w:rsidRPr="00DE12A3">
        <w:rPr>
          <w:sz w:val="24"/>
          <w:szCs w:val="24"/>
        </w:rPr>
        <w:t xml:space="preserve">süreksiz </w:t>
      </w:r>
      <w:r w:rsidR="00242DA0" w:rsidRPr="00DE12A3">
        <w:rPr>
          <w:sz w:val="24"/>
          <w:szCs w:val="24"/>
        </w:rPr>
        <w:t xml:space="preserve">(NRTC veya LSI-NRTC) test </w:t>
      </w:r>
      <w:r w:rsidR="00951351" w:rsidRPr="00DE12A3">
        <w:rPr>
          <w:sz w:val="24"/>
          <w:szCs w:val="24"/>
        </w:rPr>
        <w:t>çevrimi</w:t>
      </w:r>
      <w:r w:rsidR="00242DA0" w:rsidRPr="00DE12A3">
        <w:rPr>
          <w:sz w:val="24"/>
          <w:szCs w:val="24"/>
        </w:rPr>
        <w:t xml:space="preserve"> veya RMC için gereklidir. Geliştirilen faktörler, ayrık modlu NRSC de dahil olmak üzere diğer geçerli test </w:t>
      </w:r>
      <w:r w:rsidR="00F310B5" w:rsidRPr="00DE12A3">
        <w:rPr>
          <w:sz w:val="24"/>
          <w:szCs w:val="24"/>
        </w:rPr>
        <w:t>çevrim</w:t>
      </w:r>
      <w:r w:rsidR="00242DA0" w:rsidRPr="00DE12A3">
        <w:rPr>
          <w:sz w:val="24"/>
          <w:szCs w:val="24"/>
        </w:rPr>
        <w:t>lerinin sonuçlarına uygulanabilir.</w:t>
      </w:r>
    </w:p>
    <w:p w14:paraId="648A123E" w14:textId="77777777" w:rsidR="002D7B36" w:rsidRPr="00DE12A3" w:rsidRDefault="00987432" w:rsidP="00C917D6">
      <w:pPr>
        <w:pStyle w:val="Gvdemetni250"/>
        <w:spacing w:before="120" w:after="120" w:line="240" w:lineRule="auto"/>
        <w:ind w:left="1134" w:hanging="1134"/>
        <w:rPr>
          <w:sz w:val="24"/>
          <w:szCs w:val="24"/>
        </w:rPr>
      </w:pPr>
      <w:r w:rsidRPr="00DE12A3">
        <w:rPr>
          <w:sz w:val="24"/>
          <w:szCs w:val="24"/>
        </w:rPr>
        <w:t xml:space="preserve">                   </w:t>
      </w:r>
      <w:r w:rsidR="00951351" w:rsidRPr="00DE12A3">
        <w:rPr>
          <w:sz w:val="24"/>
          <w:szCs w:val="24"/>
        </w:rPr>
        <w:t xml:space="preserve">Süreksiz </w:t>
      </w:r>
      <w:r w:rsidR="00242DA0" w:rsidRPr="00DE12A3">
        <w:rPr>
          <w:sz w:val="24"/>
          <w:szCs w:val="24"/>
        </w:rPr>
        <w:t xml:space="preserve">(NRTC veya LSI-NRTC) test </w:t>
      </w:r>
      <w:r w:rsidR="00951351" w:rsidRPr="00DE12A3">
        <w:rPr>
          <w:sz w:val="24"/>
          <w:szCs w:val="24"/>
        </w:rPr>
        <w:t>çevrimi</w:t>
      </w:r>
      <w:r w:rsidR="00242DA0" w:rsidRPr="00DE12A3">
        <w:rPr>
          <w:sz w:val="24"/>
          <w:szCs w:val="24"/>
        </w:rPr>
        <w:t xml:space="preserve"> veya RMC kullanılarak yapılan testlerden uygun ayar faktörleri bulunmaması durumunda, ayar faktörleri geçerli bir ayrık modlu NRSC testi kullanılarak belirlenmelidir. Ayrık modlu NRSC testi kullanılarak geliştirilen faktörler sadece ayrık modlu NRSC için uygulanır.</w:t>
      </w:r>
    </w:p>
    <w:p w14:paraId="1FEAD148" w14:textId="77777777" w:rsidR="002D7B36" w:rsidRPr="00DE12A3" w:rsidRDefault="00987432" w:rsidP="00C917D6">
      <w:pPr>
        <w:pStyle w:val="Gvdemetni250"/>
        <w:spacing w:before="120" w:after="120" w:line="240" w:lineRule="auto"/>
        <w:ind w:left="1134" w:hanging="1134"/>
        <w:rPr>
          <w:sz w:val="24"/>
          <w:szCs w:val="24"/>
        </w:rPr>
      </w:pPr>
      <w:r w:rsidRPr="00DE12A3">
        <w:rPr>
          <w:sz w:val="24"/>
          <w:szCs w:val="24"/>
        </w:rPr>
        <w:t xml:space="preserve">                   </w:t>
      </w:r>
      <w:r w:rsidR="00242DA0" w:rsidRPr="00DE12A3">
        <w:rPr>
          <w:sz w:val="24"/>
          <w:szCs w:val="24"/>
        </w:rPr>
        <w:t>Hem RMC hem de ayrık modlu NRSC üzerinde testler yapmak ve ayar faktörleri geliştirmek gerekmez.</w:t>
      </w:r>
    </w:p>
    <w:p w14:paraId="0E6B7B32" w14:textId="77777777" w:rsidR="002D7B36" w:rsidRPr="00DE12A3" w:rsidRDefault="00242DA0" w:rsidP="00E20716">
      <w:pPr>
        <w:pStyle w:val="Gvdemetni250"/>
        <w:numPr>
          <w:ilvl w:val="0"/>
          <w:numId w:val="137"/>
        </w:numPr>
        <w:spacing w:before="120" w:after="120" w:line="240" w:lineRule="auto"/>
        <w:ind w:left="1134" w:hanging="1134"/>
        <w:rPr>
          <w:sz w:val="24"/>
          <w:szCs w:val="24"/>
        </w:rPr>
      </w:pPr>
      <w:r w:rsidRPr="00DE12A3">
        <w:rPr>
          <w:sz w:val="24"/>
          <w:szCs w:val="24"/>
        </w:rPr>
        <w:t>Ayar faktörlerinin NRTC, LSI-NRTC veya RMC kullanılarak belirlenmesi şartı</w:t>
      </w:r>
    </w:p>
    <w:p w14:paraId="4C61DDF1" w14:textId="77777777" w:rsidR="002D7B36" w:rsidRPr="00DE12A3" w:rsidRDefault="00987432" w:rsidP="00C917D6">
      <w:pPr>
        <w:pStyle w:val="Gvdemetni250"/>
        <w:spacing w:before="120" w:after="120" w:line="240" w:lineRule="auto"/>
        <w:ind w:left="1134" w:hanging="1134"/>
        <w:rPr>
          <w:sz w:val="24"/>
          <w:szCs w:val="24"/>
        </w:rPr>
      </w:pPr>
      <w:r w:rsidRPr="00DE12A3">
        <w:rPr>
          <w:sz w:val="24"/>
          <w:szCs w:val="24"/>
        </w:rPr>
        <w:t xml:space="preserve">                   </w:t>
      </w:r>
      <w:r w:rsidR="00242DA0" w:rsidRPr="00DE12A3">
        <w:rPr>
          <w:sz w:val="24"/>
          <w:szCs w:val="24"/>
        </w:rPr>
        <w:t xml:space="preserve">Emisyonlar, en az üç ön ısıtmalı NRTC, LSI-NRTC veya RMC üzerinde dengelenmiş bir egzoz </w:t>
      </w:r>
      <w:r w:rsidR="007E2039" w:rsidRPr="00DE12A3">
        <w:rPr>
          <w:sz w:val="24"/>
          <w:szCs w:val="24"/>
        </w:rPr>
        <w:t xml:space="preserve">arıtma </w:t>
      </w:r>
      <w:r w:rsidR="00242DA0" w:rsidRPr="00DE12A3">
        <w:rPr>
          <w:sz w:val="24"/>
          <w:szCs w:val="24"/>
        </w:rPr>
        <w:t>sisteminde, birinde rejenerasyon olayı ile, diğer ikisinde rejenerasyon olayı olmadan ölçülmelidir. Rejenerasyon işlemi, bir rejenerasyon olayı olan NRTC, LSI-NRTC veya RMC sırasında en az bir kez gerçekleşir. Rejenerasyon bir NRTC, LSI-NRTC veya RMC'den daha uzun sürerse, bir NRTC, LSI-NRTC veya RMC daha yürütülür ve emisyonlar, rejenerasyon tamamlanana ve testlerin ortalaması hesaplanana kadar motor durdurulmadan ölçülmeye devam edilir. Rejenerasyon herhangi bir test sırasında tamamlanırsa, test sonuna kadar sürdürülmelidir.</w:t>
      </w:r>
    </w:p>
    <w:p w14:paraId="618C49E7" w14:textId="60109040" w:rsidR="002D7B36" w:rsidRPr="00DE12A3" w:rsidRDefault="00987432" w:rsidP="00C917D6">
      <w:pPr>
        <w:pStyle w:val="Gvdemetni250"/>
        <w:spacing w:before="120" w:after="120" w:line="240" w:lineRule="auto"/>
        <w:ind w:left="1134" w:hanging="1134"/>
        <w:rPr>
          <w:sz w:val="24"/>
          <w:szCs w:val="24"/>
        </w:rPr>
      </w:pPr>
      <w:r w:rsidRPr="00DE12A3">
        <w:rPr>
          <w:sz w:val="24"/>
          <w:szCs w:val="24"/>
        </w:rPr>
        <w:t xml:space="preserve">                  </w:t>
      </w:r>
      <w:r w:rsidR="00242DA0" w:rsidRPr="00DE12A3">
        <w:rPr>
          <w:sz w:val="24"/>
          <w:szCs w:val="24"/>
        </w:rPr>
        <w:t xml:space="preserve">Uygun bir ayar faktörü, tüm uygulanabilir </w:t>
      </w:r>
      <w:r w:rsidR="00F310B5" w:rsidRPr="00DE12A3">
        <w:rPr>
          <w:sz w:val="24"/>
          <w:szCs w:val="24"/>
        </w:rPr>
        <w:t>çevrim</w:t>
      </w:r>
      <w:r w:rsidR="00242DA0" w:rsidRPr="00DE12A3">
        <w:rPr>
          <w:sz w:val="24"/>
          <w:szCs w:val="24"/>
        </w:rPr>
        <w:t xml:space="preserve"> boyunca, (6-10) ila (6-13) </w:t>
      </w:r>
      <w:r w:rsidR="005E1C7E" w:rsidRPr="00DE12A3">
        <w:rPr>
          <w:sz w:val="24"/>
          <w:szCs w:val="24"/>
        </w:rPr>
        <w:t xml:space="preserve">numaralı </w:t>
      </w:r>
      <w:r w:rsidR="00242DA0" w:rsidRPr="00DE12A3">
        <w:rPr>
          <w:sz w:val="24"/>
          <w:szCs w:val="24"/>
        </w:rPr>
        <w:t>denklemler vasıtasıyla belirlenir.</w:t>
      </w:r>
    </w:p>
    <w:p w14:paraId="5DFC1D93" w14:textId="77777777" w:rsidR="002D7B36" w:rsidRPr="00DE12A3" w:rsidRDefault="00242DA0" w:rsidP="00E20716">
      <w:pPr>
        <w:pStyle w:val="Gvdemetni250"/>
        <w:numPr>
          <w:ilvl w:val="0"/>
          <w:numId w:val="137"/>
        </w:numPr>
        <w:spacing w:before="120" w:after="120" w:line="240" w:lineRule="auto"/>
        <w:ind w:left="1134" w:hanging="1134"/>
        <w:rPr>
          <w:sz w:val="24"/>
          <w:szCs w:val="24"/>
        </w:rPr>
      </w:pPr>
      <w:r w:rsidRPr="00DE12A3">
        <w:rPr>
          <w:sz w:val="24"/>
          <w:szCs w:val="24"/>
        </w:rPr>
        <w:t>Ayar faktörlerinin ayrık modlu NRSC kullanılarak belirlenmesi şartı</w:t>
      </w:r>
    </w:p>
    <w:p w14:paraId="2C077781" w14:textId="4A43E5C0" w:rsidR="002D7B36" w:rsidRPr="00DE12A3" w:rsidRDefault="00987432" w:rsidP="00C917D6">
      <w:pPr>
        <w:pStyle w:val="Gvdemetni250"/>
        <w:spacing w:before="120" w:after="120" w:line="240" w:lineRule="auto"/>
        <w:ind w:left="1134" w:hanging="1134"/>
        <w:rPr>
          <w:sz w:val="24"/>
          <w:szCs w:val="24"/>
        </w:rPr>
      </w:pPr>
      <w:r w:rsidRPr="00DE12A3">
        <w:rPr>
          <w:sz w:val="24"/>
          <w:szCs w:val="24"/>
        </w:rPr>
        <w:t xml:space="preserve">                  </w:t>
      </w:r>
      <w:r w:rsidR="00242DA0" w:rsidRPr="00DE12A3">
        <w:rPr>
          <w:sz w:val="24"/>
          <w:szCs w:val="24"/>
        </w:rPr>
        <w:t xml:space="preserve">Dengelenmiş bir egzoz </w:t>
      </w:r>
      <w:r w:rsidR="007E2039" w:rsidRPr="00DE12A3">
        <w:rPr>
          <w:sz w:val="24"/>
          <w:szCs w:val="24"/>
        </w:rPr>
        <w:t xml:space="preserve">arıtma </w:t>
      </w:r>
      <w:r w:rsidR="00242DA0" w:rsidRPr="00DE12A3">
        <w:rPr>
          <w:sz w:val="24"/>
          <w:szCs w:val="24"/>
        </w:rPr>
        <w:t>sistemi ile başlayarak emisyonlar, rejenerasyon koşullarının sağlanabileceği her ayrık modlu NRSC test modu üzerinde en az üç kez ön ısıtmalı olarak, birinde rejenerasyon olayı ile, diğer ikisinde rejenerasyon olayı olmadan ölçülmelidir. PM ölçümü, 7.8.1.2</w:t>
      </w:r>
      <w:r w:rsidR="00EF6BD1" w:rsidRPr="00DE12A3">
        <w:rPr>
          <w:sz w:val="24"/>
          <w:szCs w:val="24"/>
        </w:rPr>
        <w:t xml:space="preserve"> bendin </w:t>
      </w:r>
      <w:r w:rsidR="00242DA0" w:rsidRPr="00DE12A3">
        <w:rPr>
          <w:sz w:val="24"/>
          <w:szCs w:val="24"/>
        </w:rPr>
        <w:t xml:space="preserve">(c) </w:t>
      </w:r>
      <w:r w:rsidR="00EF6BD1" w:rsidRPr="00DE12A3">
        <w:rPr>
          <w:sz w:val="24"/>
          <w:szCs w:val="24"/>
        </w:rPr>
        <w:t xml:space="preserve">numaralı alt </w:t>
      </w:r>
      <w:r w:rsidR="00242DA0" w:rsidRPr="00DE12A3">
        <w:rPr>
          <w:sz w:val="24"/>
          <w:szCs w:val="24"/>
        </w:rPr>
        <w:t>bendinde açıklanan birden fazla filtre yöntemi kullanılarak yapılmalıdır. Rejenerasyon belirli bir test modunda başlamış ancak örnekleme döneminin sonunda tamamlanmamışsa, örnekleme dönemi rejenerasyon tamamlanana kadar uzatılır. Aynı modun birden fazla kez yürütülmesi halinde, bir ortalama sonuç hesaplanır. İşlem her test modu için tekrarlanmalıdır.</w:t>
      </w:r>
    </w:p>
    <w:p w14:paraId="3580674E" w14:textId="767AE055" w:rsidR="002D7B36" w:rsidRPr="00DE12A3" w:rsidRDefault="00987432" w:rsidP="00C917D6">
      <w:pPr>
        <w:pStyle w:val="Gvdemetni250"/>
        <w:spacing w:before="120" w:after="120" w:line="240" w:lineRule="auto"/>
        <w:ind w:left="1134" w:hanging="1134"/>
        <w:rPr>
          <w:sz w:val="24"/>
          <w:szCs w:val="24"/>
        </w:rPr>
      </w:pPr>
      <w:r w:rsidRPr="00DE12A3">
        <w:rPr>
          <w:sz w:val="24"/>
          <w:szCs w:val="24"/>
        </w:rPr>
        <w:t xml:space="preserve">                  </w:t>
      </w:r>
      <w:r w:rsidR="00242DA0" w:rsidRPr="00DE12A3">
        <w:rPr>
          <w:sz w:val="24"/>
          <w:szCs w:val="24"/>
        </w:rPr>
        <w:t xml:space="preserve">Rejenerasyonun gerçekleştiği geçerli </w:t>
      </w:r>
      <w:r w:rsidR="00F310B5" w:rsidRPr="00DE12A3">
        <w:rPr>
          <w:sz w:val="24"/>
          <w:szCs w:val="24"/>
        </w:rPr>
        <w:t>çevrim</w:t>
      </w:r>
      <w:r w:rsidR="00242DA0" w:rsidRPr="00DE12A3">
        <w:rPr>
          <w:sz w:val="24"/>
          <w:szCs w:val="24"/>
        </w:rPr>
        <w:t xml:space="preserve"> modları için (6-10) ila (6-13) </w:t>
      </w:r>
      <w:r w:rsidR="005E1C7E" w:rsidRPr="00DE12A3">
        <w:rPr>
          <w:sz w:val="24"/>
          <w:szCs w:val="24"/>
        </w:rPr>
        <w:lastRenderedPageBreak/>
        <w:t xml:space="preserve">numaralı </w:t>
      </w:r>
      <w:r w:rsidR="00242DA0" w:rsidRPr="00DE12A3">
        <w:rPr>
          <w:sz w:val="24"/>
          <w:szCs w:val="24"/>
        </w:rPr>
        <w:t>denklemler vasıtasıyla uygun bir ayar faktörü belirlenir.</w:t>
      </w:r>
    </w:p>
    <w:p w14:paraId="1A07F434" w14:textId="77777777" w:rsidR="002D7B36" w:rsidRPr="00DE12A3" w:rsidRDefault="00242DA0" w:rsidP="00E20716">
      <w:pPr>
        <w:pStyle w:val="Gvdemetni250"/>
        <w:numPr>
          <w:ilvl w:val="0"/>
          <w:numId w:val="137"/>
        </w:numPr>
        <w:spacing w:before="120" w:after="120" w:line="240" w:lineRule="auto"/>
        <w:ind w:left="1134" w:hanging="1134"/>
        <w:rPr>
          <w:sz w:val="24"/>
          <w:szCs w:val="24"/>
        </w:rPr>
      </w:pPr>
      <w:r w:rsidRPr="00DE12A3">
        <w:rPr>
          <w:sz w:val="24"/>
          <w:szCs w:val="24"/>
        </w:rPr>
        <w:t>Seyrek rejenerasyon ayar faktörlerinin (IRAF'lar) geliştirilmesine ilişkin genel prosedür</w:t>
      </w:r>
    </w:p>
    <w:p w14:paraId="3E3032B3" w14:textId="62FD0B19" w:rsidR="002D7B36" w:rsidRPr="00DE12A3" w:rsidRDefault="00987432" w:rsidP="00C917D6">
      <w:pPr>
        <w:pStyle w:val="Gvdemetni250"/>
        <w:spacing w:before="120" w:after="120" w:line="240" w:lineRule="auto"/>
        <w:ind w:left="1134" w:hanging="1134"/>
        <w:rPr>
          <w:sz w:val="24"/>
          <w:szCs w:val="24"/>
        </w:rPr>
      </w:pPr>
      <w:r w:rsidRPr="00DE12A3">
        <w:rPr>
          <w:sz w:val="24"/>
          <w:szCs w:val="24"/>
        </w:rPr>
        <w:t xml:space="preserve">                  </w:t>
      </w:r>
      <w:r w:rsidR="00242DA0" w:rsidRPr="00DE12A3">
        <w:rPr>
          <w:sz w:val="24"/>
          <w:szCs w:val="24"/>
        </w:rPr>
        <w:t>İmalatçı, rejenerasyon işleminin gerçekleştiği normal parametre koşullarını (kurum yükü, sıcaklık, egzoz gazı geri basıncı v</w:t>
      </w:r>
      <w:r w:rsidR="00EF6BD1" w:rsidRPr="00DE12A3">
        <w:rPr>
          <w:sz w:val="24"/>
          <w:szCs w:val="24"/>
        </w:rPr>
        <w:t>e benzeri</w:t>
      </w:r>
      <w:r w:rsidR="00242DA0" w:rsidRPr="00DE12A3">
        <w:rPr>
          <w:sz w:val="24"/>
          <w:szCs w:val="24"/>
        </w:rPr>
        <w:t xml:space="preserve">) beyan etmelidir. İmalatçı aynı zamanda, rejenerasyonun gerçekleştiği test sayısı açısından rejenerasyon olayının sıklığını da bildirmelidir. Bu sıklığın belirlenmesine ilişkin prosedür üzerinde, iyi mühendislik kararına dayalı olarak </w:t>
      </w:r>
      <w:r w:rsidR="007E2039" w:rsidRPr="00DE12A3">
        <w:rPr>
          <w:sz w:val="24"/>
          <w:szCs w:val="24"/>
        </w:rPr>
        <w:t xml:space="preserve">onay kuruluşu </w:t>
      </w:r>
      <w:r w:rsidR="00242DA0" w:rsidRPr="00DE12A3">
        <w:rPr>
          <w:sz w:val="24"/>
          <w:szCs w:val="24"/>
        </w:rPr>
        <w:t xml:space="preserve"> mutabık olmalıdır. </w:t>
      </w:r>
    </w:p>
    <w:p w14:paraId="5A15E5A0" w14:textId="77777777" w:rsidR="002D7B36" w:rsidRPr="00DE12A3" w:rsidRDefault="00987432" w:rsidP="00C917D6">
      <w:pPr>
        <w:pStyle w:val="Gvdemetni250"/>
        <w:spacing w:before="120" w:after="120" w:line="240" w:lineRule="auto"/>
        <w:ind w:left="1134" w:hanging="1134"/>
        <w:rPr>
          <w:sz w:val="24"/>
          <w:szCs w:val="24"/>
        </w:rPr>
      </w:pPr>
      <w:r w:rsidRPr="00DE12A3">
        <w:rPr>
          <w:sz w:val="24"/>
          <w:szCs w:val="24"/>
        </w:rPr>
        <w:t xml:space="preserve">                  </w:t>
      </w:r>
      <w:r w:rsidR="00242DA0" w:rsidRPr="00DE12A3">
        <w:rPr>
          <w:sz w:val="24"/>
          <w:szCs w:val="24"/>
        </w:rPr>
        <w:t xml:space="preserve">Rejenerasyon testi için, imalatçı yüklenmiş bir egzoz </w:t>
      </w:r>
      <w:r w:rsidR="007E2039" w:rsidRPr="00DE12A3">
        <w:rPr>
          <w:sz w:val="24"/>
          <w:szCs w:val="24"/>
        </w:rPr>
        <w:t xml:space="preserve">arıtma </w:t>
      </w:r>
      <w:r w:rsidR="00242DA0" w:rsidRPr="00DE12A3">
        <w:rPr>
          <w:sz w:val="24"/>
          <w:szCs w:val="24"/>
        </w:rPr>
        <w:t xml:space="preserve">sistemi sağlamalıdır. Bu motor koşullandırma aşamasında rejenerasyon gerçekleşmemelidir. Bir seçenek olarak, imalatçı egzoz </w:t>
      </w:r>
      <w:r w:rsidR="007E2039" w:rsidRPr="00DE12A3">
        <w:rPr>
          <w:sz w:val="24"/>
          <w:szCs w:val="24"/>
        </w:rPr>
        <w:t xml:space="preserve">arıtma </w:t>
      </w:r>
      <w:r w:rsidR="00242DA0" w:rsidRPr="00DE12A3">
        <w:rPr>
          <w:sz w:val="24"/>
          <w:szCs w:val="24"/>
        </w:rPr>
        <w:t xml:space="preserve">sistemi yükleninceye kadar ilgili </w:t>
      </w:r>
      <w:r w:rsidR="00F310B5" w:rsidRPr="00DE12A3">
        <w:rPr>
          <w:sz w:val="24"/>
          <w:szCs w:val="24"/>
        </w:rPr>
        <w:t>çevrimin</w:t>
      </w:r>
      <w:r w:rsidR="00242DA0" w:rsidRPr="00DE12A3">
        <w:rPr>
          <w:sz w:val="24"/>
          <w:szCs w:val="24"/>
        </w:rPr>
        <w:t xml:space="preserve"> sonraki testlerini yapabilir. Tüm testlerde emisyon ölçümü yapılması gerekmez.</w:t>
      </w:r>
    </w:p>
    <w:p w14:paraId="15171AD9" w14:textId="77777777" w:rsidR="002D7B36" w:rsidRPr="00DE12A3" w:rsidRDefault="00987432" w:rsidP="00C917D6">
      <w:pPr>
        <w:pStyle w:val="Gvdemetni250"/>
        <w:spacing w:before="120" w:after="120" w:line="240" w:lineRule="auto"/>
        <w:ind w:left="1134" w:hanging="1134"/>
        <w:rPr>
          <w:sz w:val="24"/>
          <w:szCs w:val="24"/>
        </w:rPr>
      </w:pPr>
      <w:r w:rsidRPr="00DE12A3">
        <w:rPr>
          <w:sz w:val="24"/>
          <w:szCs w:val="24"/>
        </w:rPr>
        <w:t xml:space="preserve">                  </w:t>
      </w:r>
      <w:r w:rsidR="00242DA0" w:rsidRPr="00DE12A3">
        <w:rPr>
          <w:sz w:val="24"/>
          <w:szCs w:val="24"/>
        </w:rPr>
        <w:t xml:space="preserve">Rejenerasyon aşamaları arasındaki ortalama emisyonlar, geçerli </w:t>
      </w:r>
      <w:r w:rsidR="00F310B5" w:rsidRPr="00DE12A3">
        <w:rPr>
          <w:sz w:val="24"/>
          <w:szCs w:val="24"/>
        </w:rPr>
        <w:t xml:space="preserve">çevrimin </w:t>
      </w:r>
      <w:r w:rsidR="00242DA0" w:rsidRPr="00DE12A3">
        <w:rPr>
          <w:sz w:val="24"/>
          <w:szCs w:val="24"/>
        </w:rPr>
        <w:t xml:space="preserve">yaklaşık olarak eşit aralıklı testlerinin aritmetik ortalamasından belirlenmelidir. Asgari olarak, bir rejenerasyon testinden önce mümkün olduğunca yakın en az bir geçerli </w:t>
      </w:r>
      <w:r w:rsidR="00F310B5" w:rsidRPr="00DE12A3">
        <w:rPr>
          <w:sz w:val="24"/>
          <w:szCs w:val="24"/>
        </w:rPr>
        <w:t>çevrim</w:t>
      </w:r>
      <w:r w:rsidR="00242DA0" w:rsidRPr="00DE12A3">
        <w:rPr>
          <w:sz w:val="24"/>
          <w:szCs w:val="24"/>
        </w:rPr>
        <w:t xml:space="preserve"> ve bir rejenerasyon testinden hemen sonra bir geçerli </w:t>
      </w:r>
      <w:r w:rsidR="00F310B5" w:rsidRPr="00DE12A3">
        <w:rPr>
          <w:sz w:val="24"/>
          <w:szCs w:val="24"/>
        </w:rPr>
        <w:t>çevrim</w:t>
      </w:r>
      <w:r w:rsidR="00242DA0" w:rsidRPr="00DE12A3">
        <w:rPr>
          <w:sz w:val="24"/>
          <w:szCs w:val="24"/>
        </w:rPr>
        <w:t xml:space="preserve"> yürütülmelidir.</w:t>
      </w:r>
    </w:p>
    <w:p w14:paraId="326DA3A4" w14:textId="26B37D7A" w:rsidR="002D7B36" w:rsidRPr="00DE12A3" w:rsidRDefault="00987432" w:rsidP="00C917D6">
      <w:pPr>
        <w:pStyle w:val="Gvdemetni250"/>
        <w:spacing w:before="120" w:after="120" w:line="240" w:lineRule="auto"/>
        <w:ind w:left="1134" w:hanging="1134"/>
        <w:rPr>
          <w:sz w:val="24"/>
          <w:szCs w:val="24"/>
        </w:rPr>
      </w:pPr>
      <w:r w:rsidRPr="00DE12A3">
        <w:rPr>
          <w:sz w:val="24"/>
          <w:szCs w:val="24"/>
        </w:rPr>
        <w:t xml:space="preserve">                   </w:t>
      </w:r>
      <w:r w:rsidR="00242DA0" w:rsidRPr="00DE12A3">
        <w:rPr>
          <w:sz w:val="24"/>
          <w:szCs w:val="24"/>
        </w:rPr>
        <w:t xml:space="preserve">Rejenerasyon testi sırasında, rejenerasyonu tespit etmek için gereken tüm veriler (CO veya NOx emisyonları, egzoz </w:t>
      </w:r>
      <w:r w:rsidR="007E2039" w:rsidRPr="00DE12A3">
        <w:rPr>
          <w:sz w:val="24"/>
          <w:szCs w:val="24"/>
        </w:rPr>
        <w:t xml:space="preserve">arıtma </w:t>
      </w:r>
      <w:r w:rsidR="00242DA0" w:rsidRPr="00DE12A3">
        <w:rPr>
          <w:sz w:val="24"/>
          <w:szCs w:val="24"/>
        </w:rPr>
        <w:t>sistemi öncesindeki ve sonrasındaki sıcaklık, egzoz gazı geri tepme basıncı v</w:t>
      </w:r>
      <w:r w:rsidR="00EF6BD1" w:rsidRPr="00DE12A3">
        <w:rPr>
          <w:sz w:val="24"/>
          <w:szCs w:val="24"/>
        </w:rPr>
        <w:t>e benxeri</w:t>
      </w:r>
      <w:r w:rsidR="00242DA0" w:rsidRPr="00DE12A3">
        <w:rPr>
          <w:sz w:val="24"/>
          <w:szCs w:val="24"/>
        </w:rPr>
        <w:t>) kaydedilmelidir. Rejenerasyon sürecinde, geçerli emisyon sınırları aşılabilir. Test prosedürü Şekil 6.1'de şematik olarak gösterilmiştir.</w:t>
      </w:r>
    </w:p>
    <w:p w14:paraId="332B95E2" w14:textId="77777777" w:rsidR="00FA43BC" w:rsidRPr="00DE12A3" w:rsidRDefault="00FA43BC" w:rsidP="00C917D6">
      <w:pPr>
        <w:pStyle w:val="Gvdemetni250"/>
        <w:spacing w:before="120" w:after="120" w:line="240" w:lineRule="auto"/>
        <w:ind w:left="1134" w:hanging="1134"/>
        <w:rPr>
          <w:sz w:val="24"/>
          <w:szCs w:val="24"/>
        </w:rPr>
      </w:pPr>
    </w:p>
    <w:p w14:paraId="27924DE2" w14:textId="77777777" w:rsidR="002D7B36" w:rsidRPr="00DE12A3" w:rsidRDefault="00242DA0" w:rsidP="00C917D6">
      <w:pPr>
        <w:pStyle w:val="Gvdemetni250"/>
        <w:spacing w:before="120" w:after="120" w:line="240" w:lineRule="auto"/>
        <w:ind w:left="1134" w:hanging="1134"/>
        <w:jc w:val="center"/>
        <w:rPr>
          <w:sz w:val="24"/>
          <w:szCs w:val="24"/>
        </w:rPr>
      </w:pPr>
      <w:r w:rsidRPr="00DE12A3">
        <w:rPr>
          <w:sz w:val="24"/>
          <w:szCs w:val="24"/>
        </w:rPr>
        <w:t>Şekil 6.1</w:t>
      </w:r>
    </w:p>
    <w:p w14:paraId="32C28DE0" w14:textId="77777777" w:rsidR="002D7B36" w:rsidRPr="00DE12A3" w:rsidRDefault="00242DA0" w:rsidP="00C917D6">
      <w:pPr>
        <w:pStyle w:val="Gvdemetni250"/>
        <w:spacing w:before="120" w:after="120" w:line="240" w:lineRule="auto"/>
        <w:ind w:left="1134" w:hanging="1134"/>
        <w:jc w:val="center"/>
        <w:rPr>
          <w:b/>
          <w:bCs/>
          <w:iCs/>
          <w:sz w:val="24"/>
          <w:szCs w:val="24"/>
        </w:rPr>
      </w:pPr>
      <w:r w:rsidRPr="00DE12A3">
        <w:rPr>
          <w:b/>
          <w:bCs/>
          <w:iCs/>
          <w:sz w:val="24"/>
          <w:szCs w:val="24"/>
        </w:rPr>
        <w:t>n sayıda ölçümle seyrek rejenerasyon ve rejenerasyon sırasında nr sayıda ölçüm şeması</w:t>
      </w:r>
    </w:p>
    <w:p w14:paraId="6CC99BBF" w14:textId="77777777" w:rsidR="00D70820" w:rsidRPr="00DE12A3" w:rsidRDefault="00D70820" w:rsidP="00C917D6">
      <w:pPr>
        <w:pStyle w:val="Gvdemetni250"/>
        <w:spacing w:before="120" w:after="120" w:line="240" w:lineRule="auto"/>
        <w:ind w:left="709" w:hanging="709"/>
        <w:rPr>
          <w:iCs/>
          <w:noProof/>
          <w:sz w:val="20"/>
          <w:szCs w:val="20"/>
          <w:lang w:eastAsia="tr-TR"/>
        </w:rPr>
      </w:pPr>
    </w:p>
    <w:p w14:paraId="0D68D245" w14:textId="1C756098" w:rsidR="00FA43BC" w:rsidRPr="00DE12A3" w:rsidRDefault="00FA43BC" w:rsidP="0057308A">
      <w:pPr>
        <w:pStyle w:val="Gvdemetni250"/>
        <w:spacing w:before="120" w:after="120" w:line="240" w:lineRule="auto"/>
        <w:ind w:left="709" w:hanging="709"/>
        <w:jc w:val="center"/>
        <w:rPr>
          <w:iCs/>
          <w:noProof/>
          <w:sz w:val="20"/>
          <w:szCs w:val="20"/>
          <w:lang w:eastAsia="tr-TR"/>
        </w:rPr>
      </w:pPr>
      <w:r w:rsidRPr="00DE12A3">
        <w:rPr>
          <w:iCs/>
          <w:noProof/>
          <w:sz w:val="20"/>
          <w:szCs w:val="20"/>
          <w:lang w:eastAsia="tr-TR"/>
        </w:rPr>
        <w:drawing>
          <wp:inline distT="0" distB="0" distL="0" distR="0" wp14:anchorId="03B1FE74" wp14:editId="67A573D3">
            <wp:extent cx="4952880" cy="3023863"/>
            <wp:effectExtent l="0" t="0" r="635" b="5715"/>
            <wp:docPr id="2414" name="Resim 24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4957540" cy="3026708"/>
                    </a:xfrm>
                    <a:prstGeom prst="rect">
                      <a:avLst/>
                    </a:prstGeom>
                    <a:noFill/>
                    <a:ln>
                      <a:noFill/>
                    </a:ln>
                  </pic:spPr>
                </pic:pic>
              </a:graphicData>
            </a:graphic>
          </wp:inline>
        </w:drawing>
      </w:r>
    </w:p>
    <w:p w14:paraId="0957597E" w14:textId="77777777" w:rsidR="00FA43BC" w:rsidRPr="00DE12A3" w:rsidRDefault="00FA43BC" w:rsidP="00C917D6">
      <w:pPr>
        <w:pStyle w:val="Gvdemetni250"/>
        <w:spacing w:before="120" w:after="120" w:line="240" w:lineRule="auto"/>
        <w:ind w:left="709" w:hanging="709"/>
        <w:rPr>
          <w:iCs/>
          <w:noProof/>
          <w:sz w:val="20"/>
          <w:szCs w:val="20"/>
          <w:lang w:eastAsia="tr-TR"/>
        </w:rPr>
      </w:pPr>
    </w:p>
    <w:p w14:paraId="7710E1A1" w14:textId="4EE16E3D" w:rsidR="002D7B36" w:rsidRPr="00DE12A3" w:rsidRDefault="00242DA0" w:rsidP="00C917D6">
      <w:pPr>
        <w:pStyle w:val="Gvdemetni0"/>
        <w:shd w:val="clear" w:color="auto" w:fill="auto"/>
        <w:spacing w:before="120" w:after="120" w:line="240" w:lineRule="auto"/>
        <w:ind w:left="1134" w:firstLine="0"/>
        <w:jc w:val="both"/>
        <w:rPr>
          <w:spacing w:val="2"/>
          <w:sz w:val="24"/>
          <w:szCs w:val="24"/>
        </w:rPr>
      </w:pPr>
      <w:r w:rsidRPr="00DE12A3">
        <w:rPr>
          <w:spacing w:val="2"/>
          <w:sz w:val="24"/>
          <w:szCs w:val="24"/>
        </w:rPr>
        <w:t xml:space="preserve">6.6.2.1 veya 6.6.2.2 bentlerine göre gerçekleştirilen test uygulamalarına ilişkin </w:t>
      </w:r>
      <w:r w:rsidRPr="00DE12A3">
        <w:rPr>
          <w:spacing w:val="2"/>
          <w:sz w:val="24"/>
          <w:szCs w:val="24"/>
        </w:rPr>
        <w:lastRenderedPageBreak/>
        <w:t xml:space="preserve">ortalama spesifik emisyon oranı, (6-9) </w:t>
      </w:r>
      <w:r w:rsidR="005E1C7E" w:rsidRPr="00DE12A3">
        <w:rPr>
          <w:spacing w:val="2"/>
          <w:sz w:val="24"/>
          <w:szCs w:val="24"/>
        </w:rPr>
        <w:t xml:space="preserve">numaralı </w:t>
      </w:r>
      <w:r w:rsidRPr="00DE12A3">
        <w:rPr>
          <w:spacing w:val="2"/>
          <w:sz w:val="24"/>
          <w:szCs w:val="24"/>
        </w:rPr>
        <w:t>denklem ile ağırlıklandırılmalıdır (bkz. Şekil 6.1):</w:t>
      </w:r>
    </w:p>
    <w:p w14:paraId="5DACD9CB" w14:textId="77777777" w:rsidR="00890CBB" w:rsidRPr="00DE12A3" w:rsidRDefault="00890CBB" w:rsidP="00C917D6">
      <w:pPr>
        <w:pStyle w:val="Gvdemetni0"/>
        <w:shd w:val="clear" w:color="auto" w:fill="auto"/>
        <w:spacing w:before="120" w:after="120" w:line="240" w:lineRule="auto"/>
        <w:ind w:left="1134" w:firstLine="0"/>
        <w:jc w:val="both"/>
        <w:rPr>
          <w:sz w:val="24"/>
          <w:szCs w:val="24"/>
        </w:rPr>
      </w:pPr>
    </w:p>
    <w:tbl>
      <w:tblPr>
        <w:tblW w:w="5912" w:type="dxa"/>
        <w:jc w:val="center"/>
        <w:tblLayout w:type="fixed"/>
        <w:tblLook w:val="0000" w:firstRow="0" w:lastRow="0" w:firstColumn="0" w:lastColumn="0" w:noHBand="0" w:noVBand="0"/>
      </w:tblPr>
      <w:tblGrid>
        <w:gridCol w:w="3903"/>
        <w:gridCol w:w="2009"/>
      </w:tblGrid>
      <w:tr w:rsidR="00DE12A3" w:rsidRPr="00DE12A3" w14:paraId="7F68F767" w14:textId="77777777" w:rsidTr="00890CBB">
        <w:trPr>
          <w:trHeight w:val="1587"/>
          <w:jc w:val="center"/>
        </w:trPr>
        <w:tc>
          <w:tcPr>
            <w:tcW w:w="3903" w:type="dxa"/>
          </w:tcPr>
          <w:p w14:paraId="4B2C27C6" w14:textId="17EC9BFF" w:rsidR="00890CBB" w:rsidRPr="00DE12A3" w:rsidRDefault="00890CBB" w:rsidP="00C917D6">
            <w:pPr>
              <w:pStyle w:val="NormalLeft"/>
              <w:jc w:val="center"/>
            </w:pPr>
            <w:r w:rsidRPr="00DE12A3">
              <w:rPr>
                <w:noProof/>
                <w:lang w:val="tr-TR"/>
              </w:rPr>
              <w:drawing>
                <wp:inline distT="0" distB="0" distL="0" distR="0" wp14:anchorId="3E0C0759" wp14:editId="0589BD88">
                  <wp:extent cx="2072640" cy="419100"/>
                  <wp:effectExtent l="0" t="0" r="3810"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072640" cy="419100"/>
                          </a:xfrm>
                          <a:prstGeom prst="rect">
                            <a:avLst/>
                          </a:prstGeom>
                          <a:noFill/>
                          <a:ln>
                            <a:noFill/>
                          </a:ln>
                        </pic:spPr>
                      </pic:pic>
                    </a:graphicData>
                  </a:graphic>
                </wp:inline>
              </w:drawing>
            </w:r>
          </w:p>
        </w:tc>
        <w:tc>
          <w:tcPr>
            <w:tcW w:w="2009" w:type="dxa"/>
          </w:tcPr>
          <w:p w14:paraId="77FEA766" w14:textId="77777777" w:rsidR="00890CBB" w:rsidRPr="00DE12A3" w:rsidRDefault="00890CBB" w:rsidP="00C917D6">
            <w:pPr>
              <w:pStyle w:val="NormalLeft"/>
            </w:pPr>
            <w:r w:rsidRPr="00DE12A3">
              <w:t>(6-9)</w:t>
            </w:r>
          </w:p>
        </w:tc>
      </w:tr>
    </w:tbl>
    <w:p w14:paraId="78E8144A" w14:textId="77777777" w:rsidR="002D7B36" w:rsidRPr="00DE12A3" w:rsidRDefault="00242DA0" w:rsidP="00C917D6">
      <w:pPr>
        <w:pStyle w:val="Gvdemetni0"/>
        <w:shd w:val="clear" w:color="auto" w:fill="auto"/>
        <w:spacing w:before="120" w:after="120" w:line="240" w:lineRule="auto"/>
        <w:ind w:left="1134" w:firstLine="0"/>
        <w:jc w:val="both"/>
        <w:rPr>
          <w:sz w:val="24"/>
          <w:szCs w:val="24"/>
        </w:rPr>
      </w:pPr>
      <w:r w:rsidRPr="00DE12A3">
        <w:rPr>
          <w:rStyle w:val="Gvdemetni0ptbolukbraklyor"/>
          <w:color w:val="auto"/>
          <w:sz w:val="24"/>
          <w:szCs w:val="24"/>
        </w:rPr>
        <w:t>Burada:</w:t>
      </w:r>
    </w:p>
    <w:p w14:paraId="7A5F4E0B" w14:textId="394EE77D" w:rsidR="002D7B36" w:rsidRPr="00DE12A3" w:rsidRDefault="00242DA0" w:rsidP="00C917D6">
      <w:pPr>
        <w:pStyle w:val="Gvdemetni0"/>
        <w:shd w:val="clear" w:color="auto" w:fill="auto"/>
        <w:spacing w:before="120" w:after="120" w:line="240" w:lineRule="auto"/>
        <w:ind w:left="1134" w:firstLine="0"/>
        <w:jc w:val="both"/>
        <w:rPr>
          <w:sz w:val="24"/>
          <w:szCs w:val="24"/>
        </w:rPr>
      </w:pPr>
      <w:r w:rsidRPr="00DE12A3">
        <w:rPr>
          <w:rStyle w:val="Gvdemetnitalik"/>
          <w:color w:val="auto"/>
          <w:sz w:val="24"/>
          <w:szCs w:val="24"/>
        </w:rPr>
        <w:t>n</w:t>
      </w:r>
      <w:r w:rsidRPr="00DE12A3">
        <w:rPr>
          <w:rStyle w:val="Gvdemetnitalik"/>
          <w:color w:val="auto"/>
          <w:sz w:val="24"/>
          <w:szCs w:val="24"/>
        </w:rPr>
        <w:tab/>
      </w:r>
      <w:r w:rsidRPr="00DE12A3">
        <w:rPr>
          <w:iCs/>
          <w:spacing w:val="2"/>
          <w:sz w:val="24"/>
          <w:szCs w:val="24"/>
        </w:rPr>
        <w:t>rejenerasyonun gerçekleşmediği test sayısıdır</w:t>
      </w:r>
      <w:r w:rsidR="00EF6BD1" w:rsidRPr="00DE12A3">
        <w:rPr>
          <w:rStyle w:val="Gvdemetni0ptbolukbraklyor"/>
          <w:color w:val="auto"/>
          <w:sz w:val="24"/>
          <w:szCs w:val="24"/>
        </w:rPr>
        <w:t>.</w:t>
      </w:r>
    </w:p>
    <w:p w14:paraId="3542033E" w14:textId="23136B45" w:rsidR="002D7B36" w:rsidRPr="00DE12A3" w:rsidRDefault="00242DA0" w:rsidP="00C917D6">
      <w:pPr>
        <w:pStyle w:val="Gvdemetni0"/>
        <w:shd w:val="clear" w:color="auto" w:fill="auto"/>
        <w:spacing w:before="120" w:after="120" w:line="240" w:lineRule="auto"/>
        <w:ind w:left="1134" w:firstLine="0"/>
        <w:jc w:val="both"/>
        <w:rPr>
          <w:sz w:val="24"/>
          <w:szCs w:val="24"/>
        </w:rPr>
      </w:pPr>
      <w:r w:rsidRPr="00DE12A3">
        <w:rPr>
          <w:rStyle w:val="Gvdemetnitalik"/>
          <w:color w:val="auto"/>
          <w:sz w:val="24"/>
          <w:szCs w:val="24"/>
        </w:rPr>
        <w:t>n</w:t>
      </w:r>
      <w:r w:rsidRPr="00DE12A3">
        <w:rPr>
          <w:rStyle w:val="Gvdemetnitalik"/>
          <w:color w:val="auto"/>
          <w:sz w:val="24"/>
          <w:szCs w:val="24"/>
          <w:vertAlign w:val="subscript"/>
        </w:rPr>
        <w:t>r</w:t>
      </w:r>
      <w:r w:rsidRPr="00DE12A3">
        <w:rPr>
          <w:rStyle w:val="Gvdemetni0ptbolukbraklyor"/>
          <w:color w:val="auto"/>
          <w:sz w:val="24"/>
          <w:szCs w:val="24"/>
        </w:rPr>
        <w:tab/>
      </w:r>
      <w:r w:rsidRPr="00DE12A3">
        <w:rPr>
          <w:iCs/>
          <w:spacing w:val="2"/>
          <w:sz w:val="24"/>
          <w:szCs w:val="24"/>
        </w:rPr>
        <w:t>rejenerasyonun gerçekleştiği test sayısıdır (en az bir test)</w:t>
      </w:r>
      <w:r w:rsidR="00EF6BD1" w:rsidRPr="00DE12A3">
        <w:rPr>
          <w:iCs/>
          <w:spacing w:val="2"/>
          <w:sz w:val="24"/>
          <w:szCs w:val="24"/>
        </w:rPr>
        <w:t>.</w:t>
      </w:r>
    </w:p>
    <w:p w14:paraId="4083361E" w14:textId="6F635F27" w:rsidR="002D7B36" w:rsidRPr="00DE12A3" w:rsidRDefault="00242DA0" w:rsidP="00C917D6">
      <w:pPr>
        <w:pStyle w:val="Gvdemetni0"/>
        <w:shd w:val="clear" w:color="auto" w:fill="auto"/>
        <w:spacing w:before="120" w:after="120" w:line="240" w:lineRule="auto"/>
        <w:ind w:left="1134" w:firstLine="0"/>
        <w:jc w:val="both"/>
        <w:rPr>
          <w:sz w:val="24"/>
          <w:szCs w:val="24"/>
        </w:rPr>
      </w:pPr>
      <w:r w:rsidRPr="00DE12A3">
        <w:rPr>
          <w:rStyle w:val="Gvdemetnitalik"/>
          <w:color w:val="auto"/>
          <w:sz w:val="24"/>
          <w:szCs w:val="24"/>
        </w:rPr>
        <w:t>e</w:t>
      </w:r>
      <w:r w:rsidRPr="00DE12A3">
        <w:rPr>
          <w:rStyle w:val="Gvdemetni0ptbolukbraklyor"/>
          <w:color w:val="auto"/>
          <w:sz w:val="24"/>
          <w:szCs w:val="24"/>
        </w:rPr>
        <w:tab/>
      </w:r>
      <w:r w:rsidRPr="00DE12A3">
        <w:rPr>
          <w:iCs/>
          <w:spacing w:val="2"/>
          <w:sz w:val="24"/>
          <w:szCs w:val="24"/>
        </w:rPr>
        <w:t>rejenerasyonun gerçekleşmediği bir testten elde edilen ortalama spesifik emisyondur [g/kWh veya #/</w:t>
      </w:r>
      <w:r w:rsidRPr="00DE12A3">
        <w:rPr>
          <w:i/>
          <w:iCs/>
          <w:spacing w:val="2"/>
          <w:sz w:val="24"/>
          <w:szCs w:val="24"/>
        </w:rPr>
        <w:t>kWh]</w:t>
      </w:r>
      <w:r w:rsidR="00EF6BD1" w:rsidRPr="00DE12A3">
        <w:rPr>
          <w:i/>
          <w:iCs/>
          <w:spacing w:val="2"/>
          <w:sz w:val="24"/>
          <w:szCs w:val="24"/>
        </w:rPr>
        <w:t>.</w:t>
      </w:r>
    </w:p>
    <w:p w14:paraId="04BFF984" w14:textId="52464C02" w:rsidR="002D7B36" w:rsidRPr="00DE12A3" w:rsidRDefault="00242DA0" w:rsidP="00C917D6">
      <w:pPr>
        <w:pStyle w:val="Gvdemetni0"/>
        <w:shd w:val="clear" w:color="auto" w:fill="auto"/>
        <w:spacing w:before="120" w:after="120" w:line="240" w:lineRule="auto"/>
        <w:ind w:left="1134" w:firstLine="0"/>
        <w:jc w:val="both"/>
        <w:rPr>
          <w:sz w:val="24"/>
          <w:szCs w:val="24"/>
        </w:rPr>
      </w:pPr>
      <w:r w:rsidRPr="00DE12A3">
        <w:rPr>
          <w:rStyle w:val="Gvdemetnitalik"/>
          <w:color w:val="auto"/>
          <w:sz w:val="24"/>
          <w:szCs w:val="24"/>
        </w:rPr>
        <w:t>e</w:t>
      </w:r>
      <w:r w:rsidRPr="00DE12A3">
        <w:rPr>
          <w:rStyle w:val="Gvdemetnitalik"/>
          <w:color w:val="auto"/>
          <w:sz w:val="24"/>
          <w:szCs w:val="24"/>
          <w:vertAlign w:val="subscript"/>
        </w:rPr>
        <w:t>r</w:t>
      </w:r>
      <w:r w:rsidRPr="00DE12A3">
        <w:rPr>
          <w:rStyle w:val="Gvdemetni0ptbolukbraklyor"/>
          <w:color w:val="auto"/>
          <w:sz w:val="24"/>
          <w:szCs w:val="24"/>
        </w:rPr>
        <w:tab/>
      </w:r>
      <w:r w:rsidRPr="00DE12A3">
        <w:rPr>
          <w:iCs/>
          <w:spacing w:val="2"/>
          <w:sz w:val="24"/>
          <w:szCs w:val="24"/>
        </w:rPr>
        <w:t>rejenerasyonun gerçekleştiği bir testten elde edilen ortalama spesifik emisyondur [g/kWh veya #/</w:t>
      </w:r>
      <w:r w:rsidRPr="00DE12A3">
        <w:rPr>
          <w:i/>
          <w:iCs/>
          <w:spacing w:val="2"/>
          <w:sz w:val="24"/>
          <w:szCs w:val="24"/>
        </w:rPr>
        <w:t>kWh]</w:t>
      </w:r>
      <w:r w:rsidR="00EF6BD1" w:rsidRPr="00DE12A3">
        <w:rPr>
          <w:i/>
          <w:iCs/>
          <w:spacing w:val="2"/>
          <w:sz w:val="24"/>
          <w:szCs w:val="24"/>
        </w:rPr>
        <w:t>.</w:t>
      </w:r>
    </w:p>
    <w:p w14:paraId="53D3DD8C" w14:textId="3B070D22" w:rsidR="002D7B36" w:rsidRPr="00DE12A3" w:rsidRDefault="00242DA0" w:rsidP="00C917D6">
      <w:pPr>
        <w:pStyle w:val="Gvdemetni0"/>
        <w:shd w:val="clear" w:color="auto" w:fill="auto"/>
        <w:spacing w:before="120" w:after="120" w:line="240" w:lineRule="auto"/>
        <w:ind w:left="1134" w:firstLine="0"/>
        <w:jc w:val="both"/>
        <w:rPr>
          <w:spacing w:val="2"/>
          <w:sz w:val="24"/>
          <w:szCs w:val="24"/>
        </w:rPr>
      </w:pPr>
      <w:r w:rsidRPr="00DE12A3">
        <w:rPr>
          <w:spacing w:val="2"/>
          <w:sz w:val="24"/>
          <w:szCs w:val="24"/>
        </w:rPr>
        <w:t xml:space="preserve">İmalatçının tercihine bağlı olarak ve iyi mühendislik kararına dayanarak, ortalama emisyon oranını ifade eden rejenerasyon ayar faktörü kr, tüm gaz kirleticiler için çarpımsal veya ilave olarak ve PM ve PN için geçerli bir sınırın olduğu durumlarda (6-10) ila (6-13) </w:t>
      </w:r>
      <w:r w:rsidR="005E1C7E" w:rsidRPr="00DE12A3">
        <w:rPr>
          <w:spacing w:val="2"/>
          <w:sz w:val="24"/>
          <w:szCs w:val="24"/>
        </w:rPr>
        <w:t xml:space="preserve">numaralı </w:t>
      </w:r>
      <w:r w:rsidRPr="00DE12A3">
        <w:rPr>
          <w:spacing w:val="2"/>
          <w:sz w:val="24"/>
          <w:szCs w:val="24"/>
        </w:rPr>
        <w:t>denklemler vasıtasıyla hesaplanabilir:</w:t>
      </w:r>
    </w:p>
    <w:p w14:paraId="01E71E3A" w14:textId="77777777" w:rsidR="002D7B36" w:rsidRPr="00DE12A3" w:rsidRDefault="002D7B36" w:rsidP="00C917D6">
      <w:pPr>
        <w:pStyle w:val="Gvdemetni0"/>
        <w:shd w:val="clear" w:color="auto" w:fill="auto"/>
        <w:spacing w:before="120" w:after="120" w:line="240" w:lineRule="auto"/>
        <w:ind w:left="1134" w:firstLine="0"/>
        <w:jc w:val="both"/>
        <w:rPr>
          <w:sz w:val="24"/>
          <w:szCs w:val="24"/>
        </w:rPr>
      </w:pPr>
    </w:p>
    <w:p w14:paraId="1A7F4CCC" w14:textId="77777777" w:rsidR="00FA43BC" w:rsidRPr="00DE12A3" w:rsidRDefault="00FA43BC" w:rsidP="00C917D6">
      <w:pPr>
        <w:pStyle w:val="Gvdemetni0"/>
        <w:shd w:val="clear" w:color="auto" w:fill="auto"/>
        <w:spacing w:before="120" w:after="120" w:line="240" w:lineRule="auto"/>
        <w:ind w:left="1134" w:firstLine="0"/>
        <w:jc w:val="both"/>
        <w:rPr>
          <w:sz w:val="24"/>
          <w:szCs w:val="24"/>
        </w:rPr>
      </w:pPr>
    </w:p>
    <w:p w14:paraId="20B1EAA8" w14:textId="77777777" w:rsidR="002D7B36" w:rsidRPr="00DE12A3" w:rsidRDefault="00242DA0" w:rsidP="00C917D6">
      <w:pPr>
        <w:pStyle w:val="Gvdemetni250"/>
        <w:shd w:val="clear" w:color="auto" w:fill="auto"/>
        <w:spacing w:before="120" w:after="120" w:line="240" w:lineRule="auto"/>
        <w:ind w:left="1134" w:firstLine="0"/>
        <w:rPr>
          <w:sz w:val="24"/>
          <w:szCs w:val="24"/>
          <w:lang w:val="en-US"/>
        </w:rPr>
      </w:pPr>
      <w:r w:rsidRPr="00DE12A3">
        <w:rPr>
          <w:sz w:val="24"/>
          <w:szCs w:val="24"/>
          <w:lang w:val="en-US"/>
        </w:rPr>
        <w:t xml:space="preserve">Çarpımsal  </w:t>
      </w:r>
    </w:p>
    <w:tbl>
      <w:tblPr>
        <w:tblW w:w="7534" w:type="dxa"/>
        <w:jc w:val="center"/>
        <w:tblLayout w:type="fixed"/>
        <w:tblLook w:val="0000" w:firstRow="0" w:lastRow="0" w:firstColumn="0" w:lastColumn="0" w:noHBand="0" w:noVBand="0"/>
      </w:tblPr>
      <w:tblGrid>
        <w:gridCol w:w="1883"/>
        <w:gridCol w:w="4446"/>
        <w:gridCol w:w="1205"/>
      </w:tblGrid>
      <w:tr w:rsidR="00DE12A3" w:rsidRPr="00DE12A3" w14:paraId="079ACE0F" w14:textId="77777777" w:rsidTr="00890CBB">
        <w:trPr>
          <w:trHeight w:val="1175"/>
          <w:jc w:val="center"/>
        </w:trPr>
        <w:tc>
          <w:tcPr>
            <w:tcW w:w="1883" w:type="dxa"/>
          </w:tcPr>
          <w:p w14:paraId="6483F084" w14:textId="112CC251" w:rsidR="00890CBB" w:rsidRPr="00DE12A3" w:rsidRDefault="00890CBB" w:rsidP="00C917D6">
            <w:pPr>
              <w:pStyle w:val="NormalLeft"/>
            </w:pPr>
            <w:r w:rsidRPr="00DE12A3">
              <w:rPr>
                <w:noProof/>
                <w:lang w:val="tr-TR"/>
              </w:rPr>
              <w:drawing>
                <wp:inline distT="0" distB="0" distL="0" distR="0" wp14:anchorId="24E3C03B" wp14:editId="1038BB43">
                  <wp:extent cx="990600" cy="434340"/>
                  <wp:effectExtent l="0" t="0" r="0" b="3810"/>
                  <wp:docPr id="6" name="Resi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90600" cy="434340"/>
                          </a:xfrm>
                          <a:prstGeom prst="rect">
                            <a:avLst/>
                          </a:prstGeom>
                          <a:noFill/>
                          <a:ln>
                            <a:noFill/>
                          </a:ln>
                        </pic:spPr>
                      </pic:pic>
                    </a:graphicData>
                  </a:graphic>
                </wp:inline>
              </w:drawing>
            </w:r>
          </w:p>
        </w:tc>
        <w:tc>
          <w:tcPr>
            <w:tcW w:w="4446" w:type="dxa"/>
          </w:tcPr>
          <w:p w14:paraId="34AEEEB7" w14:textId="77777777" w:rsidR="00890CBB" w:rsidRPr="00DE12A3" w:rsidRDefault="00890CBB" w:rsidP="00C917D6">
            <w:pPr>
              <w:pStyle w:val="NormalLeft"/>
            </w:pPr>
            <w:r w:rsidRPr="00DE12A3">
              <w:t>(Yukarı doğru ayar faktörü)</w:t>
            </w:r>
          </w:p>
        </w:tc>
        <w:tc>
          <w:tcPr>
            <w:tcW w:w="1205" w:type="dxa"/>
          </w:tcPr>
          <w:p w14:paraId="3608B880" w14:textId="77777777" w:rsidR="00890CBB" w:rsidRPr="00DE12A3" w:rsidRDefault="00890CBB" w:rsidP="00C917D6">
            <w:pPr>
              <w:pStyle w:val="NormalLeft"/>
            </w:pPr>
            <w:r w:rsidRPr="00DE12A3">
              <w:t>(6-10)</w:t>
            </w:r>
          </w:p>
        </w:tc>
      </w:tr>
      <w:tr w:rsidR="00DE12A3" w:rsidRPr="00DE12A3" w14:paraId="331B30B1" w14:textId="77777777" w:rsidTr="00890CBB">
        <w:trPr>
          <w:trHeight w:val="1249"/>
          <w:jc w:val="center"/>
        </w:trPr>
        <w:tc>
          <w:tcPr>
            <w:tcW w:w="1883" w:type="dxa"/>
          </w:tcPr>
          <w:p w14:paraId="58DFDAD5" w14:textId="2E3B7964" w:rsidR="00890CBB" w:rsidRPr="00DE12A3" w:rsidRDefault="00890CBB" w:rsidP="00C917D6">
            <w:pPr>
              <w:pStyle w:val="NormalLeft"/>
            </w:pPr>
            <w:r w:rsidRPr="00DE12A3">
              <w:rPr>
                <w:noProof/>
                <w:lang w:val="tr-TR"/>
              </w:rPr>
              <w:drawing>
                <wp:inline distT="0" distB="0" distL="0" distR="0" wp14:anchorId="0501656B" wp14:editId="6B74BD4C">
                  <wp:extent cx="952500" cy="495300"/>
                  <wp:effectExtent l="0" t="0" r="0" b="0"/>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52500" cy="495300"/>
                          </a:xfrm>
                          <a:prstGeom prst="rect">
                            <a:avLst/>
                          </a:prstGeom>
                          <a:noFill/>
                          <a:ln>
                            <a:noFill/>
                          </a:ln>
                        </pic:spPr>
                      </pic:pic>
                    </a:graphicData>
                  </a:graphic>
                </wp:inline>
              </w:drawing>
            </w:r>
          </w:p>
        </w:tc>
        <w:tc>
          <w:tcPr>
            <w:tcW w:w="4446" w:type="dxa"/>
          </w:tcPr>
          <w:p w14:paraId="1EDAFEDD" w14:textId="77777777" w:rsidR="00890CBB" w:rsidRPr="00DE12A3" w:rsidRDefault="00890CBB" w:rsidP="00C917D6">
            <w:pPr>
              <w:pStyle w:val="NormalLeft"/>
            </w:pPr>
            <w:r w:rsidRPr="00DE12A3">
              <w:t>(Aşağı doğru ayar faktörü)</w:t>
            </w:r>
          </w:p>
        </w:tc>
        <w:tc>
          <w:tcPr>
            <w:tcW w:w="1205" w:type="dxa"/>
          </w:tcPr>
          <w:p w14:paraId="527023D3" w14:textId="77777777" w:rsidR="00890CBB" w:rsidRPr="00DE12A3" w:rsidRDefault="00890CBB" w:rsidP="00C917D6">
            <w:pPr>
              <w:pStyle w:val="NormalLeft"/>
            </w:pPr>
            <w:r w:rsidRPr="00DE12A3">
              <w:t>(6-11)</w:t>
            </w:r>
          </w:p>
        </w:tc>
      </w:tr>
    </w:tbl>
    <w:p w14:paraId="3527C461" w14:textId="77777777" w:rsidR="002D7B36" w:rsidRPr="00DE12A3" w:rsidRDefault="00242DA0" w:rsidP="00C917D6">
      <w:pPr>
        <w:pStyle w:val="Gvdemetni250"/>
        <w:spacing w:before="120" w:after="120" w:line="240" w:lineRule="auto"/>
        <w:ind w:left="1134" w:firstLine="0"/>
        <w:rPr>
          <w:sz w:val="24"/>
          <w:szCs w:val="24"/>
        </w:rPr>
      </w:pPr>
      <w:r w:rsidRPr="00DE12A3">
        <w:rPr>
          <w:sz w:val="24"/>
          <w:szCs w:val="24"/>
        </w:rPr>
        <w:t>İlave</w:t>
      </w:r>
    </w:p>
    <w:p w14:paraId="51A57B0E" w14:textId="77777777" w:rsidR="00890CBB" w:rsidRPr="00DE12A3" w:rsidRDefault="00890CBB" w:rsidP="00C917D6">
      <w:pPr>
        <w:pStyle w:val="Gvdemetni250"/>
        <w:spacing w:before="120" w:after="120" w:line="240" w:lineRule="auto"/>
        <w:ind w:left="1134" w:firstLine="0"/>
        <w:rPr>
          <w:sz w:val="24"/>
          <w:szCs w:val="24"/>
        </w:rPr>
      </w:pPr>
    </w:p>
    <w:tbl>
      <w:tblPr>
        <w:tblW w:w="7431" w:type="dxa"/>
        <w:jc w:val="center"/>
        <w:tblLayout w:type="fixed"/>
        <w:tblLook w:val="0000" w:firstRow="0" w:lastRow="0" w:firstColumn="0" w:lastColumn="0" w:noHBand="0" w:noVBand="0"/>
      </w:tblPr>
      <w:tblGrid>
        <w:gridCol w:w="2773"/>
        <w:gridCol w:w="3469"/>
        <w:gridCol w:w="1189"/>
      </w:tblGrid>
      <w:tr w:rsidR="00DE12A3" w:rsidRPr="00DE12A3" w14:paraId="05D30E07" w14:textId="77777777" w:rsidTr="00890CBB">
        <w:trPr>
          <w:trHeight w:val="947"/>
          <w:jc w:val="center"/>
        </w:trPr>
        <w:tc>
          <w:tcPr>
            <w:tcW w:w="2773" w:type="dxa"/>
          </w:tcPr>
          <w:p w14:paraId="546E9C4E" w14:textId="4A653DCC" w:rsidR="00890CBB" w:rsidRPr="00DE12A3" w:rsidRDefault="00890CBB" w:rsidP="00C917D6">
            <w:pPr>
              <w:pStyle w:val="NormalLeft"/>
            </w:pPr>
            <w:r w:rsidRPr="00DE12A3">
              <w:rPr>
                <w:noProof/>
                <w:lang w:val="tr-TR"/>
              </w:rPr>
              <w:drawing>
                <wp:inline distT="0" distB="0" distL="0" distR="0" wp14:anchorId="0783935F" wp14:editId="788F0325">
                  <wp:extent cx="990600" cy="327660"/>
                  <wp:effectExtent l="0" t="0" r="0" b="0"/>
                  <wp:docPr id="20" name="Resim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90600" cy="327660"/>
                          </a:xfrm>
                          <a:prstGeom prst="rect">
                            <a:avLst/>
                          </a:prstGeom>
                          <a:noFill/>
                          <a:ln>
                            <a:noFill/>
                          </a:ln>
                        </pic:spPr>
                      </pic:pic>
                    </a:graphicData>
                  </a:graphic>
                </wp:inline>
              </w:drawing>
            </w:r>
          </w:p>
        </w:tc>
        <w:tc>
          <w:tcPr>
            <w:tcW w:w="3469" w:type="dxa"/>
          </w:tcPr>
          <w:p w14:paraId="326F3C78" w14:textId="77777777" w:rsidR="00890CBB" w:rsidRPr="00DE12A3" w:rsidRDefault="00890CBB" w:rsidP="00C917D6">
            <w:pPr>
              <w:pStyle w:val="NormalLeft"/>
            </w:pPr>
            <w:r w:rsidRPr="00DE12A3">
              <w:t>(Yukarı doğru ayar faktörü)</w:t>
            </w:r>
          </w:p>
        </w:tc>
        <w:tc>
          <w:tcPr>
            <w:tcW w:w="1189" w:type="dxa"/>
          </w:tcPr>
          <w:p w14:paraId="706FA327" w14:textId="77777777" w:rsidR="00890CBB" w:rsidRPr="00DE12A3" w:rsidRDefault="00890CBB" w:rsidP="00C917D6">
            <w:pPr>
              <w:pStyle w:val="NormalLeft"/>
            </w:pPr>
            <w:r w:rsidRPr="00DE12A3">
              <w:t>(6-12)</w:t>
            </w:r>
          </w:p>
        </w:tc>
      </w:tr>
      <w:tr w:rsidR="00DE12A3" w:rsidRPr="00DE12A3" w14:paraId="5C303FD1" w14:textId="77777777" w:rsidTr="00890CBB">
        <w:trPr>
          <w:trHeight w:val="962"/>
          <w:jc w:val="center"/>
        </w:trPr>
        <w:tc>
          <w:tcPr>
            <w:tcW w:w="2773" w:type="dxa"/>
          </w:tcPr>
          <w:p w14:paraId="0CCDC397" w14:textId="542AD27D" w:rsidR="00890CBB" w:rsidRPr="00DE12A3" w:rsidRDefault="00890CBB" w:rsidP="00C917D6">
            <w:pPr>
              <w:pStyle w:val="NormalLeft"/>
            </w:pPr>
            <w:r w:rsidRPr="00DE12A3">
              <w:rPr>
                <w:noProof/>
                <w:lang w:val="tr-TR"/>
              </w:rPr>
              <w:drawing>
                <wp:inline distT="0" distB="0" distL="0" distR="0" wp14:anchorId="2BAF698C" wp14:editId="21788A12">
                  <wp:extent cx="1089660" cy="327660"/>
                  <wp:effectExtent l="0" t="0" r="0" b="0"/>
                  <wp:docPr id="14" name="Resim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089660" cy="327660"/>
                          </a:xfrm>
                          <a:prstGeom prst="rect">
                            <a:avLst/>
                          </a:prstGeom>
                          <a:noFill/>
                          <a:ln>
                            <a:noFill/>
                          </a:ln>
                        </pic:spPr>
                      </pic:pic>
                    </a:graphicData>
                  </a:graphic>
                </wp:inline>
              </w:drawing>
            </w:r>
          </w:p>
        </w:tc>
        <w:tc>
          <w:tcPr>
            <w:tcW w:w="3469" w:type="dxa"/>
          </w:tcPr>
          <w:p w14:paraId="4CD52F4D" w14:textId="77777777" w:rsidR="00890CBB" w:rsidRPr="00DE12A3" w:rsidRDefault="00890CBB" w:rsidP="00C917D6">
            <w:pPr>
              <w:pStyle w:val="NormalLeft"/>
            </w:pPr>
            <w:r w:rsidRPr="00DE12A3">
              <w:t>(Aşağı doğru ayar faktörü)</w:t>
            </w:r>
          </w:p>
        </w:tc>
        <w:tc>
          <w:tcPr>
            <w:tcW w:w="1189" w:type="dxa"/>
          </w:tcPr>
          <w:p w14:paraId="298486B3" w14:textId="77777777" w:rsidR="00890CBB" w:rsidRPr="00DE12A3" w:rsidRDefault="00890CBB" w:rsidP="00C917D6">
            <w:pPr>
              <w:pStyle w:val="NormalLeft"/>
            </w:pPr>
            <w:r w:rsidRPr="00DE12A3">
              <w:t>(6-13)</w:t>
            </w:r>
          </w:p>
        </w:tc>
      </w:tr>
    </w:tbl>
    <w:p w14:paraId="420D1702" w14:textId="77777777" w:rsidR="002D7B36" w:rsidRPr="00DE12A3" w:rsidRDefault="00242DA0" w:rsidP="00C917D6">
      <w:pPr>
        <w:pStyle w:val="Gvdemetni250"/>
        <w:spacing w:before="120" w:after="120" w:line="240" w:lineRule="auto"/>
        <w:ind w:left="1134" w:hanging="1134"/>
        <w:rPr>
          <w:sz w:val="24"/>
          <w:szCs w:val="24"/>
        </w:rPr>
      </w:pPr>
      <w:r w:rsidRPr="00DE12A3">
        <w:rPr>
          <w:sz w:val="24"/>
          <w:szCs w:val="24"/>
        </w:rPr>
        <w:t>6.6.2.4.</w:t>
      </w:r>
      <w:r w:rsidRPr="00DE12A3">
        <w:rPr>
          <w:sz w:val="24"/>
          <w:szCs w:val="24"/>
        </w:rPr>
        <w:tab/>
        <w:t>Ayar faktörlerinin uygulanması</w:t>
      </w:r>
    </w:p>
    <w:p w14:paraId="0B3878A7" w14:textId="77777777" w:rsidR="002D7B36" w:rsidRPr="00DE12A3" w:rsidRDefault="00242DA0" w:rsidP="00C917D6">
      <w:pPr>
        <w:pStyle w:val="Gvdemetni250"/>
        <w:spacing w:before="120" w:after="120" w:line="240" w:lineRule="auto"/>
        <w:ind w:left="1134" w:firstLine="0"/>
        <w:rPr>
          <w:sz w:val="24"/>
          <w:szCs w:val="24"/>
        </w:rPr>
      </w:pPr>
      <w:r w:rsidRPr="00DE12A3">
        <w:rPr>
          <w:sz w:val="24"/>
          <w:szCs w:val="24"/>
        </w:rPr>
        <w:t xml:space="preserve">Rejenerasyonun gerçekleşmediği tüm testler için yukarı doğru ayar faktörleri ölçülen emisyon oranları ile çarpılır veya onlara eklenir. Rejenerasyonun gerçekleştiği tüm testler için aşağı doğru ayar faktörleri ölçülen emisyon oranları </w:t>
      </w:r>
      <w:r w:rsidRPr="00DE12A3">
        <w:rPr>
          <w:sz w:val="24"/>
          <w:szCs w:val="24"/>
        </w:rPr>
        <w:lastRenderedPageBreak/>
        <w:t>ile çarpılır veya onlara eklenir. Rejenerasyonun gerçekleşmesi, tüm testler sırasında kolayca görülebilecek şekilde tanımlanmalıdır. Hiçbir rejenerasyon tanımlanmadığında, yukarı doğru ayar faktörü uygulanır.</w:t>
      </w:r>
    </w:p>
    <w:p w14:paraId="107958BE" w14:textId="3CEA404E" w:rsidR="002D7B36" w:rsidRPr="00DE12A3" w:rsidRDefault="00242DA0" w:rsidP="00C917D6">
      <w:pPr>
        <w:pStyle w:val="Gvdemetni250"/>
        <w:spacing w:before="120" w:after="120" w:line="240" w:lineRule="auto"/>
        <w:ind w:left="1134" w:firstLine="0"/>
        <w:rPr>
          <w:sz w:val="24"/>
          <w:szCs w:val="24"/>
        </w:rPr>
      </w:pPr>
      <w:r w:rsidRPr="00DE12A3">
        <w:rPr>
          <w:sz w:val="24"/>
          <w:szCs w:val="24"/>
        </w:rPr>
        <w:t xml:space="preserve">Frene özel emisyon hesaplamalarına ilişkin </w:t>
      </w:r>
      <w:r w:rsidR="00FA0678" w:rsidRPr="00DE12A3">
        <w:rPr>
          <w:sz w:val="24"/>
          <w:szCs w:val="24"/>
        </w:rPr>
        <w:t xml:space="preserve">VII’nci </w:t>
      </w:r>
      <w:r w:rsidR="00850EBE" w:rsidRPr="00DE12A3">
        <w:rPr>
          <w:sz w:val="24"/>
          <w:szCs w:val="24"/>
        </w:rPr>
        <w:t>E</w:t>
      </w:r>
      <w:r w:rsidR="00FA0678" w:rsidRPr="00DE12A3">
        <w:rPr>
          <w:sz w:val="24"/>
          <w:szCs w:val="24"/>
        </w:rPr>
        <w:t>k</w:t>
      </w:r>
      <w:r w:rsidRPr="00DE12A3">
        <w:rPr>
          <w:sz w:val="24"/>
          <w:szCs w:val="24"/>
        </w:rPr>
        <w:t xml:space="preserve"> ve </w:t>
      </w:r>
      <w:r w:rsidR="00FA0678" w:rsidRPr="00DE12A3">
        <w:rPr>
          <w:sz w:val="24"/>
          <w:szCs w:val="24"/>
        </w:rPr>
        <w:t xml:space="preserve">VII’nci </w:t>
      </w:r>
      <w:r w:rsidR="00850EBE" w:rsidRPr="00DE12A3">
        <w:rPr>
          <w:sz w:val="24"/>
          <w:szCs w:val="24"/>
        </w:rPr>
        <w:t>E</w:t>
      </w:r>
      <w:r w:rsidR="00FA0678" w:rsidRPr="00DE12A3">
        <w:rPr>
          <w:sz w:val="24"/>
          <w:szCs w:val="24"/>
        </w:rPr>
        <w:t>k</w:t>
      </w:r>
      <w:r w:rsidRPr="00DE12A3">
        <w:rPr>
          <w:sz w:val="24"/>
          <w:szCs w:val="24"/>
        </w:rPr>
        <w:t xml:space="preserve">in </w:t>
      </w:r>
      <w:r w:rsidR="00CD23C3" w:rsidRPr="00DE12A3">
        <w:rPr>
          <w:sz w:val="24"/>
          <w:szCs w:val="24"/>
        </w:rPr>
        <w:t>5. Açıklayıcı Ek</w:t>
      </w:r>
      <w:r w:rsidRPr="00DE12A3">
        <w:rPr>
          <w:sz w:val="24"/>
          <w:szCs w:val="24"/>
        </w:rPr>
        <w:t>ine istinaden, rejenerasyon ayar faktörü:</w:t>
      </w:r>
    </w:p>
    <w:p w14:paraId="1A4E1BBC" w14:textId="188FADBE" w:rsidR="002D7B36" w:rsidRPr="00DE12A3" w:rsidRDefault="00FA43BC" w:rsidP="00E20716">
      <w:pPr>
        <w:pStyle w:val="Gvdemetni250"/>
        <w:numPr>
          <w:ilvl w:val="0"/>
          <w:numId w:val="138"/>
        </w:numPr>
        <w:spacing w:before="120" w:after="120" w:line="240" w:lineRule="auto"/>
        <w:ind w:left="1701" w:hanging="567"/>
        <w:rPr>
          <w:sz w:val="24"/>
          <w:szCs w:val="24"/>
        </w:rPr>
      </w:pPr>
      <w:r w:rsidRPr="00DE12A3">
        <w:rPr>
          <w:sz w:val="24"/>
          <w:szCs w:val="24"/>
        </w:rPr>
        <w:t xml:space="preserve">     </w:t>
      </w:r>
      <w:r w:rsidR="00242DA0" w:rsidRPr="00DE12A3">
        <w:rPr>
          <w:sz w:val="24"/>
          <w:szCs w:val="24"/>
        </w:rPr>
        <w:t xml:space="preserve">Ağırlıklı tam bir </w:t>
      </w:r>
      <w:r w:rsidR="00F310B5" w:rsidRPr="00DE12A3">
        <w:rPr>
          <w:sz w:val="24"/>
          <w:szCs w:val="24"/>
        </w:rPr>
        <w:t>çevrim</w:t>
      </w:r>
      <w:r w:rsidR="00242DA0" w:rsidRPr="00DE12A3">
        <w:rPr>
          <w:sz w:val="24"/>
          <w:szCs w:val="24"/>
        </w:rPr>
        <w:t xml:space="preserve"> için belirlendiğinde, geçerli ağırlıklı NRTC, LSI-NRTC ve NRSC sonuçlarına uygulanır</w:t>
      </w:r>
      <w:r w:rsidR="00FE6D8D" w:rsidRPr="00DE12A3">
        <w:rPr>
          <w:sz w:val="24"/>
          <w:szCs w:val="24"/>
        </w:rPr>
        <w:t>.</w:t>
      </w:r>
    </w:p>
    <w:p w14:paraId="418AC34E" w14:textId="5B090413" w:rsidR="002D7B36" w:rsidRPr="00DE12A3" w:rsidRDefault="00242DA0" w:rsidP="00E20716">
      <w:pPr>
        <w:pStyle w:val="Gvdemetni250"/>
        <w:numPr>
          <w:ilvl w:val="0"/>
          <w:numId w:val="138"/>
        </w:numPr>
        <w:spacing w:before="120" w:after="120" w:line="240" w:lineRule="auto"/>
        <w:ind w:left="1701" w:hanging="567"/>
        <w:rPr>
          <w:sz w:val="24"/>
          <w:szCs w:val="24"/>
        </w:rPr>
      </w:pPr>
      <w:r w:rsidRPr="00DE12A3">
        <w:rPr>
          <w:sz w:val="24"/>
          <w:szCs w:val="24"/>
        </w:rPr>
        <w:t xml:space="preserve">Geçerli ayrık modlu NRSC'nin bağımsız modları için özel olarak belirlendiğinde, rejenerasyonun </w:t>
      </w:r>
      <w:r w:rsidR="00F310B5" w:rsidRPr="00DE12A3">
        <w:rPr>
          <w:sz w:val="24"/>
          <w:szCs w:val="24"/>
        </w:rPr>
        <w:t>çevrim</w:t>
      </w:r>
      <w:r w:rsidRPr="00DE12A3">
        <w:rPr>
          <w:sz w:val="24"/>
          <w:szCs w:val="24"/>
        </w:rPr>
        <w:t xml:space="preserve"> ağırlıklı emisyon sonucunun hesaplanmasından önce gerçekleştiği, geçerli ayrık modlu NRSC modlarının sonuçlarına uygulanır. Bu durumda PM ölçümü için birden fazla filtre yöntemi kullanılır</w:t>
      </w:r>
      <w:r w:rsidR="00FE6D8D" w:rsidRPr="00DE12A3">
        <w:rPr>
          <w:sz w:val="24"/>
          <w:szCs w:val="24"/>
        </w:rPr>
        <w:t>.</w:t>
      </w:r>
    </w:p>
    <w:p w14:paraId="0373502C" w14:textId="03EE33A2" w:rsidR="002D7B36" w:rsidRPr="00DE12A3" w:rsidRDefault="00FA43BC" w:rsidP="00E20716">
      <w:pPr>
        <w:pStyle w:val="Gvdemetni250"/>
        <w:numPr>
          <w:ilvl w:val="0"/>
          <w:numId w:val="138"/>
        </w:numPr>
        <w:spacing w:before="120" w:after="120" w:line="240" w:lineRule="auto"/>
        <w:ind w:left="1701" w:hanging="567"/>
        <w:rPr>
          <w:sz w:val="24"/>
          <w:szCs w:val="24"/>
        </w:rPr>
      </w:pPr>
      <w:r w:rsidRPr="00DE12A3">
        <w:rPr>
          <w:sz w:val="24"/>
          <w:szCs w:val="24"/>
        </w:rPr>
        <w:t xml:space="preserve">     </w:t>
      </w:r>
      <w:r w:rsidR="00242DA0" w:rsidRPr="00DE12A3">
        <w:rPr>
          <w:sz w:val="24"/>
          <w:szCs w:val="24"/>
        </w:rPr>
        <w:t>Aynı motor ailesinin diğer üyelerini kapsayacak şekilde genişletilebilir</w:t>
      </w:r>
      <w:r w:rsidR="00FE6D8D" w:rsidRPr="00DE12A3">
        <w:rPr>
          <w:sz w:val="24"/>
          <w:szCs w:val="24"/>
        </w:rPr>
        <w:t>.</w:t>
      </w:r>
    </w:p>
    <w:p w14:paraId="79D74A60" w14:textId="1F57A1E6" w:rsidR="002D7B36" w:rsidRPr="00DE12A3" w:rsidRDefault="00242DA0" w:rsidP="00E20716">
      <w:pPr>
        <w:pStyle w:val="Gvdemetni250"/>
        <w:numPr>
          <w:ilvl w:val="0"/>
          <w:numId w:val="138"/>
        </w:numPr>
        <w:spacing w:before="120" w:after="120" w:line="240" w:lineRule="auto"/>
        <w:ind w:left="1701" w:hanging="567"/>
        <w:rPr>
          <w:sz w:val="24"/>
          <w:szCs w:val="24"/>
        </w:rPr>
      </w:pPr>
      <w:r w:rsidRPr="00DE12A3">
        <w:rPr>
          <w:sz w:val="24"/>
          <w:szCs w:val="24"/>
        </w:rPr>
        <w:t xml:space="preserve">İmalatçı tarafından emisyonların benzer olduğuna dair sağlanacak teknik kanıtlara bağlı olarak </w:t>
      </w:r>
      <w:r w:rsidR="007E2039" w:rsidRPr="00DE12A3">
        <w:rPr>
          <w:sz w:val="24"/>
          <w:szCs w:val="24"/>
        </w:rPr>
        <w:t xml:space="preserve">onay </w:t>
      </w:r>
      <w:r w:rsidR="006F6A17" w:rsidRPr="00DE12A3">
        <w:rPr>
          <w:sz w:val="24"/>
          <w:szCs w:val="24"/>
        </w:rPr>
        <w:t>kuruluşunun önceden</w:t>
      </w:r>
      <w:r w:rsidRPr="00DE12A3">
        <w:rPr>
          <w:sz w:val="24"/>
          <w:szCs w:val="24"/>
        </w:rPr>
        <w:t xml:space="preserve"> onayı ile, </w:t>
      </w:r>
      <w:r w:rsidR="00EE5D5E" w:rsidRPr="00DE12A3">
        <w:rPr>
          <w:sz w:val="24"/>
          <w:szCs w:val="24"/>
        </w:rPr>
        <w:t xml:space="preserve">2017/656/AB  Tebliğinin </w:t>
      </w:r>
      <w:r w:rsidRPr="00DE12A3">
        <w:rPr>
          <w:sz w:val="24"/>
          <w:szCs w:val="24"/>
        </w:rPr>
        <w:t xml:space="preserve"> IX</w:t>
      </w:r>
      <w:r w:rsidR="00EE5D5E" w:rsidRPr="00DE12A3">
        <w:rPr>
          <w:sz w:val="24"/>
          <w:szCs w:val="24"/>
        </w:rPr>
        <w:t xml:space="preserve">’uncu </w:t>
      </w:r>
      <w:r w:rsidR="00EC3EF0" w:rsidRPr="00DE12A3">
        <w:rPr>
          <w:sz w:val="24"/>
          <w:szCs w:val="24"/>
        </w:rPr>
        <w:t>Ekinde</w:t>
      </w:r>
      <w:r w:rsidRPr="00DE12A3">
        <w:rPr>
          <w:sz w:val="24"/>
          <w:szCs w:val="24"/>
        </w:rPr>
        <w:t xml:space="preserve"> tanımlandığı gibi, aynı motor </w:t>
      </w:r>
      <w:r w:rsidR="007E2039" w:rsidRPr="00DE12A3">
        <w:rPr>
          <w:sz w:val="24"/>
          <w:szCs w:val="24"/>
        </w:rPr>
        <w:t xml:space="preserve">arıtma </w:t>
      </w:r>
      <w:r w:rsidRPr="00DE12A3">
        <w:rPr>
          <w:sz w:val="24"/>
          <w:szCs w:val="24"/>
        </w:rPr>
        <w:t>sistemi ailesi içindeki diğer motor ailelerini kapsayacak şekilde genişletilebilir.</w:t>
      </w:r>
    </w:p>
    <w:p w14:paraId="534D2D06" w14:textId="77777777" w:rsidR="002D7B36" w:rsidRPr="00DE12A3" w:rsidRDefault="00242DA0" w:rsidP="00C917D6">
      <w:pPr>
        <w:pStyle w:val="Gvdemetni250"/>
        <w:spacing w:before="120" w:after="120" w:line="240" w:lineRule="auto"/>
        <w:ind w:left="1134" w:firstLine="0"/>
        <w:rPr>
          <w:sz w:val="24"/>
          <w:szCs w:val="24"/>
        </w:rPr>
      </w:pPr>
      <w:r w:rsidRPr="00DE12A3">
        <w:rPr>
          <w:sz w:val="24"/>
          <w:szCs w:val="24"/>
        </w:rPr>
        <w:t>Aşağıdaki seçenekler uygulanır:</w:t>
      </w:r>
    </w:p>
    <w:p w14:paraId="52C52B9A" w14:textId="05F85031" w:rsidR="002D7B36" w:rsidRPr="00DE12A3" w:rsidRDefault="00857896" w:rsidP="005501E3">
      <w:pPr>
        <w:pStyle w:val="Gvdemetni250"/>
        <w:spacing w:before="120" w:after="120" w:line="240" w:lineRule="auto"/>
        <w:ind w:left="1134" w:firstLine="0"/>
        <w:rPr>
          <w:sz w:val="24"/>
          <w:szCs w:val="24"/>
        </w:rPr>
      </w:pPr>
      <w:r w:rsidRPr="00DE12A3">
        <w:rPr>
          <w:sz w:val="24"/>
          <w:szCs w:val="24"/>
        </w:rPr>
        <w:t>(aa)</w:t>
      </w:r>
      <w:r w:rsidR="00FA43BC" w:rsidRPr="00DE12A3">
        <w:rPr>
          <w:sz w:val="24"/>
          <w:szCs w:val="24"/>
        </w:rPr>
        <w:t xml:space="preserve">    </w:t>
      </w:r>
      <w:r w:rsidR="00242DA0" w:rsidRPr="00DE12A3">
        <w:rPr>
          <w:sz w:val="24"/>
          <w:szCs w:val="24"/>
        </w:rPr>
        <w:t>Bir imalatçı, rejenerasyonun etkisi küçük olduğu veya rejenerasyonların ne zaman gerçekleşeceği</w:t>
      </w:r>
      <w:r w:rsidR="000E0130" w:rsidRPr="00DE12A3">
        <w:rPr>
          <w:sz w:val="24"/>
          <w:szCs w:val="24"/>
        </w:rPr>
        <w:t xml:space="preserve">  ile ilgili</w:t>
      </w:r>
      <w:r w:rsidR="00242DA0" w:rsidRPr="00DE12A3">
        <w:rPr>
          <w:sz w:val="24"/>
          <w:szCs w:val="24"/>
        </w:rPr>
        <w:t xml:space="preserve"> tespit</w:t>
      </w:r>
      <w:r w:rsidR="000E0130" w:rsidRPr="00DE12A3">
        <w:rPr>
          <w:sz w:val="24"/>
          <w:szCs w:val="24"/>
        </w:rPr>
        <w:t>in</w:t>
      </w:r>
      <w:r w:rsidR="00242DA0" w:rsidRPr="00DE12A3">
        <w:rPr>
          <w:sz w:val="24"/>
          <w:szCs w:val="24"/>
        </w:rPr>
        <w:t xml:space="preserve"> pratik </w:t>
      </w:r>
      <w:r w:rsidR="00FE6D8D" w:rsidRPr="00DE12A3">
        <w:rPr>
          <w:sz w:val="24"/>
          <w:szCs w:val="24"/>
        </w:rPr>
        <w:t xml:space="preserve">ve </w:t>
      </w:r>
      <w:r w:rsidR="00242DA0" w:rsidRPr="00DE12A3">
        <w:rPr>
          <w:sz w:val="24"/>
          <w:szCs w:val="24"/>
        </w:rPr>
        <w:t xml:space="preserve">elverişli olmadığı </w:t>
      </w:r>
      <w:r w:rsidR="000E0130" w:rsidRPr="00DE12A3">
        <w:rPr>
          <w:sz w:val="24"/>
          <w:szCs w:val="24"/>
        </w:rPr>
        <w:t>durumda</w:t>
      </w:r>
      <w:r w:rsidR="00242DA0" w:rsidRPr="00DE12A3">
        <w:rPr>
          <w:sz w:val="24"/>
          <w:szCs w:val="24"/>
        </w:rPr>
        <w:t>, motor ailelerinden biri veya birkaçına (veya yapılandırmalara) ilişkin ayar faktörlerini gözardı etmeyi seçebilir. Bu durumlarda, hiçbir ayar faktörü kullanılmaz ve imalatçı, bir rejenerasyonun gerçekleşip gerçekleşmediğine bakılmaksızın tüm testler için emisyon limitlerine uymakla yükümlüdür;</w:t>
      </w:r>
    </w:p>
    <w:p w14:paraId="7126866A" w14:textId="7643EBFD" w:rsidR="002D7B36" w:rsidRPr="00DE12A3" w:rsidRDefault="00857896" w:rsidP="005501E3">
      <w:pPr>
        <w:pStyle w:val="Gvdemetni250"/>
        <w:spacing w:before="120" w:after="120" w:line="240" w:lineRule="auto"/>
        <w:ind w:left="1134" w:firstLine="0"/>
        <w:rPr>
          <w:sz w:val="24"/>
          <w:szCs w:val="24"/>
        </w:rPr>
      </w:pPr>
      <w:r w:rsidRPr="00DE12A3">
        <w:rPr>
          <w:sz w:val="24"/>
          <w:szCs w:val="24"/>
        </w:rPr>
        <w:t>(bb)</w:t>
      </w:r>
      <w:r w:rsidR="005501E3" w:rsidRPr="00DE12A3">
        <w:rPr>
          <w:sz w:val="24"/>
          <w:szCs w:val="24"/>
        </w:rPr>
        <w:t xml:space="preserve"> </w:t>
      </w:r>
      <w:r w:rsidR="00242DA0" w:rsidRPr="00DE12A3">
        <w:rPr>
          <w:sz w:val="24"/>
          <w:szCs w:val="24"/>
        </w:rPr>
        <w:t xml:space="preserve">İmalatçı tarafından talep edilmesi üzerine, </w:t>
      </w:r>
      <w:r w:rsidR="007E2039" w:rsidRPr="00DE12A3">
        <w:rPr>
          <w:sz w:val="24"/>
          <w:szCs w:val="24"/>
        </w:rPr>
        <w:t xml:space="preserve">onay </w:t>
      </w:r>
      <w:r w:rsidR="006F6A17" w:rsidRPr="00DE12A3">
        <w:rPr>
          <w:sz w:val="24"/>
          <w:szCs w:val="24"/>
        </w:rPr>
        <w:t>kuruluşu (</w:t>
      </w:r>
      <w:r w:rsidR="00242DA0" w:rsidRPr="00DE12A3">
        <w:rPr>
          <w:sz w:val="24"/>
          <w:szCs w:val="24"/>
        </w:rPr>
        <w:t>a</w:t>
      </w:r>
      <w:r w:rsidR="00FE6D8D" w:rsidRPr="00DE12A3">
        <w:rPr>
          <w:sz w:val="24"/>
          <w:szCs w:val="24"/>
        </w:rPr>
        <w:t>a</w:t>
      </w:r>
      <w:r w:rsidR="00242DA0" w:rsidRPr="00DE12A3">
        <w:rPr>
          <w:sz w:val="24"/>
          <w:szCs w:val="24"/>
        </w:rPr>
        <w:t>) bendi hükmünden farklı olarak rejenerasyon olaylarını hesaba katabilir. Ancak, bu seçenek yalnızca çok seyrek görülen ve 6.6.2.3 bendinde açıklanan ayar faktörleri kullanılarak pratik olarak ele alınamayan olaylar için geçerlidir.</w:t>
      </w:r>
    </w:p>
    <w:p w14:paraId="6DFF77AE" w14:textId="77777777" w:rsidR="002D7B36" w:rsidRPr="00DE12A3" w:rsidRDefault="00FA43BC" w:rsidP="00E20716">
      <w:pPr>
        <w:pStyle w:val="Gvdemetni250"/>
        <w:numPr>
          <w:ilvl w:val="0"/>
          <w:numId w:val="140"/>
        </w:numPr>
        <w:tabs>
          <w:tab w:val="left" w:pos="567"/>
        </w:tabs>
        <w:spacing w:before="120" w:after="120" w:line="240" w:lineRule="auto"/>
        <w:ind w:left="1134" w:hanging="1134"/>
        <w:rPr>
          <w:sz w:val="24"/>
          <w:szCs w:val="24"/>
        </w:rPr>
      </w:pPr>
      <w:r w:rsidRPr="00DE12A3">
        <w:rPr>
          <w:sz w:val="24"/>
          <w:szCs w:val="24"/>
        </w:rPr>
        <w:t xml:space="preserve">          </w:t>
      </w:r>
      <w:r w:rsidR="00242DA0" w:rsidRPr="00DE12A3">
        <w:rPr>
          <w:sz w:val="24"/>
          <w:szCs w:val="24"/>
        </w:rPr>
        <w:t>Soğutma sistemi</w:t>
      </w:r>
    </w:p>
    <w:p w14:paraId="7C9F530E" w14:textId="77777777" w:rsidR="002D7B36" w:rsidRPr="00DE12A3" w:rsidRDefault="00FA43BC" w:rsidP="00C917D6">
      <w:pPr>
        <w:pStyle w:val="Gvdemetni250"/>
        <w:spacing w:before="120" w:after="120" w:line="240" w:lineRule="auto"/>
        <w:ind w:left="1134" w:hanging="1134"/>
        <w:rPr>
          <w:sz w:val="24"/>
          <w:szCs w:val="24"/>
        </w:rPr>
      </w:pPr>
      <w:r w:rsidRPr="00DE12A3">
        <w:rPr>
          <w:sz w:val="24"/>
          <w:szCs w:val="24"/>
        </w:rPr>
        <w:t xml:space="preserve">                  </w:t>
      </w:r>
      <w:r w:rsidR="00242DA0" w:rsidRPr="00DE12A3">
        <w:rPr>
          <w:sz w:val="24"/>
          <w:szCs w:val="24"/>
        </w:rPr>
        <w:t>İmalatçının öngördüğü normal çalışma sıcaklıklarında motoru, emme havası, yağ, soğutma sıvısı, blok ve kapak sıcaklıkları ile korumak için yeterli kapasiteye sahip bir motor soğutma sistemi kullanılmalıdır. Laboratuvar yardımcı soğutucuları ve fanları kullanılabilir.</w:t>
      </w:r>
    </w:p>
    <w:p w14:paraId="0742423D" w14:textId="77777777" w:rsidR="002D7B36" w:rsidRPr="00DE12A3" w:rsidRDefault="00FA43BC" w:rsidP="00E20716">
      <w:pPr>
        <w:pStyle w:val="Gvdemetni250"/>
        <w:numPr>
          <w:ilvl w:val="0"/>
          <w:numId w:val="140"/>
        </w:numPr>
        <w:tabs>
          <w:tab w:val="left" w:pos="567"/>
        </w:tabs>
        <w:spacing w:before="120" w:after="120" w:line="240" w:lineRule="auto"/>
        <w:ind w:left="1134" w:hanging="1134"/>
        <w:rPr>
          <w:sz w:val="24"/>
          <w:szCs w:val="24"/>
        </w:rPr>
      </w:pPr>
      <w:r w:rsidRPr="00DE12A3">
        <w:rPr>
          <w:sz w:val="24"/>
          <w:szCs w:val="24"/>
        </w:rPr>
        <w:t xml:space="preserve">        </w:t>
      </w:r>
      <w:r w:rsidR="00242DA0" w:rsidRPr="00DE12A3">
        <w:rPr>
          <w:sz w:val="24"/>
          <w:szCs w:val="24"/>
        </w:rPr>
        <w:t>Motor yağı</w:t>
      </w:r>
    </w:p>
    <w:p w14:paraId="13F3E545" w14:textId="1D224ED0" w:rsidR="002D7B36" w:rsidRPr="00DE12A3" w:rsidRDefault="00FA43BC" w:rsidP="00C917D6">
      <w:pPr>
        <w:pStyle w:val="Gvdemetni250"/>
        <w:spacing w:before="120" w:after="120" w:line="240" w:lineRule="auto"/>
        <w:ind w:left="1134" w:hanging="1134"/>
        <w:rPr>
          <w:sz w:val="24"/>
          <w:szCs w:val="24"/>
        </w:rPr>
      </w:pPr>
      <w:r w:rsidRPr="00DE12A3">
        <w:rPr>
          <w:sz w:val="24"/>
          <w:szCs w:val="24"/>
        </w:rPr>
        <w:t xml:space="preserve">                 </w:t>
      </w:r>
      <w:r w:rsidR="00242DA0" w:rsidRPr="00DE12A3">
        <w:rPr>
          <w:sz w:val="24"/>
          <w:szCs w:val="24"/>
        </w:rPr>
        <w:t>Motor yağı imalatçı tarafından belirtilmeli ve piyasada mevcut olan motor yağını temsil etmelidir</w:t>
      </w:r>
      <w:r w:rsidR="00FE6D8D" w:rsidRPr="00DE12A3">
        <w:rPr>
          <w:sz w:val="24"/>
          <w:szCs w:val="24"/>
        </w:rPr>
        <w:t>.</w:t>
      </w:r>
      <w:r w:rsidR="00242DA0" w:rsidRPr="00DE12A3">
        <w:rPr>
          <w:sz w:val="24"/>
          <w:szCs w:val="24"/>
        </w:rPr>
        <w:t xml:space="preserve"> </w:t>
      </w:r>
      <w:r w:rsidR="00FE6D8D" w:rsidRPr="00DE12A3">
        <w:rPr>
          <w:sz w:val="24"/>
          <w:szCs w:val="24"/>
        </w:rPr>
        <w:t>T</w:t>
      </w:r>
      <w:r w:rsidR="00242DA0" w:rsidRPr="00DE12A3">
        <w:rPr>
          <w:sz w:val="24"/>
          <w:szCs w:val="24"/>
        </w:rPr>
        <w:t>est için kullanılan motor yağının özellikleri kaydedilmeli ve test sonuçları ile birlikte sunulmalıdır.</w:t>
      </w:r>
    </w:p>
    <w:p w14:paraId="0EAF4A02" w14:textId="77777777" w:rsidR="002D7B36" w:rsidRPr="00DE12A3" w:rsidRDefault="00FA43BC" w:rsidP="00E20716">
      <w:pPr>
        <w:pStyle w:val="Gvdemetni250"/>
        <w:numPr>
          <w:ilvl w:val="0"/>
          <w:numId w:val="140"/>
        </w:numPr>
        <w:tabs>
          <w:tab w:val="left" w:pos="567"/>
        </w:tabs>
        <w:spacing w:before="120" w:after="120" w:line="240" w:lineRule="auto"/>
        <w:ind w:left="1134" w:hanging="1134"/>
        <w:rPr>
          <w:sz w:val="24"/>
          <w:szCs w:val="24"/>
        </w:rPr>
      </w:pPr>
      <w:r w:rsidRPr="00DE12A3">
        <w:rPr>
          <w:sz w:val="24"/>
          <w:szCs w:val="24"/>
        </w:rPr>
        <w:t xml:space="preserve">         </w:t>
      </w:r>
      <w:r w:rsidR="00242DA0" w:rsidRPr="00DE12A3">
        <w:rPr>
          <w:sz w:val="24"/>
          <w:szCs w:val="24"/>
        </w:rPr>
        <w:t>Referans yakıtın özellikleri</w:t>
      </w:r>
    </w:p>
    <w:p w14:paraId="75B6DC35" w14:textId="65F62BC3" w:rsidR="002D7B36" w:rsidRPr="00DE12A3" w:rsidRDefault="00FA43BC" w:rsidP="00C917D6">
      <w:pPr>
        <w:pStyle w:val="Gvdemetni250"/>
        <w:spacing w:before="120" w:after="120" w:line="240" w:lineRule="auto"/>
        <w:ind w:left="1134" w:hanging="1134"/>
        <w:rPr>
          <w:sz w:val="24"/>
          <w:szCs w:val="24"/>
        </w:rPr>
      </w:pPr>
      <w:r w:rsidRPr="00DE12A3">
        <w:rPr>
          <w:sz w:val="24"/>
          <w:szCs w:val="24"/>
        </w:rPr>
        <w:t xml:space="preserve">                  </w:t>
      </w:r>
      <w:r w:rsidR="00242DA0" w:rsidRPr="00DE12A3">
        <w:rPr>
          <w:sz w:val="24"/>
          <w:szCs w:val="24"/>
        </w:rPr>
        <w:t>Test için kullanılacak referans yakıtlar</w:t>
      </w:r>
      <w:r w:rsidR="00FE6D8D" w:rsidRPr="00DE12A3">
        <w:rPr>
          <w:sz w:val="24"/>
          <w:szCs w:val="24"/>
        </w:rPr>
        <w:t xml:space="preserve"> bu Tebliğin</w:t>
      </w:r>
      <w:r w:rsidR="00242DA0" w:rsidRPr="00DE12A3">
        <w:rPr>
          <w:sz w:val="24"/>
          <w:szCs w:val="24"/>
        </w:rPr>
        <w:t xml:space="preserve"> IX</w:t>
      </w:r>
      <w:r w:rsidR="00EE5D5E" w:rsidRPr="00DE12A3">
        <w:rPr>
          <w:sz w:val="24"/>
          <w:szCs w:val="24"/>
        </w:rPr>
        <w:t xml:space="preserve">’uncu </w:t>
      </w:r>
      <w:r w:rsidR="00FE6D8D" w:rsidRPr="00DE12A3">
        <w:rPr>
          <w:sz w:val="24"/>
          <w:szCs w:val="24"/>
        </w:rPr>
        <w:t>Ekinde</w:t>
      </w:r>
      <w:r w:rsidR="00242DA0" w:rsidRPr="00DE12A3">
        <w:rPr>
          <w:sz w:val="24"/>
          <w:szCs w:val="24"/>
        </w:rPr>
        <w:t xml:space="preserve"> belirtilmiştir.</w:t>
      </w:r>
    </w:p>
    <w:p w14:paraId="032AC0EA" w14:textId="75D2D9E8" w:rsidR="002D7B36" w:rsidRPr="00DE12A3" w:rsidRDefault="00FA43BC" w:rsidP="00C917D6">
      <w:pPr>
        <w:pStyle w:val="Gvdemetni250"/>
        <w:spacing w:before="120" w:after="120" w:line="240" w:lineRule="auto"/>
        <w:ind w:left="1134" w:hanging="1134"/>
        <w:rPr>
          <w:sz w:val="24"/>
          <w:szCs w:val="24"/>
        </w:rPr>
      </w:pPr>
      <w:r w:rsidRPr="00DE12A3">
        <w:rPr>
          <w:sz w:val="24"/>
          <w:szCs w:val="24"/>
        </w:rPr>
        <w:t xml:space="preserve">                  </w:t>
      </w:r>
      <w:r w:rsidR="00242DA0" w:rsidRPr="00DE12A3">
        <w:rPr>
          <w:sz w:val="24"/>
          <w:szCs w:val="24"/>
        </w:rPr>
        <w:t>Yakıt sıcaklığı, imalatçı</w:t>
      </w:r>
      <w:r w:rsidR="00FE6D8D" w:rsidRPr="00DE12A3">
        <w:rPr>
          <w:sz w:val="24"/>
          <w:szCs w:val="24"/>
        </w:rPr>
        <w:t>n</w:t>
      </w:r>
      <w:r w:rsidR="00242DA0" w:rsidRPr="00DE12A3">
        <w:rPr>
          <w:sz w:val="24"/>
          <w:szCs w:val="24"/>
        </w:rPr>
        <w:t>ın tavsiyelerine uygun olmalıdır. Yakıt sıcaklığı, yakıt enjeksiyon pompası girişinde veya imalatçı tarafından belirtildiği şekilde ölçülmeli ve ölçüm noktası kaydedilmelidir.</w:t>
      </w:r>
    </w:p>
    <w:p w14:paraId="1A37749A" w14:textId="77777777" w:rsidR="002D7B36" w:rsidRPr="00DE12A3" w:rsidRDefault="00FA43BC" w:rsidP="00E20716">
      <w:pPr>
        <w:pStyle w:val="Gvdemetni250"/>
        <w:numPr>
          <w:ilvl w:val="0"/>
          <w:numId w:val="140"/>
        </w:numPr>
        <w:tabs>
          <w:tab w:val="left" w:pos="567"/>
        </w:tabs>
        <w:spacing w:before="120" w:after="120" w:line="240" w:lineRule="auto"/>
        <w:ind w:left="1134" w:hanging="1134"/>
        <w:rPr>
          <w:sz w:val="24"/>
          <w:szCs w:val="24"/>
        </w:rPr>
      </w:pPr>
      <w:r w:rsidRPr="00DE12A3">
        <w:rPr>
          <w:sz w:val="24"/>
          <w:szCs w:val="24"/>
        </w:rPr>
        <w:t xml:space="preserve">          </w:t>
      </w:r>
      <w:r w:rsidR="00242DA0" w:rsidRPr="00DE12A3">
        <w:rPr>
          <w:sz w:val="24"/>
          <w:szCs w:val="24"/>
        </w:rPr>
        <w:t>Karter emisyonları</w:t>
      </w:r>
    </w:p>
    <w:p w14:paraId="5C80F623" w14:textId="2FF9D725" w:rsidR="002D7B36" w:rsidRPr="00DE12A3" w:rsidRDefault="003478AE" w:rsidP="00C917D6">
      <w:pPr>
        <w:pStyle w:val="Gvdemetni250"/>
        <w:tabs>
          <w:tab w:val="left" w:pos="567"/>
        </w:tabs>
        <w:spacing w:before="120" w:after="120" w:line="240" w:lineRule="auto"/>
        <w:ind w:left="1134" w:hanging="1134"/>
        <w:rPr>
          <w:sz w:val="24"/>
          <w:szCs w:val="24"/>
        </w:rPr>
      </w:pPr>
      <w:r w:rsidRPr="00DE12A3">
        <w:rPr>
          <w:sz w:val="24"/>
          <w:szCs w:val="24"/>
        </w:rPr>
        <w:t xml:space="preserve">                   </w:t>
      </w:r>
      <w:r w:rsidR="00242DA0" w:rsidRPr="00DE12A3">
        <w:rPr>
          <w:sz w:val="24"/>
          <w:szCs w:val="24"/>
        </w:rPr>
        <w:t xml:space="preserve">Bu </w:t>
      </w:r>
      <w:r w:rsidR="00FE6D8D" w:rsidRPr="00DE12A3">
        <w:rPr>
          <w:sz w:val="24"/>
          <w:szCs w:val="24"/>
        </w:rPr>
        <w:t>bent</w:t>
      </w:r>
      <w:r w:rsidR="004E7F54" w:rsidRPr="00DE12A3">
        <w:rPr>
          <w:sz w:val="24"/>
          <w:szCs w:val="24"/>
        </w:rPr>
        <w:t>, 2016</w:t>
      </w:r>
      <w:r w:rsidR="00EE5D5E" w:rsidRPr="00DE12A3">
        <w:rPr>
          <w:sz w:val="24"/>
          <w:szCs w:val="24"/>
        </w:rPr>
        <w:t>/1628/AB Yönetmeliği</w:t>
      </w:r>
      <w:r w:rsidR="00FE6D8D" w:rsidRPr="00DE12A3">
        <w:rPr>
          <w:sz w:val="24"/>
          <w:szCs w:val="24"/>
        </w:rPr>
        <w:t>nin</w:t>
      </w:r>
      <w:r w:rsidR="00EE5D5E" w:rsidRPr="00DE12A3">
        <w:rPr>
          <w:sz w:val="24"/>
          <w:szCs w:val="24"/>
        </w:rPr>
        <w:t xml:space="preserve"> </w:t>
      </w:r>
      <w:r w:rsidR="00242DA0" w:rsidRPr="00DE12A3">
        <w:rPr>
          <w:sz w:val="24"/>
          <w:szCs w:val="24"/>
        </w:rPr>
        <w:t>II</w:t>
      </w:r>
      <w:r w:rsidR="004E7F54" w:rsidRPr="00DE12A3">
        <w:rPr>
          <w:sz w:val="24"/>
          <w:szCs w:val="24"/>
        </w:rPr>
        <w:t>’</w:t>
      </w:r>
      <w:r w:rsidR="00195051" w:rsidRPr="00DE12A3">
        <w:rPr>
          <w:sz w:val="24"/>
          <w:szCs w:val="24"/>
        </w:rPr>
        <w:t>nci</w:t>
      </w:r>
      <w:r w:rsidR="004E7F54" w:rsidRPr="00DE12A3">
        <w:rPr>
          <w:sz w:val="24"/>
          <w:szCs w:val="24"/>
        </w:rPr>
        <w:t xml:space="preserve"> </w:t>
      </w:r>
      <w:r w:rsidR="00EC3EF0" w:rsidRPr="00DE12A3">
        <w:rPr>
          <w:sz w:val="24"/>
          <w:szCs w:val="24"/>
        </w:rPr>
        <w:t>Ekinde</w:t>
      </w:r>
      <w:r w:rsidR="00242DA0" w:rsidRPr="00DE12A3">
        <w:rPr>
          <w:sz w:val="24"/>
          <w:szCs w:val="24"/>
        </w:rPr>
        <w:t xml:space="preserve"> belirtilen </w:t>
      </w:r>
      <w:r w:rsidR="007C56F9" w:rsidRPr="00DE12A3">
        <w:rPr>
          <w:sz w:val="24"/>
          <w:szCs w:val="24"/>
        </w:rPr>
        <w:t xml:space="preserve">V. faz </w:t>
      </w:r>
      <w:r w:rsidR="00242DA0" w:rsidRPr="00DE12A3">
        <w:rPr>
          <w:sz w:val="24"/>
          <w:szCs w:val="24"/>
        </w:rPr>
        <w:t xml:space="preserve">emisyon sınırları ile uyumlu olan NRE, NRG, IWP, IWA, RLR, NRS, NRSh, SMB ve </w:t>
      </w:r>
      <w:r w:rsidR="00242DA0" w:rsidRPr="00DE12A3">
        <w:rPr>
          <w:sz w:val="24"/>
          <w:szCs w:val="24"/>
        </w:rPr>
        <w:lastRenderedPageBreak/>
        <w:t>ATS kategorilerindeki motorlar için uygulanır.</w:t>
      </w:r>
    </w:p>
    <w:p w14:paraId="5A6F846A" w14:textId="77777777" w:rsidR="002D7B36" w:rsidRPr="00DE12A3" w:rsidRDefault="003478AE" w:rsidP="00C917D6">
      <w:pPr>
        <w:pStyle w:val="Gvdemetni250"/>
        <w:tabs>
          <w:tab w:val="left" w:pos="567"/>
        </w:tabs>
        <w:spacing w:before="120" w:after="120" w:line="240" w:lineRule="auto"/>
        <w:ind w:left="1134" w:hanging="1134"/>
        <w:rPr>
          <w:sz w:val="24"/>
          <w:szCs w:val="24"/>
        </w:rPr>
      </w:pPr>
      <w:r w:rsidRPr="00DE12A3">
        <w:rPr>
          <w:sz w:val="24"/>
          <w:szCs w:val="24"/>
        </w:rPr>
        <w:t xml:space="preserve">                   </w:t>
      </w:r>
      <w:r w:rsidR="00242DA0" w:rsidRPr="00DE12A3">
        <w:rPr>
          <w:sz w:val="24"/>
          <w:szCs w:val="24"/>
        </w:rPr>
        <w:t>Doğrudan ortam atmosferine boşaltılan karter emisyonları, tüm emisyon testleri sırasında egzoz emisyonlarına (fiziksel veya matematiksel olarak) eklenmelidir.</w:t>
      </w:r>
    </w:p>
    <w:p w14:paraId="0337BF56" w14:textId="77777777" w:rsidR="002D7B36" w:rsidRPr="00DE12A3" w:rsidRDefault="003478AE" w:rsidP="00C917D6">
      <w:pPr>
        <w:pStyle w:val="Gvdemetni250"/>
        <w:tabs>
          <w:tab w:val="left" w:pos="567"/>
        </w:tabs>
        <w:spacing w:before="120" w:after="120" w:line="240" w:lineRule="auto"/>
        <w:ind w:left="1134" w:hanging="1134"/>
        <w:rPr>
          <w:sz w:val="24"/>
          <w:szCs w:val="24"/>
        </w:rPr>
      </w:pPr>
      <w:r w:rsidRPr="00DE12A3">
        <w:rPr>
          <w:sz w:val="24"/>
          <w:szCs w:val="24"/>
        </w:rPr>
        <w:t xml:space="preserve">                  </w:t>
      </w:r>
      <w:r w:rsidR="00242DA0" w:rsidRPr="00DE12A3">
        <w:rPr>
          <w:sz w:val="24"/>
          <w:szCs w:val="24"/>
        </w:rPr>
        <w:t xml:space="preserve">Bu istisnadan yararlanan imalatçılar, motorları tüm karter emisyonlarının emisyon örnekleme sistemine yönlendirilmesini sağlayacak şekilde yerleştirmelidir. Bu bendin amacı doğrultusunda, tüm çalşıma sırasında egzoz </w:t>
      </w:r>
      <w:r w:rsidR="007E2039" w:rsidRPr="00DE12A3">
        <w:rPr>
          <w:sz w:val="24"/>
          <w:szCs w:val="24"/>
        </w:rPr>
        <w:t xml:space="preserve">arıtma </w:t>
      </w:r>
      <w:r w:rsidR="00242DA0" w:rsidRPr="00DE12A3">
        <w:rPr>
          <w:sz w:val="24"/>
          <w:szCs w:val="24"/>
        </w:rPr>
        <w:t>sisteminin girişindeki egzoz gazına yönlendirilen karter emisyonlarının doğrudan ortam atmosferine boşaltıldığı düşünülmemektedir.</w:t>
      </w:r>
    </w:p>
    <w:p w14:paraId="0CB3FE24" w14:textId="77777777" w:rsidR="002D7B36" w:rsidRPr="00DE12A3" w:rsidRDefault="003478AE" w:rsidP="00C917D6">
      <w:pPr>
        <w:pStyle w:val="Gvdemetni250"/>
        <w:tabs>
          <w:tab w:val="left" w:pos="567"/>
        </w:tabs>
        <w:spacing w:before="120" w:after="120" w:line="240" w:lineRule="auto"/>
        <w:ind w:left="1134" w:hanging="1134"/>
        <w:rPr>
          <w:sz w:val="24"/>
          <w:szCs w:val="24"/>
        </w:rPr>
      </w:pPr>
      <w:r w:rsidRPr="00DE12A3">
        <w:rPr>
          <w:sz w:val="24"/>
          <w:szCs w:val="24"/>
        </w:rPr>
        <w:t xml:space="preserve">                  </w:t>
      </w:r>
      <w:r w:rsidR="00242DA0" w:rsidRPr="00DE12A3">
        <w:rPr>
          <w:sz w:val="24"/>
          <w:szCs w:val="24"/>
        </w:rPr>
        <w:t>Açık karter emisyonları, emisyon ölçümü için egzoz sistemine aşağıdaki şekilde yönlendirilmelidir:</w:t>
      </w:r>
    </w:p>
    <w:p w14:paraId="702971E3" w14:textId="1EBF7139" w:rsidR="002D7B36" w:rsidRPr="00DE12A3" w:rsidRDefault="003478AE" w:rsidP="00E20716">
      <w:pPr>
        <w:pStyle w:val="Gvdemetni250"/>
        <w:numPr>
          <w:ilvl w:val="0"/>
          <w:numId w:val="141"/>
        </w:numPr>
        <w:tabs>
          <w:tab w:val="left" w:pos="567"/>
        </w:tabs>
        <w:spacing w:before="120" w:after="120" w:line="240" w:lineRule="auto"/>
        <w:ind w:left="1701" w:hanging="567"/>
        <w:rPr>
          <w:sz w:val="24"/>
          <w:szCs w:val="24"/>
        </w:rPr>
      </w:pPr>
      <w:r w:rsidRPr="00DE12A3">
        <w:rPr>
          <w:sz w:val="24"/>
          <w:szCs w:val="24"/>
        </w:rPr>
        <w:t xml:space="preserve">    </w:t>
      </w:r>
      <w:r w:rsidR="00242DA0" w:rsidRPr="00DE12A3">
        <w:rPr>
          <w:sz w:val="24"/>
          <w:szCs w:val="24"/>
        </w:rPr>
        <w:t>Boru malzemeleri, düz çeperli, elektriksel olarak iletken olmalı ve karter emisyonlarıyla tepkimeye girmemelidir. Boru uzunlukları olabildiğince en aza indirilmelidir</w:t>
      </w:r>
      <w:r w:rsidR="00FE6D8D" w:rsidRPr="00DE12A3">
        <w:rPr>
          <w:sz w:val="24"/>
          <w:szCs w:val="24"/>
        </w:rPr>
        <w:t>.</w:t>
      </w:r>
    </w:p>
    <w:p w14:paraId="0102F4E4" w14:textId="316755D3" w:rsidR="002D7B36" w:rsidRPr="00DE12A3" w:rsidRDefault="00242DA0" w:rsidP="00E20716">
      <w:pPr>
        <w:pStyle w:val="Gvdemetni250"/>
        <w:numPr>
          <w:ilvl w:val="0"/>
          <w:numId w:val="141"/>
        </w:numPr>
        <w:tabs>
          <w:tab w:val="left" w:pos="1418"/>
        </w:tabs>
        <w:spacing w:before="120" w:after="120" w:line="240" w:lineRule="auto"/>
        <w:ind w:left="1701" w:hanging="567"/>
        <w:rPr>
          <w:sz w:val="24"/>
          <w:szCs w:val="24"/>
        </w:rPr>
      </w:pPr>
      <w:r w:rsidRPr="00DE12A3">
        <w:rPr>
          <w:sz w:val="24"/>
          <w:szCs w:val="24"/>
        </w:rPr>
        <w:t>Laboratuvar karter borularında bulunan dirsek sayısı en aza indirilmeli ve kaçınılmaz her dirseğin yarıçapı olabildiğince büyük olmalıdır</w:t>
      </w:r>
      <w:r w:rsidR="00FE6D8D" w:rsidRPr="00DE12A3">
        <w:rPr>
          <w:sz w:val="24"/>
          <w:szCs w:val="24"/>
        </w:rPr>
        <w:t>.</w:t>
      </w:r>
    </w:p>
    <w:p w14:paraId="69797484" w14:textId="64544961" w:rsidR="002D7B36" w:rsidRPr="00DE12A3" w:rsidRDefault="003478AE" w:rsidP="00E20716">
      <w:pPr>
        <w:pStyle w:val="Gvdemetni250"/>
        <w:numPr>
          <w:ilvl w:val="0"/>
          <w:numId w:val="141"/>
        </w:numPr>
        <w:tabs>
          <w:tab w:val="left" w:pos="1418"/>
        </w:tabs>
        <w:spacing w:before="120" w:after="120" w:line="240" w:lineRule="auto"/>
        <w:ind w:left="1701" w:hanging="567"/>
        <w:rPr>
          <w:sz w:val="24"/>
          <w:szCs w:val="24"/>
        </w:rPr>
      </w:pPr>
      <w:r w:rsidRPr="00DE12A3">
        <w:rPr>
          <w:sz w:val="24"/>
          <w:szCs w:val="24"/>
        </w:rPr>
        <w:t xml:space="preserve">    </w:t>
      </w:r>
      <w:r w:rsidR="00242DA0" w:rsidRPr="00DE12A3">
        <w:rPr>
          <w:sz w:val="24"/>
          <w:szCs w:val="24"/>
        </w:rPr>
        <w:t>Laboratuvar karteri egzoz borusu, motor imalatçısının karter geri basıncına ilişkin şartnamelerini sağlamalıdır</w:t>
      </w:r>
      <w:r w:rsidR="00FE6D8D" w:rsidRPr="00DE12A3">
        <w:rPr>
          <w:sz w:val="24"/>
          <w:szCs w:val="24"/>
        </w:rPr>
        <w:t>.</w:t>
      </w:r>
    </w:p>
    <w:p w14:paraId="7377D3CD" w14:textId="77777777" w:rsidR="002D7B36" w:rsidRPr="00DE12A3" w:rsidRDefault="00242DA0" w:rsidP="00E20716">
      <w:pPr>
        <w:pStyle w:val="Gvdemetni250"/>
        <w:numPr>
          <w:ilvl w:val="0"/>
          <w:numId w:val="141"/>
        </w:numPr>
        <w:tabs>
          <w:tab w:val="left" w:pos="1418"/>
        </w:tabs>
        <w:spacing w:before="120" w:after="120" w:line="240" w:lineRule="auto"/>
        <w:ind w:left="1701" w:hanging="567"/>
        <w:rPr>
          <w:sz w:val="24"/>
          <w:szCs w:val="24"/>
        </w:rPr>
      </w:pPr>
      <w:r w:rsidRPr="00DE12A3">
        <w:rPr>
          <w:sz w:val="24"/>
          <w:szCs w:val="24"/>
        </w:rPr>
        <w:t xml:space="preserve">Karter egzoz borusu, örnekleme öncesinde motorun egzoz sistemiyle tam karışmasını sağlamak için, herhangi bir egzoz </w:t>
      </w:r>
      <w:r w:rsidR="007E2039" w:rsidRPr="00DE12A3">
        <w:rPr>
          <w:sz w:val="24"/>
          <w:szCs w:val="24"/>
        </w:rPr>
        <w:t xml:space="preserve">arıtma </w:t>
      </w:r>
      <w:r w:rsidRPr="00DE12A3">
        <w:rPr>
          <w:sz w:val="24"/>
          <w:szCs w:val="24"/>
        </w:rPr>
        <w:t>sisteminin çıkışında, monte edilmiş herhangi bir egzoz emisyonu kısıtlamasının çıkışında ve her numune sondasının yeterince girişinde ham egzoz gazına bağlanmalıdır.</w:t>
      </w:r>
      <w:r w:rsidR="003478AE" w:rsidRPr="00DE12A3">
        <w:rPr>
          <w:sz w:val="24"/>
          <w:szCs w:val="24"/>
        </w:rPr>
        <w:t xml:space="preserve"> </w:t>
      </w:r>
      <w:r w:rsidRPr="00DE12A3">
        <w:rPr>
          <w:sz w:val="24"/>
          <w:szCs w:val="24"/>
        </w:rPr>
        <w:t>Karter egzoz borusu, sınır katmanı etkilerini önlemek ve karışmayı desteklemek için egzoz sisteminin serbest akışına uzatılmalıdır. Karter egzoz borusunun çıkışı, ham egzoz gazı akışına göre herhangi bir yöne yönlendirilebilir.</w:t>
      </w:r>
    </w:p>
    <w:p w14:paraId="570561B2" w14:textId="77777777" w:rsidR="002D7B36" w:rsidRPr="00DE12A3" w:rsidRDefault="002D7B36" w:rsidP="00E20716">
      <w:pPr>
        <w:pStyle w:val="ListeParagraf"/>
        <w:numPr>
          <w:ilvl w:val="0"/>
          <w:numId w:val="446"/>
        </w:numPr>
        <w:shd w:val="clear" w:color="auto" w:fill="FFFFFF"/>
        <w:spacing w:before="120" w:after="120"/>
        <w:ind w:left="1134" w:hanging="1134"/>
        <w:contextualSpacing w:val="0"/>
        <w:jc w:val="both"/>
        <w:rPr>
          <w:rFonts w:eastAsia="Times New Roman" w:cs="Times New Roman"/>
          <w:vanish/>
          <w:color w:val="auto"/>
          <w:spacing w:val="3"/>
          <w:lang w:eastAsia="en-US"/>
        </w:rPr>
      </w:pPr>
    </w:p>
    <w:p w14:paraId="0481DE2E" w14:textId="77777777" w:rsidR="002D7B36" w:rsidRPr="00DE12A3" w:rsidRDefault="00FA43BC" w:rsidP="00C917D6">
      <w:pPr>
        <w:pStyle w:val="Gvdemetni250"/>
        <w:spacing w:before="120" w:after="120" w:line="240" w:lineRule="auto"/>
        <w:ind w:left="1134" w:hanging="1134"/>
        <w:rPr>
          <w:b/>
          <w:sz w:val="24"/>
          <w:szCs w:val="24"/>
        </w:rPr>
      </w:pPr>
      <w:r w:rsidRPr="00DE12A3">
        <w:rPr>
          <w:sz w:val="24"/>
          <w:szCs w:val="24"/>
        </w:rPr>
        <w:t>7.</w:t>
      </w:r>
      <w:r w:rsidRPr="00DE12A3">
        <w:rPr>
          <w:b/>
          <w:sz w:val="24"/>
          <w:szCs w:val="24"/>
        </w:rPr>
        <w:t xml:space="preserve">              </w:t>
      </w:r>
      <w:r w:rsidR="00242DA0" w:rsidRPr="00DE12A3">
        <w:rPr>
          <w:b/>
          <w:sz w:val="24"/>
          <w:szCs w:val="24"/>
        </w:rPr>
        <w:t>Test prosedürleri</w:t>
      </w:r>
    </w:p>
    <w:p w14:paraId="05354F80" w14:textId="77777777" w:rsidR="002D7B36" w:rsidRPr="00DE12A3" w:rsidRDefault="00FA43BC" w:rsidP="00E20716">
      <w:pPr>
        <w:pStyle w:val="Gvdemetni250"/>
        <w:numPr>
          <w:ilvl w:val="0"/>
          <w:numId w:val="142"/>
        </w:numPr>
        <w:spacing w:before="120" w:after="120" w:line="240" w:lineRule="auto"/>
        <w:ind w:left="1134" w:hanging="1134"/>
        <w:rPr>
          <w:sz w:val="24"/>
          <w:szCs w:val="24"/>
        </w:rPr>
      </w:pPr>
      <w:r w:rsidRPr="00DE12A3">
        <w:rPr>
          <w:sz w:val="24"/>
          <w:szCs w:val="24"/>
        </w:rPr>
        <w:t xml:space="preserve">       </w:t>
      </w:r>
      <w:r w:rsidR="00242DA0" w:rsidRPr="00DE12A3">
        <w:rPr>
          <w:sz w:val="24"/>
          <w:szCs w:val="24"/>
        </w:rPr>
        <w:t>Giriş</w:t>
      </w:r>
    </w:p>
    <w:p w14:paraId="69378B3C" w14:textId="7FEAC673" w:rsidR="002D7B36" w:rsidRPr="00DE12A3" w:rsidRDefault="00FA43BC" w:rsidP="00C917D6">
      <w:pPr>
        <w:pStyle w:val="Gvdemetni250"/>
        <w:spacing w:before="120" w:after="120" w:line="240" w:lineRule="auto"/>
        <w:ind w:left="1134" w:hanging="1134"/>
        <w:rPr>
          <w:sz w:val="24"/>
          <w:szCs w:val="24"/>
        </w:rPr>
      </w:pPr>
      <w:r w:rsidRPr="00DE12A3">
        <w:rPr>
          <w:sz w:val="24"/>
          <w:szCs w:val="24"/>
        </w:rPr>
        <w:t xml:space="preserve">                  </w:t>
      </w:r>
      <w:r w:rsidR="00242DA0" w:rsidRPr="00DE12A3">
        <w:rPr>
          <w:sz w:val="24"/>
          <w:szCs w:val="24"/>
        </w:rPr>
        <w:t xml:space="preserve">Bu bölümde, test edilecek motorlarda frene özgü gaz ve </w:t>
      </w:r>
      <w:r w:rsidR="007E2039" w:rsidRPr="00DE12A3">
        <w:rPr>
          <w:sz w:val="24"/>
          <w:szCs w:val="24"/>
        </w:rPr>
        <w:t xml:space="preserve">partikül </w:t>
      </w:r>
      <w:r w:rsidR="00242DA0" w:rsidRPr="00DE12A3">
        <w:rPr>
          <w:sz w:val="24"/>
          <w:szCs w:val="24"/>
        </w:rPr>
        <w:t xml:space="preserve">kirletici emisyonlarının belirlenmesi açıklanmaktadır. Test motoru, </w:t>
      </w:r>
      <w:r w:rsidR="00EE5D5E" w:rsidRPr="00DE12A3">
        <w:rPr>
          <w:sz w:val="24"/>
          <w:szCs w:val="24"/>
        </w:rPr>
        <w:t>2017/656/</w:t>
      </w:r>
      <w:r w:rsidR="00067050" w:rsidRPr="00DE12A3">
        <w:rPr>
          <w:sz w:val="24"/>
          <w:szCs w:val="24"/>
        </w:rPr>
        <w:t>AB Tebliğinin IX’uncu</w:t>
      </w:r>
      <w:r w:rsidR="00EE5D5E" w:rsidRPr="00DE12A3">
        <w:rPr>
          <w:sz w:val="24"/>
          <w:szCs w:val="24"/>
        </w:rPr>
        <w:t xml:space="preserve"> </w:t>
      </w:r>
      <w:r w:rsidR="00EC3EF0" w:rsidRPr="00DE12A3">
        <w:rPr>
          <w:sz w:val="24"/>
          <w:szCs w:val="24"/>
        </w:rPr>
        <w:t>Ekinde</w:t>
      </w:r>
      <w:r w:rsidR="00242DA0" w:rsidRPr="00DE12A3">
        <w:rPr>
          <w:sz w:val="24"/>
          <w:szCs w:val="24"/>
        </w:rPr>
        <w:t xml:space="preserve"> belirtilen motor ailesi için ana motor yapılandırması </w:t>
      </w:r>
      <w:r w:rsidR="0040229E" w:rsidRPr="00DE12A3">
        <w:rPr>
          <w:sz w:val="24"/>
          <w:szCs w:val="24"/>
        </w:rPr>
        <w:t xml:space="preserve">olmalıdır. </w:t>
      </w:r>
    </w:p>
    <w:p w14:paraId="12E55D4F" w14:textId="10900441" w:rsidR="002D7B36" w:rsidRPr="00DE12A3" w:rsidRDefault="003478AE" w:rsidP="00C917D6">
      <w:pPr>
        <w:pStyle w:val="Gvdemetni250"/>
        <w:spacing w:before="120" w:after="120" w:line="240" w:lineRule="auto"/>
        <w:ind w:left="1134" w:hanging="1134"/>
        <w:rPr>
          <w:sz w:val="24"/>
          <w:szCs w:val="24"/>
        </w:rPr>
      </w:pPr>
      <w:r w:rsidRPr="00DE12A3">
        <w:rPr>
          <w:sz w:val="24"/>
          <w:szCs w:val="24"/>
        </w:rPr>
        <w:t xml:space="preserve">                  </w:t>
      </w:r>
      <w:r w:rsidR="00242DA0" w:rsidRPr="00DE12A3">
        <w:rPr>
          <w:sz w:val="24"/>
          <w:szCs w:val="24"/>
        </w:rPr>
        <w:t xml:space="preserve">Bir laboratuvar emisyon testi, </w:t>
      </w:r>
      <w:r w:rsidR="00FE6D8D" w:rsidRPr="00DE12A3">
        <w:rPr>
          <w:sz w:val="24"/>
          <w:szCs w:val="24"/>
        </w:rPr>
        <w:t xml:space="preserve">bu Tebliğin </w:t>
      </w:r>
      <w:r w:rsidR="00242DA0" w:rsidRPr="00DE12A3">
        <w:rPr>
          <w:sz w:val="24"/>
          <w:szCs w:val="24"/>
        </w:rPr>
        <w:t>X</w:t>
      </w:r>
      <w:r w:rsidR="00FA0678" w:rsidRPr="00DE12A3">
        <w:rPr>
          <w:sz w:val="24"/>
          <w:szCs w:val="24"/>
        </w:rPr>
        <w:t xml:space="preserve">VII’nci </w:t>
      </w:r>
      <w:r w:rsidR="00850EBE" w:rsidRPr="00DE12A3">
        <w:rPr>
          <w:sz w:val="24"/>
          <w:szCs w:val="24"/>
        </w:rPr>
        <w:t>E</w:t>
      </w:r>
      <w:r w:rsidR="00FA0678" w:rsidRPr="00DE12A3">
        <w:rPr>
          <w:sz w:val="24"/>
          <w:szCs w:val="24"/>
        </w:rPr>
        <w:t>k</w:t>
      </w:r>
      <w:r w:rsidR="00FE6D8D" w:rsidRPr="00DE12A3">
        <w:rPr>
          <w:sz w:val="24"/>
          <w:szCs w:val="24"/>
        </w:rPr>
        <w:t>inde</w:t>
      </w:r>
      <w:r w:rsidR="00242DA0" w:rsidRPr="00DE12A3">
        <w:rPr>
          <w:sz w:val="24"/>
          <w:szCs w:val="24"/>
        </w:rPr>
        <w:t xml:space="preserve"> belirtilen test </w:t>
      </w:r>
      <w:r w:rsidR="00F310B5" w:rsidRPr="00DE12A3">
        <w:rPr>
          <w:sz w:val="24"/>
          <w:szCs w:val="24"/>
        </w:rPr>
        <w:t>çevrim</w:t>
      </w:r>
      <w:r w:rsidR="00242DA0" w:rsidRPr="00DE12A3">
        <w:rPr>
          <w:sz w:val="24"/>
          <w:szCs w:val="24"/>
        </w:rPr>
        <w:t>leri için emisyonların ve diğer parametrelerin ölçümünden oluşur. Aşağıdaki açılardan ele alınır:</w:t>
      </w:r>
    </w:p>
    <w:p w14:paraId="04395161" w14:textId="7FFFE84F" w:rsidR="002D7B36" w:rsidRPr="00DE12A3" w:rsidRDefault="00242DA0" w:rsidP="00E20716">
      <w:pPr>
        <w:pStyle w:val="Gvdemetni250"/>
        <w:numPr>
          <w:ilvl w:val="0"/>
          <w:numId w:val="143"/>
        </w:numPr>
        <w:spacing w:before="120" w:after="120" w:line="240" w:lineRule="auto"/>
        <w:ind w:left="1701" w:hanging="567"/>
        <w:rPr>
          <w:sz w:val="24"/>
          <w:szCs w:val="24"/>
        </w:rPr>
      </w:pPr>
      <w:r w:rsidRPr="00DE12A3">
        <w:rPr>
          <w:sz w:val="24"/>
          <w:szCs w:val="24"/>
        </w:rPr>
        <w:t>Emisyonları ölçmeye yönelik laboratuvar yapılandırmaları (7.2 bendi)</w:t>
      </w:r>
      <w:r w:rsidR="00FE6D8D" w:rsidRPr="00DE12A3">
        <w:rPr>
          <w:sz w:val="24"/>
          <w:szCs w:val="24"/>
        </w:rPr>
        <w:t>.</w:t>
      </w:r>
    </w:p>
    <w:p w14:paraId="25F3BA20" w14:textId="17800F78" w:rsidR="002D7B36" w:rsidRPr="00DE12A3" w:rsidRDefault="00242DA0" w:rsidP="00E20716">
      <w:pPr>
        <w:pStyle w:val="Gvdemetni250"/>
        <w:numPr>
          <w:ilvl w:val="0"/>
          <w:numId w:val="143"/>
        </w:numPr>
        <w:spacing w:before="120" w:after="120" w:line="240" w:lineRule="auto"/>
        <w:ind w:left="1701" w:hanging="567"/>
        <w:rPr>
          <w:sz w:val="24"/>
          <w:szCs w:val="24"/>
        </w:rPr>
      </w:pPr>
      <w:r w:rsidRPr="00DE12A3">
        <w:rPr>
          <w:sz w:val="24"/>
          <w:szCs w:val="24"/>
        </w:rPr>
        <w:t>Ön test ve son test doğrulama prosedürleri (7.3 bendi)</w:t>
      </w:r>
      <w:r w:rsidR="00FE6D8D" w:rsidRPr="00DE12A3">
        <w:rPr>
          <w:sz w:val="24"/>
          <w:szCs w:val="24"/>
        </w:rPr>
        <w:t>.</w:t>
      </w:r>
    </w:p>
    <w:p w14:paraId="123826D5" w14:textId="26DE304F" w:rsidR="002D7B36" w:rsidRPr="00DE12A3" w:rsidRDefault="00242DA0" w:rsidP="00E20716">
      <w:pPr>
        <w:pStyle w:val="Gvdemetni250"/>
        <w:numPr>
          <w:ilvl w:val="0"/>
          <w:numId w:val="143"/>
        </w:numPr>
        <w:spacing w:before="120" w:after="120" w:line="240" w:lineRule="auto"/>
        <w:ind w:left="1701" w:hanging="567"/>
        <w:rPr>
          <w:sz w:val="24"/>
          <w:szCs w:val="24"/>
        </w:rPr>
      </w:pPr>
      <w:r w:rsidRPr="00DE12A3">
        <w:rPr>
          <w:sz w:val="24"/>
          <w:szCs w:val="24"/>
        </w:rPr>
        <w:t xml:space="preserve">Test </w:t>
      </w:r>
      <w:r w:rsidR="00F310B5" w:rsidRPr="00DE12A3">
        <w:rPr>
          <w:sz w:val="24"/>
          <w:szCs w:val="24"/>
        </w:rPr>
        <w:t>çevrim</w:t>
      </w:r>
      <w:r w:rsidRPr="00DE12A3">
        <w:rPr>
          <w:sz w:val="24"/>
          <w:szCs w:val="24"/>
        </w:rPr>
        <w:t>leri (7.4 bendi)</w:t>
      </w:r>
      <w:r w:rsidR="00FE6D8D" w:rsidRPr="00DE12A3">
        <w:rPr>
          <w:sz w:val="24"/>
          <w:szCs w:val="24"/>
        </w:rPr>
        <w:t>.</w:t>
      </w:r>
    </w:p>
    <w:p w14:paraId="0F367E9E" w14:textId="34F005A4" w:rsidR="002D7B36" w:rsidRPr="00DE12A3" w:rsidRDefault="00242DA0" w:rsidP="00E20716">
      <w:pPr>
        <w:pStyle w:val="Gvdemetni250"/>
        <w:numPr>
          <w:ilvl w:val="0"/>
          <w:numId w:val="143"/>
        </w:numPr>
        <w:spacing w:before="120" w:after="120" w:line="240" w:lineRule="auto"/>
        <w:ind w:left="1701" w:hanging="567"/>
        <w:rPr>
          <w:sz w:val="24"/>
          <w:szCs w:val="24"/>
        </w:rPr>
      </w:pPr>
      <w:r w:rsidRPr="00DE12A3">
        <w:rPr>
          <w:sz w:val="24"/>
          <w:szCs w:val="24"/>
        </w:rPr>
        <w:t>Genel test dizisi (7.5 bendi)</w:t>
      </w:r>
      <w:r w:rsidR="00FE6D8D" w:rsidRPr="00DE12A3">
        <w:rPr>
          <w:sz w:val="24"/>
          <w:szCs w:val="24"/>
        </w:rPr>
        <w:t>.</w:t>
      </w:r>
    </w:p>
    <w:p w14:paraId="38A42095" w14:textId="77152E3B" w:rsidR="002D7B36" w:rsidRPr="00DE12A3" w:rsidRDefault="00242DA0" w:rsidP="00E20716">
      <w:pPr>
        <w:pStyle w:val="Gvdemetni250"/>
        <w:numPr>
          <w:ilvl w:val="0"/>
          <w:numId w:val="143"/>
        </w:numPr>
        <w:spacing w:before="120" w:after="120" w:line="240" w:lineRule="auto"/>
        <w:ind w:left="1701" w:hanging="567"/>
        <w:rPr>
          <w:sz w:val="24"/>
          <w:szCs w:val="24"/>
        </w:rPr>
      </w:pPr>
      <w:r w:rsidRPr="00DE12A3">
        <w:rPr>
          <w:sz w:val="24"/>
          <w:szCs w:val="24"/>
        </w:rPr>
        <w:t>Motor eşlemesi (7.6 bendi)</w:t>
      </w:r>
      <w:r w:rsidR="00FE6D8D" w:rsidRPr="00DE12A3">
        <w:rPr>
          <w:sz w:val="24"/>
          <w:szCs w:val="24"/>
        </w:rPr>
        <w:t>.</w:t>
      </w:r>
    </w:p>
    <w:p w14:paraId="0B82BBEA" w14:textId="029B7C7B" w:rsidR="002D7B36" w:rsidRPr="00DE12A3" w:rsidRDefault="00242DA0" w:rsidP="00E20716">
      <w:pPr>
        <w:pStyle w:val="Gvdemetni250"/>
        <w:numPr>
          <w:ilvl w:val="0"/>
          <w:numId w:val="143"/>
        </w:numPr>
        <w:spacing w:before="120" w:after="120" w:line="240" w:lineRule="auto"/>
        <w:ind w:left="1701" w:hanging="567"/>
        <w:rPr>
          <w:sz w:val="24"/>
          <w:szCs w:val="24"/>
        </w:rPr>
      </w:pPr>
      <w:r w:rsidRPr="00DE12A3">
        <w:rPr>
          <w:sz w:val="24"/>
          <w:szCs w:val="24"/>
        </w:rPr>
        <w:t xml:space="preserve">Test </w:t>
      </w:r>
      <w:r w:rsidR="00F310B5" w:rsidRPr="00DE12A3">
        <w:rPr>
          <w:sz w:val="24"/>
          <w:szCs w:val="24"/>
        </w:rPr>
        <w:t>çevrimi</w:t>
      </w:r>
      <w:r w:rsidRPr="00DE12A3">
        <w:rPr>
          <w:sz w:val="24"/>
          <w:szCs w:val="24"/>
        </w:rPr>
        <w:t xml:space="preserve"> üretimi (7.7 bendi)</w:t>
      </w:r>
      <w:r w:rsidR="00FE6D8D" w:rsidRPr="00DE12A3">
        <w:rPr>
          <w:sz w:val="24"/>
          <w:szCs w:val="24"/>
        </w:rPr>
        <w:t>.</w:t>
      </w:r>
    </w:p>
    <w:p w14:paraId="316FB3EF" w14:textId="77777777" w:rsidR="002D7B36" w:rsidRPr="00DE12A3" w:rsidRDefault="00242DA0" w:rsidP="00E20716">
      <w:pPr>
        <w:pStyle w:val="Gvdemetni250"/>
        <w:numPr>
          <w:ilvl w:val="0"/>
          <w:numId w:val="143"/>
        </w:numPr>
        <w:spacing w:before="120" w:after="120" w:line="240" w:lineRule="auto"/>
        <w:ind w:left="1701" w:hanging="567"/>
        <w:rPr>
          <w:sz w:val="24"/>
          <w:szCs w:val="24"/>
        </w:rPr>
      </w:pPr>
      <w:r w:rsidRPr="00DE12A3">
        <w:rPr>
          <w:sz w:val="24"/>
          <w:szCs w:val="24"/>
        </w:rPr>
        <w:t xml:space="preserve">Spesifik test </w:t>
      </w:r>
      <w:r w:rsidR="00F310B5" w:rsidRPr="00DE12A3">
        <w:rPr>
          <w:sz w:val="24"/>
          <w:szCs w:val="24"/>
        </w:rPr>
        <w:t>çevrimi</w:t>
      </w:r>
      <w:r w:rsidRPr="00DE12A3">
        <w:rPr>
          <w:sz w:val="24"/>
          <w:szCs w:val="24"/>
        </w:rPr>
        <w:t xml:space="preserve"> yürütme prosedürü (7.8 bendi).</w:t>
      </w:r>
    </w:p>
    <w:p w14:paraId="2556ACF2" w14:textId="77777777" w:rsidR="002D7B36" w:rsidRPr="00DE12A3" w:rsidRDefault="003478AE" w:rsidP="00E20716">
      <w:pPr>
        <w:pStyle w:val="Gvdemetni250"/>
        <w:numPr>
          <w:ilvl w:val="0"/>
          <w:numId w:val="142"/>
        </w:numPr>
        <w:spacing w:before="120" w:after="120" w:line="240" w:lineRule="auto"/>
        <w:ind w:left="1134" w:hanging="1134"/>
        <w:rPr>
          <w:sz w:val="24"/>
          <w:szCs w:val="24"/>
        </w:rPr>
      </w:pPr>
      <w:r w:rsidRPr="00DE12A3">
        <w:rPr>
          <w:sz w:val="24"/>
          <w:szCs w:val="24"/>
        </w:rPr>
        <w:t xml:space="preserve">      </w:t>
      </w:r>
      <w:r w:rsidR="00242DA0" w:rsidRPr="00DE12A3">
        <w:rPr>
          <w:sz w:val="24"/>
          <w:szCs w:val="24"/>
        </w:rPr>
        <w:t>Emisyon ölçümü ilkesi</w:t>
      </w:r>
    </w:p>
    <w:p w14:paraId="09358095" w14:textId="77777777" w:rsidR="002D7B36" w:rsidRPr="00DE12A3" w:rsidRDefault="003478AE" w:rsidP="00C917D6">
      <w:pPr>
        <w:pStyle w:val="Gvdemetni250"/>
        <w:spacing w:before="120" w:after="120" w:line="240" w:lineRule="auto"/>
        <w:ind w:left="1134" w:hanging="1134"/>
        <w:rPr>
          <w:sz w:val="24"/>
          <w:szCs w:val="24"/>
        </w:rPr>
      </w:pPr>
      <w:r w:rsidRPr="00DE12A3">
        <w:rPr>
          <w:sz w:val="24"/>
          <w:szCs w:val="24"/>
        </w:rPr>
        <w:t xml:space="preserve">                 </w:t>
      </w:r>
      <w:r w:rsidR="00242DA0" w:rsidRPr="00DE12A3">
        <w:rPr>
          <w:sz w:val="24"/>
          <w:szCs w:val="24"/>
        </w:rPr>
        <w:t xml:space="preserve">Frene özgü emisyonları ölçmek için motor, varsa 7.4 bendinde tanımlanan test </w:t>
      </w:r>
      <w:r w:rsidR="00F310B5" w:rsidRPr="00DE12A3">
        <w:rPr>
          <w:sz w:val="24"/>
          <w:szCs w:val="24"/>
        </w:rPr>
        <w:t>çevrim</w:t>
      </w:r>
      <w:r w:rsidR="00242DA0" w:rsidRPr="00DE12A3">
        <w:rPr>
          <w:sz w:val="24"/>
          <w:szCs w:val="24"/>
        </w:rPr>
        <w:t xml:space="preserve">leri üzerinde çalıştırılmalıdır. Frene özgü emisyonların ölçümü, egzoz </w:t>
      </w:r>
      <w:r w:rsidR="00242DA0" w:rsidRPr="00DE12A3">
        <w:rPr>
          <w:sz w:val="24"/>
          <w:szCs w:val="24"/>
        </w:rPr>
        <w:lastRenderedPageBreak/>
        <w:t>emisyonlarındaki kirletici (yani HC, CO, NOx ve PM) kütlesinin, egzoz emisyonlarındaki partikül sayısının (yani PN), egzoz emisyonlarındaki CO</w:t>
      </w:r>
      <w:r w:rsidR="00242DA0" w:rsidRPr="00DE12A3">
        <w:rPr>
          <w:sz w:val="24"/>
          <w:szCs w:val="24"/>
          <w:vertAlign w:val="subscript"/>
        </w:rPr>
        <w:t>2</w:t>
      </w:r>
      <w:r w:rsidR="00242DA0" w:rsidRPr="00DE12A3">
        <w:rPr>
          <w:sz w:val="24"/>
          <w:szCs w:val="24"/>
        </w:rPr>
        <w:t xml:space="preserve"> kütlesinin ve buna karşılık gelen motor çalışmasının belirlenmesini gerektirir.</w:t>
      </w:r>
    </w:p>
    <w:p w14:paraId="64927E3D" w14:textId="77777777" w:rsidR="002D7B36" w:rsidRPr="00DE12A3" w:rsidRDefault="003478AE" w:rsidP="00E20716">
      <w:pPr>
        <w:pStyle w:val="Gvdemetni250"/>
        <w:numPr>
          <w:ilvl w:val="0"/>
          <w:numId w:val="144"/>
        </w:numPr>
        <w:spacing w:before="120" w:after="120" w:line="240" w:lineRule="auto"/>
        <w:ind w:left="1134" w:hanging="1134"/>
        <w:rPr>
          <w:sz w:val="24"/>
          <w:szCs w:val="24"/>
        </w:rPr>
      </w:pPr>
      <w:r w:rsidRPr="00DE12A3">
        <w:rPr>
          <w:sz w:val="24"/>
          <w:szCs w:val="24"/>
        </w:rPr>
        <w:t xml:space="preserve">      </w:t>
      </w:r>
      <w:r w:rsidR="00242DA0" w:rsidRPr="00DE12A3">
        <w:rPr>
          <w:sz w:val="24"/>
          <w:szCs w:val="24"/>
        </w:rPr>
        <w:t>Bileşen kütlesi</w:t>
      </w:r>
    </w:p>
    <w:p w14:paraId="6301C725" w14:textId="77777777" w:rsidR="002D7B36" w:rsidRPr="00DE12A3" w:rsidRDefault="003478AE" w:rsidP="00C917D6">
      <w:pPr>
        <w:pStyle w:val="Gvdemetni250"/>
        <w:spacing w:before="120" w:after="120" w:line="240" w:lineRule="auto"/>
        <w:ind w:left="1134" w:hanging="1134"/>
        <w:rPr>
          <w:sz w:val="24"/>
          <w:szCs w:val="24"/>
        </w:rPr>
      </w:pPr>
      <w:r w:rsidRPr="00DE12A3">
        <w:rPr>
          <w:sz w:val="24"/>
          <w:szCs w:val="24"/>
        </w:rPr>
        <w:t xml:space="preserve">                 </w:t>
      </w:r>
      <w:r w:rsidR="00242DA0" w:rsidRPr="00DE12A3">
        <w:rPr>
          <w:sz w:val="24"/>
          <w:szCs w:val="24"/>
        </w:rPr>
        <w:t xml:space="preserve">Her bileşenin toplam kütlesi, geçerli test </w:t>
      </w:r>
      <w:r w:rsidR="00F310B5" w:rsidRPr="00DE12A3">
        <w:rPr>
          <w:sz w:val="24"/>
          <w:szCs w:val="24"/>
        </w:rPr>
        <w:t>çevrimi</w:t>
      </w:r>
      <w:r w:rsidR="00242DA0" w:rsidRPr="00DE12A3">
        <w:rPr>
          <w:sz w:val="24"/>
          <w:szCs w:val="24"/>
        </w:rPr>
        <w:t xml:space="preserve"> boyunca aşağıdaki yöntemler kullanılarak belirlenir:</w:t>
      </w:r>
    </w:p>
    <w:p w14:paraId="5641C03D" w14:textId="77777777" w:rsidR="002D7B36" w:rsidRPr="00DE12A3" w:rsidRDefault="00242DA0" w:rsidP="00E20716">
      <w:pPr>
        <w:pStyle w:val="Gvdemetni250"/>
        <w:numPr>
          <w:ilvl w:val="0"/>
          <w:numId w:val="145"/>
        </w:numPr>
        <w:spacing w:before="120" w:after="120" w:line="240" w:lineRule="auto"/>
        <w:ind w:left="1134" w:hanging="1134"/>
        <w:rPr>
          <w:sz w:val="24"/>
          <w:szCs w:val="24"/>
        </w:rPr>
      </w:pPr>
      <w:r w:rsidRPr="00DE12A3">
        <w:rPr>
          <w:sz w:val="24"/>
          <w:szCs w:val="24"/>
        </w:rPr>
        <w:t>Sürekli örnekleme</w:t>
      </w:r>
    </w:p>
    <w:p w14:paraId="3378D048" w14:textId="77777777" w:rsidR="002D7B36" w:rsidRPr="00DE12A3" w:rsidRDefault="003478AE" w:rsidP="00C917D6">
      <w:pPr>
        <w:pStyle w:val="Gvdemetni250"/>
        <w:spacing w:before="120" w:after="120" w:line="240" w:lineRule="auto"/>
        <w:ind w:left="1134" w:hanging="1134"/>
        <w:rPr>
          <w:sz w:val="24"/>
          <w:szCs w:val="24"/>
        </w:rPr>
      </w:pPr>
      <w:r w:rsidRPr="00DE12A3">
        <w:rPr>
          <w:sz w:val="24"/>
          <w:szCs w:val="24"/>
        </w:rPr>
        <w:t xml:space="preserve">                  </w:t>
      </w:r>
      <w:r w:rsidR="00242DA0" w:rsidRPr="00DE12A3">
        <w:rPr>
          <w:sz w:val="24"/>
          <w:szCs w:val="24"/>
        </w:rPr>
        <w:t>Sürekli örneklemede, bileşenin konsantrasyonu, ham veya seyreltilmiş egzoz gazından sürekli olarak ölçülür. Bu konsantrasyon, bileşen akış hızını belirlemek için emisyon örnekleme noktasındaki sürekli (ham veya seyreltilmiş) egzoz gazı akış hızı ile çarpılır. Bileşenin emisyonu test aralığı boyunca sürekli olarak toplanır. Bu toplam, yayılan bileşenin toplam kütlesidir.</w:t>
      </w:r>
    </w:p>
    <w:p w14:paraId="3CDB381E" w14:textId="77777777" w:rsidR="002D7B36" w:rsidRPr="00DE12A3" w:rsidRDefault="00242DA0" w:rsidP="00E20716">
      <w:pPr>
        <w:pStyle w:val="Gvdemetni250"/>
        <w:numPr>
          <w:ilvl w:val="0"/>
          <w:numId w:val="145"/>
        </w:numPr>
        <w:spacing w:before="120" w:after="120" w:line="240" w:lineRule="auto"/>
        <w:ind w:left="1134" w:hanging="1134"/>
        <w:rPr>
          <w:sz w:val="24"/>
          <w:szCs w:val="24"/>
        </w:rPr>
      </w:pPr>
      <w:r w:rsidRPr="00DE12A3">
        <w:rPr>
          <w:sz w:val="24"/>
          <w:szCs w:val="24"/>
        </w:rPr>
        <w:t>Toplu örnekleme</w:t>
      </w:r>
    </w:p>
    <w:p w14:paraId="1EDB1A39" w14:textId="77777777" w:rsidR="00FE6D8D" w:rsidRPr="00DE12A3" w:rsidRDefault="003478AE" w:rsidP="00C917D6">
      <w:pPr>
        <w:pStyle w:val="Gvdemetni250"/>
        <w:spacing w:before="120" w:after="120" w:line="240" w:lineRule="auto"/>
        <w:ind w:left="1134" w:hanging="1134"/>
        <w:rPr>
          <w:sz w:val="24"/>
          <w:szCs w:val="24"/>
        </w:rPr>
      </w:pPr>
      <w:r w:rsidRPr="00DE12A3">
        <w:rPr>
          <w:sz w:val="24"/>
          <w:szCs w:val="24"/>
        </w:rPr>
        <w:t xml:space="preserve">                  </w:t>
      </w:r>
      <w:r w:rsidR="00242DA0" w:rsidRPr="00DE12A3">
        <w:rPr>
          <w:sz w:val="24"/>
          <w:szCs w:val="24"/>
        </w:rPr>
        <w:t xml:space="preserve">Toplu örneklemede, sürekli olarak bir ham veya seyreltilmiş egzoz gazı numunesi alınır ve sonradan ölçülmek üzere saklanır. Alınan numune, ham veya seyreltilmiş egzoz gazı akış hızı ile orantılı olmalıdır. Toplu örneklemeye dair örnekler, seyreltilmiş gaz emisyonlarının bir torbanın içinde toplanması ve PM'nin bir filtre üzerinde toplanmasıdır. Prensipte, emisyon hesaplama yöntemi aşağıdaki gibi yapılır: </w:t>
      </w:r>
    </w:p>
    <w:p w14:paraId="4104A832" w14:textId="5689B7AD" w:rsidR="002D7B36" w:rsidRPr="00DE12A3" w:rsidRDefault="00242DA0" w:rsidP="005501E3">
      <w:pPr>
        <w:pStyle w:val="Gvdemetni250"/>
        <w:spacing w:before="120" w:after="120" w:line="240" w:lineRule="auto"/>
        <w:ind w:left="1134" w:firstLine="0"/>
        <w:rPr>
          <w:sz w:val="24"/>
          <w:szCs w:val="24"/>
        </w:rPr>
      </w:pPr>
      <w:r w:rsidRPr="00DE12A3">
        <w:rPr>
          <w:sz w:val="24"/>
          <w:szCs w:val="24"/>
        </w:rPr>
        <w:t xml:space="preserve">Toplu örneklenmiş konsantrasyonlar, test </w:t>
      </w:r>
      <w:r w:rsidR="00F310B5" w:rsidRPr="00DE12A3">
        <w:rPr>
          <w:sz w:val="24"/>
          <w:szCs w:val="24"/>
        </w:rPr>
        <w:t>çevrimi</w:t>
      </w:r>
      <w:r w:rsidRPr="00DE12A3">
        <w:rPr>
          <w:sz w:val="24"/>
          <w:szCs w:val="24"/>
        </w:rPr>
        <w:t xml:space="preserve"> sırasında elde edildiği toplam kütle veya kütle akışı (ham veya seyreltik) ile çarpılır. Bu çarpım, yayılan bileşenin toplam kütlesi veya kütle akışıdır. PM konsantrasyonunu hesaplamak için, oransal olarak alınan egzoz gazından bir filtre üzerinde biriken PM, filtrelenmiş egzoz gazı miktarına bölünür.</w:t>
      </w:r>
    </w:p>
    <w:p w14:paraId="6AB56313" w14:textId="77777777" w:rsidR="002D7B36" w:rsidRPr="00DE12A3" w:rsidRDefault="00242DA0" w:rsidP="00E20716">
      <w:pPr>
        <w:pStyle w:val="Gvdemetni250"/>
        <w:numPr>
          <w:ilvl w:val="0"/>
          <w:numId w:val="145"/>
        </w:numPr>
        <w:spacing w:before="120" w:after="120" w:line="240" w:lineRule="auto"/>
        <w:ind w:left="1134" w:hanging="1134"/>
        <w:rPr>
          <w:sz w:val="24"/>
          <w:szCs w:val="24"/>
        </w:rPr>
      </w:pPr>
      <w:r w:rsidRPr="00DE12A3">
        <w:rPr>
          <w:sz w:val="24"/>
          <w:szCs w:val="24"/>
        </w:rPr>
        <w:t>Kombine örnekleme</w:t>
      </w:r>
    </w:p>
    <w:p w14:paraId="4BA6B2BB" w14:textId="77777777" w:rsidR="002D7B36" w:rsidRPr="00DE12A3" w:rsidRDefault="003478AE" w:rsidP="00C917D6">
      <w:pPr>
        <w:pStyle w:val="Gvdemetni250"/>
        <w:spacing w:before="120" w:after="120" w:line="240" w:lineRule="auto"/>
        <w:ind w:left="1134" w:hanging="1134"/>
        <w:rPr>
          <w:sz w:val="24"/>
          <w:szCs w:val="24"/>
        </w:rPr>
      </w:pPr>
      <w:r w:rsidRPr="00DE12A3">
        <w:rPr>
          <w:sz w:val="24"/>
          <w:szCs w:val="24"/>
        </w:rPr>
        <w:t xml:space="preserve">                  </w:t>
      </w:r>
      <w:r w:rsidR="00242DA0" w:rsidRPr="00DE12A3">
        <w:rPr>
          <w:sz w:val="24"/>
          <w:szCs w:val="24"/>
        </w:rPr>
        <w:t>Sürekli ve toplu örneklemenin herhangi bir kombinasyonuna izin verilir (örneğin, toplu örneklemeli PM ve sürekli örneklemeli gaz emisyonları).</w:t>
      </w:r>
    </w:p>
    <w:p w14:paraId="5523A02D" w14:textId="220335A8" w:rsidR="002D7B36" w:rsidRPr="00DE12A3" w:rsidRDefault="003478AE" w:rsidP="00C917D6">
      <w:pPr>
        <w:pStyle w:val="Gvdemetni250"/>
        <w:spacing w:before="120" w:after="120" w:line="240" w:lineRule="auto"/>
        <w:ind w:left="1134" w:hanging="1134"/>
        <w:rPr>
          <w:sz w:val="24"/>
          <w:szCs w:val="24"/>
        </w:rPr>
      </w:pPr>
      <w:r w:rsidRPr="00DE12A3">
        <w:rPr>
          <w:sz w:val="24"/>
          <w:szCs w:val="24"/>
        </w:rPr>
        <w:t xml:space="preserve">                  </w:t>
      </w:r>
      <w:r w:rsidR="00242DA0" w:rsidRPr="00DE12A3">
        <w:rPr>
          <w:sz w:val="24"/>
          <w:szCs w:val="24"/>
        </w:rPr>
        <w:t xml:space="preserve">Şekil 6.2, emisyonları ölçmek için kullanılan test prosedürlerinin iki yönünü göstermektedir: Ham ve seyreltilmiş egzoz gazında örnekleme hatları bulunan ekipman ve </w:t>
      </w:r>
      <w:r w:rsidR="00951351" w:rsidRPr="00DE12A3">
        <w:rPr>
          <w:sz w:val="24"/>
          <w:szCs w:val="24"/>
        </w:rPr>
        <w:t xml:space="preserve">kararlı </w:t>
      </w:r>
      <w:r w:rsidR="004E7F54" w:rsidRPr="00DE12A3">
        <w:rPr>
          <w:sz w:val="24"/>
          <w:szCs w:val="24"/>
        </w:rPr>
        <w:t>durum ve</w:t>
      </w:r>
      <w:r w:rsidR="00242DA0" w:rsidRPr="00DE12A3">
        <w:rPr>
          <w:sz w:val="24"/>
          <w:szCs w:val="24"/>
        </w:rPr>
        <w:t xml:space="preserve"> </w:t>
      </w:r>
      <w:r w:rsidR="00951351" w:rsidRPr="00DE12A3">
        <w:rPr>
          <w:sz w:val="24"/>
          <w:szCs w:val="24"/>
        </w:rPr>
        <w:t>süreksiz</w:t>
      </w:r>
      <w:r w:rsidR="00242DA0" w:rsidRPr="00DE12A3">
        <w:rPr>
          <w:sz w:val="24"/>
          <w:szCs w:val="24"/>
        </w:rPr>
        <w:t xml:space="preserve"> test </w:t>
      </w:r>
      <w:r w:rsidR="00951351" w:rsidRPr="00DE12A3">
        <w:rPr>
          <w:sz w:val="24"/>
          <w:szCs w:val="24"/>
        </w:rPr>
        <w:t>çevrimlerinde</w:t>
      </w:r>
      <w:r w:rsidR="00242DA0" w:rsidRPr="00DE12A3">
        <w:rPr>
          <w:sz w:val="24"/>
          <w:szCs w:val="24"/>
        </w:rPr>
        <w:t xml:space="preserve"> kirletici emisyonlarını hesaplamak için istenen işlemler.</w:t>
      </w:r>
    </w:p>
    <w:p w14:paraId="4F6EDC8E" w14:textId="77777777" w:rsidR="00AD0C0B" w:rsidRPr="00DE12A3" w:rsidRDefault="00AD0C0B" w:rsidP="00C917D6">
      <w:pPr>
        <w:spacing w:before="120" w:after="120"/>
        <w:ind w:left="1134" w:hanging="1134"/>
        <w:jc w:val="center"/>
        <w:rPr>
          <w:rStyle w:val="Gvdemetni40ptbolukbraklyor"/>
          <w:rFonts w:eastAsia="Courier New"/>
          <w:i w:val="0"/>
          <w:iCs w:val="0"/>
          <w:color w:val="auto"/>
          <w:sz w:val="24"/>
          <w:szCs w:val="24"/>
          <w:lang w:val="tr-TR"/>
        </w:rPr>
      </w:pPr>
    </w:p>
    <w:p w14:paraId="62CB95AA" w14:textId="77777777" w:rsidR="00AD0C0B" w:rsidRPr="00DE12A3" w:rsidRDefault="00AD0C0B" w:rsidP="00C917D6">
      <w:pPr>
        <w:spacing w:before="120" w:after="120"/>
        <w:ind w:left="1134" w:hanging="1134"/>
        <w:jc w:val="center"/>
        <w:rPr>
          <w:rStyle w:val="Gvdemetni40ptbolukbraklyor"/>
          <w:rFonts w:eastAsia="Courier New"/>
          <w:i w:val="0"/>
          <w:iCs w:val="0"/>
          <w:color w:val="auto"/>
          <w:sz w:val="24"/>
          <w:szCs w:val="24"/>
          <w:lang w:val="tr-TR"/>
        </w:rPr>
      </w:pPr>
    </w:p>
    <w:p w14:paraId="3343575B" w14:textId="77777777" w:rsidR="00AD0C0B" w:rsidRPr="00DE12A3" w:rsidRDefault="00AD0C0B" w:rsidP="00C917D6">
      <w:pPr>
        <w:spacing w:before="120" w:after="120"/>
        <w:ind w:left="1134" w:hanging="1134"/>
        <w:jc w:val="center"/>
        <w:rPr>
          <w:rStyle w:val="Gvdemetni40ptbolukbraklyor"/>
          <w:rFonts w:eastAsia="Courier New"/>
          <w:i w:val="0"/>
          <w:iCs w:val="0"/>
          <w:color w:val="auto"/>
          <w:sz w:val="24"/>
          <w:szCs w:val="24"/>
          <w:lang w:val="tr-TR"/>
        </w:rPr>
      </w:pPr>
    </w:p>
    <w:p w14:paraId="42EBDD3E" w14:textId="77777777" w:rsidR="00AD0C0B" w:rsidRPr="00DE12A3" w:rsidRDefault="00AD0C0B" w:rsidP="00C917D6">
      <w:pPr>
        <w:spacing w:before="120" w:after="120"/>
        <w:ind w:left="1134" w:hanging="1134"/>
        <w:jc w:val="center"/>
        <w:rPr>
          <w:rStyle w:val="Gvdemetni40ptbolukbraklyor"/>
          <w:rFonts w:eastAsia="Courier New"/>
          <w:i w:val="0"/>
          <w:iCs w:val="0"/>
          <w:color w:val="auto"/>
          <w:sz w:val="24"/>
          <w:szCs w:val="24"/>
          <w:lang w:val="tr-TR"/>
        </w:rPr>
      </w:pPr>
    </w:p>
    <w:p w14:paraId="4CEB4E0B" w14:textId="77777777" w:rsidR="00AD0C0B" w:rsidRPr="00DE12A3" w:rsidRDefault="00AD0C0B" w:rsidP="00C917D6">
      <w:pPr>
        <w:spacing w:before="120" w:after="120"/>
        <w:ind w:left="1134" w:hanging="1134"/>
        <w:jc w:val="center"/>
        <w:rPr>
          <w:rStyle w:val="Gvdemetni40ptbolukbraklyor"/>
          <w:rFonts w:eastAsia="Courier New"/>
          <w:i w:val="0"/>
          <w:iCs w:val="0"/>
          <w:color w:val="auto"/>
          <w:sz w:val="24"/>
          <w:szCs w:val="24"/>
          <w:lang w:val="tr-TR"/>
        </w:rPr>
      </w:pPr>
    </w:p>
    <w:p w14:paraId="63C9D99F" w14:textId="77777777" w:rsidR="00AD0C0B" w:rsidRPr="00DE12A3" w:rsidRDefault="00AD0C0B" w:rsidP="00C917D6">
      <w:pPr>
        <w:spacing w:before="120" w:after="120"/>
        <w:ind w:left="1134" w:hanging="1134"/>
        <w:jc w:val="center"/>
        <w:rPr>
          <w:rStyle w:val="Gvdemetni40ptbolukbraklyor"/>
          <w:rFonts w:eastAsia="Courier New"/>
          <w:i w:val="0"/>
          <w:iCs w:val="0"/>
          <w:color w:val="auto"/>
          <w:sz w:val="24"/>
          <w:szCs w:val="24"/>
          <w:lang w:val="tr-TR"/>
        </w:rPr>
      </w:pPr>
    </w:p>
    <w:p w14:paraId="3255F745" w14:textId="77777777" w:rsidR="00AD0C0B" w:rsidRPr="00DE12A3" w:rsidRDefault="00AD0C0B" w:rsidP="00C917D6">
      <w:pPr>
        <w:spacing w:before="120" w:after="120"/>
        <w:ind w:left="1134" w:hanging="1134"/>
        <w:jc w:val="center"/>
        <w:rPr>
          <w:rStyle w:val="Gvdemetni40ptbolukbraklyor"/>
          <w:rFonts w:eastAsia="Courier New"/>
          <w:i w:val="0"/>
          <w:iCs w:val="0"/>
          <w:color w:val="auto"/>
          <w:sz w:val="24"/>
          <w:szCs w:val="24"/>
          <w:lang w:val="tr-TR"/>
        </w:rPr>
      </w:pPr>
    </w:p>
    <w:p w14:paraId="268DD7DF" w14:textId="77777777" w:rsidR="00AD0C0B" w:rsidRPr="00DE12A3" w:rsidRDefault="00AD0C0B" w:rsidP="00C917D6">
      <w:pPr>
        <w:spacing w:before="120" w:after="120"/>
        <w:ind w:left="1134" w:hanging="1134"/>
        <w:jc w:val="center"/>
        <w:rPr>
          <w:rStyle w:val="Gvdemetni40ptbolukbraklyor"/>
          <w:rFonts w:eastAsia="Courier New"/>
          <w:i w:val="0"/>
          <w:iCs w:val="0"/>
          <w:color w:val="auto"/>
          <w:sz w:val="24"/>
          <w:szCs w:val="24"/>
          <w:lang w:val="tr-TR"/>
        </w:rPr>
      </w:pPr>
    </w:p>
    <w:p w14:paraId="3F218063" w14:textId="77777777" w:rsidR="00AD0C0B" w:rsidRPr="00DE12A3" w:rsidRDefault="00AD0C0B" w:rsidP="00C917D6">
      <w:pPr>
        <w:spacing w:before="120" w:after="120"/>
        <w:ind w:left="1134" w:hanging="1134"/>
        <w:jc w:val="center"/>
        <w:rPr>
          <w:rStyle w:val="Gvdemetni40ptbolukbraklyor"/>
          <w:rFonts w:eastAsia="Courier New"/>
          <w:i w:val="0"/>
          <w:iCs w:val="0"/>
          <w:color w:val="auto"/>
          <w:sz w:val="24"/>
          <w:szCs w:val="24"/>
          <w:lang w:val="tr-TR"/>
        </w:rPr>
      </w:pPr>
    </w:p>
    <w:p w14:paraId="59A92A0C" w14:textId="77777777" w:rsidR="00AD0C0B" w:rsidRPr="00DE12A3" w:rsidRDefault="00AD0C0B" w:rsidP="00C917D6">
      <w:pPr>
        <w:spacing w:before="120" w:after="120"/>
        <w:ind w:left="1134" w:hanging="1134"/>
        <w:jc w:val="center"/>
        <w:rPr>
          <w:rStyle w:val="Gvdemetni40ptbolukbraklyor"/>
          <w:rFonts w:eastAsia="Courier New"/>
          <w:i w:val="0"/>
          <w:iCs w:val="0"/>
          <w:color w:val="auto"/>
          <w:sz w:val="24"/>
          <w:szCs w:val="24"/>
          <w:lang w:val="tr-TR"/>
        </w:rPr>
      </w:pPr>
    </w:p>
    <w:p w14:paraId="3BDED534" w14:textId="77777777" w:rsidR="00AD0C0B" w:rsidRPr="00DE12A3" w:rsidRDefault="00AD0C0B" w:rsidP="00C917D6">
      <w:pPr>
        <w:spacing w:before="120" w:after="120"/>
        <w:ind w:left="1134" w:hanging="1134"/>
        <w:jc w:val="center"/>
        <w:rPr>
          <w:rStyle w:val="Gvdemetni40ptbolukbraklyor"/>
          <w:rFonts w:eastAsia="Courier New"/>
          <w:i w:val="0"/>
          <w:iCs w:val="0"/>
          <w:color w:val="auto"/>
          <w:sz w:val="24"/>
          <w:szCs w:val="24"/>
          <w:lang w:val="tr-TR"/>
        </w:rPr>
      </w:pPr>
    </w:p>
    <w:p w14:paraId="70C99907" w14:textId="77777777" w:rsidR="00AD0C0B" w:rsidRPr="00DE12A3" w:rsidRDefault="00AD0C0B" w:rsidP="00C917D6">
      <w:pPr>
        <w:spacing w:before="120" w:after="120"/>
        <w:ind w:left="1134" w:hanging="1134"/>
        <w:jc w:val="center"/>
        <w:rPr>
          <w:rStyle w:val="Gvdemetni40ptbolukbraklyor"/>
          <w:rFonts w:eastAsia="Courier New"/>
          <w:i w:val="0"/>
          <w:iCs w:val="0"/>
          <w:color w:val="auto"/>
          <w:sz w:val="24"/>
          <w:szCs w:val="24"/>
          <w:lang w:val="tr-TR"/>
        </w:rPr>
      </w:pPr>
    </w:p>
    <w:p w14:paraId="52C4BBEF" w14:textId="6EA5FC36" w:rsidR="002D7B36" w:rsidRPr="00DE12A3" w:rsidRDefault="00242DA0" w:rsidP="00C917D6">
      <w:pPr>
        <w:spacing w:before="120" w:after="120"/>
        <w:ind w:left="1134" w:hanging="1134"/>
        <w:jc w:val="center"/>
        <w:rPr>
          <w:rFonts w:cs="Times New Roman"/>
          <w:color w:val="auto"/>
        </w:rPr>
      </w:pPr>
      <w:r w:rsidRPr="00DE12A3">
        <w:rPr>
          <w:rStyle w:val="Gvdemetni40ptbolukbraklyor"/>
          <w:rFonts w:eastAsia="Courier New"/>
          <w:i w:val="0"/>
          <w:iCs w:val="0"/>
          <w:color w:val="auto"/>
          <w:sz w:val="24"/>
          <w:szCs w:val="24"/>
          <w:lang w:val="tr-TR"/>
        </w:rPr>
        <w:lastRenderedPageBreak/>
        <w:t>Şekil 6.2</w:t>
      </w:r>
    </w:p>
    <w:p w14:paraId="606A94A4" w14:textId="3FDE24E2" w:rsidR="00D70820" w:rsidRPr="00DE12A3" w:rsidRDefault="00AD0C0B" w:rsidP="00C917D6">
      <w:pPr>
        <w:pStyle w:val="Gvdemetni50"/>
        <w:shd w:val="clear" w:color="auto" w:fill="auto"/>
        <w:spacing w:before="120" w:after="120" w:line="240" w:lineRule="auto"/>
        <w:ind w:left="1134" w:hanging="1134"/>
        <w:jc w:val="center"/>
        <w:rPr>
          <w:i/>
          <w:iCs/>
          <w:sz w:val="20"/>
          <w:szCs w:val="20"/>
          <w:lang w:val="en-US"/>
        </w:rPr>
      </w:pPr>
      <w:r w:rsidRPr="00DE12A3">
        <w:rPr>
          <w:i/>
          <w:iCs/>
          <w:noProof/>
          <w:sz w:val="20"/>
          <w:szCs w:val="20"/>
          <w:lang w:eastAsia="tr-TR"/>
        </w:rPr>
        <w:drawing>
          <wp:anchor distT="0" distB="0" distL="114300" distR="114300" simplePos="0" relativeHeight="251707904" behindDoc="0" locked="0" layoutInCell="1" allowOverlap="1" wp14:anchorId="5EFF07AC" wp14:editId="0669757D">
            <wp:simplePos x="0" y="0"/>
            <wp:positionH relativeFrom="column">
              <wp:posOffset>452120</wp:posOffset>
            </wp:positionH>
            <wp:positionV relativeFrom="paragraph">
              <wp:posOffset>266700</wp:posOffset>
            </wp:positionV>
            <wp:extent cx="5838825" cy="4476750"/>
            <wp:effectExtent l="0" t="0" r="9525" b="0"/>
            <wp:wrapTopAndBottom/>
            <wp:docPr id="133" name="Resim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838825" cy="4476750"/>
                    </a:xfrm>
                    <a:prstGeom prst="rect">
                      <a:avLst/>
                    </a:prstGeom>
                    <a:noFill/>
                    <a:ln>
                      <a:noFill/>
                    </a:ln>
                  </pic:spPr>
                </pic:pic>
              </a:graphicData>
            </a:graphic>
            <wp14:sizeRelV relativeFrom="margin">
              <wp14:pctHeight>0</wp14:pctHeight>
            </wp14:sizeRelV>
          </wp:anchor>
        </w:drawing>
      </w:r>
      <w:r w:rsidR="00242DA0" w:rsidRPr="00DE12A3">
        <w:rPr>
          <w:spacing w:val="2"/>
          <w:sz w:val="24"/>
          <w:szCs w:val="24"/>
        </w:rPr>
        <w:t>Emisyon ölçümüne ilişkin test prosedürleri</w:t>
      </w:r>
    </w:p>
    <w:p w14:paraId="73D54917" w14:textId="322CFCEC" w:rsidR="00D70820" w:rsidRPr="00DE12A3" w:rsidRDefault="00D70820" w:rsidP="00C917D6">
      <w:pPr>
        <w:pStyle w:val="Gvdemetni250"/>
        <w:shd w:val="clear" w:color="auto" w:fill="auto"/>
        <w:spacing w:before="120" w:after="120" w:line="240" w:lineRule="auto"/>
        <w:ind w:left="709" w:hanging="709"/>
        <w:rPr>
          <w:i/>
          <w:iCs/>
          <w:sz w:val="20"/>
          <w:szCs w:val="20"/>
          <w:lang w:val="en-US"/>
        </w:rPr>
      </w:pPr>
    </w:p>
    <w:p w14:paraId="663EE5C9" w14:textId="77777777" w:rsidR="002D7B36" w:rsidRPr="00DE12A3" w:rsidRDefault="00242DA0" w:rsidP="00C917D6">
      <w:pPr>
        <w:pStyle w:val="Gvdemetni250"/>
        <w:shd w:val="clear" w:color="auto" w:fill="auto"/>
        <w:spacing w:before="120" w:after="120" w:line="240" w:lineRule="auto"/>
        <w:ind w:left="1134" w:firstLine="0"/>
        <w:rPr>
          <w:sz w:val="24"/>
          <w:szCs w:val="24"/>
          <w:lang w:val="en-US"/>
        </w:rPr>
      </w:pPr>
      <w:r w:rsidRPr="00DE12A3">
        <w:rPr>
          <w:i/>
          <w:iCs/>
          <w:sz w:val="24"/>
          <w:szCs w:val="24"/>
          <w:lang w:val="en-US"/>
        </w:rPr>
        <w:t xml:space="preserve">Şekil 6.2 ile ilgili not: </w:t>
      </w:r>
      <w:r w:rsidRPr="00DE12A3">
        <w:rPr>
          <w:sz w:val="24"/>
          <w:szCs w:val="24"/>
          <w:lang w:val="en-US"/>
        </w:rPr>
        <w:t>"Kısmi akış PM örneklemesi" terimi, sadece sabit veya değişken seyrelti oranına sahip ham egzoz gazı almak için kısmi akış seyreltmesi içerir.</w:t>
      </w:r>
    </w:p>
    <w:p w14:paraId="1602504D" w14:textId="77777777" w:rsidR="00F67D7E" w:rsidRPr="00DE12A3" w:rsidRDefault="00F67D7E" w:rsidP="00C917D6">
      <w:pPr>
        <w:pStyle w:val="Gvdemetni250"/>
        <w:shd w:val="clear" w:color="auto" w:fill="auto"/>
        <w:spacing w:before="120" w:after="120" w:line="240" w:lineRule="auto"/>
        <w:ind w:left="1134" w:firstLine="0"/>
        <w:rPr>
          <w:sz w:val="24"/>
          <w:szCs w:val="24"/>
          <w:lang w:val="en-US"/>
        </w:rPr>
      </w:pPr>
    </w:p>
    <w:p w14:paraId="71CF4C3F" w14:textId="77777777" w:rsidR="002D7B36" w:rsidRPr="00DE12A3" w:rsidRDefault="003478AE" w:rsidP="00E20716">
      <w:pPr>
        <w:pStyle w:val="Gvdemetni250"/>
        <w:numPr>
          <w:ilvl w:val="0"/>
          <w:numId w:val="144"/>
        </w:numPr>
        <w:spacing w:before="120" w:after="120" w:line="240" w:lineRule="auto"/>
        <w:ind w:left="1134" w:hanging="1134"/>
        <w:rPr>
          <w:sz w:val="24"/>
          <w:szCs w:val="24"/>
        </w:rPr>
      </w:pPr>
      <w:r w:rsidRPr="00DE12A3">
        <w:rPr>
          <w:sz w:val="24"/>
          <w:szCs w:val="24"/>
        </w:rPr>
        <w:t xml:space="preserve">       </w:t>
      </w:r>
      <w:r w:rsidR="00242DA0" w:rsidRPr="00DE12A3">
        <w:rPr>
          <w:sz w:val="24"/>
          <w:szCs w:val="24"/>
        </w:rPr>
        <w:t>Çalışma tespiti</w:t>
      </w:r>
    </w:p>
    <w:p w14:paraId="38AD0885" w14:textId="77777777" w:rsidR="002D7B36" w:rsidRPr="00DE12A3" w:rsidRDefault="003478AE" w:rsidP="00C917D6">
      <w:pPr>
        <w:pStyle w:val="Gvdemetni250"/>
        <w:spacing w:before="120" w:after="120" w:line="240" w:lineRule="auto"/>
        <w:ind w:left="1134" w:hanging="1134"/>
        <w:rPr>
          <w:sz w:val="24"/>
          <w:szCs w:val="24"/>
        </w:rPr>
      </w:pPr>
      <w:r w:rsidRPr="00DE12A3">
        <w:rPr>
          <w:sz w:val="24"/>
          <w:szCs w:val="24"/>
        </w:rPr>
        <w:t xml:space="preserve">                  </w:t>
      </w:r>
      <w:r w:rsidR="00242DA0" w:rsidRPr="00DE12A3">
        <w:rPr>
          <w:sz w:val="24"/>
          <w:szCs w:val="24"/>
        </w:rPr>
        <w:t xml:space="preserve">Çalışma, motor freni gücüne ilişkin anlık değerleri hesaplamak üzere devir ile fren torku senkronize olarak çarpılarak test </w:t>
      </w:r>
      <w:r w:rsidR="00F310B5" w:rsidRPr="00DE12A3">
        <w:rPr>
          <w:sz w:val="24"/>
          <w:szCs w:val="24"/>
        </w:rPr>
        <w:t>çevrimi</w:t>
      </w:r>
      <w:r w:rsidR="00242DA0" w:rsidRPr="00DE12A3">
        <w:rPr>
          <w:sz w:val="24"/>
          <w:szCs w:val="24"/>
        </w:rPr>
        <w:t xml:space="preserve"> üzerinde belirlenmelidir. Toplam çalışmayı belirlemek için test </w:t>
      </w:r>
      <w:r w:rsidR="00F310B5" w:rsidRPr="00DE12A3">
        <w:rPr>
          <w:sz w:val="24"/>
          <w:szCs w:val="24"/>
        </w:rPr>
        <w:t>çevrimi</w:t>
      </w:r>
      <w:r w:rsidR="00242DA0" w:rsidRPr="00DE12A3">
        <w:rPr>
          <w:sz w:val="24"/>
          <w:szCs w:val="24"/>
        </w:rPr>
        <w:t xml:space="preserve"> üzerinde motor freni gücü entegre </w:t>
      </w:r>
      <w:r w:rsidR="00A05EEB" w:rsidRPr="00DE12A3">
        <w:rPr>
          <w:sz w:val="24"/>
          <w:szCs w:val="24"/>
        </w:rPr>
        <w:t xml:space="preserve">edilmelidir. </w:t>
      </w:r>
      <w:r w:rsidR="00A05EEB" w:rsidRPr="00DE12A3">
        <w:rPr>
          <w:sz w:val="24"/>
          <w:szCs w:val="24"/>
        </w:rPr>
        <w:softHyphen/>
      </w:r>
    </w:p>
    <w:p w14:paraId="612CA510" w14:textId="77777777" w:rsidR="002D7B36" w:rsidRPr="00DE12A3" w:rsidRDefault="003478AE" w:rsidP="00E20716">
      <w:pPr>
        <w:pStyle w:val="Gvdemetni250"/>
        <w:numPr>
          <w:ilvl w:val="0"/>
          <w:numId w:val="142"/>
        </w:numPr>
        <w:spacing w:before="120" w:after="120" w:line="240" w:lineRule="auto"/>
        <w:ind w:left="1134" w:hanging="1134"/>
        <w:rPr>
          <w:sz w:val="24"/>
          <w:szCs w:val="24"/>
        </w:rPr>
      </w:pPr>
      <w:r w:rsidRPr="00DE12A3">
        <w:rPr>
          <w:sz w:val="24"/>
          <w:szCs w:val="24"/>
        </w:rPr>
        <w:t xml:space="preserve">       </w:t>
      </w:r>
      <w:r w:rsidR="00242DA0" w:rsidRPr="00DE12A3">
        <w:rPr>
          <w:sz w:val="24"/>
          <w:szCs w:val="24"/>
        </w:rPr>
        <w:t>Doğrulama ve kalibrasyon</w:t>
      </w:r>
    </w:p>
    <w:p w14:paraId="08C55359" w14:textId="77777777" w:rsidR="002D7B36" w:rsidRPr="00DE12A3" w:rsidRDefault="003478AE" w:rsidP="00E20716">
      <w:pPr>
        <w:pStyle w:val="Gvdemetni250"/>
        <w:numPr>
          <w:ilvl w:val="0"/>
          <w:numId w:val="146"/>
        </w:numPr>
        <w:spacing w:before="120" w:after="120" w:line="240" w:lineRule="auto"/>
        <w:ind w:left="1134" w:hanging="1134"/>
        <w:rPr>
          <w:sz w:val="24"/>
          <w:szCs w:val="24"/>
        </w:rPr>
      </w:pPr>
      <w:r w:rsidRPr="00DE12A3">
        <w:rPr>
          <w:sz w:val="24"/>
          <w:szCs w:val="24"/>
        </w:rPr>
        <w:t xml:space="preserve">       </w:t>
      </w:r>
      <w:r w:rsidR="00242DA0" w:rsidRPr="00DE12A3">
        <w:rPr>
          <w:sz w:val="24"/>
          <w:szCs w:val="24"/>
        </w:rPr>
        <w:t>Ön test prosedürleri</w:t>
      </w:r>
    </w:p>
    <w:p w14:paraId="151B2C77" w14:textId="77777777" w:rsidR="002D7B36" w:rsidRPr="00DE12A3" w:rsidRDefault="00242DA0" w:rsidP="00E20716">
      <w:pPr>
        <w:pStyle w:val="Gvdemetni250"/>
        <w:numPr>
          <w:ilvl w:val="0"/>
          <w:numId w:val="147"/>
        </w:numPr>
        <w:spacing w:before="120" w:after="120" w:line="240" w:lineRule="auto"/>
        <w:ind w:left="1134" w:hanging="1134"/>
        <w:rPr>
          <w:sz w:val="24"/>
          <w:szCs w:val="24"/>
        </w:rPr>
      </w:pPr>
      <w:r w:rsidRPr="00DE12A3">
        <w:rPr>
          <w:sz w:val="24"/>
          <w:szCs w:val="24"/>
        </w:rPr>
        <w:t>Örnekleme sisteminin ve motorun ön koşullandırılmasına ilişkin genel şartlar</w:t>
      </w:r>
    </w:p>
    <w:p w14:paraId="4E858E5F" w14:textId="77777777" w:rsidR="002D7B36" w:rsidRPr="00DE12A3" w:rsidRDefault="00242DA0" w:rsidP="00C917D6">
      <w:pPr>
        <w:pStyle w:val="Gvdemetni250"/>
        <w:spacing w:before="120" w:after="120" w:line="240" w:lineRule="auto"/>
        <w:ind w:left="1134" w:firstLine="0"/>
        <w:rPr>
          <w:sz w:val="24"/>
          <w:szCs w:val="24"/>
        </w:rPr>
      </w:pPr>
      <w:r w:rsidRPr="00DE12A3">
        <w:rPr>
          <w:sz w:val="24"/>
          <w:szCs w:val="24"/>
        </w:rPr>
        <w:t>İstikrarlı koşullar elde etmek için, örnekleme sistemi ve motor bu bentte belirtilen bir test dizisi başlamadan önce ön koşullandırılmalıdır.</w:t>
      </w:r>
    </w:p>
    <w:p w14:paraId="74B3B4BD" w14:textId="77777777" w:rsidR="002D7B36" w:rsidRPr="00DE12A3" w:rsidRDefault="00242DA0" w:rsidP="00C917D6">
      <w:pPr>
        <w:pStyle w:val="Gvdemetni250"/>
        <w:spacing w:before="120" w:after="120" w:line="240" w:lineRule="auto"/>
        <w:ind w:left="1134" w:firstLine="0"/>
        <w:rPr>
          <w:sz w:val="24"/>
          <w:szCs w:val="24"/>
        </w:rPr>
      </w:pPr>
      <w:r w:rsidRPr="00DE12A3">
        <w:rPr>
          <w:sz w:val="24"/>
          <w:szCs w:val="24"/>
        </w:rPr>
        <w:t xml:space="preserve">Motor ön koşullandırmasının amacı, emisyonların ve emisyon kontrollerinin hizmet </w:t>
      </w:r>
      <w:r w:rsidR="00F310B5" w:rsidRPr="00DE12A3">
        <w:rPr>
          <w:sz w:val="24"/>
          <w:szCs w:val="24"/>
        </w:rPr>
        <w:t>çevrimi</w:t>
      </w:r>
      <w:r w:rsidRPr="00DE12A3">
        <w:rPr>
          <w:sz w:val="24"/>
          <w:szCs w:val="24"/>
        </w:rPr>
        <w:t xml:space="preserve"> boyunca temsil edebilirliğini sağlamak ve aşağıdaki emisyon testi için istikrarlı koşullar sağlamak için yanlılığı azaltmaktır.</w:t>
      </w:r>
    </w:p>
    <w:p w14:paraId="2D29BBE2" w14:textId="7F4214A8" w:rsidR="002D7B36" w:rsidRPr="00DE12A3" w:rsidRDefault="00242DA0" w:rsidP="00C917D6">
      <w:pPr>
        <w:pStyle w:val="Gvdemetni250"/>
        <w:spacing w:before="120" w:after="120" w:line="240" w:lineRule="auto"/>
        <w:ind w:left="1134" w:firstLine="0"/>
        <w:rPr>
          <w:sz w:val="24"/>
          <w:szCs w:val="24"/>
        </w:rPr>
      </w:pPr>
      <w:r w:rsidRPr="00DE12A3">
        <w:rPr>
          <w:sz w:val="24"/>
          <w:szCs w:val="24"/>
        </w:rPr>
        <w:t xml:space="preserve">Önceden tanımlanmış sayıda ön koşullandırma </w:t>
      </w:r>
      <w:r w:rsidR="00F310B5" w:rsidRPr="00DE12A3">
        <w:rPr>
          <w:sz w:val="24"/>
          <w:szCs w:val="24"/>
        </w:rPr>
        <w:t>çevrimi</w:t>
      </w:r>
      <w:r w:rsidRPr="00DE12A3">
        <w:rPr>
          <w:sz w:val="24"/>
          <w:szCs w:val="24"/>
        </w:rPr>
        <w:t xml:space="preserve"> gerçekleştirildiği ve ölçüm sistemi 7.3.1.4 bendinin </w:t>
      </w:r>
      <w:r w:rsidR="0053289F" w:rsidRPr="00DE12A3">
        <w:rPr>
          <w:sz w:val="24"/>
          <w:szCs w:val="24"/>
        </w:rPr>
        <w:t>gerekliliklerine</w:t>
      </w:r>
      <w:r w:rsidRPr="00DE12A3">
        <w:rPr>
          <w:sz w:val="24"/>
          <w:szCs w:val="24"/>
        </w:rPr>
        <w:t xml:space="preserve"> göre başlatıldığı sürece, </w:t>
      </w:r>
      <w:r w:rsidRPr="00DE12A3">
        <w:rPr>
          <w:sz w:val="24"/>
          <w:szCs w:val="24"/>
        </w:rPr>
        <w:lastRenderedPageBreak/>
        <w:t xml:space="preserve">emisyonlar ön koşullandırma </w:t>
      </w:r>
      <w:r w:rsidR="00F310B5" w:rsidRPr="00DE12A3">
        <w:rPr>
          <w:sz w:val="24"/>
          <w:szCs w:val="24"/>
        </w:rPr>
        <w:t>çevrim</w:t>
      </w:r>
      <w:r w:rsidRPr="00DE12A3">
        <w:rPr>
          <w:sz w:val="24"/>
          <w:szCs w:val="24"/>
        </w:rPr>
        <w:t xml:space="preserve">leri sırasında ölçülebilir. Ön koşullandırma miktarı, motor imalatçısı tarafından ön koşullandırmaya başlamadan önce belirlenmelidir. Ön koşullandırma, ön koşullandırmaya özel </w:t>
      </w:r>
      <w:r w:rsidR="00F310B5" w:rsidRPr="00DE12A3">
        <w:rPr>
          <w:sz w:val="24"/>
          <w:szCs w:val="24"/>
        </w:rPr>
        <w:t>çevrim</w:t>
      </w:r>
      <w:r w:rsidRPr="00DE12A3">
        <w:rPr>
          <w:sz w:val="24"/>
          <w:szCs w:val="24"/>
        </w:rPr>
        <w:t xml:space="preserve">lerin, emisyon testi için geçerli </w:t>
      </w:r>
      <w:r w:rsidR="00F310B5" w:rsidRPr="00DE12A3">
        <w:rPr>
          <w:sz w:val="24"/>
          <w:szCs w:val="24"/>
        </w:rPr>
        <w:t>çevrim</w:t>
      </w:r>
      <w:r w:rsidRPr="00DE12A3">
        <w:rPr>
          <w:sz w:val="24"/>
          <w:szCs w:val="24"/>
        </w:rPr>
        <w:t>ler ile aynı olduğu unutulmadan aşağıdaki şekilde gerçekleştirilir</w:t>
      </w:r>
      <w:r w:rsidR="00FE6D8D" w:rsidRPr="00DE12A3">
        <w:rPr>
          <w:sz w:val="24"/>
          <w:szCs w:val="24"/>
        </w:rPr>
        <w:t>:</w:t>
      </w:r>
    </w:p>
    <w:p w14:paraId="3519A571" w14:textId="77777777" w:rsidR="002D7B36" w:rsidRPr="00DE12A3" w:rsidRDefault="007E2039" w:rsidP="00C917D6">
      <w:pPr>
        <w:pStyle w:val="Gvdemetni250"/>
        <w:spacing w:before="120" w:after="120" w:line="240" w:lineRule="auto"/>
        <w:ind w:left="1134" w:firstLine="0"/>
        <w:rPr>
          <w:sz w:val="24"/>
          <w:szCs w:val="24"/>
        </w:rPr>
      </w:pPr>
      <w:r w:rsidRPr="00DE12A3">
        <w:rPr>
          <w:sz w:val="24"/>
          <w:szCs w:val="24"/>
        </w:rPr>
        <w:t xml:space="preserve">Arıtma </w:t>
      </w:r>
      <w:r w:rsidR="00242DA0" w:rsidRPr="00DE12A3">
        <w:rPr>
          <w:sz w:val="24"/>
          <w:szCs w:val="24"/>
        </w:rPr>
        <w:t xml:space="preserve">sistemine sahip motorlar, </w:t>
      </w:r>
      <w:r w:rsidRPr="00DE12A3">
        <w:rPr>
          <w:sz w:val="24"/>
          <w:szCs w:val="24"/>
        </w:rPr>
        <w:t xml:space="preserve">arıtma </w:t>
      </w:r>
      <w:r w:rsidR="00242DA0" w:rsidRPr="00DE12A3">
        <w:rPr>
          <w:sz w:val="24"/>
          <w:szCs w:val="24"/>
        </w:rPr>
        <w:t xml:space="preserve">sisteminin rejenerasyonunu sağlayacak ve duruma göre </w:t>
      </w:r>
      <w:r w:rsidRPr="00DE12A3">
        <w:rPr>
          <w:sz w:val="24"/>
          <w:szCs w:val="24"/>
        </w:rPr>
        <w:t xml:space="preserve">partikül arıtma </w:t>
      </w:r>
      <w:r w:rsidR="00242DA0" w:rsidRPr="00DE12A3">
        <w:rPr>
          <w:sz w:val="24"/>
          <w:szCs w:val="24"/>
        </w:rPr>
        <w:t xml:space="preserve">sistemi içindeki kurum yükünü yeniden tesis edecek şekilde, 7.3.1.1.1 ila 7.3.1.1.4 bentlerinde belirtilen </w:t>
      </w:r>
      <w:r w:rsidR="00F310B5" w:rsidRPr="00DE12A3">
        <w:rPr>
          <w:sz w:val="24"/>
          <w:szCs w:val="24"/>
        </w:rPr>
        <w:t>çevrime</w:t>
      </w:r>
      <w:r w:rsidR="00242DA0" w:rsidRPr="00DE12A3">
        <w:rPr>
          <w:sz w:val="24"/>
          <w:szCs w:val="24"/>
        </w:rPr>
        <w:t xml:space="preserve"> özgü ön koşullandırma öncesinde çalıştırılabilir.</w:t>
      </w:r>
    </w:p>
    <w:p w14:paraId="33ECBFCF" w14:textId="77777777" w:rsidR="002D7B36" w:rsidRPr="00DE12A3" w:rsidRDefault="00242DA0" w:rsidP="00E20716">
      <w:pPr>
        <w:pStyle w:val="Gvdemetni250"/>
        <w:numPr>
          <w:ilvl w:val="0"/>
          <w:numId w:val="148"/>
        </w:numPr>
        <w:tabs>
          <w:tab w:val="left" w:pos="851"/>
        </w:tabs>
        <w:spacing w:before="120" w:after="120" w:line="240" w:lineRule="auto"/>
        <w:ind w:left="1134" w:hanging="1134"/>
        <w:rPr>
          <w:sz w:val="24"/>
          <w:szCs w:val="24"/>
        </w:rPr>
      </w:pPr>
      <w:r w:rsidRPr="00DE12A3">
        <w:rPr>
          <w:sz w:val="24"/>
          <w:szCs w:val="24"/>
        </w:rPr>
        <w:t>NRTC’nin soğuk çalıştırma uygulaması için ön koşullandırma</w:t>
      </w:r>
    </w:p>
    <w:p w14:paraId="1C874749" w14:textId="77777777" w:rsidR="002D7B36" w:rsidRPr="00DE12A3" w:rsidRDefault="00242DA0" w:rsidP="00C917D6">
      <w:pPr>
        <w:pStyle w:val="Gvdemetni250"/>
        <w:spacing w:before="120" w:after="120" w:line="240" w:lineRule="auto"/>
        <w:ind w:left="1134" w:firstLine="0"/>
        <w:rPr>
          <w:sz w:val="24"/>
          <w:szCs w:val="24"/>
        </w:rPr>
      </w:pPr>
      <w:r w:rsidRPr="00DE12A3">
        <w:rPr>
          <w:sz w:val="24"/>
          <w:szCs w:val="24"/>
        </w:rPr>
        <w:t xml:space="preserve">Motor en az bir ön ısıtmalı NRTC çalıştırılarak ön koşullandırılmalıdır. Her ön koşullandırma </w:t>
      </w:r>
      <w:r w:rsidR="00F310B5" w:rsidRPr="00DE12A3">
        <w:rPr>
          <w:sz w:val="24"/>
          <w:szCs w:val="24"/>
        </w:rPr>
        <w:t>çevrimi</w:t>
      </w:r>
      <w:r w:rsidRPr="00DE12A3">
        <w:rPr>
          <w:sz w:val="24"/>
          <w:szCs w:val="24"/>
        </w:rPr>
        <w:t xml:space="preserve"> tamamlandıktan hemen sonra, motor kapatılmalı ve kapalı motor ısı emilimi dönemi tamamlanmalıdır. Son ön koşullandırma </w:t>
      </w:r>
      <w:r w:rsidR="00F310B5" w:rsidRPr="00DE12A3">
        <w:rPr>
          <w:sz w:val="24"/>
          <w:szCs w:val="24"/>
        </w:rPr>
        <w:t>çevrimi</w:t>
      </w:r>
      <w:r w:rsidRPr="00DE12A3">
        <w:rPr>
          <w:sz w:val="24"/>
          <w:szCs w:val="24"/>
        </w:rPr>
        <w:t xml:space="preserve"> tamamlandıktan hemen sonra, motor kapatılmalı ve 7.3.1.2 bendinde açıklanan motor soğuması başlatılmalıdır.</w:t>
      </w:r>
    </w:p>
    <w:p w14:paraId="0CC68241" w14:textId="77777777" w:rsidR="002D7B36" w:rsidRPr="00DE12A3" w:rsidRDefault="00242DA0" w:rsidP="00E20716">
      <w:pPr>
        <w:pStyle w:val="Gvdemetni250"/>
        <w:numPr>
          <w:ilvl w:val="0"/>
          <w:numId w:val="148"/>
        </w:numPr>
        <w:tabs>
          <w:tab w:val="left" w:pos="993"/>
        </w:tabs>
        <w:spacing w:before="120" w:after="120" w:line="240" w:lineRule="auto"/>
        <w:ind w:left="1134" w:hanging="1134"/>
        <w:rPr>
          <w:sz w:val="24"/>
          <w:szCs w:val="24"/>
        </w:rPr>
      </w:pPr>
      <w:r w:rsidRPr="00DE12A3">
        <w:rPr>
          <w:sz w:val="24"/>
          <w:szCs w:val="24"/>
        </w:rPr>
        <w:t>NRTC'nin ön ısıtmalı uygulaması veya LSI-NRTC için ön koşullandırma</w:t>
      </w:r>
    </w:p>
    <w:p w14:paraId="367FBD13" w14:textId="251F768E" w:rsidR="002D7B36" w:rsidRPr="00DE12A3" w:rsidRDefault="00242DA0" w:rsidP="00C917D6">
      <w:pPr>
        <w:pStyle w:val="Gvdemetni250"/>
        <w:spacing w:before="120" w:after="120" w:line="240" w:lineRule="auto"/>
        <w:ind w:left="1134" w:firstLine="0"/>
        <w:rPr>
          <w:sz w:val="24"/>
          <w:szCs w:val="24"/>
        </w:rPr>
      </w:pPr>
      <w:r w:rsidRPr="00DE12A3">
        <w:rPr>
          <w:sz w:val="24"/>
          <w:szCs w:val="24"/>
          <w:lang w:val="en-US"/>
        </w:rPr>
        <w:t xml:space="preserve">Bu bentte, ön ısıtmalı NRTC’den yayılan emisyonların, NRTC ("soğuk çalıştırmalı NRTC") veya LSI-NRTC için soğuk çalıştırma uygulaması yürütülmeksizin örneklenmesi amaçlandığında uygulanan ön koşullandırma açıklanmaktadır. Motor, en az bir ön ısıtmalı NRTC veya varsa LSI-NRTC yürütülerek ön koşullandırılmalıdır. Her ön koşullandırma </w:t>
      </w:r>
      <w:r w:rsidR="00F310B5" w:rsidRPr="00DE12A3">
        <w:rPr>
          <w:sz w:val="24"/>
          <w:szCs w:val="24"/>
          <w:lang w:val="en-US"/>
        </w:rPr>
        <w:t>çevrimi</w:t>
      </w:r>
      <w:r w:rsidRPr="00DE12A3">
        <w:rPr>
          <w:sz w:val="24"/>
          <w:szCs w:val="24"/>
          <w:lang w:val="en-US"/>
        </w:rPr>
        <w:t xml:space="preserve"> tamamlandıktan hemen sonra, motor kapatılmalı </w:t>
      </w:r>
      <w:r w:rsidRPr="00DE12A3">
        <w:rPr>
          <w:sz w:val="24"/>
          <w:szCs w:val="24"/>
        </w:rPr>
        <w:t xml:space="preserve"> ve ardından en kısa sürede bir sonraki </w:t>
      </w:r>
      <w:r w:rsidR="00F310B5" w:rsidRPr="00DE12A3">
        <w:rPr>
          <w:sz w:val="24"/>
          <w:szCs w:val="24"/>
        </w:rPr>
        <w:t>çevrim</w:t>
      </w:r>
      <w:r w:rsidRPr="00DE12A3">
        <w:rPr>
          <w:sz w:val="24"/>
          <w:szCs w:val="24"/>
        </w:rPr>
        <w:t xml:space="preserve"> başlatılmalıdır.</w:t>
      </w:r>
    </w:p>
    <w:p w14:paraId="5D8543FD" w14:textId="77777777" w:rsidR="002D7B36" w:rsidRPr="00DE12A3" w:rsidRDefault="00242DA0" w:rsidP="00C917D6">
      <w:pPr>
        <w:pStyle w:val="Gvdemetni250"/>
        <w:spacing w:before="120" w:after="120" w:line="240" w:lineRule="auto"/>
        <w:ind w:left="1134" w:firstLine="0"/>
        <w:rPr>
          <w:sz w:val="24"/>
          <w:szCs w:val="24"/>
        </w:rPr>
      </w:pPr>
      <w:r w:rsidRPr="00DE12A3">
        <w:rPr>
          <w:sz w:val="24"/>
          <w:szCs w:val="24"/>
        </w:rPr>
        <w:t xml:space="preserve">Bir sonraki ön koşullandırma </w:t>
      </w:r>
      <w:r w:rsidR="007E2039" w:rsidRPr="00DE12A3">
        <w:rPr>
          <w:sz w:val="24"/>
          <w:szCs w:val="24"/>
        </w:rPr>
        <w:t>çevrimini</w:t>
      </w:r>
      <w:r w:rsidRPr="00DE12A3">
        <w:rPr>
          <w:sz w:val="24"/>
          <w:szCs w:val="24"/>
        </w:rPr>
        <w:t xml:space="preserve">n, son ön koşullandırma </w:t>
      </w:r>
      <w:r w:rsidR="00F310B5" w:rsidRPr="00DE12A3">
        <w:rPr>
          <w:sz w:val="24"/>
          <w:szCs w:val="24"/>
        </w:rPr>
        <w:t>çevrimi</w:t>
      </w:r>
      <w:r w:rsidRPr="00DE12A3">
        <w:rPr>
          <w:sz w:val="24"/>
          <w:szCs w:val="24"/>
        </w:rPr>
        <w:t xml:space="preserve"> tamamlandıktan sonra 60 saniye içinde başlatılması önerilir. Uygun olduğunda, son ön koşullandırma </w:t>
      </w:r>
      <w:r w:rsidR="007E2039" w:rsidRPr="00DE12A3">
        <w:rPr>
          <w:sz w:val="24"/>
          <w:szCs w:val="24"/>
        </w:rPr>
        <w:t>çevrimini</w:t>
      </w:r>
      <w:r w:rsidRPr="00DE12A3">
        <w:rPr>
          <w:sz w:val="24"/>
          <w:szCs w:val="24"/>
        </w:rPr>
        <w:t xml:space="preserve">n ardından, emisyon testi için motor çalıştırılmadan önce uygun ısı emilimi (sıcak çalıştırmalı NRTC) veya soğuma (LSI-NRTC) dönemi uygulanmalıdır. Hiçbir ısı emilimi veya soğuma dönemi uygulanmadığı durumlarda, son ön koşullandırma </w:t>
      </w:r>
      <w:r w:rsidR="00F310B5" w:rsidRPr="00DE12A3">
        <w:rPr>
          <w:sz w:val="24"/>
          <w:szCs w:val="24"/>
        </w:rPr>
        <w:t>çevrimi</w:t>
      </w:r>
      <w:r w:rsidRPr="00DE12A3">
        <w:rPr>
          <w:sz w:val="24"/>
          <w:szCs w:val="24"/>
        </w:rPr>
        <w:t xml:space="preserve"> tamamlandıktan sonra emisyon testinin 60 saniye içinde başlatılması önerilir.</w:t>
      </w:r>
    </w:p>
    <w:p w14:paraId="5C8E22B1" w14:textId="77777777" w:rsidR="002D7B36" w:rsidRPr="00DE12A3" w:rsidRDefault="00242DA0" w:rsidP="00E20716">
      <w:pPr>
        <w:pStyle w:val="Gvdemetni250"/>
        <w:numPr>
          <w:ilvl w:val="0"/>
          <w:numId w:val="148"/>
        </w:numPr>
        <w:spacing w:before="120" w:after="120" w:line="240" w:lineRule="auto"/>
        <w:ind w:left="1134" w:hanging="1134"/>
        <w:rPr>
          <w:sz w:val="24"/>
          <w:szCs w:val="24"/>
        </w:rPr>
      </w:pPr>
      <w:r w:rsidRPr="00DE12A3">
        <w:rPr>
          <w:sz w:val="24"/>
          <w:szCs w:val="24"/>
        </w:rPr>
        <w:t>Ayrık modlu NRSC için ön koşullandırma</w:t>
      </w:r>
    </w:p>
    <w:p w14:paraId="53D5BBB6" w14:textId="77777777" w:rsidR="002D7B36" w:rsidRPr="00DE12A3" w:rsidRDefault="00242DA0" w:rsidP="00C917D6">
      <w:pPr>
        <w:pStyle w:val="Gvdemetni250"/>
        <w:spacing w:before="120" w:after="120" w:line="240" w:lineRule="auto"/>
        <w:ind w:left="1134" w:firstLine="0"/>
        <w:rPr>
          <w:sz w:val="24"/>
          <w:szCs w:val="24"/>
        </w:rPr>
      </w:pPr>
      <w:r w:rsidRPr="00DE12A3">
        <w:rPr>
          <w:sz w:val="24"/>
          <w:szCs w:val="24"/>
        </w:rPr>
        <w:t xml:space="preserve">NRS ve NRSh dışındaki motor kategorileri için, motor ısıtılmalı ve D2, E2 veya G tipi dışındaki her ayrık modlu NRSC test </w:t>
      </w:r>
      <w:r w:rsidR="00F310B5" w:rsidRPr="00DE12A3">
        <w:rPr>
          <w:sz w:val="24"/>
          <w:szCs w:val="24"/>
        </w:rPr>
        <w:t>çevrimi</w:t>
      </w:r>
      <w:r w:rsidRPr="00DE12A3">
        <w:rPr>
          <w:sz w:val="24"/>
          <w:szCs w:val="24"/>
        </w:rPr>
        <w:t xml:space="preserve"> için motor sıcaklıkları (soğutma suyu ve motor yağı) %50 devir ve %50 torkta veya D2, E2 veya G tipi her ayrık modlu NRSC test </w:t>
      </w:r>
      <w:r w:rsidR="00F310B5" w:rsidRPr="00DE12A3">
        <w:rPr>
          <w:sz w:val="24"/>
          <w:szCs w:val="24"/>
        </w:rPr>
        <w:t>çevrimi</w:t>
      </w:r>
      <w:r w:rsidRPr="00DE12A3">
        <w:rPr>
          <w:sz w:val="24"/>
          <w:szCs w:val="24"/>
        </w:rPr>
        <w:t xml:space="preserve"> için nominal motor devri ve %50 torkta dengeleninceye kadar çalıştırılmalıdır. Test devirlerinin üretilmesi için MTS kullanılan bir motor durumunda %50 devir, 5.2.5.1 bendi uyarınca hesaplanmalı ve diğer tüm durumlarda 7.7.1.3 bendi uyarınca hesaplanmalıdır. %50 tork, bu devirde mevcut azami torkun %50'si olarak tanımlanır. Emisyon testi, motor durdurulmadan başlatılmalıdır.</w:t>
      </w:r>
    </w:p>
    <w:p w14:paraId="498F2609" w14:textId="77777777" w:rsidR="002D7B36" w:rsidRPr="00DE12A3" w:rsidRDefault="00242DA0" w:rsidP="00C917D6">
      <w:pPr>
        <w:pStyle w:val="Gvdemetni250"/>
        <w:spacing w:before="120" w:after="120" w:line="240" w:lineRule="auto"/>
        <w:ind w:left="1134" w:firstLine="0"/>
        <w:rPr>
          <w:sz w:val="24"/>
          <w:szCs w:val="24"/>
        </w:rPr>
      </w:pPr>
      <w:r w:rsidRPr="00DE12A3">
        <w:rPr>
          <w:sz w:val="24"/>
          <w:szCs w:val="24"/>
        </w:rPr>
        <w:t xml:space="preserve">NRS ve NRSh motor kategorileri için motor, imalatçının tavsiyesine ve iyi mühendislik kararına göre ısıtılmalıdır. Emisyon örneklemesi başlamadan önce, motor sıcaklıkları dengelenene kadar motor uygun test </w:t>
      </w:r>
      <w:r w:rsidR="007E2039" w:rsidRPr="00DE12A3">
        <w:rPr>
          <w:sz w:val="24"/>
          <w:szCs w:val="24"/>
        </w:rPr>
        <w:t>çevrimini</w:t>
      </w:r>
      <w:r w:rsidRPr="00DE12A3">
        <w:rPr>
          <w:sz w:val="24"/>
          <w:szCs w:val="24"/>
        </w:rPr>
        <w:t>n 1. modunda çalışmalıdır. Emisyon testi, motor durdurulmadan başlatılmalıdır.</w:t>
      </w:r>
    </w:p>
    <w:p w14:paraId="13B2F6D9" w14:textId="77777777" w:rsidR="002D7B36" w:rsidRPr="00DE12A3" w:rsidRDefault="00242DA0" w:rsidP="00E20716">
      <w:pPr>
        <w:pStyle w:val="Gvdemetni250"/>
        <w:numPr>
          <w:ilvl w:val="0"/>
          <w:numId w:val="148"/>
        </w:numPr>
        <w:spacing w:before="120" w:after="120" w:line="240" w:lineRule="auto"/>
        <w:ind w:left="1134" w:hanging="1134"/>
        <w:rPr>
          <w:sz w:val="24"/>
          <w:szCs w:val="24"/>
        </w:rPr>
      </w:pPr>
      <w:r w:rsidRPr="00DE12A3">
        <w:rPr>
          <w:sz w:val="24"/>
          <w:szCs w:val="24"/>
        </w:rPr>
        <w:t>RMC için ön koşullandırma</w:t>
      </w:r>
    </w:p>
    <w:p w14:paraId="53B4928F" w14:textId="77777777" w:rsidR="002D7B36" w:rsidRPr="00DE12A3" w:rsidRDefault="00242DA0" w:rsidP="00C917D6">
      <w:pPr>
        <w:pStyle w:val="Gvdemetni250"/>
        <w:spacing w:before="120" w:after="120" w:line="240" w:lineRule="auto"/>
        <w:ind w:left="1134" w:firstLine="0"/>
        <w:rPr>
          <w:sz w:val="24"/>
          <w:szCs w:val="24"/>
        </w:rPr>
      </w:pPr>
      <w:r w:rsidRPr="00DE12A3">
        <w:rPr>
          <w:sz w:val="24"/>
          <w:szCs w:val="24"/>
        </w:rPr>
        <w:t>Motor imalatçısı, aşağıdaki (a) veya (b) ön koşullandırma dizilerinden birini seçmelidir. Motor, seçilen diziye göre ön koşullandırılmalıdır.</w:t>
      </w:r>
    </w:p>
    <w:p w14:paraId="51676CD6" w14:textId="77777777" w:rsidR="002D7B36" w:rsidRPr="00DE12A3" w:rsidRDefault="00A05EEB" w:rsidP="00E20716">
      <w:pPr>
        <w:pStyle w:val="Gvdemetni250"/>
        <w:numPr>
          <w:ilvl w:val="0"/>
          <w:numId w:val="149"/>
        </w:numPr>
        <w:spacing w:before="120" w:after="120" w:line="240" w:lineRule="auto"/>
        <w:ind w:left="1701" w:hanging="567"/>
        <w:rPr>
          <w:sz w:val="24"/>
          <w:szCs w:val="24"/>
        </w:rPr>
      </w:pPr>
      <w:r w:rsidRPr="00DE12A3">
        <w:rPr>
          <w:sz w:val="24"/>
          <w:szCs w:val="24"/>
        </w:rPr>
        <w:lastRenderedPageBreak/>
        <w:t xml:space="preserve">    </w:t>
      </w:r>
      <w:r w:rsidR="00242DA0" w:rsidRPr="00DE12A3">
        <w:rPr>
          <w:sz w:val="24"/>
          <w:szCs w:val="24"/>
        </w:rPr>
        <w:t xml:space="preserve">Motor, test modlarının sayısına bağlı olarak, en azından RMC'nin ikinci yarısı yürütülerek ön koşullandırılmalıdır. </w:t>
      </w:r>
      <w:r w:rsidR="00F310B5" w:rsidRPr="00DE12A3">
        <w:rPr>
          <w:sz w:val="24"/>
          <w:szCs w:val="24"/>
        </w:rPr>
        <w:t>Çevrim</w:t>
      </w:r>
      <w:r w:rsidR="00242DA0" w:rsidRPr="00DE12A3">
        <w:rPr>
          <w:sz w:val="24"/>
          <w:szCs w:val="24"/>
        </w:rPr>
        <w:t xml:space="preserve">ler arasında motor kapatılmamalıdır. Her ön koşullandırma </w:t>
      </w:r>
      <w:r w:rsidR="00F310B5" w:rsidRPr="00DE12A3">
        <w:rPr>
          <w:sz w:val="24"/>
          <w:szCs w:val="24"/>
        </w:rPr>
        <w:t>çevrimi</w:t>
      </w:r>
      <w:r w:rsidR="00242DA0" w:rsidRPr="00DE12A3">
        <w:rPr>
          <w:sz w:val="24"/>
          <w:szCs w:val="24"/>
        </w:rPr>
        <w:t xml:space="preserve"> tamamlandıktan hemen sonra, en kısa sürede (emisyon testini içeren) bir sonraki </w:t>
      </w:r>
      <w:r w:rsidR="00F310B5" w:rsidRPr="00DE12A3">
        <w:rPr>
          <w:sz w:val="24"/>
          <w:szCs w:val="24"/>
        </w:rPr>
        <w:t>çevrim</w:t>
      </w:r>
      <w:r w:rsidR="00242DA0" w:rsidRPr="00DE12A3">
        <w:rPr>
          <w:sz w:val="24"/>
          <w:szCs w:val="24"/>
        </w:rPr>
        <w:t xml:space="preserve"> başlatılmalıdır. Mümkünse, bir sonraki </w:t>
      </w:r>
      <w:r w:rsidR="00F310B5" w:rsidRPr="00DE12A3">
        <w:rPr>
          <w:sz w:val="24"/>
          <w:szCs w:val="24"/>
        </w:rPr>
        <w:t>çevrimin</w:t>
      </w:r>
      <w:r w:rsidR="00242DA0" w:rsidRPr="00DE12A3">
        <w:rPr>
          <w:sz w:val="24"/>
          <w:szCs w:val="24"/>
        </w:rPr>
        <w:t xml:space="preserve">, son ön koşullandırma </w:t>
      </w:r>
      <w:r w:rsidR="00F310B5" w:rsidRPr="00DE12A3">
        <w:rPr>
          <w:sz w:val="24"/>
          <w:szCs w:val="24"/>
        </w:rPr>
        <w:t>çevrimi</w:t>
      </w:r>
      <w:r w:rsidR="00242DA0" w:rsidRPr="00DE12A3">
        <w:rPr>
          <w:sz w:val="24"/>
          <w:szCs w:val="24"/>
        </w:rPr>
        <w:t xml:space="preserve"> tamamladıktan sonra 60 saniye içinde başlatılması önerilir.</w:t>
      </w:r>
    </w:p>
    <w:p w14:paraId="07C7355F" w14:textId="77777777" w:rsidR="002D7B36" w:rsidRPr="00DE12A3" w:rsidRDefault="00242DA0" w:rsidP="00C917D6">
      <w:pPr>
        <w:pStyle w:val="Gvdemetni250"/>
        <w:shd w:val="clear" w:color="auto" w:fill="auto"/>
        <w:spacing w:before="120" w:after="120" w:line="240" w:lineRule="auto"/>
        <w:ind w:left="1701" w:hanging="567"/>
        <w:rPr>
          <w:sz w:val="24"/>
          <w:szCs w:val="24"/>
        </w:rPr>
      </w:pPr>
      <w:r w:rsidRPr="00DE12A3">
        <w:rPr>
          <w:sz w:val="24"/>
          <w:szCs w:val="24"/>
        </w:rPr>
        <w:t>(b)</w:t>
      </w:r>
      <w:r w:rsidR="00A05EEB" w:rsidRPr="00DE12A3">
        <w:rPr>
          <w:sz w:val="24"/>
          <w:szCs w:val="24"/>
        </w:rPr>
        <w:t xml:space="preserve">     </w:t>
      </w:r>
      <w:r w:rsidRPr="00DE12A3">
        <w:rPr>
          <w:sz w:val="24"/>
          <w:szCs w:val="24"/>
        </w:rPr>
        <w:t xml:space="preserve">Motor ısıtılmalı ve D2, E2 veya G tipi dışındaki her RMC test </w:t>
      </w:r>
      <w:r w:rsidR="00F310B5" w:rsidRPr="00DE12A3">
        <w:rPr>
          <w:sz w:val="24"/>
          <w:szCs w:val="24"/>
        </w:rPr>
        <w:t>çevrimi</w:t>
      </w:r>
      <w:r w:rsidRPr="00DE12A3">
        <w:rPr>
          <w:sz w:val="24"/>
          <w:szCs w:val="24"/>
        </w:rPr>
        <w:t xml:space="preserve"> için motor sıcaklıkları (soğutma suyu ve motor yağı) %50 devir ve %50 torkta veya D2, E2 veya G tipi her RMC test </w:t>
      </w:r>
      <w:r w:rsidR="00F310B5" w:rsidRPr="00DE12A3">
        <w:rPr>
          <w:sz w:val="24"/>
          <w:szCs w:val="24"/>
        </w:rPr>
        <w:t>çevrimi</w:t>
      </w:r>
      <w:r w:rsidRPr="00DE12A3">
        <w:rPr>
          <w:sz w:val="24"/>
          <w:szCs w:val="24"/>
        </w:rPr>
        <w:t xml:space="preserve"> için nominal motor devri ve %50 torkta dengeleninceye kadar çalıştırılmalıdır. Test devirlerinin üretilmesi için MTS kullanılan bir motor durumunda %50 devir, 5.2.5.1 bendi uyarınca hesaplanmalı ve diğer tüm durumlarda 7.7.1.3 bendi uyarınca hesaplanmalıdır. %50 tork, bu devirde mevcut azami torkun %50'si olarak tanımlanır.</w:t>
      </w:r>
    </w:p>
    <w:p w14:paraId="00573902" w14:textId="77777777" w:rsidR="002D7B36" w:rsidRPr="00DE12A3" w:rsidRDefault="00242DA0" w:rsidP="00E20716">
      <w:pPr>
        <w:pStyle w:val="Gvdemetni250"/>
        <w:numPr>
          <w:ilvl w:val="0"/>
          <w:numId w:val="147"/>
        </w:numPr>
        <w:spacing w:before="120" w:after="120" w:line="240" w:lineRule="auto"/>
        <w:ind w:left="1134" w:hanging="1134"/>
        <w:rPr>
          <w:sz w:val="24"/>
          <w:szCs w:val="24"/>
        </w:rPr>
      </w:pPr>
      <w:r w:rsidRPr="00DE12A3">
        <w:rPr>
          <w:sz w:val="24"/>
          <w:szCs w:val="24"/>
        </w:rPr>
        <w:t>Motor soğutma (NRTC)</w:t>
      </w:r>
    </w:p>
    <w:p w14:paraId="2D32BDBF" w14:textId="77777777" w:rsidR="002D7B36" w:rsidRPr="00DE12A3" w:rsidRDefault="00242DA0" w:rsidP="00C917D6">
      <w:pPr>
        <w:pStyle w:val="Gvdemetni250"/>
        <w:spacing w:before="120" w:after="120" w:line="240" w:lineRule="auto"/>
        <w:ind w:left="1134" w:firstLine="0"/>
        <w:rPr>
          <w:sz w:val="24"/>
          <w:szCs w:val="24"/>
        </w:rPr>
      </w:pPr>
      <w:r w:rsidRPr="00DE12A3">
        <w:rPr>
          <w:sz w:val="24"/>
          <w:szCs w:val="24"/>
        </w:rPr>
        <w:t xml:space="preserve">Doğal veya cebri soğutma prosedürü uygulanabilir. Cebri soğutma için, motor boyunca soğutma havası göndermeye, motor yağlama sistemi içinden soğuk yağ göndermeye, motordan soğutma sistemi içindeki soğutma suyundan ısı gidermeye ve bir egzoz </w:t>
      </w:r>
      <w:r w:rsidR="007E2039" w:rsidRPr="00DE12A3">
        <w:rPr>
          <w:sz w:val="24"/>
          <w:szCs w:val="24"/>
        </w:rPr>
        <w:t xml:space="preserve">arıtma </w:t>
      </w:r>
      <w:r w:rsidRPr="00DE12A3">
        <w:rPr>
          <w:sz w:val="24"/>
          <w:szCs w:val="24"/>
        </w:rPr>
        <w:t xml:space="preserve">sisteminden ısı gidermeye yönelik sistemlerin kurulması için iyi mühendislik kararı kullanılmalıdır. Bir cebri </w:t>
      </w:r>
      <w:r w:rsidR="007E2039" w:rsidRPr="00DE12A3">
        <w:rPr>
          <w:sz w:val="24"/>
          <w:szCs w:val="24"/>
        </w:rPr>
        <w:t xml:space="preserve">arıtma </w:t>
      </w:r>
      <w:r w:rsidRPr="00DE12A3">
        <w:rPr>
          <w:sz w:val="24"/>
          <w:szCs w:val="24"/>
        </w:rPr>
        <w:t xml:space="preserve">soğutması durumunda, egzoz </w:t>
      </w:r>
      <w:r w:rsidR="007E2039" w:rsidRPr="00DE12A3">
        <w:rPr>
          <w:sz w:val="24"/>
          <w:szCs w:val="24"/>
        </w:rPr>
        <w:t xml:space="preserve">arıtma </w:t>
      </w:r>
      <w:r w:rsidRPr="00DE12A3">
        <w:rPr>
          <w:sz w:val="24"/>
          <w:szCs w:val="24"/>
        </w:rPr>
        <w:t>sistemi katalitik devreye girme sıcaklığının altına soğutuluncaya kadar soğutma havası uygulanmaz. Temsil etmeyen emisyonlara yol açan herhangi bir soğutma prosedürüne izin verilmez.</w:t>
      </w:r>
    </w:p>
    <w:p w14:paraId="0EA60ED3" w14:textId="77777777" w:rsidR="002D7B36" w:rsidRPr="00DE12A3" w:rsidRDefault="00242DA0" w:rsidP="00E20716">
      <w:pPr>
        <w:pStyle w:val="Gvdemetni250"/>
        <w:numPr>
          <w:ilvl w:val="0"/>
          <w:numId w:val="147"/>
        </w:numPr>
        <w:spacing w:before="120" w:after="120" w:line="240" w:lineRule="auto"/>
        <w:ind w:left="1134" w:hanging="1134"/>
        <w:rPr>
          <w:sz w:val="24"/>
          <w:szCs w:val="24"/>
        </w:rPr>
      </w:pPr>
      <w:r w:rsidRPr="00DE12A3">
        <w:rPr>
          <w:sz w:val="24"/>
          <w:szCs w:val="24"/>
        </w:rPr>
        <w:t>HC kirliliğinin doğrulanması</w:t>
      </w:r>
    </w:p>
    <w:p w14:paraId="13936CA0" w14:textId="77777777" w:rsidR="002D7B36" w:rsidRPr="00DE12A3" w:rsidRDefault="00242DA0" w:rsidP="00C917D6">
      <w:pPr>
        <w:pStyle w:val="Gvdemetni250"/>
        <w:spacing w:before="120" w:after="120" w:line="240" w:lineRule="auto"/>
        <w:ind w:left="1134" w:firstLine="0"/>
        <w:rPr>
          <w:sz w:val="24"/>
          <w:szCs w:val="24"/>
        </w:rPr>
      </w:pPr>
      <w:r w:rsidRPr="00DE12A3">
        <w:rPr>
          <w:sz w:val="24"/>
          <w:szCs w:val="24"/>
        </w:rPr>
        <w:t xml:space="preserve">Egzoz gazı ölçüm sisteminde esaslı bir HC kirliliği olma olasılığı varsa, HC ile oluşan kirlilik sıfır gazla kontrol edilebilir ve daha sonra sorun düzeltilebilir. Ölçüm sistemi ve arka plan HC sistemindeki kirlilik miktarının kontrol edilmesi gerekiyorsa, bu işlem her test </w:t>
      </w:r>
      <w:r w:rsidR="00F310B5" w:rsidRPr="00DE12A3">
        <w:rPr>
          <w:sz w:val="24"/>
          <w:szCs w:val="24"/>
        </w:rPr>
        <w:t>çevrimi</w:t>
      </w:r>
      <w:r w:rsidRPr="00DE12A3">
        <w:rPr>
          <w:sz w:val="24"/>
          <w:szCs w:val="24"/>
        </w:rPr>
        <w:t xml:space="preserve"> başladıktan sonraki 8 saat içinde gerçekleştirilmelidir. Değerler daha sonra yapılacak düzeltme için kaydedilir. Bu kontrol öncesinde, sızıntı kontrolü yapılmalı ve FID analiz cihazı kalibre edilmelidir.</w:t>
      </w:r>
    </w:p>
    <w:p w14:paraId="19BB03E7" w14:textId="77777777" w:rsidR="002D7B36" w:rsidRPr="00DE12A3" w:rsidRDefault="00242DA0" w:rsidP="00E20716">
      <w:pPr>
        <w:pStyle w:val="Gvdemetni250"/>
        <w:numPr>
          <w:ilvl w:val="0"/>
          <w:numId w:val="147"/>
        </w:numPr>
        <w:spacing w:before="120" w:after="120" w:line="240" w:lineRule="auto"/>
        <w:ind w:left="1134" w:hanging="1134"/>
        <w:rPr>
          <w:sz w:val="24"/>
          <w:szCs w:val="24"/>
        </w:rPr>
      </w:pPr>
      <w:r w:rsidRPr="00DE12A3">
        <w:rPr>
          <w:sz w:val="24"/>
          <w:szCs w:val="24"/>
        </w:rPr>
        <w:t>Örnekleme için ölçüm ekipmanlarının hazırlanması</w:t>
      </w:r>
    </w:p>
    <w:p w14:paraId="36917D3A" w14:textId="77777777" w:rsidR="002D7B36" w:rsidRPr="00DE12A3" w:rsidRDefault="00242DA0" w:rsidP="00C917D6">
      <w:pPr>
        <w:pStyle w:val="Gvdemetni250"/>
        <w:spacing w:before="120" w:after="120" w:line="240" w:lineRule="auto"/>
        <w:ind w:left="1134" w:firstLine="0"/>
        <w:rPr>
          <w:sz w:val="24"/>
          <w:szCs w:val="24"/>
        </w:rPr>
      </w:pPr>
      <w:r w:rsidRPr="00DE12A3">
        <w:rPr>
          <w:sz w:val="24"/>
          <w:szCs w:val="24"/>
        </w:rPr>
        <w:t>Emisyon örneklemesi başlamadan önce aşağıdaki adımlar atılmalıdır:</w:t>
      </w:r>
    </w:p>
    <w:p w14:paraId="067DD86A" w14:textId="4313F370" w:rsidR="002D7B36" w:rsidRPr="00DE12A3" w:rsidRDefault="00A05EEB" w:rsidP="00E20716">
      <w:pPr>
        <w:pStyle w:val="Gvdemetni250"/>
        <w:numPr>
          <w:ilvl w:val="0"/>
          <w:numId w:val="150"/>
        </w:numPr>
        <w:spacing w:before="120" w:after="120" w:line="240" w:lineRule="auto"/>
        <w:ind w:left="1701" w:hanging="567"/>
        <w:rPr>
          <w:sz w:val="24"/>
          <w:szCs w:val="24"/>
        </w:rPr>
      </w:pPr>
      <w:r w:rsidRPr="00DE12A3">
        <w:rPr>
          <w:sz w:val="24"/>
          <w:szCs w:val="24"/>
        </w:rPr>
        <w:t xml:space="preserve">     </w:t>
      </w:r>
      <w:r w:rsidR="00242DA0" w:rsidRPr="00DE12A3">
        <w:rPr>
          <w:sz w:val="24"/>
          <w:szCs w:val="24"/>
        </w:rPr>
        <w:t>8.1.8.7 bendi uyarınca emisyon örneklemesinden önceki 8 saat içinde sızıntı kontrolleri yapılmalıdır</w:t>
      </w:r>
      <w:r w:rsidR="00FE6D8D" w:rsidRPr="00DE12A3">
        <w:rPr>
          <w:sz w:val="24"/>
          <w:szCs w:val="24"/>
        </w:rPr>
        <w:t>.</w:t>
      </w:r>
    </w:p>
    <w:p w14:paraId="24E412C8" w14:textId="6F6EDEF6" w:rsidR="002D7B36" w:rsidRPr="00DE12A3" w:rsidRDefault="00242DA0" w:rsidP="00E20716">
      <w:pPr>
        <w:pStyle w:val="Gvdemetni250"/>
        <w:numPr>
          <w:ilvl w:val="0"/>
          <w:numId w:val="150"/>
        </w:numPr>
        <w:spacing w:before="120" w:after="120" w:line="240" w:lineRule="auto"/>
        <w:ind w:left="1701" w:hanging="567"/>
        <w:rPr>
          <w:sz w:val="24"/>
          <w:szCs w:val="24"/>
        </w:rPr>
      </w:pPr>
      <w:r w:rsidRPr="00DE12A3">
        <w:rPr>
          <w:sz w:val="24"/>
          <w:szCs w:val="24"/>
        </w:rPr>
        <w:t>Toplu örnekleme için, boşaltılmış torbalar veya dara ağırlığı ölçülmüş filtreler gibi temiz depolama araçları bağlanmalıdır</w:t>
      </w:r>
      <w:r w:rsidR="00FE6D8D" w:rsidRPr="00DE12A3">
        <w:rPr>
          <w:sz w:val="24"/>
          <w:szCs w:val="24"/>
        </w:rPr>
        <w:t>.</w:t>
      </w:r>
    </w:p>
    <w:p w14:paraId="5CB145F1" w14:textId="0B6C63F4" w:rsidR="002D7B36" w:rsidRPr="00DE12A3" w:rsidRDefault="00A05EEB" w:rsidP="00E20716">
      <w:pPr>
        <w:pStyle w:val="Gvdemetni250"/>
        <w:numPr>
          <w:ilvl w:val="0"/>
          <w:numId w:val="150"/>
        </w:numPr>
        <w:tabs>
          <w:tab w:val="left" w:pos="851"/>
        </w:tabs>
        <w:spacing w:before="120" w:after="120" w:line="240" w:lineRule="auto"/>
        <w:ind w:left="1701" w:hanging="567"/>
        <w:rPr>
          <w:sz w:val="24"/>
          <w:szCs w:val="24"/>
        </w:rPr>
      </w:pPr>
      <w:r w:rsidRPr="00DE12A3">
        <w:rPr>
          <w:sz w:val="24"/>
          <w:szCs w:val="24"/>
        </w:rPr>
        <w:t xml:space="preserve">     </w:t>
      </w:r>
      <w:r w:rsidR="00242DA0" w:rsidRPr="00DE12A3">
        <w:rPr>
          <w:sz w:val="24"/>
          <w:szCs w:val="24"/>
        </w:rPr>
        <w:t>Tüm ölçüm cihazları, cihaz imalatçısınn talimatları ve iyi mühendislik kararı uyarınca çalıştırılmalıdır</w:t>
      </w:r>
      <w:r w:rsidR="00FE6D8D" w:rsidRPr="00DE12A3">
        <w:rPr>
          <w:sz w:val="24"/>
          <w:szCs w:val="24"/>
        </w:rPr>
        <w:t>.</w:t>
      </w:r>
    </w:p>
    <w:p w14:paraId="17D50CBD" w14:textId="5843405C" w:rsidR="002D7B36" w:rsidRPr="00DE12A3" w:rsidRDefault="00242DA0" w:rsidP="00E20716">
      <w:pPr>
        <w:pStyle w:val="Gvdemetni250"/>
        <w:numPr>
          <w:ilvl w:val="0"/>
          <w:numId w:val="150"/>
        </w:numPr>
        <w:spacing w:before="120" w:after="120" w:line="240" w:lineRule="auto"/>
        <w:ind w:left="1701" w:hanging="567"/>
        <w:rPr>
          <w:sz w:val="24"/>
          <w:szCs w:val="24"/>
        </w:rPr>
      </w:pPr>
      <w:r w:rsidRPr="00DE12A3">
        <w:rPr>
          <w:sz w:val="24"/>
          <w:szCs w:val="24"/>
        </w:rPr>
        <w:t>Seyreltme sistemleri, numune pompaları, soğutma fanları ve veri toplama sistemi çalıştırılmalıdır</w:t>
      </w:r>
      <w:r w:rsidR="00FE6D8D" w:rsidRPr="00DE12A3">
        <w:rPr>
          <w:sz w:val="24"/>
          <w:szCs w:val="24"/>
        </w:rPr>
        <w:t>.</w:t>
      </w:r>
    </w:p>
    <w:p w14:paraId="63566E7F" w14:textId="2708F685" w:rsidR="002D7B36" w:rsidRPr="00DE12A3" w:rsidRDefault="00A05EEB" w:rsidP="00E20716">
      <w:pPr>
        <w:pStyle w:val="Gvdemetni250"/>
        <w:numPr>
          <w:ilvl w:val="0"/>
          <w:numId w:val="150"/>
        </w:numPr>
        <w:spacing w:before="120" w:after="120" w:line="240" w:lineRule="auto"/>
        <w:ind w:left="1701" w:hanging="567"/>
        <w:rPr>
          <w:sz w:val="24"/>
          <w:szCs w:val="24"/>
        </w:rPr>
      </w:pPr>
      <w:r w:rsidRPr="00DE12A3">
        <w:rPr>
          <w:sz w:val="24"/>
          <w:szCs w:val="24"/>
        </w:rPr>
        <w:t xml:space="preserve">     </w:t>
      </w:r>
      <w:r w:rsidR="00242DA0" w:rsidRPr="00DE12A3">
        <w:rPr>
          <w:sz w:val="24"/>
          <w:szCs w:val="24"/>
        </w:rPr>
        <w:t>Numune akış oranları, istenirse bypass akışı kullanılarak istenen seviyelere ayarlanmalıdır</w:t>
      </w:r>
      <w:r w:rsidR="00FE6D8D" w:rsidRPr="00DE12A3">
        <w:rPr>
          <w:sz w:val="24"/>
          <w:szCs w:val="24"/>
        </w:rPr>
        <w:t>.</w:t>
      </w:r>
    </w:p>
    <w:p w14:paraId="05D9F50D" w14:textId="1DE611C7" w:rsidR="002D7B36" w:rsidRPr="00DE12A3" w:rsidRDefault="00A05EEB" w:rsidP="00E20716">
      <w:pPr>
        <w:pStyle w:val="Gvdemetni250"/>
        <w:numPr>
          <w:ilvl w:val="0"/>
          <w:numId w:val="150"/>
        </w:numPr>
        <w:spacing w:before="120" w:after="120" w:line="240" w:lineRule="auto"/>
        <w:ind w:left="1701" w:hanging="567"/>
        <w:rPr>
          <w:sz w:val="24"/>
          <w:szCs w:val="24"/>
        </w:rPr>
      </w:pPr>
      <w:r w:rsidRPr="00DE12A3">
        <w:rPr>
          <w:sz w:val="24"/>
          <w:szCs w:val="24"/>
        </w:rPr>
        <w:t xml:space="preserve">     </w:t>
      </w:r>
      <w:r w:rsidR="00242DA0" w:rsidRPr="00DE12A3">
        <w:rPr>
          <w:sz w:val="24"/>
          <w:szCs w:val="24"/>
        </w:rPr>
        <w:t>Örnekleme sistemindeki ısı eşanjörleri, bir test için çalışma sıcaklığı aralıklarına önceden ısıtılmalı veya önceden soğutulmalıdır</w:t>
      </w:r>
      <w:r w:rsidR="00FE6D8D" w:rsidRPr="00DE12A3">
        <w:rPr>
          <w:sz w:val="24"/>
          <w:szCs w:val="24"/>
        </w:rPr>
        <w:t>.</w:t>
      </w:r>
    </w:p>
    <w:p w14:paraId="159AB151" w14:textId="1E44C162" w:rsidR="002D7B36" w:rsidRPr="00DE12A3" w:rsidRDefault="00242DA0" w:rsidP="00E20716">
      <w:pPr>
        <w:pStyle w:val="Gvdemetni250"/>
        <w:numPr>
          <w:ilvl w:val="0"/>
          <w:numId w:val="150"/>
        </w:numPr>
        <w:spacing w:before="120" w:after="120" w:line="240" w:lineRule="auto"/>
        <w:ind w:left="1701" w:hanging="567"/>
        <w:rPr>
          <w:sz w:val="24"/>
          <w:szCs w:val="24"/>
        </w:rPr>
      </w:pPr>
      <w:r w:rsidRPr="00DE12A3">
        <w:rPr>
          <w:sz w:val="24"/>
          <w:szCs w:val="24"/>
        </w:rPr>
        <w:t xml:space="preserve">Numune hatları, filtreler, soğutucular ve pompalar gibi ısıtılmış veya </w:t>
      </w:r>
      <w:r w:rsidRPr="00DE12A3">
        <w:rPr>
          <w:sz w:val="24"/>
          <w:szCs w:val="24"/>
        </w:rPr>
        <w:lastRenderedPageBreak/>
        <w:t>soğutulmuş bileşenlerin çalışma sıcaklıklarında dengelenmesine izin verilmelidir</w:t>
      </w:r>
      <w:r w:rsidR="00FE6D8D" w:rsidRPr="00DE12A3">
        <w:rPr>
          <w:sz w:val="24"/>
          <w:szCs w:val="24"/>
        </w:rPr>
        <w:t>.</w:t>
      </w:r>
    </w:p>
    <w:p w14:paraId="6A912FBD" w14:textId="4EBB8805" w:rsidR="002D7B36" w:rsidRPr="00DE12A3" w:rsidRDefault="00242DA0" w:rsidP="00E20716">
      <w:pPr>
        <w:pStyle w:val="Gvdemetni250"/>
        <w:numPr>
          <w:ilvl w:val="0"/>
          <w:numId w:val="150"/>
        </w:numPr>
        <w:spacing w:before="120" w:after="120" w:line="240" w:lineRule="auto"/>
        <w:ind w:left="1701" w:hanging="567"/>
        <w:rPr>
          <w:sz w:val="24"/>
          <w:szCs w:val="24"/>
        </w:rPr>
      </w:pPr>
      <w:r w:rsidRPr="00DE12A3">
        <w:rPr>
          <w:sz w:val="24"/>
          <w:szCs w:val="24"/>
        </w:rPr>
        <w:t>Egzoz gazı seyreltme sistemi akışı, bir test dizisinden en az 10 dakika önce açılmalıdır</w:t>
      </w:r>
      <w:r w:rsidR="00FE6D8D" w:rsidRPr="00DE12A3">
        <w:rPr>
          <w:sz w:val="24"/>
          <w:szCs w:val="24"/>
        </w:rPr>
        <w:t>.</w:t>
      </w:r>
    </w:p>
    <w:p w14:paraId="5EE15228" w14:textId="0B5E033C" w:rsidR="002D7B36" w:rsidRPr="00DE12A3" w:rsidRDefault="00A05EEB" w:rsidP="00E20716">
      <w:pPr>
        <w:pStyle w:val="Gvdemetni250"/>
        <w:numPr>
          <w:ilvl w:val="0"/>
          <w:numId w:val="150"/>
        </w:numPr>
        <w:spacing w:before="120" w:after="120" w:line="240" w:lineRule="auto"/>
        <w:ind w:left="1701" w:hanging="567"/>
        <w:rPr>
          <w:sz w:val="24"/>
          <w:szCs w:val="24"/>
        </w:rPr>
      </w:pPr>
      <w:r w:rsidRPr="00DE12A3">
        <w:rPr>
          <w:sz w:val="24"/>
          <w:szCs w:val="24"/>
        </w:rPr>
        <w:t xml:space="preserve">      </w:t>
      </w:r>
      <w:r w:rsidR="00242DA0" w:rsidRPr="00DE12A3">
        <w:rPr>
          <w:sz w:val="24"/>
          <w:szCs w:val="24"/>
        </w:rPr>
        <w:t>Gaz analiz cihazlarının kalibrasyonu ve sürekli analiz cihazlarının sıfırlanması, 7.3.1.5 bendindeki prosedür uyarınca yapılmalıdır</w:t>
      </w:r>
      <w:r w:rsidR="00FE6D8D" w:rsidRPr="00DE12A3">
        <w:rPr>
          <w:sz w:val="24"/>
          <w:szCs w:val="24"/>
        </w:rPr>
        <w:t>.</w:t>
      </w:r>
    </w:p>
    <w:p w14:paraId="0519A2F9" w14:textId="77777777" w:rsidR="002D7B36" w:rsidRPr="00DE12A3" w:rsidRDefault="00A05EEB" w:rsidP="00E20716">
      <w:pPr>
        <w:pStyle w:val="Gvdemetni250"/>
        <w:numPr>
          <w:ilvl w:val="0"/>
          <w:numId w:val="150"/>
        </w:numPr>
        <w:spacing w:before="120" w:after="120" w:line="240" w:lineRule="auto"/>
        <w:ind w:left="1701" w:hanging="567"/>
        <w:rPr>
          <w:sz w:val="24"/>
          <w:szCs w:val="24"/>
        </w:rPr>
      </w:pPr>
      <w:r w:rsidRPr="00DE12A3">
        <w:rPr>
          <w:sz w:val="24"/>
          <w:szCs w:val="24"/>
        </w:rPr>
        <w:t xml:space="preserve">     </w:t>
      </w:r>
      <w:r w:rsidR="00242DA0" w:rsidRPr="00DE12A3">
        <w:rPr>
          <w:sz w:val="24"/>
          <w:szCs w:val="24"/>
        </w:rPr>
        <w:t>Tüm elektronik entegrasyon cihazları, her test aralığı başlamadan önce sıfırlanmalı veya yeniden sıfırlanmalıdır.</w:t>
      </w:r>
    </w:p>
    <w:p w14:paraId="438DE726" w14:textId="77777777" w:rsidR="002D7B36" w:rsidRPr="00DE12A3" w:rsidRDefault="00242DA0" w:rsidP="00E20716">
      <w:pPr>
        <w:pStyle w:val="Gvdemetni250"/>
        <w:numPr>
          <w:ilvl w:val="0"/>
          <w:numId w:val="147"/>
        </w:numPr>
        <w:spacing w:before="120" w:after="120" w:line="240" w:lineRule="auto"/>
        <w:ind w:left="1134" w:hanging="1134"/>
        <w:rPr>
          <w:sz w:val="24"/>
          <w:szCs w:val="24"/>
        </w:rPr>
      </w:pPr>
      <w:r w:rsidRPr="00DE12A3">
        <w:rPr>
          <w:sz w:val="24"/>
          <w:szCs w:val="24"/>
        </w:rPr>
        <w:t>Gaz analiz cihazlarının kalibrasyonu</w:t>
      </w:r>
    </w:p>
    <w:p w14:paraId="35E97B97" w14:textId="77777777" w:rsidR="002D7B36" w:rsidRPr="00DE12A3" w:rsidRDefault="00242DA0" w:rsidP="00C917D6">
      <w:pPr>
        <w:pStyle w:val="Gvdemetni250"/>
        <w:spacing w:before="120" w:after="120" w:line="240" w:lineRule="auto"/>
        <w:ind w:left="1134" w:firstLine="0"/>
        <w:rPr>
          <w:sz w:val="24"/>
          <w:szCs w:val="24"/>
        </w:rPr>
      </w:pPr>
      <w:r w:rsidRPr="00DE12A3">
        <w:rPr>
          <w:sz w:val="24"/>
          <w:szCs w:val="24"/>
        </w:rPr>
        <w:t>Uygun gaz analiz cihazı tipleri seçilmelidir. Otomatik veya manuel tip anahtarlı emisyon analiz cihazları kullanılabilir.</w:t>
      </w:r>
    </w:p>
    <w:p w14:paraId="59372114" w14:textId="34917826" w:rsidR="002D7B36" w:rsidRPr="00DE12A3" w:rsidRDefault="00586567" w:rsidP="00C917D6">
      <w:pPr>
        <w:pStyle w:val="Gvdemetni250"/>
        <w:spacing w:before="120" w:after="120" w:line="240" w:lineRule="auto"/>
        <w:ind w:left="1134" w:firstLine="0"/>
        <w:rPr>
          <w:sz w:val="24"/>
          <w:szCs w:val="24"/>
        </w:rPr>
      </w:pPr>
      <w:r w:rsidRPr="00DE12A3">
        <w:rPr>
          <w:sz w:val="24"/>
          <w:szCs w:val="24"/>
        </w:rPr>
        <w:t>Süreksiz (</w:t>
      </w:r>
      <w:r w:rsidR="00242DA0" w:rsidRPr="00DE12A3">
        <w:rPr>
          <w:sz w:val="24"/>
          <w:szCs w:val="24"/>
        </w:rPr>
        <w:t xml:space="preserve">NRTC veya LSI-NRTC) test </w:t>
      </w:r>
      <w:r w:rsidR="00951351" w:rsidRPr="00DE12A3">
        <w:rPr>
          <w:sz w:val="24"/>
          <w:szCs w:val="24"/>
        </w:rPr>
        <w:t>çevrimleri</w:t>
      </w:r>
      <w:r w:rsidR="00242DA0" w:rsidRPr="00DE12A3">
        <w:rPr>
          <w:sz w:val="24"/>
          <w:szCs w:val="24"/>
        </w:rPr>
        <w:t xml:space="preserve"> veya RMC kullanan bir test sırasında ve ayrık modlu NRSC testi için her modun sonunda bir gaz emisyonu örnekleme dönemi boyunca, emisyon analiz cihazlarının aralığı değiştirilmemelidir. Ayrıca bir analiz cihazının analog çalışma amplifikatörlerinin kazançları, bir test </w:t>
      </w:r>
      <w:r w:rsidR="00F310B5" w:rsidRPr="00DE12A3">
        <w:rPr>
          <w:sz w:val="24"/>
          <w:szCs w:val="24"/>
        </w:rPr>
        <w:t>çevrimi</w:t>
      </w:r>
      <w:r w:rsidR="00242DA0" w:rsidRPr="00DE12A3">
        <w:rPr>
          <w:sz w:val="24"/>
          <w:szCs w:val="24"/>
        </w:rPr>
        <w:t xml:space="preserve"> boyunca değiştirilmemelidir.</w:t>
      </w:r>
    </w:p>
    <w:p w14:paraId="32FCD236" w14:textId="77777777" w:rsidR="002D7B36" w:rsidRPr="00DE12A3" w:rsidRDefault="00242DA0" w:rsidP="00C917D6">
      <w:pPr>
        <w:pStyle w:val="Gvdemetni250"/>
        <w:spacing w:before="120" w:after="120" w:line="240" w:lineRule="auto"/>
        <w:ind w:left="1134" w:firstLine="0"/>
        <w:rPr>
          <w:sz w:val="24"/>
          <w:szCs w:val="24"/>
        </w:rPr>
      </w:pPr>
      <w:r w:rsidRPr="00DE12A3">
        <w:rPr>
          <w:sz w:val="24"/>
          <w:szCs w:val="24"/>
        </w:rPr>
        <w:t>Tüm sürekli analiz cihazları sıfırlanmalı ve 9.5.1 bendindeki özellikleri sağlayan uluslararası düzeyde takip edilebilir gazlar kullanılarak bağlanmalıdır. FID analiz cihazları, bir karbon sayısı bazında (C1) bağlanmalıdır.</w:t>
      </w:r>
    </w:p>
    <w:p w14:paraId="28192235" w14:textId="77777777" w:rsidR="002D7B36" w:rsidRPr="00DE12A3" w:rsidRDefault="00242DA0" w:rsidP="00E20716">
      <w:pPr>
        <w:pStyle w:val="Gvdemetni250"/>
        <w:numPr>
          <w:ilvl w:val="0"/>
          <w:numId w:val="147"/>
        </w:numPr>
        <w:spacing w:before="120" w:after="120" w:line="240" w:lineRule="auto"/>
        <w:ind w:left="1134" w:hanging="1134"/>
        <w:rPr>
          <w:sz w:val="24"/>
          <w:szCs w:val="24"/>
        </w:rPr>
      </w:pPr>
      <w:r w:rsidRPr="00DE12A3">
        <w:rPr>
          <w:sz w:val="24"/>
          <w:szCs w:val="24"/>
        </w:rPr>
        <w:t>PM filtresi ön koşullandırması ve dara ağırlığı ölçümü</w:t>
      </w:r>
    </w:p>
    <w:p w14:paraId="674214C2" w14:textId="77777777" w:rsidR="002D7B36" w:rsidRPr="00DE12A3" w:rsidRDefault="00242DA0" w:rsidP="00C917D6">
      <w:pPr>
        <w:pStyle w:val="Gvdemetni250"/>
        <w:spacing w:before="120" w:after="120" w:line="240" w:lineRule="auto"/>
        <w:ind w:left="1134" w:firstLine="0"/>
        <w:rPr>
          <w:sz w:val="24"/>
          <w:szCs w:val="24"/>
        </w:rPr>
      </w:pPr>
      <w:r w:rsidRPr="00DE12A3">
        <w:rPr>
          <w:sz w:val="24"/>
          <w:szCs w:val="24"/>
        </w:rPr>
        <w:t>PM filtresi ön koşullandırılması ve dara ağırlığı ölçümüne ilişkin prosedürler 8.2.3 bendi uyarınca gerçekleştirilmelidir.</w:t>
      </w:r>
    </w:p>
    <w:p w14:paraId="6D233795" w14:textId="77777777" w:rsidR="002D7B36" w:rsidRPr="00DE12A3" w:rsidRDefault="00242DA0" w:rsidP="00E20716">
      <w:pPr>
        <w:pStyle w:val="Gvdemetni250"/>
        <w:numPr>
          <w:ilvl w:val="0"/>
          <w:numId w:val="146"/>
        </w:numPr>
        <w:spacing w:before="120" w:after="120" w:line="240" w:lineRule="auto"/>
        <w:ind w:left="1134" w:hanging="1134"/>
        <w:rPr>
          <w:sz w:val="24"/>
          <w:szCs w:val="24"/>
        </w:rPr>
      </w:pPr>
      <w:r w:rsidRPr="00DE12A3">
        <w:rPr>
          <w:sz w:val="24"/>
          <w:szCs w:val="24"/>
        </w:rPr>
        <w:t>Test sonrası prosedürler</w:t>
      </w:r>
    </w:p>
    <w:p w14:paraId="7B18388D" w14:textId="77777777" w:rsidR="002D7B36" w:rsidRPr="00DE12A3" w:rsidRDefault="00242DA0" w:rsidP="00C917D6">
      <w:pPr>
        <w:pStyle w:val="Gvdemetni250"/>
        <w:spacing w:before="120" w:after="120" w:line="240" w:lineRule="auto"/>
        <w:ind w:left="1134" w:firstLine="0"/>
        <w:rPr>
          <w:sz w:val="24"/>
          <w:szCs w:val="24"/>
        </w:rPr>
      </w:pPr>
      <w:r w:rsidRPr="00DE12A3">
        <w:rPr>
          <w:sz w:val="24"/>
          <w:szCs w:val="24"/>
        </w:rPr>
        <w:t>Emisyon örneklemesi tamamlandıktan sonra aşağıdaki adımlar uygulanmalıdır:</w:t>
      </w:r>
    </w:p>
    <w:p w14:paraId="6B3E68F0" w14:textId="77777777" w:rsidR="002D7B36" w:rsidRPr="00DE12A3" w:rsidRDefault="00242DA0" w:rsidP="00E20716">
      <w:pPr>
        <w:pStyle w:val="Gvdemetni250"/>
        <w:numPr>
          <w:ilvl w:val="0"/>
          <w:numId w:val="151"/>
        </w:numPr>
        <w:spacing w:before="120" w:after="120" w:line="240" w:lineRule="auto"/>
        <w:ind w:left="1134" w:hanging="1134"/>
        <w:rPr>
          <w:sz w:val="24"/>
          <w:szCs w:val="24"/>
        </w:rPr>
      </w:pPr>
      <w:r w:rsidRPr="00DE12A3">
        <w:rPr>
          <w:sz w:val="24"/>
          <w:szCs w:val="24"/>
        </w:rPr>
        <w:t>Orantılı örneklemenin doğrulanması</w:t>
      </w:r>
    </w:p>
    <w:p w14:paraId="544CB8CC" w14:textId="77777777" w:rsidR="002D7B36" w:rsidRPr="00DE12A3" w:rsidRDefault="00242DA0" w:rsidP="00C917D6">
      <w:pPr>
        <w:pStyle w:val="Gvdemetni250"/>
        <w:spacing w:before="120" w:after="120" w:line="240" w:lineRule="auto"/>
        <w:ind w:left="1134" w:firstLine="0"/>
        <w:rPr>
          <w:sz w:val="24"/>
          <w:szCs w:val="24"/>
        </w:rPr>
      </w:pPr>
      <w:r w:rsidRPr="00DE12A3">
        <w:rPr>
          <w:sz w:val="24"/>
          <w:szCs w:val="24"/>
        </w:rPr>
        <w:t xml:space="preserve">Torba numunesi veya PM numunesi gibi herhangi bir orantılı toplu numune için, orantılı örneklemenin 8.2.1 bendine göre yapıldığı doğrulanmalıdır. Tek filtre yöntemi ve ayrık </w:t>
      </w:r>
      <w:r w:rsidR="00951351" w:rsidRPr="00DE12A3">
        <w:rPr>
          <w:sz w:val="24"/>
          <w:szCs w:val="24"/>
        </w:rPr>
        <w:t xml:space="preserve">  kararlı durum test</w:t>
      </w:r>
      <w:r w:rsidRPr="00DE12A3">
        <w:rPr>
          <w:sz w:val="24"/>
          <w:szCs w:val="24"/>
        </w:rPr>
        <w:t xml:space="preserve"> </w:t>
      </w:r>
      <w:r w:rsidR="00F310B5" w:rsidRPr="00DE12A3">
        <w:rPr>
          <w:sz w:val="24"/>
          <w:szCs w:val="24"/>
        </w:rPr>
        <w:t>çevrimi</w:t>
      </w:r>
      <w:r w:rsidRPr="00DE12A3">
        <w:rPr>
          <w:sz w:val="24"/>
          <w:szCs w:val="24"/>
        </w:rPr>
        <w:t xml:space="preserve"> için, geçerli PM ağırlıklandırma faktörü hesaplanmalıdır. 8.2.1 bendindeki </w:t>
      </w:r>
      <w:r w:rsidR="0053289F" w:rsidRPr="00DE12A3">
        <w:rPr>
          <w:sz w:val="24"/>
          <w:szCs w:val="24"/>
        </w:rPr>
        <w:t>gereklilikleri</w:t>
      </w:r>
      <w:r w:rsidRPr="00DE12A3">
        <w:rPr>
          <w:sz w:val="24"/>
          <w:szCs w:val="24"/>
        </w:rPr>
        <w:t xml:space="preserve"> sağlamayan numuneler geçersiz sayılır.</w:t>
      </w:r>
    </w:p>
    <w:p w14:paraId="1E5A3C75" w14:textId="77777777" w:rsidR="002D7B36" w:rsidRPr="00DE12A3" w:rsidRDefault="00242DA0" w:rsidP="00E20716">
      <w:pPr>
        <w:pStyle w:val="Gvdemetni250"/>
        <w:numPr>
          <w:ilvl w:val="0"/>
          <w:numId w:val="151"/>
        </w:numPr>
        <w:spacing w:before="120" w:after="120" w:line="240" w:lineRule="auto"/>
        <w:ind w:left="1134" w:hanging="1134"/>
        <w:rPr>
          <w:sz w:val="24"/>
          <w:szCs w:val="24"/>
        </w:rPr>
      </w:pPr>
      <w:r w:rsidRPr="00DE12A3">
        <w:rPr>
          <w:sz w:val="24"/>
          <w:szCs w:val="24"/>
        </w:rPr>
        <w:t>Test sonrası PM koşullandırma ve tartma</w:t>
      </w:r>
    </w:p>
    <w:p w14:paraId="06CE1FE3" w14:textId="77777777" w:rsidR="002D7B36" w:rsidRPr="00DE12A3" w:rsidRDefault="00242DA0" w:rsidP="00C917D6">
      <w:pPr>
        <w:pStyle w:val="Gvdemetni250"/>
        <w:spacing w:before="120" w:after="120" w:line="240" w:lineRule="auto"/>
        <w:ind w:left="1134" w:firstLine="0"/>
        <w:rPr>
          <w:sz w:val="24"/>
          <w:szCs w:val="24"/>
        </w:rPr>
      </w:pPr>
      <w:r w:rsidRPr="00DE12A3">
        <w:rPr>
          <w:sz w:val="24"/>
          <w:szCs w:val="24"/>
        </w:rPr>
        <w:t>Kullanılmış PM numunesi filtreleri, kapalı veya sızdırmaz kaplara koyulmalı veya numune filtrelerini ortam kirliliğine karşı korumak için filtre tutucular kapatılmalıdır. Böylece korunan yüklü filtreler, PM-filtresi koşullandırma bölmesine veya odasına geri götürülmelidir. Daha sonra PM numunesi filtreleri, 8.2.4 (PM filtresi son koşullandırma ve toplam tartım prosedürleri) bendine göre uygun şekilde koşullandırılmalı ve tartılmalıdır.</w:t>
      </w:r>
    </w:p>
    <w:p w14:paraId="2CA9F09A" w14:textId="77777777" w:rsidR="002D7B36" w:rsidRPr="00DE12A3" w:rsidRDefault="00242DA0" w:rsidP="00E20716">
      <w:pPr>
        <w:pStyle w:val="Gvdemetni250"/>
        <w:numPr>
          <w:ilvl w:val="0"/>
          <w:numId w:val="151"/>
        </w:numPr>
        <w:spacing w:before="120" w:after="120" w:line="240" w:lineRule="auto"/>
        <w:ind w:left="1134" w:hanging="1134"/>
        <w:rPr>
          <w:sz w:val="24"/>
          <w:szCs w:val="24"/>
        </w:rPr>
      </w:pPr>
      <w:r w:rsidRPr="00DE12A3">
        <w:rPr>
          <w:sz w:val="24"/>
          <w:szCs w:val="24"/>
        </w:rPr>
        <w:t>Gaz toplu örnekleme analizi</w:t>
      </w:r>
    </w:p>
    <w:p w14:paraId="0E801313" w14:textId="77777777" w:rsidR="002D7B36" w:rsidRPr="00DE12A3" w:rsidRDefault="00242DA0" w:rsidP="00C917D6">
      <w:pPr>
        <w:pStyle w:val="Gvdemetni250"/>
        <w:spacing w:before="120" w:after="120" w:line="240" w:lineRule="auto"/>
        <w:ind w:left="1134" w:firstLine="0"/>
        <w:rPr>
          <w:sz w:val="24"/>
          <w:szCs w:val="24"/>
        </w:rPr>
      </w:pPr>
      <w:r w:rsidRPr="00DE12A3">
        <w:rPr>
          <w:sz w:val="24"/>
          <w:szCs w:val="24"/>
        </w:rPr>
        <w:t>En kısa sürede, aşağıdakiler yapılmalıdır:</w:t>
      </w:r>
    </w:p>
    <w:p w14:paraId="62686C2F" w14:textId="30AEB8FD" w:rsidR="002D7B36" w:rsidRPr="00DE12A3" w:rsidRDefault="00D106F4" w:rsidP="00E20716">
      <w:pPr>
        <w:pStyle w:val="Gvdemetni250"/>
        <w:numPr>
          <w:ilvl w:val="0"/>
          <w:numId w:val="152"/>
        </w:numPr>
        <w:spacing w:before="120" w:after="120" w:line="240" w:lineRule="auto"/>
        <w:ind w:left="1701" w:hanging="567"/>
        <w:rPr>
          <w:sz w:val="24"/>
          <w:szCs w:val="24"/>
        </w:rPr>
      </w:pPr>
      <w:r w:rsidRPr="00DE12A3">
        <w:rPr>
          <w:sz w:val="24"/>
          <w:szCs w:val="24"/>
        </w:rPr>
        <w:t xml:space="preserve">     </w:t>
      </w:r>
      <w:r w:rsidR="00242DA0" w:rsidRPr="00DE12A3">
        <w:rPr>
          <w:sz w:val="24"/>
          <w:szCs w:val="24"/>
        </w:rPr>
        <w:t xml:space="preserve">Tüm toplu gaz analiz cihazları, test </w:t>
      </w:r>
      <w:r w:rsidR="00F310B5" w:rsidRPr="00DE12A3">
        <w:rPr>
          <w:sz w:val="24"/>
          <w:szCs w:val="24"/>
        </w:rPr>
        <w:t>çevrimi</w:t>
      </w:r>
      <w:r w:rsidR="00242DA0" w:rsidRPr="00DE12A3">
        <w:rPr>
          <w:sz w:val="24"/>
          <w:szCs w:val="24"/>
        </w:rPr>
        <w:t xml:space="preserve"> tamamlandıktan sonra en geç 30 dakika içinde veya gaz analiz cihazlarının hala dengeli olup olmadığını kontrol etmek için mümkünse ıslanma döneminde sıfırlanmalı ve bağlanmalıdır</w:t>
      </w:r>
      <w:r w:rsidR="00F704CF" w:rsidRPr="00DE12A3">
        <w:rPr>
          <w:sz w:val="24"/>
          <w:szCs w:val="24"/>
        </w:rPr>
        <w:t>.</w:t>
      </w:r>
    </w:p>
    <w:p w14:paraId="5B0B2E53" w14:textId="39FB917C" w:rsidR="002D7B36" w:rsidRPr="00DE12A3" w:rsidRDefault="00242DA0" w:rsidP="00E20716">
      <w:pPr>
        <w:pStyle w:val="Gvdemetni250"/>
        <w:numPr>
          <w:ilvl w:val="0"/>
          <w:numId w:val="152"/>
        </w:numPr>
        <w:spacing w:before="120" w:after="120" w:line="240" w:lineRule="auto"/>
        <w:ind w:left="1701" w:hanging="567"/>
        <w:rPr>
          <w:sz w:val="24"/>
          <w:szCs w:val="24"/>
        </w:rPr>
      </w:pPr>
      <w:r w:rsidRPr="00DE12A3">
        <w:rPr>
          <w:sz w:val="24"/>
          <w:szCs w:val="24"/>
        </w:rPr>
        <w:t xml:space="preserve">Tüm konvansiyonel toplu gaz numuneleri, ön ısıtmalı NRTC </w:t>
      </w:r>
      <w:r w:rsidRPr="00DE12A3">
        <w:rPr>
          <w:sz w:val="24"/>
          <w:szCs w:val="24"/>
        </w:rPr>
        <w:lastRenderedPageBreak/>
        <w:t>tamamlandıktan veya ıslanma döneminden sonra en geç 30 dakika içinde analiz edilmelidir</w:t>
      </w:r>
      <w:r w:rsidR="00F704CF" w:rsidRPr="00DE12A3">
        <w:rPr>
          <w:sz w:val="24"/>
          <w:szCs w:val="24"/>
        </w:rPr>
        <w:t>.</w:t>
      </w:r>
    </w:p>
    <w:p w14:paraId="56FD0B87" w14:textId="77777777" w:rsidR="002D7B36" w:rsidRPr="00DE12A3" w:rsidRDefault="00D106F4" w:rsidP="00E20716">
      <w:pPr>
        <w:pStyle w:val="Gvdemetni250"/>
        <w:numPr>
          <w:ilvl w:val="0"/>
          <w:numId w:val="152"/>
        </w:numPr>
        <w:spacing w:before="120" w:after="120" w:line="240" w:lineRule="auto"/>
        <w:ind w:left="1701" w:hanging="567"/>
        <w:rPr>
          <w:sz w:val="24"/>
          <w:szCs w:val="24"/>
        </w:rPr>
      </w:pPr>
      <w:r w:rsidRPr="00DE12A3">
        <w:rPr>
          <w:sz w:val="24"/>
          <w:szCs w:val="24"/>
        </w:rPr>
        <w:t xml:space="preserve">     </w:t>
      </w:r>
      <w:r w:rsidR="00242DA0" w:rsidRPr="00DE12A3">
        <w:rPr>
          <w:sz w:val="24"/>
          <w:szCs w:val="24"/>
        </w:rPr>
        <w:t>Arka plan numuneleri, ön ısıtmalı NRTC tamamlandıktan sonra en geç 60 dakika içinde analiz edilmelidir.</w:t>
      </w:r>
    </w:p>
    <w:p w14:paraId="44B03107" w14:textId="77777777" w:rsidR="002D7B36" w:rsidRPr="00DE12A3" w:rsidRDefault="00093948" w:rsidP="00E20716">
      <w:pPr>
        <w:pStyle w:val="Gvdemetni250"/>
        <w:numPr>
          <w:ilvl w:val="0"/>
          <w:numId w:val="151"/>
        </w:numPr>
        <w:spacing w:before="120" w:after="120" w:line="240" w:lineRule="auto"/>
        <w:ind w:left="1134" w:hanging="1134"/>
        <w:rPr>
          <w:sz w:val="24"/>
          <w:szCs w:val="24"/>
        </w:rPr>
      </w:pPr>
      <w:r w:rsidRPr="00DE12A3">
        <w:rPr>
          <w:sz w:val="24"/>
          <w:szCs w:val="24"/>
        </w:rPr>
        <w:t>Sapma</w:t>
      </w:r>
      <w:r w:rsidR="00242DA0" w:rsidRPr="00DE12A3">
        <w:rPr>
          <w:sz w:val="24"/>
          <w:szCs w:val="24"/>
        </w:rPr>
        <w:t xml:space="preserve"> doğrulanması</w:t>
      </w:r>
    </w:p>
    <w:p w14:paraId="3655C477" w14:textId="77777777" w:rsidR="002D7B36" w:rsidRPr="00DE12A3" w:rsidRDefault="00242DA0" w:rsidP="00C917D6">
      <w:pPr>
        <w:pStyle w:val="Gvdemetni250"/>
        <w:spacing w:before="120" w:after="120" w:line="240" w:lineRule="auto"/>
        <w:ind w:left="1134" w:firstLine="0"/>
        <w:rPr>
          <w:sz w:val="24"/>
          <w:szCs w:val="24"/>
        </w:rPr>
      </w:pPr>
      <w:r w:rsidRPr="00DE12A3">
        <w:rPr>
          <w:sz w:val="24"/>
          <w:szCs w:val="24"/>
        </w:rPr>
        <w:t xml:space="preserve">Egzoz gazı miktarı tayin edildikten sonra, </w:t>
      </w:r>
      <w:r w:rsidR="00093948" w:rsidRPr="00DE12A3">
        <w:rPr>
          <w:sz w:val="24"/>
          <w:szCs w:val="24"/>
        </w:rPr>
        <w:t>sapma</w:t>
      </w:r>
      <w:r w:rsidRPr="00DE12A3">
        <w:rPr>
          <w:sz w:val="24"/>
          <w:szCs w:val="24"/>
        </w:rPr>
        <w:t xml:space="preserve"> aşağıdaki şekilde doğrulanmalıdır:</w:t>
      </w:r>
    </w:p>
    <w:p w14:paraId="135EEACA" w14:textId="03091825" w:rsidR="002D7B36" w:rsidRPr="00DE12A3" w:rsidRDefault="00D106F4" w:rsidP="00E20716">
      <w:pPr>
        <w:pStyle w:val="Gvdemetni250"/>
        <w:numPr>
          <w:ilvl w:val="0"/>
          <w:numId w:val="153"/>
        </w:numPr>
        <w:tabs>
          <w:tab w:val="left" w:pos="851"/>
        </w:tabs>
        <w:spacing w:before="120" w:after="120" w:line="240" w:lineRule="auto"/>
        <w:ind w:left="1701" w:hanging="567"/>
        <w:rPr>
          <w:sz w:val="24"/>
          <w:szCs w:val="24"/>
        </w:rPr>
      </w:pPr>
      <w:r w:rsidRPr="00DE12A3">
        <w:rPr>
          <w:sz w:val="24"/>
          <w:szCs w:val="24"/>
        </w:rPr>
        <w:t xml:space="preserve">    </w:t>
      </w:r>
      <w:r w:rsidR="00242DA0" w:rsidRPr="00DE12A3">
        <w:rPr>
          <w:sz w:val="24"/>
          <w:szCs w:val="24"/>
        </w:rPr>
        <w:t>Toplu ve sürekli gaz analiz cihazları için, ortalama analiz cihazı değeri, analiz cihazına bir sıfır gaz dengelendikten sonra kaydedilmelidir. Dengeleme, herhangi bir numune gazın analiz cihazını arındırma süresinin yanı sıra analiz cihazı tepkisini hesaba katmak için ek bir süre içerebilir</w:t>
      </w:r>
      <w:r w:rsidR="00F704CF" w:rsidRPr="00DE12A3">
        <w:rPr>
          <w:sz w:val="24"/>
          <w:szCs w:val="24"/>
        </w:rPr>
        <w:t>.</w:t>
      </w:r>
    </w:p>
    <w:p w14:paraId="3B620DE4" w14:textId="0EEFEB9B" w:rsidR="002D7B36" w:rsidRPr="00DE12A3" w:rsidRDefault="00242DA0" w:rsidP="00E20716">
      <w:pPr>
        <w:pStyle w:val="Gvdemetni250"/>
        <w:numPr>
          <w:ilvl w:val="0"/>
          <w:numId w:val="153"/>
        </w:numPr>
        <w:tabs>
          <w:tab w:val="left" w:pos="993"/>
        </w:tabs>
        <w:spacing w:before="120" w:after="120" w:line="240" w:lineRule="auto"/>
        <w:ind w:left="1701" w:hanging="567"/>
        <w:rPr>
          <w:sz w:val="24"/>
          <w:szCs w:val="24"/>
        </w:rPr>
      </w:pPr>
      <w:r w:rsidRPr="00DE12A3">
        <w:rPr>
          <w:sz w:val="24"/>
          <w:szCs w:val="24"/>
        </w:rPr>
        <w:t>Ortalama analiz cihazı değeri, ayar gazı analiz cihazına dengelendikten sonra kaydedilmelidir. Dengeleme, herhangi bir numune gazın analiz cihazını arındırma süresinin yanı sıra analiz cihazı tepkisini hesaba katmak için ek bir süre içerebilir</w:t>
      </w:r>
      <w:r w:rsidR="00F704CF" w:rsidRPr="00DE12A3">
        <w:rPr>
          <w:sz w:val="24"/>
          <w:szCs w:val="24"/>
        </w:rPr>
        <w:t>.</w:t>
      </w:r>
    </w:p>
    <w:p w14:paraId="3BBBBABF" w14:textId="77777777" w:rsidR="002D7B36" w:rsidRPr="00DE12A3" w:rsidRDefault="00D106F4" w:rsidP="00E20716">
      <w:pPr>
        <w:pStyle w:val="Gvdemetni250"/>
        <w:numPr>
          <w:ilvl w:val="0"/>
          <w:numId w:val="153"/>
        </w:numPr>
        <w:spacing w:before="120" w:after="120" w:line="240" w:lineRule="auto"/>
        <w:ind w:left="1701" w:hanging="567"/>
        <w:rPr>
          <w:sz w:val="24"/>
          <w:szCs w:val="24"/>
        </w:rPr>
      </w:pPr>
      <w:r w:rsidRPr="00DE12A3">
        <w:rPr>
          <w:sz w:val="24"/>
          <w:szCs w:val="24"/>
        </w:rPr>
        <w:t xml:space="preserve">     </w:t>
      </w:r>
      <w:r w:rsidR="00242DA0" w:rsidRPr="00DE12A3">
        <w:rPr>
          <w:sz w:val="24"/>
          <w:szCs w:val="24"/>
        </w:rPr>
        <w:t xml:space="preserve">Bu veriler 8.2.2 bendinde açıklanan </w:t>
      </w:r>
      <w:r w:rsidR="00093948" w:rsidRPr="00DE12A3">
        <w:rPr>
          <w:sz w:val="24"/>
          <w:szCs w:val="24"/>
        </w:rPr>
        <w:t>sapmayı</w:t>
      </w:r>
      <w:r w:rsidR="00242DA0" w:rsidRPr="00DE12A3">
        <w:rPr>
          <w:sz w:val="24"/>
          <w:szCs w:val="24"/>
        </w:rPr>
        <w:t xml:space="preserve"> doğrulamak ve düzeltmek için kullanılır.</w:t>
      </w:r>
    </w:p>
    <w:p w14:paraId="2BF7FFD7" w14:textId="77777777" w:rsidR="002D7B36" w:rsidRPr="00DE12A3" w:rsidRDefault="00AA6FBA" w:rsidP="00E20716">
      <w:pPr>
        <w:pStyle w:val="Gvdemetni250"/>
        <w:numPr>
          <w:ilvl w:val="0"/>
          <w:numId w:val="142"/>
        </w:numPr>
        <w:tabs>
          <w:tab w:val="left" w:pos="0"/>
          <w:tab w:val="left" w:pos="567"/>
        </w:tabs>
        <w:spacing w:before="120" w:after="120" w:line="240" w:lineRule="auto"/>
        <w:ind w:left="1134" w:hanging="1134"/>
        <w:rPr>
          <w:sz w:val="24"/>
          <w:szCs w:val="24"/>
        </w:rPr>
      </w:pPr>
      <w:r w:rsidRPr="00DE12A3">
        <w:rPr>
          <w:sz w:val="24"/>
          <w:szCs w:val="24"/>
        </w:rPr>
        <w:t xml:space="preserve">   </w:t>
      </w:r>
      <w:r w:rsidR="00242DA0" w:rsidRPr="00DE12A3">
        <w:rPr>
          <w:sz w:val="24"/>
          <w:szCs w:val="24"/>
        </w:rPr>
        <w:t xml:space="preserve">Test </w:t>
      </w:r>
      <w:r w:rsidR="00F310B5" w:rsidRPr="00DE12A3">
        <w:rPr>
          <w:sz w:val="24"/>
          <w:szCs w:val="24"/>
        </w:rPr>
        <w:t>çevrim</w:t>
      </w:r>
      <w:r w:rsidR="00242DA0" w:rsidRPr="00DE12A3">
        <w:rPr>
          <w:sz w:val="24"/>
          <w:szCs w:val="24"/>
        </w:rPr>
        <w:t>leri</w:t>
      </w:r>
    </w:p>
    <w:p w14:paraId="641E9566" w14:textId="7F9D0426" w:rsidR="002D7B36" w:rsidRPr="00DE12A3" w:rsidRDefault="00D106F4" w:rsidP="00C917D6">
      <w:pPr>
        <w:pStyle w:val="Gvdemetni250"/>
        <w:spacing w:before="120" w:after="120" w:line="240" w:lineRule="auto"/>
        <w:ind w:left="1134" w:hanging="1134"/>
        <w:rPr>
          <w:sz w:val="24"/>
          <w:szCs w:val="24"/>
        </w:rPr>
      </w:pPr>
      <w:r w:rsidRPr="00DE12A3">
        <w:rPr>
          <w:sz w:val="24"/>
          <w:szCs w:val="24"/>
        </w:rPr>
        <w:t xml:space="preserve">                  </w:t>
      </w:r>
      <w:r w:rsidR="00242DA0" w:rsidRPr="00DE12A3">
        <w:rPr>
          <w:sz w:val="24"/>
          <w:szCs w:val="24"/>
        </w:rPr>
        <w:t xml:space="preserve">AB tip onayı </w:t>
      </w:r>
      <w:r w:rsidR="004E7F54" w:rsidRPr="00DE12A3">
        <w:rPr>
          <w:sz w:val="24"/>
          <w:szCs w:val="24"/>
        </w:rPr>
        <w:t>testi, 2016</w:t>
      </w:r>
      <w:r w:rsidR="00EE5D5E" w:rsidRPr="00DE12A3">
        <w:rPr>
          <w:sz w:val="24"/>
          <w:szCs w:val="24"/>
        </w:rPr>
        <w:t>/1628/AB Yönetmeliği</w:t>
      </w:r>
      <w:r w:rsidR="00195051" w:rsidRPr="00DE12A3">
        <w:rPr>
          <w:sz w:val="24"/>
          <w:szCs w:val="24"/>
        </w:rPr>
        <w:t>nin</w:t>
      </w:r>
      <w:r w:rsidR="00EE5D5E" w:rsidRPr="00DE12A3">
        <w:rPr>
          <w:sz w:val="24"/>
          <w:szCs w:val="24"/>
        </w:rPr>
        <w:t xml:space="preserve"> </w:t>
      </w:r>
      <w:r w:rsidR="00242DA0" w:rsidRPr="00DE12A3">
        <w:rPr>
          <w:sz w:val="24"/>
          <w:szCs w:val="24"/>
        </w:rPr>
        <w:t>1</w:t>
      </w:r>
      <w:r w:rsidR="00AD0C0B" w:rsidRPr="00DE12A3">
        <w:rPr>
          <w:sz w:val="24"/>
          <w:szCs w:val="24"/>
        </w:rPr>
        <w:t>9</w:t>
      </w:r>
      <w:r w:rsidR="004E7F54" w:rsidRPr="00DE12A3">
        <w:rPr>
          <w:sz w:val="24"/>
          <w:szCs w:val="24"/>
        </w:rPr>
        <w:t xml:space="preserve"> </w:t>
      </w:r>
      <w:r w:rsidR="00AD0C0B" w:rsidRPr="00DE12A3">
        <w:rPr>
          <w:sz w:val="24"/>
          <w:szCs w:val="24"/>
        </w:rPr>
        <w:t>uncu</w:t>
      </w:r>
      <w:r w:rsidR="00242DA0" w:rsidRPr="00DE12A3">
        <w:rPr>
          <w:sz w:val="24"/>
          <w:szCs w:val="24"/>
        </w:rPr>
        <w:t xml:space="preserve"> maddesinde ve </w:t>
      </w:r>
      <w:r w:rsidR="00B8261D" w:rsidRPr="00DE12A3">
        <w:rPr>
          <w:sz w:val="24"/>
          <w:szCs w:val="24"/>
        </w:rPr>
        <w:t>Ek IV’ünde</w:t>
      </w:r>
      <w:r w:rsidR="00242DA0" w:rsidRPr="00DE12A3">
        <w:rPr>
          <w:sz w:val="24"/>
          <w:szCs w:val="24"/>
        </w:rPr>
        <w:t xml:space="preserve"> belirtildiği gibi, uygun NRSC ve duruma göre NRTC ve LSI-NRTC kullanılarak yapılmalıdır. NRSC, NRTC ve LSI-NRTC'nin teknik özellikleri ve belirleyici özellikleri, bu T</w:t>
      </w:r>
      <w:r w:rsidR="00EE5D5E" w:rsidRPr="00DE12A3">
        <w:rPr>
          <w:sz w:val="24"/>
          <w:szCs w:val="24"/>
        </w:rPr>
        <w:t>ebliğin</w:t>
      </w:r>
      <w:r w:rsidR="00242DA0" w:rsidRPr="00DE12A3">
        <w:rPr>
          <w:sz w:val="24"/>
          <w:szCs w:val="24"/>
        </w:rPr>
        <w:t xml:space="preserve"> XVII</w:t>
      </w:r>
      <w:r w:rsidR="00EE5D5E" w:rsidRPr="00DE12A3">
        <w:rPr>
          <w:sz w:val="24"/>
          <w:szCs w:val="24"/>
        </w:rPr>
        <w:t xml:space="preserve">’nci </w:t>
      </w:r>
      <w:r w:rsidR="00EC3EF0" w:rsidRPr="00DE12A3">
        <w:rPr>
          <w:sz w:val="24"/>
          <w:szCs w:val="24"/>
        </w:rPr>
        <w:t>Ekinde</w:t>
      </w:r>
      <w:r w:rsidR="00242DA0" w:rsidRPr="00DE12A3">
        <w:rPr>
          <w:sz w:val="24"/>
          <w:szCs w:val="24"/>
        </w:rPr>
        <w:t xml:space="preserve"> ve bu test </w:t>
      </w:r>
      <w:r w:rsidR="00F310B5" w:rsidRPr="00DE12A3">
        <w:rPr>
          <w:sz w:val="24"/>
          <w:szCs w:val="24"/>
        </w:rPr>
        <w:t>çevrim</w:t>
      </w:r>
      <w:r w:rsidR="00242DA0" w:rsidRPr="00DE12A3">
        <w:rPr>
          <w:sz w:val="24"/>
          <w:szCs w:val="24"/>
        </w:rPr>
        <w:t xml:space="preserve">leri için tork, güç ve devir ayarlarının belirlenmesine ilişkin yöntem </w:t>
      </w:r>
      <w:r w:rsidR="00B8261D" w:rsidRPr="00DE12A3">
        <w:rPr>
          <w:sz w:val="24"/>
          <w:szCs w:val="24"/>
        </w:rPr>
        <w:t xml:space="preserve">bu Ekin </w:t>
      </w:r>
      <w:r w:rsidR="00242DA0" w:rsidRPr="00DE12A3">
        <w:rPr>
          <w:sz w:val="24"/>
          <w:szCs w:val="24"/>
        </w:rPr>
        <w:t xml:space="preserve">5.2. </w:t>
      </w:r>
      <w:r w:rsidR="00523AA8" w:rsidRPr="00DE12A3">
        <w:rPr>
          <w:sz w:val="24"/>
          <w:szCs w:val="24"/>
        </w:rPr>
        <w:t>bendinde</w:t>
      </w:r>
      <w:r w:rsidR="00242DA0" w:rsidRPr="00DE12A3">
        <w:rPr>
          <w:sz w:val="24"/>
          <w:szCs w:val="24"/>
        </w:rPr>
        <w:t xml:space="preserve"> belirtilmiştir.</w:t>
      </w:r>
    </w:p>
    <w:p w14:paraId="04565009" w14:textId="77777777" w:rsidR="002D7B36" w:rsidRPr="00DE12A3" w:rsidRDefault="00951351" w:rsidP="00E20716">
      <w:pPr>
        <w:pStyle w:val="Gvdemetni250"/>
        <w:numPr>
          <w:ilvl w:val="0"/>
          <w:numId w:val="154"/>
        </w:numPr>
        <w:spacing w:before="120" w:after="120" w:line="240" w:lineRule="auto"/>
        <w:ind w:left="1134" w:hanging="1134"/>
        <w:rPr>
          <w:sz w:val="24"/>
          <w:szCs w:val="24"/>
        </w:rPr>
      </w:pPr>
      <w:r w:rsidRPr="00DE12A3">
        <w:rPr>
          <w:sz w:val="24"/>
          <w:szCs w:val="24"/>
        </w:rPr>
        <w:t xml:space="preserve">  </w:t>
      </w:r>
      <w:r w:rsidR="004E7F54" w:rsidRPr="00DE12A3">
        <w:rPr>
          <w:sz w:val="24"/>
          <w:szCs w:val="24"/>
        </w:rPr>
        <w:t>K</w:t>
      </w:r>
      <w:r w:rsidRPr="00DE12A3">
        <w:rPr>
          <w:sz w:val="24"/>
          <w:szCs w:val="24"/>
        </w:rPr>
        <w:t xml:space="preserve">ararlı </w:t>
      </w:r>
      <w:r w:rsidR="004E7F54" w:rsidRPr="00DE12A3">
        <w:rPr>
          <w:sz w:val="24"/>
          <w:szCs w:val="24"/>
        </w:rPr>
        <w:t>durum test</w:t>
      </w:r>
      <w:r w:rsidR="00242DA0" w:rsidRPr="00DE12A3">
        <w:rPr>
          <w:sz w:val="24"/>
          <w:szCs w:val="24"/>
        </w:rPr>
        <w:t xml:space="preserve"> </w:t>
      </w:r>
      <w:r w:rsidR="00F310B5" w:rsidRPr="00DE12A3">
        <w:rPr>
          <w:sz w:val="24"/>
          <w:szCs w:val="24"/>
        </w:rPr>
        <w:t>çevrim</w:t>
      </w:r>
      <w:r w:rsidR="00242DA0" w:rsidRPr="00DE12A3">
        <w:rPr>
          <w:sz w:val="24"/>
          <w:szCs w:val="24"/>
        </w:rPr>
        <w:t>leri</w:t>
      </w:r>
    </w:p>
    <w:p w14:paraId="7E4924E9" w14:textId="425DCC8F" w:rsidR="002D7B36" w:rsidRPr="00DE12A3" w:rsidRDefault="00AA6FBA" w:rsidP="00C917D6">
      <w:pPr>
        <w:pStyle w:val="Gvdemetni250"/>
        <w:spacing w:before="120" w:after="120" w:line="240" w:lineRule="auto"/>
        <w:ind w:left="1134" w:hanging="1134"/>
        <w:rPr>
          <w:sz w:val="24"/>
          <w:szCs w:val="24"/>
        </w:rPr>
      </w:pPr>
      <w:r w:rsidRPr="00DE12A3">
        <w:rPr>
          <w:sz w:val="24"/>
          <w:szCs w:val="24"/>
        </w:rPr>
        <w:t xml:space="preserve"> </w:t>
      </w:r>
      <w:r w:rsidR="00D106F4" w:rsidRPr="00DE12A3">
        <w:rPr>
          <w:sz w:val="24"/>
          <w:szCs w:val="24"/>
        </w:rPr>
        <w:t xml:space="preserve">         </w:t>
      </w:r>
      <w:r w:rsidR="00F67D7E" w:rsidRPr="00DE12A3">
        <w:rPr>
          <w:sz w:val="24"/>
          <w:szCs w:val="24"/>
        </w:rPr>
        <w:t xml:space="preserve">       </w:t>
      </w:r>
      <w:r w:rsidR="00D106F4" w:rsidRPr="00DE12A3">
        <w:rPr>
          <w:sz w:val="24"/>
          <w:szCs w:val="24"/>
        </w:rPr>
        <w:t xml:space="preserve"> </w:t>
      </w:r>
      <w:r w:rsidR="00242DA0" w:rsidRPr="00DE12A3">
        <w:rPr>
          <w:sz w:val="24"/>
          <w:szCs w:val="24"/>
        </w:rPr>
        <w:t xml:space="preserve">Karayolu dışında </w:t>
      </w:r>
      <w:r w:rsidR="00951351" w:rsidRPr="00DE12A3">
        <w:rPr>
          <w:sz w:val="24"/>
          <w:szCs w:val="24"/>
        </w:rPr>
        <w:t xml:space="preserve">  kararlı </w:t>
      </w:r>
      <w:r w:rsidR="004E7F54" w:rsidRPr="00DE12A3">
        <w:rPr>
          <w:sz w:val="24"/>
          <w:szCs w:val="24"/>
        </w:rPr>
        <w:t>durum test</w:t>
      </w:r>
      <w:r w:rsidR="00242DA0" w:rsidRPr="00DE12A3">
        <w:rPr>
          <w:sz w:val="24"/>
          <w:szCs w:val="24"/>
        </w:rPr>
        <w:t xml:space="preserve"> </w:t>
      </w:r>
      <w:r w:rsidR="00F310B5" w:rsidRPr="00DE12A3">
        <w:rPr>
          <w:sz w:val="24"/>
          <w:szCs w:val="24"/>
        </w:rPr>
        <w:t>çevrim</w:t>
      </w:r>
      <w:r w:rsidR="00242DA0" w:rsidRPr="00DE12A3">
        <w:rPr>
          <w:sz w:val="24"/>
          <w:szCs w:val="24"/>
        </w:rPr>
        <w:t>leri (NRSC), X</w:t>
      </w:r>
      <w:r w:rsidR="00FA0678" w:rsidRPr="00DE12A3">
        <w:rPr>
          <w:sz w:val="24"/>
          <w:szCs w:val="24"/>
        </w:rPr>
        <w:t xml:space="preserve">VII’nci </w:t>
      </w:r>
      <w:r w:rsidR="00850EBE" w:rsidRPr="00DE12A3">
        <w:rPr>
          <w:sz w:val="24"/>
          <w:szCs w:val="24"/>
        </w:rPr>
        <w:t>E</w:t>
      </w:r>
      <w:r w:rsidR="00FA0678" w:rsidRPr="00DE12A3">
        <w:rPr>
          <w:sz w:val="24"/>
          <w:szCs w:val="24"/>
        </w:rPr>
        <w:t>k</w:t>
      </w:r>
      <w:r w:rsidR="00242DA0" w:rsidRPr="00DE12A3">
        <w:rPr>
          <w:sz w:val="24"/>
          <w:szCs w:val="24"/>
        </w:rPr>
        <w:t xml:space="preserve">in 1. ve </w:t>
      </w:r>
      <w:r w:rsidR="00FA0678" w:rsidRPr="00DE12A3">
        <w:rPr>
          <w:sz w:val="24"/>
          <w:szCs w:val="24"/>
        </w:rPr>
        <w:t>2. Açıklayıcı Ek</w:t>
      </w:r>
      <w:r w:rsidR="00242DA0" w:rsidRPr="00DE12A3">
        <w:rPr>
          <w:sz w:val="24"/>
          <w:szCs w:val="24"/>
        </w:rPr>
        <w:t>inde, her çalışma noktasının bir devir değerine ve bir tork değerine sahip olduğu bir ayrık modlu NRSC (çalışma noktaları) listesi olarak belirtilmiştir. İmalatçı şartnamelerine göre bir NRSC, ısıtılmış ve çalışan bir motor ile ölçülmelidir. İmalatçının tercihine bağlı olarak, bir NRSC, 7.4.1.1 ve 7.4.1.2 bentlerinde açıklandığı gibi, ayrık modlu bir NRSC veya RMC olarak yürütülebilir. 7.4.1.1 ve 7.4.1.2 bentlerinin her ikisine göre emisyon testi yapılması gerekmez.</w:t>
      </w:r>
    </w:p>
    <w:p w14:paraId="5719EEF6" w14:textId="77777777" w:rsidR="002D7B36" w:rsidRPr="00DE12A3" w:rsidRDefault="00242DA0" w:rsidP="00E20716">
      <w:pPr>
        <w:pStyle w:val="Gvdemetni250"/>
        <w:numPr>
          <w:ilvl w:val="0"/>
          <w:numId w:val="155"/>
        </w:numPr>
        <w:spacing w:before="120" w:after="120" w:line="240" w:lineRule="auto"/>
        <w:ind w:left="1134" w:hanging="1134"/>
        <w:rPr>
          <w:sz w:val="24"/>
          <w:szCs w:val="24"/>
        </w:rPr>
      </w:pPr>
      <w:r w:rsidRPr="00DE12A3">
        <w:rPr>
          <w:sz w:val="24"/>
          <w:szCs w:val="24"/>
        </w:rPr>
        <w:t>Ayrık modlu NRSC</w:t>
      </w:r>
    </w:p>
    <w:p w14:paraId="18F13800" w14:textId="77777777" w:rsidR="002D7B36" w:rsidRPr="00DE12A3" w:rsidRDefault="00D106F4" w:rsidP="00C917D6">
      <w:pPr>
        <w:pStyle w:val="Gvdemetni250"/>
        <w:tabs>
          <w:tab w:val="left" w:pos="142"/>
        </w:tabs>
        <w:spacing w:before="120" w:after="120" w:line="240" w:lineRule="auto"/>
        <w:ind w:left="1134" w:hanging="1134"/>
        <w:rPr>
          <w:sz w:val="24"/>
          <w:szCs w:val="24"/>
        </w:rPr>
      </w:pPr>
      <w:r w:rsidRPr="00DE12A3">
        <w:rPr>
          <w:sz w:val="24"/>
          <w:szCs w:val="24"/>
        </w:rPr>
        <w:t xml:space="preserve">                   </w:t>
      </w:r>
      <w:r w:rsidR="00242DA0" w:rsidRPr="00DE12A3">
        <w:rPr>
          <w:sz w:val="24"/>
          <w:szCs w:val="24"/>
        </w:rPr>
        <w:t xml:space="preserve">Ayrık modlu NRSC, emisyonların, motor 7.8.1.2 bendinde belirtilen şekilde çalıştırılıp ısıtıldıktan sonra ve çalışır haldeyken ölçülmeye başlandığı sıcak çalışma </w:t>
      </w:r>
      <w:r w:rsidR="00F310B5" w:rsidRPr="00DE12A3">
        <w:rPr>
          <w:sz w:val="24"/>
          <w:szCs w:val="24"/>
        </w:rPr>
        <w:t>çevrim</w:t>
      </w:r>
      <w:r w:rsidR="00242DA0" w:rsidRPr="00DE12A3">
        <w:rPr>
          <w:sz w:val="24"/>
          <w:szCs w:val="24"/>
        </w:rPr>
        <w:t xml:space="preserve">leridir. Her </w:t>
      </w:r>
      <w:r w:rsidR="00F310B5" w:rsidRPr="00DE12A3">
        <w:rPr>
          <w:sz w:val="24"/>
          <w:szCs w:val="24"/>
        </w:rPr>
        <w:t>çevrim</w:t>
      </w:r>
      <w:r w:rsidR="00242DA0" w:rsidRPr="00DE12A3">
        <w:rPr>
          <w:sz w:val="24"/>
          <w:szCs w:val="24"/>
        </w:rPr>
        <w:t>, belirtilen motor kategorisinin tipik çalışma aralığını kapsayan bir dizi devir ve yük modundan (her mod için ilgili ağırlık faktörü ile birlikte) oluşur.</w:t>
      </w:r>
    </w:p>
    <w:p w14:paraId="78FE094D" w14:textId="77777777" w:rsidR="002D7B36" w:rsidRPr="00DE12A3" w:rsidRDefault="00242DA0" w:rsidP="00E20716">
      <w:pPr>
        <w:pStyle w:val="Gvdemetni250"/>
        <w:numPr>
          <w:ilvl w:val="0"/>
          <w:numId w:val="155"/>
        </w:numPr>
        <w:spacing w:before="120" w:after="120" w:line="240" w:lineRule="auto"/>
        <w:ind w:left="1134" w:hanging="1134"/>
        <w:rPr>
          <w:sz w:val="24"/>
          <w:szCs w:val="24"/>
        </w:rPr>
      </w:pPr>
      <w:r w:rsidRPr="00DE12A3">
        <w:rPr>
          <w:sz w:val="24"/>
          <w:szCs w:val="24"/>
        </w:rPr>
        <w:t>Ramped modal NRSC</w:t>
      </w:r>
    </w:p>
    <w:p w14:paraId="44B7BCBE" w14:textId="77777777" w:rsidR="002D7B36" w:rsidRPr="00DE12A3" w:rsidRDefault="00D106F4" w:rsidP="00C917D6">
      <w:pPr>
        <w:pStyle w:val="Gvdemetni250"/>
        <w:spacing w:before="120" w:after="120" w:line="240" w:lineRule="auto"/>
        <w:ind w:left="1134" w:hanging="1134"/>
        <w:rPr>
          <w:sz w:val="24"/>
          <w:szCs w:val="24"/>
        </w:rPr>
      </w:pPr>
      <w:r w:rsidRPr="00DE12A3">
        <w:rPr>
          <w:sz w:val="24"/>
          <w:szCs w:val="24"/>
        </w:rPr>
        <w:t xml:space="preserve">                  </w:t>
      </w:r>
      <w:r w:rsidR="00242DA0" w:rsidRPr="00DE12A3">
        <w:rPr>
          <w:sz w:val="24"/>
          <w:szCs w:val="24"/>
        </w:rPr>
        <w:t xml:space="preserve">RMC, emisyonların, motor 7.8.2.1 bendinde belirtilen şekilde çalıştırılıp ısıtıldıktan sonra ve çalışır haldeyken ölçülmeye başlandığı sıcak çalışma </w:t>
      </w:r>
      <w:r w:rsidR="00F310B5" w:rsidRPr="00DE12A3">
        <w:rPr>
          <w:sz w:val="24"/>
          <w:szCs w:val="24"/>
        </w:rPr>
        <w:t>çevrim</w:t>
      </w:r>
      <w:r w:rsidR="00242DA0" w:rsidRPr="00DE12A3">
        <w:rPr>
          <w:sz w:val="24"/>
          <w:szCs w:val="24"/>
        </w:rPr>
        <w:t xml:space="preserve">leridir. Motor, RMC sırasında test </w:t>
      </w:r>
      <w:r w:rsidR="002B24E9" w:rsidRPr="00DE12A3">
        <w:rPr>
          <w:sz w:val="24"/>
          <w:szCs w:val="24"/>
        </w:rPr>
        <w:t>tezgâhı</w:t>
      </w:r>
      <w:r w:rsidR="00242DA0" w:rsidRPr="00DE12A3">
        <w:rPr>
          <w:sz w:val="24"/>
          <w:szCs w:val="24"/>
        </w:rPr>
        <w:t xml:space="preserve"> kontrol ünitesi tarafından sürekli kontrol edilmelidir. Gaz ve </w:t>
      </w:r>
      <w:r w:rsidR="007E2039" w:rsidRPr="00DE12A3">
        <w:rPr>
          <w:sz w:val="24"/>
          <w:szCs w:val="24"/>
        </w:rPr>
        <w:t xml:space="preserve">partikül </w:t>
      </w:r>
      <w:r w:rsidR="00242DA0" w:rsidRPr="00DE12A3">
        <w:rPr>
          <w:sz w:val="24"/>
          <w:szCs w:val="24"/>
        </w:rPr>
        <w:t xml:space="preserve">halindeki emisyonlar, RMC sırasında </w:t>
      </w:r>
      <w:r w:rsidR="00951351" w:rsidRPr="00DE12A3">
        <w:rPr>
          <w:sz w:val="24"/>
          <w:szCs w:val="24"/>
        </w:rPr>
        <w:t xml:space="preserve">süreksiz </w:t>
      </w:r>
      <w:r w:rsidR="00242DA0" w:rsidRPr="00DE12A3">
        <w:rPr>
          <w:sz w:val="24"/>
          <w:szCs w:val="24"/>
        </w:rPr>
        <w:t xml:space="preserve">(NRTC veya LSI-NRTC) test </w:t>
      </w:r>
      <w:r w:rsidR="00951351" w:rsidRPr="00DE12A3">
        <w:rPr>
          <w:sz w:val="24"/>
          <w:szCs w:val="24"/>
        </w:rPr>
        <w:t>çevrimlerindeki</w:t>
      </w:r>
      <w:r w:rsidR="00242DA0" w:rsidRPr="00DE12A3">
        <w:rPr>
          <w:sz w:val="24"/>
          <w:szCs w:val="24"/>
        </w:rPr>
        <w:t xml:space="preserve"> gibi, aynı şekilde sürekli olarak ölçülmeli ve örneklenmelidir.</w:t>
      </w:r>
    </w:p>
    <w:p w14:paraId="57D0A2E8" w14:textId="77777777" w:rsidR="002D7B36" w:rsidRPr="00DE12A3" w:rsidRDefault="002B24E9" w:rsidP="00C917D6">
      <w:pPr>
        <w:pStyle w:val="Gvdemetni250"/>
        <w:spacing w:before="120" w:after="120" w:line="240" w:lineRule="auto"/>
        <w:ind w:left="1134" w:hanging="1134"/>
        <w:rPr>
          <w:sz w:val="24"/>
          <w:szCs w:val="24"/>
        </w:rPr>
      </w:pPr>
      <w:r w:rsidRPr="00DE12A3">
        <w:rPr>
          <w:sz w:val="24"/>
          <w:szCs w:val="24"/>
        </w:rPr>
        <w:lastRenderedPageBreak/>
        <w:t xml:space="preserve">                  </w:t>
      </w:r>
      <w:r w:rsidR="00242DA0" w:rsidRPr="00DE12A3">
        <w:rPr>
          <w:sz w:val="24"/>
          <w:szCs w:val="24"/>
        </w:rPr>
        <w:t xml:space="preserve">Bir RMC'nin </w:t>
      </w:r>
      <w:r w:rsidR="004E7F54" w:rsidRPr="00DE12A3">
        <w:rPr>
          <w:sz w:val="24"/>
          <w:szCs w:val="24"/>
        </w:rPr>
        <w:t>amacı, kararlı</w:t>
      </w:r>
      <w:r w:rsidR="00951351" w:rsidRPr="00DE12A3">
        <w:rPr>
          <w:sz w:val="24"/>
          <w:szCs w:val="24"/>
        </w:rPr>
        <w:t xml:space="preserve"> </w:t>
      </w:r>
      <w:r w:rsidR="004E7F54" w:rsidRPr="00DE12A3">
        <w:rPr>
          <w:sz w:val="24"/>
          <w:szCs w:val="24"/>
        </w:rPr>
        <w:t>durum testini</w:t>
      </w:r>
      <w:r w:rsidR="00242DA0" w:rsidRPr="00DE12A3">
        <w:rPr>
          <w:sz w:val="24"/>
          <w:szCs w:val="24"/>
        </w:rPr>
        <w:t xml:space="preserve"> sahte geçici bir şekilde gerçekleştirmek için bir yöntem sağlamaktır. Her RMC, aralarında doğrusal bir geçiş olan bir dizi </w:t>
      </w:r>
      <w:r w:rsidR="00951351" w:rsidRPr="00DE12A3">
        <w:rPr>
          <w:sz w:val="24"/>
          <w:szCs w:val="24"/>
        </w:rPr>
        <w:t xml:space="preserve">  kararlı </w:t>
      </w:r>
      <w:r w:rsidR="004E7F54" w:rsidRPr="00DE12A3">
        <w:rPr>
          <w:sz w:val="24"/>
          <w:szCs w:val="24"/>
        </w:rPr>
        <w:t>durum modundan</w:t>
      </w:r>
      <w:r w:rsidR="00242DA0" w:rsidRPr="00DE12A3">
        <w:rPr>
          <w:sz w:val="24"/>
          <w:szCs w:val="24"/>
        </w:rPr>
        <w:t xml:space="preserve"> oluşur. Her modda göreli toplam süre ve ondan önceki geçiş, ayrık modlu NRSC'nin ağırlıklandırması ile eşleşir. Bir moddan sonrakine geçişte motor devrindeki ve yükündeki değişim 20 ± 1 saniye içinde doğrusal olarak kontrol edilmelidir. Mod değiştirme zamanı, yeni modun bir parçasıdır (ilk mod için de). Bazı durumlarda modlar ayrık modlu NRSC ile aynı sırada yürütülmez veya sıcaklıkta aşırı değişiklikler olmasını önlemek için bölünürler.</w:t>
      </w:r>
    </w:p>
    <w:p w14:paraId="7A068EF8" w14:textId="77777777" w:rsidR="002D7B36" w:rsidRPr="00DE12A3" w:rsidRDefault="002B24E9" w:rsidP="00E20716">
      <w:pPr>
        <w:pStyle w:val="Gvdemetni250"/>
        <w:numPr>
          <w:ilvl w:val="0"/>
          <w:numId w:val="154"/>
        </w:numPr>
        <w:shd w:val="clear" w:color="auto" w:fill="auto"/>
        <w:spacing w:before="120" w:after="120" w:line="240" w:lineRule="auto"/>
        <w:ind w:left="1134" w:hanging="1134"/>
        <w:rPr>
          <w:sz w:val="24"/>
          <w:szCs w:val="24"/>
        </w:rPr>
      </w:pPr>
      <w:r w:rsidRPr="00DE12A3">
        <w:rPr>
          <w:sz w:val="24"/>
          <w:szCs w:val="24"/>
        </w:rPr>
        <w:t xml:space="preserve">      </w:t>
      </w:r>
      <w:r w:rsidR="004E7F54" w:rsidRPr="00DE12A3">
        <w:rPr>
          <w:sz w:val="24"/>
          <w:szCs w:val="24"/>
        </w:rPr>
        <w:t>Süreksiz (</w:t>
      </w:r>
      <w:r w:rsidR="00242DA0" w:rsidRPr="00DE12A3">
        <w:rPr>
          <w:sz w:val="24"/>
          <w:szCs w:val="24"/>
        </w:rPr>
        <w:t xml:space="preserve">NRTC ve LSI-NRTC) test </w:t>
      </w:r>
      <w:r w:rsidR="00951351" w:rsidRPr="00DE12A3">
        <w:rPr>
          <w:sz w:val="24"/>
          <w:szCs w:val="24"/>
        </w:rPr>
        <w:t>çevrimleri</w:t>
      </w:r>
    </w:p>
    <w:p w14:paraId="68A7C77D" w14:textId="61D327FE" w:rsidR="002D7B36" w:rsidRPr="00DE12A3" w:rsidRDefault="002B24E9" w:rsidP="00C917D6">
      <w:pPr>
        <w:pStyle w:val="Gvdemetni250"/>
        <w:shd w:val="clear" w:color="auto" w:fill="auto"/>
        <w:tabs>
          <w:tab w:val="left" w:pos="567"/>
        </w:tabs>
        <w:spacing w:before="120" w:after="120" w:line="240" w:lineRule="auto"/>
        <w:ind w:left="1134" w:hanging="1134"/>
        <w:rPr>
          <w:sz w:val="24"/>
          <w:szCs w:val="24"/>
        </w:rPr>
      </w:pPr>
      <w:r w:rsidRPr="00DE12A3">
        <w:rPr>
          <w:sz w:val="24"/>
          <w:szCs w:val="24"/>
        </w:rPr>
        <w:t xml:space="preserve">                 </w:t>
      </w:r>
      <w:r w:rsidR="00242DA0" w:rsidRPr="00DE12A3">
        <w:rPr>
          <w:sz w:val="24"/>
          <w:szCs w:val="24"/>
        </w:rPr>
        <w:t xml:space="preserve">NRE (NRTC) kategorisindeki motorlar için karayolo dışında </w:t>
      </w:r>
      <w:r w:rsidR="00951351" w:rsidRPr="00DE12A3">
        <w:rPr>
          <w:sz w:val="24"/>
          <w:szCs w:val="24"/>
        </w:rPr>
        <w:t>süreksiz</w:t>
      </w:r>
      <w:r w:rsidR="00242DA0" w:rsidRPr="00DE12A3">
        <w:rPr>
          <w:sz w:val="24"/>
          <w:szCs w:val="24"/>
        </w:rPr>
        <w:t xml:space="preserve"> </w:t>
      </w:r>
      <w:r w:rsidR="00951351" w:rsidRPr="00DE12A3">
        <w:rPr>
          <w:sz w:val="24"/>
          <w:szCs w:val="24"/>
        </w:rPr>
        <w:t>çevrimi</w:t>
      </w:r>
      <w:r w:rsidR="00242DA0" w:rsidRPr="00DE12A3">
        <w:rPr>
          <w:sz w:val="24"/>
          <w:szCs w:val="24"/>
        </w:rPr>
        <w:t xml:space="preserve"> ve NRS (LSI-NRTC) kategorisindeki büyük kıvılcım ateşlemeli motorlar için karayolu dışında </w:t>
      </w:r>
      <w:r w:rsidR="00951351" w:rsidRPr="00DE12A3">
        <w:rPr>
          <w:sz w:val="24"/>
          <w:szCs w:val="24"/>
        </w:rPr>
        <w:t xml:space="preserve">  süreksiz   çevriminin her</w:t>
      </w:r>
      <w:r w:rsidR="00242DA0" w:rsidRPr="00DE12A3">
        <w:rPr>
          <w:sz w:val="24"/>
          <w:szCs w:val="24"/>
        </w:rPr>
        <w:t xml:space="preserve"> biri, saniye-saniye bir normalleştirilmiş devir ve tork değerleri dizisi olarak X</w:t>
      </w:r>
      <w:r w:rsidR="00FA0678" w:rsidRPr="00DE12A3">
        <w:rPr>
          <w:sz w:val="24"/>
          <w:szCs w:val="24"/>
        </w:rPr>
        <w:t xml:space="preserve">VII’nci </w:t>
      </w:r>
      <w:r w:rsidR="00850EBE" w:rsidRPr="00DE12A3">
        <w:rPr>
          <w:sz w:val="24"/>
          <w:szCs w:val="24"/>
        </w:rPr>
        <w:t>E</w:t>
      </w:r>
      <w:r w:rsidR="00FA0678" w:rsidRPr="00DE12A3">
        <w:rPr>
          <w:sz w:val="24"/>
          <w:szCs w:val="24"/>
        </w:rPr>
        <w:t>k</w:t>
      </w:r>
      <w:r w:rsidR="00242DA0" w:rsidRPr="00DE12A3">
        <w:rPr>
          <w:sz w:val="24"/>
          <w:szCs w:val="24"/>
        </w:rPr>
        <w:t xml:space="preserve">in </w:t>
      </w:r>
      <w:r w:rsidR="00CD23C3" w:rsidRPr="00DE12A3">
        <w:rPr>
          <w:sz w:val="24"/>
          <w:szCs w:val="24"/>
        </w:rPr>
        <w:t>3. Açıklayıcı Ek</w:t>
      </w:r>
      <w:r w:rsidR="00242DA0" w:rsidRPr="00DE12A3">
        <w:rPr>
          <w:sz w:val="24"/>
          <w:szCs w:val="24"/>
        </w:rPr>
        <w:t xml:space="preserve">inde belirtilmiştir. Testi bir motor test hücresinde gerçekleştirmek için, normalleştirilmiş değerler motor eşleştirme eğrisinde belirtilen belirli devir ve tork değerlerine bağlı olarak test edilecek her bir motor için denk referans değerlerine dönüştürülmelidir. Dönüşüm, denormalizasyon olarak ifade edilir ve sonuçta ortaya çıkan test </w:t>
      </w:r>
      <w:r w:rsidR="00F310B5" w:rsidRPr="00DE12A3">
        <w:rPr>
          <w:sz w:val="24"/>
          <w:szCs w:val="24"/>
        </w:rPr>
        <w:t>çevrimi</w:t>
      </w:r>
      <w:r w:rsidR="00242DA0" w:rsidRPr="00DE12A3">
        <w:rPr>
          <w:sz w:val="24"/>
          <w:szCs w:val="24"/>
        </w:rPr>
        <w:t xml:space="preserve">, test edilecek motorun referans NRTC veya LSI-NRTC test </w:t>
      </w:r>
      <w:r w:rsidR="00F310B5" w:rsidRPr="00DE12A3">
        <w:rPr>
          <w:sz w:val="24"/>
          <w:szCs w:val="24"/>
        </w:rPr>
        <w:t>çevrimidir</w:t>
      </w:r>
      <w:r w:rsidR="00242DA0" w:rsidRPr="00DE12A3">
        <w:rPr>
          <w:sz w:val="24"/>
          <w:szCs w:val="24"/>
        </w:rPr>
        <w:t xml:space="preserve"> (bkz. 7.7.2 bendi).</w:t>
      </w:r>
    </w:p>
    <w:p w14:paraId="079CE8F2" w14:textId="77777777" w:rsidR="002D7B36" w:rsidRPr="00DE12A3" w:rsidRDefault="00242DA0" w:rsidP="00E20716">
      <w:pPr>
        <w:pStyle w:val="Gvdemetni250"/>
        <w:numPr>
          <w:ilvl w:val="0"/>
          <w:numId w:val="156"/>
        </w:numPr>
        <w:shd w:val="clear" w:color="auto" w:fill="auto"/>
        <w:spacing w:before="120" w:after="120" w:line="240" w:lineRule="auto"/>
        <w:ind w:left="1134" w:hanging="1134"/>
        <w:rPr>
          <w:sz w:val="24"/>
          <w:szCs w:val="24"/>
        </w:rPr>
      </w:pPr>
      <w:r w:rsidRPr="00DE12A3">
        <w:rPr>
          <w:sz w:val="24"/>
          <w:szCs w:val="24"/>
        </w:rPr>
        <w:t>NRTC için test dizisi</w:t>
      </w:r>
    </w:p>
    <w:p w14:paraId="2700006A" w14:textId="25AB569D" w:rsidR="002D7B36" w:rsidRPr="00DE12A3" w:rsidRDefault="002B24E9" w:rsidP="00C917D6">
      <w:pPr>
        <w:pStyle w:val="Gvdemetni250"/>
        <w:spacing w:before="120" w:after="120" w:line="240" w:lineRule="auto"/>
        <w:ind w:left="1134" w:hanging="1134"/>
        <w:rPr>
          <w:sz w:val="24"/>
          <w:szCs w:val="24"/>
        </w:rPr>
      </w:pPr>
      <w:r w:rsidRPr="00DE12A3">
        <w:rPr>
          <w:sz w:val="24"/>
          <w:szCs w:val="24"/>
        </w:rPr>
        <w:t xml:space="preserve">                   </w:t>
      </w:r>
      <w:r w:rsidR="00242DA0" w:rsidRPr="00DE12A3">
        <w:rPr>
          <w:sz w:val="24"/>
          <w:szCs w:val="24"/>
        </w:rPr>
        <w:t>Normalleştirilmiş NRTC dinamometre programının grafik görüntüsü Şekil 6.3'</w:t>
      </w:r>
      <w:r w:rsidR="00B8261D" w:rsidRPr="00DE12A3">
        <w:rPr>
          <w:sz w:val="24"/>
          <w:szCs w:val="24"/>
        </w:rPr>
        <w:t>t</w:t>
      </w:r>
      <w:r w:rsidR="00242DA0" w:rsidRPr="00DE12A3">
        <w:rPr>
          <w:sz w:val="24"/>
          <w:szCs w:val="24"/>
        </w:rPr>
        <w:t>e gösterilmiştir.</w:t>
      </w:r>
    </w:p>
    <w:p w14:paraId="461CADBC" w14:textId="77777777" w:rsidR="002D7B36" w:rsidRPr="00DE12A3" w:rsidRDefault="00242DA0" w:rsidP="00C917D6">
      <w:pPr>
        <w:pStyle w:val="Gvdemetni250"/>
        <w:spacing w:before="120" w:after="120" w:line="240" w:lineRule="auto"/>
        <w:ind w:left="1134" w:hanging="1134"/>
        <w:jc w:val="center"/>
        <w:rPr>
          <w:i/>
          <w:iCs/>
          <w:sz w:val="24"/>
          <w:szCs w:val="24"/>
        </w:rPr>
      </w:pPr>
      <w:r w:rsidRPr="00DE12A3">
        <w:rPr>
          <w:sz w:val="24"/>
          <w:szCs w:val="24"/>
        </w:rPr>
        <w:t>Şekil 6.3</w:t>
      </w:r>
    </w:p>
    <w:p w14:paraId="5541ED39" w14:textId="77777777" w:rsidR="002D7B36" w:rsidRPr="00DE12A3" w:rsidRDefault="00242DA0" w:rsidP="00C917D6">
      <w:pPr>
        <w:pStyle w:val="Gvdemetni250"/>
        <w:spacing w:before="120" w:after="120" w:line="240" w:lineRule="auto"/>
        <w:ind w:left="1134" w:hanging="1134"/>
        <w:jc w:val="center"/>
        <w:rPr>
          <w:b/>
          <w:bCs/>
          <w:sz w:val="24"/>
          <w:szCs w:val="24"/>
        </w:rPr>
      </w:pPr>
      <w:r w:rsidRPr="00DE12A3">
        <w:rPr>
          <w:b/>
          <w:bCs/>
          <w:sz w:val="24"/>
          <w:szCs w:val="24"/>
        </w:rPr>
        <w:t>NRTC normalize edilmiş dinamometre programı</w:t>
      </w:r>
    </w:p>
    <w:p w14:paraId="5D367B12" w14:textId="39267DFB" w:rsidR="002D7B36" w:rsidRPr="00DE12A3" w:rsidRDefault="002D7B36" w:rsidP="005501E3">
      <w:pPr>
        <w:pStyle w:val="Gvdemetni250"/>
        <w:spacing w:before="120" w:after="120" w:line="240" w:lineRule="auto"/>
        <w:ind w:left="709" w:firstLine="0"/>
        <w:rPr>
          <w:sz w:val="20"/>
          <w:szCs w:val="20"/>
        </w:rPr>
      </w:pPr>
    </w:p>
    <w:p w14:paraId="0E1C59CD" w14:textId="222278AA" w:rsidR="002D7B36" w:rsidRPr="00DE12A3" w:rsidRDefault="00FE3226" w:rsidP="005501E3">
      <w:pPr>
        <w:pStyle w:val="Gvdemetni250"/>
        <w:spacing w:before="120" w:after="120" w:line="240" w:lineRule="auto"/>
        <w:ind w:left="709" w:hanging="709"/>
        <w:jc w:val="center"/>
        <w:rPr>
          <w:sz w:val="20"/>
          <w:szCs w:val="20"/>
        </w:rPr>
      </w:pPr>
      <w:r w:rsidRPr="00DE12A3">
        <w:rPr>
          <w:noProof/>
          <w:sz w:val="20"/>
          <w:szCs w:val="20"/>
          <w:lang w:eastAsia="tr-TR"/>
        </w:rPr>
        <w:drawing>
          <wp:inline distT="0" distB="0" distL="0" distR="0" wp14:anchorId="4B76721A" wp14:editId="46B885D2">
            <wp:extent cx="5343525" cy="3248025"/>
            <wp:effectExtent l="0" t="0" r="9525" b="9525"/>
            <wp:docPr id="137" name="Resim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343525" cy="3248025"/>
                    </a:xfrm>
                    <a:prstGeom prst="rect">
                      <a:avLst/>
                    </a:prstGeom>
                    <a:noFill/>
                    <a:ln>
                      <a:noFill/>
                    </a:ln>
                  </pic:spPr>
                </pic:pic>
              </a:graphicData>
            </a:graphic>
          </wp:inline>
        </w:drawing>
      </w:r>
    </w:p>
    <w:p w14:paraId="70ADD567" w14:textId="5C40D9E0" w:rsidR="002D7B36" w:rsidRPr="00DE12A3" w:rsidRDefault="002D7B36" w:rsidP="00C917D6">
      <w:pPr>
        <w:pStyle w:val="Gvdemetni250"/>
        <w:shd w:val="clear" w:color="auto" w:fill="auto"/>
        <w:spacing w:before="120" w:after="120" w:line="240" w:lineRule="auto"/>
        <w:ind w:left="709" w:hanging="709"/>
        <w:rPr>
          <w:sz w:val="20"/>
          <w:szCs w:val="20"/>
        </w:rPr>
      </w:pPr>
    </w:p>
    <w:p w14:paraId="57E0B8A4" w14:textId="76D65387" w:rsidR="002D7B36" w:rsidRPr="00DE12A3" w:rsidRDefault="002D7B36" w:rsidP="00C917D6">
      <w:pPr>
        <w:pStyle w:val="Gvdemetni250"/>
        <w:shd w:val="clear" w:color="auto" w:fill="auto"/>
        <w:spacing w:before="120" w:after="120" w:line="240" w:lineRule="auto"/>
        <w:ind w:left="709" w:hanging="709"/>
        <w:rPr>
          <w:sz w:val="20"/>
          <w:szCs w:val="20"/>
        </w:rPr>
      </w:pPr>
    </w:p>
    <w:p w14:paraId="3CC89DED" w14:textId="779674EC" w:rsidR="00F67D7E" w:rsidRPr="00DE12A3" w:rsidRDefault="002B24E9" w:rsidP="00C917D6">
      <w:pPr>
        <w:pStyle w:val="Gvdemetni250"/>
        <w:spacing w:before="120" w:after="120" w:line="240" w:lineRule="auto"/>
        <w:ind w:left="1134" w:hanging="1134"/>
        <w:rPr>
          <w:sz w:val="24"/>
          <w:szCs w:val="24"/>
        </w:rPr>
      </w:pPr>
      <w:r w:rsidRPr="00DE12A3">
        <w:rPr>
          <w:sz w:val="24"/>
          <w:szCs w:val="24"/>
        </w:rPr>
        <w:t xml:space="preserve">      </w:t>
      </w:r>
    </w:p>
    <w:p w14:paraId="2C0238D6" w14:textId="77777777" w:rsidR="002D7B36" w:rsidRPr="00DE12A3" w:rsidRDefault="00242DA0" w:rsidP="005501E3">
      <w:pPr>
        <w:pStyle w:val="Gvdemetni250"/>
        <w:spacing w:before="120" w:after="120" w:line="240" w:lineRule="auto"/>
        <w:ind w:left="1134" w:hanging="1134"/>
        <w:rPr>
          <w:sz w:val="24"/>
          <w:szCs w:val="24"/>
        </w:rPr>
      </w:pPr>
      <w:r w:rsidRPr="00DE12A3">
        <w:rPr>
          <w:sz w:val="24"/>
          <w:szCs w:val="24"/>
        </w:rPr>
        <w:t xml:space="preserve">NRTC, ön koşullandırma tamamlandıktan sonra aşağıdaki prosedür uyarınca iki kez </w:t>
      </w:r>
      <w:r w:rsidRPr="00DE12A3">
        <w:rPr>
          <w:sz w:val="24"/>
          <w:szCs w:val="24"/>
        </w:rPr>
        <w:lastRenderedPageBreak/>
        <w:t>çalıştırılmalıdır (bkz. 7.3.1.1.1 bendi).</w:t>
      </w:r>
    </w:p>
    <w:p w14:paraId="6C4B41DB" w14:textId="35193C85" w:rsidR="002D7B36" w:rsidRPr="00DE12A3" w:rsidRDefault="002B24E9" w:rsidP="00E20716">
      <w:pPr>
        <w:pStyle w:val="Gvdemetni250"/>
        <w:numPr>
          <w:ilvl w:val="0"/>
          <w:numId w:val="157"/>
        </w:numPr>
        <w:spacing w:before="120" w:after="120" w:line="240" w:lineRule="auto"/>
        <w:ind w:left="1701" w:hanging="567"/>
        <w:rPr>
          <w:sz w:val="24"/>
          <w:szCs w:val="24"/>
        </w:rPr>
      </w:pPr>
      <w:r w:rsidRPr="00DE12A3">
        <w:rPr>
          <w:sz w:val="24"/>
          <w:szCs w:val="24"/>
        </w:rPr>
        <w:t xml:space="preserve">     S</w:t>
      </w:r>
      <w:r w:rsidR="00242DA0" w:rsidRPr="00DE12A3">
        <w:rPr>
          <w:sz w:val="24"/>
          <w:szCs w:val="24"/>
        </w:rPr>
        <w:t xml:space="preserve">oğuk çalıştırma uygulaması; motor ve egzoz </w:t>
      </w:r>
      <w:r w:rsidR="007E2039" w:rsidRPr="00DE12A3">
        <w:rPr>
          <w:sz w:val="24"/>
          <w:szCs w:val="24"/>
        </w:rPr>
        <w:t xml:space="preserve">arıtma </w:t>
      </w:r>
      <w:r w:rsidR="00242DA0" w:rsidRPr="00DE12A3">
        <w:rPr>
          <w:sz w:val="24"/>
          <w:szCs w:val="24"/>
        </w:rPr>
        <w:t xml:space="preserve">sistemleri, doğal motor soğutmasından sonra veya cebri soğutmadan sonra oda sıcaklığına düştükten sonra ve motor, soğutma suyu ve yağ sıcaklıkları, egzoz </w:t>
      </w:r>
      <w:r w:rsidR="007E2039" w:rsidRPr="00DE12A3">
        <w:rPr>
          <w:sz w:val="24"/>
          <w:szCs w:val="24"/>
        </w:rPr>
        <w:t xml:space="preserve">arıtma </w:t>
      </w:r>
      <w:r w:rsidR="00242DA0" w:rsidRPr="00DE12A3">
        <w:rPr>
          <w:sz w:val="24"/>
          <w:szCs w:val="24"/>
        </w:rPr>
        <w:t>sistemleri ve tüm motor kontrol cihazları 293 K ila 303 K (20°C ila 30°C) arasında dengelendikten sonra başlatılmalıdır. Bu çalıştırmaya ilişkin emisyonların ölçümü, soğuk motorun çalıştırılması ile başlatılmalıdır</w:t>
      </w:r>
      <w:r w:rsidR="00B8261D" w:rsidRPr="00DE12A3">
        <w:rPr>
          <w:sz w:val="24"/>
          <w:szCs w:val="24"/>
        </w:rPr>
        <w:t>.</w:t>
      </w:r>
    </w:p>
    <w:p w14:paraId="1E2A5FC7" w14:textId="24339A74" w:rsidR="0040229E" w:rsidRPr="00DE12A3" w:rsidRDefault="00242DA0" w:rsidP="00E20716">
      <w:pPr>
        <w:pStyle w:val="Gvdemetni250"/>
        <w:numPr>
          <w:ilvl w:val="0"/>
          <w:numId w:val="157"/>
        </w:numPr>
        <w:spacing w:before="120" w:after="120" w:line="240" w:lineRule="auto"/>
        <w:ind w:left="1701" w:firstLine="0"/>
        <w:rPr>
          <w:sz w:val="24"/>
          <w:szCs w:val="24"/>
        </w:rPr>
      </w:pPr>
      <w:r w:rsidRPr="00DE12A3">
        <w:rPr>
          <w:sz w:val="24"/>
          <w:szCs w:val="24"/>
        </w:rPr>
        <w:t xml:space="preserve">Isı emilimi dönemi, soğuk çalıştırma aşaması tamamlandıktan hemen sonra başlamalıdır. Motor kapatılmalı ve 20 dakika ± 1 dakika bekletilerek sıcak çalıştırma uygulaması için </w:t>
      </w:r>
      <w:r w:rsidR="002B24E9" w:rsidRPr="00DE12A3">
        <w:rPr>
          <w:sz w:val="24"/>
          <w:szCs w:val="24"/>
        </w:rPr>
        <w:t>koşullandırılmalıdır;</w:t>
      </w:r>
      <w:r w:rsidR="00B8261D" w:rsidRPr="00DE12A3">
        <w:rPr>
          <w:sz w:val="24"/>
          <w:szCs w:val="24"/>
        </w:rPr>
        <w:t>.</w:t>
      </w:r>
    </w:p>
    <w:p w14:paraId="5AA91A73" w14:textId="77777777" w:rsidR="002D7B36" w:rsidRPr="00DE12A3" w:rsidRDefault="002B24E9" w:rsidP="00E20716">
      <w:pPr>
        <w:pStyle w:val="Gvdemetni250"/>
        <w:numPr>
          <w:ilvl w:val="0"/>
          <w:numId w:val="157"/>
        </w:numPr>
        <w:spacing w:before="120" w:after="120" w:line="240" w:lineRule="auto"/>
        <w:ind w:left="1701" w:hanging="567"/>
        <w:rPr>
          <w:sz w:val="24"/>
          <w:szCs w:val="24"/>
        </w:rPr>
      </w:pPr>
      <w:r w:rsidRPr="00DE12A3">
        <w:rPr>
          <w:sz w:val="24"/>
          <w:szCs w:val="24"/>
        </w:rPr>
        <w:t xml:space="preserve">     </w:t>
      </w:r>
      <w:r w:rsidR="00242DA0" w:rsidRPr="00DE12A3">
        <w:rPr>
          <w:sz w:val="24"/>
          <w:szCs w:val="24"/>
        </w:rPr>
        <w:t>Sıcak çalıştırma uygulaması, ıslanma döneminden hemen sonra marşa basılmasıyla başlamalıdır. Anahtarlama sinyali tepe noktalarından kaçınmak için gaz analiz cihazları ıslatma dönemi bitmeden en az 10 saniye önce açılmalıdır. Bu çalıştırmaya ilişkin emisyonların ölçümü, marşa basılmasına paralel olarak başlatılmalıdır.</w:t>
      </w:r>
    </w:p>
    <w:p w14:paraId="2468A0B8" w14:textId="6AB90956" w:rsidR="002D7B36" w:rsidRPr="00DE12A3" w:rsidRDefault="002B24E9" w:rsidP="00C917D6">
      <w:pPr>
        <w:pStyle w:val="Gvdemetni250"/>
        <w:spacing w:before="120" w:after="120" w:line="240" w:lineRule="auto"/>
        <w:ind w:left="1134" w:hanging="1134"/>
        <w:rPr>
          <w:sz w:val="24"/>
          <w:szCs w:val="24"/>
        </w:rPr>
      </w:pPr>
      <w:r w:rsidRPr="00DE12A3">
        <w:rPr>
          <w:sz w:val="24"/>
          <w:szCs w:val="24"/>
        </w:rPr>
        <w:t xml:space="preserve">                  </w:t>
      </w:r>
      <w:r w:rsidR="00242DA0" w:rsidRPr="00DE12A3">
        <w:rPr>
          <w:sz w:val="24"/>
          <w:szCs w:val="24"/>
        </w:rPr>
        <w:t xml:space="preserve">PN için (g / kWh) veya kilowatt-saat başına sayı (# / kWh) cinsinden ifade edilen frene özgü emisyonlar, test </w:t>
      </w:r>
      <w:r w:rsidR="007E2039" w:rsidRPr="00DE12A3">
        <w:rPr>
          <w:sz w:val="24"/>
          <w:szCs w:val="24"/>
        </w:rPr>
        <w:t>çevrimini</w:t>
      </w:r>
      <w:r w:rsidR="00242DA0" w:rsidRPr="00DE12A3">
        <w:rPr>
          <w:sz w:val="24"/>
          <w:szCs w:val="24"/>
        </w:rPr>
        <w:t xml:space="preserve">n hem soğuk çalıştırmalı ​​uygulaması hem de ön ısıtmalı uygulaması için bu </w:t>
      </w:r>
      <w:r w:rsidR="00E9358F" w:rsidRPr="00DE12A3">
        <w:rPr>
          <w:sz w:val="24"/>
          <w:szCs w:val="24"/>
        </w:rPr>
        <w:t>B</w:t>
      </w:r>
      <w:r w:rsidR="00242DA0" w:rsidRPr="00DE12A3">
        <w:rPr>
          <w:sz w:val="24"/>
          <w:szCs w:val="24"/>
        </w:rPr>
        <w:t xml:space="preserve">ölümde belirtilen prosedürler kullanılarak belirlenir. Bileşik ağırlıklı emisyonlar, </w:t>
      </w:r>
      <w:r w:rsidR="00FA0678" w:rsidRPr="00DE12A3">
        <w:rPr>
          <w:sz w:val="24"/>
          <w:szCs w:val="24"/>
        </w:rPr>
        <w:t xml:space="preserve">VII’nci </w:t>
      </w:r>
      <w:r w:rsidR="00850EBE" w:rsidRPr="00DE12A3">
        <w:rPr>
          <w:sz w:val="24"/>
          <w:szCs w:val="24"/>
        </w:rPr>
        <w:t>E</w:t>
      </w:r>
      <w:r w:rsidR="00FA0678" w:rsidRPr="00DE12A3">
        <w:rPr>
          <w:sz w:val="24"/>
          <w:szCs w:val="24"/>
        </w:rPr>
        <w:t>k</w:t>
      </w:r>
      <w:r w:rsidR="00242DA0" w:rsidRPr="00DE12A3">
        <w:rPr>
          <w:sz w:val="24"/>
          <w:szCs w:val="24"/>
        </w:rPr>
        <w:t>te belirtildiği gibi soğuk çalıştırmalı uygulama sonuçlarının %10 ve ön ısıtmalı uygulama sonuçlarının %90 oranında ağırlıklandırılması ile hesaplanır.</w:t>
      </w:r>
    </w:p>
    <w:p w14:paraId="5CEA7EBF" w14:textId="77777777" w:rsidR="002D7B36" w:rsidRPr="00DE12A3" w:rsidRDefault="00242DA0" w:rsidP="00E20716">
      <w:pPr>
        <w:pStyle w:val="Gvdemetni250"/>
        <w:numPr>
          <w:ilvl w:val="0"/>
          <w:numId w:val="156"/>
        </w:numPr>
        <w:spacing w:before="120" w:after="120" w:line="240" w:lineRule="auto"/>
        <w:ind w:left="1134" w:hanging="1134"/>
        <w:rPr>
          <w:sz w:val="24"/>
          <w:szCs w:val="24"/>
        </w:rPr>
      </w:pPr>
      <w:r w:rsidRPr="00DE12A3">
        <w:rPr>
          <w:sz w:val="24"/>
          <w:szCs w:val="24"/>
        </w:rPr>
        <w:t>LSI-NRTC için test dizisi</w:t>
      </w:r>
    </w:p>
    <w:p w14:paraId="2B0D3F4D" w14:textId="77777777" w:rsidR="002D7B36" w:rsidRPr="00DE12A3" w:rsidRDefault="00242DA0" w:rsidP="00C917D6">
      <w:pPr>
        <w:pStyle w:val="Gvdemetni250"/>
        <w:spacing w:before="120" w:after="120" w:line="240" w:lineRule="auto"/>
        <w:ind w:left="1134" w:firstLine="0"/>
        <w:rPr>
          <w:sz w:val="24"/>
          <w:szCs w:val="24"/>
        </w:rPr>
      </w:pPr>
      <w:r w:rsidRPr="00DE12A3">
        <w:rPr>
          <w:sz w:val="24"/>
          <w:szCs w:val="24"/>
        </w:rPr>
        <w:t>LSI-NRTC, bir ön koşullandırma tamamlandıktan sonra, aşağıdaki prosedür uyarınca sıcak çalıştırmalı bir uygulama olarak bir kez yürütülmelidir (bkz. 7.3.1.1.2):</w:t>
      </w:r>
    </w:p>
    <w:p w14:paraId="3642459D" w14:textId="77777777" w:rsidR="002D7B36" w:rsidRPr="00DE12A3" w:rsidRDefault="002B24E9" w:rsidP="00E20716">
      <w:pPr>
        <w:pStyle w:val="Gvdemetni250"/>
        <w:numPr>
          <w:ilvl w:val="0"/>
          <w:numId w:val="158"/>
        </w:numPr>
        <w:spacing w:before="120" w:after="120" w:line="240" w:lineRule="auto"/>
        <w:ind w:left="1701" w:hanging="567"/>
        <w:rPr>
          <w:sz w:val="24"/>
          <w:szCs w:val="24"/>
        </w:rPr>
      </w:pPr>
      <w:r w:rsidRPr="00DE12A3">
        <w:rPr>
          <w:sz w:val="24"/>
          <w:szCs w:val="24"/>
        </w:rPr>
        <w:t xml:space="preserve">    M</w:t>
      </w:r>
      <w:r w:rsidR="00242DA0" w:rsidRPr="00DE12A3">
        <w:rPr>
          <w:sz w:val="24"/>
          <w:szCs w:val="24"/>
        </w:rPr>
        <w:t xml:space="preserve">otor, hizmet </w:t>
      </w:r>
      <w:r w:rsidR="007E2039" w:rsidRPr="00DE12A3">
        <w:rPr>
          <w:sz w:val="24"/>
          <w:szCs w:val="24"/>
        </w:rPr>
        <w:t>çevrimini</w:t>
      </w:r>
      <w:r w:rsidR="00242DA0" w:rsidRPr="00DE12A3">
        <w:rPr>
          <w:sz w:val="24"/>
          <w:szCs w:val="24"/>
        </w:rPr>
        <w:t>n ilk 180 saniyesi boyunca çalıştırılır ve çalışır, daha sonra 30 saniye boyunca boşta çalışır. Emisyonlar, bu ısınma dizisi sırasında ölçülmez.</w:t>
      </w:r>
    </w:p>
    <w:p w14:paraId="27756D4E" w14:textId="77777777" w:rsidR="002D7B36" w:rsidRPr="00DE12A3" w:rsidRDefault="00242DA0" w:rsidP="00E20716">
      <w:pPr>
        <w:pStyle w:val="Gvdemetni250"/>
        <w:numPr>
          <w:ilvl w:val="0"/>
          <w:numId w:val="158"/>
        </w:numPr>
        <w:spacing w:before="120" w:after="120" w:line="240" w:lineRule="auto"/>
        <w:ind w:left="1701" w:hanging="567"/>
        <w:rPr>
          <w:sz w:val="24"/>
          <w:szCs w:val="24"/>
        </w:rPr>
      </w:pPr>
      <w:r w:rsidRPr="00DE12A3">
        <w:rPr>
          <w:sz w:val="24"/>
          <w:szCs w:val="24"/>
        </w:rPr>
        <w:t xml:space="preserve">30 saniyelik boşta çalışma süresi sonunda emisyon ölçümü başlatılmalı ve motor başından itibaren tüm hizmet </w:t>
      </w:r>
      <w:r w:rsidR="00F310B5" w:rsidRPr="00DE12A3">
        <w:rPr>
          <w:sz w:val="24"/>
          <w:szCs w:val="24"/>
        </w:rPr>
        <w:t>çevrimi</w:t>
      </w:r>
      <w:r w:rsidRPr="00DE12A3">
        <w:rPr>
          <w:sz w:val="24"/>
          <w:szCs w:val="24"/>
        </w:rPr>
        <w:t xml:space="preserve"> boyunca çalıştırılmalıdır (süre 0 sn).</w:t>
      </w:r>
    </w:p>
    <w:p w14:paraId="5EEF17EF" w14:textId="183714CD" w:rsidR="002D7B36" w:rsidRPr="00DE12A3" w:rsidRDefault="002B24E9" w:rsidP="00C917D6">
      <w:pPr>
        <w:pStyle w:val="Gvdemetni250"/>
        <w:spacing w:before="120" w:after="120" w:line="240" w:lineRule="auto"/>
        <w:ind w:left="1701" w:hanging="567"/>
        <w:rPr>
          <w:sz w:val="24"/>
          <w:szCs w:val="24"/>
        </w:rPr>
      </w:pPr>
      <w:r w:rsidRPr="00DE12A3">
        <w:rPr>
          <w:sz w:val="24"/>
          <w:szCs w:val="24"/>
        </w:rPr>
        <w:t xml:space="preserve">         </w:t>
      </w:r>
      <w:r w:rsidR="00242DA0" w:rsidRPr="00DE12A3">
        <w:rPr>
          <w:sz w:val="24"/>
          <w:szCs w:val="24"/>
        </w:rPr>
        <w:t xml:space="preserve">(g/kWh) cinsinden ifade edilen frene özgü emisyonlar </w:t>
      </w:r>
      <w:r w:rsidR="00FA0678" w:rsidRPr="00DE12A3">
        <w:rPr>
          <w:sz w:val="24"/>
          <w:szCs w:val="24"/>
        </w:rPr>
        <w:t xml:space="preserve">VII’nci </w:t>
      </w:r>
      <w:r w:rsidR="00850EBE" w:rsidRPr="00DE12A3">
        <w:rPr>
          <w:sz w:val="24"/>
          <w:szCs w:val="24"/>
        </w:rPr>
        <w:t>E</w:t>
      </w:r>
      <w:r w:rsidR="00FA0678" w:rsidRPr="00DE12A3">
        <w:rPr>
          <w:sz w:val="24"/>
          <w:szCs w:val="24"/>
        </w:rPr>
        <w:t>k</w:t>
      </w:r>
      <w:r w:rsidR="00242DA0" w:rsidRPr="00DE12A3">
        <w:rPr>
          <w:sz w:val="24"/>
          <w:szCs w:val="24"/>
        </w:rPr>
        <w:t>teki prosedürler kullanılarak belirlenir.</w:t>
      </w:r>
    </w:p>
    <w:p w14:paraId="15761A6C" w14:textId="77777777" w:rsidR="002D7B36" w:rsidRPr="00DE12A3" w:rsidRDefault="002B24E9" w:rsidP="00C917D6">
      <w:pPr>
        <w:pStyle w:val="Gvdemetni250"/>
        <w:spacing w:before="120" w:after="120" w:line="240" w:lineRule="auto"/>
        <w:ind w:left="1134" w:hanging="1134"/>
        <w:rPr>
          <w:sz w:val="24"/>
          <w:szCs w:val="24"/>
        </w:rPr>
      </w:pPr>
      <w:r w:rsidRPr="00DE12A3">
        <w:rPr>
          <w:sz w:val="24"/>
          <w:szCs w:val="24"/>
        </w:rPr>
        <w:t xml:space="preserve">                  </w:t>
      </w:r>
      <w:r w:rsidR="00242DA0" w:rsidRPr="00DE12A3">
        <w:rPr>
          <w:sz w:val="24"/>
          <w:szCs w:val="24"/>
        </w:rPr>
        <w:t xml:space="preserve">Motor testten önce halihazırda çalışıyorsa, ölçülen emisyonların oda sıcaklığında çalıştırılan bir motordan yayılanlar emisyonları doğru şekilde temsil etmesi için iyi mühendislik kararı kullanın, motorun yeterince soğumasına izin verin. Örneğin, oda sıcaklığında çalıştırılan bir motor kapalı </w:t>
      </w:r>
      <w:r w:rsidR="00F310B5" w:rsidRPr="00DE12A3">
        <w:rPr>
          <w:sz w:val="24"/>
          <w:szCs w:val="24"/>
        </w:rPr>
        <w:t>çevrim</w:t>
      </w:r>
      <w:r w:rsidR="00242DA0" w:rsidRPr="00DE12A3">
        <w:rPr>
          <w:sz w:val="24"/>
          <w:szCs w:val="24"/>
        </w:rPr>
        <w:t xml:space="preserve"> çalışmasını başlatmak ve tam katalizör faaliyetine ulaşmak için üç dakika içinde yeterince ısınırsa, bir sonraki teste başlamadan önce asgari düzeyde motor soğutması gerekir.</w:t>
      </w:r>
    </w:p>
    <w:p w14:paraId="6EE0589B" w14:textId="77777777" w:rsidR="002D7B36" w:rsidRPr="00DE12A3" w:rsidRDefault="002B24E9" w:rsidP="00C917D6">
      <w:pPr>
        <w:pStyle w:val="Gvdemetni250"/>
        <w:spacing w:before="120" w:after="120" w:line="240" w:lineRule="auto"/>
        <w:ind w:left="1134" w:hanging="1134"/>
        <w:rPr>
          <w:sz w:val="24"/>
          <w:szCs w:val="24"/>
        </w:rPr>
      </w:pPr>
      <w:r w:rsidRPr="00DE12A3">
        <w:rPr>
          <w:sz w:val="24"/>
          <w:szCs w:val="24"/>
        </w:rPr>
        <w:t xml:space="preserve">                  </w:t>
      </w:r>
      <w:r w:rsidR="00242DA0" w:rsidRPr="00DE12A3">
        <w:rPr>
          <w:sz w:val="24"/>
          <w:szCs w:val="24"/>
        </w:rPr>
        <w:t xml:space="preserve">Teknik servisin önceden mutabakatı ile, motorun ısınma prosedürü, hizmet </w:t>
      </w:r>
      <w:r w:rsidR="00F310B5" w:rsidRPr="00DE12A3">
        <w:rPr>
          <w:sz w:val="24"/>
          <w:szCs w:val="24"/>
        </w:rPr>
        <w:t>çevrimi</w:t>
      </w:r>
      <w:r w:rsidR="00242DA0" w:rsidRPr="00DE12A3">
        <w:rPr>
          <w:sz w:val="24"/>
          <w:szCs w:val="24"/>
        </w:rPr>
        <w:t xml:space="preserve"> boyunca 15 dakikaya kadar çalışmasını içerebilir.</w:t>
      </w:r>
    </w:p>
    <w:p w14:paraId="2FB41511" w14:textId="77777777" w:rsidR="002D7B36" w:rsidRPr="00DE12A3" w:rsidRDefault="00F67D7E" w:rsidP="00E20716">
      <w:pPr>
        <w:pStyle w:val="Gvdemetni250"/>
        <w:numPr>
          <w:ilvl w:val="0"/>
          <w:numId w:val="142"/>
        </w:numPr>
        <w:spacing w:before="120" w:after="120" w:line="240" w:lineRule="auto"/>
        <w:ind w:left="1134" w:hanging="1134"/>
        <w:rPr>
          <w:sz w:val="24"/>
          <w:szCs w:val="24"/>
        </w:rPr>
      </w:pPr>
      <w:r w:rsidRPr="00DE12A3">
        <w:rPr>
          <w:sz w:val="24"/>
          <w:szCs w:val="24"/>
        </w:rPr>
        <w:t xml:space="preserve">      </w:t>
      </w:r>
      <w:r w:rsidR="00242DA0" w:rsidRPr="00DE12A3">
        <w:rPr>
          <w:sz w:val="24"/>
          <w:szCs w:val="24"/>
        </w:rPr>
        <w:t>Genel test dizisi</w:t>
      </w:r>
    </w:p>
    <w:p w14:paraId="2A98F03D" w14:textId="77777777" w:rsidR="002D7B36" w:rsidRPr="00DE12A3" w:rsidRDefault="002B24E9" w:rsidP="00C917D6">
      <w:pPr>
        <w:pStyle w:val="Gvdemetni250"/>
        <w:spacing w:before="120" w:after="120" w:line="240" w:lineRule="auto"/>
        <w:ind w:left="1134" w:hanging="1134"/>
        <w:rPr>
          <w:sz w:val="24"/>
          <w:szCs w:val="24"/>
        </w:rPr>
      </w:pPr>
      <w:r w:rsidRPr="00DE12A3">
        <w:rPr>
          <w:sz w:val="24"/>
          <w:szCs w:val="24"/>
        </w:rPr>
        <w:t xml:space="preserve">            </w:t>
      </w:r>
      <w:r w:rsidR="00F67D7E" w:rsidRPr="00DE12A3">
        <w:rPr>
          <w:sz w:val="24"/>
          <w:szCs w:val="24"/>
        </w:rPr>
        <w:t xml:space="preserve">      </w:t>
      </w:r>
      <w:r w:rsidR="00242DA0" w:rsidRPr="00DE12A3">
        <w:rPr>
          <w:sz w:val="24"/>
          <w:szCs w:val="24"/>
        </w:rPr>
        <w:t>Motor emisyonlarını ölçmek için aşağıdaki adımlar uygulanmalıdır:</w:t>
      </w:r>
    </w:p>
    <w:p w14:paraId="48451D71" w14:textId="57A82718" w:rsidR="002D7B36" w:rsidRPr="00DE12A3" w:rsidRDefault="002B24E9" w:rsidP="00E20716">
      <w:pPr>
        <w:pStyle w:val="Gvdemetni250"/>
        <w:numPr>
          <w:ilvl w:val="0"/>
          <w:numId w:val="159"/>
        </w:numPr>
        <w:spacing w:before="120" w:after="120" w:line="240" w:lineRule="auto"/>
        <w:ind w:left="1701" w:hanging="567"/>
        <w:rPr>
          <w:sz w:val="24"/>
          <w:szCs w:val="24"/>
        </w:rPr>
      </w:pPr>
      <w:r w:rsidRPr="00DE12A3">
        <w:rPr>
          <w:sz w:val="24"/>
          <w:szCs w:val="24"/>
        </w:rPr>
        <w:t xml:space="preserve">    </w:t>
      </w:r>
      <w:r w:rsidR="00242DA0" w:rsidRPr="00DE12A3">
        <w:rPr>
          <w:sz w:val="24"/>
          <w:szCs w:val="24"/>
        </w:rPr>
        <w:t xml:space="preserve">Test edilecek motor için motor devirleri ve test yükleri, motor devrinin bir fonksiyonu olarak (sabit devirli motorlar için) azami tork veya </w:t>
      </w:r>
      <w:r w:rsidR="00242DA0" w:rsidRPr="00DE12A3">
        <w:rPr>
          <w:sz w:val="24"/>
          <w:szCs w:val="24"/>
        </w:rPr>
        <w:lastRenderedPageBreak/>
        <w:t>(değişken devirli motorlar için) azami tork eğrisi ölçülerek tanımlanmalıdır</w:t>
      </w:r>
      <w:r w:rsidR="00B8261D" w:rsidRPr="00DE12A3">
        <w:rPr>
          <w:sz w:val="24"/>
          <w:szCs w:val="24"/>
        </w:rPr>
        <w:t>.</w:t>
      </w:r>
    </w:p>
    <w:p w14:paraId="1E874441" w14:textId="5EA7722D" w:rsidR="002D7B36" w:rsidRPr="00DE12A3" w:rsidRDefault="00242DA0" w:rsidP="00E20716">
      <w:pPr>
        <w:pStyle w:val="Gvdemetni250"/>
        <w:numPr>
          <w:ilvl w:val="0"/>
          <w:numId w:val="159"/>
        </w:numPr>
        <w:spacing w:before="120" w:after="120" w:line="240" w:lineRule="auto"/>
        <w:ind w:left="1701" w:hanging="567"/>
        <w:rPr>
          <w:sz w:val="24"/>
          <w:szCs w:val="24"/>
        </w:rPr>
      </w:pPr>
      <w:r w:rsidRPr="00DE12A3">
        <w:rPr>
          <w:sz w:val="24"/>
          <w:szCs w:val="24"/>
        </w:rPr>
        <w:t xml:space="preserve">Normalize edilmiş test </w:t>
      </w:r>
      <w:r w:rsidR="00F310B5" w:rsidRPr="00DE12A3">
        <w:rPr>
          <w:sz w:val="24"/>
          <w:szCs w:val="24"/>
        </w:rPr>
        <w:t>çevrim</w:t>
      </w:r>
      <w:r w:rsidRPr="00DE12A3">
        <w:rPr>
          <w:sz w:val="24"/>
          <w:szCs w:val="24"/>
        </w:rPr>
        <w:t xml:space="preserve">leri, </w:t>
      </w:r>
      <w:r w:rsidR="00B8261D" w:rsidRPr="00DE12A3">
        <w:rPr>
          <w:sz w:val="24"/>
          <w:szCs w:val="24"/>
        </w:rPr>
        <w:t xml:space="preserve">bu bendin </w:t>
      </w:r>
      <w:r w:rsidRPr="00DE12A3">
        <w:rPr>
          <w:sz w:val="24"/>
          <w:szCs w:val="24"/>
        </w:rPr>
        <w:t xml:space="preserve">(a) </w:t>
      </w:r>
      <w:r w:rsidR="00B8261D" w:rsidRPr="00DE12A3">
        <w:rPr>
          <w:sz w:val="24"/>
          <w:szCs w:val="24"/>
        </w:rPr>
        <w:t xml:space="preserve">numaralı alt </w:t>
      </w:r>
      <w:r w:rsidRPr="00DE12A3">
        <w:rPr>
          <w:sz w:val="24"/>
          <w:szCs w:val="24"/>
        </w:rPr>
        <w:t>bendinde bulunan (sabit devirli motorlar için) torkla veya (değişken devirli motorlar için) devir ve torklarla denormalize edilmelidir</w:t>
      </w:r>
      <w:r w:rsidR="00B8261D" w:rsidRPr="00DE12A3">
        <w:rPr>
          <w:sz w:val="24"/>
          <w:szCs w:val="24"/>
        </w:rPr>
        <w:t>.</w:t>
      </w:r>
    </w:p>
    <w:p w14:paraId="7D76F025" w14:textId="5A0E29F8" w:rsidR="0040229E" w:rsidRPr="00DE12A3" w:rsidRDefault="002B24E9" w:rsidP="005501E3">
      <w:pPr>
        <w:pStyle w:val="Gvdemetni250"/>
        <w:numPr>
          <w:ilvl w:val="0"/>
          <w:numId w:val="159"/>
        </w:numPr>
        <w:spacing w:before="120" w:after="120" w:line="240" w:lineRule="auto"/>
        <w:ind w:left="1701" w:hanging="567"/>
        <w:rPr>
          <w:sz w:val="24"/>
          <w:szCs w:val="24"/>
        </w:rPr>
      </w:pPr>
      <w:r w:rsidRPr="00DE12A3">
        <w:rPr>
          <w:sz w:val="24"/>
          <w:szCs w:val="24"/>
        </w:rPr>
        <w:t xml:space="preserve">     </w:t>
      </w:r>
      <w:r w:rsidR="00242DA0" w:rsidRPr="00DE12A3">
        <w:rPr>
          <w:sz w:val="24"/>
          <w:szCs w:val="24"/>
        </w:rPr>
        <w:t>Motor, ekipman ve ölçüm aletleri, aşağıdaki emisyon testi veya test serileri için (soğuk çalıştırma uygulaması ve ön ısıtmalı uygulama) önceden hazırlanmalıdır</w:t>
      </w:r>
      <w:r w:rsidR="00B8261D" w:rsidRPr="00DE12A3">
        <w:rPr>
          <w:sz w:val="24"/>
          <w:szCs w:val="24"/>
        </w:rPr>
        <w:t>.</w:t>
      </w:r>
    </w:p>
    <w:p w14:paraId="56E7C8AE" w14:textId="6C6CEC61" w:rsidR="002D7B36" w:rsidRPr="00DE12A3" w:rsidRDefault="00242DA0" w:rsidP="00E20716">
      <w:pPr>
        <w:pStyle w:val="Gvdemetni250"/>
        <w:numPr>
          <w:ilvl w:val="0"/>
          <w:numId w:val="159"/>
        </w:numPr>
        <w:spacing w:before="120" w:after="120" w:line="240" w:lineRule="auto"/>
        <w:ind w:left="1701" w:hanging="567"/>
        <w:rPr>
          <w:sz w:val="24"/>
          <w:szCs w:val="24"/>
        </w:rPr>
      </w:pPr>
      <w:r w:rsidRPr="00DE12A3">
        <w:rPr>
          <w:sz w:val="24"/>
          <w:szCs w:val="24"/>
        </w:rPr>
        <w:t>Bazı ekipmanların ve analiz cihazlarının düzgün çalıştığını doğrulamak için ön test prosedürleri uygulanmalıdır. Tüm analiz cihazları kalibre edilmelidir. Tüm ön test verileri kaydedilmelidir</w:t>
      </w:r>
      <w:r w:rsidR="00B8261D" w:rsidRPr="00DE12A3">
        <w:rPr>
          <w:sz w:val="24"/>
          <w:szCs w:val="24"/>
        </w:rPr>
        <w:t>.</w:t>
      </w:r>
    </w:p>
    <w:p w14:paraId="150AA430" w14:textId="29B5248C" w:rsidR="002D7B36" w:rsidRPr="00DE12A3" w:rsidRDefault="002B24E9" w:rsidP="00E20716">
      <w:pPr>
        <w:pStyle w:val="Gvdemetni250"/>
        <w:numPr>
          <w:ilvl w:val="0"/>
          <w:numId w:val="159"/>
        </w:numPr>
        <w:spacing w:before="120" w:after="120" w:line="240" w:lineRule="auto"/>
        <w:ind w:left="1701" w:hanging="567"/>
        <w:rPr>
          <w:sz w:val="24"/>
          <w:szCs w:val="24"/>
        </w:rPr>
      </w:pPr>
      <w:r w:rsidRPr="00DE12A3">
        <w:rPr>
          <w:sz w:val="24"/>
          <w:szCs w:val="24"/>
        </w:rPr>
        <w:t xml:space="preserve">     </w:t>
      </w:r>
      <w:r w:rsidR="00242DA0" w:rsidRPr="00DE12A3">
        <w:rPr>
          <w:sz w:val="24"/>
          <w:szCs w:val="24"/>
        </w:rPr>
        <w:t xml:space="preserve">Test </w:t>
      </w:r>
      <w:r w:rsidR="007E2039" w:rsidRPr="00DE12A3">
        <w:rPr>
          <w:sz w:val="24"/>
          <w:szCs w:val="24"/>
        </w:rPr>
        <w:t>çevrimini</w:t>
      </w:r>
      <w:r w:rsidR="00242DA0" w:rsidRPr="00DE12A3">
        <w:rPr>
          <w:sz w:val="24"/>
          <w:szCs w:val="24"/>
        </w:rPr>
        <w:t xml:space="preserve">n başında motor çalıştırılmalı (NRTC) veya çalışmaya devam etmeli </w:t>
      </w:r>
      <w:r w:rsidR="004E7F54" w:rsidRPr="00DE12A3">
        <w:rPr>
          <w:sz w:val="24"/>
          <w:szCs w:val="24"/>
        </w:rPr>
        <w:t>(kararlı</w:t>
      </w:r>
      <w:r w:rsidR="00951351" w:rsidRPr="00DE12A3">
        <w:rPr>
          <w:sz w:val="24"/>
          <w:szCs w:val="24"/>
        </w:rPr>
        <w:t xml:space="preserve"> </w:t>
      </w:r>
      <w:r w:rsidR="004E7F54" w:rsidRPr="00DE12A3">
        <w:rPr>
          <w:sz w:val="24"/>
          <w:szCs w:val="24"/>
        </w:rPr>
        <w:t>durum çevrimleri</w:t>
      </w:r>
      <w:r w:rsidR="00242DA0" w:rsidRPr="00DE12A3">
        <w:rPr>
          <w:sz w:val="24"/>
          <w:szCs w:val="24"/>
        </w:rPr>
        <w:t xml:space="preserve"> ve LSI-NRTC) ve aynı zamanda örnekleme sistemleri çalıştırılmalıdır</w:t>
      </w:r>
      <w:r w:rsidR="00B8261D" w:rsidRPr="00DE12A3">
        <w:rPr>
          <w:sz w:val="24"/>
          <w:szCs w:val="24"/>
        </w:rPr>
        <w:t>.</w:t>
      </w:r>
    </w:p>
    <w:p w14:paraId="54498B45" w14:textId="2547EA80" w:rsidR="002D7B36" w:rsidRPr="00DE12A3" w:rsidRDefault="002B24E9" w:rsidP="00E20716">
      <w:pPr>
        <w:pStyle w:val="Gvdemetni250"/>
        <w:numPr>
          <w:ilvl w:val="0"/>
          <w:numId w:val="159"/>
        </w:numPr>
        <w:spacing w:before="120" w:after="120" w:line="240" w:lineRule="auto"/>
        <w:ind w:left="1701" w:hanging="567"/>
        <w:rPr>
          <w:sz w:val="24"/>
          <w:szCs w:val="24"/>
        </w:rPr>
      </w:pPr>
      <w:r w:rsidRPr="00DE12A3">
        <w:rPr>
          <w:sz w:val="24"/>
          <w:szCs w:val="24"/>
        </w:rPr>
        <w:t xml:space="preserve">     </w:t>
      </w:r>
      <w:r w:rsidR="00242DA0" w:rsidRPr="00DE12A3">
        <w:rPr>
          <w:sz w:val="24"/>
          <w:szCs w:val="24"/>
        </w:rPr>
        <w:t xml:space="preserve">Emisyonlar ve gereken diğer parametreler (tüm test </w:t>
      </w:r>
      <w:r w:rsidR="00F310B5" w:rsidRPr="00DE12A3">
        <w:rPr>
          <w:sz w:val="24"/>
          <w:szCs w:val="24"/>
        </w:rPr>
        <w:t>çevrimi</w:t>
      </w:r>
      <w:r w:rsidR="00242DA0" w:rsidRPr="00DE12A3">
        <w:rPr>
          <w:sz w:val="24"/>
          <w:szCs w:val="24"/>
        </w:rPr>
        <w:t xml:space="preserve"> boyunca NRTC, LSI-NRTC ve RMC için) örnekleme süresi boyunca ölçülmeli veya kaydedilmelidir</w:t>
      </w:r>
      <w:r w:rsidR="00B8261D" w:rsidRPr="00DE12A3">
        <w:rPr>
          <w:sz w:val="24"/>
          <w:szCs w:val="24"/>
        </w:rPr>
        <w:t>.</w:t>
      </w:r>
    </w:p>
    <w:p w14:paraId="2470BAFF" w14:textId="52FBE998" w:rsidR="002D7B36" w:rsidRPr="00DE12A3" w:rsidRDefault="00242DA0" w:rsidP="00E20716">
      <w:pPr>
        <w:pStyle w:val="Gvdemetni250"/>
        <w:numPr>
          <w:ilvl w:val="0"/>
          <w:numId w:val="159"/>
        </w:numPr>
        <w:spacing w:before="120" w:after="120" w:line="240" w:lineRule="auto"/>
        <w:ind w:left="1701" w:hanging="567"/>
        <w:rPr>
          <w:sz w:val="24"/>
          <w:szCs w:val="24"/>
        </w:rPr>
      </w:pPr>
      <w:r w:rsidRPr="00DE12A3">
        <w:rPr>
          <w:sz w:val="24"/>
          <w:szCs w:val="24"/>
        </w:rPr>
        <w:t>Bazı ekipmanların ve analiz cihazlarının düzgün çalıştığını doğrulamak için test sonrası prosedürler uygulanmalıdır</w:t>
      </w:r>
      <w:r w:rsidR="00B8261D" w:rsidRPr="00DE12A3">
        <w:rPr>
          <w:sz w:val="24"/>
          <w:szCs w:val="24"/>
        </w:rPr>
        <w:t>.</w:t>
      </w:r>
    </w:p>
    <w:p w14:paraId="13C295D1" w14:textId="253D55CB" w:rsidR="002D7B36" w:rsidRPr="00DE12A3" w:rsidRDefault="00242DA0" w:rsidP="00E20716">
      <w:pPr>
        <w:pStyle w:val="Gvdemetni250"/>
        <w:numPr>
          <w:ilvl w:val="0"/>
          <w:numId w:val="159"/>
        </w:numPr>
        <w:spacing w:before="120" w:after="120" w:line="240" w:lineRule="auto"/>
        <w:ind w:left="1701" w:hanging="567"/>
        <w:rPr>
          <w:sz w:val="24"/>
          <w:szCs w:val="24"/>
        </w:rPr>
      </w:pPr>
      <w:r w:rsidRPr="00DE12A3">
        <w:rPr>
          <w:sz w:val="24"/>
          <w:szCs w:val="24"/>
        </w:rPr>
        <w:t>PM filtreleri koşullandırılmalı, tartılmalı (boş ağırlık), yüklenmeli, yeniden koşullandırılmalı, tekrar tartılmalı (yüklü ağırlık) ve daha sonra numuneler ön test prosedürleri (7.3.1.6 bendi) ve test sonrası prosedürler (7.3.2.2 bendi) uyarınca değerlendirilmelidir</w:t>
      </w:r>
      <w:r w:rsidR="00B8261D" w:rsidRPr="00DE12A3">
        <w:rPr>
          <w:sz w:val="24"/>
          <w:szCs w:val="24"/>
        </w:rPr>
        <w:t>.</w:t>
      </w:r>
    </w:p>
    <w:p w14:paraId="2AFA29DA" w14:textId="77777777" w:rsidR="002D7B36" w:rsidRPr="00DE12A3" w:rsidRDefault="002B24E9" w:rsidP="00E20716">
      <w:pPr>
        <w:pStyle w:val="Gvdemetni250"/>
        <w:numPr>
          <w:ilvl w:val="0"/>
          <w:numId w:val="159"/>
        </w:numPr>
        <w:spacing w:before="120" w:after="120" w:line="240" w:lineRule="auto"/>
        <w:ind w:left="1701" w:hanging="567"/>
        <w:rPr>
          <w:sz w:val="24"/>
          <w:szCs w:val="24"/>
        </w:rPr>
      </w:pPr>
      <w:r w:rsidRPr="00DE12A3">
        <w:rPr>
          <w:sz w:val="24"/>
          <w:szCs w:val="24"/>
        </w:rPr>
        <w:t xml:space="preserve">     </w:t>
      </w:r>
      <w:r w:rsidR="00242DA0" w:rsidRPr="00DE12A3">
        <w:rPr>
          <w:sz w:val="24"/>
          <w:szCs w:val="24"/>
        </w:rPr>
        <w:t>Emisyon testi sonuçları değerlendirilmelidir.</w:t>
      </w:r>
    </w:p>
    <w:p w14:paraId="5A244924" w14:textId="621068C2" w:rsidR="002D7B36" w:rsidRPr="00DE12A3" w:rsidRDefault="0040229E" w:rsidP="00C917D6">
      <w:pPr>
        <w:pStyle w:val="Gvdemetni250"/>
        <w:spacing w:before="120" w:after="120" w:line="240" w:lineRule="auto"/>
        <w:ind w:left="1134" w:hanging="141"/>
        <w:rPr>
          <w:sz w:val="24"/>
          <w:szCs w:val="24"/>
        </w:rPr>
      </w:pPr>
      <w:r w:rsidRPr="00DE12A3">
        <w:rPr>
          <w:sz w:val="24"/>
          <w:szCs w:val="24"/>
        </w:rPr>
        <w:t xml:space="preserve">  </w:t>
      </w:r>
      <w:r w:rsidR="00242DA0" w:rsidRPr="00DE12A3">
        <w:rPr>
          <w:sz w:val="24"/>
          <w:szCs w:val="24"/>
        </w:rPr>
        <w:t xml:space="preserve">Şekil 6.4, motor egzoz emisyonlarını ölçerek NRMM test </w:t>
      </w:r>
      <w:r w:rsidR="00F310B5" w:rsidRPr="00DE12A3">
        <w:rPr>
          <w:sz w:val="24"/>
          <w:szCs w:val="24"/>
        </w:rPr>
        <w:t>çevrim</w:t>
      </w:r>
      <w:r w:rsidR="00242DA0" w:rsidRPr="00DE12A3">
        <w:rPr>
          <w:sz w:val="24"/>
          <w:szCs w:val="24"/>
        </w:rPr>
        <w:t>lerini yürütmek için gerekli prosedürler hakkında bir genel bakış sunmaktadır.</w:t>
      </w:r>
    </w:p>
    <w:p w14:paraId="3D16C5B7" w14:textId="77777777" w:rsidR="00AA6FBA" w:rsidRPr="00DE12A3" w:rsidRDefault="00AA6FBA" w:rsidP="00C917D6">
      <w:pPr>
        <w:pStyle w:val="Gvdemetni250"/>
        <w:spacing w:before="120" w:after="120" w:line="240" w:lineRule="auto"/>
        <w:ind w:left="1134" w:hanging="1134"/>
        <w:rPr>
          <w:i/>
          <w:iCs/>
          <w:sz w:val="24"/>
          <w:szCs w:val="24"/>
          <w:highlight w:val="yellow"/>
        </w:rPr>
      </w:pPr>
    </w:p>
    <w:p w14:paraId="2DABDCF1" w14:textId="77777777" w:rsidR="00AA6FBA" w:rsidRPr="00DE12A3" w:rsidRDefault="00AA6FBA" w:rsidP="00C917D6">
      <w:pPr>
        <w:pStyle w:val="Gvdemetni250"/>
        <w:spacing w:before="120" w:after="120" w:line="240" w:lineRule="auto"/>
        <w:ind w:left="1134" w:hanging="1134"/>
        <w:rPr>
          <w:i/>
          <w:iCs/>
          <w:sz w:val="24"/>
          <w:szCs w:val="24"/>
          <w:highlight w:val="yellow"/>
        </w:rPr>
      </w:pPr>
    </w:p>
    <w:p w14:paraId="3547CCC3" w14:textId="77777777" w:rsidR="00AA6FBA" w:rsidRPr="00DE12A3" w:rsidRDefault="00AA6FBA" w:rsidP="00C917D6">
      <w:pPr>
        <w:pStyle w:val="Gvdemetni250"/>
        <w:spacing w:before="120" w:after="120" w:line="240" w:lineRule="auto"/>
        <w:ind w:left="1134" w:hanging="1134"/>
        <w:rPr>
          <w:i/>
          <w:iCs/>
          <w:sz w:val="24"/>
          <w:szCs w:val="24"/>
          <w:highlight w:val="yellow"/>
        </w:rPr>
      </w:pPr>
    </w:p>
    <w:p w14:paraId="1E872C0F" w14:textId="77777777" w:rsidR="00AA6FBA" w:rsidRPr="00DE12A3" w:rsidRDefault="00AA6FBA" w:rsidP="00C917D6">
      <w:pPr>
        <w:pStyle w:val="Gvdemetni250"/>
        <w:spacing w:before="120" w:after="120" w:line="240" w:lineRule="auto"/>
        <w:ind w:left="1134" w:hanging="1134"/>
        <w:rPr>
          <w:i/>
          <w:iCs/>
          <w:sz w:val="24"/>
          <w:szCs w:val="24"/>
          <w:highlight w:val="yellow"/>
        </w:rPr>
      </w:pPr>
    </w:p>
    <w:p w14:paraId="42B1FF69" w14:textId="77777777" w:rsidR="00AA6FBA" w:rsidRPr="00DE12A3" w:rsidRDefault="00AA6FBA" w:rsidP="00C917D6">
      <w:pPr>
        <w:pStyle w:val="Gvdemetni250"/>
        <w:spacing w:before="120" w:after="120" w:line="240" w:lineRule="auto"/>
        <w:ind w:left="1134" w:hanging="1134"/>
        <w:rPr>
          <w:i/>
          <w:iCs/>
          <w:sz w:val="24"/>
          <w:szCs w:val="24"/>
          <w:highlight w:val="yellow"/>
        </w:rPr>
      </w:pPr>
    </w:p>
    <w:p w14:paraId="41A02F51" w14:textId="77777777" w:rsidR="002B24E9" w:rsidRPr="00DE12A3" w:rsidRDefault="002B24E9" w:rsidP="00C917D6">
      <w:pPr>
        <w:pStyle w:val="Gvdemetni250"/>
        <w:spacing w:before="120" w:after="120" w:line="240" w:lineRule="auto"/>
        <w:ind w:left="1134" w:hanging="1134"/>
        <w:rPr>
          <w:iCs/>
          <w:sz w:val="24"/>
          <w:szCs w:val="24"/>
          <w:highlight w:val="yellow"/>
        </w:rPr>
      </w:pPr>
    </w:p>
    <w:p w14:paraId="39441DE7" w14:textId="77777777" w:rsidR="002B24E9" w:rsidRPr="00DE12A3" w:rsidRDefault="002B24E9" w:rsidP="00C917D6">
      <w:pPr>
        <w:pStyle w:val="Gvdemetni250"/>
        <w:spacing w:before="120" w:after="120" w:line="240" w:lineRule="auto"/>
        <w:ind w:left="1134" w:hanging="1134"/>
        <w:rPr>
          <w:iCs/>
          <w:sz w:val="24"/>
          <w:szCs w:val="24"/>
          <w:highlight w:val="yellow"/>
        </w:rPr>
      </w:pPr>
    </w:p>
    <w:p w14:paraId="053BFAD7" w14:textId="77777777" w:rsidR="002B24E9" w:rsidRPr="00DE12A3" w:rsidRDefault="002B24E9" w:rsidP="00C917D6">
      <w:pPr>
        <w:pStyle w:val="Gvdemetni250"/>
        <w:spacing w:before="120" w:after="120" w:line="240" w:lineRule="auto"/>
        <w:ind w:left="1134" w:hanging="1134"/>
        <w:rPr>
          <w:iCs/>
          <w:sz w:val="24"/>
          <w:szCs w:val="24"/>
          <w:highlight w:val="yellow"/>
        </w:rPr>
      </w:pPr>
    </w:p>
    <w:p w14:paraId="6912CE5D" w14:textId="77777777" w:rsidR="002B24E9" w:rsidRPr="00DE12A3" w:rsidRDefault="002B24E9" w:rsidP="00C917D6">
      <w:pPr>
        <w:pStyle w:val="Gvdemetni250"/>
        <w:spacing w:before="120" w:after="120" w:line="240" w:lineRule="auto"/>
        <w:ind w:left="1134" w:hanging="1134"/>
        <w:rPr>
          <w:iCs/>
          <w:sz w:val="24"/>
          <w:szCs w:val="24"/>
          <w:highlight w:val="yellow"/>
        </w:rPr>
      </w:pPr>
    </w:p>
    <w:p w14:paraId="1183B1D6" w14:textId="77777777" w:rsidR="002B24E9" w:rsidRPr="00DE12A3" w:rsidRDefault="002B24E9" w:rsidP="00C917D6">
      <w:pPr>
        <w:pStyle w:val="Gvdemetni250"/>
        <w:spacing w:before="120" w:after="120" w:line="240" w:lineRule="auto"/>
        <w:ind w:left="1134" w:hanging="1134"/>
        <w:rPr>
          <w:iCs/>
          <w:sz w:val="24"/>
          <w:szCs w:val="24"/>
          <w:highlight w:val="yellow"/>
        </w:rPr>
      </w:pPr>
    </w:p>
    <w:p w14:paraId="044A0F60" w14:textId="77777777" w:rsidR="002B24E9" w:rsidRPr="00DE12A3" w:rsidRDefault="002B24E9" w:rsidP="00C917D6">
      <w:pPr>
        <w:pStyle w:val="Gvdemetni250"/>
        <w:spacing w:before="120" w:after="120" w:line="240" w:lineRule="auto"/>
        <w:ind w:left="1134" w:hanging="1134"/>
        <w:rPr>
          <w:iCs/>
          <w:sz w:val="24"/>
          <w:szCs w:val="24"/>
          <w:highlight w:val="yellow"/>
        </w:rPr>
      </w:pPr>
    </w:p>
    <w:p w14:paraId="283C84EF" w14:textId="77777777" w:rsidR="002B24E9" w:rsidRPr="00DE12A3" w:rsidRDefault="002B24E9" w:rsidP="00C917D6">
      <w:pPr>
        <w:pStyle w:val="Gvdemetni250"/>
        <w:spacing w:before="120" w:after="120" w:line="240" w:lineRule="auto"/>
        <w:ind w:left="1134" w:hanging="1134"/>
        <w:rPr>
          <w:iCs/>
          <w:sz w:val="24"/>
          <w:szCs w:val="24"/>
          <w:highlight w:val="yellow"/>
        </w:rPr>
      </w:pPr>
    </w:p>
    <w:p w14:paraId="34C47B00" w14:textId="77777777" w:rsidR="002B24E9" w:rsidRPr="00DE12A3" w:rsidRDefault="002B24E9" w:rsidP="00C917D6">
      <w:pPr>
        <w:pStyle w:val="Gvdemetni250"/>
        <w:spacing w:before="120" w:after="120" w:line="240" w:lineRule="auto"/>
        <w:ind w:left="1134" w:hanging="1134"/>
        <w:rPr>
          <w:iCs/>
          <w:sz w:val="24"/>
          <w:szCs w:val="24"/>
          <w:highlight w:val="yellow"/>
        </w:rPr>
      </w:pPr>
    </w:p>
    <w:p w14:paraId="70AF6EFC" w14:textId="77777777" w:rsidR="002B24E9" w:rsidRPr="00DE12A3" w:rsidRDefault="002B24E9" w:rsidP="00C917D6">
      <w:pPr>
        <w:pStyle w:val="Gvdemetni250"/>
        <w:spacing w:before="120" w:after="120" w:line="240" w:lineRule="auto"/>
        <w:ind w:left="1134" w:hanging="1134"/>
        <w:rPr>
          <w:iCs/>
          <w:sz w:val="24"/>
          <w:szCs w:val="24"/>
          <w:highlight w:val="yellow"/>
        </w:rPr>
      </w:pPr>
    </w:p>
    <w:p w14:paraId="54B32141" w14:textId="77777777" w:rsidR="007F57C1" w:rsidRPr="00DE12A3" w:rsidRDefault="007F57C1" w:rsidP="00C917D6">
      <w:pPr>
        <w:pStyle w:val="Gvdemetni250"/>
        <w:spacing w:before="120" w:after="120" w:line="240" w:lineRule="auto"/>
        <w:ind w:left="1134" w:hanging="1134"/>
        <w:jc w:val="center"/>
        <w:rPr>
          <w:iCs/>
          <w:sz w:val="24"/>
          <w:szCs w:val="24"/>
        </w:rPr>
      </w:pPr>
    </w:p>
    <w:p w14:paraId="4D028AF8" w14:textId="4BBB140F" w:rsidR="002D7B36" w:rsidRPr="00DE12A3" w:rsidRDefault="00242DA0" w:rsidP="00C917D6">
      <w:pPr>
        <w:pStyle w:val="Gvdemetni250"/>
        <w:spacing w:before="120" w:after="120" w:line="240" w:lineRule="auto"/>
        <w:ind w:left="1134" w:hanging="1134"/>
        <w:jc w:val="center"/>
        <w:rPr>
          <w:iCs/>
          <w:sz w:val="24"/>
          <w:szCs w:val="24"/>
        </w:rPr>
      </w:pPr>
      <w:r w:rsidRPr="00DE12A3">
        <w:rPr>
          <w:iCs/>
          <w:sz w:val="24"/>
          <w:szCs w:val="24"/>
        </w:rPr>
        <w:lastRenderedPageBreak/>
        <w:t>Şekil 6.4</w:t>
      </w:r>
    </w:p>
    <w:p w14:paraId="35019B42" w14:textId="3D1123F7" w:rsidR="00F67D7E" w:rsidRPr="00DE12A3" w:rsidRDefault="00242DA0">
      <w:pPr>
        <w:pStyle w:val="Gvdemetni250"/>
        <w:spacing w:before="120" w:after="120" w:line="240" w:lineRule="auto"/>
        <w:ind w:left="1134" w:hanging="1134"/>
        <w:jc w:val="center"/>
        <w:rPr>
          <w:sz w:val="24"/>
          <w:szCs w:val="24"/>
        </w:rPr>
      </w:pPr>
      <w:r w:rsidRPr="00DE12A3">
        <w:rPr>
          <w:sz w:val="24"/>
          <w:szCs w:val="24"/>
        </w:rPr>
        <w:t>Test dizisi</w:t>
      </w:r>
    </w:p>
    <w:p w14:paraId="19ADF73D" w14:textId="2227D969" w:rsidR="002D7B36" w:rsidRPr="00DE12A3" w:rsidRDefault="00962532" w:rsidP="00C917D6">
      <w:pPr>
        <w:pStyle w:val="Gvdemetni250"/>
        <w:spacing w:before="120" w:after="120" w:line="240" w:lineRule="auto"/>
        <w:ind w:left="709" w:hanging="709"/>
        <w:rPr>
          <w:b/>
          <w:bCs/>
          <w:sz w:val="20"/>
          <w:szCs w:val="20"/>
        </w:rPr>
      </w:pPr>
      <w:r w:rsidRPr="00DE12A3">
        <w:rPr>
          <w:b/>
          <w:bCs/>
          <w:noProof/>
          <w:sz w:val="20"/>
          <w:szCs w:val="20"/>
          <w:lang w:eastAsia="tr-TR"/>
        </w:rPr>
        <w:drawing>
          <wp:inline distT="0" distB="0" distL="0" distR="0" wp14:anchorId="5871263B" wp14:editId="39C96545">
            <wp:extent cx="5762625" cy="8410575"/>
            <wp:effectExtent l="0" t="0" r="9525" b="9525"/>
            <wp:docPr id="140" name="Resim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762625" cy="8410575"/>
                    </a:xfrm>
                    <a:prstGeom prst="rect">
                      <a:avLst/>
                    </a:prstGeom>
                    <a:noFill/>
                    <a:ln>
                      <a:noFill/>
                    </a:ln>
                  </pic:spPr>
                </pic:pic>
              </a:graphicData>
            </a:graphic>
          </wp:inline>
        </w:drawing>
      </w:r>
    </w:p>
    <w:p w14:paraId="41F2A4D8" w14:textId="77777777" w:rsidR="002D7B36" w:rsidRPr="00DE12A3" w:rsidRDefault="00517EEE" w:rsidP="00E20716">
      <w:pPr>
        <w:pStyle w:val="Gvdemetni250"/>
        <w:numPr>
          <w:ilvl w:val="0"/>
          <w:numId w:val="160"/>
        </w:numPr>
        <w:spacing w:before="120" w:after="120" w:line="240" w:lineRule="auto"/>
        <w:ind w:left="1134" w:hanging="1134"/>
        <w:rPr>
          <w:bCs/>
          <w:sz w:val="24"/>
          <w:szCs w:val="24"/>
        </w:rPr>
      </w:pPr>
      <w:r w:rsidRPr="00DE12A3">
        <w:rPr>
          <w:bCs/>
          <w:sz w:val="24"/>
          <w:szCs w:val="24"/>
        </w:rPr>
        <w:t xml:space="preserve">       </w:t>
      </w:r>
      <w:r w:rsidR="00242DA0" w:rsidRPr="00DE12A3">
        <w:rPr>
          <w:bCs/>
          <w:sz w:val="24"/>
          <w:szCs w:val="24"/>
        </w:rPr>
        <w:t>Motorun çalıştırılması ve yeniden çalıştırılması</w:t>
      </w:r>
    </w:p>
    <w:p w14:paraId="14AAC977" w14:textId="77777777" w:rsidR="002D7B36" w:rsidRPr="00DE12A3" w:rsidRDefault="00242DA0" w:rsidP="00E20716">
      <w:pPr>
        <w:pStyle w:val="Gvdemetni250"/>
        <w:numPr>
          <w:ilvl w:val="0"/>
          <w:numId w:val="161"/>
        </w:numPr>
        <w:spacing w:before="120" w:after="120" w:line="240" w:lineRule="auto"/>
        <w:ind w:left="1134" w:hanging="1134"/>
        <w:rPr>
          <w:bCs/>
          <w:sz w:val="24"/>
          <w:szCs w:val="24"/>
        </w:rPr>
      </w:pPr>
      <w:r w:rsidRPr="00DE12A3">
        <w:rPr>
          <w:bCs/>
          <w:sz w:val="24"/>
          <w:szCs w:val="24"/>
        </w:rPr>
        <w:lastRenderedPageBreak/>
        <w:t>Motorun çalıştırılması</w:t>
      </w:r>
    </w:p>
    <w:p w14:paraId="76FF8948" w14:textId="77777777" w:rsidR="002D7B36" w:rsidRPr="00DE12A3" w:rsidRDefault="00517EEE" w:rsidP="00C917D6">
      <w:pPr>
        <w:pStyle w:val="Gvdemetni250"/>
        <w:spacing w:before="120" w:after="120" w:line="240" w:lineRule="auto"/>
        <w:ind w:left="1134" w:hanging="1134"/>
        <w:rPr>
          <w:bCs/>
          <w:sz w:val="24"/>
          <w:szCs w:val="24"/>
        </w:rPr>
      </w:pPr>
      <w:r w:rsidRPr="00DE12A3">
        <w:rPr>
          <w:bCs/>
          <w:sz w:val="24"/>
          <w:szCs w:val="24"/>
        </w:rPr>
        <w:t xml:space="preserve">                   </w:t>
      </w:r>
      <w:r w:rsidR="00242DA0" w:rsidRPr="00DE12A3">
        <w:rPr>
          <w:bCs/>
          <w:sz w:val="24"/>
          <w:szCs w:val="24"/>
        </w:rPr>
        <w:t>Motor aşağıdaki şekilde çalıştırılmalıdır:</w:t>
      </w:r>
    </w:p>
    <w:p w14:paraId="4442920E" w14:textId="77777777" w:rsidR="002D7B36" w:rsidRPr="00DE12A3" w:rsidRDefault="00517EEE" w:rsidP="00E20716">
      <w:pPr>
        <w:pStyle w:val="Gvdemetni250"/>
        <w:numPr>
          <w:ilvl w:val="0"/>
          <w:numId w:val="162"/>
        </w:numPr>
        <w:spacing w:before="120" w:after="120" w:line="240" w:lineRule="auto"/>
        <w:ind w:left="1701" w:hanging="567"/>
        <w:rPr>
          <w:bCs/>
          <w:sz w:val="24"/>
          <w:szCs w:val="24"/>
        </w:rPr>
      </w:pPr>
      <w:r w:rsidRPr="00DE12A3">
        <w:rPr>
          <w:bCs/>
          <w:sz w:val="24"/>
          <w:szCs w:val="24"/>
        </w:rPr>
        <w:t xml:space="preserve">     </w:t>
      </w:r>
      <w:r w:rsidR="00242DA0" w:rsidRPr="00DE12A3">
        <w:rPr>
          <w:bCs/>
          <w:sz w:val="24"/>
          <w:szCs w:val="24"/>
        </w:rPr>
        <w:t>Son kullanıcı talimatlarında belirtildiği şekilde, bir üretim marş motoru veya hava marş sistemi ve uygun şekilde şarj edilmiş bir akü, uygun bir güç kaynağı veya uygun bir basınçlı hava kaynağı kullanılarak; veya</w:t>
      </w:r>
    </w:p>
    <w:p w14:paraId="48EA0983" w14:textId="77777777" w:rsidR="002D7B36" w:rsidRPr="00DE12A3" w:rsidRDefault="00242DA0" w:rsidP="00E20716">
      <w:pPr>
        <w:pStyle w:val="Gvdemetni250"/>
        <w:numPr>
          <w:ilvl w:val="0"/>
          <w:numId w:val="162"/>
        </w:numPr>
        <w:tabs>
          <w:tab w:val="left" w:pos="851"/>
        </w:tabs>
        <w:spacing w:before="120" w:after="120" w:line="240" w:lineRule="auto"/>
        <w:ind w:left="1701" w:hanging="567"/>
        <w:rPr>
          <w:bCs/>
          <w:sz w:val="24"/>
          <w:szCs w:val="24"/>
        </w:rPr>
      </w:pPr>
      <w:r w:rsidRPr="00DE12A3">
        <w:rPr>
          <w:bCs/>
          <w:sz w:val="24"/>
          <w:szCs w:val="24"/>
        </w:rPr>
        <w:t>Motor çalışana kadar marşa basmak için dinamometre kullanılarak. Motoru, tipik kullanımdaki marş devrinin ±</w:t>
      </w:r>
      <w:r w:rsidR="004E7F54" w:rsidRPr="00DE12A3">
        <w:rPr>
          <w:bCs/>
          <w:sz w:val="24"/>
          <w:szCs w:val="24"/>
        </w:rPr>
        <w:t>%25</w:t>
      </w:r>
      <w:r w:rsidRPr="00DE12A3">
        <w:rPr>
          <w:bCs/>
          <w:sz w:val="24"/>
          <w:szCs w:val="24"/>
        </w:rPr>
        <w:t>'i içinde kullanın veya dinamometre devrini, sadece motor çalışana kadar, düşük rölanti devrinin altında doğrusal olarak sıfırdan 100 dakika-1'e arttırarak çalıştırın.</w:t>
      </w:r>
    </w:p>
    <w:p w14:paraId="557BCC0B" w14:textId="77777777" w:rsidR="002D7B36" w:rsidRPr="00DE12A3" w:rsidRDefault="00517EEE" w:rsidP="00C917D6">
      <w:pPr>
        <w:pStyle w:val="Gvdemetni250"/>
        <w:spacing w:before="120" w:after="120" w:line="240" w:lineRule="auto"/>
        <w:ind w:left="1134" w:hanging="1134"/>
        <w:rPr>
          <w:bCs/>
          <w:sz w:val="24"/>
          <w:szCs w:val="24"/>
        </w:rPr>
      </w:pPr>
      <w:r w:rsidRPr="00DE12A3">
        <w:rPr>
          <w:bCs/>
          <w:sz w:val="24"/>
          <w:szCs w:val="24"/>
        </w:rPr>
        <w:t xml:space="preserve">                   </w:t>
      </w:r>
      <w:r w:rsidR="00242DA0" w:rsidRPr="00DE12A3">
        <w:rPr>
          <w:bCs/>
          <w:sz w:val="24"/>
          <w:szCs w:val="24"/>
        </w:rPr>
        <w:t>Motor çalıştıktan sonra 1 s içinde marşa basma durmalıdır. Motor 15 sn marşa basıldıktan sonra çalışmaya başlamazsa, son kullanıcı talimatları veya servis onarım kılavuzunda daha uzun bir marşa basma süresi normal olarak tanımlanmadıkça, marşa basma durmalı ve arızanın nedeni belirlenmelidir.</w:t>
      </w:r>
    </w:p>
    <w:p w14:paraId="094F9997" w14:textId="77777777" w:rsidR="002D7B36" w:rsidRPr="00DE12A3" w:rsidRDefault="00242DA0" w:rsidP="00E20716">
      <w:pPr>
        <w:pStyle w:val="Gvdemetni250"/>
        <w:numPr>
          <w:ilvl w:val="0"/>
          <w:numId w:val="161"/>
        </w:numPr>
        <w:spacing w:before="120" w:after="120" w:line="240" w:lineRule="auto"/>
        <w:ind w:left="1134" w:hanging="1134"/>
        <w:rPr>
          <w:bCs/>
          <w:sz w:val="24"/>
          <w:szCs w:val="24"/>
        </w:rPr>
      </w:pPr>
      <w:r w:rsidRPr="00DE12A3">
        <w:rPr>
          <w:bCs/>
          <w:sz w:val="24"/>
          <w:szCs w:val="24"/>
        </w:rPr>
        <w:t xml:space="preserve"> Motorun teklemesi</w:t>
      </w:r>
    </w:p>
    <w:p w14:paraId="4DC3F64B" w14:textId="2089122E" w:rsidR="002D7B36" w:rsidRPr="00DE12A3" w:rsidRDefault="00517EEE" w:rsidP="00E20716">
      <w:pPr>
        <w:pStyle w:val="Gvdemetni250"/>
        <w:numPr>
          <w:ilvl w:val="0"/>
          <w:numId w:val="163"/>
        </w:numPr>
        <w:spacing w:before="120" w:after="120" w:line="240" w:lineRule="auto"/>
        <w:ind w:left="1701" w:hanging="567"/>
        <w:rPr>
          <w:bCs/>
          <w:sz w:val="24"/>
          <w:szCs w:val="24"/>
        </w:rPr>
      </w:pPr>
      <w:r w:rsidRPr="00DE12A3">
        <w:rPr>
          <w:bCs/>
          <w:sz w:val="24"/>
          <w:szCs w:val="24"/>
        </w:rPr>
        <w:t xml:space="preserve">     </w:t>
      </w:r>
      <w:r w:rsidR="00242DA0" w:rsidRPr="00DE12A3">
        <w:rPr>
          <w:bCs/>
          <w:sz w:val="24"/>
          <w:szCs w:val="24"/>
        </w:rPr>
        <w:t>Motor, NRTC’nin soğuk çalıştırma uygulaması sırasında herhangi bir yerde teklerse, tüm test iptal edilir</w:t>
      </w:r>
      <w:r w:rsidR="00B8261D" w:rsidRPr="00DE12A3">
        <w:rPr>
          <w:bCs/>
          <w:sz w:val="24"/>
          <w:szCs w:val="24"/>
        </w:rPr>
        <w:t>.</w:t>
      </w:r>
    </w:p>
    <w:p w14:paraId="71CC7D2D" w14:textId="458B2602" w:rsidR="002D7B36" w:rsidRPr="00DE12A3" w:rsidRDefault="00242DA0" w:rsidP="00E20716">
      <w:pPr>
        <w:pStyle w:val="Gvdemetni250"/>
        <w:numPr>
          <w:ilvl w:val="0"/>
          <w:numId w:val="163"/>
        </w:numPr>
        <w:spacing w:before="120" w:after="120" w:line="240" w:lineRule="auto"/>
        <w:ind w:left="1701" w:hanging="567"/>
        <w:rPr>
          <w:bCs/>
          <w:sz w:val="24"/>
          <w:szCs w:val="24"/>
        </w:rPr>
      </w:pPr>
      <w:r w:rsidRPr="00DE12A3">
        <w:rPr>
          <w:bCs/>
          <w:sz w:val="24"/>
          <w:szCs w:val="24"/>
        </w:rPr>
        <w:t>NRTC'nin ön ısıtmalı uygulaması sırasında motor herhangi bir yerde teklerse, sadece bu uygulama iptal edilir. Motor 7.8.3 bendi uyarınca ıslatılır ve ön ısıtmalı uygulama tekrarlanır. Bu durumda, soğuk çalıştırma uygulamasının tekrarlanması gerekmez</w:t>
      </w:r>
      <w:r w:rsidR="00B8261D" w:rsidRPr="00DE12A3">
        <w:rPr>
          <w:bCs/>
          <w:sz w:val="24"/>
          <w:szCs w:val="24"/>
        </w:rPr>
        <w:t>.</w:t>
      </w:r>
    </w:p>
    <w:p w14:paraId="4CEB10B2" w14:textId="77777777" w:rsidR="002D7B36" w:rsidRPr="00DE12A3" w:rsidRDefault="00242DA0" w:rsidP="00E20716">
      <w:pPr>
        <w:pStyle w:val="Gvdemetni250"/>
        <w:numPr>
          <w:ilvl w:val="0"/>
          <w:numId w:val="163"/>
        </w:numPr>
        <w:tabs>
          <w:tab w:val="left" w:pos="993"/>
        </w:tabs>
        <w:spacing w:before="120" w:after="120" w:line="240" w:lineRule="auto"/>
        <w:ind w:left="1701" w:hanging="567"/>
        <w:rPr>
          <w:bCs/>
          <w:sz w:val="24"/>
          <w:szCs w:val="24"/>
        </w:rPr>
      </w:pPr>
      <w:r w:rsidRPr="00DE12A3">
        <w:rPr>
          <w:bCs/>
          <w:sz w:val="24"/>
          <w:szCs w:val="24"/>
        </w:rPr>
        <w:t xml:space="preserve">   </w:t>
      </w:r>
      <w:r w:rsidR="00517EEE" w:rsidRPr="00DE12A3">
        <w:rPr>
          <w:bCs/>
          <w:sz w:val="24"/>
          <w:szCs w:val="24"/>
        </w:rPr>
        <w:t xml:space="preserve">  </w:t>
      </w:r>
      <w:r w:rsidRPr="00DE12A3">
        <w:rPr>
          <w:bCs/>
          <w:sz w:val="24"/>
          <w:szCs w:val="24"/>
        </w:rPr>
        <w:t>Motor LSI-NRTC sırasında herhangi bir yerde teklerse, test iptal edilir.</w:t>
      </w:r>
    </w:p>
    <w:p w14:paraId="70EC657C" w14:textId="77777777" w:rsidR="002D7B36" w:rsidRPr="00DE12A3" w:rsidRDefault="00242DA0" w:rsidP="00E20716">
      <w:pPr>
        <w:pStyle w:val="Gvdemetni250"/>
        <w:numPr>
          <w:ilvl w:val="0"/>
          <w:numId w:val="163"/>
        </w:numPr>
        <w:tabs>
          <w:tab w:val="left" w:pos="1134"/>
          <w:tab w:val="left" w:pos="1276"/>
        </w:tabs>
        <w:spacing w:before="120" w:after="120" w:line="240" w:lineRule="auto"/>
        <w:ind w:left="1701" w:hanging="567"/>
        <w:rPr>
          <w:bCs/>
          <w:sz w:val="24"/>
          <w:szCs w:val="24"/>
        </w:rPr>
      </w:pPr>
      <w:r w:rsidRPr="00DE12A3">
        <w:rPr>
          <w:bCs/>
          <w:sz w:val="24"/>
          <w:szCs w:val="24"/>
        </w:rPr>
        <w:t>Motor, NRSC (ayrık veya artırımlı) sırasında herhangi bir yerde teklerse, test iptal edilir ve motorun ısınma prosedürü ile başlanarak tekrarlanır. Birden fazla filtre yöntemini (her çalışma modu için bir örnekleme filtresi) kullanan PM ölçümü durumunda test, motor sıcaklığı koşullandırması için bir önceki modda motor dengelenerek ve ardından motorun teklediği modla ölçüm başlatılarak devam ettirilmelidir.</w:t>
      </w:r>
    </w:p>
    <w:p w14:paraId="37FE4AAC" w14:textId="77777777" w:rsidR="002D7B36" w:rsidRPr="00DE12A3" w:rsidRDefault="00517EEE" w:rsidP="00E20716">
      <w:pPr>
        <w:pStyle w:val="Gvdemetni250"/>
        <w:numPr>
          <w:ilvl w:val="0"/>
          <w:numId w:val="164"/>
        </w:numPr>
        <w:spacing w:before="120" w:after="120" w:line="240" w:lineRule="auto"/>
        <w:ind w:left="1134" w:hanging="1134"/>
        <w:rPr>
          <w:bCs/>
          <w:sz w:val="24"/>
          <w:szCs w:val="24"/>
        </w:rPr>
      </w:pPr>
      <w:r w:rsidRPr="00DE12A3">
        <w:rPr>
          <w:bCs/>
          <w:sz w:val="24"/>
          <w:szCs w:val="24"/>
        </w:rPr>
        <w:t xml:space="preserve">       </w:t>
      </w:r>
      <w:r w:rsidR="00242DA0" w:rsidRPr="00DE12A3">
        <w:rPr>
          <w:bCs/>
          <w:sz w:val="24"/>
          <w:szCs w:val="24"/>
        </w:rPr>
        <w:t>Motorun kullanımı</w:t>
      </w:r>
    </w:p>
    <w:p w14:paraId="31836F71" w14:textId="77777777" w:rsidR="002D7B36" w:rsidRPr="00DE12A3" w:rsidRDefault="00517EEE" w:rsidP="00C917D6">
      <w:pPr>
        <w:pStyle w:val="Gvdemetni250"/>
        <w:spacing w:before="120" w:after="120" w:line="240" w:lineRule="auto"/>
        <w:ind w:left="1134" w:hanging="1134"/>
        <w:rPr>
          <w:bCs/>
          <w:sz w:val="24"/>
          <w:szCs w:val="24"/>
        </w:rPr>
      </w:pPr>
      <w:r w:rsidRPr="00DE12A3">
        <w:rPr>
          <w:bCs/>
          <w:sz w:val="24"/>
          <w:szCs w:val="24"/>
        </w:rPr>
        <w:t xml:space="preserve">                  </w:t>
      </w:r>
      <w:r w:rsidR="00242DA0" w:rsidRPr="00DE12A3">
        <w:rPr>
          <w:bCs/>
          <w:sz w:val="24"/>
          <w:szCs w:val="24"/>
        </w:rPr>
        <w:t xml:space="preserve">Operatör”, motor çıktısı gerektiren bir girdiyi, mekanik veya elektronik bildiren bir kişi (yani manuel) veya bir </w:t>
      </w:r>
      <w:r w:rsidR="00EF0D08" w:rsidRPr="00DE12A3">
        <w:rPr>
          <w:bCs/>
          <w:sz w:val="24"/>
          <w:szCs w:val="24"/>
        </w:rPr>
        <w:t>motor kontrol ünitesi (</w:t>
      </w:r>
      <w:r w:rsidR="00242DA0" w:rsidRPr="00DE12A3">
        <w:rPr>
          <w:bCs/>
          <w:sz w:val="24"/>
          <w:szCs w:val="24"/>
        </w:rPr>
        <w:t xml:space="preserve">yani otomatik) olabilir. Girdi; bir gaz pedalı veya sinyali, bir gaz kontrol kolu veya sinyali, bir yakıt kolu veya sinyali, bir devir kolu veya sinyali veya bir </w:t>
      </w:r>
      <w:r w:rsidR="00EF0D08" w:rsidRPr="00DE12A3">
        <w:rPr>
          <w:bCs/>
          <w:sz w:val="24"/>
          <w:szCs w:val="24"/>
        </w:rPr>
        <w:t>motor kontrol ünitesi ayar</w:t>
      </w:r>
      <w:r w:rsidR="00242DA0" w:rsidRPr="00DE12A3">
        <w:rPr>
          <w:bCs/>
          <w:sz w:val="24"/>
          <w:szCs w:val="24"/>
        </w:rPr>
        <w:t xml:space="preserve"> noktası veya sinyali olabilir.</w:t>
      </w:r>
    </w:p>
    <w:p w14:paraId="1A571C6B" w14:textId="77777777" w:rsidR="002D7B36" w:rsidRPr="00DE12A3" w:rsidRDefault="00517EEE" w:rsidP="00E20716">
      <w:pPr>
        <w:pStyle w:val="Gvdemetni250"/>
        <w:numPr>
          <w:ilvl w:val="0"/>
          <w:numId w:val="142"/>
        </w:numPr>
        <w:spacing w:before="120" w:after="120" w:line="240" w:lineRule="auto"/>
        <w:ind w:left="1134" w:hanging="1134"/>
        <w:rPr>
          <w:bCs/>
          <w:sz w:val="24"/>
          <w:szCs w:val="24"/>
        </w:rPr>
      </w:pPr>
      <w:r w:rsidRPr="00DE12A3">
        <w:rPr>
          <w:bCs/>
          <w:sz w:val="24"/>
          <w:szCs w:val="24"/>
        </w:rPr>
        <w:t xml:space="preserve">       </w:t>
      </w:r>
      <w:r w:rsidR="00242DA0" w:rsidRPr="00DE12A3">
        <w:rPr>
          <w:bCs/>
          <w:sz w:val="24"/>
          <w:szCs w:val="24"/>
        </w:rPr>
        <w:t>Motor eşleme</w:t>
      </w:r>
    </w:p>
    <w:p w14:paraId="1AE9EA99" w14:textId="77777777" w:rsidR="002D7B36" w:rsidRPr="00DE12A3" w:rsidRDefault="00517EEE" w:rsidP="00C917D6">
      <w:pPr>
        <w:pStyle w:val="Gvdemetni250"/>
        <w:spacing w:before="120" w:after="120" w:line="240" w:lineRule="auto"/>
        <w:ind w:left="1134" w:hanging="1134"/>
        <w:rPr>
          <w:bCs/>
          <w:sz w:val="24"/>
          <w:szCs w:val="24"/>
        </w:rPr>
      </w:pPr>
      <w:r w:rsidRPr="00DE12A3">
        <w:rPr>
          <w:bCs/>
          <w:sz w:val="24"/>
          <w:szCs w:val="24"/>
        </w:rPr>
        <w:t xml:space="preserve">                  </w:t>
      </w:r>
      <w:r w:rsidR="00242DA0" w:rsidRPr="00DE12A3">
        <w:rPr>
          <w:bCs/>
          <w:sz w:val="24"/>
          <w:szCs w:val="24"/>
        </w:rPr>
        <w:t>Motor eşlemeye başlamadan önce, motor ısıtılmalı ve ısınmanın sonuna doğru, en az 10 dakika boyunca azami güçte veya imalatçının tavsiyesine ve motor soğutma suyu ve motor yağı sıcaklıklarını dengelemek için iyi mühendislik kararına göre çalıştırılmalıdır. Motor dengelendildiğinde, motor eşleme yapılmalıdır.</w:t>
      </w:r>
    </w:p>
    <w:p w14:paraId="1AD9AC20" w14:textId="36706AB5" w:rsidR="002D7B36" w:rsidRPr="00DE12A3" w:rsidRDefault="00517EEE" w:rsidP="00C917D6">
      <w:pPr>
        <w:pStyle w:val="Gvdemetni250"/>
        <w:spacing w:before="120" w:after="120" w:line="240" w:lineRule="auto"/>
        <w:ind w:left="1134" w:hanging="1134"/>
        <w:rPr>
          <w:bCs/>
          <w:sz w:val="24"/>
          <w:szCs w:val="24"/>
        </w:rPr>
      </w:pPr>
      <w:r w:rsidRPr="00DE12A3">
        <w:rPr>
          <w:bCs/>
          <w:sz w:val="24"/>
          <w:szCs w:val="24"/>
        </w:rPr>
        <w:t xml:space="preserve">                  </w:t>
      </w:r>
      <w:r w:rsidR="00242DA0" w:rsidRPr="00DE12A3">
        <w:rPr>
          <w:bCs/>
          <w:sz w:val="24"/>
          <w:szCs w:val="24"/>
        </w:rPr>
        <w:t>İmalatçının elektronik kontrol ünitesi tarafından yayınlanan tork sinyalini kullanmayı amaçladığı durumlarda, bu tür donanımlı motorlar, 2017/655</w:t>
      </w:r>
      <w:r w:rsidR="00EE5D5E" w:rsidRPr="00DE12A3">
        <w:rPr>
          <w:bCs/>
          <w:sz w:val="24"/>
          <w:szCs w:val="24"/>
        </w:rPr>
        <w:t>/AB</w:t>
      </w:r>
      <w:r w:rsidR="00242DA0" w:rsidRPr="00DE12A3">
        <w:rPr>
          <w:bCs/>
          <w:sz w:val="24"/>
          <w:szCs w:val="24"/>
        </w:rPr>
        <w:t xml:space="preserve"> </w:t>
      </w:r>
      <w:r w:rsidR="00966EFF" w:rsidRPr="00DE12A3">
        <w:rPr>
          <w:bCs/>
          <w:sz w:val="24"/>
          <w:szCs w:val="24"/>
        </w:rPr>
        <w:t>T</w:t>
      </w:r>
      <w:r w:rsidR="00EE5D5E" w:rsidRPr="00DE12A3">
        <w:rPr>
          <w:bCs/>
          <w:sz w:val="24"/>
          <w:szCs w:val="24"/>
        </w:rPr>
        <w:t>ebliğ</w:t>
      </w:r>
      <w:r w:rsidR="00B8261D" w:rsidRPr="00DE12A3">
        <w:rPr>
          <w:bCs/>
          <w:sz w:val="24"/>
          <w:szCs w:val="24"/>
        </w:rPr>
        <w:t>in</w:t>
      </w:r>
      <w:r w:rsidR="00EE5D5E" w:rsidRPr="00DE12A3">
        <w:rPr>
          <w:bCs/>
          <w:sz w:val="24"/>
          <w:szCs w:val="24"/>
        </w:rPr>
        <w:t>e</w:t>
      </w:r>
      <w:r w:rsidR="00242DA0" w:rsidRPr="00DE12A3">
        <w:rPr>
          <w:bCs/>
          <w:sz w:val="24"/>
          <w:szCs w:val="24"/>
        </w:rPr>
        <w:t xml:space="preserve"> göre hizmet içi motorların emisyonlarının hizmet içi izlenmesi ile ilgili hizmet içi izleme testleri yapılırken, motor eşleme sırasında ek olarak </w:t>
      </w:r>
      <w:r w:rsidR="00CD23C3" w:rsidRPr="00DE12A3">
        <w:rPr>
          <w:bCs/>
          <w:sz w:val="24"/>
          <w:szCs w:val="24"/>
        </w:rPr>
        <w:t>3. Açıklayıcı Ek</w:t>
      </w:r>
      <w:r w:rsidR="00242DA0" w:rsidRPr="00DE12A3">
        <w:rPr>
          <w:bCs/>
          <w:sz w:val="24"/>
          <w:szCs w:val="24"/>
        </w:rPr>
        <w:t>te belirtilen doğrulama gerçekleştirilmelidir.</w:t>
      </w:r>
    </w:p>
    <w:p w14:paraId="2BAD1879" w14:textId="77777777" w:rsidR="002D7B36" w:rsidRPr="00DE12A3" w:rsidRDefault="00517EEE" w:rsidP="00C917D6">
      <w:pPr>
        <w:pStyle w:val="Gvdemetni250"/>
        <w:spacing w:before="120" w:after="120" w:line="240" w:lineRule="auto"/>
        <w:ind w:left="1134" w:hanging="1134"/>
        <w:rPr>
          <w:bCs/>
          <w:sz w:val="24"/>
          <w:szCs w:val="24"/>
        </w:rPr>
      </w:pPr>
      <w:r w:rsidRPr="00DE12A3">
        <w:rPr>
          <w:bCs/>
          <w:sz w:val="24"/>
          <w:szCs w:val="24"/>
        </w:rPr>
        <w:t xml:space="preserve">                  </w:t>
      </w:r>
      <w:r w:rsidR="00242DA0" w:rsidRPr="00DE12A3">
        <w:rPr>
          <w:bCs/>
          <w:sz w:val="24"/>
          <w:szCs w:val="24"/>
        </w:rPr>
        <w:t xml:space="preserve">Sabit devirli motorlar haricinde motor eşleme, tamamen açık yakıt kolu veya artan sırada ayrı devirler kullanan </w:t>
      </w:r>
      <w:r w:rsidR="00EF0D08" w:rsidRPr="00DE12A3">
        <w:rPr>
          <w:bCs/>
          <w:sz w:val="24"/>
          <w:szCs w:val="24"/>
        </w:rPr>
        <w:t>motor kontrol ünitesi</w:t>
      </w:r>
      <w:r w:rsidR="007502D6" w:rsidRPr="00DE12A3">
        <w:rPr>
          <w:bCs/>
          <w:sz w:val="24"/>
          <w:szCs w:val="24"/>
        </w:rPr>
        <w:t xml:space="preserve"> </w:t>
      </w:r>
      <w:r w:rsidR="004E7F54" w:rsidRPr="00DE12A3">
        <w:rPr>
          <w:bCs/>
          <w:sz w:val="24"/>
          <w:szCs w:val="24"/>
        </w:rPr>
        <w:t>ile</w:t>
      </w:r>
      <w:r w:rsidR="00242DA0" w:rsidRPr="00DE12A3">
        <w:rPr>
          <w:bCs/>
          <w:sz w:val="24"/>
          <w:szCs w:val="24"/>
        </w:rPr>
        <w:t xml:space="preserve"> yapılmalıdır. Asgari </w:t>
      </w:r>
      <w:r w:rsidR="00242DA0" w:rsidRPr="00DE12A3">
        <w:rPr>
          <w:bCs/>
          <w:sz w:val="24"/>
          <w:szCs w:val="24"/>
        </w:rPr>
        <w:lastRenderedPageBreak/>
        <w:t>ve azami eşleme devirleri aşağıdaki şekilde tanımlanır:</w:t>
      </w:r>
    </w:p>
    <w:p w14:paraId="2A90B36C" w14:textId="1F530400" w:rsidR="002D7B36" w:rsidRPr="00DE12A3" w:rsidRDefault="00242DA0" w:rsidP="00C917D6">
      <w:pPr>
        <w:pStyle w:val="Gvdemetni250"/>
        <w:spacing w:before="120" w:after="120" w:line="240" w:lineRule="auto"/>
        <w:ind w:left="1134" w:firstLine="0"/>
        <w:rPr>
          <w:bCs/>
          <w:sz w:val="24"/>
          <w:szCs w:val="24"/>
        </w:rPr>
      </w:pPr>
      <w:r w:rsidRPr="00DE12A3">
        <w:rPr>
          <w:bCs/>
          <w:sz w:val="24"/>
          <w:szCs w:val="24"/>
        </w:rPr>
        <w:t>Aşgari eşleme devri</w:t>
      </w:r>
      <w:r w:rsidRPr="00DE12A3">
        <w:rPr>
          <w:bCs/>
          <w:sz w:val="24"/>
          <w:szCs w:val="24"/>
        </w:rPr>
        <w:tab/>
        <w:t>=</w:t>
      </w:r>
      <w:r w:rsidRPr="00DE12A3">
        <w:rPr>
          <w:bCs/>
          <w:sz w:val="24"/>
          <w:szCs w:val="24"/>
        </w:rPr>
        <w:tab/>
      </w:r>
      <w:r w:rsidR="005454AA" w:rsidRPr="00DE12A3">
        <w:rPr>
          <w:bCs/>
          <w:sz w:val="24"/>
          <w:szCs w:val="24"/>
        </w:rPr>
        <w:t xml:space="preserve">Sıcak </w:t>
      </w:r>
      <w:r w:rsidRPr="00DE12A3">
        <w:rPr>
          <w:bCs/>
          <w:sz w:val="24"/>
          <w:szCs w:val="24"/>
        </w:rPr>
        <w:t>rölanti devri</w:t>
      </w:r>
    </w:p>
    <w:p w14:paraId="0C400B6E" w14:textId="2F33E7B6" w:rsidR="002D7B36" w:rsidRPr="00DE12A3" w:rsidRDefault="00242DA0" w:rsidP="00C917D6">
      <w:pPr>
        <w:pStyle w:val="Gvdemetni250"/>
        <w:spacing w:before="120" w:after="120" w:line="240" w:lineRule="auto"/>
        <w:ind w:left="1134" w:firstLine="0"/>
        <w:rPr>
          <w:bCs/>
          <w:sz w:val="24"/>
          <w:szCs w:val="24"/>
        </w:rPr>
      </w:pPr>
      <w:r w:rsidRPr="00DE12A3">
        <w:rPr>
          <w:bCs/>
          <w:sz w:val="24"/>
          <w:szCs w:val="24"/>
        </w:rPr>
        <w:t>Azami eşleme devri</w:t>
      </w:r>
      <w:r w:rsidRPr="00DE12A3">
        <w:rPr>
          <w:bCs/>
          <w:sz w:val="24"/>
          <w:szCs w:val="24"/>
        </w:rPr>
        <w:tab/>
        <w:t>=</w:t>
      </w:r>
      <w:r w:rsidRPr="00DE12A3">
        <w:rPr>
          <w:bCs/>
          <w:sz w:val="24"/>
          <w:szCs w:val="24"/>
        </w:rPr>
        <w:tab/>
      </w:r>
      <w:r w:rsidR="005454AA" w:rsidRPr="00DE12A3">
        <w:rPr>
          <w:bCs/>
          <w:sz w:val="24"/>
          <w:szCs w:val="24"/>
        </w:rPr>
        <w:t xml:space="preserve">Hangisi </w:t>
      </w:r>
      <w:r w:rsidRPr="00DE12A3">
        <w:rPr>
          <w:bCs/>
          <w:sz w:val="24"/>
          <w:szCs w:val="24"/>
        </w:rPr>
        <w:t xml:space="preserve">daha küçükse, </w:t>
      </w:r>
      <w:r w:rsidRPr="00DE12A3">
        <w:rPr>
          <w:bCs/>
          <w:i/>
          <w:iCs/>
          <w:sz w:val="24"/>
          <w:szCs w:val="24"/>
        </w:rPr>
        <w:t>n</w:t>
      </w:r>
      <w:r w:rsidRPr="00DE12A3">
        <w:rPr>
          <w:bCs/>
          <w:sz w:val="24"/>
          <w:szCs w:val="24"/>
          <w:vertAlign w:val="subscript"/>
        </w:rPr>
        <w:t>hi</w:t>
      </w:r>
      <w:r w:rsidRPr="00DE12A3">
        <w:rPr>
          <w:bCs/>
          <w:sz w:val="24"/>
          <w:szCs w:val="24"/>
        </w:rPr>
        <w:t xml:space="preserve"> x 1,02 veya azami torkun sıfıra düştüğü noktadaki devir</w:t>
      </w:r>
    </w:p>
    <w:p w14:paraId="10034298" w14:textId="77777777" w:rsidR="002D7B36" w:rsidRPr="00DE12A3" w:rsidRDefault="00242DA0" w:rsidP="00C917D6">
      <w:pPr>
        <w:pStyle w:val="Gvdemetni250"/>
        <w:spacing w:before="120" w:after="120" w:line="240" w:lineRule="auto"/>
        <w:ind w:left="1134" w:firstLine="0"/>
        <w:rPr>
          <w:bCs/>
          <w:sz w:val="24"/>
          <w:szCs w:val="24"/>
        </w:rPr>
      </w:pPr>
      <w:r w:rsidRPr="00DE12A3">
        <w:rPr>
          <w:bCs/>
          <w:sz w:val="24"/>
          <w:szCs w:val="24"/>
        </w:rPr>
        <w:t>Burada:</w:t>
      </w:r>
    </w:p>
    <w:p w14:paraId="681E8D92" w14:textId="7A5E60E0" w:rsidR="002D7B36" w:rsidRPr="00DE12A3" w:rsidRDefault="00242DA0" w:rsidP="00C917D6">
      <w:pPr>
        <w:pStyle w:val="Gvdemetni250"/>
        <w:spacing w:before="120" w:after="120" w:line="240" w:lineRule="auto"/>
        <w:ind w:left="1134" w:firstLine="0"/>
        <w:rPr>
          <w:bCs/>
          <w:sz w:val="24"/>
          <w:szCs w:val="24"/>
        </w:rPr>
      </w:pPr>
      <w:r w:rsidRPr="00DE12A3">
        <w:rPr>
          <w:bCs/>
          <w:i/>
          <w:iCs/>
          <w:sz w:val="24"/>
          <w:szCs w:val="24"/>
        </w:rPr>
        <w:t>n</w:t>
      </w:r>
      <w:r w:rsidRPr="00DE12A3">
        <w:rPr>
          <w:bCs/>
          <w:sz w:val="24"/>
          <w:szCs w:val="24"/>
          <w:vertAlign w:val="subscript"/>
        </w:rPr>
        <w:t>hi</w:t>
      </w:r>
      <w:r w:rsidR="00B8261D" w:rsidRPr="00DE12A3">
        <w:rPr>
          <w:bCs/>
          <w:sz w:val="24"/>
          <w:szCs w:val="24"/>
          <w:vertAlign w:val="subscript"/>
        </w:rPr>
        <w:t>=</w:t>
      </w:r>
      <w:r w:rsidRPr="00DE12A3">
        <w:rPr>
          <w:bCs/>
          <w:sz w:val="24"/>
          <w:szCs w:val="24"/>
        </w:rPr>
        <w:t>yüksek devirdir.</w:t>
      </w:r>
    </w:p>
    <w:p w14:paraId="7729F766" w14:textId="0A7EFE7F" w:rsidR="002D7B36" w:rsidRPr="00DE12A3" w:rsidRDefault="00242DA0" w:rsidP="00C917D6">
      <w:pPr>
        <w:pStyle w:val="Gvdemetni250"/>
        <w:spacing w:before="120" w:after="120" w:line="240" w:lineRule="auto"/>
        <w:ind w:left="1134" w:firstLine="0"/>
        <w:rPr>
          <w:bCs/>
          <w:sz w:val="24"/>
          <w:szCs w:val="24"/>
        </w:rPr>
      </w:pPr>
      <w:r w:rsidRPr="00DE12A3">
        <w:rPr>
          <w:bCs/>
          <w:sz w:val="24"/>
          <w:szCs w:val="24"/>
        </w:rPr>
        <w:t>En yüksek devir güvensizse veya (</w:t>
      </w:r>
      <w:r w:rsidR="005B014A" w:rsidRPr="00DE12A3">
        <w:rPr>
          <w:bCs/>
          <w:sz w:val="24"/>
          <w:szCs w:val="24"/>
        </w:rPr>
        <w:t>örneğin</w:t>
      </w:r>
      <w:r w:rsidRPr="00DE12A3">
        <w:rPr>
          <w:bCs/>
          <w:sz w:val="24"/>
          <w:szCs w:val="24"/>
        </w:rPr>
        <w:t xml:space="preserve"> kontrol edilmeyen motorlar için) örnek teşkil etmiyorsa, azami güvenli devire veya azami örnek devire eşlemek için iyi mühendislik kararı kullanılmalıdır.</w:t>
      </w:r>
    </w:p>
    <w:p w14:paraId="2004EA56" w14:textId="77777777" w:rsidR="002D7B36" w:rsidRPr="00DE12A3" w:rsidRDefault="00517EEE" w:rsidP="00E20716">
      <w:pPr>
        <w:pStyle w:val="Gvdemetni250"/>
        <w:numPr>
          <w:ilvl w:val="0"/>
          <w:numId w:val="165"/>
        </w:numPr>
        <w:spacing w:before="120" w:after="120" w:line="240" w:lineRule="auto"/>
        <w:ind w:left="1134" w:hanging="1134"/>
        <w:rPr>
          <w:bCs/>
          <w:sz w:val="24"/>
          <w:szCs w:val="24"/>
        </w:rPr>
      </w:pPr>
      <w:r w:rsidRPr="00DE12A3">
        <w:rPr>
          <w:bCs/>
          <w:sz w:val="24"/>
          <w:szCs w:val="24"/>
        </w:rPr>
        <w:t xml:space="preserve">       </w:t>
      </w:r>
      <w:r w:rsidR="00242DA0" w:rsidRPr="00DE12A3">
        <w:rPr>
          <w:bCs/>
          <w:sz w:val="24"/>
          <w:szCs w:val="24"/>
        </w:rPr>
        <w:t>Değişken devirli NRSC için motor eşleme</w:t>
      </w:r>
    </w:p>
    <w:p w14:paraId="779E9678" w14:textId="77777777" w:rsidR="002D7B36" w:rsidRPr="00DE12A3" w:rsidRDefault="00517EEE" w:rsidP="00C917D6">
      <w:pPr>
        <w:pStyle w:val="Gvdemetni250"/>
        <w:spacing w:before="120" w:after="120" w:line="240" w:lineRule="auto"/>
        <w:ind w:left="1134" w:hanging="1134"/>
        <w:rPr>
          <w:bCs/>
          <w:sz w:val="24"/>
          <w:szCs w:val="24"/>
        </w:rPr>
      </w:pPr>
      <w:r w:rsidRPr="00DE12A3">
        <w:rPr>
          <w:bCs/>
          <w:sz w:val="24"/>
          <w:szCs w:val="24"/>
        </w:rPr>
        <w:t xml:space="preserve">                  </w:t>
      </w:r>
      <w:r w:rsidR="00242DA0" w:rsidRPr="00DE12A3">
        <w:rPr>
          <w:bCs/>
          <w:sz w:val="24"/>
          <w:szCs w:val="24"/>
        </w:rPr>
        <w:t xml:space="preserve">Değişken devirli bir NRSC için motor eşleme durumunda (sadece NRTC veya LSI-NRTC </w:t>
      </w:r>
      <w:r w:rsidR="007E2039" w:rsidRPr="00DE12A3">
        <w:rPr>
          <w:bCs/>
          <w:sz w:val="24"/>
          <w:szCs w:val="24"/>
        </w:rPr>
        <w:t xml:space="preserve">çevrimini  </w:t>
      </w:r>
      <w:r w:rsidR="00242DA0" w:rsidRPr="00DE12A3">
        <w:rPr>
          <w:bCs/>
          <w:sz w:val="24"/>
          <w:szCs w:val="24"/>
        </w:rPr>
        <w:t xml:space="preserve"> çalıştırmak zorunda olmayan motorlar için), yeterli sayıda eşit aralıklı ayar noktası seçmek için iyi mühendislik kararı kullanılmalıdır. Her ayar noktasında, devir dengelenmeli ve tork en az 15 saniye boyunca dengelenmeye bırakılmalıdır. Ortalama devir ve tork her ayar noktasında kaydedilmelidir. Ortalama devir ve tork değerlerinin son 4 ila 6 saniye arasında kaydedilen veriler kullanılarak hesaplanması önerilir. Gerekirse NRSC test devirlerini ve torklarını belirlemek için doğrusal enterpolasyon kullanılır. Motorların ilave olarak bir NRTC veya LSI-NRTC çalıştırması </w:t>
      </w:r>
      <w:r w:rsidR="004E7F54" w:rsidRPr="00DE12A3">
        <w:rPr>
          <w:bCs/>
          <w:sz w:val="24"/>
          <w:szCs w:val="24"/>
        </w:rPr>
        <w:t>gerektiğinde, kararlı</w:t>
      </w:r>
      <w:r w:rsidR="00951351" w:rsidRPr="00DE12A3">
        <w:rPr>
          <w:bCs/>
          <w:sz w:val="24"/>
          <w:szCs w:val="24"/>
        </w:rPr>
        <w:t xml:space="preserve"> </w:t>
      </w:r>
      <w:r w:rsidR="004E7F54" w:rsidRPr="00DE12A3">
        <w:rPr>
          <w:bCs/>
          <w:sz w:val="24"/>
          <w:szCs w:val="24"/>
        </w:rPr>
        <w:t>durum test</w:t>
      </w:r>
      <w:r w:rsidR="00242DA0" w:rsidRPr="00DE12A3">
        <w:rPr>
          <w:bCs/>
          <w:sz w:val="24"/>
          <w:szCs w:val="24"/>
        </w:rPr>
        <w:t xml:space="preserve"> devirlerini ve torklarını belirlemek için NRTC motor eşleme eğrisi kullanılır.</w:t>
      </w:r>
    </w:p>
    <w:p w14:paraId="19FF6066" w14:textId="77777777" w:rsidR="002D7B36" w:rsidRPr="00DE12A3" w:rsidRDefault="00517EEE" w:rsidP="00C917D6">
      <w:pPr>
        <w:pStyle w:val="Gvdemetni250"/>
        <w:spacing w:before="120" w:after="120" w:line="240" w:lineRule="auto"/>
        <w:ind w:left="1134" w:hanging="1134"/>
        <w:rPr>
          <w:bCs/>
          <w:sz w:val="24"/>
          <w:szCs w:val="24"/>
        </w:rPr>
      </w:pPr>
      <w:r w:rsidRPr="00DE12A3">
        <w:rPr>
          <w:bCs/>
          <w:sz w:val="24"/>
          <w:szCs w:val="24"/>
        </w:rPr>
        <w:t xml:space="preserve">                  </w:t>
      </w:r>
      <w:r w:rsidR="00242DA0" w:rsidRPr="00DE12A3">
        <w:rPr>
          <w:bCs/>
          <w:sz w:val="24"/>
          <w:szCs w:val="24"/>
        </w:rPr>
        <w:t>İmalatçının tercihine bağlı olarak motor eşleme, alternatif olarak 7.6.2 bendindeki prosedüre göre de yapılabilir.</w:t>
      </w:r>
    </w:p>
    <w:p w14:paraId="7521E49F" w14:textId="77777777" w:rsidR="002D7B36" w:rsidRPr="00DE12A3" w:rsidRDefault="002D7B36" w:rsidP="00E20716">
      <w:pPr>
        <w:pStyle w:val="ListeParagraf"/>
        <w:numPr>
          <w:ilvl w:val="0"/>
          <w:numId w:val="166"/>
        </w:numPr>
        <w:shd w:val="clear" w:color="auto" w:fill="FFFFFF"/>
        <w:spacing w:before="120" w:after="120"/>
        <w:ind w:left="1134" w:hanging="1134"/>
        <w:contextualSpacing w:val="0"/>
        <w:jc w:val="both"/>
        <w:rPr>
          <w:rFonts w:eastAsia="Times New Roman" w:cs="Times New Roman"/>
          <w:bCs/>
          <w:vanish/>
          <w:color w:val="auto"/>
          <w:spacing w:val="3"/>
          <w:lang w:eastAsia="en-US"/>
        </w:rPr>
      </w:pPr>
    </w:p>
    <w:p w14:paraId="304C911D" w14:textId="77777777" w:rsidR="002D7B36" w:rsidRPr="00DE12A3" w:rsidRDefault="00517EEE" w:rsidP="00E20716">
      <w:pPr>
        <w:pStyle w:val="Gvdemetni250"/>
        <w:numPr>
          <w:ilvl w:val="0"/>
          <w:numId w:val="166"/>
        </w:numPr>
        <w:spacing w:before="120" w:after="120" w:line="240" w:lineRule="auto"/>
        <w:ind w:left="1134" w:hanging="1134"/>
        <w:rPr>
          <w:bCs/>
          <w:sz w:val="24"/>
          <w:szCs w:val="24"/>
        </w:rPr>
      </w:pPr>
      <w:r w:rsidRPr="00DE12A3">
        <w:rPr>
          <w:bCs/>
          <w:sz w:val="24"/>
          <w:szCs w:val="24"/>
        </w:rPr>
        <w:t xml:space="preserve">      </w:t>
      </w:r>
      <w:r w:rsidR="00242DA0" w:rsidRPr="00DE12A3">
        <w:rPr>
          <w:bCs/>
          <w:sz w:val="24"/>
          <w:szCs w:val="24"/>
        </w:rPr>
        <w:t>NRTC ve LSI-NRTC için motor eşleme</w:t>
      </w:r>
    </w:p>
    <w:p w14:paraId="0467C800" w14:textId="77777777" w:rsidR="002D7B36" w:rsidRPr="00DE12A3" w:rsidRDefault="00517EEE" w:rsidP="00C917D6">
      <w:pPr>
        <w:pStyle w:val="Gvdemetni250"/>
        <w:spacing w:before="120" w:after="120" w:line="240" w:lineRule="auto"/>
        <w:ind w:left="1134" w:hanging="1134"/>
        <w:rPr>
          <w:bCs/>
          <w:sz w:val="24"/>
          <w:szCs w:val="24"/>
        </w:rPr>
      </w:pPr>
      <w:r w:rsidRPr="00DE12A3">
        <w:rPr>
          <w:bCs/>
          <w:sz w:val="24"/>
          <w:szCs w:val="24"/>
        </w:rPr>
        <w:t xml:space="preserve">                  </w:t>
      </w:r>
      <w:r w:rsidR="00242DA0" w:rsidRPr="00DE12A3">
        <w:rPr>
          <w:bCs/>
          <w:sz w:val="24"/>
          <w:szCs w:val="24"/>
        </w:rPr>
        <w:t>Motor eşleme aşağıdaki prosedüre göre yapılmalıdır:</w:t>
      </w:r>
    </w:p>
    <w:p w14:paraId="1C705FE6" w14:textId="11B76FB5" w:rsidR="002D7B36" w:rsidRPr="00DE12A3" w:rsidRDefault="00517EEE" w:rsidP="00E20716">
      <w:pPr>
        <w:pStyle w:val="Gvdemetni250"/>
        <w:numPr>
          <w:ilvl w:val="0"/>
          <w:numId w:val="167"/>
        </w:numPr>
        <w:spacing w:before="120" w:after="120" w:line="240" w:lineRule="auto"/>
        <w:ind w:left="1701" w:hanging="567"/>
        <w:rPr>
          <w:bCs/>
          <w:sz w:val="24"/>
          <w:szCs w:val="24"/>
        </w:rPr>
      </w:pPr>
      <w:r w:rsidRPr="00DE12A3">
        <w:rPr>
          <w:bCs/>
          <w:sz w:val="24"/>
          <w:szCs w:val="24"/>
        </w:rPr>
        <w:t xml:space="preserve">     </w:t>
      </w:r>
      <w:r w:rsidR="00242DA0" w:rsidRPr="00DE12A3">
        <w:rPr>
          <w:bCs/>
          <w:sz w:val="24"/>
          <w:szCs w:val="24"/>
        </w:rPr>
        <w:t>Motorun yükü alınmalı ve rölanti devrinde çalıştırılmalıdır</w:t>
      </w:r>
      <w:r w:rsidR="00B8261D" w:rsidRPr="00DE12A3">
        <w:rPr>
          <w:bCs/>
          <w:sz w:val="24"/>
          <w:szCs w:val="24"/>
        </w:rPr>
        <w:t>.</w:t>
      </w:r>
    </w:p>
    <w:p w14:paraId="1E1BC15D" w14:textId="45452FD2" w:rsidR="002D7B36" w:rsidRPr="00DE12A3" w:rsidRDefault="00517EEE" w:rsidP="00E20716">
      <w:pPr>
        <w:pStyle w:val="Gvdemetni250"/>
        <w:numPr>
          <w:ilvl w:val="0"/>
          <w:numId w:val="168"/>
        </w:numPr>
        <w:spacing w:before="120" w:after="120" w:line="240" w:lineRule="auto"/>
        <w:ind w:left="2268" w:hanging="567"/>
        <w:rPr>
          <w:bCs/>
          <w:sz w:val="24"/>
          <w:szCs w:val="24"/>
        </w:rPr>
      </w:pPr>
      <w:r w:rsidRPr="00DE12A3">
        <w:rPr>
          <w:bCs/>
          <w:sz w:val="24"/>
          <w:szCs w:val="24"/>
        </w:rPr>
        <w:t xml:space="preserve">   </w:t>
      </w:r>
      <w:r w:rsidR="00242DA0" w:rsidRPr="00DE12A3">
        <w:rPr>
          <w:bCs/>
          <w:sz w:val="24"/>
          <w:szCs w:val="24"/>
        </w:rPr>
        <w:t>Düşük devirli regülatörlü motorlarda, operatör talebi asgari seviyeye ayarlanmalı, dinamometre veya başka bir yükleme cihazı motorun ana çıkış milinde sıfır tork hedeflemek için kullanılmalı ve motorun devri yönetmesine izin verilmelidir. Bu sıcak rölanti devri ölçülmelidir</w:t>
      </w:r>
      <w:r w:rsidR="00B8261D" w:rsidRPr="00DE12A3">
        <w:rPr>
          <w:bCs/>
          <w:sz w:val="24"/>
          <w:szCs w:val="24"/>
        </w:rPr>
        <w:t>.</w:t>
      </w:r>
    </w:p>
    <w:p w14:paraId="29D5D937" w14:textId="0A48668E" w:rsidR="002D7B36" w:rsidRPr="00DE12A3" w:rsidRDefault="00517EEE" w:rsidP="00E20716">
      <w:pPr>
        <w:pStyle w:val="Gvdemetni250"/>
        <w:numPr>
          <w:ilvl w:val="0"/>
          <w:numId w:val="168"/>
        </w:numPr>
        <w:spacing w:before="120" w:after="120" w:line="240" w:lineRule="auto"/>
        <w:ind w:left="2268" w:hanging="567"/>
        <w:rPr>
          <w:bCs/>
          <w:sz w:val="24"/>
          <w:szCs w:val="24"/>
        </w:rPr>
      </w:pPr>
      <w:r w:rsidRPr="00DE12A3">
        <w:rPr>
          <w:bCs/>
          <w:sz w:val="24"/>
          <w:szCs w:val="24"/>
        </w:rPr>
        <w:t xml:space="preserve">  </w:t>
      </w:r>
      <w:r w:rsidR="00242DA0" w:rsidRPr="00DE12A3">
        <w:rPr>
          <w:bCs/>
          <w:sz w:val="24"/>
          <w:szCs w:val="24"/>
        </w:rPr>
        <w:t>Düşük devirli regülatörsüz motorlarda, dinamometre motorun ana çıkış milinde sıfır tork hedefleyecek şekilde ayarlanmalı ve operatör talebi, asgari yük ile imalatçının beyan ettiği en düşük motor devrini (ayrıca imalatçı tarafından beyan edilen sıcak rölanti devri olarak da bilinir) kontrol edecek şekilde ayarlanmalıdır</w:t>
      </w:r>
      <w:r w:rsidR="00B8261D" w:rsidRPr="00DE12A3">
        <w:rPr>
          <w:bCs/>
          <w:sz w:val="24"/>
          <w:szCs w:val="24"/>
        </w:rPr>
        <w:t>.</w:t>
      </w:r>
    </w:p>
    <w:p w14:paraId="0BFAD0F3" w14:textId="16931235" w:rsidR="002D7B36" w:rsidRPr="00DE12A3" w:rsidRDefault="00517EEE" w:rsidP="00E20716">
      <w:pPr>
        <w:pStyle w:val="Gvdemetni250"/>
        <w:numPr>
          <w:ilvl w:val="0"/>
          <w:numId w:val="168"/>
        </w:numPr>
        <w:spacing w:before="120" w:after="120" w:line="240" w:lineRule="auto"/>
        <w:ind w:left="2268" w:hanging="567"/>
        <w:rPr>
          <w:bCs/>
          <w:sz w:val="24"/>
          <w:szCs w:val="24"/>
        </w:rPr>
      </w:pPr>
      <w:r w:rsidRPr="00DE12A3">
        <w:rPr>
          <w:bCs/>
          <w:sz w:val="24"/>
          <w:szCs w:val="24"/>
        </w:rPr>
        <w:t xml:space="preserve">   </w:t>
      </w:r>
      <w:r w:rsidR="00242DA0" w:rsidRPr="00DE12A3">
        <w:rPr>
          <w:bCs/>
          <w:sz w:val="24"/>
          <w:szCs w:val="24"/>
        </w:rPr>
        <w:t xml:space="preserve">Hizmet içi çalışmayı sıfır olmayan bir rölanti torku temsil ediyorsa, imalatçının beyan ettiği rölanti torku (düşük devirli bir </w:t>
      </w:r>
      <w:r w:rsidR="00EF0D08" w:rsidRPr="00DE12A3">
        <w:rPr>
          <w:bCs/>
          <w:sz w:val="24"/>
          <w:szCs w:val="24"/>
        </w:rPr>
        <w:t>motor kontrol ünitesi</w:t>
      </w:r>
      <w:r w:rsidR="007502D6" w:rsidRPr="00DE12A3">
        <w:rPr>
          <w:bCs/>
          <w:sz w:val="24"/>
          <w:szCs w:val="24"/>
        </w:rPr>
        <w:t xml:space="preserve"> </w:t>
      </w:r>
      <w:r w:rsidR="004E7F54" w:rsidRPr="00DE12A3">
        <w:rPr>
          <w:bCs/>
          <w:sz w:val="24"/>
          <w:szCs w:val="24"/>
        </w:rPr>
        <w:t>olan</w:t>
      </w:r>
      <w:r w:rsidR="00242DA0" w:rsidRPr="00DE12A3">
        <w:rPr>
          <w:bCs/>
          <w:sz w:val="24"/>
          <w:szCs w:val="24"/>
        </w:rPr>
        <w:t xml:space="preserve"> veya olmayan) tüm değişken devirli motorlarda kullanılabilir</w:t>
      </w:r>
      <w:r w:rsidR="00B8261D" w:rsidRPr="00DE12A3">
        <w:rPr>
          <w:bCs/>
          <w:sz w:val="24"/>
          <w:szCs w:val="24"/>
        </w:rPr>
        <w:t>.</w:t>
      </w:r>
    </w:p>
    <w:p w14:paraId="302EB612" w14:textId="232E2CB5" w:rsidR="002D7B36" w:rsidRPr="00DE12A3" w:rsidRDefault="00242DA0" w:rsidP="00E20716">
      <w:pPr>
        <w:pStyle w:val="Gvdemetni250"/>
        <w:numPr>
          <w:ilvl w:val="0"/>
          <w:numId w:val="167"/>
        </w:numPr>
        <w:spacing w:before="120" w:after="120" w:line="240" w:lineRule="auto"/>
        <w:ind w:left="1701" w:hanging="567"/>
        <w:rPr>
          <w:bCs/>
          <w:sz w:val="24"/>
          <w:szCs w:val="24"/>
        </w:rPr>
      </w:pPr>
      <w:r w:rsidRPr="00DE12A3">
        <w:rPr>
          <w:bCs/>
          <w:sz w:val="24"/>
          <w:szCs w:val="24"/>
        </w:rPr>
        <w:t xml:space="preserve">Operatör talebi azami seviyeye ayarlanmalı ve motor devri, sıcak rölanti devri ile sıcak rölanti devrinin %95'i arasında kontrol edilmelidir. En düşük devri sıcak rölanti devrinden daha yüksek olan referans hizmet </w:t>
      </w:r>
      <w:r w:rsidR="00F310B5" w:rsidRPr="00DE12A3">
        <w:rPr>
          <w:bCs/>
          <w:sz w:val="24"/>
          <w:szCs w:val="24"/>
        </w:rPr>
        <w:t>çevrimi</w:t>
      </w:r>
      <w:r w:rsidRPr="00DE12A3">
        <w:rPr>
          <w:bCs/>
          <w:sz w:val="24"/>
          <w:szCs w:val="24"/>
        </w:rPr>
        <w:t>ne sahip motorlarda, eşleme en düşük referans devir ile en düşük referans devrin %95'i arasında başlatılabilir</w:t>
      </w:r>
      <w:r w:rsidR="00B8261D" w:rsidRPr="00DE12A3">
        <w:rPr>
          <w:bCs/>
          <w:sz w:val="24"/>
          <w:szCs w:val="24"/>
        </w:rPr>
        <w:t>.</w:t>
      </w:r>
    </w:p>
    <w:p w14:paraId="0B0BA86F" w14:textId="3D75F119" w:rsidR="002D7B36" w:rsidRPr="00DE12A3" w:rsidRDefault="00517EEE" w:rsidP="00E20716">
      <w:pPr>
        <w:pStyle w:val="Gvdemetni250"/>
        <w:numPr>
          <w:ilvl w:val="0"/>
          <w:numId w:val="167"/>
        </w:numPr>
        <w:spacing w:before="120" w:after="120" w:line="240" w:lineRule="auto"/>
        <w:ind w:left="1701" w:hanging="567"/>
        <w:rPr>
          <w:bCs/>
          <w:sz w:val="24"/>
          <w:szCs w:val="24"/>
        </w:rPr>
      </w:pPr>
      <w:r w:rsidRPr="00DE12A3">
        <w:rPr>
          <w:bCs/>
          <w:sz w:val="24"/>
          <w:szCs w:val="24"/>
        </w:rPr>
        <w:lastRenderedPageBreak/>
        <w:t xml:space="preserve">     </w:t>
      </w:r>
      <w:r w:rsidR="00242DA0" w:rsidRPr="00DE12A3">
        <w:rPr>
          <w:bCs/>
          <w:sz w:val="24"/>
          <w:szCs w:val="24"/>
        </w:rPr>
        <w:t>Motor devri ortalama 8 ± 1 dak-1/s oranında artırılmalı veya motor, asgari eşleme devrinden azami eşleme devrine taramak 4 ila 6 dakika sürecek şekilde sabit bir devirde sürekli bir tarama kullanılarak eşlenmelidir. Eşleme devri aralığı, sıcak rölanti ile %95 sıcak rölanti arasında başlatılmalı ve azami gücün %70'inden daha azının oluştuğu azami gücün üzerindeki en yüksek devirde sonlandırılmalıdır. Bu en yüksek devir güvensizse veya (</w:t>
      </w:r>
      <w:r w:rsidR="005B014A" w:rsidRPr="00DE12A3">
        <w:rPr>
          <w:bCs/>
          <w:sz w:val="24"/>
          <w:szCs w:val="24"/>
        </w:rPr>
        <w:t>örneğin</w:t>
      </w:r>
      <w:r w:rsidR="00242DA0" w:rsidRPr="00DE12A3">
        <w:rPr>
          <w:bCs/>
          <w:sz w:val="24"/>
          <w:szCs w:val="24"/>
        </w:rPr>
        <w:t xml:space="preserve"> kontrol edilmeyen motorlar için) örnek teşkil etmiyorsa, azami güvenli devire veya azami örnek devire eşlemek için iyi mühendislik kararı kullanılmalıdır. Motor devri ve tork noktaları, en az 1 Hz'lik bir örnek devirde kaydedilmelidir</w:t>
      </w:r>
      <w:r w:rsidR="00B8261D" w:rsidRPr="00DE12A3">
        <w:rPr>
          <w:bCs/>
          <w:sz w:val="24"/>
          <w:szCs w:val="24"/>
        </w:rPr>
        <w:t>.</w:t>
      </w:r>
    </w:p>
    <w:p w14:paraId="59496045" w14:textId="70AF21A6" w:rsidR="002D7B36" w:rsidRPr="00DE12A3" w:rsidRDefault="00242DA0" w:rsidP="00E20716">
      <w:pPr>
        <w:pStyle w:val="Gvdemetni250"/>
        <w:numPr>
          <w:ilvl w:val="0"/>
          <w:numId w:val="167"/>
        </w:numPr>
        <w:spacing w:before="120" w:after="120" w:line="240" w:lineRule="auto"/>
        <w:ind w:left="1701" w:hanging="567"/>
        <w:rPr>
          <w:bCs/>
          <w:sz w:val="24"/>
          <w:szCs w:val="24"/>
        </w:rPr>
      </w:pPr>
      <w:r w:rsidRPr="00DE12A3">
        <w:rPr>
          <w:bCs/>
          <w:sz w:val="24"/>
          <w:szCs w:val="24"/>
        </w:rPr>
        <w:t xml:space="preserve">Bir imalatçı, yukarıdaki eşleme tekniklerinin herhangi bir motor için güvensiz olduğuna veya örnek teşkil etmediğine inanıyorsa, alternatif eşleme teknikleri kullanılabilir. Bu alternatif teknikler, test </w:t>
      </w:r>
      <w:r w:rsidR="00F310B5" w:rsidRPr="00DE12A3">
        <w:rPr>
          <w:bCs/>
          <w:sz w:val="24"/>
          <w:szCs w:val="24"/>
        </w:rPr>
        <w:t>çevrim</w:t>
      </w:r>
      <w:r w:rsidRPr="00DE12A3">
        <w:rPr>
          <w:bCs/>
          <w:sz w:val="24"/>
          <w:szCs w:val="24"/>
        </w:rPr>
        <w:t xml:space="preserve">leri sırasında elde edilen tüm motor devirlerinde azami torku belirlemek için belirtilen eşleme prosedürlerinin amacını yerine getirmelidir. Güvenlik veya temsil edebilirlik nedenleriyle bu </w:t>
      </w:r>
      <w:r w:rsidR="00E9358F" w:rsidRPr="00DE12A3">
        <w:rPr>
          <w:bCs/>
          <w:sz w:val="24"/>
          <w:szCs w:val="24"/>
        </w:rPr>
        <w:t>B</w:t>
      </w:r>
      <w:r w:rsidRPr="00DE12A3">
        <w:rPr>
          <w:bCs/>
          <w:sz w:val="24"/>
          <w:szCs w:val="24"/>
        </w:rPr>
        <w:t xml:space="preserve">ölümde belirtilen eşleme tekniklerinden sapmalar, kullanılma gerekçeleri ile birlikte </w:t>
      </w:r>
      <w:r w:rsidR="007E2039" w:rsidRPr="00DE12A3">
        <w:rPr>
          <w:bCs/>
          <w:sz w:val="24"/>
          <w:szCs w:val="24"/>
        </w:rPr>
        <w:t xml:space="preserve">onay </w:t>
      </w:r>
      <w:r w:rsidR="004E7F54" w:rsidRPr="00DE12A3">
        <w:rPr>
          <w:bCs/>
          <w:sz w:val="24"/>
          <w:szCs w:val="24"/>
        </w:rPr>
        <w:t>kuruluşu tarafından</w:t>
      </w:r>
      <w:r w:rsidRPr="00DE12A3">
        <w:rPr>
          <w:bCs/>
          <w:sz w:val="24"/>
          <w:szCs w:val="24"/>
        </w:rPr>
        <w:t xml:space="preserve"> onaylanmalıdır.</w:t>
      </w:r>
    </w:p>
    <w:p w14:paraId="6EFF2EE0" w14:textId="09AAC7C8" w:rsidR="002D7B36" w:rsidRPr="00DE12A3" w:rsidRDefault="00242DA0" w:rsidP="00C917D6">
      <w:pPr>
        <w:pStyle w:val="Gvdemetni250"/>
        <w:spacing w:before="120" w:after="120" w:line="240" w:lineRule="auto"/>
        <w:ind w:left="1701" w:hanging="567"/>
        <w:rPr>
          <w:bCs/>
          <w:sz w:val="24"/>
          <w:szCs w:val="24"/>
        </w:rPr>
      </w:pPr>
      <w:r w:rsidRPr="00DE12A3">
        <w:rPr>
          <w:bCs/>
          <w:sz w:val="24"/>
          <w:szCs w:val="24"/>
        </w:rPr>
        <w:t xml:space="preserve">     </w:t>
      </w:r>
      <w:r w:rsidR="00517EEE" w:rsidRPr="00DE12A3">
        <w:rPr>
          <w:bCs/>
          <w:sz w:val="24"/>
          <w:szCs w:val="24"/>
        </w:rPr>
        <w:t xml:space="preserve">   </w:t>
      </w:r>
      <w:r w:rsidRPr="00DE12A3">
        <w:rPr>
          <w:bCs/>
          <w:sz w:val="24"/>
          <w:szCs w:val="24"/>
        </w:rPr>
        <w:t xml:space="preserve"> Ancak hiçbir durumda tork eğrisi, yönetilen veya turboşarjlı motorlar için azalan motor devirleri ile uygulanmaz</w:t>
      </w:r>
      <w:r w:rsidR="00B8261D" w:rsidRPr="00DE12A3">
        <w:rPr>
          <w:bCs/>
          <w:sz w:val="24"/>
          <w:szCs w:val="24"/>
        </w:rPr>
        <w:t>.</w:t>
      </w:r>
    </w:p>
    <w:p w14:paraId="4EB63239" w14:textId="77777777" w:rsidR="002D7B36" w:rsidRPr="00DE12A3" w:rsidRDefault="00517EEE" w:rsidP="00E20716">
      <w:pPr>
        <w:pStyle w:val="Gvdemetni250"/>
        <w:numPr>
          <w:ilvl w:val="0"/>
          <w:numId w:val="167"/>
        </w:numPr>
        <w:spacing w:before="120" w:after="120" w:line="240" w:lineRule="auto"/>
        <w:ind w:left="1701" w:hanging="567"/>
        <w:rPr>
          <w:bCs/>
          <w:sz w:val="24"/>
          <w:szCs w:val="24"/>
        </w:rPr>
      </w:pPr>
      <w:r w:rsidRPr="00DE12A3">
        <w:rPr>
          <w:bCs/>
          <w:sz w:val="24"/>
          <w:szCs w:val="24"/>
        </w:rPr>
        <w:t xml:space="preserve">     </w:t>
      </w:r>
      <w:r w:rsidR="00242DA0" w:rsidRPr="00DE12A3">
        <w:rPr>
          <w:bCs/>
          <w:sz w:val="24"/>
          <w:szCs w:val="24"/>
        </w:rPr>
        <w:t xml:space="preserve">Her bir test </w:t>
      </w:r>
      <w:r w:rsidR="00F310B5" w:rsidRPr="00DE12A3">
        <w:rPr>
          <w:bCs/>
          <w:sz w:val="24"/>
          <w:szCs w:val="24"/>
        </w:rPr>
        <w:t>çevrimi</w:t>
      </w:r>
      <w:r w:rsidR="00242DA0" w:rsidRPr="00DE12A3">
        <w:rPr>
          <w:bCs/>
          <w:sz w:val="24"/>
          <w:szCs w:val="24"/>
        </w:rPr>
        <w:t xml:space="preserve"> öncesinde motorun eşlenmesi gerekmez. Aşağıdaki durumlarda bir motor tekrar eşlenir:</w:t>
      </w:r>
    </w:p>
    <w:p w14:paraId="3EB18F72" w14:textId="77777777" w:rsidR="002D7B36" w:rsidRPr="00DE12A3" w:rsidRDefault="00517EEE" w:rsidP="00E20716">
      <w:pPr>
        <w:pStyle w:val="Gvdemetni250"/>
        <w:numPr>
          <w:ilvl w:val="0"/>
          <w:numId w:val="169"/>
        </w:numPr>
        <w:spacing w:before="120" w:after="120" w:line="240" w:lineRule="auto"/>
        <w:ind w:left="2268" w:hanging="567"/>
        <w:rPr>
          <w:bCs/>
          <w:sz w:val="24"/>
          <w:szCs w:val="24"/>
        </w:rPr>
      </w:pPr>
      <w:r w:rsidRPr="00DE12A3">
        <w:rPr>
          <w:bCs/>
          <w:sz w:val="24"/>
          <w:szCs w:val="24"/>
        </w:rPr>
        <w:t xml:space="preserve">   İ</w:t>
      </w:r>
      <w:r w:rsidR="00242DA0" w:rsidRPr="00DE12A3">
        <w:rPr>
          <w:bCs/>
          <w:sz w:val="24"/>
          <w:szCs w:val="24"/>
        </w:rPr>
        <w:t>yi mühendislik kararıyla son eşlemeden bu yana makul olmayan bir zaman geçtiği belirlenirse; veya</w:t>
      </w:r>
    </w:p>
    <w:p w14:paraId="3CD8E0FB" w14:textId="77777777" w:rsidR="002D7B36" w:rsidRPr="00DE12A3" w:rsidRDefault="00517EEE" w:rsidP="00E20716">
      <w:pPr>
        <w:pStyle w:val="Gvdemetni250"/>
        <w:numPr>
          <w:ilvl w:val="0"/>
          <w:numId w:val="169"/>
        </w:numPr>
        <w:spacing w:before="120" w:after="120" w:line="240" w:lineRule="auto"/>
        <w:ind w:left="2268" w:hanging="567"/>
        <w:rPr>
          <w:bCs/>
          <w:sz w:val="24"/>
          <w:szCs w:val="24"/>
        </w:rPr>
      </w:pPr>
      <w:r w:rsidRPr="00DE12A3">
        <w:rPr>
          <w:bCs/>
          <w:sz w:val="24"/>
          <w:szCs w:val="24"/>
        </w:rPr>
        <w:t>M</w:t>
      </w:r>
      <w:r w:rsidR="00242DA0" w:rsidRPr="00DE12A3">
        <w:rPr>
          <w:bCs/>
          <w:sz w:val="24"/>
          <w:szCs w:val="24"/>
        </w:rPr>
        <w:t>otor üzerinde, potansiyel olarak motor performansını etkileyen fiziksel değişiklikler veya yeniden kalibrasyonlar yapıldıysa; veya</w:t>
      </w:r>
    </w:p>
    <w:p w14:paraId="673BCB7B" w14:textId="77777777" w:rsidR="002D7B36" w:rsidRPr="00DE12A3" w:rsidRDefault="00517EEE" w:rsidP="00E20716">
      <w:pPr>
        <w:pStyle w:val="Gvdemetni250"/>
        <w:numPr>
          <w:ilvl w:val="0"/>
          <w:numId w:val="169"/>
        </w:numPr>
        <w:tabs>
          <w:tab w:val="left" w:pos="1276"/>
        </w:tabs>
        <w:spacing w:before="120" w:after="120" w:line="240" w:lineRule="auto"/>
        <w:ind w:left="2268" w:hanging="567"/>
        <w:rPr>
          <w:bCs/>
          <w:sz w:val="24"/>
          <w:szCs w:val="24"/>
        </w:rPr>
      </w:pPr>
      <w:r w:rsidRPr="00DE12A3">
        <w:rPr>
          <w:bCs/>
          <w:sz w:val="24"/>
          <w:szCs w:val="24"/>
        </w:rPr>
        <w:t xml:space="preserve">   M</w:t>
      </w:r>
      <w:r w:rsidR="00242DA0" w:rsidRPr="00DE12A3">
        <w:rPr>
          <w:bCs/>
          <w:sz w:val="24"/>
          <w:szCs w:val="24"/>
        </w:rPr>
        <w:t>otorun hava girişi civarındaki atmosferik basınç, son motor eşlemesi sırasında kaydedilen değer ± 5 kPa aralığı içinde değilse.</w:t>
      </w:r>
    </w:p>
    <w:p w14:paraId="7BFA26C4" w14:textId="77777777" w:rsidR="002D7B36" w:rsidRPr="00DE12A3" w:rsidRDefault="00242DA0" w:rsidP="00C917D6">
      <w:pPr>
        <w:pStyle w:val="Gvdemetni250"/>
        <w:spacing w:before="120" w:after="120" w:line="240" w:lineRule="auto"/>
        <w:ind w:left="1134" w:hanging="1134"/>
        <w:rPr>
          <w:bCs/>
          <w:sz w:val="24"/>
          <w:szCs w:val="24"/>
        </w:rPr>
      </w:pPr>
      <w:r w:rsidRPr="00DE12A3">
        <w:rPr>
          <w:bCs/>
          <w:sz w:val="24"/>
          <w:szCs w:val="24"/>
        </w:rPr>
        <w:t>7.6.3.</w:t>
      </w:r>
      <w:r w:rsidRPr="00DE12A3">
        <w:rPr>
          <w:bCs/>
          <w:sz w:val="24"/>
          <w:szCs w:val="24"/>
        </w:rPr>
        <w:tab/>
        <w:t>Sabit devirli NRSC için motor eşleme</w:t>
      </w:r>
    </w:p>
    <w:p w14:paraId="46AE1B6C" w14:textId="77777777" w:rsidR="002D7B36" w:rsidRPr="00DE12A3" w:rsidRDefault="00517EEE" w:rsidP="00C917D6">
      <w:pPr>
        <w:pStyle w:val="Gvdemetni250"/>
        <w:spacing w:before="120" w:after="120" w:line="240" w:lineRule="auto"/>
        <w:ind w:left="1134" w:hanging="1134"/>
        <w:rPr>
          <w:bCs/>
          <w:sz w:val="24"/>
          <w:szCs w:val="24"/>
        </w:rPr>
      </w:pPr>
      <w:r w:rsidRPr="00DE12A3">
        <w:rPr>
          <w:bCs/>
          <w:sz w:val="24"/>
          <w:szCs w:val="24"/>
        </w:rPr>
        <w:t xml:space="preserve">                  </w:t>
      </w:r>
      <w:r w:rsidR="00242DA0" w:rsidRPr="00DE12A3">
        <w:rPr>
          <w:bCs/>
          <w:sz w:val="24"/>
          <w:szCs w:val="24"/>
        </w:rPr>
        <w:t xml:space="preserve">Motor, üretimden sabit devirli bir </w:t>
      </w:r>
      <w:r w:rsidR="00EF0D08" w:rsidRPr="00DE12A3">
        <w:rPr>
          <w:bCs/>
          <w:sz w:val="24"/>
          <w:szCs w:val="24"/>
        </w:rPr>
        <w:t>motor kontrol ünitesi</w:t>
      </w:r>
      <w:r w:rsidR="007502D6" w:rsidRPr="00DE12A3">
        <w:rPr>
          <w:bCs/>
          <w:sz w:val="24"/>
          <w:szCs w:val="24"/>
        </w:rPr>
        <w:t xml:space="preserve"> </w:t>
      </w:r>
      <w:r w:rsidR="004E7F54" w:rsidRPr="00DE12A3">
        <w:rPr>
          <w:bCs/>
          <w:sz w:val="24"/>
          <w:szCs w:val="24"/>
        </w:rPr>
        <w:t>ile</w:t>
      </w:r>
      <w:r w:rsidR="00242DA0" w:rsidRPr="00DE12A3">
        <w:rPr>
          <w:bCs/>
          <w:sz w:val="24"/>
          <w:szCs w:val="24"/>
        </w:rPr>
        <w:t xml:space="preserve"> çalıştırılabilir veya motor devri bir operatör talebi kontrol sistemi ile kontrol edilerek simüle edilebilen sabit devirli bir </w:t>
      </w:r>
      <w:r w:rsidR="00EF0D08" w:rsidRPr="00DE12A3">
        <w:rPr>
          <w:bCs/>
          <w:sz w:val="24"/>
          <w:szCs w:val="24"/>
        </w:rPr>
        <w:t>motor kontrol ünitesi</w:t>
      </w:r>
      <w:r w:rsidR="007502D6" w:rsidRPr="00DE12A3">
        <w:rPr>
          <w:bCs/>
          <w:sz w:val="24"/>
          <w:szCs w:val="24"/>
        </w:rPr>
        <w:t xml:space="preserve"> </w:t>
      </w:r>
      <w:r w:rsidR="004E7F54" w:rsidRPr="00DE12A3">
        <w:rPr>
          <w:bCs/>
          <w:sz w:val="24"/>
          <w:szCs w:val="24"/>
        </w:rPr>
        <w:t>ile</w:t>
      </w:r>
      <w:r w:rsidR="00242DA0" w:rsidRPr="00DE12A3">
        <w:rPr>
          <w:bCs/>
          <w:sz w:val="24"/>
          <w:szCs w:val="24"/>
        </w:rPr>
        <w:t xml:space="preserve"> çalıştırılabilir. Gerekirse eş zamanlı veya devir düşürücü </w:t>
      </w:r>
      <w:r w:rsidR="00EF0D08" w:rsidRPr="00DE12A3">
        <w:rPr>
          <w:bCs/>
          <w:sz w:val="24"/>
          <w:szCs w:val="24"/>
        </w:rPr>
        <w:t>motor kontrol ünitesi</w:t>
      </w:r>
      <w:r w:rsidR="007502D6" w:rsidRPr="00DE12A3">
        <w:rPr>
          <w:bCs/>
          <w:sz w:val="24"/>
          <w:szCs w:val="24"/>
        </w:rPr>
        <w:t xml:space="preserve"> </w:t>
      </w:r>
      <w:r w:rsidR="004E7F54" w:rsidRPr="00DE12A3">
        <w:rPr>
          <w:bCs/>
          <w:sz w:val="24"/>
          <w:szCs w:val="24"/>
        </w:rPr>
        <w:t>işlevi</w:t>
      </w:r>
      <w:r w:rsidR="00242DA0" w:rsidRPr="00DE12A3">
        <w:rPr>
          <w:bCs/>
          <w:sz w:val="24"/>
          <w:szCs w:val="24"/>
        </w:rPr>
        <w:t xml:space="preserve"> kullanılır.</w:t>
      </w:r>
    </w:p>
    <w:p w14:paraId="205EDF92" w14:textId="77777777" w:rsidR="002D7B36" w:rsidRPr="00DE12A3" w:rsidRDefault="00242DA0" w:rsidP="00E20716">
      <w:pPr>
        <w:pStyle w:val="Gvdemetni250"/>
        <w:numPr>
          <w:ilvl w:val="0"/>
          <w:numId w:val="170"/>
        </w:numPr>
        <w:spacing w:before="120" w:after="120" w:line="240" w:lineRule="auto"/>
        <w:ind w:left="1134" w:hanging="1134"/>
        <w:rPr>
          <w:bCs/>
          <w:sz w:val="24"/>
          <w:szCs w:val="24"/>
        </w:rPr>
      </w:pPr>
      <w:r w:rsidRPr="00DE12A3">
        <w:rPr>
          <w:bCs/>
          <w:sz w:val="24"/>
          <w:szCs w:val="24"/>
        </w:rPr>
        <w:t xml:space="preserve">D2 veya E2 </w:t>
      </w:r>
      <w:r w:rsidR="00F310B5" w:rsidRPr="00DE12A3">
        <w:rPr>
          <w:bCs/>
          <w:sz w:val="24"/>
          <w:szCs w:val="24"/>
        </w:rPr>
        <w:t>çevrim</w:t>
      </w:r>
      <w:r w:rsidRPr="00DE12A3">
        <w:rPr>
          <w:bCs/>
          <w:sz w:val="24"/>
          <w:szCs w:val="24"/>
        </w:rPr>
        <w:t>lerinde test edilecek motorlar için nominal güç kontrolü</w:t>
      </w:r>
    </w:p>
    <w:p w14:paraId="72B395A4" w14:textId="77777777" w:rsidR="002D7B36" w:rsidRPr="00DE12A3" w:rsidRDefault="00517EEE" w:rsidP="00C917D6">
      <w:pPr>
        <w:pStyle w:val="Gvdemetni250"/>
        <w:spacing w:before="120" w:after="120" w:line="240" w:lineRule="auto"/>
        <w:ind w:left="1134" w:hanging="1134"/>
        <w:rPr>
          <w:bCs/>
          <w:sz w:val="24"/>
          <w:szCs w:val="24"/>
        </w:rPr>
      </w:pPr>
      <w:r w:rsidRPr="00DE12A3">
        <w:rPr>
          <w:bCs/>
          <w:sz w:val="24"/>
          <w:szCs w:val="24"/>
        </w:rPr>
        <w:t xml:space="preserve">                  </w:t>
      </w:r>
      <w:r w:rsidR="00242DA0" w:rsidRPr="00DE12A3">
        <w:rPr>
          <w:bCs/>
          <w:sz w:val="24"/>
          <w:szCs w:val="24"/>
        </w:rPr>
        <w:t>Aşağıdaki kontrol yapılmalıdır:</w:t>
      </w:r>
    </w:p>
    <w:p w14:paraId="6E8097DB" w14:textId="77BEFB7A" w:rsidR="002D7B36" w:rsidRPr="00DE12A3" w:rsidRDefault="00517EEE" w:rsidP="00E20716">
      <w:pPr>
        <w:pStyle w:val="Gvdemetni250"/>
        <w:numPr>
          <w:ilvl w:val="0"/>
          <w:numId w:val="171"/>
        </w:numPr>
        <w:spacing w:before="120" w:after="120" w:line="240" w:lineRule="auto"/>
        <w:ind w:left="1701" w:hanging="567"/>
        <w:rPr>
          <w:bCs/>
          <w:sz w:val="24"/>
          <w:szCs w:val="24"/>
        </w:rPr>
      </w:pPr>
      <w:r w:rsidRPr="00DE12A3">
        <w:rPr>
          <w:bCs/>
          <w:sz w:val="24"/>
          <w:szCs w:val="24"/>
        </w:rPr>
        <w:t xml:space="preserve">     </w:t>
      </w:r>
      <w:r w:rsidR="00242DA0" w:rsidRPr="00DE12A3">
        <w:rPr>
          <w:bCs/>
          <w:sz w:val="24"/>
          <w:szCs w:val="24"/>
        </w:rPr>
        <w:t xml:space="preserve">Motor, </w:t>
      </w:r>
      <w:r w:rsidR="00EF0D08" w:rsidRPr="00DE12A3">
        <w:rPr>
          <w:bCs/>
          <w:sz w:val="24"/>
          <w:szCs w:val="24"/>
        </w:rPr>
        <w:t>motor kontrol ünitesi</w:t>
      </w:r>
      <w:r w:rsidR="007502D6" w:rsidRPr="00DE12A3">
        <w:rPr>
          <w:bCs/>
          <w:sz w:val="24"/>
          <w:szCs w:val="24"/>
        </w:rPr>
        <w:t xml:space="preserve"> </w:t>
      </w:r>
      <w:r w:rsidR="004E7F54" w:rsidRPr="00DE12A3">
        <w:rPr>
          <w:bCs/>
          <w:sz w:val="24"/>
          <w:szCs w:val="24"/>
        </w:rPr>
        <w:t>ile</w:t>
      </w:r>
      <w:r w:rsidR="00242DA0" w:rsidRPr="00DE12A3">
        <w:rPr>
          <w:bCs/>
          <w:sz w:val="24"/>
          <w:szCs w:val="24"/>
        </w:rPr>
        <w:t xml:space="preserve"> veya operatör talebi kullanarak devri kontrol eden </w:t>
      </w:r>
      <w:r w:rsidR="00EF0D08" w:rsidRPr="00DE12A3">
        <w:rPr>
          <w:bCs/>
          <w:sz w:val="24"/>
          <w:szCs w:val="24"/>
        </w:rPr>
        <w:t>motor kontrol ünitesi</w:t>
      </w:r>
      <w:r w:rsidR="007502D6" w:rsidRPr="00DE12A3">
        <w:rPr>
          <w:bCs/>
          <w:sz w:val="24"/>
          <w:szCs w:val="24"/>
        </w:rPr>
        <w:t xml:space="preserve"> </w:t>
      </w:r>
      <w:r w:rsidR="004E7F54" w:rsidRPr="00DE12A3">
        <w:rPr>
          <w:bCs/>
          <w:sz w:val="24"/>
          <w:szCs w:val="24"/>
        </w:rPr>
        <w:t>simülasyonu</w:t>
      </w:r>
      <w:r w:rsidR="00242DA0" w:rsidRPr="00DE12A3">
        <w:rPr>
          <w:bCs/>
          <w:sz w:val="24"/>
          <w:szCs w:val="24"/>
        </w:rPr>
        <w:t xml:space="preserve"> ile, dengeli çalışma sağlamak için gerektiği sürece nominal devirde ve nominal güçte çalıştırılmalıdır</w:t>
      </w:r>
      <w:r w:rsidR="00B8261D" w:rsidRPr="00DE12A3">
        <w:rPr>
          <w:bCs/>
          <w:sz w:val="24"/>
          <w:szCs w:val="24"/>
        </w:rPr>
        <w:t>.</w:t>
      </w:r>
    </w:p>
    <w:p w14:paraId="564EA052" w14:textId="756DC50F" w:rsidR="002D7B36" w:rsidRPr="00DE12A3" w:rsidRDefault="00242DA0" w:rsidP="00E20716">
      <w:pPr>
        <w:pStyle w:val="Gvdemetni250"/>
        <w:numPr>
          <w:ilvl w:val="0"/>
          <w:numId w:val="171"/>
        </w:numPr>
        <w:spacing w:before="120" w:after="120" w:line="240" w:lineRule="auto"/>
        <w:ind w:left="1701" w:hanging="567"/>
        <w:rPr>
          <w:bCs/>
          <w:sz w:val="24"/>
          <w:szCs w:val="24"/>
        </w:rPr>
      </w:pPr>
      <w:r w:rsidRPr="00DE12A3">
        <w:rPr>
          <w:bCs/>
          <w:sz w:val="24"/>
          <w:szCs w:val="24"/>
        </w:rPr>
        <w:t xml:space="preserve">Tork, motorun yönetilen devri koruyamadığı noktaya kadar arttırılmalıdır. Bu noktadaki güç kaydedilmelidir. Bu kontrol yapılmadan önce, </w:t>
      </w:r>
      <w:r w:rsidR="00EF0D08" w:rsidRPr="00DE12A3">
        <w:rPr>
          <w:bCs/>
          <w:sz w:val="24"/>
          <w:szCs w:val="24"/>
        </w:rPr>
        <w:t>motor kontrol ünitesi</w:t>
      </w:r>
      <w:r w:rsidR="007502D6" w:rsidRPr="00DE12A3">
        <w:rPr>
          <w:bCs/>
          <w:sz w:val="24"/>
          <w:szCs w:val="24"/>
        </w:rPr>
        <w:t xml:space="preserve"> </w:t>
      </w:r>
      <w:r w:rsidR="004E7F54" w:rsidRPr="00DE12A3">
        <w:rPr>
          <w:bCs/>
          <w:sz w:val="24"/>
          <w:szCs w:val="24"/>
        </w:rPr>
        <w:t>özelliklerine</w:t>
      </w:r>
      <w:r w:rsidRPr="00DE12A3">
        <w:rPr>
          <w:bCs/>
          <w:sz w:val="24"/>
          <w:szCs w:val="24"/>
        </w:rPr>
        <w:t xml:space="preserve"> bağlı olarak, bu noktaya ne zaman ulaşıldığının güvenli bir şekilde tespit etmeye yönelik yöntem, imalatçı ile kontrolü yapan teknik servis arasında kararlaştırılmalıdır.  Kaydedilen </w:t>
      </w:r>
      <w:r w:rsidR="004E7F54" w:rsidRPr="00DE12A3">
        <w:rPr>
          <w:bCs/>
          <w:sz w:val="24"/>
          <w:szCs w:val="24"/>
        </w:rPr>
        <w:t>güç, 2016</w:t>
      </w:r>
      <w:r w:rsidR="00EE5D5E" w:rsidRPr="00DE12A3">
        <w:rPr>
          <w:bCs/>
          <w:sz w:val="24"/>
          <w:szCs w:val="24"/>
        </w:rPr>
        <w:t xml:space="preserve">/1628/AB </w:t>
      </w:r>
      <w:r w:rsidR="00FD681E" w:rsidRPr="00DE12A3">
        <w:rPr>
          <w:bCs/>
          <w:sz w:val="24"/>
          <w:szCs w:val="24"/>
        </w:rPr>
        <w:t xml:space="preserve">Yönetmeliğinin </w:t>
      </w:r>
      <w:r w:rsidR="00962532" w:rsidRPr="00DE12A3">
        <w:rPr>
          <w:bCs/>
          <w:sz w:val="24"/>
          <w:szCs w:val="24"/>
        </w:rPr>
        <w:t>4</w:t>
      </w:r>
      <w:r w:rsidR="00A861A3" w:rsidRPr="00DE12A3">
        <w:rPr>
          <w:bCs/>
          <w:sz w:val="24"/>
          <w:szCs w:val="24"/>
        </w:rPr>
        <w:t xml:space="preserve"> üncü</w:t>
      </w:r>
      <w:r w:rsidR="00962532" w:rsidRPr="00DE12A3">
        <w:rPr>
          <w:bCs/>
          <w:sz w:val="24"/>
          <w:szCs w:val="24"/>
        </w:rPr>
        <w:t xml:space="preserve"> </w:t>
      </w:r>
      <w:r w:rsidR="004E7F54" w:rsidRPr="00DE12A3">
        <w:rPr>
          <w:bCs/>
          <w:sz w:val="24"/>
          <w:szCs w:val="24"/>
        </w:rPr>
        <w:t>maddesi</w:t>
      </w:r>
      <w:r w:rsidR="00195051" w:rsidRPr="00DE12A3">
        <w:rPr>
          <w:bCs/>
          <w:sz w:val="24"/>
          <w:szCs w:val="24"/>
        </w:rPr>
        <w:t>nin</w:t>
      </w:r>
      <w:r w:rsidR="00A861A3" w:rsidRPr="00DE12A3">
        <w:rPr>
          <w:bCs/>
          <w:sz w:val="24"/>
          <w:szCs w:val="24"/>
        </w:rPr>
        <w:t xml:space="preserve"> </w:t>
      </w:r>
      <w:r w:rsidR="00E9358F" w:rsidRPr="00DE12A3">
        <w:rPr>
          <w:bCs/>
          <w:sz w:val="24"/>
          <w:szCs w:val="24"/>
        </w:rPr>
        <w:t>bir</w:t>
      </w:r>
      <w:r w:rsidR="00A861A3" w:rsidRPr="00DE12A3">
        <w:rPr>
          <w:bCs/>
          <w:sz w:val="24"/>
          <w:szCs w:val="24"/>
        </w:rPr>
        <w:t>inci fıkrası</w:t>
      </w:r>
      <w:r w:rsidR="00E9358F" w:rsidRPr="00DE12A3">
        <w:rPr>
          <w:bCs/>
          <w:sz w:val="24"/>
          <w:szCs w:val="24"/>
        </w:rPr>
        <w:t>nın</w:t>
      </w:r>
      <w:r w:rsidR="00A861A3" w:rsidRPr="00DE12A3">
        <w:rPr>
          <w:bCs/>
          <w:sz w:val="24"/>
          <w:szCs w:val="24"/>
        </w:rPr>
        <w:t xml:space="preserve"> </w:t>
      </w:r>
      <w:r w:rsidR="004E7F54" w:rsidRPr="00DE12A3">
        <w:rPr>
          <w:bCs/>
          <w:sz w:val="24"/>
          <w:szCs w:val="24"/>
        </w:rPr>
        <w:t xml:space="preserve"> </w:t>
      </w:r>
      <w:r w:rsidR="00A861A3" w:rsidRPr="00DE12A3">
        <w:rPr>
          <w:bCs/>
          <w:sz w:val="24"/>
          <w:szCs w:val="24"/>
        </w:rPr>
        <w:t xml:space="preserve">(ss) bendinde  </w:t>
      </w:r>
      <w:r w:rsidRPr="00DE12A3">
        <w:rPr>
          <w:bCs/>
          <w:sz w:val="24"/>
          <w:szCs w:val="24"/>
        </w:rPr>
        <w:t xml:space="preserve">belirtilen nominal </w:t>
      </w:r>
      <w:r w:rsidR="00A861A3" w:rsidRPr="00DE12A3">
        <w:rPr>
          <w:bCs/>
          <w:sz w:val="24"/>
          <w:szCs w:val="24"/>
        </w:rPr>
        <w:t xml:space="preserve">net </w:t>
      </w:r>
      <w:r w:rsidRPr="00DE12A3">
        <w:rPr>
          <w:bCs/>
          <w:sz w:val="24"/>
          <w:szCs w:val="24"/>
        </w:rPr>
        <w:t xml:space="preserve">gücü en çok %12,5 aşmalıdır. Bu değerin aşılması durumunda, imalatçı beyan edilen nominal gücü değiştirmelidir. </w:t>
      </w:r>
    </w:p>
    <w:p w14:paraId="21695C0F" w14:textId="77777777" w:rsidR="002D7B36" w:rsidRPr="00DE12A3" w:rsidRDefault="00517EEE" w:rsidP="00C917D6">
      <w:pPr>
        <w:pStyle w:val="Gvdemetni250"/>
        <w:spacing w:before="120" w:after="120" w:line="240" w:lineRule="auto"/>
        <w:ind w:left="1134" w:hanging="1134"/>
        <w:rPr>
          <w:bCs/>
          <w:sz w:val="24"/>
          <w:szCs w:val="24"/>
        </w:rPr>
      </w:pPr>
      <w:r w:rsidRPr="00DE12A3">
        <w:rPr>
          <w:bCs/>
          <w:sz w:val="24"/>
          <w:szCs w:val="24"/>
        </w:rPr>
        <w:lastRenderedPageBreak/>
        <w:t xml:space="preserve">                  </w:t>
      </w:r>
      <w:r w:rsidR="00242DA0" w:rsidRPr="00DE12A3">
        <w:rPr>
          <w:bCs/>
          <w:sz w:val="24"/>
          <w:szCs w:val="24"/>
        </w:rPr>
        <w:t>Motor veya dinamometreye zarar verme riski nedeniyle, test edilen belirli bir motor bu kontrolü gerçekleştiremezse, imalatçı, azami gücün nominal gücü en çok %12,5 aştığına dair güçlü kanıtları sunmalıdır.</w:t>
      </w:r>
    </w:p>
    <w:p w14:paraId="61FD5F00" w14:textId="77777777" w:rsidR="002D7B36" w:rsidRPr="00DE12A3" w:rsidRDefault="00242DA0" w:rsidP="00E20716">
      <w:pPr>
        <w:pStyle w:val="Gvdemetni250"/>
        <w:numPr>
          <w:ilvl w:val="0"/>
          <w:numId w:val="170"/>
        </w:numPr>
        <w:shd w:val="clear" w:color="auto" w:fill="auto"/>
        <w:spacing w:before="120" w:after="120" w:line="240" w:lineRule="auto"/>
        <w:ind w:left="1134" w:hanging="1134"/>
        <w:rPr>
          <w:sz w:val="24"/>
          <w:szCs w:val="24"/>
        </w:rPr>
      </w:pPr>
      <w:r w:rsidRPr="00DE12A3">
        <w:rPr>
          <w:sz w:val="24"/>
          <w:szCs w:val="24"/>
        </w:rPr>
        <w:t>Sabit devirli NRSC için eşleme prosedürü</w:t>
      </w:r>
    </w:p>
    <w:p w14:paraId="50325BA4" w14:textId="0F2DC378" w:rsidR="002D7B36" w:rsidRPr="00DE12A3" w:rsidRDefault="00517EEE" w:rsidP="00E20716">
      <w:pPr>
        <w:pStyle w:val="Gvdemetni250"/>
        <w:numPr>
          <w:ilvl w:val="0"/>
          <w:numId w:val="172"/>
        </w:numPr>
        <w:shd w:val="clear" w:color="auto" w:fill="auto"/>
        <w:tabs>
          <w:tab w:val="left" w:pos="1418"/>
          <w:tab w:val="right" w:pos="5658"/>
        </w:tabs>
        <w:spacing w:before="120" w:after="120" w:line="240" w:lineRule="auto"/>
        <w:ind w:left="1701" w:hanging="567"/>
        <w:rPr>
          <w:sz w:val="24"/>
          <w:szCs w:val="24"/>
        </w:rPr>
      </w:pPr>
      <w:r w:rsidRPr="00DE12A3">
        <w:rPr>
          <w:sz w:val="24"/>
          <w:szCs w:val="24"/>
        </w:rPr>
        <w:t xml:space="preserve">     </w:t>
      </w:r>
      <w:r w:rsidR="00242DA0" w:rsidRPr="00DE12A3">
        <w:rPr>
          <w:sz w:val="24"/>
          <w:szCs w:val="24"/>
        </w:rPr>
        <w:t xml:space="preserve">Söz konusu motor bu görevi yerine getiremediği sürece, </w:t>
      </w:r>
      <w:r w:rsidR="00EF0D08" w:rsidRPr="00DE12A3">
        <w:rPr>
          <w:sz w:val="24"/>
          <w:szCs w:val="24"/>
        </w:rPr>
        <w:t>motor kontrol ünitesi</w:t>
      </w:r>
      <w:r w:rsidR="007502D6" w:rsidRPr="00DE12A3">
        <w:rPr>
          <w:sz w:val="24"/>
          <w:szCs w:val="24"/>
        </w:rPr>
        <w:t xml:space="preserve"> </w:t>
      </w:r>
      <w:r w:rsidR="004E7F54" w:rsidRPr="00DE12A3">
        <w:rPr>
          <w:sz w:val="24"/>
          <w:szCs w:val="24"/>
        </w:rPr>
        <w:t>ile</w:t>
      </w:r>
      <w:r w:rsidR="00242DA0" w:rsidRPr="00DE12A3">
        <w:rPr>
          <w:sz w:val="24"/>
          <w:szCs w:val="24"/>
        </w:rPr>
        <w:t xml:space="preserve"> veya operatör talebi kullanarak devri kontrol eden </w:t>
      </w:r>
      <w:r w:rsidR="00EF0D08" w:rsidRPr="00DE12A3">
        <w:rPr>
          <w:sz w:val="24"/>
          <w:szCs w:val="24"/>
        </w:rPr>
        <w:t>motor kontrol ünitesi</w:t>
      </w:r>
      <w:r w:rsidR="007502D6" w:rsidRPr="00DE12A3">
        <w:rPr>
          <w:sz w:val="24"/>
          <w:szCs w:val="24"/>
        </w:rPr>
        <w:t xml:space="preserve"> </w:t>
      </w:r>
      <w:r w:rsidR="004E7F54" w:rsidRPr="00DE12A3">
        <w:rPr>
          <w:sz w:val="24"/>
          <w:szCs w:val="24"/>
        </w:rPr>
        <w:t>simülasyonu</w:t>
      </w:r>
      <w:r w:rsidR="00242DA0" w:rsidRPr="00DE12A3">
        <w:rPr>
          <w:sz w:val="24"/>
          <w:szCs w:val="24"/>
        </w:rPr>
        <w:t xml:space="preserve"> ile en az 15 saniye boyunca sıfır yüke dayalı devirde (yüksek devirde, düşük rölantide değil) çalıştırılır</w:t>
      </w:r>
      <w:r w:rsidR="00B8261D" w:rsidRPr="00DE12A3">
        <w:rPr>
          <w:sz w:val="24"/>
          <w:szCs w:val="24"/>
        </w:rPr>
        <w:t>.</w:t>
      </w:r>
    </w:p>
    <w:p w14:paraId="36F277D9" w14:textId="69B07F2D" w:rsidR="002D7B36" w:rsidRPr="00DE12A3" w:rsidRDefault="00242DA0" w:rsidP="00E20716">
      <w:pPr>
        <w:pStyle w:val="Gvdemetni250"/>
        <w:numPr>
          <w:ilvl w:val="0"/>
          <w:numId w:val="172"/>
        </w:numPr>
        <w:shd w:val="clear" w:color="auto" w:fill="auto"/>
        <w:spacing w:before="120" w:after="120" w:line="240" w:lineRule="auto"/>
        <w:ind w:left="1701" w:hanging="567"/>
        <w:rPr>
          <w:sz w:val="24"/>
          <w:szCs w:val="24"/>
        </w:rPr>
      </w:pPr>
      <w:r w:rsidRPr="00DE12A3">
        <w:rPr>
          <w:sz w:val="24"/>
          <w:szCs w:val="24"/>
        </w:rPr>
        <w:t xml:space="preserve">Torku sabit bir oranda arttırmak için dinamometre kullanılır. Eşleme, sıfır yüke dayalı devirden, D2 veya E2 </w:t>
      </w:r>
      <w:r w:rsidR="00F310B5" w:rsidRPr="00DE12A3">
        <w:rPr>
          <w:sz w:val="24"/>
          <w:szCs w:val="24"/>
        </w:rPr>
        <w:t>çevrimi</w:t>
      </w:r>
      <w:r w:rsidRPr="00DE12A3">
        <w:rPr>
          <w:sz w:val="24"/>
          <w:szCs w:val="24"/>
        </w:rPr>
        <w:t xml:space="preserve">nde test edilecek motorlar için nominal güce karşılık gelen torka veya diğer sabit devir test </w:t>
      </w:r>
      <w:r w:rsidR="00F310B5" w:rsidRPr="00DE12A3">
        <w:rPr>
          <w:sz w:val="24"/>
          <w:szCs w:val="24"/>
        </w:rPr>
        <w:t>çevrim</w:t>
      </w:r>
      <w:r w:rsidRPr="00DE12A3">
        <w:rPr>
          <w:sz w:val="24"/>
          <w:szCs w:val="24"/>
        </w:rPr>
        <w:t>leri söz konusu olduğunda azami torka kadar tarama en az 2 dakika sürecek şekilde yapılmalıdır. Motor eşleme sırasında gerçek devir ve tork en az 1 Hz ile kaydedilmelidir</w:t>
      </w:r>
      <w:r w:rsidR="00B8261D" w:rsidRPr="00DE12A3">
        <w:rPr>
          <w:sz w:val="24"/>
          <w:szCs w:val="24"/>
        </w:rPr>
        <w:t>.</w:t>
      </w:r>
    </w:p>
    <w:p w14:paraId="0EEC8E6F" w14:textId="77777777" w:rsidR="002D7B36" w:rsidRPr="00DE12A3" w:rsidRDefault="00517EEE" w:rsidP="00E20716">
      <w:pPr>
        <w:pStyle w:val="Gvdemetni250"/>
        <w:numPr>
          <w:ilvl w:val="0"/>
          <w:numId w:val="172"/>
        </w:numPr>
        <w:shd w:val="clear" w:color="auto" w:fill="auto"/>
        <w:spacing w:before="120" w:after="120" w:line="240" w:lineRule="auto"/>
        <w:ind w:left="1701" w:hanging="567"/>
        <w:rPr>
          <w:sz w:val="24"/>
          <w:szCs w:val="24"/>
        </w:rPr>
      </w:pPr>
      <w:r w:rsidRPr="00DE12A3">
        <w:rPr>
          <w:sz w:val="24"/>
          <w:szCs w:val="24"/>
        </w:rPr>
        <w:t xml:space="preserve">     </w:t>
      </w:r>
      <w:r w:rsidR="00242DA0" w:rsidRPr="00DE12A3">
        <w:rPr>
          <w:sz w:val="24"/>
          <w:szCs w:val="24"/>
        </w:rPr>
        <w:t xml:space="preserve">Alternatif devirlere sıfırlanabilen </w:t>
      </w:r>
      <w:r w:rsidR="00EF0D08" w:rsidRPr="00DE12A3">
        <w:rPr>
          <w:sz w:val="24"/>
          <w:szCs w:val="24"/>
        </w:rPr>
        <w:t>motor kontrol ünitesi</w:t>
      </w:r>
      <w:r w:rsidR="00242DA0" w:rsidRPr="00DE12A3">
        <w:rPr>
          <w:sz w:val="24"/>
          <w:szCs w:val="24"/>
        </w:rPr>
        <w:t xml:space="preserve"> bir sabit devirli motor, uygulanabilir her sabit devirde test edilmelidir.</w:t>
      </w:r>
    </w:p>
    <w:p w14:paraId="2421008F" w14:textId="77777777" w:rsidR="002D7B36" w:rsidRPr="00DE12A3" w:rsidRDefault="00517EEE" w:rsidP="00C917D6">
      <w:pPr>
        <w:pStyle w:val="Gvdemetni250"/>
        <w:shd w:val="clear" w:color="auto" w:fill="auto"/>
        <w:spacing w:before="120" w:after="120" w:line="240" w:lineRule="auto"/>
        <w:ind w:left="1134" w:hanging="1134"/>
        <w:rPr>
          <w:sz w:val="24"/>
          <w:szCs w:val="24"/>
        </w:rPr>
      </w:pPr>
      <w:r w:rsidRPr="00DE12A3">
        <w:rPr>
          <w:sz w:val="24"/>
          <w:szCs w:val="24"/>
        </w:rPr>
        <w:t xml:space="preserve">                  </w:t>
      </w:r>
      <w:r w:rsidR="00242DA0" w:rsidRPr="00DE12A3">
        <w:rPr>
          <w:sz w:val="24"/>
          <w:szCs w:val="24"/>
        </w:rPr>
        <w:t xml:space="preserve">Sabit devirli motorlarda, tanımlı kullanım devirlerindeki torku ve gücü kaydetmeye yönelik başka yöntemler uygulamak için </w:t>
      </w:r>
      <w:r w:rsidR="007E2039" w:rsidRPr="00DE12A3">
        <w:rPr>
          <w:sz w:val="24"/>
          <w:szCs w:val="24"/>
        </w:rPr>
        <w:t xml:space="preserve">onay </w:t>
      </w:r>
      <w:r w:rsidR="004E7F54" w:rsidRPr="00DE12A3">
        <w:rPr>
          <w:sz w:val="24"/>
          <w:szCs w:val="24"/>
        </w:rPr>
        <w:t>kuruluşu ile</w:t>
      </w:r>
      <w:r w:rsidR="00242DA0" w:rsidRPr="00DE12A3">
        <w:rPr>
          <w:sz w:val="24"/>
          <w:szCs w:val="24"/>
        </w:rPr>
        <w:t xml:space="preserve"> mutabakat içinde iyi mühendislik kararı kullanılır.</w:t>
      </w:r>
    </w:p>
    <w:p w14:paraId="211F2553" w14:textId="77777777" w:rsidR="002D7B36" w:rsidRPr="00DE12A3" w:rsidRDefault="00517EEE" w:rsidP="00C917D6">
      <w:pPr>
        <w:pStyle w:val="Gvdemetni250"/>
        <w:shd w:val="clear" w:color="auto" w:fill="auto"/>
        <w:spacing w:before="120" w:after="120" w:line="240" w:lineRule="auto"/>
        <w:ind w:left="1134" w:hanging="1134"/>
        <w:rPr>
          <w:sz w:val="24"/>
          <w:szCs w:val="24"/>
        </w:rPr>
      </w:pPr>
      <w:r w:rsidRPr="00DE12A3">
        <w:rPr>
          <w:sz w:val="24"/>
          <w:szCs w:val="24"/>
        </w:rPr>
        <w:t xml:space="preserve">                  </w:t>
      </w:r>
      <w:r w:rsidR="00242DA0" w:rsidRPr="00DE12A3">
        <w:rPr>
          <w:sz w:val="24"/>
          <w:szCs w:val="24"/>
        </w:rPr>
        <w:t xml:space="preserve">D2 veya E2 dışındaki </w:t>
      </w:r>
      <w:r w:rsidR="00F310B5" w:rsidRPr="00DE12A3">
        <w:rPr>
          <w:sz w:val="24"/>
          <w:szCs w:val="24"/>
        </w:rPr>
        <w:t>çevrim</w:t>
      </w:r>
      <w:r w:rsidR="00242DA0" w:rsidRPr="00DE12A3">
        <w:rPr>
          <w:sz w:val="24"/>
          <w:szCs w:val="24"/>
        </w:rPr>
        <w:t>lerde test edilen motorlarda, azami tork için hem ölçülen hem de beyan edilen değerler mevcut olduğunda, ölçülen değerin %95 ila %100'ü arasında olması halinde, ölçülen değer yerine beyan edilen değer kullanılabilir.</w:t>
      </w:r>
    </w:p>
    <w:p w14:paraId="42E79D8B" w14:textId="77777777" w:rsidR="002D7B36" w:rsidRPr="00DE12A3" w:rsidRDefault="002D7B36" w:rsidP="00E20716">
      <w:pPr>
        <w:pStyle w:val="ListeParagraf"/>
        <w:numPr>
          <w:ilvl w:val="0"/>
          <w:numId w:val="112"/>
        </w:numPr>
        <w:spacing w:before="120" w:after="120"/>
        <w:ind w:left="1134" w:hanging="1134"/>
        <w:jc w:val="both"/>
        <w:rPr>
          <w:rFonts w:cs="Times New Roman"/>
          <w:b/>
          <w:vanish/>
          <w:color w:val="auto"/>
        </w:rPr>
      </w:pPr>
    </w:p>
    <w:p w14:paraId="4A93C6C5" w14:textId="77777777" w:rsidR="002D7B36" w:rsidRPr="00DE12A3" w:rsidRDefault="00242DA0" w:rsidP="00E20716">
      <w:pPr>
        <w:pStyle w:val="ListeParagraf"/>
        <w:numPr>
          <w:ilvl w:val="1"/>
          <w:numId w:val="173"/>
        </w:numPr>
        <w:spacing w:before="120" w:after="120"/>
        <w:ind w:left="1134" w:hanging="1134"/>
        <w:jc w:val="both"/>
        <w:rPr>
          <w:rFonts w:cs="Times New Roman"/>
          <w:color w:val="auto"/>
        </w:rPr>
      </w:pPr>
      <w:r w:rsidRPr="00DE12A3">
        <w:rPr>
          <w:rFonts w:cs="Times New Roman"/>
          <w:b/>
          <w:color w:val="auto"/>
        </w:rPr>
        <w:t xml:space="preserve">       </w:t>
      </w:r>
      <w:r w:rsidRPr="00DE12A3">
        <w:rPr>
          <w:rFonts w:cs="Times New Roman"/>
          <w:color w:val="auto"/>
        </w:rPr>
        <w:t xml:space="preserve">Test </w:t>
      </w:r>
      <w:r w:rsidR="00F310B5" w:rsidRPr="00DE12A3">
        <w:rPr>
          <w:rFonts w:cs="Times New Roman"/>
          <w:color w:val="auto"/>
        </w:rPr>
        <w:t>çevrimi</w:t>
      </w:r>
      <w:r w:rsidRPr="00DE12A3">
        <w:rPr>
          <w:rFonts w:cs="Times New Roman"/>
          <w:color w:val="auto"/>
        </w:rPr>
        <w:t xml:space="preserve"> üretimi</w:t>
      </w:r>
    </w:p>
    <w:p w14:paraId="223D5546" w14:textId="77777777" w:rsidR="002D7B36" w:rsidRPr="00DE12A3" w:rsidRDefault="009A45F4" w:rsidP="00E20716">
      <w:pPr>
        <w:pStyle w:val="Gvdemetni250"/>
        <w:numPr>
          <w:ilvl w:val="0"/>
          <w:numId w:val="174"/>
        </w:numPr>
        <w:shd w:val="clear" w:color="auto" w:fill="auto"/>
        <w:tabs>
          <w:tab w:val="left" w:pos="0"/>
          <w:tab w:val="left" w:pos="851"/>
          <w:tab w:val="right" w:pos="2698"/>
        </w:tabs>
        <w:spacing w:before="120" w:after="120" w:line="240" w:lineRule="auto"/>
        <w:ind w:left="1134" w:hanging="1134"/>
        <w:rPr>
          <w:sz w:val="24"/>
          <w:szCs w:val="24"/>
        </w:rPr>
      </w:pPr>
      <w:r w:rsidRPr="00DE12A3">
        <w:rPr>
          <w:sz w:val="24"/>
          <w:szCs w:val="24"/>
        </w:rPr>
        <w:t xml:space="preserve">     </w:t>
      </w:r>
      <w:r w:rsidR="00242DA0" w:rsidRPr="00DE12A3">
        <w:rPr>
          <w:sz w:val="24"/>
          <w:szCs w:val="24"/>
        </w:rPr>
        <w:t>NRSC üretimi</w:t>
      </w:r>
    </w:p>
    <w:p w14:paraId="25FD32E0" w14:textId="77777777" w:rsidR="002D7B36" w:rsidRPr="00DE12A3" w:rsidRDefault="009A45F4" w:rsidP="00C917D6">
      <w:pPr>
        <w:pStyle w:val="Gvdemetni250"/>
        <w:shd w:val="clear" w:color="auto" w:fill="auto"/>
        <w:tabs>
          <w:tab w:val="left" w:pos="9072"/>
        </w:tabs>
        <w:spacing w:before="120" w:after="120" w:line="240" w:lineRule="auto"/>
        <w:ind w:left="1134" w:hanging="1134"/>
        <w:rPr>
          <w:sz w:val="24"/>
          <w:szCs w:val="24"/>
        </w:rPr>
      </w:pPr>
      <w:r w:rsidRPr="00DE12A3">
        <w:rPr>
          <w:sz w:val="24"/>
          <w:szCs w:val="24"/>
        </w:rPr>
        <w:t xml:space="preserve">                  </w:t>
      </w:r>
      <w:r w:rsidR="00242DA0" w:rsidRPr="00DE12A3">
        <w:rPr>
          <w:sz w:val="24"/>
          <w:szCs w:val="24"/>
        </w:rPr>
        <w:t xml:space="preserve">Ayrık mod NRSC veya RMC ile </w:t>
      </w:r>
      <w:r w:rsidR="00951351" w:rsidRPr="00DE12A3">
        <w:rPr>
          <w:sz w:val="24"/>
          <w:szCs w:val="24"/>
        </w:rPr>
        <w:t xml:space="preserve">  kararlı </w:t>
      </w:r>
      <w:r w:rsidR="004E7F54" w:rsidRPr="00DE12A3">
        <w:rPr>
          <w:sz w:val="24"/>
          <w:szCs w:val="24"/>
        </w:rPr>
        <w:t>durum testleri</w:t>
      </w:r>
      <w:r w:rsidR="00242DA0" w:rsidRPr="00DE12A3">
        <w:rPr>
          <w:sz w:val="24"/>
          <w:szCs w:val="24"/>
        </w:rPr>
        <w:t xml:space="preserve"> sırasında motorun çalışacağı motor devirlerini ve yüklerini üretmek için bu bent kullanılır.</w:t>
      </w:r>
    </w:p>
    <w:p w14:paraId="7D958A0C" w14:textId="330BBE1C" w:rsidR="002D7B36" w:rsidRPr="00DE12A3" w:rsidRDefault="009A45F4" w:rsidP="00E20716">
      <w:pPr>
        <w:pStyle w:val="Gvdemetni250"/>
        <w:numPr>
          <w:ilvl w:val="0"/>
          <w:numId w:val="175"/>
        </w:numPr>
        <w:shd w:val="clear" w:color="auto" w:fill="auto"/>
        <w:tabs>
          <w:tab w:val="left" w:pos="993"/>
          <w:tab w:val="right" w:pos="2698"/>
          <w:tab w:val="right" w:pos="3182"/>
          <w:tab w:val="center" w:pos="3317"/>
          <w:tab w:val="right" w:pos="4008"/>
          <w:tab w:val="left" w:pos="4046"/>
          <w:tab w:val="right" w:pos="4795"/>
          <w:tab w:val="right" w:pos="5658"/>
          <w:tab w:val="left" w:pos="9072"/>
        </w:tabs>
        <w:spacing w:before="120" w:after="120" w:line="240" w:lineRule="auto"/>
        <w:ind w:left="1134" w:hanging="1134"/>
        <w:rPr>
          <w:sz w:val="24"/>
          <w:szCs w:val="24"/>
        </w:rPr>
      </w:pPr>
      <w:r w:rsidRPr="00DE12A3">
        <w:rPr>
          <w:sz w:val="24"/>
          <w:szCs w:val="24"/>
        </w:rPr>
        <w:t xml:space="preserve">  </w:t>
      </w:r>
      <w:r w:rsidR="00242DA0" w:rsidRPr="00DE12A3">
        <w:rPr>
          <w:sz w:val="24"/>
          <w:szCs w:val="24"/>
        </w:rPr>
        <w:t>Hem NRSC hem de NRTC veya LSI-NRTC ile test edilen motorlar için NRSC test devirlerinin üretilmesi</w:t>
      </w:r>
    </w:p>
    <w:p w14:paraId="6CDDE3EB" w14:textId="77777777" w:rsidR="002D7B36" w:rsidRPr="00DE12A3" w:rsidRDefault="009A45F4" w:rsidP="00C917D6">
      <w:pPr>
        <w:pStyle w:val="Gvdemetni250"/>
        <w:shd w:val="clear" w:color="auto" w:fill="auto"/>
        <w:tabs>
          <w:tab w:val="left" w:pos="9072"/>
        </w:tabs>
        <w:spacing w:before="120" w:after="120" w:line="240" w:lineRule="auto"/>
        <w:ind w:left="1134" w:hanging="1134"/>
        <w:rPr>
          <w:sz w:val="24"/>
          <w:szCs w:val="24"/>
        </w:rPr>
      </w:pPr>
      <w:r w:rsidRPr="00DE12A3">
        <w:rPr>
          <w:sz w:val="24"/>
          <w:szCs w:val="24"/>
        </w:rPr>
        <w:t xml:space="preserve">                  </w:t>
      </w:r>
      <w:r w:rsidR="00242DA0" w:rsidRPr="00DE12A3">
        <w:rPr>
          <w:sz w:val="24"/>
          <w:szCs w:val="24"/>
        </w:rPr>
        <w:t xml:space="preserve">NRSC'ye ek olarak NRTC veya LSI-NRTC ile test edilen motorlarda, 5.2.5.1 bendinde belirtilen MTS, hem geçiş hem de </w:t>
      </w:r>
      <w:r w:rsidR="00951351" w:rsidRPr="00DE12A3">
        <w:rPr>
          <w:sz w:val="24"/>
          <w:szCs w:val="24"/>
        </w:rPr>
        <w:t xml:space="preserve">  kararlı </w:t>
      </w:r>
      <w:r w:rsidR="004E7F54" w:rsidRPr="00DE12A3">
        <w:rPr>
          <w:sz w:val="24"/>
          <w:szCs w:val="24"/>
        </w:rPr>
        <w:t>durum testleri</w:t>
      </w:r>
      <w:r w:rsidR="00242DA0" w:rsidRPr="00DE12A3">
        <w:rPr>
          <w:sz w:val="24"/>
          <w:szCs w:val="24"/>
        </w:rPr>
        <w:t xml:space="preserve"> için %100 devir olarak kullanılmalıdır.</w:t>
      </w:r>
    </w:p>
    <w:p w14:paraId="177DAE6D" w14:textId="77777777" w:rsidR="002D7B36" w:rsidRPr="00DE12A3" w:rsidRDefault="00242DA0" w:rsidP="00C917D6">
      <w:pPr>
        <w:pStyle w:val="Gvdemetni250"/>
        <w:shd w:val="clear" w:color="auto" w:fill="auto"/>
        <w:tabs>
          <w:tab w:val="left" w:pos="9072"/>
        </w:tabs>
        <w:spacing w:before="120" w:after="120" w:line="240" w:lineRule="auto"/>
        <w:ind w:left="1134" w:firstLine="0"/>
        <w:rPr>
          <w:sz w:val="24"/>
          <w:szCs w:val="24"/>
        </w:rPr>
      </w:pPr>
      <w:r w:rsidRPr="00DE12A3">
        <w:rPr>
          <w:sz w:val="24"/>
          <w:szCs w:val="24"/>
        </w:rPr>
        <w:t>5.2.5.4 bendi uyarınca ara devir belirlenirken MTS, nominal devir yerine kullanılmalıdır.</w:t>
      </w:r>
    </w:p>
    <w:p w14:paraId="4B994F68" w14:textId="77777777" w:rsidR="002D7B36" w:rsidRPr="00DE12A3" w:rsidRDefault="00242DA0" w:rsidP="00C917D6">
      <w:pPr>
        <w:pStyle w:val="Gvdemetni250"/>
        <w:shd w:val="clear" w:color="auto" w:fill="auto"/>
        <w:tabs>
          <w:tab w:val="left" w:pos="9072"/>
        </w:tabs>
        <w:spacing w:before="120" w:after="120" w:line="240" w:lineRule="auto"/>
        <w:ind w:left="1134" w:firstLine="0"/>
        <w:rPr>
          <w:sz w:val="24"/>
          <w:szCs w:val="24"/>
        </w:rPr>
      </w:pPr>
      <w:r w:rsidRPr="00DE12A3">
        <w:rPr>
          <w:sz w:val="24"/>
          <w:szCs w:val="24"/>
        </w:rPr>
        <w:t>Rölanti devri, 5.2.5.5 bendi uyarınca belirlenir</w:t>
      </w:r>
    </w:p>
    <w:p w14:paraId="53883161" w14:textId="77777777" w:rsidR="002D7B36" w:rsidRPr="00DE12A3" w:rsidRDefault="00242DA0" w:rsidP="00E20716">
      <w:pPr>
        <w:pStyle w:val="Gvdemetni250"/>
        <w:numPr>
          <w:ilvl w:val="0"/>
          <w:numId w:val="175"/>
        </w:numPr>
        <w:shd w:val="clear" w:color="auto" w:fill="auto"/>
        <w:tabs>
          <w:tab w:val="right" w:pos="1134"/>
          <w:tab w:val="right" w:pos="3182"/>
          <w:tab w:val="center" w:pos="3317"/>
          <w:tab w:val="right" w:pos="4008"/>
          <w:tab w:val="left" w:pos="4046"/>
          <w:tab w:val="center" w:pos="4402"/>
          <w:tab w:val="right" w:pos="5658"/>
          <w:tab w:val="left" w:pos="9072"/>
        </w:tabs>
        <w:spacing w:before="120" w:after="120" w:line="240" w:lineRule="auto"/>
        <w:ind w:left="1134" w:hanging="1134"/>
        <w:rPr>
          <w:sz w:val="24"/>
          <w:szCs w:val="24"/>
        </w:rPr>
      </w:pPr>
      <w:r w:rsidRPr="00DE12A3">
        <w:rPr>
          <w:sz w:val="24"/>
          <w:szCs w:val="24"/>
        </w:rPr>
        <w:t>Sadece NRSC ile test edilen motorlar için NRSC test devirlerinin üretilmesi</w:t>
      </w:r>
    </w:p>
    <w:p w14:paraId="2ADB45F5" w14:textId="199F0F06" w:rsidR="002D7B36" w:rsidRPr="00DE12A3" w:rsidRDefault="00951351" w:rsidP="00C917D6">
      <w:pPr>
        <w:pStyle w:val="Gvdemetni250"/>
        <w:shd w:val="clear" w:color="auto" w:fill="auto"/>
        <w:tabs>
          <w:tab w:val="left" w:pos="9072"/>
        </w:tabs>
        <w:spacing w:before="120" w:after="120" w:line="240" w:lineRule="auto"/>
        <w:ind w:left="1134" w:firstLine="0"/>
        <w:rPr>
          <w:sz w:val="24"/>
          <w:szCs w:val="24"/>
        </w:rPr>
      </w:pPr>
      <w:r w:rsidRPr="00DE12A3">
        <w:rPr>
          <w:sz w:val="24"/>
          <w:szCs w:val="24"/>
        </w:rPr>
        <w:t xml:space="preserve">  </w:t>
      </w:r>
      <w:r w:rsidR="00FD681E" w:rsidRPr="00DE12A3">
        <w:rPr>
          <w:sz w:val="24"/>
          <w:szCs w:val="24"/>
        </w:rPr>
        <w:t>Süreksiz</w:t>
      </w:r>
      <w:r w:rsidRPr="00DE12A3">
        <w:rPr>
          <w:sz w:val="24"/>
          <w:szCs w:val="24"/>
        </w:rPr>
        <w:t xml:space="preserve"> </w:t>
      </w:r>
      <w:r w:rsidR="00242DA0" w:rsidRPr="00DE12A3">
        <w:rPr>
          <w:sz w:val="24"/>
          <w:szCs w:val="24"/>
        </w:rPr>
        <w:t xml:space="preserve">(NRTC veya LSI-NRTC) test </w:t>
      </w:r>
      <w:r w:rsidR="00F310B5" w:rsidRPr="00DE12A3">
        <w:rPr>
          <w:sz w:val="24"/>
          <w:szCs w:val="24"/>
        </w:rPr>
        <w:t>çevrimi</w:t>
      </w:r>
      <w:r w:rsidR="00242DA0" w:rsidRPr="00DE12A3">
        <w:rPr>
          <w:sz w:val="24"/>
          <w:szCs w:val="24"/>
        </w:rPr>
        <w:t xml:space="preserve"> ile test edilmeyen motorlarda, 5.2.5.</w:t>
      </w:r>
      <w:r w:rsidR="007F76FF" w:rsidRPr="00DE12A3">
        <w:rPr>
          <w:sz w:val="24"/>
          <w:szCs w:val="24"/>
        </w:rPr>
        <w:t xml:space="preserve">2 </w:t>
      </w:r>
      <w:r w:rsidR="00242DA0" w:rsidRPr="00DE12A3">
        <w:rPr>
          <w:sz w:val="24"/>
          <w:szCs w:val="24"/>
        </w:rPr>
        <w:t xml:space="preserve"> bendinde belirtilen nominal devir, %100 devir olarak kullanılmalıdır.</w:t>
      </w:r>
    </w:p>
    <w:p w14:paraId="39179B2D" w14:textId="77777777" w:rsidR="002D7B36" w:rsidRPr="00DE12A3" w:rsidRDefault="00242DA0" w:rsidP="00C917D6">
      <w:pPr>
        <w:pStyle w:val="Gvdemetni250"/>
        <w:shd w:val="clear" w:color="auto" w:fill="auto"/>
        <w:tabs>
          <w:tab w:val="left" w:pos="9072"/>
        </w:tabs>
        <w:spacing w:before="120" w:after="120" w:line="240" w:lineRule="auto"/>
        <w:ind w:left="1134" w:firstLine="0"/>
        <w:rPr>
          <w:sz w:val="24"/>
          <w:szCs w:val="24"/>
        </w:rPr>
      </w:pPr>
      <w:r w:rsidRPr="00DE12A3">
        <w:rPr>
          <w:sz w:val="24"/>
          <w:szCs w:val="24"/>
        </w:rPr>
        <w:t>5.2.5.4 bendi uyarınca ara devri belirlemek için nominal devir kullanılır. NRSC, ek devirleri bir yüzde olarak belirtirse, bunlar nominal devrin bir yüzdesi olarak hesaplanmalıdır.</w:t>
      </w:r>
    </w:p>
    <w:p w14:paraId="3D8C4733" w14:textId="77777777" w:rsidR="002D7B36" w:rsidRPr="00DE12A3" w:rsidRDefault="00242DA0" w:rsidP="00C917D6">
      <w:pPr>
        <w:pStyle w:val="Gvdemetni250"/>
        <w:shd w:val="clear" w:color="auto" w:fill="auto"/>
        <w:tabs>
          <w:tab w:val="left" w:pos="9072"/>
        </w:tabs>
        <w:spacing w:before="120" w:after="120" w:line="240" w:lineRule="auto"/>
        <w:ind w:left="1134" w:firstLine="0"/>
        <w:rPr>
          <w:sz w:val="24"/>
          <w:szCs w:val="24"/>
        </w:rPr>
      </w:pPr>
      <w:r w:rsidRPr="00DE12A3">
        <w:rPr>
          <w:sz w:val="24"/>
          <w:szCs w:val="24"/>
        </w:rPr>
        <w:t>Rölanti devri, 5.2.5.5 bendi uyarınca belirlenir.</w:t>
      </w:r>
    </w:p>
    <w:p w14:paraId="499442C6" w14:textId="77777777" w:rsidR="002D7B36" w:rsidRPr="00DE12A3" w:rsidRDefault="00242DA0" w:rsidP="00C917D6">
      <w:pPr>
        <w:pStyle w:val="Gvdemetni250"/>
        <w:shd w:val="clear" w:color="auto" w:fill="auto"/>
        <w:tabs>
          <w:tab w:val="left" w:pos="9072"/>
        </w:tabs>
        <w:spacing w:before="120" w:after="120" w:line="240" w:lineRule="auto"/>
        <w:ind w:left="1134" w:firstLine="0"/>
        <w:rPr>
          <w:sz w:val="24"/>
          <w:szCs w:val="24"/>
        </w:rPr>
      </w:pPr>
      <w:r w:rsidRPr="00DE12A3">
        <w:rPr>
          <w:sz w:val="24"/>
          <w:szCs w:val="24"/>
        </w:rPr>
        <w:t>Teknik servisin önceden onayı ile, bu noktada test devirlerinin üretilmesi için nominal devir yerine MTS kullanılabilir.</w:t>
      </w:r>
    </w:p>
    <w:p w14:paraId="57D27833" w14:textId="77777777" w:rsidR="002D7B36" w:rsidRPr="00DE12A3" w:rsidRDefault="009A45F4" w:rsidP="00E20716">
      <w:pPr>
        <w:pStyle w:val="ListeParagraf"/>
        <w:numPr>
          <w:ilvl w:val="3"/>
          <w:numId w:val="176"/>
        </w:numPr>
        <w:tabs>
          <w:tab w:val="left" w:pos="851"/>
          <w:tab w:val="left" w:pos="1276"/>
          <w:tab w:val="left" w:pos="9072"/>
        </w:tabs>
        <w:spacing w:before="120" w:after="120"/>
        <w:ind w:left="1134" w:hanging="1134"/>
        <w:jc w:val="both"/>
        <w:rPr>
          <w:rFonts w:cs="Times New Roman"/>
          <w:color w:val="auto"/>
        </w:rPr>
      </w:pPr>
      <w:r w:rsidRPr="00DE12A3">
        <w:rPr>
          <w:rFonts w:cs="Times New Roman"/>
          <w:color w:val="auto"/>
        </w:rPr>
        <w:lastRenderedPageBreak/>
        <w:t xml:space="preserve">     </w:t>
      </w:r>
      <w:r w:rsidR="00242DA0" w:rsidRPr="00DE12A3">
        <w:rPr>
          <w:rFonts w:cs="Times New Roman"/>
          <w:color w:val="auto"/>
        </w:rPr>
        <w:t>Her test modu için NRSC yükü üretimi</w:t>
      </w:r>
    </w:p>
    <w:p w14:paraId="405A274D" w14:textId="78C7174B" w:rsidR="002D7B36" w:rsidRPr="00DE12A3" w:rsidRDefault="009A45F4" w:rsidP="00C917D6">
      <w:pPr>
        <w:pStyle w:val="Gvdemetni250"/>
        <w:shd w:val="clear" w:color="auto" w:fill="auto"/>
        <w:tabs>
          <w:tab w:val="left" w:pos="9072"/>
        </w:tabs>
        <w:spacing w:before="120" w:after="120" w:line="240" w:lineRule="auto"/>
        <w:ind w:left="1134" w:hanging="1134"/>
        <w:rPr>
          <w:sz w:val="24"/>
          <w:szCs w:val="24"/>
        </w:rPr>
      </w:pPr>
      <w:r w:rsidRPr="00DE12A3">
        <w:rPr>
          <w:sz w:val="24"/>
          <w:szCs w:val="24"/>
        </w:rPr>
        <w:t xml:space="preserve">                  </w:t>
      </w:r>
      <w:r w:rsidR="00242DA0" w:rsidRPr="00DE12A3">
        <w:rPr>
          <w:sz w:val="24"/>
          <w:szCs w:val="24"/>
        </w:rPr>
        <w:t xml:space="preserve">Seçilen test </w:t>
      </w:r>
      <w:r w:rsidR="007E2039" w:rsidRPr="00DE12A3">
        <w:rPr>
          <w:sz w:val="24"/>
          <w:szCs w:val="24"/>
        </w:rPr>
        <w:t>çevrimini</w:t>
      </w:r>
      <w:r w:rsidR="00242DA0" w:rsidRPr="00DE12A3">
        <w:rPr>
          <w:sz w:val="24"/>
          <w:szCs w:val="24"/>
        </w:rPr>
        <w:t>n her test modu için yüzde yük değeri, X</w:t>
      </w:r>
      <w:r w:rsidR="00FA0678" w:rsidRPr="00DE12A3">
        <w:rPr>
          <w:sz w:val="24"/>
          <w:szCs w:val="24"/>
        </w:rPr>
        <w:t xml:space="preserve">VII’nci </w:t>
      </w:r>
      <w:r w:rsidR="00850EBE" w:rsidRPr="00DE12A3">
        <w:rPr>
          <w:sz w:val="24"/>
          <w:szCs w:val="24"/>
        </w:rPr>
        <w:t>E</w:t>
      </w:r>
      <w:r w:rsidR="00FA0678" w:rsidRPr="00DE12A3">
        <w:rPr>
          <w:sz w:val="24"/>
          <w:szCs w:val="24"/>
        </w:rPr>
        <w:t>k</w:t>
      </w:r>
      <w:r w:rsidR="00242DA0" w:rsidRPr="00DE12A3">
        <w:rPr>
          <w:sz w:val="24"/>
          <w:szCs w:val="24"/>
        </w:rPr>
        <w:t xml:space="preserve">in 1. veya </w:t>
      </w:r>
      <w:r w:rsidR="00FA0678" w:rsidRPr="00DE12A3">
        <w:rPr>
          <w:sz w:val="24"/>
          <w:szCs w:val="24"/>
        </w:rPr>
        <w:t>2. Açıklayıcı Ek</w:t>
      </w:r>
      <w:r w:rsidR="00242DA0" w:rsidRPr="00DE12A3">
        <w:rPr>
          <w:sz w:val="24"/>
          <w:szCs w:val="24"/>
        </w:rPr>
        <w:t xml:space="preserve">indeki uygun NRSC </w:t>
      </w:r>
      <w:r w:rsidR="00B8261D" w:rsidRPr="00DE12A3">
        <w:rPr>
          <w:sz w:val="24"/>
          <w:szCs w:val="24"/>
        </w:rPr>
        <w:t>t</w:t>
      </w:r>
      <w:r w:rsidR="00242DA0" w:rsidRPr="00DE12A3">
        <w:rPr>
          <w:sz w:val="24"/>
          <w:szCs w:val="24"/>
        </w:rPr>
        <w:t xml:space="preserve">ablosundan alınmalıdır. Test </w:t>
      </w:r>
      <w:r w:rsidR="00F310B5" w:rsidRPr="00DE12A3">
        <w:rPr>
          <w:sz w:val="24"/>
          <w:szCs w:val="24"/>
        </w:rPr>
        <w:t>çevrimi</w:t>
      </w:r>
      <w:r w:rsidR="00242DA0" w:rsidRPr="00DE12A3">
        <w:rPr>
          <w:sz w:val="24"/>
          <w:szCs w:val="24"/>
        </w:rPr>
        <w:t xml:space="preserve">ne bağlı olarak, bu Tablolardaki yüzde yük değeri, 5.2.6 bendi uyarınca ve her </w:t>
      </w:r>
      <w:r w:rsidR="00B8261D" w:rsidRPr="00DE12A3">
        <w:rPr>
          <w:sz w:val="24"/>
          <w:szCs w:val="24"/>
        </w:rPr>
        <w:t>t</w:t>
      </w:r>
      <w:r w:rsidR="00242DA0" w:rsidRPr="00DE12A3">
        <w:rPr>
          <w:sz w:val="24"/>
          <w:szCs w:val="24"/>
        </w:rPr>
        <w:t>ablo için verilen dipnotlarda güç veya tork cinsinden ifade edilir.</w:t>
      </w:r>
    </w:p>
    <w:p w14:paraId="5DA28897" w14:textId="77777777" w:rsidR="002D7B36" w:rsidRPr="00DE12A3" w:rsidRDefault="009A45F4" w:rsidP="00C917D6">
      <w:pPr>
        <w:pStyle w:val="Gvdemetni250"/>
        <w:shd w:val="clear" w:color="auto" w:fill="auto"/>
        <w:spacing w:before="120" w:after="120" w:line="240" w:lineRule="auto"/>
        <w:ind w:left="1134" w:hanging="1134"/>
        <w:rPr>
          <w:sz w:val="24"/>
          <w:szCs w:val="24"/>
        </w:rPr>
      </w:pPr>
      <w:r w:rsidRPr="00DE12A3">
        <w:rPr>
          <w:sz w:val="24"/>
          <w:szCs w:val="24"/>
        </w:rPr>
        <w:t xml:space="preserve">                  </w:t>
      </w:r>
      <w:r w:rsidR="00242DA0" w:rsidRPr="00DE12A3">
        <w:rPr>
          <w:sz w:val="24"/>
          <w:szCs w:val="24"/>
        </w:rPr>
        <w:t>Belli bir test devrinde %100 değer, sırasıyla 7.6.1, 7.6.2 veya 7.6.3 bendi uyarınca üretilen, güç (kW) cinsinden belirtilen eşleme eğrisinden alınan, ölçülen veya beyan edilen değerdir.</w:t>
      </w:r>
    </w:p>
    <w:p w14:paraId="3F5EFDF8" w14:textId="08D59B73" w:rsidR="002D7B36" w:rsidRPr="00DE12A3" w:rsidRDefault="009A45F4" w:rsidP="00C917D6">
      <w:pPr>
        <w:pStyle w:val="Gvdemetni250"/>
        <w:shd w:val="clear" w:color="auto" w:fill="auto"/>
        <w:spacing w:before="120" w:after="120" w:line="240" w:lineRule="auto"/>
        <w:ind w:left="1134" w:hanging="1134"/>
        <w:rPr>
          <w:sz w:val="24"/>
          <w:szCs w:val="24"/>
        </w:rPr>
      </w:pPr>
      <w:r w:rsidRPr="00DE12A3">
        <w:rPr>
          <w:sz w:val="24"/>
          <w:szCs w:val="24"/>
        </w:rPr>
        <w:t xml:space="preserve">                  </w:t>
      </w:r>
      <w:r w:rsidR="00242DA0" w:rsidRPr="00DE12A3">
        <w:rPr>
          <w:sz w:val="24"/>
          <w:szCs w:val="24"/>
        </w:rPr>
        <w:t xml:space="preserve">Her test modu için motor ayarı, (6-14) </w:t>
      </w:r>
      <w:r w:rsidR="005E1C7E" w:rsidRPr="00DE12A3">
        <w:rPr>
          <w:sz w:val="24"/>
          <w:szCs w:val="24"/>
        </w:rPr>
        <w:t xml:space="preserve">numaralı </w:t>
      </w:r>
      <w:r w:rsidR="00242DA0" w:rsidRPr="00DE12A3">
        <w:rPr>
          <w:sz w:val="24"/>
          <w:szCs w:val="24"/>
        </w:rPr>
        <w:t>denklem ile hesaplanmalıdır:</w:t>
      </w:r>
    </w:p>
    <w:tbl>
      <w:tblPr>
        <w:tblW w:w="6611" w:type="dxa"/>
        <w:jc w:val="center"/>
        <w:tblLayout w:type="fixed"/>
        <w:tblLook w:val="0000" w:firstRow="0" w:lastRow="0" w:firstColumn="0" w:lastColumn="0" w:noHBand="0" w:noVBand="0"/>
      </w:tblPr>
      <w:tblGrid>
        <w:gridCol w:w="4960"/>
        <w:gridCol w:w="1651"/>
      </w:tblGrid>
      <w:tr w:rsidR="00DE12A3" w:rsidRPr="00DE12A3" w14:paraId="155AC2E3" w14:textId="77777777" w:rsidTr="009A45F4">
        <w:trPr>
          <w:trHeight w:val="997"/>
          <w:jc w:val="center"/>
        </w:trPr>
        <w:tc>
          <w:tcPr>
            <w:tcW w:w="4960" w:type="dxa"/>
          </w:tcPr>
          <w:p w14:paraId="3A41E943" w14:textId="08D0EDE5" w:rsidR="009A45F4" w:rsidRPr="00DE12A3" w:rsidRDefault="009A45F4" w:rsidP="00C917D6">
            <w:pPr>
              <w:pStyle w:val="NormalLeft"/>
            </w:pPr>
            <w:r w:rsidRPr="00DE12A3">
              <w:rPr>
                <w:noProof/>
                <w:lang w:val="tr-TR"/>
              </w:rPr>
              <w:drawing>
                <wp:inline distT="0" distB="0" distL="0" distR="0" wp14:anchorId="69CB0D98" wp14:editId="2199D9A7">
                  <wp:extent cx="2819400" cy="518160"/>
                  <wp:effectExtent l="0" t="0" r="0" b="0"/>
                  <wp:docPr id="24" name="Resim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819400" cy="518160"/>
                          </a:xfrm>
                          <a:prstGeom prst="rect">
                            <a:avLst/>
                          </a:prstGeom>
                          <a:noFill/>
                          <a:ln>
                            <a:noFill/>
                          </a:ln>
                        </pic:spPr>
                      </pic:pic>
                    </a:graphicData>
                  </a:graphic>
                </wp:inline>
              </w:drawing>
            </w:r>
          </w:p>
        </w:tc>
        <w:tc>
          <w:tcPr>
            <w:tcW w:w="1651" w:type="dxa"/>
          </w:tcPr>
          <w:p w14:paraId="0D9E84D6" w14:textId="77777777" w:rsidR="009A45F4" w:rsidRPr="00DE12A3" w:rsidRDefault="009A45F4" w:rsidP="00C917D6">
            <w:pPr>
              <w:pStyle w:val="NormalLeft"/>
            </w:pPr>
            <w:r w:rsidRPr="00DE12A3">
              <w:t>(6-14)</w:t>
            </w:r>
          </w:p>
        </w:tc>
      </w:tr>
    </w:tbl>
    <w:p w14:paraId="55F33A55" w14:textId="77777777" w:rsidR="002D7B36" w:rsidRPr="00DE12A3" w:rsidRDefault="00242DA0" w:rsidP="00C917D6">
      <w:pPr>
        <w:pStyle w:val="Gvdemetni250"/>
        <w:shd w:val="clear" w:color="auto" w:fill="auto"/>
        <w:spacing w:before="120" w:after="120" w:line="240" w:lineRule="auto"/>
        <w:ind w:left="1134" w:firstLine="0"/>
        <w:rPr>
          <w:sz w:val="24"/>
          <w:szCs w:val="24"/>
        </w:rPr>
      </w:pPr>
      <w:r w:rsidRPr="00DE12A3">
        <w:rPr>
          <w:sz w:val="24"/>
          <w:szCs w:val="24"/>
        </w:rPr>
        <w:t>Burada:</w:t>
      </w:r>
    </w:p>
    <w:p w14:paraId="6F11ADBC" w14:textId="0D468E33" w:rsidR="002D7B36" w:rsidRPr="00DE12A3" w:rsidRDefault="00242DA0" w:rsidP="00C917D6">
      <w:pPr>
        <w:pStyle w:val="Gvdemetni250"/>
        <w:shd w:val="clear" w:color="auto" w:fill="auto"/>
        <w:tabs>
          <w:tab w:val="center" w:pos="3051"/>
        </w:tabs>
        <w:spacing w:before="120" w:after="120" w:line="240" w:lineRule="auto"/>
        <w:ind w:left="1134" w:firstLine="0"/>
        <w:rPr>
          <w:sz w:val="24"/>
          <w:szCs w:val="24"/>
        </w:rPr>
      </w:pPr>
      <w:r w:rsidRPr="00DE12A3">
        <w:rPr>
          <w:rStyle w:val="Gvdemetni254pttalik0ptbolukbraklyor"/>
          <w:color w:val="auto"/>
          <w:sz w:val="24"/>
          <w:szCs w:val="24"/>
        </w:rPr>
        <w:t>S</w:t>
      </w:r>
      <w:r w:rsidR="009A45F4" w:rsidRPr="00DE12A3">
        <w:rPr>
          <w:rStyle w:val="Gvdemetni254pttalik0ptbolukbraklyor"/>
          <w:color w:val="auto"/>
          <w:sz w:val="24"/>
          <w:szCs w:val="24"/>
        </w:rPr>
        <w:t xml:space="preserve"> ,</w:t>
      </w:r>
      <w:r w:rsidRPr="00DE12A3">
        <w:rPr>
          <w:sz w:val="24"/>
          <w:szCs w:val="24"/>
        </w:rPr>
        <w:tab/>
        <w:t>kW cinsinden dinamometre ayarı</w:t>
      </w:r>
      <w:r w:rsidR="00B8261D" w:rsidRPr="00DE12A3">
        <w:rPr>
          <w:sz w:val="24"/>
          <w:szCs w:val="24"/>
        </w:rPr>
        <w:t>,</w:t>
      </w:r>
    </w:p>
    <w:p w14:paraId="144303DB" w14:textId="66C9E443" w:rsidR="002D7B36" w:rsidRPr="00DE12A3" w:rsidRDefault="00242DA0" w:rsidP="00C917D6">
      <w:pPr>
        <w:pStyle w:val="Gvdemetni250"/>
        <w:shd w:val="clear" w:color="auto" w:fill="auto"/>
        <w:tabs>
          <w:tab w:val="center" w:pos="3051"/>
          <w:tab w:val="left" w:pos="4372"/>
          <w:tab w:val="center" w:pos="5215"/>
          <w:tab w:val="right" w:pos="5652"/>
        </w:tabs>
        <w:spacing w:before="120" w:after="120" w:line="240" w:lineRule="auto"/>
        <w:ind w:left="1134" w:firstLine="0"/>
        <w:rPr>
          <w:sz w:val="24"/>
          <w:szCs w:val="24"/>
        </w:rPr>
      </w:pPr>
      <w:r w:rsidRPr="00DE12A3">
        <w:rPr>
          <w:rStyle w:val="Gvdemetni254pttalik0ptbolukbraklyor"/>
          <w:color w:val="auto"/>
          <w:sz w:val="24"/>
          <w:szCs w:val="24"/>
        </w:rPr>
        <w:t>P</w:t>
      </w:r>
      <w:r w:rsidRPr="00DE12A3">
        <w:rPr>
          <w:rStyle w:val="Gvdemetni254pttalik0ptbolukbraklyor"/>
          <w:color w:val="auto"/>
          <w:sz w:val="24"/>
          <w:szCs w:val="24"/>
          <w:vertAlign w:val="subscript"/>
        </w:rPr>
        <w:t>max</w:t>
      </w:r>
      <w:r w:rsidR="009A45F4" w:rsidRPr="00DE12A3">
        <w:rPr>
          <w:rStyle w:val="Gvdemetni254pttalik0ptbolukbraklyor"/>
          <w:color w:val="auto"/>
          <w:sz w:val="24"/>
          <w:szCs w:val="24"/>
          <w:vertAlign w:val="subscript"/>
        </w:rPr>
        <w:t xml:space="preserve">  ,</w:t>
      </w:r>
      <w:r w:rsidRPr="00DE12A3">
        <w:rPr>
          <w:sz w:val="24"/>
          <w:szCs w:val="24"/>
        </w:rPr>
        <w:tab/>
        <w:t>(imalatçı tarafından belirtilen) test koşulları altında test devrinde gözlemlenen veya beyan edilen kW cinsinden azami güç</w:t>
      </w:r>
      <w:r w:rsidR="00B8261D" w:rsidRPr="00DE12A3">
        <w:rPr>
          <w:sz w:val="24"/>
          <w:szCs w:val="24"/>
        </w:rPr>
        <w:t>,</w:t>
      </w:r>
    </w:p>
    <w:p w14:paraId="69F79417" w14:textId="05B9405B" w:rsidR="002D7B36" w:rsidRPr="00DE12A3" w:rsidRDefault="00242DA0" w:rsidP="00C917D6">
      <w:pPr>
        <w:pStyle w:val="Gvdemetni250"/>
        <w:shd w:val="clear" w:color="auto" w:fill="auto"/>
        <w:tabs>
          <w:tab w:val="center" w:pos="3051"/>
          <w:tab w:val="left" w:pos="4372"/>
        </w:tabs>
        <w:spacing w:before="120" w:after="120" w:line="240" w:lineRule="auto"/>
        <w:ind w:left="1134" w:firstLine="0"/>
        <w:rPr>
          <w:sz w:val="24"/>
          <w:szCs w:val="24"/>
        </w:rPr>
      </w:pPr>
      <w:r w:rsidRPr="00DE12A3">
        <w:rPr>
          <w:i/>
          <w:iCs/>
          <w:sz w:val="24"/>
          <w:szCs w:val="24"/>
        </w:rPr>
        <w:t>P</w:t>
      </w:r>
      <w:r w:rsidRPr="00DE12A3">
        <w:rPr>
          <w:sz w:val="24"/>
          <w:szCs w:val="24"/>
          <w:vertAlign w:val="subscript"/>
        </w:rPr>
        <w:t>AUX</w:t>
      </w:r>
      <w:r w:rsidR="009A45F4" w:rsidRPr="00DE12A3">
        <w:rPr>
          <w:sz w:val="24"/>
          <w:szCs w:val="24"/>
          <w:vertAlign w:val="subscript"/>
        </w:rPr>
        <w:t xml:space="preserve">  , </w:t>
      </w:r>
      <w:r w:rsidRPr="00DE12A3">
        <w:rPr>
          <w:sz w:val="24"/>
          <w:szCs w:val="24"/>
        </w:rPr>
        <w:tab/>
        <w:t xml:space="preserve">(6-8) </w:t>
      </w:r>
      <w:r w:rsidR="005E1C7E" w:rsidRPr="00DE12A3">
        <w:rPr>
          <w:sz w:val="24"/>
          <w:szCs w:val="24"/>
        </w:rPr>
        <w:t>numaralı</w:t>
      </w:r>
      <w:r w:rsidRPr="00DE12A3">
        <w:rPr>
          <w:sz w:val="24"/>
          <w:szCs w:val="24"/>
        </w:rPr>
        <w:t xml:space="preserve"> denklemde tanımlanan yardımcı cihazlar (bkz. 6.3.5) tarafından çekilen, kW cinsinden beyan edilen toplam güç</w:t>
      </w:r>
      <w:r w:rsidR="00B8261D" w:rsidRPr="00DE12A3">
        <w:rPr>
          <w:sz w:val="24"/>
          <w:szCs w:val="24"/>
        </w:rPr>
        <w:t>,</w:t>
      </w:r>
    </w:p>
    <w:p w14:paraId="59F924A6" w14:textId="371462E0" w:rsidR="002D7B36" w:rsidRPr="00DE12A3" w:rsidRDefault="00242DA0" w:rsidP="00C917D6">
      <w:pPr>
        <w:pStyle w:val="Gvdemetni250"/>
        <w:shd w:val="clear" w:color="auto" w:fill="auto"/>
        <w:tabs>
          <w:tab w:val="left" w:pos="1418"/>
          <w:tab w:val="center" w:pos="3051"/>
        </w:tabs>
        <w:spacing w:before="120" w:after="120" w:line="240" w:lineRule="auto"/>
        <w:ind w:left="1134" w:firstLine="0"/>
        <w:rPr>
          <w:sz w:val="24"/>
          <w:szCs w:val="24"/>
        </w:rPr>
      </w:pPr>
      <w:r w:rsidRPr="00DE12A3">
        <w:rPr>
          <w:rStyle w:val="Gvdemetni254pttalik0ptbolukbraklyor"/>
          <w:color w:val="auto"/>
          <w:sz w:val="24"/>
          <w:szCs w:val="24"/>
        </w:rPr>
        <w:t>L</w:t>
      </w:r>
      <w:r w:rsidRPr="00DE12A3">
        <w:rPr>
          <w:sz w:val="24"/>
          <w:szCs w:val="24"/>
        </w:rPr>
        <w:tab/>
      </w:r>
      <w:r w:rsidR="009A45F4" w:rsidRPr="00DE12A3">
        <w:rPr>
          <w:sz w:val="24"/>
          <w:szCs w:val="24"/>
        </w:rPr>
        <w:t xml:space="preserve">,  </w:t>
      </w:r>
      <w:r w:rsidRPr="00DE12A3">
        <w:rPr>
          <w:sz w:val="24"/>
          <w:szCs w:val="24"/>
        </w:rPr>
        <w:t>tork yüzdesidir</w:t>
      </w:r>
      <w:r w:rsidR="00B8261D" w:rsidRPr="00DE12A3">
        <w:rPr>
          <w:sz w:val="24"/>
          <w:szCs w:val="24"/>
        </w:rPr>
        <w:t>.</w:t>
      </w:r>
    </w:p>
    <w:p w14:paraId="45FFDC88" w14:textId="77777777" w:rsidR="002D7B36" w:rsidRPr="00DE12A3" w:rsidRDefault="00242DA0" w:rsidP="00C917D6">
      <w:pPr>
        <w:pStyle w:val="Gvdemetni250"/>
        <w:shd w:val="clear" w:color="auto" w:fill="auto"/>
        <w:spacing w:before="120" w:after="120" w:line="240" w:lineRule="auto"/>
        <w:ind w:left="1134" w:firstLine="0"/>
        <w:rPr>
          <w:sz w:val="24"/>
          <w:szCs w:val="24"/>
        </w:rPr>
      </w:pPr>
      <w:r w:rsidRPr="00DE12A3">
        <w:rPr>
          <w:sz w:val="24"/>
          <w:szCs w:val="24"/>
        </w:rPr>
        <w:t>Örneğin belli bir asgari torkun altında çalışmayan karayolu dışında kullanılan hareketli makinalara bağlı olacağı için motor tipi normalde söz konusu asgari torkun altında çalışmayacaksa, aksi takdirde bu değerin altına düşen herhangi bir yük noktası için, hizmet içi çalışmayı temsil eden bir sıcak asgari tork beyan edilebilir ve kullanılabilir.</w:t>
      </w:r>
    </w:p>
    <w:p w14:paraId="03BC1A49" w14:textId="77777777" w:rsidR="002D7B36" w:rsidRPr="00DE12A3" w:rsidRDefault="00242DA0" w:rsidP="00C917D6">
      <w:pPr>
        <w:pStyle w:val="Gvdemetni250"/>
        <w:shd w:val="clear" w:color="auto" w:fill="auto"/>
        <w:spacing w:before="120" w:after="120" w:line="240" w:lineRule="auto"/>
        <w:ind w:left="1134" w:firstLine="0"/>
        <w:rPr>
          <w:sz w:val="24"/>
          <w:szCs w:val="24"/>
        </w:rPr>
      </w:pPr>
      <w:r w:rsidRPr="00DE12A3">
        <w:rPr>
          <w:sz w:val="24"/>
          <w:szCs w:val="24"/>
        </w:rPr>
        <w:t xml:space="preserve">E2 ve D2 </w:t>
      </w:r>
      <w:r w:rsidR="00F310B5" w:rsidRPr="00DE12A3">
        <w:rPr>
          <w:sz w:val="24"/>
          <w:szCs w:val="24"/>
        </w:rPr>
        <w:t>çevrim</w:t>
      </w:r>
      <w:r w:rsidRPr="00DE12A3">
        <w:rPr>
          <w:sz w:val="24"/>
          <w:szCs w:val="24"/>
        </w:rPr>
        <w:t xml:space="preserve">leri durumunda, imalatçı nominal gücü beyan etmeli ve test </w:t>
      </w:r>
      <w:r w:rsidR="00F310B5" w:rsidRPr="00DE12A3">
        <w:rPr>
          <w:sz w:val="24"/>
          <w:szCs w:val="24"/>
        </w:rPr>
        <w:t>çevrimi</w:t>
      </w:r>
      <w:r w:rsidRPr="00DE12A3">
        <w:rPr>
          <w:sz w:val="24"/>
          <w:szCs w:val="24"/>
        </w:rPr>
        <w:t xml:space="preserve"> oluşturulurken bunlar %100 güç olarak kullanılmalıdır.</w:t>
      </w:r>
    </w:p>
    <w:p w14:paraId="624923EE" w14:textId="77777777" w:rsidR="002D7B36" w:rsidRPr="00DE12A3" w:rsidRDefault="00242DA0" w:rsidP="00E20716">
      <w:pPr>
        <w:pStyle w:val="Gvdemetni250"/>
        <w:numPr>
          <w:ilvl w:val="0"/>
          <w:numId w:val="174"/>
        </w:numPr>
        <w:shd w:val="clear" w:color="auto" w:fill="auto"/>
        <w:tabs>
          <w:tab w:val="left" w:pos="955"/>
        </w:tabs>
        <w:spacing w:before="120" w:after="120" w:line="240" w:lineRule="auto"/>
        <w:ind w:left="1134" w:hanging="1134"/>
        <w:rPr>
          <w:sz w:val="24"/>
          <w:szCs w:val="24"/>
        </w:rPr>
      </w:pPr>
      <w:r w:rsidRPr="00DE12A3">
        <w:rPr>
          <w:sz w:val="24"/>
          <w:szCs w:val="24"/>
        </w:rPr>
        <w:t>Her test noktası için NRTC ve LSI-NRTC devrinin ve yükünün üretilmesi (denormalizasyon)</w:t>
      </w:r>
    </w:p>
    <w:p w14:paraId="2AF45141" w14:textId="71050C94" w:rsidR="002D7B36" w:rsidRPr="00DE12A3" w:rsidRDefault="00242DA0" w:rsidP="00C917D6">
      <w:pPr>
        <w:pStyle w:val="Gvdemetni250"/>
        <w:shd w:val="clear" w:color="auto" w:fill="auto"/>
        <w:spacing w:before="120" w:after="120" w:line="240" w:lineRule="auto"/>
        <w:ind w:left="1134" w:firstLine="0"/>
        <w:rPr>
          <w:sz w:val="24"/>
          <w:szCs w:val="24"/>
        </w:rPr>
      </w:pPr>
      <w:r w:rsidRPr="00DE12A3">
        <w:rPr>
          <w:sz w:val="24"/>
          <w:szCs w:val="24"/>
        </w:rPr>
        <w:t>NRTC veya LSI-NRTC testleri sırasında motorun çalışacağı ilgili motor devirlerini ve yüklerini üretmek için bu bent kullanılır. X</w:t>
      </w:r>
      <w:r w:rsidR="00FA0678" w:rsidRPr="00DE12A3">
        <w:rPr>
          <w:sz w:val="24"/>
          <w:szCs w:val="24"/>
        </w:rPr>
        <w:t xml:space="preserve">VII’nci </w:t>
      </w:r>
      <w:r w:rsidR="00483E27" w:rsidRPr="00DE12A3">
        <w:rPr>
          <w:sz w:val="24"/>
          <w:szCs w:val="24"/>
        </w:rPr>
        <w:t>E</w:t>
      </w:r>
      <w:r w:rsidR="00FA0678" w:rsidRPr="00DE12A3">
        <w:rPr>
          <w:sz w:val="24"/>
          <w:szCs w:val="24"/>
        </w:rPr>
        <w:t>k</w:t>
      </w:r>
      <w:r w:rsidRPr="00DE12A3">
        <w:rPr>
          <w:sz w:val="24"/>
          <w:szCs w:val="24"/>
        </w:rPr>
        <w:t xml:space="preserve">in </w:t>
      </w:r>
      <w:r w:rsidR="00CD23C3" w:rsidRPr="00DE12A3">
        <w:rPr>
          <w:sz w:val="24"/>
          <w:szCs w:val="24"/>
        </w:rPr>
        <w:t>3. Açıklayıcı Ek</w:t>
      </w:r>
      <w:r w:rsidRPr="00DE12A3">
        <w:rPr>
          <w:sz w:val="24"/>
          <w:szCs w:val="24"/>
        </w:rPr>
        <w:t xml:space="preserve">i, geçerli test </w:t>
      </w:r>
      <w:r w:rsidR="00F310B5" w:rsidRPr="00DE12A3">
        <w:rPr>
          <w:sz w:val="24"/>
          <w:szCs w:val="24"/>
        </w:rPr>
        <w:t>çevrim</w:t>
      </w:r>
      <w:r w:rsidRPr="00DE12A3">
        <w:rPr>
          <w:sz w:val="24"/>
          <w:szCs w:val="24"/>
        </w:rPr>
        <w:t xml:space="preserve">lerini normalize edilmiş bir formatta tanımlar. Normalize edilmiş bir test </w:t>
      </w:r>
      <w:r w:rsidR="00F310B5" w:rsidRPr="00DE12A3">
        <w:rPr>
          <w:sz w:val="24"/>
          <w:szCs w:val="24"/>
        </w:rPr>
        <w:t>çevrimi</w:t>
      </w:r>
      <w:r w:rsidRPr="00DE12A3">
        <w:rPr>
          <w:sz w:val="24"/>
          <w:szCs w:val="24"/>
        </w:rPr>
        <w:t>, devir ve tork yüzdesi için bir dizi eşleştirilmiş değerden oluşur.</w:t>
      </w:r>
    </w:p>
    <w:p w14:paraId="79DE04C0" w14:textId="77777777" w:rsidR="002D7B36" w:rsidRPr="00DE12A3" w:rsidRDefault="00242DA0" w:rsidP="00C917D6">
      <w:pPr>
        <w:pStyle w:val="Gvdemetni250"/>
        <w:shd w:val="clear" w:color="auto" w:fill="auto"/>
        <w:spacing w:before="120" w:after="120" w:line="240" w:lineRule="auto"/>
        <w:ind w:left="1134" w:firstLine="0"/>
        <w:rPr>
          <w:sz w:val="24"/>
          <w:szCs w:val="24"/>
        </w:rPr>
      </w:pPr>
      <w:r w:rsidRPr="00DE12A3">
        <w:rPr>
          <w:sz w:val="24"/>
          <w:szCs w:val="24"/>
        </w:rPr>
        <w:t>Normalize edilmiş devir ve tork değerleri, aşağıdaki kurallar kullanılarak dönüştürülür:</w:t>
      </w:r>
    </w:p>
    <w:p w14:paraId="5569274B" w14:textId="2EE691AA" w:rsidR="002D7B36" w:rsidRPr="00DE12A3" w:rsidRDefault="009A45F4" w:rsidP="00E20716">
      <w:pPr>
        <w:pStyle w:val="Gvdemetni250"/>
        <w:numPr>
          <w:ilvl w:val="0"/>
          <w:numId w:val="177"/>
        </w:numPr>
        <w:shd w:val="clear" w:color="auto" w:fill="auto"/>
        <w:spacing w:before="120" w:after="120" w:line="240" w:lineRule="auto"/>
        <w:ind w:left="1701" w:hanging="567"/>
        <w:rPr>
          <w:sz w:val="24"/>
          <w:szCs w:val="24"/>
        </w:rPr>
      </w:pPr>
      <w:r w:rsidRPr="00DE12A3">
        <w:rPr>
          <w:sz w:val="24"/>
          <w:szCs w:val="24"/>
        </w:rPr>
        <w:t xml:space="preserve">    </w:t>
      </w:r>
      <w:r w:rsidR="00242DA0" w:rsidRPr="00DE12A3">
        <w:rPr>
          <w:sz w:val="24"/>
          <w:szCs w:val="24"/>
        </w:rPr>
        <w:t>Normalize edilmiş devir, 7.7.2.2 bendi uyarınca bir dizi referans devire dönüştürülür</w:t>
      </w:r>
      <w:r w:rsidR="00B8261D" w:rsidRPr="00DE12A3">
        <w:rPr>
          <w:sz w:val="24"/>
          <w:szCs w:val="24"/>
        </w:rPr>
        <w:t>.</w:t>
      </w:r>
    </w:p>
    <w:p w14:paraId="3E1557AA" w14:textId="5E6EFFD9" w:rsidR="002D7B36" w:rsidRPr="00DE12A3" w:rsidRDefault="00242DA0" w:rsidP="00E20716">
      <w:pPr>
        <w:pStyle w:val="Gvdemetni250"/>
        <w:numPr>
          <w:ilvl w:val="0"/>
          <w:numId w:val="177"/>
        </w:numPr>
        <w:shd w:val="clear" w:color="auto" w:fill="auto"/>
        <w:tabs>
          <w:tab w:val="left" w:pos="1243"/>
        </w:tabs>
        <w:spacing w:before="120" w:after="120" w:line="240" w:lineRule="auto"/>
        <w:ind w:left="1701" w:hanging="567"/>
        <w:rPr>
          <w:sz w:val="24"/>
          <w:szCs w:val="24"/>
        </w:rPr>
      </w:pPr>
      <w:r w:rsidRPr="00DE12A3">
        <w:rPr>
          <w:sz w:val="24"/>
          <w:szCs w:val="24"/>
        </w:rPr>
        <w:t>Normalize edilmiş tork, karşılık gelen referans devirde 7.6.2 bendine göre üretilen eğriden eşlenen torkun yüzdesi olarak ifade edilir. Bu normalize edilmiş değerler, 7.7.2.3 bendine göre bir dizi referans torka, Tref'e dönüştürülür</w:t>
      </w:r>
      <w:r w:rsidR="00B8261D" w:rsidRPr="00DE12A3">
        <w:rPr>
          <w:sz w:val="24"/>
          <w:szCs w:val="24"/>
        </w:rPr>
        <w:t>.</w:t>
      </w:r>
    </w:p>
    <w:p w14:paraId="53D0F26B" w14:textId="77777777" w:rsidR="002D7B36" w:rsidRPr="00DE12A3" w:rsidRDefault="009A45F4" w:rsidP="00E20716">
      <w:pPr>
        <w:pStyle w:val="Gvdemetni250"/>
        <w:numPr>
          <w:ilvl w:val="0"/>
          <w:numId w:val="177"/>
        </w:numPr>
        <w:shd w:val="clear" w:color="auto" w:fill="auto"/>
        <w:tabs>
          <w:tab w:val="left" w:pos="1243"/>
        </w:tabs>
        <w:spacing w:before="120" w:after="120" w:line="240" w:lineRule="auto"/>
        <w:ind w:left="1701" w:hanging="567"/>
        <w:rPr>
          <w:sz w:val="24"/>
          <w:szCs w:val="24"/>
        </w:rPr>
      </w:pPr>
      <w:r w:rsidRPr="00DE12A3">
        <w:rPr>
          <w:sz w:val="24"/>
          <w:szCs w:val="24"/>
        </w:rPr>
        <w:t xml:space="preserve">    </w:t>
      </w:r>
      <w:r w:rsidR="00242DA0" w:rsidRPr="00DE12A3">
        <w:rPr>
          <w:sz w:val="24"/>
          <w:szCs w:val="24"/>
        </w:rPr>
        <w:t>Referans güç değerlerini hesaplamak için tutarlı birimlerle ifade edilen referans devir ve referans tork değerleri çarpılır.</w:t>
      </w:r>
    </w:p>
    <w:p w14:paraId="11F0CEA9" w14:textId="77777777" w:rsidR="002D7B36" w:rsidRPr="00DE12A3" w:rsidRDefault="00242DA0" w:rsidP="00E20716">
      <w:pPr>
        <w:pStyle w:val="Gvdemetni250"/>
        <w:numPr>
          <w:ilvl w:val="0"/>
          <w:numId w:val="178"/>
        </w:numPr>
        <w:shd w:val="clear" w:color="auto" w:fill="auto"/>
        <w:spacing w:before="120" w:after="120" w:line="240" w:lineRule="auto"/>
        <w:ind w:left="1134" w:hanging="1134"/>
        <w:rPr>
          <w:sz w:val="24"/>
          <w:szCs w:val="24"/>
        </w:rPr>
      </w:pPr>
      <w:r w:rsidRPr="00DE12A3">
        <w:rPr>
          <w:sz w:val="24"/>
          <w:szCs w:val="24"/>
        </w:rPr>
        <w:t>Ayrılmış</w:t>
      </w:r>
    </w:p>
    <w:p w14:paraId="5E34F06D" w14:textId="77777777" w:rsidR="002D7B36" w:rsidRPr="00DE12A3" w:rsidRDefault="00242DA0" w:rsidP="00E20716">
      <w:pPr>
        <w:pStyle w:val="Gvdemetni250"/>
        <w:numPr>
          <w:ilvl w:val="0"/>
          <w:numId w:val="178"/>
        </w:numPr>
        <w:shd w:val="clear" w:color="auto" w:fill="auto"/>
        <w:spacing w:before="120" w:after="120" w:line="240" w:lineRule="auto"/>
        <w:ind w:left="1134" w:hanging="1134"/>
        <w:rPr>
          <w:sz w:val="24"/>
          <w:szCs w:val="24"/>
        </w:rPr>
      </w:pPr>
      <w:r w:rsidRPr="00DE12A3">
        <w:rPr>
          <w:sz w:val="24"/>
          <w:szCs w:val="24"/>
        </w:rPr>
        <w:lastRenderedPageBreak/>
        <w:t>Motor devrinin denormalizasyonu</w:t>
      </w:r>
    </w:p>
    <w:p w14:paraId="2FF866EE" w14:textId="635A008C" w:rsidR="002D7B36" w:rsidRPr="00DE12A3" w:rsidRDefault="009A45F4" w:rsidP="00C917D6">
      <w:pPr>
        <w:pStyle w:val="Gvdemetni250"/>
        <w:shd w:val="clear" w:color="auto" w:fill="auto"/>
        <w:spacing w:before="120" w:after="120" w:line="240" w:lineRule="auto"/>
        <w:ind w:left="1134" w:hanging="1134"/>
        <w:rPr>
          <w:sz w:val="24"/>
          <w:szCs w:val="24"/>
        </w:rPr>
      </w:pPr>
      <w:r w:rsidRPr="00DE12A3">
        <w:rPr>
          <w:sz w:val="24"/>
          <w:szCs w:val="24"/>
        </w:rPr>
        <w:t xml:space="preserve">                  </w:t>
      </w:r>
      <w:r w:rsidR="00242DA0" w:rsidRPr="00DE12A3">
        <w:rPr>
          <w:sz w:val="24"/>
          <w:szCs w:val="24"/>
        </w:rPr>
        <w:t xml:space="preserve">Motor devri, (6-15) </w:t>
      </w:r>
      <w:r w:rsidR="005E1C7E" w:rsidRPr="00DE12A3">
        <w:rPr>
          <w:sz w:val="24"/>
          <w:szCs w:val="24"/>
        </w:rPr>
        <w:t>numaralı</w:t>
      </w:r>
      <w:r w:rsidR="005E1C7E" w:rsidRPr="00DE12A3" w:rsidDel="005E1C7E">
        <w:rPr>
          <w:sz w:val="24"/>
          <w:szCs w:val="24"/>
        </w:rPr>
        <w:t xml:space="preserve"> </w:t>
      </w:r>
      <w:r w:rsidR="00242DA0" w:rsidRPr="00DE12A3">
        <w:rPr>
          <w:sz w:val="24"/>
          <w:szCs w:val="24"/>
        </w:rPr>
        <w:t>denklem ile denormalize edilmelidir:</w:t>
      </w:r>
    </w:p>
    <w:p w14:paraId="6791906D" w14:textId="77777777" w:rsidR="002D7B36" w:rsidRPr="00DE12A3" w:rsidRDefault="002D7B36" w:rsidP="00C917D6">
      <w:pPr>
        <w:pStyle w:val="Gvdemetni250"/>
        <w:shd w:val="clear" w:color="auto" w:fill="auto"/>
        <w:spacing w:before="120" w:after="120" w:line="240" w:lineRule="auto"/>
        <w:ind w:left="1134" w:hanging="1134"/>
        <w:rPr>
          <w:sz w:val="24"/>
          <w:szCs w:val="24"/>
        </w:rPr>
      </w:pPr>
    </w:p>
    <w:tbl>
      <w:tblPr>
        <w:tblW w:w="8370" w:type="dxa"/>
        <w:jc w:val="center"/>
        <w:tblLayout w:type="fixed"/>
        <w:tblLook w:val="0000" w:firstRow="0" w:lastRow="0" w:firstColumn="0" w:lastColumn="0" w:noHBand="0" w:noVBand="0"/>
      </w:tblPr>
      <w:tblGrid>
        <w:gridCol w:w="6529"/>
        <w:gridCol w:w="1841"/>
      </w:tblGrid>
      <w:tr w:rsidR="00DE12A3" w:rsidRPr="00DE12A3" w14:paraId="75546A08" w14:textId="77777777" w:rsidTr="009A45F4">
        <w:trPr>
          <w:trHeight w:val="1003"/>
          <w:jc w:val="center"/>
        </w:trPr>
        <w:tc>
          <w:tcPr>
            <w:tcW w:w="6529" w:type="dxa"/>
          </w:tcPr>
          <w:p w14:paraId="565E88E0" w14:textId="53D01BBE" w:rsidR="009A45F4" w:rsidRPr="00DE12A3" w:rsidRDefault="009A45F4" w:rsidP="00C917D6">
            <w:pPr>
              <w:pStyle w:val="NormalLeft"/>
            </w:pPr>
            <w:r w:rsidRPr="00DE12A3">
              <w:rPr>
                <w:noProof/>
                <w:lang w:val="tr-TR"/>
              </w:rPr>
              <w:drawing>
                <wp:inline distT="0" distB="0" distL="0" distR="0" wp14:anchorId="6F6AE668" wp14:editId="263FB1B0">
                  <wp:extent cx="3825240" cy="487680"/>
                  <wp:effectExtent l="0" t="0" r="3810" b="7620"/>
                  <wp:docPr id="32" name="Resim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3825240" cy="487680"/>
                          </a:xfrm>
                          <a:prstGeom prst="rect">
                            <a:avLst/>
                          </a:prstGeom>
                          <a:noFill/>
                          <a:ln>
                            <a:noFill/>
                          </a:ln>
                        </pic:spPr>
                      </pic:pic>
                    </a:graphicData>
                  </a:graphic>
                </wp:inline>
              </w:drawing>
            </w:r>
          </w:p>
        </w:tc>
        <w:tc>
          <w:tcPr>
            <w:tcW w:w="1841" w:type="dxa"/>
          </w:tcPr>
          <w:p w14:paraId="03B5ED11" w14:textId="77777777" w:rsidR="009A45F4" w:rsidRPr="00DE12A3" w:rsidRDefault="009A45F4" w:rsidP="00C917D6">
            <w:pPr>
              <w:pStyle w:val="NormalLeft"/>
            </w:pPr>
            <w:r w:rsidRPr="00DE12A3">
              <w:t>(6-15)</w:t>
            </w:r>
          </w:p>
        </w:tc>
      </w:tr>
    </w:tbl>
    <w:p w14:paraId="4274B256" w14:textId="77777777" w:rsidR="002D7B36" w:rsidRPr="00DE12A3" w:rsidRDefault="00242DA0" w:rsidP="00C917D6">
      <w:pPr>
        <w:pStyle w:val="Gvdemetni250"/>
        <w:shd w:val="clear" w:color="auto" w:fill="auto"/>
        <w:spacing w:before="120" w:after="120" w:line="240" w:lineRule="auto"/>
        <w:ind w:left="1134" w:firstLine="0"/>
        <w:rPr>
          <w:sz w:val="24"/>
          <w:szCs w:val="24"/>
        </w:rPr>
      </w:pPr>
      <w:r w:rsidRPr="00DE12A3">
        <w:rPr>
          <w:sz w:val="24"/>
          <w:szCs w:val="24"/>
        </w:rPr>
        <w:t>Burada:</w:t>
      </w:r>
    </w:p>
    <w:p w14:paraId="11EA69C8" w14:textId="72069955" w:rsidR="002D7B36" w:rsidRPr="00DE12A3" w:rsidRDefault="00242DA0" w:rsidP="00C917D6">
      <w:pPr>
        <w:pStyle w:val="Gvdemetni250"/>
        <w:shd w:val="clear" w:color="auto" w:fill="auto"/>
        <w:spacing w:before="120" w:after="120" w:line="240" w:lineRule="auto"/>
        <w:ind w:left="1134" w:firstLine="0"/>
        <w:rPr>
          <w:sz w:val="24"/>
          <w:szCs w:val="24"/>
        </w:rPr>
      </w:pPr>
      <w:r w:rsidRPr="00DE12A3">
        <w:rPr>
          <w:i/>
          <w:iCs/>
          <w:sz w:val="24"/>
          <w:szCs w:val="24"/>
        </w:rPr>
        <w:t>n</w:t>
      </w:r>
      <w:r w:rsidRPr="00DE12A3">
        <w:rPr>
          <w:i/>
          <w:iCs/>
          <w:sz w:val="24"/>
          <w:szCs w:val="24"/>
          <w:vertAlign w:val="subscript"/>
        </w:rPr>
        <w:t>ref</w:t>
      </w:r>
      <w:r w:rsidRPr="00DE12A3">
        <w:rPr>
          <w:sz w:val="24"/>
          <w:szCs w:val="24"/>
        </w:rPr>
        <w:tab/>
      </w:r>
      <w:r w:rsidR="00B8261D" w:rsidRPr="00DE12A3">
        <w:rPr>
          <w:sz w:val="24"/>
          <w:szCs w:val="24"/>
        </w:rPr>
        <w:t>=</w:t>
      </w:r>
      <w:r w:rsidRPr="00DE12A3">
        <w:rPr>
          <w:sz w:val="24"/>
          <w:szCs w:val="24"/>
        </w:rPr>
        <w:t>referans devir</w:t>
      </w:r>
      <w:r w:rsidR="00B8261D" w:rsidRPr="00DE12A3">
        <w:rPr>
          <w:sz w:val="24"/>
          <w:szCs w:val="24"/>
        </w:rPr>
        <w:t>,</w:t>
      </w:r>
    </w:p>
    <w:p w14:paraId="68E8DDA5" w14:textId="02354D5D" w:rsidR="002D7B36" w:rsidRPr="00DE12A3" w:rsidRDefault="00242DA0" w:rsidP="00C917D6">
      <w:pPr>
        <w:pStyle w:val="Gvdemetni250"/>
        <w:shd w:val="clear" w:color="auto" w:fill="auto"/>
        <w:spacing w:before="120" w:after="120" w:line="240" w:lineRule="auto"/>
        <w:ind w:left="1134" w:firstLine="0"/>
        <w:rPr>
          <w:sz w:val="24"/>
          <w:szCs w:val="24"/>
        </w:rPr>
      </w:pPr>
      <w:r w:rsidRPr="00DE12A3">
        <w:rPr>
          <w:rStyle w:val="Gvdemetni254pttalik0ptbolukbraklyor"/>
          <w:color w:val="auto"/>
          <w:sz w:val="24"/>
          <w:szCs w:val="24"/>
        </w:rPr>
        <w:t>MTS</w:t>
      </w:r>
      <w:r w:rsidRPr="00DE12A3">
        <w:rPr>
          <w:sz w:val="24"/>
          <w:szCs w:val="24"/>
        </w:rPr>
        <w:tab/>
      </w:r>
      <w:r w:rsidR="00B8261D" w:rsidRPr="00DE12A3">
        <w:rPr>
          <w:sz w:val="24"/>
          <w:szCs w:val="24"/>
        </w:rPr>
        <w:t>=</w:t>
      </w:r>
      <w:r w:rsidRPr="00DE12A3">
        <w:rPr>
          <w:sz w:val="24"/>
          <w:szCs w:val="24"/>
        </w:rPr>
        <w:t>azami test devri</w:t>
      </w:r>
      <w:r w:rsidR="00B8261D" w:rsidRPr="00DE12A3">
        <w:rPr>
          <w:sz w:val="24"/>
          <w:szCs w:val="24"/>
        </w:rPr>
        <w:t>,</w:t>
      </w:r>
    </w:p>
    <w:p w14:paraId="488BE16D" w14:textId="51E5A973" w:rsidR="002D7B36" w:rsidRPr="00DE12A3" w:rsidRDefault="00242DA0" w:rsidP="00C917D6">
      <w:pPr>
        <w:pStyle w:val="Gvdemetni250"/>
        <w:shd w:val="clear" w:color="auto" w:fill="auto"/>
        <w:spacing w:before="120" w:after="120" w:line="240" w:lineRule="auto"/>
        <w:ind w:left="1134" w:firstLine="0"/>
        <w:rPr>
          <w:sz w:val="24"/>
          <w:szCs w:val="24"/>
        </w:rPr>
      </w:pPr>
      <w:r w:rsidRPr="00DE12A3">
        <w:rPr>
          <w:i/>
          <w:iCs/>
          <w:sz w:val="24"/>
          <w:szCs w:val="24"/>
        </w:rPr>
        <w:t>n</w:t>
      </w:r>
      <w:r w:rsidR="00861C3B" w:rsidRPr="00DE12A3">
        <w:rPr>
          <w:sz w:val="24"/>
          <w:szCs w:val="24"/>
          <w:vertAlign w:val="subscript"/>
        </w:rPr>
        <w:t>Rölanti</w:t>
      </w:r>
      <w:r w:rsidRPr="00DE12A3">
        <w:rPr>
          <w:sz w:val="24"/>
          <w:szCs w:val="24"/>
        </w:rPr>
        <w:tab/>
      </w:r>
      <w:r w:rsidR="00B8261D" w:rsidRPr="00DE12A3">
        <w:rPr>
          <w:sz w:val="24"/>
          <w:szCs w:val="24"/>
        </w:rPr>
        <w:t>=</w:t>
      </w:r>
      <w:r w:rsidRPr="00DE12A3">
        <w:rPr>
          <w:sz w:val="24"/>
          <w:szCs w:val="24"/>
        </w:rPr>
        <w:t>rölanti devri</w:t>
      </w:r>
      <w:r w:rsidR="00B8261D" w:rsidRPr="00DE12A3">
        <w:rPr>
          <w:sz w:val="24"/>
          <w:szCs w:val="24"/>
        </w:rPr>
        <w:t>,</w:t>
      </w:r>
    </w:p>
    <w:p w14:paraId="3953EE50" w14:textId="72A27140" w:rsidR="002D7B36" w:rsidRPr="00DE12A3" w:rsidRDefault="00242DA0" w:rsidP="00C917D6">
      <w:pPr>
        <w:pStyle w:val="Gvdemetni250"/>
        <w:shd w:val="clear" w:color="auto" w:fill="auto"/>
        <w:spacing w:before="120" w:after="120" w:line="240" w:lineRule="auto"/>
        <w:ind w:left="1134" w:firstLine="0"/>
        <w:rPr>
          <w:sz w:val="24"/>
          <w:szCs w:val="24"/>
        </w:rPr>
      </w:pPr>
      <w:r w:rsidRPr="00DE12A3">
        <w:rPr>
          <w:rStyle w:val="Gvdemetni254pttalik0ptbolukbraklyor"/>
          <w:color w:val="auto"/>
          <w:sz w:val="24"/>
          <w:szCs w:val="24"/>
        </w:rPr>
        <w:t>%speed</w:t>
      </w:r>
      <w:r w:rsidRPr="00DE12A3">
        <w:rPr>
          <w:sz w:val="24"/>
          <w:szCs w:val="24"/>
        </w:rPr>
        <w:tab/>
      </w:r>
      <w:r w:rsidR="00B8261D" w:rsidRPr="00DE12A3">
        <w:rPr>
          <w:sz w:val="24"/>
          <w:szCs w:val="24"/>
        </w:rPr>
        <w:t xml:space="preserve">= </w:t>
      </w:r>
      <w:r w:rsidRPr="00DE12A3">
        <w:rPr>
          <w:sz w:val="24"/>
          <w:szCs w:val="24"/>
        </w:rPr>
        <w:t>X</w:t>
      </w:r>
      <w:r w:rsidR="00FA0678" w:rsidRPr="00DE12A3">
        <w:rPr>
          <w:sz w:val="24"/>
          <w:szCs w:val="24"/>
        </w:rPr>
        <w:t xml:space="preserve">VII’nci </w:t>
      </w:r>
      <w:r w:rsidR="00483E27" w:rsidRPr="00DE12A3">
        <w:rPr>
          <w:sz w:val="24"/>
          <w:szCs w:val="24"/>
        </w:rPr>
        <w:t>E</w:t>
      </w:r>
      <w:r w:rsidR="00FA0678" w:rsidRPr="00DE12A3">
        <w:rPr>
          <w:sz w:val="24"/>
          <w:szCs w:val="24"/>
        </w:rPr>
        <w:t>k</w:t>
      </w:r>
      <w:r w:rsidRPr="00DE12A3">
        <w:rPr>
          <w:sz w:val="24"/>
          <w:szCs w:val="24"/>
        </w:rPr>
        <w:t xml:space="preserve">in </w:t>
      </w:r>
      <w:r w:rsidR="00CD23C3" w:rsidRPr="00DE12A3">
        <w:rPr>
          <w:sz w:val="24"/>
          <w:szCs w:val="24"/>
        </w:rPr>
        <w:t>3. Açıklayıcı Ek</w:t>
      </w:r>
      <w:r w:rsidRPr="00DE12A3">
        <w:rPr>
          <w:sz w:val="24"/>
          <w:szCs w:val="24"/>
        </w:rPr>
        <w:t>inden alınan NRTC veya LSI-NRTC normalize edilmiş devirdir.</w:t>
      </w:r>
    </w:p>
    <w:p w14:paraId="63EA3320" w14:textId="77777777" w:rsidR="002D7B36" w:rsidRPr="00DE12A3" w:rsidRDefault="009A45F4" w:rsidP="00E20716">
      <w:pPr>
        <w:pStyle w:val="Gvdemetni250"/>
        <w:numPr>
          <w:ilvl w:val="0"/>
          <w:numId w:val="179"/>
        </w:numPr>
        <w:shd w:val="clear" w:color="auto" w:fill="auto"/>
        <w:spacing w:before="120" w:after="120" w:line="240" w:lineRule="auto"/>
        <w:ind w:left="1134" w:hanging="1134"/>
        <w:rPr>
          <w:sz w:val="24"/>
          <w:szCs w:val="24"/>
        </w:rPr>
      </w:pPr>
      <w:r w:rsidRPr="00DE12A3">
        <w:rPr>
          <w:sz w:val="24"/>
          <w:szCs w:val="24"/>
        </w:rPr>
        <w:t xml:space="preserve">      </w:t>
      </w:r>
      <w:r w:rsidR="00242DA0" w:rsidRPr="00DE12A3">
        <w:rPr>
          <w:sz w:val="24"/>
          <w:szCs w:val="24"/>
        </w:rPr>
        <w:t>Motor torkunundenormalizasyonu</w:t>
      </w:r>
    </w:p>
    <w:p w14:paraId="2AB83814" w14:textId="0ED3D719" w:rsidR="002D7B36" w:rsidRPr="00DE12A3" w:rsidRDefault="009A45F4" w:rsidP="00C917D6">
      <w:pPr>
        <w:pStyle w:val="Gvdemetni250"/>
        <w:shd w:val="clear" w:color="auto" w:fill="auto"/>
        <w:spacing w:before="120" w:after="120" w:line="240" w:lineRule="auto"/>
        <w:ind w:left="1134" w:hanging="1134"/>
        <w:rPr>
          <w:sz w:val="24"/>
          <w:szCs w:val="24"/>
        </w:rPr>
      </w:pPr>
      <w:r w:rsidRPr="00DE12A3">
        <w:rPr>
          <w:sz w:val="24"/>
          <w:szCs w:val="24"/>
        </w:rPr>
        <w:t xml:space="preserve">                  </w:t>
      </w:r>
      <w:r w:rsidR="00242DA0" w:rsidRPr="00DE12A3">
        <w:rPr>
          <w:sz w:val="24"/>
          <w:szCs w:val="24"/>
        </w:rPr>
        <w:t>X</w:t>
      </w:r>
      <w:r w:rsidR="00FA0678" w:rsidRPr="00DE12A3">
        <w:rPr>
          <w:sz w:val="24"/>
          <w:szCs w:val="24"/>
        </w:rPr>
        <w:t xml:space="preserve">VII’nci </w:t>
      </w:r>
      <w:r w:rsidR="00483E27" w:rsidRPr="00DE12A3">
        <w:rPr>
          <w:sz w:val="24"/>
          <w:szCs w:val="24"/>
        </w:rPr>
        <w:t>E</w:t>
      </w:r>
      <w:r w:rsidR="00FA0678" w:rsidRPr="00DE12A3">
        <w:rPr>
          <w:sz w:val="24"/>
          <w:szCs w:val="24"/>
        </w:rPr>
        <w:t>k</w:t>
      </w:r>
      <w:r w:rsidR="00242DA0" w:rsidRPr="00DE12A3">
        <w:rPr>
          <w:sz w:val="24"/>
          <w:szCs w:val="24"/>
        </w:rPr>
        <w:t xml:space="preserve">in </w:t>
      </w:r>
      <w:r w:rsidR="00CD23C3" w:rsidRPr="00DE12A3">
        <w:rPr>
          <w:sz w:val="24"/>
          <w:szCs w:val="24"/>
        </w:rPr>
        <w:t>3. Açıklayıcı Ek</w:t>
      </w:r>
      <w:r w:rsidR="00242DA0" w:rsidRPr="00DE12A3">
        <w:rPr>
          <w:sz w:val="24"/>
          <w:szCs w:val="24"/>
        </w:rPr>
        <w:t xml:space="preserve">indeki motor dinamometre çizelgesindeki tork değerleri, ilgili devirdeki azami torkanormalize edilir. Referans </w:t>
      </w:r>
      <w:r w:rsidR="00F310B5" w:rsidRPr="00DE12A3">
        <w:rPr>
          <w:sz w:val="24"/>
          <w:szCs w:val="24"/>
        </w:rPr>
        <w:t>çevrime</w:t>
      </w:r>
      <w:r w:rsidR="00242DA0" w:rsidRPr="00DE12A3">
        <w:rPr>
          <w:sz w:val="24"/>
          <w:szCs w:val="24"/>
        </w:rPr>
        <w:t xml:space="preserve"> ait tork değerleri, 7.6.2 bendine göre belirlenen eşleme eğrisi kullanılarak (6-16) </w:t>
      </w:r>
      <w:r w:rsidR="005E1C7E" w:rsidRPr="00DE12A3">
        <w:rPr>
          <w:sz w:val="24"/>
          <w:szCs w:val="24"/>
        </w:rPr>
        <w:t>numaralı</w:t>
      </w:r>
      <w:r w:rsidR="005E1C7E" w:rsidRPr="00DE12A3" w:rsidDel="005E1C7E">
        <w:rPr>
          <w:sz w:val="24"/>
          <w:szCs w:val="24"/>
        </w:rPr>
        <w:t xml:space="preserve"> </w:t>
      </w:r>
      <w:r w:rsidR="00242DA0" w:rsidRPr="00DE12A3">
        <w:rPr>
          <w:sz w:val="24"/>
          <w:szCs w:val="24"/>
        </w:rPr>
        <w:t>denklemle denormalize edilir:</w:t>
      </w:r>
    </w:p>
    <w:tbl>
      <w:tblPr>
        <w:tblW w:w="7893" w:type="dxa"/>
        <w:jc w:val="center"/>
        <w:tblLayout w:type="fixed"/>
        <w:tblLook w:val="0000" w:firstRow="0" w:lastRow="0" w:firstColumn="0" w:lastColumn="0" w:noHBand="0" w:noVBand="0"/>
      </w:tblPr>
      <w:tblGrid>
        <w:gridCol w:w="5999"/>
        <w:gridCol w:w="1894"/>
      </w:tblGrid>
      <w:tr w:rsidR="003B25CE" w:rsidRPr="00DE12A3" w14:paraId="47CCA15A" w14:textId="77777777" w:rsidTr="003B25CE">
        <w:trPr>
          <w:trHeight w:val="947"/>
          <w:jc w:val="center"/>
        </w:trPr>
        <w:tc>
          <w:tcPr>
            <w:tcW w:w="5999" w:type="dxa"/>
          </w:tcPr>
          <w:p w14:paraId="784C2EDB" w14:textId="59B87C67" w:rsidR="003B25CE" w:rsidRPr="00DE12A3" w:rsidRDefault="003B25CE" w:rsidP="00C917D6">
            <w:pPr>
              <w:pStyle w:val="NormalLeft"/>
            </w:pPr>
            <w:r w:rsidRPr="00DE12A3">
              <w:rPr>
                <w:noProof/>
                <w:lang w:val="tr-TR"/>
              </w:rPr>
              <w:drawing>
                <wp:inline distT="0" distB="0" distL="0" distR="0" wp14:anchorId="343E42FC" wp14:editId="7490747E">
                  <wp:extent cx="3215640" cy="457200"/>
                  <wp:effectExtent l="0" t="0" r="3810" b="0"/>
                  <wp:docPr id="33" name="Resim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3215640" cy="457200"/>
                          </a:xfrm>
                          <a:prstGeom prst="rect">
                            <a:avLst/>
                          </a:prstGeom>
                          <a:noFill/>
                          <a:ln>
                            <a:noFill/>
                          </a:ln>
                        </pic:spPr>
                      </pic:pic>
                    </a:graphicData>
                  </a:graphic>
                </wp:inline>
              </w:drawing>
            </w:r>
          </w:p>
        </w:tc>
        <w:tc>
          <w:tcPr>
            <w:tcW w:w="1894" w:type="dxa"/>
          </w:tcPr>
          <w:p w14:paraId="1DAE6E5D" w14:textId="77777777" w:rsidR="003B25CE" w:rsidRPr="00DE12A3" w:rsidRDefault="003B25CE" w:rsidP="00C917D6">
            <w:pPr>
              <w:pStyle w:val="NormalLeft"/>
            </w:pPr>
            <w:r w:rsidRPr="00DE12A3">
              <w:t>(6-16)</w:t>
            </w:r>
          </w:p>
        </w:tc>
      </w:tr>
    </w:tbl>
    <w:p w14:paraId="1056E30C" w14:textId="77777777" w:rsidR="002D7B36" w:rsidRPr="00DE12A3" w:rsidRDefault="002D7B36" w:rsidP="00C917D6">
      <w:pPr>
        <w:pStyle w:val="Gvdemetni250"/>
        <w:spacing w:before="120" w:after="120" w:line="240" w:lineRule="auto"/>
        <w:ind w:left="1134" w:hanging="1134"/>
        <w:rPr>
          <w:b/>
          <w:bCs/>
          <w:sz w:val="24"/>
          <w:szCs w:val="24"/>
        </w:rPr>
      </w:pPr>
    </w:p>
    <w:p w14:paraId="705105AB" w14:textId="77777777" w:rsidR="002D7B36" w:rsidRPr="00DE12A3" w:rsidRDefault="00242DA0" w:rsidP="00C917D6">
      <w:pPr>
        <w:pStyle w:val="Gvdemetni250"/>
        <w:shd w:val="clear" w:color="auto" w:fill="auto"/>
        <w:spacing w:before="120" w:after="120" w:line="240" w:lineRule="auto"/>
        <w:ind w:left="1134" w:firstLine="0"/>
        <w:rPr>
          <w:sz w:val="24"/>
          <w:szCs w:val="24"/>
        </w:rPr>
      </w:pPr>
      <w:r w:rsidRPr="00DE12A3">
        <w:rPr>
          <w:sz w:val="24"/>
          <w:szCs w:val="24"/>
        </w:rPr>
        <w:t>7.7.2.2 bendinde belirlenen ilgili referans devir için</w:t>
      </w:r>
    </w:p>
    <w:p w14:paraId="6F5367CE" w14:textId="77777777" w:rsidR="002D7B36" w:rsidRPr="00DE12A3" w:rsidRDefault="00242DA0" w:rsidP="00C917D6">
      <w:pPr>
        <w:pStyle w:val="Gvdemetni250"/>
        <w:shd w:val="clear" w:color="auto" w:fill="auto"/>
        <w:spacing w:before="120" w:after="120" w:line="240" w:lineRule="auto"/>
        <w:ind w:left="1134" w:firstLine="0"/>
        <w:rPr>
          <w:sz w:val="24"/>
          <w:szCs w:val="24"/>
        </w:rPr>
      </w:pPr>
      <w:r w:rsidRPr="00DE12A3">
        <w:rPr>
          <w:sz w:val="24"/>
          <w:szCs w:val="24"/>
        </w:rPr>
        <w:t>Burada:</w:t>
      </w:r>
    </w:p>
    <w:p w14:paraId="6DC23F3F" w14:textId="79020CEB" w:rsidR="002D7B36" w:rsidRPr="00DE12A3" w:rsidRDefault="00242DA0" w:rsidP="00C917D6">
      <w:pPr>
        <w:pStyle w:val="Gvdemetni250"/>
        <w:shd w:val="clear" w:color="auto" w:fill="auto"/>
        <w:tabs>
          <w:tab w:val="right" w:pos="5658"/>
        </w:tabs>
        <w:spacing w:before="120" w:after="120" w:line="240" w:lineRule="auto"/>
        <w:ind w:left="1134" w:firstLine="0"/>
        <w:rPr>
          <w:sz w:val="24"/>
          <w:szCs w:val="24"/>
        </w:rPr>
      </w:pPr>
      <w:r w:rsidRPr="00DE12A3">
        <w:rPr>
          <w:rStyle w:val="Gvdemetni254pttalik0ptbolukbraklyor"/>
          <w:color w:val="auto"/>
          <w:sz w:val="24"/>
          <w:szCs w:val="24"/>
        </w:rPr>
        <w:t>T</w:t>
      </w:r>
      <w:r w:rsidRPr="00DE12A3">
        <w:rPr>
          <w:sz w:val="24"/>
          <w:szCs w:val="24"/>
          <w:vertAlign w:val="subscript"/>
        </w:rPr>
        <w:t>ref</w:t>
      </w:r>
      <w:r w:rsidRPr="00DE12A3">
        <w:rPr>
          <w:sz w:val="24"/>
          <w:szCs w:val="24"/>
        </w:rPr>
        <w:tab/>
      </w:r>
      <w:r w:rsidR="00675CA7" w:rsidRPr="00DE12A3">
        <w:rPr>
          <w:sz w:val="24"/>
          <w:szCs w:val="24"/>
        </w:rPr>
        <w:t>=</w:t>
      </w:r>
      <w:r w:rsidRPr="00DE12A3">
        <w:rPr>
          <w:sz w:val="24"/>
          <w:szCs w:val="24"/>
        </w:rPr>
        <w:t>ilgili referans devir için referans tork</w:t>
      </w:r>
    </w:p>
    <w:p w14:paraId="50014600" w14:textId="5EB69226" w:rsidR="002D7B36" w:rsidRPr="00DE12A3" w:rsidRDefault="00242DA0" w:rsidP="00C917D6">
      <w:pPr>
        <w:pStyle w:val="Gvdemetni250"/>
        <w:shd w:val="clear" w:color="auto" w:fill="auto"/>
        <w:tabs>
          <w:tab w:val="right" w:pos="5658"/>
        </w:tabs>
        <w:spacing w:before="120" w:after="120" w:line="240" w:lineRule="auto"/>
        <w:ind w:left="1134" w:firstLine="0"/>
        <w:rPr>
          <w:sz w:val="24"/>
          <w:szCs w:val="24"/>
        </w:rPr>
      </w:pPr>
      <w:r w:rsidRPr="00DE12A3">
        <w:rPr>
          <w:rStyle w:val="Gvdemetni254pttalik0ptbolukbraklyor"/>
          <w:color w:val="auto"/>
          <w:sz w:val="24"/>
          <w:szCs w:val="24"/>
        </w:rPr>
        <w:t>max.torque</w:t>
      </w:r>
      <w:r w:rsidRPr="00DE12A3">
        <w:rPr>
          <w:sz w:val="24"/>
          <w:szCs w:val="24"/>
        </w:rPr>
        <w:tab/>
      </w:r>
      <w:r w:rsidR="00675CA7" w:rsidRPr="00DE12A3">
        <w:rPr>
          <w:sz w:val="24"/>
          <w:szCs w:val="24"/>
        </w:rPr>
        <w:t xml:space="preserve"> =</w:t>
      </w:r>
      <w:r w:rsidRPr="00DE12A3">
        <w:rPr>
          <w:sz w:val="24"/>
          <w:szCs w:val="24"/>
        </w:rPr>
        <w:t>7.6.2 bendi uyarınca gerçekleştirilen motor eşlemesinden alınan, gerektiğinde 7.7.2.3(b) bendi uyarınca ayarlanan, ilgili test devri için azami torktur.</w:t>
      </w:r>
    </w:p>
    <w:p w14:paraId="5BE7606A" w14:textId="1D11A289" w:rsidR="002D7B36" w:rsidRPr="00DE12A3" w:rsidRDefault="00242DA0" w:rsidP="00C917D6">
      <w:pPr>
        <w:pStyle w:val="Gvdemetni250"/>
        <w:shd w:val="clear" w:color="auto" w:fill="auto"/>
        <w:tabs>
          <w:tab w:val="right" w:pos="5658"/>
        </w:tabs>
        <w:spacing w:before="120" w:after="120" w:line="240" w:lineRule="auto"/>
        <w:ind w:left="1134" w:firstLine="0"/>
        <w:rPr>
          <w:sz w:val="24"/>
          <w:szCs w:val="24"/>
        </w:rPr>
      </w:pPr>
      <w:r w:rsidRPr="00DE12A3">
        <w:rPr>
          <w:rStyle w:val="Gvdemetni254pttalik0ptbolukbraklyor"/>
          <w:color w:val="auto"/>
          <w:sz w:val="24"/>
          <w:szCs w:val="24"/>
        </w:rPr>
        <w:t>%torque</w:t>
      </w:r>
      <w:r w:rsidRPr="00DE12A3">
        <w:rPr>
          <w:sz w:val="24"/>
          <w:szCs w:val="24"/>
        </w:rPr>
        <w:tab/>
      </w:r>
      <w:r w:rsidR="00483E27" w:rsidRPr="00DE12A3">
        <w:rPr>
          <w:sz w:val="24"/>
          <w:szCs w:val="24"/>
        </w:rPr>
        <w:t xml:space="preserve">  </w:t>
      </w:r>
      <w:r w:rsidR="00675CA7" w:rsidRPr="00DE12A3">
        <w:rPr>
          <w:sz w:val="24"/>
          <w:szCs w:val="24"/>
        </w:rPr>
        <w:t>=</w:t>
      </w:r>
      <w:r w:rsidRPr="00DE12A3">
        <w:rPr>
          <w:sz w:val="24"/>
          <w:szCs w:val="24"/>
        </w:rPr>
        <w:t>X</w:t>
      </w:r>
      <w:r w:rsidR="00FA0678" w:rsidRPr="00DE12A3">
        <w:rPr>
          <w:sz w:val="24"/>
          <w:szCs w:val="24"/>
        </w:rPr>
        <w:t xml:space="preserve">VII’nci </w:t>
      </w:r>
      <w:r w:rsidR="00483E27" w:rsidRPr="00DE12A3">
        <w:rPr>
          <w:sz w:val="24"/>
          <w:szCs w:val="24"/>
        </w:rPr>
        <w:t>E</w:t>
      </w:r>
      <w:r w:rsidR="00FA0678" w:rsidRPr="00DE12A3">
        <w:rPr>
          <w:sz w:val="24"/>
          <w:szCs w:val="24"/>
        </w:rPr>
        <w:t>k</w:t>
      </w:r>
      <w:r w:rsidRPr="00DE12A3">
        <w:rPr>
          <w:sz w:val="24"/>
          <w:szCs w:val="24"/>
        </w:rPr>
        <w:t xml:space="preserve">in </w:t>
      </w:r>
      <w:r w:rsidR="00CD23C3" w:rsidRPr="00DE12A3">
        <w:rPr>
          <w:sz w:val="24"/>
          <w:szCs w:val="24"/>
        </w:rPr>
        <w:t>3. Açıklayıcı Ek</w:t>
      </w:r>
      <w:r w:rsidR="00483E27" w:rsidRPr="00DE12A3">
        <w:rPr>
          <w:sz w:val="24"/>
          <w:szCs w:val="24"/>
        </w:rPr>
        <w:t>i</w:t>
      </w:r>
      <w:r w:rsidRPr="00DE12A3">
        <w:rPr>
          <w:sz w:val="24"/>
          <w:szCs w:val="24"/>
        </w:rPr>
        <w:t>nden alınan NRTC veya LSI-NRTC normalize edilmiş tork değeridir.</w:t>
      </w:r>
    </w:p>
    <w:p w14:paraId="566AAA5B" w14:textId="77777777" w:rsidR="002D7B36" w:rsidRPr="00DE12A3" w:rsidRDefault="003B25CE" w:rsidP="00E20716">
      <w:pPr>
        <w:pStyle w:val="Gvdemetni250"/>
        <w:numPr>
          <w:ilvl w:val="0"/>
          <w:numId w:val="180"/>
        </w:numPr>
        <w:shd w:val="clear" w:color="auto" w:fill="auto"/>
        <w:spacing w:before="120" w:after="120" w:line="240" w:lineRule="auto"/>
        <w:ind w:left="1701" w:hanging="567"/>
        <w:rPr>
          <w:sz w:val="24"/>
          <w:szCs w:val="24"/>
        </w:rPr>
      </w:pPr>
      <w:r w:rsidRPr="00DE12A3">
        <w:rPr>
          <w:sz w:val="24"/>
          <w:szCs w:val="24"/>
        </w:rPr>
        <w:t xml:space="preserve">    </w:t>
      </w:r>
      <w:r w:rsidR="00242DA0" w:rsidRPr="00DE12A3">
        <w:rPr>
          <w:sz w:val="24"/>
          <w:szCs w:val="24"/>
        </w:rPr>
        <w:t>Beyan edilen asgari tork</w:t>
      </w:r>
    </w:p>
    <w:p w14:paraId="55165BD2" w14:textId="4895165E" w:rsidR="002D7B36" w:rsidRPr="00DE12A3" w:rsidRDefault="003B25CE" w:rsidP="00C917D6">
      <w:pPr>
        <w:pStyle w:val="Gvdemetni250"/>
        <w:shd w:val="clear" w:color="auto" w:fill="auto"/>
        <w:tabs>
          <w:tab w:val="left" w:pos="4347"/>
          <w:tab w:val="right" w:pos="5360"/>
          <w:tab w:val="right" w:pos="5632"/>
        </w:tabs>
        <w:spacing w:before="120" w:after="120" w:line="240" w:lineRule="auto"/>
        <w:ind w:left="1701" w:hanging="567"/>
        <w:rPr>
          <w:sz w:val="24"/>
          <w:szCs w:val="24"/>
        </w:rPr>
      </w:pPr>
      <w:r w:rsidRPr="00DE12A3">
        <w:rPr>
          <w:sz w:val="24"/>
          <w:szCs w:val="24"/>
        </w:rPr>
        <w:t xml:space="preserve">         </w:t>
      </w:r>
      <w:r w:rsidR="00242DA0" w:rsidRPr="00DE12A3">
        <w:rPr>
          <w:sz w:val="24"/>
          <w:szCs w:val="24"/>
        </w:rPr>
        <w:t>Hizmet içi çalışmayı temsil eden bir asgari tork beyan edilebilir. Örneğin, motor tipik olarak belirli bir asgari tork altında çalışmayan, karayolu dışında kullanılan bir hareketli makinaya bağlıysa, aksi takdirde bu değerin altına düşecek herhangi bir yük noktası için bu tork beyan edilebilir ve kullanılabilir</w:t>
      </w:r>
      <w:r w:rsidR="00675CA7" w:rsidRPr="00DE12A3">
        <w:rPr>
          <w:sz w:val="24"/>
          <w:szCs w:val="24"/>
        </w:rPr>
        <w:t>.</w:t>
      </w:r>
    </w:p>
    <w:p w14:paraId="55CD5D4E" w14:textId="1A88019F" w:rsidR="002D7B36" w:rsidRPr="00DE12A3" w:rsidRDefault="00242DA0" w:rsidP="00E20716">
      <w:pPr>
        <w:pStyle w:val="Gvdemetni250"/>
        <w:numPr>
          <w:ilvl w:val="0"/>
          <w:numId w:val="180"/>
        </w:numPr>
        <w:shd w:val="clear" w:color="auto" w:fill="auto"/>
        <w:spacing w:before="120" w:after="120" w:line="240" w:lineRule="auto"/>
        <w:ind w:left="1701" w:hanging="567"/>
        <w:rPr>
          <w:sz w:val="24"/>
          <w:szCs w:val="24"/>
        </w:rPr>
      </w:pPr>
      <w:r w:rsidRPr="00DE12A3">
        <w:rPr>
          <w:sz w:val="24"/>
          <w:szCs w:val="24"/>
        </w:rPr>
        <w:t>Emisyon testi için takılan yardımcı cihazlar nedeniyle motor torkunun ayarlanması</w:t>
      </w:r>
      <w:r w:rsidR="00675CA7" w:rsidRPr="00DE12A3">
        <w:rPr>
          <w:sz w:val="24"/>
          <w:szCs w:val="24"/>
        </w:rPr>
        <w:t>.</w:t>
      </w:r>
    </w:p>
    <w:p w14:paraId="42816742" w14:textId="2D40813B" w:rsidR="002D7B36" w:rsidRPr="00DE12A3" w:rsidRDefault="003B25CE" w:rsidP="00C917D6">
      <w:pPr>
        <w:pStyle w:val="Gvdemetni250"/>
        <w:shd w:val="clear" w:color="auto" w:fill="auto"/>
        <w:spacing w:before="120" w:after="120" w:line="240" w:lineRule="auto"/>
        <w:ind w:left="1134" w:hanging="1134"/>
        <w:rPr>
          <w:sz w:val="24"/>
          <w:szCs w:val="24"/>
        </w:rPr>
      </w:pPr>
      <w:r w:rsidRPr="00DE12A3">
        <w:rPr>
          <w:sz w:val="24"/>
          <w:szCs w:val="24"/>
        </w:rPr>
        <w:t xml:space="preserve">                 </w:t>
      </w:r>
      <w:r w:rsidR="0007544E" w:rsidRPr="00DE12A3">
        <w:rPr>
          <w:sz w:val="24"/>
          <w:szCs w:val="24"/>
        </w:rPr>
        <w:t>2. Açıklayıcı Ek</w:t>
      </w:r>
      <w:r w:rsidR="003C361A" w:rsidRPr="00DE12A3">
        <w:rPr>
          <w:sz w:val="24"/>
          <w:szCs w:val="24"/>
        </w:rPr>
        <w:t xml:space="preserve"> </w:t>
      </w:r>
      <w:r w:rsidR="00242DA0" w:rsidRPr="00DE12A3">
        <w:rPr>
          <w:sz w:val="24"/>
          <w:szCs w:val="24"/>
        </w:rPr>
        <w:t>uyarınca yardımcı cihazların takıldığı durumlarda, 7.6.2 bendine göre yapılan motor eşlemesinden alınan ilgili test devri için azami tork üzerinde ayarlama yapılmaz.</w:t>
      </w:r>
    </w:p>
    <w:p w14:paraId="7963145B" w14:textId="6FEFA48F" w:rsidR="002D7B36" w:rsidRPr="00DE12A3" w:rsidRDefault="003B25CE" w:rsidP="00C917D6">
      <w:pPr>
        <w:pStyle w:val="Gvdemetni250"/>
        <w:shd w:val="clear" w:color="auto" w:fill="auto"/>
        <w:spacing w:before="120" w:after="120" w:line="240" w:lineRule="auto"/>
        <w:ind w:left="1134" w:hanging="1134"/>
        <w:rPr>
          <w:sz w:val="24"/>
          <w:szCs w:val="24"/>
        </w:rPr>
      </w:pPr>
      <w:r w:rsidRPr="00DE12A3">
        <w:rPr>
          <w:sz w:val="24"/>
          <w:szCs w:val="24"/>
        </w:rPr>
        <w:t xml:space="preserve">                  </w:t>
      </w:r>
      <w:r w:rsidR="00242DA0" w:rsidRPr="00DE12A3">
        <w:rPr>
          <w:sz w:val="24"/>
          <w:szCs w:val="24"/>
        </w:rPr>
        <w:t xml:space="preserve">6.3.2 veya 6.3.3 bendine göre, test için takılmış olması gereken yardımcı cihazların monte edilmemiş olması veya test için sökülmüş olması gereken </w:t>
      </w:r>
      <w:r w:rsidR="00242DA0" w:rsidRPr="00DE12A3">
        <w:rPr>
          <w:sz w:val="24"/>
          <w:szCs w:val="24"/>
        </w:rPr>
        <w:lastRenderedPageBreak/>
        <w:t xml:space="preserve">yardımcı cihazların takılı olması durumunda, </w:t>
      </w:r>
      <w:r w:rsidR="00242DA0" w:rsidRPr="00DE12A3">
        <w:rPr>
          <w:i/>
          <w:iCs/>
          <w:sz w:val="24"/>
          <w:szCs w:val="24"/>
        </w:rPr>
        <w:t>T</w:t>
      </w:r>
      <w:r w:rsidR="00242DA0" w:rsidRPr="00DE12A3">
        <w:rPr>
          <w:sz w:val="24"/>
          <w:szCs w:val="24"/>
          <w:vertAlign w:val="subscript"/>
        </w:rPr>
        <w:t>max</w:t>
      </w:r>
      <w:r w:rsidR="00242DA0" w:rsidRPr="00DE12A3">
        <w:rPr>
          <w:sz w:val="24"/>
          <w:szCs w:val="24"/>
        </w:rPr>
        <w:t xml:space="preserve"> değeri (6-17) </w:t>
      </w:r>
      <w:r w:rsidR="005E1C7E" w:rsidRPr="00DE12A3">
        <w:rPr>
          <w:sz w:val="24"/>
          <w:szCs w:val="24"/>
        </w:rPr>
        <w:t>numaralı</w:t>
      </w:r>
      <w:r w:rsidR="005E1C7E" w:rsidRPr="00DE12A3" w:rsidDel="005E1C7E">
        <w:rPr>
          <w:sz w:val="24"/>
          <w:szCs w:val="24"/>
        </w:rPr>
        <w:t xml:space="preserve"> </w:t>
      </w:r>
      <w:r w:rsidR="00242DA0" w:rsidRPr="00DE12A3">
        <w:rPr>
          <w:sz w:val="24"/>
          <w:szCs w:val="24"/>
        </w:rPr>
        <w:t>denklem aracılığıyla ayarlanır.</w:t>
      </w:r>
    </w:p>
    <w:tbl>
      <w:tblPr>
        <w:tblW w:w="0" w:type="auto"/>
        <w:jc w:val="center"/>
        <w:tblLayout w:type="fixed"/>
        <w:tblLook w:val="0000" w:firstRow="0" w:lastRow="0" w:firstColumn="0" w:lastColumn="0" w:noHBand="0" w:noVBand="0"/>
      </w:tblPr>
      <w:tblGrid>
        <w:gridCol w:w="3220"/>
        <w:gridCol w:w="1192"/>
      </w:tblGrid>
      <w:tr w:rsidR="00DE12A3" w:rsidRPr="00DE12A3" w14:paraId="18E4A833" w14:textId="77777777" w:rsidTr="003357F9">
        <w:trPr>
          <w:trHeight w:val="638"/>
          <w:jc w:val="center"/>
        </w:trPr>
        <w:tc>
          <w:tcPr>
            <w:tcW w:w="3220" w:type="dxa"/>
          </w:tcPr>
          <w:p w14:paraId="6910EEE7" w14:textId="77777777" w:rsidR="003357F9" w:rsidRPr="00DE12A3" w:rsidRDefault="003357F9" w:rsidP="00C917D6">
            <w:pPr>
              <w:pStyle w:val="NormalLeft"/>
            </w:pPr>
            <w:r w:rsidRPr="00DE12A3">
              <w:rPr>
                <w:i/>
                <w:iCs/>
              </w:rPr>
              <w:t>T</w:t>
            </w:r>
            <w:r w:rsidRPr="00DE12A3">
              <w:rPr>
                <w:vertAlign w:val="subscript"/>
              </w:rPr>
              <w:t>max</w:t>
            </w:r>
            <w:r w:rsidRPr="00DE12A3">
              <w:t xml:space="preserve"> = </w:t>
            </w:r>
            <w:r w:rsidRPr="00DE12A3">
              <w:rPr>
                <w:i/>
                <w:iCs/>
              </w:rPr>
              <w:t>T</w:t>
            </w:r>
            <w:r w:rsidRPr="00DE12A3">
              <w:rPr>
                <w:vertAlign w:val="subscript"/>
              </w:rPr>
              <w:t>map</w:t>
            </w:r>
            <w:r w:rsidRPr="00DE12A3">
              <w:t xml:space="preserve"> – </w:t>
            </w:r>
            <w:r w:rsidRPr="00DE12A3">
              <w:rPr>
                <w:i/>
                <w:iCs/>
              </w:rPr>
              <w:t>T</w:t>
            </w:r>
            <w:r w:rsidRPr="00DE12A3">
              <w:rPr>
                <w:vertAlign w:val="subscript"/>
              </w:rPr>
              <w:t>AUX</w:t>
            </w:r>
          </w:p>
        </w:tc>
        <w:tc>
          <w:tcPr>
            <w:tcW w:w="1192" w:type="dxa"/>
          </w:tcPr>
          <w:p w14:paraId="49A9F9E5" w14:textId="77777777" w:rsidR="003357F9" w:rsidRPr="00DE12A3" w:rsidRDefault="003357F9" w:rsidP="00C917D6">
            <w:pPr>
              <w:pStyle w:val="NormalLeft"/>
            </w:pPr>
            <w:r w:rsidRPr="00DE12A3">
              <w:t>(6-17)</w:t>
            </w:r>
          </w:p>
        </w:tc>
      </w:tr>
    </w:tbl>
    <w:p w14:paraId="1715767C" w14:textId="6F768E5D" w:rsidR="003357F9" w:rsidRPr="00DE12A3" w:rsidRDefault="00675CA7" w:rsidP="00C917D6">
      <w:pPr>
        <w:pStyle w:val="Gvdemetni250"/>
        <w:shd w:val="clear" w:color="auto" w:fill="auto"/>
        <w:tabs>
          <w:tab w:val="left" w:pos="1134"/>
        </w:tabs>
        <w:spacing w:before="120" w:after="120" w:line="240" w:lineRule="auto"/>
        <w:ind w:left="1134" w:firstLine="0"/>
        <w:jc w:val="left"/>
        <w:rPr>
          <w:sz w:val="24"/>
          <w:szCs w:val="24"/>
        </w:rPr>
      </w:pPr>
      <w:r w:rsidRPr="00DE12A3">
        <w:rPr>
          <w:sz w:val="24"/>
          <w:szCs w:val="24"/>
        </w:rPr>
        <w:tab/>
      </w:r>
      <w:r w:rsidRPr="00DE12A3">
        <w:rPr>
          <w:sz w:val="24"/>
          <w:szCs w:val="24"/>
        </w:rPr>
        <w:tab/>
      </w:r>
      <w:r w:rsidRPr="00DE12A3">
        <w:rPr>
          <w:sz w:val="24"/>
          <w:szCs w:val="24"/>
        </w:rPr>
        <w:tab/>
      </w:r>
      <w:r w:rsidRPr="00DE12A3">
        <w:rPr>
          <w:sz w:val="24"/>
          <w:szCs w:val="24"/>
        </w:rPr>
        <w:tab/>
      </w:r>
      <w:r w:rsidR="003357F9" w:rsidRPr="00DE12A3">
        <w:rPr>
          <w:sz w:val="24"/>
          <w:szCs w:val="24"/>
        </w:rPr>
        <w:t>ve</w:t>
      </w:r>
    </w:p>
    <w:p w14:paraId="2D6F313D" w14:textId="77777777" w:rsidR="003357F9" w:rsidRPr="00DE12A3" w:rsidRDefault="003357F9" w:rsidP="00C917D6">
      <w:pPr>
        <w:pStyle w:val="Gvdemetni250"/>
        <w:shd w:val="clear" w:color="auto" w:fill="auto"/>
        <w:spacing w:before="120" w:after="120" w:line="240" w:lineRule="auto"/>
        <w:ind w:firstLine="0"/>
        <w:rPr>
          <w:sz w:val="24"/>
          <w:szCs w:val="24"/>
        </w:rPr>
      </w:pPr>
    </w:p>
    <w:tbl>
      <w:tblPr>
        <w:tblW w:w="0" w:type="auto"/>
        <w:jc w:val="center"/>
        <w:tblLayout w:type="fixed"/>
        <w:tblLook w:val="0000" w:firstRow="0" w:lastRow="0" w:firstColumn="0" w:lastColumn="0" w:noHBand="0" w:noVBand="0"/>
      </w:tblPr>
      <w:tblGrid>
        <w:gridCol w:w="2869"/>
        <w:gridCol w:w="1352"/>
      </w:tblGrid>
      <w:tr w:rsidR="003357F9" w:rsidRPr="00DE12A3" w14:paraId="6F847936" w14:textId="77777777" w:rsidTr="003357F9">
        <w:trPr>
          <w:trHeight w:val="589"/>
          <w:jc w:val="center"/>
        </w:trPr>
        <w:tc>
          <w:tcPr>
            <w:tcW w:w="2869" w:type="dxa"/>
          </w:tcPr>
          <w:p w14:paraId="1DC0C1DC" w14:textId="77777777" w:rsidR="003357F9" w:rsidRPr="00DE12A3" w:rsidRDefault="003357F9" w:rsidP="00C917D6">
            <w:pPr>
              <w:pStyle w:val="NormalLeft"/>
            </w:pPr>
            <w:r w:rsidRPr="00DE12A3">
              <w:t>T</w:t>
            </w:r>
            <w:r w:rsidRPr="00DE12A3">
              <w:rPr>
                <w:vertAlign w:val="subscript"/>
              </w:rPr>
              <w:t>AUX</w:t>
            </w:r>
            <w:r w:rsidRPr="00DE12A3">
              <w:t xml:space="preserve"> = T</w:t>
            </w:r>
            <w:r w:rsidRPr="00DE12A3">
              <w:rPr>
                <w:vertAlign w:val="subscript"/>
              </w:rPr>
              <w:t>r</w:t>
            </w:r>
            <w:r w:rsidRPr="00DE12A3">
              <w:t xml:space="preserve"> – T</w:t>
            </w:r>
            <w:r w:rsidRPr="00DE12A3">
              <w:rPr>
                <w:vertAlign w:val="subscript"/>
              </w:rPr>
              <w:t>f</w:t>
            </w:r>
          </w:p>
        </w:tc>
        <w:tc>
          <w:tcPr>
            <w:tcW w:w="1352" w:type="dxa"/>
          </w:tcPr>
          <w:p w14:paraId="06D9E074" w14:textId="77777777" w:rsidR="003357F9" w:rsidRPr="00DE12A3" w:rsidRDefault="003357F9" w:rsidP="00C917D6">
            <w:pPr>
              <w:pStyle w:val="NormalLeft"/>
            </w:pPr>
            <w:r w:rsidRPr="00DE12A3">
              <w:t>(6-18)</w:t>
            </w:r>
          </w:p>
        </w:tc>
      </w:tr>
    </w:tbl>
    <w:p w14:paraId="482AF9DD" w14:textId="77777777" w:rsidR="002D7B36" w:rsidRPr="00DE12A3" w:rsidRDefault="002D7B36" w:rsidP="00C917D6">
      <w:pPr>
        <w:pStyle w:val="Gvdemetni250"/>
        <w:shd w:val="clear" w:color="auto" w:fill="auto"/>
        <w:spacing w:before="120" w:after="120" w:line="240" w:lineRule="auto"/>
        <w:ind w:left="1134" w:hanging="1134"/>
        <w:rPr>
          <w:sz w:val="24"/>
          <w:szCs w:val="24"/>
        </w:rPr>
      </w:pPr>
    </w:p>
    <w:p w14:paraId="33C066D5" w14:textId="77777777" w:rsidR="002D7B36" w:rsidRPr="00DE12A3" w:rsidRDefault="003357F9" w:rsidP="00C917D6">
      <w:pPr>
        <w:pStyle w:val="Gvdemetni250"/>
        <w:shd w:val="clear" w:color="auto" w:fill="auto"/>
        <w:spacing w:before="120" w:after="120" w:line="240" w:lineRule="auto"/>
        <w:ind w:left="1134" w:firstLine="0"/>
        <w:rPr>
          <w:sz w:val="24"/>
          <w:szCs w:val="24"/>
        </w:rPr>
      </w:pPr>
      <w:r w:rsidRPr="00DE12A3">
        <w:rPr>
          <w:sz w:val="24"/>
          <w:szCs w:val="24"/>
        </w:rPr>
        <w:t>B</w:t>
      </w:r>
      <w:r w:rsidR="00242DA0" w:rsidRPr="00DE12A3">
        <w:rPr>
          <w:sz w:val="24"/>
          <w:szCs w:val="24"/>
        </w:rPr>
        <w:t>urada:</w:t>
      </w:r>
    </w:p>
    <w:p w14:paraId="7735C128" w14:textId="5788F0EB" w:rsidR="002D7B36" w:rsidRPr="00DE12A3" w:rsidRDefault="00242DA0" w:rsidP="00C917D6">
      <w:pPr>
        <w:pStyle w:val="Gvdemetni250"/>
        <w:shd w:val="clear" w:color="auto" w:fill="auto"/>
        <w:tabs>
          <w:tab w:val="right" w:pos="2463"/>
        </w:tabs>
        <w:spacing w:before="120" w:after="120" w:line="240" w:lineRule="auto"/>
        <w:ind w:left="1134" w:firstLine="0"/>
        <w:rPr>
          <w:sz w:val="24"/>
          <w:szCs w:val="24"/>
        </w:rPr>
      </w:pPr>
      <w:r w:rsidRPr="00DE12A3">
        <w:rPr>
          <w:rStyle w:val="Gvdemetni254pttalik0ptbolukbraklyor"/>
          <w:color w:val="auto"/>
          <w:sz w:val="24"/>
          <w:szCs w:val="24"/>
        </w:rPr>
        <w:t>T</w:t>
      </w:r>
      <w:r w:rsidRPr="00DE12A3">
        <w:rPr>
          <w:sz w:val="24"/>
          <w:szCs w:val="24"/>
          <w:vertAlign w:val="subscript"/>
        </w:rPr>
        <w:t>map</w:t>
      </w:r>
      <w:r w:rsidRPr="00DE12A3">
        <w:rPr>
          <w:sz w:val="24"/>
          <w:szCs w:val="24"/>
        </w:rPr>
        <w:tab/>
      </w:r>
      <w:r w:rsidR="003357F9" w:rsidRPr="00DE12A3">
        <w:rPr>
          <w:sz w:val="24"/>
          <w:szCs w:val="24"/>
        </w:rPr>
        <w:t xml:space="preserve"> ,  </w:t>
      </w:r>
      <w:r w:rsidRPr="00DE12A3">
        <w:rPr>
          <w:sz w:val="24"/>
          <w:szCs w:val="24"/>
        </w:rPr>
        <w:t>7.6.2 bendi uyarınca gerçekleştirilen motor eşlemesinden alınan, ilgili test devri için ayarlanmamış azami torktur</w:t>
      </w:r>
      <w:r w:rsidR="003357F9" w:rsidRPr="00DE12A3">
        <w:rPr>
          <w:sz w:val="24"/>
          <w:szCs w:val="24"/>
        </w:rPr>
        <w:t>.</w:t>
      </w:r>
    </w:p>
    <w:p w14:paraId="64401C2E" w14:textId="3B8F41A9" w:rsidR="002D7B36" w:rsidRPr="00DE12A3" w:rsidRDefault="00242DA0" w:rsidP="00C917D6">
      <w:pPr>
        <w:pStyle w:val="Gvdemetni250"/>
        <w:shd w:val="clear" w:color="auto" w:fill="auto"/>
        <w:tabs>
          <w:tab w:val="right" w:pos="2463"/>
          <w:tab w:val="right" w:pos="3277"/>
          <w:tab w:val="right" w:pos="5632"/>
        </w:tabs>
        <w:spacing w:before="120" w:after="120" w:line="240" w:lineRule="auto"/>
        <w:ind w:left="1134" w:firstLine="0"/>
        <w:rPr>
          <w:sz w:val="24"/>
          <w:szCs w:val="24"/>
        </w:rPr>
      </w:pPr>
      <w:r w:rsidRPr="00DE12A3">
        <w:rPr>
          <w:rStyle w:val="Gvdemetni254pttalik0ptbolukbraklyor"/>
          <w:color w:val="auto"/>
          <w:sz w:val="24"/>
          <w:szCs w:val="24"/>
        </w:rPr>
        <w:t>T</w:t>
      </w:r>
      <w:r w:rsidRPr="00DE12A3">
        <w:rPr>
          <w:sz w:val="24"/>
          <w:szCs w:val="24"/>
          <w:vertAlign w:val="subscript"/>
        </w:rPr>
        <w:t>f</w:t>
      </w:r>
      <w:r w:rsidRPr="00DE12A3">
        <w:rPr>
          <w:sz w:val="24"/>
          <w:szCs w:val="24"/>
        </w:rPr>
        <w:tab/>
      </w:r>
      <w:r w:rsidR="003357F9" w:rsidRPr="00DE12A3">
        <w:rPr>
          <w:sz w:val="24"/>
          <w:szCs w:val="24"/>
        </w:rPr>
        <w:t>, test</w:t>
      </w:r>
      <w:r w:rsidRPr="00DE12A3">
        <w:rPr>
          <w:sz w:val="24"/>
          <w:szCs w:val="24"/>
        </w:rPr>
        <w:t xml:space="preserve"> için takılmış olması gereken, ancak monte edilmemiş olan yardımcı cihazları çalıştırmak için gereken tork</w:t>
      </w:r>
      <w:r w:rsidR="003357F9" w:rsidRPr="00DE12A3">
        <w:rPr>
          <w:sz w:val="24"/>
          <w:szCs w:val="24"/>
        </w:rPr>
        <w:t>.</w:t>
      </w:r>
    </w:p>
    <w:p w14:paraId="0A860C45" w14:textId="01D6C584" w:rsidR="002D7B36" w:rsidRPr="00DE12A3" w:rsidRDefault="00242DA0" w:rsidP="00C917D6">
      <w:pPr>
        <w:pStyle w:val="Gvdemetni250"/>
        <w:shd w:val="clear" w:color="auto" w:fill="auto"/>
        <w:tabs>
          <w:tab w:val="right" w:pos="2463"/>
          <w:tab w:val="right" w:pos="3277"/>
          <w:tab w:val="right" w:pos="5632"/>
        </w:tabs>
        <w:spacing w:before="120" w:after="120" w:line="240" w:lineRule="auto"/>
        <w:ind w:left="1134" w:firstLine="0"/>
        <w:rPr>
          <w:sz w:val="24"/>
          <w:szCs w:val="24"/>
        </w:rPr>
      </w:pPr>
      <w:r w:rsidRPr="00DE12A3">
        <w:rPr>
          <w:rStyle w:val="Gvdemetni254pttalik0ptbolukbraklyor"/>
          <w:color w:val="auto"/>
          <w:sz w:val="24"/>
          <w:szCs w:val="24"/>
        </w:rPr>
        <w:t>T</w:t>
      </w:r>
      <w:r w:rsidRPr="00DE12A3">
        <w:rPr>
          <w:sz w:val="24"/>
          <w:szCs w:val="24"/>
        </w:rPr>
        <w:t>r</w:t>
      </w:r>
      <w:r w:rsidRPr="00DE12A3">
        <w:rPr>
          <w:sz w:val="24"/>
          <w:szCs w:val="24"/>
        </w:rPr>
        <w:tab/>
      </w:r>
      <w:r w:rsidR="003357F9" w:rsidRPr="00DE12A3">
        <w:rPr>
          <w:sz w:val="24"/>
          <w:szCs w:val="24"/>
        </w:rPr>
        <w:t xml:space="preserve">,  </w:t>
      </w:r>
      <w:r w:rsidRPr="00DE12A3">
        <w:rPr>
          <w:sz w:val="24"/>
          <w:szCs w:val="24"/>
        </w:rPr>
        <w:t>test için sökülmüş olması gereken, ancak monte edilmiş olan yardımcı cihazları çalıştırmak için gereken tork</w:t>
      </w:r>
      <w:r w:rsidR="003357F9" w:rsidRPr="00DE12A3">
        <w:rPr>
          <w:sz w:val="24"/>
          <w:szCs w:val="24"/>
        </w:rPr>
        <w:t>.</w:t>
      </w:r>
    </w:p>
    <w:p w14:paraId="53917AB2" w14:textId="77777777" w:rsidR="002D7B36" w:rsidRPr="00DE12A3" w:rsidRDefault="003357F9" w:rsidP="00E20716">
      <w:pPr>
        <w:pStyle w:val="Gvdemetni250"/>
        <w:numPr>
          <w:ilvl w:val="0"/>
          <w:numId w:val="181"/>
        </w:numPr>
        <w:shd w:val="clear" w:color="auto" w:fill="auto"/>
        <w:tabs>
          <w:tab w:val="left" w:pos="949"/>
          <w:tab w:val="left" w:pos="979"/>
        </w:tabs>
        <w:spacing w:before="120" w:after="120" w:line="240" w:lineRule="auto"/>
        <w:ind w:firstLine="0"/>
        <w:rPr>
          <w:sz w:val="24"/>
          <w:szCs w:val="24"/>
        </w:rPr>
      </w:pPr>
      <w:r w:rsidRPr="00DE12A3">
        <w:rPr>
          <w:sz w:val="24"/>
          <w:szCs w:val="24"/>
        </w:rPr>
        <w:t xml:space="preserve">   </w:t>
      </w:r>
      <w:r w:rsidR="00242DA0" w:rsidRPr="00DE12A3">
        <w:rPr>
          <w:sz w:val="24"/>
          <w:szCs w:val="24"/>
        </w:rPr>
        <w:t>Denormalizasyon prosedürü örneği</w:t>
      </w:r>
    </w:p>
    <w:p w14:paraId="0F1CF162" w14:textId="77777777" w:rsidR="002D7B36" w:rsidRPr="00DE12A3" w:rsidRDefault="00242DA0" w:rsidP="00C917D6">
      <w:pPr>
        <w:pStyle w:val="Gvdemetni250"/>
        <w:shd w:val="clear" w:color="auto" w:fill="auto"/>
        <w:spacing w:before="120" w:after="120" w:line="240" w:lineRule="auto"/>
        <w:ind w:left="1134" w:firstLine="0"/>
        <w:rPr>
          <w:sz w:val="24"/>
          <w:szCs w:val="24"/>
        </w:rPr>
      </w:pPr>
      <w:r w:rsidRPr="00DE12A3">
        <w:rPr>
          <w:sz w:val="24"/>
          <w:szCs w:val="24"/>
        </w:rPr>
        <w:t>Örnek olarak, aşağıdaki test noktası denormalize edilmelidir:</w:t>
      </w:r>
    </w:p>
    <w:p w14:paraId="6464F399" w14:textId="77777777" w:rsidR="002D7B36" w:rsidRPr="00DE12A3" w:rsidRDefault="00242DA0" w:rsidP="00C917D6">
      <w:pPr>
        <w:pStyle w:val="Gvdemetni250"/>
        <w:shd w:val="clear" w:color="auto" w:fill="auto"/>
        <w:spacing w:before="120" w:after="120" w:line="240" w:lineRule="auto"/>
        <w:ind w:left="1134" w:firstLine="0"/>
        <w:rPr>
          <w:sz w:val="24"/>
          <w:szCs w:val="24"/>
        </w:rPr>
      </w:pPr>
      <w:r w:rsidRPr="00DE12A3">
        <w:rPr>
          <w:sz w:val="24"/>
          <w:szCs w:val="24"/>
        </w:rPr>
        <w:t xml:space="preserve">% </w:t>
      </w:r>
      <w:r w:rsidRPr="00DE12A3">
        <w:rPr>
          <w:rStyle w:val="Gvdemetni254pttalik0ptbolukbraklyor"/>
          <w:color w:val="auto"/>
          <w:sz w:val="24"/>
          <w:szCs w:val="24"/>
        </w:rPr>
        <w:t>devir</w:t>
      </w:r>
      <w:r w:rsidRPr="00DE12A3">
        <w:rPr>
          <w:sz w:val="24"/>
          <w:szCs w:val="24"/>
        </w:rPr>
        <w:t xml:space="preserve"> = 43 %</w:t>
      </w:r>
    </w:p>
    <w:p w14:paraId="0FE21ADD" w14:textId="77777777" w:rsidR="002D7B36" w:rsidRPr="00DE12A3" w:rsidRDefault="00242DA0" w:rsidP="00C917D6">
      <w:pPr>
        <w:pStyle w:val="Gvdemetni250"/>
        <w:shd w:val="clear" w:color="auto" w:fill="auto"/>
        <w:spacing w:before="120" w:after="120" w:line="240" w:lineRule="auto"/>
        <w:ind w:left="1134" w:firstLine="0"/>
        <w:rPr>
          <w:sz w:val="24"/>
          <w:szCs w:val="24"/>
        </w:rPr>
      </w:pPr>
      <w:r w:rsidRPr="00DE12A3">
        <w:rPr>
          <w:sz w:val="24"/>
          <w:szCs w:val="24"/>
        </w:rPr>
        <w:t xml:space="preserve">% </w:t>
      </w:r>
      <w:r w:rsidRPr="00DE12A3">
        <w:rPr>
          <w:rStyle w:val="Gvdemetni254pttalik0ptbolukbraklyor"/>
          <w:color w:val="auto"/>
          <w:sz w:val="24"/>
          <w:szCs w:val="24"/>
        </w:rPr>
        <w:t>tork</w:t>
      </w:r>
      <w:r w:rsidRPr="00DE12A3">
        <w:rPr>
          <w:sz w:val="24"/>
          <w:szCs w:val="24"/>
        </w:rPr>
        <w:t xml:space="preserve"> = 82 %</w:t>
      </w:r>
    </w:p>
    <w:p w14:paraId="702D416F" w14:textId="77777777" w:rsidR="002D7B36" w:rsidRPr="00DE12A3" w:rsidRDefault="00242DA0" w:rsidP="00C917D6">
      <w:pPr>
        <w:pStyle w:val="Gvdemetni250"/>
        <w:shd w:val="clear" w:color="auto" w:fill="auto"/>
        <w:spacing w:before="120" w:after="120" w:line="240" w:lineRule="auto"/>
        <w:ind w:left="1134" w:firstLine="0"/>
        <w:rPr>
          <w:sz w:val="24"/>
          <w:szCs w:val="24"/>
        </w:rPr>
      </w:pPr>
      <w:r w:rsidRPr="00DE12A3">
        <w:rPr>
          <w:sz w:val="24"/>
          <w:szCs w:val="24"/>
        </w:rPr>
        <w:t>Aşağıdaki değerler göz önüne alındığında:</w:t>
      </w:r>
    </w:p>
    <w:p w14:paraId="13344586" w14:textId="77777777" w:rsidR="003357F9" w:rsidRPr="00DE12A3" w:rsidRDefault="003357F9" w:rsidP="00C917D6">
      <w:pPr>
        <w:spacing w:before="120" w:after="120"/>
        <w:ind w:left="1134"/>
        <w:rPr>
          <w:rFonts w:cs="Times New Roman"/>
          <w:color w:val="auto"/>
        </w:rPr>
      </w:pPr>
      <w:r w:rsidRPr="00DE12A3">
        <w:rPr>
          <w:rFonts w:cs="Times New Roman"/>
          <w:i/>
          <w:iCs/>
          <w:color w:val="auto"/>
        </w:rPr>
        <w:t>MTS</w:t>
      </w:r>
      <w:r w:rsidRPr="00DE12A3">
        <w:rPr>
          <w:rFonts w:cs="Times New Roman"/>
          <w:color w:val="auto"/>
        </w:rPr>
        <w:t xml:space="preserve"> = 2200 min</w:t>
      </w:r>
      <w:r w:rsidRPr="00DE12A3">
        <w:rPr>
          <w:rFonts w:cs="Times New Roman"/>
          <w:color w:val="auto"/>
          <w:vertAlign w:val="superscript"/>
        </w:rPr>
        <w:t>– 1</w:t>
      </w:r>
    </w:p>
    <w:p w14:paraId="575BE571" w14:textId="77777777" w:rsidR="003357F9" w:rsidRPr="00DE12A3" w:rsidRDefault="003357F9" w:rsidP="00C917D6">
      <w:pPr>
        <w:spacing w:before="120" w:after="120"/>
        <w:ind w:left="1134"/>
        <w:rPr>
          <w:rFonts w:cs="Times New Roman"/>
          <w:color w:val="auto"/>
        </w:rPr>
      </w:pPr>
      <w:r w:rsidRPr="00DE12A3">
        <w:rPr>
          <w:rFonts w:cs="Times New Roman"/>
          <w:i/>
          <w:iCs/>
          <w:color w:val="auto"/>
        </w:rPr>
        <w:t>n</w:t>
      </w:r>
      <w:r w:rsidR="00861C3B" w:rsidRPr="00DE12A3">
        <w:rPr>
          <w:rFonts w:cs="Times New Roman"/>
          <w:color w:val="auto"/>
          <w:vertAlign w:val="subscript"/>
        </w:rPr>
        <w:t>Rölanti</w:t>
      </w:r>
      <w:r w:rsidRPr="00DE12A3">
        <w:rPr>
          <w:rFonts w:cs="Times New Roman"/>
          <w:color w:val="auto"/>
        </w:rPr>
        <w:t xml:space="preserve"> = 600 min</w:t>
      </w:r>
      <w:r w:rsidRPr="00DE12A3">
        <w:rPr>
          <w:rFonts w:cs="Times New Roman"/>
          <w:color w:val="auto"/>
          <w:vertAlign w:val="superscript"/>
        </w:rPr>
        <w:t>– 1</w:t>
      </w:r>
    </w:p>
    <w:p w14:paraId="7B7E0FFE" w14:textId="77777777" w:rsidR="002D7B36" w:rsidRPr="00DE12A3" w:rsidRDefault="00242DA0" w:rsidP="00C917D6">
      <w:pPr>
        <w:pStyle w:val="Gvdemetni0"/>
        <w:shd w:val="clear" w:color="auto" w:fill="auto"/>
        <w:spacing w:before="120" w:after="120" w:line="240" w:lineRule="auto"/>
        <w:ind w:left="709" w:hanging="709"/>
        <w:jc w:val="both"/>
        <w:rPr>
          <w:rStyle w:val="Gvdemetni0ptbolukbraklyor"/>
          <w:color w:val="auto"/>
          <w:sz w:val="24"/>
          <w:szCs w:val="24"/>
        </w:rPr>
      </w:pPr>
      <w:r w:rsidRPr="00DE12A3">
        <w:rPr>
          <w:rStyle w:val="Gvdemetni0ptbolukbraklyor"/>
          <w:color w:val="auto"/>
          <w:sz w:val="24"/>
          <w:szCs w:val="24"/>
        </w:rPr>
        <w:t>şu sonuç çıkar:</w:t>
      </w:r>
    </w:p>
    <w:p w14:paraId="2E386B5A" w14:textId="32719260" w:rsidR="003357F9" w:rsidRPr="00DE12A3" w:rsidRDefault="00D7130B" w:rsidP="00C917D6">
      <w:pPr>
        <w:pStyle w:val="Gvdemetni0"/>
        <w:shd w:val="clear" w:color="auto" w:fill="auto"/>
        <w:spacing w:before="120" w:after="120" w:line="240" w:lineRule="auto"/>
        <w:ind w:left="709" w:hanging="709"/>
        <w:jc w:val="both"/>
        <w:rPr>
          <w:rStyle w:val="Gvdemetni0ptbolukbraklyor"/>
          <w:color w:val="auto"/>
          <w:sz w:val="20"/>
          <w:szCs w:val="20"/>
        </w:rPr>
      </w:pPr>
      <w:r w:rsidRPr="00DE12A3">
        <w:rPr>
          <w:noProof/>
          <w:lang w:eastAsia="tr-TR"/>
        </w:rPr>
        <w:drawing>
          <wp:inline distT="0" distB="0" distL="0" distR="0" wp14:anchorId="362CA7E2" wp14:editId="64D1F185">
            <wp:extent cx="4480560" cy="373380"/>
            <wp:effectExtent l="0" t="0" r="0" b="7620"/>
            <wp:docPr id="34" name="Resim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4480560" cy="373380"/>
                    </a:xfrm>
                    <a:prstGeom prst="rect">
                      <a:avLst/>
                    </a:prstGeom>
                    <a:noFill/>
                    <a:ln>
                      <a:noFill/>
                    </a:ln>
                  </pic:spPr>
                </pic:pic>
              </a:graphicData>
            </a:graphic>
          </wp:inline>
        </w:drawing>
      </w:r>
    </w:p>
    <w:p w14:paraId="457B1AB6" w14:textId="77777777" w:rsidR="002D7B36" w:rsidRPr="00DE12A3" w:rsidRDefault="002D7B36" w:rsidP="00C917D6">
      <w:pPr>
        <w:pStyle w:val="Gvdemetni0"/>
        <w:shd w:val="clear" w:color="auto" w:fill="auto"/>
        <w:spacing w:before="120" w:after="120" w:line="240" w:lineRule="auto"/>
        <w:ind w:left="709" w:hanging="709"/>
        <w:jc w:val="both"/>
        <w:rPr>
          <w:sz w:val="20"/>
          <w:szCs w:val="20"/>
        </w:rPr>
      </w:pPr>
    </w:p>
    <w:p w14:paraId="1EBC88BE" w14:textId="77777777" w:rsidR="002D7B36" w:rsidRPr="00DE12A3" w:rsidRDefault="002D7B36" w:rsidP="00C917D6">
      <w:pPr>
        <w:pStyle w:val="Gvdemetni250"/>
        <w:shd w:val="clear" w:color="auto" w:fill="auto"/>
        <w:spacing w:before="120" w:after="120" w:line="240" w:lineRule="auto"/>
        <w:ind w:left="709" w:hanging="709"/>
        <w:rPr>
          <w:sz w:val="20"/>
          <w:szCs w:val="20"/>
        </w:rPr>
      </w:pPr>
    </w:p>
    <w:p w14:paraId="41D6A595" w14:textId="77777777" w:rsidR="002D7B36" w:rsidRPr="00DE12A3" w:rsidRDefault="00D7130B" w:rsidP="00C917D6">
      <w:pPr>
        <w:spacing w:before="120" w:after="120"/>
        <w:rPr>
          <w:rFonts w:cs="Times New Roman"/>
          <w:color w:val="auto"/>
        </w:rPr>
      </w:pPr>
      <w:r w:rsidRPr="00DE12A3">
        <w:rPr>
          <w:rFonts w:cs="Times New Roman"/>
          <w:color w:val="auto"/>
        </w:rPr>
        <w:t xml:space="preserve">  1288 min</w:t>
      </w:r>
      <w:r w:rsidRPr="00DE12A3">
        <w:rPr>
          <w:rFonts w:cs="Times New Roman"/>
          <w:color w:val="auto"/>
          <w:vertAlign w:val="superscript"/>
        </w:rPr>
        <w:t xml:space="preserve">–1  </w:t>
      </w:r>
      <w:r w:rsidR="00242DA0" w:rsidRPr="00DE12A3">
        <w:rPr>
          <w:rFonts w:cs="Times New Roman"/>
          <w:color w:val="auto"/>
        </w:rPr>
        <w:t>de eşleme eğrisinden gözlemlenen 700 Nm azami tork ile</w:t>
      </w:r>
    </w:p>
    <w:p w14:paraId="629B26AF" w14:textId="77777777" w:rsidR="00D7130B" w:rsidRPr="00DE12A3" w:rsidRDefault="00D7130B" w:rsidP="00C917D6">
      <w:pPr>
        <w:spacing w:before="120" w:after="120"/>
        <w:rPr>
          <w:rFonts w:cs="Times New Roman"/>
          <w:color w:val="auto"/>
        </w:rPr>
      </w:pPr>
    </w:p>
    <w:p w14:paraId="7527F471" w14:textId="77777777" w:rsidR="00D7130B" w:rsidRPr="00DE12A3" w:rsidRDefault="00D7130B" w:rsidP="00C917D6">
      <w:pPr>
        <w:spacing w:before="120" w:after="120"/>
        <w:rPr>
          <w:rFonts w:cs="Times New Roman"/>
          <w:color w:val="auto"/>
        </w:rPr>
      </w:pPr>
    </w:p>
    <w:p w14:paraId="18D99055" w14:textId="5FC470ED" w:rsidR="00D7130B" w:rsidRPr="00DE12A3" w:rsidRDefault="00D7130B" w:rsidP="00C917D6">
      <w:pPr>
        <w:spacing w:before="120" w:after="120"/>
        <w:jc w:val="center"/>
        <w:rPr>
          <w:rFonts w:cs="Times New Roman"/>
          <w:color w:val="auto"/>
          <w:sz w:val="20"/>
          <w:szCs w:val="20"/>
        </w:rPr>
      </w:pPr>
      <w:r w:rsidRPr="00DE12A3">
        <w:rPr>
          <w:rFonts w:cs="Times New Roman"/>
          <w:noProof/>
          <w:color w:val="auto"/>
        </w:rPr>
        <w:drawing>
          <wp:inline distT="0" distB="0" distL="0" distR="0" wp14:anchorId="03404E24" wp14:editId="652B5CF2">
            <wp:extent cx="2987040" cy="365760"/>
            <wp:effectExtent l="0" t="0" r="3810" b="0"/>
            <wp:docPr id="36" name="Resim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2987040" cy="365760"/>
                    </a:xfrm>
                    <a:prstGeom prst="rect">
                      <a:avLst/>
                    </a:prstGeom>
                    <a:noFill/>
                    <a:ln>
                      <a:noFill/>
                    </a:ln>
                  </pic:spPr>
                </pic:pic>
              </a:graphicData>
            </a:graphic>
          </wp:inline>
        </w:drawing>
      </w:r>
    </w:p>
    <w:p w14:paraId="6D82DB54" w14:textId="77777777" w:rsidR="002D7B36" w:rsidRPr="00DE12A3" w:rsidRDefault="002D7B36" w:rsidP="00C917D6">
      <w:pPr>
        <w:pStyle w:val="Gvdemetni250"/>
        <w:shd w:val="clear" w:color="auto" w:fill="auto"/>
        <w:spacing w:before="120" w:after="120" w:line="240" w:lineRule="auto"/>
        <w:ind w:left="709" w:hanging="709"/>
        <w:rPr>
          <w:sz w:val="20"/>
          <w:szCs w:val="20"/>
        </w:rPr>
      </w:pPr>
    </w:p>
    <w:p w14:paraId="5025062C" w14:textId="77777777" w:rsidR="002D7B36" w:rsidRPr="00DE12A3" w:rsidRDefault="008E46EB" w:rsidP="00E20716">
      <w:pPr>
        <w:pStyle w:val="Gvdemetni250"/>
        <w:numPr>
          <w:ilvl w:val="1"/>
          <w:numId w:val="176"/>
        </w:numPr>
        <w:shd w:val="clear" w:color="auto" w:fill="FFFFFF" w:themeFill="background1"/>
        <w:spacing w:before="120" w:after="120" w:line="240" w:lineRule="auto"/>
        <w:ind w:left="1134" w:hanging="1134"/>
        <w:rPr>
          <w:sz w:val="24"/>
          <w:szCs w:val="24"/>
        </w:rPr>
      </w:pPr>
      <w:r w:rsidRPr="00DE12A3">
        <w:rPr>
          <w:sz w:val="24"/>
          <w:szCs w:val="24"/>
        </w:rPr>
        <w:t xml:space="preserve">      </w:t>
      </w:r>
      <w:r w:rsidR="00242DA0" w:rsidRPr="00DE12A3">
        <w:rPr>
          <w:sz w:val="24"/>
          <w:szCs w:val="24"/>
        </w:rPr>
        <w:t xml:space="preserve">Spesifik test </w:t>
      </w:r>
      <w:r w:rsidR="00F310B5" w:rsidRPr="00DE12A3">
        <w:rPr>
          <w:sz w:val="24"/>
          <w:szCs w:val="24"/>
        </w:rPr>
        <w:t>çevrimi</w:t>
      </w:r>
      <w:r w:rsidR="00242DA0" w:rsidRPr="00DE12A3">
        <w:rPr>
          <w:sz w:val="24"/>
          <w:szCs w:val="24"/>
        </w:rPr>
        <w:t xml:space="preserve"> yürütme prosedürü</w:t>
      </w:r>
    </w:p>
    <w:p w14:paraId="376AAC1D" w14:textId="77777777" w:rsidR="002D7B36" w:rsidRPr="00DE12A3" w:rsidRDefault="008E46EB" w:rsidP="00E20716">
      <w:pPr>
        <w:pStyle w:val="Gvdemetni250"/>
        <w:numPr>
          <w:ilvl w:val="0"/>
          <w:numId w:val="182"/>
        </w:numPr>
        <w:shd w:val="clear" w:color="auto" w:fill="FFFFFF" w:themeFill="background1"/>
        <w:spacing w:before="120" w:after="120" w:line="240" w:lineRule="auto"/>
        <w:ind w:left="1134" w:hanging="1134"/>
        <w:rPr>
          <w:sz w:val="24"/>
          <w:szCs w:val="24"/>
        </w:rPr>
      </w:pPr>
      <w:r w:rsidRPr="00DE12A3">
        <w:rPr>
          <w:sz w:val="24"/>
          <w:szCs w:val="24"/>
        </w:rPr>
        <w:t xml:space="preserve">       </w:t>
      </w:r>
      <w:r w:rsidR="00242DA0" w:rsidRPr="00DE12A3">
        <w:rPr>
          <w:sz w:val="24"/>
          <w:szCs w:val="24"/>
        </w:rPr>
        <w:t>Ayrık mod NRSC için emisyon testi dizisi</w:t>
      </w:r>
    </w:p>
    <w:p w14:paraId="12599E1E" w14:textId="1DEF531B" w:rsidR="002D7B36" w:rsidRPr="00DE12A3" w:rsidRDefault="00951351" w:rsidP="00E20716">
      <w:pPr>
        <w:pStyle w:val="Gvdemetni250"/>
        <w:numPr>
          <w:ilvl w:val="0"/>
          <w:numId w:val="183"/>
        </w:numPr>
        <w:shd w:val="clear" w:color="auto" w:fill="FFFFFF" w:themeFill="background1"/>
        <w:spacing w:before="120" w:after="120" w:line="240" w:lineRule="auto"/>
        <w:ind w:left="1134" w:hanging="1134"/>
        <w:rPr>
          <w:sz w:val="24"/>
          <w:szCs w:val="24"/>
        </w:rPr>
      </w:pPr>
      <w:r w:rsidRPr="00DE12A3">
        <w:rPr>
          <w:sz w:val="24"/>
          <w:szCs w:val="24"/>
        </w:rPr>
        <w:t xml:space="preserve">  </w:t>
      </w:r>
      <w:r w:rsidR="00586567" w:rsidRPr="00DE12A3">
        <w:rPr>
          <w:sz w:val="24"/>
          <w:szCs w:val="24"/>
        </w:rPr>
        <w:t>Kararlı</w:t>
      </w:r>
      <w:r w:rsidRPr="00DE12A3">
        <w:rPr>
          <w:sz w:val="24"/>
          <w:szCs w:val="24"/>
        </w:rPr>
        <w:t xml:space="preserve"> </w:t>
      </w:r>
      <w:r w:rsidR="00586567" w:rsidRPr="00DE12A3">
        <w:rPr>
          <w:sz w:val="24"/>
          <w:szCs w:val="24"/>
        </w:rPr>
        <w:t>durum ayrık</w:t>
      </w:r>
      <w:r w:rsidR="00242DA0" w:rsidRPr="00DE12A3">
        <w:rPr>
          <w:sz w:val="24"/>
          <w:szCs w:val="24"/>
        </w:rPr>
        <w:t xml:space="preserve"> mod NRSC için motorun ısınması</w:t>
      </w:r>
    </w:p>
    <w:p w14:paraId="1313A69D" w14:textId="77777777" w:rsidR="002D7B36" w:rsidRPr="00DE12A3" w:rsidRDefault="00E8288C" w:rsidP="00C917D6">
      <w:pPr>
        <w:pStyle w:val="Gvdemetni250"/>
        <w:shd w:val="clear" w:color="auto" w:fill="FFFFFF" w:themeFill="background1"/>
        <w:spacing w:before="120" w:after="120" w:line="240" w:lineRule="auto"/>
        <w:ind w:left="1134" w:hanging="1134"/>
        <w:rPr>
          <w:sz w:val="24"/>
          <w:szCs w:val="24"/>
        </w:rPr>
      </w:pPr>
      <w:r w:rsidRPr="00DE12A3">
        <w:rPr>
          <w:sz w:val="24"/>
          <w:szCs w:val="24"/>
        </w:rPr>
        <w:t xml:space="preserve">                  </w:t>
      </w:r>
      <w:r w:rsidR="00242DA0" w:rsidRPr="00DE12A3">
        <w:rPr>
          <w:sz w:val="24"/>
          <w:szCs w:val="24"/>
        </w:rPr>
        <w:t xml:space="preserve">Analiz cihazı kalibrasyonu da dahil olmak üzere ön test prosedürü, 7.3.1 bendi uyarınca gerçekleştirilir. Motor, 7.3.1.1.3 bendindeki ön koşullandırma dizisi </w:t>
      </w:r>
      <w:r w:rsidR="00242DA0" w:rsidRPr="00DE12A3">
        <w:rPr>
          <w:sz w:val="24"/>
          <w:szCs w:val="24"/>
        </w:rPr>
        <w:lastRenderedPageBreak/>
        <w:t xml:space="preserve">kullanılarak ısıtılır. Tam bu motor koşullandırma noktasından itibaren test </w:t>
      </w:r>
      <w:r w:rsidR="00F310B5" w:rsidRPr="00DE12A3">
        <w:rPr>
          <w:sz w:val="24"/>
          <w:szCs w:val="24"/>
        </w:rPr>
        <w:t>çevrimi</w:t>
      </w:r>
      <w:r w:rsidR="00242DA0" w:rsidRPr="00DE12A3">
        <w:rPr>
          <w:sz w:val="24"/>
          <w:szCs w:val="24"/>
        </w:rPr>
        <w:t xml:space="preserve"> ölçümü başlar.</w:t>
      </w:r>
    </w:p>
    <w:p w14:paraId="73EB93F9" w14:textId="77777777" w:rsidR="002D7B36" w:rsidRPr="00DE12A3" w:rsidRDefault="00242DA0" w:rsidP="00E20716">
      <w:pPr>
        <w:pStyle w:val="Gvdemetni250"/>
        <w:numPr>
          <w:ilvl w:val="0"/>
          <w:numId w:val="183"/>
        </w:numPr>
        <w:shd w:val="clear" w:color="auto" w:fill="FFFFFF" w:themeFill="background1"/>
        <w:spacing w:before="120" w:after="120" w:line="240" w:lineRule="auto"/>
        <w:ind w:left="1134" w:hanging="1134"/>
        <w:rPr>
          <w:sz w:val="24"/>
          <w:szCs w:val="24"/>
        </w:rPr>
      </w:pPr>
      <w:r w:rsidRPr="00DE12A3">
        <w:rPr>
          <w:sz w:val="24"/>
          <w:szCs w:val="24"/>
        </w:rPr>
        <w:t>Ayrık modNRSC'nin gerçekleştirilmesi</w:t>
      </w:r>
    </w:p>
    <w:p w14:paraId="2F98A77A" w14:textId="2764199E" w:rsidR="002D7B36" w:rsidRPr="00DE12A3" w:rsidRDefault="00E8288C" w:rsidP="00E20716">
      <w:pPr>
        <w:pStyle w:val="Gvdemetni250"/>
        <w:numPr>
          <w:ilvl w:val="0"/>
          <w:numId w:val="184"/>
        </w:numPr>
        <w:shd w:val="clear" w:color="auto" w:fill="FFFFFF" w:themeFill="background1"/>
        <w:spacing w:before="120" w:after="120" w:line="240" w:lineRule="auto"/>
        <w:ind w:left="1701" w:hanging="567"/>
        <w:rPr>
          <w:sz w:val="24"/>
          <w:szCs w:val="24"/>
        </w:rPr>
      </w:pPr>
      <w:r w:rsidRPr="00DE12A3">
        <w:rPr>
          <w:sz w:val="24"/>
          <w:szCs w:val="24"/>
        </w:rPr>
        <w:t xml:space="preserve">    </w:t>
      </w:r>
      <w:r w:rsidR="00242DA0" w:rsidRPr="00DE12A3">
        <w:rPr>
          <w:sz w:val="24"/>
          <w:szCs w:val="24"/>
        </w:rPr>
        <w:t xml:space="preserve">Test, test </w:t>
      </w:r>
      <w:r w:rsidR="00F310B5" w:rsidRPr="00DE12A3">
        <w:rPr>
          <w:sz w:val="24"/>
          <w:szCs w:val="24"/>
        </w:rPr>
        <w:t>çevrimi</w:t>
      </w:r>
      <w:r w:rsidR="00242DA0" w:rsidRPr="00DE12A3">
        <w:rPr>
          <w:sz w:val="24"/>
          <w:szCs w:val="24"/>
        </w:rPr>
        <w:t xml:space="preserve"> için belirlenen artan sırada mod numaraları izlenerek gerçekleştirilmelidir (bkz. X</w:t>
      </w:r>
      <w:r w:rsidR="00FA0678" w:rsidRPr="00DE12A3">
        <w:rPr>
          <w:sz w:val="24"/>
          <w:szCs w:val="24"/>
        </w:rPr>
        <w:t xml:space="preserve">VII’nci </w:t>
      </w:r>
      <w:r w:rsidR="00483E27" w:rsidRPr="00DE12A3">
        <w:rPr>
          <w:sz w:val="24"/>
          <w:szCs w:val="24"/>
        </w:rPr>
        <w:t>E</w:t>
      </w:r>
      <w:r w:rsidR="00FA0678" w:rsidRPr="00DE12A3">
        <w:rPr>
          <w:sz w:val="24"/>
          <w:szCs w:val="24"/>
        </w:rPr>
        <w:t>k</w:t>
      </w:r>
      <w:r w:rsidR="00242DA0" w:rsidRPr="00DE12A3">
        <w:rPr>
          <w:sz w:val="24"/>
          <w:szCs w:val="24"/>
        </w:rPr>
        <w:t>in 1. Açıklayıcı Eki)</w:t>
      </w:r>
      <w:r w:rsidR="00675CA7" w:rsidRPr="00DE12A3">
        <w:rPr>
          <w:sz w:val="24"/>
          <w:szCs w:val="24"/>
        </w:rPr>
        <w:t>.</w:t>
      </w:r>
    </w:p>
    <w:p w14:paraId="0E5DBC14" w14:textId="463792E0" w:rsidR="002D7B36" w:rsidRPr="00DE12A3" w:rsidRDefault="00242DA0" w:rsidP="00E20716">
      <w:pPr>
        <w:pStyle w:val="Gvdemetni250"/>
        <w:numPr>
          <w:ilvl w:val="0"/>
          <w:numId w:val="184"/>
        </w:numPr>
        <w:shd w:val="clear" w:color="auto" w:fill="FFFFFF" w:themeFill="background1"/>
        <w:spacing w:before="120" w:after="120" w:line="240" w:lineRule="auto"/>
        <w:ind w:left="1701" w:hanging="567"/>
        <w:rPr>
          <w:sz w:val="24"/>
          <w:szCs w:val="24"/>
        </w:rPr>
      </w:pPr>
      <w:r w:rsidRPr="00DE12A3">
        <w:rPr>
          <w:sz w:val="24"/>
          <w:szCs w:val="24"/>
        </w:rPr>
        <w:t>Her modun uzunluğu en az 10 dakikadır. Her modda motor en az 5 dakika dengelenmelidir. Gaz halindeki emisyonlar ve varsa PN, her modun sonunda 1 ila 3 dakika boyunca örneklenmeli ve PM emisyonları</w:t>
      </w:r>
      <w:r w:rsidR="00675CA7" w:rsidRPr="00DE12A3">
        <w:rPr>
          <w:sz w:val="24"/>
          <w:szCs w:val="24"/>
        </w:rPr>
        <w:t xml:space="preserve"> bu bendin</w:t>
      </w:r>
      <w:r w:rsidRPr="00DE12A3">
        <w:rPr>
          <w:sz w:val="24"/>
          <w:szCs w:val="24"/>
        </w:rPr>
        <w:t xml:space="preserve"> (c) </w:t>
      </w:r>
      <w:r w:rsidR="00675CA7" w:rsidRPr="00DE12A3">
        <w:rPr>
          <w:sz w:val="24"/>
          <w:szCs w:val="24"/>
        </w:rPr>
        <w:t xml:space="preserve">numaralı alt </w:t>
      </w:r>
      <w:r w:rsidRPr="00DE12A3">
        <w:rPr>
          <w:sz w:val="24"/>
          <w:szCs w:val="24"/>
        </w:rPr>
        <w:t>bendi uyarınca örneklenmelidir</w:t>
      </w:r>
      <w:r w:rsidR="00675CA7" w:rsidRPr="00DE12A3">
        <w:rPr>
          <w:sz w:val="24"/>
          <w:szCs w:val="24"/>
        </w:rPr>
        <w:t>.</w:t>
      </w:r>
    </w:p>
    <w:p w14:paraId="3D050D0E" w14:textId="5D0A6900" w:rsidR="002D7B36" w:rsidRPr="00DE12A3" w:rsidRDefault="00242DA0" w:rsidP="00C917D6">
      <w:pPr>
        <w:pStyle w:val="Gvdemetni250"/>
        <w:shd w:val="clear" w:color="auto" w:fill="FFFFFF" w:themeFill="background1"/>
        <w:tabs>
          <w:tab w:val="left" w:pos="1701"/>
        </w:tabs>
        <w:spacing w:before="120" w:after="120" w:line="240" w:lineRule="auto"/>
        <w:ind w:left="1701" w:firstLine="0"/>
        <w:rPr>
          <w:sz w:val="24"/>
          <w:szCs w:val="24"/>
        </w:rPr>
      </w:pPr>
      <w:r w:rsidRPr="00DE12A3">
        <w:rPr>
          <w:sz w:val="24"/>
          <w:szCs w:val="24"/>
        </w:rPr>
        <w:t xml:space="preserve">Önceki paragrafa bakılmaksızın, ya G1, G2 ya da G3 </w:t>
      </w:r>
      <w:r w:rsidR="00F310B5" w:rsidRPr="00DE12A3">
        <w:rPr>
          <w:sz w:val="24"/>
          <w:szCs w:val="24"/>
        </w:rPr>
        <w:t>çevrim</w:t>
      </w:r>
      <w:r w:rsidRPr="00DE12A3">
        <w:rPr>
          <w:sz w:val="24"/>
          <w:szCs w:val="24"/>
        </w:rPr>
        <w:t xml:space="preserve">lerini kullanan kıvılcım ateşlemeli motorlar test edilirken ya da bu </w:t>
      </w:r>
      <w:r w:rsidR="00EE5D5E" w:rsidRPr="00DE12A3">
        <w:rPr>
          <w:sz w:val="24"/>
          <w:szCs w:val="24"/>
        </w:rPr>
        <w:t>tebliğin</w:t>
      </w:r>
      <w:r w:rsidRPr="00DE12A3">
        <w:rPr>
          <w:sz w:val="24"/>
          <w:szCs w:val="24"/>
        </w:rPr>
        <w:t xml:space="preserve"> V</w:t>
      </w:r>
      <w:r w:rsidR="00EE5D5E" w:rsidRPr="00DE12A3">
        <w:rPr>
          <w:sz w:val="24"/>
          <w:szCs w:val="24"/>
        </w:rPr>
        <w:t xml:space="preserve">’inci </w:t>
      </w:r>
      <w:r w:rsidR="000A5707" w:rsidRPr="00DE12A3">
        <w:rPr>
          <w:sz w:val="24"/>
          <w:szCs w:val="24"/>
        </w:rPr>
        <w:t>E</w:t>
      </w:r>
      <w:r w:rsidRPr="00DE12A3">
        <w:rPr>
          <w:sz w:val="24"/>
          <w:szCs w:val="24"/>
        </w:rPr>
        <w:t xml:space="preserve">ki uyarınca ölçümler yapılırken, her modun uzunluğu en az 3 dakikadır. Bu durumda, gaz halindeki emisyonlar ve varsa PN, her modda en az 2 dakika boyunca örneklenmeli ve PM emisyonları </w:t>
      </w:r>
      <w:r w:rsidR="00675CA7" w:rsidRPr="00DE12A3">
        <w:rPr>
          <w:sz w:val="24"/>
          <w:szCs w:val="24"/>
        </w:rPr>
        <w:t xml:space="preserve">bu bendin </w:t>
      </w:r>
      <w:r w:rsidRPr="00DE12A3">
        <w:rPr>
          <w:sz w:val="24"/>
          <w:szCs w:val="24"/>
        </w:rPr>
        <w:t>(c)</w:t>
      </w:r>
      <w:r w:rsidR="00675CA7" w:rsidRPr="00DE12A3">
        <w:rPr>
          <w:sz w:val="24"/>
          <w:szCs w:val="24"/>
        </w:rPr>
        <w:t xml:space="preserve"> numaralı alt</w:t>
      </w:r>
      <w:r w:rsidRPr="00DE12A3">
        <w:rPr>
          <w:sz w:val="24"/>
          <w:szCs w:val="24"/>
        </w:rPr>
        <w:t xml:space="preserve"> bendi uyarınca örneklenmelidir. Doğruluğu artırmak için, mod uzunluğu ve örnekleme süresi arttırılabilir</w:t>
      </w:r>
      <w:r w:rsidR="00675CA7" w:rsidRPr="00DE12A3">
        <w:rPr>
          <w:sz w:val="24"/>
          <w:szCs w:val="24"/>
        </w:rPr>
        <w:t>.</w:t>
      </w:r>
    </w:p>
    <w:p w14:paraId="05D297FF" w14:textId="77777777" w:rsidR="002D7B36" w:rsidRPr="00DE12A3" w:rsidRDefault="00242DA0" w:rsidP="00C917D6">
      <w:pPr>
        <w:pStyle w:val="Gvdemetni250"/>
        <w:shd w:val="clear" w:color="auto" w:fill="FFFFFF" w:themeFill="background1"/>
        <w:spacing w:before="120" w:after="120" w:line="240" w:lineRule="auto"/>
        <w:ind w:left="1701" w:firstLine="0"/>
        <w:rPr>
          <w:sz w:val="24"/>
          <w:szCs w:val="24"/>
        </w:rPr>
      </w:pPr>
      <w:r w:rsidRPr="00DE12A3">
        <w:rPr>
          <w:sz w:val="24"/>
          <w:szCs w:val="24"/>
        </w:rPr>
        <w:t>Mod uzunluğu kaydedilmeli ve raporlanmalıdır.</w:t>
      </w:r>
    </w:p>
    <w:p w14:paraId="7B1DD72B" w14:textId="736B05BB" w:rsidR="002D7B36" w:rsidRPr="00DE12A3" w:rsidRDefault="00E8288C" w:rsidP="00E20716">
      <w:pPr>
        <w:pStyle w:val="Gvdemetni250"/>
        <w:numPr>
          <w:ilvl w:val="0"/>
          <w:numId w:val="184"/>
        </w:numPr>
        <w:shd w:val="clear" w:color="auto" w:fill="FFFFFF" w:themeFill="background1"/>
        <w:spacing w:before="120" w:after="120" w:line="240" w:lineRule="auto"/>
        <w:ind w:left="1701" w:hanging="567"/>
        <w:rPr>
          <w:sz w:val="24"/>
          <w:szCs w:val="24"/>
        </w:rPr>
      </w:pPr>
      <w:r w:rsidRPr="00DE12A3">
        <w:rPr>
          <w:sz w:val="24"/>
          <w:szCs w:val="24"/>
        </w:rPr>
        <w:t xml:space="preserve">    </w:t>
      </w:r>
      <w:r w:rsidR="00242DA0" w:rsidRPr="00DE12A3">
        <w:rPr>
          <w:sz w:val="24"/>
          <w:szCs w:val="24"/>
        </w:rPr>
        <w:t>PM emisyonları için PM örneklemesi, tek filtre yöntemiyle veya birden fazla filtre yöntemiyle yapılabilir. Yöntemlerin sonuçları birbirinden biraz farklı olabileceği için, kullanılan yöntem sonuçları ile birlikte beyan edilmelidir</w:t>
      </w:r>
      <w:r w:rsidR="00675CA7" w:rsidRPr="00DE12A3">
        <w:rPr>
          <w:sz w:val="24"/>
          <w:szCs w:val="24"/>
        </w:rPr>
        <w:t>.</w:t>
      </w:r>
    </w:p>
    <w:p w14:paraId="42D47C0A" w14:textId="6BC7C3E1" w:rsidR="002D7B36" w:rsidRPr="00DE12A3" w:rsidRDefault="00E8288C" w:rsidP="00C917D6">
      <w:pPr>
        <w:pStyle w:val="Gvdemetni250"/>
        <w:shd w:val="clear" w:color="auto" w:fill="FFFFFF" w:themeFill="background1"/>
        <w:spacing w:before="120" w:after="120" w:line="240" w:lineRule="auto"/>
        <w:ind w:left="1701" w:hanging="1275"/>
        <w:rPr>
          <w:sz w:val="24"/>
          <w:szCs w:val="24"/>
        </w:rPr>
      </w:pPr>
      <w:r w:rsidRPr="00DE12A3">
        <w:rPr>
          <w:sz w:val="24"/>
          <w:szCs w:val="24"/>
        </w:rPr>
        <w:t xml:space="preserve">                    </w:t>
      </w:r>
      <w:r w:rsidR="00242DA0" w:rsidRPr="00DE12A3">
        <w:rPr>
          <w:sz w:val="24"/>
          <w:szCs w:val="24"/>
        </w:rPr>
        <w:t xml:space="preserve">Tek filtre yöntemi için, test </w:t>
      </w:r>
      <w:r w:rsidR="00F310B5" w:rsidRPr="00DE12A3">
        <w:rPr>
          <w:sz w:val="24"/>
          <w:szCs w:val="24"/>
        </w:rPr>
        <w:t>çevrimi</w:t>
      </w:r>
      <w:r w:rsidR="00242DA0" w:rsidRPr="00DE12A3">
        <w:rPr>
          <w:sz w:val="24"/>
          <w:szCs w:val="24"/>
        </w:rPr>
        <w:t xml:space="preserve"> prosedüründe belirtilen gerçek ağırlıklandırma faktörleri ve gerçek egzoz gazı akışı, örnekleme sırasında numune akış hızı ve/veya örnekleme zamanı buna göre ayarlanarak hesaba katılmalıdır. PM örneklemesinin geçerli tartım faktörünün, verilen modun tartım faktörü ± 0,005 aralığı içinde olması gerekir</w:t>
      </w:r>
      <w:r w:rsidR="00675CA7" w:rsidRPr="00DE12A3">
        <w:rPr>
          <w:sz w:val="24"/>
          <w:szCs w:val="24"/>
        </w:rPr>
        <w:t>.</w:t>
      </w:r>
    </w:p>
    <w:p w14:paraId="6CA7695E" w14:textId="77777777" w:rsidR="002D7B36" w:rsidRPr="00DE12A3" w:rsidRDefault="00E8288C" w:rsidP="00C917D6">
      <w:pPr>
        <w:pStyle w:val="Gvdemetni250"/>
        <w:shd w:val="clear" w:color="auto" w:fill="FFFFFF" w:themeFill="background1"/>
        <w:spacing w:before="120" w:after="120" w:line="240" w:lineRule="auto"/>
        <w:ind w:left="1701" w:hanging="1275"/>
        <w:rPr>
          <w:sz w:val="24"/>
          <w:szCs w:val="24"/>
        </w:rPr>
      </w:pPr>
      <w:r w:rsidRPr="00DE12A3">
        <w:rPr>
          <w:sz w:val="24"/>
          <w:szCs w:val="24"/>
        </w:rPr>
        <w:t xml:space="preserve">                    </w:t>
      </w:r>
      <w:r w:rsidR="00242DA0" w:rsidRPr="00DE12A3">
        <w:rPr>
          <w:sz w:val="24"/>
          <w:szCs w:val="24"/>
        </w:rPr>
        <w:t>Örnekleme her mod içinde mümkün olduğunca geç yapılmalıdır. Tekli filtre yöntemi için PM örneklemesinin tamamlanması, gaz halindeki emisyon ölçümünün tamamlanmasıyla ± 5 s içinde çakışmalıdır. Mod başına örnekleme süresi, tek filtre yöntemi için en az 20 s, biren fazla filtre yöntemi için en az 60 s olmalıdır.</w:t>
      </w:r>
    </w:p>
    <w:p w14:paraId="6D821DE7" w14:textId="69B26CC5" w:rsidR="002D7B36" w:rsidRPr="00DE12A3" w:rsidRDefault="00E8288C" w:rsidP="00C917D6">
      <w:pPr>
        <w:pStyle w:val="Gvdemetni250"/>
        <w:shd w:val="clear" w:color="auto" w:fill="auto"/>
        <w:spacing w:before="120" w:after="120" w:line="240" w:lineRule="auto"/>
        <w:ind w:left="1701" w:hanging="1275"/>
        <w:rPr>
          <w:sz w:val="24"/>
          <w:szCs w:val="24"/>
        </w:rPr>
      </w:pPr>
      <w:r w:rsidRPr="00DE12A3">
        <w:rPr>
          <w:sz w:val="24"/>
          <w:szCs w:val="24"/>
        </w:rPr>
        <w:t xml:space="preserve">                  </w:t>
      </w:r>
      <w:r w:rsidR="00242DA0" w:rsidRPr="00DE12A3">
        <w:rPr>
          <w:sz w:val="24"/>
          <w:szCs w:val="24"/>
        </w:rPr>
        <w:t>Bypass özelliğine sahip olmayan sistemler için, mod başına örnekleme süresi, tek ve birden fazla filtre yöntemleri için en az 60 s olmalıdır</w:t>
      </w:r>
      <w:r w:rsidR="00675CA7" w:rsidRPr="00DE12A3">
        <w:rPr>
          <w:sz w:val="24"/>
          <w:szCs w:val="24"/>
        </w:rPr>
        <w:t>.</w:t>
      </w:r>
    </w:p>
    <w:p w14:paraId="33C21058" w14:textId="7D03C044" w:rsidR="002D7B36" w:rsidRPr="00DE12A3" w:rsidRDefault="00242DA0" w:rsidP="00E20716">
      <w:pPr>
        <w:pStyle w:val="Gvdemetni250"/>
        <w:numPr>
          <w:ilvl w:val="0"/>
          <w:numId w:val="184"/>
        </w:numPr>
        <w:shd w:val="clear" w:color="auto" w:fill="auto"/>
        <w:spacing w:before="120" w:after="120" w:line="240" w:lineRule="auto"/>
        <w:ind w:left="1701" w:hanging="567"/>
        <w:rPr>
          <w:sz w:val="24"/>
          <w:szCs w:val="24"/>
        </w:rPr>
      </w:pPr>
      <w:r w:rsidRPr="00DE12A3">
        <w:rPr>
          <w:sz w:val="24"/>
          <w:szCs w:val="24"/>
        </w:rPr>
        <w:t>Her mod için motor devri ve yükü, giriş havası sıcaklığı, yakıt akışı ve varsa hava veya egzoz gazı akışı, gaz halindeki konsantrasyonların ölçümü için kullanılan aynı zaman aralığında ölçülmelidir</w:t>
      </w:r>
      <w:r w:rsidR="00675CA7" w:rsidRPr="00DE12A3">
        <w:rPr>
          <w:sz w:val="24"/>
          <w:szCs w:val="24"/>
        </w:rPr>
        <w:t>.</w:t>
      </w:r>
    </w:p>
    <w:p w14:paraId="36F9C953" w14:textId="77777777" w:rsidR="002D7B36" w:rsidRPr="00DE12A3" w:rsidRDefault="00E8288C" w:rsidP="00C917D6">
      <w:pPr>
        <w:pStyle w:val="Gvdemetni250"/>
        <w:shd w:val="clear" w:color="auto" w:fill="auto"/>
        <w:spacing w:before="120" w:after="120" w:line="240" w:lineRule="auto"/>
        <w:ind w:left="1701" w:hanging="567"/>
        <w:rPr>
          <w:sz w:val="24"/>
          <w:szCs w:val="24"/>
        </w:rPr>
      </w:pPr>
      <w:r w:rsidRPr="00DE12A3">
        <w:rPr>
          <w:sz w:val="24"/>
          <w:szCs w:val="24"/>
        </w:rPr>
        <w:t xml:space="preserve">          </w:t>
      </w:r>
      <w:r w:rsidR="00242DA0" w:rsidRPr="00DE12A3">
        <w:rPr>
          <w:sz w:val="24"/>
          <w:szCs w:val="24"/>
        </w:rPr>
        <w:t>Hesaplama için gereken ek veriler kaydedilmelidir.</w:t>
      </w:r>
    </w:p>
    <w:p w14:paraId="27AD4853" w14:textId="13F3F6D4" w:rsidR="002D7B36" w:rsidRPr="00DE12A3" w:rsidRDefault="00E8288C" w:rsidP="00E20716">
      <w:pPr>
        <w:pStyle w:val="Gvdemetni250"/>
        <w:numPr>
          <w:ilvl w:val="0"/>
          <w:numId w:val="184"/>
        </w:numPr>
        <w:shd w:val="clear" w:color="auto" w:fill="auto"/>
        <w:spacing w:before="120" w:after="120" w:line="240" w:lineRule="auto"/>
        <w:ind w:left="1701" w:hanging="567"/>
        <w:rPr>
          <w:sz w:val="24"/>
          <w:szCs w:val="24"/>
        </w:rPr>
      </w:pPr>
      <w:r w:rsidRPr="00DE12A3">
        <w:rPr>
          <w:sz w:val="24"/>
          <w:szCs w:val="24"/>
        </w:rPr>
        <w:t xml:space="preserve">     </w:t>
      </w:r>
      <w:r w:rsidR="00242DA0" w:rsidRPr="00DE12A3">
        <w:rPr>
          <w:sz w:val="24"/>
          <w:szCs w:val="24"/>
        </w:rPr>
        <w:t>Ayrık mod NRSC ve tek filtre yöntemi için emisyon örneklemesi başladıktan sonra herhangi bir zamanda motor tekler veya emisyon örneklemesi kesintiye uğrarsa, test iptal edilir ve motor ısınma prosedüründen başlanarak tekrarlanır. Birden fazla filtre yöntemini (her çalışma modu için bir örnekleme filtresi) kullanan PM ölçümü durumunda test, motor sıcaklığı koşullandırması için bir önceki modda motor dengelenerek ve ardından motorun teklediği modla ölçüm başlatılarak devam ettirilmelidir</w:t>
      </w:r>
      <w:r w:rsidR="00675CA7" w:rsidRPr="00DE12A3">
        <w:rPr>
          <w:sz w:val="24"/>
          <w:szCs w:val="24"/>
        </w:rPr>
        <w:t>.</w:t>
      </w:r>
    </w:p>
    <w:p w14:paraId="3DBC6375" w14:textId="77777777" w:rsidR="002D7B36" w:rsidRPr="00DE12A3" w:rsidRDefault="00E8288C" w:rsidP="00E20716">
      <w:pPr>
        <w:pStyle w:val="Gvdemetni250"/>
        <w:numPr>
          <w:ilvl w:val="0"/>
          <w:numId w:val="184"/>
        </w:numPr>
        <w:shd w:val="clear" w:color="auto" w:fill="auto"/>
        <w:spacing w:before="120" w:after="120" w:line="240" w:lineRule="auto"/>
        <w:ind w:left="1701" w:hanging="567"/>
        <w:rPr>
          <w:sz w:val="24"/>
          <w:szCs w:val="24"/>
        </w:rPr>
      </w:pPr>
      <w:r w:rsidRPr="00DE12A3">
        <w:rPr>
          <w:sz w:val="24"/>
          <w:szCs w:val="24"/>
        </w:rPr>
        <w:t xml:space="preserve">     </w:t>
      </w:r>
      <w:r w:rsidR="00242DA0" w:rsidRPr="00DE12A3">
        <w:rPr>
          <w:sz w:val="24"/>
          <w:szCs w:val="24"/>
        </w:rPr>
        <w:t>7.3.2 bendi uyarınca test sonrası prosedürler gerçekleştirilmelidir.</w:t>
      </w:r>
    </w:p>
    <w:p w14:paraId="7F404808" w14:textId="77777777" w:rsidR="002D7B36" w:rsidRPr="00DE12A3" w:rsidRDefault="00242DA0" w:rsidP="00E20716">
      <w:pPr>
        <w:pStyle w:val="Gvdemetni250"/>
        <w:numPr>
          <w:ilvl w:val="0"/>
          <w:numId w:val="183"/>
        </w:numPr>
        <w:shd w:val="clear" w:color="auto" w:fill="auto"/>
        <w:spacing w:before="120" w:after="120" w:line="240" w:lineRule="auto"/>
        <w:ind w:left="1134" w:hanging="1134"/>
        <w:rPr>
          <w:sz w:val="24"/>
          <w:szCs w:val="24"/>
        </w:rPr>
      </w:pPr>
      <w:r w:rsidRPr="00DE12A3">
        <w:rPr>
          <w:sz w:val="24"/>
          <w:szCs w:val="24"/>
        </w:rPr>
        <w:lastRenderedPageBreak/>
        <w:t>Doğrulama kriterleri</w:t>
      </w:r>
    </w:p>
    <w:p w14:paraId="60185483" w14:textId="1150DBE4" w:rsidR="002D7B36" w:rsidRPr="00DE12A3" w:rsidRDefault="00E8288C" w:rsidP="00C917D6">
      <w:pPr>
        <w:pStyle w:val="Gvdemetni250"/>
        <w:shd w:val="clear" w:color="auto" w:fill="auto"/>
        <w:spacing w:before="120" w:after="120" w:line="240" w:lineRule="auto"/>
        <w:ind w:left="1134" w:hanging="1134"/>
        <w:rPr>
          <w:sz w:val="24"/>
          <w:szCs w:val="24"/>
        </w:rPr>
      </w:pPr>
      <w:r w:rsidRPr="00DE12A3">
        <w:rPr>
          <w:sz w:val="24"/>
          <w:szCs w:val="24"/>
        </w:rPr>
        <w:t xml:space="preserve">                  </w:t>
      </w:r>
      <w:r w:rsidR="00242DA0" w:rsidRPr="00DE12A3">
        <w:rPr>
          <w:sz w:val="24"/>
          <w:szCs w:val="24"/>
        </w:rPr>
        <w:t xml:space="preserve">İlk geçiş döneminden sonra belli </w:t>
      </w:r>
      <w:r w:rsidR="00951351" w:rsidRPr="00DE12A3">
        <w:rPr>
          <w:sz w:val="24"/>
          <w:szCs w:val="24"/>
        </w:rPr>
        <w:t xml:space="preserve">  kararlı </w:t>
      </w:r>
      <w:r w:rsidR="004E7F54" w:rsidRPr="00DE12A3">
        <w:rPr>
          <w:sz w:val="24"/>
          <w:szCs w:val="24"/>
        </w:rPr>
        <w:t>durum test</w:t>
      </w:r>
      <w:r w:rsidR="00242DA0" w:rsidRPr="00DE12A3">
        <w:rPr>
          <w:sz w:val="24"/>
          <w:szCs w:val="24"/>
        </w:rPr>
        <w:t xml:space="preserve"> </w:t>
      </w:r>
      <w:r w:rsidR="007E2039" w:rsidRPr="00DE12A3">
        <w:rPr>
          <w:sz w:val="24"/>
          <w:szCs w:val="24"/>
        </w:rPr>
        <w:t>çevrimini</w:t>
      </w:r>
      <w:r w:rsidR="00242DA0" w:rsidRPr="00DE12A3">
        <w:rPr>
          <w:sz w:val="24"/>
          <w:szCs w:val="24"/>
        </w:rPr>
        <w:t xml:space="preserve">n her modunda ölçülen devir, imalatçı tarafından beyan edilen toleranslar dahilinde olan rölanti hariç, referans devirden hangisi büyükse, en çok nominal devir ± </w:t>
      </w:r>
      <w:r w:rsidR="004E7F54" w:rsidRPr="00DE12A3">
        <w:rPr>
          <w:sz w:val="24"/>
          <w:szCs w:val="24"/>
        </w:rPr>
        <w:t>%1</w:t>
      </w:r>
      <w:r w:rsidR="00242DA0" w:rsidRPr="00DE12A3">
        <w:rPr>
          <w:sz w:val="24"/>
          <w:szCs w:val="24"/>
        </w:rPr>
        <w:t xml:space="preserve"> veya ± 3 dak-1 aralığında sapmalıdır. Ölçülen tork, referans torkundan, en çok test devrindeki azami tork ± </w:t>
      </w:r>
      <w:r w:rsidR="004E7F54" w:rsidRPr="00DE12A3">
        <w:rPr>
          <w:sz w:val="24"/>
          <w:szCs w:val="24"/>
        </w:rPr>
        <w:t>%2</w:t>
      </w:r>
      <w:r w:rsidR="00242DA0" w:rsidRPr="00DE12A3">
        <w:rPr>
          <w:sz w:val="24"/>
          <w:szCs w:val="24"/>
        </w:rPr>
        <w:t xml:space="preserve"> aralığında sapmamalıdır.</w:t>
      </w:r>
    </w:p>
    <w:p w14:paraId="206F1E4D" w14:textId="77777777" w:rsidR="00E8288C" w:rsidRPr="00DE12A3" w:rsidRDefault="00E8288C" w:rsidP="00E20716">
      <w:pPr>
        <w:pStyle w:val="ListeParagraf"/>
        <w:numPr>
          <w:ilvl w:val="0"/>
          <w:numId w:val="185"/>
        </w:numPr>
        <w:spacing w:before="120" w:after="120"/>
        <w:jc w:val="both"/>
        <w:rPr>
          <w:rFonts w:cs="Times New Roman"/>
          <w:vanish/>
          <w:color w:val="auto"/>
        </w:rPr>
      </w:pPr>
    </w:p>
    <w:p w14:paraId="61EA3B59" w14:textId="77777777" w:rsidR="00E8288C" w:rsidRPr="00DE12A3" w:rsidRDefault="00E8288C" w:rsidP="00E20716">
      <w:pPr>
        <w:pStyle w:val="ListeParagraf"/>
        <w:numPr>
          <w:ilvl w:val="0"/>
          <w:numId w:val="185"/>
        </w:numPr>
        <w:spacing w:before="120" w:after="120"/>
        <w:jc w:val="both"/>
        <w:rPr>
          <w:rFonts w:cs="Times New Roman"/>
          <w:vanish/>
          <w:color w:val="auto"/>
        </w:rPr>
      </w:pPr>
    </w:p>
    <w:p w14:paraId="71F3BB31" w14:textId="77777777" w:rsidR="00E8288C" w:rsidRPr="00DE12A3" w:rsidRDefault="00E8288C" w:rsidP="00E20716">
      <w:pPr>
        <w:pStyle w:val="ListeParagraf"/>
        <w:numPr>
          <w:ilvl w:val="0"/>
          <w:numId w:val="185"/>
        </w:numPr>
        <w:spacing w:before="120" w:after="120"/>
        <w:jc w:val="both"/>
        <w:rPr>
          <w:rFonts w:cs="Times New Roman"/>
          <w:vanish/>
          <w:color w:val="auto"/>
        </w:rPr>
      </w:pPr>
    </w:p>
    <w:p w14:paraId="2E613C4A" w14:textId="77777777" w:rsidR="00E8288C" w:rsidRPr="00DE12A3" w:rsidRDefault="00E8288C" w:rsidP="00E20716">
      <w:pPr>
        <w:pStyle w:val="ListeParagraf"/>
        <w:numPr>
          <w:ilvl w:val="0"/>
          <w:numId w:val="185"/>
        </w:numPr>
        <w:spacing w:before="120" w:after="120"/>
        <w:jc w:val="both"/>
        <w:rPr>
          <w:rFonts w:cs="Times New Roman"/>
          <w:vanish/>
          <w:color w:val="auto"/>
        </w:rPr>
      </w:pPr>
    </w:p>
    <w:p w14:paraId="6352B587" w14:textId="77777777" w:rsidR="00E8288C" w:rsidRPr="00DE12A3" w:rsidRDefault="00E8288C" w:rsidP="00E20716">
      <w:pPr>
        <w:pStyle w:val="ListeParagraf"/>
        <w:numPr>
          <w:ilvl w:val="0"/>
          <w:numId w:val="185"/>
        </w:numPr>
        <w:spacing w:before="120" w:after="120"/>
        <w:jc w:val="both"/>
        <w:rPr>
          <w:rFonts w:cs="Times New Roman"/>
          <w:vanish/>
          <w:color w:val="auto"/>
        </w:rPr>
      </w:pPr>
    </w:p>
    <w:p w14:paraId="770AE34B" w14:textId="77777777" w:rsidR="00E8288C" w:rsidRPr="00DE12A3" w:rsidRDefault="00E8288C" w:rsidP="00E20716">
      <w:pPr>
        <w:pStyle w:val="ListeParagraf"/>
        <w:numPr>
          <w:ilvl w:val="0"/>
          <w:numId w:val="185"/>
        </w:numPr>
        <w:spacing w:before="120" w:after="120"/>
        <w:jc w:val="both"/>
        <w:rPr>
          <w:rFonts w:cs="Times New Roman"/>
          <w:vanish/>
          <w:color w:val="auto"/>
        </w:rPr>
      </w:pPr>
    </w:p>
    <w:p w14:paraId="77BE999F" w14:textId="77777777" w:rsidR="00E8288C" w:rsidRPr="00DE12A3" w:rsidRDefault="00E8288C" w:rsidP="00E20716">
      <w:pPr>
        <w:pStyle w:val="ListeParagraf"/>
        <w:numPr>
          <w:ilvl w:val="0"/>
          <w:numId w:val="185"/>
        </w:numPr>
        <w:spacing w:before="120" w:after="120"/>
        <w:jc w:val="both"/>
        <w:rPr>
          <w:rFonts w:cs="Times New Roman"/>
          <w:vanish/>
          <w:color w:val="auto"/>
        </w:rPr>
      </w:pPr>
    </w:p>
    <w:p w14:paraId="66185FD2" w14:textId="77777777" w:rsidR="00E8288C" w:rsidRPr="00DE12A3" w:rsidRDefault="00E8288C" w:rsidP="00E20716">
      <w:pPr>
        <w:pStyle w:val="ListeParagraf"/>
        <w:numPr>
          <w:ilvl w:val="1"/>
          <w:numId w:val="185"/>
        </w:numPr>
        <w:spacing w:before="120" w:after="120"/>
        <w:jc w:val="both"/>
        <w:rPr>
          <w:rFonts w:cs="Times New Roman"/>
          <w:vanish/>
          <w:color w:val="auto"/>
        </w:rPr>
      </w:pPr>
    </w:p>
    <w:p w14:paraId="5020ED41" w14:textId="77777777" w:rsidR="002D7B36" w:rsidRPr="00DE12A3" w:rsidRDefault="00242DA0" w:rsidP="00E20716">
      <w:pPr>
        <w:pStyle w:val="ListeParagraf"/>
        <w:numPr>
          <w:ilvl w:val="2"/>
          <w:numId w:val="447"/>
        </w:numPr>
        <w:spacing w:before="120" w:after="120"/>
        <w:jc w:val="both"/>
        <w:rPr>
          <w:rFonts w:cs="Times New Roman"/>
          <w:color w:val="auto"/>
        </w:rPr>
      </w:pPr>
      <w:r w:rsidRPr="00DE12A3">
        <w:rPr>
          <w:rFonts w:cs="Times New Roman"/>
          <w:color w:val="auto"/>
        </w:rPr>
        <w:t xml:space="preserve">  </w:t>
      </w:r>
      <w:r w:rsidR="00E8288C" w:rsidRPr="00DE12A3">
        <w:rPr>
          <w:rFonts w:cs="Times New Roman"/>
          <w:color w:val="auto"/>
        </w:rPr>
        <w:t xml:space="preserve">   </w:t>
      </w:r>
      <w:r w:rsidRPr="00DE12A3">
        <w:rPr>
          <w:rFonts w:cs="Times New Roman"/>
          <w:color w:val="auto"/>
        </w:rPr>
        <w:t xml:space="preserve"> RMC için emisyon testi dizisi</w:t>
      </w:r>
    </w:p>
    <w:p w14:paraId="1A3ABB05" w14:textId="77777777" w:rsidR="002D7B36" w:rsidRPr="00DE12A3" w:rsidRDefault="00E8288C" w:rsidP="00E20716">
      <w:pPr>
        <w:pStyle w:val="Gvdemetni250"/>
        <w:numPr>
          <w:ilvl w:val="0"/>
          <w:numId w:val="186"/>
        </w:numPr>
        <w:shd w:val="clear" w:color="auto" w:fill="auto"/>
        <w:tabs>
          <w:tab w:val="left" w:pos="904"/>
        </w:tabs>
        <w:spacing w:before="120" w:after="120" w:line="240" w:lineRule="auto"/>
        <w:ind w:left="1134" w:hanging="1134"/>
        <w:rPr>
          <w:sz w:val="24"/>
          <w:szCs w:val="24"/>
        </w:rPr>
      </w:pPr>
      <w:r w:rsidRPr="00DE12A3">
        <w:rPr>
          <w:sz w:val="24"/>
          <w:szCs w:val="24"/>
        </w:rPr>
        <w:t xml:space="preserve">   </w:t>
      </w:r>
      <w:r w:rsidR="00242DA0" w:rsidRPr="00DE12A3">
        <w:rPr>
          <w:sz w:val="24"/>
          <w:szCs w:val="24"/>
        </w:rPr>
        <w:t>Motorun ısınması</w:t>
      </w:r>
    </w:p>
    <w:p w14:paraId="5A257194" w14:textId="77777777" w:rsidR="002D7B36" w:rsidRPr="00DE12A3" w:rsidRDefault="00E8288C" w:rsidP="00C917D6">
      <w:pPr>
        <w:pStyle w:val="Gvdemetni250"/>
        <w:shd w:val="clear" w:color="auto" w:fill="auto"/>
        <w:spacing w:before="120" w:after="120" w:line="240" w:lineRule="auto"/>
        <w:ind w:left="1134" w:hanging="1134"/>
        <w:rPr>
          <w:sz w:val="24"/>
          <w:szCs w:val="24"/>
        </w:rPr>
      </w:pPr>
      <w:r w:rsidRPr="00DE12A3">
        <w:rPr>
          <w:sz w:val="24"/>
          <w:szCs w:val="24"/>
        </w:rPr>
        <w:t xml:space="preserve">                  </w:t>
      </w:r>
      <w:r w:rsidR="00242DA0" w:rsidRPr="00DE12A3">
        <w:rPr>
          <w:sz w:val="24"/>
          <w:szCs w:val="24"/>
        </w:rPr>
        <w:t xml:space="preserve">Analiz cihazı kalibrasyonu da dahil olmak üzere ön test prosedürü, 7.3.1 bendi uyarınca gerçekleştirilir. Motor, 7.3.1.1.4 bendindeki ön koşullandırma dizisi kullanılarak ısıtılır. Bu motor koşullandırma prosedüründen hemen sonra, motor devri ve torku, testin ilk modu için halihazırda ayarlanmamışsa, testin ilk moduna 20 ± 1 s'lik doğrusal bir eğimle değiştirilmelidir. Eğim sona erdikten 5 ila 10 s sonra, test </w:t>
      </w:r>
      <w:r w:rsidR="00F310B5" w:rsidRPr="00DE12A3">
        <w:rPr>
          <w:sz w:val="24"/>
          <w:szCs w:val="24"/>
        </w:rPr>
        <w:t>çevrimi</w:t>
      </w:r>
      <w:r w:rsidR="00242DA0" w:rsidRPr="00DE12A3">
        <w:rPr>
          <w:sz w:val="24"/>
          <w:szCs w:val="24"/>
        </w:rPr>
        <w:t xml:space="preserve"> ölçümü başlamalıdır.</w:t>
      </w:r>
    </w:p>
    <w:p w14:paraId="69830E89" w14:textId="77777777" w:rsidR="002D7B36" w:rsidRPr="00DE12A3" w:rsidRDefault="00E8288C" w:rsidP="00E20716">
      <w:pPr>
        <w:pStyle w:val="Gvdemetni250"/>
        <w:numPr>
          <w:ilvl w:val="0"/>
          <w:numId w:val="186"/>
        </w:numPr>
        <w:shd w:val="clear" w:color="auto" w:fill="auto"/>
        <w:tabs>
          <w:tab w:val="left" w:pos="904"/>
        </w:tabs>
        <w:spacing w:before="120" w:after="120" w:line="240" w:lineRule="auto"/>
        <w:ind w:left="1134" w:hanging="1134"/>
        <w:rPr>
          <w:sz w:val="24"/>
          <w:szCs w:val="24"/>
        </w:rPr>
      </w:pPr>
      <w:r w:rsidRPr="00DE12A3">
        <w:rPr>
          <w:sz w:val="24"/>
          <w:szCs w:val="24"/>
        </w:rPr>
        <w:t xml:space="preserve">    </w:t>
      </w:r>
      <w:r w:rsidR="00242DA0" w:rsidRPr="00DE12A3">
        <w:rPr>
          <w:sz w:val="24"/>
          <w:szCs w:val="24"/>
        </w:rPr>
        <w:t>RMC'nin gerçekleştirilmesi</w:t>
      </w:r>
    </w:p>
    <w:p w14:paraId="63D17A74" w14:textId="73BD0D88" w:rsidR="002D7B36" w:rsidRPr="00DE12A3" w:rsidRDefault="00E8288C" w:rsidP="00C917D6">
      <w:pPr>
        <w:pStyle w:val="Gvdemetni250"/>
        <w:shd w:val="clear" w:color="auto" w:fill="auto"/>
        <w:tabs>
          <w:tab w:val="right" w:pos="5663"/>
        </w:tabs>
        <w:spacing w:before="120" w:after="120" w:line="240" w:lineRule="auto"/>
        <w:ind w:left="1134" w:hanging="1134"/>
        <w:rPr>
          <w:sz w:val="24"/>
          <w:szCs w:val="24"/>
        </w:rPr>
      </w:pPr>
      <w:r w:rsidRPr="00DE12A3">
        <w:rPr>
          <w:sz w:val="24"/>
          <w:szCs w:val="24"/>
        </w:rPr>
        <w:t xml:space="preserve">                  </w:t>
      </w:r>
      <w:r w:rsidR="00242DA0" w:rsidRPr="00DE12A3">
        <w:rPr>
          <w:sz w:val="24"/>
          <w:szCs w:val="24"/>
        </w:rPr>
        <w:t xml:space="preserve">Test, test </w:t>
      </w:r>
      <w:r w:rsidR="00F310B5" w:rsidRPr="00DE12A3">
        <w:rPr>
          <w:sz w:val="24"/>
          <w:szCs w:val="24"/>
        </w:rPr>
        <w:t>çevrimi</w:t>
      </w:r>
      <w:r w:rsidR="00242DA0" w:rsidRPr="00DE12A3">
        <w:rPr>
          <w:sz w:val="24"/>
          <w:szCs w:val="24"/>
        </w:rPr>
        <w:t xml:space="preserve"> için belirlenen sırada mod numaraları izlenerek gerçekleştirilmelidir (bkz. X</w:t>
      </w:r>
      <w:r w:rsidR="00FA0678" w:rsidRPr="00DE12A3">
        <w:rPr>
          <w:sz w:val="24"/>
          <w:szCs w:val="24"/>
        </w:rPr>
        <w:t xml:space="preserve">VII’nci </w:t>
      </w:r>
      <w:r w:rsidR="00483E27" w:rsidRPr="00DE12A3">
        <w:rPr>
          <w:sz w:val="24"/>
          <w:szCs w:val="24"/>
        </w:rPr>
        <w:t>E</w:t>
      </w:r>
      <w:r w:rsidR="00FA0678" w:rsidRPr="00DE12A3">
        <w:rPr>
          <w:sz w:val="24"/>
          <w:szCs w:val="24"/>
        </w:rPr>
        <w:t>k</w:t>
      </w:r>
      <w:r w:rsidR="00242DA0" w:rsidRPr="00DE12A3">
        <w:rPr>
          <w:sz w:val="24"/>
          <w:szCs w:val="24"/>
        </w:rPr>
        <w:t xml:space="preserve">in </w:t>
      </w:r>
      <w:r w:rsidR="00FA0678" w:rsidRPr="00DE12A3">
        <w:rPr>
          <w:sz w:val="24"/>
          <w:szCs w:val="24"/>
        </w:rPr>
        <w:t>2. Açıklayıcı Ek</w:t>
      </w:r>
      <w:r w:rsidR="00242DA0" w:rsidRPr="00DE12A3">
        <w:rPr>
          <w:sz w:val="24"/>
          <w:szCs w:val="24"/>
        </w:rPr>
        <w:t>i); Belirtilen NRSC için RMC mevcut değilse, 7.8.1 bendinde belirtilen ayrık mod NRSC prosedürü izlenmelidir.</w:t>
      </w:r>
    </w:p>
    <w:p w14:paraId="7653A86D" w14:textId="77777777" w:rsidR="002D7B36" w:rsidRPr="00DE12A3" w:rsidRDefault="00E8288C" w:rsidP="00C917D6">
      <w:pPr>
        <w:pStyle w:val="Gvdemetni250"/>
        <w:shd w:val="clear" w:color="auto" w:fill="FFFFFF" w:themeFill="background1"/>
        <w:spacing w:before="120" w:after="120" w:line="240" w:lineRule="auto"/>
        <w:ind w:left="1134" w:hanging="1134"/>
        <w:rPr>
          <w:sz w:val="24"/>
          <w:szCs w:val="24"/>
        </w:rPr>
      </w:pPr>
      <w:r w:rsidRPr="00DE12A3">
        <w:rPr>
          <w:sz w:val="24"/>
          <w:szCs w:val="24"/>
        </w:rPr>
        <w:t xml:space="preserve">                  </w:t>
      </w:r>
      <w:r w:rsidR="00242DA0" w:rsidRPr="00DE12A3">
        <w:rPr>
          <w:sz w:val="24"/>
          <w:szCs w:val="24"/>
        </w:rPr>
        <w:t>Motor her modda öngörülen süre boyunca çalıştırılmalıdır. Bir moddan diğerine geçiş, 7.8.2.4 bendinde öngörülen toleransların ardından 20 s ± 1 s içinde doğrusal olarak yapılmalıdır.</w:t>
      </w:r>
    </w:p>
    <w:p w14:paraId="02715A35" w14:textId="77777777" w:rsidR="002D7B36" w:rsidRPr="00DE12A3" w:rsidRDefault="00E8288C" w:rsidP="00C917D6">
      <w:pPr>
        <w:pStyle w:val="Gvdemetni250"/>
        <w:shd w:val="clear" w:color="auto" w:fill="FFFFFF" w:themeFill="background1"/>
        <w:spacing w:before="120" w:after="120" w:line="240" w:lineRule="auto"/>
        <w:ind w:left="1134" w:hanging="1134"/>
        <w:rPr>
          <w:sz w:val="24"/>
          <w:szCs w:val="24"/>
        </w:rPr>
      </w:pPr>
      <w:r w:rsidRPr="00DE12A3">
        <w:rPr>
          <w:sz w:val="24"/>
          <w:szCs w:val="24"/>
        </w:rPr>
        <w:t xml:space="preserve">                  </w:t>
      </w:r>
      <w:r w:rsidR="00242DA0" w:rsidRPr="00DE12A3">
        <w:rPr>
          <w:sz w:val="24"/>
          <w:szCs w:val="24"/>
        </w:rPr>
        <w:t xml:space="preserve">RMC için referans devir ve tork değerleri, asgari 1 Hz frekansta üretilmeli ve </w:t>
      </w:r>
      <w:r w:rsidR="00F310B5" w:rsidRPr="00DE12A3">
        <w:rPr>
          <w:sz w:val="24"/>
          <w:szCs w:val="24"/>
        </w:rPr>
        <w:t>çevrimi</w:t>
      </w:r>
      <w:r w:rsidR="00242DA0" w:rsidRPr="00DE12A3">
        <w:rPr>
          <w:sz w:val="24"/>
          <w:szCs w:val="24"/>
        </w:rPr>
        <w:t xml:space="preserve"> yürütmek için bu noktalar dizisi kullanılmalıdır. Modlar arasında geçiş sırasında, denormalize edilmiş referans devir ve tork değerleri, referans noktaları oluşturmak için modlar arasında doğrusal olarak yükseltilmelidir. Normalize edilmiş referans tork değerleri, modlar arasında doğrusal olarak yükseltilmemeli ve sonra denormalize edilmemelidir. Devir ve tork doğrusu, motorun tork eğrisinin üstündeki bir noktadan geçerse, referans torklar üzerindeki kontrol devam etmeli ve operatör talebinin azami seviyeye çıkmasına izin verilmelidir.</w:t>
      </w:r>
    </w:p>
    <w:p w14:paraId="519E596D" w14:textId="1E77C3EF" w:rsidR="002D7B36" w:rsidRPr="00DE12A3" w:rsidRDefault="00E8288C" w:rsidP="00C917D6">
      <w:pPr>
        <w:pStyle w:val="Gvdemetni250"/>
        <w:shd w:val="clear" w:color="auto" w:fill="FFFFFF" w:themeFill="background1"/>
        <w:spacing w:before="120" w:after="120" w:line="240" w:lineRule="auto"/>
        <w:ind w:left="1134" w:hanging="1134"/>
        <w:rPr>
          <w:sz w:val="24"/>
          <w:szCs w:val="24"/>
        </w:rPr>
      </w:pPr>
      <w:r w:rsidRPr="00DE12A3">
        <w:rPr>
          <w:sz w:val="24"/>
          <w:szCs w:val="24"/>
        </w:rPr>
        <w:t xml:space="preserve">                  </w:t>
      </w:r>
      <w:r w:rsidR="00242DA0" w:rsidRPr="00DE12A3">
        <w:rPr>
          <w:sz w:val="24"/>
          <w:szCs w:val="24"/>
        </w:rPr>
        <w:t>Tüm RMC boyunca (her mod sırasında ve modlar arasındaki geçişler dahil olmak üzere), her gaz halindeki kirleticinin konsantrasyonu ölçülmeli ve uygulanabilir bir sınır olduğunda PM ve PN örneklenmelidir. Gaz halindeki kirleticiler, ham veya seyreltilmiş halde ölçülebilir ve sürekli olarak kaydedilebilir</w:t>
      </w:r>
      <w:r w:rsidR="00675CA7" w:rsidRPr="00DE12A3">
        <w:rPr>
          <w:sz w:val="24"/>
          <w:szCs w:val="24"/>
        </w:rPr>
        <w:t>.</w:t>
      </w:r>
      <w:r w:rsidR="00242DA0" w:rsidRPr="00DE12A3">
        <w:rPr>
          <w:sz w:val="24"/>
          <w:szCs w:val="24"/>
        </w:rPr>
        <w:t xml:space="preserve"> </w:t>
      </w:r>
      <w:r w:rsidR="00675CA7" w:rsidRPr="00DE12A3">
        <w:rPr>
          <w:sz w:val="24"/>
          <w:szCs w:val="24"/>
        </w:rPr>
        <w:t>S</w:t>
      </w:r>
      <w:r w:rsidR="00242DA0" w:rsidRPr="00DE12A3">
        <w:rPr>
          <w:sz w:val="24"/>
          <w:szCs w:val="24"/>
        </w:rPr>
        <w:t xml:space="preserve">eyreltilmiş haldeyse bir numune torbası içinde de örneklenebilir. </w:t>
      </w:r>
      <w:r w:rsidR="007E2039" w:rsidRPr="00DE12A3">
        <w:rPr>
          <w:sz w:val="24"/>
          <w:szCs w:val="24"/>
        </w:rPr>
        <w:t xml:space="preserve">Partikül </w:t>
      </w:r>
      <w:r w:rsidR="00242DA0" w:rsidRPr="00DE12A3">
        <w:rPr>
          <w:sz w:val="24"/>
          <w:szCs w:val="24"/>
        </w:rPr>
        <w:t>halindeki numune, koşullandırılmış ve temiz hava ile seyreltilmelidir. Tüm test prosedürü boyunca tek bir numune alınmalı ve PM durumunda tek bir PM örnekleme filtresi üzerinde toplanmalıdır.</w:t>
      </w:r>
    </w:p>
    <w:p w14:paraId="42D990F4" w14:textId="77777777" w:rsidR="002D7B36" w:rsidRPr="00DE12A3" w:rsidRDefault="00E8288C" w:rsidP="00C917D6">
      <w:pPr>
        <w:pStyle w:val="Gvdemetni250"/>
        <w:shd w:val="clear" w:color="auto" w:fill="FFFFFF" w:themeFill="background1"/>
        <w:spacing w:before="120" w:after="120" w:line="240" w:lineRule="auto"/>
        <w:ind w:left="1134" w:hanging="1134"/>
        <w:rPr>
          <w:sz w:val="24"/>
          <w:szCs w:val="24"/>
        </w:rPr>
      </w:pPr>
      <w:r w:rsidRPr="00DE12A3">
        <w:rPr>
          <w:sz w:val="24"/>
          <w:szCs w:val="24"/>
        </w:rPr>
        <w:t xml:space="preserve">                  </w:t>
      </w:r>
      <w:r w:rsidR="00242DA0" w:rsidRPr="00DE12A3">
        <w:rPr>
          <w:sz w:val="24"/>
          <w:szCs w:val="24"/>
        </w:rPr>
        <w:t xml:space="preserve">Frene özgü emisyonların hesaplanması için, gerçek </w:t>
      </w:r>
      <w:r w:rsidR="00F310B5" w:rsidRPr="00DE12A3">
        <w:rPr>
          <w:sz w:val="24"/>
          <w:szCs w:val="24"/>
        </w:rPr>
        <w:t>çevrim</w:t>
      </w:r>
      <w:r w:rsidR="00242DA0" w:rsidRPr="00DE12A3">
        <w:rPr>
          <w:sz w:val="24"/>
          <w:szCs w:val="24"/>
        </w:rPr>
        <w:t xml:space="preserve"> çalışması, gerçek motor gücü tüm </w:t>
      </w:r>
      <w:r w:rsidR="00F310B5" w:rsidRPr="00DE12A3">
        <w:rPr>
          <w:sz w:val="24"/>
          <w:szCs w:val="24"/>
        </w:rPr>
        <w:t>çevrim</w:t>
      </w:r>
      <w:r w:rsidR="00242DA0" w:rsidRPr="00DE12A3">
        <w:rPr>
          <w:sz w:val="24"/>
          <w:szCs w:val="24"/>
        </w:rPr>
        <w:t xml:space="preserve"> boyunca entegre edilerek hesaplanmalıdır.</w:t>
      </w:r>
    </w:p>
    <w:p w14:paraId="2F9AAFC4" w14:textId="77777777" w:rsidR="0040229E" w:rsidRPr="00DE12A3" w:rsidRDefault="0040229E" w:rsidP="00C917D6">
      <w:pPr>
        <w:pStyle w:val="Gvdemetni250"/>
        <w:shd w:val="clear" w:color="auto" w:fill="FFFFFF" w:themeFill="background1"/>
        <w:spacing w:before="120" w:after="120" w:line="240" w:lineRule="auto"/>
        <w:ind w:left="1134" w:hanging="1134"/>
        <w:rPr>
          <w:sz w:val="24"/>
          <w:szCs w:val="24"/>
        </w:rPr>
      </w:pPr>
    </w:p>
    <w:p w14:paraId="5C55C4D9" w14:textId="77777777" w:rsidR="002D7B36" w:rsidRPr="00DE12A3" w:rsidRDefault="00E8288C" w:rsidP="00E20716">
      <w:pPr>
        <w:pStyle w:val="Gvdemetni250"/>
        <w:numPr>
          <w:ilvl w:val="0"/>
          <w:numId w:val="186"/>
        </w:numPr>
        <w:shd w:val="clear" w:color="auto" w:fill="FFFFFF" w:themeFill="background1"/>
        <w:tabs>
          <w:tab w:val="left" w:pos="898"/>
        </w:tabs>
        <w:spacing w:before="120" w:after="120" w:line="240" w:lineRule="auto"/>
        <w:ind w:left="1134" w:hanging="1134"/>
        <w:rPr>
          <w:sz w:val="24"/>
          <w:szCs w:val="24"/>
        </w:rPr>
      </w:pPr>
      <w:r w:rsidRPr="00DE12A3">
        <w:rPr>
          <w:sz w:val="24"/>
          <w:szCs w:val="24"/>
        </w:rPr>
        <w:t xml:space="preserve">     </w:t>
      </w:r>
      <w:r w:rsidR="00242DA0" w:rsidRPr="00DE12A3">
        <w:rPr>
          <w:sz w:val="24"/>
          <w:szCs w:val="24"/>
        </w:rPr>
        <w:t>Emisyon testi dizisi</w:t>
      </w:r>
    </w:p>
    <w:p w14:paraId="616DA015" w14:textId="73A46AA8" w:rsidR="002D7B36" w:rsidRPr="00DE12A3" w:rsidRDefault="00E8288C" w:rsidP="00E20716">
      <w:pPr>
        <w:pStyle w:val="Gvdemetni250"/>
        <w:numPr>
          <w:ilvl w:val="0"/>
          <w:numId w:val="187"/>
        </w:numPr>
        <w:shd w:val="clear" w:color="auto" w:fill="FFFFFF" w:themeFill="background1"/>
        <w:spacing w:before="120" w:after="120" w:line="240" w:lineRule="auto"/>
        <w:ind w:left="1701" w:hanging="567"/>
        <w:rPr>
          <w:sz w:val="24"/>
          <w:szCs w:val="24"/>
        </w:rPr>
      </w:pPr>
      <w:r w:rsidRPr="00DE12A3">
        <w:rPr>
          <w:sz w:val="24"/>
          <w:szCs w:val="24"/>
        </w:rPr>
        <w:t xml:space="preserve">     </w:t>
      </w:r>
      <w:r w:rsidR="00242DA0" w:rsidRPr="00DE12A3">
        <w:rPr>
          <w:sz w:val="24"/>
          <w:szCs w:val="24"/>
        </w:rPr>
        <w:t>RMC, egzoz gazı örneklemesi, veri kaydı ve ölçülen değerlerin entegrasyonu eş zamanlı olarak başlatılmalıdır</w:t>
      </w:r>
      <w:r w:rsidR="00675CA7" w:rsidRPr="00DE12A3">
        <w:rPr>
          <w:sz w:val="24"/>
          <w:szCs w:val="24"/>
        </w:rPr>
        <w:t>.</w:t>
      </w:r>
    </w:p>
    <w:p w14:paraId="45A32B02" w14:textId="059CB023" w:rsidR="002D7B36" w:rsidRPr="00DE12A3" w:rsidRDefault="00242DA0" w:rsidP="00E20716">
      <w:pPr>
        <w:pStyle w:val="Gvdemetni250"/>
        <w:numPr>
          <w:ilvl w:val="0"/>
          <w:numId w:val="187"/>
        </w:numPr>
        <w:shd w:val="clear" w:color="auto" w:fill="FFFFFF" w:themeFill="background1"/>
        <w:spacing w:before="120" w:after="120" w:line="240" w:lineRule="auto"/>
        <w:ind w:left="1701" w:hanging="567"/>
        <w:rPr>
          <w:sz w:val="24"/>
          <w:szCs w:val="24"/>
        </w:rPr>
      </w:pPr>
      <w:r w:rsidRPr="00DE12A3">
        <w:rPr>
          <w:sz w:val="24"/>
          <w:szCs w:val="24"/>
        </w:rPr>
        <w:t xml:space="preserve">Devir ve tork, test </w:t>
      </w:r>
      <w:r w:rsidR="00F310B5" w:rsidRPr="00DE12A3">
        <w:rPr>
          <w:sz w:val="24"/>
          <w:szCs w:val="24"/>
        </w:rPr>
        <w:t>çevrimi</w:t>
      </w:r>
      <w:r w:rsidRPr="00DE12A3">
        <w:rPr>
          <w:sz w:val="24"/>
          <w:szCs w:val="24"/>
        </w:rPr>
        <w:t>ndeki ilk moda yöneltilmelidir</w:t>
      </w:r>
      <w:r w:rsidR="00675CA7" w:rsidRPr="00DE12A3">
        <w:rPr>
          <w:sz w:val="24"/>
          <w:szCs w:val="24"/>
        </w:rPr>
        <w:t>.</w:t>
      </w:r>
    </w:p>
    <w:p w14:paraId="1FB5BC5A" w14:textId="671DE0FD" w:rsidR="002D7B36" w:rsidRPr="00DE12A3" w:rsidRDefault="00E8288C" w:rsidP="00E20716">
      <w:pPr>
        <w:pStyle w:val="Gvdemetni250"/>
        <w:numPr>
          <w:ilvl w:val="0"/>
          <w:numId w:val="187"/>
        </w:numPr>
        <w:shd w:val="clear" w:color="auto" w:fill="FFFFFF" w:themeFill="background1"/>
        <w:spacing w:before="120" w:after="120" w:line="240" w:lineRule="auto"/>
        <w:ind w:left="1701" w:hanging="567"/>
        <w:rPr>
          <w:sz w:val="24"/>
          <w:szCs w:val="24"/>
        </w:rPr>
      </w:pPr>
      <w:r w:rsidRPr="00DE12A3">
        <w:rPr>
          <w:sz w:val="24"/>
          <w:szCs w:val="24"/>
        </w:rPr>
        <w:t xml:space="preserve">     </w:t>
      </w:r>
      <w:r w:rsidR="00242DA0" w:rsidRPr="00DE12A3">
        <w:rPr>
          <w:sz w:val="24"/>
          <w:szCs w:val="24"/>
        </w:rPr>
        <w:t xml:space="preserve">Motor, RMC uygulaması sırasında herhangi bir yerde teklerse, test iptal </w:t>
      </w:r>
      <w:r w:rsidR="00242DA0" w:rsidRPr="00DE12A3">
        <w:rPr>
          <w:sz w:val="24"/>
          <w:szCs w:val="24"/>
        </w:rPr>
        <w:lastRenderedPageBreak/>
        <w:t>edilir. Motor önceden koşullandırılır ve test tekrarlanır</w:t>
      </w:r>
      <w:r w:rsidR="00675CA7" w:rsidRPr="00DE12A3">
        <w:rPr>
          <w:sz w:val="24"/>
          <w:szCs w:val="24"/>
        </w:rPr>
        <w:t>.</w:t>
      </w:r>
    </w:p>
    <w:p w14:paraId="1A078D42" w14:textId="004D458C" w:rsidR="002D7B36" w:rsidRPr="00DE12A3" w:rsidRDefault="00242DA0" w:rsidP="00E20716">
      <w:pPr>
        <w:pStyle w:val="Gvdemetni250"/>
        <w:numPr>
          <w:ilvl w:val="0"/>
          <w:numId w:val="187"/>
        </w:numPr>
        <w:shd w:val="clear" w:color="auto" w:fill="FFFFFF" w:themeFill="background1"/>
        <w:spacing w:before="120" w:after="120" w:line="240" w:lineRule="auto"/>
        <w:ind w:left="1701" w:hanging="567"/>
        <w:rPr>
          <w:sz w:val="24"/>
          <w:szCs w:val="24"/>
        </w:rPr>
      </w:pPr>
      <w:r w:rsidRPr="00DE12A3">
        <w:rPr>
          <w:sz w:val="24"/>
          <w:szCs w:val="24"/>
        </w:rPr>
        <w:t xml:space="preserve">RMC'nin sonunda, sistem tepki süresinin geçmesini sağlamak için PM örneklemesi dışında tüm sistemler çalıştırılarak örneklemeye devam edilir. Daha sonra, arka plan numunelerinin kaydedilmesi de dahil olmak üzere tüm örnekleme ve kayıt durdurulur. Son olarak, entegrasyon cihazları durdurulur ve test </w:t>
      </w:r>
      <w:r w:rsidR="007E2039" w:rsidRPr="00DE12A3">
        <w:rPr>
          <w:sz w:val="24"/>
          <w:szCs w:val="24"/>
        </w:rPr>
        <w:t>çevrimini</w:t>
      </w:r>
      <w:r w:rsidRPr="00DE12A3">
        <w:rPr>
          <w:sz w:val="24"/>
          <w:szCs w:val="24"/>
        </w:rPr>
        <w:t>n bitişi kaydedilen veriler içinde belirtilir</w:t>
      </w:r>
      <w:r w:rsidR="00675CA7" w:rsidRPr="00DE12A3">
        <w:rPr>
          <w:sz w:val="24"/>
          <w:szCs w:val="24"/>
        </w:rPr>
        <w:t>.</w:t>
      </w:r>
    </w:p>
    <w:p w14:paraId="2EC2D82C" w14:textId="77777777" w:rsidR="002D7B36" w:rsidRPr="00DE12A3" w:rsidRDefault="00E8288C" w:rsidP="00E20716">
      <w:pPr>
        <w:pStyle w:val="Gvdemetni250"/>
        <w:numPr>
          <w:ilvl w:val="0"/>
          <w:numId w:val="187"/>
        </w:numPr>
        <w:shd w:val="clear" w:color="auto" w:fill="FFFFFF" w:themeFill="background1"/>
        <w:spacing w:before="120" w:after="120" w:line="240" w:lineRule="auto"/>
        <w:ind w:left="1701" w:hanging="567"/>
        <w:rPr>
          <w:sz w:val="24"/>
          <w:szCs w:val="24"/>
        </w:rPr>
      </w:pPr>
      <w:r w:rsidRPr="00DE12A3">
        <w:rPr>
          <w:sz w:val="24"/>
          <w:szCs w:val="24"/>
        </w:rPr>
        <w:t xml:space="preserve">     </w:t>
      </w:r>
      <w:r w:rsidR="00242DA0" w:rsidRPr="00DE12A3">
        <w:rPr>
          <w:sz w:val="24"/>
          <w:szCs w:val="24"/>
        </w:rPr>
        <w:t>7.3.2 bendi uyarınca test sonrası prosedürler gerçekleştirilmelidir.</w:t>
      </w:r>
    </w:p>
    <w:p w14:paraId="03EBD67F" w14:textId="77777777" w:rsidR="002D7B36" w:rsidRPr="00DE12A3" w:rsidRDefault="00242DA0" w:rsidP="00E20716">
      <w:pPr>
        <w:pStyle w:val="Gvdemetni250"/>
        <w:numPr>
          <w:ilvl w:val="0"/>
          <w:numId w:val="186"/>
        </w:numPr>
        <w:shd w:val="clear" w:color="auto" w:fill="auto"/>
        <w:spacing w:before="120" w:after="120" w:line="240" w:lineRule="auto"/>
        <w:ind w:left="1134" w:hanging="1134"/>
        <w:rPr>
          <w:sz w:val="24"/>
          <w:szCs w:val="24"/>
        </w:rPr>
      </w:pPr>
      <w:r w:rsidRPr="00DE12A3">
        <w:rPr>
          <w:sz w:val="24"/>
          <w:szCs w:val="24"/>
        </w:rPr>
        <w:t xml:space="preserve">Doğrulama kriterleri </w:t>
      </w:r>
    </w:p>
    <w:p w14:paraId="099076B2" w14:textId="2F71B419" w:rsidR="005240A0" w:rsidRPr="00DE12A3" w:rsidRDefault="00E8288C" w:rsidP="00C917D6">
      <w:pPr>
        <w:pStyle w:val="Gvdemetni250"/>
        <w:shd w:val="clear" w:color="auto" w:fill="auto"/>
        <w:spacing w:before="120" w:after="120" w:line="240" w:lineRule="auto"/>
        <w:ind w:left="1134" w:hanging="1134"/>
        <w:rPr>
          <w:sz w:val="24"/>
          <w:szCs w:val="24"/>
          <w:lang w:val="en-US"/>
        </w:rPr>
      </w:pPr>
      <w:r w:rsidRPr="00DE12A3">
        <w:rPr>
          <w:sz w:val="24"/>
          <w:szCs w:val="24"/>
          <w:lang w:val="en-US"/>
        </w:rPr>
        <w:t xml:space="preserve">                  </w:t>
      </w:r>
      <w:r w:rsidR="00242DA0" w:rsidRPr="00DE12A3">
        <w:rPr>
          <w:sz w:val="24"/>
          <w:szCs w:val="24"/>
          <w:lang w:val="en-US"/>
        </w:rPr>
        <w:t>RMC testleri, 7.8.3.3 ve 7.8.3.5 bendinde açıklanan regresyon analizi kullanılarak doğrulanmalıdır. İzin verilen RMC toleransları aşağıdaki Tablo 6.1'de verilmiştir. RMC toleranslarının Tablo 6.2'deki NRTC toleranslarından farklı olduğu unutulmamalıdır. 560 kW'dan daha yüksek referans güce sahip motorlar test edilirken, Tablo 6.2'deki regresyon doğrusu toleransları ve Tablo 6.3'</w:t>
      </w:r>
      <w:r w:rsidR="00675CA7" w:rsidRPr="00DE12A3">
        <w:rPr>
          <w:sz w:val="24"/>
          <w:szCs w:val="24"/>
          <w:lang w:val="en-US"/>
        </w:rPr>
        <w:t>t</w:t>
      </w:r>
      <w:r w:rsidR="00242DA0" w:rsidRPr="00DE12A3">
        <w:rPr>
          <w:sz w:val="24"/>
          <w:szCs w:val="24"/>
          <w:lang w:val="en-US"/>
        </w:rPr>
        <w:t xml:space="preserve">eki </w:t>
      </w:r>
      <w:r w:rsidR="00242DA0" w:rsidRPr="00DE12A3">
        <w:rPr>
          <w:sz w:val="24"/>
          <w:szCs w:val="24"/>
        </w:rPr>
        <w:t>nokta</w:t>
      </w:r>
      <w:r w:rsidR="00242DA0" w:rsidRPr="00DE12A3">
        <w:rPr>
          <w:sz w:val="24"/>
          <w:szCs w:val="24"/>
          <w:lang w:val="en-US"/>
        </w:rPr>
        <w:t xml:space="preserve"> </w:t>
      </w:r>
      <w:r w:rsidR="00242DA0" w:rsidRPr="00DE12A3">
        <w:rPr>
          <w:sz w:val="24"/>
          <w:szCs w:val="24"/>
        </w:rPr>
        <w:t>silme</w:t>
      </w:r>
      <w:r w:rsidR="00242DA0" w:rsidRPr="00DE12A3">
        <w:rPr>
          <w:sz w:val="24"/>
          <w:szCs w:val="24"/>
          <w:lang w:val="en-US"/>
        </w:rPr>
        <w:t xml:space="preserve"> </w:t>
      </w:r>
      <w:r w:rsidR="00242DA0" w:rsidRPr="00DE12A3">
        <w:rPr>
          <w:sz w:val="24"/>
          <w:szCs w:val="24"/>
        </w:rPr>
        <w:t>kullanılabilir</w:t>
      </w:r>
      <w:r w:rsidR="00242DA0" w:rsidRPr="00DE12A3">
        <w:rPr>
          <w:sz w:val="24"/>
          <w:szCs w:val="24"/>
          <w:lang w:val="en-US"/>
        </w:rPr>
        <w:t>.</w:t>
      </w:r>
    </w:p>
    <w:tbl>
      <w:tblPr>
        <w:tblpPr w:leftFromText="141" w:rightFromText="141" w:vertAnchor="text" w:horzAnchor="margin" w:tblpY="139"/>
        <w:tblOverlap w:val="neve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863"/>
        <w:gridCol w:w="1814"/>
        <w:gridCol w:w="1810"/>
        <w:gridCol w:w="3585"/>
      </w:tblGrid>
      <w:tr w:rsidR="00DE12A3" w:rsidRPr="00DE12A3" w14:paraId="0275D069" w14:textId="77777777" w:rsidTr="00E8288C">
        <w:trPr>
          <w:trHeight w:hRule="exact" w:val="437"/>
        </w:trPr>
        <w:tc>
          <w:tcPr>
            <w:tcW w:w="9072" w:type="dxa"/>
            <w:gridSpan w:val="4"/>
            <w:shd w:val="clear" w:color="auto" w:fill="auto"/>
          </w:tcPr>
          <w:p w14:paraId="062632C1" w14:textId="77777777" w:rsidR="00E8288C" w:rsidRPr="00DE12A3" w:rsidRDefault="00E8288C" w:rsidP="00C917D6">
            <w:pPr>
              <w:pStyle w:val="Gvdemetni0"/>
              <w:shd w:val="clear" w:color="auto" w:fill="auto"/>
              <w:spacing w:before="120" w:after="120" w:line="240" w:lineRule="auto"/>
              <w:ind w:firstLine="0"/>
              <w:rPr>
                <w:sz w:val="24"/>
                <w:szCs w:val="24"/>
              </w:rPr>
            </w:pPr>
            <w:r w:rsidRPr="00DE12A3">
              <w:rPr>
                <w:iCs/>
                <w:sz w:val="24"/>
                <w:szCs w:val="24"/>
              </w:rPr>
              <w:t>Tablo 6.1</w:t>
            </w:r>
          </w:p>
        </w:tc>
      </w:tr>
      <w:tr w:rsidR="00DE12A3" w:rsidRPr="00DE12A3" w14:paraId="4F8DBD14" w14:textId="77777777" w:rsidTr="00E8288C">
        <w:trPr>
          <w:trHeight w:hRule="exact" w:val="437"/>
        </w:trPr>
        <w:tc>
          <w:tcPr>
            <w:tcW w:w="9072" w:type="dxa"/>
            <w:gridSpan w:val="4"/>
            <w:shd w:val="clear" w:color="auto" w:fill="auto"/>
          </w:tcPr>
          <w:p w14:paraId="7CC90BC1" w14:textId="77777777" w:rsidR="00E8288C" w:rsidRPr="00DE12A3" w:rsidRDefault="00E8288C" w:rsidP="00C917D6">
            <w:pPr>
              <w:pStyle w:val="Gvdemetni0"/>
              <w:spacing w:before="120" w:after="120" w:line="240" w:lineRule="auto"/>
              <w:rPr>
                <w:b/>
                <w:bCs/>
                <w:iCs/>
                <w:sz w:val="24"/>
                <w:szCs w:val="24"/>
              </w:rPr>
            </w:pPr>
            <w:r w:rsidRPr="00DE12A3">
              <w:rPr>
                <w:iCs/>
                <w:sz w:val="24"/>
                <w:szCs w:val="24"/>
              </w:rPr>
              <w:t xml:space="preserve">                   </w:t>
            </w:r>
            <w:r w:rsidRPr="00DE12A3">
              <w:rPr>
                <w:b/>
                <w:iCs/>
                <w:sz w:val="24"/>
                <w:szCs w:val="24"/>
              </w:rPr>
              <w:t xml:space="preserve">RMC </w:t>
            </w:r>
            <w:r w:rsidRPr="00DE12A3">
              <w:rPr>
                <w:b/>
                <w:bCs/>
                <w:iCs/>
                <w:sz w:val="24"/>
                <w:szCs w:val="24"/>
              </w:rPr>
              <w:t>Regresyon doğrusu toleransları</w:t>
            </w:r>
          </w:p>
          <w:p w14:paraId="47D4F37C" w14:textId="77777777" w:rsidR="00E8288C" w:rsidRPr="00DE12A3" w:rsidRDefault="00E8288C" w:rsidP="00C917D6">
            <w:pPr>
              <w:pStyle w:val="Gvdemetni0"/>
              <w:shd w:val="clear" w:color="auto" w:fill="auto"/>
              <w:spacing w:before="120" w:after="120" w:line="240" w:lineRule="auto"/>
              <w:ind w:firstLine="0"/>
              <w:rPr>
                <w:sz w:val="24"/>
                <w:szCs w:val="24"/>
              </w:rPr>
            </w:pPr>
          </w:p>
        </w:tc>
      </w:tr>
      <w:tr w:rsidR="00DE12A3" w:rsidRPr="00DE12A3" w14:paraId="7EC3232C" w14:textId="77777777" w:rsidTr="00E8288C">
        <w:trPr>
          <w:trHeight w:hRule="exact" w:val="437"/>
        </w:trPr>
        <w:tc>
          <w:tcPr>
            <w:tcW w:w="1863" w:type="dxa"/>
            <w:shd w:val="clear" w:color="auto" w:fill="auto"/>
          </w:tcPr>
          <w:p w14:paraId="0B9B8ABA" w14:textId="77777777" w:rsidR="00E8288C" w:rsidRPr="00DE12A3" w:rsidRDefault="00E8288C" w:rsidP="00C917D6">
            <w:pPr>
              <w:spacing w:before="120" w:after="120"/>
              <w:rPr>
                <w:rFonts w:cs="Times New Roman"/>
                <w:color w:val="auto"/>
                <w:sz w:val="20"/>
                <w:szCs w:val="20"/>
              </w:rPr>
            </w:pPr>
          </w:p>
        </w:tc>
        <w:tc>
          <w:tcPr>
            <w:tcW w:w="1814" w:type="dxa"/>
            <w:shd w:val="clear" w:color="auto" w:fill="auto"/>
          </w:tcPr>
          <w:p w14:paraId="6925A89B" w14:textId="77777777" w:rsidR="00E8288C" w:rsidRPr="00DE12A3" w:rsidRDefault="00E8288C" w:rsidP="00C917D6">
            <w:pPr>
              <w:pStyle w:val="NormalCentered"/>
            </w:pPr>
            <w:r w:rsidRPr="00DE12A3">
              <w:t>Devir</w:t>
            </w:r>
          </w:p>
        </w:tc>
        <w:tc>
          <w:tcPr>
            <w:tcW w:w="1810" w:type="dxa"/>
            <w:shd w:val="clear" w:color="auto" w:fill="auto"/>
          </w:tcPr>
          <w:p w14:paraId="64C2347F" w14:textId="77777777" w:rsidR="00E8288C" w:rsidRPr="00DE12A3" w:rsidRDefault="00E8288C" w:rsidP="00C917D6">
            <w:pPr>
              <w:pStyle w:val="NormalCentered"/>
            </w:pPr>
            <w:r w:rsidRPr="00DE12A3">
              <w:t>Tork</w:t>
            </w:r>
          </w:p>
        </w:tc>
        <w:tc>
          <w:tcPr>
            <w:tcW w:w="3585" w:type="dxa"/>
            <w:shd w:val="clear" w:color="auto" w:fill="auto"/>
          </w:tcPr>
          <w:p w14:paraId="0964E573" w14:textId="77777777" w:rsidR="00E8288C" w:rsidRPr="00DE12A3" w:rsidRDefault="00E8288C" w:rsidP="00C917D6">
            <w:pPr>
              <w:pStyle w:val="NormalCentered"/>
            </w:pPr>
            <w:r w:rsidRPr="00DE12A3">
              <w:t>Güç</w:t>
            </w:r>
          </w:p>
        </w:tc>
      </w:tr>
      <w:tr w:rsidR="00DE12A3" w:rsidRPr="00DE12A3" w14:paraId="7BBF0EBB" w14:textId="77777777" w:rsidTr="001B5AE1">
        <w:trPr>
          <w:trHeight w:hRule="exact" w:val="1121"/>
        </w:trPr>
        <w:tc>
          <w:tcPr>
            <w:tcW w:w="1863" w:type="dxa"/>
            <w:shd w:val="clear" w:color="auto" w:fill="auto"/>
          </w:tcPr>
          <w:p w14:paraId="1F294A3E" w14:textId="77777777" w:rsidR="00E8288C" w:rsidRPr="00DE12A3" w:rsidRDefault="004D1FEF" w:rsidP="00C917D6">
            <w:pPr>
              <w:pStyle w:val="NormalLeft"/>
            </w:pPr>
            <w:r w:rsidRPr="00DE12A3">
              <w:t>Y’nin</w:t>
            </w:r>
            <w:r w:rsidR="00E8288C" w:rsidRPr="00DE12A3">
              <w:t xml:space="preserve"> x üzerindeki standart tahmin hatası (SEE)</w:t>
            </w:r>
          </w:p>
        </w:tc>
        <w:tc>
          <w:tcPr>
            <w:tcW w:w="1814" w:type="dxa"/>
            <w:shd w:val="clear" w:color="auto" w:fill="auto"/>
          </w:tcPr>
          <w:p w14:paraId="0E11FEB9" w14:textId="77777777" w:rsidR="00E8288C" w:rsidRPr="00DE12A3" w:rsidRDefault="004D1FEF" w:rsidP="00C917D6">
            <w:pPr>
              <w:pStyle w:val="NormalLeft"/>
            </w:pPr>
            <w:r w:rsidRPr="00DE12A3">
              <w:t>Nominal</w:t>
            </w:r>
            <w:r w:rsidR="00E8288C" w:rsidRPr="00DE12A3">
              <w:t xml:space="preserve"> devrin en çok %1'i</w:t>
            </w:r>
          </w:p>
        </w:tc>
        <w:tc>
          <w:tcPr>
            <w:tcW w:w="1810" w:type="dxa"/>
            <w:shd w:val="clear" w:color="auto" w:fill="auto"/>
          </w:tcPr>
          <w:p w14:paraId="6365BCA5" w14:textId="77777777" w:rsidR="00E8288C" w:rsidRPr="00DE12A3" w:rsidRDefault="004D1FEF" w:rsidP="00C917D6">
            <w:pPr>
              <w:pStyle w:val="NormalLeft"/>
            </w:pPr>
            <w:r w:rsidRPr="00DE12A3">
              <w:t>Azami</w:t>
            </w:r>
            <w:r w:rsidR="00E8288C" w:rsidRPr="00DE12A3">
              <w:t xml:space="preserve"> motor torkunun en çok %2'si</w:t>
            </w:r>
          </w:p>
        </w:tc>
        <w:tc>
          <w:tcPr>
            <w:tcW w:w="3585" w:type="dxa"/>
            <w:shd w:val="clear" w:color="auto" w:fill="auto"/>
          </w:tcPr>
          <w:p w14:paraId="5103040C" w14:textId="77777777" w:rsidR="00E8288C" w:rsidRPr="00DE12A3" w:rsidRDefault="004D1FEF" w:rsidP="00C917D6">
            <w:pPr>
              <w:pStyle w:val="NormalLeft"/>
            </w:pPr>
            <w:r w:rsidRPr="00DE12A3">
              <w:t>Azami</w:t>
            </w:r>
            <w:r w:rsidR="00E8288C" w:rsidRPr="00DE12A3">
              <w:t xml:space="preserve"> motor gücünün en çok %2'si</w:t>
            </w:r>
          </w:p>
        </w:tc>
      </w:tr>
      <w:tr w:rsidR="00DE12A3" w:rsidRPr="00DE12A3" w14:paraId="32A367A1" w14:textId="77777777" w:rsidTr="001B5AE1">
        <w:trPr>
          <w:trHeight w:hRule="exact" w:val="1265"/>
        </w:trPr>
        <w:tc>
          <w:tcPr>
            <w:tcW w:w="1863" w:type="dxa"/>
            <w:shd w:val="clear" w:color="auto" w:fill="auto"/>
          </w:tcPr>
          <w:p w14:paraId="6BA51BFC" w14:textId="77777777" w:rsidR="00E8288C" w:rsidRPr="00DE12A3" w:rsidRDefault="00E8288C" w:rsidP="00C917D6">
            <w:pPr>
              <w:pStyle w:val="NormalLeft"/>
            </w:pPr>
            <w:r w:rsidRPr="00DE12A3">
              <w:t>Regresyon doğrusunun eğimi, a1</w:t>
            </w:r>
          </w:p>
        </w:tc>
        <w:tc>
          <w:tcPr>
            <w:tcW w:w="1814" w:type="dxa"/>
            <w:shd w:val="clear" w:color="auto" w:fill="auto"/>
          </w:tcPr>
          <w:p w14:paraId="382F7CB9" w14:textId="77777777" w:rsidR="00E8288C" w:rsidRPr="00DE12A3" w:rsidRDefault="00E8288C" w:rsidP="00C917D6">
            <w:pPr>
              <w:pStyle w:val="NormalLeft"/>
            </w:pPr>
            <w:r w:rsidRPr="00DE12A3">
              <w:t>0,99 - 1,01</w:t>
            </w:r>
          </w:p>
        </w:tc>
        <w:tc>
          <w:tcPr>
            <w:tcW w:w="1810" w:type="dxa"/>
            <w:shd w:val="clear" w:color="auto" w:fill="auto"/>
          </w:tcPr>
          <w:p w14:paraId="10D08786" w14:textId="77777777" w:rsidR="00E8288C" w:rsidRPr="00DE12A3" w:rsidRDefault="00E8288C" w:rsidP="00C917D6">
            <w:pPr>
              <w:pStyle w:val="NormalLeft"/>
            </w:pPr>
            <w:r w:rsidRPr="00DE12A3">
              <w:t>0,98 - 1,02</w:t>
            </w:r>
          </w:p>
        </w:tc>
        <w:tc>
          <w:tcPr>
            <w:tcW w:w="3585" w:type="dxa"/>
            <w:shd w:val="clear" w:color="auto" w:fill="auto"/>
          </w:tcPr>
          <w:p w14:paraId="2AEBC9A4" w14:textId="77777777" w:rsidR="00E8288C" w:rsidRPr="00DE12A3" w:rsidRDefault="00E8288C" w:rsidP="00C917D6">
            <w:pPr>
              <w:pStyle w:val="NormalLeft"/>
            </w:pPr>
            <w:r w:rsidRPr="00DE12A3">
              <w:t>0,98 - 1,02</w:t>
            </w:r>
          </w:p>
        </w:tc>
      </w:tr>
      <w:tr w:rsidR="00DE12A3" w:rsidRPr="00DE12A3" w14:paraId="7CE7D39B" w14:textId="77777777" w:rsidTr="001B5AE1">
        <w:trPr>
          <w:trHeight w:hRule="exact" w:val="999"/>
        </w:trPr>
        <w:tc>
          <w:tcPr>
            <w:tcW w:w="1863" w:type="dxa"/>
            <w:shd w:val="clear" w:color="auto" w:fill="auto"/>
          </w:tcPr>
          <w:p w14:paraId="41CB572B" w14:textId="77777777" w:rsidR="00E8288C" w:rsidRPr="00DE12A3" w:rsidRDefault="00E8288C" w:rsidP="00C917D6">
            <w:pPr>
              <w:pStyle w:val="NormalLeft"/>
            </w:pPr>
            <w:r w:rsidRPr="00DE12A3">
              <w:t>Belirleme katsayısı, r2</w:t>
            </w:r>
          </w:p>
        </w:tc>
        <w:tc>
          <w:tcPr>
            <w:tcW w:w="1814" w:type="dxa"/>
            <w:shd w:val="clear" w:color="auto" w:fill="auto"/>
          </w:tcPr>
          <w:p w14:paraId="30DBD1A2" w14:textId="77777777" w:rsidR="00E8288C" w:rsidRPr="00DE12A3" w:rsidRDefault="004D1FEF" w:rsidP="00C917D6">
            <w:pPr>
              <w:pStyle w:val="NormalLeft"/>
            </w:pPr>
            <w:r w:rsidRPr="00DE12A3">
              <w:t>En</w:t>
            </w:r>
            <w:r w:rsidR="00E8288C" w:rsidRPr="00DE12A3">
              <w:t xml:space="preserve"> az 0,990</w:t>
            </w:r>
          </w:p>
        </w:tc>
        <w:tc>
          <w:tcPr>
            <w:tcW w:w="1810" w:type="dxa"/>
            <w:shd w:val="clear" w:color="auto" w:fill="auto"/>
          </w:tcPr>
          <w:p w14:paraId="7C05F27D" w14:textId="77777777" w:rsidR="00E8288C" w:rsidRPr="00DE12A3" w:rsidRDefault="004D1FEF" w:rsidP="00C917D6">
            <w:pPr>
              <w:pStyle w:val="NormalLeft"/>
            </w:pPr>
            <w:r w:rsidRPr="00DE12A3">
              <w:t>En</w:t>
            </w:r>
            <w:r w:rsidR="00E8288C" w:rsidRPr="00DE12A3">
              <w:t xml:space="preserve"> az 0,950</w:t>
            </w:r>
          </w:p>
        </w:tc>
        <w:tc>
          <w:tcPr>
            <w:tcW w:w="3585" w:type="dxa"/>
            <w:shd w:val="clear" w:color="auto" w:fill="auto"/>
          </w:tcPr>
          <w:p w14:paraId="0B349FEC" w14:textId="77777777" w:rsidR="00E8288C" w:rsidRPr="00DE12A3" w:rsidRDefault="004D1FEF" w:rsidP="00C917D6">
            <w:pPr>
              <w:pStyle w:val="NormalLeft"/>
            </w:pPr>
            <w:r w:rsidRPr="00DE12A3">
              <w:t>En</w:t>
            </w:r>
            <w:r w:rsidR="00E8288C" w:rsidRPr="00DE12A3">
              <w:t xml:space="preserve"> az 0,950</w:t>
            </w:r>
          </w:p>
        </w:tc>
      </w:tr>
      <w:tr w:rsidR="00DE12A3" w:rsidRPr="00DE12A3" w14:paraId="75F35BE4" w14:textId="77777777" w:rsidTr="00E8288C">
        <w:trPr>
          <w:trHeight w:hRule="exact" w:val="1272"/>
        </w:trPr>
        <w:tc>
          <w:tcPr>
            <w:tcW w:w="1863" w:type="dxa"/>
            <w:shd w:val="clear" w:color="auto" w:fill="auto"/>
          </w:tcPr>
          <w:p w14:paraId="64ADEE52" w14:textId="77777777" w:rsidR="00E8288C" w:rsidRPr="00DE12A3" w:rsidRDefault="004D1FEF" w:rsidP="00C917D6">
            <w:pPr>
              <w:pStyle w:val="NormalLeft"/>
            </w:pPr>
            <w:r w:rsidRPr="00DE12A3">
              <w:rPr>
                <w:i/>
                <w:iCs/>
              </w:rPr>
              <w:t>Regresyon</w:t>
            </w:r>
            <w:r w:rsidR="00E8288C" w:rsidRPr="00DE12A3">
              <w:rPr>
                <w:i/>
                <w:iCs/>
              </w:rPr>
              <w:t xml:space="preserve"> doğrusunun y kesişimi, a</w:t>
            </w:r>
            <w:r w:rsidR="00E8288C" w:rsidRPr="00DE12A3">
              <w:rPr>
                <w:i/>
                <w:iCs/>
                <w:vertAlign w:val="subscript"/>
              </w:rPr>
              <w:t>0</w:t>
            </w:r>
          </w:p>
        </w:tc>
        <w:tc>
          <w:tcPr>
            <w:tcW w:w="1814" w:type="dxa"/>
            <w:shd w:val="clear" w:color="auto" w:fill="auto"/>
          </w:tcPr>
          <w:p w14:paraId="7F9CBA4B" w14:textId="77777777" w:rsidR="00E8288C" w:rsidRPr="00DE12A3" w:rsidRDefault="00E8288C" w:rsidP="00C917D6">
            <w:pPr>
              <w:pStyle w:val="NormalLeft"/>
            </w:pPr>
            <w:r w:rsidRPr="00DE12A3">
              <w:t>Nominal devir ±%1</w:t>
            </w:r>
          </w:p>
        </w:tc>
        <w:tc>
          <w:tcPr>
            <w:tcW w:w="1810" w:type="dxa"/>
            <w:shd w:val="clear" w:color="auto" w:fill="auto"/>
          </w:tcPr>
          <w:p w14:paraId="3AA3CEC6" w14:textId="77777777" w:rsidR="00E8288C" w:rsidRPr="00DE12A3" w:rsidRDefault="00E8288C" w:rsidP="00C917D6">
            <w:pPr>
              <w:pStyle w:val="NormalLeft"/>
            </w:pPr>
            <w:r w:rsidRPr="00DE12A3">
              <w:t>Hangisi daha büyükse, ± 20 Nm veya azami torkun %2'si</w:t>
            </w:r>
          </w:p>
        </w:tc>
        <w:tc>
          <w:tcPr>
            <w:tcW w:w="3585" w:type="dxa"/>
            <w:shd w:val="clear" w:color="auto" w:fill="auto"/>
          </w:tcPr>
          <w:p w14:paraId="394061C4" w14:textId="77777777" w:rsidR="00E8288C" w:rsidRPr="00DE12A3" w:rsidRDefault="00E8288C" w:rsidP="00C917D6">
            <w:pPr>
              <w:pStyle w:val="NormalLeft"/>
            </w:pPr>
            <w:r w:rsidRPr="00DE12A3">
              <w:t>Hangisi daha büyükse, ± 4 kW veya azami gücün %2'si</w:t>
            </w:r>
          </w:p>
        </w:tc>
      </w:tr>
    </w:tbl>
    <w:p w14:paraId="141922CE" w14:textId="77777777" w:rsidR="005240A0" w:rsidRPr="00DE12A3" w:rsidRDefault="005240A0" w:rsidP="00C917D6">
      <w:pPr>
        <w:pStyle w:val="Gvdemetni250"/>
        <w:shd w:val="clear" w:color="auto" w:fill="auto"/>
        <w:spacing w:before="120" w:after="120" w:line="240" w:lineRule="auto"/>
        <w:ind w:left="709" w:hanging="709"/>
        <w:rPr>
          <w:sz w:val="20"/>
          <w:szCs w:val="20"/>
        </w:rPr>
      </w:pPr>
    </w:p>
    <w:p w14:paraId="2358FEBF" w14:textId="3816EB51" w:rsidR="002D7B36" w:rsidRPr="00DE12A3" w:rsidRDefault="00242DA0" w:rsidP="00C917D6">
      <w:pPr>
        <w:pStyle w:val="Gvdemetni250"/>
        <w:shd w:val="clear" w:color="auto" w:fill="auto"/>
        <w:spacing w:before="120" w:after="120" w:line="240" w:lineRule="auto"/>
        <w:ind w:left="1134" w:firstLine="0"/>
        <w:rPr>
          <w:sz w:val="24"/>
          <w:szCs w:val="24"/>
        </w:rPr>
      </w:pPr>
      <w:r w:rsidRPr="00DE12A3">
        <w:rPr>
          <w:sz w:val="24"/>
          <w:szCs w:val="24"/>
        </w:rPr>
        <w:t xml:space="preserve">RMC testinin bir </w:t>
      </w:r>
      <w:r w:rsidR="00951351" w:rsidRPr="00DE12A3">
        <w:rPr>
          <w:sz w:val="24"/>
          <w:szCs w:val="24"/>
        </w:rPr>
        <w:t xml:space="preserve">süreksiz </w:t>
      </w:r>
      <w:r w:rsidRPr="00DE12A3">
        <w:rPr>
          <w:sz w:val="24"/>
          <w:szCs w:val="24"/>
        </w:rPr>
        <w:t>test tezgahında yapılmaması halinde, saniye saniye devir ve tork değerleri olmadığında, aşağıdaki doğrulama kriterleri kullanılır.</w:t>
      </w:r>
    </w:p>
    <w:p w14:paraId="2831AAEC" w14:textId="77777777" w:rsidR="002D7B36" w:rsidRPr="00DE12A3" w:rsidRDefault="00242DA0" w:rsidP="00C917D6">
      <w:pPr>
        <w:pStyle w:val="Gvdemetni250"/>
        <w:shd w:val="clear" w:color="auto" w:fill="auto"/>
        <w:spacing w:before="120" w:after="120" w:line="240" w:lineRule="auto"/>
        <w:ind w:left="1134" w:firstLine="0"/>
        <w:rPr>
          <w:sz w:val="24"/>
          <w:szCs w:val="24"/>
        </w:rPr>
      </w:pPr>
      <w:r w:rsidRPr="00DE12A3">
        <w:rPr>
          <w:sz w:val="24"/>
          <w:szCs w:val="24"/>
        </w:rPr>
        <w:t xml:space="preserve">Her modda devir ve tork toleranslarına ilişkin şartlar 7.8.1.3 bendinde verilmiştir. 20 s doğrusal devir ve RMC </w:t>
      </w:r>
      <w:r w:rsidR="00951351" w:rsidRPr="00DE12A3">
        <w:rPr>
          <w:sz w:val="24"/>
          <w:szCs w:val="24"/>
        </w:rPr>
        <w:t xml:space="preserve">  kararlı </w:t>
      </w:r>
      <w:r w:rsidR="004E7F54" w:rsidRPr="00DE12A3">
        <w:rPr>
          <w:sz w:val="24"/>
          <w:szCs w:val="24"/>
        </w:rPr>
        <w:t>durum test</w:t>
      </w:r>
      <w:r w:rsidRPr="00DE12A3">
        <w:rPr>
          <w:sz w:val="24"/>
          <w:szCs w:val="24"/>
        </w:rPr>
        <w:t xml:space="preserve"> modları arasındaki doğrusal tork geçişleri için (7.4.1.2), aşağıdaki rampa devir ve yük toleransları uygulanır:</w:t>
      </w:r>
    </w:p>
    <w:p w14:paraId="1476E8CB" w14:textId="77777777" w:rsidR="0040229E" w:rsidRPr="00DE12A3" w:rsidRDefault="0040229E" w:rsidP="00C917D6">
      <w:pPr>
        <w:pStyle w:val="Gvdemetni250"/>
        <w:shd w:val="clear" w:color="auto" w:fill="auto"/>
        <w:spacing w:before="120" w:after="120" w:line="240" w:lineRule="auto"/>
        <w:ind w:left="1134" w:firstLine="0"/>
        <w:rPr>
          <w:sz w:val="24"/>
          <w:szCs w:val="24"/>
        </w:rPr>
      </w:pPr>
    </w:p>
    <w:p w14:paraId="30CD6B0B" w14:textId="624E482F" w:rsidR="002D7B36" w:rsidRPr="00DE12A3" w:rsidRDefault="005240A0" w:rsidP="00E20716">
      <w:pPr>
        <w:pStyle w:val="Gvdemetni250"/>
        <w:numPr>
          <w:ilvl w:val="0"/>
          <w:numId w:val="188"/>
        </w:numPr>
        <w:shd w:val="clear" w:color="auto" w:fill="auto"/>
        <w:spacing w:before="120" w:after="120" w:line="240" w:lineRule="auto"/>
        <w:ind w:left="1701" w:hanging="567"/>
        <w:rPr>
          <w:sz w:val="24"/>
          <w:szCs w:val="24"/>
        </w:rPr>
      </w:pPr>
      <w:r w:rsidRPr="00DE12A3">
        <w:rPr>
          <w:sz w:val="24"/>
          <w:szCs w:val="24"/>
        </w:rPr>
        <w:t>D</w:t>
      </w:r>
      <w:r w:rsidR="00242DA0" w:rsidRPr="00DE12A3">
        <w:rPr>
          <w:sz w:val="24"/>
          <w:szCs w:val="24"/>
        </w:rPr>
        <w:t>evir, nominal devir ±</w:t>
      </w:r>
      <w:r w:rsidR="00940297" w:rsidRPr="00DE12A3">
        <w:rPr>
          <w:sz w:val="24"/>
          <w:szCs w:val="24"/>
        </w:rPr>
        <w:t>%2</w:t>
      </w:r>
      <w:r w:rsidR="00242DA0" w:rsidRPr="00DE12A3">
        <w:rPr>
          <w:sz w:val="24"/>
          <w:szCs w:val="24"/>
        </w:rPr>
        <w:t xml:space="preserve"> aralığı içinde doğrusal tutulur</w:t>
      </w:r>
      <w:r w:rsidR="00675CA7" w:rsidRPr="00DE12A3">
        <w:rPr>
          <w:sz w:val="24"/>
          <w:szCs w:val="24"/>
        </w:rPr>
        <w:t>.</w:t>
      </w:r>
    </w:p>
    <w:p w14:paraId="539060C8" w14:textId="77777777" w:rsidR="002D7B36" w:rsidRPr="00DE12A3" w:rsidRDefault="005240A0" w:rsidP="00E20716">
      <w:pPr>
        <w:pStyle w:val="Gvdemetni250"/>
        <w:numPr>
          <w:ilvl w:val="0"/>
          <w:numId w:val="188"/>
        </w:numPr>
        <w:shd w:val="clear" w:color="auto" w:fill="auto"/>
        <w:spacing w:before="120" w:after="120" w:line="240" w:lineRule="auto"/>
        <w:ind w:left="1701" w:hanging="567"/>
        <w:rPr>
          <w:sz w:val="24"/>
          <w:szCs w:val="24"/>
        </w:rPr>
      </w:pPr>
      <w:r w:rsidRPr="00DE12A3">
        <w:rPr>
          <w:sz w:val="24"/>
          <w:szCs w:val="24"/>
        </w:rPr>
        <w:t>T</w:t>
      </w:r>
      <w:r w:rsidR="00242DA0" w:rsidRPr="00DE12A3">
        <w:rPr>
          <w:sz w:val="24"/>
          <w:szCs w:val="24"/>
        </w:rPr>
        <w:t xml:space="preserve">ork, nominal devirdeki azami tork ± </w:t>
      </w:r>
      <w:r w:rsidRPr="00DE12A3">
        <w:rPr>
          <w:sz w:val="24"/>
          <w:szCs w:val="24"/>
        </w:rPr>
        <w:t>%5</w:t>
      </w:r>
      <w:r w:rsidR="00242DA0" w:rsidRPr="00DE12A3">
        <w:rPr>
          <w:sz w:val="24"/>
          <w:szCs w:val="24"/>
        </w:rPr>
        <w:t xml:space="preserve"> aralığı içinde doğrusal tutulur.</w:t>
      </w:r>
    </w:p>
    <w:p w14:paraId="64DDC60D" w14:textId="77777777" w:rsidR="002D7B36" w:rsidRPr="00DE12A3" w:rsidRDefault="00242DA0" w:rsidP="00E20716">
      <w:pPr>
        <w:pStyle w:val="ListeParagraf"/>
        <w:numPr>
          <w:ilvl w:val="2"/>
          <w:numId w:val="447"/>
        </w:numPr>
        <w:spacing w:before="120" w:after="120"/>
        <w:jc w:val="both"/>
        <w:rPr>
          <w:rFonts w:cs="Times New Roman"/>
          <w:color w:val="auto"/>
        </w:rPr>
      </w:pPr>
      <w:r w:rsidRPr="00DE12A3">
        <w:rPr>
          <w:rFonts w:cs="Times New Roman"/>
          <w:color w:val="auto"/>
        </w:rPr>
        <w:t xml:space="preserve">  </w:t>
      </w:r>
      <w:r w:rsidR="005240A0" w:rsidRPr="00DE12A3">
        <w:rPr>
          <w:rFonts w:cs="Times New Roman"/>
          <w:color w:val="auto"/>
        </w:rPr>
        <w:t xml:space="preserve">    </w:t>
      </w:r>
      <w:r w:rsidR="00951351" w:rsidRPr="00DE12A3">
        <w:rPr>
          <w:rFonts w:cs="Times New Roman"/>
          <w:color w:val="auto"/>
        </w:rPr>
        <w:t xml:space="preserve">  </w:t>
      </w:r>
      <w:r w:rsidR="004D1FEF" w:rsidRPr="00DE12A3">
        <w:rPr>
          <w:rFonts w:cs="Times New Roman"/>
          <w:color w:val="auto"/>
        </w:rPr>
        <w:t>S</w:t>
      </w:r>
      <w:r w:rsidR="00951351" w:rsidRPr="00DE12A3">
        <w:rPr>
          <w:rFonts w:cs="Times New Roman"/>
          <w:color w:val="auto"/>
        </w:rPr>
        <w:t xml:space="preserve">üreksiz </w:t>
      </w:r>
      <w:r w:rsidRPr="00DE12A3">
        <w:rPr>
          <w:rFonts w:cs="Times New Roman"/>
          <w:color w:val="auto"/>
        </w:rPr>
        <w:t xml:space="preserve">(NRTC ve LSI-NRTC) test </w:t>
      </w:r>
      <w:r w:rsidR="00F310B5" w:rsidRPr="00DE12A3">
        <w:rPr>
          <w:rFonts w:cs="Times New Roman"/>
          <w:color w:val="auto"/>
        </w:rPr>
        <w:t>çevrim</w:t>
      </w:r>
      <w:r w:rsidRPr="00DE12A3">
        <w:rPr>
          <w:rFonts w:cs="Times New Roman"/>
          <w:color w:val="auto"/>
        </w:rPr>
        <w:t>leri</w:t>
      </w:r>
    </w:p>
    <w:p w14:paraId="2B03C20E" w14:textId="187E5792" w:rsidR="002D7B36" w:rsidRPr="00DE12A3" w:rsidRDefault="005240A0" w:rsidP="00C917D6">
      <w:pPr>
        <w:pStyle w:val="Gvdemetni250"/>
        <w:shd w:val="clear" w:color="auto" w:fill="auto"/>
        <w:spacing w:before="120" w:after="120" w:line="240" w:lineRule="auto"/>
        <w:ind w:left="1134" w:hanging="1134"/>
        <w:rPr>
          <w:sz w:val="24"/>
          <w:szCs w:val="24"/>
        </w:rPr>
      </w:pPr>
      <w:r w:rsidRPr="00DE12A3">
        <w:rPr>
          <w:sz w:val="24"/>
          <w:szCs w:val="24"/>
        </w:rPr>
        <w:t xml:space="preserve">                  </w:t>
      </w:r>
      <w:r w:rsidR="00242DA0" w:rsidRPr="00DE12A3">
        <w:rPr>
          <w:sz w:val="24"/>
          <w:szCs w:val="24"/>
        </w:rPr>
        <w:t xml:space="preserve">NRTC ve LSI-NRTC'nin gerçekleştirilmesi için referans devirler ve tork </w:t>
      </w:r>
      <w:r w:rsidR="00242DA0" w:rsidRPr="00DE12A3">
        <w:rPr>
          <w:sz w:val="24"/>
          <w:szCs w:val="24"/>
        </w:rPr>
        <w:lastRenderedPageBreak/>
        <w:t>komutları</w:t>
      </w:r>
      <w:r w:rsidR="00675CA7" w:rsidRPr="00DE12A3">
        <w:rPr>
          <w:sz w:val="24"/>
          <w:szCs w:val="24"/>
        </w:rPr>
        <w:t xml:space="preserve"> </w:t>
      </w:r>
      <w:r w:rsidR="00242DA0" w:rsidRPr="00DE12A3">
        <w:rPr>
          <w:sz w:val="24"/>
          <w:szCs w:val="24"/>
        </w:rPr>
        <w:t xml:space="preserve">sırayla uygulanır. Hız ve tork komutları en az 5 Hz frekansta verilmelidir. Referans test </w:t>
      </w:r>
      <w:r w:rsidR="00F310B5" w:rsidRPr="00DE12A3">
        <w:rPr>
          <w:sz w:val="24"/>
          <w:szCs w:val="24"/>
        </w:rPr>
        <w:t>çevrimi</w:t>
      </w:r>
      <w:r w:rsidR="00242DA0" w:rsidRPr="00DE12A3">
        <w:rPr>
          <w:sz w:val="24"/>
          <w:szCs w:val="24"/>
        </w:rPr>
        <w:t xml:space="preserve"> 1 Hz'de belirtildiği için, aradaki devir ve tork komutları, </w:t>
      </w:r>
      <w:r w:rsidR="00F310B5" w:rsidRPr="00DE12A3">
        <w:rPr>
          <w:sz w:val="24"/>
          <w:szCs w:val="24"/>
        </w:rPr>
        <w:t>çevrim</w:t>
      </w:r>
      <w:r w:rsidR="00242DA0" w:rsidRPr="00DE12A3">
        <w:rPr>
          <w:sz w:val="24"/>
          <w:szCs w:val="24"/>
        </w:rPr>
        <w:t xml:space="preserve"> üretiminden elde edilen referans tork değerlerinden doğrusal enterpolasyonla oluşturulmalıdır.</w:t>
      </w:r>
    </w:p>
    <w:p w14:paraId="4A386B0D" w14:textId="77777777" w:rsidR="002D7B36" w:rsidRPr="00DE12A3" w:rsidRDefault="005240A0" w:rsidP="00C917D6">
      <w:pPr>
        <w:pStyle w:val="Gvdemetni250"/>
        <w:shd w:val="clear" w:color="auto" w:fill="auto"/>
        <w:spacing w:before="120" w:after="120" w:line="240" w:lineRule="auto"/>
        <w:ind w:left="1134" w:hanging="1134"/>
        <w:rPr>
          <w:sz w:val="24"/>
          <w:szCs w:val="24"/>
        </w:rPr>
      </w:pPr>
      <w:r w:rsidRPr="00DE12A3">
        <w:rPr>
          <w:sz w:val="24"/>
          <w:szCs w:val="24"/>
        </w:rPr>
        <w:t xml:space="preserve">                  </w:t>
      </w:r>
      <w:r w:rsidR="00242DA0" w:rsidRPr="00DE12A3">
        <w:rPr>
          <w:sz w:val="24"/>
          <w:szCs w:val="24"/>
        </w:rPr>
        <w:t xml:space="preserve">Sıcak rölanti devrine yakın küçük denormalize edilmiş devir değerleri, düşük devirli rölanti </w:t>
      </w:r>
      <w:r w:rsidR="003069A1" w:rsidRPr="00DE12A3">
        <w:rPr>
          <w:sz w:val="24"/>
          <w:szCs w:val="24"/>
        </w:rPr>
        <w:t>ayar tertibatlarının</w:t>
      </w:r>
      <w:r w:rsidR="00242DA0" w:rsidRPr="00DE12A3">
        <w:rPr>
          <w:sz w:val="24"/>
          <w:szCs w:val="24"/>
        </w:rPr>
        <w:t xml:space="preserve"> devreye girmesine ve operatör talebi asgaride olsa bile motor torkunun referans torkunu aşmasına neden olabilir. Bu tür durumlarda dinamometrenin, referans devir yerine referans torkun izlenmesine öncelik verecek ve motorun deviri yönetmesine izin verecek şekilde kontrol edilmesi tavsiye edilir.</w:t>
      </w:r>
    </w:p>
    <w:p w14:paraId="716FB500" w14:textId="77777777" w:rsidR="002D7B36" w:rsidRPr="00DE12A3" w:rsidRDefault="005240A0" w:rsidP="00C917D6">
      <w:pPr>
        <w:pStyle w:val="Gvdemetni250"/>
        <w:shd w:val="clear" w:color="auto" w:fill="auto"/>
        <w:spacing w:before="120" w:after="120" w:line="240" w:lineRule="auto"/>
        <w:ind w:left="1134" w:hanging="1134"/>
        <w:rPr>
          <w:sz w:val="24"/>
          <w:szCs w:val="24"/>
        </w:rPr>
      </w:pPr>
      <w:r w:rsidRPr="00DE12A3">
        <w:rPr>
          <w:sz w:val="24"/>
          <w:szCs w:val="24"/>
        </w:rPr>
        <w:t xml:space="preserve">                  </w:t>
      </w:r>
      <w:r w:rsidR="00242DA0" w:rsidRPr="00DE12A3">
        <w:rPr>
          <w:sz w:val="24"/>
          <w:szCs w:val="24"/>
        </w:rPr>
        <w:t xml:space="preserve">Soğuk çalıştırma koşullarında motorlar, motoru ve egzoz </w:t>
      </w:r>
      <w:r w:rsidR="007E2039" w:rsidRPr="00DE12A3">
        <w:rPr>
          <w:sz w:val="24"/>
          <w:szCs w:val="24"/>
        </w:rPr>
        <w:t xml:space="preserve">arıtma </w:t>
      </w:r>
      <w:r w:rsidR="00242DA0" w:rsidRPr="00DE12A3">
        <w:rPr>
          <w:sz w:val="24"/>
          <w:szCs w:val="24"/>
        </w:rPr>
        <w:t>sistemini hızlı bir şekilde ısıtmak için gelişmiş bir rölanti cihazı kullanabilir. Bu koşullar altında, çok düşük normalize edilmiş devirler, bu daha da geliştirilmiş rölanti devrinin altında referans devirler üretecektir. Bu durumda dinamometrenin, referans torkun izlenmesine öncelik verecek ve operatör talebi asgaride olduğunda motorun deviri yönetmesine izin verecek şekilde kontrol edilmesi tavsiye edilir.</w:t>
      </w:r>
    </w:p>
    <w:p w14:paraId="657FB4B0" w14:textId="77777777" w:rsidR="002D7B36" w:rsidRPr="00DE12A3" w:rsidRDefault="005240A0" w:rsidP="00C917D6">
      <w:pPr>
        <w:pStyle w:val="Gvdemetni250"/>
        <w:shd w:val="clear" w:color="auto" w:fill="auto"/>
        <w:spacing w:before="120" w:after="120" w:line="240" w:lineRule="auto"/>
        <w:ind w:left="1134" w:hanging="1134"/>
        <w:rPr>
          <w:sz w:val="24"/>
          <w:szCs w:val="24"/>
        </w:rPr>
      </w:pPr>
      <w:r w:rsidRPr="00DE12A3">
        <w:rPr>
          <w:sz w:val="24"/>
          <w:szCs w:val="24"/>
        </w:rPr>
        <w:t xml:space="preserve">                  </w:t>
      </w:r>
      <w:r w:rsidR="00242DA0" w:rsidRPr="00DE12A3">
        <w:rPr>
          <w:sz w:val="24"/>
          <w:szCs w:val="24"/>
        </w:rPr>
        <w:t>Bir emisyon testi sırasında referans devirler ve torklar ve geri besleme devirleri ve torkları asgari 1 Hz, fakat tercihen 5 Hz veya hatta 10 Hz frekansında kaydedilmelidir. Bu daha büyük kayıt frekansı, referans ile ölçülen geri besleme devir ve tork değerleri arasındaki gecikme süresinin yanıltıcı etkisini en aza indirmeye yardımcı olduğu için önemlidir.</w:t>
      </w:r>
    </w:p>
    <w:p w14:paraId="6F43AF28" w14:textId="77777777" w:rsidR="002D7B36" w:rsidRPr="00DE12A3" w:rsidRDefault="005240A0" w:rsidP="00C917D6">
      <w:pPr>
        <w:pStyle w:val="Gvdemetni250"/>
        <w:shd w:val="clear" w:color="auto" w:fill="auto"/>
        <w:spacing w:before="120" w:after="120" w:line="240" w:lineRule="auto"/>
        <w:ind w:left="1134" w:hanging="1134"/>
        <w:rPr>
          <w:sz w:val="24"/>
          <w:szCs w:val="24"/>
        </w:rPr>
      </w:pPr>
      <w:r w:rsidRPr="00DE12A3">
        <w:rPr>
          <w:sz w:val="24"/>
          <w:szCs w:val="24"/>
        </w:rPr>
        <w:t xml:space="preserve">                  </w:t>
      </w:r>
      <w:r w:rsidR="00242DA0" w:rsidRPr="00DE12A3">
        <w:rPr>
          <w:sz w:val="24"/>
          <w:szCs w:val="24"/>
        </w:rPr>
        <w:t xml:space="preserve">Kaydedilen değerler arasındaki zaman aralığında ortalama değerler kaydedilirse, referans ve geri besleme devirleri ve torkları daha düşük (1 Hz kadar düşük) frekanslarda kaydedilebilir. Ortalama değerler, en az 5 Hz frekansta güncellenen geri besleme değerleri esasında hesaplanır. Bu kaydedilen değerler, </w:t>
      </w:r>
      <w:r w:rsidR="00F310B5" w:rsidRPr="00DE12A3">
        <w:rPr>
          <w:sz w:val="24"/>
          <w:szCs w:val="24"/>
        </w:rPr>
        <w:t>çevrim</w:t>
      </w:r>
      <w:r w:rsidR="00242DA0" w:rsidRPr="00DE12A3">
        <w:rPr>
          <w:sz w:val="24"/>
          <w:szCs w:val="24"/>
        </w:rPr>
        <w:t xml:space="preserve"> doğrulama istatistiklerini ve toplam çalışmayı hesaplamak için kullanılır.</w:t>
      </w:r>
    </w:p>
    <w:p w14:paraId="12A38EF7" w14:textId="77777777" w:rsidR="002D7B36" w:rsidRPr="00DE12A3" w:rsidRDefault="005240A0" w:rsidP="00E20716">
      <w:pPr>
        <w:pStyle w:val="Gvdemetni250"/>
        <w:numPr>
          <w:ilvl w:val="0"/>
          <w:numId w:val="189"/>
        </w:numPr>
        <w:shd w:val="clear" w:color="auto" w:fill="auto"/>
        <w:tabs>
          <w:tab w:val="left" w:pos="851"/>
          <w:tab w:val="right" w:pos="2789"/>
        </w:tabs>
        <w:spacing w:before="120" w:after="120" w:line="240" w:lineRule="auto"/>
        <w:ind w:left="1134" w:hanging="1134"/>
        <w:rPr>
          <w:sz w:val="24"/>
          <w:szCs w:val="24"/>
        </w:rPr>
      </w:pPr>
      <w:r w:rsidRPr="00DE12A3">
        <w:rPr>
          <w:sz w:val="24"/>
          <w:szCs w:val="24"/>
        </w:rPr>
        <w:t xml:space="preserve">    </w:t>
      </w:r>
      <w:r w:rsidR="00242DA0" w:rsidRPr="00DE12A3">
        <w:rPr>
          <w:sz w:val="24"/>
          <w:szCs w:val="24"/>
        </w:rPr>
        <w:t>NRTC testinin gerçekleştirilmesi</w:t>
      </w:r>
    </w:p>
    <w:p w14:paraId="27B04FE8" w14:textId="77777777" w:rsidR="002D7B36" w:rsidRPr="00DE12A3" w:rsidRDefault="005240A0" w:rsidP="00C917D6">
      <w:pPr>
        <w:pStyle w:val="Gvdemetni250"/>
        <w:shd w:val="clear" w:color="auto" w:fill="auto"/>
        <w:spacing w:before="120" w:after="120" w:line="240" w:lineRule="auto"/>
        <w:ind w:left="1134" w:hanging="1134"/>
        <w:rPr>
          <w:sz w:val="24"/>
          <w:szCs w:val="24"/>
        </w:rPr>
      </w:pPr>
      <w:r w:rsidRPr="00DE12A3">
        <w:rPr>
          <w:sz w:val="24"/>
          <w:szCs w:val="24"/>
        </w:rPr>
        <w:t xml:space="preserve">                  </w:t>
      </w:r>
      <w:r w:rsidR="00242DA0" w:rsidRPr="00DE12A3">
        <w:rPr>
          <w:sz w:val="24"/>
          <w:szCs w:val="24"/>
        </w:rPr>
        <w:t>Ön koşullandırma, soğutma ve analiz cihazı kalibrasyonu da dahil olmak üzere ön test prosedürleri 7.3.1 bendi uyarınca gerçekleştirilir.</w:t>
      </w:r>
    </w:p>
    <w:p w14:paraId="31F63745" w14:textId="77777777" w:rsidR="002D7B36" w:rsidRPr="00DE12A3" w:rsidRDefault="005240A0" w:rsidP="00C917D6">
      <w:pPr>
        <w:pStyle w:val="Gvdemetni250"/>
        <w:shd w:val="clear" w:color="auto" w:fill="auto"/>
        <w:spacing w:before="120" w:after="120" w:line="240" w:lineRule="auto"/>
        <w:ind w:left="1134" w:hanging="1134"/>
        <w:rPr>
          <w:sz w:val="24"/>
          <w:szCs w:val="24"/>
        </w:rPr>
      </w:pPr>
      <w:r w:rsidRPr="00DE12A3">
        <w:rPr>
          <w:sz w:val="24"/>
          <w:szCs w:val="24"/>
        </w:rPr>
        <w:t xml:space="preserve">                  </w:t>
      </w:r>
      <w:r w:rsidR="00242DA0" w:rsidRPr="00DE12A3">
        <w:rPr>
          <w:sz w:val="24"/>
          <w:szCs w:val="24"/>
        </w:rPr>
        <w:t>Test aşağıdaki gibi başlamalıdır:</w:t>
      </w:r>
    </w:p>
    <w:p w14:paraId="4DB3308D" w14:textId="77777777" w:rsidR="002D7B36" w:rsidRPr="00DE12A3" w:rsidRDefault="005240A0" w:rsidP="00C917D6">
      <w:pPr>
        <w:pStyle w:val="Gvdemetni250"/>
        <w:shd w:val="clear" w:color="auto" w:fill="auto"/>
        <w:spacing w:before="120" w:after="120" w:line="240" w:lineRule="auto"/>
        <w:ind w:left="1134" w:hanging="1134"/>
        <w:rPr>
          <w:sz w:val="24"/>
          <w:szCs w:val="24"/>
        </w:rPr>
      </w:pPr>
      <w:r w:rsidRPr="00DE12A3">
        <w:rPr>
          <w:sz w:val="24"/>
          <w:szCs w:val="24"/>
        </w:rPr>
        <w:t xml:space="preserve">                  </w:t>
      </w:r>
      <w:r w:rsidR="00242DA0" w:rsidRPr="00DE12A3">
        <w:rPr>
          <w:sz w:val="24"/>
          <w:szCs w:val="24"/>
        </w:rPr>
        <w:t>Test dizisi, motorun, soğuk çalıştırmalı NRTC olması durumunda 7.3.1.2 bendinde belirtilen soğumuş durumundan veya ön ısıtmalı NRTC olması durumunda sıcak ıslatma durumundan hemen sonra başlamalıdır. 7.4.2.1 bendindeki sıra takip edilmelidir.</w:t>
      </w:r>
    </w:p>
    <w:p w14:paraId="6E5A6CEF" w14:textId="433C9293" w:rsidR="002D7B36" w:rsidRPr="00DE12A3" w:rsidRDefault="005240A0" w:rsidP="00C917D6">
      <w:pPr>
        <w:pStyle w:val="Gvdemetni250"/>
        <w:shd w:val="clear" w:color="auto" w:fill="auto"/>
        <w:spacing w:before="120" w:after="120" w:line="240" w:lineRule="auto"/>
        <w:ind w:left="1134" w:hanging="1134"/>
        <w:rPr>
          <w:sz w:val="24"/>
          <w:szCs w:val="24"/>
        </w:rPr>
      </w:pPr>
      <w:r w:rsidRPr="00DE12A3">
        <w:rPr>
          <w:sz w:val="24"/>
          <w:szCs w:val="24"/>
        </w:rPr>
        <w:t xml:space="preserve">                  </w:t>
      </w:r>
      <w:r w:rsidR="00242DA0" w:rsidRPr="00DE12A3">
        <w:rPr>
          <w:sz w:val="24"/>
          <w:szCs w:val="24"/>
        </w:rPr>
        <w:t xml:space="preserve">Veri kaydı, egzoz gazı örneklemesi ve ölçülen değerlerin birleştirilmesi, motorun çalıştırılması ile eş zamanlı olarak başlatılmalıdır. Test </w:t>
      </w:r>
      <w:r w:rsidR="00F310B5" w:rsidRPr="00DE12A3">
        <w:rPr>
          <w:sz w:val="24"/>
          <w:szCs w:val="24"/>
        </w:rPr>
        <w:t>çevrimi</w:t>
      </w:r>
      <w:r w:rsidR="00242DA0" w:rsidRPr="00DE12A3">
        <w:rPr>
          <w:sz w:val="24"/>
          <w:szCs w:val="24"/>
        </w:rPr>
        <w:t>, motor çalıştığında başlatılmalı ve X</w:t>
      </w:r>
      <w:r w:rsidR="00FA0678" w:rsidRPr="00DE12A3">
        <w:rPr>
          <w:sz w:val="24"/>
          <w:szCs w:val="24"/>
        </w:rPr>
        <w:t xml:space="preserve">VII’nci </w:t>
      </w:r>
      <w:r w:rsidR="00483E27" w:rsidRPr="00DE12A3">
        <w:rPr>
          <w:sz w:val="24"/>
          <w:szCs w:val="24"/>
        </w:rPr>
        <w:t>E</w:t>
      </w:r>
      <w:r w:rsidR="00FA0678" w:rsidRPr="00DE12A3">
        <w:rPr>
          <w:sz w:val="24"/>
          <w:szCs w:val="24"/>
        </w:rPr>
        <w:t>k</w:t>
      </w:r>
      <w:r w:rsidR="00242DA0" w:rsidRPr="00DE12A3">
        <w:rPr>
          <w:sz w:val="24"/>
          <w:szCs w:val="24"/>
        </w:rPr>
        <w:t xml:space="preserve">in </w:t>
      </w:r>
      <w:r w:rsidR="00CD23C3" w:rsidRPr="00DE12A3">
        <w:rPr>
          <w:sz w:val="24"/>
          <w:szCs w:val="24"/>
        </w:rPr>
        <w:t>3. Açıklayıcı Ek</w:t>
      </w:r>
      <w:r w:rsidR="00242DA0" w:rsidRPr="00DE12A3">
        <w:rPr>
          <w:sz w:val="24"/>
          <w:szCs w:val="24"/>
        </w:rPr>
        <w:t>indeki çizelgeye göre yürütülmelidir.</w:t>
      </w:r>
    </w:p>
    <w:p w14:paraId="1E11F341" w14:textId="77777777" w:rsidR="002D7B36" w:rsidRPr="00DE12A3" w:rsidRDefault="005240A0" w:rsidP="00C917D6">
      <w:pPr>
        <w:pStyle w:val="Gvdemetni250"/>
        <w:shd w:val="clear" w:color="auto" w:fill="auto"/>
        <w:spacing w:before="120" w:after="120" w:line="240" w:lineRule="auto"/>
        <w:ind w:left="1134" w:hanging="1134"/>
        <w:rPr>
          <w:sz w:val="24"/>
          <w:szCs w:val="24"/>
        </w:rPr>
      </w:pPr>
      <w:r w:rsidRPr="00DE12A3">
        <w:rPr>
          <w:sz w:val="24"/>
          <w:szCs w:val="24"/>
        </w:rPr>
        <w:t xml:space="preserve">                  </w:t>
      </w:r>
      <w:r w:rsidR="00F310B5" w:rsidRPr="00DE12A3">
        <w:rPr>
          <w:sz w:val="24"/>
          <w:szCs w:val="24"/>
        </w:rPr>
        <w:t>Çevrimin</w:t>
      </w:r>
      <w:r w:rsidR="00242DA0" w:rsidRPr="00DE12A3">
        <w:rPr>
          <w:sz w:val="24"/>
          <w:szCs w:val="24"/>
        </w:rPr>
        <w:t xml:space="preserve"> sonunda, sistem tepki süresinin geçmesini sağlamak için tüm sistemler çalıştırılarak örneklemeye devam edilir. Daha sonra, arka plan numunelerinin kaydedilmesi de dahil olmak üzere tüm örnekleme ve kayıt durdurulur. Son olarak, entegrasyon cihazları durdurulur ve test </w:t>
      </w:r>
      <w:r w:rsidR="007E2039" w:rsidRPr="00DE12A3">
        <w:rPr>
          <w:sz w:val="24"/>
          <w:szCs w:val="24"/>
        </w:rPr>
        <w:t>çevrimini</w:t>
      </w:r>
      <w:r w:rsidR="00242DA0" w:rsidRPr="00DE12A3">
        <w:rPr>
          <w:sz w:val="24"/>
          <w:szCs w:val="24"/>
        </w:rPr>
        <w:t>n bitişi kaydedilen veriler içinde belirtilir.</w:t>
      </w:r>
    </w:p>
    <w:p w14:paraId="31ADC3C7" w14:textId="77777777" w:rsidR="002D7B36" w:rsidRPr="00DE12A3" w:rsidRDefault="005240A0" w:rsidP="00C917D6">
      <w:pPr>
        <w:pStyle w:val="Gvdemetni250"/>
        <w:shd w:val="clear" w:color="auto" w:fill="auto"/>
        <w:spacing w:before="120" w:after="120" w:line="240" w:lineRule="auto"/>
        <w:ind w:left="1134" w:hanging="1134"/>
        <w:rPr>
          <w:sz w:val="24"/>
          <w:szCs w:val="24"/>
        </w:rPr>
      </w:pPr>
      <w:r w:rsidRPr="00DE12A3">
        <w:rPr>
          <w:sz w:val="24"/>
          <w:szCs w:val="24"/>
        </w:rPr>
        <w:t xml:space="preserve">                  </w:t>
      </w:r>
      <w:r w:rsidR="00242DA0" w:rsidRPr="00DE12A3">
        <w:rPr>
          <w:sz w:val="24"/>
          <w:szCs w:val="24"/>
        </w:rPr>
        <w:t>7.3.2 bendi uyarınca test sonrası prosedürler gerçekleştirilmelidir.</w:t>
      </w:r>
    </w:p>
    <w:p w14:paraId="723C87DA" w14:textId="77777777" w:rsidR="002D7B36" w:rsidRPr="00DE12A3" w:rsidRDefault="00242DA0" w:rsidP="00E20716">
      <w:pPr>
        <w:pStyle w:val="Gvdemetni250"/>
        <w:numPr>
          <w:ilvl w:val="0"/>
          <w:numId w:val="189"/>
        </w:numPr>
        <w:shd w:val="clear" w:color="auto" w:fill="auto"/>
        <w:spacing w:before="120" w:after="120" w:line="240" w:lineRule="auto"/>
        <w:ind w:left="1134" w:hanging="1134"/>
        <w:rPr>
          <w:sz w:val="24"/>
          <w:szCs w:val="24"/>
        </w:rPr>
      </w:pPr>
      <w:r w:rsidRPr="00DE12A3">
        <w:rPr>
          <w:sz w:val="24"/>
          <w:szCs w:val="24"/>
        </w:rPr>
        <w:t>LSI-NRTC testinin gerçekleştirilmesi</w:t>
      </w:r>
    </w:p>
    <w:p w14:paraId="173498E1" w14:textId="77777777" w:rsidR="002D7B36" w:rsidRPr="00DE12A3" w:rsidRDefault="005240A0" w:rsidP="00C917D6">
      <w:pPr>
        <w:pStyle w:val="Gvdemetni250"/>
        <w:shd w:val="clear" w:color="auto" w:fill="auto"/>
        <w:spacing w:before="120" w:after="120" w:line="240" w:lineRule="auto"/>
        <w:ind w:left="1134" w:hanging="1134"/>
        <w:rPr>
          <w:sz w:val="24"/>
          <w:szCs w:val="24"/>
        </w:rPr>
      </w:pPr>
      <w:r w:rsidRPr="00DE12A3">
        <w:rPr>
          <w:sz w:val="24"/>
          <w:szCs w:val="24"/>
        </w:rPr>
        <w:t xml:space="preserve">                  </w:t>
      </w:r>
      <w:r w:rsidR="00242DA0" w:rsidRPr="00DE12A3">
        <w:rPr>
          <w:sz w:val="24"/>
          <w:szCs w:val="24"/>
        </w:rPr>
        <w:t xml:space="preserve">Ön koşullandırma ve analiz cihazı kalibrasyonu da dahil olmak üzere ön test </w:t>
      </w:r>
      <w:r w:rsidR="00242DA0" w:rsidRPr="00DE12A3">
        <w:rPr>
          <w:sz w:val="24"/>
          <w:szCs w:val="24"/>
        </w:rPr>
        <w:lastRenderedPageBreak/>
        <w:t>prosedürleri 7.3.1 bendi uyarınca gerçekleştirilir.</w:t>
      </w:r>
    </w:p>
    <w:p w14:paraId="57D9ABC1" w14:textId="77777777" w:rsidR="002D7B36" w:rsidRPr="00DE12A3" w:rsidRDefault="005240A0" w:rsidP="00C917D6">
      <w:pPr>
        <w:pStyle w:val="Gvdemetni250"/>
        <w:shd w:val="clear" w:color="auto" w:fill="auto"/>
        <w:spacing w:before="120" w:after="120" w:line="240" w:lineRule="auto"/>
        <w:ind w:left="1134" w:hanging="1134"/>
        <w:rPr>
          <w:sz w:val="24"/>
          <w:szCs w:val="24"/>
        </w:rPr>
      </w:pPr>
      <w:r w:rsidRPr="00DE12A3">
        <w:rPr>
          <w:sz w:val="24"/>
          <w:szCs w:val="24"/>
        </w:rPr>
        <w:t xml:space="preserve">                  </w:t>
      </w:r>
      <w:r w:rsidR="00242DA0" w:rsidRPr="00DE12A3">
        <w:rPr>
          <w:sz w:val="24"/>
          <w:szCs w:val="24"/>
        </w:rPr>
        <w:t>Test aşağıdaki gibi başlamalıdır:</w:t>
      </w:r>
    </w:p>
    <w:p w14:paraId="549EF7E9" w14:textId="77777777" w:rsidR="002D7B36" w:rsidRPr="00DE12A3" w:rsidRDefault="005240A0" w:rsidP="00C917D6">
      <w:pPr>
        <w:pStyle w:val="Gvdemetni250"/>
        <w:shd w:val="clear" w:color="auto" w:fill="auto"/>
        <w:spacing w:before="120" w:after="120" w:line="240" w:lineRule="auto"/>
        <w:ind w:left="1134" w:hanging="1134"/>
        <w:rPr>
          <w:sz w:val="24"/>
          <w:szCs w:val="24"/>
        </w:rPr>
      </w:pPr>
      <w:r w:rsidRPr="00DE12A3">
        <w:rPr>
          <w:sz w:val="24"/>
          <w:szCs w:val="24"/>
        </w:rPr>
        <w:t xml:space="preserve">                  </w:t>
      </w:r>
      <w:r w:rsidR="00242DA0" w:rsidRPr="00DE12A3">
        <w:rPr>
          <w:sz w:val="24"/>
          <w:szCs w:val="24"/>
        </w:rPr>
        <w:t>Test, 7.4.2.2 bendinde verilen sıraya göre başlamalıdır.</w:t>
      </w:r>
    </w:p>
    <w:p w14:paraId="71997597" w14:textId="0E2421C9" w:rsidR="002D7B36" w:rsidRPr="00DE12A3" w:rsidRDefault="005240A0" w:rsidP="00C917D6">
      <w:pPr>
        <w:pStyle w:val="Gvdemetni250"/>
        <w:shd w:val="clear" w:color="auto" w:fill="auto"/>
        <w:spacing w:before="120" w:after="120" w:line="240" w:lineRule="auto"/>
        <w:ind w:left="1134" w:hanging="1134"/>
        <w:rPr>
          <w:sz w:val="24"/>
          <w:szCs w:val="24"/>
        </w:rPr>
      </w:pPr>
      <w:r w:rsidRPr="00DE12A3">
        <w:rPr>
          <w:sz w:val="24"/>
          <w:szCs w:val="24"/>
        </w:rPr>
        <w:t xml:space="preserve">                  </w:t>
      </w:r>
      <w:r w:rsidR="00242DA0" w:rsidRPr="00DE12A3">
        <w:rPr>
          <w:sz w:val="24"/>
          <w:szCs w:val="24"/>
        </w:rPr>
        <w:t xml:space="preserve">Veri kaydı, egzoz gazı örneklemesi ve ölçülen değerlerin birleştirilmesi, 7.4.2.2(b) bendinde belirtilen 30 saniyelik rölanti döneminin sonunda LSI-NRTC'nin başlatılması ile eşzamanlı olarak başlatılmalıdır. Test </w:t>
      </w:r>
      <w:r w:rsidR="00F310B5" w:rsidRPr="00DE12A3">
        <w:rPr>
          <w:sz w:val="24"/>
          <w:szCs w:val="24"/>
        </w:rPr>
        <w:t>çevrimi</w:t>
      </w:r>
      <w:r w:rsidR="00242DA0" w:rsidRPr="00DE12A3">
        <w:rPr>
          <w:sz w:val="24"/>
          <w:szCs w:val="24"/>
        </w:rPr>
        <w:t>, X</w:t>
      </w:r>
      <w:r w:rsidR="00FA0678" w:rsidRPr="00DE12A3">
        <w:rPr>
          <w:sz w:val="24"/>
          <w:szCs w:val="24"/>
        </w:rPr>
        <w:t xml:space="preserve">VII’nci </w:t>
      </w:r>
      <w:r w:rsidR="00483E27" w:rsidRPr="00DE12A3">
        <w:rPr>
          <w:sz w:val="24"/>
          <w:szCs w:val="24"/>
        </w:rPr>
        <w:t>E</w:t>
      </w:r>
      <w:r w:rsidR="00FA0678" w:rsidRPr="00DE12A3">
        <w:rPr>
          <w:sz w:val="24"/>
          <w:szCs w:val="24"/>
        </w:rPr>
        <w:t>k</w:t>
      </w:r>
      <w:r w:rsidR="00242DA0" w:rsidRPr="00DE12A3">
        <w:rPr>
          <w:sz w:val="24"/>
          <w:szCs w:val="24"/>
        </w:rPr>
        <w:t xml:space="preserve">in </w:t>
      </w:r>
      <w:r w:rsidR="00CD23C3" w:rsidRPr="00DE12A3">
        <w:rPr>
          <w:sz w:val="24"/>
          <w:szCs w:val="24"/>
        </w:rPr>
        <w:t>3. Açıklayıcı Ek</w:t>
      </w:r>
      <w:r w:rsidR="00242DA0" w:rsidRPr="00DE12A3">
        <w:rPr>
          <w:sz w:val="24"/>
          <w:szCs w:val="24"/>
        </w:rPr>
        <w:t>indeki çizelgeye göre yürütülmelidir.</w:t>
      </w:r>
    </w:p>
    <w:p w14:paraId="27411ACB" w14:textId="77777777" w:rsidR="002D7B36" w:rsidRPr="00DE12A3" w:rsidRDefault="005240A0" w:rsidP="00C917D6">
      <w:pPr>
        <w:pStyle w:val="Gvdemetni250"/>
        <w:shd w:val="clear" w:color="auto" w:fill="auto"/>
        <w:spacing w:before="120" w:after="120" w:line="240" w:lineRule="auto"/>
        <w:ind w:left="1134" w:hanging="1134"/>
        <w:rPr>
          <w:sz w:val="24"/>
          <w:szCs w:val="24"/>
        </w:rPr>
      </w:pPr>
      <w:r w:rsidRPr="00DE12A3">
        <w:rPr>
          <w:sz w:val="24"/>
          <w:szCs w:val="24"/>
        </w:rPr>
        <w:t xml:space="preserve">                  </w:t>
      </w:r>
      <w:r w:rsidR="00F310B5" w:rsidRPr="00DE12A3">
        <w:rPr>
          <w:sz w:val="24"/>
          <w:szCs w:val="24"/>
        </w:rPr>
        <w:t>Çevrimin</w:t>
      </w:r>
      <w:r w:rsidR="00242DA0" w:rsidRPr="00DE12A3">
        <w:rPr>
          <w:sz w:val="24"/>
          <w:szCs w:val="24"/>
        </w:rPr>
        <w:t xml:space="preserve"> sonunda, sistem tepki süresinin geçmesini sağlamak için tüm sistemler çalıştırılarak örneklemeye devam edilir. Daha sonra, arka plan numunelerinin kaydedilmesi de dahil olmak üzere tüm örnekleme ve kayıt durdurulur. Son olarak, entegrasyon cihazları durdurulur ve test </w:t>
      </w:r>
      <w:r w:rsidR="007E2039" w:rsidRPr="00DE12A3">
        <w:rPr>
          <w:sz w:val="24"/>
          <w:szCs w:val="24"/>
        </w:rPr>
        <w:t>çevrimini</w:t>
      </w:r>
      <w:r w:rsidR="00242DA0" w:rsidRPr="00DE12A3">
        <w:rPr>
          <w:sz w:val="24"/>
          <w:szCs w:val="24"/>
        </w:rPr>
        <w:t>n bitişi kaydedilen veriler.</w:t>
      </w:r>
    </w:p>
    <w:p w14:paraId="07AD97D2" w14:textId="77777777" w:rsidR="002D7B36" w:rsidRPr="00DE12A3" w:rsidRDefault="005240A0" w:rsidP="00C917D6">
      <w:pPr>
        <w:pStyle w:val="Gvdemetni250"/>
        <w:shd w:val="clear" w:color="auto" w:fill="auto"/>
        <w:spacing w:before="120" w:after="120" w:line="240" w:lineRule="auto"/>
        <w:ind w:left="1134" w:hanging="1134"/>
        <w:rPr>
          <w:sz w:val="24"/>
          <w:szCs w:val="24"/>
        </w:rPr>
      </w:pPr>
      <w:r w:rsidRPr="00DE12A3">
        <w:rPr>
          <w:sz w:val="24"/>
          <w:szCs w:val="24"/>
        </w:rPr>
        <w:t xml:space="preserve">                  </w:t>
      </w:r>
      <w:r w:rsidR="00242DA0" w:rsidRPr="00DE12A3">
        <w:rPr>
          <w:sz w:val="24"/>
          <w:szCs w:val="24"/>
        </w:rPr>
        <w:t>7.3.2 bendi uyarınca test sonrası prosedürler gerçekleştirilmelidir.</w:t>
      </w:r>
    </w:p>
    <w:p w14:paraId="29A5FE00" w14:textId="77777777" w:rsidR="002D7B36" w:rsidRPr="00DE12A3" w:rsidRDefault="004E7F54" w:rsidP="00E20716">
      <w:pPr>
        <w:pStyle w:val="Gvdemetni250"/>
        <w:numPr>
          <w:ilvl w:val="0"/>
          <w:numId w:val="190"/>
        </w:numPr>
        <w:shd w:val="clear" w:color="auto" w:fill="auto"/>
        <w:spacing w:before="120" w:after="120" w:line="240" w:lineRule="auto"/>
        <w:ind w:left="1134" w:hanging="1134"/>
        <w:rPr>
          <w:sz w:val="24"/>
          <w:szCs w:val="24"/>
        </w:rPr>
      </w:pPr>
      <w:r w:rsidRPr="00DE12A3">
        <w:rPr>
          <w:sz w:val="24"/>
          <w:szCs w:val="24"/>
        </w:rPr>
        <w:t>S</w:t>
      </w:r>
      <w:r w:rsidR="00951351" w:rsidRPr="00DE12A3">
        <w:rPr>
          <w:sz w:val="24"/>
          <w:szCs w:val="24"/>
        </w:rPr>
        <w:t xml:space="preserve">üreksiz </w:t>
      </w:r>
      <w:r w:rsidR="00242DA0" w:rsidRPr="00DE12A3">
        <w:rPr>
          <w:sz w:val="24"/>
          <w:szCs w:val="24"/>
        </w:rPr>
        <w:t xml:space="preserve">(NRTC ve LSI-NRTC) test </w:t>
      </w:r>
      <w:r w:rsidR="00F310B5" w:rsidRPr="00DE12A3">
        <w:rPr>
          <w:sz w:val="24"/>
          <w:szCs w:val="24"/>
        </w:rPr>
        <w:t>çevrim</w:t>
      </w:r>
      <w:r w:rsidR="00242DA0" w:rsidRPr="00DE12A3">
        <w:rPr>
          <w:sz w:val="24"/>
          <w:szCs w:val="24"/>
        </w:rPr>
        <w:t xml:space="preserve">leri için </w:t>
      </w:r>
      <w:r w:rsidR="00F310B5" w:rsidRPr="00DE12A3">
        <w:rPr>
          <w:sz w:val="24"/>
          <w:szCs w:val="24"/>
        </w:rPr>
        <w:t>çevrim</w:t>
      </w:r>
      <w:r w:rsidR="00242DA0" w:rsidRPr="00DE12A3">
        <w:rPr>
          <w:sz w:val="24"/>
          <w:szCs w:val="24"/>
        </w:rPr>
        <w:t xml:space="preserve"> doğrulama kriterleri</w:t>
      </w:r>
    </w:p>
    <w:p w14:paraId="600E0E01" w14:textId="77777777" w:rsidR="002D7B36" w:rsidRPr="00DE12A3" w:rsidRDefault="005240A0" w:rsidP="00C917D6">
      <w:pPr>
        <w:pStyle w:val="Gvdemetni250"/>
        <w:shd w:val="clear" w:color="auto" w:fill="auto"/>
        <w:spacing w:before="120" w:after="120" w:line="240" w:lineRule="auto"/>
        <w:ind w:left="1134" w:hanging="1134"/>
        <w:rPr>
          <w:sz w:val="24"/>
          <w:szCs w:val="24"/>
        </w:rPr>
      </w:pPr>
      <w:r w:rsidRPr="00DE12A3">
        <w:rPr>
          <w:sz w:val="24"/>
          <w:szCs w:val="24"/>
        </w:rPr>
        <w:t xml:space="preserve">                  </w:t>
      </w:r>
      <w:r w:rsidR="00242DA0" w:rsidRPr="00DE12A3">
        <w:rPr>
          <w:sz w:val="24"/>
          <w:szCs w:val="24"/>
        </w:rPr>
        <w:t xml:space="preserve">Bir testin geçerliliğini kontrol etmek amacıyla, devir, tork, güç ve toplam çalışmaya dair referans ve geri besleme değerlerine bu bentteki </w:t>
      </w:r>
      <w:r w:rsidR="00F310B5" w:rsidRPr="00DE12A3">
        <w:rPr>
          <w:sz w:val="24"/>
          <w:szCs w:val="24"/>
        </w:rPr>
        <w:t>çevrim</w:t>
      </w:r>
      <w:r w:rsidR="00242DA0" w:rsidRPr="00DE12A3">
        <w:rPr>
          <w:sz w:val="24"/>
          <w:szCs w:val="24"/>
        </w:rPr>
        <w:t xml:space="preserve"> doğrulama kriterleri uygulanır.</w:t>
      </w:r>
    </w:p>
    <w:p w14:paraId="163C2B8F" w14:textId="77777777" w:rsidR="002D7B36" w:rsidRPr="00DE12A3" w:rsidRDefault="00F310B5" w:rsidP="00E20716">
      <w:pPr>
        <w:pStyle w:val="Gvdemetni250"/>
        <w:numPr>
          <w:ilvl w:val="0"/>
          <w:numId w:val="190"/>
        </w:numPr>
        <w:shd w:val="clear" w:color="auto" w:fill="auto"/>
        <w:spacing w:before="120" w:after="120" w:line="240" w:lineRule="auto"/>
        <w:ind w:left="1134" w:hanging="1134"/>
        <w:rPr>
          <w:sz w:val="24"/>
          <w:szCs w:val="24"/>
        </w:rPr>
      </w:pPr>
      <w:r w:rsidRPr="00DE12A3">
        <w:rPr>
          <w:sz w:val="24"/>
          <w:szCs w:val="24"/>
        </w:rPr>
        <w:t>Çevrim</w:t>
      </w:r>
      <w:r w:rsidR="00242DA0" w:rsidRPr="00DE12A3">
        <w:rPr>
          <w:sz w:val="24"/>
          <w:szCs w:val="24"/>
        </w:rPr>
        <w:t xml:space="preserve"> çalışmasının hesaplanması</w:t>
      </w:r>
    </w:p>
    <w:p w14:paraId="1D5FD5B5" w14:textId="77777777" w:rsidR="002D7B36" w:rsidRPr="00DE12A3" w:rsidRDefault="005240A0" w:rsidP="00C917D6">
      <w:pPr>
        <w:pStyle w:val="Gvdemetni250"/>
        <w:shd w:val="clear" w:color="auto" w:fill="auto"/>
        <w:spacing w:before="120" w:after="120" w:line="240" w:lineRule="auto"/>
        <w:ind w:left="1134" w:hanging="1134"/>
        <w:rPr>
          <w:sz w:val="24"/>
          <w:szCs w:val="24"/>
        </w:rPr>
      </w:pPr>
      <w:r w:rsidRPr="00DE12A3">
        <w:rPr>
          <w:sz w:val="24"/>
          <w:szCs w:val="24"/>
        </w:rPr>
        <w:t xml:space="preserve">                  </w:t>
      </w:r>
      <w:r w:rsidR="00F310B5" w:rsidRPr="00DE12A3">
        <w:rPr>
          <w:sz w:val="24"/>
          <w:szCs w:val="24"/>
        </w:rPr>
        <w:t>Çevrim</w:t>
      </w:r>
      <w:r w:rsidR="00242DA0" w:rsidRPr="00DE12A3">
        <w:rPr>
          <w:sz w:val="24"/>
          <w:szCs w:val="24"/>
        </w:rPr>
        <w:t xml:space="preserve"> çalışması hesaplanmadan önce, motorun çalıştırılması sırasında kaydedilen her devir ve tork değeri gözardı edilir. Negatif tork değerlerine sahip noktalar sıfır çalışma olarak hesaba katılır. Fiili </w:t>
      </w:r>
      <w:r w:rsidR="00F310B5" w:rsidRPr="00DE12A3">
        <w:rPr>
          <w:sz w:val="24"/>
          <w:szCs w:val="24"/>
        </w:rPr>
        <w:t>çevrim</w:t>
      </w:r>
      <w:r w:rsidR="00242DA0" w:rsidRPr="00DE12A3">
        <w:rPr>
          <w:sz w:val="24"/>
          <w:szCs w:val="24"/>
        </w:rPr>
        <w:t xml:space="preserve"> çalışması W</w:t>
      </w:r>
      <w:r w:rsidR="00242DA0" w:rsidRPr="00DE12A3">
        <w:rPr>
          <w:sz w:val="24"/>
          <w:szCs w:val="24"/>
          <w:vertAlign w:val="subscript"/>
        </w:rPr>
        <w:t>act</w:t>
      </w:r>
      <w:r w:rsidR="00242DA0" w:rsidRPr="00DE12A3">
        <w:rPr>
          <w:sz w:val="24"/>
          <w:szCs w:val="24"/>
        </w:rPr>
        <w:t xml:space="preserve"> (kWh), motor geri besleme devri ve tork değerleri esasında hesaplanmalıdır. Referans </w:t>
      </w:r>
      <w:r w:rsidR="00F310B5" w:rsidRPr="00DE12A3">
        <w:rPr>
          <w:sz w:val="24"/>
          <w:szCs w:val="24"/>
        </w:rPr>
        <w:t>çevrim</w:t>
      </w:r>
      <w:r w:rsidR="00242DA0" w:rsidRPr="00DE12A3">
        <w:rPr>
          <w:sz w:val="24"/>
          <w:szCs w:val="24"/>
        </w:rPr>
        <w:t xml:space="preserve"> çalışması W</w:t>
      </w:r>
      <w:r w:rsidR="00242DA0" w:rsidRPr="00DE12A3">
        <w:rPr>
          <w:sz w:val="24"/>
          <w:szCs w:val="24"/>
          <w:vertAlign w:val="subscript"/>
        </w:rPr>
        <w:t>ref</w:t>
      </w:r>
      <w:r w:rsidR="00242DA0" w:rsidRPr="00DE12A3">
        <w:rPr>
          <w:sz w:val="24"/>
          <w:szCs w:val="24"/>
        </w:rPr>
        <w:t xml:space="preserve"> (kWh), motor referans devri ve tork değerleri esasında hesaplanmalıdır. Fiili </w:t>
      </w:r>
      <w:r w:rsidR="00F310B5" w:rsidRPr="00DE12A3">
        <w:rPr>
          <w:sz w:val="24"/>
          <w:szCs w:val="24"/>
        </w:rPr>
        <w:t>çevrim</w:t>
      </w:r>
      <w:r w:rsidR="00242DA0" w:rsidRPr="00DE12A3">
        <w:rPr>
          <w:sz w:val="24"/>
          <w:szCs w:val="24"/>
        </w:rPr>
        <w:t xml:space="preserve"> çalışması W</w:t>
      </w:r>
      <w:r w:rsidR="00242DA0" w:rsidRPr="00DE12A3">
        <w:rPr>
          <w:sz w:val="24"/>
          <w:szCs w:val="24"/>
          <w:vertAlign w:val="subscript"/>
        </w:rPr>
        <w:t>act</w:t>
      </w:r>
      <w:r w:rsidR="00242DA0" w:rsidRPr="00DE12A3">
        <w:rPr>
          <w:sz w:val="24"/>
          <w:szCs w:val="24"/>
        </w:rPr>
        <w:t xml:space="preserve">, referans </w:t>
      </w:r>
      <w:r w:rsidR="00F310B5" w:rsidRPr="00DE12A3">
        <w:rPr>
          <w:sz w:val="24"/>
          <w:szCs w:val="24"/>
        </w:rPr>
        <w:t>çevrim</w:t>
      </w:r>
      <w:r w:rsidR="00242DA0" w:rsidRPr="00DE12A3">
        <w:rPr>
          <w:sz w:val="24"/>
          <w:szCs w:val="24"/>
        </w:rPr>
        <w:t xml:space="preserve"> çalışması W</w:t>
      </w:r>
      <w:r w:rsidR="00242DA0" w:rsidRPr="00DE12A3">
        <w:rPr>
          <w:sz w:val="24"/>
          <w:szCs w:val="24"/>
          <w:vertAlign w:val="subscript"/>
        </w:rPr>
        <w:t>ref</w:t>
      </w:r>
      <w:r w:rsidR="00242DA0" w:rsidRPr="00DE12A3">
        <w:rPr>
          <w:sz w:val="24"/>
          <w:szCs w:val="24"/>
        </w:rPr>
        <w:t xml:space="preserve"> ile karşılaştırmak ve frene özgü emisyonları hesaplamak için kullanılır (bkz. 7.2).</w:t>
      </w:r>
    </w:p>
    <w:p w14:paraId="0096428C" w14:textId="77777777" w:rsidR="002D7B36" w:rsidRPr="00DE12A3" w:rsidRDefault="005240A0" w:rsidP="00C917D6">
      <w:pPr>
        <w:pStyle w:val="Gvdemetni250"/>
        <w:shd w:val="clear" w:color="auto" w:fill="auto"/>
        <w:spacing w:before="120" w:after="120" w:line="240" w:lineRule="auto"/>
        <w:ind w:left="1134" w:hanging="1134"/>
        <w:rPr>
          <w:sz w:val="24"/>
          <w:szCs w:val="24"/>
        </w:rPr>
      </w:pPr>
      <w:r w:rsidRPr="00DE12A3">
        <w:rPr>
          <w:sz w:val="24"/>
          <w:szCs w:val="24"/>
        </w:rPr>
        <w:t xml:space="preserve">                  </w:t>
      </w:r>
      <w:r w:rsidR="00242DA0" w:rsidRPr="00DE12A3">
        <w:rPr>
          <w:sz w:val="24"/>
          <w:szCs w:val="24"/>
        </w:rPr>
        <w:t>W</w:t>
      </w:r>
      <w:r w:rsidR="00242DA0" w:rsidRPr="00DE12A3">
        <w:rPr>
          <w:sz w:val="24"/>
          <w:szCs w:val="24"/>
          <w:vertAlign w:val="subscript"/>
        </w:rPr>
        <w:t>act</w:t>
      </w:r>
      <w:r w:rsidR="00242DA0" w:rsidRPr="00DE12A3">
        <w:rPr>
          <w:sz w:val="24"/>
          <w:szCs w:val="24"/>
        </w:rPr>
        <w:t>, W</w:t>
      </w:r>
      <w:r w:rsidR="00242DA0" w:rsidRPr="00DE12A3">
        <w:rPr>
          <w:sz w:val="24"/>
          <w:szCs w:val="24"/>
          <w:vertAlign w:val="subscript"/>
        </w:rPr>
        <w:t>ref</w:t>
      </w:r>
      <w:r w:rsidR="00242DA0" w:rsidRPr="00DE12A3">
        <w:rPr>
          <w:sz w:val="24"/>
          <w:szCs w:val="24"/>
        </w:rPr>
        <w:t>'in %85 ila %105'i arasında olmalıdır.</w:t>
      </w:r>
    </w:p>
    <w:p w14:paraId="1F839468" w14:textId="3075C25C" w:rsidR="002D7B36" w:rsidRPr="00DE12A3" w:rsidRDefault="00242DA0" w:rsidP="00E20716">
      <w:pPr>
        <w:pStyle w:val="Gvdemetni250"/>
        <w:numPr>
          <w:ilvl w:val="0"/>
          <w:numId w:val="190"/>
        </w:numPr>
        <w:shd w:val="clear" w:color="auto" w:fill="auto"/>
        <w:spacing w:before="120" w:after="120" w:line="240" w:lineRule="auto"/>
        <w:ind w:left="1134" w:hanging="1134"/>
        <w:rPr>
          <w:sz w:val="24"/>
          <w:szCs w:val="24"/>
        </w:rPr>
      </w:pPr>
      <w:r w:rsidRPr="00DE12A3">
        <w:rPr>
          <w:sz w:val="24"/>
          <w:szCs w:val="24"/>
        </w:rPr>
        <w:t xml:space="preserve">Doğrulama istatistikleri (bkz. </w:t>
      </w:r>
      <w:r w:rsidR="00FA0678" w:rsidRPr="00DE12A3">
        <w:rPr>
          <w:sz w:val="24"/>
          <w:szCs w:val="24"/>
        </w:rPr>
        <w:t xml:space="preserve">VII’nci </w:t>
      </w:r>
      <w:r w:rsidR="003C361A" w:rsidRPr="00DE12A3">
        <w:rPr>
          <w:sz w:val="24"/>
          <w:szCs w:val="24"/>
        </w:rPr>
        <w:t>E</w:t>
      </w:r>
      <w:r w:rsidR="00FA0678" w:rsidRPr="00DE12A3">
        <w:rPr>
          <w:sz w:val="24"/>
          <w:szCs w:val="24"/>
        </w:rPr>
        <w:t>k</w:t>
      </w:r>
      <w:r w:rsidRPr="00DE12A3">
        <w:rPr>
          <w:sz w:val="24"/>
          <w:szCs w:val="24"/>
        </w:rPr>
        <w:t xml:space="preserve">in </w:t>
      </w:r>
      <w:r w:rsidR="00FA0678" w:rsidRPr="00DE12A3">
        <w:rPr>
          <w:sz w:val="24"/>
          <w:szCs w:val="24"/>
        </w:rPr>
        <w:t>2. Açıklayıcı Ek</w:t>
      </w:r>
      <w:r w:rsidRPr="00DE12A3">
        <w:rPr>
          <w:sz w:val="24"/>
          <w:szCs w:val="24"/>
        </w:rPr>
        <w:t>i)</w:t>
      </w:r>
    </w:p>
    <w:p w14:paraId="15E11F52" w14:textId="77777777" w:rsidR="002D7B36" w:rsidRPr="00DE12A3" w:rsidRDefault="005240A0" w:rsidP="00C917D6">
      <w:pPr>
        <w:pStyle w:val="Gvdemetni250"/>
        <w:shd w:val="clear" w:color="auto" w:fill="auto"/>
        <w:spacing w:before="120" w:after="120" w:line="240" w:lineRule="auto"/>
        <w:ind w:left="1134" w:hanging="1134"/>
        <w:rPr>
          <w:sz w:val="24"/>
          <w:szCs w:val="24"/>
        </w:rPr>
      </w:pPr>
      <w:r w:rsidRPr="00DE12A3">
        <w:rPr>
          <w:sz w:val="24"/>
          <w:szCs w:val="24"/>
        </w:rPr>
        <w:t xml:space="preserve">                   </w:t>
      </w:r>
      <w:r w:rsidR="00242DA0" w:rsidRPr="00DE12A3">
        <w:rPr>
          <w:sz w:val="24"/>
          <w:szCs w:val="24"/>
        </w:rPr>
        <w:t>Devir, tork ve güç için, referans ve geri besleme değerleri arasındaki doğrusal regresyon hesaplanır.</w:t>
      </w:r>
    </w:p>
    <w:p w14:paraId="787B3AFB" w14:textId="15901CB3" w:rsidR="002D7B36" w:rsidRPr="00DE12A3" w:rsidRDefault="005240A0" w:rsidP="00C917D6">
      <w:pPr>
        <w:pStyle w:val="Gvdemetni250"/>
        <w:shd w:val="clear" w:color="auto" w:fill="auto"/>
        <w:tabs>
          <w:tab w:val="right" w:pos="5653"/>
        </w:tabs>
        <w:spacing w:before="120" w:after="120" w:line="240" w:lineRule="auto"/>
        <w:ind w:left="1134" w:hanging="1134"/>
        <w:rPr>
          <w:sz w:val="24"/>
          <w:szCs w:val="24"/>
        </w:rPr>
      </w:pPr>
      <w:r w:rsidRPr="00DE12A3">
        <w:rPr>
          <w:sz w:val="24"/>
          <w:szCs w:val="24"/>
        </w:rPr>
        <w:t xml:space="preserve">                   </w:t>
      </w:r>
      <w:r w:rsidR="00242DA0" w:rsidRPr="00DE12A3">
        <w:rPr>
          <w:sz w:val="24"/>
          <w:szCs w:val="24"/>
        </w:rPr>
        <w:t xml:space="preserve">Referans ve geri besleme </w:t>
      </w:r>
      <w:r w:rsidR="00F310B5" w:rsidRPr="00DE12A3">
        <w:rPr>
          <w:sz w:val="24"/>
          <w:szCs w:val="24"/>
        </w:rPr>
        <w:t>çevrimi</w:t>
      </w:r>
      <w:r w:rsidR="00242DA0" w:rsidRPr="00DE12A3">
        <w:rPr>
          <w:sz w:val="24"/>
          <w:szCs w:val="24"/>
        </w:rPr>
        <w:t xml:space="preserve"> değerleri arasındaki gecikme süresinin etkisini en aza indirmek için, tüm motor devri ve tork geri besleme sinyali dizisi, referans devir ve tork dizisine göre zaman içinde hızlandırılabilir veya geciktirilebilir. Geri besleme sinyalleri </w:t>
      </w:r>
      <w:r w:rsidR="00940297" w:rsidRPr="00DE12A3">
        <w:rPr>
          <w:sz w:val="24"/>
          <w:szCs w:val="24"/>
        </w:rPr>
        <w:t>değiştirilirse</w:t>
      </w:r>
      <w:r w:rsidR="00242DA0" w:rsidRPr="00DE12A3">
        <w:rPr>
          <w:sz w:val="24"/>
          <w:szCs w:val="24"/>
        </w:rPr>
        <w:t xml:space="preserve"> hem devir hem de tork aynı yönde aynı miktarda kaydırılmalıdır.</w:t>
      </w:r>
    </w:p>
    <w:p w14:paraId="2A929B7E" w14:textId="41F232A9" w:rsidR="002D7B36" w:rsidRPr="00DE12A3" w:rsidRDefault="005240A0" w:rsidP="00C917D6">
      <w:pPr>
        <w:pStyle w:val="Gvdemetni250"/>
        <w:shd w:val="clear" w:color="auto" w:fill="auto"/>
        <w:spacing w:before="120" w:after="120" w:line="240" w:lineRule="auto"/>
        <w:ind w:left="1134" w:hanging="1134"/>
        <w:rPr>
          <w:sz w:val="24"/>
          <w:szCs w:val="24"/>
        </w:rPr>
      </w:pPr>
      <w:r w:rsidRPr="00DE12A3">
        <w:rPr>
          <w:sz w:val="24"/>
          <w:szCs w:val="24"/>
        </w:rPr>
        <w:t xml:space="preserve">                  </w:t>
      </w:r>
      <w:r w:rsidR="00242DA0" w:rsidRPr="00DE12A3">
        <w:rPr>
          <w:sz w:val="24"/>
          <w:szCs w:val="24"/>
        </w:rPr>
        <w:t xml:space="preserve">En küçük kareler yöntemi, (6-19) </w:t>
      </w:r>
      <w:r w:rsidR="005E1C7E" w:rsidRPr="00DE12A3">
        <w:rPr>
          <w:sz w:val="24"/>
          <w:szCs w:val="24"/>
        </w:rPr>
        <w:t>numaralı</w:t>
      </w:r>
      <w:r w:rsidR="00242DA0" w:rsidRPr="00DE12A3">
        <w:rPr>
          <w:sz w:val="24"/>
          <w:szCs w:val="24"/>
        </w:rPr>
        <w:t xml:space="preserve"> denklemde belirtilen biçime sahip en uygun denklem ile kullanılmalıdır:</w:t>
      </w:r>
    </w:p>
    <w:p w14:paraId="55640D02" w14:textId="77777777" w:rsidR="005240A0" w:rsidRPr="00DE12A3" w:rsidRDefault="005240A0" w:rsidP="00C917D6">
      <w:pPr>
        <w:pStyle w:val="Gvdemetni250"/>
        <w:shd w:val="clear" w:color="auto" w:fill="auto"/>
        <w:spacing w:before="120" w:after="120" w:line="240" w:lineRule="auto"/>
        <w:ind w:left="1134" w:hanging="1134"/>
        <w:rPr>
          <w:sz w:val="24"/>
          <w:szCs w:val="24"/>
        </w:rPr>
      </w:pPr>
    </w:p>
    <w:p w14:paraId="7A53F691" w14:textId="77777777" w:rsidR="002D7B36" w:rsidRPr="00DE12A3" w:rsidRDefault="00242DA0" w:rsidP="00C917D6">
      <w:pPr>
        <w:pStyle w:val="Gvdemetni250"/>
        <w:shd w:val="clear" w:color="auto" w:fill="auto"/>
        <w:tabs>
          <w:tab w:val="right" w:pos="5653"/>
        </w:tabs>
        <w:spacing w:before="120" w:after="120" w:line="240" w:lineRule="auto"/>
        <w:ind w:left="1134" w:hanging="1134"/>
        <w:jc w:val="center"/>
        <w:rPr>
          <w:sz w:val="24"/>
          <w:szCs w:val="24"/>
        </w:rPr>
      </w:pPr>
      <w:r w:rsidRPr="00DE12A3">
        <w:rPr>
          <w:rStyle w:val="Gvdemetni254pttalik0ptbolukbraklyor"/>
          <w:color w:val="auto"/>
          <w:sz w:val="24"/>
          <w:szCs w:val="24"/>
        </w:rPr>
        <w:t>y</w:t>
      </w:r>
      <w:r w:rsidRPr="00DE12A3">
        <w:rPr>
          <w:sz w:val="24"/>
          <w:szCs w:val="24"/>
        </w:rPr>
        <w:t xml:space="preserve"> = </w:t>
      </w:r>
      <w:r w:rsidRPr="00DE12A3">
        <w:rPr>
          <w:rStyle w:val="Gvdemetni254pttalik0ptbolukbraklyor"/>
          <w:color w:val="auto"/>
          <w:sz w:val="24"/>
          <w:szCs w:val="24"/>
        </w:rPr>
        <w:t>a</w:t>
      </w:r>
      <w:r w:rsidRPr="00DE12A3">
        <w:rPr>
          <w:rStyle w:val="Gvdemetni254pttalik0ptbolukbraklyor"/>
          <w:color w:val="auto"/>
          <w:sz w:val="24"/>
          <w:szCs w:val="24"/>
          <w:vertAlign w:val="subscript"/>
        </w:rPr>
        <w:t>1</w:t>
      </w:r>
      <w:r w:rsidRPr="00DE12A3">
        <w:rPr>
          <w:rStyle w:val="Gvdemetni254pttalik0ptbolukbraklyor"/>
          <w:color w:val="auto"/>
          <w:sz w:val="24"/>
          <w:szCs w:val="24"/>
        </w:rPr>
        <w:t>x</w:t>
      </w:r>
      <w:r w:rsidRPr="00DE12A3">
        <w:rPr>
          <w:sz w:val="24"/>
          <w:szCs w:val="24"/>
        </w:rPr>
        <w:t xml:space="preserve"> + </w:t>
      </w:r>
      <w:r w:rsidRPr="00DE12A3">
        <w:rPr>
          <w:rStyle w:val="Gvdemetni254pttalik0ptbolukbraklyor"/>
          <w:color w:val="auto"/>
          <w:sz w:val="24"/>
          <w:szCs w:val="24"/>
        </w:rPr>
        <w:t>a</w:t>
      </w:r>
      <w:r w:rsidRPr="00DE12A3">
        <w:rPr>
          <w:rStyle w:val="Gvdemetni254pttalik0ptbolukbraklyor"/>
          <w:color w:val="auto"/>
          <w:sz w:val="24"/>
          <w:szCs w:val="24"/>
          <w:vertAlign w:val="subscript"/>
        </w:rPr>
        <w:t>0</w:t>
      </w:r>
      <w:r w:rsidRPr="00DE12A3">
        <w:rPr>
          <w:sz w:val="24"/>
          <w:szCs w:val="24"/>
        </w:rPr>
        <w:tab/>
        <w:t>(6-19)</w:t>
      </w:r>
    </w:p>
    <w:p w14:paraId="022707A6" w14:textId="77777777" w:rsidR="002D7B36" w:rsidRPr="00DE12A3" w:rsidRDefault="005240A0" w:rsidP="00C917D6">
      <w:pPr>
        <w:pStyle w:val="Gvdemetni250"/>
        <w:shd w:val="clear" w:color="auto" w:fill="auto"/>
        <w:spacing w:before="120" w:after="120" w:line="240" w:lineRule="auto"/>
        <w:ind w:left="1134" w:firstLine="0"/>
        <w:rPr>
          <w:sz w:val="24"/>
          <w:szCs w:val="24"/>
        </w:rPr>
      </w:pPr>
      <w:r w:rsidRPr="00DE12A3">
        <w:rPr>
          <w:sz w:val="24"/>
          <w:szCs w:val="24"/>
        </w:rPr>
        <w:t>B</w:t>
      </w:r>
      <w:r w:rsidR="00242DA0" w:rsidRPr="00DE12A3">
        <w:rPr>
          <w:sz w:val="24"/>
          <w:szCs w:val="24"/>
        </w:rPr>
        <w:t>urada:</w:t>
      </w:r>
    </w:p>
    <w:p w14:paraId="2E5D1F3B" w14:textId="35C1A8B9" w:rsidR="002D7B36" w:rsidRPr="00DE12A3" w:rsidRDefault="00242DA0" w:rsidP="00C917D6">
      <w:pPr>
        <w:pStyle w:val="Gvdemetni250"/>
        <w:shd w:val="clear" w:color="auto" w:fill="auto"/>
        <w:tabs>
          <w:tab w:val="left" w:pos="1134"/>
        </w:tabs>
        <w:spacing w:before="120" w:after="120" w:line="240" w:lineRule="auto"/>
        <w:ind w:left="1134" w:firstLine="0"/>
        <w:rPr>
          <w:sz w:val="24"/>
          <w:szCs w:val="24"/>
        </w:rPr>
      </w:pPr>
      <w:r w:rsidRPr="00DE12A3">
        <w:rPr>
          <w:rStyle w:val="Gvdemetni254pttalik0ptbolukbraklyor"/>
          <w:color w:val="auto"/>
          <w:sz w:val="24"/>
          <w:szCs w:val="24"/>
        </w:rPr>
        <w:t>y</w:t>
      </w:r>
      <w:r w:rsidRPr="00DE12A3">
        <w:rPr>
          <w:sz w:val="24"/>
          <w:szCs w:val="24"/>
        </w:rPr>
        <w:tab/>
      </w:r>
      <w:r w:rsidR="005240A0" w:rsidRPr="00DE12A3">
        <w:rPr>
          <w:sz w:val="24"/>
          <w:szCs w:val="24"/>
        </w:rPr>
        <w:t xml:space="preserve">, </w:t>
      </w:r>
      <w:r w:rsidRPr="00DE12A3">
        <w:rPr>
          <w:sz w:val="24"/>
          <w:szCs w:val="24"/>
        </w:rPr>
        <w:t>devir (dak-1), tork (Nm) veya güç (kW) geri besleme değeridir</w:t>
      </w:r>
      <w:r w:rsidR="00675CA7" w:rsidRPr="00DE12A3">
        <w:rPr>
          <w:sz w:val="24"/>
          <w:szCs w:val="24"/>
        </w:rPr>
        <w:t>.</w:t>
      </w:r>
    </w:p>
    <w:p w14:paraId="4583EF8E" w14:textId="61728A2F" w:rsidR="002D7B36" w:rsidRPr="00DE12A3" w:rsidRDefault="00242DA0" w:rsidP="00C917D6">
      <w:pPr>
        <w:pStyle w:val="Gvdemetni250"/>
        <w:shd w:val="clear" w:color="auto" w:fill="auto"/>
        <w:tabs>
          <w:tab w:val="left" w:pos="1134"/>
        </w:tabs>
        <w:spacing w:before="120" w:after="120" w:line="240" w:lineRule="auto"/>
        <w:ind w:left="1134" w:firstLine="0"/>
        <w:rPr>
          <w:sz w:val="24"/>
          <w:szCs w:val="24"/>
        </w:rPr>
      </w:pPr>
      <w:r w:rsidRPr="00DE12A3">
        <w:rPr>
          <w:rStyle w:val="Gvdemetni254pttalik0ptbolukbraklyor"/>
          <w:color w:val="auto"/>
          <w:sz w:val="24"/>
          <w:szCs w:val="24"/>
        </w:rPr>
        <w:t>a</w:t>
      </w:r>
      <w:r w:rsidRPr="00DE12A3">
        <w:rPr>
          <w:sz w:val="24"/>
          <w:szCs w:val="24"/>
          <w:vertAlign w:val="subscript"/>
        </w:rPr>
        <w:t>1</w:t>
      </w:r>
      <w:r w:rsidRPr="00DE12A3">
        <w:rPr>
          <w:sz w:val="24"/>
          <w:szCs w:val="24"/>
        </w:rPr>
        <w:tab/>
      </w:r>
      <w:r w:rsidR="005240A0" w:rsidRPr="00DE12A3">
        <w:rPr>
          <w:sz w:val="24"/>
          <w:szCs w:val="24"/>
        </w:rPr>
        <w:t xml:space="preserve"> , </w:t>
      </w:r>
      <w:r w:rsidRPr="00DE12A3">
        <w:rPr>
          <w:sz w:val="24"/>
          <w:szCs w:val="24"/>
        </w:rPr>
        <w:t>regresyon doğrusunun eğimidir</w:t>
      </w:r>
      <w:r w:rsidR="00675CA7" w:rsidRPr="00DE12A3">
        <w:rPr>
          <w:sz w:val="24"/>
          <w:szCs w:val="24"/>
        </w:rPr>
        <w:t>.</w:t>
      </w:r>
    </w:p>
    <w:p w14:paraId="7189F240" w14:textId="022C2A22" w:rsidR="002D7B36" w:rsidRPr="00DE12A3" w:rsidRDefault="00242DA0" w:rsidP="00C917D6">
      <w:pPr>
        <w:pStyle w:val="Gvdemetni250"/>
        <w:shd w:val="clear" w:color="auto" w:fill="auto"/>
        <w:tabs>
          <w:tab w:val="left" w:pos="1134"/>
        </w:tabs>
        <w:spacing w:before="120" w:after="120" w:line="240" w:lineRule="auto"/>
        <w:ind w:left="1134" w:firstLine="0"/>
        <w:rPr>
          <w:sz w:val="24"/>
          <w:szCs w:val="24"/>
        </w:rPr>
      </w:pPr>
      <w:r w:rsidRPr="00DE12A3">
        <w:rPr>
          <w:rStyle w:val="Gvdemetni254pttalik0ptbolukbraklyor"/>
          <w:color w:val="auto"/>
          <w:sz w:val="24"/>
          <w:szCs w:val="24"/>
        </w:rPr>
        <w:t>x</w:t>
      </w:r>
      <w:r w:rsidRPr="00DE12A3">
        <w:rPr>
          <w:sz w:val="24"/>
          <w:szCs w:val="24"/>
        </w:rPr>
        <w:tab/>
      </w:r>
      <w:r w:rsidR="005240A0" w:rsidRPr="00DE12A3">
        <w:rPr>
          <w:sz w:val="24"/>
          <w:szCs w:val="24"/>
        </w:rPr>
        <w:t xml:space="preserve">, </w:t>
      </w:r>
      <w:r w:rsidRPr="00DE12A3">
        <w:rPr>
          <w:sz w:val="24"/>
          <w:szCs w:val="24"/>
        </w:rPr>
        <w:t>devir (dak-1), tork (Nm) veya güç (kW) referans değeridir</w:t>
      </w:r>
      <w:r w:rsidR="00675CA7" w:rsidRPr="00DE12A3">
        <w:rPr>
          <w:sz w:val="24"/>
          <w:szCs w:val="24"/>
        </w:rPr>
        <w:t>.</w:t>
      </w:r>
    </w:p>
    <w:p w14:paraId="541F6F05" w14:textId="77777777" w:rsidR="002D7B36" w:rsidRPr="00DE12A3" w:rsidRDefault="00242DA0" w:rsidP="00C917D6">
      <w:pPr>
        <w:pStyle w:val="Gvdemetni250"/>
        <w:shd w:val="clear" w:color="auto" w:fill="auto"/>
        <w:tabs>
          <w:tab w:val="left" w:pos="1134"/>
        </w:tabs>
        <w:spacing w:before="120" w:after="120" w:line="240" w:lineRule="auto"/>
        <w:ind w:left="1134" w:firstLine="0"/>
        <w:rPr>
          <w:sz w:val="24"/>
          <w:szCs w:val="24"/>
        </w:rPr>
      </w:pPr>
      <w:r w:rsidRPr="00DE12A3">
        <w:rPr>
          <w:rStyle w:val="Gvdemetni254pttalik0ptbolukbraklyor"/>
          <w:color w:val="auto"/>
          <w:sz w:val="24"/>
          <w:szCs w:val="24"/>
        </w:rPr>
        <w:t>a</w:t>
      </w:r>
      <w:r w:rsidRPr="00DE12A3">
        <w:rPr>
          <w:rStyle w:val="Gvdemetni254pttalik0ptbolukbraklyor"/>
          <w:color w:val="auto"/>
          <w:sz w:val="24"/>
          <w:szCs w:val="24"/>
          <w:vertAlign w:val="subscript"/>
        </w:rPr>
        <w:t>0</w:t>
      </w:r>
      <w:r w:rsidRPr="00DE12A3">
        <w:rPr>
          <w:sz w:val="24"/>
          <w:szCs w:val="24"/>
        </w:rPr>
        <w:tab/>
        <w:t>regresyon doğrusunun y kesişimidir.</w:t>
      </w:r>
    </w:p>
    <w:p w14:paraId="54F2F0B3" w14:textId="1BF9DA43" w:rsidR="002D7B36" w:rsidRPr="00DE12A3" w:rsidRDefault="00242DA0" w:rsidP="00C917D6">
      <w:pPr>
        <w:pStyle w:val="Gvdemetni250"/>
        <w:shd w:val="clear" w:color="auto" w:fill="auto"/>
        <w:tabs>
          <w:tab w:val="center" w:pos="4722"/>
          <w:tab w:val="center" w:pos="5001"/>
        </w:tabs>
        <w:spacing w:before="120" w:after="120" w:line="240" w:lineRule="auto"/>
        <w:ind w:left="1134" w:firstLine="0"/>
        <w:rPr>
          <w:sz w:val="24"/>
          <w:szCs w:val="24"/>
        </w:rPr>
      </w:pPr>
      <w:r w:rsidRPr="00DE12A3">
        <w:rPr>
          <w:sz w:val="24"/>
          <w:szCs w:val="24"/>
        </w:rPr>
        <w:lastRenderedPageBreak/>
        <w:t>y'nin x üzerindeki standart tahmin hatası (SEE) ve belirleme katsayısı (r</w:t>
      </w:r>
      <w:r w:rsidRPr="00DE12A3">
        <w:rPr>
          <w:sz w:val="24"/>
          <w:szCs w:val="24"/>
          <w:vertAlign w:val="superscript"/>
        </w:rPr>
        <w:t>2</w:t>
      </w:r>
      <w:r w:rsidRPr="00DE12A3">
        <w:rPr>
          <w:sz w:val="24"/>
          <w:szCs w:val="24"/>
        </w:rPr>
        <w:t>), X</w:t>
      </w:r>
      <w:r w:rsidR="00FA0678" w:rsidRPr="00DE12A3">
        <w:rPr>
          <w:sz w:val="24"/>
          <w:szCs w:val="24"/>
        </w:rPr>
        <w:t xml:space="preserve">VII’nci </w:t>
      </w:r>
      <w:r w:rsidR="00483E27" w:rsidRPr="00DE12A3">
        <w:rPr>
          <w:sz w:val="24"/>
          <w:szCs w:val="24"/>
        </w:rPr>
        <w:t>E</w:t>
      </w:r>
      <w:r w:rsidR="00FA0678" w:rsidRPr="00DE12A3">
        <w:rPr>
          <w:sz w:val="24"/>
          <w:szCs w:val="24"/>
        </w:rPr>
        <w:t>k</w:t>
      </w:r>
      <w:r w:rsidRPr="00DE12A3">
        <w:rPr>
          <w:sz w:val="24"/>
          <w:szCs w:val="24"/>
        </w:rPr>
        <w:t xml:space="preserve">in </w:t>
      </w:r>
      <w:r w:rsidR="00CD23C3" w:rsidRPr="00DE12A3">
        <w:rPr>
          <w:sz w:val="24"/>
          <w:szCs w:val="24"/>
        </w:rPr>
        <w:t>3. Açıklayıcı Ek</w:t>
      </w:r>
      <w:r w:rsidRPr="00DE12A3">
        <w:rPr>
          <w:sz w:val="24"/>
          <w:szCs w:val="24"/>
        </w:rPr>
        <w:t>i uyarınca her regresyon doğrusu için hesaplanmalıdır.</w:t>
      </w:r>
    </w:p>
    <w:p w14:paraId="0708F3B9" w14:textId="77777777" w:rsidR="002D7B36" w:rsidRPr="00DE12A3" w:rsidRDefault="00242DA0" w:rsidP="00C917D6">
      <w:pPr>
        <w:pStyle w:val="Gvdemetni250"/>
        <w:shd w:val="clear" w:color="auto" w:fill="auto"/>
        <w:spacing w:before="120" w:after="120" w:line="240" w:lineRule="auto"/>
        <w:ind w:left="1134" w:firstLine="0"/>
        <w:rPr>
          <w:rStyle w:val="Tabloyazs60ptbolukbraklyor"/>
          <w:color w:val="auto"/>
          <w:sz w:val="20"/>
          <w:szCs w:val="20"/>
        </w:rPr>
      </w:pPr>
      <w:r w:rsidRPr="00DE12A3">
        <w:rPr>
          <w:sz w:val="24"/>
          <w:szCs w:val="24"/>
        </w:rPr>
        <w:t>Bu analizin 1 Hz'de yapılması önerilir. Bir testin geçerli sayılması için, Tablo 6.2'deki kriterler sağlanmalıdır.</w:t>
      </w:r>
    </w:p>
    <w:p w14:paraId="7D7ABADF" w14:textId="77777777" w:rsidR="005240A0" w:rsidRPr="00DE12A3" w:rsidRDefault="005240A0" w:rsidP="00C917D6">
      <w:pPr>
        <w:pStyle w:val="Tabloyazs60"/>
        <w:shd w:val="clear" w:color="auto" w:fill="auto"/>
        <w:spacing w:before="120" w:after="120" w:line="240" w:lineRule="auto"/>
        <w:ind w:left="709" w:hanging="709"/>
        <w:jc w:val="both"/>
        <w:rPr>
          <w:rStyle w:val="Tabloyazs60ptbolukbraklyor"/>
          <w:color w:val="auto"/>
          <w:sz w:val="20"/>
          <w:szCs w:val="20"/>
        </w:rPr>
      </w:pPr>
    </w:p>
    <w:tbl>
      <w:tblPr>
        <w:tblpPr w:leftFromText="141" w:rightFromText="141" w:vertAnchor="text" w:horzAnchor="margin" w:tblpY="101"/>
        <w:tblOverlap w:val="neve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848"/>
        <w:gridCol w:w="1814"/>
        <w:gridCol w:w="1810"/>
        <w:gridCol w:w="4021"/>
      </w:tblGrid>
      <w:tr w:rsidR="00DE12A3" w:rsidRPr="00DE12A3" w14:paraId="46CC89EE" w14:textId="77777777" w:rsidTr="00C766FA">
        <w:trPr>
          <w:trHeight w:hRule="exact" w:val="442"/>
        </w:trPr>
        <w:tc>
          <w:tcPr>
            <w:tcW w:w="9493" w:type="dxa"/>
            <w:gridSpan w:val="4"/>
            <w:shd w:val="clear" w:color="auto" w:fill="auto"/>
          </w:tcPr>
          <w:p w14:paraId="686005D4" w14:textId="77777777" w:rsidR="00C766FA" w:rsidRPr="00DE12A3" w:rsidRDefault="00C766FA" w:rsidP="00C917D6">
            <w:pPr>
              <w:pStyle w:val="Gvdemetni0"/>
              <w:shd w:val="clear" w:color="auto" w:fill="auto"/>
              <w:spacing w:before="120" w:after="120" w:line="240" w:lineRule="auto"/>
              <w:ind w:firstLine="0"/>
              <w:rPr>
                <w:sz w:val="24"/>
                <w:szCs w:val="24"/>
              </w:rPr>
            </w:pPr>
            <w:r w:rsidRPr="00DE12A3">
              <w:rPr>
                <w:iCs/>
                <w:sz w:val="24"/>
                <w:szCs w:val="24"/>
                <w:lang w:val="fr-FR"/>
              </w:rPr>
              <w:t>Tablo 6.2</w:t>
            </w:r>
          </w:p>
        </w:tc>
      </w:tr>
      <w:tr w:rsidR="00DE12A3" w:rsidRPr="00DE12A3" w14:paraId="60CC8970" w14:textId="77777777" w:rsidTr="00C766FA">
        <w:trPr>
          <w:trHeight w:hRule="exact" w:val="442"/>
        </w:trPr>
        <w:tc>
          <w:tcPr>
            <w:tcW w:w="9493" w:type="dxa"/>
            <w:gridSpan w:val="4"/>
            <w:shd w:val="clear" w:color="auto" w:fill="auto"/>
          </w:tcPr>
          <w:p w14:paraId="2FD4493A" w14:textId="77777777" w:rsidR="00C766FA" w:rsidRPr="00DE12A3" w:rsidRDefault="00C766FA" w:rsidP="00C917D6">
            <w:pPr>
              <w:pStyle w:val="Gvdemetni0"/>
              <w:shd w:val="clear" w:color="auto" w:fill="auto"/>
              <w:spacing w:before="120" w:after="120" w:line="240" w:lineRule="auto"/>
              <w:ind w:firstLine="0"/>
              <w:rPr>
                <w:b/>
                <w:iCs/>
                <w:sz w:val="24"/>
                <w:szCs w:val="24"/>
                <w:lang w:val="fr-FR"/>
              </w:rPr>
            </w:pPr>
            <w:r w:rsidRPr="00DE12A3">
              <w:rPr>
                <w:b/>
                <w:iCs/>
                <w:sz w:val="24"/>
                <w:szCs w:val="24"/>
                <w:lang w:val="fr-FR"/>
              </w:rPr>
              <w:t>Regresyon doğrusu toleransları</w:t>
            </w:r>
          </w:p>
          <w:p w14:paraId="7E0A00C5" w14:textId="77777777" w:rsidR="00C766FA" w:rsidRPr="00DE12A3" w:rsidRDefault="00C766FA" w:rsidP="00C917D6">
            <w:pPr>
              <w:pStyle w:val="Gvdemetni0"/>
              <w:shd w:val="clear" w:color="auto" w:fill="auto"/>
              <w:spacing w:before="120" w:after="120" w:line="240" w:lineRule="auto"/>
              <w:ind w:firstLine="0"/>
              <w:rPr>
                <w:sz w:val="18"/>
                <w:szCs w:val="18"/>
              </w:rPr>
            </w:pPr>
          </w:p>
        </w:tc>
      </w:tr>
      <w:tr w:rsidR="00DE12A3" w:rsidRPr="00DE12A3" w14:paraId="796946CC" w14:textId="77777777" w:rsidTr="00C766FA">
        <w:trPr>
          <w:trHeight w:hRule="exact" w:val="442"/>
        </w:trPr>
        <w:tc>
          <w:tcPr>
            <w:tcW w:w="1848" w:type="dxa"/>
            <w:shd w:val="clear" w:color="auto" w:fill="auto"/>
          </w:tcPr>
          <w:p w14:paraId="21C181E7" w14:textId="77777777" w:rsidR="00C766FA" w:rsidRPr="00DE12A3" w:rsidRDefault="00C766FA" w:rsidP="00C917D6">
            <w:pPr>
              <w:spacing w:before="120" w:after="120"/>
              <w:rPr>
                <w:rFonts w:cs="Times New Roman"/>
                <w:color w:val="auto"/>
                <w:sz w:val="18"/>
                <w:szCs w:val="18"/>
              </w:rPr>
            </w:pPr>
          </w:p>
        </w:tc>
        <w:tc>
          <w:tcPr>
            <w:tcW w:w="1814" w:type="dxa"/>
            <w:shd w:val="clear" w:color="auto" w:fill="auto"/>
          </w:tcPr>
          <w:p w14:paraId="17A14A32" w14:textId="77777777" w:rsidR="00C766FA" w:rsidRPr="00DE12A3" w:rsidRDefault="00C766FA" w:rsidP="00C917D6">
            <w:pPr>
              <w:pStyle w:val="NormalCentered"/>
            </w:pPr>
            <w:r w:rsidRPr="00DE12A3">
              <w:t>Devir</w:t>
            </w:r>
          </w:p>
        </w:tc>
        <w:tc>
          <w:tcPr>
            <w:tcW w:w="1810" w:type="dxa"/>
            <w:shd w:val="clear" w:color="auto" w:fill="auto"/>
          </w:tcPr>
          <w:p w14:paraId="21A81A63" w14:textId="77777777" w:rsidR="00C766FA" w:rsidRPr="00DE12A3" w:rsidRDefault="00C766FA" w:rsidP="00C917D6">
            <w:pPr>
              <w:pStyle w:val="NormalCentered"/>
            </w:pPr>
            <w:r w:rsidRPr="00DE12A3">
              <w:t>Tork</w:t>
            </w:r>
          </w:p>
        </w:tc>
        <w:tc>
          <w:tcPr>
            <w:tcW w:w="4021" w:type="dxa"/>
            <w:shd w:val="clear" w:color="auto" w:fill="auto"/>
          </w:tcPr>
          <w:p w14:paraId="4909009C" w14:textId="77777777" w:rsidR="00C766FA" w:rsidRPr="00DE12A3" w:rsidRDefault="00C766FA" w:rsidP="00C917D6">
            <w:pPr>
              <w:pStyle w:val="NormalCentered"/>
            </w:pPr>
            <w:r w:rsidRPr="00DE12A3">
              <w:t>Güç</w:t>
            </w:r>
          </w:p>
        </w:tc>
      </w:tr>
      <w:tr w:rsidR="00DE12A3" w:rsidRPr="00DE12A3" w14:paraId="7AE4D157" w14:textId="77777777" w:rsidTr="00C766FA">
        <w:trPr>
          <w:trHeight w:hRule="exact" w:val="953"/>
        </w:trPr>
        <w:tc>
          <w:tcPr>
            <w:tcW w:w="1848" w:type="dxa"/>
            <w:shd w:val="clear" w:color="auto" w:fill="auto"/>
          </w:tcPr>
          <w:p w14:paraId="56CDF00D" w14:textId="0713B7C7" w:rsidR="00C766FA" w:rsidRPr="00DE12A3" w:rsidRDefault="00B56A0A" w:rsidP="00C917D6">
            <w:pPr>
              <w:pStyle w:val="NormalLeft"/>
            </w:pPr>
            <w:r w:rsidRPr="00DE12A3">
              <w:t>Y’nin</w:t>
            </w:r>
            <w:r w:rsidR="00C766FA" w:rsidRPr="00DE12A3">
              <w:t xml:space="preserve"> x üzerindeki standart tahmin hatası (SEE)</w:t>
            </w:r>
          </w:p>
        </w:tc>
        <w:tc>
          <w:tcPr>
            <w:tcW w:w="1814" w:type="dxa"/>
            <w:shd w:val="clear" w:color="auto" w:fill="auto"/>
          </w:tcPr>
          <w:p w14:paraId="357F0AF3" w14:textId="77777777" w:rsidR="00C766FA" w:rsidRPr="00DE12A3" w:rsidRDefault="00C766FA" w:rsidP="00C917D6">
            <w:pPr>
              <w:pStyle w:val="NormalLeft"/>
            </w:pPr>
            <w:r w:rsidRPr="00DE12A3">
              <w:t>≤ %5,0 azami test devri</w:t>
            </w:r>
          </w:p>
        </w:tc>
        <w:tc>
          <w:tcPr>
            <w:tcW w:w="1810" w:type="dxa"/>
            <w:shd w:val="clear" w:color="auto" w:fill="auto"/>
          </w:tcPr>
          <w:p w14:paraId="65D3D927" w14:textId="77777777" w:rsidR="00C766FA" w:rsidRPr="00DE12A3" w:rsidRDefault="00C766FA" w:rsidP="00C917D6">
            <w:pPr>
              <w:pStyle w:val="NormalLeft"/>
            </w:pPr>
            <w:r w:rsidRPr="00DE12A3">
              <w:t>≤ %10,0 azami eşlenmiş tork</w:t>
            </w:r>
          </w:p>
        </w:tc>
        <w:tc>
          <w:tcPr>
            <w:tcW w:w="4021" w:type="dxa"/>
            <w:shd w:val="clear" w:color="auto" w:fill="auto"/>
          </w:tcPr>
          <w:p w14:paraId="0B3E94F2" w14:textId="77777777" w:rsidR="00C766FA" w:rsidRPr="00DE12A3" w:rsidRDefault="00C766FA" w:rsidP="00C917D6">
            <w:pPr>
              <w:pStyle w:val="NormalLeft"/>
            </w:pPr>
            <w:r w:rsidRPr="00DE12A3">
              <w:t>≤ %10,0 azami eşlenmiş güç</w:t>
            </w:r>
          </w:p>
        </w:tc>
      </w:tr>
      <w:tr w:rsidR="00DE12A3" w:rsidRPr="00DE12A3" w14:paraId="3F09C45F" w14:textId="77777777" w:rsidTr="00C766FA">
        <w:trPr>
          <w:trHeight w:hRule="exact" w:val="711"/>
        </w:trPr>
        <w:tc>
          <w:tcPr>
            <w:tcW w:w="1848" w:type="dxa"/>
            <w:shd w:val="clear" w:color="auto" w:fill="auto"/>
          </w:tcPr>
          <w:p w14:paraId="373FF71C" w14:textId="77777777" w:rsidR="00C766FA" w:rsidRPr="00DE12A3" w:rsidRDefault="00C766FA" w:rsidP="00C917D6">
            <w:pPr>
              <w:pStyle w:val="NormalLeft"/>
            </w:pPr>
            <w:r w:rsidRPr="00DE12A3">
              <w:t>Regresyon doğrusunun eğimi, a1</w:t>
            </w:r>
          </w:p>
        </w:tc>
        <w:tc>
          <w:tcPr>
            <w:tcW w:w="1814" w:type="dxa"/>
            <w:shd w:val="clear" w:color="auto" w:fill="auto"/>
          </w:tcPr>
          <w:p w14:paraId="2BF7B46E" w14:textId="77777777" w:rsidR="00C766FA" w:rsidRPr="00DE12A3" w:rsidRDefault="00C766FA" w:rsidP="00C917D6">
            <w:pPr>
              <w:pStyle w:val="NormalLeft"/>
            </w:pPr>
            <w:r w:rsidRPr="00DE12A3">
              <w:t>0,95 - 1,03</w:t>
            </w:r>
          </w:p>
        </w:tc>
        <w:tc>
          <w:tcPr>
            <w:tcW w:w="1810" w:type="dxa"/>
            <w:shd w:val="clear" w:color="auto" w:fill="auto"/>
          </w:tcPr>
          <w:p w14:paraId="58D1AFD5" w14:textId="77777777" w:rsidR="00C766FA" w:rsidRPr="00DE12A3" w:rsidRDefault="00C766FA" w:rsidP="00C917D6">
            <w:pPr>
              <w:pStyle w:val="NormalLeft"/>
            </w:pPr>
            <w:r w:rsidRPr="00DE12A3">
              <w:t>0,83 - 1,03</w:t>
            </w:r>
          </w:p>
        </w:tc>
        <w:tc>
          <w:tcPr>
            <w:tcW w:w="4021" w:type="dxa"/>
            <w:shd w:val="clear" w:color="auto" w:fill="auto"/>
          </w:tcPr>
          <w:p w14:paraId="7F537057" w14:textId="77777777" w:rsidR="00C766FA" w:rsidRPr="00DE12A3" w:rsidRDefault="00C766FA" w:rsidP="00C917D6">
            <w:pPr>
              <w:pStyle w:val="NormalLeft"/>
            </w:pPr>
            <w:r w:rsidRPr="00DE12A3">
              <w:t>0,89 - 1,03</w:t>
            </w:r>
          </w:p>
        </w:tc>
      </w:tr>
      <w:tr w:rsidR="00DE12A3" w:rsidRPr="00DE12A3" w14:paraId="74658B19" w14:textId="77777777" w:rsidTr="00C766FA">
        <w:trPr>
          <w:trHeight w:hRule="exact" w:val="991"/>
        </w:trPr>
        <w:tc>
          <w:tcPr>
            <w:tcW w:w="1848" w:type="dxa"/>
            <w:shd w:val="clear" w:color="auto" w:fill="auto"/>
          </w:tcPr>
          <w:p w14:paraId="74BF59A2" w14:textId="77777777" w:rsidR="00C766FA" w:rsidRPr="00DE12A3" w:rsidRDefault="00C766FA" w:rsidP="00C917D6">
            <w:pPr>
              <w:pStyle w:val="NormalLeft"/>
            </w:pPr>
            <w:r w:rsidRPr="00DE12A3">
              <w:t>Belirleme katsayısı, r</w:t>
            </w:r>
            <w:r w:rsidRPr="00DE12A3">
              <w:rPr>
                <w:vertAlign w:val="superscript"/>
              </w:rPr>
              <w:t>2</w:t>
            </w:r>
          </w:p>
        </w:tc>
        <w:tc>
          <w:tcPr>
            <w:tcW w:w="1814" w:type="dxa"/>
            <w:shd w:val="clear" w:color="auto" w:fill="auto"/>
          </w:tcPr>
          <w:p w14:paraId="6BDE95FB" w14:textId="75496FE8" w:rsidR="00C766FA" w:rsidRPr="00DE12A3" w:rsidRDefault="00B56A0A" w:rsidP="00C917D6">
            <w:pPr>
              <w:pStyle w:val="NormalLeft"/>
            </w:pPr>
            <w:r w:rsidRPr="00DE12A3">
              <w:t>En</w:t>
            </w:r>
            <w:r w:rsidR="00C766FA" w:rsidRPr="00DE12A3">
              <w:t xml:space="preserve"> az 0,970</w:t>
            </w:r>
          </w:p>
        </w:tc>
        <w:tc>
          <w:tcPr>
            <w:tcW w:w="1810" w:type="dxa"/>
            <w:shd w:val="clear" w:color="auto" w:fill="auto"/>
          </w:tcPr>
          <w:p w14:paraId="552CC162" w14:textId="2E0AC5CD" w:rsidR="00C766FA" w:rsidRPr="00DE12A3" w:rsidRDefault="00B56A0A" w:rsidP="00C917D6">
            <w:pPr>
              <w:pStyle w:val="NormalLeft"/>
            </w:pPr>
            <w:r w:rsidRPr="00DE12A3">
              <w:t>En</w:t>
            </w:r>
            <w:r w:rsidR="00C766FA" w:rsidRPr="00DE12A3">
              <w:t xml:space="preserve"> az 0,850</w:t>
            </w:r>
          </w:p>
        </w:tc>
        <w:tc>
          <w:tcPr>
            <w:tcW w:w="4021" w:type="dxa"/>
            <w:shd w:val="clear" w:color="auto" w:fill="auto"/>
          </w:tcPr>
          <w:p w14:paraId="3103A88A" w14:textId="06422874" w:rsidR="00C766FA" w:rsidRPr="00DE12A3" w:rsidRDefault="00B56A0A" w:rsidP="00C917D6">
            <w:pPr>
              <w:pStyle w:val="NormalLeft"/>
            </w:pPr>
            <w:r w:rsidRPr="00DE12A3">
              <w:t>En</w:t>
            </w:r>
            <w:r w:rsidR="00C766FA" w:rsidRPr="00DE12A3">
              <w:t xml:space="preserve"> az 0,910</w:t>
            </w:r>
          </w:p>
        </w:tc>
      </w:tr>
      <w:tr w:rsidR="00DE12A3" w:rsidRPr="00DE12A3" w14:paraId="58F9B7A5" w14:textId="77777777" w:rsidTr="00C766FA">
        <w:trPr>
          <w:trHeight w:hRule="exact" w:val="1277"/>
        </w:trPr>
        <w:tc>
          <w:tcPr>
            <w:tcW w:w="1848" w:type="dxa"/>
            <w:shd w:val="clear" w:color="auto" w:fill="auto"/>
          </w:tcPr>
          <w:p w14:paraId="76963D88" w14:textId="5EEBCBE4" w:rsidR="00C766FA" w:rsidRPr="00DE12A3" w:rsidRDefault="00185F5F" w:rsidP="00C917D6">
            <w:pPr>
              <w:pStyle w:val="NormalLeft"/>
            </w:pPr>
            <w:r w:rsidRPr="00DE12A3">
              <w:t>Regresyon</w:t>
            </w:r>
            <w:r w:rsidR="00C766FA" w:rsidRPr="00DE12A3">
              <w:t xml:space="preserve"> doğrusunun y kesişimi, a</w:t>
            </w:r>
            <w:r w:rsidR="00C766FA" w:rsidRPr="00DE12A3">
              <w:rPr>
                <w:vertAlign w:val="subscript"/>
              </w:rPr>
              <w:t>0</w:t>
            </w:r>
          </w:p>
        </w:tc>
        <w:tc>
          <w:tcPr>
            <w:tcW w:w="1814" w:type="dxa"/>
            <w:shd w:val="clear" w:color="auto" w:fill="auto"/>
          </w:tcPr>
          <w:p w14:paraId="7CC3898E" w14:textId="77777777" w:rsidR="00C766FA" w:rsidRPr="00DE12A3" w:rsidRDefault="00C766FA" w:rsidP="00C917D6">
            <w:pPr>
              <w:pStyle w:val="NormalLeft"/>
            </w:pPr>
            <w:r w:rsidRPr="00DE12A3">
              <w:t>≤ %10 rölanti</w:t>
            </w:r>
          </w:p>
        </w:tc>
        <w:tc>
          <w:tcPr>
            <w:tcW w:w="1810" w:type="dxa"/>
            <w:shd w:val="clear" w:color="auto" w:fill="auto"/>
          </w:tcPr>
          <w:p w14:paraId="7481163A" w14:textId="77777777" w:rsidR="00C766FA" w:rsidRPr="00DE12A3" w:rsidRDefault="00C766FA" w:rsidP="00C917D6">
            <w:pPr>
              <w:pStyle w:val="NormalLeft"/>
            </w:pPr>
            <w:r w:rsidRPr="00DE12A3">
              <w:t>Hangisi daha büyükse, ± 20 Nm veya azami tork ± %2</w:t>
            </w:r>
          </w:p>
        </w:tc>
        <w:tc>
          <w:tcPr>
            <w:tcW w:w="4021" w:type="dxa"/>
            <w:shd w:val="clear" w:color="auto" w:fill="auto"/>
          </w:tcPr>
          <w:p w14:paraId="173EA2D6" w14:textId="77777777" w:rsidR="00C766FA" w:rsidRPr="00DE12A3" w:rsidRDefault="00C766FA" w:rsidP="00C917D6">
            <w:pPr>
              <w:pStyle w:val="NormalLeft"/>
            </w:pPr>
            <w:r w:rsidRPr="00DE12A3">
              <w:t>Hangisi daha büyükse, ± 4 kW veya azami güç ± %2</w:t>
            </w:r>
          </w:p>
        </w:tc>
      </w:tr>
    </w:tbl>
    <w:p w14:paraId="4CD1C033" w14:textId="77777777" w:rsidR="0040229E" w:rsidRPr="00DE12A3" w:rsidRDefault="0040229E" w:rsidP="00C917D6">
      <w:pPr>
        <w:pStyle w:val="Gvdemetni0"/>
        <w:shd w:val="clear" w:color="auto" w:fill="auto"/>
        <w:spacing w:before="120" w:after="120" w:line="240" w:lineRule="auto"/>
        <w:ind w:left="1134" w:firstLine="0"/>
        <w:jc w:val="both"/>
        <w:rPr>
          <w:sz w:val="24"/>
          <w:szCs w:val="24"/>
        </w:rPr>
      </w:pPr>
    </w:p>
    <w:p w14:paraId="25C739DF" w14:textId="395871B2" w:rsidR="002D7B36" w:rsidRPr="00DE12A3" w:rsidRDefault="00242DA0" w:rsidP="00C917D6">
      <w:pPr>
        <w:pStyle w:val="Gvdemetni0"/>
        <w:shd w:val="clear" w:color="auto" w:fill="auto"/>
        <w:spacing w:before="120" w:after="120" w:line="240" w:lineRule="auto"/>
        <w:ind w:left="1134" w:firstLine="0"/>
        <w:jc w:val="both"/>
        <w:rPr>
          <w:sz w:val="24"/>
          <w:szCs w:val="24"/>
        </w:rPr>
      </w:pPr>
      <w:r w:rsidRPr="00DE12A3">
        <w:rPr>
          <w:sz w:val="24"/>
          <w:szCs w:val="24"/>
        </w:rPr>
        <w:t xml:space="preserve">Sadece regresyon amacıyla, regresyon hesaplaması yapılmadan önce Tablo 6.3'te belirtilen yerlerde nokta silmeye izin verilir. Ancak, </w:t>
      </w:r>
      <w:r w:rsidR="00F310B5" w:rsidRPr="00DE12A3">
        <w:rPr>
          <w:sz w:val="24"/>
          <w:szCs w:val="24"/>
        </w:rPr>
        <w:t>çevrim</w:t>
      </w:r>
      <w:r w:rsidRPr="00DE12A3">
        <w:rPr>
          <w:sz w:val="24"/>
          <w:szCs w:val="24"/>
        </w:rPr>
        <w:t xml:space="preserve"> çalışmasının ve emisyonların hesaplanması için bu noktalar silinmez. Rölanti noktası, %0 normalize edilmiş referans torka ve %0 normalize edilmiş referans devre sahip bir nokta olarak tanımlanır. Nokta silme, </w:t>
      </w:r>
      <w:r w:rsidR="00F310B5" w:rsidRPr="00DE12A3">
        <w:rPr>
          <w:sz w:val="24"/>
          <w:szCs w:val="24"/>
        </w:rPr>
        <w:t>çevrimin</w:t>
      </w:r>
      <w:r w:rsidRPr="00DE12A3">
        <w:rPr>
          <w:sz w:val="24"/>
          <w:szCs w:val="24"/>
        </w:rPr>
        <w:t xml:space="preserve"> tümüne veya herhangi bir kısmına uygulanabilir</w:t>
      </w:r>
      <w:r w:rsidR="00675CA7" w:rsidRPr="00DE12A3">
        <w:rPr>
          <w:sz w:val="24"/>
          <w:szCs w:val="24"/>
        </w:rPr>
        <w:t>. N</w:t>
      </w:r>
      <w:r w:rsidRPr="00DE12A3">
        <w:rPr>
          <w:sz w:val="24"/>
          <w:szCs w:val="24"/>
        </w:rPr>
        <w:t>okta silme işleminin uygulandığı noktalar belirtilmelidir.</w:t>
      </w:r>
    </w:p>
    <w:p w14:paraId="6703F594" w14:textId="77777777" w:rsidR="002D7B36" w:rsidRPr="00DE12A3" w:rsidRDefault="002D7B36" w:rsidP="00C917D6">
      <w:pPr>
        <w:pStyle w:val="Gvdemetni0"/>
        <w:shd w:val="clear" w:color="auto" w:fill="auto"/>
        <w:spacing w:before="120" w:after="120" w:line="240" w:lineRule="auto"/>
        <w:ind w:left="709" w:hanging="709"/>
        <w:jc w:val="both"/>
        <w:rPr>
          <w:sz w:val="20"/>
          <w:szCs w:val="20"/>
        </w:rPr>
      </w:pPr>
    </w:p>
    <w:p w14:paraId="1DF1193E" w14:textId="77777777" w:rsidR="00C766FA" w:rsidRPr="00DE12A3" w:rsidRDefault="00C766FA" w:rsidP="00C917D6">
      <w:pPr>
        <w:pStyle w:val="Gvdemetni0"/>
        <w:shd w:val="clear" w:color="auto" w:fill="auto"/>
        <w:spacing w:before="120" w:after="120" w:line="240" w:lineRule="auto"/>
        <w:ind w:left="709" w:hanging="709"/>
        <w:jc w:val="both"/>
        <w:rPr>
          <w:sz w:val="20"/>
          <w:szCs w:val="20"/>
        </w:rPr>
      </w:pPr>
    </w:p>
    <w:p w14:paraId="45621745" w14:textId="77777777" w:rsidR="00C766FA" w:rsidRPr="00DE12A3" w:rsidRDefault="00C766FA" w:rsidP="00C917D6">
      <w:pPr>
        <w:pStyle w:val="Gvdemetni0"/>
        <w:shd w:val="clear" w:color="auto" w:fill="auto"/>
        <w:spacing w:before="120" w:after="120" w:line="240" w:lineRule="auto"/>
        <w:ind w:left="709" w:hanging="709"/>
        <w:jc w:val="both"/>
        <w:rPr>
          <w:sz w:val="20"/>
          <w:szCs w:val="20"/>
        </w:rPr>
      </w:pPr>
    </w:p>
    <w:p w14:paraId="5F23914C" w14:textId="77777777" w:rsidR="00C766FA" w:rsidRPr="00DE12A3" w:rsidRDefault="00C766FA" w:rsidP="00C917D6">
      <w:pPr>
        <w:pStyle w:val="Gvdemetni0"/>
        <w:shd w:val="clear" w:color="auto" w:fill="auto"/>
        <w:spacing w:before="120" w:after="120" w:line="240" w:lineRule="auto"/>
        <w:ind w:left="709" w:hanging="709"/>
        <w:jc w:val="both"/>
        <w:rPr>
          <w:sz w:val="20"/>
          <w:szCs w:val="20"/>
        </w:rPr>
      </w:pPr>
    </w:p>
    <w:p w14:paraId="728A0BA4" w14:textId="77777777" w:rsidR="00C766FA" w:rsidRPr="00DE12A3" w:rsidRDefault="00C766FA" w:rsidP="00C917D6">
      <w:pPr>
        <w:pStyle w:val="Gvdemetni0"/>
        <w:shd w:val="clear" w:color="auto" w:fill="auto"/>
        <w:spacing w:before="120" w:after="120" w:line="240" w:lineRule="auto"/>
        <w:ind w:left="709" w:hanging="709"/>
        <w:jc w:val="both"/>
        <w:rPr>
          <w:sz w:val="20"/>
          <w:szCs w:val="20"/>
        </w:rPr>
      </w:pPr>
    </w:p>
    <w:p w14:paraId="34ED7629" w14:textId="77777777" w:rsidR="00C766FA" w:rsidRPr="00DE12A3" w:rsidRDefault="00C766FA" w:rsidP="00C917D6">
      <w:pPr>
        <w:pStyle w:val="Gvdemetni0"/>
        <w:shd w:val="clear" w:color="auto" w:fill="auto"/>
        <w:spacing w:before="120" w:after="120" w:line="240" w:lineRule="auto"/>
        <w:ind w:left="709" w:hanging="709"/>
        <w:jc w:val="both"/>
        <w:rPr>
          <w:sz w:val="20"/>
          <w:szCs w:val="20"/>
        </w:rPr>
      </w:pPr>
    </w:p>
    <w:p w14:paraId="14DAC5CF" w14:textId="652882B0" w:rsidR="00C766FA" w:rsidRPr="00DE12A3" w:rsidRDefault="00C766FA" w:rsidP="00C917D6">
      <w:pPr>
        <w:pStyle w:val="Gvdemetni0"/>
        <w:shd w:val="clear" w:color="auto" w:fill="auto"/>
        <w:spacing w:before="120" w:after="120" w:line="240" w:lineRule="auto"/>
        <w:ind w:left="709" w:hanging="709"/>
        <w:jc w:val="both"/>
        <w:rPr>
          <w:sz w:val="20"/>
          <w:szCs w:val="20"/>
        </w:rPr>
      </w:pPr>
    </w:p>
    <w:p w14:paraId="5E2A82B0" w14:textId="1FE4713B" w:rsidR="00FD681E" w:rsidRPr="00DE12A3" w:rsidRDefault="00FD681E" w:rsidP="00C917D6">
      <w:pPr>
        <w:pStyle w:val="Gvdemetni0"/>
        <w:shd w:val="clear" w:color="auto" w:fill="auto"/>
        <w:spacing w:before="120" w:after="120" w:line="240" w:lineRule="auto"/>
        <w:ind w:left="709" w:hanging="709"/>
        <w:jc w:val="both"/>
        <w:rPr>
          <w:sz w:val="20"/>
          <w:szCs w:val="20"/>
        </w:rPr>
      </w:pPr>
    </w:p>
    <w:p w14:paraId="19D8AF5D" w14:textId="28CC4ED7" w:rsidR="00FD681E" w:rsidRPr="00DE12A3" w:rsidRDefault="00FD681E" w:rsidP="00C917D6">
      <w:pPr>
        <w:pStyle w:val="Gvdemetni0"/>
        <w:shd w:val="clear" w:color="auto" w:fill="auto"/>
        <w:spacing w:before="120" w:after="120" w:line="240" w:lineRule="auto"/>
        <w:ind w:left="709" w:hanging="709"/>
        <w:jc w:val="both"/>
        <w:rPr>
          <w:sz w:val="20"/>
          <w:szCs w:val="20"/>
        </w:rPr>
      </w:pPr>
    </w:p>
    <w:p w14:paraId="40F94F98" w14:textId="376F4A9E" w:rsidR="00FD681E" w:rsidRPr="00DE12A3" w:rsidRDefault="00FD681E" w:rsidP="00C917D6">
      <w:pPr>
        <w:pStyle w:val="Gvdemetni0"/>
        <w:shd w:val="clear" w:color="auto" w:fill="auto"/>
        <w:spacing w:before="120" w:after="120" w:line="240" w:lineRule="auto"/>
        <w:ind w:left="709" w:hanging="709"/>
        <w:jc w:val="both"/>
        <w:rPr>
          <w:sz w:val="20"/>
          <w:szCs w:val="20"/>
        </w:rPr>
      </w:pPr>
    </w:p>
    <w:p w14:paraId="438E656B" w14:textId="48D5816D" w:rsidR="00FD681E" w:rsidRPr="00DE12A3" w:rsidRDefault="00FD681E" w:rsidP="00C917D6">
      <w:pPr>
        <w:pStyle w:val="Gvdemetni0"/>
        <w:shd w:val="clear" w:color="auto" w:fill="auto"/>
        <w:spacing w:before="120" w:after="120" w:line="240" w:lineRule="auto"/>
        <w:ind w:left="709" w:hanging="709"/>
        <w:jc w:val="both"/>
        <w:rPr>
          <w:sz w:val="20"/>
          <w:szCs w:val="20"/>
        </w:rPr>
      </w:pPr>
    </w:p>
    <w:p w14:paraId="41D31E58" w14:textId="5B3FF773" w:rsidR="00FD681E" w:rsidRPr="00DE12A3" w:rsidRDefault="00FD681E" w:rsidP="00C917D6">
      <w:pPr>
        <w:pStyle w:val="Gvdemetni0"/>
        <w:shd w:val="clear" w:color="auto" w:fill="auto"/>
        <w:spacing w:before="120" w:after="120" w:line="240" w:lineRule="auto"/>
        <w:ind w:left="709" w:hanging="709"/>
        <w:jc w:val="both"/>
        <w:rPr>
          <w:sz w:val="20"/>
          <w:szCs w:val="20"/>
        </w:rPr>
      </w:pPr>
    </w:p>
    <w:p w14:paraId="4004DCAE" w14:textId="1592DA40" w:rsidR="00FD681E" w:rsidRPr="00DE12A3" w:rsidRDefault="00FD681E" w:rsidP="00C917D6">
      <w:pPr>
        <w:pStyle w:val="Gvdemetni0"/>
        <w:shd w:val="clear" w:color="auto" w:fill="auto"/>
        <w:spacing w:before="120" w:after="120" w:line="240" w:lineRule="auto"/>
        <w:ind w:left="709" w:hanging="709"/>
        <w:jc w:val="both"/>
        <w:rPr>
          <w:sz w:val="20"/>
          <w:szCs w:val="20"/>
        </w:rPr>
      </w:pPr>
    </w:p>
    <w:p w14:paraId="3DCB9753" w14:textId="77777777" w:rsidR="00FD681E" w:rsidRPr="00DE12A3" w:rsidRDefault="00FD681E" w:rsidP="00C917D6">
      <w:pPr>
        <w:pStyle w:val="Gvdemetni0"/>
        <w:shd w:val="clear" w:color="auto" w:fill="auto"/>
        <w:spacing w:before="120" w:after="120" w:line="240" w:lineRule="auto"/>
        <w:ind w:left="709" w:hanging="709"/>
        <w:jc w:val="both"/>
        <w:rPr>
          <w:sz w:val="20"/>
          <w:szCs w:val="20"/>
        </w:rPr>
      </w:pPr>
    </w:p>
    <w:p w14:paraId="27E3518B" w14:textId="77777777" w:rsidR="002D7B36" w:rsidRPr="00DE12A3" w:rsidRDefault="00242DA0" w:rsidP="00C917D6">
      <w:pPr>
        <w:pStyle w:val="Tabloyazs60"/>
        <w:shd w:val="clear" w:color="auto" w:fill="auto"/>
        <w:spacing w:before="120" w:after="120" w:line="240" w:lineRule="auto"/>
        <w:ind w:left="709" w:hanging="709"/>
        <w:jc w:val="center"/>
        <w:rPr>
          <w:sz w:val="24"/>
          <w:szCs w:val="24"/>
        </w:rPr>
      </w:pPr>
      <w:r w:rsidRPr="00DE12A3">
        <w:rPr>
          <w:rStyle w:val="Tabloyazs60ptbolukbraklyor"/>
          <w:iCs/>
          <w:color w:val="auto"/>
          <w:sz w:val="24"/>
          <w:szCs w:val="24"/>
        </w:rPr>
        <w:t>Tablo 6.3</w:t>
      </w:r>
    </w:p>
    <w:p w14:paraId="56BC15F0" w14:textId="77777777" w:rsidR="002D7B36" w:rsidRPr="00DE12A3" w:rsidRDefault="00242DA0" w:rsidP="00C917D6">
      <w:pPr>
        <w:pStyle w:val="Tabloyazs100"/>
        <w:shd w:val="clear" w:color="auto" w:fill="auto"/>
        <w:spacing w:before="120" w:after="120" w:line="240" w:lineRule="auto"/>
        <w:ind w:left="709" w:hanging="709"/>
        <w:jc w:val="center"/>
        <w:rPr>
          <w:sz w:val="24"/>
          <w:szCs w:val="24"/>
        </w:rPr>
      </w:pPr>
      <w:r w:rsidRPr="00DE12A3">
        <w:rPr>
          <w:sz w:val="24"/>
          <w:szCs w:val="24"/>
        </w:rPr>
        <w:t>Regresyon analizinden izin verilen nokta silmeler</w:t>
      </w:r>
    </w:p>
    <w:tbl>
      <w:tblPr>
        <w:tblpPr w:leftFromText="141" w:rightFromText="141" w:vertAnchor="text" w:horzAnchor="margin" w:tblpY="38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562"/>
        <w:gridCol w:w="3812"/>
        <w:gridCol w:w="2283"/>
      </w:tblGrid>
      <w:tr w:rsidR="00DE12A3" w:rsidRPr="00DE12A3" w14:paraId="6769A757" w14:textId="77777777" w:rsidTr="001B5AE1">
        <w:trPr>
          <w:trHeight w:hRule="exact" w:val="461"/>
        </w:trPr>
        <w:tc>
          <w:tcPr>
            <w:tcW w:w="2562" w:type="dxa"/>
            <w:shd w:val="clear" w:color="auto" w:fill="auto"/>
          </w:tcPr>
          <w:p w14:paraId="08A28D3B" w14:textId="77777777" w:rsidR="002D7B36" w:rsidRPr="00DE12A3" w:rsidRDefault="00242DA0" w:rsidP="00C917D6">
            <w:pPr>
              <w:pStyle w:val="Gvdemetni0"/>
              <w:shd w:val="clear" w:color="auto" w:fill="auto"/>
              <w:spacing w:before="120" w:after="120" w:line="240" w:lineRule="auto"/>
              <w:ind w:left="709" w:hanging="709"/>
              <w:jc w:val="both"/>
              <w:rPr>
                <w:sz w:val="24"/>
                <w:szCs w:val="24"/>
              </w:rPr>
            </w:pPr>
            <w:r w:rsidRPr="00DE12A3">
              <w:rPr>
                <w:sz w:val="24"/>
                <w:szCs w:val="24"/>
              </w:rPr>
              <w:t>Olay</w:t>
            </w:r>
          </w:p>
        </w:tc>
        <w:tc>
          <w:tcPr>
            <w:tcW w:w="3812" w:type="dxa"/>
            <w:shd w:val="clear" w:color="auto" w:fill="auto"/>
          </w:tcPr>
          <w:p w14:paraId="5F10B945" w14:textId="77777777" w:rsidR="002D7B36" w:rsidRPr="00DE12A3" w:rsidRDefault="00242DA0" w:rsidP="00C917D6">
            <w:pPr>
              <w:pStyle w:val="Gvdemetni0"/>
              <w:shd w:val="clear" w:color="auto" w:fill="auto"/>
              <w:spacing w:before="120" w:after="120" w:line="240" w:lineRule="auto"/>
              <w:ind w:left="709" w:hanging="709"/>
              <w:jc w:val="both"/>
              <w:rPr>
                <w:sz w:val="24"/>
                <w:szCs w:val="24"/>
              </w:rPr>
            </w:pPr>
            <w:r w:rsidRPr="00DE12A3">
              <w:rPr>
                <w:sz w:val="24"/>
                <w:szCs w:val="24"/>
              </w:rPr>
              <w:t>Koşullar (</w:t>
            </w:r>
            <w:r w:rsidRPr="00DE12A3">
              <w:rPr>
                <w:i/>
                <w:iCs/>
                <w:sz w:val="24"/>
                <w:szCs w:val="24"/>
              </w:rPr>
              <w:t>n</w:t>
            </w:r>
            <w:r w:rsidRPr="00DE12A3">
              <w:rPr>
                <w:sz w:val="24"/>
                <w:szCs w:val="24"/>
              </w:rPr>
              <w:t xml:space="preserve"> = motor devri, </w:t>
            </w:r>
            <w:r w:rsidRPr="00DE12A3">
              <w:rPr>
                <w:i/>
                <w:iCs/>
                <w:sz w:val="24"/>
                <w:szCs w:val="24"/>
              </w:rPr>
              <w:t>T</w:t>
            </w:r>
            <w:r w:rsidRPr="00DE12A3">
              <w:rPr>
                <w:sz w:val="24"/>
                <w:szCs w:val="24"/>
              </w:rPr>
              <w:t xml:space="preserve"> = tork)</w:t>
            </w:r>
          </w:p>
        </w:tc>
        <w:tc>
          <w:tcPr>
            <w:tcW w:w="2283" w:type="dxa"/>
            <w:shd w:val="clear" w:color="auto" w:fill="auto"/>
          </w:tcPr>
          <w:p w14:paraId="1FA065AF" w14:textId="77777777" w:rsidR="002D7B36" w:rsidRPr="00DE12A3" w:rsidRDefault="00242DA0" w:rsidP="00C917D6">
            <w:pPr>
              <w:pStyle w:val="Gvdemetni0"/>
              <w:shd w:val="clear" w:color="auto" w:fill="auto"/>
              <w:spacing w:before="120" w:after="120" w:line="240" w:lineRule="auto"/>
              <w:ind w:left="709" w:hanging="709"/>
              <w:jc w:val="both"/>
              <w:rPr>
                <w:sz w:val="24"/>
                <w:szCs w:val="24"/>
              </w:rPr>
            </w:pPr>
            <w:r w:rsidRPr="00DE12A3">
              <w:rPr>
                <w:sz w:val="24"/>
                <w:szCs w:val="24"/>
              </w:rPr>
              <w:t>İzin verilen nokta silmeler</w:t>
            </w:r>
          </w:p>
        </w:tc>
      </w:tr>
      <w:tr w:rsidR="00DE12A3" w:rsidRPr="00DE12A3" w14:paraId="2ADEE222" w14:textId="77777777" w:rsidTr="001B5AE1">
        <w:trPr>
          <w:trHeight w:hRule="exact" w:val="2954"/>
        </w:trPr>
        <w:tc>
          <w:tcPr>
            <w:tcW w:w="2562" w:type="dxa"/>
            <w:shd w:val="clear" w:color="auto" w:fill="auto"/>
          </w:tcPr>
          <w:p w14:paraId="5B459A5B" w14:textId="77777777" w:rsidR="002D7B36" w:rsidRPr="00DE12A3" w:rsidRDefault="00242DA0" w:rsidP="00C917D6">
            <w:pPr>
              <w:pStyle w:val="Gvdemetni0"/>
              <w:shd w:val="clear" w:color="auto" w:fill="auto"/>
              <w:spacing w:before="120" w:after="120" w:line="240" w:lineRule="auto"/>
              <w:ind w:left="709" w:hanging="709"/>
              <w:jc w:val="both"/>
              <w:rPr>
                <w:sz w:val="24"/>
                <w:szCs w:val="24"/>
              </w:rPr>
            </w:pPr>
            <w:r w:rsidRPr="00DE12A3">
              <w:rPr>
                <w:sz w:val="24"/>
                <w:szCs w:val="24"/>
              </w:rPr>
              <w:t>Asgari operatör talebi (rölanti noktası)</w:t>
            </w:r>
          </w:p>
        </w:tc>
        <w:tc>
          <w:tcPr>
            <w:tcW w:w="3812" w:type="dxa"/>
            <w:shd w:val="clear" w:color="auto" w:fill="auto"/>
          </w:tcPr>
          <w:p w14:paraId="183F8887" w14:textId="77777777" w:rsidR="002D7B36" w:rsidRPr="00DE12A3" w:rsidRDefault="00242DA0" w:rsidP="00C917D6">
            <w:pPr>
              <w:pStyle w:val="Gvdemetni0"/>
              <w:shd w:val="clear" w:color="auto" w:fill="auto"/>
              <w:spacing w:before="120" w:after="120" w:line="240" w:lineRule="auto"/>
              <w:ind w:left="709" w:hanging="709"/>
              <w:jc w:val="both"/>
              <w:rPr>
                <w:sz w:val="24"/>
                <w:szCs w:val="24"/>
              </w:rPr>
            </w:pPr>
            <w:r w:rsidRPr="00DE12A3">
              <w:rPr>
                <w:i/>
                <w:iCs/>
                <w:sz w:val="24"/>
                <w:szCs w:val="24"/>
              </w:rPr>
              <w:t>n</w:t>
            </w:r>
            <w:r w:rsidRPr="00DE12A3">
              <w:rPr>
                <w:sz w:val="24"/>
                <w:szCs w:val="24"/>
                <w:vertAlign w:val="subscript"/>
              </w:rPr>
              <w:t>ref</w:t>
            </w:r>
            <w:r w:rsidRPr="00DE12A3">
              <w:rPr>
                <w:sz w:val="24"/>
                <w:szCs w:val="24"/>
              </w:rPr>
              <w:t xml:space="preserve"> = </w:t>
            </w:r>
            <w:r w:rsidRPr="00DE12A3">
              <w:rPr>
                <w:i/>
                <w:iCs/>
                <w:sz w:val="24"/>
                <w:szCs w:val="24"/>
              </w:rPr>
              <w:t>n</w:t>
            </w:r>
            <w:r w:rsidR="00861C3B" w:rsidRPr="00DE12A3">
              <w:rPr>
                <w:sz w:val="24"/>
                <w:szCs w:val="24"/>
                <w:vertAlign w:val="subscript"/>
              </w:rPr>
              <w:t>Rölanti</w:t>
            </w:r>
          </w:p>
          <w:p w14:paraId="586552FF" w14:textId="77777777" w:rsidR="002D7B36" w:rsidRPr="00DE12A3" w:rsidRDefault="00242DA0" w:rsidP="00C917D6">
            <w:pPr>
              <w:pStyle w:val="Gvdemetni0"/>
              <w:shd w:val="clear" w:color="auto" w:fill="auto"/>
              <w:spacing w:before="120" w:after="120" w:line="240" w:lineRule="auto"/>
              <w:ind w:left="709" w:hanging="709"/>
              <w:jc w:val="both"/>
              <w:rPr>
                <w:sz w:val="24"/>
                <w:szCs w:val="24"/>
              </w:rPr>
            </w:pPr>
            <w:r w:rsidRPr="00DE12A3">
              <w:rPr>
                <w:sz w:val="24"/>
                <w:szCs w:val="24"/>
              </w:rPr>
              <w:t>ve</w:t>
            </w:r>
          </w:p>
          <w:p w14:paraId="422DE411" w14:textId="77777777" w:rsidR="002D7B36" w:rsidRPr="00DE12A3" w:rsidRDefault="00242DA0" w:rsidP="00C917D6">
            <w:pPr>
              <w:pStyle w:val="Gvdemetni0"/>
              <w:shd w:val="clear" w:color="auto" w:fill="auto"/>
              <w:spacing w:before="120" w:after="120" w:line="240" w:lineRule="auto"/>
              <w:ind w:left="709" w:hanging="709"/>
              <w:jc w:val="both"/>
              <w:rPr>
                <w:sz w:val="24"/>
                <w:szCs w:val="24"/>
              </w:rPr>
            </w:pPr>
            <w:r w:rsidRPr="00DE12A3">
              <w:rPr>
                <w:i/>
                <w:iCs/>
                <w:sz w:val="24"/>
                <w:szCs w:val="24"/>
              </w:rPr>
              <w:t>T</w:t>
            </w:r>
            <w:r w:rsidRPr="00DE12A3">
              <w:rPr>
                <w:sz w:val="24"/>
                <w:szCs w:val="24"/>
                <w:vertAlign w:val="subscript"/>
              </w:rPr>
              <w:t>ref</w:t>
            </w:r>
            <w:r w:rsidRPr="00DE12A3">
              <w:rPr>
                <w:sz w:val="24"/>
                <w:szCs w:val="24"/>
              </w:rPr>
              <w:t xml:space="preserve"> = % 0</w:t>
            </w:r>
          </w:p>
          <w:p w14:paraId="75933B6F" w14:textId="77777777" w:rsidR="002D7B36" w:rsidRPr="00DE12A3" w:rsidRDefault="00242DA0" w:rsidP="00C917D6">
            <w:pPr>
              <w:pStyle w:val="Gvdemetni0"/>
              <w:shd w:val="clear" w:color="auto" w:fill="auto"/>
              <w:spacing w:before="120" w:after="120" w:line="240" w:lineRule="auto"/>
              <w:ind w:left="709" w:hanging="709"/>
              <w:jc w:val="both"/>
              <w:rPr>
                <w:sz w:val="24"/>
                <w:szCs w:val="24"/>
              </w:rPr>
            </w:pPr>
            <w:r w:rsidRPr="00DE12A3">
              <w:rPr>
                <w:sz w:val="24"/>
                <w:szCs w:val="24"/>
              </w:rPr>
              <w:t>ve</w:t>
            </w:r>
          </w:p>
          <w:p w14:paraId="2C5C1AAB" w14:textId="77777777" w:rsidR="002D7B36" w:rsidRPr="00DE12A3" w:rsidRDefault="00242DA0" w:rsidP="00C917D6">
            <w:pPr>
              <w:pStyle w:val="Gvdemetni0"/>
              <w:shd w:val="clear" w:color="auto" w:fill="auto"/>
              <w:spacing w:before="120" w:after="120" w:line="240" w:lineRule="auto"/>
              <w:ind w:left="709" w:hanging="709"/>
              <w:jc w:val="both"/>
              <w:rPr>
                <w:sz w:val="24"/>
                <w:szCs w:val="24"/>
              </w:rPr>
            </w:pPr>
            <w:r w:rsidRPr="00DE12A3">
              <w:rPr>
                <w:i/>
                <w:iCs/>
                <w:sz w:val="24"/>
                <w:szCs w:val="24"/>
              </w:rPr>
              <w:t>T</w:t>
            </w:r>
            <w:r w:rsidRPr="00DE12A3">
              <w:rPr>
                <w:sz w:val="24"/>
                <w:szCs w:val="24"/>
                <w:vertAlign w:val="subscript"/>
              </w:rPr>
              <w:t>act</w:t>
            </w:r>
            <w:r w:rsidRPr="00DE12A3">
              <w:rPr>
                <w:sz w:val="24"/>
                <w:szCs w:val="24"/>
              </w:rPr>
              <w:t>&gt; (</w:t>
            </w:r>
            <w:r w:rsidRPr="00DE12A3">
              <w:rPr>
                <w:i/>
                <w:iCs/>
                <w:sz w:val="24"/>
                <w:szCs w:val="24"/>
              </w:rPr>
              <w:t>T</w:t>
            </w:r>
            <w:r w:rsidRPr="00DE12A3">
              <w:rPr>
                <w:sz w:val="24"/>
                <w:szCs w:val="24"/>
                <w:vertAlign w:val="subscript"/>
              </w:rPr>
              <w:t>ref</w:t>
            </w:r>
            <w:r w:rsidRPr="00DE12A3">
              <w:rPr>
                <w:sz w:val="24"/>
                <w:szCs w:val="24"/>
              </w:rPr>
              <w:t xml:space="preserve"> - 0,02 </w:t>
            </w:r>
            <w:r w:rsidRPr="00DE12A3">
              <w:rPr>
                <w:i/>
                <w:iCs/>
                <w:sz w:val="24"/>
                <w:szCs w:val="24"/>
              </w:rPr>
              <w:t>T</w:t>
            </w:r>
            <w:r w:rsidRPr="00DE12A3">
              <w:rPr>
                <w:sz w:val="24"/>
                <w:szCs w:val="24"/>
                <w:vertAlign w:val="subscript"/>
              </w:rPr>
              <w:t>maxmappedtorque</w:t>
            </w:r>
            <w:r w:rsidRPr="00DE12A3">
              <w:rPr>
                <w:sz w:val="24"/>
                <w:szCs w:val="24"/>
              </w:rPr>
              <w:t>)</w:t>
            </w:r>
          </w:p>
          <w:p w14:paraId="6477EA03" w14:textId="77777777" w:rsidR="002D7B36" w:rsidRPr="00DE12A3" w:rsidRDefault="00242DA0" w:rsidP="00C917D6">
            <w:pPr>
              <w:pStyle w:val="Gvdemetni0"/>
              <w:shd w:val="clear" w:color="auto" w:fill="auto"/>
              <w:spacing w:before="120" w:after="120" w:line="240" w:lineRule="auto"/>
              <w:ind w:left="709" w:hanging="709"/>
              <w:jc w:val="both"/>
              <w:rPr>
                <w:sz w:val="24"/>
                <w:szCs w:val="24"/>
              </w:rPr>
            </w:pPr>
            <w:r w:rsidRPr="00DE12A3">
              <w:rPr>
                <w:sz w:val="24"/>
                <w:szCs w:val="24"/>
              </w:rPr>
              <w:t>ve</w:t>
            </w:r>
          </w:p>
          <w:p w14:paraId="67595166" w14:textId="77777777" w:rsidR="002D7B36" w:rsidRPr="00DE12A3" w:rsidRDefault="00242DA0" w:rsidP="00C917D6">
            <w:pPr>
              <w:pStyle w:val="Gvdemetni0"/>
              <w:shd w:val="clear" w:color="auto" w:fill="auto"/>
              <w:spacing w:before="120" w:after="120" w:line="240" w:lineRule="auto"/>
              <w:ind w:left="709" w:hanging="709"/>
              <w:jc w:val="both"/>
              <w:rPr>
                <w:sz w:val="24"/>
                <w:szCs w:val="24"/>
              </w:rPr>
            </w:pPr>
            <w:r w:rsidRPr="00DE12A3">
              <w:rPr>
                <w:i/>
                <w:iCs/>
                <w:sz w:val="24"/>
                <w:szCs w:val="24"/>
              </w:rPr>
              <w:t>T</w:t>
            </w:r>
            <w:r w:rsidRPr="00DE12A3">
              <w:rPr>
                <w:sz w:val="24"/>
                <w:szCs w:val="24"/>
                <w:vertAlign w:val="subscript"/>
              </w:rPr>
              <w:t>act</w:t>
            </w:r>
            <w:r w:rsidRPr="00DE12A3">
              <w:rPr>
                <w:sz w:val="24"/>
                <w:szCs w:val="24"/>
              </w:rPr>
              <w:t>&gt; (</w:t>
            </w:r>
            <w:r w:rsidRPr="00DE12A3">
              <w:rPr>
                <w:i/>
                <w:iCs/>
                <w:sz w:val="24"/>
                <w:szCs w:val="24"/>
              </w:rPr>
              <w:t>T</w:t>
            </w:r>
            <w:r w:rsidRPr="00DE12A3">
              <w:rPr>
                <w:sz w:val="24"/>
                <w:szCs w:val="24"/>
                <w:vertAlign w:val="subscript"/>
              </w:rPr>
              <w:t>ref</w:t>
            </w:r>
            <w:r w:rsidRPr="00DE12A3">
              <w:rPr>
                <w:sz w:val="24"/>
                <w:szCs w:val="24"/>
              </w:rPr>
              <w:t xml:space="preserve"> + 0,02 </w:t>
            </w:r>
            <w:r w:rsidRPr="00DE12A3">
              <w:rPr>
                <w:i/>
                <w:iCs/>
                <w:sz w:val="24"/>
                <w:szCs w:val="24"/>
              </w:rPr>
              <w:t>T</w:t>
            </w:r>
            <w:r w:rsidRPr="00DE12A3">
              <w:rPr>
                <w:sz w:val="24"/>
                <w:szCs w:val="24"/>
                <w:vertAlign w:val="subscript"/>
              </w:rPr>
              <w:t>maxmappedtorque</w:t>
            </w:r>
            <w:r w:rsidRPr="00DE12A3">
              <w:rPr>
                <w:sz w:val="24"/>
                <w:szCs w:val="24"/>
              </w:rPr>
              <w:t>)</w:t>
            </w:r>
          </w:p>
        </w:tc>
        <w:tc>
          <w:tcPr>
            <w:tcW w:w="2283" w:type="dxa"/>
            <w:shd w:val="clear" w:color="auto" w:fill="auto"/>
          </w:tcPr>
          <w:p w14:paraId="6894ADDD" w14:textId="5E98F36C" w:rsidR="002D7B36" w:rsidRPr="00DE12A3" w:rsidRDefault="00B655AE" w:rsidP="00C917D6">
            <w:pPr>
              <w:pStyle w:val="Gvdemetni0"/>
              <w:shd w:val="clear" w:color="auto" w:fill="auto"/>
              <w:spacing w:before="120" w:after="120" w:line="240" w:lineRule="auto"/>
              <w:ind w:left="709" w:hanging="709"/>
              <w:jc w:val="both"/>
              <w:rPr>
                <w:sz w:val="24"/>
                <w:szCs w:val="24"/>
              </w:rPr>
            </w:pPr>
            <w:r w:rsidRPr="00DE12A3">
              <w:rPr>
                <w:sz w:val="24"/>
                <w:szCs w:val="24"/>
              </w:rPr>
              <w:t>Devir</w:t>
            </w:r>
            <w:r w:rsidR="00242DA0" w:rsidRPr="00DE12A3">
              <w:rPr>
                <w:sz w:val="24"/>
                <w:szCs w:val="24"/>
              </w:rPr>
              <w:t xml:space="preserve"> ve güç</w:t>
            </w:r>
          </w:p>
        </w:tc>
      </w:tr>
      <w:tr w:rsidR="00DE12A3" w:rsidRPr="00DE12A3" w14:paraId="19BFE507" w14:textId="77777777" w:rsidTr="001B5AE1">
        <w:trPr>
          <w:trHeight w:hRule="exact" w:val="2399"/>
        </w:trPr>
        <w:tc>
          <w:tcPr>
            <w:tcW w:w="2562" w:type="dxa"/>
            <w:shd w:val="clear" w:color="auto" w:fill="auto"/>
          </w:tcPr>
          <w:p w14:paraId="43960CF1" w14:textId="77777777" w:rsidR="002D7B36" w:rsidRPr="00DE12A3" w:rsidRDefault="00242DA0" w:rsidP="00C917D6">
            <w:pPr>
              <w:pStyle w:val="Gvdemetni0"/>
              <w:shd w:val="clear" w:color="auto" w:fill="auto"/>
              <w:spacing w:before="120" w:after="120" w:line="240" w:lineRule="auto"/>
              <w:ind w:left="709" w:hanging="709"/>
              <w:jc w:val="both"/>
              <w:rPr>
                <w:sz w:val="24"/>
                <w:szCs w:val="24"/>
              </w:rPr>
            </w:pPr>
            <w:r w:rsidRPr="00DE12A3">
              <w:rPr>
                <w:sz w:val="24"/>
                <w:szCs w:val="24"/>
              </w:rPr>
              <w:t>Asgari operatör talebi</w:t>
            </w:r>
          </w:p>
        </w:tc>
        <w:tc>
          <w:tcPr>
            <w:tcW w:w="3812" w:type="dxa"/>
            <w:shd w:val="clear" w:color="auto" w:fill="auto"/>
          </w:tcPr>
          <w:p w14:paraId="6E7B442D" w14:textId="77777777" w:rsidR="002D7B36" w:rsidRPr="00DE12A3" w:rsidRDefault="00242DA0" w:rsidP="00C917D6">
            <w:pPr>
              <w:pStyle w:val="Gvdemetni0"/>
              <w:shd w:val="clear" w:color="auto" w:fill="auto"/>
              <w:spacing w:before="120" w:after="120" w:line="240" w:lineRule="auto"/>
              <w:ind w:left="709" w:hanging="709"/>
              <w:jc w:val="both"/>
              <w:rPr>
                <w:sz w:val="24"/>
                <w:szCs w:val="24"/>
              </w:rPr>
            </w:pPr>
            <w:r w:rsidRPr="00DE12A3">
              <w:rPr>
                <w:i/>
                <w:iCs/>
                <w:sz w:val="24"/>
                <w:szCs w:val="24"/>
              </w:rPr>
              <w:t>n</w:t>
            </w:r>
            <w:r w:rsidRPr="00DE12A3">
              <w:rPr>
                <w:sz w:val="24"/>
                <w:szCs w:val="24"/>
                <w:vertAlign w:val="subscript"/>
              </w:rPr>
              <w:t>act</w:t>
            </w:r>
            <w:r w:rsidRPr="00DE12A3">
              <w:rPr>
                <w:sz w:val="24"/>
                <w:szCs w:val="24"/>
              </w:rPr>
              <w:t xml:space="preserve"> ≤1,02 </w:t>
            </w:r>
            <w:r w:rsidRPr="00DE12A3">
              <w:rPr>
                <w:i/>
                <w:iCs/>
                <w:sz w:val="24"/>
                <w:szCs w:val="24"/>
              </w:rPr>
              <w:t>n</w:t>
            </w:r>
            <w:r w:rsidRPr="00DE12A3">
              <w:rPr>
                <w:sz w:val="24"/>
                <w:szCs w:val="24"/>
                <w:vertAlign w:val="subscript"/>
              </w:rPr>
              <w:t>ref</w:t>
            </w:r>
            <w:r w:rsidRPr="00DE12A3">
              <w:rPr>
                <w:sz w:val="24"/>
                <w:szCs w:val="24"/>
              </w:rPr>
              <w:t xml:space="preserve"> ve </w:t>
            </w:r>
            <w:r w:rsidRPr="00DE12A3">
              <w:rPr>
                <w:i/>
                <w:iCs/>
                <w:sz w:val="24"/>
                <w:szCs w:val="24"/>
              </w:rPr>
              <w:t>T</w:t>
            </w:r>
            <w:r w:rsidRPr="00DE12A3">
              <w:rPr>
                <w:sz w:val="24"/>
                <w:szCs w:val="24"/>
                <w:vertAlign w:val="subscript"/>
              </w:rPr>
              <w:t>act</w:t>
            </w:r>
            <w:r w:rsidRPr="00DE12A3">
              <w:rPr>
                <w:sz w:val="24"/>
                <w:szCs w:val="24"/>
              </w:rPr>
              <w:t>&gt;</w:t>
            </w:r>
            <w:r w:rsidRPr="00DE12A3">
              <w:rPr>
                <w:i/>
                <w:iCs/>
                <w:sz w:val="24"/>
                <w:szCs w:val="24"/>
              </w:rPr>
              <w:t>T</w:t>
            </w:r>
            <w:r w:rsidRPr="00DE12A3">
              <w:rPr>
                <w:sz w:val="24"/>
                <w:szCs w:val="24"/>
                <w:vertAlign w:val="subscript"/>
              </w:rPr>
              <w:t>ref</w:t>
            </w:r>
          </w:p>
          <w:p w14:paraId="09F36F42" w14:textId="77777777" w:rsidR="002D7B36" w:rsidRPr="00DE12A3" w:rsidRDefault="00242DA0" w:rsidP="00C917D6">
            <w:pPr>
              <w:pStyle w:val="Gvdemetni0"/>
              <w:shd w:val="clear" w:color="auto" w:fill="auto"/>
              <w:spacing w:before="120" w:after="120" w:line="240" w:lineRule="auto"/>
              <w:ind w:left="709" w:hanging="709"/>
              <w:jc w:val="both"/>
              <w:rPr>
                <w:sz w:val="24"/>
                <w:szCs w:val="24"/>
              </w:rPr>
            </w:pPr>
            <w:r w:rsidRPr="00DE12A3">
              <w:rPr>
                <w:sz w:val="24"/>
                <w:szCs w:val="24"/>
              </w:rPr>
              <w:t>veya</w:t>
            </w:r>
          </w:p>
          <w:p w14:paraId="5AFFE2A9" w14:textId="77777777" w:rsidR="002D7B36" w:rsidRPr="00DE12A3" w:rsidRDefault="00242DA0" w:rsidP="00C917D6">
            <w:pPr>
              <w:pStyle w:val="Gvdemetni0"/>
              <w:shd w:val="clear" w:color="auto" w:fill="auto"/>
              <w:spacing w:before="120" w:after="120" w:line="240" w:lineRule="auto"/>
              <w:ind w:left="709" w:hanging="709"/>
              <w:jc w:val="both"/>
              <w:rPr>
                <w:sz w:val="24"/>
                <w:szCs w:val="24"/>
              </w:rPr>
            </w:pPr>
            <w:r w:rsidRPr="00DE12A3">
              <w:rPr>
                <w:i/>
                <w:iCs/>
                <w:sz w:val="24"/>
                <w:szCs w:val="24"/>
              </w:rPr>
              <w:t>n</w:t>
            </w:r>
            <w:r w:rsidRPr="00DE12A3">
              <w:rPr>
                <w:sz w:val="24"/>
                <w:szCs w:val="24"/>
                <w:vertAlign w:val="subscript"/>
              </w:rPr>
              <w:t>act</w:t>
            </w:r>
            <w:r w:rsidRPr="00DE12A3">
              <w:rPr>
                <w:sz w:val="24"/>
                <w:szCs w:val="24"/>
              </w:rPr>
              <w:t>&gt;</w:t>
            </w:r>
            <w:r w:rsidRPr="00DE12A3">
              <w:rPr>
                <w:i/>
                <w:iCs/>
                <w:sz w:val="24"/>
                <w:szCs w:val="24"/>
              </w:rPr>
              <w:t>n</w:t>
            </w:r>
            <w:r w:rsidRPr="00DE12A3">
              <w:rPr>
                <w:sz w:val="24"/>
                <w:szCs w:val="24"/>
                <w:vertAlign w:val="subscript"/>
              </w:rPr>
              <w:t>ref</w:t>
            </w:r>
            <w:r w:rsidRPr="00DE12A3">
              <w:rPr>
                <w:sz w:val="24"/>
                <w:szCs w:val="24"/>
              </w:rPr>
              <w:t xml:space="preserve"> ve </w:t>
            </w:r>
            <w:r w:rsidRPr="00DE12A3">
              <w:rPr>
                <w:i/>
                <w:iCs/>
                <w:sz w:val="24"/>
                <w:szCs w:val="24"/>
              </w:rPr>
              <w:t>T</w:t>
            </w:r>
            <w:r w:rsidRPr="00DE12A3">
              <w:rPr>
                <w:sz w:val="24"/>
                <w:szCs w:val="24"/>
                <w:vertAlign w:val="subscript"/>
              </w:rPr>
              <w:t>act</w:t>
            </w:r>
            <w:r w:rsidRPr="00DE12A3">
              <w:rPr>
                <w:sz w:val="24"/>
                <w:szCs w:val="24"/>
              </w:rPr>
              <w:t xml:space="preserve"> ≤ </w:t>
            </w:r>
            <w:r w:rsidRPr="00DE12A3">
              <w:rPr>
                <w:i/>
                <w:iCs/>
                <w:sz w:val="24"/>
                <w:szCs w:val="24"/>
              </w:rPr>
              <w:t>T</w:t>
            </w:r>
            <w:r w:rsidRPr="00DE12A3">
              <w:rPr>
                <w:sz w:val="24"/>
                <w:szCs w:val="24"/>
                <w:vertAlign w:val="subscript"/>
              </w:rPr>
              <w:t>ref</w:t>
            </w:r>
          </w:p>
          <w:p w14:paraId="25A74344" w14:textId="77777777" w:rsidR="002D7B36" w:rsidRPr="00DE12A3" w:rsidRDefault="00242DA0" w:rsidP="00C917D6">
            <w:pPr>
              <w:pStyle w:val="Gvdemetni0"/>
              <w:shd w:val="clear" w:color="auto" w:fill="auto"/>
              <w:spacing w:before="120" w:after="120" w:line="240" w:lineRule="auto"/>
              <w:ind w:left="709" w:hanging="709"/>
              <w:jc w:val="both"/>
              <w:rPr>
                <w:sz w:val="24"/>
                <w:szCs w:val="24"/>
              </w:rPr>
            </w:pPr>
            <w:r w:rsidRPr="00DE12A3">
              <w:rPr>
                <w:sz w:val="24"/>
                <w:szCs w:val="24"/>
              </w:rPr>
              <w:t>veya</w:t>
            </w:r>
          </w:p>
          <w:p w14:paraId="1CCC4153" w14:textId="77777777" w:rsidR="002D7B36" w:rsidRPr="00DE12A3" w:rsidRDefault="00242DA0" w:rsidP="00C917D6">
            <w:pPr>
              <w:pStyle w:val="Gvdemetni0"/>
              <w:shd w:val="clear" w:color="auto" w:fill="auto"/>
              <w:spacing w:before="120" w:after="120" w:line="240" w:lineRule="auto"/>
              <w:ind w:left="709" w:hanging="709"/>
              <w:jc w:val="both"/>
              <w:rPr>
                <w:sz w:val="24"/>
                <w:szCs w:val="24"/>
              </w:rPr>
            </w:pPr>
            <w:r w:rsidRPr="00DE12A3">
              <w:rPr>
                <w:i/>
                <w:iCs/>
                <w:sz w:val="24"/>
                <w:szCs w:val="24"/>
              </w:rPr>
              <w:t>n</w:t>
            </w:r>
            <w:r w:rsidRPr="00DE12A3">
              <w:rPr>
                <w:sz w:val="24"/>
                <w:szCs w:val="24"/>
                <w:vertAlign w:val="subscript"/>
              </w:rPr>
              <w:t>act</w:t>
            </w:r>
            <w:r w:rsidRPr="00DE12A3">
              <w:rPr>
                <w:sz w:val="24"/>
                <w:szCs w:val="24"/>
              </w:rPr>
              <w:t xml:space="preserve">&gt; 1,02 </w:t>
            </w:r>
            <w:r w:rsidRPr="00DE12A3">
              <w:rPr>
                <w:i/>
                <w:iCs/>
                <w:sz w:val="24"/>
                <w:szCs w:val="24"/>
              </w:rPr>
              <w:t>n</w:t>
            </w:r>
            <w:r w:rsidRPr="00DE12A3">
              <w:rPr>
                <w:sz w:val="24"/>
                <w:szCs w:val="24"/>
                <w:vertAlign w:val="subscript"/>
              </w:rPr>
              <w:t>ref</w:t>
            </w:r>
            <w:r w:rsidRPr="00DE12A3">
              <w:rPr>
                <w:sz w:val="24"/>
                <w:szCs w:val="24"/>
              </w:rPr>
              <w:t xml:space="preserve"> ve </w:t>
            </w:r>
            <w:r w:rsidRPr="00DE12A3">
              <w:rPr>
                <w:i/>
                <w:iCs/>
                <w:sz w:val="24"/>
                <w:szCs w:val="24"/>
              </w:rPr>
              <w:t>T</w:t>
            </w:r>
            <w:r w:rsidRPr="00DE12A3">
              <w:rPr>
                <w:sz w:val="24"/>
                <w:szCs w:val="24"/>
                <w:vertAlign w:val="subscript"/>
              </w:rPr>
              <w:t>ref</w:t>
            </w:r>
            <w:r w:rsidRPr="00DE12A3">
              <w:rPr>
                <w:sz w:val="24"/>
                <w:szCs w:val="24"/>
              </w:rPr>
              <w:t>&lt;</w:t>
            </w:r>
            <w:r w:rsidRPr="00DE12A3">
              <w:rPr>
                <w:i/>
                <w:iCs/>
                <w:sz w:val="24"/>
                <w:szCs w:val="24"/>
              </w:rPr>
              <w:t>T</w:t>
            </w:r>
            <w:r w:rsidRPr="00DE12A3">
              <w:rPr>
                <w:sz w:val="24"/>
                <w:szCs w:val="24"/>
                <w:vertAlign w:val="subscript"/>
              </w:rPr>
              <w:t>act</w:t>
            </w:r>
            <w:r w:rsidRPr="00DE12A3">
              <w:rPr>
                <w:sz w:val="24"/>
                <w:szCs w:val="24"/>
              </w:rPr>
              <w:t xml:space="preserve"> ≤ (</w:t>
            </w:r>
            <w:r w:rsidRPr="00DE12A3">
              <w:rPr>
                <w:i/>
                <w:iCs/>
                <w:sz w:val="24"/>
                <w:szCs w:val="24"/>
              </w:rPr>
              <w:t>T</w:t>
            </w:r>
            <w:r w:rsidRPr="00DE12A3">
              <w:rPr>
                <w:sz w:val="24"/>
                <w:szCs w:val="24"/>
                <w:vertAlign w:val="subscript"/>
              </w:rPr>
              <w:t>ref</w:t>
            </w:r>
            <w:r w:rsidRPr="00DE12A3">
              <w:rPr>
                <w:sz w:val="24"/>
                <w:szCs w:val="24"/>
              </w:rPr>
              <w:t xml:space="preserve"> + 0,02</w:t>
            </w:r>
            <w:r w:rsidRPr="00DE12A3">
              <w:rPr>
                <w:i/>
                <w:iCs/>
                <w:sz w:val="24"/>
                <w:szCs w:val="24"/>
              </w:rPr>
              <w:t>T</w:t>
            </w:r>
            <w:r w:rsidRPr="00DE12A3">
              <w:rPr>
                <w:sz w:val="24"/>
                <w:szCs w:val="24"/>
                <w:vertAlign w:val="subscript"/>
              </w:rPr>
              <w:t>maxmappedtorque</w:t>
            </w:r>
            <w:r w:rsidRPr="00DE12A3">
              <w:rPr>
                <w:sz w:val="24"/>
                <w:szCs w:val="24"/>
              </w:rPr>
              <w:t>)</w:t>
            </w:r>
          </w:p>
        </w:tc>
        <w:tc>
          <w:tcPr>
            <w:tcW w:w="2283" w:type="dxa"/>
            <w:shd w:val="clear" w:color="auto" w:fill="auto"/>
          </w:tcPr>
          <w:p w14:paraId="62F2DAC7" w14:textId="46552DB3" w:rsidR="002D7B36" w:rsidRPr="00DE12A3" w:rsidRDefault="00B655AE" w:rsidP="00C917D6">
            <w:pPr>
              <w:pStyle w:val="Gvdemetni0"/>
              <w:shd w:val="clear" w:color="auto" w:fill="auto"/>
              <w:spacing w:before="120" w:after="120" w:line="240" w:lineRule="auto"/>
              <w:ind w:left="709" w:hanging="709"/>
              <w:jc w:val="both"/>
              <w:rPr>
                <w:sz w:val="24"/>
                <w:szCs w:val="24"/>
              </w:rPr>
            </w:pPr>
            <w:r w:rsidRPr="00DE12A3">
              <w:rPr>
                <w:sz w:val="24"/>
                <w:szCs w:val="24"/>
              </w:rPr>
              <w:t>Güç</w:t>
            </w:r>
            <w:r w:rsidR="00242DA0" w:rsidRPr="00DE12A3">
              <w:rPr>
                <w:sz w:val="24"/>
                <w:szCs w:val="24"/>
              </w:rPr>
              <w:t xml:space="preserve"> ve tork veya devir</w:t>
            </w:r>
          </w:p>
        </w:tc>
      </w:tr>
      <w:tr w:rsidR="00DE12A3" w:rsidRPr="00DE12A3" w14:paraId="64BD001D" w14:textId="77777777" w:rsidTr="001B5AE1">
        <w:trPr>
          <w:trHeight w:hRule="exact" w:val="2408"/>
        </w:trPr>
        <w:tc>
          <w:tcPr>
            <w:tcW w:w="2562" w:type="dxa"/>
            <w:shd w:val="clear" w:color="auto" w:fill="auto"/>
          </w:tcPr>
          <w:p w14:paraId="71C2041F" w14:textId="77777777" w:rsidR="002D7B36" w:rsidRPr="00DE12A3" w:rsidRDefault="00242DA0" w:rsidP="00C917D6">
            <w:pPr>
              <w:pStyle w:val="Gvdemetni0"/>
              <w:shd w:val="clear" w:color="auto" w:fill="auto"/>
              <w:spacing w:before="120" w:after="120" w:line="240" w:lineRule="auto"/>
              <w:ind w:left="709" w:hanging="709"/>
              <w:jc w:val="both"/>
              <w:rPr>
                <w:sz w:val="24"/>
                <w:szCs w:val="24"/>
              </w:rPr>
            </w:pPr>
            <w:r w:rsidRPr="00DE12A3">
              <w:rPr>
                <w:sz w:val="24"/>
                <w:szCs w:val="24"/>
              </w:rPr>
              <w:t>Azami operatör talebi</w:t>
            </w:r>
          </w:p>
        </w:tc>
        <w:tc>
          <w:tcPr>
            <w:tcW w:w="3812" w:type="dxa"/>
            <w:shd w:val="clear" w:color="auto" w:fill="auto"/>
          </w:tcPr>
          <w:p w14:paraId="3B251D83" w14:textId="77777777" w:rsidR="002D7B36" w:rsidRPr="00DE12A3" w:rsidRDefault="00242DA0" w:rsidP="00C917D6">
            <w:pPr>
              <w:pStyle w:val="Gvdemetni0"/>
              <w:shd w:val="clear" w:color="auto" w:fill="auto"/>
              <w:spacing w:before="120" w:after="120" w:line="240" w:lineRule="auto"/>
              <w:ind w:left="709" w:hanging="709"/>
              <w:jc w:val="both"/>
              <w:rPr>
                <w:sz w:val="24"/>
                <w:szCs w:val="24"/>
              </w:rPr>
            </w:pPr>
            <w:r w:rsidRPr="00DE12A3">
              <w:rPr>
                <w:i/>
                <w:iCs/>
                <w:sz w:val="24"/>
                <w:szCs w:val="24"/>
              </w:rPr>
              <w:t>n</w:t>
            </w:r>
            <w:r w:rsidRPr="00DE12A3">
              <w:rPr>
                <w:sz w:val="24"/>
                <w:szCs w:val="24"/>
                <w:vertAlign w:val="subscript"/>
              </w:rPr>
              <w:t>act</w:t>
            </w:r>
            <w:r w:rsidRPr="00DE12A3">
              <w:rPr>
                <w:sz w:val="24"/>
                <w:szCs w:val="24"/>
              </w:rPr>
              <w:t>&gt;</w:t>
            </w:r>
            <w:r w:rsidRPr="00DE12A3">
              <w:rPr>
                <w:i/>
                <w:iCs/>
                <w:sz w:val="24"/>
                <w:szCs w:val="24"/>
              </w:rPr>
              <w:t>n</w:t>
            </w:r>
            <w:r w:rsidRPr="00DE12A3">
              <w:rPr>
                <w:sz w:val="24"/>
                <w:szCs w:val="24"/>
                <w:vertAlign w:val="subscript"/>
              </w:rPr>
              <w:t>ref</w:t>
            </w:r>
            <w:r w:rsidRPr="00DE12A3">
              <w:rPr>
                <w:sz w:val="24"/>
                <w:szCs w:val="24"/>
              </w:rPr>
              <w:t xml:space="preserve"> ve </w:t>
            </w:r>
            <w:r w:rsidRPr="00DE12A3">
              <w:rPr>
                <w:i/>
                <w:iCs/>
                <w:sz w:val="24"/>
                <w:szCs w:val="24"/>
              </w:rPr>
              <w:t>T</w:t>
            </w:r>
            <w:r w:rsidRPr="00DE12A3">
              <w:rPr>
                <w:sz w:val="24"/>
                <w:szCs w:val="24"/>
                <w:vertAlign w:val="subscript"/>
              </w:rPr>
              <w:t>act</w:t>
            </w:r>
            <w:r w:rsidRPr="00DE12A3">
              <w:rPr>
                <w:sz w:val="24"/>
                <w:szCs w:val="24"/>
              </w:rPr>
              <w:t xml:space="preserve"> ≥ </w:t>
            </w:r>
            <w:r w:rsidRPr="00DE12A3">
              <w:rPr>
                <w:i/>
                <w:iCs/>
                <w:sz w:val="24"/>
                <w:szCs w:val="24"/>
              </w:rPr>
              <w:t>T</w:t>
            </w:r>
            <w:r w:rsidRPr="00DE12A3">
              <w:rPr>
                <w:sz w:val="24"/>
                <w:szCs w:val="24"/>
                <w:vertAlign w:val="subscript"/>
              </w:rPr>
              <w:t>ref</w:t>
            </w:r>
          </w:p>
          <w:p w14:paraId="19E9F4FF" w14:textId="77777777" w:rsidR="002D7B36" w:rsidRPr="00DE12A3" w:rsidRDefault="00242DA0" w:rsidP="00C917D6">
            <w:pPr>
              <w:pStyle w:val="Gvdemetni0"/>
              <w:shd w:val="clear" w:color="auto" w:fill="auto"/>
              <w:spacing w:before="120" w:after="120" w:line="240" w:lineRule="auto"/>
              <w:ind w:left="709" w:hanging="709"/>
              <w:jc w:val="both"/>
              <w:rPr>
                <w:sz w:val="24"/>
                <w:szCs w:val="24"/>
              </w:rPr>
            </w:pPr>
            <w:r w:rsidRPr="00DE12A3">
              <w:rPr>
                <w:sz w:val="24"/>
                <w:szCs w:val="24"/>
              </w:rPr>
              <w:t>veya</w:t>
            </w:r>
          </w:p>
          <w:p w14:paraId="3F689C46" w14:textId="77777777" w:rsidR="002D7B36" w:rsidRPr="00DE12A3" w:rsidRDefault="00242DA0" w:rsidP="00C917D6">
            <w:pPr>
              <w:pStyle w:val="Gvdemetni0"/>
              <w:shd w:val="clear" w:color="auto" w:fill="auto"/>
              <w:spacing w:before="120" w:after="120" w:line="240" w:lineRule="auto"/>
              <w:ind w:left="709" w:hanging="709"/>
              <w:jc w:val="both"/>
              <w:rPr>
                <w:sz w:val="24"/>
                <w:szCs w:val="24"/>
              </w:rPr>
            </w:pPr>
            <w:r w:rsidRPr="00DE12A3">
              <w:rPr>
                <w:i/>
                <w:iCs/>
                <w:sz w:val="24"/>
                <w:szCs w:val="24"/>
              </w:rPr>
              <w:t>n</w:t>
            </w:r>
            <w:r w:rsidRPr="00DE12A3">
              <w:rPr>
                <w:sz w:val="24"/>
                <w:szCs w:val="24"/>
                <w:vertAlign w:val="subscript"/>
              </w:rPr>
              <w:t>act</w:t>
            </w:r>
            <w:r w:rsidRPr="00DE12A3">
              <w:rPr>
                <w:sz w:val="24"/>
                <w:szCs w:val="24"/>
              </w:rPr>
              <w:t xml:space="preserve"> ≥ 0,98 </w:t>
            </w:r>
            <w:r w:rsidRPr="00DE12A3">
              <w:rPr>
                <w:i/>
                <w:iCs/>
                <w:sz w:val="24"/>
                <w:szCs w:val="24"/>
              </w:rPr>
              <w:t>n</w:t>
            </w:r>
            <w:r w:rsidRPr="00DE12A3">
              <w:rPr>
                <w:sz w:val="24"/>
                <w:szCs w:val="24"/>
                <w:vertAlign w:val="subscript"/>
              </w:rPr>
              <w:t>ref</w:t>
            </w:r>
            <w:r w:rsidRPr="00DE12A3">
              <w:rPr>
                <w:sz w:val="24"/>
                <w:szCs w:val="24"/>
              </w:rPr>
              <w:t xml:space="preserve"> ve </w:t>
            </w:r>
            <w:r w:rsidRPr="00DE12A3">
              <w:rPr>
                <w:i/>
                <w:iCs/>
                <w:sz w:val="24"/>
                <w:szCs w:val="24"/>
              </w:rPr>
              <w:t>T</w:t>
            </w:r>
            <w:r w:rsidRPr="00DE12A3">
              <w:rPr>
                <w:sz w:val="24"/>
                <w:szCs w:val="24"/>
                <w:vertAlign w:val="subscript"/>
              </w:rPr>
              <w:t>act</w:t>
            </w:r>
            <w:r w:rsidRPr="00DE12A3">
              <w:rPr>
                <w:sz w:val="24"/>
                <w:szCs w:val="24"/>
              </w:rPr>
              <w:t>&lt;</w:t>
            </w:r>
            <w:r w:rsidRPr="00DE12A3">
              <w:rPr>
                <w:i/>
                <w:iCs/>
                <w:sz w:val="24"/>
                <w:szCs w:val="24"/>
              </w:rPr>
              <w:t>T</w:t>
            </w:r>
            <w:r w:rsidRPr="00DE12A3">
              <w:rPr>
                <w:sz w:val="24"/>
                <w:szCs w:val="24"/>
                <w:vertAlign w:val="subscript"/>
              </w:rPr>
              <w:t>ref</w:t>
            </w:r>
          </w:p>
          <w:p w14:paraId="2B4007C4" w14:textId="77777777" w:rsidR="002D7B36" w:rsidRPr="00DE12A3" w:rsidRDefault="00242DA0" w:rsidP="00C917D6">
            <w:pPr>
              <w:pStyle w:val="Gvdemetni0"/>
              <w:shd w:val="clear" w:color="auto" w:fill="auto"/>
              <w:spacing w:before="120" w:after="120" w:line="240" w:lineRule="auto"/>
              <w:ind w:left="709" w:hanging="709"/>
              <w:jc w:val="both"/>
              <w:rPr>
                <w:sz w:val="24"/>
                <w:szCs w:val="24"/>
              </w:rPr>
            </w:pPr>
            <w:r w:rsidRPr="00DE12A3">
              <w:rPr>
                <w:sz w:val="24"/>
                <w:szCs w:val="24"/>
              </w:rPr>
              <w:t>veya</w:t>
            </w:r>
          </w:p>
          <w:p w14:paraId="5276B7FA" w14:textId="77777777" w:rsidR="002D7B36" w:rsidRPr="00DE12A3" w:rsidRDefault="00242DA0" w:rsidP="00C917D6">
            <w:pPr>
              <w:pStyle w:val="Gvdemetni0"/>
              <w:shd w:val="clear" w:color="auto" w:fill="auto"/>
              <w:spacing w:before="120" w:after="120" w:line="240" w:lineRule="auto"/>
              <w:ind w:left="709" w:hanging="709"/>
              <w:jc w:val="both"/>
              <w:rPr>
                <w:sz w:val="24"/>
                <w:szCs w:val="24"/>
              </w:rPr>
            </w:pPr>
            <w:r w:rsidRPr="00DE12A3">
              <w:rPr>
                <w:i/>
                <w:iCs/>
                <w:sz w:val="24"/>
                <w:szCs w:val="24"/>
              </w:rPr>
              <w:t>n</w:t>
            </w:r>
            <w:r w:rsidRPr="00DE12A3">
              <w:rPr>
                <w:sz w:val="24"/>
                <w:szCs w:val="24"/>
                <w:vertAlign w:val="subscript"/>
              </w:rPr>
              <w:t>act</w:t>
            </w:r>
            <w:r w:rsidRPr="00DE12A3">
              <w:rPr>
                <w:sz w:val="24"/>
                <w:szCs w:val="24"/>
              </w:rPr>
              <w:t xml:space="preserve">&lt;0,98 </w:t>
            </w:r>
            <w:r w:rsidRPr="00DE12A3">
              <w:rPr>
                <w:i/>
                <w:iCs/>
                <w:sz w:val="24"/>
                <w:szCs w:val="24"/>
              </w:rPr>
              <w:t>n</w:t>
            </w:r>
            <w:r w:rsidRPr="00DE12A3">
              <w:rPr>
                <w:sz w:val="24"/>
                <w:szCs w:val="24"/>
                <w:vertAlign w:val="subscript"/>
              </w:rPr>
              <w:t>ref</w:t>
            </w:r>
            <w:r w:rsidRPr="00DE12A3">
              <w:rPr>
                <w:sz w:val="24"/>
                <w:szCs w:val="24"/>
              </w:rPr>
              <w:t xml:space="preserve"> ve </w:t>
            </w:r>
            <w:r w:rsidRPr="00DE12A3">
              <w:rPr>
                <w:i/>
                <w:iCs/>
                <w:sz w:val="24"/>
                <w:szCs w:val="24"/>
              </w:rPr>
              <w:t>T</w:t>
            </w:r>
            <w:r w:rsidRPr="00DE12A3">
              <w:rPr>
                <w:sz w:val="24"/>
                <w:szCs w:val="24"/>
                <w:vertAlign w:val="subscript"/>
              </w:rPr>
              <w:t>ref</w:t>
            </w:r>
            <w:r w:rsidRPr="00DE12A3">
              <w:rPr>
                <w:sz w:val="24"/>
                <w:szCs w:val="24"/>
              </w:rPr>
              <w:t xml:space="preserve"> ≥ </w:t>
            </w:r>
            <w:r w:rsidRPr="00DE12A3">
              <w:rPr>
                <w:i/>
                <w:iCs/>
                <w:sz w:val="24"/>
                <w:szCs w:val="24"/>
              </w:rPr>
              <w:t>T</w:t>
            </w:r>
            <w:r w:rsidRPr="00DE12A3">
              <w:rPr>
                <w:sz w:val="24"/>
                <w:szCs w:val="24"/>
                <w:vertAlign w:val="subscript"/>
              </w:rPr>
              <w:t>act</w:t>
            </w:r>
            <w:r w:rsidRPr="00DE12A3">
              <w:rPr>
                <w:sz w:val="24"/>
                <w:szCs w:val="24"/>
              </w:rPr>
              <w:t xml:space="preserve"> - (</w:t>
            </w:r>
            <w:r w:rsidRPr="00DE12A3">
              <w:rPr>
                <w:i/>
                <w:iCs/>
                <w:sz w:val="24"/>
                <w:szCs w:val="24"/>
              </w:rPr>
              <w:t>T</w:t>
            </w:r>
            <w:r w:rsidRPr="00DE12A3">
              <w:rPr>
                <w:sz w:val="24"/>
                <w:szCs w:val="24"/>
                <w:vertAlign w:val="subscript"/>
              </w:rPr>
              <w:t>ref</w:t>
            </w:r>
            <w:r w:rsidRPr="00DE12A3">
              <w:rPr>
                <w:sz w:val="24"/>
                <w:szCs w:val="24"/>
              </w:rPr>
              <w:t xml:space="preserve"> - 0,02 </w:t>
            </w:r>
            <w:r w:rsidRPr="00DE12A3">
              <w:rPr>
                <w:i/>
                <w:iCs/>
                <w:sz w:val="24"/>
                <w:szCs w:val="24"/>
              </w:rPr>
              <w:t>T</w:t>
            </w:r>
            <w:r w:rsidRPr="00DE12A3">
              <w:rPr>
                <w:sz w:val="24"/>
                <w:szCs w:val="24"/>
                <w:vertAlign w:val="subscript"/>
              </w:rPr>
              <w:t>maxmappedtorque</w:t>
            </w:r>
            <w:r w:rsidRPr="00DE12A3">
              <w:rPr>
                <w:sz w:val="24"/>
                <w:szCs w:val="24"/>
              </w:rPr>
              <w:t>)</w:t>
            </w:r>
          </w:p>
        </w:tc>
        <w:tc>
          <w:tcPr>
            <w:tcW w:w="2283" w:type="dxa"/>
            <w:shd w:val="clear" w:color="auto" w:fill="auto"/>
          </w:tcPr>
          <w:p w14:paraId="2F7CE07E" w14:textId="08925A56" w:rsidR="002D7B36" w:rsidRPr="00DE12A3" w:rsidRDefault="00B655AE" w:rsidP="00C917D6">
            <w:pPr>
              <w:pStyle w:val="Gvdemetni0"/>
              <w:shd w:val="clear" w:color="auto" w:fill="auto"/>
              <w:spacing w:before="120" w:after="120" w:line="240" w:lineRule="auto"/>
              <w:ind w:left="709" w:hanging="709"/>
              <w:jc w:val="both"/>
              <w:rPr>
                <w:sz w:val="24"/>
                <w:szCs w:val="24"/>
              </w:rPr>
            </w:pPr>
            <w:r w:rsidRPr="00DE12A3">
              <w:rPr>
                <w:sz w:val="24"/>
                <w:szCs w:val="24"/>
              </w:rPr>
              <w:t>Güç</w:t>
            </w:r>
            <w:r w:rsidR="00242DA0" w:rsidRPr="00DE12A3">
              <w:rPr>
                <w:sz w:val="24"/>
                <w:szCs w:val="24"/>
              </w:rPr>
              <w:t xml:space="preserve"> ve tork veya devir</w:t>
            </w:r>
          </w:p>
        </w:tc>
      </w:tr>
      <w:tr w:rsidR="00DE12A3" w:rsidRPr="00DE12A3" w14:paraId="1C8B3611" w14:textId="77777777" w:rsidTr="00B603B3">
        <w:trPr>
          <w:trHeight w:hRule="exact" w:val="3412"/>
        </w:trPr>
        <w:tc>
          <w:tcPr>
            <w:tcW w:w="8657" w:type="dxa"/>
            <w:gridSpan w:val="3"/>
            <w:shd w:val="clear" w:color="auto" w:fill="auto"/>
          </w:tcPr>
          <w:p w14:paraId="41BA372B" w14:textId="77777777" w:rsidR="002D7B36" w:rsidRPr="00DE12A3" w:rsidRDefault="00242DA0" w:rsidP="00C917D6">
            <w:pPr>
              <w:spacing w:before="120" w:after="120"/>
              <w:ind w:left="709" w:hanging="709"/>
              <w:jc w:val="both"/>
              <w:rPr>
                <w:rFonts w:cs="Times New Roman"/>
                <w:color w:val="auto"/>
              </w:rPr>
            </w:pPr>
            <w:r w:rsidRPr="00DE12A3">
              <w:rPr>
                <w:rStyle w:val="Tabloyazs7"/>
                <w:rFonts w:eastAsia="Courier New"/>
                <w:color w:val="auto"/>
                <w:sz w:val="24"/>
                <w:szCs w:val="24"/>
                <w:lang w:val="tr-TR"/>
              </w:rPr>
              <w:t>Burada:</w:t>
            </w:r>
          </w:p>
          <w:p w14:paraId="1FE35646" w14:textId="110E8AF7" w:rsidR="002D7B36" w:rsidRPr="00DE12A3" w:rsidRDefault="00242DA0" w:rsidP="00C917D6">
            <w:pPr>
              <w:tabs>
                <w:tab w:val="right" w:pos="1344"/>
                <w:tab w:val="right" w:pos="1598"/>
                <w:tab w:val="left" w:pos="1632"/>
              </w:tabs>
              <w:spacing w:before="120" w:after="120"/>
              <w:ind w:left="709" w:hanging="709"/>
              <w:jc w:val="both"/>
              <w:rPr>
                <w:rFonts w:cs="Times New Roman"/>
                <w:color w:val="auto"/>
              </w:rPr>
            </w:pPr>
            <w:r w:rsidRPr="00DE12A3">
              <w:rPr>
                <w:rStyle w:val="Tabloyazs765pttalik0ptbolukbraklyor"/>
                <w:rFonts w:eastAsia="Courier New"/>
                <w:color w:val="auto"/>
                <w:sz w:val="24"/>
                <w:szCs w:val="24"/>
              </w:rPr>
              <w:t>n</w:t>
            </w:r>
            <w:r w:rsidRPr="00DE12A3">
              <w:rPr>
                <w:rStyle w:val="Tabloyazs7talik0ptbolukbraklyor"/>
                <w:rFonts w:eastAsia="Courier New"/>
                <w:color w:val="auto"/>
                <w:sz w:val="24"/>
                <w:szCs w:val="24"/>
                <w:vertAlign w:val="subscript"/>
                <w:lang w:val="tr-TR"/>
              </w:rPr>
              <w:t>ref</w:t>
            </w:r>
            <w:r w:rsidRPr="00DE12A3">
              <w:rPr>
                <w:rStyle w:val="Tabloyazs70ptbolukbraklyor"/>
                <w:rFonts w:eastAsia="Courier New"/>
                <w:color w:val="auto"/>
                <w:sz w:val="24"/>
                <w:szCs w:val="24"/>
              </w:rPr>
              <w:tab/>
              <w:t xml:space="preserve">               </w:t>
            </w:r>
            <w:r w:rsidR="00B603B3" w:rsidRPr="00DE12A3">
              <w:rPr>
                <w:rStyle w:val="Tabloyazs70ptbolukbraklyor"/>
                <w:rFonts w:eastAsia="Courier New"/>
                <w:color w:val="auto"/>
                <w:sz w:val="24"/>
                <w:szCs w:val="24"/>
              </w:rPr>
              <w:t>R</w:t>
            </w:r>
            <w:r w:rsidRPr="00DE12A3">
              <w:rPr>
                <w:rFonts w:cs="Times New Roman"/>
                <w:color w:val="auto"/>
              </w:rPr>
              <w:t>eferans hızdır (bkz. 7.7.2.</w:t>
            </w:r>
            <w:r w:rsidR="00B32A92" w:rsidRPr="00DE12A3">
              <w:rPr>
                <w:rFonts w:cs="Times New Roman"/>
                <w:color w:val="auto"/>
              </w:rPr>
              <w:t xml:space="preserve"> </w:t>
            </w:r>
            <w:r w:rsidR="00B603B3" w:rsidRPr="00DE12A3">
              <w:rPr>
                <w:rFonts w:cs="Times New Roman"/>
                <w:color w:val="auto"/>
              </w:rPr>
              <w:t>Bölüm</w:t>
            </w:r>
            <w:r w:rsidRPr="00DE12A3">
              <w:rPr>
                <w:rFonts w:cs="Times New Roman"/>
                <w:color w:val="auto"/>
              </w:rPr>
              <w:t>)</w:t>
            </w:r>
            <w:r w:rsidR="00675CA7" w:rsidRPr="00DE12A3">
              <w:rPr>
                <w:rFonts w:cs="Times New Roman"/>
                <w:color w:val="auto"/>
              </w:rPr>
              <w:t>.</w:t>
            </w:r>
          </w:p>
          <w:p w14:paraId="6F717340" w14:textId="75F5DC46" w:rsidR="002D7B36" w:rsidRPr="00DE12A3" w:rsidRDefault="00242DA0" w:rsidP="00C917D6">
            <w:pPr>
              <w:tabs>
                <w:tab w:val="right" w:pos="1344"/>
                <w:tab w:val="right" w:pos="1598"/>
                <w:tab w:val="left" w:pos="1632"/>
              </w:tabs>
              <w:spacing w:before="120" w:after="120"/>
              <w:ind w:left="709" w:hanging="709"/>
              <w:jc w:val="both"/>
              <w:rPr>
                <w:rFonts w:cs="Times New Roman"/>
                <w:color w:val="auto"/>
              </w:rPr>
            </w:pPr>
            <w:r w:rsidRPr="00DE12A3">
              <w:rPr>
                <w:rStyle w:val="Tabloyazs765pttalik0ptbolukbraklyor"/>
                <w:rFonts w:eastAsia="Courier New"/>
                <w:color w:val="auto"/>
                <w:sz w:val="24"/>
                <w:szCs w:val="24"/>
              </w:rPr>
              <w:t xml:space="preserve"> n</w:t>
            </w:r>
            <w:r w:rsidR="00861C3B" w:rsidRPr="00DE12A3">
              <w:rPr>
                <w:rStyle w:val="Tabloyazs7talik0ptbolukbraklyor"/>
                <w:rFonts w:eastAsia="Courier New"/>
                <w:color w:val="auto"/>
                <w:sz w:val="24"/>
                <w:szCs w:val="24"/>
                <w:vertAlign w:val="subscript"/>
                <w:lang w:val="tr-TR"/>
              </w:rPr>
              <w:t>Rölanti</w:t>
            </w:r>
            <w:r w:rsidRPr="00DE12A3">
              <w:rPr>
                <w:rStyle w:val="Tabloyazs70ptbolukbraklyor"/>
                <w:rFonts w:eastAsia="Courier New"/>
                <w:color w:val="auto"/>
                <w:sz w:val="24"/>
                <w:szCs w:val="24"/>
              </w:rPr>
              <w:tab/>
              <w:t xml:space="preserve">              </w:t>
            </w:r>
            <w:r w:rsidR="00B603B3" w:rsidRPr="00DE12A3">
              <w:rPr>
                <w:rStyle w:val="Tabloyazs70ptbolukbraklyor"/>
                <w:rFonts w:eastAsia="Courier New"/>
                <w:color w:val="auto"/>
                <w:sz w:val="24"/>
                <w:szCs w:val="24"/>
              </w:rPr>
              <w:t xml:space="preserve"> R</w:t>
            </w:r>
            <w:r w:rsidRPr="00DE12A3">
              <w:rPr>
                <w:rStyle w:val="Tabloyazs7"/>
                <w:rFonts w:eastAsia="Courier New"/>
                <w:color w:val="auto"/>
                <w:sz w:val="24"/>
                <w:szCs w:val="24"/>
                <w:lang w:val="tr-TR"/>
              </w:rPr>
              <w:t>ölanti hızıdır</w:t>
            </w:r>
            <w:r w:rsidR="00675CA7" w:rsidRPr="00DE12A3">
              <w:rPr>
                <w:rStyle w:val="Tabloyazs7"/>
                <w:rFonts w:eastAsia="Courier New"/>
                <w:color w:val="auto"/>
                <w:sz w:val="24"/>
                <w:szCs w:val="24"/>
                <w:lang w:val="tr-TR"/>
              </w:rPr>
              <w:t>.</w:t>
            </w:r>
          </w:p>
          <w:p w14:paraId="6E5F4473" w14:textId="7410729F" w:rsidR="002D7B36" w:rsidRPr="00DE12A3" w:rsidRDefault="00242DA0" w:rsidP="00C917D6">
            <w:pPr>
              <w:tabs>
                <w:tab w:val="right" w:pos="1344"/>
                <w:tab w:val="right" w:pos="1598"/>
                <w:tab w:val="left" w:pos="1632"/>
              </w:tabs>
              <w:spacing w:before="120" w:after="120"/>
              <w:ind w:left="709" w:hanging="709"/>
              <w:jc w:val="both"/>
              <w:rPr>
                <w:rFonts w:cs="Times New Roman"/>
                <w:color w:val="auto"/>
              </w:rPr>
            </w:pPr>
            <w:r w:rsidRPr="00DE12A3">
              <w:rPr>
                <w:rStyle w:val="Tabloyazs765pttalik0ptbolukbraklyor"/>
                <w:rFonts w:eastAsia="Courier New"/>
                <w:color w:val="auto"/>
                <w:sz w:val="24"/>
                <w:szCs w:val="24"/>
              </w:rPr>
              <w:t>n</w:t>
            </w:r>
            <w:r w:rsidRPr="00DE12A3">
              <w:rPr>
                <w:rStyle w:val="Tabloyazs7talik0ptbolukbraklyor"/>
                <w:rFonts w:eastAsia="Courier New"/>
                <w:color w:val="auto"/>
                <w:sz w:val="24"/>
                <w:szCs w:val="24"/>
                <w:vertAlign w:val="subscript"/>
                <w:lang w:val="tr-TR"/>
              </w:rPr>
              <w:t>act</w:t>
            </w:r>
            <w:r w:rsidRPr="00DE12A3">
              <w:rPr>
                <w:rStyle w:val="Tabloyazs70ptbolukbraklyor"/>
                <w:rFonts w:eastAsia="Courier New"/>
                <w:color w:val="auto"/>
                <w:sz w:val="24"/>
                <w:szCs w:val="24"/>
              </w:rPr>
              <w:tab/>
              <w:t xml:space="preserve">               </w:t>
            </w:r>
            <w:r w:rsidR="00B603B3" w:rsidRPr="00DE12A3">
              <w:rPr>
                <w:rStyle w:val="Tabloyazs70ptbolukbraklyor"/>
                <w:rFonts w:eastAsia="Courier New"/>
                <w:color w:val="auto"/>
                <w:sz w:val="24"/>
                <w:szCs w:val="24"/>
              </w:rPr>
              <w:t>G</w:t>
            </w:r>
            <w:r w:rsidRPr="00DE12A3">
              <w:rPr>
                <w:rStyle w:val="Tabloyazs7"/>
                <w:rFonts w:eastAsia="Courier New"/>
                <w:color w:val="auto"/>
                <w:sz w:val="24"/>
                <w:szCs w:val="24"/>
                <w:lang w:val="tr-TR"/>
              </w:rPr>
              <w:t>erçek (ölçülen) hızdır</w:t>
            </w:r>
            <w:r w:rsidR="00675CA7" w:rsidRPr="00DE12A3">
              <w:rPr>
                <w:rStyle w:val="Tabloyazs7"/>
                <w:rFonts w:eastAsia="Courier New"/>
                <w:color w:val="auto"/>
                <w:sz w:val="24"/>
                <w:szCs w:val="24"/>
                <w:lang w:val="tr-TR"/>
              </w:rPr>
              <w:t>.</w:t>
            </w:r>
          </w:p>
          <w:p w14:paraId="57D1E6B0" w14:textId="360A2E15" w:rsidR="002D7B36" w:rsidRPr="00DE12A3" w:rsidRDefault="00242DA0" w:rsidP="00C917D6">
            <w:pPr>
              <w:tabs>
                <w:tab w:val="right" w:pos="1344"/>
                <w:tab w:val="right" w:pos="1598"/>
                <w:tab w:val="left" w:pos="1632"/>
              </w:tabs>
              <w:spacing w:before="120" w:after="120"/>
              <w:ind w:left="709" w:hanging="709"/>
              <w:jc w:val="both"/>
              <w:rPr>
                <w:rFonts w:cs="Times New Roman"/>
                <w:color w:val="auto"/>
              </w:rPr>
            </w:pPr>
            <w:r w:rsidRPr="00DE12A3">
              <w:rPr>
                <w:rStyle w:val="Tabloyazs765pttalik0ptbolukbraklyor"/>
                <w:rFonts w:eastAsia="Courier New"/>
                <w:color w:val="auto"/>
                <w:sz w:val="24"/>
                <w:szCs w:val="24"/>
              </w:rPr>
              <w:t>T</w:t>
            </w:r>
            <w:r w:rsidRPr="00DE12A3">
              <w:rPr>
                <w:rStyle w:val="Tabloyazs7talik0ptbolukbraklyor"/>
                <w:rFonts w:eastAsia="Courier New"/>
                <w:color w:val="auto"/>
                <w:sz w:val="24"/>
                <w:szCs w:val="24"/>
                <w:vertAlign w:val="subscript"/>
                <w:lang w:val="tr-TR"/>
              </w:rPr>
              <w:t>ref</w:t>
            </w:r>
            <w:r w:rsidRPr="00DE12A3">
              <w:rPr>
                <w:rStyle w:val="Tabloyazs70ptbolukbraklyor"/>
                <w:rFonts w:eastAsia="Courier New"/>
                <w:color w:val="auto"/>
                <w:sz w:val="24"/>
                <w:szCs w:val="24"/>
              </w:rPr>
              <w:tab/>
              <w:t xml:space="preserve">              </w:t>
            </w:r>
            <w:r w:rsidR="00B603B3" w:rsidRPr="00DE12A3">
              <w:rPr>
                <w:rStyle w:val="Tabloyazs7"/>
                <w:rFonts w:eastAsia="Courier New"/>
                <w:color w:val="auto"/>
              </w:rPr>
              <w:t xml:space="preserve"> </w:t>
            </w:r>
            <w:r w:rsidR="00B603B3" w:rsidRPr="00DE12A3">
              <w:rPr>
                <w:rStyle w:val="Tabloyazs7"/>
                <w:rFonts w:eastAsia="Courier New"/>
                <w:color w:val="auto"/>
                <w:sz w:val="24"/>
                <w:szCs w:val="24"/>
                <w:lang w:val="tr-TR"/>
              </w:rPr>
              <w:t>Re</w:t>
            </w:r>
            <w:r w:rsidRPr="00DE12A3">
              <w:rPr>
                <w:rStyle w:val="Tabloyazs7"/>
                <w:rFonts w:eastAsia="Courier New"/>
                <w:color w:val="auto"/>
                <w:sz w:val="24"/>
                <w:szCs w:val="24"/>
                <w:lang w:val="tr-TR"/>
              </w:rPr>
              <w:t>ferans torktur (bkz. 7.7.2.</w:t>
            </w:r>
            <w:r w:rsidR="00B32A92" w:rsidRPr="00DE12A3">
              <w:rPr>
                <w:rStyle w:val="Tabloyazs7"/>
                <w:rFonts w:eastAsia="Courier New"/>
                <w:color w:val="auto"/>
                <w:sz w:val="24"/>
                <w:szCs w:val="24"/>
                <w:lang w:val="tr-TR"/>
              </w:rPr>
              <w:t xml:space="preserve"> </w:t>
            </w:r>
            <w:r w:rsidR="00B603B3" w:rsidRPr="00DE12A3">
              <w:rPr>
                <w:rStyle w:val="Tabloyazs7"/>
                <w:rFonts w:eastAsia="Courier New"/>
                <w:color w:val="auto"/>
                <w:sz w:val="24"/>
                <w:szCs w:val="24"/>
                <w:lang w:val="tr-TR"/>
              </w:rPr>
              <w:t>Bölüm</w:t>
            </w:r>
            <w:r w:rsidRPr="00DE12A3">
              <w:rPr>
                <w:rStyle w:val="Tabloyazs7"/>
                <w:rFonts w:eastAsia="Courier New"/>
                <w:color w:val="auto"/>
                <w:sz w:val="24"/>
                <w:szCs w:val="24"/>
                <w:lang w:val="tr-TR"/>
              </w:rPr>
              <w:t>)</w:t>
            </w:r>
            <w:r w:rsidR="00675CA7" w:rsidRPr="00DE12A3">
              <w:rPr>
                <w:rStyle w:val="Tabloyazs7"/>
                <w:rFonts w:eastAsia="Courier New"/>
                <w:color w:val="auto"/>
                <w:sz w:val="24"/>
                <w:szCs w:val="24"/>
                <w:lang w:val="tr-TR"/>
              </w:rPr>
              <w:t>.</w:t>
            </w:r>
          </w:p>
          <w:p w14:paraId="2A8BD1F8" w14:textId="3F9699E5" w:rsidR="002D7B36" w:rsidRPr="00DE12A3" w:rsidRDefault="00242DA0" w:rsidP="00C917D6">
            <w:pPr>
              <w:tabs>
                <w:tab w:val="right" w:pos="1344"/>
                <w:tab w:val="right" w:pos="1598"/>
                <w:tab w:val="left" w:pos="1632"/>
              </w:tabs>
              <w:spacing w:before="120" w:after="120"/>
              <w:ind w:left="709" w:hanging="709"/>
              <w:jc w:val="both"/>
              <w:rPr>
                <w:rFonts w:cs="Times New Roman"/>
                <w:color w:val="auto"/>
                <w:highlight w:val="yellow"/>
              </w:rPr>
            </w:pPr>
            <w:r w:rsidRPr="00DE12A3">
              <w:rPr>
                <w:rStyle w:val="Tabloyazs765pttalik0ptbolukbraklyor"/>
                <w:rFonts w:eastAsia="Courier New"/>
                <w:color w:val="auto"/>
                <w:sz w:val="24"/>
                <w:szCs w:val="24"/>
              </w:rPr>
              <w:t>T</w:t>
            </w:r>
            <w:r w:rsidRPr="00DE12A3">
              <w:rPr>
                <w:rStyle w:val="Tabloyazs7talik0ptbolukbraklyor"/>
                <w:rFonts w:eastAsia="Courier New"/>
                <w:color w:val="auto"/>
                <w:sz w:val="24"/>
                <w:szCs w:val="24"/>
                <w:vertAlign w:val="subscript"/>
                <w:lang w:val="tr-TR"/>
              </w:rPr>
              <w:t>act</w:t>
            </w:r>
            <w:r w:rsidRPr="00DE12A3">
              <w:rPr>
                <w:rStyle w:val="Tabloyazs70ptbolukbraklyor"/>
                <w:rFonts w:eastAsia="Courier New"/>
                <w:color w:val="auto"/>
                <w:sz w:val="24"/>
                <w:szCs w:val="24"/>
              </w:rPr>
              <w:tab/>
              <w:t xml:space="preserve">               </w:t>
            </w:r>
            <w:r w:rsidR="00B603B3" w:rsidRPr="00DE12A3">
              <w:rPr>
                <w:rStyle w:val="Tabloyazs7"/>
                <w:rFonts w:eastAsia="Courier New"/>
                <w:color w:val="auto"/>
                <w:sz w:val="24"/>
                <w:szCs w:val="24"/>
                <w:lang w:val="tr-TR"/>
              </w:rPr>
              <w:t>Ge</w:t>
            </w:r>
            <w:r w:rsidRPr="00DE12A3">
              <w:rPr>
                <w:rStyle w:val="Tabloyazs7"/>
                <w:rFonts w:eastAsia="Courier New"/>
                <w:color w:val="auto"/>
                <w:sz w:val="24"/>
                <w:szCs w:val="24"/>
                <w:lang w:val="tr-TR"/>
              </w:rPr>
              <w:t>rçek (ölçülen) torktur</w:t>
            </w:r>
            <w:r w:rsidR="00675CA7" w:rsidRPr="00DE12A3">
              <w:rPr>
                <w:rStyle w:val="Tabloyazs7"/>
                <w:rFonts w:eastAsia="Courier New"/>
                <w:color w:val="auto"/>
                <w:sz w:val="24"/>
                <w:szCs w:val="24"/>
                <w:lang w:val="tr-TR"/>
              </w:rPr>
              <w:t>.</w:t>
            </w:r>
          </w:p>
          <w:p w14:paraId="5102DD60" w14:textId="34815AEB" w:rsidR="002D7B36" w:rsidRPr="00DE12A3" w:rsidRDefault="00242DA0" w:rsidP="00C917D6">
            <w:pPr>
              <w:tabs>
                <w:tab w:val="right" w:pos="1344"/>
                <w:tab w:val="right" w:pos="1598"/>
                <w:tab w:val="left" w:pos="1632"/>
              </w:tabs>
              <w:spacing w:before="120" w:after="120"/>
              <w:ind w:left="709" w:hanging="709"/>
              <w:jc w:val="both"/>
              <w:rPr>
                <w:rStyle w:val="Tabloyazs7"/>
                <w:rFonts w:eastAsia="Courier New"/>
                <w:color w:val="auto"/>
                <w:sz w:val="24"/>
                <w:szCs w:val="24"/>
                <w:lang w:val="tr-TR"/>
              </w:rPr>
            </w:pPr>
            <w:r w:rsidRPr="00DE12A3">
              <w:rPr>
                <w:rStyle w:val="Tabloyazs765pttalik0ptbolukbraklyor"/>
                <w:rFonts w:eastAsia="Courier New"/>
                <w:color w:val="auto"/>
                <w:sz w:val="24"/>
                <w:szCs w:val="24"/>
              </w:rPr>
              <w:t>T</w:t>
            </w:r>
            <w:r w:rsidRPr="00DE12A3">
              <w:rPr>
                <w:rStyle w:val="Tabloyazs7talik0ptbolukbraklyor"/>
                <w:rFonts w:eastAsia="Courier New"/>
                <w:color w:val="auto"/>
                <w:sz w:val="24"/>
                <w:szCs w:val="24"/>
                <w:vertAlign w:val="subscript"/>
                <w:lang w:val="tr-TR"/>
              </w:rPr>
              <w:t>maxmappedtorque</w:t>
            </w:r>
            <w:r w:rsidR="00B603B3" w:rsidRPr="00DE12A3">
              <w:rPr>
                <w:rStyle w:val="Tabloyazs70ptbolukbraklyor"/>
                <w:rFonts w:eastAsia="Courier New"/>
                <w:color w:val="auto"/>
                <w:sz w:val="24"/>
                <w:szCs w:val="24"/>
              </w:rPr>
              <w:tab/>
              <w:t xml:space="preserve"> Bölüm</w:t>
            </w:r>
            <w:r w:rsidRPr="00DE12A3">
              <w:rPr>
                <w:rStyle w:val="Tabloyazs7"/>
                <w:rFonts w:eastAsia="Courier New"/>
                <w:color w:val="auto"/>
                <w:sz w:val="24"/>
                <w:szCs w:val="24"/>
                <w:lang w:val="tr-TR"/>
              </w:rPr>
              <w:t xml:space="preserve"> 7.6'ya göre haritalanan tam yük tork eğrisindeki en yüksek tork değeridir.</w:t>
            </w:r>
          </w:p>
          <w:p w14:paraId="75F3943F" w14:textId="77777777" w:rsidR="002D7B36" w:rsidRPr="00DE12A3" w:rsidRDefault="002D7B36" w:rsidP="00C917D6">
            <w:pPr>
              <w:pStyle w:val="Gvdemetni0"/>
              <w:shd w:val="clear" w:color="auto" w:fill="auto"/>
              <w:spacing w:before="120" w:after="120" w:line="240" w:lineRule="auto"/>
              <w:ind w:left="709" w:hanging="709"/>
              <w:jc w:val="both"/>
              <w:rPr>
                <w:sz w:val="24"/>
                <w:szCs w:val="24"/>
              </w:rPr>
            </w:pPr>
          </w:p>
        </w:tc>
      </w:tr>
    </w:tbl>
    <w:p w14:paraId="23A5E359" w14:textId="77777777" w:rsidR="00BF677D" w:rsidRPr="00DE12A3" w:rsidRDefault="00BF677D" w:rsidP="00E20716">
      <w:pPr>
        <w:pStyle w:val="ListeParagraf"/>
        <w:numPr>
          <w:ilvl w:val="0"/>
          <w:numId w:val="447"/>
        </w:numPr>
        <w:spacing w:before="120" w:after="120"/>
        <w:ind w:left="709" w:hanging="709"/>
        <w:contextualSpacing w:val="0"/>
        <w:jc w:val="both"/>
        <w:rPr>
          <w:rFonts w:eastAsia="Times New Roman" w:cs="Times New Roman"/>
          <w:vanish/>
          <w:color w:val="auto"/>
          <w:spacing w:val="3"/>
          <w:sz w:val="20"/>
          <w:szCs w:val="20"/>
          <w:lang w:eastAsia="en-US"/>
        </w:rPr>
      </w:pPr>
    </w:p>
    <w:p w14:paraId="2E0F9783" w14:textId="77777777" w:rsidR="00BF677D" w:rsidRPr="00DE12A3" w:rsidRDefault="00BF677D" w:rsidP="00E20716">
      <w:pPr>
        <w:pStyle w:val="ListeParagraf"/>
        <w:numPr>
          <w:ilvl w:val="0"/>
          <w:numId w:val="447"/>
        </w:numPr>
        <w:spacing w:before="120" w:after="120"/>
        <w:ind w:left="709" w:hanging="709"/>
        <w:contextualSpacing w:val="0"/>
        <w:jc w:val="both"/>
        <w:rPr>
          <w:rFonts w:eastAsia="Times New Roman" w:cs="Times New Roman"/>
          <w:vanish/>
          <w:color w:val="auto"/>
          <w:spacing w:val="3"/>
          <w:sz w:val="20"/>
          <w:szCs w:val="20"/>
          <w:lang w:eastAsia="en-US"/>
        </w:rPr>
      </w:pPr>
    </w:p>
    <w:p w14:paraId="27344FB0" w14:textId="77777777" w:rsidR="00BF677D" w:rsidRPr="00DE12A3" w:rsidRDefault="00BF677D" w:rsidP="00E20716">
      <w:pPr>
        <w:pStyle w:val="ListeParagraf"/>
        <w:numPr>
          <w:ilvl w:val="0"/>
          <w:numId w:val="447"/>
        </w:numPr>
        <w:spacing w:before="120" w:after="120"/>
        <w:ind w:left="709" w:hanging="709"/>
        <w:contextualSpacing w:val="0"/>
        <w:jc w:val="both"/>
        <w:rPr>
          <w:rFonts w:eastAsia="Times New Roman" w:cs="Times New Roman"/>
          <w:vanish/>
          <w:color w:val="auto"/>
          <w:spacing w:val="3"/>
          <w:sz w:val="20"/>
          <w:szCs w:val="20"/>
          <w:lang w:eastAsia="en-US"/>
        </w:rPr>
      </w:pPr>
    </w:p>
    <w:p w14:paraId="1CE1D746" w14:textId="77777777" w:rsidR="00BF677D" w:rsidRPr="00DE12A3" w:rsidRDefault="00BF677D" w:rsidP="00E20716">
      <w:pPr>
        <w:pStyle w:val="ListeParagraf"/>
        <w:numPr>
          <w:ilvl w:val="0"/>
          <w:numId w:val="447"/>
        </w:numPr>
        <w:spacing w:before="120" w:after="120"/>
        <w:ind w:left="709" w:hanging="709"/>
        <w:contextualSpacing w:val="0"/>
        <w:jc w:val="both"/>
        <w:rPr>
          <w:rFonts w:eastAsia="Times New Roman" w:cs="Times New Roman"/>
          <w:vanish/>
          <w:color w:val="auto"/>
          <w:spacing w:val="3"/>
          <w:sz w:val="20"/>
          <w:szCs w:val="20"/>
          <w:lang w:eastAsia="en-US"/>
        </w:rPr>
      </w:pPr>
    </w:p>
    <w:p w14:paraId="1F0C6515" w14:textId="77777777" w:rsidR="00BF677D" w:rsidRPr="00DE12A3" w:rsidRDefault="00BF677D" w:rsidP="00E20716">
      <w:pPr>
        <w:pStyle w:val="ListeParagraf"/>
        <w:numPr>
          <w:ilvl w:val="0"/>
          <w:numId w:val="447"/>
        </w:numPr>
        <w:spacing w:before="120" w:after="120"/>
        <w:ind w:left="709" w:hanging="709"/>
        <w:contextualSpacing w:val="0"/>
        <w:jc w:val="both"/>
        <w:rPr>
          <w:rFonts w:eastAsia="Times New Roman" w:cs="Times New Roman"/>
          <w:vanish/>
          <w:color w:val="auto"/>
          <w:spacing w:val="3"/>
          <w:sz w:val="20"/>
          <w:szCs w:val="20"/>
          <w:lang w:eastAsia="en-US"/>
        </w:rPr>
      </w:pPr>
    </w:p>
    <w:p w14:paraId="398EA980" w14:textId="77777777" w:rsidR="00BF677D" w:rsidRPr="00DE12A3" w:rsidRDefault="00BF677D" w:rsidP="00E20716">
      <w:pPr>
        <w:pStyle w:val="ListeParagraf"/>
        <w:numPr>
          <w:ilvl w:val="0"/>
          <w:numId w:val="447"/>
        </w:numPr>
        <w:spacing w:before="120" w:after="120"/>
        <w:ind w:left="709" w:hanging="709"/>
        <w:contextualSpacing w:val="0"/>
        <w:jc w:val="both"/>
        <w:rPr>
          <w:rFonts w:eastAsia="Times New Roman" w:cs="Times New Roman"/>
          <w:vanish/>
          <w:color w:val="auto"/>
          <w:spacing w:val="3"/>
          <w:sz w:val="20"/>
          <w:szCs w:val="20"/>
          <w:lang w:eastAsia="en-US"/>
        </w:rPr>
      </w:pPr>
    </w:p>
    <w:p w14:paraId="3109694B" w14:textId="77777777" w:rsidR="00B33BA7" w:rsidRPr="00DE12A3" w:rsidRDefault="00B33BA7" w:rsidP="00C917D6">
      <w:pPr>
        <w:pStyle w:val="Gvdemetni250"/>
        <w:shd w:val="clear" w:color="auto" w:fill="auto"/>
        <w:tabs>
          <w:tab w:val="left" w:pos="426"/>
        </w:tabs>
        <w:spacing w:before="120" w:after="120" w:line="240" w:lineRule="auto"/>
        <w:ind w:left="600" w:firstLine="0"/>
        <w:rPr>
          <w:b/>
          <w:sz w:val="24"/>
          <w:szCs w:val="24"/>
        </w:rPr>
      </w:pPr>
    </w:p>
    <w:p w14:paraId="51193B43" w14:textId="77777777" w:rsidR="002D7B36" w:rsidRPr="00DE12A3" w:rsidRDefault="00242DA0" w:rsidP="00E20716">
      <w:pPr>
        <w:pStyle w:val="Gvdemetni250"/>
        <w:numPr>
          <w:ilvl w:val="0"/>
          <w:numId w:val="176"/>
        </w:numPr>
        <w:shd w:val="clear" w:color="auto" w:fill="auto"/>
        <w:tabs>
          <w:tab w:val="left" w:pos="426"/>
        </w:tabs>
        <w:spacing w:before="120" w:after="120" w:line="240" w:lineRule="auto"/>
        <w:rPr>
          <w:b/>
          <w:sz w:val="24"/>
          <w:szCs w:val="24"/>
        </w:rPr>
      </w:pPr>
      <w:r w:rsidRPr="00DE12A3">
        <w:rPr>
          <w:sz w:val="20"/>
          <w:szCs w:val="20"/>
        </w:rPr>
        <w:t xml:space="preserve">  </w:t>
      </w:r>
      <w:r w:rsidR="00B33BA7" w:rsidRPr="00DE12A3">
        <w:rPr>
          <w:sz w:val="20"/>
          <w:szCs w:val="20"/>
        </w:rPr>
        <w:t xml:space="preserve">           </w:t>
      </w:r>
      <w:r w:rsidRPr="00DE12A3">
        <w:rPr>
          <w:b/>
          <w:sz w:val="24"/>
          <w:szCs w:val="24"/>
        </w:rPr>
        <w:t>Ölçüm prosedürleri</w:t>
      </w:r>
    </w:p>
    <w:p w14:paraId="50034B16" w14:textId="77777777" w:rsidR="002D7B36" w:rsidRPr="00DE12A3" w:rsidRDefault="00B33BA7" w:rsidP="00E20716">
      <w:pPr>
        <w:pStyle w:val="Gvdemetni250"/>
        <w:numPr>
          <w:ilvl w:val="0"/>
          <w:numId w:val="191"/>
        </w:numPr>
        <w:shd w:val="clear" w:color="auto" w:fill="auto"/>
        <w:tabs>
          <w:tab w:val="left" w:pos="567"/>
          <w:tab w:val="right" w:pos="993"/>
        </w:tabs>
        <w:spacing w:before="120" w:after="120" w:line="240" w:lineRule="auto"/>
        <w:ind w:left="1134" w:hanging="1134"/>
        <w:rPr>
          <w:sz w:val="24"/>
          <w:szCs w:val="24"/>
        </w:rPr>
      </w:pPr>
      <w:r w:rsidRPr="00DE12A3">
        <w:rPr>
          <w:sz w:val="24"/>
          <w:szCs w:val="24"/>
        </w:rPr>
        <w:t xml:space="preserve">         </w:t>
      </w:r>
      <w:r w:rsidR="00242DA0" w:rsidRPr="00DE12A3">
        <w:rPr>
          <w:sz w:val="24"/>
          <w:szCs w:val="24"/>
        </w:rPr>
        <w:t>Kalibrasyon ve performans kontrolleri</w:t>
      </w:r>
    </w:p>
    <w:p w14:paraId="29646B5A" w14:textId="77777777" w:rsidR="002D7B36" w:rsidRPr="00DE12A3" w:rsidRDefault="00B33BA7" w:rsidP="00E20716">
      <w:pPr>
        <w:pStyle w:val="Gvdemetni250"/>
        <w:numPr>
          <w:ilvl w:val="0"/>
          <w:numId w:val="192"/>
        </w:numPr>
        <w:shd w:val="clear" w:color="auto" w:fill="auto"/>
        <w:spacing w:before="120" w:after="120" w:line="240" w:lineRule="auto"/>
        <w:ind w:left="1134" w:hanging="1134"/>
        <w:rPr>
          <w:sz w:val="24"/>
          <w:szCs w:val="24"/>
        </w:rPr>
      </w:pPr>
      <w:r w:rsidRPr="00DE12A3">
        <w:rPr>
          <w:sz w:val="24"/>
          <w:szCs w:val="24"/>
        </w:rPr>
        <w:lastRenderedPageBreak/>
        <w:t xml:space="preserve">       </w:t>
      </w:r>
      <w:r w:rsidR="00242DA0" w:rsidRPr="00DE12A3">
        <w:rPr>
          <w:sz w:val="24"/>
          <w:szCs w:val="24"/>
        </w:rPr>
        <w:t>Giriş</w:t>
      </w:r>
    </w:p>
    <w:p w14:paraId="0C7725CE" w14:textId="16E3FE44" w:rsidR="002D7B36" w:rsidRPr="00DE12A3" w:rsidRDefault="000D0947" w:rsidP="00C917D6">
      <w:pPr>
        <w:pStyle w:val="Gvdemetni250"/>
        <w:shd w:val="clear" w:color="auto" w:fill="auto"/>
        <w:spacing w:before="120" w:after="120" w:line="240" w:lineRule="auto"/>
        <w:ind w:left="1134" w:firstLine="0"/>
        <w:rPr>
          <w:sz w:val="24"/>
          <w:szCs w:val="24"/>
        </w:rPr>
      </w:pPr>
      <w:r w:rsidRPr="00DE12A3">
        <w:rPr>
          <w:sz w:val="24"/>
          <w:szCs w:val="24"/>
        </w:rPr>
        <w:t xml:space="preserve">8.1 bendinde, </w:t>
      </w:r>
      <w:r w:rsidR="00242DA0" w:rsidRPr="00DE12A3">
        <w:rPr>
          <w:sz w:val="24"/>
          <w:szCs w:val="24"/>
        </w:rPr>
        <w:t>ölçüm sistemleri için gereken kalibrasyonlar ve doğrulamalar açıklanmaktadır. Her bir cihaz için geçerli şartnameler için 9.4 bendine bakınız.</w:t>
      </w:r>
    </w:p>
    <w:p w14:paraId="51F1F599" w14:textId="77777777" w:rsidR="002D7B36" w:rsidRPr="00DE12A3" w:rsidRDefault="00242DA0" w:rsidP="00C917D6">
      <w:pPr>
        <w:pStyle w:val="Gvdemetni250"/>
        <w:shd w:val="clear" w:color="auto" w:fill="auto"/>
        <w:spacing w:before="120" w:after="120" w:line="240" w:lineRule="auto"/>
        <w:ind w:left="1134" w:firstLine="0"/>
        <w:rPr>
          <w:sz w:val="24"/>
          <w:szCs w:val="24"/>
        </w:rPr>
      </w:pPr>
      <w:r w:rsidRPr="00DE12A3">
        <w:rPr>
          <w:sz w:val="24"/>
          <w:szCs w:val="24"/>
        </w:rPr>
        <w:t>Kalibrasyonlar veya doğrulamalar genellikle tüm ölçüm zinciri boyunca gerçekleştirilir.</w:t>
      </w:r>
    </w:p>
    <w:p w14:paraId="4A67DD67" w14:textId="77777777" w:rsidR="002D7B36" w:rsidRPr="00DE12A3" w:rsidRDefault="00242DA0" w:rsidP="00C917D6">
      <w:pPr>
        <w:pStyle w:val="Gvdemetni250"/>
        <w:shd w:val="clear" w:color="auto" w:fill="auto"/>
        <w:spacing w:before="120" w:after="120" w:line="240" w:lineRule="auto"/>
        <w:ind w:left="1134" w:firstLine="0"/>
        <w:rPr>
          <w:sz w:val="24"/>
          <w:szCs w:val="24"/>
        </w:rPr>
      </w:pPr>
      <w:r w:rsidRPr="00DE12A3">
        <w:rPr>
          <w:sz w:val="24"/>
          <w:szCs w:val="24"/>
        </w:rPr>
        <w:t>Ölçüm sisteminin bir kısmı için kalibrasyon veya doğrulama belirtilmezse, sistemin bu kısmı, ölçüm sistemi imalatçısının tüm tavsiyeleri ile tutarlı ve iyi mühendislik kararıyla tutarlı bir frekansta kalibre edilmeli ve performansı doğrulanmalıdır.</w:t>
      </w:r>
    </w:p>
    <w:p w14:paraId="0DA584B3" w14:textId="77777777" w:rsidR="002D7B36" w:rsidRPr="00DE12A3" w:rsidRDefault="00242DA0" w:rsidP="00C917D6">
      <w:pPr>
        <w:pStyle w:val="Gvdemetni250"/>
        <w:shd w:val="clear" w:color="auto" w:fill="auto"/>
        <w:spacing w:before="120" w:after="120" w:line="240" w:lineRule="auto"/>
        <w:ind w:left="1134" w:firstLine="0"/>
        <w:rPr>
          <w:sz w:val="24"/>
          <w:szCs w:val="24"/>
        </w:rPr>
      </w:pPr>
      <w:r w:rsidRPr="00DE12A3">
        <w:rPr>
          <w:sz w:val="24"/>
          <w:szCs w:val="24"/>
        </w:rPr>
        <w:t>Kalibrasyonlar ve doğrulamalar için belirtilen toleransları sağlamak için uluslararası kabul görmüş takip edilebilir standartlar kullanılır.</w:t>
      </w:r>
    </w:p>
    <w:p w14:paraId="21E0770F" w14:textId="77777777" w:rsidR="002D7B36" w:rsidRPr="00DE12A3" w:rsidRDefault="00B33BA7" w:rsidP="00E20716">
      <w:pPr>
        <w:pStyle w:val="Gvdemetni250"/>
        <w:numPr>
          <w:ilvl w:val="0"/>
          <w:numId w:val="192"/>
        </w:numPr>
        <w:shd w:val="clear" w:color="auto" w:fill="auto"/>
        <w:spacing w:before="120" w:after="120" w:line="240" w:lineRule="auto"/>
        <w:ind w:left="1134" w:hanging="1134"/>
        <w:rPr>
          <w:sz w:val="24"/>
          <w:szCs w:val="24"/>
        </w:rPr>
      </w:pPr>
      <w:r w:rsidRPr="00DE12A3">
        <w:rPr>
          <w:sz w:val="24"/>
          <w:szCs w:val="24"/>
        </w:rPr>
        <w:t xml:space="preserve">       </w:t>
      </w:r>
      <w:r w:rsidR="00242DA0" w:rsidRPr="00DE12A3">
        <w:rPr>
          <w:sz w:val="24"/>
          <w:szCs w:val="24"/>
        </w:rPr>
        <w:t>Kalibrasyon ve doğrulama özeti</w:t>
      </w:r>
    </w:p>
    <w:p w14:paraId="3B443E7C" w14:textId="77777777" w:rsidR="0000620F" w:rsidRPr="00DE12A3" w:rsidRDefault="0000620F" w:rsidP="0000620F">
      <w:pPr>
        <w:pStyle w:val="Gvdemetni250"/>
        <w:shd w:val="clear" w:color="auto" w:fill="auto"/>
        <w:spacing w:before="120" w:after="120" w:line="240" w:lineRule="auto"/>
        <w:ind w:firstLine="0"/>
        <w:rPr>
          <w:sz w:val="24"/>
          <w:szCs w:val="24"/>
        </w:rPr>
      </w:pPr>
      <w:r w:rsidRPr="00DE12A3">
        <w:rPr>
          <w:sz w:val="24"/>
          <w:szCs w:val="24"/>
        </w:rPr>
        <w:t>Tablo 6.4 kalibrasyonları ve doğrulamaları özetler ve bunların ne zaman yapılması gerektiğini gösterir.</w:t>
      </w:r>
    </w:p>
    <w:p w14:paraId="441DF230" w14:textId="77777777" w:rsidR="0000620F" w:rsidRPr="00DE12A3" w:rsidRDefault="0000620F" w:rsidP="0000620F">
      <w:pPr>
        <w:pStyle w:val="Gvdemetni250"/>
        <w:shd w:val="clear" w:color="auto" w:fill="auto"/>
        <w:spacing w:before="120" w:after="120" w:line="240" w:lineRule="auto"/>
        <w:ind w:firstLine="0"/>
        <w:rPr>
          <w:sz w:val="24"/>
          <w:szCs w:val="24"/>
        </w:rPr>
      </w:pPr>
    </w:p>
    <w:tbl>
      <w:tblPr>
        <w:tblStyle w:val="TabloKlavuzu"/>
        <w:tblW w:w="8784" w:type="dxa"/>
        <w:jc w:val="center"/>
        <w:tblLook w:val="04A0" w:firstRow="1" w:lastRow="0" w:firstColumn="1" w:lastColumn="0" w:noHBand="0" w:noVBand="1"/>
      </w:tblPr>
      <w:tblGrid>
        <w:gridCol w:w="1829"/>
        <w:gridCol w:w="6955"/>
      </w:tblGrid>
      <w:tr w:rsidR="00DE12A3" w:rsidRPr="00DE12A3" w14:paraId="119B860B" w14:textId="77777777" w:rsidTr="00973AD0">
        <w:trPr>
          <w:trHeight w:val="265"/>
          <w:jc w:val="center"/>
        </w:trPr>
        <w:tc>
          <w:tcPr>
            <w:tcW w:w="8784" w:type="dxa"/>
            <w:gridSpan w:val="2"/>
          </w:tcPr>
          <w:p w14:paraId="4BE0FECB" w14:textId="77777777" w:rsidR="00B33BA7" w:rsidRPr="00DE12A3" w:rsidRDefault="00B33BA7" w:rsidP="0053612E">
            <w:pPr>
              <w:pStyle w:val="NormalCentered"/>
              <w:ind w:right="640"/>
              <w:rPr>
                <w:rFonts w:ascii="Times New Roman" w:hAnsi="Times New Roman"/>
                <w:sz w:val="20"/>
                <w:szCs w:val="20"/>
                <w:lang w:val="tr-TR"/>
              </w:rPr>
            </w:pPr>
            <w:r w:rsidRPr="00DE12A3">
              <w:rPr>
                <w:rFonts w:ascii="Times New Roman" w:hAnsi="Times New Roman"/>
                <w:iCs/>
              </w:rPr>
              <w:t>Tablo 6.4</w:t>
            </w:r>
          </w:p>
        </w:tc>
      </w:tr>
      <w:tr w:rsidR="00DE12A3" w:rsidRPr="00DE12A3" w14:paraId="53D6F686" w14:textId="77777777" w:rsidTr="00973AD0">
        <w:trPr>
          <w:trHeight w:val="265"/>
          <w:jc w:val="center"/>
        </w:trPr>
        <w:tc>
          <w:tcPr>
            <w:tcW w:w="8784" w:type="dxa"/>
            <w:gridSpan w:val="2"/>
          </w:tcPr>
          <w:p w14:paraId="167214BD" w14:textId="77777777" w:rsidR="00B33BA7" w:rsidRPr="00DE12A3" w:rsidRDefault="00B33BA7" w:rsidP="0053612E">
            <w:pPr>
              <w:pStyle w:val="NormalCentered"/>
              <w:rPr>
                <w:rFonts w:ascii="Times New Roman" w:hAnsi="Times New Roman"/>
                <w:b/>
                <w:iCs/>
              </w:rPr>
            </w:pPr>
            <w:r w:rsidRPr="00DE12A3">
              <w:rPr>
                <w:rFonts w:ascii="Times New Roman" w:hAnsi="Times New Roman"/>
                <w:b/>
                <w:iCs/>
              </w:rPr>
              <w:t>Kalibrasyon ve Doğrulama Özeti</w:t>
            </w:r>
          </w:p>
          <w:p w14:paraId="319247BD" w14:textId="77777777" w:rsidR="00B33BA7" w:rsidRPr="00DE12A3" w:rsidRDefault="00B33BA7" w:rsidP="0053612E">
            <w:pPr>
              <w:pStyle w:val="NormalCentered"/>
              <w:rPr>
                <w:rFonts w:ascii="Times New Roman" w:hAnsi="Times New Roman"/>
                <w:iCs/>
              </w:rPr>
            </w:pPr>
          </w:p>
        </w:tc>
      </w:tr>
      <w:tr w:rsidR="00DE12A3" w:rsidRPr="00DE12A3" w14:paraId="64F29097" w14:textId="77777777" w:rsidTr="0027275A">
        <w:trPr>
          <w:trHeight w:val="1088"/>
          <w:jc w:val="center"/>
        </w:trPr>
        <w:tc>
          <w:tcPr>
            <w:tcW w:w="1829" w:type="dxa"/>
          </w:tcPr>
          <w:p w14:paraId="78BC5CDA" w14:textId="77777777" w:rsidR="00B33BA7" w:rsidRPr="00DE12A3" w:rsidRDefault="00B33BA7" w:rsidP="0053612E">
            <w:pPr>
              <w:pStyle w:val="NormalCentered"/>
              <w:rPr>
                <w:rFonts w:ascii="Times New Roman" w:hAnsi="Times New Roman"/>
              </w:rPr>
            </w:pPr>
            <w:r w:rsidRPr="00DE12A3">
              <w:rPr>
                <w:rFonts w:ascii="Times New Roman" w:hAnsi="Times New Roman"/>
              </w:rPr>
              <w:t>Kalibrasyon veya doğrulama tipi</w:t>
            </w:r>
          </w:p>
          <w:p w14:paraId="6D42FFCB" w14:textId="77777777" w:rsidR="00B33BA7" w:rsidRPr="00DE12A3" w:rsidRDefault="00B33BA7" w:rsidP="0053612E">
            <w:pPr>
              <w:spacing w:before="120" w:after="120"/>
              <w:ind w:left="601"/>
              <w:rPr>
                <w:rFonts w:ascii="Times New Roman" w:hAnsi="Times New Roman" w:cs="Times New Roman"/>
                <w:color w:val="auto"/>
                <w:sz w:val="20"/>
                <w:szCs w:val="20"/>
                <w:lang w:val="tr-TR"/>
              </w:rPr>
            </w:pPr>
          </w:p>
        </w:tc>
        <w:tc>
          <w:tcPr>
            <w:tcW w:w="6955" w:type="dxa"/>
          </w:tcPr>
          <w:p w14:paraId="3E5BFE77" w14:textId="77777777" w:rsidR="00B33BA7" w:rsidRPr="00DE12A3" w:rsidRDefault="00B33BA7" w:rsidP="0053612E">
            <w:pPr>
              <w:pStyle w:val="NormalCentered"/>
              <w:rPr>
                <w:rFonts w:ascii="Times New Roman" w:hAnsi="Times New Roman"/>
              </w:rPr>
            </w:pPr>
            <w:r w:rsidRPr="00DE12A3">
              <w:rPr>
                <w:rFonts w:ascii="Times New Roman" w:hAnsi="Times New Roman"/>
              </w:rPr>
              <w:t>Asgari frekans (</w:t>
            </w:r>
            <w:r w:rsidR="007F3B3F" w:rsidRPr="00DE12A3">
              <w:rPr>
                <w:rFonts w:ascii="Times New Roman" w:hAnsi="Times New Roman"/>
                <w:vertAlign w:val="superscript"/>
              </w:rPr>
              <w:t>a</w:t>
            </w:r>
            <w:r w:rsidRPr="00DE12A3">
              <w:rPr>
                <w:rFonts w:ascii="Times New Roman" w:hAnsi="Times New Roman"/>
              </w:rPr>
              <w:t>)</w:t>
            </w:r>
          </w:p>
          <w:p w14:paraId="6A3DEE79" w14:textId="77777777" w:rsidR="00B33BA7" w:rsidRPr="00DE12A3" w:rsidRDefault="00B33BA7" w:rsidP="0053612E">
            <w:pPr>
              <w:pStyle w:val="NormalCentered"/>
              <w:rPr>
                <w:rFonts w:ascii="Times New Roman" w:hAnsi="Times New Roman"/>
                <w:i/>
                <w:iCs/>
              </w:rPr>
            </w:pPr>
          </w:p>
        </w:tc>
      </w:tr>
      <w:tr w:rsidR="00DE12A3" w:rsidRPr="00DE12A3" w14:paraId="4D4264B9" w14:textId="77777777" w:rsidTr="00973AD0">
        <w:trPr>
          <w:trHeight w:val="265"/>
          <w:jc w:val="center"/>
        </w:trPr>
        <w:tc>
          <w:tcPr>
            <w:tcW w:w="1829" w:type="dxa"/>
          </w:tcPr>
          <w:p w14:paraId="48A1DBA1" w14:textId="77777777" w:rsidR="00B33BA7" w:rsidRPr="00DE12A3" w:rsidRDefault="00B33BA7" w:rsidP="0053612E">
            <w:pPr>
              <w:pStyle w:val="NormalLeft"/>
              <w:rPr>
                <w:rFonts w:ascii="Times New Roman" w:hAnsi="Times New Roman"/>
              </w:rPr>
            </w:pPr>
            <w:r w:rsidRPr="00DE12A3">
              <w:rPr>
                <w:rFonts w:ascii="Times New Roman" w:hAnsi="Times New Roman"/>
              </w:rPr>
              <w:t>8.1.3: doğruluk, tekrarlanabilirlik ve gürültü</w:t>
            </w:r>
          </w:p>
          <w:p w14:paraId="0473831D" w14:textId="77777777" w:rsidR="00B33BA7" w:rsidRPr="00DE12A3" w:rsidRDefault="00B33BA7" w:rsidP="0053612E">
            <w:pPr>
              <w:spacing w:before="120" w:after="120"/>
              <w:rPr>
                <w:rFonts w:ascii="Times New Roman" w:hAnsi="Times New Roman" w:cs="Times New Roman"/>
                <w:color w:val="auto"/>
                <w:sz w:val="20"/>
                <w:szCs w:val="20"/>
                <w:lang w:val="tr-TR"/>
              </w:rPr>
            </w:pPr>
          </w:p>
        </w:tc>
        <w:tc>
          <w:tcPr>
            <w:tcW w:w="6955" w:type="dxa"/>
          </w:tcPr>
          <w:p w14:paraId="5E7997EC" w14:textId="37D3386B" w:rsidR="00B33BA7" w:rsidRPr="00DE12A3" w:rsidRDefault="00FD681E" w:rsidP="0053612E">
            <w:pPr>
              <w:pStyle w:val="NormalLeft"/>
              <w:rPr>
                <w:rFonts w:ascii="Times New Roman" w:hAnsi="Times New Roman"/>
              </w:rPr>
            </w:pPr>
            <w:r w:rsidRPr="00DE12A3">
              <w:rPr>
                <w:rFonts w:ascii="Times New Roman" w:hAnsi="Times New Roman"/>
              </w:rPr>
              <w:t>Doğruluk :</w:t>
            </w:r>
            <w:r w:rsidR="00B33BA7" w:rsidRPr="00DE12A3">
              <w:rPr>
                <w:rFonts w:ascii="Times New Roman" w:hAnsi="Times New Roman"/>
              </w:rPr>
              <w:t xml:space="preserve"> Şart değil, ancak ilk kurulum için önerilir.</w:t>
            </w:r>
          </w:p>
          <w:p w14:paraId="79C60EE6" w14:textId="1D111C41" w:rsidR="00B33BA7" w:rsidRPr="00DE12A3" w:rsidRDefault="00FD681E" w:rsidP="0053612E">
            <w:pPr>
              <w:pStyle w:val="NormalLeft"/>
              <w:rPr>
                <w:rFonts w:ascii="Times New Roman" w:hAnsi="Times New Roman"/>
              </w:rPr>
            </w:pPr>
            <w:r w:rsidRPr="00DE12A3">
              <w:rPr>
                <w:rFonts w:ascii="Times New Roman" w:hAnsi="Times New Roman"/>
              </w:rPr>
              <w:t>Tekrarlanabilirlik :</w:t>
            </w:r>
            <w:r w:rsidR="00B33BA7" w:rsidRPr="00DE12A3">
              <w:rPr>
                <w:rFonts w:ascii="Times New Roman" w:hAnsi="Times New Roman"/>
              </w:rPr>
              <w:t xml:space="preserve"> Şart değil, ancak ilk kurulum için önerilir.</w:t>
            </w:r>
          </w:p>
          <w:p w14:paraId="3E368969" w14:textId="240DBC30" w:rsidR="00B33BA7" w:rsidRPr="00DE12A3" w:rsidRDefault="00FD681E" w:rsidP="0053612E">
            <w:pPr>
              <w:pStyle w:val="NormalLeft"/>
              <w:rPr>
                <w:rFonts w:ascii="Times New Roman" w:hAnsi="Times New Roman"/>
                <w:sz w:val="20"/>
                <w:szCs w:val="20"/>
                <w:lang w:val="tr-TR"/>
              </w:rPr>
            </w:pPr>
            <w:r w:rsidRPr="00DE12A3">
              <w:rPr>
                <w:rFonts w:ascii="Times New Roman" w:hAnsi="Times New Roman"/>
              </w:rPr>
              <w:t>Gürültü :</w:t>
            </w:r>
            <w:r w:rsidR="00B33BA7" w:rsidRPr="00DE12A3">
              <w:rPr>
                <w:rFonts w:ascii="Times New Roman" w:hAnsi="Times New Roman"/>
              </w:rPr>
              <w:t xml:space="preserve"> Şart değil, ancak ilk kurulum için önerilir</w:t>
            </w:r>
            <w:r w:rsidR="00675CA7" w:rsidRPr="00DE12A3">
              <w:rPr>
                <w:rFonts w:ascii="Times New Roman" w:hAnsi="Times New Roman"/>
              </w:rPr>
              <w:t>.</w:t>
            </w:r>
          </w:p>
        </w:tc>
      </w:tr>
      <w:tr w:rsidR="00B33BA7" w:rsidRPr="00DE12A3" w14:paraId="06534EA1" w14:textId="77777777" w:rsidTr="00973AD0">
        <w:trPr>
          <w:trHeight w:val="265"/>
          <w:jc w:val="center"/>
        </w:trPr>
        <w:tc>
          <w:tcPr>
            <w:tcW w:w="1829" w:type="dxa"/>
          </w:tcPr>
          <w:p w14:paraId="071EF669" w14:textId="77777777" w:rsidR="00B33BA7" w:rsidRPr="00DE12A3" w:rsidRDefault="00B33BA7" w:rsidP="0053612E">
            <w:pPr>
              <w:pStyle w:val="NormalLeft"/>
              <w:rPr>
                <w:rFonts w:ascii="Times New Roman" w:hAnsi="Times New Roman"/>
              </w:rPr>
            </w:pPr>
            <w:r w:rsidRPr="00DE12A3">
              <w:rPr>
                <w:rFonts w:ascii="Times New Roman" w:hAnsi="Times New Roman"/>
              </w:rPr>
              <w:t>8.1.4: doğrusallık doğrulaması</w:t>
            </w:r>
          </w:p>
        </w:tc>
        <w:tc>
          <w:tcPr>
            <w:tcW w:w="6955" w:type="dxa"/>
          </w:tcPr>
          <w:p w14:paraId="49DFCE85" w14:textId="33D38D0E" w:rsidR="00B33BA7" w:rsidRPr="00DE12A3" w:rsidRDefault="00FD681E" w:rsidP="000D0947">
            <w:pPr>
              <w:pStyle w:val="NormalLeft"/>
              <w:jc w:val="both"/>
              <w:rPr>
                <w:rFonts w:ascii="Times New Roman" w:hAnsi="Times New Roman"/>
              </w:rPr>
            </w:pPr>
            <w:r w:rsidRPr="00DE12A3">
              <w:rPr>
                <w:rFonts w:ascii="Times New Roman" w:hAnsi="Times New Roman"/>
              </w:rPr>
              <w:t>Devir :</w:t>
            </w:r>
            <w:r w:rsidR="00B33BA7" w:rsidRPr="00DE12A3">
              <w:rPr>
                <w:rFonts w:ascii="Times New Roman" w:hAnsi="Times New Roman"/>
              </w:rPr>
              <w:t xml:space="preserve"> İlk kurulum üzerine, testten 370 gün önce ve büyük bakım sonrasında.</w:t>
            </w:r>
          </w:p>
          <w:p w14:paraId="2A029CE2" w14:textId="57428309" w:rsidR="00B33BA7" w:rsidRPr="00DE12A3" w:rsidRDefault="00FD681E" w:rsidP="000D0947">
            <w:pPr>
              <w:pStyle w:val="NormalLeft"/>
              <w:jc w:val="both"/>
              <w:rPr>
                <w:rFonts w:ascii="Times New Roman" w:hAnsi="Times New Roman"/>
              </w:rPr>
            </w:pPr>
            <w:r w:rsidRPr="00DE12A3">
              <w:rPr>
                <w:rFonts w:ascii="Times New Roman" w:hAnsi="Times New Roman"/>
              </w:rPr>
              <w:t>Tork :</w:t>
            </w:r>
            <w:r w:rsidR="00B33BA7" w:rsidRPr="00DE12A3">
              <w:rPr>
                <w:rFonts w:ascii="Times New Roman" w:hAnsi="Times New Roman"/>
              </w:rPr>
              <w:t xml:space="preserve"> İlk kurulum üzerine, testten 370 gün önce ve büyük bakım sonrasında.</w:t>
            </w:r>
          </w:p>
          <w:p w14:paraId="41495867" w14:textId="0E156C4B" w:rsidR="00B33BA7" w:rsidRPr="00DE12A3" w:rsidRDefault="00B33BA7" w:rsidP="000D0947">
            <w:pPr>
              <w:pStyle w:val="NormalLeft"/>
              <w:jc w:val="both"/>
              <w:rPr>
                <w:rFonts w:ascii="Times New Roman" w:hAnsi="Times New Roman"/>
              </w:rPr>
            </w:pPr>
            <w:r w:rsidRPr="00DE12A3">
              <w:rPr>
                <w:rFonts w:ascii="Times New Roman" w:hAnsi="Times New Roman"/>
              </w:rPr>
              <w:t xml:space="preserve">Emme havası, seyreltme havası ve seyreltilmiş egzoz gazı akışları ve toplu numune akış </w:t>
            </w:r>
            <w:r w:rsidR="00FD681E" w:rsidRPr="00DE12A3">
              <w:rPr>
                <w:rFonts w:ascii="Times New Roman" w:hAnsi="Times New Roman"/>
              </w:rPr>
              <w:t>hızları :</w:t>
            </w:r>
            <w:r w:rsidRPr="00DE12A3">
              <w:rPr>
                <w:rFonts w:ascii="Times New Roman" w:hAnsi="Times New Roman"/>
              </w:rPr>
              <w:t xml:space="preserve"> Akış, propan kontrolü veya karbon veya oksijen dengesi ile doğrulanmadığı sürece, ilk kurulum üzerine, testten önceki 370 gün içinde ve büyük bakım sonrasında.</w:t>
            </w:r>
          </w:p>
          <w:p w14:paraId="35D13A24" w14:textId="08122332" w:rsidR="00B33BA7" w:rsidRPr="00DE12A3" w:rsidRDefault="00B33BA7" w:rsidP="000D0947">
            <w:pPr>
              <w:pStyle w:val="NormalLeft"/>
              <w:jc w:val="both"/>
              <w:rPr>
                <w:rFonts w:ascii="Times New Roman" w:hAnsi="Times New Roman"/>
              </w:rPr>
            </w:pPr>
            <w:r w:rsidRPr="00DE12A3">
              <w:rPr>
                <w:rFonts w:ascii="Times New Roman" w:hAnsi="Times New Roman"/>
              </w:rPr>
              <w:t xml:space="preserve">Ham egzoz gazı </w:t>
            </w:r>
            <w:r w:rsidR="00FD681E" w:rsidRPr="00DE12A3">
              <w:rPr>
                <w:rFonts w:ascii="Times New Roman" w:hAnsi="Times New Roman"/>
              </w:rPr>
              <w:t>akışı :</w:t>
            </w:r>
            <w:r w:rsidRPr="00DE12A3">
              <w:rPr>
                <w:rFonts w:ascii="Times New Roman" w:hAnsi="Times New Roman"/>
              </w:rPr>
              <w:t xml:space="preserve"> Akış, propan kontrolü veya karbon veya oksijen dengesi ile doğrulanmadığı sürece, ilk kurulum üzerine, testten önceki 185 gün içinde ve büyük bakım sonrasında.</w:t>
            </w:r>
          </w:p>
          <w:p w14:paraId="36B03EEF" w14:textId="1E8B0ACD" w:rsidR="00B33BA7" w:rsidRPr="00DE12A3" w:rsidRDefault="00B33BA7" w:rsidP="000D0947">
            <w:pPr>
              <w:pStyle w:val="NormalLeft"/>
              <w:jc w:val="both"/>
              <w:rPr>
                <w:rFonts w:ascii="Times New Roman" w:hAnsi="Times New Roman"/>
              </w:rPr>
            </w:pPr>
            <w:r w:rsidRPr="00DE12A3">
              <w:rPr>
                <w:rFonts w:ascii="Times New Roman" w:hAnsi="Times New Roman"/>
              </w:rPr>
              <w:t xml:space="preserve">Gaz </w:t>
            </w:r>
            <w:r w:rsidR="00FD681E" w:rsidRPr="00DE12A3">
              <w:rPr>
                <w:rFonts w:ascii="Times New Roman" w:hAnsi="Times New Roman"/>
              </w:rPr>
              <w:t>bölücüler :</w:t>
            </w:r>
            <w:r w:rsidRPr="00DE12A3">
              <w:rPr>
                <w:rFonts w:ascii="Times New Roman" w:hAnsi="Times New Roman"/>
              </w:rPr>
              <w:t xml:space="preserve"> İlk kurulum üzerine, testten 370 gün önce ve büyük bakım sonrasında.</w:t>
            </w:r>
          </w:p>
          <w:p w14:paraId="226B3815" w14:textId="77777777" w:rsidR="00B33BA7" w:rsidRPr="00DE12A3" w:rsidRDefault="00B33BA7" w:rsidP="000D0947">
            <w:pPr>
              <w:pStyle w:val="NormalLeft"/>
              <w:jc w:val="both"/>
              <w:rPr>
                <w:rFonts w:ascii="Times New Roman" w:hAnsi="Times New Roman"/>
              </w:rPr>
            </w:pPr>
            <w:r w:rsidRPr="00DE12A3">
              <w:rPr>
                <w:rFonts w:ascii="Times New Roman" w:hAnsi="Times New Roman"/>
              </w:rPr>
              <w:t>Gaz analiz cihazları (aksi belirtilmediği sürece): İlk kurulum üzerine, testten 35 gün önce ve büyük bakım sonrasında.</w:t>
            </w:r>
          </w:p>
        </w:tc>
      </w:tr>
    </w:tbl>
    <w:p w14:paraId="792D3823" w14:textId="77777777" w:rsidR="002D7B36" w:rsidRPr="00DE12A3" w:rsidRDefault="002D7B36" w:rsidP="00C917D6">
      <w:pPr>
        <w:tabs>
          <w:tab w:val="right" w:pos="1344"/>
          <w:tab w:val="right" w:pos="1598"/>
          <w:tab w:val="left" w:pos="1632"/>
        </w:tabs>
        <w:spacing w:before="120" w:after="120"/>
        <w:ind w:left="709" w:hanging="709"/>
        <w:jc w:val="both"/>
        <w:rPr>
          <w:rFonts w:cs="Times New Roman"/>
          <w:color w:val="auto"/>
          <w:sz w:val="20"/>
          <w:szCs w:val="20"/>
        </w:rPr>
      </w:pPr>
    </w:p>
    <w:tbl>
      <w:tblPr>
        <w:tblpPr w:leftFromText="141" w:rightFromText="141" w:vertAnchor="page" w:horzAnchor="margin" w:tblpY="3082"/>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122"/>
        <w:gridCol w:w="6804"/>
      </w:tblGrid>
      <w:tr w:rsidR="00DE12A3" w:rsidRPr="00DE12A3" w14:paraId="74E229E1" w14:textId="77777777" w:rsidTr="009947CD">
        <w:trPr>
          <w:trHeight w:hRule="exact" w:val="716"/>
        </w:trPr>
        <w:tc>
          <w:tcPr>
            <w:tcW w:w="2122" w:type="dxa"/>
          </w:tcPr>
          <w:p w14:paraId="26B6D958" w14:textId="77777777" w:rsidR="005C0C56" w:rsidRPr="00DE12A3" w:rsidRDefault="005C0C56" w:rsidP="005C0C56">
            <w:pPr>
              <w:pStyle w:val="NormalCentered"/>
            </w:pPr>
            <w:r w:rsidRPr="00DE12A3">
              <w:t>Kalibrasyon veya doğrulama tipi</w:t>
            </w:r>
          </w:p>
          <w:p w14:paraId="4FBCB9F1" w14:textId="77777777" w:rsidR="005C0C56" w:rsidRPr="00DE12A3" w:rsidRDefault="005C0C56" w:rsidP="005C0C56">
            <w:pPr>
              <w:spacing w:before="120" w:after="120"/>
              <w:ind w:left="601"/>
              <w:rPr>
                <w:rFonts w:cs="Times New Roman"/>
                <w:color w:val="auto"/>
                <w:sz w:val="20"/>
                <w:szCs w:val="20"/>
              </w:rPr>
            </w:pPr>
          </w:p>
        </w:tc>
        <w:tc>
          <w:tcPr>
            <w:tcW w:w="6804" w:type="dxa"/>
          </w:tcPr>
          <w:p w14:paraId="16363C81" w14:textId="77777777" w:rsidR="005C0C56" w:rsidRPr="00DE12A3" w:rsidRDefault="005C0C56" w:rsidP="005C0C56">
            <w:pPr>
              <w:pStyle w:val="NormalCentered"/>
            </w:pPr>
            <w:r w:rsidRPr="00DE12A3">
              <w:t>Asgari frekans (</w:t>
            </w:r>
            <w:r w:rsidRPr="00DE12A3">
              <w:rPr>
                <w:vertAlign w:val="superscript"/>
              </w:rPr>
              <w:t>a</w:t>
            </w:r>
            <w:r w:rsidRPr="00DE12A3">
              <w:t>)</w:t>
            </w:r>
          </w:p>
          <w:p w14:paraId="39BBCE32" w14:textId="77777777" w:rsidR="005C0C56" w:rsidRPr="00DE12A3" w:rsidRDefault="005C0C56" w:rsidP="005C0C56">
            <w:pPr>
              <w:pStyle w:val="NormalCentered"/>
              <w:rPr>
                <w:i/>
                <w:iCs/>
              </w:rPr>
            </w:pPr>
          </w:p>
        </w:tc>
      </w:tr>
      <w:tr w:rsidR="00DE12A3" w:rsidRPr="00DE12A3" w14:paraId="278B3848" w14:textId="77777777" w:rsidTr="009947CD">
        <w:trPr>
          <w:trHeight w:hRule="exact" w:val="2135"/>
        </w:trPr>
        <w:tc>
          <w:tcPr>
            <w:tcW w:w="2122" w:type="dxa"/>
            <w:shd w:val="clear" w:color="auto" w:fill="auto"/>
          </w:tcPr>
          <w:p w14:paraId="236D9526" w14:textId="77777777" w:rsidR="005C0C56" w:rsidRPr="00DE12A3" w:rsidRDefault="005C0C56" w:rsidP="005C0C56">
            <w:pPr>
              <w:spacing w:before="120" w:after="120"/>
              <w:ind w:right="137"/>
              <w:rPr>
                <w:rFonts w:cs="Times New Roman"/>
                <w:color w:val="auto"/>
                <w:sz w:val="16"/>
                <w:szCs w:val="16"/>
              </w:rPr>
            </w:pPr>
          </w:p>
        </w:tc>
        <w:tc>
          <w:tcPr>
            <w:tcW w:w="6804" w:type="dxa"/>
            <w:shd w:val="clear" w:color="auto" w:fill="auto"/>
          </w:tcPr>
          <w:p w14:paraId="3DFFA8BF" w14:textId="77777777" w:rsidR="005C0C56" w:rsidRPr="00DE12A3" w:rsidRDefault="005C0C56" w:rsidP="005C0C56">
            <w:pPr>
              <w:pStyle w:val="NormalLeft"/>
            </w:pPr>
            <w:r w:rsidRPr="00DE12A3">
              <w:t>FTIR analiz cihazı : Kurulum üzerine, testten 370 gün önce ve büyük bakım sonrasında.</w:t>
            </w:r>
          </w:p>
          <w:p w14:paraId="13F98E57" w14:textId="77777777" w:rsidR="005C0C56" w:rsidRPr="00DE12A3" w:rsidRDefault="005C0C56" w:rsidP="005C0C56">
            <w:pPr>
              <w:pStyle w:val="NormalLeft"/>
            </w:pPr>
            <w:r w:rsidRPr="00DE12A3">
              <w:t>PM dengesi : İlk kurulum üzerine, testten 370 gün önce ve büyük bakım sonrasında.</w:t>
            </w:r>
          </w:p>
          <w:p w14:paraId="67D6691C" w14:textId="77777777" w:rsidR="005C0C56" w:rsidRPr="00DE12A3" w:rsidRDefault="005C0C56" w:rsidP="005C0C56">
            <w:pPr>
              <w:pStyle w:val="NormalLeft"/>
              <w:rPr>
                <w:sz w:val="16"/>
                <w:szCs w:val="16"/>
                <w:lang w:val="tr-TR"/>
              </w:rPr>
            </w:pPr>
            <w:r w:rsidRPr="00DE12A3">
              <w:t>Bağımsız basınç ve sıcaklık : İlk kurulum üzerine, testten 370 gün önce ve büyük bakım sonrasında.</w:t>
            </w:r>
          </w:p>
        </w:tc>
      </w:tr>
      <w:tr w:rsidR="00DE12A3" w:rsidRPr="00DE12A3" w14:paraId="2392EC54" w14:textId="77777777" w:rsidTr="009947CD">
        <w:trPr>
          <w:trHeight w:hRule="exact" w:val="2835"/>
        </w:trPr>
        <w:tc>
          <w:tcPr>
            <w:tcW w:w="2122" w:type="dxa"/>
            <w:shd w:val="clear" w:color="auto" w:fill="auto"/>
          </w:tcPr>
          <w:p w14:paraId="22FAE538" w14:textId="77777777" w:rsidR="005C0C56" w:rsidRPr="00DE12A3" w:rsidRDefault="005C0C56" w:rsidP="005C0C56">
            <w:pPr>
              <w:pStyle w:val="NormalLeft"/>
            </w:pPr>
            <w:r w:rsidRPr="00DE12A3">
              <w:t>8.1.5: Sürekli gaz analiz sistemi tepkisi ve güncelleme-kaydetme doğrulaması - diğer gaz türleri için sürekli telafi edilmeyen gaz analiz cihazlarına yönelik</w:t>
            </w:r>
          </w:p>
        </w:tc>
        <w:tc>
          <w:tcPr>
            <w:tcW w:w="6804" w:type="dxa"/>
            <w:shd w:val="clear" w:color="auto" w:fill="auto"/>
          </w:tcPr>
          <w:p w14:paraId="0E385EA1" w14:textId="77777777" w:rsidR="005C0C56" w:rsidRPr="00DE12A3" w:rsidRDefault="005C0C56" w:rsidP="005C0C56">
            <w:pPr>
              <w:pStyle w:val="NormalLeft"/>
              <w:rPr>
                <w:sz w:val="16"/>
                <w:szCs w:val="16"/>
                <w:lang w:val="tr-TR"/>
              </w:rPr>
            </w:pPr>
            <w:r w:rsidRPr="00DE12A3">
              <w:t>İlk kurulumdan sonra veya tepkiyi etkileyen sistem değişikliğinden sonra.</w:t>
            </w:r>
          </w:p>
        </w:tc>
      </w:tr>
      <w:tr w:rsidR="00DE12A3" w:rsidRPr="00DE12A3" w14:paraId="1DA91086" w14:textId="77777777" w:rsidTr="009947CD">
        <w:trPr>
          <w:trHeight w:hRule="exact" w:val="2699"/>
        </w:trPr>
        <w:tc>
          <w:tcPr>
            <w:tcW w:w="2122" w:type="dxa"/>
            <w:shd w:val="clear" w:color="auto" w:fill="auto"/>
          </w:tcPr>
          <w:p w14:paraId="568121F0" w14:textId="0F9ABDDC" w:rsidR="005C0C56" w:rsidRPr="00DE12A3" w:rsidRDefault="005C0C56" w:rsidP="005C0C56">
            <w:pPr>
              <w:pStyle w:val="NormalLeft"/>
            </w:pPr>
            <w:r w:rsidRPr="00DE12A3">
              <w:t>8.1.6: Sürekli gaz analiz sistemi tepkisi ve güncelleme- diğer gaz türleri için sürekli telafi edilen gaz analiz cihazlarına yönelik</w:t>
            </w:r>
          </w:p>
        </w:tc>
        <w:tc>
          <w:tcPr>
            <w:tcW w:w="6804" w:type="dxa"/>
            <w:shd w:val="clear" w:color="auto" w:fill="auto"/>
          </w:tcPr>
          <w:p w14:paraId="32FFE2B5" w14:textId="77777777" w:rsidR="005C0C56" w:rsidRPr="00DE12A3" w:rsidRDefault="005C0C56" w:rsidP="005C0C56">
            <w:pPr>
              <w:pStyle w:val="NormalLeft"/>
              <w:rPr>
                <w:sz w:val="16"/>
                <w:szCs w:val="16"/>
                <w:lang w:val="tr-TR"/>
              </w:rPr>
            </w:pPr>
            <w:r w:rsidRPr="00DE12A3">
              <w:t>İlk kurulumdan sonra veya tepkiyi etkileyen sistem değişikliğinden sonra.</w:t>
            </w:r>
          </w:p>
        </w:tc>
      </w:tr>
      <w:tr w:rsidR="00DE12A3" w:rsidRPr="00DE12A3" w14:paraId="40D88541" w14:textId="77777777" w:rsidTr="009947CD">
        <w:trPr>
          <w:trHeight w:hRule="exact" w:val="600"/>
        </w:trPr>
        <w:tc>
          <w:tcPr>
            <w:tcW w:w="2122" w:type="dxa"/>
            <w:shd w:val="clear" w:color="auto" w:fill="auto"/>
          </w:tcPr>
          <w:p w14:paraId="79EBA531" w14:textId="77777777" w:rsidR="005C0C56" w:rsidRPr="00DE12A3" w:rsidRDefault="005C0C56" w:rsidP="005C0C56">
            <w:pPr>
              <w:pStyle w:val="NormalLeft"/>
            </w:pPr>
            <w:r w:rsidRPr="00DE12A3">
              <w:t>8.1.7.1: tork</w:t>
            </w:r>
          </w:p>
        </w:tc>
        <w:tc>
          <w:tcPr>
            <w:tcW w:w="6804" w:type="dxa"/>
            <w:shd w:val="clear" w:color="auto" w:fill="auto"/>
          </w:tcPr>
          <w:p w14:paraId="602D31B3" w14:textId="77777777" w:rsidR="005C0C56" w:rsidRPr="00DE12A3" w:rsidRDefault="005C0C56" w:rsidP="005C0C56">
            <w:pPr>
              <w:pStyle w:val="NormalLeft"/>
            </w:pPr>
            <w:r w:rsidRPr="00DE12A3">
              <w:t>İlk kurulum üzerine ve büyük bakım sonrasında.</w:t>
            </w:r>
          </w:p>
        </w:tc>
      </w:tr>
      <w:tr w:rsidR="00DE12A3" w:rsidRPr="00DE12A3" w14:paraId="08E6ABC3" w14:textId="77777777" w:rsidTr="009947CD">
        <w:trPr>
          <w:trHeight w:hRule="exact" w:val="1253"/>
        </w:trPr>
        <w:tc>
          <w:tcPr>
            <w:tcW w:w="2122" w:type="dxa"/>
            <w:shd w:val="clear" w:color="auto" w:fill="auto"/>
          </w:tcPr>
          <w:p w14:paraId="4D7CF7AA" w14:textId="77777777" w:rsidR="005C0C56" w:rsidRPr="00DE12A3" w:rsidRDefault="005C0C56" w:rsidP="005C0C56">
            <w:pPr>
              <w:pStyle w:val="NormalLeft"/>
            </w:pPr>
            <w:r w:rsidRPr="00DE12A3">
              <w:t>8.1.7.2: basınç, sıcaklık, yoğuşma noktası</w:t>
            </w:r>
          </w:p>
        </w:tc>
        <w:tc>
          <w:tcPr>
            <w:tcW w:w="6804" w:type="dxa"/>
            <w:shd w:val="clear" w:color="auto" w:fill="auto"/>
          </w:tcPr>
          <w:p w14:paraId="4E36018F" w14:textId="77777777" w:rsidR="005C0C56" w:rsidRPr="00DE12A3" w:rsidRDefault="005C0C56" w:rsidP="005C0C56">
            <w:pPr>
              <w:pStyle w:val="NormalLeft"/>
            </w:pPr>
            <w:r w:rsidRPr="00DE12A3">
              <w:t>İlk kurulum üzerine ve büyük bakım sonrasında.</w:t>
            </w:r>
          </w:p>
        </w:tc>
      </w:tr>
      <w:tr w:rsidR="00DE12A3" w:rsidRPr="00DE12A3" w14:paraId="30A36667" w14:textId="77777777" w:rsidTr="009947CD">
        <w:trPr>
          <w:trHeight w:hRule="exact" w:val="600"/>
        </w:trPr>
        <w:tc>
          <w:tcPr>
            <w:tcW w:w="2122" w:type="dxa"/>
            <w:shd w:val="clear" w:color="auto" w:fill="auto"/>
          </w:tcPr>
          <w:p w14:paraId="1457FF08" w14:textId="77777777" w:rsidR="005C0C56" w:rsidRPr="00DE12A3" w:rsidRDefault="005C0C56" w:rsidP="005C0C56">
            <w:pPr>
              <w:pStyle w:val="NormalLeft"/>
            </w:pPr>
            <w:r w:rsidRPr="00DE12A3">
              <w:t>8.1.8.1: yakıt akışı</w:t>
            </w:r>
          </w:p>
        </w:tc>
        <w:tc>
          <w:tcPr>
            <w:tcW w:w="6804" w:type="dxa"/>
            <w:shd w:val="clear" w:color="auto" w:fill="auto"/>
          </w:tcPr>
          <w:p w14:paraId="0EDF894F" w14:textId="77777777" w:rsidR="005C0C56" w:rsidRPr="00DE12A3" w:rsidRDefault="005C0C56" w:rsidP="005C0C56">
            <w:pPr>
              <w:pStyle w:val="NormalLeft"/>
            </w:pPr>
            <w:r w:rsidRPr="00DE12A3">
              <w:t>İlk kurulum üzerine ve büyük bakım sonrasında.</w:t>
            </w:r>
          </w:p>
        </w:tc>
      </w:tr>
      <w:tr w:rsidR="00DE12A3" w:rsidRPr="00DE12A3" w14:paraId="3BB90E56" w14:textId="77777777" w:rsidTr="009947CD">
        <w:trPr>
          <w:trHeight w:hRule="exact" w:val="600"/>
        </w:trPr>
        <w:tc>
          <w:tcPr>
            <w:tcW w:w="2122" w:type="dxa"/>
            <w:shd w:val="clear" w:color="auto" w:fill="auto"/>
          </w:tcPr>
          <w:p w14:paraId="079C5AEF" w14:textId="77777777" w:rsidR="005C0C56" w:rsidRPr="00DE12A3" w:rsidRDefault="005C0C56" w:rsidP="005C0C56">
            <w:pPr>
              <w:pStyle w:val="NormalLeft"/>
            </w:pPr>
            <w:r w:rsidRPr="00DE12A3">
              <w:t>8.1.8.2: giriş akışı</w:t>
            </w:r>
          </w:p>
        </w:tc>
        <w:tc>
          <w:tcPr>
            <w:tcW w:w="6804" w:type="dxa"/>
            <w:shd w:val="clear" w:color="auto" w:fill="auto"/>
          </w:tcPr>
          <w:p w14:paraId="14592A50" w14:textId="77777777" w:rsidR="005C0C56" w:rsidRPr="00DE12A3" w:rsidRDefault="005C0C56" w:rsidP="005C0C56">
            <w:pPr>
              <w:pStyle w:val="NormalLeft"/>
            </w:pPr>
            <w:r w:rsidRPr="00DE12A3">
              <w:t>İlk kurulum üzerine ve büyük bakım sonrasında.</w:t>
            </w:r>
          </w:p>
        </w:tc>
      </w:tr>
      <w:tr w:rsidR="00DE12A3" w:rsidRPr="00DE12A3" w14:paraId="259C0386" w14:textId="77777777" w:rsidTr="009947CD">
        <w:trPr>
          <w:trHeight w:hRule="exact" w:val="1063"/>
        </w:trPr>
        <w:tc>
          <w:tcPr>
            <w:tcW w:w="2122" w:type="dxa"/>
            <w:shd w:val="clear" w:color="auto" w:fill="auto"/>
          </w:tcPr>
          <w:p w14:paraId="4567D9D3" w14:textId="77777777" w:rsidR="005C0C56" w:rsidRPr="00DE12A3" w:rsidRDefault="005C0C56" w:rsidP="005C0C56">
            <w:pPr>
              <w:pStyle w:val="NormalLeft"/>
            </w:pPr>
            <w:r w:rsidRPr="00DE12A3">
              <w:t>8.1.8.3: egzoz gazı akışı</w:t>
            </w:r>
          </w:p>
        </w:tc>
        <w:tc>
          <w:tcPr>
            <w:tcW w:w="6804" w:type="dxa"/>
            <w:shd w:val="clear" w:color="auto" w:fill="auto"/>
          </w:tcPr>
          <w:p w14:paraId="3C1C52A9" w14:textId="77777777" w:rsidR="005C0C56" w:rsidRPr="00DE12A3" w:rsidRDefault="005C0C56" w:rsidP="005C0C56">
            <w:pPr>
              <w:pStyle w:val="NormalLeft"/>
            </w:pPr>
            <w:r w:rsidRPr="00DE12A3">
              <w:t>İlk kurulum üzerine ve büyük bakım sonrasında.</w:t>
            </w:r>
          </w:p>
        </w:tc>
      </w:tr>
      <w:tr w:rsidR="00DE12A3" w:rsidRPr="00DE12A3" w14:paraId="1EB7511A" w14:textId="77777777" w:rsidTr="009947CD">
        <w:trPr>
          <w:trHeight w:hRule="exact" w:val="1261"/>
        </w:trPr>
        <w:tc>
          <w:tcPr>
            <w:tcW w:w="2122" w:type="dxa"/>
            <w:shd w:val="clear" w:color="auto" w:fill="auto"/>
          </w:tcPr>
          <w:p w14:paraId="6D3FF542" w14:textId="77777777" w:rsidR="005C0C56" w:rsidRPr="00DE12A3" w:rsidRDefault="005C0C56" w:rsidP="005C0C56">
            <w:pPr>
              <w:pStyle w:val="NormalLeft"/>
            </w:pPr>
            <w:r w:rsidRPr="00DE12A3">
              <w:lastRenderedPageBreak/>
              <w:t>8.1.8.4: seyreltilmiş egzoz gazı akışı (CVS ve PFD)</w:t>
            </w:r>
          </w:p>
        </w:tc>
        <w:tc>
          <w:tcPr>
            <w:tcW w:w="6804" w:type="dxa"/>
            <w:shd w:val="clear" w:color="auto" w:fill="auto"/>
          </w:tcPr>
          <w:p w14:paraId="49B0CD0D" w14:textId="77777777" w:rsidR="005C0C56" w:rsidRPr="00DE12A3" w:rsidRDefault="005C0C56" w:rsidP="005C0C56">
            <w:pPr>
              <w:pStyle w:val="NormalLeft"/>
            </w:pPr>
            <w:r w:rsidRPr="00DE12A3">
              <w:t>İlk kurulum üzerine ve büyük bakım sonrasında.</w:t>
            </w:r>
          </w:p>
        </w:tc>
      </w:tr>
      <w:tr w:rsidR="00DE12A3" w:rsidRPr="00DE12A3" w14:paraId="37C7C4CD" w14:textId="77777777" w:rsidTr="009947CD">
        <w:trPr>
          <w:trHeight w:hRule="exact" w:val="858"/>
        </w:trPr>
        <w:tc>
          <w:tcPr>
            <w:tcW w:w="2122" w:type="dxa"/>
          </w:tcPr>
          <w:p w14:paraId="79AF2311" w14:textId="77777777" w:rsidR="005C0C56" w:rsidRPr="00DE12A3" w:rsidRDefault="005C0C56" w:rsidP="005C0C56">
            <w:pPr>
              <w:pStyle w:val="NormalCentered"/>
            </w:pPr>
            <w:r w:rsidRPr="00DE12A3">
              <w:t>Kalibrasyon veya doğrulama tipi</w:t>
            </w:r>
          </w:p>
          <w:p w14:paraId="4EE12E19" w14:textId="77777777" w:rsidR="005C0C56" w:rsidRPr="00DE12A3" w:rsidRDefault="005C0C56" w:rsidP="005C0C56">
            <w:pPr>
              <w:spacing w:before="120" w:after="120"/>
              <w:ind w:left="601"/>
              <w:rPr>
                <w:rFonts w:cs="Times New Roman"/>
                <w:color w:val="auto"/>
                <w:sz w:val="20"/>
                <w:szCs w:val="20"/>
              </w:rPr>
            </w:pPr>
          </w:p>
        </w:tc>
        <w:tc>
          <w:tcPr>
            <w:tcW w:w="6804" w:type="dxa"/>
          </w:tcPr>
          <w:p w14:paraId="2FB256B7" w14:textId="77777777" w:rsidR="005C0C56" w:rsidRPr="00DE12A3" w:rsidRDefault="005C0C56" w:rsidP="005C0C56">
            <w:pPr>
              <w:pStyle w:val="NormalCentered"/>
            </w:pPr>
            <w:r w:rsidRPr="00DE12A3">
              <w:t>Asgari frekans (</w:t>
            </w:r>
            <w:r w:rsidRPr="00DE12A3">
              <w:rPr>
                <w:vertAlign w:val="superscript"/>
              </w:rPr>
              <w:t>a</w:t>
            </w:r>
            <w:r w:rsidRPr="00DE12A3">
              <w:t>)</w:t>
            </w:r>
          </w:p>
          <w:p w14:paraId="67B577F4" w14:textId="77777777" w:rsidR="005C0C56" w:rsidRPr="00DE12A3" w:rsidRDefault="005C0C56" w:rsidP="005C0C56">
            <w:pPr>
              <w:pStyle w:val="NormalCentered"/>
              <w:rPr>
                <w:i/>
                <w:iCs/>
              </w:rPr>
            </w:pPr>
          </w:p>
        </w:tc>
      </w:tr>
      <w:tr w:rsidR="00DE12A3" w:rsidRPr="00DE12A3" w14:paraId="715783C2" w14:textId="77777777" w:rsidTr="009947CD">
        <w:trPr>
          <w:trHeight w:hRule="exact" w:val="1233"/>
        </w:trPr>
        <w:tc>
          <w:tcPr>
            <w:tcW w:w="2122" w:type="dxa"/>
            <w:shd w:val="clear" w:color="auto" w:fill="auto"/>
          </w:tcPr>
          <w:p w14:paraId="05D5BB4D" w14:textId="77777777" w:rsidR="005C0C56" w:rsidRPr="00DE12A3" w:rsidRDefault="005C0C56" w:rsidP="005C0C56">
            <w:pPr>
              <w:pStyle w:val="NormalLeft"/>
            </w:pPr>
            <w:r w:rsidRPr="00DE12A3">
              <w:t>8.1.8.5: CVS/PFD ve toplu örnekleme cihazı doğrulaması</w:t>
            </w:r>
            <w:r w:rsidRPr="00DE12A3">
              <w:rPr>
                <w:vertAlign w:val="superscript"/>
              </w:rPr>
              <w:t>(b)</w:t>
            </w:r>
            <w:r w:rsidRPr="00DE12A3">
              <w:t xml:space="preserve"> </w:t>
            </w:r>
          </w:p>
        </w:tc>
        <w:tc>
          <w:tcPr>
            <w:tcW w:w="6804" w:type="dxa"/>
            <w:shd w:val="clear" w:color="auto" w:fill="auto"/>
          </w:tcPr>
          <w:p w14:paraId="737F2FBE" w14:textId="77777777" w:rsidR="005C0C56" w:rsidRPr="00DE12A3" w:rsidRDefault="005C0C56" w:rsidP="005C0C56">
            <w:pPr>
              <w:pStyle w:val="NormalLeft"/>
            </w:pPr>
            <w:r w:rsidRPr="00DE12A3">
              <w:t>İlk kurulum üzerine, testten 35 gün önce ve büyük bakım sonrasında. (Propan kontrolü)</w:t>
            </w:r>
          </w:p>
        </w:tc>
      </w:tr>
      <w:tr w:rsidR="00DE12A3" w:rsidRPr="00DE12A3" w14:paraId="261E9579" w14:textId="77777777" w:rsidTr="009947CD">
        <w:trPr>
          <w:trHeight w:hRule="exact" w:val="1561"/>
        </w:trPr>
        <w:tc>
          <w:tcPr>
            <w:tcW w:w="2122" w:type="dxa"/>
            <w:shd w:val="clear" w:color="auto" w:fill="auto"/>
          </w:tcPr>
          <w:p w14:paraId="45668D81" w14:textId="0502EC7B" w:rsidR="005C0C56" w:rsidRPr="00DE12A3" w:rsidRDefault="005C0C56" w:rsidP="005C0C56">
            <w:pPr>
              <w:pStyle w:val="NormalLeft"/>
            </w:pPr>
            <w:r w:rsidRPr="00DE12A3">
              <w:t>8.1.8.</w:t>
            </w:r>
            <w:r w:rsidR="00F32294" w:rsidRPr="00DE12A3">
              <w:t>7</w:t>
            </w:r>
            <w:r w:rsidRPr="00DE12A3">
              <w:t>: vakum kaçağı</w:t>
            </w:r>
          </w:p>
        </w:tc>
        <w:tc>
          <w:tcPr>
            <w:tcW w:w="6804" w:type="dxa"/>
            <w:shd w:val="clear" w:color="auto" w:fill="auto"/>
          </w:tcPr>
          <w:p w14:paraId="0A4F7A96" w14:textId="77777777" w:rsidR="005C0C56" w:rsidRPr="00DE12A3" w:rsidRDefault="005C0C56" w:rsidP="005C0C56">
            <w:pPr>
              <w:pStyle w:val="NormalLeft"/>
            </w:pPr>
            <w:r w:rsidRPr="00DE12A3">
              <w:t>Örnekleme sisteminin kurulumu üzerine. 7.1 bendi uyarınca her laboratuvar testinden önce : Her hizmet çevrimi dizisinin ilk test aralığının başlamasından önceki 8 saat içinde ve ön filtre değişiklikleri gibi bakımlar sonrasında.</w:t>
            </w:r>
          </w:p>
        </w:tc>
      </w:tr>
      <w:tr w:rsidR="00DE12A3" w:rsidRPr="00DE12A3" w14:paraId="34B565A4" w14:textId="77777777" w:rsidTr="009947CD">
        <w:trPr>
          <w:trHeight w:hRule="exact" w:val="792"/>
        </w:trPr>
        <w:tc>
          <w:tcPr>
            <w:tcW w:w="2122" w:type="dxa"/>
            <w:tcBorders>
              <w:bottom w:val="single" w:sz="4" w:space="0" w:color="auto"/>
            </w:tcBorders>
            <w:shd w:val="clear" w:color="auto" w:fill="auto"/>
          </w:tcPr>
          <w:p w14:paraId="7E5919A5" w14:textId="77777777" w:rsidR="005C0C56" w:rsidRPr="00DE12A3" w:rsidRDefault="005C0C56" w:rsidP="005C0C56">
            <w:pPr>
              <w:pStyle w:val="NormalLeft"/>
            </w:pPr>
            <w:r w:rsidRPr="00DE12A3">
              <w:t>8.1.9.1: CO</w:t>
            </w:r>
            <w:r w:rsidRPr="00DE12A3">
              <w:rPr>
                <w:vertAlign w:val="subscript"/>
              </w:rPr>
              <w:t>2</w:t>
            </w:r>
            <w:r w:rsidRPr="00DE12A3">
              <w:t xml:space="preserve"> NDIR H2O karışması</w:t>
            </w:r>
          </w:p>
        </w:tc>
        <w:tc>
          <w:tcPr>
            <w:tcW w:w="6804" w:type="dxa"/>
            <w:tcBorders>
              <w:bottom w:val="single" w:sz="4" w:space="0" w:color="auto"/>
            </w:tcBorders>
            <w:shd w:val="clear" w:color="auto" w:fill="auto"/>
          </w:tcPr>
          <w:p w14:paraId="3B39D537" w14:textId="77777777" w:rsidR="005C0C56" w:rsidRPr="00DE12A3" w:rsidRDefault="005C0C56" w:rsidP="005C0C56">
            <w:pPr>
              <w:pStyle w:val="NormalLeft"/>
            </w:pPr>
            <w:r w:rsidRPr="00DE12A3">
              <w:t>İlk kurulum üzerine ve büyük bakım sonrasında.</w:t>
            </w:r>
          </w:p>
        </w:tc>
      </w:tr>
      <w:tr w:rsidR="00DE12A3" w:rsidRPr="00DE12A3" w14:paraId="44E273CB" w14:textId="77777777" w:rsidTr="009947CD">
        <w:trPr>
          <w:trHeight w:hRule="exact" w:val="1145"/>
        </w:trPr>
        <w:tc>
          <w:tcPr>
            <w:tcW w:w="2122" w:type="dxa"/>
            <w:shd w:val="clear" w:color="auto" w:fill="auto"/>
          </w:tcPr>
          <w:p w14:paraId="2E090312" w14:textId="77777777" w:rsidR="005C0C56" w:rsidRPr="00DE12A3" w:rsidRDefault="005C0C56" w:rsidP="005C0C56">
            <w:pPr>
              <w:pStyle w:val="NormalLeft"/>
            </w:pPr>
            <w:r w:rsidRPr="00DE12A3">
              <w:t>8.1.9.2: CO NDIR CO</w:t>
            </w:r>
            <w:r w:rsidRPr="00DE12A3">
              <w:rPr>
                <w:vertAlign w:val="subscript"/>
              </w:rPr>
              <w:t>2</w:t>
            </w:r>
            <w:r w:rsidRPr="00DE12A3">
              <w:t xml:space="preserve"> ve H</w:t>
            </w:r>
            <w:r w:rsidRPr="00DE12A3">
              <w:rPr>
                <w:vertAlign w:val="subscript"/>
              </w:rPr>
              <w:t>2</w:t>
            </w:r>
            <w:r w:rsidRPr="00DE12A3">
              <w:t>O karışması</w:t>
            </w:r>
          </w:p>
        </w:tc>
        <w:tc>
          <w:tcPr>
            <w:tcW w:w="6804" w:type="dxa"/>
            <w:shd w:val="clear" w:color="auto" w:fill="auto"/>
          </w:tcPr>
          <w:p w14:paraId="2AC78FC0" w14:textId="77777777" w:rsidR="005C0C56" w:rsidRPr="00DE12A3" w:rsidRDefault="005C0C56" w:rsidP="005C0C56">
            <w:pPr>
              <w:pStyle w:val="NormalLeft"/>
            </w:pPr>
            <w:r w:rsidRPr="00DE12A3">
              <w:t>İlk kurulum üzerine ve büyük bakım sonrasında.</w:t>
            </w:r>
          </w:p>
        </w:tc>
      </w:tr>
      <w:tr w:rsidR="00DE12A3" w:rsidRPr="00DE12A3" w14:paraId="443C041F" w14:textId="77777777" w:rsidTr="009947CD">
        <w:trPr>
          <w:trHeight w:hRule="exact" w:val="1907"/>
        </w:trPr>
        <w:tc>
          <w:tcPr>
            <w:tcW w:w="2122" w:type="dxa"/>
            <w:shd w:val="clear" w:color="auto" w:fill="auto"/>
          </w:tcPr>
          <w:p w14:paraId="3E8111AE" w14:textId="77777777" w:rsidR="005C0C56" w:rsidRPr="00DE12A3" w:rsidRDefault="005C0C56" w:rsidP="005C0C56">
            <w:pPr>
              <w:pStyle w:val="NormalLeft"/>
            </w:pPr>
            <w:r w:rsidRPr="00DE12A3">
              <w:t>8.1.10.1: FID kalibrasyonu</w:t>
            </w:r>
          </w:p>
          <w:p w14:paraId="78901F5E" w14:textId="77777777" w:rsidR="005C0C56" w:rsidRPr="00DE12A3" w:rsidRDefault="005C0C56" w:rsidP="005C0C56">
            <w:pPr>
              <w:pStyle w:val="NormalLeft"/>
            </w:pPr>
            <w:r w:rsidRPr="00DE12A3">
              <w:t>HC FID optimizasyonu ve HC FID doğrulaması</w:t>
            </w:r>
          </w:p>
        </w:tc>
        <w:tc>
          <w:tcPr>
            <w:tcW w:w="6804" w:type="dxa"/>
            <w:shd w:val="clear" w:color="auto" w:fill="auto"/>
          </w:tcPr>
          <w:p w14:paraId="4C104D36" w14:textId="77777777" w:rsidR="005C0C56" w:rsidRPr="00DE12A3" w:rsidRDefault="005C0C56" w:rsidP="005C0C56">
            <w:pPr>
              <w:pStyle w:val="NormalLeft"/>
            </w:pPr>
            <w:r w:rsidRPr="00DE12A3">
              <w:t>CH</w:t>
            </w:r>
            <w:r w:rsidRPr="00DE12A3">
              <w:rPr>
                <w:vertAlign w:val="subscript"/>
              </w:rPr>
              <w:t>4</w:t>
            </w:r>
            <w:r w:rsidRPr="00DE12A3">
              <w:t xml:space="preserve"> tepkisini kalibre edin, optimize edin ve belirleyin : İlk kurulum üzerine ve büyük bakım sonrasında.</w:t>
            </w:r>
          </w:p>
          <w:p w14:paraId="286EF865" w14:textId="77777777" w:rsidR="005C0C56" w:rsidRPr="00DE12A3" w:rsidRDefault="005C0C56" w:rsidP="005C0C56">
            <w:pPr>
              <w:pStyle w:val="NormalLeft"/>
            </w:pPr>
            <w:r w:rsidRPr="00DE12A3">
              <w:t>CH</w:t>
            </w:r>
            <w:r w:rsidRPr="00DE12A3">
              <w:rPr>
                <w:vertAlign w:val="subscript"/>
              </w:rPr>
              <w:t xml:space="preserve">4 </w:t>
            </w:r>
            <w:r w:rsidRPr="00DE12A3">
              <w:t>tepkisini doğrulayın : İlk kurulum üzerine, testten 185 gün önce ve büyük bakım sonrasında.</w:t>
            </w:r>
          </w:p>
        </w:tc>
      </w:tr>
      <w:tr w:rsidR="00DE12A3" w:rsidRPr="00DE12A3" w14:paraId="6B0B8BEB" w14:textId="77777777" w:rsidTr="009947CD">
        <w:trPr>
          <w:trHeight w:hRule="exact" w:val="1907"/>
        </w:trPr>
        <w:tc>
          <w:tcPr>
            <w:tcW w:w="2122" w:type="dxa"/>
            <w:shd w:val="clear" w:color="auto" w:fill="auto"/>
          </w:tcPr>
          <w:p w14:paraId="4D76F366" w14:textId="77777777" w:rsidR="005C0C56" w:rsidRPr="00DE12A3" w:rsidRDefault="005C0C56" w:rsidP="005C0C56">
            <w:pPr>
              <w:pStyle w:val="NormalLeft"/>
            </w:pPr>
            <w:r w:rsidRPr="00DE12A3">
              <w:t>8.1.10.2: Ham egzoz gazı FID O</w:t>
            </w:r>
            <w:r w:rsidRPr="00DE12A3">
              <w:rPr>
                <w:vertAlign w:val="subscript"/>
              </w:rPr>
              <w:t xml:space="preserve">2 </w:t>
            </w:r>
            <w:r w:rsidRPr="00DE12A3">
              <w:t>karışması</w:t>
            </w:r>
          </w:p>
        </w:tc>
        <w:tc>
          <w:tcPr>
            <w:tcW w:w="6804" w:type="dxa"/>
            <w:shd w:val="clear" w:color="auto" w:fill="auto"/>
          </w:tcPr>
          <w:p w14:paraId="67647D99" w14:textId="77777777" w:rsidR="005C0C56" w:rsidRPr="00DE12A3" w:rsidRDefault="005C0C56" w:rsidP="005C0C56">
            <w:pPr>
              <w:pStyle w:val="NormalLeft"/>
              <w:rPr>
                <w:lang w:val="tr-TR"/>
              </w:rPr>
            </w:pPr>
            <w:r w:rsidRPr="00DE12A3">
              <w:rPr>
                <w:lang w:val="tr-TR"/>
              </w:rPr>
              <w:t>Tüm FID analiz cihazları için: İlk kurulum üzerine ve büyük bakım sonrasında.</w:t>
            </w:r>
          </w:p>
          <w:p w14:paraId="153345DA" w14:textId="77777777" w:rsidR="005C0C56" w:rsidRPr="00DE12A3" w:rsidRDefault="005C0C56" w:rsidP="005C0C56">
            <w:pPr>
              <w:pStyle w:val="NormalLeft"/>
            </w:pPr>
            <w:r w:rsidRPr="00DE12A3">
              <w:rPr>
                <w:lang w:val="tr-TR"/>
              </w:rPr>
              <w:t>THC FID analiz cihazları için: İlk kurulum üzerine, büyük bakım sonrasında ve 8.1.10.1 bendi uyarınca FID optimizasyonu sonrasında.</w:t>
            </w:r>
          </w:p>
        </w:tc>
      </w:tr>
      <w:tr w:rsidR="00DE12A3" w:rsidRPr="00DE12A3" w14:paraId="52CDC646" w14:textId="77777777" w:rsidTr="009947CD">
        <w:trPr>
          <w:trHeight w:hRule="exact" w:val="1144"/>
        </w:trPr>
        <w:tc>
          <w:tcPr>
            <w:tcW w:w="2122" w:type="dxa"/>
            <w:shd w:val="clear" w:color="auto" w:fill="auto"/>
          </w:tcPr>
          <w:p w14:paraId="35039A67" w14:textId="77777777" w:rsidR="005C0C56" w:rsidRPr="00DE12A3" w:rsidRDefault="005C0C56" w:rsidP="005C0C56">
            <w:pPr>
              <w:pStyle w:val="NormalLeft"/>
            </w:pPr>
            <w:r w:rsidRPr="00DE12A3">
              <w:t>8.1.11.1: CLD CO</w:t>
            </w:r>
            <w:r w:rsidRPr="00DE12A3">
              <w:rPr>
                <w:vertAlign w:val="subscript"/>
              </w:rPr>
              <w:t>2</w:t>
            </w:r>
            <w:r w:rsidRPr="00DE12A3">
              <w:t xml:space="preserve"> ve H2O soğutma</w:t>
            </w:r>
          </w:p>
        </w:tc>
        <w:tc>
          <w:tcPr>
            <w:tcW w:w="6804" w:type="dxa"/>
            <w:shd w:val="clear" w:color="auto" w:fill="auto"/>
          </w:tcPr>
          <w:p w14:paraId="664727C6" w14:textId="77777777" w:rsidR="005C0C56" w:rsidRPr="00DE12A3" w:rsidRDefault="005C0C56" w:rsidP="005C0C56">
            <w:pPr>
              <w:pStyle w:val="NormalLeft"/>
            </w:pPr>
            <w:r w:rsidRPr="00DE12A3">
              <w:rPr>
                <w:lang w:val="tr-TR"/>
              </w:rPr>
              <w:t>İlk kurulum üzerine ve büyük bakım sonrasında.</w:t>
            </w:r>
          </w:p>
        </w:tc>
      </w:tr>
      <w:tr w:rsidR="00DE12A3" w:rsidRPr="00DE12A3" w14:paraId="473881A4" w14:textId="77777777" w:rsidTr="009947CD">
        <w:trPr>
          <w:trHeight w:hRule="exact" w:val="1132"/>
        </w:trPr>
        <w:tc>
          <w:tcPr>
            <w:tcW w:w="2122" w:type="dxa"/>
            <w:shd w:val="clear" w:color="auto" w:fill="auto"/>
          </w:tcPr>
          <w:p w14:paraId="3B3C421F" w14:textId="77777777" w:rsidR="005C0C56" w:rsidRPr="00DE12A3" w:rsidRDefault="005C0C56" w:rsidP="005C0C56">
            <w:pPr>
              <w:pStyle w:val="NormalLeft"/>
            </w:pPr>
            <w:r w:rsidRPr="00DE12A3">
              <w:rPr>
                <w:lang w:val="tr-TR"/>
              </w:rPr>
              <w:t>8.1.11.3: NDUV HC ve H</w:t>
            </w:r>
            <w:r w:rsidRPr="00DE12A3">
              <w:rPr>
                <w:vertAlign w:val="subscript"/>
                <w:lang w:val="tr-TR"/>
              </w:rPr>
              <w:t>2</w:t>
            </w:r>
            <w:r w:rsidRPr="00DE12A3">
              <w:rPr>
                <w:lang w:val="tr-TR"/>
              </w:rPr>
              <w:t>O karışması</w:t>
            </w:r>
          </w:p>
        </w:tc>
        <w:tc>
          <w:tcPr>
            <w:tcW w:w="6804" w:type="dxa"/>
            <w:shd w:val="clear" w:color="auto" w:fill="auto"/>
          </w:tcPr>
          <w:p w14:paraId="11C17F2C" w14:textId="77777777" w:rsidR="005C0C56" w:rsidRPr="00DE12A3" w:rsidRDefault="005C0C56" w:rsidP="005C0C56">
            <w:pPr>
              <w:pStyle w:val="NormalLeft"/>
            </w:pPr>
            <w:r w:rsidRPr="00DE12A3">
              <w:rPr>
                <w:lang w:val="tr-TR"/>
              </w:rPr>
              <w:t>İlk kurulum üzerine ve büyük bakım sonrasında.</w:t>
            </w:r>
          </w:p>
        </w:tc>
      </w:tr>
      <w:tr w:rsidR="00DE12A3" w:rsidRPr="00DE12A3" w14:paraId="3025C7D0" w14:textId="77777777" w:rsidTr="009947CD">
        <w:trPr>
          <w:trHeight w:hRule="exact" w:val="1417"/>
        </w:trPr>
        <w:tc>
          <w:tcPr>
            <w:tcW w:w="2122" w:type="dxa"/>
            <w:shd w:val="clear" w:color="auto" w:fill="auto"/>
          </w:tcPr>
          <w:p w14:paraId="5DD2556E" w14:textId="77777777" w:rsidR="005C0C56" w:rsidRPr="00DE12A3" w:rsidRDefault="005C0C56" w:rsidP="005C0C56">
            <w:pPr>
              <w:pStyle w:val="NormalLeft"/>
            </w:pPr>
            <w:r w:rsidRPr="00DE12A3">
              <w:rPr>
                <w:lang w:val="tr-TR"/>
              </w:rPr>
              <w:t>8.1.11.4: Numune kurutucu NO</w:t>
            </w:r>
            <w:r w:rsidRPr="00DE12A3">
              <w:rPr>
                <w:vertAlign w:val="subscript"/>
                <w:lang w:val="tr-TR"/>
              </w:rPr>
              <w:t>2</w:t>
            </w:r>
            <w:r w:rsidRPr="00DE12A3">
              <w:rPr>
                <w:lang w:val="tr-TR"/>
              </w:rPr>
              <w:t xml:space="preserve"> penetrasyonu (soğutucu)</w:t>
            </w:r>
          </w:p>
        </w:tc>
        <w:tc>
          <w:tcPr>
            <w:tcW w:w="6804" w:type="dxa"/>
            <w:shd w:val="clear" w:color="auto" w:fill="auto"/>
          </w:tcPr>
          <w:p w14:paraId="69244988" w14:textId="77777777" w:rsidR="005C0C56" w:rsidRPr="00DE12A3" w:rsidRDefault="005C0C56" w:rsidP="005C0C56">
            <w:pPr>
              <w:pStyle w:val="NormalLeft"/>
            </w:pPr>
            <w:r w:rsidRPr="00DE12A3">
              <w:rPr>
                <w:lang w:val="tr-TR"/>
              </w:rPr>
              <w:t>İlk kurulum üzerine ve büyük bakım sonrasında.</w:t>
            </w:r>
          </w:p>
        </w:tc>
      </w:tr>
      <w:tr w:rsidR="00DE12A3" w:rsidRPr="00DE12A3" w14:paraId="7A23D94F" w14:textId="77777777" w:rsidTr="009947CD">
        <w:trPr>
          <w:trHeight w:hRule="exact" w:val="1140"/>
        </w:trPr>
        <w:tc>
          <w:tcPr>
            <w:tcW w:w="2122" w:type="dxa"/>
            <w:shd w:val="clear" w:color="auto" w:fill="auto"/>
          </w:tcPr>
          <w:p w14:paraId="346F557F" w14:textId="77777777" w:rsidR="005C0C56" w:rsidRPr="00DE12A3" w:rsidRDefault="005C0C56" w:rsidP="005C0C56">
            <w:pPr>
              <w:pStyle w:val="NormalLeft"/>
              <w:rPr>
                <w:lang w:val="tr-TR"/>
              </w:rPr>
            </w:pPr>
            <w:r w:rsidRPr="00DE12A3">
              <w:rPr>
                <w:lang w:val="tr-TR"/>
              </w:rPr>
              <w:lastRenderedPageBreak/>
              <w:t>8.1.11.5: NO</w:t>
            </w:r>
            <w:r w:rsidRPr="00DE12A3">
              <w:rPr>
                <w:vertAlign w:val="subscript"/>
                <w:lang w:val="tr-TR"/>
              </w:rPr>
              <w:t>2</w:t>
            </w:r>
            <w:r w:rsidRPr="00DE12A3">
              <w:rPr>
                <w:lang w:val="tr-TR"/>
              </w:rPr>
              <w:t>-NO konvertörü dönüştürmesi</w:t>
            </w:r>
          </w:p>
        </w:tc>
        <w:tc>
          <w:tcPr>
            <w:tcW w:w="6804" w:type="dxa"/>
            <w:shd w:val="clear" w:color="auto" w:fill="auto"/>
          </w:tcPr>
          <w:p w14:paraId="2E2FC84C" w14:textId="77777777" w:rsidR="005C0C56" w:rsidRPr="00DE12A3" w:rsidRDefault="005C0C56" w:rsidP="005C0C56">
            <w:pPr>
              <w:pStyle w:val="NormalLeft"/>
              <w:rPr>
                <w:lang w:val="tr-TR"/>
              </w:rPr>
            </w:pPr>
            <w:r w:rsidRPr="00DE12A3">
              <w:rPr>
                <w:lang w:val="tr-TR"/>
              </w:rPr>
              <w:t>İlk kurulum üzerine, testten 35 gün önce ve büyük bakım sonrasında.</w:t>
            </w:r>
          </w:p>
        </w:tc>
      </w:tr>
      <w:tr w:rsidR="00DE12A3" w:rsidRPr="00DE12A3" w14:paraId="238B7DA1" w14:textId="77777777" w:rsidTr="009947CD">
        <w:trPr>
          <w:trHeight w:hRule="exact" w:val="858"/>
        </w:trPr>
        <w:tc>
          <w:tcPr>
            <w:tcW w:w="2122" w:type="dxa"/>
          </w:tcPr>
          <w:p w14:paraId="4C549366" w14:textId="77777777" w:rsidR="005C0C56" w:rsidRPr="00DE12A3" w:rsidRDefault="005C0C56" w:rsidP="005C0C56">
            <w:pPr>
              <w:pStyle w:val="NormalCentered"/>
            </w:pPr>
            <w:r w:rsidRPr="00DE12A3">
              <w:t>Kalibrasyon veya doğrulama tipi</w:t>
            </w:r>
          </w:p>
          <w:p w14:paraId="63A798E1" w14:textId="77777777" w:rsidR="005C0C56" w:rsidRPr="00DE12A3" w:rsidRDefault="005C0C56" w:rsidP="005C0C56">
            <w:pPr>
              <w:spacing w:before="120" w:after="120"/>
              <w:ind w:left="601"/>
              <w:rPr>
                <w:rFonts w:cs="Times New Roman"/>
                <w:color w:val="auto"/>
                <w:sz w:val="20"/>
                <w:szCs w:val="20"/>
              </w:rPr>
            </w:pPr>
          </w:p>
        </w:tc>
        <w:tc>
          <w:tcPr>
            <w:tcW w:w="6804" w:type="dxa"/>
          </w:tcPr>
          <w:p w14:paraId="2FA0CE00" w14:textId="77777777" w:rsidR="005C0C56" w:rsidRPr="00DE12A3" w:rsidRDefault="005C0C56" w:rsidP="005C0C56">
            <w:pPr>
              <w:pStyle w:val="NormalCentered"/>
            </w:pPr>
            <w:r w:rsidRPr="00DE12A3">
              <w:t>Asgari frekans (</w:t>
            </w:r>
            <w:r w:rsidRPr="00DE12A3">
              <w:rPr>
                <w:vertAlign w:val="superscript"/>
              </w:rPr>
              <w:t>a</w:t>
            </w:r>
            <w:r w:rsidRPr="00DE12A3">
              <w:t>)</w:t>
            </w:r>
          </w:p>
          <w:p w14:paraId="470B9CCF" w14:textId="77777777" w:rsidR="005C0C56" w:rsidRPr="00DE12A3" w:rsidRDefault="005C0C56" w:rsidP="005C0C56">
            <w:pPr>
              <w:pStyle w:val="NormalCentered"/>
              <w:rPr>
                <w:i/>
                <w:iCs/>
              </w:rPr>
            </w:pPr>
          </w:p>
        </w:tc>
      </w:tr>
      <w:tr w:rsidR="00DE12A3" w:rsidRPr="00DE12A3" w14:paraId="4F68AE80" w14:textId="77777777" w:rsidTr="009947CD">
        <w:trPr>
          <w:trHeight w:hRule="exact" w:val="1270"/>
        </w:trPr>
        <w:tc>
          <w:tcPr>
            <w:tcW w:w="2122" w:type="dxa"/>
            <w:shd w:val="clear" w:color="auto" w:fill="auto"/>
          </w:tcPr>
          <w:p w14:paraId="395F4774" w14:textId="77777777" w:rsidR="005C0C56" w:rsidRPr="00DE12A3" w:rsidRDefault="005C0C56" w:rsidP="005C0C56">
            <w:pPr>
              <w:pStyle w:val="NormalLeft"/>
              <w:rPr>
                <w:lang w:val="tr-TR"/>
              </w:rPr>
            </w:pPr>
            <w:r w:rsidRPr="00DE12A3">
              <w:rPr>
                <w:lang w:val="tr-TR"/>
              </w:rPr>
              <w:t>8.1.12: Numune kurutucu doğrulaması</w:t>
            </w:r>
          </w:p>
        </w:tc>
        <w:tc>
          <w:tcPr>
            <w:tcW w:w="6804" w:type="dxa"/>
            <w:shd w:val="clear" w:color="auto" w:fill="auto"/>
          </w:tcPr>
          <w:p w14:paraId="17450F4D" w14:textId="77777777" w:rsidR="005C0C56" w:rsidRPr="00DE12A3" w:rsidRDefault="005C0C56" w:rsidP="005C0C56">
            <w:pPr>
              <w:pStyle w:val="NormalLeft"/>
              <w:rPr>
                <w:lang w:val="tr-TR"/>
              </w:rPr>
            </w:pPr>
            <w:r w:rsidRPr="00DE12A3">
              <w:rPr>
                <w:lang w:val="tr-TR"/>
              </w:rPr>
              <w:t>Termal soğutucular için: Kurulum üzerine ve büyük bakım sonrasında. Ozmotik membranlar için: Kurulum üzerine, testten sonraki 35 gün içinde ve büyük bakım sonrasında.</w:t>
            </w:r>
          </w:p>
        </w:tc>
      </w:tr>
      <w:tr w:rsidR="00DE12A3" w:rsidRPr="00DE12A3" w14:paraId="7757A1DC" w14:textId="77777777" w:rsidTr="009947CD">
        <w:trPr>
          <w:trHeight w:hRule="exact" w:val="2560"/>
        </w:trPr>
        <w:tc>
          <w:tcPr>
            <w:tcW w:w="2122" w:type="dxa"/>
            <w:tcBorders>
              <w:bottom w:val="single" w:sz="4" w:space="0" w:color="auto"/>
            </w:tcBorders>
            <w:shd w:val="clear" w:color="auto" w:fill="auto"/>
          </w:tcPr>
          <w:p w14:paraId="7DFB40CF" w14:textId="77777777" w:rsidR="005C0C56" w:rsidRPr="00DE12A3" w:rsidRDefault="005C0C56" w:rsidP="005C0C56">
            <w:pPr>
              <w:pStyle w:val="NormalLeft"/>
              <w:rPr>
                <w:lang w:val="tr-TR"/>
              </w:rPr>
            </w:pPr>
            <w:r w:rsidRPr="00DE12A3">
              <w:rPr>
                <w:lang w:val="tr-TR"/>
              </w:rPr>
              <w:t>8.1.13.1: PM dengesi ve tartım</w:t>
            </w:r>
          </w:p>
        </w:tc>
        <w:tc>
          <w:tcPr>
            <w:tcW w:w="6804" w:type="dxa"/>
            <w:tcBorders>
              <w:bottom w:val="single" w:sz="4" w:space="0" w:color="auto"/>
            </w:tcBorders>
            <w:shd w:val="clear" w:color="auto" w:fill="auto"/>
          </w:tcPr>
          <w:p w14:paraId="2AF23D03" w14:textId="77777777" w:rsidR="005C0C56" w:rsidRPr="00DE12A3" w:rsidRDefault="005C0C56" w:rsidP="005C0C56">
            <w:pPr>
              <w:pStyle w:val="NormalLeft"/>
              <w:rPr>
                <w:lang w:val="tr-TR"/>
              </w:rPr>
            </w:pPr>
            <w:r w:rsidRPr="00DE12A3">
              <w:rPr>
                <w:lang w:val="tr-TR"/>
              </w:rPr>
              <w:t>Bağımsız doğrulama: İlk kurulum üzerine, testten 370 gün önce ve büyük bakım sonrasında.</w:t>
            </w:r>
          </w:p>
          <w:p w14:paraId="2A1B60A7" w14:textId="77777777" w:rsidR="005C0C56" w:rsidRPr="00DE12A3" w:rsidRDefault="005C0C56" w:rsidP="005C0C56">
            <w:pPr>
              <w:pStyle w:val="NormalLeft"/>
              <w:rPr>
                <w:lang w:val="tr-TR"/>
              </w:rPr>
            </w:pPr>
            <w:r w:rsidRPr="00DE12A3">
              <w:rPr>
                <w:lang w:val="tr-TR"/>
              </w:rPr>
              <w:t>Sıfır, ayar ve referans numune doğrulamaları: Tartımdan sonraki 12 saat içinde ve büyük bakım sonrasında.</w:t>
            </w:r>
          </w:p>
        </w:tc>
      </w:tr>
      <w:tr w:rsidR="00DE12A3" w:rsidRPr="00DE12A3" w14:paraId="35FDFAAC" w14:textId="77777777" w:rsidTr="009947CD">
        <w:trPr>
          <w:trHeight w:hRule="exact" w:val="1846"/>
        </w:trPr>
        <w:tc>
          <w:tcPr>
            <w:tcW w:w="8926" w:type="dxa"/>
            <w:gridSpan w:val="2"/>
            <w:tcBorders>
              <w:left w:val="nil"/>
              <w:right w:val="nil"/>
            </w:tcBorders>
            <w:shd w:val="clear" w:color="auto" w:fill="auto"/>
          </w:tcPr>
          <w:p w14:paraId="77E961CA" w14:textId="77777777" w:rsidR="005C0C56" w:rsidRPr="00DE12A3" w:rsidRDefault="005C0C56" w:rsidP="005C0C56">
            <w:pPr>
              <w:pStyle w:val="Tabloyazs0"/>
              <w:shd w:val="clear" w:color="auto" w:fill="auto"/>
              <w:spacing w:before="120" w:after="120" w:line="240" w:lineRule="auto"/>
              <w:ind w:left="284" w:hanging="284"/>
              <w:jc w:val="both"/>
              <w:rPr>
                <w:color w:val="auto"/>
                <w:sz w:val="24"/>
                <w:szCs w:val="24"/>
              </w:rPr>
            </w:pPr>
            <w:r w:rsidRPr="00DE12A3">
              <w:rPr>
                <w:color w:val="auto"/>
                <w:sz w:val="24"/>
                <w:szCs w:val="24"/>
              </w:rPr>
              <w:t>(</w:t>
            </w:r>
            <w:r w:rsidRPr="00DE12A3">
              <w:rPr>
                <w:color w:val="auto"/>
                <w:sz w:val="24"/>
                <w:szCs w:val="24"/>
                <w:vertAlign w:val="superscript"/>
              </w:rPr>
              <w:t>a</w:t>
            </w:r>
            <w:r w:rsidRPr="00DE12A3">
              <w:rPr>
                <w:color w:val="auto"/>
                <w:sz w:val="24"/>
                <w:szCs w:val="24"/>
              </w:rPr>
              <w:t>)</w:t>
            </w:r>
            <w:r w:rsidRPr="00DE12A3">
              <w:rPr>
                <w:color w:val="auto"/>
                <w:sz w:val="24"/>
                <w:szCs w:val="24"/>
              </w:rPr>
              <w:tab/>
              <w:t>Ölçüm sistemi imalatçısının talimatlarına ve iyi mühendislik kararına göre kalibrasyonları ve doğrulamaları daha sık yapın.</w:t>
            </w:r>
          </w:p>
          <w:p w14:paraId="4F597FBD" w14:textId="77777777" w:rsidR="005C0C56" w:rsidRPr="00DE12A3" w:rsidRDefault="005C0C56" w:rsidP="005C0C56">
            <w:pPr>
              <w:pStyle w:val="Tabloyazs0"/>
              <w:shd w:val="clear" w:color="auto" w:fill="auto"/>
              <w:spacing w:before="120" w:after="120" w:line="240" w:lineRule="auto"/>
              <w:ind w:left="284" w:hanging="284"/>
              <w:jc w:val="both"/>
              <w:rPr>
                <w:color w:val="auto"/>
                <w:sz w:val="24"/>
                <w:szCs w:val="24"/>
              </w:rPr>
            </w:pPr>
            <w:r w:rsidRPr="00DE12A3">
              <w:rPr>
                <w:color w:val="auto"/>
                <w:sz w:val="24"/>
                <w:szCs w:val="24"/>
              </w:rPr>
              <w:t>(</w:t>
            </w:r>
            <w:r w:rsidRPr="00DE12A3">
              <w:rPr>
                <w:color w:val="auto"/>
                <w:sz w:val="24"/>
                <w:szCs w:val="24"/>
                <w:vertAlign w:val="superscript"/>
              </w:rPr>
              <w:t>b</w:t>
            </w:r>
            <w:r w:rsidRPr="00DE12A3">
              <w:rPr>
                <w:color w:val="auto"/>
                <w:sz w:val="24"/>
                <w:szCs w:val="24"/>
              </w:rPr>
              <w:t>)</w:t>
            </w:r>
            <w:r w:rsidRPr="00DE12A3">
              <w:rPr>
                <w:color w:val="auto"/>
                <w:sz w:val="24"/>
                <w:szCs w:val="24"/>
              </w:rPr>
              <w:tab/>
              <w:t>CVS doğrulaması; giriş havasına, yakıta ve seyreltik egzoz gazına ait karbonun veya oksijenin kimyasal dengesine bağlı olarak ± %2 aralığı içinde uyan sistemler için şart değildir.</w:t>
            </w:r>
          </w:p>
          <w:p w14:paraId="37864B27" w14:textId="77777777" w:rsidR="005C0C56" w:rsidRPr="00DE12A3" w:rsidRDefault="005C0C56" w:rsidP="005C0C56">
            <w:pPr>
              <w:pStyle w:val="NormalLeft"/>
              <w:rPr>
                <w:lang w:val="tr-TR"/>
              </w:rPr>
            </w:pPr>
          </w:p>
        </w:tc>
      </w:tr>
    </w:tbl>
    <w:p w14:paraId="56CF80BD" w14:textId="77777777" w:rsidR="002D7B36" w:rsidRPr="00DE12A3" w:rsidRDefault="002D7B36" w:rsidP="00C917D6">
      <w:pPr>
        <w:tabs>
          <w:tab w:val="right" w:pos="1344"/>
          <w:tab w:val="right" w:pos="1598"/>
          <w:tab w:val="left" w:pos="1632"/>
        </w:tabs>
        <w:spacing w:before="120" w:after="120"/>
        <w:ind w:left="709" w:hanging="709"/>
        <w:jc w:val="both"/>
        <w:rPr>
          <w:rFonts w:cs="Times New Roman"/>
          <w:color w:val="auto"/>
          <w:sz w:val="20"/>
          <w:szCs w:val="20"/>
        </w:rPr>
      </w:pPr>
    </w:p>
    <w:p w14:paraId="0BA7D2CC" w14:textId="77777777" w:rsidR="002D7B36" w:rsidRPr="00DE12A3" w:rsidRDefault="002D7B36" w:rsidP="00C917D6">
      <w:pPr>
        <w:tabs>
          <w:tab w:val="right" w:pos="1344"/>
          <w:tab w:val="right" w:pos="1598"/>
          <w:tab w:val="left" w:pos="1632"/>
        </w:tabs>
        <w:spacing w:before="120" w:after="120"/>
        <w:ind w:left="709" w:hanging="709"/>
        <w:jc w:val="both"/>
        <w:rPr>
          <w:rFonts w:cs="Times New Roman"/>
          <w:color w:val="auto"/>
          <w:sz w:val="20"/>
          <w:szCs w:val="20"/>
        </w:rPr>
      </w:pPr>
    </w:p>
    <w:p w14:paraId="404EA324" w14:textId="77777777" w:rsidR="00321302" w:rsidRPr="00DE12A3" w:rsidRDefault="00321302" w:rsidP="00C917D6">
      <w:pPr>
        <w:pStyle w:val="Gvdemetni0"/>
        <w:shd w:val="clear" w:color="auto" w:fill="auto"/>
        <w:tabs>
          <w:tab w:val="left" w:pos="934"/>
          <w:tab w:val="right" w:pos="4488"/>
        </w:tabs>
        <w:spacing w:before="120" w:after="120" w:line="240" w:lineRule="auto"/>
        <w:ind w:firstLine="0"/>
        <w:jc w:val="both"/>
        <w:rPr>
          <w:sz w:val="24"/>
          <w:szCs w:val="24"/>
        </w:rPr>
      </w:pPr>
    </w:p>
    <w:p w14:paraId="23D57D69" w14:textId="77777777" w:rsidR="00321302" w:rsidRPr="00DE12A3" w:rsidRDefault="00321302" w:rsidP="00C917D6">
      <w:pPr>
        <w:pStyle w:val="Gvdemetni0"/>
        <w:shd w:val="clear" w:color="auto" w:fill="auto"/>
        <w:tabs>
          <w:tab w:val="left" w:pos="934"/>
          <w:tab w:val="right" w:pos="4488"/>
        </w:tabs>
        <w:spacing w:before="120" w:after="120" w:line="240" w:lineRule="auto"/>
        <w:ind w:firstLine="0"/>
        <w:jc w:val="both"/>
        <w:rPr>
          <w:sz w:val="24"/>
          <w:szCs w:val="24"/>
        </w:rPr>
      </w:pPr>
    </w:p>
    <w:p w14:paraId="5038FD1C" w14:textId="77777777" w:rsidR="00321302" w:rsidRPr="00DE12A3" w:rsidRDefault="00321302" w:rsidP="00C917D6">
      <w:pPr>
        <w:pStyle w:val="Gvdemetni0"/>
        <w:shd w:val="clear" w:color="auto" w:fill="auto"/>
        <w:tabs>
          <w:tab w:val="left" w:pos="934"/>
          <w:tab w:val="right" w:pos="4488"/>
        </w:tabs>
        <w:spacing w:before="120" w:after="120" w:line="240" w:lineRule="auto"/>
        <w:ind w:firstLine="0"/>
        <w:jc w:val="both"/>
        <w:rPr>
          <w:sz w:val="24"/>
          <w:szCs w:val="24"/>
        </w:rPr>
      </w:pPr>
    </w:p>
    <w:p w14:paraId="3552FE74" w14:textId="77777777" w:rsidR="00321302" w:rsidRPr="00DE12A3" w:rsidRDefault="00321302" w:rsidP="00C917D6">
      <w:pPr>
        <w:pStyle w:val="Gvdemetni0"/>
        <w:shd w:val="clear" w:color="auto" w:fill="auto"/>
        <w:tabs>
          <w:tab w:val="left" w:pos="934"/>
          <w:tab w:val="right" w:pos="4488"/>
        </w:tabs>
        <w:spacing w:before="120" w:after="120" w:line="240" w:lineRule="auto"/>
        <w:ind w:firstLine="0"/>
        <w:jc w:val="both"/>
        <w:rPr>
          <w:sz w:val="24"/>
          <w:szCs w:val="24"/>
        </w:rPr>
      </w:pPr>
    </w:p>
    <w:p w14:paraId="4BF87577" w14:textId="77777777" w:rsidR="00321302" w:rsidRPr="00DE12A3" w:rsidRDefault="00321302" w:rsidP="00C917D6">
      <w:pPr>
        <w:pStyle w:val="Gvdemetni0"/>
        <w:shd w:val="clear" w:color="auto" w:fill="auto"/>
        <w:tabs>
          <w:tab w:val="left" w:pos="934"/>
          <w:tab w:val="right" w:pos="4488"/>
        </w:tabs>
        <w:spacing w:before="120" w:after="120" w:line="240" w:lineRule="auto"/>
        <w:ind w:firstLine="0"/>
        <w:jc w:val="both"/>
        <w:rPr>
          <w:sz w:val="24"/>
          <w:szCs w:val="24"/>
        </w:rPr>
      </w:pPr>
    </w:p>
    <w:p w14:paraId="15BF4175" w14:textId="77777777" w:rsidR="00321302" w:rsidRPr="00DE12A3" w:rsidRDefault="00321302" w:rsidP="00C917D6">
      <w:pPr>
        <w:pStyle w:val="Gvdemetni0"/>
        <w:shd w:val="clear" w:color="auto" w:fill="auto"/>
        <w:tabs>
          <w:tab w:val="left" w:pos="934"/>
          <w:tab w:val="right" w:pos="4488"/>
        </w:tabs>
        <w:spacing w:before="120" w:after="120" w:line="240" w:lineRule="auto"/>
        <w:ind w:firstLine="0"/>
        <w:jc w:val="both"/>
        <w:rPr>
          <w:sz w:val="24"/>
          <w:szCs w:val="24"/>
        </w:rPr>
      </w:pPr>
    </w:p>
    <w:p w14:paraId="653ED635" w14:textId="77777777" w:rsidR="00321302" w:rsidRPr="00DE12A3" w:rsidRDefault="00321302" w:rsidP="00C917D6">
      <w:pPr>
        <w:pStyle w:val="Gvdemetni0"/>
        <w:shd w:val="clear" w:color="auto" w:fill="auto"/>
        <w:tabs>
          <w:tab w:val="left" w:pos="934"/>
          <w:tab w:val="right" w:pos="4488"/>
        </w:tabs>
        <w:spacing w:before="120" w:after="120" w:line="240" w:lineRule="auto"/>
        <w:ind w:firstLine="0"/>
        <w:jc w:val="both"/>
        <w:rPr>
          <w:sz w:val="24"/>
          <w:szCs w:val="24"/>
        </w:rPr>
      </w:pPr>
    </w:p>
    <w:p w14:paraId="36AC8BA4" w14:textId="77777777" w:rsidR="00321302" w:rsidRPr="00DE12A3" w:rsidRDefault="00321302" w:rsidP="00C917D6">
      <w:pPr>
        <w:pStyle w:val="Gvdemetni0"/>
        <w:shd w:val="clear" w:color="auto" w:fill="auto"/>
        <w:tabs>
          <w:tab w:val="left" w:pos="934"/>
          <w:tab w:val="right" w:pos="4488"/>
        </w:tabs>
        <w:spacing w:before="120" w:after="120" w:line="240" w:lineRule="auto"/>
        <w:ind w:firstLine="0"/>
        <w:jc w:val="both"/>
        <w:rPr>
          <w:sz w:val="24"/>
          <w:szCs w:val="24"/>
        </w:rPr>
      </w:pPr>
    </w:p>
    <w:p w14:paraId="1475EAFF" w14:textId="77777777" w:rsidR="00321302" w:rsidRPr="00DE12A3" w:rsidRDefault="00321302" w:rsidP="00C917D6">
      <w:pPr>
        <w:pStyle w:val="Gvdemetni0"/>
        <w:shd w:val="clear" w:color="auto" w:fill="auto"/>
        <w:tabs>
          <w:tab w:val="left" w:pos="934"/>
          <w:tab w:val="right" w:pos="4488"/>
        </w:tabs>
        <w:spacing w:before="120" w:after="120" w:line="240" w:lineRule="auto"/>
        <w:ind w:firstLine="0"/>
        <w:jc w:val="both"/>
        <w:rPr>
          <w:sz w:val="24"/>
          <w:szCs w:val="24"/>
        </w:rPr>
      </w:pPr>
    </w:p>
    <w:p w14:paraId="0AC4F901" w14:textId="77777777" w:rsidR="00321302" w:rsidRPr="00DE12A3" w:rsidRDefault="00321302" w:rsidP="00C917D6">
      <w:pPr>
        <w:pStyle w:val="Gvdemetni0"/>
        <w:shd w:val="clear" w:color="auto" w:fill="auto"/>
        <w:tabs>
          <w:tab w:val="left" w:pos="934"/>
          <w:tab w:val="right" w:pos="4488"/>
        </w:tabs>
        <w:spacing w:before="120" w:after="120" w:line="240" w:lineRule="auto"/>
        <w:ind w:firstLine="0"/>
        <w:jc w:val="both"/>
        <w:rPr>
          <w:sz w:val="24"/>
          <w:szCs w:val="24"/>
        </w:rPr>
      </w:pPr>
    </w:p>
    <w:p w14:paraId="41914FF7" w14:textId="77777777" w:rsidR="00321302" w:rsidRPr="00DE12A3" w:rsidRDefault="00321302" w:rsidP="00C917D6">
      <w:pPr>
        <w:pStyle w:val="Gvdemetni0"/>
        <w:shd w:val="clear" w:color="auto" w:fill="auto"/>
        <w:tabs>
          <w:tab w:val="left" w:pos="934"/>
          <w:tab w:val="right" w:pos="4488"/>
        </w:tabs>
        <w:spacing w:before="120" w:after="120" w:line="240" w:lineRule="auto"/>
        <w:ind w:firstLine="0"/>
        <w:jc w:val="both"/>
        <w:rPr>
          <w:sz w:val="24"/>
          <w:szCs w:val="24"/>
        </w:rPr>
      </w:pPr>
    </w:p>
    <w:p w14:paraId="7EB57DD5" w14:textId="77777777" w:rsidR="00321302" w:rsidRPr="00DE12A3" w:rsidRDefault="00321302" w:rsidP="00C917D6">
      <w:pPr>
        <w:pStyle w:val="Gvdemetni0"/>
        <w:shd w:val="clear" w:color="auto" w:fill="auto"/>
        <w:tabs>
          <w:tab w:val="left" w:pos="934"/>
          <w:tab w:val="right" w:pos="4488"/>
        </w:tabs>
        <w:spacing w:before="120" w:after="120" w:line="240" w:lineRule="auto"/>
        <w:ind w:firstLine="0"/>
        <w:jc w:val="both"/>
        <w:rPr>
          <w:sz w:val="24"/>
          <w:szCs w:val="24"/>
        </w:rPr>
      </w:pPr>
    </w:p>
    <w:p w14:paraId="13A9630C" w14:textId="77777777" w:rsidR="00321302" w:rsidRPr="00DE12A3" w:rsidRDefault="00321302" w:rsidP="00C917D6">
      <w:pPr>
        <w:pStyle w:val="Gvdemetni0"/>
        <w:shd w:val="clear" w:color="auto" w:fill="auto"/>
        <w:tabs>
          <w:tab w:val="left" w:pos="934"/>
          <w:tab w:val="right" w:pos="4488"/>
        </w:tabs>
        <w:spacing w:before="120" w:after="120" w:line="240" w:lineRule="auto"/>
        <w:ind w:firstLine="0"/>
        <w:jc w:val="both"/>
        <w:rPr>
          <w:sz w:val="24"/>
          <w:szCs w:val="24"/>
        </w:rPr>
      </w:pPr>
    </w:p>
    <w:p w14:paraId="644970D7" w14:textId="77777777" w:rsidR="00321302" w:rsidRPr="00DE12A3" w:rsidRDefault="00321302" w:rsidP="00C917D6">
      <w:pPr>
        <w:pStyle w:val="Gvdemetni0"/>
        <w:shd w:val="clear" w:color="auto" w:fill="auto"/>
        <w:tabs>
          <w:tab w:val="left" w:pos="934"/>
          <w:tab w:val="right" w:pos="4488"/>
        </w:tabs>
        <w:spacing w:before="120" w:after="120" w:line="240" w:lineRule="auto"/>
        <w:ind w:firstLine="0"/>
        <w:jc w:val="both"/>
        <w:rPr>
          <w:sz w:val="24"/>
          <w:szCs w:val="24"/>
        </w:rPr>
      </w:pPr>
    </w:p>
    <w:p w14:paraId="707ACBC2" w14:textId="77777777" w:rsidR="00321302" w:rsidRPr="00DE12A3" w:rsidRDefault="00321302" w:rsidP="00C917D6">
      <w:pPr>
        <w:pStyle w:val="Gvdemetni0"/>
        <w:shd w:val="clear" w:color="auto" w:fill="auto"/>
        <w:tabs>
          <w:tab w:val="left" w:pos="934"/>
          <w:tab w:val="right" w:pos="4488"/>
        </w:tabs>
        <w:spacing w:before="120" w:after="120" w:line="240" w:lineRule="auto"/>
        <w:ind w:firstLine="0"/>
        <w:jc w:val="both"/>
        <w:rPr>
          <w:sz w:val="24"/>
          <w:szCs w:val="24"/>
        </w:rPr>
      </w:pPr>
    </w:p>
    <w:p w14:paraId="31E7C1A5" w14:textId="77777777" w:rsidR="00321302" w:rsidRPr="00DE12A3" w:rsidRDefault="00321302" w:rsidP="00C917D6">
      <w:pPr>
        <w:pStyle w:val="Gvdemetni0"/>
        <w:shd w:val="clear" w:color="auto" w:fill="auto"/>
        <w:tabs>
          <w:tab w:val="left" w:pos="934"/>
          <w:tab w:val="right" w:pos="4488"/>
        </w:tabs>
        <w:spacing w:before="120" w:after="120" w:line="240" w:lineRule="auto"/>
        <w:ind w:firstLine="0"/>
        <w:jc w:val="both"/>
        <w:rPr>
          <w:sz w:val="24"/>
          <w:szCs w:val="24"/>
        </w:rPr>
      </w:pPr>
    </w:p>
    <w:p w14:paraId="22FCADA3" w14:textId="77777777" w:rsidR="00321302" w:rsidRPr="00DE12A3" w:rsidRDefault="00321302" w:rsidP="00C917D6">
      <w:pPr>
        <w:pStyle w:val="Gvdemetni0"/>
        <w:shd w:val="clear" w:color="auto" w:fill="auto"/>
        <w:tabs>
          <w:tab w:val="left" w:pos="934"/>
          <w:tab w:val="right" w:pos="4488"/>
        </w:tabs>
        <w:spacing w:before="120" w:after="120" w:line="240" w:lineRule="auto"/>
        <w:ind w:firstLine="0"/>
        <w:jc w:val="both"/>
        <w:rPr>
          <w:sz w:val="24"/>
          <w:szCs w:val="24"/>
        </w:rPr>
      </w:pPr>
    </w:p>
    <w:p w14:paraId="529DFFC2" w14:textId="77777777" w:rsidR="002D7B36" w:rsidRPr="00DE12A3" w:rsidRDefault="009137C8" w:rsidP="00E20716">
      <w:pPr>
        <w:pStyle w:val="Gvdemetni0"/>
        <w:numPr>
          <w:ilvl w:val="0"/>
          <w:numId w:val="192"/>
        </w:numPr>
        <w:shd w:val="clear" w:color="auto" w:fill="auto"/>
        <w:tabs>
          <w:tab w:val="left" w:pos="934"/>
          <w:tab w:val="right" w:pos="4488"/>
        </w:tabs>
        <w:spacing w:before="120" w:after="120" w:line="240" w:lineRule="auto"/>
        <w:ind w:left="1134" w:hanging="1134"/>
        <w:jc w:val="both"/>
        <w:rPr>
          <w:sz w:val="24"/>
          <w:szCs w:val="24"/>
        </w:rPr>
      </w:pPr>
      <w:r w:rsidRPr="00DE12A3">
        <w:rPr>
          <w:sz w:val="24"/>
          <w:szCs w:val="24"/>
        </w:rPr>
        <w:t xml:space="preserve"> </w:t>
      </w:r>
      <w:r w:rsidR="00242DA0" w:rsidRPr="00DE12A3">
        <w:rPr>
          <w:sz w:val="24"/>
          <w:szCs w:val="24"/>
        </w:rPr>
        <w:t>Doğruluk, tekrarlanabilirlik ve gürültüye ilişkin doğrulamalar</w:t>
      </w:r>
    </w:p>
    <w:p w14:paraId="1269A280" w14:textId="77777777" w:rsidR="002D7B36" w:rsidRPr="00DE12A3" w:rsidRDefault="009137C8" w:rsidP="00C917D6">
      <w:pPr>
        <w:pStyle w:val="Gvdemetni0"/>
        <w:shd w:val="clear" w:color="auto" w:fill="auto"/>
        <w:spacing w:before="120" w:after="120" w:line="240" w:lineRule="auto"/>
        <w:ind w:left="1134" w:hanging="1134"/>
        <w:jc w:val="both"/>
        <w:rPr>
          <w:sz w:val="24"/>
          <w:szCs w:val="24"/>
        </w:rPr>
      </w:pPr>
      <w:r w:rsidRPr="00DE12A3">
        <w:rPr>
          <w:sz w:val="24"/>
          <w:szCs w:val="24"/>
        </w:rPr>
        <w:t xml:space="preserve">                 </w:t>
      </w:r>
      <w:r w:rsidR="00242DA0" w:rsidRPr="00DE12A3">
        <w:rPr>
          <w:sz w:val="24"/>
          <w:szCs w:val="24"/>
        </w:rPr>
        <w:t>Tablo 6.8'de belirtilen bağımsız cihazlar için performans değerleri, bir cihazın doğruluğunun, tekrarlanabilirliğinin ve gürültüsünün belirlenmesi için esas teşkil eder. Cihaz doğruluğunun, tekrarlanabilirliğinin veya gürültüsünün doğrulanması şart değildir. Bununla birlikte, yeni bir cihaz için bir özellik tanımlamak, teslimat üzerine yeni bir cihazın performansını doğrulamak veya mevcut bir cihazı sorunlarını gidermek için bu doğrulamaların dikkate alınması yararlı olabilir.</w:t>
      </w:r>
    </w:p>
    <w:p w14:paraId="798BC6FD" w14:textId="77777777" w:rsidR="002D7B36" w:rsidRPr="00DE12A3" w:rsidRDefault="009137C8" w:rsidP="00E20716">
      <w:pPr>
        <w:pStyle w:val="Gvdemetni0"/>
        <w:numPr>
          <w:ilvl w:val="0"/>
          <w:numId w:val="192"/>
        </w:numPr>
        <w:shd w:val="clear" w:color="auto" w:fill="auto"/>
        <w:spacing w:before="120" w:after="120" w:line="240" w:lineRule="auto"/>
        <w:ind w:left="1134" w:hanging="1134"/>
        <w:jc w:val="both"/>
        <w:rPr>
          <w:sz w:val="24"/>
          <w:szCs w:val="24"/>
        </w:rPr>
      </w:pPr>
      <w:r w:rsidRPr="00DE12A3">
        <w:rPr>
          <w:sz w:val="24"/>
          <w:szCs w:val="24"/>
        </w:rPr>
        <w:t xml:space="preserve">       </w:t>
      </w:r>
      <w:r w:rsidR="00242DA0" w:rsidRPr="00DE12A3">
        <w:rPr>
          <w:sz w:val="24"/>
          <w:szCs w:val="24"/>
        </w:rPr>
        <w:t>Doğrusallık doğrulaması</w:t>
      </w:r>
    </w:p>
    <w:p w14:paraId="025DC47C" w14:textId="77777777" w:rsidR="002D7B36" w:rsidRPr="00DE12A3" w:rsidRDefault="00242DA0" w:rsidP="00E20716">
      <w:pPr>
        <w:pStyle w:val="Gvdemetni0"/>
        <w:numPr>
          <w:ilvl w:val="0"/>
          <w:numId w:val="193"/>
        </w:numPr>
        <w:shd w:val="clear" w:color="auto" w:fill="auto"/>
        <w:spacing w:before="120" w:after="120" w:line="240" w:lineRule="auto"/>
        <w:ind w:left="1134" w:hanging="1134"/>
        <w:jc w:val="both"/>
        <w:rPr>
          <w:sz w:val="24"/>
          <w:szCs w:val="24"/>
        </w:rPr>
      </w:pPr>
      <w:r w:rsidRPr="00DE12A3">
        <w:rPr>
          <w:sz w:val="24"/>
          <w:szCs w:val="24"/>
        </w:rPr>
        <w:t>Kapsam ve sıklık</w:t>
      </w:r>
    </w:p>
    <w:p w14:paraId="6247842A" w14:textId="77777777" w:rsidR="002D7B36" w:rsidRPr="00DE12A3" w:rsidRDefault="009137C8" w:rsidP="00C917D6">
      <w:pPr>
        <w:pStyle w:val="Gvdemetni0"/>
        <w:shd w:val="clear" w:color="auto" w:fill="auto"/>
        <w:spacing w:before="120" w:after="120" w:line="240" w:lineRule="auto"/>
        <w:ind w:left="1134" w:hanging="1134"/>
        <w:jc w:val="both"/>
        <w:rPr>
          <w:sz w:val="24"/>
          <w:szCs w:val="24"/>
        </w:rPr>
      </w:pPr>
      <w:r w:rsidRPr="00DE12A3">
        <w:rPr>
          <w:sz w:val="24"/>
          <w:szCs w:val="24"/>
        </w:rPr>
        <w:t xml:space="preserve">                  </w:t>
      </w:r>
      <w:r w:rsidR="00242DA0" w:rsidRPr="00DE12A3">
        <w:rPr>
          <w:sz w:val="24"/>
          <w:szCs w:val="24"/>
        </w:rPr>
        <w:t>Tablo 6.5'te listelenen her ölçüm sisteminde, en azından Tabloda belirtilen sıklıkla, ölçüm sistemi imalatçısının tavsiyeleri ve iyi mühendislik kararı ile tutarlı olarak bir doğrusallık doğrulaması yapılır. Bir doğrusallık doğrulamasının amacı, bir ölçüm sisteminin ilgilenilen ölçüm aralığı boyunca orantılı bir şekilde tepki verdiğini belirlemektir. Doğrusallık doğrulaması, aksi belirtilmediği sürece, bir ölçüm sistemine en az 10 referans değerden oluşan bir serinin uygulanmasını içermelidir.</w:t>
      </w:r>
    </w:p>
    <w:p w14:paraId="6CA62529" w14:textId="7A7C1324" w:rsidR="002D7B36" w:rsidRPr="00DE12A3" w:rsidRDefault="009137C8" w:rsidP="00C917D6">
      <w:pPr>
        <w:pStyle w:val="Gvdemetni250"/>
        <w:shd w:val="clear" w:color="auto" w:fill="auto"/>
        <w:spacing w:before="120" w:after="120" w:line="240" w:lineRule="auto"/>
        <w:ind w:left="1134" w:hanging="1134"/>
        <w:rPr>
          <w:sz w:val="24"/>
          <w:szCs w:val="24"/>
        </w:rPr>
      </w:pPr>
      <w:r w:rsidRPr="00DE12A3">
        <w:rPr>
          <w:sz w:val="24"/>
          <w:szCs w:val="24"/>
        </w:rPr>
        <w:t xml:space="preserve">                  </w:t>
      </w:r>
      <w:r w:rsidR="00242DA0" w:rsidRPr="00DE12A3">
        <w:rPr>
          <w:sz w:val="24"/>
          <w:szCs w:val="24"/>
        </w:rPr>
        <w:t>Ölçüm sistemi her referans değerin miktarını belirler. Ölçülen değerler, bir en küçük karelerle doğrusal regresyon ve Tablo 6.5'</w:t>
      </w:r>
      <w:r w:rsidR="009B29C4" w:rsidRPr="00DE12A3">
        <w:rPr>
          <w:sz w:val="24"/>
          <w:szCs w:val="24"/>
        </w:rPr>
        <w:t>t</w:t>
      </w:r>
      <w:r w:rsidR="00242DA0" w:rsidRPr="00DE12A3">
        <w:rPr>
          <w:sz w:val="24"/>
          <w:szCs w:val="24"/>
        </w:rPr>
        <w:t>e belirtilen doğrusallık kriterleri kullanılarak referans değerlerle topluca karşılaştırılmalıdır.</w:t>
      </w:r>
    </w:p>
    <w:p w14:paraId="3CEC87F0" w14:textId="77777777" w:rsidR="002D7B36" w:rsidRPr="00DE12A3" w:rsidRDefault="00242DA0" w:rsidP="00E20716">
      <w:pPr>
        <w:pStyle w:val="Gvdemetni250"/>
        <w:numPr>
          <w:ilvl w:val="0"/>
          <w:numId w:val="193"/>
        </w:numPr>
        <w:shd w:val="clear" w:color="auto" w:fill="auto"/>
        <w:spacing w:before="120" w:after="120" w:line="240" w:lineRule="auto"/>
        <w:ind w:left="1134" w:hanging="1134"/>
        <w:rPr>
          <w:sz w:val="24"/>
          <w:szCs w:val="24"/>
        </w:rPr>
      </w:pPr>
      <w:r w:rsidRPr="00DE12A3">
        <w:rPr>
          <w:sz w:val="24"/>
          <w:szCs w:val="24"/>
        </w:rPr>
        <w:t xml:space="preserve">Performans </w:t>
      </w:r>
      <w:r w:rsidR="0053289F" w:rsidRPr="00DE12A3">
        <w:rPr>
          <w:sz w:val="24"/>
          <w:szCs w:val="24"/>
        </w:rPr>
        <w:t>gereklilikleri</w:t>
      </w:r>
    </w:p>
    <w:p w14:paraId="5927C758" w14:textId="77777777" w:rsidR="002D7B36" w:rsidRPr="00DE12A3" w:rsidRDefault="009137C8" w:rsidP="00C917D6">
      <w:pPr>
        <w:pStyle w:val="Gvdemetni250"/>
        <w:shd w:val="clear" w:color="auto" w:fill="auto"/>
        <w:spacing w:before="120" w:after="120" w:line="240" w:lineRule="auto"/>
        <w:ind w:left="1134" w:hanging="1134"/>
        <w:rPr>
          <w:sz w:val="24"/>
          <w:szCs w:val="24"/>
        </w:rPr>
      </w:pPr>
      <w:r w:rsidRPr="00DE12A3">
        <w:rPr>
          <w:sz w:val="24"/>
          <w:szCs w:val="24"/>
        </w:rPr>
        <w:t xml:space="preserve">                  </w:t>
      </w:r>
      <w:r w:rsidR="00242DA0" w:rsidRPr="00DE12A3">
        <w:rPr>
          <w:sz w:val="24"/>
          <w:szCs w:val="24"/>
        </w:rPr>
        <w:t>Bir ölçüm sistemi Tablo 6.5'teki geçerli doğrusallık kriterlerini sağlamıyorsa, bileşenler gerektiği gibi yeniden kalibre edilerek, bakımları yapılarak veya değiştirilerek eksiklik giderilir. Ölçüm sisteminin doğrusallık kriterlerini karşıladığından emin olmak için eksiklik giderildikten sonra doğrusallık doğrulaması tekrarlanmalıdır.</w:t>
      </w:r>
    </w:p>
    <w:p w14:paraId="66176DE8" w14:textId="77777777" w:rsidR="002D7B36" w:rsidRPr="00DE12A3" w:rsidRDefault="00242DA0" w:rsidP="00E20716">
      <w:pPr>
        <w:pStyle w:val="Gvdemetni250"/>
        <w:numPr>
          <w:ilvl w:val="0"/>
          <w:numId w:val="193"/>
        </w:numPr>
        <w:shd w:val="clear" w:color="auto" w:fill="auto"/>
        <w:spacing w:before="120" w:after="120" w:line="240" w:lineRule="auto"/>
        <w:ind w:left="1134" w:hanging="1134"/>
        <w:rPr>
          <w:sz w:val="24"/>
          <w:szCs w:val="24"/>
        </w:rPr>
      </w:pPr>
      <w:r w:rsidRPr="00DE12A3">
        <w:rPr>
          <w:sz w:val="24"/>
          <w:szCs w:val="24"/>
        </w:rPr>
        <w:t>Prosedür</w:t>
      </w:r>
    </w:p>
    <w:p w14:paraId="2BE04F8C" w14:textId="77777777" w:rsidR="002D7B36" w:rsidRPr="00DE12A3" w:rsidRDefault="009137C8" w:rsidP="00C917D6">
      <w:pPr>
        <w:pStyle w:val="Gvdemetni250"/>
        <w:shd w:val="clear" w:color="auto" w:fill="auto"/>
        <w:spacing w:before="120" w:after="120" w:line="240" w:lineRule="auto"/>
        <w:ind w:left="1134" w:hanging="1134"/>
        <w:rPr>
          <w:sz w:val="24"/>
          <w:szCs w:val="24"/>
        </w:rPr>
      </w:pPr>
      <w:r w:rsidRPr="00DE12A3">
        <w:rPr>
          <w:sz w:val="24"/>
          <w:szCs w:val="24"/>
        </w:rPr>
        <w:t xml:space="preserve">                  </w:t>
      </w:r>
      <w:r w:rsidR="00242DA0" w:rsidRPr="00DE12A3">
        <w:rPr>
          <w:sz w:val="24"/>
          <w:szCs w:val="24"/>
        </w:rPr>
        <w:t>Aşağıdaki doğrusallık doğrulama protokolü kullanılır:</w:t>
      </w:r>
    </w:p>
    <w:p w14:paraId="575887C6" w14:textId="04F742D8" w:rsidR="002D7B36" w:rsidRPr="00DE12A3" w:rsidRDefault="009137C8" w:rsidP="00E20716">
      <w:pPr>
        <w:pStyle w:val="Gvdemetni250"/>
        <w:numPr>
          <w:ilvl w:val="0"/>
          <w:numId w:val="194"/>
        </w:numPr>
        <w:shd w:val="clear" w:color="auto" w:fill="auto"/>
        <w:spacing w:before="120" w:after="120" w:line="240" w:lineRule="auto"/>
        <w:ind w:left="1701" w:hanging="567"/>
        <w:rPr>
          <w:sz w:val="24"/>
          <w:szCs w:val="24"/>
        </w:rPr>
      </w:pPr>
      <w:r w:rsidRPr="00DE12A3">
        <w:rPr>
          <w:sz w:val="24"/>
          <w:szCs w:val="24"/>
        </w:rPr>
        <w:t xml:space="preserve">     </w:t>
      </w:r>
      <w:r w:rsidR="00242DA0" w:rsidRPr="00DE12A3">
        <w:rPr>
          <w:sz w:val="24"/>
          <w:szCs w:val="24"/>
        </w:rPr>
        <w:t>Bir ölçüm sistemi belirtilen sıcaklıklarda, basınçlarda ve akışlarda çalıştırılmalıdır</w:t>
      </w:r>
      <w:r w:rsidR="009B29C4" w:rsidRPr="00DE12A3">
        <w:rPr>
          <w:sz w:val="24"/>
          <w:szCs w:val="24"/>
        </w:rPr>
        <w:t>.</w:t>
      </w:r>
    </w:p>
    <w:p w14:paraId="7A5D8F91" w14:textId="1CCC0833" w:rsidR="002D7B36" w:rsidRPr="00DE12A3" w:rsidRDefault="00242DA0" w:rsidP="00E20716">
      <w:pPr>
        <w:pStyle w:val="Gvdemetni250"/>
        <w:numPr>
          <w:ilvl w:val="0"/>
          <w:numId w:val="194"/>
        </w:numPr>
        <w:shd w:val="clear" w:color="auto" w:fill="auto"/>
        <w:spacing w:before="120" w:after="120" w:line="240" w:lineRule="auto"/>
        <w:ind w:left="1701" w:hanging="567"/>
        <w:rPr>
          <w:sz w:val="24"/>
          <w:szCs w:val="24"/>
        </w:rPr>
      </w:pPr>
      <w:r w:rsidRPr="00DE12A3">
        <w:rPr>
          <w:sz w:val="24"/>
          <w:szCs w:val="24"/>
        </w:rPr>
        <w:t xml:space="preserve">Cihaz, bir emisyon testi öncesinde yapıldığı gibi sıfır sinyali verilerek sıfırlanmalıdır. Gaz analiz cihazları için, 9.5.1 bendinin </w:t>
      </w:r>
      <w:r w:rsidR="0053289F" w:rsidRPr="00DE12A3">
        <w:rPr>
          <w:sz w:val="24"/>
          <w:szCs w:val="24"/>
        </w:rPr>
        <w:t>gerekliliklerine</w:t>
      </w:r>
      <w:r w:rsidRPr="00DE12A3">
        <w:rPr>
          <w:sz w:val="24"/>
          <w:szCs w:val="24"/>
        </w:rPr>
        <w:t xml:space="preserve"> sağlayan bir sıfır gaz kullanılmalı ve doğrudan analiz cihazı girişinden verilmelidir</w:t>
      </w:r>
      <w:r w:rsidR="009B29C4" w:rsidRPr="00DE12A3">
        <w:rPr>
          <w:sz w:val="24"/>
          <w:szCs w:val="24"/>
        </w:rPr>
        <w:t>.</w:t>
      </w:r>
    </w:p>
    <w:p w14:paraId="7259A94E" w14:textId="5A635B0D" w:rsidR="002D7B36" w:rsidRPr="00DE12A3" w:rsidRDefault="009137C8" w:rsidP="00E20716">
      <w:pPr>
        <w:pStyle w:val="Gvdemetni250"/>
        <w:numPr>
          <w:ilvl w:val="0"/>
          <w:numId w:val="194"/>
        </w:numPr>
        <w:shd w:val="clear" w:color="auto" w:fill="auto"/>
        <w:spacing w:before="120" w:after="120" w:line="240" w:lineRule="auto"/>
        <w:ind w:left="1701" w:hanging="567"/>
        <w:rPr>
          <w:sz w:val="24"/>
          <w:szCs w:val="24"/>
        </w:rPr>
      </w:pPr>
      <w:r w:rsidRPr="00DE12A3">
        <w:rPr>
          <w:sz w:val="24"/>
          <w:szCs w:val="24"/>
        </w:rPr>
        <w:t xml:space="preserve">     </w:t>
      </w:r>
      <w:r w:rsidR="00242DA0" w:rsidRPr="00DE12A3">
        <w:rPr>
          <w:sz w:val="24"/>
          <w:szCs w:val="24"/>
        </w:rPr>
        <w:t xml:space="preserve">Cihaz, bir emisyon testi öncesinde yapıldığı gibi ayar sinyali verilerek ayarlanmalıdır. Gaz analiz cihazları için, 9.5.1 bendinin </w:t>
      </w:r>
      <w:r w:rsidR="0053289F" w:rsidRPr="00DE12A3">
        <w:rPr>
          <w:sz w:val="24"/>
          <w:szCs w:val="24"/>
        </w:rPr>
        <w:t>gerekliliklerine</w:t>
      </w:r>
      <w:r w:rsidR="00242DA0" w:rsidRPr="00DE12A3">
        <w:rPr>
          <w:sz w:val="24"/>
          <w:szCs w:val="24"/>
        </w:rPr>
        <w:t xml:space="preserve"> sağlayan bir ayar gazı kullanılmalı ve doğrudan analiz cihazı girişinden verilmelidir</w:t>
      </w:r>
      <w:r w:rsidR="009B29C4" w:rsidRPr="00DE12A3">
        <w:rPr>
          <w:sz w:val="24"/>
          <w:szCs w:val="24"/>
        </w:rPr>
        <w:t>.</w:t>
      </w:r>
    </w:p>
    <w:p w14:paraId="74C10A72" w14:textId="5B0CDD30" w:rsidR="002D7B36" w:rsidRPr="00DE12A3" w:rsidRDefault="00242DA0" w:rsidP="00E20716">
      <w:pPr>
        <w:pStyle w:val="Gvdemetni250"/>
        <w:numPr>
          <w:ilvl w:val="0"/>
          <w:numId w:val="194"/>
        </w:numPr>
        <w:shd w:val="clear" w:color="auto" w:fill="auto"/>
        <w:spacing w:before="120" w:after="120" w:line="240" w:lineRule="auto"/>
        <w:ind w:left="1701" w:hanging="567"/>
        <w:rPr>
          <w:sz w:val="24"/>
          <w:szCs w:val="24"/>
        </w:rPr>
      </w:pPr>
      <w:r w:rsidRPr="00DE12A3">
        <w:rPr>
          <w:sz w:val="24"/>
          <w:szCs w:val="24"/>
        </w:rPr>
        <w:t xml:space="preserve">Cihaz ayarlandıktan sonra, sıfır bu bendin (b) </w:t>
      </w:r>
      <w:r w:rsidR="009B29C4" w:rsidRPr="00DE12A3">
        <w:rPr>
          <w:sz w:val="24"/>
          <w:szCs w:val="24"/>
        </w:rPr>
        <w:t xml:space="preserve">numaralı alt bendinde </w:t>
      </w:r>
      <w:r w:rsidRPr="00DE12A3">
        <w:rPr>
          <w:sz w:val="24"/>
          <w:szCs w:val="24"/>
        </w:rPr>
        <w:t>kullanılan aynı sinyalle kontrol edilir. Sıfır okumasına bağlı olarak, bir sonraki adıma geçmeden önce cihazda yeniden sıfırlama veya yeniden ayarlama yapıp yapmamaya karar vermek için iyi mühendislik kararı kullanılır</w:t>
      </w:r>
      <w:r w:rsidR="009B29C4" w:rsidRPr="00DE12A3">
        <w:rPr>
          <w:sz w:val="24"/>
          <w:szCs w:val="24"/>
        </w:rPr>
        <w:t>.</w:t>
      </w:r>
    </w:p>
    <w:p w14:paraId="2CBAB405" w14:textId="178E5CD2" w:rsidR="002D7B36" w:rsidRPr="00DE12A3" w:rsidRDefault="009137C8" w:rsidP="00E20716">
      <w:pPr>
        <w:pStyle w:val="Gvdemetni250"/>
        <w:numPr>
          <w:ilvl w:val="0"/>
          <w:numId w:val="194"/>
        </w:numPr>
        <w:shd w:val="clear" w:color="auto" w:fill="auto"/>
        <w:spacing w:before="120" w:after="120" w:line="240" w:lineRule="auto"/>
        <w:ind w:left="1701" w:hanging="567"/>
        <w:rPr>
          <w:sz w:val="24"/>
          <w:szCs w:val="24"/>
        </w:rPr>
      </w:pPr>
      <w:r w:rsidRPr="00DE12A3">
        <w:rPr>
          <w:sz w:val="24"/>
          <w:szCs w:val="24"/>
        </w:rPr>
        <w:lastRenderedPageBreak/>
        <w:t xml:space="preserve">     </w:t>
      </w:r>
      <w:r w:rsidR="00242DA0" w:rsidRPr="00DE12A3">
        <w:rPr>
          <w:sz w:val="24"/>
          <w:szCs w:val="24"/>
        </w:rPr>
        <w:t xml:space="preserve">Ölçülen tüm miktarlar için, emisyon testi sırasında beklenen tüm değerleri kapsayan referans değerler </w:t>
      </w:r>
      <w:r w:rsidR="00242DA0" w:rsidRPr="00DE12A3">
        <w:rPr>
          <w:rFonts w:eastAsia="Courier New"/>
          <w:i/>
          <w:iCs/>
          <w:spacing w:val="0"/>
          <w:sz w:val="28"/>
          <w:szCs w:val="28"/>
        </w:rPr>
        <w:t>y</w:t>
      </w:r>
      <w:r w:rsidR="00242DA0" w:rsidRPr="00DE12A3">
        <w:rPr>
          <w:rFonts w:eastAsia="Courier New"/>
          <w:spacing w:val="0"/>
          <w:sz w:val="28"/>
          <w:szCs w:val="28"/>
          <w:vertAlign w:val="subscript"/>
        </w:rPr>
        <w:t>r</w:t>
      </w:r>
      <w:r w:rsidR="00242DA0" w:rsidRPr="00DE12A3">
        <w:rPr>
          <w:rFonts w:eastAsia="Courier New"/>
          <w:spacing w:val="0"/>
          <w:sz w:val="24"/>
          <w:szCs w:val="24"/>
          <w:vertAlign w:val="subscript"/>
        </w:rPr>
        <w:t>ef</w:t>
      </w:r>
      <w:r w:rsidR="00242DA0" w:rsidRPr="00DE12A3">
        <w:rPr>
          <w:rFonts w:eastAsia="Courier New"/>
          <w:i/>
          <w:iCs/>
          <w:spacing w:val="0"/>
          <w:sz w:val="24"/>
          <w:szCs w:val="24"/>
          <w:vertAlign w:val="subscript"/>
        </w:rPr>
        <w:t>i</w:t>
      </w:r>
      <w:r w:rsidR="00F97E03" w:rsidRPr="00DE12A3">
        <w:rPr>
          <w:sz w:val="24"/>
          <w:szCs w:val="24"/>
        </w:rPr>
        <w:t xml:space="preserve"> </w:t>
      </w:r>
      <w:r w:rsidR="00242DA0" w:rsidRPr="00DE12A3">
        <w:rPr>
          <w:sz w:val="24"/>
          <w:szCs w:val="24"/>
        </w:rPr>
        <w:t>seçmek için imalatçı tavsiyeleri ve iyi mühendislik kararı kullanılmalı ve böylece bu değerler ötesindeki ekstrapolasyon ihtiyacından kaçınılmalıdır. Doğrusallık doğrulamasının referans değerlerinden biri olarak bir sıfır referans sinyali seçilmelidir. Bağımsız basınç ve sıcaklık doğrusallığı doğrulamaları için en az üç referans değer seçilmelidir. Diğer tüm doğrusallık doğrulamaları için en az on referans değer seçilmelidir</w:t>
      </w:r>
      <w:r w:rsidR="009B29C4" w:rsidRPr="00DE12A3">
        <w:rPr>
          <w:sz w:val="24"/>
          <w:szCs w:val="24"/>
        </w:rPr>
        <w:t>.</w:t>
      </w:r>
    </w:p>
    <w:p w14:paraId="1199005B" w14:textId="4B8BAAB9" w:rsidR="002D7B36" w:rsidRPr="00DE12A3" w:rsidRDefault="009137C8" w:rsidP="00E20716">
      <w:pPr>
        <w:pStyle w:val="Gvdemetni250"/>
        <w:numPr>
          <w:ilvl w:val="0"/>
          <w:numId w:val="194"/>
        </w:numPr>
        <w:spacing w:before="120" w:after="120" w:line="240" w:lineRule="auto"/>
        <w:ind w:left="1701" w:hanging="567"/>
        <w:rPr>
          <w:sz w:val="24"/>
          <w:szCs w:val="24"/>
        </w:rPr>
      </w:pPr>
      <w:r w:rsidRPr="00DE12A3">
        <w:rPr>
          <w:sz w:val="24"/>
          <w:szCs w:val="24"/>
        </w:rPr>
        <w:t xml:space="preserve">     </w:t>
      </w:r>
      <w:r w:rsidR="00242DA0" w:rsidRPr="00DE12A3">
        <w:rPr>
          <w:sz w:val="24"/>
          <w:szCs w:val="24"/>
        </w:rPr>
        <w:t>Referans değerleri serisinin uygulanacağı sırayı seçmek için cihaz imalatçısının tavsiyeleri ve iyi mühendislik kararı kullanılmalıdır</w:t>
      </w:r>
      <w:r w:rsidR="009B29C4" w:rsidRPr="00DE12A3">
        <w:rPr>
          <w:sz w:val="24"/>
          <w:szCs w:val="24"/>
        </w:rPr>
        <w:t>.</w:t>
      </w:r>
    </w:p>
    <w:p w14:paraId="35AF630C" w14:textId="48214B28" w:rsidR="002D7B36" w:rsidRPr="00DE12A3" w:rsidRDefault="00242DA0" w:rsidP="00E20716">
      <w:pPr>
        <w:pStyle w:val="Gvdemetni250"/>
        <w:numPr>
          <w:ilvl w:val="0"/>
          <w:numId w:val="194"/>
        </w:numPr>
        <w:spacing w:before="120" w:after="120" w:line="240" w:lineRule="auto"/>
        <w:ind w:left="1701" w:hanging="567"/>
        <w:rPr>
          <w:sz w:val="24"/>
          <w:szCs w:val="24"/>
        </w:rPr>
      </w:pPr>
      <w:r w:rsidRPr="00DE12A3">
        <w:rPr>
          <w:sz w:val="24"/>
          <w:szCs w:val="24"/>
        </w:rPr>
        <w:t>Referans miktarlar, 8.1.4.4 bendinde açıklandığı şekilde üretilmeli ve uygulanmalıdır. Gaz analiz cihazları için, 9.5.1 bendindeki şartnameler dahilinde olduğu bilinen gaz konsantrasyonları kullanılmalı ve bunlar doğrudan analiz cihazı girişinden verilmelidir</w:t>
      </w:r>
      <w:r w:rsidR="009B29C4" w:rsidRPr="00DE12A3">
        <w:rPr>
          <w:sz w:val="24"/>
          <w:szCs w:val="24"/>
        </w:rPr>
        <w:t>.</w:t>
      </w:r>
    </w:p>
    <w:p w14:paraId="2477A1D9" w14:textId="404D101A" w:rsidR="002D7B36" w:rsidRPr="00DE12A3" w:rsidRDefault="00242DA0" w:rsidP="00E20716">
      <w:pPr>
        <w:pStyle w:val="Gvdemetni250"/>
        <w:numPr>
          <w:ilvl w:val="0"/>
          <w:numId w:val="194"/>
        </w:numPr>
        <w:spacing w:before="120" w:after="120" w:line="240" w:lineRule="auto"/>
        <w:ind w:left="1701" w:hanging="567"/>
        <w:rPr>
          <w:sz w:val="24"/>
          <w:szCs w:val="24"/>
        </w:rPr>
      </w:pPr>
      <w:r w:rsidRPr="00DE12A3">
        <w:rPr>
          <w:sz w:val="24"/>
          <w:szCs w:val="24"/>
        </w:rPr>
        <w:t>Referans değeri ölçerken cihazın dengelenmesi için zaman tanınmalıdır</w:t>
      </w:r>
      <w:r w:rsidR="009B29C4" w:rsidRPr="00DE12A3">
        <w:rPr>
          <w:sz w:val="24"/>
          <w:szCs w:val="24"/>
        </w:rPr>
        <w:t>.</w:t>
      </w:r>
    </w:p>
    <w:p w14:paraId="1C88B72F" w14:textId="676F95BA" w:rsidR="002D7B36" w:rsidRPr="00DE12A3" w:rsidRDefault="009137C8" w:rsidP="00E20716">
      <w:pPr>
        <w:pStyle w:val="Gvdemetni250"/>
        <w:numPr>
          <w:ilvl w:val="0"/>
          <w:numId w:val="194"/>
        </w:numPr>
        <w:spacing w:before="120" w:after="120" w:line="240" w:lineRule="auto"/>
        <w:ind w:left="1701" w:hanging="567"/>
        <w:rPr>
          <w:sz w:val="24"/>
          <w:szCs w:val="24"/>
        </w:rPr>
      </w:pPr>
      <w:r w:rsidRPr="00DE12A3">
        <w:rPr>
          <w:sz w:val="24"/>
          <w:szCs w:val="24"/>
        </w:rPr>
        <w:t xml:space="preserve">     </w:t>
      </w:r>
      <w:r w:rsidR="00242DA0" w:rsidRPr="00DE12A3">
        <w:rPr>
          <w:sz w:val="24"/>
          <w:szCs w:val="24"/>
        </w:rPr>
        <w:t>Tablo 6.7'de belirtildiği gibi en az asgari frekans kadar olan bir kayıt frekansında, referans değer 30 saniye boyunca ölçülmeli ve kaydedilen değerlerin aritmetik ortalaması olan yi kaydedilmelidir</w:t>
      </w:r>
      <w:r w:rsidR="009B29C4" w:rsidRPr="00DE12A3">
        <w:rPr>
          <w:sz w:val="24"/>
          <w:szCs w:val="24"/>
        </w:rPr>
        <w:t>.</w:t>
      </w:r>
    </w:p>
    <w:p w14:paraId="43E84623" w14:textId="495384C9" w:rsidR="002D7B36" w:rsidRPr="00DE12A3" w:rsidRDefault="00242DA0" w:rsidP="00C917D6">
      <w:pPr>
        <w:pStyle w:val="Gvdemetni250"/>
        <w:shd w:val="clear" w:color="auto" w:fill="FFFFFF" w:themeFill="background1"/>
        <w:spacing w:before="120" w:after="120" w:line="240" w:lineRule="auto"/>
        <w:ind w:left="1701" w:hanging="567"/>
        <w:rPr>
          <w:sz w:val="24"/>
          <w:szCs w:val="24"/>
        </w:rPr>
      </w:pPr>
      <w:r w:rsidRPr="00DE12A3">
        <w:rPr>
          <w:sz w:val="24"/>
          <w:szCs w:val="24"/>
        </w:rPr>
        <w:t>(j)</w:t>
      </w:r>
      <w:r w:rsidR="009137C8" w:rsidRPr="00DE12A3">
        <w:rPr>
          <w:sz w:val="24"/>
          <w:szCs w:val="24"/>
        </w:rPr>
        <w:t xml:space="preserve">   </w:t>
      </w:r>
      <w:r w:rsidRPr="00DE12A3">
        <w:rPr>
          <w:sz w:val="24"/>
          <w:szCs w:val="24"/>
        </w:rPr>
        <w:t xml:space="preserve">Bu bendin (g) ila (i) </w:t>
      </w:r>
      <w:r w:rsidR="009B29C4" w:rsidRPr="00DE12A3">
        <w:rPr>
          <w:sz w:val="24"/>
          <w:szCs w:val="24"/>
        </w:rPr>
        <w:t xml:space="preserve">numaralı alt bentleri </w:t>
      </w:r>
      <w:r w:rsidRPr="00DE12A3">
        <w:rPr>
          <w:sz w:val="24"/>
          <w:szCs w:val="24"/>
        </w:rPr>
        <w:t>arasındaki adımlar, tüm referans miktarlar ölçülene kadar tekrarlanmalıdır</w:t>
      </w:r>
      <w:r w:rsidR="009B29C4" w:rsidRPr="00DE12A3">
        <w:rPr>
          <w:sz w:val="24"/>
          <w:szCs w:val="24"/>
        </w:rPr>
        <w:t>.</w:t>
      </w:r>
    </w:p>
    <w:p w14:paraId="40D7922B" w14:textId="14B70208" w:rsidR="002D7B36" w:rsidRPr="00DE12A3" w:rsidRDefault="00242DA0" w:rsidP="00C917D6">
      <w:pPr>
        <w:pStyle w:val="Gvdemetni250"/>
        <w:shd w:val="clear" w:color="auto" w:fill="FFFFFF" w:themeFill="background1"/>
        <w:spacing w:before="120" w:after="120" w:line="240" w:lineRule="auto"/>
        <w:ind w:left="1701" w:hanging="567"/>
        <w:rPr>
          <w:sz w:val="24"/>
          <w:szCs w:val="24"/>
        </w:rPr>
      </w:pPr>
      <w:r w:rsidRPr="00DE12A3">
        <w:rPr>
          <w:sz w:val="24"/>
          <w:szCs w:val="24"/>
        </w:rPr>
        <w:t>(k)</w:t>
      </w:r>
      <w:r w:rsidRPr="00DE12A3">
        <w:rPr>
          <w:sz w:val="24"/>
          <w:szCs w:val="24"/>
        </w:rPr>
        <w:tab/>
        <w:t xml:space="preserve">Aritmetik ortalamalar </w:t>
      </w:r>
      <w:r w:rsidRPr="00DE12A3">
        <w:rPr>
          <w:i/>
          <w:iCs/>
          <w:sz w:val="24"/>
          <w:szCs w:val="24"/>
        </w:rPr>
        <w:t>y</w:t>
      </w:r>
      <w:r w:rsidRPr="00DE12A3">
        <w:rPr>
          <w:i/>
          <w:iCs/>
          <w:sz w:val="24"/>
          <w:szCs w:val="24"/>
          <w:vertAlign w:val="subscript"/>
        </w:rPr>
        <w:t>i</w:t>
      </w:r>
      <w:r w:rsidRPr="00DE12A3">
        <w:rPr>
          <w:sz w:val="24"/>
          <w:szCs w:val="24"/>
        </w:rPr>
        <w:t xml:space="preserve"> ve referans değerler </w:t>
      </w:r>
      <w:r w:rsidRPr="00DE12A3">
        <w:rPr>
          <w:i/>
          <w:iCs/>
          <w:sz w:val="24"/>
          <w:szCs w:val="24"/>
        </w:rPr>
        <w:t>y</w:t>
      </w:r>
      <w:r w:rsidRPr="00DE12A3">
        <w:rPr>
          <w:i/>
          <w:iCs/>
          <w:sz w:val="24"/>
          <w:szCs w:val="24"/>
          <w:vertAlign w:val="subscript"/>
        </w:rPr>
        <w:t>refi</w:t>
      </w:r>
      <w:r w:rsidRPr="00DE12A3">
        <w:rPr>
          <w:sz w:val="24"/>
          <w:szCs w:val="24"/>
        </w:rPr>
        <w:t>, Tablo 6.5'</w:t>
      </w:r>
      <w:r w:rsidR="009B29C4" w:rsidRPr="00DE12A3">
        <w:rPr>
          <w:sz w:val="24"/>
          <w:szCs w:val="24"/>
        </w:rPr>
        <w:t>t</w:t>
      </w:r>
      <w:r w:rsidRPr="00DE12A3">
        <w:rPr>
          <w:sz w:val="24"/>
          <w:szCs w:val="24"/>
        </w:rPr>
        <w:t xml:space="preserve">e belirtilen asgari performans kriterleri ile karşılaştırmak üzere, en küçük karelerle doğrusal regresyon parametrelerini ve istatistiksel değerleri hesaplamak için kullanılmalıdır. </w:t>
      </w:r>
      <w:r w:rsidR="00FA0678" w:rsidRPr="00DE12A3">
        <w:rPr>
          <w:sz w:val="24"/>
          <w:szCs w:val="24"/>
        </w:rPr>
        <w:t xml:space="preserve">VII’nci </w:t>
      </w:r>
      <w:r w:rsidR="009B29C4" w:rsidRPr="00DE12A3">
        <w:rPr>
          <w:sz w:val="24"/>
          <w:szCs w:val="24"/>
        </w:rPr>
        <w:t>E</w:t>
      </w:r>
      <w:r w:rsidR="00FA0678" w:rsidRPr="00DE12A3">
        <w:rPr>
          <w:sz w:val="24"/>
          <w:szCs w:val="24"/>
        </w:rPr>
        <w:t>k</w:t>
      </w:r>
      <w:r w:rsidRPr="00DE12A3">
        <w:rPr>
          <w:sz w:val="24"/>
          <w:szCs w:val="24"/>
        </w:rPr>
        <w:t xml:space="preserve">in </w:t>
      </w:r>
      <w:r w:rsidR="00CD23C3" w:rsidRPr="00DE12A3">
        <w:rPr>
          <w:sz w:val="24"/>
          <w:szCs w:val="24"/>
        </w:rPr>
        <w:t>3. Açıklayıcı Ek</w:t>
      </w:r>
      <w:r w:rsidRPr="00DE12A3">
        <w:rPr>
          <w:sz w:val="24"/>
          <w:szCs w:val="24"/>
        </w:rPr>
        <w:t>inde tarif edilen hesaplamalar kullanılmalıdır.</w:t>
      </w:r>
    </w:p>
    <w:p w14:paraId="290F5337" w14:textId="77777777" w:rsidR="002D7B36" w:rsidRPr="00DE12A3" w:rsidRDefault="009137C8" w:rsidP="00E20716">
      <w:pPr>
        <w:pStyle w:val="Gvdemetni250"/>
        <w:numPr>
          <w:ilvl w:val="0"/>
          <w:numId w:val="193"/>
        </w:numPr>
        <w:shd w:val="clear" w:color="auto" w:fill="FFFFFF" w:themeFill="background1"/>
        <w:tabs>
          <w:tab w:val="left" w:pos="946"/>
        </w:tabs>
        <w:spacing w:before="120" w:after="120" w:line="240" w:lineRule="auto"/>
        <w:ind w:left="1134" w:hanging="1134"/>
        <w:rPr>
          <w:sz w:val="24"/>
          <w:szCs w:val="24"/>
        </w:rPr>
      </w:pPr>
      <w:r w:rsidRPr="00DE12A3">
        <w:rPr>
          <w:sz w:val="24"/>
          <w:szCs w:val="24"/>
        </w:rPr>
        <w:t xml:space="preserve">    </w:t>
      </w:r>
      <w:r w:rsidR="00242DA0" w:rsidRPr="00DE12A3">
        <w:rPr>
          <w:sz w:val="24"/>
          <w:szCs w:val="24"/>
        </w:rPr>
        <w:t>Referans sinyaller</w:t>
      </w:r>
    </w:p>
    <w:p w14:paraId="4BF8256B" w14:textId="77777777" w:rsidR="002D7B36" w:rsidRPr="00DE12A3" w:rsidRDefault="009137C8" w:rsidP="00C917D6">
      <w:pPr>
        <w:pStyle w:val="Gvdemetni250"/>
        <w:shd w:val="clear" w:color="auto" w:fill="FFFFFF" w:themeFill="background1"/>
        <w:spacing w:before="120" w:after="120" w:line="240" w:lineRule="auto"/>
        <w:ind w:left="1134" w:hanging="1134"/>
        <w:rPr>
          <w:sz w:val="24"/>
          <w:szCs w:val="24"/>
        </w:rPr>
      </w:pPr>
      <w:r w:rsidRPr="00DE12A3">
        <w:rPr>
          <w:sz w:val="24"/>
          <w:szCs w:val="24"/>
        </w:rPr>
        <w:t xml:space="preserve">                   </w:t>
      </w:r>
      <w:r w:rsidR="00242DA0" w:rsidRPr="00DE12A3">
        <w:rPr>
          <w:sz w:val="24"/>
          <w:szCs w:val="24"/>
        </w:rPr>
        <w:t>Bu bentte, 8.1.4.3 bendindeki doğrusallık-doğrulama protokolü için referans değerler üretmek üzere önerilen yöntemler açıklanmaktadır.</w:t>
      </w:r>
      <w:r w:rsidRPr="00DE12A3">
        <w:rPr>
          <w:sz w:val="24"/>
          <w:szCs w:val="24"/>
        </w:rPr>
        <w:t xml:space="preserve"> </w:t>
      </w:r>
      <w:r w:rsidR="00242DA0" w:rsidRPr="00DE12A3">
        <w:rPr>
          <w:sz w:val="24"/>
          <w:szCs w:val="24"/>
        </w:rPr>
        <w:t>Fiili değerleri simüle eden referans değerler kullanılmalı veya bir fiili değer uygulanmalı ve referansölçüm sistemi ile ölçülmelidir. İkinci durumda referans değer, referans ölçüm sistemi tarafından bildirilen değerdir. Referans değerler ve referans ölçüm sistemleri uluslararası düzeyde takip edilebilmelidir.</w:t>
      </w:r>
    </w:p>
    <w:p w14:paraId="09C05BCE" w14:textId="77777777" w:rsidR="002D7B36" w:rsidRPr="00DE12A3" w:rsidRDefault="009137C8" w:rsidP="00C917D6">
      <w:pPr>
        <w:pStyle w:val="Gvdemetni250"/>
        <w:shd w:val="clear" w:color="auto" w:fill="FFFFFF" w:themeFill="background1"/>
        <w:spacing w:before="120" w:after="120" w:line="240" w:lineRule="auto"/>
        <w:ind w:left="1134" w:hanging="1134"/>
        <w:rPr>
          <w:sz w:val="24"/>
          <w:szCs w:val="24"/>
        </w:rPr>
      </w:pPr>
      <w:r w:rsidRPr="00DE12A3">
        <w:rPr>
          <w:sz w:val="24"/>
          <w:szCs w:val="24"/>
        </w:rPr>
        <w:t xml:space="preserve">                  </w:t>
      </w:r>
      <w:r w:rsidR="00242DA0" w:rsidRPr="00DE12A3">
        <w:rPr>
          <w:sz w:val="24"/>
          <w:szCs w:val="24"/>
        </w:rPr>
        <w:t xml:space="preserve">Termokupllar, RTD'ler ve termistörler gibi sensörlere sahip sıcaklık ölçüm sistemleri için, sensör sistemden çıkarılarak ve onun yerine bir simülatör kullanılarak doğrusallık doğrulaması yapılabilir. Gerekirse, bağımsız olarak kalibre edilmiş ve soğuk bağlantı dengelenmesi yapılmış bir simülatör kullanılır. Sıcaklığa göre ölçeklendirilen uluslararası düzeyde takip edilebilir simülatör değişkenliği, azami çalışma sıcaklığı </w:t>
      </w:r>
      <w:r w:rsidR="00242DA0" w:rsidRPr="00DE12A3">
        <w:rPr>
          <w:i/>
          <w:iCs/>
          <w:sz w:val="24"/>
          <w:szCs w:val="24"/>
        </w:rPr>
        <w:t>T</w:t>
      </w:r>
      <w:r w:rsidR="00242DA0" w:rsidRPr="00DE12A3">
        <w:rPr>
          <w:sz w:val="24"/>
          <w:szCs w:val="24"/>
          <w:vertAlign w:val="subscript"/>
        </w:rPr>
        <w:t>max</w:t>
      </w:r>
      <w:r w:rsidR="00242DA0" w:rsidRPr="00DE12A3">
        <w:rPr>
          <w:sz w:val="24"/>
          <w:szCs w:val="24"/>
        </w:rPr>
        <w:t xml:space="preserve">'ın %0,5'inden az olmalıdır. Bu seçenek kullanılırsa, tedarikçinin sensörlerin standart kalibrasyon eğrilerine kıyasla </w:t>
      </w:r>
      <w:r w:rsidR="00242DA0" w:rsidRPr="00DE12A3">
        <w:rPr>
          <w:i/>
          <w:iCs/>
          <w:sz w:val="24"/>
          <w:szCs w:val="24"/>
        </w:rPr>
        <w:t>T</w:t>
      </w:r>
      <w:r w:rsidR="00242DA0" w:rsidRPr="00DE12A3">
        <w:rPr>
          <w:sz w:val="24"/>
          <w:szCs w:val="24"/>
          <w:vertAlign w:val="subscript"/>
        </w:rPr>
        <w:t>max</w:t>
      </w:r>
      <w:r w:rsidR="00242DA0" w:rsidRPr="00DE12A3">
        <w:rPr>
          <w:sz w:val="24"/>
          <w:szCs w:val="24"/>
        </w:rPr>
        <w:t>'ın %0,5'inden daha iyi olduğunu doğruladığı sensörlerin kullanılması gereklidir.</w:t>
      </w:r>
    </w:p>
    <w:p w14:paraId="338EB0D3" w14:textId="77777777" w:rsidR="002D7B36" w:rsidRPr="00DE12A3" w:rsidRDefault="00242DA0" w:rsidP="00E20716">
      <w:pPr>
        <w:pStyle w:val="Gvdemetni250"/>
        <w:numPr>
          <w:ilvl w:val="0"/>
          <w:numId w:val="193"/>
        </w:numPr>
        <w:shd w:val="clear" w:color="auto" w:fill="FFFFFF" w:themeFill="background1"/>
        <w:spacing w:before="120" w:after="120" w:line="240" w:lineRule="auto"/>
        <w:ind w:left="1134" w:hanging="1134"/>
        <w:rPr>
          <w:sz w:val="24"/>
          <w:szCs w:val="24"/>
        </w:rPr>
      </w:pPr>
      <w:r w:rsidRPr="00DE12A3">
        <w:rPr>
          <w:sz w:val="24"/>
          <w:szCs w:val="24"/>
        </w:rPr>
        <w:t>Doğrusallık doğrulaması gerektiren ölçüm sistemleri</w:t>
      </w:r>
    </w:p>
    <w:p w14:paraId="042250F8" w14:textId="77777777" w:rsidR="002D7B36" w:rsidRPr="00DE12A3" w:rsidRDefault="009137C8" w:rsidP="00C917D6">
      <w:pPr>
        <w:pStyle w:val="Gvdemetni250"/>
        <w:shd w:val="clear" w:color="auto" w:fill="FFFFFF" w:themeFill="background1"/>
        <w:spacing w:before="120" w:after="120" w:line="240" w:lineRule="auto"/>
        <w:ind w:left="1134" w:hanging="1134"/>
        <w:rPr>
          <w:sz w:val="24"/>
          <w:szCs w:val="24"/>
        </w:rPr>
      </w:pPr>
      <w:r w:rsidRPr="00DE12A3">
        <w:rPr>
          <w:sz w:val="24"/>
          <w:szCs w:val="24"/>
        </w:rPr>
        <w:t xml:space="preserve">                  </w:t>
      </w:r>
      <w:r w:rsidR="00242DA0" w:rsidRPr="00DE12A3">
        <w:rPr>
          <w:sz w:val="24"/>
          <w:szCs w:val="24"/>
        </w:rPr>
        <w:t>Tablo 6.5, doğrusallık doğrulaması gerektiren ölçüm sistemlerini göstermektedir. Bu Tablo için aşağıdaki hükümler uygulanır:</w:t>
      </w:r>
    </w:p>
    <w:p w14:paraId="3388E40E" w14:textId="4BD5B18A" w:rsidR="002D7B36" w:rsidRPr="00DE12A3" w:rsidRDefault="00242DA0" w:rsidP="00C917D6">
      <w:pPr>
        <w:pStyle w:val="Gvdemetni250"/>
        <w:shd w:val="clear" w:color="auto" w:fill="FFFFFF" w:themeFill="background1"/>
        <w:spacing w:before="120" w:after="120" w:line="240" w:lineRule="auto"/>
        <w:ind w:left="1701" w:hanging="567"/>
        <w:rPr>
          <w:sz w:val="24"/>
          <w:szCs w:val="24"/>
        </w:rPr>
      </w:pPr>
      <w:r w:rsidRPr="00DE12A3">
        <w:rPr>
          <w:sz w:val="24"/>
          <w:szCs w:val="24"/>
        </w:rPr>
        <w:t>(a)</w:t>
      </w:r>
      <w:r w:rsidRPr="00DE12A3">
        <w:rPr>
          <w:sz w:val="24"/>
          <w:szCs w:val="24"/>
        </w:rPr>
        <w:tab/>
      </w:r>
      <w:r w:rsidR="009137C8" w:rsidRPr="00DE12A3">
        <w:rPr>
          <w:sz w:val="24"/>
          <w:szCs w:val="24"/>
        </w:rPr>
        <w:t>C</w:t>
      </w:r>
      <w:r w:rsidRPr="00DE12A3">
        <w:rPr>
          <w:sz w:val="24"/>
          <w:szCs w:val="24"/>
        </w:rPr>
        <w:t>ihaz imalatçısı tavsiye ediyorsa veya iyi mühendislik kararı esasında doğrusallık doğrulaması daha sık yapılmalıdır</w:t>
      </w:r>
      <w:r w:rsidR="009B29C4" w:rsidRPr="00DE12A3">
        <w:rPr>
          <w:sz w:val="24"/>
          <w:szCs w:val="24"/>
        </w:rPr>
        <w:t>.</w:t>
      </w:r>
    </w:p>
    <w:p w14:paraId="25A1BC23" w14:textId="6008E3A8" w:rsidR="002D7B36" w:rsidRPr="00DE12A3" w:rsidRDefault="00242DA0" w:rsidP="00C917D6">
      <w:pPr>
        <w:pStyle w:val="Gvdemetni250"/>
        <w:shd w:val="clear" w:color="auto" w:fill="FFFFFF" w:themeFill="background1"/>
        <w:spacing w:before="120" w:after="120" w:line="240" w:lineRule="auto"/>
        <w:ind w:left="1701" w:hanging="567"/>
        <w:rPr>
          <w:sz w:val="24"/>
          <w:szCs w:val="24"/>
        </w:rPr>
      </w:pPr>
      <w:r w:rsidRPr="00DE12A3">
        <w:rPr>
          <w:sz w:val="24"/>
          <w:szCs w:val="24"/>
        </w:rPr>
        <w:lastRenderedPageBreak/>
        <w:t>(b)</w:t>
      </w:r>
      <w:r w:rsidRPr="00DE12A3">
        <w:rPr>
          <w:sz w:val="24"/>
          <w:szCs w:val="24"/>
        </w:rPr>
        <w:tab/>
        <w:t>"min", doğrusallık doğrulaması sırasında kullanılan asgari referans değeri ifade eder</w:t>
      </w:r>
      <w:r w:rsidR="009B29C4" w:rsidRPr="00DE12A3">
        <w:rPr>
          <w:sz w:val="24"/>
          <w:szCs w:val="24"/>
        </w:rPr>
        <w:t>.</w:t>
      </w:r>
    </w:p>
    <w:p w14:paraId="48BB5664" w14:textId="50128CC8" w:rsidR="002D7B36" w:rsidRPr="00DE12A3" w:rsidRDefault="009137C8" w:rsidP="00C917D6">
      <w:pPr>
        <w:pStyle w:val="Gvdemetni250"/>
        <w:shd w:val="clear" w:color="auto" w:fill="FFFFFF" w:themeFill="background1"/>
        <w:spacing w:before="120" w:after="120" w:line="240" w:lineRule="auto"/>
        <w:ind w:left="1701" w:hanging="567"/>
        <w:rPr>
          <w:sz w:val="24"/>
          <w:szCs w:val="24"/>
        </w:rPr>
      </w:pPr>
      <w:r w:rsidRPr="00DE12A3">
        <w:rPr>
          <w:sz w:val="24"/>
          <w:szCs w:val="24"/>
        </w:rPr>
        <w:t xml:space="preserve">         </w:t>
      </w:r>
      <w:r w:rsidR="00242DA0" w:rsidRPr="00DE12A3">
        <w:rPr>
          <w:sz w:val="24"/>
          <w:szCs w:val="24"/>
        </w:rPr>
        <w:t>Sinyale bağlı olarak bu değerin sıfır veya negatif bir değer olabileceği unutulmamalıdır</w:t>
      </w:r>
      <w:r w:rsidR="009B29C4" w:rsidRPr="00DE12A3">
        <w:rPr>
          <w:sz w:val="24"/>
          <w:szCs w:val="24"/>
        </w:rPr>
        <w:t>.</w:t>
      </w:r>
    </w:p>
    <w:p w14:paraId="55EE25B3" w14:textId="72AFABF2" w:rsidR="002D7B36" w:rsidRPr="00DE12A3" w:rsidRDefault="009137C8" w:rsidP="00E20716">
      <w:pPr>
        <w:pStyle w:val="Gvdemetni250"/>
        <w:numPr>
          <w:ilvl w:val="0"/>
          <w:numId w:val="188"/>
        </w:numPr>
        <w:shd w:val="clear" w:color="auto" w:fill="FFFFFF" w:themeFill="background1"/>
        <w:spacing w:before="120" w:after="120" w:line="240" w:lineRule="auto"/>
        <w:ind w:left="1701" w:hanging="567"/>
        <w:rPr>
          <w:sz w:val="24"/>
          <w:szCs w:val="24"/>
        </w:rPr>
      </w:pPr>
      <w:r w:rsidRPr="00DE12A3">
        <w:rPr>
          <w:sz w:val="24"/>
          <w:szCs w:val="24"/>
        </w:rPr>
        <w:t xml:space="preserve">     </w:t>
      </w:r>
      <w:r w:rsidR="00242DA0" w:rsidRPr="00DE12A3">
        <w:rPr>
          <w:sz w:val="24"/>
          <w:szCs w:val="24"/>
        </w:rPr>
        <w:t>"max" genellikle doğrusallık doğrulaması sırasında kullanılan azami referans değeri ifade eder. Örneğin, gaz bölücüler için xmax; bölünmemiş, seyreltilmemiş ayar gazı konsantrasyonudur. "max" ifadesinin farklı bir değeri ifade ettiği özel durumlar şunlardır</w:t>
      </w:r>
      <w:r w:rsidR="009B29C4" w:rsidRPr="00DE12A3">
        <w:rPr>
          <w:sz w:val="24"/>
          <w:szCs w:val="24"/>
        </w:rPr>
        <w:t>;</w:t>
      </w:r>
    </w:p>
    <w:p w14:paraId="2C292908" w14:textId="58645434" w:rsidR="00AC01FB" w:rsidRPr="00DE12A3" w:rsidRDefault="00AC01FB" w:rsidP="00C917D6">
      <w:pPr>
        <w:pStyle w:val="Gvdemetni250"/>
        <w:shd w:val="clear" w:color="auto" w:fill="FFFFFF" w:themeFill="background1"/>
        <w:tabs>
          <w:tab w:val="left" w:pos="1134"/>
        </w:tabs>
        <w:spacing w:before="120" w:after="120" w:line="240" w:lineRule="auto"/>
        <w:ind w:left="2268" w:hanging="425"/>
        <w:rPr>
          <w:sz w:val="24"/>
          <w:szCs w:val="24"/>
        </w:rPr>
      </w:pPr>
      <w:r w:rsidRPr="00DE12A3">
        <w:rPr>
          <w:sz w:val="24"/>
          <w:szCs w:val="24"/>
        </w:rPr>
        <w:t>(i)</w:t>
      </w:r>
      <w:r w:rsidRPr="00DE12A3">
        <w:rPr>
          <w:sz w:val="24"/>
          <w:szCs w:val="24"/>
        </w:rPr>
        <w:tab/>
        <w:t>PM dengesi doğrusallık doğrulaması için mmax, bir PM filtresinin tipik kütlesini ifade eder</w:t>
      </w:r>
      <w:r w:rsidR="009B29C4" w:rsidRPr="00DE12A3">
        <w:rPr>
          <w:sz w:val="24"/>
          <w:szCs w:val="24"/>
        </w:rPr>
        <w:t>.</w:t>
      </w:r>
    </w:p>
    <w:p w14:paraId="4217EC0D" w14:textId="1BFF414F" w:rsidR="00AC01FB" w:rsidRPr="00DE12A3" w:rsidRDefault="00AC01FB" w:rsidP="00C917D6">
      <w:pPr>
        <w:pStyle w:val="Gvdemetni250"/>
        <w:shd w:val="clear" w:color="auto" w:fill="FFFFFF" w:themeFill="background1"/>
        <w:tabs>
          <w:tab w:val="left" w:pos="1134"/>
        </w:tabs>
        <w:spacing w:before="120" w:after="120" w:line="240" w:lineRule="auto"/>
        <w:ind w:left="2268" w:hanging="425"/>
        <w:rPr>
          <w:sz w:val="24"/>
          <w:szCs w:val="24"/>
        </w:rPr>
      </w:pPr>
      <w:r w:rsidRPr="00DE12A3">
        <w:rPr>
          <w:sz w:val="24"/>
          <w:szCs w:val="24"/>
        </w:rPr>
        <w:t>(ii)</w:t>
      </w:r>
      <w:r w:rsidRPr="00DE12A3">
        <w:rPr>
          <w:sz w:val="24"/>
          <w:szCs w:val="24"/>
        </w:rPr>
        <w:tab/>
        <w:t>Tork doğrusallık doğrulaması için Tmax, test edilecek en yüksek torklu motorun, imalatçı tarafından belirtilen tepe motor torku değerini ifade eder</w:t>
      </w:r>
      <w:r w:rsidR="009B29C4" w:rsidRPr="00DE12A3">
        <w:rPr>
          <w:sz w:val="24"/>
          <w:szCs w:val="24"/>
        </w:rPr>
        <w:t>.</w:t>
      </w:r>
    </w:p>
    <w:p w14:paraId="2AC787E4" w14:textId="77777777" w:rsidR="002D7B36" w:rsidRPr="00DE12A3" w:rsidRDefault="009137C8" w:rsidP="00E20716">
      <w:pPr>
        <w:pStyle w:val="Gvdemetni250"/>
        <w:numPr>
          <w:ilvl w:val="0"/>
          <w:numId w:val="188"/>
        </w:numPr>
        <w:shd w:val="clear" w:color="auto" w:fill="FFFFFF" w:themeFill="background1"/>
        <w:spacing w:before="120" w:after="120" w:line="240" w:lineRule="auto"/>
        <w:ind w:left="1701" w:hanging="567"/>
        <w:rPr>
          <w:sz w:val="24"/>
          <w:szCs w:val="24"/>
        </w:rPr>
      </w:pPr>
      <w:r w:rsidRPr="00DE12A3">
        <w:rPr>
          <w:sz w:val="24"/>
          <w:szCs w:val="24"/>
        </w:rPr>
        <w:t>B</w:t>
      </w:r>
      <w:r w:rsidR="00242DA0" w:rsidRPr="00DE12A3">
        <w:rPr>
          <w:sz w:val="24"/>
          <w:szCs w:val="24"/>
        </w:rPr>
        <w:t>elirtilen aralıklar kapsamlıdır. Örneğin, a1 eğimi için belirlenmiş bir 0,98-1,02 aralığı, 0,98 ≤ a1 ≤ 1,02 anlamına gelir.</w:t>
      </w:r>
    </w:p>
    <w:p w14:paraId="43B4EF26" w14:textId="77777777" w:rsidR="002D7B36" w:rsidRPr="00DE12A3" w:rsidRDefault="002D7B36" w:rsidP="00E20716">
      <w:pPr>
        <w:pStyle w:val="ListeParagraf"/>
        <w:numPr>
          <w:ilvl w:val="0"/>
          <w:numId w:val="195"/>
        </w:numPr>
        <w:tabs>
          <w:tab w:val="left" w:pos="280"/>
        </w:tabs>
        <w:spacing w:before="120" w:after="120"/>
        <w:ind w:left="1701" w:hanging="567"/>
        <w:contextualSpacing w:val="0"/>
        <w:jc w:val="both"/>
        <w:rPr>
          <w:rFonts w:eastAsia="Times New Roman" w:cs="Times New Roman"/>
          <w:vanish/>
          <w:color w:val="auto"/>
          <w:spacing w:val="3"/>
          <w:lang w:eastAsia="en-US"/>
        </w:rPr>
      </w:pPr>
    </w:p>
    <w:p w14:paraId="0F475CEC" w14:textId="77777777" w:rsidR="002D7B36" w:rsidRPr="00DE12A3" w:rsidRDefault="002D7B36" w:rsidP="00E20716">
      <w:pPr>
        <w:pStyle w:val="ListeParagraf"/>
        <w:numPr>
          <w:ilvl w:val="0"/>
          <w:numId w:val="195"/>
        </w:numPr>
        <w:tabs>
          <w:tab w:val="left" w:pos="280"/>
        </w:tabs>
        <w:spacing w:before="120" w:after="120"/>
        <w:ind w:left="1701" w:hanging="567"/>
        <w:contextualSpacing w:val="0"/>
        <w:jc w:val="both"/>
        <w:rPr>
          <w:rFonts w:eastAsia="Times New Roman" w:cs="Times New Roman"/>
          <w:vanish/>
          <w:color w:val="auto"/>
          <w:spacing w:val="3"/>
          <w:lang w:eastAsia="en-US"/>
        </w:rPr>
      </w:pPr>
    </w:p>
    <w:p w14:paraId="3FC49497" w14:textId="77777777" w:rsidR="002D7B36" w:rsidRPr="00DE12A3" w:rsidRDefault="002D7B36" w:rsidP="00E20716">
      <w:pPr>
        <w:pStyle w:val="ListeParagraf"/>
        <w:numPr>
          <w:ilvl w:val="0"/>
          <w:numId w:val="195"/>
        </w:numPr>
        <w:tabs>
          <w:tab w:val="left" w:pos="280"/>
        </w:tabs>
        <w:spacing w:before="120" w:after="120"/>
        <w:ind w:left="1701" w:hanging="567"/>
        <w:contextualSpacing w:val="0"/>
        <w:jc w:val="both"/>
        <w:rPr>
          <w:rFonts w:eastAsia="Times New Roman" w:cs="Times New Roman"/>
          <w:vanish/>
          <w:color w:val="auto"/>
          <w:spacing w:val="3"/>
          <w:lang w:eastAsia="en-US"/>
        </w:rPr>
      </w:pPr>
    </w:p>
    <w:p w14:paraId="738529F0" w14:textId="77777777" w:rsidR="002D7B36" w:rsidRPr="00DE12A3" w:rsidRDefault="002D7B36" w:rsidP="00E20716">
      <w:pPr>
        <w:pStyle w:val="ListeParagraf"/>
        <w:numPr>
          <w:ilvl w:val="0"/>
          <w:numId w:val="195"/>
        </w:numPr>
        <w:tabs>
          <w:tab w:val="left" w:pos="280"/>
        </w:tabs>
        <w:spacing w:before="120" w:after="120"/>
        <w:ind w:left="1701" w:hanging="567"/>
        <w:contextualSpacing w:val="0"/>
        <w:jc w:val="both"/>
        <w:rPr>
          <w:rFonts w:eastAsia="Times New Roman" w:cs="Times New Roman"/>
          <w:vanish/>
          <w:color w:val="auto"/>
          <w:spacing w:val="3"/>
          <w:lang w:eastAsia="en-US"/>
        </w:rPr>
      </w:pPr>
    </w:p>
    <w:p w14:paraId="56A6C828" w14:textId="2A793530" w:rsidR="002D7B36" w:rsidRPr="00DE12A3" w:rsidRDefault="009137C8" w:rsidP="00E20716">
      <w:pPr>
        <w:pStyle w:val="Gvdemetni250"/>
        <w:numPr>
          <w:ilvl w:val="0"/>
          <w:numId w:val="195"/>
        </w:numPr>
        <w:shd w:val="clear" w:color="auto" w:fill="auto"/>
        <w:spacing w:before="120" w:after="120" w:line="240" w:lineRule="auto"/>
        <w:ind w:left="1701" w:hanging="567"/>
        <w:rPr>
          <w:sz w:val="24"/>
          <w:szCs w:val="24"/>
        </w:rPr>
      </w:pPr>
      <w:r w:rsidRPr="00DE12A3">
        <w:rPr>
          <w:sz w:val="24"/>
          <w:szCs w:val="24"/>
        </w:rPr>
        <w:t xml:space="preserve">    P</w:t>
      </w:r>
      <w:r w:rsidR="00242DA0" w:rsidRPr="00DE12A3">
        <w:rPr>
          <w:sz w:val="24"/>
          <w:szCs w:val="24"/>
        </w:rPr>
        <w:t xml:space="preserve">ropan kontrolü için 8.1.8.5 bendinde tarif edilen seyreltilmiş egzoz gazı için akış hızı doğrulamasından geçen sistemler için veya giriş havasına, yakıta ve seyreltik egzoz gazına ait karbonun veya oksijenin kimyasal dengesine bağlı olarak ± </w:t>
      </w:r>
      <w:r w:rsidR="004E7F54" w:rsidRPr="00DE12A3">
        <w:rPr>
          <w:sz w:val="24"/>
          <w:szCs w:val="24"/>
        </w:rPr>
        <w:t>%2</w:t>
      </w:r>
      <w:r w:rsidR="00242DA0" w:rsidRPr="00DE12A3">
        <w:rPr>
          <w:sz w:val="24"/>
          <w:szCs w:val="24"/>
        </w:rPr>
        <w:t xml:space="preserve"> aralığı içinde uyan sistemler için şart değildir</w:t>
      </w:r>
      <w:r w:rsidR="009B29C4" w:rsidRPr="00DE12A3">
        <w:rPr>
          <w:sz w:val="24"/>
          <w:szCs w:val="24"/>
        </w:rPr>
        <w:t>.</w:t>
      </w:r>
    </w:p>
    <w:p w14:paraId="57599CFE" w14:textId="06FA42D7" w:rsidR="002D7B36" w:rsidRPr="00DE12A3" w:rsidRDefault="009137C8" w:rsidP="00C917D6">
      <w:pPr>
        <w:pStyle w:val="Gvdemetni250"/>
        <w:shd w:val="clear" w:color="auto" w:fill="auto"/>
        <w:spacing w:before="120" w:after="120" w:line="240" w:lineRule="auto"/>
        <w:ind w:left="1701" w:hanging="567"/>
        <w:rPr>
          <w:sz w:val="24"/>
          <w:szCs w:val="24"/>
        </w:rPr>
      </w:pPr>
      <w:r w:rsidRPr="00DE12A3">
        <w:rPr>
          <w:sz w:val="24"/>
          <w:szCs w:val="24"/>
        </w:rPr>
        <w:t xml:space="preserve">         B</w:t>
      </w:r>
      <w:r w:rsidR="00242DA0" w:rsidRPr="00DE12A3">
        <w:rPr>
          <w:sz w:val="24"/>
          <w:szCs w:val="24"/>
        </w:rPr>
        <w:t>u miktarlara ilişkin a</w:t>
      </w:r>
      <w:r w:rsidR="00242DA0" w:rsidRPr="00DE12A3">
        <w:rPr>
          <w:sz w:val="24"/>
          <w:szCs w:val="24"/>
          <w:vertAlign w:val="subscript"/>
        </w:rPr>
        <w:t>1</w:t>
      </w:r>
      <w:r w:rsidR="00242DA0" w:rsidRPr="00DE12A3">
        <w:rPr>
          <w:sz w:val="24"/>
          <w:szCs w:val="24"/>
        </w:rPr>
        <w:t xml:space="preserve"> kriterleri, sadece fiili değerle doğrusal olarak orantılı olan bir sinyalin aksine, miktarın mutlak değeri gerektiğinde sağlanmalıdır</w:t>
      </w:r>
      <w:r w:rsidR="009B29C4" w:rsidRPr="00DE12A3">
        <w:rPr>
          <w:sz w:val="24"/>
          <w:szCs w:val="24"/>
        </w:rPr>
        <w:t>.</w:t>
      </w:r>
    </w:p>
    <w:p w14:paraId="23E89CC8" w14:textId="49E2E1C2" w:rsidR="002D7B36" w:rsidRPr="00DE12A3" w:rsidRDefault="009137C8" w:rsidP="00E20716">
      <w:pPr>
        <w:pStyle w:val="Gvdemetni250"/>
        <w:numPr>
          <w:ilvl w:val="0"/>
          <w:numId w:val="195"/>
        </w:numPr>
        <w:shd w:val="clear" w:color="auto" w:fill="auto"/>
        <w:spacing w:before="120" w:after="120" w:line="240" w:lineRule="auto"/>
        <w:ind w:left="1701" w:hanging="567"/>
        <w:rPr>
          <w:sz w:val="24"/>
          <w:szCs w:val="24"/>
        </w:rPr>
      </w:pPr>
      <w:r w:rsidRPr="00DE12A3">
        <w:rPr>
          <w:sz w:val="24"/>
          <w:szCs w:val="24"/>
        </w:rPr>
        <w:t xml:space="preserve">    B</w:t>
      </w:r>
      <w:r w:rsidR="00242DA0" w:rsidRPr="00DE12A3">
        <w:rPr>
          <w:sz w:val="24"/>
          <w:szCs w:val="24"/>
        </w:rPr>
        <w:t>ağımsız sıcaklıklar; motor sıcaklıklarını ve motor koşullarını ayarlamak veya doğrulamak için kullanılan ortam koşullarını, test sistemindeki kritik koşulları ayarlamak veya doğrulamak için kullanılan sıcaklıkları ve emisyon hesaplamalarında kullanılan sıcaklıkları içerir</w:t>
      </w:r>
      <w:r w:rsidR="009B29C4" w:rsidRPr="00DE12A3">
        <w:rPr>
          <w:sz w:val="24"/>
          <w:szCs w:val="24"/>
        </w:rPr>
        <w:t>.</w:t>
      </w:r>
    </w:p>
    <w:p w14:paraId="2DD37CB3" w14:textId="1893252C" w:rsidR="002D7B36" w:rsidRPr="00DE12A3" w:rsidRDefault="009137C8" w:rsidP="00E20716">
      <w:pPr>
        <w:pStyle w:val="Gvdemetni250"/>
        <w:numPr>
          <w:ilvl w:val="0"/>
          <w:numId w:val="196"/>
        </w:numPr>
        <w:shd w:val="clear" w:color="auto" w:fill="auto"/>
        <w:tabs>
          <w:tab w:val="left" w:pos="1134"/>
        </w:tabs>
        <w:spacing w:before="120" w:after="120" w:line="240" w:lineRule="auto"/>
        <w:ind w:left="2268" w:hanging="567"/>
        <w:rPr>
          <w:sz w:val="24"/>
          <w:szCs w:val="24"/>
        </w:rPr>
      </w:pPr>
      <w:r w:rsidRPr="00DE12A3">
        <w:rPr>
          <w:sz w:val="24"/>
          <w:szCs w:val="24"/>
        </w:rPr>
        <w:t xml:space="preserve">  B</w:t>
      </w:r>
      <w:r w:rsidR="00242DA0" w:rsidRPr="00DE12A3">
        <w:rPr>
          <w:sz w:val="24"/>
          <w:szCs w:val="24"/>
        </w:rPr>
        <w:t xml:space="preserve">u sıcaklık doğrusallığı kontrolleri gereklidir. Hava girişi; </w:t>
      </w:r>
      <w:r w:rsidR="007E2039" w:rsidRPr="00DE12A3">
        <w:rPr>
          <w:sz w:val="24"/>
          <w:szCs w:val="24"/>
        </w:rPr>
        <w:t xml:space="preserve">arıtma </w:t>
      </w:r>
      <w:r w:rsidR="00242DA0" w:rsidRPr="00DE12A3">
        <w:rPr>
          <w:sz w:val="24"/>
          <w:szCs w:val="24"/>
        </w:rPr>
        <w:t xml:space="preserve">tezgâhları (soğuk çalıştırma kriterlerine sahip </w:t>
      </w:r>
      <w:r w:rsidR="00F310B5" w:rsidRPr="00DE12A3">
        <w:rPr>
          <w:sz w:val="24"/>
          <w:szCs w:val="24"/>
        </w:rPr>
        <w:t>çevrim</w:t>
      </w:r>
      <w:r w:rsidR="00242DA0" w:rsidRPr="00DE12A3">
        <w:rPr>
          <w:sz w:val="24"/>
          <w:szCs w:val="24"/>
        </w:rPr>
        <w:t xml:space="preserve">lerde egzoz </w:t>
      </w:r>
      <w:r w:rsidR="007E2039" w:rsidRPr="00DE12A3">
        <w:rPr>
          <w:sz w:val="24"/>
          <w:szCs w:val="24"/>
        </w:rPr>
        <w:t xml:space="preserve">arıtma </w:t>
      </w:r>
      <w:r w:rsidR="00242DA0" w:rsidRPr="00DE12A3">
        <w:rPr>
          <w:sz w:val="24"/>
          <w:szCs w:val="24"/>
        </w:rPr>
        <w:t>sistemleri ile test edilen motorlar için)</w:t>
      </w:r>
      <w:r w:rsidR="009B29C4" w:rsidRPr="00DE12A3">
        <w:rPr>
          <w:sz w:val="24"/>
          <w:szCs w:val="24"/>
        </w:rPr>
        <w:t>,</w:t>
      </w:r>
      <w:r w:rsidR="00242DA0" w:rsidRPr="00DE12A3">
        <w:rPr>
          <w:sz w:val="24"/>
          <w:szCs w:val="24"/>
        </w:rPr>
        <w:t xml:space="preserve"> PM örneklemesi için seyreltme havası (CVS, çift seyreltme ve kısmi akış sistemleri)</w:t>
      </w:r>
      <w:r w:rsidR="009B29C4" w:rsidRPr="00DE12A3">
        <w:rPr>
          <w:sz w:val="24"/>
          <w:szCs w:val="24"/>
        </w:rPr>
        <w:t>,</w:t>
      </w:r>
      <w:r w:rsidR="00242DA0" w:rsidRPr="00DE12A3">
        <w:rPr>
          <w:sz w:val="24"/>
          <w:szCs w:val="24"/>
        </w:rPr>
        <w:t xml:space="preserve"> PM numunesi ve soğutucu numunesi (numuneleri kurutmak için soğutucu kullanan gaz örnekleme sistemleri için)</w:t>
      </w:r>
      <w:r w:rsidR="009B29C4" w:rsidRPr="00DE12A3">
        <w:rPr>
          <w:sz w:val="24"/>
          <w:szCs w:val="24"/>
        </w:rPr>
        <w:t>.</w:t>
      </w:r>
    </w:p>
    <w:p w14:paraId="2563A2EA" w14:textId="3ACB3BEB" w:rsidR="002D7B36" w:rsidRPr="00DE12A3" w:rsidRDefault="009137C8" w:rsidP="00E20716">
      <w:pPr>
        <w:pStyle w:val="Gvdemetni250"/>
        <w:numPr>
          <w:ilvl w:val="0"/>
          <w:numId w:val="196"/>
        </w:numPr>
        <w:shd w:val="clear" w:color="auto" w:fill="auto"/>
        <w:tabs>
          <w:tab w:val="left" w:pos="1134"/>
        </w:tabs>
        <w:spacing w:before="120" w:after="120" w:line="240" w:lineRule="auto"/>
        <w:ind w:left="2268" w:hanging="567"/>
        <w:rPr>
          <w:sz w:val="24"/>
          <w:szCs w:val="24"/>
        </w:rPr>
      </w:pPr>
      <w:r w:rsidRPr="00DE12A3">
        <w:rPr>
          <w:sz w:val="24"/>
          <w:szCs w:val="24"/>
        </w:rPr>
        <w:t xml:space="preserve">   B</w:t>
      </w:r>
      <w:r w:rsidR="00242DA0" w:rsidRPr="00DE12A3">
        <w:rPr>
          <w:sz w:val="24"/>
          <w:szCs w:val="24"/>
        </w:rPr>
        <w:t>u sıcaklık doğrusallığı kontrolleri sadece motor imalatçısı tarafından belirtilmişse şarttır. Yakıt girişi; test hücresi şarj havası soğutucusu hava çıkışı (karayolu dışında kullanılan hareketli makina şarj havası soğutucusunu simüle eden bir test hücresi ısı eşanjörü ile test edilen motorlar için)</w:t>
      </w:r>
      <w:r w:rsidR="009B29C4" w:rsidRPr="00DE12A3">
        <w:rPr>
          <w:sz w:val="24"/>
          <w:szCs w:val="24"/>
        </w:rPr>
        <w:t>,</w:t>
      </w:r>
      <w:r w:rsidR="00242DA0" w:rsidRPr="00DE12A3">
        <w:rPr>
          <w:sz w:val="24"/>
          <w:szCs w:val="24"/>
        </w:rPr>
        <w:t xml:space="preserve"> test hücresi şarj havası soğutucusu soğutma sıvısı girişi (karayolu dışında kullanılan hareketli makina şarj havası soğutucusunu simüle eden bir test hücresi ısı eşanjörü ile test edilen motorlar için)</w:t>
      </w:r>
      <w:r w:rsidR="009B29C4" w:rsidRPr="00DE12A3">
        <w:rPr>
          <w:sz w:val="24"/>
          <w:szCs w:val="24"/>
        </w:rPr>
        <w:t>,</w:t>
      </w:r>
      <w:r w:rsidR="00242DA0" w:rsidRPr="00DE12A3">
        <w:rPr>
          <w:sz w:val="24"/>
          <w:szCs w:val="24"/>
        </w:rPr>
        <w:t xml:space="preserve"> ve karterdeki/tavadaki yağ; termostattan önce soğutma sıvısı (sıvı soğutmalı motorlar için)</w:t>
      </w:r>
      <w:r w:rsidR="009B29C4" w:rsidRPr="00DE12A3">
        <w:rPr>
          <w:sz w:val="24"/>
          <w:szCs w:val="24"/>
        </w:rPr>
        <w:t>.</w:t>
      </w:r>
    </w:p>
    <w:p w14:paraId="7A6DB436" w14:textId="21C68A8D" w:rsidR="002D7B36" w:rsidRPr="00DE12A3" w:rsidRDefault="00242DA0" w:rsidP="00C917D6">
      <w:pPr>
        <w:pStyle w:val="Gvdemetni250"/>
        <w:shd w:val="clear" w:color="auto" w:fill="FFFFFF" w:themeFill="background1"/>
        <w:spacing w:before="120" w:after="120" w:line="240" w:lineRule="auto"/>
        <w:ind w:left="1701" w:hanging="567"/>
        <w:rPr>
          <w:sz w:val="24"/>
          <w:szCs w:val="24"/>
        </w:rPr>
      </w:pPr>
      <w:r w:rsidRPr="00DE12A3">
        <w:rPr>
          <w:sz w:val="24"/>
          <w:szCs w:val="24"/>
        </w:rPr>
        <w:t>(h)</w:t>
      </w:r>
      <w:r w:rsidRPr="00DE12A3">
        <w:rPr>
          <w:sz w:val="24"/>
          <w:szCs w:val="24"/>
        </w:rPr>
        <w:tab/>
      </w:r>
      <w:r w:rsidR="009137C8" w:rsidRPr="00DE12A3">
        <w:rPr>
          <w:sz w:val="24"/>
          <w:szCs w:val="24"/>
        </w:rPr>
        <w:t>B</w:t>
      </w:r>
      <w:r w:rsidRPr="00DE12A3">
        <w:rPr>
          <w:sz w:val="24"/>
          <w:szCs w:val="24"/>
        </w:rPr>
        <w:t>ağımsız basınçlar; motor basınçlarını ve motor koşullarını ayarlamak veya doğrulamak için kullanılan ortam koşullarını, test sistemindeki kritik koşulları ayarlamak veya doğrulamak için kullanılan basınçları ve emisyon hesaplamalarında kullanılan basınçları içerir</w:t>
      </w:r>
      <w:r w:rsidR="009B29C4" w:rsidRPr="00DE12A3">
        <w:rPr>
          <w:sz w:val="24"/>
          <w:szCs w:val="24"/>
        </w:rPr>
        <w:t>.</w:t>
      </w:r>
    </w:p>
    <w:p w14:paraId="5DA76736" w14:textId="58BE1771" w:rsidR="002D7B36" w:rsidRPr="00DE12A3" w:rsidRDefault="00242DA0" w:rsidP="00C917D6">
      <w:pPr>
        <w:pStyle w:val="Gvdemetni250"/>
        <w:shd w:val="clear" w:color="auto" w:fill="FFFFFF" w:themeFill="background1"/>
        <w:spacing w:before="120" w:after="120" w:line="240" w:lineRule="auto"/>
        <w:ind w:left="2268" w:hanging="567"/>
        <w:rPr>
          <w:sz w:val="24"/>
          <w:szCs w:val="24"/>
        </w:rPr>
      </w:pPr>
      <w:r w:rsidRPr="00DE12A3">
        <w:rPr>
          <w:sz w:val="24"/>
          <w:szCs w:val="24"/>
        </w:rPr>
        <w:t>(i)</w:t>
      </w:r>
      <w:r w:rsidRPr="00DE12A3">
        <w:rPr>
          <w:sz w:val="24"/>
          <w:szCs w:val="24"/>
        </w:rPr>
        <w:tab/>
      </w:r>
      <w:r w:rsidR="009137C8" w:rsidRPr="00DE12A3">
        <w:rPr>
          <w:sz w:val="24"/>
          <w:szCs w:val="24"/>
        </w:rPr>
        <w:t>G</w:t>
      </w:r>
      <w:r w:rsidRPr="00DE12A3">
        <w:rPr>
          <w:sz w:val="24"/>
          <w:szCs w:val="24"/>
        </w:rPr>
        <w:t xml:space="preserve">erekli basınç doğrusallığı kontrolleri; giriş hava basıncı kısıtlaması, egzoz gazı geri basıncı, barometre, CVS giriş göstergesi basıncı </w:t>
      </w:r>
      <w:r w:rsidRPr="00DE12A3">
        <w:rPr>
          <w:sz w:val="24"/>
          <w:szCs w:val="24"/>
        </w:rPr>
        <w:lastRenderedPageBreak/>
        <w:t>(CVS kullanılarak ölçüm yapıldıysa); soğutucu numunesi (numuneleri kurutmak için soğutucu kullanan gaz örnekleme sistemleri için)</w:t>
      </w:r>
      <w:r w:rsidR="009B29C4" w:rsidRPr="00DE12A3">
        <w:rPr>
          <w:sz w:val="24"/>
          <w:szCs w:val="24"/>
        </w:rPr>
        <w:t>.</w:t>
      </w:r>
    </w:p>
    <w:p w14:paraId="7A2F7C86" w14:textId="0EDD28A4" w:rsidR="002D7B36" w:rsidRPr="00DE12A3" w:rsidRDefault="00242DA0" w:rsidP="00C917D6">
      <w:pPr>
        <w:pStyle w:val="Gvdemetni250"/>
        <w:shd w:val="clear" w:color="auto" w:fill="FFFFFF" w:themeFill="background1"/>
        <w:spacing w:before="120" w:after="120" w:line="240" w:lineRule="auto"/>
        <w:ind w:left="2268" w:hanging="567"/>
        <w:rPr>
          <w:sz w:val="24"/>
          <w:szCs w:val="24"/>
        </w:rPr>
      </w:pPr>
      <w:r w:rsidRPr="00DE12A3">
        <w:rPr>
          <w:sz w:val="24"/>
          <w:szCs w:val="24"/>
        </w:rPr>
        <w:t>(ii)</w:t>
      </w:r>
      <w:r w:rsidRPr="00DE12A3">
        <w:rPr>
          <w:sz w:val="24"/>
          <w:szCs w:val="24"/>
        </w:rPr>
        <w:tab/>
      </w:r>
      <w:r w:rsidR="009137C8" w:rsidRPr="00DE12A3">
        <w:rPr>
          <w:sz w:val="24"/>
          <w:szCs w:val="24"/>
        </w:rPr>
        <w:t>S</w:t>
      </w:r>
      <w:r w:rsidRPr="00DE12A3">
        <w:rPr>
          <w:sz w:val="24"/>
          <w:szCs w:val="24"/>
        </w:rPr>
        <w:t>adece motor imalatçısı tarafından belirtilmişse gerekli olan basınç doğrusallığı kontrolleri</w:t>
      </w:r>
      <w:r w:rsidR="009B29C4" w:rsidRPr="00DE12A3">
        <w:rPr>
          <w:sz w:val="24"/>
          <w:szCs w:val="24"/>
        </w:rPr>
        <w:t>;</w:t>
      </w:r>
      <w:r w:rsidRPr="00DE12A3">
        <w:rPr>
          <w:sz w:val="24"/>
          <w:szCs w:val="24"/>
        </w:rPr>
        <w:t xml:space="preserve"> test hücresi şarj havası soğutucusu ve ara bağlantı borusu basınç düşüşü (karayolu dışında kullanılan hareketli makina şarj havası soğutucusunu simüle eden bir test hücresi ısı eşanjörü ile test edilen turbo şarjlı motorlar için)</w:t>
      </w:r>
      <w:r w:rsidR="009B29C4" w:rsidRPr="00DE12A3">
        <w:rPr>
          <w:sz w:val="24"/>
          <w:szCs w:val="24"/>
        </w:rPr>
        <w:t>.</w:t>
      </w:r>
    </w:p>
    <w:p w14:paraId="0AC90ED4" w14:textId="77777777" w:rsidR="002D7B36" w:rsidRPr="00DE12A3" w:rsidRDefault="002D7B36" w:rsidP="00C917D6">
      <w:pPr>
        <w:pStyle w:val="Gvdemetni250"/>
        <w:shd w:val="clear" w:color="auto" w:fill="FFFFFF" w:themeFill="background1"/>
        <w:spacing w:before="120" w:after="120" w:line="240" w:lineRule="auto"/>
        <w:ind w:left="2268" w:hanging="567"/>
        <w:rPr>
          <w:rStyle w:val="Tabloyazs60ptbolukbraklyor"/>
          <w:i w:val="0"/>
          <w:color w:val="auto"/>
          <w:sz w:val="24"/>
          <w:szCs w:val="24"/>
        </w:rPr>
      </w:pPr>
    </w:p>
    <w:p w14:paraId="5E4A8F17" w14:textId="77777777" w:rsidR="002D7B36" w:rsidRPr="00DE12A3" w:rsidRDefault="002D7B36" w:rsidP="00C917D6">
      <w:pPr>
        <w:pStyle w:val="Gvdemetni250"/>
        <w:shd w:val="clear" w:color="auto" w:fill="FFFFFF" w:themeFill="background1"/>
        <w:spacing w:before="120" w:after="120" w:line="240" w:lineRule="auto"/>
        <w:ind w:left="1134" w:hanging="1134"/>
        <w:rPr>
          <w:rStyle w:val="Tabloyazs60ptbolukbraklyor"/>
          <w:i w:val="0"/>
          <w:color w:val="auto"/>
          <w:sz w:val="24"/>
          <w:szCs w:val="24"/>
        </w:rPr>
      </w:pPr>
    </w:p>
    <w:p w14:paraId="6D604869" w14:textId="77777777" w:rsidR="002D7B36" w:rsidRPr="00DE12A3" w:rsidRDefault="002D7B36" w:rsidP="00C917D6">
      <w:pPr>
        <w:pStyle w:val="Gvdemetni250"/>
        <w:shd w:val="clear" w:color="auto" w:fill="FFFFFF" w:themeFill="background1"/>
        <w:spacing w:before="120" w:after="120" w:line="240" w:lineRule="auto"/>
        <w:ind w:left="1134" w:hanging="1134"/>
        <w:rPr>
          <w:rStyle w:val="Tabloyazs60ptbolukbraklyor"/>
          <w:i w:val="0"/>
          <w:color w:val="auto"/>
          <w:sz w:val="24"/>
          <w:szCs w:val="24"/>
        </w:rPr>
      </w:pPr>
    </w:p>
    <w:p w14:paraId="21C6C2EE" w14:textId="77777777" w:rsidR="00BC5D8E" w:rsidRPr="00DE12A3" w:rsidRDefault="00BC5D8E" w:rsidP="00C917D6">
      <w:pPr>
        <w:pStyle w:val="Gvdemetni250"/>
        <w:shd w:val="clear" w:color="auto" w:fill="FFFFFF" w:themeFill="background1"/>
        <w:spacing w:before="120" w:after="120" w:line="240" w:lineRule="auto"/>
        <w:ind w:left="1134" w:hanging="1134"/>
        <w:rPr>
          <w:rStyle w:val="Tabloyazs60ptbolukbraklyor"/>
          <w:i w:val="0"/>
          <w:color w:val="auto"/>
          <w:sz w:val="24"/>
          <w:szCs w:val="24"/>
        </w:rPr>
      </w:pPr>
    </w:p>
    <w:p w14:paraId="6130F5C2" w14:textId="77777777" w:rsidR="00BC5D8E" w:rsidRPr="00DE12A3" w:rsidRDefault="00BC5D8E" w:rsidP="00C917D6">
      <w:pPr>
        <w:pStyle w:val="Gvdemetni250"/>
        <w:shd w:val="clear" w:color="auto" w:fill="FFFFFF" w:themeFill="background1"/>
        <w:spacing w:before="120" w:after="120" w:line="240" w:lineRule="auto"/>
        <w:ind w:left="1134" w:hanging="1134"/>
        <w:rPr>
          <w:rStyle w:val="Tabloyazs60ptbolukbraklyor"/>
          <w:i w:val="0"/>
          <w:color w:val="auto"/>
          <w:sz w:val="24"/>
          <w:szCs w:val="24"/>
        </w:rPr>
      </w:pPr>
    </w:p>
    <w:p w14:paraId="2E50F064" w14:textId="77777777" w:rsidR="00BC5D8E" w:rsidRPr="00DE12A3" w:rsidRDefault="00BC5D8E" w:rsidP="00C917D6">
      <w:pPr>
        <w:pStyle w:val="Gvdemetni250"/>
        <w:shd w:val="clear" w:color="auto" w:fill="FFFFFF" w:themeFill="background1"/>
        <w:spacing w:before="120" w:after="120" w:line="240" w:lineRule="auto"/>
        <w:ind w:left="1134" w:hanging="1134"/>
        <w:rPr>
          <w:rStyle w:val="Tabloyazs60ptbolukbraklyor"/>
          <w:i w:val="0"/>
          <w:color w:val="auto"/>
          <w:sz w:val="24"/>
          <w:szCs w:val="24"/>
        </w:rPr>
      </w:pPr>
    </w:p>
    <w:p w14:paraId="7222E8CB" w14:textId="77777777" w:rsidR="00BC5D8E" w:rsidRPr="00DE12A3" w:rsidRDefault="00BC5D8E" w:rsidP="00C917D6">
      <w:pPr>
        <w:pStyle w:val="Gvdemetni250"/>
        <w:shd w:val="clear" w:color="auto" w:fill="FFFFFF" w:themeFill="background1"/>
        <w:spacing w:before="120" w:after="120" w:line="240" w:lineRule="auto"/>
        <w:ind w:left="1134" w:hanging="1134"/>
        <w:rPr>
          <w:rStyle w:val="Tabloyazs60ptbolukbraklyor"/>
          <w:i w:val="0"/>
          <w:color w:val="auto"/>
          <w:sz w:val="24"/>
          <w:szCs w:val="24"/>
        </w:rPr>
      </w:pPr>
    </w:p>
    <w:p w14:paraId="4049A3FD" w14:textId="77777777" w:rsidR="00BC5D8E" w:rsidRPr="00DE12A3" w:rsidRDefault="00BC5D8E" w:rsidP="00C917D6">
      <w:pPr>
        <w:pStyle w:val="Gvdemetni250"/>
        <w:shd w:val="clear" w:color="auto" w:fill="FFFFFF" w:themeFill="background1"/>
        <w:spacing w:before="120" w:after="120" w:line="240" w:lineRule="auto"/>
        <w:ind w:left="1134" w:hanging="1134"/>
        <w:rPr>
          <w:rStyle w:val="Tabloyazs60ptbolukbraklyor"/>
          <w:i w:val="0"/>
          <w:color w:val="auto"/>
          <w:sz w:val="24"/>
          <w:szCs w:val="24"/>
        </w:rPr>
      </w:pPr>
    </w:p>
    <w:p w14:paraId="6424FEA5" w14:textId="77777777" w:rsidR="00BC5D8E" w:rsidRPr="00DE12A3" w:rsidRDefault="00BC5D8E" w:rsidP="00C917D6">
      <w:pPr>
        <w:pStyle w:val="Gvdemetni250"/>
        <w:shd w:val="clear" w:color="auto" w:fill="FFFFFF" w:themeFill="background1"/>
        <w:spacing w:before="120" w:after="120" w:line="240" w:lineRule="auto"/>
        <w:ind w:left="1134" w:hanging="1134"/>
        <w:rPr>
          <w:rStyle w:val="Tabloyazs60ptbolukbraklyor"/>
          <w:i w:val="0"/>
          <w:color w:val="auto"/>
          <w:sz w:val="24"/>
          <w:szCs w:val="24"/>
        </w:rPr>
      </w:pPr>
    </w:p>
    <w:p w14:paraId="7A49E2B2" w14:textId="77777777" w:rsidR="00BC5D8E" w:rsidRPr="00DE12A3" w:rsidRDefault="00BC5D8E" w:rsidP="00C917D6">
      <w:pPr>
        <w:pStyle w:val="Gvdemetni250"/>
        <w:shd w:val="clear" w:color="auto" w:fill="FFFFFF" w:themeFill="background1"/>
        <w:spacing w:before="120" w:after="120" w:line="240" w:lineRule="auto"/>
        <w:ind w:left="1134" w:hanging="1134"/>
        <w:rPr>
          <w:rStyle w:val="Tabloyazs60ptbolukbraklyor"/>
          <w:i w:val="0"/>
          <w:color w:val="auto"/>
          <w:sz w:val="24"/>
          <w:szCs w:val="24"/>
        </w:rPr>
      </w:pPr>
    </w:p>
    <w:p w14:paraId="7F8AAFEF" w14:textId="77777777" w:rsidR="00BC5D8E" w:rsidRPr="00DE12A3" w:rsidRDefault="00BC5D8E" w:rsidP="00C917D6">
      <w:pPr>
        <w:pStyle w:val="Gvdemetni250"/>
        <w:shd w:val="clear" w:color="auto" w:fill="FFFFFF" w:themeFill="background1"/>
        <w:spacing w:before="120" w:after="120" w:line="240" w:lineRule="auto"/>
        <w:ind w:left="1134" w:hanging="1134"/>
        <w:rPr>
          <w:rStyle w:val="Tabloyazs60ptbolukbraklyor"/>
          <w:i w:val="0"/>
          <w:color w:val="auto"/>
          <w:sz w:val="24"/>
          <w:szCs w:val="24"/>
        </w:rPr>
      </w:pPr>
    </w:p>
    <w:p w14:paraId="068C6BF9" w14:textId="77777777" w:rsidR="00BC5D8E" w:rsidRPr="00DE12A3" w:rsidRDefault="00BC5D8E" w:rsidP="00C917D6">
      <w:pPr>
        <w:pStyle w:val="Gvdemetni250"/>
        <w:shd w:val="clear" w:color="auto" w:fill="FFFFFF" w:themeFill="background1"/>
        <w:spacing w:before="120" w:after="120" w:line="240" w:lineRule="auto"/>
        <w:ind w:left="1134" w:hanging="1134"/>
        <w:rPr>
          <w:rStyle w:val="Tabloyazs60ptbolukbraklyor"/>
          <w:i w:val="0"/>
          <w:color w:val="auto"/>
          <w:sz w:val="24"/>
          <w:szCs w:val="24"/>
        </w:rPr>
      </w:pPr>
    </w:p>
    <w:p w14:paraId="5416E495" w14:textId="77777777" w:rsidR="00BC5D8E" w:rsidRPr="00DE12A3" w:rsidRDefault="00BC5D8E" w:rsidP="00C917D6">
      <w:pPr>
        <w:pStyle w:val="Gvdemetni250"/>
        <w:shd w:val="clear" w:color="auto" w:fill="FFFFFF" w:themeFill="background1"/>
        <w:spacing w:before="120" w:after="120" w:line="240" w:lineRule="auto"/>
        <w:ind w:left="1134" w:hanging="1134"/>
        <w:rPr>
          <w:rStyle w:val="Tabloyazs60ptbolukbraklyor"/>
          <w:i w:val="0"/>
          <w:color w:val="auto"/>
          <w:sz w:val="24"/>
          <w:szCs w:val="24"/>
        </w:rPr>
      </w:pPr>
    </w:p>
    <w:p w14:paraId="0D4BF9A8" w14:textId="77777777" w:rsidR="002D7B36" w:rsidRPr="00DE12A3" w:rsidRDefault="002D7B36" w:rsidP="00C917D6">
      <w:pPr>
        <w:pStyle w:val="Gvdemetni250"/>
        <w:shd w:val="clear" w:color="auto" w:fill="FFFFFF" w:themeFill="background1"/>
        <w:spacing w:before="120" w:after="120" w:line="240" w:lineRule="auto"/>
        <w:ind w:left="709" w:hanging="709"/>
        <w:rPr>
          <w:rStyle w:val="Tabloyazs60ptbolukbraklyor"/>
          <w:i w:val="0"/>
          <w:color w:val="auto"/>
          <w:sz w:val="20"/>
          <w:szCs w:val="20"/>
        </w:rPr>
      </w:pPr>
    </w:p>
    <w:p w14:paraId="36B5471F" w14:textId="77777777" w:rsidR="002D7B36" w:rsidRPr="00DE12A3" w:rsidRDefault="002D7B36" w:rsidP="00C917D6">
      <w:pPr>
        <w:pStyle w:val="Gvdemetni250"/>
        <w:shd w:val="clear" w:color="auto" w:fill="FFFFFF" w:themeFill="background1"/>
        <w:spacing w:before="120" w:after="120" w:line="240" w:lineRule="auto"/>
        <w:ind w:left="709" w:hanging="709"/>
        <w:rPr>
          <w:rStyle w:val="Tabloyazs60ptbolukbraklyor"/>
          <w:i w:val="0"/>
          <w:color w:val="auto"/>
          <w:sz w:val="20"/>
          <w:szCs w:val="20"/>
        </w:rPr>
      </w:pPr>
    </w:p>
    <w:tbl>
      <w:tblPr>
        <w:tblpPr w:leftFromText="141" w:rightFromText="141" w:vertAnchor="text" w:horzAnchor="margin" w:tblpXSpec="center" w:tblpY="-9"/>
        <w:tblOverlap w:val="never"/>
        <w:tblW w:w="9120" w:type="dxa"/>
        <w:tblBorders>
          <w:top w:val="single" w:sz="4" w:space="0" w:color="auto"/>
          <w:left w:val="single" w:sz="4" w:space="0" w:color="auto"/>
          <w:bottom w:val="single" w:sz="4" w:space="0" w:color="auto"/>
          <w:right w:val="single" w:sz="4" w:space="0" w:color="auto"/>
          <w:insideH w:val="single" w:sz="4" w:space="0" w:color="auto"/>
        </w:tblBorders>
        <w:tblLayout w:type="fixed"/>
        <w:tblCellMar>
          <w:left w:w="10" w:type="dxa"/>
          <w:right w:w="10" w:type="dxa"/>
        </w:tblCellMar>
        <w:tblLook w:val="04A0" w:firstRow="1" w:lastRow="0" w:firstColumn="1" w:lastColumn="0" w:noHBand="0" w:noVBand="1"/>
      </w:tblPr>
      <w:tblGrid>
        <w:gridCol w:w="1271"/>
        <w:gridCol w:w="1210"/>
        <w:gridCol w:w="1920"/>
        <w:gridCol w:w="1493"/>
        <w:gridCol w:w="1066"/>
        <w:gridCol w:w="1176"/>
        <w:gridCol w:w="984"/>
      </w:tblGrid>
      <w:tr w:rsidR="00DE12A3" w:rsidRPr="00DE12A3" w14:paraId="2B6F5036" w14:textId="77777777" w:rsidTr="00BC5D8E">
        <w:trPr>
          <w:trHeight w:hRule="exact" w:val="422"/>
        </w:trPr>
        <w:tc>
          <w:tcPr>
            <w:tcW w:w="1271" w:type="dxa"/>
            <w:shd w:val="clear" w:color="auto" w:fill="auto"/>
          </w:tcPr>
          <w:p w14:paraId="637646BA" w14:textId="77777777" w:rsidR="00BC5D8E" w:rsidRPr="00DE12A3" w:rsidRDefault="00BC5D8E" w:rsidP="00C917D6">
            <w:pPr>
              <w:pStyle w:val="Gvdemetni0"/>
              <w:shd w:val="clear" w:color="auto" w:fill="auto"/>
              <w:spacing w:before="120" w:after="120" w:line="240" w:lineRule="auto"/>
              <w:ind w:firstLine="0"/>
              <w:jc w:val="left"/>
              <w:rPr>
                <w:sz w:val="16"/>
                <w:szCs w:val="16"/>
              </w:rPr>
            </w:pPr>
          </w:p>
        </w:tc>
        <w:tc>
          <w:tcPr>
            <w:tcW w:w="7849" w:type="dxa"/>
            <w:gridSpan w:val="6"/>
            <w:shd w:val="clear" w:color="auto" w:fill="auto"/>
          </w:tcPr>
          <w:p w14:paraId="4B843EF0" w14:textId="77777777" w:rsidR="00BC5D8E" w:rsidRPr="00DE12A3" w:rsidRDefault="00BC5D8E" w:rsidP="00C917D6">
            <w:pPr>
              <w:pStyle w:val="NormalCentered"/>
              <w:jc w:val="left"/>
              <w:rPr>
                <w:iCs/>
              </w:rPr>
            </w:pPr>
            <w:r w:rsidRPr="00DE12A3">
              <w:rPr>
                <w:iCs/>
              </w:rPr>
              <w:t xml:space="preserve">                                     Tablo 6.5</w:t>
            </w:r>
          </w:p>
        </w:tc>
      </w:tr>
      <w:tr w:rsidR="00DE12A3" w:rsidRPr="00DE12A3" w14:paraId="13719DD7" w14:textId="77777777" w:rsidTr="00BC5D8E">
        <w:trPr>
          <w:trHeight w:hRule="exact" w:val="581"/>
        </w:trPr>
        <w:tc>
          <w:tcPr>
            <w:tcW w:w="1271" w:type="dxa"/>
            <w:shd w:val="clear" w:color="auto" w:fill="auto"/>
          </w:tcPr>
          <w:p w14:paraId="6864E4FB" w14:textId="77777777" w:rsidR="00BC5D8E" w:rsidRPr="00DE12A3" w:rsidRDefault="00BC5D8E" w:rsidP="00C917D6">
            <w:pPr>
              <w:pStyle w:val="Gvdemetni0"/>
              <w:shd w:val="clear" w:color="auto" w:fill="auto"/>
              <w:spacing w:before="120" w:after="120" w:line="240" w:lineRule="auto"/>
              <w:ind w:firstLine="0"/>
              <w:jc w:val="left"/>
              <w:rPr>
                <w:sz w:val="16"/>
                <w:szCs w:val="16"/>
              </w:rPr>
            </w:pPr>
          </w:p>
        </w:tc>
        <w:tc>
          <w:tcPr>
            <w:tcW w:w="7849" w:type="dxa"/>
            <w:gridSpan w:val="6"/>
            <w:shd w:val="clear" w:color="auto" w:fill="auto"/>
          </w:tcPr>
          <w:p w14:paraId="01B16853" w14:textId="77777777" w:rsidR="00BC5D8E" w:rsidRPr="00DE12A3" w:rsidRDefault="00BC5D8E" w:rsidP="00C917D6">
            <w:pPr>
              <w:pStyle w:val="NormalCentered"/>
              <w:jc w:val="left"/>
              <w:rPr>
                <w:b/>
                <w:iCs/>
              </w:rPr>
            </w:pPr>
            <w:r w:rsidRPr="00DE12A3">
              <w:rPr>
                <w:b/>
                <w:iCs/>
              </w:rPr>
              <w:t>Doğrusallık doğrulaması gerektiren ölçüm sistemleri</w:t>
            </w:r>
          </w:p>
          <w:p w14:paraId="0DFBE44A" w14:textId="77777777" w:rsidR="00BC5D8E" w:rsidRPr="00DE12A3" w:rsidRDefault="00BC5D8E" w:rsidP="00C917D6">
            <w:pPr>
              <w:pStyle w:val="NormalCentered"/>
              <w:jc w:val="left"/>
              <w:rPr>
                <w:iCs/>
              </w:rPr>
            </w:pPr>
          </w:p>
        </w:tc>
      </w:tr>
      <w:tr w:rsidR="00DE12A3" w:rsidRPr="00DE12A3" w14:paraId="44759230" w14:textId="77777777" w:rsidTr="00BC5D8E">
        <w:trPr>
          <w:trHeight w:hRule="exact" w:val="422"/>
        </w:trPr>
        <w:tc>
          <w:tcPr>
            <w:tcW w:w="1271" w:type="dxa"/>
            <w:vMerge w:val="restart"/>
            <w:tcBorders>
              <w:right w:val="single" w:sz="4" w:space="0" w:color="auto"/>
            </w:tcBorders>
            <w:shd w:val="clear" w:color="auto" w:fill="auto"/>
          </w:tcPr>
          <w:p w14:paraId="08C0F901" w14:textId="77777777" w:rsidR="00BC5D8E" w:rsidRPr="00DE12A3" w:rsidRDefault="00BC5D8E" w:rsidP="00C917D6">
            <w:pPr>
              <w:pStyle w:val="NormalCentered"/>
            </w:pPr>
            <w:r w:rsidRPr="00DE12A3">
              <w:t>Ölçüm Sistemi</w:t>
            </w:r>
          </w:p>
        </w:tc>
        <w:tc>
          <w:tcPr>
            <w:tcW w:w="1210" w:type="dxa"/>
            <w:vMerge w:val="restart"/>
            <w:tcBorders>
              <w:left w:val="single" w:sz="4" w:space="0" w:color="auto"/>
              <w:right w:val="single" w:sz="4" w:space="0" w:color="auto"/>
            </w:tcBorders>
            <w:shd w:val="clear" w:color="auto" w:fill="auto"/>
          </w:tcPr>
          <w:p w14:paraId="6E1D622B" w14:textId="77777777" w:rsidR="00BC5D8E" w:rsidRPr="00DE12A3" w:rsidRDefault="00BC5D8E" w:rsidP="00C917D6">
            <w:pPr>
              <w:pStyle w:val="NormalCentered"/>
            </w:pPr>
            <w:r w:rsidRPr="00DE12A3">
              <w:t>Miktar</w:t>
            </w:r>
          </w:p>
        </w:tc>
        <w:tc>
          <w:tcPr>
            <w:tcW w:w="1920" w:type="dxa"/>
            <w:vMerge w:val="restart"/>
            <w:tcBorders>
              <w:left w:val="single" w:sz="4" w:space="0" w:color="auto"/>
              <w:right w:val="single" w:sz="4" w:space="0" w:color="auto"/>
            </w:tcBorders>
            <w:shd w:val="clear" w:color="auto" w:fill="auto"/>
          </w:tcPr>
          <w:p w14:paraId="784BFE68" w14:textId="77777777" w:rsidR="00BC5D8E" w:rsidRPr="00DE12A3" w:rsidRDefault="00BC5D8E" w:rsidP="00C917D6">
            <w:pPr>
              <w:pStyle w:val="NormalCentered"/>
              <w:rPr>
                <w:sz w:val="16"/>
                <w:szCs w:val="16"/>
                <w:lang w:val="tr-TR"/>
              </w:rPr>
            </w:pPr>
            <w:r w:rsidRPr="00DE12A3">
              <w:t>Asgari doğrulama frekans</w:t>
            </w:r>
          </w:p>
        </w:tc>
        <w:tc>
          <w:tcPr>
            <w:tcW w:w="4719" w:type="dxa"/>
            <w:gridSpan w:val="4"/>
            <w:tcBorders>
              <w:left w:val="single" w:sz="4" w:space="0" w:color="auto"/>
              <w:bottom w:val="single" w:sz="4" w:space="0" w:color="auto"/>
            </w:tcBorders>
            <w:shd w:val="clear" w:color="auto" w:fill="auto"/>
          </w:tcPr>
          <w:p w14:paraId="166BE67A" w14:textId="77777777" w:rsidR="00BC5D8E" w:rsidRPr="00DE12A3" w:rsidRDefault="00BC5D8E" w:rsidP="00C917D6">
            <w:pPr>
              <w:pStyle w:val="NormalCentered"/>
              <w:rPr>
                <w:sz w:val="16"/>
                <w:szCs w:val="16"/>
                <w:lang w:val="tr-TR"/>
              </w:rPr>
            </w:pPr>
            <w:r w:rsidRPr="00DE12A3">
              <w:t>Doğrusallık Kriterleri</w:t>
            </w:r>
          </w:p>
        </w:tc>
      </w:tr>
      <w:tr w:rsidR="00DE12A3" w:rsidRPr="00DE12A3" w14:paraId="2377C3E1" w14:textId="77777777" w:rsidTr="00BC5D8E">
        <w:trPr>
          <w:trHeight w:hRule="exact" w:val="389"/>
        </w:trPr>
        <w:tc>
          <w:tcPr>
            <w:tcW w:w="1271" w:type="dxa"/>
            <w:vMerge/>
            <w:tcBorders>
              <w:right w:val="single" w:sz="4" w:space="0" w:color="auto"/>
            </w:tcBorders>
            <w:shd w:val="clear" w:color="auto" w:fill="auto"/>
          </w:tcPr>
          <w:p w14:paraId="6D761A4B" w14:textId="77777777" w:rsidR="00BC5D8E" w:rsidRPr="00DE12A3" w:rsidRDefault="00BC5D8E" w:rsidP="00C917D6">
            <w:pPr>
              <w:pStyle w:val="NormalCentered"/>
            </w:pPr>
          </w:p>
        </w:tc>
        <w:tc>
          <w:tcPr>
            <w:tcW w:w="1210" w:type="dxa"/>
            <w:vMerge/>
            <w:tcBorders>
              <w:left w:val="single" w:sz="4" w:space="0" w:color="auto"/>
              <w:right w:val="single" w:sz="4" w:space="0" w:color="auto"/>
            </w:tcBorders>
            <w:shd w:val="clear" w:color="auto" w:fill="auto"/>
          </w:tcPr>
          <w:p w14:paraId="66DBADCC" w14:textId="77777777" w:rsidR="00BC5D8E" w:rsidRPr="00DE12A3" w:rsidRDefault="00BC5D8E" w:rsidP="00C917D6">
            <w:pPr>
              <w:pStyle w:val="NormalCentered"/>
            </w:pPr>
          </w:p>
        </w:tc>
        <w:tc>
          <w:tcPr>
            <w:tcW w:w="1920" w:type="dxa"/>
            <w:vMerge/>
            <w:tcBorders>
              <w:left w:val="single" w:sz="4" w:space="0" w:color="auto"/>
              <w:right w:val="single" w:sz="4" w:space="0" w:color="auto"/>
            </w:tcBorders>
            <w:shd w:val="clear" w:color="auto" w:fill="auto"/>
          </w:tcPr>
          <w:p w14:paraId="14A7635F" w14:textId="77777777" w:rsidR="00BC5D8E" w:rsidRPr="00DE12A3" w:rsidRDefault="00BC5D8E" w:rsidP="00C917D6">
            <w:pPr>
              <w:pStyle w:val="Gvdemetni0"/>
              <w:spacing w:before="120" w:after="120" w:line="240" w:lineRule="auto"/>
              <w:ind w:left="56" w:right="142" w:firstLine="0"/>
              <w:jc w:val="both"/>
              <w:rPr>
                <w:sz w:val="16"/>
                <w:szCs w:val="16"/>
              </w:rPr>
            </w:pPr>
          </w:p>
        </w:tc>
        <w:tc>
          <w:tcPr>
            <w:tcW w:w="1493" w:type="dxa"/>
            <w:tcBorders>
              <w:left w:val="single" w:sz="4" w:space="0" w:color="auto"/>
              <w:right w:val="single" w:sz="4" w:space="0" w:color="auto"/>
            </w:tcBorders>
            <w:shd w:val="clear" w:color="auto" w:fill="auto"/>
            <w:vAlign w:val="center"/>
          </w:tcPr>
          <w:p w14:paraId="749BFB71" w14:textId="77777777" w:rsidR="00BC5D8E" w:rsidRPr="00DE12A3" w:rsidRDefault="00BC5D8E" w:rsidP="00C917D6">
            <w:pPr>
              <w:spacing w:before="120" w:after="120"/>
              <w:jc w:val="center"/>
              <w:rPr>
                <w:rFonts w:cs="Times New Roman"/>
                <w:color w:val="auto"/>
                <w:sz w:val="20"/>
                <w:szCs w:val="20"/>
              </w:rPr>
            </w:pPr>
            <w:r w:rsidRPr="00DE12A3">
              <w:rPr>
                <w:rFonts w:cs="Times New Roman"/>
                <w:color w:val="auto"/>
                <w:sz w:val="20"/>
                <w:szCs w:val="20"/>
              </w:rPr>
              <w:t>|x</w:t>
            </w:r>
            <w:r w:rsidRPr="00DE12A3">
              <w:rPr>
                <w:rFonts w:cs="Times New Roman"/>
                <w:color w:val="auto"/>
                <w:sz w:val="20"/>
                <w:szCs w:val="20"/>
                <w:vertAlign w:val="subscript"/>
              </w:rPr>
              <w:t>min</w:t>
            </w:r>
            <w:r w:rsidRPr="00DE12A3">
              <w:rPr>
                <w:rFonts w:cs="Times New Roman"/>
                <w:color w:val="auto"/>
                <w:sz w:val="20"/>
                <w:szCs w:val="20"/>
              </w:rPr>
              <w:t xml:space="preserve"> (a</w:t>
            </w:r>
            <w:r w:rsidRPr="00DE12A3">
              <w:rPr>
                <w:rFonts w:cs="Times New Roman"/>
                <w:color w:val="auto"/>
                <w:sz w:val="20"/>
                <w:szCs w:val="20"/>
                <w:vertAlign w:val="subscript"/>
              </w:rPr>
              <w:t>1</w:t>
            </w:r>
            <w:r w:rsidRPr="00DE12A3">
              <w:rPr>
                <w:rFonts w:cs="Times New Roman"/>
                <w:color w:val="auto"/>
                <w:sz w:val="20"/>
                <w:szCs w:val="20"/>
              </w:rPr>
              <w:t>-1) + a</w:t>
            </w:r>
            <w:r w:rsidRPr="00DE12A3">
              <w:rPr>
                <w:rFonts w:cs="Times New Roman"/>
                <w:color w:val="auto"/>
                <w:sz w:val="20"/>
                <w:szCs w:val="20"/>
                <w:vertAlign w:val="subscript"/>
              </w:rPr>
              <w:t>0</w:t>
            </w:r>
            <w:r w:rsidRPr="00DE12A3">
              <w:rPr>
                <w:rFonts w:cs="Times New Roman"/>
                <w:color w:val="auto"/>
                <w:sz w:val="20"/>
                <w:szCs w:val="20"/>
              </w:rPr>
              <w:t>|</w:t>
            </w:r>
          </w:p>
        </w:tc>
        <w:tc>
          <w:tcPr>
            <w:tcW w:w="1066" w:type="dxa"/>
            <w:tcBorders>
              <w:left w:val="single" w:sz="4" w:space="0" w:color="auto"/>
              <w:right w:val="single" w:sz="4" w:space="0" w:color="auto"/>
            </w:tcBorders>
            <w:shd w:val="clear" w:color="auto" w:fill="auto"/>
            <w:vAlign w:val="center"/>
          </w:tcPr>
          <w:p w14:paraId="1F0A0647" w14:textId="0723AD40" w:rsidR="00BC5D8E" w:rsidRPr="00DE12A3" w:rsidRDefault="00BE601A" w:rsidP="00C917D6">
            <w:pPr>
              <w:spacing w:before="120" w:after="120"/>
              <w:jc w:val="center"/>
              <w:rPr>
                <w:rFonts w:cs="Times New Roman"/>
                <w:color w:val="auto"/>
                <w:sz w:val="20"/>
                <w:szCs w:val="20"/>
              </w:rPr>
            </w:pPr>
            <w:r w:rsidRPr="00DE12A3">
              <w:rPr>
                <w:rStyle w:val="fontstyle11"/>
                <w:rFonts w:ascii="Times New Roman" w:hAnsi="Times New Roman" w:cs="Times New Roman"/>
                <w:color w:val="auto"/>
                <w:sz w:val="20"/>
                <w:szCs w:val="20"/>
              </w:rPr>
              <w:t>Α</w:t>
            </w:r>
          </w:p>
        </w:tc>
        <w:tc>
          <w:tcPr>
            <w:tcW w:w="1176" w:type="dxa"/>
            <w:tcBorders>
              <w:left w:val="single" w:sz="4" w:space="0" w:color="auto"/>
              <w:right w:val="single" w:sz="4" w:space="0" w:color="auto"/>
            </w:tcBorders>
            <w:shd w:val="clear" w:color="auto" w:fill="auto"/>
          </w:tcPr>
          <w:p w14:paraId="5E9F9EBE" w14:textId="77777777" w:rsidR="00BC5D8E" w:rsidRPr="00DE12A3" w:rsidRDefault="00BC5D8E" w:rsidP="00C917D6">
            <w:pPr>
              <w:pStyle w:val="Gvdemetni360"/>
              <w:shd w:val="clear" w:color="auto" w:fill="auto"/>
              <w:spacing w:before="120" w:after="120" w:line="240" w:lineRule="auto"/>
              <w:ind w:firstLine="0"/>
              <w:jc w:val="center"/>
              <w:rPr>
                <w:sz w:val="20"/>
                <w:szCs w:val="20"/>
              </w:rPr>
            </w:pPr>
            <w:r w:rsidRPr="00DE12A3">
              <w:rPr>
                <w:sz w:val="20"/>
                <w:szCs w:val="20"/>
              </w:rPr>
              <w:t>SEE</w:t>
            </w:r>
          </w:p>
        </w:tc>
        <w:tc>
          <w:tcPr>
            <w:tcW w:w="984" w:type="dxa"/>
            <w:tcBorders>
              <w:left w:val="single" w:sz="4" w:space="0" w:color="auto"/>
            </w:tcBorders>
            <w:shd w:val="clear" w:color="auto" w:fill="auto"/>
          </w:tcPr>
          <w:p w14:paraId="2C99CDC5" w14:textId="77777777" w:rsidR="00BC5D8E" w:rsidRPr="00DE12A3" w:rsidRDefault="00BC5D8E" w:rsidP="00C917D6">
            <w:pPr>
              <w:spacing w:before="120" w:after="120"/>
              <w:jc w:val="center"/>
              <w:rPr>
                <w:rFonts w:cs="Times New Roman"/>
                <w:color w:val="auto"/>
                <w:sz w:val="20"/>
                <w:szCs w:val="20"/>
              </w:rPr>
            </w:pPr>
            <w:r w:rsidRPr="00DE12A3">
              <w:rPr>
                <w:rFonts w:cs="Times New Roman"/>
                <w:color w:val="auto"/>
                <w:sz w:val="20"/>
                <w:szCs w:val="20"/>
              </w:rPr>
              <w:t>r</w:t>
            </w:r>
            <w:r w:rsidRPr="00DE12A3">
              <w:rPr>
                <w:rFonts w:cs="Times New Roman"/>
                <w:color w:val="auto"/>
                <w:sz w:val="20"/>
                <w:szCs w:val="20"/>
                <w:vertAlign w:val="superscript"/>
              </w:rPr>
              <w:t>2</w:t>
            </w:r>
          </w:p>
        </w:tc>
      </w:tr>
      <w:tr w:rsidR="00DE12A3" w:rsidRPr="00DE12A3" w14:paraId="1BBBA93A" w14:textId="77777777" w:rsidTr="00BC5D8E">
        <w:trPr>
          <w:trHeight w:hRule="exact" w:val="614"/>
        </w:trPr>
        <w:tc>
          <w:tcPr>
            <w:tcW w:w="1271" w:type="dxa"/>
            <w:tcBorders>
              <w:right w:val="single" w:sz="4" w:space="0" w:color="auto"/>
            </w:tcBorders>
            <w:shd w:val="clear" w:color="auto" w:fill="auto"/>
          </w:tcPr>
          <w:p w14:paraId="44A242E3" w14:textId="77777777" w:rsidR="00BC5D8E" w:rsidRPr="00DE12A3" w:rsidRDefault="00BC5D8E" w:rsidP="00C917D6">
            <w:pPr>
              <w:pStyle w:val="NormalCentered"/>
              <w:rPr>
                <w:sz w:val="20"/>
                <w:szCs w:val="20"/>
              </w:rPr>
            </w:pPr>
            <w:r w:rsidRPr="00DE12A3">
              <w:rPr>
                <w:sz w:val="20"/>
                <w:szCs w:val="20"/>
              </w:rPr>
              <w:t>Motor devri</w:t>
            </w:r>
          </w:p>
        </w:tc>
        <w:tc>
          <w:tcPr>
            <w:tcW w:w="1210" w:type="dxa"/>
            <w:tcBorders>
              <w:left w:val="single" w:sz="4" w:space="0" w:color="auto"/>
              <w:right w:val="single" w:sz="4" w:space="0" w:color="auto"/>
            </w:tcBorders>
            <w:shd w:val="clear" w:color="auto" w:fill="auto"/>
          </w:tcPr>
          <w:p w14:paraId="1FECE87E" w14:textId="77777777" w:rsidR="00BC5D8E" w:rsidRPr="00DE12A3" w:rsidRDefault="00BC5D8E" w:rsidP="00C917D6">
            <w:pPr>
              <w:pStyle w:val="NormalCentered"/>
              <w:rPr>
                <w:sz w:val="20"/>
                <w:szCs w:val="20"/>
              </w:rPr>
            </w:pPr>
            <w:r w:rsidRPr="00DE12A3">
              <w:rPr>
                <w:i/>
                <w:iCs/>
                <w:sz w:val="20"/>
                <w:szCs w:val="20"/>
              </w:rPr>
              <w:t>n</w:t>
            </w:r>
          </w:p>
        </w:tc>
        <w:tc>
          <w:tcPr>
            <w:tcW w:w="1920" w:type="dxa"/>
            <w:tcBorders>
              <w:left w:val="single" w:sz="4" w:space="0" w:color="auto"/>
              <w:right w:val="single" w:sz="4" w:space="0" w:color="auto"/>
            </w:tcBorders>
            <w:shd w:val="clear" w:color="auto" w:fill="auto"/>
          </w:tcPr>
          <w:p w14:paraId="5E9FDE12" w14:textId="77777777" w:rsidR="00BC5D8E" w:rsidRPr="00DE12A3" w:rsidRDefault="00BC5D8E" w:rsidP="00C917D6">
            <w:pPr>
              <w:pStyle w:val="Gvdemetni0"/>
              <w:spacing w:before="120" w:after="120" w:line="240" w:lineRule="auto"/>
              <w:ind w:left="56" w:right="142" w:firstLine="0"/>
              <w:jc w:val="both"/>
              <w:rPr>
                <w:sz w:val="20"/>
                <w:szCs w:val="20"/>
              </w:rPr>
            </w:pPr>
            <w:r w:rsidRPr="00DE12A3">
              <w:rPr>
                <w:sz w:val="20"/>
                <w:szCs w:val="20"/>
              </w:rPr>
              <w:t>Testten önceki 370 gün içinde</w:t>
            </w:r>
          </w:p>
        </w:tc>
        <w:tc>
          <w:tcPr>
            <w:tcW w:w="1493" w:type="dxa"/>
            <w:tcBorders>
              <w:left w:val="single" w:sz="4" w:space="0" w:color="auto"/>
              <w:right w:val="single" w:sz="4" w:space="0" w:color="auto"/>
            </w:tcBorders>
            <w:shd w:val="clear" w:color="auto" w:fill="auto"/>
          </w:tcPr>
          <w:p w14:paraId="36175080" w14:textId="77777777" w:rsidR="00BC5D8E" w:rsidRPr="00DE12A3" w:rsidRDefault="00BC5D8E" w:rsidP="00C917D6">
            <w:pPr>
              <w:spacing w:before="120" w:after="120"/>
              <w:jc w:val="center"/>
              <w:rPr>
                <w:rFonts w:cs="Times New Roman"/>
                <w:color w:val="auto"/>
                <w:sz w:val="20"/>
                <w:szCs w:val="20"/>
              </w:rPr>
            </w:pPr>
            <w:r w:rsidRPr="00DE12A3">
              <w:rPr>
                <w:rStyle w:val="fontstyle01"/>
                <w:rFonts w:ascii="Times New Roman" w:hAnsi="Times New Roman" w:cs="Times New Roman"/>
                <w:color w:val="auto"/>
                <w:sz w:val="20"/>
                <w:szCs w:val="20"/>
              </w:rPr>
              <w:t xml:space="preserve">≤ 0,05 % </w:t>
            </w:r>
            <w:r w:rsidRPr="00DE12A3">
              <w:rPr>
                <w:rStyle w:val="fontstyle21"/>
                <w:rFonts w:ascii="Times New Roman" w:hAnsi="Times New Roman" w:cs="Times New Roman"/>
                <w:color w:val="auto"/>
                <w:sz w:val="20"/>
                <w:szCs w:val="20"/>
              </w:rPr>
              <w:t>n</w:t>
            </w:r>
            <w:r w:rsidRPr="00DE12A3">
              <w:rPr>
                <w:rStyle w:val="fontstyle01"/>
                <w:rFonts w:ascii="Times New Roman" w:hAnsi="Times New Roman" w:cs="Times New Roman"/>
                <w:color w:val="auto"/>
                <w:sz w:val="20"/>
                <w:szCs w:val="20"/>
                <w:vertAlign w:val="subscript"/>
              </w:rPr>
              <w:t>max</w:t>
            </w:r>
          </w:p>
        </w:tc>
        <w:tc>
          <w:tcPr>
            <w:tcW w:w="1066" w:type="dxa"/>
            <w:tcBorders>
              <w:left w:val="single" w:sz="4" w:space="0" w:color="auto"/>
              <w:right w:val="single" w:sz="4" w:space="0" w:color="auto"/>
            </w:tcBorders>
            <w:shd w:val="clear" w:color="auto" w:fill="auto"/>
          </w:tcPr>
          <w:p w14:paraId="377810EC" w14:textId="77777777" w:rsidR="00BC5D8E" w:rsidRPr="00DE12A3" w:rsidRDefault="00BC5D8E" w:rsidP="00C917D6">
            <w:pPr>
              <w:pStyle w:val="Gvdemetni0"/>
              <w:shd w:val="clear" w:color="auto" w:fill="auto"/>
              <w:spacing w:before="120" w:after="120" w:line="240" w:lineRule="auto"/>
              <w:ind w:firstLine="0"/>
              <w:rPr>
                <w:sz w:val="20"/>
                <w:szCs w:val="20"/>
              </w:rPr>
            </w:pPr>
            <w:r w:rsidRPr="00DE12A3">
              <w:rPr>
                <w:sz w:val="20"/>
                <w:szCs w:val="20"/>
              </w:rPr>
              <w:t>0,98-1,02</w:t>
            </w:r>
          </w:p>
        </w:tc>
        <w:tc>
          <w:tcPr>
            <w:tcW w:w="1176" w:type="dxa"/>
            <w:tcBorders>
              <w:left w:val="single" w:sz="4" w:space="0" w:color="auto"/>
              <w:right w:val="single" w:sz="4" w:space="0" w:color="auto"/>
            </w:tcBorders>
            <w:shd w:val="clear" w:color="auto" w:fill="auto"/>
          </w:tcPr>
          <w:p w14:paraId="142E0015" w14:textId="77777777" w:rsidR="00BC5D8E" w:rsidRPr="00DE12A3" w:rsidRDefault="00BC5D8E" w:rsidP="00C917D6">
            <w:pPr>
              <w:pStyle w:val="Gvdemetni0"/>
              <w:shd w:val="clear" w:color="auto" w:fill="auto"/>
              <w:spacing w:before="120" w:after="120" w:line="240" w:lineRule="auto"/>
              <w:ind w:firstLine="0"/>
              <w:rPr>
                <w:sz w:val="20"/>
                <w:szCs w:val="20"/>
              </w:rPr>
            </w:pPr>
            <w:r w:rsidRPr="00DE12A3">
              <w:rPr>
                <w:sz w:val="20"/>
                <w:szCs w:val="20"/>
              </w:rPr>
              <w:t xml:space="preserve">≤ 2 % </w:t>
            </w:r>
            <w:r w:rsidRPr="00DE12A3">
              <w:rPr>
                <w:i/>
                <w:iCs/>
                <w:sz w:val="20"/>
                <w:szCs w:val="20"/>
              </w:rPr>
              <w:t>n</w:t>
            </w:r>
            <w:r w:rsidRPr="00DE12A3">
              <w:rPr>
                <w:sz w:val="20"/>
                <w:szCs w:val="20"/>
                <w:vertAlign w:val="subscript"/>
              </w:rPr>
              <w:t>max</w:t>
            </w:r>
          </w:p>
        </w:tc>
        <w:tc>
          <w:tcPr>
            <w:tcW w:w="984" w:type="dxa"/>
            <w:tcBorders>
              <w:left w:val="single" w:sz="4" w:space="0" w:color="auto"/>
            </w:tcBorders>
            <w:shd w:val="clear" w:color="auto" w:fill="auto"/>
          </w:tcPr>
          <w:p w14:paraId="43C5F102" w14:textId="77777777" w:rsidR="00BC5D8E" w:rsidRPr="00DE12A3" w:rsidRDefault="00BC5D8E" w:rsidP="00C917D6">
            <w:pPr>
              <w:spacing w:before="120" w:after="120"/>
              <w:jc w:val="center"/>
              <w:rPr>
                <w:rFonts w:cs="Times New Roman"/>
                <w:color w:val="auto"/>
                <w:sz w:val="20"/>
                <w:szCs w:val="20"/>
              </w:rPr>
            </w:pPr>
            <w:r w:rsidRPr="00DE12A3">
              <w:rPr>
                <w:rStyle w:val="fontstyle01"/>
                <w:rFonts w:ascii="Times New Roman" w:hAnsi="Times New Roman" w:cs="Times New Roman"/>
                <w:color w:val="auto"/>
                <w:sz w:val="20"/>
                <w:szCs w:val="20"/>
              </w:rPr>
              <w:t>≥</w:t>
            </w:r>
            <w:r w:rsidRPr="00DE12A3">
              <w:rPr>
                <w:rFonts w:cs="Times New Roman"/>
                <w:color w:val="auto"/>
                <w:sz w:val="20"/>
                <w:szCs w:val="20"/>
              </w:rPr>
              <w:t xml:space="preserve"> 0,990</w:t>
            </w:r>
          </w:p>
        </w:tc>
      </w:tr>
      <w:tr w:rsidR="00DE12A3" w:rsidRPr="00DE12A3" w14:paraId="18EE2A85" w14:textId="77777777" w:rsidTr="00BC5D8E">
        <w:trPr>
          <w:trHeight w:hRule="exact" w:val="698"/>
        </w:trPr>
        <w:tc>
          <w:tcPr>
            <w:tcW w:w="1271" w:type="dxa"/>
            <w:tcBorders>
              <w:right w:val="single" w:sz="4" w:space="0" w:color="auto"/>
            </w:tcBorders>
            <w:shd w:val="clear" w:color="auto" w:fill="auto"/>
          </w:tcPr>
          <w:p w14:paraId="0957E533" w14:textId="77777777" w:rsidR="00BC5D8E" w:rsidRPr="00DE12A3" w:rsidRDefault="00BC5D8E" w:rsidP="00C917D6">
            <w:pPr>
              <w:pStyle w:val="NormalCentered"/>
              <w:rPr>
                <w:sz w:val="20"/>
                <w:szCs w:val="20"/>
              </w:rPr>
            </w:pPr>
            <w:r w:rsidRPr="00DE12A3">
              <w:rPr>
                <w:sz w:val="20"/>
                <w:szCs w:val="20"/>
              </w:rPr>
              <w:t>Motor torku</w:t>
            </w:r>
          </w:p>
        </w:tc>
        <w:tc>
          <w:tcPr>
            <w:tcW w:w="1210" w:type="dxa"/>
            <w:tcBorders>
              <w:left w:val="single" w:sz="4" w:space="0" w:color="auto"/>
              <w:right w:val="single" w:sz="4" w:space="0" w:color="auto"/>
            </w:tcBorders>
            <w:shd w:val="clear" w:color="auto" w:fill="auto"/>
          </w:tcPr>
          <w:p w14:paraId="0C0081D0" w14:textId="77777777" w:rsidR="00BC5D8E" w:rsidRPr="00DE12A3" w:rsidRDefault="00BC5D8E" w:rsidP="00C917D6">
            <w:pPr>
              <w:pStyle w:val="NormalCentered"/>
              <w:rPr>
                <w:sz w:val="20"/>
                <w:szCs w:val="20"/>
              </w:rPr>
            </w:pPr>
            <w:r w:rsidRPr="00DE12A3">
              <w:rPr>
                <w:i/>
                <w:iCs/>
                <w:sz w:val="20"/>
                <w:szCs w:val="20"/>
              </w:rPr>
              <w:t>T</w:t>
            </w:r>
          </w:p>
        </w:tc>
        <w:tc>
          <w:tcPr>
            <w:tcW w:w="1920" w:type="dxa"/>
            <w:tcBorders>
              <w:left w:val="single" w:sz="4" w:space="0" w:color="auto"/>
              <w:right w:val="single" w:sz="4" w:space="0" w:color="auto"/>
            </w:tcBorders>
            <w:shd w:val="clear" w:color="auto" w:fill="auto"/>
          </w:tcPr>
          <w:p w14:paraId="0A80C974" w14:textId="77777777" w:rsidR="00BC5D8E" w:rsidRPr="00DE12A3" w:rsidRDefault="00BC5D8E" w:rsidP="00C917D6">
            <w:pPr>
              <w:pStyle w:val="Gvdemetni0"/>
              <w:spacing w:before="120" w:after="120" w:line="240" w:lineRule="auto"/>
              <w:ind w:left="56" w:right="142" w:firstLine="0"/>
              <w:jc w:val="both"/>
              <w:rPr>
                <w:sz w:val="20"/>
                <w:szCs w:val="20"/>
              </w:rPr>
            </w:pPr>
            <w:r w:rsidRPr="00DE12A3">
              <w:rPr>
                <w:sz w:val="20"/>
                <w:szCs w:val="20"/>
              </w:rPr>
              <w:t>Testten önceki 370 gün içinde</w:t>
            </w:r>
          </w:p>
        </w:tc>
        <w:tc>
          <w:tcPr>
            <w:tcW w:w="1493" w:type="dxa"/>
            <w:tcBorders>
              <w:left w:val="single" w:sz="4" w:space="0" w:color="auto"/>
              <w:right w:val="single" w:sz="4" w:space="0" w:color="auto"/>
            </w:tcBorders>
            <w:shd w:val="clear" w:color="auto" w:fill="auto"/>
          </w:tcPr>
          <w:p w14:paraId="09BD2629" w14:textId="77777777" w:rsidR="00BC5D8E" w:rsidRPr="00DE12A3" w:rsidRDefault="00BC5D8E" w:rsidP="00C917D6">
            <w:pPr>
              <w:spacing w:before="120" w:after="120"/>
              <w:jc w:val="center"/>
              <w:rPr>
                <w:rFonts w:cs="Times New Roman"/>
                <w:color w:val="auto"/>
                <w:sz w:val="20"/>
                <w:szCs w:val="20"/>
              </w:rPr>
            </w:pPr>
            <w:r w:rsidRPr="00DE12A3">
              <w:rPr>
                <w:rStyle w:val="fontstyle01"/>
                <w:rFonts w:ascii="Times New Roman" w:hAnsi="Times New Roman" w:cs="Times New Roman"/>
                <w:color w:val="auto"/>
                <w:sz w:val="20"/>
                <w:szCs w:val="20"/>
              </w:rPr>
              <w:t xml:space="preserve">≤ 1 % </w:t>
            </w:r>
            <w:r w:rsidRPr="00DE12A3">
              <w:rPr>
                <w:rStyle w:val="fontstyle21"/>
                <w:rFonts w:ascii="Times New Roman" w:hAnsi="Times New Roman" w:cs="Times New Roman"/>
                <w:color w:val="auto"/>
                <w:sz w:val="20"/>
                <w:szCs w:val="20"/>
              </w:rPr>
              <w:t>T</w:t>
            </w:r>
            <w:r w:rsidRPr="00DE12A3">
              <w:rPr>
                <w:rStyle w:val="fontstyle01"/>
                <w:rFonts w:ascii="Times New Roman" w:hAnsi="Times New Roman" w:cs="Times New Roman"/>
                <w:color w:val="auto"/>
                <w:sz w:val="20"/>
                <w:szCs w:val="20"/>
                <w:vertAlign w:val="subscript"/>
              </w:rPr>
              <w:t>max</w:t>
            </w:r>
          </w:p>
        </w:tc>
        <w:tc>
          <w:tcPr>
            <w:tcW w:w="1066" w:type="dxa"/>
            <w:tcBorders>
              <w:left w:val="single" w:sz="4" w:space="0" w:color="auto"/>
              <w:right w:val="single" w:sz="4" w:space="0" w:color="auto"/>
            </w:tcBorders>
            <w:shd w:val="clear" w:color="auto" w:fill="auto"/>
          </w:tcPr>
          <w:p w14:paraId="386D9D28" w14:textId="77777777" w:rsidR="00BC5D8E" w:rsidRPr="00DE12A3" w:rsidRDefault="00BC5D8E" w:rsidP="00C917D6">
            <w:pPr>
              <w:pStyle w:val="Gvdemetni0"/>
              <w:shd w:val="clear" w:color="auto" w:fill="auto"/>
              <w:spacing w:before="120" w:after="120" w:line="240" w:lineRule="auto"/>
              <w:ind w:firstLine="0"/>
              <w:rPr>
                <w:sz w:val="20"/>
                <w:szCs w:val="20"/>
              </w:rPr>
            </w:pPr>
            <w:r w:rsidRPr="00DE12A3">
              <w:rPr>
                <w:sz w:val="20"/>
                <w:szCs w:val="20"/>
              </w:rPr>
              <w:t>0,98-1,02</w:t>
            </w:r>
          </w:p>
        </w:tc>
        <w:tc>
          <w:tcPr>
            <w:tcW w:w="1176" w:type="dxa"/>
            <w:tcBorders>
              <w:left w:val="single" w:sz="4" w:space="0" w:color="auto"/>
              <w:right w:val="single" w:sz="4" w:space="0" w:color="auto"/>
            </w:tcBorders>
            <w:shd w:val="clear" w:color="auto" w:fill="auto"/>
          </w:tcPr>
          <w:p w14:paraId="6032CC17" w14:textId="77777777" w:rsidR="00BC5D8E" w:rsidRPr="00DE12A3" w:rsidRDefault="00BC5D8E" w:rsidP="00C917D6">
            <w:pPr>
              <w:spacing w:before="120" w:after="120"/>
              <w:jc w:val="center"/>
              <w:rPr>
                <w:rFonts w:cs="Times New Roman"/>
                <w:color w:val="auto"/>
                <w:sz w:val="20"/>
                <w:szCs w:val="20"/>
              </w:rPr>
            </w:pPr>
            <w:r w:rsidRPr="00DE12A3">
              <w:rPr>
                <w:rFonts w:cs="Times New Roman"/>
                <w:color w:val="auto"/>
                <w:sz w:val="20"/>
                <w:szCs w:val="20"/>
              </w:rPr>
              <w:t xml:space="preserve">≤ 2 % </w:t>
            </w:r>
            <w:r w:rsidRPr="00DE12A3">
              <w:rPr>
                <w:rFonts w:cs="Times New Roman"/>
                <w:i/>
                <w:iCs/>
                <w:color w:val="auto"/>
                <w:sz w:val="20"/>
                <w:szCs w:val="20"/>
              </w:rPr>
              <w:t>T</w:t>
            </w:r>
            <w:r w:rsidRPr="00DE12A3">
              <w:rPr>
                <w:rFonts w:cs="Times New Roman"/>
                <w:color w:val="auto"/>
                <w:sz w:val="20"/>
                <w:szCs w:val="20"/>
                <w:vertAlign w:val="subscript"/>
              </w:rPr>
              <w:t>max</w:t>
            </w:r>
          </w:p>
        </w:tc>
        <w:tc>
          <w:tcPr>
            <w:tcW w:w="984" w:type="dxa"/>
            <w:tcBorders>
              <w:left w:val="single" w:sz="4" w:space="0" w:color="auto"/>
            </w:tcBorders>
            <w:shd w:val="clear" w:color="auto" w:fill="auto"/>
          </w:tcPr>
          <w:p w14:paraId="17CC6FEA" w14:textId="77777777" w:rsidR="00BC5D8E" w:rsidRPr="00DE12A3" w:rsidRDefault="00BC5D8E" w:rsidP="00C917D6">
            <w:pPr>
              <w:pStyle w:val="Gvdemetni0"/>
              <w:shd w:val="clear" w:color="auto" w:fill="auto"/>
              <w:spacing w:before="120" w:after="120" w:line="240" w:lineRule="auto"/>
              <w:ind w:firstLine="0"/>
              <w:rPr>
                <w:sz w:val="20"/>
                <w:szCs w:val="20"/>
              </w:rPr>
            </w:pPr>
            <w:r w:rsidRPr="00DE12A3">
              <w:rPr>
                <w:sz w:val="20"/>
                <w:szCs w:val="20"/>
              </w:rPr>
              <w:t>≥ 0,990</w:t>
            </w:r>
          </w:p>
        </w:tc>
      </w:tr>
      <w:tr w:rsidR="00DE12A3" w:rsidRPr="00DE12A3" w14:paraId="59E02A0E" w14:textId="77777777" w:rsidTr="00BC5D8E">
        <w:trPr>
          <w:trHeight w:hRule="exact" w:val="654"/>
        </w:trPr>
        <w:tc>
          <w:tcPr>
            <w:tcW w:w="1271" w:type="dxa"/>
            <w:tcBorders>
              <w:right w:val="single" w:sz="4" w:space="0" w:color="auto"/>
            </w:tcBorders>
            <w:shd w:val="clear" w:color="auto" w:fill="auto"/>
          </w:tcPr>
          <w:p w14:paraId="03E1E0E0" w14:textId="77777777" w:rsidR="00BC5D8E" w:rsidRPr="00DE12A3" w:rsidRDefault="00BC5D8E" w:rsidP="00C917D6">
            <w:pPr>
              <w:pStyle w:val="NormalCentered"/>
              <w:rPr>
                <w:sz w:val="20"/>
                <w:szCs w:val="20"/>
              </w:rPr>
            </w:pPr>
            <w:r w:rsidRPr="00DE12A3">
              <w:rPr>
                <w:sz w:val="20"/>
                <w:szCs w:val="20"/>
              </w:rPr>
              <w:t>Yakıt akış hızı</w:t>
            </w:r>
          </w:p>
        </w:tc>
        <w:tc>
          <w:tcPr>
            <w:tcW w:w="1210" w:type="dxa"/>
            <w:tcBorders>
              <w:left w:val="single" w:sz="4" w:space="0" w:color="auto"/>
              <w:right w:val="single" w:sz="4" w:space="0" w:color="auto"/>
            </w:tcBorders>
            <w:shd w:val="clear" w:color="auto" w:fill="auto"/>
          </w:tcPr>
          <w:p w14:paraId="0B7C9977" w14:textId="77777777" w:rsidR="00BC5D8E" w:rsidRPr="00DE12A3" w:rsidRDefault="00BC5D8E" w:rsidP="00C917D6">
            <w:pPr>
              <w:pStyle w:val="NormalCentered"/>
              <w:rPr>
                <w:sz w:val="20"/>
                <w:szCs w:val="20"/>
              </w:rPr>
            </w:pPr>
            <w:r w:rsidRPr="00DE12A3">
              <w:rPr>
                <w:i/>
                <w:iCs/>
                <w:sz w:val="20"/>
                <w:szCs w:val="20"/>
              </w:rPr>
              <w:t>q</w:t>
            </w:r>
            <w:r w:rsidRPr="00DE12A3">
              <w:rPr>
                <w:i/>
                <w:iCs/>
                <w:sz w:val="20"/>
                <w:szCs w:val="20"/>
                <w:vertAlign w:val="subscript"/>
              </w:rPr>
              <w:t>m</w:t>
            </w:r>
          </w:p>
        </w:tc>
        <w:tc>
          <w:tcPr>
            <w:tcW w:w="1920" w:type="dxa"/>
            <w:tcBorders>
              <w:left w:val="single" w:sz="4" w:space="0" w:color="auto"/>
              <w:right w:val="single" w:sz="4" w:space="0" w:color="auto"/>
            </w:tcBorders>
            <w:shd w:val="clear" w:color="auto" w:fill="auto"/>
          </w:tcPr>
          <w:p w14:paraId="46182486" w14:textId="77777777" w:rsidR="00BC5D8E" w:rsidRPr="00DE12A3" w:rsidRDefault="00BC5D8E" w:rsidP="00C917D6">
            <w:pPr>
              <w:pStyle w:val="Gvdemetni0"/>
              <w:spacing w:before="120" w:after="120" w:line="240" w:lineRule="auto"/>
              <w:ind w:left="56" w:right="142" w:firstLine="0"/>
              <w:jc w:val="both"/>
              <w:rPr>
                <w:sz w:val="20"/>
                <w:szCs w:val="20"/>
              </w:rPr>
            </w:pPr>
            <w:r w:rsidRPr="00DE12A3">
              <w:rPr>
                <w:sz w:val="20"/>
                <w:szCs w:val="20"/>
              </w:rPr>
              <w:t>Testten önceki 370 gün içinde</w:t>
            </w:r>
          </w:p>
        </w:tc>
        <w:tc>
          <w:tcPr>
            <w:tcW w:w="1493" w:type="dxa"/>
            <w:tcBorders>
              <w:left w:val="single" w:sz="4" w:space="0" w:color="auto"/>
              <w:right w:val="single" w:sz="4" w:space="0" w:color="auto"/>
            </w:tcBorders>
            <w:shd w:val="clear" w:color="auto" w:fill="auto"/>
          </w:tcPr>
          <w:p w14:paraId="273E0EA9" w14:textId="77777777" w:rsidR="00BC5D8E" w:rsidRPr="00DE12A3" w:rsidRDefault="00BC5D8E" w:rsidP="00C917D6">
            <w:pPr>
              <w:pStyle w:val="Gvdemetni0"/>
              <w:shd w:val="clear" w:color="auto" w:fill="auto"/>
              <w:spacing w:before="120" w:after="120" w:line="240" w:lineRule="auto"/>
              <w:ind w:firstLine="0"/>
              <w:rPr>
                <w:sz w:val="20"/>
                <w:szCs w:val="20"/>
              </w:rPr>
            </w:pPr>
            <w:r w:rsidRPr="00DE12A3">
              <w:rPr>
                <w:sz w:val="20"/>
                <w:szCs w:val="20"/>
              </w:rPr>
              <w:t xml:space="preserve">≤ 1 % </w:t>
            </w:r>
            <w:r w:rsidRPr="00DE12A3">
              <w:rPr>
                <w:i/>
                <w:iCs/>
                <w:sz w:val="20"/>
                <w:szCs w:val="20"/>
              </w:rPr>
              <w:t>q</w:t>
            </w:r>
            <w:r w:rsidRPr="00DE12A3">
              <w:rPr>
                <w:sz w:val="20"/>
                <w:szCs w:val="20"/>
                <w:vertAlign w:val="subscript"/>
              </w:rPr>
              <w:t>m, max</w:t>
            </w:r>
          </w:p>
        </w:tc>
        <w:tc>
          <w:tcPr>
            <w:tcW w:w="1066" w:type="dxa"/>
            <w:tcBorders>
              <w:left w:val="single" w:sz="4" w:space="0" w:color="auto"/>
              <w:right w:val="single" w:sz="4" w:space="0" w:color="auto"/>
            </w:tcBorders>
            <w:shd w:val="clear" w:color="auto" w:fill="auto"/>
          </w:tcPr>
          <w:p w14:paraId="12C5250A" w14:textId="77777777" w:rsidR="00BC5D8E" w:rsidRPr="00DE12A3" w:rsidRDefault="00BC5D8E" w:rsidP="00C917D6">
            <w:pPr>
              <w:pStyle w:val="Gvdemetni0"/>
              <w:shd w:val="clear" w:color="auto" w:fill="auto"/>
              <w:spacing w:before="120" w:after="120" w:line="240" w:lineRule="auto"/>
              <w:ind w:firstLine="0"/>
              <w:rPr>
                <w:sz w:val="20"/>
                <w:szCs w:val="20"/>
              </w:rPr>
            </w:pPr>
            <w:r w:rsidRPr="00DE12A3">
              <w:rPr>
                <w:sz w:val="20"/>
                <w:szCs w:val="20"/>
              </w:rPr>
              <w:t>0,98-1,02</w:t>
            </w:r>
          </w:p>
        </w:tc>
        <w:tc>
          <w:tcPr>
            <w:tcW w:w="1176" w:type="dxa"/>
            <w:tcBorders>
              <w:left w:val="single" w:sz="4" w:space="0" w:color="auto"/>
              <w:right w:val="single" w:sz="4" w:space="0" w:color="auto"/>
            </w:tcBorders>
            <w:shd w:val="clear" w:color="auto" w:fill="auto"/>
          </w:tcPr>
          <w:p w14:paraId="302ABA97" w14:textId="77777777" w:rsidR="00BC5D8E" w:rsidRPr="00DE12A3" w:rsidRDefault="00BC5D8E" w:rsidP="00C917D6">
            <w:pPr>
              <w:spacing w:before="120" w:after="120"/>
              <w:jc w:val="center"/>
              <w:rPr>
                <w:rFonts w:cs="Times New Roman"/>
                <w:color w:val="auto"/>
                <w:sz w:val="20"/>
                <w:szCs w:val="20"/>
              </w:rPr>
            </w:pPr>
            <w:r w:rsidRPr="00DE12A3">
              <w:rPr>
                <w:rFonts w:cs="Times New Roman"/>
                <w:color w:val="auto"/>
                <w:sz w:val="20"/>
                <w:szCs w:val="20"/>
              </w:rPr>
              <w:t xml:space="preserve">≤ 2 % </w:t>
            </w:r>
            <w:r w:rsidRPr="00DE12A3">
              <w:rPr>
                <w:rFonts w:cs="Times New Roman"/>
                <w:i/>
                <w:iCs/>
                <w:color w:val="auto"/>
                <w:sz w:val="20"/>
                <w:szCs w:val="20"/>
              </w:rPr>
              <w:t>q</w:t>
            </w:r>
            <w:r w:rsidRPr="00DE12A3">
              <w:rPr>
                <w:rFonts w:cs="Times New Roman"/>
                <w:color w:val="auto"/>
                <w:sz w:val="20"/>
                <w:szCs w:val="20"/>
                <w:vertAlign w:val="subscript"/>
              </w:rPr>
              <w:t>m, max</w:t>
            </w:r>
          </w:p>
        </w:tc>
        <w:tc>
          <w:tcPr>
            <w:tcW w:w="984" w:type="dxa"/>
            <w:tcBorders>
              <w:left w:val="single" w:sz="4" w:space="0" w:color="auto"/>
            </w:tcBorders>
            <w:shd w:val="clear" w:color="auto" w:fill="auto"/>
          </w:tcPr>
          <w:p w14:paraId="7244F10B" w14:textId="77777777" w:rsidR="00BC5D8E" w:rsidRPr="00DE12A3" w:rsidRDefault="00BC5D8E" w:rsidP="00C917D6">
            <w:pPr>
              <w:pStyle w:val="Gvdemetni0"/>
              <w:shd w:val="clear" w:color="auto" w:fill="auto"/>
              <w:spacing w:before="120" w:after="120" w:line="240" w:lineRule="auto"/>
              <w:ind w:firstLine="0"/>
              <w:rPr>
                <w:sz w:val="20"/>
                <w:szCs w:val="20"/>
              </w:rPr>
            </w:pPr>
            <w:r w:rsidRPr="00DE12A3">
              <w:rPr>
                <w:sz w:val="20"/>
                <w:szCs w:val="20"/>
              </w:rPr>
              <w:t>≥ 0,990</w:t>
            </w:r>
          </w:p>
        </w:tc>
      </w:tr>
      <w:tr w:rsidR="00DE12A3" w:rsidRPr="00DE12A3" w14:paraId="47C32929" w14:textId="77777777" w:rsidTr="00BC5D8E">
        <w:trPr>
          <w:trHeight w:hRule="exact" w:val="893"/>
        </w:trPr>
        <w:tc>
          <w:tcPr>
            <w:tcW w:w="1271" w:type="dxa"/>
            <w:tcBorders>
              <w:right w:val="single" w:sz="4" w:space="0" w:color="auto"/>
            </w:tcBorders>
            <w:shd w:val="clear" w:color="auto" w:fill="auto"/>
          </w:tcPr>
          <w:p w14:paraId="07BA4D0E" w14:textId="77777777" w:rsidR="00BC5D8E" w:rsidRPr="00DE12A3" w:rsidRDefault="00BC5D8E" w:rsidP="00C917D6">
            <w:pPr>
              <w:pStyle w:val="NormalCentered"/>
              <w:rPr>
                <w:sz w:val="20"/>
                <w:szCs w:val="20"/>
              </w:rPr>
            </w:pPr>
            <w:r w:rsidRPr="00DE12A3">
              <w:rPr>
                <w:sz w:val="20"/>
                <w:szCs w:val="20"/>
              </w:rPr>
              <w:t xml:space="preserve">Emme havası debisi </w:t>
            </w:r>
            <w:r w:rsidRPr="00DE12A3">
              <w:rPr>
                <w:sz w:val="20"/>
                <w:szCs w:val="20"/>
                <w:vertAlign w:val="superscript"/>
              </w:rPr>
              <w:t>(1)</w:t>
            </w:r>
          </w:p>
        </w:tc>
        <w:tc>
          <w:tcPr>
            <w:tcW w:w="1210" w:type="dxa"/>
            <w:tcBorders>
              <w:left w:val="single" w:sz="4" w:space="0" w:color="auto"/>
              <w:right w:val="single" w:sz="4" w:space="0" w:color="auto"/>
            </w:tcBorders>
            <w:shd w:val="clear" w:color="auto" w:fill="auto"/>
          </w:tcPr>
          <w:p w14:paraId="112AD021" w14:textId="77777777" w:rsidR="00BC5D8E" w:rsidRPr="00DE12A3" w:rsidRDefault="00BC5D8E" w:rsidP="00C917D6">
            <w:pPr>
              <w:pStyle w:val="NormalCentered"/>
              <w:rPr>
                <w:sz w:val="20"/>
                <w:szCs w:val="20"/>
              </w:rPr>
            </w:pPr>
            <w:r w:rsidRPr="00DE12A3">
              <w:rPr>
                <w:sz w:val="20"/>
                <w:szCs w:val="20"/>
              </w:rPr>
              <w:t>q</w:t>
            </w:r>
            <w:r w:rsidRPr="00DE12A3">
              <w:rPr>
                <w:sz w:val="20"/>
                <w:szCs w:val="20"/>
                <w:vertAlign w:val="subscript"/>
              </w:rPr>
              <w:t>v</w:t>
            </w:r>
          </w:p>
        </w:tc>
        <w:tc>
          <w:tcPr>
            <w:tcW w:w="1920" w:type="dxa"/>
            <w:tcBorders>
              <w:left w:val="single" w:sz="4" w:space="0" w:color="auto"/>
              <w:right w:val="single" w:sz="4" w:space="0" w:color="auto"/>
            </w:tcBorders>
            <w:shd w:val="clear" w:color="auto" w:fill="auto"/>
          </w:tcPr>
          <w:p w14:paraId="327F44C0" w14:textId="77777777" w:rsidR="00BC5D8E" w:rsidRPr="00DE12A3" w:rsidRDefault="00BC5D8E" w:rsidP="00C917D6">
            <w:pPr>
              <w:pStyle w:val="Gvdemetni0"/>
              <w:spacing w:before="120" w:after="120" w:line="240" w:lineRule="auto"/>
              <w:ind w:left="56" w:right="142" w:firstLine="0"/>
              <w:jc w:val="both"/>
              <w:rPr>
                <w:sz w:val="20"/>
                <w:szCs w:val="20"/>
              </w:rPr>
            </w:pPr>
            <w:r w:rsidRPr="00DE12A3">
              <w:rPr>
                <w:sz w:val="20"/>
                <w:szCs w:val="20"/>
              </w:rPr>
              <w:t>Testten önceki 370 gün içinde</w:t>
            </w:r>
          </w:p>
        </w:tc>
        <w:tc>
          <w:tcPr>
            <w:tcW w:w="1493" w:type="dxa"/>
            <w:tcBorders>
              <w:left w:val="single" w:sz="4" w:space="0" w:color="auto"/>
              <w:right w:val="single" w:sz="4" w:space="0" w:color="auto"/>
            </w:tcBorders>
            <w:shd w:val="clear" w:color="auto" w:fill="auto"/>
          </w:tcPr>
          <w:p w14:paraId="577D4D85" w14:textId="77777777" w:rsidR="00BC5D8E" w:rsidRPr="00DE12A3" w:rsidRDefault="00BC5D8E" w:rsidP="00C917D6">
            <w:pPr>
              <w:pStyle w:val="Gvdemetni0"/>
              <w:shd w:val="clear" w:color="auto" w:fill="auto"/>
              <w:spacing w:before="120" w:after="120" w:line="240" w:lineRule="auto"/>
              <w:ind w:firstLine="0"/>
              <w:rPr>
                <w:sz w:val="20"/>
                <w:szCs w:val="20"/>
              </w:rPr>
            </w:pPr>
            <w:r w:rsidRPr="00DE12A3">
              <w:rPr>
                <w:sz w:val="20"/>
                <w:szCs w:val="20"/>
              </w:rPr>
              <w:t xml:space="preserve">≤ 1 % </w:t>
            </w:r>
            <w:r w:rsidRPr="00DE12A3">
              <w:rPr>
                <w:i/>
                <w:iCs/>
                <w:sz w:val="20"/>
                <w:szCs w:val="20"/>
              </w:rPr>
              <w:t>q</w:t>
            </w:r>
            <w:r w:rsidRPr="00DE12A3">
              <w:rPr>
                <w:sz w:val="20"/>
                <w:szCs w:val="20"/>
                <w:vertAlign w:val="subscript"/>
              </w:rPr>
              <w:t>v, max</w:t>
            </w:r>
          </w:p>
        </w:tc>
        <w:tc>
          <w:tcPr>
            <w:tcW w:w="1066" w:type="dxa"/>
            <w:tcBorders>
              <w:left w:val="single" w:sz="4" w:space="0" w:color="auto"/>
              <w:right w:val="single" w:sz="4" w:space="0" w:color="auto"/>
            </w:tcBorders>
            <w:shd w:val="clear" w:color="auto" w:fill="auto"/>
          </w:tcPr>
          <w:p w14:paraId="7D13C400" w14:textId="77777777" w:rsidR="00BC5D8E" w:rsidRPr="00DE12A3" w:rsidRDefault="00BC5D8E" w:rsidP="00C917D6">
            <w:pPr>
              <w:pStyle w:val="Gvdemetni0"/>
              <w:shd w:val="clear" w:color="auto" w:fill="auto"/>
              <w:spacing w:before="120" w:after="120" w:line="240" w:lineRule="auto"/>
              <w:ind w:firstLine="0"/>
              <w:rPr>
                <w:sz w:val="20"/>
                <w:szCs w:val="20"/>
              </w:rPr>
            </w:pPr>
            <w:r w:rsidRPr="00DE12A3">
              <w:rPr>
                <w:sz w:val="20"/>
                <w:szCs w:val="20"/>
              </w:rPr>
              <w:t>0,98-1,02</w:t>
            </w:r>
          </w:p>
        </w:tc>
        <w:tc>
          <w:tcPr>
            <w:tcW w:w="1176" w:type="dxa"/>
            <w:tcBorders>
              <w:left w:val="single" w:sz="4" w:space="0" w:color="auto"/>
              <w:right w:val="single" w:sz="4" w:space="0" w:color="auto"/>
            </w:tcBorders>
            <w:shd w:val="clear" w:color="auto" w:fill="auto"/>
          </w:tcPr>
          <w:p w14:paraId="7A532849" w14:textId="77777777" w:rsidR="00BC5D8E" w:rsidRPr="00DE12A3" w:rsidRDefault="00BC5D8E" w:rsidP="00C917D6">
            <w:pPr>
              <w:pStyle w:val="Gvdemetni0"/>
              <w:shd w:val="clear" w:color="auto" w:fill="auto"/>
              <w:spacing w:before="120" w:after="120" w:line="240" w:lineRule="auto"/>
              <w:ind w:firstLine="0"/>
              <w:rPr>
                <w:sz w:val="20"/>
                <w:szCs w:val="20"/>
              </w:rPr>
            </w:pPr>
            <w:r w:rsidRPr="00DE12A3">
              <w:rPr>
                <w:sz w:val="20"/>
                <w:szCs w:val="20"/>
              </w:rPr>
              <w:t xml:space="preserve">≤ 2 % </w:t>
            </w:r>
            <w:r w:rsidRPr="00DE12A3">
              <w:rPr>
                <w:i/>
                <w:iCs/>
                <w:sz w:val="20"/>
                <w:szCs w:val="20"/>
              </w:rPr>
              <w:t>q</w:t>
            </w:r>
            <w:r w:rsidRPr="00DE12A3">
              <w:rPr>
                <w:sz w:val="20"/>
                <w:szCs w:val="20"/>
                <w:vertAlign w:val="subscript"/>
              </w:rPr>
              <w:t>v, max</w:t>
            </w:r>
          </w:p>
        </w:tc>
        <w:tc>
          <w:tcPr>
            <w:tcW w:w="984" w:type="dxa"/>
            <w:tcBorders>
              <w:left w:val="single" w:sz="4" w:space="0" w:color="auto"/>
            </w:tcBorders>
            <w:shd w:val="clear" w:color="auto" w:fill="auto"/>
          </w:tcPr>
          <w:p w14:paraId="633D7520" w14:textId="77777777" w:rsidR="00BC5D8E" w:rsidRPr="00DE12A3" w:rsidRDefault="00BC5D8E" w:rsidP="00C917D6">
            <w:pPr>
              <w:pStyle w:val="Gvdemetni0"/>
              <w:shd w:val="clear" w:color="auto" w:fill="auto"/>
              <w:spacing w:before="120" w:after="120" w:line="240" w:lineRule="auto"/>
              <w:ind w:firstLine="0"/>
              <w:rPr>
                <w:sz w:val="20"/>
                <w:szCs w:val="20"/>
              </w:rPr>
            </w:pPr>
            <w:r w:rsidRPr="00DE12A3">
              <w:rPr>
                <w:sz w:val="20"/>
                <w:szCs w:val="20"/>
              </w:rPr>
              <w:t>≥ 0,990</w:t>
            </w:r>
          </w:p>
        </w:tc>
      </w:tr>
      <w:tr w:rsidR="00DE12A3" w:rsidRPr="00DE12A3" w14:paraId="70F5FE30" w14:textId="77777777" w:rsidTr="00BC5D8E">
        <w:trPr>
          <w:trHeight w:hRule="exact" w:val="898"/>
        </w:trPr>
        <w:tc>
          <w:tcPr>
            <w:tcW w:w="1271" w:type="dxa"/>
            <w:tcBorders>
              <w:right w:val="single" w:sz="4" w:space="0" w:color="auto"/>
            </w:tcBorders>
            <w:shd w:val="clear" w:color="auto" w:fill="auto"/>
          </w:tcPr>
          <w:p w14:paraId="250EF040" w14:textId="77777777" w:rsidR="00BC5D8E" w:rsidRPr="00DE12A3" w:rsidRDefault="00BC5D8E" w:rsidP="00C917D6">
            <w:pPr>
              <w:pStyle w:val="NormalCentered"/>
              <w:rPr>
                <w:sz w:val="20"/>
                <w:szCs w:val="20"/>
              </w:rPr>
            </w:pPr>
            <w:r w:rsidRPr="00DE12A3">
              <w:rPr>
                <w:sz w:val="20"/>
                <w:szCs w:val="20"/>
              </w:rPr>
              <w:t xml:space="preserve">Seyreltme havası debisi </w:t>
            </w:r>
            <w:r w:rsidRPr="00DE12A3">
              <w:rPr>
                <w:sz w:val="20"/>
                <w:szCs w:val="20"/>
                <w:vertAlign w:val="superscript"/>
              </w:rPr>
              <w:t>(1)</w:t>
            </w:r>
          </w:p>
        </w:tc>
        <w:tc>
          <w:tcPr>
            <w:tcW w:w="1210" w:type="dxa"/>
            <w:tcBorders>
              <w:left w:val="single" w:sz="4" w:space="0" w:color="auto"/>
              <w:right w:val="single" w:sz="4" w:space="0" w:color="auto"/>
            </w:tcBorders>
            <w:shd w:val="clear" w:color="auto" w:fill="auto"/>
          </w:tcPr>
          <w:p w14:paraId="49237F5F" w14:textId="77777777" w:rsidR="00BC5D8E" w:rsidRPr="00DE12A3" w:rsidRDefault="00BC5D8E" w:rsidP="00C917D6">
            <w:pPr>
              <w:pStyle w:val="NormalCentered"/>
              <w:rPr>
                <w:sz w:val="20"/>
                <w:szCs w:val="20"/>
              </w:rPr>
            </w:pPr>
            <w:r w:rsidRPr="00DE12A3">
              <w:rPr>
                <w:sz w:val="20"/>
                <w:szCs w:val="20"/>
              </w:rPr>
              <w:t>q</w:t>
            </w:r>
            <w:r w:rsidRPr="00DE12A3">
              <w:rPr>
                <w:sz w:val="20"/>
                <w:szCs w:val="20"/>
                <w:vertAlign w:val="subscript"/>
              </w:rPr>
              <w:t>v</w:t>
            </w:r>
          </w:p>
        </w:tc>
        <w:tc>
          <w:tcPr>
            <w:tcW w:w="1920" w:type="dxa"/>
            <w:tcBorders>
              <w:left w:val="single" w:sz="4" w:space="0" w:color="auto"/>
              <w:right w:val="single" w:sz="4" w:space="0" w:color="auto"/>
            </w:tcBorders>
            <w:shd w:val="clear" w:color="auto" w:fill="auto"/>
          </w:tcPr>
          <w:p w14:paraId="71DA3B39" w14:textId="77777777" w:rsidR="00BC5D8E" w:rsidRPr="00DE12A3" w:rsidRDefault="00BC5D8E" w:rsidP="00C917D6">
            <w:pPr>
              <w:pStyle w:val="Gvdemetni0"/>
              <w:spacing w:before="120" w:after="120" w:line="240" w:lineRule="auto"/>
              <w:ind w:left="56" w:right="142" w:firstLine="0"/>
              <w:jc w:val="both"/>
              <w:rPr>
                <w:sz w:val="20"/>
                <w:szCs w:val="20"/>
              </w:rPr>
            </w:pPr>
            <w:r w:rsidRPr="00DE12A3">
              <w:rPr>
                <w:sz w:val="20"/>
                <w:szCs w:val="20"/>
              </w:rPr>
              <w:t>Testten önceki 370 gün içinde</w:t>
            </w:r>
          </w:p>
        </w:tc>
        <w:tc>
          <w:tcPr>
            <w:tcW w:w="1493" w:type="dxa"/>
            <w:tcBorders>
              <w:left w:val="single" w:sz="4" w:space="0" w:color="auto"/>
              <w:right w:val="single" w:sz="4" w:space="0" w:color="auto"/>
            </w:tcBorders>
            <w:shd w:val="clear" w:color="auto" w:fill="auto"/>
          </w:tcPr>
          <w:p w14:paraId="5C1EE022" w14:textId="77777777" w:rsidR="00BC5D8E" w:rsidRPr="00DE12A3" w:rsidRDefault="00BC5D8E" w:rsidP="00C917D6">
            <w:pPr>
              <w:spacing w:before="120" w:after="120"/>
              <w:jc w:val="center"/>
              <w:rPr>
                <w:rFonts w:cs="Times New Roman"/>
                <w:color w:val="auto"/>
                <w:sz w:val="20"/>
                <w:szCs w:val="20"/>
              </w:rPr>
            </w:pPr>
            <w:r w:rsidRPr="00DE12A3">
              <w:rPr>
                <w:rFonts w:cs="Times New Roman"/>
                <w:color w:val="auto"/>
                <w:sz w:val="20"/>
                <w:szCs w:val="20"/>
              </w:rPr>
              <w:t xml:space="preserve">≤ 1 % </w:t>
            </w:r>
            <w:r w:rsidRPr="00DE12A3">
              <w:rPr>
                <w:rFonts w:cs="Times New Roman"/>
                <w:i/>
                <w:iCs/>
                <w:color w:val="auto"/>
                <w:sz w:val="20"/>
                <w:szCs w:val="20"/>
              </w:rPr>
              <w:t>q</w:t>
            </w:r>
            <w:r w:rsidRPr="00DE12A3">
              <w:rPr>
                <w:rFonts w:cs="Times New Roman"/>
                <w:color w:val="auto"/>
                <w:sz w:val="20"/>
                <w:szCs w:val="20"/>
                <w:vertAlign w:val="subscript"/>
              </w:rPr>
              <w:t>v, max</w:t>
            </w:r>
          </w:p>
        </w:tc>
        <w:tc>
          <w:tcPr>
            <w:tcW w:w="1066" w:type="dxa"/>
            <w:tcBorders>
              <w:left w:val="single" w:sz="4" w:space="0" w:color="auto"/>
              <w:right w:val="single" w:sz="4" w:space="0" w:color="auto"/>
            </w:tcBorders>
            <w:shd w:val="clear" w:color="auto" w:fill="auto"/>
          </w:tcPr>
          <w:p w14:paraId="27895DE2" w14:textId="77777777" w:rsidR="00BC5D8E" w:rsidRPr="00DE12A3" w:rsidRDefault="00BC5D8E" w:rsidP="00C917D6">
            <w:pPr>
              <w:pStyle w:val="Gvdemetni0"/>
              <w:shd w:val="clear" w:color="auto" w:fill="auto"/>
              <w:spacing w:before="120" w:after="120" w:line="240" w:lineRule="auto"/>
              <w:ind w:firstLine="0"/>
              <w:rPr>
                <w:sz w:val="20"/>
                <w:szCs w:val="20"/>
              </w:rPr>
            </w:pPr>
            <w:r w:rsidRPr="00DE12A3">
              <w:rPr>
                <w:sz w:val="20"/>
                <w:szCs w:val="20"/>
              </w:rPr>
              <w:t>0,98-1,02</w:t>
            </w:r>
          </w:p>
        </w:tc>
        <w:tc>
          <w:tcPr>
            <w:tcW w:w="1176" w:type="dxa"/>
            <w:tcBorders>
              <w:left w:val="single" w:sz="4" w:space="0" w:color="auto"/>
              <w:right w:val="single" w:sz="4" w:space="0" w:color="auto"/>
            </w:tcBorders>
            <w:shd w:val="clear" w:color="auto" w:fill="auto"/>
          </w:tcPr>
          <w:p w14:paraId="5BE35F4C" w14:textId="77777777" w:rsidR="00BC5D8E" w:rsidRPr="00DE12A3" w:rsidRDefault="00BC5D8E" w:rsidP="00C917D6">
            <w:pPr>
              <w:pStyle w:val="Gvdemetni0"/>
              <w:shd w:val="clear" w:color="auto" w:fill="auto"/>
              <w:spacing w:before="120" w:after="120" w:line="240" w:lineRule="auto"/>
              <w:ind w:firstLine="0"/>
              <w:rPr>
                <w:sz w:val="20"/>
                <w:szCs w:val="20"/>
              </w:rPr>
            </w:pPr>
            <w:r w:rsidRPr="00DE12A3">
              <w:rPr>
                <w:sz w:val="20"/>
                <w:szCs w:val="20"/>
              </w:rPr>
              <w:t xml:space="preserve">≤ 2 % </w:t>
            </w:r>
            <w:r w:rsidRPr="00DE12A3">
              <w:rPr>
                <w:i/>
                <w:iCs/>
                <w:sz w:val="20"/>
                <w:szCs w:val="20"/>
              </w:rPr>
              <w:t>q</w:t>
            </w:r>
            <w:r w:rsidRPr="00DE12A3">
              <w:rPr>
                <w:sz w:val="20"/>
                <w:szCs w:val="20"/>
                <w:vertAlign w:val="subscript"/>
              </w:rPr>
              <w:t>v, max</w:t>
            </w:r>
          </w:p>
        </w:tc>
        <w:tc>
          <w:tcPr>
            <w:tcW w:w="984" w:type="dxa"/>
            <w:tcBorders>
              <w:left w:val="single" w:sz="4" w:space="0" w:color="auto"/>
            </w:tcBorders>
            <w:shd w:val="clear" w:color="auto" w:fill="auto"/>
          </w:tcPr>
          <w:p w14:paraId="3CCBC94A" w14:textId="77777777" w:rsidR="00BC5D8E" w:rsidRPr="00DE12A3" w:rsidRDefault="00BC5D8E" w:rsidP="00C917D6">
            <w:pPr>
              <w:pStyle w:val="Gvdemetni0"/>
              <w:shd w:val="clear" w:color="auto" w:fill="auto"/>
              <w:spacing w:before="120" w:after="120" w:line="240" w:lineRule="auto"/>
              <w:ind w:firstLine="0"/>
              <w:rPr>
                <w:sz w:val="20"/>
                <w:szCs w:val="20"/>
              </w:rPr>
            </w:pPr>
            <w:r w:rsidRPr="00DE12A3">
              <w:rPr>
                <w:sz w:val="20"/>
                <w:szCs w:val="20"/>
              </w:rPr>
              <w:t>≥ 0,990</w:t>
            </w:r>
          </w:p>
        </w:tc>
      </w:tr>
      <w:tr w:rsidR="00DE12A3" w:rsidRPr="00DE12A3" w14:paraId="1075953C" w14:textId="77777777" w:rsidTr="00BC5D8E">
        <w:trPr>
          <w:trHeight w:hRule="exact" w:val="898"/>
        </w:trPr>
        <w:tc>
          <w:tcPr>
            <w:tcW w:w="1271" w:type="dxa"/>
            <w:tcBorders>
              <w:right w:val="single" w:sz="4" w:space="0" w:color="auto"/>
            </w:tcBorders>
            <w:shd w:val="clear" w:color="auto" w:fill="auto"/>
          </w:tcPr>
          <w:p w14:paraId="28255D44" w14:textId="77777777" w:rsidR="00BC5D8E" w:rsidRPr="00DE12A3" w:rsidRDefault="00BC5D8E" w:rsidP="00C917D6">
            <w:pPr>
              <w:pStyle w:val="NormalCentered"/>
              <w:rPr>
                <w:sz w:val="20"/>
                <w:szCs w:val="20"/>
              </w:rPr>
            </w:pPr>
            <w:r w:rsidRPr="00DE12A3">
              <w:rPr>
                <w:sz w:val="20"/>
                <w:szCs w:val="20"/>
              </w:rPr>
              <w:t xml:space="preserve">Seyreltilmiş egzoz gazı debisi </w:t>
            </w:r>
            <w:r w:rsidRPr="00DE12A3">
              <w:rPr>
                <w:sz w:val="20"/>
                <w:szCs w:val="20"/>
                <w:vertAlign w:val="superscript"/>
              </w:rPr>
              <w:t>(1)</w:t>
            </w:r>
          </w:p>
        </w:tc>
        <w:tc>
          <w:tcPr>
            <w:tcW w:w="1210" w:type="dxa"/>
            <w:tcBorders>
              <w:left w:val="single" w:sz="4" w:space="0" w:color="auto"/>
              <w:right w:val="single" w:sz="4" w:space="0" w:color="auto"/>
            </w:tcBorders>
            <w:shd w:val="clear" w:color="auto" w:fill="auto"/>
          </w:tcPr>
          <w:p w14:paraId="3C77CDD9" w14:textId="77777777" w:rsidR="00BC5D8E" w:rsidRPr="00DE12A3" w:rsidRDefault="00BC5D8E" w:rsidP="00C917D6">
            <w:pPr>
              <w:pStyle w:val="NormalCentered"/>
              <w:rPr>
                <w:sz w:val="20"/>
                <w:szCs w:val="20"/>
              </w:rPr>
            </w:pPr>
            <w:r w:rsidRPr="00DE12A3">
              <w:rPr>
                <w:sz w:val="20"/>
                <w:szCs w:val="20"/>
              </w:rPr>
              <w:t>q</w:t>
            </w:r>
            <w:r w:rsidRPr="00DE12A3">
              <w:rPr>
                <w:sz w:val="20"/>
                <w:szCs w:val="20"/>
                <w:vertAlign w:val="subscript"/>
              </w:rPr>
              <w:t>v</w:t>
            </w:r>
          </w:p>
        </w:tc>
        <w:tc>
          <w:tcPr>
            <w:tcW w:w="1920" w:type="dxa"/>
            <w:tcBorders>
              <w:left w:val="single" w:sz="4" w:space="0" w:color="auto"/>
              <w:right w:val="single" w:sz="4" w:space="0" w:color="auto"/>
            </w:tcBorders>
            <w:shd w:val="clear" w:color="auto" w:fill="auto"/>
          </w:tcPr>
          <w:p w14:paraId="5B20D6FF" w14:textId="77777777" w:rsidR="00BC5D8E" w:rsidRPr="00DE12A3" w:rsidRDefault="00BC5D8E" w:rsidP="00C917D6">
            <w:pPr>
              <w:pStyle w:val="Gvdemetni0"/>
              <w:spacing w:before="120" w:after="120" w:line="240" w:lineRule="auto"/>
              <w:ind w:left="56" w:right="142" w:firstLine="0"/>
              <w:jc w:val="both"/>
              <w:rPr>
                <w:sz w:val="20"/>
                <w:szCs w:val="20"/>
              </w:rPr>
            </w:pPr>
            <w:r w:rsidRPr="00DE12A3">
              <w:rPr>
                <w:sz w:val="20"/>
                <w:szCs w:val="20"/>
              </w:rPr>
              <w:t>Testten önceki 370 gün içinde</w:t>
            </w:r>
          </w:p>
        </w:tc>
        <w:tc>
          <w:tcPr>
            <w:tcW w:w="1493" w:type="dxa"/>
            <w:tcBorders>
              <w:left w:val="single" w:sz="4" w:space="0" w:color="auto"/>
              <w:right w:val="single" w:sz="4" w:space="0" w:color="auto"/>
            </w:tcBorders>
            <w:shd w:val="clear" w:color="auto" w:fill="auto"/>
          </w:tcPr>
          <w:p w14:paraId="15E4D453" w14:textId="77777777" w:rsidR="00BC5D8E" w:rsidRPr="00DE12A3" w:rsidRDefault="00BC5D8E" w:rsidP="00C917D6">
            <w:pPr>
              <w:pStyle w:val="Gvdemetni0"/>
              <w:shd w:val="clear" w:color="auto" w:fill="auto"/>
              <w:spacing w:before="120" w:after="120" w:line="240" w:lineRule="auto"/>
              <w:ind w:firstLine="0"/>
              <w:rPr>
                <w:sz w:val="20"/>
                <w:szCs w:val="20"/>
              </w:rPr>
            </w:pPr>
            <w:r w:rsidRPr="00DE12A3">
              <w:rPr>
                <w:sz w:val="20"/>
                <w:szCs w:val="20"/>
              </w:rPr>
              <w:t xml:space="preserve">≤ 1 % </w:t>
            </w:r>
            <w:r w:rsidRPr="00DE12A3">
              <w:rPr>
                <w:i/>
                <w:iCs/>
                <w:sz w:val="20"/>
                <w:szCs w:val="20"/>
              </w:rPr>
              <w:t>q</w:t>
            </w:r>
            <w:r w:rsidRPr="00DE12A3">
              <w:rPr>
                <w:sz w:val="20"/>
                <w:szCs w:val="20"/>
                <w:vertAlign w:val="subscript"/>
              </w:rPr>
              <w:t>v, max</w:t>
            </w:r>
          </w:p>
        </w:tc>
        <w:tc>
          <w:tcPr>
            <w:tcW w:w="1066" w:type="dxa"/>
            <w:tcBorders>
              <w:left w:val="single" w:sz="4" w:space="0" w:color="auto"/>
              <w:right w:val="single" w:sz="4" w:space="0" w:color="auto"/>
            </w:tcBorders>
            <w:shd w:val="clear" w:color="auto" w:fill="auto"/>
          </w:tcPr>
          <w:p w14:paraId="06B225E9" w14:textId="77777777" w:rsidR="00BC5D8E" w:rsidRPr="00DE12A3" w:rsidRDefault="00BC5D8E" w:rsidP="00C917D6">
            <w:pPr>
              <w:pStyle w:val="Gvdemetni0"/>
              <w:shd w:val="clear" w:color="auto" w:fill="auto"/>
              <w:spacing w:before="120" w:after="120" w:line="240" w:lineRule="auto"/>
              <w:ind w:firstLine="0"/>
              <w:rPr>
                <w:sz w:val="20"/>
                <w:szCs w:val="20"/>
              </w:rPr>
            </w:pPr>
            <w:r w:rsidRPr="00DE12A3">
              <w:rPr>
                <w:sz w:val="20"/>
                <w:szCs w:val="20"/>
              </w:rPr>
              <w:t>0,98-1,02</w:t>
            </w:r>
          </w:p>
        </w:tc>
        <w:tc>
          <w:tcPr>
            <w:tcW w:w="1176" w:type="dxa"/>
            <w:tcBorders>
              <w:left w:val="single" w:sz="4" w:space="0" w:color="auto"/>
              <w:right w:val="single" w:sz="4" w:space="0" w:color="auto"/>
            </w:tcBorders>
            <w:shd w:val="clear" w:color="auto" w:fill="auto"/>
          </w:tcPr>
          <w:p w14:paraId="7B650022" w14:textId="77777777" w:rsidR="00BC5D8E" w:rsidRPr="00DE12A3" w:rsidRDefault="00BC5D8E" w:rsidP="00C917D6">
            <w:pPr>
              <w:pStyle w:val="Gvdemetni0"/>
              <w:shd w:val="clear" w:color="auto" w:fill="auto"/>
              <w:spacing w:before="120" w:after="120" w:line="240" w:lineRule="auto"/>
              <w:ind w:firstLine="0"/>
              <w:rPr>
                <w:sz w:val="20"/>
                <w:szCs w:val="20"/>
              </w:rPr>
            </w:pPr>
            <w:r w:rsidRPr="00DE12A3">
              <w:rPr>
                <w:sz w:val="20"/>
                <w:szCs w:val="20"/>
              </w:rPr>
              <w:t xml:space="preserve">≤ 2 % </w:t>
            </w:r>
            <w:r w:rsidRPr="00DE12A3">
              <w:rPr>
                <w:i/>
                <w:iCs/>
                <w:sz w:val="20"/>
                <w:szCs w:val="20"/>
              </w:rPr>
              <w:t>q</w:t>
            </w:r>
            <w:r w:rsidRPr="00DE12A3">
              <w:rPr>
                <w:sz w:val="20"/>
                <w:szCs w:val="20"/>
                <w:vertAlign w:val="subscript"/>
              </w:rPr>
              <w:t>v, max</w:t>
            </w:r>
          </w:p>
        </w:tc>
        <w:tc>
          <w:tcPr>
            <w:tcW w:w="984" w:type="dxa"/>
            <w:tcBorders>
              <w:left w:val="single" w:sz="4" w:space="0" w:color="auto"/>
            </w:tcBorders>
            <w:shd w:val="clear" w:color="auto" w:fill="auto"/>
          </w:tcPr>
          <w:p w14:paraId="6CC303CC" w14:textId="77777777" w:rsidR="00BC5D8E" w:rsidRPr="00DE12A3" w:rsidRDefault="00BC5D8E" w:rsidP="00C917D6">
            <w:pPr>
              <w:pStyle w:val="Gvdemetni0"/>
              <w:shd w:val="clear" w:color="auto" w:fill="auto"/>
              <w:spacing w:before="120" w:after="120" w:line="240" w:lineRule="auto"/>
              <w:ind w:firstLine="0"/>
              <w:rPr>
                <w:sz w:val="20"/>
                <w:szCs w:val="20"/>
              </w:rPr>
            </w:pPr>
            <w:r w:rsidRPr="00DE12A3">
              <w:rPr>
                <w:sz w:val="20"/>
                <w:szCs w:val="20"/>
              </w:rPr>
              <w:t>≥ 0,990</w:t>
            </w:r>
          </w:p>
        </w:tc>
      </w:tr>
      <w:tr w:rsidR="00DE12A3" w:rsidRPr="00DE12A3" w14:paraId="6584DAD7" w14:textId="77777777" w:rsidTr="00BC5D8E">
        <w:trPr>
          <w:trHeight w:hRule="exact" w:val="747"/>
        </w:trPr>
        <w:tc>
          <w:tcPr>
            <w:tcW w:w="1271" w:type="dxa"/>
            <w:tcBorders>
              <w:right w:val="single" w:sz="4" w:space="0" w:color="auto"/>
            </w:tcBorders>
            <w:shd w:val="clear" w:color="auto" w:fill="auto"/>
          </w:tcPr>
          <w:p w14:paraId="09EAD679" w14:textId="77777777" w:rsidR="00BC5D8E" w:rsidRPr="00DE12A3" w:rsidRDefault="00BC5D8E" w:rsidP="00C917D6">
            <w:pPr>
              <w:pStyle w:val="NormalCentered"/>
              <w:rPr>
                <w:sz w:val="20"/>
                <w:szCs w:val="20"/>
              </w:rPr>
            </w:pPr>
            <w:r w:rsidRPr="00DE12A3">
              <w:rPr>
                <w:sz w:val="20"/>
                <w:szCs w:val="20"/>
              </w:rPr>
              <w:t xml:space="preserve">Ham egzoz gazı debisi </w:t>
            </w:r>
            <w:r w:rsidRPr="00DE12A3">
              <w:rPr>
                <w:sz w:val="20"/>
                <w:szCs w:val="20"/>
                <w:vertAlign w:val="superscript"/>
              </w:rPr>
              <w:t>(1)</w:t>
            </w:r>
          </w:p>
        </w:tc>
        <w:tc>
          <w:tcPr>
            <w:tcW w:w="1210" w:type="dxa"/>
            <w:tcBorders>
              <w:left w:val="single" w:sz="4" w:space="0" w:color="auto"/>
              <w:right w:val="single" w:sz="4" w:space="0" w:color="auto"/>
            </w:tcBorders>
            <w:shd w:val="clear" w:color="auto" w:fill="auto"/>
          </w:tcPr>
          <w:p w14:paraId="113291DD" w14:textId="77777777" w:rsidR="00BC5D8E" w:rsidRPr="00DE12A3" w:rsidRDefault="00BC5D8E" w:rsidP="00C917D6">
            <w:pPr>
              <w:pStyle w:val="NormalCentered"/>
              <w:rPr>
                <w:sz w:val="20"/>
                <w:szCs w:val="20"/>
              </w:rPr>
            </w:pPr>
            <w:r w:rsidRPr="00DE12A3">
              <w:rPr>
                <w:sz w:val="20"/>
                <w:szCs w:val="20"/>
              </w:rPr>
              <w:t>q</w:t>
            </w:r>
            <w:r w:rsidRPr="00DE12A3">
              <w:rPr>
                <w:sz w:val="20"/>
                <w:szCs w:val="20"/>
                <w:vertAlign w:val="subscript"/>
              </w:rPr>
              <w:t>v</w:t>
            </w:r>
          </w:p>
        </w:tc>
        <w:tc>
          <w:tcPr>
            <w:tcW w:w="1920" w:type="dxa"/>
            <w:tcBorders>
              <w:left w:val="single" w:sz="4" w:space="0" w:color="auto"/>
              <w:right w:val="single" w:sz="4" w:space="0" w:color="auto"/>
            </w:tcBorders>
            <w:shd w:val="clear" w:color="auto" w:fill="auto"/>
          </w:tcPr>
          <w:p w14:paraId="5C127DB6" w14:textId="77777777" w:rsidR="00BC5D8E" w:rsidRPr="00DE12A3" w:rsidRDefault="00BC5D8E" w:rsidP="00C917D6">
            <w:pPr>
              <w:pStyle w:val="Gvdemetni0"/>
              <w:spacing w:before="120" w:after="120" w:line="240" w:lineRule="auto"/>
              <w:ind w:left="56" w:right="142" w:firstLine="0"/>
              <w:jc w:val="both"/>
              <w:rPr>
                <w:sz w:val="20"/>
                <w:szCs w:val="20"/>
              </w:rPr>
            </w:pPr>
            <w:r w:rsidRPr="00DE12A3">
              <w:rPr>
                <w:sz w:val="20"/>
                <w:szCs w:val="20"/>
              </w:rPr>
              <w:t>Testten önceki 185 gün içinde</w:t>
            </w:r>
          </w:p>
        </w:tc>
        <w:tc>
          <w:tcPr>
            <w:tcW w:w="1493" w:type="dxa"/>
            <w:tcBorders>
              <w:left w:val="single" w:sz="4" w:space="0" w:color="auto"/>
              <w:bottom w:val="single" w:sz="4" w:space="0" w:color="auto"/>
              <w:right w:val="single" w:sz="4" w:space="0" w:color="auto"/>
            </w:tcBorders>
            <w:shd w:val="clear" w:color="auto" w:fill="auto"/>
          </w:tcPr>
          <w:p w14:paraId="4C6D9252" w14:textId="77777777" w:rsidR="00BC5D8E" w:rsidRPr="00DE12A3" w:rsidRDefault="00BC5D8E" w:rsidP="00C917D6">
            <w:pPr>
              <w:pStyle w:val="Gvdemetni0"/>
              <w:shd w:val="clear" w:color="auto" w:fill="auto"/>
              <w:spacing w:before="120" w:after="120" w:line="240" w:lineRule="auto"/>
              <w:ind w:firstLine="0"/>
              <w:rPr>
                <w:sz w:val="20"/>
                <w:szCs w:val="20"/>
              </w:rPr>
            </w:pPr>
            <w:r w:rsidRPr="00DE12A3">
              <w:rPr>
                <w:sz w:val="20"/>
                <w:szCs w:val="20"/>
              </w:rPr>
              <w:t xml:space="preserve">≤ 1 % </w:t>
            </w:r>
            <w:r w:rsidRPr="00DE12A3">
              <w:rPr>
                <w:i/>
                <w:iCs/>
                <w:sz w:val="20"/>
                <w:szCs w:val="20"/>
              </w:rPr>
              <w:t>q</w:t>
            </w:r>
            <w:r w:rsidRPr="00DE12A3">
              <w:rPr>
                <w:sz w:val="20"/>
                <w:szCs w:val="20"/>
                <w:vertAlign w:val="subscript"/>
              </w:rPr>
              <w:t>v, max</w:t>
            </w:r>
          </w:p>
        </w:tc>
        <w:tc>
          <w:tcPr>
            <w:tcW w:w="1066" w:type="dxa"/>
            <w:tcBorders>
              <w:left w:val="single" w:sz="4" w:space="0" w:color="auto"/>
              <w:bottom w:val="single" w:sz="4" w:space="0" w:color="auto"/>
              <w:right w:val="single" w:sz="4" w:space="0" w:color="auto"/>
            </w:tcBorders>
            <w:shd w:val="clear" w:color="auto" w:fill="auto"/>
          </w:tcPr>
          <w:p w14:paraId="22934083" w14:textId="77777777" w:rsidR="00BC5D8E" w:rsidRPr="00DE12A3" w:rsidRDefault="00BC5D8E" w:rsidP="00C917D6">
            <w:pPr>
              <w:pStyle w:val="Gvdemetni0"/>
              <w:shd w:val="clear" w:color="auto" w:fill="auto"/>
              <w:spacing w:before="120" w:after="120" w:line="240" w:lineRule="auto"/>
              <w:ind w:firstLine="0"/>
              <w:rPr>
                <w:sz w:val="20"/>
                <w:szCs w:val="20"/>
              </w:rPr>
            </w:pPr>
            <w:r w:rsidRPr="00DE12A3">
              <w:rPr>
                <w:sz w:val="20"/>
                <w:szCs w:val="20"/>
              </w:rPr>
              <w:t>0,98-1,02</w:t>
            </w:r>
          </w:p>
        </w:tc>
        <w:tc>
          <w:tcPr>
            <w:tcW w:w="1176" w:type="dxa"/>
            <w:tcBorders>
              <w:left w:val="single" w:sz="4" w:space="0" w:color="auto"/>
              <w:bottom w:val="single" w:sz="4" w:space="0" w:color="auto"/>
              <w:right w:val="single" w:sz="4" w:space="0" w:color="auto"/>
            </w:tcBorders>
            <w:shd w:val="clear" w:color="auto" w:fill="auto"/>
          </w:tcPr>
          <w:p w14:paraId="061EAA93" w14:textId="77777777" w:rsidR="00BC5D8E" w:rsidRPr="00DE12A3" w:rsidRDefault="00BC5D8E" w:rsidP="00C917D6">
            <w:pPr>
              <w:pStyle w:val="Gvdemetni0"/>
              <w:shd w:val="clear" w:color="auto" w:fill="auto"/>
              <w:spacing w:before="120" w:after="120" w:line="240" w:lineRule="auto"/>
              <w:ind w:firstLine="0"/>
              <w:rPr>
                <w:sz w:val="20"/>
                <w:szCs w:val="20"/>
              </w:rPr>
            </w:pPr>
            <w:r w:rsidRPr="00DE12A3">
              <w:rPr>
                <w:sz w:val="20"/>
                <w:szCs w:val="20"/>
              </w:rPr>
              <w:t xml:space="preserve">≤ 2 % </w:t>
            </w:r>
            <w:r w:rsidRPr="00DE12A3">
              <w:rPr>
                <w:i/>
                <w:iCs/>
                <w:sz w:val="20"/>
                <w:szCs w:val="20"/>
              </w:rPr>
              <w:t>q</w:t>
            </w:r>
            <w:r w:rsidRPr="00DE12A3">
              <w:rPr>
                <w:sz w:val="20"/>
                <w:szCs w:val="20"/>
                <w:vertAlign w:val="subscript"/>
              </w:rPr>
              <w:t>v, max</w:t>
            </w:r>
          </w:p>
        </w:tc>
        <w:tc>
          <w:tcPr>
            <w:tcW w:w="984" w:type="dxa"/>
            <w:tcBorders>
              <w:left w:val="single" w:sz="4" w:space="0" w:color="auto"/>
              <w:bottom w:val="single" w:sz="4" w:space="0" w:color="auto"/>
            </w:tcBorders>
            <w:shd w:val="clear" w:color="auto" w:fill="auto"/>
          </w:tcPr>
          <w:p w14:paraId="618279BB" w14:textId="77777777" w:rsidR="00BC5D8E" w:rsidRPr="00DE12A3" w:rsidRDefault="00BC5D8E" w:rsidP="00C917D6">
            <w:pPr>
              <w:pStyle w:val="Gvdemetni0"/>
              <w:shd w:val="clear" w:color="auto" w:fill="auto"/>
              <w:spacing w:before="120" w:after="120" w:line="240" w:lineRule="auto"/>
              <w:ind w:firstLine="0"/>
              <w:rPr>
                <w:sz w:val="20"/>
                <w:szCs w:val="20"/>
              </w:rPr>
            </w:pPr>
            <w:r w:rsidRPr="00DE12A3">
              <w:rPr>
                <w:sz w:val="20"/>
                <w:szCs w:val="20"/>
              </w:rPr>
              <w:t>≥ 0,990</w:t>
            </w:r>
          </w:p>
        </w:tc>
      </w:tr>
      <w:tr w:rsidR="00DE12A3" w:rsidRPr="00DE12A3" w14:paraId="02565A93" w14:textId="77777777" w:rsidTr="00BC5D8E">
        <w:trPr>
          <w:trHeight w:hRule="exact" w:val="1142"/>
        </w:trPr>
        <w:tc>
          <w:tcPr>
            <w:tcW w:w="1271" w:type="dxa"/>
            <w:tcBorders>
              <w:right w:val="single" w:sz="4" w:space="0" w:color="auto"/>
            </w:tcBorders>
            <w:shd w:val="clear" w:color="auto" w:fill="auto"/>
          </w:tcPr>
          <w:p w14:paraId="34CC5721" w14:textId="77777777" w:rsidR="00BC5D8E" w:rsidRPr="00DE12A3" w:rsidRDefault="00BC5D8E" w:rsidP="00C917D6">
            <w:pPr>
              <w:pStyle w:val="NormalCentered"/>
              <w:rPr>
                <w:sz w:val="20"/>
                <w:szCs w:val="20"/>
              </w:rPr>
            </w:pPr>
            <w:r w:rsidRPr="00DE12A3">
              <w:rPr>
                <w:sz w:val="20"/>
                <w:szCs w:val="20"/>
              </w:rPr>
              <w:t xml:space="preserve">Toplu örnekleme cihazı debileri </w:t>
            </w:r>
            <w:r w:rsidRPr="00DE12A3">
              <w:rPr>
                <w:sz w:val="20"/>
                <w:szCs w:val="20"/>
                <w:vertAlign w:val="superscript"/>
              </w:rPr>
              <w:t>(1)</w:t>
            </w:r>
          </w:p>
        </w:tc>
        <w:tc>
          <w:tcPr>
            <w:tcW w:w="1210" w:type="dxa"/>
            <w:tcBorders>
              <w:left w:val="single" w:sz="4" w:space="0" w:color="auto"/>
              <w:right w:val="single" w:sz="4" w:space="0" w:color="auto"/>
            </w:tcBorders>
            <w:shd w:val="clear" w:color="auto" w:fill="auto"/>
          </w:tcPr>
          <w:p w14:paraId="1E374B7B" w14:textId="77777777" w:rsidR="00BC5D8E" w:rsidRPr="00DE12A3" w:rsidRDefault="00BC5D8E" w:rsidP="00C917D6">
            <w:pPr>
              <w:pStyle w:val="NormalCentered"/>
              <w:rPr>
                <w:sz w:val="20"/>
                <w:szCs w:val="20"/>
              </w:rPr>
            </w:pPr>
            <w:r w:rsidRPr="00DE12A3">
              <w:rPr>
                <w:sz w:val="20"/>
                <w:szCs w:val="20"/>
              </w:rPr>
              <w:t>q</w:t>
            </w:r>
            <w:r w:rsidRPr="00DE12A3">
              <w:rPr>
                <w:sz w:val="20"/>
                <w:szCs w:val="20"/>
                <w:vertAlign w:val="subscript"/>
              </w:rPr>
              <w:t>v</w:t>
            </w:r>
          </w:p>
        </w:tc>
        <w:tc>
          <w:tcPr>
            <w:tcW w:w="1920" w:type="dxa"/>
            <w:tcBorders>
              <w:left w:val="single" w:sz="4" w:space="0" w:color="auto"/>
              <w:right w:val="single" w:sz="4" w:space="0" w:color="auto"/>
            </w:tcBorders>
            <w:shd w:val="clear" w:color="auto" w:fill="auto"/>
          </w:tcPr>
          <w:p w14:paraId="4A5773E4" w14:textId="77777777" w:rsidR="00BC5D8E" w:rsidRPr="00DE12A3" w:rsidRDefault="00BC5D8E" w:rsidP="00C917D6">
            <w:pPr>
              <w:pStyle w:val="Gvdemetni0"/>
              <w:spacing w:before="120" w:after="120" w:line="240" w:lineRule="auto"/>
              <w:ind w:left="56" w:right="142" w:firstLine="0"/>
              <w:jc w:val="both"/>
              <w:rPr>
                <w:sz w:val="20"/>
                <w:szCs w:val="20"/>
              </w:rPr>
            </w:pPr>
            <w:r w:rsidRPr="00DE12A3">
              <w:rPr>
                <w:sz w:val="20"/>
                <w:szCs w:val="20"/>
              </w:rPr>
              <w:t>Testten önceki 370 gün içinde</w:t>
            </w:r>
          </w:p>
        </w:tc>
        <w:tc>
          <w:tcPr>
            <w:tcW w:w="1493" w:type="dxa"/>
            <w:tcBorders>
              <w:left w:val="single" w:sz="4" w:space="0" w:color="auto"/>
              <w:right w:val="single" w:sz="4" w:space="0" w:color="auto"/>
            </w:tcBorders>
            <w:shd w:val="clear" w:color="auto" w:fill="auto"/>
          </w:tcPr>
          <w:p w14:paraId="1805D33D" w14:textId="77777777" w:rsidR="00BC5D8E" w:rsidRPr="00DE12A3" w:rsidRDefault="00BC5D8E" w:rsidP="00C917D6">
            <w:pPr>
              <w:pStyle w:val="Gvdemetni0"/>
              <w:shd w:val="clear" w:color="auto" w:fill="auto"/>
              <w:spacing w:before="120" w:after="120" w:line="240" w:lineRule="auto"/>
              <w:ind w:firstLine="0"/>
              <w:rPr>
                <w:sz w:val="20"/>
                <w:szCs w:val="20"/>
              </w:rPr>
            </w:pPr>
            <w:r w:rsidRPr="00DE12A3">
              <w:rPr>
                <w:sz w:val="20"/>
                <w:szCs w:val="20"/>
              </w:rPr>
              <w:t xml:space="preserve">≤ 1 % </w:t>
            </w:r>
            <w:r w:rsidRPr="00DE12A3">
              <w:rPr>
                <w:i/>
                <w:iCs/>
                <w:sz w:val="20"/>
                <w:szCs w:val="20"/>
              </w:rPr>
              <w:t>q</w:t>
            </w:r>
            <w:r w:rsidRPr="00DE12A3">
              <w:rPr>
                <w:sz w:val="20"/>
                <w:szCs w:val="20"/>
                <w:vertAlign w:val="subscript"/>
              </w:rPr>
              <w:t>v, max</w:t>
            </w:r>
          </w:p>
        </w:tc>
        <w:tc>
          <w:tcPr>
            <w:tcW w:w="1066" w:type="dxa"/>
            <w:tcBorders>
              <w:left w:val="single" w:sz="4" w:space="0" w:color="auto"/>
              <w:right w:val="single" w:sz="4" w:space="0" w:color="auto"/>
            </w:tcBorders>
            <w:shd w:val="clear" w:color="auto" w:fill="auto"/>
          </w:tcPr>
          <w:p w14:paraId="328583BB" w14:textId="77777777" w:rsidR="00BC5D8E" w:rsidRPr="00DE12A3" w:rsidRDefault="00BC5D8E" w:rsidP="00C917D6">
            <w:pPr>
              <w:pStyle w:val="Gvdemetni0"/>
              <w:shd w:val="clear" w:color="auto" w:fill="auto"/>
              <w:spacing w:before="120" w:after="120" w:line="240" w:lineRule="auto"/>
              <w:ind w:firstLine="0"/>
              <w:rPr>
                <w:sz w:val="20"/>
                <w:szCs w:val="20"/>
              </w:rPr>
            </w:pPr>
            <w:r w:rsidRPr="00DE12A3">
              <w:rPr>
                <w:sz w:val="20"/>
                <w:szCs w:val="20"/>
              </w:rPr>
              <w:t>0,98-1,02</w:t>
            </w:r>
          </w:p>
        </w:tc>
        <w:tc>
          <w:tcPr>
            <w:tcW w:w="1176" w:type="dxa"/>
            <w:tcBorders>
              <w:left w:val="single" w:sz="4" w:space="0" w:color="auto"/>
              <w:right w:val="single" w:sz="4" w:space="0" w:color="auto"/>
            </w:tcBorders>
            <w:shd w:val="clear" w:color="auto" w:fill="auto"/>
          </w:tcPr>
          <w:p w14:paraId="471B7C18" w14:textId="77777777" w:rsidR="00BC5D8E" w:rsidRPr="00DE12A3" w:rsidRDefault="00BC5D8E" w:rsidP="00C917D6">
            <w:pPr>
              <w:pStyle w:val="Gvdemetni0"/>
              <w:shd w:val="clear" w:color="auto" w:fill="auto"/>
              <w:spacing w:before="120" w:after="120" w:line="240" w:lineRule="auto"/>
              <w:ind w:firstLine="0"/>
              <w:rPr>
                <w:sz w:val="20"/>
                <w:szCs w:val="20"/>
              </w:rPr>
            </w:pPr>
            <w:r w:rsidRPr="00DE12A3">
              <w:rPr>
                <w:sz w:val="20"/>
                <w:szCs w:val="20"/>
              </w:rPr>
              <w:t xml:space="preserve">≤ 2 % </w:t>
            </w:r>
            <w:r w:rsidRPr="00DE12A3">
              <w:rPr>
                <w:i/>
                <w:iCs/>
                <w:sz w:val="20"/>
                <w:szCs w:val="20"/>
              </w:rPr>
              <w:t>q</w:t>
            </w:r>
            <w:r w:rsidRPr="00DE12A3">
              <w:rPr>
                <w:sz w:val="20"/>
                <w:szCs w:val="20"/>
                <w:vertAlign w:val="subscript"/>
              </w:rPr>
              <w:t>v, max</w:t>
            </w:r>
          </w:p>
        </w:tc>
        <w:tc>
          <w:tcPr>
            <w:tcW w:w="984" w:type="dxa"/>
            <w:tcBorders>
              <w:left w:val="single" w:sz="4" w:space="0" w:color="auto"/>
            </w:tcBorders>
            <w:shd w:val="clear" w:color="auto" w:fill="auto"/>
          </w:tcPr>
          <w:p w14:paraId="0474726C" w14:textId="77777777" w:rsidR="00BC5D8E" w:rsidRPr="00DE12A3" w:rsidRDefault="00BC5D8E" w:rsidP="00C917D6">
            <w:pPr>
              <w:pStyle w:val="Gvdemetni0"/>
              <w:shd w:val="clear" w:color="auto" w:fill="auto"/>
              <w:spacing w:before="120" w:after="120" w:line="240" w:lineRule="auto"/>
              <w:ind w:firstLine="0"/>
              <w:rPr>
                <w:sz w:val="20"/>
                <w:szCs w:val="20"/>
              </w:rPr>
            </w:pPr>
            <w:r w:rsidRPr="00DE12A3">
              <w:rPr>
                <w:sz w:val="20"/>
                <w:szCs w:val="20"/>
              </w:rPr>
              <w:t>≥ 0,990</w:t>
            </w:r>
          </w:p>
        </w:tc>
      </w:tr>
      <w:tr w:rsidR="00DE12A3" w:rsidRPr="00DE12A3" w14:paraId="5D612FF6" w14:textId="77777777" w:rsidTr="00BC5D8E">
        <w:trPr>
          <w:trHeight w:hRule="exact" w:val="898"/>
        </w:trPr>
        <w:tc>
          <w:tcPr>
            <w:tcW w:w="1271" w:type="dxa"/>
            <w:tcBorders>
              <w:right w:val="single" w:sz="4" w:space="0" w:color="auto"/>
            </w:tcBorders>
            <w:shd w:val="clear" w:color="auto" w:fill="auto"/>
          </w:tcPr>
          <w:p w14:paraId="45DD7BDD" w14:textId="77777777" w:rsidR="00BC5D8E" w:rsidRPr="00DE12A3" w:rsidRDefault="00BC5D8E" w:rsidP="00C917D6">
            <w:pPr>
              <w:pStyle w:val="NormalCentered"/>
              <w:rPr>
                <w:sz w:val="20"/>
                <w:szCs w:val="20"/>
              </w:rPr>
            </w:pPr>
            <w:r w:rsidRPr="00DE12A3">
              <w:rPr>
                <w:sz w:val="20"/>
                <w:szCs w:val="20"/>
              </w:rPr>
              <w:t>Gaz bölücüler</w:t>
            </w:r>
          </w:p>
        </w:tc>
        <w:tc>
          <w:tcPr>
            <w:tcW w:w="1210" w:type="dxa"/>
            <w:tcBorders>
              <w:left w:val="single" w:sz="4" w:space="0" w:color="auto"/>
              <w:right w:val="single" w:sz="4" w:space="0" w:color="auto"/>
            </w:tcBorders>
            <w:shd w:val="clear" w:color="auto" w:fill="auto"/>
          </w:tcPr>
          <w:p w14:paraId="5CE5AB8C" w14:textId="77777777" w:rsidR="00BC5D8E" w:rsidRPr="00DE12A3" w:rsidRDefault="00BC5D8E" w:rsidP="00C917D6">
            <w:pPr>
              <w:pStyle w:val="NormalCentered"/>
              <w:rPr>
                <w:sz w:val="20"/>
                <w:szCs w:val="20"/>
              </w:rPr>
            </w:pPr>
            <w:r w:rsidRPr="00DE12A3">
              <w:rPr>
                <w:i/>
                <w:iCs/>
                <w:sz w:val="20"/>
                <w:szCs w:val="20"/>
              </w:rPr>
              <w:t>x/x</w:t>
            </w:r>
            <w:r w:rsidRPr="00DE12A3">
              <w:rPr>
                <w:sz w:val="20"/>
                <w:szCs w:val="20"/>
                <w:vertAlign w:val="subscript"/>
              </w:rPr>
              <w:t>span</w:t>
            </w:r>
          </w:p>
        </w:tc>
        <w:tc>
          <w:tcPr>
            <w:tcW w:w="1920" w:type="dxa"/>
            <w:tcBorders>
              <w:left w:val="single" w:sz="4" w:space="0" w:color="auto"/>
              <w:right w:val="single" w:sz="4" w:space="0" w:color="auto"/>
            </w:tcBorders>
            <w:shd w:val="clear" w:color="auto" w:fill="auto"/>
          </w:tcPr>
          <w:p w14:paraId="71F2F7AB" w14:textId="77777777" w:rsidR="00BC5D8E" w:rsidRPr="00DE12A3" w:rsidRDefault="00BC5D8E" w:rsidP="00C917D6">
            <w:pPr>
              <w:pStyle w:val="Gvdemetni0"/>
              <w:spacing w:before="120" w:after="120" w:line="240" w:lineRule="auto"/>
              <w:ind w:left="56" w:right="142" w:firstLine="0"/>
              <w:jc w:val="both"/>
              <w:rPr>
                <w:sz w:val="20"/>
                <w:szCs w:val="20"/>
              </w:rPr>
            </w:pPr>
            <w:r w:rsidRPr="00DE12A3">
              <w:rPr>
                <w:sz w:val="20"/>
                <w:szCs w:val="20"/>
              </w:rPr>
              <w:t>Testten önceki 370 gün içinde</w:t>
            </w:r>
          </w:p>
        </w:tc>
        <w:tc>
          <w:tcPr>
            <w:tcW w:w="1493" w:type="dxa"/>
            <w:tcBorders>
              <w:left w:val="single" w:sz="4" w:space="0" w:color="auto"/>
              <w:right w:val="single" w:sz="4" w:space="0" w:color="auto"/>
            </w:tcBorders>
            <w:shd w:val="clear" w:color="auto" w:fill="auto"/>
          </w:tcPr>
          <w:p w14:paraId="111444D9" w14:textId="77777777" w:rsidR="00BC5D8E" w:rsidRPr="00DE12A3" w:rsidRDefault="00BC5D8E" w:rsidP="00C917D6">
            <w:pPr>
              <w:spacing w:before="120" w:after="120"/>
              <w:jc w:val="center"/>
              <w:rPr>
                <w:rFonts w:cs="Times New Roman"/>
                <w:color w:val="auto"/>
                <w:sz w:val="20"/>
                <w:szCs w:val="20"/>
              </w:rPr>
            </w:pPr>
            <w:r w:rsidRPr="00DE12A3">
              <w:rPr>
                <w:rFonts w:cs="Times New Roman"/>
                <w:color w:val="auto"/>
                <w:sz w:val="20"/>
                <w:szCs w:val="20"/>
              </w:rPr>
              <w:t>≤ 0,5 %</w:t>
            </w:r>
            <w:r w:rsidRPr="00DE12A3">
              <w:rPr>
                <w:rFonts w:cs="Times New Roman"/>
                <w:i/>
                <w:iCs/>
                <w:color w:val="auto"/>
                <w:sz w:val="20"/>
                <w:szCs w:val="20"/>
              </w:rPr>
              <w:t>x</w:t>
            </w:r>
            <w:r w:rsidRPr="00DE12A3">
              <w:rPr>
                <w:rFonts w:cs="Times New Roman"/>
                <w:color w:val="auto"/>
                <w:sz w:val="20"/>
                <w:szCs w:val="20"/>
                <w:vertAlign w:val="subscript"/>
              </w:rPr>
              <w:t>max</w:t>
            </w:r>
          </w:p>
        </w:tc>
        <w:tc>
          <w:tcPr>
            <w:tcW w:w="1066" w:type="dxa"/>
            <w:tcBorders>
              <w:left w:val="single" w:sz="4" w:space="0" w:color="auto"/>
              <w:right w:val="single" w:sz="4" w:space="0" w:color="auto"/>
            </w:tcBorders>
            <w:shd w:val="clear" w:color="auto" w:fill="auto"/>
          </w:tcPr>
          <w:p w14:paraId="51A1F7B2" w14:textId="77777777" w:rsidR="00BC5D8E" w:rsidRPr="00DE12A3" w:rsidRDefault="00BC5D8E" w:rsidP="00C917D6">
            <w:pPr>
              <w:pStyle w:val="Gvdemetni0"/>
              <w:shd w:val="clear" w:color="auto" w:fill="auto"/>
              <w:spacing w:before="120" w:after="120" w:line="240" w:lineRule="auto"/>
              <w:ind w:firstLine="0"/>
              <w:rPr>
                <w:sz w:val="20"/>
                <w:szCs w:val="20"/>
              </w:rPr>
            </w:pPr>
            <w:r w:rsidRPr="00DE12A3">
              <w:rPr>
                <w:sz w:val="20"/>
                <w:szCs w:val="20"/>
              </w:rPr>
              <w:t>0,98-1,02</w:t>
            </w:r>
          </w:p>
        </w:tc>
        <w:tc>
          <w:tcPr>
            <w:tcW w:w="1176" w:type="dxa"/>
            <w:tcBorders>
              <w:left w:val="single" w:sz="4" w:space="0" w:color="auto"/>
              <w:right w:val="single" w:sz="4" w:space="0" w:color="auto"/>
            </w:tcBorders>
            <w:shd w:val="clear" w:color="auto" w:fill="auto"/>
          </w:tcPr>
          <w:p w14:paraId="4DA850B7" w14:textId="77777777" w:rsidR="00BC5D8E" w:rsidRPr="00DE12A3" w:rsidRDefault="00BC5D8E" w:rsidP="00C917D6">
            <w:pPr>
              <w:pStyle w:val="Gvdemetni0"/>
              <w:shd w:val="clear" w:color="auto" w:fill="auto"/>
              <w:spacing w:before="120" w:after="120" w:line="240" w:lineRule="auto"/>
              <w:ind w:firstLine="0"/>
              <w:rPr>
                <w:sz w:val="20"/>
                <w:szCs w:val="20"/>
              </w:rPr>
            </w:pPr>
            <w:r w:rsidRPr="00DE12A3">
              <w:rPr>
                <w:sz w:val="20"/>
                <w:szCs w:val="20"/>
              </w:rPr>
              <w:t xml:space="preserve">≤ 2 % </w:t>
            </w:r>
            <w:r w:rsidRPr="00DE12A3">
              <w:rPr>
                <w:i/>
                <w:iCs/>
                <w:sz w:val="20"/>
                <w:szCs w:val="20"/>
              </w:rPr>
              <w:t>x</w:t>
            </w:r>
            <w:r w:rsidRPr="00DE12A3">
              <w:rPr>
                <w:sz w:val="20"/>
                <w:szCs w:val="20"/>
                <w:vertAlign w:val="subscript"/>
              </w:rPr>
              <w:t>max</w:t>
            </w:r>
          </w:p>
        </w:tc>
        <w:tc>
          <w:tcPr>
            <w:tcW w:w="984" w:type="dxa"/>
            <w:tcBorders>
              <w:left w:val="single" w:sz="4" w:space="0" w:color="auto"/>
            </w:tcBorders>
            <w:shd w:val="clear" w:color="auto" w:fill="auto"/>
          </w:tcPr>
          <w:p w14:paraId="4D2D4948" w14:textId="77777777" w:rsidR="00BC5D8E" w:rsidRPr="00DE12A3" w:rsidRDefault="00BC5D8E" w:rsidP="00C917D6">
            <w:pPr>
              <w:pStyle w:val="Gvdemetni0"/>
              <w:shd w:val="clear" w:color="auto" w:fill="auto"/>
              <w:spacing w:before="120" w:after="120" w:line="240" w:lineRule="auto"/>
              <w:ind w:firstLine="0"/>
              <w:rPr>
                <w:sz w:val="20"/>
                <w:szCs w:val="20"/>
              </w:rPr>
            </w:pPr>
            <w:r w:rsidRPr="00DE12A3">
              <w:rPr>
                <w:sz w:val="20"/>
                <w:szCs w:val="20"/>
              </w:rPr>
              <w:t>≥ 0,990</w:t>
            </w:r>
          </w:p>
        </w:tc>
      </w:tr>
      <w:tr w:rsidR="00DE12A3" w:rsidRPr="00DE12A3" w14:paraId="2694CB23" w14:textId="77777777" w:rsidTr="00BC5D8E">
        <w:trPr>
          <w:trHeight w:hRule="exact" w:val="898"/>
        </w:trPr>
        <w:tc>
          <w:tcPr>
            <w:tcW w:w="1271" w:type="dxa"/>
            <w:tcBorders>
              <w:right w:val="single" w:sz="4" w:space="0" w:color="auto"/>
            </w:tcBorders>
            <w:shd w:val="clear" w:color="auto" w:fill="auto"/>
          </w:tcPr>
          <w:p w14:paraId="7479E447" w14:textId="77777777" w:rsidR="00BC5D8E" w:rsidRPr="00DE12A3" w:rsidRDefault="00BC5D8E" w:rsidP="00C917D6">
            <w:pPr>
              <w:pStyle w:val="NormalCentered"/>
              <w:rPr>
                <w:sz w:val="20"/>
                <w:szCs w:val="20"/>
              </w:rPr>
            </w:pPr>
            <w:r w:rsidRPr="00DE12A3">
              <w:rPr>
                <w:sz w:val="20"/>
                <w:szCs w:val="20"/>
              </w:rPr>
              <w:t>Gaz analiz cihazları</w:t>
            </w:r>
          </w:p>
        </w:tc>
        <w:tc>
          <w:tcPr>
            <w:tcW w:w="1210" w:type="dxa"/>
            <w:tcBorders>
              <w:left w:val="single" w:sz="4" w:space="0" w:color="auto"/>
              <w:right w:val="single" w:sz="4" w:space="0" w:color="auto"/>
            </w:tcBorders>
            <w:shd w:val="clear" w:color="auto" w:fill="auto"/>
          </w:tcPr>
          <w:p w14:paraId="033777ED" w14:textId="77777777" w:rsidR="00BC5D8E" w:rsidRPr="00DE12A3" w:rsidRDefault="00BC5D8E" w:rsidP="00C917D6">
            <w:pPr>
              <w:pStyle w:val="NormalCentered"/>
              <w:rPr>
                <w:sz w:val="20"/>
                <w:szCs w:val="20"/>
              </w:rPr>
            </w:pPr>
            <w:r w:rsidRPr="00DE12A3">
              <w:rPr>
                <w:i/>
                <w:iCs/>
                <w:sz w:val="20"/>
                <w:szCs w:val="20"/>
              </w:rPr>
              <w:t>x</w:t>
            </w:r>
          </w:p>
        </w:tc>
        <w:tc>
          <w:tcPr>
            <w:tcW w:w="1920" w:type="dxa"/>
            <w:tcBorders>
              <w:left w:val="single" w:sz="4" w:space="0" w:color="auto"/>
              <w:right w:val="single" w:sz="4" w:space="0" w:color="auto"/>
            </w:tcBorders>
            <w:shd w:val="clear" w:color="auto" w:fill="auto"/>
          </w:tcPr>
          <w:p w14:paraId="02006398" w14:textId="77777777" w:rsidR="00BC5D8E" w:rsidRPr="00DE12A3" w:rsidRDefault="00BC5D8E" w:rsidP="00C917D6">
            <w:pPr>
              <w:pStyle w:val="Gvdemetni0"/>
              <w:spacing w:before="120" w:after="120" w:line="240" w:lineRule="auto"/>
              <w:ind w:left="56" w:right="142" w:firstLine="0"/>
              <w:jc w:val="both"/>
              <w:rPr>
                <w:sz w:val="20"/>
                <w:szCs w:val="20"/>
              </w:rPr>
            </w:pPr>
            <w:r w:rsidRPr="00DE12A3">
              <w:rPr>
                <w:sz w:val="20"/>
                <w:szCs w:val="20"/>
              </w:rPr>
              <w:t>Testten önceki 35 gün içinde</w:t>
            </w:r>
          </w:p>
        </w:tc>
        <w:tc>
          <w:tcPr>
            <w:tcW w:w="1493" w:type="dxa"/>
            <w:tcBorders>
              <w:left w:val="single" w:sz="4" w:space="0" w:color="auto"/>
              <w:right w:val="single" w:sz="4" w:space="0" w:color="auto"/>
            </w:tcBorders>
            <w:shd w:val="clear" w:color="auto" w:fill="auto"/>
          </w:tcPr>
          <w:p w14:paraId="63F95CF1" w14:textId="77777777" w:rsidR="00BC5D8E" w:rsidRPr="00DE12A3" w:rsidRDefault="00BC5D8E" w:rsidP="00C917D6">
            <w:pPr>
              <w:pStyle w:val="Gvdemetni0"/>
              <w:shd w:val="clear" w:color="auto" w:fill="auto"/>
              <w:spacing w:before="120" w:after="120" w:line="240" w:lineRule="auto"/>
              <w:ind w:firstLine="0"/>
              <w:rPr>
                <w:sz w:val="20"/>
                <w:szCs w:val="20"/>
              </w:rPr>
            </w:pPr>
            <w:r w:rsidRPr="00DE12A3">
              <w:rPr>
                <w:sz w:val="20"/>
                <w:szCs w:val="20"/>
              </w:rPr>
              <w:t xml:space="preserve">≤ 0,5 % </w:t>
            </w:r>
            <w:r w:rsidRPr="00DE12A3">
              <w:rPr>
                <w:i/>
                <w:iCs/>
                <w:sz w:val="20"/>
                <w:szCs w:val="20"/>
              </w:rPr>
              <w:t>x</w:t>
            </w:r>
            <w:r w:rsidRPr="00DE12A3">
              <w:rPr>
                <w:sz w:val="20"/>
                <w:szCs w:val="20"/>
                <w:vertAlign w:val="subscript"/>
              </w:rPr>
              <w:t>max</w:t>
            </w:r>
          </w:p>
        </w:tc>
        <w:tc>
          <w:tcPr>
            <w:tcW w:w="1066" w:type="dxa"/>
            <w:tcBorders>
              <w:left w:val="single" w:sz="4" w:space="0" w:color="auto"/>
              <w:right w:val="single" w:sz="4" w:space="0" w:color="auto"/>
            </w:tcBorders>
            <w:shd w:val="clear" w:color="auto" w:fill="auto"/>
          </w:tcPr>
          <w:p w14:paraId="706F6628" w14:textId="77777777" w:rsidR="00BC5D8E" w:rsidRPr="00DE12A3" w:rsidRDefault="00BC5D8E" w:rsidP="00C917D6">
            <w:pPr>
              <w:pStyle w:val="Gvdemetni0"/>
              <w:shd w:val="clear" w:color="auto" w:fill="auto"/>
              <w:spacing w:before="120" w:after="120" w:line="240" w:lineRule="auto"/>
              <w:ind w:firstLine="0"/>
              <w:rPr>
                <w:sz w:val="20"/>
                <w:szCs w:val="20"/>
              </w:rPr>
            </w:pPr>
            <w:r w:rsidRPr="00DE12A3">
              <w:rPr>
                <w:sz w:val="20"/>
                <w:szCs w:val="20"/>
              </w:rPr>
              <w:t>0,99-1,01</w:t>
            </w:r>
          </w:p>
        </w:tc>
        <w:tc>
          <w:tcPr>
            <w:tcW w:w="1176" w:type="dxa"/>
            <w:tcBorders>
              <w:left w:val="single" w:sz="4" w:space="0" w:color="auto"/>
              <w:right w:val="single" w:sz="4" w:space="0" w:color="auto"/>
            </w:tcBorders>
            <w:shd w:val="clear" w:color="auto" w:fill="auto"/>
          </w:tcPr>
          <w:p w14:paraId="7CAEF235" w14:textId="77777777" w:rsidR="00BC5D8E" w:rsidRPr="00DE12A3" w:rsidRDefault="00BC5D8E" w:rsidP="00C917D6">
            <w:pPr>
              <w:pStyle w:val="Gvdemetni0"/>
              <w:shd w:val="clear" w:color="auto" w:fill="auto"/>
              <w:spacing w:before="120" w:after="120" w:line="240" w:lineRule="auto"/>
              <w:ind w:firstLine="0"/>
              <w:rPr>
                <w:sz w:val="20"/>
                <w:szCs w:val="20"/>
              </w:rPr>
            </w:pPr>
            <w:r w:rsidRPr="00DE12A3">
              <w:rPr>
                <w:sz w:val="20"/>
                <w:szCs w:val="20"/>
              </w:rPr>
              <w:t xml:space="preserve">≤ 1 % </w:t>
            </w:r>
            <w:r w:rsidRPr="00DE12A3">
              <w:rPr>
                <w:i/>
                <w:iCs/>
                <w:sz w:val="20"/>
                <w:szCs w:val="20"/>
              </w:rPr>
              <w:t>x</w:t>
            </w:r>
            <w:r w:rsidRPr="00DE12A3">
              <w:rPr>
                <w:sz w:val="20"/>
                <w:szCs w:val="20"/>
                <w:vertAlign w:val="subscript"/>
              </w:rPr>
              <w:t>max</w:t>
            </w:r>
          </w:p>
        </w:tc>
        <w:tc>
          <w:tcPr>
            <w:tcW w:w="984" w:type="dxa"/>
            <w:tcBorders>
              <w:left w:val="single" w:sz="4" w:space="0" w:color="auto"/>
            </w:tcBorders>
            <w:shd w:val="clear" w:color="auto" w:fill="auto"/>
          </w:tcPr>
          <w:p w14:paraId="5E8EC7D3" w14:textId="77777777" w:rsidR="00BC5D8E" w:rsidRPr="00DE12A3" w:rsidRDefault="00BC5D8E" w:rsidP="00C917D6">
            <w:pPr>
              <w:pStyle w:val="Gvdemetni0"/>
              <w:shd w:val="clear" w:color="auto" w:fill="auto"/>
              <w:spacing w:before="120" w:after="120" w:line="240" w:lineRule="auto"/>
              <w:ind w:firstLine="0"/>
              <w:rPr>
                <w:sz w:val="20"/>
                <w:szCs w:val="20"/>
              </w:rPr>
            </w:pPr>
            <w:r w:rsidRPr="00DE12A3">
              <w:rPr>
                <w:sz w:val="20"/>
                <w:szCs w:val="20"/>
              </w:rPr>
              <w:t>≥ 0,998</w:t>
            </w:r>
          </w:p>
        </w:tc>
      </w:tr>
      <w:tr w:rsidR="00DE12A3" w:rsidRPr="00DE12A3" w14:paraId="245D960C" w14:textId="77777777" w:rsidTr="00BC5D8E">
        <w:trPr>
          <w:trHeight w:hRule="exact" w:val="893"/>
        </w:trPr>
        <w:tc>
          <w:tcPr>
            <w:tcW w:w="1271" w:type="dxa"/>
            <w:tcBorders>
              <w:right w:val="single" w:sz="4" w:space="0" w:color="auto"/>
            </w:tcBorders>
            <w:shd w:val="clear" w:color="auto" w:fill="auto"/>
          </w:tcPr>
          <w:p w14:paraId="3541BD41" w14:textId="77777777" w:rsidR="00BC5D8E" w:rsidRPr="00DE12A3" w:rsidRDefault="00BC5D8E" w:rsidP="00C917D6">
            <w:pPr>
              <w:pStyle w:val="NormalCentered"/>
              <w:rPr>
                <w:sz w:val="20"/>
                <w:szCs w:val="20"/>
              </w:rPr>
            </w:pPr>
            <w:r w:rsidRPr="00DE12A3">
              <w:rPr>
                <w:sz w:val="20"/>
                <w:szCs w:val="20"/>
              </w:rPr>
              <w:t>PM dengesi</w:t>
            </w:r>
          </w:p>
        </w:tc>
        <w:tc>
          <w:tcPr>
            <w:tcW w:w="1210" w:type="dxa"/>
            <w:tcBorders>
              <w:left w:val="single" w:sz="4" w:space="0" w:color="auto"/>
              <w:right w:val="single" w:sz="4" w:space="0" w:color="auto"/>
            </w:tcBorders>
            <w:shd w:val="clear" w:color="auto" w:fill="auto"/>
          </w:tcPr>
          <w:p w14:paraId="360641A7" w14:textId="77777777" w:rsidR="00BC5D8E" w:rsidRPr="00DE12A3" w:rsidRDefault="00BC5D8E" w:rsidP="00C917D6">
            <w:pPr>
              <w:pStyle w:val="NormalCentered"/>
              <w:rPr>
                <w:sz w:val="20"/>
                <w:szCs w:val="20"/>
              </w:rPr>
            </w:pPr>
            <w:r w:rsidRPr="00DE12A3">
              <w:rPr>
                <w:i/>
                <w:iCs/>
                <w:sz w:val="20"/>
                <w:szCs w:val="20"/>
              </w:rPr>
              <w:t>m</w:t>
            </w:r>
          </w:p>
        </w:tc>
        <w:tc>
          <w:tcPr>
            <w:tcW w:w="1920" w:type="dxa"/>
            <w:tcBorders>
              <w:left w:val="single" w:sz="4" w:space="0" w:color="auto"/>
              <w:right w:val="single" w:sz="4" w:space="0" w:color="auto"/>
            </w:tcBorders>
            <w:shd w:val="clear" w:color="auto" w:fill="auto"/>
          </w:tcPr>
          <w:p w14:paraId="291171BF" w14:textId="77777777" w:rsidR="00BC5D8E" w:rsidRPr="00DE12A3" w:rsidRDefault="00BC5D8E" w:rsidP="00C917D6">
            <w:pPr>
              <w:pStyle w:val="Gvdemetni0"/>
              <w:spacing w:before="120" w:after="120" w:line="240" w:lineRule="auto"/>
              <w:ind w:left="56" w:right="142" w:firstLine="0"/>
              <w:jc w:val="both"/>
              <w:rPr>
                <w:sz w:val="20"/>
                <w:szCs w:val="20"/>
              </w:rPr>
            </w:pPr>
            <w:r w:rsidRPr="00DE12A3">
              <w:rPr>
                <w:sz w:val="20"/>
                <w:szCs w:val="20"/>
              </w:rPr>
              <w:t>Testten önceki 370 gün içinde</w:t>
            </w:r>
          </w:p>
        </w:tc>
        <w:tc>
          <w:tcPr>
            <w:tcW w:w="1493" w:type="dxa"/>
            <w:tcBorders>
              <w:left w:val="single" w:sz="4" w:space="0" w:color="auto"/>
              <w:right w:val="single" w:sz="4" w:space="0" w:color="auto"/>
            </w:tcBorders>
            <w:shd w:val="clear" w:color="auto" w:fill="auto"/>
          </w:tcPr>
          <w:p w14:paraId="1D456A34" w14:textId="77777777" w:rsidR="00BC5D8E" w:rsidRPr="00DE12A3" w:rsidRDefault="00BC5D8E" w:rsidP="00C917D6">
            <w:pPr>
              <w:pStyle w:val="Gvdemetni0"/>
              <w:shd w:val="clear" w:color="auto" w:fill="auto"/>
              <w:spacing w:before="120" w:after="120" w:line="240" w:lineRule="auto"/>
              <w:ind w:firstLine="0"/>
              <w:rPr>
                <w:sz w:val="20"/>
                <w:szCs w:val="20"/>
              </w:rPr>
            </w:pPr>
            <w:r w:rsidRPr="00DE12A3">
              <w:rPr>
                <w:sz w:val="20"/>
                <w:szCs w:val="20"/>
              </w:rPr>
              <w:t xml:space="preserve">≤ 1 % </w:t>
            </w:r>
            <w:r w:rsidRPr="00DE12A3">
              <w:rPr>
                <w:i/>
                <w:iCs/>
                <w:sz w:val="20"/>
                <w:szCs w:val="20"/>
              </w:rPr>
              <w:t>m</w:t>
            </w:r>
            <w:r w:rsidRPr="00DE12A3">
              <w:rPr>
                <w:sz w:val="20"/>
                <w:szCs w:val="20"/>
                <w:vertAlign w:val="subscript"/>
              </w:rPr>
              <w:t>max</w:t>
            </w:r>
          </w:p>
        </w:tc>
        <w:tc>
          <w:tcPr>
            <w:tcW w:w="1066" w:type="dxa"/>
            <w:tcBorders>
              <w:left w:val="single" w:sz="4" w:space="0" w:color="auto"/>
              <w:right w:val="single" w:sz="4" w:space="0" w:color="auto"/>
            </w:tcBorders>
            <w:shd w:val="clear" w:color="auto" w:fill="auto"/>
          </w:tcPr>
          <w:p w14:paraId="0B08211D" w14:textId="77777777" w:rsidR="00BC5D8E" w:rsidRPr="00DE12A3" w:rsidRDefault="00BC5D8E" w:rsidP="00C917D6">
            <w:pPr>
              <w:pStyle w:val="Gvdemetni0"/>
              <w:shd w:val="clear" w:color="auto" w:fill="auto"/>
              <w:spacing w:before="120" w:after="120" w:line="240" w:lineRule="auto"/>
              <w:ind w:firstLine="0"/>
              <w:rPr>
                <w:sz w:val="20"/>
                <w:szCs w:val="20"/>
              </w:rPr>
            </w:pPr>
            <w:r w:rsidRPr="00DE12A3">
              <w:rPr>
                <w:sz w:val="20"/>
                <w:szCs w:val="20"/>
              </w:rPr>
              <w:t>0,99-1,01</w:t>
            </w:r>
          </w:p>
        </w:tc>
        <w:tc>
          <w:tcPr>
            <w:tcW w:w="1176" w:type="dxa"/>
            <w:tcBorders>
              <w:left w:val="single" w:sz="4" w:space="0" w:color="auto"/>
              <w:right w:val="single" w:sz="4" w:space="0" w:color="auto"/>
            </w:tcBorders>
            <w:shd w:val="clear" w:color="auto" w:fill="auto"/>
          </w:tcPr>
          <w:p w14:paraId="51EB0F4E" w14:textId="77777777" w:rsidR="00BC5D8E" w:rsidRPr="00DE12A3" w:rsidRDefault="00BC5D8E" w:rsidP="00C917D6">
            <w:pPr>
              <w:pStyle w:val="Gvdemetni0"/>
              <w:shd w:val="clear" w:color="auto" w:fill="auto"/>
              <w:spacing w:before="120" w:after="120" w:line="240" w:lineRule="auto"/>
              <w:ind w:firstLine="0"/>
              <w:rPr>
                <w:sz w:val="20"/>
                <w:szCs w:val="20"/>
              </w:rPr>
            </w:pPr>
            <w:r w:rsidRPr="00DE12A3">
              <w:rPr>
                <w:sz w:val="20"/>
                <w:szCs w:val="20"/>
              </w:rPr>
              <w:t xml:space="preserve">≤ 1 % </w:t>
            </w:r>
            <w:r w:rsidRPr="00DE12A3">
              <w:rPr>
                <w:i/>
                <w:iCs/>
                <w:sz w:val="20"/>
                <w:szCs w:val="20"/>
              </w:rPr>
              <w:t>m</w:t>
            </w:r>
            <w:r w:rsidRPr="00DE12A3">
              <w:rPr>
                <w:sz w:val="20"/>
                <w:szCs w:val="20"/>
                <w:vertAlign w:val="subscript"/>
              </w:rPr>
              <w:t>max</w:t>
            </w:r>
          </w:p>
        </w:tc>
        <w:tc>
          <w:tcPr>
            <w:tcW w:w="984" w:type="dxa"/>
            <w:tcBorders>
              <w:left w:val="single" w:sz="4" w:space="0" w:color="auto"/>
            </w:tcBorders>
            <w:shd w:val="clear" w:color="auto" w:fill="auto"/>
          </w:tcPr>
          <w:p w14:paraId="41B6FEE6" w14:textId="77777777" w:rsidR="00BC5D8E" w:rsidRPr="00DE12A3" w:rsidRDefault="00BC5D8E" w:rsidP="00C917D6">
            <w:pPr>
              <w:pStyle w:val="Gvdemetni0"/>
              <w:shd w:val="clear" w:color="auto" w:fill="auto"/>
              <w:spacing w:before="120" w:after="120" w:line="240" w:lineRule="auto"/>
              <w:ind w:firstLine="0"/>
              <w:rPr>
                <w:sz w:val="20"/>
                <w:szCs w:val="20"/>
              </w:rPr>
            </w:pPr>
            <w:r w:rsidRPr="00DE12A3">
              <w:rPr>
                <w:sz w:val="20"/>
                <w:szCs w:val="20"/>
              </w:rPr>
              <w:t>≥ 0,998</w:t>
            </w:r>
          </w:p>
        </w:tc>
      </w:tr>
      <w:tr w:rsidR="00DE12A3" w:rsidRPr="00DE12A3" w14:paraId="6E855AC8" w14:textId="77777777" w:rsidTr="00BC5D8E">
        <w:trPr>
          <w:trHeight w:hRule="exact" w:val="898"/>
        </w:trPr>
        <w:tc>
          <w:tcPr>
            <w:tcW w:w="1271" w:type="dxa"/>
            <w:tcBorders>
              <w:bottom w:val="single" w:sz="4" w:space="0" w:color="auto"/>
              <w:right w:val="single" w:sz="4" w:space="0" w:color="auto"/>
            </w:tcBorders>
            <w:shd w:val="clear" w:color="auto" w:fill="auto"/>
          </w:tcPr>
          <w:p w14:paraId="355211B1" w14:textId="77777777" w:rsidR="00BC5D8E" w:rsidRPr="00DE12A3" w:rsidRDefault="00BC5D8E" w:rsidP="00C917D6">
            <w:pPr>
              <w:pStyle w:val="NormalCentered"/>
              <w:rPr>
                <w:sz w:val="20"/>
                <w:szCs w:val="20"/>
              </w:rPr>
            </w:pPr>
            <w:r w:rsidRPr="00DE12A3">
              <w:rPr>
                <w:sz w:val="20"/>
                <w:szCs w:val="20"/>
              </w:rPr>
              <w:t>Bağımsız basınçlar</w:t>
            </w:r>
          </w:p>
        </w:tc>
        <w:tc>
          <w:tcPr>
            <w:tcW w:w="1210" w:type="dxa"/>
            <w:tcBorders>
              <w:left w:val="single" w:sz="4" w:space="0" w:color="auto"/>
              <w:bottom w:val="single" w:sz="4" w:space="0" w:color="auto"/>
              <w:right w:val="single" w:sz="4" w:space="0" w:color="auto"/>
            </w:tcBorders>
            <w:shd w:val="clear" w:color="auto" w:fill="auto"/>
          </w:tcPr>
          <w:p w14:paraId="287D8A25" w14:textId="77777777" w:rsidR="00BC5D8E" w:rsidRPr="00DE12A3" w:rsidRDefault="00BC5D8E" w:rsidP="00C917D6">
            <w:pPr>
              <w:pStyle w:val="NormalCentered"/>
              <w:rPr>
                <w:sz w:val="20"/>
                <w:szCs w:val="20"/>
              </w:rPr>
            </w:pPr>
            <w:r w:rsidRPr="00DE12A3">
              <w:rPr>
                <w:i/>
                <w:iCs/>
                <w:sz w:val="20"/>
                <w:szCs w:val="20"/>
              </w:rPr>
              <w:t>p</w:t>
            </w:r>
          </w:p>
        </w:tc>
        <w:tc>
          <w:tcPr>
            <w:tcW w:w="1920" w:type="dxa"/>
            <w:tcBorders>
              <w:left w:val="single" w:sz="4" w:space="0" w:color="auto"/>
              <w:bottom w:val="single" w:sz="4" w:space="0" w:color="auto"/>
              <w:right w:val="single" w:sz="4" w:space="0" w:color="auto"/>
            </w:tcBorders>
            <w:shd w:val="clear" w:color="auto" w:fill="auto"/>
          </w:tcPr>
          <w:p w14:paraId="732974EC" w14:textId="77777777" w:rsidR="00BC5D8E" w:rsidRPr="00DE12A3" w:rsidRDefault="00BC5D8E" w:rsidP="00C917D6">
            <w:pPr>
              <w:pStyle w:val="Gvdemetni0"/>
              <w:spacing w:before="120" w:after="120" w:line="240" w:lineRule="auto"/>
              <w:ind w:left="56" w:right="142" w:firstLine="0"/>
              <w:jc w:val="both"/>
              <w:rPr>
                <w:sz w:val="20"/>
                <w:szCs w:val="20"/>
              </w:rPr>
            </w:pPr>
            <w:r w:rsidRPr="00DE12A3">
              <w:rPr>
                <w:sz w:val="20"/>
                <w:szCs w:val="20"/>
              </w:rPr>
              <w:t>Testten önceki 370 gün içinde</w:t>
            </w:r>
          </w:p>
        </w:tc>
        <w:tc>
          <w:tcPr>
            <w:tcW w:w="1493" w:type="dxa"/>
            <w:tcBorders>
              <w:left w:val="single" w:sz="4" w:space="0" w:color="auto"/>
              <w:right w:val="single" w:sz="4" w:space="0" w:color="auto"/>
            </w:tcBorders>
            <w:shd w:val="clear" w:color="auto" w:fill="auto"/>
          </w:tcPr>
          <w:p w14:paraId="18776684" w14:textId="77777777" w:rsidR="00BC5D8E" w:rsidRPr="00DE12A3" w:rsidRDefault="00BC5D8E" w:rsidP="00C917D6">
            <w:pPr>
              <w:pStyle w:val="Gvdemetni0"/>
              <w:shd w:val="clear" w:color="auto" w:fill="auto"/>
              <w:spacing w:before="120" w:after="120" w:line="240" w:lineRule="auto"/>
              <w:ind w:firstLine="0"/>
              <w:rPr>
                <w:sz w:val="20"/>
                <w:szCs w:val="20"/>
              </w:rPr>
            </w:pPr>
            <w:r w:rsidRPr="00DE12A3">
              <w:rPr>
                <w:sz w:val="20"/>
                <w:szCs w:val="20"/>
              </w:rPr>
              <w:t xml:space="preserve">≤ 1 % </w:t>
            </w:r>
            <w:r w:rsidRPr="00DE12A3">
              <w:rPr>
                <w:i/>
                <w:iCs/>
                <w:sz w:val="20"/>
                <w:szCs w:val="20"/>
              </w:rPr>
              <w:t>p</w:t>
            </w:r>
            <w:r w:rsidRPr="00DE12A3">
              <w:rPr>
                <w:sz w:val="20"/>
                <w:szCs w:val="20"/>
                <w:vertAlign w:val="subscript"/>
              </w:rPr>
              <w:t>max</w:t>
            </w:r>
          </w:p>
        </w:tc>
        <w:tc>
          <w:tcPr>
            <w:tcW w:w="1066" w:type="dxa"/>
            <w:tcBorders>
              <w:left w:val="single" w:sz="4" w:space="0" w:color="auto"/>
              <w:right w:val="single" w:sz="4" w:space="0" w:color="auto"/>
            </w:tcBorders>
            <w:shd w:val="clear" w:color="auto" w:fill="auto"/>
          </w:tcPr>
          <w:p w14:paraId="37A49545" w14:textId="77777777" w:rsidR="00BC5D8E" w:rsidRPr="00DE12A3" w:rsidRDefault="00BC5D8E" w:rsidP="00C917D6">
            <w:pPr>
              <w:spacing w:before="120" w:after="120"/>
              <w:rPr>
                <w:rFonts w:cs="Times New Roman"/>
                <w:color w:val="auto"/>
                <w:sz w:val="20"/>
                <w:szCs w:val="20"/>
              </w:rPr>
            </w:pPr>
            <w:r w:rsidRPr="00DE12A3">
              <w:rPr>
                <w:rFonts w:cs="Times New Roman"/>
                <w:color w:val="auto"/>
                <w:sz w:val="20"/>
                <w:szCs w:val="20"/>
              </w:rPr>
              <w:t>0,99-1,01</w:t>
            </w:r>
          </w:p>
        </w:tc>
        <w:tc>
          <w:tcPr>
            <w:tcW w:w="1176" w:type="dxa"/>
            <w:tcBorders>
              <w:left w:val="single" w:sz="4" w:space="0" w:color="auto"/>
              <w:right w:val="single" w:sz="4" w:space="0" w:color="auto"/>
            </w:tcBorders>
            <w:shd w:val="clear" w:color="auto" w:fill="auto"/>
          </w:tcPr>
          <w:p w14:paraId="3FFF3E33" w14:textId="77777777" w:rsidR="00BC5D8E" w:rsidRPr="00DE12A3" w:rsidRDefault="00BC5D8E" w:rsidP="00C917D6">
            <w:pPr>
              <w:spacing w:before="120" w:after="120"/>
              <w:jc w:val="center"/>
              <w:rPr>
                <w:rFonts w:cs="Times New Roman"/>
                <w:color w:val="auto"/>
                <w:sz w:val="20"/>
                <w:szCs w:val="20"/>
              </w:rPr>
            </w:pPr>
            <w:r w:rsidRPr="00DE12A3">
              <w:rPr>
                <w:rFonts w:cs="Times New Roman"/>
                <w:color w:val="auto"/>
                <w:sz w:val="20"/>
                <w:szCs w:val="20"/>
              </w:rPr>
              <w:t xml:space="preserve">≤ 1 % </w:t>
            </w:r>
            <w:r w:rsidRPr="00DE12A3">
              <w:rPr>
                <w:rFonts w:cs="Times New Roman"/>
                <w:i/>
                <w:iCs/>
                <w:color w:val="auto"/>
                <w:sz w:val="20"/>
                <w:szCs w:val="20"/>
              </w:rPr>
              <w:t>p</w:t>
            </w:r>
            <w:r w:rsidRPr="00DE12A3">
              <w:rPr>
                <w:rFonts w:cs="Times New Roman"/>
                <w:color w:val="auto"/>
                <w:sz w:val="20"/>
                <w:szCs w:val="20"/>
                <w:vertAlign w:val="subscript"/>
              </w:rPr>
              <w:t>max</w:t>
            </w:r>
          </w:p>
        </w:tc>
        <w:tc>
          <w:tcPr>
            <w:tcW w:w="984" w:type="dxa"/>
            <w:tcBorders>
              <w:left w:val="single" w:sz="4" w:space="0" w:color="auto"/>
            </w:tcBorders>
            <w:shd w:val="clear" w:color="auto" w:fill="auto"/>
          </w:tcPr>
          <w:p w14:paraId="3E0204F7" w14:textId="77777777" w:rsidR="00BC5D8E" w:rsidRPr="00DE12A3" w:rsidRDefault="00BC5D8E" w:rsidP="00C917D6">
            <w:pPr>
              <w:pStyle w:val="Gvdemetni0"/>
              <w:shd w:val="clear" w:color="auto" w:fill="auto"/>
              <w:spacing w:before="120" w:after="120" w:line="240" w:lineRule="auto"/>
              <w:ind w:firstLine="0"/>
              <w:rPr>
                <w:sz w:val="20"/>
                <w:szCs w:val="20"/>
              </w:rPr>
            </w:pPr>
            <w:r w:rsidRPr="00DE12A3">
              <w:rPr>
                <w:sz w:val="20"/>
                <w:szCs w:val="20"/>
              </w:rPr>
              <w:t>≥ 0,998</w:t>
            </w:r>
          </w:p>
        </w:tc>
      </w:tr>
      <w:tr w:rsidR="00DE12A3" w:rsidRPr="00DE12A3" w14:paraId="262F6A89" w14:textId="77777777" w:rsidTr="00BC5D8E">
        <w:trPr>
          <w:trHeight w:hRule="exact" w:val="1397"/>
        </w:trPr>
        <w:tc>
          <w:tcPr>
            <w:tcW w:w="1271" w:type="dxa"/>
            <w:tcBorders>
              <w:right w:val="single" w:sz="4" w:space="0" w:color="auto"/>
            </w:tcBorders>
            <w:shd w:val="clear" w:color="auto" w:fill="auto"/>
          </w:tcPr>
          <w:p w14:paraId="0CF8AFCF" w14:textId="77777777" w:rsidR="00BC5D8E" w:rsidRPr="00DE12A3" w:rsidRDefault="00BC5D8E" w:rsidP="00C917D6">
            <w:pPr>
              <w:pStyle w:val="NormalCentered"/>
              <w:rPr>
                <w:sz w:val="20"/>
                <w:szCs w:val="20"/>
              </w:rPr>
            </w:pPr>
            <w:r w:rsidRPr="00DE12A3">
              <w:rPr>
                <w:sz w:val="20"/>
                <w:szCs w:val="20"/>
              </w:rPr>
              <w:t>Bağımsız sıcaklık sinyallerinin analog-dijital dönüşümü</w:t>
            </w:r>
          </w:p>
        </w:tc>
        <w:tc>
          <w:tcPr>
            <w:tcW w:w="1210" w:type="dxa"/>
            <w:tcBorders>
              <w:left w:val="single" w:sz="4" w:space="0" w:color="auto"/>
              <w:right w:val="single" w:sz="4" w:space="0" w:color="auto"/>
            </w:tcBorders>
            <w:shd w:val="clear" w:color="auto" w:fill="auto"/>
          </w:tcPr>
          <w:p w14:paraId="3B7D4322" w14:textId="77777777" w:rsidR="00BC5D8E" w:rsidRPr="00DE12A3" w:rsidRDefault="00BC5D8E" w:rsidP="00C917D6">
            <w:pPr>
              <w:pStyle w:val="NormalCentered"/>
              <w:rPr>
                <w:sz w:val="20"/>
                <w:szCs w:val="20"/>
              </w:rPr>
            </w:pPr>
            <w:r w:rsidRPr="00DE12A3">
              <w:rPr>
                <w:sz w:val="20"/>
                <w:szCs w:val="20"/>
              </w:rPr>
              <w:t>T</w:t>
            </w:r>
          </w:p>
        </w:tc>
        <w:tc>
          <w:tcPr>
            <w:tcW w:w="1920" w:type="dxa"/>
            <w:tcBorders>
              <w:left w:val="single" w:sz="4" w:space="0" w:color="auto"/>
              <w:right w:val="single" w:sz="4" w:space="0" w:color="auto"/>
            </w:tcBorders>
            <w:shd w:val="clear" w:color="auto" w:fill="auto"/>
          </w:tcPr>
          <w:p w14:paraId="4F854C43" w14:textId="77777777" w:rsidR="00BC5D8E" w:rsidRPr="00DE12A3" w:rsidRDefault="00BC5D8E" w:rsidP="00C917D6">
            <w:pPr>
              <w:pStyle w:val="Gvdemetni0"/>
              <w:spacing w:before="120" w:after="120" w:line="240" w:lineRule="auto"/>
              <w:ind w:left="56" w:right="142" w:firstLine="0"/>
              <w:jc w:val="both"/>
              <w:rPr>
                <w:sz w:val="20"/>
                <w:szCs w:val="20"/>
              </w:rPr>
            </w:pPr>
            <w:r w:rsidRPr="00DE12A3">
              <w:rPr>
                <w:sz w:val="20"/>
                <w:szCs w:val="20"/>
              </w:rPr>
              <w:t>Testten önceki 370 gün içinde</w:t>
            </w:r>
          </w:p>
        </w:tc>
        <w:tc>
          <w:tcPr>
            <w:tcW w:w="1493" w:type="dxa"/>
            <w:tcBorders>
              <w:left w:val="single" w:sz="4" w:space="0" w:color="auto"/>
              <w:right w:val="single" w:sz="4" w:space="0" w:color="auto"/>
            </w:tcBorders>
            <w:shd w:val="clear" w:color="auto" w:fill="auto"/>
          </w:tcPr>
          <w:p w14:paraId="47CB892C" w14:textId="77777777" w:rsidR="00BC5D8E" w:rsidRPr="00DE12A3" w:rsidRDefault="00BC5D8E" w:rsidP="00C917D6">
            <w:pPr>
              <w:spacing w:before="120" w:after="120"/>
              <w:jc w:val="center"/>
              <w:rPr>
                <w:rFonts w:cs="Times New Roman"/>
                <w:color w:val="auto"/>
                <w:sz w:val="20"/>
                <w:szCs w:val="20"/>
              </w:rPr>
            </w:pPr>
            <w:r w:rsidRPr="00DE12A3">
              <w:rPr>
                <w:rFonts w:cs="Times New Roman"/>
                <w:color w:val="auto"/>
                <w:sz w:val="20"/>
                <w:szCs w:val="20"/>
              </w:rPr>
              <w:t xml:space="preserve">≤ 1 % </w:t>
            </w:r>
            <w:r w:rsidRPr="00DE12A3">
              <w:rPr>
                <w:rFonts w:cs="Times New Roman"/>
                <w:i/>
                <w:iCs/>
                <w:color w:val="auto"/>
                <w:sz w:val="20"/>
                <w:szCs w:val="20"/>
              </w:rPr>
              <w:t>T</w:t>
            </w:r>
            <w:r w:rsidRPr="00DE12A3">
              <w:rPr>
                <w:rFonts w:cs="Times New Roman"/>
                <w:color w:val="auto"/>
                <w:sz w:val="20"/>
                <w:szCs w:val="20"/>
                <w:vertAlign w:val="subscript"/>
              </w:rPr>
              <w:t>max</w:t>
            </w:r>
          </w:p>
        </w:tc>
        <w:tc>
          <w:tcPr>
            <w:tcW w:w="1066" w:type="dxa"/>
            <w:tcBorders>
              <w:left w:val="single" w:sz="4" w:space="0" w:color="auto"/>
              <w:right w:val="single" w:sz="4" w:space="0" w:color="auto"/>
            </w:tcBorders>
            <w:shd w:val="clear" w:color="auto" w:fill="auto"/>
          </w:tcPr>
          <w:p w14:paraId="665A26DD" w14:textId="77777777" w:rsidR="00BC5D8E" w:rsidRPr="00DE12A3" w:rsidRDefault="00BC5D8E" w:rsidP="00C917D6">
            <w:pPr>
              <w:spacing w:before="120" w:after="120"/>
              <w:rPr>
                <w:rFonts w:cs="Times New Roman"/>
                <w:color w:val="auto"/>
                <w:sz w:val="20"/>
                <w:szCs w:val="20"/>
              </w:rPr>
            </w:pPr>
            <w:r w:rsidRPr="00DE12A3">
              <w:rPr>
                <w:rFonts w:cs="Times New Roman"/>
                <w:color w:val="auto"/>
                <w:sz w:val="20"/>
                <w:szCs w:val="20"/>
              </w:rPr>
              <w:t>0,99-1,01</w:t>
            </w:r>
          </w:p>
        </w:tc>
        <w:tc>
          <w:tcPr>
            <w:tcW w:w="1176" w:type="dxa"/>
            <w:tcBorders>
              <w:left w:val="single" w:sz="4" w:space="0" w:color="auto"/>
              <w:right w:val="single" w:sz="4" w:space="0" w:color="auto"/>
            </w:tcBorders>
            <w:shd w:val="clear" w:color="auto" w:fill="auto"/>
          </w:tcPr>
          <w:p w14:paraId="2B91C9DF" w14:textId="77777777" w:rsidR="00BC5D8E" w:rsidRPr="00DE12A3" w:rsidRDefault="00BC5D8E" w:rsidP="00C917D6">
            <w:pPr>
              <w:spacing w:before="120" w:after="120"/>
              <w:jc w:val="center"/>
              <w:rPr>
                <w:rFonts w:cs="Times New Roman"/>
                <w:color w:val="auto"/>
                <w:sz w:val="20"/>
                <w:szCs w:val="20"/>
              </w:rPr>
            </w:pPr>
            <w:r w:rsidRPr="00DE12A3">
              <w:rPr>
                <w:rFonts w:cs="Times New Roman"/>
                <w:color w:val="auto"/>
                <w:sz w:val="20"/>
                <w:szCs w:val="20"/>
              </w:rPr>
              <w:t xml:space="preserve">≤ 1 % </w:t>
            </w:r>
            <w:r w:rsidRPr="00DE12A3">
              <w:rPr>
                <w:rFonts w:cs="Times New Roman"/>
                <w:i/>
                <w:iCs/>
                <w:color w:val="auto"/>
                <w:sz w:val="20"/>
                <w:szCs w:val="20"/>
              </w:rPr>
              <w:t>T</w:t>
            </w:r>
            <w:r w:rsidRPr="00DE12A3">
              <w:rPr>
                <w:rFonts w:cs="Times New Roman"/>
                <w:color w:val="auto"/>
                <w:sz w:val="20"/>
                <w:szCs w:val="20"/>
                <w:vertAlign w:val="subscript"/>
              </w:rPr>
              <w:t>max</w:t>
            </w:r>
          </w:p>
        </w:tc>
        <w:tc>
          <w:tcPr>
            <w:tcW w:w="984" w:type="dxa"/>
            <w:tcBorders>
              <w:left w:val="single" w:sz="4" w:space="0" w:color="auto"/>
            </w:tcBorders>
            <w:shd w:val="clear" w:color="auto" w:fill="auto"/>
          </w:tcPr>
          <w:p w14:paraId="12FA44D5" w14:textId="77777777" w:rsidR="00BC5D8E" w:rsidRPr="00DE12A3" w:rsidRDefault="00BC5D8E" w:rsidP="00C917D6">
            <w:pPr>
              <w:pStyle w:val="Gvdemetni0"/>
              <w:shd w:val="clear" w:color="auto" w:fill="auto"/>
              <w:spacing w:before="120" w:after="120" w:line="240" w:lineRule="auto"/>
              <w:ind w:firstLine="0"/>
              <w:rPr>
                <w:sz w:val="20"/>
                <w:szCs w:val="20"/>
              </w:rPr>
            </w:pPr>
            <w:r w:rsidRPr="00DE12A3">
              <w:rPr>
                <w:sz w:val="20"/>
                <w:szCs w:val="20"/>
              </w:rPr>
              <w:t>≥ 0,998</w:t>
            </w:r>
          </w:p>
        </w:tc>
      </w:tr>
    </w:tbl>
    <w:p w14:paraId="0416C45E" w14:textId="77777777" w:rsidR="00ED22C2" w:rsidRPr="00DE12A3" w:rsidRDefault="00ED22C2" w:rsidP="00C917D6">
      <w:pPr>
        <w:spacing w:before="120" w:after="120"/>
        <w:ind w:left="120"/>
        <w:rPr>
          <w:rFonts w:cs="Times New Roman"/>
          <w:color w:val="auto"/>
          <w:sz w:val="16"/>
          <w:szCs w:val="16"/>
        </w:rPr>
      </w:pPr>
      <w:r w:rsidRPr="00DE12A3">
        <w:rPr>
          <w:rStyle w:val="Tabloyazs7"/>
          <w:rFonts w:eastAsia="Courier New"/>
          <w:color w:val="auto"/>
          <w:sz w:val="16"/>
          <w:szCs w:val="16"/>
          <w:lang w:val="tr-TR"/>
        </w:rPr>
        <w:t>(</w:t>
      </w:r>
      <w:r w:rsidRPr="00DE12A3">
        <w:rPr>
          <w:rStyle w:val="Tabloyazs7"/>
          <w:rFonts w:eastAsia="Courier New"/>
          <w:color w:val="auto"/>
          <w:sz w:val="16"/>
          <w:szCs w:val="16"/>
          <w:vertAlign w:val="superscript"/>
          <w:lang w:val="tr-TR"/>
        </w:rPr>
        <w:t>1</w:t>
      </w:r>
      <w:r w:rsidRPr="00DE12A3">
        <w:rPr>
          <w:rStyle w:val="Tabloyazs7"/>
          <w:rFonts w:eastAsia="Courier New"/>
          <w:color w:val="auto"/>
          <w:sz w:val="16"/>
          <w:szCs w:val="16"/>
          <w:lang w:val="tr-TR"/>
        </w:rPr>
        <w:t xml:space="preserve">) </w:t>
      </w:r>
      <w:r w:rsidRPr="00DE12A3">
        <w:rPr>
          <w:rFonts w:cs="Times New Roman"/>
          <w:color w:val="auto"/>
          <w:sz w:val="16"/>
          <w:szCs w:val="16"/>
        </w:rPr>
        <w:t>Molar akış hızı, "miktarı" ifade eden terim olarak standart hacimsel akış hızı yerine kullanılabilir. Bu durumda, ilgili doğrusallık kriterlerinde azami standart hacimsel akış hızı yerine azami molar akış hızı kullanılabilir</w:t>
      </w:r>
      <w:r w:rsidRPr="00DE12A3">
        <w:rPr>
          <w:rStyle w:val="Tabloyazs7"/>
          <w:rFonts w:eastAsia="Courier New"/>
          <w:color w:val="auto"/>
          <w:sz w:val="16"/>
          <w:szCs w:val="16"/>
          <w:lang w:val="tr-TR"/>
        </w:rPr>
        <w:t>.</w:t>
      </w:r>
    </w:p>
    <w:p w14:paraId="7877FF45" w14:textId="77777777" w:rsidR="002D7B36" w:rsidRPr="00DE12A3" w:rsidRDefault="002D7B36" w:rsidP="00C917D6">
      <w:pPr>
        <w:pStyle w:val="Gvdemetni250"/>
        <w:shd w:val="clear" w:color="auto" w:fill="FFFFFF" w:themeFill="background1"/>
        <w:spacing w:before="120" w:after="120" w:line="240" w:lineRule="auto"/>
        <w:ind w:left="709" w:hanging="709"/>
        <w:rPr>
          <w:rStyle w:val="Tabloyazs60ptbolukbraklyor"/>
          <w:i w:val="0"/>
          <w:color w:val="auto"/>
          <w:sz w:val="20"/>
          <w:szCs w:val="20"/>
        </w:rPr>
      </w:pPr>
    </w:p>
    <w:p w14:paraId="2E88F1F4" w14:textId="77777777" w:rsidR="002D7B36" w:rsidRPr="00DE12A3" w:rsidRDefault="002D7B36" w:rsidP="00C917D6">
      <w:pPr>
        <w:pStyle w:val="Gvdemetni250"/>
        <w:shd w:val="clear" w:color="auto" w:fill="FFFFFF" w:themeFill="background1"/>
        <w:spacing w:before="120" w:after="120" w:line="240" w:lineRule="auto"/>
        <w:ind w:left="709" w:hanging="709"/>
        <w:rPr>
          <w:rStyle w:val="Tabloyazs60ptbolukbraklyor"/>
          <w:i w:val="0"/>
          <w:color w:val="auto"/>
          <w:sz w:val="20"/>
          <w:szCs w:val="20"/>
        </w:rPr>
      </w:pPr>
    </w:p>
    <w:p w14:paraId="56B6E918" w14:textId="77777777" w:rsidR="002D7B36" w:rsidRPr="00DE12A3" w:rsidRDefault="00DB4FB3" w:rsidP="00E20716">
      <w:pPr>
        <w:pStyle w:val="Gvdemetni250"/>
        <w:numPr>
          <w:ilvl w:val="0"/>
          <w:numId w:val="192"/>
        </w:numPr>
        <w:shd w:val="clear" w:color="auto" w:fill="auto"/>
        <w:tabs>
          <w:tab w:val="left" w:pos="926"/>
          <w:tab w:val="left" w:pos="2764"/>
          <w:tab w:val="center" w:pos="4104"/>
          <w:tab w:val="center" w:pos="4440"/>
        </w:tabs>
        <w:spacing w:before="120" w:after="120" w:line="240" w:lineRule="auto"/>
        <w:ind w:left="1134" w:hanging="1134"/>
        <w:rPr>
          <w:sz w:val="24"/>
          <w:szCs w:val="24"/>
        </w:rPr>
      </w:pPr>
      <w:r w:rsidRPr="00DE12A3">
        <w:rPr>
          <w:sz w:val="24"/>
          <w:szCs w:val="24"/>
        </w:rPr>
        <w:lastRenderedPageBreak/>
        <w:t xml:space="preserve">   </w:t>
      </w:r>
      <w:r w:rsidR="00242DA0" w:rsidRPr="00DE12A3">
        <w:rPr>
          <w:sz w:val="24"/>
          <w:szCs w:val="24"/>
        </w:rPr>
        <w:t>Sürekli gaz analiz sistemi tepkisi ve güncelleme-kaydetme doğrulaması</w:t>
      </w:r>
    </w:p>
    <w:p w14:paraId="42191430" w14:textId="4A1C6016" w:rsidR="002D7B36" w:rsidRPr="00DE12A3" w:rsidRDefault="00DB4FB3" w:rsidP="00C917D6">
      <w:pPr>
        <w:pStyle w:val="Gvdemetni250"/>
        <w:shd w:val="clear" w:color="auto" w:fill="auto"/>
        <w:spacing w:before="120" w:after="120" w:line="240" w:lineRule="auto"/>
        <w:ind w:left="1134" w:hanging="1134"/>
        <w:rPr>
          <w:sz w:val="24"/>
          <w:szCs w:val="24"/>
        </w:rPr>
      </w:pPr>
      <w:r w:rsidRPr="00DE12A3">
        <w:rPr>
          <w:sz w:val="24"/>
          <w:szCs w:val="24"/>
        </w:rPr>
        <w:t xml:space="preserve">                  </w:t>
      </w:r>
      <w:r w:rsidR="00242DA0" w:rsidRPr="00DE12A3">
        <w:rPr>
          <w:sz w:val="24"/>
          <w:szCs w:val="24"/>
        </w:rPr>
        <w:t xml:space="preserve">Bu </w:t>
      </w:r>
      <w:r w:rsidR="009B29C4" w:rsidRPr="00DE12A3">
        <w:rPr>
          <w:sz w:val="24"/>
          <w:szCs w:val="24"/>
        </w:rPr>
        <w:t>bentte</w:t>
      </w:r>
      <w:r w:rsidR="00242DA0" w:rsidRPr="00DE12A3">
        <w:rPr>
          <w:sz w:val="24"/>
          <w:szCs w:val="24"/>
        </w:rPr>
        <w:t>, sürekli gaz analiz sistemi tepkisine ve güncelleme kaydına ilişkin bir genel doğrulama prosedürü açıklanmaktadır. Kompanzasyon tipi analiz cihazlarına ilişkin doğrulama prosedürleri için 8.1.6 bendine bakınız.</w:t>
      </w:r>
    </w:p>
    <w:p w14:paraId="57284071" w14:textId="77777777" w:rsidR="002D7B36" w:rsidRPr="00DE12A3" w:rsidRDefault="00242DA0" w:rsidP="00E20716">
      <w:pPr>
        <w:pStyle w:val="Gvdemetni250"/>
        <w:numPr>
          <w:ilvl w:val="0"/>
          <w:numId w:val="197"/>
        </w:numPr>
        <w:shd w:val="clear" w:color="auto" w:fill="auto"/>
        <w:spacing w:before="120" w:after="120" w:line="240" w:lineRule="auto"/>
        <w:ind w:left="1134" w:hanging="1134"/>
        <w:rPr>
          <w:sz w:val="24"/>
          <w:szCs w:val="24"/>
        </w:rPr>
      </w:pPr>
      <w:r w:rsidRPr="00DE12A3">
        <w:rPr>
          <w:sz w:val="24"/>
          <w:szCs w:val="24"/>
        </w:rPr>
        <w:t>Kapsam ve sıklık</w:t>
      </w:r>
    </w:p>
    <w:p w14:paraId="3E3D0212" w14:textId="183C933A" w:rsidR="002D7B36" w:rsidRPr="00DE12A3" w:rsidRDefault="00DB4FB3" w:rsidP="00C917D6">
      <w:pPr>
        <w:pStyle w:val="Gvdemetni250"/>
        <w:shd w:val="clear" w:color="auto" w:fill="auto"/>
        <w:tabs>
          <w:tab w:val="left" w:pos="2764"/>
          <w:tab w:val="center" w:pos="3705"/>
          <w:tab w:val="center" w:pos="4713"/>
          <w:tab w:val="center" w:pos="5159"/>
          <w:tab w:val="right" w:pos="5682"/>
        </w:tabs>
        <w:spacing w:before="120" w:after="120" w:line="240" w:lineRule="auto"/>
        <w:ind w:left="1134" w:hanging="1134"/>
        <w:rPr>
          <w:sz w:val="24"/>
          <w:szCs w:val="24"/>
        </w:rPr>
      </w:pPr>
      <w:r w:rsidRPr="00DE12A3">
        <w:rPr>
          <w:sz w:val="24"/>
          <w:szCs w:val="24"/>
        </w:rPr>
        <w:t xml:space="preserve">                  </w:t>
      </w:r>
      <w:r w:rsidR="00242DA0" w:rsidRPr="00DE12A3">
        <w:rPr>
          <w:sz w:val="24"/>
          <w:szCs w:val="24"/>
        </w:rPr>
        <w:t xml:space="preserve">Bu doğrulama, sürekli örnekleme için kullanılan bir gaz analiz cihazının takılmasından veya değiştirilmesinden sonra yapılmalıdır. Ayrıca bu doğrulama, sistemde, sistem tepkisini değiştirecek şekilde yeniden yapılandırıldığında da gerçekleştirilmelidir. Bu </w:t>
      </w:r>
      <w:r w:rsidR="00066A50" w:rsidRPr="00DE12A3">
        <w:rPr>
          <w:sz w:val="24"/>
          <w:szCs w:val="24"/>
        </w:rPr>
        <w:t>doğrulama, süreksiz</w:t>
      </w:r>
      <w:r w:rsidR="00951351" w:rsidRPr="00DE12A3">
        <w:rPr>
          <w:sz w:val="24"/>
          <w:szCs w:val="24"/>
        </w:rPr>
        <w:t xml:space="preserve"> </w:t>
      </w:r>
      <w:r w:rsidR="00242DA0" w:rsidRPr="00DE12A3">
        <w:rPr>
          <w:sz w:val="24"/>
          <w:szCs w:val="24"/>
        </w:rPr>
        <w:t xml:space="preserve">(NRTC ve LSI-NRTC) test </w:t>
      </w:r>
      <w:r w:rsidR="00F310B5" w:rsidRPr="00DE12A3">
        <w:rPr>
          <w:sz w:val="24"/>
          <w:szCs w:val="24"/>
        </w:rPr>
        <w:t>çevrim</w:t>
      </w:r>
      <w:r w:rsidR="00242DA0" w:rsidRPr="00DE12A3">
        <w:rPr>
          <w:sz w:val="24"/>
          <w:szCs w:val="24"/>
        </w:rPr>
        <w:t>leri veya RMC için kullanılan sürekli gaz analiz cihazları için gereklidir</w:t>
      </w:r>
      <w:r w:rsidR="009B29C4" w:rsidRPr="00DE12A3">
        <w:rPr>
          <w:sz w:val="24"/>
          <w:szCs w:val="24"/>
        </w:rPr>
        <w:t>.</w:t>
      </w:r>
      <w:r w:rsidR="00242DA0" w:rsidRPr="00DE12A3">
        <w:rPr>
          <w:sz w:val="24"/>
          <w:szCs w:val="24"/>
        </w:rPr>
        <w:t xml:space="preserve"> </w:t>
      </w:r>
      <w:r w:rsidR="009B29C4" w:rsidRPr="00DE12A3">
        <w:rPr>
          <w:sz w:val="24"/>
          <w:szCs w:val="24"/>
        </w:rPr>
        <w:t>A</w:t>
      </w:r>
      <w:r w:rsidR="00242DA0" w:rsidRPr="00DE12A3">
        <w:rPr>
          <w:sz w:val="24"/>
          <w:szCs w:val="24"/>
        </w:rPr>
        <w:t>ncak toplu gaz analiz sistemleri veya sadece ayrık mod bir NRSC ile test için kullanılan sürekli gaz analiz sistemleri için gerekli değildir.</w:t>
      </w:r>
    </w:p>
    <w:p w14:paraId="45855045" w14:textId="77777777" w:rsidR="002D7B36" w:rsidRPr="00DE12A3" w:rsidRDefault="00242DA0" w:rsidP="00E20716">
      <w:pPr>
        <w:pStyle w:val="Gvdemetni250"/>
        <w:numPr>
          <w:ilvl w:val="0"/>
          <w:numId w:val="197"/>
        </w:numPr>
        <w:shd w:val="clear" w:color="auto" w:fill="auto"/>
        <w:spacing w:before="120" w:after="120" w:line="240" w:lineRule="auto"/>
        <w:ind w:left="1134" w:hanging="1134"/>
        <w:rPr>
          <w:sz w:val="24"/>
          <w:szCs w:val="24"/>
        </w:rPr>
      </w:pPr>
      <w:r w:rsidRPr="00DE12A3">
        <w:rPr>
          <w:sz w:val="24"/>
          <w:szCs w:val="24"/>
        </w:rPr>
        <w:t>Ölçüm ilkeleri</w:t>
      </w:r>
    </w:p>
    <w:p w14:paraId="266537D7" w14:textId="77777777" w:rsidR="002D7B36" w:rsidRPr="00DE12A3" w:rsidRDefault="00DB4FB3" w:rsidP="00C917D6">
      <w:pPr>
        <w:pStyle w:val="Gvdemetni250"/>
        <w:shd w:val="clear" w:color="auto" w:fill="auto"/>
        <w:spacing w:before="120" w:after="120" w:line="240" w:lineRule="auto"/>
        <w:ind w:left="1134" w:hanging="1134"/>
        <w:rPr>
          <w:sz w:val="24"/>
          <w:szCs w:val="24"/>
        </w:rPr>
      </w:pPr>
      <w:r w:rsidRPr="00DE12A3">
        <w:rPr>
          <w:sz w:val="24"/>
          <w:szCs w:val="24"/>
        </w:rPr>
        <w:t xml:space="preserve">                  </w:t>
      </w:r>
      <w:r w:rsidR="00242DA0" w:rsidRPr="00DE12A3">
        <w:rPr>
          <w:sz w:val="24"/>
          <w:szCs w:val="24"/>
        </w:rPr>
        <w:t>Bu test, güncelleme ve kayıt frekanslarının, toplam sistem tepkisini, numune sondasındaki konsantrasyon değerlerinde hızlı bir değişime eşlediğini doğrular. Gaz analiz sistemleri, konsantrasyondaki hızlı bir değişime karşı toplam tepkinin, bilgi kaybını önlemek için uygun bir frekansta güncellenmesi ve kaydedilmesi için optimize edilmelidir. Bu test ayrıca sürekli gaz analiz sistemlerinin asgari tepki süresini sağladığını da doğrular.</w:t>
      </w:r>
    </w:p>
    <w:p w14:paraId="141C059B" w14:textId="77777777" w:rsidR="002D7B36" w:rsidRPr="00DE12A3" w:rsidRDefault="00DB4FB3" w:rsidP="00C917D6">
      <w:pPr>
        <w:pStyle w:val="Gvdemetni250"/>
        <w:shd w:val="clear" w:color="auto" w:fill="auto"/>
        <w:tabs>
          <w:tab w:val="left" w:pos="1880"/>
          <w:tab w:val="left" w:pos="2476"/>
          <w:tab w:val="right" w:pos="4977"/>
          <w:tab w:val="left" w:pos="5014"/>
        </w:tabs>
        <w:spacing w:before="120" w:after="120" w:line="240" w:lineRule="auto"/>
        <w:ind w:left="1134" w:hanging="1134"/>
        <w:rPr>
          <w:sz w:val="24"/>
          <w:szCs w:val="24"/>
        </w:rPr>
      </w:pPr>
      <w:r w:rsidRPr="00DE12A3">
        <w:rPr>
          <w:sz w:val="24"/>
          <w:szCs w:val="24"/>
        </w:rPr>
        <w:t xml:space="preserve">                  </w:t>
      </w:r>
      <w:r w:rsidR="00242DA0" w:rsidRPr="00DE12A3">
        <w:rPr>
          <w:sz w:val="24"/>
          <w:szCs w:val="24"/>
        </w:rPr>
        <w:t>Tepki süresi değerlendirmesi için sistem ayarları, test uygulamasının ölçülmesi sırasındaki ayarların tamamen aynısı olmalıdır (yani basınç, akış hızları, analizörlerdeki filtre ayarları ve diğer tüm tepki süresi etkileri). Tepki süresi, doğrudan numune sondasının girişinde gaz değişimi ile belirlenmelidir. Gaz anahtarlama cihazları, anahtarlamayı 0,1 s'den daha kısa sürede gerçekleştirecek özellikte olmalıdır. Test için kullanılan gazlar tam ölçeğin (FS) en az %60'ı kadar konsantrasyon değişikliğine neden olmalıdır.</w:t>
      </w:r>
    </w:p>
    <w:p w14:paraId="120FBE43" w14:textId="77777777" w:rsidR="002D7B36" w:rsidRPr="00DE12A3" w:rsidRDefault="00DB4FB3" w:rsidP="00C917D6">
      <w:pPr>
        <w:pStyle w:val="Gvdemetni250"/>
        <w:shd w:val="clear" w:color="auto" w:fill="auto"/>
        <w:spacing w:before="120" w:after="120" w:line="240" w:lineRule="auto"/>
        <w:ind w:left="1134" w:hanging="1134"/>
        <w:rPr>
          <w:sz w:val="24"/>
          <w:szCs w:val="24"/>
        </w:rPr>
      </w:pPr>
      <w:r w:rsidRPr="00DE12A3">
        <w:rPr>
          <w:sz w:val="24"/>
          <w:szCs w:val="24"/>
        </w:rPr>
        <w:t xml:space="preserve">                  </w:t>
      </w:r>
      <w:r w:rsidR="00242DA0" w:rsidRPr="00DE12A3">
        <w:rPr>
          <w:sz w:val="24"/>
          <w:szCs w:val="24"/>
        </w:rPr>
        <w:t>Her gaz bileşenin konsantrasyon izi kaydedilmelidir.</w:t>
      </w:r>
    </w:p>
    <w:p w14:paraId="0102D79A" w14:textId="77777777" w:rsidR="002D7B36" w:rsidRPr="00DE12A3" w:rsidRDefault="00242DA0" w:rsidP="00E20716">
      <w:pPr>
        <w:pStyle w:val="Gvdemetni250"/>
        <w:numPr>
          <w:ilvl w:val="0"/>
          <w:numId w:val="197"/>
        </w:numPr>
        <w:shd w:val="clear" w:color="auto" w:fill="auto"/>
        <w:spacing w:before="120" w:after="120" w:line="240" w:lineRule="auto"/>
        <w:ind w:left="1134" w:hanging="1134"/>
        <w:rPr>
          <w:sz w:val="24"/>
          <w:szCs w:val="24"/>
        </w:rPr>
      </w:pPr>
      <w:r w:rsidRPr="00DE12A3">
        <w:rPr>
          <w:sz w:val="24"/>
          <w:szCs w:val="24"/>
        </w:rPr>
        <w:t xml:space="preserve">Sistem </w:t>
      </w:r>
      <w:r w:rsidR="0053289F" w:rsidRPr="00DE12A3">
        <w:rPr>
          <w:sz w:val="24"/>
          <w:szCs w:val="24"/>
        </w:rPr>
        <w:t>gereklilikleri</w:t>
      </w:r>
    </w:p>
    <w:p w14:paraId="6515D874" w14:textId="77777777" w:rsidR="002D7B36" w:rsidRPr="00DE12A3" w:rsidRDefault="00DB4FB3" w:rsidP="00E20716">
      <w:pPr>
        <w:pStyle w:val="Gvdemetni250"/>
        <w:numPr>
          <w:ilvl w:val="0"/>
          <w:numId w:val="198"/>
        </w:numPr>
        <w:shd w:val="clear" w:color="auto" w:fill="auto"/>
        <w:spacing w:before="120" w:after="120" w:line="240" w:lineRule="auto"/>
        <w:ind w:left="1701" w:hanging="567"/>
        <w:rPr>
          <w:sz w:val="24"/>
          <w:szCs w:val="24"/>
        </w:rPr>
      </w:pPr>
      <w:r w:rsidRPr="00DE12A3">
        <w:rPr>
          <w:sz w:val="24"/>
          <w:szCs w:val="24"/>
        </w:rPr>
        <w:t xml:space="preserve">     </w:t>
      </w:r>
      <w:r w:rsidR="00242DA0" w:rsidRPr="00DE12A3">
        <w:rPr>
          <w:sz w:val="24"/>
          <w:szCs w:val="24"/>
        </w:rPr>
        <w:t>Sistem tepki süresi, ölçülen tüm bileşenler (CO, NO</w:t>
      </w:r>
      <w:r w:rsidR="00242DA0" w:rsidRPr="00DE12A3">
        <w:rPr>
          <w:sz w:val="24"/>
          <w:szCs w:val="24"/>
          <w:vertAlign w:val="subscript"/>
        </w:rPr>
        <w:t>x</w:t>
      </w:r>
      <w:r w:rsidR="00242DA0" w:rsidRPr="00DE12A3">
        <w:rPr>
          <w:sz w:val="24"/>
          <w:szCs w:val="24"/>
        </w:rPr>
        <w:t>, 2 ve HC) ve kullanılan tüm aralıklar için ≤ 5 s yükselme süresiyle ≤ 10 s olmalıdır.</w:t>
      </w:r>
    </w:p>
    <w:p w14:paraId="121DCC1C" w14:textId="77777777" w:rsidR="002D7B36" w:rsidRPr="00DE12A3" w:rsidRDefault="00DB4FB3" w:rsidP="00C917D6">
      <w:pPr>
        <w:pStyle w:val="Gvdemetni250"/>
        <w:shd w:val="clear" w:color="auto" w:fill="auto"/>
        <w:spacing w:before="120" w:after="120" w:line="240" w:lineRule="auto"/>
        <w:ind w:left="1701" w:hanging="567"/>
        <w:rPr>
          <w:sz w:val="24"/>
          <w:szCs w:val="24"/>
        </w:rPr>
      </w:pPr>
      <w:r w:rsidRPr="00DE12A3">
        <w:rPr>
          <w:sz w:val="24"/>
          <w:szCs w:val="24"/>
        </w:rPr>
        <w:t xml:space="preserve">         </w:t>
      </w:r>
      <w:r w:rsidR="00FA0678" w:rsidRPr="00DE12A3">
        <w:rPr>
          <w:sz w:val="24"/>
          <w:szCs w:val="24"/>
        </w:rPr>
        <w:t>VII’nci ek</w:t>
      </w:r>
      <w:r w:rsidR="00242DA0" w:rsidRPr="00DE12A3">
        <w:rPr>
          <w:sz w:val="24"/>
          <w:szCs w:val="24"/>
        </w:rPr>
        <w:t>te verilen emisyon hesaplamaları yapılmadan önce tüm verilerin (konsantrasyon, yakıt ve hava akışları) ölçülen tepki süreleri kadar değiştirilmesi gerekir.</w:t>
      </w:r>
    </w:p>
    <w:p w14:paraId="1C2C17AE" w14:textId="77777777" w:rsidR="002D7B36" w:rsidRPr="00DE12A3" w:rsidRDefault="00242DA0" w:rsidP="00E20716">
      <w:pPr>
        <w:pStyle w:val="Gvdemetni250"/>
        <w:numPr>
          <w:ilvl w:val="0"/>
          <w:numId w:val="198"/>
        </w:numPr>
        <w:shd w:val="clear" w:color="auto" w:fill="auto"/>
        <w:spacing w:before="120" w:after="120" w:line="240" w:lineRule="auto"/>
        <w:ind w:left="1701" w:hanging="567"/>
        <w:rPr>
          <w:sz w:val="24"/>
          <w:szCs w:val="24"/>
        </w:rPr>
      </w:pPr>
      <w:r w:rsidRPr="00DE12A3">
        <w:rPr>
          <w:sz w:val="24"/>
          <w:szCs w:val="24"/>
        </w:rPr>
        <w:t>Sistemin toplam tepkisine göre kabul edilebilir bir güncelleme ve kayıt ispatı için, sistem aşağıdaki kriterlerden birini sağlamalıdır:</w:t>
      </w:r>
    </w:p>
    <w:p w14:paraId="629528F4" w14:textId="77777777" w:rsidR="002D7B36" w:rsidRPr="00DE12A3" w:rsidRDefault="002D7B36" w:rsidP="00E20716">
      <w:pPr>
        <w:pStyle w:val="ListeParagraf"/>
        <w:numPr>
          <w:ilvl w:val="0"/>
          <w:numId w:val="195"/>
        </w:numPr>
        <w:shd w:val="clear" w:color="auto" w:fill="FFFFFF"/>
        <w:spacing w:before="120" w:after="120"/>
        <w:ind w:left="1701" w:hanging="567"/>
        <w:contextualSpacing w:val="0"/>
        <w:jc w:val="both"/>
        <w:rPr>
          <w:rFonts w:eastAsia="Times New Roman" w:cs="Times New Roman"/>
          <w:vanish/>
          <w:color w:val="auto"/>
          <w:spacing w:val="3"/>
          <w:lang w:eastAsia="en-US"/>
        </w:rPr>
      </w:pPr>
    </w:p>
    <w:p w14:paraId="0F510211" w14:textId="66E8D67C" w:rsidR="002D7B36" w:rsidRPr="00DE12A3" w:rsidRDefault="00012B51" w:rsidP="00E20716">
      <w:pPr>
        <w:pStyle w:val="Gvdemetni250"/>
        <w:numPr>
          <w:ilvl w:val="0"/>
          <w:numId w:val="448"/>
        </w:numPr>
        <w:spacing w:before="120" w:after="120" w:line="240" w:lineRule="auto"/>
        <w:ind w:left="2268" w:hanging="567"/>
        <w:rPr>
          <w:sz w:val="24"/>
          <w:szCs w:val="24"/>
        </w:rPr>
      </w:pPr>
      <w:r w:rsidRPr="00DE12A3">
        <w:rPr>
          <w:sz w:val="24"/>
          <w:szCs w:val="24"/>
        </w:rPr>
        <w:t xml:space="preserve"> </w:t>
      </w:r>
      <w:r w:rsidR="002E649B" w:rsidRPr="00DE12A3">
        <w:rPr>
          <w:sz w:val="24"/>
          <w:szCs w:val="24"/>
        </w:rPr>
        <w:t xml:space="preserve"> </w:t>
      </w:r>
      <w:r w:rsidR="00242DA0" w:rsidRPr="00DE12A3">
        <w:rPr>
          <w:sz w:val="24"/>
          <w:szCs w:val="24"/>
        </w:rPr>
        <w:t xml:space="preserve">Ortalama yükselme süresi ile sistemin güncellenmiş bir konsantrasyonu kaydetme sıklığının çarpımı en az 5 olmalıdır. Her </w:t>
      </w:r>
      <w:r w:rsidRPr="00DE12A3">
        <w:rPr>
          <w:sz w:val="24"/>
          <w:szCs w:val="24"/>
        </w:rPr>
        <w:t>halükârda</w:t>
      </w:r>
      <w:r w:rsidR="00242DA0" w:rsidRPr="00DE12A3">
        <w:rPr>
          <w:sz w:val="24"/>
          <w:szCs w:val="24"/>
        </w:rPr>
        <w:t>, ortalama yükselme süresi en çok 10 s olabilir</w:t>
      </w:r>
      <w:r w:rsidR="009B29C4" w:rsidRPr="00DE12A3">
        <w:rPr>
          <w:sz w:val="24"/>
          <w:szCs w:val="24"/>
        </w:rPr>
        <w:t>.</w:t>
      </w:r>
    </w:p>
    <w:p w14:paraId="31C90F75" w14:textId="77777777" w:rsidR="002D7B36" w:rsidRPr="00DE12A3" w:rsidRDefault="002E649B" w:rsidP="00E20716">
      <w:pPr>
        <w:pStyle w:val="Gvdemetni255"/>
        <w:numPr>
          <w:ilvl w:val="0"/>
          <w:numId w:val="448"/>
        </w:numPr>
        <w:shd w:val="clear" w:color="auto" w:fill="auto"/>
        <w:spacing w:before="120" w:after="120" w:line="240" w:lineRule="auto"/>
        <w:ind w:left="2268" w:hanging="567"/>
        <w:rPr>
          <w:color w:val="auto"/>
          <w:sz w:val="24"/>
          <w:szCs w:val="24"/>
        </w:rPr>
      </w:pPr>
      <w:r w:rsidRPr="00DE12A3">
        <w:rPr>
          <w:color w:val="auto"/>
          <w:sz w:val="24"/>
          <w:szCs w:val="24"/>
        </w:rPr>
        <w:t xml:space="preserve"> </w:t>
      </w:r>
      <w:r w:rsidR="00012B51" w:rsidRPr="00DE12A3">
        <w:rPr>
          <w:color w:val="auto"/>
          <w:sz w:val="24"/>
          <w:szCs w:val="24"/>
        </w:rPr>
        <w:t xml:space="preserve">  </w:t>
      </w:r>
      <w:r w:rsidR="00242DA0" w:rsidRPr="00DE12A3">
        <w:rPr>
          <w:color w:val="auto"/>
          <w:sz w:val="24"/>
          <w:szCs w:val="24"/>
        </w:rPr>
        <w:t>Sistemin konsantrasyonu kaydettiği frekans en az 2 Hz olmalıdır (ayrıca bkz. Tablo 6.7).</w:t>
      </w:r>
    </w:p>
    <w:p w14:paraId="0962C7B6" w14:textId="77777777" w:rsidR="002D7B36" w:rsidRPr="00DE12A3" w:rsidRDefault="002D7B36" w:rsidP="00C917D6">
      <w:pPr>
        <w:pStyle w:val="Gvdemetni255"/>
        <w:shd w:val="clear" w:color="auto" w:fill="auto"/>
        <w:spacing w:before="120" w:after="120" w:line="240" w:lineRule="auto"/>
        <w:ind w:left="1701" w:hanging="1134"/>
        <w:rPr>
          <w:color w:val="auto"/>
          <w:sz w:val="24"/>
          <w:szCs w:val="24"/>
        </w:rPr>
      </w:pPr>
    </w:p>
    <w:p w14:paraId="2D943A2E" w14:textId="77777777" w:rsidR="002D7B36" w:rsidRPr="00DE12A3" w:rsidRDefault="00242DA0" w:rsidP="00C917D6">
      <w:pPr>
        <w:pStyle w:val="Gvdemetni255"/>
        <w:shd w:val="clear" w:color="auto" w:fill="auto"/>
        <w:spacing w:before="120" w:after="120" w:line="240" w:lineRule="auto"/>
        <w:ind w:left="1134" w:hanging="1134"/>
        <w:rPr>
          <w:color w:val="auto"/>
          <w:sz w:val="24"/>
          <w:szCs w:val="24"/>
        </w:rPr>
      </w:pPr>
      <w:r w:rsidRPr="00DE12A3">
        <w:rPr>
          <w:rStyle w:val="Gvdemetni2585pt0ptbolukbraklyor3"/>
          <w:color w:val="auto"/>
          <w:sz w:val="24"/>
          <w:szCs w:val="24"/>
          <w:lang w:val="tr-TR"/>
        </w:rPr>
        <w:t>8</w:t>
      </w:r>
      <w:r w:rsidRPr="00DE12A3">
        <w:rPr>
          <w:color w:val="auto"/>
          <w:sz w:val="24"/>
          <w:szCs w:val="24"/>
        </w:rPr>
        <w:t>.1.5.4.</w:t>
      </w:r>
      <w:r w:rsidRPr="00DE12A3">
        <w:rPr>
          <w:color w:val="auto"/>
          <w:sz w:val="24"/>
          <w:szCs w:val="24"/>
        </w:rPr>
        <w:tab/>
        <w:t>Prosedür</w:t>
      </w:r>
    </w:p>
    <w:p w14:paraId="2A88BEDE" w14:textId="77777777" w:rsidR="002D7B36" w:rsidRPr="00DE12A3" w:rsidRDefault="00012B51" w:rsidP="00C917D6">
      <w:pPr>
        <w:pStyle w:val="Gvdemetni255"/>
        <w:shd w:val="clear" w:color="auto" w:fill="auto"/>
        <w:spacing w:before="120" w:after="120" w:line="240" w:lineRule="auto"/>
        <w:ind w:left="1134" w:hanging="1134"/>
        <w:rPr>
          <w:color w:val="auto"/>
          <w:sz w:val="24"/>
          <w:szCs w:val="24"/>
        </w:rPr>
      </w:pPr>
      <w:r w:rsidRPr="00DE12A3">
        <w:rPr>
          <w:color w:val="auto"/>
          <w:sz w:val="24"/>
          <w:szCs w:val="24"/>
        </w:rPr>
        <w:t xml:space="preserve">                  </w:t>
      </w:r>
      <w:r w:rsidR="00242DA0" w:rsidRPr="00DE12A3">
        <w:rPr>
          <w:color w:val="auto"/>
          <w:sz w:val="24"/>
          <w:szCs w:val="24"/>
        </w:rPr>
        <w:t>Her sürekli gaz analiz sisteminin tepkisini doğrulamak için aşağıdaki prosedür kullanılır:</w:t>
      </w:r>
    </w:p>
    <w:p w14:paraId="5B0F216A" w14:textId="0D7938A7" w:rsidR="002D7B36" w:rsidRPr="00DE12A3" w:rsidRDefault="00012B51" w:rsidP="00E20716">
      <w:pPr>
        <w:pStyle w:val="Gvdemetni255"/>
        <w:numPr>
          <w:ilvl w:val="0"/>
          <w:numId w:val="199"/>
        </w:numPr>
        <w:shd w:val="clear" w:color="auto" w:fill="auto"/>
        <w:spacing w:before="120" w:after="120" w:line="240" w:lineRule="auto"/>
        <w:ind w:left="1701" w:hanging="567"/>
        <w:rPr>
          <w:color w:val="auto"/>
          <w:sz w:val="24"/>
          <w:szCs w:val="24"/>
        </w:rPr>
      </w:pPr>
      <w:r w:rsidRPr="00DE12A3">
        <w:rPr>
          <w:color w:val="auto"/>
          <w:sz w:val="24"/>
          <w:szCs w:val="24"/>
        </w:rPr>
        <w:t xml:space="preserve">    </w:t>
      </w:r>
      <w:r w:rsidR="00242DA0" w:rsidRPr="00DE12A3">
        <w:rPr>
          <w:color w:val="auto"/>
          <w:sz w:val="24"/>
          <w:szCs w:val="24"/>
        </w:rPr>
        <w:t xml:space="preserve">Cihaz kurulumu için, analiz sistemi imalatçısının çalıştırma ve kullanım </w:t>
      </w:r>
      <w:r w:rsidR="00242DA0" w:rsidRPr="00DE12A3">
        <w:rPr>
          <w:color w:val="auto"/>
          <w:sz w:val="24"/>
          <w:szCs w:val="24"/>
        </w:rPr>
        <w:lastRenderedPageBreak/>
        <w:t>talimatlarına uyulmalıdır. Performansı optimize etmek için gerekirse ölçüm sistemi ayarlanmalıdır. Bu doğrulama, analiz cihazı emisyon testi için kullanılan ile aynı şekilde çalışırken yapılmalıdır. Analiz cihazı örnekleme sistemini diğer analiz cihazlarıyla paylaşıyorsa ve diğer analiz cihazlarına gaz akışı, sistem tepki süresini etkileyecekse, o zaman bu doğrulama testi yürütülürken diğer analiz cihazları çalıştırılmalı ve işletilmelidir. Bu doğrulama testi, aynı zamanda aynı örnekleme sistemini paylaşan birden fazla analiz cihazı üzerinde yapılabilir. Emisyon testi sırasında analog veya gerçek zamanlı dijital filtreler kullanılırsa, bu filtreler bu doğrulama sırasında aynı şekilde çalıştırılmalıdır</w:t>
      </w:r>
      <w:r w:rsidR="009B29C4" w:rsidRPr="00DE12A3">
        <w:rPr>
          <w:color w:val="auto"/>
          <w:sz w:val="24"/>
          <w:szCs w:val="24"/>
        </w:rPr>
        <w:t>.</w:t>
      </w:r>
    </w:p>
    <w:p w14:paraId="6E81C662" w14:textId="7E7F1DD4" w:rsidR="002D7B36" w:rsidRPr="00DE12A3" w:rsidRDefault="00242DA0" w:rsidP="00E20716">
      <w:pPr>
        <w:pStyle w:val="Gvdemetni250"/>
        <w:numPr>
          <w:ilvl w:val="0"/>
          <w:numId w:val="199"/>
        </w:numPr>
        <w:shd w:val="clear" w:color="auto" w:fill="auto"/>
        <w:spacing w:before="120" w:after="120" w:line="240" w:lineRule="auto"/>
        <w:ind w:left="1701" w:hanging="567"/>
        <w:rPr>
          <w:sz w:val="24"/>
          <w:szCs w:val="24"/>
        </w:rPr>
      </w:pPr>
      <w:r w:rsidRPr="00DE12A3">
        <w:rPr>
          <w:sz w:val="24"/>
          <w:szCs w:val="24"/>
        </w:rPr>
        <w:t>Sistem tepki süresini doğrulamak amacıyla kullanılan ekipman için, tüm bağlantılar arasındaki asgari gaz transfer hattı uzunluklarının kullanılması önerilir, numune sisteminin sonda girişine sıfır ve harmanlanmış ayar gazlarının akışını kontrol etmek için çabuk tepkili 3 yollu valfin (2 giriş, 1 çıkış) bir girişine veya sonda çıkışına yakın bir te dirseğe sıfır hava kaynağı bağlanmalıdır. Normal olarak, gaz akış hızı, sonda numunesi akış hızından daha yüksektir ve fazla gelen kısım sonda girişinden dışarı taşar. Gaz akış hızı, sonda akış hızından düşükse, gaz konsantrasyonları, sonda içine çekilen ortam havasından kaynaklı seyrelmeyi hesaba katacak şekilde ayarlanmalıdır. İki veya daha çok gaz içeren ayar gazları kullanılabilir. Ayar gazlarını harmanlamak için bir gaz harmanlama veya karıştırma cihazı kullanılabilir. N2 içinde seyreltik ayar gazları hava içinde seyreltik ayar gazları ile karıştırıldığında bir gaz harmanlama veya karıştırma cihazı önerilir</w:t>
      </w:r>
      <w:r w:rsidR="009B29C4" w:rsidRPr="00DE12A3">
        <w:rPr>
          <w:sz w:val="24"/>
          <w:szCs w:val="24"/>
        </w:rPr>
        <w:t>.</w:t>
      </w:r>
    </w:p>
    <w:p w14:paraId="03A48681" w14:textId="2E99AE57" w:rsidR="002D7B36" w:rsidRPr="00DE12A3" w:rsidRDefault="00012B51" w:rsidP="00C917D6">
      <w:pPr>
        <w:pStyle w:val="Gvdemetni250"/>
        <w:shd w:val="clear" w:color="auto" w:fill="auto"/>
        <w:spacing w:before="120" w:after="120" w:line="240" w:lineRule="auto"/>
        <w:ind w:left="1701" w:hanging="567"/>
        <w:rPr>
          <w:sz w:val="24"/>
          <w:szCs w:val="24"/>
        </w:rPr>
      </w:pPr>
      <w:r w:rsidRPr="00DE12A3">
        <w:rPr>
          <w:sz w:val="24"/>
          <w:szCs w:val="24"/>
        </w:rPr>
        <w:t xml:space="preserve">         </w:t>
      </w:r>
      <w:r w:rsidR="00242DA0" w:rsidRPr="00DE12A3">
        <w:rPr>
          <w:sz w:val="24"/>
          <w:szCs w:val="24"/>
        </w:rPr>
        <w:t>Bir gaz bölücü kullanılarak, bir NO-CO-C0</w:t>
      </w:r>
      <w:r w:rsidR="00242DA0" w:rsidRPr="00DE12A3">
        <w:rPr>
          <w:sz w:val="24"/>
          <w:szCs w:val="24"/>
          <w:vertAlign w:val="subscript"/>
        </w:rPr>
        <w:t>2</w:t>
      </w:r>
      <w:r w:rsidR="00242DA0" w:rsidRPr="00DE12A3">
        <w:rPr>
          <w:sz w:val="24"/>
          <w:szCs w:val="24"/>
        </w:rPr>
        <w:t>-C</w:t>
      </w:r>
      <w:r w:rsidR="00242DA0" w:rsidRPr="00DE12A3">
        <w:rPr>
          <w:sz w:val="24"/>
          <w:szCs w:val="24"/>
          <w:vertAlign w:val="subscript"/>
        </w:rPr>
        <w:t>3</w:t>
      </w:r>
      <w:r w:rsidR="00242DA0" w:rsidRPr="00DE12A3">
        <w:rPr>
          <w:sz w:val="24"/>
          <w:szCs w:val="24"/>
        </w:rPr>
        <w:t>H</w:t>
      </w:r>
      <w:r w:rsidR="00242DA0" w:rsidRPr="00DE12A3">
        <w:rPr>
          <w:sz w:val="24"/>
          <w:szCs w:val="24"/>
          <w:vertAlign w:val="subscript"/>
        </w:rPr>
        <w:t>8</w:t>
      </w:r>
      <w:r w:rsidR="00242DA0" w:rsidRPr="00DE12A3">
        <w:rPr>
          <w:sz w:val="24"/>
          <w:szCs w:val="24"/>
        </w:rPr>
        <w:t>-CH</w:t>
      </w:r>
      <w:r w:rsidR="00242DA0" w:rsidRPr="00DE12A3">
        <w:rPr>
          <w:sz w:val="24"/>
          <w:szCs w:val="24"/>
          <w:vertAlign w:val="subscript"/>
        </w:rPr>
        <w:t>4</w:t>
      </w:r>
      <w:r w:rsidR="00242DA0" w:rsidRPr="00DE12A3">
        <w:rPr>
          <w:sz w:val="24"/>
          <w:szCs w:val="24"/>
        </w:rPr>
        <w:t xml:space="preserve"> (N</w:t>
      </w:r>
      <w:r w:rsidR="00242DA0" w:rsidRPr="00DE12A3">
        <w:rPr>
          <w:sz w:val="24"/>
          <w:szCs w:val="24"/>
          <w:vertAlign w:val="subscript"/>
        </w:rPr>
        <w:t>2</w:t>
      </w:r>
      <w:r w:rsidR="00242DA0" w:rsidRPr="00DE12A3">
        <w:rPr>
          <w:sz w:val="24"/>
          <w:szCs w:val="24"/>
        </w:rPr>
        <w:t xml:space="preserve"> dengeli) ayar gazı, bir NO</w:t>
      </w:r>
      <w:r w:rsidR="00242DA0" w:rsidRPr="00DE12A3">
        <w:rPr>
          <w:sz w:val="24"/>
          <w:szCs w:val="24"/>
          <w:vertAlign w:val="subscript"/>
        </w:rPr>
        <w:t>2</w:t>
      </w:r>
      <w:r w:rsidR="00242DA0" w:rsidRPr="00DE12A3">
        <w:rPr>
          <w:sz w:val="24"/>
          <w:szCs w:val="24"/>
        </w:rPr>
        <w:t xml:space="preserve"> ayar gazı olan dengeli saflaştırılmış sentetik hava ile eşit olarak harmanlanmalıdır. Standart ikili ayar gazları da kullanılabilir, harmanlanmış NO-CO-C0</w:t>
      </w:r>
      <w:r w:rsidR="00242DA0" w:rsidRPr="00DE12A3">
        <w:rPr>
          <w:sz w:val="24"/>
          <w:szCs w:val="24"/>
          <w:vertAlign w:val="subscript"/>
        </w:rPr>
        <w:t>2</w:t>
      </w:r>
      <w:r w:rsidR="00242DA0" w:rsidRPr="00DE12A3">
        <w:rPr>
          <w:sz w:val="24"/>
          <w:szCs w:val="24"/>
        </w:rPr>
        <w:t>-C3H</w:t>
      </w:r>
      <w:r w:rsidR="00242DA0" w:rsidRPr="00DE12A3">
        <w:rPr>
          <w:sz w:val="24"/>
          <w:szCs w:val="24"/>
          <w:vertAlign w:val="subscript"/>
        </w:rPr>
        <w:t>8</w:t>
      </w:r>
      <w:r w:rsidR="00242DA0" w:rsidRPr="00DE12A3">
        <w:rPr>
          <w:sz w:val="24"/>
          <w:szCs w:val="24"/>
        </w:rPr>
        <w:t>-CH</w:t>
      </w:r>
      <w:r w:rsidR="00242DA0" w:rsidRPr="00DE12A3">
        <w:rPr>
          <w:sz w:val="24"/>
          <w:szCs w:val="24"/>
          <w:vertAlign w:val="subscript"/>
        </w:rPr>
        <w:t>4</w:t>
      </w:r>
      <w:r w:rsidR="00242DA0" w:rsidRPr="00DE12A3">
        <w:rPr>
          <w:sz w:val="24"/>
          <w:szCs w:val="24"/>
        </w:rPr>
        <w:t xml:space="preserve"> yerine dengeli N</w:t>
      </w:r>
      <w:r w:rsidR="00242DA0" w:rsidRPr="00DE12A3">
        <w:rPr>
          <w:sz w:val="24"/>
          <w:szCs w:val="24"/>
          <w:vertAlign w:val="subscript"/>
        </w:rPr>
        <w:t>2</w:t>
      </w:r>
      <w:r w:rsidR="00242DA0" w:rsidRPr="00DE12A3">
        <w:rPr>
          <w:sz w:val="24"/>
          <w:szCs w:val="24"/>
        </w:rPr>
        <w:t xml:space="preserve"> ayar gazı; bu durumda, her analiz cihazı için ayrı tepki testleri uygulanmalıdır. Gaz bölücü çıkışı, 3 yollu valfin diğer girişine bağlanmalıdır. Valf çıkışı, gaz analiz sisteminin sondasındaki bir taşma bağlantısına veya doğrulanan tüm analiz cihazlarına giden sonda ile transfer hattı arasındaki bir taşma bağlantısına bağlanmalıdır. Gaz harmanlama cihazı boyunca akışın durması nedeniyle basınç titreşimlerini önleyen bir düzenek kullanılmalıdır. Bu doğrulama için analiz cihazları ile ilgili olmayan her gaz bileşen gözardı edilir. Alternatif olarak, tek gaz bulunan gaz şişelerinin kullanılmasına ve tepki sürelerinin ayrı bir ölçümüne izin verilir</w:t>
      </w:r>
      <w:r w:rsidR="009B29C4" w:rsidRPr="00DE12A3">
        <w:rPr>
          <w:sz w:val="24"/>
          <w:szCs w:val="24"/>
        </w:rPr>
        <w:t>.</w:t>
      </w:r>
    </w:p>
    <w:p w14:paraId="59C8C1BA" w14:textId="77777777" w:rsidR="002D7B36" w:rsidRPr="00DE12A3" w:rsidRDefault="00012B51" w:rsidP="00E20716">
      <w:pPr>
        <w:pStyle w:val="Gvdemetni255"/>
        <w:numPr>
          <w:ilvl w:val="0"/>
          <w:numId w:val="199"/>
        </w:numPr>
        <w:shd w:val="clear" w:color="auto" w:fill="auto"/>
        <w:spacing w:before="120" w:after="120" w:line="240" w:lineRule="auto"/>
        <w:ind w:left="1701" w:hanging="567"/>
        <w:rPr>
          <w:color w:val="auto"/>
          <w:sz w:val="24"/>
          <w:szCs w:val="24"/>
        </w:rPr>
      </w:pPr>
      <w:r w:rsidRPr="00DE12A3">
        <w:rPr>
          <w:color w:val="auto"/>
          <w:sz w:val="24"/>
          <w:szCs w:val="24"/>
        </w:rPr>
        <w:t xml:space="preserve">     </w:t>
      </w:r>
      <w:r w:rsidR="00242DA0" w:rsidRPr="00DE12A3">
        <w:rPr>
          <w:color w:val="auto"/>
          <w:sz w:val="24"/>
          <w:szCs w:val="24"/>
        </w:rPr>
        <w:t>Veri toplama aşağıdaki gibi yapılmalıdır:</w:t>
      </w:r>
    </w:p>
    <w:p w14:paraId="05BCE5A0" w14:textId="77777777" w:rsidR="002D7B36" w:rsidRPr="00DE12A3" w:rsidRDefault="00012B51" w:rsidP="00E20716">
      <w:pPr>
        <w:pStyle w:val="Gvdemetni255"/>
        <w:numPr>
          <w:ilvl w:val="0"/>
          <w:numId w:val="200"/>
        </w:numPr>
        <w:shd w:val="clear" w:color="auto" w:fill="auto"/>
        <w:spacing w:before="120" w:after="120" w:line="240" w:lineRule="auto"/>
        <w:ind w:left="2268" w:hanging="567"/>
        <w:rPr>
          <w:color w:val="auto"/>
          <w:sz w:val="24"/>
          <w:szCs w:val="24"/>
        </w:rPr>
      </w:pPr>
      <w:r w:rsidRPr="00DE12A3">
        <w:rPr>
          <w:color w:val="auto"/>
          <w:sz w:val="24"/>
          <w:szCs w:val="24"/>
        </w:rPr>
        <w:t xml:space="preserve">  </w:t>
      </w:r>
      <w:r w:rsidR="00242DA0" w:rsidRPr="00DE12A3">
        <w:rPr>
          <w:color w:val="auto"/>
          <w:sz w:val="24"/>
          <w:szCs w:val="24"/>
        </w:rPr>
        <w:t>Valf, sıfır gaz akışını başlatmak için açılmalıdır;</w:t>
      </w:r>
    </w:p>
    <w:p w14:paraId="3AC1D190" w14:textId="6DA852F0" w:rsidR="002D7B36" w:rsidRPr="00DE12A3" w:rsidRDefault="00012B51" w:rsidP="00E20716">
      <w:pPr>
        <w:pStyle w:val="Gvdemetni255"/>
        <w:numPr>
          <w:ilvl w:val="0"/>
          <w:numId w:val="200"/>
        </w:numPr>
        <w:shd w:val="clear" w:color="auto" w:fill="auto"/>
        <w:tabs>
          <w:tab w:val="left" w:pos="1620"/>
          <w:tab w:val="left" w:pos="1985"/>
          <w:tab w:val="right" w:pos="5648"/>
        </w:tabs>
        <w:spacing w:before="120" w:after="120" w:line="240" w:lineRule="auto"/>
        <w:ind w:left="2268" w:hanging="567"/>
        <w:rPr>
          <w:color w:val="auto"/>
          <w:sz w:val="24"/>
          <w:szCs w:val="24"/>
        </w:rPr>
      </w:pPr>
      <w:r w:rsidRPr="00DE12A3">
        <w:rPr>
          <w:color w:val="auto"/>
          <w:sz w:val="24"/>
          <w:szCs w:val="24"/>
        </w:rPr>
        <w:t xml:space="preserve">     A</w:t>
      </w:r>
      <w:r w:rsidR="00242DA0" w:rsidRPr="00DE12A3">
        <w:rPr>
          <w:color w:val="auto"/>
          <w:sz w:val="24"/>
          <w:szCs w:val="24"/>
        </w:rPr>
        <w:t>ktarım gecikmeleri ve en yavaş analiz cihazının tam tepkisi hesaba katılarak dengeleme sağlanmalıdır</w:t>
      </w:r>
      <w:r w:rsidR="009B29C4" w:rsidRPr="00DE12A3">
        <w:rPr>
          <w:color w:val="auto"/>
          <w:sz w:val="24"/>
          <w:szCs w:val="24"/>
        </w:rPr>
        <w:t>.</w:t>
      </w:r>
    </w:p>
    <w:p w14:paraId="3891621F" w14:textId="6D82A404" w:rsidR="002D7B36" w:rsidRPr="00DE12A3" w:rsidRDefault="00012B51" w:rsidP="00E20716">
      <w:pPr>
        <w:pStyle w:val="Gvdemetni255"/>
        <w:numPr>
          <w:ilvl w:val="0"/>
          <w:numId w:val="200"/>
        </w:numPr>
        <w:shd w:val="clear" w:color="auto" w:fill="auto"/>
        <w:spacing w:before="120" w:after="120" w:line="240" w:lineRule="auto"/>
        <w:ind w:left="2268" w:hanging="567"/>
        <w:rPr>
          <w:color w:val="auto"/>
          <w:sz w:val="24"/>
          <w:szCs w:val="24"/>
        </w:rPr>
      </w:pPr>
      <w:r w:rsidRPr="00DE12A3">
        <w:rPr>
          <w:color w:val="auto"/>
          <w:sz w:val="24"/>
          <w:szCs w:val="24"/>
        </w:rPr>
        <w:t xml:space="preserve">   </w:t>
      </w:r>
      <w:r w:rsidR="00242DA0" w:rsidRPr="00DE12A3">
        <w:rPr>
          <w:color w:val="auto"/>
          <w:sz w:val="24"/>
          <w:szCs w:val="24"/>
        </w:rPr>
        <w:t>Veri kaydı, emisyon testi sırasında kullanılan sıklıkta başlatılmalıdır. Kaydedilen her değer, analiz cihazı tarafından ölçülen benzersiz bir güncellenmiş konsantrasyon olmalıdır; kaydedilen değerleri değiştirmek için enterpolasyon veya filtreleme kullanılamaz</w:t>
      </w:r>
      <w:r w:rsidR="009B29C4" w:rsidRPr="00DE12A3">
        <w:rPr>
          <w:color w:val="auto"/>
          <w:sz w:val="24"/>
          <w:szCs w:val="24"/>
        </w:rPr>
        <w:t>.</w:t>
      </w:r>
    </w:p>
    <w:p w14:paraId="3C6E0CD0" w14:textId="47DB1DC5" w:rsidR="002D7B36" w:rsidRPr="00DE12A3" w:rsidRDefault="00012B51" w:rsidP="00E20716">
      <w:pPr>
        <w:pStyle w:val="Gvdemetni255"/>
        <w:numPr>
          <w:ilvl w:val="0"/>
          <w:numId w:val="200"/>
        </w:numPr>
        <w:shd w:val="clear" w:color="auto" w:fill="auto"/>
        <w:spacing w:before="120" w:after="120" w:line="240" w:lineRule="auto"/>
        <w:ind w:left="2268" w:hanging="567"/>
        <w:rPr>
          <w:color w:val="auto"/>
          <w:sz w:val="24"/>
          <w:szCs w:val="24"/>
        </w:rPr>
      </w:pPr>
      <w:r w:rsidRPr="00DE12A3">
        <w:rPr>
          <w:color w:val="auto"/>
          <w:sz w:val="24"/>
          <w:szCs w:val="24"/>
        </w:rPr>
        <w:t xml:space="preserve">  </w:t>
      </w:r>
      <w:r w:rsidR="00242DA0" w:rsidRPr="00DE12A3">
        <w:rPr>
          <w:color w:val="auto"/>
          <w:sz w:val="24"/>
          <w:szCs w:val="24"/>
        </w:rPr>
        <w:t>Valf, harmanlanmış gazların analizör cihazlarına akmasını sağlamak için açılmalıdır. Bu süre t0 olarak kaydedilmelidir</w:t>
      </w:r>
      <w:r w:rsidR="009B29C4" w:rsidRPr="00DE12A3">
        <w:rPr>
          <w:color w:val="auto"/>
          <w:sz w:val="24"/>
          <w:szCs w:val="24"/>
        </w:rPr>
        <w:t>.</w:t>
      </w:r>
    </w:p>
    <w:p w14:paraId="64EE6153" w14:textId="3C11F332" w:rsidR="002D7B36" w:rsidRPr="00DE12A3" w:rsidRDefault="00012B51" w:rsidP="00E20716">
      <w:pPr>
        <w:pStyle w:val="Gvdemetni255"/>
        <w:numPr>
          <w:ilvl w:val="0"/>
          <w:numId w:val="200"/>
        </w:numPr>
        <w:shd w:val="clear" w:color="auto" w:fill="auto"/>
        <w:spacing w:before="120" w:after="120" w:line="240" w:lineRule="auto"/>
        <w:ind w:left="2268" w:hanging="567"/>
        <w:rPr>
          <w:color w:val="auto"/>
          <w:sz w:val="24"/>
          <w:szCs w:val="24"/>
        </w:rPr>
      </w:pPr>
      <w:r w:rsidRPr="00DE12A3">
        <w:rPr>
          <w:color w:val="auto"/>
          <w:sz w:val="24"/>
          <w:szCs w:val="24"/>
        </w:rPr>
        <w:t xml:space="preserve">  </w:t>
      </w:r>
      <w:r w:rsidR="00242DA0" w:rsidRPr="00DE12A3">
        <w:rPr>
          <w:color w:val="auto"/>
          <w:sz w:val="24"/>
          <w:szCs w:val="24"/>
        </w:rPr>
        <w:t xml:space="preserve">Aktarım gecikmeleri ve en yavaş analiz cihazının tam tepkisi hesaba </w:t>
      </w:r>
      <w:r w:rsidR="00242DA0" w:rsidRPr="00DE12A3">
        <w:rPr>
          <w:color w:val="auto"/>
          <w:sz w:val="24"/>
          <w:szCs w:val="24"/>
        </w:rPr>
        <w:lastRenderedPageBreak/>
        <w:t>katılmalıdır</w:t>
      </w:r>
      <w:r w:rsidR="009B29C4" w:rsidRPr="00DE12A3">
        <w:rPr>
          <w:color w:val="auto"/>
          <w:sz w:val="24"/>
          <w:szCs w:val="24"/>
        </w:rPr>
        <w:t>.</w:t>
      </w:r>
    </w:p>
    <w:p w14:paraId="28189E39" w14:textId="17AB9CD5" w:rsidR="002D7B36" w:rsidRPr="00DE12A3" w:rsidRDefault="00012B51" w:rsidP="00E20716">
      <w:pPr>
        <w:pStyle w:val="Gvdemetni255"/>
        <w:numPr>
          <w:ilvl w:val="0"/>
          <w:numId w:val="200"/>
        </w:numPr>
        <w:shd w:val="clear" w:color="auto" w:fill="auto"/>
        <w:spacing w:before="120" w:after="120" w:line="240" w:lineRule="auto"/>
        <w:ind w:left="2268" w:hanging="567"/>
        <w:rPr>
          <w:color w:val="auto"/>
          <w:sz w:val="24"/>
          <w:szCs w:val="24"/>
        </w:rPr>
      </w:pPr>
      <w:r w:rsidRPr="00DE12A3">
        <w:rPr>
          <w:color w:val="auto"/>
          <w:sz w:val="24"/>
          <w:szCs w:val="24"/>
        </w:rPr>
        <w:t xml:space="preserve">  </w:t>
      </w:r>
      <w:r w:rsidR="00242DA0" w:rsidRPr="00DE12A3">
        <w:rPr>
          <w:color w:val="auto"/>
          <w:sz w:val="24"/>
          <w:szCs w:val="24"/>
        </w:rPr>
        <w:t>Akış, sıfır gazın analizöre akmasını sağlamak için değiştirilmelidir. Bu süre t</w:t>
      </w:r>
      <w:r w:rsidR="00242DA0" w:rsidRPr="00DE12A3">
        <w:rPr>
          <w:color w:val="auto"/>
          <w:sz w:val="24"/>
          <w:szCs w:val="24"/>
          <w:vertAlign w:val="subscript"/>
        </w:rPr>
        <w:t>100</w:t>
      </w:r>
      <w:r w:rsidR="00242DA0" w:rsidRPr="00DE12A3">
        <w:rPr>
          <w:color w:val="auto"/>
          <w:sz w:val="24"/>
          <w:szCs w:val="24"/>
        </w:rPr>
        <w:t xml:space="preserve"> olarak kaydedilmelidir</w:t>
      </w:r>
      <w:r w:rsidR="009B29C4" w:rsidRPr="00DE12A3">
        <w:rPr>
          <w:color w:val="auto"/>
          <w:sz w:val="24"/>
          <w:szCs w:val="24"/>
        </w:rPr>
        <w:t>.</w:t>
      </w:r>
    </w:p>
    <w:p w14:paraId="537AA7DA" w14:textId="2DAC5EC9" w:rsidR="002D7B36" w:rsidRPr="00DE12A3" w:rsidRDefault="00012B51" w:rsidP="00E20716">
      <w:pPr>
        <w:pStyle w:val="Gvdemetni255"/>
        <w:numPr>
          <w:ilvl w:val="0"/>
          <w:numId w:val="200"/>
        </w:numPr>
        <w:shd w:val="clear" w:color="auto" w:fill="auto"/>
        <w:spacing w:before="120" w:after="120" w:line="240" w:lineRule="auto"/>
        <w:ind w:left="2268" w:hanging="567"/>
        <w:rPr>
          <w:color w:val="auto"/>
          <w:sz w:val="24"/>
          <w:szCs w:val="24"/>
        </w:rPr>
      </w:pPr>
      <w:r w:rsidRPr="00DE12A3">
        <w:rPr>
          <w:color w:val="auto"/>
          <w:sz w:val="24"/>
          <w:szCs w:val="24"/>
        </w:rPr>
        <w:t xml:space="preserve">  </w:t>
      </w:r>
      <w:r w:rsidR="00242DA0" w:rsidRPr="00DE12A3">
        <w:rPr>
          <w:color w:val="auto"/>
          <w:sz w:val="24"/>
          <w:szCs w:val="24"/>
        </w:rPr>
        <w:t>Aktarım gecikmeleri ve en yavaş analiz cihazının tam tepkisi hesaba katılmalıdır</w:t>
      </w:r>
      <w:r w:rsidR="009B29C4" w:rsidRPr="00DE12A3">
        <w:rPr>
          <w:color w:val="auto"/>
          <w:sz w:val="24"/>
          <w:szCs w:val="24"/>
        </w:rPr>
        <w:t>.</w:t>
      </w:r>
    </w:p>
    <w:p w14:paraId="23864A69" w14:textId="48BD22D4" w:rsidR="002D7B36" w:rsidRPr="00DE12A3" w:rsidRDefault="00012B51" w:rsidP="00E20716">
      <w:pPr>
        <w:pStyle w:val="Gvdemetni255"/>
        <w:numPr>
          <w:ilvl w:val="0"/>
          <w:numId w:val="200"/>
        </w:numPr>
        <w:shd w:val="clear" w:color="auto" w:fill="auto"/>
        <w:spacing w:before="120" w:after="120" w:line="240" w:lineRule="auto"/>
        <w:ind w:left="2268" w:hanging="567"/>
        <w:rPr>
          <w:color w:val="auto"/>
          <w:sz w:val="24"/>
          <w:szCs w:val="24"/>
        </w:rPr>
      </w:pPr>
      <w:r w:rsidRPr="00DE12A3">
        <w:rPr>
          <w:color w:val="auto"/>
          <w:sz w:val="24"/>
          <w:szCs w:val="24"/>
        </w:rPr>
        <w:t xml:space="preserve">  </w:t>
      </w:r>
      <w:r w:rsidR="00242DA0" w:rsidRPr="00DE12A3">
        <w:rPr>
          <w:color w:val="auto"/>
          <w:sz w:val="24"/>
          <w:szCs w:val="24"/>
        </w:rPr>
        <w:t>Bu bendin (c)</w:t>
      </w:r>
      <w:r w:rsidR="009B29C4" w:rsidRPr="00DE12A3">
        <w:rPr>
          <w:color w:val="auto"/>
          <w:sz w:val="24"/>
          <w:szCs w:val="24"/>
        </w:rPr>
        <w:t xml:space="preserve"> numaralı alt bendinin </w:t>
      </w:r>
      <w:r w:rsidR="00242DA0" w:rsidRPr="00DE12A3">
        <w:rPr>
          <w:color w:val="auto"/>
          <w:sz w:val="24"/>
          <w:szCs w:val="24"/>
        </w:rPr>
        <w:t xml:space="preserve">(iv) ila (vii) paragraflarındaki adımlar, analiz cihazlarına akan sıfır gazla sona eren yedi tam </w:t>
      </w:r>
      <w:r w:rsidR="00F310B5" w:rsidRPr="00DE12A3">
        <w:rPr>
          <w:color w:val="auto"/>
          <w:sz w:val="24"/>
          <w:szCs w:val="24"/>
        </w:rPr>
        <w:t>çevrimi</w:t>
      </w:r>
      <w:r w:rsidR="00242DA0" w:rsidRPr="00DE12A3">
        <w:rPr>
          <w:color w:val="auto"/>
          <w:sz w:val="24"/>
          <w:szCs w:val="24"/>
        </w:rPr>
        <w:t xml:space="preserve"> kaydetmek için tekrarlanmalıdır</w:t>
      </w:r>
      <w:r w:rsidR="009B29C4" w:rsidRPr="00DE12A3">
        <w:rPr>
          <w:color w:val="auto"/>
          <w:sz w:val="24"/>
          <w:szCs w:val="24"/>
        </w:rPr>
        <w:t>.</w:t>
      </w:r>
    </w:p>
    <w:p w14:paraId="71E16D6A" w14:textId="77777777" w:rsidR="002D7B36" w:rsidRPr="00DE12A3" w:rsidRDefault="00012B51" w:rsidP="00E20716">
      <w:pPr>
        <w:pStyle w:val="Gvdemetni255"/>
        <w:numPr>
          <w:ilvl w:val="0"/>
          <w:numId w:val="200"/>
        </w:numPr>
        <w:shd w:val="clear" w:color="auto" w:fill="auto"/>
        <w:spacing w:before="120" w:after="120" w:line="240" w:lineRule="auto"/>
        <w:ind w:left="2268" w:hanging="567"/>
        <w:rPr>
          <w:color w:val="auto"/>
          <w:sz w:val="24"/>
          <w:szCs w:val="24"/>
        </w:rPr>
      </w:pPr>
      <w:r w:rsidRPr="00DE12A3">
        <w:rPr>
          <w:color w:val="auto"/>
          <w:sz w:val="24"/>
          <w:szCs w:val="24"/>
        </w:rPr>
        <w:t xml:space="preserve">   </w:t>
      </w:r>
      <w:r w:rsidR="00242DA0" w:rsidRPr="00DE12A3">
        <w:rPr>
          <w:color w:val="auto"/>
          <w:sz w:val="24"/>
          <w:szCs w:val="24"/>
        </w:rPr>
        <w:t>Kayıt durdurulur.</w:t>
      </w:r>
    </w:p>
    <w:p w14:paraId="702F8273" w14:textId="77777777" w:rsidR="002D7B36" w:rsidRPr="00DE12A3" w:rsidRDefault="00242DA0" w:rsidP="00C917D6">
      <w:pPr>
        <w:pStyle w:val="Gvdemetni250"/>
        <w:spacing w:before="120" w:after="120" w:line="240" w:lineRule="auto"/>
        <w:ind w:left="1134" w:hanging="1134"/>
        <w:rPr>
          <w:sz w:val="24"/>
          <w:szCs w:val="24"/>
        </w:rPr>
      </w:pPr>
      <w:r w:rsidRPr="00DE12A3">
        <w:rPr>
          <w:sz w:val="24"/>
          <w:szCs w:val="24"/>
        </w:rPr>
        <w:t xml:space="preserve">8.1.5.5 </w:t>
      </w:r>
      <w:r w:rsidR="00012B51" w:rsidRPr="00DE12A3">
        <w:rPr>
          <w:sz w:val="24"/>
          <w:szCs w:val="24"/>
        </w:rPr>
        <w:t xml:space="preserve">      </w:t>
      </w:r>
      <w:r w:rsidRPr="00DE12A3">
        <w:rPr>
          <w:sz w:val="24"/>
          <w:szCs w:val="24"/>
        </w:rPr>
        <w:t>Performans değerlendirmesi</w:t>
      </w:r>
    </w:p>
    <w:p w14:paraId="69AC7B39" w14:textId="77777777" w:rsidR="002D7B36" w:rsidRPr="00DE12A3" w:rsidRDefault="00242DA0" w:rsidP="00C917D6">
      <w:pPr>
        <w:pStyle w:val="Gvdemetni250"/>
        <w:spacing w:before="120" w:after="120" w:line="240" w:lineRule="auto"/>
        <w:ind w:left="1134" w:hanging="1134"/>
        <w:rPr>
          <w:sz w:val="24"/>
          <w:szCs w:val="24"/>
        </w:rPr>
      </w:pPr>
      <w:r w:rsidRPr="00DE12A3">
        <w:rPr>
          <w:sz w:val="24"/>
          <w:szCs w:val="24"/>
        </w:rPr>
        <w:t xml:space="preserve">8.1.5.4 </w:t>
      </w:r>
      <w:r w:rsidR="00012B51" w:rsidRPr="00DE12A3">
        <w:rPr>
          <w:sz w:val="24"/>
          <w:szCs w:val="24"/>
        </w:rPr>
        <w:t xml:space="preserve">   </w:t>
      </w:r>
      <w:r w:rsidRPr="00DE12A3">
        <w:rPr>
          <w:sz w:val="24"/>
          <w:szCs w:val="24"/>
        </w:rPr>
        <w:t>(c) bendindeki veriler, analiz cihazlarının her birinin ortalama yükselme süresini hesaplamak için kullanılır.</w:t>
      </w:r>
    </w:p>
    <w:p w14:paraId="687BE782" w14:textId="1AEE08BE" w:rsidR="009B29C4" w:rsidRPr="00DE12A3" w:rsidRDefault="00242DA0" w:rsidP="00C917D6">
      <w:pPr>
        <w:pStyle w:val="Gvdemetni250"/>
        <w:spacing w:before="120" w:after="120" w:line="240" w:lineRule="auto"/>
        <w:ind w:left="1701" w:hanging="567"/>
        <w:rPr>
          <w:sz w:val="24"/>
          <w:szCs w:val="24"/>
        </w:rPr>
      </w:pPr>
      <w:r w:rsidRPr="00DE12A3">
        <w:rPr>
          <w:sz w:val="24"/>
          <w:szCs w:val="24"/>
        </w:rPr>
        <w:t>(a)</w:t>
      </w:r>
      <w:r w:rsidRPr="00DE12A3">
        <w:rPr>
          <w:sz w:val="24"/>
          <w:szCs w:val="24"/>
        </w:rPr>
        <w:tab/>
        <w:t>8.1.5.3</w:t>
      </w:r>
      <w:r w:rsidR="009B29C4" w:rsidRPr="00DE12A3">
        <w:rPr>
          <w:sz w:val="24"/>
          <w:szCs w:val="24"/>
        </w:rPr>
        <w:t xml:space="preserve"> bendinin </w:t>
      </w:r>
      <w:r w:rsidRPr="00DE12A3">
        <w:rPr>
          <w:sz w:val="24"/>
          <w:szCs w:val="24"/>
        </w:rPr>
        <w:t>(b)</w:t>
      </w:r>
      <w:r w:rsidR="009B29C4" w:rsidRPr="00DE12A3">
        <w:rPr>
          <w:sz w:val="24"/>
          <w:szCs w:val="24"/>
        </w:rPr>
        <w:t xml:space="preserve"> numaralı alt bendinin </w:t>
      </w:r>
      <w:r w:rsidRPr="00DE12A3">
        <w:rPr>
          <w:sz w:val="24"/>
          <w:szCs w:val="24"/>
        </w:rPr>
        <w:t xml:space="preserve">(i) </w:t>
      </w:r>
      <w:r w:rsidR="003D78CE" w:rsidRPr="00DE12A3">
        <w:rPr>
          <w:sz w:val="24"/>
          <w:szCs w:val="24"/>
        </w:rPr>
        <w:t xml:space="preserve">paragrafına </w:t>
      </w:r>
      <w:r w:rsidRPr="00DE12A3">
        <w:rPr>
          <w:sz w:val="24"/>
          <w:szCs w:val="24"/>
        </w:rPr>
        <w:t xml:space="preserve">uyumluluğun ispatlanması seçilirse, aşağıdaki prosedür uygulanmalıdır: </w:t>
      </w:r>
    </w:p>
    <w:p w14:paraId="190026E1" w14:textId="38D21FD0" w:rsidR="002D7B36" w:rsidRPr="00DE12A3" w:rsidRDefault="00242DA0" w:rsidP="009947CD">
      <w:pPr>
        <w:pStyle w:val="Gvdemetni250"/>
        <w:spacing w:before="120" w:after="120" w:line="240" w:lineRule="auto"/>
        <w:ind w:left="1701" w:firstLine="0"/>
        <w:rPr>
          <w:sz w:val="24"/>
          <w:szCs w:val="24"/>
        </w:rPr>
      </w:pPr>
      <w:r w:rsidRPr="00DE12A3">
        <w:rPr>
          <w:sz w:val="24"/>
          <w:szCs w:val="24"/>
        </w:rPr>
        <w:t>Yükselme süreleri (s), Hertz (1/s) cinsinden ilgili kayıt frekansları ile çarpılmalıdır. Her sonucun değeri en az 5 olmalıdır. Değer 5'ten düşükse, yükselme süresini gerektiği şekilde artırmak için kayıt frekansı artırılmalı veya akışlar ayarlanmalı veya örnekleme sisteminin tasarımı değiştirilmelidir. Ayrıca, dijital filtreler yükselme süresini artıracak şekilde yapılandırılabilir</w:t>
      </w:r>
      <w:r w:rsidR="009B29C4" w:rsidRPr="00DE12A3">
        <w:rPr>
          <w:sz w:val="24"/>
          <w:szCs w:val="24"/>
        </w:rPr>
        <w:t>.</w:t>
      </w:r>
    </w:p>
    <w:p w14:paraId="35E0522B" w14:textId="62F19ADD" w:rsidR="002D7B36" w:rsidRPr="00DE12A3" w:rsidRDefault="00242DA0" w:rsidP="00C917D6">
      <w:pPr>
        <w:pStyle w:val="Gvdemetni250"/>
        <w:spacing w:before="120" w:after="120" w:line="240" w:lineRule="auto"/>
        <w:ind w:left="1701" w:hanging="567"/>
        <w:rPr>
          <w:sz w:val="24"/>
          <w:szCs w:val="24"/>
        </w:rPr>
      </w:pPr>
      <w:r w:rsidRPr="00DE12A3">
        <w:rPr>
          <w:sz w:val="24"/>
          <w:szCs w:val="24"/>
        </w:rPr>
        <w:t>(b)</w:t>
      </w:r>
      <w:r w:rsidRPr="00DE12A3">
        <w:rPr>
          <w:sz w:val="24"/>
          <w:szCs w:val="24"/>
        </w:rPr>
        <w:tab/>
        <w:t>8.1.5.3</w:t>
      </w:r>
      <w:r w:rsidR="009B29C4" w:rsidRPr="00DE12A3">
        <w:rPr>
          <w:sz w:val="24"/>
          <w:szCs w:val="24"/>
        </w:rPr>
        <w:t xml:space="preserve"> bendinin </w:t>
      </w:r>
      <w:r w:rsidRPr="00DE12A3">
        <w:rPr>
          <w:sz w:val="24"/>
          <w:szCs w:val="24"/>
        </w:rPr>
        <w:t>(b)</w:t>
      </w:r>
      <w:r w:rsidR="009B29C4" w:rsidRPr="00DE12A3">
        <w:rPr>
          <w:sz w:val="24"/>
          <w:szCs w:val="24"/>
        </w:rPr>
        <w:t xml:space="preserve"> numaralıı alt bendinin </w:t>
      </w:r>
      <w:r w:rsidRPr="00DE12A3">
        <w:rPr>
          <w:sz w:val="24"/>
          <w:szCs w:val="24"/>
        </w:rPr>
        <w:t xml:space="preserve">(ii) </w:t>
      </w:r>
      <w:r w:rsidR="003D78CE" w:rsidRPr="00DE12A3">
        <w:rPr>
          <w:sz w:val="24"/>
          <w:szCs w:val="24"/>
        </w:rPr>
        <w:t xml:space="preserve">paragrafına </w:t>
      </w:r>
      <w:r w:rsidRPr="00DE12A3">
        <w:rPr>
          <w:sz w:val="24"/>
          <w:szCs w:val="24"/>
        </w:rPr>
        <w:t>uyumluluğun ispatlanması seçilirse, 8.1.5.3</w:t>
      </w:r>
      <w:r w:rsidR="009B29C4" w:rsidRPr="00DE12A3">
        <w:rPr>
          <w:sz w:val="24"/>
          <w:szCs w:val="24"/>
        </w:rPr>
        <w:t xml:space="preserve"> bendinin </w:t>
      </w:r>
      <w:r w:rsidRPr="00DE12A3">
        <w:rPr>
          <w:sz w:val="24"/>
          <w:szCs w:val="24"/>
        </w:rPr>
        <w:t>(b)</w:t>
      </w:r>
      <w:r w:rsidR="009B29C4" w:rsidRPr="00DE12A3">
        <w:rPr>
          <w:sz w:val="24"/>
          <w:szCs w:val="24"/>
        </w:rPr>
        <w:t xml:space="preserve"> numaralı alt bendinin </w:t>
      </w:r>
      <w:r w:rsidRPr="00DE12A3">
        <w:rPr>
          <w:sz w:val="24"/>
          <w:szCs w:val="24"/>
        </w:rPr>
        <w:t xml:space="preserve">(ii) </w:t>
      </w:r>
      <w:r w:rsidR="003D78CE" w:rsidRPr="00DE12A3">
        <w:rPr>
          <w:sz w:val="24"/>
          <w:szCs w:val="24"/>
        </w:rPr>
        <w:t xml:space="preserve">paragrafındaki </w:t>
      </w:r>
      <w:r w:rsidRPr="00DE12A3">
        <w:rPr>
          <w:sz w:val="24"/>
          <w:szCs w:val="24"/>
        </w:rPr>
        <w:t>şartlara uyumun gösterilmesi yeterlidir.</w:t>
      </w:r>
    </w:p>
    <w:p w14:paraId="79BCF995" w14:textId="77777777" w:rsidR="002D7B36" w:rsidRPr="00DE12A3" w:rsidRDefault="00242DA0" w:rsidP="00C917D6">
      <w:pPr>
        <w:pStyle w:val="Gvdemetni250"/>
        <w:shd w:val="clear" w:color="auto" w:fill="auto"/>
        <w:spacing w:before="120" w:after="120" w:line="240" w:lineRule="auto"/>
        <w:ind w:left="1134" w:hanging="1134"/>
        <w:rPr>
          <w:sz w:val="24"/>
          <w:szCs w:val="24"/>
        </w:rPr>
      </w:pPr>
      <w:r w:rsidRPr="00DE12A3">
        <w:rPr>
          <w:sz w:val="24"/>
          <w:szCs w:val="24"/>
        </w:rPr>
        <w:t>8.1.6.</w:t>
      </w:r>
      <w:r w:rsidRPr="00DE12A3">
        <w:rPr>
          <w:sz w:val="24"/>
          <w:szCs w:val="24"/>
        </w:rPr>
        <w:tab/>
        <w:t>Kompanzasyon tipi analiz cihazları için tepki süresi doğrulaması</w:t>
      </w:r>
    </w:p>
    <w:p w14:paraId="61BFD1A6" w14:textId="77777777" w:rsidR="002D7B36" w:rsidRPr="00DE12A3" w:rsidRDefault="002D7B36" w:rsidP="00E20716">
      <w:pPr>
        <w:pStyle w:val="ListeParagraf"/>
        <w:numPr>
          <w:ilvl w:val="0"/>
          <w:numId w:val="201"/>
        </w:numPr>
        <w:spacing w:before="120" w:after="120"/>
        <w:ind w:left="1134" w:hanging="1134"/>
        <w:contextualSpacing w:val="0"/>
        <w:jc w:val="both"/>
        <w:rPr>
          <w:rFonts w:eastAsia="Times New Roman" w:cs="Times New Roman"/>
          <w:vanish/>
          <w:color w:val="auto"/>
          <w:spacing w:val="3"/>
        </w:rPr>
      </w:pPr>
    </w:p>
    <w:p w14:paraId="16DAA559" w14:textId="77777777" w:rsidR="002D7B36" w:rsidRPr="00DE12A3" w:rsidRDefault="002D7B36" w:rsidP="00E20716">
      <w:pPr>
        <w:pStyle w:val="ListeParagraf"/>
        <w:numPr>
          <w:ilvl w:val="0"/>
          <w:numId w:val="201"/>
        </w:numPr>
        <w:spacing w:before="120" w:after="120"/>
        <w:ind w:left="1134" w:hanging="1134"/>
        <w:contextualSpacing w:val="0"/>
        <w:jc w:val="both"/>
        <w:rPr>
          <w:rFonts w:eastAsia="Times New Roman" w:cs="Times New Roman"/>
          <w:vanish/>
          <w:color w:val="auto"/>
          <w:spacing w:val="3"/>
        </w:rPr>
      </w:pPr>
    </w:p>
    <w:p w14:paraId="5D060B37" w14:textId="77777777" w:rsidR="002D7B36" w:rsidRPr="00DE12A3" w:rsidRDefault="002D7B36" w:rsidP="00E20716">
      <w:pPr>
        <w:pStyle w:val="ListeParagraf"/>
        <w:numPr>
          <w:ilvl w:val="0"/>
          <w:numId w:val="201"/>
        </w:numPr>
        <w:spacing w:before="120" w:after="120"/>
        <w:ind w:left="1134" w:hanging="1134"/>
        <w:contextualSpacing w:val="0"/>
        <w:jc w:val="both"/>
        <w:rPr>
          <w:rFonts w:eastAsia="Times New Roman" w:cs="Times New Roman"/>
          <w:vanish/>
          <w:color w:val="auto"/>
          <w:spacing w:val="3"/>
        </w:rPr>
      </w:pPr>
    </w:p>
    <w:p w14:paraId="4BE92C8C" w14:textId="77777777" w:rsidR="002D7B36" w:rsidRPr="00DE12A3" w:rsidRDefault="002D7B36" w:rsidP="00E20716">
      <w:pPr>
        <w:pStyle w:val="ListeParagraf"/>
        <w:numPr>
          <w:ilvl w:val="0"/>
          <w:numId w:val="201"/>
        </w:numPr>
        <w:spacing w:before="120" w:after="120"/>
        <w:ind w:left="1134" w:hanging="1134"/>
        <w:contextualSpacing w:val="0"/>
        <w:jc w:val="both"/>
        <w:rPr>
          <w:rFonts w:eastAsia="Times New Roman" w:cs="Times New Roman"/>
          <w:vanish/>
          <w:color w:val="auto"/>
          <w:spacing w:val="3"/>
        </w:rPr>
      </w:pPr>
    </w:p>
    <w:p w14:paraId="4B5EE275" w14:textId="77777777" w:rsidR="002D7B36" w:rsidRPr="00DE12A3" w:rsidRDefault="002D7B36" w:rsidP="00E20716">
      <w:pPr>
        <w:pStyle w:val="ListeParagraf"/>
        <w:numPr>
          <w:ilvl w:val="0"/>
          <w:numId w:val="201"/>
        </w:numPr>
        <w:spacing w:before="120" w:after="120"/>
        <w:ind w:left="1134" w:hanging="1134"/>
        <w:contextualSpacing w:val="0"/>
        <w:jc w:val="both"/>
        <w:rPr>
          <w:rFonts w:eastAsia="Times New Roman" w:cs="Times New Roman"/>
          <w:vanish/>
          <w:color w:val="auto"/>
          <w:spacing w:val="3"/>
        </w:rPr>
      </w:pPr>
    </w:p>
    <w:p w14:paraId="1222760D" w14:textId="77777777" w:rsidR="002D7B36" w:rsidRPr="00DE12A3" w:rsidRDefault="002D7B36" w:rsidP="00E20716">
      <w:pPr>
        <w:pStyle w:val="ListeParagraf"/>
        <w:numPr>
          <w:ilvl w:val="0"/>
          <w:numId w:val="201"/>
        </w:numPr>
        <w:spacing w:before="120" w:after="120"/>
        <w:ind w:left="1134" w:hanging="1134"/>
        <w:contextualSpacing w:val="0"/>
        <w:jc w:val="both"/>
        <w:rPr>
          <w:rFonts w:eastAsia="Times New Roman" w:cs="Times New Roman"/>
          <w:vanish/>
          <w:color w:val="auto"/>
          <w:spacing w:val="3"/>
        </w:rPr>
      </w:pPr>
    </w:p>
    <w:p w14:paraId="4F179881" w14:textId="77777777" w:rsidR="002D7B36" w:rsidRPr="00DE12A3" w:rsidRDefault="002D7B36" w:rsidP="00E20716">
      <w:pPr>
        <w:pStyle w:val="ListeParagraf"/>
        <w:numPr>
          <w:ilvl w:val="0"/>
          <w:numId w:val="201"/>
        </w:numPr>
        <w:spacing w:before="120" w:after="120"/>
        <w:ind w:left="1134" w:hanging="1134"/>
        <w:contextualSpacing w:val="0"/>
        <w:jc w:val="both"/>
        <w:rPr>
          <w:rFonts w:eastAsia="Times New Roman" w:cs="Times New Roman"/>
          <w:vanish/>
          <w:color w:val="auto"/>
          <w:spacing w:val="3"/>
        </w:rPr>
      </w:pPr>
    </w:p>
    <w:p w14:paraId="57426727" w14:textId="77777777" w:rsidR="002D7B36" w:rsidRPr="00DE12A3" w:rsidRDefault="00012B51" w:rsidP="00E20716">
      <w:pPr>
        <w:pStyle w:val="Gvdemetni255"/>
        <w:numPr>
          <w:ilvl w:val="3"/>
          <w:numId w:val="202"/>
        </w:numPr>
        <w:shd w:val="clear" w:color="auto" w:fill="auto"/>
        <w:spacing w:before="120" w:after="120" w:line="240" w:lineRule="auto"/>
        <w:ind w:left="1134" w:hanging="1134"/>
        <w:rPr>
          <w:color w:val="auto"/>
          <w:sz w:val="24"/>
          <w:szCs w:val="24"/>
        </w:rPr>
      </w:pPr>
      <w:r w:rsidRPr="00DE12A3">
        <w:rPr>
          <w:color w:val="auto"/>
          <w:sz w:val="24"/>
          <w:szCs w:val="24"/>
        </w:rPr>
        <w:t xml:space="preserve">       </w:t>
      </w:r>
      <w:r w:rsidR="00242DA0" w:rsidRPr="00DE12A3">
        <w:rPr>
          <w:color w:val="auto"/>
          <w:sz w:val="24"/>
          <w:szCs w:val="24"/>
        </w:rPr>
        <w:t>Kapsam ve sıklık</w:t>
      </w:r>
    </w:p>
    <w:p w14:paraId="297C184A" w14:textId="77777777" w:rsidR="002D7B36" w:rsidRPr="00DE12A3" w:rsidRDefault="00012B51" w:rsidP="00C917D6">
      <w:pPr>
        <w:pStyle w:val="Gvdemetni255"/>
        <w:tabs>
          <w:tab w:val="left" w:pos="2818"/>
          <w:tab w:val="right" w:pos="5164"/>
          <w:tab w:val="right" w:pos="5648"/>
        </w:tabs>
        <w:spacing w:before="120" w:after="120" w:line="240" w:lineRule="auto"/>
        <w:ind w:left="1134" w:hanging="1134"/>
        <w:rPr>
          <w:color w:val="auto"/>
          <w:sz w:val="24"/>
          <w:szCs w:val="24"/>
        </w:rPr>
      </w:pPr>
      <w:r w:rsidRPr="00DE12A3">
        <w:rPr>
          <w:color w:val="auto"/>
          <w:sz w:val="24"/>
          <w:szCs w:val="24"/>
        </w:rPr>
        <w:t xml:space="preserve">                  </w:t>
      </w:r>
      <w:r w:rsidR="00242DA0" w:rsidRPr="00DE12A3">
        <w:rPr>
          <w:color w:val="auto"/>
          <w:sz w:val="24"/>
          <w:szCs w:val="24"/>
        </w:rPr>
        <w:t xml:space="preserve">Bu doğrulama, bir gaz emisyonunu ölçmek için bir analiz cihazının tepkisinin bir başkasınınki tarafından dengelendiği bir sürekli gaz analiz cihazının tepkisini belirlemek için yapılır. Bu kontrol için su buharı, bir gaz bileşen olarak değerlendirilir. Bu </w:t>
      </w:r>
      <w:r w:rsidR="004D1FEF" w:rsidRPr="00DE12A3">
        <w:rPr>
          <w:color w:val="auto"/>
          <w:sz w:val="24"/>
          <w:szCs w:val="24"/>
        </w:rPr>
        <w:t>doğrulama, süreksiz</w:t>
      </w:r>
      <w:r w:rsidR="00951351" w:rsidRPr="00DE12A3">
        <w:rPr>
          <w:color w:val="auto"/>
          <w:sz w:val="24"/>
          <w:szCs w:val="24"/>
        </w:rPr>
        <w:t xml:space="preserve"> </w:t>
      </w:r>
      <w:r w:rsidR="00242DA0" w:rsidRPr="00DE12A3">
        <w:rPr>
          <w:color w:val="auto"/>
          <w:sz w:val="24"/>
          <w:szCs w:val="24"/>
        </w:rPr>
        <w:t xml:space="preserve">(NRTC ve LSI-NRTC) test </w:t>
      </w:r>
      <w:r w:rsidR="00F310B5" w:rsidRPr="00DE12A3">
        <w:rPr>
          <w:color w:val="auto"/>
          <w:sz w:val="24"/>
          <w:szCs w:val="24"/>
        </w:rPr>
        <w:t>çevrim</w:t>
      </w:r>
      <w:r w:rsidR="00242DA0" w:rsidRPr="00DE12A3">
        <w:rPr>
          <w:color w:val="auto"/>
          <w:sz w:val="24"/>
          <w:szCs w:val="24"/>
        </w:rPr>
        <w:t>leri veya RMC için kullanılan sürekli gaz analiz cihazları için gereklidir.</w:t>
      </w:r>
    </w:p>
    <w:p w14:paraId="18BC8F8C" w14:textId="77777777" w:rsidR="002D7B36" w:rsidRPr="00DE12A3" w:rsidRDefault="00012B51" w:rsidP="00C917D6">
      <w:pPr>
        <w:pStyle w:val="Gvdemetni255"/>
        <w:shd w:val="clear" w:color="auto" w:fill="auto"/>
        <w:spacing w:before="120" w:after="120" w:line="240" w:lineRule="auto"/>
        <w:ind w:left="1134" w:hanging="1134"/>
        <w:rPr>
          <w:color w:val="auto"/>
          <w:sz w:val="24"/>
          <w:szCs w:val="24"/>
        </w:rPr>
      </w:pPr>
      <w:r w:rsidRPr="00DE12A3">
        <w:rPr>
          <w:color w:val="auto"/>
          <w:sz w:val="24"/>
          <w:szCs w:val="24"/>
        </w:rPr>
        <w:t xml:space="preserve">                  </w:t>
      </w:r>
      <w:r w:rsidR="00242DA0" w:rsidRPr="00DE12A3">
        <w:rPr>
          <w:color w:val="auto"/>
          <w:sz w:val="24"/>
          <w:szCs w:val="24"/>
        </w:rPr>
        <w:t xml:space="preserve">Bu doğrulama, toplu gaz analiz cihazları veya sadece ayrık mod NRSC ile test etmek için kullanılan sürekli gaz analiz cihazları için gerekli değildir. Bu doğrulama, </w:t>
      </w:r>
      <w:r w:rsidR="007E2039" w:rsidRPr="00DE12A3">
        <w:rPr>
          <w:color w:val="auto"/>
          <w:sz w:val="24"/>
          <w:szCs w:val="24"/>
        </w:rPr>
        <w:t xml:space="preserve">arıtma </w:t>
      </w:r>
      <w:r w:rsidR="00242DA0" w:rsidRPr="00DE12A3">
        <w:rPr>
          <w:color w:val="auto"/>
          <w:sz w:val="24"/>
          <w:szCs w:val="24"/>
        </w:rPr>
        <w:t>sırasında yapılan numuneden giderilen su için yapılan düzeltme için geçerli değildir. Bu doğrulama ilk montaj (yani test hücresinin devreye alınması) sonrasında yapılmalıdır. Büyük bakım sonrasında, değiştirilen bileşenlerin bir noktada bir nemli homojen tepki doğrulamasından geçmiş olması koşuluyla, homojen tepkiyi doğrulamak için 8.1.5 bendi kullanılabilir.</w:t>
      </w:r>
    </w:p>
    <w:p w14:paraId="14DBBE56" w14:textId="77777777" w:rsidR="002D7B36" w:rsidRPr="00DE12A3" w:rsidRDefault="00242DA0" w:rsidP="00E20716">
      <w:pPr>
        <w:pStyle w:val="Gvdemetni255"/>
        <w:numPr>
          <w:ilvl w:val="0"/>
          <w:numId w:val="203"/>
        </w:numPr>
        <w:shd w:val="clear" w:color="auto" w:fill="auto"/>
        <w:spacing w:before="120" w:after="120" w:line="240" w:lineRule="auto"/>
        <w:ind w:left="1134" w:hanging="1134"/>
        <w:rPr>
          <w:color w:val="auto"/>
          <w:sz w:val="24"/>
          <w:szCs w:val="24"/>
        </w:rPr>
      </w:pPr>
      <w:r w:rsidRPr="00DE12A3">
        <w:rPr>
          <w:color w:val="auto"/>
          <w:sz w:val="24"/>
          <w:szCs w:val="24"/>
        </w:rPr>
        <w:t>Ölçüm ilkeleri</w:t>
      </w:r>
    </w:p>
    <w:p w14:paraId="4D219FDD" w14:textId="77777777" w:rsidR="002D7B36" w:rsidRPr="00DE12A3" w:rsidRDefault="00012B51" w:rsidP="00C917D6">
      <w:pPr>
        <w:pStyle w:val="Gvdemetni255"/>
        <w:shd w:val="clear" w:color="auto" w:fill="auto"/>
        <w:spacing w:before="120" w:after="120" w:line="240" w:lineRule="auto"/>
        <w:ind w:left="1134" w:hanging="1134"/>
        <w:rPr>
          <w:color w:val="auto"/>
          <w:sz w:val="24"/>
          <w:szCs w:val="24"/>
        </w:rPr>
      </w:pPr>
      <w:r w:rsidRPr="00DE12A3">
        <w:rPr>
          <w:color w:val="auto"/>
          <w:sz w:val="24"/>
          <w:szCs w:val="24"/>
        </w:rPr>
        <w:t xml:space="preserve">                  </w:t>
      </w:r>
      <w:r w:rsidR="00242DA0" w:rsidRPr="00DE12A3">
        <w:rPr>
          <w:color w:val="auto"/>
          <w:sz w:val="24"/>
          <w:szCs w:val="24"/>
        </w:rPr>
        <w:t>Bu prosedür sürekli kombine gaz ölçümlerinin zaman-hizalamasını ve homojen tepkisini doğrular. Bu prosedür için tüm dengeleme algoritmalarının ve nem düzeltmelerinin açık olduğundan emin olmak gerekir.</w:t>
      </w:r>
    </w:p>
    <w:p w14:paraId="1DFECB16" w14:textId="77777777" w:rsidR="002D7B36" w:rsidRPr="00DE12A3" w:rsidRDefault="00242DA0" w:rsidP="00E20716">
      <w:pPr>
        <w:pStyle w:val="Gvdemetni255"/>
        <w:numPr>
          <w:ilvl w:val="0"/>
          <w:numId w:val="203"/>
        </w:numPr>
        <w:shd w:val="clear" w:color="auto" w:fill="auto"/>
        <w:spacing w:before="120" w:after="120" w:line="240" w:lineRule="auto"/>
        <w:ind w:left="1134" w:hanging="1134"/>
        <w:rPr>
          <w:color w:val="auto"/>
          <w:sz w:val="24"/>
          <w:szCs w:val="24"/>
        </w:rPr>
      </w:pPr>
      <w:r w:rsidRPr="00DE12A3">
        <w:rPr>
          <w:color w:val="auto"/>
          <w:sz w:val="24"/>
          <w:szCs w:val="24"/>
        </w:rPr>
        <w:t xml:space="preserve">Sistem </w:t>
      </w:r>
      <w:r w:rsidR="0053289F" w:rsidRPr="00DE12A3">
        <w:rPr>
          <w:color w:val="auto"/>
          <w:sz w:val="24"/>
          <w:szCs w:val="24"/>
        </w:rPr>
        <w:t>gereklilikleri</w:t>
      </w:r>
    </w:p>
    <w:p w14:paraId="52C1D0C0" w14:textId="69CEF0B7" w:rsidR="002D7B36" w:rsidRPr="00DE12A3" w:rsidRDefault="00012B51" w:rsidP="00C917D6">
      <w:pPr>
        <w:pStyle w:val="Gvdemetni255"/>
        <w:shd w:val="clear" w:color="auto" w:fill="auto"/>
        <w:spacing w:before="120" w:after="120" w:line="240" w:lineRule="auto"/>
        <w:ind w:left="1134" w:hanging="1134"/>
        <w:rPr>
          <w:color w:val="auto"/>
          <w:sz w:val="24"/>
          <w:szCs w:val="24"/>
        </w:rPr>
      </w:pPr>
      <w:r w:rsidRPr="00DE12A3">
        <w:rPr>
          <w:color w:val="auto"/>
          <w:sz w:val="24"/>
          <w:szCs w:val="24"/>
        </w:rPr>
        <w:t xml:space="preserve">                  </w:t>
      </w:r>
      <w:r w:rsidR="00242DA0" w:rsidRPr="00DE12A3">
        <w:rPr>
          <w:color w:val="auto"/>
          <w:sz w:val="24"/>
          <w:szCs w:val="24"/>
        </w:rPr>
        <w:t>Dengeleme tipi analiz cihazları için 8.1.5.3</w:t>
      </w:r>
      <w:r w:rsidR="009B29C4" w:rsidRPr="00DE12A3">
        <w:rPr>
          <w:color w:val="auto"/>
          <w:sz w:val="24"/>
          <w:szCs w:val="24"/>
        </w:rPr>
        <w:t xml:space="preserve"> bendinin </w:t>
      </w:r>
      <w:r w:rsidR="00242DA0" w:rsidRPr="00DE12A3">
        <w:rPr>
          <w:color w:val="auto"/>
          <w:sz w:val="24"/>
          <w:szCs w:val="24"/>
        </w:rPr>
        <w:t>(a)</w:t>
      </w:r>
      <w:r w:rsidR="009B29C4" w:rsidRPr="00DE12A3">
        <w:rPr>
          <w:color w:val="auto"/>
          <w:sz w:val="24"/>
          <w:szCs w:val="24"/>
        </w:rPr>
        <w:t xml:space="preserve"> numaralı alt</w:t>
      </w:r>
      <w:r w:rsidR="00242DA0" w:rsidRPr="00DE12A3">
        <w:rPr>
          <w:color w:val="auto"/>
          <w:sz w:val="24"/>
          <w:szCs w:val="24"/>
        </w:rPr>
        <w:t xml:space="preserve"> bendinde belirtilen genel tepki süresi ve yükselme süresi şartı da geçerlidir. Buna ek olarak, eğer kayıt frekansı sürekli kombine/dengelenmiş sinyalin güncelleme </w:t>
      </w:r>
      <w:r w:rsidR="00242DA0" w:rsidRPr="00DE12A3">
        <w:rPr>
          <w:color w:val="auto"/>
          <w:sz w:val="24"/>
          <w:szCs w:val="24"/>
        </w:rPr>
        <w:lastRenderedPageBreak/>
        <w:t>frekansından farklı ise, bu iki frekanstan düşük olanı, 8.1.5.3</w:t>
      </w:r>
      <w:r w:rsidR="009B29C4" w:rsidRPr="00DE12A3">
        <w:rPr>
          <w:color w:val="auto"/>
          <w:sz w:val="24"/>
          <w:szCs w:val="24"/>
        </w:rPr>
        <w:t xml:space="preserve"> bendinin </w:t>
      </w:r>
      <w:r w:rsidR="00242DA0" w:rsidRPr="00DE12A3">
        <w:rPr>
          <w:color w:val="auto"/>
          <w:sz w:val="24"/>
          <w:szCs w:val="24"/>
        </w:rPr>
        <w:t>(b)</w:t>
      </w:r>
      <w:r w:rsidR="009B29C4" w:rsidRPr="00DE12A3">
        <w:rPr>
          <w:color w:val="auto"/>
          <w:sz w:val="24"/>
          <w:szCs w:val="24"/>
        </w:rPr>
        <w:t xml:space="preserve"> numaralı alt bendinin </w:t>
      </w:r>
      <w:r w:rsidR="00242DA0" w:rsidRPr="00DE12A3">
        <w:rPr>
          <w:color w:val="auto"/>
          <w:sz w:val="24"/>
          <w:szCs w:val="24"/>
        </w:rPr>
        <w:t xml:space="preserve">(i) </w:t>
      </w:r>
      <w:r w:rsidR="003D78CE" w:rsidRPr="00DE12A3">
        <w:rPr>
          <w:color w:val="auto"/>
          <w:sz w:val="24"/>
          <w:szCs w:val="24"/>
        </w:rPr>
        <w:t>paragrafının</w:t>
      </w:r>
      <w:r w:rsidR="00242DA0" w:rsidRPr="00DE12A3">
        <w:rPr>
          <w:color w:val="auto"/>
          <w:sz w:val="24"/>
          <w:szCs w:val="24"/>
        </w:rPr>
        <w:t xml:space="preserve"> gerektirdiği doğrulama için kullanılır.</w:t>
      </w:r>
    </w:p>
    <w:p w14:paraId="707233B5" w14:textId="77777777" w:rsidR="002D7B36" w:rsidRPr="00DE12A3" w:rsidRDefault="00242DA0" w:rsidP="00E20716">
      <w:pPr>
        <w:pStyle w:val="Gvdemetni255"/>
        <w:numPr>
          <w:ilvl w:val="0"/>
          <w:numId w:val="203"/>
        </w:numPr>
        <w:shd w:val="clear" w:color="auto" w:fill="auto"/>
        <w:spacing w:before="120" w:after="120" w:line="240" w:lineRule="auto"/>
        <w:ind w:left="1134" w:hanging="1134"/>
        <w:rPr>
          <w:color w:val="auto"/>
          <w:sz w:val="24"/>
          <w:szCs w:val="24"/>
        </w:rPr>
      </w:pPr>
      <w:r w:rsidRPr="00DE12A3">
        <w:rPr>
          <w:color w:val="auto"/>
          <w:sz w:val="24"/>
          <w:szCs w:val="24"/>
        </w:rPr>
        <w:t>Prosedür</w:t>
      </w:r>
    </w:p>
    <w:p w14:paraId="68369E6A" w14:textId="5A73A1F4" w:rsidR="002D7B36" w:rsidRPr="00DE12A3" w:rsidRDefault="00CF5D85" w:rsidP="00C917D6">
      <w:pPr>
        <w:pStyle w:val="Gvdemetni255"/>
        <w:shd w:val="clear" w:color="auto" w:fill="auto"/>
        <w:spacing w:before="120" w:after="120" w:line="240" w:lineRule="auto"/>
        <w:ind w:left="1134" w:hanging="1134"/>
        <w:rPr>
          <w:color w:val="auto"/>
          <w:sz w:val="24"/>
          <w:szCs w:val="24"/>
        </w:rPr>
      </w:pPr>
      <w:r w:rsidRPr="00DE12A3">
        <w:rPr>
          <w:color w:val="auto"/>
          <w:sz w:val="24"/>
          <w:szCs w:val="24"/>
        </w:rPr>
        <w:t xml:space="preserve">                  </w:t>
      </w:r>
      <w:r w:rsidR="00242DA0" w:rsidRPr="00DE12A3">
        <w:rPr>
          <w:color w:val="auto"/>
          <w:sz w:val="24"/>
          <w:szCs w:val="24"/>
        </w:rPr>
        <w:t>8.1.5.4</w:t>
      </w:r>
      <w:r w:rsidR="009B29C4" w:rsidRPr="00DE12A3">
        <w:rPr>
          <w:color w:val="auto"/>
          <w:sz w:val="24"/>
          <w:szCs w:val="24"/>
        </w:rPr>
        <w:t xml:space="preserve"> bendinin </w:t>
      </w:r>
      <w:r w:rsidR="00242DA0" w:rsidRPr="00DE12A3">
        <w:rPr>
          <w:color w:val="auto"/>
          <w:sz w:val="24"/>
          <w:szCs w:val="24"/>
        </w:rPr>
        <w:t xml:space="preserve">(a) </w:t>
      </w:r>
      <w:r w:rsidR="009B29C4" w:rsidRPr="00DE12A3">
        <w:rPr>
          <w:color w:val="auto"/>
          <w:sz w:val="24"/>
          <w:szCs w:val="24"/>
        </w:rPr>
        <w:t xml:space="preserve">numaralı alt bendi </w:t>
      </w:r>
      <w:r w:rsidR="00242DA0" w:rsidRPr="00DE12A3">
        <w:rPr>
          <w:color w:val="auto"/>
          <w:sz w:val="24"/>
          <w:szCs w:val="24"/>
        </w:rPr>
        <w:t xml:space="preserve">ila (c) </w:t>
      </w:r>
      <w:r w:rsidR="009B29C4" w:rsidRPr="00DE12A3">
        <w:rPr>
          <w:color w:val="auto"/>
          <w:sz w:val="24"/>
          <w:szCs w:val="24"/>
        </w:rPr>
        <w:t xml:space="preserve">numaralı alt </w:t>
      </w:r>
      <w:r w:rsidR="00242DA0" w:rsidRPr="00DE12A3">
        <w:rPr>
          <w:color w:val="auto"/>
          <w:sz w:val="24"/>
          <w:szCs w:val="24"/>
        </w:rPr>
        <w:t>betlerinde belirtilen tüm prosedürler kullanılmalıdır. Buna ek olarak, ölçülen su buharı esasında bir dengeleme algoritması kullanılıyorsa, su buharının tepki ve yükselme süresi ölçülmelidir. Bu durumda, kullanılan kalibrasyon gazlarından en az birinin (ancak NO</w:t>
      </w:r>
      <w:r w:rsidR="00242DA0" w:rsidRPr="00DE12A3">
        <w:rPr>
          <w:color w:val="auto"/>
          <w:sz w:val="24"/>
          <w:szCs w:val="24"/>
          <w:vertAlign w:val="subscript"/>
        </w:rPr>
        <w:t>2</w:t>
      </w:r>
      <w:r w:rsidR="00242DA0" w:rsidRPr="00DE12A3">
        <w:rPr>
          <w:color w:val="auto"/>
          <w:sz w:val="24"/>
          <w:szCs w:val="24"/>
        </w:rPr>
        <w:t xml:space="preserve"> değil) aşağıdaki şekilde nemlendirilmesi gerekir:</w:t>
      </w:r>
    </w:p>
    <w:p w14:paraId="1268257F" w14:textId="77777777" w:rsidR="002D7B36" w:rsidRPr="00DE12A3" w:rsidRDefault="00012B51" w:rsidP="00C917D6">
      <w:pPr>
        <w:pStyle w:val="Gvdemetni255"/>
        <w:shd w:val="clear" w:color="auto" w:fill="auto"/>
        <w:spacing w:before="120" w:after="120" w:line="240" w:lineRule="auto"/>
        <w:ind w:left="1134" w:hanging="1134"/>
        <w:rPr>
          <w:color w:val="auto"/>
          <w:sz w:val="24"/>
          <w:szCs w:val="24"/>
        </w:rPr>
      </w:pPr>
      <w:r w:rsidRPr="00DE12A3">
        <w:rPr>
          <w:color w:val="auto"/>
          <w:sz w:val="24"/>
          <w:szCs w:val="24"/>
        </w:rPr>
        <w:t xml:space="preserve">                  </w:t>
      </w:r>
      <w:r w:rsidR="00242DA0" w:rsidRPr="00DE12A3">
        <w:rPr>
          <w:color w:val="auto"/>
          <w:sz w:val="24"/>
          <w:szCs w:val="24"/>
        </w:rPr>
        <w:t>Sistem numune gazdan suyu gidermek için bir numune kurutucu kullanmazsa, gaz karışımı damıtılmış su içinde köpürtme yoluyla emisyon örneklemesi sırasında tahmin edilen en yüksek örnek yoğuşma noktasına kadar nemlendiren sızdırmaz bir kaptan geçirilerek ayar gazı nemlendirilmelidir. Sistem test sırasında numune kurutucu doğrulama kontrolünden geçen bir numune kurutucu kullanıyorsa, nemlendirilmiş gaz karışımı, 298 ± 10 K'da (25 ± 10 ° C) veya yoğuşma noktasından daha büyük bir sıcaklıkta, kapalı bir kapta damıtılmış su içinde köpürtülerek numune kurutucunun çıkış kısmından beslenebilir. Her halükarda, tankın çıkış kısmında, nemlendirilmiş gaz hat içindeki yerel yoğuşma noktasının en az 5 K (5 ° C) üzerinde bir sıcaklıkta tutulmalıdır. Bu doğrulama için analiz cihazları ile ilgili olmayan her gaz bileşenin gözardı edilebileceği unutulmamalıdır. Gaz bileşenlerden herhangi biri su dengelemeye karşı duyarlı değilse, bu analiz cihazlarının tepki kontrolü nemlendirme olmadan yapılabilir.</w:t>
      </w:r>
    </w:p>
    <w:p w14:paraId="40733C93" w14:textId="77777777" w:rsidR="002D7B36" w:rsidRPr="00DE12A3" w:rsidRDefault="00012B51" w:rsidP="00E20716">
      <w:pPr>
        <w:pStyle w:val="Gvdemetni255"/>
        <w:numPr>
          <w:ilvl w:val="2"/>
          <w:numId w:val="204"/>
        </w:numPr>
        <w:shd w:val="clear" w:color="auto" w:fill="auto"/>
        <w:spacing w:before="120" w:after="120" w:line="240" w:lineRule="auto"/>
        <w:ind w:left="1134" w:hanging="1134"/>
        <w:rPr>
          <w:color w:val="auto"/>
          <w:sz w:val="24"/>
          <w:szCs w:val="24"/>
        </w:rPr>
      </w:pPr>
      <w:r w:rsidRPr="00DE12A3">
        <w:rPr>
          <w:color w:val="auto"/>
          <w:sz w:val="24"/>
          <w:szCs w:val="24"/>
        </w:rPr>
        <w:t xml:space="preserve">      </w:t>
      </w:r>
      <w:r w:rsidR="00242DA0" w:rsidRPr="00DE12A3">
        <w:rPr>
          <w:color w:val="auto"/>
          <w:sz w:val="24"/>
          <w:szCs w:val="24"/>
        </w:rPr>
        <w:t>Motor parametrelerinin ve ortam koşullarının ölçümü</w:t>
      </w:r>
    </w:p>
    <w:p w14:paraId="1FE7992A" w14:textId="77777777" w:rsidR="002D7B36" w:rsidRPr="00DE12A3" w:rsidRDefault="00012B51" w:rsidP="00C917D6">
      <w:pPr>
        <w:pStyle w:val="Gvdemetni255"/>
        <w:shd w:val="clear" w:color="auto" w:fill="auto"/>
        <w:spacing w:before="120" w:after="120" w:line="240" w:lineRule="auto"/>
        <w:ind w:left="1134" w:hanging="1134"/>
        <w:rPr>
          <w:color w:val="auto"/>
          <w:sz w:val="24"/>
          <w:szCs w:val="24"/>
        </w:rPr>
      </w:pPr>
      <w:r w:rsidRPr="00DE12A3">
        <w:rPr>
          <w:color w:val="auto"/>
          <w:sz w:val="24"/>
          <w:szCs w:val="24"/>
        </w:rPr>
        <w:t xml:space="preserve">                 </w:t>
      </w:r>
      <w:r w:rsidR="00242DA0" w:rsidRPr="00DE12A3">
        <w:rPr>
          <w:color w:val="auto"/>
          <w:sz w:val="24"/>
          <w:szCs w:val="24"/>
        </w:rPr>
        <w:t>Tanınmış ulusal veya uluslararası standartlara göre takip edilebilir iç kalite prosedürleri uygulanmalıdır. Aksi takdirde, aşağıdaki prosedürler uygulanır.</w:t>
      </w:r>
    </w:p>
    <w:p w14:paraId="12EB97DC" w14:textId="77777777" w:rsidR="002D7B36" w:rsidRPr="00DE12A3" w:rsidRDefault="00012B51" w:rsidP="00E20716">
      <w:pPr>
        <w:pStyle w:val="Gvdemetni255"/>
        <w:numPr>
          <w:ilvl w:val="0"/>
          <w:numId w:val="205"/>
        </w:numPr>
        <w:tabs>
          <w:tab w:val="left" w:pos="851"/>
        </w:tabs>
        <w:spacing w:before="120" w:after="120" w:line="240" w:lineRule="auto"/>
        <w:ind w:left="1134" w:hanging="1134"/>
        <w:rPr>
          <w:color w:val="auto"/>
          <w:sz w:val="24"/>
          <w:szCs w:val="24"/>
        </w:rPr>
      </w:pPr>
      <w:r w:rsidRPr="00DE12A3">
        <w:rPr>
          <w:color w:val="auto"/>
          <w:sz w:val="24"/>
          <w:szCs w:val="24"/>
        </w:rPr>
        <w:t xml:space="preserve">    </w:t>
      </w:r>
      <w:r w:rsidR="00242DA0" w:rsidRPr="00DE12A3">
        <w:rPr>
          <w:color w:val="auto"/>
          <w:sz w:val="24"/>
          <w:szCs w:val="24"/>
        </w:rPr>
        <w:t>Tork kalibrasyonu</w:t>
      </w:r>
    </w:p>
    <w:p w14:paraId="732D7DDA" w14:textId="77777777" w:rsidR="002D7B36" w:rsidRPr="00DE12A3" w:rsidRDefault="00242DA0" w:rsidP="00E20716">
      <w:pPr>
        <w:pStyle w:val="Gvdemetni255"/>
        <w:numPr>
          <w:ilvl w:val="0"/>
          <w:numId w:val="206"/>
        </w:numPr>
        <w:tabs>
          <w:tab w:val="left" w:pos="851"/>
        </w:tabs>
        <w:spacing w:before="120" w:after="120" w:line="240" w:lineRule="auto"/>
        <w:ind w:left="1134" w:hanging="1134"/>
        <w:rPr>
          <w:color w:val="auto"/>
          <w:sz w:val="24"/>
          <w:szCs w:val="24"/>
        </w:rPr>
      </w:pPr>
      <w:r w:rsidRPr="00DE12A3">
        <w:rPr>
          <w:color w:val="auto"/>
          <w:sz w:val="24"/>
          <w:szCs w:val="24"/>
        </w:rPr>
        <w:t>Kapsam ve sıklık</w:t>
      </w:r>
    </w:p>
    <w:p w14:paraId="33421779" w14:textId="77777777" w:rsidR="002D7B36" w:rsidRPr="00DE12A3" w:rsidRDefault="00012B51" w:rsidP="00C917D6">
      <w:pPr>
        <w:pStyle w:val="Gvdemetni255"/>
        <w:spacing w:before="120" w:after="120" w:line="240" w:lineRule="auto"/>
        <w:ind w:left="1134" w:hanging="1134"/>
        <w:rPr>
          <w:color w:val="auto"/>
          <w:sz w:val="24"/>
          <w:szCs w:val="24"/>
        </w:rPr>
      </w:pPr>
      <w:r w:rsidRPr="00DE12A3">
        <w:rPr>
          <w:color w:val="auto"/>
          <w:sz w:val="24"/>
          <w:szCs w:val="24"/>
        </w:rPr>
        <w:t xml:space="preserve">                  </w:t>
      </w:r>
      <w:r w:rsidR="00242DA0" w:rsidRPr="00DE12A3">
        <w:rPr>
          <w:color w:val="auto"/>
          <w:sz w:val="24"/>
          <w:szCs w:val="24"/>
        </w:rPr>
        <w:t>Dinamometre tork ölçümü dönüştürücüleri ve sistemleri de dahil olmak üzere tüm tork ölçüm sistemleri, ilk montajda ve büyük bakım sonrasında, diğerlerinin yanı sıra, ölü ağırlık ile birleştirilmiş referans kuvvet veya kaldıraç-kolu uzunluğu kullanılarak kalibre edilmelidir. Kalibrasyonu tekrarlamak için iyi mühendislik kararı kullanılmalıdır. Tork sensörünün çıktısını doğrusallaştırmak için tork dönüştürücü imalatçısının talimatlarına uyulmalıdır. Diğer kalibrasyon yöntemlerine izin verilir.</w:t>
      </w:r>
    </w:p>
    <w:p w14:paraId="098B396E" w14:textId="77777777" w:rsidR="002D7B36" w:rsidRPr="00DE12A3" w:rsidRDefault="00242DA0" w:rsidP="00E20716">
      <w:pPr>
        <w:pStyle w:val="Gvdemetni255"/>
        <w:numPr>
          <w:ilvl w:val="0"/>
          <w:numId w:val="206"/>
        </w:numPr>
        <w:spacing w:before="120" w:after="120" w:line="240" w:lineRule="auto"/>
        <w:ind w:left="1134" w:hanging="1134"/>
        <w:rPr>
          <w:color w:val="auto"/>
          <w:sz w:val="24"/>
          <w:szCs w:val="24"/>
        </w:rPr>
      </w:pPr>
      <w:r w:rsidRPr="00DE12A3">
        <w:rPr>
          <w:color w:val="auto"/>
          <w:sz w:val="24"/>
          <w:szCs w:val="24"/>
        </w:rPr>
        <w:t>Ölü ağırlık kalibrasyonu</w:t>
      </w:r>
    </w:p>
    <w:p w14:paraId="3D26D47A" w14:textId="62386660" w:rsidR="002D7B36" w:rsidRPr="00DE12A3" w:rsidRDefault="00012B51" w:rsidP="00C917D6">
      <w:pPr>
        <w:pStyle w:val="Gvdemetni255"/>
        <w:spacing w:before="120" w:after="120" w:line="240" w:lineRule="auto"/>
        <w:ind w:left="1134" w:hanging="1134"/>
        <w:rPr>
          <w:color w:val="auto"/>
          <w:sz w:val="24"/>
          <w:szCs w:val="24"/>
        </w:rPr>
      </w:pPr>
      <w:r w:rsidRPr="00DE12A3">
        <w:rPr>
          <w:color w:val="auto"/>
          <w:sz w:val="24"/>
          <w:szCs w:val="24"/>
        </w:rPr>
        <w:t xml:space="preserve">                  </w:t>
      </w:r>
      <w:r w:rsidR="00242DA0" w:rsidRPr="00DE12A3">
        <w:rPr>
          <w:color w:val="auto"/>
          <w:sz w:val="24"/>
          <w:szCs w:val="24"/>
        </w:rPr>
        <w:t xml:space="preserve">Bu teknik, bilinen ağırlıkları bir kaldıraç kolu boyunca bilinen bir mesafede asarak bilinen bir kuvveti uygular. Ağırlığın kaldıraç kolunun yerçekimine dik (yani yatay) ve dinamometrenin dönme eksenine dik olduğundan emin olunmalıdır. Her geçerli tork-ölçüm aralığı için ağırlık miktarlarını aralık boyunca eşit aralıklarla ayırarak en az altı kalibrasyon-ağırlık kombinasyonu uygulanmalıdır. Sürtünme statik histerezisini azaltmak için dinamometre kalibrasyon sırasında sallanmalı veya döndürülmelidir. Her ağırlığın kuvveti, uluslararası olarak takip edilebilir kütlesinin </w:t>
      </w:r>
      <w:r w:rsidR="009B29C4" w:rsidRPr="00DE12A3">
        <w:rPr>
          <w:color w:val="auto"/>
          <w:sz w:val="24"/>
          <w:szCs w:val="24"/>
        </w:rPr>
        <w:t>d</w:t>
      </w:r>
      <w:r w:rsidR="00242DA0" w:rsidRPr="00DE12A3">
        <w:rPr>
          <w:color w:val="auto"/>
          <w:sz w:val="24"/>
          <w:szCs w:val="24"/>
        </w:rPr>
        <w:t>ünyanın yerel yerçekimi ivmesi ile çarpımıyla belirlenir.</w:t>
      </w:r>
    </w:p>
    <w:p w14:paraId="15B229E9" w14:textId="77777777" w:rsidR="002D7B36" w:rsidRPr="00DE12A3" w:rsidRDefault="00242DA0" w:rsidP="00E20716">
      <w:pPr>
        <w:pStyle w:val="Gvdemetni255"/>
        <w:numPr>
          <w:ilvl w:val="0"/>
          <w:numId w:val="206"/>
        </w:numPr>
        <w:spacing w:before="120" w:after="120" w:line="240" w:lineRule="auto"/>
        <w:ind w:left="1134" w:hanging="1134"/>
        <w:rPr>
          <w:color w:val="auto"/>
          <w:sz w:val="24"/>
          <w:szCs w:val="24"/>
        </w:rPr>
      </w:pPr>
      <w:r w:rsidRPr="00DE12A3">
        <w:rPr>
          <w:color w:val="auto"/>
          <w:sz w:val="24"/>
          <w:szCs w:val="24"/>
        </w:rPr>
        <w:t>Deformasyon ölçer veya yük halkası kalibrasyonu</w:t>
      </w:r>
    </w:p>
    <w:p w14:paraId="6EFE7E19" w14:textId="77777777" w:rsidR="002D7B36" w:rsidRPr="00DE12A3" w:rsidRDefault="00012B51" w:rsidP="00C917D6">
      <w:pPr>
        <w:pStyle w:val="Gvdemetni255"/>
        <w:shd w:val="clear" w:color="auto" w:fill="auto"/>
        <w:spacing w:before="120" w:after="120" w:line="240" w:lineRule="auto"/>
        <w:ind w:left="1134" w:hanging="1134"/>
        <w:rPr>
          <w:color w:val="auto"/>
          <w:sz w:val="24"/>
          <w:szCs w:val="24"/>
        </w:rPr>
      </w:pPr>
      <w:r w:rsidRPr="00DE12A3">
        <w:rPr>
          <w:color w:val="auto"/>
          <w:sz w:val="24"/>
          <w:szCs w:val="24"/>
        </w:rPr>
        <w:t xml:space="preserve">                  </w:t>
      </w:r>
      <w:r w:rsidR="00242DA0" w:rsidRPr="00DE12A3">
        <w:rPr>
          <w:color w:val="auto"/>
          <w:sz w:val="24"/>
          <w:szCs w:val="24"/>
        </w:rPr>
        <w:t xml:space="preserve">Bu teknik, ya ağırlıkları bir kaldıraç koluna asmak suretiyle (bu ağırlıklar ve kaldıraç kolu uzunlukları referans tork tespitinin bir parçası olarak kullanılmaz) ya da dinamometreyi farklı torklarda çalıştırarak kuvvet uygular. Her geçerli </w:t>
      </w:r>
      <w:r w:rsidR="00242DA0" w:rsidRPr="00DE12A3">
        <w:rPr>
          <w:color w:val="auto"/>
          <w:sz w:val="24"/>
          <w:szCs w:val="24"/>
        </w:rPr>
        <w:lastRenderedPageBreak/>
        <w:t>tork-ölçüm aralığı için kuvvet miktarlarını aralık boyunca eşit aralıklarla ayırarak en az altı kuvvet kombinasyonu uygulanmalıdır. Sürtünme statik histerezisini azaltmak için dinamometre kalibrasyon sırasında sallanmalı veya döndürülmelidir. Bu durumda, referans tork, referans ölçüm cihazından gelen kuvvet çıktısının (deformasyon ölçer veya yük halkası gibi), dinamometrenin dönme eksenine kuvvet ölçümünün yapıldığı noktadan ölçülen efektif kaldıraç kolu uzunluğu ile çarpılmasıyla belirlenir. Bu uzunluğun, referans sayacının ölçüm eksenine dik ve dinamometrenin dönme eksenine dik olarak ölçülmesi sağlanmalıdır.</w:t>
      </w:r>
    </w:p>
    <w:p w14:paraId="34387699" w14:textId="77777777" w:rsidR="002D7B36" w:rsidRPr="00DE12A3" w:rsidRDefault="002D7B36" w:rsidP="00E20716">
      <w:pPr>
        <w:pStyle w:val="ListeParagraf"/>
        <w:numPr>
          <w:ilvl w:val="0"/>
          <w:numId w:val="207"/>
        </w:numPr>
        <w:tabs>
          <w:tab w:val="left" w:pos="3139"/>
        </w:tabs>
        <w:spacing w:before="120" w:after="120"/>
        <w:ind w:left="1134" w:hanging="1134"/>
        <w:contextualSpacing w:val="0"/>
        <w:jc w:val="both"/>
        <w:rPr>
          <w:rFonts w:eastAsia="Times New Roman" w:cs="Times New Roman"/>
          <w:vanish/>
          <w:color w:val="auto"/>
          <w:spacing w:val="3"/>
        </w:rPr>
      </w:pPr>
    </w:p>
    <w:p w14:paraId="752AAC9C" w14:textId="77777777" w:rsidR="002D7B36" w:rsidRPr="00DE12A3" w:rsidRDefault="00242DA0" w:rsidP="00E20716">
      <w:pPr>
        <w:pStyle w:val="Gvdemetni255"/>
        <w:numPr>
          <w:ilvl w:val="3"/>
          <w:numId w:val="207"/>
        </w:numPr>
        <w:shd w:val="clear" w:color="auto" w:fill="auto"/>
        <w:spacing w:before="120" w:after="120" w:line="240" w:lineRule="auto"/>
        <w:ind w:left="1134" w:hanging="1134"/>
        <w:rPr>
          <w:color w:val="auto"/>
          <w:sz w:val="24"/>
          <w:szCs w:val="24"/>
        </w:rPr>
      </w:pPr>
      <w:r w:rsidRPr="00DE12A3">
        <w:rPr>
          <w:color w:val="auto"/>
          <w:sz w:val="24"/>
          <w:szCs w:val="24"/>
        </w:rPr>
        <w:t xml:space="preserve">  </w:t>
      </w:r>
      <w:r w:rsidR="00012B51" w:rsidRPr="00DE12A3">
        <w:rPr>
          <w:color w:val="auto"/>
          <w:sz w:val="24"/>
          <w:szCs w:val="24"/>
        </w:rPr>
        <w:t xml:space="preserve">    </w:t>
      </w:r>
      <w:r w:rsidRPr="00DE12A3">
        <w:rPr>
          <w:color w:val="auto"/>
          <w:sz w:val="24"/>
          <w:szCs w:val="24"/>
        </w:rPr>
        <w:t>Basınç, sıcaklık ve yoğuşma noktası kalibrasyonu</w:t>
      </w:r>
    </w:p>
    <w:p w14:paraId="012CE57F" w14:textId="77777777" w:rsidR="002D7B36" w:rsidRPr="00DE12A3" w:rsidRDefault="00012B51" w:rsidP="00C917D6">
      <w:pPr>
        <w:pStyle w:val="Gvdemetni255"/>
        <w:shd w:val="clear" w:color="auto" w:fill="auto"/>
        <w:spacing w:before="120" w:after="120" w:line="240" w:lineRule="auto"/>
        <w:ind w:left="1134" w:hanging="1134"/>
        <w:rPr>
          <w:color w:val="auto"/>
          <w:sz w:val="24"/>
          <w:szCs w:val="24"/>
        </w:rPr>
      </w:pPr>
      <w:r w:rsidRPr="00DE12A3">
        <w:rPr>
          <w:color w:val="auto"/>
          <w:sz w:val="24"/>
          <w:szCs w:val="24"/>
        </w:rPr>
        <w:t xml:space="preserve">                  </w:t>
      </w:r>
      <w:r w:rsidR="00242DA0" w:rsidRPr="00DE12A3">
        <w:rPr>
          <w:color w:val="auto"/>
          <w:sz w:val="24"/>
          <w:szCs w:val="24"/>
        </w:rPr>
        <w:t>Cihazlar ilk montajda basınç, sıcaklık ve yoğuşma noktası ölçümü için kalibre edilmelidir. Kalibrasyonu tekrarlamak için cihaz imalatçısının talimatlarına uyulmalı ve iyi mühendislik kararı kullanılmalıdır.</w:t>
      </w:r>
    </w:p>
    <w:p w14:paraId="326CE053" w14:textId="77777777" w:rsidR="002D7B36" w:rsidRPr="00DE12A3" w:rsidRDefault="00012B51" w:rsidP="00C917D6">
      <w:pPr>
        <w:pStyle w:val="Gvdemetni255"/>
        <w:shd w:val="clear" w:color="auto" w:fill="auto"/>
        <w:spacing w:before="120" w:after="120" w:line="240" w:lineRule="auto"/>
        <w:ind w:left="1134" w:hanging="1134"/>
        <w:rPr>
          <w:color w:val="auto"/>
          <w:sz w:val="24"/>
          <w:szCs w:val="24"/>
        </w:rPr>
      </w:pPr>
      <w:r w:rsidRPr="00DE12A3">
        <w:rPr>
          <w:color w:val="auto"/>
          <w:sz w:val="24"/>
          <w:szCs w:val="24"/>
        </w:rPr>
        <w:t xml:space="preserve">                  </w:t>
      </w:r>
      <w:r w:rsidR="00242DA0" w:rsidRPr="00DE12A3">
        <w:rPr>
          <w:color w:val="auto"/>
          <w:sz w:val="24"/>
          <w:szCs w:val="24"/>
        </w:rPr>
        <w:t>Termokupl, RTD veya termistör sensörlerine sahip sıcaklık ölçüm sistemleri için, doğrusallık kontrolü için sistemin kalibrasyonu 8.1.4.4 bendinde açıklandığı şekilde yapılmalıdır.</w:t>
      </w:r>
    </w:p>
    <w:p w14:paraId="15E6A9EC" w14:textId="77777777" w:rsidR="002D7B36" w:rsidRPr="00DE12A3" w:rsidRDefault="00012B51" w:rsidP="00E20716">
      <w:pPr>
        <w:pStyle w:val="Gvdemetni255"/>
        <w:numPr>
          <w:ilvl w:val="0"/>
          <w:numId w:val="208"/>
        </w:numPr>
        <w:shd w:val="clear" w:color="auto" w:fill="auto"/>
        <w:spacing w:before="120" w:after="120" w:line="240" w:lineRule="auto"/>
        <w:ind w:left="1134" w:hanging="1134"/>
        <w:rPr>
          <w:color w:val="auto"/>
          <w:sz w:val="24"/>
          <w:szCs w:val="24"/>
        </w:rPr>
      </w:pPr>
      <w:r w:rsidRPr="00DE12A3">
        <w:rPr>
          <w:color w:val="auto"/>
          <w:sz w:val="24"/>
          <w:szCs w:val="24"/>
        </w:rPr>
        <w:t xml:space="preserve">       </w:t>
      </w:r>
      <w:r w:rsidR="00242DA0" w:rsidRPr="00DE12A3">
        <w:rPr>
          <w:color w:val="auto"/>
          <w:sz w:val="24"/>
          <w:szCs w:val="24"/>
        </w:rPr>
        <w:t>Akışla ilgili ölçümler</w:t>
      </w:r>
    </w:p>
    <w:p w14:paraId="4D117293" w14:textId="77777777" w:rsidR="002D7B36" w:rsidRPr="00DE12A3" w:rsidRDefault="00242DA0" w:rsidP="00C917D6">
      <w:pPr>
        <w:pStyle w:val="Gvdemetni255"/>
        <w:shd w:val="clear" w:color="auto" w:fill="auto"/>
        <w:spacing w:before="120" w:after="120" w:line="240" w:lineRule="auto"/>
        <w:ind w:left="1134" w:hanging="1134"/>
        <w:rPr>
          <w:color w:val="auto"/>
          <w:sz w:val="24"/>
          <w:szCs w:val="24"/>
        </w:rPr>
      </w:pPr>
      <w:r w:rsidRPr="00DE12A3">
        <w:rPr>
          <w:rStyle w:val="Gvdemetni2585pt0ptbolukbraklyor3"/>
          <w:color w:val="auto"/>
          <w:sz w:val="24"/>
          <w:szCs w:val="24"/>
          <w:lang w:val="tr-TR"/>
        </w:rPr>
        <w:t>8</w:t>
      </w:r>
      <w:r w:rsidRPr="00DE12A3">
        <w:rPr>
          <w:color w:val="auto"/>
          <w:sz w:val="24"/>
          <w:szCs w:val="24"/>
        </w:rPr>
        <w:t>.1.8.1.</w:t>
      </w:r>
      <w:r w:rsidRPr="00DE12A3">
        <w:rPr>
          <w:color w:val="auto"/>
          <w:sz w:val="24"/>
          <w:szCs w:val="24"/>
        </w:rPr>
        <w:tab/>
        <w:t>Yakıt akışı kalibrasyonu</w:t>
      </w:r>
    </w:p>
    <w:p w14:paraId="31655D90" w14:textId="77777777" w:rsidR="002D7B36" w:rsidRPr="00DE12A3" w:rsidRDefault="00012B51" w:rsidP="00C917D6">
      <w:pPr>
        <w:pStyle w:val="Gvdemetni255"/>
        <w:shd w:val="clear" w:color="auto" w:fill="auto"/>
        <w:spacing w:before="120" w:after="120" w:line="240" w:lineRule="auto"/>
        <w:ind w:left="1134" w:hanging="1134"/>
        <w:rPr>
          <w:color w:val="auto"/>
          <w:sz w:val="24"/>
          <w:szCs w:val="24"/>
        </w:rPr>
      </w:pPr>
      <w:r w:rsidRPr="00DE12A3">
        <w:rPr>
          <w:color w:val="auto"/>
          <w:sz w:val="24"/>
          <w:szCs w:val="24"/>
        </w:rPr>
        <w:t xml:space="preserve">                  </w:t>
      </w:r>
      <w:r w:rsidR="00242DA0" w:rsidRPr="00DE12A3">
        <w:rPr>
          <w:color w:val="auto"/>
          <w:sz w:val="24"/>
          <w:szCs w:val="24"/>
        </w:rPr>
        <w:t>Yakıt sayaçları ilk montajda kalibre edilmelidir. Kalibrasyonu tekrarlamak için cihaz imalatçısının talimatlarına uyulmalı ve iyi mühendislik kararı kullanılmalıdır.</w:t>
      </w:r>
    </w:p>
    <w:p w14:paraId="18C32B8A" w14:textId="77777777" w:rsidR="002D7B36" w:rsidRPr="00DE12A3" w:rsidRDefault="00242DA0" w:rsidP="00E20716">
      <w:pPr>
        <w:pStyle w:val="Gvdemetni255"/>
        <w:numPr>
          <w:ilvl w:val="0"/>
          <w:numId w:val="209"/>
        </w:numPr>
        <w:shd w:val="clear" w:color="auto" w:fill="FFFFFF" w:themeFill="background1"/>
        <w:spacing w:before="120" w:after="120" w:line="240" w:lineRule="auto"/>
        <w:ind w:left="1134" w:hanging="1134"/>
        <w:rPr>
          <w:color w:val="auto"/>
          <w:sz w:val="24"/>
          <w:szCs w:val="24"/>
        </w:rPr>
      </w:pPr>
      <w:r w:rsidRPr="00DE12A3">
        <w:rPr>
          <w:color w:val="auto"/>
          <w:sz w:val="24"/>
          <w:szCs w:val="24"/>
        </w:rPr>
        <w:t>Emme havası akışı kalibrasyonu</w:t>
      </w:r>
    </w:p>
    <w:p w14:paraId="126A18E3" w14:textId="77777777" w:rsidR="002D7B36" w:rsidRPr="00DE12A3" w:rsidRDefault="00012B51" w:rsidP="00C917D6">
      <w:pPr>
        <w:pStyle w:val="Gvdemetni255"/>
        <w:shd w:val="clear" w:color="auto" w:fill="FFFFFF" w:themeFill="background1"/>
        <w:spacing w:before="120" w:after="120" w:line="240" w:lineRule="auto"/>
        <w:ind w:left="1134" w:hanging="1134"/>
        <w:rPr>
          <w:color w:val="auto"/>
          <w:sz w:val="24"/>
          <w:szCs w:val="24"/>
        </w:rPr>
      </w:pPr>
      <w:r w:rsidRPr="00DE12A3">
        <w:rPr>
          <w:color w:val="auto"/>
          <w:sz w:val="24"/>
          <w:szCs w:val="24"/>
        </w:rPr>
        <w:t xml:space="preserve">                  </w:t>
      </w:r>
      <w:r w:rsidR="00242DA0" w:rsidRPr="00DE12A3">
        <w:rPr>
          <w:color w:val="auto"/>
          <w:sz w:val="24"/>
          <w:szCs w:val="24"/>
        </w:rPr>
        <w:t>Emme havası sayaçları ilk montajda kalibre edilmelidir. Kalibrasyonu tekrarlamak için cihaz imalatçısının talimatlarına uyulmalı ve iyi mühendislik kararı kullanılmalıdır.</w:t>
      </w:r>
    </w:p>
    <w:p w14:paraId="0B498872" w14:textId="77777777" w:rsidR="002D7B36" w:rsidRPr="00DE12A3" w:rsidRDefault="00242DA0" w:rsidP="00E20716">
      <w:pPr>
        <w:pStyle w:val="Gvdemetni255"/>
        <w:numPr>
          <w:ilvl w:val="0"/>
          <w:numId w:val="209"/>
        </w:numPr>
        <w:shd w:val="clear" w:color="auto" w:fill="FFFFFF" w:themeFill="background1"/>
        <w:spacing w:before="120" w:after="120" w:line="240" w:lineRule="auto"/>
        <w:ind w:left="1134" w:hanging="1134"/>
        <w:rPr>
          <w:color w:val="auto"/>
          <w:sz w:val="24"/>
          <w:szCs w:val="24"/>
        </w:rPr>
      </w:pPr>
      <w:r w:rsidRPr="00DE12A3">
        <w:rPr>
          <w:color w:val="auto"/>
          <w:sz w:val="24"/>
          <w:szCs w:val="24"/>
        </w:rPr>
        <w:t>Egzoz gazı akışı kalibrasyonu</w:t>
      </w:r>
    </w:p>
    <w:p w14:paraId="1F0437EF" w14:textId="77777777" w:rsidR="002D7B36" w:rsidRPr="00DE12A3" w:rsidRDefault="00012B51" w:rsidP="00C917D6">
      <w:pPr>
        <w:pStyle w:val="Gvdemetni255"/>
        <w:shd w:val="clear" w:color="auto" w:fill="FFFFFF" w:themeFill="background1"/>
        <w:spacing w:before="120" w:after="120" w:line="240" w:lineRule="auto"/>
        <w:ind w:left="1134" w:hanging="1134"/>
        <w:rPr>
          <w:color w:val="auto"/>
          <w:sz w:val="24"/>
          <w:szCs w:val="24"/>
        </w:rPr>
      </w:pPr>
      <w:r w:rsidRPr="00DE12A3">
        <w:rPr>
          <w:color w:val="auto"/>
          <w:sz w:val="24"/>
          <w:szCs w:val="24"/>
        </w:rPr>
        <w:t xml:space="preserve">                  </w:t>
      </w:r>
      <w:r w:rsidR="00242DA0" w:rsidRPr="00DE12A3">
        <w:rPr>
          <w:color w:val="auto"/>
          <w:sz w:val="24"/>
          <w:szCs w:val="24"/>
        </w:rPr>
        <w:t>Egzoz gazı sayaçları ilk montajda kalibre edilmelidir. Kalibrasyonu tekrarlamak için cihaz imalatçısının talimatlarına uyulmalı ve iyi mühendislik kararı kullanılmalıdır.</w:t>
      </w:r>
    </w:p>
    <w:p w14:paraId="7FE2A057" w14:textId="77777777" w:rsidR="002D7B36" w:rsidRPr="00DE12A3" w:rsidRDefault="00242DA0" w:rsidP="00E20716">
      <w:pPr>
        <w:pStyle w:val="Gvdemetni255"/>
        <w:numPr>
          <w:ilvl w:val="0"/>
          <w:numId w:val="209"/>
        </w:numPr>
        <w:shd w:val="clear" w:color="auto" w:fill="FFFFFF" w:themeFill="background1"/>
        <w:spacing w:before="120" w:after="120" w:line="240" w:lineRule="auto"/>
        <w:ind w:left="1134" w:hanging="1134"/>
        <w:rPr>
          <w:color w:val="auto"/>
          <w:sz w:val="24"/>
          <w:szCs w:val="24"/>
        </w:rPr>
      </w:pPr>
      <w:r w:rsidRPr="00DE12A3">
        <w:rPr>
          <w:color w:val="auto"/>
          <w:sz w:val="24"/>
          <w:szCs w:val="24"/>
        </w:rPr>
        <w:t>Seyreltilmiş egzoz gazı akışı (CVS) kalibrasyonu</w:t>
      </w:r>
    </w:p>
    <w:p w14:paraId="342E259D" w14:textId="77777777" w:rsidR="002D7B36" w:rsidRPr="00DE12A3" w:rsidRDefault="00242DA0" w:rsidP="00E20716">
      <w:pPr>
        <w:pStyle w:val="Gvdemetni255"/>
        <w:numPr>
          <w:ilvl w:val="0"/>
          <w:numId w:val="210"/>
        </w:numPr>
        <w:shd w:val="clear" w:color="auto" w:fill="FFFFFF" w:themeFill="background1"/>
        <w:tabs>
          <w:tab w:val="left" w:pos="851"/>
        </w:tabs>
        <w:spacing w:before="120" w:after="120" w:line="240" w:lineRule="auto"/>
        <w:ind w:left="1134" w:hanging="1134"/>
        <w:rPr>
          <w:color w:val="auto"/>
          <w:sz w:val="24"/>
          <w:szCs w:val="24"/>
        </w:rPr>
      </w:pPr>
      <w:r w:rsidRPr="00DE12A3">
        <w:rPr>
          <w:color w:val="auto"/>
          <w:sz w:val="24"/>
          <w:szCs w:val="24"/>
        </w:rPr>
        <w:t>Genel bakış</w:t>
      </w:r>
    </w:p>
    <w:p w14:paraId="5009D104" w14:textId="0F77690F" w:rsidR="009B29C4" w:rsidRPr="00DE12A3" w:rsidRDefault="00012B51" w:rsidP="00E20716">
      <w:pPr>
        <w:pStyle w:val="Gvdemetni255"/>
        <w:numPr>
          <w:ilvl w:val="0"/>
          <w:numId w:val="211"/>
        </w:numPr>
        <w:shd w:val="clear" w:color="auto" w:fill="FFFFFF" w:themeFill="background1"/>
        <w:spacing w:before="120" w:after="120" w:line="240" w:lineRule="auto"/>
        <w:ind w:left="1701" w:hanging="567"/>
        <w:rPr>
          <w:color w:val="auto"/>
          <w:sz w:val="24"/>
          <w:szCs w:val="24"/>
        </w:rPr>
      </w:pPr>
      <w:r w:rsidRPr="00DE12A3">
        <w:rPr>
          <w:color w:val="auto"/>
          <w:sz w:val="24"/>
          <w:szCs w:val="24"/>
        </w:rPr>
        <w:t xml:space="preserve">    </w:t>
      </w:r>
      <w:r w:rsidR="00242DA0" w:rsidRPr="00DE12A3">
        <w:rPr>
          <w:color w:val="auto"/>
          <w:sz w:val="24"/>
          <w:szCs w:val="24"/>
        </w:rPr>
        <w:t xml:space="preserve">Bu </w:t>
      </w:r>
      <w:r w:rsidR="009947CD" w:rsidRPr="00DE12A3">
        <w:rPr>
          <w:color w:val="auto"/>
          <w:sz w:val="24"/>
          <w:szCs w:val="24"/>
        </w:rPr>
        <w:t>B</w:t>
      </w:r>
      <w:r w:rsidR="00242DA0" w:rsidRPr="00DE12A3">
        <w:rPr>
          <w:color w:val="auto"/>
          <w:sz w:val="24"/>
          <w:szCs w:val="24"/>
        </w:rPr>
        <w:t>ölümde, seyreltik egzoz gazı sabit hacimli örnekleme (CVS) sistemleri için sayaçların nasıl kalibre edileceği açıklanmaktadır</w:t>
      </w:r>
      <w:r w:rsidR="009B29C4" w:rsidRPr="00DE12A3">
        <w:rPr>
          <w:color w:val="auto"/>
          <w:sz w:val="24"/>
          <w:szCs w:val="24"/>
        </w:rPr>
        <w:t>.</w:t>
      </w:r>
    </w:p>
    <w:p w14:paraId="7FFDE964" w14:textId="5F8CB343" w:rsidR="002D7B36" w:rsidRPr="00DE12A3" w:rsidRDefault="009B29C4" w:rsidP="00E20716">
      <w:pPr>
        <w:pStyle w:val="Gvdemetni255"/>
        <w:numPr>
          <w:ilvl w:val="0"/>
          <w:numId w:val="211"/>
        </w:numPr>
        <w:shd w:val="clear" w:color="auto" w:fill="FFFFFF" w:themeFill="background1"/>
        <w:spacing w:before="120" w:after="120" w:line="240" w:lineRule="auto"/>
        <w:ind w:left="1701" w:hanging="567"/>
        <w:rPr>
          <w:color w:val="auto"/>
          <w:sz w:val="24"/>
          <w:szCs w:val="24"/>
        </w:rPr>
      </w:pPr>
      <w:r w:rsidRPr="00DE12A3" w:rsidDel="009B29C4">
        <w:rPr>
          <w:color w:val="auto"/>
          <w:sz w:val="24"/>
          <w:szCs w:val="24"/>
        </w:rPr>
        <w:t xml:space="preserve"> </w:t>
      </w:r>
      <w:r w:rsidR="00242DA0" w:rsidRPr="00DE12A3">
        <w:rPr>
          <w:color w:val="auto"/>
          <w:sz w:val="24"/>
          <w:szCs w:val="24"/>
        </w:rPr>
        <w:t>Bu kalibrasyon, sayaç nihai konumuna monte edilirken gerçekleştirilmelidir. Bu kalibrasyon, sayacın girişindeki veya çıkışındaki akış konfigürasyonunun herhangi bir kısmının, sayacın kalibrasyonunu etkileyebilecek şekilde değiştirilmesi sonrasında yapılmalıdır. Bu kalibrasyon, ilk CVS montajında ve ne zaman düzeltici faaliyet 8.1.8.5 bendindeki seyreltilmiş egzoz gazı akışı doğrulamasının (örn</w:t>
      </w:r>
      <w:r w:rsidRPr="00DE12A3">
        <w:rPr>
          <w:color w:val="auto"/>
          <w:sz w:val="24"/>
          <w:szCs w:val="24"/>
        </w:rPr>
        <w:t>eğin</w:t>
      </w:r>
      <w:r w:rsidR="00242DA0" w:rsidRPr="00DE12A3">
        <w:rPr>
          <w:color w:val="auto"/>
          <w:sz w:val="24"/>
          <w:szCs w:val="24"/>
        </w:rPr>
        <w:t xml:space="preserve"> </w:t>
      </w:r>
      <w:r w:rsidRPr="00DE12A3">
        <w:rPr>
          <w:color w:val="auto"/>
          <w:sz w:val="24"/>
          <w:szCs w:val="24"/>
        </w:rPr>
        <w:t>p</w:t>
      </w:r>
      <w:r w:rsidR="00242DA0" w:rsidRPr="00DE12A3">
        <w:rPr>
          <w:color w:val="auto"/>
          <w:sz w:val="24"/>
          <w:szCs w:val="24"/>
        </w:rPr>
        <w:t>ropan kontrolü) sağlanmasına ilişkin bir arızayı çözmediğinde yapılmalıdır</w:t>
      </w:r>
      <w:r w:rsidRPr="00DE12A3">
        <w:rPr>
          <w:color w:val="auto"/>
          <w:sz w:val="24"/>
          <w:szCs w:val="24"/>
        </w:rPr>
        <w:t>.</w:t>
      </w:r>
    </w:p>
    <w:p w14:paraId="4AEFA32E" w14:textId="33C600C2" w:rsidR="002D7B36" w:rsidRPr="00DE12A3" w:rsidRDefault="00012B51" w:rsidP="00E20716">
      <w:pPr>
        <w:pStyle w:val="Gvdemetni255"/>
        <w:numPr>
          <w:ilvl w:val="0"/>
          <w:numId w:val="211"/>
        </w:numPr>
        <w:shd w:val="clear" w:color="auto" w:fill="FFFFFF" w:themeFill="background1"/>
        <w:spacing w:before="120" w:after="120" w:line="240" w:lineRule="auto"/>
        <w:ind w:left="1701" w:hanging="567"/>
        <w:rPr>
          <w:color w:val="auto"/>
          <w:sz w:val="24"/>
          <w:szCs w:val="24"/>
        </w:rPr>
      </w:pPr>
      <w:r w:rsidRPr="00DE12A3">
        <w:rPr>
          <w:color w:val="auto"/>
          <w:sz w:val="24"/>
          <w:szCs w:val="24"/>
        </w:rPr>
        <w:t xml:space="preserve">     </w:t>
      </w:r>
      <w:r w:rsidR="00242DA0" w:rsidRPr="00DE12A3">
        <w:rPr>
          <w:color w:val="auto"/>
          <w:sz w:val="24"/>
          <w:szCs w:val="24"/>
        </w:rPr>
        <w:t xml:space="preserve">Bir CVS sayacı, bir ses altı venturi debimetre, uzun yarıçaplı bir akış nozülü, düz bir yaklaşma orifisi, bir laminer akış elemanı, bir dizi kritik akış venturisi veya bir ultrasonik sayaç gibi bir referans sayaç kullanılarak kalibre edilmelidir. ± </w:t>
      </w:r>
      <w:r w:rsidR="003A7F31" w:rsidRPr="00DE12A3">
        <w:rPr>
          <w:color w:val="auto"/>
          <w:sz w:val="24"/>
          <w:szCs w:val="24"/>
        </w:rPr>
        <w:t>%1</w:t>
      </w:r>
      <w:r w:rsidR="00242DA0" w:rsidRPr="00DE12A3">
        <w:rPr>
          <w:color w:val="auto"/>
          <w:sz w:val="24"/>
          <w:szCs w:val="24"/>
        </w:rPr>
        <w:t xml:space="preserve"> belirsizlik içinde uluslararası olarak takip edilebilir miktarları bildiren bir referans sayaç kullanılmalıdır. Bu referans sayacın akışa karşı tepkisi, CVS sayacı kalibrasyonu için referans değer </w:t>
      </w:r>
      <w:r w:rsidR="00242DA0" w:rsidRPr="00DE12A3">
        <w:rPr>
          <w:color w:val="auto"/>
          <w:sz w:val="24"/>
          <w:szCs w:val="24"/>
        </w:rPr>
        <w:lastRenderedPageBreak/>
        <w:t>olarak kullanılır</w:t>
      </w:r>
      <w:r w:rsidR="009B29C4" w:rsidRPr="00DE12A3">
        <w:rPr>
          <w:color w:val="auto"/>
          <w:sz w:val="24"/>
          <w:szCs w:val="24"/>
        </w:rPr>
        <w:t>.</w:t>
      </w:r>
    </w:p>
    <w:p w14:paraId="6653ED4E" w14:textId="4E17F023" w:rsidR="002D7B36" w:rsidRPr="00DE12A3" w:rsidRDefault="00242DA0" w:rsidP="00E20716">
      <w:pPr>
        <w:pStyle w:val="Gvdemetni255"/>
        <w:numPr>
          <w:ilvl w:val="0"/>
          <w:numId w:val="211"/>
        </w:numPr>
        <w:shd w:val="clear" w:color="auto" w:fill="FFFFFF" w:themeFill="background1"/>
        <w:spacing w:before="120" w:after="120" w:line="240" w:lineRule="auto"/>
        <w:ind w:left="1701" w:hanging="567"/>
        <w:rPr>
          <w:color w:val="auto"/>
          <w:sz w:val="24"/>
          <w:szCs w:val="24"/>
        </w:rPr>
      </w:pPr>
      <w:r w:rsidRPr="00DE12A3">
        <w:rPr>
          <w:color w:val="auto"/>
          <w:sz w:val="24"/>
          <w:szCs w:val="24"/>
        </w:rPr>
        <w:t>Referans sayacın önündeki akışı etkileyebilecek bir giriş perdesi veya başka bir basınç kısıtlaması, sayaç bu tür bir basınç kısıtlaması ile kalibre edilmiş olmadığı sürece kullanılamaz</w:t>
      </w:r>
      <w:r w:rsidR="009B29C4" w:rsidRPr="00DE12A3">
        <w:rPr>
          <w:color w:val="auto"/>
          <w:sz w:val="24"/>
          <w:szCs w:val="24"/>
        </w:rPr>
        <w:t>.</w:t>
      </w:r>
    </w:p>
    <w:p w14:paraId="3CC3C21F" w14:textId="07644A81" w:rsidR="002D7B36" w:rsidRPr="00DE12A3" w:rsidRDefault="00242DA0" w:rsidP="00C917D6">
      <w:pPr>
        <w:pStyle w:val="Gvdemetni255"/>
        <w:spacing w:before="120" w:after="120" w:line="240" w:lineRule="auto"/>
        <w:ind w:left="1701" w:hanging="567"/>
        <w:rPr>
          <w:color w:val="auto"/>
          <w:sz w:val="24"/>
          <w:szCs w:val="24"/>
        </w:rPr>
      </w:pPr>
      <w:r w:rsidRPr="00DE12A3">
        <w:rPr>
          <w:color w:val="auto"/>
          <w:sz w:val="24"/>
          <w:szCs w:val="24"/>
        </w:rPr>
        <w:t xml:space="preserve">(e) </w:t>
      </w:r>
      <w:r w:rsidR="00012B51" w:rsidRPr="00DE12A3">
        <w:rPr>
          <w:color w:val="auto"/>
          <w:sz w:val="24"/>
          <w:szCs w:val="24"/>
        </w:rPr>
        <w:t xml:space="preserve">   </w:t>
      </w:r>
      <w:r w:rsidRPr="00DE12A3">
        <w:rPr>
          <w:color w:val="auto"/>
          <w:sz w:val="24"/>
          <w:szCs w:val="24"/>
        </w:rPr>
        <w:t xml:space="preserve">Bu 8.1.8.4 bendi kapsamında açıklanan kalibrasyon dizisi, molar bazlı yaklaşımı ifade eder. Kütle bazlı yaklaşımda kullanılan ilgili dizi için, </w:t>
      </w:r>
      <w:r w:rsidR="00FA0678" w:rsidRPr="00DE12A3">
        <w:rPr>
          <w:color w:val="auto"/>
          <w:sz w:val="24"/>
          <w:szCs w:val="24"/>
        </w:rPr>
        <w:t xml:space="preserve">VII’nci </w:t>
      </w:r>
      <w:r w:rsidR="00F73FFA" w:rsidRPr="00DE12A3">
        <w:rPr>
          <w:color w:val="auto"/>
          <w:sz w:val="24"/>
          <w:szCs w:val="24"/>
        </w:rPr>
        <w:t>E</w:t>
      </w:r>
      <w:r w:rsidR="00FA0678" w:rsidRPr="00DE12A3">
        <w:rPr>
          <w:color w:val="auto"/>
          <w:sz w:val="24"/>
          <w:szCs w:val="24"/>
        </w:rPr>
        <w:t>k</w:t>
      </w:r>
      <w:r w:rsidRPr="00DE12A3">
        <w:rPr>
          <w:color w:val="auto"/>
          <w:sz w:val="24"/>
          <w:szCs w:val="24"/>
        </w:rPr>
        <w:t>in 2.5 bendine bakınız.</w:t>
      </w:r>
    </w:p>
    <w:p w14:paraId="3CFAF19C" w14:textId="77777777" w:rsidR="002D7B36" w:rsidRPr="00DE12A3" w:rsidRDefault="00242DA0" w:rsidP="00C917D6">
      <w:pPr>
        <w:pStyle w:val="Gvdemetni255"/>
        <w:shd w:val="clear" w:color="auto" w:fill="auto"/>
        <w:spacing w:before="120" w:after="120" w:line="240" w:lineRule="auto"/>
        <w:ind w:left="1701" w:hanging="567"/>
        <w:rPr>
          <w:color w:val="auto"/>
          <w:sz w:val="24"/>
          <w:szCs w:val="24"/>
        </w:rPr>
      </w:pPr>
      <w:r w:rsidRPr="00DE12A3">
        <w:rPr>
          <w:color w:val="auto"/>
          <w:sz w:val="24"/>
          <w:szCs w:val="24"/>
        </w:rPr>
        <w:t xml:space="preserve">(f) </w:t>
      </w:r>
      <w:r w:rsidR="00012B51" w:rsidRPr="00DE12A3">
        <w:rPr>
          <w:color w:val="auto"/>
          <w:sz w:val="24"/>
          <w:szCs w:val="24"/>
        </w:rPr>
        <w:t xml:space="preserve">  </w:t>
      </w:r>
      <w:r w:rsidRPr="00DE12A3">
        <w:rPr>
          <w:color w:val="auto"/>
          <w:sz w:val="24"/>
          <w:szCs w:val="24"/>
        </w:rPr>
        <w:t xml:space="preserve">Alternatif olarak CFV veya SSV, CVS'ye takılı olduğunda aşağıdaki şartlar sağlandığı sürece kalibrasyon için nihai konumundan çıkarılabilir: </w:t>
      </w:r>
    </w:p>
    <w:p w14:paraId="0213B90E" w14:textId="77777777" w:rsidR="002D7B36" w:rsidRPr="00DE12A3" w:rsidRDefault="00012B51" w:rsidP="00E20716">
      <w:pPr>
        <w:pStyle w:val="Gvdemetni255"/>
        <w:numPr>
          <w:ilvl w:val="0"/>
          <w:numId w:val="212"/>
        </w:numPr>
        <w:shd w:val="clear" w:color="auto" w:fill="FFFFFF" w:themeFill="background1"/>
        <w:spacing w:before="120" w:after="120" w:line="240" w:lineRule="auto"/>
        <w:ind w:left="2268" w:hanging="567"/>
        <w:rPr>
          <w:color w:val="auto"/>
          <w:sz w:val="24"/>
          <w:szCs w:val="24"/>
        </w:rPr>
      </w:pPr>
      <w:r w:rsidRPr="00DE12A3">
        <w:rPr>
          <w:color w:val="auto"/>
          <w:sz w:val="24"/>
          <w:szCs w:val="24"/>
        </w:rPr>
        <w:t xml:space="preserve">  </w:t>
      </w:r>
      <w:r w:rsidR="00242DA0" w:rsidRPr="00DE12A3">
        <w:rPr>
          <w:color w:val="auto"/>
          <w:sz w:val="24"/>
          <w:szCs w:val="24"/>
        </w:rPr>
        <w:t>CFV veya SSV'nin CVS içine montajı üzerine, CVS girişi ve venturi arasında herhangi bir sızıntıya yol açılmadığını doğrulamak için iyi mühendislik kararı uygulanır.</w:t>
      </w:r>
    </w:p>
    <w:p w14:paraId="584F14D5" w14:textId="77777777" w:rsidR="002D7B36" w:rsidRPr="00DE12A3" w:rsidRDefault="00012B51" w:rsidP="00E20716">
      <w:pPr>
        <w:pStyle w:val="Gvdemetni255"/>
        <w:numPr>
          <w:ilvl w:val="0"/>
          <w:numId w:val="212"/>
        </w:numPr>
        <w:shd w:val="clear" w:color="auto" w:fill="auto"/>
        <w:tabs>
          <w:tab w:val="left" w:pos="1516"/>
        </w:tabs>
        <w:spacing w:before="120" w:after="120" w:line="240" w:lineRule="auto"/>
        <w:ind w:left="2268" w:hanging="567"/>
        <w:rPr>
          <w:color w:val="auto"/>
          <w:sz w:val="24"/>
          <w:szCs w:val="24"/>
        </w:rPr>
      </w:pPr>
      <w:r w:rsidRPr="00DE12A3">
        <w:rPr>
          <w:color w:val="auto"/>
          <w:sz w:val="24"/>
          <w:szCs w:val="24"/>
        </w:rPr>
        <w:t xml:space="preserve">  </w:t>
      </w:r>
      <w:r w:rsidR="00242DA0" w:rsidRPr="00DE12A3">
        <w:rPr>
          <w:color w:val="auto"/>
          <w:sz w:val="24"/>
          <w:szCs w:val="24"/>
        </w:rPr>
        <w:t>Yeri dışında (ex-situ) venturi kalibrasyonundan sonra, tüm venturi akış kombinasyonları, 8.1.8.5 bendinde açıklandığı gibi propan kontrolü kullanılarak CFV'ler için veya bir SSV için en az 10 akış noktasında doğrulanmalıdır. Her venturi akış noktası için propan kontrolünün sonucu, 8.1.8.5.6 bendindeki toleransı aşamaz.</w:t>
      </w:r>
    </w:p>
    <w:p w14:paraId="6CDF1906" w14:textId="77777777" w:rsidR="002D7B36" w:rsidRPr="00DE12A3" w:rsidRDefault="00012B51" w:rsidP="00E20716">
      <w:pPr>
        <w:pStyle w:val="Gvdemetni255"/>
        <w:numPr>
          <w:ilvl w:val="0"/>
          <w:numId w:val="212"/>
        </w:numPr>
        <w:shd w:val="clear" w:color="auto" w:fill="auto"/>
        <w:tabs>
          <w:tab w:val="left" w:pos="1516"/>
        </w:tabs>
        <w:spacing w:before="120" w:after="120" w:line="240" w:lineRule="auto"/>
        <w:ind w:left="2268" w:hanging="567"/>
        <w:rPr>
          <w:color w:val="auto"/>
          <w:sz w:val="24"/>
          <w:szCs w:val="24"/>
        </w:rPr>
      </w:pPr>
      <w:r w:rsidRPr="00DE12A3">
        <w:rPr>
          <w:color w:val="auto"/>
          <w:sz w:val="24"/>
          <w:szCs w:val="24"/>
        </w:rPr>
        <w:t xml:space="preserve">  </w:t>
      </w:r>
      <w:r w:rsidR="00242DA0" w:rsidRPr="00DE12A3">
        <w:rPr>
          <w:color w:val="auto"/>
          <w:sz w:val="24"/>
          <w:szCs w:val="24"/>
        </w:rPr>
        <w:t>Tek bir CFV'den daha fazlasına sahip bir CVS'nin yeri dışında kalibrasyonunu doğrulamak için, aşağıdaki doğrulama yapılır:</w:t>
      </w:r>
    </w:p>
    <w:p w14:paraId="45CFFFBA" w14:textId="77777777" w:rsidR="002D7B36" w:rsidRPr="00DE12A3" w:rsidRDefault="00242DA0" w:rsidP="00E20716">
      <w:pPr>
        <w:pStyle w:val="Gvdemetni255"/>
        <w:numPr>
          <w:ilvl w:val="0"/>
          <w:numId w:val="213"/>
        </w:numPr>
        <w:shd w:val="clear" w:color="auto" w:fill="auto"/>
        <w:tabs>
          <w:tab w:val="left" w:pos="2268"/>
        </w:tabs>
        <w:spacing w:before="120" w:after="120" w:line="240" w:lineRule="auto"/>
        <w:ind w:left="2835" w:hanging="567"/>
        <w:rPr>
          <w:color w:val="auto"/>
          <w:sz w:val="24"/>
          <w:szCs w:val="24"/>
        </w:rPr>
      </w:pPr>
      <w:r w:rsidRPr="00DE12A3">
        <w:rPr>
          <w:color w:val="auto"/>
          <w:sz w:val="24"/>
          <w:szCs w:val="24"/>
        </w:rPr>
        <w:t>Seyreltme tüneline sabit propan akışı sağlamak için bir sabit akış cihazı kullanılır.</w:t>
      </w:r>
    </w:p>
    <w:p w14:paraId="579268D9" w14:textId="77777777" w:rsidR="002D7B36" w:rsidRPr="00DE12A3" w:rsidRDefault="00242DA0" w:rsidP="00E20716">
      <w:pPr>
        <w:pStyle w:val="Gvdemetni255"/>
        <w:numPr>
          <w:ilvl w:val="0"/>
          <w:numId w:val="213"/>
        </w:numPr>
        <w:shd w:val="clear" w:color="auto" w:fill="auto"/>
        <w:tabs>
          <w:tab w:val="left" w:pos="2268"/>
        </w:tabs>
        <w:spacing w:before="120" w:after="120" w:line="240" w:lineRule="auto"/>
        <w:ind w:left="2835" w:hanging="567"/>
        <w:rPr>
          <w:color w:val="auto"/>
          <w:sz w:val="24"/>
          <w:szCs w:val="24"/>
        </w:rPr>
      </w:pPr>
      <w:r w:rsidRPr="00DE12A3">
        <w:rPr>
          <w:color w:val="auto"/>
          <w:sz w:val="24"/>
          <w:szCs w:val="24"/>
        </w:rPr>
        <w:t>Hidrokarbon konsantrasyonları, bir SSV sayacı için en az 10 ayrı akış hızında veya propan akışını sabit tutarken bir CFV sayacı için tüm olası akış kombinasyonlarında ölçülmelidir.</w:t>
      </w:r>
    </w:p>
    <w:p w14:paraId="26CD245A" w14:textId="77777777" w:rsidR="002D7B36" w:rsidRPr="00DE12A3" w:rsidRDefault="00242DA0" w:rsidP="00E20716">
      <w:pPr>
        <w:pStyle w:val="Gvdemetni255"/>
        <w:numPr>
          <w:ilvl w:val="0"/>
          <w:numId w:val="213"/>
        </w:numPr>
        <w:shd w:val="clear" w:color="auto" w:fill="auto"/>
        <w:tabs>
          <w:tab w:val="left" w:pos="2268"/>
        </w:tabs>
        <w:spacing w:before="120" w:after="120" w:line="240" w:lineRule="auto"/>
        <w:ind w:left="2835" w:hanging="567"/>
        <w:rPr>
          <w:color w:val="auto"/>
          <w:sz w:val="24"/>
          <w:szCs w:val="24"/>
        </w:rPr>
      </w:pPr>
      <w:r w:rsidRPr="00DE12A3">
        <w:rPr>
          <w:color w:val="auto"/>
          <w:sz w:val="24"/>
          <w:szCs w:val="24"/>
        </w:rPr>
        <w:t>Seyreltme havasındaki hidrokarbon arka planın konsantrasyonu bu testin başında ve sonunda ölçülmelidir. Her akış noktasındaki her ölçümden elde edilen ortalama arka plan konsantrasyonu, (iv) paragrafındaki regresyon analizi yapılmadan önce çıkarılmalıdır.</w:t>
      </w:r>
    </w:p>
    <w:p w14:paraId="26F84A2B" w14:textId="27F5D6D8" w:rsidR="002D7B36" w:rsidRPr="00DE12A3" w:rsidRDefault="00242DA0" w:rsidP="00E20716">
      <w:pPr>
        <w:pStyle w:val="Gvdemetni255"/>
        <w:numPr>
          <w:ilvl w:val="0"/>
          <w:numId w:val="213"/>
        </w:numPr>
        <w:shd w:val="clear" w:color="auto" w:fill="auto"/>
        <w:tabs>
          <w:tab w:val="left" w:pos="2268"/>
        </w:tabs>
        <w:spacing w:before="120" w:after="120" w:line="240" w:lineRule="auto"/>
        <w:ind w:left="2835" w:hanging="567"/>
        <w:rPr>
          <w:color w:val="auto"/>
          <w:sz w:val="24"/>
          <w:szCs w:val="24"/>
        </w:rPr>
      </w:pPr>
      <w:r w:rsidRPr="00DE12A3">
        <w:rPr>
          <w:color w:val="auto"/>
          <w:sz w:val="24"/>
          <w:szCs w:val="24"/>
        </w:rPr>
        <w:t>y = a x x</w:t>
      </w:r>
      <w:r w:rsidRPr="00DE12A3">
        <w:rPr>
          <w:color w:val="auto"/>
          <w:sz w:val="24"/>
          <w:szCs w:val="24"/>
          <w:vertAlign w:val="superscript"/>
        </w:rPr>
        <w:t>b</w:t>
      </w:r>
      <w:r w:rsidRPr="00DE12A3">
        <w:rPr>
          <w:color w:val="auto"/>
          <w:sz w:val="24"/>
          <w:szCs w:val="24"/>
        </w:rPr>
        <w:t xml:space="preserve"> biçiminde bir ilişki elde etmek için, konsantrasyonu bağımsız değişken ve akış hızını bağımlı değişken olarak kullanarak, eşleştirilmiş tüm akış hızı ve düzeltilmiş konsantrasyon değerleri kullanılarak bir güç regresyonu gerçekleştirilmelidir. Her veri noktası için, ölçülen akış hızı ile eğri uydurma ile temsil edilen değer arasındaki farkın hesaplanması gerekir. Her noktadaki fark, uygun regresyon değerinin ± </w:t>
      </w:r>
      <w:r w:rsidR="003A7F31" w:rsidRPr="00DE12A3">
        <w:rPr>
          <w:color w:val="auto"/>
          <w:sz w:val="24"/>
          <w:szCs w:val="24"/>
        </w:rPr>
        <w:t>%1</w:t>
      </w:r>
      <w:r w:rsidRPr="00DE12A3">
        <w:rPr>
          <w:color w:val="auto"/>
          <w:sz w:val="24"/>
          <w:szCs w:val="24"/>
        </w:rPr>
        <w:t>'inden az olmalıdır. b değeri, - 1,005 ile - 0,995 arasında olmalıdır. Sonuçlar bu sınırları sağlamıyorsa, 8.1.8.5.1</w:t>
      </w:r>
      <w:r w:rsidR="00AE0A29" w:rsidRPr="00DE12A3">
        <w:rPr>
          <w:color w:val="auto"/>
          <w:sz w:val="24"/>
          <w:szCs w:val="24"/>
        </w:rPr>
        <w:t xml:space="preserve"> bendinin </w:t>
      </w:r>
      <w:r w:rsidRPr="00DE12A3">
        <w:rPr>
          <w:color w:val="auto"/>
          <w:sz w:val="24"/>
          <w:szCs w:val="24"/>
        </w:rPr>
        <w:t>(a)</w:t>
      </w:r>
      <w:r w:rsidR="00F73FFA" w:rsidRPr="00DE12A3">
        <w:rPr>
          <w:color w:val="auto"/>
          <w:sz w:val="24"/>
          <w:szCs w:val="24"/>
        </w:rPr>
        <w:t xml:space="preserve"> numaralı</w:t>
      </w:r>
      <w:r w:rsidR="00AE0A29" w:rsidRPr="00DE12A3">
        <w:rPr>
          <w:color w:val="auto"/>
          <w:sz w:val="24"/>
          <w:szCs w:val="24"/>
        </w:rPr>
        <w:t xml:space="preserve"> alt bendi</w:t>
      </w:r>
      <w:r w:rsidRPr="00DE12A3">
        <w:rPr>
          <w:color w:val="auto"/>
          <w:sz w:val="24"/>
          <w:szCs w:val="24"/>
        </w:rPr>
        <w:t xml:space="preserve"> ile tutarlı düzeltici faaliyetler uygulanmalıdır.</w:t>
      </w:r>
    </w:p>
    <w:p w14:paraId="1E421350" w14:textId="77777777" w:rsidR="002D7B36" w:rsidRPr="00DE12A3" w:rsidRDefault="00242DA0" w:rsidP="00E20716">
      <w:pPr>
        <w:pStyle w:val="Gvdemetni255"/>
        <w:numPr>
          <w:ilvl w:val="0"/>
          <w:numId w:val="210"/>
        </w:numPr>
        <w:shd w:val="clear" w:color="auto" w:fill="auto"/>
        <w:spacing w:before="120" w:after="120" w:line="240" w:lineRule="auto"/>
        <w:ind w:left="1134" w:hanging="1134"/>
        <w:rPr>
          <w:color w:val="auto"/>
          <w:sz w:val="24"/>
          <w:szCs w:val="24"/>
        </w:rPr>
      </w:pPr>
      <w:r w:rsidRPr="00DE12A3">
        <w:rPr>
          <w:color w:val="auto"/>
          <w:sz w:val="24"/>
          <w:szCs w:val="24"/>
        </w:rPr>
        <w:t>PDP kalibrasyonu</w:t>
      </w:r>
    </w:p>
    <w:p w14:paraId="67EBA6AC" w14:textId="77777777" w:rsidR="002D7B36" w:rsidRPr="00DE12A3" w:rsidRDefault="00012B51" w:rsidP="00C917D6">
      <w:pPr>
        <w:pStyle w:val="Gvdemetni255"/>
        <w:shd w:val="clear" w:color="auto" w:fill="auto"/>
        <w:spacing w:before="120" w:after="120" w:line="240" w:lineRule="auto"/>
        <w:ind w:left="1134" w:hanging="1134"/>
        <w:rPr>
          <w:color w:val="auto"/>
          <w:sz w:val="24"/>
          <w:szCs w:val="24"/>
        </w:rPr>
      </w:pPr>
      <w:r w:rsidRPr="00DE12A3">
        <w:rPr>
          <w:color w:val="auto"/>
          <w:sz w:val="24"/>
          <w:szCs w:val="24"/>
        </w:rPr>
        <w:t xml:space="preserve">                  </w:t>
      </w:r>
      <w:r w:rsidR="00242DA0" w:rsidRPr="00DE12A3">
        <w:rPr>
          <w:color w:val="auto"/>
          <w:sz w:val="24"/>
          <w:szCs w:val="24"/>
        </w:rPr>
        <w:t>Bir pozitif-deplasmanlı pompa (PDP), PDP giriş basıncının bir fonksiyonu olarak PDP'deki sızdırmazlık yüzeyleri arasındaki akış sızıntısını açıklayan bir akışa karşı PDP devri denklemini belirlemek için kalibre edilmelidir. PDP'nin kullanıldığı her devir için benzersiz denklem katsayıları belirlenir. PDP sayacı aşağıdaki şekilde kalibre edilmelidir:</w:t>
      </w:r>
    </w:p>
    <w:p w14:paraId="566600AE" w14:textId="2D8AFDE6" w:rsidR="002D7B36" w:rsidRPr="00DE12A3" w:rsidRDefault="00012B51" w:rsidP="00E20716">
      <w:pPr>
        <w:pStyle w:val="Gvdemetni255"/>
        <w:numPr>
          <w:ilvl w:val="0"/>
          <w:numId w:val="214"/>
        </w:numPr>
        <w:shd w:val="clear" w:color="auto" w:fill="auto"/>
        <w:spacing w:before="120" w:after="120" w:line="240" w:lineRule="auto"/>
        <w:ind w:left="1701" w:hanging="567"/>
        <w:rPr>
          <w:color w:val="auto"/>
          <w:sz w:val="24"/>
          <w:szCs w:val="24"/>
        </w:rPr>
      </w:pPr>
      <w:r w:rsidRPr="00DE12A3">
        <w:rPr>
          <w:color w:val="auto"/>
          <w:sz w:val="24"/>
          <w:szCs w:val="24"/>
        </w:rPr>
        <w:t xml:space="preserve">     </w:t>
      </w:r>
      <w:r w:rsidR="00242DA0" w:rsidRPr="00DE12A3">
        <w:rPr>
          <w:color w:val="auto"/>
          <w:sz w:val="24"/>
          <w:szCs w:val="24"/>
        </w:rPr>
        <w:t>Sistem Şekil 6.5'te gösterildiği gibi bağlanmalıdır</w:t>
      </w:r>
      <w:r w:rsidR="00F73FFA" w:rsidRPr="00DE12A3">
        <w:rPr>
          <w:color w:val="auto"/>
          <w:sz w:val="24"/>
          <w:szCs w:val="24"/>
        </w:rPr>
        <w:t>.</w:t>
      </w:r>
    </w:p>
    <w:p w14:paraId="2234F824" w14:textId="577A8C38" w:rsidR="002D7B36" w:rsidRPr="00DE12A3" w:rsidRDefault="00242DA0" w:rsidP="00E20716">
      <w:pPr>
        <w:pStyle w:val="Gvdemetni255"/>
        <w:numPr>
          <w:ilvl w:val="0"/>
          <w:numId w:val="214"/>
        </w:numPr>
        <w:shd w:val="clear" w:color="auto" w:fill="auto"/>
        <w:spacing w:before="120" w:after="120" w:line="240" w:lineRule="auto"/>
        <w:ind w:left="1701" w:hanging="567"/>
        <w:rPr>
          <w:color w:val="auto"/>
          <w:sz w:val="24"/>
          <w:szCs w:val="24"/>
        </w:rPr>
      </w:pPr>
      <w:r w:rsidRPr="00DE12A3">
        <w:rPr>
          <w:color w:val="auto"/>
          <w:sz w:val="24"/>
          <w:szCs w:val="24"/>
        </w:rPr>
        <w:lastRenderedPageBreak/>
        <w:t xml:space="preserve">Kalibrasyon sayacı ile PDP arasındaki kaçaklar, kalibre edilen en düşük akış noktasında toplam akış miktarının </w:t>
      </w:r>
      <w:r w:rsidR="004E7F54" w:rsidRPr="00DE12A3">
        <w:rPr>
          <w:color w:val="auto"/>
          <w:sz w:val="24"/>
          <w:szCs w:val="24"/>
        </w:rPr>
        <w:t>%0,3</w:t>
      </w:r>
      <w:r w:rsidRPr="00DE12A3">
        <w:rPr>
          <w:color w:val="auto"/>
          <w:sz w:val="24"/>
          <w:szCs w:val="24"/>
        </w:rPr>
        <w:t>'ünden az olmalıdır</w:t>
      </w:r>
      <w:r w:rsidR="00F73FFA" w:rsidRPr="00DE12A3">
        <w:rPr>
          <w:color w:val="auto"/>
          <w:sz w:val="24"/>
          <w:szCs w:val="24"/>
        </w:rPr>
        <w:t>.</w:t>
      </w:r>
      <w:r w:rsidRPr="00DE12A3">
        <w:rPr>
          <w:color w:val="auto"/>
          <w:sz w:val="24"/>
          <w:szCs w:val="24"/>
        </w:rPr>
        <w:t xml:space="preserve"> </w:t>
      </w:r>
      <w:r w:rsidR="00F73FFA" w:rsidRPr="00DE12A3">
        <w:rPr>
          <w:color w:val="auto"/>
          <w:sz w:val="24"/>
          <w:szCs w:val="24"/>
        </w:rPr>
        <w:t>Ö</w:t>
      </w:r>
      <w:r w:rsidRPr="00DE12A3">
        <w:rPr>
          <w:color w:val="auto"/>
          <w:sz w:val="24"/>
          <w:szCs w:val="24"/>
        </w:rPr>
        <w:t>rneğin, en yüksek basınç kısıtlaması ve en düşük PDP devri noktasında</w:t>
      </w:r>
      <w:r w:rsidR="00F73FFA" w:rsidRPr="00DE12A3">
        <w:rPr>
          <w:color w:val="auto"/>
          <w:sz w:val="24"/>
          <w:szCs w:val="24"/>
        </w:rPr>
        <w:t>.</w:t>
      </w:r>
    </w:p>
    <w:p w14:paraId="65204A41" w14:textId="13623409" w:rsidR="002D7B36" w:rsidRPr="00DE12A3" w:rsidRDefault="00012B51" w:rsidP="00E20716">
      <w:pPr>
        <w:pStyle w:val="Gvdemetni255"/>
        <w:numPr>
          <w:ilvl w:val="0"/>
          <w:numId w:val="214"/>
        </w:numPr>
        <w:shd w:val="clear" w:color="auto" w:fill="auto"/>
        <w:spacing w:before="120" w:after="120" w:line="240" w:lineRule="auto"/>
        <w:ind w:left="1701" w:hanging="567"/>
        <w:rPr>
          <w:color w:val="auto"/>
          <w:sz w:val="24"/>
          <w:szCs w:val="24"/>
        </w:rPr>
      </w:pPr>
      <w:r w:rsidRPr="00DE12A3">
        <w:rPr>
          <w:color w:val="auto"/>
          <w:sz w:val="24"/>
          <w:szCs w:val="24"/>
        </w:rPr>
        <w:t xml:space="preserve">     </w:t>
      </w:r>
      <w:r w:rsidR="00242DA0" w:rsidRPr="00DE12A3">
        <w:rPr>
          <w:color w:val="auto"/>
          <w:sz w:val="24"/>
          <w:szCs w:val="24"/>
        </w:rPr>
        <w:t xml:space="preserve">PDP çalışır durumdayken, PDP girişinde sabit bir sıcaklık, ortalama mutlak giriş sıcaklığı </w:t>
      </w:r>
      <w:r w:rsidR="00242DA0" w:rsidRPr="00DE12A3">
        <w:rPr>
          <w:i/>
          <w:iCs/>
          <w:color w:val="auto"/>
          <w:sz w:val="24"/>
          <w:szCs w:val="24"/>
        </w:rPr>
        <w:t>T</w:t>
      </w:r>
      <w:r w:rsidR="00242DA0" w:rsidRPr="00DE12A3">
        <w:rPr>
          <w:color w:val="auto"/>
          <w:sz w:val="24"/>
          <w:szCs w:val="24"/>
          <w:vertAlign w:val="subscript"/>
        </w:rPr>
        <w:t>in</w:t>
      </w:r>
      <w:r w:rsidR="00242DA0" w:rsidRPr="00DE12A3">
        <w:rPr>
          <w:color w:val="auto"/>
          <w:sz w:val="24"/>
          <w:szCs w:val="24"/>
        </w:rPr>
        <w:t xml:space="preserve"> ± </w:t>
      </w:r>
      <w:r w:rsidR="00C17C59" w:rsidRPr="00DE12A3">
        <w:rPr>
          <w:color w:val="auto"/>
          <w:sz w:val="24"/>
          <w:szCs w:val="24"/>
        </w:rPr>
        <w:t>%2</w:t>
      </w:r>
      <w:r w:rsidR="00242DA0" w:rsidRPr="00DE12A3">
        <w:rPr>
          <w:color w:val="auto"/>
          <w:sz w:val="24"/>
          <w:szCs w:val="24"/>
        </w:rPr>
        <w:t xml:space="preserve"> aralığı içinde muhafaza edilmelidir</w:t>
      </w:r>
      <w:r w:rsidR="00F73FFA" w:rsidRPr="00DE12A3">
        <w:rPr>
          <w:color w:val="auto"/>
          <w:sz w:val="24"/>
          <w:szCs w:val="24"/>
        </w:rPr>
        <w:t>.</w:t>
      </w:r>
    </w:p>
    <w:p w14:paraId="22CD7CE7" w14:textId="39730221" w:rsidR="002D7B36" w:rsidRPr="00DE12A3" w:rsidRDefault="00242DA0" w:rsidP="00E20716">
      <w:pPr>
        <w:pStyle w:val="Gvdemetni255"/>
        <w:numPr>
          <w:ilvl w:val="0"/>
          <w:numId w:val="214"/>
        </w:numPr>
        <w:shd w:val="clear" w:color="auto" w:fill="auto"/>
        <w:spacing w:before="120" w:after="120" w:line="240" w:lineRule="auto"/>
        <w:ind w:left="1701" w:hanging="567"/>
        <w:rPr>
          <w:color w:val="auto"/>
          <w:sz w:val="24"/>
          <w:szCs w:val="24"/>
        </w:rPr>
      </w:pPr>
      <w:r w:rsidRPr="00DE12A3">
        <w:rPr>
          <w:color w:val="auto"/>
          <w:sz w:val="24"/>
          <w:szCs w:val="24"/>
        </w:rPr>
        <w:t>PDP devri, kalibre edilmek istenen ilk devir noktasına ayarlanır</w:t>
      </w:r>
      <w:r w:rsidR="00F73FFA" w:rsidRPr="00DE12A3">
        <w:rPr>
          <w:color w:val="auto"/>
          <w:sz w:val="24"/>
          <w:szCs w:val="24"/>
        </w:rPr>
        <w:t>.</w:t>
      </w:r>
    </w:p>
    <w:p w14:paraId="403D62DD" w14:textId="77777777" w:rsidR="002D7B36" w:rsidRPr="00DE12A3" w:rsidRDefault="00012B51" w:rsidP="00E20716">
      <w:pPr>
        <w:pStyle w:val="ListeParagraf"/>
        <w:numPr>
          <w:ilvl w:val="0"/>
          <w:numId w:val="215"/>
        </w:numPr>
        <w:tabs>
          <w:tab w:val="left" w:pos="1134"/>
        </w:tabs>
        <w:spacing w:before="120" w:after="120"/>
        <w:ind w:left="1701" w:hanging="567"/>
        <w:jc w:val="both"/>
        <w:rPr>
          <w:rFonts w:eastAsia="Times New Roman" w:cs="Times New Roman"/>
          <w:color w:val="auto"/>
          <w:spacing w:val="3"/>
        </w:rPr>
      </w:pPr>
      <w:r w:rsidRPr="00DE12A3">
        <w:rPr>
          <w:rFonts w:eastAsia="Times New Roman" w:cs="Times New Roman"/>
          <w:color w:val="auto"/>
          <w:spacing w:val="3"/>
        </w:rPr>
        <w:t xml:space="preserve">    </w:t>
      </w:r>
      <w:r w:rsidR="00242DA0" w:rsidRPr="00DE12A3">
        <w:rPr>
          <w:rFonts w:eastAsia="Times New Roman" w:cs="Times New Roman"/>
          <w:color w:val="auto"/>
          <w:spacing w:val="3"/>
        </w:rPr>
        <w:t>Değişken kısıtlayıcı, tam açık pozisyona ayarlanmıştır;</w:t>
      </w:r>
    </w:p>
    <w:p w14:paraId="0E0693ED" w14:textId="77777777" w:rsidR="002D7B36" w:rsidRPr="00DE12A3" w:rsidRDefault="002D7B36" w:rsidP="00E20716">
      <w:pPr>
        <w:pStyle w:val="ListeParagraf"/>
        <w:numPr>
          <w:ilvl w:val="0"/>
          <w:numId w:val="214"/>
        </w:numPr>
        <w:spacing w:before="120" w:after="120"/>
        <w:ind w:left="1701" w:hanging="567"/>
        <w:contextualSpacing w:val="0"/>
        <w:jc w:val="both"/>
        <w:rPr>
          <w:rFonts w:eastAsia="Times New Roman" w:cs="Times New Roman"/>
          <w:vanish/>
          <w:color w:val="auto"/>
          <w:spacing w:val="3"/>
        </w:rPr>
      </w:pPr>
    </w:p>
    <w:p w14:paraId="2D65A432" w14:textId="0C25830F" w:rsidR="002D7B36" w:rsidRPr="00DE12A3" w:rsidRDefault="00012B51" w:rsidP="00E20716">
      <w:pPr>
        <w:pStyle w:val="Gvdemetni255"/>
        <w:numPr>
          <w:ilvl w:val="0"/>
          <w:numId w:val="214"/>
        </w:numPr>
        <w:shd w:val="clear" w:color="auto" w:fill="auto"/>
        <w:spacing w:before="120" w:after="120" w:line="240" w:lineRule="auto"/>
        <w:ind w:left="1701" w:hanging="567"/>
        <w:rPr>
          <w:color w:val="auto"/>
          <w:sz w:val="24"/>
          <w:szCs w:val="24"/>
        </w:rPr>
      </w:pPr>
      <w:r w:rsidRPr="00DE12A3">
        <w:rPr>
          <w:color w:val="auto"/>
          <w:sz w:val="24"/>
          <w:szCs w:val="24"/>
        </w:rPr>
        <w:t xml:space="preserve">    </w:t>
      </w:r>
      <w:r w:rsidR="00242DA0" w:rsidRPr="00DE12A3">
        <w:rPr>
          <w:color w:val="auto"/>
          <w:sz w:val="24"/>
          <w:szCs w:val="24"/>
        </w:rPr>
        <w:t>PDP, sistemi dengelemek için en az 3 dakika boyunca çalıştırılır. Ardından PDP sürekli çalıştırılarak, aşağıdaki miktarların her birinin en az 30 s örneklenmiş verilerinin ortalama değerleri kaydedilir</w:t>
      </w:r>
      <w:r w:rsidR="00F73FFA" w:rsidRPr="00DE12A3">
        <w:rPr>
          <w:color w:val="auto"/>
          <w:sz w:val="24"/>
          <w:szCs w:val="24"/>
        </w:rPr>
        <w:t>.</w:t>
      </w:r>
    </w:p>
    <w:p w14:paraId="2F58D560" w14:textId="16218C7A" w:rsidR="002D7B36" w:rsidRPr="00DE12A3" w:rsidRDefault="00242DA0" w:rsidP="00E20716">
      <w:pPr>
        <w:pStyle w:val="Gvdemetni255"/>
        <w:numPr>
          <w:ilvl w:val="0"/>
          <w:numId w:val="216"/>
        </w:numPr>
        <w:shd w:val="clear" w:color="auto" w:fill="auto"/>
        <w:spacing w:before="120" w:after="120" w:line="240" w:lineRule="auto"/>
        <w:ind w:left="2268" w:hanging="567"/>
        <w:rPr>
          <w:color w:val="auto"/>
          <w:sz w:val="24"/>
          <w:szCs w:val="24"/>
        </w:rPr>
      </w:pPr>
      <w:r w:rsidRPr="00DE12A3">
        <w:rPr>
          <w:color w:val="auto"/>
          <w:sz w:val="24"/>
          <w:szCs w:val="24"/>
        </w:rPr>
        <w:t xml:space="preserve">Referans sayacın ortalama debisi, </w:t>
      </w:r>
      <w:r w:rsidRPr="00DE12A3">
        <w:rPr>
          <w:i/>
          <w:iCs/>
          <w:color w:val="auto"/>
          <w:sz w:val="24"/>
          <w:szCs w:val="24"/>
        </w:rPr>
        <w:t>q</w:t>
      </w:r>
      <w:r w:rsidRPr="00DE12A3">
        <w:rPr>
          <w:i/>
          <w:iCs/>
          <w:color w:val="auto"/>
          <w:sz w:val="24"/>
          <w:szCs w:val="24"/>
          <w:vertAlign w:val="subscript"/>
        </w:rPr>
        <w:t>V</w:t>
      </w:r>
      <w:r w:rsidRPr="00DE12A3">
        <w:rPr>
          <w:color w:val="auto"/>
          <w:sz w:val="24"/>
          <w:szCs w:val="24"/>
          <w:vertAlign w:val="subscript"/>
        </w:rPr>
        <w:t>ref</w:t>
      </w:r>
      <w:r w:rsidR="00F73FFA" w:rsidRPr="00DE12A3">
        <w:rPr>
          <w:color w:val="auto"/>
          <w:sz w:val="24"/>
          <w:szCs w:val="24"/>
        </w:rPr>
        <w:t>.</w:t>
      </w:r>
    </w:p>
    <w:p w14:paraId="7DFE9B17" w14:textId="2016D660" w:rsidR="002D7B36" w:rsidRPr="00DE12A3" w:rsidRDefault="00242DA0" w:rsidP="00E20716">
      <w:pPr>
        <w:pStyle w:val="Gvdemetni255"/>
        <w:numPr>
          <w:ilvl w:val="0"/>
          <w:numId w:val="216"/>
        </w:numPr>
        <w:shd w:val="clear" w:color="auto" w:fill="auto"/>
        <w:spacing w:before="120" w:after="120" w:line="240" w:lineRule="auto"/>
        <w:ind w:left="2268" w:hanging="567"/>
        <w:rPr>
          <w:color w:val="auto"/>
          <w:sz w:val="24"/>
          <w:szCs w:val="24"/>
        </w:rPr>
      </w:pPr>
      <w:r w:rsidRPr="00DE12A3">
        <w:rPr>
          <w:color w:val="auto"/>
          <w:sz w:val="24"/>
          <w:szCs w:val="24"/>
        </w:rPr>
        <w:t xml:space="preserve">PDP girişindeki ortalama sıcaklık, </w:t>
      </w:r>
      <w:r w:rsidRPr="00DE12A3">
        <w:rPr>
          <w:i/>
          <w:iCs/>
          <w:color w:val="auto"/>
          <w:sz w:val="24"/>
          <w:szCs w:val="24"/>
        </w:rPr>
        <w:t>T</w:t>
      </w:r>
      <w:r w:rsidRPr="00DE12A3">
        <w:rPr>
          <w:color w:val="auto"/>
          <w:sz w:val="24"/>
          <w:szCs w:val="24"/>
          <w:vertAlign w:val="subscript"/>
        </w:rPr>
        <w:t>in</w:t>
      </w:r>
      <w:r w:rsidR="00F73FFA" w:rsidRPr="00DE12A3">
        <w:rPr>
          <w:color w:val="auto"/>
          <w:sz w:val="24"/>
          <w:szCs w:val="24"/>
          <w:vertAlign w:val="subscript"/>
        </w:rPr>
        <w:t>.</w:t>
      </w:r>
    </w:p>
    <w:p w14:paraId="2B90ABAE" w14:textId="272AE13E" w:rsidR="002D7B36" w:rsidRPr="00DE12A3" w:rsidRDefault="00242DA0" w:rsidP="00E20716">
      <w:pPr>
        <w:pStyle w:val="Gvdemetni255"/>
        <w:numPr>
          <w:ilvl w:val="0"/>
          <w:numId w:val="216"/>
        </w:numPr>
        <w:shd w:val="clear" w:color="auto" w:fill="auto"/>
        <w:spacing w:before="120" w:after="120" w:line="240" w:lineRule="auto"/>
        <w:ind w:left="2268" w:hanging="567"/>
        <w:rPr>
          <w:color w:val="auto"/>
          <w:sz w:val="24"/>
          <w:szCs w:val="24"/>
        </w:rPr>
      </w:pPr>
      <w:r w:rsidRPr="00DE12A3">
        <w:rPr>
          <w:color w:val="auto"/>
          <w:sz w:val="24"/>
          <w:szCs w:val="24"/>
        </w:rPr>
        <w:t xml:space="preserve">PDP girişindeki ortalama statik mutlak basınç, </w:t>
      </w:r>
      <w:r w:rsidRPr="00DE12A3">
        <w:rPr>
          <w:i/>
          <w:iCs/>
          <w:color w:val="auto"/>
          <w:sz w:val="24"/>
          <w:szCs w:val="24"/>
        </w:rPr>
        <w:t>p</w:t>
      </w:r>
      <w:r w:rsidRPr="00DE12A3">
        <w:rPr>
          <w:color w:val="auto"/>
          <w:sz w:val="24"/>
          <w:szCs w:val="24"/>
          <w:vertAlign w:val="subscript"/>
        </w:rPr>
        <w:t>in</w:t>
      </w:r>
      <w:r w:rsidR="00F73FFA" w:rsidRPr="00DE12A3">
        <w:rPr>
          <w:color w:val="auto"/>
          <w:sz w:val="24"/>
          <w:szCs w:val="24"/>
          <w:vertAlign w:val="subscript"/>
        </w:rPr>
        <w:t>.</w:t>
      </w:r>
    </w:p>
    <w:p w14:paraId="68170275" w14:textId="330FBC20" w:rsidR="002D7B36" w:rsidRPr="00DE12A3" w:rsidRDefault="00242DA0" w:rsidP="00E20716">
      <w:pPr>
        <w:pStyle w:val="Gvdemetni255"/>
        <w:numPr>
          <w:ilvl w:val="0"/>
          <w:numId w:val="216"/>
        </w:numPr>
        <w:shd w:val="clear" w:color="auto" w:fill="auto"/>
        <w:spacing w:before="120" w:after="120" w:line="240" w:lineRule="auto"/>
        <w:ind w:left="2268" w:hanging="567"/>
        <w:rPr>
          <w:color w:val="auto"/>
          <w:sz w:val="24"/>
          <w:szCs w:val="24"/>
        </w:rPr>
      </w:pPr>
      <w:r w:rsidRPr="00DE12A3">
        <w:rPr>
          <w:color w:val="auto"/>
          <w:sz w:val="24"/>
          <w:szCs w:val="24"/>
        </w:rPr>
        <w:t xml:space="preserve">PDP çıkışında ortalama statik mutlak basınç, </w:t>
      </w:r>
      <w:r w:rsidRPr="00DE12A3">
        <w:rPr>
          <w:i/>
          <w:iCs/>
          <w:color w:val="auto"/>
          <w:sz w:val="24"/>
          <w:szCs w:val="24"/>
        </w:rPr>
        <w:t>p</w:t>
      </w:r>
      <w:r w:rsidRPr="00DE12A3">
        <w:rPr>
          <w:color w:val="auto"/>
          <w:sz w:val="24"/>
          <w:szCs w:val="24"/>
          <w:vertAlign w:val="subscript"/>
        </w:rPr>
        <w:t>out</w:t>
      </w:r>
      <w:r w:rsidR="00F73FFA" w:rsidRPr="00DE12A3">
        <w:rPr>
          <w:color w:val="auto"/>
          <w:sz w:val="24"/>
          <w:szCs w:val="24"/>
          <w:vertAlign w:val="subscript"/>
        </w:rPr>
        <w:t>.</w:t>
      </w:r>
    </w:p>
    <w:p w14:paraId="55C630F2" w14:textId="7DB0DEBA" w:rsidR="002D7B36" w:rsidRPr="00DE12A3" w:rsidRDefault="00242DA0" w:rsidP="00E20716">
      <w:pPr>
        <w:pStyle w:val="Gvdemetni255"/>
        <w:numPr>
          <w:ilvl w:val="0"/>
          <w:numId w:val="216"/>
        </w:numPr>
        <w:shd w:val="clear" w:color="auto" w:fill="auto"/>
        <w:spacing w:before="120" w:after="120" w:line="240" w:lineRule="auto"/>
        <w:ind w:left="2268" w:hanging="567"/>
        <w:rPr>
          <w:color w:val="auto"/>
          <w:sz w:val="24"/>
          <w:szCs w:val="24"/>
        </w:rPr>
      </w:pPr>
      <w:r w:rsidRPr="00DE12A3">
        <w:rPr>
          <w:color w:val="auto"/>
          <w:sz w:val="24"/>
          <w:szCs w:val="24"/>
        </w:rPr>
        <w:t xml:space="preserve">Ortalama PDP devri, </w:t>
      </w:r>
      <w:r w:rsidRPr="00DE12A3">
        <w:rPr>
          <w:i/>
          <w:iCs/>
          <w:color w:val="auto"/>
          <w:sz w:val="24"/>
          <w:szCs w:val="24"/>
        </w:rPr>
        <w:t>n</w:t>
      </w:r>
      <w:r w:rsidRPr="00DE12A3">
        <w:rPr>
          <w:color w:val="auto"/>
          <w:sz w:val="24"/>
          <w:szCs w:val="24"/>
          <w:vertAlign w:val="subscript"/>
        </w:rPr>
        <w:t>PDP</w:t>
      </w:r>
      <w:r w:rsidR="00F73FFA" w:rsidRPr="00DE12A3">
        <w:rPr>
          <w:color w:val="auto"/>
          <w:sz w:val="24"/>
          <w:szCs w:val="24"/>
        </w:rPr>
        <w:t>.</w:t>
      </w:r>
    </w:p>
    <w:p w14:paraId="2F50AA14" w14:textId="055D943D" w:rsidR="002D7B36" w:rsidRPr="00DE12A3" w:rsidRDefault="00242DA0" w:rsidP="00E20716">
      <w:pPr>
        <w:pStyle w:val="Gvdemetni255"/>
        <w:numPr>
          <w:ilvl w:val="0"/>
          <w:numId w:val="214"/>
        </w:numPr>
        <w:shd w:val="clear" w:color="auto" w:fill="auto"/>
        <w:spacing w:before="120" w:after="120" w:line="240" w:lineRule="auto"/>
        <w:ind w:left="1701" w:hanging="567"/>
        <w:rPr>
          <w:color w:val="auto"/>
          <w:sz w:val="24"/>
          <w:szCs w:val="24"/>
        </w:rPr>
      </w:pPr>
      <w:r w:rsidRPr="00DE12A3">
        <w:rPr>
          <w:color w:val="auto"/>
          <w:sz w:val="24"/>
          <w:szCs w:val="24"/>
        </w:rPr>
        <w:t xml:space="preserve">Kısıtlayıcı valf, PDP girişindeki mutlak basınç </w:t>
      </w:r>
      <w:r w:rsidRPr="00DE12A3">
        <w:rPr>
          <w:i/>
          <w:iCs/>
          <w:color w:val="auto"/>
          <w:sz w:val="24"/>
          <w:szCs w:val="24"/>
        </w:rPr>
        <w:t>p</w:t>
      </w:r>
      <w:r w:rsidRPr="00DE12A3">
        <w:rPr>
          <w:color w:val="auto"/>
          <w:sz w:val="24"/>
          <w:szCs w:val="24"/>
          <w:vertAlign w:val="subscript"/>
        </w:rPr>
        <w:t>in</w:t>
      </w:r>
      <w:r w:rsidRPr="00DE12A3">
        <w:rPr>
          <w:color w:val="auto"/>
          <w:sz w:val="24"/>
          <w:szCs w:val="24"/>
        </w:rPr>
        <w:t>'i azaltmak için kademeli olarak kapatılmalıdır</w:t>
      </w:r>
      <w:r w:rsidR="00F73FFA" w:rsidRPr="00DE12A3">
        <w:rPr>
          <w:color w:val="auto"/>
          <w:sz w:val="24"/>
          <w:szCs w:val="24"/>
        </w:rPr>
        <w:t>.</w:t>
      </w:r>
    </w:p>
    <w:p w14:paraId="449985E6" w14:textId="67D5983B" w:rsidR="002D7B36" w:rsidRPr="00DE12A3" w:rsidRDefault="00242DA0" w:rsidP="00E20716">
      <w:pPr>
        <w:pStyle w:val="Gvdemetni255"/>
        <w:numPr>
          <w:ilvl w:val="0"/>
          <w:numId w:val="214"/>
        </w:numPr>
        <w:shd w:val="clear" w:color="auto" w:fill="auto"/>
        <w:spacing w:before="120" w:after="120" w:line="240" w:lineRule="auto"/>
        <w:ind w:left="1701" w:hanging="567"/>
        <w:rPr>
          <w:color w:val="auto"/>
          <w:sz w:val="24"/>
          <w:szCs w:val="24"/>
        </w:rPr>
      </w:pPr>
      <w:r w:rsidRPr="00DE12A3">
        <w:rPr>
          <w:color w:val="auto"/>
          <w:sz w:val="24"/>
          <w:szCs w:val="24"/>
        </w:rPr>
        <w:t>8.1.8.4.2</w:t>
      </w:r>
      <w:r w:rsidR="00F73FFA" w:rsidRPr="00DE12A3">
        <w:rPr>
          <w:color w:val="auto"/>
          <w:sz w:val="24"/>
          <w:szCs w:val="24"/>
        </w:rPr>
        <w:t xml:space="preserve"> bendinin </w:t>
      </w:r>
      <w:r w:rsidRPr="00DE12A3">
        <w:rPr>
          <w:color w:val="auto"/>
          <w:sz w:val="24"/>
          <w:szCs w:val="24"/>
        </w:rPr>
        <w:t xml:space="preserve">(f) ve (g) </w:t>
      </w:r>
      <w:r w:rsidR="00F73FFA" w:rsidRPr="00DE12A3">
        <w:rPr>
          <w:color w:val="auto"/>
          <w:sz w:val="24"/>
          <w:szCs w:val="24"/>
        </w:rPr>
        <w:t xml:space="preserve">numaralı alt bentlerindeki </w:t>
      </w:r>
      <w:r w:rsidRPr="00DE12A3">
        <w:rPr>
          <w:color w:val="auto"/>
          <w:sz w:val="24"/>
          <w:szCs w:val="24"/>
        </w:rPr>
        <w:t>adımlar, PDP girişindeki olası hizmet içi basınçların tamamını yansıtan en az altı kısıtlayıcı konumunda veri kaydetmek için tekrarlanmalıdır</w:t>
      </w:r>
      <w:r w:rsidR="00F73FFA" w:rsidRPr="00DE12A3">
        <w:rPr>
          <w:color w:val="auto"/>
          <w:sz w:val="24"/>
          <w:szCs w:val="24"/>
        </w:rPr>
        <w:t>.</w:t>
      </w:r>
    </w:p>
    <w:p w14:paraId="50B2B114" w14:textId="083DFFC1" w:rsidR="002D7B36" w:rsidRPr="00DE12A3" w:rsidRDefault="00012B51" w:rsidP="00E20716">
      <w:pPr>
        <w:pStyle w:val="Gvdemetni255"/>
        <w:numPr>
          <w:ilvl w:val="0"/>
          <w:numId w:val="214"/>
        </w:numPr>
        <w:shd w:val="clear" w:color="auto" w:fill="auto"/>
        <w:spacing w:before="120" w:after="120" w:line="240" w:lineRule="auto"/>
        <w:ind w:left="1701" w:hanging="567"/>
        <w:rPr>
          <w:color w:val="auto"/>
          <w:sz w:val="24"/>
          <w:szCs w:val="24"/>
        </w:rPr>
      </w:pPr>
      <w:r w:rsidRPr="00DE12A3">
        <w:rPr>
          <w:color w:val="auto"/>
          <w:sz w:val="24"/>
          <w:szCs w:val="24"/>
        </w:rPr>
        <w:t xml:space="preserve">     </w:t>
      </w:r>
      <w:r w:rsidR="00242DA0" w:rsidRPr="00DE12A3">
        <w:rPr>
          <w:color w:val="auto"/>
          <w:sz w:val="24"/>
          <w:szCs w:val="24"/>
        </w:rPr>
        <w:t xml:space="preserve">PDP, toplanan veriler ve </w:t>
      </w:r>
      <w:r w:rsidR="00FA0678" w:rsidRPr="00DE12A3">
        <w:rPr>
          <w:color w:val="auto"/>
          <w:sz w:val="24"/>
          <w:szCs w:val="24"/>
        </w:rPr>
        <w:t>VII’nci ek</w:t>
      </w:r>
      <w:r w:rsidR="00242DA0" w:rsidRPr="00DE12A3">
        <w:rPr>
          <w:color w:val="auto"/>
          <w:sz w:val="24"/>
          <w:szCs w:val="24"/>
        </w:rPr>
        <w:t>te belirtilen denklemler kullanılarak kalibre edilmelidir</w:t>
      </w:r>
      <w:r w:rsidR="00F73FFA" w:rsidRPr="00DE12A3">
        <w:rPr>
          <w:color w:val="auto"/>
          <w:sz w:val="24"/>
          <w:szCs w:val="24"/>
        </w:rPr>
        <w:t>.</w:t>
      </w:r>
    </w:p>
    <w:p w14:paraId="72403503" w14:textId="27677A09" w:rsidR="002D7B36" w:rsidRPr="00DE12A3" w:rsidRDefault="00242DA0" w:rsidP="00C917D6">
      <w:pPr>
        <w:pStyle w:val="Gvdemetni255"/>
        <w:shd w:val="clear" w:color="auto" w:fill="auto"/>
        <w:spacing w:before="120" w:after="120" w:line="240" w:lineRule="auto"/>
        <w:ind w:left="1701" w:hanging="567"/>
        <w:rPr>
          <w:color w:val="auto"/>
          <w:sz w:val="24"/>
          <w:szCs w:val="24"/>
        </w:rPr>
      </w:pPr>
      <w:r w:rsidRPr="00DE12A3">
        <w:rPr>
          <w:color w:val="auto"/>
          <w:sz w:val="24"/>
          <w:szCs w:val="24"/>
        </w:rPr>
        <w:t>(j)</w:t>
      </w:r>
      <w:r w:rsidRPr="00DE12A3">
        <w:rPr>
          <w:color w:val="auto"/>
          <w:sz w:val="24"/>
          <w:szCs w:val="24"/>
        </w:rPr>
        <w:tab/>
        <w:t xml:space="preserve">Bu bendin (f) ila (i) </w:t>
      </w:r>
      <w:r w:rsidR="00F73FFA" w:rsidRPr="00DE12A3">
        <w:rPr>
          <w:color w:val="auto"/>
          <w:sz w:val="24"/>
          <w:szCs w:val="24"/>
        </w:rPr>
        <w:t xml:space="preserve">numaralı alt bentlerindeki </w:t>
      </w:r>
      <w:r w:rsidRPr="00DE12A3">
        <w:rPr>
          <w:color w:val="auto"/>
          <w:sz w:val="24"/>
          <w:szCs w:val="24"/>
        </w:rPr>
        <w:t>adımlar, PDP'nin kullanıldığı her devir için tekrarlanmalıdır</w:t>
      </w:r>
      <w:r w:rsidR="00F73FFA" w:rsidRPr="00DE12A3">
        <w:rPr>
          <w:color w:val="auto"/>
          <w:sz w:val="24"/>
          <w:szCs w:val="24"/>
        </w:rPr>
        <w:t>.</w:t>
      </w:r>
    </w:p>
    <w:p w14:paraId="243EB1BF" w14:textId="47C176CC" w:rsidR="002D7B36" w:rsidRPr="00DE12A3" w:rsidRDefault="00242DA0" w:rsidP="00C917D6">
      <w:pPr>
        <w:pStyle w:val="Gvdemetni255"/>
        <w:shd w:val="clear" w:color="auto" w:fill="auto"/>
        <w:spacing w:before="120" w:after="120" w:line="240" w:lineRule="auto"/>
        <w:ind w:left="1701" w:hanging="567"/>
        <w:rPr>
          <w:color w:val="auto"/>
          <w:sz w:val="24"/>
          <w:szCs w:val="24"/>
        </w:rPr>
      </w:pPr>
      <w:r w:rsidRPr="00DE12A3">
        <w:rPr>
          <w:color w:val="auto"/>
          <w:sz w:val="24"/>
          <w:szCs w:val="24"/>
        </w:rPr>
        <w:t>(k)</w:t>
      </w:r>
      <w:r w:rsidRPr="00DE12A3">
        <w:rPr>
          <w:color w:val="auto"/>
          <w:sz w:val="24"/>
          <w:szCs w:val="24"/>
        </w:rPr>
        <w:tab/>
        <w:t xml:space="preserve">Emisyon testi için PDP akış denkleminin belirlenmesi için, </w:t>
      </w:r>
      <w:r w:rsidR="00FA0678" w:rsidRPr="00DE12A3">
        <w:rPr>
          <w:color w:val="auto"/>
          <w:sz w:val="24"/>
          <w:szCs w:val="24"/>
        </w:rPr>
        <w:t>VII’nci ek</w:t>
      </w:r>
      <w:r w:rsidRPr="00DE12A3">
        <w:rPr>
          <w:color w:val="auto"/>
          <w:sz w:val="24"/>
          <w:szCs w:val="24"/>
        </w:rPr>
        <w:t xml:space="preserve">in 3. </w:t>
      </w:r>
      <w:r w:rsidR="00B32A92" w:rsidRPr="00DE12A3">
        <w:rPr>
          <w:color w:val="auto"/>
          <w:sz w:val="24"/>
          <w:szCs w:val="24"/>
        </w:rPr>
        <w:t>Bölüm</w:t>
      </w:r>
      <w:r w:rsidRPr="00DE12A3">
        <w:rPr>
          <w:color w:val="auto"/>
          <w:sz w:val="24"/>
          <w:szCs w:val="24"/>
        </w:rPr>
        <w:t xml:space="preserve">ündeki (molar bazlı yaklaşım) veya </w:t>
      </w:r>
      <w:r w:rsidR="00FA0678" w:rsidRPr="00DE12A3">
        <w:rPr>
          <w:color w:val="auto"/>
          <w:sz w:val="24"/>
          <w:szCs w:val="24"/>
        </w:rPr>
        <w:t xml:space="preserve">VII’nci </w:t>
      </w:r>
      <w:r w:rsidR="00C17C59" w:rsidRPr="00DE12A3">
        <w:rPr>
          <w:color w:val="auto"/>
          <w:sz w:val="24"/>
          <w:szCs w:val="24"/>
        </w:rPr>
        <w:t>E</w:t>
      </w:r>
      <w:r w:rsidR="00FA0678" w:rsidRPr="00DE12A3">
        <w:rPr>
          <w:color w:val="auto"/>
          <w:sz w:val="24"/>
          <w:szCs w:val="24"/>
        </w:rPr>
        <w:t>k</w:t>
      </w:r>
      <w:r w:rsidRPr="00DE12A3">
        <w:rPr>
          <w:color w:val="auto"/>
          <w:sz w:val="24"/>
          <w:szCs w:val="24"/>
        </w:rPr>
        <w:t xml:space="preserve">in 2. </w:t>
      </w:r>
      <w:r w:rsidR="00B32A92" w:rsidRPr="00DE12A3">
        <w:rPr>
          <w:color w:val="auto"/>
          <w:sz w:val="24"/>
          <w:szCs w:val="24"/>
        </w:rPr>
        <w:t>Bölüm</w:t>
      </w:r>
      <w:r w:rsidRPr="00DE12A3">
        <w:rPr>
          <w:color w:val="auto"/>
          <w:sz w:val="24"/>
          <w:szCs w:val="24"/>
        </w:rPr>
        <w:t>ündeki (kütle bazlı yaklaşım) denklemler kullanılmalıdır</w:t>
      </w:r>
      <w:r w:rsidR="00F73FFA" w:rsidRPr="00DE12A3">
        <w:rPr>
          <w:color w:val="auto"/>
          <w:sz w:val="24"/>
          <w:szCs w:val="24"/>
        </w:rPr>
        <w:t>.</w:t>
      </w:r>
    </w:p>
    <w:p w14:paraId="1435B765" w14:textId="63F74D8B" w:rsidR="002D7B36" w:rsidRPr="00DE12A3" w:rsidRDefault="00242DA0" w:rsidP="00C917D6">
      <w:pPr>
        <w:pStyle w:val="Gvdemetni255"/>
        <w:shd w:val="clear" w:color="auto" w:fill="auto"/>
        <w:spacing w:before="120" w:after="120" w:line="240" w:lineRule="auto"/>
        <w:ind w:left="1701" w:hanging="567"/>
        <w:rPr>
          <w:color w:val="auto"/>
          <w:sz w:val="24"/>
          <w:szCs w:val="24"/>
        </w:rPr>
      </w:pPr>
      <w:r w:rsidRPr="00DE12A3">
        <w:rPr>
          <w:color w:val="auto"/>
          <w:sz w:val="24"/>
          <w:szCs w:val="24"/>
        </w:rPr>
        <w:t>(l)</w:t>
      </w:r>
      <w:r w:rsidRPr="00DE12A3">
        <w:rPr>
          <w:color w:val="auto"/>
          <w:sz w:val="24"/>
          <w:szCs w:val="24"/>
        </w:rPr>
        <w:tab/>
        <w:t>Kalibrasyon, 8.1.8.5 bendinde açıklandığı gibi bir CVS doğrulaması (yani propan kontrolü) yapılarak doğrulanmalıdır</w:t>
      </w:r>
      <w:r w:rsidR="00F73FFA" w:rsidRPr="00DE12A3">
        <w:rPr>
          <w:color w:val="auto"/>
          <w:sz w:val="24"/>
          <w:szCs w:val="24"/>
        </w:rPr>
        <w:t>.</w:t>
      </w:r>
    </w:p>
    <w:p w14:paraId="6BC94A59" w14:textId="77777777" w:rsidR="002D7B36" w:rsidRPr="00DE12A3" w:rsidRDefault="00242DA0" w:rsidP="00C917D6">
      <w:pPr>
        <w:pStyle w:val="Gvdemetni255"/>
        <w:shd w:val="clear" w:color="auto" w:fill="auto"/>
        <w:spacing w:before="120" w:after="120" w:line="240" w:lineRule="auto"/>
        <w:ind w:left="1701" w:hanging="567"/>
        <w:rPr>
          <w:color w:val="auto"/>
          <w:sz w:val="24"/>
          <w:szCs w:val="24"/>
        </w:rPr>
      </w:pPr>
      <w:r w:rsidRPr="00DE12A3">
        <w:rPr>
          <w:color w:val="auto"/>
          <w:sz w:val="24"/>
          <w:szCs w:val="24"/>
        </w:rPr>
        <w:t>(m)</w:t>
      </w:r>
      <w:r w:rsidR="00012B51" w:rsidRPr="00DE12A3">
        <w:rPr>
          <w:color w:val="auto"/>
          <w:sz w:val="24"/>
          <w:szCs w:val="24"/>
        </w:rPr>
        <w:t xml:space="preserve">   </w:t>
      </w:r>
      <w:r w:rsidRPr="00DE12A3">
        <w:rPr>
          <w:color w:val="auto"/>
          <w:sz w:val="24"/>
          <w:szCs w:val="24"/>
        </w:rPr>
        <w:t>PDP, kalibrasyon sırasında test edilen en düşük giriş basıncının altında kullanılamaz.</w:t>
      </w:r>
    </w:p>
    <w:p w14:paraId="24361C10" w14:textId="77777777" w:rsidR="002D7B36" w:rsidRPr="00DE12A3" w:rsidRDefault="00242DA0" w:rsidP="00C917D6">
      <w:pPr>
        <w:pStyle w:val="Gvdemetni255"/>
        <w:shd w:val="clear" w:color="auto" w:fill="auto"/>
        <w:tabs>
          <w:tab w:val="right" w:pos="2083"/>
        </w:tabs>
        <w:spacing w:before="120" w:after="120" w:line="240" w:lineRule="auto"/>
        <w:ind w:left="1134" w:hanging="1134"/>
        <w:rPr>
          <w:color w:val="auto"/>
          <w:sz w:val="24"/>
          <w:szCs w:val="24"/>
        </w:rPr>
      </w:pPr>
      <w:r w:rsidRPr="00DE12A3">
        <w:rPr>
          <w:rStyle w:val="Gvdemetni2585pt0ptbolukbraklyor3"/>
          <w:color w:val="auto"/>
          <w:sz w:val="24"/>
          <w:szCs w:val="24"/>
          <w:lang w:val="tr-TR"/>
        </w:rPr>
        <w:t>8</w:t>
      </w:r>
      <w:r w:rsidRPr="00DE12A3">
        <w:rPr>
          <w:color w:val="auto"/>
          <w:sz w:val="24"/>
          <w:szCs w:val="24"/>
        </w:rPr>
        <w:t>.1.8.4.3.</w:t>
      </w:r>
      <w:r w:rsidRPr="00DE12A3">
        <w:rPr>
          <w:color w:val="auto"/>
          <w:sz w:val="24"/>
          <w:szCs w:val="24"/>
        </w:rPr>
        <w:tab/>
        <w:t>CFV kalibrasyonu</w:t>
      </w:r>
    </w:p>
    <w:p w14:paraId="4ADF62A9" w14:textId="77777777" w:rsidR="002D7B36" w:rsidRPr="00DE12A3" w:rsidRDefault="00012B51" w:rsidP="00C917D6">
      <w:pPr>
        <w:pStyle w:val="Gvdemetni255"/>
        <w:shd w:val="clear" w:color="auto" w:fill="auto"/>
        <w:spacing w:before="120" w:after="120" w:line="240" w:lineRule="auto"/>
        <w:ind w:left="1134" w:hanging="1134"/>
        <w:rPr>
          <w:color w:val="auto"/>
          <w:sz w:val="24"/>
          <w:szCs w:val="24"/>
        </w:rPr>
      </w:pPr>
      <w:r w:rsidRPr="00DE12A3">
        <w:rPr>
          <w:color w:val="auto"/>
          <w:sz w:val="24"/>
          <w:szCs w:val="24"/>
        </w:rPr>
        <w:t xml:space="preserve">                  </w:t>
      </w:r>
      <w:r w:rsidR="00242DA0" w:rsidRPr="00DE12A3">
        <w:rPr>
          <w:color w:val="auto"/>
          <w:sz w:val="24"/>
          <w:szCs w:val="24"/>
        </w:rPr>
        <w:t xml:space="preserve">Kritik akış venturi (CFV), CFV girişi ve çıkışı arasındaki beklenen en düşük statik fark basıncındaki boşalma katsayısı olan </w:t>
      </w:r>
      <w:r w:rsidR="00242DA0" w:rsidRPr="00DE12A3">
        <w:rPr>
          <w:i/>
          <w:iCs/>
          <w:color w:val="auto"/>
          <w:sz w:val="24"/>
          <w:szCs w:val="24"/>
        </w:rPr>
        <w:t>C</w:t>
      </w:r>
      <w:r w:rsidR="00242DA0" w:rsidRPr="00DE12A3">
        <w:rPr>
          <w:color w:val="auto"/>
          <w:sz w:val="24"/>
          <w:szCs w:val="24"/>
          <w:vertAlign w:val="subscript"/>
        </w:rPr>
        <w:t>d</w:t>
      </w:r>
      <w:r w:rsidR="00242DA0" w:rsidRPr="00DE12A3">
        <w:rPr>
          <w:color w:val="auto"/>
          <w:sz w:val="24"/>
          <w:szCs w:val="24"/>
        </w:rPr>
        <w:t>'yi doğrulamak için kalibre edilmelidir. CFV sayacı aşağıdaki şekilde kalibre edilmelidir:</w:t>
      </w:r>
    </w:p>
    <w:p w14:paraId="76D8C6DB" w14:textId="2166BABE" w:rsidR="002D7B36" w:rsidRPr="00DE12A3" w:rsidRDefault="00012B51" w:rsidP="00E20716">
      <w:pPr>
        <w:pStyle w:val="Gvdemetni255"/>
        <w:numPr>
          <w:ilvl w:val="0"/>
          <w:numId w:val="217"/>
        </w:numPr>
        <w:shd w:val="clear" w:color="auto" w:fill="auto"/>
        <w:spacing w:before="120" w:after="120" w:line="240" w:lineRule="auto"/>
        <w:ind w:left="1701" w:hanging="567"/>
        <w:rPr>
          <w:color w:val="auto"/>
          <w:sz w:val="24"/>
          <w:szCs w:val="24"/>
        </w:rPr>
      </w:pPr>
      <w:r w:rsidRPr="00DE12A3">
        <w:rPr>
          <w:color w:val="auto"/>
          <w:sz w:val="24"/>
          <w:szCs w:val="24"/>
        </w:rPr>
        <w:t xml:space="preserve">     </w:t>
      </w:r>
      <w:r w:rsidR="00242DA0" w:rsidRPr="00DE12A3">
        <w:rPr>
          <w:color w:val="auto"/>
          <w:sz w:val="24"/>
          <w:szCs w:val="24"/>
        </w:rPr>
        <w:t>Sistem Şekil 6.5'te gösterildiği gibi bağlanmalıdır</w:t>
      </w:r>
      <w:r w:rsidR="00F73FFA" w:rsidRPr="00DE12A3">
        <w:rPr>
          <w:color w:val="auto"/>
          <w:sz w:val="24"/>
          <w:szCs w:val="24"/>
        </w:rPr>
        <w:t>.</w:t>
      </w:r>
    </w:p>
    <w:p w14:paraId="7551BB1D" w14:textId="7D16DE6A" w:rsidR="002D7B36" w:rsidRPr="00DE12A3" w:rsidRDefault="00242DA0" w:rsidP="00E20716">
      <w:pPr>
        <w:pStyle w:val="Gvdemetni255"/>
        <w:numPr>
          <w:ilvl w:val="0"/>
          <w:numId w:val="217"/>
        </w:numPr>
        <w:shd w:val="clear" w:color="auto" w:fill="auto"/>
        <w:spacing w:before="120" w:after="120" w:line="240" w:lineRule="auto"/>
        <w:ind w:left="1701" w:hanging="567"/>
        <w:rPr>
          <w:color w:val="auto"/>
          <w:sz w:val="24"/>
          <w:szCs w:val="24"/>
        </w:rPr>
      </w:pPr>
      <w:r w:rsidRPr="00DE12A3">
        <w:rPr>
          <w:color w:val="auto"/>
          <w:sz w:val="24"/>
          <w:szCs w:val="24"/>
        </w:rPr>
        <w:t>Üfleyici CFV'nin çıkış kısmında çalıştırılmalıdır</w:t>
      </w:r>
      <w:r w:rsidR="00F73FFA" w:rsidRPr="00DE12A3">
        <w:rPr>
          <w:color w:val="auto"/>
          <w:sz w:val="24"/>
          <w:szCs w:val="24"/>
        </w:rPr>
        <w:t>.</w:t>
      </w:r>
    </w:p>
    <w:p w14:paraId="5B84359A" w14:textId="715F8F14" w:rsidR="002D7B36" w:rsidRPr="00DE12A3" w:rsidRDefault="00012B51" w:rsidP="00E20716">
      <w:pPr>
        <w:pStyle w:val="Gvdemetni255"/>
        <w:numPr>
          <w:ilvl w:val="0"/>
          <w:numId w:val="217"/>
        </w:numPr>
        <w:shd w:val="clear" w:color="auto" w:fill="auto"/>
        <w:spacing w:before="120" w:after="120" w:line="240" w:lineRule="auto"/>
        <w:ind w:left="1701" w:hanging="567"/>
        <w:rPr>
          <w:color w:val="auto"/>
          <w:sz w:val="24"/>
          <w:szCs w:val="24"/>
        </w:rPr>
      </w:pPr>
      <w:r w:rsidRPr="00DE12A3">
        <w:rPr>
          <w:color w:val="auto"/>
          <w:sz w:val="24"/>
          <w:szCs w:val="24"/>
        </w:rPr>
        <w:t xml:space="preserve">     </w:t>
      </w:r>
      <w:r w:rsidR="00242DA0" w:rsidRPr="00DE12A3">
        <w:rPr>
          <w:color w:val="auto"/>
          <w:sz w:val="24"/>
          <w:szCs w:val="24"/>
        </w:rPr>
        <w:t xml:space="preserve">CFV çalışır durumdayken, CFV girişinde sabit bir sıcaklık, ortalama mutlak giriş sıcaklığı </w:t>
      </w:r>
      <w:r w:rsidR="00242DA0" w:rsidRPr="00DE12A3">
        <w:rPr>
          <w:i/>
          <w:iCs/>
          <w:color w:val="auto"/>
          <w:sz w:val="24"/>
          <w:szCs w:val="24"/>
        </w:rPr>
        <w:t>T</w:t>
      </w:r>
      <w:r w:rsidR="00242DA0" w:rsidRPr="00DE12A3">
        <w:rPr>
          <w:color w:val="auto"/>
          <w:sz w:val="24"/>
          <w:szCs w:val="24"/>
          <w:vertAlign w:val="subscript"/>
        </w:rPr>
        <w:t>in</w:t>
      </w:r>
      <w:r w:rsidR="00242DA0" w:rsidRPr="00DE12A3">
        <w:rPr>
          <w:color w:val="auto"/>
          <w:sz w:val="24"/>
          <w:szCs w:val="24"/>
        </w:rPr>
        <w:t xml:space="preserve"> ± </w:t>
      </w:r>
      <w:r w:rsidR="004E7F54" w:rsidRPr="00DE12A3">
        <w:rPr>
          <w:color w:val="auto"/>
          <w:sz w:val="24"/>
          <w:szCs w:val="24"/>
        </w:rPr>
        <w:t>%2</w:t>
      </w:r>
      <w:r w:rsidR="00242DA0" w:rsidRPr="00DE12A3">
        <w:rPr>
          <w:color w:val="auto"/>
          <w:sz w:val="24"/>
          <w:szCs w:val="24"/>
        </w:rPr>
        <w:t xml:space="preserve"> aralığı içinde muhafaza edilmelidir</w:t>
      </w:r>
      <w:r w:rsidR="00F73FFA" w:rsidRPr="00DE12A3">
        <w:rPr>
          <w:color w:val="auto"/>
          <w:sz w:val="24"/>
          <w:szCs w:val="24"/>
        </w:rPr>
        <w:t>.</w:t>
      </w:r>
    </w:p>
    <w:p w14:paraId="7A094EB3" w14:textId="7A00D4CB" w:rsidR="002D7B36" w:rsidRPr="00DE12A3" w:rsidRDefault="00242DA0" w:rsidP="00E20716">
      <w:pPr>
        <w:pStyle w:val="Gvdemetni255"/>
        <w:numPr>
          <w:ilvl w:val="0"/>
          <w:numId w:val="217"/>
        </w:numPr>
        <w:shd w:val="clear" w:color="auto" w:fill="auto"/>
        <w:spacing w:before="120" w:after="120" w:line="240" w:lineRule="auto"/>
        <w:ind w:left="1701" w:hanging="567"/>
        <w:rPr>
          <w:color w:val="auto"/>
          <w:sz w:val="24"/>
          <w:szCs w:val="24"/>
        </w:rPr>
      </w:pPr>
      <w:r w:rsidRPr="00DE12A3">
        <w:rPr>
          <w:color w:val="auto"/>
          <w:sz w:val="24"/>
          <w:szCs w:val="24"/>
        </w:rPr>
        <w:t xml:space="preserve">Kalibrasyon sayacı ve CFV arasındaki kaçaklar, en yüksek basınç kısıtlamasındaki toplam akış miktarının </w:t>
      </w:r>
      <w:r w:rsidR="004E7F54" w:rsidRPr="00DE12A3">
        <w:rPr>
          <w:color w:val="auto"/>
          <w:sz w:val="24"/>
          <w:szCs w:val="24"/>
        </w:rPr>
        <w:t>%0,3</w:t>
      </w:r>
      <w:r w:rsidRPr="00DE12A3">
        <w:rPr>
          <w:color w:val="auto"/>
          <w:sz w:val="24"/>
          <w:szCs w:val="24"/>
        </w:rPr>
        <w:t>'ünden az olmalıdır</w:t>
      </w:r>
      <w:r w:rsidR="00F73FFA" w:rsidRPr="00DE12A3">
        <w:rPr>
          <w:color w:val="auto"/>
          <w:sz w:val="24"/>
          <w:szCs w:val="24"/>
        </w:rPr>
        <w:t>.</w:t>
      </w:r>
    </w:p>
    <w:p w14:paraId="521D2F99" w14:textId="7E349855" w:rsidR="002D7B36" w:rsidRPr="00DE12A3" w:rsidRDefault="00012B51" w:rsidP="00E20716">
      <w:pPr>
        <w:pStyle w:val="Gvdemetni255"/>
        <w:numPr>
          <w:ilvl w:val="0"/>
          <w:numId w:val="217"/>
        </w:numPr>
        <w:shd w:val="clear" w:color="auto" w:fill="auto"/>
        <w:spacing w:before="120" w:after="120" w:line="240" w:lineRule="auto"/>
        <w:ind w:left="1701" w:hanging="567"/>
        <w:rPr>
          <w:color w:val="auto"/>
          <w:sz w:val="24"/>
          <w:szCs w:val="24"/>
        </w:rPr>
      </w:pPr>
      <w:r w:rsidRPr="00DE12A3">
        <w:rPr>
          <w:color w:val="auto"/>
          <w:sz w:val="24"/>
          <w:szCs w:val="24"/>
        </w:rPr>
        <w:t xml:space="preserve">     </w:t>
      </w:r>
      <w:r w:rsidR="00242DA0" w:rsidRPr="00DE12A3">
        <w:rPr>
          <w:color w:val="auto"/>
          <w:sz w:val="24"/>
          <w:szCs w:val="24"/>
        </w:rPr>
        <w:t>Değişken kısıtlayıcı, tam açık pozisyona ayarlanır</w:t>
      </w:r>
      <w:r w:rsidR="00F73FFA" w:rsidRPr="00DE12A3">
        <w:rPr>
          <w:color w:val="auto"/>
          <w:sz w:val="24"/>
          <w:szCs w:val="24"/>
        </w:rPr>
        <w:t>.</w:t>
      </w:r>
      <w:r w:rsidR="00242DA0" w:rsidRPr="00DE12A3">
        <w:rPr>
          <w:color w:val="auto"/>
          <w:sz w:val="24"/>
          <w:szCs w:val="24"/>
        </w:rPr>
        <w:t xml:space="preserve"> Değişken bir kısıtlayıcı yerine, CFV'nin çıkış kısmındaki basınç değişken üfleyici devri </w:t>
      </w:r>
      <w:r w:rsidR="00242DA0" w:rsidRPr="00DE12A3">
        <w:rPr>
          <w:color w:val="auto"/>
          <w:sz w:val="24"/>
          <w:szCs w:val="24"/>
        </w:rPr>
        <w:lastRenderedPageBreak/>
        <w:t>ile veya kontrollü bir kaçak oluşturularak değiştirilebilir. Bazı üfleyicilerin yüklenmemiş koşullarda sınırları olduğu unutulmamalıdır</w:t>
      </w:r>
      <w:r w:rsidR="00F73FFA" w:rsidRPr="00DE12A3">
        <w:rPr>
          <w:color w:val="auto"/>
          <w:sz w:val="24"/>
          <w:szCs w:val="24"/>
        </w:rPr>
        <w:t>.</w:t>
      </w:r>
    </w:p>
    <w:p w14:paraId="44B7E31D" w14:textId="42C4F169" w:rsidR="002D7B36" w:rsidRPr="00DE12A3" w:rsidRDefault="00012B51" w:rsidP="00E20716">
      <w:pPr>
        <w:pStyle w:val="Gvdemetni255"/>
        <w:numPr>
          <w:ilvl w:val="0"/>
          <w:numId w:val="217"/>
        </w:numPr>
        <w:shd w:val="clear" w:color="auto" w:fill="auto"/>
        <w:spacing w:before="120" w:after="120" w:line="240" w:lineRule="auto"/>
        <w:ind w:left="1701" w:hanging="567"/>
        <w:rPr>
          <w:color w:val="auto"/>
          <w:sz w:val="24"/>
          <w:szCs w:val="24"/>
        </w:rPr>
      </w:pPr>
      <w:r w:rsidRPr="00DE12A3">
        <w:rPr>
          <w:color w:val="auto"/>
          <w:sz w:val="24"/>
          <w:szCs w:val="24"/>
        </w:rPr>
        <w:t xml:space="preserve">     </w:t>
      </w:r>
      <w:r w:rsidR="00242DA0" w:rsidRPr="00DE12A3">
        <w:rPr>
          <w:color w:val="auto"/>
          <w:sz w:val="24"/>
          <w:szCs w:val="24"/>
        </w:rPr>
        <w:t>CFV, sistemi dengelemek için en az 3 dakika boyunca çalıştırılmalıdır. CFV çalışmaya devam eder ve aşağıdaki miktarların her birine ait en az 30 s örneklenmiş verilerin ortalama değerleri kaydedilir</w:t>
      </w:r>
      <w:r w:rsidR="00F73FFA" w:rsidRPr="00DE12A3">
        <w:rPr>
          <w:color w:val="auto"/>
          <w:sz w:val="24"/>
          <w:szCs w:val="24"/>
        </w:rPr>
        <w:t>.</w:t>
      </w:r>
    </w:p>
    <w:p w14:paraId="5D90A3E7" w14:textId="186E1ECA" w:rsidR="002D7B36" w:rsidRPr="00DE12A3" w:rsidRDefault="00012B51" w:rsidP="00E20716">
      <w:pPr>
        <w:pStyle w:val="Gvdemetni255"/>
        <w:numPr>
          <w:ilvl w:val="0"/>
          <w:numId w:val="218"/>
        </w:numPr>
        <w:shd w:val="clear" w:color="auto" w:fill="auto"/>
        <w:spacing w:before="120" w:after="120" w:line="240" w:lineRule="auto"/>
        <w:ind w:left="2268" w:hanging="567"/>
        <w:rPr>
          <w:color w:val="auto"/>
          <w:sz w:val="24"/>
          <w:szCs w:val="24"/>
        </w:rPr>
      </w:pPr>
      <w:r w:rsidRPr="00DE12A3">
        <w:rPr>
          <w:color w:val="auto"/>
          <w:sz w:val="24"/>
          <w:szCs w:val="24"/>
        </w:rPr>
        <w:t xml:space="preserve">  </w:t>
      </w:r>
      <w:r w:rsidR="00242DA0" w:rsidRPr="00DE12A3">
        <w:rPr>
          <w:color w:val="auto"/>
          <w:sz w:val="24"/>
          <w:szCs w:val="24"/>
        </w:rPr>
        <w:t xml:space="preserve">Referans sayacın ortalama debisi, </w:t>
      </w:r>
      <w:r w:rsidR="00242DA0" w:rsidRPr="00DE12A3">
        <w:rPr>
          <w:i/>
          <w:iCs/>
          <w:color w:val="auto"/>
          <w:sz w:val="24"/>
          <w:szCs w:val="24"/>
        </w:rPr>
        <w:t>q</w:t>
      </w:r>
      <w:r w:rsidR="00242DA0" w:rsidRPr="00DE12A3">
        <w:rPr>
          <w:i/>
          <w:iCs/>
          <w:color w:val="auto"/>
          <w:sz w:val="24"/>
          <w:szCs w:val="24"/>
          <w:vertAlign w:val="subscript"/>
        </w:rPr>
        <w:t>V</w:t>
      </w:r>
      <w:r w:rsidR="00242DA0" w:rsidRPr="00DE12A3">
        <w:rPr>
          <w:color w:val="auto"/>
          <w:sz w:val="24"/>
          <w:szCs w:val="24"/>
          <w:vertAlign w:val="subscript"/>
        </w:rPr>
        <w:t>ref</w:t>
      </w:r>
      <w:r w:rsidR="00F73FFA" w:rsidRPr="00DE12A3">
        <w:rPr>
          <w:color w:val="auto"/>
          <w:sz w:val="24"/>
          <w:szCs w:val="24"/>
        </w:rPr>
        <w:t>.</w:t>
      </w:r>
    </w:p>
    <w:p w14:paraId="10ECC2FE" w14:textId="3ABEE6DB" w:rsidR="002D7B36" w:rsidRPr="00DE12A3" w:rsidRDefault="00012B51" w:rsidP="00E20716">
      <w:pPr>
        <w:pStyle w:val="Gvdemetni255"/>
        <w:numPr>
          <w:ilvl w:val="0"/>
          <w:numId w:val="218"/>
        </w:numPr>
        <w:shd w:val="clear" w:color="auto" w:fill="auto"/>
        <w:spacing w:before="120" w:after="120" w:line="240" w:lineRule="auto"/>
        <w:ind w:left="2268" w:hanging="567"/>
        <w:rPr>
          <w:color w:val="auto"/>
          <w:sz w:val="24"/>
          <w:szCs w:val="24"/>
        </w:rPr>
      </w:pPr>
      <w:r w:rsidRPr="00DE12A3">
        <w:rPr>
          <w:color w:val="auto"/>
          <w:sz w:val="24"/>
          <w:szCs w:val="24"/>
        </w:rPr>
        <w:t xml:space="preserve">  </w:t>
      </w:r>
      <w:r w:rsidR="00242DA0" w:rsidRPr="00DE12A3">
        <w:rPr>
          <w:color w:val="auto"/>
          <w:sz w:val="24"/>
          <w:szCs w:val="24"/>
        </w:rPr>
        <w:t xml:space="preserve">İsteğe bağlı olarak, kalibrasyon havasının ortalama yoğuşma noktası, </w:t>
      </w:r>
      <w:r w:rsidR="00242DA0" w:rsidRPr="00DE12A3">
        <w:rPr>
          <w:i/>
          <w:iCs/>
          <w:color w:val="auto"/>
          <w:sz w:val="24"/>
          <w:szCs w:val="24"/>
        </w:rPr>
        <w:t>T</w:t>
      </w:r>
      <w:r w:rsidR="00242DA0" w:rsidRPr="00DE12A3">
        <w:rPr>
          <w:color w:val="auto"/>
          <w:sz w:val="24"/>
          <w:szCs w:val="24"/>
          <w:vertAlign w:val="subscript"/>
        </w:rPr>
        <w:t>dew</w:t>
      </w:r>
      <w:r w:rsidR="00242DA0" w:rsidRPr="00DE12A3">
        <w:rPr>
          <w:color w:val="auto"/>
          <w:sz w:val="24"/>
          <w:szCs w:val="24"/>
        </w:rPr>
        <w:t xml:space="preserve">. Emisyon ölçümleri sırasında izin verilen varsayımlar için </w:t>
      </w:r>
      <w:r w:rsidR="00FA0678" w:rsidRPr="00DE12A3">
        <w:rPr>
          <w:color w:val="auto"/>
          <w:sz w:val="24"/>
          <w:szCs w:val="24"/>
        </w:rPr>
        <w:t xml:space="preserve">VII’nci </w:t>
      </w:r>
      <w:r w:rsidR="00F73FFA" w:rsidRPr="00DE12A3">
        <w:rPr>
          <w:color w:val="auto"/>
          <w:sz w:val="24"/>
          <w:szCs w:val="24"/>
        </w:rPr>
        <w:t>E</w:t>
      </w:r>
      <w:r w:rsidR="00FA0678" w:rsidRPr="00DE12A3">
        <w:rPr>
          <w:color w:val="auto"/>
          <w:sz w:val="24"/>
          <w:szCs w:val="24"/>
        </w:rPr>
        <w:t>k</w:t>
      </w:r>
      <w:r w:rsidR="00242DA0" w:rsidRPr="00DE12A3">
        <w:rPr>
          <w:color w:val="auto"/>
          <w:sz w:val="24"/>
          <w:szCs w:val="24"/>
        </w:rPr>
        <w:t>e bakınız</w:t>
      </w:r>
      <w:r w:rsidR="00F73FFA" w:rsidRPr="00DE12A3">
        <w:rPr>
          <w:color w:val="auto"/>
          <w:sz w:val="24"/>
          <w:szCs w:val="24"/>
        </w:rPr>
        <w:t>.</w:t>
      </w:r>
    </w:p>
    <w:p w14:paraId="6601373A" w14:textId="48AB3F2B" w:rsidR="002D7B36" w:rsidRPr="00DE12A3" w:rsidRDefault="00012B51" w:rsidP="00E20716">
      <w:pPr>
        <w:pStyle w:val="Gvdemetni255"/>
        <w:numPr>
          <w:ilvl w:val="0"/>
          <w:numId w:val="218"/>
        </w:numPr>
        <w:shd w:val="clear" w:color="auto" w:fill="auto"/>
        <w:spacing w:before="120" w:after="120" w:line="240" w:lineRule="auto"/>
        <w:ind w:left="2268" w:hanging="567"/>
        <w:rPr>
          <w:color w:val="auto"/>
          <w:sz w:val="24"/>
          <w:szCs w:val="24"/>
        </w:rPr>
      </w:pPr>
      <w:r w:rsidRPr="00DE12A3">
        <w:rPr>
          <w:color w:val="auto"/>
          <w:sz w:val="24"/>
          <w:szCs w:val="24"/>
        </w:rPr>
        <w:t xml:space="preserve">   </w:t>
      </w:r>
      <w:r w:rsidR="00242DA0" w:rsidRPr="00DE12A3">
        <w:rPr>
          <w:color w:val="auto"/>
          <w:sz w:val="24"/>
          <w:szCs w:val="24"/>
        </w:rPr>
        <w:t xml:space="preserve">Venturi girişindeki ortalama sıcaklık, </w:t>
      </w:r>
      <w:r w:rsidR="00242DA0" w:rsidRPr="00DE12A3">
        <w:rPr>
          <w:i/>
          <w:iCs/>
          <w:color w:val="auto"/>
          <w:sz w:val="24"/>
          <w:szCs w:val="24"/>
        </w:rPr>
        <w:t>T</w:t>
      </w:r>
      <w:r w:rsidR="00242DA0" w:rsidRPr="00DE12A3">
        <w:rPr>
          <w:color w:val="auto"/>
          <w:sz w:val="24"/>
          <w:szCs w:val="24"/>
          <w:vertAlign w:val="subscript"/>
        </w:rPr>
        <w:t>in</w:t>
      </w:r>
      <w:r w:rsidR="00F73FFA" w:rsidRPr="00DE12A3">
        <w:rPr>
          <w:color w:val="auto"/>
          <w:sz w:val="24"/>
          <w:szCs w:val="24"/>
        </w:rPr>
        <w:t>.</w:t>
      </w:r>
    </w:p>
    <w:p w14:paraId="57B0ABAC" w14:textId="6CA325C4" w:rsidR="002D7B36" w:rsidRPr="00DE12A3" w:rsidRDefault="00012B51" w:rsidP="00E20716">
      <w:pPr>
        <w:pStyle w:val="Gvdemetni255"/>
        <w:numPr>
          <w:ilvl w:val="0"/>
          <w:numId w:val="218"/>
        </w:numPr>
        <w:shd w:val="clear" w:color="auto" w:fill="auto"/>
        <w:spacing w:before="120" w:after="120" w:line="240" w:lineRule="auto"/>
        <w:ind w:left="2268" w:hanging="567"/>
        <w:rPr>
          <w:color w:val="auto"/>
          <w:sz w:val="24"/>
          <w:szCs w:val="24"/>
        </w:rPr>
      </w:pPr>
      <w:r w:rsidRPr="00DE12A3">
        <w:rPr>
          <w:color w:val="auto"/>
          <w:sz w:val="24"/>
          <w:szCs w:val="24"/>
        </w:rPr>
        <w:t xml:space="preserve">    </w:t>
      </w:r>
      <w:r w:rsidR="00242DA0" w:rsidRPr="00DE12A3">
        <w:rPr>
          <w:color w:val="auto"/>
          <w:sz w:val="24"/>
          <w:szCs w:val="24"/>
        </w:rPr>
        <w:t xml:space="preserve">Venturi girişindeki ortalama statik mutlak basınç, </w:t>
      </w:r>
      <w:r w:rsidR="00242DA0" w:rsidRPr="00DE12A3">
        <w:rPr>
          <w:i/>
          <w:iCs/>
          <w:color w:val="auto"/>
          <w:sz w:val="24"/>
          <w:szCs w:val="24"/>
        </w:rPr>
        <w:t>p</w:t>
      </w:r>
      <w:r w:rsidR="00242DA0" w:rsidRPr="00DE12A3">
        <w:rPr>
          <w:color w:val="auto"/>
          <w:sz w:val="24"/>
          <w:szCs w:val="24"/>
          <w:vertAlign w:val="subscript"/>
        </w:rPr>
        <w:t>in</w:t>
      </w:r>
      <w:r w:rsidR="00F73FFA" w:rsidRPr="00DE12A3">
        <w:rPr>
          <w:color w:val="auto"/>
          <w:sz w:val="24"/>
          <w:szCs w:val="24"/>
        </w:rPr>
        <w:t>.</w:t>
      </w:r>
    </w:p>
    <w:p w14:paraId="2FB6CC23" w14:textId="49ECC58A" w:rsidR="002D7B36" w:rsidRPr="00DE12A3" w:rsidRDefault="00012B51" w:rsidP="00E20716">
      <w:pPr>
        <w:pStyle w:val="Gvdemetni255"/>
        <w:numPr>
          <w:ilvl w:val="0"/>
          <w:numId w:val="218"/>
        </w:numPr>
        <w:shd w:val="clear" w:color="auto" w:fill="auto"/>
        <w:spacing w:before="120" w:after="120" w:line="240" w:lineRule="auto"/>
        <w:ind w:left="2268" w:hanging="567"/>
        <w:rPr>
          <w:color w:val="auto"/>
          <w:sz w:val="24"/>
          <w:szCs w:val="24"/>
        </w:rPr>
      </w:pPr>
      <w:r w:rsidRPr="00DE12A3">
        <w:rPr>
          <w:color w:val="auto"/>
          <w:sz w:val="24"/>
          <w:szCs w:val="24"/>
        </w:rPr>
        <w:t xml:space="preserve">    </w:t>
      </w:r>
      <w:r w:rsidR="00242DA0" w:rsidRPr="00DE12A3">
        <w:rPr>
          <w:color w:val="auto"/>
          <w:sz w:val="24"/>
          <w:szCs w:val="24"/>
        </w:rPr>
        <w:t xml:space="preserve">CFV girişi ile CFV çıkışı arasındaki ortalama statik fark basıncı, </w:t>
      </w:r>
      <w:bookmarkStart w:id="18" w:name="_Hlk22478373"/>
      <w:r w:rsidR="00242DA0" w:rsidRPr="00DE12A3">
        <w:rPr>
          <w:rFonts w:eastAsia="Courier New"/>
          <w:color w:val="auto"/>
          <w:spacing w:val="0"/>
          <w:sz w:val="24"/>
          <w:szCs w:val="24"/>
        </w:rPr>
        <w:t>Δ</w:t>
      </w:r>
      <w:r w:rsidR="00242DA0" w:rsidRPr="00DE12A3">
        <w:rPr>
          <w:rFonts w:eastAsia="Courier New"/>
          <w:i/>
          <w:iCs/>
          <w:color w:val="auto"/>
          <w:spacing w:val="0"/>
          <w:sz w:val="24"/>
          <w:szCs w:val="24"/>
        </w:rPr>
        <w:t>p</w:t>
      </w:r>
      <w:r w:rsidR="00242DA0" w:rsidRPr="00DE12A3">
        <w:rPr>
          <w:rFonts w:eastAsia="Courier New"/>
          <w:color w:val="auto"/>
          <w:spacing w:val="0"/>
          <w:sz w:val="24"/>
          <w:szCs w:val="24"/>
          <w:vertAlign w:val="subscript"/>
        </w:rPr>
        <w:t>CFV</w:t>
      </w:r>
      <w:bookmarkEnd w:id="18"/>
      <w:r w:rsidR="00F73FFA" w:rsidRPr="00DE12A3">
        <w:rPr>
          <w:color w:val="auto"/>
          <w:sz w:val="24"/>
          <w:szCs w:val="24"/>
        </w:rPr>
        <w:t>.</w:t>
      </w:r>
    </w:p>
    <w:p w14:paraId="12C22EB6" w14:textId="1B632A5C" w:rsidR="002D7B36" w:rsidRPr="00DE12A3" w:rsidRDefault="00242DA0" w:rsidP="00E20716">
      <w:pPr>
        <w:pStyle w:val="Gvdemetni255"/>
        <w:numPr>
          <w:ilvl w:val="0"/>
          <w:numId w:val="217"/>
        </w:numPr>
        <w:shd w:val="clear" w:color="auto" w:fill="auto"/>
        <w:spacing w:before="120" w:after="120" w:line="240" w:lineRule="auto"/>
        <w:ind w:left="1701" w:hanging="567"/>
        <w:rPr>
          <w:color w:val="auto"/>
          <w:sz w:val="24"/>
          <w:szCs w:val="24"/>
        </w:rPr>
      </w:pPr>
      <w:r w:rsidRPr="00DE12A3">
        <w:rPr>
          <w:color w:val="auto"/>
          <w:sz w:val="24"/>
          <w:szCs w:val="24"/>
        </w:rPr>
        <w:t xml:space="preserve">Kısıtlayıcı valf, CFV girişindeki mutlak basınç </w:t>
      </w:r>
      <w:r w:rsidRPr="00DE12A3">
        <w:rPr>
          <w:i/>
          <w:iCs/>
          <w:color w:val="auto"/>
          <w:sz w:val="24"/>
          <w:szCs w:val="24"/>
        </w:rPr>
        <w:t>p</w:t>
      </w:r>
      <w:r w:rsidRPr="00DE12A3">
        <w:rPr>
          <w:color w:val="auto"/>
          <w:sz w:val="24"/>
          <w:szCs w:val="24"/>
          <w:vertAlign w:val="subscript"/>
        </w:rPr>
        <w:t>in</w:t>
      </w:r>
      <w:r w:rsidRPr="00DE12A3">
        <w:rPr>
          <w:color w:val="auto"/>
          <w:sz w:val="24"/>
          <w:szCs w:val="24"/>
        </w:rPr>
        <w:t>'i azaltmak için kademeli olarak kapatılmalıdır</w:t>
      </w:r>
      <w:r w:rsidR="00F73FFA" w:rsidRPr="00DE12A3">
        <w:rPr>
          <w:color w:val="auto"/>
          <w:sz w:val="24"/>
          <w:szCs w:val="24"/>
        </w:rPr>
        <w:t>.</w:t>
      </w:r>
    </w:p>
    <w:p w14:paraId="3E86C758" w14:textId="465CBC20" w:rsidR="002D7B36" w:rsidRPr="00DE12A3" w:rsidRDefault="00242DA0" w:rsidP="00E20716">
      <w:pPr>
        <w:pStyle w:val="Gvdemetni255"/>
        <w:numPr>
          <w:ilvl w:val="0"/>
          <w:numId w:val="217"/>
        </w:numPr>
        <w:shd w:val="clear" w:color="auto" w:fill="auto"/>
        <w:spacing w:before="120" w:after="120" w:line="240" w:lineRule="auto"/>
        <w:ind w:left="1701" w:hanging="567"/>
        <w:rPr>
          <w:color w:val="auto"/>
          <w:sz w:val="24"/>
          <w:szCs w:val="24"/>
        </w:rPr>
      </w:pPr>
      <w:r w:rsidRPr="00DE12A3">
        <w:rPr>
          <w:color w:val="auto"/>
          <w:sz w:val="24"/>
          <w:szCs w:val="24"/>
        </w:rPr>
        <w:t xml:space="preserve">Bu bendin (f) ve (g) paragraflarındaki adımlar, test sırasında beklenen en eksiksiz </w:t>
      </w:r>
      <w:r w:rsidRPr="00DE12A3">
        <w:rPr>
          <w:rFonts w:eastAsia="Courier New"/>
          <w:color w:val="auto"/>
          <w:spacing w:val="0"/>
          <w:sz w:val="24"/>
          <w:szCs w:val="24"/>
        </w:rPr>
        <w:t>Δ</w:t>
      </w:r>
      <w:r w:rsidRPr="00DE12A3">
        <w:rPr>
          <w:rFonts w:eastAsia="Courier New"/>
          <w:i/>
          <w:iCs/>
          <w:color w:val="auto"/>
          <w:spacing w:val="0"/>
          <w:sz w:val="24"/>
          <w:szCs w:val="24"/>
        </w:rPr>
        <w:t>p</w:t>
      </w:r>
      <w:r w:rsidRPr="00DE12A3">
        <w:rPr>
          <w:rFonts w:eastAsia="Courier New"/>
          <w:color w:val="auto"/>
          <w:spacing w:val="0"/>
          <w:sz w:val="24"/>
          <w:szCs w:val="24"/>
          <w:vertAlign w:val="subscript"/>
        </w:rPr>
        <w:t>CFV</w:t>
      </w:r>
      <w:r w:rsidRPr="00DE12A3">
        <w:rPr>
          <w:color w:val="auto"/>
          <w:sz w:val="24"/>
          <w:szCs w:val="24"/>
        </w:rPr>
        <w:t xml:space="preserve"> aralığı test edilecek şekilde en az on kısıtlayıcı konumunda ortalama verileri kaydetmek için tekrarlanmalıdır. Mümkün olan en düşük basınç sınırlamalarında kalibre etmek için kalibrasyon bileşenlerini veya CVS bileşenlerini çıkarmak gerekmez</w:t>
      </w:r>
      <w:r w:rsidR="00F73FFA" w:rsidRPr="00DE12A3">
        <w:rPr>
          <w:color w:val="auto"/>
          <w:sz w:val="24"/>
          <w:szCs w:val="24"/>
        </w:rPr>
        <w:t>.</w:t>
      </w:r>
    </w:p>
    <w:p w14:paraId="539A62E5" w14:textId="6EA9F402" w:rsidR="002D7B36" w:rsidRPr="00DE12A3" w:rsidRDefault="00E214ED" w:rsidP="00E20716">
      <w:pPr>
        <w:pStyle w:val="Gvdemetni255"/>
        <w:numPr>
          <w:ilvl w:val="0"/>
          <w:numId w:val="217"/>
        </w:numPr>
        <w:shd w:val="clear" w:color="auto" w:fill="auto"/>
        <w:spacing w:before="120" w:after="120" w:line="240" w:lineRule="auto"/>
        <w:ind w:left="1701" w:hanging="567"/>
        <w:rPr>
          <w:color w:val="auto"/>
          <w:sz w:val="24"/>
          <w:szCs w:val="24"/>
        </w:rPr>
      </w:pPr>
      <w:r w:rsidRPr="00DE12A3">
        <w:rPr>
          <w:color w:val="auto"/>
          <w:sz w:val="24"/>
          <w:szCs w:val="24"/>
        </w:rPr>
        <w:t xml:space="preserve">     </w:t>
      </w:r>
      <w:r w:rsidR="00242DA0" w:rsidRPr="00DE12A3">
        <w:rPr>
          <w:color w:val="auto"/>
          <w:sz w:val="24"/>
          <w:szCs w:val="24"/>
        </w:rPr>
        <w:t xml:space="preserve">Cd ve izin verilen en yüksek basınç oranı </w:t>
      </w:r>
      <w:r w:rsidR="00242DA0" w:rsidRPr="00DE12A3">
        <w:rPr>
          <w:i/>
          <w:iCs/>
          <w:color w:val="auto"/>
          <w:sz w:val="24"/>
          <w:szCs w:val="24"/>
        </w:rPr>
        <w:t>r</w:t>
      </w:r>
      <w:r w:rsidR="00242DA0" w:rsidRPr="00DE12A3">
        <w:rPr>
          <w:color w:val="auto"/>
          <w:sz w:val="24"/>
          <w:szCs w:val="24"/>
        </w:rPr>
        <w:t xml:space="preserve">, </w:t>
      </w:r>
      <w:r w:rsidR="00FA0678" w:rsidRPr="00DE12A3">
        <w:rPr>
          <w:color w:val="auto"/>
          <w:sz w:val="24"/>
          <w:szCs w:val="24"/>
        </w:rPr>
        <w:t xml:space="preserve">VII’nci </w:t>
      </w:r>
      <w:r w:rsidR="003440D3" w:rsidRPr="00DE12A3">
        <w:rPr>
          <w:color w:val="auto"/>
          <w:sz w:val="24"/>
          <w:szCs w:val="24"/>
        </w:rPr>
        <w:t>E</w:t>
      </w:r>
      <w:r w:rsidR="00FA0678" w:rsidRPr="00DE12A3">
        <w:rPr>
          <w:color w:val="auto"/>
          <w:sz w:val="24"/>
          <w:szCs w:val="24"/>
        </w:rPr>
        <w:t>k</w:t>
      </w:r>
      <w:r w:rsidR="00242DA0" w:rsidRPr="00DE12A3">
        <w:rPr>
          <w:color w:val="auto"/>
          <w:sz w:val="24"/>
          <w:szCs w:val="24"/>
        </w:rPr>
        <w:t>te açıklandığı gibi belirlenmelidir</w:t>
      </w:r>
      <w:r w:rsidR="00F73FFA" w:rsidRPr="00DE12A3">
        <w:rPr>
          <w:color w:val="auto"/>
          <w:sz w:val="24"/>
          <w:szCs w:val="24"/>
        </w:rPr>
        <w:t>.</w:t>
      </w:r>
    </w:p>
    <w:p w14:paraId="64D0C28E" w14:textId="50AB0E97" w:rsidR="002D7B36" w:rsidRPr="00DE12A3" w:rsidRDefault="00242DA0" w:rsidP="00C917D6">
      <w:pPr>
        <w:pStyle w:val="Gvdemetni255"/>
        <w:shd w:val="clear" w:color="auto" w:fill="auto"/>
        <w:spacing w:before="120" w:after="120" w:line="240" w:lineRule="auto"/>
        <w:ind w:left="1701" w:hanging="567"/>
        <w:rPr>
          <w:color w:val="auto"/>
          <w:sz w:val="24"/>
          <w:szCs w:val="24"/>
        </w:rPr>
      </w:pPr>
      <w:r w:rsidRPr="00DE12A3">
        <w:rPr>
          <w:color w:val="auto"/>
          <w:sz w:val="24"/>
          <w:szCs w:val="24"/>
        </w:rPr>
        <w:t>(j)</w:t>
      </w:r>
      <w:r w:rsidRPr="00DE12A3">
        <w:rPr>
          <w:color w:val="auto"/>
          <w:sz w:val="24"/>
          <w:szCs w:val="24"/>
        </w:rPr>
        <w:tab/>
        <w:t xml:space="preserve">Bir emisyon testi sırasında CFV akışını belirlemek için Cd kullanılır. CFV, </w:t>
      </w:r>
      <w:r w:rsidR="00FA0678" w:rsidRPr="00DE12A3">
        <w:rPr>
          <w:color w:val="auto"/>
          <w:sz w:val="24"/>
          <w:szCs w:val="24"/>
        </w:rPr>
        <w:t xml:space="preserve">VII’nci </w:t>
      </w:r>
      <w:r w:rsidR="00F73FFA" w:rsidRPr="00DE12A3">
        <w:rPr>
          <w:color w:val="auto"/>
          <w:sz w:val="24"/>
          <w:szCs w:val="24"/>
        </w:rPr>
        <w:t>E</w:t>
      </w:r>
      <w:r w:rsidR="00FA0678" w:rsidRPr="00DE12A3">
        <w:rPr>
          <w:color w:val="auto"/>
          <w:sz w:val="24"/>
          <w:szCs w:val="24"/>
        </w:rPr>
        <w:t>k</w:t>
      </w:r>
      <w:r w:rsidRPr="00DE12A3">
        <w:rPr>
          <w:color w:val="auto"/>
          <w:sz w:val="24"/>
          <w:szCs w:val="24"/>
        </w:rPr>
        <w:t xml:space="preserve">te belirlenen, izin verilen en yüksek </w:t>
      </w:r>
      <w:r w:rsidRPr="00DE12A3">
        <w:rPr>
          <w:i/>
          <w:iCs/>
          <w:color w:val="auto"/>
          <w:sz w:val="24"/>
          <w:szCs w:val="24"/>
        </w:rPr>
        <w:t>r</w:t>
      </w:r>
      <w:r w:rsidRPr="00DE12A3">
        <w:rPr>
          <w:color w:val="auto"/>
          <w:sz w:val="24"/>
          <w:szCs w:val="24"/>
        </w:rPr>
        <w:t>'nin üzerinde kullanılmamalıdır</w:t>
      </w:r>
      <w:r w:rsidR="00F73FFA" w:rsidRPr="00DE12A3">
        <w:rPr>
          <w:color w:val="auto"/>
          <w:sz w:val="24"/>
          <w:szCs w:val="24"/>
        </w:rPr>
        <w:t>.</w:t>
      </w:r>
    </w:p>
    <w:p w14:paraId="37C4B9D9" w14:textId="4D5B91D1" w:rsidR="002D7B36" w:rsidRPr="00DE12A3" w:rsidRDefault="00242DA0" w:rsidP="00C917D6">
      <w:pPr>
        <w:pStyle w:val="Gvdemetni255"/>
        <w:shd w:val="clear" w:color="auto" w:fill="auto"/>
        <w:spacing w:before="120" w:after="120" w:line="240" w:lineRule="auto"/>
        <w:ind w:left="1701" w:hanging="567"/>
        <w:rPr>
          <w:color w:val="auto"/>
          <w:sz w:val="24"/>
          <w:szCs w:val="24"/>
        </w:rPr>
      </w:pPr>
      <w:r w:rsidRPr="00DE12A3">
        <w:rPr>
          <w:color w:val="auto"/>
          <w:sz w:val="24"/>
          <w:szCs w:val="24"/>
        </w:rPr>
        <w:t>(k)</w:t>
      </w:r>
      <w:r w:rsidRPr="00DE12A3">
        <w:rPr>
          <w:color w:val="auto"/>
          <w:sz w:val="24"/>
          <w:szCs w:val="24"/>
        </w:rPr>
        <w:tab/>
        <w:t>Kalibrasyon, 8.1.8.5 bendinde açıklandığı gibi bir CVS doğrulaması (yani propan kontrolü) yapılarak doğrulanmalıdır</w:t>
      </w:r>
      <w:r w:rsidR="00F73FFA" w:rsidRPr="00DE12A3">
        <w:rPr>
          <w:color w:val="auto"/>
          <w:sz w:val="24"/>
          <w:szCs w:val="24"/>
        </w:rPr>
        <w:t>.</w:t>
      </w:r>
    </w:p>
    <w:p w14:paraId="111A81C4" w14:textId="77777777" w:rsidR="002D7B36" w:rsidRPr="00DE12A3" w:rsidRDefault="00242DA0" w:rsidP="00C917D6">
      <w:pPr>
        <w:pStyle w:val="Gvdemetni255"/>
        <w:shd w:val="clear" w:color="auto" w:fill="auto"/>
        <w:spacing w:before="120" w:after="120" w:line="240" w:lineRule="auto"/>
        <w:ind w:left="1701" w:hanging="567"/>
        <w:rPr>
          <w:color w:val="auto"/>
          <w:sz w:val="24"/>
          <w:szCs w:val="24"/>
        </w:rPr>
      </w:pPr>
      <w:r w:rsidRPr="00DE12A3">
        <w:rPr>
          <w:color w:val="auto"/>
          <w:sz w:val="24"/>
          <w:szCs w:val="24"/>
        </w:rPr>
        <w:t>(l)</w:t>
      </w:r>
      <w:r w:rsidRPr="00DE12A3">
        <w:rPr>
          <w:color w:val="auto"/>
          <w:sz w:val="24"/>
          <w:szCs w:val="24"/>
        </w:rPr>
        <w:tab/>
        <w:t>CVS, anda birden fazla CFV'yi paralel olarak çalıştırmak üzere yapılandırılmışsa, CVS aşağıdakilerden biri tarafından kalibre edilmelidir:</w:t>
      </w:r>
    </w:p>
    <w:p w14:paraId="40F0FE11" w14:textId="117AC6FF" w:rsidR="002D7B36" w:rsidRPr="00DE12A3" w:rsidRDefault="00E214ED" w:rsidP="00E20716">
      <w:pPr>
        <w:pStyle w:val="Gvdemetni255"/>
        <w:numPr>
          <w:ilvl w:val="0"/>
          <w:numId w:val="219"/>
        </w:numPr>
        <w:shd w:val="clear" w:color="auto" w:fill="auto"/>
        <w:tabs>
          <w:tab w:val="left" w:pos="1535"/>
        </w:tabs>
        <w:spacing w:before="120" w:after="120" w:line="240" w:lineRule="auto"/>
        <w:ind w:left="2268" w:hanging="567"/>
        <w:rPr>
          <w:color w:val="auto"/>
          <w:sz w:val="24"/>
          <w:szCs w:val="24"/>
        </w:rPr>
      </w:pPr>
      <w:r w:rsidRPr="00DE12A3">
        <w:rPr>
          <w:color w:val="auto"/>
          <w:sz w:val="24"/>
          <w:szCs w:val="24"/>
        </w:rPr>
        <w:t xml:space="preserve">   </w:t>
      </w:r>
      <w:r w:rsidR="00242DA0" w:rsidRPr="00DE12A3">
        <w:rPr>
          <w:color w:val="auto"/>
          <w:sz w:val="24"/>
          <w:szCs w:val="24"/>
        </w:rPr>
        <w:t xml:space="preserve">Her CFV kombinasyonu, bu bölüm ve </w:t>
      </w:r>
      <w:r w:rsidR="00FA0678" w:rsidRPr="00DE12A3">
        <w:rPr>
          <w:color w:val="auto"/>
          <w:sz w:val="24"/>
          <w:szCs w:val="24"/>
        </w:rPr>
        <w:t xml:space="preserve">VII’nci </w:t>
      </w:r>
      <w:r w:rsidR="00B32A92" w:rsidRPr="00DE12A3">
        <w:rPr>
          <w:color w:val="auto"/>
          <w:sz w:val="24"/>
          <w:szCs w:val="24"/>
        </w:rPr>
        <w:t>E</w:t>
      </w:r>
      <w:r w:rsidR="00FA0678" w:rsidRPr="00DE12A3">
        <w:rPr>
          <w:color w:val="auto"/>
          <w:sz w:val="24"/>
          <w:szCs w:val="24"/>
        </w:rPr>
        <w:t>k</w:t>
      </w:r>
      <w:r w:rsidR="00242DA0" w:rsidRPr="00DE12A3">
        <w:rPr>
          <w:color w:val="auto"/>
          <w:sz w:val="24"/>
          <w:szCs w:val="24"/>
        </w:rPr>
        <w:t xml:space="preserve"> uyarınca kalibre edilmelidir. Bu seçenek için debi hesabı ile ilgili talimatlar için </w:t>
      </w:r>
      <w:r w:rsidR="00FA0678" w:rsidRPr="00DE12A3">
        <w:rPr>
          <w:color w:val="auto"/>
          <w:sz w:val="24"/>
          <w:szCs w:val="24"/>
        </w:rPr>
        <w:t xml:space="preserve">VII’nci </w:t>
      </w:r>
      <w:r w:rsidR="00F73FFA" w:rsidRPr="00DE12A3">
        <w:rPr>
          <w:color w:val="auto"/>
          <w:sz w:val="24"/>
          <w:szCs w:val="24"/>
        </w:rPr>
        <w:t>E</w:t>
      </w:r>
      <w:r w:rsidR="00FA0678" w:rsidRPr="00DE12A3">
        <w:rPr>
          <w:color w:val="auto"/>
          <w:sz w:val="24"/>
          <w:szCs w:val="24"/>
        </w:rPr>
        <w:t>k</w:t>
      </w:r>
      <w:r w:rsidR="00242DA0" w:rsidRPr="00DE12A3">
        <w:rPr>
          <w:color w:val="auto"/>
          <w:sz w:val="24"/>
          <w:szCs w:val="24"/>
        </w:rPr>
        <w:t>e bakınız</w:t>
      </w:r>
      <w:r w:rsidR="00F73FFA" w:rsidRPr="00DE12A3">
        <w:rPr>
          <w:color w:val="auto"/>
          <w:sz w:val="24"/>
          <w:szCs w:val="24"/>
        </w:rPr>
        <w:t>.</w:t>
      </w:r>
    </w:p>
    <w:p w14:paraId="784F9F0D" w14:textId="33FBC301" w:rsidR="002D7B36" w:rsidRPr="00DE12A3" w:rsidRDefault="00E214ED" w:rsidP="00E20716">
      <w:pPr>
        <w:pStyle w:val="Gvdemetni255"/>
        <w:numPr>
          <w:ilvl w:val="0"/>
          <w:numId w:val="219"/>
        </w:numPr>
        <w:shd w:val="clear" w:color="auto" w:fill="auto"/>
        <w:tabs>
          <w:tab w:val="left" w:pos="1535"/>
        </w:tabs>
        <w:spacing w:before="120" w:after="120" w:line="240" w:lineRule="auto"/>
        <w:ind w:left="2268" w:hanging="567"/>
        <w:rPr>
          <w:color w:val="auto"/>
          <w:sz w:val="24"/>
          <w:szCs w:val="24"/>
        </w:rPr>
      </w:pPr>
      <w:r w:rsidRPr="00DE12A3">
        <w:rPr>
          <w:color w:val="auto"/>
          <w:sz w:val="24"/>
          <w:szCs w:val="24"/>
        </w:rPr>
        <w:t xml:space="preserve">  </w:t>
      </w:r>
      <w:r w:rsidR="00242DA0" w:rsidRPr="00DE12A3">
        <w:rPr>
          <w:color w:val="auto"/>
          <w:sz w:val="24"/>
          <w:szCs w:val="24"/>
        </w:rPr>
        <w:t xml:space="preserve">Her CFV, bu bent ve </w:t>
      </w:r>
      <w:r w:rsidR="00FA0678" w:rsidRPr="00DE12A3">
        <w:rPr>
          <w:color w:val="auto"/>
          <w:sz w:val="24"/>
          <w:szCs w:val="24"/>
        </w:rPr>
        <w:t xml:space="preserve">VII’nci </w:t>
      </w:r>
      <w:r w:rsidR="00C17C59" w:rsidRPr="00DE12A3">
        <w:rPr>
          <w:color w:val="auto"/>
          <w:sz w:val="24"/>
          <w:szCs w:val="24"/>
        </w:rPr>
        <w:t>E</w:t>
      </w:r>
      <w:r w:rsidR="00FA0678" w:rsidRPr="00DE12A3">
        <w:rPr>
          <w:color w:val="auto"/>
          <w:sz w:val="24"/>
          <w:szCs w:val="24"/>
        </w:rPr>
        <w:t>k</w:t>
      </w:r>
      <w:r w:rsidR="00242DA0" w:rsidRPr="00DE12A3">
        <w:rPr>
          <w:color w:val="auto"/>
          <w:sz w:val="24"/>
          <w:szCs w:val="24"/>
        </w:rPr>
        <w:t xml:space="preserve"> uyarınca kalibre edilmelidir. Bu seçenek için debi hesabı ile ilgili talimatlar için </w:t>
      </w:r>
      <w:r w:rsidR="00FA0678" w:rsidRPr="00DE12A3">
        <w:rPr>
          <w:color w:val="auto"/>
          <w:sz w:val="24"/>
          <w:szCs w:val="24"/>
        </w:rPr>
        <w:t xml:space="preserve">VII’nci </w:t>
      </w:r>
      <w:r w:rsidR="00C17C59" w:rsidRPr="00DE12A3">
        <w:rPr>
          <w:color w:val="auto"/>
          <w:sz w:val="24"/>
          <w:szCs w:val="24"/>
        </w:rPr>
        <w:t>E</w:t>
      </w:r>
      <w:r w:rsidR="00FA0678" w:rsidRPr="00DE12A3">
        <w:rPr>
          <w:color w:val="auto"/>
          <w:sz w:val="24"/>
          <w:szCs w:val="24"/>
        </w:rPr>
        <w:t>k</w:t>
      </w:r>
      <w:r w:rsidR="00242DA0" w:rsidRPr="00DE12A3">
        <w:rPr>
          <w:color w:val="auto"/>
          <w:sz w:val="24"/>
          <w:szCs w:val="24"/>
        </w:rPr>
        <w:t>e bakınız.</w:t>
      </w:r>
    </w:p>
    <w:p w14:paraId="21959D80" w14:textId="77777777" w:rsidR="002D7B36" w:rsidRPr="00DE12A3" w:rsidRDefault="00242DA0" w:rsidP="00E20716">
      <w:pPr>
        <w:pStyle w:val="Gvdemetni255"/>
        <w:numPr>
          <w:ilvl w:val="0"/>
          <w:numId w:val="220"/>
        </w:numPr>
        <w:shd w:val="clear" w:color="auto" w:fill="auto"/>
        <w:spacing w:before="120" w:after="120" w:line="240" w:lineRule="auto"/>
        <w:ind w:left="1134" w:hanging="1134"/>
        <w:rPr>
          <w:color w:val="auto"/>
          <w:sz w:val="24"/>
          <w:szCs w:val="24"/>
        </w:rPr>
      </w:pPr>
      <w:r w:rsidRPr="00DE12A3">
        <w:rPr>
          <w:color w:val="auto"/>
          <w:sz w:val="24"/>
          <w:szCs w:val="24"/>
        </w:rPr>
        <w:t>SSV kalibrasyonu</w:t>
      </w:r>
    </w:p>
    <w:p w14:paraId="03C80102" w14:textId="77777777" w:rsidR="002D7B36" w:rsidRPr="00DE12A3" w:rsidRDefault="00E214ED" w:rsidP="00C917D6">
      <w:pPr>
        <w:pStyle w:val="Gvdemetni255"/>
        <w:shd w:val="clear" w:color="auto" w:fill="auto"/>
        <w:spacing w:before="120" w:after="120" w:line="240" w:lineRule="auto"/>
        <w:ind w:left="1134" w:hanging="1134"/>
        <w:rPr>
          <w:color w:val="auto"/>
          <w:sz w:val="24"/>
          <w:szCs w:val="24"/>
        </w:rPr>
      </w:pPr>
      <w:r w:rsidRPr="00DE12A3">
        <w:rPr>
          <w:color w:val="auto"/>
          <w:sz w:val="24"/>
          <w:szCs w:val="24"/>
        </w:rPr>
        <w:t xml:space="preserve">                  </w:t>
      </w:r>
      <w:r w:rsidR="00242DA0" w:rsidRPr="00DE12A3">
        <w:rPr>
          <w:color w:val="auto"/>
          <w:sz w:val="24"/>
          <w:szCs w:val="24"/>
        </w:rPr>
        <w:t xml:space="preserve">Beklenen giriş basınçları aralığı için kalibrasyon katsayısı </w:t>
      </w:r>
      <w:r w:rsidR="00242DA0" w:rsidRPr="00DE12A3">
        <w:rPr>
          <w:i/>
          <w:iCs/>
          <w:color w:val="auto"/>
          <w:sz w:val="24"/>
          <w:szCs w:val="24"/>
        </w:rPr>
        <w:t>C</w:t>
      </w:r>
      <w:r w:rsidR="00242DA0" w:rsidRPr="00DE12A3">
        <w:rPr>
          <w:color w:val="auto"/>
          <w:sz w:val="24"/>
          <w:szCs w:val="24"/>
          <w:vertAlign w:val="subscript"/>
        </w:rPr>
        <w:t>d</w:t>
      </w:r>
      <w:r w:rsidR="00242DA0" w:rsidRPr="00DE12A3">
        <w:rPr>
          <w:color w:val="auto"/>
          <w:sz w:val="24"/>
          <w:szCs w:val="24"/>
        </w:rPr>
        <w:t>'yi belirlemek üzere bir ses altı venturi (SSV) kalibre edilmelidir. SSV sayacı aşağıdaki şekilde kalibre edilmelidir:</w:t>
      </w:r>
    </w:p>
    <w:p w14:paraId="2ADB6479" w14:textId="2E30D21F" w:rsidR="002D7B36" w:rsidRPr="00DE12A3" w:rsidRDefault="00242DA0" w:rsidP="00E20716">
      <w:pPr>
        <w:pStyle w:val="Gvdemetni255"/>
        <w:numPr>
          <w:ilvl w:val="0"/>
          <w:numId w:val="221"/>
        </w:numPr>
        <w:shd w:val="clear" w:color="auto" w:fill="auto"/>
        <w:spacing w:before="120" w:after="120" w:line="240" w:lineRule="auto"/>
        <w:ind w:left="1701" w:hanging="567"/>
        <w:rPr>
          <w:color w:val="auto"/>
          <w:sz w:val="24"/>
          <w:szCs w:val="24"/>
        </w:rPr>
      </w:pPr>
      <w:r w:rsidRPr="00DE12A3">
        <w:rPr>
          <w:color w:val="auto"/>
          <w:sz w:val="24"/>
          <w:szCs w:val="24"/>
        </w:rPr>
        <w:t>Sistem Şekil 6.5'te gösterildiği gibi bağlanmalıdır</w:t>
      </w:r>
      <w:r w:rsidR="00F73FFA" w:rsidRPr="00DE12A3">
        <w:rPr>
          <w:color w:val="auto"/>
          <w:sz w:val="24"/>
          <w:szCs w:val="24"/>
        </w:rPr>
        <w:t>.</w:t>
      </w:r>
    </w:p>
    <w:p w14:paraId="465A3E19" w14:textId="21F9AC8E" w:rsidR="002D7B36" w:rsidRPr="00DE12A3" w:rsidRDefault="00242DA0" w:rsidP="00E20716">
      <w:pPr>
        <w:pStyle w:val="Gvdemetni255"/>
        <w:numPr>
          <w:ilvl w:val="0"/>
          <w:numId w:val="221"/>
        </w:numPr>
        <w:shd w:val="clear" w:color="auto" w:fill="FFFFFF" w:themeFill="background1"/>
        <w:spacing w:before="120" w:after="120" w:line="240" w:lineRule="auto"/>
        <w:ind w:left="1701" w:hanging="567"/>
        <w:rPr>
          <w:color w:val="auto"/>
          <w:sz w:val="24"/>
          <w:szCs w:val="24"/>
        </w:rPr>
      </w:pPr>
      <w:r w:rsidRPr="00DE12A3">
        <w:rPr>
          <w:color w:val="auto"/>
          <w:sz w:val="24"/>
          <w:szCs w:val="24"/>
        </w:rPr>
        <w:t>Üfleyici SSV'nin çıkış kısmında çalıştırılmalıdır</w:t>
      </w:r>
      <w:r w:rsidR="00F73FFA" w:rsidRPr="00DE12A3">
        <w:rPr>
          <w:color w:val="auto"/>
          <w:sz w:val="24"/>
          <w:szCs w:val="24"/>
        </w:rPr>
        <w:t>.</w:t>
      </w:r>
    </w:p>
    <w:p w14:paraId="0F0D114A" w14:textId="025D8D65" w:rsidR="002D7B36" w:rsidRPr="00DE12A3" w:rsidRDefault="00E214ED" w:rsidP="00E20716">
      <w:pPr>
        <w:pStyle w:val="Gvdemetni255"/>
        <w:numPr>
          <w:ilvl w:val="0"/>
          <w:numId w:val="221"/>
        </w:numPr>
        <w:shd w:val="clear" w:color="auto" w:fill="FFFFFF" w:themeFill="background1"/>
        <w:spacing w:before="120" w:after="120" w:line="240" w:lineRule="auto"/>
        <w:ind w:left="1701" w:hanging="567"/>
        <w:rPr>
          <w:color w:val="auto"/>
          <w:sz w:val="24"/>
          <w:szCs w:val="24"/>
        </w:rPr>
      </w:pPr>
      <w:r w:rsidRPr="00DE12A3">
        <w:rPr>
          <w:color w:val="auto"/>
          <w:sz w:val="24"/>
          <w:szCs w:val="24"/>
        </w:rPr>
        <w:t xml:space="preserve"> </w:t>
      </w:r>
      <w:r w:rsidR="00242DA0" w:rsidRPr="00DE12A3">
        <w:rPr>
          <w:color w:val="auto"/>
          <w:sz w:val="24"/>
          <w:szCs w:val="24"/>
        </w:rPr>
        <w:t xml:space="preserve">Kalibrasyon sayacı ve SSV arasındaki kaçaklar, en yüksek basınç kısıtlamasındaki toplam akış miktarının </w:t>
      </w:r>
      <w:r w:rsidR="004E7F54" w:rsidRPr="00DE12A3">
        <w:rPr>
          <w:color w:val="auto"/>
          <w:sz w:val="24"/>
          <w:szCs w:val="24"/>
        </w:rPr>
        <w:t>%0,3</w:t>
      </w:r>
      <w:r w:rsidR="00242DA0" w:rsidRPr="00DE12A3">
        <w:rPr>
          <w:color w:val="auto"/>
          <w:sz w:val="24"/>
          <w:szCs w:val="24"/>
        </w:rPr>
        <w:t>'ünden az olmalıdır</w:t>
      </w:r>
      <w:r w:rsidR="00F73FFA" w:rsidRPr="00DE12A3">
        <w:rPr>
          <w:color w:val="auto"/>
          <w:sz w:val="24"/>
          <w:szCs w:val="24"/>
        </w:rPr>
        <w:t>.</w:t>
      </w:r>
    </w:p>
    <w:p w14:paraId="035CECF3" w14:textId="5A060BF2" w:rsidR="002D7B36" w:rsidRPr="00DE12A3" w:rsidRDefault="00242DA0" w:rsidP="00E20716">
      <w:pPr>
        <w:pStyle w:val="Gvdemetni255"/>
        <w:numPr>
          <w:ilvl w:val="0"/>
          <w:numId w:val="221"/>
        </w:numPr>
        <w:shd w:val="clear" w:color="auto" w:fill="FFFFFF" w:themeFill="background1"/>
        <w:tabs>
          <w:tab w:val="left" w:pos="282"/>
        </w:tabs>
        <w:spacing w:before="120" w:after="120" w:line="240" w:lineRule="auto"/>
        <w:ind w:left="1701" w:hanging="567"/>
        <w:rPr>
          <w:color w:val="auto"/>
          <w:sz w:val="24"/>
          <w:szCs w:val="24"/>
        </w:rPr>
      </w:pPr>
      <w:r w:rsidRPr="00DE12A3">
        <w:rPr>
          <w:color w:val="auto"/>
          <w:sz w:val="24"/>
          <w:szCs w:val="24"/>
        </w:rPr>
        <w:t xml:space="preserve">SSV çalışır durumdayken, SSV girişinde sabit bir sıcaklık, ortalama mutlak giriş sıcaklığı </w:t>
      </w:r>
      <w:r w:rsidRPr="00DE12A3">
        <w:rPr>
          <w:i/>
          <w:iCs/>
          <w:color w:val="auto"/>
          <w:sz w:val="24"/>
          <w:szCs w:val="24"/>
        </w:rPr>
        <w:t>T</w:t>
      </w:r>
      <w:r w:rsidRPr="00DE12A3">
        <w:rPr>
          <w:color w:val="auto"/>
          <w:sz w:val="24"/>
          <w:szCs w:val="24"/>
          <w:vertAlign w:val="subscript"/>
        </w:rPr>
        <w:t>in</w:t>
      </w:r>
      <w:r w:rsidRPr="00DE12A3">
        <w:rPr>
          <w:color w:val="auto"/>
          <w:sz w:val="24"/>
          <w:szCs w:val="24"/>
        </w:rPr>
        <w:t xml:space="preserve"> ± </w:t>
      </w:r>
      <w:r w:rsidR="004E7F54" w:rsidRPr="00DE12A3">
        <w:rPr>
          <w:color w:val="auto"/>
          <w:sz w:val="24"/>
          <w:szCs w:val="24"/>
        </w:rPr>
        <w:t>%2</w:t>
      </w:r>
      <w:r w:rsidRPr="00DE12A3">
        <w:rPr>
          <w:color w:val="auto"/>
          <w:sz w:val="24"/>
          <w:szCs w:val="24"/>
        </w:rPr>
        <w:t xml:space="preserve"> aralığı içinde muhafaza edilmelidir</w:t>
      </w:r>
      <w:r w:rsidR="00F73FFA" w:rsidRPr="00DE12A3">
        <w:rPr>
          <w:color w:val="auto"/>
          <w:sz w:val="24"/>
          <w:szCs w:val="24"/>
        </w:rPr>
        <w:t>.</w:t>
      </w:r>
    </w:p>
    <w:p w14:paraId="1EFAC813" w14:textId="4E371F04" w:rsidR="002D7B36" w:rsidRPr="00DE12A3" w:rsidRDefault="00E214ED" w:rsidP="00E20716">
      <w:pPr>
        <w:pStyle w:val="Gvdemetni255"/>
        <w:numPr>
          <w:ilvl w:val="0"/>
          <w:numId w:val="221"/>
        </w:numPr>
        <w:shd w:val="clear" w:color="auto" w:fill="FFFFFF" w:themeFill="background1"/>
        <w:tabs>
          <w:tab w:val="left" w:pos="282"/>
        </w:tabs>
        <w:spacing w:before="120" w:after="120" w:line="240" w:lineRule="auto"/>
        <w:ind w:left="1701" w:hanging="567"/>
        <w:rPr>
          <w:color w:val="auto"/>
          <w:sz w:val="24"/>
          <w:szCs w:val="24"/>
        </w:rPr>
      </w:pPr>
      <w:r w:rsidRPr="00DE12A3">
        <w:rPr>
          <w:color w:val="auto"/>
          <w:sz w:val="24"/>
          <w:szCs w:val="24"/>
        </w:rPr>
        <w:lastRenderedPageBreak/>
        <w:t xml:space="preserve">     </w:t>
      </w:r>
      <w:r w:rsidR="00242DA0" w:rsidRPr="00DE12A3">
        <w:rPr>
          <w:color w:val="auto"/>
          <w:sz w:val="24"/>
          <w:szCs w:val="24"/>
        </w:rPr>
        <w:t>Değişken kısıtlayıcı veya değişken devirli üfleyici, test sırasında beklenen en büyük akış hızından daha büyük bir akış hızına ayarlanmalıdır. Akış hızları kalibre edilmiş değerlerin ötesinde ekstapole edilemeyebilir</w:t>
      </w:r>
      <w:r w:rsidR="0066344A" w:rsidRPr="00DE12A3">
        <w:rPr>
          <w:color w:val="auto"/>
          <w:sz w:val="24"/>
          <w:szCs w:val="24"/>
        </w:rPr>
        <w:t>.</w:t>
      </w:r>
      <w:r w:rsidR="00242DA0" w:rsidRPr="00DE12A3">
        <w:rPr>
          <w:color w:val="auto"/>
          <w:sz w:val="24"/>
          <w:szCs w:val="24"/>
        </w:rPr>
        <w:t xml:space="preserve"> </w:t>
      </w:r>
      <w:r w:rsidR="0066344A" w:rsidRPr="00DE12A3">
        <w:rPr>
          <w:color w:val="auto"/>
          <w:sz w:val="24"/>
          <w:szCs w:val="24"/>
        </w:rPr>
        <w:t>B</w:t>
      </w:r>
      <w:r w:rsidR="00242DA0" w:rsidRPr="00DE12A3">
        <w:rPr>
          <w:color w:val="auto"/>
          <w:sz w:val="24"/>
          <w:szCs w:val="24"/>
        </w:rPr>
        <w:t xml:space="preserve">u nedenle kalibre edilmiş en yüksek akış hızında SSV boğazında bir Reynolds sayısı </w:t>
      </w:r>
      <w:r w:rsidR="00242DA0" w:rsidRPr="00DE12A3">
        <w:rPr>
          <w:i/>
          <w:iCs/>
          <w:color w:val="auto"/>
          <w:sz w:val="24"/>
          <w:szCs w:val="24"/>
        </w:rPr>
        <w:t>Re</w:t>
      </w:r>
      <w:r w:rsidR="00242DA0" w:rsidRPr="00DE12A3">
        <w:rPr>
          <w:color w:val="auto"/>
          <w:sz w:val="24"/>
          <w:szCs w:val="24"/>
        </w:rPr>
        <w:t xml:space="preserve">'nin test sırasında beklenen azami </w:t>
      </w:r>
      <w:r w:rsidR="00242DA0" w:rsidRPr="00DE12A3">
        <w:rPr>
          <w:i/>
          <w:iCs/>
          <w:color w:val="auto"/>
          <w:sz w:val="24"/>
          <w:szCs w:val="24"/>
        </w:rPr>
        <w:t>Re</w:t>
      </w:r>
      <w:r w:rsidR="00242DA0" w:rsidRPr="00DE12A3">
        <w:rPr>
          <w:color w:val="auto"/>
          <w:sz w:val="24"/>
          <w:szCs w:val="24"/>
        </w:rPr>
        <w:t>'den daha büyük olmasının temin edilmesi önerilir</w:t>
      </w:r>
      <w:r w:rsidR="0066344A" w:rsidRPr="00DE12A3">
        <w:rPr>
          <w:color w:val="auto"/>
          <w:sz w:val="24"/>
          <w:szCs w:val="24"/>
        </w:rPr>
        <w:t>.</w:t>
      </w:r>
    </w:p>
    <w:p w14:paraId="15DA314F" w14:textId="77777777" w:rsidR="002D7B36" w:rsidRPr="00DE12A3" w:rsidRDefault="00E214ED" w:rsidP="00E20716">
      <w:pPr>
        <w:pStyle w:val="Gvdemetni255"/>
        <w:numPr>
          <w:ilvl w:val="0"/>
          <w:numId w:val="221"/>
        </w:numPr>
        <w:shd w:val="clear" w:color="auto" w:fill="FFFFFF" w:themeFill="background1"/>
        <w:tabs>
          <w:tab w:val="left" w:pos="282"/>
        </w:tabs>
        <w:spacing w:before="120" w:after="120" w:line="240" w:lineRule="auto"/>
        <w:ind w:left="1701" w:hanging="567"/>
        <w:rPr>
          <w:color w:val="auto"/>
          <w:sz w:val="24"/>
          <w:szCs w:val="24"/>
        </w:rPr>
      </w:pPr>
      <w:r w:rsidRPr="00DE12A3">
        <w:rPr>
          <w:color w:val="auto"/>
          <w:sz w:val="24"/>
          <w:szCs w:val="24"/>
        </w:rPr>
        <w:t xml:space="preserve">     </w:t>
      </w:r>
      <w:r w:rsidR="00242DA0" w:rsidRPr="00DE12A3">
        <w:rPr>
          <w:color w:val="auto"/>
          <w:sz w:val="24"/>
          <w:szCs w:val="24"/>
        </w:rPr>
        <w:t>SSV, sistemi dengelemek için en az 3 dakika boyunca çalıştırılmalıdır. SSV çalışmaya devam eder ve aşağıdaki miktarların her birine ait en az 30 sn örneklenmiş verilerin ortalaması kaydedilir:</w:t>
      </w:r>
    </w:p>
    <w:p w14:paraId="6EA26436" w14:textId="33ADCD5F" w:rsidR="002D7B36" w:rsidRPr="00DE12A3" w:rsidRDefault="00E214ED" w:rsidP="00E20716">
      <w:pPr>
        <w:pStyle w:val="Gvdemetni255"/>
        <w:numPr>
          <w:ilvl w:val="0"/>
          <w:numId w:val="222"/>
        </w:numPr>
        <w:shd w:val="clear" w:color="auto" w:fill="FFFFFF" w:themeFill="background1"/>
        <w:spacing w:before="120" w:after="120" w:line="240" w:lineRule="auto"/>
        <w:ind w:left="2268" w:hanging="567"/>
        <w:rPr>
          <w:color w:val="auto"/>
          <w:sz w:val="24"/>
          <w:szCs w:val="24"/>
        </w:rPr>
      </w:pPr>
      <w:r w:rsidRPr="00DE12A3">
        <w:rPr>
          <w:color w:val="auto"/>
          <w:sz w:val="24"/>
          <w:szCs w:val="24"/>
        </w:rPr>
        <w:t xml:space="preserve">   </w:t>
      </w:r>
      <w:r w:rsidR="00242DA0" w:rsidRPr="00DE12A3">
        <w:rPr>
          <w:color w:val="auto"/>
          <w:sz w:val="24"/>
          <w:szCs w:val="24"/>
        </w:rPr>
        <w:t xml:space="preserve">Referans sayacın ortalama debisi, </w:t>
      </w:r>
      <w:r w:rsidR="00242DA0" w:rsidRPr="00DE12A3">
        <w:rPr>
          <w:rFonts w:eastAsia="Courier New"/>
          <w:i/>
          <w:iCs/>
          <w:color w:val="auto"/>
          <w:spacing w:val="0"/>
          <w:sz w:val="24"/>
          <w:szCs w:val="24"/>
        </w:rPr>
        <w:t>q</w:t>
      </w:r>
      <w:r w:rsidR="00242DA0" w:rsidRPr="00DE12A3">
        <w:rPr>
          <w:rFonts w:eastAsia="Courier New"/>
          <w:i/>
          <w:iCs/>
          <w:color w:val="auto"/>
          <w:spacing w:val="0"/>
          <w:sz w:val="24"/>
          <w:szCs w:val="24"/>
          <w:vertAlign w:val="subscript"/>
        </w:rPr>
        <w:t>V</w:t>
      </w:r>
      <w:r w:rsidR="00242DA0" w:rsidRPr="00DE12A3">
        <w:rPr>
          <w:rFonts w:eastAsia="Courier New"/>
          <w:color w:val="auto"/>
          <w:spacing w:val="0"/>
          <w:sz w:val="24"/>
          <w:szCs w:val="24"/>
          <w:vertAlign w:val="subscript"/>
        </w:rPr>
        <w:t>ref</w:t>
      </w:r>
      <w:r w:rsidR="00242DA0" w:rsidRPr="00DE12A3">
        <w:rPr>
          <w:color w:val="auto"/>
          <w:sz w:val="24"/>
          <w:szCs w:val="24"/>
          <w:vertAlign w:val="subscript"/>
        </w:rPr>
        <w:t xml:space="preserve"> </w:t>
      </w:r>
      <w:r w:rsidR="0066344A" w:rsidRPr="00DE12A3">
        <w:rPr>
          <w:color w:val="auto"/>
          <w:sz w:val="24"/>
          <w:szCs w:val="24"/>
        </w:rPr>
        <w:t>.</w:t>
      </w:r>
    </w:p>
    <w:p w14:paraId="66EB5484" w14:textId="4E7A7316" w:rsidR="002D7B36" w:rsidRPr="00DE12A3" w:rsidRDefault="00E214ED" w:rsidP="00E20716">
      <w:pPr>
        <w:pStyle w:val="Gvdemetni255"/>
        <w:numPr>
          <w:ilvl w:val="0"/>
          <w:numId w:val="222"/>
        </w:numPr>
        <w:shd w:val="clear" w:color="auto" w:fill="FFFFFF" w:themeFill="background1"/>
        <w:spacing w:before="120" w:after="120" w:line="240" w:lineRule="auto"/>
        <w:ind w:left="2268" w:hanging="567"/>
        <w:rPr>
          <w:color w:val="auto"/>
          <w:sz w:val="24"/>
          <w:szCs w:val="24"/>
        </w:rPr>
      </w:pPr>
      <w:r w:rsidRPr="00DE12A3">
        <w:rPr>
          <w:color w:val="auto"/>
          <w:sz w:val="24"/>
          <w:szCs w:val="24"/>
        </w:rPr>
        <w:t xml:space="preserve">   </w:t>
      </w:r>
      <w:r w:rsidR="00242DA0" w:rsidRPr="00DE12A3">
        <w:rPr>
          <w:color w:val="auto"/>
          <w:sz w:val="24"/>
          <w:szCs w:val="24"/>
        </w:rPr>
        <w:t>İsteğe bağlı olarak, kalibrasyon havasının ortalama yoğuşma</w:t>
      </w:r>
      <w:r w:rsidRPr="00DE12A3">
        <w:rPr>
          <w:color w:val="auto"/>
          <w:sz w:val="24"/>
          <w:szCs w:val="24"/>
        </w:rPr>
        <w:t xml:space="preserve"> </w:t>
      </w:r>
      <w:r w:rsidR="00242DA0" w:rsidRPr="00DE12A3">
        <w:rPr>
          <w:color w:val="auto"/>
          <w:sz w:val="24"/>
          <w:szCs w:val="24"/>
        </w:rPr>
        <w:t xml:space="preserve">noktası, </w:t>
      </w:r>
      <w:r w:rsidR="00242DA0" w:rsidRPr="00DE12A3">
        <w:rPr>
          <w:i/>
          <w:iCs/>
          <w:color w:val="auto"/>
          <w:sz w:val="24"/>
          <w:szCs w:val="24"/>
        </w:rPr>
        <w:t>T</w:t>
      </w:r>
      <w:r w:rsidR="00242DA0" w:rsidRPr="00DE12A3">
        <w:rPr>
          <w:color w:val="auto"/>
          <w:sz w:val="24"/>
          <w:szCs w:val="24"/>
          <w:vertAlign w:val="subscript"/>
        </w:rPr>
        <w:t>dew</w:t>
      </w:r>
      <w:r w:rsidR="00242DA0" w:rsidRPr="00DE12A3">
        <w:rPr>
          <w:color w:val="auto"/>
          <w:sz w:val="24"/>
          <w:szCs w:val="24"/>
        </w:rPr>
        <w:t xml:space="preserve">. İzin verilen varsayımlar için </w:t>
      </w:r>
      <w:r w:rsidR="00FA0678" w:rsidRPr="00DE12A3">
        <w:rPr>
          <w:color w:val="auto"/>
          <w:sz w:val="24"/>
          <w:szCs w:val="24"/>
        </w:rPr>
        <w:t xml:space="preserve">VII’nci </w:t>
      </w:r>
      <w:r w:rsidR="0066344A" w:rsidRPr="00DE12A3">
        <w:rPr>
          <w:color w:val="auto"/>
          <w:sz w:val="24"/>
          <w:szCs w:val="24"/>
        </w:rPr>
        <w:t>E</w:t>
      </w:r>
      <w:r w:rsidR="00FA0678" w:rsidRPr="00DE12A3">
        <w:rPr>
          <w:color w:val="auto"/>
          <w:sz w:val="24"/>
          <w:szCs w:val="24"/>
        </w:rPr>
        <w:t>k</w:t>
      </w:r>
      <w:r w:rsidR="00242DA0" w:rsidRPr="00DE12A3">
        <w:rPr>
          <w:color w:val="auto"/>
          <w:sz w:val="24"/>
          <w:szCs w:val="24"/>
        </w:rPr>
        <w:t>e bakınız</w:t>
      </w:r>
      <w:r w:rsidR="0066344A" w:rsidRPr="00DE12A3">
        <w:rPr>
          <w:color w:val="auto"/>
          <w:sz w:val="24"/>
          <w:szCs w:val="24"/>
        </w:rPr>
        <w:t>.</w:t>
      </w:r>
    </w:p>
    <w:p w14:paraId="6D16312E" w14:textId="4A9DE184" w:rsidR="002D7B36" w:rsidRPr="00DE12A3" w:rsidRDefault="00E214ED" w:rsidP="00E20716">
      <w:pPr>
        <w:pStyle w:val="Gvdemetni255"/>
        <w:numPr>
          <w:ilvl w:val="0"/>
          <w:numId w:val="222"/>
        </w:numPr>
        <w:shd w:val="clear" w:color="auto" w:fill="FFFFFF" w:themeFill="background1"/>
        <w:spacing w:before="120" w:after="120" w:line="240" w:lineRule="auto"/>
        <w:ind w:left="2268" w:hanging="567"/>
        <w:rPr>
          <w:color w:val="auto"/>
          <w:sz w:val="24"/>
          <w:szCs w:val="24"/>
        </w:rPr>
      </w:pPr>
      <w:r w:rsidRPr="00DE12A3">
        <w:rPr>
          <w:color w:val="auto"/>
          <w:sz w:val="24"/>
          <w:szCs w:val="24"/>
        </w:rPr>
        <w:t xml:space="preserve">   </w:t>
      </w:r>
      <w:r w:rsidR="00242DA0" w:rsidRPr="00DE12A3">
        <w:rPr>
          <w:color w:val="auto"/>
          <w:sz w:val="24"/>
          <w:szCs w:val="24"/>
        </w:rPr>
        <w:t xml:space="preserve">Venturi girişindeki ortalama sıcaklık, </w:t>
      </w:r>
      <w:r w:rsidR="00242DA0" w:rsidRPr="00DE12A3">
        <w:rPr>
          <w:i/>
          <w:iCs/>
          <w:color w:val="auto"/>
          <w:sz w:val="24"/>
          <w:szCs w:val="24"/>
        </w:rPr>
        <w:t>T</w:t>
      </w:r>
      <w:r w:rsidR="00242DA0" w:rsidRPr="00DE12A3">
        <w:rPr>
          <w:color w:val="auto"/>
          <w:sz w:val="24"/>
          <w:szCs w:val="24"/>
          <w:vertAlign w:val="subscript"/>
        </w:rPr>
        <w:t>in</w:t>
      </w:r>
      <w:r w:rsidR="0066344A" w:rsidRPr="00DE12A3">
        <w:rPr>
          <w:color w:val="auto"/>
          <w:sz w:val="24"/>
          <w:szCs w:val="24"/>
        </w:rPr>
        <w:t>.</w:t>
      </w:r>
    </w:p>
    <w:p w14:paraId="07699AC4" w14:textId="25E16C95" w:rsidR="002D7B36" w:rsidRPr="00DE12A3" w:rsidRDefault="00E214ED" w:rsidP="00E20716">
      <w:pPr>
        <w:pStyle w:val="Gvdemetni255"/>
        <w:numPr>
          <w:ilvl w:val="0"/>
          <w:numId w:val="222"/>
        </w:numPr>
        <w:shd w:val="clear" w:color="auto" w:fill="FFFFFF" w:themeFill="background1"/>
        <w:spacing w:before="120" w:after="120" w:line="240" w:lineRule="auto"/>
        <w:ind w:left="2268" w:hanging="567"/>
        <w:rPr>
          <w:color w:val="auto"/>
          <w:sz w:val="24"/>
          <w:szCs w:val="24"/>
        </w:rPr>
      </w:pPr>
      <w:r w:rsidRPr="00DE12A3">
        <w:rPr>
          <w:color w:val="auto"/>
          <w:sz w:val="24"/>
          <w:szCs w:val="24"/>
        </w:rPr>
        <w:t xml:space="preserve">   </w:t>
      </w:r>
      <w:r w:rsidR="00242DA0" w:rsidRPr="00DE12A3">
        <w:rPr>
          <w:color w:val="auto"/>
          <w:sz w:val="24"/>
          <w:szCs w:val="24"/>
        </w:rPr>
        <w:t xml:space="preserve">Venturi girişindeki ortalama statik mutlak basınç, </w:t>
      </w:r>
      <w:r w:rsidR="00242DA0" w:rsidRPr="00DE12A3">
        <w:rPr>
          <w:i/>
          <w:iCs/>
          <w:color w:val="auto"/>
          <w:sz w:val="24"/>
          <w:szCs w:val="24"/>
        </w:rPr>
        <w:t>p</w:t>
      </w:r>
      <w:r w:rsidR="00242DA0" w:rsidRPr="00DE12A3">
        <w:rPr>
          <w:color w:val="auto"/>
          <w:sz w:val="24"/>
          <w:szCs w:val="24"/>
          <w:vertAlign w:val="subscript"/>
        </w:rPr>
        <w:t>in</w:t>
      </w:r>
      <w:r w:rsidR="0066344A" w:rsidRPr="00DE12A3">
        <w:rPr>
          <w:color w:val="auto"/>
          <w:sz w:val="24"/>
          <w:szCs w:val="24"/>
        </w:rPr>
        <w:t>.</w:t>
      </w:r>
    </w:p>
    <w:p w14:paraId="7962F7CA" w14:textId="540F4B9F" w:rsidR="002D7B36" w:rsidRPr="00DE12A3" w:rsidRDefault="00E214ED" w:rsidP="00E20716">
      <w:pPr>
        <w:pStyle w:val="Gvdemetni255"/>
        <w:numPr>
          <w:ilvl w:val="0"/>
          <w:numId w:val="222"/>
        </w:numPr>
        <w:shd w:val="clear" w:color="auto" w:fill="FFFFFF" w:themeFill="background1"/>
        <w:spacing w:before="120" w:after="120" w:line="240" w:lineRule="auto"/>
        <w:ind w:left="2268" w:hanging="567"/>
        <w:rPr>
          <w:color w:val="auto"/>
          <w:sz w:val="24"/>
          <w:szCs w:val="24"/>
        </w:rPr>
      </w:pPr>
      <w:r w:rsidRPr="00DE12A3">
        <w:rPr>
          <w:color w:val="auto"/>
          <w:sz w:val="24"/>
          <w:szCs w:val="24"/>
        </w:rPr>
        <w:t xml:space="preserve">   </w:t>
      </w:r>
      <w:r w:rsidR="00242DA0" w:rsidRPr="00DE12A3">
        <w:rPr>
          <w:color w:val="auto"/>
          <w:sz w:val="24"/>
          <w:szCs w:val="24"/>
        </w:rPr>
        <w:t xml:space="preserve">Venturi girişindeki statik basınç ile venturi boğazındaki statik basınç arasındaki statik fark basıncı, </w:t>
      </w:r>
      <w:r w:rsidR="00242DA0" w:rsidRPr="00DE12A3">
        <w:rPr>
          <w:rFonts w:eastAsia="Courier New"/>
          <w:color w:val="auto"/>
          <w:spacing w:val="0"/>
          <w:sz w:val="24"/>
          <w:szCs w:val="24"/>
        </w:rPr>
        <w:t>Δ</w:t>
      </w:r>
      <w:r w:rsidR="00242DA0" w:rsidRPr="00DE12A3">
        <w:rPr>
          <w:rFonts w:eastAsia="Courier New"/>
          <w:i/>
          <w:iCs/>
          <w:color w:val="auto"/>
          <w:spacing w:val="0"/>
          <w:sz w:val="24"/>
          <w:szCs w:val="24"/>
        </w:rPr>
        <w:t>p</w:t>
      </w:r>
      <w:r w:rsidR="00242DA0" w:rsidRPr="00DE12A3">
        <w:rPr>
          <w:rFonts w:eastAsia="Courier New"/>
          <w:color w:val="auto"/>
          <w:spacing w:val="0"/>
          <w:sz w:val="24"/>
          <w:szCs w:val="24"/>
          <w:vertAlign w:val="subscript"/>
        </w:rPr>
        <w:t>SSV</w:t>
      </w:r>
      <w:r w:rsidR="0066344A" w:rsidRPr="00DE12A3">
        <w:rPr>
          <w:rStyle w:val="Gvdemetni25KkBykHarf"/>
          <w:color w:val="auto"/>
          <w:sz w:val="24"/>
          <w:szCs w:val="24"/>
          <w:lang w:val="tr-TR"/>
        </w:rPr>
        <w:t>.</w:t>
      </w:r>
    </w:p>
    <w:p w14:paraId="64C8EF20" w14:textId="69D4F524" w:rsidR="002D7B36" w:rsidRPr="00DE12A3" w:rsidRDefault="00242DA0" w:rsidP="00E20716">
      <w:pPr>
        <w:pStyle w:val="Gvdemetni255"/>
        <w:numPr>
          <w:ilvl w:val="0"/>
          <w:numId w:val="221"/>
        </w:numPr>
        <w:shd w:val="clear" w:color="auto" w:fill="FFFFFF" w:themeFill="background1"/>
        <w:spacing w:before="120" w:after="120" w:line="240" w:lineRule="auto"/>
        <w:ind w:left="1701" w:hanging="567"/>
        <w:rPr>
          <w:color w:val="auto"/>
          <w:sz w:val="24"/>
          <w:szCs w:val="24"/>
        </w:rPr>
      </w:pPr>
      <w:r w:rsidRPr="00DE12A3">
        <w:rPr>
          <w:color w:val="auto"/>
          <w:sz w:val="24"/>
          <w:szCs w:val="24"/>
        </w:rPr>
        <w:t>Kısıtlayıcı valf kademeli olarak kapatılmalıdır ya da akış hızını azaltmak için üfleyici devri düşürülmelidir</w:t>
      </w:r>
      <w:r w:rsidR="0066344A" w:rsidRPr="00DE12A3">
        <w:rPr>
          <w:color w:val="auto"/>
          <w:sz w:val="24"/>
          <w:szCs w:val="24"/>
        </w:rPr>
        <w:t>.</w:t>
      </w:r>
    </w:p>
    <w:p w14:paraId="0B8A8A73" w14:textId="29CD52E0" w:rsidR="002D7B36" w:rsidRPr="00DE12A3" w:rsidRDefault="00242DA0" w:rsidP="00E20716">
      <w:pPr>
        <w:pStyle w:val="Gvdemetni255"/>
        <w:numPr>
          <w:ilvl w:val="0"/>
          <w:numId w:val="221"/>
        </w:numPr>
        <w:shd w:val="clear" w:color="auto" w:fill="FFFFFF" w:themeFill="background1"/>
        <w:spacing w:before="120" w:after="120" w:line="240" w:lineRule="auto"/>
        <w:ind w:left="1701" w:hanging="567"/>
        <w:rPr>
          <w:color w:val="auto"/>
          <w:sz w:val="24"/>
          <w:szCs w:val="24"/>
        </w:rPr>
      </w:pPr>
      <w:r w:rsidRPr="00DE12A3">
        <w:rPr>
          <w:color w:val="auto"/>
          <w:sz w:val="24"/>
          <w:szCs w:val="24"/>
        </w:rPr>
        <w:t xml:space="preserve">Bu bendin (f) ila (g) </w:t>
      </w:r>
      <w:r w:rsidR="0066344A" w:rsidRPr="00DE12A3">
        <w:rPr>
          <w:color w:val="auto"/>
          <w:sz w:val="24"/>
          <w:szCs w:val="24"/>
        </w:rPr>
        <w:t xml:space="preserve">numaralı alt bentlerindeki </w:t>
      </w:r>
      <w:r w:rsidRPr="00DE12A3">
        <w:rPr>
          <w:color w:val="auto"/>
          <w:sz w:val="24"/>
          <w:szCs w:val="24"/>
        </w:rPr>
        <w:t>adımlar, en az on akış hızında veri kaydetmek için tekrarlanmalıdır;</w:t>
      </w:r>
    </w:p>
    <w:p w14:paraId="5CEE1FDD" w14:textId="44F12B53" w:rsidR="002D7B36" w:rsidRPr="00DE12A3" w:rsidRDefault="00E214ED" w:rsidP="00E20716">
      <w:pPr>
        <w:pStyle w:val="Gvdemetni255"/>
        <w:numPr>
          <w:ilvl w:val="0"/>
          <w:numId w:val="221"/>
        </w:numPr>
        <w:shd w:val="clear" w:color="auto" w:fill="FFFFFF" w:themeFill="background1"/>
        <w:spacing w:before="120" w:after="120" w:line="240" w:lineRule="auto"/>
        <w:ind w:left="1701" w:hanging="567"/>
        <w:rPr>
          <w:color w:val="auto"/>
          <w:sz w:val="24"/>
          <w:szCs w:val="24"/>
        </w:rPr>
      </w:pPr>
      <w:r w:rsidRPr="00DE12A3">
        <w:rPr>
          <w:color w:val="auto"/>
          <w:sz w:val="24"/>
          <w:szCs w:val="24"/>
        </w:rPr>
        <w:t xml:space="preserve">     </w:t>
      </w:r>
      <w:r w:rsidR="00242DA0" w:rsidRPr="00DE12A3">
        <w:rPr>
          <w:color w:val="auto"/>
          <w:sz w:val="24"/>
          <w:szCs w:val="24"/>
        </w:rPr>
        <w:t xml:space="preserve">Toplanan veriler ve </w:t>
      </w:r>
      <w:r w:rsidR="00FA0678" w:rsidRPr="00DE12A3">
        <w:rPr>
          <w:color w:val="auto"/>
          <w:sz w:val="24"/>
          <w:szCs w:val="24"/>
        </w:rPr>
        <w:t xml:space="preserve">VII’nci </w:t>
      </w:r>
      <w:r w:rsidR="00C17C59" w:rsidRPr="00DE12A3">
        <w:rPr>
          <w:color w:val="auto"/>
          <w:sz w:val="24"/>
          <w:szCs w:val="24"/>
        </w:rPr>
        <w:t>E</w:t>
      </w:r>
      <w:r w:rsidR="00FA0678" w:rsidRPr="00DE12A3">
        <w:rPr>
          <w:color w:val="auto"/>
          <w:sz w:val="24"/>
          <w:szCs w:val="24"/>
        </w:rPr>
        <w:t>k</w:t>
      </w:r>
      <w:r w:rsidR="00242DA0" w:rsidRPr="00DE12A3">
        <w:rPr>
          <w:color w:val="auto"/>
          <w:sz w:val="24"/>
          <w:szCs w:val="24"/>
        </w:rPr>
        <w:t xml:space="preserve">teki denklemler kullanılarak, </w:t>
      </w:r>
      <w:r w:rsidR="00242DA0" w:rsidRPr="00DE12A3">
        <w:rPr>
          <w:i/>
          <w:iCs/>
          <w:color w:val="auto"/>
          <w:sz w:val="24"/>
          <w:szCs w:val="24"/>
        </w:rPr>
        <w:t>C</w:t>
      </w:r>
      <w:r w:rsidR="00242DA0" w:rsidRPr="00DE12A3">
        <w:rPr>
          <w:color w:val="auto"/>
          <w:sz w:val="24"/>
          <w:szCs w:val="24"/>
          <w:vertAlign w:val="subscript"/>
        </w:rPr>
        <w:t>d</w:t>
      </w:r>
      <w:r w:rsidR="00242DA0" w:rsidRPr="00DE12A3">
        <w:rPr>
          <w:color w:val="auto"/>
          <w:sz w:val="24"/>
          <w:szCs w:val="24"/>
        </w:rPr>
        <w:t xml:space="preserve">'nin </w:t>
      </w:r>
      <w:r w:rsidR="00242DA0" w:rsidRPr="00DE12A3">
        <w:rPr>
          <w:i/>
          <w:iCs/>
          <w:color w:val="auto"/>
          <w:sz w:val="24"/>
          <w:szCs w:val="24"/>
        </w:rPr>
        <w:t>Re</w:t>
      </w:r>
      <w:r w:rsidR="00242DA0" w:rsidRPr="00DE12A3">
        <w:rPr>
          <w:color w:val="auto"/>
          <w:sz w:val="24"/>
          <w:szCs w:val="24"/>
        </w:rPr>
        <w:t xml:space="preserve"> karşısındaki fonksiyonu belirlenmelidir</w:t>
      </w:r>
      <w:r w:rsidR="0066344A" w:rsidRPr="00DE12A3">
        <w:rPr>
          <w:color w:val="auto"/>
          <w:sz w:val="24"/>
          <w:szCs w:val="24"/>
        </w:rPr>
        <w:t>.</w:t>
      </w:r>
    </w:p>
    <w:p w14:paraId="36494311" w14:textId="7317E1B8" w:rsidR="002D7B36" w:rsidRPr="00DE12A3" w:rsidRDefault="00E214ED" w:rsidP="00E20716">
      <w:pPr>
        <w:pStyle w:val="Gvdemetni255"/>
        <w:numPr>
          <w:ilvl w:val="0"/>
          <w:numId w:val="221"/>
        </w:numPr>
        <w:shd w:val="clear" w:color="auto" w:fill="FFFFFF" w:themeFill="background1"/>
        <w:spacing w:before="120" w:after="120" w:line="240" w:lineRule="auto"/>
        <w:ind w:left="1701" w:hanging="567"/>
        <w:rPr>
          <w:color w:val="auto"/>
          <w:sz w:val="24"/>
          <w:szCs w:val="24"/>
        </w:rPr>
      </w:pPr>
      <w:r w:rsidRPr="00DE12A3">
        <w:rPr>
          <w:color w:val="auto"/>
          <w:sz w:val="24"/>
          <w:szCs w:val="24"/>
        </w:rPr>
        <w:t xml:space="preserve">     </w:t>
      </w:r>
      <w:r w:rsidR="00242DA0" w:rsidRPr="00DE12A3">
        <w:rPr>
          <w:color w:val="auto"/>
          <w:sz w:val="24"/>
          <w:szCs w:val="24"/>
        </w:rPr>
        <w:t xml:space="preserve">Kalibrasyon, yeni </w:t>
      </w:r>
      <w:r w:rsidR="00242DA0" w:rsidRPr="00DE12A3">
        <w:rPr>
          <w:i/>
          <w:iCs/>
          <w:color w:val="auto"/>
          <w:sz w:val="24"/>
          <w:szCs w:val="24"/>
        </w:rPr>
        <w:t>C</w:t>
      </w:r>
      <w:r w:rsidR="00242DA0" w:rsidRPr="00DE12A3">
        <w:rPr>
          <w:color w:val="auto"/>
          <w:sz w:val="24"/>
          <w:szCs w:val="24"/>
          <w:vertAlign w:val="subscript"/>
        </w:rPr>
        <w:t>d</w:t>
      </w:r>
      <w:r w:rsidR="00242DA0" w:rsidRPr="00DE12A3">
        <w:rPr>
          <w:color w:val="auto"/>
          <w:sz w:val="24"/>
          <w:szCs w:val="24"/>
        </w:rPr>
        <w:t>-</w:t>
      </w:r>
      <w:r w:rsidR="00242DA0" w:rsidRPr="00DE12A3">
        <w:rPr>
          <w:i/>
          <w:iCs/>
          <w:color w:val="auto"/>
          <w:sz w:val="24"/>
          <w:szCs w:val="24"/>
        </w:rPr>
        <w:t>Re</w:t>
      </w:r>
      <w:r w:rsidR="00242DA0" w:rsidRPr="00DE12A3">
        <w:rPr>
          <w:color w:val="auto"/>
          <w:sz w:val="24"/>
          <w:szCs w:val="24"/>
        </w:rPr>
        <w:t xml:space="preserve"> denklemi kullanılarak, 8.1.8.5 bendinde açıklandığı gibi bir CVS doğrulaması (yani propan kontrolü) yapılarak doğrulanmalıdır</w:t>
      </w:r>
      <w:r w:rsidR="0066344A" w:rsidRPr="00DE12A3">
        <w:rPr>
          <w:color w:val="auto"/>
          <w:sz w:val="24"/>
          <w:szCs w:val="24"/>
        </w:rPr>
        <w:t>.</w:t>
      </w:r>
    </w:p>
    <w:p w14:paraId="339EBE97" w14:textId="763B567D" w:rsidR="002D7B36" w:rsidRPr="00DE12A3" w:rsidRDefault="00242DA0" w:rsidP="00E20716">
      <w:pPr>
        <w:pStyle w:val="Gvdemetni255"/>
        <w:numPr>
          <w:ilvl w:val="0"/>
          <w:numId w:val="221"/>
        </w:numPr>
        <w:shd w:val="clear" w:color="auto" w:fill="FFFFFF" w:themeFill="background1"/>
        <w:spacing w:before="120" w:after="120" w:line="240" w:lineRule="auto"/>
        <w:ind w:left="1701" w:hanging="567"/>
        <w:rPr>
          <w:color w:val="auto"/>
          <w:sz w:val="24"/>
          <w:szCs w:val="24"/>
        </w:rPr>
      </w:pPr>
      <w:r w:rsidRPr="00DE12A3">
        <w:rPr>
          <w:color w:val="auto"/>
          <w:sz w:val="24"/>
          <w:szCs w:val="24"/>
        </w:rPr>
        <w:t>SSV, yalnızca kalibre edilmiş asgari ve azami akış hızları arasında kullanılmalıdır</w:t>
      </w:r>
      <w:r w:rsidR="0066344A" w:rsidRPr="00DE12A3">
        <w:rPr>
          <w:color w:val="auto"/>
          <w:sz w:val="24"/>
          <w:szCs w:val="24"/>
        </w:rPr>
        <w:t>.</w:t>
      </w:r>
    </w:p>
    <w:p w14:paraId="6C027168" w14:textId="0E1E5906" w:rsidR="002D7B36" w:rsidRPr="00DE12A3" w:rsidRDefault="00E214ED" w:rsidP="00E20716">
      <w:pPr>
        <w:pStyle w:val="Gvdemetni255"/>
        <w:numPr>
          <w:ilvl w:val="0"/>
          <w:numId w:val="221"/>
        </w:numPr>
        <w:shd w:val="clear" w:color="auto" w:fill="FFFFFF" w:themeFill="background1"/>
        <w:spacing w:before="120" w:after="120" w:line="240" w:lineRule="auto"/>
        <w:ind w:left="1701" w:hanging="567"/>
        <w:rPr>
          <w:color w:val="auto"/>
          <w:sz w:val="24"/>
          <w:szCs w:val="24"/>
        </w:rPr>
      </w:pPr>
      <w:r w:rsidRPr="00DE12A3">
        <w:rPr>
          <w:color w:val="auto"/>
          <w:sz w:val="24"/>
          <w:szCs w:val="24"/>
        </w:rPr>
        <w:t xml:space="preserve">    </w:t>
      </w:r>
      <w:r w:rsidR="00242DA0" w:rsidRPr="00DE12A3">
        <w:rPr>
          <w:color w:val="auto"/>
          <w:sz w:val="24"/>
          <w:szCs w:val="24"/>
        </w:rPr>
        <w:t xml:space="preserve">Bir test sırasında SSV akışını belirlemek için, </w:t>
      </w:r>
      <w:r w:rsidR="00FA0678" w:rsidRPr="00DE12A3">
        <w:rPr>
          <w:color w:val="auto"/>
          <w:sz w:val="24"/>
          <w:szCs w:val="24"/>
        </w:rPr>
        <w:t xml:space="preserve">VII’nci </w:t>
      </w:r>
      <w:r w:rsidR="00C17C59" w:rsidRPr="00DE12A3">
        <w:rPr>
          <w:color w:val="auto"/>
          <w:sz w:val="24"/>
          <w:szCs w:val="24"/>
        </w:rPr>
        <w:t>E</w:t>
      </w:r>
      <w:r w:rsidR="00FA0678" w:rsidRPr="00DE12A3">
        <w:rPr>
          <w:color w:val="auto"/>
          <w:sz w:val="24"/>
          <w:szCs w:val="24"/>
        </w:rPr>
        <w:t>k</w:t>
      </w:r>
      <w:r w:rsidR="00242DA0" w:rsidRPr="00DE12A3">
        <w:rPr>
          <w:color w:val="auto"/>
          <w:sz w:val="24"/>
          <w:szCs w:val="24"/>
        </w:rPr>
        <w:t xml:space="preserve">in 3. </w:t>
      </w:r>
      <w:r w:rsidR="00B32A92" w:rsidRPr="00DE12A3">
        <w:rPr>
          <w:color w:val="auto"/>
          <w:sz w:val="24"/>
          <w:szCs w:val="24"/>
        </w:rPr>
        <w:t>Bölüm</w:t>
      </w:r>
      <w:r w:rsidR="00242DA0" w:rsidRPr="00DE12A3">
        <w:rPr>
          <w:color w:val="auto"/>
          <w:sz w:val="24"/>
          <w:szCs w:val="24"/>
        </w:rPr>
        <w:t xml:space="preserve">ündeki (molar bazlı yaklaşım) veya </w:t>
      </w:r>
      <w:r w:rsidR="00FA0678" w:rsidRPr="00DE12A3">
        <w:rPr>
          <w:color w:val="auto"/>
          <w:sz w:val="24"/>
          <w:szCs w:val="24"/>
        </w:rPr>
        <w:t xml:space="preserve">VII’nci </w:t>
      </w:r>
      <w:r w:rsidR="00C17C59" w:rsidRPr="00DE12A3">
        <w:rPr>
          <w:color w:val="auto"/>
          <w:sz w:val="24"/>
          <w:szCs w:val="24"/>
        </w:rPr>
        <w:t>E</w:t>
      </w:r>
      <w:r w:rsidR="00FA0678" w:rsidRPr="00DE12A3">
        <w:rPr>
          <w:color w:val="auto"/>
          <w:sz w:val="24"/>
          <w:szCs w:val="24"/>
        </w:rPr>
        <w:t>k</w:t>
      </w:r>
      <w:r w:rsidR="00242DA0" w:rsidRPr="00DE12A3">
        <w:rPr>
          <w:color w:val="auto"/>
          <w:sz w:val="24"/>
          <w:szCs w:val="24"/>
        </w:rPr>
        <w:t xml:space="preserve">in 2. </w:t>
      </w:r>
      <w:r w:rsidR="00B32A92" w:rsidRPr="00DE12A3">
        <w:rPr>
          <w:color w:val="auto"/>
          <w:sz w:val="24"/>
          <w:szCs w:val="24"/>
        </w:rPr>
        <w:t>Bölüm</w:t>
      </w:r>
      <w:r w:rsidR="00242DA0" w:rsidRPr="00DE12A3">
        <w:rPr>
          <w:color w:val="auto"/>
          <w:sz w:val="24"/>
          <w:szCs w:val="24"/>
        </w:rPr>
        <w:t>ündeki (kütle bazlı yaklaşım) denklemler kullanılmalıdır.</w:t>
      </w:r>
    </w:p>
    <w:p w14:paraId="34C598B8" w14:textId="77777777" w:rsidR="002D7B36" w:rsidRPr="00DE12A3" w:rsidRDefault="00242DA0" w:rsidP="00C917D6">
      <w:pPr>
        <w:pStyle w:val="Gvdemetni255"/>
        <w:shd w:val="clear" w:color="auto" w:fill="auto"/>
        <w:tabs>
          <w:tab w:val="left" w:pos="851"/>
        </w:tabs>
        <w:spacing w:before="120" w:after="120" w:line="240" w:lineRule="auto"/>
        <w:ind w:left="1134" w:hanging="1134"/>
        <w:rPr>
          <w:color w:val="auto"/>
          <w:sz w:val="24"/>
          <w:szCs w:val="24"/>
        </w:rPr>
      </w:pPr>
      <w:r w:rsidRPr="00DE12A3">
        <w:rPr>
          <w:color w:val="auto"/>
          <w:sz w:val="24"/>
          <w:szCs w:val="24"/>
        </w:rPr>
        <w:t>8.1.8.4.5.</w:t>
      </w:r>
      <w:r w:rsidRPr="00DE12A3">
        <w:rPr>
          <w:color w:val="auto"/>
          <w:sz w:val="24"/>
          <w:szCs w:val="24"/>
        </w:rPr>
        <w:tab/>
        <w:t>Ultrasonik kalibrasyon (ayrılmış)</w:t>
      </w:r>
    </w:p>
    <w:p w14:paraId="6C954608" w14:textId="77777777" w:rsidR="00973AD0" w:rsidRPr="00DE12A3" w:rsidRDefault="00973AD0" w:rsidP="00C917D6">
      <w:pPr>
        <w:pStyle w:val="Gvdemetni41"/>
        <w:shd w:val="clear" w:color="auto" w:fill="auto"/>
        <w:spacing w:after="120" w:line="240" w:lineRule="auto"/>
        <w:ind w:left="1134" w:hanging="1134"/>
        <w:jc w:val="center"/>
        <w:rPr>
          <w:rStyle w:val="Gvdemetni40ptbolukbraklyor"/>
          <w:rFonts w:eastAsia="Sylfaen"/>
          <w:color w:val="auto"/>
          <w:sz w:val="24"/>
          <w:szCs w:val="24"/>
        </w:rPr>
      </w:pPr>
    </w:p>
    <w:p w14:paraId="3A7CA331" w14:textId="77777777" w:rsidR="00973AD0" w:rsidRPr="00DE12A3" w:rsidRDefault="00973AD0" w:rsidP="00C917D6">
      <w:pPr>
        <w:pStyle w:val="Gvdemetni41"/>
        <w:shd w:val="clear" w:color="auto" w:fill="auto"/>
        <w:spacing w:after="120" w:line="240" w:lineRule="auto"/>
        <w:ind w:left="1134" w:hanging="1134"/>
        <w:jc w:val="center"/>
        <w:rPr>
          <w:rStyle w:val="Gvdemetni40ptbolukbraklyor"/>
          <w:rFonts w:eastAsia="Sylfaen"/>
          <w:color w:val="auto"/>
          <w:sz w:val="24"/>
          <w:szCs w:val="24"/>
        </w:rPr>
      </w:pPr>
    </w:p>
    <w:p w14:paraId="7EF9C17A" w14:textId="77777777" w:rsidR="00973AD0" w:rsidRPr="00DE12A3" w:rsidRDefault="00973AD0" w:rsidP="00C917D6">
      <w:pPr>
        <w:pStyle w:val="Gvdemetni41"/>
        <w:shd w:val="clear" w:color="auto" w:fill="auto"/>
        <w:spacing w:after="120" w:line="240" w:lineRule="auto"/>
        <w:ind w:left="1134" w:hanging="1134"/>
        <w:jc w:val="center"/>
        <w:rPr>
          <w:rStyle w:val="Gvdemetni40ptbolukbraklyor"/>
          <w:rFonts w:eastAsia="Sylfaen"/>
          <w:color w:val="auto"/>
          <w:sz w:val="24"/>
          <w:szCs w:val="24"/>
        </w:rPr>
      </w:pPr>
    </w:p>
    <w:p w14:paraId="2FFCE942" w14:textId="77777777" w:rsidR="00973AD0" w:rsidRPr="00DE12A3" w:rsidRDefault="00973AD0" w:rsidP="00C917D6">
      <w:pPr>
        <w:pStyle w:val="Gvdemetni41"/>
        <w:shd w:val="clear" w:color="auto" w:fill="auto"/>
        <w:spacing w:after="120" w:line="240" w:lineRule="auto"/>
        <w:ind w:left="1134" w:hanging="1134"/>
        <w:jc w:val="center"/>
        <w:rPr>
          <w:rStyle w:val="Gvdemetni40ptbolukbraklyor"/>
          <w:rFonts w:eastAsia="Sylfaen"/>
          <w:color w:val="auto"/>
          <w:sz w:val="24"/>
          <w:szCs w:val="24"/>
        </w:rPr>
      </w:pPr>
    </w:p>
    <w:p w14:paraId="0AF00D53" w14:textId="77777777" w:rsidR="00973AD0" w:rsidRPr="00DE12A3" w:rsidRDefault="00973AD0" w:rsidP="00C917D6">
      <w:pPr>
        <w:pStyle w:val="Gvdemetni41"/>
        <w:shd w:val="clear" w:color="auto" w:fill="auto"/>
        <w:spacing w:after="120" w:line="240" w:lineRule="auto"/>
        <w:ind w:left="1134" w:hanging="1134"/>
        <w:jc w:val="center"/>
        <w:rPr>
          <w:rStyle w:val="Gvdemetni40ptbolukbraklyor"/>
          <w:rFonts w:eastAsia="Sylfaen"/>
          <w:color w:val="auto"/>
          <w:sz w:val="24"/>
          <w:szCs w:val="24"/>
        </w:rPr>
      </w:pPr>
    </w:p>
    <w:p w14:paraId="2F66D6DD" w14:textId="77777777" w:rsidR="00973AD0" w:rsidRPr="00DE12A3" w:rsidRDefault="00973AD0" w:rsidP="00C917D6">
      <w:pPr>
        <w:pStyle w:val="Gvdemetni41"/>
        <w:shd w:val="clear" w:color="auto" w:fill="auto"/>
        <w:spacing w:after="120" w:line="240" w:lineRule="auto"/>
        <w:ind w:left="1134" w:hanging="1134"/>
        <w:jc w:val="center"/>
        <w:rPr>
          <w:rStyle w:val="Gvdemetni40ptbolukbraklyor"/>
          <w:rFonts w:eastAsia="Sylfaen"/>
          <w:color w:val="auto"/>
          <w:sz w:val="24"/>
          <w:szCs w:val="24"/>
        </w:rPr>
      </w:pPr>
    </w:p>
    <w:p w14:paraId="18797C05" w14:textId="77777777" w:rsidR="00973AD0" w:rsidRPr="00DE12A3" w:rsidRDefault="00973AD0" w:rsidP="00C917D6">
      <w:pPr>
        <w:pStyle w:val="Gvdemetni41"/>
        <w:shd w:val="clear" w:color="auto" w:fill="auto"/>
        <w:spacing w:after="120" w:line="240" w:lineRule="auto"/>
        <w:ind w:left="1134" w:hanging="1134"/>
        <w:jc w:val="center"/>
        <w:rPr>
          <w:rStyle w:val="Gvdemetni40ptbolukbraklyor"/>
          <w:rFonts w:eastAsia="Sylfaen"/>
          <w:color w:val="auto"/>
          <w:sz w:val="24"/>
          <w:szCs w:val="24"/>
        </w:rPr>
      </w:pPr>
    </w:p>
    <w:p w14:paraId="5AEF86ED" w14:textId="77777777" w:rsidR="00973AD0" w:rsidRPr="00DE12A3" w:rsidRDefault="00973AD0" w:rsidP="00C917D6">
      <w:pPr>
        <w:pStyle w:val="Gvdemetni41"/>
        <w:shd w:val="clear" w:color="auto" w:fill="auto"/>
        <w:spacing w:after="120" w:line="240" w:lineRule="auto"/>
        <w:ind w:left="1134" w:hanging="1134"/>
        <w:jc w:val="center"/>
        <w:rPr>
          <w:rStyle w:val="Gvdemetni40ptbolukbraklyor"/>
          <w:rFonts w:eastAsia="Sylfaen"/>
          <w:color w:val="auto"/>
          <w:sz w:val="24"/>
          <w:szCs w:val="24"/>
        </w:rPr>
      </w:pPr>
    </w:p>
    <w:p w14:paraId="5EBCF14C" w14:textId="77777777" w:rsidR="00973AD0" w:rsidRPr="00DE12A3" w:rsidRDefault="00973AD0" w:rsidP="00C917D6">
      <w:pPr>
        <w:pStyle w:val="Gvdemetni41"/>
        <w:shd w:val="clear" w:color="auto" w:fill="auto"/>
        <w:spacing w:after="120" w:line="240" w:lineRule="auto"/>
        <w:ind w:left="1134" w:hanging="1134"/>
        <w:jc w:val="center"/>
        <w:rPr>
          <w:rStyle w:val="Gvdemetni40ptbolukbraklyor"/>
          <w:rFonts w:eastAsia="Sylfaen"/>
          <w:color w:val="auto"/>
          <w:sz w:val="24"/>
          <w:szCs w:val="24"/>
        </w:rPr>
      </w:pPr>
    </w:p>
    <w:p w14:paraId="491916A1" w14:textId="77777777" w:rsidR="003440D3" w:rsidRPr="00DE12A3" w:rsidRDefault="003440D3" w:rsidP="00C917D6">
      <w:pPr>
        <w:pStyle w:val="Gvdemetni41"/>
        <w:shd w:val="clear" w:color="auto" w:fill="auto"/>
        <w:spacing w:after="120" w:line="240" w:lineRule="auto"/>
        <w:ind w:left="1134" w:hanging="1134"/>
        <w:jc w:val="center"/>
        <w:rPr>
          <w:rStyle w:val="Gvdemetni40ptbolukbraklyor"/>
          <w:rFonts w:eastAsia="Sylfaen"/>
          <w:color w:val="auto"/>
          <w:sz w:val="24"/>
          <w:szCs w:val="24"/>
        </w:rPr>
      </w:pPr>
    </w:p>
    <w:p w14:paraId="489FFFAC" w14:textId="77777777" w:rsidR="003440D3" w:rsidRPr="00DE12A3" w:rsidRDefault="003440D3" w:rsidP="00C917D6">
      <w:pPr>
        <w:pStyle w:val="Gvdemetni41"/>
        <w:shd w:val="clear" w:color="auto" w:fill="auto"/>
        <w:spacing w:after="120" w:line="240" w:lineRule="auto"/>
        <w:ind w:left="1134" w:hanging="1134"/>
        <w:jc w:val="center"/>
        <w:rPr>
          <w:rStyle w:val="Gvdemetni40ptbolukbraklyor"/>
          <w:rFonts w:eastAsia="Sylfaen"/>
          <w:color w:val="auto"/>
          <w:sz w:val="24"/>
          <w:szCs w:val="24"/>
        </w:rPr>
      </w:pPr>
    </w:p>
    <w:p w14:paraId="1739F60E" w14:textId="77777777" w:rsidR="003440D3" w:rsidRPr="00DE12A3" w:rsidRDefault="003440D3" w:rsidP="00C917D6">
      <w:pPr>
        <w:pStyle w:val="Gvdemetni41"/>
        <w:shd w:val="clear" w:color="auto" w:fill="auto"/>
        <w:spacing w:after="120" w:line="240" w:lineRule="auto"/>
        <w:ind w:left="1134" w:hanging="1134"/>
        <w:jc w:val="center"/>
        <w:rPr>
          <w:rStyle w:val="Gvdemetni40ptbolukbraklyor"/>
          <w:rFonts w:eastAsia="Sylfaen"/>
          <w:color w:val="auto"/>
          <w:sz w:val="24"/>
          <w:szCs w:val="24"/>
        </w:rPr>
      </w:pPr>
    </w:p>
    <w:p w14:paraId="1B80A117" w14:textId="3D203264" w:rsidR="002D7B36" w:rsidRPr="00DE12A3" w:rsidRDefault="00242DA0" w:rsidP="00C917D6">
      <w:pPr>
        <w:pStyle w:val="Gvdemetni41"/>
        <w:shd w:val="clear" w:color="auto" w:fill="auto"/>
        <w:spacing w:after="120" w:line="240" w:lineRule="auto"/>
        <w:ind w:left="1134" w:hanging="1134"/>
        <w:jc w:val="center"/>
        <w:rPr>
          <w:sz w:val="24"/>
          <w:szCs w:val="24"/>
        </w:rPr>
      </w:pPr>
      <w:r w:rsidRPr="00DE12A3">
        <w:rPr>
          <w:rStyle w:val="Gvdemetni40ptbolukbraklyor"/>
          <w:rFonts w:eastAsia="Sylfaen"/>
          <w:color w:val="auto"/>
          <w:sz w:val="24"/>
          <w:szCs w:val="24"/>
        </w:rPr>
        <w:t>Şekil 6.5</w:t>
      </w:r>
    </w:p>
    <w:p w14:paraId="30B0A574" w14:textId="6B4217BD" w:rsidR="002D7B36" w:rsidRPr="00DE12A3" w:rsidRDefault="00242DA0" w:rsidP="00C917D6">
      <w:pPr>
        <w:pStyle w:val="Gvdemetni531"/>
        <w:shd w:val="clear" w:color="auto" w:fill="auto"/>
        <w:spacing w:before="120" w:after="120" w:line="240" w:lineRule="auto"/>
        <w:ind w:left="1134" w:hanging="1134"/>
        <w:jc w:val="center"/>
        <w:rPr>
          <w:color w:val="auto"/>
          <w:sz w:val="24"/>
          <w:szCs w:val="24"/>
        </w:rPr>
      </w:pPr>
      <w:r w:rsidRPr="00DE12A3">
        <w:rPr>
          <w:color w:val="auto"/>
          <w:sz w:val="24"/>
          <w:szCs w:val="24"/>
        </w:rPr>
        <w:t>Seyreltilmiş egzoz gazı akışı CVS kalibrasyonu şemaları</w:t>
      </w:r>
    </w:p>
    <w:p w14:paraId="03C83287" w14:textId="264B390B" w:rsidR="002D7B36" w:rsidRPr="00DE12A3" w:rsidRDefault="002D7B36" w:rsidP="00C917D6">
      <w:pPr>
        <w:pStyle w:val="Gvdemetni255"/>
        <w:shd w:val="clear" w:color="auto" w:fill="auto"/>
        <w:spacing w:before="120" w:after="120" w:line="240" w:lineRule="auto"/>
        <w:ind w:left="709" w:hanging="709"/>
        <w:rPr>
          <w:color w:val="auto"/>
          <w:sz w:val="20"/>
          <w:szCs w:val="20"/>
        </w:rPr>
      </w:pPr>
    </w:p>
    <w:p w14:paraId="50384612" w14:textId="18977712" w:rsidR="002D7B36" w:rsidRPr="00DE12A3" w:rsidRDefault="00973AD0" w:rsidP="00C917D6">
      <w:pPr>
        <w:pStyle w:val="Gvdemetni255"/>
        <w:shd w:val="clear" w:color="auto" w:fill="auto"/>
        <w:spacing w:before="120" w:after="120" w:line="240" w:lineRule="auto"/>
        <w:ind w:left="709" w:hanging="709"/>
        <w:rPr>
          <w:color w:val="auto"/>
          <w:sz w:val="20"/>
          <w:szCs w:val="20"/>
        </w:rPr>
      </w:pPr>
      <w:r w:rsidRPr="00DE12A3">
        <w:rPr>
          <w:noProof/>
          <w:color w:val="auto"/>
        </w:rPr>
        <w:drawing>
          <wp:anchor distT="0" distB="0" distL="114300" distR="114300" simplePos="0" relativeHeight="251623936" behindDoc="0" locked="0" layoutInCell="1" allowOverlap="1" wp14:anchorId="59BF8A9A" wp14:editId="1F769A38">
            <wp:simplePos x="0" y="0"/>
            <wp:positionH relativeFrom="margin">
              <wp:posOffset>375920</wp:posOffset>
            </wp:positionH>
            <wp:positionV relativeFrom="paragraph">
              <wp:posOffset>191770</wp:posOffset>
            </wp:positionV>
            <wp:extent cx="4992057" cy="4884420"/>
            <wp:effectExtent l="0" t="0" r="0" b="0"/>
            <wp:wrapNone/>
            <wp:docPr id="1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5"/>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a:xfrm>
                      <a:off x="0" y="0"/>
                      <a:ext cx="4992057" cy="488442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9E50432" w14:textId="09589DF3" w:rsidR="002D7B36" w:rsidRPr="00DE12A3" w:rsidRDefault="002D7B36" w:rsidP="00C917D6">
      <w:pPr>
        <w:pStyle w:val="Gvdemetni255"/>
        <w:shd w:val="clear" w:color="auto" w:fill="auto"/>
        <w:spacing w:before="120" w:after="120" w:line="240" w:lineRule="auto"/>
        <w:ind w:left="709" w:hanging="709"/>
        <w:rPr>
          <w:color w:val="auto"/>
          <w:sz w:val="20"/>
          <w:szCs w:val="20"/>
        </w:rPr>
      </w:pPr>
    </w:p>
    <w:p w14:paraId="01DEBBF9" w14:textId="10C53332" w:rsidR="002D7B36" w:rsidRPr="00DE12A3" w:rsidRDefault="002D7B36" w:rsidP="00C917D6">
      <w:pPr>
        <w:pStyle w:val="Gvdemetni255"/>
        <w:tabs>
          <w:tab w:val="left" w:pos="2818"/>
          <w:tab w:val="right" w:pos="5164"/>
          <w:tab w:val="right" w:pos="5648"/>
        </w:tabs>
        <w:spacing w:before="120" w:after="120" w:line="240" w:lineRule="auto"/>
        <w:ind w:left="709" w:hanging="709"/>
        <w:rPr>
          <w:color w:val="auto"/>
          <w:sz w:val="20"/>
          <w:szCs w:val="20"/>
        </w:rPr>
      </w:pPr>
    </w:p>
    <w:p w14:paraId="58DDEFB6" w14:textId="77777777" w:rsidR="002D7B36" w:rsidRPr="00DE12A3" w:rsidRDefault="002D7B36" w:rsidP="00C917D6">
      <w:pPr>
        <w:pStyle w:val="Gvdemetni250"/>
        <w:shd w:val="clear" w:color="auto" w:fill="auto"/>
        <w:spacing w:before="120" w:after="120" w:line="240" w:lineRule="auto"/>
        <w:ind w:left="709" w:hanging="709"/>
        <w:rPr>
          <w:sz w:val="20"/>
          <w:szCs w:val="20"/>
        </w:rPr>
      </w:pPr>
    </w:p>
    <w:p w14:paraId="5541F20F" w14:textId="77777777" w:rsidR="002D7B36" w:rsidRPr="00DE12A3" w:rsidRDefault="002D7B36" w:rsidP="00C917D6">
      <w:pPr>
        <w:pStyle w:val="Gvdemetni0"/>
        <w:shd w:val="clear" w:color="auto" w:fill="auto"/>
        <w:spacing w:before="120" w:after="120" w:line="240" w:lineRule="auto"/>
        <w:ind w:left="709" w:hanging="709"/>
        <w:jc w:val="both"/>
        <w:rPr>
          <w:sz w:val="20"/>
          <w:szCs w:val="20"/>
        </w:rPr>
      </w:pPr>
    </w:p>
    <w:p w14:paraId="5DF00B3B" w14:textId="77777777" w:rsidR="002D7B36" w:rsidRPr="00DE12A3" w:rsidRDefault="002D7B36" w:rsidP="00C917D6">
      <w:pPr>
        <w:spacing w:before="120" w:after="120"/>
        <w:ind w:left="709" w:hanging="709"/>
        <w:jc w:val="both"/>
        <w:rPr>
          <w:rFonts w:cs="Times New Roman"/>
          <w:color w:val="auto"/>
          <w:sz w:val="20"/>
          <w:szCs w:val="20"/>
        </w:rPr>
      </w:pPr>
    </w:p>
    <w:p w14:paraId="5CEBB1D8" w14:textId="77777777" w:rsidR="002D7B36" w:rsidRPr="00DE12A3" w:rsidRDefault="002D7B36" w:rsidP="00C917D6">
      <w:pPr>
        <w:spacing w:before="120" w:after="120"/>
        <w:ind w:left="709" w:hanging="709"/>
        <w:jc w:val="both"/>
        <w:rPr>
          <w:rFonts w:cs="Times New Roman"/>
          <w:color w:val="auto"/>
          <w:sz w:val="20"/>
          <w:szCs w:val="20"/>
        </w:rPr>
      </w:pPr>
    </w:p>
    <w:p w14:paraId="59129C62" w14:textId="77777777" w:rsidR="002D7B36" w:rsidRPr="00DE12A3" w:rsidRDefault="002D7B36" w:rsidP="00C917D6">
      <w:pPr>
        <w:spacing w:before="120" w:after="120"/>
        <w:ind w:left="709" w:hanging="709"/>
        <w:jc w:val="both"/>
        <w:rPr>
          <w:rFonts w:cs="Times New Roman"/>
          <w:color w:val="auto"/>
          <w:sz w:val="20"/>
          <w:szCs w:val="20"/>
        </w:rPr>
      </w:pPr>
    </w:p>
    <w:p w14:paraId="3A06518A" w14:textId="77777777" w:rsidR="002D7B36" w:rsidRPr="00DE12A3" w:rsidRDefault="002D7B36" w:rsidP="00C917D6">
      <w:pPr>
        <w:spacing w:before="120" w:after="120"/>
        <w:ind w:left="709" w:hanging="709"/>
        <w:jc w:val="both"/>
        <w:rPr>
          <w:rFonts w:cs="Times New Roman"/>
          <w:color w:val="auto"/>
          <w:sz w:val="20"/>
          <w:szCs w:val="20"/>
        </w:rPr>
      </w:pPr>
    </w:p>
    <w:p w14:paraId="1F72F13A" w14:textId="77777777" w:rsidR="002D7B36" w:rsidRPr="00DE12A3" w:rsidRDefault="002D7B36" w:rsidP="00C917D6">
      <w:pPr>
        <w:spacing w:before="120" w:after="120"/>
        <w:ind w:left="709" w:hanging="709"/>
        <w:jc w:val="both"/>
        <w:rPr>
          <w:rFonts w:cs="Times New Roman"/>
          <w:color w:val="auto"/>
          <w:sz w:val="20"/>
          <w:szCs w:val="20"/>
        </w:rPr>
      </w:pPr>
    </w:p>
    <w:p w14:paraId="179D0C99" w14:textId="77777777" w:rsidR="002D7B36" w:rsidRPr="00DE12A3" w:rsidRDefault="002D7B36" w:rsidP="00C917D6">
      <w:pPr>
        <w:spacing w:before="120" w:after="120"/>
        <w:ind w:left="709" w:hanging="709"/>
        <w:jc w:val="both"/>
        <w:rPr>
          <w:rFonts w:cs="Times New Roman"/>
          <w:color w:val="auto"/>
          <w:sz w:val="20"/>
          <w:szCs w:val="20"/>
        </w:rPr>
      </w:pPr>
    </w:p>
    <w:p w14:paraId="7EF90AD7" w14:textId="77777777" w:rsidR="002D7B36" w:rsidRPr="00DE12A3" w:rsidRDefault="002D7B36" w:rsidP="00C917D6">
      <w:pPr>
        <w:spacing w:before="120" w:after="120"/>
        <w:ind w:left="709" w:hanging="709"/>
        <w:jc w:val="both"/>
        <w:rPr>
          <w:rFonts w:cs="Times New Roman"/>
          <w:color w:val="auto"/>
          <w:sz w:val="20"/>
          <w:szCs w:val="20"/>
        </w:rPr>
      </w:pPr>
    </w:p>
    <w:p w14:paraId="3321E254" w14:textId="77777777" w:rsidR="002D7B36" w:rsidRPr="00DE12A3" w:rsidRDefault="002D7B36" w:rsidP="00C917D6">
      <w:pPr>
        <w:spacing w:before="120" w:after="120"/>
        <w:ind w:left="709" w:hanging="709"/>
        <w:jc w:val="both"/>
        <w:rPr>
          <w:rFonts w:cs="Times New Roman"/>
          <w:color w:val="auto"/>
          <w:sz w:val="20"/>
          <w:szCs w:val="20"/>
        </w:rPr>
      </w:pPr>
    </w:p>
    <w:p w14:paraId="35F46CAF" w14:textId="77777777" w:rsidR="002D7B36" w:rsidRPr="00DE12A3" w:rsidRDefault="002D7B36" w:rsidP="00C917D6">
      <w:pPr>
        <w:spacing w:before="120" w:after="120"/>
        <w:ind w:left="709" w:hanging="709"/>
        <w:jc w:val="both"/>
        <w:rPr>
          <w:rFonts w:cs="Times New Roman"/>
          <w:color w:val="auto"/>
          <w:sz w:val="20"/>
          <w:szCs w:val="20"/>
        </w:rPr>
      </w:pPr>
    </w:p>
    <w:p w14:paraId="7CFA49F1" w14:textId="77777777" w:rsidR="002D7B36" w:rsidRPr="00DE12A3" w:rsidRDefault="002D7B36" w:rsidP="00C917D6">
      <w:pPr>
        <w:spacing w:before="120" w:after="120"/>
        <w:ind w:left="709" w:hanging="709"/>
        <w:jc w:val="both"/>
        <w:rPr>
          <w:rFonts w:cs="Times New Roman"/>
          <w:color w:val="auto"/>
          <w:sz w:val="20"/>
          <w:szCs w:val="20"/>
        </w:rPr>
      </w:pPr>
    </w:p>
    <w:p w14:paraId="28F3909F" w14:textId="77777777" w:rsidR="002D7B36" w:rsidRPr="00DE12A3" w:rsidRDefault="002D7B36" w:rsidP="00C917D6">
      <w:pPr>
        <w:spacing w:before="120" w:after="120"/>
        <w:ind w:left="709" w:hanging="709"/>
        <w:jc w:val="both"/>
        <w:rPr>
          <w:rFonts w:cs="Times New Roman"/>
          <w:color w:val="auto"/>
          <w:sz w:val="20"/>
          <w:szCs w:val="20"/>
        </w:rPr>
      </w:pPr>
    </w:p>
    <w:p w14:paraId="22FFF729" w14:textId="77777777" w:rsidR="002D7B36" w:rsidRPr="00DE12A3" w:rsidRDefault="002D7B36" w:rsidP="00C917D6">
      <w:pPr>
        <w:spacing w:before="120" w:after="120"/>
        <w:ind w:left="709" w:hanging="709"/>
        <w:jc w:val="both"/>
        <w:rPr>
          <w:rFonts w:cs="Times New Roman"/>
          <w:color w:val="auto"/>
          <w:sz w:val="20"/>
          <w:szCs w:val="20"/>
        </w:rPr>
      </w:pPr>
    </w:p>
    <w:p w14:paraId="50B999BD" w14:textId="77777777" w:rsidR="002D7B36" w:rsidRPr="00DE12A3" w:rsidRDefault="002D7B36" w:rsidP="00C917D6">
      <w:pPr>
        <w:spacing w:before="120" w:after="120"/>
        <w:ind w:left="709" w:hanging="709"/>
        <w:jc w:val="both"/>
        <w:rPr>
          <w:rFonts w:cs="Times New Roman"/>
          <w:color w:val="auto"/>
          <w:sz w:val="20"/>
          <w:szCs w:val="20"/>
        </w:rPr>
      </w:pPr>
    </w:p>
    <w:p w14:paraId="32AC98D9" w14:textId="1181EA4C" w:rsidR="002D7B36" w:rsidRPr="00DE12A3" w:rsidRDefault="002D7B36" w:rsidP="00C917D6">
      <w:pPr>
        <w:spacing w:before="120" w:after="120"/>
        <w:ind w:left="709" w:hanging="709"/>
        <w:jc w:val="both"/>
        <w:rPr>
          <w:rFonts w:cs="Times New Roman"/>
          <w:color w:val="auto"/>
          <w:sz w:val="20"/>
          <w:szCs w:val="20"/>
        </w:rPr>
      </w:pPr>
    </w:p>
    <w:p w14:paraId="4006187C" w14:textId="44E633B3" w:rsidR="00973AD0" w:rsidRPr="00DE12A3" w:rsidRDefault="00973AD0" w:rsidP="00C917D6">
      <w:pPr>
        <w:spacing w:before="120" w:after="120"/>
        <w:ind w:left="709" w:hanging="709"/>
        <w:jc w:val="both"/>
        <w:rPr>
          <w:rFonts w:cs="Times New Roman"/>
          <w:color w:val="auto"/>
          <w:sz w:val="20"/>
          <w:szCs w:val="20"/>
        </w:rPr>
      </w:pPr>
    </w:p>
    <w:p w14:paraId="4E5A2E05" w14:textId="74A46768" w:rsidR="00973AD0" w:rsidRPr="00DE12A3" w:rsidRDefault="00973AD0" w:rsidP="00C917D6">
      <w:pPr>
        <w:spacing w:before="120" w:after="120"/>
        <w:ind w:left="709" w:hanging="709"/>
        <w:jc w:val="both"/>
        <w:rPr>
          <w:rFonts w:cs="Times New Roman"/>
          <w:color w:val="auto"/>
          <w:sz w:val="20"/>
          <w:szCs w:val="20"/>
        </w:rPr>
      </w:pPr>
    </w:p>
    <w:p w14:paraId="621FE8B4" w14:textId="7D2F3F31" w:rsidR="00973AD0" w:rsidRPr="00DE12A3" w:rsidRDefault="00973AD0" w:rsidP="00C917D6">
      <w:pPr>
        <w:spacing w:before="120" w:after="120"/>
        <w:ind w:left="709" w:hanging="709"/>
        <w:jc w:val="both"/>
        <w:rPr>
          <w:rFonts w:cs="Times New Roman"/>
          <w:color w:val="auto"/>
          <w:sz w:val="20"/>
          <w:szCs w:val="20"/>
        </w:rPr>
      </w:pPr>
    </w:p>
    <w:p w14:paraId="18983A08" w14:textId="22F708DE" w:rsidR="00973AD0" w:rsidRPr="00DE12A3" w:rsidRDefault="00973AD0" w:rsidP="00C917D6">
      <w:pPr>
        <w:spacing w:before="120" w:after="120"/>
        <w:ind w:left="709" w:hanging="709"/>
        <w:jc w:val="both"/>
        <w:rPr>
          <w:rFonts w:cs="Times New Roman"/>
          <w:color w:val="auto"/>
          <w:sz w:val="20"/>
          <w:szCs w:val="20"/>
        </w:rPr>
      </w:pPr>
    </w:p>
    <w:p w14:paraId="7A1BFCD2" w14:textId="1EBEEBC4" w:rsidR="00973AD0" w:rsidRPr="00DE12A3" w:rsidRDefault="00973AD0" w:rsidP="00C917D6">
      <w:pPr>
        <w:spacing w:before="120" w:after="120"/>
        <w:ind w:left="709" w:hanging="709"/>
        <w:jc w:val="both"/>
        <w:rPr>
          <w:rFonts w:cs="Times New Roman"/>
          <w:color w:val="auto"/>
          <w:sz w:val="20"/>
          <w:szCs w:val="20"/>
        </w:rPr>
      </w:pPr>
    </w:p>
    <w:p w14:paraId="1D679233" w14:textId="77777777" w:rsidR="00973AD0" w:rsidRPr="00DE12A3" w:rsidRDefault="00973AD0" w:rsidP="00C917D6">
      <w:pPr>
        <w:spacing w:before="120" w:after="120"/>
        <w:ind w:left="709" w:hanging="709"/>
        <w:jc w:val="both"/>
        <w:rPr>
          <w:rFonts w:cs="Times New Roman"/>
          <w:color w:val="auto"/>
          <w:sz w:val="20"/>
          <w:szCs w:val="20"/>
        </w:rPr>
      </w:pPr>
    </w:p>
    <w:p w14:paraId="227093FA" w14:textId="77777777" w:rsidR="002D7B36" w:rsidRPr="00DE12A3" w:rsidRDefault="002D7B36" w:rsidP="00E20716">
      <w:pPr>
        <w:pStyle w:val="ListeParagraf"/>
        <w:numPr>
          <w:ilvl w:val="0"/>
          <w:numId w:val="223"/>
        </w:numPr>
        <w:spacing w:before="120" w:after="120"/>
        <w:ind w:left="709" w:hanging="709"/>
        <w:contextualSpacing w:val="0"/>
        <w:jc w:val="both"/>
        <w:rPr>
          <w:rFonts w:eastAsia="Times New Roman" w:cs="Times New Roman"/>
          <w:vanish/>
          <w:color w:val="auto"/>
          <w:spacing w:val="3"/>
          <w:sz w:val="20"/>
          <w:szCs w:val="20"/>
          <w:lang w:eastAsia="en-US"/>
        </w:rPr>
      </w:pPr>
    </w:p>
    <w:p w14:paraId="53E99AD0" w14:textId="77777777" w:rsidR="002D7B36" w:rsidRPr="00DE12A3" w:rsidRDefault="002D7B36" w:rsidP="00E20716">
      <w:pPr>
        <w:pStyle w:val="ListeParagraf"/>
        <w:numPr>
          <w:ilvl w:val="0"/>
          <w:numId w:val="223"/>
        </w:numPr>
        <w:spacing w:before="120" w:after="120"/>
        <w:ind w:left="709" w:hanging="709"/>
        <w:contextualSpacing w:val="0"/>
        <w:jc w:val="both"/>
        <w:rPr>
          <w:rFonts w:eastAsia="Times New Roman" w:cs="Times New Roman"/>
          <w:vanish/>
          <w:color w:val="auto"/>
          <w:spacing w:val="3"/>
          <w:sz w:val="20"/>
          <w:szCs w:val="20"/>
          <w:lang w:eastAsia="en-US"/>
        </w:rPr>
      </w:pPr>
    </w:p>
    <w:p w14:paraId="43E4F1DB" w14:textId="77777777" w:rsidR="002D7B36" w:rsidRPr="00DE12A3" w:rsidRDefault="002D7B36" w:rsidP="00E20716">
      <w:pPr>
        <w:pStyle w:val="ListeParagraf"/>
        <w:numPr>
          <w:ilvl w:val="0"/>
          <w:numId w:val="223"/>
        </w:numPr>
        <w:spacing w:before="120" w:after="120"/>
        <w:ind w:left="709" w:hanging="709"/>
        <w:contextualSpacing w:val="0"/>
        <w:jc w:val="both"/>
        <w:rPr>
          <w:rFonts w:eastAsia="Times New Roman" w:cs="Times New Roman"/>
          <w:vanish/>
          <w:color w:val="auto"/>
          <w:spacing w:val="3"/>
          <w:sz w:val="20"/>
          <w:szCs w:val="20"/>
          <w:lang w:eastAsia="en-US"/>
        </w:rPr>
      </w:pPr>
    </w:p>
    <w:p w14:paraId="411F45A9" w14:textId="77777777" w:rsidR="002D7B36" w:rsidRPr="00DE12A3" w:rsidRDefault="00242DA0" w:rsidP="00E20716">
      <w:pPr>
        <w:numPr>
          <w:ilvl w:val="0"/>
          <w:numId w:val="223"/>
        </w:numPr>
        <w:spacing w:before="120" w:after="120"/>
        <w:ind w:left="709" w:hanging="709"/>
        <w:jc w:val="both"/>
        <w:rPr>
          <w:rFonts w:eastAsia="Times New Roman" w:cs="Times New Roman"/>
          <w:color w:val="auto"/>
          <w:spacing w:val="3"/>
          <w:lang w:eastAsia="en-US"/>
        </w:rPr>
      </w:pPr>
      <w:r w:rsidRPr="00DE12A3">
        <w:rPr>
          <w:rFonts w:eastAsia="Times New Roman" w:cs="Times New Roman"/>
          <w:color w:val="auto"/>
          <w:spacing w:val="3"/>
          <w:lang w:eastAsia="en-US"/>
        </w:rPr>
        <w:t>CVS ve toplu örnekleme cihazı doğrulaması (propan kontrolü)</w:t>
      </w:r>
    </w:p>
    <w:p w14:paraId="67C03BD5" w14:textId="77777777" w:rsidR="002D7B36" w:rsidRPr="00DE12A3" w:rsidRDefault="00242DA0" w:rsidP="00E20716">
      <w:pPr>
        <w:numPr>
          <w:ilvl w:val="0"/>
          <w:numId w:val="224"/>
        </w:numPr>
        <w:spacing w:before="120" w:after="120"/>
        <w:ind w:left="1134" w:hanging="1134"/>
        <w:jc w:val="both"/>
        <w:rPr>
          <w:rFonts w:eastAsia="Times New Roman" w:cs="Times New Roman"/>
          <w:color w:val="auto"/>
          <w:spacing w:val="3"/>
          <w:lang w:eastAsia="en-US"/>
        </w:rPr>
      </w:pPr>
      <w:r w:rsidRPr="00DE12A3">
        <w:rPr>
          <w:rFonts w:eastAsia="Times New Roman" w:cs="Times New Roman"/>
          <w:color w:val="auto"/>
          <w:spacing w:val="3"/>
          <w:lang w:eastAsia="en-US"/>
        </w:rPr>
        <w:t>Giriş</w:t>
      </w:r>
    </w:p>
    <w:p w14:paraId="54C4599B" w14:textId="5D71E2FC" w:rsidR="002D7B36" w:rsidRPr="00DE12A3" w:rsidRDefault="006A1988" w:rsidP="00E20716">
      <w:pPr>
        <w:numPr>
          <w:ilvl w:val="0"/>
          <w:numId w:val="225"/>
        </w:numPr>
        <w:spacing w:before="120" w:after="120"/>
        <w:ind w:left="1701" w:hanging="567"/>
        <w:jc w:val="both"/>
        <w:rPr>
          <w:rFonts w:eastAsia="Times New Roman" w:cs="Times New Roman"/>
          <w:color w:val="auto"/>
          <w:spacing w:val="3"/>
          <w:lang w:eastAsia="en-US"/>
        </w:rPr>
      </w:pPr>
      <w:r w:rsidRPr="00DE12A3">
        <w:rPr>
          <w:rFonts w:eastAsia="Times New Roman" w:cs="Times New Roman"/>
          <w:color w:val="auto"/>
          <w:spacing w:val="3"/>
          <w:lang w:eastAsia="en-US"/>
        </w:rPr>
        <w:t xml:space="preserve">     </w:t>
      </w:r>
      <w:r w:rsidR="00242DA0" w:rsidRPr="00DE12A3">
        <w:rPr>
          <w:rFonts w:eastAsia="Times New Roman" w:cs="Times New Roman"/>
          <w:color w:val="auto"/>
          <w:spacing w:val="3"/>
          <w:lang w:eastAsia="en-US"/>
        </w:rPr>
        <w:t xml:space="preserve">Propan kontrolü, seyreltilmiş egzoz gazı akışına ait ölçülen değerlerde bir tutarsızlık olup olmadığını belirlemek için bir CVS doğrulaması işlevi görür. Propan kontrolü aynı zamanda, bu bendin (f) </w:t>
      </w:r>
      <w:r w:rsidR="00DF78A3" w:rsidRPr="00DE12A3">
        <w:rPr>
          <w:rFonts w:eastAsia="Times New Roman" w:cs="Times New Roman"/>
          <w:color w:val="auto"/>
          <w:spacing w:val="3"/>
          <w:lang w:eastAsia="en-US"/>
        </w:rPr>
        <w:t xml:space="preserve">numaralı alt bendinde </w:t>
      </w:r>
      <w:r w:rsidR="00242DA0" w:rsidRPr="00DE12A3">
        <w:rPr>
          <w:rFonts w:eastAsia="Times New Roman" w:cs="Times New Roman"/>
          <w:color w:val="auto"/>
          <w:spacing w:val="3"/>
          <w:lang w:eastAsia="en-US"/>
        </w:rPr>
        <w:t>açıklandığı gibi, bir CVS'den bir numune alan toplu örnekleme sisteminde bir tutarsızlık olup olmadığını belirlemeye yönelik bir toplu örnekleme cihazı doğrulaması olarak da hizmet eder. İyi mühendislik kararı ve güvenli uygulamalar kullanılarak bu kontrol CO</w:t>
      </w:r>
      <w:r w:rsidR="00242DA0" w:rsidRPr="00DE12A3">
        <w:rPr>
          <w:rFonts w:eastAsia="Times New Roman" w:cs="Times New Roman"/>
          <w:color w:val="auto"/>
          <w:spacing w:val="3"/>
          <w:vertAlign w:val="subscript"/>
          <w:lang w:eastAsia="en-US"/>
        </w:rPr>
        <w:t>2</w:t>
      </w:r>
      <w:r w:rsidR="00242DA0" w:rsidRPr="00DE12A3">
        <w:rPr>
          <w:rFonts w:eastAsia="Times New Roman" w:cs="Times New Roman"/>
          <w:color w:val="auto"/>
          <w:spacing w:val="3"/>
          <w:lang w:eastAsia="en-US"/>
        </w:rPr>
        <w:t xml:space="preserve"> veya CO gibi propan dışında bir gaz kullanılarak yapılabilir. Başarısız bir propan kontrolü, aşağıdaki gibi düzeltici faaliyet gerektirebilecek bir veya birkaç sorun gösterebilir:</w:t>
      </w:r>
    </w:p>
    <w:p w14:paraId="0BAE797C" w14:textId="751DB4D6" w:rsidR="002D7B36" w:rsidRPr="00DE12A3" w:rsidRDefault="006A1988" w:rsidP="00E20716">
      <w:pPr>
        <w:numPr>
          <w:ilvl w:val="0"/>
          <w:numId w:val="226"/>
        </w:numPr>
        <w:spacing w:before="120" w:after="120"/>
        <w:ind w:left="2268" w:hanging="567"/>
        <w:jc w:val="both"/>
        <w:rPr>
          <w:rFonts w:eastAsia="Times New Roman" w:cs="Times New Roman"/>
          <w:color w:val="auto"/>
          <w:spacing w:val="3"/>
          <w:lang w:eastAsia="en-US"/>
        </w:rPr>
      </w:pPr>
      <w:r w:rsidRPr="00DE12A3">
        <w:rPr>
          <w:rFonts w:eastAsia="Times New Roman" w:cs="Times New Roman"/>
          <w:color w:val="auto"/>
          <w:spacing w:val="3"/>
          <w:lang w:eastAsia="en-US"/>
        </w:rPr>
        <w:t xml:space="preserve">  </w:t>
      </w:r>
      <w:r w:rsidR="00242DA0" w:rsidRPr="00DE12A3">
        <w:rPr>
          <w:rFonts w:eastAsia="Times New Roman" w:cs="Times New Roman"/>
          <w:color w:val="auto"/>
          <w:spacing w:val="3"/>
          <w:lang w:eastAsia="en-US"/>
        </w:rPr>
        <w:t>Yanlış analiz cihazı kalibrasyonu. FID analiz cihazı yeniden kalibre edilmeli, onarılmalı veya değiştirilmelidir</w:t>
      </w:r>
      <w:r w:rsidR="00DF78A3" w:rsidRPr="00DE12A3">
        <w:rPr>
          <w:rFonts w:eastAsia="Times New Roman" w:cs="Times New Roman"/>
          <w:color w:val="auto"/>
          <w:spacing w:val="3"/>
          <w:lang w:eastAsia="en-US"/>
        </w:rPr>
        <w:t>.</w:t>
      </w:r>
    </w:p>
    <w:p w14:paraId="3F774C49" w14:textId="0FAF6709" w:rsidR="002D7B36" w:rsidRPr="00DE12A3" w:rsidRDefault="006A1988" w:rsidP="00E20716">
      <w:pPr>
        <w:numPr>
          <w:ilvl w:val="0"/>
          <w:numId w:val="226"/>
        </w:numPr>
        <w:spacing w:before="120" w:after="120"/>
        <w:ind w:left="2268" w:hanging="567"/>
        <w:jc w:val="both"/>
        <w:rPr>
          <w:rFonts w:eastAsia="Times New Roman" w:cs="Times New Roman"/>
          <w:color w:val="auto"/>
          <w:spacing w:val="3"/>
          <w:lang w:eastAsia="en-US"/>
        </w:rPr>
      </w:pPr>
      <w:r w:rsidRPr="00DE12A3">
        <w:rPr>
          <w:rFonts w:eastAsia="Times New Roman" w:cs="Times New Roman"/>
          <w:color w:val="auto"/>
          <w:spacing w:val="3"/>
          <w:lang w:eastAsia="en-US"/>
        </w:rPr>
        <w:lastRenderedPageBreak/>
        <w:t xml:space="preserve">   </w:t>
      </w:r>
      <w:r w:rsidR="00242DA0" w:rsidRPr="00DE12A3">
        <w:rPr>
          <w:rFonts w:eastAsia="Times New Roman" w:cs="Times New Roman"/>
          <w:color w:val="auto"/>
          <w:spacing w:val="3"/>
          <w:lang w:eastAsia="en-US"/>
        </w:rPr>
        <w:t xml:space="preserve">8.1.8.7 bendi uyarınca CVS tüneli, bağlantılar, bağlantı elemanları ve HC örnekleme sistemi üzerinde kaçak kontrolleri </w:t>
      </w:r>
      <w:r w:rsidRPr="00DE12A3">
        <w:rPr>
          <w:rFonts w:eastAsia="Times New Roman" w:cs="Times New Roman"/>
          <w:color w:val="auto"/>
          <w:spacing w:val="3"/>
          <w:lang w:eastAsia="en-US"/>
        </w:rPr>
        <w:t>yapılmalıdır</w:t>
      </w:r>
      <w:r w:rsidR="00DF78A3" w:rsidRPr="00DE12A3">
        <w:rPr>
          <w:rFonts w:eastAsia="Times New Roman" w:cs="Times New Roman"/>
          <w:color w:val="auto"/>
          <w:spacing w:val="3"/>
          <w:lang w:eastAsia="en-US"/>
        </w:rPr>
        <w:t>.</w:t>
      </w:r>
      <w:r w:rsidRPr="00DE12A3">
        <w:rPr>
          <w:rFonts w:eastAsia="Times New Roman" w:cs="Times New Roman"/>
          <w:color w:val="auto"/>
          <w:spacing w:val="3"/>
          <w:lang w:eastAsia="en-US"/>
        </w:rPr>
        <w:t xml:space="preserve"> </w:t>
      </w:r>
    </w:p>
    <w:p w14:paraId="5EB655DF" w14:textId="57109052" w:rsidR="002D7B36" w:rsidRPr="00DE12A3" w:rsidRDefault="006A1988" w:rsidP="00E20716">
      <w:pPr>
        <w:numPr>
          <w:ilvl w:val="0"/>
          <w:numId w:val="226"/>
        </w:numPr>
        <w:spacing w:before="120" w:after="120"/>
        <w:ind w:left="2268" w:hanging="567"/>
        <w:jc w:val="both"/>
        <w:rPr>
          <w:rFonts w:eastAsia="Times New Roman" w:cs="Times New Roman"/>
          <w:color w:val="auto"/>
          <w:spacing w:val="3"/>
          <w:lang w:eastAsia="en-US"/>
        </w:rPr>
      </w:pPr>
      <w:r w:rsidRPr="00DE12A3">
        <w:rPr>
          <w:rFonts w:eastAsia="Times New Roman" w:cs="Times New Roman"/>
          <w:color w:val="auto"/>
          <w:spacing w:val="3"/>
          <w:lang w:eastAsia="en-US"/>
        </w:rPr>
        <w:t xml:space="preserve">   </w:t>
      </w:r>
      <w:r w:rsidR="00242DA0" w:rsidRPr="00DE12A3">
        <w:rPr>
          <w:rFonts w:eastAsia="Times New Roman" w:cs="Times New Roman"/>
          <w:color w:val="auto"/>
          <w:spacing w:val="3"/>
          <w:lang w:eastAsia="en-US"/>
        </w:rPr>
        <w:t>Kötü karıştırmaya ilişkin doğrulama, 9.2.2 bendi uyarınca yapılmalıdır</w:t>
      </w:r>
      <w:r w:rsidR="00DF78A3" w:rsidRPr="00DE12A3">
        <w:rPr>
          <w:rFonts w:eastAsia="Times New Roman" w:cs="Times New Roman"/>
          <w:color w:val="auto"/>
          <w:spacing w:val="3"/>
          <w:lang w:eastAsia="en-US"/>
        </w:rPr>
        <w:t>.</w:t>
      </w:r>
    </w:p>
    <w:p w14:paraId="1409458C" w14:textId="317D81A4" w:rsidR="002D7B36" w:rsidRPr="00DE12A3" w:rsidRDefault="006A1988" w:rsidP="00E20716">
      <w:pPr>
        <w:numPr>
          <w:ilvl w:val="0"/>
          <w:numId w:val="226"/>
        </w:numPr>
        <w:spacing w:before="120" w:after="120"/>
        <w:ind w:left="2268" w:hanging="567"/>
        <w:jc w:val="both"/>
        <w:rPr>
          <w:rFonts w:eastAsia="Times New Roman" w:cs="Times New Roman"/>
          <w:color w:val="auto"/>
          <w:spacing w:val="3"/>
          <w:lang w:eastAsia="en-US"/>
        </w:rPr>
      </w:pPr>
      <w:r w:rsidRPr="00DE12A3">
        <w:rPr>
          <w:rFonts w:eastAsia="Times New Roman" w:cs="Times New Roman"/>
          <w:color w:val="auto"/>
          <w:spacing w:val="3"/>
          <w:lang w:eastAsia="en-US"/>
        </w:rPr>
        <w:t xml:space="preserve">   </w:t>
      </w:r>
      <w:r w:rsidR="00242DA0" w:rsidRPr="00DE12A3">
        <w:rPr>
          <w:rFonts w:eastAsia="Times New Roman" w:cs="Times New Roman"/>
          <w:color w:val="auto"/>
          <w:spacing w:val="3"/>
          <w:lang w:eastAsia="en-US"/>
        </w:rPr>
        <w:t>Numune sistemindeki hidrokarbon kirliliği doğrulaması, 7.3.1.3 bendinde açıklandığı gibi yapılmalıdır</w:t>
      </w:r>
      <w:r w:rsidR="00DF78A3" w:rsidRPr="00DE12A3">
        <w:rPr>
          <w:rFonts w:eastAsia="Times New Roman" w:cs="Times New Roman"/>
          <w:color w:val="auto"/>
          <w:spacing w:val="3"/>
          <w:lang w:eastAsia="en-US"/>
        </w:rPr>
        <w:t>.</w:t>
      </w:r>
    </w:p>
    <w:p w14:paraId="42BDD72A" w14:textId="36E340FA" w:rsidR="002D7B36" w:rsidRPr="00DE12A3" w:rsidRDefault="006A1988" w:rsidP="00E20716">
      <w:pPr>
        <w:numPr>
          <w:ilvl w:val="0"/>
          <w:numId w:val="226"/>
        </w:numPr>
        <w:spacing w:before="120" w:after="120"/>
        <w:ind w:left="2268" w:hanging="567"/>
        <w:jc w:val="both"/>
        <w:rPr>
          <w:rFonts w:eastAsia="Times New Roman" w:cs="Times New Roman"/>
          <w:color w:val="auto"/>
          <w:spacing w:val="3"/>
          <w:lang w:eastAsia="en-US"/>
        </w:rPr>
      </w:pPr>
      <w:r w:rsidRPr="00DE12A3">
        <w:rPr>
          <w:rFonts w:eastAsia="Times New Roman" w:cs="Times New Roman"/>
          <w:color w:val="auto"/>
          <w:spacing w:val="3"/>
          <w:lang w:eastAsia="en-US"/>
        </w:rPr>
        <w:t xml:space="preserve">   </w:t>
      </w:r>
      <w:r w:rsidR="00242DA0" w:rsidRPr="00DE12A3">
        <w:rPr>
          <w:rFonts w:eastAsia="Times New Roman" w:cs="Times New Roman"/>
          <w:color w:val="auto"/>
          <w:spacing w:val="3"/>
          <w:lang w:eastAsia="en-US"/>
        </w:rPr>
        <w:t>CVS kalibrasyonunda değişiklik. CVS sayacının yerinde kalibrasyonu, 8.1.8.4 bendinde açıklandığı şekilde gerçekleştirilir</w:t>
      </w:r>
      <w:r w:rsidR="00DF78A3" w:rsidRPr="00DE12A3">
        <w:rPr>
          <w:rFonts w:eastAsia="Times New Roman" w:cs="Times New Roman"/>
          <w:color w:val="auto"/>
          <w:spacing w:val="3"/>
          <w:lang w:eastAsia="en-US"/>
        </w:rPr>
        <w:t>.</w:t>
      </w:r>
    </w:p>
    <w:p w14:paraId="07F42ECB" w14:textId="47408CD6" w:rsidR="002D7B36" w:rsidRPr="00DE12A3" w:rsidRDefault="006A1988" w:rsidP="00E20716">
      <w:pPr>
        <w:numPr>
          <w:ilvl w:val="0"/>
          <w:numId w:val="226"/>
        </w:numPr>
        <w:spacing w:before="120" w:after="120"/>
        <w:ind w:left="2268" w:hanging="567"/>
        <w:jc w:val="both"/>
        <w:rPr>
          <w:rFonts w:eastAsia="Times New Roman" w:cs="Times New Roman"/>
          <w:color w:val="auto"/>
          <w:spacing w:val="3"/>
          <w:lang w:eastAsia="en-US"/>
        </w:rPr>
      </w:pPr>
      <w:r w:rsidRPr="00DE12A3">
        <w:rPr>
          <w:rFonts w:eastAsia="Times New Roman" w:cs="Times New Roman"/>
          <w:color w:val="auto"/>
          <w:spacing w:val="3"/>
          <w:lang w:eastAsia="en-US"/>
        </w:rPr>
        <w:t xml:space="preserve">   </w:t>
      </w:r>
      <w:r w:rsidR="00242DA0" w:rsidRPr="00DE12A3">
        <w:rPr>
          <w:rFonts w:eastAsia="Times New Roman" w:cs="Times New Roman"/>
          <w:color w:val="auto"/>
          <w:spacing w:val="3"/>
          <w:lang w:eastAsia="en-US"/>
        </w:rPr>
        <w:t>CVS veya örnekleme doğrulama donanımı veya yazılımı ile ilgili diğer problemler. CVS sistemi, CVS doğrulama donanımı ve yazılımı tutarsızlıklar bakımından denetlenmelidir</w:t>
      </w:r>
      <w:r w:rsidR="00DF78A3" w:rsidRPr="00DE12A3">
        <w:rPr>
          <w:rFonts w:eastAsia="Times New Roman" w:cs="Times New Roman"/>
          <w:color w:val="auto"/>
          <w:spacing w:val="3"/>
          <w:lang w:eastAsia="en-US"/>
        </w:rPr>
        <w:t>.</w:t>
      </w:r>
    </w:p>
    <w:p w14:paraId="3DB3CEA1" w14:textId="3562CE24" w:rsidR="002D7B36" w:rsidRPr="00DE12A3" w:rsidRDefault="00242DA0" w:rsidP="00E20716">
      <w:pPr>
        <w:numPr>
          <w:ilvl w:val="0"/>
          <w:numId w:val="225"/>
        </w:numPr>
        <w:tabs>
          <w:tab w:val="left" w:pos="1200"/>
        </w:tabs>
        <w:spacing w:before="120" w:after="120"/>
        <w:ind w:left="1701" w:hanging="567"/>
        <w:jc w:val="both"/>
        <w:rPr>
          <w:rFonts w:eastAsia="Times New Roman" w:cs="Times New Roman"/>
          <w:color w:val="auto"/>
          <w:spacing w:val="3"/>
          <w:lang w:eastAsia="en-US"/>
        </w:rPr>
      </w:pPr>
      <w:r w:rsidRPr="00DE12A3">
        <w:rPr>
          <w:rFonts w:eastAsia="Times New Roman" w:cs="Times New Roman"/>
          <w:color w:val="auto"/>
          <w:spacing w:val="3"/>
          <w:lang w:eastAsia="en-US"/>
        </w:rPr>
        <w:t>Propan kontrolü, CVS içinde bir izleyici gaz olan C</w:t>
      </w:r>
      <w:r w:rsidRPr="00DE12A3">
        <w:rPr>
          <w:rFonts w:eastAsia="Times New Roman" w:cs="Times New Roman"/>
          <w:color w:val="auto"/>
          <w:spacing w:val="3"/>
          <w:vertAlign w:val="subscript"/>
          <w:lang w:eastAsia="en-US"/>
        </w:rPr>
        <w:t>3</w:t>
      </w:r>
      <w:r w:rsidRPr="00DE12A3">
        <w:rPr>
          <w:rFonts w:eastAsia="Times New Roman" w:cs="Times New Roman"/>
          <w:color w:val="auto"/>
          <w:spacing w:val="3"/>
          <w:lang w:eastAsia="en-US"/>
        </w:rPr>
        <w:t>H</w:t>
      </w:r>
      <w:r w:rsidRPr="00DE12A3">
        <w:rPr>
          <w:rFonts w:eastAsia="Times New Roman" w:cs="Times New Roman"/>
          <w:color w:val="auto"/>
          <w:spacing w:val="3"/>
          <w:vertAlign w:val="subscript"/>
          <w:lang w:eastAsia="en-US"/>
        </w:rPr>
        <w:t>8</w:t>
      </w:r>
      <w:r w:rsidRPr="00DE12A3">
        <w:rPr>
          <w:rFonts w:eastAsia="Times New Roman" w:cs="Times New Roman"/>
          <w:color w:val="auto"/>
          <w:spacing w:val="3"/>
          <w:lang w:eastAsia="en-US"/>
        </w:rPr>
        <w:t>'e ait bir referans kütle veya bir referans akış hızı kullanır. Referans akış hızı kullanılırsa, referans sayaçtaki C</w:t>
      </w:r>
      <w:r w:rsidRPr="00DE12A3">
        <w:rPr>
          <w:rFonts w:eastAsia="Times New Roman" w:cs="Times New Roman"/>
          <w:color w:val="auto"/>
          <w:spacing w:val="3"/>
          <w:vertAlign w:val="subscript"/>
          <w:lang w:eastAsia="en-US"/>
        </w:rPr>
        <w:t>3</w:t>
      </w:r>
      <w:r w:rsidRPr="00DE12A3">
        <w:rPr>
          <w:rFonts w:eastAsia="Times New Roman" w:cs="Times New Roman"/>
          <w:color w:val="auto"/>
          <w:spacing w:val="3"/>
          <w:lang w:eastAsia="en-US"/>
        </w:rPr>
        <w:t>H</w:t>
      </w:r>
      <w:r w:rsidRPr="00DE12A3">
        <w:rPr>
          <w:rFonts w:eastAsia="Times New Roman" w:cs="Times New Roman"/>
          <w:color w:val="auto"/>
          <w:spacing w:val="3"/>
          <w:vertAlign w:val="subscript"/>
          <w:lang w:eastAsia="en-US"/>
        </w:rPr>
        <w:t>8</w:t>
      </w:r>
      <w:r w:rsidRPr="00DE12A3">
        <w:rPr>
          <w:rFonts w:eastAsia="Times New Roman" w:cs="Times New Roman"/>
          <w:color w:val="auto"/>
          <w:spacing w:val="3"/>
          <w:lang w:eastAsia="en-US"/>
        </w:rPr>
        <w:t xml:space="preserve">'in herhangi bir ideal olmayan gaz davranışı hesaba katılır. Belli sayaçların nasıl kalibre edileceğini ve kullanılacağını açıklayan, </w:t>
      </w:r>
      <w:r w:rsidR="00FA0678" w:rsidRPr="00DE12A3">
        <w:rPr>
          <w:rFonts w:eastAsia="Times New Roman" w:cs="Times New Roman"/>
          <w:color w:val="auto"/>
          <w:spacing w:val="3"/>
          <w:lang w:eastAsia="en-US"/>
        </w:rPr>
        <w:t xml:space="preserve">VII’nci </w:t>
      </w:r>
      <w:r w:rsidR="00B32A92" w:rsidRPr="00DE12A3">
        <w:rPr>
          <w:rFonts w:eastAsia="Times New Roman" w:cs="Times New Roman"/>
          <w:color w:val="auto"/>
          <w:spacing w:val="3"/>
          <w:lang w:eastAsia="en-US"/>
        </w:rPr>
        <w:t>E</w:t>
      </w:r>
      <w:r w:rsidR="00FA0678" w:rsidRPr="00DE12A3">
        <w:rPr>
          <w:rFonts w:eastAsia="Times New Roman" w:cs="Times New Roman"/>
          <w:color w:val="auto"/>
          <w:spacing w:val="3"/>
          <w:lang w:eastAsia="en-US"/>
        </w:rPr>
        <w:t>k</w:t>
      </w:r>
      <w:r w:rsidRPr="00DE12A3">
        <w:rPr>
          <w:rFonts w:eastAsia="Times New Roman" w:cs="Times New Roman"/>
          <w:color w:val="auto"/>
          <w:spacing w:val="3"/>
          <w:lang w:eastAsia="en-US"/>
        </w:rPr>
        <w:t xml:space="preserve">in 2. </w:t>
      </w:r>
      <w:r w:rsidR="00B32A92" w:rsidRPr="00DE12A3">
        <w:rPr>
          <w:rFonts w:eastAsia="Times New Roman" w:cs="Times New Roman"/>
          <w:color w:val="auto"/>
          <w:spacing w:val="3"/>
          <w:lang w:eastAsia="en-US"/>
        </w:rPr>
        <w:t>Bölüm</w:t>
      </w:r>
      <w:r w:rsidRPr="00DE12A3">
        <w:rPr>
          <w:rFonts w:eastAsia="Times New Roman" w:cs="Times New Roman"/>
          <w:color w:val="auto"/>
          <w:spacing w:val="3"/>
          <w:lang w:eastAsia="en-US"/>
        </w:rPr>
        <w:t xml:space="preserve">üne (kütle bazlı yaklaşım) veya </w:t>
      </w:r>
      <w:r w:rsidR="00FA0678" w:rsidRPr="00DE12A3">
        <w:rPr>
          <w:rFonts w:eastAsia="Times New Roman" w:cs="Times New Roman"/>
          <w:color w:val="auto"/>
          <w:spacing w:val="3"/>
          <w:lang w:eastAsia="en-US"/>
        </w:rPr>
        <w:t xml:space="preserve">VII’nci </w:t>
      </w:r>
      <w:r w:rsidR="00DF78A3" w:rsidRPr="00DE12A3">
        <w:rPr>
          <w:rFonts w:eastAsia="Times New Roman" w:cs="Times New Roman"/>
          <w:color w:val="auto"/>
          <w:spacing w:val="3"/>
          <w:lang w:eastAsia="en-US"/>
        </w:rPr>
        <w:t>E</w:t>
      </w:r>
      <w:r w:rsidR="00FA0678" w:rsidRPr="00DE12A3">
        <w:rPr>
          <w:rFonts w:eastAsia="Times New Roman" w:cs="Times New Roman"/>
          <w:color w:val="auto"/>
          <w:spacing w:val="3"/>
          <w:lang w:eastAsia="en-US"/>
        </w:rPr>
        <w:t>k</w:t>
      </w:r>
      <w:r w:rsidRPr="00DE12A3">
        <w:rPr>
          <w:rFonts w:eastAsia="Times New Roman" w:cs="Times New Roman"/>
          <w:color w:val="auto"/>
          <w:spacing w:val="3"/>
          <w:lang w:eastAsia="en-US"/>
        </w:rPr>
        <w:t xml:space="preserve">in 3. </w:t>
      </w:r>
      <w:r w:rsidR="00B32A92" w:rsidRPr="00DE12A3">
        <w:rPr>
          <w:rFonts w:eastAsia="Times New Roman" w:cs="Times New Roman"/>
          <w:color w:val="auto"/>
          <w:spacing w:val="3"/>
          <w:lang w:eastAsia="en-US"/>
        </w:rPr>
        <w:t>Bölüm</w:t>
      </w:r>
      <w:r w:rsidRPr="00DE12A3">
        <w:rPr>
          <w:rFonts w:eastAsia="Times New Roman" w:cs="Times New Roman"/>
          <w:color w:val="auto"/>
          <w:spacing w:val="3"/>
          <w:lang w:eastAsia="en-US"/>
        </w:rPr>
        <w:t xml:space="preserve">üne (molar bazlı yaklaşım) bakınız. 8.1.8.5 bendinde ve </w:t>
      </w:r>
      <w:r w:rsidR="00FA0678" w:rsidRPr="00DE12A3">
        <w:rPr>
          <w:rFonts w:eastAsia="Times New Roman" w:cs="Times New Roman"/>
          <w:color w:val="auto"/>
          <w:spacing w:val="3"/>
          <w:lang w:eastAsia="en-US"/>
        </w:rPr>
        <w:t xml:space="preserve">VII’nci </w:t>
      </w:r>
      <w:r w:rsidR="00DF78A3" w:rsidRPr="00DE12A3">
        <w:rPr>
          <w:rFonts w:eastAsia="Times New Roman" w:cs="Times New Roman"/>
          <w:color w:val="auto"/>
          <w:spacing w:val="3"/>
          <w:lang w:eastAsia="en-US"/>
        </w:rPr>
        <w:t>E</w:t>
      </w:r>
      <w:r w:rsidR="00FA0678" w:rsidRPr="00DE12A3">
        <w:rPr>
          <w:rFonts w:eastAsia="Times New Roman" w:cs="Times New Roman"/>
          <w:color w:val="auto"/>
          <w:spacing w:val="3"/>
          <w:lang w:eastAsia="en-US"/>
        </w:rPr>
        <w:t>k</w:t>
      </w:r>
      <w:r w:rsidRPr="00DE12A3">
        <w:rPr>
          <w:rFonts w:eastAsia="Times New Roman" w:cs="Times New Roman"/>
          <w:color w:val="auto"/>
          <w:spacing w:val="3"/>
          <w:lang w:eastAsia="en-US"/>
        </w:rPr>
        <w:t>te hiçbir ideal gaz varsayımı kullanılamaz. Propan kontrolü, HC ölçümlerini ve CVS akış hızı ölçümlerini referans değerle kullanarak hesaplanan enjekte edilen C</w:t>
      </w:r>
      <w:r w:rsidRPr="00DE12A3">
        <w:rPr>
          <w:rFonts w:eastAsia="Times New Roman" w:cs="Times New Roman"/>
          <w:color w:val="auto"/>
          <w:spacing w:val="3"/>
          <w:vertAlign w:val="subscript"/>
          <w:lang w:eastAsia="en-US"/>
        </w:rPr>
        <w:t>3</w:t>
      </w:r>
      <w:r w:rsidRPr="00DE12A3">
        <w:rPr>
          <w:rFonts w:eastAsia="Times New Roman" w:cs="Times New Roman"/>
          <w:color w:val="auto"/>
          <w:spacing w:val="3"/>
          <w:lang w:eastAsia="en-US"/>
        </w:rPr>
        <w:t>H</w:t>
      </w:r>
      <w:r w:rsidRPr="00DE12A3">
        <w:rPr>
          <w:rFonts w:eastAsia="Times New Roman" w:cs="Times New Roman"/>
          <w:color w:val="auto"/>
          <w:spacing w:val="3"/>
          <w:vertAlign w:val="subscript"/>
          <w:lang w:eastAsia="en-US"/>
        </w:rPr>
        <w:t>8</w:t>
      </w:r>
      <w:r w:rsidRPr="00DE12A3">
        <w:rPr>
          <w:rFonts w:eastAsia="Times New Roman" w:cs="Times New Roman"/>
          <w:color w:val="auto"/>
          <w:spacing w:val="3"/>
          <w:lang w:eastAsia="en-US"/>
        </w:rPr>
        <w:t>kütlesini karşılaştırır.</w:t>
      </w:r>
    </w:p>
    <w:p w14:paraId="360AC8C3" w14:textId="77777777" w:rsidR="002D7B36" w:rsidRPr="00DE12A3" w:rsidRDefault="00242DA0" w:rsidP="00E20716">
      <w:pPr>
        <w:numPr>
          <w:ilvl w:val="0"/>
          <w:numId w:val="224"/>
        </w:numPr>
        <w:spacing w:before="120" w:after="120"/>
        <w:ind w:left="1134" w:hanging="1134"/>
        <w:jc w:val="both"/>
        <w:rPr>
          <w:rFonts w:eastAsia="Times New Roman" w:cs="Times New Roman"/>
          <w:color w:val="auto"/>
          <w:spacing w:val="3"/>
          <w:lang w:eastAsia="en-US"/>
        </w:rPr>
      </w:pPr>
      <w:r w:rsidRPr="00DE12A3">
        <w:rPr>
          <w:rFonts w:eastAsia="Times New Roman" w:cs="Times New Roman"/>
          <w:color w:val="auto"/>
          <w:spacing w:val="3"/>
          <w:lang w:eastAsia="en-US"/>
        </w:rPr>
        <w:t>CVS sistemine bilinen miktarda propan verme yöntemi</w:t>
      </w:r>
    </w:p>
    <w:p w14:paraId="56C4A540" w14:textId="57C89B0A" w:rsidR="002D7B36" w:rsidRPr="00DE12A3" w:rsidRDefault="006A1988" w:rsidP="00C917D6">
      <w:pPr>
        <w:spacing w:before="120" w:after="120"/>
        <w:ind w:left="1134" w:hanging="1134"/>
        <w:jc w:val="both"/>
        <w:rPr>
          <w:rFonts w:eastAsia="Times New Roman" w:cs="Times New Roman"/>
          <w:color w:val="auto"/>
          <w:spacing w:val="3"/>
          <w:lang w:eastAsia="en-US"/>
        </w:rPr>
      </w:pPr>
      <w:r w:rsidRPr="00DE12A3">
        <w:rPr>
          <w:rFonts w:eastAsia="Times New Roman" w:cs="Times New Roman"/>
          <w:color w:val="auto"/>
          <w:spacing w:val="3"/>
          <w:lang w:eastAsia="en-US"/>
        </w:rPr>
        <w:t xml:space="preserve">                   </w:t>
      </w:r>
      <w:r w:rsidR="00242DA0" w:rsidRPr="00DE12A3">
        <w:rPr>
          <w:rFonts w:eastAsia="Times New Roman" w:cs="Times New Roman"/>
          <w:color w:val="auto"/>
          <w:spacing w:val="3"/>
          <w:lang w:eastAsia="en-US"/>
        </w:rPr>
        <w:t xml:space="preserve">CVS örnekleme sisteminin ve analitik sistemin toplam doğruluğu, sistem normal şekilde çalıştırılırken sisteme bilinen bir kirletici gaz kütlesi verilerek belirlenir. Kirletici analiz edilir ve </w:t>
      </w:r>
      <w:r w:rsidR="00FA0678" w:rsidRPr="00DE12A3">
        <w:rPr>
          <w:rFonts w:eastAsia="Times New Roman" w:cs="Times New Roman"/>
          <w:color w:val="auto"/>
          <w:spacing w:val="3"/>
          <w:lang w:eastAsia="en-US"/>
        </w:rPr>
        <w:t xml:space="preserve">VII’nci </w:t>
      </w:r>
      <w:r w:rsidR="00C17C59" w:rsidRPr="00DE12A3">
        <w:rPr>
          <w:rFonts w:eastAsia="Times New Roman" w:cs="Times New Roman"/>
          <w:color w:val="auto"/>
          <w:spacing w:val="3"/>
          <w:lang w:eastAsia="en-US"/>
        </w:rPr>
        <w:t>E</w:t>
      </w:r>
      <w:r w:rsidR="00FA0678" w:rsidRPr="00DE12A3">
        <w:rPr>
          <w:rFonts w:eastAsia="Times New Roman" w:cs="Times New Roman"/>
          <w:color w:val="auto"/>
          <w:spacing w:val="3"/>
          <w:lang w:eastAsia="en-US"/>
        </w:rPr>
        <w:t>k</w:t>
      </w:r>
      <w:r w:rsidR="00242DA0" w:rsidRPr="00DE12A3">
        <w:rPr>
          <w:rFonts w:eastAsia="Times New Roman" w:cs="Times New Roman"/>
          <w:color w:val="auto"/>
          <w:spacing w:val="3"/>
          <w:lang w:eastAsia="en-US"/>
        </w:rPr>
        <w:t xml:space="preserve"> uyarınca kütle hesaplanır. Aşağıdaki iki teknikten biri kullanılır:</w:t>
      </w:r>
    </w:p>
    <w:p w14:paraId="51045BDF" w14:textId="2A8B1C90" w:rsidR="002D7B36" w:rsidRPr="00DE12A3" w:rsidRDefault="006A1988" w:rsidP="00E20716">
      <w:pPr>
        <w:numPr>
          <w:ilvl w:val="0"/>
          <w:numId w:val="227"/>
        </w:numPr>
        <w:spacing w:before="120" w:after="120"/>
        <w:ind w:left="1701" w:hanging="567"/>
        <w:jc w:val="both"/>
        <w:rPr>
          <w:rFonts w:eastAsia="Times New Roman" w:cs="Times New Roman"/>
          <w:color w:val="auto"/>
          <w:spacing w:val="3"/>
          <w:lang w:eastAsia="en-US"/>
        </w:rPr>
      </w:pPr>
      <w:r w:rsidRPr="00DE12A3">
        <w:rPr>
          <w:rFonts w:eastAsia="Times New Roman" w:cs="Times New Roman"/>
          <w:color w:val="auto"/>
          <w:spacing w:val="3"/>
          <w:lang w:eastAsia="en-US"/>
        </w:rPr>
        <w:t xml:space="preserve">    </w:t>
      </w:r>
      <w:r w:rsidR="00242DA0" w:rsidRPr="00DE12A3">
        <w:rPr>
          <w:rFonts w:eastAsia="Times New Roman" w:cs="Times New Roman"/>
          <w:color w:val="auto"/>
          <w:spacing w:val="3"/>
          <w:lang w:eastAsia="en-US"/>
        </w:rPr>
        <w:t>Gravimetrik teknik vasıtasıyla ölçüm şu şekilde yapılır: Karbon monoksit veya propanla doldurulmuş küçük bir silindirin kütlesi ± 0,01 g hassasiyetle belirlenir. Yaklaşık 5 ila 10 dakika boyunca, CVS sistemi normal bir egzoz emisyon testinde olduğu gibi çalıştırılırken, sisteme karbon monoksit veya propan enjekte edilir. Tahliye edilen saf gaz miktarı, diferansiyel tartım yoluyla belirlenir. Bir gaz numunesi normal ekipman (örnekleme çantası veya birleştirme yöntemi) ile analiz edilir ve gaz kütlesi hesaplanır</w:t>
      </w:r>
      <w:r w:rsidR="00DF78A3" w:rsidRPr="00DE12A3">
        <w:rPr>
          <w:rFonts w:eastAsia="Times New Roman" w:cs="Times New Roman"/>
          <w:color w:val="auto"/>
          <w:spacing w:val="3"/>
          <w:lang w:eastAsia="en-US"/>
        </w:rPr>
        <w:t>.</w:t>
      </w:r>
    </w:p>
    <w:p w14:paraId="0AF01EF2" w14:textId="77777777" w:rsidR="00DF78A3" w:rsidRPr="00DE12A3" w:rsidRDefault="006A1988" w:rsidP="00E20716">
      <w:pPr>
        <w:numPr>
          <w:ilvl w:val="0"/>
          <w:numId w:val="227"/>
        </w:numPr>
        <w:shd w:val="clear" w:color="auto" w:fill="FFFFFF"/>
        <w:spacing w:before="120" w:after="120"/>
        <w:ind w:left="1701" w:hanging="567"/>
        <w:jc w:val="both"/>
        <w:rPr>
          <w:rFonts w:eastAsia="Times New Roman" w:cs="Times New Roman"/>
          <w:color w:val="auto"/>
          <w:spacing w:val="3"/>
          <w:lang w:eastAsia="en-US"/>
        </w:rPr>
      </w:pPr>
      <w:r w:rsidRPr="00DE12A3">
        <w:rPr>
          <w:rFonts w:eastAsia="Times New Roman" w:cs="Times New Roman"/>
          <w:color w:val="auto"/>
          <w:spacing w:val="3"/>
          <w:lang w:eastAsia="en-US"/>
        </w:rPr>
        <w:t xml:space="preserve">     </w:t>
      </w:r>
      <w:r w:rsidR="00242DA0" w:rsidRPr="00DE12A3">
        <w:rPr>
          <w:rFonts w:eastAsia="Times New Roman" w:cs="Times New Roman"/>
          <w:color w:val="auto"/>
          <w:spacing w:val="3"/>
          <w:lang w:eastAsia="en-US"/>
        </w:rPr>
        <w:t>Kritik akış orifisi ile ölçüm aşağıdaki şekilde yapılır</w:t>
      </w:r>
      <w:r w:rsidR="00DF78A3" w:rsidRPr="00DE12A3">
        <w:rPr>
          <w:rFonts w:eastAsia="Times New Roman" w:cs="Times New Roman"/>
          <w:color w:val="auto"/>
          <w:spacing w:val="3"/>
          <w:lang w:eastAsia="en-US"/>
        </w:rPr>
        <w:t>;</w:t>
      </w:r>
    </w:p>
    <w:p w14:paraId="2F4548C3" w14:textId="4B45FCBD" w:rsidR="002D7B36" w:rsidRPr="00DE12A3" w:rsidRDefault="00242DA0" w:rsidP="009947CD">
      <w:pPr>
        <w:shd w:val="clear" w:color="auto" w:fill="FFFFFF"/>
        <w:spacing w:before="120" w:after="120"/>
        <w:ind w:left="1701"/>
        <w:jc w:val="both"/>
        <w:rPr>
          <w:rFonts w:eastAsia="Times New Roman" w:cs="Times New Roman"/>
          <w:color w:val="auto"/>
          <w:spacing w:val="3"/>
          <w:lang w:eastAsia="en-US"/>
        </w:rPr>
      </w:pPr>
      <w:r w:rsidRPr="00DE12A3">
        <w:rPr>
          <w:rFonts w:eastAsia="Times New Roman" w:cs="Times New Roman"/>
          <w:color w:val="auto"/>
          <w:spacing w:val="3"/>
          <w:lang w:eastAsia="en-US"/>
        </w:rPr>
        <w:t>Bilinen bir miktarda saf gaz (karbon monoksit veya propan), CVS sistemine kalibre edilmiş bir kritik orifis yoluyla beslenir. Giriş basıncı yeterince yüksekse, kritik akış orifisi aracılığıyla ayarlanan akış hızı, orifis çıkış basıncından (kritik akış) bağımsızdır. CVS sistemi normal bir egzoz emisyon testinde olduğu gibi yaklaşık 5 ila 10 dakika boyunca çalıştırılır. Bir gaz numunesi normal ekipman (örnekleme çantası veya birleştirme yöntemi) ile analiz edilir ve gaz kütlesi hesaplanır.</w:t>
      </w:r>
    </w:p>
    <w:p w14:paraId="10053703" w14:textId="77777777" w:rsidR="002D7B36" w:rsidRPr="00DE12A3" w:rsidRDefault="00242DA0" w:rsidP="00E20716">
      <w:pPr>
        <w:numPr>
          <w:ilvl w:val="0"/>
          <w:numId w:val="224"/>
        </w:numPr>
        <w:shd w:val="clear" w:color="auto" w:fill="FFFFFF"/>
        <w:spacing w:before="120" w:after="120"/>
        <w:ind w:left="1134" w:hanging="1134"/>
        <w:jc w:val="both"/>
        <w:rPr>
          <w:rFonts w:eastAsia="Times New Roman" w:cs="Times New Roman"/>
          <w:color w:val="auto"/>
          <w:spacing w:val="3"/>
          <w:lang w:eastAsia="en-US"/>
        </w:rPr>
      </w:pPr>
      <w:r w:rsidRPr="00DE12A3">
        <w:rPr>
          <w:rFonts w:eastAsia="Times New Roman" w:cs="Times New Roman"/>
          <w:color w:val="auto"/>
          <w:spacing w:val="3"/>
          <w:lang w:eastAsia="en-US"/>
        </w:rPr>
        <w:t>Propan kontrolü hazırlığı</w:t>
      </w:r>
    </w:p>
    <w:p w14:paraId="331C1D39" w14:textId="77777777" w:rsidR="002D7B36" w:rsidRPr="00DE12A3" w:rsidRDefault="006A1988" w:rsidP="00C917D6">
      <w:pPr>
        <w:shd w:val="clear" w:color="auto" w:fill="FFFFFF"/>
        <w:spacing w:before="120" w:after="120"/>
        <w:ind w:left="1134" w:hanging="1134"/>
        <w:jc w:val="both"/>
        <w:rPr>
          <w:rFonts w:eastAsia="Times New Roman" w:cs="Times New Roman"/>
          <w:color w:val="auto"/>
          <w:spacing w:val="3"/>
          <w:lang w:eastAsia="en-US"/>
        </w:rPr>
      </w:pPr>
      <w:r w:rsidRPr="00DE12A3">
        <w:rPr>
          <w:rFonts w:eastAsia="Times New Roman" w:cs="Times New Roman"/>
          <w:color w:val="auto"/>
          <w:spacing w:val="3"/>
          <w:lang w:eastAsia="en-US"/>
        </w:rPr>
        <w:t xml:space="preserve">                  </w:t>
      </w:r>
      <w:r w:rsidR="00242DA0" w:rsidRPr="00DE12A3">
        <w:rPr>
          <w:rFonts w:eastAsia="Times New Roman" w:cs="Times New Roman"/>
          <w:color w:val="auto"/>
          <w:spacing w:val="3"/>
          <w:lang w:eastAsia="en-US"/>
        </w:rPr>
        <w:t>Propan kontrolü aşağıdaki şekilde hazırlanır:</w:t>
      </w:r>
    </w:p>
    <w:p w14:paraId="5899D0D9" w14:textId="35D37FDA" w:rsidR="002D7B36" w:rsidRPr="00DE12A3" w:rsidRDefault="006A1988" w:rsidP="00E20716">
      <w:pPr>
        <w:numPr>
          <w:ilvl w:val="0"/>
          <w:numId w:val="228"/>
        </w:numPr>
        <w:shd w:val="clear" w:color="auto" w:fill="FFFFFF"/>
        <w:spacing w:before="120" w:after="120"/>
        <w:ind w:left="1701" w:hanging="567"/>
        <w:jc w:val="both"/>
        <w:rPr>
          <w:rFonts w:eastAsia="Times New Roman" w:cs="Times New Roman"/>
          <w:color w:val="auto"/>
          <w:spacing w:val="3"/>
          <w:lang w:eastAsia="en-US"/>
        </w:rPr>
      </w:pPr>
      <w:r w:rsidRPr="00DE12A3">
        <w:rPr>
          <w:rFonts w:eastAsia="Times New Roman" w:cs="Times New Roman"/>
          <w:color w:val="auto"/>
          <w:spacing w:val="3"/>
          <w:lang w:eastAsia="en-US"/>
        </w:rPr>
        <w:t xml:space="preserve">     </w:t>
      </w:r>
      <w:r w:rsidR="00242DA0" w:rsidRPr="00DE12A3">
        <w:rPr>
          <w:rFonts w:eastAsia="Times New Roman" w:cs="Times New Roman"/>
          <w:color w:val="auto"/>
          <w:spacing w:val="3"/>
          <w:lang w:eastAsia="en-US"/>
        </w:rPr>
        <w:t>Referans akış hızı yerine bir C</w:t>
      </w:r>
      <w:r w:rsidR="00242DA0" w:rsidRPr="00DE12A3">
        <w:rPr>
          <w:rFonts w:eastAsia="Times New Roman" w:cs="Times New Roman"/>
          <w:color w:val="auto"/>
          <w:spacing w:val="3"/>
          <w:vertAlign w:val="subscript"/>
          <w:lang w:eastAsia="en-US"/>
        </w:rPr>
        <w:t>3</w:t>
      </w:r>
      <w:r w:rsidR="00242DA0" w:rsidRPr="00DE12A3">
        <w:rPr>
          <w:rFonts w:eastAsia="Times New Roman" w:cs="Times New Roman"/>
          <w:color w:val="auto"/>
          <w:spacing w:val="3"/>
          <w:lang w:eastAsia="en-US"/>
        </w:rPr>
        <w:t>H</w:t>
      </w:r>
      <w:r w:rsidR="00242DA0" w:rsidRPr="00DE12A3">
        <w:rPr>
          <w:rFonts w:eastAsia="Times New Roman" w:cs="Times New Roman"/>
          <w:color w:val="auto"/>
          <w:spacing w:val="3"/>
          <w:vertAlign w:val="subscript"/>
          <w:lang w:eastAsia="en-US"/>
        </w:rPr>
        <w:t>8</w:t>
      </w:r>
      <w:r w:rsidR="00242DA0" w:rsidRPr="00DE12A3">
        <w:rPr>
          <w:rFonts w:eastAsia="Times New Roman" w:cs="Times New Roman"/>
          <w:color w:val="auto"/>
          <w:spacing w:val="3"/>
          <w:lang w:eastAsia="en-US"/>
        </w:rPr>
        <w:t xml:space="preserve"> referans kütlesi kullanılıyorsa, C</w:t>
      </w:r>
      <w:r w:rsidR="00242DA0" w:rsidRPr="00DE12A3">
        <w:rPr>
          <w:rFonts w:eastAsia="Times New Roman" w:cs="Times New Roman"/>
          <w:color w:val="auto"/>
          <w:spacing w:val="3"/>
          <w:vertAlign w:val="subscript"/>
          <w:lang w:eastAsia="en-US"/>
        </w:rPr>
        <w:t>3</w:t>
      </w:r>
      <w:r w:rsidR="00242DA0" w:rsidRPr="00DE12A3">
        <w:rPr>
          <w:rFonts w:eastAsia="Times New Roman" w:cs="Times New Roman"/>
          <w:color w:val="auto"/>
          <w:spacing w:val="3"/>
          <w:lang w:eastAsia="en-US"/>
        </w:rPr>
        <w:t>H</w:t>
      </w:r>
      <w:r w:rsidR="00242DA0" w:rsidRPr="00DE12A3">
        <w:rPr>
          <w:rFonts w:eastAsia="Times New Roman" w:cs="Times New Roman"/>
          <w:color w:val="auto"/>
          <w:spacing w:val="3"/>
          <w:vertAlign w:val="subscript"/>
          <w:lang w:eastAsia="en-US"/>
        </w:rPr>
        <w:t>8</w:t>
      </w:r>
      <w:r w:rsidR="00242DA0" w:rsidRPr="00DE12A3">
        <w:rPr>
          <w:rFonts w:eastAsia="Times New Roman" w:cs="Times New Roman"/>
          <w:color w:val="auto"/>
          <w:spacing w:val="3"/>
          <w:lang w:eastAsia="en-US"/>
        </w:rPr>
        <w:t xml:space="preserve"> yüklü bir silindir elde edilir. Referans silindirin C</w:t>
      </w:r>
      <w:r w:rsidR="00242DA0" w:rsidRPr="00DE12A3">
        <w:rPr>
          <w:rFonts w:eastAsia="Times New Roman" w:cs="Times New Roman"/>
          <w:color w:val="auto"/>
          <w:spacing w:val="3"/>
          <w:vertAlign w:val="subscript"/>
          <w:lang w:eastAsia="en-US"/>
        </w:rPr>
        <w:t>3</w:t>
      </w:r>
      <w:r w:rsidR="00242DA0" w:rsidRPr="00DE12A3">
        <w:rPr>
          <w:rFonts w:eastAsia="Times New Roman" w:cs="Times New Roman"/>
          <w:color w:val="auto"/>
          <w:spacing w:val="3"/>
          <w:lang w:eastAsia="en-US"/>
        </w:rPr>
        <w:t>H</w:t>
      </w:r>
      <w:r w:rsidR="00242DA0" w:rsidRPr="00DE12A3">
        <w:rPr>
          <w:rFonts w:eastAsia="Times New Roman" w:cs="Times New Roman"/>
          <w:color w:val="auto"/>
          <w:spacing w:val="3"/>
          <w:vertAlign w:val="subscript"/>
          <w:lang w:eastAsia="en-US"/>
        </w:rPr>
        <w:t>8</w:t>
      </w:r>
      <w:r w:rsidR="00242DA0" w:rsidRPr="00DE12A3">
        <w:rPr>
          <w:rFonts w:eastAsia="Times New Roman" w:cs="Times New Roman"/>
          <w:color w:val="auto"/>
          <w:spacing w:val="3"/>
          <w:lang w:eastAsia="en-US"/>
        </w:rPr>
        <w:t xml:space="preserve"> kütlesi, kullanılması beklenen C</w:t>
      </w:r>
      <w:r w:rsidR="00242DA0" w:rsidRPr="00DE12A3">
        <w:rPr>
          <w:rFonts w:eastAsia="Times New Roman" w:cs="Times New Roman"/>
          <w:color w:val="auto"/>
          <w:spacing w:val="3"/>
          <w:vertAlign w:val="subscript"/>
          <w:lang w:eastAsia="en-US"/>
        </w:rPr>
        <w:t>3</w:t>
      </w:r>
      <w:r w:rsidR="00242DA0" w:rsidRPr="00DE12A3">
        <w:rPr>
          <w:rFonts w:eastAsia="Times New Roman" w:cs="Times New Roman"/>
          <w:color w:val="auto"/>
          <w:spacing w:val="3"/>
          <w:lang w:eastAsia="en-US"/>
        </w:rPr>
        <w:t>H</w:t>
      </w:r>
      <w:r w:rsidR="00242DA0" w:rsidRPr="00DE12A3">
        <w:rPr>
          <w:rFonts w:eastAsia="Times New Roman" w:cs="Times New Roman"/>
          <w:color w:val="auto"/>
          <w:spacing w:val="3"/>
          <w:vertAlign w:val="subscript"/>
          <w:lang w:eastAsia="en-US"/>
        </w:rPr>
        <w:t>8</w:t>
      </w:r>
      <w:r w:rsidR="00242DA0" w:rsidRPr="00DE12A3">
        <w:rPr>
          <w:rFonts w:eastAsia="Times New Roman" w:cs="Times New Roman"/>
          <w:color w:val="auto"/>
          <w:spacing w:val="3"/>
          <w:lang w:eastAsia="en-US"/>
        </w:rPr>
        <w:t xml:space="preserve"> miktarı ±</w:t>
      </w:r>
      <w:r w:rsidR="00CF5D85" w:rsidRPr="00DE12A3">
        <w:rPr>
          <w:rFonts w:eastAsia="Times New Roman" w:cs="Times New Roman"/>
          <w:color w:val="auto"/>
          <w:spacing w:val="3"/>
          <w:lang w:eastAsia="en-US"/>
        </w:rPr>
        <w:t>%0,5</w:t>
      </w:r>
      <w:r w:rsidR="00242DA0" w:rsidRPr="00DE12A3">
        <w:rPr>
          <w:rFonts w:eastAsia="Times New Roman" w:cs="Times New Roman"/>
          <w:color w:val="auto"/>
          <w:spacing w:val="3"/>
          <w:lang w:eastAsia="en-US"/>
        </w:rPr>
        <w:t xml:space="preserve"> aralığı içinde belirlenir</w:t>
      </w:r>
      <w:r w:rsidR="00DF78A3" w:rsidRPr="00DE12A3">
        <w:rPr>
          <w:rFonts w:eastAsia="Times New Roman" w:cs="Times New Roman"/>
          <w:color w:val="auto"/>
          <w:spacing w:val="3"/>
          <w:lang w:eastAsia="en-US"/>
        </w:rPr>
        <w:t>.</w:t>
      </w:r>
    </w:p>
    <w:p w14:paraId="1FEDF711" w14:textId="0DDCA93D" w:rsidR="002D7B36" w:rsidRPr="00DE12A3" w:rsidRDefault="00242DA0" w:rsidP="00E20716">
      <w:pPr>
        <w:numPr>
          <w:ilvl w:val="0"/>
          <w:numId w:val="228"/>
        </w:numPr>
        <w:shd w:val="clear" w:color="auto" w:fill="FFFFFF"/>
        <w:spacing w:before="120" w:after="120"/>
        <w:ind w:left="1701" w:hanging="567"/>
        <w:jc w:val="both"/>
        <w:rPr>
          <w:rFonts w:eastAsia="Times New Roman" w:cs="Times New Roman"/>
          <w:color w:val="auto"/>
          <w:spacing w:val="3"/>
          <w:lang w:eastAsia="en-US"/>
        </w:rPr>
      </w:pPr>
      <w:r w:rsidRPr="00DE12A3">
        <w:rPr>
          <w:rFonts w:eastAsia="Times New Roman" w:cs="Times New Roman"/>
          <w:color w:val="auto"/>
          <w:spacing w:val="3"/>
          <w:lang w:eastAsia="en-US"/>
        </w:rPr>
        <w:lastRenderedPageBreak/>
        <w:t>CVS ve C</w:t>
      </w:r>
      <w:r w:rsidRPr="00DE12A3">
        <w:rPr>
          <w:rFonts w:eastAsia="Times New Roman" w:cs="Times New Roman"/>
          <w:color w:val="auto"/>
          <w:spacing w:val="3"/>
          <w:vertAlign w:val="subscript"/>
          <w:lang w:eastAsia="en-US"/>
        </w:rPr>
        <w:t>3</w:t>
      </w:r>
      <w:r w:rsidRPr="00DE12A3">
        <w:rPr>
          <w:rFonts w:eastAsia="Times New Roman" w:cs="Times New Roman"/>
          <w:color w:val="auto"/>
          <w:spacing w:val="3"/>
          <w:lang w:eastAsia="en-US"/>
        </w:rPr>
        <w:t>H</w:t>
      </w:r>
      <w:r w:rsidRPr="00DE12A3">
        <w:rPr>
          <w:rFonts w:eastAsia="Times New Roman" w:cs="Times New Roman"/>
          <w:color w:val="auto"/>
          <w:spacing w:val="3"/>
          <w:vertAlign w:val="subscript"/>
          <w:lang w:eastAsia="en-US"/>
        </w:rPr>
        <w:t>8</w:t>
      </w:r>
      <w:r w:rsidRPr="00DE12A3">
        <w:rPr>
          <w:rFonts w:eastAsia="Times New Roman" w:cs="Times New Roman"/>
          <w:color w:val="auto"/>
          <w:spacing w:val="3"/>
          <w:lang w:eastAsia="en-US"/>
        </w:rPr>
        <w:t xml:space="preserve"> için uygun akış hızları seçilir</w:t>
      </w:r>
      <w:r w:rsidR="00DF78A3" w:rsidRPr="00DE12A3">
        <w:rPr>
          <w:rFonts w:eastAsia="Times New Roman" w:cs="Times New Roman"/>
          <w:color w:val="auto"/>
          <w:spacing w:val="3"/>
          <w:lang w:eastAsia="en-US"/>
        </w:rPr>
        <w:t>.</w:t>
      </w:r>
    </w:p>
    <w:p w14:paraId="072BFFAD" w14:textId="655530DF" w:rsidR="002D7B36" w:rsidRPr="00DE12A3" w:rsidRDefault="006A1988" w:rsidP="00E20716">
      <w:pPr>
        <w:numPr>
          <w:ilvl w:val="0"/>
          <w:numId w:val="228"/>
        </w:numPr>
        <w:shd w:val="clear" w:color="auto" w:fill="FFFFFF"/>
        <w:spacing w:before="120" w:after="120"/>
        <w:ind w:left="1701" w:hanging="567"/>
        <w:jc w:val="both"/>
        <w:rPr>
          <w:rFonts w:eastAsia="Times New Roman" w:cs="Times New Roman"/>
          <w:color w:val="auto"/>
          <w:spacing w:val="3"/>
          <w:lang w:eastAsia="en-US"/>
        </w:rPr>
      </w:pPr>
      <w:r w:rsidRPr="00DE12A3">
        <w:rPr>
          <w:rFonts w:eastAsia="Times New Roman" w:cs="Times New Roman"/>
          <w:color w:val="auto"/>
          <w:spacing w:val="3"/>
          <w:lang w:eastAsia="en-US"/>
        </w:rPr>
        <w:t xml:space="preserve">     </w:t>
      </w:r>
      <w:r w:rsidR="00242DA0" w:rsidRPr="00DE12A3">
        <w:rPr>
          <w:rFonts w:eastAsia="Times New Roman" w:cs="Times New Roman"/>
          <w:color w:val="auto"/>
          <w:spacing w:val="3"/>
          <w:lang w:eastAsia="en-US"/>
        </w:rPr>
        <w:t>CVS içinde bir C</w:t>
      </w:r>
      <w:r w:rsidR="00242DA0" w:rsidRPr="00DE12A3">
        <w:rPr>
          <w:rFonts w:eastAsia="Times New Roman" w:cs="Times New Roman"/>
          <w:color w:val="auto"/>
          <w:spacing w:val="3"/>
          <w:vertAlign w:val="subscript"/>
          <w:lang w:eastAsia="en-US"/>
        </w:rPr>
        <w:t>3</w:t>
      </w:r>
      <w:r w:rsidR="00242DA0" w:rsidRPr="00DE12A3">
        <w:rPr>
          <w:rFonts w:eastAsia="Times New Roman" w:cs="Times New Roman"/>
          <w:color w:val="auto"/>
          <w:spacing w:val="3"/>
          <w:lang w:eastAsia="en-US"/>
        </w:rPr>
        <w:t>H</w:t>
      </w:r>
      <w:r w:rsidR="00242DA0" w:rsidRPr="00DE12A3">
        <w:rPr>
          <w:rFonts w:eastAsia="Times New Roman" w:cs="Times New Roman"/>
          <w:color w:val="auto"/>
          <w:spacing w:val="3"/>
          <w:vertAlign w:val="subscript"/>
          <w:lang w:eastAsia="en-US"/>
        </w:rPr>
        <w:t>8</w:t>
      </w:r>
      <w:r w:rsidR="00242DA0" w:rsidRPr="00DE12A3">
        <w:rPr>
          <w:rFonts w:eastAsia="Times New Roman" w:cs="Times New Roman"/>
          <w:color w:val="auto"/>
          <w:spacing w:val="3"/>
          <w:lang w:eastAsia="en-US"/>
        </w:rPr>
        <w:t xml:space="preserve"> enjeksiyon girişi seçilir. Giriş konumu, motor egzoz sisteminin CVS içine sokulduğu yere mümkün olduğu kadar yakın olacak şekilde seçilir. C</w:t>
      </w:r>
      <w:r w:rsidR="00242DA0" w:rsidRPr="00DE12A3">
        <w:rPr>
          <w:rFonts w:eastAsia="Times New Roman" w:cs="Times New Roman"/>
          <w:color w:val="auto"/>
          <w:spacing w:val="3"/>
          <w:vertAlign w:val="subscript"/>
          <w:lang w:eastAsia="en-US"/>
        </w:rPr>
        <w:t>3</w:t>
      </w:r>
      <w:r w:rsidR="00242DA0" w:rsidRPr="00DE12A3">
        <w:rPr>
          <w:rFonts w:eastAsia="Times New Roman" w:cs="Times New Roman"/>
          <w:color w:val="auto"/>
          <w:spacing w:val="3"/>
          <w:lang w:eastAsia="en-US"/>
        </w:rPr>
        <w:t>H</w:t>
      </w:r>
      <w:r w:rsidR="00242DA0" w:rsidRPr="00DE12A3">
        <w:rPr>
          <w:rFonts w:eastAsia="Times New Roman" w:cs="Times New Roman"/>
          <w:color w:val="auto"/>
          <w:spacing w:val="3"/>
          <w:vertAlign w:val="subscript"/>
          <w:lang w:eastAsia="en-US"/>
        </w:rPr>
        <w:t>8</w:t>
      </w:r>
      <w:r w:rsidR="00242DA0" w:rsidRPr="00DE12A3">
        <w:rPr>
          <w:rFonts w:eastAsia="Times New Roman" w:cs="Times New Roman"/>
          <w:color w:val="auto"/>
          <w:spacing w:val="3"/>
          <w:lang w:eastAsia="en-US"/>
        </w:rPr>
        <w:t xml:space="preserve"> silindiri enjeksiyon sistemine bağlanır</w:t>
      </w:r>
      <w:r w:rsidR="00DF78A3" w:rsidRPr="00DE12A3">
        <w:rPr>
          <w:rFonts w:eastAsia="Times New Roman" w:cs="Times New Roman"/>
          <w:color w:val="auto"/>
          <w:spacing w:val="3"/>
          <w:lang w:eastAsia="en-US"/>
        </w:rPr>
        <w:t>.</w:t>
      </w:r>
    </w:p>
    <w:p w14:paraId="3DFC41AD" w14:textId="1040BF32" w:rsidR="002D7B36" w:rsidRPr="00DE12A3" w:rsidRDefault="00242DA0" w:rsidP="00E20716">
      <w:pPr>
        <w:numPr>
          <w:ilvl w:val="0"/>
          <w:numId w:val="228"/>
        </w:numPr>
        <w:shd w:val="clear" w:color="auto" w:fill="FFFFFF"/>
        <w:spacing w:before="120" w:after="120"/>
        <w:ind w:left="1701" w:hanging="567"/>
        <w:jc w:val="both"/>
        <w:rPr>
          <w:rFonts w:eastAsia="Times New Roman" w:cs="Times New Roman"/>
          <w:color w:val="auto"/>
          <w:spacing w:val="3"/>
          <w:lang w:eastAsia="en-US"/>
        </w:rPr>
      </w:pPr>
      <w:r w:rsidRPr="00DE12A3">
        <w:rPr>
          <w:rFonts w:eastAsia="Times New Roman" w:cs="Times New Roman"/>
          <w:color w:val="auto"/>
          <w:spacing w:val="3"/>
          <w:lang w:eastAsia="en-US"/>
        </w:rPr>
        <w:t>CVS çalıştırılır ve dengelenir</w:t>
      </w:r>
      <w:r w:rsidR="00DF78A3" w:rsidRPr="00DE12A3">
        <w:rPr>
          <w:rFonts w:eastAsia="Times New Roman" w:cs="Times New Roman"/>
          <w:color w:val="auto"/>
          <w:spacing w:val="3"/>
          <w:lang w:eastAsia="en-US"/>
        </w:rPr>
        <w:t>.</w:t>
      </w:r>
    </w:p>
    <w:p w14:paraId="11705BAC" w14:textId="1EF38F06" w:rsidR="002D7B36" w:rsidRPr="00DE12A3" w:rsidRDefault="006A1988" w:rsidP="00E20716">
      <w:pPr>
        <w:numPr>
          <w:ilvl w:val="0"/>
          <w:numId w:val="228"/>
        </w:numPr>
        <w:shd w:val="clear" w:color="auto" w:fill="FFFFFF"/>
        <w:spacing w:before="120" w:after="120"/>
        <w:ind w:left="1701" w:hanging="567"/>
        <w:jc w:val="both"/>
        <w:rPr>
          <w:rFonts w:eastAsia="Times New Roman" w:cs="Times New Roman"/>
          <w:color w:val="auto"/>
          <w:spacing w:val="3"/>
          <w:lang w:eastAsia="en-US"/>
        </w:rPr>
      </w:pPr>
      <w:r w:rsidRPr="00DE12A3">
        <w:rPr>
          <w:rFonts w:eastAsia="Times New Roman" w:cs="Times New Roman"/>
          <w:color w:val="auto"/>
          <w:spacing w:val="3"/>
          <w:lang w:eastAsia="en-US"/>
        </w:rPr>
        <w:t xml:space="preserve">     </w:t>
      </w:r>
      <w:r w:rsidR="00242DA0" w:rsidRPr="00DE12A3">
        <w:rPr>
          <w:rFonts w:eastAsia="Times New Roman" w:cs="Times New Roman"/>
          <w:color w:val="auto"/>
          <w:spacing w:val="3"/>
          <w:lang w:eastAsia="en-US"/>
        </w:rPr>
        <w:t>Örnekleme sistemindeki tüm ısı eşanjörleri önceden ısıtılmış veya önceden soğutulmuş olmalıdır</w:t>
      </w:r>
      <w:r w:rsidR="00DF78A3" w:rsidRPr="00DE12A3">
        <w:rPr>
          <w:rFonts w:eastAsia="Times New Roman" w:cs="Times New Roman"/>
          <w:color w:val="auto"/>
          <w:spacing w:val="3"/>
          <w:lang w:eastAsia="en-US"/>
        </w:rPr>
        <w:t>.</w:t>
      </w:r>
    </w:p>
    <w:p w14:paraId="1E799673" w14:textId="00C292F4" w:rsidR="002D7B36" w:rsidRPr="00DE12A3" w:rsidRDefault="006A1988" w:rsidP="00E20716">
      <w:pPr>
        <w:numPr>
          <w:ilvl w:val="0"/>
          <w:numId w:val="228"/>
        </w:numPr>
        <w:shd w:val="clear" w:color="auto" w:fill="FFFFFF"/>
        <w:spacing w:before="120" w:after="120"/>
        <w:ind w:left="1701" w:hanging="567"/>
        <w:jc w:val="both"/>
        <w:rPr>
          <w:rFonts w:eastAsia="Times New Roman" w:cs="Times New Roman"/>
          <w:color w:val="auto"/>
          <w:spacing w:val="3"/>
          <w:lang w:eastAsia="en-US"/>
        </w:rPr>
      </w:pPr>
      <w:r w:rsidRPr="00DE12A3">
        <w:rPr>
          <w:rFonts w:eastAsia="Times New Roman" w:cs="Times New Roman"/>
          <w:color w:val="auto"/>
          <w:spacing w:val="3"/>
          <w:lang w:eastAsia="en-US"/>
        </w:rPr>
        <w:t xml:space="preserve">     </w:t>
      </w:r>
      <w:r w:rsidR="00242DA0" w:rsidRPr="00DE12A3">
        <w:rPr>
          <w:rFonts w:eastAsia="Times New Roman" w:cs="Times New Roman"/>
          <w:color w:val="auto"/>
          <w:spacing w:val="3"/>
          <w:lang w:eastAsia="en-US"/>
        </w:rPr>
        <w:t>Numune hatları, filtreler, soğutucular ve pompalar gibi ısıtılmış ve soğutulmuş bileşenlerin çalışma sıcaklıklarında dengelenmesine izin verilmelidir</w:t>
      </w:r>
      <w:r w:rsidR="00DF78A3" w:rsidRPr="00DE12A3">
        <w:rPr>
          <w:rFonts w:eastAsia="Times New Roman" w:cs="Times New Roman"/>
          <w:color w:val="auto"/>
          <w:spacing w:val="3"/>
          <w:lang w:eastAsia="en-US"/>
        </w:rPr>
        <w:t>.</w:t>
      </w:r>
    </w:p>
    <w:p w14:paraId="398D7FC3" w14:textId="77777777" w:rsidR="002D7B36" w:rsidRPr="00DE12A3" w:rsidRDefault="00242DA0" w:rsidP="00E20716">
      <w:pPr>
        <w:numPr>
          <w:ilvl w:val="0"/>
          <w:numId w:val="228"/>
        </w:numPr>
        <w:shd w:val="clear" w:color="auto" w:fill="FFFFFF"/>
        <w:spacing w:before="120" w:after="120"/>
        <w:ind w:left="1701" w:hanging="567"/>
        <w:jc w:val="both"/>
        <w:rPr>
          <w:rFonts w:eastAsia="Times New Roman" w:cs="Times New Roman"/>
          <w:color w:val="auto"/>
          <w:spacing w:val="3"/>
          <w:lang w:eastAsia="en-US"/>
        </w:rPr>
      </w:pPr>
      <w:r w:rsidRPr="00DE12A3">
        <w:rPr>
          <w:rFonts w:eastAsia="Times New Roman" w:cs="Times New Roman"/>
          <w:color w:val="auto"/>
          <w:spacing w:val="3"/>
          <w:lang w:eastAsia="en-US"/>
        </w:rPr>
        <w:t>Mümkünse, 8.1.8.7 bendinde tarif edildiği gibi HC örnekleme sistemine ilişkin bir vakum tarafı kaçağı doğrulaması yapılmalıdır.</w:t>
      </w:r>
    </w:p>
    <w:p w14:paraId="046B2858" w14:textId="77777777" w:rsidR="002D7B36" w:rsidRPr="00DE12A3" w:rsidRDefault="00242DA0" w:rsidP="00E20716">
      <w:pPr>
        <w:numPr>
          <w:ilvl w:val="0"/>
          <w:numId w:val="224"/>
        </w:numPr>
        <w:shd w:val="clear" w:color="auto" w:fill="FFFFFF"/>
        <w:spacing w:before="120" w:after="120"/>
        <w:ind w:left="1134" w:hanging="1134"/>
        <w:jc w:val="both"/>
        <w:rPr>
          <w:rFonts w:eastAsia="Times New Roman" w:cs="Times New Roman"/>
          <w:color w:val="auto"/>
          <w:spacing w:val="3"/>
          <w:lang w:eastAsia="en-US"/>
        </w:rPr>
      </w:pPr>
      <w:r w:rsidRPr="00DE12A3">
        <w:rPr>
          <w:rFonts w:eastAsia="Times New Roman" w:cs="Times New Roman"/>
          <w:color w:val="auto"/>
          <w:spacing w:val="3"/>
          <w:lang w:eastAsia="en-US"/>
        </w:rPr>
        <w:t>HC örnekleme sisteminin propan kontrolü için hazırlanması</w:t>
      </w:r>
    </w:p>
    <w:p w14:paraId="1DF77CE8" w14:textId="60C1DC2E" w:rsidR="002D7B36" w:rsidRPr="00DE12A3" w:rsidRDefault="006A1988" w:rsidP="00C917D6">
      <w:pPr>
        <w:shd w:val="clear" w:color="auto" w:fill="FFFFFF"/>
        <w:spacing w:before="120" w:after="120"/>
        <w:ind w:left="1134" w:hanging="1134"/>
        <w:jc w:val="both"/>
        <w:rPr>
          <w:rFonts w:eastAsia="Times New Roman" w:cs="Times New Roman"/>
          <w:color w:val="auto"/>
          <w:spacing w:val="3"/>
          <w:lang w:eastAsia="en-US"/>
        </w:rPr>
      </w:pPr>
      <w:r w:rsidRPr="00DE12A3">
        <w:rPr>
          <w:rFonts w:eastAsia="Times New Roman" w:cs="Times New Roman"/>
          <w:color w:val="auto"/>
          <w:spacing w:val="3"/>
          <w:lang w:eastAsia="en-US"/>
        </w:rPr>
        <w:t xml:space="preserve">                  </w:t>
      </w:r>
      <w:r w:rsidR="00242DA0" w:rsidRPr="00DE12A3">
        <w:rPr>
          <w:rFonts w:eastAsia="Times New Roman" w:cs="Times New Roman"/>
          <w:color w:val="auto"/>
          <w:spacing w:val="3"/>
          <w:lang w:eastAsia="en-US"/>
        </w:rPr>
        <w:t xml:space="preserve">HC örnekleme sisteminin vakum tarafı kaçak kontrolü doğrulaması, (g) </w:t>
      </w:r>
      <w:r w:rsidR="00DF78A3" w:rsidRPr="00DE12A3">
        <w:rPr>
          <w:rFonts w:eastAsia="Times New Roman" w:cs="Times New Roman"/>
          <w:color w:val="auto"/>
          <w:spacing w:val="3"/>
          <w:lang w:eastAsia="en-US"/>
        </w:rPr>
        <w:t xml:space="preserve">numaralı alt </w:t>
      </w:r>
      <w:r w:rsidR="00242DA0" w:rsidRPr="00DE12A3">
        <w:rPr>
          <w:rFonts w:eastAsia="Times New Roman" w:cs="Times New Roman"/>
          <w:color w:val="auto"/>
          <w:spacing w:val="3"/>
          <w:lang w:eastAsia="en-US"/>
        </w:rPr>
        <w:t xml:space="preserve">bendi uyarınca yapılabilir. Bu prosedür kullanılırsa, 7.3.1.3 bendinde belirtilen HC kirlenme prosedürü kullanılabilir.  Vakum tarafı kaçak kontrolü (g) </w:t>
      </w:r>
      <w:r w:rsidR="00DF78A3" w:rsidRPr="00DE12A3">
        <w:rPr>
          <w:rFonts w:eastAsia="Times New Roman" w:cs="Times New Roman"/>
          <w:color w:val="auto"/>
          <w:spacing w:val="3"/>
          <w:lang w:eastAsia="en-US"/>
        </w:rPr>
        <w:t xml:space="preserve">numaralı alt </w:t>
      </w:r>
      <w:r w:rsidR="00242DA0" w:rsidRPr="00DE12A3">
        <w:rPr>
          <w:rFonts w:eastAsia="Times New Roman" w:cs="Times New Roman"/>
          <w:color w:val="auto"/>
          <w:spacing w:val="3"/>
          <w:lang w:eastAsia="en-US"/>
        </w:rPr>
        <w:t>bendine göre yapılmazsa, HC örnekleme sistemi aşağıdaki gibi sıfırlanmalı, ayarlanmalı ve kirlenme bakımından doğrulanmalıdır:</w:t>
      </w:r>
    </w:p>
    <w:p w14:paraId="3A7F87F4" w14:textId="438C4FD7" w:rsidR="002D7B36" w:rsidRPr="00DE12A3" w:rsidRDefault="006A1988" w:rsidP="00E20716">
      <w:pPr>
        <w:numPr>
          <w:ilvl w:val="0"/>
          <w:numId w:val="229"/>
        </w:numPr>
        <w:shd w:val="clear" w:color="auto" w:fill="FFFFFF"/>
        <w:spacing w:before="120" w:after="120"/>
        <w:ind w:left="1701" w:hanging="567"/>
        <w:jc w:val="both"/>
        <w:rPr>
          <w:rFonts w:eastAsia="Times New Roman" w:cs="Times New Roman"/>
          <w:color w:val="auto"/>
          <w:spacing w:val="3"/>
          <w:lang w:eastAsia="en-US"/>
        </w:rPr>
      </w:pPr>
      <w:r w:rsidRPr="00DE12A3">
        <w:rPr>
          <w:rFonts w:eastAsia="Times New Roman" w:cs="Times New Roman"/>
          <w:color w:val="auto"/>
          <w:spacing w:val="3"/>
          <w:lang w:eastAsia="en-US"/>
        </w:rPr>
        <w:t xml:space="preserve">    </w:t>
      </w:r>
      <w:r w:rsidR="00242DA0" w:rsidRPr="00DE12A3">
        <w:rPr>
          <w:rFonts w:eastAsia="Times New Roman" w:cs="Times New Roman"/>
          <w:color w:val="auto"/>
          <w:spacing w:val="3"/>
          <w:lang w:eastAsia="en-US"/>
        </w:rPr>
        <w:t>CVS ve C</w:t>
      </w:r>
      <w:r w:rsidR="00242DA0" w:rsidRPr="00DE12A3">
        <w:rPr>
          <w:rFonts w:eastAsia="Times New Roman" w:cs="Times New Roman"/>
          <w:color w:val="auto"/>
          <w:spacing w:val="3"/>
          <w:vertAlign w:val="subscript"/>
          <w:lang w:eastAsia="en-US"/>
        </w:rPr>
        <w:t>3</w:t>
      </w:r>
      <w:r w:rsidR="00242DA0" w:rsidRPr="00DE12A3">
        <w:rPr>
          <w:rFonts w:eastAsia="Times New Roman" w:cs="Times New Roman"/>
          <w:color w:val="auto"/>
          <w:spacing w:val="3"/>
          <w:lang w:eastAsia="en-US"/>
        </w:rPr>
        <w:t>H</w:t>
      </w:r>
      <w:r w:rsidR="00242DA0" w:rsidRPr="00DE12A3">
        <w:rPr>
          <w:rFonts w:eastAsia="Times New Roman" w:cs="Times New Roman"/>
          <w:color w:val="auto"/>
          <w:spacing w:val="3"/>
          <w:vertAlign w:val="subscript"/>
          <w:lang w:eastAsia="en-US"/>
        </w:rPr>
        <w:t>8</w:t>
      </w:r>
      <w:r w:rsidR="00242DA0" w:rsidRPr="00DE12A3">
        <w:rPr>
          <w:rFonts w:eastAsia="Times New Roman" w:cs="Times New Roman"/>
          <w:color w:val="auto"/>
          <w:spacing w:val="3"/>
          <w:lang w:eastAsia="en-US"/>
        </w:rPr>
        <w:t xml:space="preserve"> akış hızları için beklenen C</w:t>
      </w:r>
      <w:r w:rsidR="00242DA0" w:rsidRPr="00DE12A3">
        <w:rPr>
          <w:rFonts w:eastAsia="Times New Roman" w:cs="Times New Roman"/>
          <w:color w:val="auto"/>
          <w:spacing w:val="3"/>
          <w:vertAlign w:val="subscript"/>
          <w:lang w:eastAsia="en-US"/>
        </w:rPr>
        <w:t>3</w:t>
      </w:r>
      <w:r w:rsidR="00242DA0" w:rsidRPr="00DE12A3">
        <w:rPr>
          <w:rFonts w:eastAsia="Times New Roman" w:cs="Times New Roman"/>
          <w:color w:val="auto"/>
          <w:spacing w:val="3"/>
          <w:lang w:eastAsia="en-US"/>
        </w:rPr>
        <w:t>H</w:t>
      </w:r>
      <w:r w:rsidR="00242DA0" w:rsidRPr="00DE12A3">
        <w:rPr>
          <w:rFonts w:eastAsia="Times New Roman" w:cs="Times New Roman"/>
          <w:color w:val="auto"/>
          <w:spacing w:val="3"/>
          <w:vertAlign w:val="subscript"/>
          <w:lang w:eastAsia="en-US"/>
        </w:rPr>
        <w:t>8</w:t>
      </w:r>
      <w:r w:rsidR="00242DA0" w:rsidRPr="00DE12A3">
        <w:rPr>
          <w:rFonts w:eastAsia="Times New Roman" w:cs="Times New Roman"/>
          <w:color w:val="auto"/>
          <w:spacing w:val="3"/>
          <w:lang w:eastAsia="en-US"/>
        </w:rPr>
        <w:t xml:space="preserve"> konsantrasyonunu ölçebilecek en düşük HC analiz cihazı aralığı seçilmelidir</w:t>
      </w:r>
      <w:r w:rsidR="00DF78A3" w:rsidRPr="00DE12A3">
        <w:rPr>
          <w:rFonts w:eastAsia="Times New Roman" w:cs="Times New Roman"/>
          <w:color w:val="auto"/>
          <w:spacing w:val="3"/>
          <w:lang w:eastAsia="en-US"/>
        </w:rPr>
        <w:t>.</w:t>
      </w:r>
    </w:p>
    <w:p w14:paraId="498F73E8" w14:textId="78DFC398" w:rsidR="002D7B36" w:rsidRPr="00DE12A3" w:rsidRDefault="006A1988" w:rsidP="00E20716">
      <w:pPr>
        <w:numPr>
          <w:ilvl w:val="0"/>
          <w:numId w:val="229"/>
        </w:numPr>
        <w:shd w:val="clear" w:color="auto" w:fill="FFFFFF"/>
        <w:spacing w:before="120" w:after="120"/>
        <w:ind w:left="1701" w:hanging="567"/>
        <w:jc w:val="both"/>
        <w:rPr>
          <w:rFonts w:eastAsia="Times New Roman" w:cs="Times New Roman"/>
          <w:color w:val="auto"/>
          <w:spacing w:val="3"/>
          <w:lang w:eastAsia="en-US"/>
        </w:rPr>
      </w:pPr>
      <w:r w:rsidRPr="00DE12A3">
        <w:rPr>
          <w:rFonts w:eastAsia="Times New Roman" w:cs="Times New Roman"/>
          <w:color w:val="auto"/>
          <w:spacing w:val="3"/>
          <w:lang w:eastAsia="en-US"/>
        </w:rPr>
        <w:t xml:space="preserve">    </w:t>
      </w:r>
      <w:r w:rsidR="00242DA0" w:rsidRPr="00DE12A3">
        <w:rPr>
          <w:rFonts w:eastAsia="Times New Roman" w:cs="Times New Roman"/>
          <w:color w:val="auto"/>
          <w:spacing w:val="3"/>
          <w:lang w:eastAsia="en-US"/>
        </w:rPr>
        <w:t>HC analiz cihazı, analiz cihazı girişine verilen sıfır hava kullanılarak sıfırlanır</w:t>
      </w:r>
      <w:r w:rsidR="00DF78A3" w:rsidRPr="00DE12A3">
        <w:rPr>
          <w:rFonts w:eastAsia="Times New Roman" w:cs="Times New Roman"/>
          <w:color w:val="auto"/>
          <w:spacing w:val="3"/>
          <w:lang w:eastAsia="en-US"/>
        </w:rPr>
        <w:t>.</w:t>
      </w:r>
    </w:p>
    <w:p w14:paraId="1F5E6413" w14:textId="3B5F9761" w:rsidR="002D7B36" w:rsidRPr="00DE12A3" w:rsidRDefault="006A1988" w:rsidP="00E20716">
      <w:pPr>
        <w:numPr>
          <w:ilvl w:val="0"/>
          <w:numId w:val="229"/>
        </w:numPr>
        <w:shd w:val="clear" w:color="auto" w:fill="FFFFFF"/>
        <w:spacing w:before="120" w:after="120"/>
        <w:ind w:left="1701" w:hanging="567"/>
        <w:jc w:val="both"/>
        <w:rPr>
          <w:rFonts w:eastAsia="Times New Roman" w:cs="Times New Roman"/>
          <w:color w:val="auto"/>
          <w:spacing w:val="3"/>
          <w:lang w:eastAsia="en-US"/>
        </w:rPr>
      </w:pPr>
      <w:r w:rsidRPr="00DE12A3">
        <w:rPr>
          <w:rFonts w:eastAsia="Times New Roman" w:cs="Times New Roman"/>
          <w:color w:val="auto"/>
          <w:spacing w:val="3"/>
          <w:lang w:eastAsia="en-US"/>
        </w:rPr>
        <w:t xml:space="preserve">     </w:t>
      </w:r>
      <w:r w:rsidR="00242DA0" w:rsidRPr="00DE12A3">
        <w:rPr>
          <w:rFonts w:eastAsia="Times New Roman" w:cs="Times New Roman"/>
          <w:color w:val="auto"/>
          <w:spacing w:val="3"/>
          <w:lang w:eastAsia="en-US"/>
        </w:rPr>
        <w:t>HC analiz cihazı, analiz cihazı girişine verilen C</w:t>
      </w:r>
      <w:r w:rsidR="00242DA0" w:rsidRPr="00DE12A3">
        <w:rPr>
          <w:rFonts w:eastAsia="Times New Roman" w:cs="Times New Roman"/>
          <w:color w:val="auto"/>
          <w:spacing w:val="3"/>
          <w:vertAlign w:val="subscript"/>
          <w:lang w:eastAsia="en-US"/>
        </w:rPr>
        <w:t>3</w:t>
      </w:r>
      <w:r w:rsidR="00242DA0" w:rsidRPr="00DE12A3">
        <w:rPr>
          <w:rFonts w:eastAsia="Times New Roman" w:cs="Times New Roman"/>
          <w:color w:val="auto"/>
          <w:spacing w:val="3"/>
          <w:lang w:eastAsia="en-US"/>
        </w:rPr>
        <w:t>H</w:t>
      </w:r>
      <w:r w:rsidR="00242DA0" w:rsidRPr="00DE12A3">
        <w:rPr>
          <w:rFonts w:eastAsia="Times New Roman" w:cs="Times New Roman"/>
          <w:color w:val="auto"/>
          <w:spacing w:val="3"/>
          <w:vertAlign w:val="subscript"/>
          <w:lang w:eastAsia="en-US"/>
        </w:rPr>
        <w:t>8</w:t>
      </w:r>
      <w:r w:rsidR="00242DA0" w:rsidRPr="00DE12A3">
        <w:rPr>
          <w:rFonts w:eastAsia="Times New Roman" w:cs="Times New Roman"/>
          <w:color w:val="auto"/>
          <w:spacing w:val="3"/>
          <w:lang w:eastAsia="en-US"/>
        </w:rPr>
        <w:t xml:space="preserve"> ayar gazı kullanılarak ayarlanır</w:t>
      </w:r>
      <w:r w:rsidR="00DF78A3" w:rsidRPr="00DE12A3">
        <w:rPr>
          <w:rFonts w:eastAsia="Times New Roman" w:cs="Times New Roman"/>
          <w:color w:val="auto"/>
          <w:spacing w:val="3"/>
          <w:lang w:eastAsia="en-US"/>
        </w:rPr>
        <w:t>.</w:t>
      </w:r>
    </w:p>
    <w:p w14:paraId="0331E9C0" w14:textId="5D3F3323" w:rsidR="002D7B36" w:rsidRPr="00DE12A3" w:rsidRDefault="006A1988" w:rsidP="00E20716">
      <w:pPr>
        <w:numPr>
          <w:ilvl w:val="0"/>
          <w:numId w:val="229"/>
        </w:numPr>
        <w:shd w:val="clear" w:color="auto" w:fill="FFFFFF"/>
        <w:spacing w:before="120" w:after="120"/>
        <w:ind w:left="1701" w:hanging="567"/>
        <w:jc w:val="both"/>
        <w:rPr>
          <w:rFonts w:eastAsia="Times New Roman" w:cs="Times New Roman"/>
          <w:color w:val="auto"/>
          <w:spacing w:val="3"/>
          <w:lang w:eastAsia="en-US"/>
        </w:rPr>
      </w:pPr>
      <w:r w:rsidRPr="00DE12A3">
        <w:rPr>
          <w:rFonts w:eastAsia="Times New Roman" w:cs="Times New Roman"/>
          <w:color w:val="auto"/>
          <w:spacing w:val="3"/>
          <w:lang w:eastAsia="en-US"/>
        </w:rPr>
        <w:t xml:space="preserve">     </w:t>
      </w:r>
      <w:r w:rsidR="00242DA0" w:rsidRPr="00DE12A3">
        <w:rPr>
          <w:rFonts w:eastAsia="Times New Roman" w:cs="Times New Roman"/>
          <w:color w:val="auto"/>
          <w:spacing w:val="3"/>
          <w:lang w:eastAsia="en-US"/>
        </w:rPr>
        <w:t>Sıfır hava, HC sondasında veya HC sondası ile transfer hattı arasındaki bir bağlantı parçasının içine taşar</w:t>
      </w:r>
      <w:r w:rsidR="00DF78A3" w:rsidRPr="00DE12A3">
        <w:rPr>
          <w:rFonts w:eastAsia="Times New Roman" w:cs="Times New Roman"/>
          <w:color w:val="auto"/>
          <w:spacing w:val="3"/>
          <w:lang w:eastAsia="en-US"/>
        </w:rPr>
        <w:t>.</w:t>
      </w:r>
    </w:p>
    <w:p w14:paraId="2CE10ABF" w14:textId="5C99A9D1" w:rsidR="002D7B36" w:rsidRPr="00DE12A3" w:rsidRDefault="006A1988" w:rsidP="00E20716">
      <w:pPr>
        <w:numPr>
          <w:ilvl w:val="0"/>
          <w:numId w:val="229"/>
        </w:numPr>
        <w:shd w:val="clear" w:color="auto" w:fill="FFFFFF"/>
        <w:spacing w:before="120" w:after="120"/>
        <w:ind w:left="1701" w:hanging="567"/>
        <w:jc w:val="both"/>
        <w:rPr>
          <w:rFonts w:eastAsia="Times New Roman" w:cs="Times New Roman"/>
          <w:color w:val="auto"/>
          <w:spacing w:val="3"/>
          <w:lang w:eastAsia="en-US"/>
        </w:rPr>
      </w:pPr>
      <w:r w:rsidRPr="00DE12A3">
        <w:rPr>
          <w:rFonts w:eastAsia="Times New Roman" w:cs="Times New Roman"/>
          <w:color w:val="auto"/>
          <w:spacing w:val="3"/>
          <w:lang w:eastAsia="en-US"/>
        </w:rPr>
        <w:t xml:space="preserve">     </w:t>
      </w:r>
      <w:r w:rsidR="00242DA0" w:rsidRPr="00DE12A3">
        <w:rPr>
          <w:rFonts w:eastAsia="Times New Roman" w:cs="Times New Roman"/>
          <w:color w:val="auto"/>
          <w:spacing w:val="3"/>
          <w:lang w:eastAsia="en-US"/>
        </w:rPr>
        <w:t>HC örnekleme sisteminin dengeli HC konsantrasyonu, taşma sıfır hava akımı olarak ölçülmelidir. Toplu HC ölçümü için parti kabı (bir çanta gibi) doldurulmalı ve HC taşma konsantrasyonu ölçülmelidir</w:t>
      </w:r>
      <w:r w:rsidR="00DF78A3" w:rsidRPr="00DE12A3">
        <w:rPr>
          <w:rFonts w:eastAsia="Times New Roman" w:cs="Times New Roman"/>
          <w:color w:val="auto"/>
          <w:spacing w:val="3"/>
          <w:lang w:eastAsia="en-US"/>
        </w:rPr>
        <w:t>.</w:t>
      </w:r>
    </w:p>
    <w:p w14:paraId="50660A5E" w14:textId="0E14AA8B" w:rsidR="002D7B36" w:rsidRPr="00DE12A3" w:rsidRDefault="006A1988" w:rsidP="00E20716">
      <w:pPr>
        <w:numPr>
          <w:ilvl w:val="0"/>
          <w:numId w:val="229"/>
        </w:numPr>
        <w:spacing w:before="120" w:after="120"/>
        <w:ind w:left="1701" w:hanging="567"/>
        <w:jc w:val="both"/>
        <w:rPr>
          <w:rFonts w:eastAsia="Times New Roman" w:cs="Times New Roman"/>
          <w:color w:val="auto"/>
          <w:spacing w:val="3"/>
          <w:lang w:eastAsia="en-US"/>
        </w:rPr>
      </w:pPr>
      <w:r w:rsidRPr="00DE12A3">
        <w:rPr>
          <w:rFonts w:eastAsia="Times New Roman" w:cs="Times New Roman"/>
          <w:color w:val="auto"/>
          <w:spacing w:val="3"/>
          <w:lang w:eastAsia="en-US"/>
        </w:rPr>
        <w:t xml:space="preserve">    </w:t>
      </w:r>
      <w:r w:rsidR="00242DA0" w:rsidRPr="00DE12A3">
        <w:rPr>
          <w:rFonts w:eastAsia="Times New Roman" w:cs="Times New Roman"/>
          <w:color w:val="auto"/>
          <w:spacing w:val="3"/>
          <w:lang w:eastAsia="en-US"/>
        </w:rPr>
        <w:t>Taşma HC konsantrasyonu 2 μmol/mol'ü aşarsa, kirlilik ortadan kalkıncaya kadar prosedür ilerletilemez. Kirliliğin kaynağı belirlenmeli ve sistemin temizlenmesi veya kirlenmiş bölümlerin değiştirilmesi gibi düzeltici adımlar atılmalıdır</w:t>
      </w:r>
      <w:r w:rsidR="00DF78A3" w:rsidRPr="00DE12A3">
        <w:rPr>
          <w:rFonts w:eastAsia="Times New Roman" w:cs="Times New Roman"/>
          <w:color w:val="auto"/>
          <w:spacing w:val="3"/>
          <w:lang w:eastAsia="en-US"/>
        </w:rPr>
        <w:t>.</w:t>
      </w:r>
    </w:p>
    <w:p w14:paraId="75A8A5D7" w14:textId="49DF5463" w:rsidR="002D7B36" w:rsidRPr="00DE12A3" w:rsidRDefault="00242DA0" w:rsidP="00E20716">
      <w:pPr>
        <w:numPr>
          <w:ilvl w:val="0"/>
          <w:numId w:val="229"/>
        </w:numPr>
        <w:spacing w:before="120" w:after="120"/>
        <w:ind w:left="1701" w:hanging="567"/>
        <w:jc w:val="both"/>
        <w:rPr>
          <w:rFonts w:eastAsia="Times New Roman" w:cs="Times New Roman"/>
          <w:color w:val="auto"/>
          <w:spacing w:val="3"/>
          <w:lang w:eastAsia="en-US"/>
        </w:rPr>
      </w:pPr>
      <w:r w:rsidRPr="00DE12A3">
        <w:rPr>
          <w:rFonts w:eastAsia="Times New Roman" w:cs="Times New Roman"/>
          <w:color w:val="auto"/>
          <w:spacing w:val="3"/>
          <w:lang w:eastAsia="en-US"/>
        </w:rPr>
        <w:t>Taşma HC konsantrasyonu 2 μmol/mol'ü aşmadığında, bu değer x</w:t>
      </w:r>
      <w:r w:rsidRPr="00DE12A3">
        <w:rPr>
          <w:rFonts w:eastAsia="Times New Roman" w:cs="Times New Roman"/>
          <w:color w:val="auto"/>
          <w:spacing w:val="3"/>
          <w:vertAlign w:val="subscript"/>
          <w:lang w:eastAsia="en-US"/>
        </w:rPr>
        <w:t>HCinit</w:t>
      </w:r>
      <w:r w:rsidRPr="00DE12A3">
        <w:rPr>
          <w:rFonts w:eastAsia="Times New Roman" w:cs="Times New Roman"/>
          <w:color w:val="auto"/>
          <w:spacing w:val="3"/>
          <w:lang w:eastAsia="en-US"/>
        </w:rPr>
        <w:t xml:space="preserve"> olarak kaydedilmeli ve </w:t>
      </w:r>
      <w:r w:rsidR="00FA0678" w:rsidRPr="00DE12A3">
        <w:rPr>
          <w:rFonts w:eastAsia="Times New Roman" w:cs="Times New Roman"/>
          <w:color w:val="auto"/>
          <w:spacing w:val="3"/>
          <w:lang w:eastAsia="en-US"/>
        </w:rPr>
        <w:t xml:space="preserve">VII’nci </w:t>
      </w:r>
      <w:r w:rsidR="00DF78A3" w:rsidRPr="00DE12A3">
        <w:rPr>
          <w:rFonts w:eastAsia="Times New Roman" w:cs="Times New Roman"/>
          <w:color w:val="auto"/>
          <w:spacing w:val="3"/>
          <w:lang w:eastAsia="en-US"/>
        </w:rPr>
        <w:t>E</w:t>
      </w:r>
      <w:r w:rsidR="00FA0678" w:rsidRPr="00DE12A3">
        <w:rPr>
          <w:rFonts w:eastAsia="Times New Roman" w:cs="Times New Roman"/>
          <w:color w:val="auto"/>
          <w:spacing w:val="3"/>
          <w:lang w:eastAsia="en-US"/>
        </w:rPr>
        <w:t>k</w:t>
      </w:r>
      <w:r w:rsidRPr="00DE12A3">
        <w:rPr>
          <w:rFonts w:eastAsia="Times New Roman" w:cs="Times New Roman"/>
          <w:color w:val="auto"/>
          <w:spacing w:val="3"/>
          <w:lang w:eastAsia="en-US"/>
        </w:rPr>
        <w:t xml:space="preserve">in 2. </w:t>
      </w:r>
      <w:r w:rsidR="00B32A92" w:rsidRPr="00DE12A3">
        <w:rPr>
          <w:rFonts w:eastAsia="Times New Roman" w:cs="Times New Roman"/>
          <w:color w:val="auto"/>
          <w:spacing w:val="3"/>
          <w:lang w:eastAsia="en-US"/>
        </w:rPr>
        <w:t>Bölüm</w:t>
      </w:r>
      <w:r w:rsidRPr="00DE12A3">
        <w:rPr>
          <w:rFonts w:eastAsia="Times New Roman" w:cs="Times New Roman"/>
          <w:color w:val="auto"/>
          <w:spacing w:val="3"/>
          <w:lang w:eastAsia="en-US"/>
        </w:rPr>
        <w:t xml:space="preserve">ünde (kütle bazlı yaklaşım) veya </w:t>
      </w:r>
      <w:r w:rsidR="00FA0678" w:rsidRPr="00DE12A3">
        <w:rPr>
          <w:rFonts w:eastAsia="Times New Roman" w:cs="Times New Roman"/>
          <w:color w:val="auto"/>
          <w:spacing w:val="3"/>
          <w:lang w:eastAsia="en-US"/>
        </w:rPr>
        <w:t xml:space="preserve">VII’nci </w:t>
      </w:r>
      <w:r w:rsidR="00B32A92" w:rsidRPr="00DE12A3">
        <w:rPr>
          <w:rFonts w:eastAsia="Times New Roman" w:cs="Times New Roman"/>
          <w:color w:val="auto"/>
          <w:spacing w:val="3"/>
          <w:lang w:eastAsia="en-US"/>
        </w:rPr>
        <w:t>E</w:t>
      </w:r>
      <w:r w:rsidR="00FA0678" w:rsidRPr="00DE12A3">
        <w:rPr>
          <w:rFonts w:eastAsia="Times New Roman" w:cs="Times New Roman"/>
          <w:color w:val="auto"/>
          <w:spacing w:val="3"/>
          <w:lang w:eastAsia="en-US"/>
        </w:rPr>
        <w:t>k</w:t>
      </w:r>
      <w:r w:rsidRPr="00DE12A3">
        <w:rPr>
          <w:rFonts w:eastAsia="Times New Roman" w:cs="Times New Roman"/>
          <w:color w:val="auto"/>
          <w:spacing w:val="3"/>
          <w:lang w:eastAsia="en-US"/>
        </w:rPr>
        <w:t xml:space="preserve">in 3. </w:t>
      </w:r>
      <w:r w:rsidR="00B32A92" w:rsidRPr="00DE12A3">
        <w:rPr>
          <w:rFonts w:eastAsia="Times New Roman" w:cs="Times New Roman"/>
          <w:color w:val="auto"/>
          <w:spacing w:val="3"/>
          <w:lang w:eastAsia="en-US"/>
        </w:rPr>
        <w:t>Bölüm</w:t>
      </w:r>
      <w:r w:rsidRPr="00DE12A3">
        <w:rPr>
          <w:rFonts w:eastAsia="Times New Roman" w:cs="Times New Roman"/>
          <w:color w:val="auto"/>
          <w:spacing w:val="3"/>
          <w:lang w:eastAsia="en-US"/>
        </w:rPr>
        <w:t>ünde (molar bazlı yaklaşım) tarif edildiği şekilde HC kirliliği bakımından düzeltmek için kullanılmalıdır.</w:t>
      </w:r>
    </w:p>
    <w:p w14:paraId="61EF264F" w14:textId="77777777" w:rsidR="002D7B36" w:rsidRPr="00DE12A3" w:rsidRDefault="00242DA0" w:rsidP="00C917D6">
      <w:pPr>
        <w:spacing w:before="120" w:after="120"/>
        <w:ind w:left="1134" w:hanging="1134"/>
        <w:jc w:val="both"/>
        <w:rPr>
          <w:rFonts w:eastAsia="Times New Roman" w:cs="Times New Roman"/>
          <w:color w:val="auto"/>
          <w:spacing w:val="3"/>
          <w:lang w:eastAsia="en-US"/>
        </w:rPr>
      </w:pPr>
      <w:r w:rsidRPr="00DE12A3">
        <w:rPr>
          <w:rFonts w:eastAsia="Times New Roman" w:cs="Times New Roman"/>
          <w:i/>
          <w:iCs/>
          <w:color w:val="auto"/>
          <w:spacing w:val="2"/>
          <w:shd w:val="clear" w:color="auto" w:fill="FFFFFF"/>
          <w:lang w:eastAsia="en-US"/>
        </w:rPr>
        <w:t>8</w:t>
      </w:r>
      <w:r w:rsidRPr="00DE12A3">
        <w:rPr>
          <w:rFonts w:eastAsia="Times New Roman" w:cs="Times New Roman"/>
          <w:color w:val="auto"/>
          <w:spacing w:val="3"/>
          <w:lang w:eastAsia="en-US"/>
        </w:rPr>
        <w:t>.1.8.5.5.</w:t>
      </w:r>
      <w:r w:rsidRPr="00DE12A3">
        <w:rPr>
          <w:rFonts w:eastAsia="Times New Roman" w:cs="Times New Roman"/>
          <w:color w:val="auto"/>
          <w:spacing w:val="3"/>
          <w:lang w:eastAsia="en-US"/>
        </w:rPr>
        <w:tab/>
        <w:t>Propan kontrolünün gerçekleştirilmesi</w:t>
      </w:r>
    </w:p>
    <w:p w14:paraId="2E9D929F" w14:textId="77777777" w:rsidR="002D7B36" w:rsidRPr="00DE12A3" w:rsidRDefault="00CF5D85" w:rsidP="00E20716">
      <w:pPr>
        <w:numPr>
          <w:ilvl w:val="0"/>
          <w:numId w:val="230"/>
        </w:numPr>
        <w:spacing w:before="120" w:after="120"/>
        <w:ind w:left="1701" w:hanging="567"/>
        <w:jc w:val="both"/>
        <w:rPr>
          <w:rFonts w:eastAsia="Times New Roman" w:cs="Times New Roman"/>
          <w:color w:val="auto"/>
          <w:spacing w:val="3"/>
          <w:lang w:eastAsia="en-US"/>
        </w:rPr>
      </w:pPr>
      <w:r w:rsidRPr="00DE12A3">
        <w:rPr>
          <w:rFonts w:eastAsia="Times New Roman" w:cs="Times New Roman"/>
          <w:color w:val="auto"/>
          <w:spacing w:val="3"/>
          <w:lang w:eastAsia="en-US"/>
        </w:rPr>
        <w:t xml:space="preserve">      </w:t>
      </w:r>
      <w:r w:rsidR="00242DA0" w:rsidRPr="00DE12A3">
        <w:rPr>
          <w:rFonts w:eastAsia="Times New Roman" w:cs="Times New Roman"/>
          <w:color w:val="auto"/>
          <w:spacing w:val="3"/>
          <w:lang w:eastAsia="en-US"/>
        </w:rPr>
        <w:t>Propan kontrolü aşağıdaki gibi yapılmalıdır:</w:t>
      </w:r>
    </w:p>
    <w:p w14:paraId="6E0EA325" w14:textId="17B53528" w:rsidR="002D7B36" w:rsidRPr="00DE12A3" w:rsidRDefault="006A1988" w:rsidP="00E20716">
      <w:pPr>
        <w:numPr>
          <w:ilvl w:val="0"/>
          <w:numId w:val="231"/>
        </w:numPr>
        <w:spacing w:before="120" w:after="120"/>
        <w:ind w:left="2268" w:hanging="567"/>
        <w:jc w:val="both"/>
        <w:rPr>
          <w:rFonts w:eastAsia="Times New Roman" w:cs="Times New Roman"/>
          <w:color w:val="auto"/>
          <w:spacing w:val="3"/>
          <w:lang w:eastAsia="en-US"/>
        </w:rPr>
      </w:pPr>
      <w:r w:rsidRPr="00DE12A3">
        <w:rPr>
          <w:rFonts w:eastAsia="Times New Roman" w:cs="Times New Roman"/>
          <w:color w:val="auto"/>
          <w:spacing w:val="3"/>
          <w:lang w:eastAsia="en-US"/>
        </w:rPr>
        <w:t xml:space="preserve">  </w:t>
      </w:r>
      <w:r w:rsidR="00242DA0" w:rsidRPr="00DE12A3">
        <w:rPr>
          <w:rFonts w:eastAsia="Times New Roman" w:cs="Times New Roman"/>
          <w:color w:val="auto"/>
          <w:spacing w:val="3"/>
          <w:lang w:eastAsia="en-US"/>
        </w:rPr>
        <w:t>Toplu HC örneklemesi için, boşaltılan torbalar gibi temiz depolama araçları bağlanmalıdır</w:t>
      </w:r>
      <w:r w:rsidR="00DF78A3" w:rsidRPr="00DE12A3">
        <w:rPr>
          <w:rFonts w:eastAsia="Times New Roman" w:cs="Times New Roman"/>
          <w:color w:val="auto"/>
          <w:spacing w:val="3"/>
          <w:lang w:eastAsia="en-US"/>
        </w:rPr>
        <w:t>.</w:t>
      </w:r>
    </w:p>
    <w:p w14:paraId="4295A3EC" w14:textId="1DC4F52F" w:rsidR="002D7B36" w:rsidRPr="00DE12A3" w:rsidRDefault="006A1988" w:rsidP="00E20716">
      <w:pPr>
        <w:numPr>
          <w:ilvl w:val="0"/>
          <w:numId w:val="231"/>
        </w:numPr>
        <w:spacing w:before="120" w:after="120"/>
        <w:ind w:left="2268" w:hanging="567"/>
        <w:jc w:val="both"/>
        <w:rPr>
          <w:rFonts w:eastAsia="Times New Roman" w:cs="Times New Roman"/>
          <w:color w:val="auto"/>
          <w:spacing w:val="3"/>
          <w:lang w:eastAsia="en-US"/>
        </w:rPr>
      </w:pPr>
      <w:r w:rsidRPr="00DE12A3">
        <w:rPr>
          <w:rFonts w:eastAsia="Times New Roman" w:cs="Times New Roman"/>
          <w:color w:val="auto"/>
          <w:spacing w:val="3"/>
          <w:lang w:eastAsia="en-US"/>
        </w:rPr>
        <w:t xml:space="preserve">   </w:t>
      </w:r>
      <w:r w:rsidR="00242DA0" w:rsidRPr="00DE12A3">
        <w:rPr>
          <w:rFonts w:eastAsia="Times New Roman" w:cs="Times New Roman"/>
          <w:color w:val="auto"/>
          <w:spacing w:val="3"/>
          <w:lang w:eastAsia="en-US"/>
        </w:rPr>
        <w:t>HC ölçüm cihazları, cihaz imalatçısının talimatları uyarınca kullanılmalıdır</w:t>
      </w:r>
      <w:r w:rsidR="00DF78A3" w:rsidRPr="00DE12A3">
        <w:rPr>
          <w:rFonts w:eastAsia="Times New Roman" w:cs="Times New Roman"/>
          <w:color w:val="auto"/>
          <w:spacing w:val="3"/>
          <w:lang w:eastAsia="en-US"/>
        </w:rPr>
        <w:t>.</w:t>
      </w:r>
    </w:p>
    <w:p w14:paraId="01BE7AB7" w14:textId="27FEC1A6" w:rsidR="002D7B36" w:rsidRPr="00DE12A3" w:rsidRDefault="006A1988" w:rsidP="00E20716">
      <w:pPr>
        <w:numPr>
          <w:ilvl w:val="0"/>
          <w:numId w:val="231"/>
        </w:numPr>
        <w:spacing w:before="120" w:after="120"/>
        <w:ind w:left="2268" w:hanging="567"/>
        <w:jc w:val="both"/>
        <w:rPr>
          <w:rFonts w:eastAsia="Times New Roman" w:cs="Times New Roman"/>
          <w:color w:val="auto"/>
          <w:spacing w:val="3"/>
          <w:lang w:eastAsia="en-US"/>
        </w:rPr>
      </w:pPr>
      <w:r w:rsidRPr="00DE12A3">
        <w:rPr>
          <w:rFonts w:eastAsia="Times New Roman" w:cs="Times New Roman"/>
          <w:color w:val="auto"/>
          <w:spacing w:val="3"/>
          <w:lang w:eastAsia="en-US"/>
        </w:rPr>
        <w:t xml:space="preserve">   </w:t>
      </w:r>
      <w:r w:rsidR="00242DA0" w:rsidRPr="00DE12A3">
        <w:rPr>
          <w:rFonts w:eastAsia="Times New Roman" w:cs="Times New Roman"/>
          <w:color w:val="auto"/>
          <w:spacing w:val="3"/>
          <w:lang w:eastAsia="en-US"/>
        </w:rPr>
        <w:t xml:space="preserve">Seyreltme havası arka plan HC konsantrasyonları için düzeltme </w:t>
      </w:r>
      <w:r w:rsidR="00242DA0" w:rsidRPr="00DE12A3">
        <w:rPr>
          <w:rFonts w:eastAsia="Times New Roman" w:cs="Times New Roman"/>
          <w:color w:val="auto"/>
          <w:spacing w:val="3"/>
          <w:lang w:eastAsia="en-US"/>
        </w:rPr>
        <w:lastRenderedPageBreak/>
        <w:t>öngörülüyorsa, seyreltme havası içindeki arka plan HC ölçülmeli ve kaydedilmelidir</w:t>
      </w:r>
      <w:r w:rsidR="00DF78A3" w:rsidRPr="00DE12A3">
        <w:rPr>
          <w:rFonts w:eastAsia="Times New Roman" w:cs="Times New Roman"/>
          <w:color w:val="auto"/>
          <w:spacing w:val="3"/>
          <w:lang w:eastAsia="en-US"/>
        </w:rPr>
        <w:t>.</w:t>
      </w:r>
    </w:p>
    <w:p w14:paraId="03767A21" w14:textId="7357D245" w:rsidR="002D7B36" w:rsidRPr="00DE12A3" w:rsidRDefault="006A1988" w:rsidP="00E20716">
      <w:pPr>
        <w:numPr>
          <w:ilvl w:val="0"/>
          <w:numId w:val="231"/>
        </w:numPr>
        <w:spacing w:before="120" w:after="120"/>
        <w:ind w:left="2268" w:hanging="567"/>
        <w:jc w:val="both"/>
        <w:rPr>
          <w:rFonts w:eastAsia="Times New Roman" w:cs="Times New Roman"/>
          <w:color w:val="auto"/>
          <w:spacing w:val="3"/>
          <w:lang w:eastAsia="en-US"/>
        </w:rPr>
      </w:pPr>
      <w:r w:rsidRPr="00DE12A3">
        <w:rPr>
          <w:rFonts w:eastAsia="Times New Roman" w:cs="Times New Roman"/>
          <w:color w:val="auto"/>
          <w:spacing w:val="3"/>
          <w:lang w:eastAsia="en-US"/>
        </w:rPr>
        <w:t xml:space="preserve"> </w:t>
      </w:r>
      <w:r w:rsidR="00242DA0" w:rsidRPr="00DE12A3">
        <w:rPr>
          <w:rFonts w:eastAsia="Times New Roman" w:cs="Times New Roman"/>
          <w:color w:val="auto"/>
          <w:spacing w:val="3"/>
          <w:lang w:eastAsia="en-US"/>
        </w:rPr>
        <w:t>Tüm entegrasyon cihazları sıfırlanmalıdır</w:t>
      </w:r>
      <w:r w:rsidR="00DF78A3" w:rsidRPr="00DE12A3">
        <w:rPr>
          <w:rFonts w:eastAsia="Times New Roman" w:cs="Times New Roman"/>
          <w:color w:val="auto"/>
          <w:spacing w:val="3"/>
          <w:lang w:eastAsia="en-US"/>
        </w:rPr>
        <w:t>.</w:t>
      </w:r>
    </w:p>
    <w:p w14:paraId="7337E794" w14:textId="0B2AA086" w:rsidR="002D7B36" w:rsidRPr="00DE12A3" w:rsidRDefault="006A1988" w:rsidP="00E20716">
      <w:pPr>
        <w:numPr>
          <w:ilvl w:val="0"/>
          <w:numId w:val="231"/>
        </w:numPr>
        <w:spacing w:before="120" w:after="120"/>
        <w:ind w:left="2268" w:hanging="567"/>
        <w:jc w:val="both"/>
        <w:rPr>
          <w:rFonts w:eastAsia="Times New Roman" w:cs="Times New Roman"/>
          <w:color w:val="auto"/>
          <w:spacing w:val="3"/>
          <w:lang w:eastAsia="en-US"/>
        </w:rPr>
      </w:pPr>
      <w:r w:rsidRPr="00DE12A3">
        <w:rPr>
          <w:rFonts w:eastAsia="Times New Roman" w:cs="Times New Roman"/>
          <w:color w:val="auto"/>
          <w:spacing w:val="3"/>
          <w:lang w:eastAsia="en-US"/>
        </w:rPr>
        <w:t xml:space="preserve">  </w:t>
      </w:r>
      <w:r w:rsidR="00242DA0" w:rsidRPr="00DE12A3">
        <w:rPr>
          <w:rFonts w:eastAsia="Times New Roman" w:cs="Times New Roman"/>
          <w:color w:val="auto"/>
          <w:spacing w:val="3"/>
          <w:lang w:eastAsia="en-US"/>
        </w:rPr>
        <w:t>Örnekleme başlamalı ve tüm akış toplayıcılar çalıştırılmalıdır</w:t>
      </w:r>
      <w:r w:rsidR="00DF78A3" w:rsidRPr="00DE12A3">
        <w:rPr>
          <w:rFonts w:eastAsia="Times New Roman" w:cs="Times New Roman"/>
          <w:color w:val="auto"/>
          <w:spacing w:val="3"/>
          <w:lang w:eastAsia="en-US"/>
        </w:rPr>
        <w:t>.</w:t>
      </w:r>
    </w:p>
    <w:p w14:paraId="42BC1450" w14:textId="7D5CE71A" w:rsidR="002D7B36" w:rsidRPr="00DE12A3" w:rsidRDefault="006A1988" w:rsidP="00E20716">
      <w:pPr>
        <w:numPr>
          <w:ilvl w:val="0"/>
          <w:numId w:val="231"/>
        </w:numPr>
        <w:spacing w:before="120" w:after="120"/>
        <w:ind w:left="2268" w:hanging="567"/>
        <w:jc w:val="both"/>
        <w:rPr>
          <w:rFonts w:eastAsia="Times New Roman" w:cs="Times New Roman"/>
          <w:color w:val="auto"/>
          <w:spacing w:val="3"/>
          <w:lang w:eastAsia="en-US"/>
        </w:rPr>
      </w:pPr>
      <w:r w:rsidRPr="00DE12A3">
        <w:rPr>
          <w:rFonts w:eastAsia="Times New Roman" w:cs="Times New Roman"/>
          <w:color w:val="auto"/>
          <w:spacing w:val="3"/>
          <w:lang w:eastAsia="en-US"/>
        </w:rPr>
        <w:t xml:space="preserve">  </w:t>
      </w:r>
      <w:r w:rsidR="00242DA0" w:rsidRPr="00DE12A3">
        <w:rPr>
          <w:rFonts w:eastAsia="Times New Roman" w:cs="Times New Roman"/>
          <w:color w:val="auto"/>
          <w:spacing w:val="3"/>
          <w:lang w:eastAsia="en-US"/>
        </w:rPr>
        <w:t>C</w:t>
      </w:r>
      <w:r w:rsidR="00242DA0" w:rsidRPr="00DE12A3">
        <w:rPr>
          <w:rFonts w:eastAsia="Times New Roman" w:cs="Times New Roman"/>
          <w:color w:val="auto"/>
          <w:spacing w:val="3"/>
          <w:vertAlign w:val="subscript"/>
          <w:lang w:eastAsia="en-US"/>
        </w:rPr>
        <w:t>3</w:t>
      </w:r>
      <w:r w:rsidR="00242DA0" w:rsidRPr="00DE12A3">
        <w:rPr>
          <w:rFonts w:eastAsia="Times New Roman" w:cs="Times New Roman"/>
          <w:color w:val="auto"/>
          <w:spacing w:val="3"/>
          <w:lang w:eastAsia="en-US"/>
        </w:rPr>
        <w:t>H</w:t>
      </w:r>
      <w:r w:rsidR="00242DA0" w:rsidRPr="00DE12A3">
        <w:rPr>
          <w:rFonts w:eastAsia="Times New Roman" w:cs="Times New Roman"/>
          <w:color w:val="auto"/>
          <w:spacing w:val="3"/>
          <w:vertAlign w:val="subscript"/>
          <w:lang w:eastAsia="en-US"/>
        </w:rPr>
        <w:t>8</w:t>
      </w:r>
      <w:r w:rsidR="00242DA0" w:rsidRPr="00DE12A3">
        <w:rPr>
          <w:rFonts w:eastAsia="Times New Roman" w:cs="Times New Roman"/>
          <w:color w:val="auto"/>
          <w:spacing w:val="3"/>
          <w:lang w:eastAsia="en-US"/>
        </w:rPr>
        <w:t>, seçilen oranda serbest bırakılmalıdır. C</w:t>
      </w:r>
      <w:r w:rsidR="00242DA0" w:rsidRPr="00DE12A3">
        <w:rPr>
          <w:rFonts w:eastAsia="Times New Roman" w:cs="Times New Roman"/>
          <w:color w:val="auto"/>
          <w:spacing w:val="3"/>
          <w:vertAlign w:val="subscript"/>
          <w:lang w:eastAsia="en-US"/>
        </w:rPr>
        <w:t>3</w:t>
      </w:r>
      <w:r w:rsidR="00242DA0" w:rsidRPr="00DE12A3">
        <w:rPr>
          <w:rFonts w:eastAsia="Times New Roman" w:cs="Times New Roman"/>
          <w:color w:val="auto"/>
          <w:spacing w:val="3"/>
          <w:lang w:eastAsia="en-US"/>
        </w:rPr>
        <w:t>H</w:t>
      </w:r>
      <w:r w:rsidR="00242DA0" w:rsidRPr="00DE12A3">
        <w:rPr>
          <w:rFonts w:eastAsia="Times New Roman" w:cs="Times New Roman"/>
          <w:color w:val="auto"/>
          <w:spacing w:val="3"/>
          <w:vertAlign w:val="subscript"/>
          <w:lang w:eastAsia="en-US"/>
        </w:rPr>
        <w:t>8</w:t>
      </w:r>
      <w:r w:rsidR="00242DA0" w:rsidRPr="00DE12A3">
        <w:rPr>
          <w:rFonts w:eastAsia="Times New Roman" w:cs="Times New Roman"/>
          <w:color w:val="auto"/>
          <w:spacing w:val="3"/>
          <w:lang w:eastAsia="en-US"/>
        </w:rPr>
        <w:t xml:space="preserve"> referans akış </w:t>
      </w:r>
      <w:r w:rsidRPr="00DE12A3">
        <w:rPr>
          <w:rFonts w:eastAsia="Times New Roman" w:cs="Times New Roman"/>
          <w:color w:val="auto"/>
          <w:spacing w:val="3"/>
          <w:lang w:eastAsia="en-US"/>
        </w:rPr>
        <w:t xml:space="preserve">  </w:t>
      </w:r>
      <w:r w:rsidR="00242DA0" w:rsidRPr="00DE12A3">
        <w:rPr>
          <w:rFonts w:eastAsia="Times New Roman" w:cs="Times New Roman"/>
          <w:color w:val="auto"/>
          <w:spacing w:val="3"/>
          <w:lang w:eastAsia="en-US"/>
        </w:rPr>
        <w:t>hızı kullanılırsa, bu akış hızının entegrasyonu başlatılmalıdır</w:t>
      </w:r>
      <w:r w:rsidR="00DF78A3" w:rsidRPr="00DE12A3">
        <w:rPr>
          <w:rFonts w:eastAsia="Times New Roman" w:cs="Times New Roman"/>
          <w:color w:val="auto"/>
          <w:spacing w:val="3"/>
          <w:lang w:eastAsia="en-US"/>
        </w:rPr>
        <w:t>.</w:t>
      </w:r>
    </w:p>
    <w:p w14:paraId="44641FD9" w14:textId="701ADA03" w:rsidR="002D7B36" w:rsidRPr="00DE12A3" w:rsidRDefault="00242DA0" w:rsidP="00E20716">
      <w:pPr>
        <w:numPr>
          <w:ilvl w:val="0"/>
          <w:numId w:val="231"/>
        </w:numPr>
        <w:spacing w:before="120" w:after="120"/>
        <w:ind w:left="2268" w:hanging="567"/>
        <w:jc w:val="both"/>
        <w:rPr>
          <w:rFonts w:eastAsia="Times New Roman" w:cs="Times New Roman"/>
          <w:color w:val="auto"/>
          <w:spacing w:val="3"/>
          <w:lang w:eastAsia="en-US"/>
        </w:rPr>
      </w:pPr>
      <w:r w:rsidRPr="00DE12A3">
        <w:rPr>
          <w:rFonts w:eastAsia="Times New Roman" w:cs="Times New Roman"/>
          <w:color w:val="auto"/>
          <w:spacing w:val="3"/>
          <w:lang w:eastAsia="en-US"/>
        </w:rPr>
        <w:t>Referans C</w:t>
      </w:r>
      <w:r w:rsidRPr="00DE12A3">
        <w:rPr>
          <w:rFonts w:eastAsia="Times New Roman" w:cs="Times New Roman"/>
          <w:color w:val="auto"/>
          <w:spacing w:val="3"/>
          <w:vertAlign w:val="subscript"/>
          <w:lang w:eastAsia="en-US"/>
        </w:rPr>
        <w:t>3</w:t>
      </w:r>
      <w:r w:rsidRPr="00DE12A3">
        <w:rPr>
          <w:rFonts w:eastAsia="Times New Roman" w:cs="Times New Roman"/>
          <w:color w:val="auto"/>
          <w:spacing w:val="3"/>
          <w:lang w:eastAsia="en-US"/>
        </w:rPr>
        <w:t>H</w:t>
      </w:r>
      <w:r w:rsidRPr="00DE12A3">
        <w:rPr>
          <w:rFonts w:eastAsia="Times New Roman" w:cs="Times New Roman"/>
          <w:color w:val="auto"/>
          <w:spacing w:val="3"/>
          <w:vertAlign w:val="subscript"/>
          <w:lang w:eastAsia="en-US"/>
        </w:rPr>
        <w:t>8</w:t>
      </w:r>
      <w:r w:rsidRPr="00DE12A3">
        <w:rPr>
          <w:rFonts w:eastAsia="Times New Roman" w:cs="Times New Roman"/>
          <w:color w:val="auto"/>
          <w:spacing w:val="3"/>
          <w:lang w:eastAsia="en-US"/>
        </w:rPr>
        <w:t xml:space="preserve"> ve ölçülen C</w:t>
      </w:r>
      <w:r w:rsidRPr="00DE12A3">
        <w:rPr>
          <w:rFonts w:eastAsia="Times New Roman" w:cs="Times New Roman"/>
          <w:color w:val="auto"/>
          <w:spacing w:val="3"/>
          <w:vertAlign w:val="subscript"/>
          <w:lang w:eastAsia="en-US"/>
        </w:rPr>
        <w:t>3</w:t>
      </w:r>
      <w:r w:rsidRPr="00DE12A3">
        <w:rPr>
          <w:rFonts w:eastAsia="Times New Roman" w:cs="Times New Roman"/>
          <w:color w:val="auto"/>
          <w:spacing w:val="3"/>
          <w:lang w:eastAsia="en-US"/>
        </w:rPr>
        <w:t>H</w:t>
      </w:r>
      <w:r w:rsidRPr="00DE12A3">
        <w:rPr>
          <w:rFonts w:eastAsia="Times New Roman" w:cs="Times New Roman"/>
          <w:color w:val="auto"/>
          <w:spacing w:val="3"/>
          <w:vertAlign w:val="subscript"/>
          <w:lang w:eastAsia="en-US"/>
        </w:rPr>
        <w:t>8</w:t>
      </w:r>
      <w:r w:rsidRPr="00DE12A3">
        <w:rPr>
          <w:rFonts w:eastAsia="Times New Roman" w:cs="Times New Roman"/>
          <w:color w:val="auto"/>
          <w:spacing w:val="3"/>
          <w:lang w:eastAsia="en-US"/>
        </w:rPr>
        <w:t>'in doğru bir şekilde ölçülmesini sağlamak için en azından yeterli miktarda C</w:t>
      </w:r>
      <w:r w:rsidRPr="00DE12A3">
        <w:rPr>
          <w:rFonts w:eastAsia="Times New Roman" w:cs="Times New Roman"/>
          <w:color w:val="auto"/>
          <w:spacing w:val="3"/>
          <w:vertAlign w:val="subscript"/>
          <w:lang w:eastAsia="en-US"/>
        </w:rPr>
        <w:t>3</w:t>
      </w:r>
      <w:r w:rsidRPr="00DE12A3">
        <w:rPr>
          <w:rFonts w:eastAsia="Times New Roman" w:cs="Times New Roman"/>
          <w:color w:val="auto"/>
          <w:spacing w:val="3"/>
          <w:lang w:eastAsia="en-US"/>
        </w:rPr>
        <w:t>H</w:t>
      </w:r>
      <w:r w:rsidRPr="00DE12A3">
        <w:rPr>
          <w:rFonts w:eastAsia="Times New Roman" w:cs="Times New Roman"/>
          <w:color w:val="auto"/>
          <w:spacing w:val="3"/>
          <w:vertAlign w:val="subscript"/>
          <w:lang w:eastAsia="en-US"/>
        </w:rPr>
        <w:t>8</w:t>
      </w:r>
      <w:r w:rsidRPr="00DE12A3">
        <w:rPr>
          <w:rFonts w:eastAsia="Times New Roman" w:cs="Times New Roman"/>
          <w:color w:val="auto"/>
          <w:spacing w:val="3"/>
          <w:lang w:eastAsia="en-US"/>
        </w:rPr>
        <w:t xml:space="preserve"> serbest bırakılıncaya kadar C</w:t>
      </w:r>
      <w:r w:rsidRPr="00DE12A3">
        <w:rPr>
          <w:rFonts w:eastAsia="Times New Roman" w:cs="Times New Roman"/>
          <w:color w:val="auto"/>
          <w:spacing w:val="3"/>
          <w:vertAlign w:val="subscript"/>
          <w:lang w:eastAsia="en-US"/>
        </w:rPr>
        <w:t>3</w:t>
      </w:r>
      <w:r w:rsidRPr="00DE12A3">
        <w:rPr>
          <w:rFonts w:eastAsia="Times New Roman" w:cs="Times New Roman"/>
          <w:color w:val="auto"/>
          <w:spacing w:val="3"/>
          <w:lang w:eastAsia="en-US"/>
        </w:rPr>
        <w:t>H</w:t>
      </w:r>
      <w:r w:rsidRPr="00DE12A3">
        <w:rPr>
          <w:rFonts w:eastAsia="Times New Roman" w:cs="Times New Roman"/>
          <w:color w:val="auto"/>
          <w:spacing w:val="3"/>
          <w:vertAlign w:val="subscript"/>
          <w:lang w:eastAsia="en-US"/>
        </w:rPr>
        <w:t>8</w:t>
      </w:r>
      <w:r w:rsidRPr="00DE12A3">
        <w:rPr>
          <w:rFonts w:eastAsia="Times New Roman" w:cs="Times New Roman"/>
          <w:color w:val="auto"/>
          <w:spacing w:val="3"/>
          <w:lang w:eastAsia="en-US"/>
        </w:rPr>
        <w:t xml:space="preserve"> serbest bırakılmaya devam etmelidir</w:t>
      </w:r>
      <w:r w:rsidR="00DF78A3" w:rsidRPr="00DE12A3">
        <w:rPr>
          <w:rFonts w:eastAsia="Times New Roman" w:cs="Times New Roman"/>
          <w:color w:val="auto"/>
          <w:spacing w:val="3"/>
          <w:lang w:eastAsia="en-US"/>
        </w:rPr>
        <w:t>.</w:t>
      </w:r>
    </w:p>
    <w:p w14:paraId="5026990E" w14:textId="512A91CF" w:rsidR="002D7B36" w:rsidRPr="00DE12A3" w:rsidRDefault="00242DA0" w:rsidP="00E20716">
      <w:pPr>
        <w:numPr>
          <w:ilvl w:val="0"/>
          <w:numId w:val="231"/>
        </w:numPr>
        <w:spacing w:before="120" w:after="120"/>
        <w:ind w:left="2268" w:hanging="567"/>
        <w:jc w:val="both"/>
        <w:rPr>
          <w:rFonts w:eastAsia="Times New Roman" w:cs="Times New Roman"/>
          <w:color w:val="auto"/>
          <w:spacing w:val="3"/>
          <w:lang w:eastAsia="en-US"/>
        </w:rPr>
      </w:pPr>
      <w:r w:rsidRPr="00DE12A3">
        <w:rPr>
          <w:rFonts w:eastAsia="Times New Roman" w:cs="Times New Roman"/>
          <w:color w:val="auto"/>
          <w:spacing w:val="3"/>
          <w:lang w:eastAsia="en-US"/>
        </w:rPr>
        <w:t>C</w:t>
      </w:r>
      <w:r w:rsidRPr="00DE12A3">
        <w:rPr>
          <w:rFonts w:eastAsia="Times New Roman" w:cs="Times New Roman"/>
          <w:color w:val="auto"/>
          <w:spacing w:val="3"/>
          <w:vertAlign w:val="subscript"/>
          <w:lang w:eastAsia="en-US"/>
        </w:rPr>
        <w:t>3</w:t>
      </w:r>
      <w:r w:rsidRPr="00DE12A3">
        <w:rPr>
          <w:rFonts w:eastAsia="Times New Roman" w:cs="Times New Roman"/>
          <w:color w:val="auto"/>
          <w:spacing w:val="3"/>
          <w:lang w:eastAsia="en-US"/>
        </w:rPr>
        <w:t>H</w:t>
      </w:r>
      <w:r w:rsidRPr="00DE12A3">
        <w:rPr>
          <w:rFonts w:eastAsia="Times New Roman" w:cs="Times New Roman"/>
          <w:color w:val="auto"/>
          <w:spacing w:val="3"/>
          <w:vertAlign w:val="subscript"/>
          <w:lang w:eastAsia="en-US"/>
        </w:rPr>
        <w:t>8</w:t>
      </w:r>
      <w:r w:rsidRPr="00DE12A3">
        <w:rPr>
          <w:rFonts w:eastAsia="Times New Roman" w:cs="Times New Roman"/>
          <w:color w:val="auto"/>
          <w:spacing w:val="3"/>
          <w:lang w:eastAsia="en-US"/>
        </w:rPr>
        <w:t xml:space="preserve"> silindiri kapatılmalı ve numune aktarımından ve analiz cihazı tepkisinden kaynaklanan gecikmeler hesaplanıncaya kadar örnekleme devam etmelidir</w:t>
      </w:r>
      <w:r w:rsidR="00DF78A3" w:rsidRPr="00DE12A3">
        <w:rPr>
          <w:rFonts w:eastAsia="Times New Roman" w:cs="Times New Roman"/>
          <w:color w:val="auto"/>
          <w:spacing w:val="3"/>
          <w:lang w:eastAsia="en-US"/>
        </w:rPr>
        <w:t>.</w:t>
      </w:r>
    </w:p>
    <w:p w14:paraId="73CA8407" w14:textId="6928A19E" w:rsidR="002D7B36" w:rsidRPr="00DE12A3" w:rsidRDefault="006A1988" w:rsidP="00E20716">
      <w:pPr>
        <w:numPr>
          <w:ilvl w:val="0"/>
          <w:numId w:val="231"/>
        </w:numPr>
        <w:spacing w:before="120" w:after="120"/>
        <w:ind w:left="2268" w:hanging="567"/>
        <w:jc w:val="both"/>
        <w:rPr>
          <w:rFonts w:eastAsia="Times New Roman" w:cs="Times New Roman"/>
          <w:color w:val="auto"/>
          <w:spacing w:val="3"/>
          <w:lang w:eastAsia="en-US"/>
        </w:rPr>
      </w:pPr>
      <w:r w:rsidRPr="00DE12A3">
        <w:rPr>
          <w:rFonts w:eastAsia="Times New Roman" w:cs="Times New Roman"/>
          <w:color w:val="auto"/>
          <w:spacing w:val="3"/>
          <w:lang w:eastAsia="en-US"/>
        </w:rPr>
        <w:t xml:space="preserve">   </w:t>
      </w:r>
      <w:r w:rsidR="00242DA0" w:rsidRPr="00DE12A3">
        <w:rPr>
          <w:rFonts w:eastAsia="Times New Roman" w:cs="Times New Roman"/>
          <w:color w:val="auto"/>
          <w:spacing w:val="3"/>
          <w:lang w:eastAsia="en-US"/>
        </w:rPr>
        <w:t>Örnekleme durdurulmalı ve tüm toplayıcılar durdurulmalıdır</w:t>
      </w:r>
      <w:r w:rsidR="00DF78A3" w:rsidRPr="00DE12A3">
        <w:rPr>
          <w:rFonts w:eastAsia="Times New Roman" w:cs="Times New Roman"/>
          <w:color w:val="auto"/>
          <w:spacing w:val="3"/>
          <w:lang w:eastAsia="en-US"/>
        </w:rPr>
        <w:t>.</w:t>
      </w:r>
    </w:p>
    <w:p w14:paraId="3B37E77F" w14:textId="1DFA074F" w:rsidR="002D7B36" w:rsidRPr="00DE12A3" w:rsidRDefault="00242DA0" w:rsidP="00E20716">
      <w:pPr>
        <w:numPr>
          <w:ilvl w:val="0"/>
          <w:numId w:val="230"/>
        </w:numPr>
        <w:spacing w:before="120" w:after="120"/>
        <w:ind w:left="1701" w:hanging="567"/>
        <w:jc w:val="both"/>
        <w:rPr>
          <w:rFonts w:eastAsia="Times New Roman" w:cs="Times New Roman"/>
          <w:color w:val="auto"/>
          <w:spacing w:val="3"/>
          <w:lang w:eastAsia="en-US"/>
        </w:rPr>
      </w:pPr>
      <w:r w:rsidRPr="00DE12A3">
        <w:rPr>
          <w:rFonts w:eastAsia="Times New Roman" w:cs="Times New Roman"/>
          <w:color w:val="auto"/>
          <w:spacing w:val="3"/>
          <w:lang w:eastAsia="en-US"/>
        </w:rPr>
        <w:t>Kritik bir akış orifisi ile yapılan ölçümün kullanılması durumunda, propan kontrolü için, 8.1.8.5.5</w:t>
      </w:r>
      <w:r w:rsidR="00DF78A3" w:rsidRPr="00DE12A3">
        <w:rPr>
          <w:rFonts w:eastAsia="Times New Roman" w:cs="Times New Roman"/>
          <w:color w:val="auto"/>
          <w:spacing w:val="3"/>
          <w:lang w:eastAsia="en-US"/>
        </w:rPr>
        <w:t xml:space="preserve"> bendinin </w:t>
      </w:r>
      <w:r w:rsidRPr="00DE12A3">
        <w:rPr>
          <w:rFonts w:eastAsia="Times New Roman" w:cs="Times New Roman"/>
          <w:color w:val="auto"/>
          <w:spacing w:val="3"/>
          <w:lang w:eastAsia="en-US"/>
        </w:rPr>
        <w:t>(a)</w:t>
      </w:r>
      <w:r w:rsidR="00DF78A3" w:rsidRPr="00DE12A3">
        <w:rPr>
          <w:rFonts w:eastAsia="Times New Roman" w:cs="Times New Roman"/>
          <w:color w:val="auto"/>
          <w:spacing w:val="3"/>
          <w:lang w:eastAsia="en-US"/>
        </w:rPr>
        <w:t xml:space="preserve"> numaralı alt</w:t>
      </w:r>
      <w:r w:rsidRPr="00DE12A3">
        <w:rPr>
          <w:rFonts w:eastAsia="Times New Roman" w:cs="Times New Roman"/>
          <w:color w:val="auto"/>
          <w:spacing w:val="3"/>
          <w:lang w:eastAsia="en-US"/>
        </w:rPr>
        <w:t xml:space="preserve"> bendindeki alternatif metod olarak aşağıdaki prosedür kullanılabilir;</w:t>
      </w:r>
    </w:p>
    <w:p w14:paraId="6AB8BCCA" w14:textId="56CD080F" w:rsidR="002D7B36" w:rsidRPr="00DE12A3" w:rsidRDefault="006A1988" w:rsidP="00E20716">
      <w:pPr>
        <w:numPr>
          <w:ilvl w:val="0"/>
          <w:numId w:val="232"/>
        </w:numPr>
        <w:spacing w:before="120" w:after="120"/>
        <w:ind w:left="2268" w:hanging="567"/>
        <w:jc w:val="both"/>
        <w:rPr>
          <w:rFonts w:eastAsia="Times New Roman" w:cs="Times New Roman"/>
          <w:color w:val="auto"/>
          <w:spacing w:val="3"/>
          <w:lang w:eastAsia="en-US"/>
        </w:rPr>
      </w:pPr>
      <w:r w:rsidRPr="00DE12A3">
        <w:rPr>
          <w:rFonts w:eastAsia="Times New Roman" w:cs="Times New Roman"/>
          <w:color w:val="auto"/>
          <w:spacing w:val="3"/>
          <w:lang w:eastAsia="en-US"/>
        </w:rPr>
        <w:t xml:space="preserve">  </w:t>
      </w:r>
      <w:r w:rsidR="00242DA0" w:rsidRPr="00DE12A3">
        <w:rPr>
          <w:rFonts w:eastAsia="Times New Roman" w:cs="Times New Roman"/>
          <w:color w:val="auto"/>
          <w:spacing w:val="3"/>
          <w:lang w:eastAsia="en-US"/>
        </w:rPr>
        <w:t>Toplu HC örneklemesi için, boşaltılan torbalar gibi temiz depolama araçları bağlanmalıdır</w:t>
      </w:r>
      <w:r w:rsidR="00DF78A3" w:rsidRPr="00DE12A3">
        <w:rPr>
          <w:rFonts w:eastAsia="Times New Roman" w:cs="Times New Roman"/>
          <w:color w:val="auto"/>
          <w:spacing w:val="3"/>
          <w:lang w:eastAsia="en-US"/>
        </w:rPr>
        <w:t>.</w:t>
      </w:r>
    </w:p>
    <w:p w14:paraId="4C2F806D" w14:textId="12BB033D" w:rsidR="002D7B36" w:rsidRPr="00DE12A3" w:rsidRDefault="006A1988" w:rsidP="00E20716">
      <w:pPr>
        <w:numPr>
          <w:ilvl w:val="0"/>
          <w:numId w:val="232"/>
        </w:numPr>
        <w:spacing w:before="120" w:after="120"/>
        <w:ind w:left="2268" w:hanging="567"/>
        <w:jc w:val="both"/>
        <w:rPr>
          <w:rFonts w:eastAsia="Times New Roman" w:cs="Times New Roman"/>
          <w:color w:val="auto"/>
          <w:spacing w:val="3"/>
          <w:lang w:eastAsia="en-US"/>
        </w:rPr>
      </w:pPr>
      <w:r w:rsidRPr="00DE12A3">
        <w:rPr>
          <w:rFonts w:eastAsia="Times New Roman" w:cs="Times New Roman"/>
          <w:color w:val="auto"/>
          <w:spacing w:val="3"/>
          <w:lang w:eastAsia="en-US"/>
        </w:rPr>
        <w:t xml:space="preserve">   </w:t>
      </w:r>
      <w:r w:rsidR="00242DA0" w:rsidRPr="00DE12A3">
        <w:rPr>
          <w:rFonts w:eastAsia="Times New Roman" w:cs="Times New Roman"/>
          <w:color w:val="auto"/>
          <w:spacing w:val="3"/>
          <w:lang w:eastAsia="en-US"/>
        </w:rPr>
        <w:t>HC ölçüm cihazları, cihaz imalatçısının talimatları uyarınca kullanılmalıdır</w:t>
      </w:r>
      <w:r w:rsidR="00DF78A3" w:rsidRPr="00DE12A3">
        <w:rPr>
          <w:rFonts w:eastAsia="Times New Roman" w:cs="Times New Roman"/>
          <w:color w:val="auto"/>
          <w:spacing w:val="3"/>
          <w:lang w:eastAsia="en-US"/>
        </w:rPr>
        <w:t>.</w:t>
      </w:r>
    </w:p>
    <w:p w14:paraId="555EB6C7" w14:textId="2B780232" w:rsidR="002D7B36" w:rsidRPr="00DE12A3" w:rsidRDefault="006A1988" w:rsidP="00E20716">
      <w:pPr>
        <w:numPr>
          <w:ilvl w:val="0"/>
          <w:numId w:val="232"/>
        </w:numPr>
        <w:spacing w:before="120" w:after="120"/>
        <w:ind w:left="2268" w:hanging="567"/>
        <w:jc w:val="both"/>
        <w:rPr>
          <w:rFonts w:eastAsia="Times New Roman" w:cs="Times New Roman"/>
          <w:color w:val="auto"/>
          <w:spacing w:val="3"/>
          <w:lang w:eastAsia="en-US"/>
        </w:rPr>
      </w:pPr>
      <w:r w:rsidRPr="00DE12A3">
        <w:rPr>
          <w:rFonts w:eastAsia="Times New Roman" w:cs="Times New Roman"/>
          <w:color w:val="auto"/>
          <w:spacing w:val="3"/>
          <w:lang w:eastAsia="en-US"/>
        </w:rPr>
        <w:t xml:space="preserve">  </w:t>
      </w:r>
      <w:r w:rsidR="00242DA0" w:rsidRPr="00DE12A3">
        <w:rPr>
          <w:rFonts w:eastAsia="Times New Roman" w:cs="Times New Roman"/>
          <w:color w:val="auto"/>
          <w:spacing w:val="3"/>
          <w:lang w:eastAsia="en-US"/>
        </w:rPr>
        <w:t>Seyreltme havası arka plan HC konsantrasyonları için düzeltme öngörülüyorsa, seyreltme havası içindeki arka plan HC ölçülmeli ve kaydedilmelidir</w:t>
      </w:r>
      <w:r w:rsidR="00DF78A3" w:rsidRPr="00DE12A3">
        <w:rPr>
          <w:rFonts w:eastAsia="Times New Roman" w:cs="Times New Roman"/>
          <w:color w:val="auto"/>
          <w:spacing w:val="3"/>
          <w:lang w:eastAsia="en-US"/>
        </w:rPr>
        <w:t>.</w:t>
      </w:r>
    </w:p>
    <w:p w14:paraId="2D96E0B0" w14:textId="35F8F322" w:rsidR="002D7B36" w:rsidRPr="00DE12A3" w:rsidRDefault="006A1988" w:rsidP="00E20716">
      <w:pPr>
        <w:numPr>
          <w:ilvl w:val="0"/>
          <w:numId w:val="232"/>
        </w:numPr>
        <w:spacing w:before="120" w:after="120"/>
        <w:ind w:left="2268" w:hanging="567"/>
        <w:jc w:val="both"/>
        <w:rPr>
          <w:rFonts w:eastAsia="Times New Roman" w:cs="Times New Roman"/>
          <w:color w:val="auto"/>
          <w:spacing w:val="3"/>
          <w:lang w:eastAsia="en-US"/>
        </w:rPr>
      </w:pPr>
      <w:r w:rsidRPr="00DE12A3">
        <w:rPr>
          <w:rFonts w:eastAsia="Times New Roman" w:cs="Times New Roman"/>
          <w:color w:val="auto"/>
          <w:spacing w:val="3"/>
          <w:lang w:eastAsia="en-US"/>
        </w:rPr>
        <w:t xml:space="preserve">  </w:t>
      </w:r>
      <w:r w:rsidR="00242DA0" w:rsidRPr="00DE12A3">
        <w:rPr>
          <w:rFonts w:eastAsia="Times New Roman" w:cs="Times New Roman"/>
          <w:color w:val="auto"/>
          <w:spacing w:val="3"/>
          <w:lang w:eastAsia="en-US"/>
        </w:rPr>
        <w:t>Tüm entegrasyon cihazları sıfırlanmalıdır</w:t>
      </w:r>
      <w:r w:rsidR="00DF78A3" w:rsidRPr="00DE12A3">
        <w:rPr>
          <w:rFonts w:eastAsia="Times New Roman" w:cs="Times New Roman"/>
          <w:color w:val="auto"/>
          <w:spacing w:val="3"/>
          <w:lang w:eastAsia="en-US"/>
        </w:rPr>
        <w:t>.</w:t>
      </w:r>
    </w:p>
    <w:p w14:paraId="10368519" w14:textId="2A943752" w:rsidR="002D7B36" w:rsidRPr="00DE12A3" w:rsidRDefault="006A1988" w:rsidP="00E20716">
      <w:pPr>
        <w:numPr>
          <w:ilvl w:val="0"/>
          <w:numId w:val="232"/>
        </w:numPr>
        <w:spacing w:before="120" w:after="120"/>
        <w:ind w:left="2268" w:hanging="567"/>
        <w:jc w:val="both"/>
        <w:rPr>
          <w:rFonts w:eastAsia="Times New Roman" w:cs="Times New Roman"/>
          <w:color w:val="auto"/>
          <w:spacing w:val="3"/>
          <w:lang w:eastAsia="en-US"/>
        </w:rPr>
      </w:pPr>
      <w:r w:rsidRPr="00DE12A3">
        <w:rPr>
          <w:rFonts w:eastAsia="Times New Roman" w:cs="Times New Roman"/>
          <w:color w:val="auto"/>
          <w:spacing w:val="3"/>
          <w:lang w:eastAsia="en-US"/>
        </w:rPr>
        <w:t xml:space="preserve">   </w:t>
      </w:r>
      <w:r w:rsidR="00242DA0" w:rsidRPr="00DE12A3">
        <w:rPr>
          <w:rFonts w:eastAsia="Times New Roman" w:cs="Times New Roman"/>
          <w:color w:val="auto"/>
          <w:spacing w:val="3"/>
          <w:lang w:eastAsia="en-US"/>
        </w:rPr>
        <w:t>C</w:t>
      </w:r>
      <w:r w:rsidR="00242DA0" w:rsidRPr="00DE12A3">
        <w:rPr>
          <w:rFonts w:eastAsia="Times New Roman" w:cs="Times New Roman"/>
          <w:color w:val="auto"/>
          <w:spacing w:val="3"/>
          <w:vertAlign w:val="subscript"/>
          <w:lang w:eastAsia="en-US"/>
        </w:rPr>
        <w:t>3</w:t>
      </w:r>
      <w:r w:rsidR="00242DA0" w:rsidRPr="00DE12A3">
        <w:rPr>
          <w:rFonts w:eastAsia="Times New Roman" w:cs="Times New Roman"/>
          <w:color w:val="auto"/>
          <w:spacing w:val="3"/>
          <w:lang w:eastAsia="en-US"/>
        </w:rPr>
        <w:t>H</w:t>
      </w:r>
      <w:r w:rsidR="00242DA0" w:rsidRPr="00DE12A3">
        <w:rPr>
          <w:rFonts w:eastAsia="Times New Roman" w:cs="Times New Roman"/>
          <w:color w:val="auto"/>
          <w:spacing w:val="3"/>
          <w:vertAlign w:val="subscript"/>
          <w:lang w:eastAsia="en-US"/>
        </w:rPr>
        <w:t>8</w:t>
      </w:r>
      <w:r w:rsidR="00242DA0" w:rsidRPr="00DE12A3">
        <w:rPr>
          <w:rFonts w:eastAsia="Times New Roman" w:cs="Times New Roman"/>
          <w:color w:val="auto"/>
          <w:spacing w:val="3"/>
          <w:lang w:eastAsia="en-US"/>
        </w:rPr>
        <w:t xml:space="preserve"> referans silindirinin içeriği, seçilen oranda serbest bırakılmalıdır</w:t>
      </w:r>
      <w:r w:rsidR="00DF78A3" w:rsidRPr="00DE12A3">
        <w:rPr>
          <w:rFonts w:eastAsia="Times New Roman" w:cs="Times New Roman"/>
          <w:color w:val="auto"/>
          <w:spacing w:val="3"/>
          <w:lang w:eastAsia="en-US"/>
        </w:rPr>
        <w:t>.</w:t>
      </w:r>
    </w:p>
    <w:p w14:paraId="169CDCA9" w14:textId="131B01B5" w:rsidR="002D7B36" w:rsidRPr="00DE12A3" w:rsidRDefault="006A1988" w:rsidP="00E20716">
      <w:pPr>
        <w:numPr>
          <w:ilvl w:val="0"/>
          <w:numId w:val="233"/>
        </w:numPr>
        <w:spacing w:before="120" w:after="120"/>
        <w:ind w:left="2268" w:hanging="567"/>
        <w:jc w:val="both"/>
        <w:rPr>
          <w:rFonts w:eastAsia="Times New Roman" w:cs="Times New Roman"/>
          <w:color w:val="auto"/>
          <w:spacing w:val="3"/>
          <w:lang w:eastAsia="en-US"/>
        </w:rPr>
      </w:pPr>
      <w:r w:rsidRPr="00DE12A3">
        <w:rPr>
          <w:rFonts w:eastAsia="Times New Roman" w:cs="Times New Roman"/>
          <w:color w:val="auto"/>
          <w:spacing w:val="3"/>
          <w:lang w:eastAsia="en-US"/>
        </w:rPr>
        <w:t xml:space="preserve">   </w:t>
      </w:r>
      <w:r w:rsidR="00242DA0" w:rsidRPr="00DE12A3">
        <w:rPr>
          <w:rFonts w:eastAsia="Times New Roman" w:cs="Times New Roman"/>
          <w:color w:val="auto"/>
          <w:spacing w:val="3"/>
          <w:lang w:eastAsia="en-US"/>
        </w:rPr>
        <w:t>Örnekleme başlamalı ve HC konsantrasyonunun dengeli olduğu doğrulandıktan sonra tüm akış toplayıcılar çalıştırılmalıdır</w:t>
      </w:r>
      <w:r w:rsidR="00DF78A3" w:rsidRPr="00DE12A3">
        <w:rPr>
          <w:rFonts w:eastAsia="Times New Roman" w:cs="Times New Roman"/>
          <w:color w:val="auto"/>
          <w:spacing w:val="3"/>
          <w:lang w:eastAsia="en-US"/>
        </w:rPr>
        <w:t>.</w:t>
      </w:r>
    </w:p>
    <w:p w14:paraId="1ACA0B4D" w14:textId="0E1D4A15" w:rsidR="002D7B36" w:rsidRPr="00DE12A3" w:rsidRDefault="006A1988" w:rsidP="00E20716">
      <w:pPr>
        <w:numPr>
          <w:ilvl w:val="0"/>
          <w:numId w:val="233"/>
        </w:numPr>
        <w:spacing w:before="120" w:after="120"/>
        <w:ind w:left="2268" w:hanging="567"/>
        <w:jc w:val="both"/>
        <w:rPr>
          <w:rFonts w:eastAsia="Times New Roman" w:cs="Times New Roman"/>
          <w:color w:val="auto"/>
          <w:spacing w:val="3"/>
          <w:lang w:eastAsia="en-US"/>
        </w:rPr>
      </w:pPr>
      <w:r w:rsidRPr="00DE12A3">
        <w:rPr>
          <w:rFonts w:eastAsia="Times New Roman" w:cs="Times New Roman"/>
          <w:color w:val="auto"/>
          <w:spacing w:val="3"/>
          <w:lang w:eastAsia="en-US"/>
        </w:rPr>
        <w:t xml:space="preserve">   </w:t>
      </w:r>
      <w:r w:rsidR="00242DA0" w:rsidRPr="00DE12A3">
        <w:rPr>
          <w:rFonts w:eastAsia="Times New Roman" w:cs="Times New Roman"/>
          <w:color w:val="auto"/>
          <w:spacing w:val="3"/>
          <w:lang w:eastAsia="en-US"/>
        </w:rPr>
        <w:t>Referans C</w:t>
      </w:r>
      <w:r w:rsidR="00242DA0" w:rsidRPr="00DE12A3">
        <w:rPr>
          <w:rFonts w:eastAsia="Times New Roman" w:cs="Times New Roman"/>
          <w:color w:val="auto"/>
          <w:spacing w:val="3"/>
          <w:vertAlign w:val="subscript"/>
          <w:lang w:eastAsia="en-US"/>
        </w:rPr>
        <w:t>3</w:t>
      </w:r>
      <w:r w:rsidR="00242DA0" w:rsidRPr="00DE12A3">
        <w:rPr>
          <w:rFonts w:eastAsia="Times New Roman" w:cs="Times New Roman"/>
          <w:color w:val="auto"/>
          <w:spacing w:val="3"/>
          <w:lang w:eastAsia="en-US"/>
        </w:rPr>
        <w:t>H</w:t>
      </w:r>
      <w:r w:rsidR="00242DA0" w:rsidRPr="00DE12A3">
        <w:rPr>
          <w:rFonts w:eastAsia="Times New Roman" w:cs="Times New Roman"/>
          <w:color w:val="auto"/>
          <w:spacing w:val="3"/>
          <w:vertAlign w:val="subscript"/>
          <w:lang w:eastAsia="en-US"/>
        </w:rPr>
        <w:t>8</w:t>
      </w:r>
      <w:r w:rsidR="00C17C59" w:rsidRPr="00DE12A3">
        <w:rPr>
          <w:rFonts w:eastAsia="Times New Roman" w:cs="Times New Roman"/>
          <w:color w:val="auto"/>
          <w:spacing w:val="3"/>
          <w:vertAlign w:val="subscript"/>
          <w:lang w:eastAsia="en-US"/>
        </w:rPr>
        <w:t xml:space="preserve"> </w:t>
      </w:r>
      <w:r w:rsidR="00242DA0" w:rsidRPr="00DE12A3">
        <w:rPr>
          <w:rFonts w:eastAsia="Times New Roman" w:cs="Times New Roman"/>
          <w:color w:val="auto"/>
          <w:spacing w:val="3"/>
          <w:lang w:eastAsia="en-US"/>
        </w:rPr>
        <w:t>ve ölçülen C</w:t>
      </w:r>
      <w:r w:rsidR="00242DA0" w:rsidRPr="00DE12A3">
        <w:rPr>
          <w:rFonts w:eastAsia="Times New Roman" w:cs="Times New Roman"/>
          <w:color w:val="auto"/>
          <w:spacing w:val="3"/>
          <w:vertAlign w:val="subscript"/>
          <w:lang w:eastAsia="en-US"/>
        </w:rPr>
        <w:t>3</w:t>
      </w:r>
      <w:r w:rsidR="00242DA0" w:rsidRPr="00DE12A3">
        <w:rPr>
          <w:rFonts w:eastAsia="Times New Roman" w:cs="Times New Roman"/>
          <w:color w:val="auto"/>
          <w:spacing w:val="3"/>
          <w:lang w:eastAsia="en-US"/>
        </w:rPr>
        <w:t>H</w:t>
      </w:r>
      <w:r w:rsidR="00242DA0" w:rsidRPr="00DE12A3">
        <w:rPr>
          <w:rFonts w:eastAsia="Times New Roman" w:cs="Times New Roman"/>
          <w:color w:val="auto"/>
          <w:spacing w:val="3"/>
          <w:vertAlign w:val="subscript"/>
          <w:lang w:eastAsia="en-US"/>
        </w:rPr>
        <w:t>8</w:t>
      </w:r>
      <w:r w:rsidR="00242DA0" w:rsidRPr="00DE12A3">
        <w:rPr>
          <w:rFonts w:eastAsia="Times New Roman" w:cs="Times New Roman"/>
          <w:color w:val="auto"/>
          <w:spacing w:val="3"/>
          <w:lang w:eastAsia="en-US"/>
        </w:rPr>
        <w:t>'in doğru bir şekilde ölçülmesini sağlamak için en azından yeterli miktarda C</w:t>
      </w:r>
      <w:r w:rsidR="00242DA0" w:rsidRPr="00DE12A3">
        <w:rPr>
          <w:rFonts w:eastAsia="Times New Roman" w:cs="Times New Roman"/>
          <w:color w:val="auto"/>
          <w:spacing w:val="3"/>
          <w:vertAlign w:val="subscript"/>
          <w:lang w:eastAsia="en-US"/>
        </w:rPr>
        <w:t>3</w:t>
      </w:r>
      <w:r w:rsidR="00242DA0" w:rsidRPr="00DE12A3">
        <w:rPr>
          <w:rFonts w:eastAsia="Times New Roman" w:cs="Times New Roman"/>
          <w:color w:val="auto"/>
          <w:spacing w:val="3"/>
          <w:lang w:eastAsia="en-US"/>
        </w:rPr>
        <w:t>H</w:t>
      </w:r>
      <w:r w:rsidR="00242DA0" w:rsidRPr="00DE12A3">
        <w:rPr>
          <w:rFonts w:eastAsia="Times New Roman" w:cs="Times New Roman"/>
          <w:color w:val="auto"/>
          <w:spacing w:val="3"/>
          <w:vertAlign w:val="subscript"/>
          <w:lang w:eastAsia="en-US"/>
        </w:rPr>
        <w:t>8</w:t>
      </w:r>
      <w:r w:rsidR="00242DA0" w:rsidRPr="00DE12A3">
        <w:rPr>
          <w:rFonts w:eastAsia="Times New Roman" w:cs="Times New Roman"/>
          <w:color w:val="auto"/>
          <w:spacing w:val="3"/>
          <w:lang w:eastAsia="en-US"/>
        </w:rPr>
        <w:t>serbest bırakılıncaya kadar silindir içeriği serbest bırakılmaya devam etmelidir</w:t>
      </w:r>
      <w:r w:rsidR="00DF78A3" w:rsidRPr="00DE12A3">
        <w:rPr>
          <w:rFonts w:eastAsia="Times New Roman" w:cs="Times New Roman"/>
          <w:color w:val="auto"/>
          <w:spacing w:val="3"/>
          <w:vertAlign w:val="subscript"/>
          <w:lang w:eastAsia="en-US"/>
        </w:rPr>
        <w:t>.</w:t>
      </w:r>
    </w:p>
    <w:p w14:paraId="54203C86" w14:textId="14AFCC7E" w:rsidR="002D7B36" w:rsidRPr="00DE12A3" w:rsidRDefault="006A1988" w:rsidP="00E20716">
      <w:pPr>
        <w:numPr>
          <w:ilvl w:val="0"/>
          <w:numId w:val="233"/>
        </w:numPr>
        <w:spacing w:before="120" w:after="120"/>
        <w:ind w:left="2268" w:hanging="567"/>
        <w:jc w:val="both"/>
        <w:rPr>
          <w:rFonts w:eastAsia="Times New Roman" w:cs="Times New Roman"/>
          <w:color w:val="auto"/>
          <w:spacing w:val="3"/>
          <w:lang w:eastAsia="en-US"/>
        </w:rPr>
      </w:pPr>
      <w:r w:rsidRPr="00DE12A3">
        <w:rPr>
          <w:rFonts w:eastAsia="Times New Roman" w:cs="Times New Roman"/>
          <w:color w:val="auto"/>
          <w:spacing w:val="3"/>
          <w:lang w:eastAsia="en-US"/>
        </w:rPr>
        <w:t xml:space="preserve">   </w:t>
      </w:r>
      <w:r w:rsidR="00242DA0" w:rsidRPr="00DE12A3">
        <w:rPr>
          <w:rFonts w:eastAsia="Times New Roman" w:cs="Times New Roman"/>
          <w:color w:val="auto"/>
          <w:spacing w:val="3"/>
          <w:lang w:eastAsia="en-US"/>
        </w:rPr>
        <w:t>Tüm toplayıcılar durdurulmalıdır</w:t>
      </w:r>
      <w:r w:rsidR="00DF78A3" w:rsidRPr="00DE12A3">
        <w:rPr>
          <w:rFonts w:eastAsia="Times New Roman" w:cs="Times New Roman"/>
          <w:color w:val="auto"/>
          <w:spacing w:val="3"/>
          <w:lang w:eastAsia="en-US"/>
        </w:rPr>
        <w:t>.</w:t>
      </w:r>
    </w:p>
    <w:p w14:paraId="73BEB951" w14:textId="77777777" w:rsidR="002D7B36" w:rsidRPr="00DE12A3" w:rsidRDefault="006A1988" w:rsidP="00E20716">
      <w:pPr>
        <w:numPr>
          <w:ilvl w:val="0"/>
          <w:numId w:val="233"/>
        </w:numPr>
        <w:spacing w:before="120" w:after="120"/>
        <w:ind w:left="2268" w:hanging="567"/>
        <w:jc w:val="both"/>
        <w:rPr>
          <w:rFonts w:eastAsia="Times New Roman" w:cs="Times New Roman"/>
          <w:color w:val="auto"/>
          <w:spacing w:val="3"/>
          <w:lang w:eastAsia="en-US"/>
        </w:rPr>
      </w:pPr>
      <w:r w:rsidRPr="00DE12A3">
        <w:rPr>
          <w:rFonts w:eastAsia="Times New Roman" w:cs="Times New Roman"/>
          <w:color w:val="auto"/>
          <w:spacing w:val="3"/>
          <w:lang w:eastAsia="en-US"/>
        </w:rPr>
        <w:t xml:space="preserve"> </w:t>
      </w:r>
      <w:r w:rsidR="00242DA0" w:rsidRPr="00DE12A3">
        <w:rPr>
          <w:rFonts w:eastAsia="Times New Roman" w:cs="Times New Roman"/>
          <w:color w:val="auto"/>
          <w:spacing w:val="3"/>
          <w:lang w:eastAsia="en-US"/>
        </w:rPr>
        <w:t>C</w:t>
      </w:r>
      <w:r w:rsidR="00242DA0" w:rsidRPr="00DE12A3">
        <w:rPr>
          <w:rFonts w:eastAsia="Times New Roman" w:cs="Times New Roman"/>
          <w:color w:val="auto"/>
          <w:spacing w:val="3"/>
          <w:vertAlign w:val="subscript"/>
          <w:lang w:eastAsia="en-US"/>
        </w:rPr>
        <w:t>3</w:t>
      </w:r>
      <w:r w:rsidR="00242DA0" w:rsidRPr="00DE12A3">
        <w:rPr>
          <w:rFonts w:eastAsia="Times New Roman" w:cs="Times New Roman"/>
          <w:color w:val="auto"/>
          <w:spacing w:val="3"/>
          <w:lang w:eastAsia="en-US"/>
        </w:rPr>
        <w:t>H</w:t>
      </w:r>
      <w:r w:rsidR="00242DA0" w:rsidRPr="00DE12A3">
        <w:rPr>
          <w:rFonts w:eastAsia="Times New Roman" w:cs="Times New Roman"/>
          <w:color w:val="auto"/>
          <w:spacing w:val="3"/>
          <w:vertAlign w:val="subscript"/>
          <w:lang w:eastAsia="en-US"/>
        </w:rPr>
        <w:t>8</w:t>
      </w:r>
      <w:r w:rsidR="00242DA0" w:rsidRPr="00DE12A3">
        <w:rPr>
          <w:rFonts w:eastAsia="Times New Roman" w:cs="Times New Roman"/>
          <w:color w:val="auto"/>
          <w:spacing w:val="3"/>
          <w:lang w:eastAsia="en-US"/>
        </w:rPr>
        <w:t>referans silindiri kapatılmalıdır.</w:t>
      </w:r>
    </w:p>
    <w:p w14:paraId="76D8540E" w14:textId="77777777" w:rsidR="002D7B36" w:rsidRPr="00DE12A3" w:rsidRDefault="006A1988" w:rsidP="00E20716">
      <w:pPr>
        <w:numPr>
          <w:ilvl w:val="0"/>
          <w:numId w:val="234"/>
        </w:numPr>
        <w:tabs>
          <w:tab w:val="right" w:pos="993"/>
        </w:tabs>
        <w:spacing w:before="120" w:after="120"/>
        <w:ind w:left="1134" w:hanging="1134"/>
        <w:jc w:val="both"/>
        <w:rPr>
          <w:rFonts w:eastAsia="Times New Roman" w:cs="Times New Roman"/>
          <w:color w:val="auto"/>
          <w:spacing w:val="3"/>
          <w:lang w:eastAsia="en-US"/>
        </w:rPr>
      </w:pPr>
      <w:r w:rsidRPr="00DE12A3">
        <w:rPr>
          <w:rFonts w:eastAsia="Times New Roman" w:cs="Times New Roman"/>
          <w:color w:val="auto"/>
          <w:spacing w:val="3"/>
          <w:lang w:eastAsia="en-US"/>
        </w:rPr>
        <w:t xml:space="preserve"> </w:t>
      </w:r>
      <w:r w:rsidR="00242DA0" w:rsidRPr="00DE12A3">
        <w:rPr>
          <w:rFonts w:eastAsia="Times New Roman" w:cs="Times New Roman"/>
          <w:color w:val="auto"/>
          <w:spacing w:val="3"/>
          <w:lang w:eastAsia="en-US"/>
        </w:rPr>
        <w:t>Propan kontrolünün değerlendirilmesi</w:t>
      </w:r>
    </w:p>
    <w:p w14:paraId="641D9232" w14:textId="77777777" w:rsidR="002D7B36" w:rsidRPr="00DE12A3" w:rsidRDefault="006A1988" w:rsidP="00C917D6">
      <w:pPr>
        <w:spacing w:before="120" w:after="120"/>
        <w:ind w:left="1134" w:hanging="1134"/>
        <w:jc w:val="both"/>
        <w:rPr>
          <w:rFonts w:eastAsia="Times New Roman" w:cs="Times New Roman"/>
          <w:color w:val="auto"/>
          <w:spacing w:val="3"/>
          <w:lang w:eastAsia="en-US"/>
        </w:rPr>
      </w:pPr>
      <w:r w:rsidRPr="00DE12A3">
        <w:rPr>
          <w:rFonts w:eastAsia="Times New Roman" w:cs="Times New Roman"/>
          <w:color w:val="auto"/>
          <w:spacing w:val="3"/>
          <w:lang w:eastAsia="en-US"/>
        </w:rPr>
        <w:t xml:space="preserve">                 </w:t>
      </w:r>
      <w:r w:rsidR="00242DA0" w:rsidRPr="00DE12A3">
        <w:rPr>
          <w:rFonts w:eastAsia="Times New Roman" w:cs="Times New Roman"/>
          <w:color w:val="auto"/>
          <w:spacing w:val="3"/>
          <w:lang w:eastAsia="en-US"/>
        </w:rPr>
        <w:t>Test sonrası prosedür aşağıdaki gibi yapılır:</w:t>
      </w:r>
    </w:p>
    <w:p w14:paraId="5D7E84C5" w14:textId="77777777" w:rsidR="002D7B36" w:rsidRPr="00DE12A3" w:rsidRDefault="006A1988" w:rsidP="00E20716">
      <w:pPr>
        <w:numPr>
          <w:ilvl w:val="0"/>
          <w:numId w:val="235"/>
        </w:numPr>
        <w:spacing w:before="120" w:after="120"/>
        <w:ind w:left="1701" w:hanging="567"/>
        <w:jc w:val="both"/>
        <w:rPr>
          <w:rFonts w:eastAsia="Times New Roman" w:cs="Times New Roman"/>
          <w:color w:val="auto"/>
          <w:spacing w:val="3"/>
          <w:lang w:eastAsia="en-US"/>
        </w:rPr>
      </w:pPr>
      <w:r w:rsidRPr="00DE12A3">
        <w:rPr>
          <w:rFonts w:eastAsia="Times New Roman" w:cs="Times New Roman"/>
          <w:color w:val="auto"/>
          <w:spacing w:val="3"/>
          <w:lang w:eastAsia="en-US"/>
        </w:rPr>
        <w:t xml:space="preserve">     </w:t>
      </w:r>
      <w:r w:rsidR="00242DA0" w:rsidRPr="00DE12A3">
        <w:rPr>
          <w:rFonts w:eastAsia="Times New Roman" w:cs="Times New Roman"/>
          <w:color w:val="auto"/>
          <w:spacing w:val="3"/>
          <w:lang w:eastAsia="en-US"/>
        </w:rPr>
        <w:t>Toplu örnekleme kullanılmışsa, toplu örnekler en kısa sürede analiz edilir;</w:t>
      </w:r>
    </w:p>
    <w:p w14:paraId="59B85607" w14:textId="77777777" w:rsidR="002D7B36" w:rsidRPr="00DE12A3" w:rsidRDefault="00242DA0" w:rsidP="00E20716">
      <w:pPr>
        <w:numPr>
          <w:ilvl w:val="0"/>
          <w:numId w:val="235"/>
        </w:numPr>
        <w:spacing w:before="120" w:after="120"/>
        <w:ind w:left="1701" w:hanging="567"/>
        <w:jc w:val="both"/>
        <w:rPr>
          <w:rFonts w:eastAsia="Times New Roman" w:cs="Times New Roman"/>
          <w:color w:val="auto"/>
          <w:spacing w:val="3"/>
          <w:lang w:eastAsia="en-US"/>
        </w:rPr>
      </w:pPr>
      <w:r w:rsidRPr="00DE12A3">
        <w:rPr>
          <w:rFonts w:eastAsia="Times New Roman" w:cs="Times New Roman"/>
          <w:color w:val="auto"/>
          <w:spacing w:val="3"/>
          <w:lang w:eastAsia="en-US"/>
        </w:rPr>
        <w:t>HC analizinden sonra kirlilik ve arkaplan aşağıdakiler bakımından düzeltilmelidir;</w:t>
      </w:r>
    </w:p>
    <w:p w14:paraId="0FC929EE" w14:textId="77777777" w:rsidR="002D7B36" w:rsidRPr="00DE12A3" w:rsidRDefault="006A1988" w:rsidP="00E20716">
      <w:pPr>
        <w:numPr>
          <w:ilvl w:val="0"/>
          <w:numId w:val="235"/>
        </w:numPr>
        <w:spacing w:before="120" w:after="120"/>
        <w:ind w:left="1701" w:hanging="567"/>
        <w:jc w:val="both"/>
        <w:rPr>
          <w:rFonts w:eastAsia="Times New Roman" w:cs="Times New Roman"/>
          <w:color w:val="auto"/>
          <w:spacing w:val="3"/>
          <w:lang w:eastAsia="en-US"/>
        </w:rPr>
      </w:pPr>
      <w:r w:rsidRPr="00DE12A3">
        <w:rPr>
          <w:rFonts w:eastAsia="Times New Roman" w:cs="Times New Roman"/>
          <w:color w:val="auto"/>
          <w:spacing w:val="3"/>
          <w:lang w:eastAsia="en-US"/>
        </w:rPr>
        <w:t xml:space="preserve">     </w:t>
      </w:r>
      <w:r w:rsidR="00242DA0" w:rsidRPr="00DE12A3">
        <w:rPr>
          <w:rFonts w:eastAsia="Times New Roman" w:cs="Times New Roman"/>
          <w:color w:val="auto"/>
          <w:spacing w:val="3"/>
          <w:lang w:eastAsia="en-US"/>
        </w:rPr>
        <w:t>CVS ve HC verileri esasında toplam C</w:t>
      </w:r>
      <w:r w:rsidR="00242DA0" w:rsidRPr="00DE12A3">
        <w:rPr>
          <w:rFonts w:eastAsia="Times New Roman" w:cs="Times New Roman"/>
          <w:color w:val="auto"/>
          <w:spacing w:val="3"/>
          <w:vertAlign w:val="subscript"/>
          <w:lang w:eastAsia="en-US"/>
        </w:rPr>
        <w:t>3</w:t>
      </w:r>
      <w:r w:rsidR="00242DA0" w:rsidRPr="00DE12A3">
        <w:rPr>
          <w:rFonts w:eastAsia="Times New Roman" w:cs="Times New Roman"/>
          <w:color w:val="auto"/>
          <w:spacing w:val="3"/>
          <w:lang w:eastAsia="en-US"/>
        </w:rPr>
        <w:t>H</w:t>
      </w:r>
      <w:r w:rsidR="00242DA0" w:rsidRPr="00DE12A3">
        <w:rPr>
          <w:rFonts w:eastAsia="Times New Roman" w:cs="Times New Roman"/>
          <w:color w:val="auto"/>
          <w:spacing w:val="3"/>
          <w:vertAlign w:val="subscript"/>
          <w:lang w:eastAsia="en-US"/>
        </w:rPr>
        <w:t>8</w:t>
      </w:r>
      <w:r w:rsidR="00242DA0" w:rsidRPr="00DE12A3">
        <w:rPr>
          <w:rFonts w:eastAsia="Times New Roman" w:cs="Times New Roman"/>
          <w:color w:val="auto"/>
          <w:spacing w:val="3"/>
          <w:lang w:eastAsia="en-US"/>
        </w:rPr>
        <w:t>kütlesi, HC'nin etkili molar kütlesi M</w:t>
      </w:r>
      <w:r w:rsidR="00242DA0" w:rsidRPr="00DE12A3">
        <w:rPr>
          <w:rFonts w:eastAsia="Times New Roman" w:cs="Times New Roman"/>
          <w:color w:val="auto"/>
          <w:spacing w:val="3"/>
          <w:vertAlign w:val="subscript"/>
          <w:lang w:eastAsia="en-US"/>
        </w:rPr>
        <w:t>HC</w:t>
      </w:r>
      <w:r w:rsidR="00242DA0" w:rsidRPr="00DE12A3">
        <w:rPr>
          <w:rFonts w:eastAsia="Times New Roman" w:cs="Times New Roman"/>
          <w:color w:val="auto"/>
          <w:spacing w:val="3"/>
          <w:lang w:eastAsia="en-US"/>
        </w:rPr>
        <w:t xml:space="preserve"> yerine, C</w:t>
      </w:r>
      <w:r w:rsidR="00242DA0" w:rsidRPr="00DE12A3">
        <w:rPr>
          <w:rFonts w:eastAsia="Times New Roman" w:cs="Times New Roman"/>
          <w:color w:val="auto"/>
          <w:spacing w:val="3"/>
          <w:vertAlign w:val="subscript"/>
          <w:lang w:eastAsia="en-US"/>
        </w:rPr>
        <w:t>3</w:t>
      </w:r>
      <w:r w:rsidR="00242DA0" w:rsidRPr="00DE12A3">
        <w:rPr>
          <w:rFonts w:eastAsia="Times New Roman" w:cs="Times New Roman"/>
          <w:color w:val="auto"/>
          <w:spacing w:val="3"/>
          <w:lang w:eastAsia="en-US"/>
        </w:rPr>
        <w:t>H</w:t>
      </w:r>
      <w:r w:rsidR="00242DA0" w:rsidRPr="00DE12A3">
        <w:rPr>
          <w:rFonts w:eastAsia="Times New Roman" w:cs="Times New Roman"/>
          <w:color w:val="auto"/>
          <w:spacing w:val="3"/>
          <w:vertAlign w:val="subscript"/>
          <w:lang w:eastAsia="en-US"/>
        </w:rPr>
        <w:t>8</w:t>
      </w:r>
      <w:r w:rsidR="00242DA0" w:rsidRPr="00DE12A3">
        <w:rPr>
          <w:rFonts w:eastAsia="Times New Roman" w:cs="Times New Roman"/>
          <w:color w:val="auto"/>
          <w:spacing w:val="3"/>
          <w:lang w:eastAsia="en-US"/>
        </w:rPr>
        <w:t>'in molar kütlesi M</w:t>
      </w:r>
      <w:r w:rsidR="00242DA0" w:rsidRPr="00DE12A3">
        <w:rPr>
          <w:rFonts w:eastAsia="Times New Roman" w:cs="Times New Roman"/>
          <w:color w:val="auto"/>
          <w:spacing w:val="3"/>
          <w:vertAlign w:val="subscript"/>
          <w:lang w:eastAsia="en-US"/>
        </w:rPr>
        <w:t>C3H8</w:t>
      </w:r>
      <w:r w:rsidR="00242DA0" w:rsidRPr="00DE12A3">
        <w:rPr>
          <w:rFonts w:eastAsia="Times New Roman" w:cs="Times New Roman"/>
          <w:color w:val="auto"/>
          <w:spacing w:val="3"/>
          <w:lang w:eastAsia="en-US"/>
        </w:rPr>
        <w:t xml:space="preserve"> kullanılarak, </w:t>
      </w:r>
      <w:r w:rsidR="00FA0678" w:rsidRPr="00DE12A3">
        <w:rPr>
          <w:rFonts w:eastAsia="Times New Roman" w:cs="Times New Roman"/>
          <w:color w:val="auto"/>
          <w:spacing w:val="3"/>
          <w:lang w:eastAsia="en-US"/>
        </w:rPr>
        <w:t>VII’nci ek</w:t>
      </w:r>
      <w:r w:rsidR="00242DA0" w:rsidRPr="00DE12A3">
        <w:rPr>
          <w:rFonts w:eastAsia="Times New Roman" w:cs="Times New Roman"/>
          <w:color w:val="auto"/>
          <w:spacing w:val="3"/>
          <w:lang w:eastAsia="en-US"/>
        </w:rPr>
        <w:t>te tarif edildiği gibi hesaplanmalıdır,</w:t>
      </w:r>
    </w:p>
    <w:p w14:paraId="335A4BB4" w14:textId="77777777" w:rsidR="002D7B36" w:rsidRPr="00DE12A3" w:rsidRDefault="00242DA0" w:rsidP="00E20716">
      <w:pPr>
        <w:numPr>
          <w:ilvl w:val="0"/>
          <w:numId w:val="235"/>
        </w:numPr>
        <w:spacing w:before="120" w:after="120"/>
        <w:ind w:left="1701" w:hanging="567"/>
        <w:jc w:val="both"/>
        <w:rPr>
          <w:rFonts w:eastAsia="Times New Roman" w:cs="Times New Roman"/>
          <w:color w:val="auto"/>
          <w:spacing w:val="3"/>
          <w:lang w:eastAsia="en-US"/>
        </w:rPr>
      </w:pPr>
      <w:r w:rsidRPr="00DE12A3">
        <w:rPr>
          <w:rFonts w:eastAsia="Times New Roman" w:cs="Times New Roman"/>
          <w:color w:val="auto"/>
          <w:spacing w:val="3"/>
          <w:lang w:eastAsia="en-US"/>
        </w:rPr>
        <w:t xml:space="preserve">Bir referans kütle (gravimetrik teknik) kullanılırsa, silindirin propan kütlesi </w:t>
      </w:r>
      <w:r w:rsidRPr="00DE12A3">
        <w:rPr>
          <w:rFonts w:eastAsia="Times New Roman" w:cs="Times New Roman"/>
          <w:color w:val="auto"/>
          <w:spacing w:val="3"/>
          <w:lang w:eastAsia="en-US"/>
        </w:rPr>
        <w:lastRenderedPageBreak/>
        <w:t xml:space="preserve">± </w:t>
      </w:r>
      <w:r w:rsidR="006A1988" w:rsidRPr="00DE12A3">
        <w:rPr>
          <w:rFonts w:eastAsia="Times New Roman" w:cs="Times New Roman"/>
          <w:color w:val="auto"/>
          <w:spacing w:val="3"/>
          <w:lang w:eastAsia="en-US"/>
        </w:rPr>
        <w:t>%0,5</w:t>
      </w:r>
      <w:r w:rsidRPr="00DE12A3">
        <w:rPr>
          <w:rFonts w:eastAsia="Times New Roman" w:cs="Times New Roman"/>
          <w:color w:val="auto"/>
          <w:spacing w:val="3"/>
          <w:lang w:eastAsia="en-US"/>
        </w:rPr>
        <w:t xml:space="preserve"> aralığı içinde belirlenmeli ve </w:t>
      </w:r>
      <w:bookmarkStart w:id="19" w:name="_Hlk22505442"/>
      <w:r w:rsidRPr="00DE12A3">
        <w:rPr>
          <w:rFonts w:eastAsia="Times New Roman" w:cs="Times New Roman"/>
          <w:color w:val="auto"/>
          <w:spacing w:val="3"/>
          <w:lang w:eastAsia="en-US"/>
        </w:rPr>
        <w:t>C</w:t>
      </w:r>
      <w:r w:rsidRPr="00DE12A3">
        <w:rPr>
          <w:rFonts w:eastAsia="Times New Roman" w:cs="Times New Roman"/>
          <w:color w:val="auto"/>
          <w:spacing w:val="3"/>
          <w:vertAlign w:val="subscript"/>
          <w:lang w:eastAsia="en-US"/>
        </w:rPr>
        <w:t>3</w:t>
      </w:r>
      <w:r w:rsidRPr="00DE12A3">
        <w:rPr>
          <w:rFonts w:eastAsia="Times New Roman" w:cs="Times New Roman"/>
          <w:color w:val="auto"/>
          <w:spacing w:val="3"/>
          <w:lang w:eastAsia="en-US"/>
        </w:rPr>
        <w:t>H</w:t>
      </w:r>
      <w:r w:rsidRPr="00DE12A3">
        <w:rPr>
          <w:rFonts w:eastAsia="Times New Roman" w:cs="Times New Roman"/>
          <w:color w:val="auto"/>
          <w:spacing w:val="3"/>
          <w:vertAlign w:val="subscript"/>
          <w:lang w:eastAsia="en-US"/>
        </w:rPr>
        <w:t>8</w:t>
      </w:r>
      <w:bookmarkEnd w:id="19"/>
      <w:r w:rsidRPr="00DE12A3">
        <w:rPr>
          <w:rFonts w:eastAsia="Times New Roman" w:cs="Times New Roman"/>
          <w:color w:val="auto"/>
          <w:spacing w:val="3"/>
          <w:lang w:eastAsia="en-US"/>
        </w:rPr>
        <w:t>referans kütlesi, tam silindir propan kütlesinden boş silindir propan kütlesi çıkarılarak belirlenmelidir. Kritik akış orifisi (kritik akış orifisi ile ölçüm) kullanılırsa, propan kütlesi, test süresi çarpı akış hızı olarak belirlenmelidir;</w:t>
      </w:r>
    </w:p>
    <w:p w14:paraId="2A1713BB" w14:textId="6B41F103" w:rsidR="002D7B36" w:rsidRPr="00DE12A3" w:rsidRDefault="006A1988" w:rsidP="00E20716">
      <w:pPr>
        <w:numPr>
          <w:ilvl w:val="0"/>
          <w:numId w:val="235"/>
        </w:numPr>
        <w:spacing w:before="120" w:after="120"/>
        <w:ind w:left="1701" w:hanging="567"/>
        <w:jc w:val="both"/>
        <w:rPr>
          <w:rFonts w:eastAsia="Times New Roman" w:cs="Times New Roman"/>
          <w:color w:val="auto"/>
          <w:spacing w:val="3"/>
          <w:lang w:eastAsia="en-US"/>
        </w:rPr>
      </w:pPr>
      <w:r w:rsidRPr="00DE12A3">
        <w:rPr>
          <w:rFonts w:eastAsia="Times New Roman" w:cs="Times New Roman"/>
          <w:color w:val="auto"/>
          <w:spacing w:val="3"/>
          <w:lang w:eastAsia="en-US"/>
        </w:rPr>
        <w:t xml:space="preserve">    </w:t>
      </w:r>
      <w:r w:rsidR="00242DA0" w:rsidRPr="00DE12A3">
        <w:rPr>
          <w:rFonts w:eastAsia="Times New Roman" w:cs="Times New Roman"/>
          <w:color w:val="auto"/>
          <w:spacing w:val="3"/>
          <w:lang w:eastAsia="en-US"/>
        </w:rPr>
        <w:t>Referans C</w:t>
      </w:r>
      <w:r w:rsidR="00242DA0" w:rsidRPr="00DE12A3">
        <w:rPr>
          <w:rFonts w:eastAsia="Times New Roman" w:cs="Times New Roman"/>
          <w:color w:val="auto"/>
          <w:spacing w:val="3"/>
          <w:vertAlign w:val="subscript"/>
          <w:lang w:eastAsia="en-US"/>
        </w:rPr>
        <w:t>3</w:t>
      </w:r>
      <w:r w:rsidR="00242DA0" w:rsidRPr="00DE12A3">
        <w:rPr>
          <w:rFonts w:eastAsia="Times New Roman" w:cs="Times New Roman"/>
          <w:color w:val="auto"/>
          <w:spacing w:val="3"/>
          <w:lang w:eastAsia="en-US"/>
        </w:rPr>
        <w:t>H</w:t>
      </w:r>
      <w:r w:rsidR="00242DA0" w:rsidRPr="00DE12A3">
        <w:rPr>
          <w:rFonts w:eastAsia="Times New Roman" w:cs="Times New Roman"/>
          <w:color w:val="auto"/>
          <w:spacing w:val="3"/>
          <w:vertAlign w:val="subscript"/>
          <w:lang w:eastAsia="en-US"/>
        </w:rPr>
        <w:t xml:space="preserve">8 </w:t>
      </w:r>
      <w:r w:rsidR="00242DA0" w:rsidRPr="00DE12A3">
        <w:rPr>
          <w:rFonts w:eastAsia="Times New Roman" w:cs="Times New Roman"/>
          <w:color w:val="auto"/>
          <w:spacing w:val="3"/>
          <w:lang w:eastAsia="en-US"/>
        </w:rPr>
        <w:t xml:space="preserve">kütlesi hesaplanan kütleden çıkarılmalıdır. Bu fark referans kütle ± </w:t>
      </w:r>
      <w:r w:rsidR="00906219" w:rsidRPr="00DE12A3">
        <w:rPr>
          <w:rFonts w:eastAsia="Times New Roman" w:cs="Times New Roman"/>
          <w:color w:val="auto"/>
          <w:spacing w:val="3"/>
          <w:lang w:eastAsia="en-US"/>
        </w:rPr>
        <w:t>%3,0</w:t>
      </w:r>
      <w:r w:rsidR="00242DA0" w:rsidRPr="00DE12A3">
        <w:rPr>
          <w:rFonts w:eastAsia="Times New Roman" w:cs="Times New Roman"/>
          <w:color w:val="auto"/>
          <w:spacing w:val="3"/>
          <w:lang w:eastAsia="en-US"/>
        </w:rPr>
        <w:t xml:space="preserve"> aralığı içinde ise CVS bu doğrulamada başarılı olur.</w:t>
      </w:r>
    </w:p>
    <w:p w14:paraId="525CB085" w14:textId="77777777" w:rsidR="002D7B36" w:rsidRPr="00DE12A3" w:rsidRDefault="00242DA0" w:rsidP="00E20716">
      <w:pPr>
        <w:numPr>
          <w:ilvl w:val="0"/>
          <w:numId w:val="234"/>
        </w:numPr>
        <w:tabs>
          <w:tab w:val="right" w:pos="1134"/>
        </w:tabs>
        <w:spacing w:before="120" w:after="120"/>
        <w:ind w:left="1134" w:hanging="1134"/>
        <w:jc w:val="both"/>
        <w:rPr>
          <w:rFonts w:eastAsia="Times New Roman" w:cs="Times New Roman"/>
          <w:color w:val="auto"/>
          <w:spacing w:val="3"/>
          <w:lang w:eastAsia="en-US"/>
        </w:rPr>
      </w:pPr>
      <w:r w:rsidRPr="00DE12A3">
        <w:rPr>
          <w:rFonts w:eastAsia="Times New Roman" w:cs="Times New Roman"/>
          <w:color w:val="auto"/>
          <w:spacing w:val="3"/>
          <w:lang w:eastAsia="en-US"/>
        </w:rPr>
        <w:t>PM sekonder seyreltme sistemi doğrulaması</w:t>
      </w:r>
    </w:p>
    <w:p w14:paraId="48ECB203" w14:textId="56397A77" w:rsidR="002D7B36" w:rsidRPr="00DE12A3" w:rsidRDefault="006A1988" w:rsidP="00C917D6">
      <w:pPr>
        <w:spacing w:before="120" w:after="120"/>
        <w:ind w:left="1134" w:hanging="1134"/>
        <w:jc w:val="both"/>
        <w:rPr>
          <w:rFonts w:eastAsia="Times New Roman" w:cs="Times New Roman"/>
          <w:color w:val="auto"/>
          <w:spacing w:val="3"/>
          <w:lang w:eastAsia="en-US"/>
        </w:rPr>
      </w:pPr>
      <w:r w:rsidRPr="00DE12A3">
        <w:rPr>
          <w:rFonts w:eastAsia="Times New Roman" w:cs="Times New Roman"/>
          <w:color w:val="auto"/>
          <w:spacing w:val="3"/>
          <w:lang w:eastAsia="en-US"/>
        </w:rPr>
        <w:t xml:space="preserve">                  </w:t>
      </w:r>
      <w:r w:rsidR="00242DA0" w:rsidRPr="00DE12A3">
        <w:rPr>
          <w:rFonts w:eastAsia="Times New Roman" w:cs="Times New Roman"/>
          <w:color w:val="auto"/>
          <w:spacing w:val="3"/>
          <w:lang w:eastAsia="en-US"/>
        </w:rPr>
        <w:t xml:space="preserve">PM sekonder seyreltme sistemini doğrulamak için propan kontrolü tekrarlanacaksa, bu doğrulama için (a) ila (d) </w:t>
      </w:r>
      <w:r w:rsidR="00DF78A3" w:rsidRPr="00DE12A3">
        <w:rPr>
          <w:rFonts w:eastAsia="Times New Roman" w:cs="Times New Roman"/>
          <w:color w:val="auto"/>
          <w:spacing w:val="3"/>
          <w:lang w:eastAsia="en-US"/>
        </w:rPr>
        <w:t xml:space="preserve">numaralı alt bentleri </w:t>
      </w:r>
      <w:r w:rsidR="00242DA0" w:rsidRPr="00DE12A3">
        <w:rPr>
          <w:rFonts w:eastAsia="Times New Roman" w:cs="Times New Roman"/>
          <w:color w:val="auto"/>
          <w:spacing w:val="3"/>
          <w:lang w:eastAsia="en-US"/>
        </w:rPr>
        <w:t>arasındaki aşağıdaki prosedür kullanılır</w:t>
      </w:r>
      <w:r w:rsidR="00DF78A3" w:rsidRPr="00DE12A3">
        <w:rPr>
          <w:rFonts w:eastAsia="Times New Roman" w:cs="Times New Roman"/>
          <w:color w:val="auto"/>
          <w:spacing w:val="3"/>
          <w:lang w:eastAsia="en-US"/>
        </w:rPr>
        <w:t>:</w:t>
      </w:r>
    </w:p>
    <w:p w14:paraId="3B75F2CF" w14:textId="3744AE7A" w:rsidR="002D7B36" w:rsidRPr="00DE12A3" w:rsidRDefault="006A1988" w:rsidP="00E20716">
      <w:pPr>
        <w:numPr>
          <w:ilvl w:val="0"/>
          <w:numId w:val="236"/>
        </w:numPr>
        <w:spacing w:before="120" w:after="120"/>
        <w:ind w:left="1701" w:hanging="567"/>
        <w:jc w:val="both"/>
        <w:rPr>
          <w:rFonts w:eastAsia="Times New Roman" w:cs="Times New Roman"/>
          <w:color w:val="auto"/>
          <w:spacing w:val="3"/>
          <w:lang w:eastAsia="en-US"/>
        </w:rPr>
      </w:pPr>
      <w:r w:rsidRPr="00DE12A3">
        <w:rPr>
          <w:rFonts w:eastAsia="Times New Roman" w:cs="Times New Roman"/>
          <w:color w:val="auto"/>
          <w:spacing w:val="3"/>
          <w:lang w:eastAsia="en-US"/>
        </w:rPr>
        <w:t xml:space="preserve">     </w:t>
      </w:r>
      <w:r w:rsidR="00242DA0" w:rsidRPr="00DE12A3">
        <w:rPr>
          <w:rFonts w:eastAsia="Times New Roman" w:cs="Times New Roman"/>
          <w:color w:val="auto"/>
          <w:spacing w:val="3"/>
          <w:lang w:eastAsia="en-US"/>
        </w:rPr>
        <w:t>HC örnekleme sistemi, toplu örnekleme cihazının depolama aracının (PM filtresi gibi) yakınından bir numune alacak şekilde yapılandırılmalıdır. Bu konumdaki mutlak basınç bir HC numunesi almak için çok düşükse, HC numunesi toplu örnekleme cihazı pompasının egzozundan alınabilir. Pompanın egzozundan numune alırken dikkatli olunmalıdır, çünkü aksi takdirde bir toplu örnekleme cihazı sayacının çıkış kısmında kabul edilebilir bir pompa kaçağı, propan kontrolünde sahte bir arızaya neden olacaktır</w:t>
      </w:r>
      <w:r w:rsidR="00DF78A3" w:rsidRPr="00DE12A3">
        <w:rPr>
          <w:rFonts w:eastAsia="Times New Roman" w:cs="Times New Roman"/>
          <w:color w:val="auto"/>
          <w:spacing w:val="3"/>
          <w:lang w:eastAsia="en-US"/>
        </w:rPr>
        <w:t>.</w:t>
      </w:r>
    </w:p>
    <w:p w14:paraId="36F0C13F" w14:textId="60E65AB5" w:rsidR="002D7B36" w:rsidRPr="00DE12A3" w:rsidRDefault="00242DA0" w:rsidP="00E20716">
      <w:pPr>
        <w:numPr>
          <w:ilvl w:val="0"/>
          <w:numId w:val="236"/>
        </w:numPr>
        <w:spacing w:before="120" w:after="120"/>
        <w:ind w:left="1701" w:hanging="567"/>
        <w:jc w:val="both"/>
        <w:rPr>
          <w:rFonts w:eastAsia="Times New Roman" w:cs="Times New Roman"/>
          <w:color w:val="auto"/>
          <w:spacing w:val="3"/>
          <w:lang w:eastAsia="en-US"/>
        </w:rPr>
      </w:pPr>
      <w:r w:rsidRPr="00DE12A3">
        <w:rPr>
          <w:rFonts w:eastAsia="Times New Roman" w:cs="Times New Roman"/>
          <w:color w:val="auto"/>
          <w:spacing w:val="3"/>
          <w:lang w:eastAsia="en-US"/>
        </w:rPr>
        <w:t>Propan kontrolü bu noktada tarif edildiği gibi tekrarlanmalı, ancak HC numunesi toplu örnekleme cihazından alınmalıdır</w:t>
      </w:r>
      <w:r w:rsidR="00DF78A3" w:rsidRPr="00DE12A3">
        <w:rPr>
          <w:rFonts w:eastAsia="Times New Roman" w:cs="Times New Roman"/>
          <w:color w:val="auto"/>
          <w:spacing w:val="3"/>
          <w:lang w:eastAsia="en-US"/>
        </w:rPr>
        <w:t>.</w:t>
      </w:r>
    </w:p>
    <w:p w14:paraId="4D3263C1" w14:textId="0032AA2C" w:rsidR="002D7B36" w:rsidRPr="00DE12A3" w:rsidRDefault="006A1988" w:rsidP="00E20716">
      <w:pPr>
        <w:numPr>
          <w:ilvl w:val="0"/>
          <w:numId w:val="236"/>
        </w:numPr>
        <w:spacing w:before="120" w:after="120"/>
        <w:ind w:left="1701" w:hanging="567"/>
        <w:jc w:val="both"/>
        <w:rPr>
          <w:rFonts w:eastAsia="Times New Roman" w:cs="Times New Roman"/>
          <w:color w:val="auto"/>
          <w:spacing w:val="3"/>
          <w:lang w:eastAsia="en-US"/>
        </w:rPr>
      </w:pPr>
      <w:r w:rsidRPr="00DE12A3">
        <w:rPr>
          <w:rFonts w:eastAsia="Times New Roman" w:cs="Times New Roman"/>
          <w:color w:val="auto"/>
          <w:spacing w:val="3"/>
          <w:lang w:eastAsia="en-US"/>
        </w:rPr>
        <w:t xml:space="preserve">     </w:t>
      </w:r>
      <w:r w:rsidR="00242DA0" w:rsidRPr="00DE12A3">
        <w:rPr>
          <w:rFonts w:eastAsia="Times New Roman" w:cs="Times New Roman"/>
          <w:color w:val="auto"/>
          <w:spacing w:val="3"/>
          <w:lang w:eastAsia="en-US"/>
        </w:rPr>
        <w:t>Toplu örnekleme cihazından kaynaklanan tüm sekonder seyreltme hesaba katılarak C</w:t>
      </w:r>
      <w:r w:rsidR="00242DA0" w:rsidRPr="00DE12A3">
        <w:rPr>
          <w:rFonts w:eastAsia="Times New Roman" w:cs="Times New Roman"/>
          <w:color w:val="auto"/>
          <w:spacing w:val="3"/>
          <w:vertAlign w:val="subscript"/>
          <w:lang w:eastAsia="en-US"/>
        </w:rPr>
        <w:t>3</w:t>
      </w:r>
      <w:r w:rsidR="00242DA0" w:rsidRPr="00DE12A3">
        <w:rPr>
          <w:rFonts w:eastAsia="Times New Roman" w:cs="Times New Roman"/>
          <w:color w:val="auto"/>
          <w:spacing w:val="3"/>
          <w:lang w:eastAsia="en-US"/>
        </w:rPr>
        <w:t>H</w:t>
      </w:r>
      <w:r w:rsidR="00242DA0" w:rsidRPr="00DE12A3">
        <w:rPr>
          <w:rFonts w:eastAsia="Times New Roman" w:cs="Times New Roman"/>
          <w:color w:val="auto"/>
          <w:spacing w:val="3"/>
          <w:vertAlign w:val="subscript"/>
          <w:lang w:eastAsia="en-US"/>
        </w:rPr>
        <w:t>8</w:t>
      </w:r>
      <w:r w:rsidR="00242DA0" w:rsidRPr="00DE12A3">
        <w:rPr>
          <w:rFonts w:eastAsia="Times New Roman" w:cs="Times New Roman"/>
          <w:color w:val="auto"/>
          <w:spacing w:val="3"/>
          <w:lang w:eastAsia="en-US"/>
        </w:rPr>
        <w:t xml:space="preserve"> kütlesi hesaplanır</w:t>
      </w:r>
      <w:r w:rsidR="00DF78A3" w:rsidRPr="00DE12A3">
        <w:rPr>
          <w:rFonts w:eastAsia="Times New Roman" w:cs="Times New Roman"/>
          <w:color w:val="auto"/>
          <w:spacing w:val="3"/>
          <w:lang w:eastAsia="en-US"/>
        </w:rPr>
        <w:t>.</w:t>
      </w:r>
    </w:p>
    <w:p w14:paraId="2129C319" w14:textId="0CEC84C7" w:rsidR="002D7B36" w:rsidRPr="00DE12A3" w:rsidRDefault="00242DA0" w:rsidP="00E20716">
      <w:pPr>
        <w:numPr>
          <w:ilvl w:val="0"/>
          <w:numId w:val="236"/>
        </w:numPr>
        <w:spacing w:before="120" w:after="120"/>
        <w:ind w:left="1701" w:hanging="567"/>
        <w:jc w:val="both"/>
        <w:rPr>
          <w:rFonts w:eastAsia="Times New Roman" w:cs="Times New Roman"/>
          <w:color w:val="auto"/>
          <w:spacing w:val="3"/>
          <w:lang w:eastAsia="en-US"/>
        </w:rPr>
      </w:pPr>
      <w:r w:rsidRPr="00DE12A3">
        <w:rPr>
          <w:rFonts w:eastAsia="Times New Roman" w:cs="Times New Roman"/>
          <w:color w:val="auto"/>
          <w:spacing w:val="3"/>
          <w:lang w:eastAsia="en-US"/>
        </w:rPr>
        <w:t>Referans C</w:t>
      </w:r>
      <w:r w:rsidRPr="00DE12A3">
        <w:rPr>
          <w:rFonts w:eastAsia="Times New Roman" w:cs="Times New Roman"/>
          <w:color w:val="auto"/>
          <w:spacing w:val="3"/>
          <w:vertAlign w:val="subscript"/>
          <w:lang w:eastAsia="en-US"/>
        </w:rPr>
        <w:t>3</w:t>
      </w:r>
      <w:r w:rsidRPr="00DE12A3">
        <w:rPr>
          <w:rFonts w:eastAsia="Times New Roman" w:cs="Times New Roman"/>
          <w:color w:val="auto"/>
          <w:spacing w:val="3"/>
          <w:lang w:eastAsia="en-US"/>
        </w:rPr>
        <w:t>H</w:t>
      </w:r>
      <w:r w:rsidRPr="00DE12A3">
        <w:rPr>
          <w:rFonts w:eastAsia="Times New Roman" w:cs="Times New Roman"/>
          <w:color w:val="auto"/>
          <w:spacing w:val="3"/>
          <w:vertAlign w:val="subscript"/>
          <w:lang w:eastAsia="en-US"/>
        </w:rPr>
        <w:t>8</w:t>
      </w:r>
      <w:r w:rsidRPr="00DE12A3">
        <w:rPr>
          <w:rFonts w:eastAsia="Times New Roman" w:cs="Times New Roman"/>
          <w:color w:val="auto"/>
          <w:spacing w:val="3"/>
          <w:lang w:eastAsia="en-US"/>
        </w:rPr>
        <w:t xml:space="preserve"> kütlesi hesaplanan kütleden çıkarılmalıdır. Bu fark, referans kütle ± </w:t>
      </w:r>
      <w:r w:rsidR="00C17C59" w:rsidRPr="00DE12A3">
        <w:rPr>
          <w:rFonts w:eastAsia="Times New Roman" w:cs="Times New Roman"/>
          <w:color w:val="auto"/>
          <w:spacing w:val="3"/>
          <w:lang w:eastAsia="en-US"/>
        </w:rPr>
        <w:t>%5</w:t>
      </w:r>
      <w:r w:rsidRPr="00DE12A3">
        <w:rPr>
          <w:rFonts w:eastAsia="Times New Roman" w:cs="Times New Roman"/>
          <w:color w:val="auto"/>
          <w:spacing w:val="3"/>
          <w:lang w:eastAsia="en-US"/>
        </w:rPr>
        <w:t xml:space="preserve"> aralığı içindeyse, toplu örnekleme cihazı bu doğrulamada başarılı olur. Aksi takdirde düzeltici adım atılmalıdır.</w:t>
      </w:r>
    </w:p>
    <w:p w14:paraId="5A2E63B5" w14:textId="77777777" w:rsidR="002D7B36" w:rsidRPr="00DE12A3" w:rsidRDefault="00242DA0" w:rsidP="00E20716">
      <w:pPr>
        <w:numPr>
          <w:ilvl w:val="0"/>
          <w:numId w:val="223"/>
        </w:numPr>
        <w:shd w:val="clear" w:color="auto" w:fill="FFFFFF"/>
        <w:spacing w:before="120" w:after="120"/>
        <w:ind w:left="1134" w:hanging="1134"/>
        <w:jc w:val="both"/>
        <w:rPr>
          <w:rFonts w:eastAsia="Times New Roman" w:cs="Times New Roman"/>
          <w:color w:val="auto"/>
          <w:spacing w:val="3"/>
          <w:lang w:eastAsia="en-US"/>
        </w:rPr>
      </w:pPr>
      <w:r w:rsidRPr="00DE12A3">
        <w:rPr>
          <w:rFonts w:eastAsia="Times New Roman" w:cs="Times New Roman"/>
          <w:color w:val="auto"/>
          <w:spacing w:val="3"/>
          <w:lang w:eastAsia="en-US"/>
        </w:rPr>
        <w:t>Kısmi akış PM ve ilgili ham egzoz gazı ölçüm sistemlerinin periyodik kalibrasyonu</w:t>
      </w:r>
    </w:p>
    <w:p w14:paraId="40B3F77D" w14:textId="77777777" w:rsidR="002D7B36" w:rsidRPr="00DE12A3" w:rsidRDefault="00242DA0" w:rsidP="00E20716">
      <w:pPr>
        <w:numPr>
          <w:ilvl w:val="0"/>
          <w:numId w:val="237"/>
        </w:numPr>
        <w:shd w:val="clear" w:color="auto" w:fill="FFFFFF"/>
        <w:spacing w:before="120" w:after="120"/>
        <w:ind w:left="1134" w:hanging="1134"/>
        <w:jc w:val="both"/>
        <w:rPr>
          <w:rFonts w:eastAsia="Times New Roman" w:cs="Times New Roman"/>
          <w:color w:val="auto"/>
          <w:spacing w:val="3"/>
          <w:lang w:eastAsia="en-US"/>
        </w:rPr>
      </w:pPr>
      <w:r w:rsidRPr="00DE12A3">
        <w:rPr>
          <w:rFonts w:eastAsia="Times New Roman" w:cs="Times New Roman"/>
          <w:color w:val="auto"/>
          <w:spacing w:val="3"/>
          <w:lang w:eastAsia="en-US"/>
        </w:rPr>
        <w:t>Diferansiyel akış ölçümüne ilişkin şartnameler</w:t>
      </w:r>
    </w:p>
    <w:p w14:paraId="532A3CFE" w14:textId="357AA34C" w:rsidR="002D7B36" w:rsidRPr="00DE12A3" w:rsidRDefault="00001978" w:rsidP="00C917D6">
      <w:pPr>
        <w:shd w:val="clear" w:color="auto" w:fill="FFFFFF"/>
        <w:spacing w:before="120" w:after="120"/>
        <w:ind w:left="1134" w:hanging="1134"/>
        <w:jc w:val="both"/>
        <w:rPr>
          <w:rFonts w:eastAsia="Times New Roman" w:cs="Times New Roman"/>
          <w:color w:val="auto"/>
          <w:spacing w:val="3"/>
          <w:lang w:eastAsia="en-US"/>
        </w:rPr>
      </w:pPr>
      <w:r w:rsidRPr="00DE12A3">
        <w:rPr>
          <w:rFonts w:eastAsia="Times New Roman" w:cs="Times New Roman"/>
          <w:color w:val="auto"/>
          <w:spacing w:val="3"/>
          <w:lang w:eastAsia="en-US"/>
        </w:rPr>
        <w:t xml:space="preserve">                  </w:t>
      </w:r>
      <w:r w:rsidR="00242DA0" w:rsidRPr="00DE12A3">
        <w:rPr>
          <w:rFonts w:eastAsia="Times New Roman" w:cs="Times New Roman"/>
          <w:color w:val="auto"/>
          <w:spacing w:val="3"/>
          <w:lang w:eastAsia="en-US"/>
        </w:rPr>
        <w:t xml:space="preserve">Orantılı bir ham egzoz gazı numunesinin alınmasına yönelik kısmi akışlı seyreltme sistemleri için, numune akış doğruluğu </w:t>
      </w:r>
      <w:r w:rsidR="00242DA0" w:rsidRPr="00DE12A3">
        <w:rPr>
          <w:rFonts w:eastAsia="Times New Roman" w:cs="Times New Roman"/>
          <w:i/>
          <w:iCs/>
          <w:color w:val="auto"/>
          <w:spacing w:val="3"/>
          <w:lang w:eastAsia="en-US"/>
        </w:rPr>
        <w:t>q</w:t>
      </w:r>
      <w:r w:rsidR="00242DA0" w:rsidRPr="00DE12A3">
        <w:rPr>
          <w:rFonts w:eastAsia="Times New Roman" w:cs="Times New Roman"/>
          <w:i/>
          <w:iCs/>
          <w:color w:val="auto"/>
          <w:spacing w:val="3"/>
          <w:vertAlign w:val="subscript"/>
          <w:lang w:eastAsia="en-US"/>
        </w:rPr>
        <w:t>mp</w:t>
      </w:r>
      <w:r w:rsidR="00242DA0" w:rsidRPr="00DE12A3">
        <w:rPr>
          <w:rFonts w:eastAsia="Times New Roman" w:cs="Times New Roman"/>
          <w:color w:val="auto"/>
          <w:spacing w:val="3"/>
          <w:lang w:eastAsia="en-US"/>
        </w:rPr>
        <w:t xml:space="preserve">, doğrudan ölçülmese de (6-20) </w:t>
      </w:r>
      <w:r w:rsidR="005E1C7E" w:rsidRPr="00DE12A3">
        <w:rPr>
          <w:color w:val="auto"/>
        </w:rPr>
        <w:t>numaralı</w:t>
      </w:r>
      <w:r w:rsidR="00242DA0" w:rsidRPr="00DE12A3">
        <w:rPr>
          <w:rFonts w:eastAsia="Times New Roman" w:cs="Times New Roman"/>
          <w:color w:val="auto"/>
          <w:spacing w:val="3"/>
          <w:lang w:eastAsia="en-US"/>
        </w:rPr>
        <w:t xml:space="preserve"> denklemde belirtilen diferansiyel akış ölçümü ile belirlenen özel bir öneme sahiptir</w:t>
      </w:r>
      <w:r w:rsidR="00DF78A3" w:rsidRPr="00DE12A3">
        <w:rPr>
          <w:rFonts w:eastAsia="Times New Roman" w:cs="Times New Roman"/>
          <w:color w:val="auto"/>
          <w:spacing w:val="3"/>
          <w:lang w:eastAsia="en-US"/>
        </w:rPr>
        <w:t>.</w:t>
      </w:r>
    </w:p>
    <w:p w14:paraId="1672BA29" w14:textId="77777777" w:rsidR="002D7B36" w:rsidRPr="00DE12A3" w:rsidRDefault="00242DA0" w:rsidP="00C917D6">
      <w:pPr>
        <w:shd w:val="clear" w:color="auto" w:fill="FFFFFF"/>
        <w:tabs>
          <w:tab w:val="right" w:pos="5670"/>
        </w:tabs>
        <w:spacing w:before="120" w:after="120"/>
        <w:ind w:left="1134" w:hanging="1134"/>
        <w:jc w:val="center"/>
        <w:rPr>
          <w:rFonts w:eastAsia="Times New Roman" w:cs="Times New Roman"/>
          <w:color w:val="auto"/>
          <w:spacing w:val="4"/>
          <w:lang w:eastAsia="en-US"/>
        </w:rPr>
      </w:pPr>
      <w:r w:rsidRPr="00DE12A3">
        <w:rPr>
          <w:rFonts w:eastAsia="Times New Roman" w:cs="Times New Roman"/>
          <w:i/>
          <w:iCs/>
          <w:color w:val="auto"/>
          <w:spacing w:val="4"/>
          <w:lang w:eastAsia="en-US"/>
        </w:rPr>
        <w:t>q</w:t>
      </w:r>
      <w:r w:rsidRPr="00DE12A3">
        <w:rPr>
          <w:rFonts w:eastAsia="Times New Roman" w:cs="Times New Roman"/>
          <w:i/>
          <w:iCs/>
          <w:color w:val="auto"/>
          <w:spacing w:val="4"/>
          <w:vertAlign w:val="subscript"/>
          <w:lang w:eastAsia="en-US"/>
        </w:rPr>
        <w:t>mp</w:t>
      </w:r>
      <w:r w:rsidRPr="00DE12A3">
        <w:rPr>
          <w:rFonts w:eastAsia="Times New Roman" w:cs="Times New Roman"/>
          <w:color w:val="auto"/>
          <w:spacing w:val="4"/>
          <w:lang w:eastAsia="en-US"/>
        </w:rPr>
        <w:t xml:space="preserve">= </w:t>
      </w:r>
      <w:r w:rsidRPr="00DE12A3">
        <w:rPr>
          <w:rFonts w:eastAsia="Times New Roman" w:cs="Times New Roman"/>
          <w:i/>
          <w:iCs/>
          <w:color w:val="auto"/>
          <w:spacing w:val="4"/>
          <w:lang w:eastAsia="en-US"/>
        </w:rPr>
        <w:t>q</w:t>
      </w:r>
      <w:r w:rsidRPr="00DE12A3">
        <w:rPr>
          <w:rFonts w:eastAsia="Times New Roman" w:cs="Times New Roman"/>
          <w:i/>
          <w:iCs/>
          <w:color w:val="auto"/>
          <w:spacing w:val="4"/>
          <w:vertAlign w:val="subscript"/>
          <w:lang w:eastAsia="en-US"/>
        </w:rPr>
        <w:t>mdew</w:t>
      </w:r>
      <w:r w:rsidRPr="00DE12A3">
        <w:rPr>
          <w:rFonts w:eastAsia="Times New Roman" w:cs="Times New Roman"/>
          <w:color w:val="auto"/>
          <w:spacing w:val="4"/>
          <w:lang w:eastAsia="en-US"/>
        </w:rPr>
        <w:t xml:space="preserve">– </w:t>
      </w:r>
      <w:r w:rsidRPr="00DE12A3">
        <w:rPr>
          <w:rFonts w:eastAsia="Times New Roman" w:cs="Times New Roman"/>
          <w:i/>
          <w:iCs/>
          <w:color w:val="auto"/>
          <w:spacing w:val="4"/>
          <w:lang w:eastAsia="en-US"/>
        </w:rPr>
        <w:t>q</w:t>
      </w:r>
      <w:r w:rsidRPr="00DE12A3">
        <w:rPr>
          <w:rFonts w:eastAsia="Times New Roman" w:cs="Times New Roman"/>
          <w:i/>
          <w:iCs/>
          <w:color w:val="auto"/>
          <w:spacing w:val="4"/>
          <w:vertAlign w:val="subscript"/>
          <w:lang w:eastAsia="en-US"/>
        </w:rPr>
        <w:t>mdw</w:t>
      </w:r>
      <w:r w:rsidRPr="00DE12A3">
        <w:rPr>
          <w:rFonts w:eastAsia="Times New Roman" w:cs="Times New Roman"/>
          <w:color w:val="auto"/>
          <w:spacing w:val="4"/>
          <w:lang w:eastAsia="en-US"/>
        </w:rPr>
        <w:tab/>
        <w:t>(6-20)</w:t>
      </w:r>
    </w:p>
    <w:p w14:paraId="4A5C8139" w14:textId="77777777" w:rsidR="002D7B36" w:rsidRPr="00DE12A3" w:rsidRDefault="00242DA0" w:rsidP="00C917D6">
      <w:pPr>
        <w:shd w:val="clear" w:color="auto" w:fill="FFFFFF"/>
        <w:spacing w:before="120" w:after="120"/>
        <w:ind w:left="1134"/>
        <w:jc w:val="both"/>
        <w:rPr>
          <w:rFonts w:eastAsia="Times New Roman" w:cs="Times New Roman"/>
          <w:color w:val="auto"/>
          <w:spacing w:val="3"/>
          <w:lang w:eastAsia="en-US"/>
        </w:rPr>
      </w:pPr>
      <w:r w:rsidRPr="00DE12A3">
        <w:rPr>
          <w:rFonts w:eastAsia="Times New Roman" w:cs="Times New Roman"/>
          <w:color w:val="auto"/>
          <w:spacing w:val="3"/>
          <w:lang w:eastAsia="en-US"/>
        </w:rPr>
        <w:t>Burada:</w:t>
      </w:r>
    </w:p>
    <w:p w14:paraId="59D648BD" w14:textId="77777777" w:rsidR="002D7B36" w:rsidRPr="00DE12A3" w:rsidRDefault="00242DA0" w:rsidP="00C917D6">
      <w:pPr>
        <w:shd w:val="clear" w:color="auto" w:fill="FFFFFF"/>
        <w:tabs>
          <w:tab w:val="left" w:pos="1985"/>
          <w:tab w:val="right" w:pos="5651"/>
        </w:tabs>
        <w:spacing w:before="120" w:after="120"/>
        <w:ind w:left="1134"/>
        <w:jc w:val="both"/>
        <w:rPr>
          <w:rFonts w:eastAsia="Times New Roman" w:cs="Times New Roman"/>
          <w:color w:val="auto"/>
          <w:spacing w:val="3"/>
          <w:lang w:eastAsia="en-US"/>
        </w:rPr>
      </w:pPr>
      <w:r w:rsidRPr="00DE12A3">
        <w:rPr>
          <w:rFonts w:eastAsia="Times New Roman" w:cs="Times New Roman"/>
          <w:i/>
          <w:iCs/>
          <w:color w:val="auto"/>
          <w:spacing w:val="4"/>
          <w:shd w:val="clear" w:color="auto" w:fill="FFFFFF"/>
          <w:lang w:eastAsia="en-US"/>
        </w:rPr>
        <w:t>q</w:t>
      </w:r>
      <w:r w:rsidRPr="00DE12A3">
        <w:rPr>
          <w:rFonts w:eastAsia="Times New Roman" w:cs="Times New Roman"/>
          <w:i/>
          <w:iCs/>
          <w:color w:val="auto"/>
          <w:spacing w:val="3"/>
          <w:vertAlign w:val="subscript"/>
          <w:lang w:eastAsia="en-US"/>
        </w:rPr>
        <w:t>mp</w:t>
      </w:r>
      <w:r w:rsidRPr="00DE12A3">
        <w:rPr>
          <w:rFonts w:eastAsia="Times New Roman" w:cs="Times New Roman"/>
          <w:color w:val="auto"/>
          <w:spacing w:val="3"/>
          <w:lang w:eastAsia="en-US"/>
        </w:rPr>
        <w:tab/>
      </w:r>
      <w:r w:rsidRPr="00DE12A3">
        <w:rPr>
          <w:rFonts w:eastAsia="Times New Roman" w:cs="Times New Roman"/>
          <w:color w:val="auto"/>
          <w:spacing w:val="3"/>
          <w:lang w:eastAsia="en-US"/>
        </w:rPr>
        <w:tab/>
      </w:r>
      <w:r w:rsidR="00001978" w:rsidRPr="00DE12A3">
        <w:rPr>
          <w:rFonts w:eastAsia="Times New Roman" w:cs="Times New Roman"/>
          <w:color w:val="auto"/>
          <w:spacing w:val="3"/>
          <w:lang w:eastAsia="en-US"/>
        </w:rPr>
        <w:t>E</w:t>
      </w:r>
      <w:r w:rsidRPr="00DE12A3">
        <w:rPr>
          <w:rFonts w:eastAsia="Times New Roman" w:cs="Times New Roman"/>
          <w:color w:val="auto"/>
          <w:spacing w:val="3"/>
          <w:lang w:eastAsia="en-US"/>
        </w:rPr>
        <w:t>gzoz gazının kısmi akışlı seyreltme sistemi içine örnek kütle akış hızıdır</w:t>
      </w:r>
      <w:r w:rsidR="00CF5D85" w:rsidRPr="00DE12A3">
        <w:rPr>
          <w:rFonts w:eastAsia="Times New Roman" w:cs="Times New Roman"/>
          <w:color w:val="auto"/>
          <w:spacing w:val="3"/>
          <w:lang w:eastAsia="en-US"/>
        </w:rPr>
        <w:t>.</w:t>
      </w:r>
    </w:p>
    <w:p w14:paraId="0CB15D1F" w14:textId="77777777" w:rsidR="002D7B36" w:rsidRPr="00DE12A3" w:rsidRDefault="00242DA0" w:rsidP="00C917D6">
      <w:pPr>
        <w:shd w:val="clear" w:color="auto" w:fill="FFFFFF"/>
        <w:spacing w:before="120" w:after="120"/>
        <w:ind w:left="1134"/>
        <w:jc w:val="both"/>
        <w:rPr>
          <w:rFonts w:eastAsia="Times New Roman" w:cs="Times New Roman"/>
          <w:color w:val="auto"/>
          <w:spacing w:val="3"/>
          <w:lang w:eastAsia="en-US"/>
        </w:rPr>
      </w:pPr>
      <w:r w:rsidRPr="00DE12A3">
        <w:rPr>
          <w:rFonts w:eastAsia="Times New Roman" w:cs="Times New Roman"/>
          <w:i/>
          <w:iCs/>
          <w:color w:val="auto"/>
          <w:spacing w:val="4"/>
          <w:shd w:val="clear" w:color="auto" w:fill="FFFFFF"/>
          <w:lang w:eastAsia="en-US"/>
        </w:rPr>
        <w:t>q</w:t>
      </w:r>
      <w:r w:rsidRPr="00DE12A3">
        <w:rPr>
          <w:rFonts w:eastAsia="Times New Roman" w:cs="Times New Roman"/>
          <w:i/>
          <w:iCs/>
          <w:color w:val="auto"/>
          <w:spacing w:val="3"/>
          <w:vertAlign w:val="subscript"/>
          <w:lang w:eastAsia="en-US"/>
        </w:rPr>
        <w:t>mdw</w:t>
      </w:r>
      <w:r w:rsidRPr="00DE12A3">
        <w:rPr>
          <w:rFonts w:eastAsia="Times New Roman" w:cs="Times New Roman"/>
          <w:color w:val="auto"/>
          <w:spacing w:val="3"/>
          <w:lang w:eastAsia="en-US"/>
        </w:rPr>
        <w:tab/>
      </w:r>
      <w:r w:rsidR="00001978" w:rsidRPr="00DE12A3">
        <w:rPr>
          <w:rFonts w:eastAsia="Times New Roman" w:cs="Times New Roman"/>
          <w:color w:val="auto"/>
          <w:spacing w:val="3"/>
          <w:lang w:eastAsia="en-US"/>
        </w:rPr>
        <w:t>S</w:t>
      </w:r>
      <w:r w:rsidRPr="00DE12A3">
        <w:rPr>
          <w:rFonts w:eastAsia="Times New Roman" w:cs="Times New Roman"/>
          <w:color w:val="auto"/>
          <w:spacing w:val="3"/>
          <w:lang w:eastAsia="en-US"/>
        </w:rPr>
        <w:t>eyreltme havası kütle akış hızıdır (yaş bazda)</w:t>
      </w:r>
      <w:r w:rsidR="00CF5D85" w:rsidRPr="00DE12A3">
        <w:rPr>
          <w:rFonts w:eastAsia="Times New Roman" w:cs="Times New Roman"/>
          <w:color w:val="auto"/>
          <w:spacing w:val="3"/>
          <w:lang w:eastAsia="en-US"/>
        </w:rPr>
        <w:t>.</w:t>
      </w:r>
    </w:p>
    <w:p w14:paraId="0B4E154E" w14:textId="77777777" w:rsidR="002D7B36" w:rsidRPr="00DE12A3" w:rsidRDefault="00242DA0" w:rsidP="00C917D6">
      <w:pPr>
        <w:shd w:val="clear" w:color="auto" w:fill="FFFFFF"/>
        <w:spacing w:before="120" w:after="120"/>
        <w:ind w:left="1134"/>
        <w:jc w:val="both"/>
        <w:rPr>
          <w:rFonts w:eastAsia="Times New Roman" w:cs="Times New Roman"/>
          <w:color w:val="auto"/>
          <w:spacing w:val="3"/>
          <w:lang w:eastAsia="en-US"/>
        </w:rPr>
      </w:pPr>
      <w:r w:rsidRPr="00DE12A3">
        <w:rPr>
          <w:rFonts w:eastAsia="Times New Roman" w:cs="Times New Roman"/>
          <w:i/>
          <w:iCs/>
          <w:color w:val="auto"/>
          <w:spacing w:val="4"/>
          <w:shd w:val="clear" w:color="auto" w:fill="FFFFFF"/>
          <w:lang w:eastAsia="en-US"/>
        </w:rPr>
        <w:t>q</w:t>
      </w:r>
      <w:r w:rsidRPr="00DE12A3">
        <w:rPr>
          <w:rFonts w:eastAsia="Times New Roman" w:cs="Times New Roman"/>
          <w:i/>
          <w:iCs/>
          <w:color w:val="auto"/>
          <w:spacing w:val="3"/>
          <w:vertAlign w:val="subscript"/>
          <w:lang w:eastAsia="en-US"/>
        </w:rPr>
        <w:t>mdew</w:t>
      </w:r>
      <w:r w:rsidRPr="00DE12A3">
        <w:rPr>
          <w:rFonts w:eastAsia="Times New Roman" w:cs="Times New Roman"/>
          <w:color w:val="auto"/>
          <w:spacing w:val="3"/>
          <w:lang w:eastAsia="en-US"/>
        </w:rPr>
        <w:tab/>
      </w:r>
      <w:r w:rsidR="00001978" w:rsidRPr="00DE12A3">
        <w:rPr>
          <w:rFonts w:eastAsia="Times New Roman" w:cs="Times New Roman"/>
          <w:color w:val="auto"/>
          <w:spacing w:val="3"/>
          <w:lang w:eastAsia="en-US"/>
        </w:rPr>
        <w:t>Y</w:t>
      </w:r>
      <w:r w:rsidRPr="00DE12A3">
        <w:rPr>
          <w:rFonts w:eastAsia="Times New Roman" w:cs="Times New Roman"/>
          <w:color w:val="auto"/>
          <w:spacing w:val="3"/>
          <w:lang w:eastAsia="en-US"/>
        </w:rPr>
        <w:t>aş bazda seyreltilmiş egzoz gazı kütle akış hızıdır</w:t>
      </w:r>
      <w:r w:rsidR="00CF5D85" w:rsidRPr="00DE12A3">
        <w:rPr>
          <w:rFonts w:eastAsia="Times New Roman" w:cs="Times New Roman"/>
          <w:color w:val="auto"/>
          <w:spacing w:val="3"/>
          <w:lang w:eastAsia="en-US"/>
        </w:rPr>
        <w:t>.</w:t>
      </w:r>
    </w:p>
    <w:p w14:paraId="4D93F6CD" w14:textId="08430F16" w:rsidR="002D7B36" w:rsidRPr="00DE12A3" w:rsidRDefault="00242DA0" w:rsidP="00C917D6">
      <w:pPr>
        <w:shd w:val="clear" w:color="auto" w:fill="FFFFFF"/>
        <w:spacing w:before="120" w:after="120"/>
        <w:ind w:left="1134"/>
        <w:jc w:val="both"/>
        <w:rPr>
          <w:rFonts w:eastAsia="Times New Roman" w:cs="Times New Roman"/>
          <w:color w:val="auto"/>
          <w:spacing w:val="3"/>
          <w:lang w:eastAsia="en-US"/>
        </w:rPr>
      </w:pPr>
      <w:r w:rsidRPr="00DE12A3">
        <w:rPr>
          <w:rFonts w:eastAsia="Times New Roman" w:cs="Times New Roman"/>
          <w:color w:val="auto"/>
          <w:spacing w:val="3"/>
          <w:lang w:eastAsia="en-US"/>
        </w:rPr>
        <w:t xml:space="preserve">Bu durumda, azami fark hatası, seyreltme oranı 15'ten az olduğunda </w:t>
      </w:r>
      <w:r w:rsidRPr="00DE12A3">
        <w:rPr>
          <w:rFonts w:eastAsia="Times New Roman" w:cs="Times New Roman"/>
          <w:i/>
          <w:iCs/>
          <w:color w:val="auto"/>
          <w:spacing w:val="3"/>
          <w:lang w:eastAsia="en-US"/>
        </w:rPr>
        <w:t>q</w:t>
      </w:r>
      <w:r w:rsidRPr="00DE12A3">
        <w:rPr>
          <w:rFonts w:eastAsia="Times New Roman" w:cs="Times New Roman"/>
          <w:i/>
          <w:iCs/>
          <w:color w:val="auto"/>
          <w:spacing w:val="3"/>
          <w:vertAlign w:val="subscript"/>
          <w:lang w:eastAsia="en-US"/>
        </w:rPr>
        <w:t>mp</w:t>
      </w:r>
      <w:r w:rsidRPr="00DE12A3">
        <w:rPr>
          <w:rFonts w:eastAsia="Times New Roman" w:cs="Times New Roman"/>
          <w:color w:val="auto"/>
          <w:spacing w:val="3"/>
          <w:lang w:eastAsia="en-US"/>
        </w:rPr>
        <w:t>'nin doğruluğu ±</w:t>
      </w:r>
      <w:r w:rsidR="00C17C59" w:rsidRPr="00DE12A3">
        <w:rPr>
          <w:rFonts w:eastAsia="Times New Roman" w:cs="Times New Roman"/>
          <w:color w:val="auto"/>
          <w:spacing w:val="3"/>
          <w:lang w:eastAsia="en-US"/>
        </w:rPr>
        <w:t>%5</w:t>
      </w:r>
      <w:r w:rsidRPr="00DE12A3">
        <w:rPr>
          <w:rFonts w:eastAsia="Times New Roman" w:cs="Times New Roman"/>
          <w:color w:val="auto"/>
          <w:spacing w:val="3"/>
          <w:lang w:eastAsia="en-US"/>
        </w:rPr>
        <w:t xml:space="preserve"> aralığı içinde kalacak şekilde olmalıdır. Bu, her cihaza ait hataların ortalama kök karesi alınarak hesaplanabilir.</w:t>
      </w:r>
    </w:p>
    <w:p w14:paraId="406FE96B" w14:textId="77777777" w:rsidR="002D7B36" w:rsidRPr="00DE12A3" w:rsidRDefault="00242DA0" w:rsidP="00C917D6">
      <w:pPr>
        <w:shd w:val="clear" w:color="auto" w:fill="FFFFFF"/>
        <w:spacing w:before="120" w:after="120"/>
        <w:ind w:left="1134"/>
        <w:jc w:val="both"/>
        <w:rPr>
          <w:rFonts w:eastAsia="Times New Roman" w:cs="Times New Roman"/>
          <w:color w:val="auto"/>
          <w:spacing w:val="3"/>
          <w:lang w:eastAsia="en-US"/>
        </w:rPr>
      </w:pPr>
      <w:r w:rsidRPr="00DE12A3">
        <w:rPr>
          <w:rFonts w:eastAsia="Times New Roman" w:cs="Times New Roman"/>
          <w:i/>
          <w:iCs/>
          <w:color w:val="auto"/>
          <w:spacing w:val="3"/>
          <w:lang w:eastAsia="en-US"/>
        </w:rPr>
        <w:t>q</w:t>
      </w:r>
      <w:r w:rsidRPr="00DE12A3">
        <w:rPr>
          <w:rFonts w:eastAsia="Times New Roman" w:cs="Times New Roman"/>
          <w:i/>
          <w:iCs/>
          <w:color w:val="auto"/>
          <w:spacing w:val="3"/>
          <w:vertAlign w:val="subscript"/>
          <w:lang w:eastAsia="en-US"/>
        </w:rPr>
        <w:t>mp</w:t>
      </w:r>
      <w:r w:rsidRPr="00DE12A3">
        <w:rPr>
          <w:rFonts w:eastAsia="Times New Roman" w:cs="Times New Roman"/>
          <w:color w:val="auto"/>
          <w:spacing w:val="3"/>
          <w:lang w:eastAsia="en-US"/>
        </w:rPr>
        <w:t>'nin kabul edilebilir doğruluğu, aşağıdaki yöntemlerden biriyle elde edilebilir:</w:t>
      </w:r>
    </w:p>
    <w:p w14:paraId="205A8AA2" w14:textId="77777777" w:rsidR="002D7B36" w:rsidRPr="00DE12A3" w:rsidRDefault="00242DA0" w:rsidP="00E20716">
      <w:pPr>
        <w:numPr>
          <w:ilvl w:val="0"/>
          <w:numId w:val="238"/>
        </w:numPr>
        <w:shd w:val="clear" w:color="auto" w:fill="FFFFFF"/>
        <w:spacing w:before="120" w:after="120"/>
        <w:ind w:left="1701" w:hanging="425"/>
        <w:jc w:val="both"/>
        <w:rPr>
          <w:rFonts w:eastAsia="Times New Roman" w:cs="Times New Roman"/>
          <w:color w:val="auto"/>
          <w:spacing w:val="3"/>
          <w:lang w:eastAsia="en-US"/>
        </w:rPr>
      </w:pPr>
      <w:r w:rsidRPr="00DE12A3">
        <w:rPr>
          <w:rFonts w:eastAsia="Times New Roman" w:cs="Times New Roman"/>
          <w:i/>
          <w:iCs/>
          <w:color w:val="auto"/>
          <w:spacing w:val="3"/>
          <w:lang w:eastAsia="en-US"/>
        </w:rPr>
        <w:t>q</w:t>
      </w:r>
      <w:r w:rsidRPr="00DE12A3">
        <w:rPr>
          <w:rFonts w:eastAsia="Times New Roman" w:cs="Times New Roman"/>
          <w:i/>
          <w:iCs/>
          <w:color w:val="auto"/>
          <w:spacing w:val="3"/>
          <w:vertAlign w:val="subscript"/>
          <w:lang w:eastAsia="en-US"/>
        </w:rPr>
        <w:t>mdew</w:t>
      </w:r>
      <w:r w:rsidRPr="00DE12A3">
        <w:rPr>
          <w:rFonts w:eastAsia="Times New Roman" w:cs="Times New Roman"/>
          <w:color w:val="auto"/>
          <w:spacing w:val="3"/>
          <w:lang w:eastAsia="en-US"/>
        </w:rPr>
        <w:t xml:space="preserve"> ve </w:t>
      </w:r>
      <w:r w:rsidRPr="00DE12A3">
        <w:rPr>
          <w:rFonts w:eastAsia="Times New Roman" w:cs="Times New Roman"/>
          <w:i/>
          <w:iCs/>
          <w:color w:val="auto"/>
          <w:spacing w:val="3"/>
          <w:lang w:eastAsia="en-US"/>
        </w:rPr>
        <w:t>q</w:t>
      </w:r>
      <w:r w:rsidRPr="00DE12A3">
        <w:rPr>
          <w:rFonts w:eastAsia="Times New Roman" w:cs="Times New Roman"/>
          <w:i/>
          <w:iCs/>
          <w:color w:val="auto"/>
          <w:spacing w:val="3"/>
          <w:vertAlign w:val="subscript"/>
          <w:lang w:eastAsia="en-US"/>
        </w:rPr>
        <w:t>mdw</w:t>
      </w:r>
      <w:r w:rsidRPr="00DE12A3">
        <w:rPr>
          <w:rFonts w:eastAsia="Times New Roman" w:cs="Times New Roman"/>
          <w:color w:val="auto"/>
          <w:spacing w:val="3"/>
          <w:lang w:eastAsia="en-US"/>
        </w:rPr>
        <w:t xml:space="preserve">'nin mutlak doğrulukları ± % 0,2'dir, bu da 15'lik bir seyreltme oranında </w:t>
      </w:r>
      <w:r w:rsidRPr="00DE12A3">
        <w:rPr>
          <w:rFonts w:eastAsia="Times New Roman" w:cs="Times New Roman"/>
          <w:i/>
          <w:iCs/>
          <w:color w:val="auto"/>
          <w:spacing w:val="3"/>
          <w:lang w:eastAsia="en-US"/>
        </w:rPr>
        <w:t>q</w:t>
      </w:r>
      <w:r w:rsidRPr="00DE12A3">
        <w:rPr>
          <w:rFonts w:eastAsia="Times New Roman" w:cs="Times New Roman"/>
          <w:i/>
          <w:iCs/>
          <w:color w:val="auto"/>
          <w:spacing w:val="3"/>
          <w:vertAlign w:val="subscript"/>
          <w:lang w:eastAsia="en-US"/>
        </w:rPr>
        <w:t>mp</w:t>
      </w:r>
      <w:r w:rsidRPr="00DE12A3">
        <w:rPr>
          <w:rFonts w:eastAsia="Times New Roman" w:cs="Times New Roman"/>
          <w:color w:val="auto"/>
          <w:spacing w:val="3"/>
          <w:lang w:eastAsia="en-US"/>
        </w:rPr>
        <w:t xml:space="preserve"> ≤ % 5'lik bir doğruluğu garanti eder. Ancak daha yüksek </w:t>
      </w:r>
      <w:r w:rsidRPr="00DE12A3">
        <w:rPr>
          <w:rFonts w:eastAsia="Times New Roman" w:cs="Times New Roman"/>
          <w:color w:val="auto"/>
          <w:spacing w:val="3"/>
          <w:lang w:eastAsia="en-US"/>
        </w:rPr>
        <w:lastRenderedPageBreak/>
        <w:t>seyreltme oranlarında daha büyük hatalar ortaya çıkacaktır;</w:t>
      </w:r>
    </w:p>
    <w:p w14:paraId="4C853DBF" w14:textId="2FF478F4" w:rsidR="002D7B36" w:rsidRPr="00DE12A3" w:rsidRDefault="00242DA0" w:rsidP="00E20716">
      <w:pPr>
        <w:numPr>
          <w:ilvl w:val="0"/>
          <w:numId w:val="238"/>
        </w:numPr>
        <w:shd w:val="clear" w:color="auto" w:fill="FFFFFF"/>
        <w:spacing w:before="120" w:after="120"/>
        <w:ind w:left="1701" w:hanging="425"/>
        <w:jc w:val="both"/>
        <w:rPr>
          <w:rFonts w:eastAsia="Times New Roman" w:cs="Times New Roman"/>
          <w:color w:val="auto"/>
          <w:spacing w:val="3"/>
          <w:lang w:eastAsia="en-US"/>
        </w:rPr>
      </w:pPr>
      <w:r w:rsidRPr="00DE12A3">
        <w:rPr>
          <w:rFonts w:eastAsia="Times New Roman" w:cs="Times New Roman"/>
          <w:i/>
          <w:iCs/>
          <w:color w:val="auto"/>
          <w:spacing w:val="3"/>
          <w:lang w:eastAsia="en-US"/>
        </w:rPr>
        <w:t>q</w:t>
      </w:r>
      <w:r w:rsidRPr="00DE12A3">
        <w:rPr>
          <w:rFonts w:eastAsia="Times New Roman" w:cs="Times New Roman"/>
          <w:i/>
          <w:iCs/>
          <w:color w:val="auto"/>
          <w:spacing w:val="3"/>
          <w:vertAlign w:val="subscript"/>
          <w:lang w:eastAsia="en-US"/>
        </w:rPr>
        <w:t>mdw</w:t>
      </w:r>
      <w:r w:rsidRPr="00DE12A3">
        <w:rPr>
          <w:rFonts w:eastAsia="Times New Roman" w:cs="Times New Roman"/>
          <w:color w:val="auto"/>
          <w:spacing w:val="3"/>
          <w:lang w:eastAsia="en-US"/>
        </w:rPr>
        <w:t>'nin</w:t>
      </w:r>
      <w:r w:rsidR="00C17C59" w:rsidRPr="00DE12A3">
        <w:rPr>
          <w:rFonts w:eastAsia="Times New Roman" w:cs="Times New Roman"/>
          <w:color w:val="auto"/>
          <w:spacing w:val="3"/>
          <w:lang w:eastAsia="en-US"/>
        </w:rPr>
        <w:t xml:space="preserve"> </w:t>
      </w:r>
      <w:r w:rsidRPr="00DE12A3">
        <w:rPr>
          <w:rFonts w:eastAsia="Times New Roman" w:cs="Times New Roman"/>
          <w:i/>
          <w:iCs/>
          <w:color w:val="auto"/>
          <w:spacing w:val="3"/>
          <w:lang w:eastAsia="en-US"/>
        </w:rPr>
        <w:t>q</w:t>
      </w:r>
      <w:r w:rsidRPr="00DE12A3">
        <w:rPr>
          <w:rFonts w:eastAsia="Times New Roman" w:cs="Times New Roman"/>
          <w:i/>
          <w:iCs/>
          <w:color w:val="auto"/>
          <w:spacing w:val="3"/>
          <w:vertAlign w:val="subscript"/>
          <w:lang w:eastAsia="en-US"/>
        </w:rPr>
        <w:t>mdew</w:t>
      </w:r>
      <w:r w:rsidRPr="00DE12A3">
        <w:rPr>
          <w:rFonts w:eastAsia="Times New Roman" w:cs="Times New Roman"/>
          <w:color w:val="auto"/>
          <w:spacing w:val="3"/>
          <w:lang w:eastAsia="en-US"/>
        </w:rPr>
        <w:t xml:space="preserve">'e göre kalibrasyonu, </w:t>
      </w:r>
      <w:r w:rsidRPr="00DE12A3">
        <w:rPr>
          <w:rFonts w:eastAsia="Times New Roman" w:cs="Times New Roman"/>
          <w:i/>
          <w:iCs/>
          <w:color w:val="auto"/>
          <w:spacing w:val="3"/>
          <w:lang w:eastAsia="en-US"/>
        </w:rPr>
        <w:t>q</w:t>
      </w:r>
      <w:r w:rsidRPr="00DE12A3">
        <w:rPr>
          <w:rFonts w:eastAsia="Times New Roman" w:cs="Times New Roman"/>
          <w:i/>
          <w:iCs/>
          <w:color w:val="auto"/>
          <w:spacing w:val="3"/>
          <w:vertAlign w:val="subscript"/>
          <w:lang w:eastAsia="en-US"/>
        </w:rPr>
        <w:t>mp</w:t>
      </w:r>
      <w:r w:rsidRPr="00DE12A3">
        <w:rPr>
          <w:rFonts w:eastAsia="Times New Roman" w:cs="Times New Roman"/>
          <w:color w:val="auto"/>
          <w:spacing w:val="3"/>
          <w:lang w:eastAsia="en-US"/>
        </w:rPr>
        <w:t xml:space="preserve"> için (a) </w:t>
      </w:r>
      <w:r w:rsidR="00DF78A3" w:rsidRPr="00DE12A3">
        <w:rPr>
          <w:rFonts w:eastAsia="Times New Roman" w:cs="Times New Roman"/>
          <w:color w:val="auto"/>
          <w:spacing w:val="3"/>
          <w:lang w:eastAsia="en-US"/>
        </w:rPr>
        <w:t xml:space="preserve">numaralı alt bendindeki </w:t>
      </w:r>
      <w:r w:rsidRPr="00DE12A3">
        <w:rPr>
          <w:rFonts w:eastAsia="Times New Roman" w:cs="Times New Roman"/>
          <w:color w:val="auto"/>
          <w:spacing w:val="3"/>
          <w:lang w:eastAsia="en-US"/>
        </w:rPr>
        <w:t>yöntemlerle aynı doğruluklar elde edilecek şekilde gerçekleştirilir. Ayrıntılı bilgi için  8.1.8.6.2</w:t>
      </w:r>
      <w:r w:rsidR="00C17C59" w:rsidRPr="00DE12A3">
        <w:rPr>
          <w:rFonts w:eastAsia="Times New Roman" w:cs="Times New Roman"/>
          <w:color w:val="auto"/>
          <w:spacing w:val="3"/>
          <w:lang w:eastAsia="en-US"/>
        </w:rPr>
        <w:t xml:space="preserve"> bendine bakınız</w:t>
      </w:r>
      <w:r w:rsidR="00DF78A3" w:rsidRPr="00DE12A3">
        <w:rPr>
          <w:rFonts w:eastAsia="Times New Roman" w:cs="Times New Roman"/>
          <w:color w:val="auto"/>
          <w:spacing w:val="3"/>
          <w:lang w:eastAsia="en-US"/>
        </w:rPr>
        <w:t>.</w:t>
      </w:r>
    </w:p>
    <w:p w14:paraId="2E9E9A82" w14:textId="50D0E482" w:rsidR="002D7B36" w:rsidRPr="00DE12A3" w:rsidRDefault="00242DA0" w:rsidP="00E20716">
      <w:pPr>
        <w:numPr>
          <w:ilvl w:val="0"/>
          <w:numId w:val="238"/>
        </w:numPr>
        <w:shd w:val="clear" w:color="auto" w:fill="FFFFFF"/>
        <w:spacing w:before="120" w:after="120"/>
        <w:ind w:left="1701" w:hanging="425"/>
        <w:jc w:val="both"/>
        <w:rPr>
          <w:rFonts w:eastAsia="Times New Roman" w:cs="Times New Roman"/>
          <w:color w:val="auto"/>
          <w:spacing w:val="3"/>
          <w:lang w:eastAsia="en-US"/>
        </w:rPr>
      </w:pPr>
      <w:r w:rsidRPr="00DE12A3">
        <w:rPr>
          <w:rFonts w:eastAsia="Times New Roman" w:cs="Times New Roman"/>
          <w:i/>
          <w:iCs/>
          <w:color w:val="auto"/>
          <w:spacing w:val="3"/>
          <w:lang w:eastAsia="en-US"/>
        </w:rPr>
        <w:t>q</w:t>
      </w:r>
      <w:r w:rsidRPr="00DE12A3">
        <w:rPr>
          <w:rFonts w:eastAsia="Times New Roman" w:cs="Times New Roman"/>
          <w:i/>
          <w:iCs/>
          <w:color w:val="auto"/>
          <w:spacing w:val="3"/>
          <w:vertAlign w:val="subscript"/>
          <w:lang w:eastAsia="en-US"/>
        </w:rPr>
        <w:t>mp</w:t>
      </w:r>
      <w:r w:rsidRPr="00DE12A3">
        <w:rPr>
          <w:rFonts w:eastAsia="Times New Roman" w:cs="Times New Roman"/>
          <w:color w:val="auto"/>
          <w:spacing w:val="3"/>
          <w:lang w:eastAsia="en-US"/>
        </w:rPr>
        <w:t xml:space="preserve">'nin doğruluğu, dolaylı olarak, bir izleyici gaz, </w:t>
      </w:r>
      <w:r w:rsidR="005B014A" w:rsidRPr="00DE12A3">
        <w:rPr>
          <w:rFonts w:eastAsia="Times New Roman" w:cs="Times New Roman"/>
          <w:color w:val="auto"/>
          <w:spacing w:val="3"/>
          <w:lang w:eastAsia="en-US"/>
        </w:rPr>
        <w:t>örneğin</w:t>
      </w:r>
      <w:r w:rsidRPr="00DE12A3">
        <w:rPr>
          <w:rFonts w:eastAsia="Times New Roman" w:cs="Times New Roman"/>
          <w:color w:val="auto"/>
          <w:spacing w:val="3"/>
          <w:lang w:eastAsia="en-US"/>
        </w:rPr>
        <w:t xml:space="preserve"> CO</w:t>
      </w:r>
      <w:r w:rsidRPr="00DE12A3">
        <w:rPr>
          <w:rFonts w:eastAsia="Times New Roman" w:cs="Times New Roman"/>
          <w:color w:val="auto"/>
          <w:spacing w:val="3"/>
          <w:vertAlign w:val="subscript"/>
          <w:lang w:eastAsia="en-US"/>
        </w:rPr>
        <w:t>2</w:t>
      </w:r>
      <w:r w:rsidRPr="00DE12A3">
        <w:rPr>
          <w:rFonts w:eastAsia="Times New Roman" w:cs="Times New Roman"/>
          <w:color w:val="auto"/>
          <w:spacing w:val="3"/>
          <w:lang w:eastAsia="en-US"/>
        </w:rPr>
        <w:t xml:space="preserve"> ile belirlenen seyreltme oranının doğruluğundan belirlenir; </w:t>
      </w:r>
      <w:r w:rsidRPr="00DE12A3">
        <w:rPr>
          <w:rFonts w:eastAsia="Times New Roman" w:cs="Times New Roman"/>
          <w:i/>
          <w:iCs/>
          <w:color w:val="auto"/>
          <w:spacing w:val="3"/>
          <w:lang w:eastAsia="en-US"/>
        </w:rPr>
        <w:t>q</w:t>
      </w:r>
      <w:r w:rsidRPr="00DE12A3">
        <w:rPr>
          <w:rFonts w:eastAsia="Times New Roman" w:cs="Times New Roman"/>
          <w:i/>
          <w:iCs/>
          <w:color w:val="auto"/>
          <w:spacing w:val="3"/>
          <w:vertAlign w:val="subscript"/>
          <w:lang w:eastAsia="en-US"/>
        </w:rPr>
        <w:t>mp</w:t>
      </w:r>
      <w:r w:rsidRPr="00DE12A3">
        <w:rPr>
          <w:rFonts w:eastAsia="Times New Roman" w:cs="Times New Roman"/>
          <w:color w:val="auto"/>
          <w:spacing w:val="3"/>
          <w:lang w:eastAsia="en-US"/>
        </w:rPr>
        <w:t xml:space="preserve"> için (a) yöntemine denk doğruluklar gereklidir</w:t>
      </w:r>
      <w:r w:rsidR="00DF78A3" w:rsidRPr="00DE12A3">
        <w:rPr>
          <w:rFonts w:eastAsia="Times New Roman" w:cs="Times New Roman"/>
          <w:color w:val="auto"/>
          <w:spacing w:val="3"/>
          <w:lang w:eastAsia="en-US"/>
        </w:rPr>
        <w:t>.</w:t>
      </w:r>
    </w:p>
    <w:p w14:paraId="159A4A11" w14:textId="77777777" w:rsidR="002D7B36" w:rsidRPr="00DE12A3" w:rsidRDefault="00242DA0" w:rsidP="00E20716">
      <w:pPr>
        <w:numPr>
          <w:ilvl w:val="0"/>
          <w:numId w:val="238"/>
        </w:numPr>
        <w:shd w:val="clear" w:color="auto" w:fill="FFFFFF"/>
        <w:spacing w:before="120" w:after="120"/>
        <w:ind w:left="1701" w:hanging="425"/>
        <w:jc w:val="both"/>
        <w:rPr>
          <w:rFonts w:eastAsia="Times New Roman" w:cs="Times New Roman"/>
          <w:color w:val="auto"/>
          <w:spacing w:val="3"/>
          <w:lang w:eastAsia="en-US"/>
        </w:rPr>
      </w:pPr>
      <w:r w:rsidRPr="00DE12A3">
        <w:rPr>
          <w:rFonts w:eastAsia="Times New Roman" w:cs="Times New Roman"/>
          <w:i/>
          <w:iCs/>
          <w:color w:val="auto"/>
          <w:spacing w:val="3"/>
          <w:lang w:eastAsia="en-US"/>
        </w:rPr>
        <w:t>q</w:t>
      </w:r>
      <w:r w:rsidRPr="00DE12A3">
        <w:rPr>
          <w:rFonts w:eastAsia="Times New Roman" w:cs="Times New Roman"/>
          <w:i/>
          <w:iCs/>
          <w:color w:val="auto"/>
          <w:spacing w:val="3"/>
          <w:vertAlign w:val="subscript"/>
          <w:lang w:eastAsia="en-US"/>
        </w:rPr>
        <w:t>mdew</w:t>
      </w:r>
      <w:r w:rsidRPr="00DE12A3">
        <w:rPr>
          <w:rFonts w:eastAsia="Times New Roman" w:cs="Times New Roman"/>
          <w:color w:val="auto"/>
          <w:spacing w:val="3"/>
          <w:lang w:eastAsia="en-US"/>
        </w:rPr>
        <w:t xml:space="preserve"> ve </w:t>
      </w:r>
      <w:r w:rsidRPr="00DE12A3">
        <w:rPr>
          <w:rFonts w:eastAsia="Times New Roman" w:cs="Times New Roman"/>
          <w:i/>
          <w:iCs/>
          <w:color w:val="auto"/>
          <w:spacing w:val="3"/>
          <w:lang w:eastAsia="en-US"/>
        </w:rPr>
        <w:t>q</w:t>
      </w:r>
      <w:r w:rsidRPr="00DE12A3">
        <w:rPr>
          <w:rFonts w:eastAsia="Times New Roman" w:cs="Times New Roman"/>
          <w:i/>
          <w:iCs/>
          <w:color w:val="auto"/>
          <w:spacing w:val="3"/>
          <w:vertAlign w:val="subscript"/>
          <w:lang w:eastAsia="en-US"/>
        </w:rPr>
        <w:t>mdw</w:t>
      </w:r>
      <w:r w:rsidRPr="00DE12A3">
        <w:rPr>
          <w:rFonts w:eastAsia="Times New Roman" w:cs="Times New Roman"/>
          <w:color w:val="auto"/>
          <w:spacing w:val="3"/>
          <w:lang w:eastAsia="en-US"/>
        </w:rPr>
        <w:t xml:space="preserve">'nin mutlak doğruluğu, tam ölçek ± % 2 aralığı içindedir, </w:t>
      </w:r>
      <w:r w:rsidRPr="00DE12A3">
        <w:rPr>
          <w:rFonts w:eastAsia="Times New Roman" w:cs="Times New Roman"/>
          <w:i/>
          <w:iCs/>
          <w:color w:val="auto"/>
          <w:spacing w:val="3"/>
          <w:lang w:eastAsia="en-US"/>
        </w:rPr>
        <w:t>q</w:t>
      </w:r>
      <w:r w:rsidRPr="00DE12A3">
        <w:rPr>
          <w:rFonts w:eastAsia="Times New Roman" w:cs="Times New Roman"/>
          <w:i/>
          <w:iCs/>
          <w:color w:val="auto"/>
          <w:spacing w:val="3"/>
          <w:vertAlign w:val="subscript"/>
          <w:lang w:eastAsia="en-US"/>
        </w:rPr>
        <w:t>mdew</w:t>
      </w:r>
      <w:r w:rsidRPr="00DE12A3">
        <w:rPr>
          <w:rFonts w:eastAsia="Times New Roman" w:cs="Times New Roman"/>
          <w:color w:val="auto"/>
          <w:spacing w:val="3"/>
          <w:lang w:eastAsia="en-US"/>
        </w:rPr>
        <w:t xml:space="preserve"> ve </w:t>
      </w:r>
      <w:r w:rsidRPr="00DE12A3">
        <w:rPr>
          <w:rFonts w:eastAsia="Times New Roman" w:cs="Times New Roman"/>
          <w:i/>
          <w:iCs/>
          <w:color w:val="auto"/>
          <w:spacing w:val="3"/>
          <w:lang w:eastAsia="en-US"/>
        </w:rPr>
        <w:t>q</w:t>
      </w:r>
      <w:r w:rsidRPr="00DE12A3">
        <w:rPr>
          <w:rFonts w:eastAsia="Times New Roman" w:cs="Times New Roman"/>
          <w:i/>
          <w:iCs/>
          <w:color w:val="auto"/>
          <w:spacing w:val="3"/>
          <w:vertAlign w:val="subscript"/>
          <w:lang w:eastAsia="en-US"/>
        </w:rPr>
        <w:t>mdw</w:t>
      </w:r>
      <w:r w:rsidRPr="00DE12A3">
        <w:rPr>
          <w:rFonts w:eastAsia="Times New Roman" w:cs="Times New Roman"/>
          <w:color w:val="auto"/>
          <w:spacing w:val="3"/>
          <w:lang w:eastAsia="en-US"/>
        </w:rPr>
        <w:t xml:space="preserve"> arasındaki farkın azami hatası % 0,2 ve doğrusallık hatası da test sırasında gözlemlenen en yüksek </w:t>
      </w:r>
      <w:r w:rsidRPr="00DE12A3">
        <w:rPr>
          <w:rFonts w:eastAsia="Times New Roman" w:cs="Times New Roman"/>
          <w:i/>
          <w:iCs/>
          <w:color w:val="auto"/>
          <w:spacing w:val="3"/>
          <w:lang w:eastAsia="en-US"/>
        </w:rPr>
        <w:t>q</w:t>
      </w:r>
      <w:r w:rsidRPr="00DE12A3">
        <w:rPr>
          <w:rFonts w:eastAsia="Times New Roman" w:cs="Times New Roman"/>
          <w:i/>
          <w:iCs/>
          <w:color w:val="auto"/>
          <w:spacing w:val="3"/>
          <w:vertAlign w:val="subscript"/>
          <w:lang w:eastAsia="en-US"/>
        </w:rPr>
        <w:t>mdew</w:t>
      </w:r>
      <w:r w:rsidRPr="00DE12A3">
        <w:rPr>
          <w:rFonts w:eastAsia="Times New Roman" w:cs="Times New Roman"/>
          <w:color w:val="auto"/>
          <w:spacing w:val="3"/>
          <w:lang w:eastAsia="en-US"/>
        </w:rPr>
        <w:t xml:space="preserve"> ± % 0,2 aralığı içindedir.</w:t>
      </w:r>
    </w:p>
    <w:p w14:paraId="5B1823AC" w14:textId="77777777" w:rsidR="002D7B36" w:rsidRPr="00DE12A3" w:rsidRDefault="00242DA0" w:rsidP="00E20716">
      <w:pPr>
        <w:numPr>
          <w:ilvl w:val="0"/>
          <w:numId w:val="237"/>
        </w:numPr>
        <w:shd w:val="clear" w:color="auto" w:fill="FFFFFF"/>
        <w:spacing w:before="120" w:after="120"/>
        <w:ind w:left="1134" w:hanging="1134"/>
        <w:jc w:val="both"/>
        <w:rPr>
          <w:rFonts w:eastAsia="Times New Roman" w:cs="Times New Roman"/>
          <w:color w:val="auto"/>
          <w:spacing w:val="3"/>
          <w:lang w:eastAsia="en-US"/>
        </w:rPr>
      </w:pPr>
      <w:r w:rsidRPr="00DE12A3">
        <w:rPr>
          <w:rFonts w:eastAsia="Times New Roman" w:cs="Times New Roman"/>
          <w:color w:val="auto"/>
          <w:spacing w:val="3"/>
          <w:lang w:eastAsia="en-US"/>
        </w:rPr>
        <w:t>Diferansiyel akış ölçümünün kalibrasyonu</w:t>
      </w:r>
    </w:p>
    <w:p w14:paraId="481D71D9" w14:textId="77777777" w:rsidR="002D7B36" w:rsidRPr="00DE12A3" w:rsidRDefault="00001978" w:rsidP="00C917D6">
      <w:pPr>
        <w:shd w:val="clear" w:color="auto" w:fill="FFFFFF"/>
        <w:tabs>
          <w:tab w:val="left" w:pos="2568"/>
          <w:tab w:val="center" w:pos="3686"/>
          <w:tab w:val="right" w:pos="4915"/>
          <w:tab w:val="right" w:pos="5651"/>
        </w:tabs>
        <w:spacing w:before="120" w:after="120"/>
        <w:ind w:left="1134" w:hanging="1134"/>
        <w:jc w:val="both"/>
        <w:rPr>
          <w:rFonts w:eastAsia="Times New Roman" w:cs="Times New Roman"/>
          <w:color w:val="auto"/>
          <w:spacing w:val="3"/>
          <w:lang w:eastAsia="en-US"/>
        </w:rPr>
      </w:pPr>
      <w:r w:rsidRPr="00DE12A3">
        <w:rPr>
          <w:rFonts w:eastAsia="Times New Roman" w:cs="Times New Roman"/>
          <w:color w:val="auto"/>
          <w:spacing w:val="3"/>
          <w:lang w:eastAsia="en-US"/>
        </w:rPr>
        <w:t xml:space="preserve">                  </w:t>
      </w:r>
      <w:r w:rsidR="00242DA0" w:rsidRPr="00DE12A3">
        <w:rPr>
          <w:rFonts w:eastAsia="Times New Roman" w:cs="Times New Roman"/>
          <w:color w:val="auto"/>
          <w:spacing w:val="3"/>
          <w:lang w:eastAsia="en-US"/>
        </w:rPr>
        <w:t xml:space="preserve">Orantılı bir ham egzoz gazı numunesinin alınmasına yönelik kısmi akışlı seyreltme sistemi, uluslararası ve/veya ulusal standartlara göre takip edilebilir doğru bir sayaç ile periyodik olarak kalibre edilmelidir. Sayaç veya akış ölçüm cihazı, aşağıdaki prosedürlerden biri içinde, tünel içine sonda akışı </w:t>
      </w:r>
      <w:r w:rsidR="00242DA0" w:rsidRPr="00DE12A3">
        <w:rPr>
          <w:rFonts w:eastAsia="Times New Roman" w:cs="Times New Roman"/>
          <w:i/>
          <w:iCs/>
          <w:color w:val="auto"/>
          <w:spacing w:val="3"/>
          <w:lang w:eastAsia="en-US"/>
        </w:rPr>
        <w:t>q</w:t>
      </w:r>
      <w:r w:rsidR="00242DA0" w:rsidRPr="00DE12A3">
        <w:rPr>
          <w:rFonts w:eastAsia="Times New Roman" w:cs="Times New Roman"/>
          <w:color w:val="auto"/>
          <w:spacing w:val="3"/>
          <w:vertAlign w:val="subscript"/>
          <w:lang w:eastAsia="en-US"/>
        </w:rPr>
        <w:t>mp</w:t>
      </w:r>
      <w:r w:rsidR="00242DA0" w:rsidRPr="00DE12A3">
        <w:rPr>
          <w:rFonts w:eastAsia="Times New Roman" w:cs="Times New Roman"/>
          <w:color w:val="auto"/>
          <w:spacing w:val="3"/>
          <w:lang w:eastAsia="en-US"/>
        </w:rPr>
        <w:t xml:space="preserve">, 8.1.8.6.1 bendindeki doğruluk </w:t>
      </w:r>
      <w:r w:rsidR="0053289F" w:rsidRPr="00DE12A3">
        <w:rPr>
          <w:rFonts w:eastAsia="Times New Roman" w:cs="Times New Roman"/>
          <w:color w:val="auto"/>
          <w:spacing w:val="3"/>
          <w:lang w:eastAsia="en-US"/>
        </w:rPr>
        <w:t>gerekliliklerini</w:t>
      </w:r>
      <w:r w:rsidR="00242DA0" w:rsidRPr="00DE12A3">
        <w:rPr>
          <w:rFonts w:eastAsia="Times New Roman" w:cs="Times New Roman"/>
          <w:color w:val="auto"/>
          <w:spacing w:val="3"/>
          <w:lang w:eastAsia="en-US"/>
        </w:rPr>
        <w:t xml:space="preserve"> yerine getirecek şekilde kalibre edilmelidir.</w:t>
      </w:r>
    </w:p>
    <w:p w14:paraId="2CA56F0B" w14:textId="78DB2E15" w:rsidR="002D7B36" w:rsidRPr="00DE12A3" w:rsidRDefault="00001978" w:rsidP="00E20716">
      <w:pPr>
        <w:numPr>
          <w:ilvl w:val="0"/>
          <w:numId w:val="239"/>
        </w:numPr>
        <w:shd w:val="clear" w:color="auto" w:fill="FFFFFF"/>
        <w:spacing w:before="120" w:after="120"/>
        <w:ind w:left="1701" w:hanging="567"/>
        <w:jc w:val="both"/>
        <w:rPr>
          <w:rFonts w:eastAsia="Times New Roman" w:cs="Times New Roman"/>
          <w:color w:val="auto"/>
          <w:spacing w:val="3"/>
          <w:lang w:eastAsia="en-US"/>
        </w:rPr>
      </w:pPr>
      <w:r w:rsidRPr="00DE12A3">
        <w:rPr>
          <w:rFonts w:eastAsia="Times New Roman" w:cs="Times New Roman"/>
          <w:i/>
          <w:iCs/>
          <w:color w:val="auto"/>
          <w:spacing w:val="3"/>
          <w:lang w:eastAsia="en-US"/>
        </w:rPr>
        <w:t xml:space="preserve">      </w:t>
      </w:r>
      <w:r w:rsidR="00242DA0" w:rsidRPr="00DE12A3">
        <w:rPr>
          <w:rFonts w:eastAsia="Times New Roman" w:cs="Times New Roman"/>
          <w:i/>
          <w:iCs/>
          <w:color w:val="auto"/>
          <w:spacing w:val="3"/>
          <w:lang w:eastAsia="en-US"/>
        </w:rPr>
        <w:t>q</w:t>
      </w:r>
      <w:r w:rsidR="00242DA0" w:rsidRPr="00DE12A3">
        <w:rPr>
          <w:rFonts w:eastAsia="Times New Roman" w:cs="Times New Roman"/>
          <w:i/>
          <w:iCs/>
          <w:color w:val="auto"/>
          <w:spacing w:val="3"/>
          <w:vertAlign w:val="subscript"/>
          <w:lang w:eastAsia="en-US"/>
        </w:rPr>
        <w:t>mdw</w:t>
      </w:r>
      <w:r w:rsidR="00242DA0" w:rsidRPr="00DE12A3">
        <w:rPr>
          <w:rFonts w:eastAsia="Times New Roman" w:cs="Times New Roman"/>
          <w:color w:val="auto"/>
          <w:spacing w:val="3"/>
          <w:lang w:eastAsia="en-US"/>
        </w:rPr>
        <w:t xml:space="preserve"> için olan sayaç, </w:t>
      </w:r>
      <w:r w:rsidR="00242DA0" w:rsidRPr="00DE12A3">
        <w:rPr>
          <w:rFonts w:eastAsia="Times New Roman" w:cs="Times New Roman"/>
          <w:i/>
          <w:iCs/>
          <w:color w:val="auto"/>
          <w:spacing w:val="3"/>
          <w:lang w:eastAsia="en-US"/>
        </w:rPr>
        <w:t>q</w:t>
      </w:r>
      <w:r w:rsidR="00242DA0" w:rsidRPr="00DE12A3">
        <w:rPr>
          <w:rFonts w:eastAsia="Times New Roman" w:cs="Times New Roman"/>
          <w:color w:val="auto"/>
          <w:spacing w:val="3"/>
          <w:vertAlign w:val="subscript"/>
          <w:lang w:eastAsia="en-US"/>
        </w:rPr>
        <w:t>mdew</w:t>
      </w:r>
      <w:r w:rsidR="00242DA0" w:rsidRPr="00DE12A3">
        <w:rPr>
          <w:rFonts w:eastAsia="Times New Roman" w:cs="Times New Roman"/>
          <w:color w:val="auto"/>
          <w:spacing w:val="3"/>
          <w:lang w:eastAsia="en-US"/>
        </w:rPr>
        <w:t xml:space="preserve"> için olan sayaca seri olarak bağlanmalı, iki sayaç arasındaki fark, test sırasında kullanılan en düşük </w:t>
      </w:r>
      <w:r w:rsidR="00242DA0" w:rsidRPr="00DE12A3">
        <w:rPr>
          <w:rFonts w:eastAsia="Times New Roman" w:cs="Times New Roman"/>
          <w:i/>
          <w:iCs/>
          <w:color w:val="auto"/>
          <w:spacing w:val="3"/>
          <w:lang w:eastAsia="en-US"/>
        </w:rPr>
        <w:t>q</w:t>
      </w:r>
      <w:r w:rsidR="00242DA0" w:rsidRPr="00DE12A3">
        <w:rPr>
          <w:rFonts w:eastAsia="Times New Roman" w:cs="Times New Roman"/>
          <w:i/>
          <w:iCs/>
          <w:color w:val="auto"/>
          <w:spacing w:val="3"/>
          <w:vertAlign w:val="subscript"/>
          <w:lang w:eastAsia="en-US"/>
        </w:rPr>
        <w:t>mdw</w:t>
      </w:r>
      <w:r w:rsidR="00242DA0" w:rsidRPr="00DE12A3">
        <w:rPr>
          <w:rFonts w:eastAsia="Times New Roman" w:cs="Times New Roman"/>
          <w:color w:val="auto"/>
          <w:spacing w:val="3"/>
          <w:lang w:eastAsia="en-US"/>
        </w:rPr>
        <w:t xml:space="preserve"> değeri ile test sırasında kullanılan </w:t>
      </w:r>
      <w:r w:rsidR="00242DA0" w:rsidRPr="00DE12A3">
        <w:rPr>
          <w:rFonts w:eastAsia="Times New Roman" w:cs="Times New Roman"/>
          <w:i/>
          <w:iCs/>
          <w:color w:val="auto"/>
          <w:spacing w:val="3"/>
          <w:lang w:eastAsia="en-US"/>
        </w:rPr>
        <w:t>q</w:t>
      </w:r>
      <w:r w:rsidR="00242DA0" w:rsidRPr="00DE12A3">
        <w:rPr>
          <w:rFonts w:eastAsia="Times New Roman" w:cs="Times New Roman"/>
          <w:color w:val="auto"/>
          <w:spacing w:val="3"/>
          <w:vertAlign w:val="subscript"/>
          <w:lang w:eastAsia="en-US"/>
        </w:rPr>
        <w:t>mdew</w:t>
      </w:r>
      <w:r w:rsidR="00242DA0" w:rsidRPr="00DE12A3">
        <w:rPr>
          <w:rFonts w:eastAsia="Times New Roman" w:cs="Times New Roman"/>
          <w:color w:val="auto"/>
          <w:spacing w:val="3"/>
          <w:lang w:eastAsia="en-US"/>
        </w:rPr>
        <w:t xml:space="preserve"> değeri arasında eşit aralıklı akış değerlerine sahip en az 5 ayar noktası için kalibre edilmelidir. Seyreltme tüneli bypass edilebilir</w:t>
      </w:r>
      <w:r w:rsidR="00DF78A3" w:rsidRPr="00DE12A3">
        <w:rPr>
          <w:rFonts w:eastAsia="Times New Roman" w:cs="Times New Roman"/>
          <w:color w:val="auto"/>
          <w:spacing w:val="3"/>
          <w:lang w:eastAsia="en-US"/>
        </w:rPr>
        <w:t>.</w:t>
      </w:r>
    </w:p>
    <w:p w14:paraId="61A1D156" w14:textId="0B83DA30" w:rsidR="002D7B36" w:rsidRPr="00DE12A3" w:rsidRDefault="00242DA0" w:rsidP="00C917D6">
      <w:pPr>
        <w:tabs>
          <w:tab w:val="left" w:pos="1134"/>
        </w:tabs>
        <w:spacing w:before="120" w:after="120"/>
        <w:ind w:left="1701" w:hanging="567"/>
        <w:jc w:val="both"/>
        <w:rPr>
          <w:rFonts w:eastAsia="Times New Roman" w:cs="Times New Roman"/>
          <w:color w:val="auto"/>
          <w:spacing w:val="3"/>
          <w:lang w:eastAsia="en-US"/>
        </w:rPr>
      </w:pPr>
      <w:r w:rsidRPr="00DE12A3">
        <w:rPr>
          <w:rFonts w:eastAsia="Times New Roman" w:cs="Times New Roman"/>
          <w:color w:val="auto"/>
          <w:spacing w:val="3"/>
          <w:lang w:eastAsia="en-US"/>
        </w:rPr>
        <w:t>(b)</w:t>
      </w:r>
      <w:r w:rsidRPr="00DE12A3">
        <w:rPr>
          <w:rFonts w:eastAsia="Times New Roman" w:cs="Times New Roman"/>
          <w:color w:val="auto"/>
          <w:spacing w:val="3"/>
          <w:lang w:eastAsia="en-US"/>
        </w:rPr>
        <w:tab/>
        <w:t>Kalibre edilmiş bir akış cihazı, q</w:t>
      </w:r>
      <w:r w:rsidRPr="00DE12A3">
        <w:rPr>
          <w:rFonts w:eastAsia="Times New Roman" w:cs="Times New Roman"/>
          <w:color w:val="auto"/>
          <w:spacing w:val="3"/>
          <w:vertAlign w:val="subscript"/>
          <w:lang w:eastAsia="en-US"/>
        </w:rPr>
        <w:t>mdew</w:t>
      </w:r>
      <w:r w:rsidRPr="00DE12A3">
        <w:rPr>
          <w:rFonts w:eastAsia="Times New Roman" w:cs="Times New Roman"/>
          <w:color w:val="auto"/>
          <w:spacing w:val="3"/>
          <w:lang w:eastAsia="en-US"/>
        </w:rPr>
        <w:t xml:space="preserve"> için olan sayaca seri olarak bağlanmalı ve test için kullanılan değerin doğruluğu kontrol edilmelidir. Kalibre edilmiş akış cihazı, qmdw için olan sayaca seri olarak bağlanmalı ve test sırasında kullanılan qmdew'e göre 3 ila 15 arasında seyreltme oranına karşılık gelen en az 5 ayar için doğruluk kontrol edilmelidir</w:t>
      </w:r>
      <w:r w:rsidR="00DF78A3" w:rsidRPr="00DE12A3">
        <w:rPr>
          <w:rFonts w:eastAsia="Times New Roman" w:cs="Times New Roman"/>
          <w:color w:val="auto"/>
          <w:spacing w:val="3"/>
          <w:lang w:eastAsia="en-US"/>
        </w:rPr>
        <w:t>.</w:t>
      </w:r>
    </w:p>
    <w:p w14:paraId="17E8B001" w14:textId="5C560EF8" w:rsidR="002D7B36" w:rsidRPr="00DE12A3" w:rsidRDefault="00242DA0" w:rsidP="00C917D6">
      <w:pPr>
        <w:tabs>
          <w:tab w:val="left" w:pos="1134"/>
        </w:tabs>
        <w:spacing w:before="120" w:after="120"/>
        <w:ind w:left="1701" w:hanging="567"/>
        <w:jc w:val="both"/>
        <w:rPr>
          <w:rFonts w:eastAsia="Times New Roman" w:cs="Times New Roman"/>
          <w:color w:val="auto"/>
          <w:spacing w:val="3"/>
          <w:lang w:eastAsia="en-US"/>
        </w:rPr>
      </w:pPr>
      <w:r w:rsidRPr="00DE12A3">
        <w:rPr>
          <w:rFonts w:eastAsia="Times New Roman" w:cs="Times New Roman"/>
          <w:color w:val="auto"/>
          <w:spacing w:val="3"/>
          <w:lang w:eastAsia="en-US"/>
        </w:rPr>
        <w:t>(c)</w:t>
      </w:r>
      <w:r w:rsidRPr="00DE12A3">
        <w:rPr>
          <w:rFonts w:eastAsia="Times New Roman" w:cs="Times New Roman"/>
          <w:color w:val="auto"/>
          <w:spacing w:val="3"/>
          <w:lang w:eastAsia="en-US"/>
        </w:rPr>
        <w:tab/>
        <w:t>Aktarım hattı TL (bkz. Şekil 6.7) egzoz sisteminden ayırılmalı ve aktarım hattına, q</w:t>
      </w:r>
      <w:r w:rsidRPr="00DE12A3">
        <w:rPr>
          <w:rFonts w:eastAsia="Times New Roman" w:cs="Times New Roman"/>
          <w:color w:val="auto"/>
          <w:spacing w:val="3"/>
          <w:vertAlign w:val="subscript"/>
          <w:lang w:eastAsia="en-US"/>
        </w:rPr>
        <w:t>mp</w:t>
      </w:r>
      <w:r w:rsidRPr="00DE12A3">
        <w:rPr>
          <w:rFonts w:eastAsia="Times New Roman" w:cs="Times New Roman"/>
          <w:color w:val="auto"/>
          <w:spacing w:val="3"/>
          <w:lang w:eastAsia="en-US"/>
        </w:rPr>
        <w:t xml:space="preserve"> ölçmek için uygun aralıkla kalibre edilmiş bir akış ölçüm cihazı bağlanmalıdır. q</w:t>
      </w:r>
      <w:r w:rsidRPr="00DE12A3">
        <w:rPr>
          <w:rFonts w:eastAsia="Times New Roman" w:cs="Times New Roman"/>
          <w:color w:val="auto"/>
          <w:spacing w:val="3"/>
          <w:vertAlign w:val="subscript"/>
          <w:lang w:eastAsia="en-US"/>
        </w:rPr>
        <w:t>mdew</w:t>
      </w:r>
      <w:r w:rsidRPr="00DE12A3">
        <w:rPr>
          <w:rFonts w:eastAsia="Times New Roman" w:cs="Times New Roman"/>
          <w:color w:val="auto"/>
          <w:spacing w:val="3"/>
          <w:lang w:eastAsia="en-US"/>
        </w:rPr>
        <w:t xml:space="preserve"> test sırasında kullanılan değere ayarlanmalı ve q</w:t>
      </w:r>
      <w:r w:rsidRPr="00DE12A3">
        <w:rPr>
          <w:rFonts w:eastAsia="Times New Roman" w:cs="Times New Roman"/>
          <w:color w:val="auto"/>
          <w:spacing w:val="3"/>
          <w:vertAlign w:val="subscript"/>
          <w:lang w:eastAsia="en-US"/>
        </w:rPr>
        <w:t xml:space="preserve">mdw </w:t>
      </w:r>
      <w:r w:rsidRPr="00DE12A3">
        <w:rPr>
          <w:rFonts w:eastAsia="Times New Roman" w:cs="Times New Roman"/>
          <w:color w:val="auto"/>
          <w:spacing w:val="3"/>
          <w:lang w:eastAsia="en-US"/>
        </w:rPr>
        <w:t>sırasıyla 3 ila 15 arasındaki seyreltme oranlarına karşılık gelen en az 5 değere ayarlanmalıdır. Alternatif olarak, tünelin bypass edildiği özel bir kalibrasyon akış yolu sağlanabilir, ancak toplam ve seyreltme hava akışı, gerçek testte olduğu gibi ilgili sayaçlardan geçirilmelidir</w:t>
      </w:r>
      <w:r w:rsidR="00DF78A3" w:rsidRPr="00DE12A3">
        <w:rPr>
          <w:rFonts w:eastAsia="Times New Roman" w:cs="Times New Roman"/>
          <w:color w:val="auto"/>
          <w:spacing w:val="3"/>
          <w:lang w:eastAsia="en-US"/>
        </w:rPr>
        <w:t>.</w:t>
      </w:r>
    </w:p>
    <w:p w14:paraId="54B4CF15" w14:textId="65C57430" w:rsidR="002D7B36" w:rsidRPr="00DE12A3" w:rsidRDefault="00242DA0" w:rsidP="00C917D6">
      <w:pPr>
        <w:tabs>
          <w:tab w:val="left" w:pos="1134"/>
        </w:tabs>
        <w:spacing w:before="120" w:after="120"/>
        <w:ind w:left="1701" w:hanging="567"/>
        <w:jc w:val="both"/>
        <w:rPr>
          <w:rFonts w:eastAsia="Times New Roman" w:cs="Times New Roman"/>
          <w:color w:val="auto"/>
          <w:spacing w:val="3"/>
          <w:lang w:eastAsia="en-US"/>
        </w:rPr>
      </w:pPr>
      <w:r w:rsidRPr="00DE12A3">
        <w:rPr>
          <w:rFonts w:eastAsia="Times New Roman" w:cs="Times New Roman"/>
          <w:color w:val="auto"/>
          <w:spacing w:val="3"/>
          <w:lang w:eastAsia="en-US"/>
        </w:rPr>
        <w:t>(d)</w:t>
      </w:r>
      <w:r w:rsidRPr="00DE12A3">
        <w:rPr>
          <w:rFonts w:eastAsia="Times New Roman" w:cs="Times New Roman"/>
          <w:color w:val="auto"/>
          <w:spacing w:val="3"/>
          <w:lang w:eastAsia="en-US"/>
        </w:rPr>
        <w:tab/>
        <w:t>Egzoz sistemi aktarma hattı TL içine bir izleyici gaz beslenir. Bu izleyici gaz, CO</w:t>
      </w:r>
      <w:r w:rsidRPr="00DE12A3">
        <w:rPr>
          <w:rFonts w:eastAsia="Times New Roman" w:cs="Times New Roman"/>
          <w:color w:val="auto"/>
          <w:spacing w:val="3"/>
          <w:vertAlign w:val="subscript"/>
          <w:lang w:eastAsia="en-US"/>
        </w:rPr>
        <w:t>2</w:t>
      </w:r>
      <w:r w:rsidRPr="00DE12A3">
        <w:rPr>
          <w:rFonts w:eastAsia="Times New Roman" w:cs="Times New Roman"/>
          <w:color w:val="auto"/>
          <w:spacing w:val="3"/>
          <w:lang w:eastAsia="en-US"/>
        </w:rPr>
        <w:t xml:space="preserve"> veya NOx gibi bir egzoz gazı bileşeni olabilir. Tünelde seyreltme işleminden sonra izleyici gaz bileşeni ölçülmelidir. Bu, 3 ila 15 arasındaki 5 seyreltme oranı için gerçekleştirilmelidir. Numune akışının doğruluğu, (6-21) </w:t>
      </w:r>
      <w:r w:rsidR="005E1C7E" w:rsidRPr="00DE12A3">
        <w:rPr>
          <w:color w:val="auto"/>
        </w:rPr>
        <w:t>numaralı</w:t>
      </w:r>
      <w:r w:rsidR="005E1C7E" w:rsidRPr="00DE12A3" w:rsidDel="005E1C7E">
        <w:rPr>
          <w:rFonts w:eastAsia="Times New Roman" w:cs="Times New Roman"/>
          <w:color w:val="auto"/>
          <w:spacing w:val="3"/>
          <w:lang w:eastAsia="en-US"/>
        </w:rPr>
        <w:t xml:space="preserve"> </w:t>
      </w:r>
      <w:r w:rsidRPr="00DE12A3">
        <w:rPr>
          <w:rFonts w:eastAsia="Times New Roman" w:cs="Times New Roman"/>
          <w:color w:val="auto"/>
          <w:spacing w:val="3"/>
          <w:lang w:eastAsia="en-US"/>
        </w:rPr>
        <w:t>denklem ile r</w:t>
      </w:r>
      <w:r w:rsidRPr="00DE12A3">
        <w:rPr>
          <w:rFonts w:eastAsia="Times New Roman" w:cs="Times New Roman"/>
          <w:color w:val="auto"/>
          <w:spacing w:val="3"/>
          <w:vertAlign w:val="subscript"/>
          <w:lang w:eastAsia="en-US"/>
        </w:rPr>
        <w:t xml:space="preserve">d </w:t>
      </w:r>
      <w:r w:rsidRPr="00DE12A3">
        <w:rPr>
          <w:rFonts w:eastAsia="Times New Roman" w:cs="Times New Roman"/>
          <w:color w:val="auto"/>
          <w:spacing w:val="3"/>
          <w:lang w:eastAsia="en-US"/>
        </w:rPr>
        <w:t>seyreltme oranı kullanılarak belirlenmelidir</w:t>
      </w:r>
      <w:r w:rsidR="00DF78A3" w:rsidRPr="00DE12A3">
        <w:rPr>
          <w:rFonts w:eastAsia="Times New Roman" w:cs="Times New Roman"/>
          <w:color w:val="auto"/>
          <w:spacing w:val="3"/>
          <w:lang w:eastAsia="en-US"/>
        </w:rPr>
        <w:t>.</w:t>
      </w:r>
    </w:p>
    <w:tbl>
      <w:tblPr>
        <w:tblW w:w="0" w:type="auto"/>
        <w:jc w:val="center"/>
        <w:tblLayout w:type="fixed"/>
        <w:tblLook w:val="0000" w:firstRow="0" w:lastRow="0" w:firstColumn="0" w:lastColumn="0" w:noHBand="0" w:noVBand="0"/>
      </w:tblPr>
      <w:tblGrid>
        <w:gridCol w:w="3361"/>
        <w:gridCol w:w="1583"/>
      </w:tblGrid>
      <w:tr w:rsidR="00DE12A3" w:rsidRPr="00DE12A3" w14:paraId="127812FF" w14:textId="77777777" w:rsidTr="00001978">
        <w:trPr>
          <w:trHeight w:val="462"/>
          <w:jc w:val="center"/>
        </w:trPr>
        <w:tc>
          <w:tcPr>
            <w:tcW w:w="3361" w:type="dxa"/>
          </w:tcPr>
          <w:p w14:paraId="377945BA" w14:textId="77777777" w:rsidR="00001978" w:rsidRPr="00DE12A3" w:rsidRDefault="00001978" w:rsidP="00C917D6">
            <w:pPr>
              <w:pStyle w:val="NormalLeft"/>
            </w:pPr>
            <w:r w:rsidRPr="00DE12A3">
              <w:rPr>
                <w:i/>
                <w:iCs/>
              </w:rPr>
              <w:t>q</w:t>
            </w:r>
            <w:r w:rsidRPr="00DE12A3">
              <w:rPr>
                <w:i/>
                <w:iCs/>
                <w:vertAlign w:val="subscript"/>
              </w:rPr>
              <w:t>m</w:t>
            </w:r>
            <w:r w:rsidRPr="00DE12A3">
              <w:rPr>
                <w:vertAlign w:val="subscript"/>
              </w:rPr>
              <w:t>p</w:t>
            </w:r>
            <w:r w:rsidRPr="00DE12A3">
              <w:t xml:space="preserve"> = </w:t>
            </w:r>
            <w:r w:rsidRPr="00DE12A3">
              <w:rPr>
                <w:i/>
                <w:iCs/>
              </w:rPr>
              <w:t>q</w:t>
            </w:r>
            <w:r w:rsidRPr="00DE12A3">
              <w:rPr>
                <w:i/>
                <w:iCs/>
                <w:vertAlign w:val="subscript"/>
              </w:rPr>
              <w:t>m</w:t>
            </w:r>
            <w:r w:rsidRPr="00DE12A3">
              <w:rPr>
                <w:vertAlign w:val="subscript"/>
              </w:rPr>
              <w:t>dew</w:t>
            </w:r>
            <w:r w:rsidRPr="00DE12A3">
              <w:t xml:space="preserve"> / </w:t>
            </w:r>
            <w:r w:rsidRPr="00DE12A3">
              <w:rPr>
                <w:i/>
                <w:iCs/>
              </w:rPr>
              <w:t>r</w:t>
            </w:r>
            <w:r w:rsidRPr="00DE12A3">
              <w:rPr>
                <w:vertAlign w:val="subscript"/>
              </w:rPr>
              <w:t>d</w:t>
            </w:r>
          </w:p>
        </w:tc>
        <w:tc>
          <w:tcPr>
            <w:tcW w:w="1583" w:type="dxa"/>
          </w:tcPr>
          <w:p w14:paraId="4274B607" w14:textId="77777777" w:rsidR="00001978" w:rsidRPr="00DE12A3" w:rsidRDefault="00001978" w:rsidP="00C917D6">
            <w:pPr>
              <w:pStyle w:val="NormalLeft"/>
            </w:pPr>
            <w:r w:rsidRPr="00DE12A3">
              <w:t>(6-21)</w:t>
            </w:r>
          </w:p>
        </w:tc>
      </w:tr>
    </w:tbl>
    <w:p w14:paraId="237D7C0F" w14:textId="77777777" w:rsidR="002D7B36" w:rsidRPr="00DE12A3" w:rsidRDefault="00001978" w:rsidP="00C917D6">
      <w:pPr>
        <w:spacing w:before="120" w:after="120"/>
        <w:ind w:left="1134"/>
        <w:jc w:val="both"/>
        <w:rPr>
          <w:rFonts w:eastAsia="Times New Roman" w:cs="Times New Roman"/>
          <w:color w:val="auto"/>
          <w:spacing w:val="3"/>
          <w:lang w:eastAsia="en-US"/>
        </w:rPr>
      </w:pPr>
      <w:r w:rsidRPr="00DE12A3">
        <w:rPr>
          <w:rFonts w:eastAsia="Times New Roman" w:cs="Times New Roman"/>
          <w:i/>
          <w:iCs/>
          <w:color w:val="auto"/>
          <w:spacing w:val="3"/>
          <w:lang w:eastAsia="en-US"/>
        </w:rPr>
        <w:t xml:space="preserve"> </w:t>
      </w:r>
      <w:r w:rsidR="00242DA0" w:rsidRPr="00DE12A3">
        <w:rPr>
          <w:rFonts w:eastAsia="Times New Roman" w:cs="Times New Roman"/>
          <w:i/>
          <w:iCs/>
          <w:color w:val="auto"/>
          <w:spacing w:val="3"/>
          <w:lang w:eastAsia="en-US"/>
        </w:rPr>
        <w:t>q</w:t>
      </w:r>
      <w:r w:rsidR="00242DA0" w:rsidRPr="00DE12A3">
        <w:rPr>
          <w:rFonts w:eastAsia="Times New Roman" w:cs="Times New Roman"/>
          <w:i/>
          <w:iCs/>
          <w:color w:val="auto"/>
          <w:spacing w:val="3"/>
          <w:vertAlign w:val="subscript"/>
          <w:lang w:eastAsia="en-US"/>
        </w:rPr>
        <w:t>mp</w:t>
      </w:r>
      <w:r w:rsidR="00242DA0" w:rsidRPr="00DE12A3">
        <w:rPr>
          <w:rFonts w:eastAsia="Times New Roman" w:cs="Times New Roman"/>
          <w:color w:val="auto"/>
          <w:spacing w:val="3"/>
          <w:lang w:eastAsia="en-US"/>
        </w:rPr>
        <w:t xml:space="preserve"> doğruluğunu garanti etmek için gaz analiz cihazlarının doğruluğu hesaba katılmalıdır.</w:t>
      </w:r>
    </w:p>
    <w:p w14:paraId="200D0080" w14:textId="77777777" w:rsidR="002D7B36" w:rsidRPr="00DE12A3" w:rsidRDefault="00242DA0" w:rsidP="00C917D6">
      <w:pPr>
        <w:tabs>
          <w:tab w:val="left" w:pos="851"/>
        </w:tabs>
        <w:spacing w:before="120" w:after="120"/>
        <w:ind w:left="1134" w:hanging="1134"/>
        <w:jc w:val="both"/>
        <w:rPr>
          <w:rFonts w:eastAsia="Times New Roman" w:cs="Times New Roman"/>
          <w:color w:val="auto"/>
          <w:spacing w:val="3"/>
          <w:lang w:eastAsia="en-US"/>
        </w:rPr>
      </w:pPr>
      <w:r w:rsidRPr="00DE12A3">
        <w:rPr>
          <w:rFonts w:eastAsia="Times New Roman" w:cs="Times New Roman"/>
          <w:iCs/>
          <w:color w:val="auto"/>
          <w:spacing w:val="2"/>
          <w:shd w:val="clear" w:color="auto" w:fill="FFFFFF"/>
          <w:lang w:eastAsia="en-US"/>
        </w:rPr>
        <w:t>8</w:t>
      </w:r>
      <w:r w:rsidRPr="00DE12A3">
        <w:rPr>
          <w:rFonts w:eastAsia="Times New Roman" w:cs="Times New Roman"/>
          <w:color w:val="auto"/>
          <w:spacing w:val="3"/>
          <w:lang w:eastAsia="en-US"/>
        </w:rPr>
        <w:t>.1.8.6.3.</w:t>
      </w:r>
      <w:r w:rsidRPr="00DE12A3">
        <w:rPr>
          <w:rFonts w:eastAsia="Times New Roman" w:cs="Times New Roman"/>
          <w:color w:val="auto"/>
          <w:spacing w:val="3"/>
          <w:lang w:eastAsia="en-US"/>
        </w:rPr>
        <w:tab/>
        <w:t>Diferansiyel akış ölçümüne ilişkin özel şartlar</w:t>
      </w:r>
    </w:p>
    <w:p w14:paraId="2DD8F90E" w14:textId="77777777" w:rsidR="002D7B36" w:rsidRPr="00DE12A3" w:rsidRDefault="00001978" w:rsidP="00C917D6">
      <w:pPr>
        <w:spacing w:before="120" w:after="120"/>
        <w:ind w:left="1134" w:hanging="1134"/>
        <w:jc w:val="both"/>
        <w:rPr>
          <w:rFonts w:eastAsia="Times New Roman" w:cs="Times New Roman"/>
          <w:color w:val="auto"/>
          <w:spacing w:val="3"/>
          <w:lang w:eastAsia="en-US"/>
        </w:rPr>
      </w:pPr>
      <w:r w:rsidRPr="00DE12A3">
        <w:rPr>
          <w:rFonts w:eastAsia="Times New Roman" w:cs="Times New Roman"/>
          <w:color w:val="auto"/>
          <w:spacing w:val="3"/>
          <w:lang w:eastAsia="en-US"/>
        </w:rPr>
        <w:t xml:space="preserve">                   </w:t>
      </w:r>
      <w:r w:rsidR="00242DA0" w:rsidRPr="00DE12A3">
        <w:rPr>
          <w:rFonts w:eastAsia="Times New Roman" w:cs="Times New Roman"/>
          <w:color w:val="auto"/>
          <w:spacing w:val="3"/>
          <w:lang w:eastAsia="en-US"/>
        </w:rPr>
        <w:t xml:space="preserve">Ölçüm ve kontrol sorunlarını tespit etmek ve kısmi akış sisteminin doğru çalıştığını doğrulamak için gerçek egzoz gazı kullanan bir karbon akış kontrolü yapılması şiddetle önerilir. Karbon akış kontrolü, en azından her yeni motor montajında veya test hücresi konfigürasyonunda önemli bir şey değiştirildiğinde </w:t>
      </w:r>
      <w:r w:rsidR="00242DA0" w:rsidRPr="00DE12A3">
        <w:rPr>
          <w:rFonts w:eastAsia="Times New Roman" w:cs="Times New Roman"/>
          <w:color w:val="auto"/>
          <w:spacing w:val="3"/>
          <w:lang w:eastAsia="en-US"/>
        </w:rPr>
        <w:lastRenderedPageBreak/>
        <w:t>yapılmalıdır.</w:t>
      </w:r>
    </w:p>
    <w:p w14:paraId="77D75DA8" w14:textId="40135920" w:rsidR="002D7B36" w:rsidRPr="00DE12A3" w:rsidRDefault="00001978" w:rsidP="00C917D6">
      <w:pPr>
        <w:spacing w:before="120" w:after="120"/>
        <w:ind w:left="1134" w:hanging="1134"/>
        <w:jc w:val="both"/>
        <w:rPr>
          <w:rFonts w:eastAsia="Times New Roman" w:cs="Times New Roman"/>
          <w:color w:val="auto"/>
          <w:spacing w:val="3"/>
          <w:lang w:eastAsia="en-US"/>
        </w:rPr>
      </w:pPr>
      <w:r w:rsidRPr="00DE12A3">
        <w:rPr>
          <w:rFonts w:eastAsia="Times New Roman" w:cs="Times New Roman"/>
          <w:color w:val="auto"/>
          <w:spacing w:val="3"/>
          <w:lang w:eastAsia="en-US"/>
        </w:rPr>
        <w:t xml:space="preserve">                  </w:t>
      </w:r>
      <w:r w:rsidR="00242DA0" w:rsidRPr="00DE12A3">
        <w:rPr>
          <w:rFonts w:eastAsia="Times New Roman" w:cs="Times New Roman"/>
          <w:color w:val="auto"/>
          <w:spacing w:val="3"/>
          <w:lang w:eastAsia="en-US"/>
        </w:rPr>
        <w:t xml:space="preserve">Motor, en yüksek tork yükünde ve devrinde ya da </w:t>
      </w:r>
      <w:r w:rsidR="00C17C59" w:rsidRPr="00DE12A3">
        <w:rPr>
          <w:rFonts w:eastAsia="Times New Roman" w:cs="Times New Roman"/>
          <w:color w:val="auto"/>
          <w:spacing w:val="3"/>
          <w:lang w:eastAsia="en-US"/>
        </w:rPr>
        <w:t>%5</w:t>
      </w:r>
      <w:r w:rsidR="00242DA0" w:rsidRPr="00DE12A3">
        <w:rPr>
          <w:rFonts w:eastAsia="Times New Roman" w:cs="Times New Roman"/>
          <w:color w:val="auto"/>
          <w:spacing w:val="3"/>
          <w:lang w:eastAsia="en-US"/>
        </w:rPr>
        <w:t xml:space="preserve"> veya daha fazla CO</w:t>
      </w:r>
      <w:r w:rsidR="00242DA0" w:rsidRPr="00DE12A3">
        <w:rPr>
          <w:rFonts w:eastAsia="Times New Roman" w:cs="Times New Roman"/>
          <w:color w:val="auto"/>
          <w:spacing w:val="3"/>
          <w:vertAlign w:val="subscript"/>
          <w:lang w:eastAsia="en-US"/>
        </w:rPr>
        <w:t>2</w:t>
      </w:r>
      <w:r w:rsidR="00242DA0" w:rsidRPr="00DE12A3">
        <w:rPr>
          <w:rFonts w:eastAsia="Times New Roman" w:cs="Times New Roman"/>
          <w:color w:val="auto"/>
          <w:spacing w:val="3"/>
          <w:lang w:eastAsia="en-US"/>
        </w:rPr>
        <w:t xml:space="preserve"> üreten başka bir </w:t>
      </w:r>
      <w:r w:rsidR="00951351" w:rsidRPr="00DE12A3">
        <w:rPr>
          <w:rFonts w:eastAsia="Times New Roman" w:cs="Times New Roman"/>
          <w:color w:val="auto"/>
          <w:spacing w:val="3"/>
          <w:lang w:eastAsia="en-US"/>
        </w:rPr>
        <w:t xml:space="preserve">  kararlı </w:t>
      </w:r>
      <w:r w:rsidR="00F310B5" w:rsidRPr="00DE12A3">
        <w:rPr>
          <w:rFonts w:eastAsia="Times New Roman" w:cs="Times New Roman"/>
          <w:color w:val="auto"/>
          <w:spacing w:val="3"/>
          <w:lang w:eastAsia="en-US"/>
        </w:rPr>
        <w:t>durum modunda</w:t>
      </w:r>
      <w:r w:rsidR="00242DA0" w:rsidRPr="00DE12A3">
        <w:rPr>
          <w:rFonts w:eastAsia="Times New Roman" w:cs="Times New Roman"/>
          <w:color w:val="auto"/>
          <w:spacing w:val="3"/>
          <w:lang w:eastAsia="en-US"/>
        </w:rPr>
        <w:t xml:space="preserve"> çalıştırılmalıdır. Kısmi akış örnekleme sistemi, yaklaşık 15'e 1 seyrelti faktörü ile çalıştırılmalıdır.</w:t>
      </w:r>
    </w:p>
    <w:p w14:paraId="1C30F27D" w14:textId="57099633" w:rsidR="002D7B36" w:rsidRPr="00DE12A3" w:rsidRDefault="00001978" w:rsidP="00C917D6">
      <w:pPr>
        <w:spacing w:before="120" w:after="120"/>
        <w:ind w:left="1134" w:hanging="1134"/>
        <w:jc w:val="both"/>
        <w:rPr>
          <w:rFonts w:eastAsia="Times New Roman" w:cs="Times New Roman"/>
          <w:color w:val="auto"/>
          <w:spacing w:val="3"/>
          <w:lang w:eastAsia="en-US"/>
        </w:rPr>
      </w:pPr>
      <w:r w:rsidRPr="00DE12A3">
        <w:rPr>
          <w:rFonts w:eastAsia="Times New Roman" w:cs="Times New Roman"/>
          <w:color w:val="auto"/>
          <w:spacing w:val="3"/>
          <w:lang w:eastAsia="en-US"/>
        </w:rPr>
        <w:t xml:space="preserve">                  </w:t>
      </w:r>
      <w:r w:rsidR="00242DA0" w:rsidRPr="00DE12A3">
        <w:rPr>
          <w:rFonts w:eastAsia="Times New Roman" w:cs="Times New Roman"/>
          <w:color w:val="auto"/>
          <w:spacing w:val="3"/>
          <w:lang w:eastAsia="en-US"/>
        </w:rPr>
        <w:t xml:space="preserve">Bir karbon akış kontrolü yapıldıysa, </w:t>
      </w:r>
      <w:r w:rsidR="00FA0678" w:rsidRPr="00DE12A3">
        <w:rPr>
          <w:rFonts w:eastAsia="Times New Roman" w:cs="Times New Roman"/>
          <w:color w:val="auto"/>
          <w:spacing w:val="3"/>
          <w:lang w:eastAsia="en-US"/>
        </w:rPr>
        <w:t xml:space="preserve">VII’nci </w:t>
      </w:r>
      <w:r w:rsidR="003C361A" w:rsidRPr="00DE12A3">
        <w:rPr>
          <w:rFonts w:eastAsia="Times New Roman" w:cs="Times New Roman"/>
          <w:color w:val="auto"/>
          <w:spacing w:val="3"/>
          <w:lang w:eastAsia="en-US"/>
        </w:rPr>
        <w:t>E</w:t>
      </w:r>
      <w:r w:rsidR="00FA0678" w:rsidRPr="00DE12A3">
        <w:rPr>
          <w:rFonts w:eastAsia="Times New Roman" w:cs="Times New Roman"/>
          <w:color w:val="auto"/>
          <w:spacing w:val="3"/>
          <w:lang w:eastAsia="en-US"/>
        </w:rPr>
        <w:t>k</w:t>
      </w:r>
      <w:r w:rsidR="00242DA0" w:rsidRPr="00DE12A3">
        <w:rPr>
          <w:rFonts w:eastAsia="Times New Roman" w:cs="Times New Roman"/>
          <w:color w:val="auto"/>
          <w:spacing w:val="3"/>
          <w:lang w:eastAsia="en-US"/>
        </w:rPr>
        <w:t xml:space="preserve">in </w:t>
      </w:r>
      <w:r w:rsidR="00FA0678" w:rsidRPr="00DE12A3">
        <w:rPr>
          <w:rFonts w:eastAsia="Times New Roman" w:cs="Times New Roman"/>
          <w:color w:val="auto"/>
          <w:spacing w:val="3"/>
          <w:lang w:eastAsia="en-US"/>
        </w:rPr>
        <w:t>2. Açıklayıcı Ek</w:t>
      </w:r>
      <w:r w:rsidR="00242DA0" w:rsidRPr="00DE12A3">
        <w:rPr>
          <w:rFonts w:eastAsia="Times New Roman" w:cs="Times New Roman"/>
          <w:color w:val="auto"/>
          <w:spacing w:val="3"/>
          <w:lang w:eastAsia="en-US"/>
        </w:rPr>
        <w:t xml:space="preserve">i uygulanır. Karbon akış hızları, </w:t>
      </w:r>
      <w:r w:rsidR="00FA0678" w:rsidRPr="00DE12A3">
        <w:rPr>
          <w:rFonts w:eastAsia="Times New Roman" w:cs="Times New Roman"/>
          <w:color w:val="auto"/>
          <w:spacing w:val="3"/>
          <w:lang w:eastAsia="en-US"/>
        </w:rPr>
        <w:t xml:space="preserve">VII’nci </w:t>
      </w:r>
      <w:r w:rsidR="003C361A" w:rsidRPr="00DE12A3">
        <w:rPr>
          <w:rFonts w:eastAsia="Times New Roman" w:cs="Times New Roman"/>
          <w:color w:val="auto"/>
          <w:spacing w:val="3"/>
          <w:lang w:eastAsia="en-US"/>
        </w:rPr>
        <w:t>E</w:t>
      </w:r>
      <w:r w:rsidR="00FA0678" w:rsidRPr="00DE12A3">
        <w:rPr>
          <w:rFonts w:eastAsia="Times New Roman" w:cs="Times New Roman"/>
          <w:color w:val="auto"/>
          <w:spacing w:val="3"/>
          <w:lang w:eastAsia="en-US"/>
        </w:rPr>
        <w:t>k</w:t>
      </w:r>
      <w:r w:rsidR="00242DA0" w:rsidRPr="00DE12A3">
        <w:rPr>
          <w:rFonts w:eastAsia="Times New Roman" w:cs="Times New Roman"/>
          <w:color w:val="auto"/>
          <w:spacing w:val="3"/>
          <w:lang w:eastAsia="en-US"/>
        </w:rPr>
        <w:t xml:space="preserve">in </w:t>
      </w:r>
      <w:r w:rsidR="00FA0678" w:rsidRPr="00DE12A3">
        <w:rPr>
          <w:rFonts w:eastAsia="Times New Roman" w:cs="Times New Roman"/>
          <w:color w:val="auto"/>
          <w:spacing w:val="3"/>
          <w:lang w:eastAsia="en-US"/>
        </w:rPr>
        <w:t>2. Açıklayıcı Ek</w:t>
      </w:r>
      <w:r w:rsidR="00242DA0" w:rsidRPr="00DE12A3">
        <w:rPr>
          <w:rFonts w:eastAsia="Times New Roman" w:cs="Times New Roman"/>
          <w:color w:val="auto"/>
          <w:spacing w:val="3"/>
          <w:lang w:eastAsia="en-US"/>
        </w:rPr>
        <w:t xml:space="preserve">indeki denklemlere göre hesaplanır. Tüm karbon akış hızları </w:t>
      </w:r>
      <w:r w:rsidR="00973AD0" w:rsidRPr="00DE12A3">
        <w:rPr>
          <w:rFonts w:eastAsia="Times New Roman" w:cs="Times New Roman"/>
          <w:color w:val="auto"/>
          <w:spacing w:val="3"/>
          <w:lang w:eastAsia="en-US"/>
        </w:rPr>
        <w:t>%5</w:t>
      </w:r>
      <w:r w:rsidR="00242DA0" w:rsidRPr="00DE12A3">
        <w:rPr>
          <w:rFonts w:eastAsia="Times New Roman" w:cs="Times New Roman"/>
          <w:color w:val="auto"/>
          <w:spacing w:val="3"/>
          <w:lang w:eastAsia="en-US"/>
        </w:rPr>
        <w:t xml:space="preserve"> içinde uyuşmalıdır.</w:t>
      </w:r>
    </w:p>
    <w:p w14:paraId="1CD37403" w14:textId="77777777" w:rsidR="002D7B36" w:rsidRPr="00DE12A3" w:rsidRDefault="00242DA0" w:rsidP="00C917D6">
      <w:pPr>
        <w:tabs>
          <w:tab w:val="left" w:pos="851"/>
        </w:tabs>
        <w:spacing w:before="120" w:after="120"/>
        <w:ind w:left="1134" w:hanging="1134"/>
        <w:jc w:val="both"/>
        <w:rPr>
          <w:rFonts w:eastAsia="Times New Roman" w:cs="Times New Roman"/>
          <w:color w:val="auto"/>
          <w:spacing w:val="3"/>
          <w:lang w:eastAsia="en-US"/>
        </w:rPr>
      </w:pPr>
      <w:r w:rsidRPr="00DE12A3">
        <w:rPr>
          <w:rFonts w:eastAsia="Times New Roman" w:cs="Times New Roman"/>
          <w:iCs/>
          <w:color w:val="auto"/>
          <w:spacing w:val="2"/>
          <w:shd w:val="clear" w:color="auto" w:fill="FFFFFF"/>
          <w:lang w:eastAsia="en-US"/>
        </w:rPr>
        <w:t>8</w:t>
      </w:r>
      <w:r w:rsidRPr="00DE12A3">
        <w:rPr>
          <w:rFonts w:eastAsia="Times New Roman" w:cs="Times New Roman"/>
          <w:color w:val="auto"/>
          <w:spacing w:val="3"/>
          <w:lang w:eastAsia="en-US"/>
        </w:rPr>
        <w:t>.1.8.6.3.1.</w:t>
      </w:r>
      <w:r w:rsidRPr="00DE12A3">
        <w:rPr>
          <w:rFonts w:eastAsia="Times New Roman" w:cs="Times New Roman"/>
          <w:color w:val="auto"/>
          <w:spacing w:val="3"/>
          <w:lang w:eastAsia="en-US"/>
        </w:rPr>
        <w:tab/>
        <w:t>Ön test kontrolü</w:t>
      </w:r>
    </w:p>
    <w:p w14:paraId="77165F51" w14:textId="77777777" w:rsidR="002D7B36" w:rsidRPr="00DE12A3" w:rsidRDefault="00001978" w:rsidP="00C917D6">
      <w:pPr>
        <w:spacing w:before="120" w:after="120"/>
        <w:ind w:left="1134" w:hanging="1134"/>
        <w:jc w:val="both"/>
        <w:rPr>
          <w:rFonts w:eastAsia="Times New Roman" w:cs="Times New Roman"/>
          <w:color w:val="auto"/>
          <w:spacing w:val="3"/>
          <w:lang w:eastAsia="en-US"/>
        </w:rPr>
      </w:pPr>
      <w:r w:rsidRPr="00DE12A3">
        <w:rPr>
          <w:rFonts w:eastAsia="Times New Roman" w:cs="Times New Roman"/>
          <w:color w:val="auto"/>
          <w:spacing w:val="3"/>
          <w:lang w:eastAsia="en-US"/>
        </w:rPr>
        <w:t xml:space="preserve">                  </w:t>
      </w:r>
      <w:r w:rsidR="00242DA0" w:rsidRPr="00DE12A3">
        <w:rPr>
          <w:rFonts w:eastAsia="Times New Roman" w:cs="Times New Roman"/>
          <w:color w:val="auto"/>
          <w:spacing w:val="3"/>
          <w:lang w:eastAsia="en-US"/>
        </w:rPr>
        <w:t>Test çalıştırmadan önceki 2 saat içinde aşağıdaki şekilde bir ön test kontrolü yapılmalıdır.</w:t>
      </w:r>
    </w:p>
    <w:p w14:paraId="3053AA87" w14:textId="77777777" w:rsidR="002D7B36" w:rsidRPr="00DE12A3" w:rsidRDefault="00001978" w:rsidP="00C917D6">
      <w:pPr>
        <w:spacing w:before="120" w:after="120"/>
        <w:ind w:left="1134" w:hanging="1134"/>
        <w:jc w:val="both"/>
        <w:rPr>
          <w:rFonts w:eastAsia="Times New Roman" w:cs="Times New Roman"/>
          <w:color w:val="auto"/>
          <w:spacing w:val="3"/>
          <w:lang w:eastAsia="en-US"/>
        </w:rPr>
      </w:pPr>
      <w:r w:rsidRPr="00DE12A3">
        <w:rPr>
          <w:rFonts w:eastAsia="Times New Roman" w:cs="Times New Roman"/>
          <w:color w:val="auto"/>
          <w:spacing w:val="3"/>
          <w:lang w:eastAsia="en-US"/>
        </w:rPr>
        <w:t xml:space="preserve">                  </w:t>
      </w:r>
      <w:r w:rsidR="00242DA0" w:rsidRPr="00DE12A3">
        <w:rPr>
          <w:rFonts w:eastAsia="Times New Roman" w:cs="Times New Roman"/>
          <w:color w:val="auto"/>
          <w:spacing w:val="3"/>
          <w:lang w:eastAsia="en-US"/>
        </w:rPr>
        <w:t xml:space="preserve">Sayaçların doğruluğu, test sırasında kullanılan </w:t>
      </w:r>
      <w:r w:rsidR="00242DA0" w:rsidRPr="00DE12A3">
        <w:rPr>
          <w:rFonts w:eastAsia="Times New Roman" w:cs="Times New Roman"/>
          <w:i/>
          <w:iCs/>
          <w:color w:val="auto"/>
          <w:spacing w:val="3"/>
          <w:lang w:eastAsia="en-US"/>
        </w:rPr>
        <w:t>q</w:t>
      </w:r>
      <w:r w:rsidR="00242DA0" w:rsidRPr="00DE12A3">
        <w:rPr>
          <w:rFonts w:eastAsia="Times New Roman" w:cs="Times New Roman"/>
          <w:color w:val="auto"/>
          <w:spacing w:val="3"/>
          <w:vertAlign w:val="subscript"/>
          <w:lang w:eastAsia="en-US"/>
        </w:rPr>
        <w:t>mdew</w:t>
      </w:r>
      <w:r w:rsidR="00242DA0" w:rsidRPr="00DE12A3">
        <w:rPr>
          <w:rFonts w:eastAsia="Times New Roman" w:cs="Times New Roman"/>
          <w:color w:val="auto"/>
          <w:spacing w:val="3"/>
          <w:lang w:eastAsia="en-US"/>
        </w:rPr>
        <w:t xml:space="preserve"> değeri için 5 ila 15 arasındaki seyreltme oranlarına karşılık gelen </w:t>
      </w:r>
      <w:r w:rsidR="00242DA0" w:rsidRPr="00DE12A3">
        <w:rPr>
          <w:rFonts w:eastAsia="Times New Roman" w:cs="Times New Roman"/>
          <w:i/>
          <w:iCs/>
          <w:color w:val="auto"/>
          <w:spacing w:val="3"/>
          <w:lang w:eastAsia="en-US"/>
        </w:rPr>
        <w:t>q</w:t>
      </w:r>
      <w:r w:rsidR="00242DA0" w:rsidRPr="00DE12A3">
        <w:rPr>
          <w:rFonts w:eastAsia="Times New Roman" w:cs="Times New Roman"/>
          <w:color w:val="auto"/>
          <w:spacing w:val="3"/>
          <w:vertAlign w:val="subscript"/>
          <w:lang w:eastAsia="en-US"/>
        </w:rPr>
        <w:t>mdw</w:t>
      </w:r>
      <w:r w:rsidR="00242DA0" w:rsidRPr="00DE12A3">
        <w:rPr>
          <w:rFonts w:eastAsia="Times New Roman" w:cs="Times New Roman"/>
          <w:color w:val="auto"/>
          <w:spacing w:val="3"/>
          <w:lang w:eastAsia="en-US"/>
        </w:rPr>
        <w:t xml:space="preserve"> akış değerleri de dahil olmak üzere, en az iki noktada kalibrasyon için kullanılan aynı yöntemle (bkz. 8.1.8.6.2) kontrol edilmelidir.</w:t>
      </w:r>
    </w:p>
    <w:p w14:paraId="14C1B983" w14:textId="77777777" w:rsidR="002D7B36" w:rsidRPr="00DE12A3" w:rsidRDefault="00001978" w:rsidP="00C917D6">
      <w:pPr>
        <w:tabs>
          <w:tab w:val="left" w:pos="9070"/>
        </w:tabs>
        <w:spacing w:before="120" w:after="120"/>
        <w:ind w:left="1134" w:hanging="1134"/>
        <w:jc w:val="both"/>
        <w:rPr>
          <w:rFonts w:eastAsia="Times New Roman" w:cs="Times New Roman"/>
          <w:color w:val="auto"/>
          <w:spacing w:val="3"/>
          <w:lang w:eastAsia="en-US"/>
        </w:rPr>
      </w:pPr>
      <w:r w:rsidRPr="00DE12A3">
        <w:rPr>
          <w:rFonts w:eastAsia="Times New Roman" w:cs="Times New Roman"/>
          <w:color w:val="auto"/>
          <w:spacing w:val="3"/>
          <w:lang w:eastAsia="en-US"/>
        </w:rPr>
        <w:t xml:space="preserve">                  </w:t>
      </w:r>
      <w:r w:rsidR="00242DA0" w:rsidRPr="00DE12A3">
        <w:rPr>
          <w:rFonts w:eastAsia="Times New Roman" w:cs="Times New Roman"/>
          <w:color w:val="auto"/>
          <w:spacing w:val="3"/>
          <w:lang w:eastAsia="en-US"/>
        </w:rPr>
        <w:t>8.1.8.6.2 bendi kapsamındaki kalibrasyon prosedürüne ait kayıtlarla sayaç kalibrasyonunun daha uzun bir süre boyunca dengeli olduğu ispatlanabilirse, ön test kontrolü göz ardı edilebilir.</w:t>
      </w:r>
    </w:p>
    <w:p w14:paraId="66F6A078" w14:textId="77777777" w:rsidR="002D7B36" w:rsidRPr="00DE12A3" w:rsidRDefault="00242DA0" w:rsidP="00C917D6">
      <w:pPr>
        <w:tabs>
          <w:tab w:val="left" w:pos="993"/>
        </w:tabs>
        <w:spacing w:before="120" w:after="120"/>
        <w:ind w:left="1134" w:hanging="1134"/>
        <w:jc w:val="both"/>
        <w:rPr>
          <w:rFonts w:eastAsia="Times New Roman" w:cs="Times New Roman"/>
          <w:color w:val="auto"/>
          <w:spacing w:val="3"/>
          <w:lang w:eastAsia="en-US"/>
        </w:rPr>
      </w:pPr>
      <w:r w:rsidRPr="00DE12A3">
        <w:rPr>
          <w:rFonts w:eastAsia="Times New Roman" w:cs="Times New Roman"/>
          <w:color w:val="auto"/>
          <w:spacing w:val="3"/>
          <w:lang w:eastAsia="en-US"/>
        </w:rPr>
        <w:t>8.1.8.6.3.2.</w:t>
      </w:r>
      <w:r w:rsidRPr="00DE12A3">
        <w:rPr>
          <w:rFonts w:eastAsia="Times New Roman" w:cs="Times New Roman"/>
          <w:color w:val="auto"/>
          <w:spacing w:val="3"/>
          <w:lang w:eastAsia="en-US"/>
        </w:rPr>
        <w:tab/>
        <w:t>Dönüşüm süresinin belirlenmesi</w:t>
      </w:r>
    </w:p>
    <w:p w14:paraId="1E76F92E" w14:textId="5200E2C0" w:rsidR="002D7B36" w:rsidRPr="00DE12A3" w:rsidRDefault="00001978" w:rsidP="00C917D6">
      <w:pPr>
        <w:tabs>
          <w:tab w:val="left" w:pos="1134"/>
        </w:tabs>
        <w:spacing w:before="120" w:after="120"/>
        <w:ind w:left="1134" w:hanging="1134"/>
        <w:jc w:val="both"/>
        <w:rPr>
          <w:rFonts w:eastAsia="Times New Roman" w:cs="Times New Roman"/>
          <w:color w:val="auto"/>
          <w:spacing w:val="3"/>
          <w:lang w:eastAsia="en-US"/>
        </w:rPr>
      </w:pPr>
      <w:r w:rsidRPr="00DE12A3">
        <w:rPr>
          <w:rFonts w:eastAsia="Times New Roman" w:cs="Times New Roman"/>
          <w:color w:val="auto"/>
          <w:spacing w:val="3"/>
          <w:lang w:eastAsia="en-US"/>
        </w:rPr>
        <w:t xml:space="preserve">                  </w:t>
      </w:r>
      <w:r w:rsidR="00242DA0" w:rsidRPr="00DE12A3">
        <w:rPr>
          <w:rFonts w:eastAsia="Times New Roman" w:cs="Times New Roman"/>
          <w:color w:val="auto"/>
          <w:spacing w:val="3"/>
          <w:lang w:eastAsia="en-US"/>
        </w:rPr>
        <w:t xml:space="preserve">Dönüşüm süresi değerlendirmesine ilişkin sistem ayarları, test uygulamasının ölçümü sırasındaki ayarlarla aynı olmalıdır. Bu Ekin </w:t>
      </w:r>
      <w:r w:rsidR="00CD23C3" w:rsidRPr="00DE12A3">
        <w:rPr>
          <w:rFonts w:eastAsia="Times New Roman" w:cs="Times New Roman"/>
          <w:color w:val="auto"/>
          <w:spacing w:val="3"/>
          <w:lang w:eastAsia="en-US"/>
        </w:rPr>
        <w:t>5. Açıklayıcı Ek</w:t>
      </w:r>
      <w:r w:rsidR="00242DA0" w:rsidRPr="00DE12A3">
        <w:rPr>
          <w:rFonts w:eastAsia="Times New Roman" w:cs="Times New Roman"/>
          <w:color w:val="auto"/>
          <w:spacing w:val="3"/>
          <w:lang w:eastAsia="en-US"/>
        </w:rPr>
        <w:t>inde 2.4 bendinde ve Şekil 6-11'de belirtilen dönüşüm süresi, aşağıdaki yöntemle belirlenir:</w:t>
      </w:r>
    </w:p>
    <w:p w14:paraId="55422E87" w14:textId="0B873474" w:rsidR="002D7B36" w:rsidRPr="00DE12A3" w:rsidRDefault="00001978" w:rsidP="00C917D6">
      <w:pPr>
        <w:tabs>
          <w:tab w:val="left" w:pos="1134"/>
        </w:tabs>
        <w:spacing w:before="120" w:after="120"/>
        <w:ind w:left="1134" w:hanging="1134"/>
        <w:jc w:val="both"/>
        <w:rPr>
          <w:rFonts w:eastAsia="Times New Roman" w:cs="Times New Roman"/>
          <w:color w:val="auto"/>
          <w:spacing w:val="3"/>
          <w:lang w:eastAsia="en-US"/>
        </w:rPr>
      </w:pPr>
      <w:r w:rsidRPr="00DE12A3">
        <w:rPr>
          <w:rFonts w:eastAsia="Times New Roman" w:cs="Times New Roman"/>
          <w:color w:val="auto"/>
          <w:spacing w:val="3"/>
          <w:lang w:eastAsia="en-US"/>
        </w:rPr>
        <w:t xml:space="preserve">                   </w:t>
      </w:r>
      <w:r w:rsidR="00242DA0" w:rsidRPr="00DE12A3">
        <w:rPr>
          <w:rFonts w:eastAsia="Times New Roman" w:cs="Times New Roman"/>
          <w:color w:val="auto"/>
          <w:spacing w:val="3"/>
          <w:lang w:eastAsia="en-US"/>
        </w:rPr>
        <w:t xml:space="preserve">Sonda akışı için uygun bir ölçüm aralığına sahip bağımsız bir referans sayaç, sondaya seri olarak bağlanmalı ve yakın yerleştirilmiş olmalıdır. Bu sayaç, tepki süresi ölçümünde kullanılan akış adımı boyutu için 100 ms'den daha az bir dönüşüm süresine sahip olmalı; akış basıncı kısıtlaması, iyi mühendislik kararına göre kısmi akış seyreltme sisteminin dinamik performansını etkilemeyecek kadar düşük olmalıdır. Kısmi akışlı seyreltme sisteminin girişi, düşük bir akıştan tam ölçeğin en az </w:t>
      </w:r>
      <w:r w:rsidR="00C17C59" w:rsidRPr="00DE12A3">
        <w:rPr>
          <w:rFonts w:eastAsia="Times New Roman" w:cs="Times New Roman"/>
          <w:color w:val="auto"/>
          <w:spacing w:val="3"/>
          <w:lang w:eastAsia="en-US"/>
        </w:rPr>
        <w:t>%90</w:t>
      </w:r>
      <w:r w:rsidR="00242DA0" w:rsidRPr="00DE12A3">
        <w:rPr>
          <w:rFonts w:eastAsia="Times New Roman" w:cs="Times New Roman"/>
          <w:color w:val="auto"/>
          <w:spacing w:val="3"/>
          <w:lang w:eastAsia="en-US"/>
        </w:rPr>
        <w:t>'ına kadar, egzoz gazı akışına (veya egzoz gazı hesaplanırsa hava akışına) kademeli bir değişim getirilmelidir. Kademeli değişim için tetikleyici, gerçek testte ileriye dönük kontrolü başlatmak için kullanılanla aynı olmalıdır. Egzoz gazı akış kademesi uyaranı ve sayaç tepkisi, en az 10 Hz numune hızında kaydedilmelidir.</w:t>
      </w:r>
    </w:p>
    <w:p w14:paraId="66FFE28F" w14:textId="297EDC7F" w:rsidR="002D7B36" w:rsidRPr="00DE12A3" w:rsidRDefault="00001978" w:rsidP="00C917D6">
      <w:pPr>
        <w:tabs>
          <w:tab w:val="left" w:pos="1134"/>
        </w:tabs>
        <w:spacing w:before="120" w:after="120"/>
        <w:ind w:left="1134" w:hanging="1134"/>
        <w:jc w:val="both"/>
        <w:rPr>
          <w:rFonts w:eastAsia="Times New Roman" w:cs="Times New Roman"/>
          <w:color w:val="auto"/>
          <w:spacing w:val="3"/>
          <w:lang w:eastAsia="en-US"/>
        </w:rPr>
      </w:pPr>
      <w:r w:rsidRPr="00DE12A3">
        <w:rPr>
          <w:rFonts w:eastAsia="Times New Roman" w:cs="Times New Roman"/>
          <w:color w:val="auto"/>
          <w:spacing w:val="3"/>
          <w:lang w:eastAsia="en-US"/>
        </w:rPr>
        <w:t xml:space="preserve">                  </w:t>
      </w:r>
      <w:r w:rsidR="00242DA0" w:rsidRPr="00DE12A3">
        <w:rPr>
          <w:rFonts w:eastAsia="Times New Roman" w:cs="Times New Roman"/>
          <w:color w:val="auto"/>
          <w:spacing w:val="3"/>
          <w:lang w:eastAsia="en-US"/>
        </w:rPr>
        <w:t>Bu verilerden, kısmi akış seyreltme sistemi için dönüşüm süresi belirlenmelidir</w:t>
      </w:r>
      <w:r w:rsidR="00DF78A3" w:rsidRPr="00DE12A3">
        <w:rPr>
          <w:rFonts w:eastAsia="Times New Roman" w:cs="Times New Roman"/>
          <w:color w:val="auto"/>
          <w:spacing w:val="3"/>
          <w:lang w:eastAsia="en-US"/>
        </w:rPr>
        <w:t>. B</w:t>
      </w:r>
      <w:r w:rsidR="00242DA0" w:rsidRPr="00DE12A3">
        <w:rPr>
          <w:rFonts w:eastAsia="Times New Roman" w:cs="Times New Roman"/>
          <w:color w:val="auto"/>
          <w:spacing w:val="3"/>
          <w:lang w:eastAsia="en-US"/>
        </w:rPr>
        <w:t xml:space="preserve">u süre, kademe uyaranının başlatılmasından sayaç tepkisinin </w:t>
      </w:r>
      <w:r w:rsidR="00C17C59" w:rsidRPr="00DE12A3">
        <w:rPr>
          <w:rFonts w:eastAsia="Times New Roman" w:cs="Times New Roman"/>
          <w:color w:val="auto"/>
          <w:spacing w:val="3"/>
          <w:lang w:eastAsia="en-US"/>
        </w:rPr>
        <w:t>%50</w:t>
      </w:r>
      <w:r w:rsidR="00242DA0" w:rsidRPr="00DE12A3">
        <w:rPr>
          <w:rFonts w:eastAsia="Times New Roman" w:cs="Times New Roman"/>
          <w:color w:val="auto"/>
          <w:spacing w:val="3"/>
          <w:lang w:eastAsia="en-US"/>
        </w:rPr>
        <w:t xml:space="preserve"> noktasına kadar olan süredir. Benzer şekilde, </w:t>
      </w:r>
      <w:r w:rsidR="00242DA0" w:rsidRPr="00DE12A3">
        <w:rPr>
          <w:rFonts w:eastAsia="Times New Roman" w:cs="Times New Roman"/>
          <w:i/>
          <w:iCs/>
          <w:color w:val="auto"/>
          <w:spacing w:val="3"/>
          <w:lang w:eastAsia="en-US"/>
        </w:rPr>
        <w:t>q</w:t>
      </w:r>
      <w:r w:rsidR="00242DA0" w:rsidRPr="00DE12A3">
        <w:rPr>
          <w:rFonts w:eastAsia="Times New Roman" w:cs="Times New Roman"/>
          <w:color w:val="auto"/>
          <w:spacing w:val="3"/>
          <w:vertAlign w:val="subscript"/>
          <w:lang w:eastAsia="en-US"/>
        </w:rPr>
        <w:t>mp</w:t>
      </w:r>
      <w:r w:rsidR="00242DA0" w:rsidRPr="00DE12A3">
        <w:rPr>
          <w:rFonts w:eastAsia="Times New Roman" w:cs="Times New Roman"/>
          <w:color w:val="auto"/>
          <w:spacing w:val="3"/>
          <w:lang w:eastAsia="en-US"/>
        </w:rPr>
        <w:t xml:space="preserve"> sinyalinin (yani, kısmi akışlı seyreltme sistemine örnek egzoz gazı akışının) ve </w:t>
      </w:r>
      <w:r w:rsidR="00242DA0" w:rsidRPr="00DE12A3">
        <w:rPr>
          <w:rFonts w:eastAsia="Times New Roman" w:cs="Times New Roman"/>
          <w:i/>
          <w:iCs/>
          <w:color w:val="auto"/>
          <w:spacing w:val="3"/>
          <w:lang w:eastAsia="en-US"/>
        </w:rPr>
        <w:t>q</w:t>
      </w:r>
      <w:r w:rsidR="00242DA0" w:rsidRPr="00DE12A3">
        <w:rPr>
          <w:rFonts w:eastAsia="Times New Roman" w:cs="Times New Roman"/>
          <w:color w:val="auto"/>
          <w:spacing w:val="3"/>
          <w:vertAlign w:val="subscript"/>
          <w:lang w:eastAsia="en-US"/>
        </w:rPr>
        <w:t>mew,i</w:t>
      </w:r>
      <w:r w:rsidR="00242DA0" w:rsidRPr="00DE12A3">
        <w:rPr>
          <w:rFonts w:eastAsia="Times New Roman" w:cs="Times New Roman"/>
          <w:color w:val="auto"/>
          <w:spacing w:val="3"/>
          <w:lang w:eastAsia="en-US"/>
        </w:rPr>
        <w:t xml:space="preserve"> sinyalinin (yani egzoz akış ölçer tarafından sağlanan yaş bazda egzoz gazı kütle akış hızının) dönüşüm süreleri belirlenmelidir. Bu sinyaller her testten sonra yapılan regresyon kontrollerinde kullanılır (bkz. 8.2.1.2).</w:t>
      </w:r>
    </w:p>
    <w:p w14:paraId="01A368E9" w14:textId="77777777" w:rsidR="002D7B36" w:rsidRPr="00DE12A3" w:rsidRDefault="00001978" w:rsidP="00C917D6">
      <w:pPr>
        <w:tabs>
          <w:tab w:val="left" w:pos="1134"/>
        </w:tabs>
        <w:spacing w:before="120" w:after="120"/>
        <w:ind w:left="1134" w:hanging="1134"/>
        <w:jc w:val="both"/>
        <w:rPr>
          <w:rFonts w:eastAsia="Times New Roman" w:cs="Times New Roman"/>
          <w:color w:val="auto"/>
          <w:spacing w:val="3"/>
          <w:lang w:eastAsia="en-US"/>
        </w:rPr>
      </w:pPr>
      <w:r w:rsidRPr="00DE12A3">
        <w:rPr>
          <w:rFonts w:eastAsia="Times New Roman" w:cs="Times New Roman"/>
          <w:color w:val="auto"/>
          <w:spacing w:val="3"/>
          <w:lang w:eastAsia="en-US"/>
        </w:rPr>
        <w:t xml:space="preserve">                  </w:t>
      </w:r>
      <w:r w:rsidR="00242DA0" w:rsidRPr="00DE12A3">
        <w:rPr>
          <w:rFonts w:eastAsia="Times New Roman" w:cs="Times New Roman"/>
          <w:color w:val="auto"/>
          <w:spacing w:val="3"/>
          <w:lang w:eastAsia="en-US"/>
        </w:rPr>
        <w:t>Hesaplama en az 5 yükselme ve düşme uyaranı için tekrarlanmalı ve sonuçların ortalaması alınmalıdır. Referans sayacın iç dönüşüm süresi (&lt;100 ms) bu değerden çıkarılmalıdır. İleriye dönük kontrolün gerekli olduğu hallerde, kısmi akışlı seyreltme sisteminin ileriye dönük değeri 8.2.1.2 bendi uyarınca uygulanmalıdır.</w:t>
      </w:r>
    </w:p>
    <w:p w14:paraId="74FC67C4" w14:textId="77777777" w:rsidR="002D7B36" w:rsidRPr="00DE12A3" w:rsidRDefault="00242DA0" w:rsidP="00C917D6">
      <w:pPr>
        <w:spacing w:before="120" w:after="120"/>
        <w:ind w:left="1134" w:hanging="1134"/>
        <w:jc w:val="both"/>
        <w:rPr>
          <w:rFonts w:eastAsia="Times New Roman" w:cs="Times New Roman"/>
          <w:color w:val="auto"/>
          <w:spacing w:val="3"/>
          <w:lang w:eastAsia="en-US"/>
        </w:rPr>
      </w:pPr>
      <w:r w:rsidRPr="00DE12A3">
        <w:rPr>
          <w:rFonts w:eastAsia="Times New Roman" w:cs="Times New Roman"/>
          <w:color w:val="auto"/>
          <w:spacing w:val="3"/>
          <w:lang w:eastAsia="en-US"/>
        </w:rPr>
        <w:t>8.1.8.7.</w:t>
      </w:r>
      <w:r w:rsidRPr="00DE12A3">
        <w:rPr>
          <w:rFonts w:eastAsia="Times New Roman" w:cs="Times New Roman"/>
          <w:color w:val="auto"/>
          <w:spacing w:val="3"/>
          <w:lang w:eastAsia="en-US"/>
        </w:rPr>
        <w:tab/>
        <w:t>Vakum tarafı kaçak doğrulaması</w:t>
      </w:r>
    </w:p>
    <w:p w14:paraId="1225C218" w14:textId="77777777" w:rsidR="002D7B36" w:rsidRPr="00DE12A3" w:rsidRDefault="00242DA0" w:rsidP="00E20716">
      <w:pPr>
        <w:numPr>
          <w:ilvl w:val="0"/>
          <w:numId w:val="240"/>
        </w:numPr>
        <w:spacing w:before="120" w:after="120"/>
        <w:ind w:left="1134" w:hanging="1134"/>
        <w:jc w:val="both"/>
        <w:rPr>
          <w:rFonts w:eastAsia="Times New Roman" w:cs="Times New Roman"/>
          <w:color w:val="auto"/>
          <w:spacing w:val="3"/>
          <w:lang w:eastAsia="en-US"/>
        </w:rPr>
      </w:pPr>
      <w:r w:rsidRPr="00DE12A3">
        <w:rPr>
          <w:rFonts w:eastAsia="Times New Roman" w:cs="Times New Roman"/>
          <w:color w:val="auto"/>
          <w:spacing w:val="3"/>
          <w:lang w:eastAsia="en-US"/>
        </w:rPr>
        <w:t>Kapsam ve sıklık</w:t>
      </w:r>
    </w:p>
    <w:p w14:paraId="4D93C359" w14:textId="7FAB1331" w:rsidR="002D7B36" w:rsidRPr="00DE12A3" w:rsidRDefault="00336884" w:rsidP="00C917D6">
      <w:pPr>
        <w:tabs>
          <w:tab w:val="left" w:pos="1134"/>
        </w:tabs>
        <w:spacing w:before="120" w:after="120"/>
        <w:ind w:left="1134" w:hanging="1134"/>
        <w:jc w:val="both"/>
        <w:rPr>
          <w:rFonts w:eastAsia="Times New Roman" w:cs="Times New Roman"/>
          <w:color w:val="auto"/>
          <w:spacing w:val="3"/>
          <w:lang w:eastAsia="en-US"/>
        </w:rPr>
      </w:pPr>
      <w:r w:rsidRPr="00DE12A3">
        <w:rPr>
          <w:rFonts w:eastAsia="Times New Roman" w:cs="Times New Roman"/>
          <w:color w:val="auto"/>
          <w:spacing w:val="3"/>
          <w:lang w:eastAsia="en-US"/>
        </w:rPr>
        <w:lastRenderedPageBreak/>
        <w:t xml:space="preserve">                  </w:t>
      </w:r>
      <w:r w:rsidR="00242DA0" w:rsidRPr="00DE12A3">
        <w:rPr>
          <w:rFonts w:eastAsia="Times New Roman" w:cs="Times New Roman"/>
          <w:color w:val="auto"/>
          <w:spacing w:val="3"/>
          <w:lang w:eastAsia="en-US"/>
        </w:rPr>
        <w:t xml:space="preserve">İlk örnekleme sistemi montajında, ön filtre değişiklikleri gibi büyük bir bakım sonrasında ve her hizmet </w:t>
      </w:r>
      <w:r w:rsidR="00F310B5" w:rsidRPr="00DE12A3">
        <w:rPr>
          <w:rFonts w:eastAsia="Times New Roman" w:cs="Times New Roman"/>
          <w:color w:val="auto"/>
          <w:spacing w:val="3"/>
          <w:lang w:eastAsia="en-US"/>
        </w:rPr>
        <w:t>çevrimi</w:t>
      </w:r>
      <w:r w:rsidR="00242DA0" w:rsidRPr="00DE12A3">
        <w:rPr>
          <w:rFonts w:eastAsia="Times New Roman" w:cs="Times New Roman"/>
          <w:color w:val="auto"/>
          <w:spacing w:val="3"/>
          <w:lang w:eastAsia="en-US"/>
        </w:rPr>
        <w:t xml:space="preserve"> diz</w:t>
      </w:r>
      <w:r w:rsidR="009947CD" w:rsidRPr="00DE12A3">
        <w:rPr>
          <w:rFonts w:eastAsia="Times New Roman" w:cs="Times New Roman"/>
          <w:color w:val="auto"/>
          <w:spacing w:val="3"/>
          <w:lang w:eastAsia="en-US"/>
        </w:rPr>
        <w:t>isinden 8 saat önce, bu B</w:t>
      </w:r>
      <w:r w:rsidR="00242DA0" w:rsidRPr="00DE12A3">
        <w:rPr>
          <w:rFonts w:eastAsia="Times New Roman" w:cs="Times New Roman"/>
          <w:color w:val="auto"/>
          <w:spacing w:val="3"/>
          <w:lang w:eastAsia="en-US"/>
        </w:rPr>
        <w:t>ölümde açıklanan kaçak testlerinden biri kullanılarak önemli bir vakum tarafı kaçağı olmadığı doğrulanmalıdır. Bu doğrulama, bir CVS seyreltme sisteminin hiçbir tam akış kısmı için uygulanmaz.</w:t>
      </w:r>
    </w:p>
    <w:p w14:paraId="38BA02C0" w14:textId="77777777" w:rsidR="002D7B36" w:rsidRPr="00DE12A3" w:rsidRDefault="00242DA0" w:rsidP="00E20716">
      <w:pPr>
        <w:numPr>
          <w:ilvl w:val="0"/>
          <w:numId w:val="240"/>
        </w:numPr>
        <w:tabs>
          <w:tab w:val="left" w:pos="1134"/>
        </w:tabs>
        <w:spacing w:before="120" w:after="120"/>
        <w:ind w:left="1134" w:hanging="1134"/>
        <w:jc w:val="both"/>
        <w:rPr>
          <w:rFonts w:eastAsia="Times New Roman" w:cs="Times New Roman"/>
          <w:color w:val="auto"/>
          <w:spacing w:val="3"/>
          <w:lang w:eastAsia="en-US"/>
        </w:rPr>
      </w:pPr>
      <w:r w:rsidRPr="00DE12A3">
        <w:rPr>
          <w:rFonts w:eastAsia="Times New Roman" w:cs="Times New Roman"/>
          <w:color w:val="auto"/>
          <w:spacing w:val="3"/>
          <w:lang w:eastAsia="en-US"/>
        </w:rPr>
        <w:t>Ölçüm ilkeleri</w:t>
      </w:r>
    </w:p>
    <w:p w14:paraId="53085C49" w14:textId="77777777" w:rsidR="002D7B36" w:rsidRPr="00DE12A3" w:rsidRDefault="00336884" w:rsidP="00C917D6">
      <w:pPr>
        <w:tabs>
          <w:tab w:val="left" w:pos="1134"/>
        </w:tabs>
        <w:spacing w:before="120" w:after="120"/>
        <w:ind w:left="1134" w:hanging="1134"/>
        <w:jc w:val="both"/>
        <w:rPr>
          <w:rFonts w:eastAsia="Times New Roman" w:cs="Times New Roman"/>
          <w:color w:val="auto"/>
          <w:spacing w:val="3"/>
          <w:lang w:eastAsia="en-US"/>
        </w:rPr>
      </w:pPr>
      <w:r w:rsidRPr="00DE12A3">
        <w:rPr>
          <w:rFonts w:eastAsia="Times New Roman" w:cs="Times New Roman"/>
          <w:color w:val="auto"/>
          <w:spacing w:val="3"/>
          <w:lang w:eastAsia="en-US"/>
        </w:rPr>
        <w:t xml:space="preserve">                  </w:t>
      </w:r>
      <w:r w:rsidR="00242DA0" w:rsidRPr="00DE12A3">
        <w:rPr>
          <w:rFonts w:eastAsia="Times New Roman" w:cs="Times New Roman"/>
          <w:color w:val="auto"/>
          <w:spacing w:val="3"/>
          <w:lang w:eastAsia="en-US"/>
        </w:rPr>
        <w:t>Bir kaçak; sıfır akış olduğu zaman küçük bir akış miktarı ölçülerek, bir örnekleme sisteminin vakum tarafının içinden aktığında konsantrasyonu bilinen bir ayar gazı seyreltisinin tespit edilmesiyle veya boşaltılmış bir sistemdeki basınç artışının ölçülmesiyle tespit edilebilir.</w:t>
      </w:r>
    </w:p>
    <w:p w14:paraId="02C942E0" w14:textId="77777777" w:rsidR="002D7B36" w:rsidRPr="00DE12A3" w:rsidRDefault="00242DA0" w:rsidP="00E20716">
      <w:pPr>
        <w:numPr>
          <w:ilvl w:val="0"/>
          <w:numId w:val="240"/>
        </w:numPr>
        <w:tabs>
          <w:tab w:val="left" w:pos="1134"/>
        </w:tabs>
        <w:spacing w:before="120" w:after="120"/>
        <w:ind w:left="1134" w:hanging="1134"/>
        <w:jc w:val="both"/>
        <w:rPr>
          <w:rFonts w:eastAsia="Times New Roman" w:cs="Times New Roman"/>
          <w:color w:val="auto"/>
          <w:spacing w:val="3"/>
          <w:lang w:eastAsia="en-US"/>
        </w:rPr>
      </w:pPr>
      <w:r w:rsidRPr="00DE12A3">
        <w:rPr>
          <w:rFonts w:eastAsia="Times New Roman" w:cs="Times New Roman"/>
          <w:color w:val="auto"/>
          <w:spacing w:val="3"/>
          <w:lang w:eastAsia="en-US"/>
        </w:rPr>
        <w:t>Düşük akışlı kaçak testi</w:t>
      </w:r>
    </w:p>
    <w:p w14:paraId="7E17437E" w14:textId="77777777" w:rsidR="002D7B36" w:rsidRPr="00DE12A3" w:rsidRDefault="00336884" w:rsidP="00C917D6">
      <w:pPr>
        <w:tabs>
          <w:tab w:val="left" w:pos="1134"/>
        </w:tabs>
        <w:spacing w:before="120" w:after="120"/>
        <w:ind w:left="1134" w:hanging="1134"/>
        <w:jc w:val="both"/>
        <w:rPr>
          <w:rFonts w:eastAsia="Times New Roman" w:cs="Times New Roman"/>
          <w:color w:val="auto"/>
          <w:spacing w:val="3"/>
          <w:lang w:eastAsia="en-US"/>
        </w:rPr>
      </w:pPr>
      <w:r w:rsidRPr="00DE12A3">
        <w:rPr>
          <w:rFonts w:eastAsia="Times New Roman" w:cs="Times New Roman"/>
          <w:color w:val="auto"/>
          <w:spacing w:val="3"/>
          <w:lang w:eastAsia="en-US"/>
        </w:rPr>
        <w:t xml:space="preserve">                   </w:t>
      </w:r>
      <w:r w:rsidR="00242DA0" w:rsidRPr="00DE12A3">
        <w:rPr>
          <w:rFonts w:eastAsia="Times New Roman" w:cs="Times New Roman"/>
          <w:color w:val="auto"/>
          <w:spacing w:val="3"/>
          <w:lang w:eastAsia="en-US"/>
        </w:rPr>
        <w:t>Bir örnekleme sistemi düşük akışlı kaçaklar bakımından aşağıdaki şekilde test edilir:</w:t>
      </w:r>
    </w:p>
    <w:p w14:paraId="5D853ADA" w14:textId="02DDB973" w:rsidR="002D7B36" w:rsidRPr="00DE12A3" w:rsidRDefault="00336884" w:rsidP="00E20716">
      <w:pPr>
        <w:numPr>
          <w:ilvl w:val="0"/>
          <w:numId w:val="241"/>
        </w:numPr>
        <w:spacing w:before="120" w:after="120"/>
        <w:ind w:left="1701" w:hanging="567"/>
        <w:jc w:val="both"/>
        <w:rPr>
          <w:rFonts w:eastAsia="Times New Roman" w:cs="Times New Roman"/>
          <w:color w:val="auto"/>
          <w:spacing w:val="3"/>
          <w:lang w:eastAsia="en-US"/>
        </w:rPr>
      </w:pPr>
      <w:r w:rsidRPr="00DE12A3">
        <w:rPr>
          <w:rFonts w:eastAsia="Times New Roman" w:cs="Times New Roman"/>
          <w:color w:val="auto"/>
          <w:spacing w:val="3"/>
          <w:lang w:eastAsia="en-US"/>
        </w:rPr>
        <w:t xml:space="preserve">     </w:t>
      </w:r>
      <w:r w:rsidR="00242DA0" w:rsidRPr="00DE12A3">
        <w:rPr>
          <w:rFonts w:eastAsia="Times New Roman" w:cs="Times New Roman"/>
          <w:color w:val="auto"/>
          <w:spacing w:val="3"/>
          <w:lang w:eastAsia="en-US"/>
        </w:rPr>
        <w:t>Sistemin sonda tarafındaki ucu, aşağıdaki adımlardan biri kullanılarak kapatılmalıdır</w:t>
      </w:r>
      <w:r w:rsidR="00DF78A3" w:rsidRPr="00DE12A3">
        <w:rPr>
          <w:rFonts w:eastAsia="Times New Roman" w:cs="Times New Roman"/>
          <w:color w:val="auto"/>
          <w:spacing w:val="3"/>
          <w:lang w:eastAsia="en-US"/>
        </w:rPr>
        <w:t>;</w:t>
      </w:r>
    </w:p>
    <w:p w14:paraId="5B2F9456" w14:textId="0F2024EE" w:rsidR="002D7B36" w:rsidRPr="00DE12A3" w:rsidRDefault="00336884" w:rsidP="00E20716">
      <w:pPr>
        <w:numPr>
          <w:ilvl w:val="0"/>
          <w:numId w:val="242"/>
        </w:numPr>
        <w:spacing w:before="120" w:after="120"/>
        <w:ind w:left="2268" w:hanging="708"/>
        <w:jc w:val="both"/>
        <w:rPr>
          <w:rFonts w:eastAsia="Times New Roman" w:cs="Times New Roman"/>
          <w:color w:val="auto"/>
          <w:spacing w:val="3"/>
          <w:lang w:eastAsia="en-US"/>
        </w:rPr>
      </w:pPr>
      <w:r w:rsidRPr="00DE12A3">
        <w:rPr>
          <w:rFonts w:eastAsia="Times New Roman" w:cs="Times New Roman"/>
          <w:color w:val="auto"/>
          <w:spacing w:val="3"/>
          <w:lang w:eastAsia="en-US"/>
        </w:rPr>
        <w:t xml:space="preserve">   </w:t>
      </w:r>
      <w:r w:rsidR="00242DA0" w:rsidRPr="00DE12A3">
        <w:rPr>
          <w:rFonts w:eastAsia="Times New Roman" w:cs="Times New Roman"/>
          <w:color w:val="auto"/>
          <w:spacing w:val="3"/>
          <w:lang w:eastAsia="en-US"/>
        </w:rPr>
        <w:t>Numune sondasının ucu kapaklı veya tapalı olmalıdır</w:t>
      </w:r>
      <w:r w:rsidR="00DF78A3" w:rsidRPr="00DE12A3">
        <w:rPr>
          <w:rFonts w:eastAsia="Times New Roman" w:cs="Times New Roman"/>
          <w:color w:val="auto"/>
          <w:spacing w:val="3"/>
          <w:lang w:eastAsia="en-US"/>
        </w:rPr>
        <w:t>.</w:t>
      </w:r>
    </w:p>
    <w:p w14:paraId="4B5A8A99" w14:textId="5F35821F" w:rsidR="002D7B36" w:rsidRPr="00DE12A3" w:rsidRDefault="00336884" w:rsidP="00E20716">
      <w:pPr>
        <w:numPr>
          <w:ilvl w:val="0"/>
          <w:numId w:val="242"/>
        </w:numPr>
        <w:spacing w:before="120" w:after="120"/>
        <w:ind w:left="2268" w:hanging="708"/>
        <w:jc w:val="both"/>
        <w:rPr>
          <w:rFonts w:eastAsia="Times New Roman" w:cs="Times New Roman"/>
          <w:color w:val="auto"/>
          <w:spacing w:val="3"/>
          <w:lang w:eastAsia="en-US"/>
        </w:rPr>
      </w:pPr>
      <w:r w:rsidRPr="00DE12A3">
        <w:rPr>
          <w:rFonts w:eastAsia="Times New Roman" w:cs="Times New Roman"/>
          <w:color w:val="auto"/>
          <w:spacing w:val="3"/>
          <w:lang w:eastAsia="en-US"/>
        </w:rPr>
        <w:t xml:space="preserve">   </w:t>
      </w:r>
      <w:r w:rsidR="00242DA0" w:rsidRPr="00DE12A3">
        <w:rPr>
          <w:rFonts w:eastAsia="Times New Roman" w:cs="Times New Roman"/>
          <w:color w:val="auto"/>
          <w:spacing w:val="3"/>
          <w:lang w:eastAsia="en-US"/>
        </w:rPr>
        <w:t>Aktarım hattı sondadan ayırılmış olmalı ve aktarım hattı kapaklı veya tapalı olmalıdır</w:t>
      </w:r>
      <w:r w:rsidR="00DF78A3" w:rsidRPr="00DE12A3">
        <w:rPr>
          <w:rFonts w:eastAsia="Times New Roman" w:cs="Times New Roman"/>
          <w:color w:val="auto"/>
          <w:spacing w:val="3"/>
          <w:lang w:eastAsia="en-US"/>
        </w:rPr>
        <w:t>.</w:t>
      </w:r>
    </w:p>
    <w:p w14:paraId="6B83E3E0" w14:textId="22CDD0EE" w:rsidR="002D7B36" w:rsidRPr="00DE12A3" w:rsidRDefault="00336884" w:rsidP="00E20716">
      <w:pPr>
        <w:numPr>
          <w:ilvl w:val="0"/>
          <w:numId w:val="242"/>
        </w:numPr>
        <w:spacing w:before="120" w:after="120"/>
        <w:ind w:left="2268" w:hanging="708"/>
        <w:jc w:val="both"/>
        <w:rPr>
          <w:rFonts w:eastAsia="Times New Roman" w:cs="Times New Roman"/>
          <w:color w:val="auto"/>
          <w:spacing w:val="3"/>
          <w:lang w:eastAsia="en-US"/>
        </w:rPr>
      </w:pPr>
      <w:r w:rsidRPr="00DE12A3">
        <w:rPr>
          <w:rFonts w:eastAsia="Times New Roman" w:cs="Times New Roman"/>
          <w:color w:val="auto"/>
          <w:spacing w:val="3"/>
          <w:lang w:eastAsia="en-US"/>
        </w:rPr>
        <w:t xml:space="preserve">   </w:t>
      </w:r>
      <w:r w:rsidR="00242DA0" w:rsidRPr="00DE12A3">
        <w:rPr>
          <w:rFonts w:eastAsia="Times New Roman" w:cs="Times New Roman"/>
          <w:color w:val="auto"/>
          <w:spacing w:val="3"/>
          <w:lang w:eastAsia="en-US"/>
        </w:rPr>
        <w:t>Sonda ile aktarım hattı arasında bulunan hizalı sızdırmaz bir valf kapatılmalıdır</w:t>
      </w:r>
      <w:r w:rsidR="00DF78A3" w:rsidRPr="00DE12A3">
        <w:rPr>
          <w:rFonts w:eastAsia="Times New Roman" w:cs="Times New Roman"/>
          <w:color w:val="auto"/>
          <w:spacing w:val="3"/>
          <w:lang w:eastAsia="en-US"/>
        </w:rPr>
        <w:t>.</w:t>
      </w:r>
    </w:p>
    <w:p w14:paraId="3DC9EF7A" w14:textId="77777777" w:rsidR="002D7B36" w:rsidRPr="00DE12A3" w:rsidRDefault="00242DA0" w:rsidP="00E20716">
      <w:pPr>
        <w:numPr>
          <w:ilvl w:val="0"/>
          <w:numId w:val="241"/>
        </w:numPr>
        <w:spacing w:before="120" w:after="120"/>
        <w:ind w:left="1701" w:hanging="567"/>
        <w:jc w:val="both"/>
        <w:rPr>
          <w:rFonts w:eastAsia="Times New Roman" w:cs="Times New Roman"/>
          <w:color w:val="auto"/>
          <w:spacing w:val="3"/>
          <w:lang w:eastAsia="en-US"/>
        </w:rPr>
      </w:pPr>
      <w:r w:rsidRPr="00DE12A3">
        <w:rPr>
          <w:rFonts w:eastAsia="Times New Roman" w:cs="Times New Roman"/>
          <w:color w:val="auto"/>
          <w:spacing w:val="3"/>
          <w:lang w:eastAsia="en-US"/>
        </w:rPr>
        <w:t xml:space="preserve">Tüm vakum pompaları çalıştırılmalıdır. Dengeleme sonrasında, örnekleme sisteminin vakum tarafı içinden geçen akışın, sistemin normal kullanımdaki akış hızının </w:t>
      </w:r>
      <w:r w:rsidR="00CF5D85" w:rsidRPr="00DE12A3">
        <w:rPr>
          <w:rFonts w:eastAsia="Times New Roman" w:cs="Times New Roman"/>
          <w:color w:val="auto"/>
          <w:spacing w:val="3"/>
          <w:lang w:eastAsia="en-US"/>
        </w:rPr>
        <w:t>%0,5</w:t>
      </w:r>
      <w:r w:rsidRPr="00DE12A3">
        <w:rPr>
          <w:rFonts w:eastAsia="Times New Roman" w:cs="Times New Roman"/>
          <w:color w:val="auto"/>
          <w:spacing w:val="3"/>
          <w:lang w:eastAsia="en-US"/>
        </w:rPr>
        <w:t>'inden az olduğu doğrulanmalıdır. Tipik analiz cihazı ve bypass akışları, sistemin normal kullanımdaki akış hızının bir yaklaşık değeri olarak tahmin edilebilir.</w:t>
      </w:r>
    </w:p>
    <w:p w14:paraId="06F4F2C4" w14:textId="77777777" w:rsidR="002D7B36" w:rsidRPr="00DE12A3" w:rsidRDefault="00336884" w:rsidP="00E20716">
      <w:pPr>
        <w:numPr>
          <w:ilvl w:val="0"/>
          <w:numId w:val="240"/>
        </w:numPr>
        <w:tabs>
          <w:tab w:val="right" w:pos="993"/>
        </w:tabs>
        <w:spacing w:before="120" w:after="120"/>
        <w:ind w:left="1134" w:hanging="1134"/>
        <w:jc w:val="both"/>
        <w:rPr>
          <w:rFonts w:eastAsia="Times New Roman" w:cs="Times New Roman"/>
          <w:color w:val="auto"/>
          <w:spacing w:val="3"/>
          <w:lang w:eastAsia="en-US"/>
        </w:rPr>
      </w:pPr>
      <w:r w:rsidRPr="00DE12A3">
        <w:rPr>
          <w:rFonts w:eastAsia="Times New Roman" w:cs="Times New Roman"/>
          <w:color w:val="auto"/>
          <w:spacing w:val="3"/>
          <w:lang w:eastAsia="en-US"/>
        </w:rPr>
        <w:t xml:space="preserve">   </w:t>
      </w:r>
      <w:r w:rsidR="00242DA0" w:rsidRPr="00DE12A3">
        <w:rPr>
          <w:rFonts w:eastAsia="Times New Roman" w:cs="Times New Roman"/>
          <w:color w:val="auto"/>
          <w:spacing w:val="3"/>
          <w:lang w:eastAsia="en-US"/>
        </w:rPr>
        <w:t>Ayar gazı seyreltisi kaçağı testi</w:t>
      </w:r>
    </w:p>
    <w:p w14:paraId="7E11FBB4" w14:textId="2BCD6A44" w:rsidR="002D7B36" w:rsidRPr="00DE12A3" w:rsidRDefault="00336884" w:rsidP="00C917D6">
      <w:pPr>
        <w:spacing w:before="120" w:after="120"/>
        <w:ind w:left="1134" w:hanging="1134"/>
        <w:jc w:val="both"/>
        <w:rPr>
          <w:rFonts w:eastAsia="Times New Roman" w:cs="Times New Roman"/>
          <w:color w:val="auto"/>
          <w:spacing w:val="3"/>
          <w:lang w:eastAsia="en-US"/>
        </w:rPr>
      </w:pPr>
      <w:r w:rsidRPr="00DE12A3">
        <w:rPr>
          <w:rFonts w:eastAsia="Times New Roman" w:cs="Times New Roman"/>
          <w:color w:val="auto"/>
          <w:spacing w:val="3"/>
          <w:lang w:eastAsia="en-US"/>
        </w:rPr>
        <w:t xml:space="preserve">                  </w:t>
      </w:r>
      <w:r w:rsidR="00242DA0" w:rsidRPr="00DE12A3">
        <w:rPr>
          <w:rFonts w:eastAsia="Times New Roman" w:cs="Times New Roman"/>
          <w:color w:val="auto"/>
          <w:spacing w:val="3"/>
          <w:lang w:eastAsia="en-US"/>
        </w:rPr>
        <w:t xml:space="preserve">Bu test için herhangi bir gaz analiz cihazı kullanılabilir. Bu test için bir FID kullanılırsa, örnekleme sistemi içindeki herhangi bir HC kirliliği, HC tespitine ilişkin 2. veya 3. </w:t>
      </w:r>
      <w:r w:rsidR="00B32A92" w:rsidRPr="00DE12A3">
        <w:rPr>
          <w:rFonts w:eastAsia="Times New Roman" w:cs="Times New Roman"/>
          <w:color w:val="auto"/>
          <w:spacing w:val="3"/>
          <w:lang w:eastAsia="en-US"/>
        </w:rPr>
        <w:t>Bölüm</w:t>
      </w:r>
      <w:r w:rsidR="00242DA0" w:rsidRPr="00DE12A3">
        <w:rPr>
          <w:rFonts w:eastAsia="Times New Roman" w:cs="Times New Roman"/>
          <w:color w:val="auto"/>
          <w:spacing w:val="3"/>
          <w:lang w:eastAsia="en-US"/>
        </w:rPr>
        <w:t xml:space="preserve"> uyarınca düzeltilmelidir. Bu test için kullanılan ayar gazı konsantrasyonunda sadece </w:t>
      </w:r>
      <w:r w:rsidR="00CF5D85" w:rsidRPr="00DE12A3">
        <w:rPr>
          <w:rFonts w:eastAsia="Times New Roman" w:cs="Times New Roman"/>
          <w:color w:val="auto"/>
          <w:spacing w:val="3"/>
          <w:lang w:eastAsia="en-US"/>
        </w:rPr>
        <w:t>%0,5</w:t>
      </w:r>
      <w:r w:rsidR="00242DA0" w:rsidRPr="00DE12A3">
        <w:rPr>
          <w:rFonts w:eastAsia="Times New Roman" w:cs="Times New Roman"/>
          <w:color w:val="auto"/>
          <w:spacing w:val="3"/>
          <w:lang w:eastAsia="en-US"/>
        </w:rPr>
        <w:t xml:space="preserve"> veya daha iyi tekrarlanabilirliğe sahip analizör cihazları kullanılarak yanıltıcı sonuçlardan kaçınılmalıdır. Vakum tarafındaki kaçak kontrolü aşağıdaki gibi yapılmalıdır:</w:t>
      </w:r>
    </w:p>
    <w:p w14:paraId="12F21291" w14:textId="02728654" w:rsidR="002D7B36" w:rsidRPr="00DE12A3" w:rsidRDefault="00336884" w:rsidP="00E20716">
      <w:pPr>
        <w:numPr>
          <w:ilvl w:val="0"/>
          <w:numId w:val="243"/>
        </w:numPr>
        <w:tabs>
          <w:tab w:val="left" w:pos="1560"/>
        </w:tabs>
        <w:spacing w:before="120" w:after="120"/>
        <w:ind w:left="1701" w:hanging="567"/>
        <w:jc w:val="both"/>
        <w:rPr>
          <w:rFonts w:eastAsia="Times New Roman" w:cs="Times New Roman"/>
          <w:color w:val="auto"/>
          <w:spacing w:val="3"/>
          <w:lang w:eastAsia="en-US"/>
        </w:rPr>
      </w:pPr>
      <w:r w:rsidRPr="00DE12A3">
        <w:rPr>
          <w:rFonts w:eastAsia="Times New Roman" w:cs="Times New Roman"/>
          <w:color w:val="auto"/>
          <w:spacing w:val="3"/>
          <w:lang w:eastAsia="en-US"/>
        </w:rPr>
        <w:t xml:space="preserve">  </w:t>
      </w:r>
      <w:r w:rsidR="00242DA0" w:rsidRPr="00DE12A3">
        <w:rPr>
          <w:rFonts w:eastAsia="Times New Roman" w:cs="Times New Roman"/>
          <w:color w:val="auto"/>
          <w:spacing w:val="3"/>
          <w:lang w:eastAsia="en-US"/>
        </w:rPr>
        <w:t>Emisyon testi için olduğu gibi bir gaz analiz cihazı hazırlanmalıdır</w:t>
      </w:r>
      <w:r w:rsidR="00DF78A3" w:rsidRPr="00DE12A3">
        <w:rPr>
          <w:rFonts w:eastAsia="Times New Roman" w:cs="Times New Roman"/>
          <w:color w:val="auto"/>
          <w:spacing w:val="3"/>
          <w:lang w:eastAsia="en-US"/>
        </w:rPr>
        <w:t>.</w:t>
      </w:r>
    </w:p>
    <w:p w14:paraId="6BBF06FC" w14:textId="7E97ECE6" w:rsidR="002D7B36" w:rsidRPr="00DE12A3" w:rsidRDefault="00336884" w:rsidP="00E20716">
      <w:pPr>
        <w:numPr>
          <w:ilvl w:val="0"/>
          <w:numId w:val="243"/>
        </w:numPr>
        <w:tabs>
          <w:tab w:val="left" w:pos="709"/>
          <w:tab w:val="left" w:pos="851"/>
          <w:tab w:val="left" w:pos="1560"/>
        </w:tabs>
        <w:spacing w:before="120" w:after="120"/>
        <w:ind w:left="1701" w:hanging="567"/>
        <w:jc w:val="both"/>
        <w:rPr>
          <w:rFonts w:eastAsia="Times New Roman" w:cs="Times New Roman"/>
          <w:color w:val="auto"/>
          <w:spacing w:val="3"/>
          <w:lang w:eastAsia="en-US"/>
        </w:rPr>
      </w:pPr>
      <w:r w:rsidRPr="00DE12A3">
        <w:rPr>
          <w:rFonts w:eastAsia="Times New Roman" w:cs="Times New Roman"/>
          <w:color w:val="auto"/>
          <w:spacing w:val="3"/>
          <w:lang w:eastAsia="en-US"/>
        </w:rPr>
        <w:t xml:space="preserve">  </w:t>
      </w:r>
      <w:r w:rsidR="00242DA0" w:rsidRPr="00DE12A3">
        <w:rPr>
          <w:rFonts w:eastAsia="Times New Roman" w:cs="Times New Roman"/>
          <w:color w:val="auto"/>
          <w:spacing w:val="3"/>
          <w:lang w:eastAsia="en-US"/>
        </w:rPr>
        <w:t>Ayar gazı analiz cihazı girişine beslenmeli ve ayar gazı konsantrasyonunun beklenen ölçüm doğruluğu ve tekrarlanabilirliği dahilinde ölçüldüğü doğrulanmalıdır</w:t>
      </w:r>
      <w:r w:rsidR="00DF78A3" w:rsidRPr="00DE12A3">
        <w:rPr>
          <w:rFonts w:eastAsia="Times New Roman" w:cs="Times New Roman"/>
          <w:color w:val="auto"/>
          <w:spacing w:val="3"/>
          <w:lang w:eastAsia="en-US"/>
        </w:rPr>
        <w:t>.</w:t>
      </w:r>
    </w:p>
    <w:p w14:paraId="1A7BE83C" w14:textId="25683017" w:rsidR="002D7B36" w:rsidRPr="00DE12A3" w:rsidRDefault="00336884" w:rsidP="00E20716">
      <w:pPr>
        <w:numPr>
          <w:ilvl w:val="0"/>
          <w:numId w:val="243"/>
        </w:numPr>
        <w:tabs>
          <w:tab w:val="left" w:pos="567"/>
          <w:tab w:val="left" w:pos="1560"/>
        </w:tabs>
        <w:spacing w:before="120" w:after="120"/>
        <w:ind w:left="1701" w:hanging="567"/>
        <w:jc w:val="both"/>
        <w:rPr>
          <w:rFonts w:eastAsia="Times New Roman" w:cs="Times New Roman"/>
          <w:color w:val="auto"/>
          <w:spacing w:val="3"/>
          <w:lang w:eastAsia="en-US"/>
        </w:rPr>
      </w:pPr>
      <w:r w:rsidRPr="00DE12A3">
        <w:rPr>
          <w:rFonts w:eastAsia="Times New Roman" w:cs="Times New Roman"/>
          <w:color w:val="auto"/>
          <w:spacing w:val="3"/>
          <w:lang w:eastAsia="en-US"/>
        </w:rPr>
        <w:t xml:space="preserve">  </w:t>
      </w:r>
      <w:r w:rsidR="00242DA0" w:rsidRPr="00DE12A3">
        <w:rPr>
          <w:rFonts w:eastAsia="Times New Roman" w:cs="Times New Roman"/>
          <w:color w:val="auto"/>
          <w:spacing w:val="3"/>
          <w:lang w:eastAsia="en-US"/>
        </w:rPr>
        <w:t>Taşan ayar gazı, örnekleme sisteminde aşağıdaki yerlerden birine yönlendirilir</w:t>
      </w:r>
      <w:r w:rsidR="00DF78A3" w:rsidRPr="00DE12A3">
        <w:rPr>
          <w:rFonts w:eastAsia="Times New Roman" w:cs="Times New Roman"/>
          <w:color w:val="auto"/>
          <w:spacing w:val="3"/>
          <w:lang w:eastAsia="en-US"/>
        </w:rPr>
        <w:t>;</w:t>
      </w:r>
    </w:p>
    <w:p w14:paraId="1E8914D9" w14:textId="2909A891" w:rsidR="002D7B36" w:rsidRPr="00DE12A3" w:rsidRDefault="00336884" w:rsidP="00E20716">
      <w:pPr>
        <w:numPr>
          <w:ilvl w:val="0"/>
          <w:numId w:val="244"/>
        </w:numPr>
        <w:spacing w:before="120" w:after="120"/>
        <w:ind w:left="2268" w:hanging="567"/>
        <w:jc w:val="both"/>
        <w:rPr>
          <w:rFonts w:eastAsia="Times New Roman" w:cs="Times New Roman"/>
          <w:color w:val="auto"/>
          <w:spacing w:val="3"/>
          <w:lang w:eastAsia="en-US"/>
        </w:rPr>
      </w:pPr>
      <w:r w:rsidRPr="00DE12A3">
        <w:rPr>
          <w:rFonts w:eastAsia="Times New Roman" w:cs="Times New Roman"/>
          <w:color w:val="auto"/>
          <w:spacing w:val="3"/>
          <w:lang w:eastAsia="en-US"/>
        </w:rPr>
        <w:t xml:space="preserve">  </w:t>
      </w:r>
      <w:r w:rsidR="00242DA0" w:rsidRPr="00DE12A3">
        <w:rPr>
          <w:rFonts w:eastAsia="Times New Roman" w:cs="Times New Roman"/>
          <w:color w:val="auto"/>
          <w:spacing w:val="3"/>
          <w:lang w:eastAsia="en-US"/>
        </w:rPr>
        <w:t>Numune sondasının ucu</w:t>
      </w:r>
      <w:r w:rsidR="00DF78A3" w:rsidRPr="00DE12A3">
        <w:rPr>
          <w:rFonts w:eastAsia="Times New Roman" w:cs="Times New Roman"/>
          <w:color w:val="auto"/>
          <w:spacing w:val="3"/>
          <w:lang w:eastAsia="en-US"/>
        </w:rPr>
        <w:t>.</w:t>
      </w:r>
    </w:p>
    <w:p w14:paraId="0BF19483" w14:textId="72947DB7" w:rsidR="002D7B36" w:rsidRPr="00DE12A3" w:rsidRDefault="00336884" w:rsidP="00E20716">
      <w:pPr>
        <w:numPr>
          <w:ilvl w:val="0"/>
          <w:numId w:val="244"/>
        </w:numPr>
        <w:spacing w:before="120" w:after="120"/>
        <w:ind w:left="2268" w:hanging="567"/>
        <w:jc w:val="both"/>
        <w:rPr>
          <w:rFonts w:eastAsia="Times New Roman" w:cs="Times New Roman"/>
          <w:color w:val="auto"/>
          <w:spacing w:val="3"/>
          <w:lang w:eastAsia="en-US"/>
        </w:rPr>
      </w:pPr>
      <w:r w:rsidRPr="00DE12A3">
        <w:rPr>
          <w:rFonts w:eastAsia="Times New Roman" w:cs="Times New Roman"/>
          <w:color w:val="auto"/>
          <w:spacing w:val="3"/>
          <w:lang w:eastAsia="en-US"/>
        </w:rPr>
        <w:t xml:space="preserve">  </w:t>
      </w:r>
      <w:r w:rsidR="00242DA0" w:rsidRPr="00DE12A3">
        <w:rPr>
          <w:rFonts w:eastAsia="Times New Roman" w:cs="Times New Roman"/>
          <w:color w:val="auto"/>
          <w:spacing w:val="3"/>
          <w:lang w:eastAsia="en-US"/>
        </w:rPr>
        <w:t>Aktarım hattının bağlantısı sonda bağlantısından kesilmeli ve ayar gazı aktarım hattının açık ucunda taşmalıdır</w:t>
      </w:r>
      <w:r w:rsidR="00DF78A3" w:rsidRPr="00DE12A3">
        <w:rPr>
          <w:rFonts w:eastAsia="Times New Roman" w:cs="Times New Roman"/>
          <w:color w:val="auto"/>
          <w:spacing w:val="3"/>
          <w:lang w:eastAsia="en-US"/>
        </w:rPr>
        <w:t>.</w:t>
      </w:r>
    </w:p>
    <w:p w14:paraId="4DDB2A99" w14:textId="45A7DAC7" w:rsidR="002D7B36" w:rsidRPr="00DE12A3" w:rsidRDefault="00336884" w:rsidP="00E20716">
      <w:pPr>
        <w:numPr>
          <w:ilvl w:val="0"/>
          <w:numId w:val="244"/>
        </w:numPr>
        <w:tabs>
          <w:tab w:val="left" w:pos="851"/>
          <w:tab w:val="left" w:pos="1418"/>
        </w:tabs>
        <w:spacing w:before="120" w:after="120"/>
        <w:ind w:left="2268" w:hanging="567"/>
        <w:jc w:val="both"/>
        <w:rPr>
          <w:rFonts w:eastAsia="Times New Roman" w:cs="Times New Roman"/>
          <w:color w:val="auto"/>
          <w:spacing w:val="3"/>
          <w:lang w:eastAsia="en-US"/>
        </w:rPr>
      </w:pPr>
      <w:r w:rsidRPr="00DE12A3">
        <w:rPr>
          <w:rFonts w:eastAsia="Times New Roman" w:cs="Times New Roman"/>
          <w:color w:val="auto"/>
          <w:spacing w:val="3"/>
          <w:lang w:eastAsia="en-US"/>
        </w:rPr>
        <w:t xml:space="preserve">  </w:t>
      </w:r>
      <w:r w:rsidR="00242DA0" w:rsidRPr="00DE12A3">
        <w:rPr>
          <w:rFonts w:eastAsia="Times New Roman" w:cs="Times New Roman"/>
          <w:color w:val="auto"/>
          <w:spacing w:val="3"/>
          <w:lang w:eastAsia="en-US"/>
        </w:rPr>
        <w:t>Bir sonda ile aktarım hattı arasına hizalı monte edilmiş bir üç yollu vana</w:t>
      </w:r>
      <w:r w:rsidR="00DF78A3" w:rsidRPr="00DE12A3">
        <w:rPr>
          <w:rFonts w:eastAsia="Times New Roman" w:cs="Times New Roman"/>
          <w:color w:val="auto"/>
          <w:spacing w:val="3"/>
          <w:lang w:eastAsia="en-US"/>
        </w:rPr>
        <w:t>.</w:t>
      </w:r>
    </w:p>
    <w:p w14:paraId="6BFE1495" w14:textId="066208BC" w:rsidR="002D7B36" w:rsidRPr="00DE12A3" w:rsidRDefault="00336884" w:rsidP="00E20716">
      <w:pPr>
        <w:numPr>
          <w:ilvl w:val="0"/>
          <w:numId w:val="243"/>
        </w:numPr>
        <w:tabs>
          <w:tab w:val="left" w:pos="1560"/>
        </w:tabs>
        <w:spacing w:before="120" w:after="120"/>
        <w:ind w:left="1701" w:hanging="567"/>
        <w:jc w:val="both"/>
        <w:rPr>
          <w:rFonts w:eastAsia="Times New Roman" w:cs="Times New Roman"/>
          <w:color w:val="auto"/>
          <w:spacing w:val="3"/>
          <w:lang w:eastAsia="en-US"/>
        </w:rPr>
      </w:pPr>
      <w:r w:rsidRPr="00DE12A3">
        <w:rPr>
          <w:rFonts w:eastAsia="Times New Roman" w:cs="Times New Roman"/>
          <w:color w:val="auto"/>
          <w:spacing w:val="3"/>
          <w:lang w:eastAsia="en-US"/>
        </w:rPr>
        <w:t xml:space="preserve">  </w:t>
      </w:r>
      <w:r w:rsidR="00242DA0" w:rsidRPr="00DE12A3">
        <w:rPr>
          <w:rFonts w:eastAsia="Times New Roman" w:cs="Times New Roman"/>
          <w:color w:val="auto"/>
          <w:spacing w:val="3"/>
          <w:lang w:eastAsia="en-US"/>
        </w:rPr>
        <w:t xml:space="preserve">Ölçülen taşan ayar gazı konsantrasyonunun, ayar gazı konsantrasyonu ± </w:t>
      </w:r>
      <w:r w:rsidR="00CF5D85" w:rsidRPr="00DE12A3">
        <w:rPr>
          <w:rFonts w:eastAsia="Times New Roman" w:cs="Times New Roman"/>
          <w:color w:val="auto"/>
          <w:spacing w:val="3"/>
          <w:lang w:eastAsia="en-US"/>
        </w:rPr>
        <w:lastRenderedPageBreak/>
        <w:t>%0,5</w:t>
      </w:r>
      <w:r w:rsidR="00242DA0" w:rsidRPr="00DE12A3">
        <w:rPr>
          <w:rFonts w:eastAsia="Times New Roman" w:cs="Times New Roman"/>
          <w:color w:val="auto"/>
          <w:spacing w:val="3"/>
          <w:lang w:eastAsia="en-US"/>
        </w:rPr>
        <w:t xml:space="preserve"> aralığı içinde olduğu doğrulanmalıdır. Beklenenden daha düşük bir ölçülen </w:t>
      </w:r>
      <w:r w:rsidR="00C17C59" w:rsidRPr="00DE12A3">
        <w:rPr>
          <w:rFonts w:eastAsia="Times New Roman" w:cs="Times New Roman"/>
          <w:color w:val="auto"/>
          <w:spacing w:val="3"/>
          <w:lang w:eastAsia="en-US"/>
        </w:rPr>
        <w:t xml:space="preserve">bir </w:t>
      </w:r>
      <w:r w:rsidR="00242DA0" w:rsidRPr="00DE12A3">
        <w:rPr>
          <w:rFonts w:eastAsia="Times New Roman" w:cs="Times New Roman"/>
          <w:color w:val="auto"/>
          <w:spacing w:val="3"/>
          <w:lang w:eastAsia="en-US"/>
        </w:rPr>
        <w:t>değer kaçağa işaret eder, ancak beklenenden daha yüksek bir değer ayar gazında veya analiz cihazının kendisinde bir sorun olduğunu gösterebilir. Beklenenden daha yüksek ölçülen bir değer, kaçak olduğunu göstermez.</w:t>
      </w:r>
    </w:p>
    <w:p w14:paraId="0D6892A4" w14:textId="77777777" w:rsidR="002D7B36" w:rsidRPr="00DE12A3" w:rsidRDefault="00242DA0" w:rsidP="00E20716">
      <w:pPr>
        <w:numPr>
          <w:ilvl w:val="0"/>
          <w:numId w:val="240"/>
        </w:numPr>
        <w:spacing w:before="120" w:after="120"/>
        <w:ind w:left="1134" w:hanging="1134"/>
        <w:jc w:val="both"/>
        <w:rPr>
          <w:rFonts w:eastAsia="Times New Roman" w:cs="Times New Roman"/>
          <w:color w:val="auto"/>
          <w:spacing w:val="3"/>
          <w:lang w:eastAsia="en-US"/>
        </w:rPr>
      </w:pPr>
      <w:r w:rsidRPr="00DE12A3">
        <w:rPr>
          <w:rFonts w:eastAsia="Times New Roman" w:cs="Times New Roman"/>
          <w:color w:val="auto"/>
          <w:spacing w:val="3"/>
          <w:lang w:eastAsia="en-US"/>
        </w:rPr>
        <w:t>Vakum kaçağı testi</w:t>
      </w:r>
    </w:p>
    <w:p w14:paraId="7FCE5073" w14:textId="77777777" w:rsidR="002D7B36" w:rsidRPr="00DE12A3" w:rsidRDefault="00336884" w:rsidP="00C917D6">
      <w:pPr>
        <w:spacing w:before="120" w:after="120"/>
        <w:ind w:left="1134" w:hanging="1134"/>
        <w:jc w:val="both"/>
        <w:rPr>
          <w:rFonts w:eastAsia="Times New Roman" w:cs="Times New Roman"/>
          <w:color w:val="auto"/>
          <w:spacing w:val="3"/>
          <w:lang w:eastAsia="en-US"/>
        </w:rPr>
      </w:pPr>
      <w:r w:rsidRPr="00DE12A3">
        <w:rPr>
          <w:rFonts w:eastAsia="Times New Roman" w:cs="Times New Roman"/>
          <w:color w:val="auto"/>
          <w:spacing w:val="3"/>
          <w:lang w:eastAsia="en-US"/>
        </w:rPr>
        <w:t xml:space="preserve">                  </w:t>
      </w:r>
      <w:r w:rsidR="00242DA0" w:rsidRPr="00DE12A3">
        <w:rPr>
          <w:rFonts w:eastAsia="Times New Roman" w:cs="Times New Roman"/>
          <w:color w:val="auto"/>
          <w:spacing w:val="3"/>
          <w:lang w:eastAsia="en-US"/>
        </w:rPr>
        <w:t xml:space="preserve">Bu test gerçekleştirirken, örnekleme sisteminin vakum tarafının hacmine bir vakum uygulanır ve sistemin kaçak oranı uygulanan vakumdaki bir düşüş olarak gözlenir. Bu testin gerçekleştirilmesi için, örnekleme sisteminin vakum tarafının hacminin, gerçek hacminin ± </w:t>
      </w:r>
      <w:r w:rsidR="00CF5D85" w:rsidRPr="00DE12A3">
        <w:rPr>
          <w:rFonts w:eastAsia="Times New Roman" w:cs="Times New Roman"/>
          <w:color w:val="auto"/>
          <w:spacing w:val="3"/>
          <w:lang w:eastAsia="en-US"/>
        </w:rPr>
        <w:t>%10</w:t>
      </w:r>
      <w:r w:rsidR="00242DA0" w:rsidRPr="00DE12A3">
        <w:rPr>
          <w:rFonts w:eastAsia="Times New Roman" w:cs="Times New Roman"/>
          <w:color w:val="auto"/>
          <w:spacing w:val="3"/>
          <w:lang w:eastAsia="en-US"/>
        </w:rPr>
        <w:t>'u arasında olduğu bilinmelidir. Bu test için, 8.1 ve 9.4 bentlerindeki şartnameleri sağlayan ölçüm cihazları da kullanılmalıdır.</w:t>
      </w:r>
    </w:p>
    <w:p w14:paraId="28F158CB" w14:textId="77777777" w:rsidR="002D7B36" w:rsidRPr="00DE12A3" w:rsidRDefault="00336884" w:rsidP="00C917D6">
      <w:pPr>
        <w:spacing w:before="120" w:after="120"/>
        <w:ind w:left="1134" w:hanging="1134"/>
        <w:jc w:val="both"/>
        <w:rPr>
          <w:rFonts w:eastAsia="Times New Roman" w:cs="Times New Roman"/>
          <w:color w:val="auto"/>
          <w:spacing w:val="3"/>
          <w:lang w:eastAsia="en-US"/>
        </w:rPr>
      </w:pPr>
      <w:r w:rsidRPr="00DE12A3">
        <w:rPr>
          <w:rFonts w:eastAsia="Times New Roman" w:cs="Times New Roman"/>
          <w:color w:val="auto"/>
          <w:spacing w:val="3"/>
          <w:lang w:eastAsia="en-US"/>
        </w:rPr>
        <w:t xml:space="preserve">                  </w:t>
      </w:r>
      <w:r w:rsidR="00242DA0" w:rsidRPr="00DE12A3">
        <w:rPr>
          <w:rFonts w:eastAsia="Times New Roman" w:cs="Times New Roman"/>
          <w:color w:val="auto"/>
          <w:spacing w:val="3"/>
          <w:lang w:eastAsia="en-US"/>
        </w:rPr>
        <w:t>Vakum kaçağı testi aşağıdaki gibi yapılır:</w:t>
      </w:r>
    </w:p>
    <w:p w14:paraId="4DE837E4" w14:textId="5380E387" w:rsidR="002D7B36" w:rsidRPr="00DE12A3" w:rsidRDefault="00242DA0" w:rsidP="00E20716">
      <w:pPr>
        <w:numPr>
          <w:ilvl w:val="0"/>
          <w:numId w:val="245"/>
        </w:numPr>
        <w:spacing w:before="120" w:after="120"/>
        <w:ind w:left="1701" w:hanging="567"/>
        <w:jc w:val="both"/>
        <w:rPr>
          <w:rFonts w:eastAsia="Times New Roman" w:cs="Times New Roman"/>
          <w:color w:val="auto"/>
          <w:spacing w:val="3"/>
          <w:lang w:eastAsia="en-US"/>
        </w:rPr>
      </w:pPr>
      <w:r w:rsidRPr="00DE12A3">
        <w:rPr>
          <w:rFonts w:eastAsia="Times New Roman" w:cs="Times New Roman"/>
          <w:color w:val="auto"/>
          <w:spacing w:val="3"/>
          <w:lang w:eastAsia="en-US"/>
        </w:rPr>
        <w:t>Sistemin sonda ucu, aşağıdaki adımlardan biri uygulanarak sonda açıklığına mümkün olduğunca yakın şekilde kapatılır</w:t>
      </w:r>
      <w:r w:rsidR="004D3A4A" w:rsidRPr="00DE12A3">
        <w:rPr>
          <w:rFonts w:eastAsia="Times New Roman" w:cs="Times New Roman"/>
          <w:color w:val="auto"/>
          <w:spacing w:val="3"/>
          <w:lang w:eastAsia="en-US"/>
        </w:rPr>
        <w:t>;</w:t>
      </w:r>
    </w:p>
    <w:p w14:paraId="60B4FEFE" w14:textId="12A586B7" w:rsidR="002D7B36" w:rsidRPr="00DE12A3" w:rsidRDefault="00336884" w:rsidP="00E20716">
      <w:pPr>
        <w:numPr>
          <w:ilvl w:val="0"/>
          <w:numId w:val="246"/>
        </w:numPr>
        <w:spacing w:before="120" w:after="120"/>
        <w:ind w:left="2268" w:hanging="567"/>
        <w:jc w:val="both"/>
        <w:rPr>
          <w:rFonts w:eastAsia="Times New Roman" w:cs="Times New Roman"/>
          <w:color w:val="auto"/>
          <w:spacing w:val="3"/>
          <w:lang w:eastAsia="en-US"/>
        </w:rPr>
      </w:pPr>
      <w:r w:rsidRPr="00DE12A3">
        <w:rPr>
          <w:rFonts w:eastAsia="Times New Roman" w:cs="Times New Roman"/>
          <w:color w:val="auto"/>
          <w:spacing w:val="3"/>
          <w:lang w:eastAsia="en-US"/>
        </w:rPr>
        <w:t xml:space="preserve">   </w:t>
      </w:r>
      <w:r w:rsidR="00242DA0" w:rsidRPr="00DE12A3">
        <w:rPr>
          <w:rFonts w:eastAsia="Times New Roman" w:cs="Times New Roman"/>
          <w:color w:val="auto"/>
          <w:spacing w:val="3"/>
          <w:lang w:eastAsia="en-US"/>
        </w:rPr>
        <w:t>Numune sondasının ucu kapaklı veya tapalı olmalıdır</w:t>
      </w:r>
      <w:r w:rsidR="004D3A4A" w:rsidRPr="00DE12A3">
        <w:rPr>
          <w:rFonts w:eastAsia="Times New Roman" w:cs="Times New Roman"/>
          <w:color w:val="auto"/>
          <w:spacing w:val="3"/>
          <w:lang w:eastAsia="en-US"/>
        </w:rPr>
        <w:t>.</w:t>
      </w:r>
    </w:p>
    <w:p w14:paraId="1AA735F6" w14:textId="732DD7B2" w:rsidR="002D7B36" w:rsidRPr="00DE12A3" w:rsidRDefault="00336884" w:rsidP="00E20716">
      <w:pPr>
        <w:numPr>
          <w:ilvl w:val="0"/>
          <w:numId w:val="246"/>
        </w:numPr>
        <w:spacing w:before="120" w:after="120"/>
        <w:ind w:left="2268" w:hanging="567"/>
        <w:jc w:val="both"/>
        <w:rPr>
          <w:rFonts w:eastAsia="Times New Roman" w:cs="Times New Roman"/>
          <w:color w:val="auto"/>
          <w:spacing w:val="3"/>
          <w:lang w:eastAsia="en-US"/>
        </w:rPr>
      </w:pPr>
      <w:r w:rsidRPr="00DE12A3">
        <w:rPr>
          <w:rFonts w:eastAsia="Times New Roman" w:cs="Times New Roman"/>
          <w:color w:val="auto"/>
          <w:spacing w:val="3"/>
          <w:lang w:eastAsia="en-US"/>
        </w:rPr>
        <w:t xml:space="preserve">   </w:t>
      </w:r>
      <w:r w:rsidR="00242DA0" w:rsidRPr="00DE12A3">
        <w:rPr>
          <w:rFonts w:eastAsia="Times New Roman" w:cs="Times New Roman"/>
          <w:color w:val="auto"/>
          <w:spacing w:val="3"/>
          <w:lang w:eastAsia="en-US"/>
        </w:rPr>
        <w:t>Aktarım hattı bağlantısı sondadan kesilmeli ve aktarım hattı kapaklı veya tapalı olmalıdır</w:t>
      </w:r>
      <w:r w:rsidR="004D3A4A" w:rsidRPr="00DE12A3">
        <w:rPr>
          <w:rFonts w:eastAsia="Times New Roman" w:cs="Times New Roman"/>
          <w:color w:val="auto"/>
          <w:spacing w:val="3"/>
          <w:lang w:eastAsia="en-US"/>
        </w:rPr>
        <w:t>.</w:t>
      </w:r>
    </w:p>
    <w:p w14:paraId="1BCDD01F" w14:textId="40B8B0DD" w:rsidR="002D7B36" w:rsidRPr="00DE12A3" w:rsidRDefault="00336884" w:rsidP="00E20716">
      <w:pPr>
        <w:numPr>
          <w:ilvl w:val="0"/>
          <w:numId w:val="246"/>
        </w:numPr>
        <w:spacing w:before="120" w:after="120"/>
        <w:ind w:left="2268" w:hanging="567"/>
        <w:jc w:val="both"/>
        <w:rPr>
          <w:rFonts w:eastAsia="Times New Roman" w:cs="Times New Roman"/>
          <w:color w:val="auto"/>
          <w:spacing w:val="3"/>
          <w:lang w:eastAsia="en-US"/>
        </w:rPr>
      </w:pPr>
      <w:r w:rsidRPr="00DE12A3">
        <w:rPr>
          <w:rFonts w:eastAsia="Times New Roman" w:cs="Times New Roman"/>
          <w:color w:val="auto"/>
          <w:spacing w:val="3"/>
          <w:lang w:eastAsia="en-US"/>
        </w:rPr>
        <w:t xml:space="preserve">   </w:t>
      </w:r>
      <w:r w:rsidR="00242DA0" w:rsidRPr="00DE12A3">
        <w:rPr>
          <w:rFonts w:eastAsia="Times New Roman" w:cs="Times New Roman"/>
          <w:color w:val="auto"/>
          <w:spacing w:val="3"/>
          <w:lang w:eastAsia="en-US"/>
        </w:rPr>
        <w:t>Sonda ile aktarım hattı arasında bulunan hizalı sızdırmaz valf kapatılmalıdır</w:t>
      </w:r>
      <w:r w:rsidR="004D3A4A" w:rsidRPr="00DE12A3">
        <w:rPr>
          <w:rFonts w:eastAsia="Times New Roman" w:cs="Times New Roman"/>
          <w:color w:val="auto"/>
          <w:spacing w:val="3"/>
          <w:lang w:eastAsia="en-US"/>
        </w:rPr>
        <w:t>.</w:t>
      </w:r>
    </w:p>
    <w:p w14:paraId="41B6001E" w14:textId="0865E907" w:rsidR="002D7B36" w:rsidRPr="00DE12A3" w:rsidRDefault="00242DA0" w:rsidP="00E20716">
      <w:pPr>
        <w:numPr>
          <w:ilvl w:val="0"/>
          <w:numId w:val="245"/>
        </w:numPr>
        <w:tabs>
          <w:tab w:val="left" w:pos="1134"/>
        </w:tabs>
        <w:spacing w:before="120" w:after="120"/>
        <w:ind w:left="1701" w:hanging="567"/>
        <w:jc w:val="both"/>
        <w:rPr>
          <w:rFonts w:eastAsia="Times New Roman" w:cs="Times New Roman"/>
          <w:color w:val="auto"/>
          <w:spacing w:val="3"/>
          <w:lang w:eastAsia="en-US"/>
        </w:rPr>
      </w:pPr>
      <w:r w:rsidRPr="00DE12A3">
        <w:rPr>
          <w:rFonts w:eastAsia="Times New Roman" w:cs="Times New Roman"/>
          <w:color w:val="auto"/>
          <w:spacing w:val="3"/>
          <w:lang w:eastAsia="en-US"/>
        </w:rPr>
        <w:t>Tüm vakum pompaları çalıştırılmalıdır. Normal çalışma koşullarını temsil eden bir vakum yapılmalıdır. Numune torbaları durumunda, hapsedilmiş hacimleri en aza indirmek için, normal numune torbası tahliye prosedürünün iki kez tekrarlanması önerilir</w:t>
      </w:r>
      <w:r w:rsidR="004D3A4A" w:rsidRPr="00DE12A3">
        <w:rPr>
          <w:rFonts w:eastAsia="Times New Roman" w:cs="Times New Roman"/>
          <w:color w:val="auto"/>
          <w:spacing w:val="3"/>
          <w:lang w:eastAsia="en-US"/>
        </w:rPr>
        <w:t>.</w:t>
      </w:r>
    </w:p>
    <w:p w14:paraId="7E2F43FB" w14:textId="48A963BF" w:rsidR="002D7B36" w:rsidRPr="00DE12A3" w:rsidRDefault="00336884" w:rsidP="00E20716">
      <w:pPr>
        <w:numPr>
          <w:ilvl w:val="0"/>
          <w:numId w:val="245"/>
        </w:numPr>
        <w:tabs>
          <w:tab w:val="left" w:pos="308"/>
          <w:tab w:val="left" w:pos="604"/>
          <w:tab w:val="left" w:pos="1134"/>
        </w:tabs>
        <w:spacing w:before="120" w:after="120"/>
        <w:ind w:left="1701" w:hanging="567"/>
        <w:jc w:val="both"/>
        <w:rPr>
          <w:rFonts w:eastAsia="Times New Roman" w:cs="Times New Roman"/>
          <w:color w:val="auto"/>
          <w:spacing w:val="3"/>
          <w:lang w:eastAsia="en-US"/>
        </w:rPr>
      </w:pPr>
      <w:r w:rsidRPr="00DE12A3">
        <w:rPr>
          <w:rFonts w:eastAsia="Times New Roman" w:cs="Times New Roman"/>
          <w:color w:val="auto"/>
          <w:spacing w:val="3"/>
          <w:lang w:eastAsia="en-US"/>
        </w:rPr>
        <w:t xml:space="preserve">     </w:t>
      </w:r>
      <w:r w:rsidR="00242DA0" w:rsidRPr="00DE12A3">
        <w:rPr>
          <w:rFonts w:eastAsia="Times New Roman" w:cs="Times New Roman"/>
          <w:color w:val="auto"/>
          <w:spacing w:val="3"/>
          <w:lang w:eastAsia="en-US"/>
        </w:rPr>
        <w:t xml:space="preserve">Numune pompaları kapatılmış ve sistem yalıtılmış olmalıdır. Hapsedilmiş gazın mutlak basıncı ve isteğe bağlı olarak sistemin mutlak sıcaklığı ölçülmeli ve kaydedilmelidir. Herhangi bir geçişin yerleşmesi için yeterli ve </w:t>
      </w:r>
      <w:r w:rsidR="00CF5D85" w:rsidRPr="00DE12A3">
        <w:rPr>
          <w:rFonts w:eastAsia="Times New Roman" w:cs="Times New Roman"/>
          <w:color w:val="auto"/>
          <w:spacing w:val="3"/>
          <w:lang w:eastAsia="en-US"/>
        </w:rPr>
        <w:t>%0,5</w:t>
      </w:r>
      <w:r w:rsidR="00242DA0" w:rsidRPr="00DE12A3">
        <w:rPr>
          <w:rFonts w:eastAsia="Times New Roman" w:cs="Times New Roman"/>
          <w:color w:val="auto"/>
          <w:spacing w:val="3"/>
          <w:lang w:eastAsia="en-US"/>
        </w:rPr>
        <w:t>'lik bir kaçağın, basınç dönüştürücü çözünürlüğünün en az 10 katı basınç değişikliğine yol açması için yeterince uzun sürenin geçmesine izin verilmelidir. Basınç ve isteğe bağlı olarak sıcaklık bir daha kaydedilmelidir</w:t>
      </w:r>
      <w:r w:rsidR="004D3A4A" w:rsidRPr="00DE12A3">
        <w:rPr>
          <w:rFonts w:eastAsia="Times New Roman" w:cs="Times New Roman"/>
          <w:color w:val="auto"/>
          <w:spacing w:val="3"/>
          <w:lang w:eastAsia="en-US"/>
        </w:rPr>
        <w:t>.</w:t>
      </w:r>
    </w:p>
    <w:p w14:paraId="764FE027" w14:textId="177786A9" w:rsidR="002D7B36" w:rsidRPr="00DE12A3" w:rsidRDefault="00242DA0" w:rsidP="00E20716">
      <w:pPr>
        <w:numPr>
          <w:ilvl w:val="0"/>
          <w:numId w:val="245"/>
        </w:numPr>
        <w:tabs>
          <w:tab w:val="left" w:pos="308"/>
          <w:tab w:val="left" w:pos="604"/>
          <w:tab w:val="right" w:pos="1276"/>
          <w:tab w:val="left" w:pos="1843"/>
          <w:tab w:val="left" w:pos="1985"/>
          <w:tab w:val="right" w:pos="4733"/>
          <w:tab w:val="left" w:pos="9070"/>
        </w:tabs>
        <w:spacing w:before="120" w:after="120"/>
        <w:ind w:left="1701" w:hanging="567"/>
        <w:jc w:val="both"/>
        <w:rPr>
          <w:rFonts w:eastAsia="Times New Roman" w:cs="Times New Roman"/>
          <w:color w:val="auto"/>
          <w:spacing w:val="3"/>
          <w:lang w:eastAsia="en-US"/>
        </w:rPr>
      </w:pPr>
      <w:r w:rsidRPr="00DE12A3">
        <w:rPr>
          <w:rFonts w:eastAsia="Times New Roman" w:cs="Times New Roman"/>
          <w:color w:val="auto"/>
          <w:spacing w:val="3"/>
          <w:lang w:eastAsia="en-US"/>
        </w:rPr>
        <w:t xml:space="preserve">Tahliye edilen torba hacimleri için varsayılan sıfır değeri esasında ve numune sistem hacmi, ilk ve son basınç değerleri, isteğe bağlı sıcaklıklar ve geçen zaman için bilinen değerler esasında kaçak akış hızı hesaplanmalıdır. Vakum kaçağı akış hızının, sistemin normal kullanımdaki akış hızının </w:t>
      </w:r>
      <w:r w:rsidR="006F30D6" w:rsidRPr="00DE12A3">
        <w:rPr>
          <w:rFonts w:eastAsia="Times New Roman" w:cs="Times New Roman"/>
          <w:color w:val="auto"/>
          <w:spacing w:val="3"/>
          <w:lang w:eastAsia="en-US"/>
        </w:rPr>
        <w:t>%0,5</w:t>
      </w:r>
      <w:r w:rsidRPr="00DE12A3">
        <w:rPr>
          <w:rFonts w:eastAsia="Times New Roman" w:cs="Times New Roman"/>
          <w:color w:val="auto"/>
          <w:spacing w:val="3"/>
          <w:lang w:eastAsia="en-US"/>
        </w:rPr>
        <w:t xml:space="preserve">'inin altında olduğu (6-22) </w:t>
      </w:r>
      <w:r w:rsidR="005E1C7E" w:rsidRPr="00DE12A3">
        <w:rPr>
          <w:color w:val="auto"/>
        </w:rPr>
        <w:t>numaralı</w:t>
      </w:r>
      <w:r w:rsidR="005E1C7E" w:rsidRPr="00DE12A3" w:rsidDel="005E1C7E">
        <w:rPr>
          <w:rFonts w:eastAsia="Times New Roman" w:cs="Times New Roman"/>
          <w:color w:val="auto"/>
          <w:spacing w:val="3"/>
          <w:lang w:eastAsia="en-US"/>
        </w:rPr>
        <w:t xml:space="preserve"> </w:t>
      </w:r>
      <w:r w:rsidRPr="00DE12A3">
        <w:rPr>
          <w:rFonts w:eastAsia="Times New Roman" w:cs="Times New Roman"/>
          <w:color w:val="auto"/>
          <w:spacing w:val="3"/>
          <w:lang w:eastAsia="en-US"/>
        </w:rPr>
        <w:t>denklemle doğrulanmalıdır</w:t>
      </w:r>
      <w:r w:rsidR="004D3A4A" w:rsidRPr="00DE12A3">
        <w:rPr>
          <w:rFonts w:eastAsia="Times New Roman" w:cs="Times New Roman"/>
          <w:color w:val="auto"/>
          <w:spacing w:val="3"/>
          <w:lang w:eastAsia="en-US"/>
        </w:rPr>
        <w:t>.</w:t>
      </w:r>
    </w:p>
    <w:p w14:paraId="71572EA0" w14:textId="77777777" w:rsidR="00336884" w:rsidRPr="00DE12A3" w:rsidRDefault="00336884" w:rsidP="00C917D6">
      <w:pPr>
        <w:tabs>
          <w:tab w:val="left" w:pos="308"/>
          <w:tab w:val="left" w:pos="604"/>
          <w:tab w:val="right" w:pos="1276"/>
          <w:tab w:val="left" w:pos="1843"/>
          <w:tab w:val="left" w:pos="1985"/>
          <w:tab w:val="right" w:pos="4733"/>
          <w:tab w:val="left" w:pos="9070"/>
        </w:tabs>
        <w:spacing w:before="120" w:after="120"/>
        <w:jc w:val="both"/>
        <w:rPr>
          <w:rFonts w:eastAsia="Times New Roman" w:cs="Times New Roman"/>
          <w:color w:val="auto"/>
          <w:spacing w:val="3"/>
          <w:lang w:eastAsia="en-US"/>
        </w:rPr>
      </w:pPr>
    </w:p>
    <w:tbl>
      <w:tblPr>
        <w:tblW w:w="6766" w:type="dxa"/>
        <w:jc w:val="center"/>
        <w:tblLayout w:type="fixed"/>
        <w:tblLook w:val="0000" w:firstRow="0" w:lastRow="0" w:firstColumn="0" w:lastColumn="0" w:noHBand="0" w:noVBand="0"/>
      </w:tblPr>
      <w:tblGrid>
        <w:gridCol w:w="4361"/>
        <w:gridCol w:w="2405"/>
      </w:tblGrid>
      <w:tr w:rsidR="00336884" w:rsidRPr="00DE12A3" w14:paraId="5CC11CDB" w14:textId="77777777" w:rsidTr="00336884">
        <w:trPr>
          <w:trHeight w:val="813"/>
          <w:jc w:val="center"/>
        </w:trPr>
        <w:tc>
          <w:tcPr>
            <w:tcW w:w="4361" w:type="dxa"/>
          </w:tcPr>
          <w:p w14:paraId="38A4B712" w14:textId="3A26E859" w:rsidR="00336884" w:rsidRPr="00DE12A3" w:rsidRDefault="00336884" w:rsidP="00C917D6">
            <w:pPr>
              <w:pStyle w:val="NormalLeft"/>
            </w:pPr>
            <w:r w:rsidRPr="00DE12A3">
              <w:rPr>
                <w:noProof/>
                <w:lang w:val="tr-TR"/>
              </w:rPr>
              <w:drawing>
                <wp:inline distT="0" distB="0" distL="0" distR="0" wp14:anchorId="26D013F9" wp14:editId="602BF5E8">
                  <wp:extent cx="2327031" cy="474345"/>
                  <wp:effectExtent l="0" t="0" r="0" b="1905"/>
                  <wp:docPr id="37" name="Resim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2374252" cy="483971"/>
                          </a:xfrm>
                          <a:prstGeom prst="rect">
                            <a:avLst/>
                          </a:prstGeom>
                          <a:noFill/>
                          <a:ln>
                            <a:noFill/>
                          </a:ln>
                        </pic:spPr>
                      </pic:pic>
                    </a:graphicData>
                  </a:graphic>
                </wp:inline>
              </w:drawing>
            </w:r>
          </w:p>
        </w:tc>
        <w:tc>
          <w:tcPr>
            <w:tcW w:w="2405" w:type="dxa"/>
          </w:tcPr>
          <w:p w14:paraId="22100CA0" w14:textId="77777777" w:rsidR="00336884" w:rsidRPr="00DE12A3" w:rsidRDefault="00336884" w:rsidP="00C917D6">
            <w:pPr>
              <w:pStyle w:val="NormalLeft"/>
            </w:pPr>
            <w:r w:rsidRPr="00DE12A3">
              <w:t>(6-22)</w:t>
            </w:r>
          </w:p>
        </w:tc>
      </w:tr>
    </w:tbl>
    <w:p w14:paraId="777CE961" w14:textId="77777777" w:rsidR="00336884" w:rsidRPr="00DE12A3" w:rsidRDefault="00336884" w:rsidP="00C917D6">
      <w:pPr>
        <w:tabs>
          <w:tab w:val="left" w:pos="308"/>
          <w:tab w:val="left" w:pos="604"/>
          <w:tab w:val="right" w:pos="1276"/>
          <w:tab w:val="left" w:pos="1843"/>
          <w:tab w:val="left" w:pos="1985"/>
          <w:tab w:val="right" w:pos="4733"/>
          <w:tab w:val="left" w:pos="9070"/>
        </w:tabs>
        <w:spacing w:before="120" w:after="120"/>
        <w:jc w:val="both"/>
        <w:rPr>
          <w:rFonts w:eastAsia="Times New Roman" w:cs="Times New Roman"/>
          <w:color w:val="auto"/>
          <w:spacing w:val="3"/>
          <w:lang w:eastAsia="en-US"/>
        </w:rPr>
      </w:pPr>
    </w:p>
    <w:p w14:paraId="0E1216B1" w14:textId="77777777" w:rsidR="002D7B36" w:rsidRPr="00DE12A3" w:rsidRDefault="00242DA0" w:rsidP="00C917D6">
      <w:pPr>
        <w:spacing w:before="120" w:after="120"/>
        <w:ind w:left="1134"/>
        <w:jc w:val="both"/>
        <w:rPr>
          <w:rFonts w:eastAsia="Times New Roman" w:cs="Times New Roman"/>
          <w:color w:val="auto"/>
          <w:spacing w:val="3"/>
          <w:lang w:eastAsia="en-US"/>
        </w:rPr>
      </w:pPr>
      <w:r w:rsidRPr="00DE12A3">
        <w:rPr>
          <w:rFonts w:eastAsia="Times New Roman" w:cs="Times New Roman"/>
          <w:color w:val="auto"/>
          <w:spacing w:val="3"/>
          <w:lang w:eastAsia="en-US"/>
        </w:rPr>
        <w:t>Burada:</w:t>
      </w:r>
    </w:p>
    <w:p w14:paraId="66FD3FDE" w14:textId="77777777" w:rsidR="002D7B36" w:rsidRPr="00DE12A3" w:rsidRDefault="00242DA0" w:rsidP="00C917D6">
      <w:pPr>
        <w:spacing w:before="120" w:after="120"/>
        <w:ind w:left="1134"/>
        <w:jc w:val="both"/>
        <w:rPr>
          <w:rFonts w:eastAsia="Times New Roman" w:cs="Times New Roman"/>
          <w:color w:val="auto"/>
          <w:spacing w:val="3"/>
          <w:lang w:eastAsia="en-US"/>
        </w:rPr>
      </w:pPr>
      <w:r w:rsidRPr="00DE12A3">
        <w:rPr>
          <w:rFonts w:eastAsia="Times New Roman" w:cs="Times New Roman"/>
          <w:i/>
          <w:iCs/>
          <w:color w:val="auto"/>
          <w:spacing w:val="2"/>
          <w:shd w:val="clear" w:color="auto" w:fill="FFFFFF"/>
          <w:lang w:eastAsia="en-US"/>
        </w:rPr>
        <w:t>q</w:t>
      </w:r>
      <w:r w:rsidRPr="00DE12A3">
        <w:rPr>
          <w:rFonts w:eastAsia="Times New Roman" w:cs="Times New Roman"/>
          <w:i/>
          <w:iCs/>
          <w:color w:val="auto"/>
          <w:spacing w:val="2"/>
          <w:shd w:val="clear" w:color="auto" w:fill="FFFFFF"/>
          <w:vertAlign w:val="subscript"/>
          <w:lang w:eastAsia="en-US"/>
        </w:rPr>
        <w:t>Vleak</w:t>
      </w:r>
      <w:r w:rsidR="00336884" w:rsidRPr="00DE12A3">
        <w:rPr>
          <w:rFonts w:eastAsia="Times New Roman" w:cs="Times New Roman"/>
          <w:i/>
          <w:iCs/>
          <w:color w:val="auto"/>
          <w:spacing w:val="2"/>
          <w:shd w:val="clear" w:color="auto" w:fill="FFFFFF"/>
          <w:vertAlign w:val="subscript"/>
          <w:lang w:eastAsia="en-US"/>
        </w:rPr>
        <w:t xml:space="preserve"> </w:t>
      </w:r>
      <w:r w:rsidR="00336884" w:rsidRPr="00DE12A3">
        <w:rPr>
          <w:rFonts w:eastAsia="Times New Roman" w:cs="Times New Roman"/>
          <w:color w:val="auto"/>
          <w:spacing w:val="3"/>
          <w:lang w:eastAsia="en-US"/>
        </w:rPr>
        <w:t>V</w:t>
      </w:r>
      <w:r w:rsidRPr="00DE12A3">
        <w:rPr>
          <w:rFonts w:eastAsia="Times New Roman" w:cs="Times New Roman"/>
          <w:color w:val="auto"/>
          <w:spacing w:val="3"/>
          <w:lang w:eastAsia="en-US"/>
        </w:rPr>
        <w:t>akum kaçağı hızı, mol/s</w:t>
      </w:r>
    </w:p>
    <w:p w14:paraId="1C881100" w14:textId="77777777" w:rsidR="002D7B36" w:rsidRPr="00DE12A3" w:rsidRDefault="00242DA0" w:rsidP="00C917D6">
      <w:pPr>
        <w:spacing w:before="120" w:after="120"/>
        <w:ind w:left="1134"/>
        <w:jc w:val="both"/>
        <w:rPr>
          <w:rFonts w:eastAsia="Times New Roman" w:cs="Times New Roman"/>
          <w:color w:val="auto"/>
          <w:spacing w:val="3"/>
          <w:lang w:eastAsia="en-US"/>
        </w:rPr>
      </w:pPr>
      <w:r w:rsidRPr="00DE12A3">
        <w:rPr>
          <w:rFonts w:eastAsia="Times New Roman" w:cs="Times New Roman"/>
          <w:i/>
          <w:iCs/>
          <w:color w:val="auto"/>
          <w:spacing w:val="2"/>
          <w:shd w:val="clear" w:color="auto" w:fill="FFFFFF"/>
          <w:lang w:eastAsia="en-US"/>
        </w:rPr>
        <w:t>V</w:t>
      </w:r>
      <w:r w:rsidRPr="00DE12A3">
        <w:rPr>
          <w:rFonts w:eastAsia="Times New Roman" w:cs="Times New Roman"/>
          <w:color w:val="auto"/>
          <w:spacing w:val="3"/>
          <w:vertAlign w:val="subscript"/>
          <w:lang w:eastAsia="en-US"/>
        </w:rPr>
        <w:t>vac</w:t>
      </w:r>
      <w:r w:rsidR="00336884" w:rsidRPr="00DE12A3">
        <w:rPr>
          <w:rFonts w:eastAsia="Times New Roman" w:cs="Times New Roman"/>
          <w:color w:val="auto"/>
          <w:spacing w:val="3"/>
          <w:vertAlign w:val="subscript"/>
          <w:lang w:eastAsia="en-US"/>
        </w:rPr>
        <w:t xml:space="preserve">   </w:t>
      </w:r>
      <w:r w:rsidR="00336884" w:rsidRPr="00DE12A3">
        <w:rPr>
          <w:rFonts w:eastAsia="Times New Roman" w:cs="Times New Roman"/>
          <w:color w:val="auto"/>
          <w:spacing w:val="3"/>
          <w:lang w:eastAsia="en-US"/>
        </w:rPr>
        <w:t>Ö</w:t>
      </w:r>
      <w:r w:rsidRPr="00DE12A3">
        <w:rPr>
          <w:rFonts w:eastAsia="Times New Roman" w:cs="Times New Roman"/>
          <w:i/>
          <w:iCs/>
          <w:color w:val="auto"/>
          <w:spacing w:val="3"/>
          <w:lang w:eastAsia="en-US"/>
        </w:rPr>
        <w:t>rnekleme sisteminin vakum tarafının geometrik hacmi</w:t>
      </w:r>
      <w:r w:rsidRPr="00DE12A3">
        <w:rPr>
          <w:rFonts w:eastAsia="Times New Roman" w:cs="Times New Roman"/>
          <w:color w:val="auto"/>
          <w:spacing w:val="3"/>
          <w:lang w:eastAsia="en-US"/>
        </w:rPr>
        <w:t>, m</w:t>
      </w:r>
      <w:r w:rsidRPr="00DE12A3">
        <w:rPr>
          <w:rFonts w:eastAsia="Times New Roman" w:cs="Times New Roman"/>
          <w:color w:val="auto"/>
          <w:spacing w:val="3"/>
          <w:vertAlign w:val="superscript"/>
          <w:lang w:eastAsia="en-US"/>
        </w:rPr>
        <w:t>3</w:t>
      </w:r>
    </w:p>
    <w:p w14:paraId="2B00EF50" w14:textId="77777777" w:rsidR="002D7B36" w:rsidRPr="00DE12A3" w:rsidRDefault="00242DA0" w:rsidP="00C917D6">
      <w:pPr>
        <w:tabs>
          <w:tab w:val="right" w:pos="4733"/>
        </w:tabs>
        <w:spacing w:before="120" w:after="120"/>
        <w:ind w:left="1134"/>
        <w:jc w:val="both"/>
        <w:rPr>
          <w:rFonts w:eastAsia="Times New Roman" w:cs="Times New Roman"/>
          <w:color w:val="auto"/>
          <w:spacing w:val="3"/>
          <w:lang w:eastAsia="en-US"/>
        </w:rPr>
      </w:pPr>
      <w:r w:rsidRPr="00DE12A3">
        <w:rPr>
          <w:rFonts w:eastAsia="Times New Roman" w:cs="Times New Roman"/>
          <w:i/>
          <w:iCs/>
          <w:color w:val="auto"/>
          <w:spacing w:val="2"/>
          <w:shd w:val="clear" w:color="auto" w:fill="FFFFFF"/>
          <w:lang w:eastAsia="en-US"/>
        </w:rPr>
        <w:lastRenderedPageBreak/>
        <w:t>R</w:t>
      </w:r>
      <w:r w:rsidR="00336884" w:rsidRPr="00DE12A3">
        <w:rPr>
          <w:rFonts w:eastAsia="Times New Roman" w:cs="Times New Roman"/>
          <w:i/>
          <w:iCs/>
          <w:color w:val="auto"/>
          <w:spacing w:val="2"/>
          <w:shd w:val="clear" w:color="auto" w:fill="FFFFFF"/>
          <w:lang w:eastAsia="en-US"/>
        </w:rPr>
        <w:t xml:space="preserve">      </w:t>
      </w:r>
      <w:r w:rsidR="00336884" w:rsidRPr="00DE12A3">
        <w:rPr>
          <w:rFonts w:eastAsia="Times New Roman" w:cs="Times New Roman"/>
          <w:color w:val="auto"/>
          <w:spacing w:val="3"/>
          <w:lang w:eastAsia="en-US"/>
        </w:rPr>
        <w:t>M</w:t>
      </w:r>
      <w:r w:rsidRPr="00DE12A3">
        <w:rPr>
          <w:rFonts w:eastAsia="Times New Roman" w:cs="Times New Roman"/>
          <w:color w:val="auto"/>
          <w:spacing w:val="3"/>
          <w:lang w:eastAsia="en-US"/>
        </w:rPr>
        <w:t>olar gaz sabiti, J/(mol • K)</w:t>
      </w:r>
    </w:p>
    <w:p w14:paraId="5DE9A062" w14:textId="77777777" w:rsidR="002D7B36" w:rsidRPr="00DE12A3" w:rsidRDefault="00242DA0" w:rsidP="00C917D6">
      <w:pPr>
        <w:tabs>
          <w:tab w:val="right" w:pos="4733"/>
        </w:tabs>
        <w:spacing w:before="120" w:after="120"/>
        <w:ind w:left="1134"/>
        <w:jc w:val="both"/>
        <w:rPr>
          <w:rFonts w:eastAsia="Times New Roman" w:cs="Times New Roman"/>
          <w:color w:val="auto"/>
          <w:spacing w:val="3"/>
          <w:lang w:eastAsia="en-US"/>
        </w:rPr>
      </w:pPr>
      <w:r w:rsidRPr="00DE12A3">
        <w:rPr>
          <w:rFonts w:eastAsia="Times New Roman" w:cs="Times New Roman"/>
          <w:i/>
          <w:iCs/>
          <w:color w:val="auto"/>
          <w:spacing w:val="3"/>
          <w:lang w:eastAsia="en-US"/>
        </w:rPr>
        <w:t>p</w:t>
      </w:r>
      <w:r w:rsidRPr="00DE12A3">
        <w:rPr>
          <w:rFonts w:eastAsia="Times New Roman" w:cs="Times New Roman"/>
          <w:color w:val="auto"/>
          <w:spacing w:val="3"/>
          <w:vertAlign w:val="subscript"/>
          <w:lang w:eastAsia="en-US"/>
        </w:rPr>
        <w:t>2</w:t>
      </w:r>
      <w:r w:rsidR="00336884" w:rsidRPr="00DE12A3">
        <w:rPr>
          <w:rFonts w:eastAsia="Times New Roman" w:cs="Times New Roman"/>
          <w:color w:val="auto"/>
          <w:spacing w:val="3"/>
          <w:vertAlign w:val="subscript"/>
          <w:lang w:eastAsia="en-US"/>
        </w:rPr>
        <w:t xml:space="preserve">       </w:t>
      </w:r>
      <w:r w:rsidRPr="00DE12A3">
        <w:rPr>
          <w:rFonts w:eastAsia="Times New Roman" w:cs="Times New Roman"/>
          <w:color w:val="auto"/>
          <w:spacing w:val="3"/>
          <w:lang w:eastAsia="en-US"/>
        </w:rPr>
        <w:tab/>
        <w:t>t</w:t>
      </w:r>
      <w:r w:rsidRPr="00DE12A3">
        <w:rPr>
          <w:rFonts w:eastAsia="Times New Roman" w:cs="Times New Roman"/>
          <w:color w:val="auto"/>
          <w:spacing w:val="3"/>
          <w:vertAlign w:val="subscript"/>
          <w:lang w:eastAsia="en-US"/>
        </w:rPr>
        <w:t>2</w:t>
      </w:r>
      <w:r w:rsidRPr="00DE12A3">
        <w:rPr>
          <w:rFonts w:eastAsia="Times New Roman" w:cs="Times New Roman"/>
          <w:color w:val="auto"/>
          <w:spacing w:val="3"/>
          <w:lang w:eastAsia="en-US"/>
        </w:rPr>
        <w:t xml:space="preserve"> zamanında vakum tarafı mutlak basıncı, Pa</w:t>
      </w:r>
    </w:p>
    <w:p w14:paraId="66BAC503" w14:textId="77777777" w:rsidR="002D7B36" w:rsidRPr="00DE12A3" w:rsidRDefault="00242DA0" w:rsidP="00C917D6">
      <w:pPr>
        <w:tabs>
          <w:tab w:val="right" w:pos="4733"/>
        </w:tabs>
        <w:spacing w:before="120" w:after="120"/>
        <w:ind w:left="1134"/>
        <w:jc w:val="both"/>
        <w:rPr>
          <w:rFonts w:eastAsia="Times New Roman" w:cs="Times New Roman"/>
          <w:color w:val="auto"/>
          <w:spacing w:val="3"/>
          <w:lang w:eastAsia="en-US"/>
        </w:rPr>
      </w:pPr>
      <w:r w:rsidRPr="00DE12A3">
        <w:rPr>
          <w:rFonts w:eastAsia="Times New Roman" w:cs="Times New Roman"/>
          <w:i/>
          <w:iCs/>
          <w:color w:val="auto"/>
          <w:spacing w:val="2"/>
          <w:shd w:val="clear" w:color="auto" w:fill="FFFFFF"/>
          <w:lang w:eastAsia="en-US"/>
        </w:rPr>
        <w:t>T</w:t>
      </w:r>
      <w:r w:rsidRPr="00DE12A3">
        <w:rPr>
          <w:rFonts w:eastAsia="Times New Roman" w:cs="Times New Roman"/>
          <w:i/>
          <w:iCs/>
          <w:color w:val="auto"/>
          <w:spacing w:val="2"/>
          <w:shd w:val="clear" w:color="auto" w:fill="FFFFFF"/>
          <w:vertAlign w:val="subscript"/>
          <w:lang w:eastAsia="en-US"/>
        </w:rPr>
        <w:t>2</w:t>
      </w:r>
      <w:r w:rsidR="00336884" w:rsidRPr="00DE12A3">
        <w:rPr>
          <w:rFonts w:eastAsia="Times New Roman" w:cs="Times New Roman"/>
          <w:i/>
          <w:iCs/>
          <w:color w:val="auto"/>
          <w:spacing w:val="2"/>
          <w:shd w:val="clear" w:color="auto" w:fill="FFFFFF"/>
          <w:vertAlign w:val="subscript"/>
          <w:lang w:eastAsia="en-US"/>
        </w:rPr>
        <w:t xml:space="preserve">       </w:t>
      </w:r>
      <w:r w:rsidRPr="00DE12A3">
        <w:rPr>
          <w:rFonts w:eastAsia="Times New Roman" w:cs="Times New Roman"/>
          <w:color w:val="auto"/>
          <w:spacing w:val="3"/>
          <w:lang w:eastAsia="en-US"/>
        </w:rPr>
        <w:tab/>
        <w:t>t</w:t>
      </w:r>
      <w:r w:rsidRPr="00DE12A3">
        <w:rPr>
          <w:rFonts w:eastAsia="Times New Roman" w:cs="Times New Roman"/>
          <w:color w:val="auto"/>
          <w:spacing w:val="3"/>
          <w:vertAlign w:val="subscript"/>
          <w:lang w:eastAsia="en-US"/>
        </w:rPr>
        <w:t>2</w:t>
      </w:r>
      <w:r w:rsidRPr="00DE12A3">
        <w:rPr>
          <w:rFonts w:eastAsia="Times New Roman" w:cs="Times New Roman"/>
          <w:color w:val="auto"/>
          <w:spacing w:val="3"/>
          <w:lang w:eastAsia="en-US"/>
        </w:rPr>
        <w:t xml:space="preserve"> zamanında vakum tarafı mutlak sıcaklığı, K</w:t>
      </w:r>
    </w:p>
    <w:p w14:paraId="2624F622" w14:textId="77777777" w:rsidR="002D7B36" w:rsidRPr="00DE12A3" w:rsidRDefault="00242DA0" w:rsidP="00C917D6">
      <w:pPr>
        <w:tabs>
          <w:tab w:val="right" w:pos="4733"/>
        </w:tabs>
        <w:spacing w:before="120" w:after="120"/>
        <w:ind w:left="1134"/>
        <w:jc w:val="both"/>
        <w:rPr>
          <w:rFonts w:eastAsia="Times New Roman" w:cs="Times New Roman"/>
          <w:color w:val="auto"/>
          <w:spacing w:val="3"/>
          <w:lang w:eastAsia="en-US"/>
        </w:rPr>
      </w:pPr>
      <w:r w:rsidRPr="00DE12A3">
        <w:rPr>
          <w:rFonts w:eastAsia="Times New Roman" w:cs="Times New Roman"/>
          <w:i/>
          <w:iCs/>
          <w:color w:val="auto"/>
          <w:spacing w:val="3"/>
          <w:lang w:eastAsia="en-US"/>
        </w:rPr>
        <w:t>p</w:t>
      </w:r>
      <w:r w:rsidRPr="00DE12A3">
        <w:rPr>
          <w:rFonts w:eastAsia="Times New Roman" w:cs="Times New Roman"/>
          <w:color w:val="auto"/>
          <w:spacing w:val="3"/>
          <w:vertAlign w:val="subscript"/>
          <w:lang w:eastAsia="en-US"/>
        </w:rPr>
        <w:t>1</w:t>
      </w:r>
      <w:r w:rsidR="00336884" w:rsidRPr="00DE12A3">
        <w:rPr>
          <w:rFonts w:eastAsia="Times New Roman" w:cs="Times New Roman"/>
          <w:color w:val="auto"/>
          <w:spacing w:val="3"/>
          <w:vertAlign w:val="subscript"/>
          <w:lang w:eastAsia="en-US"/>
        </w:rPr>
        <w:t xml:space="preserve">        </w:t>
      </w:r>
      <w:r w:rsidRPr="00DE12A3">
        <w:rPr>
          <w:rFonts w:eastAsia="Times New Roman" w:cs="Times New Roman"/>
          <w:color w:val="auto"/>
          <w:spacing w:val="3"/>
          <w:lang w:eastAsia="en-US"/>
        </w:rPr>
        <w:tab/>
        <w:t>t</w:t>
      </w:r>
      <w:r w:rsidRPr="00DE12A3">
        <w:rPr>
          <w:rFonts w:eastAsia="Times New Roman" w:cs="Times New Roman"/>
          <w:color w:val="auto"/>
          <w:spacing w:val="3"/>
          <w:vertAlign w:val="subscript"/>
          <w:lang w:eastAsia="en-US"/>
        </w:rPr>
        <w:t>1</w:t>
      </w:r>
      <w:r w:rsidRPr="00DE12A3">
        <w:rPr>
          <w:rFonts w:eastAsia="Times New Roman" w:cs="Times New Roman"/>
          <w:color w:val="auto"/>
          <w:spacing w:val="3"/>
          <w:lang w:eastAsia="en-US"/>
        </w:rPr>
        <w:t xml:space="preserve"> zamanında vakum tarafı mutlak basıncı, Pa</w:t>
      </w:r>
    </w:p>
    <w:p w14:paraId="73033B5C" w14:textId="77777777" w:rsidR="002D7B36" w:rsidRPr="00DE12A3" w:rsidRDefault="00242DA0" w:rsidP="00C917D6">
      <w:pPr>
        <w:tabs>
          <w:tab w:val="right" w:pos="4733"/>
        </w:tabs>
        <w:spacing w:before="120" w:after="120"/>
        <w:ind w:left="1134"/>
        <w:jc w:val="both"/>
        <w:rPr>
          <w:rFonts w:eastAsia="Times New Roman" w:cs="Times New Roman"/>
          <w:color w:val="auto"/>
          <w:spacing w:val="3"/>
          <w:lang w:eastAsia="en-US"/>
        </w:rPr>
      </w:pPr>
      <w:r w:rsidRPr="00DE12A3">
        <w:rPr>
          <w:rFonts w:eastAsia="Times New Roman" w:cs="Times New Roman"/>
          <w:i/>
          <w:iCs/>
          <w:color w:val="auto"/>
          <w:spacing w:val="3"/>
          <w:lang w:eastAsia="en-US"/>
        </w:rPr>
        <w:t>T</w:t>
      </w:r>
      <w:r w:rsidRPr="00DE12A3">
        <w:rPr>
          <w:rFonts w:eastAsia="Times New Roman" w:cs="Times New Roman"/>
          <w:color w:val="auto"/>
          <w:spacing w:val="3"/>
          <w:vertAlign w:val="subscript"/>
          <w:lang w:eastAsia="en-US"/>
        </w:rPr>
        <w:t>1</w:t>
      </w:r>
      <w:r w:rsidRPr="00DE12A3">
        <w:rPr>
          <w:rFonts w:eastAsia="Times New Roman" w:cs="Times New Roman"/>
          <w:color w:val="auto"/>
          <w:spacing w:val="3"/>
          <w:lang w:eastAsia="en-US"/>
        </w:rPr>
        <w:tab/>
      </w:r>
      <w:r w:rsidR="00336884" w:rsidRPr="00DE12A3">
        <w:rPr>
          <w:rFonts w:eastAsia="Times New Roman" w:cs="Times New Roman"/>
          <w:color w:val="auto"/>
          <w:spacing w:val="3"/>
          <w:lang w:eastAsia="en-US"/>
        </w:rPr>
        <w:t xml:space="preserve">     </w:t>
      </w:r>
      <w:r w:rsidRPr="00DE12A3">
        <w:rPr>
          <w:rFonts w:eastAsia="Times New Roman" w:cs="Times New Roman"/>
          <w:color w:val="auto"/>
          <w:spacing w:val="3"/>
          <w:lang w:eastAsia="en-US"/>
        </w:rPr>
        <w:t>t</w:t>
      </w:r>
      <w:r w:rsidRPr="00DE12A3">
        <w:rPr>
          <w:rFonts w:eastAsia="Times New Roman" w:cs="Times New Roman"/>
          <w:color w:val="auto"/>
          <w:spacing w:val="3"/>
          <w:vertAlign w:val="subscript"/>
          <w:lang w:eastAsia="en-US"/>
        </w:rPr>
        <w:t>1</w:t>
      </w:r>
      <w:r w:rsidRPr="00DE12A3">
        <w:rPr>
          <w:rFonts w:eastAsia="Times New Roman" w:cs="Times New Roman"/>
          <w:color w:val="auto"/>
          <w:spacing w:val="3"/>
          <w:lang w:eastAsia="en-US"/>
        </w:rPr>
        <w:t xml:space="preserve"> zamanında vakum tarafı mutlak sıcaklığı, K</w:t>
      </w:r>
    </w:p>
    <w:p w14:paraId="5E091D6C" w14:textId="77777777" w:rsidR="002D7B36" w:rsidRPr="00DE12A3" w:rsidRDefault="00242DA0" w:rsidP="00C917D6">
      <w:pPr>
        <w:tabs>
          <w:tab w:val="right" w:pos="4733"/>
        </w:tabs>
        <w:spacing w:before="120" w:after="120"/>
        <w:ind w:left="1134"/>
        <w:jc w:val="both"/>
        <w:rPr>
          <w:rFonts w:eastAsia="Times New Roman" w:cs="Times New Roman"/>
          <w:color w:val="auto"/>
          <w:spacing w:val="3"/>
          <w:lang w:eastAsia="en-US"/>
        </w:rPr>
      </w:pPr>
      <w:r w:rsidRPr="00DE12A3">
        <w:rPr>
          <w:rFonts w:eastAsia="Times New Roman" w:cs="Times New Roman"/>
          <w:color w:val="auto"/>
          <w:spacing w:val="3"/>
          <w:lang w:eastAsia="en-US"/>
        </w:rPr>
        <w:t>t</w:t>
      </w:r>
      <w:r w:rsidRPr="00DE12A3">
        <w:rPr>
          <w:rFonts w:eastAsia="Times New Roman" w:cs="Times New Roman"/>
          <w:color w:val="auto"/>
          <w:spacing w:val="3"/>
          <w:vertAlign w:val="subscript"/>
          <w:lang w:eastAsia="en-US"/>
        </w:rPr>
        <w:t>2</w:t>
      </w:r>
      <w:r w:rsidRPr="00DE12A3">
        <w:rPr>
          <w:rFonts w:eastAsia="Times New Roman" w:cs="Times New Roman"/>
          <w:color w:val="auto"/>
          <w:spacing w:val="3"/>
          <w:lang w:eastAsia="en-US"/>
        </w:rPr>
        <w:tab/>
      </w:r>
      <w:r w:rsidR="00336884" w:rsidRPr="00DE12A3">
        <w:rPr>
          <w:rFonts w:eastAsia="Times New Roman" w:cs="Times New Roman"/>
          <w:color w:val="auto"/>
          <w:spacing w:val="3"/>
          <w:lang w:eastAsia="en-US"/>
        </w:rPr>
        <w:t xml:space="preserve">     V</w:t>
      </w:r>
      <w:r w:rsidRPr="00DE12A3">
        <w:rPr>
          <w:rFonts w:eastAsia="Times New Roman" w:cs="Times New Roman"/>
          <w:color w:val="auto"/>
          <w:spacing w:val="3"/>
          <w:lang w:eastAsia="en-US"/>
        </w:rPr>
        <w:t>akum kaçağı doğrulama testinin tamamlanma zamanı, s</w:t>
      </w:r>
    </w:p>
    <w:p w14:paraId="1EBAB2BF" w14:textId="77777777" w:rsidR="002D7B36" w:rsidRPr="00DE12A3" w:rsidRDefault="00242DA0" w:rsidP="00C917D6">
      <w:pPr>
        <w:tabs>
          <w:tab w:val="right" w:pos="4733"/>
        </w:tabs>
        <w:spacing w:before="120" w:after="120"/>
        <w:ind w:left="1134"/>
        <w:jc w:val="both"/>
        <w:rPr>
          <w:rFonts w:eastAsia="Times New Roman" w:cs="Times New Roman"/>
          <w:color w:val="auto"/>
          <w:spacing w:val="3"/>
          <w:lang w:eastAsia="en-US"/>
        </w:rPr>
      </w:pPr>
      <w:r w:rsidRPr="00DE12A3">
        <w:rPr>
          <w:rFonts w:eastAsia="Times New Roman" w:cs="Times New Roman"/>
          <w:i/>
          <w:iCs/>
          <w:color w:val="auto"/>
          <w:spacing w:val="2"/>
          <w:shd w:val="clear" w:color="auto" w:fill="FFFFFF"/>
          <w:lang w:eastAsia="en-US"/>
        </w:rPr>
        <w:t>t</w:t>
      </w:r>
      <w:r w:rsidRPr="00DE12A3">
        <w:rPr>
          <w:rFonts w:eastAsia="Times New Roman" w:cs="Times New Roman"/>
          <w:i/>
          <w:iCs/>
          <w:color w:val="auto"/>
          <w:spacing w:val="2"/>
          <w:shd w:val="clear" w:color="auto" w:fill="FFFFFF"/>
          <w:vertAlign w:val="subscript"/>
          <w:lang w:eastAsia="en-US"/>
        </w:rPr>
        <w:t>1</w:t>
      </w:r>
      <w:r w:rsidRPr="00DE12A3">
        <w:rPr>
          <w:rFonts w:eastAsia="Times New Roman" w:cs="Times New Roman"/>
          <w:color w:val="auto"/>
          <w:spacing w:val="3"/>
          <w:lang w:eastAsia="en-US"/>
        </w:rPr>
        <w:tab/>
      </w:r>
      <w:r w:rsidR="00336884" w:rsidRPr="00DE12A3">
        <w:rPr>
          <w:rFonts w:eastAsia="Times New Roman" w:cs="Times New Roman"/>
          <w:color w:val="auto"/>
          <w:spacing w:val="3"/>
          <w:lang w:eastAsia="en-US"/>
        </w:rPr>
        <w:t xml:space="preserve">      V</w:t>
      </w:r>
      <w:r w:rsidRPr="00DE12A3">
        <w:rPr>
          <w:rFonts w:eastAsia="Times New Roman" w:cs="Times New Roman"/>
          <w:color w:val="auto"/>
          <w:spacing w:val="3"/>
          <w:lang w:eastAsia="en-US"/>
        </w:rPr>
        <w:t>akum kaçağı doğrulama testinin başlama zamanı, s</w:t>
      </w:r>
    </w:p>
    <w:p w14:paraId="7B67FC2F" w14:textId="77777777" w:rsidR="002D7B36" w:rsidRPr="00DE12A3" w:rsidRDefault="002D7B36" w:rsidP="00E20716">
      <w:pPr>
        <w:pStyle w:val="ListeParagraf"/>
        <w:numPr>
          <w:ilvl w:val="0"/>
          <w:numId w:val="247"/>
        </w:numPr>
        <w:spacing w:before="120" w:after="120"/>
        <w:ind w:left="1134" w:hanging="1134"/>
        <w:contextualSpacing w:val="0"/>
        <w:jc w:val="both"/>
        <w:rPr>
          <w:rFonts w:eastAsia="Times New Roman" w:cs="Times New Roman"/>
          <w:vanish/>
          <w:color w:val="auto"/>
          <w:spacing w:val="3"/>
          <w:lang w:eastAsia="en-US"/>
        </w:rPr>
      </w:pPr>
    </w:p>
    <w:p w14:paraId="5F429D1F" w14:textId="12DD314D" w:rsidR="002D7B36" w:rsidRPr="00DE12A3" w:rsidRDefault="00336884" w:rsidP="00E20716">
      <w:pPr>
        <w:numPr>
          <w:ilvl w:val="0"/>
          <w:numId w:val="247"/>
        </w:numPr>
        <w:spacing w:before="120" w:after="120"/>
        <w:ind w:left="1134" w:hanging="1134"/>
        <w:jc w:val="both"/>
        <w:rPr>
          <w:rFonts w:eastAsia="Times New Roman" w:cs="Times New Roman"/>
          <w:color w:val="auto"/>
          <w:spacing w:val="3"/>
          <w:lang w:eastAsia="en-US"/>
        </w:rPr>
      </w:pPr>
      <w:r w:rsidRPr="00DE12A3">
        <w:rPr>
          <w:rFonts w:eastAsia="Times New Roman" w:cs="Times New Roman"/>
          <w:color w:val="auto"/>
          <w:spacing w:val="3"/>
          <w:lang w:eastAsia="en-US"/>
        </w:rPr>
        <w:t xml:space="preserve">      </w:t>
      </w:r>
      <w:r w:rsidR="00242DA0" w:rsidRPr="00DE12A3">
        <w:rPr>
          <w:rFonts w:eastAsia="Times New Roman" w:cs="Times New Roman"/>
          <w:color w:val="auto"/>
          <w:spacing w:val="3"/>
          <w:lang w:eastAsia="en-US"/>
        </w:rPr>
        <w:t>CO ve CO</w:t>
      </w:r>
      <w:r w:rsidR="00242DA0" w:rsidRPr="00DE12A3">
        <w:rPr>
          <w:rFonts w:eastAsia="Times New Roman" w:cs="Times New Roman"/>
          <w:color w:val="auto"/>
          <w:spacing w:val="3"/>
          <w:vertAlign w:val="subscript"/>
          <w:lang w:eastAsia="en-US"/>
        </w:rPr>
        <w:t>2</w:t>
      </w:r>
      <w:r w:rsidR="00C17C59" w:rsidRPr="00DE12A3">
        <w:rPr>
          <w:rFonts w:eastAsia="Times New Roman" w:cs="Times New Roman"/>
          <w:color w:val="auto"/>
          <w:spacing w:val="3"/>
          <w:vertAlign w:val="subscript"/>
          <w:lang w:eastAsia="en-US"/>
        </w:rPr>
        <w:t xml:space="preserve"> </w:t>
      </w:r>
      <w:r w:rsidR="00242DA0" w:rsidRPr="00DE12A3">
        <w:rPr>
          <w:rFonts w:eastAsia="Times New Roman" w:cs="Times New Roman"/>
          <w:color w:val="auto"/>
          <w:spacing w:val="3"/>
          <w:lang w:eastAsia="en-US"/>
        </w:rPr>
        <w:t>ölçümleri</w:t>
      </w:r>
    </w:p>
    <w:p w14:paraId="19928674" w14:textId="77777777" w:rsidR="002D7B36" w:rsidRPr="00DE12A3" w:rsidRDefault="00242DA0" w:rsidP="00E20716">
      <w:pPr>
        <w:numPr>
          <w:ilvl w:val="0"/>
          <w:numId w:val="248"/>
        </w:numPr>
        <w:tabs>
          <w:tab w:val="left" w:pos="709"/>
        </w:tabs>
        <w:spacing w:before="120" w:after="120"/>
        <w:ind w:left="1134" w:hanging="1134"/>
        <w:jc w:val="both"/>
        <w:rPr>
          <w:rFonts w:eastAsia="Times New Roman" w:cs="Times New Roman"/>
          <w:color w:val="auto"/>
          <w:spacing w:val="3"/>
          <w:lang w:eastAsia="en-US"/>
        </w:rPr>
      </w:pPr>
      <w:r w:rsidRPr="00DE12A3">
        <w:rPr>
          <w:rFonts w:eastAsia="Times New Roman" w:cs="Times New Roman"/>
          <w:color w:val="auto"/>
          <w:spacing w:val="3"/>
          <w:lang w:eastAsia="en-US"/>
        </w:rPr>
        <w:t>CO</w:t>
      </w:r>
      <w:r w:rsidRPr="00DE12A3">
        <w:rPr>
          <w:rFonts w:eastAsia="Times New Roman" w:cs="Times New Roman"/>
          <w:color w:val="auto"/>
          <w:spacing w:val="3"/>
          <w:vertAlign w:val="subscript"/>
          <w:lang w:eastAsia="en-US"/>
        </w:rPr>
        <w:t>2</w:t>
      </w:r>
      <w:r w:rsidRPr="00DE12A3">
        <w:rPr>
          <w:rFonts w:eastAsia="Times New Roman" w:cs="Times New Roman"/>
          <w:color w:val="auto"/>
          <w:spacing w:val="3"/>
          <w:lang w:eastAsia="en-US"/>
        </w:rPr>
        <w:t xml:space="preserve"> NDIR analiz cihazları için H</w:t>
      </w:r>
      <w:r w:rsidRPr="00DE12A3">
        <w:rPr>
          <w:rFonts w:eastAsia="Times New Roman" w:cs="Times New Roman"/>
          <w:color w:val="auto"/>
          <w:spacing w:val="3"/>
          <w:vertAlign w:val="subscript"/>
          <w:lang w:eastAsia="en-US"/>
        </w:rPr>
        <w:t>2</w:t>
      </w:r>
      <w:r w:rsidRPr="00DE12A3">
        <w:rPr>
          <w:rFonts w:eastAsia="Times New Roman" w:cs="Times New Roman"/>
          <w:color w:val="auto"/>
          <w:spacing w:val="3"/>
          <w:lang w:eastAsia="en-US"/>
        </w:rPr>
        <w:t>O karışması doğrulaması</w:t>
      </w:r>
    </w:p>
    <w:p w14:paraId="253CE1F7" w14:textId="77777777" w:rsidR="002D7B36" w:rsidRPr="00DE12A3" w:rsidRDefault="00242DA0" w:rsidP="00E20716">
      <w:pPr>
        <w:numPr>
          <w:ilvl w:val="0"/>
          <w:numId w:val="249"/>
        </w:numPr>
        <w:spacing w:before="120" w:after="120"/>
        <w:ind w:left="1134" w:hanging="1134"/>
        <w:jc w:val="both"/>
        <w:rPr>
          <w:rFonts w:eastAsia="Times New Roman" w:cs="Times New Roman"/>
          <w:color w:val="auto"/>
          <w:spacing w:val="3"/>
          <w:lang w:eastAsia="en-US"/>
        </w:rPr>
      </w:pPr>
      <w:r w:rsidRPr="00DE12A3">
        <w:rPr>
          <w:rFonts w:eastAsia="Times New Roman" w:cs="Times New Roman"/>
          <w:color w:val="auto"/>
          <w:spacing w:val="3"/>
          <w:lang w:eastAsia="en-US"/>
        </w:rPr>
        <w:t>Kapsam ve sıklık</w:t>
      </w:r>
    </w:p>
    <w:p w14:paraId="2BB581B2" w14:textId="77777777" w:rsidR="002D7B36" w:rsidRPr="00DE12A3" w:rsidRDefault="00336884" w:rsidP="00C917D6">
      <w:pPr>
        <w:tabs>
          <w:tab w:val="left" w:pos="2999"/>
        </w:tabs>
        <w:spacing w:before="120" w:after="120"/>
        <w:ind w:left="1134" w:hanging="1134"/>
        <w:jc w:val="both"/>
        <w:rPr>
          <w:rFonts w:eastAsia="Times New Roman" w:cs="Times New Roman"/>
          <w:color w:val="auto"/>
          <w:spacing w:val="3"/>
          <w:lang w:eastAsia="en-US"/>
        </w:rPr>
      </w:pPr>
      <w:r w:rsidRPr="00DE12A3">
        <w:rPr>
          <w:rFonts w:eastAsia="Times New Roman" w:cs="Times New Roman"/>
          <w:color w:val="auto"/>
          <w:spacing w:val="3"/>
          <w:lang w:eastAsia="en-US"/>
        </w:rPr>
        <w:t xml:space="preserve">                  </w:t>
      </w:r>
      <w:r w:rsidR="00242DA0" w:rsidRPr="00DE12A3">
        <w:rPr>
          <w:rFonts w:eastAsia="Times New Roman" w:cs="Times New Roman"/>
          <w:color w:val="auto"/>
          <w:spacing w:val="3"/>
          <w:lang w:eastAsia="en-US"/>
        </w:rPr>
        <w:t>CO</w:t>
      </w:r>
      <w:r w:rsidR="00242DA0" w:rsidRPr="00DE12A3">
        <w:rPr>
          <w:rFonts w:eastAsia="Times New Roman" w:cs="Times New Roman"/>
          <w:color w:val="auto"/>
          <w:spacing w:val="3"/>
          <w:vertAlign w:val="subscript"/>
          <w:lang w:eastAsia="en-US"/>
        </w:rPr>
        <w:t>2</w:t>
      </w:r>
      <w:r w:rsidR="00242DA0" w:rsidRPr="00DE12A3">
        <w:rPr>
          <w:rFonts w:eastAsia="Times New Roman" w:cs="Times New Roman"/>
          <w:color w:val="auto"/>
          <w:spacing w:val="3"/>
          <w:lang w:eastAsia="en-US"/>
        </w:rPr>
        <w:t xml:space="preserve"> bir NDIR analiz cihazı kullanılarak ölçülürse, ilk analiz cihazı montajından sonra ve büyük bir bakım sonrasında H</w:t>
      </w:r>
      <w:r w:rsidR="00242DA0" w:rsidRPr="00DE12A3">
        <w:rPr>
          <w:rFonts w:eastAsia="Times New Roman" w:cs="Times New Roman"/>
          <w:color w:val="auto"/>
          <w:spacing w:val="3"/>
          <w:vertAlign w:val="subscript"/>
          <w:lang w:eastAsia="en-US"/>
        </w:rPr>
        <w:t>2</w:t>
      </w:r>
      <w:r w:rsidR="00242DA0" w:rsidRPr="00DE12A3">
        <w:rPr>
          <w:rFonts w:eastAsia="Times New Roman" w:cs="Times New Roman"/>
          <w:color w:val="auto"/>
          <w:spacing w:val="3"/>
          <w:lang w:eastAsia="en-US"/>
        </w:rPr>
        <w:t>O karışma miktarı doğrulanmalıdır.</w:t>
      </w:r>
    </w:p>
    <w:p w14:paraId="6D3D4FA5" w14:textId="77777777" w:rsidR="002D7B36" w:rsidRPr="00DE12A3" w:rsidRDefault="00242DA0" w:rsidP="00E20716">
      <w:pPr>
        <w:numPr>
          <w:ilvl w:val="0"/>
          <w:numId w:val="249"/>
        </w:numPr>
        <w:spacing w:before="120" w:after="120"/>
        <w:ind w:left="1134" w:hanging="1134"/>
        <w:jc w:val="both"/>
        <w:rPr>
          <w:rFonts w:eastAsia="Times New Roman" w:cs="Times New Roman"/>
          <w:color w:val="auto"/>
          <w:spacing w:val="3"/>
          <w:lang w:eastAsia="en-US"/>
        </w:rPr>
      </w:pPr>
      <w:r w:rsidRPr="00DE12A3">
        <w:rPr>
          <w:rFonts w:eastAsia="Times New Roman" w:cs="Times New Roman"/>
          <w:color w:val="auto"/>
          <w:spacing w:val="3"/>
          <w:lang w:eastAsia="en-US"/>
        </w:rPr>
        <w:t>Ölçüm ilkeleri</w:t>
      </w:r>
    </w:p>
    <w:p w14:paraId="64255FCE" w14:textId="77777777" w:rsidR="002D7B36" w:rsidRPr="00DE12A3" w:rsidRDefault="00336884" w:rsidP="00C917D6">
      <w:pPr>
        <w:spacing w:before="120" w:after="120"/>
        <w:ind w:left="1134" w:hanging="1134"/>
        <w:jc w:val="both"/>
        <w:rPr>
          <w:rFonts w:eastAsia="Times New Roman" w:cs="Times New Roman"/>
          <w:color w:val="auto"/>
          <w:spacing w:val="3"/>
          <w:lang w:eastAsia="en-US"/>
        </w:rPr>
      </w:pPr>
      <w:r w:rsidRPr="00DE12A3">
        <w:rPr>
          <w:rFonts w:eastAsia="Times New Roman" w:cs="Times New Roman"/>
          <w:color w:val="auto"/>
          <w:spacing w:val="3"/>
          <w:lang w:eastAsia="en-US"/>
        </w:rPr>
        <w:t xml:space="preserve">                  </w:t>
      </w:r>
      <w:r w:rsidR="00242DA0" w:rsidRPr="00DE12A3">
        <w:rPr>
          <w:rFonts w:eastAsia="Times New Roman" w:cs="Times New Roman"/>
          <w:color w:val="auto"/>
          <w:spacing w:val="3"/>
          <w:lang w:eastAsia="en-US"/>
        </w:rPr>
        <w:t>H</w:t>
      </w:r>
      <w:r w:rsidR="00242DA0" w:rsidRPr="00DE12A3">
        <w:rPr>
          <w:rFonts w:eastAsia="Times New Roman" w:cs="Times New Roman"/>
          <w:color w:val="auto"/>
          <w:spacing w:val="3"/>
          <w:vertAlign w:val="subscript"/>
          <w:lang w:eastAsia="en-US"/>
        </w:rPr>
        <w:t>2</w:t>
      </w:r>
      <w:r w:rsidR="00242DA0" w:rsidRPr="00DE12A3">
        <w:rPr>
          <w:rFonts w:eastAsia="Times New Roman" w:cs="Times New Roman"/>
          <w:color w:val="auto"/>
          <w:spacing w:val="3"/>
          <w:lang w:eastAsia="en-US"/>
        </w:rPr>
        <w:t>O, bir NDIR analiz cihazının CO</w:t>
      </w:r>
      <w:r w:rsidR="00242DA0" w:rsidRPr="00DE12A3">
        <w:rPr>
          <w:rFonts w:eastAsia="Times New Roman" w:cs="Times New Roman"/>
          <w:color w:val="auto"/>
          <w:spacing w:val="3"/>
          <w:vertAlign w:val="subscript"/>
          <w:lang w:eastAsia="en-US"/>
        </w:rPr>
        <w:t>2</w:t>
      </w:r>
      <w:r w:rsidR="00242DA0" w:rsidRPr="00DE12A3">
        <w:rPr>
          <w:rFonts w:eastAsia="Times New Roman" w:cs="Times New Roman"/>
          <w:color w:val="auto"/>
          <w:spacing w:val="3"/>
          <w:lang w:eastAsia="en-US"/>
        </w:rPr>
        <w:t xml:space="preserve"> tepkisini engelleyebilir. NDIR analiz cihazı bu karışma doğrulamasını sağlamak için diğer gazlara ait ölçümleri kullanan dengeleme algoritmaları kullanıyorsa, analiz cihazı karışma doğrulaması sırasında dengeleme algoritmalarını test etmek için, bu diğer ölçümler eş zamanlı olarak yapılmalıdır.</w:t>
      </w:r>
    </w:p>
    <w:p w14:paraId="08D94D36" w14:textId="77777777" w:rsidR="002D7B36" w:rsidRPr="00DE12A3" w:rsidRDefault="00242DA0" w:rsidP="00E20716">
      <w:pPr>
        <w:numPr>
          <w:ilvl w:val="0"/>
          <w:numId w:val="249"/>
        </w:numPr>
        <w:spacing w:before="120" w:after="120"/>
        <w:ind w:left="1134" w:hanging="1134"/>
        <w:jc w:val="both"/>
        <w:rPr>
          <w:rFonts w:eastAsia="Times New Roman" w:cs="Times New Roman"/>
          <w:color w:val="auto"/>
          <w:spacing w:val="3"/>
          <w:lang w:eastAsia="en-US"/>
        </w:rPr>
      </w:pPr>
      <w:r w:rsidRPr="00DE12A3">
        <w:rPr>
          <w:rFonts w:eastAsia="Times New Roman" w:cs="Times New Roman"/>
          <w:color w:val="auto"/>
          <w:spacing w:val="3"/>
          <w:lang w:eastAsia="en-US"/>
        </w:rPr>
        <w:t xml:space="preserve">Sistem </w:t>
      </w:r>
      <w:r w:rsidR="0053289F" w:rsidRPr="00DE12A3">
        <w:rPr>
          <w:rFonts w:eastAsia="Times New Roman" w:cs="Times New Roman"/>
          <w:color w:val="auto"/>
          <w:spacing w:val="3"/>
          <w:lang w:eastAsia="en-US"/>
        </w:rPr>
        <w:t>gereklilikleri</w:t>
      </w:r>
    </w:p>
    <w:p w14:paraId="1373CF43" w14:textId="77777777" w:rsidR="002D7B36" w:rsidRPr="00DE12A3" w:rsidRDefault="00336884" w:rsidP="00C917D6">
      <w:pPr>
        <w:spacing w:before="120" w:after="120"/>
        <w:ind w:left="1134" w:hanging="1134"/>
        <w:jc w:val="both"/>
        <w:rPr>
          <w:rFonts w:eastAsia="Times New Roman" w:cs="Times New Roman"/>
          <w:color w:val="auto"/>
          <w:spacing w:val="3"/>
          <w:lang w:eastAsia="en-US"/>
        </w:rPr>
      </w:pPr>
      <w:r w:rsidRPr="00DE12A3">
        <w:rPr>
          <w:rFonts w:eastAsia="Times New Roman" w:cs="Times New Roman"/>
          <w:color w:val="auto"/>
          <w:spacing w:val="3"/>
          <w:lang w:eastAsia="en-US"/>
        </w:rPr>
        <w:t xml:space="preserve">                  </w:t>
      </w:r>
      <w:r w:rsidR="00242DA0" w:rsidRPr="00DE12A3">
        <w:rPr>
          <w:rFonts w:eastAsia="Times New Roman" w:cs="Times New Roman"/>
          <w:color w:val="auto"/>
          <w:spacing w:val="3"/>
          <w:lang w:eastAsia="en-US"/>
        </w:rPr>
        <w:t>Bir CO</w:t>
      </w:r>
      <w:r w:rsidR="00242DA0" w:rsidRPr="00DE12A3">
        <w:rPr>
          <w:rFonts w:eastAsia="Times New Roman" w:cs="Times New Roman"/>
          <w:color w:val="auto"/>
          <w:spacing w:val="3"/>
          <w:vertAlign w:val="subscript"/>
          <w:lang w:eastAsia="en-US"/>
        </w:rPr>
        <w:t>2</w:t>
      </w:r>
      <w:r w:rsidR="00242DA0" w:rsidRPr="00DE12A3">
        <w:rPr>
          <w:rFonts w:eastAsia="Times New Roman" w:cs="Times New Roman"/>
          <w:color w:val="auto"/>
          <w:spacing w:val="3"/>
          <w:lang w:eastAsia="en-US"/>
        </w:rPr>
        <w:t xml:space="preserve"> NDIR analiz cihazı, (beklenen ortalama CO</w:t>
      </w:r>
      <w:r w:rsidR="00242DA0" w:rsidRPr="00DE12A3">
        <w:rPr>
          <w:rFonts w:eastAsia="Times New Roman" w:cs="Times New Roman"/>
          <w:color w:val="auto"/>
          <w:spacing w:val="3"/>
          <w:vertAlign w:val="subscript"/>
          <w:lang w:eastAsia="en-US"/>
        </w:rPr>
        <w:t>2</w:t>
      </w:r>
      <w:r w:rsidR="00242DA0" w:rsidRPr="00DE12A3">
        <w:rPr>
          <w:rFonts w:eastAsia="Times New Roman" w:cs="Times New Roman"/>
          <w:color w:val="auto"/>
          <w:spacing w:val="3"/>
          <w:lang w:eastAsia="en-US"/>
        </w:rPr>
        <w:t xml:space="preserve"> konsantrasyonunun) (0,0 ± 0,4) mmol/mol aralığı içinde olan bir H</w:t>
      </w:r>
      <w:r w:rsidR="00242DA0" w:rsidRPr="00DE12A3">
        <w:rPr>
          <w:rFonts w:eastAsia="Times New Roman" w:cs="Times New Roman"/>
          <w:color w:val="auto"/>
          <w:spacing w:val="3"/>
          <w:vertAlign w:val="subscript"/>
          <w:lang w:eastAsia="en-US"/>
        </w:rPr>
        <w:t>2</w:t>
      </w:r>
      <w:r w:rsidR="00242DA0" w:rsidRPr="00DE12A3">
        <w:rPr>
          <w:rFonts w:eastAsia="Times New Roman" w:cs="Times New Roman"/>
          <w:color w:val="auto"/>
          <w:spacing w:val="3"/>
          <w:lang w:eastAsia="en-US"/>
        </w:rPr>
        <w:t>O karışmasına sahip olmalıdır.</w:t>
      </w:r>
    </w:p>
    <w:p w14:paraId="5CE2EB1F" w14:textId="77777777" w:rsidR="002D7B36" w:rsidRPr="00DE12A3" w:rsidRDefault="00242DA0" w:rsidP="00E20716">
      <w:pPr>
        <w:numPr>
          <w:ilvl w:val="0"/>
          <w:numId w:val="249"/>
        </w:numPr>
        <w:spacing w:before="120" w:after="120"/>
        <w:ind w:left="1134" w:hanging="1134"/>
        <w:jc w:val="both"/>
        <w:rPr>
          <w:rFonts w:eastAsia="Times New Roman" w:cs="Times New Roman"/>
          <w:color w:val="auto"/>
          <w:spacing w:val="3"/>
          <w:lang w:eastAsia="en-US"/>
        </w:rPr>
      </w:pPr>
      <w:r w:rsidRPr="00DE12A3">
        <w:rPr>
          <w:rFonts w:eastAsia="Times New Roman" w:cs="Times New Roman"/>
          <w:color w:val="auto"/>
          <w:spacing w:val="3"/>
          <w:lang w:eastAsia="en-US"/>
        </w:rPr>
        <w:t>Prosedür</w:t>
      </w:r>
    </w:p>
    <w:p w14:paraId="0862DD6E" w14:textId="77777777" w:rsidR="002D7B36" w:rsidRPr="00DE12A3" w:rsidRDefault="00336884" w:rsidP="00C917D6">
      <w:pPr>
        <w:spacing w:before="120" w:after="120"/>
        <w:ind w:left="1134" w:hanging="1134"/>
        <w:jc w:val="both"/>
        <w:rPr>
          <w:rFonts w:eastAsia="Times New Roman" w:cs="Times New Roman"/>
          <w:color w:val="auto"/>
          <w:spacing w:val="3"/>
          <w:lang w:eastAsia="en-US"/>
        </w:rPr>
      </w:pPr>
      <w:r w:rsidRPr="00DE12A3">
        <w:rPr>
          <w:rFonts w:eastAsia="Times New Roman" w:cs="Times New Roman"/>
          <w:color w:val="auto"/>
          <w:spacing w:val="3"/>
          <w:lang w:eastAsia="en-US"/>
        </w:rPr>
        <w:t xml:space="preserve">                  </w:t>
      </w:r>
      <w:r w:rsidR="00242DA0" w:rsidRPr="00DE12A3">
        <w:rPr>
          <w:rFonts w:eastAsia="Times New Roman" w:cs="Times New Roman"/>
          <w:color w:val="auto"/>
          <w:spacing w:val="3"/>
          <w:lang w:eastAsia="en-US"/>
        </w:rPr>
        <w:t>Karışma doğrulaması aşağıdaki gibi yapılmalıdır:</w:t>
      </w:r>
    </w:p>
    <w:p w14:paraId="53D57E48" w14:textId="5F75C940" w:rsidR="002D7B36" w:rsidRPr="00DE12A3" w:rsidRDefault="00336884" w:rsidP="00E20716">
      <w:pPr>
        <w:numPr>
          <w:ilvl w:val="0"/>
          <w:numId w:val="250"/>
        </w:numPr>
        <w:spacing w:before="120" w:after="120"/>
        <w:ind w:left="1701" w:hanging="567"/>
        <w:jc w:val="both"/>
        <w:rPr>
          <w:rFonts w:eastAsia="Times New Roman" w:cs="Times New Roman"/>
          <w:color w:val="auto"/>
          <w:spacing w:val="3"/>
          <w:lang w:eastAsia="en-US"/>
        </w:rPr>
      </w:pPr>
      <w:r w:rsidRPr="00DE12A3">
        <w:rPr>
          <w:rFonts w:eastAsia="Times New Roman" w:cs="Times New Roman"/>
          <w:color w:val="auto"/>
          <w:spacing w:val="3"/>
          <w:lang w:eastAsia="en-US"/>
        </w:rPr>
        <w:t xml:space="preserve">    </w:t>
      </w:r>
      <w:r w:rsidR="00242DA0" w:rsidRPr="00DE12A3">
        <w:rPr>
          <w:rFonts w:eastAsia="Times New Roman" w:cs="Times New Roman"/>
          <w:color w:val="auto"/>
          <w:spacing w:val="3"/>
          <w:lang w:eastAsia="en-US"/>
        </w:rPr>
        <w:t>CO</w:t>
      </w:r>
      <w:r w:rsidR="00242DA0" w:rsidRPr="00DE12A3">
        <w:rPr>
          <w:rFonts w:eastAsia="Times New Roman" w:cs="Times New Roman"/>
          <w:color w:val="auto"/>
          <w:spacing w:val="3"/>
          <w:vertAlign w:val="subscript"/>
          <w:lang w:eastAsia="en-US"/>
        </w:rPr>
        <w:t>2</w:t>
      </w:r>
      <w:r w:rsidR="00242DA0" w:rsidRPr="00DE12A3">
        <w:rPr>
          <w:rFonts w:eastAsia="Times New Roman" w:cs="Times New Roman"/>
          <w:color w:val="auto"/>
          <w:spacing w:val="3"/>
          <w:lang w:eastAsia="en-US"/>
        </w:rPr>
        <w:t xml:space="preserve"> NDIR analiz cihazı, bir emisyon testi öncesindeki gibi çalıştırılmalı, işletilmeli, sıfırlanmalı ve ayarlanmalıdı</w:t>
      </w:r>
      <w:r w:rsidR="004D3A4A" w:rsidRPr="00DE12A3">
        <w:rPr>
          <w:rFonts w:eastAsia="Times New Roman" w:cs="Times New Roman"/>
          <w:color w:val="auto"/>
          <w:spacing w:val="3"/>
          <w:lang w:eastAsia="en-US"/>
        </w:rPr>
        <w:t>r.</w:t>
      </w:r>
    </w:p>
    <w:p w14:paraId="405A6846" w14:textId="44B67D82" w:rsidR="002D7B36" w:rsidRPr="00DE12A3" w:rsidRDefault="00242DA0" w:rsidP="00E20716">
      <w:pPr>
        <w:numPr>
          <w:ilvl w:val="0"/>
          <w:numId w:val="250"/>
        </w:numPr>
        <w:spacing w:before="120" w:after="120"/>
        <w:ind w:left="1701" w:hanging="567"/>
        <w:jc w:val="both"/>
        <w:rPr>
          <w:rFonts w:eastAsia="Times New Roman" w:cs="Times New Roman"/>
          <w:color w:val="auto"/>
          <w:spacing w:val="3"/>
          <w:lang w:eastAsia="en-US"/>
        </w:rPr>
      </w:pPr>
      <w:r w:rsidRPr="00DE12A3">
        <w:rPr>
          <w:rFonts w:eastAsia="Times New Roman" w:cs="Times New Roman"/>
          <w:color w:val="auto"/>
          <w:spacing w:val="3"/>
          <w:lang w:eastAsia="en-US"/>
        </w:rPr>
        <w:t>9.5.1 bendinde belirtilen özellikleri sağlayan sıfır havanın, kapalı bir kapta damıtılmış su ile köpürtülmesi yoluyla nemlendirilmiş bir test gazı oluşturulmalıdır. Numune bir kurutucudan geçirilmezse, test gazı içinde en az test sırasında beklenen azami miktar kadar yüksek bir H</w:t>
      </w:r>
      <w:r w:rsidRPr="00DE12A3">
        <w:rPr>
          <w:rFonts w:eastAsia="Times New Roman" w:cs="Times New Roman"/>
          <w:color w:val="auto"/>
          <w:spacing w:val="3"/>
          <w:vertAlign w:val="subscript"/>
          <w:lang w:eastAsia="en-US"/>
        </w:rPr>
        <w:t>2</w:t>
      </w:r>
      <w:r w:rsidRPr="00DE12A3">
        <w:rPr>
          <w:rFonts w:eastAsia="Times New Roman" w:cs="Times New Roman"/>
          <w:color w:val="auto"/>
          <w:spacing w:val="3"/>
          <w:lang w:eastAsia="en-US"/>
        </w:rPr>
        <w:t>O içeriği oluşturmak için kap sıcaklığını kontrol edin. Numune test sırasında bir kurutucudan geçirilirse, 9.</w:t>
      </w:r>
      <w:r w:rsidR="00D16669" w:rsidRPr="00DE12A3">
        <w:rPr>
          <w:rFonts w:eastAsia="Times New Roman" w:cs="Times New Roman"/>
          <w:color w:val="auto"/>
          <w:spacing w:val="3"/>
          <w:lang w:eastAsia="en-US"/>
        </w:rPr>
        <w:t>3</w:t>
      </w:r>
      <w:r w:rsidRPr="00DE12A3">
        <w:rPr>
          <w:rFonts w:eastAsia="Times New Roman" w:cs="Times New Roman"/>
          <w:color w:val="auto"/>
          <w:spacing w:val="3"/>
          <w:lang w:eastAsia="en-US"/>
        </w:rPr>
        <w:t>.2.</w:t>
      </w:r>
      <w:r w:rsidR="00D16669" w:rsidRPr="00DE12A3">
        <w:rPr>
          <w:rFonts w:eastAsia="Times New Roman" w:cs="Times New Roman"/>
          <w:color w:val="auto"/>
          <w:spacing w:val="3"/>
          <w:lang w:eastAsia="en-US"/>
        </w:rPr>
        <w:t>3.</w:t>
      </w:r>
      <w:r w:rsidRPr="00DE12A3">
        <w:rPr>
          <w:rFonts w:eastAsia="Times New Roman" w:cs="Times New Roman"/>
          <w:color w:val="auto"/>
          <w:spacing w:val="3"/>
          <w:lang w:eastAsia="en-US"/>
        </w:rPr>
        <w:t>1.1 bendi uyarınca test gazı içinde en az kurutucunun çıkışında beklenen azami miktar kadar yüksek bir H</w:t>
      </w:r>
      <w:r w:rsidRPr="00DE12A3">
        <w:rPr>
          <w:rFonts w:eastAsia="Times New Roman" w:cs="Times New Roman"/>
          <w:color w:val="auto"/>
          <w:spacing w:val="3"/>
          <w:vertAlign w:val="subscript"/>
          <w:lang w:eastAsia="en-US"/>
        </w:rPr>
        <w:t>2</w:t>
      </w:r>
      <w:r w:rsidRPr="00DE12A3">
        <w:rPr>
          <w:rFonts w:eastAsia="Times New Roman" w:cs="Times New Roman"/>
          <w:color w:val="auto"/>
          <w:spacing w:val="3"/>
          <w:lang w:eastAsia="en-US"/>
        </w:rPr>
        <w:t>O içeriği oluşturmak için kap sıcaklığını kontrol edin.</w:t>
      </w:r>
    </w:p>
    <w:p w14:paraId="675F1048" w14:textId="27F9B53A" w:rsidR="002D7B36" w:rsidRPr="00DE12A3" w:rsidRDefault="00336884" w:rsidP="00E20716">
      <w:pPr>
        <w:numPr>
          <w:ilvl w:val="0"/>
          <w:numId w:val="250"/>
        </w:numPr>
        <w:spacing w:before="120" w:after="120"/>
        <w:ind w:left="1701" w:hanging="567"/>
        <w:jc w:val="both"/>
        <w:rPr>
          <w:rFonts w:eastAsia="Times New Roman" w:cs="Times New Roman"/>
          <w:color w:val="auto"/>
          <w:spacing w:val="3"/>
          <w:lang w:eastAsia="en-US"/>
        </w:rPr>
      </w:pPr>
      <w:r w:rsidRPr="00DE12A3">
        <w:rPr>
          <w:rFonts w:eastAsia="Times New Roman" w:cs="Times New Roman"/>
          <w:color w:val="auto"/>
          <w:spacing w:val="3"/>
          <w:lang w:eastAsia="en-US"/>
        </w:rPr>
        <w:t xml:space="preserve">    </w:t>
      </w:r>
      <w:r w:rsidR="00242DA0" w:rsidRPr="00DE12A3">
        <w:rPr>
          <w:rFonts w:eastAsia="Times New Roman" w:cs="Times New Roman"/>
          <w:color w:val="auto"/>
          <w:spacing w:val="3"/>
          <w:lang w:eastAsia="en-US"/>
        </w:rPr>
        <w:t>Nemlendirilmiş test gazı sıcaklığı, kabın çıkış kısmındaki yoğuşma noktasının en az 5</w:t>
      </w:r>
      <w:r w:rsidR="00242DA0" w:rsidRPr="00DE12A3">
        <w:rPr>
          <w:rFonts w:eastAsia="Times New Roman" w:cs="Times New Roman"/>
          <w:color w:val="auto"/>
          <w:spacing w:val="3"/>
          <w:vertAlign w:val="superscript"/>
          <w:lang w:eastAsia="en-US"/>
        </w:rPr>
        <w:t>o</w:t>
      </w:r>
      <w:r w:rsidR="00242DA0" w:rsidRPr="00DE12A3">
        <w:rPr>
          <w:rFonts w:eastAsia="Times New Roman" w:cs="Times New Roman"/>
          <w:color w:val="auto"/>
          <w:spacing w:val="3"/>
          <w:lang w:eastAsia="en-US"/>
        </w:rPr>
        <w:t>K üstünde tutulmalıdır</w:t>
      </w:r>
      <w:r w:rsidR="004D3A4A" w:rsidRPr="00DE12A3">
        <w:rPr>
          <w:rFonts w:eastAsia="Times New Roman" w:cs="Times New Roman"/>
          <w:color w:val="auto"/>
          <w:spacing w:val="3"/>
          <w:lang w:eastAsia="en-US"/>
        </w:rPr>
        <w:t>.</w:t>
      </w:r>
    </w:p>
    <w:p w14:paraId="4500859A" w14:textId="31AA331C" w:rsidR="002D7B36" w:rsidRPr="00DE12A3" w:rsidRDefault="00242DA0" w:rsidP="00E20716">
      <w:pPr>
        <w:numPr>
          <w:ilvl w:val="0"/>
          <w:numId w:val="250"/>
        </w:numPr>
        <w:spacing w:before="120" w:after="120"/>
        <w:ind w:left="1701" w:hanging="567"/>
        <w:jc w:val="both"/>
        <w:rPr>
          <w:rFonts w:eastAsia="Times New Roman" w:cs="Times New Roman"/>
          <w:color w:val="auto"/>
          <w:spacing w:val="3"/>
          <w:lang w:eastAsia="en-US"/>
        </w:rPr>
      </w:pPr>
      <w:r w:rsidRPr="00DE12A3">
        <w:rPr>
          <w:rFonts w:eastAsia="Times New Roman" w:cs="Times New Roman"/>
          <w:color w:val="auto"/>
          <w:spacing w:val="3"/>
          <w:lang w:eastAsia="en-US"/>
        </w:rPr>
        <w:t>Nemlendirilmiş test gazı, örnekleme sistemi içine beslenmelidir. Nemlendirilmiş test gazı, eğer test sırasında kullanılıyorsa, herhangi bir numune kurutucunun çıkış kısmından beslenebilir</w:t>
      </w:r>
      <w:r w:rsidR="004D3A4A" w:rsidRPr="00DE12A3">
        <w:rPr>
          <w:rFonts w:eastAsia="Times New Roman" w:cs="Times New Roman"/>
          <w:color w:val="auto"/>
          <w:spacing w:val="3"/>
          <w:lang w:eastAsia="en-US"/>
        </w:rPr>
        <w:t>.</w:t>
      </w:r>
    </w:p>
    <w:p w14:paraId="401250EB" w14:textId="6977861F" w:rsidR="002D7B36" w:rsidRPr="00DE12A3" w:rsidRDefault="00336884" w:rsidP="00E20716">
      <w:pPr>
        <w:numPr>
          <w:ilvl w:val="0"/>
          <w:numId w:val="250"/>
        </w:numPr>
        <w:spacing w:before="120" w:after="120"/>
        <w:ind w:left="1701" w:hanging="567"/>
        <w:jc w:val="both"/>
        <w:rPr>
          <w:rFonts w:eastAsia="Times New Roman" w:cs="Times New Roman"/>
          <w:color w:val="auto"/>
          <w:spacing w:val="3"/>
          <w:lang w:eastAsia="en-US"/>
        </w:rPr>
      </w:pPr>
      <w:r w:rsidRPr="00DE12A3">
        <w:rPr>
          <w:rFonts w:eastAsia="Times New Roman" w:cs="Times New Roman"/>
          <w:color w:val="auto"/>
          <w:spacing w:val="3"/>
          <w:lang w:eastAsia="en-US"/>
        </w:rPr>
        <w:t xml:space="preserve">     </w:t>
      </w:r>
      <w:r w:rsidR="00242DA0" w:rsidRPr="00DE12A3">
        <w:rPr>
          <w:rFonts w:eastAsia="Times New Roman" w:cs="Times New Roman"/>
          <w:color w:val="auto"/>
          <w:spacing w:val="3"/>
          <w:lang w:eastAsia="en-US"/>
        </w:rPr>
        <w:t>Nemlendirilmiş test gazının su mol fraksiyonu x</w:t>
      </w:r>
      <w:r w:rsidR="00242DA0" w:rsidRPr="00DE12A3">
        <w:rPr>
          <w:rFonts w:eastAsia="Times New Roman" w:cs="Times New Roman"/>
          <w:color w:val="auto"/>
          <w:spacing w:val="3"/>
          <w:vertAlign w:val="subscript"/>
          <w:lang w:eastAsia="en-US"/>
        </w:rPr>
        <w:t>H20</w:t>
      </w:r>
      <w:r w:rsidR="00242DA0" w:rsidRPr="00DE12A3">
        <w:rPr>
          <w:rFonts w:eastAsia="Times New Roman" w:cs="Times New Roman"/>
          <w:color w:val="auto"/>
          <w:spacing w:val="3"/>
          <w:lang w:eastAsia="en-US"/>
        </w:rPr>
        <w:t xml:space="preserve">, analiz cihazının girişine mümkün olduğunca yakın ölçülmelidir. Örneğin, </w:t>
      </w:r>
      <w:r w:rsidR="00242DA0" w:rsidRPr="00DE12A3">
        <w:rPr>
          <w:rFonts w:eastAsia="Times New Roman" w:cs="Times New Roman"/>
          <w:i/>
          <w:iCs/>
          <w:color w:val="auto"/>
          <w:spacing w:val="3"/>
          <w:lang w:eastAsia="en-US"/>
        </w:rPr>
        <w:t>x</w:t>
      </w:r>
      <w:r w:rsidR="00242DA0" w:rsidRPr="00DE12A3">
        <w:rPr>
          <w:rFonts w:eastAsia="Times New Roman" w:cs="Times New Roman"/>
          <w:color w:val="auto"/>
          <w:spacing w:val="3"/>
          <w:vertAlign w:val="subscript"/>
          <w:lang w:eastAsia="en-US"/>
        </w:rPr>
        <w:t>H2O</w:t>
      </w:r>
      <w:r w:rsidR="00242DA0" w:rsidRPr="00DE12A3">
        <w:rPr>
          <w:rFonts w:eastAsia="Times New Roman" w:cs="Times New Roman"/>
          <w:color w:val="auto"/>
          <w:spacing w:val="3"/>
          <w:lang w:eastAsia="en-US"/>
        </w:rPr>
        <w:t xml:space="preserve">'nin hesaplanması için, yoğuşma noktası </w:t>
      </w:r>
      <w:r w:rsidR="00242DA0" w:rsidRPr="00DE12A3">
        <w:rPr>
          <w:rFonts w:eastAsia="Times New Roman" w:cs="Times New Roman"/>
          <w:i/>
          <w:iCs/>
          <w:color w:val="auto"/>
          <w:spacing w:val="3"/>
          <w:lang w:eastAsia="en-US"/>
        </w:rPr>
        <w:t>T</w:t>
      </w:r>
      <w:r w:rsidR="00242DA0" w:rsidRPr="00DE12A3">
        <w:rPr>
          <w:rFonts w:eastAsia="Times New Roman" w:cs="Times New Roman"/>
          <w:color w:val="auto"/>
          <w:spacing w:val="3"/>
          <w:vertAlign w:val="subscript"/>
          <w:lang w:eastAsia="en-US"/>
        </w:rPr>
        <w:t>dew</w:t>
      </w:r>
      <w:r w:rsidR="00242DA0" w:rsidRPr="00DE12A3">
        <w:rPr>
          <w:rFonts w:eastAsia="Times New Roman" w:cs="Times New Roman"/>
          <w:color w:val="auto"/>
          <w:spacing w:val="3"/>
          <w:lang w:eastAsia="en-US"/>
        </w:rPr>
        <w:t xml:space="preserve"> ve mutlak basınç </w:t>
      </w:r>
      <w:r w:rsidR="00242DA0" w:rsidRPr="00DE12A3">
        <w:rPr>
          <w:rFonts w:eastAsia="Times New Roman" w:cs="Times New Roman"/>
          <w:i/>
          <w:iCs/>
          <w:color w:val="auto"/>
          <w:spacing w:val="3"/>
          <w:lang w:eastAsia="en-US"/>
        </w:rPr>
        <w:t>p</w:t>
      </w:r>
      <w:r w:rsidR="00242DA0" w:rsidRPr="00DE12A3">
        <w:rPr>
          <w:rFonts w:eastAsia="Times New Roman" w:cs="Times New Roman"/>
          <w:color w:val="auto"/>
          <w:spacing w:val="3"/>
          <w:vertAlign w:val="subscript"/>
          <w:lang w:eastAsia="en-US"/>
        </w:rPr>
        <w:t>total</w:t>
      </w:r>
      <w:r w:rsidR="00242DA0" w:rsidRPr="00DE12A3">
        <w:rPr>
          <w:rFonts w:eastAsia="Times New Roman" w:cs="Times New Roman"/>
          <w:color w:val="auto"/>
          <w:spacing w:val="3"/>
          <w:lang w:eastAsia="en-US"/>
        </w:rPr>
        <w:t xml:space="preserve"> ölçülmelidir</w:t>
      </w:r>
      <w:r w:rsidR="004D3A4A" w:rsidRPr="00DE12A3">
        <w:rPr>
          <w:rFonts w:eastAsia="Times New Roman" w:cs="Times New Roman"/>
          <w:color w:val="auto"/>
          <w:spacing w:val="3"/>
          <w:lang w:eastAsia="en-US"/>
        </w:rPr>
        <w:t>.</w:t>
      </w:r>
    </w:p>
    <w:p w14:paraId="19B71766" w14:textId="29614202" w:rsidR="002D7B36" w:rsidRPr="00DE12A3" w:rsidRDefault="00336884" w:rsidP="00E20716">
      <w:pPr>
        <w:numPr>
          <w:ilvl w:val="0"/>
          <w:numId w:val="250"/>
        </w:numPr>
        <w:spacing w:before="120" w:after="120"/>
        <w:ind w:left="1701" w:hanging="567"/>
        <w:jc w:val="both"/>
        <w:rPr>
          <w:rFonts w:eastAsia="Times New Roman" w:cs="Times New Roman"/>
          <w:color w:val="auto"/>
          <w:spacing w:val="3"/>
          <w:lang w:eastAsia="en-US"/>
        </w:rPr>
      </w:pPr>
      <w:r w:rsidRPr="00DE12A3">
        <w:rPr>
          <w:rFonts w:eastAsia="Times New Roman" w:cs="Times New Roman"/>
          <w:i/>
          <w:iCs/>
          <w:color w:val="auto"/>
          <w:spacing w:val="3"/>
          <w:lang w:eastAsia="en-US"/>
        </w:rPr>
        <w:t xml:space="preserve">     </w:t>
      </w:r>
      <w:r w:rsidR="00242DA0" w:rsidRPr="00DE12A3">
        <w:rPr>
          <w:rFonts w:eastAsia="Times New Roman" w:cs="Times New Roman"/>
          <w:i/>
          <w:iCs/>
          <w:color w:val="auto"/>
          <w:spacing w:val="3"/>
          <w:lang w:eastAsia="en-US"/>
        </w:rPr>
        <w:t>x</w:t>
      </w:r>
      <w:r w:rsidR="00242DA0" w:rsidRPr="00DE12A3">
        <w:rPr>
          <w:rFonts w:eastAsia="Times New Roman" w:cs="Times New Roman"/>
          <w:color w:val="auto"/>
          <w:spacing w:val="3"/>
          <w:vertAlign w:val="subscript"/>
          <w:lang w:eastAsia="en-US"/>
        </w:rPr>
        <w:t>H2O</w:t>
      </w:r>
      <w:r w:rsidR="00242DA0" w:rsidRPr="00DE12A3">
        <w:rPr>
          <w:rFonts w:eastAsia="Times New Roman" w:cs="Times New Roman"/>
          <w:color w:val="auto"/>
          <w:spacing w:val="3"/>
          <w:lang w:eastAsia="en-US"/>
        </w:rPr>
        <w:t xml:space="preserve">'nun ölçüldüğü noktadan analiz cihazına kadar olan aktarım hatları, </w:t>
      </w:r>
      <w:r w:rsidR="00242DA0" w:rsidRPr="00DE12A3">
        <w:rPr>
          <w:rFonts w:eastAsia="Times New Roman" w:cs="Times New Roman"/>
          <w:color w:val="auto"/>
          <w:spacing w:val="3"/>
          <w:lang w:eastAsia="en-US"/>
        </w:rPr>
        <w:lastRenderedPageBreak/>
        <w:t>bağlantılar veya valfler içinde yoğuşmayı önlemek için iyi mühendislik kararı kullanılmalıdır</w:t>
      </w:r>
      <w:r w:rsidR="004D3A4A" w:rsidRPr="00DE12A3">
        <w:rPr>
          <w:rFonts w:eastAsia="Times New Roman" w:cs="Times New Roman"/>
          <w:color w:val="auto"/>
          <w:spacing w:val="3"/>
          <w:lang w:eastAsia="en-US"/>
        </w:rPr>
        <w:t>.</w:t>
      </w:r>
    </w:p>
    <w:p w14:paraId="2009573C" w14:textId="132E0C0A" w:rsidR="002D7B36" w:rsidRPr="00DE12A3" w:rsidRDefault="00242DA0" w:rsidP="00E20716">
      <w:pPr>
        <w:numPr>
          <w:ilvl w:val="0"/>
          <w:numId w:val="250"/>
        </w:numPr>
        <w:spacing w:before="120" w:after="120"/>
        <w:ind w:left="1701" w:hanging="567"/>
        <w:jc w:val="both"/>
        <w:rPr>
          <w:rFonts w:eastAsia="Times New Roman" w:cs="Times New Roman"/>
          <w:color w:val="auto"/>
          <w:spacing w:val="3"/>
          <w:lang w:eastAsia="en-US"/>
        </w:rPr>
      </w:pPr>
      <w:r w:rsidRPr="00DE12A3">
        <w:rPr>
          <w:rFonts w:eastAsia="Times New Roman" w:cs="Times New Roman"/>
          <w:color w:val="auto"/>
          <w:spacing w:val="3"/>
          <w:lang w:eastAsia="en-US"/>
        </w:rPr>
        <w:t>Analiz cihazı tepkisinin dengelenmesi için süre tanınmalıdır. Dengelenme süresi, aktarım hattı temizleme ve analiz cihazı tepkisini hesaba katma süresini içermelidir</w:t>
      </w:r>
      <w:r w:rsidR="004D3A4A" w:rsidRPr="00DE12A3">
        <w:rPr>
          <w:rFonts w:eastAsia="Times New Roman" w:cs="Times New Roman"/>
          <w:color w:val="auto"/>
          <w:spacing w:val="3"/>
          <w:lang w:eastAsia="en-US"/>
        </w:rPr>
        <w:t>.</w:t>
      </w:r>
    </w:p>
    <w:p w14:paraId="21644E99" w14:textId="77777777" w:rsidR="002D7B36" w:rsidRPr="00DE12A3" w:rsidRDefault="00336884" w:rsidP="00E20716">
      <w:pPr>
        <w:numPr>
          <w:ilvl w:val="0"/>
          <w:numId w:val="251"/>
        </w:numPr>
        <w:spacing w:before="120" w:after="120"/>
        <w:ind w:left="1701" w:hanging="567"/>
        <w:jc w:val="both"/>
        <w:rPr>
          <w:rFonts w:eastAsia="Times New Roman" w:cs="Times New Roman"/>
          <w:color w:val="auto"/>
          <w:spacing w:val="3"/>
          <w:lang w:eastAsia="en-US"/>
        </w:rPr>
      </w:pPr>
      <w:r w:rsidRPr="00DE12A3">
        <w:rPr>
          <w:rFonts w:eastAsia="Times New Roman" w:cs="Times New Roman"/>
          <w:color w:val="auto"/>
          <w:spacing w:val="3"/>
          <w:lang w:eastAsia="en-US"/>
        </w:rPr>
        <w:t xml:space="preserve">     </w:t>
      </w:r>
      <w:r w:rsidR="00242DA0" w:rsidRPr="00DE12A3">
        <w:rPr>
          <w:rFonts w:eastAsia="Times New Roman" w:cs="Times New Roman"/>
          <w:color w:val="auto"/>
          <w:spacing w:val="3"/>
          <w:lang w:eastAsia="en-US"/>
        </w:rPr>
        <w:t>Analiz cihazı numunenin konsantrasyonunu ölçerken, 30 sn örneklenmiş veri kaydedilmelidir. Bu verilerin aritmetik ortalaması hesaplanmalıdır. Bu değer (0,0 ± 0,4) mmol/mol aralığı içinde ise, analiz cihazı karışma doğrulamasını sağlar.</w:t>
      </w:r>
    </w:p>
    <w:p w14:paraId="20280718" w14:textId="77777777" w:rsidR="002D7B36" w:rsidRPr="00DE12A3" w:rsidRDefault="00242DA0" w:rsidP="00C917D6">
      <w:pPr>
        <w:tabs>
          <w:tab w:val="right" w:pos="3678"/>
          <w:tab w:val="left" w:pos="3716"/>
          <w:tab w:val="right" w:pos="5644"/>
        </w:tabs>
        <w:spacing w:before="120" w:after="120"/>
        <w:ind w:left="1134" w:hanging="1134"/>
        <w:jc w:val="both"/>
        <w:rPr>
          <w:rFonts w:eastAsia="Times New Roman" w:cs="Times New Roman"/>
          <w:color w:val="auto"/>
          <w:spacing w:val="3"/>
          <w:lang w:eastAsia="en-US"/>
        </w:rPr>
      </w:pPr>
      <w:r w:rsidRPr="00DE12A3">
        <w:rPr>
          <w:rFonts w:eastAsia="Times New Roman" w:cs="Times New Roman"/>
          <w:i/>
          <w:iCs/>
          <w:color w:val="auto"/>
          <w:spacing w:val="2"/>
          <w:shd w:val="clear" w:color="auto" w:fill="FFFFFF"/>
          <w:lang w:eastAsia="en-US"/>
        </w:rPr>
        <w:t>8</w:t>
      </w:r>
      <w:r w:rsidRPr="00DE12A3">
        <w:rPr>
          <w:rFonts w:eastAsia="Times New Roman" w:cs="Times New Roman"/>
          <w:color w:val="auto"/>
          <w:spacing w:val="3"/>
          <w:lang w:eastAsia="en-US"/>
        </w:rPr>
        <w:t>.1.9.2.</w:t>
      </w:r>
      <w:r w:rsidRPr="00DE12A3">
        <w:rPr>
          <w:rFonts w:eastAsia="Times New Roman" w:cs="Times New Roman"/>
          <w:color w:val="auto"/>
          <w:spacing w:val="3"/>
          <w:lang w:eastAsia="en-US"/>
        </w:rPr>
        <w:tab/>
        <w:t>CO NDIR analiz cihazları için H</w:t>
      </w:r>
      <w:r w:rsidRPr="00DE12A3">
        <w:rPr>
          <w:rFonts w:eastAsia="Times New Roman" w:cs="Times New Roman"/>
          <w:color w:val="auto"/>
          <w:spacing w:val="3"/>
          <w:vertAlign w:val="subscript"/>
          <w:lang w:eastAsia="en-US"/>
        </w:rPr>
        <w:t>2</w:t>
      </w:r>
      <w:r w:rsidRPr="00DE12A3">
        <w:rPr>
          <w:rFonts w:eastAsia="Times New Roman" w:cs="Times New Roman"/>
          <w:color w:val="auto"/>
          <w:spacing w:val="3"/>
          <w:lang w:eastAsia="en-US"/>
        </w:rPr>
        <w:t>O ve CO</w:t>
      </w:r>
      <w:r w:rsidRPr="00DE12A3">
        <w:rPr>
          <w:rFonts w:eastAsia="Times New Roman" w:cs="Times New Roman"/>
          <w:color w:val="auto"/>
          <w:spacing w:val="3"/>
          <w:vertAlign w:val="subscript"/>
          <w:lang w:eastAsia="en-US"/>
        </w:rPr>
        <w:t>2</w:t>
      </w:r>
      <w:r w:rsidRPr="00DE12A3">
        <w:rPr>
          <w:rFonts w:eastAsia="Times New Roman" w:cs="Times New Roman"/>
          <w:color w:val="auto"/>
          <w:spacing w:val="3"/>
          <w:lang w:eastAsia="en-US"/>
        </w:rPr>
        <w:t xml:space="preserve"> karışması doğrulaması</w:t>
      </w:r>
    </w:p>
    <w:p w14:paraId="3AA4F072" w14:textId="77777777" w:rsidR="002D7B36" w:rsidRPr="00DE12A3" w:rsidRDefault="00242DA0" w:rsidP="00E20716">
      <w:pPr>
        <w:numPr>
          <w:ilvl w:val="0"/>
          <w:numId w:val="252"/>
        </w:numPr>
        <w:spacing w:before="120" w:after="120"/>
        <w:ind w:left="1134" w:hanging="1134"/>
        <w:jc w:val="both"/>
        <w:rPr>
          <w:rFonts w:eastAsia="Times New Roman" w:cs="Times New Roman"/>
          <w:color w:val="auto"/>
          <w:spacing w:val="3"/>
          <w:lang w:eastAsia="en-US"/>
        </w:rPr>
      </w:pPr>
      <w:r w:rsidRPr="00DE12A3">
        <w:rPr>
          <w:rFonts w:eastAsia="Times New Roman" w:cs="Times New Roman"/>
          <w:color w:val="auto"/>
          <w:spacing w:val="3"/>
          <w:lang w:eastAsia="en-US"/>
        </w:rPr>
        <w:t>Kapsam ve sıklık</w:t>
      </w:r>
    </w:p>
    <w:p w14:paraId="64A91F40" w14:textId="77777777" w:rsidR="002D7B36" w:rsidRPr="00DE12A3" w:rsidRDefault="00967438" w:rsidP="00C917D6">
      <w:pPr>
        <w:spacing w:before="120" w:after="120"/>
        <w:ind w:left="1134" w:hanging="1134"/>
        <w:jc w:val="both"/>
        <w:rPr>
          <w:rFonts w:eastAsia="Times New Roman" w:cs="Times New Roman"/>
          <w:color w:val="auto"/>
          <w:spacing w:val="3"/>
          <w:lang w:eastAsia="en-US"/>
        </w:rPr>
      </w:pPr>
      <w:r w:rsidRPr="00DE12A3">
        <w:rPr>
          <w:rFonts w:eastAsia="Times New Roman" w:cs="Times New Roman"/>
          <w:color w:val="auto"/>
          <w:spacing w:val="3"/>
          <w:lang w:eastAsia="en-US"/>
        </w:rPr>
        <w:t xml:space="preserve">                   </w:t>
      </w:r>
      <w:r w:rsidR="00242DA0" w:rsidRPr="00DE12A3">
        <w:rPr>
          <w:rFonts w:eastAsia="Times New Roman" w:cs="Times New Roman"/>
          <w:color w:val="auto"/>
          <w:spacing w:val="3"/>
          <w:lang w:eastAsia="en-US"/>
        </w:rPr>
        <w:t>CO</w:t>
      </w:r>
      <w:r w:rsidR="00242DA0" w:rsidRPr="00DE12A3">
        <w:rPr>
          <w:rFonts w:eastAsia="Times New Roman" w:cs="Times New Roman"/>
          <w:color w:val="auto"/>
          <w:spacing w:val="3"/>
          <w:vertAlign w:val="subscript"/>
          <w:lang w:eastAsia="en-US"/>
        </w:rPr>
        <w:t>2</w:t>
      </w:r>
      <w:r w:rsidR="00242DA0" w:rsidRPr="00DE12A3">
        <w:rPr>
          <w:rFonts w:eastAsia="Times New Roman" w:cs="Times New Roman"/>
          <w:color w:val="auto"/>
          <w:spacing w:val="3"/>
          <w:lang w:eastAsia="en-US"/>
        </w:rPr>
        <w:t xml:space="preserve"> bir NDIR analiz cihazı kullanılarak ölçülürse, ilk analiz cihazı montajından sonra ve büyük bir bakım sonrasında H</w:t>
      </w:r>
      <w:r w:rsidR="00242DA0" w:rsidRPr="00DE12A3">
        <w:rPr>
          <w:rFonts w:eastAsia="Times New Roman" w:cs="Times New Roman"/>
          <w:color w:val="auto"/>
          <w:spacing w:val="3"/>
          <w:vertAlign w:val="subscript"/>
          <w:lang w:eastAsia="en-US"/>
        </w:rPr>
        <w:t>2</w:t>
      </w:r>
      <w:r w:rsidR="00242DA0" w:rsidRPr="00DE12A3">
        <w:rPr>
          <w:rFonts w:eastAsia="Times New Roman" w:cs="Times New Roman"/>
          <w:color w:val="auto"/>
          <w:spacing w:val="3"/>
          <w:lang w:eastAsia="en-US"/>
        </w:rPr>
        <w:t>O ve CO</w:t>
      </w:r>
      <w:r w:rsidR="00242DA0" w:rsidRPr="00DE12A3">
        <w:rPr>
          <w:rFonts w:eastAsia="Times New Roman" w:cs="Times New Roman"/>
          <w:color w:val="auto"/>
          <w:spacing w:val="3"/>
          <w:vertAlign w:val="subscript"/>
          <w:lang w:eastAsia="en-US"/>
        </w:rPr>
        <w:t>2</w:t>
      </w:r>
      <w:r w:rsidR="00242DA0" w:rsidRPr="00DE12A3">
        <w:rPr>
          <w:rFonts w:eastAsia="Times New Roman" w:cs="Times New Roman"/>
          <w:color w:val="auto"/>
          <w:spacing w:val="3"/>
          <w:lang w:eastAsia="en-US"/>
        </w:rPr>
        <w:t xml:space="preserve"> karışma miktarı doğrulanmalıdır.</w:t>
      </w:r>
    </w:p>
    <w:p w14:paraId="4720D249" w14:textId="77777777" w:rsidR="002D7B36" w:rsidRPr="00DE12A3" w:rsidRDefault="00242DA0" w:rsidP="00E20716">
      <w:pPr>
        <w:numPr>
          <w:ilvl w:val="0"/>
          <w:numId w:val="252"/>
        </w:numPr>
        <w:tabs>
          <w:tab w:val="left" w:pos="893"/>
        </w:tabs>
        <w:spacing w:before="120" w:after="120"/>
        <w:ind w:left="1134" w:hanging="1134"/>
        <w:jc w:val="both"/>
        <w:rPr>
          <w:rFonts w:eastAsia="Times New Roman" w:cs="Times New Roman"/>
          <w:color w:val="auto"/>
          <w:spacing w:val="3"/>
          <w:lang w:eastAsia="en-US"/>
        </w:rPr>
      </w:pPr>
      <w:r w:rsidRPr="00DE12A3">
        <w:rPr>
          <w:rFonts w:eastAsia="Times New Roman" w:cs="Times New Roman"/>
          <w:color w:val="auto"/>
          <w:spacing w:val="3"/>
          <w:lang w:eastAsia="en-US"/>
        </w:rPr>
        <w:t>Ölçüm ilkeleri</w:t>
      </w:r>
    </w:p>
    <w:p w14:paraId="513013E9" w14:textId="77777777" w:rsidR="002D7B36" w:rsidRPr="00DE12A3" w:rsidRDefault="00967438" w:rsidP="00C917D6">
      <w:pPr>
        <w:tabs>
          <w:tab w:val="right" w:pos="3678"/>
          <w:tab w:val="left" w:pos="3716"/>
        </w:tabs>
        <w:spacing w:before="120" w:after="120"/>
        <w:ind w:left="1134" w:hanging="1134"/>
        <w:jc w:val="both"/>
        <w:rPr>
          <w:rFonts w:eastAsia="Times New Roman" w:cs="Times New Roman"/>
          <w:color w:val="auto"/>
          <w:spacing w:val="3"/>
          <w:lang w:eastAsia="en-US"/>
        </w:rPr>
      </w:pPr>
      <w:r w:rsidRPr="00DE12A3">
        <w:rPr>
          <w:rFonts w:eastAsia="Times New Roman" w:cs="Times New Roman"/>
          <w:color w:val="auto"/>
          <w:spacing w:val="3"/>
          <w:lang w:eastAsia="en-US"/>
        </w:rPr>
        <w:t xml:space="preserve">                  </w:t>
      </w:r>
      <w:r w:rsidR="00242DA0" w:rsidRPr="00DE12A3">
        <w:rPr>
          <w:rFonts w:eastAsia="Times New Roman" w:cs="Times New Roman"/>
          <w:color w:val="auto"/>
          <w:spacing w:val="3"/>
          <w:lang w:eastAsia="en-US"/>
        </w:rPr>
        <w:t>H</w:t>
      </w:r>
      <w:r w:rsidR="00242DA0" w:rsidRPr="00DE12A3">
        <w:rPr>
          <w:rFonts w:eastAsia="Times New Roman" w:cs="Times New Roman"/>
          <w:color w:val="auto"/>
          <w:spacing w:val="3"/>
          <w:vertAlign w:val="subscript"/>
          <w:lang w:eastAsia="en-US"/>
        </w:rPr>
        <w:t>2</w:t>
      </w:r>
      <w:r w:rsidR="00242DA0" w:rsidRPr="00DE12A3">
        <w:rPr>
          <w:rFonts w:eastAsia="Times New Roman" w:cs="Times New Roman"/>
          <w:color w:val="auto"/>
          <w:spacing w:val="3"/>
          <w:lang w:eastAsia="en-US"/>
        </w:rPr>
        <w:t>O ve CO</w:t>
      </w:r>
      <w:r w:rsidR="00242DA0" w:rsidRPr="00DE12A3">
        <w:rPr>
          <w:rFonts w:eastAsia="Times New Roman" w:cs="Times New Roman"/>
          <w:color w:val="auto"/>
          <w:spacing w:val="3"/>
          <w:vertAlign w:val="subscript"/>
          <w:lang w:eastAsia="en-US"/>
        </w:rPr>
        <w:t>2</w:t>
      </w:r>
      <w:r w:rsidR="00242DA0" w:rsidRPr="00DE12A3">
        <w:rPr>
          <w:rFonts w:eastAsia="Times New Roman" w:cs="Times New Roman"/>
          <w:color w:val="auto"/>
          <w:spacing w:val="3"/>
          <w:lang w:eastAsia="en-US"/>
        </w:rPr>
        <w:t>, bir NDIR analiz cihazında CO'ya benzer bir tepkiye yol açarak pozitif olarak karışabilir. NDIR analiz cihazı bu karışma doğrulamasını sağlamak için diğer gazlara ait ölçümleri kullanan dengeleme algoritmaları kullanıyorsa, analiz cihazı karışma doğrulaması sırasında dengeleme algoritmalarını test etmek için, eş zamanlı olarak bu diğer ölçümler yapılmalıdır.</w:t>
      </w:r>
    </w:p>
    <w:p w14:paraId="3C789FDF" w14:textId="77777777" w:rsidR="002D7B36" w:rsidRPr="00DE12A3" w:rsidRDefault="00242DA0" w:rsidP="00E20716">
      <w:pPr>
        <w:numPr>
          <w:ilvl w:val="0"/>
          <w:numId w:val="252"/>
        </w:numPr>
        <w:spacing w:before="120" w:after="120"/>
        <w:ind w:left="1134" w:hanging="1134"/>
        <w:jc w:val="both"/>
        <w:rPr>
          <w:rFonts w:eastAsia="Times New Roman" w:cs="Times New Roman"/>
          <w:color w:val="auto"/>
          <w:spacing w:val="3"/>
          <w:lang w:eastAsia="en-US"/>
        </w:rPr>
      </w:pPr>
      <w:r w:rsidRPr="00DE12A3">
        <w:rPr>
          <w:rFonts w:eastAsia="Times New Roman" w:cs="Times New Roman"/>
          <w:color w:val="auto"/>
          <w:spacing w:val="3"/>
          <w:lang w:eastAsia="en-US"/>
        </w:rPr>
        <w:t xml:space="preserve">Sistem </w:t>
      </w:r>
      <w:r w:rsidR="0053289F" w:rsidRPr="00DE12A3">
        <w:rPr>
          <w:rFonts w:eastAsia="Times New Roman" w:cs="Times New Roman"/>
          <w:color w:val="auto"/>
          <w:spacing w:val="3"/>
          <w:lang w:eastAsia="en-US"/>
        </w:rPr>
        <w:t>gereklilikleri</w:t>
      </w:r>
    </w:p>
    <w:p w14:paraId="7A99F9C3" w14:textId="70AA855D" w:rsidR="002D7B36" w:rsidRPr="00DE12A3" w:rsidRDefault="00967438" w:rsidP="00C917D6">
      <w:pPr>
        <w:spacing w:before="120" w:after="120"/>
        <w:ind w:left="1134" w:hanging="1134"/>
        <w:jc w:val="both"/>
        <w:rPr>
          <w:rFonts w:eastAsia="Times New Roman" w:cs="Times New Roman"/>
          <w:color w:val="auto"/>
          <w:spacing w:val="3"/>
          <w:lang w:eastAsia="en-US"/>
        </w:rPr>
      </w:pPr>
      <w:r w:rsidRPr="00DE12A3">
        <w:rPr>
          <w:rFonts w:eastAsia="Times New Roman" w:cs="Times New Roman"/>
          <w:color w:val="auto"/>
          <w:spacing w:val="3"/>
          <w:lang w:eastAsia="en-US"/>
        </w:rPr>
        <w:t xml:space="preserve">                   </w:t>
      </w:r>
      <w:r w:rsidR="00242DA0" w:rsidRPr="00DE12A3">
        <w:rPr>
          <w:rFonts w:eastAsia="Times New Roman" w:cs="Times New Roman"/>
          <w:color w:val="auto"/>
          <w:spacing w:val="3"/>
          <w:lang w:eastAsia="en-US"/>
        </w:rPr>
        <w:t xml:space="preserve">Bir CO NDIR analiz cihazı, beklenen ortalama CO konsantrasyonu ± </w:t>
      </w:r>
      <w:r w:rsidR="00973AD0" w:rsidRPr="00DE12A3">
        <w:rPr>
          <w:rFonts w:eastAsia="Times New Roman" w:cs="Times New Roman"/>
          <w:color w:val="auto"/>
          <w:spacing w:val="3"/>
          <w:lang w:eastAsia="en-US"/>
        </w:rPr>
        <w:t>%2</w:t>
      </w:r>
      <w:r w:rsidR="00242DA0" w:rsidRPr="00DE12A3">
        <w:rPr>
          <w:rFonts w:eastAsia="Times New Roman" w:cs="Times New Roman"/>
          <w:color w:val="auto"/>
          <w:spacing w:val="3"/>
          <w:lang w:eastAsia="en-US"/>
        </w:rPr>
        <w:t xml:space="preserve"> aralığı içinde olan H</w:t>
      </w:r>
      <w:r w:rsidR="00242DA0" w:rsidRPr="00DE12A3">
        <w:rPr>
          <w:rFonts w:eastAsia="Times New Roman" w:cs="Times New Roman"/>
          <w:color w:val="auto"/>
          <w:spacing w:val="3"/>
          <w:vertAlign w:val="subscript"/>
          <w:lang w:eastAsia="en-US"/>
        </w:rPr>
        <w:t>2</w:t>
      </w:r>
      <w:r w:rsidR="00242DA0" w:rsidRPr="00DE12A3">
        <w:rPr>
          <w:rFonts w:eastAsia="Times New Roman" w:cs="Times New Roman"/>
          <w:color w:val="auto"/>
          <w:spacing w:val="3"/>
          <w:lang w:eastAsia="en-US"/>
        </w:rPr>
        <w:t>O ve CO</w:t>
      </w:r>
      <w:r w:rsidR="00242DA0" w:rsidRPr="00DE12A3">
        <w:rPr>
          <w:rFonts w:eastAsia="Times New Roman" w:cs="Times New Roman"/>
          <w:color w:val="auto"/>
          <w:spacing w:val="3"/>
          <w:vertAlign w:val="subscript"/>
          <w:lang w:eastAsia="en-US"/>
        </w:rPr>
        <w:t>2</w:t>
      </w:r>
      <w:r w:rsidR="00242DA0" w:rsidRPr="00DE12A3">
        <w:rPr>
          <w:rFonts w:eastAsia="Times New Roman" w:cs="Times New Roman"/>
          <w:color w:val="auto"/>
          <w:spacing w:val="3"/>
          <w:lang w:eastAsia="en-US"/>
        </w:rPr>
        <w:t xml:space="preserve"> karışmasını birleştirmelidir.</w:t>
      </w:r>
    </w:p>
    <w:p w14:paraId="000FA02F" w14:textId="77777777" w:rsidR="002D7B36" w:rsidRPr="00DE12A3" w:rsidRDefault="00242DA0" w:rsidP="00E20716">
      <w:pPr>
        <w:numPr>
          <w:ilvl w:val="0"/>
          <w:numId w:val="252"/>
        </w:numPr>
        <w:spacing w:before="120" w:after="120"/>
        <w:ind w:left="1134" w:hanging="1134"/>
        <w:jc w:val="both"/>
        <w:rPr>
          <w:rFonts w:eastAsia="Times New Roman" w:cs="Times New Roman"/>
          <w:color w:val="auto"/>
          <w:spacing w:val="3"/>
          <w:lang w:eastAsia="en-US"/>
        </w:rPr>
      </w:pPr>
      <w:r w:rsidRPr="00DE12A3">
        <w:rPr>
          <w:rFonts w:eastAsia="Times New Roman" w:cs="Times New Roman"/>
          <w:color w:val="auto"/>
          <w:spacing w:val="3"/>
          <w:lang w:eastAsia="en-US"/>
        </w:rPr>
        <w:t>Prosedür</w:t>
      </w:r>
    </w:p>
    <w:p w14:paraId="7280E5BE" w14:textId="77777777" w:rsidR="002D7B36" w:rsidRPr="00DE12A3" w:rsidRDefault="00967438" w:rsidP="00C917D6">
      <w:pPr>
        <w:spacing w:before="120" w:after="120"/>
        <w:ind w:left="1134" w:hanging="1134"/>
        <w:jc w:val="both"/>
        <w:rPr>
          <w:rFonts w:eastAsia="Times New Roman" w:cs="Times New Roman"/>
          <w:color w:val="auto"/>
          <w:spacing w:val="3"/>
          <w:lang w:eastAsia="en-US"/>
        </w:rPr>
      </w:pPr>
      <w:r w:rsidRPr="00DE12A3">
        <w:rPr>
          <w:rFonts w:eastAsia="Times New Roman" w:cs="Times New Roman"/>
          <w:color w:val="auto"/>
          <w:spacing w:val="3"/>
          <w:lang w:eastAsia="en-US"/>
        </w:rPr>
        <w:t xml:space="preserve">                  </w:t>
      </w:r>
      <w:r w:rsidR="00242DA0" w:rsidRPr="00DE12A3">
        <w:rPr>
          <w:rFonts w:eastAsia="Times New Roman" w:cs="Times New Roman"/>
          <w:color w:val="auto"/>
          <w:spacing w:val="3"/>
          <w:lang w:eastAsia="en-US"/>
        </w:rPr>
        <w:t>Karışma doğrulaması aşağıdaki gibi yapılmalıdır:</w:t>
      </w:r>
    </w:p>
    <w:p w14:paraId="55FA8C7B" w14:textId="68908FC8" w:rsidR="002D7B36" w:rsidRPr="00DE12A3" w:rsidRDefault="00967438" w:rsidP="00E20716">
      <w:pPr>
        <w:numPr>
          <w:ilvl w:val="0"/>
          <w:numId w:val="253"/>
        </w:numPr>
        <w:spacing w:before="120" w:after="120"/>
        <w:ind w:left="1701" w:hanging="567"/>
        <w:jc w:val="both"/>
        <w:rPr>
          <w:rFonts w:eastAsia="Times New Roman" w:cs="Times New Roman"/>
          <w:color w:val="auto"/>
          <w:spacing w:val="3"/>
          <w:lang w:eastAsia="en-US"/>
        </w:rPr>
      </w:pPr>
      <w:r w:rsidRPr="00DE12A3">
        <w:rPr>
          <w:rFonts w:eastAsia="Times New Roman" w:cs="Times New Roman"/>
          <w:color w:val="auto"/>
          <w:spacing w:val="3"/>
          <w:lang w:eastAsia="en-US"/>
        </w:rPr>
        <w:t xml:space="preserve">    </w:t>
      </w:r>
      <w:r w:rsidR="00242DA0" w:rsidRPr="00DE12A3">
        <w:rPr>
          <w:rFonts w:eastAsia="Times New Roman" w:cs="Times New Roman"/>
          <w:color w:val="auto"/>
          <w:spacing w:val="3"/>
          <w:lang w:eastAsia="en-US"/>
        </w:rPr>
        <w:t>CO NDIR analiz cihazı, bir emisyon testi öncesindeki gibi çalıştırılmalı, işletilmeli, sıfırlanmalı ve ayarlanmalıdır</w:t>
      </w:r>
      <w:r w:rsidR="004D3A4A" w:rsidRPr="00DE12A3">
        <w:rPr>
          <w:rFonts w:eastAsia="Times New Roman" w:cs="Times New Roman"/>
          <w:color w:val="auto"/>
          <w:spacing w:val="3"/>
          <w:lang w:eastAsia="en-US"/>
        </w:rPr>
        <w:t>.</w:t>
      </w:r>
    </w:p>
    <w:p w14:paraId="07EC25E0" w14:textId="5B5A4EDF" w:rsidR="002D7B36" w:rsidRPr="00DE12A3" w:rsidRDefault="00242DA0" w:rsidP="00E20716">
      <w:pPr>
        <w:numPr>
          <w:ilvl w:val="0"/>
          <w:numId w:val="253"/>
        </w:numPr>
        <w:spacing w:before="120" w:after="120"/>
        <w:ind w:left="1701" w:hanging="567"/>
        <w:jc w:val="both"/>
        <w:rPr>
          <w:rFonts w:eastAsia="Times New Roman" w:cs="Times New Roman"/>
          <w:color w:val="auto"/>
          <w:spacing w:val="3"/>
          <w:lang w:eastAsia="en-US"/>
        </w:rPr>
      </w:pPr>
      <w:r w:rsidRPr="00DE12A3">
        <w:rPr>
          <w:rFonts w:eastAsia="Times New Roman" w:cs="Times New Roman"/>
          <w:color w:val="auto"/>
          <w:spacing w:val="3"/>
          <w:lang w:eastAsia="en-US"/>
        </w:rPr>
        <w:t>CO</w:t>
      </w:r>
      <w:r w:rsidRPr="00DE12A3">
        <w:rPr>
          <w:rFonts w:eastAsia="Times New Roman" w:cs="Times New Roman"/>
          <w:color w:val="auto"/>
          <w:spacing w:val="3"/>
          <w:vertAlign w:val="subscript"/>
          <w:lang w:eastAsia="en-US"/>
        </w:rPr>
        <w:t>2</w:t>
      </w:r>
      <w:r w:rsidRPr="00DE12A3">
        <w:rPr>
          <w:rFonts w:eastAsia="Times New Roman" w:cs="Times New Roman"/>
          <w:color w:val="auto"/>
          <w:spacing w:val="3"/>
          <w:lang w:eastAsia="en-US"/>
        </w:rPr>
        <w:t xml:space="preserve"> ayar gazının kapalı bir kapta damıtılmış su içinde köpürtülmesi ile nemlendirilmiş CO</w:t>
      </w:r>
      <w:r w:rsidRPr="00DE12A3">
        <w:rPr>
          <w:rFonts w:eastAsia="Times New Roman" w:cs="Times New Roman"/>
          <w:color w:val="auto"/>
          <w:spacing w:val="3"/>
          <w:vertAlign w:val="subscript"/>
          <w:lang w:eastAsia="en-US"/>
        </w:rPr>
        <w:t>2</w:t>
      </w:r>
      <w:r w:rsidRPr="00DE12A3">
        <w:rPr>
          <w:rFonts w:eastAsia="Times New Roman" w:cs="Times New Roman"/>
          <w:color w:val="auto"/>
          <w:spacing w:val="3"/>
          <w:lang w:eastAsia="en-US"/>
        </w:rPr>
        <w:t xml:space="preserve"> test gazı oluşturulur. Numune bir kurutucudan geçirilmezse, test gazı içinde en az test sırasında beklenen azami miktar kadar yüksek bir H</w:t>
      </w:r>
      <w:r w:rsidRPr="00DE12A3">
        <w:rPr>
          <w:rFonts w:eastAsia="Times New Roman" w:cs="Times New Roman"/>
          <w:color w:val="auto"/>
          <w:spacing w:val="3"/>
          <w:vertAlign w:val="subscript"/>
          <w:lang w:eastAsia="en-US"/>
        </w:rPr>
        <w:t>2</w:t>
      </w:r>
      <w:r w:rsidRPr="00DE12A3">
        <w:rPr>
          <w:rFonts w:eastAsia="Times New Roman" w:cs="Times New Roman"/>
          <w:color w:val="auto"/>
          <w:spacing w:val="3"/>
          <w:lang w:eastAsia="en-US"/>
        </w:rPr>
        <w:t>O içeriği oluşturmak için kap sıcaklığı kontrol edilmelidir. Numune test sırasında bir kurutucudan geçirilirse, 9.</w:t>
      </w:r>
      <w:r w:rsidR="00D16669" w:rsidRPr="00DE12A3">
        <w:rPr>
          <w:rFonts w:eastAsia="Times New Roman" w:cs="Times New Roman"/>
          <w:color w:val="auto"/>
          <w:spacing w:val="3"/>
          <w:lang w:eastAsia="en-US"/>
        </w:rPr>
        <w:t>3.</w:t>
      </w:r>
      <w:r w:rsidRPr="00DE12A3">
        <w:rPr>
          <w:rFonts w:eastAsia="Times New Roman" w:cs="Times New Roman"/>
          <w:color w:val="auto"/>
          <w:spacing w:val="3"/>
          <w:lang w:eastAsia="en-US"/>
        </w:rPr>
        <w:t>2.</w:t>
      </w:r>
      <w:r w:rsidR="00D16669" w:rsidRPr="00DE12A3">
        <w:rPr>
          <w:rFonts w:eastAsia="Times New Roman" w:cs="Times New Roman"/>
          <w:color w:val="auto"/>
          <w:spacing w:val="3"/>
          <w:lang w:eastAsia="en-US"/>
        </w:rPr>
        <w:t>3</w:t>
      </w:r>
      <w:r w:rsidRPr="00DE12A3">
        <w:rPr>
          <w:rFonts w:eastAsia="Times New Roman" w:cs="Times New Roman"/>
          <w:color w:val="auto"/>
          <w:spacing w:val="3"/>
          <w:lang w:eastAsia="en-US"/>
        </w:rPr>
        <w:t>.1.1 bendi uyarınca test gazı içinde en az kurutucunun çıkışında beklenen azami miktar kadar yüksek bir H</w:t>
      </w:r>
      <w:r w:rsidRPr="00DE12A3">
        <w:rPr>
          <w:rFonts w:eastAsia="Times New Roman" w:cs="Times New Roman"/>
          <w:color w:val="auto"/>
          <w:spacing w:val="3"/>
          <w:vertAlign w:val="subscript"/>
          <w:lang w:eastAsia="en-US"/>
        </w:rPr>
        <w:t>2</w:t>
      </w:r>
      <w:r w:rsidRPr="00DE12A3">
        <w:rPr>
          <w:rFonts w:eastAsia="Times New Roman" w:cs="Times New Roman"/>
          <w:color w:val="auto"/>
          <w:spacing w:val="3"/>
          <w:lang w:eastAsia="en-US"/>
        </w:rPr>
        <w:t>O içeriği oluşturmak için kap sıcaklığı kontrol edilmelidir. En az test sırasında beklenen azami yükseklikte bir CO</w:t>
      </w:r>
      <w:r w:rsidRPr="00DE12A3">
        <w:rPr>
          <w:rFonts w:eastAsia="Times New Roman" w:cs="Times New Roman"/>
          <w:color w:val="auto"/>
          <w:spacing w:val="3"/>
          <w:vertAlign w:val="subscript"/>
          <w:lang w:eastAsia="en-US"/>
        </w:rPr>
        <w:t>2</w:t>
      </w:r>
      <w:r w:rsidRPr="00DE12A3">
        <w:rPr>
          <w:rFonts w:eastAsia="Times New Roman" w:cs="Times New Roman"/>
          <w:color w:val="auto"/>
          <w:spacing w:val="3"/>
          <w:lang w:eastAsia="en-US"/>
        </w:rPr>
        <w:t xml:space="preserve"> ayar gaz konsantrasyonu kullanılmalıdır</w:t>
      </w:r>
      <w:r w:rsidR="004D3A4A" w:rsidRPr="00DE12A3">
        <w:rPr>
          <w:rFonts w:eastAsia="Times New Roman" w:cs="Times New Roman"/>
          <w:color w:val="auto"/>
          <w:spacing w:val="3"/>
          <w:lang w:eastAsia="en-US"/>
        </w:rPr>
        <w:t>.</w:t>
      </w:r>
    </w:p>
    <w:p w14:paraId="0975B807" w14:textId="3290B8F9" w:rsidR="002D7B36" w:rsidRPr="00DE12A3" w:rsidRDefault="00967438" w:rsidP="00E20716">
      <w:pPr>
        <w:numPr>
          <w:ilvl w:val="0"/>
          <w:numId w:val="253"/>
        </w:numPr>
        <w:spacing w:before="120" w:after="120"/>
        <w:ind w:left="1701" w:hanging="567"/>
        <w:jc w:val="both"/>
        <w:rPr>
          <w:rFonts w:eastAsia="Times New Roman" w:cs="Times New Roman"/>
          <w:color w:val="auto"/>
          <w:spacing w:val="3"/>
          <w:lang w:eastAsia="en-US"/>
        </w:rPr>
      </w:pPr>
      <w:r w:rsidRPr="00DE12A3">
        <w:rPr>
          <w:rFonts w:eastAsia="Times New Roman" w:cs="Times New Roman"/>
          <w:color w:val="auto"/>
          <w:spacing w:val="3"/>
          <w:lang w:eastAsia="en-US"/>
        </w:rPr>
        <w:t xml:space="preserve">     </w:t>
      </w:r>
      <w:r w:rsidR="00242DA0" w:rsidRPr="00DE12A3">
        <w:rPr>
          <w:rFonts w:eastAsia="Times New Roman" w:cs="Times New Roman"/>
          <w:color w:val="auto"/>
          <w:spacing w:val="3"/>
          <w:lang w:eastAsia="en-US"/>
        </w:rPr>
        <w:t>Nemlendirilmiş CO</w:t>
      </w:r>
      <w:r w:rsidR="00242DA0" w:rsidRPr="00DE12A3">
        <w:rPr>
          <w:rFonts w:eastAsia="Times New Roman" w:cs="Times New Roman"/>
          <w:color w:val="auto"/>
          <w:spacing w:val="3"/>
          <w:vertAlign w:val="subscript"/>
          <w:lang w:eastAsia="en-US"/>
        </w:rPr>
        <w:t>2</w:t>
      </w:r>
      <w:r w:rsidR="00242DA0" w:rsidRPr="00DE12A3">
        <w:rPr>
          <w:rFonts w:eastAsia="Times New Roman" w:cs="Times New Roman"/>
          <w:color w:val="auto"/>
          <w:spacing w:val="3"/>
          <w:lang w:eastAsia="en-US"/>
        </w:rPr>
        <w:t xml:space="preserve"> test gazı, örnekleme sistemi içine beslenmelidir. Nemlendirilmiş CO</w:t>
      </w:r>
      <w:r w:rsidR="00242DA0" w:rsidRPr="00DE12A3">
        <w:rPr>
          <w:rFonts w:eastAsia="Times New Roman" w:cs="Times New Roman"/>
          <w:color w:val="auto"/>
          <w:spacing w:val="3"/>
          <w:vertAlign w:val="subscript"/>
          <w:lang w:eastAsia="en-US"/>
        </w:rPr>
        <w:t>2</w:t>
      </w:r>
      <w:r w:rsidR="00242DA0" w:rsidRPr="00DE12A3">
        <w:rPr>
          <w:rFonts w:eastAsia="Times New Roman" w:cs="Times New Roman"/>
          <w:color w:val="auto"/>
          <w:spacing w:val="3"/>
          <w:lang w:eastAsia="en-US"/>
        </w:rPr>
        <w:t xml:space="preserve"> test gazı, eğer test sırasında kullanılıyorsa, herhangi bir numune kurutucunun çıkış kısmından beslenebilir</w:t>
      </w:r>
      <w:r w:rsidR="004D3A4A" w:rsidRPr="00DE12A3">
        <w:rPr>
          <w:rFonts w:eastAsia="Times New Roman" w:cs="Times New Roman"/>
          <w:color w:val="auto"/>
          <w:spacing w:val="3"/>
          <w:lang w:eastAsia="en-US"/>
        </w:rPr>
        <w:t>.</w:t>
      </w:r>
    </w:p>
    <w:p w14:paraId="04219A1F" w14:textId="7514FAE0" w:rsidR="002D7B36" w:rsidRPr="00DE12A3" w:rsidRDefault="00242DA0" w:rsidP="00E20716">
      <w:pPr>
        <w:numPr>
          <w:ilvl w:val="0"/>
          <w:numId w:val="253"/>
        </w:numPr>
        <w:spacing w:before="120" w:after="120"/>
        <w:ind w:left="1701" w:hanging="567"/>
        <w:jc w:val="both"/>
        <w:rPr>
          <w:rFonts w:eastAsia="Times New Roman" w:cs="Times New Roman"/>
          <w:color w:val="auto"/>
          <w:spacing w:val="3"/>
          <w:lang w:eastAsia="en-US"/>
        </w:rPr>
      </w:pPr>
      <w:r w:rsidRPr="00DE12A3">
        <w:rPr>
          <w:rFonts w:eastAsia="Times New Roman" w:cs="Times New Roman"/>
          <w:color w:val="auto"/>
          <w:spacing w:val="3"/>
          <w:lang w:eastAsia="en-US"/>
        </w:rPr>
        <w:t xml:space="preserve">Nemlendirilmiş test gazının su mol fraksiyonu </w:t>
      </w:r>
      <w:r w:rsidRPr="00DE12A3">
        <w:rPr>
          <w:rFonts w:eastAsia="Times New Roman" w:cs="Times New Roman"/>
          <w:i/>
          <w:iCs/>
          <w:color w:val="auto"/>
          <w:spacing w:val="3"/>
          <w:lang w:eastAsia="en-US"/>
        </w:rPr>
        <w:t>x</w:t>
      </w:r>
      <w:r w:rsidRPr="00DE12A3">
        <w:rPr>
          <w:rFonts w:eastAsia="Times New Roman" w:cs="Times New Roman"/>
          <w:color w:val="auto"/>
          <w:spacing w:val="3"/>
          <w:vertAlign w:val="subscript"/>
          <w:lang w:eastAsia="en-US"/>
        </w:rPr>
        <w:t>H20</w:t>
      </w:r>
      <w:r w:rsidRPr="00DE12A3">
        <w:rPr>
          <w:rFonts w:eastAsia="Times New Roman" w:cs="Times New Roman"/>
          <w:color w:val="auto"/>
          <w:spacing w:val="3"/>
          <w:lang w:eastAsia="en-US"/>
        </w:rPr>
        <w:t xml:space="preserve">, analiz cihazının girişine mümkün olduğunca yakın ölçülmelidir. Örneğin, </w:t>
      </w:r>
      <w:r w:rsidRPr="00DE12A3">
        <w:rPr>
          <w:rFonts w:eastAsia="Times New Roman" w:cs="Times New Roman"/>
          <w:i/>
          <w:iCs/>
          <w:color w:val="auto"/>
          <w:spacing w:val="3"/>
          <w:lang w:eastAsia="en-US"/>
        </w:rPr>
        <w:t>x</w:t>
      </w:r>
      <w:r w:rsidRPr="00DE12A3">
        <w:rPr>
          <w:rFonts w:eastAsia="Times New Roman" w:cs="Times New Roman"/>
          <w:color w:val="auto"/>
          <w:spacing w:val="3"/>
          <w:vertAlign w:val="subscript"/>
          <w:lang w:eastAsia="en-US"/>
        </w:rPr>
        <w:t>H2O</w:t>
      </w:r>
      <w:r w:rsidRPr="00DE12A3">
        <w:rPr>
          <w:rFonts w:eastAsia="Times New Roman" w:cs="Times New Roman"/>
          <w:color w:val="auto"/>
          <w:spacing w:val="3"/>
          <w:lang w:eastAsia="en-US"/>
        </w:rPr>
        <w:t xml:space="preserve">'nin hesaplanması için, yoğuşma noktası </w:t>
      </w:r>
      <w:r w:rsidRPr="00DE12A3">
        <w:rPr>
          <w:rFonts w:eastAsia="Times New Roman" w:cs="Times New Roman"/>
          <w:i/>
          <w:iCs/>
          <w:color w:val="auto"/>
          <w:spacing w:val="3"/>
          <w:lang w:eastAsia="en-US"/>
        </w:rPr>
        <w:t>T</w:t>
      </w:r>
      <w:r w:rsidRPr="00DE12A3">
        <w:rPr>
          <w:rFonts w:eastAsia="Times New Roman" w:cs="Times New Roman"/>
          <w:color w:val="auto"/>
          <w:spacing w:val="3"/>
          <w:vertAlign w:val="subscript"/>
          <w:lang w:eastAsia="en-US"/>
        </w:rPr>
        <w:t>dew</w:t>
      </w:r>
      <w:r w:rsidRPr="00DE12A3">
        <w:rPr>
          <w:rFonts w:eastAsia="Times New Roman" w:cs="Times New Roman"/>
          <w:color w:val="auto"/>
          <w:spacing w:val="3"/>
          <w:lang w:eastAsia="en-US"/>
        </w:rPr>
        <w:t xml:space="preserve"> ve mutlak basınç ptotal ölçülmelidir</w:t>
      </w:r>
      <w:r w:rsidR="004D3A4A" w:rsidRPr="00DE12A3">
        <w:rPr>
          <w:rFonts w:eastAsia="Times New Roman" w:cs="Times New Roman"/>
          <w:color w:val="auto"/>
          <w:spacing w:val="3"/>
          <w:lang w:eastAsia="en-US"/>
        </w:rPr>
        <w:t>.</w:t>
      </w:r>
    </w:p>
    <w:p w14:paraId="182245DF" w14:textId="40E95C16" w:rsidR="002D7B36" w:rsidRPr="00DE12A3" w:rsidRDefault="00967438" w:rsidP="00E20716">
      <w:pPr>
        <w:numPr>
          <w:ilvl w:val="0"/>
          <w:numId w:val="253"/>
        </w:numPr>
        <w:spacing w:before="120" w:after="120"/>
        <w:ind w:left="1701" w:hanging="567"/>
        <w:jc w:val="both"/>
        <w:rPr>
          <w:rFonts w:eastAsia="Times New Roman" w:cs="Times New Roman"/>
          <w:color w:val="auto"/>
          <w:spacing w:val="3"/>
          <w:lang w:eastAsia="en-US"/>
        </w:rPr>
      </w:pPr>
      <w:r w:rsidRPr="00DE12A3">
        <w:rPr>
          <w:rFonts w:eastAsia="Times New Roman" w:cs="Times New Roman"/>
          <w:i/>
          <w:iCs/>
          <w:color w:val="auto"/>
          <w:spacing w:val="3"/>
          <w:lang w:eastAsia="en-US"/>
        </w:rPr>
        <w:t xml:space="preserve">     </w:t>
      </w:r>
      <w:r w:rsidR="00242DA0" w:rsidRPr="00DE12A3">
        <w:rPr>
          <w:rFonts w:eastAsia="Times New Roman" w:cs="Times New Roman"/>
          <w:i/>
          <w:iCs/>
          <w:color w:val="auto"/>
          <w:spacing w:val="3"/>
          <w:lang w:eastAsia="en-US"/>
        </w:rPr>
        <w:t>x</w:t>
      </w:r>
      <w:r w:rsidR="00242DA0" w:rsidRPr="00DE12A3">
        <w:rPr>
          <w:rFonts w:eastAsia="Times New Roman" w:cs="Times New Roman"/>
          <w:color w:val="auto"/>
          <w:spacing w:val="3"/>
          <w:vertAlign w:val="subscript"/>
          <w:lang w:eastAsia="en-US"/>
        </w:rPr>
        <w:t>H2O</w:t>
      </w:r>
      <w:r w:rsidR="00242DA0" w:rsidRPr="00DE12A3">
        <w:rPr>
          <w:rFonts w:eastAsia="Times New Roman" w:cs="Times New Roman"/>
          <w:color w:val="auto"/>
          <w:spacing w:val="3"/>
          <w:lang w:eastAsia="en-US"/>
        </w:rPr>
        <w:t xml:space="preserve">'nun ölçüldüğü noktadan analiz cihazına kadar olan aktarım hatları, bağlantılar veya valfler içinde yoğuşmayı önlemek için iyi mühendislik </w:t>
      </w:r>
      <w:r w:rsidR="00242DA0" w:rsidRPr="00DE12A3">
        <w:rPr>
          <w:rFonts w:eastAsia="Times New Roman" w:cs="Times New Roman"/>
          <w:color w:val="auto"/>
          <w:spacing w:val="3"/>
          <w:lang w:eastAsia="en-US"/>
        </w:rPr>
        <w:lastRenderedPageBreak/>
        <w:t>kararı kullanılmalıdır</w:t>
      </w:r>
      <w:r w:rsidR="004D3A4A" w:rsidRPr="00DE12A3">
        <w:rPr>
          <w:rFonts w:eastAsia="Times New Roman" w:cs="Times New Roman"/>
          <w:color w:val="auto"/>
          <w:spacing w:val="3"/>
          <w:lang w:eastAsia="en-US"/>
        </w:rPr>
        <w:t>.</w:t>
      </w:r>
    </w:p>
    <w:p w14:paraId="75DF2EBC" w14:textId="537E8372" w:rsidR="002D7B36" w:rsidRPr="00DE12A3" w:rsidRDefault="00967438" w:rsidP="00E20716">
      <w:pPr>
        <w:numPr>
          <w:ilvl w:val="0"/>
          <w:numId w:val="253"/>
        </w:numPr>
        <w:spacing w:before="120" w:after="120"/>
        <w:ind w:left="1701" w:hanging="567"/>
        <w:jc w:val="both"/>
        <w:rPr>
          <w:rFonts w:eastAsia="Times New Roman" w:cs="Times New Roman"/>
          <w:color w:val="auto"/>
          <w:spacing w:val="3"/>
          <w:lang w:eastAsia="en-US"/>
        </w:rPr>
      </w:pPr>
      <w:r w:rsidRPr="00DE12A3">
        <w:rPr>
          <w:rFonts w:eastAsia="Times New Roman" w:cs="Times New Roman"/>
          <w:color w:val="auto"/>
          <w:spacing w:val="3"/>
          <w:lang w:eastAsia="en-US"/>
        </w:rPr>
        <w:t xml:space="preserve">     </w:t>
      </w:r>
      <w:r w:rsidR="00242DA0" w:rsidRPr="00DE12A3">
        <w:rPr>
          <w:rFonts w:eastAsia="Times New Roman" w:cs="Times New Roman"/>
          <w:color w:val="auto"/>
          <w:spacing w:val="3"/>
          <w:lang w:eastAsia="en-US"/>
        </w:rPr>
        <w:t>Analiz cihazı tepkisinin dengelenmesi için süre tanınmalıdır</w:t>
      </w:r>
      <w:r w:rsidR="004D3A4A" w:rsidRPr="00DE12A3">
        <w:rPr>
          <w:rFonts w:eastAsia="Times New Roman" w:cs="Times New Roman"/>
          <w:color w:val="auto"/>
          <w:spacing w:val="3"/>
          <w:lang w:eastAsia="en-US"/>
        </w:rPr>
        <w:t>.</w:t>
      </w:r>
    </w:p>
    <w:p w14:paraId="0E10E161" w14:textId="378582E2" w:rsidR="002D7B36" w:rsidRPr="00DE12A3" w:rsidRDefault="00242DA0" w:rsidP="00E20716">
      <w:pPr>
        <w:numPr>
          <w:ilvl w:val="0"/>
          <w:numId w:val="253"/>
        </w:numPr>
        <w:tabs>
          <w:tab w:val="right" w:pos="1418"/>
        </w:tabs>
        <w:spacing w:before="120" w:after="120"/>
        <w:ind w:left="1701" w:hanging="567"/>
        <w:jc w:val="both"/>
        <w:rPr>
          <w:rFonts w:eastAsia="Times New Roman" w:cs="Times New Roman"/>
          <w:color w:val="auto"/>
          <w:spacing w:val="3"/>
          <w:lang w:eastAsia="en-US"/>
        </w:rPr>
      </w:pPr>
      <w:r w:rsidRPr="00DE12A3">
        <w:rPr>
          <w:rFonts w:eastAsia="Times New Roman" w:cs="Times New Roman"/>
          <w:color w:val="auto"/>
          <w:spacing w:val="3"/>
          <w:lang w:eastAsia="en-US"/>
        </w:rPr>
        <w:t>Analiz cihazı numunenin konsantrasyonunu ölçerken, çıktısı 30 saniye boyunca kaydedilmelidir. Bu verilerin aritmetik ortalaması hesaplanmalıdır</w:t>
      </w:r>
      <w:r w:rsidR="004D3A4A" w:rsidRPr="00DE12A3">
        <w:rPr>
          <w:rFonts w:eastAsia="Times New Roman" w:cs="Times New Roman"/>
          <w:color w:val="auto"/>
          <w:spacing w:val="3"/>
          <w:lang w:eastAsia="en-US"/>
        </w:rPr>
        <w:t>.</w:t>
      </w:r>
    </w:p>
    <w:p w14:paraId="38A2FC1D" w14:textId="0EE755D5" w:rsidR="002D7B36" w:rsidRPr="00DE12A3" w:rsidRDefault="00242DA0" w:rsidP="00E20716">
      <w:pPr>
        <w:numPr>
          <w:ilvl w:val="0"/>
          <w:numId w:val="253"/>
        </w:numPr>
        <w:spacing w:before="120" w:after="120"/>
        <w:ind w:left="1701" w:hanging="567"/>
        <w:jc w:val="both"/>
        <w:rPr>
          <w:rFonts w:eastAsia="Times New Roman" w:cs="Times New Roman"/>
          <w:color w:val="auto"/>
          <w:spacing w:val="3"/>
          <w:lang w:eastAsia="en-US"/>
        </w:rPr>
      </w:pPr>
      <w:r w:rsidRPr="00DE12A3">
        <w:rPr>
          <w:rFonts w:eastAsia="Times New Roman" w:cs="Times New Roman"/>
          <w:color w:val="auto"/>
          <w:spacing w:val="3"/>
          <w:lang w:eastAsia="en-US"/>
        </w:rPr>
        <w:t xml:space="preserve">Bu bendin (g) </w:t>
      </w:r>
      <w:r w:rsidR="004D3A4A" w:rsidRPr="00DE12A3">
        <w:rPr>
          <w:rFonts w:eastAsia="Times New Roman" w:cs="Times New Roman"/>
          <w:color w:val="auto"/>
          <w:spacing w:val="3"/>
          <w:lang w:eastAsia="en-US"/>
        </w:rPr>
        <w:t xml:space="preserve">numaralı alt bendinin </w:t>
      </w:r>
      <w:r w:rsidRPr="00DE12A3">
        <w:rPr>
          <w:rFonts w:eastAsia="Times New Roman" w:cs="Times New Roman"/>
          <w:color w:val="auto"/>
          <w:spacing w:val="3"/>
          <w:lang w:eastAsia="en-US"/>
        </w:rPr>
        <w:t>sonucu 8.1.9.2.3 bendindeki toleransı sağlıyorsa, analiz cihazı karışma doğrulamasını sağlar</w:t>
      </w:r>
      <w:r w:rsidR="004D3A4A" w:rsidRPr="00DE12A3">
        <w:rPr>
          <w:rFonts w:eastAsia="Times New Roman" w:cs="Times New Roman"/>
          <w:color w:val="auto"/>
          <w:spacing w:val="3"/>
          <w:lang w:eastAsia="en-US"/>
        </w:rPr>
        <w:t>.</w:t>
      </w:r>
    </w:p>
    <w:p w14:paraId="5FAEAF03" w14:textId="59C53864" w:rsidR="002D7B36" w:rsidRPr="00DE12A3" w:rsidRDefault="00967438" w:rsidP="00E20716">
      <w:pPr>
        <w:numPr>
          <w:ilvl w:val="0"/>
          <w:numId w:val="253"/>
        </w:numPr>
        <w:tabs>
          <w:tab w:val="right" w:pos="1418"/>
        </w:tabs>
        <w:spacing w:before="120" w:after="120"/>
        <w:ind w:left="1701" w:hanging="567"/>
        <w:jc w:val="both"/>
        <w:rPr>
          <w:rFonts w:eastAsia="Times New Roman" w:cs="Times New Roman"/>
          <w:color w:val="auto"/>
          <w:spacing w:val="3"/>
          <w:lang w:eastAsia="en-US"/>
        </w:rPr>
      </w:pPr>
      <w:r w:rsidRPr="00DE12A3">
        <w:rPr>
          <w:rFonts w:eastAsia="Times New Roman" w:cs="Times New Roman"/>
          <w:color w:val="auto"/>
          <w:spacing w:val="3"/>
          <w:lang w:eastAsia="en-US"/>
        </w:rPr>
        <w:t xml:space="preserve">     </w:t>
      </w:r>
      <w:r w:rsidR="00242DA0" w:rsidRPr="00DE12A3">
        <w:rPr>
          <w:rFonts w:eastAsia="Times New Roman" w:cs="Times New Roman"/>
          <w:color w:val="auto"/>
          <w:spacing w:val="3"/>
          <w:lang w:eastAsia="en-US"/>
        </w:rPr>
        <w:t>CO</w:t>
      </w:r>
      <w:r w:rsidR="00242DA0" w:rsidRPr="00DE12A3">
        <w:rPr>
          <w:rFonts w:eastAsia="Times New Roman" w:cs="Times New Roman"/>
          <w:color w:val="auto"/>
          <w:spacing w:val="3"/>
          <w:vertAlign w:val="subscript"/>
          <w:lang w:eastAsia="en-US"/>
        </w:rPr>
        <w:t>2</w:t>
      </w:r>
      <w:r w:rsidR="00242DA0" w:rsidRPr="00DE12A3">
        <w:rPr>
          <w:rFonts w:eastAsia="Times New Roman" w:cs="Times New Roman"/>
          <w:color w:val="auto"/>
          <w:spacing w:val="3"/>
          <w:lang w:eastAsia="en-US"/>
        </w:rPr>
        <w:t xml:space="preserve"> ve H</w:t>
      </w:r>
      <w:r w:rsidR="00242DA0" w:rsidRPr="00DE12A3">
        <w:rPr>
          <w:rFonts w:eastAsia="Times New Roman" w:cs="Times New Roman"/>
          <w:color w:val="auto"/>
          <w:spacing w:val="3"/>
          <w:vertAlign w:val="subscript"/>
          <w:lang w:eastAsia="en-US"/>
        </w:rPr>
        <w:t>2</w:t>
      </w:r>
      <w:r w:rsidR="00242DA0" w:rsidRPr="00DE12A3">
        <w:rPr>
          <w:rFonts w:eastAsia="Times New Roman" w:cs="Times New Roman"/>
          <w:color w:val="auto"/>
          <w:spacing w:val="3"/>
          <w:lang w:eastAsia="en-US"/>
        </w:rPr>
        <w:t>O için karışma prosedürleri ayrı da yürütülebilir. Kullanılan CO</w:t>
      </w:r>
      <w:r w:rsidR="00242DA0" w:rsidRPr="00DE12A3">
        <w:rPr>
          <w:rFonts w:eastAsia="Times New Roman" w:cs="Times New Roman"/>
          <w:color w:val="auto"/>
          <w:spacing w:val="3"/>
          <w:vertAlign w:val="subscript"/>
          <w:lang w:eastAsia="en-US"/>
        </w:rPr>
        <w:t>2</w:t>
      </w:r>
      <w:r w:rsidR="00242DA0" w:rsidRPr="00DE12A3">
        <w:rPr>
          <w:rFonts w:eastAsia="Times New Roman" w:cs="Times New Roman"/>
          <w:color w:val="auto"/>
          <w:spacing w:val="3"/>
          <w:lang w:eastAsia="en-US"/>
        </w:rPr>
        <w:t xml:space="preserve"> ve H</w:t>
      </w:r>
      <w:r w:rsidR="00242DA0" w:rsidRPr="00DE12A3">
        <w:rPr>
          <w:rFonts w:eastAsia="Times New Roman" w:cs="Times New Roman"/>
          <w:color w:val="auto"/>
          <w:spacing w:val="3"/>
          <w:vertAlign w:val="subscript"/>
          <w:lang w:eastAsia="en-US"/>
        </w:rPr>
        <w:t>2</w:t>
      </w:r>
      <w:r w:rsidR="00242DA0" w:rsidRPr="00DE12A3">
        <w:rPr>
          <w:rFonts w:eastAsia="Times New Roman" w:cs="Times New Roman"/>
          <w:color w:val="auto"/>
          <w:spacing w:val="3"/>
          <w:lang w:eastAsia="en-US"/>
        </w:rPr>
        <w:t>O seviyeleri test sırasında beklenen azami seviyelerden yüksekse, gözlemlenen karışma, beklenen azami konsantrasyon değerinin bu prosedür sırasında kullanılan gerçek değere oranı ile çarpılarak gözlemlenen her karışma değeri düşürülmelidir. Test sırasında beklenen azami seviyelerden düşük olan H</w:t>
      </w:r>
      <w:r w:rsidR="00242DA0" w:rsidRPr="00DE12A3">
        <w:rPr>
          <w:rFonts w:eastAsia="Times New Roman" w:cs="Times New Roman"/>
          <w:color w:val="auto"/>
          <w:spacing w:val="3"/>
          <w:vertAlign w:val="subscript"/>
          <w:lang w:eastAsia="en-US"/>
        </w:rPr>
        <w:t>2</w:t>
      </w:r>
      <w:r w:rsidR="00242DA0" w:rsidRPr="00DE12A3">
        <w:rPr>
          <w:rFonts w:eastAsia="Times New Roman" w:cs="Times New Roman"/>
          <w:color w:val="auto"/>
          <w:spacing w:val="3"/>
          <w:lang w:eastAsia="en-US"/>
        </w:rPr>
        <w:t>O konsantrasyonları (0,025 mol/mol H</w:t>
      </w:r>
      <w:r w:rsidR="00242DA0" w:rsidRPr="00DE12A3">
        <w:rPr>
          <w:rFonts w:eastAsia="Times New Roman" w:cs="Times New Roman"/>
          <w:color w:val="auto"/>
          <w:spacing w:val="3"/>
          <w:vertAlign w:val="subscript"/>
          <w:lang w:eastAsia="en-US"/>
        </w:rPr>
        <w:t>2</w:t>
      </w:r>
      <w:r w:rsidR="00242DA0" w:rsidRPr="00DE12A3">
        <w:rPr>
          <w:rFonts w:eastAsia="Times New Roman" w:cs="Times New Roman"/>
          <w:color w:val="auto"/>
          <w:spacing w:val="3"/>
          <w:lang w:eastAsia="en-US"/>
        </w:rPr>
        <w:t>O içeriğine kadar) ayrı karışma prosedürleri yürütülebilir</w:t>
      </w:r>
      <w:r w:rsidR="004D3A4A" w:rsidRPr="00DE12A3">
        <w:rPr>
          <w:rFonts w:eastAsia="Times New Roman" w:cs="Times New Roman"/>
          <w:color w:val="auto"/>
          <w:spacing w:val="3"/>
          <w:lang w:eastAsia="en-US"/>
        </w:rPr>
        <w:t>.</w:t>
      </w:r>
      <w:r w:rsidR="00242DA0" w:rsidRPr="00DE12A3">
        <w:rPr>
          <w:rFonts w:eastAsia="Times New Roman" w:cs="Times New Roman"/>
          <w:color w:val="auto"/>
          <w:spacing w:val="3"/>
          <w:lang w:eastAsia="en-US"/>
        </w:rPr>
        <w:t xml:space="preserve"> </w:t>
      </w:r>
      <w:r w:rsidR="004D3A4A" w:rsidRPr="00DE12A3">
        <w:rPr>
          <w:rFonts w:eastAsia="Times New Roman" w:cs="Times New Roman"/>
          <w:color w:val="auto"/>
          <w:spacing w:val="3"/>
          <w:lang w:eastAsia="en-US"/>
        </w:rPr>
        <w:t>A</w:t>
      </w:r>
      <w:r w:rsidR="00242DA0" w:rsidRPr="00DE12A3">
        <w:rPr>
          <w:rFonts w:eastAsia="Times New Roman" w:cs="Times New Roman"/>
          <w:color w:val="auto"/>
          <w:spacing w:val="3"/>
          <w:lang w:eastAsia="en-US"/>
        </w:rPr>
        <w:t>ncak gözlemlenen H</w:t>
      </w:r>
      <w:r w:rsidR="00242DA0" w:rsidRPr="00DE12A3">
        <w:rPr>
          <w:rFonts w:eastAsia="Times New Roman" w:cs="Times New Roman"/>
          <w:color w:val="auto"/>
          <w:spacing w:val="3"/>
          <w:vertAlign w:val="subscript"/>
          <w:lang w:eastAsia="en-US"/>
        </w:rPr>
        <w:t>2</w:t>
      </w:r>
      <w:r w:rsidR="00242DA0" w:rsidRPr="00DE12A3">
        <w:rPr>
          <w:rFonts w:eastAsia="Times New Roman" w:cs="Times New Roman"/>
          <w:color w:val="auto"/>
          <w:spacing w:val="3"/>
          <w:lang w:eastAsia="en-US"/>
        </w:rPr>
        <w:t>O karışması, gözlemlenen karışma, beklenen azami H</w:t>
      </w:r>
      <w:r w:rsidR="00242DA0" w:rsidRPr="00DE12A3">
        <w:rPr>
          <w:rFonts w:eastAsia="Times New Roman" w:cs="Times New Roman"/>
          <w:color w:val="auto"/>
          <w:spacing w:val="3"/>
          <w:vertAlign w:val="subscript"/>
          <w:lang w:eastAsia="en-US"/>
        </w:rPr>
        <w:t>2</w:t>
      </w:r>
      <w:r w:rsidR="00242DA0" w:rsidRPr="00DE12A3">
        <w:rPr>
          <w:rFonts w:eastAsia="Times New Roman" w:cs="Times New Roman"/>
          <w:color w:val="auto"/>
          <w:spacing w:val="3"/>
          <w:lang w:eastAsia="en-US"/>
        </w:rPr>
        <w:t>O konsantrasyon değerinin bu prosedür sırasında kullanılan gerçek değere oranı ile çarpılarak yükseltilmelidir. İki ölçeklendirilmiş karışma değerlerinin toplamı, 8.1.9.2.3 bendindeki toleransı sağlamalıdır.</w:t>
      </w:r>
    </w:p>
    <w:p w14:paraId="4B7CF50F" w14:textId="77777777" w:rsidR="002D7B36" w:rsidRPr="00DE12A3" w:rsidRDefault="00242DA0" w:rsidP="00E20716">
      <w:pPr>
        <w:numPr>
          <w:ilvl w:val="0"/>
          <w:numId w:val="254"/>
        </w:numPr>
        <w:spacing w:before="120" w:after="120"/>
        <w:ind w:left="1134" w:hanging="1134"/>
        <w:jc w:val="both"/>
        <w:rPr>
          <w:rFonts w:eastAsia="Times New Roman" w:cs="Times New Roman"/>
          <w:color w:val="auto"/>
          <w:spacing w:val="3"/>
          <w:lang w:eastAsia="en-US"/>
        </w:rPr>
      </w:pPr>
      <w:r w:rsidRPr="00DE12A3">
        <w:rPr>
          <w:rFonts w:eastAsia="Times New Roman" w:cs="Times New Roman"/>
          <w:color w:val="auto"/>
          <w:spacing w:val="3"/>
          <w:lang w:eastAsia="en-US"/>
        </w:rPr>
        <w:t xml:space="preserve">   </w:t>
      </w:r>
      <w:r w:rsidR="00967438" w:rsidRPr="00DE12A3">
        <w:rPr>
          <w:rFonts w:eastAsia="Times New Roman" w:cs="Times New Roman"/>
          <w:color w:val="auto"/>
          <w:spacing w:val="3"/>
          <w:lang w:eastAsia="en-US"/>
        </w:rPr>
        <w:t xml:space="preserve">    </w:t>
      </w:r>
      <w:r w:rsidRPr="00DE12A3">
        <w:rPr>
          <w:rFonts w:eastAsia="Times New Roman" w:cs="Times New Roman"/>
          <w:color w:val="auto"/>
          <w:spacing w:val="3"/>
          <w:lang w:eastAsia="en-US"/>
        </w:rPr>
        <w:t>Hidrokarbon ölçümleri</w:t>
      </w:r>
    </w:p>
    <w:p w14:paraId="13D21AAA" w14:textId="77777777" w:rsidR="002D7B36" w:rsidRPr="00DE12A3" w:rsidRDefault="00242DA0" w:rsidP="00E20716">
      <w:pPr>
        <w:numPr>
          <w:ilvl w:val="0"/>
          <w:numId w:val="255"/>
        </w:numPr>
        <w:tabs>
          <w:tab w:val="right" w:pos="851"/>
        </w:tabs>
        <w:spacing w:before="120" w:after="120"/>
        <w:ind w:left="1134" w:hanging="1134"/>
        <w:jc w:val="both"/>
        <w:rPr>
          <w:rFonts w:eastAsia="Times New Roman" w:cs="Times New Roman"/>
          <w:color w:val="auto"/>
          <w:spacing w:val="3"/>
          <w:lang w:eastAsia="en-US"/>
        </w:rPr>
      </w:pPr>
      <w:r w:rsidRPr="00DE12A3">
        <w:rPr>
          <w:rFonts w:eastAsia="Times New Roman" w:cs="Times New Roman"/>
          <w:color w:val="auto"/>
          <w:spacing w:val="3"/>
          <w:lang w:eastAsia="en-US"/>
        </w:rPr>
        <w:t>FID optimizasyonu ve doğrulaması</w:t>
      </w:r>
    </w:p>
    <w:p w14:paraId="7E55B9E8" w14:textId="77777777" w:rsidR="002D7B36" w:rsidRPr="00DE12A3" w:rsidRDefault="00242DA0" w:rsidP="00E20716">
      <w:pPr>
        <w:numPr>
          <w:ilvl w:val="0"/>
          <w:numId w:val="256"/>
        </w:numPr>
        <w:tabs>
          <w:tab w:val="left" w:pos="851"/>
        </w:tabs>
        <w:spacing w:before="120" w:after="120"/>
        <w:ind w:left="1134" w:hanging="1134"/>
        <w:jc w:val="both"/>
        <w:rPr>
          <w:rFonts w:eastAsia="Times New Roman" w:cs="Times New Roman"/>
          <w:color w:val="auto"/>
          <w:spacing w:val="3"/>
          <w:lang w:eastAsia="en-US"/>
        </w:rPr>
      </w:pPr>
      <w:r w:rsidRPr="00DE12A3">
        <w:rPr>
          <w:rFonts w:eastAsia="Times New Roman" w:cs="Times New Roman"/>
          <w:color w:val="auto"/>
          <w:spacing w:val="3"/>
          <w:lang w:eastAsia="en-US"/>
        </w:rPr>
        <w:t>Kapsam ve sıklık</w:t>
      </w:r>
    </w:p>
    <w:p w14:paraId="39C9E46E" w14:textId="77777777" w:rsidR="002D7B36" w:rsidRPr="00DE12A3" w:rsidRDefault="00967438" w:rsidP="00C917D6">
      <w:pPr>
        <w:tabs>
          <w:tab w:val="right" w:pos="4733"/>
        </w:tabs>
        <w:spacing w:before="120" w:after="120"/>
        <w:ind w:left="1134" w:hanging="1134"/>
        <w:jc w:val="both"/>
        <w:rPr>
          <w:rFonts w:eastAsia="Times New Roman" w:cs="Times New Roman"/>
          <w:color w:val="auto"/>
          <w:spacing w:val="3"/>
          <w:lang w:eastAsia="en-US"/>
        </w:rPr>
      </w:pPr>
      <w:r w:rsidRPr="00DE12A3">
        <w:rPr>
          <w:rFonts w:eastAsia="Times New Roman" w:cs="Times New Roman"/>
          <w:color w:val="auto"/>
          <w:spacing w:val="3"/>
          <w:lang w:eastAsia="en-US"/>
        </w:rPr>
        <w:t xml:space="preserve">                  </w:t>
      </w:r>
      <w:r w:rsidR="00242DA0" w:rsidRPr="00DE12A3">
        <w:rPr>
          <w:rFonts w:eastAsia="Times New Roman" w:cs="Times New Roman"/>
          <w:color w:val="auto"/>
          <w:spacing w:val="3"/>
          <w:lang w:eastAsia="en-US"/>
        </w:rPr>
        <w:t>Tüm FID analiz cihazları için FID, ilk montajda kalibre edilmelidir. Kalibrasyon, gerektiğinde iyi mühendislik kararı kullanılarak tekrarlanmalıdır. HC'yi ölçen bir FID için aşağıdaki adımlar uygulanır:</w:t>
      </w:r>
    </w:p>
    <w:p w14:paraId="114D2036" w14:textId="7E112DA4" w:rsidR="002D7B36" w:rsidRPr="00DE12A3" w:rsidRDefault="00967438" w:rsidP="00E20716">
      <w:pPr>
        <w:numPr>
          <w:ilvl w:val="0"/>
          <w:numId w:val="257"/>
        </w:numPr>
        <w:tabs>
          <w:tab w:val="right" w:pos="1418"/>
        </w:tabs>
        <w:spacing w:before="120" w:after="120"/>
        <w:ind w:left="1701" w:hanging="567"/>
        <w:jc w:val="both"/>
        <w:rPr>
          <w:rFonts w:eastAsia="Times New Roman" w:cs="Times New Roman"/>
          <w:color w:val="auto"/>
          <w:spacing w:val="3"/>
          <w:lang w:eastAsia="en-US"/>
        </w:rPr>
      </w:pPr>
      <w:r w:rsidRPr="00DE12A3">
        <w:rPr>
          <w:rFonts w:eastAsia="Times New Roman" w:cs="Times New Roman"/>
          <w:color w:val="auto"/>
          <w:spacing w:val="3"/>
          <w:lang w:eastAsia="en-US"/>
        </w:rPr>
        <w:t xml:space="preserve">    </w:t>
      </w:r>
      <w:r w:rsidR="00242DA0" w:rsidRPr="00DE12A3">
        <w:rPr>
          <w:rFonts w:eastAsia="Times New Roman" w:cs="Times New Roman"/>
          <w:color w:val="auto"/>
          <w:spacing w:val="3"/>
          <w:lang w:eastAsia="en-US"/>
        </w:rPr>
        <w:t>Bir FID'in çeşitli hidrokarbonlara tepkisi, ilk analiz cihazı montajından sonra ve büyük bir bakım sonrasında optimize edilmelidir. FID'in propilen ve tolüene tepkisi, propana göre 0,9 ila 1,1 arasında olmalıdır</w:t>
      </w:r>
      <w:r w:rsidR="004D3A4A" w:rsidRPr="00DE12A3">
        <w:rPr>
          <w:rFonts w:eastAsia="Times New Roman" w:cs="Times New Roman"/>
          <w:color w:val="auto"/>
          <w:spacing w:val="3"/>
          <w:lang w:eastAsia="en-US"/>
        </w:rPr>
        <w:t>.</w:t>
      </w:r>
    </w:p>
    <w:p w14:paraId="56D97FB2" w14:textId="7410DA32" w:rsidR="002D7B36" w:rsidRPr="00DE12A3" w:rsidRDefault="00242DA0" w:rsidP="00E20716">
      <w:pPr>
        <w:numPr>
          <w:ilvl w:val="0"/>
          <w:numId w:val="257"/>
        </w:numPr>
        <w:spacing w:before="120" w:after="120"/>
        <w:ind w:left="1701" w:hanging="567"/>
        <w:jc w:val="both"/>
        <w:rPr>
          <w:rFonts w:eastAsia="Times New Roman" w:cs="Times New Roman"/>
          <w:color w:val="auto"/>
          <w:spacing w:val="3"/>
          <w:lang w:eastAsia="en-US"/>
        </w:rPr>
      </w:pPr>
      <w:r w:rsidRPr="00DE12A3">
        <w:rPr>
          <w:rFonts w:eastAsia="Times New Roman" w:cs="Times New Roman"/>
          <w:color w:val="auto"/>
          <w:spacing w:val="3"/>
          <w:lang w:eastAsia="en-US"/>
        </w:rPr>
        <w:t>FID'in metan (CH</w:t>
      </w:r>
      <w:r w:rsidRPr="00DE12A3">
        <w:rPr>
          <w:rFonts w:eastAsia="Times New Roman" w:cs="Times New Roman"/>
          <w:color w:val="auto"/>
          <w:spacing w:val="3"/>
          <w:vertAlign w:val="subscript"/>
          <w:lang w:eastAsia="en-US"/>
        </w:rPr>
        <w:t>4</w:t>
      </w:r>
      <w:r w:rsidRPr="00DE12A3">
        <w:rPr>
          <w:rFonts w:eastAsia="Times New Roman" w:cs="Times New Roman"/>
          <w:color w:val="auto"/>
          <w:spacing w:val="3"/>
          <w:lang w:eastAsia="en-US"/>
        </w:rPr>
        <w:t>) tepki faktörü, ilk analiz cihazı montajından sonra ve 8.1.10.1.4 bendinde tarif edilen büyük bir bakım sonrasında belirlenmelidir</w:t>
      </w:r>
      <w:r w:rsidR="004D3A4A" w:rsidRPr="00DE12A3">
        <w:rPr>
          <w:rFonts w:eastAsia="Times New Roman" w:cs="Times New Roman"/>
          <w:color w:val="auto"/>
          <w:spacing w:val="3"/>
          <w:lang w:eastAsia="en-US"/>
        </w:rPr>
        <w:t>.</w:t>
      </w:r>
    </w:p>
    <w:p w14:paraId="7104C5D3" w14:textId="77777777" w:rsidR="002D7B36" w:rsidRPr="00DE12A3" w:rsidRDefault="00967438" w:rsidP="00E20716">
      <w:pPr>
        <w:numPr>
          <w:ilvl w:val="0"/>
          <w:numId w:val="257"/>
        </w:numPr>
        <w:tabs>
          <w:tab w:val="left" w:pos="709"/>
        </w:tabs>
        <w:spacing w:before="120" w:after="120"/>
        <w:ind w:left="1701" w:hanging="567"/>
        <w:jc w:val="both"/>
        <w:rPr>
          <w:rFonts w:eastAsia="Times New Roman" w:cs="Times New Roman"/>
          <w:color w:val="auto"/>
          <w:spacing w:val="3"/>
          <w:lang w:eastAsia="en-US"/>
        </w:rPr>
      </w:pPr>
      <w:r w:rsidRPr="00DE12A3">
        <w:rPr>
          <w:rFonts w:eastAsia="Times New Roman" w:cs="Times New Roman"/>
          <w:color w:val="auto"/>
          <w:spacing w:val="3"/>
          <w:lang w:eastAsia="en-US"/>
        </w:rPr>
        <w:t xml:space="preserve">     </w:t>
      </w:r>
      <w:r w:rsidR="00242DA0" w:rsidRPr="00DE12A3">
        <w:rPr>
          <w:rFonts w:eastAsia="Times New Roman" w:cs="Times New Roman"/>
          <w:color w:val="auto"/>
          <w:spacing w:val="3"/>
          <w:lang w:eastAsia="en-US"/>
        </w:rPr>
        <w:t>Metan (CH</w:t>
      </w:r>
      <w:r w:rsidR="00242DA0" w:rsidRPr="00DE12A3">
        <w:rPr>
          <w:rFonts w:eastAsia="Times New Roman" w:cs="Times New Roman"/>
          <w:color w:val="auto"/>
          <w:spacing w:val="3"/>
          <w:vertAlign w:val="subscript"/>
          <w:lang w:eastAsia="en-US"/>
        </w:rPr>
        <w:t>4</w:t>
      </w:r>
      <w:r w:rsidR="00242DA0" w:rsidRPr="00DE12A3">
        <w:rPr>
          <w:rFonts w:eastAsia="Times New Roman" w:cs="Times New Roman"/>
          <w:color w:val="auto"/>
          <w:spacing w:val="3"/>
          <w:lang w:eastAsia="en-US"/>
        </w:rPr>
        <w:t>) tepkisi, testten önceki 185 gün içinde doğrulanmalıdır.</w:t>
      </w:r>
    </w:p>
    <w:p w14:paraId="5F261AA6" w14:textId="77777777" w:rsidR="002D7B36" w:rsidRPr="00DE12A3" w:rsidRDefault="00242DA0" w:rsidP="00E20716">
      <w:pPr>
        <w:numPr>
          <w:ilvl w:val="0"/>
          <w:numId w:val="256"/>
        </w:numPr>
        <w:tabs>
          <w:tab w:val="left" w:pos="993"/>
        </w:tabs>
        <w:spacing w:before="120" w:after="120"/>
        <w:ind w:left="1134" w:hanging="1134"/>
        <w:jc w:val="both"/>
        <w:rPr>
          <w:rFonts w:eastAsia="Times New Roman" w:cs="Times New Roman"/>
          <w:color w:val="auto"/>
          <w:spacing w:val="3"/>
          <w:lang w:eastAsia="en-US"/>
        </w:rPr>
      </w:pPr>
      <w:r w:rsidRPr="00DE12A3">
        <w:rPr>
          <w:rFonts w:eastAsia="Times New Roman" w:cs="Times New Roman"/>
          <w:color w:val="auto"/>
          <w:spacing w:val="3"/>
          <w:lang w:eastAsia="en-US"/>
        </w:rPr>
        <w:t>Kalibrasyon</w:t>
      </w:r>
    </w:p>
    <w:p w14:paraId="53D93AD4" w14:textId="77777777" w:rsidR="002D7B36" w:rsidRPr="00DE12A3" w:rsidRDefault="00967438" w:rsidP="00C917D6">
      <w:pPr>
        <w:tabs>
          <w:tab w:val="right" w:pos="4733"/>
        </w:tabs>
        <w:spacing w:before="120" w:after="120"/>
        <w:ind w:left="1134" w:hanging="1134"/>
        <w:jc w:val="both"/>
        <w:rPr>
          <w:rFonts w:eastAsia="Times New Roman" w:cs="Times New Roman"/>
          <w:color w:val="auto"/>
          <w:spacing w:val="3"/>
          <w:lang w:eastAsia="en-US"/>
        </w:rPr>
      </w:pPr>
      <w:r w:rsidRPr="00DE12A3">
        <w:rPr>
          <w:rFonts w:eastAsia="Times New Roman" w:cs="Times New Roman"/>
          <w:color w:val="auto"/>
          <w:spacing w:val="3"/>
          <w:lang w:eastAsia="en-US"/>
        </w:rPr>
        <w:t xml:space="preserve">                  </w:t>
      </w:r>
      <w:r w:rsidR="00242DA0" w:rsidRPr="00DE12A3">
        <w:rPr>
          <w:rFonts w:eastAsia="Times New Roman" w:cs="Times New Roman"/>
          <w:color w:val="auto"/>
          <w:spacing w:val="3"/>
          <w:lang w:eastAsia="en-US"/>
        </w:rPr>
        <w:t>FID analiz cihazı imalatçısının talimatlarına ve FID'i kalibre etmek için önerilen sıklığa dayalı olan gibi bir kalibrasyon prosedürü geliştirmek için iyi mühendislik kararı kullanılmalıdır. FID, 9.5.1 bendindeki özellikleri sağlayan C</w:t>
      </w:r>
      <w:r w:rsidR="00242DA0" w:rsidRPr="00DE12A3">
        <w:rPr>
          <w:rFonts w:eastAsia="Times New Roman" w:cs="Times New Roman"/>
          <w:color w:val="auto"/>
          <w:spacing w:val="3"/>
          <w:vertAlign w:val="subscript"/>
          <w:lang w:eastAsia="en-US"/>
        </w:rPr>
        <w:t>3</w:t>
      </w:r>
      <w:r w:rsidR="00242DA0" w:rsidRPr="00DE12A3">
        <w:rPr>
          <w:rFonts w:eastAsia="Times New Roman" w:cs="Times New Roman"/>
          <w:color w:val="auto"/>
          <w:spacing w:val="3"/>
          <w:lang w:eastAsia="en-US"/>
        </w:rPr>
        <w:t>H</w:t>
      </w:r>
      <w:r w:rsidR="00242DA0" w:rsidRPr="00DE12A3">
        <w:rPr>
          <w:rFonts w:eastAsia="Times New Roman" w:cs="Times New Roman"/>
          <w:color w:val="auto"/>
          <w:spacing w:val="3"/>
          <w:vertAlign w:val="subscript"/>
          <w:lang w:eastAsia="en-US"/>
        </w:rPr>
        <w:t>8</w:t>
      </w:r>
      <w:r w:rsidR="00242DA0" w:rsidRPr="00DE12A3">
        <w:rPr>
          <w:rFonts w:eastAsia="Times New Roman" w:cs="Times New Roman"/>
          <w:color w:val="auto"/>
          <w:spacing w:val="3"/>
          <w:lang w:eastAsia="en-US"/>
        </w:rPr>
        <w:t xml:space="preserve"> kalibrasyon gazları kullanılarak kalibre edilmelidir. FID, bir karbon sayısı (C</w:t>
      </w:r>
      <w:r w:rsidR="00242DA0" w:rsidRPr="00DE12A3">
        <w:rPr>
          <w:rFonts w:eastAsia="Times New Roman" w:cs="Times New Roman"/>
          <w:color w:val="auto"/>
          <w:spacing w:val="3"/>
          <w:vertAlign w:val="subscript"/>
          <w:lang w:eastAsia="en-US"/>
        </w:rPr>
        <w:t>1</w:t>
      </w:r>
      <w:r w:rsidR="00242DA0" w:rsidRPr="00DE12A3">
        <w:rPr>
          <w:rFonts w:eastAsia="Times New Roman" w:cs="Times New Roman"/>
          <w:color w:val="auto"/>
          <w:spacing w:val="3"/>
          <w:lang w:eastAsia="en-US"/>
        </w:rPr>
        <w:t>) bazında kalibre edilmelidir.</w:t>
      </w:r>
    </w:p>
    <w:p w14:paraId="4FB2BFC4" w14:textId="77777777" w:rsidR="002D7B36" w:rsidRPr="00DE12A3" w:rsidRDefault="00242DA0" w:rsidP="00E20716">
      <w:pPr>
        <w:numPr>
          <w:ilvl w:val="0"/>
          <w:numId w:val="256"/>
        </w:numPr>
        <w:tabs>
          <w:tab w:val="left" w:pos="851"/>
        </w:tabs>
        <w:spacing w:before="120" w:after="120"/>
        <w:ind w:left="1134" w:hanging="1134"/>
        <w:jc w:val="both"/>
        <w:rPr>
          <w:rFonts w:eastAsia="Times New Roman" w:cs="Times New Roman"/>
          <w:color w:val="auto"/>
          <w:spacing w:val="3"/>
          <w:lang w:eastAsia="en-US"/>
        </w:rPr>
      </w:pPr>
      <w:r w:rsidRPr="00DE12A3">
        <w:rPr>
          <w:rFonts w:eastAsia="Times New Roman" w:cs="Times New Roman"/>
          <w:color w:val="auto"/>
          <w:spacing w:val="3"/>
          <w:lang w:eastAsia="en-US"/>
        </w:rPr>
        <w:t>HC FID tepkisi optimizasyonu</w:t>
      </w:r>
    </w:p>
    <w:p w14:paraId="1773997F" w14:textId="77777777" w:rsidR="002D7B36" w:rsidRPr="00DE12A3" w:rsidRDefault="00967438" w:rsidP="00C917D6">
      <w:pPr>
        <w:tabs>
          <w:tab w:val="right" w:pos="4733"/>
        </w:tabs>
        <w:spacing w:before="120" w:after="120"/>
        <w:ind w:left="1134" w:hanging="1134"/>
        <w:jc w:val="both"/>
        <w:rPr>
          <w:rFonts w:eastAsia="Times New Roman" w:cs="Times New Roman"/>
          <w:color w:val="auto"/>
          <w:spacing w:val="3"/>
          <w:lang w:eastAsia="en-US"/>
        </w:rPr>
      </w:pPr>
      <w:r w:rsidRPr="00DE12A3">
        <w:rPr>
          <w:rFonts w:eastAsia="Times New Roman" w:cs="Times New Roman"/>
          <w:color w:val="auto"/>
          <w:spacing w:val="3"/>
          <w:lang w:eastAsia="en-US"/>
        </w:rPr>
        <w:t xml:space="preserve">                  </w:t>
      </w:r>
      <w:r w:rsidR="00242DA0" w:rsidRPr="00DE12A3">
        <w:rPr>
          <w:rFonts w:eastAsia="Times New Roman" w:cs="Times New Roman"/>
          <w:color w:val="auto"/>
          <w:spacing w:val="3"/>
          <w:lang w:eastAsia="en-US"/>
        </w:rPr>
        <w:t>Bu prosedür sadece HC ölçen FID analiz cihazları içindir.</w:t>
      </w:r>
    </w:p>
    <w:p w14:paraId="48D46811" w14:textId="458FA67A" w:rsidR="002D7B36" w:rsidRPr="00DE12A3" w:rsidRDefault="00967438" w:rsidP="00E20716">
      <w:pPr>
        <w:numPr>
          <w:ilvl w:val="0"/>
          <w:numId w:val="258"/>
        </w:numPr>
        <w:shd w:val="clear" w:color="auto" w:fill="FFFFFF" w:themeFill="background1"/>
        <w:spacing w:before="120" w:after="120"/>
        <w:ind w:left="1701" w:hanging="567"/>
        <w:jc w:val="both"/>
        <w:rPr>
          <w:rFonts w:eastAsia="Times New Roman" w:cs="Times New Roman"/>
          <w:color w:val="auto"/>
          <w:spacing w:val="3"/>
          <w:lang w:eastAsia="en-US"/>
        </w:rPr>
      </w:pPr>
      <w:r w:rsidRPr="00DE12A3">
        <w:rPr>
          <w:rFonts w:eastAsia="Times New Roman" w:cs="Times New Roman"/>
          <w:color w:val="auto"/>
          <w:spacing w:val="3"/>
          <w:lang w:eastAsia="en-US"/>
        </w:rPr>
        <w:t xml:space="preserve">     </w:t>
      </w:r>
      <w:r w:rsidR="00242DA0" w:rsidRPr="00DE12A3">
        <w:rPr>
          <w:rFonts w:eastAsia="Times New Roman" w:cs="Times New Roman"/>
          <w:color w:val="auto"/>
          <w:spacing w:val="3"/>
          <w:lang w:eastAsia="en-US"/>
        </w:rPr>
        <w:t xml:space="preserve">İlk cihaz çalıştırma ve FID yakıtı ve sıfır havası kullanarak temel çalışma ayarlaması için cihaz imalatçısının </w:t>
      </w:r>
      <w:r w:rsidR="0053289F" w:rsidRPr="00DE12A3">
        <w:rPr>
          <w:rFonts w:eastAsia="Times New Roman" w:cs="Times New Roman"/>
          <w:color w:val="auto"/>
          <w:spacing w:val="3"/>
          <w:lang w:eastAsia="en-US"/>
        </w:rPr>
        <w:t>gereklilikleri</w:t>
      </w:r>
      <w:r w:rsidR="00242DA0" w:rsidRPr="00DE12A3">
        <w:rPr>
          <w:rFonts w:eastAsia="Times New Roman" w:cs="Times New Roman"/>
          <w:color w:val="auto"/>
          <w:spacing w:val="3"/>
          <w:lang w:eastAsia="en-US"/>
        </w:rPr>
        <w:t xml:space="preserve"> ve iyi mühendislik kararı kullanılmalıdır. Isıtılmış FID'ler, gereken çalışma sıcaklığı aralıkları içinde olmalıdır. FID tepkisi, emisyon testi sırasında beklenen en yaygın analiz cihazı aralığında, 8.1.10.1.1</w:t>
      </w:r>
      <w:r w:rsidR="00AE0A29" w:rsidRPr="00DE12A3">
        <w:rPr>
          <w:rFonts w:eastAsia="Times New Roman" w:cs="Times New Roman"/>
          <w:color w:val="auto"/>
          <w:spacing w:val="3"/>
          <w:lang w:eastAsia="en-US"/>
        </w:rPr>
        <w:t xml:space="preserve"> bendinin </w:t>
      </w:r>
      <w:r w:rsidR="00242DA0" w:rsidRPr="00DE12A3">
        <w:rPr>
          <w:rFonts w:eastAsia="Times New Roman" w:cs="Times New Roman"/>
          <w:color w:val="auto"/>
          <w:spacing w:val="3"/>
          <w:lang w:eastAsia="en-US"/>
        </w:rPr>
        <w:t>(a)</w:t>
      </w:r>
      <w:r w:rsidR="00AE0A29" w:rsidRPr="00DE12A3">
        <w:rPr>
          <w:rFonts w:eastAsia="Times New Roman" w:cs="Times New Roman"/>
          <w:color w:val="auto"/>
          <w:spacing w:val="3"/>
          <w:lang w:eastAsia="en-US"/>
        </w:rPr>
        <w:t xml:space="preserve"> </w:t>
      </w:r>
      <w:r w:rsidR="004D3A4A" w:rsidRPr="00DE12A3">
        <w:rPr>
          <w:rFonts w:eastAsia="Times New Roman" w:cs="Times New Roman"/>
          <w:color w:val="auto"/>
          <w:spacing w:val="3"/>
          <w:lang w:eastAsia="en-US"/>
        </w:rPr>
        <w:t xml:space="preserve">numaralı </w:t>
      </w:r>
      <w:r w:rsidR="00AE0A29" w:rsidRPr="00DE12A3">
        <w:rPr>
          <w:rFonts w:eastAsia="Times New Roman" w:cs="Times New Roman"/>
          <w:color w:val="auto"/>
          <w:spacing w:val="3"/>
          <w:lang w:eastAsia="en-US"/>
        </w:rPr>
        <w:t xml:space="preserve">alt bendi </w:t>
      </w:r>
      <w:r w:rsidR="00242DA0" w:rsidRPr="00DE12A3">
        <w:rPr>
          <w:rFonts w:eastAsia="Times New Roman" w:cs="Times New Roman"/>
          <w:color w:val="auto"/>
          <w:spacing w:val="3"/>
          <w:lang w:eastAsia="en-US"/>
        </w:rPr>
        <w:t xml:space="preserve"> ve 8.1.10.2 bentleri uyarınca hidrokarbon tepkisi </w:t>
      </w:r>
      <w:r w:rsidR="00242DA0" w:rsidRPr="00DE12A3">
        <w:rPr>
          <w:rFonts w:eastAsia="Times New Roman" w:cs="Times New Roman"/>
          <w:color w:val="auto"/>
          <w:spacing w:val="3"/>
          <w:lang w:eastAsia="en-US"/>
        </w:rPr>
        <w:lastRenderedPageBreak/>
        <w:t>faktörlerine ve oksijen karışma kontrolüne ilişkin şartı sağlamak üzere optimize edilmelidir. Yaygın analiz cihazı aralığı, cihaz imalatçısı tarafından belirtilen optimizasyona ilişkin asgari aralıktan düşükse, FID'in doğru şekilde optimize edilmesi için cihaz imalatçısının tavsiyesine ve iyi mühendislik kararına göre daha yüksek analiz cihazı aralığı kullanılabilir</w:t>
      </w:r>
      <w:r w:rsidR="004D3A4A" w:rsidRPr="00DE12A3">
        <w:rPr>
          <w:rFonts w:eastAsia="Times New Roman" w:cs="Times New Roman"/>
          <w:color w:val="auto"/>
          <w:spacing w:val="3"/>
          <w:lang w:eastAsia="en-US"/>
        </w:rPr>
        <w:t>.</w:t>
      </w:r>
    </w:p>
    <w:p w14:paraId="17A9203B" w14:textId="32F268F8" w:rsidR="002D7B36" w:rsidRPr="00DE12A3" w:rsidRDefault="00967438" w:rsidP="00E20716">
      <w:pPr>
        <w:numPr>
          <w:ilvl w:val="0"/>
          <w:numId w:val="258"/>
        </w:numPr>
        <w:shd w:val="clear" w:color="auto" w:fill="FFFFFF" w:themeFill="background1"/>
        <w:tabs>
          <w:tab w:val="right" w:pos="1276"/>
          <w:tab w:val="left" w:pos="1560"/>
          <w:tab w:val="left" w:pos="1843"/>
          <w:tab w:val="left" w:pos="3156"/>
          <w:tab w:val="right" w:pos="4913"/>
          <w:tab w:val="right" w:pos="5662"/>
        </w:tabs>
        <w:spacing w:before="120" w:after="120"/>
        <w:ind w:left="1701" w:hanging="567"/>
        <w:jc w:val="both"/>
        <w:rPr>
          <w:rFonts w:eastAsia="Times New Roman" w:cs="Times New Roman"/>
          <w:color w:val="auto"/>
          <w:spacing w:val="3"/>
          <w:lang w:eastAsia="en-US"/>
        </w:rPr>
      </w:pPr>
      <w:r w:rsidRPr="00DE12A3">
        <w:rPr>
          <w:rFonts w:eastAsia="Times New Roman" w:cs="Times New Roman"/>
          <w:color w:val="auto"/>
          <w:spacing w:val="3"/>
          <w:lang w:eastAsia="en-US"/>
        </w:rPr>
        <w:t xml:space="preserve">   </w:t>
      </w:r>
      <w:r w:rsidR="00242DA0" w:rsidRPr="00DE12A3">
        <w:rPr>
          <w:rFonts w:eastAsia="Times New Roman" w:cs="Times New Roman"/>
          <w:color w:val="auto"/>
          <w:spacing w:val="3"/>
          <w:lang w:eastAsia="en-US"/>
        </w:rPr>
        <w:t>Isıtılmış FID'ler, gereken çalışma sıcaklığı aralıkları içinde olmalıdır. FID tepkisi, emisyon testi sırasında beklenen en yaygın analiz cihazı aralığında optimize edilmelidir. İmalatçı tavsiyelerine göre belirlenen FID yakıt ve hava akış hızları ile analiz cihazına bir ayar gazı beslenir</w:t>
      </w:r>
      <w:r w:rsidR="004D3A4A" w:rsidRPr="00DE12A3">
        <w:rPr>
          <w:rFonts w:eastAsia="Times New Roman" w:cs="Times New Roman"/>
          <w:color w:val="auto"/>
          <w:spacing w:val="3"/>
          <w:lang w:eastAsia="en-US"/>
        </w:rPr>
        <w:t>.</w:t>
      </w:r>
    </w:p>
    <w:p w14:paraId="4E4638EC" w14:textId="10B0CFF2" w:rsidR="002D7B36" w:rsidRPr="00DE12A3" w:rsidRDefault="00967438" w:rsidP="00E20716">
      <w:pPr>
        <w:numPr>
          <w:ilvl w:val="0"/>
          <w:numId w:val="258"/>
        </w:numPr>
        <w:shd w:val="clear" w:color="auto" w:fill="FFFFFF" w:themeFill="background1"/>
        <w:spacing w:before="120" w:after="120"/>
        <w:ind w:left="1701" w:hanging="567"/>
        <w:jc w:val="both"/>
        <w:rPr>
          <w:rFonts w:eastAsia="Times New Roman" w:cs="Times New Roman"/>
          <w:color w:val="auto"/>
          <w:spacing w:val="3"/>
          <w:lang w:eastAsia="en-US"/>
        </w:rPr>
      </w:pPr>
      <w:r w:rsidRPr="00DE12A3">
        <w:rPr>
          <w:rFonts w:eastAsia="Times New Roman" w:cs="Times New Roman"/>
          <w:color w:val="auto"/>
          <w:spacing w:val="3"/>
          <w:lang w:eastAsia="en-US"/>
        </w:rPr>
        <w:t xml:space="preserve">     </w:t>
      </w:r>
      <w:r w:rsidR="00242DA0" w:rsidRPr="00DE12A3">
        <w:rPr>
          <w:rFonts w:eastAsia="Times New Roman" w:cs="Times New Roman"/>
          <w:color w:val="auto"/>
          <w:spacing w:val="3"/>
          <w:lang w:eastAsia="en-US"/>
        </w:rPr>
        <w:t>Optimizasyon için aşağıda (i) ila (iv) paragrafları arasındaki adımlar veya cihaz imalatçısı tarafından bildirilen prosedür uygulanmalıdır. Optimizasyon için isteğe bağlı olarak  SAE</w:t>
      </w:r>
      <w:r w:rsidR="00E1663B" w:rsidRPr="00DE12A3">
        <w:rPr>
          <w:rFonts w:eastAsia="Times New Roman" w:cs="Times New Roman"/>
          <w:color w:val="auto"/>
          <w:spacing w:val="3"/>
          <w:lang w:eastAsia="en-US"/>
        </w:rPr>
        <w:t xml:space="preserve"> ( Otomotiv  Mühendisleri Derneği) </w:t>
      </w:r>
      <w:r w:rsidR="00242DA0" w:rsidRPr="00DE12A3">
        <w:rPr>
          <w:rFonts w:eastAsia="Times New Roman" w:cs="Times New Roman"/>
          <w:color w:val="auto"/>
          <w:spacing w:val="3"/>
          <w:lang w:eastAsia="en-US"/>
        </w:rPr>
        <w:t xml:space="preserve"> doküman</w:t>
      </w:r>
      <w:r w:rsidR="00E1663B" w:rsidRPr="00DE12A3">
        <w:rPr>
          <w:rFonts w:eastAsia="Times New Roman" w:cs="Times New Roman"/>
          <w:color w:val="auto"/>
          <w:spacing w:val="3"/>
          <w:lang w:eastAsia="en-US"/>
        </w:rPr>
        <w:t>ı</w:t>
      </w:r>
      <w:r w:rsidR="004E6B2F" w:rsidRPr="00DE12A3">
        <w:rPr>
          <w:rFonts w:eastAsia="Times New Roman" w:cs="Times New Roman"/>
          <w:color w:val="auto"/>
          <w:spacing w:val="3"/>
          <w:lang w:eastAsia="en-US"/>
        </w:rPr>
        <w:t>nın</w:t>
      </w:r>
      <w:r w:rsidR="00E1663B" w:rsidRPr="00DE12A3">
        <w:rPr>
          <w:rFonts w:eastAsia="Times New Roman" w:cs="Times New Roman"/>
          <w:color w:val="auto"/>
          <w:spacing w:val="3"/>
          <w:lang w:eastAsia="en-US"/>
        </w:rPr>
        <w:t xml:space="preserve"> 770141</w:t>
      </w:r>
      <w:r w:rsidR="004E6B2F" w:rsidRPr="00DE12A3">
        <w:rPr>
          <w:rFonts w:eastAsia="Times New Roman" w:cs="Times New Roman"/>
          <w:color w:val="auto"/>
          <w:spacing w:val="3"/>
          <w:lang w:eastAsia="en-US"/>
        </w:rPr>
        <w:t xml:space="preserve"> inci sayfasında</w:t>
      </w:r>
      <w:r w:rsidR="00E1663B" w:rsidRPr="00DE12A3">
        <w:rPr>
          <w:rFonts w:eastAsia="Times New Roman" w:cs="Times New Roman"/>
          <w:color w:val="auto"/>
          <w:spacing w:val="3"/>
          <w:lang w:eastAsia="en-US"/>
        </w:rPr>
        <w:t xml:space="preserve"> </w:t>
      </w:r>
      <w:r w:rsidR="00242DA0" w:rsidRPr="00DE12A3">
        <w:rPr>
          <w:rFonts w:eastAsia="Times New Roman" w:cs="Times New Roman"/>
          <w:color w:val="auto"/>
          <w:spacing w:val="3"/>
          <w:lang w:eastAsia="en-US"/>
        </w:rPr>
        <w:t>belirtilen prosedürler kullanılabilir;</w:t>
      </w:r>
    </w:p>
    <w:p w14:paraId="77028621" w14:textId="6A263D6B" w:rsidR="002D7B36" w:rsidRPr="00DE12A3" w:rsidRDefault="00967438" w:rsidP="00E20716">
      <w:pPr>
        <w:numPr>
          <w:ilvl w:val="0"/>
          <w:numId w:val="251"/>
        </w:numPr>
        <w:shd w:val="clear" w:color="auto" w:fill="FFFFFF" w:themeFill="background1"/>
        <w:spacing w:before="120" w:after="120"/>
        <w:ind w:left="2268" w:hanging="567"/>
        <w:jc w:val="both"/>
        <w:rPr>
          <w:rFonts w:eastAsia="Times New Roman" w:cs="Times New Roman"/>
          <w:color w:val="auto"/>
          <w:spacing w:val="3"/>
          <w:lang w:eastAsia="en-US"/>
        </w:rPr>
      </w:pPr>
      <w:r w:rsidRPr="00DE12A3">
        <w:rPr>
          <w:rFonts w:eastAsia="Times New Roman" w:cs="Times New Roman"/>
          <w:color w:val="auto"/>
          <w:spacing w:val="3"/>
          <w:lang w:eastAsia="en-US"/>
        </w:rPr>
        <w:t xml:space="preserve">  </w:t>
      </w:r>
      <w:r w:rsidR="00242DA0" w:rsidRPr="00DE12A3">
        <w:rPr>
          <w:rFonts w:eastAsia="Times New Roman" w:cs="Times New Roman"/>
          <w:color w:val="auto"/>
          <w:spacing w:val="3"/>
          <w:lang w:eastAsia="en-US"/>
        </w:rPr>
        <w:t>Belli bir FID yakıt akışındaki tepki, ayar gaz tepkisi ile sıfır gaz tepkisi arasındaki farktan belirlenir</w:t>
      </w:r>
      <w:r w:rsidR="004D3A4A" w:rsidRPr="00DE12A3">
        <w:rPr>
          <w:rFonts w:eastAsia="Times New Roman" w:cs="Times New Roman"/>
          <w:color w:val="auto"/>
          <w:spacing w:val="3"/>
          <w:lang w:eastAsia="en-US"/>
        </w:rPr>
        <w:t>.</w:t>
      </w:r>
    </w:p>
    <w:p w14:paraId="36E09C5F" w14:textId="580F2F26" w:rsidR="002D7B36" w:rsidRPr="00DE12A3" w:rsidRDefault="00967438" w:rsidP="00E20716">
      <w:pPr>
        <w:numPr>
          <w:ilvl w:val="0"/>
          <w:numId w:val="259"/>
        </w:numPr>
        <w:shd w:val="clear" w:color="auto" w:fill="FFFFFF" w:themeFill="background1"/>
        <w:spacing w:before="120" w:after="120"/>
        <w:ind w:left="2268" w:hanging="567"/>
        <w:jc w:val="both"/>
        <w:rPr>
          <w:rFonts w:eastAsia="Times New Roman" w:cs="Times New Roman"/>
          <w:color w:val="auto"/>
          <w:spacing w:val="3"/>
          <w:lang w:eastAsia="en-US"/>
        </w:rPr>
      </w:pPr>
      <w:r w:rsidRPr="00DE12A3">
        <w:rPr>
          <w:rFonts w:eastAsia="Times New Roman" w:cs="Times New Roman"/>
          <w:color w:val="auto"/>
          <w:spacing w:val="3"/>
          <w:lang w:eastAsia="en-US"/>
        </w:rPr>
        <w:t xml:space="preserve">   </w:t>
      </w:r>
      <w:r w:rsidR="00242DA0" w:rsidRPr="00DE12A3">
        <w:rPr>
          <w:rFonts w:eastAsia="Times New Roman" w:cs="Times New Roman"/>
          <w:color w:val="auto"/>
          <w:spacing w:val="3"/>
          <w:lang w:eastAsia="en-US"/>
        </w:rPr>
        <w:t>Yakıt akışı, imalatçı şartnamesinin üstünde ve altında kademeli olarak ayarlanmalıdır. Bu FID yakıt akışlarındaki ayar ve sıfır tepkisi kaydedilmelidir</w:t>
      </w:r>
      <w:r w:rsidR="004D3A4A" w:rsidRPr="00DE12A3">
        <w:rPr>
          <w:rFonts w:eastAsia="Times New Roman" w:cs="Times New Roman"/>
          <w:color w:val="auto"/>
          <w:spacing w:val="3"/>
          <w:lang w:eastAsia="en-US"/>
        </w:rPr>
        <w:t>.</w:t>
      </w:r>
    </w:p>
    <w:p w14:paraId="61DBB011" w14:textId="5990B99E" w:rsidR="002D7B36" w:rsidRPr="00DE12A3" w:rsidRDefault="00967438" w:rsidP="00E20716">
      <w:pPr>
        <w:numPr>
          <w:ilvl w:val="0"/>
          <w:numId w:val="259"/>
        </w:numPr>
        <w:shd w:val="clear" w:color="auto" w:fill="FFFFFF" w:themeFill="background1"/>
        <w:spacing w:before="120" w:after="120"/>
        <w:ind w:left="2268" w:hanging="567"/>
        <w:jc w:val="both"/>
        <w:rPr>
          <w:rFonts w:eastAsia="Times New Roman" w:cs="Times New Roman"/>
          <w:color w:val="auto"/>
          <w:spacing w:val="3"/>
          <w:lang w:eastAsia="en-US"/>
        </w:rPr>
      </w:pPr>
      <w:r w:rsidRPr="00DE12A3">
        <w:rPr>
          <w:rFonts w:eastAsia="Times New Roman" w:cs="Times New Roman"/>
          <w:color w:val="auto"/>
          <w:spacing w:val="3"/>
          <w:lang w:eastAsia="en-US"/>
        </w:rPr>
        <w:t xml:space="preserve">   </w:t>
      </w:r>
      <w:r w:rsidR="00242DA0" w:rsidRPr="00DE12A3">
        <w:rPr>
          <w:rFonts w:eastAsia="Times New Roman" w:cs="Times New Roman"/>
          <w:color w:val="auto"/>
          <w:spacing w:val="3"/>
          <w:lang w:eastAsia="en-US"/>
        </w:rPr>
        <w:t>Ayar ve sıfır tepkisi arasındaki fark grafiğe dökülmeli ve yakıt akışı eğrinin zengin tarafına ayarlanmalıdır. Bu, hidrokarbon tepkisi faktörlerinin sonuçlarına ve 8.1.10.1.1</w:t>
      </w:r>
      <w:r w:rsidR="00AE0A29" w:rsidRPr="00DE12A3">
        <w:rPr>
          <w:rFonts w:eastAsia="Times New Roman" w:cs="Times New Roman"/>
          <w:color w:val="auto"/>
          <w:spacing w:val="3"/>
          <w:lang w:eastAsia="en-US"/>
        </w:rPr>
        <w:t xml:space="preserve"> bendinin </w:t>
      </w:r>
      <w:r w:rsidR="00242DA0" w:rsidRPr="00DE12A3">
        <w:rPr>
          <w:rFonts w:eastAsia="Times New Roman" w:cs="Times New Roman"/>
          <w:color w:val="auto"/>
          <w:spacing w:val="3"/>
          <w:lang w:eastAsia="en-US"/>
        </w:rPr>
        <w:t xml:space="preserve">(a) </w:t>
      </w:r>
      <w:r w:rsidR="004D3A4A" w:rsidRPr="00DE12A3">
        <w:rPr>
          <w:rFonts w:eastAsia="Times New Roman" w:cs="Times New Roman"/>
          <w:color w:val="auto"/>
          <w:spacing w:val="3"/>
          <w:lang w:eastAsia="en-US"/>
        </w:rPr>
        <w:t xml:space="preserve">numaralı </w:t>
      </w:r>
      <w:r w:rsidR="00AE0A29" w:rsidRPr="00DE12A3">
        <w:rPr>
          <w:rFonts w:eastAsia="Times New Roman" w:cs="Times New Roman"/>
          <w:color w:val="auto"/>
          <w:spacing w:val="3"/>
          <w:lang w:eastAsia="en-US"/>
        </w:rPr>
        <w:t xml:space="preserve">alt bendi </w:t>
      </w:r>
      <w:r w:rsidR="00242DA0" w:rsidRPr="00DE12A3">
        <w:rPr>
          <w:rFonts w:eastAsia="Times New Roman" w:cs="Times New Roman"/>
          <w:color w:val="auto"/>
          <w:spacing w:val="3"/>
          <w:lang w:eastAsia="en-US"/>
        </w:rPr>
        <w:t>ve 8.1.10.2 bentlerine göre oksijen karışma kontrolünün sonuçlarına bağlı olarak daha fazla optimizasyon gerektirebilecek ilk akış hızı ayarıdır</w:t>
      </w:r>
      <w:r w:rsidR="004D3A4A" w:rsidRPr="00DE12A3">
        <w:rPr>
          <w:rFonts w:eastAsia="Times New Roman" w:cs="Times New Roman"/>
          <w:color w:val="auto"/>
          <w:spacing w:val="3"/>
          <w:lang w:eastAsia="en-US"/>
        </w:rPr>
        <w:t>.</w:t>
      </w:r>
    </w:p>
    <w:p w14:paraId="43FE67EC" w14:textId="202DC30F" w:rsidR="002D7B36" w:rsidRPr="00DE12A3" w:rsidRDefault="00967438" w:rsidP="00E20716">
      <w:pPr>
        <w:numPr>
          <w:ilvl w:val="0"/>
          <w:numId w:val="259"/>
        </w:numPr>
        <w:shd w:val="clear" w:color="auto" w:fill="FFFFFF" w:themeFill="background1"/>
        <w:spacing w:before="120" w:after="120"/>
        <w:ind w:left="2268" w:hanging="567"/>
        <w:jc w:val="both"/>
        <w:rPr>
          <w:rFonts w:eastAsia="Times New Roman" w:cs="Times New Roman"/>
          <w:color w:val="auto"/>
          <w:spacing w:val="3"/>
          <w:lang w:eastAsia="en-US"/>
        </w:rPr>
      </w:pPr>
      <w:r w:rsidRPr="00DE12A3">
        <w:rPr>
          <w:rFonts w:eastAsia="Times New Roman" w:cs="Times New Roman"/>
          <w:color w:val="auto"/>
          <w:spacing w:val="3"/>
          <w:lang w:eastAsia="en-US"/>
        </w:rPr>
        <w:t xml:space="preserve">   </w:t>
      </w:r>
      <w:r w:rsidR="00242DA0" w:rsidRPr="00DE12A3">
        <w:rPr>
          <w:rFonts w:eastAsia="Times New Roman" w:cs="Times New Roman"/>
          <w:color w:val="auto"/>
          <w:spacing w:val="3"/>
          <w:lang w:eastAsia="en-US"/>
        </w:rPr>
        <w:t xml:space="preserve">Oksijen karışması veya hidrokarbon tepkisi faktörleri aşağıdaki şartnameleri sağlamıyorsa, hava akımı imalatçı şartnamelerinin üstünde ve altında kademeli olarak ayarlanmalı, her akış için </w:t>
      </w:r>
      <w:r w:rsidR="00AE0A29" w:rsidRPr="00DE12A3">
        <w:rPr>
          <w:rFonts w:eastAsia="Times New Roman" w:cs="Times New Roman"/>
          <w:color w:val="auto"/>
          <w:spacing w:val="3"/>
          <w:lang w:eastAsia="en-US"/>
        </w:rPr>
        <w:t xml:space="preserve">8.1.10.1.1 bendinin (a) </w:t>
      </w:r>
      <w:r w:rsidR="004D3A4A" w:rsidRPr="00DE12A3">
        <w:rPr>
          <w:rFonts w:eastAsia="Times New Roman" w:cs="Times New Roman"/>
          <w:color w:val="auto"/>
          <w:spacing w:val="3"/>
          <w:lang w:eastAsia="en-US"/>
        </w:rPr>
        <w:t xml:space="preserve">numaralı </w:t>
      </w:r>
      <w:r w:rsidR="00AE0A29" w:rsidRPr="00DE12A3">
        <w:rPr>
          <w:rFonts w:eastAsia="Times New Roman" w:cs="Times New Roman"/>
          <w:color w:val="auto"/>
          <w:spacing w:val="3"/>
          <w:lang w:eastAsia="en-US"/>
        </w:rPr>
        <w:t xml:space="preserve">alt bendi </w:t>
      </w:r>
      <w:r w:rsidR="00242DA0" w:rsidRPr="00DE12A3">
        <w:rPr>
          <w:rFonts w:eastAsia="Times New Roman" w:cs="Times New Roman"/>
          <w:color w:val="auto"/>
          <w:spacing w:val="3"/>
          <w:lang w:eastAsia="en-US"/>
        </w:rPr>
        <w:t>ve 8.1.10.2 bentleri tekrarlanmalıdır</w:t>
      </w:r>
      <w:r w:rsidR="004D3A4A" w:rsidRPr="00DE12A3">
        <w:rPr>
          <w:rFonts w:eastAsia="Times New Roman" w:cs="Times New Roman"/>
          <w:color w:val="auto"/>
          <w:spacing w:val="3"/>
          <w:lang w:eastAsia="en-US"/>
        </w:rPr>
        <w:t>.</w:t>
      </w:r>
    </w:p>
    <w:p w14:paraId="11E5AA38" w14:textId="77777777" w:rsidR="002D7B36" w:rsidRPr="00DE12A3" w:rsidRDefault="00242DA0" w:rsidP="00E20716">
      <w:pPr>
        <w:numPr>
          <w:ilvl w:val="0"/>
          <w:numId w:val="258"/>
        </w:numPr>
        <w:shd w:val="clear" w:color="auto" w:fill="FFFFFF" w:themeFill="background1"/>
        <w:spacing w:before="120" w:after="120"/>
        <w:ind w:left="1701" w:hanging="567"/>
        <w:jc w:val="both"/>
        <w:rPr>
          <w:rFonts w:eastAsia="Times New Roman" w:cs="Times New Roman"/>
          <w:color w:val="auto"/>
          <w:spacing w:val="3"/>
          <w:lang w:eastAsia="en-US"/>
        </w:rPr>
      </w:pPr>
      <w:r w:rsidRPr="00DE12A3">
        <w:rPr>
          <w:rFonts w:eastAsia="Times New Roman" w:cs="Times New Roman"/>
          <w:color w:val="auto"/>
          <w:spacing w:val="3"/>
          <w:lang w:eastAsia="en-US"/>
        </w:rPr>
        <w:t>FID yakıt ve brülör havası için optimum akış hızları ve/veya basınçları belirlenmeli ve bunlar ileride başvurulmak üzere örneklenmeli ve kaydedilmelidir.</w:t>
      </w:r>
    </w:p>
    <w:p w14:paraId="32BFE5E2" w14:textId="77777777" w:rsidR="002D7B36" w:rsidRPr="00DE12A3" w:rsidRDefault="00242DA0" w:rsidP="00E20716">
      <w:pPr>
        <w:numPr>
          <w:ilvl w:val="0"/>
          <w:numId w:val="256"/>
        </w:numPr>
        <w:shd w:val="clear" w:color="auto" w:fill="FFFFFF" w:themeFill="background1"/>
        <w:spacing w:before="120" w:after="120"/>
        <w:ind w:left="1134" w:hanging="1134"/>
        <w:jc w:val="both"/>
        <w:rPr>
          <w:rFonts w:eastAsia="Times New Roman" w:cs="Times New Roman"/>
          <w:color w:val="auto"/>
          <w:spacing w:val="3"/>
          <w:lang w:eastAsia="en-US"/>
        </w:rPr>
      </w:pPr>
      <w:r w:rsidRPr="00DE12A3">
        <w:rPr>
          <w:rFonts w:eastAsia="Times New Roman" w:cs="Times New Roman"/>
          <w:color w:val="auto"/>
          <w:spacing w:val="3"/>
          <w:lang w:eastAsia="en-US"/>
        </w:rPr>
        <w:t>HC FID CH</w:t>
      </w:r>
      <w:r w:rsidRPr="00DE12A3">
        <w:rPr>
          <w:rFonts w:eastAsia="Times New Roman" w:cs="Times New Roman"/>
          <w:color w:val="auto"/>
          <w:spacing w:val="3"/>
          <w:vertAlign w:val="subscript"/>
          <w:lang w:eastAsia="en-US"/>
        </w:rPr>
        <w:t>4</w:t>
      </w:r>
      <w:r w:rsidRPr="00DE12A3">
        <w:rPr>
          <w:rFonts w:eastAsia="Times New Roman" w:cs="Times New Roman"/>
          <w:color w:val="auto"/>
          <w:spacing w:val="3"/>
          <w:lang w:eastAsia="en-US"/>
        </w:rPr>
        <w:t>tepkisi faktörünün belirlenmesi</w:t>
      </w:r>
    </w:p>
    <w:p w14:paraId="06E2EA25" w14:textId="77777777" w:rsidR="002D7B36" w:rsidRPr="00DE12A3" w:rsidRDefault="00967438" w:rsidP="00C917D6">
      <w:pPr>
        <w:shd w:val="clear" w:color="auto" w:fill="FFFFFF" w:themeFill="background1"/>
        <w:spacing w:before="120" w:after="120"/>
        <w:ind w:left="1134" w:hanging="1134"/>
        <w:jc w:val="both"/>
        <w:rPr>
          <w:rFonts w:eastAsia="Times New Roman" w:cs="Times New Roman"/>
          <w:color w:val="auto"/>
          <w:spacing w:val="3"/>
          <w:lang w:eastAsia="en-US"/>
        </w:rPr>
      </w:pPr>
      <w:r w:rsidRPr="00DE12A3">
        <w:rPr>
          <w:rFonts w:eastAsia="Times New Roman" w:cs="Times New Roman"/>
          <w:color w:val="auto"/>
          <w:spacing w:val="3"/>
          <w:lang w:eastAsia="en-US"/>
        </w:rPr>
        <w:t xml:space="preserve">                  </w:t>
      </w:r>
      <w:r w:rsidR="00242DA0" w:rsidRPr="00DE12A3">
        <w:rPr>
          <w:rFonts w:eastAsia="Times New Roman" w:cs="Times New Roman"/>
          <w:color w:val="auto"/>
          <w:spacing w:val="3"/>
          <w:lang w:eastAsia="en-US"/>
        </w:rPr>
        <w:t>FID analiz cihazları genellikle C</w:t>
      </w:r>
      <w:r w:rsidR="00242DA0" w:rsidRPr="00DE12A3">
        <w:rPr>
          <w:rFonts w:eastAsia="Times New Roman" w:cs="Times New Roman"/>
          <w:color w:val="auto"/>
          <w:spacing w:val="3"/>
          <w:vertAlign w:val="subscript"/>
          <w:lang w:eastAsia="en-US"/>
        </w:rPr>
        <w:t>3</w:t>
      </w:r>
      <w:r w:rsidR="00242DA0" w:rsidRPr="00DE12A3">
        <w:rPr>
          <w:rFonts w:eastAsia="Times New Roman" w:cs="Times New Roman"/>
          <w:color w:val="auto"/>
          <w:spacing w:val="3"/>
          <w:lang w:eastAsia="en-US"/>
        </w:rPr>
        <w:t>H</w:t>
      </w:r>
      <w:r w:rsidR="00242DA0" w:rsidRPr="00DE12A3">
        <w:rPr>
          <w:rFonts w:eastAsia="Times New Roman" w:cs="Times New Roman"/>
          <w:color w:val="auto"/>
          <w:spacing w:val="3"/>
          <w:vertAlign w:val="subscript"/>
          <w:lang w:eastAsia="en-US"/>
        </w:rPr>
        <w:t>8</w:t>
      </w:r>
      <w:r w:rsidR="00242DA0" w:rsidRPr="00DE12A3">
        <w:rPr>
          <w:rFonts w:eastAsia="Times New Roman" w:cs="Times New Roman"/>
          <w:color w:val="auto"/>
          <w:spacing w:val="3"/>
          <w:lang w:eastAsia="en-US"/>
        </w:rPr>
        <w:t>'e göre CH</w:t>
      </w:r>
      <w:r w:rsidR="00242DA0" w:rsidRPr="00DE12A3">
        <w:rPr>
          <w:rFonts w:eastAsia="Times New Roman" w:cs="Times New Roman"/>
          <w:color w:val="auto"/>
          <w:spacing w:val="3"/>
          <w:vertAlign w:val="subscript"/>
          <w:lang w:eastAsia="en-US"/>
        </w:rPr>
        <w:t>4</w:t>
      </w:r>
      <w:r w:rsidR="00242DA0" w:rsidRPr="00DE12A3">
        <w:rPr>
          <w:rFonts w:eastAsia="Times New Roman" w:cs="Times New Roman"/>
          <w:color w:val="auto"/>
          <w:spacing w:val="3"/>
          <w:lang w:eastAsia="en-US"/>
        </w:rPr>
        <w:t>'e farklı bir tepki verdiğinden, FID optimizasyonundan sonra her HC FID analiz cihazının CH</w:t>
      </w:r>
      <w:r w:rsidR="00242DA0" w:rsidRPr="00DE12A3">
        <w:rPr>
          <w:rFonts w:eastAsia="Times New Roman" w:cs="Times New Roman"/>
          <w:color w:val="auto"/>
          <w:spacing w:val="3"/>
          <w:vertAlign w:val="subscript"/>
          <w:lang w:eastAsia="en-US"/>
        </w:rPr>
        <w:t>4</w:t>
      </w:r>
      <w:r w:rsidR="00242DA0" w:rsidRPr="00DE12A3">
        <w:rPr>
          <w:rFonts w:eastAsia="Times New Roman" w:cs="Times New Roman"/>
          <w:color w:val="auto"/>
          <w:spacing w:val="3"/>
          <w:lang w:eastAsia="en-US"/>
        </w:rPr>
        <w:t xml:space="preserve"> tepkisi faktörü </w:t>
      </w:r>
      <w:r w:rsidR="00242DA0" w:rsidRPr="00DE12A3">
        <w:rPr>
          <w:rFonts w:eastAsia="Times New Roman" w:cs="Times New Roman"/>
          <w:i/>
          <w:iCs/>
          <w:color w:val="auto"/>
          <w:spacing w:val="3"/>
          <w:lang w:eastAsia="en-US"/>
        </w:rPr>
        <w:t>RF</w:t>
      </w:r>
      <w:r w:rsidR="00242DA0" w:rsidRPr="00DE12A3">
        <w:rPr>
          <w:rFonts w:eastAsia="Times New Roman" w:cs="Times New Roman"/>
          <w:color w:val="auto"/>
          <w:spacing w:val="3"/>
          <w:vertAlign w:val="subscript"/>
          <w:lang w:eastAsia="en-US"/>
        </w:rPr>
        <w:t>CH4[THC-FID]</w:t>
      </w:r>
      <w:r w:rsidR="00242DA0" w:rsidRPr="00DE12A3">
        <w:rPr>
          <w:rFonts w:eastAsia="Times New Roman" w:cs="Times New Roman"/>
          <w:color w:val="auto"/>
          <w:spacing w:val="3"/>
          <w:lang w:eastAsia="en-US"/>
        </w:rPr>
        <w:t xml:space="preserve"> belirlenir.</w:t>
      </w:r>
    </w:p>
    <w:p w14:paraId="4A3D3527" w14:textId="16A0D611" w:rsidR="002D7B36" w:rsidRPr="00DE12A3" w:rsidRDefault="00967438" w:rsidP="00C917D6">
      <w:pPr>
        <w:spacing w:before="120" w:after="120"/>
        <w:ind w:left="1134" w:hanging="1134"/>
        <w:jc w:val="both"/>
        <w:rPr>
          <w:rFonts w:eastAsia="Times New Roman" w:cs="Times New Roman"/>
          <w:color w:val="auto"/>
          <w:spacing w:val="3"/>
          <w:lang w:eastAsia="en-US"/>
        </w:rPr>
      </w:pPr>
      <w:r w:rsidRPr="00DE12A3">
        <w:rPr>
          <w:rFonts w:eastAsia="Times New Roman" w:cs="Times New Roman"/>
          <w:color w:val="auto"/>
          <w:spacing w:val="3"/>
          <w:lang w:eastAsia="en-US"/>
        </w:rPr>
        <w:t xml:space="preserve">                  </w:t>
      </w:r>
      <w:r w:rsidR="00242DA0" w:rsidRPr="00DE12A3">
        <w:rPr>
          <w:rFonts w:eastAsia="Times New Roman" w:cs="Times New Roman"/>
          <w:color w:val="auto"/>
          <w:spacing w:val="3"/>
          <w:lang w:eastAsia="en-US"/>
        </w:rPr>
        <w:t xml:space="preserve">Bu </w:t>
      </w:r>
      <w:r w:rsidR="00E1663B" w:rsidRPr="00DE12A3">
        <w:rPr>
          <w:rFonts w:eastAsia="Times New Roman" w:cs="Times New Roman"/>
          <w:color w:val="auto"/>
          <w:spacing w:val="3"/>
          <w:lang w:eastAsia="en-US"/>
        </w:rPr>
        <w:t>B</w:t>
      </w:r>
      <w:r w:rsidR="00242DA0" w:rsidRPr="00DE12A3">
        <w:rPr>
          <w:rFonts w:eastAsia="Times New Roman" w:cs="Times New Roman"/>
          <w:color w:val="auto"/>
          <w:spacing w:val="3"/>
          <w:lang w:eastAsia="en-US"/>
        </w:rPr>
        <w:t xml:space="preserve">ölüm uyarınca ölçülen en son </w:t>
      </w:r>
      <w:r w:rsidR="00242DA0" w:rsidRPr="00DE12A3">
        <w:rPr>
          <w:rFonts w:eastAsia="Times New Roman" w:cs="Times New Roman"/>
          <w:i/>
          <w:iCs/>
          <w:color w:val="auto"/>
          <w:spacing w:val="3"/>
          <w:lang w:eastAsia="en-US"/>
        </w:rPr>
        <w:t>RF</w:t>
      </w:r>
      <w:r w:rsidR="00242DA0" w:rsidRPr="00DE12A3">
        <w:rPr>
          <w:rFonts w:eastAsia="Times New Roman" w:cs="Times New Roman"/>
          <w:color w:val="auto"/>
          <w:spacing w:val="3"/>
          <w:vertAlign w:val="subscript"/>
          <w:lang w:eastAsia="en-US"/>
        </w:rPr>
        <w:t>CH4[THC-FID]</w:t>
      </w:r>
      <w:r w:rsidR="00242DA0" w:rsidRPr="00DE12A3">
        <w:rPr>
          <w:rFonts w:eastAsia="Times New Roman" w:cs="Times New Roman"/>
          <w:color w:val="auto"/>
          <w:spacing w:val="3"/>
          <w:lang w:eastAsia="en-US"/>
        </w:rPr>
        <w:t>, CH</w:t>
      </w:r>
      <w:r w:rsidR="00242DA0" w:rsidRPr="00DE12A3">
        <w:rPr>
          <w:rFonts w:eastAsia="Times New Roman" w:cs="Times New Roman"/>
          <w:color w:val="auto"/>
          <w:spacing w:val="3"/>
          <w:vertAlign w:val="subscript"/>
          <w:lang w:eastAsia="en-US"/>
        </w:rPr>
        <w:t>4</w:t>
      </w:r>
      <w:r w:rsidR="00242DA0" w:rsidRPr="00DE12A3">
        <w:rPr>
          <w:rFonts w:eastAsia="Times New Roman" w:cs="Times New Roman"/>
          <w:color w:val="auto"/>
          <w:spacing w:val="3"/>
          <w:lang w:eastAsia="en-US"/>
        </w:rPr>
        <w:t xml:space="preserve"> tepkisini dengelemek için, VII</w:t>
      </w:r>
      <w:r w:rsidR="006F30D6" w:rsidRPr="00DE12A3">
        <w:rPr>
          <w:rFonts w:eastAsia="Times New Roman" w:cs="Times New Roman"/>
          <w:color w:val="auto"/>
          <w:spacing w:val="3"/>
          <w:lang w:eastAsia="en-US"/>
        </w:rPr>
        <w:t>’</w:t>
      </w:r>
      <w:r w:rsidR="00195051" w:rsidRPr="00DE12A3">
        <w:rPr>
          <w:rFonts w:eastAsia="Times New Roman" w:cs="Times New Roman"/>
          <w:color w:val="auto"/>
          <w:spacing w:val="3"/>
          <w:lang w:eastAsia="en-US"/>
        </w:rPr>
        <w:t>nci</w:t>
      </w:r>
      <w:r w:rsidR="006F30D6" w:rsidRPr="00DE12A3">
        <w:rPr>
          <w:rFonts w:eastAsia="Times New Roman" w:cs="Times New Roman"/>
          <w:color w:val="auto"/>
          <w:spacing w:val="3"/>
          <w:lang w:eastAsia="en-US"/>
        </w:rPr>
        <w:t xml:space="preserve"> </w:t>
      </w:r>
      <w:r w:rsidR="00B32A92" w:rsidRPr="00DE12A3">
        <w:rPr>
          <w:rFonts w:eastAsia="Times New Roman" w:cs="Times New Roman"/>
          <w:color w:val="auto"/>
          <w:spacing w:val="3"/>
          <w:lang w:eastAsia="en-US"/>
        </w:rPr>
        <w:t>E</w:t>
      </w:r>
      <w:r w:rsidR="00242DA0" w:rsidRPr="00DE12A3">
        <w:rPr>
          <w:rFonts w:eastAsia="Times New Roman" w:cs="Times New Roman"/>
          <w:color w:val="auto"/>
          <w:spacing w:val="3"/>
          <w:lang w:eastAsia="en-US"/>
        </w:rPr>
        <w:t xml:space="preserve">kin 2. </w:t>
      </w:r>
      <w:r w:rsidR="00B32A92" w:rsidRPr="00DE12A3">
        <w:rPr>
          <w:rFonts w:eastAsia="Times New Roman" w:cs="Times New Roman"/>
          <w:color w:val="auto"/>
          <w:spacing w:val="3"/>
          <w:lang w:eastAsia="en-US"/>
        </w:rPr>
        <w:t>Bölüm</w:t>
      </w:r>
      <w:r w:rsidR="00242DA0" w:rsidRPr="00DE12A3">
        <w:rPr>
          <w:rFonts w:eastAsia="Times New Roman" w:cs="Times New Roman"/>
          <w:color w:val="auto"/>
          <w:spacing w:val="3"/>
          <w:lang w:eastAsia="en-US"/>
        </w:rPr>
        <w:t>ünde (kütle temelli yaklaşım) veya VII</w:t>
      </w:r>
      <w:r w:rsidR="006F30D6" w:rsidRPr="00DE12A3">
        <w:rPr>
          <w:rFonts w:eastAsia="Times New Roman" w:cs="Times New Roman"/>
          <w:color w:val="auto"/>
          <w:spacing w:val="3"/>
          <w:lang w:eastAsia="en-US"/>
        </w:rPr>
        <w:t>’</w:t>
      </w:r>
      <w:r w:rsidR="00195051" w:rsidRPr="00DE12A3">
        <w:rPr>
          <w:rFonts w:eastAsia="Times New Roman" w:cs="Times New Roman"/>
          <w:color w:val="auto"/>
          <w:spacing w:val="3"/>
          <w:lang w:eastAsia="en-US"/>
        </w:rPr>
        <w:t>nci</w:t>
      </w:r>
      <w:r w:rsidR="006F30D6" w:rsidRPr="00DE12A3">
        <w:rPr>
          <w:rFonts w:eastAsia="Times New Roman" w:cs="Times New Roman"/>
          <w:color w:val="auto"/>
          <w:spacing w:val="3"/>
          <w:lang w:eastAsia="en-US"/>
        </w:rPr>
        <w:t xml:space="preserve"> </w:t>
      </w:r>
      <w:r w:rsidR="00B32A92" w:rsidRPr="00DE12A3">
        <w:rPr>
          <w:rFonts w:eastAsia="Times New Roman" w:cs="Times New Roman"/>
          <w:color w:val="auto"/>
          <w:spacing w:val="3"/>
          <w:lang w:eastAsia="en-US"/>
        </w:rPr>
        <w:t>E</w:t>
      </w:r>
      <w:r w:rsidR="00242DA0" w:rsidRPr="00DE12A3">
        <w:rPr>
          <w:rFonts w:eastAsia="Times New Roman" w:cs="Times New Roman"/>
          <w:color w:val="auto"/>
          <w:spacing w:val="3"/>
          <w:lang w:eastAsia="en-US"/>
        </w:rPr>
        <w:t xml:space="preserve">kin 3. </w:t>
      </w:r>
      <w:r w:rsidR="00B32A92" w:rsidRPr="00DE12A3">
        <w:rPr>
          <w:rFonts w:eastAsia="Times New Roman" w:cs="Times New Roman"/>
          <w:color w:val="auto"/>
          <w:spacing w:val="3"/>
          <w:lang w:eastAsia="en-US"/>
        </w:rPr>
        <w:t>Bölüm</w:t>
      </w:r>
      <w:r w:rsidR="00242DA0" w:rsidRPr="00DE12A3">
        <w:rPr>
          <w:rFonts w:eastAsia="Times New Roman" w:cs="Times New Roman"/>
          <w:color w:val="auto"/>
          <w:spacing w:val="3"/>
          <w:lang w:eastAsia="en-US"/>
        </w:rPr>
        <w:t xml:space="preserve">ünde (molar bazlı yaklaşım) tarif edilen HC tespitine ilişkin hesaplamalarda kullanılmalıdır. </w:t>
      </w:r>
      <w:r w:rsidR="00242DA0" w:rsidRPr="00DE12A3">
        <w:rPr>
          <w:rFonts w:eastAsia="Times New Roman" w:cs="Times New Roman"/>
          <w:i/>
          <w:iCs/>
          <w:color w:val="auto"/>
          <w:spacing w:val="3"/>
          <w:lang w:eastAsia="en-US"/>
        </w:rPr>
        <w:t>RF</w:t>
      </w:r>
      <w:r w:rsidR="00242DA0" w:rsidRPr="00DE12A3">
        <w:rPr>
          <w:rFonts w:eastAsia="Times New Roman" w:cs="Times New Roman"/>
          <w:color w:val="auto"/>
          <w:spacing w:val="3"/>
          <w:vertAlign w:val="subscript"/>
          <w:lang w:eastAsia="en-US"/>
        </w:rPr>
        <w:t>CH4[THC-FID]</w:t>
      </w:r>
      <w:r w:rsidR="00242DA0" w:rsidRPr="00DE12A3">
        <w:rPr>
          <w:rFonts w:eastAsia="Times New Roman" w:cs="Times New Roman"/>
          <w:color w:val="auto"/>
          <w:spacing w:val="3"/>
          <w:lang w:eastAsia="en-US"/>
        </w:rPr>
        <w:t xml:space="preserve"> aşağıdaki şekilde belirlenir:</w:t>
      </w:r>
    </w:p>
    <w:p w14:paraId="292CFD59" w14:textId="334105D2" w:rsidR="002D7B36" w:rsidRPr="00DE12A3" w:rsidRDefault="00967438" w:rsidP="00E20716">
      <w:pPr>
        <w:numPr>
          <w:ilvl w:val="0"/>
          <w:numId w:val="260"/>
        </w:numPr>
        <w:spacing w:before="120" w:after="120"/>
        <w:ind w:left="1701" w:hanging="567"/>
        <w:jc w:val="both"/>
        <w:rPr>
          <w:rFonts w:eastAsia="Times New Roman" w:cs="Times New Roman"/>
          <w:color w:val="auto"/>
          <w:spacing w:val="3"/>
          <w:lang w:eastAsia="en-US"/>
        </w:rPr>
      </w:pPr>
      <w:r w:rsidRPr="00DE12A3">
        <w:rPr>
          <w:rFonts w:eastAsia="Times New Roman" w:cs="Times New Roman"/>
          <w:color w:val="auto"/>
          <w:spacing w:val="3"/>
          <w:lang w:eastAsia="en-US"/>
        </w:rPr>
        <w:t xml:space="preserve">     </w:t>
      </w:r>
      <w:r w:rsidR="00242DA0" w:rsidRPr="00DE12A3">
        <w:rPr>
          <w:rFonts w:eastAsia="Times New Roman" w:cs="Times New Roman"/>
          <w:color w:val="auto"/>
          <w:spacing w:val="3"/>
          <w:lang w:eastAsia="en-US"/>
        </w:rPr>
        <w:t xml:space="preserve">Emisyon testinden önce analiz cihazının ayarlanması için bir </w:t>
      </w:r>
      <w:r w:rsidR="00242DA0" w:rsidRPr="00DE12A3">
        <w:rPr>
          <w:rFonts w:cs="Times New Roman"/>
          <w:color w:val="auto"/>
          <w:spacing w:val="3"/>
          <w:lang w:eastAsia="en-US"/>
        </w:rPr>
        <w:t>C</w:t>
      </w:r>
      <w:r w:rsidR="00242DA0" w:rsidRPr="00DE12A3">
        <w:rPr>
          <w:rFonts w:cs="Times New Roman"/>
          <w:color w:val="auto"/>
          <w:spacing w:val="3"/>
          <w:vertAlign w:val="subscript"/>
          <w:lang w:eastAsia="en-US"/>
        </w:rPr>
        <w:t>3</w:t>
      </w:r>
      <w:r w:rsidR="00242DA0" w:rsidRPr="00DE12A3">
        <w:rPr>
          <w:rFonts w:cs="Times New Roman"/>
          <w:color w:val="auto"/>
          <w:spacing w:val="3"/>
          <w:lang w:eastAsia="en-US"/>
        </w:rPr>
        <w:t>H</w:t>
      </w:r>
      <w:r w:rsidR="00242DA0" w:rsidRPr="00DE12A3">
        <w:rPr>
          <w:rFonts w:cs="Times New Roman"/>
          <w:color w:val="auto"/>
          <w:spacing w:val="3"/>
          <w:vertAlign w:val="subscript"/>
          <w:lang w:eastAsia="en-US"/>
        </w:rPr>
        <w:t>8</w:t>
      </w:r>
      <w:r w:rsidR="00A43271" w:rsidRPr="00DE12A3">
        <w:rPr>
          <w:rFonts w:cs="Times New Roman"/>
          <w:color w:val="auto"/>
          <w:spacing w:val="3"/>
          <w:vertAlign w:val="subscript"/>
          <w:lang w:eastAsia="en-US"/>
        </w:rPr>
        <w:t xml:space="preserve"> </w:t>
      </w:r>
      <w:r w:rsidR="00242DA0" w:rsidRPr="00DE12A3">
        <w:rPr>
          <w:rFonts w:eastAsia="Times New Roman" w:cs="Times New Roman"/>
          <w:color w:val="auto"/>
          <w:spacing w:val="3"/>
          <w:lang w:eastAsia="en-US"/>
        </w:rPr>
        <w:t xml:space="preserve">ayar gazı konsantrasyonu seçilir. Sadece 9.5.1 bendindeki şartnameleri sağlayan ayar gazları seçilmeli ve gazın </w:t>
      </w:r>
      <w:r w:rsidR="00242DA0" w:rsidRPr="00DE12A3">
        <w:rPr>
          <w:rFonts w:cs="Times New Roman"/>
          <w:color w:val="auto"/>
          <w:spacing w:val="3"/>
          <w:lang w:eastAsia="en-US"/>
        </w:rPr>
        <w:t>C</w:t>
      </w:r>
      <w:r w:rsidR="00242DA0" w:rsidRPr="00DE12A3">
        <w:rPr>
          <w:rFonts w:cs="Times New Roman"/>
          <w:color w:val="auto"/>
          <w:spacing w:val="3"/>
          <w:vertAlign w:val="subscript"/>
          <w:lang w:eastAsia="en-US"/>
        </w:rPr>
        <w:t>3</w:t>
      </w:r>
      <w:r w:rsidR="00242DA0" w:rsidRPr="00DE12A3">
        <w:rPr>
          <w:rFonts w:cs="Times New Roman"/>
          <w:color w:val="auto"/>
          <w:spacing w:val="3"/>
          <w:lang w:eastAsia="en-US"/>
        </w:rPr>
        <w:t>H</w:t>
      </w:r>
      <w:r w:rsidR="00242DA0" w:rsidRPr="00DE12A3">
        <w:rPr>
          <w:rFonts w:cs="Times New Roman"/>
          <w:color w:val="auto"/>
          <w:spacing w:val="3"/>
          <w:vertAlign w:val="subscript"/>
          <w:lang w:eastAsia="en-US"/>
        </w:rPr>
        <w:t>8</w:t>
      </w:r>
      <w:r w:rsidR="00242DA0" w:rsidRPr="00DE12A3">
        <w:rPr>
          <w:rFonts w:eastAsia="Times New Roman" w:cs="Times New Roman"/>
          <w:color w:val="auto"/>
          <w:spacing w:val="3"/>
          <w:lang w:eastAsia="en-US"/>
        </w:rPr>
        <w:t>konsantrasyonu kaydedilmelidir</w:t>
      </w:r>
      <w:r w:rsidR="004D3A4A" w:rsidRPr="00DE12A3">
        <w:rPr>
          <w:rFonts w:eastAsia="Times New Roman" w:cs="Times New Roman"/>
          <w:color w:val="auto"/>
          <w:spacing w:val="3"/>
          <w:lang w:eastAsia="en-US"/>
        </w:rPr>
        <w:t>.</w:t>
      </w:r>
    </w:p>
    <w:p w14:paraId="3E00138D" w14:textId="6089133E" w:rsidR="002D7B36" w:rsidRPr="00DE12A3" w:rsidRDefault="00242DA0" w:rsidP="00E20716">
      <w:pPr>
        <w:numPr>
          <w:ilvl w:val="0"/>
          <w:numId w:val="260"/>
        </w:numPr>
        <w:tabs>
          <w:tab w:val="left" w:pos="1200"/>
        </w:tabs>
        <w:spacing w:before="120" w:after="120"/>
        <w:ind w:left="1701" w:hanging="567"/>
        <w:jc w:val="both"/>
        <w:rPr>
          <w:rFonts w:eastAsia="Times New Roman" w:cs="Times New Roman"/>
          <w:color w:val="auto"/>
          <w:spacing w:val="3"/>
          <w:lang w:eastAsia="en-US"/>
        </w:rPr>
      </w:pPr>
      <w:r w:rsidRPr="00DE12A3">
        <w:rPr>
          <w:rFonts w:eastAsia="Times New Roman" w:cs="Times New Roman"/>
          <w:color w:val="auto"/>
          <w:spacing w:val="3"/>
          <w:lang w:eastAsia="en-US"/>
        </w:rPr>
        <w:t>Sadece 9.5.1 bendindeki şartnameleri sağlayan bir CH</w:t>
      </w:r>
      <w:r w:rsidRPr="00DE12A3">
        <w:rPr>
          <w:rFonts w:eastAsia="Times New Roman" w:cs="Times New Roman"/>
          <w:color w:val="auto"/>
          <w:spacing w:val="3"/>
          <w:vertAlign w:val="subscript"/>
          <w:lang w:eastAsia="en-US"/>
        </w:rPr>
        <w:t>4</w:t>
      </w:r>
      <w:r w:rsidRPr="00DE12A3">
        <w:rPr>
          <w:rFonts w:eastAsia="Times New Roman" w:cs="Times New Roman"/>
          <w:color w:val="auto"/>
          <w:spacing w:val="3"/>
          <w:lang w:eastAsia="en-US"/>
        </w:rPr>
        <w:t xml:space="preserve"> ayar gazı seçilmeli ve gazın CH</w:t>
      </w:r>
      <w:r w:rsidRPr="00DE12A3">
        <w:rPr>
          <w:rFonts w:eastAsia="Times New Roman" w:cs="Times New Roman"/>
          <w:color w:val="auto"/>
          <w:spacing w:val="3"/>
          <w:vertAlign w:val="subscript"/>
          <w:lang w:eastAsia="en-US"/>
        </w:rPr>
        <w:t>4</w:t>
      </w:r>
      <w:r w:rsidRPr="00DE12A3">
        <w:rPr>
          <w:rFonts w:eastAsia="Times New Roman" w:cs="Times New Roman"/>
          <w:color w:val="auto"/>
          <w:spacing w:val="3"/>
          <w:lang w:eastAsia="en-US"/>
        </w:rPr>
        <w:t xml:space="preserve"> konsantrasyonu kaydedilmelidir</w:t>
      </w:r>
      <w:r w:rsidR="004D3A4A" w:rsidRPr="00DE12A3">
        <w:rPr>
          <w:rFonts w:eastAsia="Times New Roman" w:cs="Times New Roman"/>
          <w:color w:val="auto"/>
          <w:spacing w:val="3"/>
          <w:lang w:eastAsia="en-US"/>
        </w:rPr>
        <w:t>.</w:t>
      </w:r>
    </w:p>
    <w:p w14:paraId="23FAE85C" w14:textId="05B41615" w:rsidR="002D7B36" w:rsidRPr="00DE12A3" w:rsidRDefault="00967438" w:rsidP="00E20716">
      <w:pPr>
        <w:numPr>
          <w:ilvl w:val="0"/>
          <w:numId w:val="260"/>
        </w:numPr>
        <w:tabs>
          <w:tab w:val="left" w:pos="1200"/>
        </w:tabs>
        <w:spacing w:before="120" w:after="120"/>
        <w:ind w:left="1701" w:hanging="567"/>
        <w:jc w:val="both"/>
        <w:rPr>
          <w:rFonts w:eastAsia="Times New Roman" w:cs="Times New Roman"/>
          <w:color w:val="auto"/>
          <w:spacing w:val="3"/>
          <w:lang w:eastAsia="en-US"/>
        </w:rPr>
      </w:pPr>
      <w:r w:rsidRPr="00DE12A3">
        <w:rPr>
          <w:rFonts w:eastAsia="Times New Roman" w:cs="Times New Roman"/>
          <w:color w:val="auto"/>
          <w:spacing w:val="3"/>
          <w:lang w:eastAsia="en-US"/>
        </w:rPr>
        <w:t xml:space="preserve">     </w:t>
      </w:r>
      <w:r w:rsidR="00242DA0" w:rsidRPr="00DE12A3">
        <w:rPr>
          <w:rFonts w:eastAsia="Times New Roman" w:cs="Times New Roman"/>
          <w:color w:val="auto"/>
          <w:spacing w:val="3"/>
          <w:lang w:eastAsia="en-US"/>
        </w:rPr>
        <w:t>FID analiz cihazı, imalatçının talimatları uyarınca çalıştırılmalıdır</w:t>
      </w:r>
      <w:r w:rsidR="004D3A4A" w:rsidRPr="00DE12A3">
        <w:rPr>
          <w:rFonts w:eastAsia="Times New Roman" w:cs="Times New Roman"/>
          <w:color w:val="auto"/>
          <w:spacing w:val="3"/>
          <w:lang w:eastAsia="en-US"/>
        </w:rPr>
        <w:t>.</w:t>
      </w:r>
    </w:p>
    <w:p w14:paraId="6BB0C69E" w14:textId="68BFCDF6" w:rsidR="002D7B36" w:rsidRPr="00DE12A3" w:rsidRDefault="00242DA0" w:rsidP="00E20716">
      <w:pPr>
        <w:numPr>
          <w:ilvl w:val="0"/>
          <w:numId w:val="260"/>
        </w:numPr>
        <w:tabs>
          <w:tab w:val="left" w:pos="1200"/>
        </w:tabs>
        <w:spacing w:before="120" w:after="120"/>
        <w:ind w:left="1701" w:hanging="567"/>
        <w:jc w:val="both"/>
        <w:rPr>
          <w:rFonts w:eastAsia="Times New Roman" w:cs="Times New Roman"/>
          <w:color w:val="auto"/>
          <w:spacing w:val="3"/>
          <w:lang w:eastAsia="en-US"/>
        </w:rPr>
      </w:pPr>
      <w:r w:rsidRPr="00DE12A3">
        <w:rPr>
          <w:rFonts w:eastAsia="Times New Roman" w:cs="Times New Roman"/>
          <w:color w:val="auto"/>
          <w:spacing w:val="3"/>
          <w:lang w:eastAsia="en-US"/>
        </w:rPr>
        <w:lastRenderedPageBreak/>
        <w:t>FID analiz cihazının C</w:t>
      </w:r>
      <w:r w:rsidRPr="00DE12A3">
        <w:rPr>
          <w:rFonts w:eastAsia="Times New Roman" w:cs="Times New Roman"/>
          <w:color w:val="auto"/>
          <w:spacing w:val="3"/>
          <w:vertAlign w:val="subscript"/>
          <w:lang w:eastAsia="en-US"/>
        </w:rPr>
        <w:t>3</w:t>
      </w:r>
      <w:r w:rsidRPr="00DE12A3">
        <w:rPr>
          <w:rFonts w:eastAsia="Times New Roman" w:cs="Times New Roman"/>
          <w:color w:val="auto"/>
          <w:spacing w:val="3"/>
          <w:lang w:eastAsia="en-US"/>
        </w:rPr>
        <w:t>H</w:t>
      </w:r>
      <w:r w:rsidRPr="00DE12A3">
        <w:rPr>
          <w:rFonts w:eastAsia="Times New Roman" w:cs="Times New Roman"/>
          <w:color w:val="auto"/>
          <w:spacing w:val="3"/>
          <w:vertAlign w:val="subscript"/>
          <w:lang w:eastAsia="en-US"/>
        </w:rPr>
        <w:t>8</w:t>
      </w:r>
      <w:r w:rsidRPr="00DE12A3">
        <w:rPr>
          <w:rFonts w:eastAsia="Times New Roman" w:cs="Times New Roman"/>
          <w:color w:val="auto"/>
          <w:spacing w:val="3"/>
          <w:lang w:eastAsia="en-US"/>
        </w:rPr>
        <w:t xml:space="preserve"> kullanılarak kalibre edildiği doğrulanmalıdır. Kalibrasyon bir karbon sayısı (C</w:t>
      </w:r>
      <w:r w:rsidRPr="00DE12A3">
        <w:rPr>
          <w:rFonts w:eastAsia="Times New Roman" w:cs="Times New Roman"/>
          <w:color w:val="auto"/>
          <w:spacing w:val="3"/>
          <w:vertAlign w:val="subscript"/>
          <w:lang w:eastAsia="en-US"/>
        </w:rPr>
        <w:t>1</w:t>
      </w:r>
      <w:r w:rsidRPr="00DE12A3">
        <w:rPr>
          <w:rFonts w:eastAsia="Times New Roman" w:cs="Times New Roman"/>
          <w:color w:val="auto"/>
          <w:spacing w:val="3"/>
          <w:lang w:eastAsia="en-US"/>
        </w:rPr>
        <w:t>) bazında gerçekleştirilir</w:t>
      </w:r>
      <w:r w:rsidR="004D3A4A" w:rsidRPr="00DE12A3">
        <w:rPr>
          <w:rFonts w:eastAsia="Times New Roman" w:cs="Times New Roman"/>
          <w:color w:val="auto"/>
          <w:spacing w:val="3"/>
          <w:lang w:eastAsia="en-US"/>
        </w:rPr>
        <w:t>.</w:t>
      </w:r>
    </w:p>
    <w:p w14:paraId="77C09A40" w14:textId="214D4843" w:rsidR="002D7B36" w:rsidRPr="00DE12A3" w:rsidRDefault="00967438" w:rsidP="00E20716">
      <w:pPr>
        <w:numPr>
          <w:ilvl w:val="0"/>
          <w:numId w:val="260"/>
        </w:numPr>
        <w:tabs>
          <w:tab w:val="left" w:pos="1200"/>
        </w:tabs>
        <w:spacing w:before="120" w:after="120"/>
        <w:ind w:left="1701" w:hanging="567"/>
        <w:jc w:val="both"/>
        <w:rPr>
          <w:rFonts w:eastAsia="Times New Roman" w:cs="Times New Roman"/>
          <w:color w:val="auto"/>
          <w:spacing w:val="3"/>
          <w:lang w:eastAsia="en-US"/>
        </w:rPr>
      </w:pPr>
      <w:r w:rsidRPr="00DE12A3">
        <w:rPr>
          <w:rFonts w:eastAsia="Times New Roman" w:cs="Times New Roman"/>
          <w:color w:val="auto"/>
          <w:spacing w:val="3"/>
          <w:lang w:eastAsia="en-US"/>
        </w:rPr>
        <w:t xml:space="preserve">     </w:t>
      </w:r>
      <w:r w:rsidR="00242DA0" w:rsidRPr="00DE12A3">
        <w:rPr>
          <w:rFonts w:eastAsia="Times New Roman" w:cs="Times New Roman"/>
          <w:color w:val="auto"/>
          <w:spacing w:val="3"/>
          <w:lang w:eastAsia="en-US"/>
        </w:rPr>
        <w:t>FID, emisyon testi için kullanılan bir sıfır gazla sıfırlanmalıdır</w:t>
      </w:r>
      <w:r w:rsidR="004D3A4A" w:rsidRPr="00DE12A3">
        <w:rPr>
          <w:rFonts w:eastAsia="Times New Roman" w:cs="Times New Roman"/>
          <w:color w:val="auto"/>
          <w:spacing w:val="3"/>
          <w:lang w:eastAsia="en-US"/>
        </w:rPr>
        <w:t>.</w:t>
      </w:r>
    </w:p>
    <w:p w14:paraId="32EA7705" w14:textId="2CD9E96A" w:rsidR="002D7B36" w:rsidRPr="00DE12A3" w:rsidRDefault="00967438" w:rsidP="00E20716">
      <w:pPr>
        <w:numPr>
          <w:ilvl w:val="0"/>
          <w:numId w:val="260"/>
        </w:numPr>
        <w:tabs>
          <w:tab w:val="left" w:pos="1200"/>
        </w:tabs>
        <w:spacing w:before="120" w:after="120"/>
        <w:ind w:left="1701" w:hanging="567"/>
        <w:jc w:val="both"/>
        <w:rPr>
          <w:rFonts w:eastAsia="Times New Roman" w:cs="Times New Roman"/>
          <w:color w:val="auto"/>
          <w:spacing w:val="3"/>
          <w:lang w:eastAsia="en-US"/>
        </w:rPr>
      </w:pPr>
      <w:r w:rsidRPr="00DE12A3">
        <w:rPr>
          <w:rFonts w:eastAsia="Times New Roman" w:cs="Times New Roman"/>
          <w:color w:val="auto"/>
          <w:spacing w:val="3"/>
          <w:lang w:eastAsia="en-US"/>
        </w:rPr>
        <w:t xml:space="preserve">     </w:t>
      </w:r>
      <w:r w:rsidR="00242DA0" w:rsidRPr="00DE12A3">
        <w:rPr>
          <w:rFonts w:eastAsia="Times New Roman" w:cs="Times New Roman"/>
          <w:color w:val="auto"/>
          <w:spacing w:val="3"/>
          <w:lang w:eastAsia="en-US"/>
        </w:rPr>
        <w:t>FID, seçilen C</w:t>
      </w:r>
      <w:r w:rsidR="00242DA0" w:rsidRPr="00DE12A3">
        <w:rPr>
          <w:rFonts w:eastAsia="Times New Roman" w:cs="Times New Roman"/>
          <w:color w:val="auto"/>
          <w:spacing w:val="3"/>
          <w:vertAlign w:val="subscript"/>
          <w:lang w:eastAsia="en-US"/>
        </w:rPr>
        <w:t>3</w:t>
      </w:r>
      <w:r w:rsidR="00242DA0" w:rsidRPr="00DE12A3">
        <w:rPr>
          <w:rFonts w:eastAsia="Times New Roman" w:cs="Times New Roman"/>
          <w:color w:val="auto"/>
          <w:spacing w:val="3"/>
          <w:lang w:eastAsia="en-US"/>
        </w:rPr>
        <w:t>H</w:t>
      </w:r>
      <w:r w:rsidR="00242DA0" w:rsidRPr="00DE12A3">
        <w:rPr>
          <w:rFonts w:eastAsia="Times New Roman" w:cs="Times New Roman"/>
          <w:color w:val="auto"/>
          <w:spacing w:val="3"/>
          <w:vertAlign w:val="subscript"/>
          <w:lang w:eastAsia="en-US"/>
        </w:rPr>
        <w:t>8</w:t>
      </w:r>
      <w:r w:rsidR="00242DA0" w:rsidRPr="00DE12A3">
        <w:rPr>
          <w:rFonts w:eastAsia="Times New Roman" w:cs="Times New Roman"/>
          <w:color w:val="auto"/>
          <w:spacing w:val="3"/>
          <w:lang w:eastAsia="en-US"/>
        </w:rPr>
        <w:t xml:space="preserve"> ayar gazıyla ayarlanmalıdır</w:t>
      </w:r>
      <w:r w:rsidR="004D3A4A" w:rsidRPr="00DE12A3">
        <w:rPr>
          <w:rFonts w:eastAsia="Times New Roman" w:cs="Times New Roman"/>
          <w:color w:val="auto"/>
          <w:spacing w:val="3"/>
          <w:lang w:eastAsia="en-US"/>
        </w:rPr>
        <w:t>.</w:t>
      </w:r>
    </w:p>
    <w:p w14:paraId="67E4D8B3" w14:textId="24B825BA" w:rsidR="002D7B36" w:rsidRPr="00DE12A3" w:rsidRDefault="00242DA0" w:rsidP="00E20716">
      <w:pPr>
        <w:numPr>
          <w:ilvl w:val="0"/>
          <w:numId w:val="260"/>
        </w:numPr>
        <w:tabs>
          <w:tab w:val="left" w:pos="1200"/>
        </w:tabs>
        <w:spacing w:before="120" w:after="120"/>
        <w:ind w:left="1701" w:hanging="567"/>
        <w:jc w:val="both"/>
        <w:rPr>
          <w:rFonts w:eastAsia="Times New Roman" w:cs="Times New Roman"/>
          <w:color w:val="auto"/>
          <w:spacing w:val="3"/>
          <w:lang w:eastAsia="en-US"/>
        </w:rPr>
      </w:pPr>
      <w:r w:rsidRPr="00DE12A3">
        <w:rPr>
          <w:rFonts w:eastAsia="Times New Roman" w:cs="Times New Roman"/>
          <w:color w:val="auto"/>
          <w:spacing w:val="3"/>
          <w:lang w:eastAsia="en-US"/>
        </w:rPr>
        <w:t xml:space="preserve">(b) </w:t>
      </w:r>
      <w:r w:rsidR="004D3A4A" w:rsidRPr="00DE12A3">
        <w:rPr>
          <w:rFonts w:eastAsia="Times New Roman" w:cs="Times New Roman"/>
          <w:color w:val="auto"/>
          <w:spacing w:val="3"/>
          <w:lang w:eastAsia="en-US"/>
        </w:rPr>
        <w:t xml:space="preserve">numaralı alt bent </w:t>
      </w:r>
      <w:r w:rsidRPr="00DE12A3">
        <w:rPr>
          <w:rFonts w:eastAsia="Times New Roman" w:cs="Times New Roman"/>
          <w:color w:val="auto"/>
          <w:spacing w:val="3"/>
          <w:lang w:eastAsia="en-US"/>
        </w:rPr>
        <w:t>uyarınca seçilen CH</w:t>
      </w:r>
      <w:r w:rsidRPr="00DE12A3">
        <w:rPr>
          <w:rFonts w:eastAsia="Times New Roman" w:cs="Times New Roman"/>
          <w:color w:val="auto"/>
          <w:spacing w:val="3"/>
          <w:vertAlign w:val="subscript"/>
          <w:lang w:eastAsia="en-US"/>
        </w:rPr>
        <w:t>4</w:t>
      </w:r>
      <w:r w:rsidRPr="00DE12A3">
        <w:rPr>
          <w:rFonts w:eastAsia="Times New Roman" w:cs="Times New Roman"/>
          <w:color w:val="auto"/>
          <w:spacing w:val="3"/>
          <w:lang w:eastAsia="en-US"/>
        </w:rPr>
        <w:t xml:space="preserve"> ayar gazı, FID analiz cihazının numune girişine beslenir</w:t>
      </w:r>
      <w:r w:rsidR="004D3A4A" w:rsidRPr="00DE12A3">
        <w:rPr>
          <w:rFonts w:eastAsia="Times New Roman" w:cs="Times New Roman"/>
          <w:color w:val="auto"/>
          <w:spacing w:val="3"/>
          <w:lang w:eastAsia="en-US"/>
        </w:rPr>
        <w:t>.</w:t>
      </w:r>
    </w:p>
    <w:p w14:paraId="515A3BB8" w14:textId="478C0A6A" w:rsidR="002D7B36" w:rsidRPr="00DE12A3" w:rsidRDefault="00242DA0" w:rsidP="00E20716">
      <w:pPr>
        <w:numPr>
          <w:ilvl w:val="0"/>
          <w:numId w:val="260"/>
        </w:numPr>
        <w:tabs>
          <w:tab w:val="left" w:pos="1200"/>
        </w:tabs>
        <w:spacing w:before="120" w:after="120"/>
        <w:ind w:left="1701" w:hanging="567"/>
        <w:jc w:val="both"/>
        <w:rPr>
          <w:rFonts w:eastAsia="Times New Roman" w:cs="Times New Roman"/>
          <w:color w:val="auto"/>
          <w:spacing w:val="3"/>
          <w:lang w:eastAsia="en-US"/>
        </w:rPr>
      </w:pPr>
      <w:r w:rsidRPr="00DE12A3">
        <w:rPr>
          <w:rFonts w:eastAsia="Times New Roman" w:cs="Times New Roman"/>
          <w:color w:val="auto"/>
          <w:spacing w:val="3"/>
          <w:lang w:eastAsia="en-US"/>
        </w:rPr>
        <w:t>Analiz cihazı tepkisi dengelenmelidir. Dengeleme süresi, analiz cihazını temizleme ve tepkisini hesaba katma süresini içerebilir</w:t>
      </w:r>
      <w:r w:rsidR="004D3A4A" w:rsidRPr="00DE12A3">
        <w:rPr>
          <w:rFonts w:eastAsia="Times New Roman" w:cs="Times New Roman"/>
          <w:color w:val="auto"/>
          <w:spacing w:val="3"/>
          <w:lang w:eastAsia="en-US"/>
        </w:rPr>
        <w:t>.</w:t>
      </w:r>
    </w:p>
    <w:p w14:paraId="0DB1E2E1" w14:textId="62786709" w:rsidR="002D7B36" w:rsidRPr="00DE12A3" w:rsidRDefault="00967438" w:rsidP="00E20716">
      <w:pPr>
        <w:numPr>
          <w:ilvl w:val="0"/>
          <w:numId w:val="260"/>
        </w:numPr>
        <w:tabs>
          <w:tab w:val="left" w:pos="1200"/>
        </w:tabs>
        <w:spacing w:before="120" w:after="120"/>
        <w:ind w:left="1701" w:hanging="567"/>
        <w:jc w:val="both"/>
        <w:rPr>
          <w:rFonts w:eastAsia="Times New Roman" w:cs="Times New Roman"/>
          <w:color w:val="auto"/>
          <w:spacing w:val="3"/>
          <w:lang w:eastAsia="en-US"/>
        </w:rPr>
      </w:pPr>
      <w:r w:rsidRPr="00DE12A3">
        <w:rPr>
          <w:rFonts w:eastAsia="Times New Roman" w:cs="Times New Roman"/>
          <w:color w:val="auto"/>
          <w:spacing w:val="3"/>
          <w:lang w:eastAsia="en-US"/>
        </w:rPr>
        <w:t xml:space="preserve">    </w:t>
      </w:r>
      <w:r w:rsidR="00242DA0" w:rsidRPr="00DE12A3">
        <w:rPr>
          <w:rFonts w:eastAsia="Times New Roman" w:cs="Times New Roman"/>
          <w:color w:val="auto"/>
          <w:spacing w:val="3"/>
          <w:lang w:eastAsia="en-US"/>
        </w:rPr>
        <w:t>Analiz cihazı CH</w:t>
      </w:r>
      <w:r w:rsidR="00242DA0" w:rsidRPr="00DE12A3">
        <w:rPr>
          <w:rFonts w:eastAsia="Times New Roman" w:cs="Times New Roman"/>
          <w:color w:val="auto"/>
          <w:spacing w:val="3"/>
          <w:vertAlign w:val="subscript"/>
          <w:lang w:eastAsia="en-US"/>
        </w:rPr>
        <w:t>4</w:t>
      </w:r>
      <w:r w:rsidR="00242DA0" w:rsidRPr="00DE12A3">
        <w:rPr>
          <w:rFonts w:eastAsia="Times New Roman" w:cs="Times New Roman"/>
          <w:color w:val="auto"/>
          <w:spacing w:val="3"/>
          <w:lang w:eastAsia="en-US"/>
        </w:rPr>
        <w:t xml:space="preserve"> konsantrasyonunu ölçerken, 30 sn örneklenmiş veriler kaydedilmeli ve bu değerlerin aritmetik ortalaması hesaplanmalıdır</w:t>
      </w:r>
      <w:r w:rsidR="004D3A4A" w:rsidRPr="00DE12A3">
        <w:rPr>
          <w:rFonts w:eastAsia="Times New Roman" w:cs="Times New Roman"/>
          <w:color w:val="auto"/>
          <w:spacing w:val="3"/>
          <w:lang w:eastAsia="en-US"/>
        </w:rPr>
        <w:t>.</w:t>
      </w:r>
    </w:p>
    <w:p w14:paraId="7C598DD4" w14:textId="77777777" w:rsidR="002D7B36" w:rsidRPr="00DE12A3" w:rsidRDefault="00967438" w:rsidP="00E20716">
      <w:pPr>
        <w:numPr>
          <w:ilvl w:val="0"/>
          <w:numId w:val="260"/>
        </w:numPr>
        <w:tabs>
          <w:tab w:val="left" w:pos="1200"/>
        </w:tabs>
        <w:spacing w:before="120" w:after="120"/>
        <w:ind w:left="1701" w:hanging="567"/>
        <w:jc w:val="both"/>
        <w:rPr>
          <w:rFonts w:eastAsia="Times New Roman" w:cs="Times New Roman"/>
          <w:color w:val="auto"/>
          <w:spacing w:val="3"/>
          <w:lang w:eastAsia="en-US"/>
        </w:rPr>
      </w:pPr>
      <w:r w:rsidRPr="00DE12A3">
        <w:rPr>
          <w:rFonts w:eastAsia="Times New Roman" w:cs="Times New Roman"/>
          <w:color w:val="auto"/>
          <w:spacing w:val="3"/>
          <w:lang w:eastAsia="en-US"/>
        </w:rPr>
        <w:t xml:space="preserve">     </w:t>
      </w:r>
      <w:r w:rsidR="00242DA0" w:rsidRPr="00DE12A3">
        <w:rPr>
          <w:rFonts w:eastAsia="Times New Roman" w:cs="Times New Roman"/>
          <w:color w:val="auto"/>
          <w:spacing w:val="3"/>
          <w:lang w:eastAsia="en-US"/>
        </w:rPr>
        <w:t>Ortalama ölçülen konsantrasyon, CH</w:t>
      </w:r>
      <w:r w:rsidR="00242DA0" w:rsidRPr="00DE12A3">
        <w:rPr>
          <w:rFonts w:eastAsia="Times New Roman" w:cs="Times New Roman"/>
          <w:color w:val="auto"/>
          <w:spacing w:val="3"/>
          <w:vertAlign w:val="subscript"/>
          <w:lang w:eastAsia="en-US"/>
        </w:rPr>
        <w:t>4</w:t>
      </w:r>
      <w:r w:rsidR="00242DA0" w:rsidRPr="00DE12A3">
        <w:rPr>
          <w:rFonts w:eastAsia="Times New Roman" w:cs="Times New Roman"/>
          <w:color w:val="auto"/>
          <w:spacing w:val="3"/>
          <w:lang w:eastAsia="en-US"/>
        </w:rPr>
        <w:t xml:space="preserve"> kalibrasyon gazının kaydedilen ayar konsantrasyonuna bölünmelidir. Sonuç, FID analiz cihazının CH</w:t>
      </w:r>
      <w:r w:rsidR="00242DA0" w:rsidRPr="00DE12A3">
        <w:rPr>
          <w:rFonts w:eastAsia="Times New Roman" w:cs="Times New Roman"/>
          <w:color w:val="auto"/>
          <w:spacing w:val="3"/>
          <w:vertAlign w:val="subscript"/>
          <w:lang w:eastAsia="en-US"/>
        </w:rPr>
        <w:t>4</w:t>
      </w:r>
      <w:r w:rsidR="00242DA0" w:rsidRPr="00DE12A3">
        <w:rPr>
          <w:rFonts w:eastAsia="Times New Roman" w:cs="Times New Roman"/>
          <w:color w:val="auto"/>
          <w:spacing w:val="3"/>
          <w:lang w:eastAsia="en-US"/>
        </w:rPr>
        <w:t xml:space="preserve"> için tepki faktörü </w:t>
      </w:r>
      <w:r w:rsidR="00242DA0" w:rsidRPr="00DE12A3">
        <w:rPr>
          <w:rFonts w:eastAsia="Times New Roman" w:cs="Times New Roman"/>
          <w:i/>
          <w:iCs/>
          <w:color w:val="auto"/>
          <w:spacing w:val="3"/>
          <w:lang w:eastAsia="en-US"/>
        </w:rPr>
        <w:t>RF</w:t>
      </w:r>
      <w:r w:rsidR="00242DA0" w:rsidRPr="00DE12A3">
        <w:rPr>
          <w:rFonts w:eastAsia="Times New Roman" w:cs="Times New Roman"/>
          <w:color w:val="auto"/>
          <w:spacing w:val="3"/>
          <w:vertAlign w:val="subscript"/>
          <w:lang w:eastAsia="en-US"/>
        </w:rPr>
        <w:t>CH4[THC-FID]</w:t>
      </w:r>
      <w:r w:rsidR="00242DA0" w:rsidRPr="00DE12A3">
        <w:rPr>
          <w:rFonts w:eastAsia="Times New Roman" w:cs="Times New Roman"/>
          <w:color w:val="auto"/>
          <w:spacing w:val="3"/>
          <w:lang w:eastAsia="en-US"/>
        </w:rPr>
        <w:t>'dir.</w:t>
      </w:r>
    </w:p>
    <w:p w14:paraId="12A2F1C8" w14:textId="77777777" w:rsidR="002D7B36" w:rsidRPr="00DE12A3" w:rsidRDefault="00242DA0" w:rsidP="00E20716">
      <w:pPr>
        <w:numPr>
          <w:ilvl w:val="0"/>
          <w:numId w:val="256"/>
        </w:numPr>
        <w:spacing w:before="120" w:after="120"/>
        <w:ind w:left="1134" w:hanging="1134"/>
        <w:jc w:val="both"/>
        <w:rPr>
          <w:rFonts w:eastAsia="Times New Roman" w:cs="Times New Roman"/>
          <w:color w:val="auto"/>
          <w:spacing w:val="3"/>
          <w:lang w:eastAsia="en-US"/>
        </w:rPr>
      </w:pPr>
      <w:r w:rsidRPr="00DE12A3">
        <w:rPr>
          <w:rFonts w:eastAsia="Times New Roman" w:cs="Times New Roman"/>
          <w:color w:val="auto"/>
          <w:spacing w:val="3"/>
          <w:lang w:eastAsia="en-US"/>
        </w:rPr>
        <w:t>HC FID metan (CH</w:t>
      </w:r>
      <w:r w:rsidRPr="00DE12A3">
        <w:rPr>
          <w:rFonts w:eastAsia="Times New Roman" w:cs="Times New Roman"/>
          <w:color w:val="auto"/>
          <w:spacing w:val="3"/>
          <w:vertAlign w:val="subscript"/>
          <w:lang w:eastAsia="en-US"/>
        </w:rPr>
        <w:t>4</w:t>
      </w:r>
      <w:r w:rsidRPr="00DE12A3">
        <w:rPr>
          <w:rFonts w:eastAsia="Times New Roman" w:cs="Times New Roman"/>
          <w:color w:val="auto"/>
          <w:spacing w:val="3"/>
          <w:lang w:eastAsia="en-US"/>
        </w:rPr>
        <w:t>) tepkisi doğrulaması</w:t>
      </w:r>
    </w:p>
    <w:p w14:paraId="10225190" w14:textId="77777777" w:rsidR="002D7B36" w:rsidRPr="00DE12A3" w:rsidRDefault="00967438" w:rsidP="00C917D6">
      <w:pPr>
        <w:spacing w:before="120" w:after="120"/>
        <w:ind w:left="1134" w:hanging="1134"/>
        <w:jc w:val="both"/>
        <w:rPr>
          <w:rFonts w:eastAsia="Times New Roman" w:cs="Times New Roman"/>
          <w:color w:val="auto"/>
          <w:spacing w:val="3"/>
          <w:lang w:eastAsia="en-US"/>
        </w:rPr>
      </w:pPr>
      <w:r w:rsidRPr="00DE12A3">
        <w:rPr>
          <w:rFonts w:eastAsia="Times New Roman" w:cs="Times New Roman"/>
          <w:color w:val="auto"/>
          <w:spacing w:val="3"/>
          <w:lang w:eastAsia="en-US"/>
        </w:rPr>
        <w:t xml:space="preserve">                  </w:t>
      </w:r>
      <w:r w:rsidR="00242DA0" w:rsidRPr="00DE12A3">
        <w:rPr>
          <w:rFonts w:eastAsia="Times New Roman" w:cs="Times New Roman"/>
          <w:color w:val="auto"/>
          <w:spacing w:val="3"/>
          <w:lang w:eastAsia="en-US"/>
        </w:rPr>
        <w:t>8.1.10.1.4 bendi uyarınca elde edilen RF</w:t>
      </w:r>
      <w:r w:rsidR="00242DA0" w:rsidRPr="00DE12A3">
        <w:rPr>
          <w:rFonts w:eastAsia="Times New Roman" w:cs="Times New Roman"/>
          <w:color w:val="auto"/>
          <w:spacing w:val="3"/>
          <w:vertAlign w:val="subscript"/>
          <w:lang w:eastAsia="en-US"/>
        </w:rPr>
        <w:t>CH4 [THC-FID]</w:t>
      </w:r>
      <w:r w:rsidR="00242DA0" w:rsidRPr="00DE12A3">
        <w:rPr>
          <w:rFonts w:eastAsia="Times New Roman" w:cs="Times New Roman"/>
          <w:color w:val="auto"/>
          <w:spacing w:val="3"/>
          <w:lang w:eastAsia="en-US"/>
        </w:rPr>
        <w:t xml:space="preserve"> değeri, önceden belirlenmiş en son değeri ± </w:t>
      </w:r>
      <w:r w:rsidR="0055404E" w:rsidRPr="00DE12A3">
        <w:rPr>
          <w:rFonts w:eastAsia="Times New Roman" w:cs="Times New Roman"/>
          <w:color w:val="auto"/>
          <w:spacing w:val="3"/>
          <w:lang w:eastAsia="en-US"/>
        </w:rPr>
        <w:t>%5,0</w:t>
      </w:r>
      <w:r w:rsidR="00242DA0" w:rsidRPr="00DE12A3">
        <w:rPr>
          <w:rFonts w:eastAsia="Times New Roman" w:cs="Times New Roman"/>
          <w:color w:val="auto"/>
          <w:spacing w:val="3"/>
          <w:lang w:eastAsia="en-US"/>
        </w:rPr>
        <w:t xml:space="preserve"> aralığı içindeyse, HC FID metan tepkisi doğrulamasında başarılı olur.</w:t>
      </w:r>
    </w:p>
    <w:p w14:paraId="0F9FB4DE" w14:textId="1D4D5112" w:rsidR="002D7B36" w:rsidRPr="00DE12A3" w:rsidRDefault="00967438" w:rsidP="00E20716">
      <w:pPr>
        <w:numPr>
          <w:ilvl w:val="0"/>
          <w:numId w:val="261"/>
        </w:numPr>
        <w:spacing w:before="120" w:after="120"/>
        <w:ind w:left="1701" w:hanging="567"/>
        <w:jc w:val="both"/>
        <w:rPr>
          <w:rFonts w:eastAsia="Times New Roman" w:cs="Times New Roman"/>
          <w:color w:val="auto"/>
          <w:spacing w:val="3"/>
          <w:lang w:eastAsia="en-US"/>
        </w:rPr>
      </w:pPr>
      <w:r w:rsidRPr="00DE12A3">
        <w:rPr>
          <w:rFonts w:eastAsia="Times New Roman" w:cs="Times New Roman"/>
          <w:color w:val="auto"/>
          <w:spacing w:val="3"/>
          <w:lang w:eastAsia="en-US"/>
        </w:rPr>
        <w:t xml:space="preserve">     </w:t>
      </w:r>
      <w:r w:rsidR="00242DA0" w:rsidRPr="00DE12A3">
        <w:rPr>
          <w:rFonts w:eastAsia="Times New Roman" w:cs="Times New Roman"/>
          <w:color w:val="auto"/>
          <w:spacing w:val="3"/>
          <w:lang w:eastAsia="en-US"/>
        </w:rPr>
        <w:t xml:space="preserve">İlk önce FID yakıtı, brülör havası ve numuneye ait basınçların ve/veya akış hızlarının, 8.1.10.1.3 bendinde açıklandığı gibi, her birinin en son kaydedilen değerleri ± </w:t>
      </w:r>
      <w:r w:rsidR="0055404E" w:rsidRPr="00DE12A3">
        <w:rPr>
          <w:rFonts w:eastAsia="Times New Roman" w:cs="Times New Roman"/>
          <w:color w:val="auto"/>
          <w:spacing w:val="3"/>
          <w:lang w:eastAsia="en-US"/>
        </w:rPr>
        <w:t>%0,5</w:t>
      </w:r>
      <w:r w:rsidR="00242DA0" w:rsidRPr="00DE12A3">
        <w:rPr>
          <w:rFonts w:eastAsia="Times New Roman" w:cs="Times New Roman"/>
          <w:color w:val="auto"/>
          <w:spacing w:val="3"/>
          <w:lang w:eastAsia="en-US"/>
        </w:rPr>
        <w:t xml:space="preserve"> aralığı içinde olduğu doğrulanmalıdır. Bu akış hızlarının ayarlanması gerekiyorsa, 8.1.10.1.4 bendinde açıklandığı gibi yeni bir </w:t>
      </w:r>
      <w:r w:rsidR="00242DA0" w:rsidRPr="00DE12A3">
        <w:rPr>
          <w:rFonts w:cs="Times New Roman"/>
          <w:i/>
          <w:iCs/>
          <w:color w:val="auto"/>
          <w:spacing w:val="3"/>
          <w:lang w:eastAsia="en-US"/>
        </w:rPr>
        <w:t>RF</w:t>
      </w:r>
      <w:r w:rsidR="00242DA0" w:rsidRPr="00DE12A3">
        <w:rPr>
          <w:rFonts w:cs="Times New Roman"/>
          <w:color w:val="auto"/>
          <w:spacing w:val="3"/>
          <w:vertAlign w:val="subscript"/>
          <w:lang w:eastAsia="en-US"/>
        </w:rPr>
        <w:t>CH4</w:t>
      </w:r>
      <w:r w:rsidR="00242DA0" w:rsidRPr="00DE12A3">
        <w:rPr>
          <w:rFonts w:cs="Times New Roman"/>
          <w:color w:val="auto"/>
          <w:spacing w:val="3"/>
          <w:lang w:eastAsia="en-US"/>
        </w:rPr>
        <w:t>[</w:t>
      </w:r>
      <w:r w:rsidR="00242DA0" w:rsidRPr="00DE12A3">
        <w:rPr>
          <w:rFonts w:cs="Times New Roman"/>
          <w:color w:val="auto"/>
          <w:spacing w:val="3"/>
          <w:vertAlign w:val="subscript"/>
          <w:lang w:eastAsia="en-US"/>
        </w:rPr>
        <w:t>THC-FID</w:t>
      </w:r>
      <w:r w:rsidR="00242DA0" w:rsidRPr="00DE12A3">
        <w:rPr>
          <w:rFonts w:cs="Times New Roman"/>
          <w:color w:val="auto"/>
          <w:spacing w:val="3"/>
          <w:lang w:eastAsia="en-US"/>
        </w:rPr>
        <w:t xml:space="preserve">] </w:t>
      </w:r>
      <w:r w:rsidR="00242DA0" w:rsidRPr="00DE12A3">
        <w:rPr>
          <w:rFonts w:eastAsia="Times New Roman" w:cs="Times New Roman"/>
          <w:color w:val="auto"/>
          <w:spacing w:val="3"/>
          <w:lang w:eastAsia="en-US"/>
        </w:rPr>
        <w:t xml:space="preserve">belirlenmelidir. Belirlenen </w:t>
      </w:r>
      <w:r w:rsidR="00242DA0" w:rsidRPr="00DE12A3">
        <w:rPr>
          <w:rFonts w:cs="Times New Roman"/>
          <w:i/>
          <w:iCs/>
          <w:color w:val="auto"/>
          <w:spacing w:val="3"/>
          <w:lang w:eastAsia="en-US"/>
        </w:rPr>
        <w:t>RF</w:t>
      </w:r>
      <w:r w:rsidR="00242DA0" w:rsidRPr="00DE12A3">
        <w:rPr>
          <w:rFonts w:cs="Times New Roman"/>
          <w:color w:val="auto"/>
          <w:spacing w:val="3"/>
          <w:vertAlign w:val="subscript"/>
          <w:lang w:eastAsia="en-US"/>
        </w:rPr>
        <w:t>CH4</w:t>
      </w:r>
      <w:r w:rsidR="00242DA0" w:rsidRPr="00DE12A3">
        <w:rPr>
          <w:rFonts w:cs="Times New Roman"/>
          <w:color w:val="auto"/>
          <w:spacing w:val="3"/>
          <w:lang w:eastAsia="en-US"/>
        </w:rPr>
        <w:t>[</w:t>
      </w:r>
      <w:r w:rsidR="00242DA0" w:rsidRPr="00DE12A3">
        <w:rPr>
          <w:rFonts w:cs="Times New Roman"/>
          <w:color w:val="auto"/>
          <w:spacing w:val="3"/>
          <w:vertAlign w:val="subscript"/>
          <w:lang w:eastAsia="en-US"/>
        </w:rPr>
        <w:t>THC-FID</w:t>
      </w:r>
      <w:r w:rsidR="00242DA0" w:rsidRPr="00DE12A3">
        <w:rPr>
          <w:rFonts w:cs="Times New Roman"/>
          <w:color w:val="auto"/>
          <w:spacing w:val="3"/>
          <w:lang w:eastAsia="en-US"/>
        </w:rPr>
        <w:t xml:space="preserve">] </w:t>
      </w:r>
      <w:r w:rsidR="00242DA0" w:rsidRPr="00DE12A3">
        <w:rPr>
          <w:rFonts w:eastAsia="Times New Roman" w:cs="Times New Roman"/>
          <w:color w:val="auto"/>
          <w:spacing w:val="3"/>
          <w:lang w:eastAsia="en-US"/>
        </w:rPr>
        <w:t>değerinin, 8.1.10.1.5 bendinde belirtilen tolerans dahilinde olduğu doğrulanmalıdır</w:t>
      </w:r>
      <w:r w:rsidR="001C4143" w:rsidRPr="00DE12A3">
        <w:rPr>
          <w:rFonts w:eastAsia="Times New Roman" w:cs="Times New Roman"/>
          <w:color w:val="auto"/>
          <w:spacing w:val="3"/>
          <w:lang w:eastAsia="en-US"/>
        </w:rPr>
        <w:t>.</w:t>
      </w:r>
    </w:p>
    <w:p w14:paraId="7CEA5AEC" w14:textId="3A2BF2DC" w:rsidR="002D7B36" w:rsidRPr="00DE12A3" w:rsidRDefault="00967438" w:rsidP="00E20716">
      <w:pPr>
        <w:numPr>
          <w:ilvl w:val="0"/>
          <w:numId w:val="261"/>
        </w:numPr>
        <w:shd w:val="clear" w:color="auto" w:fill="FFFFFF" w:themeFill="background1"/>
        <w:spacing w:before="120" w:after="120"/>
        <w:ind w:left="1701" w:hanging="567"/>
        <w:jc w:val="both"/>
        <w:rPr>
          <w:rFonts w:eastAsia="Times New Roman" w:cs="Times New Roman"/>
          <w:color w:val="auto"/>
          <w:spacing w:val="3"/>
          <w:lang w:eastAsia="en-US"/>
        </w:rPr>
      </w:pPr>
      <w:r w:rsidRPr="00DE12A3">
        <w:rPr>
          <w:rFonts w:eastAsia="Times New Roman" w:cs="Times New Roman"/>
          <w:i/>
          <w:iCs/>
          <w:color w:val="auto"/>
          <w:spacing w:val="3"/>
          <w:lang w:eastAsia="en-US"/>
        </w:rPr>
        <w:t xml:space="preserve">     </w:t>
      </w:r>
      <w:r w:rsidR="00242DA0" w:rsidRPr="00DE12A3">
        <w:rPr>
          <w:rFonts w:eastAsia="Times New Roman" w:cs="Times New Roman"/>
          <w:i/>
          <w:iCs/>
          <w:color w:val="auto"/>
          <w:spacing w:val="3"/>
          <w:lang w:eastAsia="en-US"/>
        </w:rPr>
        <w:t>RF</w:t>
      </w:r>
      <w:r w:rsidR="00242DA0" w:rsidRPr="00DE12A3">
        <w:rPr>
          <w:rFonts w:eastAsia="Times New Roman" w:cs="Times New Roman"/>
          <w:color w:val="auto"/>
          <w:spacing w:val="3"/>
          <w:vertAlign w:val="subscript"/>
          <w:lang w:eastAsia="en-US"/>
        </w:rPr>
        <w:t>CH4</w:t>
      </w:r>
      <w:r w:rsidR="00242DA0" w:rsidRPr="00DE12A3">
        <w:rPr>
          <w:rFonts w:eastAsia="Times New Roman" w:cs="Times New Roman"/>
          <w:color w:val="auto"/>
          <w:spacing w:val="3"/>
          <w:lang w:eastAsia="en-US"/>
        </w:rPr>
        <w:t>[</w:t>
      </w:r>
      <w:r w:rsidR="00242DA0" w:rsidRPr="00DE12A3">
        <w:rPr>
          <w:rFonts w:eastAsia="Times New Roman" w:cs="Times New Roman"/>
          <w:color w:val="auto"/>
          <w:spacing w:val="3"/>
          <w:vertAlign w:val="subscript"/>
          <w:lang w:eastAsia="en-US"/>
        </w:rPr>
        <w:t>THC-FID</w:t>
      </w:r>
      <w:r w:rsidR="00242DA0" w:rsidRPr="00DE12A3">
        <w:rPr>
          <w:rFonts w:eastAsia="Times New Roman" w:cs="Times New Roman"/>
          <w:color w:val="auto"/>
          <w:spacing w:val="3"/>
          <w:lang w:eastAsia="en-US"/>
        </w:rPr>
        <w:t>] bu 8.1.10.1.5 bendinde belirtilen tolerans dahilinde değilse, FID tepkisi 8.1.10.1.3 bendinde açıklandığı şekilde yeniden optimize edilmelidir</w:t>
      </w:r>
      <w:r w:rsidR="001C4143" w:rsidRPr="00DE12A3">
        <w:rPr>
          <w:rFonts w:eastAsia="Times New Roman" w:cs="Times New Roman"/>
          <w:color w:val="auto"/>
          <w:spacing w:val="3"/>
          <w:lang w:eastAsia="en-US"/>
        </w:rPr>
        <w:t>.</w:t>
      </w:r>
    </w:p>
    <w:p w14:paraId="45AF0B5E" w14:textId="6BE5EC45" w:rsidR="002D7B36" w:rsidRPr="00DE12A3" w:rsidRDefault="00967438" w:rsidP="00E20716">
      <w:pPr>
        <w:numPr>
          <w:ilvl w:val="0"/>
          <w:numId w:val="261"/>
        </w:numPr>
        <w:shd w:val="clear" w:color="auto" w:fill="FFFFFF" w:themeFill="background1"/>
        <w:spacing w:before="120" w:after="120"/>
        <w:ind w:left="1701" w:hanging="567"/>
        <w:jc w:val="both"/>
        <w:rPr>
          <w:rFonts w:eastAsia="Times New Roman" w:cs="Times New Roman"/>
          <w:color w:val="auto"/>
          <w:spacing w:val="3"/>
          <w:lang w:eastAsia="en-US"/>
        </w:rPr>
      </w:pPr>
      <w:r w:rsidRPr="00DE12A3">
        <w:rPr>
          <w:rFonts w:eastAsia="Times New Roman" w:cs="Times New Roman"/>
          <w:color w:val="auto"/>
          <w:spacing w:val="3"/>
          <w:lang w:eastAsia="en-US"/>
        </w:rPr>
        <w:t xml:space="preserve">      </w:t>
      </w:r>
      <w:r w:rsidR="00242DA0" w:rsidRPr="00DE12A3">
        <w:rPr>
          <w:rFonts w:eastAsia="Times New Roman" w:cs="Times New Roman"/>
          <w:color w:val="auto"/>
          <w:spacing w:val="3"/>
          <w:lang w:eastAsia="en-US"/>
        </w:rPr>
        <w:t xml:space="preserve">8.1.10.1.4 bendinde açıklandığı gibi yeni bir </w:t>
      </w:r>
      <w:r w:rsidR="00242DA0" w:rsidRPr="00DE12A3">
        <w:rPr>
          <w:rFonts w:eastAsia="Times New Roman" w:cs="Times New Roman"/>
          <w:i/>
          <w:iCs/>
          <w:color w:val="auto"/>
          <w:spacing w:val="3"/>
          <w:lang w:eastAsia="en-US"/>
        </w:rPr>
        <w:t>RF</w:t>
      </w:r>
      <w:r w:rsidR="00242DA0" w:rsidRPr="00DE12A3">
        <w:rPr>
          <w:rFonts w:eastAsia="Times New Roman" w:cs="Times New Roman"/>
          <w:color w:val="auto"/>
          <w:spacing w:val="3"/>
          <w:vertAlign w:val="subscript"/>
          <w:lang w:eastAsia="en-US"/>
        </w:rPr>
        <w:t>CH4[THC-FID]</w:t>
      </w:r>
      <w:r w:rsidR="00242DA0" w:rsidRPr="00DE12A3">
        <w:rPr>
          <w:rFonts w:eastAsia="Times New Roman" w:cs="Times New Roman"/>
          <w:color w:val="auto"/>
          <w:spacing w:val="3"/>
          <w:lang w:eastAsia="en-US"/>
        </w:rPr>
        <w:t xml:space="preserve"> belirlenmelidir. Bu yeni </w:t>
      </w:r>
      <w:r w:rsidR="00242DA0" w:rsidRPr="00DE12A3">
        <w:rPr>
          <w:rFonts w:eastAsia="Times New Roman" w:cs="Times New Roman"/>
          <w:i/>
          <w:iCs/>
          <w:color w:val="auto"/>
          <w:spacing w:val="3"/>
          <w:lang w:eastAsia="en-US"/>
        </w:rPr>
        <w:t>RF</w:t>
      </w:r>
      <w:r w:rsidR="00242DA0" w:rsidRPr="00DE12A3">
        <w:rPr>
          <w:rFonts w:eastAsia="Times New Roman" w:cs="Times New Roman"/>
          <w:color w:val="auto"/>
          <w:spacing w:val="3"/>
          <w:vertAlign w:val="subscript"/>
          <w:lang w:eastAsia="en-US"/>
        </w:rPr>
        <w:t>CH4[THC-FID]</w:t>
      </w:r>
      <w:r w:rsidR="00242DA0" w:rsidRPr="00DE12A3">
        <w:rPr>
          <w:rFonts w:eastAsia="Times New Roman" w:cs="Times New Roman"/>
          <w:color w:val="auto"/>
          <w:spacing w:val="3"/>
          <w:lang w:eastAsia="en-US"/>
        </w:rPr>
        <w:t xml:space="preserve"> değeri, VII</w:t>
      </w:r>
      <w:r w:rsidR="006F30D6" w:rsidRPr="00DE12A3">
        <w:rPr>
          <w:rFonts w:eastAsia="Times New Roman" w:cs="Times New Roman"/>
          <w:color w:val="auto"/>
          <w:spacing w:val="3"/>
          <w:lang w:eastAsia="en-US"/>
        </w:rPr>
        <w:t>’</w:t>
      </w:r>
      <w:r w:rsidR="00195051" w:rsidRPr="00DE12A3">
        <w:rPr>
          <w:rFonts w:eastAsia="Times New Roman" w:cs="Times New Roman"/>
          <w:color w:val="auto"/>
          <w:spacing w:val="3"/>
          <w:lang w:eastAsia="en-US"/>
        </w:rPr>
        <w:t>nci</w:t>
      </w:r>
      <w:r w:rsidR="006F30D6" w:rsidRPr="00DE12A3">
        <w:rPr>
          <w:rFonts w:eastAsia="Times New Roman" w:cs="Times New Roman"/>
          <w:color w:val="auto"/>
          <w:spacing w:val="3"/>
          <w:lang w:eastAsia="en-US"/>
        </w:rPr>
        <w:t xml:space="preserve"> </w:t>
      </w:r>
      <w:r w:rsidR="00A43271" w:rsidRPr="00DE12A3">
        <w:rPr>
          <w:rFonts w:eastAsia="Times New Roman" w:cs="Times New Roman"/>
          <w:color w:val="auto"/>
          <w:spacing w:val="3"/>
          <w:lang w:eastAsia="en-US"/>
        </w:rPr>
        <w:t>E</w:t>
      </w:r>
      <w:r w:rsidR="00242DA0" w:rsidRPr="00DE12A3">
        <w:rPr>
          <w:rFonts w:eastAsia="Times New Roman" w:cs="Times New Roman"/>
          <w:color w:val="auto"/>
          <w:spacing w:val="3"/>
          <w:lang w:eastAsia="en-US"/>
        </w:rPr>
        <w:t xml:space="preserve">kin 2. </w:t>
      </w:r>
      <w:r w:rsidR="00B32A92" w:rsidRPr="00DE12A3">
        <w:rPr>
          <w:rFonts w:eastAsia="Times New Roman" w:cs="Times New Roman"/>
          <w:color w:val="auto"/>
          <w:spacing w:val="3"/>
          <w:lang w:eastAsia="en-US"/>
        </w:rPr>
        <w:t>Bölüm</w:t>
      </w:r>
      <w:r w:rsidR="00242DA0" w:rsidRPr="00DE12A3">
        <w:rPr>
          <w:rFonts w:eastAsia="Times New Roman" w:cs="Times New Roman"/>
          <w:color w:val="auto"/>
          <w:spacing w:val="3"/>
          <w:lang w:eastAsia="en-US"/>
        </w:rPr>
        <w:t xml:space="preserve">ünde (kütle temelli yaklaşım) veya </w:t>
      </w:r>
      <w:r w:rsidR="006F30D6" w:rsidRPr="00DE12A3">
        <w:rPr>
          <w:rFonts w:eastAsia="Times New Roman" w:cs="Times New Roman"/>
          <w:color w:val="auto"/>
          <w:spacing w:val="3"/>
          <w:lang w:eastAsia="en-US"/>
        </w:rPr>
        <w:t>VII’</w:t>
      </w:r>
      <w:r w:rsidR="00195051" w:rsidRPr="00DE12A3">
        <w:rPr>
          <w:rFonts w:eastAsia="Times New Roman" w:cs="Times New Roman"/>
          <w:color w:val="auto"/>
          <w:spacing w:val="3"/>
          <w:lang w:eastAsia="en-US"/>
        </w:rPr>
        <w:t>nci</w:t>
      </w:r>
      <w:r w:rsidR="006F30D6" w:rsidRPr="00DE12A3">
        <w:rPr>
          <w:rFonts w:eastAsia="Times New Roman" w:cs="Times New Roman"/>
          <w:color w:val="auto"/>
          <w:spacing w:val="3"/>
          <w:lang w:eastAsia="en-US"/>
        </w:rPr>
        <w:t xml:space="preserve"> </w:t>
      </w:r>
      <w:r w:rsidR="00B32A92" w:rsidRPr="00DE12A3">
        <w:rPr>
          <w:rFonts w:eastAsia="Times New Roman" w:cs="Times New Roman"/>
          <w:color w:val="auto"/>
          <w:spacing w:val="3"/>
          <w:lang w:eastAsia="en-US"/>
        </w:rPr>
        <w:t>E</w:t>
      </w:r>
      <w:r w:rsidR="006F30D6" w:rsidRPr="00DE12A3">
        <w:rPr>
          <w:rFonts w:eastAsia="Times New Roman" w:cs="Times New Roman"/>
          <w:color w:val="auto"/>
          <w:spacing w:val="3"/>
          <w:lang w:eastAsia="en-US"/>
        </w:rPr>
        <w:t xml:space="preserve">kin </w:t>
      </w:r>
      <w:r w:rsidR="00242DA0" w:rsidRPr="00DE12A3">
        <w:rPr>
          <w:rFonts w:eastAsia="Times New Roman" w:cs="Times New Roman"/>
          <w:color w:val="auto"/>
          <w:spacing w:val="3"/>
          <w:lang w:eastAsia="en-US"/>
        </w:rPr>
        <w:t xml:space="preserve">3. </w:t>
      </w:r>
      <w:r w:rsidR="00B32A92" w:rsidRPr="00DE12A3">
        <w:rPr>
          <w:rFonts w:eastAsia="Times New Roman" w:cs="Times New Roman"/>
          <w:color w:val="auto"/>
          <w:spacing w:val="3"/>
          <w:lang w:eastAsia="en-US"/>
        </w:rPr>
        <w:t>Bölüm</w:t>
      </w:r>
      <w:r w:rsidR="00242DA0" w:rsidRPr="00DE12A3">
        <w:rPr>
          <w:rFonts w:eastAsia="Times New Roman" w:cs="Times New Roman"/>
          <w:color w:val="auto"/>
          <w:spacing w:val="3"/>
          <w:lang w:eastAsia="en-US"/>
        </w:rPr>
        <w:t>ünde (molar bazlı yaklaşım) tarif edilen HC tespitine ilişkin hesaplamalarda kullanılmalıdır.</w:t>
      </w:r>
    </w:p>
    <w:p w14:paraId="6753E3E5" w14:textId="77777777" w:rsidR="002D7B36" w:rsidRPr="00DE12A3" w:rsidRDefault="00242DA0" w:rsidP="00E20716">
      <w:pPr>
        <w:numPr>
          <w:ilvl w:val="0"/>
          <w:numId w:val="255"/>
        </w:numPr>
        <w:shd w:val="clear" w:color="auto" w:fill="FFFFFF" w:themeFill="background1"/>
        <w:spacing w:before="120" w:after="120"/>
        <w:ind w:left="1134" w:hanging="1134"/>
        <w:jc w:val="both"/>
        <w:rPr>
          <w:rFonts w:eastAsia="Times New Roman" w:cs="Times New Roman"/>
          <w:color w:val="auto"/>
          <w:spacing w:val="3"/>
          <w:lang w:eastAsia="en-US"/>
        </w:rPr>
      </w:pPr>
      <w:r w:rsidRPr="00DE12A3">
        <w:rPr>
          <w:rFonts w:eastAsia="Times New Roman" w:cs="Times New Roman"/>
          <w:color w:val="auto"/>
          <w:spacing w:val="3"/>
          <w:lang w:eastAsia="en-US"/>
        </w:rPr>
        <w:t>Stokiyometrik olmayan ham egzoz gazı FID O</w:t>
      </w:r>
      <w:r w:rsidRPr="00DE12A3">
        <w:rPr>
          <w:rFonts w:eastAsia="Times New Roman" w:cs="Times New Roman"/>
          <w:color w:val="auto"/>
          <w:spacing w:val="3"/>
          <w:vertAlign w:val="subscript"/>
          <w:lang w:eastAsia="en-US"/>
        </w:rPr>
        <w:t>2</w:t>
      </w:r>
      <w:r w:rsidRPr="00DE12A3">
        <w:rPr>
          <w:rFonts w:eastAsia="Times New Roman" w:cs="Times New Roman"/>
          <w:color w:val="auto"/>
          <w:spacing w:val="3"/>
          <w:lang w:eastAsia="en-US"/>
        </w:rPr>
        <w:t xml:space="preserve"> karışma doğrulaması</w:t>
      </w:r>
    </w:p>
    <w:p w14:paraId="185AC4BA" w14:textId="77777777" w:rsidR="002D7B36" w:rsidRPr="00DE12A3" w:rsidRDefault="00242DA0" w:rsidP="00E20716">
      <w:pPr>
        <w:numPr>
          <w:ilvl w:val="0"/>
          <w:numId w:val="262"/>
        </w:numPr>
        <w:shd w:val="clear" w:color="auto" w:fill="FFFFFF" w:themeFill="background1"/>
        <w:spacing w:before="120" w:after="120"/>
        <w:ind w:left="1134" w:hanging="1134"/>
        <w:jc w:val="both"/>
        <w:rPr>
          <w:rFonts w:eastAsia="Times New Roman" w:cs="Times New Roman"/>
          <w:color w:val="auto"/>
          <w:spacing w:val="3"/>
          <w:lang w:eastAsia="en-US"/>
        </w:rPr>
      </w:pPr>
      <w:r w:rsidRPr="00DE12A3">
        <w:rPr>
          <w:rFonts w:eastAsia="Times New Roman" w:cs="Times New Roman"/>
          <w:color w:val="auto"/>
          <w:spacing w:val="3"/>
          <w:lang w:eastAsia="en-US"/>
        </w:rPr>
        <w:t>Kapsam ve sıklık</w:t>
      </w:r>
    </w:p>
    <w:p w14:paraId="6D39C2B3" w14:textId="77777777" w:rsidR="002D7B36" w:rsidRPr="00DE12A3" w:rsidRDefault="00967438" w:rsidP="00C917D6">
      <w:pPr>
        <w:shd w:val="clear" w:color="auto" w:fill="FFFFFF" w:themeFill="background1"/>
        <w:spacing w:before="120" w:after="120"/>
        <w:ind w:left="1134" w:hanging="1134"/>
        <w:jc w:val="both"/>
        <w:rPr>
          <w:rFonts w:eastAsia="Times New Roman" w:cs="Times New Roman"/>
          <w:color w:val="auto"/>
          <w:spacing w:val="3"/>
          <w:lang w:eastAsia="en-US"/>
        </w:rPr>
      </w:pPr>
      <w:r w:rsidRPr="00DE12A3">
        <w:rPr>
          <w:rFonts w:eastAsia="Times New Roman" w:cs="Times New Roman"/>
          <w:color w:val="auto"/>
          <w:spacing w:val="3"/>
          <w:lang w:eastAsia="en-US"/>
        </w:rPr>
        <w:t xml:space="preserve">                  </w:t>
      </w:r>
      <w:r w:rsidR="00242DA0" w:rsidRPr="00DE12A3">
        <w:rPr>
          <w:rFonts w:eastAsia="Times New Roman" w:cs="Times New Roman"/>
          <w:color w:val="auto"/>
          <w:spacing w:val="3"/>
          <w:lang w:eastAsia="en-US"/>
        </w:rPr>
        <w:t>FID analiz cihazları ham egzoz gazı ölçümleri için kullanılıyorsa, ilk montaj üzerine ve büyük bir bakım sonrasında FID O</w:t>
      </w:r>
      <w:r w:rsidR="00242DA0" w:rsidRPr="00DE12A3">
        <w:rPr>
          <w:rFonts w:eastAsia="Times New Roman" w:cs="Times New Roman"/>
          <w:color w:val="auto"/>
          <w:spacing w:val="3"/>
          <w:vertAlign w:val="subscript"/>
          <w:lang w:eastAsia="en-US"/>
        </w:rPr>
        <w:t>2</w:t>
      </w:r>
      <w:r w:rsidR="00242DA0" w:rsidRPr="00DE12A3">
        <w:rPr>
          <w:rFonts w:eastAsia="Times New Roman" w:cs="Times New Roman"/>
          <w:color w:val="auto"/>
          <w:spacing w:val="3"/>
          <w:lang w:eastAsia="en-US"/>
        </w:rPr>
        <w:t xml:space="preserve"> karışma miktarı doğrulanmalıdır.</w:t>
      </w:r>
    </w:p>
    <w:p w14:paraId="5BEF3088" w14:textId="77777777" w:rsidR="002D7B36" w:rsidRPr="00DE12A3" w:rsidRDefault="00242DA0" w:rsidP="00E20716">
      <w:pPr>
        <w:numPr>
          <w:ilvl w:val="0"/>
          <w:numId w:val="262"/>
        </w:numPr>
        <w:shd w:val="clear" w:color="auto" w:fill="FFFFFF" w:themeFill="background1"/>
        <w:spacing w:before="120" w:after="120"/>
        <w:ind w:left="1134" w:hanging="1134"/>
        <w:jc w:val="both"/>
        <w:rPr>
          <w:rFonts w:eastAsia="Times New Roman" w:cs="Times New Roman"/>
          <w:color w:val="auto"/>
          <w:spacing w:val="3"/>
          <w:lang w:eastAsia="en-US"/>
        </w:rPr>
      </w:pPr>
      <w:r w:rsidRPr="00DE12A3">
        <w:rPr>
          <w:rFonts w:eastAsia="Times New Roman" w:cs="Times New Roman"/>
          <w:color w:val="auto"/>
          <w:spacing w:val="3"/>
          <w:lang w:eastAsia="en-US"/>
        </w:rPr>
        <w:t>Ölçüm ilkeleri</w:t>
      </w:r>
    </w:p>
    <w:p w14:paraId="0225B3A4" w14:textId="73E8FA8B" w:rsidR="002D7B36" w:rsidRPr="00DE12A3" w:rsidRDefault="00967438" w:rsidP="00C917D6">
      <w:pPr>
        <w:shd w:val="clear" w:color="auto" w:fill="FFFFFF" w:themeFill="background1"/>
        <w:spacing w:before="120" w:after="120"/>
        <w:ind w:left="1134" w:hanging="1134"/>
        <w:jc w:val="both"/>
        <w:rPr>
          <w:rFonts w:eastAsia="Times New Roman" w:cs="Times New Roman"/>
          <w:color w:val="auto"/>
          <w:spacing w:val="3"/>
          <w:lang w:eastAsia="en-US"/>
        </w:rPr>
      </w:pPr>
      <w:r w:rsidRPr="00DE12A3">
        <w:rPr>
          <w:rFonts w:eastAsia="Times New Roman" w:cs="Times New Roman"/>
          <w:color w:val="auto"/>
          <w:spacing w:val="3"/>
          <w:lang w:eastAsia="en-US"/>
        </w:rPr>
        <w:t xml:space="preserve">                  </w:t>
      </w:r>
      <w:r w:rsidR="00242DA0" w:rsidRPr="00DE12A3">
        <w:rPr>
          <w:rFonts w:eastAsia="Times New Roman" w:cs="Times New Roman"/>
          <w:color w:val="auto"/>
          <w:spacing w:val="3"/>
          <w:lang w:eastAsia="en-US"/>
        </w:rPr>
        <w:t>Ham egzoz gazı içindeki O</w:t>
      </w:r>
      <w:r w:rsidR="00242DA0" w:rsidRPr="00DE12A3">
        <w:rPr>
          <w:rFonts w:eastAsia="Times New Roman" w:cs="Times New Roman"/>
          <w:color w:val="auto"/>
          <w:spacing w:val="3"/>
          <w:vertAlign w:val="subscript"/>
          <w:lang w:eastAsia="en-US"/>
        </w:rPr>
        <w:t>2</w:t>
      </w:r>
      <w:r w:rsidR="00242DA0" w:rsidRPr="00DE12A3">
        <w:rPr>
          <w:rFonts w:eastAsia="Times New Roman" w:cs="Times New Roman"/>
          <w:color w:val="auto"/>
          <w:spacing w:val="3"/>
          <w:lang w:eastAsia="en-US"/>
        </w:rPr>
        <w:t xml:space="preserve"> konsantrasyonundaki değişiklikler, FID alev sıcaklığını değiştirerek FID tepkisini etkileyebilir. Bu doğrulamayı sağlamak için FID yakıt, brülör havası ve numune akışı optimize edilmelidir. Emisyon testi sırasında devrede olan FID O</w:t>
      </w:r>
      <w:r w:rsidR="00242DA0" w:rsidRPr="00DE12A3">
        <w:rPr>
          <w:rFonts w:eastAsia="Times New Roman" w:cs="Times New Roman"/>
          <w:color w:val="auto"/>
          <w:spacing w:val="3"/>
          <w:vertAlign w:val="subscript"/>
          <w:lang w:eastAsia="en-US"/>
        </w:rPr>
        <w:t>2</w:t>
      </w:r>
      <w:r w:rsidR="00242DA0" w:rsidRPr="00DE12A3">
        <w:rPr>
          <w:rFonts w:eastAsia="Times New Roman" w:cs="Times New Roman"/>
          <w:color w:val="auto"/>
          <w:spacing w:val="3"/>
          <w:lang w:eastAsia="en-US"/>
        </w:rPr>
        <w:t xml:space="preserve"> karışması için FID performansı dengeleme algoritmalarıyla doğrulanmalıdır.</w:t>
      </w:r>
    </w:p>
    <w:p w14:paraId="7B695312" w14:textId="77777777" w:rsidR="002D7B36" w:rsidRPr="00DE12A3" w:rsidRDefault="00242DA0" w:rsidP="00E20716">
      <w:pPr>
        <w:numPr>
          <w:ilvl w:val="0"/>
          <w:numId w:val="262"/>
        </w:numPr>
        <w:shd w:val="clear" w:color="auto" w:fill="FFFFFF" w:themeFill="background1"/>
        <w:spacing w:before="120" w:after="120"/>
        <w:ind w:left="1134" w:hanging="1134"/>
        <w:jc w:val="both"/>
        <w:rPr>
          <w:rFonts w:eastAsia="Times New Roman" w:cs="Times New Roman"/>
          <w:color w:val="auto"/>
          <w:spacing w:val="3"/>
          <w:lang w:eastAsia="en-US"/>
        </w:rPr>
      </w:pPr>
      <w:r w:rsidRPr="00DE12A3">
        <w:rPr>
          <w:rFonts w:eastAsia="Times New Roman" w:cs="Times New Roman"/>
          <w:color w:val="auto"/>
          <w:spacing w:val="3"/>
          <w:lang w:eastAsia="en-US"/>
        </w:rPr>
        <w:t xml:space="preserve">Sistem </w:t>
      </w:r>
      <w:r w:rsidR="0053289F" w:rsidRPr="00DE12A3">
        <w:rPr>
          <w:rFonts w:eastAsia="Times New Roman" w:cs="Times New Roman"/>
          <w:color w:val="auto"/>
          <w:spacing w:val="3"/>
          <w:lang w:eastAsia="en-US"/>
        </w:rPr>
        <w:t>gereklilikleri</w:t>
      </w:r>
    </w:p>
    <w:p w14:paraId="12A4D819" w14:textId="4BE0A0DB" w:rsidR="002D7B36" w:rsidRPr="00DE12A3" w:rsidRDefault="00967438" w:rsidP="00C917D6">
      <w:pPr>
        <w:shd w:val="clear" w:color="auto" w:fill="FFFFFF" w:themeFill="background1"/>
        <w:spacing w:before="120" w:after="120"/>
        <w:ind w:left="1134" w:hanging="1134"/>
        <w:jc w:val="both"/>
        <w:rPr>
          <w:rFonts w:eastAsia="Times New Roman" w:cs="Times New Roman"/>
          <w:color w:val="auto"/>
          <w:spacing w:val="3"/>
          <w:lang w:eastAsia="en-US"/>
        </w:rPr>
      </w:pPr>
      <w:r w:rsidRPr="00DE12A3">
        <w:rPr>
          <w:rFonts w:eastAsia="Times New Roman" w:cs="Times New Roman"/>
          <w:color w:val="auto"/>
          <w:spacing w:val="3"/>
          <w:lang w:eastAsia="en-US"/>
        </w:rPr>
        <w:t xml:space="preserve">                  </w:t>
      </w:r>
      <w:r w:rsidR="00242DA0" w:rsidRPr="00DE12A3">
        <w:rPr>
          <w:rFonts w:eastAsia="Times New Roman" w:cs="Times New Roman"/>
          <w:color w:val="auto"/>
          <w:spacing w:val="3"/>
          <w:lang w:eastAsia="en-US"/>
        </w:rPr>
        <w:t xml:space="preserve">Test sırasında kullanılan her FID analiz cihazı, bu </w:t>
      </w:r>
      <w:r w:rsidR="00E1663B" w:rsidRPr="00DE12A3">
        <w:rPr>
          <w:rFonts w:eastAsia="Times New Roman" w:cs="Times New Roman"/>
          <w:color w:val="auto"/>
          <w:spacing w:val="3"/>
          <w:lang w:eastAsia="en-US"/>
        </w:rPr>
        <w:t>B</w:t>
      </w:r>
      <w:r w:rsidR="00242DA0" w:rsidRPr="00DE12A3">
        <w:rPr>
          <w:rFonts w:eastAsia="Times New Roman" w:cs="Times New Roman"/>
          <w:color w:val="auto"/>
          <w:spacing w:val="3"/>
          <w:lang w:eastAsia="en-US"/>
        </w:rPr>
        <w:t>ölümdeki prosedür uyarınca FID O</w:t>
      </w:r>
      <w:r w:rsidR="00242DA0" w:rsidRPr="00DE12A3">
        <w:rPr>
          <w:rFonts w:eastAsia="Times New Roman" w:cs="Times New Roman"/>
          <w:color w:val="auto"/>
          <w:spacing w:val="3"/>
          <w:vertAlign w:val="subscript"/>
          <w:lang w:eastAsia="en-US"/>
        </w:rPr>
        <w:t>2</w:t>
      </w:r>
      <w:r w:rsidR="00242DA0" w:rsidRPr="00DE12A3">
        <w:rPr>
          <w:rFonts w:eastAsia="Times New Roman" w:cs="Times New Roman"/>
          <w:color w:val="auto"/>
          <w:spacing w:val="3"/>
          <w:lang w:eastAsia="en-US"/>
        </w:rPr>
        <w:t xml:space="preserve"> karışması doğrulamasını sağlamalıdır.</w:t>
      </w:r>
    </w:p>
    <w:p w14:paraId="5902F98B" w14:textId="77777777" w:rsidR="002D7B36" w:rsidRPr="00DE12A3" w:rsidRDefault="00242DA0" w:rsidP="00E20716">
      <w:pPr>
        <w:numPr>
          <w:ilvl w:val="0"/>
          <w:numId w:val="262"/>
        </w:numPr>
        <w:shd w:val="clear" w:color="auto" w:fill="FFFFFF" w:themeFill="background1"/>
        <w:spacing w:before="120" w:after="120"/>
        <w:ind w:left="1134" w:hanging="1134"/>
        <w:jc w:val="both"/>
        <w:rPr>
          <w:rFonts w:eastAsia="Times New Roman" w:cs="Times New Roman"/>
          <w:color w:val="auto"/>
          <w:spacing w:val="3"/>
          <w:lang w:eastAsia="en-US"/>
        </w:rPr>
      </w:pPr>
      <w:r w:rsidRPr="00DE12A3">
        <w:rPr>
          <w:rFonts w:eastAsia="Times New Roman" w:cs="Times New Roman"/>
          <w:color w:val="auto"/>
          <w:spacing w:val="3"/>
          <w:lang w:eastAsia="en-US"/>
        </w:rPr>
        <w:lastRenderedPageBreak/>
        <w:t>Prosedür</w:t>
      </w:r>
    </w:p>
    <w:p w14:paraId="622C27C1" w14:textId="77777777" w:rsidR="002D7B36" w:rsidRPr="00DE12A3" w:rsidRDefault="00967438" w:rsidP="00C917D6">
      <w:pPr>
        <w:shd w:val="clear" w:color="auto" w:fill="FFFFFF" w:themeFill="background1"/>
        <w:spacing w:before="120" w:after="120"/>
        <w:ind w:left="1134" w:hanging="1134"/>
        <w:jc w:val="both"/>
        <w:rPr>
          <w:rFonts w:eastAsia="Times New Roman" w:cs="Times New Roman"/>
          <w:color w:val="auto"/>
          <w:spacing w:val="3"/>
          <w:lang w:eastAsia="en-US"/>
        </w:rPr>
      </w:pPr>
      <w:r w:rsidRPr="00DE12A3">
        <w:rPr>
          <w:rFonts w:eastAsia="Times New Roman" w:cs="Times New Roman"/>
          <w:color w:val="auto"/>
          <w:spacing w:val="3"/>
          <w:lang w:eastAsia="en-US"/>
        </w:rPr>
        <w:t xml:space="preserve">                   </w:t>
      </w:r>
      <w:r w:rsidR="00242DA0" w:rsidRPr="00DE12A3">
        <w:rPr>
          <w:rFonts w:eastAsia="Times New Roman" w:cs="Times New Roman"/>
          <w:color w:val="auto"/>
          <w:spacing w:val="3"/>
          <w:lang w:eastAsia="en-US"/>
        </w:rPr>
        <w:t>FID O</w:t>
      </w:r>
      <w:r w:rsidR="00242DA0" w:rsidRPr="00DE12A3">
        <w:rPr>
          <w:rFonts w:eastAsia="Times New Roman" w:cs="Times New Roman"/>
          <w:color w:val="auto"/>
          <w:spacing w:val="3"/>
          <w:vertAlign w:val="subscript"/>
          <w:lang w:eastAsia="en-US"/>
        </w:rPr>
        <w:t>2</w:t>
      </w:r>
      <w:r w:rsidR="00242DA0" w:rsidRPr="00DE12A3">
        <w:rPr>
          <w:rFonts w:eastAsia="Times New Roman" w:cs="Times New Roman"/>
          <w:color w:val="auto"/>
          <w:spacing w:val="3"/>
          <w:lang w:eastAsia="en-US"/>
        </w:rPr>
        <w:t xml:space="preserve"> karışması, bu doğrulamayı gerçekleştirmek için gereken referans gaz konsantrasyonlarını oluşturmak için bir veya daha fazla gaz bölücünün kullanılabileceği unutulmadan aşağıdaki gibi belirlenmelidir:</w:t>
      </w:r>
    </w:p>
    <w:p w14:paraId="52FE0448" w14:textId="12EBCC81" w:rsidR="002D7B36" w:rsidRPr="00DE12A3" w:rsidRDefault="00967438" w:rsidP="00E20716">
      <w:pPr>
        <w:numPr>
          <w:ilvl w:val="0"/>
          <w:numId w:val="263"/>
        </w:numPr>
        <w:shd w:val="clear" w:color="auto" w:fill="FFFFFF" w:themeFill="background1"/>
        <w:spacing w:before="120" w:after="120"/>
        <w:ind w:left="1701" w:hanging="567"/>
        <w:jc w:val="both"/>
        <w:rPr>
          <w:rFonts w:eastAsia="Times New Roman" w:cs="Times New Roman"/>
          <w:color w:val="auto"/>
          <w:spacing w:val="3"/>
          <w:lang w:eastAsia="en-US"/>
        </w:rPr>
      </w:pPr>
      <w:r w:rsidRPr="00DE12A3">
        <w:rPr>
          <w:rFonts w:eastAsia="Times New Roman" w:cs="Times New Roman"/>
          <w:color w:val="auto"/>
          <w:spacing w:val="3"/>
          <w:lang w:eastAsia="en-US"/>
        </w:rPr>
        <w:t xml:space="preserve">     </w:t>
      </w:r>
      <w:r w:rsidR="00242DA0" w:rsidRPr="00DE12A3">
        <w:rPr>
          <w:rFonts w:eastAsia="Times New Roman" w:cs="Times New Roman"/>
          <w:color w:val="auto"/>
          <w:spacing w:val="3"/>
          <w:lang w:eastAsia="en-US"/>
        </w:rPr>
        <w:t>Emisyon testinden önce analiz cihazlarını ayarlamak için, 9.5.1 bendinde belirtilen özellikleri sağlayan ve C</w:t>
      </w:r>
      <w:r w:rsidR="00242DA0" w:rsidRPr="00DE12A3">
        <w:rPr>
          <w:rFonts w:eastAsia="Times New Roman" w:cs="Times New Roman"/>
          <w:color w:val="auto"/>
          <w:spacing w:val="3"/>
          <w:vertAlign w:val="subscript"/>
          <w:lang w:eastAsia="en-US"/>
        </w:rPr>
        <w:t>3</w:t>
      </w:r>
      <w:r w:rsidR="00242DA0" w:rsidRPr="00DE12A3">
        <w:rPr>
          <w:rFonts w:eastAsia="Times New Roman" w:cs="Times New Roman"/>
          <w:color w:val="auto"/>
          <w:spacing w:val="3"/>
          <w:lang w:eastAsia="en-US"/>
        </w:rPr>
        <w:t>H</w:t>
      </w:r>
      <w:r w:rsidR="00242DA0" w:rsidRPr="00DE12A3">
        <w:rPr>
          <w:rFonts w:eastAsia="Times New Roman" w:cs="Times New Roman"/>
          <w:color w:val="auto"/>
          <w:spacing w:val="3"/>
          <w:vertAlign w:val="subscript"/>
          <w:lang w:eastAsia="en-US"/>
        </w:rPr>
        <w:t>8</w:t>
      </w:r>
      <w:r w:rsidR="00242DA0" w:rsidRPr="00DE12A3">
        <w:rPr>
          <w:rFonts w:eastAsia="Times New Roman" w:cs="Times New Roman"/>
          <w:color w:val="auto"/>
          <w:spacing w:val="3"/>
          <w:lang w:eastAsia="en-US"/>
        </w:rPr>
        <w:t xml:space="preserve"> konsantrasyonunu içeren üç referans ayar gazı seçilir. O</w:t>
      </w:r>
      <w:r w:rsidR="00242DA0" w:rsidRPr="00DE12A3">
        <w:rPr>
          <w:rFonts w:eastAsia="Times New Roman" w:cs="Times New Roman"/>
          <w:color w:val="auto"/>
          <w:spacing w:val="3"/>
          <w:vertAlign w:val="subscript"/>
          <w:lang w:eastAsia="en-US"/>
        </w:rPr>
        <w:t>2</w:t>
      </w:r>
      <w:r w:rsidR="00242DA0" w:rsidRPr="00DE12A3">
        <w:rPr>
          <w:rFonts w:eastAsia="Times New Roman" w:cs="Times New Roman"/>
          <w:color w:val="auto"/>
          <w:spacing w:val="3"/>
          <w:lang w:eastAsia="en-US"/>
        </w:rPr>
        <w:t xml:space="preserve"> ve N</w:t>
      </w:r>
      <w:r w:rsidR="00242DA0" w:rsidRPr="00DE12A3">
        <w:rPr>
          <w:rFonts w:eastAsia="Times New Roman" w:cs="Times New Roman"/>
          <w:color w:val="auto"/>
          <w:spacing w:val="3"/>
          <w:vertAlign w:val="subscript"/>
          <w:lang w:eastAsia="en-US"/>
        </w:rPr>
        <w:t>2</w:t>
      </w:r>
      <w:r w:rsidR="00242DA0" w:rsidRPr="00DE12A3">
        <w:rPr>
          <w:rFonts w:eastAsia="Times New Roman" w:cs="Times New Roman"/>
          <w:color w:val="auto"/>
          <w:spacing w:val="3"/>
          <w:lang w:eastAsia="en-US"/>
        </w:rPr>
        <w:t xml:space="preserve"> konsantrasyonları test sırasında beklenen asgari ve azami ve ara O</w:t>
      </w:r>
      <w:r w:rsidR="00242DA0" w:rsidRPr="00DE12A3">
        <w:rPr>
          <w:rFonts w:eastAsia="Times New Roman" w:cs="Times New Roman"/>
          <w:color w:val="auto"/>
          <w:spacing w:val="3"/>
          <w:vertAlign w:val="subscript"/>
          <w:lang w:eastAsia="en-US"/>
        </w:rPr>
        <w:t>2</w:t>
      </w:r>
      <w:r w:rsidR="00242DA0" w:rsidRPr="00DE12A3">
        <w:rPr>
          <w:rFonts w:eastAsia="Times New Roman" w:cs="Times New Roman"/>
          <w:color w:val="auto"/>
          <w:spacing w:val="3"/>
          <w:lang w:eastAsia="en-US"/>
        </w:rPr>
        <w:t xml:space="preserve"> konsantrasyonlarını temsil eden üç denge gazı konsantrasyonu seçilmelidir.FID, ortalama beklenen oksijen konsantrasyonu ile dengelenmiş ayar gazı ile kalibre edilirse, ortalama O</w:t>
      </w:r>
      <w:r w:rsidR="00242DA0" w:rsidRPr="00DE12A3">
        <w:rPr>
          <w:rFonts w:eastAsia="Times New Roman" w:cs="Times New Roman"/>
          <w:color w:val="auto"/>
          <w:spacing w:val="3"/>
          <w:vertAlign w:val="subscript"/>
          <w:lang w:eastAsia="en-US"/>
        </w:rPr>
        <w:t>2</w:t>
      </w:r>
      <w:r w:rsidR="00242DA0" w:rsidRPr="00DE12A3">
        <w:rPr>
          <w:rFonts w:eastAsia="Times New Roman" w:cs="Times New Roman"/>
          <w:color w:val="auto"/>
          <w:spacing w:val="3"/>
          <w:lang w:eastAsia="en-US"/>
        </w:rPr>
        <w:t xml:space="preserve"> konsantrasyonun</w:t>
      </w:r>
      <w:r w:rsidR="00F70790" w:rsidRPr="00DE12A3">
        <w:rPr>
          <w:rFonts w:eastAsia="Times New Roman" w:cs="Times New Roman"/>
          <w:color w:val="auto"/>
          <w:spacing w:val="3"/>
          <w:lang w:eastAsia="en-US"/>
        </w:rPr>
        <w:t>u kullanma şartı kaldırılabilir.</w:t>
      </w:r>
    </w:p>
    <w:p w14:paraId="75F730F2" w14:textId="5C4CE809" w:rsidR="002D7B36" w:rsidRPr="00DE12A3" w:rsidRDefault="00242DA0" w:rsidP="00E20716">
      <w:pPr>
        <w:numPr>
          <w:ilvl w:val="0"/>
          <w:numId w:val="263"/>
        </w:numPr>
        <w:shd w:val="clear" w:color="auto" w:fill="FFFFFF" w:themeFill="background1"/>
        <w:spacing w:before="120" w:after="120"/>
        <w:ind w:left="1701" w:hanging="567"/>
        <w:jc w:val="both"/>
        <w:rPr>
          <w:rFonts w:eastAsia="Times New Roman" w:cs="Times New Roman"/>
          <w:color w:val="auto"/>
          <w:spacing w:val="3"/>
          <w:lang w:eastAsia="en-US"/>
        </w:rPr>
      </w:pPr>
      <w:r w:rsidRPr="00DE12A3">
        <w:rPr>
          <w:rFonts w:eastAsia="Times New Roman" w:cs="Times New Roman"/>
          <w:color w:val="auto"/>
          <w:spacing w:val="3"/>
          <w:lang w:eastAsia="en-US"/>
        </w:rPr>
        <w:t>FID analiz cihazının 8.1.10.1 bendindeki tüm özellikleri sağladığı d</w:t>
      </w:r>
      <w:r w:rsidR="00F70790" w:rsidRPr="00DE12A3">
        <w:rPr>
          <w:rFonts w:eastAsia="Times New Roman" w:cs="Times New Roman"/>
          <w:color w:val="auto"/>
          <w:spacing w:val="3"/>
          <w:lang w:eastAsia="en-US"/>
        </w:rPr>
        <w:t>oğrulanmalıdır.</w:t>
      </w:r>
    </w:p>
    <w:p w14:paraId="271D983F" w14:textId="62533465" w:rsidR="002D7B36" w:rsidRPr="00DE12A3" w:rsidRDefault="00967438" w:rsidP="00E20716">
      <w:pPr>
        <w:numPr>
          <w:ilvl w:val="0"/>
          <w:numId w:val="263"/>
        </w:numPr>
        <w:shd w:val="clear" w:color="auto" w:fill="FFFFFF" w:themeFill="background1"/>
        <w:spacing w:before="120" w:after="120"/>
        <w:ind w:left="1701" w:hanging="567"/>
        <w:jc w:val="both"/>
        <w:rPr>
          <w:rFonts w:eastAsia="Times New Roman" w:cs="Times New Roman"/>
          <w:color w:val="auto"/>
          <w:spacing w:val="3"/>
          <w:lang w:eastAsia="en-US"/>
        </w:rPr>
      </w:pPr>
      <w:r w:rsidRPr="00DE12A3">
        <w:rPr>
          <w:rFonts w:eastAsia="Times New Roman" w:cs="Times New Roman"/>
          <w:color w:val="auto"/>
          <w:spacing w:val="3"/>
          <w:lang w:eastAsia="en-US"/>
        </w:rPr>
        <w:t xml:space="preserve">     </w:t>
      </w:r>
      <w:r w:rsidR="00242DA0" w:rsidRPr="00DE12A3">
        <w:rPr>
          <w:rFonts w:eastAsia="Times New Roman" w:cs="Times New Roman"/>
          <w:color w:val="auto"/>
          <w:spacing w:val="3"/>
          <w:lang w:eastAsia="en-US"/>
        </w:rPr>
        <w:t>FID analiz cihazı, emisyon testinden önceki gibi çalıştırılmalı ve işletilmelidir. Test sırasındaki FID brülör havası kaynağına bakılmaksızın, bu doğrulama için FID brülör havası kayna</w:t>
      </w:r>
      <w:r w:rsidR="00F70790" w:rsidRPr="00DE12A3">
        <w:rPr>
          <w:rFonts w:eastAsia="Times New Roman" w:cs="Times New Roman"/>
          <w:color w:val="auto"/>
          <w:spacing w:val="3"/>
          <w:lang w:eastAsia="en-US"/>
        </w:rPr>
        <w:t>ğı olarak sıfır hava kullanılır.</w:t>
      </w:r>
    </w:p>
    <w:p w14:paraId="356664C1" w14:textId="0A03C0B8" w:rsidR="002D7B36" w:rsidRPr="00DE12A3" w:rsidRDefault="00F70790" w:rsidP="00E20716">
      <w:pPr>
        <w:numPr>
          <w:ilvl w:val="0"/>
          <w:numId w:val="263"/>
        </w:numPr>
        <w:shd w:val="clear" w:color="auto" w:fill="FFFFFF" w:themeFill="background1"/>
        <w:spacing w:before="120" w:after="120"/>
        <w:ind w:left="1701" w:hanging="567"/>
        <w:jc w:val="both"/>
        <w:rPr>
          <w:rFonts w:eastAsia="Times New Roman" w:cs="Times New Roman"/>
          <w:color w:val="auto"/>
          <w:spacing w:val="3"/>
          <w:lang w:eastAsia="en-US"/>
        </w:rPr>
      </w:pPr>
      <w:r w:rsidRPr="00DE12A3">
        <w:rPr>
          <w:rFonts w:eastAsia="Times New Roman" w:cs="Times New Roman"/>
          <w:color w:val="auto"/>
          <w:spacing w:val="3"/>
          <w:lang w:eastAsia="en-US"/>
        </w:rPr>
        <w:t xml:space="preserve"> Analiz cihazı sıfıra ayarlanır.</w:t>
      </w:r>
    </w:p>
    <w:p w14:paraId="34341EF9" w14:textId="53495B0C" w:rsidR="002D7B36" w:rsidRPr="00DE12A3" w:rsidRDefault="00242DA0" w:rsidP="00E20716">
      <w:pPr>
        <w:numPr>
          <w:ilvl w:val="0"/>
          <w:numId w:val="263"/>
        </w:numPr>
        <w:shd w:val="clear" w:color="auto" w:fill="FFFFFF" w:themeFill="background1"/>
        <w:spacing w:before="120" w:after="120"/>
        <w:ind w:left="1701" w:hanging="567"/>
        <w:jc w:val="both"/>
        <w:rPr>
          <w:rFonts w:eastAsia="Times New Roman" w:cs="Times New Roman"/>
          <w:color w:val="auto"/>
          <w:spacing w:val="3"/>
          <w:lang w:eastAsia="en-US"/>
        </w:rPr>
      </w:pPr>
      <w:r w:rsidRPr="00DE12A3">
        <w:rPr>
          <w:rFonts w:eastAsia="Times New Roman" w:cs="Times New Roman"/>
          <w:color w:val="auto"/>
          <w:spacing w:val="3"/>
          <w:lang w:eastAsia="en-US"/>
        </w:rPr>
        <w:t xml:space="preserve"> </w:t>
      </w:r>
      <w:r w:rsidR="00967438" w:rsidRPr="00DE12A3">
        <w:rPr>
          <w:rFonts w:eastAsia="Times New Roman" w:cs="Times New Roman"/>
          <w:color w:val="auto"/>
          <w:spacing w:val="3"/>
          <w:lang w:eastAsia="en-US"/>
        </w:rPr>
        <w:t xml:space="preserve">    </w:t>
      </w:r>
      <w:r w:rsidRPr="00DE12A3">
        <w:rPr>
          <w:rFonts w:eastAsia="Times New Roman" w:cs="Times New Roman"/>
          <w:color w:val="auto"/>
          <w:spacing w:val="3"/>
          <w:lang w:eastAsia="en-US"/>
        </w:rPr>
        <w:t>Analiz cihazı, emisyon testi sırasında kullanılan bir a</w:t>
      </w:r>
      <w:r w:rsidR="00F70790" w:rsidRPr="00DE12A3">
        <w:rPr>
          <w:rFonts w:eastAsia="Times New Roman" w:cs="Times New Roman"/>
          <w:color w:val="auto"/>
          <w:spacing w:val="3"/>
          <w:lang w:eastAsia="en-US"/>
        </w:rPr>
        <w:t>yar gazı kullanılarak ayarlanır.</w:t>
      </w:r>
    </w:p>
    <w:p w14:paraId="4E950EA6" w14:textId="77777777" w:rsidR="002D7B36" w:rsidRPr="00DE12A3" w:rsidRDefault="002D7B36" w:rsidP="00E20716">
      <w:pPr>
        <w:pStyle w:val="ListeParagraf"/>
        <w:numPr>
          <w:ilvl w:val="0"/>
          <w:numId w:val="264"/>
        </w:numPr>
        <w:tabs>
          <w:tab w:val="right" w:pos="4733"/>
        </w:tabs>
        <w:spacing w:before="120" w:after="120"/>
        <w:ind w:left="1701" w:hanging="567"/>
        <w:jc w:val="both"/>
        <w:rPr>
          <w:rFonts w:eastAsia="Times New Roman" w:cs="Times New Roman"/>
          <w:vanish/>
          <w:color w:val="auto"/>
          <w:spacing w:val="3"/>
          <w:lang w:eastAsia="en-US"/>
        </w:rPr>
      </w:pPr>
    </w:p>
    <w:p w14:paraId="475FC820" w14:textId="77777777" w:rsidR="002D7B36" w:rsidRPr="00DE12A3" w:rsidRDefault="002D7B36" w:rsidP="00E20716">
      <w:pPr>
        <w:pStyle w:val="ListeParagraf"/>
        <w:numPr>
          <w:ilvl w:val="0"/>
          <w:numId w:val="264"/>
        </w:numPr>
        <w:tabs>
          <w:tab w:val="right" w:pos="4733"/>
        </w:tabs>
        <w:spacing w:before="120" w:after="120"/>
        <w:ind w:left="1701" w:hanging="567"/>
        <w:jc w:val="both"/>
        <w:rPr>
          <w:rFonts w:eastAsia="Times New Roman" w:cs="Times New Roman"/>
          <w:vanish/>
          <w:color w:val="auto"/>
          <w:spacing w:val="3"/>
          <w:lang w:eastAsia="en-US"/>
        </w:rPr>
      </w:pPr>
    </w:p>
    <w:p w14:paraId="408D5AF4" w14:textId="77777777" w:rsidR="002D7B36" w:rsidRPr="00DE12A3" w:rsidRDefault="002D7B36" w:rsidP="00E20716">
      <w:pPr>
        <w:pStyle w:val="ListeParagraf"/>
        <w:numPr>
          <w:ilvl w:val="0"/>
          <w:numId w:val="264"/>
        </w:numPr>
        <w:tabs>
          <w:tab w:val="right" w:pos="4733"/>
        </w:tabs>
        <w:spacing w:before="120" w:after="120"/>
        <w:ind w:left="1701" w:hanging="567"/>
        <w:jc w:val="both"/>
        <w:rPr>
          <w:rFonts w:eastAsia="Times New Roman" w:cs="Times New Roman"/>
          <w:vanish/>
          <w:color w:val="auto"/>
          <w:spacing w:val="3"/>
          <w:lang w:eastAsia="en-US"/>
        </w:rPr>
      </w:pPr>
    </w:p>
    <w:p w14:paraId="09E708A1" w14:textId="77777777" w:rsidR="002D7B36" w:rsidRPr="00DE12A3" w:rsidRDefault="002D7B36" w:rsidP="00E20716">
      <w:pPr>
        <w:pStyle w:val="ListeParagraf"/>
        <w:numPr>
          <w:ilvl w:val="0"/>
          <w:numId w:val="264"/>
        </w:numPr>
        <w:tabs>
          <w:tab w:val="right" w:pos="4733"/>
        </w:tabs>
        <w:spacing w:before="120" w:after="120"/>
        <w:ind w:left="1701" w:hanging="567"/>
        <w:jc w:val="both"/>
        <w:rPr>
          <w:rFonts w:eastAsia="Times New Roman" w:cs="Times New Roman"/>
          <w:vanish/>
          <w:color w:val="auto"/>
          <w:spacing w:val="3"/>
          <w:lang w:eastAsia="en-US"/>
        </w:rPr>
      </w:pPr>
    </w:p>
    <w:p w14:paraId="7F42AEA0" w14:textId="77777777" w:rsidR="002D7B36" w:rsidRPr="00DE12A3" w:rsidRDefault="002D7B36" w:rsidP="00E20716">
      <w:pPr>
        <w:pStyle w:val="ListeParagraf"/>
        <w:numPr>
          <w:ilvl w:val="0"/>
          <w:numId w:val="264"/>
        </w:numPr>
        <w:tabs>
          <w:tab w:val="right" w:pos="4733"/>
        </w:tabs>
        <w:spacing w:before="120" w:after="120"/>
        <w:ind w:left="1701" w:hanging="567"/>
        <w:jc w:val="both"/>
        <w:rPr>
          <w:rFonts w:eastAsia="Times New Roman" w:cs="Times New Roman"/>
          <w:vanish/>
          <w:color w:val="auto"/>
          <w:spacing w:val="3"/>
          <w:lang w:eastAsia="en-US"/>
        </w:rPr>
      </w:pPr>
    </w:p>
    <w:p w14:paraId="3C321B6C" w14:textId="0387BCDE" w:rsidR="002D7B36" w:rsidRPr="00DE12A3" w:rsidRDefault="00967438" w:rsidP="00E20716">
      <w:pPr>
        <w:pStyle w:val="ListeParagraf"/>
        <w:numPr>
          <w:ilvl w:val="0"/>
          <w:numId w:val="264"/>
        </w:numPr>
        <w:spacing w:before="120" w:after="120"/>
        <w:ind w:left="1701" w:hanging="567"/>
        <w:jc w:val="both"/>
        <w:rPr>
          <w:rFonts w:eastAsia="Times New Roman" w:cs="Times New Roman"/>
          <w:color w:val="auto"/>
          <w:spacing w:val="3"/>
          <w:lang w:eastAsia="en-US"/>
        </w:rPr>
      </w:pPr>
      <w:r w:rsidRPr="00DE12A3">
        <w:rPr>
          <w:rFonts w:eastAsia="Times New Roman" w:cs="Times New Roman"/>
          <w:color w:val="auto"/>
          <w:spacing w:val="3"/>
          <w:lang w:eastAsia="en-US"/>
        </w:rPr>
        <w:t xml:space="preserve">     </w:t>
      </w:r>
      <w:r w:rsidR="00242DA0" w:rsidRPr="00DE12A3">
        <w:rPr>
          <w:rFonts w:eastAsia="Times New Roman" w:cs="Times New Roman"/>
          <w:color w:val="auto"/>
          <w:spacing w:val="3"/>
          <w:lang w:eastAsia="en-US"/>
        </w:rPr>
        <w:t xml:space="preserve">Emisyon testi sırasında kullanılan sıfır gaz kullanılarak sıfır tepkisi kontrol edilir. 30 sn örneklenmiş verilerin ortalama sıfır tepkisi, bu bendin (e) paragrafında kullanılan referans ayar değeri ± </w:t>
      </w:r>
      <w:r w:rsidR="006F30D6" w:rsidRPr="00DE12A3">
        <w:rPr>
          <w:rFonts w:eastAsia="Times New Roman" w:cs="Times New Roman"/>
          <w:color w:val="auto"/>
          <w:spacing w:val="3"/>
          <w:lang w:eastAsia="en-US"/>
        </w:rPr>
        <w:t>%0,5</w:t>
      </w:r>
      <w:r w:rsidR="00242DA0" w:rsidRPr="00DE12A3">
        <w:rPr>
          <w:rFonts w:eastAsia="Times New Roman" w:cs="Times New Roman"/>
          <w:color w:val="auto"/>
          <w:spacing w:val="3"/>
          <w:lang w:eastAsia="en-US"/>
        </w:rPr>
        <w:t xml:space="preserve"> aralığı içinde ise bir sonraki adıma geçilir, aksi </w:t>
      </w:r>
      <w:r w:rsidR="00F70790" w:rsidRPr="00DE12A3">
        <w:rPr>
          <w:rFonts w:eastAsia="Times New Roman" w:cs="Times New Roman"/>
          <w:color w:val="auto"/>
          <w:spacing w:val="3"/>
          <w:lang w:eastAsia="en-US"/>
        </w:rPr>
        <w:t>takdirde prosedür bu bendin (d) numaralı alt bendinden</w:t>
      </w:r>
      <w:r w:rsidR="00242DA0" w:rsidRPr="00DE12A3">
        <w:rPr>
          <w:rFonts w:eastAsia="Times New Roman" w:cs="Times New Roman"/>
          <w:color w:val="auto"/>
          <w:spacing w:val="3"/>
          <w:lang w:eastAsia="en-US"/>
        </w:rPr>
        <w:t xml:space="preserve"> yeniden başlatılır</w:t>
      </w:r>
      <w:r w:rsidR="00F70790" w:rsidRPr="00DE12A3">
        <w:rPr>
          <w:rFonts w:eastAsia="Times New Roman" w:cs="Times New Roman"/>
          <w:color w:val="auto"/>
          <w:spacing w:val="3"/>
          <w:lang w:eastAsia="en-US"/>
        </w:rPr>
        <w:t>.</w:t>
      </w:r>
    </w:p>
    <w:p w14:paraId="6952DC44" w14:textId="77777777" w:rsidR="002D7B36" w:rsidRPr="00DE12A3" w:rsidRDefault="002D7B36" w:rsidP="00E20716">
      <w:pPr>
        <w:pStyle w:val="ListeParagraf"/>
        <w:numPr>
          <w:ilvl w:val="0"/>
          <w:numId w:val="265"/>
        </w:numPr>
        <w:tabs>
          <w:tab w:val="right" w:pos="4733"/>
        </w:tabs>
        <w:spacing w:before="120" w:after="120"/>
        <w:ind w:left="1701" w:hanging="567"/>
        <w:jc w:val="both"/>
        <w:rPr>
          <w:rFonts w:eastAsia="Times New Roman" w:cs="Times New Roman"/>
          <w:vanish/>
          <w:color w:val="auto"/>
          <w:spacing w:val="3"/>
          <w:lang w:eastAsia="en-US"/>
        </w:rPr>
      </w:pPr>
    </w:p>
    <w:p w14:paraId="2AD91B55" w14:textId="77777777" w:rsidR="002D7B36" w:rsidRPr="00DE12A3" w:rsidRDefault="002D7B36" w:rsidP="00E20716">
      <w:pPr>
        <w:pStyle w:val="ListeParagraf"/>
        <w:numPr>
          <w:ilvl w:val="0"/>
          <w:numId w:val="265"/>
        </w:numPr>
        <w:tabs>
          <w:tab w:val="right" w:pos="4733"/>
        </w:tabs>
        <w:spacing w:before="120" w:after="120"/>
        <w:ind w:left="1701" w:hanging="567"/>
        <w:jc w:val="both"/>
        <w:rPr>
          <w:rFonts w:eastAsia="Times New Roman" w:cs="Times New Roman"/>
          <w:vanish/>
          <w:color w:val="auto"/>
          <w:spacing w:val="3"/>
          <w:lang w:eastAsia="en-US"/>
        </w:rPr>
      </w:pPr>
    </w:p>
    <w:p w14:paraId="65FA64AB" w14:textId="77777777" w:rsidR="002D7B36" w:rsidRPr="00DE12A3" w:rsidRDefault="002D7B36" w:rsidP="00E20716">
      <w:pPr>
        <w:pStyle w:val="ListeParagraf"/>
        <w:numPr>
          <w:ilvl w:val="0"/>
          <w:numId w:val="265"/>
        </w:numPr>
        <w:tabs>
          <w:tab w:val="right" w:pos="4733"/>
        </w:tabs>
        <w:spacing w:before="120" w:after="120"/>
        <w:ind w:left="1701" w:hanging="567"/>
        <w:jc w:val="both"/>
        <w:rPr>
          <w:rFonts w:eastAsia="Times New Roman" w:cs="Times New Roman"/>
          <w:vanish/>
          <w:color w:val="auto"/>
          <w:spacing w:val="3"/>
          <w:lang w:eastAsia="en-US"/>
        </w:rPr>
      </w:pPr>
    </w:p>
    <w:p w14:paraId="51F4D753" w14:textId="77777777" w:rsidR="002D7B36" w:rsidRPr="00DE12A3" w:rsidRDefault="002D7B36" w:rsidP="00E20716">
      <w:pPr>
        <w:pStyle w:val="ListeParagraf"/>
        <w:numPr>
          <w:ilvl w:val="0"/>
          <w:numId w:val="265"/>
        </w:numPr>
        <w:tabs>
          <w:tab w:val="right" w:pos="4733"/>
        </w:tabs>
        <w:spacing w:before="120" w:after="120"/>
        <w:ind w:left="1701" w:hanging="567"/>
        <w:jc w:val="both"/>
        <w:rPr>
          <w:rFonts w:eastAsia="Times New Roman" w:cs="Times New Roman"/>
          <w:vanish/>
          <w:color w:val="auto"/>
          <w:spacing w:val="3"/>
          <w:lang w:eastAsia="en-US"/>
        </w:rPr>
      </w:pPr>
    </w:p>
    <w:p w14:paraId="38F577E0" w14:textId="77777777" w:rsidR="002D7B36" w:rsidRPr="00DE12A3" w:rsidRDefault="002D7B36" w:rsidP="00E20716">
      <w:pPr>
        <w:pStyle w:val="ListeParagraf"/>
        <w:numPr>
          <w:ilvl w:val="0"/>
          <w:numId w:val="265"/>
        </w:numPr>
        <w:tabs>
          <w:tab w:val="right" w:pos="4733"/>
        </w:tabs>
        <w:spacing w:before="120" w:after="120"/>
        <w:ind w:left="1701" w:hanging="567"/>
        <w:jc w:val="both"/>
        <w:rPr>
          <w:rFonts w:eastAsia="Times New Roman" w:cs="Times New Roman"/>
          <w:vanish/>
          <w:color w:val="auto"/>
          <w:spacing w:val="3"/>
          <w:lang w:eastAsia="en-US"/>
        </w:rPr>
      </w:pPr>
    </w:p>
    <w:p w14:paraId="3C04955B" w14:textId="77777777" w:rsidR="002D7B36" w:rsidRPr="00DE12A3" w:rsidRDefault="002D7B36" w:rsidP="00E20716">
      <w:pPr>
        <w:pStyle w:val="ListeParagraf"/>
        <w:numPr>
          <w:ilvl w:val="0"/>
          <w:numId w:val="265"/>
        </w:numPr>
        <w:tabs>
          <w:tab w:val="right" w:pos="4733"/>
        </w:tabs>
        <w:spacing w:before="120" w:after="120"/>
        <w:ind w:left="1701" w:hanging="567"/>
        <w:jc w:val="both"/>
        <w:rPr>
          <w:rFonts w:eastAsia="Times New Roman" w:cs="Times New Roman"/>
          <w:vanish/>
          <w:color w:val="auto"/>
          <w:spacing w:val="3"/>
          <w:lang w:eastAsia="en-US"/>
        </w:rPr>
      </w:pPr>
    </w:p>
    <w:p w14:paraId="16E29AC1" w14:textId="77777777" w:rsidR="002D7B36" w:rsidRPr="00DE12A3" w:rsidRDefault="00242DA0" w:rsidP="00E20716">
      <w:pPr>
        <w:pStyle w:val="ListeParagraf"/>
        <w:numPr>
          <w:ilvl w:val="0"/>
          <w:numId w:val="265"/>
        </w:numPr>
        <w:spacing w:before="120" w:after="120"/>
        <w:ind w:left="1701" w:hanging="567"/>
        <w:jc w:val="both"/>
        <w:rPr>
          <w:rFonts w:eastAsia="Times New Roman" w:cs="Times New Roman"/>
          <w:color w:val="auto"/>
          <w:spacing w:val="3"/>
          <w:lang w:eastAsia="en-US"/>
        </w:rPr>
      </w:pPr>
      <w:r w:rsidRPr="00DE12A3">
        <w:rPr>
          <w:rFonts w:eastAsia="Times New Roman" w:cs="Times New Roman"/>
          <w:color w:val="auto"/>
          <w:spacing w:val="3"/>
          <w:lang w:eastAsia="en-US"/>
        </w:rPr>
        <w:t>Analiz cihazı tepkisi, test sırasında beklenen asgari O</w:t>
      </w:r>
      <w:r w:rsidRPr="00DE12A3">
        <w:rPr>
          <w:rFonts w:eastAsia="Times New Roman" w:cs="Times New Roman"/>
          <w:color w:val="auto"/>
          <w:spacing w:val="3"/>
          <w:vertAlign w:val="subscript"/>
          <w:lang w:eastAsia="en-US"/>
        </w:rPr>
        <w:t>2</w:t>
      </w:r>
      <w:r w:rsidRPr="00DE12A3">
        <w:rPr>
          <w:rFonts w:eastAsia="Times New Roman" w:cs="Times New Roman"/>
          <w:color w:val="auto"/>
          <w:spacing w:val="3"/>
          <w:lang w:eastAsia="en-US"/>
        </w:rPr>
        <w:t xml:space="preserve"> konsantrasyonuna sahip ayar gazı kullanılarak kontrol edilmelidir. 30 sn dengelenmiş numune verilerinin ortalama tepkisi x</w:t>
      </w:r>
      <w:r w:rsidRPr="00DE12A3">
        <w:rPr>
          <w:rFonts w:eastAsia="Times New Roman" w:cs="Times New Roman"/>
          <w:color w:val="auto"/>
          <w:spacing w:val="3"/>
          <w:vertAlign w:val="subscript"/>
          <w:lang w:eastAsia="en-US"/>
        </w:rPr>
        <w:t>O2minHC</w:t>
      </w:r>
      <w:r w:rsidRPr="00DE12A3">
        <w:rPr>
          <w:rFonts w:eastAsia="Times New Roman" w:cs="Times New Roman"/>
          <w:color w:val="auto"/>
          <w:spacing w:val="3"/>
          <w:lang w:eastAsia="en-US"/>
        </w:rPr>
        <w:t xml:space="preserve"> olarak kaydedilmelidir;</w:t>
      </w:r>
    </w:p>
    <w:p w14:paraId="0E5797A9" w14:textId="234776A9" w:rsidR="002D7B36" w:rsidRPr="00DE12A3" w:rsidRDefault="00242DA0" w:rsidP="00E20716">
      <w:pPr>
        <w:pStyle w:val="ListeParagraf"/>
        <w:numPr>
          <w:ilvl w:val="0"/>
          <w:numId w:val="265"/>
        </w:numPr>
        <w:spacing w:before="120" w:after="120"/>
        <w:ind w:left="1701" w:hanging="567"/>
        <w:jc w:val="both"/>
        <w:rPr>
          <w:rFonts w:eastAsia="Times New Roman" w:cs="Times New Roman"/>
          <w:color w:val="auto"/>
          <w:spacing w:val="3"/>
          <w:lang w:eastAsia="en-US"/>
        </w:rPr>
      </w:pPr>
      <w:r w:rsidRPr="00DE12A3">
        <w:rPr>
          <w:rFonts w:eastAsia="Times New Roman" w:cs="Times New Roman"/>
          <w:color w:val="auto"/>
          <w:spacing w:val="3"/>
          <w:lang w:eastAsia="en-US"/>
        </w:rPr>
        <w:t xml:space="preserve">FID analiz cihazının sıfır tepkisi, emisyon testi sırasında kullanılan sıfır gaz kullanılarak kontrol edilmelidir. 30 sn dengelenmiş numune verilerinin ortalama sıfır tepkisi, bu bendin (e) </w:t>
      </w:r>
      <w:r w:rsidR="00F70790" w:rsidRPr="00DE12A3">
        <w:rPr>
          <w:rFonts w:eastAsia="Times New Roman" w:cs="Times New Roman"/>
          <w:color w:val="auto"/>
          <w:spacing w:val="3"/>
          <w:lang w:eastAsia="en-US"/>
        </w:rPr>
        <w:t xml:space="preserve">numaralı alt bendinde </w:t>
      </w:r>
      <w:r w:rsidRPr="00DE12A3">
        <w:rPr>
          <w:rFonts w:eastAsia="Times New Roman" w:cs="Times New Roman"/>
          <w:color w:val="auto"/>
          <w:spacing w:val="3"/>
          <w:lang w:eastAsia="en-US"/>
        </w:rPr>
        <w:t xml:space="preserve">kullanılan referans ayar değeri ± </w:t>
      </w:r>
      <w:r w:rsidR="006F30D6" w:rsidRPr="00DE12A3">
        <w:rPr>
          <w:rFonts w:eastAsia="Times New Roman" w:cs="Times New Roman"/>
          <w:color w:val="auto"/>
          <w:spacing w:val="3"/>
          <w:lang w:eastAsia="en-US"/>
        </w:rPr>
        <w:t>%0,5</w:t>
      </w:r>
      <w:r w:rsidRPr="00DE12A3">
        <w:rPr>
          <w:rFonts w:eastAsia="Times New Roman" w:cs="Times New Roman"/>
          <w:color w:val="auto"/>
          <w:spacing w:val="3"/>
          <w:lang w:eastAsia="en-US"/>
        </w:rPr>
        <w:t xml:space="preserve"> aralığı içinde ise bir sonraki adım gerçekleştirilir</w:t>
      </w:r>
      <w:r w:rsidR="00F70790" w:rsidRPr="00DE12A3">
        <w:rPr>
          <w:rFonts w:eastAsia="Times New Roman" w:cs="Times New Roman"/>
          <w:color w:val="auto"/>
          <w:spacing w:val="3"/>
          <w:lang w:eastAsia="en-US"/>
        </w:rPr>
        <w:t>.</w:t>
      </w:r>
      <w:r w:rsidRPr="00DE12A3">
        <w:rPr>
          <w:rFonts w:eastAsia="Times New Roman" w:cs="Times New Roman"/>
          <w:color w:val="auto"/>
          <w:spacing w:val="3"/>
          <w:lang w:eastAsia="en-US"/>
        </w:rPr>
        <w:t xml:space="preserve"> </w:t>
      </w:r>
      <w:r w:rsidR="00F70790" w:rsidRPr="00DE12A3">
        <w:rPr>
          <w:rFonts w:eastAsia="Times New Roman" w:cs="Times New Roman"/>
          <w:color w:val="auto"/>
          <w:spacing w:val="3"/>
          <w:lang w:eastAsia="en-US"/>
        </w:rPr>
        <w:t>A</w:t>
      </w:r>
      <w:r w:rsidRPr="00DE12A3">
        <w:rPr>
          <w:rFonts w:eastAsia="Times New Roman" w:cs="Times New Roman"/>
          <w:color w:val="auto"/>
          <w:spacing w:val="3"/>
          <w:lang w:eastAsia="en-US"/>
        </w:rPr>
        <w:t xml:space="preserve">ksi takdirde prosedür bu bendin (d) </w:t>
      </w:r>
      <w:r w:rsidR="00F70790" w:rsidRPr="00DE12A3">
        <w:rPr>
          <w:rFonts w:eastAsia="Times New Roman" w:cs="Times New Roman"/>
          <w:color w:val="auto"/>
          <w:spacing w:val="3"/>
          <w:lang w:eastAsia="en-US"/>
        </w:rPr>
        <w:t xml:space="preserve">numaralı alt bendinden </w:t>
      </w:r>
      <w:r w:rsidRPr="00DE12A3">
        <w:rPr>
          <w:rFonts w:eastAsia="Times New Roman" w:cs="Times New Roman"/>
          <w:color w:val="auto"/>
          <w:spacing w:val="3"/>
          <w:lang w:eastAsia="en-US"/>
        </w:rPr>
        <w:t>yeniden başlatılır</w:t>
      </w:r>
      <w:r w:rsidR="00F70790" w:rsidRPr="00DE12A3">
        <w:rPr>
          <w:rFonts w:eastAsia="Times New Roman" w:cs="Times New Roman"/>
          <w:color w:val="auto"/>
          <w:spacing w:val="3"/>
          <w:lang w:eastAsia="en-US"/>
        </w:rPr>
        <w:t>.</w:t>
      </w:r>
    </w:p>
    <w:p w14:paraId="5161F50D" w14:textId="07A0071E" w:rsidR="002D7B36" w:rsidRPr="00DE12A3" w:rsidRDefault="00967438" w:rsidP="00E20716">
      <w:pPr>
        <w:pStyle w:val="ListeParagraf"/>
        <w:numPr>
          <w:ilvl w:val="0"/>
          <w:numId w:val="265"/>
        </w:numPr>
        <w:tabs>
          <w:tab w:val="left" w:pos="1418"/>
          <w:tab w:val="right" w:pos="4733"/>
        </w:tabs>
        <w:spacing w:before="120" w:after="120"/>
        <w:ind w:left="1701" w:hanging="567"/>
        <w:jc w:val="both"/>
        <w:rPr>
          <w:rFonts w:eastAsia="Times New Roman" w:cs="Times New Roman"/>
          <w:color w:val="auto"/>
          <w:spacing w:val="3"/>
          <w:lang w:eastAsia="en-US"/>
        </w:rPr>
      </w:pPr>
      <w:r w:rsidRPr="00DE12A3">
        <w:rPr>
          <w:rFonts w:eastAsia="Times New Roman" w:cs="Times New Roman"/>
          <w:color w:val="auto"/>
          <w:spacing w:val="3"/>
          <w:lang w:eastAsia="en-US"/>
        </w:rPr>
        <w:t xml:space="preserve">     </w:t>
      </w:r>
      <w:r w:rsidR="00242DA0" w:rsidRPr="00DE12A3">
        <w:rPr>
          <w:rFonts w:eastAsia="Times New Roman" w:cs="Times New Roman"/>
          <w:color w:val="auto"/>
          <w:spacing w:val="3"/>
          <w:lang w:eastAsia="en-US"/>
        </w:rPr>
        <w:t>Analiz cihazı tepkisi, test sırasında beklenen ortalama O</w:t>
      </w:r>
      <w:r w:rsidR="00242DA0" w:rsidRPr="00DE12A3">
        <w:rPr>
          <w:rFonts w:eastAsia="Times New Roman" w:cs="Times New Roman"/>
          <w:color w:val="auto"/>
          <w:spacing w:val="3"/>
          <w:vertAlign w:val="subscript"/>
          <w:lang w:eastAsia="en-US"/>
        </w:rPr>
        <w:t>2</w:t>
      </w:r>
      <w:r w:rsidR="00242DA0" w:rsidRPr="00DE12A3">
        <w:rPr>
          <w:rFonts w:eastAsia="Times New Roman" w:cs="Times New Roman"/>
          <w:color w:val="auto"/>
          <w:spacing w:val="3"/>
          <w:lang w:eastAsia="en-US"/>
        </w:rPr>
        <w:t xml:space="preserve"> konsantrasyonuna sahip ayar gazı kullanılarak kontrol edilmelidir. 30 sn dengelenmiş numune verilerinin ortalama tepkisi xO2avgHC olarak kaydedilmelidir</w:t>
      </w:r>
      <w:r w:rsidR="00F70790" w:rsidRPr="00DE12A3">
        <w:rPr>
          <w:rFonts w:eastAsia="Times New Roman" w:cs="Times New Roman"/>
          <w:color w:val="auto"/>
          <w:spacing w:val="3"/>
          <w:lang w:eastAsia="en-US"/>
        </w:rPr>
        <w:t>.</w:t>
      </w:r>
    </w:p>
    <w:p w14:paraId="3602D894" w14:textId="6223189E" w:rsidR="002D7B36" w:rsidRPr="00DE12A3" w:rsidRDefault="00242DA0" w:rsidP="00C917D6">
      <w:pPr>
        <w:tabs>
          <w:tab w:val="right" w:pos="4733"/>
        </w:tabs>
        <w:spacing w:before="120" w:after="120"/>
        <w:ind w:left="1701" w:hanging="567"/>
        <w:jc w:val="both"/>
        <w:rPr>
          <w:rFonts w:eastAsia="Times New Roman" w:cs="Times New Roman"/>
          <w:color w:val="auto"/>
          <w:spacing w:val="3"/>
          <w:lang w:eastAsia="en-US"/>
        </w:rPr>
      </w:pPr>
      <w:r w:rsidRPr="00DE12A3">
        <w:rPr>
          <w:rFonts w:eastAsia="Times New Roman" w:cs="Times New Roman"/>
          <w:color w:val="auto"/>
          <w:spacing w:val="3"/>
          <w:lang w:eastAsia="en-US"/>
        </w:rPr>
        <w:t>(j)</w:t>
      </w:r>
      <w:r w:rsidRPr="00DE12A3">
        <w:rPr>
          <w:rFonts w:eastAsia="Times New Roman" w:cs="Times New Roman"/>
          <w:color w:val="auto"/>
          <w:spacing w:val="3"/>
          <w:lang w:eastAsia="en-US"/>
        </w:rPr>
        <w:tab/>
        <w:t xml:space="preserve">FID analiz cihazının sıfır tepkisi, emisyon testi sırasında kullanılan sıfır gaz kullanılarak kontrol edilmelidir. 30 sn dengelenmiş numune verilerinin ortalama sıfır tepkisi, bu bendin (e) </w:t>
      </w:r>
      <w:r w:rsidR="00F70790" w:rsidRPr="00DE12A3">
        <w:rPr>
          <w:rFonts w:eastAsia="Times New Roman" w:cs="Times New Roman"/>
          <w:color w:val="auto"/>
          <w:spacing w:val="3"/>
          <w:lang w:eastAsia="en-US"/>
        </w:rPr>
        <w:t xml:space="preserve">numaralı alt bendinde </w:t>
      </w:r>
      <w:r w:rsidRPr="00DE12A3">
        <w:rPr>
          <w:rFonts w:eastAsia="Times New Roman" w:cs="Times New Roman"/>
          <w:color w:val="auto"/>
          <w:spacing w:val="3"/>
          <w:lang w:eastAsia="en-US"/>
        </w:rPr>
        <w:t xml:space="preserve">kullanılan referans ayar değeri ± </w:t>
      </w:r>
      <w:r w:rsidR="00CF5D85" w:rsidRPr="00DE12A3">
        <w:rPr>
          <w:rFonts w:eastAsia="Times New Roman" w:cs="Times New Roman"/>
          <w:color w:val="auto"/>
          <w:spacing w:val="3"/>
          <w:lang w:eastAsia="en-US"/>
        </w:rPr>
        <w:t>%0,5</w:t>
      </w:r>
      <w:r w:rsidRPr="00DE12A3">
        <w:rPr>
          <w:rFonts w:eastAsia="Times New Roman" w:cs="Times New Roman"/>
          <w:color w:val="auto"/>
          <w:spacing w:val="3"/>
          <w:lang w:eastAsia="en-US"/>
        </w:rPr>
        <w:t xml:space="preserve"> aralığı içinde ise bir sonraki adım gerçekleştirilir, aksi takdirde prosedür bu bendin (d) </w:t>
      </w:r>
      <w:r w:rsidR="00F70790" w:rsidRPr="00DE12A3">
        <w:rPr>
          <w:rFonts w:eastAsia="Times New Roman" w:cs="Times New Roman"/>
          <w:color w:val="auto"/>
          <w:spacing w:val="3"/>
          <w:lang w:eastAsia="en-US"/>
        </w:rPr>
        <w:t xml:space="preserve">numaralı alt bendinden </w:t>
      </w:r>
      <w:r w:rsidRPr="00DE12A3">
        <w:rPr>
          <w:rFonts w:eastAsia="Times New Roman" w:cs="Times New Roman"/>
          <w:color w:val="auto"/>
          <w:spacing w:val="3"/>
          <w:lang w:eastAsia="en-US"/>
        </w:rPr>
        <w:t>yeniden başlatılır</w:t>
      </w:r>
      <w:r w:rsidR="00F70790" w:rsidRPr="00DE12A3">
        <w:rPr>
          <w:rFonts w:eastAsia="Times New Roman" w:cs="Times New Roman"/>
          <w:color w:val="auto"/>
          <w:spacing w:val="3"/>
          <w:lang w:eastAsia="en-US"/>
        </w:rPr>
        <w:t>.</w:t>
      </w:r>
    </w:p>
    <w:p w14:paraId="263B6BFA" w14:textId="77745962" w:rsidR="002D7B36" w:rsidRPr="00DE12A3" w:rsidRDefault="00242DA0" w:rsidP="00C917D6">
      <w:pPr>
        <w:tabs>
          <w:tab w:val="left" w:pos="1418"/>
          <w:tab w:val="right" w:pos="4733"/>
        </w:tabs>
        <w:spacing w:before="120" w:after="120"/>
        <w:ind w:left="1560" w:hanging="426"/>
        <w:jc w:val="both"/>
        <w:rPr>
          <w:rFonts w:eastAsia="Times New Roman" w:cs="Times New Roman"/>
          <w:color w:val="auto"/>
          <w:spacing w:val="3"/>
          <w:lang w:eastAsia="en-US"/>
        </w:rPr>
      </w:pPr>
      <w:r w:rsidRPr="00DE12A3">
        <w:rPr>
          <w:rFonts w:eastAsia="Times New Roman" w:cs="Times New Roman"/>
          <w:color w:val="auto"/>
          <w:spacing w:val="3"/>
          <w:lang w:eastAsia="en-US"/>
        </w:rPr>
        <w:t xml:space="preserve">(k) </w:t>
      </w:r>
      <w:r w:rsidR="00967438" w:rsidRPr="00DE12A3">
        <w:rPr>
          <w:rFonts w:eastAsia="Times New Roman" w:cs="Times New Roman"/>
          <w:color w:val="auto"/>
          <w:spacing w:val="3"/>
          <w:lang w:eastAsia="en-US"/>
        </w:rPr>
        <w:t xml:space="preserve"> </w:t>
      </w:r>
      <w:r w:rsidRPr="00DE12A3">
        <w:rPr>
          <w:rFonts w:eastAsia="Times New Roman" w:cs="Times New Roman"/>
          <w:color w:val="auto"/>
          <w:spacing w:val="3"/>
          <w:lang w:eastAsia="en-US"/>
        </w:rPr>
        <w:t>Analiz cihazı tepkisi, test sırasında beklenen azami O</w:t>
      </w:r>
      <w:r w:rsidRPr="00DE12A3">
        <w:rPr>
          <w:rFonts w:eastAsia="Times New Roman" w:cs="Times New Roman"/>
          <w:color w:val="auto"/>
          <w:spacing w:val="3"/>
          <w:vertAlign w:val="subscript"/>
          <w:lang w:eastAsia="en-US"/>
        </w:rPr>
        <w:t>2</w:t>
      </w:r>
      <w:r w:rsidRPr="00DE12A3">
        <w:rPr>
          <w:rFonts w:eastAsia="Times New Roman" w:cs="Times New Roman"/>
          <w:color w:val="auto"/>
          <w:spacing w:val="3"/>
          <w:lang w:eastAsia="en-US"/>
        </w:rPr>
        <w:t xml:space="preserve"> konsantrasyonuna sahip ayar gazı kullanılarak kontrol edilmelidir. 30 sn dengelenmiş numune verilerinin ortalama tepkisi xO2maxHColarak kaydedilmelidir</w:t>
      </w:r>
      <w:r w:rsidR="00F70790" w:rsidRPr="00DE12A3">
        <w:rPr>
          <w:rFonts w:eastAsia="Times New Roman" w:cs="Times New Roman"/>
          <w:color w:val="auto"/>
          <w:spacing w:val="3"/>
          <w:lang w:eastAsia="en-US"/>
        </w:rPr>
        <w:t>.</w:t>
      </w:r>
    </w:p>
    <w:p w14:paraId="50AA10DD" w14:textId="0196D31B" w:rsidR="002D7B36" w:rsidRPr="00DE12A3" w:rsidRDefault="00242DA0" w:rsidP="00C917D6">
      <w:pPr>
        <w:tabs>
          <w:tab w:val="right" w:pos="4733"/>
        </w:tabs>
        <w:spacing w:before="120" w:after="120"/>
        <w:ind w:left="1701" w:hanging="567"/>
        <w:jc w:val="both"/>
        <w:rPr>
          <w:rFonts w:eastAsia="Times New Roman" w:cs="Times New Roman"/>
          <w:color w:val="auto"/>
          <w:spacing w:val="3"/>
          <w:lang w:eastAsia="en-US"/>
        </w:rPr>
      </w:pPr>
      <w:r w:rsidRPr="00DE12A3">
        <w:rPr>
          <w:rFonts w:eastAsia="Times New Roman" w:cs="Times New Roman"/>
          <w:color w:val="auto"/>
          <w:spacing w:val="3"/>
          <w:lang w:eastAsia="en-US"/>
        </w:rPr>
        <w:t>(l)</w:t>
      </w:r>
      <w:r w:rsidRPr="00DE12A3">
        <w:rPr>
          <w:rFonts w:eastAsia="Times New Roman" w:cs="Times New Roman"/>
          <w:color w:val="auto"/>
          <w:spacing w:val="3"/>
          <w:lang w:eastAsia="en-US"/>
        </w:rPr>
        <w:tab/>
        <w:t xml:space="preserve">FID analiz cihazının sıfır tepkisi, emisyon testi sırasında kullanılan sıfır gaz kullanılarak kontrol edilmelidir. 30 sn dengelenmiş numune verilerinin </w:t>
      </w:r>
      <w:r w:rsidRPr="00DE12A3">
        <w:rPr>
          <w:rFonts w:eastAsia="Times New Roman" w:cs="Times New Roman"/>
          <w:color w:val="auto"/>
          <w:spacing w:val="3"/>
          <w:lang w:eastAsia="en-US"/>
        </w:rPr>
        <w:lastRenderedPageBreak/>
        <w:t xml:space="preserve">ortalama sıfır tepkisi, bu bendin (e) </w:t>
      </w:r>
      <w:r w:rsidR="00F70790" w:rsidRPr="00DE12A3">
        <w:rPr>
          <w:rFonts w:eastAsia="Times New Roman" w:cs="Times New Roman"/>
          <w:color w:val="auto"/>
          <w:spacing w:val="3"/>
          <w:lang w:eastAsia="en-US"/>
        </w:rPr>
        <w:t xml:space="preserve">numaralı alt bendinde </w:t>
      </w:r>
      <w:r w:rsidRPr="00DE12A3">
        <w:rPr>
          <w:rFonts w:eastAsia="Times New Roman" w:cs="Times New Roman"/>
          <w:color w:val="auto"/>
          <w:spacing w:val="3"/>
          <w:lang w:eastAsia="en-US"/>
        </w:rPr>
        <w:t xml:space="preserve">kullanılan referans ayar değeri ± </w:t>
      </w:r>
      <w:r w:rsidR="00973AD0" w:rsidRPr="00DE12A3">
        <w:rPr>
          <w:rFonts w:eastAsia="Times New Roman" w:cs="Times New Roman"/>
          <w:color w:val="auto"/>
          <w:spacing w:val="3"/>
          <w:lang w:eastAsia="en-US"/>
        </w:rPr>
        <w:t>%0,5</w:t>
      </w:r>
      <w:r w:rsidRPr="00DE12A3">
        <w:rPr>
          <w:rFonts w:eastAsia="Times New Roman" w:cs="Times New Roman"/>
          <w:color w:val="auto"/>
          <w:spacing w:val="3"/>
          <w:lang w:eastAsia="en-US"/>
        </w:rPr>
        <w:t xml:space="preserve"> aralığı içinde ise bir sonraki adım gerçekleştirilir</w:t>
      </w:r>
      <w:r w:rsidR="00F70790" w:rsidRPr="00DE12A3">
        <w:rPr>
          <w:rFonts w:eastAsia="Times New Roman" w:cs="Times New Roman"/>
          <w:color w:val="auto"/>
          <w:spacing w:val="3"/>
          <w:lang w:eastAsia="en-US"/>
        </w:rPr>
        <w:t>.</w:t>
      </w:r>
      <w:r w:rsidRPr="00DE12A3">
        <w:rPr>
          <w:rFonts w:eastAsia="Times New Roman" w:cs="Times New Roman"/>
          <w:color w:val="auto"/>
          <w:spacing w:val="3"/>
          <w:lang w:eastAsia="en-US"/>
        </w:rPr>
        <w:t xml:space="preserve"> </w:t>
      </w:r>
      <w:r w:rsidR="00F70790" w:rsidRPr="00DE12A3">
        <w:rPr>
          <w:rFonts w:eastAsia="Times New Roman" w:cs="Times New Roman"/>
          <w:color w:val="auto"/>
          <w:spacing w:val="3"/>
          <w:lang w:eastAsia="en-US"/>
        </w:rPr>
        <w:t>A</w:t>
      </w:r>
      <w:r w:rsidRPr="00DE12A3">
        <w:rPr>
          <w:rFonts w:eastAsia="Times New Roman" w:cs="Times New Roman"/>
          <w:color w:val="auto"/>
          <w:spacing w:val="3"/>
          <w:lang w:eastAsia="en-US"/>
        </w:rPr>
        <w:t xml:space="preserve">ksi takdirde prosedür bu bendin (d) </w:t>
      </w:r>
      <w:r w:rsidR="00F70790" w:rsidRPr="00DE12A3">
        <w:rPr>
          <w:rFonts w:eastAsia="Times New Roman" w:cs="Times New Roman"/>
          <w:color w:val="auto"/>
          <w:spacing w:val="3"/>
          <w:lang w:eastAsia="en-US"/>
        </w:rPr>
        <w:t xml:space="preserve">numaralı alt bendinden </w:t>
      </w:r>
      <w:r w:rsidRPr="00DE12A3">
        <w:rPr>
          <w:rFonts w:eastAsia="Times New Roman" w:cs="Times New Roman"/>
          <w:color w:val="auto"/>
          <w:spacing w:val="3"/>
          <w:lang w:eastAsia="en-US"/>
        </w:rPr>
        <w:t>yeniden başlatılır</w:t>
      </w:r>
      <w:r w:rsidR="00F70790" w:rsidRPr="00DE12A3">
        <w:rPr>
          <w:rFonts w:eastAsia="Times New Roman" w:cs="Times New Roman"/>
          <w:color w:val="auto"/>
          <w:spacing w:val="3"/>
          <w:lang w:eastAsia="en-US"/>
        </w:rPr>
        <w:t>.</w:t>
      </w:r>
    </w:p>
    <w:p w14:paraId="2755CD39" w14:textId="122D725A" w:rsidR="002D7B36" w:rsidRPr="00DE12A3" w:rsidRDefault="00242DA0" w:rsidP="00C917D6">
      <w:pPr>
        <w:tabs>
          <w:tab w:val="right" w:pos="4733"/>
        </w:tabs>
        <w:spacing w:before="120" w:after="120"/>
        <w:ind w:left="1701" w:hanging="567"/>
        <w:jc w:val="both"/>
        <w:rPr>
          <w:rFonts w:eastAsia="Times New Roman" w:cs="Times New Roman"/>
          <w:color w:val="auto"/>
          <w:spacing w:val="3"/>
          <w:lang w:eastAsia="en-US"/>
        </w:rPr>
      </w:pPr>
      <w:r w:rsidRPr="00DE12A3">
        <w:rPr>
          <w:rFonts w:eastAsia="Times New Roman" w:cs="Times New Roman"/>
          <w:color w:val="auto"/>
          <w:spacing w:val="3"/>
          <w:lang w:eastAsia="en-US"/>
        </w:rPr>
        <w:t>(m)</w:t>
      </w:r>
      <w:r w:rsidR="00967438" w:rsidRPr="00DE12A3">
        <w:rPr>
          <w:rFonts w:eastAsia="Times New Roman" w:cs="Times New Roman"/>
          <w:color w:val="auto"/>
          <w:spacing w:val="3"/>
          <w:lang w:eastAsia="en-US"/>
        </w:rPr>
        <w:t xml:space="preserve">  </w:t>
      </w:r>
      <w:r w:rsidRPr="00DE12A3">
        <w:rPr>
          <w:rFonts w:eastAsia="Times New Roman" w:cs="Times New Roman"/>
          <w:color w:val="auto"/>
          <w:spacing w:val="3"/>
          <w:lang w:eastAsia="en-US"/>
        </w:rPr>
        <w:t>x</w:t>
      </w:r>
      <w:r w:rsidRPr="00DE12A3">
        <w:rPr>
          <w:rFonts w:eastAsia="Times New Roman" w:cs="Times New Roman"/>
          <w:color w:val="auto"/>
          <w:spacing w:val="3"/>
          <w:vertAlign w:val="subscript"/>
          <w:lang w:eastAsia="en-US"/>
        </w:rPr>
        <w:t>O2maxHC</w:t>
      </w:r>
      <w:r w:rsidRPr="00DE12A3">
        <w:rPr>
          <w:rFonts w:eastAsia="Times New Roman" w:cs="Times New Roman"/>
          <w:color w:val="auto"/>
          <w:spacing w:val="3"/>
          <w:lang w:eastAsia="en-US"/>
        </w:rPr>
        <w:t xml:space="preserve"> ve referans gaz konsantrasyonu arasındaki % fark hesaplanır. x</w:t>
      </w:r>
      <w:r w:rsidRPr="00DE12A3">
        <w:rPr>
          <w:rFonts w:eastAsia="Times New Roman" w:cs="Times New Roman"/>
          <w:color w:val="auto"/>
          <w:spacing w:val="3"/>
          <w:vertAlign w:val="subscript"/>
          <w:lang w:eastAsia="en-US"/>
        </w:rPr>
        <w:t>O2avgHC</w:t>
      </w:r>
      <w:r w:rsidRPr="00DE12A3">
        <w:rPr>
          <w:rFonts w:eastAsia="Times New Roman" w:cs="Times New Roman"/>
          <w:color w:val="auto"/>
          <w:spacing w:val="3"/>
          <w:lang w:eastAsia="en-US"/>
        </w:rPr>
        <w:t xml:space="preserve"> ve referans gaz konsantrasyonu arasındaki yüzde fark hesaplanır. x</w:t>
      </w:r>
      <w:r w:rsidRPr="00DE12A3">
        <w:rPr>
          <w:rFonts w:eastAsia="Times New Roman" w:cs="Times New Roman"/>
          <w:color w:val="auto"/>
          <w:spacing w:val="3"/>
          <w:vertAlign w:val="subscript"/>
          <w:lang w:eastAsia="en-US"/>
        </w:rPr>
        <w:t>O2minHC</w:t>
      </w:r>
      <w:r w:rsidRPr="00DE12A3">
        <w:rPr>
          <w:rFonts w:eastAsia="Times New Roman" w:cs="Times New Roman"/>
          <w:color w:val="auto"/>
          <w:spacing w:val="3"/>
          <w:lang w:eastAsia="en-US"/>
        </w:rPr>
        <w:t xml:space="preserve"> ve referans gaz konsantrasyonu arasındaki % fark hesaplanır. Üçünün azami % farkı belirlenir. Bu değer, O</w:t>
      </w:r>
      <w:r w:rsidRPr="00DE12A3">
        <w:rPr>
          <w:rFonts w:eastAsia="Times New Roman" w:cs="Times New Roman"/>
          <w:color w:val="auto"/>
          <w:spacing w:val="3"/>
          <w:vertAlign w:val="subscript"/>
          <w:lang w:eastAsia="en-US"/>
        </w:rPr>
        <w:t>2</w:t>
      </w:r>
      <w:r w:rsidRPr="00DE12A3">
        <w:rPr>
          <w:rFonts w:eastAsia="Times New Roman" w:cs="Times New Roman"/>
          <w:color w:val="auto"/>
          <w:spacing w:val="3"/>
          <w:lang w:eastAsia="en-US"/>
        </w:rPr>
        <w:t xml:space="preserve"> karışmasıdır</w:t>
      </w:r>
      <w:r w:rsidR="00F70790" w:rsidRPr="00DE12A3">
        <w:rPr>
          <w:rFonts w:eastAsia="Times New Roman" w:cs="Times New Roman"/>
          <w:color w:val="auto"/>
          <w:spacing w:val="3"/>
          <w:lang w:eastAsia="en-US"/>
        </w:rPr>
        <w:t>.</w:t>
      </w:r>
    </w:p>
    <w:p w14:paraId="21AEBC81" w14:textId="77DBEFDB" w:rsidR="002D7B36" w:rsidRPr="00DE12A3" w:rsidRDefault="00242DA0" w:rsidP="00C917D6">
      <w:pPr>
        <w:tabs>
          <w:tab w:val="right" w:pos="4733"/>
        </w:tabs>
        <w:spacing w:before="120" w:after="120"/>
        <w:ind w:left="1701" w:hanging="567"/>
        <w:jc w:val="both"/>
        <w:rPr>
          <w:rFonts w:eastAsia="Times New Roman" w:cs="Times New Roman"/>
          <w:color w:val="auto"/>
          <w:spacing w:val="3"/>
          <w:lang w:eastAsia="en-US"/>
        </w:rPr>
      </w:pPr>
      <w:r w:rsidRPr="00DE12A3">
        <w:rPr>
          <w:rFonts w:eastAsia="Times New Roman" w:cs="Times New Roman"/>
          <w:color w:val="auto"/>
          <w:spacing w:val="3"/>
          <w:lang w:eastAsia="en-US"/>
        </w:rPr>
        <w:t>(n)</w:t>
      </w:r>
      <w:r w:rsidRPr="00DE12A3">
        <w:rPr>
          <w:rFonts w:eastAsia="Times New Roman" w:cs="Times New Roman"/>
          <w:color w:val="auto"/>
          <w:spacing w:val="3"/>
          <w:lang w:eastAsia="en-US"/>
        </w:rPr>
        <w:tab/>
        <w:t>O</w:t>
      </w:r>
      <w:r w:rsidRPr="00DE12A3">
        <w:rPr>
          <w:rFonts w:eastAsia="Times New Roman" w:cs="Times New Roman"/>
          <w:color w:val="auto"/>
          <w:spacing w:val="3"/>
          <w:vertAlign w:val="subscript"/>
          <w:lang w:eastAsia="en-US"/>
        </w:rPr>
        <w:t>2</w:t>
      </w:r>
      <w:r w:rsidRPr="00DE12A3">
        <w:rPr>
          <w:rFonts w:eastAsia="Times New Roman" w:cs="Times New Roman"/>
          <w:color w:val="auto"/>
          <w:spacing w:val="3"/>
          <w:lang w:eastAsia="en-US"/>
        </w:rPr>
        <w:t xml:space="preserve"> karışması ± </w:t>
      </w:r>
      <w:r w:rsidR="00866145" w:rsidRPr="00DE12A3">
        <w:rPr>
          <w:rFonts w:eastAsia="Times New Roman" w:cs="Times New Roman"/>
          <w:color w:val="auto"/>
          <w:spacing w:val="3"/>
          <w:lang w:eastAsia="en-US"/>
        </w:rPr>
        <w:t>%3</w:t>
      </w:r>
      <w:r w:rsidRPr="00DE12A3">
        <w:rPr>
          <w:rFonts w:eastAsia="Times New Roman" w:cs="Times New Roman"/>
          <w:color w:val="auto"/>
          <w:spacing w:val="3"/>
          <w:lang w:eastAsia="en-US"/>
        </w:rPr>
        <w:t xml:space="preserve"> aralığı içindeyse, FID O</w:t>
      </w:r>
      <w:r w:rsidRPr="00DE12A3">
        <w:rPr>
          <w:rFonts w:eastAsia="Times New Roman" w:cs="Times New Roman"/>
          <w:color w:val="auto"/>
          <w:spacing w:val="3"/>
          <w:vertAlign w:val="subscript"/>
          <w:lang w:eastAsia="en-US"/>
        </w:rPr>
        <w:t>2</w:t>
      </w:r>
      <w:r w:rsidRPr="00DE12A3">
        <w:rPr>
          <w:rFonts w:eastAsia="Times New Roman" w:cs="Times New Roman"/>
          <w:color w:val="auto"/>
          <w:spacing w:val="3"/>
          <w:lang w:eastAsia="en-US"/>
        </w:rPr>
        <w:t xml:space="preserve"> karışması doğrulamasında başarılı olur</w:t>
      </w:r>
      <w:r w:rsidR="00F70790" w:rsidRPr="00DE12A3">
        <w:rPr>
          <w:rFonts w:eastAsia="Times New Roman" w:cs="Times New Roman"/>
          <w:color w:val="auto"/>
          <w:spacing w:val="3"/>
          <w:lang w:eastAsia="en-US"/>
        </w:rPr>
        <w:t>. A</w:t>
      </w:r>
      <w:r w:rsidRPr="00DE12A3">
        <w:rPr>
          <w:rFonts w:eastAsia="Times New Roman" w:cs="Times New Roman"/>
          <w:color w:val="auto"/>
          <w:spacing w:val="3"/>
          <w:lang w:eastAsia="en-US"/>
        </w:rPr>
        <w:t>ksi takdirde eksikliği gidermek için aşağıdakilerden bir veya birkaçının yapılması gerekir</w:t>
      </w:r>
      <w:r w:rsidR="00F70790" w:rsidRPr="00DE12A3">
        <w:rPr>
          <w:rFonts w:eastAsia="Times New Roman" w:cs="Times New Roman"/>
          <w:color w:val="auto"/>
          <w:spacing w:val="3"/>
          <w:lang w:eastAsia="en-US"/>
        </w:rPr>
        <w:t>;</w:t>
      </w:r>
    </w:p>
    <w:p w14:paraId="47826E90" w14:textId="4B8D8FDB" w:rsidR="002D7B36" w:rsidRPr="00DE12A3" w:rsidRDefault="00866145" w:rsidP="00E20716">
      <w:pPr>
        <w:numPr>
          <w:ilvl w:val="0"/>
          <w:numId w:val="266"/>
        </w:numPr>
        <w:spacing w:before="120" w:after="120"/>
        <w:ind w:left="2268" w:hanging="567"/>
        <w:jc w:val="both"/>
        <w:rPr>
          <w:rFonts w:eastAsia="Times New Roman" w:cs="Times New Roman"/>
          <w:color w:val="auto"/>
          <w:spacing w:val="3"/>
          <w:lang w:eastAsia="en-US"/>
        </w:rPr>
      </w:pPr>
      <w:r w:rsidRPr="00DE12A3">
        <w:rPr>
          <w:rFonts w:eastAsia="Times New Roman" w:cs="Times New Roman"/>
          <w:color w:val="auto"/>
          <w:spacing w:val="4"/>
          <w:lang w:eastAsia="en-US"/>
        </w:rPr>
        <w:t xml:space="preserve">   </w:t>
      </w:r>
      <w:r w:rsidR="00242DA0" w:rsidRPr="00DE12A3">
        <w:rPr>
          <w:rFonts w:eastAsia="Times New Roman" w:cs="Times New Roman"/>
          <w:color w:val="auto"/>
          <w:spacing w:val="4"/>
          <w:lang w:eastAsia="en-US"/>
        </w:rPr>
        <w:t>Prosedür sırasında bir hata yapılıp yapılmadığını belirlemek için doğrulama tekrarlanmalıdır</w:t>
      </w:r>
      <w:r w:rsidR="00F70790" w:rsidRPr="00DE12A3">
        <w:rPr>
          <w:rFonts w:eastAsia="Times New Roman" w:cs="Times New Roman"/>
          <w:color w:val="auto"/>
          <w:spacing w:val="4"/>
          <w:shd w:val="clear" w:color="auto" w:fill="FFFFFF"/>
          <w:lang w:eastAsia="en-US"/>
        </w:rPr>
        <w:t>.</w:t>
      </w:r>
    </w:p>
    <w:p w14:paraId="71D87203" w14:textId="10D4A299" w:rsidR="002D7B36" w:rsidRPr="00DE12A3" w:rsidRDefault="00866145" w:rsidP="00E20716">
      <w:pPr>
        <w:numPr>
          <w:ilvl w:val="0"/>
          <w:numId w:val="266"/>
        </w:numPr>
        <w:spacing w:before="120" w:after="120"/>
        <w:ind w:left="2268" w:hanging="567"/>
        <w:jc w:val="both"/>
        <w:rPr>
          <w:rFonts w:eastAsia="Times New Roman" w:cs="Times New Roman"/>
          <w:color w:val="auto"/>
          <w:spacing w:val="3"/>
          <w:lang w:eastAsia="en-US"/>
        </w:rPr>
      </w:pPr>
      <w:r w:rsidRPr="00DE12A3">
        <w:rPr>
          <w:rFonts w:eastAsia="Times New Roman" w:cs="Times New Roman"/>
          <w:color w:val="auto"/>
          <w:spacing w:val="4"/>
          <w:lang w:eastAsia="en-US"/>
        </w:rPr>
        <w:t xml:space="preserve">   </w:t>
      </w:r>
      <w:r w:rsidR="00242DA0" w:rsidRPr="00DE12A3">
        <w:rPr>
          <w:rFonts w:eastAsia="Times New Roman" w:cs="Times New Roman"/>
          <w:color w:val="auto"/>
          <w:spacing w:val="4"/>
          <w:lang w:eastAsia="en-US"/>
        </w:rPr>
        <w:t>Emisyon testi için daha yüksek veya daha düşük O</w:t>
      </w:r>
      <w:r w:rsidR="00242DA0" w:rsidRPr="00DE12A3">
        <w:rPr>
          <w:rFonts w:eastAsia="Times New Roman" w:cs="Times New Roman"/>
          <w:color w:val="auto"/>
          <w:spacing w:val="4"/>
          <w:vertAlign w:val="subscript"/>
          <w:lang w:eastAsia="en-US"/>
        </w:rPr>
        <w:t>2</w:t>
      </w:r>
      <w:r w:rsidR="00242DA0" w:rsidRPr="00DE12A3">
        <w:rPr>
          <w:rFonts w:eastAsia="Times New Roman" w:cs="Times New Roman"/>
          <w:color w:val="auto"/>
          <w:spacing w:val="4"/>
          <w:lang w:eastAsia="en-US"/>
        </w:rPr>
        <w:t xml:space="preserve"> konsantrasyonları içeren sıfır ve ayar gazları seçilmeli ve doğrulama tekrarlanmalıdır</w:t>
      </w:r>
      <w:r w:rsidR="00F70790" w:rsidRPr="00DE12A3">
        <w:rPr>
          <w:rFonts w:eastAsia="Times New Roman" w:cs="Times New Roman"/>
          <w:color w:val="auto"/>
          <w:spacing w:val="4"/>
          <w:shd w:val="clear" w:color="auto" w:fill="FFFFFF"/>
          <w:lang w:eastAsia="en-US"/>
        </w:rPr>
        <w:t>.</w:t>
      </w:r>
    </w:p>
    <w:p w14:paraId="179AC5EB" w14:textId="486E797C" w:rsidR="002D7B36" w:rsidRPr="00DE12A3" w:rsidRDefault="00866145" w:rsidP="00E20716">
      <w:pPr>
        <w:numPr>
          <w:ilvl w:val="0"/>
          <w:numId w:val="266"/>
        </w:numPr>
        <w:spacing w:before="120" w:after="120"/>
        <w:ind w:left="2268" w:hanging="567"/>
        <w:jc w:val="both"/>
        <w:rPr>
          <w:rFonts w:eastAsia="Times New Roman" w:cs="Times New Roman"/>
          <w:color w:val="auto"/>
          <w:spacing w:val="3"/>
          <w:lang w:eastAsia="en-US"/>
        </w:rPr>
      </w:pPr>
      <w:r w:rsidRPr="00DE12A3">
        <w:rPr>
          <w:rFonts w:eastAsia="Times New Roman" w:cs="Times New Roman"/>
          <w:color w:val="auto"/>
          <w:spacing w:val="4"/>
          <w:lang w:eastAsia="en-US"/>
        </w:rPr>
        <w:t xml:space="preserve">   </w:t>
      </w:r>
      <w:r w:rsidR="00242DA0" w:rsidRPr="00DE12A3">
        <w:rPr>
          <w:rFonts w:eastAsia="Times New Roman" w:cs="Times New Roman"/>
          <w:color w:val="auto"/>
          <w:spacing w:val="4"/>
          <w:lang w:eastAsia="en-US"/>
        </w:rPr>
        <w:t>FID brülör havası, yakıt ve numune akış hızları ayarlanmalıdır. Bu akış hızları, O</w:t>
      </w:r>
      <w:r w:rsidR="00242DA0" w:rsidRPr="00DE12A3">
        <w:rPr>
          <w:rFonts w:eastAsia="Times New Roman" w:cs="Times New Roman"/>
          <w:color w:val="auto"/>
          <w:spacing w:val="4"/>
          <w:vertAlign w:val="subscript"/>
          <w:lang w:eastAsia="en-US"/>
        </w:rPr>
        <w:t>2</w:t>
      </w:r>
      <w:r w:rsidR="00242DA0" w:rsidRPr="00DE12A3">
        <w:rPr>
          <w:rFonts w:eastAsia="Times New Roman" w:cs="Times New Roman"/>
          <w:color w:val="auto"/>
          <w:spacing w:val="4"/>
          <w:lang w:eastAsia="en-US"/>
        </w:rPr>
        <w:t xml:space="preserve"> karışması doğrulamasını sağlamak için bir THC FID üzerinde ayarlanırsa, bir sonraki </w:t>
      </w:r>
      <w:r w:rsidR="00242DA0" w:rsidRPr="00DE12A3">
        <w:rPr>
          <w:rFonts w:eastAsia="Times New Roman" w:cs="Times New Roman"/>
          <w:i/>
          <w:iCs/>
          <w:color w:val="auto"/>
          <w:spacing w:val="4"/>
          <w:lang w:eastAsia="en-US"/>
        </w:rPr>
        <w:t>RF</w:t>
      </w:r>
      <w:r w:rsidR="00242DA0" w:rsidRPr="00DE12A3">
        <w:rPr>
          <w:rFonts w:eastAsia="Times New Roman" w:cs="Times New Roman"/>
          <w:color w:val="auto"/>
          <w:spacing w:val="4"/>
          <w:vertAlign w:val="subscript"/>
          <w:lang w:eastAsia="en-US"/>
        </w:rPr>
        <w:t>CH4</w:t>
      </w:r>
      <w:r w:rsidR="00242DA0" w:rsidRPr="00DE12A3">
        <w:rPr>
          <w:rFonts w:eastAsia="Times New Roman" w:cs="Times New Roman"/>
          <w:color w:val="auto"/>
          <w:spacing w:val="4"/>
          <w:lang w:eastAsia="en-US"/>
        </w:rPr>
        <w:t xml:space="preserve"> doğrulaması için </w:t>
      </w:r>
      <w:r w:rsidR="00242DA0" w:rsidRPr="00DE12A3">
        <w:rPr>
          <w:rFonts w:eastAsia="Times New Roman" w:cs="Times New Roman"/>
          <w:i/>
          <w:iCs/>
          <w:color w:val="auto"/>
          <w:spacing w:val="4"/>
          <w:lang w:eastAsia="en-US"/>
        </w:rPr>
        <w:t>RF</w:t>
      </w:r>
      <w:r w:rsidR="00242DA0" w:rsidRPr="00DE12A3">
        <w:rPr>
          <w:rFonts w:eastAsia="Times New Roman" w:cs="Times New Roman"/>
          <w:color w:val="auto"/>
          <w:spacing w:val="4"/>
          <w:vertAlign w:val="subscript"/>
          <w:lang w:eastAsia="en-US"/>
        </w:rPr>
        <w:t>CH4</w:t>
      </w:r>
      <w:r w:rsidR="00242DA0" w:rsidRPr="00DE12A3">
        <w:rPr>
          <w:rFonts w:eastAsia="Times New Roman" w:cs="Times New Roman"/>
          <w:color w:val="auto"/>
          <w:spacing w:val="4"/>
          <w:lang w:eastAsia="en-US"/>
        </w:rPr>
        <w:t>'ün sıfırlanması gerektiğini unutmayın. O</w:t>
      </w:r>
      <w:r w:rsidR="00242DA0" w:rsidRPr="00DE12A3">
        <w:rPr>
          <w:rFonts w:eastAsia="Times New Roman" w:cs="Times New Roman"/>
          <w:color w:val="auto"/>
          <w:spacing w:val="4"/>
          <w:vertAlign w:val="subscript"/>
          <w:lang w:eastAsia="en-US"/>
        </w:rPr>
        <w:t>2</w:t>
      </w:r>
      <w:r w:rsidR="00242DA0" w:rsidRPr="00DE12A3">
        <w:rPr>
          <w:rFonts w:eastAsia="Times New Roman" w:cs="Times New Roman"/>
          <w:color w:val="auto"/>
          <w:spacing w:val="4"/>
          <w:lang w:eastAsia="en-US"/>
        </w:rPr>
        <w:t xml:space="preserve"> karışması doğrulaması ayar yapıldıktan sonra tekrarlanmalı ve </w:t>
      </w:r>
      <w:r w:rsidR="00242DA0" w:rsidRPr="00DE12A3">
        <w:rPr>
          <w:rFonts w:eastAsia="Times New Roman" w:cs="Times New Roman"/>
          <w:i/>
          <w:iCs/>
          <w:color w:val="auto"/>
          <w:spacing w:val="4"/>
          <w:lang w:eastAsia="en-US"/>
        </w:rPr>
        <w:t>RF</w:t>
      </w:r>
      <w:r w:rsidR="00242DA0" w:rsidRPr="00DE12A3">
        <w:rPr>
          <w:rFonts w:eastAsia="Times New Roman" w:cs="Times New Roman"/>
          <w:color w:val="auto"/>
          <w:spacing w:val="4"/>
          <w:vertAlign w:val="subscript"/>
          <w:lang w:eastAsia="en-US"/>
        </w:rPr>
        <w:t>CH4</w:t>
      </w:r>
      <w:r w:rsidR="00242DA0" w:rsidRPr="00DE12A3">
        <w:rPr>
          <w:rFonts w:eastAsia="Times New Roman" w:cs="Times New Roman"/>
          <w:color w:val="auto"/>
          <w:spacing w:val="4"/>
          <w:lang w:eastAsia="en-US"/>
        </w:rPr>
        <w:t xml:space="preserve"> belirlenmelidir</w:t>
      </w:r>
      <w:r w:rsidR="00F70790" w:rsidRPr="00DE12A3">
        <w:rPr>
          <w:rFonts w:eastAsia="Times New Roman" w:cs="Times New Roman"/>
          <w:color w:val="auto"/>
          <w:spacing w:val="4"/>
          <w:shd w:val="clear" w:color="auto" w:fill="FFFFFF"/>
          <w:lang w:eastAsia="en-US"/>
        </w:rPr>
        <w:t>.</w:t>
      </w:r>
    </w:p>
    <w:p w14:paraId="27A78058" w14:textId="77777777" w:rsidR="002D7B36" w:rsidRPr="00DE12A3" w:rsidRDefault="00866145" w:rsidP="00E20716">
      <w:pPr>
        <w:numPr>
          <w:ilvl w:val="0"/>
          <w:numId w:val="266"/>
        </w:numPr>
        <w:spacing w:before="120" w:after="120"/>
        <w:ind w:left="2268" w:hanging="567"/>
        <w:jc w:val="both"/>
        <w:rPr>
          <w:rFonts w:eastAsia="Times New Roman" w:cs="Times New Roman"/>
          <w:color w:val="auto"/>
          <w:spacing w:val="3"/>
          <w:lang w:eastAsia="en-US"/>
        </w:rPr>
      </w:pPr>
      <w:r w:rsidRPr="00DE12A3">
        <w:rPr>
          <w:rFonts w:eastAsia="Times New Roman" w:cs="Times New Roman"/>
          <w:color w:val="auto"/>
          <w:spacing w:val="4"/>
          <w:lang w:eastAsia="en-US"/>
        </w:rPr>
        <w:t xml:space="preserve">   </w:t>
      </w:r>
      <w:r w:rsidR="00242DA0" w:rsidRPr="00DE12A3">
        <w:rPr>
          <w:rFonts w:eastAsia="Times New Roman" w:cs="Times New Roman"/>
          <w:color w:val="auto"/>
          <w:spacing w:val="4"/>
          <w:lang w:eastAsia="en-US"/>
        </w:rPr>
        <w:t>FID onarılmalı veya değiştirilmeli ve O</w:t>
      </w:r>
      <w:r w:rsidR="00242DA0" w:rsidRPr="00DE12A3">
        <w:rPr>
          <w:rFonts w:eastAsia="Times New Roman" w:cs="Times New Roman"/>
          <w:color w:val="auto"/>
          <w:spacing w:val="4"/>
          <w:vertAlign w:val="subscript"/>
          <w:lang w:eastAsia="en-US"/>
        </w:rPr>
        <w:t>2</w:t>
      </w:r>
      <w:r w:rsidR="00242DA0" w:rsidRPr="00DE12A3">
        <w:rPr>
          <w:rFonts w:eastAsia="Times New Roman" w:cs="Times New Roman"/>
          <w:color w:val="auto"/>
          <w:spacing w:val="4"/>
          <w:lang w:eastAsia="en-US"/>
        </w:rPr>
        <w:t xml:space="preserve"> karışması doğrulaması tekrarlanmalıdır</w:t>
      </w:r>
      <w:r w:rsidR="00242DA0" w:rsidRPr="00DE12A3">
        <w:rPr>
          <w:rFonts w:eastAsia="Times New Roman" w:cs="Times New Roman"/>
          <w:color w:val="auto"/>
          <w:spacing w:val="4"/>
          <w:shd w:val="clear" w:color="auto" w:fill="FFFFFF"/>
          <w:lang w:eastAsia="en-US"/>
        </w:rPr>
        <w:t>.</w:t>
      </w:r>
    </w:p>
    <w:p w14:paraId="5FF37DBE" w14:textId="77777777" w:rsidR="002D7B36" w:rsidRPr="00DE12A3" w:rsidRDefault="00242DA0" w:rsidP="00E20716">
      <w:pPr>
        <w:numPr>
          <w:ilvl w:val="0"/>
          <w:numId w:val="267"/>
        </w:numPr>
        <w:tabs>
          <w:tab w:val="left" w:pos="851"/>
        </w:tabs>
        <w:spacing w:before="120" w:after="120"/>
        <w:ind w:left="1134" w:hanging="1134"/>
        <w:jc w:val="both"/>
        <w:rPr>
          <w:rFonts w:eastAsia="Times New Roman" w:cs="Times New Roman"/>
          <w:color w:val="auto"/>
          <w:spacing w:val="3"/>
          <w:lang w:eastAsia="en-US"/>
        </w:rPr>
      </w:pPr>
      <w:r w:rsidRPr="00DE12A3">
        <w:rPr>
          <w:rFonts w:eastAsia="Times New Roman" w:cs="Times New Roman"/>
          <w:color w:val="auto"/>
          <w:spacing w:val="4"/>
          <w:lang w:eastAsia="en-US"/>
        </w:rPr>
        <w:t>Metan dışı kesici penetrasyon oranları (Ayrılmış)</w:t>
      </w:r>
    </w:p>
    <w:p w14:paraId="1B2BD0B2" w14:textId="34899646" w:rsidR="002D7B36" w:rsidRPr="00DE12A3" w:rsidRDefault="00242DA0" w:rsidP="00E20716">
      <w:pPr>
        <w:numPr>
          <w:ilvl w:val="0"/>
          <w:numId w:val="268"/>
        </w:numPr>
        <w:spacing w:before="120" w:after="120"/>
        <w:ind w:left="1134" w:hanging="1134"/>
        <w:jc w:val="both"/>
        <w:rPr>
          <w:rFonts w:eastAsia="Times New Roman" w:cs="Times New Roman"/>
          <w:color w:val="auto"/>
          <w:spacing w:val="3"/>
          <w:lang w:eastAsia="en-US"/>
        </w:rPr>
      </w:pPr>
      <w:r w:rsidRPr="00DE12A3">
        <w:rPr>
          <w:rFonts w:eastAsia="Times New Roman" w:cs="Times New Roman"/>
          <w:color w:val="auto"/>
          <w:spacing w:val="4"/>
          <w:shd w:val="clear" w:color="auto" w:fill="FFFFFF"/>
          <w:lang w:eastAsia="en-US"/>
        </w:rPr>
        <w:t>NO</w:t>
      </w:r>
      <w:r w:rsidRPr="00DE12A3">
        <w:rPr>
          <w:rFonts w:eastAsia="Times New Roman" w:cs="Times New Roman"/>
          <w:color w:val="auto"/>
          <w:spacing w:val="4"/>
          <w:shd w:val="clear" w:color="auto" w:fill="FFFFFF"/>
          <w:vertAlign w:val="subscript"/>
          <w:lang w:eastAsia="en-US"/>
        </w:rPr>
        <w:t>x</w:t>
      </w:r>
      <w:r w:rsidRPr="00DE12A3">
        <w:rPr>
          <w:rFonts w:eastAsia="Times New Roman" w:cs="Times New Roman"/>
          <w:color w:val="auto"/>
          <w:spacing w:val="4"/>
          <w:lang w:eastAsia="en-US"/>
        </w:rPr>
        <w:t>ölçümleri</w:t>
      </w:r>
    </w:p>
    <w:p w14:paraId="7AF1FB00" w14:textId="77777777" w:rsidR="002D7B36" w:rsidRPr="00DE12A3" w:rsidRDefault="00866145" w:rsidP="00E20716">
      <w:pPr>
        <w:numPr>
          <w:ilvl w:val="0"/>
          <w:numId w:val="269"/>
        </w:numPr>
        <w:tabs>
          <w:tab w:val="left" w:pos="871"/>
        </w:tabs>
        <w:spacing w:before="120" w:after="120"/>
        <w:ind w:left="1134" w:hanging="1134"/>
        <w:jc w:val="both"/>
        <w:rPr>
          <w:rFonts w:eastAsia="Times New Roman" w:cs="Times New Roman"/>
          <w:color w:val="auto"/>
          <w:spacing w:val="3"/>
          <w:lang w:eastAsia="en-US"/>
        </w:rPr>
      </w:pPr>
      <w:r w:rsidRPr="00DE12A3">
        <w:rPr>
          <w:rFonts w:eastAsia="Times New Roman" w:cs="Times New Roman"/>
          <w:color w:val="auto"/>
          <w:spacing w:val="4"/>
          <w:shd w:val="clear" w:color="auto" w:fill="FFFFFF"/>
          <w:lang w:eastAsia="en-US"/>
        </w:rPr>
        <w:t xml:space="preserve">    </w:t>
      </w:r>
      <w:r w:rsidR="00242DA0" w:rsidRPr="00DE12A3">
        <w:rPr>
          <w:rFonts w:eastAsia="Times New Roman" w:cs="Times New Roman"/>
          <w:color w:val="auto"/>
          <w:spacing w:val="4"/>
          <w:shd w:val="clear" w:color="auto" w:fill="FFFFFF"/>
          <w:lang w:eastAsia="en-US"/>
        </w:rPr>
        <w:t>CLD CO</w:t>
      </w:r>
      <w:r w:rsidR="00242DA0" w:rsidRPr="00DE12A3">
        <w:rPr>
          <w:rFonts w:eastAsia="Times New Roman" w:cs="Times New Roman"/>
          <w:color w:val="auto"/>
          <w:spacing w:val="4"/>
          <w:shd w:val="clear" w:color="auto" w:fill="FFFFFF"/>
          <w:vertAlign w:val="subscript"/>
          <w:lang w:eastAsia="en-US"/>
        </w:rPr>
        <w:t>2</w:t>
      </w:r>
      <w:r w:rsidR="00242DA0" w:rsidRPr="00DE12A3">
        <w:rPr>
          <w:rFonts w:eastAsia="Times New Roman" w:cs="Times New Roman"/>
          <w:color w:val="auto"/>
          <w:spacing w:val="4"/>
          <w:lang w:eastAsia="en-US"/>
        </w:rPr>
        <w:t>ve H</w:t>
      </w:r>
      <w:r w:rsidR="00242DA0" w:rsidRPr="00DE12A3">
        <w:rPr>
          <w:rFonts w:eastAsia="Times New Roman" w:cs="Times New Roman"/>
          <w:color w:val="auto"/>
          <w:spacing w:val="4"/>
          <w:vertAlign w:val="subscript"/>
          <w:lang w:eastAsia="en-US"/>
        </w:rPr>
        <w:t>2</w:t>
      </w:r>
      <w:r w:rsidR="00242DA0" w:rsidRPr="00DE12A3">
        <w:rPr>
          <w:rFonts w:eastAsia="Times New Roman" w:cs="Times New Roman"/>
          <w:color w:val="auto"/>
          <w:spacing w:val="4"/>
          <w:lang w:eastAsia="en-US"/>
        </w:rPr>
        <w:t>O soğutma doğrulaması</w:t>
      </w:r>
    </w:p>
    <w:p w14:paraId="30373400" w14:textId="77777777" w:rsidR="002D7B36" w:rsidRPr="00DE12A3" w:rsidRDefault="00242DA0" w:rsidP="00E20716">
      <w:pPr>
        <w:numPr>
          <w:ilvl w:val="0"/>
          <w:numId w:val="270"/>
        </w:numPr>
        <w:tabs>
          <w:tab w:val="left" w:pos="871"/>
        </w:tabs>
        <w:spacing w:before="120" w:after="120"/>
        <w:ind w:left="1134" w:hanging="1134"/>
        <w:jc w:val="both"/>
        <w:rPr>
          <w:rFonts w:eastAsia="Times New Roman" w:cs="Times New Roman"/>
          <w:color w:val="auto"/>
          <w:spacing w:val="3"/>
          <w:lang w:eastAsia="en-US"/>
        </w:rPr>
      </w:pPr>
      <w:r w:rsidRPr="00DE12A3">
        <w:rPr>
          <w:rFonts w:eastAsia="Times New Roman" w:cs="Times New Roman"/>
          <w:color w:val="auto"/>
          <w:spacing w:val="4"/>
          <w:lang w:eastAsia="en-US"/>
        </w:rPr>
        <w:t>Kapsam ve sıklık</w:t>
      </w:r>
    </w:p>
    <w:p w14:paraId="50D2A75C" w14:textId="77777777" w:rsidR="002D7B36" w:rsidRPr="00DE12A3" w:rsidRDefault="00866145" w:rsidP="00C917D6">
      <w:pPr>
        <w:spacing w:before="120" w:after="120"/>
        <w:ind w:left="1134" w:hanging="1134"/>
        <w:jc w:val="both"/>
        <w:rPr>
          <w:rFonts w:eastAsia="Times New Roman" w:cs="Times New Roman"/>
          <w:color w:val="auto"/>
          <w:spacing w:val="3"/>
          <w:lang w:eastAsia="en-US"/>
        </w:rPr>
      </w:pPr>
      <w:r w:rsidRPr="00DE12A3">
        <w:rPr>
          <w:rFonts w:eastAsia="Times New Roman" w:cs="Times New Roman"/>
          <w:color w:val="auto"/>
          <w:spacing w:val="4"/>
          <w:lang w:eastAsia="en-US"/>
        </w:rPr>
        <w:t xml:space="preserve">                  </w:t>
      </w:r>
      <w:r w:rsidR="00242DA0" w:rsidRPr="00DE12A3">
        <w:rPr>
          <w:rFonts w:eastAsia="Times New Roman" w:cs="Times New Roman"/>
          <w:color w:val="auto"/>
          <w:spacing w:val="4"/>
          <w:lang w:eastAsia="en-US"/>
        </w:rPr>
        <w:t>NO</w:t>
      </w:r>
      <w:r w:rsidR="00242DA0" w:rsidRPr="00DE12A3">
        <w:rPr>
          <w:rFonts w:eastAsia="Times New Roman" w:cs="Times New Roman"/>
          <w:color w:val="auto"/>
          <w:spacing w:val="4"/>
          <w:vertAlign w:val="subscript"/>
          <w:lang w:eastAsia="en-US"/>
        </w:rPr>
        <w:t>x</w:t>
      </w:r>
      <w:r w:rsidR="00242DA0" w:rsidRPr="00DE12A3">
        <w:rPr>
          <w:rFonts w:eastAsia="Times New Roman" w:cs="Times New Roman"/>
          <w:color w:val="auto"/>
          <w:spacing w:val="4"/>
          <w:lang w:eastAsia="en-US"/>
        </w:rPr>
        <w:t xml:space="preserve"> ölçmek için bir CLD analiz cihazı kullanılırsa, CLD analiz cihazı montajından sonra ve büyük bir bakım sonrasında H</w:t>
      </w:r>
      <w:r w:rsidR="00242DA0" w:rsidRPr="00DE12A3">
        <w:rPr>
          <w:rFonts w:eastAsia="Times New Roman" w:cs="Times New Roman"/>
          <w:color w:val="auto"/>
          <w:spacing w:val="4"/>
          <w:vertAlign w:val="subscript"/>
          <w:lang w:eastAsia="en-US"/>
        </w:rPr>
        <w:t>2</w:t>
      </w:r>
      <w:r w:rsidR="00242DA0" w:rsidRPr="00DE12A3">
        <w:rPr>
          <w:rFonts w:eastAsia="Times New Roman" w:cs="Times New Roman"/>
          <w:color w:val="auto"/>
          <w:spacing w:val="4"/>
          <w:lang w:eastAsia="en-US"/>
        </w:rPr>
        <w:t>O ve CO</w:t>
      </w:r>
      <w:r w:rsidR="00242DA0" w:rsidRPr="00DE12A3">
        <w:rPr>
          <w:rFonts w:eastAsia="Times New Roman" w:cs="Times New Roman"/>
          <w:color w:val="auto"/>
          <w:spacing w:val="4"/>
          <w:vertAlign w:val="subscript"/>
          <w:lang w:eastAsia="en-US"/>
        </w:rPr>
        <w:t>2</w:t>
      </w:r>
      <w:r w:rsidR="00242DA0" w:rsidRPr="00DE12A3">
        <w:rPr>
          <w:rFonts w:eastAsia="Times New Roman" w:cs="Times New Roman"/>
          <w:color w:val="auto"/>
          <w:spacing w:val="4"/>
          <w:lang w:eastAsia="en-US"/>
        </w:rPr>
        <w:t xml:space="preserve"> soğutma miktarı doğrulanmalıdır</w:t>
      </w:r>
      <w:r w:rsidR="00242DA0" w:rsidRPr="00DE12A3">
        <w:rPr>
          <w:rFonts w:eastAsia="Times New Roman" w:cs="Times New Roman"/>
          <w:color w:val="auto"/>
          <w:spacing w:val="4"/>
          <w:shd w:val="clear" w:color="auto" w:fill="FFFFFF"/>
          <w:lang w:eastAsia="en-US"/>
        </w:rPr>
        <w:t>.</w:t>
      </w:r>
    </w:p>
    <w:p w14:paraId="3C6B5993" w14:textId="77777777" w:rsidR="002D7B36" w:rsidRPr="00DE12A3" w:rsidRDefault="00242DA0" w:rsidP="00E20716">
      <w:pPr>
        <w:numPr>
          <w:ilvl w:val="0"/>
          <w:numId w:val="270"/>
        </w:numPr>
        <w:tabs>
          <w:tab w:val="left" w:pos="871"/>
        </w:tabs>
        <w:spacing w:before="120" w:after="120"/>
        <w:ind w:left="1134" w:hanging="1134"/>
        <w:jc w:val="both"/>
        <w:rPr>
          <w:rFonts w:eastAsia="Times New Roman" w:cs="Times New Roman"/>
          <w:color w:val="auto"/>
          <w:spacing w:val="3"/>
          <w:lang w:eastAsia="en-US"/>
        </w:rPr>
      </w:pPr>
      <w:r w:rsidRPr="00DE12A3">
        <w:rPr>
          <w:rFonts w:eastAsia="Times New Roman" w:cs="Times New Roman"/>
          <w:color w:val="auto"/>
          <w:spacing w:val="4"/>
          <w:lang w:eastAsia="en-US"/>
        </w:rPr>
        <w:t>Ölçüm ilkeleri</w:t>
      </w:r>
    </w:p>
    <w:p w14:paraId="7D583E7B" w14:textId="77777777" w:rsidR="002D7B36" w:rsidRPr="00DE12A3" w:rsidRDefault="00866145" w:rsidP="00C917D6">
      <w:pPr>
        <w:spacing w:before="120" w:after="120"/>
        <w:ind w:left="1134" w:hanging="1134"/>
        <w:jc w:val="both"/>
        <w:rPr>
          <w:rFonts w:eastAsia="Times New Roman" w:cs="Times New Roman"/>
          <w:color w:val="auto"/>
          <w:spacing w:val="3"/>
          <w:lang w:eastAsia="en-US"/>
        </w:rPr>
      </w:pPr>
      <w:r w:rsidRPr="00DE12A3">
        <w:rPr>
          <w:rFonts w:eastAsia="Times New Roman" w:cs="Times New Roman"/>
          <w:color w:val="auto"/>
          <w:spacing w:val="4"/>
          <w:lang w:eastAsia="en-US"/>
        </w:rPr>
        <w:t xml:space="preserve">                  </w:t>
      </w:r>
      <w:r w:rsidR="00242DA0" w:rsidRPr="00DE12A3">
        <w:rPr>
          <w:rFonts w:eastAsia="Times New Roman" w:cs="Times New Roman"/>
          <w:color w:val="auto"/>
          <w:spacing w:val="4"/>
          <w:lang w:eastAsia="en-US"/>
        </w:rPr>
        <w:t>H</w:t>
      </w:r>
      <w:r w:rsidR="00242DA0" w:rsidRPr="00DE12A3">
        <w:rPr>
          <w:rFonts w:eastAsia="Times New Roman" w:cs="Times New Roman"/>
          <w:color w:val="auto"/>
          <w:spacing w:val="4"/>
          <w:vertAlign w:val="subscript"/>
          <w:lang w:eastAsia="en-US"/>
        </w:rPr>
        <w:t>2</w:t>
      </w:r>
      <w:r w:rsidR="00242DA0" w:rsidRPr="00DE12A3">
        <w:rPr>
          <w:rFonts w:eastAsia="Times New Roman" w:cs="Times New Roman"/>
          <w:color w:val="auto"/>
          <w:spacing w:val="4"/>
          <w:lang w:eastAsia="en-US"/>
        </w:rPr>
        <w:t>O ve CO</w:t>
      </w:r>
      <w:r w:rsidR="00242DA0" w:rsidRPr="00DE12A3">
        <w:rPr>
          <w:rFonts w:eastAsia="Times New Roman" w:cs="Times New Roman"/>
          <w:color w:val="auto"/>
          <w:spacing w:val="4"/>
          <w:vertAlign w:val="subscript"/>
          <w:lang w:eastAsia="en-US"/>
        </w:rPr>
        <w:t>2</w:t>
      </w:r>
      <w:r w:rsidR="00242DA0" w:rsidRPr="00DE12A3">
        <w:rPr>
          <w:rFonts w:eastAsia="Times New Roman" w:cs="Times New Roman"/>
          <w:color w:val="auto"/>
          <w:spacing w:val="4"/>
          <w:lang w:eastAsia="en-US"/>
        </w:rPr>
        <w:t>, bir CLD'nin NO</w:t>
      </w:r>
      <w:r w:rsidR="00242DA0" w:rsidRPr="00DE12A3">
        <w:rPr>
          <w:rFonts w:eastAsia="Times New Roman" w:cs="Times New Roman"/>
          <w:color w:val="auto"/>
          <w:spacing w:val="4"/>
          <w:vertAlign w:val="subscript"/>
          <w:lang w:eastAsia="en-US"/>
        </w:rPr>
        <w:t>x</w:t>
      </w:r>
      <w:r w:rsidR="00242DA0" w:rsidRPr="00DE12A3">
        <w:rPr>
          <w:rFonts w:eastAsia="Times New Roman" w:cs="Times New Roman"/>
          <w:color w:val="auto"/>
          <w:spacing w:val="4"/>
          <w:lang w:eastAsia="en-US"/>
        </w:rPr>
        <w:t>'i tespit etmek için kullandığı kemilüminesan reaksiyonu inhibe eden, çarpışma soğutması ile bir CLD'nin NO</w:t>
      </w:r>
      <w:r w:rsidR="00242DA0" w:rsidRPr="00DE12A3">
        <w:rPr>
          <w:rFonts w:eastAsia="Times New Roman" w:cs="Times New Roman"/>
          <w:color w:val="auto"/>
          <w:spacing w:val="4"/>
          <w:vertAlign w:val="subscript"/>
          <w:lang w:eastAsia="en-US"/>
        </w:rPr>
        <w:t>x</w:t>
      </w:r>
      <w:r w:rsidR="00242DA0" w:rsidRPr="00DE12A3">
        <w:rPr>
          <w:rFonts w:eastAsia="Times New Roman" w:cs="Times New Roman"/>
          <w:color w:val="auto"/>
          <w:spacing w:val="4"/>
          <w:lang w:eastAsia="en-US"/>
        </w:rPr>
        <w:t xml:space="preserve"> tepkisini olumsuz etkileyebilir. Bu prosedür ve 8.1.11.2.3 bendindeki hesaplamalar soğutmayı belirler ve soğutma sonuçlarını H</w:t>
      </w:r>
      <w:r w:rsidR="00242DA0" w:rsidRPr="00DE12A3">
        <w:rPr>
          <w:rFonts w:eastAsia="Times New Roman" w:cs="Times New Roman"/>
          <w:color w:val="auto"/>
          <w:spacing w:val="4"/>
          <w:vertAlign w:val="subscript"/>
          <w:lang w:eastAsia="en-US"/>
        </w:rPr>
        <w:t>2</w:t>
      </w:r>
      <w:r w:rsidR="00242DA0" w:rsidRPr="00DE12A3">
        <w:rPr>
          <w:rFonts w:eastAsia="Times New Roman" w:cs="Times New Roman"/>
          <w:color w:val="auto"/>
          <w:spacing w:val="4"/>
          <w:lang w:eastAsia="en-US"/>
        </w:rPr>
        <w:t>O'nun azami mol oranı ve emisyon testi sırasında beklenen azami CO</w:t>
      </w:r>
      <w:r w:rsidR="00242DA0" w:rsidRPr="00DE12A3">
        <w:rPr>
          <w:rFonts w:eastAsia="Times New Roman" w:cs="Times New Roman"/>
          <w:color w:val="auto"/>
          <w:spacing w:val="4"/>
          <w:vertAlign w:val="subscript"/>
          <w:lang w:eastAsia="en-US"/>
        </w:rPr>
        <w:t>2</w:t>
      </w:r>
      <w:r w:rsidR="00242DA0" w:rsidRPr="00DE12A3">
        <w:rPr>
          <w:rFonts w:eastAsia="Times New Roman" w:cs="Times New Roman"/>
          <w:color w:val="auto"/>
          <w:spacing w:val="4"/>
          <w:lang w:eastAsia="en-US"/>
        </w:rPr>
        <w:t xml:space="preserve"> konsantrasyonu ile ölçeklendirir. CLD analiz cihazı H</w:t>
      </w:r>
      <w:r w:rsidR="00242DA0" w:rsidRPr="00DE12A3">
        <w:rPr>
          <w:rFonts w:eastAsia="Times New Roman" w:cs="Times New Roman"/>
          <w:color w:val="auto"/>
          <w:spacing w:val="4"/>
          <w:vertAlign w:val="subscript"/>
          <w:lang w:eastAsia="en-US"/>
        </w:rPr>
        <w:t>2</w:t>
      </w:r>
      <w:r w:rsidR="00242DA0" w:rsidRPr="00DE12A3">
        <w:rPr>
          <w:rFonts w:eastAsia="Times New Roman" w:cs="Times New Roman"/>
          <w:color w:val="auto"/>
          <w:spacing w:val="4"/>
          <w:lang w:eastAsia="en-US"/>
        </w:rPr>
        <w:t>O ve/veya CO</w:t>
      </w:r>
      <w:r w:rsidR="00242DA0" w:rsidRPr="00DE12A3">
        <w:rPr>
          <w:rFonts w:eastAsia="Times New Roman" w:cs="Times New Roman"/>
          <w:color w:val="auto"/>
          <w:spacing w:val="4"/>
          <w:vertAlign w:val="subscript"/>
          <w:lang w:eastAsia="en-US"/>
        </w:rPr>
        <w:t>2</w:t>
      </w:r>
      <w:r w:rsidR="00242DA0" w:rsidRPr="00DE12A3">
        <w:rPr>
          <w:rFonts w:eastAsia="Times New Roman" w:cs="Times New Roman"/>
          <w:color w:val="auto"/>
          <w:spacing w:val="4"/>
          <w:lang w:eastAsia="en-US"/>
        </w:rPr>
        <w:t xml:space="preserve"> ölçüm cihazlarını kullanan soğutma dengeleme algoritmaları kullanıyorsa, soğutma bu cihazlar devredeyken ve uygulanan dengeleme algoritmalarıyla değerlendirilmelidir</w:t>
      </w:r>
      <w:r w:rsidR="00242DA0" w:rsidRPr="00DE12A3">
        <w:rPr>
          <w:rFonts w:eastAsia="Times New Roman" w:cs="Times New Roman"/>
          <w:color w:val="auto"/>
          <w:spacing w:val="4"/>
          <w:shd w:val="clear" w:color="auto" w:fill="FFFFFF"/>
          <w:lang w:eastAsia="en-US"/>
        </w:rPr>
        <w:t>.</w:t>
      </w:r>
    </w:p>
    <w:p w14:paraId="3D61EBF8" w14:textId="77777777" w:rsidR="002D7B36" w:rsidRPr="00DE12A3" w:rsidRDefault="00242DA0" w:rsidP="00E20716">
      <w:pPr>
        <w:numPr>
          <w:ilvl w:val="0"/>
          <w:numId w:val="270"/>
        </w:numPr>
        <w:tabs>
          <w:tab w:val="left" w:pos="871"/>
        </w:tabs>
        <w:spacing w:before="120" w:after="120"/>
        <w:ind w:left="1134" w:hanging="1134"/>
        <w:jc w:val="both"/>
        <w:rPr>
          <w:rFonts w:eastAsia="Times New Roman" w:cs="Times New Roman"/>
          <w:color w:val="auto"/>
          <w:spacing w:val="3"/>
          <w:lang w:eastAsia="en-US"/>
        </w:rPr>
      </w:pPr>
      <w:r w:rsidRPr="00DE12A3">
        <w:rPr>
          <w:rFonts w:eastAsia="Times New Roman" w:cs="Times New Roman"/>
          <w:color w:val="auto"/>
          <w:spacing w:val="4"/>
          <w:lang w:eastAsia="en-US"/>
        </w:rPr>
        <w:t xml:space="preserve">Sistem </w:t>
      </w:r>
      <w:r w:rsidR="0053289F" w:rsidRPr="00DE12A3">
        <w:rPr>
          <w:rFonts w:eastAsia="Times New Roman" w:cs="Times New Roman"/>
          <w:color w:val="auto"/>
          <w:spacing w:val="4"/>
          <w:lang w:eastAsia="en-US"/>
        </w:rPr>
        <w:t>gereklilikleri</w:t>
      </w:r>
    </w:p>
    <w:p w14:paraId="70A66986" w14:textId="77777777" w:rsidR="002D7B36" w:rsidRPr="00DE12A3" w:rsidRDefault="00866145" w:rsidP="00C917D6">
      <w:pPr>
        <w:spacing w:before="120" w:after="120"/>
        <w:ind w:left="1134" w:hanging="1134"/>
        <w:jc w:val="both"/>
        <w:rPr>
          <w:rFonts w:eastAsia="Times New Roman" w:cs="Times New Roman"/>
          <w:color w:val="auto"/>
          <w:spacing w:val="3"/>
          <w:lang w:eastAsia="en-US"/>
        </w:rPr>
      </w:pPr>
      <w:r w:rsidRPr="00DE12A3">
        <w:rPr>
          <w:rFonts w:eastAsia="Times New Roman" w:cs="Times New Roman"/>
          <w:color w:val="auto"/>
          <w:spacing w:val="4"/>
          <w:lang w:eastAsia="en-US"/>
        </w:rPr>
        <w:t xml:space="preserve">                   </w:t>
      </w:r>
      <w:r w:rsidR="00242DA0" w:rsidRPr="00DE12A3">
        <w:rPr>
          <w:rFonts w:eastAsia="Times New Roman" w:cs="Times New Roman"/>
          <w:color w:val="auto"/>
          <w:spacing w:val="4"/>
          <w:lang w:eastAsia="en-US"/>
        </w:rPr>
        <w:t xml:space="preserve">Seyreltik ölçüm için bir CLD analiz cihazı, ± </w:t>
      </w:r>
      <w:r w:rsidR="00F02CD9" w:rsidRPr="00DE12A3">
        <w:rPr>
          <w:rFonts w:eastAsia="Times New Roman" w:cs="Times New Roman"/>
          <w:color w:val="auto"/>
          <w:spacing w:val="4"/>
          <w:lang w:eastAsia="en-US"/>
        </w:rPr>
        <w:t>%2</w:t>
      </w:r>
      <w:r w:rsidR="00242DA0" w:rsidRPr="00DE12A3">
        <w:rPr>
          <w:rFonts w:eastAsia="Times New Roman" w:cs="Times New Roman"/>
          <w:color w:val="auto"/>
          <w:spacing w:val="4"/>
          <w:lang w:eastAsia="en-US"/>
        </w:rPr>
        <w:t>'lik bir kombine H</w:t>
      </w:r>
      <w:r w:rsidR="00242DA0" w:rsidRPr="00DE12A3">
        <w:rPr>
          <w:rFonts w:eastAsia="Times New Roman" w:cs="Times New Roman"/>
          <w:color w:val="auto"/>
          <w:spacing w:val="4"/>
          <w:vertAlign w:val="subscript"/>
          <w:lang w:eastAsia="en-US"/>
        </w:rPr>
        <w:t>2</w:t>
      </w:r>
      <w:r w:rsidR="00242DA0" w:rsidRPr="00DE12A3">
        <w:rPr>
          <w:rFonts w:eastAsia="Times New Roman" w:cs="Times New Roman"/>
          <w:color w:val="auto"/>
          <w:spacing w:val="4"/>
          <w:lang w:eastAsia="en-US"/>
        </w:rPr>
        <w:t>O ve CO</w:t>
      </w:r>
      <w:r w:rsidR="00242DA0" w:rsidRPr="00DE12A3">
        <w:rPr>
          <w:rFonts w:eastAsia="Times New Roman" w:cs="Times New Roman"/>
          <w:color w:val="auto"/>
          <w:spacing w:val="4"/>
          <w:vertAlign w:val="subscript"/>
          <w:lang w:eastAsia="en-US"/>
        </w:rPr>
        <w:t>2</w:t>
      </w:r>
      <w:r w:rsidR="00242DA0" w:rsidRPr="00DE12A3">
        <w:rPr>
          <w:rFonts w:eastAsia="Times New Roman" w:cs="Times New Roman"/>
          <w:color w:val="auto"/>
          <w:spacing w:val="4"/>
          <w:lang w:eastAsia="en-US"/>
        </w:rPr>
        <w:t xml:space="preserve"> soğutmasını geçmemelidir. Ham ölçüm için bir CLD analiz cihazı, ± </w:t>
      </w:r>
      <w:r w:rsidR="00F02CD9" w:rsidRPr="00DE12A3">
        <w:rPr>
          <w:rFonts w:eastAsia="Times New Roman" w:cs="Times New Roman"/>
          <w:color w:val="auto"/>
          <w:spacing w:val="4"/>
          <w:lang w:eastAsia="en-US"/>
        </w:rPr>
        <w:t>%2,5</w:t>
      </w:r>
      <w:r w:rsidR="00242DA0" w:rsidRPr="00DE12A3">
        <w:rPr>
          <w:rFonts w:eastAsia="Times New Roman" w:cs="Times New Roman"/>
          <w:color w:val="auto"/>
          <w:spacing w:val="4"/>
          <w:lang w:eastAsia="en-US"/>
        </w:rPr>
        <w:t>'lik bir kombine H</w:t>
      </w:r>
      <w:r w:rsidR="00242DA0" w:rsidRPr="00DE12A3">
        <w:rPr>
          <w:rFonts w:eastAsia="Times New Roman" w:cs="Times New Roman"/>
          <w:color w:val="auto"/>
          <w:spacing w:val="4"/>
          <w:vertAlign w:val="subscript"/>
          <w:lang w:eastAsia="en-US"/>
        </w:rPr>
        <w:t>2</w:t>
      </w:r>
      <w:r w:rsidR="00242DA0" w:rsidRPr="00DE12A3">
        <w:rPr>
          <w:rFonts w:eastAsia="Times New Roman" w:cs="Times New Roman"/>
          <w:color w:val="auto"/>
          <w:spacing w:val="4"/>
          <w:lang w:eastAsia="en-US"/>
        </w:rPr>
        <w:t>O ve CO</w:t>
      </w:r>
      <w:r w:rsidR="00242DA0" w:rsidRPr="00DE12A3">
        <w:rPr>
          <w:rFonts w:eastAsia="Times New Roman" w:cs="Times New Roman"/>
          <w:color w:val="auto"/>
          <w:spacing w:val="4"/>
          <w:vertAlign w:val="subscript"/>
          <w:lang w:eastAsia="en-US"/>
        </w:rPr>
        <w:t>2</w:t>
      </w:r>
      <w:r w:rsidR="00242DA0" w:rsidRPr="00DE12A3">
        <w:rPr>
          <w:rFonts w:eastAsia="Times New Roman" w:cs="Times New Roman"/>
          <w:color w:val="auto"/>
          <w:spacing w:val="4"/>
          <w:lang w:eastAsia="en-US"/>
        </w:rPr>
        <w:t xml:space="preserve"> soğutma değerini geçmemelidir. Kombine soğutma, 8.1.11.1.4 bendinde açıklandığı şekilde belirlenen CO</w:t>
      </w:r>
      <w:r w:rsidR="00242DA0" w:rsidRPr="00DE12A3">
        <w:rPr>
          <w:rFonts w:eastAsia="Times New Roman" w:cs="Times New Roman"/>
          <w:color w:val="auto"/>
          <w:spacing w:val="4"/>
          <w:vertAlign w:val="subscript"/>
          <w:lang w:eastAsia="en-US"/>
        </w:rPr>
        <w:t>2</w:t>
      </w:r>
      <w:r w:rsidR="00242DA0" w:rsidRPr="00DE12A3">
        <w:rPr>
          <w:rFonts w:eastAsia="Times New Roman" w:cs="Times New Roman"/>
          <w:color w:val="auto"/>
          <w:spacing w:val="4"/>
          <w:lang w:eastAsia="en-US"/>
        </w:rPr>
        <w:t xml:space="preserve"> soğutması ile 8.1.11.1.5 bendinde belirlenen H</w:t>
      </w:r>
      <w:r w:rsidR="00242DA0" w:rsidRPr="00DE12A3">
        <w:rPr>
          <w:rFonts w:eastAsia="Times New Roman" w:cs="Times New Roman"/>
          <w:color w:val="auto"/>
          <w:spacing w:val="4"/>
          <w:vertAlign w:val="subscript"/>
          <w:lang w:eastAsia="en-US"/>
        </w:rPr>
        <w:t>2</w:t>
      </w:r>
      <w:r w:rsidR="00242DA0" w:rsidRPr="00DE12A3">
        <w:rPr>
          <w:rFonts w:eastAsia="Times New Roman" w:cs="Times New Roman"/>
          <w:color w:val="auto"/>
          <w:spacing w:val="4"/>
          <w:lang w:eastAsia="en-US"/>
        </w:rPr>
        <w:t xml:space="preserve">O soğutmasının toplamıdır. Bu şartlar yerine getirilmezse, analiz cihazı onarılarak veya değiştirilerek düzeltici faaliyetler </w:t>
      </w:r>
      <w:r w:rsidR="00242DA0" w:rsidRPr="00DE12A3">
        <w:rPr>
          <w:rFonts w:eastAsia="Times New Roman" w:cs="Times New Roman"/>
          <w:color w:val="auto"/>
          <w:spacing w:val="4"/>
          <w:lang w:eastAsia="en-US"/>
        </w:rPr>
        <w:lastRenderedPageBreak/>
        <w:t>yapılmalıdır. Emisyon testlerini yapmadan önce, düzeltici faaliyetin analiz cihazını başarıyla tekrar doğru şekilde çalışır hale getirdiği doğrulanmalıdır</w:t>
      </w:r>
      <w:r w:rsidR="00242DA0" w:rsidRPr="00DE12A3">
        <w:rPr>
          <w:rFonts w:eastAsia="Times New Roman" w:cs="Times New Roman"/>
          <w:color w:val="auto"/>
          <w:spacing w:val="4"/>
          <w:shd w:val="clear" w:color="auto" w:fill="FFFFFF"/>
          <w:lang w:eastAsia="en-US"/>
        </w:rPr>
        <w:t>.</w:t>
      </w:r>
    </w:p>
    <w:p w14:paraId="3B2B311E" w14:textId="1D56C5FC" w:rsidR="002D7B36" w:rsidRPr="00DE12A3" w:rsidRDefault="00242DA0" w:rsidP="00E20716">
      <w:pPr>
        <w:numPr>
          <w:ilvl w:val="0"/>
          <w:numId w:val="270"/>
        </w:numPr>
        <w:tabs>
          <w:tab w:val="left" w:pos="871"/>
        </w:tabs>
        <w:spacing w:before="120" w:after="120"/>
        <w:ind w:left="1134" w:hanging="1134"/>
        <w:jc w:val="both"/>
        <w:rPr>
          <w:rFonts w:eastAsia="Times New Roman" w:cs="Times New Roman"/>
          <w:color w:val="auto"/>
          <w:spacing w:val="3"/>
          <w:lang w:eastAsia="en-US"/>
        </w:rPr>
      </w:pPr>
      <w:r w:rsidRPr="00DE12A3">
        <w:rPr>
          <w:rFonts w:eastAsia="Times New Roman" w:cs="Times New Roman"/>
          <w:color w:val="auto"/>
          <w:spacing w:val="4"/>
          <w:shd w:val="clear" w:color="auto" w:fill="FFFFFF"/>
          <w:lang w:eastAsia="en-US"/>
        </w:rPr>
        <w:t>CO</w:t>
      </w:r>
      <w:r w:rsidRPr="00DE12A3">
        <w:rPr>
          <w:rFonts w:eastAsia="Times New Roman" w:cs="Times New Roman"/>
          <w:color w:val="auto"/>
          <w:spacing w:val="4"/>
          <w:shd w:val="clear" w:color="auto" w:fill="FFFFFF"/>
          <w:vertAlign w:val="subscript"/>
          <w:lang w:eastAsia="en-US"/>
        </w:rPr>
        <w:t>2</w:t>
      </w:r>
      <w:r w:rsidR="00973AD0" w:rsidRPr="00DE12A3">
        <w:rPr>
          <w:rFonts w:eastAsia="Times New Roman" w:cs="Times New Roman"/>
          <w:color w:val="auto"/>
          <w:spacing w:val="4"/>
          <w:shd w:val="clear" w:color="auto" w:fill="FFFFFF"/>
          <w:vertAlign w:val="subscript"/>
          <w:lang w:eastAsia="en-US"/>
        </w:rPr>
        <w:t xml:space="preserve"> </w:t>
      </w:r>
      <w:r w:rsidRPr="00DE12A3">
        <w:rPr>
          <w:rFonts w:eastAsia="Times New Roman" w:cs="Times New Roman"/>
          <w:color w:val="auto"/>
          <w:spacing w:val="4"/>
          <w:lang w:eastAsia="en-US"/>
        </w:rPr>
        <w:t>soğutması doğrulama prosedürü</w:t>
      </w:r>
    </w:p>
    <w:p w14:paraId="0308140F" w14:textId="513762D6" w:rsidR="002D7B36" w:rsidRPr="00DE12A3" w:rsidRDefault="00866145" w:rsidP="00C917D6">
      <w:pPr>
        <w:spacing w:before="120" w:after="120"/>
        <w:ind w:left="1134" w:hanging="1134"/>
        <w:jc w:val="both"/>
        <w:rPr>
          <w:rFonts w:eastAsia="Times New Roman" w:cs="Times New Roman"/>
          <w:color w:val="auto"/>
          <w:spacing w:val="3"/>
          <w:lang w:eastAsia="en-US"/>
        </w:rPr>
      </w:pPr>
      <w:r w:rsidRPr="00DE12A3">
        <w:rPr>
          <w:rFonts w:eastAsia="Times New Roman" w:cs="Times New Roman"/>
          <w:color w:val="auto"/>
          <w:spacing w:val="4"/>
          <w:lang w:eastAsia="en-US"/>
        </w:rPr>
        <w:t xml:space="preserve">                  </w:t>
      </w:r>
      <w:r w:rsidR="00242DA0" w:rsidRPr="00DE12A3">
        <w:rPr>
          <w:rFonts w:eastAsia="Times New Roman" w:cs="Times New Roman"/>
          <w:color w:val="auto"/>
          <w:spacing w:val="4"/>
          <w:lang w:eastAsia="en-US"/>
        </w:rPr>
        <w:t xml:space="preserve">İkili ayar gazları ile seyreltici olarak sıfır gazını harmanlayan ve 9.4.5.6 bendinin </w:t>
      </w:r>
      <w:r w:rsidR="0053289F" w:rsidRPr="00DE12A3">
        <w:rPr>
          <w:rFonts w:eastAsia="Times New Roman" w:cs="Times New Roman"/>
          <w:color w:val="auto"/>
          <w:spacing w:val="4"/>
          <w:lang w:eastAsia="en-US"/>
        </w:rPr>
        <w:t>gerekliliklerini</w:t>
      </w:r>
      <w:r w:rsidR="00242DA0" w:rsidRPr="00DE12A3">
        <w:rPr>
          <w:rFonts w:eastAsia="Times New Roman" w:cs="Times New Roman"/>
          <w:color w:val="auto"/>
          <w:spacing w:val="4"/>
          <w:lang w:eastAsia="en-US"/>
        </w:rPr>
        <w:t xml:space="preserve"> sağlayan bir gaz bölücü kullanılarak CO</w:t>
      </w:r>
      <w:r w:rsidR="00242DA0" w:rsidRPr="00DE12A3">
        <w:rPr>
          <w:rFonts w:eastAsia="Times New Roman" w:cs="Times New Roman"/>
          <w:color w:val="auto"/>
          <w:spacing w:val="4"/>
          <w:vertAlign w:val="subscript"/>
          <w:lang w:eastAsia="en-US"/>
        </w:rPr>
        <w:t>2</w:t>
      </w:r>
      <w:r w:rsidR="00242DA0" w:rsidRPr="00DE12A3">
        <w:rPr>
          <w:rFonts w:eastAsia="Times New Roman" w:cs="Times New Roman"/>
          <w:color w:val="auto"/>
          <w:spacing w:val="4"/>
          <w:lang w:eastAsia="en-US"/>
        </w:rPr>
        <w:t xml:space="preserve"> soğutmasını belirlemek için</w:t>
      </w:r>
      <w:r w:rsidRPr="00DE12A3">
        <w:rPr>
          <w:rFonts w:eastAsia="Times New Roman" w:cs="Times New Roman"/>
          <w:color w:val="auto"/>
          <w:spacing w:val="4"/>
          <w:lang w:eastAsia="en-US"/>
        </w:rPr>
        <w:t xml:space="preserve"> </w:t>
      </w:r>
      <w:r w:rsidR="00242DA0" w:rsidRPr="00DE12A3">
        <w:rPr>
          <w:rFonts w:eastAsia="Times New Roman" w:cs="Times New Roman"/>
          <w:color w:val="auto"/>
          <w:spacing w:val="3"/>
          <w:lang w:eastAsia="en-US"/>
        </w:rPr>
        <w:t>aşağıdaki yöntem veya cihaz imalatçısı tarafından öngörülen yöntem kullanılabilir ya da farklı bir protokol geliştirmek için iyi mühendislik kararları kullanılmalıdır</w:t>
      </w:r>
      <w:r w:rsidR="00F70790" w:rsidRPr="00DE12A3">
        <w:rPr>
          <w:rFonts w:eastAsia="Times New Roman" w:cs="Times New Roman"/>
          <w:color w:val="auto"/>
          <w:spacing w:val="3"/>
          <w:lang w:eastAsia="en-US"/>
        </w:rPr>
        <w:t>.</w:t>
      </w:r>
    </w:p>
    <w:p w14:paraId="67F633DA" w14:textId="54D78EF2" w:rsidR="002D7B36" w:rsidRPr="00DE12A3" w:rsidRDefault="0055404E" w:rsidP="00E20716">
      <w:pPr>
        <w:numPr>
          <w:ilvl w:val="0"/>
          <w:numId w:val="271"/>
        </w:numPr>
        <w:spacing w:before="120" w:after="120"/>
        <w:ind w:left="1701" w:hanging="567"/>
        <w:jc w:val="both"/>
        <w:rPr>
          <w:rFonts w:eastAsia="Times New Roman" w:cs="Times New Roman"/>
          <w:color w:val="auto"/>
          <w:spacing w:val="3"/>
          <w:lang w:eastAsia="en-US"/>
        </w:rPr>
      </w:pPr>
      <w:r w:rsidRPr="00DE12A3">
        <w:rPr>
          <w:rFonts w:eastAsia="Times New Roman" w:cs="Times New Roman"/>
          <w:color w:val="auto"/>
          <w:spacing w:val="3"/>
          <w:lang w:eastAsia="en-US"/>
        </w:rPr>
        <w:t xml:space="preserve">    </w:t>
      </w:r>
      <w:r w:rsidR="00242DA0" w:rsidRPr="00DE12A3">
        <w:rPr>
          <w:rFonts w:eastAsia="Times New Roman" w:cs="Times New Roman"/>
          <w:color w:val="auto"/>
          <w:spacing w:val="3"/>
          <w:lang w:eastAsia="en-US"/>
        </w:rPr>
        <w:t>Gerekli bağlantıları yapmak için PTFE veya paslanmaz çelik boru kullanılmalıdır</w:t>
      </w:r>
      <w:r w:rsidR="00F70790" w:rsidRPr="00DE12A3">
        <w:rPr>
          <w:rFonts w:eastAsia="Times New Roman" w:cs="Times New Roman"/>
          <w:color w:val="auto"/>
          <w:spacing w:val="3"/>
          <w:lang w:eastAsia="en-US"/>
        </w:rPr>
        <w:t>.</w:t>
      </w:r>
    </w:p>
    <w:p w14:paraId="6B301912" w14:textId="6C93C6A2" w:rsidR="002D7B36" w:rsidRPr="00DE12A3" w:rsidRDefault="00242DA0" w:rsidP="00E20716">
      <w:pPr>
        <w:numPr>
          <w:ilvl w:val="0"/>
          <w:numId w:val="271"/>
        </w:numPr>
        <w:spacing w:before="120" w:after="120"/>
        <w:ind w:left="1701" w:hanging="567"/>
        <w:jc w:val="both"/>
        <w:rPr>
          <w:rFonts w:eastAsia="Times New Roman" w:cs="Times New Roman"/>
          <w:color w:val="auto"/>
          <w:spacing w:val="3"/>
          <w:lang w:eastAsia="en-US"/>
        </w:rPr>
      </w:pPr>
      <w:r w:rsidRPr="00DE12A3">
        <w:rPr>
          <w:rFonts w:eastAsia="Times New Roman" w:cs="Times New Roman"/>
          <w:color w:val="auto"/>
          <w:spacing w:val="3"/>
          <w:lang w:eastAsia="en-US"/>
        </w:rPr>
        <w:t>Gaz bölücü, neredeyse eşit miktarda ayar gazı ve seyreltici gazın birbiriyle harmanlandığı şekilde yapılandırılmalıdır</w:t>
      </w:r>
      <w:r w:rsidR="00F70790" w:rsidRPr="00DE12A3">
        <w:rPr>
          <w:rFonts w:eastAsia="Times New Roman" w:cs="Times New Roman"/>
          <w:color w:val="auto"/>
          <w:spacing w:val="3"/>
          <w:lang w:eastAsia="en-US"/>
        </w:rPr>
        <w:t>.</w:t>
      </w:r>
    </w:p>
    <w:p w14:paraId="2F3EC771" w14:textId="7C382431" w:rsidR="002D7B36" w:rsidRPr="00DE12A3" w:rsidRDefault="00866145" w:rsidP="00E20716">
      <w:pPr>
        <w:numPr>
          <w:ilvl w:val="0"/>
          <w:numId w:val="271"/>
        </w:numPr>
        <w:spacing w:before="120" w:after="120"/>
        <w:ind w:left="1701" w:hanging="567"/>
        <w:jc w:val="both"/>
        <w:rPr>
          <w:rFonts w:eastAsia="Times New Roman" w:cs="Times New Roman"/>
          <w:color w:val="auto"/>
          <w:spacing w:val="3"/>
          <w:lang w:eastAsia="en-US"/>
        </w:rPr>
      </w:pPr>
      <w:r w:rsidRPr="00DE12A3">
        <w:rPr>
          <w:rFonts w:eastAsia="Times New Roman" w:cs="Times New Roman"/>
          <w:color w:val="auto"/>
          <w:spacing w:val="3"/>
          <w:lang w:eastAsia="en-US"/>
        </w:rPr>
        <w:t xml:space="preserve">     </w:t>
      </w:r>
      <w:r w:rsidR="00242DA0" w:rsidRPr="00DE12A3">
        <w:rPr>
          <w:rFonts w:eastAsia="Times New Roman" w:cs="Times New Roman"/>
          <w:color w:val="auto"/>
          <w:spacing w:val="3"/>
          <w:lang w:eastAsia="en-US"/>
        </w:rPr>
        <w:t>CLD analiz cihazında, toplam NO</w:t>
      </w:r>
      <w:r w:rsidR="00242DA0" w:rsidRPr="00DE12A3">
        <w:rPr>
          <w:rFonts w:eastAsia="Times New Roman" w:cs="Times New Roman"/>
          <w:color w:val="auto"/>
          <w:spacing w:val="3"/>
          <w:vertAlign w:val="subscript"/>
          <w:lang w:eastAsia="en-US"/>
        </w:rPr>
        <w:t>x</w:t>
      </w:r>
      <w:r w:rsidR="00242DA0" w:rsidRPr="00DE12A3">
        <w:rPr>
          <w:rFonts w:eastAsia="Times New Roman" w:cs="Times New Roman"/>
          <w:color w:val="auto"/>
          <w:spacing w:val="3"/>
          <w:lang w:eastAsia="en-US"/>
        </w:rPr>
        <w:t xml:space="preserve"> yerine, sadece NO'yu tespit ettiği bir çalışma modu varsa, CLD analiz cihazı sadece NO çalışma modunda çalıştırılmalıdır</w:t>
      </w:r>
      <w:r w:rsidR="00F70790" w:rsidRPr="00DE12A3">
        <w:rPr>
          <w:rFonts w:eastAsia="Times New Roman" w:cs="Times New Roman"/>
          <w:color w:val="auto"/>
          <w:spacing w:val="3"/>
          <w:lang w:eastAsia="en-US"/>
        </w:rPr>
        <w:t>.</w:t>
      </w:r>
    </w:p>
    <w:p w14:paraId="1676164A" w14:textId="10D16902" w:rsidR="002D7B36" w:rsidRPr="00DE12A3" w:rsidRDefault="00242DA0" w:rsidP="00E20716">
      <w:pPr>
        <w:numPr>
          <w:ilvl w:val="0"/>
          <w:numId w:val="271"/>
        </w:numPr>
        <w:spacing w:before="120" w:after="120"/>
        <w:ind w:left="1701" w:hanging="567"/>
        <w:jc w:val="both"/>
        <w:rPr>
          <w:rFonts w:eastAsia="Times New Roman" w:cs="Times New Roman"/>
          <w:color w:val="auto"/>
          <w:spacing w:val="3"/>
          <w:lang w:eastAsia="en-US"/>
        </w:rPr>
      </w:pPr>
      <w:r w:rsidRPr="00DE12A3">
        <w:rPr>
          <w:rFonts w:eastAsia="Times New Roman" w:cs="Times New Roman"/>
          <w:color w:val="auto"/>
          <w:spacing w:val="3"/>
          <w:lang w:eastAsia="en-US"/>
        </w:rPr>
        <w:t xml:space="preserve">9.5.1 bendindeki </w:t>
      </w:r>
      <w:r w:rsidR="0053289F" w:rsidRPr="00DE12A3">
        <w:rPr>
          <w:rFonts w:eastAsia="Times New Roman" w:cs="Times New Roman"/>
          <w:color w:val="auto"/>
          <w:spacing w:val="3"/>
          <w:lang w:eastAsia="en-US"/>
        </w:rPr>
        <w:t>gereklilikleri</w:t>
      </w:r>
      <w:r w:rsidRPr="00DE12A3">
        <w:rPr>
          <w:rFonts w:eastAsia="Times New Roman" w:cs="Times New Roman"/>
          <w:color w:val="auto"/>
          <w:spacing w:val="3"/>
          <w:lang w:eastAsia="en-US"/>
        </w:rPr>
        <w:t xml:space="preserve"> sağlayan bir CO</w:t>
      </w:r>
      <w:r w:rsidRPr="00DE12A3">
        <w:rPr>
          <w:rFonts w:eastAsia="Times New Roman" w:cs="Times New Roman"/>
          <w:color w:val="auto"/>
          <w:spacing w:val="3"/>
          <w:vertAlign w:val="subscript"/>
          <w:lang w:eastAsia="en-US"/>
        </w:rPr>
        <w:t>2</w:t>
      </w:r>
      <w:r w:rsidRPr="00DE12A3">
        <w:rPr>
          <w:rFonts w:eastAsia="Times New Roman" w:cs="Times New Roman"/>
          <w:color w:val="auto"/>
          <w:spacing w:val="3"/>
          <w:lang w:eastAsia="en-US"/>
        </w:rPr>
        <w:t xml:space="preserve"> ayar gazı ve emisyon testi sırasında beklenen azami CO</w:t>
      </w:r>
      <w:r w:rsidRPr="00DE12A3">
        <w:rPr>
          <w:rFonts w:eastAsia="Times New Roman" w:cs="Times New Roman"/>
          <w:color w:val="auto"/>
          <w:spacing w:val="3"/>
          <w:vertAlign w:val="subscript"/>
          <w:lang w:eastAsia="en-US"/>
        </w:rPr>
        <w:t>2</w:t>
      </w:r>
      <w:r w:rsidRPr="00DE12A3">
        <w:rPr>
          <w:rFonts w:eastAsia="Times New Roman" w:cs="Times New Roman"/>
          <w:color w:val="auto"/>
          <w:spacing w:val="3"/>
          <w:lang w:eastAsia="en-US"/>
        </w:rPr>
        <w:t xml:space="preserve"> konsantrasyonunun yaklaşık iki katı bir konsantrasyon kullanılmalıdır</w:t>
      </w:r>
      <w:r w:rsidR="00F70790" w:rsidRPr="00DE12A3">
        <w:rPr>
          <w:rFonts w:eastAsia="Times New Roman" w:cs="Times New Roman"/>
          <w:color w:val="auto"/>
          <w:spacing w:val="3"/>
          <w:lang w:eastAsia="en-US"/>
        </w:rPr>
        <w:t>.</w:t>
      </w:r>
    </w:p>
    <w:p w14:paraId="4B41DF5C" w14:textId="4CB63948" w:rsidR="002D7B36" w:rsidRPr="00DE12A3" w:rsidRDefault="00866145" w:rsidP="00E20716">
      <w:pPr>
        <w:numPr>
          <w:ilvl w:val="0"/>
          <w:numId w:val="271"/>
        </w:numPr>
        <w:spacing w:before="120" w:after="120"/>
        <w:ind w:left="1701" w:hanging="567"/>
        <w:jc w:val="both"/>
        <w:rPr>
          <w:rFonts w:eastAsia="Times New Roman" w:cs="Times New Roman"/>
          <w:color w:val="auto"/>
          <w:spacing w:val="3"/>
          <w:lang w:eastAsia="en-US"/>
        </w:rPr>
      </w:pPr>
      <w:r w:rsidRPr="00DE12A3">
        <w:rPr>
          <w:rFonts w:eastAsia="Times New Roman" w:cs="Times New Roman"/>
          <w:color w:val="auto"/>
          <w:spacing w:val="3"/>
          <w:lang w:eastAsia="en-US"/>
        </w:rPr>
        <w:t xml:space="preserve">     </w:t>
      </w:r>
      <w:r w:rsidR="00242DA0" w:rsidRPr="00DE12A3">
        <w:rPr>
          <w:rFonts w:eastAsia="Times New Roman" w:cs="Times New Roman"/>
          <w:color w:val="auto"/>
          <w:spacing w:val="3"/>
          <w:lang w:eastAsia="en-US"/>
        </w:rPr>
        <w:t xml:space="preserve">9.5.1 bendindeki </w:t>
      </w:r>
      <w:r w:rsidR="0053289F" w:rsidRPr="00DE12A3">
        <w:rPr>
          <w:rFonts w:eastAsia="Times New Roman" w:cs="Times New Roman"/>
          <w:color w:val="auto"/>
          <w:spacing w:val="3"/>
          <w:lang w:eastAsia="en-US"/>
        </w:rPr>
        <w:t>gereklilikleri</w:t>
      </w:r>
      <w:r w:rsidR="00242DA0" w:rsidRPr="00DE12A3">
        <w:rPr>
          <w:rFonts w:eastAsia="Times New Roman" w:cs="Times New Roman"/>
          <w:color w:val="auto"/>
          <w:spacing w:val="3"/>
          <w:lang w:eastAsia="en-US"/>
        </w:rPr>
        <w:t xml:space="preserve"> sağlayan bir NO ayar gazı ve emisyon testi sırasında beklenen azami NO konsantrasyonunun yaklaşık iki katı bir konsantrasyon kullanılmalıdır; Beklenen NO konsantrasyonu, cihaz imalatçısı tarafından belirtilen doğrulama için asgari aralıktan düşükse, doğru doğrulama elde etmek için cihaz imalatçısının tavsiyesine ve iyi mühendislik kararına göre daha yüksek konsantrasyon kullanılabilir</w:t>
      </w:r>
      <w:r w:rsidR="00F70790" w:rsidRPr="00DE12A3">
        <w:rPr>
          <w:rFonts w:eastAsia="Times New Roman" w:cs="Times New Roman"/>
          <w:color w:val="auto"/>
          <w:spacing w:val="3"/>
          <w:lang w:eastAsia="en-US"/>
        </w:rPr>
        <w:t>.</w:t>
      </w:r>
    </w:p>
    <w:p w14:paraId="3922BB64" w14:textId="5CC54E23" w:rsidR="002D7B36" w:rsidRPr="00DE12A3" w:rsidRDefault="00866145" w:rsidP="00E20716">
      <w:pPr>
        <w:numPr>
          <w:ilvl w:val="0"/>
          <w:numId w:val="271"/>
        </w:numPr>
        <w:spacing w:before="120" w:after="120"/>
        <w:ind w:left="1701" w:hanging="567"/>
        <w:jc w:val="both"/>
        <w:rPr>
          <w:rFonts w:eastAsia="Times New Roman" w:cs="Times New Roman"/>
          <w:color w:val="auto"/>
          <w:spacing w:val="3"/>
          <w:lang w:eastAsia="en-US"/>
        </w:rPr>
      </w:pPr>
      <w:r w:rsidRPr="00DE12A3">
        <w:rPr>
          <w:rFonts w:eastAsia="Times New Roman" w:cs="Times New Roman"/>
          <w:color w:val="auto"/>
          <w:spacing w:val="3"/>
          <w:lang w:eastAsia="en-US"/>
        </w:rPr>
        <w:t xml:space="preserve">     </w:t>
      </w:r>
      <w:r w:rsidR="00242DA0" w:rsidRPr="00DE12A3">
        <w:rPr>
          <w:rFonts w:eastAsia="Times New Roman" w:cs="Times New Roman"/>
          <w:color w:val="auto"/>
          <w:spacing w:val="3"/>
          <w:lang w:eastAsia="en-US"/>
        </w:rPr>
        <w:t xml:space="preserve">CLD analiz cihazı sıfırlanmalı ve ayarlanmalıdır. CLD analiz cihazı, bu bendin (e) </w:t>
      </w:r>
      <w:r w:rsidR="00F70790" w:rsidRPr="00DE12A3">
        <w:rPr>
          <w:rFonts w:eastAsia="Times New Roman" w:cs="Times New Roman"/>
          <w:color w:val="auto"/>
          <w:spacing w:val="3"/>
          <w:lang w:eastAsia="en-US"/>
        </w:rPr>
        <w:t xml:space="preserve">numaralı alt bendindeki </w:t>
      </w:r>
      <w:r w:rsidR="00242DA0" w:rsidRPr="00DE12A3">
        <w:rPr>
          <w:rFonts w:eastAsia="Times New Roman" w:cs="Times New Roman"/>
          <w:color w:val="auto"/>
          <w:spacing w:val="3"/>
          <w:lang w:eastAsia="en-US"/>
        </w:rPr>
        <w:t>NO ayar gazı, gaz bölücüden geçirilerek ayarlanmalıdır. CLD analiz cihazını ayarlamak için; gaz bölücünün ayar portuna NO ayar gazı bağlanır, gaz bölücünün seyreltici portuna bir sıfır gaz bağlanır</w:t>
      </w:r>
      <w:r w:rsidR="00F70790" w:rsidRPr="00DE12A3">
        <w:rPr>
          <w:rFonts w:eastAsia="Times New Roman" w:cs="Times New Roman"/>
          <w:color w:val="auto"/>
          <w:spacing w:val="3"/>
          <w:lang w:eastAsia="en-US"/>
        </w:rPr>
        <w:t>.</w:t>
      </w:r>
      <w:r w:rsidR="00242DA0" w:rsidRPr="00DE12A3">
        <w:rPr>
          <w:rFonts w:eastAsia="Times New Roman" w:cs="Times New Roman"/>
          <w:color w:val="auto"/>
          <w:spacing w:val="3"/>
          <w:lang w:eastAsia="en-US"/>
        </w:rPr>
        <w:t xml:space="preserve"> </w:t>
      </w:r>
      <w:r w:rsidR="00F70790" w:rsidRPr="00DE12A3">
        <w:rPr>
          <w:rFonts w:eastAsia="Times New Roman" w:cs="Times New Roman"/>
          <w:color w:val="auto"/>
          <w:spacing w:val="3"/>
          <w:lang w:eastAsia="en-US"/>
        </w:rPr>
        <w:t>B</w:t>
      </w:r>
      <w:r w:rsidR="00242DA0" w:rsidRPr="00DE12A3">
        <w:rPr>
          <w:rFonts w:eastAsia="Times New Roman" w:cs="Times New Roman"/>
          <w:color w:val="auto"/>
          <w:spacing w:val="3"/>
          <w:lang w:eastAsia="en-US"/>
        </w:rPr>
        <w:t xml:space="preserve">u bendin (b) </w:t>
      </w:r>
      <w:r w:rsidR="00F70790" w:rsidRPr="00DE12A3">
        <w:rPr>
          <w:rFonts w:eastAsia="Times New Roman" w:cs="Times New Roman"/>
          <w:color w:val="auto"/>
          <w:spacing w:val="3"/>
          <w:lang w:eastAsia="en-US"/>
        </w:rPr>
        <w:t xml:space="preserve">numaralı alt bendinde </w:t>
      </w:r>
      <w:r w:rsidR="00242DA0" w:rsidRPr="00DE12A3">
        <w:rPr>
          <w:rFonts w:eastAsia="Times New Roman" w:cs="Times New Roman"/>
          <w:color w:val="auto"/>
          <w:spacing w:val="3"/>
          <w:lang w:eastAsia="en-US"/>
        </w:rPr>
        <w:t>seçilenle aynı nominal karışım oranı kullanılır</w:t>
      </w:r>
      <w:r w:rsidR="00F70790" w:rsidRPr="00DE12A3">
        <w:rPr>
          <w:rFonts w:eastAsia="Times New Roman" w:cs="Times New Roman"/>
          <w:color w:val="auto"/>
          <w:spacing w:val="3"/>
          <w:lang w:eastAsia="en-US"/>
        </w:rPr>
        <w:t>.</w:t>
      </w:r>
      <w:r w:rsidR="00242DA0" w:rsidRPr="00DE12A3">
        <w:rPr>
          <w:rFonts w:eastAsia="Times New Roman" w:cs="Times New Roman"/>
          <w:color w:val="auto"/>
          <w:spacing w:val="3"/>
          <w:lang w:eastAsia="en-US"/>
        </w:rPr>
        <w:t xml:space="preserve"> </w:t>
      </w:r>
      <w:r w:rsidR="00F70790" w:rsidRPr="00DE12A3">
        <w:rPr>
          <w:rFonts w:eastAsia="Times New Roman" w:cs="Times New Roman"/>
          <w:color w:val="auto"/>
          <w:spacing w:val="3"/>
          <w:lang w:eastAsia="en-US"/>
        </w:rPr>
        <w:t>G</w:t>
      </w:r>
      <w:r w:rsidR="00242DA0" w:rsidRPr="00DE12A3">
        <w:rPr>
          <w:rFonts w:eastAsia="Times New Roman" w:cs="Times New Roman"/>
          <w:color w:val="auto"/>
          <w:spacing w:val="3"/>
          <w:lang w:eastAsia="en-US"/>
        </w:rPr>
        <w:t>az bölücünün NO çıkış konsantrasyonu kullanılır. Doğru gaz bölünmesini sağlamak için gerektiğinde gaz özelliği düzeltmeleri yapılır</w:t>
      </w:r>
      <w:r w:rsidR="00F70790" w:rsidRPr="00DE12A3">
        <w:rPr>
          <w:rFonts w:eastAsia="Times New Roman" w:cs="Times New Roman"/>
          <w:color w:val="auto"/>
          <w:spacing w:val="3"/>
          <w:lang w:eastAsia="en-US"/>
        </w:rPr>
        <w:t>.</w:t>
      </w:r>
    </w:p>
    <w:p w14:paraId="047BC58C" w14:textId="18537BD2" w:rsidR="002D7B36" w:rsidRPr="00DE12A3" w:rsidRDefault="00242DA0" w:rsidP="00E20716">
      <w:pPr>
        <w:numPr>
          <w:ilvl w:val="0"/>
          <w:numId w:val="271"/>
        </w:numPr>
        <w:spacing w:before="120" w:after="120"/>
        <w:ind w:left="1701" w:hanging="567"/>
        <w:jc w:val="both"/>
        <w:rPr>
          <w:rFonts w:eastAsia="Times New Roman" w:cs="Times New Roman"/>
          <w:color w:val="auto"/>
          <w:spacing w:val="3"/>
          <w:lang w:eastAsia="en-US"/>
        </w:rPr>
      </w:pPr>
      <w:r w:rsidRPr="00DE12A3">
        <w:rPr>
          <w:rFonts w:eastAsia="Times New Roman" w:cs="Times New Roman"/>
          <w:color w:val="auto"/>
          <w:spacing w:val="3"/>
          <w:lang w:eastAsia="en-US"/>
        </w:rPr>
        <w:t>CO</w:t>
      </w:r>
      <w:r w:rsidRPr="00DE12A3">
        <w:rPr>
          <w:rFonts w:eastAsia="Times New Roman" w:cs="Times New Roman"/>
          <w:color w:val="auto"/>
          <w:spacing w:val="3"/>
          <w:vertAlign w:val="subscript"/>
          <w:lang w:eastAsia="en-US"/>
        </w:rPr>
        <w:t>2</w:t>
      </w:r>
      <w:r w:rsidRPr="00DE12A3">
        <w:rPr>
          <w:rFonts w:eastAsia="Times New Roman" w:cs="Times New Roman"/>
          <w:color w:val="auto"/>
          <w:spacing w:val="3"/>
          <w:lang w:eastAsia="en-US"/>
        </w:rPr>
        <w:t xml:space="preserve"> ayar gazı, gaz bölücünün ayar portuna bağlanır</w:t>
      </w:r>
      <w:r w:rsidR="00F70790" w:rsidRPr="00DE12A3">
        <w:rPr>
          <w:rFonts w:eastAsia="Times New Roman" w:cs="Times New Roman"/>
          <w:color w:val="auto"/>
          <w:spacing w:val="3"/>
          <w:lang w:eastAsia="en-US"/>
        </w:rPr>
        <w:t>.</w:t>
      </w:r>
    </w:p>
    <w:p w14:paraId="1B5633A6" w14:textId="55C1D85E" w:rsidR="002D7B36" w:rsidRPr="00DE12A3" w:rsidRDefault="00242DA0" w:rsidP="00E20716">
      <w:pPr>
        <w:numPr>
          <w:ilvl w:val="0"/>
          <w:numId w:val="271"/>
        </w:numPr>
        <w:spacing w:before="120" w:after="120"/>
        <w:ind w:left="1701" w:hanging="567"/>
        <w:jc w:val="both"/>
        <w:rPr>
          <w:rFonts w:eastAsia="Times New Roman" w:cs="Times New Roman"/>
          <w:color w:val="auto"/>
          <w:spacing w:val="3"/>
          <w:lang w:eastAsia="en-US"/>
        </w:rPr>
      </w:pPr>
      <w:r w:rsidRPr="00DE12A3">
        <w:rPr>
          <w:rFonts w:eastAsia="Times New Roman" w:cs="Times New Roman"/>
          <w:color w:val="auto"/>
          <w:spacing w:val="3"/>
          <w:lang w:eastAsia="en-US"/>
        </w:rPr>
        <w:t>NO ayar gazı, gaz bölücünün seyreltici portuna bağlanır</w:t>
      </w:r>
      <w:r w:rsidR="00F70790" w:rsidRPr="00DE12A3">
        <w:rPr>
          <w:rFonts w:eastAsia="Times New Roman" w:cs="Times New Roman"/>
          <w:color w:val="auto"/>
          <w:spacing w:val="3"/>
          <w:lang w:eastAsia="en-US"/>
        </w:rPr>
        <w:t>.</w:t>
      </w:r>
    </w:p>
    <w:p w14:paraId="55082C17" w14:textId="0BE19AF1" w:rsidR="002D7B36" w:rsidRPr="00DE12A3" w:rsidRDefault="00866145" w:rsidP="00E20716">
      <w:pPr>
        <w:numPr>
          <w:ilvl w:val="0"/>
          <w:numId w:val="271"/>
        </w:numPr>
        <w:spacing w:before="120" w:after="120"/>
        <w:ind w:left="1701" w:hanging="567"/>
        <w:jc w:val="both"/>
        <w:rPr>
          <w:rFonts w:eastAsia="Times New Roman" w:cs="Times New Roman"/>
          <w:color w:val="auto"/>
          <w:spacing w:val="3"/>
          <w:lang w:eastAsia="en-US"/>
        </w:rPr>
      </w:pPr>
      <w:r w:rsidRPr="00DE12A3">
        <w:rPr>
          <w:rFonts w:eastAsia="Times New Roman" w:cs="Times New Roman"/>
          <w:color w:val="auto"/>
          <w:spacing w:val="3"/>
          <w:lang w:eastAsia="en-US"/>
        </w:rPr>
        <w:t xml:space="preserve">    </w:t>
      </w:r>
      <w:r w:rsidR="00242DA0" w:rsidRPr="00DE12A3">
        <w:rPr>
          <w:rFonts w:eastAsia="Times New Roman" w:cs="Times New Roman"/>
          <w:color w:val="auto"/>
          <w:spacing w:val="3"/>
          <w:lang w:eastAsia="en-US"/>
        </w:rPr>
        <w:t>Gaz bölücü içinden NO ve CO</w:t>
      </w:r>
      <w:r w:rsidR="00242DA0" w:rsidRPr="00DE12A3">
        <w:rPr>
          <w:rFonts w:eastAsia="Times New Roman" w:cs="Times New Roman"/>
          <w:color w:val="auto"/>
          <w:spacing w:val="3"/>
          <w:vertAlign w:val="subscript"/>
          <w:lang w:eastAsia="en-US"/>
        </w:rPr>
        <w:t>2</w:t>
      </w:r>
      <w:r w:rsidR="00242DA0" w:rsidRPr="00DE12A3">
        <w:rPr>
          <w:rFonts w:eastAsia="Times New Roman" w:cs="Times New Roman"/>
          <w:color w:val="auto"/>
          <w:spacing w:val="3"/>
          <w:lang w:eastAsia="en-US"/>
        </w:rPr>
        <w:t xml:space="preserve"> akarken, gaz bölücünün çıkışı dengelenmelidir. Gaz bölücü çıkışından gelen CO</w:t>
      </w:r>
      <w:r w:rsidR="00242DA0" w:rsidRPr="00DE12A3">
        <w:rPr>
          <w:rFonts w:eastAsia="Times New Roman" w:cs="Times New Roman"/>
          <w:color w:val="auto"/>
          <w:spacing w:val="3"/>
          <w:vertAlign w:val="subscript"/>
          <w:lang w:eastAsia="en-US"/>
        </w:rPr>
        <w:t>2</w:t>
      </w:r>
      <w:r w:rsidR="00242DA0" w:rsidRPr="00DE12A3">
        <w:rPr>
          <w:rFonts w:eastAsia="Times New Roman" w:cs="Times New Roman"/>
          <w:color w:val="auto"/>
          <w:spacing w:val="3"/>
          <w:lang w:eastAsia="en-US"/>
        </w:rPr>
        <w:t xml:space="preserve"> konsantrasyonu, doğru gaz bölünmesini sağlamak için gerekli olan gaz özelliği düzeltmesi yapılarak belirlenmelidir. Bu konsantrasyon </w:t>
      </w:r>
      <w:r w:rsidR="00242DA0" w:rsidRPr="00DE12A3">
        <w:rPr>
          <w:rFonts w:eastAsia="Times New Roman" w:cs="Times New Roman"/>
          <w:i/>
          <w:iCs/>
          <w:color w:val="auto"/>
          <w:spacing w:val="3"/>
          <w:lang w:eastAsia="en-US"/>
        </w:rPr>
        <w:t>x</w:t>
      </w:r>
      <w:r w:rsidR="00242DA0" w:rsidRPr="00DE12A3">
        <w:rPr>
          <w:rFonts w:eastAsia="Times New Roman" w:cs="Times New Roman"/>
          <w:color w:val="auto"/>
          <w:spacing w:val="3"/>
          <w:vertAlign w:val="subscript"/>
          <w:lang w:eastAsia="en-US"/>
        </w:rPr>
        <w:t>CO2act</w:t>
      </w:r>
      <w:r w:rsidR="00242DA0" w:rsidRPr="00DE12A3">
        <w:rPr>
          <w:rFonts w:eastAsia="Times New Roman" w:cs="Times New Roman"/>
          <w:color w:val="auto"/>
          <w:spacing w:val="3"/>
          <w:lang w:eastAsia="en-US"/>
        </w:rPr>
        <w:t>, kaydedilmeli ve 8.1.11.2.3 bendindeki soğutma doğrulama hesaplamalarında kullanılmalıdır. Gaz bölücü kullanımına alternatif olarak, başka bir basit gaz harmanlama cihazı da kullanılabilir. Bu durumda CO</w:t>
      </w:r>
      <w:r w:rsidR="00242DA0" w:rsidRPr="00DE12A3">
        <w:rPr>
          <w:rFonts w:eastAsia="Times New Roman" w:cs="Times New Roman"/>
          <w:color w:val="auto"/>
          <w:spacing w:val="3"/>
          <w:vertAlign w:val="subscript"/>
          <w:lang w:eastAsia="en-US"/>
        </w:rPr>
        <w:t>2</w:t>
      </w:r>
      <w:r w:rsidR="00242DA0" w:rsidRPr="00DE12A3">
        <w:rPr>
          <w:rFonts w:eastAsia="Times New Roman" w:cs="Times New Roman"/>
          <w:color w:val="auto"/>
          <w:spacing w:val="3"/>
          <w:lang w:eastAsia="en-US"/>
        </w:rPr>
        <w:t xml:space="preserve"> konsantrasyonunu belirlemek için bir analiz cihazı kullanılır. Basit bir gaz harmanlama cihazıyla birlikte bir NDIR kullanılırsa, bu </w:t>
      </w:r>
      <w:r w:rsidR="00E1663B" w:rsidRPr="00DE12A3">
        <w:rPr>
          <w:rFonts w:eastAsia="Times New Roman" w:cs="Times New Roman"/>
          <w:color w:val="auto"/>
          <w:spacing w:val="3"/>
          <w:lang w:eastAsia="en-US"/>
        </w:rPr>
        <w:t>B</w:t>
      </w:r>
      <w:r w:rsidR="00242DA0" w:rsidRPr="00DE12A3">
        <w:rPr>
          <w:rFonts w:eastAsia="Times New Roman" w:cs="Times New Roman"/>
          <w:color w:val="auto"/>
          <w:spacing w:val="3"/>
          <w:lang w:eastAsia="en-US"/>
        </w:rPr>
        <w:t xml:space="preserve">ölümün </w:t>
      </w:r>
      <w:r w:rsidR="0053289F" w:rsidRPr="00DE12A3">
        <w:rPr>
          <w:rFonts w:eastAsia="Times New Roman" w:cs="Times New Roman"/>
          <w:color w:val="auto"/>
          <w:spacing w:val="3"/>
          <w:lang w:eastAsia="en-US"/>
        </w:rPr>
        <w:t>gerekliliklerini</w:t>
      </w:r>
      <w:r w:rsidR="00242DA0" w:rsidRPr="00DE12A3">
        <w:rPr>
          <w:rFonts w:eastAsia="Times New Roman" w:cs="Times New Roman"/>
          <w:color w:val="auto"/>
          <w:spacing w:val="3"/>
          <w:lang w:eastAsia="en-US"/>
        </w:rPr>
        <w:t xml:space="preserve"> sağlamalı ve bu bendin (d) </w:t>
      </w:r>
      <w:r w:rsidR="00F70790" w:rsidRPr="00DE12A3">
        <w:rPr>
          <w:rFonts w:eastAsia="Times New Roman" w:cs="Times New Roman"/>
          <w:color w:val="auto"/>
          <w:spacing w:val="3"/>
          <w:lang w:eastAsia="en-US"/>
        </w:rPr>
        <w:t xml:space="preserve">numaralı alt bendindeki </w:t>
      </w:r>
      <w:r w:rsidR="00242DA0" w:rsidRPr="00DE12A3">
        <w:rPr>
          <w:rFonts w:eastAsia="Times New Roman" w:cs="Times New Roman"/>
          <w:color w:val="auto"/>
          <w:spacing w:val="3"/>
          <w:lang w:eastAsia="en-US"/>
        </w:rPr>
        <w:t>CO</w:t>
      </w:r>
      <w:r w:rsidR="00242DA0" w:rsidRPr="00DE12A3">
        <w:rPr>
          <w:rFonts w:eastAsia="Times New Roman" w:cs="Times New Roman"/>
          <w:color w:val="auto"/>
          <w:spacing w:val="3"/>
          <w:vertAlign w:val="subscript"/>
          <w:lang w:eastAsia="en-US"/>
        </w:rPr>
        <w:t>2</w:t>
      </w:r>
      <w:r w:rsidR="00242DA0" w:rsidRPr="00DE12A3">
        <w:rPr>
          <w:rFonts w:eastAsia="Times New Roman" w:cs="Times New Roman"/>
          <w:color w:val="auto"/>
          <w:spacing w:val="3"/>
          <w:lang w:eastAsia="en-US"/>
        </w:rPr>
        <w:t xml:space="preserve"> ayar gazı ile birlikte kullanılmalıdır. NDIR analiz cihazının doğrusallığı, test sırasında beklenen azami CO</w:t>
      </w:r>
      <w:r w:rsidR="00242DA0" w:rsidRPr="00DE12A3">
        <w:rPr>
          <w:rFonts w:eastAsia="Times New Roman" w:cs="Times New Roman"/>
          <w:color w:val="auto"/>
          <w:spacing w:val="3"/>
          <w:vertAlign w:val="subscript"/>
          <w:lang w:eastAsia="en-US"/>
        </w:rPr>
        <w:t>2</w:t>
      </w:r>
      <w:r w:rsidR="00242DA0" w:rsidRPr="00DE12A3">
        <w:rPr>
          <w:rFonts w:eastAsia="Times New Roman" w:cs="Times New Roman"/>
          <w:color w:val="auto"/>
          <w:spacing w:val="3"/>
          <w:lang w:eastAsia="en-US"/>
        </w:rPr>
        <w:t xml:space="preserve"> konsantrasyonunun iki katına kadar tüm aralık boyunca önceden kontrol edilmelidir</w:t>
      </w:r>
      <w:r w:rsidR="00F70790" w:rsidRPr="00DE12A3">
        <w:rPr>
          <w:rFonts w:eastAsia="Times New Roman" w:cs="Times New Roman"/>
          <w:color w:val="auto"/>
          <w:spacing w:val="3"/>
          <w:lang w:eastAsia="en-US"/>
        </w:rPr>
        <w:t>.</w:t>
      </w:r>
    </w:p>
    <w:p w14:paraId="35903E74" w14:textId="77777777" w:rsidR="002D7B36" w:rsidRPr="00DE12A3" w:rsidRDefault="002D7B36" w:rsidP="00E20716">
      <w:pPr>
        <w:pStyle w:val="ListeParagraf"/>
        <w:numPr>
          <w:ilvl w:val="0"/>
          <w:numId w:val="272"/>
        </w:numPr>
        <w:spacing w:before="120" w:after="120"/>
        <w:ind w:left="1701" w:hanging="567"/>
        <w:jc w:val="both"/>
        <w:rPr>
          <w:rFonts w:eastAsia="Times New Roman" w:cs="Times New Roman"/>
          <w:vanish/>
          <w:color w:val="auto"/>
          <w:spacing w:val="3"/>
          <w:lang w:eastAsia="en-US"/>
        </w:rPr>
      </w:pPr>
    </w:p>
    <w:p w14:paraId="79B8C8A5" w14:textId="77777777" w:rsidR="002D7B36" w:rsidRPr="00DE12A3" w:rsidRDefault="002D7B36" w:rsidP="00E20716">
      <w:pPr>
        <w:pStyle w:val="ListeParagraf"/>
        <w:numPr>
          <w:ilvl w:val="0"/>
          <w:numId w:val="272"/>
        </w:numPr>
        <w:spacing w:before="120" w:after="120"/>
        <w:ind w:left="1701" w:hanging="567"/>
        <w:jc w:val="both"/>
        <w:rPr>
          <w:rFonts w:eastAsia="Times New Roman" w:cs="Times New Roman"/>
          <w:vanish/>
          <w:color w:val="auto"/>
          <w:spacing w:val="3"/>
          <w:lang w:eastAsia="en-US"/>
        </w:rPr>
      </w:pPr>
    </w:p>
    <w:p w14:paraId="40F66059" w14:textId="77777777" w:rsidR="002D7B36" w:rsidRPr="00DE12A3" w:rsidRDefault="002D7B36" w:rsidP="00E20716">
      <w:pPr>
        <w:pStyle w:val="ListeParagraf"/>
        <w:numPr>
          <w:ilvl w:val="0"/>
          <w:numId w:val="272"/>
        </w:numPr>
        <w:spacing w:before="120" w:after="120"/>
        <w:ind w:left="1701" w:hanging="567"/>
        <w:jc w:val="both"/>
        <w:rPr>
          <w:rFonts w:eastAsia="Times New Roman" w:cs="Times New Roman"/>
          <w:vanish/>
          <w:color w:val="auto"/>
          <w:spacing w:val="3"/>
          <w:lang w:eastAsia="en-US"/>
        </w:rPr>
      </w:pPr>
    </w:p>
    <w:p w14:paraId="46DAFA4B" w14:textId="77777777" w:rsidR="002D7B36" w:rsidRPr="00DE12A3" w:rsidRDefault="002D7B36" w:rsidP="00E20716">
      <w:pPr>
        <w:pStyle w:val="ListeParagraf"/>
        <w:numPr>
          <w:ilvl w:val="0"/>
          <w:numId w:val="272"/>
        </w:numPr>
        <w:spacing w:before="120" w:after="120"/>
        <w:ind w:left="1701" w:hanging="567"/>
        <w:jc w:val="both"/>
        <w:rPr>
          <w:rFonts w:eastAsia="Times New Roman" w:cs="Times New Roman"/>
          <w:vanish/>
          <w:color w:val="auto"/>
          <w:spacing w:val="3"/>
          <w:lang w:eastAsia="en-US"/>
        </w:rPr>
      </w:pPr>
    </w:p>
    <w:p w14:paraId="59C0DF6B" w14:textId="77777777" w:rsidR="002D7B36" w:rsidRPr="00DE12A3" w:rsidRDefault="002D7B36" w:rsidP="00E20716">
      <w:pPr>
        <w:pStyle w:val="ListeParagraf"/>
        <w:numPr>
          <w:ilvl w:val="0"/>
          <w:numId w:val="272"/>
        </w:numPr>
        <w:spacing w:before="120" w:after="120"/>
        <w:ind w:left="1701" w:hanging="567"/>
        <w:jc w:val="both"/>
        <w:rPr>
          <w:rFonts w:eastAsia="Times New Roman" w:cs="Times New Roman"/>
          <w:vanish/>
          <w:color w:val="auto"/>
          <w:spacing w:val="3"/>
          <w:lang w:eastAsia="en-US"/>
        </w:rPr>
      </w:pPr>
    </w:p>
    <w:p w14:paraId="5747F359" w14:textId="77777777" w:rsidR="002D7B36" w:rsidRPr="00DE12A3" w:rsidRDefault="002D7B36" w:rsidP="00E20716">
      <w:pPr>
        <w:pStyle w:val="ListeParagraf"/>
        <w:numPr>
          <w:ilvl w:val="0"/>
          <w:numId w:val="272"/>
        </w:numPr>
        <w:spacing w:before="120" w:after="120"/>
        <w:ind w:left="1701" w:hanging="567"/>
        <w:jc w:val="both"/>
        <w:rPr>
          <w:rFonts w:eastAsia="Times New Roman" w:cs="Times New Roman"/>
          <w:vanish/>
          <w:color w:val="auto"/>
          <w:spacing w:val="3"/>
          <w:lang w:eastAsia="en-US"/>
        </w:rPr>
      </w:pPr>
    </w:p>
    <w:p w14:paraId="7E4F7140" w14:textId="77777777" w:rsidR="002D7B36" w:rsidRPr="00DE12A3" w:rsidRDefault="002D7B36" w:rsidP="00E20716">
      <w:pPr>
        <w:pStyle w:val="ListeParagraf"/>
        <w:numPr>
          <w:ilvl w:val="0"/>
          <w:numId w:val="272"/>
        </w:numPr>
        <w:spacing w:before="120" w:after="120"/>
        <w:ind w:left="1701" w:hanging="567"/>
        <w:jc w:val="both"/>
        <w:rPr>
          <w:rFonts w:eastAsia="Times New Roman" w:cs="Times New Roman"/>
          <w:vanish/>
          <w:color w:val="auto"/>
          <w:spacing w:val="3"/>
          <w:lang w:eastAsia="en-US"/>
        </w:rPr>
      </w:pPr>
    </w:p>
    <w:p w14:paraId="48B88EDF" w14:textId="77777777" w:rsidR="002D7B36" w:rsidRPr="00DE12A3" w:rsidRDefault="002D7B36" w:rsidP="00E20716">
      <w:pPr>
        <w:pStyle w:val="ListeParagraf"/>
        <w:numPr>
          <w:ilvl w:val="0"/>
          <w:numId w:val="272"/>
        </w:numPr>
        <w:spacing w:before="120" w:after="120"/>
        <w:ind w:left="1701" w:hanging="567"/>
        <w:jc w:val="both"/>
        <w:rPr>
          <w:rFonts w:eastAsia="Times New Roman" w:cs="Times New Roman"/>
          <w:vanish/>
          <w:color w:val="auto"/>
          <w:spacing w:val="3"/>
          <w:lang w:eastAsia="en-US"/>
        </w:rPr>
      </w:pPr>
    </w:p>
    <w:p w14:paraId="6B4DED22" w14:textId="77777777" w:rsidR="002D7B36" w:rsidRPr="00DE12A3" w:rsidRDefault="002D7B36" w:rsidP="00E20716">
      <w:pPr>
        <w:pStyle w:val="ListeParagraf"/>
        <w:numPr>
          <w:ilvl w:val="0"/>
          <w:numId w:val="272"/>
        </w:numPr>
        <w:spacing w:before="120" w:after="120"/>
        <w:ind w:left="1701" w:hanging="567"/>
        <w:jc w:val="both"/>
        <w:rPr>
          <w:rFonts w:eastAsia="Times New Roman" w:cs="Times New Roman"/>
          <w:vanish/>
          <w:color w:val="auto"/>
          <w:spacing w:val="3"/>
          <w:lang w:eastAsia="en-US"/>
        </w:rPr>
      </w:pPr>
    </w:p>
    <w:p w14:paraId="278F0F50" w14:textId="6901D8E7" w:rsidR="002D7B36" w:rsidRPr="00DE12A3" w:rsidRDefault="00866145" w:rsidP="00E20716">
      <w:pPr>
        <w:pStyle w:val="ListeParagraf"/>
        <w:numPr>
          <w:ilvl w:val="0"/>
          <w:numId w:val="272"/>
        </w:numPr>
        <w:spacing w:before="120" w:after="120"/>
        <w:ind w:left="1701" w:hanging="567"/>
        <w:jc w:val="both"/>
        <w:rPr>
          <w:rFonts w:eastAsia="Times New Roman" w:cs="Times New Roman"/>
          <w:color w:val="auto"/>
          <w:spacing w:val="3"/>
          <w:lang w:eastAsia="en-US"/>
        </w:rPr>
      </w:pPr>
      <w:r w:rsidRPr="00DE12A3">
        <w:rPr>
          <w:rFonts w:eastAsia="Times New Roman" w:cs="Times New Roman"/>
          <w:color w:val="auto"/>
          <w:spacing w:val="3"/>
          <w:lang w:eastAsia="en-US"/>
        </w:rPr>
        <w:t xml:space="preserve">     </w:t>
      </w:r>
      <w:r w:rsidR="00242DA0" w:rsidRPr="00DE12A3">
        <w:rPr>
          <w:rFonts w:eastAsia="Times New Roman" w:cs="Times New Roman"/>
          <w:color w:val="auto"/>
          <w:spacing w:val="3"/>
          <w:lang w:eastAsia="en-US"/>
        </w:rPr>
        <w:t xml:space="preserve">NO konsantrasyonu, CLD analiz cihazına sahip gaz bölücünün çıkış kısmında ölçülmelidir. Analiz cihazı tepkisinin dengelenmesi için süre tanınmalıdır. Dengelenme süresi, aktarım hattı temizleme ve analiz cihazı tepkisini hesaba katma süresini içerebilir. Analiz cihazı numunenin konsantrasyonunu ölçerken, analiz cihazının çıktısı 30 saniye boyunca kaydedilmelidir. Aritmetik ortalama konsantrasyon </w:t>
      </w:r>
      <w:r w:rsidR="00242DA0" w:rsidRPr="00DE12A3">
        <w:rPr>
          <w:rFonts w:eastAsia="Times New Roman" w:cs="Times New Roman"/>
          <w:i/>
          <w:iCs/>
          <w:color w:val="auto"/>
          <w:spacing w:val="3"/>
          <w:lang w:eastAsia="en-US"/>
        </w:rPr>
        <w:t>x</w:t>
      </w:r>
      <w:r w:rsidR="00242DA0" w:rsidRPr="00DE12A3">
        <w:rPr>
          <w:rFonts w:eastAsia="Times New Roman" w:cs="Times New Roman"/>
          <w:color w:val="auto"/>
          <w:spacing w:val="3"/>
          <w:vertAlign w:val="subscript"/>
          <w:lang w:eastAsia="en-US"/>
        </w:rPr>
        <w:t>NOmeas</w:t>
      </w:r>
      <w:r w:rsidR="00242DA0" w:rsidRPr="00DE12A3">
        <w:rPr>
          <w:rFonts w:eastAsia="Times New Roman" w:cs="Times New Roman"/>
          <w:color w:val="auto"/>
          <w:spacing w:val="3"/>
          <w:lang w:eastAsia="en-US"/>
        </w:rPr>
        <w:t xml:space="preserve">, bu verilerden hesaplanmalıdır. </w:t>
      </w:r>
      <w:r w:rsidR="00242DA0" w:rsidRPr="00DE12A3">
        <w:rPr>
          <w:rFonts w:eastAsia="Times New Roman" w:cs="Times New Roman"/>
          <w:i/>
          <w:iCs/>
          <w:color w:val="auto"/>
          <w:spacing w:val="3"/>
          <w:lang w:eastAsia="en-US"/>
        </w:rPr>
        <w:t>x</w:t>
      </w:r>
      <w:r w:rsidR="00242DA0" w:rsidRPr="00DE12A3">
        <w:rPr>
          <w:rFonts w:eastAsia="Times New Roman" w:cs="Times New Roman"/>
          <w:color w:val="auto"/>
          <w:spacing w:val="3"/>
          <w:vertAlign w:val="subscript"/>
          <w:lang w:eastAsia="en-US"/>
        </w:rPr>
        <w:t>NOmeas</w:t>
      </w:r>
      <w:r w:rsidR="00242DA0" w:rsidRPr="00DE12A3">
        <w:rPr>
          <w:rFonts w:eastAsia="Times New Roman" w:cs="Times New Roman"/>
          <w:color w:val="auto"/>
          <w:spacing w:val="3"/>
          <w:lang w:eastAsia="en-US"/>
        </w:rPr>
        <w:t xml:space="preserve"> kaydedilmeli ve 8.1.11.2.3 bendindeki soğutma doğrulama hesaplamalarında kullanılmalıdır</w:t>
      </w:r>
      <w:r w:rsidR="00F70790" w:rsidRPr="00DE12A3">
        <w:rPr>
          <w:rFonts w:eastAsia="Times New Roman" w:cs="Times New Roman"/>
          <w:color w:val="auto"/>
          <w:spacing w:val="3"/>
          <w:lang w:eastAsia="en-US"/>
        </w:rPr>
        <w:t>.</w:t>
      </w:r>
    </w:p>
    <w:p w14:paraId="364B4183" w14:textId="1963FDF3" w:rsidR="002D7B36" w:rsidRPr="00DE12A3" w:rsidRDefault="00242DA0" w:rsidP="00C917D6">
      <w:pPr>
        <w:spacing w:before="120" w:after="120"/>
        <w:ind w:left="1701" w:hanging="567"/>
        <w:jc w:val="both"/>
        <w:rPr>
          <w:rFonts w:eastAsia="Times New Roman" w:cs="Times New Roman"/>
          <w:color w:val="auto"/>
          <w:spacing w:val="3"/>
          <w:lang w:eastAsia="en-US"/>
        </w:rPr>
      </w:pPr>
      <w:r w:rsidRPr="00DE12A3">
        <w:rPr>
          <w:rFonts w:eastAsia="Times New Roman" w:cs="Times New Roman"/>
          <w:color w:val="auto"/>
          <w:spacing w:val="3"/>
          <w:lang w:eastAsia="en-US"/>
        </w:rPr>
        <w:t>(k)</w:t>
      </w:r>
      <w:r w:rsidRPr="00DE12A3">
        <w:rPr>
          <w:rFonts w:eastAsia="Times New Roman" w:cs="Times New Roman"/>
          <w:color w:val="auto"/>
          <w:spacing w:val="3"/>
          <w:lang w:eastAsia="en-US"/>
        </w:rPr>
        <w:tab/>
        <w:t xml:space="preserve">Fiili NO konsantrasyonu </w:t>
      </w:r>
      <w:r w:rsidRPr="00DE12A3">
        <w:rPr>
          <w:rFonts w:eastAsia="Times New Roman" w:cs="Times New Roman"/>
          <w:i/>
          <w:iCs/>
          <w:color w:val="auto"/>
          <w:spacing w:val="3"/>
          <w:lang w:eastAsia="en-US"/>
        </w:rPr>
        <w:t>x</w:t>
      </w:r>
      <w:r w:rsidRPr="00DE12A3">
        <w:rPr>
          <w:rFonts w:eastAsia="Times New Roman" w:cs="Times New Roman"/>
          <w:color w:val="auto"/>
          <w:spacing w:val="3"/>
          <w:vertAlign w:val="subscript"/>
          <w:lang w:eastAsia="en-US"/>
        </w:rPr>
        <w:t>NOact</w:t>
      </w:r>
      <w:r w:rsidRPr="00DE12A3">
        <w:rPr>
          <w:rFonts w:eastAsia="Times New Roman" w:cs="Times New Roman"/>
          <w:color w:val="auto"/>
          <w:spacing w:val="3"/>
          <w:lang w:eastAsia="en-US"/>
        </w:rPr>
        <w:t xml:space="preserve">, gaz bölücünün çıkışında, (6-24) </w:t>
      </w:r>
      <w:r w:rsidR="005E1C7E" w:rsidRPr="00DE12A3">
        <w:rPr>
          <w:color w:val="auto"/>
        </w:rPr>
        <w:t>numaralı</w:t>
      </w:r>
      <w:r w:rsidR="005E1C7E" w:rsidRPr="00DE12A3" w:rsidDel="005E1C7E">
        <w:rPr>
          <w:rFonts w:eastAsia="Times New Roman" w:cs="Times New Roman"/>
          <w:color w:val="auto"/>
          <w:spacing w:val="3"/>
          <w:lang w:eastAsia="en-US"/>
        </w:rPr>
        <w:t xml:space="preserve"> </w:t>
      </w:r>
      <w:r w:rsidRPr="00DE12A3">
        <w:rPr>
          <w:rFonts w:eastAsia="Times New Roman" w:cs="Times New Roman"/>
          <w:color w:val="auto"/>
          <w:spacing w:val="3"/>
          <w:lang w:eastAsia="en-US"/>
        </w:rPr>
        <w:t xml:space="preserve">denklem vasıtasıyla ayar gazı konsantrasyonları ve </w:t>
      </w:r>
      <w:r w:rsidRPr="00DE12A3">
        <w:rPr>
          <w:rFonts w:eastAsia="Times New Roman" w:cs="Times New Roman"/>
          <w:i/>
          <w:iCs/>
          <w:color w:val="auto"/>
          <w:spacing w:val="3"/>
          <w:lang w:eastAsia="en-US"/>
        </w:rPr>
        <w:t>x</w:t>
      </w:r>
      <w:r w:rsidRPr="00DE12A3">
        <w:rPr>
          <w:rFonts w:eastAsia="Times New Roman" w:cs="Times New Roman"/>
          <w:color w:val="auto"/>
          <w:spacing w:val="3"/>
          <w:vertAlign w:val="subscript"/>
          <w:lang w:eastAsia="en-US"/>
        </w:rPr>
        <w:t>CO2act</w:t>
      </w:r>
      <w:r w:rsidRPr="00DE12A3">
        <w:rPr>
          <w:rFonts w:eastAsia="Times New Roman" w:cs="Times New Roman"/>
          <w:color w:val="auto"/>
          <w:spacing w:val="3"/>
          <w:lang w:eastAsia="en-US"/>
        </w:rPr>
        <w:t xml:space="preserve"> esasında hesaplanmalıdır. Hesaplanan değer, (6-23) </w:t>
      </w:r>
      <w:r w:rsidR="005E1C7E" w:rsidRPr="00DE12A3">
        <w:rPr>
          <w:color w:val="auto"/>
        </w:rPr>
        <w:t>numaralı</w:t>
      </w:r>
      <w:r w:rsidR="005E1C7E" w:rsidRPr="00DE12A3" w:rsidDel="005E1C7E">
        <w:rPr>
          <w:rFonts w:eastAsia="Times New Roman" w:cs="Times New Roman"/>
          <w:color w:val="auto"/>
          <w:spacing w:val="3"/>
          <w:lang w:eastAsia="en-US"/>
        </w:rPr>
        <w:t xml:space="preserve"> </w:t>
      </w:r>
      <w:r w:rsidRPr="00DE12A3">
        <w:rPr>
          <w:rFonts w:eastAsia="Times New Roman" w:cs="Times New Roman"/>
          <w:color w:val="auto"/>
          <w:spacing w:val="3"/>
          <w:lang w:eastAsia="en-US"/>
        </w:rPr>
        <w:t>denklem vasıtasıyla soğutma doğrulama hesaplamalarında kullanılmalıdır</w:t>
      </w:r>
      <w:r w:rsidR="00F70790" w:rsidRPr="00DE12A3">
        <w:rPr>
          <w:rFonts w:eastAsia="Times New Roman" w:cs="Times New Roman"/>
          <w:color w:val="auto"/>
          <w:spacing w:val="3"/>
          <w:lang w:eastAsia="en-US"/>
        </w:rPr>
        <w:t>.</w:t>
      </w:r>
    </w:p>
    <w:p w14:paraId="001D0314" w14:textId="2C12002A" w:rsidR="002D7B36" w:rsidRPr="00DE12A3" w:rsidRDefault="00242DA0" w:rsidP="00C917D6">
      <w:pPr>
        <w:spacing w:before="120" w:after="120"/>
        <w:ind w:left="1701" w:hanging="567"/>
        <w:jc w:val="both"/>
        <w:rPr>
          <w:rFonts w:eastAsia="Times New Roman" w:cs="Times New Roman"/>
          <w:color w:val="auto"/>
          <w:spacing w:val="3"/>
          <w:lang w:eastAsia="en-US"/>
        </w:rPr>
      </w:pPr>
      <w:r w:rsidRPr="00DE12A3">
        <w:rPr>
          <w:rFonts w:eastAsia="Times New Roman" w:cs="Times New Roman"/>
          <w:color w:val="auto"/>
          <w:spacing w:val="3"/>
          <w:lang w:eastAsia="en-US"/>
        </w:rPr>
        <w:t>(l)</w:t>
      </w:r>
      <w:r w:rsidRPr="00DE12A3">
        <w:rPr>
          <w:rFonts w:eastAsia="Times New Roman" w:cs="Times New Roman"/>
          <w:color w:val="auto"/>
          <w:spacing w:val="3"/>
          <w:lang w:eastAsia="en-US"/>
        </w:rPr>
        <w:tab/>
        <w:t>8.1.11.1.4 ve 8.1.11.1.5 bentlerine göre kaydedilen değerler, 8.1.11.2.3 bendinde açıklandığı gibi soğutmayı hesaplamak için kullanılmalıdır.</w:t>
      </w:r>
    </w:p>
    <w:p w14:paraId="740BCA7D" w14:textId="77777777" w:rsidR="002D7B36" w:rsidRPr="00DE12A3" w:rsidRDefault="001D2C2D" w:rsidP="00E20716">
      <w:pPr>
        <w:numPr>
          <w:ilvl w:val="0"/>
          <w:numId w:val="270"/>
        </w:numPr>
        <w:spacing w:before="120" w:after="120"/>
        <w:ind w:left="1134" w:hanging="1134"/>
        <w:jc w:val="both"/>
        <w:rPr>
          <w:rFonts w:eastAsia="Times New Roman" w:cs="Times New Roman"/>
          <w:color w:val="auto"/>
          <w:spacing w:val="3"/>
          <w:lang w:eastAsia="en-US"/>
        </w:rPr>
      </w:pPr>
      <w:r w:rsidRPr="00DE12A3">
        <w:rPr>
          <w:rFonts w:eastAsia="Times New Roman" w:cs="Times New Roman"/>
          <w:color w:val="auto"/>
          <w:spacing w:val="3"/>
          <w:lang w:eastAsia="en-US"/>
        </w:rPr>
        <w:t xml:space="preserve"> </w:t>
      </w:r>
      <w:r w:rsidR="00242DA0" w:rsidRPr="00DE12A3">
        <w:rPr>
          <w:rFonts w:eastAsia="Times New Roman" w:cs="Times New Roman"/>
          <w:color w:val="auto"/>
          <w:spacing w:val="3"/>
          <w:lang w:eastAsia="en-US"/>
        </w:rPr>
        <w:t>H</w:t>
      </w:r>
      <w:r w:rsidR="00242DA0" w:rsidRPr="00DE12A3">
        <w:rPr>
          <w:rFonts w:eastAsia="Times New Roman" w:cs="Times New Roman"/>
          <w:color w:val="auto"/>
          <w:spacing w:val="3"/>
          <w:vertAlign w:val="subscript"/>
          <w:lang w:eastAsia="en-US"/>
        </w:rPr>
        <w:t>2</w:t>
      </w:r>
      <w:r w:rsidR="00242DA0" w:rsidRPr="00DE12A3">
        <w:rPr>
          <w:rFonts w:eastAsia="Times New Roman" w:cs="Times New Roman"/>
          <w:color w:val="auto"/>
          <w:spacing w:val="3"/>
          <w:lang w:eastAsia="en-US"/>
        </w:rPr>
        <w:t>O soğutması doğrulama prosedürü</w:t>
      </w:r>
    </w:p>
    <w:p w14:paraId="03640E68" w14:textId="499D0E2B" w:rsidR="002D7B36" w:rsidRPr="00DE12A3" w:rsidRDefault="00264524" w:rsidP="00C917D6">
      <w:pPr>
        <w:spacing w:before="120" w:after="120"/>
        <w:ind w:left="1134" w:hanging="1134"/>
        <w:jc w:val="both"/>
        <w:rPr>
          <w:rFonts w:eastAsia="Times New Roman" w:cs="Times New Roman"/>
          <w:color w:val="auto"/>
          <w:spacing w:val="3"/>
          <w:lang w:eastAsia="en-US"/>
        </w:rPr>
      </w:pPr>
      <w:r w:rsidRPr="00DE12A3">
        <w:rPr>
          <w:rFonts w:eastAsia="Times New Roman" w:cs="Times New Roman"/>
          <w:color w:val="auto"/>
          <w:spacing w:val="3"/>
          <w:lang w:eastAsia="en-US"/>
        </w:rPr>
        <w:t xml:space="preserve">                   </w:t>
      </w:r>
      <w:r w:rsidR="00242DA0" w:rsidRPr="00DE12A3">
        <w:rPr>
          <w:rFonts w:eastAsia="Times New Roman" w:cs="Times New Roman"/>
          <w:color w:val="auto"/>
          <w:spacing w:val="3"/>
          <w:lang w:eastAsia="en-US"/>
        </w:rPr>
        <w:t>H</w:t>
      </w:r>
      <w:r w:rsidR="00242DA0" w:rsidRPr="00DE12A3">
        <w:rPr>
          <w:rFonts w:eastAsia="Times New Roman" w:cs="Times New Roman"/>
          <w:color w:val="auto"/>
          <w:spacing w:val="3"/>
          <w:vertAlign w:val="subscript"/>
          <w:lang w:eastAsia="en-US"/>
        </w:rPr>
        <w:t>2</w:t>
      </w:r>
      <w:r w:rsidR="00242DA0" w:rsidRPr="00DE12A3">
        <w:rPr>
          <w:rFonts w:eastAsia="Times New Roman" w:cs="Times New Roman"/>
          <w:color w:val="auto"/>
          <w:spacing w:val="3"/>
          <w:lang w:eastAsia="en-US"/>
        </w:rPr>
        <w:t>O soğutması yöntemini belirlemek için aşağıdaki yöntem veya cihaz imalatçısı tarafından öngörülen yöntem kullanılabilir ya da farklı bir protokol geliştirmek için iyi mühendislik kararı kullanılır</w:t>
      </w:r>
      <w:r w:rsidR="00F70790" w:rsidRPr="00DE12A3">
        <w:rPr>
          <w:rFonts w:eastAsia="Times New Roman" w:cs="Times New Roman"/>
          <w:color w:val="auto"/>
          <w:spacing w:val="3"/>
          <w:lang w:eastAsia="en-US"/>
        </w:rPr>
        <w:t>.</w:t>
      </w:r>
    </w:p>
    <w:p w14:paraId="30896A59" w14:textId="29356954" w:rsidR="002D7B36" w:rsidRPr="00DE12A3" w:rsidRDefault="00264524" w:rsidP="00E20716">
      <w:pPr>
        <w:numPr>
          <w:ilvl w:val="0"/>
          <w:numId w:val="273"/>
        </w:numPr>
        <w:spacing w:before="120" w:after="120"/>
        <w:ind w:left="1701" w:hanging="567"/>
        <w:jc w:val="both"/>
        <w:rPr>
          <w:rFonts w:eastAsia="Times New Roman" w:cs="Times New Roman"/>
          <w:color w:val="auto"/>
          <w:spacing w:val="3"/>
          <w:lang w:eastAsia="en-US"/>
        </w:rPr>
      </w:pPr>
      <w:r w:rsidRPr="00DE12A3">
        <w:rPr>
          <w:rFonts w:eastAsia="Times New Roman" w:cs="Times New Roman"/>
          <w:color w:val="auto"/>
          <w:spacing w:val="3"/>
          <w:lang w:eastAsia="en-US"/>
        </w:rPr>
        <w:t xml:space="preserve">    </w:t>
      </w:r>
      <w:r w:rsidR="00242DA0" w:rsidRPr="00DE12A3">
        <w:rPr>
          <w:rFonts w:eastAsia="Times New Roman" w:cs="Times New Roman"/>
          <w:color w:val="auto"/>
          <w:spacing w:val="3"/>
          <w:lang w:eastAsia="en-US"/>
        </w:rPr>
        <w:t>Gerekli bağlantıları yapmak için PTFE veya paslanmaz çelik boru kullanılmalıdır</w:t>
      </w:r>
      <w:r w:rsidR="00F70790" w:rsidRPr="00DE12A3">
        <w:rPr>
          <w:rFonts w:eastAsia="Times New Roman" w:cs="Times New Roman"/>
          <w:color w:val="auto"/>
          <w:spacing w:val="3"/>
          <w:lang w:eastAsia="en-US"/>
        </w:rPr>
        <w:t>.</w:t>
      </w:r>
    </w:p>
    <w:p w14:paraId="22C1A583" w14:textId="01168FF7" w:rsidR="002D7B36" w:rsidRPr="00DE12A3" w:rsidRDefault="00264524" w:rsidP="00E20716">
      <w:pPr>
        <w:numPr>
          <w:ilvl w:val="0"/>
          <w:numId w:val="273"/>
        </w:numPr>
        <w:spacing w:before="120" w:after="120"/>
        <w:ind w:left="1701" w:hanging="567"/>
        <w:jc w:val="both"/>
        <w:rPr>
          <w:rFonts w:eastAsia="Times New Roman" w:cs="Times New Roman"/>
          <w:color w:val="auto"/>
          <w:spacing w:val="3"/>
          <w:lang w:eastAsia="en-US"/>
        </w:rPr>
      </w:pPr>
      <w:r w:rsidRPr="00DE12A3">
        <w:rPr>
          <w:rFonts w:eastAsia="Times New Roman" w:cs="Times New Roman"/>
          <w:color w:val="auto"/>
          <w:spacing w:val="3"/>
          <w:lang w:eastAsia="en-US"/>
        </w:rPr>
        <w:t xml:space="preserve">     </w:t>
      </w:r>
      <w:r w:rsidR="00242DA0" w:rsidRPr="00DE12A3">
        <w:rPr>
          <w:rFonts w:eastAsia="Times New Roman" w:cs="Times New Roman"/>
          <w:color w:val="auto"/>
          <w:spacing w:val="3"/>
          <w:lang w:eastAsia="en-US"/>
        </w:rPr>
        <w:t>CLD analiz cihazında, toplam NO</w:t>
      </w:r>
      <w:r w:rsidR="00242DA0" w:rsidRPr="00DE12A3">
        <w:rPr>
          <w:rFonts w:eastAsia="Times New Roman" w:cs="Times New Roman"/>
          <w:color w:val="auto"/>
          <w:spacing w:val="3"/>
          <w:vertAlign w:val="subscript"/>
          <w:lang w:eastAsia="en-US"/>
        </w:rPr>
        <w:t>x</w:t>
      </w:r>
      <w:r w:rsidR="00242DA0" w:rsidRPr="00DE12A3">
        <w:rPr>
          <w:rFonts w:eastAsia="Times New Roman" w:cs="Times New Roman"/>
          <w:color w:val="auto"/>
          <w:spacing w:val="3"/>
          <w:lang w:eastAsia="en-US"/>
        </w:rPr>
        <w:t xml:space="preserve"> yerine, sadece NO'yu tespit ettiği bir çalışma modu varsa, CLD analiz cihazı sadece NO çalışma modunda çalıştırılmalıdır</w:t>
      </w:r>
      <w:r w:rsidR="00F70790" w:rsidRPr="00DE12A3">
        <w:rPr>
          <w:rFonts w:eastAsia="Times New Roman" w:cs="Times New Roman"/>
          <w:color w:val="auto"/>
          <w:spacing w:val="3"/>
          <w:lang w:eastAsia="en-US"/>
        </w:rPr>
        <w:t>.</w:t>
      </w:r>
    </w:p>
    <w:p w14:paraId="79F74982" w14:textId="599D9F0A" w:rsidR="002D7B36" w:rsidRPr="00DE12A3" w:rsidRDefault="00264524" w:rsidP="00E20716">
      <w:pPr>
        <w:numPr>
          <w:ilvl w:val="0"/>
          <w:numId w:val="273"/>
        </w:numPr>
        <w:spacing w:before="120" w:after="120"/>
        <w:ind w:left="1701" w:hanging="567"/>
        <w:jc w:val="both"/>
        <w:rPr>
          <w:rFonts w:eastAsia="Times New Roman" w:cs="Times New Roman"/>
          <w:color w:val="auto"/>
          <w:spacing w:val="3"/>
          <w:lang w:eastAsia="en-US"/>
        </w:rPr>
      </w:pPr>
      <w:r w:rsidRPr="00DE12A3">
        <w:rPr>
          <w:rFonts w:eastAsia="Times New Roman" w:cs="Times New Roman"/>
          <w:color w:val="auto"/>
          <w:spacing w:val="3"/>
          <w:lang w:eastAsia="en-US"/>
        </w:rPr>
        <w:t xml:space="preserve">     </w:t>
      </w:r>
      <w:r w:rsidR="00242DA0" w:rsidRPr="00DE12A3">
        <w:rPr>
          <w:rFonts w:eastAsia="Times New Roman" w:cs="Times New Roman"/>
          <w:color w:val="auto"/>
          <w:spacing w:val="3"/>
          <w:lang w:eastAsia="en-US"/>
        </w:rPr>
        <w:t xml:space="preserve">9.5.1 bendindeki </w:t>
      </w:r>
      <w:r w:rsidR="0053289F" w:rsidRPr="00DE12A3">
        <w:rPr>
          <w:rFonts w:eastAsia="Times New Roman" w:cs="Times New Roman"/>
          <w:color w:val="auto"/>
          <w:spacing w:val="3"/>
          <w:lang w:eastAsia="en-US"/>
        </w:rPr>
        <w:t>gereklilikleri</w:t>
      </w:r>
      <w:r w:rsidR="00242DA0" w:rsidRPr="00DE12A3">
        <w:rPr>
          <w:rFonts w:eastAsia="Times New Roman" w:cs="Times New Roman"/>
          <w:color w:val="auto"/>
          <w:spacing w:val="3"/>
          <w:lang w:eastAsia="en-US"/>
        </w:rPr>
        <w:t xml:space="preserve"> sağlayan bir NO ayar gazı ve emisyon testi sırasında beklenen azami konsantrasyona yakın bir konsantrasyon kullanılmalıdır. Beklenen NO konsantrasyonu, cihaz imalatçısı tarafından belirtilen doğrulama için asgari aralıktan düşükse, doğru doğrulama elde etmek için cihaz imalatçısının tavsiyesine ve iyi mühendislik kararına göre daha yüksek konsantrasyon kullanılabilir</w:t>
      </w:r>
      <w:r w:rsidR="00F70790" w:rsidRPr="00DE12A3">
        <w:rPr>
          <w:rFonts w:eastAsia="Times New Roman" w:cs="Times New Roman"/>
          <w:color w:val="auto"/>
          <w:spacing w:val="3"/>
          <w:lang w:eastAsia="en-US"/>
        </w:rPr>
        <w:t>.</w:t>
      </w:r>
    </w:p>
    <w:p w14:paraId="1ECC05E7" w14:textId="70D7BB3D" w:rsidR="002D7B36" w:rsidRPr="00DE12A3" w:rsidRDefault="00242DA0" w:rsidP="00E20716">
      <w:pPr>
        <w:numPr>
          <w:ilvl w:val="0"/>
          <w:numId w:val="273"/>
        </w:numPr>
        <w:spacing w:before="120" w:after="120"/>
        <w:ind w:left="1701" w:hanging="567"/>
        <w:jc w:val="both"/>
        <w:rPr>
          <w:rFonts w:eastAsia="Times New Roman" w:cs="Times New Roman"/>
          <w:color w:val="auto"/>
          <w:spacing w:val="3"/>
          <w:lang w:eastAsia="en-US"/>
        </w:rPr>
      </w:pPr>
      <w:r w:rsidRPr="00DE12A3">
        <w:rPr>
          <w:rFonts w:eastAsia="Times New Roman" w:cs="Times New Roman"/>
          <w:color w:val="auto"/>
          <w:spacing w:val="3"/>
          <w:lang w:eastAsia="en-US"/>
        </w:rPr>
        <w:t xml:space="preserve">CLD analiz cihazı sıfırlanmalı ve ayarlanmalıdır. CLD analiz cihazı, bu bendin (c) </w:t>
      </w:r>
      <w:r w:rsidR="00F70790" w:rsidRPr="00DE12A3">
        <w:rPr>
          <w:rFonts w:eastAsia="Times New Roman" w:cs="Times New Roman"/>
          <w:color w:val="auto"/>
          <w:spacing w:val="3"/>
          <w:lang w:eastAsia="en-US"/>
        </w:rPr>
        <w:t>numaralı alt bendindeki</w:t>
      </w:r>
      <w:r w:rsidRPr="00DE12A3">
        <w:rPr>
          <w:rFonts w:eastAsia="Times New Roman" w:cs="Times New Roman"/>
          <w:color w:val="auto"/>
          <w:spacing w:val="3"/>
          <w:lang w:eastAsia="en-US"/>
        </w:rPr>
        <w:t xml:space="preserve"> NO ayar gazıyla ayarlanmalı, ayar gazı konsantrasyonu </w:t>
      </w:r>
      <w:r w:rsidRPr="00DE12A3">
        <w:rPr>
          <w:rFonts w:eastAsia="Times New Roman" w:cs="Times New Roman"/>
          <w:i/>
          <w:iCs/>
          <w:color w:val="auto"/>
          <w:spacing w:val="3"/>
          <w:lang w:eastAsia="en-US"/>
        </w:rPr>
        <w:t>x</w:t>
      </w:r>
      <w:r w:rsidRPr="00DE12A3">
        <w:rPr>
          <w:rFonts w:eastAsia="Times New Roman" w:cs="Times New Roman"/>
          <w:color w:val="auto"/>
          <w:spacing w:val="3"/>
          <w:vertAlign w:val="subscript"/>
          <w:lang w:eastAsia="en-US"/>
        </w:rPr>
        <w:t>NOdry</w:t>
      </w:r>
      <w:r w:rsidRPr="00DE12A3">
        <w:rPr>
          <w:rFonts w:eastAsia="Times New Roman" w:cs="Times New Roman"/>
          <w:color w:val="auto"/>
          <w:spacing w:val="3"/>
          <w:lang w:eastAsia="en-US"/>
        </w:rPr>
        <w:t xml:space="preserve"> olarak kaydedilmeli ve 8.1.11.2.3 bendindeki soğutma doğrulama hesaplamalarında kullanılmalıdır</w:t>
      </w:r>
      <w:r w:rsidR="00F70790" w:rsidRPr="00DE12A3">
        <w:rPr>
          <w:rFonts w:eastAsia="Times New Roman" w:cs="Times New Roman"/>
          <w:color w:val="auto"/>
          <w:spacing w:val="3"/>
          <w:lang w:eastAsia="en-US"/>
        </w:rPr>
        <w:t>.</w:t>
      </w:r>
    </w:p>
    <w:p w14:paraId="140B2432" w14:textId="77777777" w:rsidR="002D7B36" w:rsidRPr="00DE12A3" w:rsidRDefault="00264524" w:rsidP="00E20716">
      <w:pPr>
        <w:numPr>
          <w:ilvl w:val="0"/>
          <w:numId w:val="273"/>
        </w:numPr>
        <w:spacing w:before="120" w:after="120"/>
        <w:ind w:left="1701" w:hanging="567"/>
        <w:jc w:val="both"/>
        <w:rPr>
          <w:rFonts w:eastAsia="Times New Roman" w:cs="Times New Roman"/>
          <w:color w:val="auto"/>
          <w:spacing w:val="3"/>
          <w:lang w:eastAsia="en-US"/>
        </w:rPr>
      </w:pPr>
      <w:r w:rsidRPr="00DE12A3">
        <w:rPr>
          <w:rFonts w:eastAsia="Times New Roman" w:cs="Times New Roman"/>
          <w:color w:val="auto"/>
          <w:spacing w:val="3"/>
          <w:lang w:eastAsia="en-US"/>
        </w:rPr>
        <w:t xml:space="preserve">     </w:t>
      </w:r>
      <w:r w:rsidR="00242DA0" w:rsidRPr="00DE12A3">
        <w:rPr>
          <w:rFonts w:eastAsia="Times New Roman" w:cs="Times New Roman"/>
          <w:color w:val="auto"/>
          <w:spacing w:val="3"/>
          <w:lang w:eastAsia="en-US"/>
        </w:rPr>
        <w:t>NO ayar gazı, kapalı bir kapta damıtılmış su içinde köpürtülerek nemlendirilir. Nemlendirilmiş NO ayar gazı numunesi bu doğrulama testi için bir numune kurutucudan geçmezse, kap sıcaklığı, ayar gazı içinde emisyon testi sırasında beklenen azami H</w:t>
      </w:r>
      <w:r w:rsidR="00242DA0" w:rsidRPr="00DE12A3">
        <w:rPr>
          <w:rFonts w:eastAsia="Times New Roman" w:cs="Times New Roman"/>
          <w:color w:val="auto"/>
          <w:spacing w:val="3"/>
          <w:vertAlign w:val="subscript"/>
          <w:lang w:eastAsia="en-US"/>
        </w:rPr>
        <w:t>2</w:t>
      </w:r>
      <w:r w:rsidR="00242DA0" w:rsidRPr="00DE12A3">
        <w:rPr>
          <w:rFonts w:eastAsia="Times New Roman" w:cs="Times New Roman"/>
          <w:color w:val="auto"/>
          <w:spacing w:val="3"/>
          <w:lang w:eastAsia="en-US"/>
        </w:rPr>
        <w:t>O mol miktarına yaklaşık eşit bir H</w:t>
      </w:r>
      <w:r w:rsidR="00242DA0" w:rsidRPr="00DE12A3">
        <w:rPr>
          <w:rFonts w:eastAsia="Times New Roman" w:cs="Times New Roman"/>
          <w:color w:val="auto"/>
          <w:spacing w:val="3"/>
          <w:vertAlign w:val="subscript"/>
          <w:lang w:eastAsia="en-US"/>
        </w:rPr>
        <w:t>2</w:t>
      </w:r>
      <w:r w:rsidR="00242DA0" w:rsidRPr="00DE12A3">
        <w:rPr>
          <w:rFonts w:eastAsia="Times New Roman" w:cs="Times New Roman"/>
          <w:color w:val="auto"/>
          <w:spacing w:val="3"/>
          <w:lang w:eastAsia="en-US"/>
        </w:rPr>
        <w:t>O içeriği üretmesi için kontrol edilmelidir. Nemlendirilmiş NO ayar gazı numunesi bir numune kurutucudan geçmezse, 8.1.11.2.3 bendindeki soğutma doğrulama hesaplamaları, ölçülen H</w:t>
      </w:r>
      <w:r w:rsidR="00242DA0" w:rsidRPr="00DE12A3">
        <w:rPr>
          <w:rFonts w:eastAsia="Times New Roman" w:cs="Times New Roman"/>
          <w:color w:val="auto"/>
          <w:spacing w:val="3"/>
          <w:vertAlign w:val="subscript"/>
          <w:lang w:eastAsia="en-US"/>
        </w:rPr>
        <w:t>2</w:t>
      </w:r>
      <w:r w:rsidR="00242DA0" w:rsidRPr="00DE12A3">
        <w:rPr>
          <w:rFonts w:eastAsia="Times New Roman" w:cs="Times New Roman"/>
          <w:color w:val="auto"/>
          <w:spacing w:val="3"/>
          <w:lang w:eastAsia="en-US"/>
        </w:rPr>
        <w:t>O soğutmasını emisyon testi sırasında beklenen en yüksek H</w:t>
      </w:r>
      <w:r w:rsidR="00242DA0" w:rsidRPr="00DE12A3">
        <w:rPr>
          <w:rFonts w:eastAsia="Times New Roman" w:cs="Times New Roman"/>
          <w:color w:val="auto"/>
          <w:spacing w:val="3"/>
          <w:vertAlign w:val="subscript"/>
          <w:lang w:eastAsia="en-US"/>
        </w:rPr>
        <w:t>2</w:t>
      </w:r>
      <w:r w:rsidR="00242DA0" w:rsidRPr="00DE12A3">
        <w:rPr>
          <w:rFonts w:eastAsia="Times New Roman" w:cs="Times New Roman"/>
          <w:color w:val="auto"/>
          <w:spacing w:val="3"/>
          <w:lang w:eastAsia="en-US"/>
        </w:rPr>
        <w:t>O mol oranına ölçeklendirir.</w:t>
      </w:r>
    </w:p>
    <w:p w14:paraId="0A784B43" w14:textId="1F3714A3" w:rsidR="002D7B36" w:rsidRPr="00DE12A3" w:rsidRDefault="00264524" w:rsidP="00C917D6">
      <w:pPr>
        <w:pStyle w:val="Gvdemetni255"/>
        <w:shd w:val="clear" w:color="auto" w:fill="FFFFFF" w:themeFill="background1"/>
        <w:tabs>
          <w:tab w:val="left" w:pos="1481"/>
        </w:tabs>
        <w:spacing w:before="120" w:after="120" w:line="240" w:lineRule="auto"/>
        <w:ind w:left="1701" w:hanging="567"/>
        <w:rPr>
          <w:color w:val="auto"/>
          <w:sz w:val="24"/>
          <w:szCs w:val="24"/>
        </w:rPr>
      </w:pPr>
      <w:r w:rsidRPr="00DE12A3">
        <w:rPr>
          <w:color w:val="auto"/>
          <w:sz w:val="24"/>
          <w:szCs w:val="24"/>
        </w:rPr>
        <w:t xml:space="preserve">         </w:t>
      </w:r>
      <w:r w:rsidR="00242DA0" w:rsidRPr="00DE12A3">
        <w:rPr>
          <w:color w:val="auto"/>
          <w:sz w:val="24"/>
          <w:szCs w:val="24"/>
        </w:rPr>
        <w:t>Nemlendirilmiş NO ayar gazı numunesi bu doğrulama testi için bir kurutucudan geçerse, kap sıcaklığı, açıklık gazında en azından 9.3.2.3.1.1. bendi uyarınca kurutucunun çıkışında en az beklenen azami yükseklikte bir H</w:t>
      </w:r>
      <w:r w:rsidR="00242DA0" w:rsidRPr="00DE12A3">
        <w:rPr>
          <w:color w:val="auto"/>
          <w:sz w:val="24"/>
          <w:szCs w:val="24"/>
          <w:vertAlign w:val="subscript"/>
        </w:rPr>
        <w:t>2</w:t>
      </w:r>
      <w:r w:rsidR="00242DA0" w:rsidRPr="00DE12A3">
        <w:rPr>
          <w:color w:val="auto"/>
          <w:sz w:val="24"/>
          <w:szCs w:val="24"/>
        </w:rPr>
        <w:t>O içeriği üretmek üzere kontrol edilmelidir. Bu durumda, 8.1.11.2.3 bendinde belirtilen soğutma doğrulama hesaplamaları, ölçülen H</w:t>
      </w:r>
      <w:r w:rsidR="00242DA0" w:rsidRPr="00DE12A3">
        <w:rPr>
          <w:color w:val="auto"/>
          <w:sz w:val="24"/>
          <w:szCs w:val="24"/>
          <w:vertAlign w:val="subscript"/>
        </w:rPr>
        <w:t>2</w:t>
      </w:r>
      <w:r w:rsidR="00242DA0" w:rsidRPr="00DE12A3">
        <w:rPr>
          <w:color w:val="auto"/>
          <w:sz w:val="24"/>
          <w:szCs w:val="24"/>
        </w:rPr>
        <w:t>O soğutmasını ölçeklendirmez</w:t>
      </w:r>
      <w:r w:rsidR="00F70790" w:rsidRPr="00DE12A3">
        <w:rPr>
          <w:color w:val="auto"/>
          <w:sz w:val="24"/>
          <w:szCs w:val="24"/>
        </w:rPr>
        <w:t>.</w:t>
      </w:r>
    </w:p>
    <w:p w14:paraId="43EC0C8D" w14:textId="176E720A" w:rsidR="002D7B36" w:rsidRPr="00DE12A3" w:rsidRDefault="00264524" w:rsidP="00E20716">
      <w:pPr>
        <w:pStyle w:val="Gvdemetni255"/>
        <w:numPr>
          <w:ilvl w:val="0"/>
          <w:numId w:val="273"/>
        </w:numPr>
        <w:shd w:val="clear" w:color="auto" w:fill="FFFFFF" w:themeFill="background1"/>
        <w:tabs>
          <w:tab w:val="left" w:pos="1202"/>
        </w:tabs>
        <w:spacing w:before="120" w:after="120" w:line="240" w:lineRule="auto"/>
        <w:ind w:left="1701" w:hanging="567"/>
        <w:rPr>
          <w:color w:val="auto"/>
          <w:sz w:val="24"/>
          <w:szCs w:val="24"/>
        </w:rPr>
      </w:pPr>
      <w:r w:rsidRPr="00DE12A3">
        <w:rPr>
          <w:color w:val="auto"/>
          <w:sz w:val="24"/>
          <w:szCs w:val="24"/>
        </w:rPr>
        <w:t xml:space="preserve">     </w:t>
      </w:r>
      <w:r w:rsidR="00242DA0" w:rsidRPr="00DE12A3">
        <w:rPr>
          <w:color w:val="auto"/>
          <w:sz w:val="24"/>
          <w:szCs w:val="24"/>
        </w:rPr>
        <w:t>Nemlendirilmiş NO</w:t>
      </w:r>
      <w:r w:rsidR="00242DA0" w:rsidRPr="00DE12A3">
        <w:rPr>
          <w:color w:val="auto"/>
          <w:sz w:val="24"/>
          <w:szCs w:val="24"/>
          <w:vertAlign w:val="subscript"/>
        </w:rPr>
        <w:t>2</w:t>
      </w:r>
      <w:r w:rsidR="00242DA0" w:rsidRPr="00DE12A3">
        <w:rPr>
          <w:color w:val="auto"/>
          <w:sz w:val="24"/>
          <w:szCs w:val="24"/>
        </w:rPr>
        <w:t xml:space="preserve"> test gazı, örnekleme sistemi içine beslenmelidir. </w:t>
      </w:r>
      <w:r w:rsidR="00242DA0" w:rsidRPr="00DE12A3">
        <w:rPr>
          <w:color w:val="auto"/>
          <w:sz w:val="24"/>
          <w:szCs w:val="24"/>
        </w:rPr>
        <w:lastRenderedPageBreak/>
        <w:t xml:space="preserve">Emisyon testi sırasında kullanılan bir numune kurutucunun giriş veya çıkış kısmından beslenebilir. Besleme noktasına bağlı olarak, bu bendin (e) </w:t>
      </w:r>
      <w:r w:rsidR="00F70790" w:rsidRPr="00DE12A3">
        <w:rPr>
          <w:color w:val="auto"/>
          <w:sz w:val="24"/>
          <w:szCs w:val="24"/>
        </w:rPr>
        <w:t xml:space="preserve">numaralı alt bendindeki </w:t>
      </w:r>
      <w:r w:rsidR="00242DA0" w:rsidRPr="00DE12A3">
        <w:rPr>
          <w:color w:val="auto"/>
          <w:sz w:val="24"/>
          <w:szCs w:val="24"/>
        </w:rPr>
        <w:t>ilgili hesaplama yöntemi seçilmelidir. Numune kurutucunun 8.1.12 bendindeki numune kurutucu doğrulama kontrolünü sağlam</w:t>
      </w:r>
      <w:r w:rsidR="00934175" w:rsidRPr="00DE12A3">
        <w:rPr>
          <w:color w:val="auto"/>
          <w:sz w:val="24"/>
          <w:szCs w:val="24"/>
        </w:rPr>
        <w:t>ası gerektiği unutulmamalıdır</w:t>
      </w:r>
      <w:r w:rsidR="00F70790" w:rsidRPr="00DE12A3">
        <w:rPr>
          <w:color w:val="auto"/>
          <w:sz w:val="24"/>
          <w:szCs w:val="24"/>
        </w:rPr>
        <w:t>.</w:t>
      </w:r>
    </w:p>
    <w:p w14:paraId="51AA5470" w14:textId="031997DE" w:rsidR="002D7B36" w:rsidRPr="00DE12A3" w:rsidRDefault="00242DA0" w:rsidP="00E20716">
      <w:pPr>
        <w:pStyle w:val="Gvdemetni255"/>
        <w:numPr>
          <w:ilvl w:val="0"/>
          <w:numId w:val="273"/>
        </w:numPr>
        <w:shd w:val="clear" w:color="auto" w:fill="FFFFFF" w:themeFill="background1"/>
        <w:tabs>
          <w:tab w:val="left" w:pos="1202"/>
        </w:tabs>
        <w:spacing w:before="120" w:after="120" w:line="240" w:lineRule="auto"/>
        <w:ind w:left="1701" w:hanging="567"/>
        <w:rPr>
          <w:color w:val="auto"/>
          <w:sz w:val="24"/>
          <w:szCs w:val="24"/>
        </w:rPr>
      </w:pPr>
      <w:r w:rsidRPr="00DE12A3">
        <w:rPr>
          <w:color w:val="auto"/>
          <w:sz w:val="24"/>
          <w:szCs w:val="24"/>
        </w:rPr>
        <w:t>Nemlendirilmiş NO ayar gazındaki H</w:t>
      </w:r>
      <w:r w:rsidRPr="00DE12A3">
        <w:rPr>
          <w:color w:val="auto"/>
          <w:sz w:val="24"/>
          <w:szCs w:val="24"/>
          <w:vertAlign w:val="subscript"/>
        </w:rPr>
        <w:t>2</w:t>
      </w:r>
      <w:r w:rsidRPr="00DE12A3">
        <w:rPr>
          <w:color w:val="auto"/>
          <w:sz w:val="24"/>
          <w:szCs w:val="24"/>
        </w:rPr>
        <w:t>O mol oranı ölçülmelidir. Bir numune kurutucu kullanılması durumunda, nemlendirilmiş NO ayar gazındaki H</w:t>
      </w:r>
      <w:r w:rsidRPr="00DE12A3">
        <w:rPr>
          <w:color w:val="auto"/>
          <w:sz w:val="24"/>
          <w:szCs w:val="24"/>
          <w:vertAlign w:val="subscript"/>
        </w:rPr>
        <w:t>2</w:t>
      </w:r>
      <w:r w:rsidRPr="00DE12A3">
        <w:rPr>
          <w:color w:val="auto"/>
          <w:sz w:val="24"/>
          <w:szCs w:val="24"/>
        </w:rPr>
        <w:t xml:space="preserve">O mol oranı </w:t>
      </w:r>
      <w:r w:rsidRPr="00DE12A3">
        <w:rPr>
          <w:i/>
          <w:iCs/>
          <w:color w:val="auto"/>
          <w:sz w:val="24"/>
          <w:szCs w:val="24"/>
        </w:rPr>
        <w:t>x</w:t>
      </w:r>
      <w:r w:rsidRPr="00DE12A3">
        <w:rPr>
          <w:color w:val="auto"/>
          <w:sz w:val="24"/>
          <w:szCs w:val="24"/>
          <w:vertAlign w:val="subscript"/>
        </w:rPr>
        <w:t>H2Omeas</w:t>
      </w:r>
      <w:r w:rsidRPr="00DE12A3">
        <w:rPr>
          <w:color w:val="auto"/>
          <w:sz w:val="24"/>
          <w:szCs w:val="24"/>
        </w:rPr>
        <w:t xml:space="preserve">, numune kurutucunun çıkış kısmında ölçülmelidir. </w:t>
      </w:r>
      <w:r w:rsidRPr="00DE12A3">
        <w:rPr>
          <w:i/>
          <w:iCs/>
          <w:color w:val="auto"/>
          <w:sz w:val="24"/>
          <w:szCs w:val="24"/>
        </w:rPr>
        <w:t>x</w:t>
      </w:r>
      <w:r w:rsidRPr="00DE12A3">
        <w:rPr>
          <w:color w:val="auto"/>
          <w:sz w:val="24"/>
          <w:szCs w:val="24"/>
          <w:vertAlign w:val="subscript"/>
        </w:rPr>
        <w:t>H2Omeas</w:t>
      </w:r>
      <w:r w:rsidRPr="00DE12A3">
        <w:rPr>
          <w:color w:val="auto"/>
          <w:sz w:val="24"/>
          <w:szCs w:val="24"/>
        </w:rPr>
        <w:t xml:space="preserve">'ın CLH analiz cihazı girişinin mümkün olduğu kadar yakınında ölçülmesi önerilir. </w:t>
      </w:r>
      <w:r w:rsidRPr="00DE12A3">
        <w:rPr>
          <w:i/>
          <w:iCs/>
          <w:color w:val="auto"/>
          <w:sz w:val="24"/>
          <w:szCs w:val="24"/>
        </w:rPr>
        <w:t>x</w:t>
      </w:r>
      <w:r w:rsidRPr="00DE12A3">
        <w:rPr>
          <w:color w:val="auto"/>
          <w:sz w:val="24"/>
          <w:szCs w:val="24"/>
          <w:vertAlign w:val="subscript"/>
        </w:rPr>
        <w:t>H2Omeas</w:t>
      </w:r>
      <w:r w:rsidRPr="00DE12A3">
        <w:rPr>
          <w:color w:val="auto"/>
          <w:sz w:val="24"/>
          <w:szCs w:val="24"/>
        </w:rPr>
        <w:t xml:space="preserve">, yoğuşma noktası </w:t>
      </w:r>
      <w:r w:rsidRPr="00DE12A3">
        <w:rPr>
          <w:i/>
          <w:iCs/>
          <w:color w:val="auto"/>
          <w:sz w:val="24"/>
          <w:szCs w:val="24"/>
        </w:rPr>
        <w:t>T</w:t>
      </w:r>
      <w:r w:rsidRPr="00DE12A3">
        <w:rPr>
          <w:color w:val="auto"/>
          <w:sz w:val="24"/>
          <w:szCs w:val="24"/>
          <w:vertAlign w:val="subscript"/>
        </w:rPr>
        <w:t>dew</w:t>
      </w:r>
      <w:r w:rsidRPr="00DE12A3">
        <w:rPr>
          <w:color w:val="auto"/>
          <w:sz w:val="24"/>
          <w:szCs w:val="24"/>
        </w:rPr>
        <w:t xml:space="preserve"> ve mutlak basınç ptotal ölçümlerinden hesaplanabilir</w:t>
      </w:r>
      <w:r w:rsidR="00F70790" w:rsidRPr="00DE12A3">
        <w:rPr>
          <w:color w:val="auto"/>
          <w:sz w:val="24"/>
          <w:szCs w:val="24"/>
        </w:rPr>
        <w:t>.</w:t>
      </w:r>
    </w:p>
    <w:p w14:paraId="0E763704" w14:textId="07E3D5E6" w:rsidR="002D7B36" w:rsidRPr="00DE12A3" w:rsidRDefault="00242DA0" w:rsidP="00E20716">
      <w:pPr>
        <w:pStyle w:val="Gvdemetni255"/>
        <w:numPr>
          <w:ilvl w:val="0"/>
          <w:numId w:val="273"/>
        </w:numPr>
        <w:shd w:val="clear" w:color="auto" w:fill="FFFFFF" w:themeFill="background1"/>
        <w:tabs>
          <w:tab w:val="left" w:pos="1202"/>
        </w:tabs>
        <w:spacing w:before="120" w:after="120" w:line="240" w:lineRule="auto"/>
        <w:ind w:left="1701" w:hanging="567"/>
        <w:rPr>
          <w:color w:val="auto"/>
          <w:sz w:val="24"/>
          <w:szCs w:val="24"/>
        </w:rPr>
      </w:pPr>
      <w:r w:rsidRPr="00DE12A3">
        <w:rPr>
          <w:i/>
          <w:iCs/>
          <w:color w:val="auto"/>
          <w:sz w:val="24"/>
          <w:szCs w:val="24"/>
        </w:rPr>
        <w:t>x</w:t>
      </w:r>
      <w:r w:rsidRPr="00DE12A3">
        <w:rPr>
          <w:color w:val="auto"/>
          <w:sz w:val="24"/>
          <w:szCs w:val="24"/>
          <w:vertAlign w:val="subscript"/>
        </w:rPr>
        <w:t>H2Omeas</w:t>
      </w:r>
      <w:r w:rsidRPr="00DE12A3">
        <w:rPr>
          <w:color w:val="auto"/>
          <w:sz w:val="24"/>
          <w:szCs w:val="24"/>
        </w:rPr>
        <w:t xml:space="preserve">'ın ölçüldüğü noktadan analiz cihazına kadar olan aktarım hatları, bağlantılar veya valfler içinde yoğuşmayı önlemek için iyi mühendislik kararı kullanılmalıdır; Sistemin; </w:t>
      </w:r>
      <w:r w:rsidRPr="00DE12A3">
        <w:rPr>
          <w:i/>
          <w:iCs/>
          <w:color w:val="auto"/>
          <w:sz w:val="24"/>
          <w:szCs w:val="24"/>
        </w:rPr>
        <w:t>x</w:t>
      </w:r>
      <w:r w:rsidRPr="00DE12A3">
        <w:rPr>
          <w:color w:val="auto"/>
          <w:sz w:val="24"/>
          <w:szCs w:val="24"/>
          <w:vertAlign w:val="subscript"/>
        </w:rPr>
        <w:t>H2Omeas</w:t>
      </w:r>
      <w:r w:rsidRPr="00DE12A3">
        <w:rPr>
          <w:color w:val="auto"/>
          <w:sz w:val="24"/>
          <w:szCs w:val="24"/>
        </w:rPr>
        <w:t>'ın ölçüldüğü noktadan analiz cihazına kadar olan aktarım hatları, bağlantılar ve valfler içindeki çeper sıcaklıkları, yerel numune gaz yoğuşma noktasının en az 5 K üstünde olacak şekilde tasarlanması önerilir</w:t>
      </w:r>
      <w:r w:rsidR="00F70790" w:rsidRPr="00DE12A3">
        <w:rPr>
          <w:color w:val="auto"/>
          <w:sz w:val="24"/>
          <w:szCs w:val="24"/>
        </w:rPr>
        <w:t>.</w:t>
      </w:r>
    </w:p>
    <w:p w14:paraId="68293E43" w14:textId="77777777" w:rsidR="002D7B36" w:rsidRPr="00DE12A3" w:rsidRDefault="00264524" w:rsidP="00E20716">
      <w:pPr>
        <w:pStyle w:val="Gvdemetni255"/>
        <w:numPr>
          <w:ilvl w:val="0"/>
          <w:numId w:val="273"/>
        </w:numPr>
        <w:shd w:val="clear" w:color="auto" w:fill="FFFFFF" w:themeFill="background1"/>
        <w:tabs>
          <w:tab w:val="left" w:pos="1202"/>
        </w:tabs>
        <w:spacing w:before="120" w:after="120" w:line="240" w:lineRule="auto"/>
        <w:ind w:left="1701" w:hanging="567"/>
        <w:rPr>
          <w:color w:val="auto"/>
          <w:sz w:val="24"/>
          <w:szCs w:val="24"/>
        </w:rPr>
      </w:pPr>
      <w:r w:rsidRPr="00DE12A3">
        <w:rPr>
          <w:color w:val="auto"/>
          <w:sz w:val="24"/>
          <w:szCs w:val="24"/>
        </w:rPr>
        <w:t xml:space="preserve">     </w:t>
      </w:r>
      <w:r w:rsidR="00242DA0" w:rsidRPr="00DE12A3">
        <w:rPr>
          <w:color w:val="auto"/>
          <w:sz w:val="24"/>
          <w:szCs w:val="24"/>
        </w:rPr>
        <w:t xml:space="preserve">Nemlendirilmiş NO ayar gazı konsantrasyonu CLD analiz cihazı ile ölçülmelidir. Analiz cihazı tepkisinin dengelenmesi için süre tanınmalıdır. Dengelenme süresi, aktarım hattı temizleme ve analiz cihazı tepkisini hesaba katma süresini içerebilir. Analiz cihazı numunenin konsantrasyonunu ölçerken, analiz cihazının çıktısı 30 saniye boyunca kaydedilmelidir. Aritmetik ortalama </w:t>
      </w:r>
      <w:r w:rsidR="00242DA0" w:rsidRPr="00DE12A3">
        <w:rPr>
          <w:i/>
          <w:iCs/>
          <w:color w:val="auto"/>
          <w:sz w:val="24"/>
          <w:szCs w:val="24"/>
        </w:rPr>
        <w:t>x</w:t>
      </w:r>
      <w:r w:rsidR="00242DA0" w:rsidRPr="00DE12A3">
        <w:rPr>
          <w:color w:val="auto"/>
          <w:sz w:val="24"/>
          <w:szCs w:val="24"/>
          <w:vertAlign w:val="subscript"/>
        </w:rPr>
        <w:t>NOwet</w:t>
      </w:r>
      <w:r w:rsidR="00242DA0" w:rsidRPr="00DE12A3">
        <w:rPr>
          <w:color w:val="auto"/>
          <w:sz w:val="24"/>
          <w:szCs w:val="24"/>
        </w:rPr>
        <w:t xml:space="preserve">, bu verilerden hesaplanmalıdır. </w:t>
      </w:r>
      <w:r w:rsidR="00242DA0" w:rsidRPr="00DE12A3">
        <w:rPr>
          <w:i/>
          <w:iCs/>
          <w:color w:val="auto"/>
          <w:sz w:val="24"/>
          <w:szCs w:val="24"/>
        </w:rPr>
        <w:t>x</w:t>
      </w:r>
      <w:r w:rsidR="00242DA0" w:rsidRPr="00DE12A3">
        <w:rPr>
          <w:color w:val="auto"/>
          <w:sz w:val="24"/>
          <w:szCs w:val="24"/>
          <w:vertAlign w:val="subscript"/>
        </w:rPr>
        <w:t>NOwet</w:t>
      </w:r>
      <w:r w:rsidR="00242DA0" w:rsidRPr="00DE12A3">
        <w:rPr>
          <w:color w:val="auto"/>
          <w:sz w:val="24"/>
          <w:szCs w:val="24"/>
        </w:rPr>
        <w:t xml:space="preserve"> kaydedilmeli ve 8.1.11.2.3 bendindeki soğutma doğrulama hesaplamalarında kullanılmalıdır.</w:t>
      </w:r>
    </w:p>
    <w:p w14:paraId="114677D2" w14:textId="77777777" w:rsidR="002D7B36" w:rsidRPr="00DE12A3" w:rsidRDefault="00264524" w:rsidP="00E20716">
      <w:pPr>
        <w:pStyle w:val="Gvdemetni255"/>
        <w:numPr>
          <w:ilvl w:val="0"/>
          <w:numId w:val="269"/>
        </w:numPr>
        <w:shd w:val="clear" w:color="auto" w:fill="FFFFFF" w:themeFill="background1"/>
        <w:tabs>
          <w:tab w:val="left" w:pos="919"/>
        </w:tabs>
        <w:spacing w:before="120" w:after="120" w:line="240" w:lineRule="auto"/>
        <w:ind w:left="1134" w:hanging="1134"/>
        <w:rPr>
          <w:color w:val="auto"/>
          <w:sz w:val="24"/>
          <w:szCs w:val="24"/>
        </w:rPr>
      </w:pPr>
      <w:r w:rsidRPr="00DE12A3">
        <w:rPr>
          <w:color w:val="auto"/>
          <w:sz w:val="24"/>
          <w:szCs w:val="24"/>
        </w:rPr>
        <w:t xml:space="preserve">    </w:t>
      </w:r>
      <w:r w:rsidR="00242DA0" w:rsidRPr="00DE12A3">
        <w:rPr>
          <w:color w:val="auto"/>
          <w:sz w:val="24"/>
          <w:szCs w:val="24"/>
        </w:rPr>
        <w:t>CLD soğutma doğrulama hesaplamaları</w:t>
      </w:r>
    </w:p>
    <w:p w14:paraId="576F60D8" w14:textId="77777777" w:rsidR="002D7B36" w:rsidRPr="00DE12A3" w:rsidRDefault="00264524" w:rsidP="00C917D6">
      <w:pPr>
        <w:pStyle w:val="Gvdemetni255"/>
        <w:shd w:val="clear" w:color="auto" w:fill="FFFFFF" w:themeFill="background1"/>
        <w:spacing w:before="120" w:after="120" w:line="240" w:lineRule="auto"/>
        <w:ind w:left="1134" w:hanging="1134"/>
        <w:rPr>
          <w:color w:val="auto"/>
          <w:sz w:val="24"/>
          <w:szCs w:val="24"/>
        </w:rPr>
      </w:pPr>
      <w:r w:rsidRPr="00DE12A3">
        <w:rPr>
          <w:color w:val="auto"/>
          <w:sz w:val="24"/>
          <w:szCs w:val="24"/>
        </w:rPr>
        <w:t xml:space="preserve">                   </w:t>
      </w:r>
      <w:r w:rsidR="00242DA0" w:rsidRPr="00DE12A3">
        <w:rPr>
          <w:color w:val="auto"/>
          <w:sz w:val="24"/>
          <w:szCs w:val="24"/>
        </w:rPr>
        <w:t>CLD soğutma kontrolü hesaplamaları bu bentte açıklandığı şekilde yapılmalıdır.</w:t>
      </w:r>
    </w:p>
    <w:p w14:paraId="66E32917" w14:textId="77777777" w:rsidR="002D7B36" w:rsidRPr="00DE12A3" w:rsidRDefault="00242DA0" w:rsidP="00E20716">
      <w:pPr>
        <w:pStyle w:val="Gvdemetni255"/>
        <w:numPr>
          <w:ilvl w:val="0"/>
          <w:numId w:val="274"/>
        </w:numPr>
        <w:shd w:val="clear" w:color="auto" w:fill="FFFFFF" w:themeFill="background1"/>
        <w:tabs>
          <w:tab w:val="left" w:pos="919"/>
        </w:tabs>
        <w:spacing w:before="120" w:after="120" w:line="240" w:lineRule="auto"/>
        <w:ind w:left="1134" w:hanging="1134"/>
        <w:rPr>
          <w:color w:val="auto"/>
          <w:sz w:val="24"/>
          <w:szCs w:val="24"/>
        </w:rPr>
      </w:pPr>
      <w:r w:rsidRPr="00DE12A3">
        <w:rPr>
          <w:color w:val="auto"/>
          <w:sz w:val="24"/>
          <w:szCs w:val="24"/>
        </w:rPr>
        <w:t>Test sırasında beklenen su miktarı</w:t>
      </w:r>
    </w:p>
    <w:p w14:paraId="33AC4367" w14:textId="00D1D492" w:rsidR="002D7B36" w:rsidRPr="00DE12A3" w:rsidRDefault="00264524" w:rsidP="00C917D6">
      <w:pPr>
        <w:pStyle w:val="Gvdemetni255"/>
        <w:shd w:val="clear" w:color="auto" w:fill="FFFFFF" w:themeFill="background1"/>
        <w:spacing w:before="120" w:after="120" w:line="240" w:lineRule="auto"/>
        <w:ind w:left="1134" w:hanging="1134"/>
        <w:rPr>
          <w:color w:val="auto"/>
          <w:sz w:val="24"/>
          <w:szCs w:val="24"/>
        </w:rPr>
      </w:pPr>
      <w:r w:rsidRPr="00DE12A3">
        <w:rPr>
          <w:color w:val="auto"/>
          <w:sz w:val="24"/>
          <w:szCs w:val="24"/>
        </w:rPr>
        <w:t xml:space="preserve">                   </w:t>
      </w:r>
      <w:r w:rsidR="00242DA0" w:rsidRPr="00DE12A3">
        <w:rPr>
          <w:color w:val="auto"/>
          <w:sz w:val="24"/>
          <w:szCs w:val="24"/>
        </w:rPr>
        <w:t xml:space="preserve">Emisyon testi sırasında suyun beklenen azami mol oranı </w:t>
      </w:r>
      <w:r w:rsidR="00242DA0" w:rsidRPr="00DE12A3">
        <w:rPr>
          <w:i/>
          <w:iCs/>
          <w:color w:val="auto"/>
          <w:sz w:val="24"/>
          <w:szCs w:val="24"/>
        </w:rPr>
        <w:t>x</w:t>
      </w:r>
      <w:r w:rsidR="00242DA0" w:rsidRPr="00DE12A3">
        <w:rPr>
          <w:color w:val="auto"/>
          <w:sz w:val="24"/>
          <w:szCs w:val="24"/>
          <w:vertAlign w:val="subscript"/>
        </w:rPr>
        <w:t>H2Oexp</w:t>
      </w:r>
      <w:r w:rsidR="00242DA0" w:rsidRPr="00DE12A3">
        <w:rPr>
          <w:color w:val="auto"/>
          <w:sz w:val="24"/>
          <w:szCs w:val="24"/>
        </w:rPr>
        <w:t xml:space="preserve"> tahmin edilmelidir. Bu tahmin, nemlendirilmiş NO ayar gazının 8.1.11.1.5</w:t>
      </w:r>
      <w:r w:rsidR="00A43271" w:rsidRPr="00DE12A3">
        <w:rPr>
          <w:color w:val="auto"/>
          <w:sz w:val="24"/>
          <w:szCs w:val="24"/>
        </w:rPr>
        <w:t xml:space="preserve"> </w:t>
      </w:r>
      <w:r w:rsidR="00242DA0" w:rsidRPr="00DE12A3">
        <w:rPr>
          <w:color w:val="auto"/>
          <w:sz w:val="24"/>
          <w:szCs w:val="24"/>
        </w:rPr>
        <w:t>bendin</w:t>
      </w:r>
      <w:r w:rsidR="00A43271" w:rsidRPr="00DE12A3">
        <w:rPr>
          <w:color w:val="auto"/>
          <w:sz w:val="24"/>
          <w:szCs w:val="24"/>
        </w:rPr>
        <w:t xml:space="preserve">in (f)  </w:t>
      </w:r>
      <w:r w:rsidR="00F70790" w:rsidRPr="00DE12A3">
        <w:rPr>
          <w:color w:val="auto"/>
          <w:sz w:val="24"/>
          <w:szCs w:val="24"/>
        </w:rPr>
        <w:t xml:space="preserve">numaralı </w:t>
      </w:r>
      <w:r w:rsidR="00A43271" w:rsidRPr="00DE12A3">
        <w:rPr>
          <w:color w:val="auto"/>
          <w:sz w:val="24"/>
          <w:szCs w:val="24"/>
        </w:rPr>
        <w:t xml:space="preserve">alt </w:t>
      </w:r>
      <w:r w:rsidR="00242DA0" w:rsidRPr="00DE12A3">
        <w:rPr>
          <w:color w:val="auto"/>
          <w:sz w:val="24"/>
          <w:szCs w:val="24"/>
        </w:rPr>
        <w:t xml:space="preserve"> </w:t>
      </w:r>
      <w:r w:rsidR="00A43271" w:rsidRPr="00DE12A3">
        <w:rPr>
          <w:color w:val="auto"/>
          <w:sz w:val="24"/>
          <w:szCs w:val="24"/>
        </w:rPr>
        <w:t xml:space="preserve">bendinde </w:t>
      </w:r>
      <w:r w:rsidR="00242DA0" w:rsidRPr="00DE12A3">
        <w:rPr>
          <w:color w:val="auto"/>
          <w:sz w:val="24"/>
          <w:szCs w:val="24"/>
        </w:rPr>
        <w:t xml:space="preserve">beslendiği yerde yapılmalıdır. Suyun beklenen azami mol oranı tahmin edilirken, yanma havası, yakıt yanma ürünleri ve seyreltme havasında, (varsa) beklenen azami su içeriği dikkate alınmalıdır. Nemlendirilmiş NO ayar gazı, numune sistemine, doğrulama testi sırasında bir numune kurutucunun giriş kısmından beslenirse, suyun beklenen azami mol oranının tahmin edilmesi gerekmez ve </w:t>
      </w:r>
      <w:r w:rsidR="00242DA0" w:rsidRPr="00DE12A3">
        <w:rPr>
          <w:i/>
          <w:iCs/>
          <w:color w:val="auto"/>
          <w:sz w:val="24"/>
          <w:szCs w:val="24"/>
        </w:rPr>
        <w:t>x</w:t>
      </w:r>
      <w:r w:rsidR="00242DA0" w:rsidRPr="00DE12A3">
        <w:rPr>
          <w:color w:val="auto"/>
          <w:sz w:val="24"/>
          <w:szCs w:val="24"/>
          <w:vertAlign w:val="subscript"/>
        </w:rPr>
        <w:t>H2Oexp</w:t>
      </w:r>
      <w:r w:rsidR="00242DA0" w:rsidRPr="00DE12A3">
        <w:rPr>
          <w:color w:val="auto"/>
          <w:sz w:val="24"/>
          <w:szCs w:val="24"/>
        </w:rPr>
        <w:t xml:space="preserve">, </w:t>
      </w:r>
      <w:r w:rsidR="00242DA0" w:rsidRPr="00DE12A3">
        <w:rPr>
          <w:i/>
          <w:iCs/>
          <w:color w:val="auto"/>
          <w:sz w:val="24"/>
          <w:szCs w:val="24"/>
        </w:rPr>
        <w:t>x</w:t>
      </w:r>
      <w:r w:rsidR="00242DA0" w:rsidRPr="00DE12A3">
        <w:rPr>
          <w:color w:val="auto"/>
          <w:sz w:val="24"/>
          <w:szCs w:val="24"/>
          <w:vertAlign w:val="subscript"/>
        </w:rPr>
        <w:t>H2Omeas</w:t>
      </w:r>
      <w:r w:rsidR="00242DA0" w:rsidRPr="00DE12A3">
        <w:rPr>
          <w:color w:val="auto"/>
          <w:sz w:val="24"/>
          <w:szCs w:val="24"/>
        </w:rPr>
        <w:t>'a eşit olarak ayarlanır.</w:t>
      </w:r>
    </w:p>
    <w:p w14:paraId="72A29D68" w14:textId="77777777" w:rsidR="002D7B36" w:rsidRPr="00DE12A3" w:rsidRDefault="00242DA0" w:rsidP="00E20716">
      <w:pPr>
        <w:pStyle w:val="Gvdemetni255"/>
        <w:numPr>
          <w:ilvl w:val="0"/>
          <w:numId w:val="275"/>
        </w:numPr>
        <w:shd w:val="clear" w:color="auto" w:fill="auto"/>
        <w:spacing w:before="120" w:after="120" w:line="240" w:lineRule="auto"/>
        <w:ind w:left="1134" w:hanging="1134"/>
        <w:rPr>
          <w:color w:val="auto"/>
          <w:sz w:val="24"/>
          <w:szCs w:val="24"/>
        </w:rPr>
      </w:pPr>
      <w:r w:rsidRPr="00DE12A3">
        <w:rPr>
          <w:color w:val="auto"/>
          <w:sz w:val="24"/>
          <w:szCs w:val="24"/>
        </w:rPr>
        <w:t>Test sırasında beklenen CO</w:t>
      </w:r>
      <w:r w:rsidRPr="00DE12A3">
        <w:rPr>
          <w:color w:val="auto"/>
          <w:sz w:val="24"/>
          <w:szCs w:val="24"/>
          <w:vertAlign w:val="subscript"/>
        </w:rPr>
        <w:t>2</w:t>
      </w:r>
      <w:r w:rsidRPr="00DE12A3">
        <w:rPr>
          <w:color w:val="auto"/>
          <w:sz w:val="24"/>
          <w:szCs w:val="24"/>
        </w:rPr>
        <w:t xml:space="preserve"> miktarı</w:t>
      </w:r>
    </w:p>
    <w:p w14:paraId="637D9A90" w14:textId="0CD48F9A" w:rsidR="002D7B36" w:rsidRPr="00DE12A3" w:rsidRDefault="00264524" w:rsidP="00C917D6">
      <w:pPr>
        <w:pStyle w:val="Gvdemetni255"/>
        <w:shd w:val="clear" w:color="auto" w:fill="auto"/>
        <w:spacing w:before="120" w:after="120" w:line="240" w:lineRule="auto"/>
        <w:ind w:left="1134" w:hanging="1134"/>
        <w:rPr>
          <w:color w:val="auto"/>
          <w:sz w:val="24"/>
          <w:szCs w:val="24"/>
        </w:rPr>
      </w:pPr>
      <w:r w:rsidRPr="00DE12A3">
        <w:rPr>
          <w:color w:val="auto"/>
          <w:sz w:val="24"/>
          <w:szCs w:val="24"/>
        </w:rPr>
        <w:t xml:space="preserve">                  </w:t>
      </w:r>
      <w:r w:rsidR="00242DA0" w:rsidRPr="00DE12A3">
        <w:rPr>
          <w:color w:val="auto"/>
          <w:sz w:val="24"/>
          <w:szCs w:val="24"/>
        </w:rPr>
        <w:t>Emisyon testi sırasında beklenen azami CO</w:t>
      </w:r>
      <w:r w:rsidR="00242DA0" w:rsidRPr="00DE12A3">
        <w:rPr>
          <w:color w:val="auto"/>
          <w:sz w:val="24"/>
          <w:szCs w:val="24"/>
          <w:vertAlign w:val="subscript"/>
        </w:rPr>
        <w:t>2</w:t>
      </w:r>
      <w:r w:rsidR="00242DA0" w:rsidRPr="00DE12A3">
        <w:rPr>
          <w:color w:val="auto"/>
          <w:sz w:val="24"/>
          <w:szCs w:val="24"/>
        </w:rPr>
        <w:t xml:space="preserve"> konsantrasyonu </w:t>
      </w:r>
      <w:r w:rsidR="00242DA0" w:rsidRPr="00DE12A3">
        <w:rPr>
          <w:i/>
          <w:iCs/>
          <w:color w:val="auto"/>
          <w:sz w:val="24"/>
          <w:szCs w:val="24"/>
        </w:rPr>
        <w:t>x</w:t>
      </w:r>
      <w:r w:rsidR="00242DA0" w:rsidRPr="00DE12A3">
        <w:rPr>
          <w:color w:val="auto"/>
          <w:sz w:val="24"/>
          <w:szCs w:val="24"/>
          <w:vertAlign w:val="subscript"/>
        </w:rPr>
        <w:t>CO2exp</w:t>
      </w:r>
      <w:r w:rsidR="00242DA0" w:rsidRPr="00DE12A3">
        <w:rPr>
          <w:color w:val="auto"/>
          <w:sz w:val="24"/>
          <w:szCs w:val="24"/>
        </w:rPr>
        <w:t xml:space="preserve"> tahmin edilmelidir. Bu tahmin, harmanlanmış NO ve CO</w:t>
      </w:r>
      <w:r w:rsidR="00242DA0" w:rsidRPr="00DE12A3">
        <w:rPr>
          <w:color w:val="auto"/>
          <w:sz w:val="24"/>
          <w:szCs w:val="24"/>
          <w:vertAlign w:val="subscript"/>
        </w:rPr>
        <w:t>2</w:t>
      </w:r>
      <w:r w:rsidR="00242DA0" w:rsidRPr="00DE12A3">
        <w:rPr>
          <w:color w:val="auto"/>
          <w:sz w:val="24"/>
          <w:szCs w:val="24"/>
        </w:rPr>
        <w:t xml:space="preserve"> ayar gazlarının 8.1.11.1.4</w:t>
      </w:r>
      <w:r w:rsidR="00CE697E" w:rsidRPr="00DE12A3">
        <w:rPr>
          <w:color w:val="auto"/>
          <w:sz w:val="24"/>
          <w:szCs w:val="24"/>
        </w:rPr>
        <w:t xml:space="preserve"> </w:t>
      </w:r>
      <w:r w:rsidR="00211788" w:rsidRPr="00DE12A3">
        <w:rPr>
          <w:color w:val="auto"/>
          <w:sz w:val="24"/>
          <w:szCs w:val="24"/>
        </w:rPr>
        <w:t>bendinin</w:t>
      </w:r>
      <w:r w:rsidR="00CE697E" w:rsidRPr="00DE12A3">
        <w:rPr>
          <w:color w:val="auto"/>
          <w:sz w:val="24"/>
          <w:szCs w:val="24"/>
        </w:rPr>
        <w:t xml:space="preserve"> </w:t>
      </w:r>
      <w:r w:rsidR="00242DA0" w:rsidRPr="00DE12A3">
        <w:rPr>
          <w:color w:val="auto"/>
          <w:sz w:val="24"/>
          <w:szCs w:val="24"/>
        </w:rPr>
        <w:t xml:space="preserve">(j) </w:t>
      </w:r>
      <w:r w:rsidR="00F70790" w:rsidRPr="00DE12A3">
        <w:rPr>
          <w:color w:val="auto"/>
          <w:sz w:val="24"/>
          <w:szCs w:val="24"/>
        </w:rPr>
        <w:t xml:space="preserve">numaralı </w:t>
      </w:r>
      <w:r w:rsidR="00A43271" w:rsidRPr="00DE12A3">
        <w:rPr>
          <w:color w:val="auto"/>
          <w:sz w:val="24"/>
          <w:szCs w:val="24"/>
        </w:rPr>
        <w:t xml:space="preserve">alt </w:t>
      </w:r>
      <w:r w:rsidR="00242DA0" w:rsidRPr="00DE12A3">
        <w:rPr>
          <w:color w:val="auto"/>
          <w:sz w:val="24"/>
          <w:szCs w:val="24"/>
        </w:rPr>
        <w:t>bendi uyarınca beslendiği numune sistemi konumunda yapılmalıdır. Beklenen azami CO</w:t>
      </w:r>
      <w:r w:rsidR="00242DA0" w:rsidRPr="00DE12A3">
        <w:rPr>
          <w:color w:val="auto"/>
          <w:sz w:val="24"/>
          <w:szCs w:val="24"/>
          <w:vertAlign w:val="subscript"/>
        </w:rPr>
        <w:t>2</w:t>
      </w:r>
      <w:r w:rsidR="00242DA0" w:rsidRPr="00DE12A3">
        <w:rPr>
          <w:color w:val="auto"/>
          <w:sz w:val="24"/>
          <w:szCs w:val="24"/>
        </w:rPr>
        <w:t xml:space="preserve"> konsantrasyonu tahmin edilirken, yakıt yanma ürünleri ve seyreltme havasında beklenen azami CO</w:t>
      </w:r>
      <w:r w:rsidR="00242DA0" w:rsidRPr="00DE12A3">
        <w:rPr>
          <w:color w:val="auto"/>
          <w:sz w:val="24"/>
          <w:szCs w:val="24"/>
          <w:vertAlign w:val="subscript"/>
        </w:rPr>
        <w:t>2</w:t>
      </w:r>
      <w:r w:rsidR="00242DA0" w:rsidRPr="00DE12A3">
        <w:rPr>
          <w:color w:val="auto"/>
          <w:sz w:val="24"/>
          <w:szCs w:val="24"/>
        </w:rPr>
        <w:t xml:space="preserve"> içeriği dikkate alınmalıdır.</w:t>
      </w:r>
    </w:p>
    <w:p w14:paraId="649F62D9" w14:textId="77777777" w:rsidR="002D7B36" w:rsidRPr="00DE12A3" w:rsidRDefault="00242DA0" w:rsidP="00E20716">
      <w:pPr>
        <w:pStyle w:val="Gvdemetni255"/>
        <w:numPr>
          <w:ilvl w:val="0"/>
          <w:numId w:val="275"/>
        </w:numPr>
        <w:shd w:val="clear" w:color="auto" w:fill="auto"/>
        <w:spacing w:before="120" w:after="120" w:line="240" w:lineRule="auto"/>
        <w:ind w:left="1134" w:hanging="1134"/>
        <w:rPr>
          <w:color w:val="auto"/>
          <w:sz w:val="24"/>
          <w:szCs w:val="24"/>
        </w:rPr>
      </w:pPr>
      <w:r w:rsidRPr="00DE12A3">
        <w:rPr>
          <w:color w:val="auto"/>
          <w:sz w:val="24"/>
          <w:szCs w:val="24"/>
        </w:rPr>
        <w:t>Kombine H</w:t>
      </w:r>
      <w:r w:rsidRPr="00DE12A3">
        <w:rPr>
          <w:color w:val="auto"/>
          <w:sz w:val="24"/>
          <w:szCs w:val="24"/>
          <w:vertAlign w:val="subscript"/>
        </w:rPr>
        <w:t>2</w:t>
      </w:r>
      <w:r w:rsidRPr="00DE12A3">
        <w:rPr>
          <w:color w:val="auto"/>
          <w:sz w:val="24"/>
          <w:szCs w:val="24"/>
        </w:rPr>
        <w:t>O ve CO</w:t>
      </w:r>
      <w:r w:rsidRPr="00DE12A3">
        <w:rPr>
          <w:color w:val="auto"/>
          <w:sz w:val="24"/>
          <w:szCs w:val="24"/>
          <w:vertAlign w:val="subscript"/>
        </w:rPr>
        <w:t>2</w:t>
      </w:r>
      <w:r w:rsidRPr="00DE12A3">
        <w:rPr>
          <w:color w:val="auto"/>
          <w:sz w:val="24"/>
          <w:szCs w:val="24"/>
        </w:rPr>
        <w:t xml:space="preserve"> soğutma hesaplamaları</w:t>
      </w:r>
    </w:p>
    <w:p w14:paraId="51A0052F" w14:textId="4A919F84" w:rsidR="002D7B36" w:rsidRPr="00DE12A3" w:rsidRDefault="00264524" w:rsidP="00C917D6">
      <w:pPr>
        <w:pStyle w:val="Gvdemetni255"/>
        <w:shd w:val="clear" w:color="auto" w:fill="auto"/>
        <w:spacing w:before="120" w:after="120" w:line="240" w:lineRule="auto"/>
        <w:ind w:left="1134" w:hanging="1134"/>
        <w:rPr>
          <w:color w:val="auto"/>
          <w:sz w:val="24"/>
          <w:szCs w:val="24"/>
        </w:rPr>
      </w:pPr>
      <w:r w:rsidRPr="00DE12A3">
        <w:rPr>
          <w:color w:val="auto"/>
          <w:sz w:val="24"/>
          <w:szCs w:val="24"/>
        </w:rPr>
        <w:t xml:space="preserve">                   </w:t>
      </w:r>
      <w:r w:rsidR="00242DA0" w:rsidRPr="00DE12A3">
        <w:rPr>
          <w:color w:val="auto"/>
          <w:sz w:val="24"/>
          <w:szCs w:val="24"/>
        </w:rPr>
        <w:t>Kombine H</w:t>
      </w:r>
      <w:r w:rsidR="00242DA0" w:rsidRPr="00DE12A3">
        <w:rPr>
          <w:color w:val="auto"/>
          <w:sz w:val="24"/>
          <w:szCs w:val="24"/>
          <w:vertAlign w:val="subscript"/>
        </w:rPr>
        <w:t>2</w:t>
      </w:r>
      <w:r w:rsidR="00242DA0" w:rsidRPr="00DE12A3">
        <w:rPr>
          <w:color w:val="auto"/>
          <w:sz w:val="24"/>
          <w:szCs w:val="24"/>
        </w:rPr>
        <w:t>O ve CO</w:t>
      </w:r>
      <w:r w:rsidR="00242DA0" w:rsidRPr="00DE12A3">
        <w:rPr>
          <w:color w:val="auto"/>
          <w:sz w:val="24"/>
          <w:szCs w:val="24"/>
          <w:vertAlign w:val="subscript"/>
        </w:rPr>
        <w:t>2</w:t>
      </w:r>
      <w:r w:rsidR="00242DA0" w:rsidRPr="00DE12A3">
        <w:rPr>
          <w:color w:val="auto"/>
          <w:sz w:val="24"/>
          <w:szCs w:val="24"/>
        </w:rPr>
        <w:t xml:space="preserve"> soğutması, (6-23) </w:t>
      </w:r>
      <w:r w:rsidR="005E1C7E" w:rsidRPr="00DE12A3">
        <w:rPr>
          <w:color w:val="auto"/>
          <w:sz w:val="24"/>
          <w:szCs w:val="24"/>
        </w:rPr>
        <w:t>numaralı</w:t>
      </w:r>
      <w:r w:rsidR="005E1C7E" w:rsidRPr="00DE12A3" w:rsidDel="005E1C7E">
        <w:rPr>
          <w:color w:val="auto"/>
          <w:sz w:val="24"/>
          <w:szCs w:val="24"/>
        </w:rPr>
        <w:t xml:space="preserve"> </w:t>
      </w:r>
      <w:r w:rsidR="00242DA0" w:rsidRPr="00DE12A3">
        <w:rPr>
          <w:color w:val="auto"/>
          <w:sz w:val="24"/>
          <w:szCs w:val="24"/>
        </w:rPr>
        <w:t>denklem ile hesaplanmalıdır:</w:t>
      </w:r>
    </w:p>
    <w:p w14:paraId="02F3BA90" w14:textId="77777777" w:rsidR="002D7B36" w:rsidRPr="00DE12A3" w:rsidRDefault="002D7B36" w:rsidP="00C917D6">
      <w:pPr>
        <w:pStyle w:val="Gvdemetni255"/>
        <w:shd w:val="clear" w:color="auto" w:fill="FFFFFF" w:themeFill="background1"/>
        <w:spacing w:before="120" w:after="120" w:line="240" w:lineRule="auto"/>
        <w:ind w:left="1134" w:hanging="1134"/>
        <w:rPr>
          <w:color w:val="auto"/>
          <w:sz w:val="24"/>
          <w:szCs w:val="24"/>
        </w:rPr>
      </w:pPr>
    </w:p>
    <w:tbl>
      <w:tblPr>
        <w:tblW w:w="9106" w:type="dxa"/>
        <w:tblLayout w:type="fixed"/>
        <w:tblLook w:val="0000" w:firstRow="0" w:lastRow="0" w:firstColumn="0" w:lastColumn="0" w:noHBand="0" w:noVBand="0"/>
      </w:tblPr>
      <w:tblGrid>
        <w:gridCol w:w="7450"/>
        <w:gridCol w:w="828"/>
        <w:gridCol w:w="828"/>
      </w:tblGrid>
      <w:tr w:rsidR="00DE12A3" w:rsidRPr="00DE12A3" w14:paraId="582399E9" w14:textId="77777777" w:rsidTr="00264524">
        <w:trPr>
          <w:trHeight w:val="950"/>
        </w:trPr>
        <w:tc>
          <w:tcPr>
            <w:tcW w:w="7450" w:type="dxa"/>
          </w:tcPr>
          <w:p w14:paraId="5B48DBA9" w14:textId="4CDB5DF6" w:rsidR="00264524" w:rsidRPr="00DE12A3" w:rsidRDefault="00264524" w:rsidP="00C917D6">
            <w:pPr>
              <w:pStyle w:val="NormalLeft"/>
            </w:pPr>
            <w:r w:rsidRPr="00DE12A3">
              <w:rPr>
                <w:noProof/>
                <w:lang w:val="tr-TR"/>
              </w:rPr>
              <w:lastRenderedPageBreak/>
              <w:drawing>
                <wp:inline distT="0" distB="0" distL="0" distR="0" wp14:anchorId="2F362D59" wp14:editId="1185BA79">
                  <wp:extent cx="5105015" cy="403860"/>
                  <wp:effectExtent l="0" t="0" r="635" b="0"/>
                  <wp:docPr id="38" name="Resim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189459" cy="410540"/>
                          </a:xfrm>
                          <a:prstGeom prst="rect">
                            <a:avLst/>
                          </a:prstGeom>
                          <a:noFill/>
                          <a:ln>
                            <a:noFill/>
                          </a:ln>
                        </pic:spPr>
                      </pic:pic>
                    </a:graphicData>
                  </a:graphic>
                </wp:inline>
              </w:drawing>
            </w:r>
          </w:p>
        </w:tc>
        <w:tc>
          <w:tcPr>
            <w:tcW w:w="828" w:type="dxa"/>
          </w:tcPr>
          <w:p w14:paraId="151FC8D4" w14:textId="77777777" w:rsidR="00264524" w:rsidRPr="00DE12A3" w:rsidRDefault="00264524" w:rsidP="00C917D6">
            <w:pPr>
              <w:pStyle w:val="NormalLeft"/>
            </w:pPr>
          </w:p>
        </w:tc>
        <w:tc>
          <w:tcPr>
            <w:tcW w:w="828" w:type="dxa"/>
          </w:tcPr>
          <w:p w14:paraId="7F681CBE" w14:textId="77777777" w:rsidR="00264524" w:rsidRPr="00DE12A3" w:rsidRDefault="00264524" w:rsidP="00C917D6">
            <w:pPr>
              <w:pStyle w:val="NormalLeft"/>
            </w:pPr>
            <w:r w:rsidRPr="00DE12A3">
              <w:t>(6-23)</w:t>
            </w:r>
          </w:p>
        </w:tc>
      </w:tr>
    </w:tbl>
    <w:p w14:paraId="68D46745" w14:textId="77777777" w:rsidR="002D7B36" w:rsidRPr="00DE12A3" w:rsidRDefault="00242DA0" w:rsidP="00C917D6">
      <w:pPr>
        <w:pStyle w:val="Gvdemetni255"/>
        <w:shd w:val="clear" w:color="auto" w:fill="auto"/>
        <w:spacing w:before="120" w:after="120" w:line="240" w:lineRule="auto"/>
        <w:ind w:left="1134" w:firstLine="0"/>
        <w:rPr>
          <w:color w:val="auto"/>
          <w:sz w:val="24"/>
          <w:szCs w:val="24"/>
        </w:rPr>
      </w:pPr>
      <w:r w:rsidRPr="00DE12A3">
        <w:rPr>
          <w:color w:val="auto"/>
          <w:sz w:val="24"/>
          <w:szCs w:val="24"/>
        </w:rPr>
        <w:t>Burada:</w:t>
      </w:r>
    </w:p>
    <w:p w14:paraId="378AA3EC" w14:textId="77777777" w:rsidR="002D7B36" w:rsidRPr="00DE12A3" w:rsidRDefault="00242DA0" w:rsidP="00C917D6">
      <w:pPr>
        <w:pStyle w:val="Gvdemetni255"/>
        <w:shd w:val="clear" w:color="auto" w:fill="auto"/>
        <w:spacing w:before="120" w:after="120" w:line="240" w:lineRule="auto"/>
        <w:ind w:left="1134" w:firstLine="0"/>
        <w:rPr>
          <w:color w:val="auto"/>
          <w:sz w:val="24"/>
          <w:szCs w:val="24"/>
        </w:rPr>
      </w:pPr>
      <w:r w:rsidRPr="00DE12A3">
        <w:rPr>
          <w:rStyle w:val="Gvdemetni254pttalik0ptbolukbraklyor"/>
          <w:color w:val="auto"/>
          <w:sz w:val="24"/>
          <w:szCs w:val="24"/>
          <w:lang w:val="tr-TR"/>
        </w:rPr>
        <w:t>quench</w:t>
      </w:r>
      <w:r w:rsidRPr="00DE12A3">
        <w:rPr>
          <w:color w:val="auto"/>
          <w:sz w:val="24"/>
          <w:szCs w:val="24"/>
        </w:rPr>
        <w:t xml:space="preserve"> = CLD soğutma miktarı</w:t>
      </w:r>
    </w:p>
    <w:p w14:paraId="5CBF771D" w14:textId="5195C104" w:rsidR="002D7B36" w:rsidRPr="00DE12A3" w:rsidRDefault="00242DA0" w:rsidP="00C917D6">
      <w:pPr>
        <w:pStyle w:val="Gvdemetni255"/>
        <w:shd w:val="clear" w:color="auto" w:fill="auto"/>
        <w:tabs>
          <w:tab w:val="left" w:pos="1760"/>
          <w:tab w:val="left" w:pos="1803"/>
        </w:tabs>
        <w:spacing w:before="120" w:after="120" w:line="240" w:lineRule="auto"/>
        <w:ind w:left="1134" w:firstLine="0"/>
        <w:rPr>
          <w:color w:val="auto"/>
          <w:sz w:val="24"/>
          <w:szCs w:val="24"/>
        </w:rPr>
      </w:pPr>
      <w:r w:rsidRPr="00DE12A3">
        <w:rPr>
          <w:i/>
          <w:iCs/>
          <w:color w:val="auto"/>
          <w:sz w:val="24"/>
          <w:szCs w:val="24"/>
        </w:rPr>
        <w:t>x</w:t>
      </w:r>
      <w:r w:rsidRPr="00DE12A3">
        <w:rPr>
          <w:color w:val="auto"/>
          <w:sz w:val="24"/>
          <w:szCs w:val="24"/>
          <w:vertAlign w:val="subscript"/>
        </w:rPr>
        <w:t>NOdry</w:t>
      </w:r>
      <w:r w:rsidRPr="00DE12A3">
        <w:rPr>
          <w:color w:val="auto"/>
          <w:sz w:val="24"/>
          <w:szCs w:val="24"/>
        </w:rPr>
        <w:tab/>
        <w:t>8.1.11.1.5</w:t>
      </w:r>
      <w:r w:rsidR="00A43271" w:rsidRPr="00DE12A3">
        <w:rPr>
          <w:color w:val="auto"/>
          <w:sz w:val="24"/>
          <w:szCs w:val="24"/>
        </w:rPr>
        <w:t xml:space="preserve"> bendinin </w:t>
      </w:r>
      <w:r w:rsidRPr="00DE12A3">
        <w:rPr>
          <w:color w:val="auto"/>
          <w:sz w:val="24"/>
          <w:szCs w:val="24"/>
        </w:rPr>
        <w:t xml:space="preserve">(d) </w:t>
      </w:r>
      <w:r w:rsidR="00F70790" w:rsidRPr="00DE12A3">
        <w:rPr>
          <w:color w:val="auto"/>
          <w:sz w:val="24"/>
          <w:szCs w:val="24"/>
        </w:rPr>
        <w:t xml:space="preserve">numaralı </w:t>
      </w:r>
      <w:r w:rsidR="00A43271" w:rsidRPr="00DE12A3">
        <w:rPr>
          <w:color w:val="auto"/>
          <w:sz w:val="24"/>
          <w:szCs w:val="24"/>
        </w:rPr>
        <w:t xml:space="preserve">alt </w:t>
      </w:r>
      <w:r w:rsidRPr="00DE12A3">
        <w:rPr>
          <w:color w:val="auto"/>
          <w:sz w:val="24"/>
          <w:szCs w:val="24"/>
        </w:rPr>
        <w:t>bendi uyarınca bir köpürtücünün giriş kısmında ölçülen NO konsantrasyonu</w:t>
      </w:r>
    </w:p>
    <w:p w14:paraId="38498055" w14:textId="791A9306" w:rsidR="002D7B36" w:rsidRPr="00DE12A3" w:rsidRDefault="00242DA0" w:rsidP="00C917D6">
      <w:pPr>
        <w:pStyle w:val="Gvdemetni255"/>
        <w:shd w:val="clear" w:color="auto" w:fill="auto"/>
        <w:tabs>
          <w:tab w:val="left" w:pos="1760"/>
          <w:tab w:val="left" w:pos="1803"/>
        </w:tabs>
        <w:spacing w:before="120" w:after="120" w:line="240" w:lineRule="auto"/>
        <w:ind w:left="1134" w:firstLine="0"/>
        <w:rPr>
          <w:color w:val="auto"/>
          <w:sz w:val="24"/>
          <w:szCs w:val="24"/>
        </w:rPr>
      </w:pPr>
      <w:r w:rsidRPr="00DE12A3">
        <w:rPr>
          <w:i/>
          <w:iCs/>
          <w:color w:val="auto"/>
          <w:sz w:val="24"/>
          <w:szCs w:val="24"/>
        </w:rPr>
        <w:t>x</w:t>
      </w:r>
      <w:r w:rsidRPr="00DE12A3">
        <w:rPr>
          <w:color w:val="auto"/>
          <w:sz w:val="24"/>
          <w:szCs w:val="24"/>
          <w:vertAlign w:val="subscript"/>
        </w:rPr>
        <w:t>NOwet</w:t>
      </w:r>
      <w:r w:rsidRPr="00DE12A3">
        <w:rPr>
          <w:color w:val="auto"/>
          <w:sz w:val="24"/>
          <w:szCs w:val="24"/>
        </w:rPr>
        <w:tab/>
        <w:t>8.1.11.1.5</w:t>
      </w:r>
      <w:r w:rsidR="00A43271" w:rsidRPr="00DE12A3">
        <w:rPr>
          <w:color w:val="auto"/>
          <w:sz w:val="24"/>
          <w:szCs w:val="24"/>
        </w:rPr>
        <w:t xml:space="preserve">  bendinin </w:t>
      </w:r>
      <w:r w:rsidRPr="00DE12A3">
        <w:rPr>
          <w:color w:val="auto"/>
          <w:sz w:val="24"/>
          <w:szCs w:val="24"/>
        </w:rPr>
        <w:t xml:space="preserve">(i) </w:t>
      </w:r>
      <w:r w:rsidR="00A43271" w:rsidRPr="00DE12A3">
        <w:rPr>
          <w:color w:val="auto"/>
          <w:sz w:val="24"/>
          <w:szCs w:val="24"/>
        </w:rPr>
        <w:t xml:space="preserve"> </w:t>
      </w:r>
      <w:r w:rsidR="00F70790" w:rsidRPr="00DE12A3">
        <w:rPr>
          <w:color w:val="auto"/>
          <w:sz w:val="24"/>
          <w:szCs w:val="24"/>
        </w:rPr>
        <w:t xml:space="preserve">numaralı </w:t>
      </w:r>
      <w:r w:rsidR="00A43271" w:rsidRPr="00DE12A3">
        <w:rPr>
          <w:color w:val="auto"/>
          <w:sz w:val="24"/>
          <w:szCs w:val="24"/>
        </w:rPr>
        <w:t xml:space="preserve">alt </w:t>
      </w:r>
      <w:r w:rsidRPr="00DE12A3">
        <w:rPr>
          <w:color w:val="auto"/>
          <w:sz w:val="24"/>
          <w:szCs w:val="24"/>
        </w:rPr>
        <w:t>bendi uyarınca bir köpürtücünün çıkış kısmında ölçülen NO konsantrasyonu</w:t>
      </w:r>
    </w:p>
    <w:p w14:paraId="76CD0CD3" w14:textId="77777777" w:rsidR="002D7B36" w:rsidRPr="00DE12A3" w:rsidRDefault="00242DA0" w:rsidP="00C917D6">
      <w:pPr>
        <w:pStyle w:val="Gvdemetni255"/>
        <w:shd w:val="clear" w:color="auto" w:fill="auto"/>
        <w:tabs>
          <w:tab w:val="left" w:pos="1760"/>
        </w:tabs>
        <w:spacing w:before="120" w:after="120" w:line="240" w:lineRule="auto"/>
        <w:ind w:left="1134" w:firstLine="0"/>
        <w:rPr>
          <w:color w:val="auto"/>
          <w:sz w:val="24"/>
          <w:szCs w:val="24"/>
        </w:rPr>
      </w:pPr>
      <w:r w:rsidRPr="00DE12A3">
        <w:rPr>
          <w:i/>
          <w:iCs/>
          <w:color w:val="auto"/>
          <w:sz w:val="24"/>
          <w:szCs w:val="24"/>
        </w:rPr>
        <w:t>x</w:t>
      </w:r>
      <w:r w:rsidRPr="00DE12A3">
        <w:rPr>
          <w:color w:val="auto"/>
          <w:sz w:val="24"/>
          <w:szCs w:val="24"/>
          <w:vertAlign w:val="subscript"/>
        </w:rPr>
        <w:t>H2Oexp</w:t>
      </w:r>
      <w:r w:rsidRPr="00DE12A3">
        <w:rPr>
          <w:color w:val="auto"/>
          <w:sz w:val="24"/>
          <w:szCs w:val="24"/>
        </w:rPr>
        <w:tab/>
        <w:t>8.1.11.2.1 bendi uyarınca emisyon testi sırasında suyun beklenen azami mol oranı</w:t>
      </w:r>
    </w:p>
    <w:p w14:paraId="3371F396" w14:textId="0B874A2A" w:rsidR="002D7B36" w:rsidRPr="00DE12A3" w:rsidRDefault="00242DA0" w:rsidP="00C917D6">
      <w:pPr>
        <w:pStyle w:val="Gvdemetni255"/>
        <w:shd w:val="clear" w:color="auto" w:fill="auto"/>
        <w:spacing w:before="120" w:after="120" w:line="240" w:lineRule="auto"/>
        <w:ind w:left="1134" w:firstLine="0"/>
        <w:rPr>
          <w:color w:val="auto"/>
          <w:sz w:val="24"/>
          <w:szCs w:val="24"/>
        </w:rPr>
      </w:pPr>
      <w:r w:rsidRPr="00DE12A3">
        <w:rPr>
          <w:i/>
          <w:iCs/>
          <w:color w:val="auto"/>
          <w:sz w:val="24"/>
          <w:szCs w:val="24"/>
        </w:rPr>
        <w:t>x</w:t>
      </w:r>
      <w:r w:rsidRPr="00DE12A3">
        <w:rPr>
          <w:color w:val="auto"/>
          <w:sz w:val="24"/>
          <w:szCs w:val="24"/>
          <w:vertAlign w:val="subscript"/>
        </w:rPr>
        <w:t>H2Omeas</w:t>
      </w:r>
      <w:r w:rsidRPr="00DE12A3">
        <w:rPr>
          <w:color w:val="auto"/>
          <w:sz w:val="24"/>
          <w:szCs w:val="24"/>
          <w:vertAlign w:val="subscript"/>
        </w:rPr>
        <w:tab/>
      </w:r>
      <w:r w:rsidRPr="00DE12A3">
        <w:rPr>
          <w:color w:val="auto"/>
          <w:sz w:val="24"/>
          <w:szCs w:val="24"/>
        </w:rPr>
        <w:t>8.1.11.1.5</w:t>
      </w:r>
      <w:r w:rsidR="00A43271" w:rsidRPr="00DE12A3">
        <w:rPr>
          <w:color w:val="auto"/>
          <w:sz w:val="24"/>
          <w:szCs w:val="24"/>
        </w:rPr>
        <w:t xml:space="preserve"> bendinin </w:t>
      </w:r>
      <w:r w:rsidRPr="00DE12A3">
        <w:rPr>
          <w:color w:val="auto"/>
          <w:sz w:val="24"/>
          <w:szCs w:val="24"/>
        </w:rPr>
        <w:t>(g)</w:t>
      </w:r>
      <w:r w:rsidR="00F70790" w:rsidRPr="00DE12A3">
        <w:rPr>
          <w:color w:val="auto"/>
          <w:sz w:val="24"/>
          <w:szCs w:val="24"/>
        </w:rPr>
        <w:t xml:space="preserve"> numaralı</w:t>
      </w:r>
      <w:r w:rsidR="00A43271" w:rsidRPr="00DE12A3">
        <w:rPr>
          <w:color w:val="auto"/>
          <w:sz w:val="24"/>
          <w:szCs w:val="24"/>
        </w:rPr>
        <w:t xml:space="preserve"> alt </w:t>
      </w:r>
      <w:r w:rsidRPr="00DE12A3">
        <w:rPr>
          <w:color w:val="auto"/>
          <w:sz w:val="24"/>
          <w:szCs w:val="24"/>
        </w:rPr>
        <w:t xml:space="preserve"> bendi uyarınca soğutma doğrulaması sırasında ölçülen suyun mol oranı</w:t>
      </w:r>
    </w:p>
    <w:p w14:paraId="359AA1ED" w14:textId="6034DFD5" w:rsidR="002D7B36" w:rsidRPr="00DE12A3" w:rsidRDefault="00242DA0" w:rsidP="00C917D6">
      <w:pPr>
        <w:pStyle w:val="Gvdemetni255"/>
        <w:shd w:val="clear" w:color="auto" w:fill="auto"/>
        <w:tabs>
          <w:tab w:val="left" w:pos="1760"/>
          <w:tab w:val="left" w:pos="1826"/>
        </w:tabs>
        <w:spacing w:before="120" w:after="120" w:line="240" w:lineRule="auto"/>
        <w:ind w:left="1134" w:firstLine="0"/>
        <w:rPr>
          <w:color w:val="auto"/>
          <w:sz w:val="24"/>
          <w:szCs w:val="24"/>
        </w:rPr>
      </w:pPr>
      <w:r w:rsidRPr="00DE12A3">
        <w:rPr>
          <w:i/>
          <w:iCs/>
          <w:color w:val="auto"/>
          <w:sz w:val="24"/>
          <w:szCs w:val="24"/>
        </w:rPr>
        <w:t>x</w:t>
      </w:r>
      <w:r w:rsidRPr="00DE12A3">
        <w:rPr>
          <w:color w:val="auto"/>
          <w:sz w:val="24"/>
          <w:szCs w:val="24"/>
          <w:vertAlign w:val="subscript"/>
        </w:rPr>
        <w:t>NOmeas</w:t>
      </w:r>
      <w:r w:rsidRPr="00DE12A3">
        <w:rPr>
          <w:color w:val="auto"/>
          <w:sz w:val="24"/>
          <w:szCs w:val="24"/>
        </w:rPr>
        <w:tab/>
        <w:t>8.1.11.1.4</w:t>
      </w:r>
      <w:r w:rsidR="00A43271" w:rsidRPr="00DE12A3">
        <w:rPr>
          <w:color w:val="auto"/>
          <w:sz w:val="24"/>
          <w:szCs w:val="24"/>
        </w:rPr>
        <w:t xml:space="preserve"> bendinin </w:t>
      </w:r>
      <w:r w:rsidRPr="00DE12A3">
        <w:rPr>
          <w:color w:val="auto"/>
          <w:sz w:val="24"/>
          <w:szCs w:val="24"/>
        </w:rPr>
        <w:t xml:space="preserve">(j) </w:t>
      </w:r>
      <w:r w:rsidR="00F70790" w:rsidRPr="00DE12A3">
        <w:rPr>
          <w:color w:val="auto"/>
          <w:sz w:val="24"/>
          <w:szCs w:val="24"/>
        </w:rPr>
        <w:t xml:space="preserve">numaralı </w:t>
      </w:r>
      <w:r w:rsidR="00A43271" w:rsidRPr="00DE12A3">
        <w:rPr>
          <w:color w:val="auto"/>
          <w:sz w:val="24"/>
          <w:szCs w:val="24"/>
        </w:rPr>
        <w:t xml:space="preserve">alt </w:t>
      </w:r>
      <w:r w:rsidRPr="00DE12A3">
        <w:rPr>
          <w:color w:val="auto"/>
          <w:sz w:val="24"/>
          <w:szCs w:val="24"/>
        </w:rPr>
        <w:t>bendi uyarınca, NO ayar gazı CO</w:t>
      </w:r>
      <w:r w:rsidRPr="00DE12A3">
        <w:rPr>
          <w:color w:val="auto"/>
          <w:sz w:val="24"/>
          <w:szCs w:val="24"/>
          <w:vertAlign w:val="subscript"/>
        </w:rPr>
        <w:t>2</w:t>
      </w:r>
      <w:r w:rsidRPr="00DE12A3">
        <w:rPr>
          <w:color w:val="auto"/>
          <w:sz w:val="24"/>
          <w:szCs w:val="24"/>
        </w:rPr>
        <w:t xml:space="preserve"> ayar gazıyla harmanlandığında ölçülen NO konsantrasyonu</w:t>
      </w:r>
    </w:p>
    <w:p w14:paraId="0842D22C" w14:textId="4FA155F2" w:rsidR="002D7B36" w:rsidRPr="00DE12A3" w:rsidRDefault="00242DA0" w:rsidP="00C917D6">
      <w:pPr>
        <w:pStyle w:val="Gvdemetni255"/>
        <w:shd w:val="clear" w:color="auto" w:fill="auto"/>
        <w:tabs>
          <w:tab w:val="left" w:pos="1760"/>
          <w:tab w:val="left" w:pos="2110"/>
          <w:tab w:val="right" w:pos="5643"/>
        </w:tabs>
        <w:spacing w:before="120" w:after="120" w:line="240" w:lineRule="auto"/>
        <w:ind w:left="1134" w:firstLine="0"/>
        <w:rPr>
          <w:color w:val="auto"/>
          <w:sz w:val="24"/>
          <w:szCs w:val="24"/>
        </w:rPr>
      </w:pPr>
      <w:r w:rsidRPr="00DE12A3">
        <w:rPr>
          <w:i/>
          <w:iCs/>
          <w:color w:val="auto"/>
          <w:sz w:val="24"/>
          <w:szCs w:val="24"/>
        </w:rPr>
        <w:t>x</w:t>
      </w:r>
      <w:r w:rsidRPr="00DE12A3">
        <w:rPr>
          <w:color w:val="auto"/>
          <w:sz w:val="24"/>
          <w:szCs w:val="24"/>
          <w:vertAlign w:val="subscript"/>
        </w:rPr>
        <w:t>NOact</w:t>
      </w:r>
      <w:r w:rsidRPr="00DE12A3">
        <w:rPr>
          <w:color w:val="auto"/>
          <w:sz w:val="24"/>
          <w:szCs w:val="24"/>
        </w:rPr>
        <w:tab/>
        <w:t>8.1.11.1.4</w:t>
      </w:r>
      <w:r w:rsidR="00A43271" w:rsidRPr="00DE12A3">
        <w:rPr>
          <w:color w:val="auto"/>
          <w:sz w:val="24"/>
          <w:szCs w:val="24"/>
        </w:rPr>
        <w:t xml:space="preserve"> bendinin </w:t>
      </w:r>
      <w:r w:rsidRPr="00DE12A3">
        <w:rPr>
          <w:color w:val="auto"/>
          <w:sz w:val="24"/>
          <w:szCs w:val="24"/>
        </w:rPr>
        <w:t xml:space="preserve">(k) </w:t>
      </w:r>
      <w:r w:rsidR="00F70790" w:rsidRPr="00DE12A3">
        <w:rPr>
          <w:color w:val="auto"/>
          <w:sz w:val="24"/>
          <w:szCs w:val="24"/>
        </w:rPr>
        <w:t xml:space="preserve">numaralı </w:t>
      </w:r>
      <w:r w:rsidR="00A43271" w:rsidRPr="00DE12A3">
        <w:rPr>
          <w:color w:val="auto"/>
          <w:sz w:val="24"/>
          <w:szCs w:val="24"/>
        </w:rPr>
        <w:t xml:space="preserve">alt </w:t>
      </w:r>
      <w:r w:rsidRPr="00DE12A3">
        <w:rPr>
          <w:color w:val="auto"/>
          <w:sz w:val="24"/>
          <w:szCs w:val="24"/>
        </w:rPr>
        <w:t>bendi uyarınca, NO ayar gazı CO</w:t>
      </w:r>
      <w:r w:rsidRPr="00DE12A3">
        <w:rPr>
          <w:color w:val="auto"/>
          <w:sz w:val="24"/>
          <w:szCs w:val="24"/>
          <w:vertAlign w:val="subscript"/>
        </w:rPr>
        <w:t>2</w:t>
      </w:r>
      <w:r w:rsidRPr="00DE12A3">
        <w:rPr>
          <w:color w:val="auto"/>
          <w:sz w:val="24"/>
          <w:szCs w:val="24"/>
        </w:rPr>
        <w:t xml:space="preserve"> ayar gazıyla harmanlandığında oluşan ve (6-24) </w:t>
      </w:r>
      <w:r w:rsidR="005E1C7E" w:rsidRPr="00DE12A3">
        <w:rPr>
          <w:color w:val="auto"/>
          <w:sz w:val="24"/>
          <w:szCs w:val="24"/>
        </w:rPr>
        <w:t>numaralı</w:t>
      </w:r>
      <w:r w:rsidR="005E1C7E" w:rsidRPr="00DE12A3" w:rsidDel="005E1C7E">
        <w:rPr>
          <w:color w:val="auto"/>
          <w:sz w:val="24"/>
          <w:szCs w:val="24"/>
        </w:rPr>
        <w:t xml:space="preserve"> </w:t>
      </w:r>
      <w:r w:rsidRPr="00DE12A3">
        <w:rPr>
          <w:color w:val="auto"/>
          <w:sz w:val="24"/>
          <w:szCs w:val="24"/>
        </w:rPr>
        <w:t>denklemle hesaplanan fiili NO konsantrasyonu</w:t>
      </w:r>
    </w:p>
    <w:p w14:paraId="0685A9FF" w14:textId="77777777" w:rsidR="002D7B36" w:rsidRPr="00DE12A3" w:rsidRDefault="00242DA0" w:rsidP="00C917D6">
      <w:pPr>
        <w:pStyle w:val="Gvdemetni255"/>
        <w:shd w:val="clear" w:color="auto" w:fill="auto"/>
        <w:tabs>
          <w:tab w:val="left" w:pos="1760"/>
          <w:tab w:val="left" w:pos="2110"/>
          <w:tab w:val="right" w:pos="5643"/>
        </w:tabs>
        <w:spacing w:before="120" w:after="120" w:line="240" w:lineRule="auto"/>
        <w:ind w:left="1134" w:firstLine="0"/>
        <w:rPr>
          <w:color w:val="auto"/>
          <w:sz w:val="24"/>
          <w:szCs w:val="24"/>
        </w:rPr>
      </w:pPr>
      <w:r w:rsidRPr="00DE12A3">
        <w:rPr>
          <w:i/>
          <w:iCs/>
          <w:color w:val="auto"/>
          <w:sz w:val="24"/>
          <w:szCs w:val="24"/>
        </w:rPr>
        <w:t>x</w:t>
      </w:r>
      <w:r w:rsidRPr="00DE12A3">
        <w:rPr>
          <w:color w:val="auto"/>
          <w:sz w:val="24"/>
          <w:szCs w:val="24"/>
          <w:vertAlign w:val="subscript"/>
        </w:rPr>
        <w:t>CO2exp</w:t>
      </w:r>
      <w:r w:rsidRPr="00DE12A3">
        <w:rPr>
          <w:color w:val="auto"/>
          <w:sz w:val="24"/>
          <w:szCs w:val="24"/>
        </w:rPr>
        <w:tab/>
        <w:t>8.1.11.2.2 bendi uyarınca emisyon testi sırasında beklenen azami CO</w:t>
      </w:r>
      <w:r w:rsidRPr="00DE12A3">
        <w:rPr>
          <w:color w:val="auto"/>
          <w:sz w:val="24"/>
          <w:szCs w:val="24"/>
          <w:vertAlign w:val="subscript"/>
        </w:rPr>
        <w:t>2</w:t>
      </w:r>
      <w:r w:rsidRPr="00DE12A3">
        <w:rPr>
          <w:color w:val="auto"/>
          <w:sz w:val="24"/>
          <w:szCs w:val="24"/>
        </w:rPr>
        <w:t xml:space="preserve"> konsantrasyonu</w:t>
      </w:r>
    </w:p>
    <w:p w14:paraId="50D73E1A" w14:textId="163AD5CC" w:rsidR="002D7B36" w:rsidRPr="00DE12A3" w:rsidRDefault="00242DA0" w:rsidP="00C917D6">
      <w:pPr>
        <w:pStyle w:val="Gvdemetni255"/>
        <w:shd w:val="clear" w:color="auto" w:fill="auto"/>
        <w:tabs>
          <w:tab w:val="left" w:pos="1760"/>
          <w:tab w:val="left" w:pos="2110"/>
          <w:tab w:val="right" w:pos="5643"/>
        </w:tabs>
        <w:spacing w:before="120" w:after="120" w:line="240" w:lineRule="auto"/>
        <w:ind w:left="1134" w:firstLine="0"/>
        <w:rPr>
          <w:color w:val="auto"/>
          <w:sz w:val="24"/>
          <w:szCs w:val="24"/>
        </w:rPr>
      </w:pPr>
      <w:r w:rsidRPr="00DE12A3">
        <w:rPr>
          <w:i/>
          <w:iCs/>
          <w:color w:val="auto"/>
          <w:sz w:val="24"/>
          <w:szCs w:val="24"/>
        </w:rPr>
        <w:t>x</w:t>
      </w:r>
      <w:r w:rsidRPr="00DE12A3">
        <w:rPr>
          <w:color w:val="auto"/>
          <w:sz w:val="24"/>
          <w:szCs w:val="24"/>
          <w:vertAlign w:val="subscript"/>
        </w:rPr>
        <w:t>CO2act</w:t>
      </w:r>
      <w:r w:rsidRPr="00DE12A3">
        <w:rPr>
          <w:color w:val="auto"/>
          <w:sz w:val="24"/>
          <w:szCs w:val="24"/>
        </w:rPr>
        <w:tab/>
        <w:t>8.1.11.1.4</w:t>
      </w:r>
      <w:r w:rsidR="00A43271" w:rsidRPr="00DE12A3">
        <w:rPr>
          <w:color w:val="auto"/>
          <w:sz w:val="24"/>
          <w:szCs w:val="24"/>
        </w:rPr>
        <w:t xml:space="preserve"> bendinin </w:t>
      </w:r>
      <w:r w:rsidRPr="00DE12A3">
        <w:rPr>
          <w:color w:val="auto"/>
          <w:sz w:val="24"/>
          <w:szCs w:val="24"/>
        </w:rPr>
        <w:t xml:space="preserve">(i) </w:t>
      </w:r>
      <w:r w:rsidR="00F70790" w:rsidRPr="00DE12A3">
        <w:rPr>
          <w:color w:val="auto"/>
          <w:sz w:val="24"/>
          <w:szCs w:val="24"/>
        </w:rPr>
        <w:t xml:space="preserve">numaralı </w:t>
      </w:r>
      <w:r w:rsidR="00A43271" w:rsidRPr="00DE12A3">
        <w:rPr>
          <w:color w:val="auto"/>
          <w:sz w:val="24"/>
          <w:szCs w:val="24"/>
        </w:rPr>
        <w:t xml:space="preserve">alt </w:t>
      </w:r>
      <w:r w:rsidRPr="00DE12A3">
        <w:rPr>
          <w:color w:val="auto"/>
          <w:sz w:val="24"/>
          <w:szCs w:val="24"/>
        </w:rPr>
        <w:t>bendi uyarınca, NO ayar gazı CO</w:t>
      </w:r>
      <w:r w:rsidRPr="00DE12A3">
        <w:rPr>
          <w:color w:val="auto"/>
          <w:sz w:val="24"/>
          <w:szCs w:val="24"/>
          <w:vertAlign w:val="subscript"/>
        </w:rPr>
        <w:t>2</w:t>
      </w:r>
      <w:r w:rsidRPr="00DE12A3">
        <w:rPr>
          <w:color w:val="auto"/>
          <w:sz w:val="24"/>
          <w:szCs w:val="24"/>
        </w:rPr>
        <w:t xml:space="preserve"> ayar gazıyla harmanlandığında fiili NO konsantrasyonu</w:t>
      </w:r>
    </w:p>
    <w:tbl>
      <w:tblPr>
        <w:tblW w:w="7339" w:type="dxa"/>
        <w:jc w:val="center"/>
        <w:tblLayout w:type="fixed"/>
        <w:tblLook w:val="0000" w:firstRow="0" w:lastRow="0" w:firstColumn="0" w:lastColumn="0" w:noHBand="0" w:noVBand="0"/>
      </w:tblPr>
      <w:tblGrid>
        <w:gridCol w:w="5871"/>
        <w:gridCol w:w="1468"/>
      </w:tblGrid>
      <w:tr w:rsidR="00DE12A3" w:rsidRPr="00DE12A3" w14:paraId="446C514A" w14:textId="77777777" w:rsidTr="00264524">
        <w:trPr>
          <w:trHeight w:val="851"/>
          <w:jc w:val="center"/>
        </w:trPr>
        <w:tc>
          <w:tcPr>
            <w:tcW w:w="5871" w:type="dxa"/>
          </w:tcPr>
          <w:p w14:paraId="6C765A90" w14:textId="22E309D2" w:rsidR="00264524" w:rsidRPr="00DE12A3" w:rsidRDefault="00264524" w:rsidP="00C917D6">
            <w:pPr>
              <w:pStyle w:val="NormalLeft"/>
              <w:ind w:left="445"/>
            </w:pPr>
            <w:r w:rsidRPr="00DE12A3">
              <w:rPr>
                <w:noProof/>
                <w:lang w:val="tr-TR"/>
              </w:rPr>
              <w:drawing>
                <wp:inline distT="0" distB="0" distL="0" distR="0" wp14:anchorId="79179E8F" wp14:editId="524F6ABB">
                  <wp:extent cx="2994660" cy="451338"/>
                  <wp:effectExtent l="0" t="0" r="0" b="6350"/>
                  <wp:docPr id="39" name="Resim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3035477" cy="457490"/>
                          </a:xfrm>
                          <a:prstGeom prst="rect">
                            <a:avLst/>
                          </a:prstGeom>
                          <a:noFill/>
                          <a:ln>
                            <a:noFill/>
                          </a:ln>
                        </pic:spPr>
                      </pic:pic>
                    </a:graphicData>
                  </a:graphic>
                </wp:inline>
              </w:drawing>
            </w:r>
          </w:p>
        </w:tc>
        <w:tc>
          <w:tcPr>
            <w:tcW w:w="1468" w:type="dxa"/>
          </w:tcPr>
          <w:p w14:paraId="137D2E77" w14:textId="77777777" w:rsidR="00264524" w:rsidRPr="00DE12A3" w:rsidRDefault="00264524" w:rsidP="00C917D6">
            <w:pPr>
              <w:pStyle w:val="NormalLeft"/>
            </w:pPr>
            <w:r w:rsidRPr="00DE12A3">
              <w:t>(6-24)</w:t>
            </w:r>
          </w:p>
        </w:tc>
      </w:tr>
    </w:tbl>
    <w:p w14:paraId="0A77575B" w14:textId="77777777" w:rsidR="002D7B36" w:rsidRPr="00DE12A3" w:rsidRDefault="00242DA0" w:rsidP="00C917D6">
      <w:pPr>
        <w:pStyle w:val="Gvdemetni255"/>
        <w:shd w:val="clear" w:color="auto" w:fill="auto"/>
        <w:tabs>
          <w:tab w:val="left" w:pos="709"/>
        </w:tabs>
        <w:spacing w:before="120" w:after="120" w:line="240" w:lineRule="auto"/>
        <w:ind w:left="1134" w:firstLine="0"/>
        <w:rPr>
          <w:color w:val="auto"/>
          <w:sz w:val="24"/>
          <w:szCs w:val="24"/>
        </w:rPr>
      </w:pPr>
      <w:r w:rsidRPr="00DE12A3">
        <w:rPr>
          <w:color w:val="auto"/>
          <w:sz w:val="24"/>
          <w:szCs w:val="24"/>
        </w:rPr>
        <w:t>Burada:</w:t>
      </w:r>
    </w:p>
    <w:p w14:paraId="1F5EFEE0" w14:textId="6A28BCD6" w:rsidR="002D7B36" w:rsidRPr="00DE12A3" w:rsidRDefault="00242DA0" w:rsidP="00C917D6">
      <w:pPr>
        <w:pStyle w:val="Gvdemetni255"/>
        <w:shd w:val="clear" w:color="auto" w:fill="auto"/>
        <w:tabs>
          <w:tab w:val="right" w:pos="5643"/>
        </w:tabs>
        <w:spacing w:before="120" w:after="120" w:line="240" w:lineRule="auto"/>
        <w:ind w:left="1134" w:firstLine="0"/>
        <w:rPr>
          <w:color w:val="auto"/>
          <w:sz w:val="24"/>
          <w:szCs w:val="24"/>
        </w:rPr>
      </w:pPr>
      <w:r w:rsidRPr="00DE12A3">
        <w:rPr>
          <w:i/>
          <w:iCs/>
          <w:color w:val="auto"/>
          <w:sz w:val="24"/>
          <w:szCs w:val="24"/>
        </w:rPr>
        <w:t>x</w:t>
      </w:r>
      <w:r w:rsidRPr="00DE12A3">
        <w:rPr>
          <w:color w:val="auto"/>
          <w:sz w:val="24"/>
          <w:szCs w:val="24"/>
          <w:vertAlign w:val="subscript"/>
        </w:rPr>
        <w:t>NOspan</w:t>
      </w:r>
      <w:r w:rsidRPr="00DE12A3">
        <w:rPr>
          <w:color w:val="auto"/>
          <w:sz w:val="24"/>
          <w:szCs w:val="24"/>
        </w:rPr>
        <w:tab/>
      </w:r>
      <w:r w:rsidR="00264524" w:rsidRPr="00DE12A3">
        <w:rPr>
          <w:color w:val="auto"/>
          <w:sz w:val="24"/>
          <w:szCs w:val="24"/>
        </w:rPr>
        <w:t xml:space="preserve">    </w:t>
      </w:r>
      <w:r w:rsidRPr="00DE12A3">
        <w:rPr>
          <w:color w:val="auto"/>
          <w:sz w:val="24"/>
          <w:szCs w:val="24"/>
        </w:rPr>
        <w:t>8.1.11.1.4</w:t>
      </w:r>
      <w:r w:rsidR="00264524" w:rsidRPr="00DE12A3">
        <w:rPr>
          <w:color w:val="auto"/>
          <w:sz w:val="24"/>
          <w:szCs w:val="24"/>
        </w:rPr>
        <w:t xml:space="preserve"> </w:t>
      </w:r>
      <w:r w:rsidR="00A43271" w:rsidRPr="00DE12A3">
        <w:rPr>
          <w:color w:val="auto"/>
          <w:sz w:val="24"/>
          <w:szCs w:val="24"/>
        </w:rPr>
        <w:t xml:space="preserve">bendinin </w:t>
      </w:r>
      <w:r w:rsidR="00264524" w:rsidRPr="00DE12A3">
        <w:rPr>
          <w:color w:val="auto"/>
          <w:sz w:val="24"/>
          <w:szCs w:val="24"/>
        </w:rPr>
        <w:t xml:space="preserve"> </w:t>
      </w:r>
      <w:r w:rsidRPr="00DE12A3">
        <w:rPr>
          <w:color w:val="auto"/>
          <w:sz w:val="24"/>
          <w:szCs w:val="24"/>
        </w:rPr>
        <w:t>(e)</w:t>
      </w:r>
      <w:r w:rsidR="00A43271" w:rsidRPr="00DE12A3">
        <w:rPr>
          <w:color w:val="auto"/>
          <w:sz w:val="24"/>
          <w:szCs w:val="24"/>
        </w:rPr>
        <w:t xml:space="preserve"> </w:t>
      </w:r>
      <w:r w:rsidR="00F70790" w:rsidRPr="00DE12A3">
        <w:rPr>
          <w:color w:val="auto"/>
          <w:sz w:val="24"/>
          <w:szCs w:val="24"/>
        </w:rPr>
        <w:t xml:space="preserve">numaralı </w:t>
      </w:r>
      <w:r w:rsidR="00A43271" w:rsidRPr="00DE12A3">
        <w:rPr>
          <w:color w:val="auto"/>
          <w:sz w:val="24"/>
          <w:szCs w:val="24"/>
        </w:rPr>
        <w:t xml:space="preserve">alt </w:t>
      </w:r>
      <w:r w:rsidRPr="00DE12A3">
        <w:rPr>
          <w:color w:val="auto"/>
          <w:sz w:val="24"/>
          <w:szCs w:val="24"/>
        </w:rPr>
        <w:t xml:space="preserve"> bendi uyarınca gaz bölücüye giren NO ayar gazı konsantrasyonu</w:t>
      </w:r>
    </w:p>
    <w:p w14:paraId="1A648F6D" w14:textId="37E153C1" w:rsidR="002D7B36" w:rsidRPr="00DE12A3" w:rsidRDefault="00242DA0" w:rsidP="00C917D6">
      <w:pPr>
        <w:pStyle w:val="Gvdemetni255"/>
        <w:shd w:val="clear" w:color="auto" w:fill="auto"/>
        <w:tabs>
          <w:tab w:val="right" w:pos="5643"/>
        </w:tabs>
        <w:spacing w:before="120" w:after="120" w:line="240" w:lineRule="auto"/>
        <w:ind w:left="1134" w:firstLine="0"/>
        <w:rPr>
          <w:color w:val="auto"/>
          <w:sz w:val="24"/>
          <w:szCs w:val="24"/>
        </w:rPr>
      </w:pPr>
      <w:r w:rsidRPr="00DE12A3">
        <w:rPr>
          <w:i/>
          <w:iCs/>
          <w:color w:val="auto"/>
          <w:sz w:val="24"/>
          <w:szCs w:val="24"/>
        </w:rPr>
        <w:t>x</w:t>
      </w:r>
      <w:r w:rsidRPr="00DE12A3">
        <w:rPr>
          <w:color w:val="auto"/>
          <w:sz w:val="24"/>
          <w:szCs w:val="24"/>
          <w:vertAlign w:val="subscript"/>
        </w:rPr>
        <w:t>CO2span</w:t>
      </w:r>
      <w:r w:rsidRPr="00DE12A3">
        <w:rPr>
          <w:color w:val="auto"/>
          <w:sz w:val="24"/>
          <w:szCs w:val="24"/>
        </w:rPr>
        <w:tab/>
      </w:r>
      <w:r w:rsidR="00264524" w:rsidRPr="00DE12A3">
        <w:rPr>
          <w:color w:val="auto"/>
          <w:sz w:val="24"/>
          <w:szCs w:val="24"/>
        </w:rPr>
        <w:t xml:space="preserve">   </w:t>
      </w:r>
      <w:r w:rsidRPr="00DE12A3">
        <w:rPr>
          <w:color w:val="auto"/>
          <w:sz w:val="24"/>
          <w:szCs w:val="24"/>
        </w:rPr>
        <w:t>8.1.11.1.4</w:t>
      </w:r>
      <w:r w:rsidR="00264524" w:rsidRPr="00DE12A3">
        <w:rPr>
          <w:color w:val="auto"/>
          <w:sz w:val="24"/>
          <w:szCs w:val="24"/>
        </w:rPr>
        <w:t xml:space="preserve"> </w:t>
      </w:r>
      <w:r w:rsidR="00A43271" w:rsidRPr="00DE12A3">
        <w:rPr>
          <w:color w:val="auto"/>
          <w:sz w:val="24"/>
          <w:szCs w:val="24"/>
        </w:rPr>
        <w:t xml:space="preserve">bendinin </w:t>
      </w:r>
      <w:r w:rsidR="00264524" w:rsidRPr="00DE12A3">
        <w:rPr>
          <w:color w:val="auto"/>
          <w:sz w:val="24"/>
          <w:szCs w:val="24"/>
        </w:rPr>
        <w:t xml:space="preserve"> </w:t>
      </w:r>
      <w:r w:rsidRPr="00DE12A3">
        <w:rPr>
          <w:color w:val="auto"/>
          <w:sz w:val="24"/>
          <w:szCs w:val="24"/>
        </w:rPr>
        <w:t xml:space="preserve">(d) </w:t>
      </w:r>
      <w:r w:rsidR="00F70790" w:rsidRPr="00DE12A3">
        <w:rPr>
          <w:color w:val="auto"/>
          <w:sz w:val="24"/>
          <w:szCs w:val="24"/>
        </w:rPr>
        <w:t xml:space="preserve">numaralı </w:t>
      </w:r>
      <w:r w:rsidR="00A43271" w:rsidRPr="00DE12A3">
        <w:rPr>
          <w:color w:val="auto"/>
          <w:sz w:val="24"/>
          <w:szCs w:val="24"/>
        </w:rPr>
        <w:t xml:space="preserve">alt </w:t>
      </w:r>
      <w:r w:rsidRPr="00DE12A3">
        <w:rPr>
          <w:color w:val="auto"/>
          <w:sz w:val="24"/>
          <w:szCs w:val="24"/>
        </w:rPr>
        <w:t>bendi uyarınca gaz bölücüye giren CO</w:t>
      </w:r>
      <w:r w:rsidRPr="00DE12A3">
        <w:rPr>
          <w:color w:val="auto"/>
          <w:sz w:val="24"/>
          <w:szCs w:val="24"/>
          <w:vertAlign w:val="subscript"/>
        </w:rPr>
        <w:t>2</w:t>
      </w:r>
      <w:r w:rsidRPr="00DE12A3">
        <w:rPr>
          <w:color w:val="auto"/>
          <w:sz w:val="24"/>
          <w:szCs w:val="24"/>
        </w:rPr>
        <w:t xml:space="preserve"> ayar gazı konsantrasyonu</w:t>
      </w:r>
    </w:p>
    <w:p w14:paraId="1EDEF6FB" w14:textId="77777777" w:rsidR="002D7B36" w:rsidRPr="00DE12A3" w:rsidRDefault="00264524" w:rsidP="00E20716">
      <w:pPr>
        <w:pStyle w:val="Gvdemetni255"/>
        <w:numPr>
          <w:ilvl w:val="0"/>
          <w:numId w:val="269"/>
        </w:numPr>
        <w:shd w:val="clear" w:color="auto" w:fill="FFFFFF" w:themeFill="background1"/>
        <w:tabs>
          <w:tab w:val="left" w:pos="922"/>
        </w:tabs>
        <w:spacing w:before="120" w:after="120" w:line="240" w:lineRule="auto"/>
        <w:ind w:left="1134" w:hanging="1134"/>
        <w:rPr>
          <w:color w:val="auto"/>
          <w:sz w:val="24"/>
          <w:szCs w:val="24"/>
        </w:rPr>
      </w:pPr>
      <w:r w:rsidRPr="00DE12A3">
        <w:rPr>
          <w:color w:val="auto"/>
          <w:sz w:val="24"/>
          <w:szCs w:val="24"/>
        </w:rPr>
        <w:t xml:space="preserve">    </w:t>
      </w:r>
      <w:r w:rsidR="00242DA0" w:rsidRPr="00DE12A3">
        <w:rPr>
          <w:color w:val="auto"/>
          <w:sz w:val="24"/>
          <w:szCs w:val="24"/>
        </w:rPr>
        <w:t>NDUV analiz cihazı HC ve H</w:t>
      </w:r>
      <w:r w:rsidR="00242DA0" w:rsidRPr="00DE12A3">
        <w:rPr>
          <w:color w:val="auto"/>
          <w:sz w:val="24"/>
          <w:szCs w:val="24"/>
          <w:vertAlign w:val="subscript"/>
        </w:rPr>
        <w:t>2</w:t>
      </w:r>
      <w:r w:rsidR="00242DA0" w:rsidRPr="00DE12A3">
        <w:rPr>
          <w:color w:val="auto"/>
          <w:sz w:val="24"/>
          <w:szCs w:val="24"/>
        </w:rPr>
        <w:t>O karışması doğrulaması</w:t>
      </w:r>
    </w:p>
    <w:p w14:paraId="6AB5BF5E" w14:textId="77777777" w:rsidR="002D7B36" w:rsidRPr="00DE12A3" w:rsidRDefault="00242DA0" w:rsidP="00E20716">
      <w:pPr>
        <w:pStyle w:val="Gvdemetni255"/>
        <w:numPr>
          <w:ilvl w:val="0"/>
          <w:numId w:val="276"/>
        </w:numPr>
        <w:shd w:val="clear" w:color="auto" w:fill="FFFFFF" w:themeFill="background1"/>
        <w:spacing w:before="120" w:after="120" w:line="240" w:lineRule="auto"/>
        <w:ind w:left="1134" w:hanging="1134"/>
        <w:rPr>
          <w:color w:val="auto"/>
          <w:sz w:val="24"/>
          <w:szCs w:val="24"/>
        </w:rPr>
      </w:pPr>
      <w:r w:rsidRPr="00DE12A3">
        <w:rPr>
          <w:color w:val="auto"/>
          <w:sz w:val="24"/>
          <w:szCs w:val="24"/>
        </w:rPr>
        <w:t>Kapsam ve sıklık</w:t>
      </w:r>
    </w:p>
    <w:p w14:paraId="597B5E3A" w14:textId="77777777" w:rsidR="002D7B36" w:rsidRPr="00DE12A3" w:rsidRDefault="00264524" w:rsidP="00C917D6">
      <w:pPr>
        <w:pStyle w:val="Gvdemetni255"/>
        <w:shd w:val="clear" w:color="auto" w:fill="FFFFFF" w:themeFill="background1"/>
        <w:spacing w:before="120" w:after="120" w:line="240" w:lineRule="auto"/>
        <w:ind w:left="1134" w:hanging="1134"/>
        <w:rPr>
          <w:color w:val="auto"/>
          <w:sz w:val="24"/>
          <w:szCs w:val="24"/>
        </w:rPr>
      </w:pPr>
      <w:r w:rsidRPr="00DE12A3">
        <w:rPr>
          <w:color w:val="auto"/>
          <w:sz w:val="24"/>
          <w:szCs w:val="24"/>
        </w:rPr>
        <w:t xml:space="preserve">                  </w:t>
      </w:r>
      <w:r w:rsidR="00242DA0" w:rsidRPr="00DE12A3">
        <w:rPr>
          <w:color w:val="auto"/>
          <w:sz w:val="24"/>
          <w:szCs w:val="24"/>
        </w:rPr>
        <w:t>NO</w:t>
      </w:r>
      <w:r w:rsidR="00242DA0" w:rsidRPr="00DE12A3">
        <w:rPr>
          <w:color w:val="auto"/>
          <w:sz w:val="24"/>
          <w:szCs w:val="24"/>
          <w:vertAlign w:val="subscript"/>
        </w:rPr>
        <w:t>x</w:t>
      </w:r>
      <w:r w:rsidR="00242DA0" w:rsidRPr="00DE12A3">
        <w:rPr>
          <w:color w:val="auto"/>
          <w:sz w:val="24"/>
          <w:szCs w:val="24"/>
        </w:rPr>
        <w:t xml:space="preserve"> bir NDUV analiz cihazı kullanılarak ölçülürse, ilk analiz cihazı montajından sonra ve büyük bir bakım sonrasında H</w:t>
      </w:r>
      <w:r w:rsidR="00242DA0" w:rsidRPr="00DE12A3">
        <w:rPr>
          <w:color w:val="auto"/>
          <w:sz w:val="24"/>
          <w:szCs w:val="24"/>
          <w:vertAlign w:val="subscript"/>
        </w:rPr>
        <w:t>2</w:t>
      </w:r>
      <w:r w:rsidR="00242DA0" w:rsidRPr="00DE12A3">
        <w:rPr>
          <w:color w:val="auto"/>
          <w:sz w:val="24"/>
          <w:szCs w:val="24"/>
        </w:rPr>
        <w:t>O ve hidrokarbon karışması miktarı doğrulanmalıdır.</w:t>
      </w:r>
    </w:p>
    <w:p w14:paraId="6CDAB22E" w14:textId="77777777" w:rsidR="002D7B36" w:rsidRPr="00DE12A3" w:rsidRDefault="00242DA0" w:rsidP="00E20716">
      <w:pPr>
        <w:pStyle w:val="Gvdemetni255"/>
        <w:numPr>
          <w:ilvl w:val="0"/>
          <w:numId w:val="276"/>
        </w:numPr>
        <w:shd w:val="clear" w:color="auto" w:fill="FFFFFF" w:themeFill="background1"/>
        <w:tabs>
          <w:tab w:val="left" w:pos="922"/>
        </w:tabs>
        <w:spacing w:before="120" w:after="120" w:line="240" w:lineRule="auto"/>
        <w:ind w:left="1134" w:hanging="1134"/>
        <w:rPr>
          <w:color w:val="auto"/>
          <w:sz w:val="24"/>
          <w:szCs w:val="24"/>
        </w:rPr>
      </w:pPr>
      <w:r w:rsidRPr="00DE12A3">
        <w:rPr>
          <w:color w:val="auto"/>
          <w:sz w:val="24"/>
          <w:szCs w:val="24"/>
        </w:rPr>
        <w:t>Ölçüm ilkeleri</w:t>
      </w:r>
    </w:p>
    <w:p w14:paraId="1CF28A1F" w14:textId="77777777" w:rsidR="002D7B36" w:rsidRPr="00DE12A3" w:rsidRDefault="00264524" w:rsidP="00C917D6">
      <w:pPr>
        <w:pStyle w:val="Gvdemetni255"/>
        <w:shd w:val="clear" w:color="auto" w:fill="FFFFFF" w:themeFill="background1"/>
        <w:spacing w:before="120" w:after="120" w:line="240" w:lineRule="auto"/>
        <w:ind w:left="1134" w:hanging="1134"/>
        <w:rPr>
          <w:color w:val="auto"/>
          <w:sz w:val="24"/>
          <w:szCs w:val="24"/>
        </w:rPr>
      </w:pPr>
      <w:r w:rsidRPr="00DE12A3">
        <w:rPr>
          <w:color w:val="auto"/>
          <w:sz w:val="24"/>
          <w:szCs w:val="24"/>
        </w:rPr>
        <w:t xml:space="preserve">                  </w:t>
      </w:r>
      <w:r w:rsidR="00242DA0" w:rsidRPr="00DE12A3">
        <w:rPr>
          <w:color w:val="auto"/>
          <w:sz w:val="24"/>
          <w:szCs w:val="24"/>
        </w:rPr>
        <w:t>Hidrokarbonlar ve H</w:t>
      </w:r>
      <w:r w:rsidR="00242DA0" w:rsidRPr="00DE12A3">
        <w:rPr>
          <w:color w:val="auto"/>
          <w:sz w:val="24"/>
          <w:szCs w:val="24"/>
          <w:vertAlign w:val="subscript"/>
        </w:rPr>
        <w:t>2</w:t>
      </w:r>
      <w:r w:rsidR="00242DA0" w:rsidRPr="00DE12A3">
        <w:rPr>
          <w:color w:val="auto"/>
          <w:sz w:val="24"/>
          <w:szCs w:val="24"/>
        </w:rPr>
        <w:t>O, NO</w:t>
      </w:r>
      <w:r w:rsidR="00242DA0" w:rsidRPr="00DE12A3">
        <w:rPr>
          <w:color w:val="auto"/>
          <w:sz w:val="24"/>
          <w:szCs w:val="24"/>
          <w:vertAlign w:val="subscript"/>
        </w:rPr>
        <w:t>x</w:t>
      </w:r>
      <w:r w:rsidR="00242DA0" w:rsidRPr="00DE12A3">
        <w:rPr>
          <w:color w:val="auto"/>
          <w:sz w:val="24"/>
          <w:szCs w:val="24"/>
        </w:rPr>
        <w:t>'e benzer bir tepkiye neden olarak bir NDUV analiz cihazına pozitif olarak karışabilir. NDUV analiz cihazı bu karışma doğrulamasını sağlamak için diğer gazlara ait ölçümleri kullanan dengeleme algoritmaları kullanıyorsa, analiz cihazı karışma doğrulaması sırasında dengeleme algoritmalarını test etmek için, eş zamanlı olarak bu tür ölçümler yapılmalıdır.</w:t>
      </w:r>
    </w:p>
    <w:p w14:paraId="1FA98109" w14:textId="77777777" w:rsidR="002D7B36" w:rsidRPr="00DE12A3" w:rsidRDefault="00242DA0" w:rsidP="00E20716">
      <w:pPr>
        <w:pStyle w:val="Gvdemetni255"/>
        <w:numPr>
          <w:ilvl w:val="0"/>
          <w:numId w:val="276"/>
        </w:numPr>
        <w:shd w:val="clear" w:color="auto" w:fill="FFFFFF" w:themeFill="background1"/>
        <w:tabs>
          <w:tab w:val="left" w:pos="922"/>
        </w:tabs>
        <w:spacing w:before="120" w:after="120" w:line="240" w:lineRule="auto"/>
        <w:ind w:left="1134" w:hanging="1134"/>
        <w:rPr>
          <w:color w:val="auto"/>
          <w:sz w:val="24"/>
          <w:szCs w:val="24"/>
        </w:rPr>
      </w:pPr>
      <w:r w:rsidRPr="00DE12A3">
        <w:rPr>
          <w:color w:val="auto"/>
          <w:sz w:val="24"/>
          <w:szCs w:val="24"/>
        </w:rPr>
        <w:t xml:space="preserve">Sistem </w:t>
      </w:r>
      <w:r w:rsidR="0053289F" w:rsidRPr="00DE12A3">
        <w:rPr>
          <w:color w:val="auto"/>
          <w:sz w:val="24"/>
          <w:szCs w:val="24"/>
        </w:rPr>
        <w:t>gereklilikleri</w:t>
      </w:r>
    </w:p>
    <w:p w14:paraId="44C7EB78" w14:textId="77777777" w:rsidR="002D7B36" w:rsidRPr="00DE12A3" w:rsidRDefault="00264524" w:rsidP="00C917D6">
      <w:pPr>
        <w:pStyle w:val="Gvdemetni255"/>
        <w:shd w:val="clear" w:color="auto" w:fill="FFFFFF" w:themeFill="background1"/>
        <w:spacing w:before="120" w:after="120" w:line="240" w:lineRule="auto"/>
        <w:ind w:left="1134" w:hanging="1134"/>
        <w:rPr>
          <w:color w:val="auto"/>
          <w:sz w:val="24"/>
          <w:szCs w:val="24"/>
        </w:rPr>
      </w:pPr>
      <w:r w:rsidRPr="00DE12A3">
        <w:rPr>
          <w:color w:val="auto"/>
          <w:sz w:val="24"/>
          <w:szCs w:val="24"/>
        </w:rPr>
        <w:lastRenderedPageBreak/>
        <w:t xml:space="preserve">                   </w:t>
      </w:r>
      <w:r w:rsidR="00242DA0" w:rsidRPr="00DE12A3">
        <w:rPr>
          <w:color w:val="auto"/>
          <w:sz w:val="24"/>
          <w:szCs w:val="24"/>
        </w:rPr>
        <w:t>Bir NO</w:t>
      </w:r>
      <w:r w:rsidR="00242DA0" w:rsidRPr="00DE12A3">
        <w:rPr>
          <w:color w:val="auto"/>
          <w:sz w:val="24"/>
          <w:szCs w:val="24"/>
          <w:vertAlign w:val="subscript"/>
        </w:rPr>
        <w:t>x</w:t>
      </w:r>
      <w:r w:rsidR="00242DA0" w:rsidRPr="00DE12A3">
        <w:rPr>
          <w:color w:val="auto"/>
          <w:sz w:val="24"/>
          <w:szCs w:val="24"/>
        </w:rPr>
        <w:t xml:space="preserve"> NDUV analiz cihazı, ortalama NO</w:t>
      </w:r>
      <w:r w:rsidR="00242DA0" w:rsidRPr="00DE12A3">
        <w:rPr>
          <w:color w:val="auto"/>
          <w:sz w:val="24"/>
          <w:szCs w:val="24"/>
          <w:vertAlign w:val="subscript"/>
        </w:rPr>
        <w:t>x</w:t>
      </w:r>
      <w:r w:rsidR="00242DA0" w:rsidRPr="00DE12A3">
        <w:rPr>
          <w:color w:val="auto"/>
          <w:sz w:val="24"/>
          <w:szCs w:val="24"/>
        </w:rPr>
        <w:t xml:space="preserve"> konsantrasyonu ± </w:t>
      </w:r>
      <w:r w:rsidR="004E7F54" w:rsidRPr="00DE12A3">
        <w:rPr>
          <w:color w:val="auto"/>
          <w:sz w:val="24"/>
          <w:szCs w:val="24"/>
        </w:rPr>
        <w:t>%2</w:t>
      </w:r>
      <w:r w:rsidR="00242DA0" w:rsidRPr="00DE12A3">
        <w:rPr>
          <w:color w:val="auto"/>
          <w:sz w:val="24"/>
          <w:szCs w:val="24"/>
        </w:rPr>
        <w:t xml:space="preserve"> aralığı içinde H</w:t>
      </w:r>
      <w:r w:rsidR="00242DA0" w:rsidRPr="00DE12A3">
        <w:rPr>
          <w:color w:val="auto"/>
          <w:sz w:val="24"/>
          <w:szCs w:val="24"/>
          <w:vertAlign w:val="subscript"/>
        </w:rPr>
        <w:t>2</w:t>
      </w:r>
      <w:r w:rsidR="00242DA0" w:rsidRPr="00DE12A3">
        <w:rPr>
          <w:color w:val="auto"/>
          <w:sz w:val="24"/>
          <w:szCs w:val="24"/>
        </w:rPr>
        <w:t>O ve HC karışmasını birleştirmiş olmalıdır.</w:t>
      </w:r>
    </w:p>
    <w:p w14:paraId="44A13316" w14:textId="77777777" w:rsidR="002D7B36" w:rsidRPr="00DE12A3" w:rsidRDefault="00242DA0" w:rsidP="00E20716">
      <w:pPr>
        <w:pStyle w:val="Gvdemetni255"/>
        <w:numPr>
          <w:ilvl w:val="0"/>
          <w:numId w:val="276"/>
        </w:numPr>
        <w:shd w:val="clear" w:color="auto" w:fill="FFFFFF" w:themeFill="background1"/>
        <w:spacing w:before="120" w:after="120" w:line="240" w:lineRule="auto"/>
        <w:ind w:left="1134" w:hanging="1134"/>
        <w:rPr>
          <w:color w:val="auto"/>
          <w:sz w:val="24"/>
          <w:szCs w:val="24"/>
        </w:rPr>
      </w:pPr>
      <w:r w:rsidRPr="00DE12A3">
        <w:rPr>
          <w:color w:val="auto"/>
          <w:sz w:val="24"/>
          <w:szCs w:val="24"/>
        </w:rPr>
        <w:t>Prosedür</w:t>
      </w:r>
    </w:p>
    <w:p w14:paraId="77319A52" w14:textId="77777777" w:rsidR="002D7B36" w:rsidRPr="00DE12A3" w:rsidRDefault="00264524" w:rsidP="00C917D6">
      <w:pPr>
        <w:pStyle w:val="Gvdemetni255"/>
        <w:shd w:val="clear" w:color="auto" w:fill="FFFFFF" w:themeFill="background1"/>
        <w:spacing w:before="120" w:after="120" w:line="240" w:lineRule="auto"/>
        <w:ind w:left="1134" w:hanging="1134"/>
        <w:rPr>
          <w:color w:val="auto"/>
          <w:sz w:val="24"/>
          <w:szCs w:val="24"/>
        </w:rPr>
      </w:pPr>
      <w:r w:rsidRPr="00DE12A3">
        <w:rPr>
          <w:color w:val="auto"/>
          <w:sz w:val="24"/>
          <w:szCs w:val="24"/>
        </w:rPr>
        <w:t xml:space="preserve">                   </w:t>
      </w:r>
      <w:r w:rsidR="00242DA0" w:rsidRPr="00DE12A3">
        <w:rPr>
          <w:color w:val="auto"/>
          <w:sz w:val="24"/>
          <w:szCs w:val="24"/>
        </w:rPr>
        <w:t>Karışma doğrulaması aşağıdaki şekilde yapılmalıdır:</w:t>
      </w:r>
    </w:p>
    <w:p w14:paraId="44FA38FF" w14:textId="7B6B0F02" w:rsidR="002D7B36" w:rsidRPr="00DE12A3" w:rsidRDefault="00264524" w:rsidP="00E20716">
      <w:pPr>
        <w:pStyle w:val="Gvdemetni255"/>
        <w:numPr>
          <w:ilvl w:val="0"/>
          <w:numId w:val="277"/>
        </w:numPr>
        <w:shd w:val="clear" w:color="auto" w:fill="FFFFFF" w:themeFill="background1"/>
        <w:spacing w:before="120" w:after="120" w:line="240" w:lineRule="auto"/>
        <w:ind w:left="1701" w:hanging="567"/>
        <w:rPr>
          <w:color w:val="auto"/>
          <w:sz w:val="24"/>
          <w:szCs w:val="24"/>
        </w:rPr>
      </w:pPr>
      <w:r w:rsidRPr="00DE12A3">
        <w:rPr>
          <w:color w:val="auto"/>
          <w:sz w:val="24"/>
          <w:szCs w:val="24"/>
        </w:rPr>
        <w:t xml:space="preserve">    </w:t>
      </w:r>
      <w:r w:rsidR="00242DA0" w:rsidRPr="00DE12A3">
        <w:rPr>
          <w:color w:val="auto"/>
          <w:sz w:val="24"/>
          <w:szCs w:val="24"/>
        </w:rPr>
        <w:t>NO</w:t>
      </w:r>
      <w:r w:rsidR="00242DA0" w:rsidRPr="00DE12A3">
        <w:rPr>
          <w:color w:val="auto"/>
          <w:sz w:val="24"/>
          <w:szCs w:val="24"/>
          <w:vertAlign w:val="subscript"/>
        </w:rPr>
        <w:t>x</w:t>
      </w:r>
      <w:r w:rsidR="00242DA0" w:rsidRPr="00DE12A3">
        <w:rPr>
          <w:color w:val="auto"/>
          <w:sz w:val="24"/>
          <w:szCs w:val="24"/>
        </w:rPr>
        <w:t xml:space="preserve"> NDUV analiz cihazı, cihaz imalatçısının talimatlarına göre çalıştırılmalı, işletilmeli, sıfırlanmalı ve ayarlanmalıdır</w:t>
      </w:r>
      <w:r w:rsidR="00F70790" w:rsidRPr="00DE12A3">
        <w:rPr>
          <w:color w:val="auto"/>
          <w:sz w:val="24"/>
          <w:szCs w:val="24"/>
        </w:rPr>
        <w:t>.</w:t>
      </w:r>
    </w:p>
    <w:p w14:paraId="4E695631" w14:textId="552BC7B8" w:rsidR="002D7B36" w:rsidRPr="00DE12A3" w:rsidRDefault="00242DA0" w:rsidP="00E20716">
      <w:pPr>
        <w:pStyle w:val="Gvdemetni255"/>
        <w:numPr>
          <w:ilvl w:val="0"/>
          <w:numId w:val="277"/>
        </w:numPr>
        <w:shd w:val="clear" w:color="auto" w:fill="FFFFFF" w:themeFill="background1"/>
        <w:tabs>
          <w:tab w:val="left" w:pos="1203"/>
        </w:tabs>
        <w:spacing w:before="120" w:after="120" w:line="240" w:lineRule="auto"/>
        <w:ind w:left="1701" w:hanging="567"/>
        <w:rPr>
          <w:color w:val="auto"/>
          <w:sz w:val="24"/>
          <w:szCs w:val="24"/>
        </w:rPr>
      </w:pPr>
      <w:r w:rsidRPr="00DE12A3">
        <w:rPr>
          <w:color w:val="auto"/>
          <w:sz w:val="24"/>
          <w:szCs w:val="24"/>
        </w:rPr>
        <w:t>Bu doğrulamanın gerçekleştirilmesi için motor egzoz gazının çıkarılması önerilir. Egzoz gazındaki NO</w:t>
      </w:r>
      <w:r w:rsidRPr="00DE12A3">
        <w:rPr>
          <w:color w:val="auto"/>
          <w:sz w:val="24"/>
          <w:szCs w:val="24"/>
          <w:vertAlign w:val="subscript"/>
        </w:rPr>
        <w:t>x</w:t>
      </w:r>
      <w:r w:rsidRPr="00DE12A3">
        <w:rPr>
          <w:color w:val="auto"/>
          <w:sz w:val="24"/>
          <w:szCs w:val="24"/>
        </w:rPr>
        <w:t xml:space="preserve"> değerini ölçmek için 9.4 bendindeki </w:t>
      </w:r>
      <w:r w:rsidR="0053289F" w:rsidRPr="00DE12A3">
        <w:rPr>
          <w:color w:val="auto"/>
          <w:sz w:val="24"/>
          <w:szCs w:val="24"/>
        </w:rPr>
        <w:t>gereklilikleri</w:t>
      </w:r>
      <w:r w:rsidRPr="00DE12A3">
        <w:rPr>
          <w:color w:val="auto"/>
          <w:sz w:val="24"/>
          <w:szCs w:val="24"/>
        </w:rPr>
        <w:t xml:space="preserve"> sağlayan bir CLD kullanılmalıdır. CLD tepkisi referans değer olarak kullanılmalıdır. Ayrıca 9.4 bendinin </w:t>
      </w:r>
      <w:r w:rsidR="0053289F" w:rsidRPr="00DE12A3">
        <w:rPr>
          <w:color w:val="auto"/>
          <w:sz w:val="24"/>
          <w:szCs w:val="24"/>
        </w:rPr>
        <w:t>gerekliliklerini</w:t>
      </w:r>
      <w:r w:rsidRPr="00DE12A3">
        <w:rPr>
          <w:color w:val="auto"/>
          <w:sz w:val="24"/>
          <w:szCs w:val="24"/>
        </w:rPr>
        <w:t xml:space="preserve"> sağlayan bir FID analiz cihazı ile egzoz gazının içindeki HC de ölçülmelidir. FID tepkisi referans hidrokarbon değeri olarak kullanılmalıdır</w:t>
      </w:r>
      <w:r w:rsidR="00F70790" w:rsidRPr="00DE12A3">
        <w:rPr>
          <w:color w:val="auto"/>
          <w:sz w:val="24"/>
          <w:szCs w:val="24"/>
        </w:rPr>
        <w:t>.</w:t>
      </w:r>
    </w:p>
    <w:p w14:paraId="3A1C818C" w14:textId="0B99D1C3" w:rsidR="002D7B36" w:rsidRPr="00DE12A3" w:rsidRDefault="00264524" w:rsidP="00E20716">
      <w:pPr>
        <w:pStyle w:val="Gvdemetni255"/>
        <w:numPr>
          <w:ilvl w:val="0"/>
          <w:numId w:val="277"/>
        </w:numPr>
        <w:shd w:val="clear" w:color="auto" w:fill="FFFFFF" w:themeFill="background1"/>
        <w:tabs>
          <w:tab w:val="left" w:pos="1203"/>
        </w:tabs>
        <w:spacing w:before="120" w:after="120" w:line="240" w:lineRule="auto"/>
        <w:ind w:left="1701" w:hanging="567"/>
        <w:rPr>
          <w:color w:val="auto"/>
          <w:sz w:val="24"/>
          <w:szCs w:val="24"/>
        </w:rPr>
      </w:pPr>
      <w:r w:rsidRPr="00DE12A3">
        <w:rPr>
          <w:color w:val="auto"/>
          <w:sz w:val="24"/>
          <w:szCs w:val="24"/>
        </w:rPr>
        <w:t xml:space="preserve">     </w:t>
      </w:r>
      <w:r w:rsidR="00242DA0" w:rsidRPr="00DE12A3">
        <w:rPr>
          <w:color w:val="auto"/>
          <w:sz w:val="24"/>
          <w:szCs w:val="24"/>
        </w:rPr>
        <w:t>Eğer test sırasında kullanıldıysa, her numune kurutucunun giriş tarafından, motor egzoz gazı NDUV analiz cihazına beslenir</w:t>
      </w:r>
      <w:r w:rsidR="00F70790" w:rsidRPr="00DE12A3">
        <w:rPr>
          <w:color w:val="auto"/>
          <w:sz w:val="24"/>
          <w:szCs w:val="24"/>
        </w:rPr>
        <w:t>.</w:t>
      </w:r>
    </w:p>
    <w:p w14:paraId="72A2B957" w14:textId="2710D93E" w:rsidR="002D7B36" w:rsidRPr="00DE12A3" w:rsidRDefault="00242DA0" w:rsidP="00E20716">
      <w:pPr>
        <w:pStyle w:val="Gvdemetni255"/>
        <w:numPr>
          <w:ilvl w:val="0"/>
          <w:numId w:val="277"/>
        </w:numPr>
        <w:shd w:val="clear" w:color="auto" w:fill="FFFFFF" w:themeFill="background1"/>
        <w:tabs>
          <w:tab w:val="left" w:pos="1203"/>
        </w:tabs>
        <w:spacing w:before="120" w:after="120" w:line="240" w:lineRule="auto"/>
        <w:ind w:left="1701" w:hanging="567"/>
        <w:rPr>
          <w:color w:val="auto"/>
          <w:sz w:val="24"/>
          <w:szCs w:val="24"/>
        </w:rPr>
      </w:pPr>
      <w:r w:rsidRPr="00DE12A3">
        <w:rPr>
          <w:color w:val="auto"/>
          <w:sz w:val="24"/>
          <w:szCs w:val="24"/>
        </w:rPr>
        <w:t>Analiz cihazı tepkisinin dengelenmesi için süre tanınmalıdır. Dengelenme süresi, aktarım hattı temizleme ve analiz cihazı tepkisini hesaba katma süresini içerebilir</w:t>
      </w:r>
      <w:r w:rsidR="00F70790" w:rsidRPr="00DE12A3">
        <w:rPr>
          <w:color w:val="auto"/>
          <w:sz w:val="24"/>
          <w:szCs w:val="24"/>
        </w:rPr>
        <w:t>.</w:t>
      </w:r>
    </w:p>
    <w:p w14:paraId="67AD2481" w14:textId="4C6AEA3A" w:rsidR="002D7B36" w:rsidRPr="00DE12A3" w:rsidRDefault="00264524" w:rsidP="00E20716">
      <w:pPr>
        <w:pStyle w:val="Gvdemetni255"/>
        <w:numPr>
          <w:ilvl w:val="0"/>
          <w:numId w:val="277"/>
        </w:numPr>
        <w:shd w:val="clear" w:color="auto" w:fill="FFFFFF" w:themeFill="background1"/>
        <w:tabs>
          <w:tab w:val="left" w:pos="1203"/>
        </w:tabs>
        <w:spacing w:before="120" w:after="120" w:line="240" w:lineRule="auto"/>
        <w:ind w:left="1701" w:hanging="567"/>
        <w:rPr>
          <w:color w:val="auto"/>
          <w:sz w:val="24"/>
          <w:szCs w:val="24"/>
        </w:rPr>
      </w:pPr>
      <w:r w:rsidRPr="00DE12A3">
        <w:rPr>
          <w:color w:val="auto"/>
          <w:sz w:val="24"/>
          <w:szCs w:val="24"/>
        </w:rPr>
        <w:t xml:space="preserve">     </w:t>
      </w:r>
      <w:r w:rsidR="00242DA0" w:rsidRPr="00DE12A3">
        <w:rPr>
          <w:color w:val="auto"/>
          <w:sz w:val="24"/>
          <w:szCs w:val="24"/>
        </w:rPr>
        <w:t>Tüm analiz cihazları numunenin konsantrasyonunu ölçerken, 30 sn örneklenmiş veriler kaydedilmeli ve bu üç analiz cihazı için aritmetik ortalamalar hesaplanmalıdır</w:t>
      </w:r>
      <w:r w:rsidR="00F70790" w:rsidRPr="00DE12A3">
        <w:rPr>
          <w:color w:val="auto"/>
          <w:sz w:val="24"/>
          <w:szCs w:val="24"/>
        </w:rPr>
        <w:t>.</w:t>
      </w:r>
    </w:p>
    <w:p w14:paraId="785E6A43" w14:textId="3CA89095" w:rsidR="002D7B36" w:rsidRPr="00DE12A3" w:rsidRDefault="00264524" w:rsidP="00E20716">
      <w:pPr>
        <w:pStyle w:val="Gvdemetni255"/>
        <w:numPr>
          <w:ilvl w:val="0"/>
          <w:numId w:val="277"/>
        </w:numPr>
        <w:shd w:val="clear" w:color="auto" w:fill="FFFFFF" w:themeFill="background1"/>
        <w:tabs>
          <w:tab w:val="left" w:pos="1203"/>
        </w:tabs>
        <w:spacing w:before="120" w:after="120" w:line="240" w:lineRule="auto"/>
        <w:ind w:left="1701" w:hanging="567"/>
        <w:rPr>
          <w:color w:val="auto"/>
          <w:sz w:val="24"/>
          <w:szCs w:val="24"/>
        </w:rPr>
      </w:pPr>
      <w:r w:rsidRPr="00DE12A3">
        <w:rPr>
          <w:color w:val="auto"/>
          <w:sz w:val="24"/>
          <w:szCs w:val="24"/>
        </w:rPr>
        <w:t xml:space="preserve">    </w:t>
      </w:r>
      <w:r w:rsidR="00242DA0" w:rsidRPr="00DE12A3">
        <w:rPr>
          <w:color w:val="auto"/>
          <w:sz w:val="24"/>
          <w:szCs w:val="24"/>
        </w:rPr>
        <w:t>CLD ortalaması NDUV ortalamasından çıkarılmalıdır</w:t>
      </w:r>
      <w:r w:rsidR="00F70790" w:rsidRPr="00DE12A3">
        <w:rPr>
          <w:color w:val="auto"/>
          <w:sz w:val="24"/>
          <w:szCs w:val="24"/>
        </w:rPr>
        <w:t>.</w:t>
      </w:r>
    </w:p>
    <w:p w14:paraId="591F80C7" w14:textId="29BF71FB" w:rsidR="002D7B36" w:rsidRPr="00DE12A3" w:rsidRDefault="00242DA0" w:rsidP="00E20716">
      <w:pPr>
        <w:pStyle w:val="Gvdemetni255"/>
        <w:numPr>
          <w:ilvl w:val="0"/>
          <w:numId w:val="277"/>
        </w:numPr>
        <w:shd w:val="clear" w:color="auto" w:fill="auto"/>
        <w:tabs>
          <w:tab w:val="left" w:pos="1134"/>
        </w:tabs>
        <w:spacing w:before="120" w:after="120" w:line="240" w:lineRule="auto"/>
        <w:ind w:left="1701" w:hanging="567"/>
        <w:rPr>
          <w:color w:val="auto"/>
          <w:sz w:val="24"/>
          <w:szCs w:val="24"/>
        </w:rPr>
      </w:pPr>
      <w:r w:rsidRPr="00DE12A3">
        <w:rPr>
          <w:color w:val="auto"/>
          <w:sz w:val="24"/>
          <w:szCs w:val="24"/>
        </w:rPr>
        <w:t xml:space="preserve">Bu fark, beklenen ortalama HC konsantrasyonunun, doğrulama sırasında ölçülen HC konsantrasyonuna oranı ile çarpılmalıdır. Bu sonuç, (6-25) </w:t>
      </w:r>
      <w:r w:rsidR="005E1C7E" w:rsidRPr="00DE12A3">
        <w:rPr>
          <w:color w:val="auto"/>
          <w:sz w:val="24"/>
          <w:szCs w:val="24"/>
        </w:rPr>
        <w:t>numaralı</w:t>
      </w:r>
      <w:r w:rsidR="005E1C7E" w:rsidRPr="00DE12A3" w:rsidDel="005E1C7E">
        <w:rPr>
          <w:color w:val="auto"/>
          <w:sz w:val="24"/>
          <w:szCs w:val="24"/>
        </w:rPr>
        <w:t xml:space="preserve"> </w:t>
      </w:r>
      <w:r w:rsidRPr="00DE12A3">
        <w:rPr>
          <w:color w:val="auto"/>
          <w:sz w:val="24"/>
          <w:szCs w:val="24"/>
        </w:rPr>
        <w:t xml:space="preserve">denklemde belirtildiği gibi, emisyon sınır değerinde beklenen NOx konsantrasyonu ± </w:t>
      </w:r>
      <w:r w:rsidR="00966EFF" w:rsidRPr="00DE12A3">
        <w:rPr>
          <w:color w:val="auto"/>
          <w:sz w:val="24"/>
          <w:szCs w:val="24"/>
        </w:rPr>
        <w:t>%2</w:t>
      </w:r>
      <w:r w:rsidRPr="00DE12A3">
        <w:rPr>
          <w:color w:val="auto"/>
          <w:sz w:val="24"/>
          <w:szCs w:val="24"/>
        </w:rPr>
        <w:t xml:space="preserve"> aralığı içinde ise, analiz cihazı bu bendin karışma doğrulamasını sağlar: </w:t>
      </w:r>
    </w:p>
    <w:tbl>
      <w:tblPr>
        <w:tblW w:w="7986" w:type="dxa"/>
        <w:tblInd w:w="1530" w:type="dxa"/>
        <w:tblLayout w:type="fixed"/>
        <w:tblLook w:val="0000" w:firstRow="0" w:lastRow="0" w:firstColumn="0" w:lastColumn="0" w:noHBand="0" w:noVBand="0"/>
      </w:tblPr>
      <w:tblGrid>
        <w:gridCol w:w="7028"/>
        <w:gridCol w:w="958"/>
      </w:tblGrid>
      <w:tr w:rsidR="00DE12A3" w:rsidRPr="00DE12A3" w14:paraId="697684A6" w14:textId="77777777" w:rsidTr="00C57699">
        <w:tc>
          <w:tcPr>
            <w:tcW w:w="7028" w:type="dxa"/>
          </w:tcPr>
          <w:p w14:paraId="0BE853EC" w14:textId="16FB5F3E" w:rsidR="00264524" w:rsidRPr="00DE12A3" w:rsidRDefault="00264524" w:rsidP="00C917D6">
            <w:pPr>
              <w:pStyle w:val="NormalLeft"/>
            </w:pPr>
            <w:r w:rsidRPr="00DE12A3">
              <w:rPr>
                <w:noProof/>
                <w:lang w:val="tr-TR"/>
              </w:rPr>
              <w:drawing>
                <wp:inline distT="0" distB="0" distL="0" distR="0" wp14:anchorId="7941C0AA" wp14:editId="0F8CE82C">
                  <wp:extent cx="4003040" cy="476250"/>
                  <wp:effectExtent l="0" t="0" r="0" b="0"/>
                  <wp:docPr id="40" name="Resim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4129508" cy="491296"/>
                          </a:xfrm>
                          <a:prstGeom prst="rect">
                            <a:avLst/>
                          </a:prstGeom>
                          <a:noFill/>
                          <a:ln>
                            <a:noFill/>
                          </a:ln>
                        </pic:spPr>
                      </pic:pic>
                    </a:graphicData>
                  </a:graphic>
                </wp:inline>
              </w:drawing>
            </w:r>
          </w:p>
        </w:tc>
        <w:tc>
          <w:tcPr>
            <w:tcW w:w="958" w:type="dxa"/>
          </w:tcPr>
          <w:p w14:paraId="6AE83642" w14:textId="77777777" w:rsidR="00264524" w:rsidRPr="00DE12A3" w:rsidRDefault="00264524" w:rsidP="00C917D6">
            <w:pPr>
              <w:pStyle w:val="NormalLeft"/>
            </w:pPr>
            <w:r w:rsidRPr="00DE12A3">
              <w:t>(6-25)</w:t>
            </w:r>
          </w:p>
        </w:tc>
      </w:tr>
    </w:tbl>
    <w:p w14:paraId="02CBCC1E" w14:textId="77777777" w:rsidR="002D7B36" w:rsidRPr="00DE12A3" w:rsidRDefault="00242DA0" w:rsidP="00C917D6">
      <w:pPr>
        <w:pStyle w:val="Gvdemetni255"/>
        <w:shd w:val="clear" w:color="auto" w:fill="FFFFFF" w:themeFill="background1"/>
        <w:spacing w:before="120" w:after="120" w:line="240" w:lineRule="auto"/>
        <w:ind w:left="1134" w:firstLine="0"/>
        <w:rPr>
          <w:color w:val="auto"/>
          <w:sz w:val="24"/>
          <w:szCs w:val="24"/>
        </w:rPr>
      </w:pPr>
      <w:r w:rsidRPr="00DE12A3">
        <w:rPr>
          <w:color w:val="auto"/>
          <w:sz w:val="24"/>
          <w:szCs w:val="24"/>
        </w:rPr>
        <w:t>Burada:</w:t>
      </w:r>
    </w:p>
    <w:p w14:paraId="5F625F62" w14:textId="77777777" w:rsidR="002D7B36" w:rsidRPr="00DE12A3" w:rsidRDefault="00242DA0" w:rsidP="00C917D6">
      <w:pPr>
        <w:pStyle w:val="Gvdemetni255"/>
        <w:shd w:val="clear" w:color="auto" w:fill="FFFFFF" w:themeFill="background1"/>
        <w:tabs>
          <w:tab w:val="left" w:pos="2552"/>
        </w:tabs>
        <w:spacing w:before="120" w:after="120" w:line="240" w:lineRule="auto"/>
        <w:ind w:left="1134" w:firstLine="0"/>
        <w:rPr>
          <w:color w:val="auto"/>
          <w:sz w:val="24"/>
          <w:szCs w:val="24"/>
        </w:rPr>
      </w:pPr>
      <w:r w:rsidRPr="00DE12A3">
        <w:rPr>
          <w:i/>
          <w:iCs/>
          <w:color w:val="auto"/>
          <w:sz w:val="24"/>
          <w:szCs w:val="24"/>
        </w:rPr>
        <w:t>x</w:t>
      </w:r>
      <w:r w:rsidRPr="00DE12A3">
        <w:rPr>
          <w:color w:val="auto"/>
          <w:sz w:val="24"/>
          <w:szCs w:val="24"/>
          <w:vertAlign w:val="subscript"/>
        </w:rPr>
        <w:t>NOx,CLD,meas</w:t>
      </w:r>
      <w:r w:rsidRPr="00DE12A3">
        <w:rPr>
          <w:color w:val="auto"/>
          <w:sz w:val="24"/>
          <w:szCs w:val="24"/>
        </w:rPr>
        <w:tab/>
        <w:t>CLD ile ölçülen ortalama NO</w:t>
      </w:r>
      <w:r w:rsidRPr="00DE12A3">
        <w:rPr>
          <w:color w:val="auto"/>
          <w:sz w:val="24"/>
          <w:szCs w:val="24"/>
          <w:vertAlign w:val="subscript"/>
        </w:rPr>
        <w:t>x</w:t>
      </w:r>
      <w:r w:rsidRPr="00DE12A3">
        <w:rPr>
          <w:color w:val="auto"/>
          <w:sz w:val="24"/>
          <w:szCs w:val="24"/>
        </w:rPr>
        <w:t xml:space="preserve"> konsantrasyonu [μmol/mol] veya [ppm]</w:t>
      </w:r>
    </w:p>
    <w:p w14:paraId="5BF20D31" w14:textId="77777777" w:rsidR="002D7B36" w:rsidRPr="00DE12A3" w:rsidRDefault="00242DA0" w:rsidP="00C917D6">
      <w:pPr>
        <w:pStyle w:val="Gvdemetni255"/>
        <w:shd w:val="clear" w:color="auto" w:fill="FFFFFF" w:themeFill="background1"/>
        <w:tabs>
          <w:tab w:val="left" w:pos="2552"/>
          <w:tab w:val="left" w:pos="2590"/>
        </w:tabs>
        <w:spacing w:before="120" w:after="120" w:line="240" w:lineRule="auto"/>
        <w:ind w:left="1134" w:firstLine="0"/>
        <w:rPr>
          <w:color w:val="auto"/>
          <w:sz w:val="24"/>
          <w:szCs w:val="24"/>
        </w:rPr>
      </w:pPr>
      <w:r w:rsidRPr="00DE12A3">
        <w:rPr>
          <w:rFonts w:eastAsia="Courier New"/>
          <w:i/>
          <w:iCs/>
          <w:color w:val="auto"/>
          <w:spacing w:val="4"/>
          <w:sz w:val="24"/>
          <w:szCs w:val="24"/>
        </w:rPr>
        <w:t>x</w:t>
      </w:r>
      <w:r w:rsidRPr="00DE12A3">
        <w:rPr>
          <w:rFonts w:eastAsia="Courier New"/>
          <w:color w:val="auto"/>
          <w:spacing w:val="4"/>
          <w:sz w:val="24"/>
          <w:szCs w:val="24"/>
          <w:vertAlign w:val="subscript"/>
        </w:rPr>
        <w:t>NOx,NDuV,meas</w:t>
      </w:r>
      <w:r w:rsidRPr="00DE12A3">
        <w:rPr>
          <w:rFonts w:eastAsia="Courier New"/>
          <w:color w:val="auto"/>
          <w:spacing w:val="4"/>
          <w:sz w:val="24"/>
          <w:szCs w:val="24"/>
        </w:rPr>
        <w:tab/>
        <w:t>NDUV ile ölçülen ortalama NO</w:t>
      </w:r>
      <w:r w:rsidRPr="00DE12A3">
        <w:rPr>
          <w:rFonts w:eastAsia="Courier New"/>
          <w:color w:val="auto"/>
          <w:spacing w:val="4"/>
          <w:sz w:val="24"/>
          <w:szCs w:val="24"/>
          <w:vertAlign w:val="subscript"/>
        </w:rPr>
        <w:t>x</w:t>
      </w:r>
      <w:r w:rsidRPr="00DE12A3">
        <w:rPr>
          <w:rFonts w:eastAsia="Courier New"/>
          <w:color w:val="auto"/>
          <w:spacing w:val="4"/>
          <w:sz w:val="24"/>
          <w:szCs w:val="24"/>
        </w:rPr>
        <w:t xml:space="preserve"> konsantrasyonu [μmol/mol] veya [ppm]</w:t>
      </w:r>
    </w:p>
    <w:p w14:paraId="6FF0F26E" w14:textId="77777777" w:rsidR="002D7B36" w:rsidRPr="00DE12A3" w:rsidRDefault="00242DA0" w:rsidP="00C917D6">
      <w:pPr>
        <w:pStyle w:val="Gvdemetni255"/>
        <w:shd w:val="clear" w:color="auto" w:fill="FFFFFF" w:themeFill="background1"/>
        <w:tabs>
          <w:tab w:val="left" w:pos="2552"/>
        </w:tabs>
        <w:spacing w:before="120" w:after="120" w:line="240" w:lineRule="auto"/>
        <w:ind w:left="1134" w:firstLine="0"/>
        <w:rPr>
          <w:color w:val="auto"/>
          <w:sz w:val="24"/>
          <w:szCs w:val="24"/>
        </w:rPr>
      </w:pPr>
      <w:r w:rsidRPr="00DE12A3">
        <w:rPr>
          <w:i/>
          <w:iCs/>
          <w:color w:val="auto"/>
          <w:sz w:val="24"/>
          <w:szCs w:val="24"/>
        </w:rPr>
        <w:t>x</w:t>
      </w:r>
      <w:r w:rsidRPr="00DE12A3">
        <w:rPr>
          <w:color w:val="auto"/>
          <w:sz w:val="24"/>
          <w:szCs w:val="24"/>
          <w:vertAlign w:val="subscript"/>
        </w:rPr>
        <w:t>HC,meas</w:t>
      </w:r>
      <w:r w:rsidRPr="00DE12A3">
        <w:rPr>
          <w:rStyle w:val="Gvdemetni2585pt0ptbolukbraklyor3"/>
          <w:color w:val="auto"/>
          <w:sz w:val="24"/>
          <w:szCs w:val="24"/>
          <w:lang w:val="tr-TR"/>
        </w:rPr>
        <w:tab/>
      </w:r>
      <w:r w:rsidRPr="00DE12A3">
        <w:rPr>
          <w:color w:val="auto"/>
          <w:sz w:val="24"/>
          <w:szCs w:val="24"/>
        </w:rPr>
        <w:t>ölçülen ortalama HC konsantrasyonu [μmol/mol] veya [ppm]</w:t>
      </w:r>
    </w:p>
    <w:p w14:paraId="099159CE" w14:textId="77777777" w:rsidR="002D7B36" w:rsidRPr="00DE12A3" w:rsidRDefault="00242DA0" w:rsidP="00C917D6">
      <w:pPr>
        <w:pStyle w:val="Gvdemetni255"/>
        <w:shd w:val="clear" w:color="auto" w:fill="FFFFFF" w:themeFill="background1"/>
        <w:tabs>
          <w:tab w:val="left" w:pos="2552"/>
        </w:tabs>
        <w:spacing w:before="120" w:after="120" w:line="240" w:lineRule="auto"/>
        <w:ind w:left="1134" w:firstLine="0"/>
        <w:rPr>
          <w:color w:val="auto"/>
          <w:sz w:val="24"/>
          <w:szCs w:val="24"/>
        </w:rPr>
      </w:pPr>
      <w:r w:rsidRPr="00DE12A3">
        <w:rPr>
          <w:i/>
          <w:iCs/>
          <w:color w:val="auto"/>
          <w:sz w:val="24"/>
          <w:szCs w:val="24"/>
        </w:rPr>
        <w:t>x</w:t>
      </w:r>
      <w:r w:rsidRPr="00DE12A3">
        <w:rPr>
          <w:color w:val="auto"/>
          <w:sz w:val="24"/>
          <w:szCs w:val="24"/>
          <w:vertAlign w:val="subscript"/>
        </w:rPr>
        <w:t>HC,exp</w:t>
      </w:r>
      <w:r w:rsidRPr="00DE12A3">
        <w:rPr>
          <w:color w:val="auto"/>
          <w:sz w:val="24"/>
          <w:szCs w:val="24"/>
        </w:rPr>
        <w:tab/>
        <w:t>standartta beklenen ortalama HC konsantrasyonu [μmol/mol] veya [ppm]</w:t>
      </w:r>
    </w:p>
    <w:p w14:paraId="282EE06C" w14:textId="77777777" w:rsidR="002D7B36" w:rsidRPr="00DE12A3" w:rsidRDefault="00242DA0" w:rsidP="00C917D6">
      <w:pPr>
        <w:pStyle w:val="Gvdemetni255"/>
        <w:shd w:val="clear" w:color="auto" w:fill="FFFFFF" w:themeFill="background1"/>
        <w:tabs>
          <w:tab w:val="left" w:pos="2552"/>
        </w:tabs>
        <w:spacing w:before="120" w:after="120" w:line="240" w:lineRule="auto"/>
        <w:ind w:left="1134" w:firstLine="0"/>
        <w:rPr>
          <w:color w:val="auto"/>
          <w:sz w:val="24"/>
          <w:szCs w:val="24"/>
        </w:rPr>
      </w:pPr>
      <w:r w:rsidRPr="00DE12A3">
        <w:rPr>
          <w:i/>
          <w:iCs/>
          <w:color w:val="auto"/>
          <w:sz w:val="24"/>
          <w:szCs w:val="24"/>
        </w:rPr>
        <w:t>x</w:t>
      </w:r>
      <w:r w:rsidRPr="00DE12A3">
        <w:rPr>
          <w:color w:val="auto"/>
          <w:sz w:val="24"/>
          <w:szCs w:val="24"/>
          <w:vertAlign w:val="subscript"/>
        </w:rPr>
        <w:t>NOx,exp</w:t>
      </w:r>
      <w:r w:rsidRPr="00DE12A3">
        <w:rPr>
          <w:color w:val="auto"/>
          <w:sz w:val="24"/>
          <w:szCs w:val="24"/>
        </w:rPr>
        <w:tab/>
        <w:t>standartta beklenen ortalama NO</w:t>
      </w:r>
      <w:r w:rsidRPr="00DE12A3">
        <w:rPr>
          <w:color w:val="auto"/>
          <w:sz w:val="24"/>
          <w:szCs w:val="24"/>
          <w:vertAlign w:val="subscript"/>
        </w:rPr>
        <w:t>x</w:t>
      </w:r>
      <w:r w:rsidRPr="00DE12A3">
        <w:rPr>
          <w:color w:val="auto"/>
          <w:sz w:val="24"/>
          <w:szCs w:val="24"/>
        </w:rPr>
        <w:t xml:space="preserve"> konsantrasyonu [μmol/mol] veya [ppm]</w:t>
      </w:r>
    </w:p>
    <w:p w14:paraId="296445A2" w14:textId="77777777" w:rsidR="002D7B36" w:rsidRPr="00DE12A3" w:rsidRDefault="00242DA0" w:rsidP="00E20716">
      <w:pPr>
        <w:pStyle w:val="Gvdemetni255"/>
        <w:numPr>
          <w:ilvl w:val="0"/>
          <w:numId w:val="278"/>
        </w:numPr>
        <w:shd w:val="clear" w:color="auto" w:fill="FFFFFF" w:themeFill="background1"/>
        <w:spacing w:before="120" w:after="120" w:line="240" w:lineRule="auto"/>
        <w:ind w:left="1134" w:hanging="1134"/>
        <w:rPr>
          <w:color w:val="auto"/>
          <w:sz w:val="24"/>
          <w:szCs w:val="24"/>
        </w:rPr>
      </w:pPr>
      <w:r w:rsidRPr="00DE12A3">
        <w:rPr>
          <w:color w:val="auto"/>
          <w:sz w:val="24"/>
          <w:szCs w:val="24"/>
        </w:rPr>
        <w:t>Numune kurutucu NO</w:t>
      </w:r>
      <w:r w:rsidRPr="00DE12A3">
        <w:rPr>
          <w:color w:val="auto"/>
          <w:sz w:val="24"/>
          <w:szCs w:val="24"/>
          <w:vertAlign w:val="subscript"/>
        </w:rPr>
        <w:t>2</w:t>
      </w:r>
      <w:r w:rsidRPr="00DE12A3">
        <w:rPr>
          <w:color w:val="auto"/>
          <w:sz w:val="24"/>
          <w:szCs w:val="24"/>
        </w:rPr>
        <w:t xml:space="preserve"> penetrasyonu</w:t>
      </w:r>
    </w:p>
    <w:p w14:paraId="06D02CC0" w14:textId="77777777" w:rsidR="002D7B36" w:rsidRPr="00DE12A3" w:rsidRDefault="00242DA0" w:rsidP="00E20716">
      <w:pPr>
        <w:pStyle w:val="Gvdemetni255"/>
        <w:numPr>
          <w:ilvl w:val="0"/>
          <w:numId w:val="279"/>
        </w:numPr>
        <w:shd w:val="clear" w:color="auto" w:fill="FFFFFF" w:themeFill="background1"/>
        <w:spacing w:before="120" w:after="120" w:line="240" w:lineRule="auto"/>
        <w:ind w:left="1134" w:hanging="1134"/>
        <w:rPr>
          <w:color w:val="auto"/>
          <w:sz w:val="24"/>
          <w:szCs w:val="24"/>
        </w:rPr>
      </w:pPr>
      <w:r w:rsidRPr="00DE12A3">
        <w:rPr>
          <w:color w:val="auto"/>
          <w:sz w:val="24"/>
          <w:szCs w:val="24"/>
        </w:rPr>
        <w:t>Kapsam ve sıklık</w:t>
      </w:r>
    </w:p>
    <w:p w14:paraId="7B516D81" w14:textId="77777777" w:rsidR="002D7B36" w:rsidRPr="00DE12A3" w:rsidRDefault="00C57699" w:rsidP="00C917D6">
      <w:pPr>
        <w:pStyle w:val="Gvdemetni255"/>
        <w:shd w:val="clear" w:color="auto" w:fill="FFFFFF" w:themeFill="background1"/>
        <w:spacing w:before="120" w:after="120" w:line="240" w:lineRule="auto"/>
        <w:ind w:left="1134" w:hanging="1134"/>
        <w:rPr>
          <w:color w:val="auto"/>
          <w:sz w:val="24"/>
          <w:szCs w:val="24"/>
        </w:rPr>
      </w:pPr>
      <w:r w:rsidRPr="00DE12A3">
        <w:rPr>
          <w:color w:val="auto"/>
          <w:sz w:val="24"/>
          <w:szCs w:val="24"/>
        </w:rPr>
        <w:t xml:space="preserve">                  </w:t>
      </w:r>
      <w:r w:rsidR="00242DA0" w:rsidRPr="00DE12A3">
        <w:rPr>
          <w:color w:val="auto"/>
          <w:sz w:val="24"/>
          <w:szCs w:val="24"/>
        </w:rPr>
        <w:t>NOx ölçüm cihazının giriş kısmında numuneyi kurutmak için numune kurutucu kullanılırsa, ancak numune kurutucunun giriş kısmında NO</w:t>
      </w:r>
      <w:r w:rsidR="00242DA0" w:rsidRPr="00DE12A3">
        <w:rPr>
          <w:color w:val="auto"/>
          <w:sz w:val="24"/>
          <w:szCs w:val="24"/>
          <w:vertAlign w:val="subscript"/>
        </w:rPr>
        <w:t>2</w:t>
      </w:r>
      <w:r w:rsidR="00242DA0" w:rsidRPr="00DE12A3">
        <w:rPr>
          <w:color w:val="auto"/>
          <w:sz w:val="24"/>
          <w:szCs w:val="24"/>
        </w:rPr>
        <w:t xml:space="preserve"> - NO dönüştürücüsü </w:t>
      </w:r>
      <w:r w:rsidR="00242DA0" w:rsidRPr="00DE12A3">
        <w:rPr>
          <w:color w:val="auto"/>
          <w:sz w:val="24"/>
          <w:szCs w:val="24"/>
        </w:rPr>
        <w:lastRenderedPageBreak/>
        <w:t>kullanılmazsa, bu doğrulama, numune kurutucu NO</w:t>
      </w:r>
      <w:r w:rsidR="00242DA0" w:rsidRPr="00DE12A3">
        <w:rPr>
          <w:color w:val="auto"/>
          <w:sz w:val="24"/>
          <w:szCs w:val="24"/>
          <w:vertAlign w:val="subscript"/>
        </w:rPr>
        <w:t>2</w:t>
      </w:r>
      <w:r w:rsidR="00242DA0" w:rsidRPr="00DE12A3">
        <w:rPr>
          <w:color w:val="auto"/>
          <w:sz w:val="24"/>
          <w:szCs w:val="24"/>
        </w:rPr>
        <w:t xml:space="preserve"> penetrasyonu için yapılmalıdır. Bu doğrulama, ilk montajdan sonra ve büyük bir bakım sonrasında yapılmalıdır.</w:t>
      </w:r>
    </w:p>
    <w:p w14:paraId="7DE2F10F" w14:textId="77777777" w:rsidR="002D7B36" w:rsidRPr="00DE12A3" w:rsidRDefault="00242DA0" w:rsidP="00E20716">
      <w:pPr>
        <w:pStyle w:val="Gvdemetni255"/>
        <w:numPr>
          <w:ilvl w:val="0"/>
          <w:numId w:val="279"/>
        </w:numPr>
        <w:shd w:val="clear" w:color="auto" w:fill="FFFFFF" w:themeFill="background1"/>
        <w:spacing w:before="120" w:after="120" w:line="240" w:lineRule="auto"/>
        <w:ind w:left="1134" w:hanging="1134"/>
        <w:rPr>
          <w:color w:val="auto"/>
          <w:sz w:val="24"/>
          <w:szCs w:val="24"/>
        </w:rPr>
      </w:pPr>
      <w:r w:rsidRPr="00DE12A3">
        <w:rPr>
          <w:color w:val="auto"/>
          <w:sz w:val="24"/>
          <w:szCs w:val="24"/>
        </w:rPr>
        <w:t>Ölçüm ilkeleri</w:t>
      </w:r>
    </w:p>
    <w:p w14:paraId="0646CEC1" w14:textId="77777777" w:rsidR="002D7B36" w:rsidRPr="00DE12A3" w:rsidRDefault="00C57699" w:rsidP="00C917D6">
      <w:pPr>
        <w:pStyle w:val="Gvdemetni255"/>
        <w:shd w:val="clear" w:color="auto" w:fill="FFFFFF" w:themeFill="background1"/>
        <w:spacing w:before="120" w:after="120" w:line="240" w:lineRule="auto"/>
        <w:ind w:left="1134" w:hanging="1134"/>
        <w:rPr>
          <w:color w:val="auto"/>
          <w:sz w:val="24"/>
          <w:szCs w:val="24"/>
        </w:rPr>
      </w:pPr>
      <w:r w:rsidRPr="00DE12A3">
        <w:rPr>
          <w:color w:val="auto"/>
          <w:sz w:val="24"/>
          <w:szCs w:val="24"/>
        </w:rPr>
        <w:t xml:space="preserve">                   </w:t>
      </w:r>
      <w:r w:rsidR="00242DA0" w:rsidRPr="00DE12A3">
        <w:rPr>
          <w:color w:val="auto"/>
          <w:sz w:val="24"/>
          <w:szCs w:val="24"/>
        </w:rPr>
        <w:t>Numune kurutucu, aksi takdirde bir NO</w:t>
      </w:r>
      <w:r w:rsidR="00242DA0" w:rsidRPr="00DE12A3">
        <w:rPr>
          <w:color w:val="auto"/>
          <w:sz w:val="24"/>
          <w:szCs w:val="24"/>
          <w:vertAlign w:val="subscript"/>
        </w:rPr>
        <w:t>x</w:t>
      </w:r>
      <w:r w:rsidR="00242DA0" w:rsidRPr="00DE12A3">
        <w:rPr>
          <w:color w:val="auto"/>
          <w:sz w:val="24"/>
          <w:szCs w:val="24"/>
        </w:rPr>
        <w:t xml:space="preserve"> ölçümüne karışabilecek suyu giderir. Ancak, yanlış tasarlanmış bir numune kurutucu içinde kalan sıvı su, numuneden NO</w:t>
      </w:r>
      <w:r w:rsidR="00242DA0" w:rsidRPr="00DE12A3">
        <w:rPr>
          <w:color w:val="auto"/>
          <w:sz w:val="24"/>
          <w:szCs w:val="24"/>
          <w:vertAlign w:val="subscript"/>
        </w:rPr>
        <w:t>2</w:t>
      </w:r>
      <w:r w:rsidR="00242DA0" w:rsidRPr="00DE12A3">
        <w:rPr>
          <w:color w:val="auto"/>
          <w:sz w:val="24"/>
          <w:szCs w:val="24"/>
        </w:rPr>
        <w:t>'yi giderebilir. Numune kurutucu, giriş kısmında bir NO</w:t>
      </w:r>
      <w:r w:rsidR="006F30D6" w:rsidRPr="00DE12A3">
        <w:rPr>
          <w:color w:val="auto"/>
          <w:sz w:val="24"/>
          <w:szCs w:val="24"/>
          <w:vertAlign w:val="subscript"/>
        </w:rPr>
        <w:t>2</w:t>
      </w:r>
      <w:r w:rsidR="006F30D6" w:rsidRPr="00DE12A3">
        <w:rPr>
          <w:color w:val="auto"/>
          <w:sz w:val="24"/>
          <w:szCs w:val="24"/>
        </w:rPr>
        <w:t>-</w:t>
      </w:r>
      <w:r w:rsidR="00242DA0" w:rsidRPr="00DE12A3">
        <w:rPr>
          <w:color w:val="auto"/>
          <w:sz w:val="24"/>
          <w:szCs w:val="24"/>
        </w:rPr>
        <w:t xml:space="preserve"> NO dönüştürücü olmadan kullanılırsa, böylece NO</w:t>
      </w:r>
      <w:r w:rsidR="00242DA0" w:rsidRPr="00DE12A3">
        <w:rPr>
          <w:color w:val="auto"/>
          <w:sz w:val="24"/>
          <w:szCs w:val="24"/>
          <w:vertAlign w:val="subscript"/>
        </w:rPr>
        <w:t>x</w:t>
      </w:r>
      <w:r w:rsidR="00242DA0" w:rsidRPr="00DE12A3">
        <w:rPr>
          <w:color w:val="auto"/>
          <w:sz w:val="24"/>
          <w:szCs w:val="24"/>
        </w:rPr>
        <w:t xml:space="preserve"> ölçümü öncesinde numuneden NO</w:t>
      </w:r>
      <w:r w:rsidR="00242DA0" w:rsidRPr="00DE12A3">
        <w:rPr>
          <w:color w:val="auto"/>
          <w:sz w:val="24"/>
          <w:szCs w:val="24"/>
          <w:vertAlign w:val="subscript"/>
        </w:rPr>
        <w:t>2</w:t>
      </w:r>
      <w:r w:rsidR="00242DA0" w:rsidRPr="00DE12A3">
        <w:rPr>
          <w:color w:val="auto"/>
          <w:sz w:val="24"/>
          <w:szCs w:val="24"/>
        </w:rPr>
        <w:t>'yi giderebilir.</w:t>
      </w:r>
    </w:p>
    <w:p w14:paraId="657670CB" w14:textId="77777777" w:rsidR="002D7B36" w:rsidRPr="00DE12A3" w:rsidRDefault="00242DA0" w:rsidP="00E20716">
      <w:pPr>
        <w:pStyle w:val="Gvdemetni255"/>
        <w:numPr>
          <w:ilvl w:val="0"/>
          <w:numId w:val="279"/>
        </w:numPr>
        <w:shd w:val="clear" w:color="auto" w:fill="FFFFFF" w:themeFill="background1"/>
        <w:spacing w:before="120" w:after="120" w:line="240" w:lineRule="auto"/>
        <w:ind w:left="1134" w:hanging="1134"/>
        <w:rPr>
          <w:color w:val="auto"/>
          <w:sz w:val="24"/>
          <w:szCs w:val="24"/>
        </w:rPr>
      </w:pPr>
      <w:r w:rsidRPr="00DE12A3">
        <w:rPr>
          <w:color w:val="auto"/>
          <w:sz w:val="24"/>
          <w:szCs w:val="24"/>
        </w:rPr>
        <w:t xml:space="preserve">Sistem </w:t>
      </w:r>
      <w:r w:rsidR="0053289F" w:rsidRPr="00DE12A3">
        <w:rPr>
          <w:color w:val="auto"/>
          <w:sz w:val="24"/>
          <w:szCs w:val="24"/>
        </w:rPr>
        <w:t>gereklilikleri</w:t>
      </w:r>
    </w:p>
    <w:p w14:paraId="0BD1FBCF" w14:textId="77777777" w:rsidR="002D7B36" w:rsidRPr="00DE12A3" w:rsidRDefault="00C57699" w:rsidP="00C917D6">
      <w:pPr>
        <w:pStyle w:val="Gvdemetni255"/>
        <w:shd w:val="clear" w:color="auto" w:fill="FFFFFF" w:themeFill="background1"/>
        <w:spacing w:before="120" w:after="120" w:line="240" w:lineRule="auto"/>
        <w:ind w:left="1134" w:hanging="1134"/>
        <w:rPr>
          <w:color w:val="auto"/>
          <w:sz w:val="24"/>
          <w:szCs w:val="24"/>
        </w:rPr>
      </w:pPr>
      <w:r w:rsidRPr="00DE12A3">
        <w:rPr>
          <w:color w:val="auto"/>
          <w:sz w:val="24"/>
          <w:szCs w:val="24"/>
        </w:rPr>
        <w:t xml:space="preserve">                  </w:t>
      </w:r>
      <w:r w:rsidR="00242DA0" w:rsidRPr="00DE12A3">
        <w:rPr>
          <w:color w:val="auto"/>
          <w:sz w:val="24"/>
          <w:szCs w:val="24"/>
        </w:rPr>
        <w:t>Numune kurutucu, beklenen azami NO</w:t>
      </w:r>
      <w:r w:rsidR="00242DA0" w:rsidRPr="00DE12A3">
        <w:rPr>
          <w:color w:val="auto"/>
          <w:sz w:val="24"/>
          <w:szCs w:val="24"/>
          <w:vertAlign w:val="subscript"/>
        </w:rPr>
        <w:t>2</w:t>
      </w:r>
      <w:r w:rsidR="00242DA0" w:rsidRPr="00DE12A3">
        <w:rPr>
          <w:color w:val="auto"/>
          <w:sz w:val="24"/>
          <w:szCs w:val="24"/>
        </w:rPr>
        <w:t xml:space="preserve"> konsantrasyonunda toplam NO</w:t>
      </w:r>
      <w:r w:rsidR="00242DA0" w:rsidRPr="00DE12A3">
        <w:rPr>
          <w:color w:val="auto"/>
          <w:sz w:val="24"/>
          <w:szCs w:val="24"/>
          <w:vertAlign w:val="subscript"/>
        </w:rPr>
        <w:t>2</w:t>
      </w:r>
      <w:r w:rsidR="00242DA0" w:rsidRPr="00DE12A3">
        <w:rPr>
          <w:color w:val="auto"/>
          <w:sz w:val="24"/>
          <w:szCs w:val="24"/>
        </w:rPr>
        <w:t xml:space="preserve">'nin en az </w:t>
      </w:r>
      <w:r w:rsidR="00CF5D85" w:rsidRPr="00DE12A3">
        <w:rPr>
          <w:color w:val="auto"/>
          <w:sz w:val="24"/>
          <w:szCs w:val="24"/>
        </w:rPr>
        <w:t>%95</w:t>
      </w:r>
      <w:r w:rsidR="00242DA0" w:rsidRPr="00DE12A3">
        <w:rPr>
          <w:color w:val="auto"/>
          <w:sz w:val="24"/>
          <w:szCs w:val="24"/>
        </w:rPr>
        <w:t xml:space="preserve">'inin ölçülmesine </w:t>
      </w:r>
      <w:r w:rsidR="00CF5D85" w:rsidRPr="00DE12A3">
        <w:rPr>
          <w:color w:val="auto"/>
          <w:sz w:val="24"/>
          <w:szCs w:val="24"/>
        </w:rPr>
        <w:t>imkân</w:t>
      </w:r>
      <w:r w:rsidR="00242DA0" w:rsidRPr="00DE12A3">
        <w:rPr>
          <w:color w:val="auto"/>
          <w:sz w:val="24"/>
          <w:szCs w:val="24"/>
        </w:rPr>
        <w:t xml:space="preserve"> tanımalıdır.</w:t>
      </w:r>
    </w:p>
    <w:p w14:paraId="11B5E26F" w14:textId="77777777" w:rsidR="002D7B36" w:rsidRPr="00DE12A3" w:rsidRDefault="00242DA0" w:rsidP="00E20716">
      <w:pPr>
        <w:pStyle w:val="Gvdemetni255"/>
        <w:numPr>
          <w:ilvl w:val="0"/>
          <w:numId w:val="279"/>
        </w:numPr>
        <w:shd w:val="clear" w:color="auto" w:fill="FFFFFF" w:themeFill="background1"/>
        <w:tabs>
          <w:tab w:val="left" w:pos="851"/>
        </w:tabs>
        <w:spacing w:before="120" w:after="120" w:line="240" w:lineRule="auto"/>
        <w:ind w:left="1134" w:hanging="1134"/>
        <w:rPr>
          <w:color w:val="auto"/>
          <w:sz w:val="24"/>
          <w:szCs w:val="24"/>
        </w:rPr>
      </w:pPr>
      <w:r w:rsidRPr="00DE12A3">
        <w:rPr>
          <w:color w:val="auto"/>
          <w:sz w:val="24"/>
          <w:szCs w:val="24"/>
        </w:rPr>
        <w:t>Prosedür</w:t>
      </w:r>
    </w:p>
    <w:p w14:paraId="09BC7293" w14:textId="77777777" w:rsidR="002D7B36" w:rsidRPr="00DE12A3" w:rsidRDefault="00C57699" w:rsidP="00C917D6">
      <w:pPr>
        <w:pStyle w:val="Gvdemetni255"/>
        <w:shd w:val="clear" w:color="auto" w:fill="FFFFFF" w:themeFill="background1"/>
        <w:spacing w:before="120" w:after="120" w:line="240" w:lineRule="auto"/>
        <w:ind w:left="1134" w:hanging="1134"/>
        <w:rPr>
          <w:color w:val="auto"/>
          <w:sz w:val="24"/>
          <w:szCs w:val="24"/>
        </w:rPr>
      </w:pPr>
      <w:r w:rsidRPr="00DE12A3">
        <w:rPr>
          <w:color w:val="auto"/>
          <w:sz w:val="24"/>
          <w:szCs w:val="24"/>
        </w:rPr>
        <w:t xml:space="preserve">                   </w:t>
      </w:r>
      <w:r w:rsidR="00242DA0" w:rsidRPr="00DE12A3">
        <w:rPr>
          <w:color w:val="auto"/>
          <w:sz w:val="24"/>
          <w:szCs w:val="24"/>
        </w:rPr>
        <w:t>Numune kurutma performansını belirlemek için aşağıdaki prosedür kullanılır:</w:t>
      </w:r>
    </w:p>
    <w:p w14:paraId="1D84385D" w14:textId="30847976" w:rsidR="002D7B36" w:rsidRPr="00DE12A3" w:rsidRDefault="00C57699" w:rsidP="00E20716">
      <w:pPr>
        <w:pStyle w:val="Gvdemetni255"/>
        <w:numPr>
          <w:ilvl w:val="0"/>
          <w:numId w:val="280"/>
        </w:numPr>
        <w:shd w:val="clear" w:color="auto" w:fill="FFFFFF" w:themeFill="background1"/>
        <w:spacing w:before="120" w:after="120" w:line="240" w:lineRule="auto"/>
        <w:ind w:left="1701" w:hanging="567"/>
        <w:rPr>
          <w:color w:val="auto"/>
          <w:sz w:val="24"/>
          <w:szCs w:val="24"/>
        </w:rPr>
      </w:pPr>
      <w:r w:rsidRPr="00DE12A3">
        <w:rPr>
          <w:color w:val="auto"/>
          <w:sz w:val="24"/>
          <w:szCs w:val="24"/>
        </w:rPr>
        <w:t xml:space="preserve">    </w:t>
      </w:r>
      <w:r w:rsidR="00242DA0" w:rsidRPr="00DE12A3">
        <w:rPr>
          <w:color w:val="auto"/>
          <w:sz w:val="24"/>
          <w:szCs w:val="24"/>
        </w:rPr>
        <w:t>Cihaz kurulumu. Analiz cihazı ve numune kurutucu imalatçılarının çalıştırma ve işletme talimatlarına uyulmalıdır. Analiz cihazı ve numune kurutucu, performansı optimize etmek için gerektiği şekilde ayarlanmalıdır</w:t>
      </w:r>
      <w:r w:rsidR="00163FD5" w:rsidRPr="00DE12A3">
        <w:rPr>
          <w:color w:val="auto"/>
          <w:sz w:val="24"/>
          <w:szCs w:val="24"/>
        </w:rPr>
        <w:t>.</w:t>
      </w:r>
    </w:p>
    <w:p w14:paraId="7472FBC8" w14:textId="77777777" w:rsidR="002D7B36" w:rsidRPr="00DE12A3" w:rsidRDefault="00242DA0" w:rsidP="00E20716">
      <w:pPr>
        <w:pStyle w:val="Gvdemetni255"/>
        <w:numPr>
          <w:ilvl w:val="0"/>
          <w:numId w:val="280"/>
        </w:numPr>
        <w:shd w:val="clear" w:color="auto" w:fill="FFFFFF" w:themeFill="background1"/>
        <w:spacing w:before="120" w:after="120" w:line="240" w:lineRule="auto"/>
        <w:ind w:left="1701" w:hanging="567"/>
        <w:rPr>
          <w:color w:val="auto"/>
          <w:sz w:val="24"/>
          <w:szCs w:val="24"/>
        </w:rPr>
      </w:pPr>
      <w:r w:rsidRPr="00DE12A3">
        <w:rPr>
          <w:color w:val="auto"/>
          <w:sz w:val="24"/>
          <w:szCs w:val="24"/>
        </w:rPr>
        <w:t>Cihaz kurulumu ve veri toplama.</w:t>
      </w:r>
    </w:p>
    <w:p w14:paraId="7A322A1A" w14:textId="65345E16" w:rsidR="002D7B36" w:rsidRPr="00DE12A3" w:rsidRDefault="00C57699" w:rsidP="00E20716">
      <w:pPr>
        <w:pStyle w:val="Gvdemetni255"/>
        <w:numPr>
          <w:ilvl w:val="0"/>
          <w:numId w:val="281"/>
        </w:numPr>
        <w:shd w:val="clear" w:color="auto" w:fill="FFFFFF" w:themeFill="background1"/>
        <w:spacing w:before="120" w:after="120" w:line="240" w:lineRule="auto"/>
        <w:ind w:left="2268" w:hanging="567"/>
        <w:rPr>
          <w:color w:val="auto"/>
          <w:sz w:val="24"/>
          <w:szCs w:val="24"/>
        </w:rPr>
      </w:pPr>
      <w:r w:rsidRPr="00DE12A3">
        <w:rPr>
          <w:color w:val="auto"/>
          <w:sz w:val="24"/>
          <w:szCs w:val="24"/>
        </w:rPr>
        <w:t xml:space="preserve">  </w:t>
      </w:r>
      <w:r w:rsidR="00242DA0" w:rsidRPr="00DE12A3">
        <w:rPr>
          <w:color w:val="auto"/>
          <w:sz w:val="24"/>
          <w:szCs w:val="24"/>
        </w:rPr>
        <w:t>Tüm NO</w:t>
      </w:r>
      <w:r w:rsidR="00242DA0" w:rsidRPr="00DE12A3">
        <w:rPr>
          <w:color w:val="auto"/>
          <w:sz w:val="24"/>
          <w:szCs w:val="24"/>
          <w:vertAlign w:val="subscript"/>
        </w:rPr>
        <w:t>x</w:t>
      </w:r>
      <w:r w:rsidR="00242DA0" w:rsidRPr="00DE12A3">
        <w:rPr>
          <w:color w:val="auto"/>
          <w:sz w:val="24"/>
          <w:szCs w:val="24"/>
        </w:rPr>
        <w:t xml:space="preserve"> gaz analiz cihazları emisyon testi öncesindeki gibi sıfırlanmalı ve ayarlanmalıdır</w:t>
      </w:r>
      <w:r w:rsidR="00163FD5" w:rsidRPr="00DE12A3">
        <w:rPr>
          <w:color w:val="auto"/>
          <w:sz w:val="24"/>
          <w:szCs w:val="24"/>
        </w:rPr>
        <w:t>.</w:t>
      </w:r>
    </w:p>
    <w:p w14:paraId="718630C9" w14:textId="250A5101" w:rsidR="002D7B36" w:rsidRPr="00DE12A3" w:rsidRDefault="00C57699" w:rsidP="00E20716">
      <w:pPr>
        <w:pStyle w:val="Gvdemetni255"/>
        <w:numPr>
          <w:ilvl w:val="0"/>
          <w:numId w:val="281"/>
        </w:numPr>
        <w:shd w:val="clear" w:color="auto" w:fill="FFFFFF" w:themeFill="background1"/>
        <w:spacing w:before="120" w:after="120" w:line="240" w:lineRule="auto"/>
        <w:ind w:left="2268" w:hanging="567"/>
        <w:rPr>
          <w:color w:val="auto"/>
          <w:sz w:val="24"/>
          <w:szCs w:val="24"/>
        </w:rPr>
      </w:pPr>
      <w:r w:rsidRPr="00DE12A3">
        <w:rPr>
          <w:color w:val="auto"/>
          <w:sz w:val="24"/>
          <w:szCs w:val="24"/>
        </w:rPr>
        <w:t xml:space="preserve"> </w:t>
      </w:r>
      <w:r w:rsidR="00242DA0" w:rsidRPr="00DE12A3">
        <w:rPr>
          <w:color w:val="auto"/>
          <w:sz w:val="24"/>
          <w:szCs w:val="24"/>
        </w:rPr>
        <w:t>Test sırasında beklenen azami değere yakın olan bir NO</w:t>
      </w:r>
      <w:r w:rsidR="00242DA0" w:rsidRPr="00DE12A3">
        <w:rPr>
          <w:color w:val="auto"/>
          <w:sz w:val="24"/>
          <w:szCs w:val="24"/>
          <w:vertAlign w:val="subscript"/>
        </w:rPr>
        <w:t>2</w:t>
      </w:r>
      <w:r w:rsidR="00242DA0" w:rsidRPr="00DE12A3">
        <w:rPr>
          <w:color w:val="auto"/>
          <w:sz w:val="24"/>
          <w:szCs w:val="24"/>
        </w:rPr>
        <w:t xml:space="preserve"> konsantrasyonuna sahip NO</w:t>
      </w:r>
      <w:r w:rsidR="00242DA0" w:rsidRPr="00DE12A3">
        <w:rPr>
          <w:color w:val="auto"/>
          <w:sz w:val="24"/>
          <w:szCs w:val="24"/>
          <w:vertAlign w:val="subscript"/>
        </w:rPr>
        <w:t>2</w:t>
      </w:r>
      <w:r w:rsidR="00242DA0" w:rsidRPr="00DE12A3">
        <w:rPr>
          <w:color w:val="auto"/>
          <w:sz w:val="24"/>
          <w:szCs w:val="24"/>
        </w:rPr>
        <w:t xml:space="preserve"> kalibrasyon gazı (kuru hava denge gazı) seçilmelidir. Beklenen NO</w:t>
      </w:r>
      <w:r w:rsidR="00242DA0" w:rsidRPr="00DE12A3">
        <w:rPr>
          <w:color w:val="auto"/>
          <w:sz w:val="24"/>
          <w:szCs w:val="24"/>
          <w:vertAlign w:val="subscript"/>
        </w:rPr>
        <w:t>2</w:t>
      </w:r>
      <w:r w:rsidR="00242DA0" w:rsidRPr="00DE12A3">
        <w:rPr>
          <w:color w:val="auto"/>
          <w:sz w:val="24"/>
          <w:szCs w:val="24"/>
        </w:rPr>
        <w:t xml:space="preserve"> konsantrasyonu, cihaz imalatçısı tarafından belirtilen doğrulama için asgari aralıktan düşükse, doğru doğrulama elde etmek için cihaz imalatçısının tavsiyesi ve iyi mühendislik kararı uyarınca daha yüksek konsantrasyon kullanılabilir</w:t>
      </w:r>
      <w:r w:rsidR="00163FD5" w:rsidRPr="00DE12A3">
        <w:rPr>
          <w:color w:val="auto"/>
          <w:sz w:val="24"/>
          <w:szCs w:val="24"/>
        </w:rPr>
        <w:t>.</w:t>
      </w:r>
    </w:p>
    <w:p w14:paraId="440A8D46" w14:textId="17D25321" w:rsidR="002D7B36" w:rsidRPr="00DE12A3" w:rsidRDefault="00C57699" w:rsidP="00E20716">
      <w:pPr>
        <w:pStyle w:val="Gvdemetni255"/>
        <w:numPr>
          <w:ilvl w:val="0"/>
          <w:numId w:val="281"/>
        </w:numPr>
        <w:shd w:val="clear" w:color="auto" w:fill="auto"/>
        <w:spacing w:before="120" w:after="120" w:line="240" w:lineRule="auto"/>
        <w:ind w:left="2268" w:hanging="567"/>
        <w:rPr>
          <w:color w:val="auto"/>
          <w:sz w:val="24"/>
          <w:szCs w:val="24"/>
        </w:rPr>
      </w:pPr>
      <w:r w:rsidRPr="00DE12A3">
        <w:rPr>
          <w:color w:val="auto"/>
          <w:sz w:val="24"/>
          <w:szCs w:val="24"/>
        </w:rPr>
        <w:t xml:space="preserve">  </w:t>
      </w:r>
      <w:r w:rsidR="00242DA0" w:rsidRPr="00DE12A3">
        <w:rPr>
          <w:color w:val="auto"/>
          <w:sz w:val="24"/>
          <w:szCs w:val="24"/>
        </w:rPr>
        <w:t>Bu kalibrasyon gazı, gaz örnekleme sisteminin sondasında veya taşma bağlantı parçasında taşmalıdır. Sadece aktarım gecikmeleri ve cihaz tepkisi hesaba katılarak toplam NO</w:t>
      </w:r>
      <w:r w:rsidR="00242DA0" w:rsidRPr="00DE12A3">
        <w:rPr>
          <w:color w:val="auto"/>
          <w:sz w:val="24"/>
          <w:szCs w:val="24"/>
          <w:vertAlign w:val="subscript"/>
        </w:rPr>
        <w:t>x</w:t>
      </w:r>
      <w:r w:rsidR="00242DA0" w:rsidRPr="00DE12A3">
        <w:rPr>
          <w:color w:val="auto"/>
          <w:sz w:val="24"/>
          <w:szCs w:val="24"/>
        </w:rPr>
        <w:t xml:space="preserve"> tepkisinin dengelenmesi için zaman tanınmalıdır</w:t>
      </w:r>
      <w:r w:rsidR="00163FD5" w:rsidRPr="00DE12A3">
        <w:rPr>
          <w:color w:val="auto"/>
          <w:sz w:val="24"/>
          <w:szCs w:val="24"/>
        </w:rPr>
        <w:t>.</w:t>
      </w:r>
    </w:p>
    <w:p w14:paraId="63DA92D0" w14:textId="7ACBE291" w:rsidR="002D7B36" w:rsidRPr="00DE12A3" w:rsidRDefault="00C57699" w:rsidP="00E20716">
      <w:pPr>
        <w:pStyle w:val="Gvdemetni255"/>
        <w:numPr>
          <w:ilvl w:val="0"/>
          <w:numId w:val="281"/>
        </w:numPr>
        <w:shd w:val="clear" w:color="auto" w:fill="auto"/>
        <w:spacing w:before="120" w:after="120" w:line="240" w:lineRule="auto"/>
        <w:ind w:left="2268" w:hanging="567"/>
        <w:rPr>
          <w:color w:val="auto"/>
          <w:sz w:val="24"/>
          <w:szCs w:val="24"/>
        </w:rPr>
      </w:pPr>
      <w:r w:rsidRPr="00DE12A3">
        <w:rPr>
          <w:color w:val="auto"/>
          <w:sz w:val="24"/>
          <w:szCs w:val="24"/>
        </w:rPr>
        <w:t xml:space="preserve">  </w:t>
      </w:r>
      <w:r w:rsidR="00242DA0" w:rsidRPr="00DE12A3">
        <w:rPr>
          <w:color w:val="auto"/>
          <w:sz w:val="24"/>
          <w:szCs w:val="24"/>
        </w:rPr>
        <w:t>30 sn kaydedilen toplam NO</w:t>
      </w:r>
      <w:r w:rsidR="00242DA0" w:rsidRPr="00DE12A3">
        <w:rPr>
          <w:color w:val="auto"/>
          <w:sz w:val="24"/>
          <w:szCs w:val="24"/>
          <w:vertAlign w:val="subscript"/>
        </w:rPr>
        <w:t>x</w:t>
      </w:r>
      <w:r w:rsidR="00242DA0" w:rsidRPr="00DE12A3">
        <w:rPr>
          <w:color w:val="auto"/>
          <w:sz w:val="24"/>
          <w:szCs w:val="24"/>
        </w:rPr>
        <w:t xml:space="preserve"> verilerinin ortalaması hesaplanmalı ve bu değer </w:t>
      </w:r>
      <w:r w:rsidR="00242DA0" w:rsidRPr="00DE12A3">
        <w:rPr>
          <w:i/>
          <w:iCs/>
          <w:color w:val="auto"/>
          <w:sz w:val="24"/>
          <w:szCs w:val="24"/>
        </w:rPr>
        <w:t>x</w:t>
      </w:r>
      <w:r w:rsidR="00242DA0" w:rsidRPr="00DE12A3">
        <w:rPr>
          <w:color w:val="auto"/>
          <w:sz w:val="24"/>
          <w:szCs w:val="24"/>
          <w:vertAlign w:val="subscript"/>
        </w:rPr>
        <w:t>NOxref</w:t>
      </w:r>
      <w:r w:rsidR="00242DA0" w:rsidRPr="00DE12A3">
        <w:rPr>
          <w:color w:val="auto"/>
          <w:sz w:val="24"/>
          <w:szCs w:val="24"/>
        </w:rPr>
        <w:t xml:space="preserve"> olarak kaydedilmelidir</w:t>
      </w:r>
      <w:r w:rsidR="00163FD5" w:rsidRPr="00DE12A3">
        <w:rPr>
          <w:color w:val="auto"/>
          <w:sz w:val="24"/>
          <w:szCs w:val="24"/>
        </w:rPr>
        <w:t>.</w:t>
      </w:r>
    </w:p>
    <w:p w14:paraId="533F3457" w14:textId="7ABFBCBF" w:rsidR="002D7B36" w:rsidRPr="00DE12A3" w:rsidRDefault="00C57699" w:rsidP="00E20716">
      <w:pPr>
        <w:pStyle w:val="Gvdemetni255"/>
        <w:numPr>
          <w:ilvl w:val="0"/>
          <w:numId w:val="281"/>
        </w:numPr>
        <w:shd w:val="clear" w:color="auto" w:fill="auto"/>
        <w:tabs>
          <w:tab w:val="left" w:pos="1614"/>
        </w:tabs>
        <w:spacing w:before="120" w:after="120" w:line="240" w:lineRule="auto"/>
        <w:ind w:left="2268" w:hanging="567"/>
        <w:rPr>
          <w:color w:val="auto"/>
          <w:sz w:val="24"/>
          <w:szCs w:val="24"/>
        </w:rPr>
      </w:pPr>
      <w:r w:rsidRPr="00DE12A3">
        <w:rPr>
          <w:color w:val="auto"/>
          <w:sz w:val="24"/>
          <w:szCs w:val="24"/>
        </w:rPr>
        <w:t xml:space="preserve">   </w:t>
      </w:r>
      <w:r w:rsidR="00242DA0" w:rsidRPr="00DE12A3">
        <w:rPr>
          <w:color w:val="auto"/>
          <w:sz w:val="24"/>
          <w:szCs w:val="24"/>
        </w:rPr>
        <w:t>NO</w:t>
      </w:r>
      <w:r w:rsidR="00242DA0" w:rsidRPr="00DE12A3">
        <w:rPr>
          <w:color w:val="auto"/>
          <w:sz w:val="24"/>
          <w:szCs w:val="24"/>
          <w:vertAlign w:val="subscript"/>
        </w:rPr>
        <w:t>2</w:t>
      </w:r>
      <w:r w:rsidR="00242DA0" w:rsidRPr="00DE12A3">
        <w:rPr>
          <w:color w:val="auto"/>
          <w:sz w:val="24"/>
          <w:szCs w:val="24"/>
        </w:rPr>
        <w:t xml:space="preserve"> kalibrasyon gazının akışı durdurulmalıdır</w:t>
      </w:r>
      <w:r w:rsidR="00163FD5" w:rsidRPr="00DE12A3">
        <w:rPr>
          <w:color w:val="auto"/>
          <w:sz w:val="24"/>
          <w:szCs w:val="24"/>
        </w:rPr>
        <w:t>.</w:t>
      </w:r>
    </w:p>
    <w:p w14:paraId="3AC7D455" w14:textId="28B8F721" w:rsidR="002D7B36" w:rsidRPr="00DE12A3" w:rsidRDefault="00C57699" w:rsidP="00E20716">
      <w:pPr>
        <w:pStyle w:val="Gvdemetni255"/>
        <w:numPr>
          <w:ilvl w:val="0"/>
          <w:numId w:val="281"/>
        </w:numPr>
        <w:shd w:val="clear" w:color="auto" w:fill="auto"/>
        <w:tabs>
          <w:tab w:val="left" w:pos="1614"/>
        </w:tabs>
        <w:spacing w:before="120" w:after="120" w:line="240" w:lineRule="auto"/>
        <w:ind w:left="2268" w:hanging="567"/>
        <w:rPr>
          <w:color w:val="auto"/>
          <w:sz w:val="24"/>
          <w:szCs w:val="24"/>
        </w:rPr>
      </w:pPr>
      <w:r w:rsidRPr="00DE12A3">
        <w:rPr>
          <w:color w:val="auto"/>
          <w:sz w:val="24"/>
          <w:szCs w:val="24"/>
        </w:rPr>
        <w:t xml:space="preserve">   </w:t>
      </w:r>
      <w:r w:rsidR="00242DA0" w:rsidRPr="00DE12A3">
        <w:rPr>
          <w:color w:val="auto"/>
          <w:sz w:val="24"/>
          <w:szCs w:val="24"/>
        </w:rPr>
        <w:t>Sonra, 323 K (50 °C) yoğuşma noktasına ayarlanan bir yoğuşma noktası jeneratörünün çıktısı, gaz örnekleme sisteminin sondasına veya taşma bağlantı parçasına taşırılarak örnekleme sistemi doyurulmalıdır. Yoğuşma noktası jeneratörünün çıktısı, numune kurutucunun sabit bir hızla su gidermesi beklenene kadar en az 10 dakika boyunca örnekleme sistemi ve numune kurutucu vasıtasıyla örneklenmelidir</w:t>
      </w:r>
      <w:r w:rsidR="00163FD5" w:rsidRPr="00DE12A3">
        <w:rPr>
          <w:color w:val="auto"/>
          <w:sz w:val="24"/>
          <w:szCs w:val="24"/>
        </w:rPr>
        <w:t>.</w:t>
      </w:r>
    </w:p>
    <w:p w14:paraId="1F299BD8" w14:textId="5AED7DAF" w:rsidR="002D7B36" w:rsidRPr="00DE12A3" w:rsidRDefault="00C57699" w:rsidP="00E20716">
      <w:pPr>
        <w:pStyle w:val="Gvdemetni255"/>
        <w:numPr>
          <w:ilvl w:val="0"/>
          <w:numId w:val="281"/>
        </w:numPr>
        <w:shd w:val="clear" w:color="auto" w:fill="auto"/>
        <w:tabs>
          <w:tab w:val="left" w:pos="1614"/>
        </w:tabs>
        <w:spacing w:before="120" w:after="120" w:line="240" w:lineRule="auto"/>
        <w:ind w:left="2268" w:hanging="567"/>
        <w:rPr>
          <w:color w:val="auto"/>
          <w:sz w:val="24"/>
          <w:szCs w:val="24"/>
        </w:rPr>
      </w:pPr>
      <w:r w:rsidRPr="00DE12A3">
        <w:rPr>
          <w:color w:val="auto"/>
          <w:sz w:val="24"/>
          <w:szCs w:val="24"/>
        </w:rPr>
        <w:t xml:space="preserve">   </w:t>
      </w:r>
      <w:r w:rsidR="00242DA0" w:rsidRPr="00DE12A3">
        <w:rPr>
          <w:color w:val="auto"/>
          <w:sz w:val="24"/>
          <w:szCs w:val="24"/>
        </w:rPr>
        <w:t xml:space="preserve">Hemen </w:t>
      </w:r>
      <w:r w:rsidR="00242DA0" w:rsidRPr="00DE12A3">
        <w:rPr>
          <w:i/>
          <w:iCs/>
          <w:color w:val="auto"/>
          <w:sz w:val="24"/>
          <w:szCs w:val="24"/>
        </w:rPr>
        <w:t>x</w:t>
      </w:r>
      <w:r w:rsidR="00242DA0" w:rsidRPr="00DE12A3">
        <w:rPr>
          <w:color w:val="auto"/>
          <w:sz w:val="24"/>
          <w:szCs w:val="24"/>
          <w:vertAlign w:val="subscript"/>
        </w:rPr>
        <w:t>NOxref</w:t>
      </w:r>
      <w:r w:rsidR="00242DA0" w:rsidRPr="00DE12A3">
        <w:rPr>
          <w:color w:val="auto"/>
          <w:sz w:val="24"/>
          <w:szCs w:val="24"/>
        </w:rPr>
        <w:t xml:space="preserve"> oluşturmak için kullanılan NO</w:t>
      </w:r>
      <w:r w:rsidR="00242DA0" w:rsidRPr="00DE12A3">
        <w:rPr>
          <w:color w:val="auto"/>
          <w:sz w:val="24"/>
          <w:szCs w:val="24"/>
          <w:vertAlign w:val="subscript"/>
        </w:rPr>
        <w:t>2</w:t>
      </w:r>
      <w:r w:rsidR="00242DA0" w:rsidRPr="00DE12A3">
        <w:rPr>
          <w:color w:val="auto"/>
          <w:sz w:val="24"/>
          <w:szCs w:val="24"/>
        </w:rPr>
        <w:t xml:space="preserve"> kalibrasyon gazını taşırmaya geri dönülmelidir. Sadece aktarım gecikmeleri ve cihaz tepkisi hesaba katılarak toplam NO</w:t>
      </w:r>
      <w:r w:rsidR="00242DA0" w:rsidRPr="00DE12A3">
        <w:rPr>
          <w:color w:val="auto"/>
          <w:sz w:val="24"/>
          <w:szCs w:val="24"/>
          <w:vertAlign w:val="subscript"/>
        </w:rPr>
        <w:t>x</w:t>
      </w:r>
      <w:r w:rsidR="00242DA0" w:rsidRPr="00DE12A3">
        <w:rPr>
          <w:color w:val="auto"/>
          <w:sz w:val="24"/>
          <w:szCs w:val="24"/>
        </w:rPr>
        <w:t xml:space="preserve"> tepkisinin dengelenmesi için zaman tanınmalıdır. 30 sn kaydedilen toplam NO</w:t>
      </w:r>
      <w:r w:rsidR="00242DA0" w:rsidRPr="00DE12A3">
        <w:rPr>
          <w:color w:val="auto"/>
          <w:sz w:val="24"/>
          <w:szCs w:val="24"/>
          <w:vertAlign w:val="subscript"/>
        </w:rPr>
        <w:t>x</w:t>
      </w:r>
      <w:r w:rsidR="00242DA0" w:rsidRPr="00DE12A3">
        <w:rPr>
          <w:color w:val="auto"/>
          <w:sz w:val="24"/>
          <w:szCs w:val="24"/>
        </w:rPr>
        <w:t xml:space="preserve"> verilerinin </w:t>
      </w:r>
      <w:r w:rsidR="00242DA0" w:rsidRPr="00DE12A3">
        <w:rPr>
          <w:color w:val="auto"/>
          <w:sz w:val="24"/>
          <w:szCs w:val="24"/>
        </w:rPr>
        <w:lastRenderedPageBreak/>
        <w:t xml:space="preserve">ortalaması hesaplanmalı ve bu değer </w:t>
      </w:r>
      <w:r w:rsidR="00242DA0" w:rsidRPr="00DE12A3">
        <w:rPr>
          <w:i/>
          <w:iCs/>
          <w:color w:val="auto"/>
          <w:sz w:val="24"/>
          <w:szCs w:val="24"/>
        </w:rPr>
        <w:t>x</w:t>
      </w:r>
      <w:r w:rsidR="00242DA0" w:rsidRPr="00DE12A3">
        <w:rPr>
          <w:color w:val="auto"/>
          <w:sz w:val="24"/>
          <w:szCs w:val="24"/>
          <w:vertAlign w:val="subscript"/>
        </w:rPr>
        <w:t>NOxmeas</w:t>
      </w:r>
      <w:r w:rsidR="00242DA0" w:rsidRPr="00DE12A3">
        <w:rPr>
          <w:color w:val="auto"/>
          <w:sz w:val="24"/>
          <w:szCs w:val="24"/>
        </w:rPr>
        <w:t xml:space="preserve"> olarak kaydedilmelidir</w:t>
      </w:r>
      <w:r w:rsidR="00163FD5" w:rsidRPr="00DE12A3">
        <w:rPr>
          <w:color w:val="auto"/>
          <w:sz w:val="24"/>
          <w:szCs w:val="24"/>
        </w:rPr>
        <w:t>.</w:t>
      </w:r>
    </w:p>
    <w:p w14:paraId="1A4C7494" w14:textId="63FB9477" w:rsidR="002D7B36" w:rsidRPr="00DE12A3" w:rsidRDefault="00C57699" w:rsidP="00E20716">
      <w:pPr>
        <w:pStyle w:val="Gvdemetni255"/>
        <w:numPr>
          <w:ilvl w:val="0"/>
          <w:numId w:val="281"/>
        </w:numPr>
        <w:shd w:val="clear" w:color="auto" w:fill="auto"/>
        <w:spacing w:before="120" w:after="120" w:line="240" w:lineRule="auto"/>
        <w:ind w:left="2268" w:hanging="567"/>
        <w:rPr>
          <w:color w:val="auto"/>
          <w:sz w:val="24"/>
          <w:szCs w:val="24"/>
        </w:rPr>
      </w:pPr>
      <w:r w:rsidRPr="00DE12A3">
        <w:rPr>
          <w:i/>
          <w:iCs/>
          <w:color w:val="auto"/>
          <w:sz w:val="24"/>
          <w:szCs w:val="24"/>
        </w:rPr>
        <w:t xml:space="preserve">   </w:t>
      </w:r>
      <w:r w:rsidR="00242DA0" w:rsidRPr="00DE12A3">
        <w:rPr>
          <w:i/>
          <w:iCs/>
          <w:color w:val="auto"/>
          <w:sz w:val="24"/>
          <w:szCs w:val="24"/>
        </w:rPr>
        <w:t>x</w:t>
      </w:r>
      <w:r w:rsidR="00242DA0" w:rsidRPr="00DE12A3">
        <w:rPr>
          <w:color w:val="auto"/>
          <w:sz w:val="24"/>
          <w:szCs w:val="24"/>
          <w:vertAlign w:val="subscript"/>
        </w:rPr>
        <w:t>NOxmeas</w:t>
      </w:r>
      <w:r w:rsidR="00242DA0" w:rsidRPr="00DE12A3">
        <w:rPr>
          <w:color w:val="auto"/>
          <w:sz w:val="24"/>
          <w:szCs w:val="24"/>
        </w:rPr>
        <w:t xml:space="preserve">, geçen numune kurutucunun çıkış sıcaklığında ve basıncında numune kurutucunun içinden geçen artık su buharına bağlı olarak </w:t>
      </w:r>
      <w:r w:rsidR="00242DA0" w:rsidRPr="00DE12A3">
        <w:rPr>
          <w:i/>
          <w:iCs/>
          <w:color w:val="auto"/>
          <w:sz w:val="24"/>
          <w:szCs w:val="24"/>
        </w:rPr>
        <w:t>x</w:t>
      </w:r>
      <w:r w:rsidR="00242DA0" w:rsidRPr="00DE12A3">
        <w:rPr>
          <w:color w:val="auto"/>
          <w:sz w:val="24"/>
          <w:szCs w:val="24"/>
          <w:vertAlign w:val="subscript"/>
        </w:rPr>
        <w:t>NOxdry</w:t>
      </w:r>
      <w:r w:rsidR="00242DA0" w:rsidRPr="00DE12A3">
        <w:rPr>
          <w:color w:val="auto"/>
          <w:sz w:val="24"/>
          <w:szCs w:val="24"/>
        </w:rPr>
        <w:t>'ye düzeltilmelidir</w:t>
      </w:r>
      <w:r w:rsidR="00163FD5" w:rsidRPr="00DE12A3">
        <w:rPr>
          <w:color w:val="auto"/>
          <w:sz w:val="24"/>
          <w:szCs w:val="24"/>
        </w:rPr>
        <w:t>.</w:t>
      </w:r>
    </w:p>
    <w:p w14:paraId="022113B5" w14:textId="77777777" w:rsidR="002D7B36" w:rsidRPr="00DE12A3" w:rsidRDefault="00C57699" w:rsidP="00E20716">
      <w:pPr>
        <w:pStyle w:val="Gvdemetni255"/>
        <w:numPr>
          <w:ilvl w:val="0"/>
          <w:numId w:val="280"/>
        </w:numPr>
        <w:shd w:val="clear" w:color="auto" w:fill="auto"/>
        <w:spacing w:before="120" w:after="120" w:line="240" w:lineRule="auto"/>
        <w:ind w:left="1701" w:hanging="567"/>
        <w:rPr>
          <w:color w:val="auto"/>
          <w:sz w:val="24"/>
          <w:szCs w:val="24"/>
        </w:rPr>
      </w:pPr>
      <w:r w:rsidRPr="00DE12A3">
        <w:rPr>
          <w:color w:val="auto"/>
          <w:sz w:val="24"/>
          <w:szCs w:val="24"/>
        </w:rPr>
        <w:t xml:space="preserve">    </w:t>
      </w:r>
      <w:r w:rsidR="00242DA0" w:rsidRPr="00DE12A3">
        <w:rPr>
          <w:color w:val="auto"/>
          <w:sz w:val="24"/>
          <w:szCs w:val="24"/>
        </w:rPr>
        <w:t xml:space="preserve">Performans değerlendirmesi. </w:t>
      </w:r>
      <w:r w:rsidR="00242DA0" w:rsidRPr="00DE12A3">
        <w:rPr>
          <w:i/>
          <w:iCs/>
          <w:color w:val="auto"/>
          <w:sz w:val="24"/>
          <w:szCs w:val="24"/>
        </w:rPr>
        <w:t>x</w:t>
      </w:r>
      <w:r w:rsidR="00242DA0" w:rsidRPr="00DE12A3">
        <w:rPr>
          <w:color w:val="auto"/>
          <w:sz w:val="24"/>
          <w:szCs w:val="24"/>
          <w:vertAlign w:val="subscript"/>
        </w:rPr>
        <w:t>NOxdry</w:t>
      </w:r>
      <w:r w:rsidR="00242DA0" w:rsidRPr="00DE12A3">
        <w:rPr>
          <w:color w:val="auto"/>
          <w:sz w:val="24"/>
          <w:szCs w:val="24"/>
        </w:rPr>
        <w:t xml:space="preserve">, </w:t>
      </w:r>
      <w:r w:rsidR="00242DA0" w:rsidRPr="00DE12A3">
        <w:rPr>
          <w:i/>
          <w:iCs/>
          <w:color w:val="auto"/>
          <w:sz w:val="24"/>
          <w:szCs w:val="24"/>
        </w:rPr>
        <w:t>x</w:t>
      </w:r>
      <w:r w:rsidR="00242DA0" w:rsidRPr="00DE12A3">
        <w:rPr>
          <w:color w:val="auto"/>
          <w:sz w:val="24"/>
          <w:szCs w:val="24"/>
          <w:vertAlign w:val="subscript"/>
        </w:rPr>
        <w:t>NOxref</w:t>
      </w:r>
      <w:r w:rsidR="00242DA0" w:rsidRPr="00DE12A3">
        <w:rPr>
          <w:color w:val="auto"/>
          <w:sz w:val="24"/>
          <w:szCs w:val="24"/>
        </w:rPr>
        <w:t>'in %95'inden azsa, numune kurutucu onarılmalı veya değiştirilmelidir.</w:t>
      </w:r>
    </w:p>
    <w:p w14:paraId="49FDB43C" w14:textId="0AFB4551" w:rsidR="002D7B36" w:rsidRPr="00DE12A3" w:rsidRDefault="00242DA0" w:rsidP="00E20716">
      <w:pPr>
        <w:pStyle w:val="Gvdemetni255"/>
        <w:numPr>
          <w:ilvl w:val="0"/>
          <w:numId w:val="282"/>
        </w:numPr>
        <w:shd w:val="clear" w:color="auto" w:fill="auto"/>
        <w:tabs>
          <w:tab w:val="left" w:pos="567"/>
          <w:tab w:val="left" w:pos="851"/>
        </w:tabs>
        <w:spacing w:before="120" w:after="120" w:line="240" w:lineRule="auto"/>
        <w:ind w:left="1134" w:hanging="1134"/>
        <w:rPr>
          <w:color w:val="auto"/>
          <w:sz w:val="24"/>
          <w:szCs w:val="24"/>
        </w:rPr>
      </w:pPr>
      <w:r w:rsidRPr="00DE12A3">
        <w:rPr>
          <w:color w:val="auto"/>
          <w:sz w:val="24"/>
          <w:szCs w:val="24"/>
        </w:rPr>
        <w:t>NO</w:t>
      </w:r>
      <w:r w:rsidR="003440D3" w:rsidRPr="00DE12A3">
        <w:rPr>
          <w:color w:val="auto"/>
          <w:sz w:val="24"/>
          <w:szCs w:val="24"/>
          <w:vertAlign w:val="subscript"/>
        </w:rPr>
        <w:t>2</w:t>
      </w:r>
      <w:r w:rsidR="003440D3" w:rsidRPr="00DE12A3">
        <w:rPr>
          <w:color w:val="auto"/>
          <w:sz w:val="24"/>
          <w:szCs w:val="24"/>
        </w:rPr>
        <w:t>-</w:t>
      </w:r>
      <w:r w:rsidRPr="00DE12A3">
        <w:rPr>
          <w:color w:val="auto"/>
          <w:sz w:val="24"/>
          <w:szCs w:val="24"/>
        </w:rPr>
        <w:t xml:space="preserve"> NO konvertörü dönüştürme doğrulaması</w:t>
      </w:r>
    </w:p>
    <w:p w14:paraId="24F84575" w14:textId="77777777" w:rsidR="002D7B36" w:rsidRPr="00DE12A3" w:rsidRDefault="00242DA0" w:rsidP="00E20716">
      <w:pPr>
        <w:pStyle w:val="Gvdemetni255"/>
        <w:numPr>
          <w:ilvl w:val="0"/>
          <w:numId w:val="283"/>
        </w:numPr>
        <w:shd w:val="clear" w:color="auto" w:fill="auto"/>
        <w:tabs>
          <w:tab w:val="left" w:pos="916"/>
        </w:tabs>
        <w:spacing w:before="120" w:after="120" w:line="240" w:lineRule="auto"/>
        <w:ind w:left="1134" w:hanging="1134"/>
        <w:rPr>
          <w:color w:val="auto"/>
          <w:sz w:val="24"/>
          <w:szCs w:val="24"/>
        </w:rPr>
      </w:pPr>
      <w:r w:rsidRPr="00DE12A3">
        <w:rPr>
          <w:color w:val="auto"/>
          <w:sz w:val="24"/>
          <w:szCs w:val="24"/>
        </w:rPr>
        <w:t>Kapsam ve sıklık</w:t>
      </w:r>
    </w:p>
    <w:p w14:paraId="638D53F2" w14:textId="1F7C59EE" w:rsidR="002D7B36" w:rsidRPr="00DE12A3" w:rsidRDefault="00C57699" w:rsidP="00C917D6">
      <w:pPr>
        <w:pStyle w:val="Gvdemetni255"/>
        <w:shd w:val="clear" w:color="auto" w:fill="auto"/>
        <w:spacing w:before="120" w:after="120" w:line="240" w:lineRule="auto"/>
        <w:ind w:left="1134" w:hanging="1134"/>
        <w:rPr>
          <w:color w:val="auto"/>
          <w:sz w:val="24"/>
          <w:szCs w:val="24"/>
        </w:rPr>
      </w:pPr>
      <w:r w:rsidRPr="00DE12A3">
        <w:rPr>
          <w:color w:val="auto"/>
          <w:sz w:val="24"/>
          <w:szCs w:val="24"/>
        </w:rPr>
        <w:t xml:space="preserve">                  </w:t>
      </w:r>
      <w:r w:rsidR="00242DA0" w:rsidRPr="00DE12A3">
        <w:rPr>
          <w:color w:val="auto"/>
          <w:sz w:val="24"/>
          <w:szCs w:val="24"/>
        </w:rPr>
        <w:t>NO</w:t>
      </w:r>
      <w:r w:rsidR="00242DA0" w:rsidRPr="00DE12A3">
        <w:rPr>
          <w:color w:val="auto"/>
          <w:sz w:val="24"/>
          <w:szCs w:val="24"/>
          <w:vertAlign w:val="subscript"/>
        </w:rPr>
        <w:t>x</w:t>
      </w:r>
      <w:r w:rsidR="00242DA0" w:rsidRPr="00DE12A3">
        <w:rPr>
          <w:color w:val="auto"/>
          <w:sz w:val="24"/>
          <w:szCs w:val="24"/>
        </w:rPr>
        <w:t>'i belirlemek için sadece NO'yi ölçen bir analiz cihazı kullanılırsa, analiz cihazının giriş tarafında bir NO</w:t>
      </w:r>
      <w:r w:rsidR="003440D3" w:rsidRPr="00DE12A3">
        <w:rPr>
          <w:color w:val="auto"/>
          <w:sz w:val="24"/>
          <w:szCs w:val="24"/>
          <w:vertAlign w:val="subscript"/>
        </w:rPr>
        <w:t>2</w:t>
      </w:r>
      <w:r w:rsidR="003440D3" w:rsidRPr="00DE12A3">
        <w:rPr>
          <w:color w:val="auto"/>
          <w:sz w:val="24"/>
          <w:szCs w:val="24"/>
        </w:rPr>
        <w:t>-</w:t>
      </w:r>
      <w:r w:rsidR="00242DA0" w:rsidRPr="00DE12A3">
        <w:rPr>
          <w:color w:val="auto"/>
          <w:sz w:val="24"/>
          <w:szCs w:val="24"/>
        </w:rPr>
        <w:t xml:space="preserve"> NO konvertör kullanılır. Bu doğrulama, konvertörün montajndan sonra, büyük bir bakımın ardından ve emisyon testinden önceki 35 gün içinde yapılmalıdır. Bu doğrulama, NO</w:t>
      </w:r>
      <w:r w:rsidR="00A43271" w:rsidRPr="00DE12A3">
        <w:rPr>
          <w:color w:val="auto"/>
          <w:sz w:val="24"/>
          <w:szCs w:val="24"/>
          <w:vertAlign w:val="subscript"/>
        </w:rPr>
        <w:t>2</w:t>
      </w:r>
      <w:r w:rsidR="00A43271" w:rsidRPr="00DE12A3">
        <w:rPr>
          <w:color w:val="auto"/>
          <w:sz w:val="24"/>
          <w:szCs w:val="24"/>
        </w:rPr>
        <w:t>-</w:t>
      </w:r>
      <w:r w:rsidR="00242DA0" w:rsidRPr="00DE12A3">
        <w:rPr>
          <w:color w:val="auto"/>
          <w:sz w:val="24"/>
          <w:szCs w:val="24"/>
        </w:rPr>
        <w:t xml:space="preserve"> NO konvertörün katalitik çalışmasının bozulmadığını doğrulamak için bu sıklıkta tekrarlanmalıdır.</w:t>
      </w:r>
    </w:p>
    <w:p w14:paraId="3FDA5ED4" w14:textId="77777777" w:rsidR="002D7B36" w:rsidRPr="00DE12A3" w:rsidRDefault="00242DA0" w:rsidP="00E20716">
      <w:pPr>
        <w:pStyle w:val="Gvdemetni255"/>
        <w:numPr>
          <w:ilvl w:val="0"/>
          <w:numId w:val="283"/>
        </w:numPr>
        <w:shd w:val="clear" w:color="auto" w:fill="auto"/>
        <w:spacing w:before="120" w:after="120" w:line="240" w:lineRule="auto"/>
        <w:ind w:left="1134" w:hanging="1134"/>
        <w:rPr>
          <w:color w:val="auto"/>
          <w:sz w:val="24"/>
          <w:szCs w:val="24"/>
        </w:rPr>
      </w:pPr>
      <w:r w:rsidRPr="00DE12A3">
        <w:rPr>
          <w:color w:val="auto"/>
          <w:sz w:val="24"/>
          <w:szCs w:val="24"/>
        </w:rPr>
        <w:t>Ölçüm ilkeleri</w:t>
      </w:r>
    </w:p>
    <w:p w14:paraId="3774C4C8" w14:textId="77777777" w:rsidR="002D7B36" w:rsidRPr="00DE12A3" w:rsidRDefault="00C57699" w:rsidP="00C917D6">
      <w:pPr>
        <w:pStyle w:val="Gvdemetni255"/>
        <w:shd w:val="clear" w:color="auto" w:fill="auto"/>
        <w:spacing w:before="120" w:after="120" w:line="240" w:lineRule="auto"/>
        <w:ind w:left="1134" w:hanging="1134"/>
        <w:rPr>
          <w:color w:val="auto"/>
          <w:sz w:val="24"/>
          <w:szCs w:val="24"/>
        </w:rPr>
      </w:pPr>
      <w:r w:rsidRPr="00DE12A3">
        <w:rPr>
          <w:color w:val="auto"/>
          <w:sz w:val="24"/>
          <w:szCs w:val="24"/>
        </w:rPr>
        <w:t xml:space="preserve">                  </w:t>
      </w:r>
      <w:r w:rsidR="00242DA0" w:rsidRPr="00DE12A3">
        <w:rPr>
          <w:color w:val="auto"/>
          <w:sz w:val="24"/>
          <w:szCs w:val="24"/>
        </w:rPr>
        <w:t>NO</w:t>
      </w:r>
      <w:r w:rsidR="006F30D6" w:rsidRPr="00DE12A3">
        <w:rPr>
          <w:color w:val="auto"/>
          <w:sz w:val="24"/>
          <w:szCs w:val="24"/>
          <w:vertAlign w:val="subscript"/>
        </w:rPr>
        <w:t>2</w:t>
      </w:r>
      <w:r w:rsidR="006F30D6" w:rsidRPr="00DE12A3">
        <w:rPr>
          <w:color w:val="auto"/>
          <w:sz w:val="24"/>
          <w:szCs w:val="24"/>
        </w:rPr>
        <w:t>-</w:t>
      </w:r>
      <w:r w:rsidR="00242DA0" w:rsidRPr="00DE12A3">
        <w:rPr>
          <w:color w:val="auto"/>
          <w:sz w:val="24"/>
          <w:szCs w:val="24"/>
        </w:rPr>
        <w:t xml:space="preserve"> NO konvertör, egzoz gazı içindeki NO</w:t>
      </w:r>
      <w:r w:rsidR="00242DA0" w:rsidRPr="00DE12A3">
        <w:rPr>
          <w:color w:val="auto"/>
          <w:sz w:val="24"/>
          <w:szCs w:val="24"/>
          <w:vertAlign w:val="subscript"/>
        </w:rPr>
        <w:t>2</w:t>
      </w:r>
      <w:r w:rsidR="00242DA0" w:rsidRPr="00DE12A3">
        <w:rPr>
          <w:color w:val="auto"/>
          <w:sz w:val="24"/>
          <w:szCs w:val="24"/>
        </w:rPr>
        <w:t>'yi NO'ya dönüştürerek toplam NO</w:t>
      </w:r>
      <w:r w:rsidR="00242DA0" w:rsidRPr="00DE12A3">
        <w:rPr>
          <w:color w:val="auto"/>
          <w:sz w:val="24"/>
          <w:szCs w:val="24"/>
          <w:vertAlign w:val="subscript"/>
        </w:rPr>
        <w:t>x</w:t>
      </w:r>
      <w:r w:rsidR="00242DA0" w:rsidRPr="00DE12A3">
        <w:rPr>
          <w:color w:val="auto"/>
          <w:sz w:val="24"/>
          <w:szCs w:val="24"/>
        </w:rPr>
        <w:t>'i belirlemek için sadece NO'yu ölçen bir analiz cihazı sağlar.</w:t>
      </w:r>
    </w:p>
    <w:p w14:paraId="15ADF75D" w14:textId="77777777" w:rsidR="002D7B36" w:rsidRPr="00DE12A3" w:rsidRDefault="00242DA0" w:rsidP="00E20716">
      <w:pPr>
        <w:pStyle w:val="Gvdemetni255"/>
        <w:numPr>
          <w:ilvl w:val="0"/>
          <w:numId w:val="283"/>
        </w:numPr>
        <w:shd w:val="clear" w:color="auto" w:fill="auto"/>
        <w:tabs>
          <w:tab w:val="left" w:pos="916"/>
        </w:tabs>
        <w:spacing w:before="120" w:after="120" w:line="240" w:lineRule="auto"/>
        <w:ind w:left="1134" w:hanging="1134"/>
        <w:rPr>
          <w:color w:val="auto"/>
          <w:sz w:val="24"/>
          <w:szCs w:val="24"/>
        </w:rPr>
      </w:pPr>
      <w:r w:rsidRPr="00DE12A3">
        <w:rPr>
          <w:color w:val="auto"/>
          <w:sz w:val="24"/>
          <w:szCs w:val="24"/>
        </w:rPr>
        <w:t xml:space="preserve">Sistem </w:t>
      </w:r>
      <w:r w:rsidR="0053289F" w:rsidRPr="00DE12A3">
        <w:rPr>
          <w:color w:val="auto"/>
          <w:sz w:val="24"/>
          <w:szCs w:val="24"/>
        </w:rPr>
        <w:t>gereklilikleri</w:t>
      </w:r>
    </w:p>
    <w:p w14:paraId="4DF761EF" w14:textId="51306F97" w:rsidR="002D7B36" w:rsidRPr="00DE12A3" w:rsidRDefault="00C57699" w:rsidP="00C917D6">
      <w:pPr>
        <w:pStyle w:val="Gvdemetni255"/>
        <w:shd w:val="clear" w:color="auto" w:fill="auto"/>
        <w:spacing w:before="120" w:after="120" w:line="240" w:lineRule="auto"/>
        <w:ind w:left="1134" w:hanging="1134"/>
        <w:rPr>
          <w:color w:val="auto"/>
          <w:sz w:val="24"/>
          <w:szCs w:val="24"/>
        </w:rPr>
      </w:pPr>
      <w:r w:rsidRPr="00DE12A3">
        <w:rPr>
          <w:color w:val="auto"/>
          <w:sz w:val="24"/>
          <w:szCs w:val="24"/>
        </w:rPr>
        <w:t xml:space="preserve">                  </w:t>
      </w:r>
      <w:r w:rsidR="00242DA0" w:rsidRPr="00DE12A3">
        <w:rPr>
          <w:color w:val="auto"/>
          <w:sz w:val="24"/>
          <w:szCs w:val="24"/>
        </w:rPr>
        <w:t>NO</w:t>
      </w:r>
      <w:r w:rsidR="00A43271" w:rsidRPr="00DE12A3">
        <w:rPr>
          <w:color w:val="auto"/>
          <w:sz w:val="24"/>
          <w:szCs w:val="24"/>
          <w:vertAlign w:val="subscript"/>
        </w:rPr>
        <w:t>2</w:t>
      </w:r>
      <w:r w:rsidR="00A43271" w:rsidRPr="00DE12A3">
        <w:rPr>
          <w:color w:val="auto"/>
          <w:sz w:val="24"/>
          <w:szCs w:val="24"/>
        </w:rPr>
        <w:t>-</w:t>
      </w:r>
      <w:r w:rsidR="00242DA0" w:rsidRPr="00DE12A3">
        <w:rPr>
          <w:color w:val="auto"/>
          <w:sz w:val="24"/>
          <w:szCs w:val="24"/>
        </w:rPr>
        <w:t xml:space="preserve"> NO konvertörü, beklenen azami NO</w:t>
      </w:r>
      <w:r w:rsidR="00242DA0" w:rsidRPr="00DE12A3">
        <w:rPr>
          <w:color w:val="auto"/>
          <w:sz w:val="24"/>
          <w:szCs w:val="24"/>
          <w:vertAlign w:val="subscript"/>
        </w:rPr>
        <w:t>2</w:t>
      </w:r>
      <w:r w:rsidR="00242DA0" w:rsidRPr="00DE12A3">
        <w:rPr>
          <w:color w:val="auto"/>
          <w:sz w:val="24"/>
          <w:szCs w:val="24"/>
        </w:rPr>
        <w:t xml:space="preserve"> konsantrasyonunda toplam NO</w:t>
      </w:r>
      <w:r w:rsidR="00242DA0" w:rsidRPr="00DE12A3">
        <w:rPr>
          <w:color w:val="auto"/>
          <w:sz w:val="24"/>
          <w:szCs w:val="24"/>
          <w:vertAlign w:val="subscript"/>
        </w:rPr>
        <w:t>2</w:t>
      </w:r>
      <w:r w:rsidR="00242DA0" w:rsidRPr="00DE12A3">
        <w:rPr>
          <w:color w:val="auto"/>
          <w:sz w:val="24"/>
          <w:szCs w:val="24"/>
        </w:rPr>
        <w:t>'nin en az %95'inin ölçülmesine imkan tanımalıdır.</w:t>
      </w:r>
    </w:p>
    <w:p w14:paraId="2674DBAD" w14:textId="77777777" w:rsidR="002D7B36" w:rsidRPr="00DE12A3" w:rsidRDefault="00242DA0" w:rsidP="00E20716">
      <w:pPr>
        <w:pStyle w:val="Gvdemetni255"/>
        <w:numPr>
          <w:ilvl w:val="0"/>
          <w:numId w:val="284"/>
        </w:numPr>
        <w:shd w:val="clear" w:color="auto" w:fill="auto"/>
        <w:spacing w:before="120" w:after="120" w:line="240" w:lineRule="auto"/>
        <w:ind w:left="1134" w:hanging="1134"/>
        <w:rPr>
          <w:color w:val="auto"/>
          <w:sz w:val="24"/>
          <w:szCs w:val="24"/>
        </w:rPr>
      </w:pPr>
      <w:r w:rsidRPr="00DE12A3">
        <w:rPr>
          <w:color w:val="auto"/>
          <w:sz w:val="24"/>
          <w:szCs w:val="24"/>
        </w:rPr>
        <w:t>Prosedür</w:t>
      </w:r>
    </w:p>
    <w:p w14:paraId="6C1C4B1F" w14:textId="50650A3A" w:rsidR="002D7B36" w:rsidRPr="00DE12A3" w:rsidRDefault="00C57699" w:rsidP="00C917D6">
      <w:pPr>
        <w:pStyle w:val="Gvdemetni255"/>
        <w:shd w:val="clear" w:color="auto" w:fill="auto"/>
        <w:spacing w:before="120" w:after="120" w:line="240" w:lineRule="auto"/>
        <w:ind w:left="1134" w:hanging="1134"/>
        <w:rPr>
          <w:color w:val="auto"/>
        </w:rPr>
      </w:pPr>
      <w:r w:rsidRPr="00DE12A3">
        <w:rPr>
          <w:color w:val="auto"/>
          <w:sz w:val="24"/>
          <w:szCs w:val="24"/>
        </w:rPr>
        <w:t xml:space="preserve">                  </w:t>
      </w:r>
      <w:r w:rsidR="00242DA0" w:rsidRPr="00DE12A3">
        <w:rPr>
          <w:color w:val="auto"/>
          <w:sz w:val="24"/>
          <w:szCs w:val="24"/>
        </w:rPr>
        <w:t>NO</w:t>
      </w:r>
      <w:r w:rsidR="00A43271" w:rsidRPr="00DE12A3">
        <w:rPr>
          <w:color w:val="auto"/>
          <w:sz w:val="24"/>
          <w:szCs w:val="24"/>
          <w:vertAlign w:val="subscript"/>
        </w:rPr>
        <w:t>2</w:t>
      </w:r>
      <w:r w:rsidR="00A43271" w:rsidRPr="00DE12A3">
        <w:rPr>
          <w:color w:val="auto"/>
          <w:sz w:val="24"/>
          <w:szCs w:val="24"/>
        </w:rPr>
        <w:t>-</w:t>
      </w:r>
      <w:r w:rsidR="00242DA0" w:rsidRPr="00DE12A3">
        <w:rPr>
          <w:color w:val="auto"/>
          <w:sz w:val="24"/>
          <w:szCs w:val="24"/>
        </w:rPr>
        <w:t xml:space="preserve"> NO konvertörünün performansını doğrulamak için aşağıdaki prosedür kullanılır:</w:t>
      </w:r>
    </w:p>
    <w:p w14:paraId="147AC4D9" w14:textId="457B76AB" w:rsidR="002D7B36" w:rsidRPr="00DE12A3" w:rsidRDefault="00C57699" w:rsidP="00E20716">
      <w:pPr>
        <w:pStyle w:val="Gvdemetni255"/>
        <w:numPr>
          <w:ilvl w:val="0"/>
          <w:numId w:val="285"/>
        </w:numPr>
        <w:shd w:val="clear" w:color="auto" w:fill="auto"/>
        <w:spacing w:before="120" w:after="120" w:line="240" w:lineRule="auto"/>
        <w:ind w:left="1701" w:hanging="567"/>
        <w:rPr>
          <w:color w:val="auto"/>
          <w:sz w:val="24"/>
          <w:szCs w:val="24"/>
        </w:rPr>
      </w:pPr>
      <w:r w:rsidRPr="00DE12A3">
        <w:rPr>
          <w:color w:val="auto"/>
          <w:sz w:val="24"/>
          <w:szCs w:val="24"/>
        </w:rPr>
        <w:t xml:space="preserve">     </w:t>
      </w:r>
      <w:r w:rsidR="00242DA0" w:rsidRPr="00DE12A3">
        <w:rPr>
          <w:color w:val="auto"/>
          <w:sz w:val="24"/>
          <w:szCs w:val="24"/>
        </w:rPr>
        <w:t>Cihaz kurulumu için analiz cihazı ve NO</w:t>
      </w:r>
      <w:r w:rsidR="006F30D6" w:rsidRPr="00DE12A3">
        <w:rPr>
          <w:color w:val="auto"/>
          <w:sz w:val="24"/>
          <w:szCs w:val="24"/>
          <w:vertAlign w:val="subscript"/>
        </w:rPr>
        <w:t>2</w:t>
      </w:r>
      <w:r w:rsidR="006F30D6" w:rsidRPr="00DE12A3">
        <w:rPr>
          <w:color w:val="auto"/>
          <w:sz w:val="24"/>
          <w:szCs w:val="24"/>
        </w:rPr>
        <w:t>-</w:t>
      </w:r>
      <w:r w:rsidR="00242DA0" w:rsidRPr="00DE12A3">
        <w:rPr>
          <w:color w:val="auto"/>
          <w:sz w:val="24"/>
          <w:szCs w:val="24"/>
        </w:rPr>
        <w:t>NO konvertörü imalatçılarının çalıştırma ve işletme talimatlarına uyulmalıdır. Analiz cihazı ve konvertör, performansı optimize etmek için gerektiği şekilde ayarlanmalıdır</w:t>
      </w:r>
      <w:r w:rsidR="00163FD5" w:rsidRPr="00DE12A3">
        <w:rPr>
          <w:color w:val="auto"/>
          <w:sz w:val="24"/>
          <w:szCs w:val="24"/>
        </w:rPr>
        <w:t>.</w:t>
      </w:r>
    </w:p>
    <w:p w14:paraId="44DE718E" w14:textId="2C844501" w:rsidR="002D7B36" w:rsidRPr="00DE12A3" w:rsidRDefault="00242DA0" w:rsidP="00E20716">
      <w:pPr>
        <w:pStyle w:val="Gvdemetni255"/>
        <w:numPr>
          <w:ilvl w:val="0"/>
          <w:numId w:val="285"/>
        </w:numPr>
        <w:shd w:val="clear" w:color="auto" w:fill="auto"/>
        <w:spacing w:before="120" w:after="120" w:line="240" w:lineRule="auto"/>
        <w:ind w:left="1701" w:hanging="567"/>
        <w:rPr>
          <w:color w:val="auto"/>
          <w:sz w:val="24"/>
          <w:szCs w:val="24"/>
        </w:rPr>
      </w:pPr>
      <w:r w:rsidRPr="00DE12A3">
        <w:rPr>
          <w:color w:val="auto"/>
          <w:sz w:val="24"/>
          <w:szCs w:val="24"/>
        </w:rPr>
        <w:t>Ozonatörün girişi, bir sıfır hava veya oksijen kaynağına bağlanmalı ve çıkışı, 3 yollu T-şeklindeki bağlantının bir portuna bağlanmalıdır. Bir NO ayar gazı başka bir porta bağlanmalı ve NO</w:t>
      </w:r>
      <w:r w:rsidR="006F30D6" w:rsidRPr="00DE12A3">
        <w:rPr>
          <w:color w:val="auto"/>
          <w:sz w:val="24"/>
          <w:szCs w:val="24"/>
          <w:vertAlign w:val="subscript"/>
        </w:rPr>
        <w:t>2</w:t>
      </w:r>
      <w:r w:rsidR="006F30D6" w:rsidRPr="00DE12A3">
        <w:rPr>
          <w:color w:val="auto"/>
          <w:sz w:val="24"/>
          <w:szCs w:val="24"/>
        </w:rPr>
        <w:t>-</w:t>
      </w:r>
      <w:r w:rsidRPr="00DE12A3">
        <w:rPr>
          <w:color w:val="auto"/>
          <w:sz w:val="24"/>
          <w:szCs w:val="24"/>
        </w:rPr>
        <w:t>NO konvertör girişi son porta bağlanmalıdır</w:t>
      </w:r>
      <w:r w:rsidR="00163FD5" w:rsidRPr="00DE12A3">
        <w:rPr>
          <w:color w:val="auto"/>
          <w:sz w:val="24"/>
          <w:szCs w:val="24"/>
        </w:rPr>
        <w:t>.</w:t>
      </w:r>
    </w:p>
    <w:p w14:paraId="24B71B52" w14:textId="77777777" w:rsidR="002D7B36" w:rsidRPr="00DE12A3" w:rsidRDefault="00C57699" w:rsidP="00E20716">
      <w:pPr>
        <w:pStyle w:val="Gvdemetni255"/>
        <w:numPr>
          <w:ilvl w:val="0"/>
          <w:numId w:val="285"/>
        </w:numPr>
        <w:shd w:val="clear" w:color="auto" w:fill="auto"/>
        <w:spacing w:before="120" w:after="120" w:line="240" w:lineRule="auto"/>
        <w:ind w:left="1701" w:hanging="567"/>
        <w:rPr>
          <w:color w:val="auto"/>
          <w:sz w:val="24"/>
          <w:szCs w:val="24"/>
        </w:rPr>
      </w:pPr>
      <w:r w:rsidRPr="00DE12A3">
        <w:rPr>
          <w:color w:val="auto"/>
          <w:sz w:val="24"/>
          <w:szCs w:val="24"/>
        </w:rPr>
        <w:t xml:space="preserve">    </w:t>
      </w:r>
      <w:r w:rsidR="00242DA0" w:rsidRPr="00DE12A3">
        <w:rPr>
          <w:color w:val="auto"/>
          <w:sz w:val="24"/>
          <w:szCs w:val="24"/>
        </w:rPr>
        <w:t>Bu kontrol yapılırken aşağıdaki adımlar atılmalıdır:</w:t>
      </w:r>
    </w:p>
    <w:p w14:paraId="1F9FDE40" w14:textId="69580AC2" w:rsidR="002D7B36" w:rsidRPr="00DE12A3" w:rsidRDefault="00C57699" w:rsidP="00E20716">
      <w:pPr>
        <w:pStyle w:val="Gvdemetni255"/>
        <w:numPr>
          <w:ilvl w:val="0"/>
          <w:numId w:val="286"/>
        </w:numPr>
        <w:shd w:val="clear" w:color="auto" w:fill="auto"/>
        <w:spacing w:before="120" w:after="120" w:line="240" w:lineRule="auto"/>
        <w:ind w:left="2268" w:hanging="567"/>
        <w:rPr>
          <w:color w:val="auto"/>
          <w:sz w:val="24"/>
          <w:szCs w:val="24"/>
        </w:rPr>
      </w:pPr>
      <w:r w:rsidRPr="00DE12A3">
        <w:rPr>
          <w:color w:val="auto"/>
          <w:sz w:val="24"/>
          <w:szCs w:val="24"/>
        </w:rPr>
        <w:t xml:space="preserve">  </w:t>
      </w:r>
      <w:r w:rsidR="00242DA0" w:rsidRPr="00DE12A3">
        <w:rPr>
          <w:color w:val="auto"/>
          <w:sz w:val="24"/>
          <w:szCs w:val="24"/>
        </w:rPr>
        <w:t>Ozonatör havası kapatılmalı ve ozonatör gücü kapatılmalı ve NO</w:t>
      </w:r>
      <w:r w:rsidR="00A43271" w:rsidRPr="00DE12A3">
        <w:rPr>
          <w:color w:val="auto"/>
          <w:sz w:val="24"/>
          <w:szCs w:val="24"/>
          <w:vertAlign w:val="subscript"/>
        </w:rPr>
        <w:t>2</w:t>
      </w:r>
      <w:r w:rsidR="00A43271" w:rsidRPr="00DE12A3">
        <w:rPr>
          <w:color w:val="auto"/>
          <w:sz w:val="24"/>
          <w:szCs w:val="24"/>
        </w:rPr>
        <w:t>-</w:t>
      </w:r>
      <w:r w:rsidR="00242DA0" w:rsidRPr="00DE12A3">
        <w:rPr>
          <w:color w:val="auto"/>
          <w:sz w:val="24"/>
          <w:szCs w:val="24"/>
        </w:rPr>
        <w:t xml:space="preserve"> NO konvertörü bypass moduna (yani NO moduna) ayarlanmalıdır. Sadece aktarım gecikmeleri ve cihaz tepkisi hesaba katılarak dengelenmeye zaman tanınmalıdır</w:t>
      </w:r>
      <w:r w:rsidR="00163FD5" w:rsidRPr="00DE12A3">
        <w:rPr>
          <w:color w:val="auto"/>
          <w:sz w:val="24"/>
          <w:szCs w:val="24"/>
        </w:rPr>
        <w:t>.</w:t>
      </w:r>
    </w:p>
    <w:p w14:paraId="531DFF56" w14:textId="71A194AF" w:rsidR="002D7B36" w:rsidRPr="00DE12A3" w:rsidRDefault="00242DA0" w:rsidP="00E20716">
      <w:pPr>
        <w:pStyle w:val="Gvdemetni255"/>
        <w:numPr>
          <w:ilvl w:val="0"/>
          <w:numId w:val="286"/>
        </w:numPr>
        <w:shd w:val="clear" w:color="auto" w:fill="auto"/>
        <w:spacing w:before="120" w:after="120" w:line="240" w:lineRule="auto"/>
        <w:ind w:left="2268" w:hanging="567"/>
        <w:rPr>
          <w:color w:val="auto"/>
          <w:sz w:val="24"/>
          <w:szCs w:val="24"/>
        </w:rPr>
      </w:pPr>
      <w:r w:rsidRPr="00DE12A3">
        <w:rPr>
          <w:color w:val="auto"/>
          <w:sz w:val="24"/>
          <w:szCs w:val="24"/>
        </w:rPr>
        <w:t>NO ve sıfır gaz akışları, analiz cihazındaki NO konsantrasyonu, test sırasında beklenen tepe toplam NO</w:t>
      </w:r>
      <w:r w:rsidRPr="00DE12A3">
        <w:rPr>
          <w:color w:val="auto"/>
          <w:sz w:val="24"/>
          <w:szCs w:val="24"/>
          <w:vertAlign w:val="subscript"/>
        </w:rPr>
        <w:t>x</w:t>
      </w:r>
      <w:r w:rsidRPr="00DE12A3">
        <w:rPr>
          <w:color w:val="auto"/>
          <w:sz w:val="24"/>
          <w:szCs w:val="24"/>
        </w:rPr>
        <w:t xml:space="preserve"> konsantrasyonuna yakın olacak şekilde ayarlanmalıdır. Gaz karışımının NO</w:t>
      </w:r>
      <w:r w:rsidRPr="00DE12A3">
        <w:rPr>
          <w:color w:val="auto"/>
          <w:sz w:val="24"/>
          <w:szCs w:val="24"/>
          <w:vertAlign w:val="subscript"/>
        </w:rPr>
        <w:t>2</w:t>
      </w:r>
      <w:r w:rsidRPr="00DE12A3">
        <w:rPr>
          <w:color w:val="auto"/>
          <w:sz w:val="24"/>
          <w:szCs w:val="24"/>
        </w:rPr>
        <w:t xml:space="preserve"> içeriği, NO konsantrasyonunun </w:t>
      </w:r>
      <w:r w:rsidR="006F30D6" w:rsidRPr="00DE12A3">
        <w:rPr>
          <w:color w:val="auto"/>
          <w:sz w:val="24"/>
          <w:szCs w:val="24"/>
        </w:rPr>
        <w:t>%5</w:t>
      </w:r>
      <w:r w:rsidRPr="00DE12A3">
        <w:rPr>
          <w:color w:val="auto"/>
          <w:sz w:val="24"/>
          <w:szCs w:val="24"/>
        </w:rPr>
        <w:t xml:space="preserve">'inden daha düşük olmalıdır. Analiz cihazından gelen 30 sn örneklenmiş verinin ortalaması hesaplanarak NO konsantrasyonu kaydedilmeli ve bu değer </w:t>
      </w:r>
      <w:r w:rsidRPr="00DE12A3">
        <w:rPr>
          <w:i/>
          <w:iCs/>
          <w:color w:val="auto"/>
          <w:sz w:val="24"/>
          <w:szCs w:val="24"/>
        </w:rPr>
        <w:t>x</w:t>
      </w:r>
      <w:r w:rsidRPr="00DE12A3">
        <w:rPr>
          <w:color w:val="auto"/>
          <w:sz w:val="24"/>
          <w:szCs w:val="24"/>
          <w:vertAlign w:val="subscript"/>
        </w:rPr>
        <w:t>NOref</w:t>
      </w:r>
      <w:r w:rsidRPr="00DE12A3">
        <w:rPr>
          <w:color w:val="auto"/>
          <w:sz w:val="24"/>
          <w:szCs w:val="24"/>
        </w:rPr>
        <w:t xml:space="preserve"> olarak kaydedilmelidir. Beklenen NO konsantrasyonu, cihaz imalatçısı tarafından belirtilen doğrulama için asgari aralıktan düşükse, doğru doğrulama elde etmek için cihaz imalatçısının tavsiyesine ve iyi mühendislik kararına göre daha yüksek konsantrasyon kullanılabilir</w:t>
      </w:r>
      <w:r w:rsidR="00163FD5" w:rsidRPr="00DE12A3">
        <w:rPr>
          <w:color w:val="auto"/>
          <w:sz w:val="24"/>
          <w:szCs w:val="24"/>
        </w:rPr>
        <w:t>.</w:t>
      </w:r>
    </w:p>
    <w:p w14:paraId="40D96806" w14:textId="5ED1E01A" w:rsidR="002D7B36" w:rsidRPr="00DE12A3" w:rsidRDefault="00C57699" w:rsidP="00E20716">
      <w:pPr>
        <w:pStyle w:val="Gvdemetni255"/>
        <w:numPr>
          <w:ilvl w:val="0"/>
          <w:numId w:val="286"/>
        </w:numPr>
        <w:shd w:val="clear" w:color="auto" w:fill="auto"/>
        <w:tabs>
          <w:tab w:val="left" w:pos="1843"/>
        </w:tabs>
        <w:spacing w:before="120" w:after="120" w:line="240" w:lineRule="auto"/>
        <w:ind w:left="2268" w:hanging="567"/>
        <w:rPr>
          <w:color w:val="auto"/>
          <w:sz w:val="24"/>
          <w:szCs w:val="24"/>
        </w:rPr>
      </w:pPr>
      <w:r w:rsidRPr="00DE12A3">
        <w:rPr>
          <w:color w:val="auto"/>
          <w:sz w:val="24"/>
          <w:szCs w:val="24"/>
        </w:rPr>
        <w:lastRenderedPageBreak/>
        <w:t xml:space="preserve"> </w:t>
      </w:r>
      <w:r w:rsidR="001B58A9" w:rsidRPr="00DE12A3">
        <w:rPr>
          <w:color w:val="auto"/>
          <w:sz w:val="24"/>
          <w:szCs w:val="24"/>
        </w:rPr>
        <w:t xml:space="preserve"> </w:t>
      </w:r>
      <w:r w:rsidR="00242DA0" w:rsidRPr="00DE12A3">
        <w:rPr>
          <w:color w:val="auto"/>
          <w:sz w:val="24"/>
          <w:szCs w:val="24"/>
        </w:rPr>
        <w:t>Ozonatör O</w:t>
      </w:r>
      <w:r w:rsidR="00242DA0" w:rsidRPr="00DE12A3">
        <w:rPr>
          <w:color w:val="auto"/>
          <w:sz w:val="24"/>
          <w:szCs w:val="24"/>
          <w:vertAlign w:val="subscript"/>
        </w:rPr>
        <w:t>2</w:t>
      </w:r>
      <w:r w:rsidR="00242DA0" w:rsidRPr="00DE12A3">
        <w:rPr>
          <w:color w:val="auto"/>
          <w:sz w:val="24"/>
          <w:szCs w:val="24"/>
        </w:rPr>
        <w:t xml:space="preserve"> beslemesi açılmalı ve O</w:t>
      </w:r>
      <w:r w:rsidR="00242DA0" w:rsidRPr="00DE12A3">
        <w:rPr>
          <w:color w:val="auto"/>
          <w:sz w:val="24"/>
          <w:szCs w:val="24"/>
          <w:vertAlign w:val="subscript"/>
        </w:rPr>
        <w:t>2</w:t>
      </w:r>
      <w:r w:rsidR="00242DA0" w:rsidRPr="00DE12A3">
        <w:rPr>
          <w:color w:val="auto"/>
          <w:sz w:val="24"/>
          <w:szCs w:val="24"/>
        </w:rPr>
        <w:t xml:space="preserve"> akış hızı, analiz cihazı tarafından belirtilen NO, </w:t>
      </w:r>
      <w:r w:rsidR="00242DA0" w:rsidRPr="00DE12A3">
        <w:rPr>
          <w:i/>
          <w:iCs/>
          <w:color w:val="auto"/>
          <w:sz w:val="24"/>
          <w:szCs w:val="24"/>
        </w:rPr>
        <w:t>x</w:t>
      </w:r>
      <w:r w:rsidR="00242DA0" w:rsidRPr="00DE12A3">
        <w:rPr>
          <w:color w:val="auto"/>
          <w:sz w:val="24"/>
          <w:szCs w:val="24"/>
          <w:vertAlign w:val="subscript"/>
        </w:rPr>
        <w:t>NOref</w:t>
      </w:r>
      <w:r w:rsidR="00242DA0" w:rsidRPr="00DE12A3">
        <w:rPr>
          <w:color w:val="auto"/>
          <w:sz w:val="24"/>
          <w:szCs w:val="24"/>
        </w:rPr>
        <w:t xml:space="preserve">'den yaklaşık yüzde 10 daha az olacak şekilde ayarlanmalıdır. Analiz cihazından gelen 30 sn örneklenmiş verinin ortalaması hesaplanarak NO konsantrasyonu kaydedilmeli ve bu değer </w:t>
      </w:r>
      <w:r w:rsidR="00242DA0" w:rsidRPr="00DE12A3">
        <w:rPr>
          <w:i/>
          <w:iCs/>
          <w:color w:val="auto"/>
          <w:sz w:val="24"/>
          <w:szCs w:val="24"/>
        </w:rPr>
        <w:t>x</w:t>
      </w:r>
      <w:r w:rsidR="00242DA0" w:rsidRPr="00DE12A3">
        <w:rPr>
          <w:color w:val="auto"/>
          <w:sz w:val="24"/>
          <w:szCs w:val="24"/>
          <w:vertAlign w:val="subscript"/>
        </w:rPr>
        <w:t>NO+O2mix</w:t>
      </w:r>
      <w:r w:rsidR="00242DA0" w:rsidRPr="00DE12A3">
        <w:rPr>
          <w:color w:val="auto"/>
          <w:sz w:val="24"/>
          <w:szCs w:val="24"/>
        </w:rPr>
        <w:t xml:space="preserve"> olarak kaydedilmelidir</w:t>
      </w:r>
      <w:r w:rsidR="00163FD5" w:rsidRPr="00DE12A3">
        <w:rPr>
          <w:color w:val="auto"/>
          <w:sz w:val="24"/>
          <w:szCs w:val="24"/>
        </w:rPr>
        <w:t>.</w:t>
      </w:r>
    </w:p>
    <w:p w14:paraId="6F788997" w14:textId="76A0CC49" w:rsidR="002D7B36" w:rsidRPr="00DE12A3" w:rsidRDefault="001B58A9" w:rsidP="00E20716">
      <w:pPr>
        <w:pStyle w:val="Gvdemetni255"/>
        <w:numPr>
          <w:ilvl w:val="0"/>
          <w:numId w:val="286"/>
        </w:numPr>
        <w:shd w:val="clear" w:color="auto" w:fill="auto"/>
        <w:tabs>
          <w:tab w:val="left" w:pos="1134"/>
        </w:tabs>
        <w:spacing w:before="120" w:after="120" w:line="240" w:lineRule="auto"/>
        <w:ind w:left="2268" w:hanging="567"/>
        <w:rPr>
          <w:color w:val="auto"/>
          <w:sz w:val="24"/>
          <w:szCs w:val="24"/>
        </w:rPr>
      </w:pPr>
      <w:r w:rsidRPr="00DE12A3">
        <w:rPr>
          <w:color w:val="auto"/>
          <w:sz w:val="24"/>
          <w:szCs w:val="24"/>
        </w:rPr>
        <w:t xml:space="preserve">  </w:t>
      </w:r>
      <w:r w:rsidR="00242DA0" w:rsidRPr="00DE12A3">
        <w:rPr>
          <w:color w:val="auto"/>
          <w:sz w:val="24"/>
          <w:szCs w:val="24"/>
        </w:rPr>
        <w:t xml:space="preserve">Ozonatör açılmalı ve ozon üretim hızı, analiz cihazı tarafından ölçülen NO, en az </w:t>
      </w:r>
      <w:r w:rsidR="006F30D6" w:rsidRPr="00DE12A3">
        <w:rPr>
          <w:color w:val="auto"/>
          <w:sz w:val="24"/>
          <w:szCs w:val="24"/>
        </w:rPr>
        <w:t>%10</w:t>
      </w:r>
      <w:r w:rsidR="00242DA0" w:rsidRPr="00DE12A3">
        <w:rPr>
          <w:color w:val="auto"/>
          <w:sz w:val="24"/>
          <w:szCs w:val="24"/>
        </w:rPr>
        <w:t xml:space="preserve"> tepkimeye girmemiş NO miktarını korurken, </w:t>
      </w:r>
      <w:r w:rsidR="00242DA0" w:rsidRPr="00DE12A3">
        <w:rPr>
          <w:i/>
          <w:iCs/>
          <w:color w:val="auto"/>
          <w:sz w:val="24"/>
          <w:szCs w:val="24"/>
        </w:rPr>
        <w:t>x</w:t>
      </w:r>
      <w:r w:rsidR="00242DA0" w:rsidRPr="00DE12A3">
        <w:rPr>
          <w:color w:val="auto"/>
          <w:sz w:val="24"/>
          <w:szCs w:val="24"/>
          <w:vertAlign w:val="subscript"/>
        </w:rPr>
        <w:t>NOref</w:t>
      </w:r>
      <w:r w:rsidR="00242DA0" w:rsidRPr="00DE12A3">
        <w:rPr>
          <w:color w:val="auto"/>
          <w:sz w:val="24"/>
          <w:szCs w:val="24"/>
        </w:rPr>
        <w:t xml:space="preserve">'in yaklaşık </w:t>
      </w:r>
      <w:r w:rsidR="00163FD5" w:rsidRPr="00DE12A3">
        <w:rPr>
          <w:color w:val="auto"/>
          <w:sz w:val="24"/>
          <w:szCs w:val="24"/>
        </w:rPr>
        <w:t xml:space="preserve">% </w:t>
      </w:r>
      <w:r w:rsidR="00242DA0" w:rsidRPr="00DE12A3">
        <w:rPr>
          <w:color w:val="auto"/>
          <w:sz w:val="24"/>
          <w:szCs w:val="24"/>
        </w:rPr>
        <w:t xml:space="preserve">20'sini oluşturacak şekilde ayarlanmalıdır. Analiz cihazından gelen 30 sn örneklenmiş verinin ortalaması hesaplanarak NO konsantrasyonu kaydedilmeli ve bu değer </w:t>
      </w:r>
      <w:r w:rsidR="00242DA0" w:rsidRPr="00DE12A3">
        <w:rPr>
          <w:i/>
          <w:iCs/>
          <w:color w:val="auto"/>
          <w:sz w:val="24"/>
          <w:szCs w:val="24"/>
        </w:rPr>
        <w:t>x</w:t>
      </w:r>
      <w:r w:rsidR="00242DA0" w:rsidRPr="00DE12A3">
        <w:rPr>
          <w:color w:val="auto"/>
          <w:sz w:val="24"/>
          <w:szCs w:val="24"/>
          <w:vertAlign w:val="subscript"/>
        </w:rPr>
        <w:t>NOmeas</w:t>
      </w:r>
      <w:r w:rsidR="00242DA0" w:rsidRPr="00DE12A3">
        <w:rPr>
          <w:color w:val="auto"/>
          <w:sz w:val="24"/>
          <w:szCs w:val="24"/>
        </w:rPr>
        <w:t xml:space="preserve"> olarak kaydedilmelidir</w:t>
      </w:r>
      <w:r w:rsidR="00163FD5" w:rsidRPr="00DE12A3">
        <w:rPr>
          <w:color w:val="auto"/>
          <w:sz w:val="24"/>
          <w:szCs w:val="24"/>
        </w:rPr>
        <w:t>.</w:t>
      </w:r>
    </w:p>
    <w:p w14:paraId="7E4356C5" w14:textId="11CA0216" w:rsidR="002D7B36" w:rsidRPr="00DE12A3" w:rsidRDefault="001B58A9" w:rsidP="00E20716">
      <w:pPr>
        <w:pStyle w:val="Gvdemetni255"/>
        <w:numPr>
          <w:ilvl w:val="0"/>
          <w:numId w:val="286"/>
        </w:numPr>
        <w:shd w:val="clear" w:color="auto" w:fill="auto"/>
        <w:tabs>
          <w:tab w:val="left" w:pos="1701"/>
        </w:tabs>
        <w:spacing w:before="120" w:after="120" w:line="240" w:lineRule="auto"/>
        <w:ind w:left="2268" w:hanging="567"/>
        <w:rPr>
          <w:color w:val="auto"/>
          <w:sz w:val="24"/>
          <w:szCs w:val="24"/>
        </w:rPr>
      </w:pPr>
      <w:r w:rsidRPr="00DE12A3">
        <w:rPr>
          <w:color w:val="auto"/>
          <w:sz w:val="24"/>
          <w:szCs w:val="24"/>
        </w:rPr>
        <w:t xml:space="preserve">  </w:t>
      </w:r>
      <w:r w:rsidR="00242DA0" w:rsidRPr="00DE12A3">
        <w:rPr>
          <w:color w:val="auto"/>
          <w:sz w:val="24"/>
          <w:szCs w:val="24"/>
        </w:rPr>
        <w:t>NOx analiz cihazı NO</w:t>
      </w:r>
      <w:r w:rsidR="00242DA0" w:rsidRPr="00DE12A3">
        <w:rPr>
          <w:color w:val="auto"/>
          <w:sz w:val="24"/>
          <w:szCs w:val="24"/>
          <w:vertAlign w:val="subscript"/>
        </w:rPr>
        <w:t>x</w:t>
      </w:r>
      <w:r w:rsidR="00242DA0" w:rsidRPr="00DE12A3">
        <w:rPr>
          <w:color w:val="auto"/>
          <w:sz w:val="24"/>
          <w:szCs w:val="24"/>
        </w:rPr>
        <w:t xml:space="preserve"> moduna geçirilmeli ve toplam NO</w:t>
      </w:r>
      <w:r w:rsidR="00242DA0" w:rsidRPr="00DE12A3">
        <w:rPr>
          <w:color w:val="auto"/>
          <w:sz w:val="24"/>
          <w:szCs w:val="24"/>
          <w:vertAlign w:val="subscript"/>
        </w:rPr>
        <w:t>x</w:t>
      </w:r>
      <w:r w:rsidR="00242DA0" w:rsidRPr="00DE12A3">
        <w:rPr>
          <w:color w:val="auto"/>
          <w:sz w:val="24"/>
          <w:szCs w:val="24"/>
        </w:rPr>
        <w:t xml:space="preserve"> ölçülmelidir. Analiz cihazından gelen 30 sn örneklenmiş verinin ortalaması hesaplanarak NO</w:t>
      </w:r>
      <w:r w:rsidR="00242DA0" w:rsidRPr="00DE12A3">
        <w:rPr>
          <w:color w:val="auto"/>
          <w:sz w:val="24"/>
          <w:szCs w:val="24"/>
          <w:vertAlign w:val="subscript"/>
        </w:rPr>
        <w:t>x</w:t>
      </w:r>
      <w:r w:rsidR="00242DA0" w:rsidRPr="00DE12A3">
        <w:rPr>
          <w:color w:val="auto"/>
          <w:sz w:val="24"/>
          <w:szCs w:val="24"/>
        </w:rPr>
        <w:t xml:space="preserve"> konsantrasyonu kaydedilmeli ve bu değer </w:t>
      </w:r>
      <w:r w:rsidR="00242DA0" w:rsidRPr="00DE12A3">
        <w:rPr>
          <w:i/>
          <w:iCs/>
          <w:color w:val="auto"/>
          <w:sz w:val="24"/>
          <w:szCs w:val="24"/>
        </w:rPr>
        <w:t>x</w:t>
      </w:r>
      <w:r w:rsidR="00242DA0" w:rsidRPr="00DE12A3">
        <w:rPr>
          <w:color w:val="auto"/>
          <w:sz w:val="24"/>
          <w:szCs w:val="24"/>
          <w:vertAlign w:val="subscript"/>
        </w:rPr>
        <w:t>NOxmeas</w:t>
      </w:r>
      <w:r w:rsidR="00242DA0" w:rsidRPr="00DE12A3">
        <w:rPr>
          <w:color w:val="auto"/>
          <w:sz w:val="24"/>
          <w:szCs w:val="24"/>
        </w:rPr>
        <w:t xml:space="preserve"> olarak kaydedilmelidir</w:t>
      </w:r>
      <w:r w:rsidR="00163FD5" w:rsidRPr="00DE12A3">
        <w:rPr>
          <w:color w:val="auto"/>
          <w:sz w:val="24"/>
          <w:szCs w:val="24"/>
        </w:rPr>
        <w:t>.</w:t>
      </w:r>
    </w:p>
    <w:p w14:paraId="7864B993" w14:textId="0DBEB952" w:rsidR="002D7B36" w:rsidRPr="00DE12A3" w:rsidRDefault="00C57699" w:rsidP="00E20716">
      <w:pPr>
        <w:pStyle w:val="Gvdemetni255"/>
        <w:numPr>
          <w:ilvl w:val="0"/>
          <w:numId w:val="286"/>
        </w:numPr>
        <w:shd w:val="clear" w:color="auto" w:fill="auto"/>
        <w:tabs>
          <w:tab w:val="left" w:pos="1843"/>
        </w:tabs>
        <w:spacing w:before="120" w:after="120" w:line="240" w:lineRule="auto"/>
        <w:ind w:left="2268" w:hanging="567"/>
        <w:rPr>
          <w:color w:val="auto"/>
          <w:sz w:val="24"/>
          <w:szCs w:val="24"/>
        </w:rPr>
      </w:pPr>
      <w:r w:rsidRPr="00DE12A3">
        <w:rPr>
          <w:color w:val="auto"/>
          <w:sz w:val="24"/>
          <w:szCs w:val="24"/>
        </w:rPr>
        <w:t xml:space="preserve">  </w:t>
      </w:r>
      <w:r w:rsidR="00242DA0" w:rsidRPr="00DE12A3">
        <w:rPr>
          <w:color w:val="auto"/>
          <w:sz w:val="24"/>
          <w:szCs w:val="24"/>
        </w:rPr>
        <w:t>Ozonatör kapatılmalı, ancak sistemden geçen gaz akışı korunmalıdır. NO</w:t>
      </w:r>
      <w:r w:rsidR="00242DA0" w:rsidRPr="00DE12A3">
        <w:rPr>
          <w:color w:val="auto"/>
          <w:sz w:val="24"/>
          <w:szCs w:val="24"/>
          <w:vertAlign w:val="subscript"/>
        </w:rPr>
        <w:t>x</w:t>
      </w:r>
      <w:r w:rsidR="00242DA0" w:rsidRPr="00DE12A3">
        <w:rPr>
          <w:color w:val="auto"/>
          <w:sz w:val="24"/>
          <w:szCs w:val="24"/>
        </w:rPr>
        <w:t xml:space="preserve"> analiz cihazı, NO + O</w:t>
      </w:r>
      <w:r w:rsidR="00242DA0" w:rsidRPr="00DE12A3">
        <w:rPr>
          <w:color w:val="auto"/>
          <w:sz w:val="24"/>
          <w:szCs w:val="24"/>
          <w:vertAlign w:val="subscript"/>
        </w:rPr>
        <w:t>2</w:t>
      </w:r>
      <w:r w:rsidR="00242DA0" w:rsidRPr="00DE12A3">
        <w:rPr>
          <w:color w:val="auto"/>
          <w:sz w:val="24"/>
          <w:szCs w:val="24"/>
        </w:rPr>
        <w:t xml:space="preserve"> karışımındaki NO</w:t>
      </w:r>
      <w:r w:rsidR="00242DA0" w:rsidRPr="00DE12A3">
        <w:rPr>
          <w:color w:val="auto"/>
          <w:sz w:val="24"/>
          <w:szCs w:val="24"/>
          <w:vertAlign w:val="subscript"/>
        </w:rPr>
        <w:t>x</w:t>
      </w:r>
      <w:r w:rsidR="00242DA0" w:rsidRPr="00DE12A3">
        <w:rPr>
          <w:color w:val="auto"/>
          <w:sz w:val="24"/>
          <w:szCs w:val="24"/>
        </w:rPr>
        <w:t>'i gösterecektir. Analiz cihazından gelen 30 sn örneklenmiş verinin ortalaması hesaplanarak NO</w:t>
      </w:r>
      <w:r w:rsidR="00242DA0" w:rsidRPr="00DE12A3">
        <w:rPr>
          <w:color w:val="auto"/>
          <w:sz w:val="24"/>
          <w:szCs w:val="24"/>
          <w:vertAlign w:val="subscript"/>
        </w:rPr>
        <w:t>x</w:t>
      </w:r>
      <w:r w:rsidR="00242DA0" w:rsidRPr="00DE12A3">
        <w:rPr>
          <w:color w:val="auto"/>
          <w:sz w:val="24"/>
          <w:szCs w:val="24"/>
        </w:rPr>
        <w:t xml:space="preserve"> konsantrasyonu kaydedilmeli ve bu değer </w:t>
      </w:r>
      <w:r w:rsidR="00242DA0" w:rsidRPr="00DE12A3">
        <w:rPr>
          <w:i/>
          <w:iCs/>
          <w:color w:val="auto"/>
          <w:sz w:val="24"/>
          <w:szCs w:val="24"/>
        </w:rPr>
        <w:t>x</w:t>
      </w:r>
      <w:r w:rsidR="00242DA0" w:rsidRPr="00DE12A3">
        <w:rPr>
          <w:color w:val="auto"/>
          <w:sz w:val="24"/>
          <w:szCs w:val="24"/>
          <w:vertAlign w:val="subscript"/>
        </w:rPr>
        <w:t>NOx+O2mix</w:t>
      </w:r>
      <w:r w:rsidR="00242DA0" w:rsidRPr="00DE12A3">
        <w:rPr>
          <w:color w:val="auto"/>
          <w:sz w:val="24"/>
          <w:szCs w:val="24"/>
        </w:rPr>
        <w:t xml:space="preserve"> olarak kaydedilmelidir</w:t>
      </w:r>
      <w:r w:rsidR="00163FD5" w:rsidRPr="00DE12A3">
        <w:rPr>
          <w:color w:val="auto"/>
          <w:sz w:val="24"/>
          <w:szCs w:val="24"/>
        </w:rPr>
        <w:t>.</w:t>
      </w:r>
    </w:p>
    <w:p w14:paraId="4B303FE7" w14:textId="77777777" w:rsidR="002D7B36" w:rsidRPr="00DE12A3" w:rsidRDefault="002D7B36" w:rsidP="00C917D6">
      <w:pPr>
        <w:spacing w:before="120" w:after="120"/>
        <w:ind w:left="2268" w:hanging="567"/>
        <w:jc w:val="both"/>
        <w:rPr>
          <w:rFonts w:cs="Times New Roman"/>
          <w:color w:val="auto"/>
        </w:rPr>
      </w:pPr>
    </w:p>
    <w:p w14:paraId="1510525E" w14:textId="68D84286" w:rsidR="002D7B36" w:rsidRPr="00DE12A3" w:rsidRDefault="00242DA0" w:rsidP="00E20716">
      <w:pPr>
        <w:pStyle w:val="Gvdemetni255"/>
        <w:numPr>
          <w:ilvl w:val="0"/>
          <w:numId w:val="286"/>
        </w:numPr>
        <w:shd w:val="clear" w:color="auto" w:fill="auto"/>
        <w:spacing w:before="120" w:after="120" w:line="240" w:lineRule="auto"/>
        <w:ind w:left="2268" w:hanging="567"/>
        <w:rPr>
          <w:color w:val="auto"/>
          <w:sz w:val="24"/>
          <w:szCs w:val="24"/>
        </w:rPr>
      </w:pPr>
      <w:r w:rsidRPr="00DE12A3">
        <w:rPr>
          <w:color w:val="auto"/>
          <w:spacing w:val="4"/>
          <w:sz w:val="24"/>
          <w:szCs w:val="24"/>
        </w:rPr>
        <w:t>O</w:t>
      </w:r>
      <w:r w:rsidRPr="00DE12A3">
        <w:rPr>
          <w:color w:val="auto"/>
          <w:spacing w:val="4"/>
          <w:sz w:val="24"/>
          <w:szCs w:val="24"/>
          <w:vertAlign w:val="subscript"/>
        </w:rPr>
        <w:t>2</w:t>
      </w:r>
      <w:r w:rsidRPr="00DE12A3">
        <w:rPr>
          <w:color w:val="auto"/>
          <w:spacing w:val="4"/>
          <w:sz w:val="24"/>
          <w:szCs w:val="24"/>
        </w:rPr>
        <w:t xml:space="preserve"> beslemesi kapatılmalıdır. NO</w:t>
      </w:r>
      <w:r w:rsidRPr="00DE12A3">
        <w:rPr>
          <w:color w:val="auto"/>
          <w:spacing w:val="4"/>
          <w:sz w:val="24"/>
          <w:szCs w:val="24"/>
          <w:vertAlign w:val="subscript"/>
        </w:rPr>
        <w:t>x</w:t>
      </w:r>
      <w:r w:rsidRPr="00DE12A3">
        <w:rPr>
          <w:color w:val="auto"/>
          <w:spacing w:val="4"/>
          <w:sz w:val="24"/>
          <w:szCs w:val="24"/>
        </w:rPr>
        <w:t xml:space="preserve"> analiz cihazı, orijinal N</w:t>
      </w:r>
      <w:r w:rsidRPr="00DE12A3">
        <w:rPr>
          <w:color w:val="auto"/>
          <w:spacing w:val="4"/>
          <w:sz w:val="24"/>
          <w:szCs w:val="24"/>
          <w:vertAlign w:val="subscript"/>
        </w:rPr>
        <w:t>2</w:t>
      </w:r>
      <w:r w:rsidRPr="00DE12A3">
        <w:rPr>
          <w:color w:val="auto"/>
          <w:spacing w:val="4"/>
          <w:sz w:val="24"/>
          <w:szCs w:val="24"/>
        </w:rPr>
        <w:t>-içinde-NO karışımındaki NO</w:t>
      </w:r>
      <w:r w:rsidRPr="00DE12A3">
        <w:rPr>
          <w:color w:val="auto"/>
          <w:spacing w:val="4"/>
          <w:sz w:val="24"/>
          <w:szCs w:val="24"/>
          <w:vertAlign w:val="subscript"/>
        </w:rPr>
        <w:t>x</w:t>
      </w:r>
      <w:r w:rsidRPr="00DE12A3">
        <w:rPr>
          <w:color w:val="auto"/>
          <w:spacing w:val="4"/>
          <w:sz w:val="24"/>
          <w:szCs w:val="24"/>
        </w:rPr>
        <w:t xml:space="preserve">'i gösterecektir. Analiz cihazından gelen 30 sn örneklenmiş verinin ortalaması hesaplanarak NOx konsantrasyonu kaydedilmeli ve bu değer </w:t>
      </w:r>
      <w:r w:rsidRPr="00DE12A3">
        <w:rPr>
          <w:i/>
          <w:iCs/>
          <w:color w:val="auto"/>
          <w:spacing w:val="4"/>
          <w:sz w:val="24"/>
          <w:szCs w:val="24"/>
        </w:rPr>
        <w:t>x</w:t>
      </w:r>
      <w:r w:rsidRPr="00DE12A3">
        <w:rPr>
          <w:color w:val="auto"/>
          <w:spacing w:val="4"/>
          <w:sz w:val="24"/>
          <w:szCs w:val="24"/>
          <w:vertAlign w:val="subscript"/>
        </w:rPr>
        <w:t>NOxref</w:t>
      </w:r>
      <w:r w:rsidRPr="00DE12A3">
        <w:rPr>
          <w:color w:val="auto"/>
          <w:spacing w:val="4"/>
          <w:sz w:val="24"/>
          <w:szCs w:val="24"/>
        </w:rPr>
        <w:t xml:space="preserve"> olarak kaydedilmelidir. Bu değer, </w:t>
      </w:r>
      <w:r w:rsidRPr="00DE12A3">
        <w:rPr>
          <w:i/>
          <w:iCs/>
          <w:color w:val="auto"/>
          <w:spacing w:val="4"/>
          <w:sz w:val="24"/>
          <w:szCs w:val="24"/>
        </w:rPr>
        <w:t>x</w:t>
      </w:r>
      <w:r w:rsidRPr="00DE12A3">
        <w:rPr>
          <w:color w:val="auto"/>
          <w:spacing w:val="4"/>
          <w:sz w:val="24"/>
          <w:szCs w:val="24"/>
          <w:vertAlign w:val="subscript"/>
        </w:rPr>
        <w:t>NOref</w:t>
      </w:r>
      <w:r w:rsidRPr="00DE12A3">
        <w:rPr>
          <w:color w:val="auto"/>
          <w:spacing w:val="4"/>
          <w:sz w:val="24"/>
          <w:szCs w:val="24"/>
        </w:rPr>
        <w:t xml:space="preserve"> değerinden en çok </w:t>
      </w:r>
      <w:r w:rsidR="004E7F54" w:rsidRPr="00DE12A3">
        <w:rPr>
          <w:color w:val="auto"/>
          <w:spacing w:val="4"/>
          <w:sz w:val="24"/>
          <w:szCs w:val="24"/>
        </w:rPr>
        <w:t>%5</w:t>
      </w:r>
      <w:r w:rsidRPr="00DE12A3">
        <w:rPr>
          <w:color w:val="auto"/>
          <w:spacing w:val="4"/>
          <w:sz w:val="24"/>
          <w:szCs w:val="24"/>
        </w:rPr>
        <w:t xml:space="preserve"> fazla olabilir</w:t>
      </w:r>
      <w:r w:rsidR="00163FD5" w:rsidRPr="00DE12A3">
        <w:rPr>
          <w:rStyle w:val="Gvdemetni250ptbolukbraklyor"/>
          <w:color w:val="auto"/>
          <w:sz w:val="24"/>
          <w:szCs w:val="24"/>
          <w:lang w:val="tr-TR"/>
        </w:rPr>
        <w:t>.</w:t>
      </w:r>
    </w:p>
    <w:p w14:paraId="2E34A4A2" w14:textId="4B7CF050" w:rsidR="002D7B36" w:rsidRPr="00DE12A3" w:rsidRDefault="00C57699" w:rsidP="00E20716">
      <w:pPr>
        <w:pStyle w:val="Gvdemetni255"/>
        <w:numPr>
          <w:ilvl w:val="0"/>
          <w:numId w:val="285"/>
        </w:numPr>
        <w:shd w:val="clear" w:color="auto" w:fill="auto"/>
        <w:tabs>
          <w:tab w:val="left" w:pos="1134"/>
          <w:tab w:val="left" w:pos="1418"/>
          <w:tab w:val="left" w:pos="1843"/>
          <w:tab w:val="left" w:pos="9070"/>
        </w:tabs>
        <w:spacing w:before="120" w:after="120" w:line="240" w:lineRule="auto"/>
        <w:ind w:left="1701" w:hanging="567"/>
        <w:rPr>
          <w:rStyle w:val="Gvdemetni250ptbolukbraklyor"/>
          <w:color w:val="auto"/>
          <w:spacing w:val="3"/>
          <w:sz w:val="24"/>
          <w:szCs w:val="24"/>
          <w:shd w:val="clear" w:color="auto" w:fill="auto"/>
          <w:lang w:val="tr-TR"/>
        </w:rPr>
      </w:pPr>
      <w:r w:rsidRPr="00DE12A3">
        <w:rPr>
          <w:color w:val="auto"/>
          <w:spacing w:val="4"/>
          <w:sz w:val="24"/>
          <w:szCs w:val="24"/>
        </w:rPr>
        <w:t xml:space="preserve">     </w:t>
      </w:r>
      <w:r w:rsidR="00242DA0" w:rsidRPr="00DE12A3">
        <w:rPr>
          <w:color w:val="auto"/>
          <w:spacing w:val="4"/>
          <w:sz w:val="24"/>
          <w:szCs w:val="24"/>
        </w:rPr>
        <w:t>Performans değerlendirmesi. NO</w:t>
      </w:r>
      <w:r w:rsidR="00242DA0" w:rsidRPr="00DE12A3">
        <w:rPr>
          <w:color w:val="auto"/>
          <w:spacing w:val="4"/>
          <w:sz w:val="24"/>
          <w:szCs w:val="24"/>
          <w:vertAlign w:val="subscript"/>
        </w:rPr>
        <w:t>x</w:t>
      </w:r>
      <w:r w:rsidR="00242DA0" w:rsidRPr="00DE12A3">
        <w:rPr>
          <w:color w:val="auto"/>
          <w:spacing w:val="4"/>
          <w:sz w:val="24"/>
          <w:szCs w:val="24"/>
        </w:rPr>
        <w:t xml:space="preserve"> konvertörünün verimliliği, elde edilen konsantrasyonlar (6-26) </w:t>
      </w:r>
      <w:r w:rsidR="005E1C7E" w:rsidRPr="00DE12A3">
        <w:rPr>
          <w:color w:val="auto"/>
          <w:sz w:val="24"/>
          <w:szCs w:val="24"/>
        </w:rPr>
        <w:t>numaralı</w:t>
      </w:r>
      <w:r w:rsidR="005E1C7E" w:rsidRPr="00DE12A3" w:rsidDel="005E1C7E">
        <w:rPr>
          <w:color w:val="auto"/>
          <w:spacing w:val="4"/>
          <w:sz w:val="24"/>
          <w:szCs w:val="24"/>
        </w:rPr>
        <w:t xml:space="preserve"> </w:t>
      </w:r>
      <w:r w:rsidR="00242DA0" w:rsidRPr="00DE12A3">
        <w:rPr>
          <w:color w:val="auto"/>
          <w:spacing w:val="4"/>
          <w:sz w:val="24"/>
          <w:szCs w:val="24"/>
        </w:rPr>
        <w:t>denklemde yerine konularak hesaplanır</w:t>
      </w:r>
      <w:r w:rsidR="00242DA0" w:rsidRPr="00DE12A3">
        <w:rPr>
          <w:rStyle w:val="Gvdemetni250ptbolukbraklyor"/>
          <w:color w:val="auto"/>
          <w:sz w:val="24"/>
          <w:szCs w:val="24"/>
          <w:lang w:val="tr-TR"/>
        </w:rPr>
        <w:t>:</w:t>
      </w:r>
    </w:p>
    <w:tbl>
      <w:tblPr>
        <w:tblpPr w:leftFromText="141" w:rightFromText="141" w:vertAnchor="text" w:horzAnchor="page" w:tblpX="2422" w:tblpY="57"/>
        <w:tblW w:w="7420" w:type="dxa"/>
        <w:tblLayout w:type="fixed"/>
        <w:tblLook w:val="0000" w:firstRow="0" w:lastRow="0" w:firstColumn="0" w:lastColumn="0" w:noHBand="0" w:noVBand="0"/>
      </w:tblPr>
      <w:tblGrid>
        <w:gridCol w:w="4928"/>
        <w:gridCol w:w="2492"/>
      </w:tblGrid>
      <w:tr w:rsidR="00DE12A3" w:rsidRPr="00DE12A3" w14:paraId="6A143BC0" w14:textId="77777777" w:rsidTr="001B58A9">
        <w:trPr>
          <w:trHeight w:val="702"/>
        </w:trPr>
        <w:tc>
          <w:tcPr>
            <w:tcW w:w="4928" w:type="dxa"/>
          </w:tcPr>
          <w:p w14:paraId="349CB571" w14:textId="548910EF" w:rsidR="00C57699" w:rsidRPr="00DE12A3" w:rsidRDefault="00C57699" w:rsidP="00C917D6">
            <w:pPr>
              <w:pStyle w:val="NormalLeft"/>
              <w:ind w:left="1701" w:hanging="567"/>
              <w:jc w:val="center"/>
            </w:pPr>
            <w:r w:rsidRPr="00DE12A3">
              <w:rPr>
                <w:noProof/>
                <w:lang w:val="tr-TR"/>
              </w:rPr>
              <w:drawing>
                <wp:inline distT="0" distB="0" distL="0" distR="0" wp14:anchorId="2F27F12E" wp14:editId="2338A061">
                  <wp:extent cx="2287905" cy="412750"/>
                  <wp:effectExtent l="0" t="0" r="0" b="6350"/>
                  <wp:docPr id="2407" name="Resim 2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2654264" cy="478843"/>
                          </a:xfrm>
                          <a:prstGeom prst="rect">
                            <a:avLst/>
                          </a:prstGeom>
                          <a:noFill/>
                          <a:ln>
                            <a:noFill/>
                          </a:ln>
                        </pic:spPr>
                      </pic:pic>
                    </a:graphicData>
                  </a:graphic>
                </wp:inline>
              </w:drawing>
            </w:r>
          </w:p>
        </w:tc>
        <w:tc>
          <w:tcPr>
            <w:tcW w:w="2492" w:type="dxa"/>
          </w:tcPr>
          <w:p w14:paraId="7AE97AAD" w14:textId="77777777" w:rsidR="00C57699" w:rsidRPr="00DE12A3" w:rsidRDefault="00C57699" w:rsidP="00C917D6">
            <w:pPr>
              <w:pStyle w:val="NormalLeft"/>
              <w:ind w:left="1701" w:hanging="567"/>
            </w:pPr>
            <w:r w:rsidRPr="00DE12A3">
              <w:t>(6-26)</w:t>
            </w:r>
          </w:p>
        </w:tc>
      </w:tr>
    </w:tbl>
    <w:p w14:paraId="25452D29" w14:textId="77777777" w:rsidR="002D7B36" w:rsidRPr="00DE12A3" w:rsidRDefault="002D7B36" w:rsidP="00C917D6">
      <w:pPr>
        <w:pStyle w:val="Gvdemetni255"/>
        <w:shd w:val="clear" w:color="auto" w:fill="auto"/>
        <w:tabs>
          <w:tab w:val="left" w:pos="9070"/>
        </w:tabs>
        <w:spacing w:before="120" w:after="120" w:line="240" w:lineRule="auto"/>
        <w:ind w:left="1701" w:hanging="567"/>
        <w:rPr>
          <w:rStyle w:val="Gvdemetni250ptbolukbraklyor"/>
          <w:color w:val="auto"/>
          <w:sz w:val="24"/>
          <w:szCs w:val="24"/>
          <w:lang w:val="tr-TR"/>
        </w:rPr>
      </w:pPr>
    </w:p>
    <w:p w14:paraId="69E253C3" w14:textId="77777777" w:rsidR="00C57699" w:rsidRPr="00DE12A3" w:rsidRDefault="00C57699" w:rsidP="00C917D6">
      <w:pPr>
        <w:pStyle w:val="Gvdemetni255"/>
        <w:shd w:val="clear" w:color="auto" w:fill="auto"/>
        <w:tabs>
          <w:tab w:val="left" w:pos="9070"/>
        </w:tabs>
        <w:spacing w:before="120" w:after="120" w:line="240" w:lineRule="auto"/>
        <w:ind w:left="1701" w:hanging="567"/>
        <w:rPr>
          <w:rStyle w:val="Gvdemetni250ptbolukbraklyor"/>
          <w:color w:val="auto"/>
          <w:sz w:val="24"/>
          <w:szCs w:val="24"/>
          <w:lang w:val="tr-TR"/>
        </w:rPr>
      </w:pPr>
    </w:p>
    <w:p w14:paraId="2AB43FD3" w14:textId="77777777" w:rsidR="002D7B36" w:rsidRPr="00DE12A3" w:rsidRDefault="00C57699" w:rsidP="00E20716">
      <w:pPr>
        <w:pStyle w:val="Gvdemetni2"/>
        <w:numPr>
          <w:ilvl w:val="0"/>
          <w:numId w:val="285"/>
        </w:numPr>
        <w:shd w:val="clear" w:color="auto" w:fill="auto"/>
        <w:tabs>
          <w:tab w:val="left" w:pos="1418"/>
          <w:tab w:val="left" w:pos="1843"/>
          <w:tab w:val="left" w:pos="3402"/>
        </w:tabs>
        <w:spacing w:before="120" w:after="120" w:line="240" w:lineRule="auto"/>
        <w:ind w:left="1701" w:hanging="567"/>
        <w:jc w:val="both"/>
        <w:rPr>
          <w:color w:val="auto"/>
          <w:sz w:val="24"/>
          <w:szCs w:val="24"/>
        </w:rPr>
      </w:pPr>
      <w:r w:rsidRPr="00DE12A3">
        <w:rPr>
          <w:color w:val="auto"/>
          <w:spacing w:val="5"/>
          <w:sz w:val="24"/>
          <w:szCs w:val="24"/>
        </w:rPr>
        <w:t xml:space="preserve">     </w:t>
      </w:r>
      <w:r w:rsidR="00242DA0" w:rsidRPr="00DE12A3">
        <w:rPr>
          <w:color w:val="auto"/>
          <w:spacing w:val="5"/>
          <w:sz w:val="24"/>
          <w:szCs w:val="24"/>
        </w:rPr>
        <w:t xml:space="preserve">Sonuç </w:t>
      </w:r>
      <w:r w:rsidR="006F30D6" w:rsidRPr="00DE12A3">
        <w:rPr>
          <w:color w:val="auto"/>
          <w:spacing w:val="5"/>
          <w:sz w:val="24"/>
          <w:szCs w:val="24"/>
        </w:rPr>
        <w:t>%95</w:t>
      </w:r>
      <w:r w:rsidR="00242DA0" w:rsidRPr="00DE12A3">
        <w:rPr>
          <w:color w:val="auto"/>
          <w:spacing w:val="5"/>
          <w:sz w:val="24"/>
          <w:szCs w:val="24"/>
        </w:rPr>
        <w:t>'ten azsa, NO</w:t>
      </w:r>
      <w:r w:rsidR="006F30D6" w:rsidRPr="00DE12A3">
        <w:rPr>
          <w:color w:val="auto"/>
          <w:spacing w:val="5"/>
          <w:sz w:val="24"/>
          <w:szCs w:val="24"/>
        </w:rPr>
        <w:t>2-</w:t>
      </w:r>
      <w:r w:rsidR="00242DA0" w:rsidRPr="00DE12A3">
        <w:rPr>
          <w:color w:val="auto"/>
          <w:spacing w:val="5"/>
          <w:sz w:val="24"/>
          <w:szCs w:val="24"/>
        </w:rPr>
        <w:t xml:space="preserve"> NO dönüştürücüsü onarılmalı veya değiştirilmelidir</w:t>
      </w:r>
      <w:r w:rsidR="00242DA0" w:rsidRPr="00DE12A3">
        <w:rPr>
          <w:rStyle w:val="Gvdemetni0ptbolukbraklyor1"/>
          <w:color w:val="auto"/>
          <w:sz w:val="24"/>
          <w:szCs w:val="24"/>
          <w:lang w:val="tr-TR"/>
        </w:rPr>
        <w:t>.</w:t>
      </w:r>
    </w:p>
    <w:p w14:paraId="60014F47" w14:textId="77777777" w:rsidR="002D7B36" w:rsidRPr="00DE12A3" w:rsidRDefault="002D7B36" w:rsidP="00C917D6">
      <w:pPr>
        <w:spacing w:before="120" w:after="120"/>
        <w:ind w:left="1701" w:hanging="567"/>
        <w:jc w:val="both"/>
        <w:rPr>
          <w:rFonts w:cs="Times New Roman"/>
          <w:color w:val="auto"/>
        </w:rPr>
      </w:pPr>
    </w:p>
    <w:p w14:paraId="2D4B3787" w14:textId="77777777" w:rsidR="002D7B36" w:rsidRPr="00DE12A3" w:rsidRDefault="00C57699" w:rsidP="00E20716">
      <w:pPr>
        <w:pStyle w:val="Gvdemetni255"/>
        <w:numPr>
          <w:ilvl w:val="0"/>
          <w:numId w:val="268"/>
        </w:numPr>
        <w:shd w:val="clear" w:color="auto" w:fill="auto"/>
        <w:spacing w:before="120" w:after="120" w:line="240" w:lineRule="auto"/>
        <w:ind w:left="1134" w:hanging="1134"/>
        <w:rPr>
          <w:color w:val="auto"/>
          <w:sz w:val="24"/>
          <w:szCs w:val="24"/>
        </w:rPr>
      </w:pPr>
      <w:r w:rsidRPr="00DE12A3">
        <w:rPr>
          <w:color w:val="auto"/>
          <w:spacing w:val="4"/>
          <w:sz w:val="24"/>
          <w:szCs w:val="24"/>
        </w:rPr>
        <w:t xml:space="preserve">      </w:t>
      </w:r>
      <w:r w:rsidR="00242DA0" w:rsidRPr="00DE12A3">
        <w:rPr>
          <w:color w:val="auto"/>
          <w:spacing w:val="4"/>
          <w:sz w:val="24"/>
          <w:szCs w:val="24"/>
        </w:rPr>
        <w:t>Numune kurutucu doğrulaması</w:t>
      </w:r>
    </w:p>
    <w:p w14:paraId="399DFCA0" w14:textId="77777777" w:rsidR="002D7B36" w:rsidRPr="00DE12A3" w:rsidRDefault="00C57699" w:rsidP="00C917D6">
      <w:pPr>
        <w:pStyle w:val="Gvdemetni255"/>
        <w:shd w:val="clear" w:color="auto" w:fill="auto"/>
        <w:spacing w:before="120" w:after="120" w:line="240" w:lineRule="auto"/>
        <w:ind w:left="1134" w:hanging="1134"/>
        <w:rPr>
          <w:color w:val="auto"/>
          <w:sz w:val="24"/>
          <w:szCs w:val="24"/>
        </w:rPr>
      </w:pPr>
      <w:r w:rsidRPr="00DE12A3">
        <w:rPr>
          <w:color w:val="auto"/>
          <w:spacing w:val="4"/>
          <w:sz w:val="24"/>
          <w:szCs w:val="24"/>
        </w:rPr>
        <w:t xml:space="preserve">                 </w:t>
      </w:r>
      <w:r w:rsidR="00242DA0" w:rsidRPr="00DE12A3">
        <w:rPr>
          <w:color w:val="auto"/>
          <w:spacing w:val="4"/>
          <w:sz w:val="24"/>
          <w:szCs w:val="24"/>
        </w:rPr>
        <w:t>Numune kurutucu çıkışındaki yoğuşma noktasının sürekli izlenmesi için bir nem sensörü kullanılırsa, kurutucu çıkışı neminin soğutma, karışma ve dengeleme kontrolleri için kullanılan asgari değerlerin altında kalması sağlandığı sürece bu kontrol uygulanmaz</w:t>
      </w:r>
      <w:r w:rsidR="00242DA0" w:rsidRPr="00DE12A3">
        <w:rPr>
          <w:rStyle w:val="Gvdemetni250ptbolukbraklyor"/>
          <w:color w:val="auto"/>
          <w:sz w:val="24"/>
          <w:szCs w:val="24"/>
          <w:lang w:val="tr-TR"/>
        </w:rPr>
        <w:t>.</w:t>
      </w:r>
    </w:p>
    <w:p w14:paraId="7CF16402" w14:textId="77777777" w:rsidR="002D7B36" w:rsidRPr="00DE12A3" w:rsidRDefault="00C57699" w:rsidP="00C917D6">
      <w:pPr>
        <w:pStyle w:val="Gvdemetni255"/>
        <w:shd w:val="clear" w:color="auto" w:fill="auto"/>
        <w:spacing w:before="120" w:after="120" w:line="240" w:lineRule="auto"/>
        <w:ind w:left="1134" w:hanging="1134"/>
        <w:rPr>
          <w:color w:val="auto"/>
          <w:sz w:val="24"/>
          <w:szCs w:val="24"/>
        </w:rPr>
      </w:pPr>
      <w:r w:rsidRPr="00DE12A3">
        <w:rPr>
          <w:color w:val="auto"/>
          <w:spacing w:val="4"/>
          <w:sz w:val="24"/>
          <w:szCs w:val="24"/>
        </w:rPr>
        <w:t xml:space="preserve">                  </w:t>
      </w:r>
      <w:r w:rsidR="00242DA0" w:rsidRPr="00DE12A3">
        <w:rPr>
          <w:color w:val="auto"/>
          <w:spacing w:val="4"/>
          <w:sz w:val="24"/>
          <w:szCs w:val="24"/>
        </w:rPr>
        <w:t>Numune gazından su gidermek için 9.3.2.3.1 bendinde izin verilen şekilde bir numune kurutucu kullanılırsa, termal soğutucular için montaj ve büyük bakım sonrasında performans doğrulanmalıdır. Ozmotik membran kurutucular için, montaj ve büyük bakım sonrasında ve testten itibaren 35 gün içinde performans doğrulanmalıdır</w:t>
      </w:r>
      <w:r w:rsidR="00242DA0" w:rsidRPr="00DE12A3">
        <w:rPr>
          <w:rStyle w:val="Gvdemetni250ptbolukbraklyor"/>
          <w:color w:val="auto"/>
          <w:sz w:val="24"/>
          <w:szCs w:val="24"/>
          <w:lang w:val="tr-TR"/>
        </w:rPr>
        <w:t>.</w:t>
      </w:r>
    </w:p>
    <w:p w14:paraId="5396916B" w14:textId="77777777" w:rsidR="002D7B36" w:rsidRPr="00DE12A3" w:rsidRDefault="00C57699" w:rsidP="00C917D6">
      <w:pPr>
        <w:pStyle w:val="Gvdemetni255"/>
        <w:shd w:val="clear" w:color="auto" w:fill="auto"/>
        <w:spacing w:before="120" w:after="120" w:line="240" w:lineRule="auto"/>
        <w:ind w:left="1134" w:hanging="1134"/>
        <w:rPr>
          <w:color w:val="auto"/>
          <w:sz w:val="24"/>
          <w:szCs w:val="24"/>
        </w:rPr>
      </w:pPr>
      <w:r w:rsidRPr="00DE12A3">
        <w:rPr>
          <w:color w:val="auto"/>
          <w:spacing w:val="4"/>
          <w:sz w:val="24"/>
          <w:szCs w:val="24"/>
        </w:rPr>
        <w:t xml:space="preserve">                  </w:t>
      </w:r>
      <w:r w:rsidR="00242DA0" w:rsidRPr="00DE12A3">
        <w:rPr>
          <w:color w:val="auto"/>
          <w:spacing w:val="4"/>
          <w:sz w:val="24"/>
          <w:szCs w:val="24"/>
        </w:rPr>
        <w:t xml:space="preserve">Su, bir analiz cihazının, ilgili egzoz bileşenini doğru şekilde ölçme kabiliyetini engelleyebilir ve bu nedenle bazen numune gaz analiz cihazına ulaşmadan önce </w:t>
      </w:r>
      <w:r w:rsidR="00242DA0" w:rsidRPr="00DE12A3">
        <w:rPr>
          <w:color w:val="auto"/>
          <w:spacing w:val="4"/>
          <w:sz w:val="24"/>
          <w:szCs w:val="24"/>
        </w:rPr>
        <w:lastRenderedPageBreak/>
        <w:t>giderilir. Örneğin su, çarpışma soğutması yoluyla bir CLD'nin NO</w:t>
      </w:r>
      <w:r w:rsidR="00242DA0" w:rsidRPr="00DE12A3">
        <w:rPr>
          <w:color w:val="auto"/>
          <w:spacing w:val="4"/>
          <w:sz w:val="24"/>
          <w:szCs w:val="24"/>
          <w:vertAlign w:val="subscript"/>
        </w:rPr>
        <w:t>x</w:t>
      </w:r>
      <w:r w:rsidR="00242DA0" w:rsidRPr="00DE12A3">
        <w:rPr>
          <w:color w:val="auto"/>
          <w:spacing w:val="4"/>
          <w:sz w:val="24"/>
          <w:szCs w:val="24"/>
        </w:rPr>
        <w:t xml:space="preserve"> tepkisini olumsuz etkileyebilir ve CO'ya benzer bir tepkiye neden olarak bir NDIR analiz cihazını olumlu etkileyebilir</w:t>
      </w:r>
      <w:r w:rsidR="00242DA0" w:rsidRPr="00DE12A3">
        <w:rPr>
          <w:rStyle w:val="Gvdemetni250ptbolukbraklyor"/>
          <w:color w:val="auto"/>
          <w:sz w:val="24"/>
          <w:szCs w:val="24"/>
          <w:lang w:val="tr-TR"/>
        </w:rPr>
        <w:t>.</w:t>
      </w:r>
    </w:p>
    <w:p w14:paraId="525596E7" w14:textId="77777777" w:rsidR="002D7B36" w:rsidRPr="00DE12A3" w:rsidRDefault="00C57699" w:rsidP="00C917D6">
      <w:pPr>
        <w:pStyle w:val="Gvdemetni255"/>
        <w:shd w:val="clear" w:color="auto" w:fill="auto"/>
        <w:spacing w:before="120" w:after="120" w:line="240" w:lineRule="auto"/>
        <w:ind w:left="1134" w:hanging="1134"/>
        <w:rPr>
          <w:color w:val="auto"/>
          <w:sz w:val="24"/>
          <w:szCs w:val="24"/>
        </w:rPr>
      </w:pPr>
      <w:r w:rsidRPr="00DE12A3">
        <w:rPr>
          <w:color w:val="auto"/>
          <w:spacing w:val="4"/>
          <w:sz w:val="24"/>
          <w:szCs w:val="24"/>
        </w:rPr>
        <w:t xml:space="preserve">                  </w:t>
      </w:r>
      <w:r w:rsidR="00242DA0" w:rsidRPr="00DE12A3">
        <w:rPr>
          <w:color w:val="auto"/>
          <w:spacing w:val="4"/>
          <w:sz w:val="24"/>
          <w:szCs w:val="24"/>
        </w:rPr>
        <w:t xml:space="preserve">Numune kurutucu, ozmotik membranlı kurutucunun ya da termal soğutucunun çıkış kısmındaki yoğuşma noktası </w:t>
      </w:r>
      <w:r w:rsidR="00242DA0" w:rsidRPr="00DE12A3">
        <w:rPr>
          <w:i/>
          <w:iCs/>
          <w:color w:val="auto"/>
          <w:spacing w:val="4"/>
          <w:sz w:val="24"/>
          <w:szCs w:val="24"/>
        </w:rPr>
        <w:t>T</w:t>
      </w:r>
      <w:r w:rsidR="00242DA0" w:rsidRPr="00DE12A3">
        <w:rPr>
          <w:color w:val="auto"/>
          <w:spacing w:val="4"/>
          <w:sz w:val="24"/>
          <w:szCs w:val="24"/>
          <w:vertAlign w:val="subscript"/>
        </w:rPr>
        <w:t>dew</w:t>
      </w:r>
      <w:r w:rsidR="00242DA0" w:rsidRPr="00DE12A3">
        <w:rPr>
          <w:color w:val="auto"/>
          <w:spacing w:val="4"/>
          <w:sz w:val="24"/>
          <w:szCs w:val="24"/>
        </w:rPr>
        <w:t xml:space="preserve"> ve mutlak basınç </w:t>
      </w:r>
      <w:r w:rsidR="00242DA0" w:rsidRPr="00DE12A3">
        <w:rPr>
          <w:i/>
          <w:iCs/>
          <w:color w:val="auto"/>
          <w:spacing w:val="4"/>
          <w:sz w:val="24"/>
          <w:szCs w:val="24"/>
        </w:rPr>
        <w:t>p</w:t>
      </w:r>
      <w:r w:rsidR="00242DA0" w:rsidRPr="00DE12A3">
        <w:rPr>
          <w:color w:val="auto"/>
          <w:spacing w:val="4"/>
          <w:sz w:val="24"/>
          <w:szCs w:val="24"/>
          <w:vertAlign w:val="subscript"/>
        </w:rPr>
        <w:t>total</w:t>
      </w:r>
      <w:r w:rsidR="00242DA0" w:rsidRPr="00DE12A3">
        <w:rPr>
          <w:color w:val="auto"/>
          <w:spacing w:val="4"/>
          <w:sz w:val="24"/>
          <w:szCs w:val="24"/>
        </w:rPr>
        <w:t xml:space="preserve"> için, 9.3.2.3.1 bendinde belirtilen </w:t>
      </w:r>
      <w:r w:rsidR="0053289F" w:rsidRPr="00DE12A3">
        <w:rPr>
          <w:color w:val="auto"/>
          <w:spacing w:val="4"/>
          <w:sz w:val="24"/>
          <w:szCs w:val="24"/>
        </w:rPr>
        <w:t>gereklilikleri</w:t>
      </w:r>
      <w:r w:rsidR="00242DA0" w:rsidRPr="00DE12A3">
        <w:rPr>
          <w:color w:val="auto"/>
          <w:spacing w:val="4"/>
          <w:sz w:val="24"/>
          <w:szCs w:val="24"/>
        </w:rPr>
        <w:t xml:space="preserve"> sağlamalıdır</w:t>
      </w:r>
      <w:r w:rsidR="00242DA0" w:rsidRPr="00DE12A3">
        <w:rPr>
          <w:rStyle w:val="Gvdemetni250ptbolukbraklyor"/>
          <w:color w:val="auto"/>
          <w:sz w:val="24"/>
          <w:szCs w:val="24"/>
          <w:lang w:val="tr-TR"/>
        </w:rPr>
        <w:t>.</w:t>
      </w:r>
    </w:p>
    <w:p w14:paraId="388AFE60" w14:textId="131BFA8B" w:rsidR="002D7B36" w:rsidRPr="00DE12A3" w:rsidRDefault="00C57699" w:rsidP="00C917D6">
      <w:pPr>
        <w:pStyle w:val="Gvdemetni255"/>
        <w:shd w:val="clear" w:color="auto" w:fill="auto"/>
        <w:spacing w:before="120" w:after="120" w:line="240" w:lineRule="auto"/>
        <w:ind w:left="1134" w:hanging="1134"/>
        <w:rPr>
          <w:color w:val="auto"/>
          <w:sz w:val="24"/>
          <w:szCs w:val="24"/>
        </w:rPr>
      </w:pPr>
      <w:r w:rsidRPr="00DE12A3">
        <w:rPr>
          <w:color w:val="auto"/>
          <w:spacing w:val="4"/>
          <w:sz w:val="24"/>
          <w:szCs w:val="24"/>
        </w:rPr>
        <w:t xml:space="preserve">                  </w:t>
      </w:r>
      <w:r w:rsidR="00242DA0" w:rsidRPr="00DE12A3">
        <w:rPr>
          <w:color w:val="auto"/>
          <w:spacing w:val="4"/>
          <w:sz w:val="24"/>
          <w:szCs w:val="24"/>
        </w:rPr>
        <w:t>Numune kurutucu performansını belirlemek için aşağıdaki numune kurutucu doğrulama prosedürü kullanılmalı ya da farklı bir protokol geliştirmek için iyi mühendislik kararı kullanılmalıdır</w:t>
      </w:r>
      <w:r w:rsidR="00163FD5" w:rsidRPr="00DE12A3">
        <w:rPr>
          <w:rStyle w:val="Gvdemetni250ptbolukbraklyor"/>
          <w:color w:val="auto"/>
          <w:sz w:val="24"/>
          <w:szCs w:val="24"/>
          <w:lang w:val="tr-TR"/>
        </w:rPr>
        <w:t>.</w:t>
      </w:r>
    </w:p>
    <w:p w14:paraId="474D7647" w14:textId="336752EE" w:rsidR="002D7B36" w:rsidRPr="00DE12A3" w:rsidRDefault="003D60FE" w:rsidP="00E20716">
      <w:pPr>
        <w:pStyle w:val="Gvdemetni255"/>
        <w:numPr>
          <w:ilvl w:val="0"/>
          <w:numId w:val="287"/>
        </w:numPr>
        <w:shd w:val="clear" w:color="auto" w:fill="auto"/>
        <w:spacing w:before="120" w:after="120" w:line="240" w:lineRule="auto"/>
        <w:ind w:left="1701" w:hanging="567"/>
        <w:rPr>
          <w:color w:val="auto"/>
          <w:sz w:val="24"/>
          <w:szCs w:val="24"/>
        </w:rPr>
      </w:pPr>
      <w:r w:rsidRPr="00DE12A3">
        <w:rPr>
          <w:color w:val="auto"/>
          <w:spacing w:val="4"/>
          <w:sz w:val="24"/>
          <w:szCs w:val="24"/>
        </w:rPr>
        <w:t xml:space="preserve">    </w:t>
      </w:r>
      <w:r w:rsidR="00242DA0" w:rsidRPr="00DE12A3">
        <w:rPr>
          <w:color w:val="auto"/>
          <w:spacing w:val="4"/>
          <w:sz w:val="24"/>
          <w:szCs w:val="24"/>
        </w:rPr>
        <w:t>Gerekli bağlantıları yapmak için politetrafloroetilen ("PTFE") veya paslanmaz çelik boru kullanılmalıdır</w:t>
      </w:r>
      <w:r w:rsidR="00163FD5" w:rsidRPr="00DE12A3">
        <w:rPr>
          <w:rStyle w:val="Gvdemetni250ptbolukbraklyor"/>
          <w:color w:val="auto"/>
          <w:sz w:val="24"/>
          <w:szCs w:val="24"/>
          <w:lang w:val="tr-TR"/>
        </w:rPr>
        <w:t>.</w:t>
      </w:r>
    </w:p>
    <w:p w14:paraId="01BF4DA0" w14:textId="1DE5434A" w:rsidR="002D7B36" w:rsidRPr="00DE12A3" w:rsidRDefault="003D60FE" w:rsidP="00E20716">
      <w:pPr>
        <w:pStyle w:val="Gvdemetni255"/>
        <w:numPr>
          <w:ilvl w:val="0"/>
          <w:numId w:val="287"/>
        </w:numPr>
        <w:shd w:val="clear" w:color="auto" w:fill="auto"/>
        <w:spacing w:before="120" w:after="120" w:line="240" w:lineRule="auto"/>
        <w:ind w:left="1701" w:hanging="567"/>
        <w:rPr>
          <w:color w:val="auto"/>
          <w:sz w:val="24"/>
          <w:szCs w:val="24"/>
        </w:rPr>
      </w:pPr>
      <w:r w:rsidRPr="00DE12A3">
        <w:rPr>
          <w:rStyle w:val="Gvdemetni250ptbolukbraklyor"/>
          <w:color w:val="auto"/>
          <w:sz w:val="24"/>
          <w:szCs w:val="24"/>
          <w:lang w:val="tr-TR"/>
        </w:rPr>
        <w:t xml:space="preserve">     </w:t>
      </w:r>
      <w:r w:rsidR="00242DA0" w:rsidRPr="00DE12A3">
        <w:rPr>
          <w:rStyle w:val="Gvdemetni250ptbolukbraklyor"/>
          <w:color w:val="auto"/>
          <w:sz w:val="24"/>
          <w:szCs w:val="24"/>
          <w:lang w:val="tr-TR"/>
        </w:rPr>
        <w:t>N</w:t>
      </w:r>
      <w:r w:rsidR="00242DA0" w:rsidRPr="00DE12A3">
        <w:rPr>
          <w:rStyle w:val="Gvdemetni2510pt0ptbolukbraklyor"/>
          <w:rFonts w:eastAsia="Malgun Gothic"/>
          <w:color w:val="auto"/>
          <w:sz w:val="24"/>
          <w:szCs w:val="24"/>
          <w:vertAlign w:val="subscript"/>
        </w:rPr>
        <w:t>2</w:t>
      </w:r>
      <w:r w:rsidR="00242DA0" w:rsidRPr="00DE12A3">
        <w:rPr>
          <w:color w:val="auto"/>
          <w:spacing w:val="4"/>
          <w:sz w:val="24"/>
          <w:szCs w:val="24"/>
        </w:rPr>
        <w:t>veya saflaştırılmış hava, emisyon örneklemesi sırasında gazı tahmin edilen en yüksek örnek yoğuşma noktasına kadar nemlendiren sızdırmaz bir kapta damıtılmış su içinde köpüklendirme yoluyla nemlendirilmelidir</w:t>
      </w:r>
      <w:r w:rsidR="00163FD5" w:rsidRPr="00DE12A3">
        <w:rPr>
          <w:rStyle w:val="Gvdemetni250ptbolukbraklyor"/>
          <w:color w:val="auto"/>
          <w:sz w:val="24"/>
          <w:szCs w:val="24"/>
          <w:lang w:val="tr-TR"/>
        </w:rPr>
        <w:t>.</w:t>
      </w:r>
    </w:p>
    <w:p w14:paraId="23119FB6" w14:textId="7F5324A7" w:rsidR="002D7B36" w:rsidRPr="00DE12A3" w:rsidRDefault="00242DA0" w:rsidP="00E20716">
      <w:pPr>
        <w:pStyle w:val="Gvdemetni255"/>
        <w:numPr>
          <w:ilvl w:val="0"/>
          <w:numId w:val="287"/>
        </w:numPr>
        <w:shd w:val="clear" w:color="auto" w:fill="auto"/>
        <w:spacing w:before="120" w:after="120" w:line="240" w:lineRule="auto"/>
        <w:ind w:left="1701" w:hanging="567"/>
        <w:rPr>
          <w:color w:val="auto"/>
          <w:sz w:val="24"/>
          <w:szCs w:val="24"/>
        </w:rPr>
      </w:pPr>
      <w:r w:rsidRPr="00DE12A3">
        <w:rPr>
          <w:color w:val="auto"/>
          <w:spacing w:val="4"/>
          <w:sz w:val="24"/>
          <w:szCs w:val="24"/>
        </w:rPr>
        <w:t>Nemlendirilmiş gaz, numune kurutucunun giriş kısmından beslenmelidir</w:t>
      </w:r>
      <w:r w:rsidR="00163FD5" w:rsidRPr="00DE12A3">
        <w:rPr>
          <w:rStyle w:val="Gvdemetni250ptbolukbraklyor"/>
          <w:color w:val="auto"/>
          <w:sz w:val="24"/>
          <w:szCs w:val="24"/>
          <w:lang w:val="tr-TR"/>
        </w:rPr>
        <w:t>.</w:t>
      </w:r>
    </w:p>
    <w:p w14:paraId="7628BF84" w14:textId="33B21268" w:rsidR="002D7B36" w:rsidRPr="00DE12A3" w:rsidRDefault="00242DA0" w:rsidP="00E20716">
      <w:pPr>
        <w:pStyle w:val="Gvdemetni255"/>
        <w:numPr>
          <w:ilvl w:val="0"/>
          <w:numId w:val="287"/>
        </w:numPr>
        <w:shd w:val="clear" w:color="auto" w:fill="auto"/>
        <w:spacing w:before="120" w:after="120" w:line="240" w:lineRule="auto"/>
        <w:ind w:left="1701" w:hanging="567"/>
        <w:rPr>
          <w:rStyle w:val="Gvdemetni250ptbolukbraklyor"/>
          <w:color w:val="auto"/>
          <w:spacing w:val="3"/>
          <w:sz w:val="24"/>
          <w:szCs w:val="24"/>
          <w:shd w:val="clear" w:color="auto" w:fill="auto"/>
          <w:lang w:val="tr-TR"/>
        </w:rPr>
      </w:pPr>
      <w:r w:rsidRPr="00DE12A3">
        <w:rPr>
          <w:color w:val="auto"/>
          <w:spacing w:val="4"/>
          <w:sz w:val="24"/>
          <w:szCs w:val="24"/>
        </w:rPr>
        <w:t>Kabın çıkış tarafında nemlendirilmiş gaz sıcaklığı, yoğuşma noktasının en az 5 K (5 °C) üzerinde tutulmalıdır</w:t>
      </w:r>
      <w:r w:rsidR="00163FD5" w:rsidRPr="00DE12A3">
        <w:rPr>
          <w:rStyle w:val="Gvdemetni250ptbolukbraklyor"/>
          <w:color w:val="auto"/>
          <w:sz w:val="24"/>
          <w:szCs w:val="24"/>
          <w:lang w:val="tr-TR"/>
        </w:rPr>
        <w:t>.</w:t>
      </w:r>
    </w:p>
    <w:p w14:paraId="144816DA" w14:textId="5178DD72" w:rsidR="002D7B36" w:rsidRPr="00DE12A3" w:rsidRDefault="003D60FE" w:rsidP="00E20716">
      <w:pPr>
        <w:pStyle w:val="Gvdemetni255"/>
        <w:numPr>
          <w:ilvl w:val="0"/>
          <w:numId w:val="287"/>
        </w:numPr>
        <w:shd w:val="clear" w:color="auto" w:fill="auto"/>
        <w:spacing w:before="120" w:after="120" w:line="240" w:lineRule="auto"/>
        <w:ind w:left="1701" w:hanging="567"/>
        <w:rPr>
          <w:color w:val="auto"/>
          <w:sz w:val="24"/>
          <w:szCs w:val="24"/>
        </w:rPr>
      </w:pPr>
      <w:r w:rsidRPr="00DE12A3">
        <w:rPr>
          <w:color w:val="auto"/>
          <w:spacing w:val="4"/>
          <w:sz w:val="24"/>
          <w:szCs w:val="24"/>
        </w:rPr>
        <w:t xml:space="preserve">     </w:t>
      </w:r>
      <w:r w:rsidR="00242DA0" w:rsidRPr="00DE12A3">
        <w:rPr>
          <w:color w:val="auto"/>
          <w:spacing w:val="4"/>
          <w:sz w:val="24"/>
          <w:szCs w:val="24"/>
        </w:rPr>
        <w:t>Emisyon</w:t>
      </w:r>
      <w:r w:rsidR="00242DA0" w:rsidRPr="00DE12A3">
        <w:rPr>
          <w:color w:val="auto"/>
          <w:sz w:val="24"/>
          <w:szCs w:val="24"/>
        </w:rPr>
        <w:t xml:space="preserve"> örneklemesi sırasında gazı tahmin edilen en yüksek yoğuşma noktası olduğunu doğrulamak için, numune kurutucu girişinin mümkün olduğunca yakınında nemlendirilmiş gaz yoğuşma noktası Tdew ve basınç ptotal ölçülmelidir</w:t>
      </w:r>
      <w:r w:rsidR="00163FD5" w:rsidRPr="00DE12A3">
        <w:rPr>
          <w:color w:val="auto"/>
          <w:sz w:val="24"/>
          <w:szCs w:val="24"/>
        </w:rPr>
        <w:t>.</w:t>
      </w:r>
    </w:p>
    <w:p w14:paraId="2CA17240" w14:textId="073848B9" w:rsidR="002D7B36" w:rsidRPr="00DE12A3" w:rsidRDefault="00242DA0" w:rsidP="00E20716">
      <w:pPr>
        <w:pStyle w:val="Gvdemetni255"/>
        <w:numPr>
          <w:ilvl w:val="0"/>
          <w:numId w:val="287"/>
        </w:numPr>
        <w:shd w:val="clear" w:color="auto" w:fill="auto"/>
        <w:tabs>
          <w:tab w:val="left" w:pos="1418"/>
          <w:tab w:val="left" w:pos="1843"/>
          <w:tab w:val="left" w:pos="1985"/>
          <w:tab w:val="right" w:pos="5589"/>
        </w:tabs>
        <w:spacing w:before="120" w:after="120" w:line="240" w:lineRule="auto"/>
        <w:ind w:left="1701" w:hanging="567"/>
        <w:rPr>
          <w:color w:val="auto"/>
          <w:sz w:val="24"/>
          <w:szCs w:val="24"/>
        </w:rPr>
      </w:pPr>
      <w:r w:rsidRPr="00DE12A3">
        <w:rPr>
          <w:color w:val="auto"/>
          <w:sz w:val="24"/>
          <w:szCs w:val="24"/>
        </w:rPr>
        <w:t xml:space="preserve">Nemlendirilmiş gaz yoğuşma noktası </w:t>
      </w:r>
      <w:r w:rsidRPr="00DE12A3">
        <w:rPr>
          <w:i/>
          <w:iCs/>
          <w:color w:val="auto"/>
          <w:sz w:val="24"/>
          <w:szCs w:val="24"/>
        </w:rPr>
        <w:t>T</w:t>
      </w:r>
      <w:r w:rsidRPr="00DE12A3">
        <w:rPr>
          <w:color w:val="auto"/>
          <w:sz w:val="24"/>
          <w:szCs w:val="24"/>
          <w:vertAlign w:val="subscript"/>
        </w:rPr>
        <w:t>dew</w:t>
      </w:r>
      <w:r w:rsidRPr="00DE12A3">
        <w:rPr>
          <w:color w:val="auto"/>
          <w:sz w:val="24"/>
          <w:szCs w:val="24"/>
        </w:rPr>
        <w:t xml:space="preserve"> ve basınç p</w:t>
      </w:r>
      <w:r w:rsidRPr="00DE12A3">
        <w:rPr>
          <w:color w:val="auto"/>
          <w:sz w:val="24"/>
          <w:szCs w:val="24"/>
          <w:vertAlign w:val="subscript"/>
        </w:rPr>
        <w:t>total</w:t>
      </w:r>
      <w:r w:rsidRPr="00DE12A3">
        <w:rPr>
          <w:color w:val="auto"/>
          <w:sz w:val="24"/>
          <w:szCs w:val="24"/>
        </w:rPr>
        <w:t>, numune kurutucu çıkışının mümkün olduğunca yakınında ölçülmelidir</w:t>
      </w:r>
      <w:r w:rsidR="00163FD5" w:rsidRPr="00DE12A3">
        <w:rPr>
          <w:color w:val="auto"/>
          <w:sz w:val="24"/>
          <w:szCs w:val="24"/>
        </w:rPr>
        <w:t>.</w:t>
      </w:r>
    </w:p>
    <w:p w14:paraId="48A8DEE9" w14:textId="5A94AF64" w:rsidR="002D7B36" w:rsidRPr="00DE12A3" w:rsidRDefault="00242DA0" w:rsidP="00E20716">
      <w:pPr>
        <w:pStyle w:val="Gvdemetni255"/>
        <w:numPr>
          <w:ilvl w:val="0"/>
          <w:numId w:val="287"/>
        </w:numPr>
        <w:shd w:val="clear" w:color="auto" w:fill="auto"/>
        <w:spacing w:before="120" w:after="120" w:line="240" w:lineRule="auto"/>
        <w:ind w:left="1701" w:hanging="567"/>
        <w:rPr>
          <w:color w:val="auto"/>
          <w:sz w:val="24"/>
          <w:szCs w:val="24"/>
        </w:rPr>
      </w:pPr>
      <w:r w:rsidRPr="00DE12A3">
        <w:rPr>
          <w:color w:val="auto"/>
          <w:sz w:val="24"/>
          <w:szCs w:val="24"/>
        </w:rPr>
        <w:t xml:space="preserve">Numune kurutucu, 9.3.2.3.1 bendinde belirlenen numune kurutucu özelliklerine karşılık gelen yoğuşma noktası artı 2 K'den (2 °C) daha düşükse veya mol oranı, ilgili numune kurutucu özellikleri artı 0,002 mol/mol veya hacimce </w:t>
      </w:r>
      <w:r w:rsidR="003D60FE" w:rsidRPr="00DE12A3">
        <w:rPr>
          <w:color w:val="auto"/>
          <w:sz w:val="24"/>
          <w:szCs w:val="24"/>
        </w:rPr>
        <w:t>%0,2</w:t>
      </w:r>
      <w:r w:rsidRPr="00DE12A3">
        <w:rPr>
          <w:color w:val="auto"/>
          <w:sz w:val="24"/>
          <w:szCs w:val="24"/>
        </w:rPr>
        <w:t>'den değerinden düşükse doğrulamayı sağlar.</w:t>
      </w:r>
      <w:r w:rsidR="003D60FE" w:rsidRPr="00DE12A3">
        <w:rPr>
          <w:color w:val="auto"/>
          <w:sz w:val="24"/>
          <w:szCs w:val="24"/>
        </w:rPr>
        <w:t xml:space="preserve"> </w:t>
      </w:r>
      <w:r w:rsidRPr="00DE12A3">
        <w:rPr>
          <w:color w:val="auto"/>
          <w:sz w:val="24"/>
          <w:szCs w:val="24"/>
        </w:rPr>
        <w:t>Bu doğrulama için, numune yoğuşma noktasının, mutlak sıcaklık Kelvin cinsinden ifade edildiği unutulmamalıdır.</w:t>
      </w:r>
    </w:p>
    <w:p w14:paraId="117C6C6F" w14:textId="77777777" w:rsidR="002D7B36" w:rsidRPr="00DE12A3" w:rsidRDefault="00242DA0" w:rsidP="00C917D6">
      <w:pPr>
        <w:pStyle w:val="Gvdemetni255"/>
        <w:shd w:val="clear" w:color="auto" w:fill="auto"/>
        <w:spacing w:before="120" w:after="120" w:line="240" w:lineRule="auto"/>
        <w:ind w:left="1134" w:hanging="1134"/>
        <w:rPr>
          <w:color w:val="auto"/>
          <w:sz w:val="24"/>
          <w:szCs w:val="24"/>
        </w:rPr>
      </w:pPr>
      <w:r w:rsidRPr="00DE12A3">
        <w:rPr>
          <w:color w:val="auto"/>
          <w:sz w:val="24"/>
          <w:szCs w:val="24"/>
        </w:rPr>
        <w:t>8.1.13.</w:t>
      </w:r>
      <w:r w:rsidRPr="00DE12A3">
        <w:rPr>
          <w:color w:val="auto"/>
          <w:sz w:val="24"/>
          <w:szCs w:val="24"/>
        </w:rPr>
        <w:tab/>
        <w:t>PM ölçümleri</w:t>
      </w:r>
    </w:p>
    <w:p w14:paraId="6D58A55B" w14:textId="77777777" w:rsidR="002D7B36" w:rsidRPr="00DE12A3" w:rsidRDefault="003D60FE" w:rsidP="00E20716">
      <w:pPr>
        <w:pStyle w:val="Gvdemetni255"/>
        <w:numPr>
          <w:ilvl w:val="0"/>
          <w:numId w:val="288"/>
        </w:numPr>
        <w:shd w:val="clear" w:color="auto" w:fill="auto"/>
        <w:tabs>
          <w:tab w:val="left" w:pos="993"/>
        </w:tabs>
        <w:spacing w:before="120" w:after="120" w:line="240" w:lineRule="auto"/>
        <w:ind w:left="1134" w:hanging="1134"/>
        <w:rPr>
          <w:color w:val="auto"/>
          <w:sz w:val="24"/>
          <w:szCs w:val="24"/>
        </w:rPr>
      </w:pPr>
      <w:r w:rsidRPr="00DE12A3">
        <w:rPr>
          <w:color w:val="auto"/>
          <w:sz w:val="24"/>
          <w:szCs w:val="24"/>
        </w:rPr>
        <w:t xml:space="preserve">   </w:t>
      </w:r>
      <w:r w:rsidR="00242DA0" w:rsidRPr="00DE12A3">
        <w:rPr>
          <w:color w:val="auto"/>
          <w:sz w:val="24"/>
          <w:szCs w:val="24"/>
        </w:rPr>
        <w:t>PM dengesi doğrulaması ve tartım işlemi doğrulaması</w:t>
      </w:r>
    </w:p>
    <w:p w14:paraId="7CCC7563" w14:textId="77777777" w:rsidR="002D7B36" w:rsidRPr="00DE12A3" w:rsidRDefault="003D60FE" w:rsidP="00E20716">
      <w:pPr>
        <w:pStyle w:val="Gvdemetni255"/>
        <w:numPr>
          <w:ilvl w:val="0"/>
          <w:numId w:val="289"/>
        </w:numPr>
        <w:shd w:val="clear" w:color="auto" w:fill="auto"/>
        <w:tabs>
          <w:tab w:val="left" w:pos="993"/>
        </w:tabs>
        <w:spacing w:before="120" w:after="120" w:line="240" w:lineRule="auto"/>
        <w:ind w:left="1134" w:hanging="1134"/>
        <w:rPr>
          <w:color w:val="auto"/>
          <w:sz w:val="24"/>
          <w:szCs w:val="24"/>
        </w:rPr>
      </w:pPr>
      <w:r w:rsidRPr="00DE12A3">
        <w:rPr>
          <w:color w:val="auto"/>
          <w:sz w:val="24"/>
          <w:szCs w:val="24"/>
        </w:rPr>
        <w:t xml:space="preserve"> </w:t>
      </w:r>
      <w:r w:rsidR="00242DA0" w:rsidRPr="00DE12A3">
        <w:rPr>
          <w:color w:val="auto"/>
          <w:sz w:val="24"/>
          <w:szCs w:val="24"/>
        </w:rPr>
        <w:t>Kapsam ve sıklık</w:t>
      </w:r>
    </w:p>
    <w:p w14:paraId="4AC0555E" w14:textId="7FAABFC3" w:rsidR="002D7B36" w:rsidRPr="00DE12A3" w:rsidRDefault="003D60FE" w:rsidP="00C917D6">
      <w:pPr>
        <w:pStyle w:val="Gvdemetni255"/>
        <w:shd w:val="clear" w:color="auto" w:fill="auto"/>
        <w:spacing w:before="120" w:after="120" w:line="240" w:lineRule="auto"/>
        <w:ind w:left="1134" w:hanging="1134"/>
        <w:rPr>
          <w:color w:val="auto"/>
          <w:sz w:val="24"/>
          <w:szCs w:val="24"/>
        </w:rPr>
      </w:pPr>
      <w:r w:rsidRPr="00DE12A3">
        <w:rPr>
          <w:color w:val="auto"/>
          <w:sz w:val="24"/>
          <w:szCs w:val="24"/>
        </w:rPr>
        <w:t xml:space="preserve">                   </w:t>
      </w:r>
      <w:r w:rsidR="00242DA0" w:rsidRPr="00DE12A3">
        <w:rPr>
          <w:color w:val="auto"/>
          <w:sz w:val="24"/>
          <w:szCs w:val="24"/>
        </w:rPr>
        <w:t xml:space="preserve">Bu </w:t>
      </w:r>
      <w:r w:rsidR="00163FD5" w:rsidRPr="00DE12A3">
        <w:rPr>
          <w:color w:val="auto"/>
          <w:sz w:val="24"/>
          <w:szCs w:val="24"/>
        </w:rPr>
        <w:t xml:space="preserve">bentte </w:t>
      </w:r>
      <w:r w:rsidR="00242DA0" w:rsidRPr="00DE12A3">
        <w:rPr>
          <w:color w:val="auto"/>
          <w:sz w:val="24"/>
          <w:szCs w:val="24"/>
        </w:rPr>
        <w:t>üç doğrulama açıklanmaktadır</w:t>
      </w:r>
      <w:r w:rsidR="00163FD5" w:rsidRPr="00DE12A3">
        <w:rPr>
          <w:color w:val="auto"/>
          <w:sz w:val="24"/>
          <w:szCs w:val="24"/>
        </w:rPr>
        <w:t>:</w:t>
      </w:r>
    </w:p>
    <w:p w14:paraId="4F97E179" w14:textId="548B8C62" w:rsidR="002D7B36" w:rsidRPr="00DE12A3" w:rsidRDefault="003D60FE" w:rsidP="00E20716">
      <w:pPr>
        <w:pStyle w:val="Gvdemetni255"/>
        <w:numPr>
          <w:ilvl w:val="0"/>
          <w:numId w:val="290"/>
        </w:numPr>
        <w:shd w:val="clear" w:color="auto" w:fill="auto"/>
        <w:spacing w:before="120" w:after="120" w:line="240" w:lineRule="auto"/>
        <w:ind w:left="1701" w:hanging="567"/>
        <w:rPr>
          <w:color w:val="auto"/>
          <w:sz w:val="24"/>
          <w:szCs w:val="24"/>
        </w:rPr>
      </w:pPr>
      <w:r w:rsidRPr="00DE12A3">
        <w:rPr>
          <w:color w:val="auto"/>
          <w:sz w:val="24"/>
          <w:szCs w:val="24"/>
        </w:rPr>
        <w:t xml:space="preserve">    </w:t>
      </w:r>
      <w:r w:rsidR="00242DA0" w:rsidRPr="00DE12A3">
        <w:rPr>
          <w:color w:val="auto"/>
          <w:sz w:val="24"/>
          <w:szCs w:val="24"/>
        </w:rPr>
        <w:t>Herhangi bir filtre tartılmadan önceki 370 gün içinde bağımsız PM dengesi performansı doğrulaması</w:t>
      </w:r>
      <w:r w:rsidR="00163FD5" w:rsidRPr="00DE12A3">
        <w:rPr>
          <w:color w:val="auto"/>
          <w:sz w:val="24"/>
          <w:szCs w:val="24"/>
        </w:rPr>
        <w:t>.</w:t>
      </w:r>
    </w:p>
    <w:p w14:paraId="10B1AF22" w14:textId="08955EDA" w:rsidR="002D7B36" w:rsidRPr="00DE12A3" w:rsidRDefault="00242DA0" w:rsidP="00E20716">
      <w:pPr>
        <w:pStyle w:val="Gvdemetni255"/>
        <w:numPr>
          <w:ilvl w:val="0"/>
          <w:numId w:val="290"/>
        </w:numPr>
        <w:shd w:val="clear" w:color="auto" w:fill="auto"/>
        <w:spacing w:before="120" w:after="120" w:line="240" w:lineRule="auto"/>
        <w:ind w:left="1701" w:hanging="567"/>
        <w:rPr>
          <w:color w:val="auto"/>
          <w:sz w:val="24"/>
          <w:szCs w:val="24"/>
        </w:rPr>
      </w:pPr>
      <w:r w:rsidRPr="00DE12A3">
        <w:rPr>
          <w:color w:val="auto"/>
          <w:sz w:val="24"/>
          <w:szCs w:val="24"/>
        </w:rPr>
        <w:t>Herhangi bir filtre tartılmadan önceki 12 saat içinde dengenin sıfırı ve ayarı</w:t>
      </w:r>
      <w:r w:rsidR="00163FD5" w:rsidRPr="00DE12A3">
        <w:rPr>
          <w:color w:val="auto"/>
          <w:sz w:val="24"/>
          <w:szCs w:val="24"/>
        </w:rPr>
        <w:t>.</w:t>
      </w:r>
    </w:p>
    <w:p w14:paraId="0B986C78" w14:textId="77777777" w:rsidR="002D7B36" w:rsidRPr="00DE12A3" w:rsidRDefault="003D60FE" w:rsidP="00E20716">
      <w:pPr>
        <w:pStyle w:val="Gvdemetni255"/>
        <w:numPr>
          <w:ilvl w:val="0"/>
          <w:numId w:val="290"/>
        </w:numPr>
        <w:shd w:val="clear" w:color="auto" w:fill="auto"/>
        <w:spacing w:before="120" w:after="120" w:line="240" w:lineRule="auto"/>
        <w:ind w:left="1701" w:hanging="567"/>
        <w:rPr>
          <w:color w:val="auto"/>
          <w:sz w:val="24"/>
          <w:szCs w:val="24"/>
        </w:rPr>
      </w:pPr>
      <w:r w:rsidRPr="00DE12A3">
        <w:rPr>
          <w:color w:val="auto"/>
          <w:sz w:val="24"/>
          <w:szCs w:val="24"/>
        </w:rPr>
        <w:t xml:space="preserve">     </w:t>
      </w:r>
      <w:r w:rsidR="00242DA0" w:rsidRPr="00DE12A3">
        <w:rPr>
          <w:color w:val="auto"/>
          <w:sz w:val="24"/>
          <w:szCs w:val="24"/>
        </w:rPr>
        <w:t>Filtre tartım seansı öncesindeki ve sonrasındaki referans filtre kütleleri tespitinin, belirtilen bir toleranstan daha düşük olduğunun doğrulanması.</w:t>
      </w:r>
    </w:p>
    <w:p w14:paraId="7185E526" w14:textId="77777777" w:rsidR="002D7B36" w:rsidRPr="00DE12A3" w:rsidRDefault="003D60FE" w:rsidP="00E20716">
      <w:pPr>
        <w:pStyle w:val="Gvdemetni255"/>
        <w:numPr>
          <w:ilvl w:val="0"/>
          <w:numId w:val="289"/>
        </w:numPr>
        <w:shd w:val="clear" w:color="auto" w:fill="auto"/>
        <w:tabs>
          <w:tab w:val="left" w:pos="993"/>
        </w:tabs>
        <w:spacing w:before="120" w:after="120" w:line="240" w:lineRule="auto"/>
        <w:ind w:left="1134" w:hanging="1134"/>
        <w:rPr>
          <w:color w:val="auto"/>
          <w:sz w:val="24"/>
          <w:szCs w:val="24"/>
        </w:rPr>
      </w:pPr>
      <w:r w:rsidRPr="00DE12A3">
        <w:rPr>
          <w:color w:val="auto"/>
          <w:sz w:val="24"/>
          <w:szCs w:val="24"/>
        </w:rPr>
        <w:t xml:space="preserve">  </w:t>
      </w:r>
      <w:r w:rsidR="00242DA0" w:rsidRPr="00DE12A3">
        <w:rPr>
          <w:color w:val="auto"/>
          <w:sz w:val="24"/>
          <w:szCs w:val="24"/>
        </w:rPr>
        <w:t>Bağımsız doğrulama</w:t>
      </w:r>
    </w:p>
    <w:p w14:paraId="38B4CD6E" w14:textId="77777777" w:rsidR="002D7B36" w:rsidRPr="00DE12A3" w:rsidRDefault="003D60FE" w:rsidP="00C917D6">
      <w:pPr>
        <w:pStyle w:val="Gvdemetni255"/>
        <w:shd w:val="clear" w:color="auto" w:fill="auto"/>
        <w:spacing w:before="120" w:after="120" w:line="240" w:lineRule="auto"/>
        <w:ind w:left="1134" w:hanging="1134"/>
        <w:rPr>
          <w:color w:val="auto"/>
          <w:sz w:val="24"/>
          <w:szCs w:val="24"/>
        </w:rPr>
      </w:pPr>
      <w:r w:rsidRPr="00DE12A3">
        <w:rPr>
          <w:color w:val="auto"/>
          <w:sz w:val="24"/>
          <w:szCs w:val="24"/>
        </w:rPr>
        <w:t xml:space="preserve">                  </w:t>
      </w:r>
      <w:r w:rsidR="00EF0D08" w:rsidRPr="00DE12A3">
        <w:rPr>
          <w:color w:val="auto"/>
          <w:sz w:val="24"/>
          <w:szCs w:val="24"/>
        </w:rPr>
        <w:t>Balans</w:t>
      </w:r>
      <w:r w:rsidR="00242DA0" w:rsidRPr="00DE12A3">
        <w:rPr>
          <w:color w:val="auto"/>
          <w:sz w:val="24"/>
          <w:szCs w:val="24"/>
        </w:rPr>
        <w:t xml:space="preserve"> imalatçısı (veya </w:t>
      </w:r>
      <w:r w:rsidR="00EF0D08" w:rsidRPr="00DE12A3">
        <w:rPr>
          <w:color w:val="auto"/>
          <w:sz w:val="24"/>
          <w:szCs w:val="24"/>
        </w:rPr>
        <w:t>balans</w:t>
      </w:r>
      <w:r w:rsidR="00242DA0" w:rsidRPr="00DE12A3">
        <w:rPr>
          <w:color w:val="auto"/>
          <w:sz w:val="24"/>
          <w:szCs w:val="24"/>
        </w:rPr>
        <w:t xml:space="preserve"> imalatçısı tarafından onaylanan bir temsilci), testten itibaren 370 gün içinde iç denetim prosedürleri uyarınca </w:t>
      </w:r>
      <w:r w:rsidR="00EF0D08" w:rsidRPr="00DE12A3">
        <w:rPr>
          <w:color w:val="auto"/>
          <w:sz w:val="24"/>
          <w:szCs w:val="24"/>
        </w:rPr>
        <w:t>balans</w:t>
      </w:r>
      <w:r w:rsidR="00242DA0" w:rsidRPr="00DE12A3">
        <w:rPr>
          <w:color w:val="auto"/>
          <w:sz w:val="24"/>
          <w:szCs w:val="24"/>
        </w:rPr>
        <w:t xml:space="preserve"> performansını doğrulamalıdır.</w:t>
      </w:r>
    </w:p>
    <w:p w14:paraId="0B39BAB9" w14:textId="77777777" w:rsidR="002D7B36" w:rsidRPr="00DE12A3" w:rsidRDefault="00242DA0" w:rsidP="00E20716">
      <w:pPr>
        <w:pStyle w:val="Gvdemetni255"/>
        <w:numPr>
          <w:ilvl w:val="0"/>
          <w:numId w:val="289"/>
        </w:numPr>
        <w:shd w:val="clear" w:color="auto" w:fill="auto"/>
        <w:tabs>
          <w:tab w:val="left" w:pos="851"/>
        </w:tabs>
        <w:spacing w:before="120" w:after="120" w:line="240" w:lineRule="auto"/>
        <w:ind w:left="1134" w:hanging="1134"/>
        <w:rPr>
          <w:color w:val="auto"/>
          <w:sz w:val="24"/>
          <w:szCs w:val="24"/>
        </w:rPr>
      </w:pPr>
      <w:r w:rsidRPr="00DE12A3">
        <w:rPr>
          <w:color w:val="auto"/>
          <w:sz w:val="24"/>
          <w:szCs w:val="24"/>
        </w:rPr>
        <w:t>Sıfırlama ve ayarlama</w:t>
      </w:r>
    </w:p>
    <w:p w14:paraId="40BD02CE" w14:textId="77777777" w:rsidR="002D7B36" w:rsidRPr="00DE12A3" w:rsidRDefault="003D60FE" w:rsidP="00C917D6">
      <w:pPr>
        <w:pStyle w:val="Gvdemetni255"/>
        <w:shd w:val="clear" w:color="auto" w:fill="auto"/>
        <w:spacing w:before="120" w:after="120" w:line="240" w:lineRule="auto"/>
        <w:ind w:left="1134" w:hanging="1134"/>
        <w:rPr>
          <w:color w:val="auto"/>
          <w:sz w:val="24"/>
          <w:szCs w:val="24"/>
        </w:rPr>
      </w:pPr>
      <w:r w:rsidRPr="00DE12A3">
        <w:rPr>
          <w:color w:val="auto"/>
          <w:sz w:val="24"/>
          <w:szCs w:val="24"/>
        </w:rPr>
        <w:lastRenderedPageBreak/>
        <w:t xml:space="preserve">                  </w:t>
      </w:r>
      <w:r w:rsidR="00EF0D08" w:rsidRPr="00DE12A3">
        <w:rPr>
          <w:color w:val="auto"/>
          <w:sz w:val="24"/>
          <w:szCs w:val="24"/>
        </w:rPr>
        <w:t>Balans</w:t>
      </w:r>
      <w:r w:rsidR="00242DA0" w:rsidRPr="00DE12A3">
        <w:rPr>
          <w:color w:val="auto"/>
          <w:sz w:val="24"/>
          <w:szCs w:val="24"/>
        </w:rPr>
        <w:t xml:space="preserve"> performansı, sıfırlanarak ve en az bir kalibrasyon ağırlığıyla ayarlanarak doğrulanmalı ve kullanılan tüm ağırlıklar bu doğrulamayı gerçekleştirmek için 9.5.2 bendindeki </w:t>
      </w:r>
      <w:r w:rsidR="0053289F" w:rsidRPr="00DE12A3">
        <w:rPr>
          <w:color w:val="auto"/>
          <w:sz w:val="24"/>
          <w:szCs w:val="24"/>
        </w:rPr>
        <w:t>gereklilikleri</w:t>
      </w:r>
      <w:r w:rsidR="00242DA0" w:rsidRPr="00DE12A3">
        <w:rPr>
          <w:color w:val="auto"/>
          <w:sz w:val="24"/>
          <w:szCs w:val="24"/>
        </w:rPr>
        <w:t xml:space="preserve"> sağlamalıdır. Manuel veya otomatik bir prosedür kullanılır:</w:t>
      </w:r>
    </w:p>
    <w:p w14:paraId="2E216A22" w14:textId="65647D1A" w:rsidR="002D7B36" w:rsidRPr="00DE12A3" w:rsidRDefault="003D60FE" w:rsidP="00E20716">
      <w:pPr>
        <w:pStyle w:val="Gvdemetni255"/>
        <w:numPr>
          <w:ilvl w:val="0"/>
          <w:numId w:val="291"/>
        </w:numPr>
        <w:shd w:val="clear" w:color="auto" w:fill="auto"/>
        <w:spacing w:before="120" w:after="120" w:line="240" w:lineRule="auto"/>
        <w:ind w:left="1701" w:hanging="567"/>
        <w:rPr>
          <w:color w:val="auto"/>
          <w:sz w:val="24"/>
          <w:szCs w:val="24"/>
        </w:rPr>
      </w:pPr>
      <w:r w:rsidRPr="00DE12A3">
        <w:rPr>
          <w:color w:val="auto"/>
          <w:sz w:val="24"/>
          <w:szCs w:val="24"/>
        </w:rPr>
        <w:t xml:space="preserve">    </w:t>
      </w:r>
      <w:r w:rsidR="00242DA0" w:rsidRPr="00DE12A3">
        <w:rPr>
          <w:color w:val="auto"/>
          <w:sz w:val="24"/>
          <w:szCs w:val="24"/>
        </w:rPr>
        <w:t xml:space="preserve">Manuel prosedür, dengenin sıfırlandığı ve en az bir kalibrasyon ağırlığı ile ayarlandığı </w:t>
      </w:r>
      <w:r w:rsidR="00EF0D08" w:rsidRPr="00DE12A3">
        <w:rPr>
          <w:color w:val="auto"/>
          <w:sz w:val="24"/>
          <w:szCs w:val="24"/>
        </w:rPr>
        <w:t>balansın</w:t>
      </w:r>
      <w:r w:rsidR="00242DA0" w:rsidRPr="00DE12A3">
        <w:rPr>
          <w:color w:val="auto"/>
          <w:sz w:val="24"/>
          <w:szCs w:val="24"/>
        </w:rPr>
        <w:t xml:space="preserve"> kullanılmasını gerektirir. Normalde, ortalama değerler, PM ölçümlerinin doğruluğunu ve kesinliğini iyileştirmek için tartım işlemi tekrarlanarak elde edilirse, aynı işlem </w:t>
      </w:r>
      <w:r w:rsidR="00EF0D08" w:rsidRPr="00DE12A3">
        <w:rPr>
          <w:color w:val="auto"/>
          <w:sz w:val="24"/>
          <w:szCs w:val="24"/>
        </w:rPr>
        <w:t>balans</w:t>
      </w:r>
      <w:r w:rsidR="00242DA0" w:rsidRPr="00DE12A3">
        <w:rPr>
          <w:color w:val="auto"/>
          <w:sz w:val="24"/>
          <w:szCs w:val="24"/>
        </w:rPr>
        <w:t xml:space="preserve"> performansını doğrulamak için kullanılmalıdır</w:t>
      </w:r>
      <w:r w:rsidR="00163FD5" w:rsidRPr="00DE12A3">
        <w:rPr>
          <w:color w:val="auto"/>
          <w:sz w:val="24"/>
          <w:szCs w:val="24"/>
        </w:rPr>
        <w:t>.</w:t>
      </w:r>
    </w:p>
    <w:p w14:paraId="52F17743" w14:textId="77777777" w:rsidR="002D7B36" w:rsidRPr="00DE12A3" w:rsidRDefault="00EF0D08" w:rsidP="00E20716">
      <w:pPr>
        <w:pStyle w:val="Gvdemetni255"/>
        <w:numPr>
          <w:ilvl w:val="0"/>
          <w:numId w:val="291"/>
        </w:numPr>
        <w:shd w:val="clear" w:color="auto" w:fill="auto"/>
        <w:spacing w:before="120" w:after="120" w:line="240" w:lineRule="auto"/>
        <w:ind w:left="1701" w:hanging="567"/>
        <w:rPr>
          <w:color w:val="auto"/>
          <w:sz w:val="24"/>
          <w:szCs w:val="24"/>
        </w:rPr>
      </w:pPr>
      <w:r w:rsidRPr="00DE12A3">
        <w:rPr>
          <w:color w:val="auto"/>
          <w:sz w:val="24"/>
          <w:szCs w:val="24"/>
        </w:rPr>
        <w:t>Balans</w:t>
      </w:r>
      <w:r w:rsidR="00242DA0" w:rsidRPr="00DE12A3">
        <w:rPr>
          <w:color w:val="auto"/>
          <w:sz w:val="24"/>
          <w:szCs w:val="24"/>
        </w:rPr>
        <w:t xml:space="preserve"> performansını doğrulamak için, otomatik olarak kullanılan dahili kalibrasyon ağırlıkları ile otomatik bir prosedür gerçekleştirilir. Bu dahili kalibrasyon ağırlıkları, bu doğrulamayı gerçekleştirmek için 9.5.2 bendindeki </w:t>
      </w:r>
      <w:r w:rsidR="0053289F" w:rsidRPr="00DE12A3">
        <w:rPr>
          <w:color w:val="auto"/>
          <w:sz w:val="24"/>
          <w:szCs w:val="24"/>
        </w:rPr>
        <w:t>gereklilikleri</w:t>
      </w:r>
      <w:r w:rsidR="00242DA0" w:rsidRPr="00DE12A3">
        <w:rPr>
          <w:color w:val="auto"/>
          <w:sz w:val="24"/>
          <w:szCs w:val="24"/>
        </w:rPr>
        <w:t xml:space="preserve"> sağlamalıdır.</w:t>
      </w:r>
    </w:p>
    <w:p w14:paraId="1479282C" w14:textId="77777777" w:rsidR="002D7B36" w:rsidRPr="00DE12A3" w:rsidRDefault="00242DA0" w:rsidP="00E20716">
      <w:pPr>
        <w:pStyle w:val="Gvdemetni255"/>
        <w:numPr>
          <w:ilvl w:val="0"/>
          <w:numId w:val="289"/>
        </w:numPr>
        <w:shd w:val="clear" w:color="auto" w:fill="auto"/>
        <w:spacing w:before="120" w:after="120" w:line="240" w:lineRule="auto"/>
        <w:ind w:left="1134" w:hanging="1134"/>
        <w:rPr>
          <w:color w:val="auto"/>
          <w:sz w:val="24"/>
          <w:szCs w:val="24"/>
        </w:rPr>
      </w:pPr>
      <w:r w:rsidRPr="00DE12A3">
        <w:rPr>
          <w:color w:val="auto"/>
          <w:sz w:val="24"/>
          <w:szCs w:val="24"/>
        </w:rPr>
        <w:t>Referans numune tartımı</w:t>
      </w:r>
    </w:p>
    <w:p w14:paraId="0706E9DE" w14:textId="7E3FECF6" w:rsidR="002D7B36" w:rsidRPr="00DE12A3" w:rsidRDefault="003D60FE" w:rsidP="00C917D6">
      <w:pPr>
        <w:pStyle w:val="Gvdemetni255"/>
        <w:shd w:val="clear" w:color="auto" w:fill="auto"/>
        <w:spacing w:before="120" w:after="120" w:line="240" w:lineRule="auto"/>
        <w:ind w:left="1134" w:hanging="1134"/>
        <w:rPr>
          <w:color w:val="auto"/>
          <w:sz w:val="24"/>
          <w:szCs w:val="24"/>
        </w:rPr>
      </w:pPr>
      <w:r w:rsidRPr="00DE12A3">
        <w:rPr>
          <w:color w:val="auto"/>
          <w:sz w:val="24"/>
          <w:szCs w:val="24"/>
        </w:rPr>
        <w:t xml:space="preserve">                 </w:t>
      </w:r>
      <w:r w:rsidR="00242DA0" w:rsidRPr="00DE12A3">
        <w:rPr>
          <w:color w:val="auto"/>
          <w:sz w:val="24"/>
          <w:szCs w:val="24"/>
        </w:rPr>
        <w:t xml:space="preserve">Tartım seansı sırasındaki tüm kütle okumaları, tartım seansı öncesindeki ve </w:t>
      </w:r>
      <w:r w:rsidR="00F91337" w:rsidRPr="00DE12A3">
        <w:rPr>
          <w:color w:val="auto"/>
          <w:sz w:val="24"/>
          <w:szCs w:val="24"/>
        </w:rPr>
        <w:t xml:space="preserve">  </w:t>
      </w:r>
      <w:r w:rsidR="00242DA0" w:rsidRPr="00DE12A3">
        <w:rPr>
          <w:color w:val="auto"/>
          <w:sz w:val="24"/>
          <w:szCs w:val="24"/>
        </w:rPr>
        <w:t>sonrasındaki referans PM numunelerinin (</w:t>
      </w:r>
      <w:r w:rsidR="005B014A" w:rsidRPr="00DE12A3">
        <w:rPr>
          <w:color w:val="auto"/>
          <w:sz w:val="24"/>
          <w:szCs w:val="24"/>
        </w:rPr>
        <w:t>örneğin</w:t>
      </w:r>
      <w:r w:rsidR="00242DA0" w:rsidRPr="00DE12A3">
        <w:rPr>
          <w:color w:val="auto"/>
          <w:sz w:val="24"/>
          <w:szCs w:val="24"/>
        </w:rPr>
        <w:t xml:space="preserve"> filtreler) tartılmasıyla doğrulanır. Tartım seansı istenildiği kadar kısa olabilir</w:t>
      </w:r>
      <w:r w:rsidR="00163FD5" w:rsidRPr="00DE12A3">
        <w:rPr>
          <w:color w:val="auto"/>
          <w:sz w:val="24"/>
          <w:szCs w:val="24"/>
        </w:rPr>
        <w:t>. A</w:t>
      </w:r>
      <w:r w:rsidR="00242DA0" w:rsidRPr="00DE12A3">
        <w:rPr>
          <w:color w:val="auto"/>
          <w:sz w:val="24"/>
          <w:szCs w:val="24"/>
        </w:rPr>
        <w:t xml:space="preserve">ncak 80 saatten uzun olamaz ve hem test öncesi hem de test sonrası kütle okumalarını içerebilir. Her referans PM numunesinin ardışık kütle tespitleri, hangisi daha yüksekse, beklenen toplam PM kütlesi ± 10 μg veya ± </w:t>
      </w:r>
      <w:r w:rsidR="00E10EB2" w:rsidRPr="00DE12A3">
        <w:rPr>
          <w:color w:val="auto"/>
          <w:sz w:val="24"/>
          <w:szCs w:val="24"/>
        </w:rPr>
        <w:t>%10</w:t>
      </w:r>
      <w:r w:rsidR="00242DA0" w:rsidRPr="00DE12A3">
        <w:rPr>
          <w:color w:val="auto"/>
          <w:sz w:val="24"/>
          <w:szCs w:val="24"/>
        </w:rPr>
        <w:t xml:space="preserve"> aralığı içinde aynı değeri vermelidir. Ardışık PM numunesi filtre tartımlarının bu kriteri sağlamaması durumunda, ardışık referans filtre kütlesi belirlemeleri arasında meydana gelen tüm bağımsız test filtresi kütlesi okumaları geçersiz sayılmalıdır. Bu filtreler başka bir tartım seansında tekrar tartılabilir. Bir test sonrası filtrenin geçersiz sayılması durumunda, test aralığı geçersiz olur. Bu doğrulama aşağıdaki gibi yapılır:</w:t>
      </w:r>
    </w:p>
    <w:p w14:paraId="2F46A0DF" w14:textId="75728E7A" w:rsidR="002D7B36" w:rsidRPr="00DE12A3" w:rsidRDefault="00DA3CD6" w:rsidP="00E20716">
      <w:pPr>
        <w:pStyle w:val="Gvdemetni255"/>
        <w:numPr>
          <w:ilvl w:val="0"/>
          <w:numId w:val="292"/>
        </w:numPr>
        <w:shd w:val="clear" w:color="auto" w:fill="auto"/>
        <w:spacing w:before="120" w:after="120" w:line="240" w:lineRule="auto"/>
        <w:ind w:left="1701" w:hanging="567"/>
        <w:rPr>
          <w:color w:val="auto"/>
          <w:sz w:val="24"/>
          <w:szCs w:val="24"/>
        </w:rPr>
      </w:pPr>
      <w:r w:rsidRPr="00DE12A3">
        <w:rPr>
          <w:color w:val="auto"/>
          <w:sz w:val="24"/>
          <w:szCs w:val="24"/>
        </w:rPr>
        <w:t xml:space="preserve">     </w:t>
      </w:r>
      <w:r w:rsidR="00242DA0" w:rsidRPr="00DE12A3">
        <w:rPr>
          <w:color w:val="auto"/>
          <w:sz w:val="24"/>
          <w:szCs w:val="24"/>
        </w:rPr>
        <w:t>Kullanılmamış PM numunelerinden en az iki tanesi PM-dengeleme ortamı içinde tutulmalıdır. Bunlar referans olarak kullanılır. Referans olarak kullanılacak olan, aynı malzemeden yapılma ve aynı ebata sahip kullanılmayan filtreler seçilir</w:t>
      </w:r>
      <w:r w:rsidR="00163FD5" w:rsidRPr="00DE12A3">
        <w:rPr>
          <w:color w:val="auto"/>
          <w:sz w:val="24"/>
          <w:szCs w:val="24"/>
        </w:rPr>
        <w:t>.</w:t>
      </w:r>
    </w:p>
    <w:p w14:paraId="43965FD5" w14:textId="77777777" w:rsidR="002D7B36" w:rsidRPr="00DE12A3" w:rsidRDefault="00242DA0" w:rsidP="00E20716">
      <w:pPr>
        <w:pStyle w:val="Gvdemetni255"/>
        <w:numPr>
          <w:ilvl w:val="0"/>
          <w:numId w:val="292"/>
        </w:numPr>
        <w:shd w:val="clear" w:color="auto" w:fill="auto"/>
        <w:tabs>
          <w:tab w:val="left" w:pos="1177"/>
        </w:tabs>
        <w:spacing w:before="120" w:after="120" w:line="240" w:lineRule="auto"/>
        <w:ind w:left="1701" w:hanging="567"/>
        <w:rPr>
          <w:color w:val="auto"/>
          <w:sz w:val="24"/>
          <w:szCs w:val="24"/>
        </w:rPr>
      </w:pPr>
      <w:r w:rsidRPr="00DE12A3">
        <w:rPr>
          <w:color w:val="auto"/>
          <w:sz w:val="24"/>
          <w:szCs w:val="24"/>
        </w:rPr>
        <w:t>Referanslar, PM dengeleme ortamında dengelenmelidir. Referanslar, en az 30 dakika PM-dengeleme ortamında bulunduysa ve PM-dengeleme ortamı, en azından önceki 60 dakika boyunca 9.3.4.4 bendindeki şartlar dahilinde ise, dengeli kabul edilir;</w:t>
      </w:r>
    </w:p>
    <w:p w14:paraId="7AE73987" w14:textId="77777777" w:rsidR="002D7B36" w:rsidRPr="00DE12A3" w:rsidRDefault="003D60FE" w:rsidP="00E20716">
      <w:pPr>
        <w:pStyle w:val="Gvdemetni255"/>
        <w:numPr>
          <w:ilvl w:val="0"/>
          <w:numId w:val="292"/>
        </w:numPr>
        <w:shd w:val="clear" w:color="auto" w:fill="auto"/>
        <w:tabs>
          <w:tab w:val="left" w:pos="1177"/>
        </w:tabs>
        <w:spacing w:before="120" w:after="120" w:line="240" w:lineRule="auto"/>
        <w:ind w:left="1701" w:hanging="567"/>
        <w:rPr>
          <w:color w:val="auto"/>
          <w:sz w:val="24"/>
          <w:szCs w:val="24"/>
        </w:rPr>
      </w:pPr>
      <w:r w:rsidRPr="00DE12A3">
        <w:rPr>
          <w:color w:val="auto"/>
          <w:sz w:val="24"/>
          <w:szCs w:val="24"/>
        </w:rPr>
        <w:t xml:space="preserve">    </w:t>
      </w:r>
      <w:r w:rsidR="00EF0D08" w:rsidRPr="00DE12A3">
        <w:rPr>
          <w:color w:val="auto"/>
          <w:sz w:val="24"/>
          <w:szCs w:val="24"/>
        </w:rPr>
        <w:t>Balans</w:t>
      </w:r>
      <w:r w:rsidR="00242DA0" w:rsidRPr="00DE12A3">
        <w:rPr>
          <w:color w:val="auto"/>
          <w:sz w:val="24"/>
          <w:szCs w:val="24"/>
        </w:rPr>
        <w:t>, değerler kaydedilmeden, bir referans numune ile birkaç kez kullanılır;</w:t>
      </w:r>
    </w:p>
    <w:p w14:paraId="1396F75E" w14:textId="4CF36480" w:rsidR="002D7B36" w:rsidRPr="00DE12A3" w:rsidRDefault="00EF0D08" w:rsidP="00E20716">
      <w:pPr>
        <w:pStyle w:val="Gvdemetni255"/>
        <w:numPr>
          <w:ilvl w:val="0"/>
          <w:numId w:val="292"/>
        </w:numPr>
        <w:shd w:val="clear" w:color="auto" w:fill="auto"/>
        <w:tabs>
          <w:tab w:val="left" w:pos="1177"/>
        </w:tabs>
        <w:spacing w:before="120" w:after="120" w:line="240" w:lineRule="auto"/>
        <w:ind w:left="1701" w:hanging="567"/>
        <w:rPr>
          <w:color w:val="auto"/>
          <w:sz w:val="24"/>
          <w:szCs w:val="24"/>
        </w:rPr>
      </w:pPr>
      <w:r w:rsidRPr="00DE12A3">
        <w:rPr>
          <w:color w:val="auto"/>
          <w:sz w:val="24"/>
          <w:szCs w:val="24"/>
        </w:rPr>
        <w:t>Balans</w:t>
      </w:r>
      <w:r w:rsidR="00242DA0" w:rsidRPr="00DE12A3">
        <w:rPr>
          <w:color w:val="auto"/>
          <w:sz w:val="24"/>
          <w:szCs w:val="24"/>
        </w:rPr>
        <w:t xml:space="preserve"> sıfırlanmalı ve ayarlanmalıdır. </w:t>
      </w:r>
      <w:r w:rsidRPr="00DE12A3">
        <w:rPr>
          <w:color w:val="auto"/>
          <w:sz w:val="24"/>
          <w:szCs w:val="24"/>
        </w:rPr>
        <w:t>Balansın</w:t>
      </w:r>
      <w:r w:rsidR="00242DA0" w:rsidRPr="00DE12A3">
        <w:rPr>
          <w:color w:val="auto"/>
          <w:sz w:val="24"/>
          <w:szCs w:val="24"/>
        </w:rPr>
        <w:t xml:space="preserve"> üzerine bir test kütlesi (</w:t>
      </w:r>
      <w:r w:rsidR="005B014A" w:rsidRPr="00DE12A3">
        <w:rPr>
          <w:color w:val="auto"/>
          <w:sz w:val="24"/>
          <w:szCs w:val="24"/>
        </w:rPr>
        <w:t>örneğin</w:t>
      </w:r>
      <w:r w:rsidR="00242DA0" w:rsidRPr="00DE12A3">
        <w:rPr>
          <w:color w:val="auto"/>
          <w:sz w:val="24"/>
          <w:szCs w:val="24"/>
        </w:rPr>
        <w:t xml:space="preserve"> kalibrasyon ağırlığı) konulmalı ve daha sonra normal stabilizasyon süresi içinde </w:t>
      </w:r>
      <w:r w:rsidRPr="00DE12A3">
        <w:rPr>
          <w:color w:val="auto"/>
          <w:sz w:val="24"/>
          <w:szCs w:val="24"/>
        </w:rPr>
        <w:t>balansın</w:t>
      </w:r>
      <w:r w:rsidR="00242DA0" w:rsidRPr="00DE12A3">
        <w:rPr>
          <w:color w:val="auto"/>
          <w:sz w:val="24"/>
          <w:szCs w:val="24"/>
        </w:rPr>
        <w:t xml:space="preserve"> kabul edilebilir bir sıfır değerine geri dönmesini sağlayacak şekilde kaldırılmalıdır;</w:t>
      </w:r>
    </w:p>
    <w:p w14:paraId="219C866D" w14:textId="59EF6CB3" w:rsidR="002D7B36" w:rsidRPr="00DE12A3" w:rsidRDefault="003D60FE" w:rsidP="00E20716">
      <w:pPr>
        <w:pStyle w:val="Gvdemetni255"/>
        <w:numPr>
          <w:ilvl w:val="0"/>
          <w:numId w:val="292"/>
        </w:numPr>
        <w:shd w:val="clear" w:color="auto" w:fill="auto"/>
        <w:tabs>
          <w:tab w:val="left" w:pos="1177"/>
        </w:tabs>
        <w:spacing w:before="120" w:after="120" w:line="240" w:lineRule="auto"/>
        <w:ind w:left="1701" w:hanging="567"/>
        <w:rPr>
          <w:color w:val="auto"/>
          <w:sz w:val="24"/>
          <w:szCs w:val="24"/>
        </w:rPr>
      </w:pPr>
      <w:r w:rsidRPr="00DE12A3">
        <w:rPr>
          <w:color w:val="auto"/>
          <w:sz w:val="24"/>
          <w:szCs w:val="24"/>
        </w:rPr>
        <w:t xml:space="preserve">    </w:t>
      </w:r>
      <w:r w:rsidR="00242DA0" w:rsidRPr="00DE12A3">
        <w:rPr>
          <w:color w:val="auto"/>
          <w:sz w:val="24"/>
          <w:szCs w:val="24"/>
        </w:rPr>
        <w:t>Referans maddelerin her biri (</w:t>
      </w:r>
      <w:r w:rsidR="005B014A" w:rsidRPr="00DE12A3">
        <w:rPr>
          <w:color w:val="auto"/>
          <w:sz w:val="24"/>
          <w:szCs w:val="24"/>
        </w:rPr>
        <w:t>örneğin</w:t>
      </w:r>
      <w:r w:rsidR="00242DA0" w:rsidRPr="00DE12A3">
        <w:rPr>
          <w:color w:val="auto"/>
          <w:sz w:val="24"/>
          <w:szCs w:val="24"/>
        </w:rPr>
        <w:t xml:space="preserve"> filtreler) tartılır ve kütleleri kaydedilir. Normalde referans maddelerin (</w:t>
      </w:r>
      <w:r w:rsidR="005B014A" w:rsidRPr="00DE12A3">
        <w:rPr>
          <w:color w:val="auto"/>
          <w:sz w:val="24"/>
          <w:szCs w:val="24"/>
        </w:rPr>
        <w:t>örneğin</w:t>
      </w:r>
      <w:r w:rsidR="00242DA0" w:rsidRPr="00DE12A3">
        <w:rPr>
          <w:color w:val="auto"/>
          <w:sz w:val="24"/>
          <w:szCs w:val="24"/>
        </w:rPr>
        <w:t xml:space="preserve"> filtreler) kütlelerinin doğruluğunu ve kesinliğini iyileştirmek için tartım işlemi tekrarlanarak ortalama değerler elde edilirse, aynı işlem, numune maddelerin (</w:t>
      </w:r>
      <w:r w:rsidR="005B014A" w:rsidRPr="00DE12A3">
        <w:rPr>
          <w:color w:val="auto"/>
          <w:sz w:val="24"/>
          <w:szCs w:val="24"/>
        </w:rPr>
        <w:t>örneğin</w:t>
      </w:r>
      <w:r w:rsidR="00242DA0" w:rsidRPr="00DE12A3">
        <w:rPr>
          <w:color w:val="auto"/>
          <w:sz w:val="24"/>
          <w:szCs w:val="24"/>
        </w:rPr>
        <w:t xml:space="preserve"> filtreler) kütlelerinin ortalama değerlerini ölçmek için kullanılır;</w:t>
      </w:r>
    </w:p>
    <w:p w14:paraId="0CDDBCB2" w14:textId="46D0DAED" w:rsidR="002D7B36" w:rsidRPr="00DE12A3" w:rsidRDefault="003D60FE" w:rsidP="00E20716">
      <w:pPr>
        <w:pStyle w:val="Gvdemetni255"/>
        <w:numPr>
          <w:ilvl w:val="0"/>
          <w:numId w:val="292"/>
        </w:numPr>
        <w:shd w:val="clear" w:color="auto" w:fill="auto"/>
        <w:tabs>
          <w:tab w:val="left" w:pos="1177"/>
        </w:tabs>
        <w:spacing w:before="120" w:after="120" w:line="240" w:lineRule="auto"/>
        <w:ind w:left="1701" w:hanging="567"/>
        <w:rPr>
          <w:color w:val="auto"/>
          <w:sz w:val="24"/>
          <w:szCs w:val="24"/>
        </w:rPr>
      </w:pPr>
      <w:r w:rsidRPr="00DE12A3">
        <w:rPr>
          <w:color w:val="auto"/>
          <w:sz w:val="24"/>
          <w:szCs w:val="24"/>
        </w:rPr>
        <w:t xml:space="preserve">    </w:t>
      </w:r>
      <w:r w:rsidR="00242DA0" w:rsidRPr="00DE12A3">
        <w:rPr>
          <w:color w:val="auto"/>
          <w:sz w:val="24"/>
          <w:szCs w:val="24"/>
        </w:rPr>
        <w:t>Denge ortamı yoğuşma noktası, ortam sıcaklığı ve atmosferik basınç kaydedilmelidir</w:t>
      </w:r>
      <w:r w:rsidR="00163FD5" w:rsidRPr="00DE12A3">
        <w:rPr>
          <w:color w:val="auto"/>
          <w:sz w:val="24"/>
          <w:szCs w:val="24"/>
        </w:rPr>
        <w:t>.</w:t>
      </w:r>
    </w:p>
    <w:p w14:paraId="319CBBE0" w14:textId="556B92A2" w:rsidR="002D7B36" w:rsidRPr="00DE12A3" w:rsidRDefault="00242DA0" w:rsidP="00E20716">
      <w:pPr>
        <w:pStyle w:val="Gvdemetni255"/>
        <w:numPr>
          <w:ilvl w:val="0"/>
          <w:numId w:val="292"/>
        </w:numPr>
        <w:shd w:val="clear" w:color="auto" w:fill="auto"/>
        <w:tabs>
          <w:tab w:val="left" w:pos="1177"/>
        </w:tabs>
        <w:spacing w:before="120" w:after="120" w:line="240" w:lineRule="auto"/>
        <w:ind w:left="1701" w:hanging="567"/>
        <w:rPr>
          <w:color w:val="auto"/>
          <w:sz w:val="24"/>
          <w:szCs w:val="24"/>
        </w:rPr>
      </w:pPr>
      <w:r w:rsidRPr="00DE12A3">
        <w:rPr>
          <w:color w:val="auto"/>
          <w:sz w:val="24"/>
          <w:szCs w:val="24"/>
        </w:rPr>
        <w:t xml:space="preserve">Kaydedilen ortam koşulları, 8.1.13.2 bendinde açıklanan kaldırma kuvveti </w:t>
      </w:r>
      <w:r w:rsidRPr="00DE12A3">
        <w:rPr>
          <w:color w:val="auto"/>
          <w:sz w:val="24"/>
          <w:szCs w:val="24"/>
        </w:rPr>
        <w:lastRenderedPageBreak/>
        <w:t>sonuçlarını düzeltmek için kullanılmalıdır. Referansların her birinin kaldırma kuvveti bakımından düzeltilmiş kütlesi kaydedilmelidir</w:t>
      </w:r>
      <w:r w:rsidR="00163FD5" w:rsidRPr="00DE12A3">
        <w:rPr>
          <w:color w:val="auto"/>
          <w:sz w:val="24"/>
          <w:szCs w:val="24"/>
        </w:rPr>
        <w:t>.</w:t>
      </w:r>
    </w:p>
    <w:p w14:paraId="64E05797" w14:textId="1AE53735" w:rsidR="002D7B36" w:rsidRPr="00DE12A3" w:rsidRDefault="00242DA0" w:rsidP="00E20716">
      <w:pPr>
        <w:pStyle w:val="Gvdemetni255"/>
        <w:numPr>
          <w:ilvl w:val="0"/>
          <w:numId w:val="292"/>
        </w:numPr>
        <w:shd w:val="clear" w:color="auto" w:fill="auto"/>
        <w:tabs>
          <w:tab w:val="left" w:pos="1177"/>
        </w:tabs>
        <w:spacing w:before="120" w:after="120" w:line="240" w:lineRule="auto"/>
        <w:ind w:left="1701" w:hanging="567"/>
        <w:rPr>
          <w:color w:val="auto"/>
          <w:sz w:val="24"/>
          <w:szCs w:val="24"/>
        </w:rPr>
      </w:pPr>
      <w:r w:rsidRPr="00DE12A3">
        <w:rPr>
          <w:color w:val="auto"/>
          <w:sz w:val="24"/>
          <w:szCs w:val="24"/>
        </w:rPr>
        <w:t>Referans maddelerin her birinin (</w:t>
      </w:r>
      <w:r w:rsidR="005B014A" w:rsidRPr="00DE12A3">
        <w:rPr>
          <w:color w:val="auto"/>
          <w:sz w:val="24"/>
          <w:szCs w:val="24"/>
        </w:rPr>
        <w:t>örneğin</w:t>
      </w:r>
      <w:r w:rsidRPr="00DE12A3">
        <w:rPr>
          <w:color w:val="auto"/>
          <w:sz w:val="24"/>
          <w:szCs w:val="24"/>
        </w:rPr>
        <w:t xml:space="preserve"> filtrenin) kaldırma kuvveti bakımından düzeltilmiş referans kütlesi, önceden ölçülmüş ve kaydedilmiş kaldırma kuvveti bakımından düzeltilmiş kütlesinden çıkarılmalıdır</w:t>
      </w:r>
      <w:r w:rsidR="00163FD5" w:rsidRPr="00DE12A3">
        <w:rPr>
          <w:color w:val="auto"/>
          <w:sz w:val="24"/>
          <w:szCs w:val="24"/>
        </w:rPr>
        <w:t>.</w:t>
      </w:r>
    </w:p>
    <w:p w14:paraId="0D8D262F" w14:textId="6345D296" w:rsidR="002D7B36" w:rsidRPr="00DE12A3" w:rsidRDefault="003D60FE" w:rsidP="00E20716">
      <w:pPr>
        <w:pStyle w:val="Gvdemetni255"/>
        <w:numPr>
          <w:ilvl w:val="0"/>
          <w:numId w:val="292"/>
        </w:numPr>
        <w:shd w:val="clear" w:color="auto" w:fill="auto"/>
        <w:tabs>
          <w:tab w:val="left" w:pos="1177"/>
        </w:tabs>
        <w:spacing w:before="120" w:after="120" w:line="240" w:lineRule="auto"/>
        <w:ind w:left="1701" w:hanging="567"/>
        <w:rPr>
          <w:color w:val="auto"/>
          <w:sz w:val="24"/>
          <w:szCs w:val="24"/>
        </w:rPr>
      </w:pPr>
      <w:r w:rsidRPr="00DE12A3">
        <w:rPr>
          <w:color w:val="auto"/>
          <w:sz w:val="24"/>
          <w:szCs w:val="24"/>
        </w:rPr>
        <w:t xml:space="preserve">     </w:t>
      </w:r>
      <w:r w:rsidR="00242DA0" w:rsidRPr="00DE12A3">
        <w:rPr>
          <w:color w:val="auto"/>
          <w:sz w:val="24"/>
          <w:szCs w:val="24"/>
        </w:rPr>
        <w:t xml:space="preserve">Referans filtrelerden herhangi birinin gözlemlenen kütlesi </w:t>
      </w:r>
      <w:r w:rsidR="009947CD" w:rsidRPr="00DE12A3">
        <w:rPr>
          <w:color w:val="auto"/>
          <w:sz w:val="24"/>
          <w:szCs w:val="24"/>
        </w:rPr>
        <w:t>bu B</w:t>
      </w:r>
      <w:r w:rsidR="00242DA0" w:rsidRPr="00DE12A3">
        <w:rPr>
          <w:color w:val="auto"/>
          <w:sz w:val="24"/>
          <w:szCs w:val="24"/>
        </w:rPr>
        <w:t>ölüm uyarınca izin verilenden daha fazla değiştiyse, son başarılı referans madde (</w:t>
      </w:r>
      <w:r w:rsidR="005B014A" w:rsidRPr="00DE12A3">
        <w:rPr>
          <w:color w:val="auto"/>
          <w:sz w:val="24"/>
          <w:szCs w:val="24"/>
        </w:rPr>
        <w:t>örneğin</w:t>
      </w:r>
      <w:r w:rsidR="006F30D6" w:rsidRPr="00DE12A3">
        <w:rPr>
          <w:color w:val="auto"/>
          <w:sz w:val="24"/>
          <w:szCs w:val="24"/>
        </w:rPr>
        <w:t xml:space="preserve"> </w:t>
      </w:r>
      <w:r w:rsidR="00242DA0" w:rsidRPr="00DE12A3">
        <w:rPr>
          <w:color w:val="auto"/>
          <w:sz w:val="24"/>
          <w:szCs w:val="24"/>
        </w:rPr>
        <w:t xml:space="preserve">filtre) kütle doğrulamasından beri yapılan tüm PM kütlesi tespitleri geçersiz sayılmalıdır. Filtrelerden sadece bir tanesinin kütlesi izin verilen miktardan daha fazla değiştiyse ve diğer süreç içi filtreleri etkilemeyecek olan, bu filtrenin kütle değişimine ilişkin özel sebep kesin olarak tespit edilebilirse referans PM filtreleri ıskartaya </w:t>
      </w:r>
      <w:r w:rsidR="006F30D6" w:rsidRPr="00DE12A3">
        <w:rPr>
          <w:color w:val="auto"/>
          <w:sz w:val="24"/>
          <w:szCs w:val="24"/>
        </w:rPr>
        <w:t>çıkarılabilir. Bu</w:t>
      </w:r>
      <w:r w:rsidR="00242DA0" w:rsidRPr="00DE12A3">
        <w:rPr>
          <w:color w:val="auto"/>
          <w:sz w:val="24"/>
          <w:szCs w:val="24"/>
        </w:rPr>
        <w:t xml:space="preserve"> nedenle, doğrulamanın başarılı olduğu kabul edilebilir. Bu durumda, bu bendin</w:t>
      </w:r>
      <w:r w:rsidR="00E10EB2" w:rsidRPr="00DE12A3">
        <w:rPr>
          <w:color w:val="auto"/>
          <w:sz w:val="24"/>
          <w:szCs w:val="24"/>
        </w:rPr>
        <w:t>in</w:t>
      </w:r>
      <w:r w:rsidR="00242DA0" w:rsidRPr="00DE12A3">
        <w:rPr>
          <w:color w:val="auto"/>
          <w:sz w:val="24"/>
          <w:szCs w:val="24"/>
        </w:rPr>
        <w:t xml:space="preserve"> (j) </w:t>
      </w:r>
      <w:r w:rsidR="00163FD5" w:rsidRPr="00DE12A3">
        <w:rPr>
          <w:color w:val="auto"/>
          <w:sz w:val="24"/>
          <w:szCs w:val="24"/>
        </w:rPr>
        <w:t xml:space="preserve">numaralı </w:t>
      </w:r>
      <w:r w:rsidR="00E10EB2" w:rsidRPr="00DE12A3">
        <w:rPr>
          <w:color w:val="auto"/>
          <w:sz w:val="24"/>
          <w:szCs w:val="24"/>
        </w:rPr>
        <w:t>alt bendi ile</w:t>
      </w:r>
      <w:r w:rsidR="00242DA0" w:rsidRPr="00DE12A3">
        <w:rPr>
          <w:color w:val="auto"/>
          <w:sz w:val="24"/>
          <w:szCs w:val="24"/>
        </w:rPr>
        <w:t xml:space="preserve"> uyumluluk belirlenirken kirlenmiş referans maddesi dahil edilmez</w:t>
      </w:r>
      <w:r w:rsidR="00163FD5" w:rsidRPr="00DE12A3">
        <w:rPr>
          <w:color w:val="auto"/>
          <w:sz w:val="24"/>
          <w:szCs w:val="24"/>
        </w:rPr>
        <w:t>.</w:t>
      </w:r>
      <w:r w:rsidR="00242DA0" w:rsidRPr="00DE12A3">
        <w:rPr>
          <w:color w:val="auto"/>
          <w:sz w:val="24"/>
          <w:szCs w:val="24"/>
        </w:rPr>
        <w:t xml:space="preserve"> </w:t>
      </w:r>
      <w:r w:rsidR="00163FD5" w:rsidRPr="00DE12A3">
        <w:rPr>
          <w:color w:val="auto"/>
          <w:sz w:val="24"/>
          <w:szCs w:val="24"/>
        </w:rPr>
        <w:t>A</w:t>
      </w:r>
      <w:r w:rsidR="00242DA0" w:rsidRPr="00DE12A3">
        <w:rPr>
          <w:color w:val="auto"/>
          <w:sz w:val="24"/>
          <w:szCs w:val="24"/>
        </w:rPr>
        <w:t>ncak etkilenen referans filtresi ıskartaya çıkarılır ve değiştirilir;</w:t>
      </w:r>
    </w:p>
    <w:p w14:paraId="7AFE82E2" w14:textId="03625D54" w:rsidR="002D7B36" w:rsidRPr="00DE12A3" w:rsidRDefault="003D60FE" w:rsidP="00E20716">
      <w:pPr>
        <w:pStyle w:val="Gvdemetni255"/>
        <w:numPr>
          <w:ilvl w:val="0"/>
          <w:numId w:val="292"/>
        </w:numPr>
        <w:shd w:val="clear" w:color="auto" w:fill="auto"/>
        <w:spacing w:before="120" w:after="120" w:line="240" w:lineRule="auto"/>
        <w:ind w:left="1701" w:hanging="567"/>
        <w:rPr>
          <w:color w:val="auto"/>
          <w:sz w:val="24"/>
          <w:szCs w:val="24"/>
        </w:rPr>
      </w:pPr>
      <w:r w:rsidRPr="00DE12A3">
        <w:rPr>
          <w:color w:val="auto"/>
          <w:sz w:val="24"/>
          <w:szCs w:val="24"/>
        </w:rPr>
        <w:t xml:space="preserve">    </w:t>
      </w:r>
      <w:r w:rsidR="00242DA0" w:rsidRPr="00DE12A3">
        <w:rPr>
          <w:color w:val="auto"/>
          <w:sz w:val="24"/>
          <w:szCs w:val="24"/>
        </w:rPr>
        <w:t xml:space="preserve">Referans kütlelerin herhangi biri </w:t>
      </w:r>
      <w:r w:rsidR="00163FD5" w:rsidRPr="00DE12A3">
        <w:rPr>
          <w:color w:val="auto"/>
          <w:sz w:val="24"/>
          <w:szCs w:val="24"/>
        </w:rPr>
        <w:t>bu</w:t>
      </w:r>
      <w:r w:rsidR="00242DA0" w:rsidRPr="00DE12A3">
        <w:rPr>
          <w:color w:val="auto"/>
          <w:sz w:val="24"/>
          <w:szCs w:val="24"/>
        </w:rPr>
        <w:t xml:space="preserve"> ben</w:t>
      </w:r>
      <w:r w:rsidR="00163FD5" w:rsidRPr="00DE12A3">
        <w:rPr>
          <w:color w:val="auto"/>
          <w:sz w:val="24"/>
          <w:szCs w:val="24"/>
        </w:rPr>
        <w:t>t</w:t>
      </w:r>
      <w:r w:rsidR="00242DA0" w:rsidRPr="00DE12A3">
        <w:rPr>
          <w:color w:val="auto"/>
          <w:sz w:val="24"/>
          <w:szCs w:val="24"/>
        </w:rPr>
        <w:t xml:space="preserve"> uyarınca izin verilenden daha fazla değişirse, referans kütlelerin belirlendiği iki zaman arasında belirlenen tüm PM sonuçları geçersiz sayılmalıdır. Referans PM numune maddesi, </w:t>
      </w:r>
      <w:r w:rsidR="00163FD5" w:rsidRPr="00DE12A3">
        <w:rPr>
          <w:color w:val="auto"/>
          <w:sz w:val="24"/>
          <w:szCs w:val="24"/>
        </w:rPr>
        <w:t xml:space="preserve">bu bendin </w:t>
      </w:r>
      <w:r w:rsidR="00242DA0" w:rsidRPr="00DE12A3">
        <w:rPr>
          <w:color w:val="auto"/>
          <w:sz w:val="24"/>
          <w:szCs w:val="24"/>
        </w:rPr>
        <w:t xml:space="preserve">(i) </w:t>
      </w:r>
      <w:r w:rsidR="00163FD5" w:rsidRPr="00DE12A3">
        <w:rPr>
          <w:color w:val="auto"/>
          <w:sz w:val="24"/>
          <w:szCs w:val="24"/>
        </w:rPr>
        <w:t xml:space="preserve">numaralı </w:t>
      </w:r>
      <w:r w:rsidR="00E10EB2" w:rsidRPr="00DE12A3">
        <w:rPr>
          <w:color w:val="auto"/>
          <w:sz w:val="24"/>
          <w:szCs w:val="24"/>
        </w:rPr>
        <w:t>alt bendi</w:t>
      </w:r>
      <w:r w:rsidR="00242DA0" w:rsidRPr="00DE12A3">
        <w:rPr>
          <w:color w:val="auto"/>
          <w:sz w:val="24"/>
          <w:szCs w:val="24"/>
        </w:rPr>
        <w:t xml:space="preserve"> uyarınca ıskartaya çıkarılırsa, </w:t>
      </w:r>
      <w:r w:rsidR="00163FD5" w:rsidRPr="00DE12A3">
        <w:rPr>
          <w:color w:val="auto"/>
          <w:sz w:val="24"/>
          <w:szCs w:val="24"/>
        </w:rPr>
        <w:t>bu</w:t>
      </w:r>
      <w:r w:rsidR="00242DA0" w:rsidRPr="00DE12A3">
        <w:rPr>
          <w:color w:val="auto"/>
          <w:sz w:val="24"/>
          <w:szCs w:val="24"/>
        </w:rPr>
        <w:t xml:space="preserve"> </w:t>
      </w:r>
      <w:r w:rsidR="00163FD5" w:rsidRPr="00DE12A3">
        <w:rPr>
          <w:color w:val="auto"/>
          <w:sz w:val="24"/>
          <w:szCs w:val="24"/>
        </w:rPr>
        <w:t xml:space="preserve">bentte </w:t>
      </w:r>
      <w:r w:rsidR="00242DA0" w:rsidRPr="00DE12A3">
        <w:rPr>
          <w:color w:val="auto"/>
          <w:sz w:val="24"/>
          <w:szCs w:val="24"/>
        </w:rPr>
        <w:t>belirtilen kriterleri sağlayan en az bir referans kütle farkı olmalıdır. Aksi takdirde, referans madde (</w:t>
      </w:r>
      <w:r w:rsidR="005B014A" w:rsidRPr="00DE12A3">
        <w:rPr>
          <w:color w:val="auto"/>
          <w:sz w:val="24"/>
          <w:szCs w:val="24"/>
        </w:rPr>
        <w:t>örneğin</w:t>
      </w:r>
      <w:r w:rsidR="00242DA0" w:rsidRPr="00DE12A3">
        <w:rPr>
          <w:color w:val="auto"/>
          <w:sz w:val="24"/>
          <w:szCs w:val="24"/>
        </w:rPr>
        <w:t xml:space="preserve"> filtreler) kütlelerinin belirlendiği iki zaman arasında belirlenen tüm PM sonuçları geçersiz sayılmalıdır.</w:t>
      </w:r>
    </w:p>
    <w:p w14:paraId="10EFFF95" w14:textId="77777777" w:rsidR="002D7B36" w:rsidRPr="00DE12A3" w:rsidRDefault="003D60FE" w:rsidP="00E20716">
      <w:pPr>
        <w:pStyle w:val="Gvdemetni255"/>
        <w:numPr>
          <w:ilvl w:val="0"/>
          <w:numId w:val="288"/>
        </w:numPr>
        <w:shd w:val="clear" w:color="auto" w:fill="auto"/>
        <w:tabs>
          <w:tab w:val="left" w:pos="993"/>
        </w:tabs>
        <w:spacing w:before="120" w:after="120" w:line="240" w:lineRule="auto"/>
        <w:ind w:left="1134" w:hanging="1134"/>
        <w:rPr>
          <w:color w:val="auto"/>
          <w:sz w:val="24"/>
          <w:szCs w:val="24"/>
        </w:rPr>
      </w:pPr>
      <w:r w:rsidRPr="00DE12A3">
        <w:rPr>
          <w:color w:val="auto"/>
          <w:sz w:val="24"/>
          <w:szCs w:val="24"/>
        </w:rPr>
        <w:t xml:space="preserve">  </w:t>
      </w:r>
      <w:r w:rsidR="00242DA0" w:rsidRPr="00DE12A3">
        <w:rPr>
          <w:color w:val="auto"/>
          <w:sz w:val="24"/>
          <w:szCs w:val="24"/>
        </w:rPr>
        <w:t>PM numune filtresi kaldırma kuvveti düzeltmesi</w:t>
      </w:r>
    </w:p>
    <w:p w14:paraId="622CA4C2" w14:textId="77777777" w:rsidR="002D7B36" w:rsidRPr="00DE12A3" w:rsidRDefault="00242DA0" w:rsidP="00E20716">
      <w:pPr>
        <w:pStyle w:val="Gvdemetni255"/>
        <w:numPr>
          <w:ilvl w:val="0"/>
          <w:numId w:val="293"/>
        </w:numPr>
        <w:shd w:val="clear" w:color="auto" w:fill="auto"/>
        <w:tabs>
          <w:tab w:val="left" w:pos="993"/>
        </w:tabs>
        <w:spacing w:before="120" w:after="120" w:line="240" w:lineRule="auto"/>
        <w:ind w:left="1134" w:hanging="1134"/>
        <w:rPr>
          <w:color w:val="auto"/>
          <w:sz w:val="24"/>
          <w:szCs w:val="24"/>
        </w:rPr>
      </w:pPr>
      <w:r w:rsidRPr="00DE12A3">
        <w:rPr>
          <w:color w:val="auto"/>
          <w:sz w:val="24"/>
          <w:szCs w:val="24"/>
        </w:rPr>
        <w:t>Genel</w:t>
      </w:r>
    </w:p>
    <w:p w14:paraId="65B99811" w14:textId="5F52DDFA" w:rsidR="002D7B36" w:rsidRPr="00DE12A3" w:rsidRDefault="003D60FE" w:rsidP="00C917D6">
      <w:pPr>
        <w:pStyle w:val="Gvdemetni255"/>
        <w:shd w:val="clear" w:color="auto" w:fill="auto"/>
        <w:spacing w:before="120" w:after="120" w:line="240" w:lineRule="auto"/>
        <w:ind w:left="1134" w:hanging="1134"/>
        <w:rPr>
          <w:color w:val="auto"/>
          <w:sz w:val="24"/>
          <w:szCs w:val="24"/>
        </w:rPr>
      </w:pPr>
      <w:r w:rsidRPr="00DE12A3">
        <w:rPr>
          <w:color w:val="auto"/>
          <w:sz w:val="24"/>
          <w:szCs w:val="24"/>
        </w:rPr>
        <w:t xml:space="preserve">                  </w:t>
      </w:r>
      <w:r w:rsidR="00242DA0" w:rsidRPr="00DE12A3">
        <w:rPr>
          <w:color w:val="auto"/>
          <w:sz w:val="24"/>
          <w:szCs w:val="24"/>
        </w:rPr>
        <w:t>PM numune filtresi hava içindeki kaldırma kuvvetleri bakımından düzeltilmelidir. Kaldırma kuvveti düzeltmesi, numune madde yoğunluğuna, havanın yoğunluğuna ve dengeyi kalibre etmek için kullanılan kalibrasyon ağırlığının yoğunluğuna bağlıdır. Kaldırma kuvveti düzeltmesi, PM'nin kendisinin kaldırma kuvvetini hesaba katmaz</w:t>
      </w:r>
      <w:r w:rsidR="00163FD5" w:rsidRPr="00DE12A3">
        <w:rPr>
          <w:color w:val="auto"/>
          <w:sz w:val="24"/>
          <w:szCs w:val="24"/>
        </w:rPr>
        <w:t>.</w:t>
      </w:r>
      <w:r w:rsidR="00242DA0" w:rsidRPr="00DE12A3">
        <w:rPr>
          <w:color w:val="auto"/>
          <w:sz w:val="24"/>
          <w:szCs w:val="24"/>
        </w:rPr>
        <w:t xml:space="preserve"> </w:t>
      </w:r>
      <w:r w:rsidR="00163FD5" w:rsidRPr="00DE12A3">
        <w:rPr>
          <w:color w:val="auto"/>
          <w:sz w:val="24"/>
          <w:szCs w:val="24"/>
        </w:rPr>
        <w:t>Ç</w:t>
      </w:r>
      <w:r w:rsidR="00242DA0" w:rsidRPr="00DE12A3">
        <w:rPr>
          <w:color w:val="auto"/>
          <w:sz w:val="24"/>
          <w:szCs w:val="24"/>
        </w:rPr>
        <w:t xml:space="preserve">ünkü PM kütlesi tipik olarak toplam ağırlığın sadece </w:t>
      </w:r>
      <w:r w:rsidRPr="00DE12A3">
        <w:rPr>
          <w:color w:val="auto"/>
          <w:sz w:val="24"/>
          <w:szCs w:val="24"/>
        </w:rPr>
        <w:t>%0,01</w:t>
      </w:r>
      <w:r w:rsidR="00242DA0" w:rsidRPr="00DE12A3">
        <w:rPr>
          <w:color w:val="auto"/>
          <w:sz w:val="24"/>
          <w:szCs w:val="24"/>
        </w:rPr>
        <w:t xml:space="preserve"> ila 0,10'unu oluşturur. Bu küçük kütle oranı için düzeltme en fazla </w:t>
      </w:r>
      <w:r w:rsidRPr="00DE12A3">
        <w:rPr>
          <w:color w:val="auto"/>
          <w:sz w:val="24"/>
          <w:szCs w:val="24"/>
        </w:rPr>
        <w:t>%0,010</w:t>
      </w:r>
      <w:r w:rsidR="00242DA0" w:rsidRPr="00DE12A3">
        <w:rPr>
          <w:color w:val="auto"/>
          <w:sz w:val="24"/>
          <w:szCs w:val="24"/>
        </w:rPr>
        <w:t xml:space="preserve"> olmalıdır. Kaldırma kuvveti bakımından düzeltilmiş değerler, PM numunelerinin dara kütleleridir. Ön test filtresi tartım yüzdesine ilişkin bu kaldırma kuvveti bakımından düzeltilmiş değerler, ardından test sırasında yayılan PM kütlesini belirlemek için ilgili filtrenin kaldırma kuvveti bakımından düzeltilmiş değerlerinden çıkarılır.</w:t>
      </w:r>
    </w:p>
    <w:p w14:paraId="1C0BAC1B" w14:textId="77777777" w:rsidR="002D7B36" w:rsidRPr="00DE12A3" w:rsidRDefault="00242DA0" w:rsidP="00E20716">
      <w:pPr>
        <w:pStyle w:val="Gvdemetni255"/>
        <w:numPr>
          <w:ilvl w:val="0"/>
          <w:numId w:val="293"/>
        </w:numPr>
        <w:shd w:val="clear" w:color="auto" w:fill="auto"/>
        <w:tabs>
          <w:tab w:val="left" w:pos="851"/>
        </w:tabs>
        <w:spacing w:before="120" w:after="120" w:line="240" w:lineRule="auto"/>
        <w:ind w:left="1134" w:hanging="1134"/>
        <w:rPr>
          <w:color w:val="auto"/>
          <w:sz w:val="24"/>
          <w:szCs w:val="24"/>
        </w:rPr>
      </w:pPr>
      <w:r w:rsidRPr="00DE12A3">
        <w:rPr>
          <w:color w:val="auto"/>
          <w:sz w:val="24"/>
          <w:szCs w:val="24"/>
        </w:rPr>
        <w:t>PM numune filtresi yoğunluğu</w:t>
      </w:r>
    </w:p>
    <w:p w14:paraId="06D638D1" w14:textId="77777777" w:rsidR="002D7B36" w:rsidRPr="00DE12A3" w:rsidRDefault="00DA3CD6" w:rsidP="00C917D6">
      <w:pPr>
        <w:pStyle w:val="Gvdemetni255"/>
        <w:shd w:val="clear" w:color="auto" w:fill="auto"/>
        <w:spacing w:before="120" w:after="120" w:line="240" w:lineRule="auto"/>
        <w:ind w:left="1134" w:hanging="1134"/>
        <w:rPr>
          <w:color w:val="auto"/>
          <w:sz w:val="24"/>
          <w:szCs w:val="24"/>
        </w:rPr>
      </w:pPr>
      <w:r w:rsidRPr="00DE12A3">
        <w:rPr>
          <w:color w:val="auto"/>
          <w:sz w:val="24"/>
          <w:szCs w:val="24"/>
        </w:rPr>
        <w:t xml:space="preserve">                   </w:t>
      </w:r>
      <w:r w:rsidR="00242DA0" w:rsidRPr="00DE12A3">
        <w:rPr>
          <w:color w:val="auto"/>
          <w:sz w:val="24"/>
          <w:szCs w:val="24"/>
        </w:rPr>
        <w:t>Farklı PM numune filtreleri farklı yoğunluklara sahiptir. Numune maddenin bilinen yoğunluğu kullanılmalı veya bazı ortak örnekleme maddeleri için yoğunluklardan biri aşağıdaki şekilde kullanılmalıdır:</w:t>
      </w:r>
    </w:p>
    <w:p w14:paraId="634E5575" w14:textId="091AA8A6" w:rsidR="002D7B36" w:rsidRPr="00DE12A3" w:rsidRDefault="00DA3CD6" w:rsidP="00E20716">
      <w:pPr>
        <w:pStyle w:val="Gvdemetni255"/>
        <w:numPr>
          <w:ilvl w:val="0"/>
          <w:numId w:val="294"/>
        </w:numPr>
        <w:shd w:val="clear" w:color="auto" w:fill="auto"/>
        <w:spacing w:before="120" w:after="120" w:line="240" w:lineRule="auto"/>
        <w:ind w:left="1701" w:hanging="567"/>
        <w:rPr>
          <w:color w:val="auto"/>
          <w:sz w:val="24"/>
          <w:szCs w:val="24"/>
        </w:rPr>
      </w:pPr>
      <w:r w:rsidRPr="00DE12A3">
        <w:rPr>
          <w:color w:val="auto"/>
          <w:sz w:val="24"/>
          <w:szCs w:val="24"/>
        </w:rPr>
        <w:t xml:space="preserve">    </w:t>
      </w:r>
      <w:r w:rsidR="00242DA0" w:rsidRPr="00DE12A3">
        <w:rPr>
          <w:color w:val="auto"/>
          <w:sz w:val="24"/>
          <w:szCs w:val="24"/>
        </w:rPr>
        <w:t>PTFE kaplı borosilikat cam için, 300 kg/m</w:t>
      </w:r>
      <w:r w:rsidR="00242DA0" w:rsidRPr="00DE12A3">
        <w:rPr>
          <w:color w:val="auto"/>
          <w:sz w:val="24"/>
          <w:szCs w:val="24"/>
          <w:vertAlign w:val="superscript"/>
        </w:rPr>
        <w:t>3</w:t>
      </w:r>
      <w:r w:rsidR="00242DA0" w:rsidRPr="00DE12A3">
        <w:rPr>
          <w:color w:val="auto"/>
          <w:sz w:val="24"/>
          <w:szCs w:val="24"/>
        </w:rPr>
        <w:t xml:space="preserve"> numune madde yoğunluğu kullanılmalıdır</w:t>
      </w:r>
      <w:r w:rsidR="00163FD5" w:rsidRPr="00DE12A3">
        <w:rPr>
          <w:color w:val="auto"/>
          <w:sz w:val="24"/>
          <w:szCs w:val="24"/>
        </w:rPr>
        <w:t>.</w:t>
      </w:r>
    </w:p>
    <w:p w14:paraId="4F3157CC" w14:textId="5EC4A033" w:rsidR="002D7B36" w:rsidRPr="00DE12A3" w:rsidRDefault="00242DA0" w:rsidP="00E20716">
      <w:pPr>
        <w:pStyle w:val="Gvdemetni255"/>
        <w:numPr>
          <w:ilvl w:val="0"/>
          <w:numId w:val="294"/>
        </w:numPr>
        <w:shd w:val="clear" w:color="auto" w:fill="auto"/>
        <w:spacing w:before="120" w:after="120" w:line="240" w:lineRule="auto"/>
        <w:ind w:left="1701" w:hanging="567"/>
        <w:rPr>
          <w:color w:val="auto"/>
          <w:sz w:val="24"/>
          <w:szCs w:val="24"/>
        </w:rPr>
      </w:pPr>
      <w:r w:rsidRPr="00DE12A3">
        <w:rPr>
          <w:color w:val="auto"/>
          <w:sz w:val="24"/>
          <w:szCs w:val="24"/>
        </w:rPr>
        <w:t xml:space="preserve">Madde </w:t>
      </w:r>
      <w:r w:rsidR="00DA3CD6" w:rsidRPr="00DE12A3">
        <w:rPr>
          <w:color w:val="auto"/>
          <w:sz w:val="24"/>
          <w:szCs w:val="24"/>
        </w:rPr>
        <w:t>kütlesinin %95</w:t>
      </w:r>
      <w:r w:rsidRPr="00DE12A3">
        <w:rPr>
          <w:color w:val="auto"/>
          <w:sz w:val="24"/>
          <w:szCs w:val="24"/>
        </w:rPr>
        <w:t>'ini oluşturan entegre bir polimetilpenten destek halkasına sahip PTFE membran (film) maddesi için, 920 kg/m</w:t>
      </w:r>
      <w:r w:rsidRPr="00DE12A3">
        <w:rPr>
          <w:color w:val="auto"/>
          <w:sz w:val="24"/>
          <w:szCs w:val="24"/>
          <w:vertAlign w:val="superscript"/>
        </w:rPr>
        <w:t>3</w:t>
      </w:r>
      <w:r w:rsidRPr="00DE12A3">
        <w:rPr>
          <w:color w:val="auto"/>
          <w:sz w:val="24"/>
          <w:szCs w:val="24"/>
        </w:rPr>
        <w:t>'lük bir numune madde yoğunluğu kullanılır</w:t>
      </w:r>
      <w:r w:rsidR="00163FD5" w:rsidRPr="00DE12A3">
        <w:rPr>
          <w:color w:val="auto"/>
          <w:sz w:val="24"/>
          <w:szCs w:val="24"/>
        </w:rPr>
        <w:t>.</w:t>
      </w:r>
    </w:p>
    <w:p w14:paraId="33021556" w14:textId="77777777" w:rsidR="002D7B36" w:rsidRPr="00DE12A3" w:rsidRDefault="00DA3CD6" w:rsidP="00E20716">
      <w:pPr>
        <w:pStyle w:val="Gvdemetni255"/>
        <w:numPr>
          <w:ilvl w:val="0"/>
          <w:numId w:val="294"/>
        </w:numPr>
        <w:shd w:val="clear" w:color="auto" w:fill="auto"/>
        <w:spacing w:before="120" w:after="120" w:line="240" w:lineRule="auto"/>
        <w:ind w:left="1701" w:hanging="567"/>
        <w:rPr>
          <w:color w:val="auto"/>
          <w:sz w:val="24"/>
          <w:szCs w:val="24"/>
        </w:rPr>
      </w:pPr>
      <w:r w:rsidRPr="00DE12A3">
        <w:rPr>
          <w:color w:val="auto"/>
          <w:sz w:val="24"/>
          <w:szCs w:val="24"/>
        </w:rPr>
        <w:t xml:space="preserve">     </w:t>
      </w:r>
      <w:r w:rsidR="00242DA0" w:rsidRPr="00DE12A3">
        <w:rPr>
          <w:color w:val="auto"/>
          <w:sz w:val="24"/>
          <w:szCs w:val="24"/>
        </w:rPr>
        <w:t>Entegre bir PTFE destek halkasına sahip PTFE membran (film) maddesi için, 2 144 kg/m</w:t>
      </w:r>
      <w:r w:rsidR="00242DA0" w:rsidRPr="00DE12A3">
        <w:rPr>
          <w:color w:val="auto"/>
          <w:sz w:val="24"/>
          <w:szCs w:val="24"/>
          <w:vertAlign w:val="superscript"/>
        </w:rPr>
        <w:t>3</w:t>
      </w:r>
      <w:r w:rsidR="00242DA0" w:rsidRPr="00DE12A3">
        <w:rPr>
          <w:color w:val="auto"/>
          <w:sz w:val="24"/>
          <w:szCs w:val="24"/>
        </w:rPr>
        <w:t>'lük bir numune madde yoğunluğu kullanılır.</w:t>
      </w:r>
    </w:p>
    <w:p w14:paraId="71F9511E" w14:textId="77777777" w:rsidR="002D7B36" w:rsidRPr="00DE12A3" w:rsidRDefault="00242DA0" w:rsidP="00E20716">
      <w:pPr>
        <w:pStyle w:val="Gvdemetni255"/>
        <w:numPr>
          <w:ilvl w:val="0"/>
          <w:numId w:val="293"/>
        </w:numPr>
        <w:shd w:val="clear" w:color="auto" w:fill="auto"/>
        <w:tabs>
          <w:tab w:val="left" w:pos="851"/>
        </w:tabs>
        <w:spacing w:before="120" w:after="120" w:line="240" w:lineRule="auto"/>
        <w:ind w:left="1134" w:hanging="1134"/>
        <w:rPr>
          <w:color w:val="auto"/>
          <w:sz w:val="24"/>
          <w:szCs w:val="24"/>
        </w:rPr>
      </w:pPr>
      <w:r w:rsidRPr="00DE12A3">
        <w:rPr>
          <w:color w:val="auto"/>
          <w:sz w:val="24"/>
          <w:szCs w:val="24"/>
        </w:rPr>
        <w:lastRenderedPageBreak/>
        <w:t>Hava yoğunluğu</w:t>
      </w:r>
    </w:p>
    <w:p w14:paraId="04A9D3AE" w14:textId="77777777" w:rsidR="002D7B36" w:rsidRPr="00DE12A3" w:rsidRDefault="00DA3CD6" w:rsidP="00C917D6">
      <w:pPr>
        <w:pStyle w:val="Gvdemetni255"/>
        <w:shd w:val="clear" w:color="auto" w:fill="auto"/>
        <w:spacing w:before="120" w:after="120" w:line="240" w:lineRule="auto"/>
        <w:ind w:left="1134" w:hanging="1134"/>
        <w:rPr>
          <w:color w:val="auto"/>
          <w:sz w:val="24"/>
          <w:szCs w:val="24"/>
        </w:rPr>
      </w:pPr>
      <w:r w:rsidRPr="00DE12A3">
        <w:rPr>
          <w:color w:val="auto"/>
          <w:sz w:val="24"/>
          <w:szCs w:val="24"/>
        </w:rPr>
        <w:t xml:space="preserve">                  </w:t>
      </w:r>
      <w:r w:rsidR="00242DA0" w:rsidRPr="00DE12A3">
        <w:rPr>
          <w:color w:val="auto"/>
          <w:sz w:val="24"/>
          <w:szCs w:val="24"/>
        </w:rPr>
        <w:t>Bir PM dengeleme ortamının, 295 ± 1 K (22 ± 1 °C) ortam sıcaklığına ve ± 1 K (9,5 ± 1 °C) yoğuşma noktasına kadar sıkıca kontrol edilmesi gerektiği için, hava yoğunluğu esasen bir atmosfer basıncı fonksiyonudur. Bu nedenle, sadece atmosfer basıncının bir fonksiyonu olan bir kaldırma kuvveti düzeltmesi belirtilmiştir.</w:t>
      </w:r>
    </w:p>
    <w:p w14:paraId="022A5D5B" w14:textId="77777777" w:rsidR="002D7B36" w:rsidRPr="00DE12A3" w:rsidRDefault="00242DA0" w:rsidP="00E20716">
      <w:pPr>
        <w:pStyle w:val="Gvdemetni255"/>
        <w:numPr>
          <w:ilvl w:val="0"/>
          <w:numId w:val="293"/>
        </w:numPr>
        <w:shd w:val="clear" w:color="auto" w:fill="auto"/>
        <w:tabs>
          <w:tab w:val="left" w:pos="851"/>
        </w:tabs>
        <w:spacing w:before="120" w:after="120" w:line="240" w:lineRule="auto"/>
        <w:ind w:left="1134" w:hanging="1134"/>
        <w:rPr>
          <w:color w:val="auto"/>
          <w:sz w:val="24"/>
          <w:szCs w:val="24"/>
        </w:rPr>
      </w:pPr>
      <w:r w:rsidRPr="00DE12A3">
        <w:rPr>
          <w:color w:val="auto"/>
          <w:sz w:val="24"/>
          <w:szCs w:val="24"/>
        </w:rPr>
        <w:t>Kalibrasyon ağırlığı yoğunluğu</w:t>
      </w:r>
    </w:p>
    <w:p w14:paraId="2E4C26CE" w14:textId="77777777" w:rsidR="002D7B36" w:rsidRPr="00DE12A3" w:rsidRDefault="00DA3CD6" w:rsidP="00C917D6">
      <w:pPr>
        <w:pStyle w:val="Gvdemetni255"/>
        <w:shd w:val="clear" w:color="auto" w:fill="auto"/>
        <w:spacing w:before="120" w:after="120" w:line="240" w:lineRule="auto"/>
        <w:ind w:left="1134" w:hanging="1134"/>
        <w:rPr>
          <w:color w:val="auto"/>
          <w:sz w:val="24"/>
          <w:szCs w:val="24"/>
        </w:rPr>
      </w:pPr>
      <w:r w:rsidRPr="00DE12A3">
        <w:rPr>
          <w:color w:val="auto"/>
          <w:sz w:val="24"/>
          <w:szCs w:val="24"/>
        </w:rPr>
        <w:t xml:space="preserve">                   </w:t>
      </w:r>
      <w:r w:rsidR="00242DA0" w:rsidRPr="00DE12A3">
        <w:rPr>
          <w:color w:val="auto"/>
          <w:sz w:val="24"/>
          <w:szCs w:val="24"/>
        </w:rPr>
        <w:t>Metal kalibrasyon ağırlığı malzemesinin belirtilen yoğunluğu kullanılır.</w:t>
      </w:r>
    </w:p>
    <w:p w14:paraId="3A796FE6" w14:textId="77777777" w:rsidR="002D7B36" w:rsidRPr="00DE12A3" w:rsidRDefault="00242DA0" w:rsidP="00E20716">
      <w:pPr>
        <w:pStyle w:val="Gvdemetni255"/>
        <w:numPr>
          <w:ilvl w:val="0"/>
          <w:numId w:val="293"/>
        </w:numPr>
        <w:shd w:val="clear" w:color="auto" w:fill="auto"/>
        <w:tabs>
          <w:tab w:val="left" w:pos="851"/>
        </w:tabs>
        <w:spacing w:before="120" w:after="120" w:line="240" w:lineRule="auto"/>
        <w:ind w:left="1134" w:hanging="1134"/>
        <w:rPr>
          <w:color w:val="auto"/>
          <w:sz w:val="24"/>
          <w:szCs w:val="24"/>
        </w:rPr>
      </w:pPr>
      <w:r w:rsidRPr="00DE12A3">
        <w:rPr>
          <w:color w:val="auto"/>
          <w:sz w:val="24"/>
          <w:szCs w:val="24"/>
        </w:rPr>
        <w:t>Düzeltme hesaplaması</w:t>
      </w:r>
    </w:p>
    <w:p w14:paraId="5FC6AAD6" w14:textId="3842B1B3" w:rsidR="002D7B36" w:rsidRPr="00DE12A3" w:rsidRDefault="00DA3CD6" w:rsidP="00C917D6">
      <w:pPr>
        <w:pStyle w:val="Gvdemetni255"/>
        <w:shd w:val="clear" w:color="auto" w:fill="auto"/>
        <w:spacing w:before="120" w:after="120" w:line="240" w:lineRule="auto"/>
        <w:ind w:left="1134" w:hanging="1134"/>
        <w:rPr>
          <w:color w:val="auto"/>
          <w:sz w:val="24"/>
          <w:szCs w:val="24"/>
        </w:rPr>
      </w:pPr>
      <w:r w:rsidRPr="00DE12A3">
        <w:rPr>
          <w:color w:val="auto"/>
          <w:sz w:val="24"/>
          <w:szCs w:val="24"/>
        </w:rPr>
        <w:t xml:space="preserve">                   </w:t>
      </w:r>
      <w:r w:rsidR="00242DA0" w:rsidRPr="00DE12A3">
        <w:rPr>
          <w:color w:val="auto"/>
          <w:sz w:val="24"/>
          <w:szCs w:val="24"/>
        </w:rPr>
        <w:t xml:space="preserve">PM numune filtresi, kaldırma kuvveti bakımından (6-27) </w:t>
      </w:r>
      <w:r w:rsidR="005E1C7E" w:rsidRPr="00DE12A3">
        <w:rPr>
          <w:color w:val="auto"/>
          <w:sz w:val="24"/>
          <w:szCs w:val="24"/>
        </w:rPr>
        <w:t>numaralı</w:t>
      </w:r>
      <w:r w:rsidR="005E1C7E" w:rsidRPr="00DE12A3" w:rsidDel="005E1C7E">
        <w:rPr>
          <w:color w:val="auto"/>
          <w:sz w:val="24"/>
          <w:szCs w:val="24"/>
        </w:rPr>
        <w:t xml:space="preserve"> </w:t>
      </w:r>
      <w:r w:rsidR="00242DA0" w:rsidRPr="00DE12A3">
        <w:rPr>
          <w:color w:val="auto"/>
          <w:sz w:val="24"/>
          <w:szCs w:val="24"/>
        </w:rPr>
        <w:t>denklem ile düzeltilir:</w:t>
      </w:r>
    </w:p>
    <w:p w14:paraId="6394BD3D" w14:textId="77777777" w:rsidR="002D7B36" w:rsidRPr="00DE12A3" w:rsidRDefault="002D7B36" w:rsidP="00C917D6">
      <w:pPr>
        <w:spacing w:before="120" w:after="120"/>
        <w:ind w:left="1134" w:hanging="1134"/>
        <w:jc w:val="both"/>
        <w:rPr>
          <w:rFonts w:cs="Times New Roman"/>
          <w:color w:val="auto"/>
        </w:rPr>
      </w:pPr>
    </w:p>
    <w:tbl>
      <w:tblPr>
        <w:tblW w:w="6840" w:type="dxa"/>
        <w:jc w:val="center"/>
        <w:tblLayout w:type="fixed"/>
        <w:tblLook w:val="0000" w:firstRow="0" w:lastRow="0" w:firstColumn="0" w:lastColumn="0" w:noHBand="0" w:noVBand="0"/>
      </w:tblPr>
      <w:tblGrid>
        <w:gridCol w:w="5472"/>
        <w:gridCol w:w="1368"/>
      </w:tblGrid>
      <w:tr w:rsidR="00DE12A3" w:rsidRPr="00DE12A3" w14:paraId="2ECD81E4" w14:textId="77777777" w:rsidTr="00DA3CD6">
        <w:trPr>
          <w:trHeight w:val="785"/>
          <w:jc w:val="center"/>
        </w:trPr>
        <w:tc>
          <w:tcPr>
            <w:tcW w:w="5472" w:type="dxa"/>
          </w:tcPr>
          <w:p w14:paraId="5C2CC3C5" w14:textId="08F731B5" w:rsidR="00DA3CD6" w:rsidRPr="00DE12A3" w:rsidRDefault="00DA3CD6" w:rsidP="00C917D6">
            <w:pPr>
              <w:pStyle w:val="NormalLeft"/>
            </w:pPr>
            <w:r w:rsidRPr="00DE12A3">
              <w:rPr>
                <w:noProof/>
                <w:lang w:val="tr-TR"/>
              </w:rPr>
              <w:drawing>
                <wp:inline distT="0" distB="0" distL="0" distR="0" wp14:anchorId="2F446EFF" wp14:editId="0023C1B2">
                  <wp:extent cx="2145030" cy="381000"/>
                  <wp:effectExtent l="0" t="0" r="7620" b="0"/>
                  <wp:docPr id="2412" name="Resim 24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183619" cy="387854"/>
                          </a:xfrm>
                          <a:prstGeom prst="rect">
                            <a:avLst/>
                          </a:prstGeom>
                          <a:noFill/>
                          <a:ln>
                            <a:noFill/>
                          </a:ln>
                        </pic:spPr>
                      </pic:pic>
                    </a:graphicData>
                  </a:graphic>
                </wp:inline>
              </w:drawing>
            </w:r>
          </w:p>
        </w:tc>
        <w:tc>
          <w:tcPr>
            <w:tcW w:w="1368" w:type="dxa"/>
          </w:tcPr>
          <w:p w14:paraId="3C5F4B03" w14:textId="77777777" w:rsidR="00DA3CD6" w:rsidRPr="00DE12A3" w:rsidRDefault="00DA3CD6" w:rsidP="00C917D6">
            <w:pPr>
              <w:pStyle w:val="NormalLeft"/>
            </w:pPr>
            <w:r w:rsidRPr="00DE12A3">
              <w:t>(6-27)</w:t>
            </w:r>
          </w:p>
        </w:tc>
      </w:tr>
    </w:tbl>
    <w:p w14:paraId="1CFCCC77" w14:textId="77777777" w:rsidR="002D7B36" w:rsidRPr="00DE12A3" w:rsidRDefault="00242DA0" w:rsidP="00C917D6">
      <w:pPr>
        <w:pStyle w:val="Resimyazs70"/>
        <w:shd w:val="clear" w:color="auto" w:fill="auto"/>
        <w:spacing w:after="120" w:line="240" w:lineRule="auto"/>
        <w:ind w:left="1134"/>
        <w:rPr>
          <w:sz w:val="24"/>
          <w:szCs w:val="24"/>
        </w:rPr>
      </w:pPr>
      <w:r w:rsidRPr="00DE12A3">
        <w:rPr>
          <w:rStyle w:val="Resimyazs77pt0ptbolukbraklyor"/>
          <w:color w:val="auto"/>
          <w:sz w:val="24"/>
          <w:szCs w:val="24"/>
        </w:rPr>
        <w:t>Burada:</w:t>
      </w:r>
    </w:p>
    <w:p w14:paraId="293CB365" w14:textId="77777777" w:rsidR="002D7B36" w:rsidRPr="00DE12A3" w:rsidRDefault="00242DA0" w:rsidP="00C917D6">
      <w:pPr>
        <w:pStyle w:val="Resimyazs70"/>
        <w:shd w:val="clear" w:color="auto" w:fill="auto"/>
        <w:tabs>
          <w:tab w:val="left" w:pos="1701"/>
        </w:tabs>
        <w:spacing w:after="120" w:line="240" w:lineRule="auto"/>
        <w:ind w:left="1134"/>
        <w:rPr>
          <w:sz w:val="24"/>
          <w:szCs w:val="24"/>
        </w:rPr>
      </w:pPr>
      <w:r w:rsidRPr="00DE12A3">
        <w:rPr>
          <w:rStyle w:val="Resimyazs77pt0ptbolukbraklyor"/>
          <w:i/>
          <w:iCs/>
          <w:color w:val="auto"/>
          <w:sz w:val="24"/>
          <w:szCs w:val="24"/>
        </w:rPr>
        <w:t>m</w:t>
      </w:r>
      <w:r w:rsidRPr="00DE12A3">
        <w:rPr>
          <w:rStyle w:val="Resimyazs77pt0ptbolukbraklyor"/>
          <w:color w:val="auto"/>
          <w:sz w:val="24"/>
          <w:szCs w:val="24"/>
          <w:vertAlign w:val="subscript"/>
        </w:rPr>
        <w:t>cor</w:t>
      </w:r>
      <w:r w:rsidRPr="00DE12A3">
        <w:rPr>
          <w:rStyle w:val="Resimyazs77pt0ptbolukbraklyor"/>
          <w:color w:val="auto"/>
          <w:sz w:val="24"/>
          <w:szCs w:val="24"/>
        </w:rPr>
        <w:tab/>
      </w:r>
      <w:r w:rsidRPr="00DE12A3">
        <w:rPr>
          <w:spacing w:val="3"/>
          <w:sz w:val="24"/>
          <w:szCs w:val="24"/>
        </w:rPr>
        <w:t>kaldırma kuvveti bakımından düzeltilmiş PM numune filtresi kütlesi</w:t>
      </w:r>
    </w:p>
    <w:p w14:paraId="18BAEC15" w14:textId="77777777" w:rsidR="002D7B36" w:rsidRPr="00DE12A3" w:rsidRDefault="00242DA0" w:rsidP="00C917D6">
      <w:pPr>
        <w:pStyle w:val="Resimyazs70"/>
        <w:shd w:val="clear" w:color="auto" w:fill="auto"/>
        <w:tabs>
          <w:tab w:val="left" w:pos="1701"/>
          <w:tab w:val="right" w:pos="1827"/>
          <w:tab w:val="right" w:pos="2017"/>
          <w:tab w:val="left" w:pos="2018"/>
        </w:tabs>
        <w:spacing w:after="120" w:line="240" w:lineRule="auto"/>
        <w:ind w:left="1134"/>
        <w:rPr>
          <w:sz w:val="24"/>
          <w:szCs w:val="24"/>
        </w:rPr>
      </w:pPr>
      <w:r w:rsidRPr="00DE12A3">
        <w:rPr>
          <w:rStyle w:val="Resimyazs77pt0ptbolukbraklyor"/>
          <w:i/>
          <w:iCs/>
          <w:color w:val="auto"/>
          <w:sz w:val="24"/>
          <w:szCs w:val="24"/>
        </w:rPr>
        <w:t>m</w:t>
      </w:r>
      <w:r w:rsidRPr="00DE12A3">
        <w:rPr>
          <w:rStyle w:val="Resimyazs77pt0ptbolukbraklyor"/>
          <w:color w:val="auto"/>
          <w:sz w:val="24"/>
          <w:szCs w:val="24"/>
          <w:vertAlign w:val="subscript"/>
        </w:rPr>
        <w:t>uncor</w:t>
      </w:r>
      <w:r w:rsidRPr="00DE12A3">
        <w:rPr>
          <w:rStyle w:val="Resimyazs77pt0ptbolukbraklyor"/>
          <w:color w:val="auto"/>
          <w:sz w:val="24"/>
          <w:szCs w:val="24"/>
        </w:rPr>
        <w:tab/>
      </w:r>
      <w:r w:rsidRPr="00DE12A3">
        <w:rPr>
          <w:spacing w:val="3"/>
          <w:sz w:val="24"/>
          <w:szCs w:val="24"/>
        </w:rPr>
        <w:t>kaldırma kuvveti bakımından düzeltilmemiş PM numune filtresi kütlesi</w:t>
      </w:r>
    </w:p>
    <w:p w14:paraId="55FF928E" w14:textId="77777777" w:rsidR="002D7B36" w:rsidRPr="00DE12A3" w:rsidRDefault="00242DA0" w:rsidP="00C917D6">
      <w:pPr>
        <w:pStyle w:val="Resimyazs70"/>
        <w:shd w:val="clear" w:color="auto" w:fill="auto"/>
        <w:spacing w:after="120" w:line="240" w:lineRule="auto"/>
        <w:ind w:left="1134"/>
        <w:rPr>
          <w:sz w:val="24"/>
          <w:szCs w:val="24"/>
        </w:rPr>
      </w:pPr>
      <w:r w:rsidRPr="00DE12A3">
        <w:rPr>
          <w:rStyle w:val="Resimyazs77pt0ptbolukbraklyor"/>
          <w:i/>
          <w:iCs/>
          <w:color w:val="auto"/>
          <w:sz w:val="24"/>
          <w:szCs w:val="24"/>
        </w:rPr>
        <w:t>ρ</w:t>
      </w:r>
      <w:r w:rsidRPr="00DE12A3">
        <w:rPr>
          <w:rStyle w:val="Resimyazs77pt0ptbolukbraklyor"/>
          <w:color w:val="auto"/>
          <w:sz w:val="24"/>
          <w:szCs w:val="24"/>
          <w:vertAlign w:val="subscript"/>
        </w:rPr>
        <w:t>air</w:t>
      </w:r>
      <w:r w:rsidRPr="00DE12A3">
        <w:rPr>
          <w:rStyle w:val="Resimyazs77pt0ptbolukbraklyor"/>
          <w:color w:val="auto"/>
          <w:sz w:val="24"/>
          <w:szCs w:val="24"/>
        </w:rPr>
        <w:tab/>
      </w:r>
      <w:r w:rsidR="00EF0D08" w:rsidRPr="00DE12A3">
        <w:rPr>
          <w:spacing w:val="3"/>
          <w:sz w:val="24"/>
          <w:szCs w:val="24"/>
        </w:rPr>
        <w:t>balans</w:t>
      </w:r>
      <w:r w:rsidRPr="00DE12A3">
        <w:rPr>
          <w:spacing w:val="3"/>
          <w:sz w:val="24"/>
          <w:szCs w:val="24"/>
        </w:rPr>
        <w:t xml:space="preserve"> ortamındaki havanın yoğunluğu</w:t>
      </w:r>
    </w:p>
    <w:p w14:paraId="48A642E1" w14:textId="77777777" w:rsidR="002D7B36" w:rsidRPr="00DE12A3" w:rsidRDefault="00242DA0" w:rsidP="00C917D6">
      <w:pPr>
        <w:pStyle w:val="Resimyazs70"/>
        <w:shd w:val="clear" w:color="auto" w:fill="auto"/>
        <w:tabs>
          <w:tab w:val="left" w:pos="1701"/>
        </w:tabs>
        <w:spacing w:after="120" w:line="240" w:lineRule="auto"/>
        <w:ind w:left="1134"/>
        <w:rPr>
          <w:sz w:val="24"/>
          <w:szCs w:val="24"/>
        </w:rPr>
      </w:pPr>
      <w:r w:rsidRPr="00DE12A3">
        <w:rPr>
          <w:rStyle w:val="Resimyazs77pt0ptbolukbraklyor"/>
          <w:i/>
          <w:iCs/>
          <w:color w:val="auto"/>
          <w:sz w:val="24"/>
          <w:szCs w:val="24"/>
        </w:rPr>
        <w:t>ρ</w:t>
      </w:r>
      <w:r w:rsidRPr="00DE12A3">
        <w:rPr>
          <w:rStyle w:val="Resimyazs77pt0ptbolukbraklyor"/>
          <w:color w:val="auto"/>
          <w:sz w:val="24"/>
          <w:szCs w:val="24"/>
          <w:vertAlign w:val="subscript"/>
        </w:rPr>
        <w:t>weight</w:t>
      </w:r>
      <w:r w:rsidRPr="00DE12A3">
        <w:rPr>
          <w:rStyle w:val="Resimyazs77pt0ptbolukbraklyor"/>
          <w:color w:val="auto"/>
          <w:sz w:val="24"/>
          <w:szCs w:val="24"/>
        </w:rPr>
        <w:tab/>
      </w:r>
      <w:r w:rsidR="00EF0D08" w:rsidRPr="00DE12A3">
        <w:rPr>
          <w:spacing w:val="3"/>
          <w:sz w:val="24"/>
          <w:szCs w:val="24"/>
        </w:rPr>
        <w:t>balansı</w:t>
      </w:r>
      <w:r w:rsidRPr="00DE12A3">
        <w:rPr>
          <w:spacing w:val="3"/>
          <w:sz w:val="24"/>
          <w:szCs w:val="24"/>
        </w:rPr>
        <w:t xml:space="preserve"> ayarlamak için kullanılan kalibrasyon ağırlığının yoğunluğu</w:t>
      </w:r>
    </w:p>
    <w:p w14:paraId="2D607DCB" w14:textId="77777777" w:rsidR="002D7B36" w:rsidRPr="00DE12A3" w:rsidRDefault="00242DA0" w:rsidP="00C917D6">
      <w:pPr>
        <w:pStyle w:val="Resimyazs70"/>
        <w:shd w:val="clear" w:color="auto" w:fill="auto"/>
        <w:tabs>
          <w:tab w:val="left" w:pos="1701"/>
          <w:tab w:val="right" w:pos="1827"/>
          <w:tab w:val="right" w:pos="2017"/>
          <w:tab w:val="left" w:pos="2028"/>
        </w:tabs>
        <w:spacing w:after="120" w:line="240" w:lineRule="auto"/>
        <w:ind w:left="1134"/>
        <w:rPr>
          <w:sz w:val="24"/>
          <w:szCs w:val="24"/>
        </w:rPr>
      </w:pPr>
      <w:r w:rsidRPr="00DE12A3">
        <w:rPr>
          <w:rStyle w:val="Resimyazs77pt0ptbolukbraklyor"/>
          <w:i/>
          <w:iCs/>
          <w:color w:val="auto"/>
          <w:sz w:val="24"/>
          <w:szCs w:val="24"/>
        </w:rPr>
        <w:t>ρ</w:t>
      </w:r>
      <w:r w:rsidRPr="00DE12A3">
        <w:rPr>
          <w:rStyle w:val="Resimyazs77pt0ptbolukbraklyor"/>
          <w:color w:val="auto"/>
          <w:sz w:val="24"/>
          <w:szCs w:val="24"/>
          <w:vertAlign w:val="subscript"/>
        </w:rPr>
        <w:t>media</w:t>
      </w:r>
      <w:r w:rsidRPr="00DE12A3">
        <w:rPr>
          <w:rStyle w:val="Resimyazs77pt0ptbolukbraklyor"/>
          <w:color w:val="auto"/>
          <w:sz w:val="24"/>
          <w:szCs w:val="24"/>
        </w:rPr>
        <w:tab/>
      </w:r>
      <w:r w:rsidRPr="00DE12A3">
        <w:rPr>
          <w:spacing w:val="3"/>
          <w:sz w:val="24"/>
          <w:szCs w:val="24"/>
        </w:rPr>
        <w:t>PM numune filtresinin yoğunluğu</w:t>
      </w:r>
    </w:p>
    <w:p w14:paraId="69C6963B" w14:textId="77777777" w:rsidR="002D7B36" w:rsidRPr="00DE12A3" w:rsidRDefault="00242DA0" w:rsidP="00C917D6">
      <w:pPr>
        <w:pStyle w:val="Resimyazs70"/>
        <w:shd w:val="clear" w:color="auto" w:fill="auto"/>
        <w:spacing w:after="120" w:line="240" w:lineRule="auto"/>
        <w:ind w:left="1134"/>
        <w:rPr>
          <w:rStyle w:val="Resimyazs77pt0ptbolukbraklyor"/>
          <w:color w:val="auto"/>
          <w:sz w:val="24"/>
          <w:szCs w:val="24"/>
        </w:rPr>
      </w:pPr>
      <w:r w:rsidRPr="00DE12A3">
        <w:rPr>
          <w:rStyle w:val="Resimyazs77pt0ptbolukbraklyor"/>
          <w:color w:val="auto"/>
          <w:sz w:val="24"/>
          <w:szCs w:val="24"/>
        </w:rPr>
        <w:t>ve</w:t>
      </w:r>
    </w:p>
    <w:tbl>
      <w:tblPr>
        <w:tblW w:w="6123" w:type="dxa"/>
        <w:jc w:val="center"/>
        <w:tblLayout w:type="fixed"/>
        <w:tblLook w:val="0000" w:firstRow="0" w:lastRow="0" w:firstColumn="0" w:lastColumn="0" w:noHBand="0" w:noVBand="0"/>
      </w:tblPr>
      <w:tblGrid>
        <w:gridCol w:w="4409"/>
        <w:gridCol w:w="1714"/>
      </w:tblGrid>
      <w:tr w:rsidR="00DE12A3" w:rsidRPr="00DE12A3" w14:paraId="5D3402A2" w14:textId="77777777" w:rsidTr="00DA3CD6">
        <w:trPr>
          <w:trHeight w:val="915"/>
          <w:jc w:val="center"/>
        </w:trPr>
        <w:tc>
          <w:tcPr>
            <w:tcW w:w="4409" w:type="dxa"/>
          </w:tcPr>
          <w:p w14:paraId="027E4C33" w14:textId="5161C0EE" w:rsidR="00DA3CD6" w:rsidRPr="00DE12A3" w:rsidRDefault="00DA3CD6" w:rsidP="00C917D6">
            <w:pPr>
              <w:pStyle w:val="NormalLeft"/>
            </w:pPr>
            <w:r w:rsidRPr="00DE12A3">
              <w:rPr>
                <w:noProof/>
                <w:lang w:val="tr-TR"/>
              </w:rPr>
              <w:drawing>
                <wp:inline distT="0" distB="0" distL="0" distR="0" wp14:anchorId="40255FBB" wp14:editId="76CA6D8D">
                  <wp:extent cx="2719705" cy="474785"/>
                  <wp:effectExtent l="0" t="0" r="4445" b="1905"/>
                  <wp:docPr id="2413" name="Resim 24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2753980" cy="480769"/>
                          </a:xfrm>
                          <a:prstGeom prst="rect">
                            <a:avLst/>
                          </a:prstGeom>
                          <a:noFill/>
                          <a:ln>
                            <a:noFill/>
                          </a:ln>
                        </pic:spPr>
                      </pic:pic>
                    </a:graphicData>
                  </a:graphic>
                </wp:inline>
              </w:drawing>
            </w:r>
          </w:p>
        </w:tc>
        <w:tc>
          <w:tcPr>
            <w:tcW w:w="1714" w:type="dxa"/>
          </w:tcPr>
          <w:p w14:paraId="423DF02F" w14:textId="77777777" w:rsidR="00DA3CD6" w:rsidRPr="00DE12A3" w:rsidRDefault="00DA3CD6" w:rsidP="00C917D6">
            <w:pPr>
              <w:pStyle w:val="NormalLeft"/>
            </w:pPr>
            <w:r w:rsidRPr="00DE12A3">
              <w:t>(6-28)</w:t>
            </w:r>
          </w:p>
        </w:tc>
      </w:tr>
    </w:tbl>
    <w:p w14:paraId="2F55DD3D" w14:textId="77777777" w:rsidR="002D7B36" w:rsidRPr="00DE12A3" w:rsidRDefault="00242DA0" w:rsidP="00C917D6">
      <w:pPr>
        <w:pStyle w:val="Gvdemetni255"/>
        <w:shd w:val="clear" w:color="auto" w:fill="auto"/>
        <w:spacing w:before="120" w:after="120" w:line="240" w:lineRule="auto"/>
        <w:ind w:left="1134" w:firstLine="0"/>
        <w:rPr>
          <w:color w:val="auto"/>
          <w:sz w:val="24"/>
          <w:szCs w:val="24"/>
        </w:rPr>
      </w:pPr>
      <w:r w:rsidRPr="00DE12A3">
        <w:rPr>
          <w:color w:val="auto"/>
          <w:sz w:val="24"/>
          <w:szCs w:val="24"/>
        </w:rPr>
        <w:t>Burada:</w:t>
      </w:r>
    </w:p>
    <w:p w14:paraId="0C154594" w14:textId="77777777" w:rsidR="002D7B36" w:rsidRPr="00DE12A3" w:rsidRDefault="00242DA0" w:rsidP="00C917D6">
      <w:pPr>
        <w:pStyle w:val="Gvdemetni255"/>
        <w:shd w:val="clear" w:color="auto" w:fill="auto"/>
        <w:tabs>
          <w:tab w:val="left" w:pos="1460"/>
          <w:tab w:val="right" w:pos="1827"/>
          <w:tab w:val="left" w:pos="2007"/>
        </w:tabs>
        <w:spacing w:before="120" w:after="120" w:line="240" w:lineRule="auto"/>
        <w:ind w:left="1134" w:firstLine="0"/>
        <w:rPr>
          <w:color w:val="auto"/>
          <w:sz w:val="24"/>
          <w:szCs w:val="24"/>
        </w:rPr>
      </w:pPr>
      <w:r w:rsidRPr="00DE12A3">
        <w:rPr>
          <w:i/>
          <w:iCs/>
          <w:color w:val="auto"/>
          <w:sz w:val="24"/>
          <w:szCs w:val="24"/>
        </w:rPr>
        <w:t>p</w:t>
      </w:r>
      <w:r w:rsidRPr="00DE12A3">
        <w:rPr>
          <w:color w:val="auto"/>
          <w:sz w:val="24"/>
          <w:szCs w:val="24"/>
          <w:vertAlign w:val="subscript"/>
        </w:rPr>
        <w:t>abs</w:t>
      </w:r>
      <w:r w:rsidRPr="00DE12A3">
        <w:rPr>
          <w:color w:val="auto"/>
          <w:sz w:val="24"/>
          <w:szCs w:val="24"/>
        </w:rPr>
        <w:tab/>
      </w:r>
      <w:r w:rsidR="00EF0D08" w:rsidRPr="00DE12A3">
        <w:rPr>
          <w:color w:val="auto"/>
          <w:sz w:val="24"/>
          <w:szCs w:val="24"/>
        </w:rPr>
        <w:t>balans</w:t>
      </w:r>
      <w:r w:rsidRPr="00DE12A3">
        <w:rPr>
          <w:color w:val="auto"/>
          <w:sz w:val="24"/>
          <w:szCs w:val="24"/>
        </w:rPr>
        <w:t xml:space="preserve"> ortamındaki mutlak basınç</w:t>
      </w:r>
    </w:p>
    <w:p w14:paraId="271AFF22" w14:textId="77777777" w:rsidR="002D7B36" w:rsidRPr="00DE12A3" w:rsidRDefault="00242DA0" w:rsidP="00C917D6">
      <w:pPr>
        <w:pStyle w:val="Gvdemetni255"/>
        <w:shd w:val="clear" w:color="auto" w:fill="auto"/>
        <w:tabs>
          <w:tab w:val="left" w:pos="1460"/>
          <w:tab w:val="right" w:pos="1827"/>
          <w:tab w:val="left" w:pos="2007"/>
        </w:tabs>
        <w:spacing w:before="120" w:after="120" w:line="240" w:lineRule="auto"/>
        <w:ind w:left="1134" w:firstLine="0"/>
        <w:rPr>
          <w:color w:val="auto"/>
          <w:sz w:val="24"/>
          <w:szCs w:val="24"/>
        </w:rPr>
      </w:pPr>
      <w:r w:rsidRPr="00DE12A3">
        <w:rPr>
          <w:i/>
          <w:iCs/>
          <w:color w:val="auto"/>
          <w:sz w:val="24"/>
          <w:szCs w:val="24"/>
        </w:rPr>
        <w:t>M</w:t>
      </w:r>
      <w:r w:rsidRPr="00DE12A3">
        <w:rPr>
          <w:color w:val="auto"/>
          <w:sz w:val="24"/>
          <w:szCs w:val="24"/>
          <w:vertAlign w:val="subscript"/>
        </w:rPr>
        <w:t>mix</w:t>
      </w:r>
      <w:r w:rsidRPr="00DE12A3">
        <w:rPr>
          <w:color w:val="auto"/>
          <w:sz w:val="24"/>
          <w:szCs w:val="24"/>
        </w:rPr>
        <w:tab/>
      </w:r>
      <w:r w:rsidR="00EF0D08" w:rsidRPr="00DE12A3">
        <w:rPr>
          <w:color w:val="auto"/>
          <w:sz w:val="24"/>
          <w:szCs w:val="24"/>
        </w:rPr>
        <w:t>balans</w:t>
      </w:r>
      <w:r w:rsidRPr="00DE12A3">
        <w:rPr>
          <w:color w:val="auto"/>
          <w:sz w:val="24"/>
          <w:szCs w:val="24"/>
        </w:rPr>
        <w:t xml:space="preserve"> ortamındaki molar hava kütlesi</w:t>
      </w:r>
    </w:p>
    <w:p w14:paraId="51BA6FF3" w14:textId="77777777" w:rsidR="002D7B36" w:rsidRPr="00DE12A3" w:rsidRDefault="00242DA0" w:rsidP="00C917D6">
      <w:pPr>
        <w:pStyle w:val="Gvdemetni255"/>
        <w:shd w:val="clear" w:color="auto" w:fill="auto"/>
        <w:tabs>
          <w:tab w:val="left" w:pos="1460"/>
          <w:tab w:val="right" w:pos="1827"/>
          <w:tab w:val="left" w:pos="2007"/>
        </w:tabs>
        <w:spacing w:before="120" w:after="120" w:line="240" w:lineRule="auto"/>
        <w:ind w:left="1134" w:firstLine="0"/>
        <w:rPr>
          <w:color w:val="auto"/>
          <w:sz w:val="24"/>
          <w:szCs w:val="24"/>
        </w:rPr>
      </w:pPr>
      <w:r w:rsidRPr="00DE12A3">
        <w:rPr>
          <w:rStyle w:val="Gvdemetni254pttalik0ptbolukbraklyor"/>
          <w:color w:val="auto"/>
          <w:sz w:val="24"/>
          <w:szCs w:val="24"/>
          <w:lang w:val="tr-TR"/>
        </w:rPr>
        <w:t>R</w:t>
      </w:r>
      <w:r w:rsidRPr="00DE12A3">
        <w:rPr>
          <w:color w:val="auto"/>
          <w:sz w:val="24"/>
          <w:szCs w:val="24"/>
        </w:rPr>
        <w:tab/>
        <w:t>molar gaz sabiti</w:t>
      </w:r>
    </w:p>
    <w:p w14:paraId="7865AABF" w14:textId="77777777" w:rsidR="002D7B36" w:rsidRPr="00DE12A3" w:rsidRDefault="00242DA0" w:rsidP="00C917D6">
      <w:pPr>
        <w:pStyle w:val="Gvdemetni255"/>
        <w:shd w:val="clear" w:color="auto" w:fill="auto"/>
        <w:tabs>
          <w:tab w:val="left" w:pos="1460"/>
          <w:tab w:val="right" w:pos="1827"/>
          <w:tab w:val="left" w:pos="2007"/>
        </w:tabs>
        <w:spacing w:before="120" w:after="120" w:line="240" w:lineRule="auto"/>
        <w:ind w:left="1134" w:firstLine="0"/>
        <w:rPr>
          <w:color w:val="auto"/>
          <w:sz w:val="24"/>
          <w:szCs w:val="24"/>
        </w:rPr>
      </w:pPr>
      <w:r w:rsidRPr="00DE12A3">
        <w:rPr>
          <w:i/>
          <w:iCs/>
          <w:color w:val="auto"/>
          <w:sz w:val="24"/>
          <w:szCs w:val="24"/>
        </w:rPr>
        <w:t>T</w:t>
      </w:r>
      <w:r w:rsidRPr="00DE12A3">
        <w:rPr>
          <w:color w:val="auto"/>
          <w:sz w:val="24"/>
          <w:szCs w:val="24"/>
          <w:vertAlign w:val="subscript"/>
        </w:rPr>
        <w:t>amb</w:t>
      </w:r>
      <w:r w:rsidRPr="00DE12A3">
        <w:rPr>
          <w:color w:val="auto"/>
          <w:sz w:val="24"/>
          <w:szCs w:val="24"/>
        </w:rPr>
        <w:tab/>
      </w:r>
      <w:r w:rsidR="00EF0D08" w:rsidRPr="00DE12A3">
        <w:rPr>
          <w:color w:val="auto"/>
          <w:sz w:val="24"/>
          <w:szCs w:val="24"/>
        </w:rPr>
        <w:t>balans</w:t>
      </w:r>
      <w:r w:rsidRPr="00DE12A3">
        <w:rPr>
          <w:color w:val="auto"/>
          <w:sz w:val="24"/>
          <w:szCs w:val="24"/>
        </w:rPr>
        <w:t xml:space="preserve"> ortamındaki mutlak ortam sıcaklığı</w:t>
      </w:r>
    </w:p>
    <w:p w14:paraId="6F5449AF" w14:textId="77777777" w:rsidR="002D7B36" w:rsidRPr="00DE12A3" w:rsidRDefault="00DA3CD6" w:rsidP="00E20716">
      <w:pPr>
        <w:pStyle w:val="Gvdemetni255"/>
        <w:numPr>
          <w:ilvl w:val="0"/>
          <w:numId w:val="295"/>
        </w:numPr>
        <w:shd w:val="clear" w:color="auto" w:fill="auto"/>
        <w:tabs>
          <w:tab w:val="left" w:pos="851"/>
        </w:tabs>
        <w:spacing w:before="120" w:after="120" w:line="240" w:lineRule="auto"/>
        <w:ind w:left="1134" w:hanging="1134"/>
        <w:rPr>
          <w:color w:val="auto"/>
          <w:sz w:val="24"/>
          <w:szCs w:val="24"/>
        </w:rPr>
      </w:pPr>
      <w:r w:rsidRPr="00DE12A3">
        <w:rPr>
          <w:color w:val="auto"/>
          <w:sz w:val="24"/>
          <w:szCs w:val="24"/>
        </w:rPr>
        <w:t xml:space="preserve">    </w:t>
      </w:r>
      <w:r w:rsidR="00242DA0" w:rsidRPr="00DE12A3">
        <w:rPr>
          <w:color w:val="auto"/>
          <w:sz w:val="24"/>
          <w:szCs w:val="24"/>
        </w:rPr>
        <w:t>Test için cihaz doğrulaması</w:t>
      </w:r>
    </w:p>
    <w:p w14:paraId="0F9BB8C9" w14:textId="77777777" w:rsidR="002D7B36" w:rsidRPr="00DE12A3" w:rsidRDefault="00DA3CD6" w:rsidP="00E20716">
      <w:pPr>
        <w:pStyle w:val="Gvdemetni255"/>
        <w:numPr>
          <w:ilvl w:val="0"/>
          <w:numId w:val="296"/>
        </w:numPr>
        <w:shd w:val="clear" w:color="auto" w:fill="auto"/>
        <w:tabs>
          <w:tab w:val="left" w:pos="851"/>
        </w:tabs>
        <w:spacing w:before="120" w:after="120" w:line="240" w:lineRule="auto"/>
        <w:ind w:left="1134" w:hanging="1134"/>
        <w:rPr>
          <w:color w:val="auto"/>
          <w:sz w:val="24"/>
          <w:szCs w:val="24"/>
        </w:rPr>
      </w:pPr>
      <w:r w:rsidRPr="00DE12A3">
        <w:rPr>
          <w:color w:val="auto"/>
          <w:sz w:val="24"/>
          <w:szCs w:val="24"/>
        </w:rPr>
        <w:t xml:space="preserve">    </w:t>
      </w:r>
      <w:r w:rsidR="00242DA0" w:rsidRPr="00DE12A3">
        <w:rPr>
          <w:color w:val="auto"/>
          <w:sz w:val="24"/>
          <w:szCs w:val="24"/>
        </w:rPr>
        <w:t>Toplu örnekleme için oransal akış kontrolünün doğrulanması ve PM toplu örnekleme için asgari seyreltme oranı</w:t>
      </w:r>
    </w:p>
    <w:p w14:paraId="640CB462" w14:textId="77777777" w:rsidR="002D7B36" w:rsidRPr="00DE12A3" w:rsidRDefault="00DA3CD6" w:rsidP="00E20716">
      <w:pPr>
        <w:pStyle w:val="Gvdemetni255"/>
        <w:numPr>
          <w:ilvl w:val="0"/>
          <w:numId w:val="297"/>
        </w:numPr>
        <w:shd w:val="clear" w:color="auto" w:fill="auto"/>
        <w:tabs>
          <w:tab w:val="left" w:pos="851"/>
        </w:tabs>
        <w:spacing w:before="120" w:after="120" w:line="240" w:lineRule="auto"/>
        <w:ind w:left="1134" w:hanging="1134"/>
        <w:rPr>
          <w:color w:val="auto"/>
          <w:sz w:val="24"/>
          <w:szCs w:val="24"/>
        </w:rPr>
      </w:pPr>
      <w:r w:rsidRPr="00DE12A3">
        <w:rPr>
          <w:color w:val="auto"/>
          <w:sz w:val="24"/>
          <w:szCs w:val="24"/>
        </w:rPr>
        <w:t xml:space="preserve">    </w:t>
      </w:r>
      <w:r w:rsidR="00242DA0" w:rsidRPr="00DE12A3">
        <w:rPr>
          <w:color w:val="auto"/>
          <w:sz w:val="24"/>
          <w:szCs w:val="24"/>
        </w:rPr>
        <w:t>CVS için orantılılık kriterleri</w:t>
      </w:r>
    </w:p>
    <w:p w14:paraId="56710ABD" w14:textId="77777777" w:rsidR="002D7B36" w:rsidRPr="00DE12A3" w:rsidRDefault="00242DA0" w:rsidP="00E20716">
      <w:pPr>
        <w:pStyle w:val="Gvdemetni255"/>
        <w:numPr>
          <w:ilvl w:val="0"/>
          <w:numId w:val="298"/>
        </w:numPr>
        <w:shd w:val="clear" w:color="auto" w:fill="auto"/>
        <w:tabs>
          <w:tab w:val="left" w:pos="851"/>
        </w:tabs>
        <w:spacing w:before="120" w:after="120" w:line="240" w:lineRule="auto"/>
        <w:ind w:left="1134" w:hanging="1134"/>
        <w:rPr>
          <w:color w:val="auto"/>
          <w:sz w:val="24"/>
          <w:szCs w:val="24"/>
        </w:rPr>
      </w:pPr>
      <w:r w:rsidRPr="00DE12A3">
        <w:rPr>
          <w:color w:val="auto"/>
          <w:sz w:val="24"/>
          <w:szCs w:val="24"/>
        </w:rPr>
        <w:t>Orantılı akışlar</w:t>
      </w:r>
    </w:p>
    <w:p w14:paraId="49B5C728" w14:textId="4A901FAE" w:rsidR="002D7B36" w:rsidRPr="00DE12A3" w:rsidRDefault="00DA3CD6" w:rsidP="00C917D6">
      <w:pPr>
        <w:pStyle w:val="Gvdemetni255"/>
        <w:shd w:val="clear" w:color="auto" w:fill="auto"/>
        <w:tabs>
          <w:tab w:val="left" w:pos="9070"/>
        </w:tabs>
        <w:spacing w:before="120" w:after="120" w:line="240" w:lineRule="auto"/>
        <w:ind w:left="1134" w:hanging="1134"/>
        <w:rPr>
          <w:color w:val="auto"/>
          <w:sz w:val="24"/>
          <w:szCs w:val="24"/>
        </w:rPr>
      </w:pPr>
      <w:r w:rsidRPr="00DE12A3">
        <w:rPr>
          <w:color w:val="auto"/>
          <w:sz w:val="24"/>
          <w:szCs w:val="24"/>
        </w:rPr>
        <w:t xml:space="preserve">                  </w:t>
      </w:r>
      <w:r w:rsidR="00242DA0" w:rsidRPr="00DE12A3">
        <w:rPr>
          <w:color w:val="auto"/>
          <w:sz w:val="24"/>
          <w:szCs w:val="24"/>
        </w:rPr>
        <w:t xml:space="preserve">Her sayaç çifti için, kaydedilen numune ve toplam akış hızları veya bunların 1 Hz araçları, </w:t>
      </w:r>
      <w:r w:rsidR="00FA0678" w:rsidRPr="00DE12A3">
        <w:rPr>
          <w:color w:val="auto"/>
          <w:sz w:val="24"/>
          <w:szCs w:val="24"/>
        </w:rPr>
        <w:t xml:space="preserve">VII’nci </w:t>
      </w:r>
      <w:r w:rsidR="003C361A" w:rsidRPr="00DE12A3">
        <w:rPr>
          <w:color w:val="auto"/>
          <w:sz w:val="24"/>
          <w:szCs w:val="24"/>
        </w:rPr>
        <w:t>E</w:t>
      </w:r>
      <w:r w:rsidR="00FA0678" w:rsidRPr="00DE12A3">
        <w:rPr>
          <w:color w:val="auto"/>
          <w:sz w:val="24"/>
          <w:szCs w:val="24"/>
        </w:rPr>
        <w:t>k</w:t>
      </w:r>
      <w:r w:rsidR="00242DA0" w:rsidRPr="00DE12A3">
        <w:rPr>
          <w:color w:val="auto"/>
          <w:sz w:val="24"/>
          <w:szCs w:val="24"/>
        </w:rPr>
        <w:t xml:space="preserve">in </w:t>
      </w:r>
      <w:r w:rsidR="00CD23C3" w:rsidRPr="00DE12A3">
        <w:rPr>
          <w:color w:val="auto"/>
          <w:sz w:val="24"/>
          <w:szCs w:val="24"/>
        </w:rPr>
        <w:t>3. Açıklayıcı Ek</w:t>
      </w:r>
      <w:r w:rsidR="00242DA0" w:rsidRPr="00DE12A3">
        <w:rPr>
          <w:color w:val="auto"/>
          <w:sz w:val="24"/>
          <w:szCs w:val="24"/>
        </w:rPr>
        <w:t xml:space="preserve">indeki istatistiksel hesaplamalar ile birlikte kullanılmalıdır. Toplam akış hızına göre numune akış hızının, standart tahmin hatası belirlenmelidir. Her test aralığı için, SEE'nin ortalama numune akış hızının </w:t>
      </w:r>
      <w:r w:rsidRPr="00DE12A3">
        <w:rPr>
          <w:color w:val="auto"/>
          <w:sz w:val="24"/>
          <w:szCs w:val="24"/>
        </w:rPr>
        <w:t>%3,5</w:t>
      </w:r>
      <w:r w:rsidR="00242DA0" w:rsidRPr="00DE12A3">
        <w:rPr>
          <w:color w:val="auto"/>
          <w:sz w:val="24"/>
          <w:szCs w:val="24"/>
        </w:rPr>
        <w:t>'ine eşit veya daha küçük olduğu ispatlanmalıdır.</w:t>
      </w:r>
    </w:p>
    <w:p w14:paraId="5DA622D8" w14:textId="77777777" w:rsidR="002D7B36" w:rsidRPr="00DE12A3" w:rsidRDefault="00242DA0" w:rsidP="00E20716">
      <w:pPr>
        <w:pStyle w:val="Gvdemetni255"/>
        <w:numPr>
          <w:ilvl w:val="0"/>
          <w:numId w:val="298"/>
        </w:numPr>
        <w:shd w:val="clear" w:color="auto" w:fill="auto"/>
        <w:tabs>
          <w:tab w:val="left" w:pos="851"/>
        </w:tabs>
        <w:spacing w:before="120" w:after="120" w:line="240" w:lineRule="auto"/>
        <w:ind w:left="1134" w:hanging="1134"/>
        <w:rPr>
          <w:color w:val="auto"/>
          <w:sz w:val="24"/>
          <w:szCs w:val="24"/>
        </w:rPr>
      </w:pPr>
      <w:r w:rsidRPr="00DE12A3">
        <w:rPr>
          <w:color w:val="auto"/>
          <w:sz w:val="24"/>
          <w:szCs w:val="24"/>
        </w:rPr>
        <w:lastRenderedPageBreak/>
        <w:t>Sabit akışlar</w:t>
      </w:r>
    </w:p>
    <w:p w14:paraId="4993A617" w14:textId="77777777" w:rsidR="002D7B36" w:rsidRPr="00DE12A3" w:rsidRDefault="00DA3CD6" w:rsidP="00C917D6">
      <w:pPr>
        <w:pStyle w:val="Gvdemetni255"/>
        <w:shd w:val="clear" w:color="auto" w:fill="auto"/>
        <w:tabs>
          <w:tab w:val="left" w:pos="9070"/>
        </w:tabs>
        <w:spacing w:before="120" w:after="120" w:line="240" w:lineRule="auto"/>
        <w:ind w:left="1134" w:hanging="1134"/>
        <w:rPr>
          <w:color w:val="auto"/>
          <w:sz w:val="24"/>
          <w:szCs w:val="24"/>
        </w:rPr>
      </w:pPr>
      <w:r w:rsidRPr="00DE12A3">
        <w:rPr>
          <w:color w:val="auto"/>
          <w:sz w:val="24"/>
          <w:szCs w:val="24"/>
        </w:rPr>
        <w:t xml:space="preserve">                   </w:t>
      </w:r>
      <w:r w:rsidR="00242DA0" w:rsidRPr="00DE12A3">
        <w:rPr>
          <w:color w:val="auto"/>
          <w:sz w:val="24"/>
          <w:szCs w:val="24"/>
        </w:rPr>
        <w:t>Her sayaç çifti için, kaydedilen numune ve toplam akış hızları veya bunların 1 Hz araçları, her akış hızının, ilgili ortalama veya hedef akış hızı ± % 2,5 aralığı içinde sabit olduğunu ispatlamak için kullanılmalıdır. Her sayaç tipinin ilgili akış hızını kaydetmek yerine aşağıdaki seçenekler kullanılabilir:</w:t>
      </w:r>
    </w:p>
    <w:p w14:paraId="4057903B" w14:textId="71A7EC74" w:rsidR="002D7B36" w:rsidRPr="00DE12A3" w:rsidRDefault="00DA3CD6" w:rsidP="00E20716">
      <w:pPr>
        <w:pStyle w:val="Gvdemetni255"/>
        <w:numPr>
          <w:ilvl w:val="0"/>
          <w:numId w:val="299"/>
        </w:numPr>
        <w:shd w:val="clear" w:color="auto" w:fill="FFFFFF" w:themeFill="background1"/>
        <w:spacing w:before="120" w:after="120" w:line="240" w:lineRule="auto"/>
        <w:ind w:left="1701" w:hanging="567"/>
        <w:rPr>
          <w:color w:val="auto"/>
          <w:sz w:val="24"/>
          <w:szCs w:val="24"/>
        </w:rPr>
      </w:pPr>
      <w:r w:rsidRPr="00DE12A3">
        <w:rPr>
          <w:color w:val="auto"/>
          <w:sz w:val="24"/>
          <w:szCs w:val="24"/>
        </w:rPr>
        <w:t xml:space="preserve">    </w:t>
      </w:r>
      <w:r w:rsidR="00242DA0" w:rsidRPr="00DE12A3">
        <w:rPr>
          <w:color w:val="auto"/>
          <w:sz w:val="24"/>
          <w:szCs w:val="24"/>
        </w:rPr>
        <w:t xml:space="preserve">Kritik akış venturi seçeneği. Kritik akış venturi için, kaydedilmiş venturi girişi koşulları veya bunların 1 Hz araçları kullanılmalıdır. Venturi girişindeki akış yoğunluğunun, her test aralığı boyunca ortalama veya hedef yoğunluk ± </w:t>
      </w:r>
      <w:r w:rsidR="00C82777" w:rsidRPr="00DE12A3">
        <w:rPr>
          <w:color w:val="auto"/>
          <w:sz w:val="24"/>
          <w:szCs w:val="24"/>
        </w:rPr>
        <w:t>%2,5</w:t>
      </w:r>
      <w:r w:rsidR="00242DA0" w:rsidRPr="00DE12A3">
        <w:rPr>
          <w:color w:val="auto"/>
          <w:sz w:val="24"/>
          <w:szCs w:val="24"/>
        </w:rPr>
        <w:t xml:space="preserve"> aralığı içinde sabit olduğu ispatlanmalıdır.</w:t>
      </w:r>
      <w:r w:rsidR="00C82777" w:rsidRPr="00DE12A3">
        <w:rPr>
          <w:color w:val="auto"/>
          <w:sz w:val="24"/>
          <w:szCs w:val="24"/>
        </w:rPr>
        <w:t xml:space="preserve"> </w:t>
      </w:r>
      <w:r w:rsidR="00242DA0" w:rsidRPr="00DE12A3">
        <w:rPr>
          <w:color w:val="auto"/>
          <w:sz w:val="24"/>
          <w:szCs w:val="24"/>
        </w:rPr>
        <w:t xml:space="preserve">Bir CVS kritik akış venturi için bu, venturi girişindeki mutlak sıcaklığın, her test aralığı boyunca ortalama veya hedef mutlak sıcaklık ± </w:t>
      </w:r>
      <w:r w:rsidR="00E10EB2" w:rsidRPr="00DE12A3">
        <w:rPr>
          <w:color w:val="auto"/>
          <w:sz w:val="24"/>
          <w:szCs w:val="24"/>
        </w:rPr>
        <w:t>%4</w:t>
      </w:r>
      <w:r w:rsidR="00242DA0" w:rsidRPr="00DE12A3">
        <w:rPr>
          <w:color w:val="auto"/>
          <w:sz w:val="24"/>
          <w:szCs w:val="24"/>
        </w:rPr>
        <w:t xml:space="preserve"> aralığı içinde sabit olduğu gösterilerek ispatlanabilir</w:t>
      </w:r>
      <w:r w:rsidR="00163FD5" w:rsidRPr="00DE12A3">
        <w:rPr>
          <w:color w:val="auto"/>
          <w:sz w:val="24"/>
          <w:szCs w:val="24"/>
        </w:rPr>
        <w:t>.</w:t>
      </w:r>
    </w:p>
    <w:p w14:paraId="7A44F308" w14:textId="77777777" w:rsidR="002D7B36" w:rsidRPr="00DE12A3" w:rsidRDefault="00242DA0" w:rsidP="00E20716">
      <w:pPr>
        <w:pStyle w:val="Gvdemetni255"/>
        <w:numPr>
          <w:ilvl w:val="0"/>
          <w:numId w:val="299"/>
        </w:numPr>
        <w:shd w:val="clear" w:color="auto" w:fill="FFFFFF" w:themeFill="background1"/>
        <w:tabs>
          <w:tab w:val="left" w:pos="1134"/>
        </w:tabs>
        <w:spacing w:before="120" w:after="120" w:line="240" w:lineRule="auto"/>
        <w:ind w:left="1701" w:hanging="567"/>
        <w:rPr>
          <w:color w:val="auto"/>
          <w:sz w:val="24"/>
          <w:szCs w:val="24"/>
        </w:rPr>
      </w:pPr>
      <w:r w:rsidRPr="00DE12A3">
        <w:rPr>
          <w:color w:val="auto"/>
          <w:sz w:val="24"/>
          <w:szCs w:val="24"/>
        </w:rPr>
        <w:t xml:space="preserve">Pozitif deplasmanlı pompa seçeneği. Kaydedilen pompa girişi koşulları veya bunların 1 Hz araçları kullanılmalıdır. Pompa girişindeki akış yoğunluğunun, her test aralığı boyunca ortalama veya hedef yoğunluk ± </w:t>
      </w:r>
      <w:r w:rsidR="00C82777" w:rsidRPr="00DE12A3">
        <w:rPr>
          <w:color w:val="auto"/>
          <w:sz w:val="24"/>
          <w:szCs w:val="24"/>
        </w:rPr>
        <w:t>%2,5</w:t>
      </w:r>
      <w:r w:rsidRPr="00DE12A3">
        <w:rPr>
          <w:color w:val="auto"/>
          <w:sz w:val="24"/>
          <w:szCs w:val="24"/>
        </w:rPr>
        <w:t xml:space="preserve"> aralığı içinde sabit olduğu ispatlanmalıdır. Bir CVS pompası için bu, pompa girişindeki mutlak sıcaklığın, her test aralığı boyunca ortalama veya hedef mutlak sıcaklık ± </w:t>
      </w:r>
      <w:r w:rsidR="00C82777" w:rsidRPr="00DE12A3">
        <w:rPr>
          <w:color w:val="auto"/>
          <w:sz w:val="24"/>
          <w:szCs w:val="24"/>
        </w:rPr>
        <w:t>%2</w:t>
      </w:r>
      <w:r w:rsidRPr="00DE12A3">
        <w:rPr>
          <w:color w:val="auto"/>
          <w:sz w:val="24"/>
          <w:szCs w:val="24"/>
        </w:rPr>
        <w:t xml:space="preserve"> aralığı içinde sabit olduğu gösterilerek ispatlanabilir.</w:t>
      </w:r>
    </w:p>
    <w:p w14:paraId="422C84AC" w14:textId="77777777" w:rsidR="002D7B36" w:rsidRPr="00DE12A3" w:rsidRDefault="00DA3CD6" w:rsidP="00E20716">
      <w:pPr>
        <w:pStyle w:val="Gvdemetni255"/>
        <w:numPr>
          <w:ilvl w:val="0"/>
          <w:numId w:val="298"/>
        </w:numPr>
        <w:shd w:val="clear" w:color="auto" w:fill="FFFFFF" w:themeFill="background1"/>
        <w:tabs>
          <w:tab w:val="left" w:pos="993"/>
        </w:tabs>
        <w:spacing w:before="120" w:after="120" w:line="240" w:lineRule="auto"/>
        <w:ind w:left="1134" w:hanging="1134"/>
        <w:rPr>
          <w:color w:val="auto"/>
          <w:sz w:val="24"/>
          <w:szCs w:val="24"/>
        </w:rPr>
      </w:pPr>
      <w:r w:rsidRPr="00DE12A3">
        <w:rPr>
          <w:color w:val="auto"/>
          <w:sz w:val="24"/>
          <w:szCs w:val="24"/>
        </w:rPr>
        <w:t xml:space="preserve">  </w:t>
      </w:r>
      <w:r w:rsidR="00242DA0" w:rsidRPr="00DE12A3">
        <w:rPr>
          <w:color w:val="auto"/>
          <w:sz w:val="24"/>
          <w:szCs w:val="24"/>
        </w:rPr>
        <w:t>Orantılı örneklemenin ispatlanması</w:t>
      </w:r>
    </w:p>
    <w:p w14:paraId="40EAA39C" w14:textId="77777777" w:rsidR="002D7B36" w:rsidRPr="00DE12A3" w:rsidRDefault="00DA3CD6" w:rsidP="00C917D6">
      <w:pPr>
        <w:pStyle w:val="Gvdemetni255"/>
        <w:shd w:val="clear" w:color="auto" w:fill="FFFFFF" w:themeFill="background1"/>
        <w:spacing w:before="120" w:after="120" w:line="240" w:lineRule="auto"/>
        <w:ind w:left="1134" w:hanging="1134"/>
        <w:rPr>
          <w:color w:val="auto"/>
          <w:sz w:val="24"/>
          <w:szCs w:val="24"/>
        </w:rPr>
      </w:pPr>
      <w:r w:rsidRPr="00DE12A3">
        <w:rPr>
          <w:color w:val="auto"/>
          <w:sz w:val="24"/>
          <w:szCs w:val="24"/>
        </w:rPr>
        <w:t xml:space="preserve">                 </w:t>
      </w:r>
      <w:r w:rsidR="00242DA0" w:rsidRPr="00DE12A3">
        <w:rPr>
          <w:color w:val="auto"/>
          <w:sz w:val="24"/>
          <w:szCs w:val="24"/>
        </w:rPr>
        <w:t xml:space="preserve">Bir torba veya PM filtresi gibi herhangi bir orantılı toplu numune için, toplam veri noktası sayısının </w:t>
      </w:r>
      <w:r w:rsidR="00C82777" w:rsidRPr="00DE12A3">
        <w:rPr>
          <w:color w:val="auto"/>
          <w:sz w:val="24"/>
          <w:szCs w:val="24"/>
        </w:rPr>
        <w:t>%5</w:t>
      </w:r>
      <w:r w:rsidR="00242DA0" w:rsidRPr="00DE12A3">
        <w:rPr>
          <w:color w:val="auto"/>
          <w:sz w:val="24"/>
          <w:szCs w:val="24"/>
        </w:rPr>
        <w:t>'ine kadar aykırı değer olarak ihmal edilebileceği belirtilerek, orantılı örneklemenin aşağıdakilerden biri kullanılarak korunduğu ispatlanmalıdır.</w:t>
      </w:r>
    </w:p>
    <w:p w14:paraId="04936B72" w14:textId="77777777" w:rsidR="002D7B36" w:rsidRPr="00DE12A3" w:rsidRDefault="00DA3CD6" w:rsidP="00C917D6">
      <w:pPr>
        <w:pStyle w:val="Gvdemetni255"/>
        <w:shd w:val="clear" w:color="auto" w:fill="FFFFFF" w:themeFill="background1"/>
        <w:spacing w:before="120" w:after="120" w:line="240" w:lineRule="auto"/>
        <w:ind w:left="1134" w:hanging="1134"/>
        <w:rPr>
          <w:color w:val="auto"/>
          <w:sz w:val="24"/>
          <w:szCs w:val="24"/>
        </w:rPr>
      </w:pPr>
      <w:r w:rsidRPr="00DE12A3">
        <w:rPr>
          <w:color w:val="auto"/>
          <w:sz w:val="24"/>
          <w:szCs w:val="24"/>
        </w:rPr>
        <w:t xml:space="preserve">                   </w:t>
      </w:r>
      <w:r w:rsidR="00242DA0" w:rsidRPr="00DE12A3">
        <w:rPr>
          <w:color w:val="auto"/>
          <w:sz w:val="24"/>
          <w:szCs w:val="24"/>
        </w:rPr>
        <w:t xml:space="preserve">İyi mühendislik kararı kullanılarak, orantılı akış kontrol sisteminin, test sırasında beklenen tüm koşullar altında orantılı örneklemeyi doğal olarak sağladığı bir mühendislik analizi ile ispatlanmalıdır. Her zaman aynı giriş basınçlarına ve sıcaklıklarına sahip oldukları ve kritik akış koşulları altında her zaman çalıştıkları </w:t>
      </w:r>
      <w:r w:rsidRPr="00DE12A3">
        <w:rPr>
          <w:color w:val="auto"/>
          <w:sz w:val="24"/>
          <w:szCs w:val="24"/>
        </w:rPr>
        <w:t>ispatlanırsa</w:t>
      </w:r>
      <w:r w:rsidR="00242DA0" w:rsidRPr="00DE12A3">
        <w:rPr>
          <w:color w:val="auto"/>
          <w:sz w:val="24"/>
          <w:szCs w:val="24"/>
        </w:rPr>
        <w:t xml:space="preserve"> hem numune akışı hem de toplam akış için örneğin CFV'ler kullanılabilir.</w:t>
      </w:r>
    </w:p>
    <w:p w14:paraId="268DAABD" w14:textId="08EF19A1" w:rsidR="002D7B36" w:rsidRPr="00DE12A3" w:rsidRDefault="00DA3CD6" w:rsidP="00C917D6">
      <w:pPr>
        <w:pStyle w:val="Gvdemetni255"/>
        <w:shd w:val="clear" w:color="auto" w:fill="FFFFFF" w:themeFill="background1"/>
        <w:spacing w:before="120" w:after="120" w:line="240" w:lineRule="auto"/>
        <w:ind w:left="1134" w:hanging="1134"/>
        <w:rPr>
          <w:color w:val="auto"/>
          <w:sz w:val="24"/>
          <w:szCs w:val="24"/>
        </w:rPr>
      </w:pPr>
      <w:r w:rsidRPr="00DE12A3">
        <w:rPr>
          <w:color w:val="auto"/>
          <w:sz w:val="24"/>
          <w:szCs w:val="24"/>
        </w:rPr>
        <w:t xml:space="preserve">                  </w:t>
      </w:r>
      <w:r w:rsidR="00242DA0" w:rsidRPr="00DE12A3">
        <w:rPr>
          <w:color w:val="auto"/>
          <w:sz w:val="24"/>
          <w:szCs w:val="24"/>
        </w:rPr>
        <w:t>Ölçülen veya hesaplanan akışlar ve/veya izleyici gaz konsantrasyonları (</w:t>
      </w:r>
      <w:r w:rsidR="005B014A" w:rsidRPr="00DE12A3">
        <w:rPr>
          <w:color w:val="auto"/>
          <w:sz w:val="24"/>
          <w:szCs w:val="24"/>
        </w:rPr>
        <w:t>örneğin</w:t>
      </w:r>
      <w:r w:rsidR="00242DA0" w:rsidRPr="00DE12A3">
        <w:rPr>
          <w:color w:val="auto"/>
          <w:sz w:val="24"/>
          <w:szCs w:val="24"/>
        </w:rPr>
        <w:t xml:space="preserve"> CO</w:t>
      </w:r>
      <w:r w:rsidR="00242DA0" w:rsidRPr="00DE12A3">
        <w:rPr>
          <w:color w:val="auto"/>
          <w:sz w:val="24"/>
          <w:szCs w:val="24"/>
          <w:vertAlign w:val="subscript"/>
        </w:rPr>
        <w:t>2</w:t>
      </w:r>
      <w:r w:rsidR="00242DA0" w:rsidRPr="00DE12A3">
        <w:rPr>
          <w:color w:val="auto"/>
          <w:sz w:val="24"/>
          <w:szCs w:val="24"/>
        </w:rPr>
        <w:t>), test aralığı boyunca PM toplu örnekleme için asgari seyreltme oranını belirlemek için kullanılır.</w:t>
      </w:r>
    </w:p>
    <w:p w14:paraId="23DBE296" w14:textId="77777777" w:rsidR="002D7B36" w:rsidRPr="00DE12A3" w:rsidRDefault="00242DA0" w:rsidP="00E20716">
      <w:pPr>
        <w:pStyle w:val="Gvdemetni255"/>
        <w:numPr>
          <w:ilvl w:val="0"/>
          <w:numId w:val="297"/>
        </w:numPr>
        <w:shd w:val="clear" w:color="auto" w:fill="FFFFFF" w:themeFill="background1"/>
        <w:spacing w:before="120" w:after="120" w:line="240" w:lineRule="auto"/>
        <w:ind w:left="1134" w:hanging="1134"/>
        <w:rPr>
          <w:color w:val="auto"/>
          <w:sz w:val="24"/>
          <w:szCs w:val="24"/>
        </w:rPr>
      </w:pPr>
      <w:r w:rsidRPr="00DE12A3">
        <w:rPr>
          <w:color w:val="auto"/>
          <w:sz w:val="24"/>
          <w:szCs w:val="24"/>
        </w:rPr>
        <w:t>Kısmi akış seyreltme sistemi doğrulaması</w:t>
      </w:r>
    </w:p>
    <w:p w14:paraId="45906ABC" w14:textId="3D9697D3" w:rsidR="002D7B36" w:rsidRPr="00DE12A3" w:rsidRDefault="00DA3CD6" w:rsidP="00C917D6">
      <w:pPr>
        <w:pStyle w:val="Gvdemetni255"/>
        <w:shd w:val="clear" w:color="auto" w:fill="FFFFFF" w:themeFill="background1"/>
        <w:spacing w:before="120" w:after="120" w:line="240" w:lineRule="auto"/>
        <w:ind w:left="1134" w:hanging="1134"/>
        <w:rPr>
          <w:color w:val="auto"/>
          <w:sz w:val="24"/>
          <w:szCs w:val="24"/>
        </w:rPr>
      </w:pPr>
      <w:r w:rsidRPr="00DE12A3">
        <w:rPr>
          <w:color w:val="auto"/>
          <w:sz w:val="24"/>
          <w:szCs w:val="24"/>
        </w:rPr>
        <w:t xml:space="preserve">                  </w:t>
      </w:r>
      <w:r w:rsidR="00242DA0" w:rsidRPr="00DE12A3">
        <w:rPr>
          <w:color w:val="auto"/>
          <w:sz w:val="24"/>
          <w:szCs w:val="24"/>
        </w:rPr>
        <w:t>Orantılı bir ham egzoz gazı numunesi almaya yönelik bir kısmi akışlı seyreltme sisteminin kontrolü için, hızlı bir sistem tepkisi gereklidir</w:t>
      </w:r>
      <w:r w:rsidR="00163FD5" w:rsidRPr="00DE12A3">
        <w:rPr>
          <w:color w:val="auto"/>
          <w:sz w:val="24"/>
          <w:szCs w:val="24"/>
        </w:rPr>
        <w:t>.</w:t>
      </w:r>
      <w:r w:rsidR="00242DA0" w:rsidRPr="00DE12A3">
        <w:rPr>
          <w:color w:val="auto"/>
          <w:sz w:val="24"/>
          <w:szCs w:val="24"/>
        </w:rPr>
        <w:t xml:space="preserve"> </w:t>
      </w:r>
      <w:r w:rsidR="00163FD5" w:rsidRPr="00DE12A3">
        <w:rPr>
          <w:color w:val="auto"/>
          <w:sz w:val="24"/>
          <w:szCs w:val="24"/>
        </w:rPr>
        <w:t>B</w:t>
      </w:r>
      <w:r w:rsidR="00242DA0" w:rsidRPr="00DE12A3">
        <w:rPr>
          <w:color w:val="auto"/>
          <w:sz w:val="24"/>
          <w:szCs w:val="24"/>
        </w:rPr>
        <w:t xml:space="preserve">u tepki, kısmi akışlı seyreltme sisteminin çabukluğuyla tanımlanır. Sistemin dönüşüm süresi, 8.1.8.6.3.2 bendinde belirtilen prosedür uyarınca belirlenir. Kısmi akışlı seyreltme sisteminin gerçek kontrolü güncel ölçülen koşullara dayanmalıdır. Egzoz gazı akış ölçümünün ve kısmi akışlı sistemin kombine dönüşüm süresi ≤ 0,3 s ise, çevrimiçi kontrol kullanılmalıdır. Dönüşüm süresi 0,3 s'yi aşarsa, önceden kaydedilmiş bir test uygulaması esasında ileriye dönük kontrol kullanılmalıdır. Bu durumda, kombine yükselme süresi ≤ 1 sn ve kombine gecikme süresi ≤ 10 sn olmalıdır. Toplam sistem tepkisi, egzoz gazı kütle akışına orantılı olarak parçacıkların temsili bir numunesini, qmpi'yi (egzoz gazının kısmi akışlı seyreltme sistemi içine akışını) sağlayacak şekilde tasarlanmalıdır. Orantılılığı belirlemek için qmpi'ye karşı qmewi'nin (ıslak bazda egzoz gazı kütle akış hızı) bir regresyon analizi, asgari 5 Hz veri toplama hızında uygulanmalı ve </w:t>
      </w:r>
      <w:r w:rsidR="00242DA0" w:rsidRPr="00DE12A3">
        <w:rPr>
          <w:color w:val="auto"/>
          <w:sz w:val="24"/>
          <w:szCs w:val="24"/>
        </w:rPr>
        <w:lastRenderedPageBreak/>
        <w:t>aşağıdaki kriterler sağlanmalıdır:</w:t>
      </w:r>
    </w:p>
    <w:p w14:paraId="505B8AC2" w14:textId="554B5883" w:rsidR="002D7B36" w:rsidRPr="00DE12A3" w:rsidRDefault="00DA3CD6" w:rsidP="00E20716">
      <w:pPr>
        <w:pStyle w:val="Gvdemetni255"/>
        <w:numPr>
          <w:ilvl w:val="0"/>
          <w:numId w:val="300"/>
        </w:numPr>
        <w:shd w:val="clear" w:color="auto" w:fill="FFFFFF" w:themeFill="background1"/>
        <w:spacing w:before="120" w:after="120" w:line="240" w:lineRule="auto"/>
        <w:ind w:left="1701" w:hanging="567"/>
        <w:rPr>
          <w:color w:val="auto"/>
          <w:sz w:val="24"/>
          <w:szCs w:val="24"/>
        </w:rPr>
      </w:pPr>
      <w:r w:rsidRPr="00DE12A3">
        <w:rPr>
          <w:i/>
          <w:iCs/>
          <w:color w:val="auto"/>
          <w:sz w:val="24"/>
          <w:szCs w:val="24"/>
        </w:rPr>
        <w:t xml:space="preserve">    </w:t>
      </w:r>
      <w:r w:rsidR="00242DA0" w:rsidRPr="00DE12A3">
        <w:rPr>
          <w:i/>
          <w:iCs/>
          <w:color w:val="auto"/>
          <w:sz w:val="24"/>
          <w:szCs w:val="24"/>
        </w:rPr>
        <w:t>q</w:t>
      </w:r>
      <w:r w:rsidR="00242DA0" w:rsidRPr="00DE12A3">
        <w:rPr>
          <w:color w:val="auto"/>
          <w:sz w:val="24"/>
          <w:szCs w:val="24"/>
          <w:vertAlign w:val="subscript"/>
        </w:rPr>
        <w:t>mp,i</w:t>
      </w:r>
      <w:r w:rsidR="00242DA0" w:rsidRPr="00DE12A3">
        <w:rPr>
          <w:color w:val="auto"/>
          <w:sz w:val="24"/>
          <w:szCs w:val="24"/>
        </w:rPr>
        <w:t xml:space="preserve"> ve </w:t>
      </w:r>
      <w:r w:rsidR="00242DA0" w:rsidRPr="00DE12A3">
        <w:rPr>
          <w:i/>
          <w:iCs/>
          <w:color w:val="auto"/>
          <w:sz w:val="24"/>
          <w:szCs w:val="24"/>
        </w:rPr>
        <w:t>q</w:t>
      </w:r>
      <w:r w:rsidR="00242DA0" w:rsidRPr="00DE12A3">
        <w:rPr>
          <w:color w:val="auto"/>
          <w:sz w:val="24"/>
          <w:szCs w:val="24"/>
          <w:vertAlign w:val="subscript"/>
        </w:rPr>
        <w:t>mew,i</w:t>
      </w:r>
      <w:r w:rsidR="00242DA0" w:rsidRPr="00DE12A3">
        <w:rPr>
          <w:color w:val="auto"/>
          <w:sz w:val="24"/>
          <w:szCs w:val="24"/>
        </w:rPr>
        <w:t xml:space="preserve"> arasındaki lineer regresyonun doğrusal korelasyon katsayısı r</w:t>
      </w:r>
      <w:r w:rsidR="00242DA0" w:rsidRPr="00DE12A3">
        <w:rPr>
          <w:color w:val="auto"/>
          <w:sz w:val="24"/>
          <w:szCs w:val="24"/>
          <w:vertAlign w:val="superscript"/>
        </w:rPr>
        <w:t>2</w:t>
      </w:r>
      <w:r w:rsidR="00242DA0" w:rsidRPr="00DE12A3">
        <w:rPr>
          <w:color w:val="auto"/>
          <w:sz w:val="24"/>
          <w:szCs w:val="24"/>
        </w:rPr>
        <w:t>, 0,95'ten az olamaz</w:t>
      </w:r>
      <w:r w:rsidR="00163FD5" w:rsidRPr="00DE12A3">
        <w:rPr>
          <w:color w:val="auto"/>
          <w:sz w:val="24"/>
          <w:szCs w:val="24"/>
        </w:rPr>
        <w:t>.</w:t>
      </w:r>
    </w:p>
    <w:p w14:paraId="62E713DC" w14:textId="468F71C8" w:rsidR="002D7B36" w:rsidRPr="00DE12A3" w:rsidRDefault="00DA3CD6" w:rsidP="00E20716">
      <w:pPr>
        <w:pStyle w:val="Gvdemetni255"/>
        <w:numPr>
          <w:ilvl w:val="0"/>
          <w:numId w:val="300"/>
        </w:numPr>
        <w:shd w:val="clear" w:color="auto" w:fill="FFFFFF" w:themeFill="background1"/>
        <w:spacing w:before="120" w:after="120" w:line="240" w:lineRule="auto"/>
        <w:ind w:left="1701" w:hanging="567"/>
        <w:rPr>
          <w:color w:val="auto"/>
          <w:sz w:val="24"/>
          <w:szCs w:val="24"/>
        </w:rPr>
      </w:pPr>
      <w:r w:rsidRPr="00DE12A3">
        <w:rPr>
          <w:i/>
          <w:iCs/>
          <w:color w:val="auto"/>
          <w:sz w:val="24"/>
          <w:szCs w:val="24"/>
        </w:rPr>
        <w:t xml:space="preserve">    </w:t>
      </w:r>
      <w:r w:rsidR="00242DA0" w:rsidRPr="00DE12A3">
        <w:rPr>
          <w:i/>
          <w:iCs/>
          <w:color w:val="auto"/>
          <w:sz w:val="24"/>
          <w:szCs w:val="24"/>
        </w:rPr>
        <w:t>q</w:t>
      </w:r>
      <w:r w:rsidR="00242DA0" w:rsidRPr="00DE12A3">
        <w:rPr>
          <w:color w:val="auto"/>
          <w:sz w:val="24"/>
          <w:szCs w:val="24"/>
          <w:vertAlign w:val="subscript"/>
        </w:rPr>
        <w:t>mp,i</w:t>
      </w:r>
      <w:r w:rsidR="006F30D6" w:rsidRPr="00DE12A3">
        <w:rPr>
          <w:color w:val="auto"/>
          <w:sz w:val="24"/>
          <w:szCs w:val="24"/>
          <w:vertAlign w:val="subscript"/>
        </w:rPr>
        <w:t xml:space="preserve"> </w:t>
      </w:r>
      <w:r w:rsidR="00242DA0" w:rsidRPr="00DE12A3">
        <w:rPr>
          <w:color w:val="auto"/>
          <w:sz w:val="24"/>
          <w:szCs w:val="24"/>
        </w:rPr>
        <w:t>'nin</w:t>
      </w:r>
      <w:r w:rsidR="006F30D6" w:rsidRPr="00DE12A3">
        <w:rPr>
          <w:color w:val="auto"/>
          <w:sz w:val="24"/>
          <w:szCs w:val="24"/>
        </w:rPr>
        <w:t xml:space="preserve"> </w:t>
      </w:r>
      <w:r w:rsidR="00242DA0" w:rsidRPr="00DE12A3">
        <w:rPr>
          <w:i/>
          <w:iCs/>
          <w:color w:val="auto"/>
          <w:sz w:val="24"/>
          <w:szCs w:val="24"/>
        </w:rPr>
        <w:t>q</w:t>
      </w:r>
      <w:r w:rsidR="00242DA0" w:rsidRPr="00DE12A3">
        <w:rPr>
          <w:color w:val="auto"/>
          <w:sz w:val="24"/>
          <w:szCs w:val="24"/>
          <w:vertAlign w:val="subscript"/>
        </w:rPr>
        <w:t>mew,i</w:t>
      </w:r>
      <w:r w:rsidR="00242DA0" w:rsidRPr="00DE12A3">
        <w:rPr>
          <w:color w:val="auto"/>
          <w:sz w:val="24"/>
          <w:szCs w:val="24"/>
        </w:rPr>
        <w:t xml:space="preserve"> üzerindeki standart tahmin hatası, azami </w:t>
      </w:r>
      <w:r w:rsidR="00242DA0" w:rsidRPr="00DE12A3">
        <w:rPr>
          <w:i/>
          <w:iCs/>
          <w:color w:val="auto"/>
          <w:sz w:val="24"/>
          <w:szCs w:val="24"/>
        </w:rPr>
        <w:t>q</w:t>
      </w:r>
      <w:r w:rsidR="00242DA0" w:rsidRPr="00DE12A3">
        <w:rPr>
          <w:color w:val="auto"/>
          <w:sz w:val="24"/>
          <w:szCs w:val="24"/>
          <w:vertAlign w:val="subscript"/>
        </w:rPr>
        <w:t>mp</w:t>
      </w:r>
      <w:r w:rsidR="00242DA0" w:rsidRPr="00DE12A3">
        <w:rPr>
          <w:color w:val="auto"/>
          <w:sz w:val="24"/>
          <w:szCs w:val="24"/>
        </w:rPr>
        <w:t>'nin % 5'ini aşmamalıdır</w:t>
      </w:r>
      <w:r w:rsidR="00163FD5" w:rsidRPr="00DE12A3">
        <w:rPr>
          <w:color w:val="auto"/>
          <w:sz w:val="24"/>
          <w:szCs w:val="24"/>
        </w:rPr>
        <w:t>.</w:t>
      </w:r>
    </w:p>
    <w:p w14:paraId="55F1C187" w14:textId="77777777" w:rsidR="002D7B36" w:rsidRPr="00DE12A3" w:rsidRDefault="00DA3CD6" w:rsidP="00E20716">
      <w:pPr>
        <w:pStyle w:val="Gvdemetni255"/>
        <w:numPr>
          <w:ilvl w:val="0"/>
          <w:numId w:val="300"/>
        </w:numPr>
        <w:shd w:val="clear" w:color="auto" w:fill="FFFFFF" w:themeFill="background1"/>
        <w:spacing w:before="120" w:after="120" w:line="240" w:lineRule="auto"/>
        <w:ind w:left="1701" w:hanging="567"/>
        <w:rPr>
          <w:color w:val="auto"/>
          <w:sz w:val="24"/>
          <w:szCs w:val="24"/>
        </w:rPr>
      </w:pPr>
      <w:r w:rsidRPr="00DE12A3">
        <w:rPr>
          <w:color w:val="auto"/>
          <w:spacing w:val="6"/>
          <w:sz w:val="24"/>
          <w:szCs w:val="24"/>
        </w:rPr>
        <w:t xml:space="preserve">     </w:t>
      </w:r>
      <w:r w:rsidR="00242DA0" w:rsidRPr="00DE12A3">
        <w:rPr>
          <w:color w:val="auto"/>
          <w:spacing w:val="6"/>
          <w:sz w:val="24"/>
          <w:szCs w:val="24"/>
        </w:rPr>
        <w:t xml:space="preserve">Regresyon hattının </w:t>
      </w:r>
      <w:r w:rsidR="00242DA0" w:rsidRPr="00DE12A3">
        <w:rPr>
          <w:i/>
          <w:iCs/>
          <w:color w:val="auto"/>
          <w:spacing w:val="6"/>
          <w:sz w:val="24"/>
          <w:szCs w:val="24"/>
        </w:rPr>
        <w:t>q</w:t>
      </w:r>
      <w:r w:rsidR="00242DA0" w:rsidRPr="00DE12A3">
        <w:rPr>
          <w:color w:val="auto"/>
          <w:spacing w:val="6"/>
          <w:sz w:val="24"/>
          <w:szCs w:val="24"/>
          <w:vertAlign w:val="subscript"/>
        </w:rPr>
        <w:t>mp</w:t>
      </w:r>
      <w:r w:rsidR="00242DA0" w:rsidRPr="00DE12A3">
        <w:rPr>
          <w:color w:val="auto"/>
          <w:spacing w:val="6"/>
          <w:sz w:val="24"/>
          <w:szCs w:val="24"/>
        </w:rPr>
        <w:t xml:space="preserve"> kesişmesi, azami </w:t>
      </w:r>
      <w:r w:rsidR="00242DA0" w:rsidRPr="00DE12A3">
        <w:rPr>
          <w:i/>
          <w:iCs/>
          <w:color w:val="auto"/>
          <w:spacing w:val="6"/>
          <w:sz w:val="24"/>
          <w:szCs w:val="24"/>
        </w:rPr>
        <w:t>q</w:t>
      </w:r>
      <w:r w:rsidR="00242DA0" w:rsidRPr="00DE12A3">
        <w:rPr>
          <w:color w:val="auto"/>
          <w:spacing w:val="6"/>
          <w:sz w:val="24"/>
          <w:szCs w:val="24"/>
          <w:vertAlign w:val="subscript"/>
        </w:rPr>
        <w:t>mp</w:t>
      </w:r>
      <w:r w:rsidR="00242DA0" w:rsidRPr="00DE12A3">
        <w:rPr>
          <w:color w:val="auto"/>
          <w:spacing w:val="6"/>
          <w:sz w:val="24"/>
          <w:szCs w:val="24"/>
        </w:rPr>
        <w:t xml:space="preserve">'nin ± </w:t>
      </w:r>
      <w:r w:rsidR="006F30D6" w:rsidRPr="00DE12A3">
        <w:rPr>
          <w:color w:val="auto"/>
          <w:spacing w:val="6"/>
          <w:sz w:val="24"/>
          <w:szCs w:val="24"/>
        </w:rPr>
        <w:t>%2</w:t>
      </w:r>
      <w:r w:rsidR="00242DA0" w:rsidRPr="00DE12A3">
        <w:rPr>
          <w:color w:val="auto"/>
          <w:spacing w:val="6"/>
          <w:sz w:val="24"/>
          <w:szCs w:val="24"/>
        </w:rPr>
        <w:t>'sini geçmemelidir</w:t>
      </w:r>
      <w:r w:rsidR="00242DA0" w:rsidRPr="00DE12A3">
        <w:rPr>
          <w:color w:val="auto"/>
          <w:sz w:val="24"/>
          <w:szCs w:val="24"/>
        </w:rPr>
        <w:t>.</w:t>
      </w:r>
    </w:p>
    <w:p w14:paraId="369A3362" w14:textId="77777777" w:rsidR="002D7B36" w:rsidRPr="00DE12A3" w:rsidRDefault="002D7B36" w:rsidP="00C917D6">
      <w:pPr>
        <w:spacing w:before="120" w:after="120"/>
        <w:ind w:left="1134" w:hanging="1134"/>
        <w:jc w:val="both"/>
        <w:rPr>
          <w:rFonts w:cs="Times New Roman"/>
          <w:color w:val="auto"/>
        </w:rPr>
      </w:pPr>
    </w:p>
    <w:p w14:paraId="54B1FA30" w14:textId="77777777" w:rsidR="002D7B36" w:rsidRPr="00DE12A3" w:rsidRDefault="00DA3CD6" w:rsidP="00C917D6">
      <w:pPr>
        <w:shd w:val="clear" w:color="auto" w:fill="FFFFFF"/>
        <w:spacing w:before="120" w:after="120"/>
        <w:ind w:left="1134" w:hanging="1134"/>
        <w:jc w:val="both"/>
        <w:rPr>
          <w:rFonts w:eastAsia="Times New Roman" w:cs="Times New Roman"/>
          <w:color w:val="auto"/>
          <w:spacing w:val="3"/>
          <w:lang w:eastAsia="en-US"/>
        </w:rPr>
      </w:pPr>
      <w:r w:rsidRPr="00DE12A3">
        <w:rPr>
          <w:rFonts w:eastAsia="Times New Roman" w:cs="Times New Roman"/>
          <w:color w:val="auto"/>
          <w:spacing w:val="3"/>
          <w:lang w:eastAsia="en-US"/>
        </w:rPr>
        <w:t xml:space="preserve">                  </w:t>
      </w:r>
      <w:r w:rsidR="007E2039" w:rsidRPr="00DE12A3">
        <w:rPr>
          <w:rFonts w:eastAsia="Times New Roman" w:cs="Times New Roman"/>
          <w:color w:val="auto"/>
          <w:spacing w:val="3"/>
          <w:lang w:eastAsia="en-US"/>
        </w:rPr>
        <w:t xml:space="preserve">Partikül </w:t>
      </w:r>
      <w:r w:rsidR="00242DA0" w:rsidRPr="00DE12A3">
        <w:rPr>
          <w:rFonts w:eastAsia="Times New Roman" w:cs="Times New Roman"/>
          <w:color w:val="auto"/>
          <w:spacing w:val="3"/>
          <w:lang w:eastAsia="en-US"/>
        </w:rPr>
        <w:t xml:space="preserve">sisteminin ve egzoz gazı kütle akış sinyalinin kombine dönüşüm süreleri </w:t>
      </w:r>
      <w:r w:rsidR="00242DA0" w:rsidRPr="00DE12A3">
        <w:rPr>
          <w:rFonts w:eastAsia="Times New Roman" w:cs="Times New Roman"/>
          <w:i/>
          <w:iCs/>
          <w:color w:val="auto"/>
          <w:spacing w:val="3"/>
          <w:lang w:eastAsia="en-US"/>
        </w:rPr>
        <w:t>t</w:t>
      </w:r>
      <w:r w:rsidR="00242DA0" w:rsidRPr="00DE12A3">
        <w:rPr>
          <w:rFonts w:eastAsia="Times New Roman" w:cs="Times New Roman"/>
          <w:color w:val="auto"/>
          <w:spacing w:val="3"/>
          <w:vertAlign w:val="subscript"/>
          <w:lang w:eastAsia="en-US"/>
        </w:rPr>
        <w:t>50P</w:t>
      </w:r>
      <w:r w:rsidR="00242DA0" w:rsidRPr="00DE12A3">
        <w:rPr>
          <w:rFonts w:eastAsia="Times New Roman" w:cs="Times New Roman"/>
          <w:color w:val="auto"/>
          <w:spacing w:val="3"/>
          <w:lang w:eastAsia="en-US"/>
        </w:rPr>
        <w:t xml:space="preserve"> ve </w:t>
      </w:r>
      <w:r w:rsidR="00242DA0" w:rsidRPr="00DE12A3">
        <w:rPr>
          <w:rFonts w:eastAsia="Times New Roman" w:cs="Times New Roman"/>
          <w:i/>
          <w:iCs/>
          <w:color w:val="auto"/>
          <w:spacing w:val="3"/>
          <w:lang w:eastAsia="en-US"/>
        </w:rPr>
        <w:t>t</w:t>
      </w:r>
      <w:r w:rsidR="00242DA0" w:rsidRPr="00DE12A3">
        <w:rPr>
          <w:rFonts w:eastAsia="Times New Roman" w:cs="Times New Roman"/>
          <w:color w:val="auto"/>
          <w:spacing w:val="3"/>
          <w:vertAlign w:val="subscript"/>
          <w:lang w:eastAsia="en-US"/>
        </w:rPr>
        <w:t>50F</w:t>
      </w:r>
      <w:r w:rsidR="00242DA0" w:rsidRPr="00DE12A3">
        <w:rPr>
          <w:rFonts w:eastAsia="Times New Roman" w:cs="Times New Roman"/>
          <w:color w:val="auto"/>
          <w:spacing w:val="3"/>
          <w:lang w:eastAsia="en-US"/>
        </w:rPr>
        <w:t xml:space="preserve">&gt; 0,3 s ise, ileriye dönük kontrol gereklidir. Bu durumda, bir ön test yapılmalı ve ön testin egzoz gazı kütle akış sinyali, </w:t>
      </w:r>
      <w:r w:rsidR="007E2039" w:rsidRPr="00DE12A3">
        <w:rPr>
          <w:rFonts w:eastAsia="Times New Roman" w:cs="Times New Roman"/>
          <w:color w:val="auto"/>
          <w:spacing w:val="3"/>
          <w:lang w:eastAsia="en-US"/>
        </w:rPr>
        <w:t xml:space="preserve">partikül </w:t>
      </w:r>
      <w:r w:rsidR="00242DA0" w:rsidRPr="00DE12A3">
        <w:rPr>
          <w:rFonts w:eastAsia="Times New Roman" w:cs="Times New Roman"/>
          <w:color w:val="auto"/>
          <w:spacing w:val="3"/>
          <w:lang w:eastAsia="en-US"/>
        </w:rPr>
        <w:t xml:space="preserve">sistemine giren numune akışını kontrol etmek için kullanılmalıdır. Ön testin </w:t>
      </w:r>
      <w:r w:rsidR="00242DA0" w:rsidRPr="00DE12A3">
        <w:rPr>
          <w:rFonts w:eastAsia="Times New Roman" w:cs="Times New Roman"/>
          <w:i/>
          <w:iCs/>
          <w:color w:val="auto"/>
          <w:spacing w:val="3"/>
          <w:lang w:eastAsia="en-US"/>
        </w:rPr>
        <w:t>q</w:t>
      </w:r>
      <w:r w:rsidR="00242DA0" w:rsidRPr="00DE12A3">
        <w:rPr>
          <w:rFonts w:eastAsia="Times New Roman" w:cs="Times New Roman"/>
          <w:color w:val="auto"/>
          <w:spacing w:val="3"/>
          <w:vertAlign w:val="subscript"/>
          <w:lang w:eastAsia="en-US"/>
        </w:rPr>
        <w:t>mew,pre</w:t>
      </w:r>
      <w:r w:rsidR="00242DA0" w:rsidRPr="00DE12A3">
        <w:rPr>
          <w:rFonts w:eastAsia="Times New Roman" w:cs="Times New Roman"/>
          <w:color w:val="auto"/>
          <w:spacing w:val="3"/>
          <w:lang w:eastAsia="en-US"/>
        </w:rPr>
        <w:t xml:space="preserve"> değerinin qmp'yi kontrol eden zaman izlemesi, </w:t>
      </w:r>
      <w:r w:rsidR="00242DA0" w:rsidRPr="00DE12A3">
        <w:rPr>
          <w:rFonts w:eastAsia="Times New Roman" w:cs="Times New Roman"/>
          <w:i/>
          <w:iCs/>
          <w:color w:val="auto"/>
          <w:spacing w:val="3"/>
          <w:lang w:eastAsia="en-US"/>
        </w:rPr>
        <w:t>t</w:t>
      </w:r>
      <w:r w:rsidR="00242DA0" w:rsidRPr="00DE12A3">
        <w:rPr>
          <w:rFonts w:eastAsia="Times New Roman" w:cs="Times New Roman"/>
          <w:color w:val="auto"/>
          <w:spacing w:val="3"/>
          <w:vertAlign w:val="subscript"/>
          <w:lang w:eastAsia="en-US"/>
        </w:rPr>
        <w:t>50,P</w:t>
      </w:r>
      <w:r w:rsidR="00242DA0" w:rsidRPr="00DE12A3">
        <w:rPr>
          <w:rFonts w:eastAsia="Times New Roman" w:cs="Times New Roman"/>
          <w:color w:val="auto"/>
          <w:spacing w:val="3"/>
          <w:lang w:eastAsia="en-US"/>
        </w:rPr>
        <w:t xml:space="preserve"> + </w:t>
      </w:r>
      <w:r w:rsidR="00242DA0" w:rsidRPr="00DE12A3">
        <w:rPr>
          <w:rFonts w:eastAsia="Times New Roman" w:cs="Times New Roman"/>
          <w:i/>
          <w:iCs/>
          <w:color w:val="auto"/>
          <w:spacing w:val="3"/>
          <w:lang w:eastAsia="en-US"/>
        </w:rPr>
        <w:t>t</w:t>
      </w:r>
      <w:r w:rsidR="00242DA0" w:rsidRPr="00DE12A3">
        <w:rPr>
          <w:rFonts w:eastAsia="Times New Roman" w:cs="Times New Roman"/>
          <w:color w:val="auto"/>
          <w:spacing w:val="3"/>
          <w:vertAlign w:val="subscript"/>
          <w:lang w:eastAsia="en-US"/>
        </w:rPr>
        <w:t>50,F</w:t>
      </w:r>
      <w:r w:rsidR="00242DA0" w:rsidRPr="00DE12A3">
        <w:rPr>
          <w:rFonts w:eastAsia="Times New Roman" w:cs="Times New Roman"/>
          <w:color w:val="auto"/>
          <w:spacing w:val="3"/>
          <w:lang w:eastAsia="en-US"/>
        </w:rPr>
        <w:t>'lik bir "ileriye dönük" süre ile kaydırılırsa, kısmi seyreltme sisteminin doğru kontrolü sağlanır.</w:t>
      </w:r>
    </w:p>
    <w:p w14:paraId="4AD7D722" w14:textId="77777777" w:rsidR="002D7B36" w:rsidRPr="00DE12A3" w:rsidRDefault="00DA3CD6" w:rsidP="00C917D6">
      <w:pPr>
        <w:shd w:val="clear" w:color="auto" w:fill="FFFFFF"/>
        <w:spacing w:before="120" w:after="120"/>
        <w:ind w:left="1134" w:hanging="1134"/>
        <w:jc w:val="both"/>
        <w:rPr>
          <w:rFonts w:eastAsia="Times New Roman" w:cs="Times New Roman"/>
          <w:color w:val="auto"/>
          <w:spacing w:val="3"/>
          <w:lang w:eastAsia="en-US"/>
        </w:rPr>
      </w:pPr>
      <w:r w:rsidRPr="00DE12A3">
        <w:rPr>
          <w:rFonts w:eastAsia="Times New Roman" w:cs="Times New Roman"/>
          <w:i/>
          <w:iCs/>
          <w:color w:val="auto"/>
          <w:spacing w:val="3"/>
          <w:lang w:eastAsia="en-US"/>
        </w:rPr>
        <w:t xml:space="preserve">                  </w:t>
      </w:r>
      <w:r w:rsidR="00242DA0" w:rsidRPr="00DE12A3">
        <w:rPr>
          <w:rFonts w:eastAsia="Times New Roman" w:cs="Times New Roman"/>
          <w:i/>
          <w:iCs/>
          <w:color w:val="auto"/>
          <w:spacing w:val="3"/>
          <w:lang w:eastAsia="en-US"/>
        </w:rPr>
        <w:t>q</w:t>
      </w:r>
      <w:r w:rsidR="00242DA0" w:rsidRPr="00DE12A3">
        <w:rPr>
          <w:rFonts w:eastAsia="Times New Roman" w:cs="Times New Roman"/>
          <w:color w:val="auto"/>
          <w:spacing w:val="3"/>
          <w:vertAlign w:val="subscript"/>
          <w:lang w:eastAsia="en-US"/>
        </w:rPr>
        <w:t>mp,i</w:t>
      </w:r>
      <w:r w:rsidR="00242DA0" w:rsidRPr="00DE12A3">
        <w:rPr>
          <w:rFonts w:eastAsia="Times New Roman" w:cs="Times New Roman"/>
          <w:color w:val="auto"/>
          <w:spacing w:val="3"/>
          <w:lang w:eastAsia="en-US"/>
        </w:rPr>
        <w:t xml:space="preserve"> ve </w:t>
      </w:r>
      <w:r w:rsidR="00242DA0" w:rsidRPr="00DE12A3">
        <w:rPr>
          <w:rFonts w:eastAsia="Times New Roman" w:cs="Times New Roman"/>
          <w:i/>
          <w:iCs/>
          <w:color w:val="auto"/>
          <w:spacing w:val="3"/>
          <w:lang w:eastAsia="en-US"/>
        </w:rPr>
        <w:t>q</w:t>
      </w:r>
      <w:r w:rsidR="00242DA0" w:rsidRPr="00DE12A3">
        <w:rPr>
          <w:rFonts w:eastAsia="Times New Roman" w:cs="Times New Roman"/>
          <w:color w:val="auto"/>
          <w:spacing w:val="3"/>
          <w:vertAlign w:val="subscript"/>
          <w:lang w:eastAsia="en-US"/>
        </w:rPr>
        <w:t>mew,i</w:t>
      </w:r>
      <w:r w:rsidR="00242DA0" w:rsidRPr="00DE12A3">
        <w:rPr>
          <w:rFonts w:eastAsia="Times New Roman" w:cs="Times New Roman"/>
          <w:color w:val="auto"/>
          <w:spacing w:val="3"/>
          <w:lang w:eastAsia="en-US"/>
        </w:rPr>
        <w:t xml:space="preserve"> arasındaki korelasyonu sağlamak için, </w:t>
      </w:r>
      <w:r w:rsidR="00242DA0" w:rsidRPr="00DE12A3">
        <w:rPr>
          <w:rFonts w:eastAsia="Times New Roman" w:cs="Times New Roman"/>
          <w:i/>
          <w:iCs/>
          <w:color w:val="auto"/>
          <w:spacing w:val="3"/>
          <w:lang w:eastAsia="en-US"/>
        </w:rPr>
        <w:t>q</w:t>
      </w:r>
      <w:r w:rsidR="00242DA0" w:rsidRPr="00DE12A3">
        <w:rPr>
          <w:rFonts w:eastAsia="Times New Roman" w:cs="Times New Roman"/>
          <w:color w:val="auto"/>
          <w:spacing w:val="3"/>
          <w:vertAlign w:val="subscript"/>
          <w:lang w:eastAsia="en-US"/>
        </w:rPr>
        <w:t>mp,i</w:t>
      </w:r>
      <w:r w:rsidR="00242DA0" w:rsidRPr="00DE12A3">
        <w:rPr>
          <w:rFonts w:eastAsia="Times New Roman" w:cs="Times New Roman"/>
          <w:color w:val="auto"/>
          <w:spacing w:val="3"/>
          <w:lang w:eastAsia="en-US"/>
        </w:rPr>
        <w:t xml:space="preserve">'ye göre </w:t>
      </w:r>
      <w:r w:rsidR="00242DA0" w:rsidRPr="00DE12A3">
        <w:rPr>
          <w:rFonts w:eastAsia="Times New Roman" w:cs="Times New Roman"/>
          <w:i/>
          <w:iCs/>
          <w:color w:val="auto"/>
          <w:spacing w:val="3"/>
          <w:lang w:eastAsia="en-US"/>
        </w:rPr>
        <w:t>t</w:t>
      </w:r>
      <w:r w:rsidR="00242DA0" w:rsidRPr="00DE12A3">
        <w:rPr>
          <w:rFonts w:eastAsia="Times New Roman" w:cs="Times New Roman"/>
          <w:color w:val="auto"/>
          <w:spacing w:val="3"/>
          <w:vertAlign w:val="subscript"/>
          <w:lang w:eastAsia="en-US"/>
        </w:rPr>
        <w:t>50F</w:t>
      </w:r>
      <w:r w:rsidR="00242DA0" w:rsidRPr="00DE12A3">
        <w:rPr>
          <w:rFonts w:eastAsia="Times New Roman" w:cs="Times New Roman"/>
          <w:color w:val="auto"/>
          <w:spacing w:val="3"/>
          <w:lang w:eastAsia="en-US"/>
        </w:rPr>
        <w:t xml:space="preserve"> ile süresi hizalanan </w:t>
      </w:r>
      <w:r w:rsidR="00242DA0" w:rsidRPr="00DE12A3">
        <w:rPr>
          <w:rFonts w:eastAsia="Times New Roman" w:cs="Times New Roman"/>
          <w:i/>
          <w:iCs/>
          <w:color w:val="auto"/>
          <w:spacing w:val="3"/>
          <w:lang w:eastAsia="en-US"/>
        </w:rPr>
        <w:t>q</w:t>
      </w:r>
      <w:r w:rsidR="00242DA0" w:rsidRPr="00DE12A3">
        <w:rPr>
          <w:rFonts w:eastAsia="Times New Roman" w:cs="Times New Roman"/>
          <w:color w:val="auto"/>
          <w:spacing w:val="3"/>
          <w:vertAlign w:val="subscript"/>
          <w:lang w:eastAsia="en-US"/>
        </w:rPr>
        <w:t>mew,i</w:t>
      </w:r>
      <w:r w:rsidR="00242DA0" w:rsidRPr="00DE12A3">
        <w:rPr>
          <w:rFonts w:eastAsia="Times New Roman" w:cs="Times New Roman"/>
          <w:color w:val="auto"/>
          <w:spacing w:val="3"/>
          <w:lang w:eastAsia="en-US"/>
        </w:rPr>
        <w:t xml:space="preserve"> ile (</w:t>
      </w:r>
      <w:r w:rsidR="00242DA0" w:rsidRPr="00DE12A3">
        <w:rPr>
          <w:rFonts w:eastAsia="Times New Roman" w:cs="Times New Roman"/>
          <w:i/>
          <w:iCs/>
          <w:color w:val="auto"/>
          <w:spacing w:val="3"/>
          <w:lang w:eastAsia="en-US"/>
        </w:rPr>
        <w:t>t</w:t>
      </w:r>
      <w:r w:rsidR="00242DA0" w:rsidRPr="00DE12A3">
        <w:rPr>
          <w:rFonts w:eastAsia="Times New Roman" w:cs="Times New Roman"/>
          <w:color w:val="auto"/>
          <w:spacing w:val="3"/>
          <w:vertAlign w:val="subscript"/>
          <w:lang w:eastAsia="en-US"/>
        </w:rPr>
        <w:t>50P</w:t>
      </w:r>
      <w:r w:rsidR="00242DA0" w:rsidRPr="00DE12A3">
        <w:rPr>
          <w:rFonts w:eastAsia="Times New Roman" w:cs="Times New Roman"/>
          <w:color w:val="auto"/>
          <w:spacing w:val="3"/>
          <w:lang w:eastAsia="en-US"/>
        </w:rPr>
        <w:t xml:space="preserve">'nin süre hizalamasına katkısı yoktur), fiili test sırasında elde edilen veriler kullanılmalıdır. </w:t>
      </w:r>
      <w:r w:rsidR="00242DA0" w:rsidRPr="00DE12A3">
        <w:rPr>
          <w:rFonts w:eastAsia="Times New Roman" w:cs="Times New Roman"/>
          <w:i/>
          <w:iCs/>
          <w:color w:val="auto"/>
          <w:spacing w:val="3"/>
          <w:lang w:eastAsia="en-US"/>
        </w:rPr>
        <w:t>q</w:t>
      </w:r>
      <w:r w:rsidR="00242DA0" w:rsidRPr="00DE12A3">
        <w:rPr>
          <w:rFonts w:eastAsia="Times New Roman" w:cs="Times New Roman"/>
          <w:color w:val="auto"/>
          <w:spacing w:val="3"/>
          <w:vertAlign w:val="subscript"/>
          <w:lang w:eastAsia="en-US"/>
        </w:rPr>
        <w:t>mew</w:t>
      </w:r>
      <w:r w:rsidR="00242DA0" w:rsidRPr="00DE12A3">
        <w:rPr>
          <w:rFonts w:eastAsia="Times New Roman" w:cs="Times New Roman"/>
          <w:color w:val="auto"/>
          <w:spacing w:val="3"/>
          <w:lang w:eastAsia="en-US"/>
        </w:rPr>
        <w:t xml:space="preserve"> ile </w:t>
      </w:r>
      <w:r w:rsidR="00242DA0" w:rsidRPr="00DE12A3">
        <w:rPr>
          <w:rFonts w:eastAsia="Times New Roman" w:cs="Times New Roman"/>
          <w:i/>
          <w:iCs/>
          <w:color w:val="auto"/>
          <w:spacing w:val="3"/>
          <w:lang w:eastAsia="en-US"/>
        </w:rPr>
        <w:t>q</w:t>
      </w:r>
      <w:r w:rsidR="00242DA0" w:rsidRPr="00DE12A3">
        <w:rPr>
          <w:rFonts w:eastAsia="Times New Roman" w:cs="Times New Roman"/>
          <w:color w:val="auto"/>
          <w:spacing w:val="3"/>
          <w:vertAlign w:val="subscript"/>
          <w:lang w:eastAsia="en-US"/>
        </w:rPr>
        <w:t>mp</w:t>
      </w:r>
      <w:r w:rsidR="00242DA0" w:rsidRPr="00DE12A3">
        <w:rPr>
          <w:rFonts w:eastAsia="Times New Roman" w:cs="Times New Roman"/>
          <w:color w:val="auto"/>
          <w:spacing w:val="3"/>
          <w:lang w:eastAsia="en-US"/>
        </w:rPr>
        <w:t xml:space="preserve"> arasındaki süre kayması, 8.1.8.6.3.2 bendinde belirlenen dönüşüm süreleri arasındaki farktır.</w:t>
      </w:r>
    </w:p>
    <w:p w14:paraId="55650912" w14:textId="77777777" w:rsidR="002D7B36" w:rsidRPr="00DE12A3" w:rsidRDefault="002D7B36" w:rsidP="00E20716">
      <w:pPr>
        <w:pStyle w:val="ListeParagraf"/>
        <w:numPr>
          <w:ilvl w:val="0"/>
          <w:numId w:val="301"/>
        </w:numPr>
        <w:shd w:val="clear" w:color="auto" w:fill="FFFFFF"/>
        <w:tabs>
          <w:tab w:val="left" w:pos="898"/>
          <w:tab w:val="left" w:pos="3078"/>
          <w:tab w:val="left" w:pos="4946"/>
        </w:tabs>
        <w:spacing w:before="120" w:after="120"/>
        <w:ind w:left="1134" w:hanging="1134"/>
        <w:contextualSpacing w:val="0"/>
        <w:jc w:val="both"/>
        <w:rPr>
          <w:rFonts w:eastAsia="Times New Roman" w:cs="Times New Roman"/>
          <w:vanish/>
          <w:color w:val="auto"/>
          <w:spacing w:val="3"/>
          <w:lang w:eastAsia="en-US"/>
        </w:rPr>
      </w:pPr>
    </w:p>
    <w:p w14:paraId="2019C996" w14:textId="77777777" w:rsidR="002D7B36" w:rsidRPr="00DE12A3" w:rsidRDefault="00DA3CD6" w:rsidP="00E20716">
      <w:pPr>
        <w:numPr>
          <w:ilvl w:val="0"/>
          <w:numId w:val="301"/>
        </w:numPr>
        <w:shd w:val="clear" w:color="auto" w:fill="FFFFFF"/>
        <w:tabs>
          <w:tab w:val="left" w:pos="898"/>
          <w:tab w:val="left" w:pos="3078"/>
          <w:tab w:val="left" w:pos="4946"/>
        </w:tabs>
        <w:spacing w:before="120" w:after="120"/>
        <w:ind w:left="1134" w:hanging="1134"/>
        <w:jc w:val="both"/>
        <w:rPr>
          <w:rFonts w:eastAsia="Times New Roman" w:cs="Times New Roman"/>
          <w:color w:val="auto"/>
          <w:spacing w:val="3"/>
          <w:lang w:eastAsia="en-US"/>
        </w:rPr>
      </w:pPr>
      <w:r w:rsidRPr="00DE12A3">
        <w:rPr>
          <w:rFonts w:eastAsia="Times New Roman" w:cs="Times New Roman"/>
          <w:color w:val="auto"/>
          <w:spacing w:val="3"/>
          <w:lang w:eastAsia="en-US"/>
        </w:rPr>
        <w:t xml:space="preserve">    </w:t>
      </w:r>
      <w:r w:rsidR="00242DA0" w:rsidRPr="00DE12A3">
        <w:rPr>
          <w:rFonts w:eastAsia="Times New Roman" w:cs="Times New Roman"/>
          <w:color w:val="auto"/>
          <w:spacing w:val="3"/>
          <w:lang w:eastAsia="en-US"/>
        </w:rPr>
        <w:t xml:space="preserve">Gaz analiz cihazı aralık doğrulaması, </w:t>
      </w:r>
      <w:r w:rsidR="00093948" w:rsidRPr="00DE12A3">
        <w:rPr>
          <w:rFonts w:eastAsia="Times New Roman" w:cs="Times New Roman"/>
          <w:color w:val="auto"/>
          <w:spacing w:val="3"/>
          <w:lang w:eastAsia="en-US"/>
        </w:rPr>
        <w:t>sapma</w:t>
      </w:r>
      <w:r w:rsidR="00242DA0" w:rsidRPr="00DE12A3">
        <w:rPr>
          <w:rFonts w:eastAsia="Times New Roman" w:cs="Times New Roman"/>
          <w:color w:val="auto"/>
          <w:spacing w:val="3"/>
          <w:lang w:eastAsia="en-US"/>
        </w:rPr>
        <w:t xml:space="preserve"> doğrulaması ve </w:t>
      </w:r>
      <w:r w:rsidR="00093948" w:rsidRPr="00DE12A3">
        <w:rPr>
          <w:rFonts w:eastAsia="Times New Roman" w:cs="Times New Roman"/>
          <w:color w:val="auto"/>
          <w:spacing w:val="3"/>
          <w:lang w:eastAsia="en-US"/>
        </w:rPr>
        <w:t>sapma</w:t>
      </w:r>
      <w:r w:rsidR="00242DA0" w:rsidRPr="00DE12A3">
        <w:rPr>
          <w:rFonts w:eastAsia="Times New Roman" w:cs="Times New Roman"/>
          <w:color w:val="auto"/>
          <w:spacing w:val="3"/>
          <w:lang w:eastAsia="en-US"/>
        </w:rPr>
        <w:t xml:space="preserve"> düzeltmesi</w:t>
      </w:r>
    </w:p>
    <w:p w14:paraId="1857555D" w14:textId="77777777" w:rsidR="002D7B36" w:rsidRPr="00DE12A3" w:rsidRDefault="00DA3CD6" w:rsidP="00E20716">
      <w:pPr>
        <w:numPr>
          <w:ilvl w:val="0"/>
          <w:numId w:val="302"/>
        </w:numPr>
        <w:shd w:val="clear" w:color="auto" w:fill="FFFFFF"/>
        <w:tabs>
          <w:tab w:val="left" w:pos="883"/>
        </w:tabs>
        <w:spacing w:before="120" w:after="120"/>
        <w:ind w:left="1134" w:hanging="1134"/>
        <w:jc w:val="both"/>
        <w:rPr>
          <w:rFonts w:eastAsia="Times New Roman" w:cs="Times New Roman"/>
          <w:color w:val="auto"/>
          <w:spacing w:val="3"/>
          <w:lang w:eastAsia="en-US"/>
        </w:rPr>
      </w:pPr>
      <w:r w:rsidRPr="00DE12A3">
        <w:rPr>
          <w:rFonts w:eastAsia="Times New Roman" w:cs="Times New Roman"/>
          <w:color w:val="auto"/>
          <w:spacing w:val="3"/>
          <w:lang w:eastAsia="en-US"/>
        </w:rPr>
        <w:t xml:space="preserve">     </w:t>
      </w:r>
      <w:r w:rsidR="00242DA0" w:rsidRPr="00DE12A3">
        <w:rPr>
          <w:rFonts w:eastAsia="Times New Roman" w:cs="Times New Roman"/>
          <w:color w:val="auto"/>
          <w:spacing w:val="3"/>
          <w:lang w:eastAsia="en-US"/>
        </w:rPr>
        <w:t>Aralık doğrulaması</w:t>
      </w:r>
    </w:p>
    <w:p w14:paraId="69728A67" w14:textId="080CD77B" w:rsidR="002D7B36" w:rsidRPr="00DE12A3" w:rsidRDefault="00DA3CD6" w:rsidP="00C917D6">
      <w:pPr>
        <w:shd w:val="clear" w:color="auto" w:fill="FFFFFF"/>
        <w:spacing w:before="120" w:after="120"/>
        <w:ind w:left="1134" w:hanging="1134"/>
        <w:jc w:val="both"/>
        <w:rPr>
          <w:rFonts w:eastAsia="Times New Roman" w:cs="Times New Roman"/>
          <w:color w:val="auto"/>
          <w:spacing w:val="3"/>
          <w:lang w:eastAsia="en-US"/>
        </w:rPr>
      </w:pPr>
      <w:r w:rsidRPr="00DE12A3">
        <w:rPr>
          <w:rFonts w:eastAsia="Times New Roman" w:cs="Times New Roman"/>
          <w:color w:val="auto"/>
          <w:spacing w:val="3"/>
          <w:lang w:eastAsia="en-US"/>
        </w:rPr>
        <w:t xml:space="preserve">                   </w:t>
      </w:r>
      <w:r w:rsidR="00242DA0" w:rsidRPr="00DE12A3">
        <w:rPr>
          <w:rFonts w:eastAsia="Times New Roman" w:cs="Times New Roman"/>
          <w:color w:val="auto"/>
          <w:spacing w:val="3"/>
          <w:lang w:eastAsia="en-US"/>
        </w:rPr>
        <w:t xml:space="preserve">Bir analiz cihazı, test sırasında herhangi bir zamanda kendi aralığının </w:t>
      </w:r>
      <w:r w:rsidR="004E7F54" w:rsidRPr="00DE12A3">
        <w:rPr>
          <w:rFonts w:eastAsia="Times New Roman" w:cs="Times New Roman"/>
          <w:color w:val="auto"/>
          <w:spacing w:val="3"/>
          <w:lang w:eastAsia="en-US"/>
        </w:rPr>
        <w:t>%100</w:t>
      </w:r>
      <w:r w:rsidR="00242DA0" w:rsidRPr="00DE12A3">
        <w:rPr>
          <w:rFonts w:eastAsia="Times New Roman" w:cs="Times New Roman"/>
          <w:color w:val="auto"/>
          <w:spacing w:val="3"/>
          <w:lang w:eastAsia="en-US"/>
        </w:rPr>
        <w:t>'ünün üzerinde çalışıtırlırsa, aşağıdaki adımlar uygulanmalıdır</w:t>
      </w:r>
      <w:r w:rsidR="00163FD5" w:rsidRPr="00DE12A3">
        <w:rPr>
          <w:rFonts w:eastAsia="Times New Roman" w:cs="Times New Roman"/>
          <w:color w:val="auto"/>
          <w:spacing w:val="3"/>
          <w:lang w:eastAsia="en-US"/>
        </w:rPr>
        <w:t>.</w:t>
      </w:r>
    </w:p>
    <w:p w14:paraId="6A348568" w14:textId="77777777" w:rsidR="002D7B36" w:rsidRPr="00DE12A3" w:rsidRDefault="00242DA0" w:rsidP="00E20716">
      <w:pPr>
        <w:numPr>
          <w:ilvl w:val="0"/>
          <w:numId w:val="303"/>
        </w:numPr>
        <w:shd w:val="clear" w:color="auto" w:fill="FFFFFF"/>
        <w:tabs>
          <w:tab w:val="left" w:pos="883"/>
        </w:tabs>
        <w:spacing w:before="120" w:after="120"/>
        <w:ind w:left="1134" w:hanging="1134"/>
        <w:jc w:val="both"/>
        <w:rPr>
          <w:rFonts w:eastAsia="Times New Roman" w:cs="Times New Roman"/>
          <w:color w:val="auto"/>
          <w:spacing w:val="3"/>
          <w:lang w:eastAsia="en-US"/>
        </w:rPr>
      </w:pPr>
      <w:r w:rsidRPr="00DE12A3">
        <w:rPr>
          <w:rFonts w:eastAsia="Times New Roman" w:cs="Times New Roman"/>
          <w:color w:val="auto"/>
          <w:spacing w:val="3"/>
          <w:lang w:eastAsia="en-US"/>
        </w:rPr>
        <w:t>Toplu örnekleme</w:t>
      </w:r>
    </w:p>
    <w:p w14:paraId="7BEEC783" w14:textId="77777777" w:rsidR="002D7B36" w:rsidRPr="00DE12A3" w:rsidRDefault="00DA3CD6" w:rsidP="00C917D6">
      <w:pPr>
        <w:shd w:val="clear" w:color="auto" w:fill="FFFFFF"/>
        <w:spacing w:before="120" w:after="120"/>
        <w:ind w:left="1134" w:hanging="1134"/>
        <w:jc w:val="both"/>
        <w:rPr>
          <w:rFonts w:eastAsia="Times New Roman" w:cs="Times New Roman"/>
          <w:color w:val="auto"/>
          <w:spacing w:val="3"/>
          <w:lang w:eastAsia="en-US"/>
        </w:rPr>
      </w:pPr>
      <w:r w:rsidRPr="00DE12A3">
        <w:rPr>
          <w:rFonts w:eastAsia="Times New Roman" w:cs="Times New Roman"/>
          <w:color w:val="auto"/>
          <w:spacing w:val="3"/>
          <w:lang w:eastAsia="en-US"/>
        </w:rPr>
        <w:t xml:space="preserve">                  </w:t>
      </w:r>
      <w:r w:rsidR="00242DA0" w:rsidRPr="00DE12A3">
        <w:rPr>
          <w:rFonts w:eastAsia="Times New Roman" w:cs="Times New Roman"/>
          <w:color w:val="auto"/>
          <w:spacing w:val="3"/>
          <w:lang w:eastAsia="en-US"/>
        </w:rPr>
        <w:t xml:space="preserve">Toplu örnekleme için numune, </w:t>
      </w:r>
      <w:r w:rsidRPr="00DE12A3">
        <w:rPr>
          <w:rFonts w:eastAsia="Times New Roman" w:cs="Times New Roman"/>
          <w:color w:val="auto"/>
          <w:spacing w:val="3"/>
          <w:lang w:eastAsia="en-US"/>
        </w:rPr>
        <w:t>%100</w:t>
      </w:r>
      <w:r w:rsidR="00242DA0" w:rsidRPr="00DE12A3">
        <w:rPr>
          <w:rFonts w:eastAsia="Times New Roman" w:cs="Times New Roman"/>
          <w:color w:val="auto"/>
          <w:spacing w:val="3"/>
          <w:lang w:eastAsia="en-US"/>
        </w:rPr>
        <w:t xml:space="preserve">'ün altında bir azami cihaz tepkisi ile sonuçlanan en düşük analiz cihazı aralığı kullanılarak yeniden analiz edilmelidir. Sonuç, analiz cihazının testin tamamı için kendi aralığının </w:t>
      </w:r>
      <w:r w:rsidRPr="00DE12A3">
        <w:rPr>
          <w:rFonts w:eastAsia="Times New Roman" w:cs="Times New Roman"/>
          <w:color w:val="auto"/>
          <w:spacing w:val="3"/>
          <w:lang w:eastAsia="en-US"/>
        </w:rPr>
        <w:t>%100</w:t>
      </w:r>
      <w:r w:rsidR="00242DA0" w:rsidRPr="00DE12A3">
        <w:rPr>
          <w:rFonts w:eastAsia="Times New Roman" w:cs="Times New Roman"/>
          <w:color w:val="auto"/>
          <w:spacing w:val="3"/>
          <w:lang w:eastAsia="en-US"/>
        </w:rPr>
        <w:t>'ünün altında çalıştığı en düşük aralıktan rapor edilmelidir.</w:t>
      </w:r>
    </w:p>
    <w:p w14:paraId="1268D98A" w14:textId="77777777" w:rsidR="002D7B36" w:rsidRPr="00DE12A3" w:rsidRDefault="00242DA0" w:rsidP="00E20716">
      <w:pPr>
        <w:numPr>
          <w:ilvl w:val="0"/>
          <w:numId w:val="303"/>
        </w:numPr>
        <w:shd w:val="clear" w:color="auto" w:fill="FFFFFF"/>
        <w:tabs>
          <w:tab w:val="left" w:pos="883"/>
        </w:tabs>
        <w:spacing w:before="120" w:after="120"/>
        <w:ind w:left="1134" w:hanging="1134"/>
        <w:jc w:val="both"/>
        <w:rPr>
          <w:rFonts w:eastAsia="Times New Roman" w:cs="Times New Roman"/>
          <w:color w:val="auto"/>
          <w:spacing w:val="3"/>
          <w:lang w:eastAsia="en-US"/>
        </w:rPr>
      </w:pPr>
      <w:r w:rsidRPr="00DE12A3">
        <w:rPr>
          <w:rFonts w:eastAsia="Times New Roman" w:cs="Times New Roman"/>
          <w:color w:val="auto"/>
          <w:spacing w:val="3"/>
          <w:lang w:eastAsia="en-US"/>
        </w:rPr>
        <w:t>Sürekli örnekleme</w:t>
      </w:r>
    </w:p>
    <w:p w14:paraId="5B6E3ACE" w14:textId="77777777" w:rsidR="002D7B36" w:rsidRPr="00DE12A3" w:rsidRDefault="00DA3CD6" w:rsidP="00C917D6">
      <w:pPr>
        <w:shd w:val="clear" w:color="auto" w:fill="FFFFFF"/>
        <w:spacing w:before="120" w:after="120"/>
        <w:ind w:left="1134" w:hanging="1134"/>
        <w:jc w:val="both"/>
        <w:rPr>
          <w:rFonts w:eastAsia="Times New Roman" w:cs="Times New Roman"/>
          <w:color w:val="auto"/>
          <w:spacing w:val="3"/>
          <w:lang w:eastAsia="en-US"/>
        </w:rPr>
      </w:pPr>
      <w:r w:rsidRPr="00DE12A3">
        <w:rPr>
          <w:rFonts w:eastAsia="Times New Roman" w:cs="Times New Roman"/>
          <w:color w:val="auto"/>
          <w:spacing w:val="3"/>
          <w:lang w:eastAsia="en-US"/>
        </w:rPr>
        <w:t xml:space="preserve">                 </w:t>
      </w:r>
      <w:r w:rsidR="00242DA0" w:rsidRPr="00DE12A3">
        <w:rPr>
          <w:rFonts w:eastAsia="Times New Roman" w:cs="Times New Roman"/>
          <w:color w:val="auto"/>
          <w:spacing w:val="3"/>
          <w:lang w:eastAsia="en-US"/>
        </w:rPr>
        <w:t xml:space="preserve">Sürekli örnekleme için, bir sonraki daha yüksek analiz cihazı aralığı kullanılarak testin tamamı tekrarlanmalıdır. Analiz cihazı tekrar kendi aralığının </w:t>
      </w:r>
      <w:r w:rsidRPr="00DE12A3">
        <w:rPr>
          <w:rFonts w:eastAsia="Times New Roman" w:cs="Times New Roman"/>
          <w:color w:val="auto"/>
          <w:spacing w:val="3"/>
          <w:lang w:eastAsia="en-US"/>
        </w:rPr>
        <w:t>%100</w:t>
      </w:r>
      <w:r w:rsidR="00242DA0" w:rsidRPr="00DE12A3">
        <w:rPr>
          <w:rFonts w:eastAsia="Times New Roman" w:cs="Times New Roman"/>
          <w:color w:val="auto"/>
          <w:spacing w:val="3"/>
          <w:lang w:eastAsia="en-US"/>
        </w:rPr>
        <w:t xml:space="preserve">'ünün üzerinde çalışırsa, bir sonraki yüksek aralık kullanılarak test tekrarlanmalıdır. Analiz cihazı tüm test için her zaman kendi aralığının </w:t>
      </w:r>
      <w:r w:rsidRPr="00DE12A3">
        <w:rPr>
          <w:rFonts w:eastAsia="Times New Roman" w:cs="Times New Roman"/>
          <w:color w:val="auto"/>
          <w:spacing w:val="3"/>
          <w:lang w:eastAsia="en-US"/>
        </w:rPr>
        <w:t>%100</w:t>
      </w:r>
      <w:r w:rsidR="00242DA0" w:rsidRPr="00DE12A3">
        <w:rPr>
          <w:rFonts w:eastAsia="Times New Roman" w:cs="Times New Roman"/>
          <w:color w:val="auto"/>
          <w:spacing w:val="3"/>
          <w:lang w:eastAsia="en-US"/>
        </w:rPr>
        <w:t>'ünün altında çalışana kadar test tekrarlanmaya devam edilmelidir.</w:t>
      </w:r>
    </w:p>
    <w:p w14:paraId="2ED2C91A" w14:textId="77777777" w:rsidR="002D7B36" w:rsidRPr="00DE12A3" w:rsidRDefault="005B44D8" w:rsidP="00E20716">
      <w:pPr>
        <w:numPr>
          <w:ilvl w:val="0"/>
          <w:numId w:val="302"/>
        </w:numPr>
        <w:shd w:val="clear" w:color="auto" w:fill="FFFFFF"/>
        <w:tabs>
          <w:tab w:val="left" w:pos="883"/>
          <w:tab w:val="left" w:pos="2342"/>
        </w:tabs>
        <w:spacing w:before="120" w:after="120"/>
        <w:ind w:left="1134" w:hanging="1134"/>
        <w:jc w:val="both"/>
        <w:rPr>
          <w:rFonts w:eastAsia="Times New Roman" w:cs="Times New Roman"/>
          <w:color w:val="auto"/>
          <w:spacing w:val="3"/>
          <w:lang w:eastAsia="en-US"/>
        </w:rPr>
      </w:pPr>
      <w:r w:rsidRPr="00DE12A3">
        <w:rPr>
          <w:rFonts w:eastAsia="Times New Roman" w:cs="Times New Roman"/>
          <w:color w:val="auto"/>
          <w:spacing w:val="3"/>
          <w:lang w:eastAsia="en-US"/>
        </w:rPr>
        <w:t xml:space="preserve">    </w:t>
      </w:r>
      <w:r w:rsidR="00093948" w:rsidRPr="00DE12A3">
        <w:rPr>
          <w:rFonts w:eastAsia="Times New Roman" w:cs="Times New Roman"/>
          <w:color w:val="auto"/>
          <w:spacing w:val="3"/>
          <w:lang w:eastAsia="en-US"/>
        </w:rPr>
        <w:t>Sapma</w:t>
      </w:r>
      <w:r w:rsidR="00242DA0" w:rsidRPr="00DE12A3">
        <w:rPr>
          <w:rFonts w:eastAsia="Times New Roman" w:cs="Times New Roman"/>
          <w:color w:val="auto"/>
          <w:spacing w:val="3"/>
          <w:lang w:eastAsia="en-US"/>
        </w:rPr>
        <w:t xml:space="preserve"> doğrulaması ve </w:t>
      </w:r>
      <w:r w:rsidR="00093948" w:rsidRPr="00DE12A3">
        <w:rPr>
          <w:rFonts w:eastAsia="Times New Roman" w:cs="Times New Roman"/>
          <w:color w:val="auto"/>
          <w:spacing w:val="3"/>
          <w:lang w:eastAsia="en-US"/>
        </w:rPr>
        <w:t>sapma</w:t>
      </w:r>
      <w:r w:rsidR="00242DA0" w:rsidRPr="00DE12A3">
        <w:rPr>
          <w:rFonts w:eastAsia="Times New Roman" w:cs="Times New Roman"/>
          <w:color w:val="auto"/>
          <w:spacing w:val="3"/>
          <w:lang w:eastAsia="en-US"/>
        </w:rPr>
        <w:t xml:space="preserve"> düzeltmesi</w:t>
      </w:r>
    </w:p>
    <w:p w14:paraId="6779C33C" w14:textId="2105B3B7" w:rsidR="002D7B36" w:rsidRPr="00DE12A3" w:rsidRDefault="005B44D8" w:rsidP="00C917D6">
      <w:pPr>
        <w:shd w:val="clear" w:color="auto" w:fill="FFFFFF"/>
        <w:spacing w:before="120" w:after="120"/>
        <w:ind w:left="1134" w:hanging="1134"/>
        <w:jc w:val="both"/>
        <w:rPr>
          <w:rFonts w:eastAsia="Times New Roman" w:cs="Times New Roman"/>
          <w:color w:val="auto"/>
          <w:spacing w:val="3"/>
          <w:lang w:eastAsia="en-US"/>
        </w:rPr>
      </w:pPr>
      <w:r w:rsidRPr="00DE12A3">
        <w:rPr>
          <w:rFonts w:eastAsia="Times New Roman" w:cs="Times New Roman"/>
          <w:color w:val="auto"/>
          <w:spacing w:val="3"/>
          <w:lang w:eastAsia="en-US"/>
        </w:rPr>
        <w:t xml:space="preserve">                  </w:t>
      </w:r>
      <w:r w:rsidR="00093948" w:rsidRPr="00DE12A3">
        <w:rPr>
          <w:rFonts w:eastAsia="Times New Roman" w:cs="Times New Roman"/>
          <w:color w:val="auto"/>
          <w:spacing w:val="3"/>
          <w:lang w:eastAsia="en-US"/>
        </w:rPr>
        <w:t>Sapma</w:t>
      </w:r>
      <w:r w:rsidR="00242DA0" w:rsidRPr="00DE12A3">
        <w:rPr>
          <w:rFonts w:eastAsia="Times New Roman" w:cs="Times New Roman"/>
          <w:color w:val="auto"/>
          <w:spacing w:val="3"/>
          <w:lang w:eastAsia="en-US"/>
        </w:rPr>
        <w:t xml:space="preserve"> ± </w:t>
      </w:r>
      <w:r w:rsidRPr="00DE12A3">
        <w:rPr>
          <w:rFonts w:eastAsia="Times New Roman" w:cs="Times New Roman"/>
          <w:color w:val="auto"/>
          <w:spacing w:val="3"/>
          <w:lang w:eastAsia="en-US"/>
        </w:rPr>
        <w:t>%1</w:t>
      </w:r>
      <w:r w:rsidR="00242DA0" w:rsidRPr="00DE12A3">
        <w:rPr>
          <w:rFonts w:eastAsia="Times New Roman" w:cs="Times New Roman"/>
          <w:color w:val="auto"/>
          <w:spacing w:val="3"/>
          <w:lang w:eastAsia="en-US"/>
        </w:rPr>
        <w:t xml:space="preserve"> aralığı içindeyse, veriler ya hiçbir düzeltme yapılmadan kabul edilebilir ya da düzeltme sonrasında kabul edilebilir. </w:t>
      </w:r>
      <w:r w:rsidR="00093948" w:rsidRPr="00DE12A3">
        <w:rPr>
          <w:rFonts w:eastAsia="Times New Roman" w:cs="Times New Roman"/>
          <w:color w:val="auto"/>
          <w:spacing w:val="3"/>
          <w:lang w:eastAsia="en-US"/>
        </w:rPr>
        <w:t>Sapma</w:t>
      </w:r>
      <w:r w:rsidR="00242DA0" w:rsidRPr="00DE12A3">
        <w:rPr>
          <w:rFonts w:eastAsia="Times New Roman" w:cs="Times New Roman"/>
          <w:color w:val="auto"/>
          <w:spacing w:val="3"/>
          <w:lang w:eastAsia="en-US"/>
        </w:rPr>
        <w:t xml:space="preserve"> ± </w:t>
      </w:r>
      <w:r w:rsidRPr="00DE12A3">
        <w:rPr>
          <w:rFonts w:eastAsia="Times New Roman" w:cs="Times New Roman"/>
          <w:color w:val="auto"/>
          <w:spacing w:val="3"/>
          <w:lang w:eastAsia="en-US"/>
        </w:rPr>
        <w:t>%1</w:t>
      </w:r>
      <w:r w:rsidR="00242DA0" w:rsidRPr="00DE12A3">
        <w:rPr>
          <w:rFonts w:eastAsia="Times New Roman" w:cs="Times New Roman"/>
          <w:color w:val="auto"/>
          <w:spacing w:val="3"/>
          <w:lang w:eastAsia="en-US"/>
        </w:rPr>
        <w:t>'den büyükse, frene özgü bir sınır değere sahip her kirletici için ve CO</w:t>
      </w:r>
      <w:r w:rsidR="00242DA0" w:rsidRPr="00DE12A3">
        <w:rPr>
          <w:rFonts w:eastAsia="Times New Roman" w:cs="Times New Roman"/>
          <w:color w:val="auto"/>
          <w:spacing w:val="3"/>
          <w:vertAlign w:val="subscript"/>
          <w:lang w:eastAsia="en-US"/>
        </w:rPr>
        <w:t>2</w:t>
      </w:r>
      <w:r w:rsidR="00242DA0" w:rsidRPr="00DE12A3">
        <w:rPr>
          <w:rFonts w:eastAsia="Times New Roman" w:cs="Times New Roman"/>
          <w:color w:val="auto"/>
          <w:spacing w:val="3"/>
          <w:lang w:eastAsia="en-US"/>
        </w:rPr>
        <w:t xml:space="preserve"> için iki set frene özgü emisyon sonucu hesaplanmalı veya test iptal edilmelidir. Bir set, </w:t>
      </w:r>
      <w:r w:rsidR="00093948" w:rsidRPr="00DE12A3">
        <w:rPr>
          <w:rFonts w:eastAsia="Times New Roman" w:cs="Times New Roman"/>
          <w:color w:val="auto"/>
          <w:spacing w:val="3"/>
          <w:lang w:eastAsia="en-US"/>
        </w:rPr>
        <w:t>sapma</w:t>
      </w:r>
      <w:r w:rsidR="00242DA0" w:rsidRPr="00DE12A3">
        <w:rPr>
          <w:rFonts w:eastAsia="Times New Roman" w:cs="Times New Roman"/>
          <w:color w:val="auto"/>
          <w:spacing w:val="3"/>
          <w:lang w:eastAsia="en-US"/>
        </w:rPr>
        <w:t xml:space="preserve"> düzeltmesinden önceki veriler kullanılarak ve tüm </w:t>
      </w:r>
      <w:r w:rsidR="00093948" w:rsidRPr="00DE12A3">
        <w:rPr>
          <w:rFonts w:eastAsia="Times New Roman" w:cs="Times New Roman"/>
          <w:color w:val="auto"/>
          <w:spacing w:val="3"/>
          <w:lang w:eastAsia="en-US"/>
        </w:rPr>
        <w:t>sapma</w:t>
      </w:r>
      <w:r w:rsidR="00242DA0" w:rsidRPr="00DE12A3">
        <w:rPr>
          <w:rFonts w:eastAsia="Times New Roman" w:cs="Times New Roman"/>
          <w:color w:val="auto"/>
          <w:spacing w:val="3"/>
          <w:lang w:eastAsia="en-US"/>
        </w:rPr>
        <w:t xml:space="preserve"> için verinin düzeltilmesinden sonra hesaplanan bir veri seti kullanılarak </w:t>
      </w:r>
      <w:r w:rsidR="00FA0678" w:rsidRPr="00DE12A3">
        <w:rPr>
          <w:rFonts w:eastAsia="Times New Roman" w:cs="Times New Roman"/>
          <w:color w:val="auto"/>
          <w:spacing w:val="3"/>
          <w:lang w:eastAsia="en-US"/>
        </w:rPr>
        <w:t>VII’nci ek</w:t>
      </w:r>
      <w:r w:rsidR="00242DA0" w:rsidRPr="00DE12A3">
        <w:rPr>
          <w:rFonts w:eastAsia="Times New Roman" w:cs="Times New Roman"/>
          <w:color w:val="auto"/>
          <w:spacing w:val="3"/>
          <w:lang w:eastAsia="en-US"/>
        </w:rPr>
        <w:t xml:space="preserve">in 2.6 bendi ve </w:t>
      </w:r>
      <w:r w:rsidR="00FA0678" w:rsidRPr="00DE12A3">
        <w:rPr>
          <w:rFonts w:eastAsia="Times New Roman" w:cs="Times New Roman"/>
          <w:color w:val="auto"/>
          <w:spacing w:val="3"/>
          <w:lang w:eastAsia="en-US"/>
        </w:rPr>
        <w:t xml:space="preserve">VII’nci </w:t>
      </w:r>
      <w:r w:rsidR="00274519" w:rsidRPr="00DE12A3">
        <w:rPr>
          <w:rFonts w:eastAsia="Times New Roman" w:cs="Times New Roman"/>
          <w:color w:val="auto"/>
          <w:spacing w:val="3"/>
          <w:lang w:eastAsia="en-US"/>
        </w:rPr>
        <w:t>E</w:t>
      </w:r>
      <w:r w:rsidR="00FA0678" w:rsidRPr="00DE12A3">
        <w:rPr>
          <w:rFonts w:eastAsia="Times New Roman" w:cs="Times New Roman"/>
          <w:color w:val="auto"/>
          <w:spacing w:val="3"/>
          <w:lang w:eastAsia="en-US"/>
        </w:rPr>
        <w:t>k</w:t>
      </w:r>
      <w:r w:rsidR="00242DA0" w:rsidRPr="00DE12A3">
        <w:rPr>
          <w:rFonts w:eastAsia="Times New Roman" w:cs="Times New Roman"/>
          <w:color w:val="auto"/>
          <w:spacing w:val="3"/>
          <w:lang w:eastAsia="en-US"/>
        </w:rPr>
        <w:t xml:space="preserve">in 1. Açıklayıcı Eki uyarınca hesaplanmalıdır. Karşılaştırma, düzeltilmemiş sonuçların bir yüzdesi olarak yapılmalıdır. Düzeltilmemiş ve düzeltilmiş frene özgü emisyon değerleri arasındaki fark, hangisi daha büyükse, ya düzeltilmemiş frene özgü emisyon değerlerinin ya da emisyon sınır değerinin ± </w:t>
      </w:r>
      <w:r w:rsidR="006F30D6" w:rsidRPr="00DE12A3">
        <w:rPr>
          <w:rFonts w:eastAsia="Times New Roman" w:cs="Times New Roman"/>
          <w:color w:val="auto"/>
          <w:spacing w:val="3"/>
          <w:lang w:eastAsia="en-US"/>
        </w:rPr>
        <w:t>%4</w:t>
      </w:r>
      <w:r w:rsidR="00242DA0" w:rsidRPr="00DE12A3">
        <w:rPr>
          <w:rFonts w:eastAsia="Times New Roman" w:cs="Times New Roman"/>
          <w:color w:val="auto"/>
          <w:spacing w:val="3"/>
          <w:lang w:eastAsia="en-US"/>
        </w:rPr>
        <w:t xml:space="preserve"> aralığı içinde olmalıdır. Değilse, tüm test geçersizdir.</w:t>
      </w:r>
    </w:p>
    <w:p w14:paraId="4543B800" w14:textId="7036263C" w:rsidR="002D7B36" w:rsidRPr="00DE12A3" w:rsidRDefault="005B44D8" w:rsidP="00E20716">
      <w:pPr>
        <w:numPr>
          <w:ilvl w:val="0"/>
          <w:numId w:val="301"/>
        </w:numPr>
        <w:shd w:val="clear" w:color="auto" w:fill="FFFFFF"/>
        <w:tabs>
          <w:tab w:val="left" w:pos="898"/>
          <w:tab w:val="left" w:pos="2342"/>
          <w:tab w:val="right" w:pos="4929"/>
          <w:tab w:val="right" w:pos="5640"/>
        </w:tabs>
        <w:spacing w:before="120" w:after="120"/>
        <w:ind w:left="1134" w:hanging="1134"/>
        <w:jc w:val="both"/>
        <w:rPr>
          <w:rFonts w:eastAsia="Times New Roman" w:cs="Times New Roman"/>
          <w:color w:val="auto"/>
          <w:spacing w:val="3"/>
          <w:lang w:eastAsia="en-US"/>
        </w:rPr>
      </w:pPr>
      <w:r w:rsidRPr="00DE12A3">
        <w:rPr>
          <w:rFonts w:eastAsia="Times New Roman" w:cs="Times New Roman"/>
          <w:color w:val="auto"/>
          <w:spacing w:val="3"/>
          <w:lang w:eastAsia="en-US"/>
        </w:rPr>
        <w:lastRenderedPageBreak/>
        <w:t xml:space="preserve">    </w:t>
      </w:r>
      <w:r w:rsidR="00242DA0" w:rsidRPr="00DE12A3">
        <w:rPr>
          <w:rFonts w:eastAsia="Times New Roman" w:cs="Times New Roman"/>
          <w:color w:val="auto"/>
          <w:spacing w:val="3"/>
          <w:lang w:eastAsia="en-US"/>
        </w:rPr>
        <w:t>PM örnekleme maddesi (ör</w:t>
      </w:r>
      <w:r w:rsidR="00274519" w:rsidRPr="00DE12A3">
        <w:rPr>
          <w:rFonts w:eastAsia="Times New Roman" w:cs="Times New Roman"/>
          <w:color w:val="auto"/>
          <w:spacing w:val="3"/>
          <w:lang w:eastAsia="en-US"/>
        </w:rPr>
        <w:t>neğin</w:t>
      </w:r>
      <w:r w:rsidR="00242DA0" w:rsidRPr="00DE12A3">
        <w:rPr>
          <w:rFonts w:eastAsia="Times New Roman" w:cs="Times New Roman"/>
          <w:color w:val="auto"/>
          <w:spacing w:val="3"/>
          <w:lang w:eastAsia="en-US"/>
        </w:rPr>
        <w:t xml:space="preserve"> filtreler) ön koşullandırması ve dara ağırlığı ölçümü</w:t>
      </w:r>
    </w:p>
    <w:p w14:paraId="51F6C4B8" w14:textId="6FB34AA5" w:rsidR="002D7B36" w:rsidRPr="00DE12A3" w:rsidRDefault="005B44D8" w:rsidP="00C917D6">
      <w:pPr>
        <w:shd w:val="clear" w:color="auto" w:fill="FFFFFF"/>
        <w:tabs>
          <w:tab w:val="left" w:pos="2342"/>
          <w:tab w:val="right" w:pos="4929"/>
          <w:tab w:val="right" w:pos="5640"/>
        </w:tabs>
        <w:spacing w:before="120" w:after="120"/>
        <w:ind w:left="1134" w:hanging="1134"/>
        <w:jc w:val="both"/>
        <w:rPr>
          <w:rFonts w:eastAsia="Times New Roman" w:cs="Times New Roman"/>
          <w:color w:val="auto"/>
          <w:spacing w:val="3"/>
          <w:lang w:eastAsia="en-US"/>
        </w:rPr>
      </w:pPr>
      <w:r w:rsidRPr="00DE12A3">
        <w:rPr>
          <w:rFonts w:eastAsia="Times New Roman" w:cs="Times New Roman"/>
          <w:color w:val="auto"/>
          <w:spacing w:val="3"/>
          <w:lang w:eastAsia="en-US"/>
        </w:rPr>
        <w:t xml:space="preserve">                  </w:t>
      </w:r>
      <w:r w:rsidR="00242DA0" w:rsidRPr="00DE12A3">
        <w:rPr>
          <w:rFonts w:eastAsia="Times New Roman" w:cs="Times New Roman"/>
          <w:color w:val="auto"/>
          <w:spacing w:val="3"/>
          <w:lang w:eastAsia="en-US"/>
        </w:rPr>
        <w:t>Bir emisyon testinden önce, PM numune filtre maddesini ve PM ölçüm cihazlarını hazırlamak için aşağıdaki adımlar atılmalıdır</w:t>
      </w:r>
      <w:r w:rsidR="00163FD5" w:rsidRPr="00DE12A3">
        <w:rPr>
          <w:rFonts w:eastAsia="Times New Roman" w:cs="Times New Roman"/>
          <w:color w:val="auto"/>
          <w:spacing w:val="3"/>
          <w:lang w:eastAsia="en-US"/>
        </w:rPr>
        <w:t>.</w:t>
      </w:r>
    </w:p>
    <w:p w14:paraId="02E5B631" w14:textId="77777777" w:rsidR="002D7B36" w:rsidRPr="00DE12A3" w:rsidRDefault="00242DA0" w:rsidP="00E20716">
      <w:pPr>
        <w:numPr>
          <w:ilvl w:val="0"/>
          <w:numId w:val="304"/>
        </w:numPr>
        <w:shd w:val="clear" w:color="auto" w:fill="FFFFFF"/>
        <w:spacing w:before="120" w:after="120"/>
        <w:ind w:left="1134" w:hanging="1134"/>
        <w:jc w:val="both"/>
        <w:rPr>
          <w:rFonts w:eastAsia="Times New Roman" w:cs="Times New Roman"/>
          <w:color w:val="auto"/>
          <w:spacing w:val="3"/>
          <w:lang w:eastAsia="en-US"/>
        </w:rPr>
      </w:pPr>
      <w:r w:rsidRPr="00DE12A3">
        <w:rPr>
          <w:rFonts w:eastAsia="Times New Roman" w:cs="Times New Roman"/>
          <w:color w:val="auto"/>
          <w:spacing w:val="4"/>
          <w:lang w:eastAsia="en-US"/>
        </w:rPr>
        <w:t>Periyodik doğrulamalar</w:t>
      </w:r>
    </w:p>
    <w:p w14:paraId="418B2621" w14:textId="5A14B5D4" w:rsidR="002D7B36" w:rsidRPr="00DE12A3" w:rsidRDefault="005B44D8" w:rsidP="00C917D6">
      <w:pPr>
        <w:shd w:val="clear" w:color="auto" w:fill="FFFFFF"/>
        <w:spacing w:before="120" w:after="120"/>
        <w:ind w:left="1134" w:hanging="1134"/>
        <w:jc w:val="both"/>
        <w:rPr>
          <w:rFonts w:eastAsia="Times New Roman" w:cs="Times New Roman"/>
          <w:color w:val="auto"/>
          <w:spacing w:val="3"/>
          <w:lang w:eastAsia="en-US"/>
        </w:rPr>
      </w:pPr>
      <w:r w:rsidRPr="00DE12A3">
        <w:rPr>
          <w:rFonts w:eastAsia="Times New Roman" w:cs="Times New Roman"/>
          <w:color w:val="auto"/>
          <w:spacing w:val="4"/>
          <w:lang w:eastAsia="en-US"/>
        </w:rPr>
        <w:t xml:space="preserve">                  </w:t>
      </w:r>
      <w:r w:rsidR="00242DA0" w:rsidRPr="00DE12A3">
        <w:rPr>
          <w:rFonts w:eastAsia="Times New Roman" w:cs="Times New Roman"/>
          <w:color w:val="auto"/>
          <w:spacing w:val="4"/>
          <w:lang w:eastAsia="en-US"/>
        </w:rPr>
        <w:t>Denge ve PM-stabilizasyon ortamlarının 8.1.12 bendindeki periyodik doğrulamaları sağladığından emin olunmalıdır. Referans filtre, uygun bir referans noktası oluşturmak için test filtreleri tartılmadan hemen önce tartılmalıdır. Referans filtrelerin dengesinin doğrulanması, test sonrası dengelenme süresinden sonra, test sonrası tartım işleminden hemen önce gerçekleşir</w:t>
      </w:r>
      <w:r w:rsidR="00242DA0" w:rsidRPr="00DE12A3">
        <w:rPr>
          <w:rFonts w:eastAsia="Times New Roman" w:cs="Times New Roman"/>
          <w:color w:val="auto"/>
          <w:spacing w:val="4"/>
          <w:shd w:val="clear" w:color="auto" w:fill="FFFFFF"/>
          <w:lang w:eastAsia="en-US"/>
        </w:rPr>
        <w:t>.</w:t>
      </w:r>
    </w:p>
    <w:p w14:paraId="12429FE7" w14:textId="4C43884A" w:rsidR="002D7B36" w:rsidRPr="00DE12A3" w:rsidRDefault="00242DA0" w:rsidP="00E20716">
      <w:pPr>
        <w:numPr>
          <w:ilvl w:val="0"/>
          <w:numId w:val="304"/>
        </w:numPr>
        <w:shd w:val="clear" w:color="auto" w:fill="FFFFFF"/>
        <w:spacing w:before="120" w:after="120"/>
        <w:ind w:left="1134" w:hanging="1134"/>
        <w:jc w:val="both"/>
        <w:rPr>
          <w:rFonts w:eastAsia="Times New Roman" w:cs="Times New Roman"/>
          <w:color w:val="auto"/>
          <w:spacing w:val="3"/>
          <w:lang w:eastAsia="en-US"/>
        </w:rPr>
      </w:pPr>
      <w:r w:rsidRPr="00DE12A3">
        <w:rPr>
          <w:rFonts w:eastAsia="Times New Roman" w:cs="Times New Roman"/>
          <w:color w:val="auto"/>
          <w:spacing w:val="4"/>
          <w:lang w:eastAsia="en-US"/>
        </w:rPr>
        <w:t xml:space="preserve">Görsel </w:t>
      </w:r>
      <w:r w:rsidR="00163FD5" w:rsidRPr="00DE12A3">
        <w:rPr>
          <w:rFonts w:eastAsia="Times New Roman" w:cs="Times New Roman"/>
          <w:color w:val="auto"/>
          <w:spacing w:val="4"/>
          <w:lang w:eastAsia="en-US"/>
        </w:rPr>
        <w:t>m</w:t>
      </w:r>
      <w:r w:rsidRPr="00DE12A3">
        <w:rPr>
          <w:rFonts w:eastAsia="Times New Roman" w:cs="Times New Roman"/>
          <w:color w:val="auto"/>
          <w:spacing w:val="4"/>
          <w:lang w:eastAsia="en-US"/>
        </w:rPr>
        <w:t>uayene</w:t>
      </w:r>
    </w:p>
    <w:p w14:paraId="20FD1838" w14:textId="77777777" w:rsidR="002D7B36" w:rsidRPr="00DE12A3" w:rsidRDefault="005B44D8" w:rsidP="00C917D6">
      <w:pPr>
        <w:shd w:val="clear" w:color="auto" w:fill="FFFFFF"/>
        <w:spacing w:before="120" w:after="120"/>
        <w:ind w:left="1134" w:hanging="1134"/>
        <w:jc w:val="both"/>
        <w:rPr>
          <w:rFonts w:eastAsia="Times New Roman" w:cs="Times New Roman"/>
          <w:color w:val="auto"/>
          <w:spacing w:val="3"/>
          <w:lang w:eastAsia="en-US"/>
        </w:rPr>
      </w:pPr>
      <w:r w:rsidRPr="00DE12A3">
        <w:rPr>
          <w:rFonts w:eastAsia="Times New Roman" w:cs="Times New Roman"/>
          <w:color w:val="auto"/>
          <w:spacing w:val="4"/>
          <w:lang w:eastAsia="en-US"/>
        </w:rPr>
        <w:t xml:space="preserve">                   </w:t>
      </w:r>
      <w:r w:rsidR="00242DA0" w:rsidRPr="00DE12A3">
        <w:rPr>
          <w:rFonts w:eastAsia="Times New Roman" w:cs="Times New Roman"/>
          <w:color w:val="auto"/>
          <w:spacing w:val="4"/>
          <w:lang w:eastAsia="en-US"/>
        </w:rPr>
        <w:t>Kullanılmayan numune filtre maddesi kusurlar bakımından görsel olarak muayene edilmeli, kusurlu filtreler ıskartaya çıkarılmalıdır</w:t>
      </w:r>
      <w:r w:rsidR="00242DA0" w:rsidRPr="00DE12A3">
        <w:rPr>
          <w:rFonts w:eastAsia="Times New Roman" w:cs="Times New Roman"/>
          <w:color w:val="auto"/>
          <w:spacing w:val="4"/>
          <w:shd w:val="clear" w:color="auto" w:fill="FFFFFF"/>
          <w:lang w:eastAsia="en-US"/>
        </w:rPr>
        <w:t>.</w:t>
      </w:r>
    </w:p>
    <w:p w14:paraId="2896D1C5" w14:textId="77777777" w:rsidR="002D7B36" w:rsidRPr="00DE12A3" w:rsidRDefault="00242DA0" w:rsidP="00E20716">
      <w:pPr>
        <w:numPr>
          <w:ilvl w:val="0"/>
          <w:numId w:val="304"/>
        </w:numPr>
        <w:shd w:val="clear" w:color="auto" w:fill="FFFFFF"/>
        <w:spacing w:before="120" w:after="120"/>
        <w:ind w:left="1134" w:hanging="1134"/>
        <w:jc w:val="both"/>
        <w:rPr>
          <w:rFonts w:eastAsia="Times New Roman" w:cs="Times New Roman"/>
          <w:color w:val="auto"/>
          <w:spacing w:val="3"/>
          <w:lang w:eastAsia="en-US"/>
        </w:rPr>
      </w:pPr>
      <w:r w:rsidRPr="00DE12A3">
        <w:rPr>
          <w:rFonts w:eastAsia="Times New Roman" w:cs="Times New Roman"/>
          <w:color w:val="auto"/>
          <w:spacing w:val="4"/>
          <w:lang w:eastAsia="en-US"/>
        </w:rPr>
        <w:t>Topraklama</w:t>
      </w:r>
    </w:p>
    <w:p w14:paraId="3CFA3999" w14:textId="77777777" w:rsidR="002D7B36" w:rsidRPr="00DE12A3" w:rsidRDefault="005B44D8" w:rsidP="00C917D6">
      <w:pPr>
        <w:shd w:val="clear" w:color="auto" w:fill="FFFFFF"/>
        <w:spacing w:before="120" w:after="120"/>
        <w:ind w:left="1134" w:hanging="1134"/>
        <w:jc w:val="both"/>
        <w:rPr>
          <w:rFonts w:eastAsia="Times New Roman" w:cs="Times New Roman"/>
          <w:color w:val="auto"/>
          <w:spacing w:val="3"/>
          <w:lang w:eastAsia="en-US"/>
        </w:rPr>
      </w:pPr>
      <w:r w:rsidRPr="00DE12A3">
        <w:rPr>
          <w:rFonts w:eastAsia="Times New Roman" w:cs="Times New Roman"/>
          <w:color w:val="auto"/>
          <w:spacing w:val="4"/>
          <w:lang w:eastAsia="en-US"/>
        </w:rPr>
        <w:t xml:space="preserve">                  </w:t>
      </w:r>
      <w:r w:rsidR="00242DA0" w:rsidRPr="00DE12A3">
        <w:rPr>
          <w:rFonts w:eastAsia="Times New Roman" w:cs="Times New Roman"/>
          <w:color w:val="auto"/>
          <w:spacing w:val="4"/>
          <w:lang w:eastAsia="en-US"/>
        </w:rPr>
        <w:t>9.3.4 bendinde tarif edilen PM filtrelerini kullanmak için elektrik topraklamalı cımbızlar veya topraklama kablosu kullanılmalıdır</w:t>
      </w:r>
      <w:r w:rsidR="00242DA0" w:rsidRPr="00DE12A3">
        <w:rPr>
          <w:rFonts w:eastAsia="Times New Roman" w:cs="Times New Roman"/>
          <w:color w:val="auto"/>
          <w:spacing w:val="4"/>
          <w:shd w:val="clear" w:color="auto" w:fill="FFFFFF"/>
          <w:lang w:eastAsia="en-US"/>
        </w:rPr>
        <w:t>.</w:t>
      </w:r>
    </w:p>
    <w:p w14:paraId="668083E9" w14:textId="77777777" w:rsidR="002D7B36" w:rsidRPr="00DE12A3" w:rsidRDefault="00242DA0" w:rsidP="00E20716">
      <w:pPr>
        <w:numPr>
          <w:ilvl w:val="0"/>
          <w:numId w:val="304"/>
        </w:numPr>
        <w:shd w:val="clear" w:color="auto" w:fill="FFFFFF"/>
        <w:spacing w:before="120" w:after="120"/>
        <w:ind w:left="1134" w:hanging="1134"/>
        <w:jc w:val="both"/>
        <w:rPr>
          <w:rFonts w:eastAsia="Times New Roman" w:cs="Times New Roman"/>
          <w:color w:val="auto"/>
          <w:spacing w:val="3"/>
          <w:lang w:eastAsia="en-US"/>
        </w:rPr>
      </w:pPr>
      <w:r w:rsidRPr="00DE12A3">
        <w:rPr>
          <w:rFonts w:eastAsia="Times New Roman" w:cs="Times New Roman"/>
          <w:color w:val="auto"/>
          <w:spacing w:val="4"/>
          <w:lang w:eastAsia="en-US"/>
        </w:rPr>
        <w:t>Kullanılmayan numune maddeler</w:t>
      </w:r>
    </w:p>
    <w:p w14:paraId="6B517FF9" w14:textId="55D04B89" w:rsidR="002D7B36" w:rsidRPr="00DE12A3" w:rsidRDefault="005B44D8" w:rsidP="00C917D6">
      <w:pPr>
        <w:shd w:val="clear" w:color="auto" w:fill="FFFFFF"/>
        <w:spacing w:before="120" w:after="120"/>
        <w:ind w:left="1134" w:hanging="1134"/>
        <w:jc w:val="both"/>
        <w:rPr>
          <w:rFonts w:eastAsia="Times New Roman" w:cs="Times New Roman"/>
          <w:color w:val="auto"/>
          <w:spacing w:val="3"/>
          <w:lang w:eastAsia="en-US"/>
        </w:rPr>
      </w:pPr>
      <w:r w:rsidRPr="00DE12A3">
        <w:rPr>
          <w:rFonts w:eastAsia="Times New Roman" w:cs="Times New Roman"/>
          <w:color w:val="auto"/>
          <w:spacing w:val="4"/>
          <w:lang w:eastAsia="en-US"/>
        </w:rPr>
        <w:t xml:space="preserve">                  </w:t>
      </w:r>
      <w:r w:rsidR="00242DA0" w:rsidRPr="00DE12A3">
        <w:rPr>
          <w:rFonts w:eastAsia="Times New Roman" w:cs="Times New Roman"/>
          <w:color w:val="auto"/>
          <w:spacing w:val="4"/>
          <w:lang w:eastAsia="en-US"/>
        </w:rPr>
        <w:t>Kullanılmayan numune maddeler, PM-dengeleme ortamına açık bir veya birk</w:t>
      </w:r>
      <w:r w:rsidR="00163FD5" w:rsidRPr="00DE12A3">
        <w:rPr>
          <w:rFonts w:eastAsia="Times New Roman" w:cs="Times New Roman"/>
          <w:color w:val="auto"/>
          <w:spacing w:val="4"/>
          <w:lang w:eastAsia="en-US"/>
        </w:rPr>
        <w:t>a</w:t>
      </w:r>
      <w:r w:rsidR="00242DA0" w:rsidRPr="00DE12A3">
        <w:rPr>
          <w:rFonts w:eastAsia="Times New Roman" w:cs="Times New Roman"/>
          <w:color w:val="auto"/>
          <w:spacing w:val="4"/>
          <w:lang w:eastAsia="en-US"/>
        </w:rPr>
        <w:t>ç kabın içine yerleştirilmelidir. Filtreler kullanılırsa, filtre kartuşunun alt yarısına yerleştirilebilirler</w:t>
      </w:r>
      <w:r w:rsidR="00242DA0" w:rsidRPr="00DE12A3">
        <w:rPr>
          <w:rFonts w:eastAsia="Times New Roman" w:cs="Times New Roman"/>
          <w:color w:val="auto"/>
          <w:spacing w:val="4"/>
          <w:shd w:val="clear" w:color="auto" w:fill="FFFFFF"/>
          <w:lang w:eastAsia="en-US"/>
        </w:rPr>
        <w:t>.</w:t>
      </w:r>
    </w:p>
    <w:p w14:paraId="30A756BD" w14:textId="77777777" w:rsidR="002D7B36" w:rsidRPr="00DE12A3" w:rsidRDefault="00242DA0" w:rsidP="00E20716">
      <w:pPr>
        <w:numPr>
          <w:ilvl w:val="0"/>
          <w:numId w:val="304"/>
        </w:numPr>
        <w:shd w:val="clear" w:color="auto" w:fill="FFFFFF"/>
        <w:spacing w:before="120" w:after="120"/>
        <w:ind w:left="1134" w:hanging="1134"/>
        <w:jc w:val="both"/>
        <w:rPr>
          <w:rFonts w:eastAsia="Times New Roman" w:cs="Times New Roman"/>
          <w:color w:val="auto"/>
          <w:spacing w:val="3"/>
          <w:lang w:eastAsia="en-US"/>
        </w:rPr>
      </w:pPr>
      <w:r w:rsidRPr="00DE12A3">
        <w:rPr>
          <w:rFonts w:eastAsia="Times New Roman" w:cs="Times New Roman"/>
          <w:color w:val="auto"/>
          <w:spacing w:val="4"/>
          <w:lang w:eastAsia="en-US"/>
        </w:rPr>
        <w:t>Dengeleme</w:t>
      </w:r>
    </w:p>
    <w:p w14:paraId="1EB75E10" w14:textId="32EE99A4" w:rsidR="002D7B36" w:rsidRPr="00DE12A3" w:rsidRDefault="005B44D8" w:rsidP="00C917D6">
      <w:pPr>
        <w:shd w:val="clear" w:color="auto" w:fill="FFFFFF"/>
        <w:spacing w:before="120" w:after="120"/>
        <w:ind w:left="1134" w:hanging="1134"/>
        <w:jc w:val="both"/>
        <w:rPr>
          <w:rFonts w:eastAsia="Times New Roman" w:cs="Times New Roman"/>
          <w:color w:val="auto"/>
          <w:spacing w:val="3"/>
          <w:lang w:eastAsia="en-US"/>
        </w:rPr>
      </w:pPr>
      <w:r w:rsidRPr="00DE12A3">
        <w:rPr>
          <w:rFonts w:eastAsia="Times New Roman" w:cs="Times New Roman"/>
          <w:color w:val="auto"/>
          <w:spacing w:val="4"/>
          <w:lang w:eastAsia="en-US"/>
        </w:rPr>
        <w:t xml:space="preserve">                  </w:t>
      </w:r>
      <w:r w:rsidR="00242DA0" w:rsidRPr="00DE12A3">
        <w:rPr>
          <w:rFonts w:eastAsia="Times New Roman" w:cs="Times New Roman"/>
          <w:color w:val="auto"/>
          <w:spacing w:val="4"/>
          <w:lang w:eastAsia="en-US"/>
        </w:rPr>
        <w:t xml:space="preserve">Numune maddeler, PM-dengeleme ortamında dengelenmelidir. Kullanılmayan bir numune maddesinin, PM dengeleme ortamında en az 30 dakika kaldığı, bu sırada PM dengeleme ortamı 9.3.4 bendindeki şartlar dahilinde olduğu sürece dengelendiği kabul </w:t>
      </w:r>
      <w:r w:rsidR="004E7F54" w:rsidRPr="00DE12A3">
        <w:rPr>
          <w:rFonts w:eastAsia="Times New Roman" w:cs="Times New Roman"/>
          <w:color w:val="auto"/>
          <w:spacing w:val="4"/>
          <w:lang w:eastAsia="en-US"/>
        </w:rPr>
        <w:t>edilebilir. Ancak</w:t>
      </w:r>
      <w:r w:rsidR="00242DA0" w:rsidRPr="00DE12A3">
        <w:rPr>
          <w:rFonts w:eastAsia="Times New Roman" w:cs="Times New Roman"/>
          <w:color w:val="auto"/>
          <w:spacing w:val="4"/>
          <w:lang w:eastAsia="en-US"/>
        </w:rPr>
        <w:t>, 400 μg veya daha fazla bir PM kütlesi bekleniyorsa, numune maddesi en az 60 dakika boyunca dengelenmelidir</w:t>
      </w:r>
      <w:r w:rsidR="00242DA0" w:rsidRPr="00DE12A3">
        <w:rPr>
          <w:rFonts w:eastAsia="Times New Roman" w:cs="Times New Roman"/>
          <w:color w:val="auto"/>
          <w:spacing w:val="4"/>
          <w:shd w:val="clear" w:color="auto" w:fill="FFFFFF"/>
          <w:lang w:eastAsia="en-US"/>
        </w:rPr>
        <w:t>.</w:t>
      </w:r>
    </w:p>
    <w:p w14:paraId="7BA057A3" w14:textId="77777777" w:rsidR="002D7B36" w:rsidRPr="00DE12A3" w:rsidRDefault="00242DA0" w:rsidP="00E20716">
      <w:pPr>
        <w:numPr>
          <w:ilvl w:val="0"/>
          <w:numId w:val="304"/>
        </w:numPr>
        <w:shd w:val="clear" w:color="auto" w:fill="FFFFFF"/>
        <w:spacing w:before="120" w:after="120"/>
        <w:ind w:left="1134" w:hanging="1134"/>
        <w:jc w:val="both"/>
        <w:rPr>
          <w:rFonts w:eastAsia="Times New Roman" w:cs="Times New Roman"/>
          <w:color w:val="auto"/>
          <w:spacing w:val="3"/>
          <w:lang w:eastAsia="en-US"/>
        </w:rPr>
      </w:pPr>
      <w:r w:rsidRPr="00DE12A3">
        <w:rPr>
          <w:rFonts w:eastAsia="Times New Roman" w:cs="Times New Roman"/>
          <w:color w:val="auto"/>
          <w:spacing w:val="4"/>
          <w:lang w:eastAsia="en-US"/>
        </w:rPr>
        <w:t>Tartım</w:t>
      </w:r>
    </w:p>
    <w:p w14:paraId="514F0186" w14:textId="77777777" w:rsidR="002D7B36" w:rsidRPr="00DE12A3" w:rsidRDefault="005B44D8" w:rsidP="00C917D6">
      <w:pPr>
        <w:shd w:val="clear" w:color="auto" w:fill="FFFFFF"/>
        <w:spacing w:before="120" w:after="120"/>
        <w:ind w:left="1134" w:hanging="1134"/>
        <w:jc w:val="both"/>
        <w:rPr>
          <w:rFonts w:eastAsia="Times New Roman" w:cs="Times New Roman"/>
          <w:color w:val="auto"/>
          <w:spacing w:val="3"/>
          <w:lang w:eastAsia="en-US"/>
        </w:rPr>
      </w:pPr>
      <w:r w:rsidRPr="00DE12A3">
        <w:rPr>
          <w:rFonts w:eastAsia="Times New Roman" w:cs="Times New Roman"/>
          <w:color w:val="auto"/>
          <w:spacing w:val="4"/>
          <w:lang w:eastAsia="en-US"/>
        </w:rPr>
        <w:t xml:space="preserve">                  </w:t>
      </w:r>
      <w:r w:rsidR="00242DA0" w:rsidRPr="00DE12A3">
        <w:rPr>
          <w:rFonts w:eastAsia="Times New Roman" w:cs="Times New Roman"/>
          <w:color w:val="auto"/>
          <w:spacing w:val="4"/>
          <w:lang w:eastAsia="en-US"/>
        </w:rPr>
        <w:t>Numune madde, otomatik veya manuel olarak aşağıdaki şekilde tartılır</w:t>
      </w:r>
      <w:r w:rsidR="00242DA0" w:rsidRPr="00DE12A3">
        <w:rPr>
          <w:rFonts w:eastAsia="Times New Roman" w:cs="Times New Roman"/>
          <w:color w:val="auto"/>
          <w:spacing w:val="4"/>
          <w:shd w:val="clear" w:color="auto" w:fill="FFFFFF"/>
          <w:lang w:eastAsia="en-US"/>
        </w:rPr>
        <w:t>:</w:t>
      </w:r>
    </w:p>
    <w:p w14:paraId="5EFA4E84" w14:textId="402B1BCA" w:rsidR="002D7B36" w:rsidRPr="00DE12A3" w:rsidRDefault="005B44D8" w:rsidP="00E20716">
      <w:pPr>
        <w:numPr>
          <w:ilvl w:val="0"/>
          <w:numId w:val="305"/>
        </w:numPr>
        <w:shd w:val="clear" w:color="auto" w:fill="FFFFFF"/>
        <w:spacing w:before="120" w:after="120"/>
        <w:ind w:left="1701" w:hanging="567"/>
        <w:jc w:val="both"/>
        <w:rPr>
          <w:rFonts w:eastAsia="Times New Roman" w:cs="Times New Roman"/>
          <w:color w:val="auto"/>
          <w:spacing w:val="3"/>
          <w:lang w:eastAsia="en-US"/>
        </w:rPr>
      </w:pPr>
      <w:r w:rsidRPr="00DE12A3">
        <w:rPr>
          <w:rFonts w:eastAsia="Times New Roman" w:cs="Times New Roman"/>
          <w:color w:val="auto"/>
          <w:spacing w:val="4"/>
          <w:lang w:eastAsia="en-US"/>
        </w:rPr>
        <w:t xml:space="preserve">    </w:t>
      </w:r>
      <w:r w:rsidR="00242DA0" w:rsidRPr="00DE12A3">
        <w:rPr>
          <w:rFonts w:eastAsia="Times New Roman" w:cs="Times New Roman"/>
          <w:color w:val="auto"/>
          <w:spacing w:val="4"/>
          <w:lang w:eastAsia="en-US"/>
        </w:rPr>
        <w:t>Otomatik tartım için, tartıma numune hazırlamak amacıyla otomasyon sistemi imalatçısının talimatlarına uyulmalıdır</w:t>
      </w:r>
      <w:r w:rsidR="003844BE" w:rsidRPr="00DE12A3">
        <w:rPr>
          <w:rFonts w:eastAsia="Times New Roman" w:cs="Times New Roman"/>
          <w:color w:val="auto"/>
          <w:spacing w:val="4"/>
          <w:lang w:eastAsia="en-US"/>
        </w:rPr>
        <w:t>.</w:t>
      </w:r>
      <w:r w:rsidR="00242DA0" w:rsidRPr="00DE12A3">
        <w:rPr>
          <w:rFonts w:eastAsia="Times New Roman" w:cs="Times New Roman"/>
          <w:color w:val="auto"/>
          <w:spacing w:val="4"/>
          <w:lang w:eastAsia="en-US"/>
        </w:rPr>
        <w:t xml:space="preserve"> </w:t>
      </w:r>
      <w:r w:rsidR="003844BE" w:rsidRPr="00DE12A3">
        <w:rPr>
          <w:rFonts w:eastAsia="Times New Roman" w:cs="Times New Roman"/>
          <w:color w:val="auto"/>
          <w:spacing w:val="4"/>
          <w:lang w:eastAsia="en-US"/>
        </w:rPr>
        <w:t>B</w:t>
      </w:r>
      <w:r w:rsidR="00242DA0" w:rsidRPr="00DE12A3">
        <w:rPr>
          <w:rFonts w:eastAsia="Times New Roman" w:cs="Times New Roman"/>
          <w:color w:val="auto"/>
          <w:spacing w:val="4"/>
          <w:lang w:eastAsia="en-US"/>
        </w:rPr>
        <w:t>u, numunelerin özel bir kabın içine koyulmasını içerebilir</w:t>
      </w:r>
      <w:r w:rsidR="003844BE" w:rsidRPr="00DE12A3">
        <w:rPr>
          <w:rFonts w:eastAsia="Times New Roman" w:cs="Times New Roman"/>
          <w:color w:val="auto"/>
          <w:spacing w:val="4"/>
          <w:shd w:val="clear" w:color="auto" w:fill="FFFFFF"/>
          <w:lang w:eastAsia="en-US"/>
        </w:rPr>
        <w:t>.</w:t>
      </w:r>
    </w:p>
    <w:p w14:paraId="43A2F9D1" w14:textId="50D5F4BD" w:rsidR="002D7B36" w:rsidRPr="00DE12A3" w:rsidRDefault="00242DA0" w:rsidP="00E20716">
      <w:pPr>
        <w:numPr>
          <w:ilvl w:val="0"/>
          <w:numId w:val="305"/>
        </w:numPr>
        <w:shd w:val="clear" w:color="auto" w:fill="FFFFFF"/>
        <w:tabs>
          <w:tab w:val="left" w:pos="1159"/>
        </w:tabs>
        <w:spacing w:before="120" w:after="120"/>
        <w:ind w:left="1701" w:hanging="567"/>
        <w:jc w:val="both"/>
        <w:rPr>
          <w:rFonts w:eastAsia="Times New Roman" w:cs="Times New Roman"/>
          <w:color w:val="auto"/>
          <w:spacing w:val="3"/>
          <w:lang w:eastAsia="en-US"/>
        </w:rPr>
      </w:pPr>
      <w:r w:rsidRPr="00DE12A3">
        <w:rPr>
          <w:rFonts w:eastAsia="Times New Roman" w:cs="Times New Roman"/>
          <w:color w:val="auto"/>
          <w:spacing w:val="4"/>
          <w:lang w:eastAsia="en-US"/>
        </w:rPr>
        <w:t>Manuel tartım için, iyi mühendislik kararı kullanılmalıdır</w:t>
      </w:r>
      <w:r w:rsidR="003844BE" w:rsidRPr="00DE12A3">
        <w:rPr>
          <w:rFonts w:eastAsia="Times New Roman" w:cs="Times New Roman"/>
          <w:color w:val="auto"/>
          <w:spacing w:val="4"/>
          <w:shd w:val="clear" w:color="auto" w:fill="FFFFFF"/>
          <w:lang w:eastAsia="en-US"/>
        </w:rPr>
        <w:t>.</w:t>
      </w:r>
    </w:p>
    <w:p w14:paraId="5E5694ED" w14:textId="3B1AE721" w:rsidR="002D7B36" w:rsidRPr="00DE12A3" w:rsidRDefault="005B44D8" w:rsidP="00E20716">
      <w:pPr>
        <w:numPr>
          <w:ilvl w:val="0"/>
          <w:numId w:val="305"/>
        </w:numPr>
        <w:shd w:val="clear" w:color="auto" w:fill="FFFFFF"/>
        <w:tabs>
          <w:tab w:val="left" w:pos="1159"/>
        </w:tabs>
        <w:spacing w:before="120" w:after="120"/>
        <w:ind w:left="1701" w:hanging="567"/>
        <w:jc w:val="both"/>
        <w:rPr>
          <w:rFonts w:eastAsia="Times New Roman" w:cs="Times New Roman"/>
          <w:color w:val="auto"/>
          <w:spacing w:val="3"/>
          <w:lang w:eastAsia="en-US"/>
        </w:rPr>
      </w:pPr>
      <w:r w:rsidRPr="00DE12A3">
        <w:rPr>
          <w:rFonts w:eastAsia="Times New Roman" w:cs="Times New Roman"/>
          <w:color w:val="auto"/>
          <w:spacing w:val="4"/>
          <w:lang w:eastAsia="en-US"/>
        </w:rPr>
        <w:t xml:space="preserve">     </w:t>
      </w:r>
      <w:r w:rsidR="00242DA0" w:rsidRPr="00DE12A3">
        <w:rPr>
          <w:rFonts w:eastAsia="Times New Roman" w:cs="Times New Roman"/>
          <w:color w:val="auto"/>
          <w:spacing w:val="4"/>
          <w:lang w:eastAsia="en-US"/>
        </w:rPr>
        <w:t>İsteğe bağlı olarak, ikame tartıma izin verilir (bkz. 8.2.3.10)</w:t>
      </w:r>
      <w:r w:rsidR="003844BE" w:rsidRPr="00DE12A3">
        <w:rPr>
          <w:rFonts w:eastAsia="Times New Roman" w:cs="Times New Roman"/>
          <w:color w:val="auto"/>
          <w:spacing w:val="4"/>
          <w:shd w:val="clear" w:color="auto" w:fill="FFFFFF"/>
          <w:lang w:eastAsia="en-US"/>
        </w:rPr>
        <w:t>.</w:t>
      </w:r>
    </w:p>
    <w:p w14:paraId="3A9C254F" w14:textId="77777777" w:rsidR="002D7B36" w:rsidRPr="00DE12A3" w:rsidRDefault="00C82777" w:rsidP="00E20716">
      <w:pPr>
        <w:numPr>
          <w:ilvl w:val="0"/>
          <w:numId w:val="305"/>
        </w:numPr>
        <w:shd w:val="clear" w:color="auto" w:fill="FFFFFF"/>
        <w:tabs>
          <w:tab w:val="left" w:pos="1159"/>
        </w:tabs>
        <w:spacing w:before="120" w:after="120"/>
        <w:ind w:left="1701" w:hanging="567"/>
        <w:jc w:val="both"/>
        <w:rPr>
          <w:rFonts w:eastAsia="Times New Roman" w:cs="Times New Roman"/>
          <w:color w:val="auto"/>
          <w:spacing w:val="3"/>
          <w:lang w:eastAsia="en-US"/>
        </w:rPr>
      </w:pPr>
      <w:r w:rsidRPr="00DE12A3">
        <w:rPr>
          <w:rFonts w:eastAsia="Times New Roman" w:cs="Times New Roman"/>
          <w:color w:val="auto"/>
          <w:spacing w:val="4"/>
          <w:lang w:eastAsia="en-US"/>
        </w:rPr>
        <w:t xml:space="preserve"> </w:t>
      </w:r>
      <w:r w:rsidR="00242DA0" w:rsidRPr="00DE12A3">
        <w:rPr>
          <w:rFonts w:eastAsia="Times New Roman" w:cs="Times New Roman"/>
          <w:color w:val="auto"/>
          <w:spacing w:val="4"/>
          <w:lang w:eastAsia="en-US"/>
        </w:rPr>
        <w:t>Bir filtre tartıldıktan sonra Petri kabına geri konur ve üzeri kapatılır</w:t>
      </w:r>
      <w:r w:rsidR="00242DA0" w:rsidRPr="00DE12A3">
        <w:rPr>
          <w:rFonts w:eastAsia="Times New Roman" w:cs="Times New Roman"/>
          <w:color w:val="auto"/>
          <w:spacing w:val="4"/>
          <w:shd w:val="clear" w:color="auto" w:fill="FFFFFF"/>
          <w:lang w:eastAsia="en-US"/>
        </w:rPr>
        <w:t>.</w:t>
      </w:r>
    </w:p>
    <w:p w14:paraId="1350200B" w14:textId="77777777" w:rsidR="002D7B36" w:rsidRPr="00DE12A3" w:rsidRDefault="00242DA0" w:rsidP="00E20716">
      <w:pPr>
        <w:numPr>
          <w:ilvl w:val="0"/>
          <w:numId w:val="304"/>
        </w:numPr>
        <w:shd w:val="clear" w:color="auto" w:fill="FFFFFF"/>
        <w:spacing w:before="120" w:after="120"/>
        <w:ind w:left="1134" w:hanging="1134"/>
        <w:jc w:val="both"/>
        <w:rPr>
          <w:rFonts w:eastAsia="Times New Roman" w:cs="Times New Roman"/>
          <w:color w:val="auto"/>
          <w:spacing w:val="3"/>
          <w:lang w:eastAsia="en-US"/>
        </w:rPr>
      </w:pPr>
      <w:r w:rsidRPr="00DE12A3">
        <w:rPr>
          <w:rFonts w:eastAsia="Times New Roman" w:cs="Times New Roman"/>
          <w:color w:val="auto"/>
          <w:spacing w:val="4"/>
          <w:lang w:eastAsia="en-US"/>
        </w:rPr>
        <w:t>Kaldırma kuvveti düzeltmesi</w:t>
      </w:r>
    </w:p>
    <w:p w14:paraId="03E9FF65" w14:textId="77777777" w:rsidR="002D7B36" w:rsidRPr="00DE12A3" w:rsidRDefault="005B44D8" w:rsidP="00C917D6">
      <w:pPr>
        <w:shd w:val="clear" w:color="auto" w:fill="FFFFFF"/>
        <w:spacing w:before="120" w:after="120"/>
        <w:ind w:left="1134" w:hanging="1134"/>
        <w:jc w:val="both"/>
        <w:rPr>
          <w:rFonts w:eastAsia="Times New Roman" w:cs="Times New Roman"/>
          <w:color w:val="auto"/>
          <w:spacing w:val="3"/>
          <w:lang w:eastAsia="en-US"/>
        </w:rPr>
      </w:pPr>
      <w:r w:rsidRPr="00DE12A3">
        <w:rPr>
          <w:rFonts w:eastAsia="Times New Roman" w:cs="Times New Roman"/>
          <w:color w:val="auto"/>
          <w:spacing w:val="4"/>
          <w:lang w:eastAsia="en-US"/>
        </w:rPr>
        <w:t xml:space="preserve">                  </w:t>
      </w:r>
      <w:r w:rsidR="00242DA0" w:rsidRPr="00DE12A3">
        <w:rPr>
          <w:rFonts w:eastAsia="Times New Roman" w:cs="Times New Roman"/>
          <w:color w:val="auto"/>
          <w:spacing w:val="4"/>
          <w:lang w:eastAsia="en-US"/>
        </w:rPr>
        <w:t>Ölçülen ağırlık, 8.1.13.2 bendinde açıklanan kaldırma kuvveti bakımından düzeltilmelidir</w:t>
      </w:r>
      <w:r w:rsidR="00242DA0" w:rsidRPr="00DE12A3">
        <w:rPr>
          <w:rFonts w:eastAsia="Times New Roman" w:cs="Times New Roman"/>
          <w:color w:val="auto"/>
          <w:spacing w:val="4"/>
          <w:shd w:val="clear" w:color="auto" w:fill="FFFFFF"/>
          <w:lang w:eastAsia="en-US"/>
        </w:rPr>
        <w:t>.</w:t>
      </w:r>
    </w:p>
    <w:p w14:paraId="42F77E6A" w14:textId="77777777" w:rsidR="002D7B36" w:rsidRPr="00DE12A3" w:rsidRDefault="00242DA0" w:rsidP="00E20716">
      <w:pPr>
        <w:numPr>
          <w:ilvl w:val="0"/>
          <w:numId w:val="304"/>
        </w:numPr>
        <w:shd w:val="clear" w:color="auto" w:fill="FFFFFF"/>
        <w:spacing w:before="120" w:after="120"/>
        <w:ind w:left="1134" w:hanging="1134"/>
        <w:jc w:val="both"/>
        <w:rPr>
          <w:rFonts w:eastAsia="Times New Roman" w:cs="Times New Roman"/>
          <w:color w:val="auto"/>
          <w:spacing w:val="3"/>
          <w:lang w:eastAsia="en-US"/>
        </w:rPr>
      </w:pPr>
      <w:r w:rsidRPr="00DE12A3">
        <w:rPr>
          <w:rFonts w:eastAsia="Times New Roman" w:cs="Times New Roman"/>
          <w:color w:val="auto"/>
          <w:spacing w:val="4"/>
          <w:lang w:eastAsia="en-US"/>
        </w:rPr>
        <w:t>Tekrarlama</w:t>
      </w:r>
    </w:p>
    <w:p w14:paraId="2BB96F3E" w14:textId="77777777" w:rsidR="002D7B36" w:rsidRPr="00DE12A3" w:rsidRDefault="005B44D8" w:rsidP="00C917D6">
      <w:pPr>
        <w:shd w:val="clear" w:color="auto" w:fill="FFFFFF"/>
        <w:tabs>
          <w:tab w:val="left" w:pos="1621"/>
          <w:tab w:val="center" w:pos="3276"/>
          <w:tab w:val="right" w:pos="3718"/>
          <w:tab w:val="left" w:pos="3756"/>
          <w:tab w:val="center" w:pos="4476"/>
          <w:tab w:val="center" w:pos="4658"/>
          <w:tab w:val="right" w:pos="5638"/>
        </w:tabs>
        <w:spacing w:before="120" w:after="120"/>
        <w:ind w:left="1134" w:hanging="1134"/>
        <w:jc w:val="both"/>
        <w:rPr>
          <w:rFonts w:eastAsia="Times New Roman" w:cs="Times New Roman"/>
          <w:color w:val="auto"/>
          <w:spacing w:val="3"/>
          <w:lang w:eastAsia="en-US"/>
        </w:rPr>
      </w:pPr>
      <w:r w:rsidRPr="00DE12A3">
        <w:rPr>
          <w:rFonts w:eastAsia="Times New Roman" w:cs="Times New Roman"/>
          <w:color w:val="auto"/>
          <w:spacing w:val="4"/>
          <w:lang w:eastAsia="en-US"/>
        </w:rPr>
        <w:t xml:space="preserve">                  </w:t>
      </w:r>
      <w:r w:rsidR="00242DA0" w:rsidRPr="00DE12A3">
        <w:rPr>
          <w:rFonts w:eastAsia="Times New Roman" w:cs="Times New Roman"/>
          <w:color w:val="auto"/>
          <w:spacing w:val="4"/>
          <w:lang w:eastAsia="en-US"/>
        </w:rPr>
        <w:t>Filtre kütlesi ölçümleri, iyi mühendislik kararı kullanılarak filtrenin ortalama kütlesini belirlemek ve aykırı değerlerin ortalama hesaplamasının dışında bırakmak bakımından tekrarlanabilir</w:t>
      </w:r>
      <w:r w:rsidR="00242DA0" w:rsidRPr="00DE12A3">
        <w:rPr>
          <w:rFonts w:eastAsia="Times New Roman" w:cs="Times New Roman"/>
          <w:color w:val="auto"/>
          <w:spacing w:val="4"/>
          <w:shd w:val="clear" w:color="auto" w:fill="FFFFFF"/>
          <w:lang w:eastAsia="en-US"/>
        </w:rPr>
        <w:t>.</w:t>
      </w:r>
    </w:p>
    <w:p w14:paraId="03ED62FC" w14:textId="77777777" w:rsidR="002D7B36" w:rsidRPr="00DE12A3" w:rsidRDefault="00242DA0" w:rsidP="00E20716">
      <w:pPr>
        <w:numPr>
          <w:ilvl w:val="0"/>
          <w:numId w:val="304"/>
        </w:numPr>
        <w:spacing w:before="120" w:after="120"/>
        <w:ind w:left="1134" w:hanging="1134"/>
        <w:jc w:val="both"/>
        <w:rPr>
          <w:rFonts w:eastAsia="Times New Roman" w:cs="Times New Roman"/>
          <w:color w:val="auto"/>
          <w:spacing w:val="3"/>
          <w:lang w:eastAsia="en-US"/>
        </w:rPr>
      </w:pPr>
      <w:r w:rsidRPr="00DE12A3">
        <w:rPr>
          <w:rFonts w:eastAsia="Times New Roman" w:cs="Times New Roman"/>
          <w:color w:val="auto"/>
          <w:spacing w:val="3"/>
          <w:lang w:eastAsia="en-US"/>
        </w:rPr>
        <w:t>Dara ağırlığının ölçülmesi</w:t>
      </w:r>
    </w:p>
    <w:p w14:paraId="44FB1FA2" w14:textId="77777777" w:rsidR="002D7B36" w:rsidRPr="00DE12A3" w:rsidRDefault="005B44D8" w:rsidP="00C917D6">
      <w:pPr>
        <w:spacing w:before="120" w:after="120"/>
        <w:ind w:left="1134" w:hanging="1134"/>
        <w:jc w:val="both"/>
        <w:rPr>
          <w:rFonts w:eastAsia="Times New Roman" w:cs="Times New Roman"/>
          <w:color w:val="auto"/>
          <w:spacing w:val="3"/>
          <w:lang w:eastAsia="en-US"/>
        </w:rPr>
      </w:pPr>
      <w:r w:rsidRPr="00DE12A3">
        <w:rPr>
          <w:rFonts w:eastAsia="Times New Roman" w:cs="Times New Roman"/>
          <w:color w:val="auto"/>
          <w:spacing w:val="3"/>
          <w:lang w:eastAsia="en-US"/>
        </w:rPr>
        <w:lastRenderedPageBreak/>
        <w:t xml:space="preserve">                  </w:t>
      </w:r>
      <w:r w:rsidR="00242DA0" w:rsidRPr="00DE12A3">
        <w:rPr>
          <w:rFonts w:eastAsia="Times New Roman" w:cs="Times New Roman"/>
          <w:color w:val="auto"/>
          <w:spacing w:val="3"/>
          <w:lang w:eastAsia="en-US"/>
        </w:rPr>
        <w:t>Dara ağırlığı ölçülen kullanılmamış filtreler, temiz filtre kartuşlarına takılmalı ve yüklü kartuşlar örnekleme için test hücresine alınmadan önce kapalı veya yalıtılmış bir kabın içine yerleştirilmelidir.</w:t>
      </w:r>
    </w:p>
    <w:p w14:paraId="70F96BA1" w14:textId="77777777" w:rsidR="002D7B36" w:rsidRPr="00DE12A3" w:rsidRDefault="00242DA0" w:rsidP="00E20716">
      <w:pPr>
        <w:numPr>
          <w:ilvl w:val="0"/>
          <w:numId w:val="304"/>
        </w:numPr>
        <w:spacing w:before="120" w:after="120"/>
        <w:ind w:left="1134" w:hanging="1134"/>
        <w:jc w:val="both"/>
        <w:rPr>
          <w:rFonts w:eastAsia="Times New Roman" w:cs="Times New Roman"/>
          <w:color w:val="auto"/>
          <w:spacing w:val="3"/>
          <w:lang w:eastAsia="en-US"/>
        </w:rPr>
      </w:pPr>
      <w:r w:rsidRPr="00DE12A3">
        <w:rPr>
          <w:rFonts w:eastAsia="Times New Roman" w:cs="Times New Roman"/>
          <w:color w:val="auto"/>
          <w:spacing w:val="3"/>
          <w:lang w:eastAsia="en-US"/>
        </w:rPr>
        <w:t>İkame tartım</w:t>
      </w:r>
    </w:p>
    <w:p w14:paraId="2BA30144" w14:textId="209D3EE1" w:rsidR="002D7B36" w:rsidRPr="00DE12A3" w:rsidRDefault="005B44D8" w:rsidP="00C917D6">
      <w:pPr>
        <w:spacing w:before="120" w:after="120"/>
        <w:ind w:left="1134" w:hanging="1134"/>
        <w:jc w:val="both"/>
        <w:rPr>
          <w:rFonts w:eastAsia="Times New Roman" w:cs="Times New Roman"/>
          <w:color w:val="auto"/>
          <w:spacing w:val="3"/>
          <w:lang w:eastAsia="en-US"/>
        </w:rPr>
      </w:pPr>
      <w:r w:rsidRPr="00DE12A3">
        <w:rPr>
          <w:rFonts w:eastAsia="Times New Roman" w:cs="Times New Roman"/>
          <w:color w:val="auto"/>
          <w:spacing w:val="3"/>
          <w:lang w:eastAsia="en-US"/>
        </w:rPr>
        <w:t xml:space="preserve">                  </w:t>
      </w:r>
      <w:r w:rsidR="00242DA0" w:rsidRPr="00DE12A3">
        <w:rPr>
          <w:rFonts w:eastAsia="Times New Roman" w:cs="Times New Roman"/>
          <w:color w:val="auto"/>
          <w:spacing w:val="3"/>
          <w:lang w:eastAsia="en-US"/>
        </w:rPr>
        <w:t>İkame tartım bir seçenektir ve kullanılırsa, PM örnekleme maddesine (ör</w:t>
      </w:r>
      <w:r w:rsidR="00274519" w:rsidRPr="00DE12A3">
        <w:rPr>
          <w:rFonts w:eastAsia="Times New Roman" w:cs="Times New Roman"/>
          <w:color w:val="auto"/>
          <w:spacing w:val="3"/>
          <w:lang w:eastAsia="en-US"/>
        </w:rPr>
        <w:t xml:space="preserve">neğin </w:t>
      </w:r>
      <w:r w:rsidR="00242DA0" w:rsidRPr="00DE12A3">
        <w:rPr>
          <w:rFonts w:eastAsia="Times New Roman" w:cs="Times New Roman"/>
          <w:color w:val="auto"/>
          <w:spacing w:val="3"/>
          <w:lang w:eastAsia="en-US"/>
        </w:rPr>
        <w:t xml:space="preserve">filtre) ilişkin her tartım öncesinde ve sonrasında bir referans ağırlığın ölçülmesini içerir. İkame tartım daha fazla ölçüm gerektirse </w:t>
      </w:r>
      <w:r w:rsidR="00441404" w:rsidRPr="00DE12A3">
        <w:rPr>
          <w:rFonts w:eastAsia="Times New Roman" w:cs="Times New Roman"/>
          <w:color w:val="auto"/>
          <w:spacing w:val="3"/>
          <w:lang w:eastAsia="en-US"/>
        </w:rPr>
        <w:t>de</w:t>
      </w:r>
      <w:r w:rsidR="00242DA0" w:rsidRPr="00DE12A3">
        <w:rPr>
          <w:rFonts w:eastAsia="Times New Roman" w:cs="Times New Roman"/>
          <w:color w:val="auto"/>
          <w:spacing w:val="3"/>
          <w:lang w:eastAsia="en-US"/>
        </w:rPr>
        <w:t xml:space="preserve"> dengenin sıfır </w:t>
      </w:r>
      <w:r w:rsidR="00093948" w:rsidRPr="00DE12A3">
        <w:rPr>
          <w:rFonts w:eastAsia="Times New Roman" w:cs="Times New Roman"/>
          <w:color w:val="auto"/>
          <w:spacing w:val="3"/>
          <w:lang w:eastAsia="en-US"/>
        </w:rPr>
        <w:t xml:space="preserve">sapmasını </w:t>
      </w:r>
      <w:r w:rsidR="00242DA0" w:rsidRPr="00DE12A3">
        <w:rPr>
          <w:rFonts w:eastAsia="Times New Roman" w:cs="Times New Roman"/>
          <w:color w:val="auto"/>
          <w:spacing w:val="3"/>
          <w:lang w:eastAsia="en-US"/>
        </w:rPr>
        <w:t xml:space="preserve">düzeltir ve sadece küçük bir aralıkta denge doğrusallığına dayanır. Bunun en uygun olduğu zaman, numune maddesi kütlesinin </w:t>
      </w:r>
      <w:r w:rsidR="00C82777" w:rsidRPr="00DE12A3">
        <w:rPr>
          <w:rFonts w:eastAsia="Times New Roman" w:cs="Times New Roman"/>
          <w:color w:val="auto"/>
          <w:spacing w:val="3"/>
          <w:lang w:eastAsia="en-US"/>
        </w:rPr>
        <w:t>%0,1</w:t>
      </w:r>
      <w:r w:rsidR="00242DA0" w:rsidRPr="00DE12A3">
        <w:rPr>
          <w:rFonts w:eastAsia="Times New Roman" w:cs="Times New Roman"/>
          <w:color w:val="auto"/>
          <w:spacing w:val="3"/>
          <w:lang w:eastAsia="en-US"/>
        </w:rPr>
        <w:t xml:space="preserve">'inin altındaki toplam PM kütleleri ölçümüdür. Bununla birlikte, toplam PM kütleleri, numune maddesi kütlesinin </w:t>
      </w:r>
      <w:r w:rsidR="00441404" w:rsidRPr="00DE12A3">
        <w:rPr>
          <w:rFonts w:eastAsia="Times New Roman" w:cs="Times New Roman"/>
          <w:color w:val="auto"/>
          <w:spacing w:val="3"/>
          <w:lang w:eastAsia="en-US"/>
        </w:rPr>
        <w:t>%1</w:t>
      </w:r>
      <w:r w:rsidR="00242DA0" w:rsidRPr="00DE12A3">
        <w:rPr>
          <w:rFonts w:eastAsia="Times New Roman" w:cs="Times New Roman"/>
          <w:color w:val="auto"/>
          <w:spacing w:val="3"/>
          <w:lang w:eastAsia="en-US"/>
        </w:rPr>
        <w:t xml:space="preserve">'ini aştığında uygun olmayabilir. İkame tartım </w:t>
      </w:r>
      <w:r w:rsidR="00C82777" w:rsidRPr="00DE12A3">
        <w:rPr>
          <w:rFonts w:eastAsia="Times New Roman" w:cs="Times New Roman"/>
          <w:color w:val="auto"/>
          <w:spacing w:val="3"/>
          <w:lang w:eastAsia="en-US"/>
        </w:rPr>
        <w:t>kullanılırsa</w:t>
      </w:r>
      <w:r w:rsidR="00242DA0" w:rsidRPr="00DE12A3">
        <w:rPr>
          <w:rFonts w:eastAsia="Times New Roman" w:cs="Times New Roman"/>
          <w:color w:val="auto"/>
          <w:spacing w:val="3"/>
          <w:lang w:eastAsia="en-US"/>
        </w:rPr>
        <w:t xml:space="preserve"> hem ön test hem de test sonrası tartım için kullanılmalıdır. Aynı ikame </w:t>
      </w:r>
      <w:r w:rsidR="00C82777" w:rsidRPr="00DE12A3">
        <w:rPr>
          <w:rFonts w:eastAsia="Times New Roman" w:cs="Times New Roman"/>
          <w:color w:val="auto"/>
          <w:spacing w:val="3"/>
          <w:lang w:eastAsia="en-US"/>
        </w:rPr>
        <w:t>ağırlık</w:t>
      </w:r>
      <w:r w:rsidR="00242DA0" w:rsidRPr="00DE12A3">
        <w:rPr>
          <w:rFonts w:eastAsia="Times New Roman" w:cs="Times New Roman"/>
          <w:color w:val="auto"/>
          <w:spacing w:val="3"/>
          <w:lang w:eastAsia="en-US"/>
        </w:rPr>
        <w:t xml:space="preserve"> hem ön test hem de test sonrası tartım için kullanılmalıdır. İkame ağırlığın yoğunluğu 2,0 g/cm3'ten az ise, ikame ağırlığın kütlesi kaldırma kuvveti bakımından düzeltilmelidir. Aşağıdaki adımlar, ikame tartım için bir örnektir:</w:t>
      </w:r>
    </w:p>
    <w:p w14:paraId="27745842" w14:textId="1221A91E" w:rsidR="002D7B36" w:rsidRPr="00DE12A3" w:rsidRDefault="005B44D8" w:rsidP="00E20716">
      <w:pPr>
        <w:numPr>
          <w:ilvl w:val="0"/>
          <w:numId w:val="306"/>
        </w:numPr>
        <w:spacing w:before="120" w:after="120"/>
        <w:ind w:left="1701" w:hanging="567"/>
        <w:jc w:val="both"/>
        <w:rPr>
          <w:rFonts w:eastAsia="Times New Roman" w:cs="Times New Roman"/>
          <w:color w:val="auto"/>
          <w:spacing w:val="3"/>
          <w:lang w:eastAsia="en-US"/>
        </w:rPr>
      </w:pPr>
      <w:r w:rsidRPr="00DE12A3">
        <w:rPr>
          <w:rFonts w:eastAsia="Times New Roman" w:cs="Times New Roman"/>
          <w:color w:val="auto"/>
          <w:spacing w:val="3"/>
          <w:lang w:eastAsia="en-US"/>
        </w:rPr>
        <w:t xml:space="preserve">    </w:t>
      </w:r>
      <w:r w:rsidR="00242DA0" w:rsidRPr="00DE12A3">
        <w:rPr>
          <w:rFonts w:eastAsia="Times New Roman" w:cs="Times New Roman"/>
          <w:color w:val="auto"/>
          <w:spacing w:val="3"/>
          <w:lang w:eastAsia="en-US"/>
        </w:rPr>
        <w:t>9.3.4.6 bendinde tarif edilen elektrik topraklamalı cımbız veya topraklama kablosu kullanılmalıdır</w:t>
      </w:r>
      <w:r w:rsidR="003844BE" w:rsidRPr="00DE12A3">
        <w:rPr>
          <w:rFonts w:eastAsia="Times New Roman" w:cs="Times New Roman"/>
          <w:color w:val="auto"/>
          <w:spacing w:val="3"/>
          <w:lang w:eastAsia="en-US"/>
        </w:rPr>
        <w:t>.</w:t>
      </w:r>
    </w:p>
    <w:p w14:paraId="356AAB8D" w14:textId="3061AC5B" w:rsidR="002D7B36" w:rsidRPr="00DE12A3" w:rsidRDefault="00EF0D08" w:rsidP="00E20716">
      <w:pPr>
        <w:numPr>
          <w:ilvl w:val="0"/>
          <w:numId w:val="306"/>
        </w:numPr>
        <w:tabs>
          <w:tab w:val="left" w:pos="1190"/>
        </w:tabs>
        <w:spacing w:before="120" w:after="120"/>
        <w:ind w:left="1701" w:hanging="567"/>
        <w:jc w:val="both"/>
        <w:rPr>
          <w:rFonts w:eastAsia="Times New Roman" w:cs="Times New Roman"/>
          <w:color w:val="auto"/>
          <w:spacing w:val="3"/>
          <w:lang w:eastAsia="en-US"/>
        </w:rPr>
      </w:pPr>
      <w:r w:rsidRPr="00DE12A3">
        <w:rPr>
          <w:rFonts w:eastAsia="Times New Roman" w:cs="Times New Roman"/>
          <w:color w:val="auto"/>
          <w:spacing w:val="3"/>
          <w:lang w:eastAsia="en-US"/>
        </w:rPr>
        <w:t>Balans</w:t>
      </w:r>
      <w:r w:rsidR="00242DA0" w:rsidRPr="00DE12A3">
        <w:rPr>
          <w:rFonts w:eastAsia="Times New Roman" w:cs="Times New Roman"/>
          <w:color w:val="auto"/>
          <w:spacing w:val="3"/>
          <w:lang w:eastAsia="en-US"/>
        </w:rPr>
        <w:t xml:space="preserve"> kefesine koymadan önce her nesne üzerindeki statik elektrik yükünü asgariye indirmek için 9.3.4.6 bendinde tarif edilen statik nötrleştirici kullanılmalıdır</w:t>
      </w:r>
      <w:r w:rsidR="003844BE" w:rsidRPr="00DE12A3">
        <w:rPr>
          <w:rFonts w:eastAsia="Times New Roman" w:cs="Times New Roman"/>
          <w:color w:val="auto"/>
          <w:spacing w:val="3"/>
          <w:lang w:eastAsia="en-US"/>
        </w:rPr>
        <w:t>.</w:t>
      </w:r>
    </w:p>
    <w:p w14:paraId="58441650" w14:textId="2E1DEB56" w:rsidR="002D7B36" w:rsidRPr="00DE12A3" w:rsidRDefault="005B44D8" w:rsidP="00E20716">
      <w:pPr>
        <w:numPr>
          <w:ilvl w:val="0"/>
          <w:numId w:val="306"/>
        </w:numPr>
        <w:tabs>
          <w:tab w:val="left" w:pos="1190"/>
        </w:tabs>
        <w:spacing w:before="120" w:after="120"/>
        <w:ind w:left="1701" w:hanging="567"/>
        <w:jc w:val="both"/>
        <w:rPr>
          <w:rFonts w:eastAsia="Times New Roman" w:cs="Times New Roman"/>
          <w:color w:val="auto"/>
          <w:spacing w:val="3"/>
          <w:lang w:eastAsia="en-US"/>
        </w:rPr>
      </w:pPr>
      <w:r w:rsidRPr="00DE12A3">
        <w:rPr>
          <w:rFonts w:eastAsia="Times New Roman" w:cs="Times New Roman"/>
          <w:color w:val="auto"/>
          <w:spacing w:val="3"/>
          <w:lang w:eastAsia="en-US"/>
        </w:rPr>
        <w:t xml:space="preserve">     </w:t>
      </w:r>
      <w:r w:rsidR="00242DA0" w:rsidRPr="00DE12A3">
        <w:rPr>
          <w:rFonts w:eastAsia="Times New Roman" w:cs="Times New Roman"/>
          <w:color w:val="auto"/>
          <w:spacing w:val="3"/>
          <w:lang w:eastAsia="en-US"/>
        </w:rPr>
        <w:t xml:space="preserve">9.5.2 bendindeki kalibrasyon ağırlıklarına ilişkin </w:t>
      </w:r>
      <w:r w:rsidR="0053289F" w:rsidRPr="00DE12A3">
        <w:rPr>
          <w:rFonts w:eastAsia="Times New Roman" w:cs="Times New Roman"/>
          <w:color w:val="auto"/>
          <w:spacing w:val="3"/>
          <w:lang w:eastAsia="en-US"/>
        </w:rPr>
        <w:t>gereklilikleri</w:t>
      </w:r>
      <w:r w:rsidR="00242DA0" w:rsidRPr="00DE12A3">
        <w:rPr>
          <w:rFonts w:eastAsia="Times New Roman" w:cs="Times New Roman"/>
          <w:color w:val="auto"/>
          <w:spacing w:val="3"/>
          <w:lang w:eastAsia="en-US"/>
        </w:rPr>
        <w:t xml:space="preserve"> sağlayan bir ikame ağırlık seçilmelidir. İkame ağırlık ayrıca, mikro dengeyi ayarlamak için kullanılan ağırlıkla aynı yoğunluğa sahip olmalı ve kullanılmayan bir numune maddesine (</w:t>
      </w:r>
      <w:r w:rsidR="00E10EB2" w:rsidRPr="00DE12A3">
        <w:rPr>
          <w:rFonts w:eastAsia="Times New Roman" w:cs="Times New Roman"/>
          <w:color w:val="auto"/>
          <w:spacing w:val="3"/>
          <w:lang w:eastAsia="en-US"/>
        </w:rPr>
        <w:t>örneğin filtre</w:t>
      </w:r>
      <w:r w:rsidR="00242DA0" w:rsidRPr="00DE12A3">
        <w:rPr>
          <w:rFonts w:eastAsia="Times New Roman" w:cs="Times New Roman"/>
          <w:color w:val="auto"/>
          <w:spacing w:val="3"/>
          <w:lang w:eastAsia="en-US"/>
        </w:rPr>
        <w:t>) kütle bakımından benzer olmalıdır. Filtreler kullanılırsa, tipik 47 mm çaplı filtreler için ağırlığın kütlesi yaklaşık 80 ila 100 mg olmalıdır</w:t>
      </w:r>
      <w:r w:rsidR="003844BE" w:rsidRPr="00DE12A3">
        <w:rPr>
          <w:rFonts w:eastAsia="Times New Roman" w:cs="Times New Roman"/>
          <w:color w:val="auto"/>
          <w:spacing w:val="3"/>
          <w:lang w:eastAsia="en-US"/>
        </w:rPr>
        <w:t>.</w:t>
      </w:r>
    </w:p>
    <w:p w14:paraId="4718EFF3" w14:textId="4CDA18A2" w:rsidR="002D7B36" w:rsidRPr="00DE12A3" w:rsidRDefault="00242DA0" w:rsidP="00E20716">
      <w:pPr>
        <w:numPr>
          <w:ilvl w:val="0"/>
          <w:numId w:val="306"/>
        </w:numPr>
        <w:tabs>
          <w:tab w:val="left" w:pos="1190"/>
        </w:tabs>
        <w:spacing w:before="120" w:after="120"/>
        <w:ind w:left="1701" w:hanging="567"/>
        <w:jc w:val="both"/>
        <w:rPr>
          <w:rFonts w:eastAsia="Times New Roman" w:cs="Times New Roman"/>
          <w:color w:val="auto"/>
          <w:spacing w:val="3"/>
          <w:lang w:eastAsia="en-US"/>
        </w:rPr>
      </w:pPr>
      <w:r w:rsidRPr="00DE12A3">
        <w:rPr>
          <w:rFonts w:eastAsia="Times New Roman" w:cs="Times New Roman"/>
          <w:color w:val="auto"/>
          <w:spacing w:val="3"/>
          <w:lang w:eastAsia="en-US"/>
        </w:rPr>
        <w:t xml:space="preserve">Dengeli </w:t>
      </w:r>
      <w:r w:rsidR="00EF0D08" w:rsidRPr="00DE12A3">
        <w:rPr>
          <w:rFonts w:eastAsia="Times New Roman" w:cs="Times New Roman"/>
          <w:color w:val="auto"/>
          <w:spacing w:val="3"/>
          <w:lang w:eastAsia="en-US"/>
        </w:rPr>
        <w:t>balans</w:t>
      </w:r>
      <w:r w:rsidRPr="00DE12A3">
        <w:rPr>
          <w:rFonts w:eastAsia="Times New Roman" w:cs="Times New Roman"/>
          <w:color w:val="auto"/>
          <w:spacing w:val="3"/>
          <w:lang w:eastAsia="en-US"/>
        </w:rPr>
        <w:t xml:space="preserve"> okuması kaydedilmeli ve daha sonra kalibrasyon ağırlığı kaldırılmalıdır</w:t>
      </w:r>
      <w:r w:rsidR="003844BE" w:rsidRPr="00DE12A3">
        <w:rPr>
          <w:rFonts w:eastAsia="Times New Roman" w:cs="Times New Roman"/>
          <w:color w:val="auto"/>
          <w:spacing w:val="3"/>
          <w:lang w:eastAsia="en-US"/>
        </w:rPr>
        <w:t>.</w:t>
      </w:r>
    </w:p>
    <w:p w14:paraId="22BA24E8" w14:textId="65EFE93F" w:rsidR="002D7B36" w:rsidRPr="00DE12A3" w:rsidRDefault="005B44D8" w:rsidP="00E20716">
      <w:pPr>
        <w:numPr>
          <w:ilvl w:val="0"/>
          <w:numId w:val="306"/>
        </w:numPr>
        <w:tabs>
          <w:tab w:val="left" w:pos="1190"/>
        </w:tabs>
        <w:spacing w:before="120" w:after="120"/>
        <w:ind w:left="1701" w:hanging="567"/>
        <w:jc w:val="both"/>
        <w:rPr>
          <w:rFonts w:eastAsia="Times New Roman" w:cs="Times New Roman"/>
          <w:color w:val="auto"/>
          <w:spacing w:val="3"/>
          <w:lang w:eastAsia="en-US"/>
        </w:rPr>
      </w:pPr>
      <w:r w:rsidRPr="00DE12A3">
        <w:rPr>
          <w:rFonts w:eastAsia="Times New Roman" w:cs="Times New Roman"/>
          <w:color w:val="auto"/>
          <w:spacing w:val="3"/>
          <w:lang w:eastAsia="en-US"/>
        </w:rPr>
        <w:t xml:space="preserve">     </w:t>
      </w:r>
      <w:r w:rsidR="00242DA0" w:rsidRPr="00DE12A3">
        <w:rPr>
          <w:rFonts w:eastAsia="Times New Roman" w:cs="Times New Roman"/>
          <w:color w:val="auto"/>
          <w:spacing w:val="3"/>
          <w:lang w:eastAsia="en-US"/>
        </w:rPr>
        <w:t>Kullanılmayan bir örnekleme maddesi (ör</w:t>
      </w:r>
      <w:r w:rsidR="00274519" w:rsidRPr="00DE12A3">
        <w:rPr>
          <w:rFonts w:eastAsia="Times New Roman" w:cs="Times New Roman"/>
          <w:color w:val="auto"/>
          <w:spacing w:val="3"/>
          <w:lang w:eastAsia="en-US"/>
        </w:rPr>
        <w:t xml:space="preserve">neğin </w:t>
      </w:r>
      <w:r w:rsidR="00242DA0" w:rsidRPr="00DE12A3">
        <w:rPr>
          <w:rFonts w:eastAsia="Times New Roman" w:cs="Times New Roman"/>
          <w:color w:val="auto"/>
          <w:spacing w:val="3"/>
          <w:lang w:eastAsia="en-US"/>
        </w:rPr>
        <w:t xml:space="preserve">yeni bir filtre) tartılmalı, dengeli </w:t>
      </w:r>
      <w:r w:rsidR="00EF0D08" w:rsidRPr="00DE12A3">
        <w:rPr>
          <w:rFonts w:eastAsia="Times New Roman" w:cs="Times New Roman"/>
          <w:color w:val="auto"/>
          <w:spacing w:val="3"/>
          <w:lang w:eastAsia="en-US"/>
        </w:rPr>
        <w:t>balans</w:t>
      </w:r>
      <w:r w:rsidR="00242DA0" w:rsidRPr="00DE12A3">
        <w:rPr>
          <w:rFonts w:eastAsia="Times New Roman" w:cs="Times New Roman"/>
          <w:color w:val="auto"/>
          <w:spacing w:val="3"/>
          <w:lang w:eastAsia="en-US"/>
        </w:rPr>
        <w:t xml:space="preserve"> okuması kaydedilmeli ve denge ortamının yoğuşma noktası, ortam sıcaklığı ve atmosfer basıncı kaydedilmelidir</w:t>
      </w:r>
      <w:r w:rsidR="003844BE" w:rsidRPr="00DE12A3">
        <w:rPr>
          <w:rFonts w:eastAsia="Times New Roman" w:cs="Times New Roman"/>
          <w:color w:val="auto"/>
          <w:spacing w:val="3"/>
          <w:lang w:eastAsia="en-US"/>
        </w:rPr>
        <w:t>.</w:t>
      </w:r>
    </w:p>
    <w:p w14:paraId="5A2693C6" w14:textId="3FD41364" w:rsidR="002D7B36" w:rsidRPr="00DE12A3" w:rsidRDefault="005B44D8" w:rsidP="00E20716">
      <w:pPr>
        <w:numPr>
          <w:ilvl w:val="0"/>
          <w:numId w:val="306"/>
        </w:numPr>
        <w:tabs>
          <w:tab w:val="left" w:pos="1190"/>
        </w:tabs>
        <w:spacing w:before="120" w:after="120"/>
        <w:ind w:left="1701" w:hanging="567"/>
        <w:jc w:val="both"/>
        <w:rPr>
          <w:rFonts w:eastAsia="Times New Roman" w:cs="Times New Roman"/>
          <w:color w:val="auto"/>
          <w:spacing w:val="3"/>
          <w:lang w:eastAsia="en-US"/>
        </w:rPr>
      </w:pPr>
      <w:r w:rsidRPr="00DE12A3">
        <w:rPr>
          <w:rFonts w:eastAsia="Times New Roman" w:cs="Times New Roman"/>
          <w:color w:val="auto"/>
          <w:spacing w:val="3"/>
          <w:lang w:eastAsia="en-US"/>
        </w:rPr>
        <w:t xml:space="preserve">     </w:t>
      </w:r>
      <w:r w:rsidR="00242DA0" w:rsidRPr="00DE12A3">
        <w:rPr>
          <w:rFonts w:eastAsia="Times New Roman" w:cs="Times New Roman"/>
          <w:color w:val="auto"/>
          <w:spacing w:val="3"/>
          <w:lang w:eastAsia="en-US"/>
        </w:rPr>
        <w:t xml:space="preserve">Kalibrasyon ağırlığı yeniden tartılmalı ve dengeli </w:t>
      </w:r>
      <w:r w:rsidR="00EF0D08" w:rsidRPr="00DE12A3">
        <w:rPr>
          <w:rFonts w:eastAsia="Times New Roman" w:cs="Times New Roman"/>
          <w:color w:val="auto"/>
          <w:spacing w:val="3"/>
          <w:lang w:eastAsia="en-US"/>
        </w:rPr>
        <w:t>balans</w:t>
      </w:r>
      <w:r w:rsidR="00242DA0" w:rsidRPr="00DE12A3">
        <w:rPr>
          <w:rFonts w:eastAsia="Times New Roman" w:cs="Times New Roman"/>
          <w:color w:val="auto"/>
          <w:spacing w:val="3"/>
          <w:lang w:eastAsia="en-US"/>
        </w:rPr>
        <w:t xml:space="preserve"> okuması kaydedilmelidir</w:t>
      </w:r>
      <w:r w:rsidR="003844BE" w:rsidRPr="00DE12A3">
        <w:rPr>
          <w:rFonts w:eastAsia="Times New Roman" w:cs="Times New Roman"/>
          <w:color w:val="auto"/>
          <w:spacing w:val="3"/>
          <w:lang w:eastAsia="en-US"/>
        </w:rPr>
        <w:t>.</w:t>
      </w:r>
    </w:p>
    <w:p w14:paraId="14FFF550" w14:textId="45F8C6AF" w:rsidR="002D7B36" w:rsidRPr="00DE12A3" w:rsidRDefault="00242DA0" w:rsidP="00E20716">
      <w:pPr>
        <w:numPr>
          <w:ilvl w:val="0"/>
          <w:numId w:val="306"/>
        </w:numPr>
        <w:tabs>
          <w:tab w:val="left" w:pos="1190"/>
        </w:tabs>
        <w:spacing w:before="120" w:after="120"/>
        <w:ind w:left="1701" w:hanging="567"/>
        <w:jc w:val="both"/>
        <w:rPr>
          <w:rFonts w:eastAsia="Times New Roman" w:cs="Times New Roman"/>
          <w:color w:val="auto"/>
          <w:spacing w:val="3"/>
          <w:lang w:eastAsia="en-US"/>
        </w:rPr>
      </w:pPr>
      <w:r w:rsidRPr="00DE12A3">
        <w:rPr>
          <w:rFonts w:eastAsia="Times New Roman" w:cs="Times New Roman"/>
          <w:color w:val="auto"/>
          <w:spacing w:val="3"/>
          <w:lang w:eastAsia="en-US"/>
        </w:rPr>
        <w:t>Kullanılmayan numunenin tartılmasından hemen önce ve sonra kaydedilen iki kalibrasyon ağırlığı okumasının aritmetik ortalaması hesaplanmalıdır. Bu ortalama değer kullanılmayan numune okumasından çıkarılmalı, daha sonra kalibrasyon ağırlığı sertifikasında belirtilen kalibrasyon ağırlığının gerçek kütlesi eklenmelidir. Bu sonuç kaydedilmelidir. Bu, kullanılmayan numunenin kaldırma kuvveti bakımından düzeltilmemiş dara ağırlığıdır</w:t>
      </w:r>
      <w:r w:rsidR="003844BE" w:rsidRPr="00DE12A3">
        <w:rPr>
          <w:rFonts w:eastAsia="Times New Roman" w:cs="Times New Roman"/>
          <w:color w:val="auto"/>
          <w:spacing w:val="3"/>
          <w:lang w:eastAsia="en-US"/>
        </w:rPr>
        <w:t>.</w:t>
      </w:r>
    </w:p>
    <w:p w14:paraId="3A72C47F" w14:textId="73EAFBDE" w:rsidR="002D7B36" w:rsidRPr="00DE12A3" w:rsidRDefault="00242DA0" w:rsidP="00E20716">
      <w:pPr>
        <w:numPr>
          <w:ilvl w:val="0"/>
          <w:numId w:val="306"/>
        </w:numPr>
        <w:tabs>
          <w:tab w:val="left" w:pos="1190"/>
        </w:tabs>
        <w:spacing w:before="120" w:after="120"/>
        <w:ind w:left="1701" w:hanging="567"/>
        <w:jc w:val="both"/>
        <w:rPr>
          <w:rFonts w:eastAsia="Times New Roman" w:cs="Times New Roman"/>
          <w:color w:val="auto"/>
          <w:spacing w:val="3"/>
          <w:lang w:eastAsia="en-US"/>
        </w:rPr>
      </w:pPr>
      <w:r w:rsidRPr="00DE12A3">
        <w:rPr>
          <w:rFonts w:eastAsia="Times New Roman" w:cs="Times New Roman"/>
          <w:color w:val="auto"/>
          <w:spacing w:val="3"/>
          <w:lang w:eastAsia="en-US"/>
        </w:rPr>
        <w:t>Bu ikame tartım adımları, kullanılmamış numune maddesinin geriye kalan kısmı için tekrarlanmalıdır</w:t>
      </w:r>
      <w:r w:rsidR="003844BE" w:rsidRPr="00DE12A3">
        <w:rPr>
          <w:rFonts w:eastAsia="Times New Roman" w:cs="Times New Roman"/>
          <w:color w:val="auto"/>
          <w:spacing w:val="3"/>
          <w:lang w:eastAsia="en-US"/>
        </w:rPr>
        <w:t>.</w:t>
      </w:r>
    </w:p>
    <w:p w14:paraId="5FE90C15" w14:textId="77777777" w:rsidR="002D7B36" w:rsidRPr="00DE12A3" w:rsidRDefault="005B44D8" w:rsidP="00E20716">
      <w:pPr>
        <w:numPr>
          <w:ilvl w:val="0"/>
          <w:numId w:val="306"/>
        </w:numPr>
        <w:spacing w:before="120" w:after="120"/>
        <w:ind w:left="1701" w:hanging="567"/>
        <w:jc w:val="both"/>
        <w:rPr>
          <w:rFonts w:eastAsia="Times New Roman" w:cs="Times New Roman"/>
          <w:color w:val="auto"/>
          <w:spacing w:val="3"/>
          <w:lang w:eastAsia="en-US"/>
        </w:rPr>
      </w:pPr>
      <w:r w:rsidRPr="00DE12A3">
        <w:rPr>
          <w:rFonts w:eastAsia="Times New Roman" w:cs="Times New Roman"/>
          <w:color w:val="auto"/>
          <w:spacing w:val="3"/>
          <w:lang w:eastAsia="en-US"/>
        </w:rPr>
        <w:t xml:space="preserve">  </w:t>
      </w:r>
      <w:r w:rsidR="0055404E" w:rsidRPr="00DE12A3">
        <w:rPr>
          <w:rFonts w:eastAsia="Times New Roman" w:cs="Times New Roman"/>
          <w:color w:val="auto"/>
          <w:spacing w:val="3"/>
          <w:lang w:eastAsia="en-US"/>
        </w:rPr>
        <w:t xml:space="preserve"> </w:t>
      </w:r>
      <w:r w:rsidRPr="00DE12A3">
        <w:rPr>
          <w:rFonts w:eastAsia="Times New Roman" w:cs="Times New Roman"/>
          <w:color w:val="auto"/>
          <w:spacing w:val="3"/>
          <w:lang w:eastAsia="en-US"/>
        </w:rPr>
        <w:t xml:space="preserve"> </w:t>
      </w:r>
      <w:r w:rsidR="00242DA0" w:rsidRPr="00DE12A3">
        <w:rPr>
          <w:rFonts w:eastAsia="Times New Roman" w:cs="Times New Roman"/>
          <w:color w:val="auto"/>
          <w:spacing w:val="3"/>
          <w:lang w:eastAsia="en-US"/>
        </w:rPr>
        <w:t>Tartım tamamlandıktan sonra, 8.2.3.7 ila 8.2.3.9 bentlerinde verilen talimatlara uyulmalıdır.</w:t>
      </w:r>
    </w:p>
    <w:p w14:paraId="0A817A91" w14:textId="77777777" w:rsidR="002D7B36" w:rsidRPr="00DE12A3" w:rsidRDefault="005B44D8" w:rsidP="00E20716">
      <w:pPr>
        <w:numPr>
          <w:ilvl w:val="0"/>
          <w:numId w:val="301"/>
        </w:numPr>
        <w:tabs>
          <w:tab w:val="left" w:pos="898"/>
          <w:tab w:val="left" w:pos="1541"/>
        </w:tabs>
        <w:spacing w:before="120" w:after="120"/>
        <w:ind w:left="1134" w:hanging="1134"/>
        <w:jc w:val="both"/>
        <w:rPr>
          <w:rFonts w:eastAsia="Times New Roman" w:cs="Times New Roman"/>
          <w:color w:val="auto"/>
          <w:spacing w:val="3"/>
          <w:lang w:eastAsia="en-US"/>
        </w:rPr>
      </w:pPr>
      <w:r w:rsidRPr="00DE12A3">
        <w:rPr>
          <w:rFonts w:eastAsia="Times New Roman" w:cs="Times New Roman"/>
          <w:color w:val="auto"/>
          <w:spacing w:val="3"/>
          <w:lang w:eastAsia="en-US"/>
        </w:rPr>
        <w:t xml:space="preserve">   </w:t>
      </w:r>
      <w:r w:rsidR="00242DA0" w:rsidRPr="00DE12A3">
        <w:rPr>
          <w:rFonts w:eastAsia="Times New Roman" w:cs="Times New Roman"/>
          <w:color w:val="auto"/>
          <w:spacing w:val="3"/>
          <w:lang w:eastAsia="en-US"/>
        </w:rPr>
        <w:t>Test sonrası PM numunesi koşullandırma ve tartım</w:t>
      </w:r>
    </w:p>
    <w:p w14:paraId="2447C699" w14:textId="77777777" w:rsidR="002D7B36" w:rsidRPr="00DE12A3" w:rsidRDefault="005B44D8" w:rsidP="00C917D6">
      <w:pPr>
        <w:spacing w:before="120" w:after="120"/>
        <w:ind w:left="1134" w:hanging="1134"/>
        <w:jc w:val="both"/>
        <w:rPr>
          <w:rFonts w:eastAsia="Times New Roman" w:cs="Times New Roman"/>
          <w:color w:val="auto"/>
          <w:spacing w:val="3"/>
          <w:lang w:eastAsia="en-US"/>
        </w:rPr>
      </w:pPr>
      <w:r w:rsidRPr="00DE12A3">
        <w:rPr>
          <w:rFonts w:eastAsia="Times New Roman" w:cs="Times New Roman"/>
          <w:color w:val="auto"/>
          <w:spacing w:val="3"/>
          <w:lang w:eastAsia="en-US"/>
        </w:rPr>
        <w:t xml:space="preserve">                  </w:t>
      </w:r>
      <w:r w:rsidR="00242DA0" w:rsidRPr="00DE12A3">
        <w:rPr>
          <w:rFonts w:eastAsia="Times New Roman" w:cs="Times New Roman"/>
          <w:color w:val="auto"/>
          <w:spacing w:val="3"/>
          <w:lang w:eastAsia="en-US"/>
        </w:rPr>
        <w:t xml:space="preserve">Kullanılmış PM numunesi filtreleri, kapalı veya sızdırmaz kaplara koyulmalı veya numune filtrelerini ortam kirliliğine karşı korumak için filtre tutucular kapatılmalıdır. Böylece korunan yüklü filtreler, PM-filtresi koşullandırma </w:t>
      </w:r>
      <w:r w:rsidR="00242DA0" w:rsidRPr="00DE12A3">
        <w:rPr>
          <w:rFonts w:eastAsia="Times New Roman" w:cs="Times New Roman"/>
          <w:color w:val="auto"/>
          <w:spacing w:val="3"/>
          <w:lang w:eastAsia="en-US"/>
        </w:rPr>
        <w:lastRenderedPageBreak/>
        <w:t>bölmesine veya odasına geri götürülmelidir. Daha sonra PM numune filtreleri buna göre koşullandırılır ve tartılır.</w:t>
      </w:r>
    </w:p>
    <w:p w14:paraId="709A9EB7" w14:textId="77777777" w:rsidR="002D7B36" w:rsidRPr="00DE12A3" w:rsidRDefault="00242DA0" w:rsidP="00E20716">
      <w:pPr>
        <w:numPr>
          <w:ilvl w:val="0"/>
          <w:numId w:val="307"/>
        </w:numPr>
        <w:spacing w:before="120" w:after="120"/>
        <w:ind w:left="1134" w:hanging="1134"/>
        <w:jc w:val="both"/>
        <w:rPr>
          <w:rFonts w:eastAsia="Times New Roman" w:cs="Times New Roman"/>
          <w:color w:val="auto"/>
          <w:spacing w:val="3"/>
          <w:lang w:eastAsia="en-US"/>
        </w:rPr>
      </w:pPr>
      <w:r w:rsidRPr="00DE12A3">
        <w:rPr>
          <w:rFonts w:eastAsia="Times New Roman" w:cs="Times New Roman"/>
          <w:color w:val="auto"/>
          <w:spacing w:val="3"/>
          <w:lang w:eastAsia="en-US"/>
        </w:rPr>
        <w:t>Periyodik doğrulama</w:t>
      </w:r>
    </w:p>
    <w:p w14:paraId="76C7C917" w14:textId="191F4F32" w:rsidR="002D7B36" w:rsidRPr="00DE12A3" w:rsidRDefault="005B44D8" w:rsidP="00C917D6">
      <w:pPr>
        <w:spacing w:before="120" w:after="120"/>
        <w:ind w:left="1134" w:hanging="1134"/>
        <w:jc w:val="both"/>
        <w:rPr>
          <w:rFonts w:eastAsia="Times New Roman" w:cs="Times New Roman"/>
          <w:color w:val="auto"/>
          <w:spacing w:val="3"/>
          <w:lang w:eastAsia="en-US"/>
        </w:rPr>
      </w:pPr>
      <w:r w:rsidRPr="00DE12A3">
        <w:rPr>
          <w:rFonts w:eastAsia="Times New Roman" w:cs="Times New Roman"/>
          <w:color w:val="auto"/>
          <w:spacing w:val="3"/>
          <w:lang w:eastAsia="en-US"/>
        </w:rPr>
        <w:t xml:space="preserve">                  </w:t>
      </w:r>
      <w:r w:rsidR="00242DA0" w:rsidRPr="00DE12A3">
        <w:rPr>
          <w:rFonts w:eastAsia="Times New Roman" w:cs="Times New Roman"/>
          <w:color w:val="auto"/>
          <w:spacing w:val="3"/>
          <w:lang w:eastAsia="en-US"/>
        </w:rPr>
        <w:t xml:space="preserve">Tartım ve PM-dengeleme ortamlarının 8.1.13.1 bendindeki periyodik doğrulamaları sağladığından emin olunmalıdır. Test tamamlandıktan sonra, filtreler tartım ve PM dengeleme ortamına geri döndürülmelidir. Tartım ve PM-dengeleme ortamı, 9.3.4.4 bendindeki ortam koşulları </w:t>
      </w:r>
      <w:r w:rsidR="0053289F" w:rsidRPr="00DE12A3">
        <w:rPr>
          <w:rFonts w:eastAsia="Times New Roman" w:cs="Times New Roman"/>
          <w:color w:val="auto"/>
          <w:spacing w:val="3"/>
          <w:lang w:eastAsia="en-US"/>
        </w:rPr>
        <w:t>gerekliliklerini</w:t>
      </w:r>
      <w:r w:rsidR="00242DA0" w:rsidRPr="00DE12A3">
        <w:rPr>
          <w:rFonts w:eastAsia="Times New Roman" w:cs="Times New Roman"/>
          <w:color w:val="auto"/>
          <w:spacing w:val="3"/>
          <w:lang w:eastAsia="en-US"/>
        </w:rPr>
        <w:t xml:space="preserve"> sağlamalı</w:t>
      </w:r>
      <w:r w:rsidR="003844BE" w:rsidRPr="00DE12A3">
        <w:rPr>
          <w:rFonts w:eastAsia="Times New Roman" w:cs="Times New Roman"/>
          <w:color w:val="auto"/>
          <w:spacing w:val="3"/>
          <w:lang w:eastAsia="en-US"/>
        </w:rPr>
        <w:t>.A</w:t>
      </w:r>
      <w:r w:rsidR="00242DA0" w:rsidRPr="00DE12A3">
        <w:rPr>
          <w:rFonts w:eastAsia="Times New Roman" w:cs="Times New Roman"/>
          <w:color w:val="auto"/>
          <w:spacing w:val="3"/>
          <w:lang w:eastAsia="en-US"/>
        </w:rPr>
        <w:t>ksi takdirde test filtreleri uygun koşullar sağlanıncaya kadar kapalı halde bırakılmalıdır.</w:t>
      </w:r>
    </w:p>
    <w:p w14:paraId="697A65DF" w14:textId="77777777" w:rsidR="002D7B36" w:rsidRPr="00DE12A3" w:rsidRDefault="005B44D8" w:rsidP="00E20716">
      <w:pPr>
        <w:numPr>
          <w:ilvl w:val="0"/>
          <w:numId w:val="307"/>
        </w:numPr>
        <w:tabs>
          <w:tab w:val="left" w:pos="851"/>
        </w:tabs>
        <w:spacing w:before="120" w:after="120"/>
        <w:ind w:left="1134" w:hanging="1134"/>
        <w:jc w:val="both"/>
        <w:rPr>
          <w:rFonts w:eastAsia="Times New Roman" w:cs="Times New Roman"/>
          <w:color w:val="auto"/>
          <w:spacing w:val="3"/>
          <w:lang w:eastAsia="en-US"/>
        </w:rPr>
      </w:pPr>
      <w:r w:rsidRPr="00DE12A3">
        <w:rPr>
          <w:rFonts w:eastAsia="Times New Roman" w:cs="Times New Roman"/>
          <w:color w:val="auto"/>
          <w:spacing w:val="3"/>
          <w:lang w:eastAsia="en-US"/>
        </w:rPr>
        <w:t xml:space="preserve">    </w:t>
      </w:r>
      <w:r w:rsidR="00242DA0" w:rsidRPr="00DE12A3">
        <w:rPr>
          <w:rFonts w:eastAsia="Times New Roman" w:cs="Times New Roman"/>
          <w:color w:val="auto"/>
          <w:spacing w:val="3"/>
          <w:lang w:eastAsia="en-US"/>
        </w:rPr>
        <w:t>Kapalı kaplardan çıkarma</w:t>
      </w:r>
    </w:p>
    <w:p w14:paraId="17A31938" w14:textId="77777777" w:rsidR="002D7B36" w:rsidRPr="00DE12A3" w:rsidRDefault="005B44D8" w:rsidP="00C917D6">
      <w:pPr>
        <w:tabs>
          <w:tab w:val="left" w:pos="2497"/>
          <w:tab w:val="left" w:pos="2523"/>
        </w:tabs>
        <w:spacing w:before="120" w:after="120"/>
        <w:ind w:left="1134" w:hanging="1134"/>
        <w:jc w:val="both"/>
        <w:rPr>
          <w:rFonts w:eastAsia="Times New Roman" w:cs="Times New Roman"/>
          <w:color w:val="auto"/>
          <w:spacing w:val="3"/>
          <w:lang w:eastAsia="en-US"/>
        </w:rPr>
      </w:pPr>
      <w:r w:rsidRPr="00DE12A3">
        <w:rPr>
          <w:rFonts w:eastAsia="Times New Roman" w:cs="Times New Roman"/>
          <w:color w:val="auto"/>
          <w:spacing w:val="3"/>
          <w:lang w:eastAsia="en-US"/>
        </w:rPr>
        <w:t xml:space="preserve">                  </w:t>
      </w:r>
      <w:r w:rsidR="00242DA0" w:rsidRPr="00DE12A3">
        <w:rPr>
          <w:rFonts w:eastAsia="Times New Roman" w:cs="Times New Roman"/>
          <w:color w:val="auto"/>
          <w:spacing w:val="3"/>
          <w:lang w:eastAsia="en-US"/>
        </w:rPr>
        <w:t>PM-dengeleme ortamında, PM numuneleri kapalı kaplardan çıkarılmalıdır. Filtreler, kartuşlarından dengeleme öncesinde veya sonrasında çıkarılabilir. Bir filtre bir kartuştan çıkarıldığında, bu amaç için tasarlanmış bir kartuş ayırıcı kullanılarak kartuşun üst yarısı alt yarısından ayrılmalıdır.</w:t>
      </w:r>
    </w:p>
    <w:p w14:paraId="670B40D3" w14:textId="77777777" w:rsidR="002D7B36" w:rsidRPr="00DE12A3" w:rsidRDefault="00242DA0" w:rsidP="00E20716">
      <w:pPr>
        <w:numPr>
          <w:ilvl w:val="0"/>
          <w:numId w:val="307"/>
        </w:numPr>
        <w:spacing w:before="120" w:after="120"/>
        <w:ind w:left="1134" w:hanging="1134"/>
        <w:jc w:val="both"/>
        <w:rPr>
          <w:rFonts w:eastAsia="Times New Roman" w:cs="Times New Roman"/>
          <w:color w:val="auto"/>
          <w:spacing w:val="3"/>
          <w:lang w:eastAsia="en-US"/>
        </w:rPr>
      </w:pPr>
      <w:r w:rsidRPr="00DE12A3">
        <w:rPr>
          <w:rFonts w:eastAsia="Times New Roman" w:cs="Times New Roman"/>
          <w:color w:val="auto"/>
          <w:spacing w:val="3"/>
          <w:lang w:eastAsia="en-US"/>
        </w:rPr>
        <w:t>Elektrik topraklama</w:t>
      </w:r>
    </w:p>
    <w:p w14:paraId="35C2C36F" w14:textId="77777777" w:rsidR="002D7B36" w:rsidRPr="00DE12A3" w:rsidRDefault="005B44D8" w:rsidP="00C917D6">
      <w:pPr>
        <w:spacing w:before="120" w:after="120"/>
        <w:ind w:left="1134" w:hanging="1134"/>
        <w:jc w:val="both"/>
        <w:rPr>
          <w:rFonts w:eastAsia="Times New Roman" w:cs="Times New Roman"/>
          <w:color w:val="auto"/>
          <w:spacing w:val="3"/>
          <w:lang w:eastAsia="en-US"/>
        </w:rPr>
      </w:pPr>
      <w:r w:rsidRPr="00DE12A3">
        <w:rPr>
          <w:rFonts w:eastAsia="Times New Roman" w:cs="Times New Roman"/>
          <w:color w:val="auto"/>
          <w:spacing w:val="3"/>
          <w:lang w:eastAsia="en-US"/>
        </w:rPr>
        <w:t xml:space="preserve">                  </w:t>
      </w:r>
      <w:r w:rsidR="00242DA0" w:rsidRPr="00DE12A3">
        <w:rPr>
          <w:rFonts w:eastAsia="Times New Roman" w:cs="Times New Roman"/>
          <w:color w:val="auto"/>
          <w:spacing w:val="3"/>
          <w:lang w:eastAsia="en-US"/>
        </w:rPr>
        <w:t>PM numuneleri kullanmak için, 9.3.4.5 bendinde tarif edilen elektrik topraklamalı cımbız veya topraklama kablosu kullanılmalıdır.</w:t>
      </w:r>
    </w:p>
    <w:p w14:paraId="0BD03891" w14:textId="77777777" w:rsidR="002D7B36" w:rsidRPr="00DE12A3" w:rsidRDefault="00242DA0" w:rsidP="00E20716">
      <w:pPr>
        <w:numPr>
          <w:ilvl w:val="0"/>
          <w:numId w:val="307"/>
        </w:numPr>
        <w:spacing w:before="120" w:after="120"/>
        <w:ind w:left="1134" w:hanging="1134"/>
        <w:jc w:val="both"/>
        <w:rPr>
          <w:rFonts w:eastAsia="Times New Roman" w:cs="Times New Roman"/>
          <w:color w:val="auto"/>
          <w:spacing w:val="3"/>
          <w:lang w:eastAsia="en-US"/>
        </w:rPr>
      </w:pPr>
      <w:r w:rsidRPr="00DE12A3">
        <w:rPr>
          <w:rFonts w:eastAsia="Times New Roman" w:cs="Times New Roman"/>
          <w:color w:val="auto"/>
          <w:spacing w:val="3"/>
          <w:lang w:eastAsia="en-US"/>
        </w:rPr>
        <w:t>Görsel denetim</w:t>
      </w:r>
    </w:p>
    <w:p w14:paraId="4E16D1D7" w14:textId="612DE3AA" w:rsidR="002D7B36" w:rsidRPr="00DE12A3" w:rsidRDefault="005B44D8" w:rsidP="00C917D6">
      <w:pPr>
        <w:spacing w:before="120" w:after="120"/>
        <w:ind w:left="1134" w:hanging="1134"/>
        <w:jc w:val="both"/>
        <w:rPr>
          <w:rFonts w:eastAsia="Times New Roman" w:cs="Times New Roman"/>
          <w:color w:val="auto"/>
          <w:spacing w:val="3"/>
          <w:lang w:eastAsia="en-US"/>
        </w:rPr>
      </w:pPr>
      <w:r w:rsidRPr="00DE12A3">
        <w:rPr>
          <w:rFonts w:eastAsia="Times New Roman" w:cs="Times New Roman"/>
          <w:color w:val="auto"/>
          <w:spacing w:val="3"/>
          <w:lang w:eastAsia="en-US"/>
        </w:rPr>
        <w:t xml:space="preserve">                  </w:t>
      </w:r>
      <w:r w:rsidR="00242DA0" w:rsidRPr="00DE12A3">
        <w:rPr>
          <w:rFonts w:eastAsia="Times New Roman" w:cs="Times New Roman"/>
          <w:color w:val="auto"/>
          <w:spacing w:val="3"/>
          <w:lang w:eastAsia="en-US"/>
        </w:rPr>
        <w:t xml:space="preserve">Toplanan PM numuneleri ve ilgili filtre maddesi görsel olarak denetlenmelidir. Filtreye veya toplanan PM numunesine ilişkin koşullar kötüleşmiş görünüyorsa veya </w:t>
      </w:r>
      <w:r w:rsidR="007E2039" w:rsidRPr="00DE12A3">
        <w:rPr>
          <w:rFonts w:eastAsia="Times New Roman" w:cs="Times New Roman"/>
          <w:color w:val="auto"/>
          <w:spacing w:val="3"/>
          <w:lang w:eastAsia="en-US"/>
        </w:rPr>
        <w:t xml:space="preserve">partikül </w:t>
      </w:r>
      <w:r w:rsidR="00242DA0" w:rsidRPr="00DE12A3">
        <w:rPr>
          <w:rFonts w:eastAsia="Times New Roman" w:cs="Times New Roman"/>
          <w:color w:val="auto"/>
          <w:spacing w:val="3"/>
          <w:lang w:eastAsia="en-US"/>
        </w:rPr>
        <w:t xml:space="preserve">halindeki madde filtre dışındaki herhangi bir yüzeye temas ederse, numune </w:t>
      </w:r>
      <w:r w:rsidR="007E2039" w:rsidRPr="00DE12A3">
        <w:rPr>
          <w:rFonts w:eastAsia="Times New Roman" w:cs="Times New Roman"/>
          <w:color w:val="auto"/>
          <w:spacing w:val="3"/>
          <w:lang w:eastAsia="en-US"/>
        </w:rPr>
        <w:t xml:space="preserve">partikül </w:t>
      </w:r>
      <w:r w:rsidR="00242DA0" w:rsidRPr="00DE12A3">
        <w:rPr>
          <w:rFonts w:eastAsia="Times New Roman" w:cs="Times New Roman"/>
          <w:color w:val="auto"/>
          <w:spacing w:val="3"/>
          <w:lang w:eastAsia="en-US"/>
        </w:rPr>
        <w:t>emisyonlarını belirlemek için kullanılamaz. Başka bir yüzeyle temas durumunda</w:t>
      </w:r>
      <w:r w:rsidR="003844BE" w:rsidRPr="00DE12A3">
        <w:rPr>
          <w:rFonts w:eastAsia="Times New Roman" w:cs="Times New Roman"/>
          <w:color w:val="auto"/>
          <w:spacing w:val="3"/>
          <w:lang w:eastAsia="en-US"/>
        </w:rPr>
        <w:t>,</w:t>
      </w:r>
      <w:r w:rsidR="00242DA0" w:rsidRPr="00DE12A3">
        <w:rPr>
          <w:rFonts w:eastAsia="Times New Roman" w:cs="Times New Roman"/>
          <w:color w:val="auto"/>
          <w:spacing w:val="3"/>
          <w:lang w:eastAsia="en-US"/>
        </w:rPr>
        <w:t xml:space="preserve"> devam etmeden önce etkilenen yüzey temizlenmelidir.</w:t>
      </w:r>
    </w:p>
    <w:p w14:paraId="5C7D03AA" w14:textId="77777777" w:rsidR="002D7B36" w:rsidRPr="00DE12A3" w:rsidRDefault="00242DA0" w:rsidP="00E20716">
      <w:pPr>
        <w:numPr>
          <w:ilvl w:val="0"/>
          <w:numId w:val="307"/>
        </w:numPr>
        <w:spacing w:before="120" w:after="120"/>
        <w:ind w:left="1134" w:hanging="1134"/>
        <w:jc w:val="both"/>
        <w:rPr>
          <w:rFonts w:eastAsia="Times New Roman" w:cs="Times New Roman"/>
          <w:color w:val="auto"/>
          <w:spacing w:val="3"/>
          <w:lang w:eastAsia="en-US"/>
        </w:rPr>
      </w:pPr>
      <w:r w:rsidRPr="00DE12A3">
        <w:rPr>
          <w:rFonts w:eastAsia="Times New Roman" w:cs="Times New Roman"/>
          <w:color w:val="auto"/>
          <w:spacing w:val="3"/>
          <w:lang w:eastAsia="en-US"/>
        </w:rPr>
        <w:t>PM numunelerinin dengelenmesi</w:t>
      </w:r>
    </w:p>
    <w:p w14:paraId="43027370" w14:textId="3883DAEF" w:rsidR="002D7B36" w:rsidRPr="00DE12A3" w:rsidRDefault="005B44D8" w:rsidP="00C917D6">
      <w:pPr>
        <w:spacing w:before="120" w:after="120"/>
        <w:ind w:left="1134" w:hanging="1134"/>
        <w:jc w:val="both"/>
        <w:rPr>
          <w:rFonts w:eastAsia="Times New Roman" w:cs="Times New Roman"/>
          <w:color w:val="auto"/>
          <w:spacing w:val="3"/>
          <w:lang w:eastAsia="en-US"/>
        </w:rPr>
      </w:pPr>
      <w:r w:rsidRPr="00DE12A3">
        <w:rPr>
          <w:rFonts w:eastAsia="Times New Roman" w:cs="Times New Roman"/>
          <w:color w:val="auto"/>
          <w:spacing w:val="3"/>
          <w:lang w:eastAsia="en-US"/>
        </w:rPr>
        <w:t xml:space="preserve">                  </w:t>
      </w:r>
      <w:r w:rsidR="00242DA0" w:rsidRPr="00DE12A3">
        <w:rPr>
          <w:rFonts w:eastAsia="Times New Roman" w:cs="Times New Roman"/>
          <w:color w:val="auto"/>
          <w:spacing w:val="3"/>
          <w:lang w:eastAsia="en-US"/>
        </w:rPr>
        <w:t>PM numunelerini dengelemek için, PM numuneleri 9.3.4.3 bendinde tarif edilen PM dengeleme ortamına açık olan bir veya birkaç kabın içine yerleştirilmelidir. Bir PM numunesi, PM-stabilizasyon ortamında aşağıdaki sürelerden biri boyunca kaldığı, bu sırada dengeleme ortamı 9.3.4.3 bendindeki şartlar dahilinde olduğu sürece dengelenmiştir</w:t>
      </w:r>
      <w:r w:rsidR="003844BE" w:rsidRPr="00DE12A3">
        <w:rPr>
          <w:rFonts w:eastAsia="Times New Roman" w:cs="Times New Roman"/>
          <w:color w:val="auto"/>
          <w:spacing w:val="3"/>
          <w:lang w:eastAsia="en-US"/>
        </w:rPr>
        <w:t>.</w:t>
      </w:r>
    </w:p>
    <w:p w14:paraId="501371FE" w14:textId="3572C510" w:rsidR="002D7B36" w:rsidRPr="00DE12A3" w:rsidRDefault="005B44D8" w:rsidP="00E20716">
      <w:pPr>
        <w:numPr>
          <w:ilvl w:val="0"/>
          <w:numId w:val="308"/>
        </w:numPr>
        <w:spacing w:before="120" w:after="120"/>
        <w:ind w:left="1701" w:hanging="708"/>
        <w:jc w:val="both"/>
        <w:rPr>
          <w:rFonts w:eastAsia="Times New Roman" w:cs="Times New Roman"/>
          <w:color w:val="auto"/>
          <w:spacing w:val="3"/>
          <w:lang w:eastAsia="en-US"/>
        </w:rPr>
      </w:pPr>
      <w:r w:rsidRPr="00DE12A3">
        <w:rPr>
          <w:rFonts w:eastAsia="Times New Roman" w:cs="Times New Roman"/>
          <w:color w:val="auto"/>
          <w:spacing w:val="3"/>
          <w:lang w:eastAsia="en-US"/>
        </w:rPr>
        <w:t xml:space="preserve">    </w:t>
      </w:r>
      <w:r w:rsidR="00242DA0" w:rsidRPr="00DE12A3">
        <w:rPr>
          <w:rFonts w:eastAsia="Times New Roman" w:cs="Times New Roman"/>
          <w:color w:val="auto"/>
          <w:spacing w:val="3"/>
          <w:lang w:eastAsia="en-US"/>
        </w:rPr>
        <w:t>38 mm çaplı bir filtre leke alanı üzerinde 400 μg'lık bir yükleme olduğu varsayılarak, bir filtrenin toplam PM yüzey konsantrasyonunun 0,353 μg/mm2'den büyük olacağı bekleniyorsa, filtre tartılmadan önce en az 60 saniye boyunca dengeleme ortamına maruz bırakılmalıdır</w:t>
      </w:r>
      <w:r w:rsidR="003844BE" w:rsidRPr="00DE12A3">
        <w:rPr>
          <w:rFonts w:eastAsia="Times New Roman" w:cs="Times New Roman"/>
          <w:color w:val="auto"/>
          <w:spacing w:val="3"/>
          <w:lang w:eastAsia="en-US"/>
        </w:rPr>
        <w:t>.</w:t>
      </w:r>
    </w:p>
    <w:p w14:paraId="1509031B" w14:textId="0EFEC02C" w:rsidR="002D7B36" w:rsidRPr="00DE12A3" w:rsidRDefault="005B44D8" w:rsidP="00E20716">
      <w:pPr>
        <w:numPr>
          <w:ilvl w:val="0"/>
          <w:numId w:val="308"/>
        </w:numPr>
        <w:tabs>
          <w:tab w:val="left" w:pos="1178"/>
        </w:tabs>
        <w:spacing w:before="120" w:after="120"/>
        <w:ind w:left="1701" w:hanging="708"/>
        <w:jc w:val="both"/>
        <w:rPr>
          <w:rFonts w:eastAsia="Times New Roman" w:cs="Times New Roman"/>
          <w:color w:val="auto"/>
          <w:spacing w:val="3"/>
          <w:lang w:eastAsia="en-US"/>
        </w:rPr>
      </w:pPr>
      <w:r w:rsidRPr="00DE12A3">
        <w:rPr>
          <w:rFonts w:eastAsia="Times New Roman" w:cs="Times New Roman"/>
          <w:color w:val="auto"/>
          <w:spacing w:val="3"/>
          <w:lang w:eastAsia="en-US"/>
        </w:rPr>
        <w:t xml:space="preserve">     </w:t>
      </w:r>
      <w:r w:rsidR="00242DA0" w:rsidRPr="00DE12A3">
        <w:rPr>
          <w:rFonts w:eastAsia="Times New Roman" w:cs="Times New Roman"/>
          <w:color w:val="auto"/>
          <w:spacing w:val="3"/>
          <w:lang w:eastAsia="en-US"/>
        </w:rPr>
        <w:t>Bir filtrenin toplam PM yüzey konsantrasyonunun 0,353 μg/mm</w:t>
      </w:r>
      <w:r w:rsidR="00242DA0" w:rsidRPr="00DE12A3">
        <w:rPr>
          <w:rFonts w:eastAsia="Times New Roman" w:cs="Times New Roman"/>
          <w:color w:val="auto"/>
          <w:spacing w:val="3"/>
          <w:vertAlign w:val="superscript"/>
          <w:lang w:eastAsia="en-US"/>
        </w:rPr>
        <w:t>2</w:t>
      </w:r>
      <w:r w:rsidR="00242DA0" w:rsidRPr="00DE12A3">
        <w:rPr>
          <w:rFonts w:eastAsia="Times New Roman" w:cs="Times New Roman"/>
          <w:color w:val="auto"/>
          <w:spacing w:val="3"/>
          <w:lang w:eastAsia="en-US"/>
        </w:rPr>
        <w:t>'den az olması bekleniyorsa, filtre tartılmadan önce en az 30 dakika boyunca dengeleme ortamına maruz bırakılmalıdır</w:t>
      </w:r>
      <w:r w:rsidR="003844BE" w:rsidRPr="00DE12A3">
        <w:rPr>
          <w:rFonts w:eastAsia="Times New Roman" w:cs="Times New Roman"/>
          <w:color w:val="auto"/>
          <w:spacing w:val="3"/>
          <w:lang w:eastAsia="en-US"/>
        </w:rPr>
        <w:t>.</w:t>
      </w:r>
    </w:p>
    <w:p w14:paraId="15C8D085" w14:textId="77777777" w:rsidR="002D7B36" w:rsidRPr="00DE12A3" w:rsidRDefault="005B44D8" w:rsidP="00E20716">
      <w:pPr>
        <w:numPr>
          <w:ilvl w:val="0"/>
          <w:numId w:val="308"/>
        </w:numPr>
        <w:tabs>
          <w:tab w:val="left" w:pos="1178"/>
        </w:tabs>
        <w:spacing w:before="120" w:after="120"/>
        <w:ind w:left="1701" w:hanging="708"/>
        <w:jc w:val="both"/>
        <w:rPr>
          <w:rFonts w:eastAsia="Times New Roman" w:cs="Times New Roman"/>
          <w:color w:val="auto"/>
          <w:spacing w:val="3"/>
          <w:lang w:eastAsia="en-US"/>
        </w:rPr>
      </w:pPr>
      <w:r w:rsidRPr="00DE12A3">
        <w:rPr>
          <w:rFonts w:eastAsia="Times New Roman" w:cs="Times New Roman"/>
          <w:color w:val="auto"/>
          <w:spacing w:val="3"/>
          <w:lang w:eastAsia="en-US"/>
        </w:rPr>
        <w:t xml:space="preserve">    </w:t>
      </w:r>
      <w:r w:rsidR="00242DA0" w:rsidRPr="00DE12A3">
        <w:rPr>
          <w:rFonts w:eastAsia="Times New Roman" w:cs="Times New Roman"/>
          <w:color w:val="auto"/>
          <w:spacing w:val="3"/>
          <w:lang w:eastAsia="en-US"/>
        </w:rPr>
        <w:t>Bir filtrenin, test sırasında beklenecek toplam yüzey konsantrasyonu bilinmiyorsa, filtre tartılmadan önce en az 60 dakika boyunca dengeleme ortamına maruz bırakılmalıdır.</w:t>
      </w:r>
    </w:p>
    <w:p w14:paraId="53F42A26" w14:textId="77777777" w:rsidR="002D7B36" w:rsidRPr="00DE12A3" w:rsidRDefault="00242DA0" w:rsidP="00E20716">
      <w:pPr>
        <w:numPr>
          <w:ilvl w:val="0"/>
          <w:numId w:val="307"/>
        </w:numPr>
        <w:spacing w:before="120" w:after="120"/>
        <w:ind w:left="1134" w:hanging="1134"/>
        <w:jc w:val="both"/>
        <w:rPr>
          <w:rFonts w:eastAsia="Times New Roman" w:cs="Times New Roman"/>
          <w:color w:val="auto"/>
          <w:spacing w:val="3"/>
          <w:lang w:eastAsia="en-US"/>
        </w:rPr>
      </w:pPr>
      <w:r w:rsidRPr="00DE12A3">
        <w:rPr>
          <w:rFonts w:eastAsia="Times New Roman" w:cs="Times New Roman"/>
          <w:color w:val="auto"/>
          <w:spacing w:val="3"/>
          <w:lang w:eastAsia="en-US"/>
        </w:rPr>
        <w:t>Test sonrası filtre kütlesinin belirlenmesi</w:t>
      </w:r>
    </w:p>
    <w:p w14:paraId="5901D79C" w14:textId="77777777" w:rsidR="002D7B36" w:rsidRPr="00DE12A3" w:rsidRDefault="00242DA0" w:rsidP="00C917D6">
      <w:pPr>
        <w:spacing w:before="120" w:after="120"/>
        <w:ind w:left="1134"/>
        <w:jc w:val="both"/>
        <w:rPr>
          <w:rFonts w:eastAsia="Times New Roman" w:cs="Times New Roman"/>
          <w:color w:val="auto"/>
          <w:spacing w:val="3"/>
          <w:lang w:eastAsia="en-US"/>
        </w:rPr>
      </w:pPr>
      <w:r w:rsidRPr="00DE12A3">
        <w:rPr>
          <w:rFonts w:eastAsia="Times New Roman" w:cs="Times New Roman"/>
          <w:color w:val="auto"/>
          <w:spacing w:val="3"/>
          <w:lang w:eastAsia="en-US"/>
        </w:rPr>
        <w:t>Test sonrası filtre kütlesinin belirlenmesi için 8.2.3 bendindeki prosedürler (8.2.3.6 ila 8.2.3.9 bentler) tekrarlanmalıdır.</w:t>
      </w:r>
    </w:p>
    <w:p w14:paraId="36B9536A" w14:textId="77777777" w:rsidR="002D7B36" w:rsidRPr="00DE12A3" w:rsidRDefault="00242DA0" w:rsidP="00E20716">
      <w:pPr>
        <w:numPr>
          <w:ilvl w:val="0"/>
          <w:numId w:val="307"/>
        </w:numPr>
        <w:spacing w:before="120" w:after="120"/>
        <w:ind w:left="1134" w:hanging="1134"/>
        <w:jc w:val="both"/>
        <w:rPr>
          <w:rFonts w:eastAsia="Times New Roman" w:cs="Times New Roman"/>
          <w:color w:val="auto"/>
          <w:spacing w:val="3"/>
          <w:lang w:eastAsia="en-US"/>
        </w:rPr>
      </w:pPr>
      <w:r w:rsidRPr="00DE12A3">
        <w:rPr>
          <w:rFonts w:eastAsia="Times New Roman" w:cs="Times New Roman"/>
          <w:color w:val="auto"/>
          <w:spacing w:val="3"/>
          <w:lang w:eastAsia="en-US"/>
        </w:rPr>
        <w:t>Toplam kütle</w:t>
      </w:r>
    </w:p>
    <w:p w14:paraId="7EC1D7E1" w14:textId="5E1F04CA" w:rsidR="002D7B36" w:rsidRPr="00DE12A3" w:rsidRDefault="00242DA0" w:rsidP="00C917D6">
      <w:pPr>
        <w:spacing w:before="120" w:after="120"/>
        <w:ind w:left="1134"/>
        <w:jc w:val="both"/>
        <w:rPr>
          <w:rFonts w:eastAsia="Times New Roman" w:cs="Times New Roman"/>
          <w:color w:val="auto"/>
          <w:spacing w:val="3"/>
          <w:lang w:eastAsia="en-US"/>
        </w:rPr>
      </w:pPr>
      <w:r w:rsidRPr="00DE12A3">
        <w:rPr>
          <w:rFonts w:eastAsia="Times New Roman" w:cs="Times New Roman"/>
          <w:color w:val="auto"/>
          <w:spacing w:val="3"/>
          <w:lang w:eastAsia="en-US"/>
        </w:rPr>
        <w:t xml:space="preserve">Her kaldırma kuvveti bakımından düzeltilmiş filtre darası kütlesi, kendi kaldırma kuvveti bakımından düzeltilmiş test sonrası filtre kütlesinden çıkarılmalıdır. </w:t>
      </w:r>
      <w:r w:rsidRPr="00DE12A3">
        <w:rPr>
          <w:rFonts w:eastAsia="Times New Roman" w:cs="Times New Roman"/>
          <w:color w:val="auto"/>
          <w:spacing w:val="3"/>
          <w:lang w:eastAsia="en-US"/>
        </w:rPr>
        <w:lastRenderedPageBreak/>
        <w:t xml:space="preserve">Sonuç, </w:t>
      </w:r>
      <w:r w:rsidR="00FA0678" w:rsidRPr="00DE12A3">
        <w:rPr>
          <w:rFonts w:eastAsia="Times New Roman" w:cs="Times New Roman"/>
          <w:color w:val="auto"/>
          <w:spacing w:val="3"/>
          <w:lang w:eastAsia="en-US"/>
        </w:rPr>
        <w:t xml:space="preserve">VII’nci </w:t>
      </w:r>
      <w:r w:rsidR="003844BE" w:rsidRPr="00DE12A3">
        <w:rPr>
          <w:rFonts w:eastAsia="Times New Roman" w:cs="Times New Roman"/>
          <w:color w:val="auto"/>
          <w:spacing w:val="3"/>
          <w:lang w:eastAsia="en-US"/>
        </w:rPr>
        <w:t>E</w:t>
      </w:r>
      <w:r w:rsidR="00FA0678" w:rsidRPr="00DE12A3">
        <w:rPr>
          <w:rFonts w:eastAsia="Times New Roman" w:cs="Times New Roman"/>
          <w:color w:val="auto"/>
          <w:spacing w:val="3"/>
          <w:lang w:eastAsia="en-US"/>
        </w:rPr>
        <w:t>k</w:t>
      </w:r>
      <w:r w:rsidRPr="00DE12A3">
        <w:rPr>
          <w:rFonts w:eastAsia="Times New Roman" w:cs="Times New Roman"/>
          <w:color w:val="auto"/>
          <w:spacing w:val="3"/>
          <w:lang w:eastAsia="en-US"/>
        </w:rPr>
        <w:t xml:space="preserve">teki emisyon hesaplamalarında kullanılan toplam kütle </w:t>
      </w:r>
      <w:r w:rsidRPr="00DE12A3">
        <w:rPr>
          <w:rFonts w:eastAsia="Times New Roman" w:cs="Times New Roman"/>
          <w:i/>
          <w:iCs/>
          <w:color w:val="auto"/>
          <w:spacing w:val="3"/>
          <w:lang w:eastAsia="en-US"/>
        </w:rPr>
        <w:t>m</w:t>
      </w:r>
      <w:r w:rsidRPr="00DE12A3">
        <w:rPr>
          <w:rFonts w:eastAsia="Times New Roman" w:cs="Times New Roman"/>
          <w:color w:val="auto"/>
          <w:spacing w:val="3"/>
          <w:vertAlign w:val="subscript"/>
          <w:lang w:eastAsia="en-US"/>
        </w:rPr>
        <w:t>total</w:t>
      </w:r>
      <w:r w:rsidRPr="00DE12A3">
        <w:rPr>
          <w:rFonts w:eastAsia="Times New Roman" w:cs="Times New Roman"/>
          <w:color w:val="auto"/>
          <w:spacing w:val="3"/>
          <w:lang w:eastAsia="en-US"/>
        </w:rPr>
        <w:t>'dir.</w:t>
      </w:r>
    </w:p>
    <w:p w14:paraId="6D83D2CA" w14:textId="77777777" w:rsidR="002D7B36" w:rsidRPr="00DE12A3" w:rsidRDefault="00242DA0" w:rsidP="00C917D6">
      <w:pPr>
        <w:tabs>
          <w:tab w:val="center" w:pos="2170"/>
        </w:tabs>
        <w:spacing w:before="120" w:after="120"/>
        <w:ind w:left="1134" w:hanging="1134"/>
        <w:jc w:val="both"/>
        <w:outlineLvl w:val="3"/>
        <w:rPr>
          <w:rFonts w:eastAsia="Times New Roman" w:cs="Times New Roman"/>
          <w:b/>
          <w:bCs/>
          <w:color w:val="auto"/>
          <w:spacing w:val="18"/>
          <w:lang w:eastAsia="en-US"/>
        </w:rPr>
      </w:pPr>
      <w:r w:rsidRPr="00DE12A3">
        <w:rPr>
          <w:rFonts w:eastAsia="Times New Roman" w:cs="Times New Roman"/>
          <w:color w:val="auto"/>
          <w:spacing w:val="3"/>
          <w:shd w:val="clear" w:color="auto" w:fill="FFFFFF"/>
          <w:lang w:eastAsia="en-US"/>
        </w:rPr>
        <w:t>9.</w:t>
      </w:r>
      <w:r w:rsidRPr="00DE12A3">
        <w:rPr>
          <w:rFonts w:eastAsia="Times New Roman" w:cs="Times New Roman"/>
          <w:color w:val="auto"/>
          <w:spacing w:val="3"/>
          <w:shd w:val="clear" w:color="auto" w:fill="FFFFFF"/>
          <w:lang w:eastAsia="en-US"/>
        </w:rPr>
        <w:tab/>
      </w:r>
      <w:r w:rsidRPr="00DE12A3">
        <w:rPr>
          <w:rFonts w:eastAsia="Times New Roman" w:cs="Times New Roman"/>
          <w:b/>
          <w:color w:val="auto"/>
          <w:spacing w:val="3"/>
          <w:lang w:eastAsia="en-US"/>
        </w:rPr>
        <w:t>Ölçüm ekipmanları</w:t>
      </w:r>
    </w:p>
    <w:p w14:paraId="753A798E" w14:textId="77777777" w:rsidR="002D7B36" w:rsidRPr="00DE12A3" w:rsidRDefault="005B44D8" w:rsidP="00E20716">
      <w:pPr>
        <w:numPr>
          <w:ilvl w:val="0"/>
          <w:numId w:val="309"/>
        </w:numPr>
        <w:spacing w:before="120" w:after="120"/>
        <w:ind w:left="1134" w:hanging="1134"/>
        <w:jc w:val="both"/>
        <w:rPr>
          <w:rFonts w:eastAsia="Times New Roman" w:cs="Times New Roman"/>
          <w:color w:val="auto"/>
          <w:spacing w:val="3"/>
          <w:lang w:eastAsia="en-US"/>
        </w:rPr>
      </w:pPr>
      <w:r w:rsidRPr="00DE12A3">
        <w:rPr>
          <w:rFonts w:eastAsia="Times New Roman" w:cs="Times New Roman"/>
          <w:color w:val="auto"/>
          <w:spacing w:val="3"/>
          <w:lang w:eastAsia="en-US"/>
        </w:rPr>
        <w:t xml:space="preserve">       </w:t>
      </w:r>
      <w:r w:rsidR="00242DA0" w:rsidRPr="00DE12A3">
        <w:rPr>
          <w:rFonts w:eastAsia="Times New Roman" w:cs="Times New Roman"/>
          <w:color w:val="auto"/>
          <w:spacing w:val="3"/>
          <w:lang w:eastAsia="en-US"/>
        </w:rPr>
        <w:t>Motor dinamometresi şartnamesi</w:t>
      </w:r>
    </w:p>
    <w:p w14:paraId="5F562542" w14:textId="77777777" w:rsidR="002D7B36" w:rsidRPr="00DE12A3" w:rsidRDefault="005B44D8" w:rsidP="00E20716">
      <w:pPr>
        <w:numPr>
          <w:ilvl w:val="0"/>
          <w:numId w:val="310"/>
        </w:numPr>
        <w:spacing w:before="120" w:after="120"/>
        <w:ind w:left="1134" w:hanging="1134"/>
        <w:jc w:val="both"/>
        <w:rPr>
          <w:rFonts w:eastAsia="Times New Roman" w:cs="Times New Roman"/>
          <w:color w:val="auto"/>
          <w:spacing w:val="3"/>
          <w:lang w:eastAsia="en-US"/>
        </w:rPr>
      </w:pPr>
      <w:r w:rsidRPr="00DE12A3">
        <w:rPr>
          <w:rFonts w:eastAsia="Times New Roman" w:cs="Times New Roman"/>
          <w:color w:val="auto"/>
          <w:spacing w:val="3"/>
          <w:lang w:eastAsia="en-US"/>
        </w:rPr>
        <w:t xml:space="preserve">       </w:t>
      </w:r>
      <w:r w:rsidR="00242DA0" w:rsidRPr="00DE12A3">
        <w:rPr>
          <w:rFonts w:eastAsia="Times New Roman" w:cs="Times New Roman"/>
          <w:color w:val="auto"/>
          <w:spacing w:val="3"/>
          <w:lang w:eastAsia="en-US"/>
        </w:rPr>
        <w:t>Mil çalışması</w:t>
      </w:r>
    </w:p>
    <w:p w14:paraId="06E04BBE" w14:textId="77777777" w:rsidR="002D7B36" w:rsidRPr="00DE12A3" w:rsidRDefault="005B44D8" w:rsidP="00C917D6">
      <w:pPr>
        <w:spacing w:before="120" w:after="120"/>
        <w:ind w:left="1134" w:hanging="1134"/>
        <w:jc w:val="both"/>
        <w:rPr>
          <w:rFonts w:eastAsia="Times New Roman" w:cs="Times New Roman"/>
          <w:color w:val="auto"/>
          <w:spacing w:val="3"/>
          <w:lang w:eastAsia="en-US"/>
        </w:rPr>
      </w:pPr>
      <w:r w:rsidRPr="00DE12A3">
        <w:rPr>
          <w:rFonts w:eastAsia="Times New Roman" w:cs="Times New Roman"/>
          <w:color w:val="auto"/>
          <w:spacing w:val="3"/>
          <w:lang w:eastAsia="en-US"/>
        </w:rPr>
        <w:t xml:space="preserve">                  </w:t>
      </w:r>
      <w:r w:rsidR="00242DA0" w:rsidRPr="00DE12A3">
        <w:rPr>
          <w:rFonts w:eastAsia="Times New Roman" w:cs="Times New Roman"/>
          <w:color w:val="auto"/>
          <w:spacing w:val="3"/>
          <w:lang w:eastAsia="en-US"/>
        </w:rPr>
        <w:t xml:space="preserve">Uygun </w:t>
      </w:r>
      <w:r w:rsidR="00F310B5" w:rsidRPr="00DE12A3">
        <w:rPr>
          <w:rFonts w:eastAsia="Times New Roman" w:cs="Times New Roman"/>
          <w:color w:val="auto"/>
          <w:spacing w:val="3"/>
          <w:lang w:eastAsia="en-US"/>
        </w:rPr>
        <w:t>çevrim</w:t>
      </w:r>
      <w:r w:rsidR="00242DA0" w:rsidRPr="00DE12A3">
        <w:rPr>
          <w:rFonts w:eastAsia="Times New Roman" w:cs="Times New Roman"/>
          <w:color w:val="auto"/>
          <w:spacing w:val="3"/>
          <w:lang w:eastAsia="en-US"/>
        </w:rPr>
        <w:t xml:space="preserve"> doğrulama kriterlerini sağlama kabiliyeti de dahil olmak üzere geçerli hizmet </w:t>
      </w:r>
      <w:r w:rsidR="004E7F54" w:rsidRPr="00DE12A3">
        <w:rPr>
          <w:rFonts w:eastAsia="Times New Roman" w:cs="Times New Roman"/>
          <w:color w:val="auto"/>
          <w:spacing w:val="3"/>
          <w:lang w:eastAsia="en-US"/>
        </w:rPr>
        <w:t>çevrimini gerçekleştirmek</w:t>
      </w:r>
      <w:r w:rsidR="00242DA0" w:rsidRPr="00DE12A3">
        <w:rPr>
          <w:rFonts w:eastAsia="Times New Roman" w:cs="Times New Roman"/>
          <w:color w:val="auto"/>
          <w:spacing w:val="3"/>
          <w:lang w:eastAsia="en-US"/>
        </w:rPr>
        <w:t xml:space="preserve"> için yeterli özelliklere sahip bir motor dinamometresi kullanılmalıdır. Aşağıdaki dinamometreler kullanılabilir:</w:t>
      </w:r>
    </w:p>
    <w:p w14:paraId="65C667AD" w14:textId="6707AB0C" w:rsidR="002D7B36" w:rsidRPr="00DE12A3" w:rsidRDefault="005B44D8" w:rsidP="00E20716">
      <w:pPr>
        <w:numPr>
          <w:ilvl w:val="0"/>
          <w:numId w:val="311"/>
        </w:numPr>
        <w:spacing w:before="120" w:after="120"/>
        <w:ind w:left="1701" w:hanging="567"/>
        <w:jc w:val="both"/>
        <w:rPr>
          <w:rFonts w:eastAsia="Times New Roman" w:cs="Times New Roman"/>
          <w:color w:val="auto"/>
          <w:spacing w:val="3"/>
          <w:lang w:eastAsia="en-US"/>
        </w:rPr>
      </w:pPr>
      <w:r w:rsidRPr="00DE12A3">
        <w:rPr>
          <w:rFonts w:eastAsia="Times New Roman" w:cs="Times New Roman"/>
          <w:color w:val="auto"/>
          <w:spacing w:val="3"/>
          <w:lang w:eastAsia="en-US"/>
        </w:rPr>
        <w:t xml:space="preserve">    </w:t>
      </w:r>
      <w:r w:rsidR="00242DA0" w:rsidRPr="00DE12A3">
        <w:rPr>
          <w:rFonts w:eastAsia="Times New Roman" w:cs="Times New Roman"/>
          <w:color w:val="auto"/>
          <w:spacing w:val="3"/>
          <w:lang w:eastAsia="en-US"/>
        </w:rPr>
        <w:t>Edi-akımı veya su freni dinamometreleri</w:t>
      </w:r>
      <w:r w:rsidR="003844BE" w:rsidRPr="00DE12A3">
        <w:rPr>
          <w:rFonts w:eastAsia="Times New Roman" w:cs="Times New Roman"/>
          <w:color w:val="auto"/>
          <w:spacing w:val="3"/>
          <w:lang w:eastAsia="en-US"/>
        </w:rPr>
        <w:t>.</w:t>
      </w:r>
    </w:p>
    <w:p w14:paraId="078445C5" w14:textId="2C39DA41" w:rsidR="002D7B36" w:rsidRPr="00DE12A3" w:rsidRDefault="005B44D8" w:rsidP="00E20716">
      <w:pPr>
        <w:numPr>
          <w:ilvl w:val="0"/>
          <w:numId w:val="311"/>
        </w:numPr>
        <w:spacing w:before="120" w:after="120"/>
        <w:ind w:left="1701" w:hanging="567"/>
        <w:jc w:val="both"/>
        <w:rPr>
          <w:rFonts w:eastAsia="Times New Roman" w:cs="Times New Roman"/>
          <w:color w:val="auto"/>
          <w:spacing w:val="3"/>
          <w:lang w:eastAsia="en-US"/>
        </w:rPr>
      </w:pPr>
      <w:r w:rsidRPr="00DE12A3">
        <w:rPr>
          <w:rFonts w:eastAsia="Times New Roman" w:cs="Times New Roman"/>
          <w:color w:val="auto"/>
          <w:spacing w:val="3"/>
          <w:lang w:eastAsia="en-US"/>
        </w:rPr>
        <w:t xml:space="preserve">     </w:t>
      </w:r>
      <w:r w:rsidR="00242DA0" w:rsidRPr="00DE12A3">
        <w:rPr>
          <w:rFonts w:eastAsia="Times New Roman" w:cs="Times New Roman"/>
          <w:color w:val="auto"/>
          <w:spacing w:val="3"/>
          <w:lang w:eastAsia="en-US"/>
        </w:rPr>
        <w:t>Alternatif akım veya doğru akım otomotiv dinamometreleri</w:t>
      </w:r>
      <w:r w:rsidR="003844BE" w:rsidRPr="00DE12A3">
        <w:rPr>
          <w:rFonts w:eastAsia="Times New Roman" w:cs="Times New Roman"/>
          <w:color w:val="auto"/>
          <w:spacing w:val="3"/>
          <w:lang w:eastAsia="en-US"/>
        </w:rPr>
        <w:t>.</w:t>
      </w:r>
    </w:p>
    <w:p w14:paraId="78755BF2" w14:textId="77777777" w:rsidR="002D7B36" w:rsidRPr="00DE12A3" w:rsidRDefault="005B44D8" w:rsidP="00E20716">
      <w:pPr>
        <w:numPr>
          <w:ilvl w:val="0"/>
          <w:numId w:val="311"/>
        </w:numPr>
        <w:spacing w:before="120" w:after="120"/>
        <w:ind w:left="1701" w:hanging="567"/>
        <w:jc w:val="both"/>
        <w:rPr>
          <w:rFonts w:eastAsia="Times New Roman" w:cs="Times New Roman"/>
          <w:color w:val="auto"/>
          <w:spacing w:val="3"/>
          <w:lang w:eastAsia="en-US"/>
        </w:rPr>
      </w:pPr>
      <w:r w:rsidRPr="00DE12A3">
        <w:rPr>
          <w:rFonts w:eastAsia="Times New Roman" w:cs="Times New Roman"/>
          <w:color w:val="auto"/>
          <w:spacing w:val="3"/>
          <w:lang w:eastAsia="en-US"/>
        </w:rPr>
        <w:t xml:space="preserve">     </w:t>
      </w:r>
      <w:r w:rsidR="00242DA0" w:rsidRPr="00DE12A3">
        <w:rPr>
          <w:rFonts w:eastAsia="Times New Roman" w:cs="Times New Roman"/>
          <w:color w:val="auto"/>
          <w:spacing w:val="3"/>
          <w:lang w:eastAsia="en-US"/>
        </w:rPr>
        <w:t>Bir veya daha fazla dinamometre.</w:t>
      </w:r>
    </w:p>
    <w:p w14:paraId="49555AC2" w14:textId="77777777" w:rsidR="002D7B36" w:rsidRPr="00DE12A3" w:rsidRDefault="005B44D8" w:rsidP="00E20716">
      <w:pPr>
        <w:numPr>
          <w:ilvl w:val="0"/>
          <w:numId w:val="310"/>
        </w:numPr>
        <w:spacing w:before="120" w:after="120"/>
        <w:ind w:left="1134" w:hanging="1134"/>
        <w:jc w:val="both"/>
        <w:rPr>
          <w:rFonts w:eastAsia="Times New Roman" w:cs="Times New Roman"/>
          <w:color w:val="auto"/>
          <w:spacing w:val="3"/>
          <w:lang w:eastAsia="en-US"/>
        </w:rPr>
      </w:pPr>
      <w:r w:rsidRPr="00DE12A3">
        <w:rPr>
          <w:rFonts w:eastAsia="Times New Roman" w:cs="Times New Roman"/>
          <w:color w:val="auto"/>
          <w:spacing w:val="3"/>
          <w:lang w:eastAsia="en-US"/>
        </w:rPr>
        <w:t xml:space="preserve">       </w:t>
      </w:r>
      <w:r w:rsidR="00951351" w:rsidRPr="00DE12A3">
        <w:rPr>
          <w:rFonts w:eastAsia="Times New Roman" w:cs="Times New Roman"/>
          <w:color w:val="auto"/>
          <w:spacing w:val="3"/>
          <w:lang w:eastAsia="en-US"/>
        </w:rPr>
        <w:t xml:space="preserve">  </w:t>
      </w:r>
      <w:r w:rsidR="00066A50" w:rsidRPr="00DE12A3">
        <w:rPr>
          <w:rFonts w:eastAsia="Times New Roman" w:cs="Times New Roman"/>
          <w:color w:val="auto"/>
          <w:spacing w:val="3"/>
          <w:lang w:eastAsia="en-US"/>
        </w:rPr>
        <w:t>S</w:t>
      </w:r>
      <w:r w:rsidR="00951351" w:rsidRPr="00DE12A3">
        <w:rPr>
          <w:rFonts w:eastAsia="Times New Roman" w:cs="Times New Roman"/>
          <w:color w:val="auto"/>
          <w:spacing w:val="3"/>
          <w:lang w:eastAsia="en-US"/>
        </w:rPr>
        <w:t xml:space="preserve">üreksiz </w:t>
      </w:r>
      <w:r w:rsidR="00242DA0" w:rsidRPr="00DE12A3">
        <w:rPr>
          <w:rFonts w:eastAsia="Times New Roman" w:cs="Times New Roman"/>
          <w:color w:val="auto"/>
          <w:spacing w:val="3"/>
          <w:lang w:eastAsia="en-US"/>
        </w:rPr>
        <w:t xml:space="preserve">(NRTC ve LSI-NRTC) test </w:t>
      </w:r>
      <w:r w:rsidR="00F310B5" w:rsidRPr="00DE12A3">
        <w:rPr>
          <w:rFonts w:eastAsia="Times New Roman" w:cs="Times New Roman"/>
          <w:color w:val="auto"/>
          <w:spacing w:val="3"/>
          <w:lang w:eastAsia="en-US"/>
        </w:rPr>
        <w:t>çevrim</w:t>
      </w:r>
      <w:r w:rsidR="00242DA0" w:rsidRPr="00DE12A3">
        <w:rPr>
          <w:rFonts w:eastAsia="Times New Roman" w:cs="Times New Roman"/>
          <w:color w:val="auto"/>
          <w:spacing w:val="3"/>
          <w:lang w:eastAsia="en-US"/>
        </w:rPr>
        <w:t>leri</w:t>
      </w:r>
    </w:p>
    <w:p w14:paraId="6A87AA74" w14:textId="77777777" w:rsidR="002D7B36" w:rsidRPr="00DE12A3" w:rsidRDefault="005B44D8" w:rsidP="00C917D6">
      <w:pPr>
        <w:spacing w:before="120" w:after="120"/>
        <w:ind w:left="1134" w:hanging="1134"/>
        <w:jc w:val="both"/>
        <w:rPr>
          <w:rFonts w:eastAsia="Times New Roman" w:cs="Times New Roman"/>
          <w:color w:val="auto"/>
          <w:spacing w:val="3"/>
          <w:lang w:eastAsia="en-US"/>
        </w:rPr>
      </w:pPr>
      <w:r w:rsidRPr="00DE12A3">
        <w:rPr>
          <w:rFonts w:eastAsia="Times New Roman" w:cs="Times New Roman"/>
          <w:color w:val="auto"/>
          <w:spacing w:val="3"/>
          <w:lang w:eastAsia="en-US"/>
        </w:rPr>
        <w:t xml:space="preserve">                  </w:t>
      </w:r>
      <w:r w:rsidR="00242DA0" w:rsidRPr="00DE12A3">
        <w:rPr>
          <w:rFonts w:eastAsia="Times New Roman" w:cs="Times New Roman"/>
          <w:color w:val="auto"/>
          <w:spacing w:val="3"/>
          <w:lang w:eastAsia="en-US"/>
        </w:rPr>
        <w:t>Tork ölçümleri için, yük hücresi veya sıralı tork ölçer kullanılabilir.</w:t>
      </w:r>
    </w:p>
    <w:p w14:paraId="71A30625" w14:textId="77777777" w:rsidR="002D7B36" w:rsidRPr="00DE12A3" w:rsidRDefault="005B44D8" w:rsidP="00C917D6">
      <w:pPr>
        <w:spacing w:before="120" w:after="120"/>
        <w:ind w:left="1134" w:hanging="1134"/>
        <w:jc w:val="both"/>
        <w:rPr>
          <w:rFonts w:eastAsia="Times New Roman" w:cs="Times New Roman"/>
          <w:color w:val="auto"/>
          <w:spacing w:val="3"/>
          <w:lang w:eastAsia="en-US"/>
        </w:rPr>
      </w:pPr>
      <w:r w:rsidRPr="00DE12A3">
        <w:rPr>
          <w:rFonts w:eastAsia="Times New Roman" w:cs="Times New Roman"/>
          <w:color w:val="auto"/>
          <w:spacing w:val="3"/>
          <w:lang w:eastAsia="en-US"/>
        </w:rPr>
        <w:t xml:space="preserve">                  </w:t>
      </w:r>
      <w:r w:rsidR="00242DA0" w:rsidRPr="00DE12A3">
        <w:rPr>
          <w:rFonts w:eastAsia="Times New Roman" w:cs="Times New Roman"/>
          <w:color w:val="auto"/>
          <w:spacing w:val="3"/>
          <w:lang w:eastAsia="en-US"/>
        </w:rPr>
        <w:t>Bir yük hücresi kullanıldığında, tork sinyali motor eksenine aktarılmalı ve dinamometrenin ataleti dikkate alınmalıdır. Fiili motor torku, yük hücresinde okunan tork artı frenin atalet momentinin açısal hızlanma ile çarpımıdır. Kontrol sistemi bu hesaplamayı gerçek zamanlı olarak yapmalıdır.</w:t>
      </w:r>
    </w:p>
    <w:p w14:paraId="162FA9C3" w14:textId="77777777" w:rsidR="002D7B36" w:rsidRPr="00DE12A3" w:rsidRDefault="005B44D8" w:rsidP="00E20716">
      <w:pPr>
        <w:numPr>
          <w:ilvl w:val="0"/>
          <w:numId w:val="310"/>
        </w:numPr>
        <w:spacing w:before="120" w:after="120"/>
        <w:ind w:left="1134" w:hanging="1134"/>
        <w:jc w:val="both"/>
        <w:rPr>
          <w:rFonts w:eastAsia="Times New Roman" w:cs="Times New Roman"/>
          <w:color w:val="auto"/>
          <w:spacing w:val="3"/>
          <w:lang w:eastAsia="en-US"/>
        </w:rPr>
      </w:pPr>
      <w:r w:rsidRPr="00DE12A3">
        <w:rPr>
          <w:rFonts w:eastAsia="Times New Roman" w:cs="Times New Roman"/>
          <w:color w:val="auto"/>
          <w:spacing w:val="3"/>
          <w:lang w:eastAsia="en-US"/>
        </w:rPr>
        <w:t xml:space="preserve">       </w:t>
      </w:r>
      <w:r w:rsidR="00242DA0" w:rsidRPr="00DE12A3">
        <w:rPr>
          <w:rFonts w:eastAsia="Times New Roman" w:cs="Times New Roman"/>
          <w:color w:val="auto"/>
          <w:spacing w:val="3"/>
          <w:lang w:eastAsia="en-US"/>
        </w:rPr>
        <w:t>Motor aksesuarları</w:t>
      </w:r>
    </w:p>
    <w:p w14:paraId="3D905C1B" w14:textId="77777777" w:rsidR="002D7B36" w:rsidRPr="00DE12A3" w:rsidRDefault="005B44D8" w:rsidP="00C917D6">
      <w:pPr>
        <w:spacing w:before="120" w:after="120"/>
        <w:ind w:left="1134" w:hanging="1134"/>
        <w:jc w:val="both"/>
        <w:rPr>
          <w:rFonts w:eastAsia="Times New Roman" w:cs="Times New Roman"/>
          <w:color w:val="auto"/>
          <w:spacing w:val="3"/>
          <w:lang w:eastAsia="en-US"/>
        </w:rPr>
      </w:pPr>
      <w:r w:rsidRPr="00DE12A3">
        <w:rPr>
          <w:rFonts w:eastAsia="Times New Roman" w:cs="Times New Roman"/>
          <w:color w:val="auto"/>
          <w:spacing w:val="3"/>
          <w:lang w:eastAsia="en-US"/>
        </w:rPr>
        <w:t xml:space="preserve">                   </w:t>
      </w:r>
      <w:r w:rsidR="00242DA0" w:rsidRPr="00DE12A3">
        <w:rPr>
          <w:rFonts w:eastAsia="Times New Roman" w:cs="Times New Roman"/>
          <w:color w:val="auto"/>
          <w:spacing w:val="3"/>
          <w:lang w:eastAsia="en-US"/>
        </w:rPr>
        <w:t xml:space="preserve">Motoru soğutmak, yağlamak veya ısıtmak, motora giden sıvı soğutucuyu dolaştırmak veya egzoz </w:t>
      </w:r>
      <w:r w:rsidR="007E2039" w:rsidRPr="00DE12A3">
        <w:rPr>
          <w:rFonts w:eastAsia="Times New Roman" w:cs="Times New Roman"/>
          <w:color w:val="auto"/>
          <w:spacing w:val="3"/>
          <w:lang w:eastAsia="en-US"/>
        </w:rPr>
        <w:t xml:space="preserve">arıtma </w:t>
      </w:r>
      <w:r w:rsidR="00242DA0" w:rsidRPr="00DE12A3">
        <w:rPr>
          <w:rFonts w:eastAsia="Times New Roman" w:cs="Times New Roman"/>
          <w:color w:val="auto"/>
          <w:spacing w:val="3"/>
          <w:lang w:eastAsia="en-US"/>
        </w:rPr>
        <w:t>sistemlerini çalıştırmak için gerekli olan motor aksesuarlarının çalışması hesaba katılmalı ve aksesuarlar 6.3 bendi uyarınca monte edilmelidir.</w:t>
      </w:r>
    </w:p>
    <w:p w14:paraId="662A4F79" w14:textId="77777777" w:rsidR="002D7B36" w:rsidRPr="00DE12A3" w:rsidRDefault="005B44D8" w:rsidP="00E20716">
      <w:pPr>
        <w:numPr>
          <w:ilvl w:val="0"/>
          <w:numId w:val="310"/>
        </w:numPr>
        <w:tabs>
          <w:tab w:val="center" w:pos="709"/>
          <w:tab w:val="right" w:pos="5640"/>
        </w:tabs>
        <w:spacing w:before="120" w:after="120"/>
        <w:ind w:left="1134" w:hanging="1134"/>
        <w:jc w:val="both"/>
        <w:rPr>
          <w:rFonts w:eastAsia="Times New Roman" w:cs="Times New Roman"/>
          <w:color w:val="auto"/>
          <w:spacing w:val="3"/>
          <w:lang w:eastAsia="en-US"/>
        </w:rPr>
      </w:pPr>
      <w:r w:rsidRPr="00DE12A3">
        <w:rPr>
          <w:rFonts w:eastAsia="Times New Roman" w:cs="Times New Roman"/>
          <w:color w:val="auto"/>
          <w:spacing w:val="3"/>
          <w:lang w:eastAsia="en-US"/>
        </w:rPr>
        <w:t xml:space="preserve">      </w:t>
      </w:r>
      <w:r w:rsidR="00242DA0" w:rsidRPr="00DE12A3">
        <w:rPr>
          <w:rFonts w:eastAsia="Times New Roman" w:cs="Times New Roman"/>
          <w:color w:val="auto"/>
          <w:spacing w:val="3"/>
          <w:lang w:eastAsia="en-US"/>
        </w:rPr>
        <w:t>Motor donanımı ve güç aktarım mili sistemi (NRSh kategorisi)</w:t>
      </w:r>
    </w:p>
    <w:p w14:paraId="0037C2BB" w14:textId="77777777" w:rsidR="002D7B36" w:rsidRPr="00DE12A3" w:rsidRDefault="005B44D8" w:rsidP="00C917D6">
      <w:pPr>
        <w:spacing w:before="120" w:after="120"/>
        <w:ind w:left="1134" w:hanging="1134"/>
        <w:jc w:val="both"/>
        <w:rPr>
          <w:rFonts w:eastAsia="Times New Roman" w:cs="Times New Roman"/>
          <w:color w:val="auto"/>
          <w:spacing w:val="3"/>
          <w:lang w:eastAsia="en-US"/>
        </w:rPr>
      </w:pPr>
      <w:bookmarkStart w:id="20" w:name="_Hlk22643491"/>
      <w:r w:rsidRPr="00DE12A3">
        <w:rPr>
          <w:rFonts w:eastAsia="Times New Roman" w:cs="Times New Roman"/>
          <w:color w:val="auto"/>
          <w:spacing w:val="3"/>
          <w:lang w:eastAsia="en-US"/>
        </w:rPr>
        <w:t xml:space="preserve">                 </w:t>
      </w:r>
      <w:r w:rsidR="00242DA0" w:rsidRPr="00DE12A3">
        <w:rPr>
          <w:rFonts w:eastAsia="Times New Roman" w:cs="Times New Roman"/>
          <w:color w:val="auto"/>
          <w:spacing w:val="3"/>
          <w:lang w:eastAsia="en-US"/>
        </w:rPr>
        <w:t xml:space="preserve">Motoru soğutmak, yağlamak veya ısıtmak, motora giden sıvı soğutucuyu dolaştırmak veya egzoz </w:t>
      </w:r>
      <w:r w:rsidR="007E2039" w:rsidRPr="00DE12A3">
        <w:rPr>
          <w:rFonts w:eastAsia="Times New Roman" w:cs="Times New Roman"/>
          <w:color w:val="auto"/>
          <w:spacing w:val="3"/>
          <w:lang w:eastAsia="en-US"/>
        </w:rPr>
        <w:t xml:space="preserve">arıtma </w:t>
      </w:r>
      <w:r w:rsidR="00242DA0" w:rsidRPr="00DE12A3">
        <w:rPr>
          <w:rFonts w:eastAsia="Times New Roman" w:cs="Times New Roman"/>
          <w:color w:val="auto"/>
          <w:spacing w:val="3"/>
          <w:lang w:eastAsia="en-US"/>
        </w:rPr>
        <w:t>sistemlerini çalıştırmak için gerekli olan motor aksesuarlarının çalışması hesaba katılmalı ve aksesuarlar 6.3 bendi uyarınca monte edilmelidir</w:t>
      </w:r>
      <w:bookmarkEnd w:id="20"/>
      <w:r w:rsidR="00242DA0" w:rsidRPr="00DE12A3">
        <w:rPr>
          <w:rFonts w:eastAsia="Times New Roman" w:cs="Times New Roman"/>
          <w:color w:val="auto"/>
          <w:spacing w:val="3"/>
          <w:lang w:eastAsia="en-US"/>
        </w:rPr>
        <w:t>.</w:t>
      </w:r>
    </w:p>
    <w:p w14:paraId="76363761" w14:textId="77777777" w:rsidR="002D7B36" w:rsidRPr="00DE12A3" w:rsidRDefault="005B44D8" w:rsidP="00E20716">
      <w:pPr>
        <w:numPr>
          <w:ilvl w:val="0"/>
          <w:numId w:val="309"/>
        </w:numPr>
        <w:tabs>
          <w:tab w:val="left" w:pos="902"/>
          <w:tab w:val="left" w:pos="2227"/>
        </w:tabs>
        <w:spacing w:before="120" w:after="120"/>
        <w:ind w:left="1134" w:hanging="1134"/>
        <w:jc w:val="both"/>
        <w:rPr>
          <w:rFonts w:eastAsia="Times New Roman" w:cs="Times New Roman"/>
          <w:color w:val="auto"/>
          <w:spacing w:val="3"/>
          <w:lang w:eastAsia="en-US"/>
        </w:rPr>
      </w:pPr>
      <w:r w:rsidRPr="00DE12A3">
        <w:rPr>
          <w:rFonts w:eastAsia="Times New Roman" w:cs="Times New Roman"/>
          <w:color w:val="auto"/>
          <w:spacing w:val="3"/>
          <w:lang w:eastAsia="en-US"/>
        </w:rPr>
        <w:t xml:space="preserve">    </w:t>
      </w:r>
      <w:r w:rsidR="00242DA0" w:rsidRPr="00DE12A3">
        <w:rPr>
          <w:rFonts w:eastAsia="Times New Roman" w:cs="Times New Roman"/>
          <w:color w:val="auto"/>
          <w:spacing w:val="3"/>
          <w:lang w:eastAsia="en-US"/>
        </w:rPr>
        <w:t>Seyreltme prosedürü (varsa)</w:t>
      </w:r>
    </w:p>
    <w:p w14:paraId="18F76DF7" w14:textId="77777777" w:rsidR="002D7B36" w:rsidRPr="00DE12A3" w:rsidRDefault="005B44D8" w:rsidP="00E20716">
      <w:pPr>
        <w:numPr>
          <w:ilvl w:val="0"/>
          <w:numId w:val="312"/>
        </w:numPr>
        <w:tabs>
          <w:tab w:val="left" w:pos="902"/>
          <w:tab w:val="left" w:pos="2227"/>
          <w:tab w:val="center" w:pos="3619"/>
        </w:tabs>
        <w:spacing w:before="120" w:after="120"/>
        <w:ind w:left="1134" w:hanging="1134"/>
        <w:jc w:val="both"/>
        <w:rPr>
          <w:rFonts w:eastAsia="Times New Roman" w:cs="Times New Roman"/>
          <w:color w:val="auto"/>
          <w:spacing w:val="3"/>
          <w:lang w:eastAsia="en-US"/>
        </w:rPr>
      </w:pPr>
      <w:r w:rsidRPr="00DE12A3">
        <w:rPr>
          <w:rFonts w:eastAsia="Times New Roman" w:cs="Times New Roman"/>
          <w:color w:val="auto"/>
          <w:spacing w:val="3"/>
          <w:lang w:eastAsia="en-US"/>
        </w:rPr>
        <w:t xml:space="preserve">    </w:t>
      </w:r>
      <w:r w:rsidR="00242DA0" w:rsidRPr="00DE12A3">
        <w:rPr>
          <w:rFonts w:eastAsia="Times New Roman" w:cs="Times New Roman"/>
          <w:color w:val="auto"/>
          <w:spacing w:val="3"/>
          <w:lang w:eastAsia="en-US"/>
        </w:rPr>
        <w:t>Seyreltici koşulları ve arka plan konsantrasyonları</w:t>
      </w:r>
    </w:p>
    <w:p w14:paraId="674269FB" w14:textId="611E4431" w:rsidR="002D7B36" w:rsidRPr="00DE12A3" w:rsidRDefault="005B44D8" w:rsidP="00C917D6">
      <w:pPr>
        <w:spacing w:before="120" w:after="120"/>
        <w:ind w:left="1134" w:hanging="1134"/>
        <w:jc w:val="both"/>
        <w:rPr>
          <w:rFonts w:eastAsia="Times New Roman" w:cs="Times New Roman"/>
          <w:color w:val="auto"/>
          <w:spacing w:val="3"/>
          <w:lang w:eastAsia="en-US"/>
        </w:rPr>
      </w:pPr>
      <w:r w:rsidRPr="00DE12A3">
        <w:rPr>
          <w:rFonts w:eastAsia="Times New Roman" w:cs="Times New Roman"/>
          <w:color w:val="auto"/>
          <w:spacing w:val="3"/>
          <w:lang w:eastAsia="en-US"/>
        </w:rPr>
        <w:t xml:space="preserve">                   </w:t>
      </w:r>
      <w:r w:rsidR="00242DA0" w:rsidRPr="00DE12A3">
        <w:rPr>
          <w:rFonts w:eastAsia="Times New Roman" w:cs="Times New Roman"/>
          <w:color w:val="auto"/>
          <w:spacing w:val="3"/>
          <w:lang w:eastAsia="en-US"/>
        </w:rPr>
        <w:t>Gaz halindeki bileşenler ham veya seyreltik olarak ölçülebilir</w:t>
      </w:r>
      <w:r w:rsidR="003844BE" w:rsidRPr="00DE12A3">
        <w:rPr>
          <w:rFonts w:eastAsia="Times New Roman" w:cs="Times New Roman"/>
          <w:color w:val="auto"/>
          <w:spacing w:val="3"/>
          <w:lang w:eastAsia="en-US"/>
        </w:rPr>
        <w:t>.</w:t>
      </w:r>
      <w:r w:rsidR="00242DA0" w:rsidRPr="00DE12A3">
        <w:rPr>
          <w:rFonts w:eastAsia="Times New Roman" w:cs="Times New Roman"/>
          <w:color w:val="auto"/>
          <w:spacing w:val="3"/>
          <w:lang w:eastAsia="en-US"/>
        </w:rPr>
        <w:t xml:space="preserve"> </w:t>
      </w:r>
      <w:r w:rsidR="003844BE" w:rsidRPr="00DE12A3">
        <w:rPr>
          <w:rFonts w:eastAsia="Times New Roman" w:cs="Times New Roman"/>
          <w:color w:val="auto"/>
          <w:spacing w:val="3"/>
          <w:lang w:eastAsia="en-US"/>
        </w:rPr>
        <w:t>O</w:t>
      </w:r>
      <w:r w:rsidR="00242DA0" w:rsidRPr="00DE12A3">
        <w:rPr>
          <w:rFonts w:eastAsia="Times New Roman" w:cs="Times New Roman"/>
          <w:color w:val="auto"/>
          <w:spacing w:val="3"/>
          <w:lang w:eastAsia="en-US"/>
        </w:rPr>
        <w:t xml:space="preserve">ysa PM ölçümü genellikle seyreltme gerektirir. Seyreltme, tam akışlı veya kısmi akışlı seyreltme sistemi ile gerçekleştirilebilir. Seyreltme </w:t>
      </w:r>
      <w:r w:rsidR="004E7F54" w:rsidRPr="00DE12A3">
        <w:rPr>
          <w:rFonts w:eastAsia="Times New Roman" w:cs="Times New Roman"/>
          <w:color w:val="auto"/>
          <w:spacing w:val="3"/>
          <w:lang w:eastAsia="en-US"/>
        </w:rPr>
        <w:t>uygulandığı zaman egzoz gazı; ortam havası</w:t>
      </w:r>
      <w:r w:rsidR="00242DA0" w:rsidRPr="00DE12A3">
        <w:rPr>
          <w:rFonts w:eastAsia="Times New Roman" w:cs="Times New Roman"/>
          <w:color w:val="auto"/>
          <w:spacing w:val="3"/>
          <w:lang w:eastAsia="en-US"/>
        </w:rPr>
        <w:t>, sentetik hava veya azot ile seyreltilebilir. Gaz halindeki emisyonların ölçümü için seyreltici en az 288 K (15 °C) olmalıdır. PM örneklemesi için seyreltici sıcaklığı, CVS için 9.2.2 ve değişken seyreltme oranına sahip PFD için 9.2.3 bentlerinde belirtilmektedir. Seyreltme sisteminin akış kapasitesi, seyreltme ve örnekleme sistemlerindeki su yoğuşmasını tamamen ortadan kaldıracak kadar büyük olmalıdır. Havadaki nem yüksekse, seyreltme sistemine girmeden önce seyreltme havasının neminin giderilmesine izin verilir. Seyreltme tüneli duvarları, su içeren bileşenlerin bir gaz fazından bir sıvı faza ("sulu yoğuşma") çökelmesini önlemek için tünelin çıkış kısmındaki toplu akış borusu gibi ısıtılabilir veya yalıtılabilir.</w:t>
      </w:r>
    </w:p>
    <w:p w14:paraId="79E8A66F" w14:textId="77777777" w:rsidR="002D7B36" w:rsidRPr="00DE12A3" w:rsidRDefault="005B44D8" w:rsidP="00C917D6">
      <w:pPr>
        <w:spacing w:before="120" w:after="120"/>
        <w:ind w:left="1134" w:hanging="1134"/>
        <w:jc w:val="both"/>
        <w:rPr>
          <w:rFonts w:eastAsia="Times New Roman" w:cs="Times New Roman"/>
          <w:color w:val="auto"/>
          <w:spacing w:val="3"/>
          <w:lang w:eastAsia="en-US"/>
        </w:rPr>
      </w:pPr>
      <w:r w:rsidRPr="00DE12A3">
        <w:rPr>
          <w:rFonts w:eastAsia="Times New Roman" w:cs="Times New Roman"/>
          <w:color w:val="auto"/>
          <w:spacing w:val="3"/>
          <w:lang w:eastAsia="en-US"/>
        </w:rPr>
        <w:t xml:space="preserve">                  </w:t>
      </w:r>
      <w:r w:rsidR="00242DA0" w:rsidRPr="00DE12A3">
        <w:rPr>
          <w:rFonts w:eastAsia="Times New Roman" w:cs="Times New Roman"/>
          <w:color w:val="auto"/>
          <w:spacing w:val="3"/>
          <w:lang w:eastAsia="en-US"/>
        </w:rPr>
        <w:t xml:space="preserve">Bir seyreltici, egzoz gazı ile karıştırılmadan önce, sıcaklığı veya nemi arttırılarak veya azaltılarak önceden koşullandırılabilir. Arka plan konsantrasyonlarını </w:t>
      </w:r>
      <w:r w:rsidR="00242DA0" w:rsidRPr="00DE12A3">
        <w:rPr>
          <w:rFonts w:eastAsia="Times New Roman" w:cs="Times New Roman"/>
          <w:color w:val="auto"/>
          <w:spacing w:val="3"/>
          <w:lang w:eastAsia="en-US"/>
        </w:rPr>
        <w:lastRenderedPageBreak/>
        <w:t>azaltmak için bileşenler seyrelticiden giderilebilir. Bileşenlerin giderilmesi veya arka plan konsantrasyonlarının hesaba katılması için aşağıdaki hükümler uygulanır:</w:t>
      </w:r>
    </w:p>
    <w:p w14:paraId="6D45F1DF" w14:textId="612AF692" w:rsidR="002D7B36" w:rsidRPr="00DE12A3" w:rsidRDefault="005B44D8" w:rsidP="00E20716">
      <w:pPr>
        <w:numPr>
          <w:ilvl w:val="0"/>
          <w:numId w:val="313"/>
        </w:numPr>
        <w:spacing w:before="120" w:after="120"/>
        <w:ind w:left="1701" w:hanging="567"/>
        <w:jc w:val="both"/>
        <w:rPr>
          <w:rFonts w:eastAsia="Times New Roman" w:cs="Times New Roman"/>
          <w:color w:val="auto"/>
          <w:spacing w:val="3"/>
          <w:lang w:eastAsia="en-US"/>
        </w:rPr>
      </w:pPr>
      <w:r w:rsidRPr="00DE12A3">
        <w:rPr>
          <w:rFonts w:eastAsia="Times New Roman" w:cs="Times New Roman"/>
          <w:color w:val="auto"/>
          <w:spacing w:val="3"/>
          <w:lang w:eastAsia="en-US"/>
        </w:rPr>
        <w:t xml:space="preserve">    </w:t>
      </w:r>
      <w:r w:rsidR="00242DA0" w:rsidRPr="00DE12A3">
        <w:rPr>
          <w:rFonts w:eastAsia="Times New Roman" w:cs="Times New Roman"/>
          <w:color w:val="auto"/>
          <w:spacing w:val="3"/>
          <w:lang w:eastAsia="en-US"/>
        </w:rPr>
        <w:t xml:space="preserve">Seyreltici içindeki bileşen konsantrasyonları ölçülebilir ve test sonuçları üzerindeki arkaplan etkileri bakımından dengelenebilir. Arka plan konsantrasyonlarını dengeleme hesaplamaları için </w:t>
      </w:r>
      <w:r w:rsidR="00FA0678" w:rsidRPr="00DE12A3">
        <w:rPr>
          <w:rFonts w:eastAsia="Times New Roman" w:cs="Times New Roman"/>
          <w:color w:val="auto"/>
          <w:spacing w:val="3"/>
          <w:lang w:eastAsia="en-US"/>
        </w:rPr>
        <w:t xml:space="preserve">VII’nci </w:t>
      </w:r>
      <w:r w:rsidR="00E10EB2" w:rsidRPr="00DE12A3">
        <w:rPr>
          <w:rFonts w:eastAsia="Times New Roman" w:cs="Times New Roman"/>
          <w:color w:val="auto"/>
          <w:spacing w:val="3"/>
          <w:lang w:eastAsia="en-US"/>
        </w:rPr>
        <w:t>E</w:t>
      </w:r>
      <w:r w:rsidR="00FA0678" w:rsidRPr="00DE12A3">
        <w:rPr>
          <w:rFonts w:eastAsia="Times New Roman" w:cs="Times New Roman"/>
          <w:color w:val="auto"/>
          <w:spacing w:val="3"/>
          <w:lang w:eastAsia="en-US"/>
        </w:rPr>
        <w:t>k</w:t>
      </w:r>
      <w:r w:rsidR="00242DA0" w:rsidRPr="00DE12A3">
        <w:rPr>
          <w:rFonts w:eastAsia="Times New Roman" w:cs="Times New Roman"/>
          <w:color w:val="auto"/>
          <w:spacing w:val="3"/>
          <w:lang w:eastAsia="en-US"/>
        </w:rPr>
        <w:t>e bakınız</w:t>
      </w:r>
      <w:r w:rsidR="003844BE" w:rsidRPr="00DE12A3">
        <w:rPr>
          <w:rFonts w:eastAsia="Times New Roman" w:cs="Times New Roman"/>
          <w:color w:val="auto"/>
          <w:spacing w:val="3"/>
          <w:lang w:eastAsia="en-US"/>
        </w:rPr>
        <w:t>.</w:t>
      </w:r>
    </w:p>
    <w:p w14:paraId="2F5CFA77" w14:textId="1EF6A5A1" w:rsidR="002D7B36" w:rsidRPr="00DE12A3" w:rsidRDefault="00242DA0" w:rsidP="00E20716">
      <w:pPr>
        <w:numPr>
          <w:ilvl w:val="0"/>
          <w:numId w:val="313"/>
        </w:numPr>
        <w:spacing w:before="120" w:after="120"/>
        <w:ind w:left="1701" w:hanging="567"/>
        <w:jc w:val="both"/>
        <w:rPr>
          <w:rFonts w:eastAsia="Times New Roman" w:cs="Times New Roman"/>
          <w:color w:val="auto"/>
          <w:spacing w:val="3"/>
          <w:lang w:eastAsia="en-US"/>
        </w:rPr>
      </w:pPr>
      <w:r w:rsidRPr="00DE12A3">
        <w:rPr>
          <w:rFonts w:eastAsia="Times New Roman" w:cs="Times New Roman"/>
          <w:color w:val="auto"/>
          <w:spacing w:val="3"/>
          <w:lang w:eastAsia="en-US"/>
        </w:rPr>
        <w:t xml:space="preserve">Arka plandaki gaz halindeki veya </w:t>
      </w:r>
      <w:r w:rsidR="007E2039" w:rsidRPr="00DE12A3">
        <w:rPr>
          <w:rFonts w:eastAsia="Times New Roman" w:cs="Times New Roman"/>
          <w:color w:val="auto"/>
          <w:spacing w:val="3"/>
          <w:lang w:eastAsia="en-US"/>
        </w:rPr>
        <w:t xml:space="preserve">partikül </w:t>
      </w:r>
      <w:r w:rsidRPr="00DE12A3">
        <w:rPr>
          <w:rFonts w:eastAsia="Times New Roman" w:cs="Times New Roman"/>
          <w:color w:val="auto"/>
          <w:spacing w:val="3"/>
          <w:lang w:eastAsia="en-US"/>
        </w:rPr>
        <w:t xml:space="preserve">halindeki kirleticilerin ölçümü için 7.2, 9.3 ve 9.4 </w:t>
      </w:r>
      <w:r w:rsidR="003844BE" w:rsidRPr="00DE12A3">
        <w:rPr>
          <w:rFonts w:eastAsia="Times New Roman" w:cs="Times New Roman"/>
          <w:color w:val="auto"/>
          <w:spacing w:val="3"/>
          <w:lang w:eastAsia="en-US"/>
        </w:rPr>
        <w:t xml:space="preserve">bentlerindeki </w:t>
      </w:r>
      <w:r w:rsidRPr="00DE12A3">
        <w:rPr>
          <w:rFonts w:eastAsia="Times New Roman" w:cs="Times New Roman"/>
          <w:color w:val="auto"/>
          <w:spacing w:val="3"/>
          <w:lang w:eastAsia="en-US"/>
        </w:rPr>
        <w:t>şartlarda aşağıdaki değişikliklere izin verilir</w:t>
      </w:r>
      <w:r w:rsidR="003844BE" w:rsidRPr="00DE12A3">
        <w:rPr>
          <w:rFonts w:eastAsia="Times New Roman" w:cs="Times New Roman"/>
          <w:color w:val="auto"/>
          <w:spacing w:val="3"/>
          <w:lang w:eastAsia="en-US"/>
        </w:rPr>
        <w:t>;</w:t>
      </w:r>
    </w:p>
    <w:p w14:paraId="1D0163DA" w14:textId="773CE6FA" w:rsidR="002D7B36" w:rsidRPr="00DE12A3" w:rsidRDefault="005B44D8" w:rsidP="00E20716">
      <w:pPr>
        <w:numPr>
          <w:ilvl w:val="0"/>
          <w:numId w:val="314"/>
        </w:numPr>
        <w:spacing w:before="120" w:after="120"/>
        <w:ind w:left="2268" w:hanging="567"/>
        <w:jc w:val="both"/>
        <w:rPr>
          <w:rFonts w:eastAsia="Times New Roman" w:cs="Times New Roman"/>
          <w:color w:val="auto"/>
          <w:spacing w:val="3"/>
          <w:lang w:eastAsia="en-US"/>
        </w:rPr>
      </w:pPr>
      <w:r w:rsidRPr="00DE12A3">
        <w:rPr>
          <w:rFonts w:eastAsia="Times New Roman" w:cs="Times New Roman"/>
          <w:color w:val="auto"/>
          <w:spacing w:val="3"/>
          <w:lang w:eastAsia="en-US"/>
        </w:rPr>
        <w:t xml:space="preserve"> </w:t>
      </w:r>
      <w:r w:rsidR="00242DA0" w:rsidRPr="00DE12A3">
        <w:rPr>
          <w:rFonts w:eastAsia="Times New Roman" w:cs="Times New Roman"/>
          <w:color w:val="auto"/>
          <w:spacing w:val="3"/>
          <w:lang w:eastAsia="en-US"/>
        </w:rPr>
        <w:t>Orantılı örneklemenin kullanılması şart değildir</w:t>
      </w:r>
      <w:r w:rsidR="003844BE" w:rsidRPr="00DE12A3">
        <w:rPr>
          <w:rFonts w:eastAsia="Times New Roman" w:cs="Times New Roman"/>
          <w:color w:val="auto"/>
          <w:spacing w:val="3"/>
          <w:lang w:eastAsia="en-US"/>
        </w:rPr>
        <w:t>.</w:t>
      </w:r>
    </w:p>
    <w:p w14:paraId="596053A6" w14:textId="76760EAF" w:rsidR="002D7B36" w:rsidRPr="00DE12A3" w:rsidRDefault="005B44D8" w:rsidP="00E20716">
      <w:pPr>
        <w:numPr>
          <w:ilvl w:val="0"/>
          <w:numId w:val="314"/>
        </w:numPr>
        <w:spacing w:before="120" w:after="120"/>
        <w:ind w:left="2268" w:hanging="567"/>
        <w:jc w:val="both"/>
        <w:rPr>
          <w:rFonts w:eastAsia="Times New Roman" w:cs="Times New Roman"/>
          <w:color w:val="auto"/>
          <w:spacing w:val="3"/>
          <w:lang w:eastAsia="en-US"/>
        </w:rPr>
      </w:pPr>
      <w:r w:rsidRPr="00DE12A3">
        <w:rPr>
          <w:rFonts w:eastAsia="Times New Roman" w:cs="Times New Roman"/>
          <w:color w:val="auto"/>
          <w:spacing w:val="3"/>
          <w:lang w:eastAsia="en-US"/>
        </w:rPr>
        <w:t xml:space="preserve">  </w:t>
      </w:r>
      <w:r w:rsidR="00242DA0" w:rsidRPr="00DE12A3">
        <w:rPr>
          <w:rFonts w:eastAsia="Times New Roman" w:cs="Times New Roman"/>
          <w:color w:val="auto"/>
          <w:spacing w:val="3"/>
          <w:lang w:eastAsia="en-US"/>
        </w:rPr>
        <w:t>Isıtmasız örnekleme sistemleri kullanılabilir</w:t>
      </w:r>
      <w:r w:rsidR="003844BE" w:rsidRPr="00DE12A3">
        <w:rPr>
          <w:rFonts w:eastAsia="Times New Roman" w:cs="Times New Roman"/>
          <w:color w:val="auto"/>
          <w:spacing w:val="3"/>
          <w:lang w:eastAsia="en-US"/>
        </w:rPr>
        <w:t>.</w:t>
      </w:r>
    </w:p>
    <w:p w14:paraId="5F75DCA5" w14:textId="2A1E582C" w:rsidR="002D7B36" w:rsidRPr="00DE12A3" w:rsidRDefault="005B44D8" w:rsidP="00E20716">
      <w:pPr>
        <w:numPr>
          <w:ilvl w:val="0"/>
          <w:numId w:val="314"/>
        </w:numPr>
        <w:spacing w:before="120" w:after="120"/>
        <w:ind w:left="2268" w:hanging="567"/>
        <w:jc w:val="both"/>
        <w:rPr>
          <w:rFonts w:eastAsia="Times New Roman" w:cs="Times New Roman"/>
          <w:color w:val="auto"/>
          <w:spacing w:val="3"/>
          <w:lang w:eastAsia="en-US"/>
        </w:rPr>
      </w:pPr>
      <w:r w:rsidRPr="00DE12A3">
        <w:rPr>
          <w:rFonts w:eastAsia="Times New Roman" w:cs="Times New Roman"/>
          <w:color w:val="auto"/>
          <w:spacing w:val="3"/>
          <w:lang w:eastAsia="en-US"/>
        </w:rPr>
        <w:t xml:space="preserve">  </w:t>
      </w:r>
      <w:r w:rsidR="00242DA0" w:rsidRPr="00DE12A3">
        <w:rPr>
          <w:rFonts w:eastAsia="Times New Roman" w:cs="Times New Roman"/>
          <w:color w:val="auto"/>
          <w:spacing w:val="3"/>
          <w:lang w:eastAsia="en-US"/>
        </w:rPr>
        <w:t>Seyreltilmiş emisyonlar için toplu örnekleme kullanımından bağımsız olarak sürekli örnekleme kullanılabilir</w:t>
      </w:r>
      <w:r w:rsidR="003844BE" w:rsidRPr="00DE12A3">
        <w:rPr>
          <w:rFonts w:eastAsia="Times New Roman" w:cs="Times New Roman"/>
          <w:color w:val="auto"/>
          <w:spacing w:val="3"/>
          <w:lang w:eastAsia="en-US"/>
        </w:rPr>
        <w:t>.</w:t>
      </w:r>
    </w:p>
    <w:p w14:paraId="479EA1DF" w14:textId="77777777" w:rsidR="002D7B36" w:rsidRPr="00DE12A3" w:rsidRDefault="005B44D8" w:rsidP="00E20716">
      <w:pPr>
        <w:numPr>
          <w:ilvl w:val="0"/>
          <w:numId w:val="314"/>
        </w:numPr>
        <w:spacing w:before="120" w:after="120"/>
        <w:ind w:left="2268" w:hanging="567"/>
        <w:jc w:val="both"/>
        <w:rPr>
          <w:rFonts w:eastAsia="Times New Roman" w:cs="Times New Roman"/>
          <w:color w:val="auto"/>
          <w:spacing w:val="3"/>
          <w:lang w:eastAsia="en-US"/>
        </w:rPr>
      </w:pPr>
      <w:r w:rsidRPr="00DE12A3">
        <w:rPr>
          <w:rFonts w:eastAsia="Times New Roman" w:cs="Times New Roman"/>
          <w:color w:val="auto"/>
          <w:spacing w:val="3"/>
          <w:lang w:eastAsia="en-US"/>
        </w:rPr>
        <w:t xml:space="preserve">   </w:t>
      </w:r>
      <w:r w:rsidR="00242DA0" w:rsidRPr="00DE12A3">
        <w:rPr>
          <w:rFonts w:eastAsia="Times New Roman" w:cs="Times New Roman"/>
          <w:color w:val="auto"/>
          <w:spacing w:val="3"/>
          <w:lang w:eastAsia="en-US"/>
        </w:rPr>
        <w:t>Seyreltilmiş emisyonlar için sürekli örnekleme kullanımından bağımsız olarak toplu örnekleme kullanılabilir.</w:t>
      </w:r>
    </w:p>
    <w:p w14:paraId="2BB4D27D" w14:textId="77777777" w:rsidR="002D7B36" w:rsidRPr="00DE12A3" w:rsidRDefault="005B44D8" w:rsidP="00E20716">
      <w:pPr>
        <w:numPr>
          <w:ilvl w:val="0"/>
          <w:numId w:val="313"/>
        </w:numPr>
        <w:spacing w:before="120" w:after="120"/>
        <w:ind w:left="1701" w:hanging="567"/>
        <w:jc w:val="both"/>
        <w:rPr>
          <w:rFonts w:eastAsia="Times New Roman" w:cs="Times New Roman"/>
          <w:color w:val="auto"/>
          <w:spacing w:val="3"/>
          <w:lang w:eastAsia="en-US"/>
        </w:rPr>
      </w:pPr>
      <w:r w:rsidRPr="00DE12A3">
        <w:rPr>
          <w:rFonts w:eastAsia="Times New Roman" w:cs="Times New Roman"/>
          <w:color w:val="auto"/>
          <w:spacing w:val="3"/>
          <w:lang w:eastAsia="en-US"/>
        </w:rPr>
        <w:t xml:space="preserve">     </w:t>
      </w:r>
      <w:r w:rsidR="00242DA0" w:rsidRPr="00DE12A3">
        <w:rPr>
          <w:rFonts w:eastAsia="Times New Roman" w:cs="Times New Roman"/>
          <w:color w:val="auto"/>
          <w:spacing w:val="3"/>
          <w:lang w:eastAsia="en-US"/>
        </w:rPr>
        <w:t>PM arka planını hesaba katmak için aşağıdaki seçenekler kullanılabilir:</w:t>
      </w:r>
    </w:p>
    <w:p w14:paraId="52FBBD28" w14:textId="6929488E" w:rsidR="002D7B36" w:rsidRPr="00DE12A3" w:rsidRDefault="005B44D8" w:rsidP="00E20716">
      <w:pPr>
        <w:numPr>
          <w:ilvl w:val="0"/>
          <w:numId w:val="315"/>
        </w:numPr>
        <w:spacing w:before="120" w:after="120"/>
        <w:ind w:left="2268" w:hanging="567"/>
        <w:jc w:val="both"/>
        <w:rPr>
          <w:rFonts w:eastAsia="Times New Roman" w:cs="Times New Roman"/>
          <w:color w:val="auto"/>
          <w:spacing w:val="3"/>
          <w:lang w:eastAsia="en-US"/>
        </w:rPr>
      </w:pPr>
      <w:r w:rsidRPr="00DE12A3">
        <w:rPr>
          <w:rFonts w:eastAsia="Times New Roman" w:cs="Times New Roman"/>
          <w:color w:val="auto"/>
          <w:spacing w:val="3"/>
          <w:lang w:eastAsia="en-US"/>
        </w:rPr>
        <w:t xml:space="preserve">  </w:t>
      </w:r>
      <w:r w:rsidR="00242DA0" w:rsidRPr="00DE12A3">
        <w:rPr>
          <w:rFonts w:eastAsia="Times New Roman" w:cs="Times New Roman"/>
          <w:color w:val="auto"/>
          <w:spacing w:val="3"/>
          <w:lang w:eastAsia="en-US"/>
        </w:rPr>
        <w:t xml:space="preserve">PM arka planını gidermek için seyreltici, </w:t>
      </w:r>
      <w:r w:rsidR="004E7F54" w:rsidRPr="00DE12A3">
        <w:rPr>
          <w:rFonts w:eastAsia="Times New Roman" w:cs="Times New Roman"/>
          <w:color w:val="auto"/>
          <w:spacing w:val="3"/>
          <w:lang w:eastAsia="en-US"/>
        </w:rPr>
        <w:t>%99,97</w:t>
      </w:r>
      <w:r w:rsidR="00242DA0" w:rsidRPr="00DE12A3">
        <w:rPr>
          <w:rFonts w:eastAsia="Times New Roman" w:cs="Times New Roman"/>
          <w:color w:val="auto"/>
          <w:spacing w:val="3"/>
          <w:lang w:eastAsia="en-US"/>
        </w:rPr>
        <w:t xml:space="preserve">'lik bir ilk asgari toplama verimliliği özelliğine sahip yüksek verimli </w:t>
      </w:r>
      <w:r w:rsidR="007E2039" w:rsidRPr="00DE12A3">
        <w:rPr>
          <w:rFonts w:eastAsia="Times New Roman" w:cs="Times New Roman"/>
          <w:color w:val="auto"/>
          <w:spacing w:val="3"/>
          <w:lang w:eastAsia="en-US"/>
        </w:rPr>
        <w:t xml:space="preserve">partikül </w:t>
      </w:r>
      <w:r w:rsidR="00242DA0" w:rsidRPr="00DE12A3">
        <w:rPr>
          <w:rFonts w:eastAsia="Times New Roman" w:cs="Times New Roman"/>
          <w:color w:val="auto"/>
          <w:spacing w:val="3"/>
          <w:lang w:eastAsia="en-US"/>
        </w:rPr>
        <w:t>hava (HEPA) filtreleri ile filtrelenmelidir (HEPA filtreleme verimleri ile ilgili prosedürler</w:t>
      </w:r>
      <w:r w:rsidR="00AE0A29" w:rsidRPr="00DE12A3">
        <w:rPr>
          <w:rFonts w:eastAsia="Times New Roman" w:cs="Times New Roman"/>
          <w:color w:val="auto"/>
          <w:spacing w:val="3"/>
          <w:lang w:eastAsia="en-US"/>
        </w:rPr>
        <w:t>e</w:t>
      </w:r>
      <w:r w:rsidR="00242DA0" w:rsidRPr="00DE12A3">
        <w:rPr>
          <w:rFonts w:eastAsia="Times New Roman" w:cs="Times New Roman"/>
          <w:color w:val="auto"/>
          <w:spacing w:val="3"/>
          <w:lang w:eastAsia="en-US"/>
        </w:rPr>
        <w:t xml:space="preserve"> bakınız)</w:t>
      </w:r>
      <w:r w:rsidR="003844BE" w:rsidRPr="00DE12A3">
        <w:rPr>
          <w:rFonts w:eastAsia="Times New Roman" w:cs="Times New Roman"/>
          <w:color w:val="auto"/>
          <w:spacing w:val="3"/>
          <w:lang w:eastAsia="en-US"/>
        </w:rPr>
        <w:t>.</w:t>
      </w:r>
    </w:p>
    <w:p w14:paraId="1E9486C4" w14:textId="6FD14EBE" w:rsidR="002D7B36" w:rsidRPr="00DE12A3" w:rsidRDefault="005B44D8" w:rsidP="00E20716">
      <w:pPr>
        <w:numPr>
          <w:ilvl w:val="0"/>
          <w:numId w:val="315"/>
        </w:numPr>
        <w:spacing w:before="120" w:after="120"/>
        <w:ind w:left="2268" w:hanging="567"/>
        <w:jc w:val="both"/>
        <w:rPr>
          <w:rFonts w:eastAsia="Times New Roman" w:cs="Times New Roman"/>
          <w:color w:val="auto"/>
          <w:spacing w:val="3"/>
          <w:lang w:eastAsia="en-US"/>
        </w:rPr>
      </w:pPr>
      <w:r w:rsidRPr="00DE12A3">
        <w:rPr>
          <w:rFonts w:eastAsia="Times New Roman" w:cs="Times New Roman"/>
          <w:color w:val="auto"/>
          <w:spacing w:val="3"/>
          <w:lang w:eastAsia="en-US"/>
        </w:rPr>
        <w:t xml:space="preserve">   </w:t>
      </w:r>
      <w:r w:rsidR="00242DA0" w:rsidRPr="00DE12A3">
        <w:rPr>
          <w:rFonts w:eastAsia="Times New Roman" w:cs="Times New Roman"/>
          <w:color w:val="auto"/>
          <w:spacing w:val="3"/>
          <w:lang w:eastAsia="en-US"/>
        </w:rPr>
        <w:t>PM arka planını HEPA filtrelemesi olmadan düzeltmek için, arka plan PM, numune filtre üzerinde toplanan net PM'nin</w:t>
      </w:r>
      <w:r w:rsidR="004E7F54" w:rsidRPr="00DE12A3">
        <w:rPr>
          <w:rFonts w:eastAsia="Times New Roman" w:cs="Times New Roman"/>
          <w:color w:val="auto"/>
          <w:spacing w:val="3"/>
          <w:lang w:eastAsia="en-US"/>
        </w:rPr>
        <w:t xml:space="preserve"> %50</w:t>
      </w:r>
      <w:r w:rsidR="00242DA0" w:rsidRPr="00DE12A3">
        <w:rPr>
          <w:rFonts w:eastAsia="Times New Roman" w:cs="Times New Roman"/>
          <w:color w:val="auto"/>
          <w:spacing w:val="3"/>
          <w:lang w:eastAsia="en-US"/>
        </w:rPr>
        <w:t>'sinden daha fazla katkıda bulunmamalıdır</w:t>
      </w:r>
      <w:r w:rsidR="003844BE" w:rsidRPr="00DE12A3">
        <w:rPr>
          <w:rFonts w:eastAsia="Times New Roman" w:cs="Times New Roman"/>
          <w:color w:val="auto"/>
          <w:spacing w:val="3"/>
          <w:lang w:eastAsia="en-US"/>
        </w:rPr>
        <w:t>.</w:t>
      </w:r>
    </w:p>
    <w:p w14:paraId="4302E1DF" w14:textId="77777777" w:rsidR="002D7B36" w:rsidRPr="00DE12A3" w:rsidRDefault="005B44D8" w:rsidP="00E20716">
      <w:pPr>
        <w:numPr>
          <w:ilvl w:val="0"/>
          <w:numId w:val="315"/>
        </w:numPr>
        <w:spacing w:before="120" w:after="120"/>
        <w:ind w:left="2268" w:hanging="567"/>
        <w:jc w:val="both"/>
        <w:rPr>
          <w:rFonts w:eastAsia="Times New Roman" w:cs="Times New Roman"/>
          <w:color w:val="auto"/>
          <w:spacing w:val="3"/>
          <w:lang w:eastAsia="en-US"/>
        </w:rPr>
      </w:pPr>
      <w:r w:rsidRPr="00DE12A3">
        <w:rPr>
          <w:rFonts w:eastAsia="Times New Roman" w:cs="Times New Roman"/>
          <w:color w:val="auto"/>
          <w:spacing w:val="3"/>
          <w:lang w:eastAsia="en-US"/>
        </w:rPr>
        <w:t xml:space="preserve">   </w:t>
      </w:r>
      <w:r w:rsidR="00242DA0" w:rsidRPr="00DE12A3">
        <w:rPr>
          <w:rFonts w:eastAsia="Times New Roman" w:cs="Times New Roman"/>
          <w:color w:val="auto"/>
          <w:spacing w:val="3"/>
          <w:lang w:eastAsia="en-US"/>
        </w:rPr>
        <w:t>Net PM'in HEPA filtrelemesi ile arka plan düzeltmesine, basınç kısıtlaması olmadan izin verilir.</w:t>
      </w:r>
    </w:p>
    <w:p w14:paraId="60A00B97" w14:textId="77777777" w:rsidR="002D7B36" w:rsidRPr="00DE12A3" w:rsidRDefault="005C6B5D" w:rsidP="00E20716">
      <w:pPr>
        <w:numPr>
          <w:ilvl w:val="0"/>
          <w:numId w:val="312"/>
        </w:numPr>
        <w:tabs>
          <w:tab w:val="left" w:pos="902"/>
        </w:tabs>
        <w:spacing w:before="120" w:after="120"/>
        <w:ind w:left="1134" w:hanging="1134"/>
        <w:jc w:val="both"/>
        <w:rPr>
          <w:rFonts w:eastAsia="Times New Roman" w:cs="Times New Roman"/>
          <w:color w:val="auto"/>
          <w:spacing w:val="3"/>
          <w:lang w:eastAsia="en-US"/>
        </w:rPr>
      </w:pPr>
      <w:r w:rsidRPr="00DE12A3">
        <w:rPr>
          <w:rFonts w:eastAsia="Times New Roman" w:cs="Times New Roman"/>
          <w:color w:val="auto"/>
          <w:spacing w:val="3"/>
          <w:lang w:eastAsia="en-US"/>
        </w:rPr>
        <w:t xml:space="preserve">    </w:t>
      </w:r>
      <w:r w:rsidR="00242DA0" w:rsidRPr="00DE12A3">
        <w:rPr>
          <w:rFonts w:eastAsia="Times New Roman" w:cs="Times New Roman"/>
          <w:color w:val="auto"/>
          <w:spacing w:val="3"/>
          <w:lang w:eastAsia="en-US"/>
        </w:rPr>
        <w:t>Tam akış sistemi</w:t>
      </w:r>
    </w:p>
    <w:p w14:paraId="76E9890D" w14:textId="77777777" w:rsidR="002D7B36" w:rsidRPr="00DE12A3" w:rsidRDefault="005B44D8" w:rsidP="00C917D6">
      <w:pPr>
        <w:spacing w:before="120" w:after="120"/>
        <w:ind w:left="1134" w:hanging="1134"/>
        <w:jc w:val="both"/>
        <w:rPr>
          <w:rFonts w:eastAsia="Times New Roman" w:cs="Times New Roman"/>
          <w:color w:val="auto"/>
          <w:spacing w:val="3"/>
          <w:lang w:eastAsia="en-US"/>
        </w:rPr>
      </w:pPr>
      <w:r w:rsidRPr="00DE12A3">
        <w:rPr>
          <w:rFonts w:eastAsia="Times New Roman" w:cs="Times New Roman"/>
          <w:color w:val="auto"/>
          <w:spacing w:val="3"/>
          <w:lang w:eastAsia="en-US"/>
        </w:rPr>
        <w:t xml:space="preserve">               </w:t>
      </w:r>
      <w:r w:rsidR="005C6B5D" w:rsidRPr="00DE12A3">
        <w:rPr>
          <w:rFonts w:eastAsia="Times New Roman" w:cs="Times New Roman"/>
          <w:color w:val="auto"/>
          <w:spacing w:val="3"/>
          <w:lang w:eastAsia="en-US"/>
        </w:rPr>
        <w:t xml:space="preserve">   </w:t>
      </w:r>
      <w:r w:rsidR="00242DA0" w:rsidRPr="00DE12A3">
        <w:rPr>
          <w:rFonts w:eastAsia="Times New Roman" w:cs="Times New Roman"/>
          <w:color w:val="auto"/>
          <w:spacing w:val="3"/>
          <w:lang w:eastAsia="en-US"/>
        </w:rPr>
        <w:t>Tam akış seyreltme; sabit hacimli örnekleme (CVS). Ham egzoz gazının tam akışı bir seyreltme tünelinde seyreltilir. Sayaçtaki sıcaklık ve basınç sınırlar dahilinde tutularak sabit akış sağlanabilir. Sabit olmayan akış için, akış orantılı örneklemeye imkan tanımak üzere doğrudan ölçülmelidir. Sistem aşağıdaki gibi tasarlanmalıdır (bkz. Şekil 6.6):</w:t>
      </w:r>
    </w:p>
    <w:p w14:paraId="783BB8D2" w14:textId="4BC6C316" w:rsidR="002D7B36" w:rsidRPr="00DE12A3" w:rsidRDefault="005C6B5D" w:rsidP="00E20716">
      <w:pPr>
        <w:numPr>
          <w:ilvl w:val="0"/>
          <w:numId w:val="316"/>
        </w:numPr>
        <w:spacing w:before="120" w:after="120"/>
        <w:ind w:left="1701" w:hanging="567"/>
        <w:jc w:val="both"/>
        <w:rPr>
          <w:rFonts w:eastAsia="Times New Roman" w:cs="Times New Roman"/>
          <w:color w:val="auto"/>
          <w:spacing w:val="3"/>
          <w:lang w:eastAsia="en-US"/>
        </w:rPr>
      </w:pPr>
      <w:r w:rsidRPr="00DE12A3">
        <w:rPr>
          <w:rFonts w:eastAsia="Times New Roman" w:cs="Times New Roman"/>
          <w:color w:val="auto"/>
          <w:spacing w:val="3"/>
          <w:lang w:eastAsia="en-US"/>
        </w:rPr>
        <w:t xml:space="preserve">     </w:t>
      </w:r>
      <w:r w:rsidR="00242DA0" w:rsidRPr="00DE12A3">
        <w:rPr>
          <w:rFonts w:eastAsia="Times New Roman" w:cs="Times New Roman"/>
          <w:color w:val="auto"/>
          <w:spacing w:val="3"/>
          <w:lang w:eastAsia="en-US"/>
        </w:rPr>
        <w:t>İç yüzeyleri paslanmaz çelik olan bir tünel kullanılmalıdır. Tüm seyreltme tüneli elektrik bakımından topraklanmalıdır. Alternatif olarak, PM veya PN sınırlarına tabi olmayan motor kategorileri için iletken olmayan malzemeler kullanılabilir</w:t>
      </w:r>
      <w:r w:rsidR="003844BE" w:rsidRPr="00DE12A3">
        <w:rPr>
          <w:rFonts w:eastAsia="Times New Roman" w:cs="Times New Roman"/>
          <w:color w:val="auto"/>
          <w:spacing w:val="3"/>
          <w:lang w:eastAsia="en-US"/>
        </w:rPr>
        <w:t>.</w:t>
      </w:r>
    </w:p>
    <w:p w14:paraId="262E4F4B" w14:textId="23370AC5" w:rsidR="002D7B36" w:rsidRPr="00DE12A3" w:rsidRDefault="00242DA0" w:rsidP="00E20716">
      <w:pPr>
        <w:numPr>
          <w:ilvl w:val="0"/>
          <w:numId w:val="316"/>
        </w:numPr>
        <w:spacing w:before="120" w:after="120"/>
        <w:ind w:left="1701" w:hanging="567"/>
        <w:jc w:val="both"/>
        <w:rPr>
          <w:rFonts w:eastAsia="Times New Roman" w:cs="Times New Roman"/>
          <w:color w:val="auto"/>
          <w:spacing w:val="3"/>
          <w:lang w:eastAsia="en-US"/>
        </w:rPr>
      </w:pPr>
      <w:r w:rsidRPr="00DE12A3">
        <w:rPr>
          <w:rFonts w:eastAsia="Times New Roman" w:cs="Times New Roman"/>
          <w:color w:val="auto"/>
          <w:spacing w:val="3"/>
          <w:lang w:eastAsia="en-US"/>
        </w:rPr>
        <w:t>Egzoz gazı geri basıncı, seyreltme havası giriş sistemi tarafından yapay olarak düşürülmemelidir. Ham egzoz gazının tünele beslendiği yerdeki statik basınç, atmosferik basınç ± 1,2 kPa aralığı içinde tutulmalıdır</w:t>
      </w:r>
      <w:r w:rsidR="003844BE" w:rsidRPr="00DE12A3">
        <w:rPr>
          <w:rFonts w:eastAsia="Times New Roman" w:cs="Times New Roman"/>
          <w:color w:val="auto"/>
          <w:spacing w:val="3"/>
          <w:lang w:eastAsia="en-US"/>
        </w:rPr>
        <w:t>.</w:t>
      </w:r>
    </w:p>
    <w:p w14:paraId="59A4C597" w14:textId="11A4F100" w:rsidR="002D7B36" w:rsidRPr="00DE12A3" w:rsidRDefault="005C6B5D" w:rsidP="00E20716">
      <w:pPr>
        <w:numPr>
          <w:ilvl w:val="0"/>
          <w:numId w:val="316"/>
        </w:numPr>
        <w:spacing w:before="120" w:after="120"/>
        <w:ind w:left="1701" w:hanging="567"/>
        <w:jc w:val="both"/>
        <w:rPr>
          <w:rFonts w:eastAsia="Times New Roman" w:cs="Times New Roman"/>
          <w:color w:val="auto"/>
          <w:spacing w:val="3"/>
          <w:lang w:eastAsia="en-US"/>
        </w:rPr>
      </w:pPr>
      <w:r w:rsidRPr="00DE12A3">
        <w:rPr>
          <w:rFonts w:eastAsia="Times New Roman" w:cs="Times New Roman"/>
          <w:color w:val="auto"/>
          <w:spacing w:val="3"/>
          <w:lang w:eastAsia="en-US"/>
        </w:rPr>
        <w:t xml:space="preserve">    </w:t>
      </w:r>
      <w:r w:rsidR="00242DA0" w:rsidRPr="00DE12A3">
        <w:rPr>
          <w:rFonts w:eastAsia="Times New Roman" w:cs="Times New Roman"/>
          <w:color w:val="auto"/>
          <w:spacing w:val="3"/>
          <w:lang w:eastAsia="en-US"/>
        </w:rPr>
        <w:t>Karışmayı desteklemek için ham egzoz gazı, tünelin merkez hattı boyunca çıkış tarafına doğru yönlendirilerek tünelin içine beslenmelidir. Tünel duvarlarıyla egzoz gazı etkileşimini en aza indirmek için seyreltme havasının bir kısmı tünelin iç yüzeyinden radyal olarak beslenebilir</w:t>
      </w:r>
      <w:r w:rsidR="003844BE" w:rsidRPr="00DE12A3">
        <w:rPr>
          <w:rFonts w:eastAsia="Times New Roman" w:cs="Times New Roman"/>
          <w:color w:val="auto"/>
          <w:spacing w:val="3"/>
          <w:lang w:eastAsia="en-US"/>
        </w:rPr>
        <w:t>.</w:t>
      </w:r>
    </w:p>
    <w:p w14:paraId="213D076D" w14:textId="7FBE40C6" w:rsidR="002D7B36" w:rsidRPr="00DE12A3" w:rsidRDefault="00242DA0" w:rsidP="00E20716">
      <w:pPr>
        <w:numPr>
          <w:ilvl w:val="0"/>
          <w:numId w:val="316"/>
        </w:numPr>
        <w:spacing w:before="120" w:after="120"/>
        <w:ind w:left="1701" w:hanging="567"/>
        <w:jc w:val="both"/>
        <w:rPr>
          <w:rFonts w:eastAsia="Times New Roman" w:cs="Times New Roman"/>
          <w:color w:val="auto"/>
          <w:spacing w:val="3"/>
          <w:lang w:eastAsia="en-US"/>
        </w:rPr>
      </w:pPr>
      <w:r w:rsidRPr="00DE12A3">
        <w:rPr>
          <w:rFonts w:eastAsia="Times New Roman" w:cs="Times New Roman"/>
          <w:color w:val="auto"/>
          <w:spacing w:val="3"/>
          <w:lang w:eastAsia="en-US"/>
        </w:rPr>
        <w:t>Seyreltici. PM örneklemesi için seyrelticilerin (9.2.1 bendinde belirtildiği gibi ortam havası, sentetik hava veya azot) sıcaklığı, seyreltme tünelinin girişine yakın bir yerde 293 ila 325 K (20 ila 52 °C) arasında tutulmalıdır</w:t>
      </w:r>
      <w:r w:rsidR="003844BE" w:rsidRPr="00DE12A3">
        <w:rPr>
          <w:rFonts w:eastAsia="Times New Roman" w:cs="Times New Roman"/>
          <w:color w:val="auto"/>
          <w:spacing w:val="3"/>
          <w:lang w:eastAsia="en-US"/>
        </w:rPr>
        <w:t>.</w:t>
      </w:r>
    </w:p>
    <w:p w14:paraId="3D52A4B5" w14:textId="29E8398F" w:rsidR="002D7B36" w:rsidRPr="00DE12A3" w:rsidRDefault="005C6B5D" w:rsidP="00E20716">
      <w:pPr>
        <w:numPr>
          <w:ilvl w:val="0"/>
          <w:numId w:val="316"/>
        </w:numPr>
        <w:spacing w:before="120" w:after="120"/>
        <w:ind w:left="1701" w:hanging="567"/>
        <w:jc w:val="both"/>
        <w:rPr>
          <w:rFonts w:eastAsia="Times New Roman" w:cs="Times New Roman"/>
          <w:color w:val="auto"/>
          <w:spacing w:val="3"/>
          <w:lang w:eastAsia="en-US"/>
        </w:rPr>
      </w:pPr>
      <w:r w:rsidRPr="00DE12A3">
        <w:rPr>
          <w:rFonts w:eastAsia="Times New Roman" w:cs="Times New Roman"/>
          <w:color w:val="auto"/>
          <w:spacing w:val="3"/>
          <w:lang w:eastAsia="en-US"/>
        </w:rPr>
        <w:lastRenderedPageBreak/>
        <w:t xml:space="preserve">     </w:t>
      </w:r>
      <w:r w:rsidR="00242DA0" w:rsidRPr="00DE12A3">
        <w:rPr>
          <w:rFonts w:eastAsia="Times New Roman" w:cs="Times New Roman"/>
          <w:color w:val="auto"/>
          <w:spacing w:val="3"/>
          <w:lang w:eastAsia="en-US"/>
        </w:rPr>
        <w:t xml:space="preserve">Reynolds sayısı </w:t>
      </w:r>
      <w:r w:rsidR="00242DA0" w:rsidRPr="00DE12A3">
        <w:rPr>
          <w:rFonts w:eastAsia="Times New Roman" w:cs="Times New Roman"/>
          <w:i/>
          <w:iCs/>
          <w:color w:val="auto"/>
          <w:spacing w:val="3"/>
          <w:lang w:eastAsia="en-US"/>
        </w:rPr>
        <w:t>Re</w:t>
      </w:r>
      <w:r w:rsidR="00242DA0" w:rsidRPr="00DE12A3">
        <w:rPr>
          <w:rFonts w:eastAsia="Times New Roman" w:cs="Times New Roman"/>
          <w:color w:val="auto"/>
          <w:spacing w:val="3"/>
          <w:lang w:eastAsia="en-US"/>
        </w:rPr>
        <w:t>, seyreltilmiş egzoz gazı akışı için en az 4.000 olmalıdır</w:t>
      </w:r>
      <w:r w:rsidR="003844BE" w:rsidRPr="00DE12A3">
        <w:rPr>
          <w:rFonts w:eastAsia="Times New Roman" w:cs="Times New Roman"/>
          <w:color w:val="auto"/>
          <w:spacing w:val="3"/>
          <w:lang w:eastAsia="en-US"/>
        </w:rPr>
        <w:t>.</w:t>
      </w:r>
      <w:r w:rsidR="00242DA0" w:rsidRPr="00DE12A3">
        <w:rPr>
          <w:rFonts w:eastAsia="Times New Roman" w:cs="Times New Roman"/>
          <w:color w:val="auto"/>
          <w:spacing w:val="3"/>
          <w:lang w:eastAsia="en-US"/>
        </w:rPr>
        <w:t xml:space="preserve"> </w:t>
      </w:r>
      <w:r w:rsidR="003844BE" w:rsidRPr="00DE12A3">
        <w:rPr>
          <w:rFonts w:eastAsia="Times New Roman" w:cs="Times New Roman"/>
          <w:color w:val="auto"/>
          <w:spacing w:val="3"/>
          <w:lang w:eastAsia="en-US"/>
        </w:rPr>
        <w:t>B</w:t>
      </w:r>
      <w:r w:rsidR="00242DA0" w:rsidRPr="00DE12A3">
        <w:rPr>
          <w:rFonts w:eastAsia="Times New Roman" w:cs="Times New Roman"/>
          <w:color w:val="auto"/>
          <w:spacing w:val="3"/>
          <w:lang w:eastAsia="en-US"/>
        </w:rPr>
        <w:t xml:space="preserve">urada Re, seyreltme tünelinin iç çapına dayanmaktadır. Re, </w:t>
      </w:r>
      <w:r w:rsidR="00FA0678" w:rsidRPr="00DE12A3">
        <w:rPr>
          <w:rFonts w:eastAsia="Times New Roman" w:cs="Times New Roman"/>
          <w:color w:val="auto"/>
          <w:spacing w:val="3"/>
          <w:lang w:eastAsia="en-US"/>
        </w:rPr>
        <w:t xml:space="preserve">VII’nci </w:t>
      </w:r>
      <w:r w:rsidR="003844BE" w:rsidRPr="00DE12A3">
        <w:rPr>
          <w:rFonts w:eastAsia="Times New Roman" w:cs="Times New Roman"/>
          <w:color w:val="auto"/>
          <w:spacing w:val="3"/>
          <w:lang w:eastAsia="en-US"/>
        </w:rPr>
        <w:t>E</w:t>
      </w:r>
      <w:r w:rsidR="00FA0678" w:rsidRPr="00DE12A3">
        <w:rPr>
          <w:rFonts w:eastAsia="Times New Roman" w:cs="Times New Roman"/>
          <w:color w:val="auto"/>
          <w:spacing w:val="3"/>
          <w:lang w:eastAsia="en-US"/>
        </w:rPr>
        <w:t>k</w:t>
      </w:r>
      <w:r w:rsidR="00242DA0" w:rsidRPr="00DE12A3">
        <w:rPr>
          <w:rFonts w:eastAsia="Times New Roman" w:cs="Times New Roman"/>
          <w:color w:val="auto"/>
          <w:spacing w:val="3"/>
          <w:lang w:eastAsia="en-US"/>
        </w:rPr>
        <w:t xml:space="preserve">te tanımlanmıştır. Bir örnekleme sondası, tünel çapı boyunca dikey ve yatay olarak geçirilirken, yeterli karışıma ilişkin doğrulama yapılmalıdır. Analiz cihazı tepkisi, ortalama ölçülen konsantrasyonun ± </w:t>
      </w:r>
      <w:r w:rsidR="00441404" w:rsidRPr="00DE12A3">
        <w:rPr>
          <w:rFonts w:eastAsia="Times New Roman" w:cs="Times New Roman"/>
          <w:color w:val="auto"/>
          <w:spacing w:val="3"/>
          <w:lang w:eastAsia="en-US"/>
        </w:rPr>
        <w:t>%2</w:t>
      </w:r>
      <w:r w:rsidR="00242DA0" w:rsidRPr="00DE12A3">
        <w:rPr>
          <w:rFonts w:eastAsia="Times New Roman" w:cs="Times New Roman"/>
          <w:color w:val="auto"/>
          <w:spacing w:val="3"/>
          <w:lang w:eastAsia="en-US"/>
        </w:rPr>
        <w:t>'sini aşan herhangi bir sapma gösterirse, CVS daha yüksek bir akış hızında çalıştırılmalı veya karışımın iyileştirilmesi için bir karıştırma plakası veya orifisi monte edilmelidir</w:t>
      </w:r>
      <w:r w:rsidR="003844BE" w:rsidRPr="00DE12A3">
        <w:rPr>
          <w:rFonts w:eastAsia="Times New Roman" w:cs="Times New Roman"/>
          <w:color w:val="auto"/>
          <w:spacing w:val="3"/>
          <w:lang w:eastAsia="en-US"/>
        </w:rPr>
        <w:t>.</w:t>
      </w:r>
    </w:p>
    <w:p w14:paraId="268591DE" w14:textId="6AC12383" w:rsidR="002D7B36" w:rsidRPr="00DE12A3" w:rsidRDefault="005C6B5D" w:rsidP="00E20716">
      <w:pPr>
        <w:numPr>
          <w:ilvl w:val="0"/>
          <w:numId w:val="316"/>
        </w:numPr>
        <w:spacing w:before="120" w:after="120"/>
        <w:ind w:left="1701" w:hanging="567"/>
        <w:jc w:val="both"/>
        <w:rPr>
          <w:rFonts w:eastAsia="Times New Roman" w:cs="Times New Roman"/>
          <w:color w:val="auto"/>
          <w:spacing w:val="3"/>
          <w:lang w:eastAsia="en-US"/>
        </w:rPr>
      </w:pPr>
      <w:r w:rsidRPr="00DE12A3">
        <w:rPr>
          <w:rFonts w:eastAsia="Times New Roman" w:cs="Times New Roman"/>
          <w:color w:val="auto"/>
          <w:spacing w:val="3"/>
          <w:lang w:eastAsia="en-US"/>
        </w:rPr>
        <w:t xml:space="preserve">    </w:t>
      </w:r>
      <w:r w:rsidR="00242DA0" w:rsidRPr="00DE12A3">
        <w:rPr>
          <w:rFonts w:eastAsia="Times New Roman" w:cs="Times New Roman"/>
          <w:color w:val="auto"/>
          <w:spacing w:val="3"/>
          <w:lang w:eastAsia="en-US"/>
        </w:rPr>
        <w:t>Akış ölçümü ön koşullandırma. Seyreltilmiş egzoz gazı, akış hızı ölçülmeden önce koşullandırılabilir</w:t>
      </w:r>
      <w:r w:rsidR="003844BE" w:rsidRPr="00DE12A3">
        <w:rPr>
          <w:rFonts w:eastAsia="Times New Roman" w:cs="Times New Roman"/>
          <w:color w:val="auto"/>
          <w:spacing w:val="3"/>
          <w:lang w:eastAsia="en-US"/>
        </w:rPr>
        <w:t>.</w:t>
      </w:r>
      <w:r w:rsidR="00242DA0" w:rsidRPr="00DE12A3">
        <w:rPr>
          <w:rFonts w:eastAsia="Times New Roman" w:cs="Times New Roman"/>
          <w:color w:val="auto"/>
          <w:spacing w:val="3"/>
          <w:lang w:eastAsia="en-US"/>
        </w:rPr>
        <w:t xml:space="preserve"> </w:t>
      </w:r>
      <w:r w:rsidR="003844BE" w:rsidRPr="00DE12A3">
        <w:rPr>
          <w:rFonts w:eastAsia="Times New Roman" w:cs="Times New Roman"/>
          <w:color w:val="auto"/>
          <w:spacing w:val="3"/>
          <w:lang w:eastAsia="en-US"/>
        </w:rPr>
        <w:t>A</w:t>
      </w:r>
      <w:r w:rsidR="00242DA0" w:rsidRPr="00DE12A3">
        <w:rPr>
          <w:rFonts w:eastAsia="Times New Roman" w:cs="Times New Roman"/>
          <w:color w:val="auto"/>
          <w:spacing w:val="3"/>
          <w:lang w:eastAsia="en-US"/>
        </w:rPr>
        <w:t>ncak bu şartlandırma, aşağıdaki şekilde, ısıtılmış HC veya PM numune sondalarının çıkış kısmında gerçekleşmelidir</w:t>
      </w:r>
      <w:r w:rsidR="003844BE" w:rsidRPr="00DE12A3">
        <w:rPr>
          <w:rFonts w:eastAsia="Times New Roman" w:cs="Times New Roman"/>
          <w:color w:val="auto"/>
          <w:spacing w:val="3"/>
          <w:lang w:eastAsia="en-US"/>
        </w:rPr>
        <w:t>;</w:t>
      </w:r>
    </w:p>
    <w:p w14:paraId="6D39AA84" w14:textId="0E7C56EC" w:rsidR="002D7B36" w:rsidRPr="00DE12A3" w:rsidRDefault="005C6B5D" w:rsidP="00E20716">
      <w:pPr>
        <w:numPr>
          <w:ilvl w:val="0"/>
          <w:numId w:val="317"/>
        </w:numPr>
        <w:spacing w:before="120" w:after="120"/>
        <w:ind w:left="2268" w:hanging="567"/>
        <w:jc w:val="both"/>
        <w:rPr>
          <w:rFonts w:eastAsia="Times New Roman" w:cs="Times New Roman"/>
          <w:color w:val="auto"/>
          <w:spacing w:val="3"/>
          <w:lang w:eastAsia="en-US"/>
        </w:rPr>
      </w:pPr>
      <w:r w:rsidRPr="00DE12A3">
        <w:rPr>
          <w:rFonts w:eastAsia="Times New Roman" w:cs="Times New Roman"/>
          <w:color w:val="auto"/>
          <w:spacing w:val="3"/>
          <w:lang w:eastAsia="en-US"/>
        </w:rPr>
        <w:t xml:space="preserve">  </w:t>
      </w:r>
      <w:r w:rsidR="00242DA0" w:rsidRPr="00DE12A3">
        <w:rPr>
          <w:rFonts w:eastAsia="Times New Roman" w:cs="Times New Roman"/>
          <w:color w:val="auto"/>
          <w:spacing w:val="3"/>
          <w:lang w:eastAsia="en-US"/>
        </w:rPr>
        <w:t>Akış düzleştiriciler, titreşim sönümleyiciler veya bunların ikisi de kullanılabilir</w:t>
      </w:r>
      <w:r w:rsidR="003844BE" w:rsidRPr="00DE12A3">
        <w:rPr>
          <w:rFonts w:eastAsia="Times New Roman" w:cs="Times New Roman"/>
          <w:color w:val="auto"/>
          <w:spacing w:val="3"/>
          <w:lang w:eastAsia="en-US"/>
        </w:rPr>
        <w:t>.</w:t>
      </w:r>
    </w:p>
    <w:p w14:paraId="584F84FC" w14:textId="531F58A6" w:rsidR="002D7B36" w:rsidRPr="00DE12A3" w:rsidRDefault="005C6B5D" w:rsidP="00E20716">
      <w:pPr>
        <w:numPr>
          <w:ilvl w:val="0"/>
          <w:numId w:val="317"/>
        </w:numPr>
        <w:spacing w:before="120" w:after="120"/>
        <w:ind w:left="2268" w:hanging="567"/>
        <w:jc w:val="both"/>
        <w:rPr>
          <w:rFonts w:eastAsia="Times New Roman" w:cs="Times New Roman"/>
          <w:color w:val="auto"/>
          <w:spacing w:val="3"/>
          <w:lang w:eastAsia="en-US"/>
        </w:rPr>
      </w:pPr>
      <w:r w:rsidRPr="00DE12A3">
        <w:rPr>
          <w:rFonts w:eastAsia="Times New Roman" w:cs="Times New Roman"/>
          <w:color w:val="auto"/>
          <w:spacing w:val="3"/>
          <w:lang w:eastAsia="en-US"/>
        </w:rPr>
        <w:t xml:space="preserve">   </w:t>
      </w:r>
      <w:r w:rsidR="00242DA0" w:rsidRPr="00DE12A3">
        <w:rPr>
          <w:rFonts w:eastAsia="Times New Roman" w:cs="Times New Roman"/>
          <w:color w:val="auto"/>
          <w:spacing w:val="3"/>
          <w:lang w:eastAsia="en-US"/>
        </w:rPr>
        <w:t>Bir filtre kullanılabilir</w:t>
      </w:r>
      <w:r w:rsidR="003844BE" w:rsidRPr="00DE12A3">
        <w:rPr>
          <w:rFonts w:eastAsia="Times New Roman" w:cs="Times New Roman"/>
          <w:color w:val="auto"/>
          <w:spacing w:val="3"/>
          <w:lang w:eastAsia="en-US"/>
        </w:rPr>
        <w:t>.</w:t>
      </w:r>
    </w:p>
    <w:p w14:paraId="7DAD9B46" w14:textId="5CBD7147" w:rsidR="002D7B36" w:rsidRPr="00DE12A3" w:rsidRDefault="005C6B5D" w:rsidP="00E20716">
      <w:pPr>
        <w:numPr>
          <w:ilvl w:val="0"/>
          <w:numId w:val="317"/>
        </w:numPr>
        <w:spacing w:before="120" w:after="120"/>
        <w:ind w:left="2268" w:hanging="567"/>
        <w:jc w:val="both"/>
        <w:rPr>
          <w:rFonts w:eastAsia="Times New Roman" w:cs="Times New Roman"/>
          <w:color w:val="auto"/>
          <w:spacing w:val="3"/>
          <w:lang w:eastAsia="en-US"/>
        </w:rPr>
      </w:pPr>
      <w:r w:rsidRPr="00DE12A3">
        <w:rPr>
          <w:rFonts w:eastAsia="Times New Roman" w:cs="Times New Roman"/>
          <w:color w:val="auto"/>
          <w:spacing w:val="3"/>
          <w:lang w:eastAsia="en-US"/>
        </w:rPr>
        <w:t xml:space="preserve">   </w:t>
      </w:r>
      <w:r w:rsidR="00242DA0" w:rsidRPr="00DE12A3">
        <w:rPr>
          <w:rFonts w:eastAsia="Times New Roman" w:cs="Times New Roman"/>
          <w:color w:val="auto"/>
          <w:spacing w:val="3"/>
          <w:lang w:eastAsia="en-US"/>
        </w:rPr>
        <w:t>Herhangi bir sayacın üst tarafındaki sıcaklığı kontrol etmek için bir ısı eşanjörü kullanılabilir</w:t>
      </w:r>
      <w:r w:rsidR="003844BE" w:rsidRPr="00DE12A3">
        <w:rPr>
          <w:rFonts w:eastAsia="Times New Roman" w:cs="Times New Roman"/>
          <w:color w:val="auto"/>
          <w:spacing w:val="3"/>
          <w:lang w:eastAsia="en-US"/>
        </w:rPr>
        <w:t>.</w:t>
      </w:r>
      <w:r w:rsidR="00242DA0" w:rsidRPr="00DE12A3">
        <w:rPr>
          <w:rFonts w:eastAsia="Times New Roman" w:cs="Times New Roman"/>
          <w:color w:val="auto"/>
          <w:spacing w:val="3"/>
          <w:lang w:eastAsia="en-US"/>
        </w:rPr>
        <w:t xml:space="preserve"> </w:t>
      </w:r>
      <w:r w:rsidR="003844BE" w:rsidRPr="00DE12A3">
        <w:rPr>
          <w:rFonts w:eastAsia="Times New Roman" w:cs="Times New Roman"/>
          <w:color w:val="auto"/>
          <w:spacing w:val="3"/>
          <w:lang w:eastAsia="en-US"/>
        </w:rPr>
        <w:t>A</w:t>
      </w:r>
      <w:r w:rsidR="00242DA0" w:rsidRPr="00DE12A3">
        <w:rPr>
          <w:rFonts w:eastAsia="Times New Roman" w:cs="Times New Roman"/>
          <w:color w:val="auto"/>
          <w:spacing w:val="3"/>
          <w:lang w:eastAsia="en-US"/>
        </w:rPr>
        <w:t>ncak sulu yoğuşmayı önlemek için adım atılmalıdır</w:t>
      </w:r>
      <w:r w:rsidR="003844BE" w:rsidRPr="00DE12A3">
        <w:rPr>
          <w:rFonts w:eastAsia="Times New Roman" w:cs="Times New Roman"/>
          <w:color w:val="auto"/>
          <w:spacing w:val="3"/>
          <w:lang w:eastAsia="en-US"/>
        </w:rPr>
        <w:t>.</w:t>
      </w:r>
    </w:p>
    <w:p w14:paraId="082AC392" w14:textId="77777777" w:rsidR="002D7B36" w:rsidRPr="00DE12A3" w:rsidRDefault="00242DA0" w:rsidP="00E20716">
      <w:pPr>
        <w:numPr>
          <w:ilvl w:val="0"/>
          <w:numId w:val="316"/>
        </w:numPr>
        <w:spacing w:before="120" w:after="120"/>
        <w:ind w:left="1701" w:hanging="567"/>
        <w:jc w:val="both"/>
        <w:rPr>
          <w:rFonts w:eastAsia="Times New Roman" w:cs="Times New Roman"/>
          <w:color w:val="auto"/>
          <w:spacing w:val="3"/>
          <w:lang w:eastAsia="en-US"/>
        </w:rPr>
      </w:pPr>
      <w:r w:rsidRPr="00DE12A3">
        <w:rPr>
          <w:rFonts w:eastAsia="Times New Roman" w:cs="Times New Roman"/>
          <w:color w:val="auto"/>
          <w:spacing w:val="3"/>
          <w:lang w:eastAsia="en-US"/>
        </w:rPr>
        <w:t>Sulu yoğuşma. Sulu yoğuşma; nem, basınç, sıcaklık ve sülfürik asit gibi diğer bileşenlerin konsantrasyonlarının bir fonksiyonudur. Bu parametreler, motor giriş havası neminin, seyreltme havası neminin, motor hava/yakıt oranının ve yakıt içindeki hidrojen ve kükürt miktarı da dahil olmak üzere yakıt bileşiminin bir fonksiyonu olarak değişir.</w:t>
      </w:r>
    </w:p>
    <w:p w14:paraId="6B9D6452" w14:textId="6AAF9425" w:rsidR="002D7B36" w:rsidRPr="00DE12A3" w:rsidRDefault="00242DA0" w:rsidP="00C917D6">
      <w:pPr>
        <w:spacing w:before="120" w:after="120"/>
        <w:ind w:left="1134" w:hanging="1134"/>
        <w:jc w:val="both"/>
        <w:rPr>
          <w:rFonts w:eastAsia="Times New Roman" w:cs="Times New Roman"/>
          <w:color w:val="auto"/>
          <w:spacing w:val="3"/>
          <w:lang w:eastAsia="en-US"/>
        </w:rPr>
      </w:pPr>
      <w:r w:rsidRPr="00DE12A3">
        <w:rPr>
          <w:rFonts w:eastAsia="Times New Roman" w:cs="Times New Roman"/>
          <w:color w:val="auto"/>
          <w:spacing w:val="3"/>
          <w:lang w:eastAsia="en-US"/>
        </w:rPr>
        <w:t xml:space="preserve">    </w:t>
      </w:r>
      <w:r w:rsidR="005C6B5D" w:rsidRPr="00DE12A3">
        <w:rPr>
          <w:rFonts w:eastAsia="Times New Roman" w:cs="Times New Roman"/>
          <w:color w:val="auto"/>
          <w:spacing w:val="3"/>
          <w:lang w:eastAsia="en-US"/>
        </w:rPr>
        <w:t xml:space="preserve">             </w:t>
      </w:r>
      <w:r w:rsidRPr="00DE12A3">
        <w:rPr>
          <w:rFonts w:eastAsia="Times New Roman" w:cs="Times New Roman"/>
          <w:color w:val="auto"/>
          <w:spacing w:val="3"/>
          <w:lang w:eastAsia="en-US"/>
        </w:rPr>
        <w:t xml:space="preserve"> Ölçülen bir konsantrasyona karşılık gelen bir akışın ölçülmesini sağlamak için, sulu yoğuşma ya numune sondasının konumu ile seyreltme tünelindeki sayaç girişi arasında önlenmeli veya sulu yoğuşmanın oluşmasına izin verilmeli ve sayaç girişinde nem ölçülmelidir. Seyreltme tüneli duvarları veya tünelin çıkış kısmındaki toplu akış boruları, sulu yoğuşmayı önlemek için ısıtılabilir veya yalıtılabilir. Seyreltme tüneli boyunca sulu yoğuşma önlenmelidir. Bazı egzoz gazı bileşenleri, nemin varlığı dolayısıyla seyreltilebilir veya giderilebilir</w:t>
      </w:r>
      <w:r w:rsidR="003844BE" w:rsidRPr="00DE12A3">
        <w:rPr>
          <w:rFonts w:eastAsia="Times New Roman" w:cs="Times New Roman"/>
          <w:color w:val="auto"/>
          <w:spacing w:val="3"/>
          <w:lang w:eastAsia="en-US"/>
        </w:rPr>
        <w:t>.</w:t>
      </w:r>
    </w:p>
    <w:p w14:paraId="101E850B" w14:textId="6CD34A19" w:rsidR="002D7B36" w:rsidRPr="00DE12A3" w:rsidRDefault="00242DA0" w:rsidP="00C917D6">
      <w:pPr>
        <w:spacing w:before="120" w:after="120"/>
        <w:ind w:left="1134" w:hanging="1134"/>
        <w:jc w:val="both"/>
        <w:rPr>
          <w:rFonts w:eastAsia="Times New Roman" w:cs="Times New Roman"/>
          <w:color w:val="auto"/>
          <w:spacing w:val="3"/>
          <w:lang w:eastAsia="en-US"/>
        </w:rPr>
      </w:pPr>
      <w:r w:rsidRPr="00DE12A3">
        <w:rPr>
          <w:rFonts w:eastAsia="Times New Roman" w:cs="Times New Roman"/>
          <w:color w:val="auto"/>
          <w:spacing w:val="3"/>
          <w:lang w:eastAsia="en-US"/>
        </w:rPr>
        <w:t xml:space="preserve">     </w:t>
      </w:r>
      <w:r w:rsidR="005C6B5D" w:rsidRPr="00DE12A3">
        <w:rPr>
          <w:rFonts w:eastAsia="Times New Roman" w:cs="Times New Roman"/>
          <w:color w:val="auto"/>
          <w:spacing w:val="3"/>
          <w:lang w:eastAsia="en-US"/>
        </w:rPr>
        <w:t xml:space="preserve">              </w:t>
      </w:r>
      <w:r w:rsidRPr="00DE12A3">
        <w:rPr>
          <w:rFonts w:eastAsia="Times New Roman" w:cs="Times New Roman"/>
          <w:color w:val="auto"/>
          <w:spacing w:val="3"/>
          <w:lang w:eastAsia="en-US"/>
        </w:rPr>
        <w:t>PM örneklemesi için, CVS'den gelen zaten orantılı akış, Şekil 6.7'de gösterilen ve 9.2.3.2 bendinde belirtilen istenen toplam seyreltme oranına ulaşmak için (bir veya daha fazla) ikincil seyreltmeden geçer</w:t>
      </w:r>
      <w:r w:rsidR="003844BE" w:rsidRPr="00DE12A3">
        <w:rPr>
          <w:rFonts w:eastAsia="Times New Roman" w:cs="Times New Roman"/>
          <w:color w:val="auto"/>
          <w:spacing w:val="3"/>
          <w:lang w:eastAsia="en-US"/>
        </w:rPr>
        <w:t>.</w:t>
      </w:r>
    </w:p>
    <w:p w14:paraId="7DE2B628" w14:textId="00CE8830" w:rsidR="002D7B36" w:rsidRPr="00DE12A3" w:rsidRDefault="00242DA0" w:rsidP="00E20716">
      <w:pPr>
        <w:pStyle w:val="ListeParagraf"/>
        <w:numPr>
          <w:ilvl w:val="0"/>
          <w:numId w:val="316"/>
        </w:numPr>
        <w:spacing w:before="120" w:after="120"/>
        <w:ind w:left="1701" w:hanging="567"/>
        <w:jc w:val="both"/>
        <w:rPr>
          <w:rFonts w:eastAsia="Times New Roman" w:cs="Times New Roman"/>
          <w:color w:val="auto"/>
          <w:spacing w:val="3"/>
          <w:lang w:eastAsia="en-US"/>
        </w:rPr>
      </w:pPr>
      <w:r w:rsidRPr="00DE12A3">
        <w:rPr>
          <w:rFonts w:eastAsia="Times New Roman" w:cs="Times New Roman"/>
          <w:color w:val="auto"/>
          <w:spacing w:val="3"/>
          <w:lang w:eastAsia="en-US"/>
        </w:rPr>
        <w:t xml:space="preserve">Asgari toplam seyreltme oranı, test </w:t>
      </w:r>
      <w:r w:rsidR="00F310B5" w:rsidRPr="00DE12A3">
        <w:rPr>
          <w:rFonts w:eastAsia="Times New Roman" w:cs="Times New Roman"/>
          <w:color w:val="auto"/>
          <w:spacing w:val="3"/>
          <w:lang w:eastAsia="en-US"/>
        </w:rPr>
        <w:t>çevrimi</w:t>
      </w:r>
      <w:r w:rsidRPr="00DE12A3">
        <w:rPr>
          <w:rFonts w:eastAsia="Times New Roman" w:cs="Times New Roman"/>
          <w:color w:val="auto"/>
          <w:spacing w:val="3"/>
          <w:lang w:eastAsia="en-US"/>
        </w:rPr>
        <w:t xml:space="preserve"> veya test aralığı sırasında azami motor egzoz gazı akış hızına bağlı olarak birincil seyreltme aşaması için 5:1 ila 7:1 ve en az 2:1 aralığında olmalıdır</w:t>
      </w:r>
      <w:r w:rsidR="003844BE" w:rsidRPr="00DE12A3">
        <w:rPr>
          <w:rFonts w:eastAsia="Times New Roman" w:cs="Times New Roman"/>
          <w:color w:val="auto"/>
          <w:spacing w:val="3"/>
          <w:lang w:eastAsia="en-US"/>
        </w:rPr>
        <w:t>.</w:t>
      </w:r>
    </w:p>
    <w:p w14:paraId="7D732173" w14:textId="77777777" w:rsidR="002D7B36" w:rsidRPr="00DE12A3" w:rsidRDefault="002D7B36" w:rsidP="00C917D6">
      <w:pPr>
        <w:pStyle w:val="ListeParagraf"/>
        <w:spacing w:before="120" w:after="120"/>
        <w:ind w:left="1701" w:hanging="567"/>
        <w:jc w:val="both"/>
        <w:rPr>
          <w:rFonts w:eastAsia="Times New Roman" w:cs="Times New Roman"/>
          <w:color w:val="auto"/>
          <w:spacing w:val="3"/>
          <w:lang w:eastAsia="en-US"/>
        </w:rPr>
      </w:pPr>
    </w:p>
    <w:p w14:paraId="44D741F9" w14:textId="0E4B4A85" w:rsidR="002D7B36" w:rsidRPr="00DE12A3" w:rsidRDefault="005C6B5D" w:rsidP="00E20716">
      <w:pPr>
        <w:pStyle w:val="ListeParagraf"/>
        <w:numPr>
          <w:ilvl w:val="0"/>
          <w:numId w:val="316"/>
        </w:numPr>
        <w:spacing w:before="120" w:after="120"/>
        <w:ind w:left="1701" w:hanging="567"/>
        <w:jc w:val="both"/>
        <w:rPr>
          <w:rFonts w:eastAsia="Times New Roman" w:cs="Times New Roman"/>
          <w:color w:val="auto"/>
          <w:spacing w:val="3"/>
          <w:lang w:eastAsia="en-US"/>
        </w:rPr>
      </w:pPr>
      <w:r w:rsidRPr="00DE12A3">
        <w:rPr>
          <w:rFonts w:eastAsia="Times New Roman" w:cs="Times New Roman"/>
          <w:color w:val="auto"/>
          <w:spacing w:val="3"/>
          <w:lang w:eastAsia="en-US"/>
        </w:rPr>
        <w:t xml:space="preserve">     </w:t>
      </w:r>
      <w:r w:rsidR="00242DA0" w:rsidRPr="00DE12A3">
        <w:rPr>
          <w:rFonts w:eastAsia="Times New Roman" w:cs="Times New Roman"/>
          <w:color w:val="auto"/>
          <w:spacing w:val="3"/>
          <w:lang w:eastAsia="en-US"/>
        </w:rPr>
        <w:t>Seyreltici besleme noktasından filtre tutuculara kadar ölçülen sistem içinde toplam kalma süresi, 0,5 ila 5 saniye arasında olmalıdır</w:t>
      </w:r>
      <w:r w:rsidR="003844BE" w:rsidRPr="00DE12A3">
        <w:rPr>
          <w:rFonts w:eastAsia="Times New Roman" w:cs="Times New Roman"/>
          <w:color w:val="auto"/>
          <w:spacing w:val="3"/>
          <w:lang w:eastAsia="en-US"/>
        </w:rPr>
        <w:t>.</w:t>
      </w:r>
    </w:p>
    <w:p w14:paraId="110AB76A" w14:textId="77777777" w:rsidR="002D7B36" w:rsidRPr="00DE12A3" w:rsidRDefault="002D7B36" w:rsidP="00C917D6">
      <w:pPr>
        <w:pStyle w:val="ListeParagraf"/>
        <w:spacing w:before="120" w:after="120"/>
        <w:ind w:left="1701" w:hanging="567"/>
        <w:jc w:val="both"/>
        <w:rPr>
          <w:rFonts w:eastAsia="Times New Roman" w:cs="Times New Roman"/>
          <w:color w:val="auto"/>
          <w:spacing w:val="3"/>
          <w:lang w:eastAsia="en-US"/>
        </w:rPr>
      </w:pPr>
    </w:p>
    <w:p w14:paraId="632B1BB2" w14:textId="77777777" w:rsidR="002D7B36" w:rsidRPr="00DE12A3" w:rsidRDefault="002D7B36" w:rsidP="00C917D6">
      <w:pPr>
        <w:pStyle w:val="ListeParagraf"/>
        <w:spacing w:before="120" w:after="120"/>
        <w:ind w:left="1701" w:hanging="567"/>
        <w:jc w:val="both"/>
        <w:rPr>
          <w:rFonts w:eastAsia="Times New Roman" w:cs="Times New Roman"/>
          <w:color w:val="auto"/>
          <w:spacing w:val="3"/>
          <w:lang w:eastAsia="en-US"/>
        </w:rPr>
      </w:pPr>
    </w:p>
    <w:p w14:paraId="07D272BB" w14:textId="77777777" w:rsidR="002D7B36" w:rsidRPr="00DE12A3" w:rsidRDefault="005C6B5D" w:rsidP="00E20716">
      <w:pPr>
        <w:pStyle w:val="ListeParagraf"/>
        <w:numPr>
          <w:ilvl w:val="0"/>
          <w:numId w:val="316"/>
        </w:numPr>
        <w:spacing w:before="120" w:after="120"/>
        <w:ind w:left="1701" w:hanging="567"/>
        <w:jc w:val="both"/>
        <w:rPr>
          <w:rFonts w:eastAsia="Times New Roman" w:cs="Times New Roman"/>
          <w:color w:val="auto"/>
          <w:spacing w:val="3"/>
          <w:lang w:eastAsia="en-US"/>
        </w:rPr>
      </w:pPr>
      <w:r w:rsidRPr="00DE12A3">
        <w:rPr>
          <w:rFonts w:eastAsia="Times New Roman" w:cs="Times New Roman"/>
          <w:color w:val="auto"/>
          <w:spacing w:val="3"/>
          <w:lang w:eastAsia="en-US"/>
        </w:rPr>
        <w:t xml:space="preserve">     </w:t>
      </w:r>
      <w:r w:rsidR="00242DA0" w:rsidRPr="00DE12A3">
        <w:rPr>
          <w:rFonts w:eastAsia="Times New Roman" w:cs="Times New Roman"/>
          <w:color w:val="auto"/>
          <w:spacing w:val="3"/>
          <w:lang w:eastAsia="en-US"/>
        </w:rPr>
        <w:t>Seyreltici besleme noktasından filtre tutuculara kadar ölçülen sistem içinde toplam kalma süresi, 0,5 ila 5 saniye arasında olmalıdır.</w:t>
      </w:r>
    </w:p>
    <w:p w14:paraId="2F881519" w14:textId="77777777" w:rsidR="002D7B36" w:rsidRPr="00DE12A3" w:rsidRDefault="002D7B36" w:rsidP="00C917D6">
      <w:pPr>
        <w:pStyle w:val="ListeParagraf"/>
        <w:spacing w:before="120" w:after="120"/>
        <w:ind w:left="1701" w:hanging="567"/>
        <w:jc w:val="both"/>
        <w:rPr>
          <w:rFonts w:eastAsia="Times New Roman" w:cs="Times New Roman"/>
          <w:color w:val="auto"/>
          <w:spacing w:val="3"/>
          <w:lang w:eastAsia="en-US"/>
        </w:rPr>
      </w:pPr>
    </w:p>
    <w:p w14:paraId="129E3D85" w14:textId="77777777" w:rsidR="002D7B36" w:rsidRPr="00DE12A3" w:rsidRDefault="005C6B5D" w:rsidP="00C917D6">
      <w:pPr>
        <w:spacing w:before="120" w:after="120"/>
        <w:ind w:left="1701" w:hanging="567"/>
        <w:jc w:val="both"/>
        <w:rPr>
          <w:rFonts w:eastAsia="Times New Roman" w:cs="Times New Roman"/>
          <w:color w:val="auto"/>
          <w:spacing w:val="3"/>
          <w:lang w:eastAsia="en-US"/>
        </w:rPr>
      </w:pPr>
      <w:r w:rsidRPr="00DE12A3">
        <w:rPr>
          <w:rFonts w:eastAsia="Times New Roman" w:cs="Times New Roman"/>
          <w:color w:val="auto"/>
          <w:spacing w:val="3"/>
          <w:lang w:eastAsia="en-US"/>
        </w:rPr>
        <w:t xml:space="preserve">         </w:t>
      </w:r>
      <w:r w:rsidR="00242DA0" w:rsidRPr="00DE12A3">
        <w:rPr>
          <w:rFonts w:eastAsia="Times New Roman" w:cs="Times New Roman"/>
          <w:color w:val="auto"/>
          <w:spacing w:val="3"/>
          <w:lang w:eastAsia="en-US"/>
        </w:rPr>
        <w:t xml:space="preserve">Parçacıkların kütlesini belirlemek için </w:t>
      </w:r>
      <w:r w:rsidR="007E2039" w:rsidRPr="00DE12A3">
        <w:rPr>
          <w:rFonts w:eastAsia="Times New Roman" w:cs="Times New Roman"/>
          <w:color w:val="auto"/>
          <w:spacing w:val="3"/>
          <w:lang w:eastAsia="en-US"/>
        </w:rPr>
        <w:t xml:space="preserve">partikül </w:t>
      </w:r>
      <w:r w:rsidR="00242DA0" w:rsidRPr="00DE12A3">
        <w:rPr>
          <w:rFonts w:eastAsia="Times New Roman" w:cs="Times New Roman"/>
          <w:color w:val="auto"/>
          <w:spacing w:val="3"/>
          <w:lang w:eastAsia="en-US"/>
        </w:rPr>
        <w:t xml:space="preserve">örnekleme sistemi, </w:t>
      </w:r>
      <w:r w:rsidR="007E2039" w:rsidRPr="00DE12A3">
        <w:rPr>
          <w:rFonts w:eastAsia="Times New Roman" w:cs="Times New Roman"/>
          <w:color w:val="auto"/>
          <w:spacing w:val="3"/>
          <w:lang w:eastAsia="en-US"/>
        </w:rPr>
        <w:t xml:space="preserve">partikül </w:t>
      </w:r>
      <w:r w:rsidR="00242DA0" w:rsidRPr="00DE12A3">
        <w:rPr>
          <w:rFonts w:eastAsia="Times New Roman" w:cs="Times New Roman"/>
          <w:color w:val="auto"/>
          <w:spacing w:val="3"/>
          <w:lang w:eastAsia="en-US"/>
        </w:rPr>
        <w:t xml:space="preserve">örnekleme filtresi, bir gravimetrik </w:t>
      </w:r>
      <w:r w:rsidR="00EF0D08" w:rsidRPr="00DE12A3">
        <w:rPr>
          <w:rFonts w:eastAsia="Times New Roman" w:cs="Times New Roman"/>
          <w:color w:val="auto"/>
          <w:spacing w:val="3"/>
          <w:lang w:eastAsia="en-US"/>
        </w:rPr>
        <w:t>balans</w:t>
      </w:r>
      <w:r w:rsidR="00242DA0" w:rsidRPr="00DE12A3">
        <w:rPr>
          <w:rFonts w:eastAsia="Times New Roman" w:cs="Times New Roman"/>
          <w:color w:val="auto"/>
          <w:spacing w:val="3"/>
          <w:lang w:eastAsia="en-US"/>
        </w:rPr>
        <w:t xml:space="preserve"> ve sıcaklık ve nem kontrollü tartı odası gerekir.</w:t>
      </w:r>
    </w:p>
    <w:p w14:paraId="5BAADE32" w14:textId="77777777" w:rsidR="006F30D6" w:rsidRPr="00DE12A3" w:rsidRDefault="006F30D6" w:rsidP="00C917D6">
      <w:pPr>
        <w:spacing w:before="120" w:after="120"/>
        <w:ind w:left="1134" w:hanging="1134"/>
        <w:jc w:val="center"/>
        <w:rPr>
          <w:rFonts w:eastAsia="Malgun Gothic" w:cs="Times New Roman"/>
          <w:color w:val="auto"/>
          <w:spacing w:val="1"/>
          <w:shd w:val="clear" w:color="auto" w:fill="FFFFFF"/>
          <w:lang w:eastAsia="en-US"/>
        </w:rPr>
      </w:pPr>
    </w:p>
    <w:p w14:paraId="09BB2E14" w14:textId="7FEF2D75" w:rsidR="002D7B36" w:rsidRPr="00DE12A3" w:rsidRDefault="00242DA0" w:rsidP="00C917D6">
      <w:pPr>
        <w:spacing w:before="120" w:after="120"/>
        <w:ind w:left="1134" w:hanging="1134"/>
        <w:jc w:val="center"/>
        <w:rPr>
          <w:rFonts w:eastAsia="Times New Roman" w:cs="Times New Roman"/>
          <w:i/>
          <w:iCs/>
          <w:color w:val="auto"/>
          <w:spacing w:val="4"/>
          <w:lang w:eastAsia="en-US"/>
        </w:rPr>
      </w:pPr>
      <w:r w:rsidRPr="00DE12A3">
        <w:rPr>
          <w:rFonts w:eastAsia="Malgun Gothic" w:cs="Times New Roman"/>
          <w:color w:val="auto"/>
          <w:spacing w:val="1"/>
          <w:shd w:val="clear" w:color="auto" w:fill="FFFFFF"/>
          <w:lang w:eastAsia="en-US"/>
        </w:rPr>
        <w:lastRenderedPageBreak/>
        <w:t>Şekil 6.6</w:t>
      </w:r>
    </w:p>
    <w:p w14:paraId="6CE36824" w14:textId="77777777" w:rsidR="002D7B36" w:rsidRPr="00DE12A3" w:rsidRDefault="00242DA0" w:rsidP="00C917D6">
      <w:pPr>
        <w:spacing w:before="120" w:after="120"/>
        <w:ind w:left="709" w:hanging="709"/>
        <w:jc w:val="center"/>
        <w:rPr>
          <w:rFonts w:eastAsia="Times New Roman" w:cs="Times New Roman"/>
          <w:b/>
          <w:bCs/>
          <w:color w:val="auto"/>
          <w:spacing w:val="1"/>
          <w:lang w:eastAsia="en-US"/>
        </w:rPr>
      </w:pPr>
      <w:r w:rsidRPr="00DE12A3">
        <w:rPr>
          <w:rFonts w:eastAsia="Times New Roman" w:cs="Times New Roman"/>
          <w:b/>
          <w:bCs/>
          <w:color w:val="auto"/>
          <w:spacing w:val="1"/>
          <w:lang w:eastAsia="en-US"/>
        </w:rPr>
        <w:t>Tam akışlı seyreltme örnekleme konfigürasyonu örnekleri</w:t>
      </w:r>
    </w:p>
    <w:p w14:paraId="6B1F13BA" w14:textId="0415787B" w:rsidR="002D7B36" w:rsidRPr="00DE12A3" w:rsidRDefault="00AC48B3" w:rsidP="00C917D6">
      <w:pPr>
        <w:spacing w:before="120" w:after="120"/>
        <w:ind w:left="709" w:hanging="709"/>
        <w:jc w:val="both"/>
        <w:rPr>
          <w:rFonts w:eastAsia="Times New Roman" w:cs="Times New Roman"/>
          <w:color w:val="auto"/>
          <w:spacing w:val="3"/>
          <w:sz w:val="20"/>
          <w:szCs w:val="20"/>
          <w:lang w:eastAsia="en-US"/>
        </w:rPr>
      </w:pPr>
      <w:r w:rsidRPr="00DE12A3">
        <w:rPr>
          <w:rFonts w:cs="Times New Roman"/>
          <w:noProof/>
          <w:color w:val="auto"/>
        </w:rPr>
        <w:drawing>
          <wp:anchor distT="0" distB="0" distL="114300" distR="114300" simplePos="0" relativeHeight="251646464" behindDoc="0" locked="0" layoutInCell="1" allowOverlap="1" wp14:anchorId="61418476" wp14:editId="4ED9BAA7">
            <wp:simplePos x="0" y="0"/>
            <wp:positionH relativeFrom="column">
              <wp:posOffset>-224350</wp:posOffset>
            </wp:positionH>
            <wp:positionV relativeFrom="paragraph">
              <wp:posOffset>50067</wp:posOffset>
            </wp:positionV>
            <wp:extent cx="5758815" cy="4636477"/>
            <wp:effectExtent l="0" t="0" r="0" b="0"/>
            <wp:wrapNone/>
            <wp:docPr id="1993"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3" name="Picture 21"/>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a:xfrm>
                      <a:off x="0" y="0"/>
                      <a:ext cx="5815418" cy="4682048"/>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244C115" w14:textId="77777777" w:rsidR="002D7B36" w:rsidRPr="00DE12A3" w:rsidRDefault="002D7B36" w:rsidP="00C917D6">
      <w:pPr>
        <w:spacing w:before="120" w:after="120"/>
        <w:ind w:left="709" w:hanging="709"/>
        <w:jc w:val="both"/>
        <w:rPr>
          <w:rFonts w:eastAsia="Times New Roman" w:cs="Times New Roman"/>
          <w:color w:val="auto"/>
          <w:sz w:val="20"/>
          <w:szCs w:val="20"/>
          <w:lang w:eastAsia="en-US"/>
        </w:rPr>
      </w:pPr>
    </w:p>
    <w:p w14:paraId="42AFF581" w14:textId="77777777" w:rsidR="002D7B36" w:rsidRPr="00DE12A3" w:rsidRDefault="002D7B36" w:rsidP="00C917D6">
      <w:pPr>
        <w:spacing w:before="120" w:after="120"/>
        <w:ind w:left="709" w:hanging="709"/>
        <w:jc w:val="both"/>
        <w:rPr>
          <w:rFonts w:eastAsia="Times New Roman" w:cs="Times New Roman"/>
          <w:color w:val="auto"/>
          <w:sz w:val="20"/>
          <w:szCs w:val="20"/>
          <w:lang w:eastAsia="en-US"/>
        </w:rPr>
      </w:pPr>
    </w:p>
    <w:p w14:paraId="736A3C83" w14:textId="77777777" w:rsidR="002D7B36" w:rsidRPr="00DE12A3" w:rsidRDefault="002D7B36" w:rsidP="00C917D6">
      <w:pPr>
        <w:spacing w:before="120" w:after="120"/>
        <w:ind w:left="709" w:hanging="709"/>
        <w:jc w:val="both"/>
        <w:rPr>
          <w:rFonts w:eastAsia="Times New Roman" w:cs="Times New Roman"/>
          <w:color w:val="auto"/>
          <w:sz w:val="20"/>
          <w:szCs w:val="20"/>
          <w:lang w:eastAsia="en-US"/>
        </w:rPr>
      </w:pPr>
    </w:p>
    <w:p w14:paraId="4DA067F2" w14:textId="77777777" w:rsidR="002D7B36" w:rsidRPr="00DE12A3" w:rsidRDefault="002D7B36" w:rsidP="00C917D6">
      <w:pPr>
        <w:spacing w:before="120" w:after="120"/>
        <w:ind w:left="709" w:hanging="709"/>
        <w:jc w:val="both"/>
        <w:rPr>
          <w:rFonts w:eastAsia="Times New Roman" w:cs="Times New Roman"/>
          <w:color w:val="auto"/>
          <w:sz w:val="20"/>
          <w:szCs w:val="20"/>
          <w:lang w:eastAsia="en-US"/>
        </w:rPr>
      </w:pPr>
    </w:p>
    <w:p w14:paraId="1DC0A095" w14:textId="77777777" w:rsidR="002D7B36" w:rsidRPr="00DE12A3" w:rsidRDefault="002D7B36" w:rsidP="00C917D6">
      <w:pPr>
        <w:spacing w:before="120" w:after="120"/>
        <w:ind w:left="709" w:hanging="709"/>
        <w:jc w:val="both"/>
        <w:rPr>
          <w:rFonts w:eastAsia="Times New Roman" w:cs="Times New Roman"/>
          <w:color w:val="auto"/>
          <w:sz w:val="20"/>
          <w:szCs w:val="20"/>
          <w:lang w:eastAsia="en-US"/>
        </w:rPr>
      </w:pPr>
    </w:p>
    <w:p w14:paraId="01DD3CAA" w14:textId="77777777" w:rsidR="002D7B36" w:rsidRPr="00DE12A3" w:rsidRDefault="002D7B36" w:rsidP="00C917D6">
      <w:pPr>
        <w:spacing w:before="120" w:after="120"/>
        <w:ind w:left="709" w:hanging="709"/>
        <w:jc w:val="both"/>
        <w:rPr>
          <w:rFonts w:eastAsia="Times New Roman" w:cs="Times New Roman"/>
          <w:color w:val="auto"/>
          <w:sz w:val="20"/>
          <w:szCs w:val="20"/>
          <w:lang w:eastAsia="en-US"/>
        </w:rPr>
      </w:pPr>
    </w:p>
    <w:p w14:paraId="1F6CF2A4" w14:textId="77777777" w:rsidR="002D7B36" w:rsidRPr="00DE12A3" w:rsidRDefault="002D7B36" w:rsidP="00C917D6">
      <w:pPr>
        <w:spacing w:before="120" w:after="120"/>
        <w:ind w:left="709" w:hanging="709"/>
        <w:jc w:val="both"/>
        <w:rPr>
          <w:rFonts w:eastAsia="Times New Roman" w:cs="Times New Roman"/>
          <w:color w:val="auto"/>
          <w:sz w:val="20"/>
          <w:szCs w:val="20"/>
          <w:lang w:eastAsia="en-US"/>
        </w:rPr>
      </w:pPr>
    </w:p>
    <w:p w14:paraId="31A54FDA" w14:textId="77777777" w:rsidR="002D7B36" w:rsidRPr="00DE12A3" w:rsidRDefault="002D7B36" w:rsidP="00C917D6">
      <w:pPr>
        <w:spacing w:before="120" w:after="120"/>
        <w:ind w:left="709" w:hanging="709"/>
        <w:jc w:val="both"/>
        <w:rPr>
          <w:rFonts w:eastAsia="Times New Roman" w:cs="Times New Roman"/>
          <w:color w:val="auto"/>
          <w:sz w:val="20"/>
          <w:szCs w:val="20"/>
          <w:lang w:eastAsia="en-US"/>
        </w:rPr>
      </w:pPr>
    </w:p>
    <w:p w14:paraId="2DF5399C" w14:textId="77777777" w:rsidR="002D7B36" w:rsidRPr="00DE12A3" w:rsidRDefault="002D7B36" w:rsidP="00C917D6">
      <w:pPr>
        <w:spacing w:before="120" w:after="120"/>
        <w:ind w:left="709" w:hanging="709"/>
        <w:jc w:val="both"/>
        <w:rPr>
          <w:rFonts w:eastAsia="Times New Roman" w:cs="Times New Roman"/>
          <w:color w:val="auto"/>
          <w:sz w:val="20"/>
          <w:szCs w:val="20"/>
          <w:lang w:eastAsia="en-US"/>
        </w:rPr>
      </w:pPr>
    </w:p>
    <w:p w14:paraId="33AFE03A" w14:textId="77777777" w:rsidR="002D7B36" w:rsidRPr="00DE12A3" w:rsidRDefault="002D7B36" w:rsidP="00C917D6">
      <w:pPr>
        <w:spacing w:before="120" w:after="120"/>
        <w:ind w:left="709" w:hanging="709"/>
        <w:jc w:val="both"/>
        <w:rPr>
          <w:rFonts w:eastAsia="Times New Roman" w:cs="Times New Roman"/>
          <w:color w:val="auto"/>
          <w:sz w:val="20"/>
          <w:szCs w:val="20"/>
          <w:lang w:eastAsia="en-US"/>
        </w:rPr>
      </w:pPr>
    </w:p>
    <w:p w14:paraId="7D39E0A4" w14:textId="77777777" w:rsidR="002D7B36" w:rsidRPr="00DE12A3" w:rsidRDefault="002D7B36" w:rsidP="00C917D6">
      <w:pPr>
        <w:spacing w:before="120" w:after="120"/>
        <w:ind w:left="709" w:hanging="709"/>
        <w:jc w:val="both"/>
        <w:rPr>
          <w:rFonts w:eastAsia="Times New Roman" w:cs="Times New Roman"/>
          <w:color w:val="auto"/>
          <w:sz w:val="20"/>
          <w:szCs w:val="20"/>
          <w:lang w:eastAsia="en-US"/>
        </w:rPr>
      </w:pPr>
    </w:p>
    <w:p w14:paraId="306BF009" w14:textId="77777777" w:rsidR="005C6B5D" w:rsidRPr="00DE12A3" w:rsidRDefault="005C6B5D" w:rsidP="00C917D6">
      <w:pPr>
        <w:spacing w:before="120" w:after="120"/>
        <w:ind w:left="709" w:hanging="709"/>
        <w:jc w:val="both"/>
        <w:rPr>
          <w:rFonts w:eastAsia="Times New Roman" w:cs="Times New Roman"/>
          <w:color w:val="auto"/>
          <w:sz w:val="20"/>
          <w:szCs w:val="20"/>
          <w:lang w:eastAsia="en-US"/>
        </w:rPr>
      </w:pPr>
    </w:p>
    <w:p w14:paraId="37E457DF" w14:textId="77777777" w:rsidR="005C6B5D" w:rsidRPr="00DE12A3" w:rsidRDefault="005C6B5D" w:rsidP="00C917D6">
      <w:pPr>
        <w:spacing w:before="120" w:after="120"/>
        <w:ind w:left="709" w:hanging="709"/>
        <w:jc w:val="both"/>
        <w:rPr>
          <w:rFonts w:eastAsia="Times New Roman" w:cs="Times New Roman"/>
          <w:color w:val="auto"/>
          <w:sz w:val="20"/>
          <w:szCs w:val="20"/>
          <w:lang w:eastAsia="en-US"/>
        </w:rPr>
      </w:pPr>
    </w:p>
    <w:p w14:paraId="4E0BCE3E" w14:textId="77777777" w:rsidR="005C6B5D" w:rsidRPr="00DE12A3" w:rsidRDefault="005C6B5D" w:rsidP="00C917D6">
      <w:pPr>
        <w:spacing w:before="120" w:after="120"/>
        <w:ind w:left="709" w:hanging="709"/>
        <w:jc w:val="both"/>
        <w:rPr>
          <w:rFonts w:eastAsia="Times New Roman" w:cs="Times New Roman"/>
          <w:color w:val="auto"/>
          <w:sz w:val="20"/>
          <w:szCs w:val="20"/>
          <w:lang w:eastAsia="en-US"/>
        </w:rPr>
      </w:pPr>
    </w:p>
    <w:p w14:paraId="35F3FE42" w14:textId="77777777" w:rsidR="005C6B5D" w:rsidRPr="00DE12A3" w:rsidRDefault="005C6B5D" w:rsidP="00C917D6">
      <w:pPr>
        <w:spacing w:before="120" w:after="120"/>
        <w:ind w:left="709" w:hanging="709"/>
        <w:jc w:val="both"/>
        <w:rPr>
          <w:rFonts w:eastAsia="Times New Roman" w:cs="Times New Roman"/>
          <w:color w:val="auto"/>
          <w:sz w:val="20"/>
          <w:szCs w:val="20"/>
          <w:lang w:eastAsia="en-US"/>
        </w:rPr>
      </w:pPr>
    </w:p>
    <w:p w14:paraId="6C6E0CBB" w14:textId="77777777" w:rsidR="005C6B5D" w:rsidRPr="00DE12A3" w:rsidRDefault="005C6B5D" w:rsidP="00C917D6">
      <w:pPr>
        <w:spacing w:before="120" w:after="120"/>
        <w:ind w:left="709" w:hanging="709"/>
        <w:jc w:val="both"/>
        <w:rPr>
          <w:rFonts w:eastAsia="Times New Roman" w:cs="Times New Roman"/>
          <w:color w:val="auto"/>
          <w:sz w:val="20"/>
          <w:szCs w:val="20"/>
          <w:lang w:eastAsia="en-US"/>
        </w:rPr>
      </w:pPr>
    </w:p>
    <w:p w14:paraId="54EB4B35" w14:textId="77777777" w:rsidR="005C6B5D" w:rsidRPr="00DE12A3" w:rsidRDefault="005C6B5D" w:rsidP="00C917D6">
      <w:pPr>
        <w:spacing w:before="120" w:after="120"/>
        <w:ind w:left="709" w:hanging="709"/>
        <w:jc w:val="both"/>
        <w:rPr>
          <w:rFonts w:eastAsia="Times New Roman" w:cs="Times New Roman"/>
          <w:color w:val="auto"/>
          <w:sz w:val="20"/>
          <w:szCs w:val="20"/>
          <w:lang w:eastAsia="en-US"/>
        </w:rPr>
      </w:pPr>
    </w:p>
    <w:p w14:paraId="61B11209" w14:textId="77777777" w:rsidR="005C6B5D" w:rsidRPr="00DE12A3" w:rsidRDefault="005C6B5D" w:rsidP="00C917D6">
      <w:pPr>
        <w:spacing w:before="120" w:after="120"/>
        <w:ind w:left="709" w:hanging="709"/>
        <w:jc w:val="both"/>
        <w:rPr>
          <w:rFonts w:eastAsia="Times New Roman" w:cs="Times New Roman"/>
          <w:color w:val="auto"/>
          <w:sz w:val="20"/>
          <w:szCs w:val="20"/>
          <w:lang w:eastAsia="en-US"/>
        </w:rPr>
      </w:pPr>
    </w:p>
    <w:p w14:paraId="610DBEAE" w14:textId="77777777" w:rsidR="005C6B5D" w:rsidRPr="00DE12A3" w:rsidRDefault="005C6B5D" w:rsidP="00C917D6">
      <w:pPr>
        <w:spacing w:before="120" w:after="120"/>
        <w:ind w:left="709" w:hanging="709"/>
        <w:jc w:val="both"/>
        <w:rPr>
          <w:rFonts w:eastAsia="Times New Roman" w:cs="Times New Roman"/>
          <w:color w:val="auto"/>
          <w:sz w:val="20"/>
          <w:szCs w:val="20"/>
          <w:lang w:eastAsia="en-US"/>
        </w:rPr>
      </w:pPr>
    </w:p>
    <w:p w14:paraId="67590A20" w14:textId="77777777" w:rsidR="005C6B5D" w:rsidRPr="00DE12A3" w:rsidRDefault="005C6B5D" w:rsidP="00C917D6">
      <w:pPr>
        <w:spacing w:before="120" w:after="120"/>
        <w:ind w:left="709" w:hanging="709"/>
        <w:jc w:val="both"/>
        <w:rPr>
          <w:rFonts w:eastAsia="Times New Roman" w:cs="Times New Roman"/>
          <w:color w:val="auto"/>
          <w:sz w:val="20"/>
          <w:szCs w:val="20"/>
          <w:lang w:eastAsia="en-US"/>
        </w:rPr>
      </w:pPr>
    </w:p>
    <w:p w14:paraId="6A866167" w14:textId="77777777" w:rsidR="005C6B5D" w:rsidRPr="00DE12A3" w:rsidRDefault="005C6B5D" w:rsidP="00C917D6">
      <w:pPr>
        <w:spacing w:before="120" w:after="120"/>
        <w:ind w:left="709" w:hanging="709"/>
        <w:jc w:val="both"/>
        <w:rPr>
          <w:rFonts w:eastAsia="Times New Roman" w:cs="Times New Roman"/>
          <w:color w:val="auto"/>
          <w:sz w:val="20"/>
          <w:szCs w:val="20"/>
          <w:lang w:eastAsia="en-US"/>
        </w:rPr>
      </w:pPr>
    </w:p>
    <w:p w14:paraId="4053A14E" w14:textId="77777777" w:rsidR="002D7B36" w:rsidRPr="00DE12A3" w:rsidRDefault="005C6B5D" w:rsidP="00E20716">
      <w:pPr>
        <w:numPr>
          <w:ilvl w:val="0"/>
          <w:numId w:val="312"/>
        </w:numPr>
        <w:shd w:val="clear" w:color="auto" w:fill="FFFFFF" w:themeFill="background1"/>
        <w:tabs>
          <w:tab w:val="left" w:pos="902"/>
        </w:tabs>
        <w:spacing w:before="120" w:after="120"/>
        <w:ind w:left="1134" w:hanging="1134"/>
        <w:jc w:val="both"/>
        <w:rPr>
          <w:rFonts w:eastAsia="Times New Roman" w:cs="Times New Roman"/>
          <w:color w:val="auto"/>
          <w:spacing w:val="3"/>
          <w:lang w:eastAsia="en-US"/>
        </w:rPr>
      </w:pPr>
      <w:r w:rsidRPr="00DE12A3">
        <w:rPr>
          <w:rFonts w:eastAsia="Times New Roman" w:cs="Times New Roman"/>
          <w:color w:val="auto"/>
          <w:spacing w:val="3"/>
          <w:lang w:eastAsia="en-US"/>
        </w:rPr>
        <w:t xml:space="preserve">  </w:t>
      </w:r>
      <w:r w:rsidR="00242DA0" w:rsidRPr="00DE12A3">
        <w:rPr>
          <w:rFonts w:eastAsia="Times New Roman" w:cs="Times New Roman"/>
          <w:color w:val="auto"/>
          <w:spacing w:val="3"/>
          <w:lang w:eastAsia="en-US"/>
        </w:rPr>
        <w:t>Kısmi akışlı seyreltme (PFD) sistemi</w:t>
      </w:r>
    </w:p>
    <w:p w14:paraId="636014F6" w14:textId="77777777" w:rsidR="002D7B36" w:rsidRPr="00DE12A3" w:rsidRDefault="005C6B5D" w:rsidP="00E20716">
      <w:pPr>
        <w:numPr>
          <w:ilvl w:val="0"/>
          <w:numId w:val="318"/>
        </w:numPr>
        <w:shd w:val="clear" w:color="auto" w:fill="FFFFFF" w:themeFill="background1"/>
        <w:tabs>
          <w:tab w:val="left" w:pos="907"/>
        </w:tabs>
        <w:spacing w:before="120" w:after="120"/>
        <w:ind w:left="1134" w:hanging="1134"/>
        <w:jc w:val="both"/>
        <w:rPr>
          <w:rFonts w:eastAsia="Times New Roman" w:cs="Times New Roman"/>
          <w:color w:val="auto"/>
          <w:spacing w:val="3"/>
          <w:lang w:eastAsia="en-US"/>
        </w:rPr>
      </w:pPr>
      <w:r w:rsidRPr="00DE12A3">
        <w:rPr>
          <w:rFonts w:eastAsia="Times New Roman" w:cs="Times New Roman"/>
          <w:color w:val="auto"/>
          <w:spacing w:val="3"/>
          <w:lang w:eastAsia="en-US"/>
        </w:rPr>
        <w:t xml:space="preserve">   </w:t>
      </w:r>
      <w:r w:rsidR="00242DA0" w:rsidRPr="00DE12A3">
        <w:rPr>
          <w:rFonts w:eastAsia="Times New Roman" w:cs="Times New Roman"/>
          <w:color w:val="auto"/>
          <w:spacing w:val="3"/>
          <w:lang w:eastAsia="en-US"/>
        </w:rPr>
        <w:t>Kısmi akışlı sisteme ilişkin açıklama</w:t>
      </w:r>
    </w:p>
    <w:p w14:paraId="78110338" w14:textId="1144726F" w:rsidR="002D7B36" w:rsidRPr="00DE12A3" w:rsidRDefault="005C6B5D" w:rsidP="00C917D6">
      <w:pPr>
        <w:shd w:val="clear" w:color="auto" w:fill="FFFFFF" w:themeFill="background1"/>
        <w:spacing w:before="120" w:after="120"/>
        <w:ind w:left="1134" w:hanging="1134"/>
        <w:jc w:val="both"/>
        <w:rPr>
          <w:rFonts w:eastAsia="Times New Roman" w:cs="Times New Roman"/>
          <w:color w:val="auto"/>
          <w:spacing w:val="3"/>
          <w:lang w:eastAsia="en-US"/>
        </w:rPr>
      </w:pPr>
      <w:r w:rsidRPr="00DE12A3">
        <w:rPr>
          <w:rFonts w:eastAsia="Times New Roman" w:cs="Times New Roman"/>
          <w:color w:val="auto"/>
          <w:spacing w:val="3"/>
          <w:lang w:eastAsia="en-US"/>
        </w:rPr>
        <w:t xml:space="preserve">                  </w:t>
      </w:r>
      <w:r w:rsidR="00242DA0" w:rsidRPr="00DE12A3">
        <w:rPr>
          <w:rFonts w:eastAsia="Times New Roman" w:cs="Times New Roman"/>
          <w:color w:val="auto"/>
          <w:spacing w:val="3"/>
          <w:lang w:eastAsia="en-US"/>
        </w:rPr>
        <w:t>Bir PFD sisteminin şeması Şekil 6.7'de gösterilmektedir. Bu, numune alma, seyreltme ve PM örneklemesi ilkelerini gösteren genel bir şemadır. Şekilde tarif edilen tüm bileşenlerin, numune toplamanın amacını sağlayan diğer olası örnekleme sistemleri için gerekli olduğunu göstermesi amaçlanmamaktadır. Aynı numune toplama, seyreltme ve PM örnekleme amacına hizmet etmeleri koşuluyla bu şemalara uymayan diğer konfigürasyonlara izin verilir.  Bunların, değişken seyreltme PFD için 8.1.8.6 (periyodik kalibrasyon) ve 8.2.1.2 (doğrulama) ve 8.1.4.5 bentleri</w:t>
      </w:r>
      <w:r w:rsidR="003844BE" w:rsidRPr="00DE12A3">
        <w:rPr>
          <w:rFonts w:eastAsia="Times New Roman" w:cs="Times New Roman"/>
          <w:color w:val="auto"/>
          <w:spacing w:val="3"/>
          <w:lang w:eastAsia="en-US"/>
        </w:rPr>
        <w:t>nin</w:t>
      </w:r>
      <w:r w:rsidR="00242DA0" w:rsidRPr="00DE12A3">
        <w:rPr>
          <w:rFonts w:eastAsia="Times New Roman" w:cs="Times New Roman"/>
          <w:color w:val="auto"/>
          <w:spacing w:val="3"/>
          <w:lang w:eastAsia="en-US"/>
        </w:rPr>
        <w:t xml:space="preserve"> yanı sıra Tablo 6.5 (doğrusallık doğrulama) ve sabit seyreltme PFD için 8.1.8.5.7 bendindekiler (doğrulama) gibi diğer kriterleri sağlaması gerekir. </w:t>
      </w:r>
    </w:p>
    <w:p w14:paraId="3FB58417" w14:textId="2016D1C4" w:rsidR="002D7B36" w:rsidRPr="00DE12A3" w:rsidRDefault="005C6B5D" w:rsidP="00C917D6">
      <w:pPr>
        <w:spacing w:before="120" w:after="120"/>
        <w:ind w:left="1134" w:hanging="1134"/>
        <w:jc w:val="both"/>
        <w:rPr>
          <w:rFonts w:eastAsia="Times New Roman" w:cs="Times New Roman"/>
          <w:color w:val="auto"/>
          <w:lang w:eastAsia="en-US"/>
        </w:rPr>
      </w:pPr>
      <w:r w:rsidRPr="00DE12A3">
        <w:rPr>
          <w:rFonts w:eastAsia="Times New Roman" w:cs="Times New Roman"/>
          <w:color w:val="auto"/>
          <w:lang w:eastAsia="en-US"/>
        </w:rPr>
        <w:t xml:space="preserve">                   </w:t>
      </w:r>
      <w:r w:rsidR="00242DA0" w:rsidRPr="00DE12A3">
        <w:rPr>
          <w:rFonts w:eastAsia="Times New Roman" w:cs="Times New Roman"/>
          <w:color w:val="auto"/>
          <w:lang w:eastAsia="en-US"/>
        </w:rPr>
        <w:t xml:space="preserve">Şekil 6.7'de gösterildiği gibi, ham egzoz gazı veya birincil seyreltilmiş akış, sırasıyla egzoz borusu EP veya CVS'den, örnekleme sondası SP ve aktarım hattı TL yoluyla seyreltme tüneli DT'ye aktarılır. Tünel boyunca toplam akış, bir akış kontrol cihazı ve </w:t>
      </w:r>
      <w:r w:rsidR="007E2039" w:rsidRPr="00DE12A3">
        <w:rPr>
          <w:rFonts w:eastAsia="Times New Roman" w:cs="Times New Roman"/>
          <w:color w:val="auto"/>
          <w:lang w:eastAsia="en-US"/>
        </w:rPr>
        <w:t xml:space="preserve">partikül </w:t>
      </w:r>
      <w:r w:rsidR="00242DA0" w:rsidRPr="00DE12A3">
        <w:rPr>
          <w:rFonts w:eastAsia="Times New Roman" w:cs="Times New Roman"/>
          <w:color w:val="auto"/>
          <w:lang w:eastAsia="en-US"/>
        </w:rPr>
        <w:t>örnekleme sisteminin (PSS) örnekleme pompası P ile ayarlanır. Orantılı ham egzoz gazı örneklemesi için seyreltme havası akışı, istenen egzoz gazı bölünmesi için komuta sinyalleri olarak qmew (ıslak bazda egzoz gazı kütle akış hızı) veya q</w:t>
      </w:r>
      <w:r w:rsidR="00242DA0" w:rsidRPr="00DE12A3">
        <w:rPr>
          <w:rFonts w:eastAsia="Times New Roman" w:cs="Times New Roman"/>
          <w:color w:val="auto"/>
          <w:vertAlign w:val="subscript"/>
          <w:lang w:eastAsia="en-US"/>
        </w:rPr>
        <w:t>maw</w:t>
      </w:r>
      <w:r w:rsidR="00242DA0" w:rsidRPr="00DE12A3">
        <w:rPr>
          <w:rFonts w:eastAsia="Times New Roman" w:cs="Times New Roman"/>
          <w:color w:val="auto"/>
          <w:lang w:eastAsia="en-US"/>
        </w:rPr>
        <w:t xml:space="preserve"> (ıslak bazda emme havası kütle akış hızı) ve q</w:t>
      </w:r>
      <w:r w:rsidR="00242DA0" w:rsidRPr="00DE12A3">
        <w:rPr>
          <w:rFonts w:eastAsia="Times New Roman" w:cs="Times New Roman"/>
          <w:color w:val="auto"/>
          <w:vertAlign w:val="subscript"/>
          <w:lang w:eastAsia="en-US"/>
        </w:rPr>
        <w:t>mf</w:t>
      </w:r>
      <w:r w:rsidR="00242DA0" w:rsidRPr="00DE12A3">
        <w:rPr>
          <w:rFonts w:eastAsia="Times New Roman" w:cs="Times New Roman"/>
          <w:color w:val="auto"/>
          <w:lang w:eastAsia="en-US"/>
        </w:rPr>
        <w:t xml:space="preserve"> (yakıt kütlesi akış hızı) kullanabilen akış kontrol cihazı FC1 tarafından kontrol edilir. </w:t>
      </w:r>
      <w:r w:rsidR="00242DA0" w:rsidRPr="00DE12A3">
        <w:rPr>
          <w:rFonts w:eastAsia="Times New Roman" w:cs="Times New Roman"/>
          <w:color w:val="auto"/>
          <w:lang w:eastAsia="en-US"/>
        </w:rPr>
        <w:lastRenderedPageBreak/>
        <w:t xml:space="preserve">Seyreltme tüneli DT içine numune akışı, toplam akış ile seyreltme havası akışı arasındaki farktır. Seyreltme havası akış hızı, akış ölçüm cihazı FM1 ile, toplam akış hızı, </w:t>
      </w:r>
      <w:r w:rsidR="007E2039" w:rsidRPr="00DE12A3">
        <w:rPr>
          <w:rFonts w:eastAsia="Times New Roman" w:cs="Times New Roman"/>
          <w:color w:val="auto"/>
          <w:lang w:eastAsia="en-US"/>
        </w:rPr>
        <w:t xml:space="preserve">partikül </w:t>
      </w:r>
      <w:r w:rsidR="00242DA0" w:rsidRPr="00DE12A3">
        <w:rPr>
          <w:rFonts w:eastAsia="Times New Roman" w:cs="Times New Roman"/>
          <w:color w:val="auto"/>
          <w:lang w:eastAsia="en-US"/>
        </w:rPr>
        <w:t>örnekleme sisteminin akış ölçüm cihazı ile ölçülür. Seyreltme oranı bu iki akış hızı kullanılarak hesaplanır. Egzoz gazı akışına karşı ham veya seyreltilmiş egzoz gazına ait sabit bir seyreltme oranı ile (</w:t>
      </w:r>
      <w:r w:rsidR="005B014A" w:rsidRPr="00DE12A3">
        <w:rPr>
          <w:rFonts w:eastAsia="Times New Roman" w:cs="Times New Roman"/>
          <w:color w:val="auto"/>
          <w:lang w:eastAsia="en-US"/>
        </w:rPr>
        <w:t>örneğin</w:t>
      </w:r>
      <w:r w:rsidR="00242DA0" w:rsidRPr="00DE12A3">
        <w:rPr>
          <w:rFonts w:eastAsia="Times New Roman" w:cs="Times New Roman"/>
          <w:color w:val="auto"/>
          <w:lang w:eastAsia="en-US"/>
        </w:rPr>
        <w:t xml:space="preserve"> PM örneklemesi için ikincil seyreltme) örnekleme için, seyreltme havası akış hızı genellikle sabittir ve akış kontrol cihazı FC1 veya seyreltme havası pompası tarafından kontrol edilir.</w:t>
      </w:r>
    </w:p>
    <w:p w14:paraId="31992CDD" w14:textId="77777777" w:rsidR="002D7B36" w:rsidRPr="00DE12A3" w:rsidRDefault="005C6B5D" w:rsidP="00C917D6">
      <w:pPr>
        <w:spacing w:before="120" w:after="120"/>
        <w:ind w:left="1134" w:hanging="1134"/>
        <w:jc w:val="both"/>
        <w:rPr>
          <w:rFonts w:eastAsia="Times New Roman" w:cs="Times New Roman"/>
          <w:color w:val="auto"/>
          <w:lang w:eastAsia="en-US"/>
        </w:rPr>
      </w:pPr>
      <w:r w:rsidRPr="00DE12A3">
        <w:rPr>
          <w:rFonts w:eastAsia="Times New Roman" w:cs="Times New Roman"/>
          <w:color w:val="auto"/>
          <w:lang w:eastAsia="en-US"/>
        </w:rPr>
        <w:t xml:space="preserve">                   </w:t>
      </w:r>
      <w:r w:rsidR="00242DA0" w:rsidRPr="00DE12A3">
        <w:rPr>
          <w:rFonts w:eastAsia="Times New Roman" w:cs="Times New Roman"/>
          <w:color w:val="auto"/>
          <w:lang w:eastAsia="en-US"/>
        </w:rPr>
        <w:t>Seyreltme havası (ortam havası, sentetik hava veya azot), yüksek verimli bir PM hava (HEPA) filtresi ile filtrelenmelidir.</w:t>
      </w:r>
    </w:p>
    <w:p w14:paraId="5C5AF133" w14:textId="77777777" w:rsidR="00441404" w:rsidRPr="00DE12A3" w:rsidRDefault="00441404" w:rsidP="00C917D6">
      <w:pPr>
        <w:spacing w:before="120" w:after="120"/>
        <w:ind w:left="1134" w:hanging="1134"/>
        <w:jc w:val="both"/>
        <w:rPr>
          <w:rFonts w:eastAsia="Times New Roman" w:cs="Times New Roman"/>
          <w:color w:val="auto"/>
          <w:lang w:eastAsia="en-US"/>
        </w:rPr>
      </w:pPr>
    </w:p>
    <w:p w14:paraId="27E42658" w14:textId="77777777" w:rsidR="002D7B36" w:rsidRPr="00DE12A3" w:rsidRDefault="00242DA0" w:rsidP="00C917D6">
      <w:pPr>
        <w:spacing w:before="120" w:after="120"/>
        <w:ind w:left="1134" w:hanging="1134"/>
        <w:jc w:val="center"/>
        <w:rPr>
          <w:rFonts w:eastAsia="Times New Roman" w:cs="Times New Roman"/>
          <w:iCs/>
          <w:color w:val="auto"/>
          <w:lang w:eastAsia="en-US"/>
        </w:rPr>
      </w:pPr>
      <w:r w:rsidRPr="00DE12A3">
        <w:rPr>
          <w:rFonts w:eastAsia="Times New Roman" w:cs="Times New Roman"/>
          <w:iCs/>
          <w:color w:val="auto"/>
          <w:lang w:eastAsia="en-US"/>
        </w:rPr>
        <w:t>Şekil 6.7</w:t>
      </w:r>
    </w:p>
    <w:p w14:paraId="769FB843" w14:textId="77777777" w:rsidR="002D7B36" w:rsidRPr="00DE12A3" w:rsidRDefault="00242DA0" w:rsidP="00C917D6">
      <w:pPr>
        <w:spacing w:before="120" w:after="120"/>
        <w:ind w:left="1134" w:hanging="1134"/>
        <w:jc w:val="center"/>
        <w:rPr>
          <w:rFonts w:eastAsia="Times New Roman" w:cs="Times New Roman"/>
          <w:b/>
          <w:bCs/>
          <w:color w:val="auto"/>
          <w:lang w:eastAsia="en-US"/>
        </w:rPr>
      </w:pPr>
      <w:r w:rsidRPr="00DE12A3">
        <w:rPr>
          <w:rFonts w:eastAsia="Times New Roman" w:cs="Times New Roman"/>
          <w:b/>
          <w:bCs/>
          <w:color w:val="auto"/>
          <w:lang w:eastAsia="en-US"/>
        </w:rPr>
        <w:t>Kısmi akışlı seyreltme sistemi şeması (toplam örnekleme tipi).</w:t>
      </w:r>
    </w:p>
    <w:p w14:paraId="686CC851" w14:textId="77777777" w:rsidR="002D7B36" w:rsidRPr="00DE12A3" w:rsidRDefault="002D7B36" w:rsidP="00C917D6">
      <w:pPr>
        <w:spacing w:before="120" w:after="120"/>
        <w:ind w:left="709" w:hanging="709"/>
        <w:jc w:val="both"/>
        <w:rPr>
          <w:rFonts w:eastAsia="Times New Roman" w:cs="Times New Roman"/>
          <w:color w:val="auto"/>
          <w:sz w:val="20"/>
          <w:szCs w:val="20"/>
          <w:lang w:eastAsia="en-US"/>
        </w:rPr>
      </w:pPr>
    </w:p>
    <w:p w14:paraId="304DAD82" w14:textId="49C1E522" w:rsidR="002D7B36" w:rsidRPr="00DE12A3" w:rsidRDefault="00242DA0" w:rsidP="00C917D6">
      <w:pPr>
        <w:spacing w:before="120" w:after="120"/>
        <w:ind w:left="709" w:hanging="709"/>
        <w:jc w:val="both"/>
        <w:rPr>
          <w:rFonts w:eastAsia="Times New Roman" w:cs="Times New Roman"/>
          <w:color w:val="auto"/>
          <w:sz w:val="20"/>
          <w:szCs w:val="20"/>
          <w:lang w:eastAsia="en-US"/>
        </w:rPr>
      </w:pPr>
      <w:r w:rsidRPr="00DE12A3">
        <w:rPr>
          <w:rFonts w:eastAsia="Times New Roman" w:cs="Times New Roman"/>
          <w:noProof/>
          <w:color w:val="auto"/>
          <w:sz w:val="20"/>
          <w:szCs w:val="20"/>
        </w:rPr>
        <w:drawing>
          <wp:inline distT="0" distB="0" distL="0" distR="0" wp14:anchorId="34DDF738" wp14:editId="11DA6745">
            <wp:extent cx="5759450" cy="3105150"/>
            <wp:effectExtent l="0" t="0" r="0" b="0"/>
            <wp:docPr id="1994" name="Resim 19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4" name="Resim 1994"/>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a:xfrm>
                      <a:off x="0" y="0"/>
                      <a:ext cx="5760720" cy="3105835"/>
                    </a:xfrm>
                    <a:prstGeom prst="rect">
                      <a:avLst/>
                    </a:prstGeom>
                    <a:noFill/>
                    <a:ln>
                      <a:noFill/>
                    </a:ln>
                  </pic:spPr>
                </pic:pic>
              </a:graphicData>
            </a:graphic>
          </wp:inline>
        </w:drawing>
      </w:r>
    </w:p>
    <w:p w14:paraId="2F062527" w14:textId="77777777" w:rsidR="002D7B36" w:rsidRPr="00DE12A3" w:rsidRDefault="002D7B36" w:rsidP="00C917D6">
      <w:pPr>
        <w:spacing w:before="120" w:after="120"/>
        <w:ind w:left="1134" w:hanging="1134"/>
        <w:jc w:val="both"/>
        <w:rPr>
          <w:rFonts w:eastAsia="Times New Roman" w:cs="Times New Roman"/>
          <w:color w:val="auto"/>
          <w:lang w:eastAsia="en-US"/>
        </w:rPr>
      </w:pPr>
    </w:p>
    <w:p w14:paraId="19CC033D" w14:textId="77777777" w:rsidR="002D7B36" w:rsidRPr="00DE12A3" w:rsidRDefault="00242DA0" w:rsidP="00C917D6">
      <w:pPr>
        <w:tabs>
          <w:tab w:val="left" w:pos="567"/>
        </w:tabs>
        <w:spacing w:before="120" w:after="120"/>
        <w:ind w:left="1134"/>
        <w:jc w:val="both"/>
        <w:rPr>
          <w:rFonts w:eastAsia="Times New Roman" w:cs="Times New Roman"/>
          <w:color w:val="auto"/>
          <w:spacing w:val="4"/>
          <w:shd w:val="clear" w:color="auto" w:fill="FFFFFF"/>
          <w:lang w:eastAsia="en-US"/>
        </w:rPr>
      </w:pPr>
      <w:r w:rsidRPr="00DE12A3">
        <w:rPr>
          <w:rFonts w:eastAsia="Times New Roman" w:cs="Times New Roman"/>
          <w:color w:val="auto"/>
          <w:spacing w:val="4"/>
          <w:shd w:val="clear" w:color="auto" w:fill="FFFFFF"/>
          <w:lang w:eastAsia="en-US"/>
        </w:rPr>
        <w:t xml:space="preserve">a = </w:t>
      </w:r>
      <w:r w:rsidR="00441404" w:rsidRPr="00DE12A3">
        <w:rPr>
          <w:rFonts w:eastAsia="Times New Roman" w:cs="Times New Roman"/>
          <w:color w:val="auto"/>
          <w:spacing w:val="4"/>
          <w:shd w:val="clear" w:color="auto" w:fill="FFFFFF"/>
          <w:lang w:eastAsia="en-US"/>
        </w:rPr>
        <w:t>M</w:t>
      </w:r>
      <w:r w:rsidRPr="00DE12A3">
        <w:rPr>
          <w:rFonts w:eastAsia="Times New Roman" w:cs="Times New Roman"/>
          <w:color w:val="auto"/>
          <w:spacing w:val="2"/>
          <w:lang w:eastAsia="en-US"/>
        </w:rPr>
        <w:t>otor egzoz gazı veya birincil seyreltilmiş akış</w:t>
      </w:r>
    </w:p>
    <w:p w14:paraId="42A50C3C" w14:textId="77777777" w:rsidR="002D7B36" w:rsidRPr="00DE12A3" w:rsidRDefault="00242DA0" w:rsidP="00C917D6">
      <w:pPr>
        <w:tabs>
          <w:tab w:val="left" w:pos="567"/>
        </w:tabs>
        <w:spacing w:before="120" w:after="120"/>
        <w:ind w:left="1134"/>
        <w:jc w:val="both"/>
        <w:rPr>
          <w:rFonts w:eastAsia="Times New Roman" w:cs="Times New Roman"/>
          <w:color w:val="auto"/>
          <w:spacing w:val="4"/>
          <w:shd w:val="clear" w:color="auto" w:fill="FFFFFF"/>
          <w:lang w:eastAsia="en-US"/>
        </w:rPr>
      </w:pPr>
      <w:r w:rsidRPr="00DE12A3">
        <w:rPr>
          <w:rFonts w:eastAsia="Times New Roman" w:cs="Times New Roman"/>
          <w:color w:val="auto"/>
          <w:spacing w:val="4"/>
          <w:shd w:val="clear" w:color="auto" w:fill="FFFFFF"/>
          <w:lang w:eastAsia="en-US"/>
        </w:rPr>
        <w:t>b =</w:t>
      </w:r>
      <w:r w:rsidR="00441404" w:rsidRPr="00DE12A3">
        <w:rPr>
          <w:rFonts w:eastAsia="Times New Roman" w:cs="Times New Roman"/>
          <w:color w:val="auto"/>
          <w:spacing w:val="4"/>
          <w:shd w:val="clear" w:color="auto" w:fill="FFFFFF"/>
          <w:lang w:eastAsia="en-US"/>
        </w:rPr>
        <w:t>İ</w:t>
      </w:r>
      <w:r w:rsidRPr="00DE12A3">
        <w:rPr>
          <w:rFonts w:eastAsia="Times New Roman" w:cs="Times New Roman"/>
          <w:color w:val="auto"/>
          <w:spacing w:val="2"/>
          <w:lang w:eastAsia="en-US"/>
        </w:rPr>
        <w:t>steğe bağlı</w:t>
      </w:r>
    </w:p>
    <w:p w14:paraId="50D321CD" w14:textId="77777777" w:rsidR="002D7B36" w:rsidRPr="00DE12A3" w:rsidRDefault="00242DA0" w:rsidP="00C917D6">
      <w:pPr>
        <w:tabs>
          <w:tab w:val="left" w:pos="567"/>
        </w:tabs>
        <w:spacing w:before="120" w:after="120"/>
        <w:ind w:left="1134"/>
        <w:jc w:val="both"/>
        <w:rPr>
          <w:rFonts w:eastAsia="Times New Roman" w:cs="Times New Roman"/>
          <w:color w:val="auto"/>
          <w:spacing w:val="4"/>
          <w:shd w:val="clear" w:color="auto" w:fill="FFFFFF"/>
          <w:lang w:eastAsia="en-US"/>
        </w:rPr>
      </w:pPr>
      <w:r w:rsidRPr="00DE12A3">
        <w:rPr>
          <w:rFonts w:eastAsia="Times New Roman" w:cs="Times New Roman"/>
          <w:color w:val="auto"/>
          <w:spacing w:val="4"/>
          <w:shd w:val="clear" w:color="auto" w:fill="FFFFFF"/>
          <w:lang w:eastAsia="en-US"/>
        </w:rPr>
        <w:t xml:space="preserve">c = </w:t>
      </w:r>
      <w:r w:rsidRPr="00DE12A3">
        <w:rPr>
          <w:rFonts w:eastAsia="Times New Roman" w:cs="Times New Roman"/>
          <w:color w:val="auto"/>
          <w:spacing w:val="2"/>
          <w:lang w:eastAsia="en-US"/>
        </w:rPr>
        <w:t>PM örnekleme</w:t>
      </w:r>
    </w:p>
    <w:p w14:paraId="4EC4A4AA" w14:textId="77777777" w:rsidR="002D7B36" w:rsidRPr="00DE12A3" w:rsidRDefault="00242DA0" w:rsidP="00C917D6">
      <w:pPr>
        <w:tabs>
          <w:tab w:val="left" w:pos="567"/>
        </w:tabs>
        <w:spacing w:before="120" w:after="120"/>
        <w:ind w:left="1134"/>
        <w:jc w:val="both"/>
        <w:rPr>
          <w:rFonts w:eastAsia="Times New Roman" w:cs="Times New Roman"/>
          <w:color w:val="auto"/>
          <w:spacing w:val="3"/>
          <w:lang w:eastAsia="en-US"/>
        </w:rPr>
      </w:pPr>
      <w:r w:rsidRPr="00DE12A3">
        <w:rPr>
          <w:rFonts w:eastAsia="Times New Roman" w:cs="Times New Roman"/>
          <w:color w:val="auto"/>
          <w:spacing w:val="2"/>
          <w:lang w:eastAsia="en-US"/>
        </w:rPr>
        <w:t>Şekil 6.7'deki bileşenler</w:t>
      </w:r>
      <w:r w:rsidRPr="00DE12A3">
        <w:rPr>
          <w:rFonts w:eastAsia="Times New Roman" w:cs="Times New Roman"/>
          <w:color w:val="auto"/>
          <w:spacing w:val="4"/>
          <w:shd w:val="clear" w:color="auto" w:fill="FFFFFF"/>
          <w:lang w:eastAsia="en-US"/>
        </w:rPr>
        <w:t>:</w:t>
      </w:r>
    </w:p>
    <w:p w14:paraId="68EDFCE0" w14:textId="77777777" w:rsidR="002D7B36" w:rsidRPr="00DE12A3" w:rsidRDefault="00242DA0" w:rsidP="00C917D6">
      <w:pPr>
        <w:tabs>
          <w:tab w:val="left" w:pos="567"/>
        </w:tabs>
        <w:spacing w:before="120" w:after="120"/>
        <w:ind w:left="1134"/>
        <w:jc w:val="both"/>
        <w:rPr>
          <w:rFonts w:eastAsia="Times New Roman" w:cs="Times New Roman"/>
          <w:color w:val="auto"/>
          <w:spacing w:val="3"/>
          <w:lang w:eastAsia="en-US"/>
        </w:rPr>
      </w:pPr>
      <w:r w:rsidRPr="00DE12A3">
        <w:rPr>
          <w:rFonts w:eastAsia="Times New Roman" w:cs="Times New Roman"/>
          <w:color w:val="auto"/>
          <w:spacing w:val="4"/>
          <w:shd w:val="clear" w:color="auto" w:fill="FFFFFF"/>
          <w:lang w:eastAsia="en-US"/>
        </w:rPr>
        <w:t>DAF:</w:t>
      </w:r>
      <w:r w:rsidRPr="00DE12A3">
        <w:rPr>
          <w:rFonts w:eastAsia="Times New Roman" w:cs="Times New Roman"/>
          <w:color w:val="auto"/>
          <w:spacing w:val="4"/>
          <w:shd w:val="clear" w:color="auto" w:fill="FFFFFF"/>
          <w:lang w:eastAsia="en-US"/>
        </w:rPr>
        <w:tab/>
      </w:r>
      <w:r w:rsidRPr="00DE12A3">
        <w:rPr>
          <w:rFonts w:eastAsia="Times New Roman" w:cs="Times New Roman"/>
          <w:color w:val="auto"/>
          <w:spacing w:val="2"/>
          <w:lang w:eastAsia="en-US"/>
        </w:rPr>
        <w:t>Seyreltme havası filtresi</w:t>
      </w:r>
    </w:p>
    <w:p w14:paraId="0D0B0587" w14:textId="77777777" w:rsidR="002D7B36" w:rsidRPr="00DE12A3" w:rsidRDefault="00242DA0" w:rsidP="00C917D6">
      <w:pPr>
        <w:tabs>
          <w:tab w:val="left" w:pos="567"/>
          <w:tab w:val="right" w:pos="3713"/>
        </w:tabs>
        <w:spacing w:before="120" w:after="120"/>
        <w:ind w:left="1134"/>
        <w:jc w:val="both"/>
        <w:rPr>
          <w:rFonts w:eastAsia="Times New Roman" w:cs="Times New Roman"/>
          <w:color w:val="auto"/>
          <w:spacing w:val="3"/>
          <w:lang w:eastAsia="en-US"/>
        </w:rPr>
      </w:pPr>
      <w:r w:rsidRPr="00DE12A3">
        <w:rPr>
          <w:rFonts w:eastAsia="Times New Roman" w:cs="Times New Roman"/>
          <w:color w:val="auto"/>
          <w:spacing w:val="4"/>
          <w:shd w:val="clear" w:color="auto" w:fill="FFFFFF"/>
          <w:lang w:eastAsia="en-US"/>
        </w:rPr>
        <w:t>DT:</w:t>
      </w:r>
      <w:r w:rsidRPr="00DE12A3">
        <w:rPr>
          <w:rFonts w:eastAsia="Times New Roman" w:cs="Times New Roman"/>
          <w:color w:val="auto"/>
          <w:spacing w:val="4"/>
          <w:shd w:val="clear" w:color="auto" w:fill="FFFFFF"/>
          <w:lang w:eastAsia="en-US"/>
        </w:rPr>
        <w:tab/>
      </w:r>
      <w:r w:rsidR="00441404" w:rsidRPr="00DE12A3">
        <w:rPr>
          <w:rFonts w:eastAsia="Times New Roman" w:cs="Times New Roman"/>
          <w:color w:val="auto"/>
          <w:spacing w:val="4"/>
          <w:shd w:val="clear" w:color="auto" w:fill="FFFFFF"/>
          <w:lang w:eastAsia="en-US"/>
        </w:rPr>
        <w:t xml:space="preserve">         </w:t>
      </w:r>
      <w:r w:rsidRPr="00DE12A3">
        <w:rPr>
          <w:rFonts w:eastAsia="Times New Roman" w:cs="Times New Roman"/>
          <w:color w:val="auto"/>
          <w:spacing w:val="2"/>
          <w:lang w:eastAsia="en-US"/>
        </w:rPr>
        <w:t>Seyreltme tüneli veya ikincil seyreltme sistemi</w:t>
      </w:r>
    </w:p>
    <w:p w14:paraId="7ADFD1F3" w14:textId="77777777" w:rsidR="002D7B36" w:rsidRPr="00DE12A3" w:rsidRDefault="00242DA0" w:rsidP="00C917D6">
      <w:pPr>
        <w:tabs>
          <w:tab w:val="left" w:pos="1418"/>
        </w:tabs>
        <w:spacing w:before="120" w:after="120"/>
        <w:ind w:left="1134"/>
        <w:jc w:val="both"/>
        <w:rPr>
          <w:rFonts w:eastAsia="Times New Roman" w:cs="Times New Roman"/>
          <w:color w:val="auto"/>
          <w:spacing w:val="3"/>
          <w:lang w:eastAsia="en-US"/>
        </w:rPr>
      </w:pPr>
      <w:r w:rsidRPr="00DE12A3">
        <w:rPr>
          <w:rFonts w:eastAsia="Times New Roman" w:cs="Times New Roman"/>
          <w:color w:val="auto"/>
          <w:spacing w:val="3"/>
          <w:lang w:eastAsia="en-US"/>
        </w:rPr>
        <w:t>FC1:</w:t>
      </w:r>
      <w:r w:rsidRPr="00DE12A3">
        <w:rPr>
          <w:rFonts w:eastAsia="Times New Roman" w:cs="Times New Roman"/>
          <w:color w:val="auto"/>
          <w:spacing w:val="3"/>
          <w:lang w:eastAsia="en-US"/>
        </w:rPr>
        <w:tab/>
        <w:t>Akış kontrol cihazı</w:t>
      </w:r>
    </w:p>
    <w:p w14:paraId="7786432C" w14:textId="77777777" w:rsidR="002D7B36" w:rsidRPr="00DE12A3" w:rsidRDefault="00242DA0" w:rsidP="00C917D6">
      <w:pPr>
        <w:tabs>
          <w:tab w:val="left" w:pos="1418"/>
        </w:tabs>
        <w:spacing w:before="120" w:after="120"/>
        <w:ind w:left="1134"/>
        <w:jc w:val="both"/>
        <w:rPr>
          <w:rFonts w:eastAsia="Times New Roman" w:cs="Times New Roman"/>
          <w:color w:val="auto"/>
          <w:spacing w:val="3"/>
          <w:lang w:eastAsia="en-US"/>
        </w:rPr>
      </w:pPr>
      <w:r w:rsidRPr="00DE12A3">
        <w:rPr>
          <w:rFonts w:eastAsia="Times New Roman" w:cs="Times New Roman"/>
          <w:color w:val="auto"/>
          <w:spacing w:val="3"/>
          <w:lang w:eastAsia="en-US"/>
        </w:rPr>
        <w:t>FH:</w:t>
      </w:r>
      <w:r w:rsidRPr="00DE12A3">
        <w:rPr>
          <w:rFonts w:eastAsia="Times New Roman" w:cs="Times New Roman"/>
          <w:color w:val="auto"/>
          <w:spacing w:val="3"/>
          <w:lang w:eastAsia="en-US"/>
        </w:rPr>
        <w:tab/>
        <w:t>Filtre tutucu</w:t>
      </w:r>
    </w:p>
    <w:p w14:paraId="74CBDE66" w14:textId="77777777" w:rsidR="002D7B36" w:rsidRPr="00DE12A3" w:rsidRDefault="00242DA0" w:rsidP="00C917D6">
      <w:pPr>
        <w:tabs>
          <w:tab w:val="left" w:pos="1418"/>
        </w:tabs>
        <w:spacing w:before="120" w:after="120"/>
        <w:ind w:left="1134"/>
        <w:jc w:val="both"/>
        <w:rPr>
          <w:rFonts w:eastAsia="Times New Roman" w:cs="Times New Roman"/>
          <w:color w:val="auto"/>
          <w:spacing w:val="3"/>
          <w:lang w:eastAsia="en-US"/>
        </w:rPr>
      </w:pPr>
      <w:r w:rsidRPr="00DE12A3">
        <w:rPr>
          <w:rFonts w:eastAsia="Times New Roman" w:cs="Times New Roman"/>
          <w:color w:val="auto"/>
          <w:spacing w:val="3"/>
          <w:lang w:eastAsia="en-US"/>
        </w:rPr>
        <w:t>FM1:</w:t>
      </w:r>
      <w:r w:rsidRPr="00DE12A3">
        <w:rPr>
          <w:rFonts w:eastAsia="Times New Roman" w:cs="Times New Roman"/>
          <w:color w:val="auto"/>
          <w:spacing w:val="3"/>
          <w:lang w:eastAsia="en-US"/>
        </w:rPr>
        <w:tab/>
        <w:t>Seyreltme havası akış hızını ölçen akış ölçüm cihazı</w:t>
      </w:r>
    </w:p>
    <w:p w14:paraId="4C1FF327" w14:textId="77777777" w:rsidR="002D7B36" w:rsidRPr="00DE12A3" w:rsidRDefault="00242DA0" w:rsidP="00C917D6">
      <w:pPr>
        <w:tabs>
          <w:tab w:val="left" w:pos="1418"/>
        </w:tabs>
        <w:spacing w:before="120" w:after="120"/>
        <w:ind w:left="1134"/>
        <w:jc w:val="both"/>
        <w:rPr>
          <w:rFonts w:eastAsia="Times New Roman" w:cs="Times New Roman"/>
          <w:color w:val="auto"/>
          <w:spacing w:val="3"/>
          <w:lang w:eastAsia="en-US"/>
        </w:rPr>
      </w:pPr>
      <w:r w:rsidRPr="00DE12A3">
        <w:rPr>
          <w:rFonts w:eastAsia="Times New Roman" w:cs="Times New Roman"/>
          <w:color w:val="auto"/>
          <w:spacing w:val="3"/>
          <w:lang w:eastAsia="en-US"/>
        </w:rPr>
        <w:t>P:</w:t>
      </w:r>
      <w:r w:rsidRPr="00DE12A3">
        <w:rPr>
          <w:rFonts w:eastAsia="Times New Roman" w:cs="Times New Roman"/>
          <w:color w:val="auto"/>
          <w:spacing w:val="3"/>
          <w:lang w:eastAsia="en-US"/>
        </w:rPr>
        <w:tab/>
      </w:r>
      <w:r w:rsidR="00441404" w:rsidRPr="00DE12A3">
        <w:rPr>
          <w:rFonts w:eastAsia="Times New Roman" w:cs="Times New Roman"/>
          <w:color w:val="auto"/>
          <w:spacing w:val="3"/>
          <w:lang w:eastAsia="en-US"/>
        </w:rPr>
        <w:t xml:space="preserve">           </w:t>
      </w:r>
      <w:r w:rsidRPr="00DE12A3">
        <w:rPr>
          <w:rFonts w:eastAsia="Times New Roman" w:cs="Times New Roman"/>
          <w:color w:val="auto"/>
          <w:spacing w:val="3"/>
          <w:lang w:eastAsia="en-US"/>
        </w:rPr>
        <w:t>Örnekleme pompası</w:t>
      </w:r>
    </w:p>
    <w:p w14:paraId="00C00201" w14:textId="77777777" w:rsidR="002D7B36" w:rsidRPr="00DE12A3" w:rsidRDefault="00242DA0" w:rsidP="00C917D6">
      <w:pPr>
        <w:tabs>
          <w:tab w:val="left" w:pos="1418"/>
        </w:tabs>
        <w:spacing w:before="120" w:after="120"/>
        <w:ind w:left="1134"/>
        <w:jc w:val="both"/>
        <w:rPr>
          <w:rFonts w:eastAsia="Times New Roman" w:cs="Times New Roman"/>
          <w:color w:val="auto"/>
          <w:spacing w:val="3"/>
          <w:lang w:eastAsia="en-US"/>
        </w:rPr>
      </w:pPr>
      <w:r w:rsidRPr="00DE12A3">
        <w:rPr>
          <w:rFonts w:eastAsia="Times New Roman" w:cs="Times New Roman"/>
          <w:color w:val="auto"/>
          <w:spacing w:val="3"/>
          <w:lang w:eastAsia="en-US"/>
        </w:rPr>
        <w:t>PSS:</w:t>
      </w:r>
      <w:r w:rsidRPr="00DE12A3">
        <w:rPr>
          <w:rFonts w:eastAsia="Times New Roman" w:cs="Times New Roman"/>
          <w:color w:val="auto"/>
          <w:spacing w:val="3"/>
          <w:lang w:eastAsia="en-US"/>
        </w:rPr>
        <w:tab/>
        <w:t>PM örnekleme sistemi</w:t>
      </w:r>
    </w:p>
    <w:p w14:paraId="611983E1" w14:textId="77777777" w:rsidR="002D7B36" w:rsidRPr="00DE12A3" w:rsidRDefault="00242DA0" w:rsidP="00C917D6">
      <w:pPr>
        <w:tabs>
          <w:tab w:val="left" w:pos="1418"/>
        </w:tabs>
        <w:spacing w:before="120" w:after="120"/>
        <w:ind w:left="1134"/>
        <w:jc w:val="both"/>
        <w:rPr>
          <w:rFonts w:eastAsia="Times New Roman" w:cs="Times New Roman"/>
          <w:color w:val="auto"/>
          <w:spacing w:val="3"/>
          <w:lang w:eastAsia="en-US"/>
        </w:rPr>
      </w:pPr>
      <w:r w:rsidRPr="00DE12A3">
        <w:rPr>
          <w:rFonts w:eastAsia="Times New Roman" w:cs="Times New Roman"/>
          <w:color w:val="auto"/>
          <w:spacing w:val="3"/>
          <w:lang w:eastAsia="en-US"/>
        </w:rPr>
        <w:t>PTL:</w:t>
      </w:r>
      <w:r w:rsidRPr="00DE12A3">
        <w:rPr>
          <w:rFonts w:eastAsia="Times New Roman" w:cs="Times New Roman"/>
          <w:color w:val="auto"/>
          <w:spacing w:val="3"/>
          <w:lang w:eastAsia="en-US"/>
        </w:rPr>
        <w:tab/>
        <w:t>PM aktarım hattı</w:t>
      </w:r>
    </w:p>
    <w:p w14:paraId="2AE52C54" w14:textId="77777777" w:rsidR="002D7B36" w:rsidRPr="00DE12A3" w:rsidRDefault="00242DA0" w:rsidP="00C917D6">
      <w:pPr>
        <w:tabs>
          <w:tab w:val="left" w:pos="1418"/>
        </w:tabs>
        <w:spacing w:before="120" w:after="120"/>
        <w:ind w:left="1134"/>
        <w:jc w:val="both"/>
        <w:rPr>
          <w:rFonts w:eastAsia="Times New Roman" w:cs="Times New Roman"/>
          <w:color w:val="auto"/>
          <w:spacing w:val="3"/>
          <w:lang w:eastAsia="en-US"/>
        </w:rPr>
      </w:pPr>
      <w:r w:rsidRPr="00DE12A3">
        <w:rPr>
          <w:rFonts w:eastAsia="Times New Roman" w:cs="Times New Roman"/>
          <w:color w:val="auto"/>
          <w:spacing w:val="3"/>
          <w:lang w:eastAsia="en-US"/>
        </w:rPr>
        <w:lastRenderedPageBreak/>
        <w:t>SP:</w:t>
      </w:r>
      <w:r w:rsidRPr="00DE12A3">
        <w:rPr>
          <w:rFonts w:eastAsia="Times New Roman" w:cs="Times New Roman"/>
          <w:color w:val="auto"/>
          <w:spacing w:val="3"/>
          <w:lang w:eastAsia="en-US"/>
        </w:rPr>
        <w:tab/>
        <w:t>Ham veya seyreltilmiş egzoz gazı örnekleme sondası</w:t>
      </w:r>
    </w:p>
    <w:p w14:paraId="34E24C70" w14:textId="5428244A" w:rsidR="002D7B36" w:rsidRPr="00DE12A3" w:rsidRDefault="00242DA0" w:rsidP="00C917D6">
      <w:pPr>
        <w:tabs>
          <w:tab w:val="left" w:pos="1418"/>
        </w:tabs>
        <w:spacing w:before="120" w:after="120"/>
        <w:ind w:left="1134"/>
        <w:jc w:val="both"/>
        <w:rPr>
          <w:rFonts w:eastAsia="Times New Roman" w:cs="Times New Roman"/>
          <w:color w:val="auto"/>
          <w:spacing w:val="3"/>
          <w:lang w:eastAsia="en-US"/>
        </w:rPr>
      </w:pPr>
      <w:r w:rsidRPr="00DE12A3">
        <w:rPr>
          <w:rFonts w:eastAsia="Times New Roman" w:cs="Times New Roman"/>
          <w:color w:val="auto"/>
          <w:spacing w:val="3"/>
          <w:lang w:eastAsia="en-US"/>
        </w:rPr>
        <w:t>TL:</w:t>
      </w:r>
      <w:r w:rsidRPr="00DE12A3">
        <w:rPr>
          <w:rFonts w:eastAsia="Times New Roman" w:cs="Times New Roman"/>
          <w:color w:val="auto"/>
          <w:spacing w:val="3"/>
          <w:lang w:eastAsia="en-US"/>
        </w:rPr>
        <w:tab/>
      </w:r>
      <w:bookmarkStart w:id="21" w:name="_Hlk22649190"/>
      <w:r w:rsidRPr="00DE12A3">
        <w:rPr>
          <w:rFonts w:eastAsia="Times New Roman" w:cs="Times New Roman"/>
          <w:color w:val="auto"/>
          <w:spacing w:val="3"/>
          <w:lang w:eastAsia="en-US"/>
        </w:rPr>
        <w:t>Aktarım hattı</w:t>
      </w:r>
      <w:bookmarkEnd w:id="21"/>
    </w:p>
    <w:p w14:paraId="689B27D2" w14:textId="797682D1" w:rsidR="002D7B36" w:rsidRPr="00DE12A3" w:rsidRDefault="00242DA0" w:rsidP="00C917D6">
      <w:pPr>
        <w:spacing w:before="120" w:after="120"/>
        <w:ind w:left="1134"/>
        <w:jc w:val="both"/>
        <w:rPr>
          <w:rFonts w:eastAsia="Times New Roman" w:cs="Times New Roman"/>
          <w:color w:val="auto"/>
          <w:spacing w:val="3"/>
          <w:lang w:eastAsia="en-US"/>
        </w:rPr>
      </w:pPr>
      <w:r w:rsidRPr="00DE12A3">
        <w:rPr>
          <w:rFonts w:eastAsia="Times New Roman" w:cs="Times New Roman"/>
          <w:color w:val="auto"/>
          <w:spacing w:val="3"/>
          <w:lang w:eastAsia="en-US"/>
        </w:rPr>
        <w:t>Sadece orantılı ham egzoz gazı örnekleme PFD'si için geçerli olan kütle akış hızları</w:t>
      </w:r>
      <w:r w:rsidR="003844BE" w:rsidRPr="00DE12A3">
        <w:rPr>
          <w:rFonts w:eastAsia="Times New Roman" w:cs="Times New Roman"/>
          <w:color w:val="auto"/>
          <w:spacing w:val="3"/>
          <w:lang w:eastAsia="en-US"/>
        </w:rPr>
        <w:t>;</w:t>
      </w:r>
    </w:p>
    <w:p w14:paraId="235399E7" w14:textId="7634FD6A" w:rsidR="002D7B36" w:rsidRPr="00DE12A3" w:rsidRDefault="00242DA0" w:rsidP="00C917D6">
      <w:pPr>
        <w:tabs>
          <w:tab w:val="left" w:pos="1418"/>
          <w:tab w:val="center" w:pos="1769"/>
          <w:tab w:val="left" w:pos="1898"/>
          <w:tab w:val="center" w:pos="3857"/>
          <w:tab w:val="center" w:pos="4286"/>
          <w:tab w:val="right" w:pos="5143"/>
        </w:tabs>
        <w:spacing w:before="120" w:after="120"/>
        <w:ind w:left="1134"/>
        <w:jc w:val="both"/>
        <w:rPr>
          <w:rFonts w:eastAsia="Times New Roman" w:cs="Times New Roman"/>
          <w:color w:val="auto"/>
          <w:spacing w:val="3"/>
          <w:lang w:eastAsia="en-US"/>
        </w:rPr>
      </w:pPr>
      <w:r w:rsidRPr="00DE12A3">
        <w:rPr>
          <w:rFonts w:eastAsia="Times New Roman" w:cs="Times New Roman"/>
          <w:i/>
          <w:iCs/>
          <w:color w:val="auto"/>
          <w:spacing w:val="2"/>
          <w:shd w:val="clear" w:color="auto" w:fill="FFFFFF"/>
          <w:lang w:eastAsia="en-US"/>
        </w:rPr>
        <w:t>q</w:t>
      </w:r>
      <w:r w:rsidRPr="00DE12A3">
        <w:rPr>
          <w:rFonts w:eastAsia="Times New Roman" w:cs="Times New Roman"/>
          <w:i/>
          <w:iCs/>
          <w:color w:val="auto"/>
          <w:spacing w:val="2"/>
          <w:shd w:val="clear" w:color="auto" w:fill="FFFFFF"/>
          <w:vertAlign w:val="subscript"/>
          <w:lang w:eastAsia="en-US"/>
        </w:rPr>
        <w:t>m</w:t>
      </w:r>
      <w:r w:rsidRPr="00DE12A3">
        <w:rPr>
          <w:rFonts w:eastAsia="Times New Roman" w:cs="Times New Roman"/>
          <w:color w:val="auto"/>
          <w:spacing w:val="3"/>
          <w:vertAlign w:val="subscript"/>
          <w:lang w:eastAsia="en-US"/>
        </w:rPr>
        <w:t>ew</w:t>
      </w:r>
      <w:r w:rsidR="00E10EB2" w:rsidRPr="00DE12A3">
        <w:rPr>
          <w:rFonts w:eastAsia="Times New Roman" w:cs="Times New Roman"/>
          <w:color w:val="auto"/>
          <w:spacing w:val="3"/>
          <w:vertAlign w:val="subscript"/>
          <w:lang w:eastAsia="en-US"/>
        </w:rPr>
        <w:t xml:space="preserve"> </w:t>
      </w:r>
      <w:r w:rsidRPr="00DE12A3">
        <w:rPr>
          <w:rFonts w:eastAsia="Times New Roman" w:cs="Times New Roman"/>
          <w:color w:val="auto"/>
          <w:spacing w:val="3"/>
          <w:lang w:eastAsia="en-US"/>
        </w:rPr>
        <w:tab/>
        <w:t>yaş bazda egzoz gazı kütle akış hızı</w:t>
      </w:r>
    </w:p>
    <w:p w14:paraId="5943FAFF" w14:textId="69EAB11C" w:rsidR="002D7B36" w:rsidRPr="00DE12A3" w:rsidRDefault="00242DA0" w:rsidP="00C917D6">
      <w:pPr>
        <w:tabs>
          <w:tab w:val="left" w:pos="1418"/>
          <w:tab w:val="center" w:pos="1769"/>
          <w:tab w:val="left" w:pos="1898"/>
          <w:tab w:val="left" w:pos="2647"/>
          <w:tab w:val="left" w:pos="3017"/>
          <w:tab w:val="center" w:pos="3857"/>
          <w:tab w:val="center" w:pos="4063"/>
          <w:tab w:val="center" w:pos="4286"/>
        </w:tabs>
        <w:spacing w:before="120" w:after="120"/>
        <w:ind w:left="1134"/>
        <w:jc w:val="both"/>
        <w:rPr>
          <w:rFonts w:eastAsia="Times New Roman" w:cs="Times New Roman"/>
          <w:color w:val="auto"/>
          <w:spacing w:val="3"/>
          <w:lang w:eastAsia="en-US"/>
        </w:rPr>
      </w:pPr>
      <w:r w:rsidRPr="00DE12A3">
        <w:rPr>
          <w:rFonts w:eastAsia="Times New Roman" w:cs="Times New Roman"/>
          <w:i/>
          <w:iCs/>
          <w:color w:val="auto"/>
          <w:spacing w:val="2"/>
          <w:shd w:val="clear" w:color="auto" w:fill="FFFFFF"/>
          <w:lang w:eastAsia="en-US"/>
        </w:rPr>
        <w:t>q</w:t>
      </w:r>
      <w:r w:rsidRPr="00DE12A3">
        <w:rPr>
          <w:rFonts w:eastAsia="Times New Roman" w:cs="Times New Roman"/>
          <w:i/>
          <w:iCs/>
          <w:color w:val="auto"/>
          <w:spacing w:val="2"/>
          <w:shd w:val="clear" w:color="auto" w:fill="FFFFFF"/>
          <w:vertAlign w:val="subscript"/>
          <w:lang w:eastAsia="en-US"/>
        </w:rPr>
        <w:t>m</w:t>
      </w:r>
      <w:r w:rsidRPr="00DE12A3">
        <w:rPr>
          <w:rFonts w:eastAsia="Times New Roman" w:cs="Times New Roman"/>
          <w:color w:val="auto"/>
          <w:spacing w:val="3"/>
          <w:vertAlign w:val="subscript"/>
          <w:lang w:eastAsia="en-US"/>
        </w:rPr>
        <w:t>aw</w:t>
      </w:r>
      <w:r w:rsidR="00E10EB2" w:rsidRPr="00DE12A3">
        <w:rPr>
          <w:rFonts w:eastAsia="Times New Roman" w:cs="Times New Roman"/>
          <w:color w:val="auto"/>
          <w:spacing w:val="3"/>
          <w:vertAlign w:val="subscript"/>
          <w:lang w:eastAsia="en-US"/>
        </w:rPr>
        <w:t xml:space="preserve"> </w:t>
      </w:r>
      <w:r w:rsidRPr="00DE12A3">
        <w:rPr>
          <w:rFonts w:eastAsia="Times New Roman" w:cs="Times New Roman"/>
          <w:color w:val="auto"/>
          <w:spacing w:val="3"/>
          <w:lang w:eastAsia="en-US"/>
        </w:rPr>
        <w:tab/>
        <w:t>yaş bazda giriş havası kütle akış hızı</w:t>
      </w:r>
    </w:p>
    <w:p w14:paraId="2000FECD" w14:textId="33182E53" w:rsidR="002D7B36" w:rsidRPr="00DE12A3" w:rsidRDefault="00242DA0" w:rsidP="00C917D6">
      <w:pPr>
        <w:tabs>
          <w:tab w:val="left" w:pos="1418"/>
          <w:tab w:val="center" w:pos="1769"/>
          <w:tab w:val="left" w:pos="1898"/>
          <w:tab w:val="left" w:pos="2647"/>
          <w:tab w:val="left" w:pos="3017"/>
        </w:tabs>
        <w:spacing w:before="120" w:after="120"/>
        <w:ind w:left="1134"/>
        <w:jc w:val="both"/>
        <w:rPr>
          <w:rFonts w:eastAsia="Times New Roman" w:cs="Times New Roman"/>
          <w:color w:val="auto"/>
          <w:spacing w:val="3"/>
          <w:lang w:eastAsia="en-US"/>
        </w:rPr>
      </w:pPr>
      <w:r w:rsidRPr="00DE12A3">
        <w:rPr>
          <w:rFonts w:eastAsia="Times New Roman" w:cs="Times New Roman"/>
          <w:i/>
          <w:iCs/>
          <w:color w:val="auto"/>
          <w:spacing w:val="2"/>
          <w:shd w:val="clear" w:color="auto" w:fill="FFFFFF"/>
          <w:lang w:eastAsia="en-US"/>
        </w:rPr>
        <w:t>q</w:t>
      </w:r>
      <w:r w:rsidRPr="00DE12A3">
        <w:rPr>
          <w:rFonts w:eastAsia="Times New Roman" w:cs="Times New Roman"/>
          <w:i/>
          <w:iCs/>
          <w:color w:val="auto"/>
          <w:spacing w:val="2"/>
          <w:shd w:val="clear" w:color="auto" w:fill="FFFFFF"/>
          <w:vertAlign w:val="subscript"/>
          <w:lang w:eastAsia="en-US"/>
        </w:rPr>
        <w:t>m</w:t>
      </w:r>
      <w:r w:rsidRPr="00DE12A3">
        <w:rPr>
          <w:rFonts w:eastAsia="Times New Roman" w:cs="Times New Roman"/>
          <w:color w:val="auto"/>
          <w:spacing w:val="3"/>
          <w:vertAlign w:val="subscript"/>
          <w:lang w:eastAsia="en-US"/>
        </w:rPr>
        <w:t>f</w:t>
      </w:r>
      <w:r w:rsidRPr="00DE12A3">
        <w:rPr>
          <w:rFonts w:eastAsia="Times New Roman" w:cs="Times New Roman"/>
          <w:color w:val="auto"/>
          <w:spacing w:val="3"/>
          <w:lang w:eastAsia="en-US"/>
        </w:rPr>
        <w:tab/>
      </w:r>
      <w:r w:rsidR="00E10EB2" w:rsidRPr="00DE12A3">
        <w:rPr>
          <w:rFonts w:eastAsia="Times New Roman" w:cs="Times New Roman"/>
          <w:color w:val="auto"/>
          <w:spacing w:val="3"/>
          <w:lang w:eastAsia="en-US"/>
        </w:rPr>
        <w:t xml:space="preserve">   </w:t>
      </w:r>
      <w:r w:rsidRPr="00DE12A3">
        <w:rPr>
          <w:rFonts w:eastAsia="Times New Roman" w:cs="Times New Roman"/>
          <w:color w:val="auto"/>
          <w:spacing w:val="3"/>
          <w:lang w:eastAsia="en-US"/>
        </w:rPr>
        <w:t>yakıt kütle akış hızı</w:t>
      </w:r>
    </w:p>
    <w:p w14:paraId="613BC31B" w14:textId="77777777" w:rsidR="002D7B36" w:rsidRPr="00DE12A3" w:rsidRDefault="002D7B36" w:rsidP="00E20716">
      <w:pPr>
        <w:pStyle w:val="ListeParagraf"/>
        <w:numPr>
          <w:ilvl w:val="0"/>
          <w:numId w:val="319"/>
        </w:numPr>
        <w:spacing w:before="120" w:after="120"/>
        <w:ind w:left="1134" w:hanging="1134"/>
        <w:contextualSpacing w:val="0"/>
        <w:jc w:val="both"/>
        <w:rPr>
          <w:rFonts w:eastAsia="Times New Roman" w:cs="Times New Roman"/>
          <w:vanish/>
          <w:color w:val="auto"/>
          <w:spacing w:val="3"/>
          <w:lang w:eastAsia="en-US"/>
        </w:rPr>
      </w:pPr>
    </w:p>
    <w:p w14:paraId="4CB8CB55" w14:textId="77777777" w:rsidR="002D7B36" w:rsidRPr="00DE12A3" w:rsidRDefault="00242DA0" w:rsidP="00E20716">
      <w:pPr>
        <w:numPr>
          <w:ilvl w:val="0"/>
          <w:numId w:val="319"/>
        </w:numPr>
        <w:spacing w:before="120" w:after="120"/>
        <w:ind w:left="1134" w:hanging="1134"/>
        <w:jc w:val="both"/>
        <w:rPr>
          <w:rFonts w:eastAsia="Times New Roman" w:cs="Times New Roman"/>
          <w:color w:val="auto"/>
          <w:spacing w:val="3"/>
          <w:lang w:eastAsia="en-US"/>
        </w:rPr>
      </w:pPr>
      <w:r w:rsidRPr="00DE12A3">
        <w:rPr>
          <w:rFonts w:eastAsia="Times New Roman" w:cs="Times New Roman"/>
          <w:color w:val="auto"/>
          <w:spacing w:val="3"/>
          <w:lang w:eastAsia="en-US"/>
        </w:rPr>
        <w:t>Seyreltme</w:t>
      </w:r>
    </w:p>
    <w:p w14:paraId="685D64A0" w14:textId="77777777" w:rsidR="002D7B36" w:rsidRPr="00DE12A3" w:rsidRDefault="005C6B5D" w:rsidP="00C917D6">
      <w:pPr>
        <w:spacing w:before="120" w:after="120"/>
        <w:ind w:left="1134" w:hanging="1134"/>
        <w:jc w:val="both"/>
        <w:rPr>
          <w:rFonts w:eastAsia="Times New Roman" w:cs="Times New Roman"/>
          <w:color w:val="auto"/>
          <w:spacing w:val="3"/>
          <w:lang w:eastAsia="en-US"/>
        </w:rPr>
      </w:pPr>
      <w:r w:rsidRPr="00DE12A3">
        <w:rPr>
          <w:rFonts w:eastAsia="Times New Roman" w:cs="Times New Roman"/>
          <w:color w:val="auto"/>
          <w:spacing w:val="3"/>
          <w:lang w:eastAsia="en-US"/>
        </w:rPr>
        <w:t xml:space="preserve">                  </w:t>
      </w:r>
      <w:r w:rsidR="00242DA0" w:rsidRPr="00DE12A3">
        <w:rPr>
          <w:rFonts w:eastAsia="Times New Roman" w:cs="Times New Roman"/>
          <w:color w:val="auto"/>
          <w:spacing w:val="3"/>
          <w:lang w:eastAsia="en-US"/>
        </w:rPr>
        <w:t>Seyrelticilerin (9.2.1 bendinde belirtildiği gibi ortam havası, sentetik hava veya azot) sıcaklığı, seyreltme tünelinin girişine yakın bir yerde 293 ila 325 K (20 ila 52 °C) arasında tutulmalıdır.</w:t>
      </w:r>
    </w:p>
    <w:p w14:paraId="61EA4BC7" w14:textId="77777777" w:rsidR="002D7B36" w:rsidRPr="00DE12A3" w:rsidRDefault="005C6B5D" w:rsidP="00C917D6">
      <w:pPr>
        <w:spacing w:before="120" w:after="120"/>
        <w:ind w:left="1134" w:hanging="1134"/>
        <w:jc w:val="both"/>
        <w:rPr>
          <w:rFonts w:eastAsia="Times New Roman" w:cs="Times New Roman"/>
          <w:color w:val="auto"/>
          <w:spacing w:val="3"/>
          <w:lang w:eastAsia="en-US"/>
        </w:rPr>
      </w:pPr>
      <w:r w:rsidRPr="00DE12A3">
        <w:rPr>
          <w:rFonts w:eastAsia="Times New Roman" w:cs="Times New Roman"/>
          <w:color w:val="auto"/>
          <w:spacing w:val="3"/>
          <w:lang w:eastAsia="en-US"/>
        </w:rPr>
        <w:t xml:space="preserve">                   </w:t>
      </w:r>
      <w:r w:rsidR="00242DA0" w:rsidRPr="00DE12A3">
        <w:rPr>
          <w:rFonts w:eastAsia="Times New Roman" w:cs="Times New Roman"/>
          <w:color w:val="auto"/>
          <w:spacing w:val="3"/>
          <w:lang w:eastAsia="en-US"/>
        </w:rPr>
        <w:t xml:space="preserve">Seyreltme sistemine girmeden önce seyreltme havasının neminin giderilmesine izin verilir. Kısmi akışlı seyreltme sistemi, motor egzoz gazı akımından orantılı bir ham egzoz gazı numunesi alınacak şekilde tasarlanmalı, böylece egzoz gazı akımı akış hızındaki farklılıklara tepki vermeli ve 9.3.3.4.3 bendinde öngörüldüğü şekilde test filtresinde bir sıcaklık elde etmek için bu numuneye seyreltme havası verilmelidir. Bunun için seyreltme oranının 8.1.8.6.1 bendindeki doğruluk </w:t>
      </w:r>
      <w:r w:rsidR="0053289F" w:rsidRPr="00DE12A3">
        <w:rPr>
          <w:rFonts w:eastAsia="Times New Roman" w:cs="Times New Roman"/>
          <w:color w:val="auto"/>
          <w:spacing w:val="3"/>
          <w:lang w:eastAsia="en-US"/>
        </w:rPr>
        <w:t>gerekliliklerini</w:t>
      </w:r>
      <w:r w:rsidR="00242DA0" w:rsidRPr="00DE12A3">
        <w:rPr>
          <w:rFonts w:eastAsia="Times New Roman" w:cs="Times New Roman"/>
          <w:color w:val="auto"/>
          <w:spacing w:val="3"/>
          <w:lang w:eastAsia="en-US"/>
        </w:rPr>
        <w:t xml:space="preserve"> sağlayacak şekilde belirlenmesi esastır.</w:t>
      </w:r>
    </w:p>
    <w:p w14:paraId="746A0295" w14:textId="77777777" w:rsidR="002D7B36" w:rsidRPr="00DE12A3" w:rsidRDefault="005C6B5D" w:rsidP="00C917D6">
      <w:pPr>
        <w:spacing w:before="120" w:after="120"/>
        <w:ind w:left="1134" w:hanging="1134"/>
        <w:jc w:val="both"/>
        <w:rPr>
          <w:rFonts w:eastAsia="Times New Roman" w:cs="Times New Roman"/>
          <w:color w:val="auto"/>
          <w:spacing w:val="3"/>
          <w:lang w:eastAsia="en-US"/>
        </w:rPr>
      </w:pPr>
      <w:r w:rsidRPr="00DE12A3">
        <w:rPr>
          <w:rFonts w:eastAsia="Times New Roman" w:cs="Times New Roman"/>
          <w:color w:val="auto"/>
          <w:spacing w:val="3"/>
          <w:lang w:eastAsia="en-US"/>
        </w:rPr>
        <w:t xml:space="preserve">                   </w:t>
      </w:r>
      <w:r w:rsidR="00242DA0" w:rsidRPr="00DE12A3">
        <w:rPr>
          <w:rFonts w:eastAsia="Times New Roman" w:cs="Times New Roman"/>
          <w:color w:val="auto"/>
          <w:spacing w:val="3"/>
          <w:lang w:eastAsia="en-US"/>
        </w:rPr>
        <w:t>Ölçülen bir konsantrasyona karşılık gelen bir akışın ölçülmesini sağlamak için, sulu yoğuşma ya numune sondasının konumu ile seyreltme tünelindeki sayaç girişi arasında önlenmeli veya sulu yoğuşmanın oluşmasına izin verilmeli ve sayaç girişinde nem ölçülmelidir. PFD sistemi, sulu yoğuşmayı önlemek için ısıtılabilir veya yalıtılabilir. Seyreltme tüneli boyunca sulu yoğuşma önlenmelidir.</w:t>
      </w:r>
    </w:p>
    <w:p w14:paraId="21F2008C" w14:textId="77777777" w:rsidR="002D7B36" w:rsidRPr="00DE12A3" w:rsidRDefault="005C6B5D" w:rsidP="00C917D6">
      <w:pPr>
        <w:spacing w:before="120" w:after="120"/>
        <w:ind w:left="1134" w:hanging="1134"/>
        <w:jc w:val="both"/>
        <w:rPr>
          <w:rFonts w:eastAsia="Times New Roman" w:cs="Times New Roman"/>
          <w:color w:val="auto"/>
          <w:spacing w:val="3"/>
          <w:lang w:eastAsia="en-US"/>
        </w:rPr>
      </w:pPr>
      <w:r w:rsidRPr="00DE12A3">
        <w:rPr>
          <w:rFonts w:eastAsia="Times New Roman" w:cs="Times New Roman"/>
          <w:color w:val="auto"/>
          <w:spacing w:val="3"/>
          <w:lang w:eastAsia="en-US"/>
        </w:rPr>
        <w:t xml:space="preserve">                   </w:t>
      </w:r>
      <w:r w:rsidR="00242DA0" w:rsidRPr="00DE12A3">
        <w:rPr>
          <w:rFonts w:eastAsia="Times New Roman" w:cs="Times New Roman"/>
          <w:color w:val="auto"/>
          <w:spacing w:val="3"/>
          <w:lang w:eastAsia="en-US"/>
        </w:rPr>
        <w:t xml:space="preserve">Asgari seyreltme oranı, test </w:t>
      </w:r>
      <w:r w:rsidR="00F310B5" w:rsidRPr="00DE12A3">
        <w:rPr>
          <w:rFonts w:eastAsia="Times New Roman" w:cs="Times New Roman"/>
          <w:color w:val="auto"/>
          <w:spacing w:val="3"/>
          <w:lang w:eastAsia="en-US"/>
        </w:rPr>
        <w:t>çevrimi</w:t>
      </w:r>
      <w:r w:rsidR="00242DA0" w:rsidRPr="00DE12A3">
        <w:rPr>
          <w:rFonts w:eastAsia="Times New Roman" w:cs="Times New Roman"/>
          <w:color w:val="auto"/>
          <w:spacing w:val="3"/>
          <w:lang w:eastAsia="en-US"/>
        </w:rPr>
        <w:t xml:space="preserve"> veya test aralığı sırasında azami motor egzoz gazı akış hızına bağlı olarak 5:1 ila 7:1 aralığında olmalıdır.</w:t>
      </w:r>
    </w:p>
    <w:p w14:paraId="5C0BBC6C" w14:textId="77777777" w:rsidR="002D7B36" w:rsidRPr="00DE12A3" w:rsidRDefault="005C6B5D" w:rsidP="00C917D6">
      <w:pPr>
        <w:spacing w:before="120" w:after="120"/>
        <w:ind w:left="1134" w:hanging="1134"/>
        <w:jc w:val="both"/>
        <w:rPr>
          <w:rFonts w:eastAsia="Times New Roman" w:cs="Times New Roman"/>
          <w:color w:val="auto"/>
          <w:spacing w:val="3"/>
          <w:lang w:eastAsia="en-US"/>
        </w:rPr>
      </w:pPr>
      <w:r w:rsidRPr="00DE12A3">
        <w:rPr>
          <w:rFonts w:eastAsia="Times New Roman" w:cs="Times New Roman"/>
          <w:color w:val="auto"/>
          <w:spacing w:val="3"/>
          <w:lang w:eastAsia="en-US"/>
        </w:rPr>
        <w:t xml:space="preserve">                  </w:t>
      </w:r>
      <w:r w:rsidR="00242DA0" w:rsidRPr="00DE12A3">
        <w:rPr>
          <w:rFonts w:eastAsia="Times New Roman" w:cs="Times New Roman"/>
          <w:color w:val="auto"/>
          <w:spacing w:val="3"/>
          <w:lang w:eastAsia="en-US"/>
        </w:rPr>
        <w:t xml:space="preserve">Seyreltici besleme noktasından filtre tutuculara kadar ölçülen sistem </w:t>
      </w:r>
      <w:r w:rsidR="00441404" w:rsidRPr="00DE12A3">
        <w:rPr>
          <w:rFonts w:eastAsia="Times New Roman" w:cs="Times New Roman"/>
          <w:color w:val="auto"/>
          <w:spacing w:val="3"/>
          <w:lang w:eastAsia="en-US"/>
        </w:rPr>
        <w:t>içinde kalma</w:t>
      </w:r>
      <w:r w:rsidR="00242DA0" w:rsidRPr="00DE12A3">
        <w:rPr>
          <w:rFonts w:eastAsia="Times New Roman" w:cs="Times New Roman"/>
          <w:color w:val="auto"/>
          <w:spacing w:val="3"/>
          <w:lang w:eastAsia="en-US"/>
        </w:rPr>
        <w:t xml:space="preserve"> süresi, 0,5 ila 5 s arasında olmalıdır.</w:t>
      </w:r>
    </w:p>
    <w:p w14:paraId="4948529A" w14:textId="77777777" w:rsidR="002D7B36" w:rsidRPr="00DE12A3" w:rsidRDefault="005C6B5D" w:rsidP="00C917D6">
      <w:pPr>
        <w:spacing w:before="120" w:after="120"/>
        <w:ind w:left="1134" w:hanging="1134"/>
        <w:jc w:val="both"/>
        <w:rPr>
          <w:rFonts w:eastAsia="Times New Roman" w:cs="Times New Roman"/>
          <w:color w:val="auto"/>
          <w:spacing w:val="3"/>
          <w:lang w:eastAsia="en-US"/>
        </w:rPr>
      </w:pPr>
      <w:r w:rsidRPr="00DE12A3">
        <w:rPr>
          <w:rFonts w:eastAsia="Times New Roman" w:cs="Times New Roman"/>
          <w:color w:val="auto"/>
          <w:spacing w:val="3"/>
          <w:lang w:eastAsia="en-US"/>
        </w:rPr>
        <w:t xml:space="preserve">                  </w:t>
      </w:r>
      <w:r w:rsidR="00242DA0" w:rsidRPr="00DE12A3">
        <w:rPr>
          <w:rFonts w:eastAsia="Times New Roman" w:cs="Times New Roman"/>
          <w:color w:val="auto"/>
          <w:spacing w:val="3"/>
          <w:lang w:eastAsia="en-US"/>
        </w:rPr>
        <w:t xml:space="preserve">Parçacıkların kütlesini belirlemek için </w:t>
      </w:r>
      <w:r w:rsidR="007E2039" w:rsidRPr="00DE12A3">
        <w:rPr>
          <w:rFonts w:eastAsia="Times New Roman" w:cs="Times New Roman"/>
          <w:color w:val="auto"/>
          <w:spacing w:val="3"/>
          <w:lang w:eastAsia="en-US"/>
        </w:rPr>
        <w:t xml:space="preserve">partikül </w:t>
      </w:r>
      <w:r w:rsidR="00242DA0" w:rsidRPr="00DE12A3">
        <w:rPr>
          <w:rFonts w:eastAsia="Times New Roman" w:cs="Times New Roman"/>
          <w:color w:val="auto"/>
          <w:spacing w:val="3"/>
          <w:lang w:eastAsia="en-US"/>
        </w:rPr>
        <w:t xml:space="preserve">örnekleme sistemi, </w:t>
      </w:r>
      <w:r w:rsidR="007E2039" w:rsidRPr="00DE12A3">
        <w:rPr>
          <w:rFonts w:eastAsia="Times New Roman" w:cs="Times New Roman"/>
          <w:color w:val="auto"/>
          <w:spacing w:val="3"/>
          <w:lang w:eastAsia="en-US"/>
        </w:rPr>
        <w:t xml:space="preserve">partikül </w:t>
      </w:r>
      <w:r w:rsidR="00242DA0" w:rsidRPr="00DE12A3">
        <w:rPr>
          <w:rFonts w:eastAsia="Times New Roman" w:cs="Times New Roman"/>
          <w:color w:val="auto"/>
          <w:spacing w:val="3"/>
          <w:lang w:eastAsia="en-US"/>
        </w:rPr>
        <w:t xml:space="preserve">örnekleme filtresi, bir gravimetrik </w:t>
      </w:r>
      <w:r w:rsidR="00EF0D08" w:rsidRPr="00DE12A3">
        <w:rPr>
          <w:rFonts w:eastAsia="Times New Roman" w:cs="Times New Roman"/>
          <w:color w:val="auto"/>
          <w:spacing w:val="3"/>
          <w:lang w:eastAsia="en-US"/>
        </w:rPr>
        <w:t>balans</w:t>
      </w:r>
      <w:r w:rsidR="00242DA0" w:rsidRPr="00DE12A3">
        <w:rPr>
          <w:rFonts w:eastAsia="Times New Roman" w:cs="Times New Roman"/>
          <w:color w:val="auto"/>
          <w:spacing w:val="3"/>
          <w:lang w:eastAsia="en-US"/>
        </w:rPr>
        <w:t xml:space="preserve"> ve sıcaklık ve nem kontrollü tartı odası gerekir.</w:t>
      </w:r>
    </w:p>
    <w:p w14:paraId="7695AFD7" w14:textId="77777777" w:rsidR="002D7B36" w:rsidRPr="00DE12A3" w:rsidRDefault="00242DA0" w:rsidP="00E20716">
      <w:pPr>
        <w:numPr>
          <w:ilvl w:val="0"/>
          <w:numId w:val="319"/>
        </w:numPr>
        <w:spacing w:before="120" w:after="120"/>
        <w:ind w:left="1134" w:hanging="1134"/>
        <w:jc w:val="both"/>
        <w:rPr>
          <w:rFonts w:eastAsia="Times New Roman" w:cs="Times New Roman"/>
          <w:color w:val="auto"/>
          <w:spacing w:val="3"/>
          <w:lang w:eastAsia="en-US"/>
        </w:rPr>
      </w:pPr>
      <w:r w:rsidRPr="00DE12A3">
        <w:rPr>
          <w:rFonts w:eastAsia="Times New Roman" w:cs="Times New Roman"/>
          <w:color w:val="auto"/>
          <w:spacing w:val="3"/>
          <w:lang w:eastAsia="en-US"/>
        </w:rPr>
        <w:t>Uygulanabilirlik</w:t>
      </w:r>
    </w:p>
    <w:p w14:paraId="6787B966" w14:textId="77777777" w:rsidR="002D7B36" w:rsidRPr="00DE12A3" w:rsidRDefault="005C6B5D" w:rsidP="00C917D6">
      <w:pPr>
        <w:spacing w:before="120" w:after="120"/>
        <w:ind w:left="1134" w:hanging="1134"/>
        <w:jc w:val="both"/>
        <w:rPr>
          <w:rFonts w:eastAsia="Times New Roman" w:cs="Times New Roman"/>
          <w:color w:val="auto"/>
          <w:spacing w:val="3"/>
          <w:lang w:eastAsia="en-US"/>
        </w:rPr>
      </w:pPr>
      <w:r w:rsidRPr="00DE12A3">
        <w:rPr>
          <w:rFonts w:eastAsia="Times New Roman" w:cs="Times New Roman"/>
          <w:color w:val="auto"/>
          <w:spacing w:val="3"/>
          <w:lang w:eastAsia="en-US"/>
        </w:rPr>
        <w:t xml:space="preserve">                  </w:t>
      </w:r>
      <w:r w:rsidR="00242DA0" w:rsidRPr="00DE12A3">
        <w:rPr>
          <w:rFonts w:eastAsia="Times New Roman" w:cs="Times New Roman"/>
          <w:color w:val="auto"/>
          <w:spacing w:val="3"/>
          <w:lang w:eastAsia="en-US"/>
        </w:rPr>
        <w:t xml:space="preserve">PFD, herhangi bir toplu veya sürekli PM ve herhangi bir </w:t>
      </w:r>
      <w:r w:rsidR="00951351" w:rsidRPr="00DE12A3">
        <w:rPr>
          <w:rFonts w:eastAsia="Times New Roman" w:cs="Times New Roman"/>
          <w:color w:val="auto"/>
          <w:spacing w:val="3"/>
          <w:lang w:eastAsia="en-US"/>
        </w:rPr>
        <w:t xml:space="preserve">  süreksiz </w:t>
      </w:r>
      <w:r w:rsidR="00242DA0" w:rsidRPr="00DE12A3">
        <w:rPr>
          <w:rFonts w:eastAsia="Times New Roman" w:cs="Times New Roman"/>
          <w:color w:val="auto"/>
          <w:spacing w:val="3"/>
          <w:lang w:eastAsia="en-US"/>
        </w:rPr>
        <w:t xml:space="preserve">(NRTC ve LSI-NRTC) hizmet </w:t>
      </w:r>
      <w:r w:rsidR="00F310B5" w:rsidRPr="00DE12A3">
        <w:rPr>
          <w:rFonts w:eastAsia="Times New Roman" w:cs="Times New Roman"/>
          <w:color w:val="auto"/>
          <w:spacing w:val="3"/>
          <w:lang w:eastAsia="en-US"/>
        </w:rPr>
        <w:t>çevrimi</w:t>
      </w:r>
      <w:r w:rsidR="00242DA0" w:rsidRPr="00DE12A3">
        <w:rPr>
          <w:rFonts w:eastAsia="Times New Roman" w:cs="Times New Roman"/>
          <w:color w:val="auto"/>
          <w:spacing w:val="3"/>
          <w:lang w:eastAsia="en-US"/>
        </w:rPr>
        <w:t xml:space="preserve">, herhangi bir ayrık modlu NRSC veya herhangi bir RMC hizmet </w:t>
      </w:r>
      <w:r w:rsidR="00F310B5" w:rsidRPr="00DE12A3">
        <w:rPr>
          <w:rFonts w:eastAsia="Times New Roman" w:cs="Times New Roman"/>
          <w:color w:val="auto"/>
          <w:spacing w:val="3"/>
          <w:lang w:eastAsia="en-US"/>
        </w:rPr>
        <w:t>çevrimi</w:t>
      </w:r>
      <w:r w:rsidR="00242DA0" w:rsidRPr="00DE12A3">
        <w:rPr>
          <w:rFonts w:eastAsia="Times New Roman" w:cs="Times New Roman"/>
          <w:color w:val="auto"/>
          <w:spacing w:val="3"/>
          <w:lang w:eastAsia="en-US"/>
        </w:rPr>
        <w:t xml:space="preserve"> üzerinde gaz emisyon örneklemesi için orantılı bir ham egzoz gazı numunesi almak için kullanılabilir.</w:t>
      </w:r>
    </w:p>
    <w:p w14:paraId="5CE06647" w14:textId="66C9C1F1" w:rsidR="002D7B36" w:rsidRPr="00DE12A3" w:rsidRDefault="005C6B5D" w:rsidP="00C917D6">
      <w:pPr>
        <w:spacing w:before="120" w:after="120"/>
        <w:ind w:left="1134" w:hanging="1134"/>
        <w:jc w:val="both"/>
        <w:rPr>
          <w:rFonts w:eastAsia="Times New Roman" w:cs="Times New Roman"/>
          <w:color w:val="auto"/>
          <w:spacing w:val="3"/>
          <w:lang w:eastAsia="en-US"/>
        </w:rPr>
      </w:pPr>
      <w:r w:rsidRPr="00DE12A3">
        <w:rPr>
          <w:rFonts w:eastAsia="Times New Roman" w:cs="Times New Roman"/>
          <w:color w:val="auto"/>
          <w:spacing w:val="3"/>
          <w:lang w:eastAsia="en-US"/>
        </w:rPr>
        <w:t xml:space="preserve">                  </w:t>
      </w:r>
      <w:r w:rsidR="00242DA0" w:rsidRPr="00DE12A3">
        <w:rPr>
          <w:rFonts w:eastAsia="Times New Roman" w:cs="Times New Roman"/>
          <w:color w:val="auto"/>
          <w:spacing w:val="3"/>
          <w:lang w:eastAsia="en-US"/>
        </w:rPr>
        <w:t>Sistem, daha önce seyreltilmiş bir egzoz gazı için de kullanılabilir</w:t>
      </w:r>
      <w:r w:rsidR="003844BE" w:rsidRPr="00DE12A3">
        <w:rPr>
          <w:rFonts w:eastAsia="Times New Roman" w:cs="Times New Roman"/>
          <w:color w:val="auto"/>
          <w:spacing w:val="3"/>
          <w:lang w:eastAsia="en-US"/>
        </w:rPr>
        <w:t>.</w:t>
      </w:r>
      <w:r w:rsidR="00242DA0" w:rsidRPr="00DE12A3">
        <w:rPr>
          <w:rFonts w:eastAsia="Times New Roman" w:cs="Times New Roman"/>
          <w:color w:val="auto"/>
          <w:spacing w:val="3"/>
          <w:lang w:eastAsia="en-US"/>
        </w:rPr>
        <w:t xml:space="preserve"> </w:t>
      </w:r>
      <w:r w:rsidR="003844BE" w:rsidRPr="00DE12A3">
        <w:rPr>
          <w:rFonts w:eastAsia="Times New Roman" w:cs="Times New Roman"/>
          <w:color w:val="auto"/>
          <w:spacing w:val="3"/>
          <w:lang w:eastAsia="en-US"/>
        </w:rPr>
        <w:t>B</w:t>
      </w:r>
      <w:r w:rsidR="00242DA0" w:rsidRPr="00DE12A3">
        <w:rPr>
          <w:rFonts w:eastAsia="Times New Roman" w:cs="Times New Roman"/>
          <w:color w:val="auto"/>
          <w:spacing w:val="3"/>
          <w:lang w:eastAsia="en-US"/>
        </w:rPr>
        <w:t>urada sabit bir seyreltme oranıyla zaten orantılı bir akışın seyreltilmesi sağlanır (bkz. Şekil 6.7). PM örneklemesi için gerekli toplam seyreltme oranını elde etmek için bir CVS tünelinden ikincil seyreltme bu yolla gerçekleştirilir.</w:t>
      </w:r>
    </w:p>
    <w:p w14:paraId="27C0A509" w14:textId="77777777" w:rsidR="002D7B36" w:rsidRPr="00DE12A3" w:rsidRDefault="00242DA0" w:rsidP="00E20716">
      <w:pPr>
        <w:numPr>
          <w:ilvl w:val="0"/>
          <w:numId w:val="319"/>
        </w:numPr>
        <w:spacing w:before="120" w:after="120"/>
        <w:ind w:left="1134" w:hanging="1134"/>
        <w:jc w:val="both"/>
        <w:rPr>
          <w:rFonts w:eastAsia="Times New Roman" w:cs="Times New Roman"/>
          <w:color w:val="auto"/>
          <w:spacing w:val="3"/>
          <w:lang w:eastAsia="en-US"/>
        </w:rPr>
      </w:pPr>
      <w:r w:rsidRPr="00DE12A3">
        <w:rPr>
          <w:rFonts w:eastAsia="Times New Roman" w:cs="Times New Roman"/>
          <w:color w:val="auto"/>
          <w:spacing w:val="3"/>
          <w:lang w:eastAsia="en-US"/>
        </w:rPr>
        <w:t>Kalibrasyon</w:t>
      </w:r>
    </w:p>
    <w:p w14:paraId="24880BAF" w14:textId="77777777" w:rsidR="002D7B36" w:rsidRPr="00DE12A3" w:rsidRDefault="005C6B5D" w:rsidP="00C917D6">
      <w:pPr>
        <w:spacing w:before="120" w:after="120"/>
        <w:ind w:left="1134" w:hanging="1134"/>
        <w:jc w:val="both"/>
        <w:rPr>
          <w:rFonts w:eastAsia="Times New Roman" w:cs="Times New Roman"/>
          <w:color w:val="auto"/>
          <w:spacing w:val="3"/>
          <w:lang w:eastAsia="en-US"/>
        </w:rPr>
      </w:pPr>
      <w:r w:rsidRPr="00DE12A3">
        <w:rPr>
          <w:rFonts w:eastAsia="Times New Roman" w:cs="Times New Roman"/>
          <w:color w:val="auto"/>
          <w:spacing w:val="3"/>
          <w:lang w:eastAsia="en-US"/>
        </w:rPr>
        <w:t xml:space="preserve">                  </w:t>
      </w:r>
      <w:r w:rsidR="00242DA0" w:rsidRPr="00DE12A3">
        <w:rPr>
          <w:rFonts w:eastAsia="Times New Roman" w:cs="Times New Roman"/>
          <w:color w:val="auto"/>
          <w:spacing w:val="3"/>
          <w:lang w:eastAsia="en-US"/>
        </w:rPr>
        <w:t>PFD'nin orantılı bir ham egzoz gazı numunesi almak üzere kalibrasyonu 8.1.8.6 bendinde açıklanmaktadır.</w:t>
      </w:r>
    </w:p>
    <w:p w14:paraId="12350202" w14:textId="77777777" w:rsidR="002D7B36" w:rsidRPr="00DE12A3" w:rsidRDefault="002D7B36" w:rsidP="00E20716">
      <w:pPr>
        <w:pStyle w:val="ListeParagraf"/>
        <w:numPr>
          <w:ilvl w:val="0"/>
          <w:numId w:val="320"/>
        </w:numPr>
        <w:tabs>
          <w:tab w:val="left" w:pos="907"/>
        </w:tabs>
        <w:spacing w:before="120" w:after="120"/>
        <w:ind w:left="1134" w:hanging="1134"/>
        <w:contextualSpacing w:val="0"/>
        <w:jc w:val="both"/>
        <w:rPr>
          <w:rFonts w:eastAsia="Times New Roman" w:cs="Times New Roman"/>
          <w:vanish/>
          <w:color w:val="auto"/>
          <w:spacing w:val="3"/>
          <w:lang w:eastAsia="en-US"/>
        </w:rPr>
      </w:pPr>
    </w:p>
    <w:p w14:paraId="169ABA81" w14:textId="77777777" w:rsidR="002D7B36" w:rsidRPr="00DE12A3" w:rsidRDefault="002D7B36" w:rsidP="00E20716">
      <w:pPr>
        <w:pStyle w:val="ListeParagraf"/>
        <w:numPr>
          <w:ilvl w:val="0"/>
          <w:numId w:val="320"/>
        </w:numPr>
        <w:tabs>
          <w:tab w:val="left" w:pos="907"/>
        </w:tabs>
        <w:spacing w:before="120" w:after="120"/>
        <w:ind w:left="1134" w:hanging="1134"/>
        <w:contextualSpacing w:val="0"/>
        <w:jc w:val="both"/>
        <w:rPr>
          <w:rFonts w:eastAsia="Times New Roman" w:cs="Times New Roman"/>
          <w:vanish/>
          <w:color w:val="auto"/>
          <w:spacing w:val="3"/>
          <w:lang w:eastAsia="en-US"/>
        </w:rPr>
      </w:pPr>
    </w:p>
    <w:p w14:paraId="48F1AE0C" w14:textId="77777777" w:rsidR="002D7B36" w:rsidRPr="00DE12A3" w:rsidRDefault="005C6B5D" w:rsidP="00E20716">
      <w:pPr>
        <w:numPr>
          <w:ilvl w:val="0"/>
          <w:numId w:val="320"/>
        </w:numPr>
        <w:tabs>
          <w:tab w:val="left" w:pos="907"/>
        </w:tabs>
        <w:spacing w:before="120" w:after="120"/>
        <w:ind w:left="1134" w:hanging="1134"/>
        <w:jc w:val="both"/>
        <w:rPr>
          <w:rFonts w:eastAsia="Times New Roman" w:cs="Times New Roman"/>
          <w:color w:val="auto"/>
          <w:spacing w:val="3"/>
          <w:lang w:eastAsia="en-US"/>
        </w:rPr>
      </w:pPr>
      <w:r w:rsidRPr="00DE12A3">
        <w:rPr>
          <w:rFonts w:eastAsia="Times New Roman" w:cs="Times New Roman"/>
          <w:color w:val="auto"/>
          <w:spacing w:val="3"/>
          <w:lang w:eastAsia="en-US"/>
        </w:rPr>
        <w:t xml:space="preserve">    </w:t>
      </w:r>
      <w:r w:rsidR="00242DA0" w:rsidRPr="00DE12A3">
        <w:rPr>
          <w:rFonts w:eastAsia="Times New Roman" w:cs="Times New Roman"/>
          <w:color w:val="auto"/>
          <w:spacing w:val="3"/>
          <w:lang w:eastAsia="en-US"/>
        </w:rPr>
        <w:t>Örnekleme prosedürleri</w:t>
      </w:r>
    </w:p>
    <w:p w14:paraId="7AAECB43" w14:textId="77777777" w:rsidR="002D7B36" w:rsidRPr="00DE12A3" w:rsidRDefault="005C6B5D" w:rsidP="00E20716">
      <w:pPr>
        <w:numPr>
          <w:ilvl w:val="0"/>
          <w:numId w:val="321"/>
        </w:numPr>
        <w:spacing w:before="120" w:after="120"/>
        <w:ind w:left="1134" w:hanging="1134"/>
        <w:jc w:val="both"/>
        <w:rPr>
          <w:rFonts w:eastAsia="Times New Roman" w:cs="Times New Roman"/>
          <w:color w:val="auto"/>
          <w:spacing w:val="3"/>
          <w:lang w:eastAsia="en-US"/>
        </w:rPr>
      </w:pPr>
      <w:r w:rsidRPr="00DE12A3">
        <w:rPr>
          <w:rFonts w:eastAsia="Times New Roman" w:cs="Times New Roman"/>
          <w:color w:val="auto"/>
          <w:spacing w:val="3"/>
          <w:lang w:eastAsia="en-US"/>
        </w:rPr>
        <w:lastRenderedPageBreak/>
        <w:t xml:space="preserve">       </w:t>
      </w:r>
      <w:r w:rsidR="00242DA0" w:rsidRPr="00DE12A3">
        <w:rPr>
          <w:rFonts w:eastAsia="Times New Roman" w:cs="Times New Roman"/>
          <w:color w:val="auto"/>
          <w:spacing w:val="3"/>
          <w:lang w:eastAsia="en-US"/>
        </w:rPr>
        <w:t xml:space="preserve">Genel örnekleme </w:t>
      </w:r>
      <w:r w:rsidR="0053289F" w:rsidRPr="00DE12A3">
        <w:rPr>
          <w:rFonts w:eastAsia="Times New Roman" w:cs="Times New Roman"/>
          <w:color w:val="auto"/>
          <w:spacing w:val="3"/>
          <w:lang w:eastAsia="en-US"/>
        </w:rPr>
        <w:t>gereklilikleri</w:t>
      </w:r>
    </w:p>
    <w:p w14:paraId="1EB8BF6E" w14:textId="77777777" w:rsidR="002D7B36" w:rsidRPr="00DE12A3" w:rsidRDefault="00242DA0" w:rsidP="00E20716">
      <w:pPr>
        <w:numPr>
          <w:ilvl w:val="0"/>
          <w:numId w:val="322"/>
        </w:numPr>
        <w:spacing w:before="120" w:after="120"/>
        <w:ind w:left="1134" w:hanging="1134"/>
        <w:jc w:val="both"/>
        <w:rPr>
          <w:rFonts w:eastAsia="Times New Roman" w:cs="Times New Roman"/>
          <w:color w:val="auto"/>
          <w:spacing w:val="3"/>
          <w:lang w:eastAsia="en-US"/>
        </w:rPr>
      </w:pPr>
      <w:r w:rsidRPr="00DE12A3">
        <w:rPr>
          <w:rFonts w:eastAsia="Times New Roman" w:cs="Times New Roman"/>
          <w:color w:val="auto"/>
          <w:spacing w:val="3"/>
          <w:lang w:eastAsia="en-US"/>
        </w:rPr>
        <w:t>Sonda tasarımı ve yapısı</w:t>
      </w:r>
    </w:p>
    <w:p w14:paraId="30949CA1" w14:textId="77777777" w:rsidR="002D7B36" w:rsidRPr="00DE12A3" w:rsidRDefault="005C6B5D" w:rsidP="00C917D6">
      <w:pPr>
        <w:spacing w:before="120" w:after="120"/>
        <w:ind w:left="1134" w:hanging="1134"/>
        <w:jc w:val="both"/>
        <w:rPr>
          <w:rFonts w:eastAsia="Times New Roman" w:cs="Times New Roman"/>
          <w:color w:val="auto"/>
          <w:spacing w:val="3"/>
          <w:lang w:eastAsia="en-US"/>
        </w:rPr>
      </w:pPr>
      <w:r w:rsidRPr="00DE12A3">
        <w:rPr>
          <w:rFonts w:eastAsia="Times New Roman" w:cs="Times New Roman"/>
          <w:color w:val="auto"/>
          <w:spacing w:val="3"/>
          <w:lang w:eastAsia="en-US"/>
        </w:rPr>
        <w:t xml:space="preserve">                  </w:t>
      </w:r>
      <w:r w:rsidR="00242DA0" w:rsidRPr="00DE12A3">
        <w:rPr>
          <w:rFonts w:eastAsia="Times New Roman" w:cs="Times New Roman"/>
          <w:color w:val="auto"/>
          <w:spacing w:val="3"/>
          <w:lang w:eastAsia="en-US"/>
        </w:rPr>
        <w:t>Sonda, bir örnekleme sistemindeki ilk bağlantı parçasıdır. Numune almak üzere, iç ve dış yüzeyleri egzoz gazı ile temas halinde olacak şekilde, ham veya seyreltilmiş bir egzoz gazı akımı içine girer. Numune, sondadan bir aktarım hattına taşınır.</w:t>
      </w:r>
    </w:p>
    <w:p w14:paraId="504992C5" w14:textId="77777777" w:rsidR="002D7B36" w:rsidRPr="00DE12A3" w:rsidRDefault="005C6B5D" w:rsidP="00C917D6">
      <w:pPr>
        <w:spacing w:before="120" w:after="120"/>
        <w:ind w:left="1134" w:hanging="1134"/>
        <w:jc w:val="both"/>
        <w:rPr>
          <w:rFonts w:eastAsia="Times New Roman" w:cs="Times New Roman"/>
          <w:color w:val="auto"/>
          <w:spacing w:val="3"/>
          <w:lang w:eastAsia="en-US"/>
        </w:rPr>
      </w:pPr>
      <w:r w:rsidRPr="00DE12A3">
        <w:rPr>
          <w:rFonts w:eastAsia="Times New Roman" w:cs="Times New Roman"/>
          <w:color w:val="auto"/>
          <w:spacing w:val="3"/>
          <w:lang w:eastAsia="en-US"/>
        </w:rPr>
        <w:t xml:space="preserve">                   </w:t>
      </w:r>
      <w:r w:rsidR="00242DA0" w:rsidRPr="00DE12A3">
        <w:rPr>
          <w:rFonts w:eastAsia="Times New Roman" w:cs="Times New Roman"/>
          <w:color w:val="auto"/>
          <w:spacing w:val="3"/>
          <w:lang w:eastAsia="en-US"/>
        </w:rPr>
        <w:t xml:space="preserve">Numune sondaları, iç yüzeyleri paslanmaz çelikten veya ham egzoz gazı örneklemesi için, ham egzoz gazı sıcaklıklarına dayanabilecek reaktif olmayan herhangi bir malzemeden yapılmış olmalıdır. Numune sondaları, bileşenlerin ortalama numune konsantrasyonları ile karıştırıldığı ve diğer sondalarla etkileşimin en aza indirildiği yerlerde bulunmalıdır. Tüm sondaların, özellikle istenmeyen seyreltmenin oluşabileceği bir ham egzoz sayacı egzoz borusunun çıkışı yakınında, sınır katmanları, burgaçlar ve anaforların etkilerinden uzak tutulması önerilir. Sondanın temizlenmesi veya geri yıkanması, test sırasında başka bir sondayı etkilemez. Birden fazla bileşen içeren bir numunenin alınması için, her bileşen için tüm </w:t>
      </w:r>
      <w:r w:rsidR="0053289F" w:rsidRPr="00DE12A3">
        <w:rPr>
          <w:rFonts w:eastAsia="Times New Roman" w:cs="Times New Roman"/>
          <w:color w:val="auto"/>
          <w:spacing w:val="3"/>
          <w:lang w:eastAsia="en-US"/>
        </w:rPr>
        <w:t>gereklilikleri</w:t>
      </w:r>
      <w:r w:rsidR="00242DA0" w:rsidRPr="00DE12A3">
        <w:rPr>
          <w:rFonts w:eastAsia="Times New Roman" w:cs="Times New Roman"/>
          <w:color w:val="auto"/>
          <w:spacing w:val="3"/>
          <w:lang w:eastAsia="en-US"/>
        </w:rPr>
        <w:t xml:space="preserve"> sağladığı sürece tek bir sonda kullanılabilir.</w:t>
      </w:r>
    </w:p>
    <w:p w14:paraId="319077F1" w14:textId="77777777" w:rsidR="002D7B36" w:rsidRPr="00DE12A3" w:rsidRDefault="00242DA0" w:rsidP="00E20716">
      <w:pPr>
        <w:numPr>
          <w:ilvl w:val="0"/>
          <w:numId w:val="323"/>
        </w:numPr>
        <w:spacing w:before="120" w:after="120"/>
        <w:ind w:left="1134" w:hanging="1134"/>
        <w:jc w:val="both"/>
        <w:rPr>
          <w:rFonts w:eastAsia="Times New Roman" w:cs="Times New Roman"/>
          <w:color w:val="auto"/>
          <w:spacing w:val="3"/>
          <w:lang w:eastAsia="en-US"/>
        </w:rPr>
      </w:pPr>
      <w:r w:rsidRPr="00DE12A3">
        <w:rPr>
          <w:rFonts w:eastAsia="Times New Roman" w:cs="Times New Roman"/>
          <w:color w:val="auto"/>
          <w:spacing w:val="3"/>
          <w:lang w:eastAsia="en-US"/>
        </w:rPr>
        <w:t>Karışma haznesi (NRSh kategorisi)</w:t>
      </w:r>
    </w:p>
    <w:p w14:paraId="0E56335E" w14:textId="77777777" w:rsidR="002D7B36" w:rsidRPr="00DE12A3" w:rsidRDefault="0042305E" w:rsidP="00C917D6">
      <w:pPr>
        <w:spacing w:before="120" w:after="120"/>
        <w:ind w:left="1134" w:hanging="1134"/>
        <w:jc w:val="both"/>
        <w:rPr>
          <w:rFonts w:eastAsia="Times New Roman" w:cs="Times New Roman"/>
          <w:color w:val="auto"/>
          <w:spacing w:val="3"/>
          <w:lang w:eastAsia="en-US"/>
        </w:rPr>
      </w:pPr>
      <w:r w:rsidRPr="00DE12A3">
        <w:rPr>
          <w:rFonts w:eastAsia="Times New Roman" w:cs="Times New Roman"/>
          <w:color w:val="auto"/>
          <w:spacing w:val="3"/>
          <w:lang w:eastAsia="en-US"/>
        </w:rPr>
        <w:t xml:space="preserve">                  </w:t>
      </w:r>
      <w:r w:rsidR="00242DA0" w:rsidRPr="00DE12A3">
        <w:rPr>
          <w:rFonts w:eastAsia="Times New Roman" w:cs="Times New Roman"/>
          <w:color w:val="auto"/>
          <w:spacing w:val="3"/>
          <w:lang w:eastAsia="en-US"/>
        </w:rPr>
        <w:t>İmalatçı tarafından izin verildiğinde, NRSh kategorisindeki motorlar test edilirken bir karışma haznesi kullanılabilir. Karışma haznesi, bir ham gaz örnekleme sisteminin isteğe bağlı bir bileşenidir ve egzoz sistemi içinde susturucu ile örnek sondası arasına yerleştirilmiştir. Karışma haznesinin ve öncesindeki ve sonrasındaki borunun şekli ve boyutları, numune sondası konumunda iyi karışmış, homojen bir numune sağlayacak ve böylece haznenin emisyon sonuçlarını etkileyen güçlü titreşimlerinden veya rezonanslarından kaçınılacak şekilde olmalıdır.</w:t>
      </w:r>
    </w:p>
    <w:p w14:paraId="1BFD5652" w14:textId="77777777" w:rsidR="002D7B36" w:rsidRPr="00DE12A3" w:rsidRDefault="0042305E" w:rsidP="00E20716">
      <w:pPr>
        <w:numPr>
          <w:ilvl w:val="0"/>
          <w:numId w:val="322"/>
        </w:numPr>
        <w:tabs>
          <w:tab w:val="left" w:pos="902"/>
        </w:tabs>
        <w:spacing w:before="120" w:after="120"/>
        <w:ind w:left="1134" w:hanging="1134"/>
        <w:jc w:val="both"/>
        <w:rPr>
          <w:rFonts w:eastAsia="Times New Roman" w:cs="Times New Roman"/>
          <w:color w:val="auto"/>
          <w:spacing w:val="3"/>
          <w:lang w:eastAsia="en-US"/>
        </w:rPr>
      </w:pPr>
      <w:r w:rsidRPr="00DE12A3">
        <w:rPr>
          <w:rFonts w:eastAsia="Times New Roman" w:cs="Times New Roman"/>
          <w:color w:val="auto"/>
          <w:spacing w:val="3"/>
          <w:lang w:eastAsia="en-US"/>
        </w:rPr>
        <w:t xml:space="preserve">   </w:t>
      </w:r>
      <w:r w:rsidR="00242DA0" w:rsidRPr="00DE12A3">
        <w:rPr>
          <w:rFonts w:eastAsia="Times New Roman" w:cs="Times New Roman"/>
          <w:color w:val="auto"/>
          <w:spacing w:val="3"/>
          <w:lang w:eastAsia="en-US"/>
        </w:rPr>
        <w:t>Aktarım hatları</w:t>
      </w:r>
    </w:p>
    <w:p w14:paraId="60E551F7" w14:textId="77777777" w:rsidR="002D7B36" w:rsidRPr="00DE12A3" w:rsidRDefault="0042305E" w:rsidP="00C917D6">
      <w:pPr>
        <w:spacing w:before="120" w:after="120"/>
        <w:ind w:left="1134" w:hanging="1134"/>
        <w:jc w:val="both"/>
        <w:rPr>
          <w:rFonts w:eastAsia="Times New Roman" w:cs="Times New Roman"/>
          <w:color w:val="auto"/>
          <w:spacing w:val="3"/>
          <w:lang w:eastAsia="en-US"/>
        </w:rPr>
      </w:pPr>
      <w:r w:rsidRPr="00DE12A3">
        <w:rPr>
          <w:rFonts w:eastAsia="Times New Roman" w:cs="Times New Roman"/>
          <w:color w:val="auto"/>
          <w:spacing w:val="3"/>
          <w:lang w:eastAsia="en-US"/>
        </w:rPr>
        <w:t xml:space="preserve">                 </w:t>
      </w:r>
      <w:r w:rsidR="00242DA0" w:rsidRPr="00DE12A3">
        <w:rPr>
          <w:rFonts w:eastAsia="Times New Roman" w:cs="Times New Roman"/>
          <w:color w:val="auto"/>
          <w:spacing w:val="3"/>
          <w:lang w:eastAsia="en-US"/>
        </w:rPr>
        <w:t>Alınmış bir numuneyi sondadan analiz cihazına, depolama ortamına veya seyreltme sistemine taşıyan aktarım hatlarının boyları, analiz cihazlarının, depolama ortamlarının ve seyreltme sistemlerinin sondalara olabildiğince yakın konumlandırılmasıyla en aza indirilmelidir. Aktarım hatlarındaki dirsek sayısı en aza indirilmeli ve kaçınılmaz her dirseğin yarıçapı olabildiğince büyük olmalıdır.</w:t>
      </w:r>
    </w:p>
    <w:p w14:paraId="58866A30" w14:textId="77777777" w:rsidR="002D7B36" w:rsidRPr="00DE12A3" w:rsidRDefault="00242DA0" w:rsidP="00E20716">
      <w:pPr>
        <w:numPr>
          <w:ilvl w:val="0"/>
          <w:numId w:val="322"/>
        </w:numPr>
        <w:shd w:val="clear" w:color="auto" w:fill="FFFFFF"/>
        <w:spacing w:before="120" w:after="120"/>
        <w:ind w:left="1134" w:hanging="1134"/>
        <w:jc w:val="both"/>
        <w:rPr>
          <w:rFonts w:eastAsia="Times New Roman" w:cs="Times New Roman"/>
          <w:color w:val="auto"/>
          <w:spacing w:val="3"/>
          <w:lang w:eastAsia="en-US"/>
        </w:rPr>
      </w:pPr>
      <w:r w:rsidRPr="00DE12A3">
        <w:rPr>
          <w:rFonts w:eastAsia="Times New Roman" w:cs="Times New Roman"/>
          <w:color w:val="auto"/>
          <w:spacing w:val="3"/>
          <w:lang w:eastAsia="en-US"/>
        </w:rPr>
        <w:t>Örnekleme yöntemleri</w:t>
      </w:r>
    </w:p>
    <w:p w14:paraId="37A49E23" w14:textId="77777777" w:rsidR="002D7B36" w:rsidRPr="00DE12A3" w:rsidRDefault="0042305E" w:rsidP="00C917D6">
      <w:pPr>
        <w:shd w:val="clear" w:color="auto" w:fill="FFFFFF"/>
        <w:spacing w:before="120" w:after="120"/>
        <w:ind w:left="1134" w:hanging="1134"/>
        <w:jc w:val="both"/>
        <w:rPr>
          <w:rFonts w:eastAsia="Times New Roman" w:cs="Times New Roman"/>
          <w:color w:val="auto"/>
          <w:spacing w:val="3"/>
          <w:lang w:eastAsia="en-US"/>
        </w:rPr>
      </w:pPr>
      <w:r w:rsidRPr="00DE12A3">
        <w:rPr>
          <w:rFonts w:eastAsia="Times New Roman" w:cs="Times New Roman"/>
          <w:color w:val="auto"/>
          <w:spacing w:val="3"/>
          <w:lang w:eastAsia="en-US"/>
        </w:rPr>
        <w:t xml:space="preserve">                  </w:t>
      </w:r>
      <w:r w:rsidR="00242DA0" w:rsidRPr="00DE12A3">
        <w:rPr>
          <w:rFonts w:eastAsia="Times New Roman" w:cs="Times New Roman"/>
          <w:color w:val="auto"/>
          <w:spacing w:val="3"/>
          <w:lang w:eastAsia="en-US"/>
        </w:rPr>
        <w:t>7.2 bendinde verilen sürekli ve toplu örnekleme için aşağıdaki koşullar uygulanır:</w:t>
      </w:r>
    </w:p>
    <w:p w14:paraId="4153715E" w14:textId="652221F3" w:rsidR="002D7B36" w:rsidRPr="00DE12A3" w:rsidRDefault="0042305E" w:rsidP="00E20716">
      <w:pPr>
        <w:numPr>
          <w:ilvl w:val="0"/>
          <w:numId w:val="324"/>
        </w:numPr>
        <w:shd w:val="clear" w:color="auto" w:fill="FFFFFF"/>
        <w:spacing w:before="120" w:after="120"/>
        <w:ind w:left="1701" w:hanging="567"/>
        <w:jc w:val="both"/>
        <w:rPr>
          <w:rFonts w:eastAsia="Times New Roman" w:cs="Times New Roman"/>
          <w:color w:val="auto"/>
          <w:spacing w:val="3"/>
          <w:lang w:eastAsia="en-US"/>
        </w:rPr>
      </w:pPr>
      <w:r w:rsidRPr="00DE12A3">
        <w:rPr>
          <w:rFonts w:eastAsia="Times New Roman" w:cs="Times New Roman"/>
          <w:color w:val="auto"/>
          <w:spacing w:val="3"/>
          <w:lang w:eastAsia="en-US"/>
        </w:rPr>
        <w:t xml:space="preserve">    </w:t>
      </w:r>
      <w:r w:rsidR="00242DA0" w:rsidRPr="00DE12A3">
        <w:rPr>
          <w:rFonts w:eastAsia="Times New Roman" w:cs="Times New Roman"/>
          <w:color w:val="auto"/>
          <w:spacing w:val="3"/>
          <w:lang w:eastAsia="en-US"/>
        </w:rPr>
        <w:t>Sabit bir akış hızından numune alınırken, numune de sabit bir akış hızında gerçekleştirilmelidir</w:t>
      </w:r>
      <w:r w:rsidR="003844BE" w:rsidRPr="00DE12A3">
        <w:rPr>
          <w:rFonts w:eastAsia="Times New Roman" w:cs="Times New Roman"/>
          <w:color w:val="auto"/>
          <w:spacing w:val="3"/>
          <w:lang w:eastAsia="en-US"/>
        </w:rPr>
        <w:t>.</w:t>
      </w:r>
    </w:p>
    <w:p w14:paraId="3930F605" w14:textId="697D5A97" w:rsidR="002D7B36" w:rsidRPr="00DE12A3" w:rsidRDefault="00242DA0" w:rsidP="00E20716">
      <w:pPr>
        <w:numPr>
          <w:ilvl w:val="0"/>
          <w:numId w:val="324"/>
        </w:numPr>
        <w:shd w:val="clear" w:color="auto" w:fill="FFFFFF"/>
        <w:spacing w:before="120" w:after="120"/>
        <w:ind w:left="1701" w:hanging="567"/>
        <w:jc w:val="both"/>
        <w:rPr>
          <w:rFonts w:eastAsia="Times New Roman" w:cs="Times New Roman"/>
          <w:color w:val="auto"/>
          <w:spacing w:val="3"/>
          <w:lang w:eastAsia="en-US"/>
        </w:rPr>
      </w:pPr>
      <w:r w:rsidRPr="00DE12A3">
        <w:rPr>
          <w:rFonts w:eastAsia="Times New Roman" w:cs="Times New Roman"/>
          <w:color w:val="auto"/>
          <w:spacing w:val="3"/>
          <w:lang w:eastAsia="en-US"/>
        </w:rPr>
        <w:t>Değişken bir akış hızından alınırken, numune akış hızı, değişken akış hızıyla orantılı olarak değişmelidir</w:t>
      </w:r>
      <w:r w:rsidR="003844BE" w:rsidRPr="00DE12A3">
        <w:rPr>
          <w:rFonts w:eastAsia="Times New Roman" w:cs="Times New Roman"/>
          <w:color w:val="auto"/>
          <w:spacing w:val="3"/>
          <w:lang w:eastAsia="en-US"/>
        </w:rPr>
        <w:t>.</w:t>
      </w:r>
    </w:p>
    <w:p w14:paraId="265AF39C" w14:textId="77777777" w:rsidR="002D7B36" w:rsidRPr="00DE12A3" w:rsidRDefault="0042305E" w:rsidP="00E20716">
      <w:pPr>
        <w:numPr>
          <w:ilvl w:val="0"/>
          <w:numId w:val="324"/>
        </w:numPr>
        <w:shd w:val="clear" w:color="auto" w:fill="FFFFFF"/>
        <w:spacing w:before="120" w:after="120"/>
        <w:ind w:left="1701" w:hanging="567"/>
        <w:jc w:val="both"/>
        <w:rPr>
          <w:rFonts w:eastAsia="Times New Roman" w:cs="Times New Roman"/>
          <w:color w:val="auto"/>
          <w:spacing w:val="3"/>
          <w:lang w:eastAsia="en-US"/>
        </w:rPr>
      </w:pPr>
      <w:r w:rsidRPr="00DE12A3">
        <w:rPr>
          <w:rFonts w:eastAsia="Times New Roman" w:cs="Times New Roman"/>
          <w:color w:val="auto"/>
          <w:spacing w:val="3"/>
          <w:lang w:eastAsia="en-US"/>
        </w:rPr>
        <w:t xml:space="preserve">     </w:t>
      </w:r>
      <w:r w:rsidR="00242DA0" w:rsidRPr="00DE12A3">
        <w:rPr>
          <w:rFonts w:eastAsia="Times New Roman" w:cs="Times New Roman"/>
          <w:color w:val="auto"/>
          <w:spacing w:val="3"/>
          <w:lang w:eastAsia="en-US"/>
        </w:rPr>
        <w:t>Orantılı örnekleme, 8.2.1 bendinde açıklandığı gibi doğrulanmalıdır.</w:t>
      </w:r>
    </w:p>
    <w:p w14:paraId="0A4080B1" w14:textId="77777777" w:rsidR="002D7B36" w:rsidRPr="00DE12A3" w:rsidRDefault="0042305E" w:rsidP="00E20716">
      <w:pPr>
        <w:numPr>
          <w:ilvl w:val="0"/>
          <w:numId w:val="321"/>
        </w:numPr>
        <w:shd w:val="clear" w:color="auto" w:fill="FFFFFF"/>
        <w:spacing w:before="120" w:after="120"/>
        <w:ind w:left="1134" w:hanging="1134"/>
        <w:jc w:val="both"/>
        <w:rPr>
          <w:rFonts w:eastAsia="Times New Roman" w:cs="Times New Roman"/>
          <w:color w:val="auto"/>
          <w:spacing w:val="3"/>
          <w:lang w:eastAsia="en-US"/>
        </w:rPr>
      </w:pPr>
      <w:r w:rsidRPr="00DE12A3">
        <w:rPr>
          <w:rFonts w:eastAsia="Times New Roman" w:cs="Times New Roman"/>
          <w:color w:val="auto"/>
          <w:spacing w:val="3"/>
          <w:lang w:eastAsia="en-US"/>
        </w:rPr>
        <w:t xml:space="preserve">       </w:t>
      </w:r>
      <w:r w:rsidR="00242DA0" w:rsidRPr="00DE12A3">
        <w:rPr>
          <w:rFonts w:eastAsia="Times New Roman" w:cs="Times New Roman"/>
          <w:color w:val="auto"/>
          <w:spacing w:val="3"/>
          <w:lang w:eastAsia="en-US"/>
        </w:rPr>
        <w:t>Gaz örnekleme</w:t>
      </w:r>
    </w:p>
    <w:p w14:paraId="6795B1AF" w14:textId="77777777" w:rsidR="002D7B36" w:rsidRPr="00DE12A3" w:rsidRDefault="00242DA0" w:rsidP="00E20716">
      <w:pPr>
        <w:numPr>
          <w:ilvl w:val="0"/>
          <w:numId w:val="325"/>
        </w:numPr>
        <w:shd w:val="clear" w:color="auto" w:fill="FFFFFF"/>
        <w:spacing w:before="120" w:after="120"/>
        <w:ind w:left="1134" w:hanging="1134"/>
        <w:jc w:val="both"/>
        <w:rPr>
          <w:rFonts w:eastAsia="Times New Roman" w:cs="Times New Roman"/>
          <w:color w:val="auto"/>
          <w:spacing w:val="3"/>
          <w:lang w:eastAsia="en-US"/>
        </w:rPr>
      </w:pPr>
      <w:r w:rsidRPr="00DE12A3">
        <w:rPr>
          <w:rFonts w:eastAsia="Times New Roman" w:cs="Times New Roman"/>
          <w:color w:val="auto"/>
          <w:spacing w:val="3"/>
          <w:lang w:eastAsia="en-US"/>
        </w:rPr>
        <w:t>Örnekleme sondaları</w:t>
      </w:r>
    </w:p>
    <w:p w14:paraId="74CE66EE" w14:textId="77777777" w:rsidR="002D7B36" w:rsidRPr="00DE12A3" w:rsidRDefault="0042305E" w:rsidP="00C917D6">
      <w:pPr>
        <w:shd w:val="clear" w:color="auto" w:fill="FFFFFF"/>
        <w:spacing w:before="120" w:after="120"/>
        <w:ind w:left="1134" w:hanging="1134"/>
        <w:jc w:val="both"/>
        <w:rPr>
          <w:rFonts w:eastAsia="Times New Roman" w:cs="Times New Roman"/>
          <w:color w:val="auto"/>
          <w:spacing w:val="3"/>
          <w:lang w:eastAsia="en-US"/>
        </w:rPr>
      </w:pPr>
      <w:r w:rsidRPr="00DE12A3">
        <w:rPr>
          <w:rFonts w:eastAsia="Times New Roman" w:cs="Times New Roman"/>
          <w:color w:val="auto"/>
          <w:spacing w:val="3"/>
          <w:lang w:eastAsia="en-US"/>
        </w:rPr>
        <w:t xml:space="preserve">                  </w:t>
      </w:r>
      <w:r w:rsidR="00242DA0" w:rsidRPr="00DE12A3">
        <w:rPr>
          <w:rFonts w:eastAsia="Times New Roman" w:cs="Times New Roman"/>
          <w:color w:val="auto"/>
          <w:spacing w:val="3"/>
          <w:lang w:eastAsia="en-US"/>
        </w:rPr>
        <w:t>Gaz halindeki emisyonları örneklemek için tek-portlu veya çok-portlu sondalar kullanılır. Sondalar, ham veya seyreltik egzoz gazı akışına göre herhangi bir yöne yönlendirilebilir. Bazı sondalar için numune sıcaklıkları aşağıdaki şekilde kontrol edilmelidir:</w:t>
      </w:r>
    </w:p>
    <w:p w14:paraId="2D4FA8EE" w14:textId="0909419A" w:rsidR="002D7B36" w:rsidRPr="00DE12A3" w:rsidRDefault="0042305E" w:rsidP="00E20716">
      <w:pPr>
        <w:numPr>
          <w:ilvl w:val="0"/>
          <w:numId w:val="326"/>
        </w:numPr>
        <w:shd w:val="clear" w:color="auto" w:fill="FFFFFF"/>
        <w:spacing w:before="120" w:after="120"/>
        <w:ind w:left="1701" w:hanging="567"/>
        <w:jc w:val="both"/>
        <w:rPr>
          <w:rFonts w:eastAsia="Times New Roman" w:cs="Times New Roman"/>
          <w:color w:val="auto"/>
          <w:spacing w:val="3"/>
          <w:lang w:eastAsia="en-US"/>
        </w:rPr>
      </w:pPr>
      <w:r w:rsidRPr="00DE12A3">
        <w:rPr>
          <w:rFonts w:eastAsia="Times New Roman" w:cs="Times New Roman"/>
          <w:color w:val="auto"/>
          <w:spacing w:val="3"/>
          <w:lang w:eastAsia="en-US"/>
        </w:rPr>
        <w:lastRenderedPageBreak/>
        <w:t xml:space="preserve">     </w:t>
      </w:r>
      <w:r w:rsidR="00242DA0" w:rsidRPr="00DE12A3">
        <w:rPr>
          <w:rFonts w:eastAsia="Times New Roman" w:cs="Times New Roman"/>
          <w:color w:val="auto"/>
          <w:spacing w:val="3"/>
          <w:lang w:eastAsia="en-US"/>
        </w:rPr>
        <w:t>Seyreltilmiş egzoz gazından NOx çıkartan sondalar için, sulu yoğuşmayı önlemek için sondanın duvar sıcaklığı kontrol edilmelidir</w:t>
      </w:r>
      <w:r w:rsidR="003844BE" w:rsidRPr="00DE12A3">
        <w:rPr>
          <w:rFonts w:eastAsia="Times New Roman" w:cs="Times New Roman"/>
          <w:color w:val="auto"/>
          <w:spacing w:val="3"/>
          <w:lang w:eastAsia="en-US"/>
        </w:rPr>
        <w:t>.</w:t>
      </w:r>
    </w:p>
    <w:p w14:paraId="64107EA9" w14:textId="77777777" w:rsidR="002D7B36" w:rsidRPr="00DE12A3" w:rsidRDefault="00242DA0" w:rsidP="00E20716">
      <w:pPr>
        <w:numPr>
          <w:ilvl w:val="0"/>
          <w:numId w:val="326"/>
        </w:numPr>
        <w:shd w:val="clear" w:color="auto" w:fill="FFFFFF"/>
        <w:spacing w:before="120" w:after="120"/>
        <w:ind w:left="1701" w:hanging="567"/>
        <w:jc w:val="both"/>
        <w:rPr>
          <w:rFonts w:eastAsia="Times New Roman" w:cs="Times New Roman"/>
          <w:color w:val="auto"/>
          <w:spacing w:val="3"/>
          <w:lang w:eastAsia="en-US"/>
        </w:rPr>
      </w:pPr>
      <w:r w:rsidRPr="00DE12A3">
        <w:rPr>
          <w:rFonts w:eastAsia="Times New Roman" w:cs="Times New Roman"/>
          <w:color w:val="auto"/>
          <w:spacing w:val="3"/>
          <w:lang w:eastAsia="en-US"/>
        </w:rPr>
        <w:t>Seyreltilmiş egzoz gazından hidrokarbonları çıkartan sondalarda, kirlenmeyi en aza indirmek için sonda duvar sıcaklığının yaklaşık 191 °C olarak kontrol edilmesi önerilir.</w:t>
      </w:r>
    </w:p>
    <w:p w14:paraId="67D80F2E" w14:textId="77777777" w:rsidR="002D7B36" w:rsidRPr="00DE12A3" w:rsidRDefault="00242DA0" w:rsidP="00E20716">
      <w:pPr>
        <w:numPr>
          <w:ilvl w:val="0"/>
          <w:numId w:val="327"/>
        </w:numPr>
        <w:shd w:val="clear" w:color="auto" w:fill="FFFFFF"/>
        <w:spacing w:before="120" w:after="120"/>
        <w:ind w:left="1134" w:hanging="1134"/>
        <w:jc w:val="both"/>
        <w:rPr>
          <w:rFonts w:eastAsia="Times New Roman" w:cs="Times New Roman"/>
          <w:color w:val="auto"/>
          <w:spacing w:val="3"/>
          <w:lang w:eastAsia="en-US"/>
        </w:rPr>
      </w:pPr>
      <w:r w:rsidRPr="00DE12A3">
        <w:rPr>
          <w:rFonts w:eastAsia="Times New Roman" w:cs="Times New Roman"/>
          <w:color w:val="auto"/>
          <w:spacing w:val="3"/>
          <w:lang w:eastAsia="en-US"/>
        </w:rPr>
        <w:t>Karışma haznesi (NRSh kategorisi)</w:t>
      </w:r>
    </w:p>
    <w:p w14:paraId="66CB463A" w14:textId="77777777" w:rsidR="002D7B36" w:rsidRPr="00DE12A3" w:rsidRDefault="0042305E" w:rsidP="00C917D6">
      <w:pPr>
        <w:shd w:val="clear" w:color="auto" w:fill="FFFFFF"/>
        <w:tabs>
          <w:tab w:val="left" w:pos="1185"/>
        </w:tabs>
        <w:spacing w:before="120" w:after="120"/>
        <w:ind w:left="1134" w:hanging="1134"/>
        <w:jc w:val="both"/>
        <w:rPr>
          <w:rFonts w:eastAsia="Times New Roman" w:cs="Times New Roman"/>
          <w:color w:val="auto"/>
          <w:spacing w:val="3"/>
          <w:lang w:eastAsia="en-US"/>
        </w:rPr>
      </w:pPr>
      <w:r w:rsidRPr="00DE12A3">
        <w:rPr>
          <w:rFonts w:eastAsia="Times New Roman" w:cs="Times New Roman"/>
          <w:color w:val="auto"/>
          <w:spacing w:val="3"/>
          <w:lang w:eastAsia="en-US"/>
        </w:rPr>
        <w:t xml:space="preserve">                  </w:t>
      </w:r>
      <w:r w:rsidR="00242DA0" w:rsidRPr="00DE12A3">
        <w:rPr>
          <w:rFonts w:eastAsia="Times New Roman" w:cs="Times New Roman"/>
          <w:color w:val="auto"/>
          <w:spacing w:val="3"/>
          <w:lang w:eastAsia="en-US"/>
        </w:rPr>
        <w:t>9.3.1.1.1 bendi uyarınca kullanıldığında, karışma haznesinin iç hacmi, test edilen motorun bağımsız silindir süpürme hacminin on katından az olmamalıdır. Karışma haznesi, motor susturucusuna mümkün olduğu kadar yakın bağlanmalı ve asgari iç yüzey sıcaklığı 452 K (179 °C) olmalıdır. Karışma haznesinin tasarımını imalatçı belirleyebilir.</w:t>
      </w:r>
    </w:p>
    <w:p w14:paraId="1F521C34" w14:textId="77777777" w:rsidR="002D7B36" w:rsidRPr="00DE12A3" w:rsidRDefault="00242DA0" w:rsidP="00E20716">
      <w:pPr>
        <w:numPr>
          <w:ilvl w:val="0"/>
          <w:numId w:val="325"/>
        </w:numPr>
        <w:shd w:val="clear" w:color="auto" w:fill="FFFFFF"/>
        <w:spacing w:before="120" w:after="120"/>
        <w:ind w:left="1134" w:hanging="1134"/>
        <w:jc w:val="both"/>
        <w:rPr>
          <w:rFonts w:eastAsia="Times New Roman" w:cs="Times New Roman"/>
          <w:color w:val="auto"/>
          <w:spacing w:val="3"/>
          <w:lang w:eastAsia="en-US"/>
        </w:rPr>
      </w:pPr>
      <w:r w:rsidRPr="00DE12A3">
        <w:rPr>
          <w:rFonts w:eastAsia="Times New Roman" w:cs="Times New Roman"/>
          <w:color w:val="auto"/>
          <w:spacing w:val="3"/>
          <w:lang w:eastAsia="en-US"/>
        </w:rPr>
        <w:t>Aktarım hatları</w:t>
      </w:r>
    </w:p>
    <w:p w14:paraId="2C10B768" w14:textId="77777777" w:rsidR="002D7B36" w:rsidRPr="00DE12A3" w:rsidRDefault="0042305E" w:rsidP="00C917D6">
      <w:pPr>
        <w:shd w:val="clear" w:color="auto" w:fill="FFFFFF"/>
        <w:spacing w:before="120" w:after="120"/>
        <w:ind w:left="1134" w:hanging="1134"/>
        <w:jc w:val="both"/>
        <w:rPr>
          <w:rFonts w:eastAsia="Times New Roman" w:cs="Times New Roman"/>
          <w:color w:val="auto"/>
          <w:spacing w:val="3"/>
          <w:lang w:eastAsia="en-US"/>
        </w:rPr>
      </w:pPr>
      <w:r w:rsidRPr="00DE12A3">
        <w:rPr>
          <w:rFonts w:eastAsia="Times New Roman" w:cs="Times New Roman"/>
          <w:color w:val="auto"/>
          <w:spacing w:val="3"/>
          <w:lang w:eastAsia="en-US"/>
        </w:rPr>
        <w:t xml:space="preserve">                  </w:t>
      </w:r>
      <w:r w:rsidR="00242DA0" w:rsidRPr="00DE12A3">
        <w:rPr>
          <w:rFonts w:eastAsia="Times New Roman" w:cs="Times New Roman"/>
          <w:color w:val="auto"/>
          <w:spacing w:val="3"/>
          <w:lang w:eastAsia="en-US"/>
        </w:rPr>
        <w:t>Emisyon örneklemesi için paslanmaz çelik, PTFE, Viton</w:t>
      </w:r>
      <w:r w:rsidR="00242DA0" w:rsidRPr="00DE12A3">
        <w:rPr>
          <w:rFonts w:eastAsia="Times New Roman" w:cs="Times New Roman"/>
          <w:color w:val="auto"/>
          <w:spacing w:val="3"/>
          <w:vertAlign w:val="superscript"/>
          <w:lang w:eastAsia="en-US"/>
        </w:rPr>
        <w:t>TM</w:t>
      </w:r>
      <w:r w:rsidR="00242DA0" w:rsidRPr="00DE12A3">
        <w:rPr>
          <w:rFonts w:eastAsia="Times New Roman" w:cs="Times New Roman"/>
          <w:color w:val="auto"/>
          <w:spacing w:val="3"/>
          <w:lang w:eastAsia="en-US"/>
        </w:rPr>
        <w:t xml:space="preserve"> veya daha iyi özelliklere sahip başka bir malzemeden iç yüzeylere sahip aktarım hatları kullanılmalıdır. Egzoz gazı sıcaklıklarına dayanıklı, tepkimeye girmeyen bir malzeme kullanılmalıdır. Filtre ve mahfazası, aktarım hatları ile aynı sıcaklık </w:t>
      </w:r>
      <w:r w:rsidR="0053289F" w:rsidRPr="00DE12A3">
        <w:rPr>
          <w:rFonts w:eastAsia="Times New Roman" w:cs="Times New Roman"/>
          <w:color w:val="auto"/>
          <w:spacing w:val="3"/>
          <w:lang w:eastAsia="en-US"/>
        </w:rPr>
        <w:t>gerekliliklerini</w:t>
      </w:r>
      <w:r w:rsidR="00242DA0" w:rsidRPr="00DE12A3">
        <w:rPr>
          <w:rFonts w:eastAsia="Times New Roman" w:cs="Times New Roman"/>
          <w:color w:val="auto"/>
          <w:spacing w:val="3"/>
          <w:lang w:eastAsia="en-US"/>
        </w:rPr>
        <w:t xml:space="preserve"> sağlıyorsa, aşağıdaki şekilde sıralı filtreler kullanılabilir:</w:t>
      </w:r>
    </w:p>
    <w:p w14:paraId="1858D352" w14:textId="77777777" w:rsidR="002D7B36" w:rsidRPr="00DE12A3" w:rsidRDefault="0042305E" w:rsidP="00E20716">
      <w:pPr>
        <w:numPr>
          <w:ilvl w:val="0"/>
          <w:numId w:val="328"/>
        </w:numPr>
        <w:shd w:val="clear" w:color="auto" w:fill="FFFFFF"/>
        <w:spacing w:before="120" w:after="120"/>
        <w:ind w:left="1701" w:hanging="567"/>
        <w:jc w:val="both"/>
        <w:rPr>
          <w:rFonts w:eastAsia="Times New Roman" w:cs="Times New Roman"/>
          <w:color w:val="auto"/>
          <w:spacing w:val="3"/>
          <w:lang w:eastAsia="en-US"/>
        </w:rPr>
      </w:pPr>
      <w:r w:rsidRPr="00DE12A3">
        <w:rPr>
          <w:rFonts w:eastAsia="Times New Roman" w:cs="Times New Roman"/>
          <w:color w:val="auto"/>
          <w:spacing w:val="3"/>
          <w:lang w:eastAsia="en-US"/>
        </w:rPr>
        <w:t xml:space="preserve">     </w:t>
      </w:r>
      <w:r w:rsidR="00242DA0" w:rsidRPr="00DE12A3">
        <w:rPr>
          <w:rFonts w:eastAsia="Times New Roman" w:cs="Times New Roman"/>
          <w:color w:val="auto"/>
          <w:spacing w:val="3"/>
          <w:lang w:eastAsia="en-US"/>
        </w:rPr>
        <w:t xml:space="preserve">8.1.11.5 bendinde belirtilen </w:t>
      </w:r>
      <w:r w:rsidR="0053289F" w:rsidRPr="00DE12A3">
        <w:rPr>
          <w:rFonts w:eastAsia="Times New Roman" w:cs="Times New Roman"/>
          <w:color w:val="auto"/>
          <w:spacing w:val="3"/>
          <w:lang w:eastAsia="en-US"/>
        </w:rPr>
        <w:t>gereklilikleri</w:t>
      </w:r>
      <w:r w:rsidR="00242DA0" w:rsidRPr="00DE12A3">
        <w:rPr>
          <w:rFonts w:eastAsia="Times New Roman" w:cs="Times New Roman"/>
          <w:color w:val="auto"/>
          <w:spacing w:val="3"/>
          <w:lang w:eastAsia="en-US"/>
        </w:rPr>
        <w:t xml:space="preserve"> sağlayan bir NO</w:t>
      </w:r>
      <w:r w:rsidR="003B5C00" w:rsidRPr="00DE12A3">
        <w:rPr>
          <w:rFonts w:eastAsia="Times New Roman" w:cs="Times New Roman"/>
          <w:color w:val="auto"/>
          <w:spacing w:val="3"/>
          <w:vertAlign w:val="subscript"/>
          <w:lang w:eastAsia="en-US"/>
        </w:rPr>
        <w:t>2</w:t>
      </w:r>
      <w:r w:rsidR="003B5C00" w:rsidRPr="00DE12A3">
        <w:rPr>
          <w:rFonts w:eastAsia="Times New Roman" w:cs="Times New Roman"/>
          <w:color w:val="auto"/>
          <w:spacing w:val="3"/>
          <w:lang w:eastAsia="en-US"/>
        </w:rPr>
        <w:t>-</w:t>
      </w:r>
      <w:r w:rsidR="00242DA0" w:rsidRPr="00DE12A3">
        <w:rPr>
          <w:rFonts w:eastAsia="Times New Roman" w:cs="Times New Roman"/>
          <w:color w:val="auto"/>
          <w:spacing w:val="3"/>
          <w:lang w:eastAsia="en-US"/>
        </w:rPr>
        <w:t xml:space="preserve"> NO konvertörünün veya 8.1.11.4 bendinde belirtilen </w:t>
      </w:r>
      <w:r w:rsidR="0053289F" w:rsidRPr="00DE12A3">
        <w:rPr>
          <w:rFonts w:eastAsia="Times New Roman" w:cs="Times New Roman"/>
          <w:color w:val="auto"/>
          <w:spacing w:val="3"/>
          <w:lang w:eastAsia="en-US"/>
        </w:rPr>
        <w:t>gereklilikleri</w:t>
      </w:r>
      <w:r w:rsidR="00242DA0" w:rsidRPr="00DE12A3">
        <w:rPr>
          <w:rFonts w:eastAsia="Times New Roman" w:cs="Times New Roman"/>
          <w:color w:val="auto"/>
          <w:spacing w:val="3"/>
          <w:lang w:eastAsia="en-US"/>
        </w:rPr>
        <w:t xml:space="preserve"> sağlayan bir soğutucunun giriş tarafındaki NOx-aktarım hatları için, sulu yoğuşmayı önleyen bir numune sıcaklığı muhafaza edilmelidir.</w:t>
      </w:r>
    </w:p>
    <w:p w14:paraId="22AFAFA8" w14:textId="43267641" w:rsidR="002D7B36" w:rsidRPr="00DE12A3" w:rsidRDefault="00242DA0" w:rsidP="00E20716">
      <w:pPr>
        <w:numPr>
          <w:ilvl w:val="0"/>
          <w:numId w:val="328"/>
        </w:numPr>
        <w:shd w:val="clear" w:color="auto" w:fill="FFFFFF"/>
        <w:spacing w:before="120" w:after="120"/>
        <w:ind w:left="1701" w:hanging="567"/>
        <w:jc w:val="both"/>
        <w:rPr>
          <w:rFonts w:eastAsia="Times New Roman" w:cs="Times New Roman"/>
          <w:color w:val="auto"/>
          <w:spacing w:val="3"/>
          <w:lang w:eastAsia="en-US"/>
        </w:rPr>
      </w:pPr>
      <w:r w:rsidRPr="00DE12A3">
        <w:rPr>
          <w:rFonts w:eastAsia="Times New Roman" w:cs="Times New Roman"/>
          <w:color w:val="auto"/>
          <w:spacing w:val="3"/>
          <w:lang w:eastAsia="en-US"/>
        </w:rPr>
        <w:t>THC aktarım hatları için, hattın tamamı boyunca (464 ± 11) K [(191 ± 11) °C]'lik bir duvar sıcaklık toleransı muhafaza edilmelidir. Ham egzoz gazından örneklendiyse</w:t>
      </w:r>
      <w:r w:rsidR="003844BE" w:rsidRPr="00DE12A3">
        <w:rPr>
          <w:rFonts w:eastAsia="Times New Roman" w:cs="Times New Roman"/>
          <w:color w:val="auto"/>
          <w:spacing w:val="3"/>
          <w:lang w:eastAsia="en-US"/>
        </w:rPr>
        <w:t>;</w:t>
      </w:r>
      <w:r w:rsidRPr="00DE12A3">
        <w:rPr>
          <w:rFonts w:eastAsia="Times New Roman" w:cs="Times New Roman"/>
          <w:color w:val="auto"/>
          <w:spacing w:val="3"/>
          <w:lang w:eastAsia="en-US"/>
        </w:rPr>
        <w:t xml:space="preserve"> ısıtmasız, yalıtımlı bir aktarım hattı doğrudan bir sondaya bağlanabilir. Aktarım hattının uzunluğu ve yalıtımı, aktarım hattının çıkışında ölçülen, beklenen en yüksek ham egzoz gazı sıcaklığını, en düşük 191 °C'ye soğutacak şekilde tasarlanmalıdır</w:t>
      </w:r>
      <w:r w:rsidR="0042305E" w:rsidRPr="00DE12A3">
        <w:rPr>
          <w:rFonts w:eastAsia="Times New Roman" w:cs="Times New Roman"/>
          <w:color w:val="auto"/>
          <w:spacing w:val="3"/>
          <w:lang w:eastAsia="en-US"/>
        </w:rPr>
        <w:t xml:space="preserve">. </w:t>
      </w:r>
      <w:r w:rsidRPr="00DE12A3">
        <w:rPr>
          <w:rFonts w:eastAsia="Times New Roman" w:cs="Times New Roman"/>
          <w:color w:val="auto"/>
          <w:spacing w:val="3"/>
          <w:lang w:eastAsia="en-US"/>
        </w:rPr>
        <w:t>Seyreltilmiş örnekleme için, duvar sıcaklığının (464 ± 11) K [(191 ± 11) °C]'ye geçişi için, sonda ile aktarım hattı arasında 0,92 m uzunluğa kadar bir dönüşüm bölgesine izin verilir.</w:t>
      </w:r>
    </w:p>
    <w:p w14:paraId="48F282B8" w14:textId="77777777" w:rsidR="002D7B36" w:rsidRPr="00DE12A3" w:rsidRDefault="00242DA0" w:rsidP="00E20716">
      <w:pPr>
        <w:numPr>
          <w:ilvl w:val="0"/>
          <w:numId w:val="325"/>
        </w:numPr>
        <w:spacing w:before="120" w:after="120"/>
        <w:ind w:left="1134" w:hanging="1134"/>
        <w:jc w:val="both"/>
        <w:rPr>
          <w:rFonts w:eastAsia="Times New Roman" w:cs="Times New Roman"/>
          <w:color w:val="auto"/>
          <w:spacing w:val="3"/>
          <w:lang w:eastAsia="en-US"/>
        </w:rPr>
      </w:pPr>
      <w:r w:rsidRPr="00DE12A3">
        <w:rPr>
          <w:rFonts w:eastAsia="Times New Roman" w:cs="Times New Roman"/>
          <w:color w:val="auto"/>
          <w:spacing w:val="3"/>
          <w:lang w:eastAsia="en-US"/>
        </w:rPr>
        <w:t>Numune koşullandırma bileşenleri</w:t>
      </w:r>
    </w:p>
    <w:p w14:paraId="1A8D99A6" w14:textId="77777777" w:rsidR="002D7B36" w:rsidRPr="00DE12A3" w:rsidRDefault="00242DA0" w:rsidP="00E20716">
      <w:pPr>
        <w:numPr>
          <w:ilvl w:val="0"/>
          <w:numId w:val="329"/>
        </w:numPr>
        <w:spacing w:before="120" w:after="120"/>
        <w:ind w:left="1134" w:hanging="1134"/>
        <w:jc w:val="both"/>
        <w:rPr>
          <w:rFonts w:eastAsia="Times New Roman" w:cs="Times New Roman"/>
          <w:color w:val="auto"/>
          <w:spacing w:val="3"/>
          <w:lang w:eastAsia="en-US"/>
        </w:rPr>
      </w:pPr>
      <w:r w:rsidRPr="00DE12A3">
        <w:rPr>
          <w:rFonts w:eastAsia="Times New Roman" w:cs="Times New Roman"/>
          <w:color w:val="auto"/>
          <w:spacing w:val="3"/>
          <w:lang w:eastAsia="en-US"/>
        </w:rPr>
        <w:t>Numune kurutucular</w:t>
      </w:r>
    </w:p>
    <w:p w14:paraId="454C2FC0" w14:textId="77777777" w:rsidR="002D7B36" w:rsidRPr="00DE12A3" w:rsidRDefault="00242DA0" w:rsidP="00E20716">
      <w:pPr>
        <w:numPr>
          <w:ilvl w:val="0"/>
          <w:numId w:val="330"/>
        </w:numPr>
        <w:tabs>
          <w:tab w:val="left" w:pos="892"/>
        </w:tabs>
        <w:spacing w:before="120" w:after="120"/>
        <w:ind w:left="1134" w:hanging="1134"/>
        <w:jc w:val="both"/>
        <w:rPr>
          <w:rFonts w:eastAsia="Times New Roman" w:cs="Times New Roman"/>
          <w:color w:val="auto"/>
          <w:spacing w:val="3"/>
          <w:lang w:eastAsia="en-US"/>
        </w:rPr>
      </w:pPr>
      <w:r w:rsidRPr="00DE12A3">
        <w:rPr>
          <w:rFonts w:eastAsia="Times New Roman" w:cs="Times New Roman"/>
          <w:color w:val="auto"/>
          <w:spacing w:val="3"/>
          <w:lang w:eastAsia="en-US"/>
        </w:rPr>
        <w:t>Şartlar</w:t>
      </w:r>
    </w:p>
    <w:p w14:paraId="16D0A64E" w14:textId="35937621" w:rsidR="002D7B36" w:rsidRPr="00DE12A3" w:rsidRDefault="0042305E" w:rsidP="00C917D6">
      <w:pPr>
        <w:spacing w:before="120" w:after="120"/>
        <w:ind w:left="1134" w:hanging="1134"/>
        <w:jc w:val="both"/>
        <w:rPr>
          <w:rFonts w:eastAsia="Times New Roman" w:cs="Times New Roman"/>
          <w:color w:val="auto"/>
          <w:spacing w:val="3"/>
          <w:lang w:eastAsia="en-US"/>
        </w:rPr>
      </w:pPr>
      <w:r w:rsidRPr="00DE12A3">
        <w:rPr>
          <w:rFonts w:eastAsia="Times New Roman" w:cs="Times New Roman"/>
          <w:color w:val="auto"/>
          <w:spacing w:val="3"/>
          <w:lang w:eastAsia="en-US"/>
        </w:rPr>
        <w:t xml:space="preserve">                  </w:t>
      </w:r>
      <w:r w:rsidR="00242DA0" w:rsidRPr="00DE12A3">
        <w:rPr>
          <w:rFonts w:eastAsia="Times New Roman" w:cs="Times New Roman"/>
          <w:color w:val="auto"/>
          <w:spacing w:val="3"/>
          <w:lang w:eastAsia="en-US"/>
        </w:rPr>
        <w:t xml:space="preserve">Suyun, gaz halindeki emisyon ölçümü üzerindeki etkisini azaltmak üzere numuneden nem gidermek için numune kurutucular kullanılabilir. Numune kurutucular, 9.3.2.3.1.1 ve 9.3.2.3.1.2 bentlerinde belirtilen </w:t>
      </w:r>
      <w:r w:rsidR="0053289F" w:rsidRPr="00DE12A3">
        <w:rPr>
          <w:rFonts w:eastAsia="Times New Roman" w:cs="Times New Roman"/>
          <w:color w:val="auto"/>
          <w:spacing w:val="3"/>
          <w:lang w:eastAsia="en-US"/>
        </w:rPr>
        <w:t>gereklilikleri</w:t>
      </w:r>
      <w:r w:rsidR="00242DA0" w:rsidRPr="00DE12A3">
        <w:rPr>
          <w:rFonts w:eastAsia="Times New Roman" w:cs="Times New Roman"/>
          <w:color w:val="auto"/>
          <w:spacing w:val="3"/>
          <w:lang w:eastAsia="en-US"/>
        </w:rPr>
        <w:t xml:space="preserve"> sağlamalıdır. Hacimce </w:t>
      </w:r>
      <w:r w:rsidR="006F30D6" w:rsidRPr="00DE12A3">
        <w:rPr>
          <w:rFonts w:eastAsia="Times New Roman" w:cs="Times New Roman"/>
          <w:color w:val="auto"/>
          <w:spacing w:val="3"/>
          <w:lang w:eastAsia="en-US"/>
        </w:rPr>
        <w:t>%0,8</w:t>
      </w:r>
      <w:r w:rsidR="00242DA0" w:rsidRPr="00DE12A3">
        <w:rPr>
          <w:rFonts w:eastAsia="Times New Roman" w:cs="Times New Roman"/>
          <w:color w:val="auto"/>
          <w:spacing w:val="3"/>
          <w:lang w:eastAsia="en-US"/>
        </w:rPr>
        <w:t xml:space="preserve"> nem içeriği (7-13) </w:t>
      </w:r>
      <w:r w:rsidR="005E1C7E" w:rsidRPr="00DE12A3">
        <w:rPr>
          <w:color w:val="auto"/>
        </w:rPr>
        <w:t>numaralı</w:t>
      </w:r>
      <w:r w:rsidR="005E1C7E" w:rsidRPr="00DE12A3" w:rsidDel="005E1C7E">
        <w:rPr>
          <w:rFonts w:eastAsia="Times New Roman" w:cs="Times New Roman"/>
          <w:color w:val="auto"/>
          <w:spacing w:val="3"/>
          <w:lang w:eastAsia="en-US"/>
        </w:rPr>
        <w:t xml:space="preserve"> </w:t>
      </w:r>
      <w:r w:rsidR="00242DA0" w:rsidRPr="00DE12A3">
        <w:rPr>
          <w:rFonts w:eastAsia="Times New Roman" w:cs="Times New Roman"/>
          <w:color w:val="auto"/>
          <w:spacing w:val="3"/>
          <w:lang w:eastAsia="en-US"/>
        </w:rPr>
        <w:t>denklemde kullanılır.</w:t>
      </w:r>
    </w:p>
    <w:p w14:paraId="5D88B1BC" w14:textId="77777777" w:rsidR="002D7B36" w:rsidRPr="00DE12A3" w:rsidRDefault="0042305E" w:rsidP="00C917D6">
      <w:pPr>
        <w:tabs>
          <w:tab w:val="left" w:pos="1439"/>
        </w:tabs>
        <w:spacing w:before="120" w:after="120"/>
        <w:ind w:left="1134" w:hanging="1134"/>
        <w:jc w:val="both"/>
        <w:rPr>
          <w:rFonts w:eastAsia="Times New Roman" w:cs="Times New Roman"/>
          <w:color w:val="auto"/>
          <w:spacing w:val="3"/>
          <w:lang w:eastAsia="en-US"/>
        </w:rPr>
      </w:pPr>
      <w:r w:rsidRPr="00DE12A3">
        <w:rPr>
          <w:rFonts w:eastAsia="Times New Roman" w:cs="Times New Roman"/>
          <w:color w:val="auto"/>
          <w:spacing w:val="3"/>
          <w:lang w:eastAsia="en-US"/>
        </w:rPr>
        <w:t xml:space="preserve">                  </w:t>
      </w:r>
      <w:r w:rsidR="00242DA0" w:rsidRPr="00DE12A3">
        <w:rPr>
          <w:rFonts w:eastAsia="Times New Roman" w:cs="Times New Roman"/>
          <w:color w:val="auto"/>
          <w:spacing w:val="3"/>
          <w:lang w:eastAsia="en-US"/>
        </w:rPr>
        <w:t xml:space="preserve">Beklenen en yüksek su buharı konsantrasyonu Hm için, su giderme tekniği nemi </w:t>
      </w:r>
      <w:r w:rsidR="006F30D6" w:rsidRPr="00DE12A3">
        <w:rPr>
          <w:rFonts w:eastAsia="Times New Roman" w:cs="Times New Roman"/>
          <w:color w:val="auto"/>
          <w:spacing w:val="3"/>
          <w:lang w:eastAsia="en-US"/>
        </w:rPr>
        <w:t>&lt;5</w:t>
      </w:r>
      <w:r w:rsidR="00242DA0" w:rsidRPr="00DE12A3">
        <w:rPr>
          <w:rFonts w:eastAsia="Times New Roman" w:cs="Times New Roman"/>
          <w:color w:val="auto"/>
          <w:spacing w:val="3"/>
          <w:lang w:eastAsia="en-US"/>
        </w:rPr>
        <w:t xml:space="preserve"> g su/kg kuru hava (veya yaklaşık hacimce </w:t>
      </w:r>
      <w:r w:rsidR="006F30D6" w:rsidRPr="00DE12A3">
        <w:rPr>
          <w:rFonts w:eastAsia="Times New Roman" w:cs="Times New Roman"/>
          <w:color w:val="auto"/>
          <w:spacing w:val="3"/>
          <w:lang w:eastAsia="en-US"/>
        </w:rPr>
        <w:t>%0,8</w:t>
      </w:r>
      <w:r w:rsidR="00242DA0" w:rsidRPr="00DE12A3">
        <w:rPr>
          <w:rFonts w:eastAsia="Times New Roman" w:cs="Times New Roman"/>
          <w:color w:val="auto"/>
          <w:spacing w:val="3"/>
          <w:lang w:eastAsia="en-US"/>
        </w:rPr>
        <w:t xml:space="preserve"> H20), yani 277,1 K (3,9 °C) ve 101,3 kPa koşullarında </w:t>
      </w:r>
      <w:r w:rsidR="006F30D6" w:rsidRPr="00DE12A3">
        <w:rPr>
          <w:rFonts w:eastAsia="Times New Roman" w:cs="Times New Roman"/>
          <w:color w:val="auto"/>
          <w:spacing w:val="3"/>
          <w:lang w:eastAsia="en-US"/>
        </w:rPr>
        <w:t>%100</w:t>
      </w:r>
      <w:r w:rsidR="00242DA0" w:rsidRPr="00DE12A3">
        <w:rPr>
          <w:rFonts w:eastAsia="Times New Roman" w:cs="Times New Roman"/>
          <w:color w:val="auto"/>
          <w:spacing w:val="3"/>
          <w:lang w:eastAsia="en-US"/>
        </w:rPr>
        <w:t xml:space="preserve"> bağıl nemde tutmalıdır. Bu nem şartı, 298 K (25 °C) ve 101,3 kPa koşullarında yaklaşık </w:t>
      </w:r>
      <w:r w:rsidR="003B5C00" w:rsidRPr="00DE12A3">
        <w:rPr>
          <w:rFonts w:eastAsia="Times New Roman" w:cs="Times New Roman"/>
          <w:color w:val="auto"/>
          <w:spacing w:val="3"/>
          <w:lang w:eastAsia="en-US"/>
        </w:rPr>
        <w:t>%25</w:t>
      </w:r>
      <w:r w:rsidR="00242DA0" w:rsidRPr="00DE12A3">
        <w:rPr>
          <w:rFonts w:eastAsia="Times New Roman" w:cs="Times New Roman"/>
          <w:color w:val="auto"/>
          <w:spacing w:val="3"/>
          <w:lang w:eastAsia="en-US"/>
        </w:rPr>
        <w:t xml:space="preserve"> bağıl neme denk gelir. Bu, aşağıdaki yöntemlerden biri ile ispatlanabilir:</w:t>
      </w:r>
    </w:p>
    <w:p w14:paraId="60176A5D" w14:textId="36F00379" w:rsidR="002D7B36" w:rsidRPr="00DE12A3" w:rsidRDefault="00EC6140" w:rsidP="00E20716">
      <w:pPr>
        <w:numPr>
          <w:ilvl w:val="0"/>
          <w:numId w:val="331"/>
        </w:numPr>
        <w:spacing w:before="120" w:after="120"/>
        <w:ind w:left="1701" w:hanging="567"/>
        <w:jc w:val="both"/>
        <w:rPr>
          <w:rFonts w:eastAsia="Times New Roman" w:cs="Times New Roman"/>
          <w:color w:val="auto"/>
          <w:spacing w:val="3"/>
          <w:lang w:eastAsia="en-US"/>
        </w:rPr>
      </w:pPr>
      <w:r w:rsidRPr="00DE12A3">
        <w:rPr>
          <w:rFonts w:eastAsia="Times New Roman" w:cs="Times New Roman"/>
          <w:color w:val="auto"/>
          <w:spacing w:val="3"/>
          <w:lang w:eastAsia="en-US"/>
        </w:rPr>
        <w:t>Numune</w:t>
      </w:r>
      <w:r w:rsidR="00242DA0" w:rsidRPr="00DE12A3">
        <w:rPr>
          <w:rFonts w:eastAsia="Times New Roman" w:cs="Times New Roman"/>
          <w:color w:val="auto"/>
          <w:spacing w:val="3"/>
          <w:lang w:eastAsia="en-US"/>
        </w:rPr>
        <w:t xml:space="preserve"> kurutucunun çıkışındaki sıcaklığın ölçülmesi veya</w:t>
      </w:r>
      <w:r w:rsidR="003844BE" w:rsidRPr="00DE12A3">
        <w:rPr>
          <w:rFonts w:eastAsia="Times New Roman" w:cs="Times New Roman"/>
          <w:color w:val="auto"/>
          <w:spacing w:val="3"/>
          <w:lang w:eastAsia="en-US"/>
        </w:rPr>
        <w:t>,</w:t>
      </w:r>
    </w:p>
    <w:p w14:paraId="7D584F4B" w14:textId="30C1FF51" w:rsidR="002D7B36" w:rsidRPr="00DE12A3" w:rsidRDefault="00242DA0" w:rsidP="00E20716">
      <w:pPr>
        <w:numPr>
          <w:ilvl w:val="0"/>
          <w:numId w:val="331"/>
        </w:numPr>
        <w:spacing w:before="120" w:after="120"/>
        <w:ind w:left="1701" w:hanging="567"/>
        <w:jc w:val="both"/>
        <w:rPr>
          <w:rFonts w:eastAsia="Times New Roman" w:cs="Times New Roman"/>
          <w:color w:val="auto"/>
          <w:spacing w:val="3"/>
          <w:lang w:eastAsia="en-US"/>
        </w:rPr>
      </w:pPr>
      <w:r w:rsidRPr="00DE12A3">
        <w:rPr>
          <w:rFonts w:eastAsia="Times New Roman" w:cs="Times New Roman"/>
          <w:color w:val="auto"/>
          <w:spacing w:val="3"/>
          <w:lang w:eastAsia="en-US"/>
        </w:rPr>
        <w:t>CLD'nin hemen girişinde bir noktadaki nemin ölçülmesi veya</w:t>
      </w:r>
      <w:r w:rsidR="003844BE" w:rsidRPr="00DE12A3">
        <w:rPr>
          <w:rFonts w:eastAsia="Times New Roman" w:cs="Times New Roman"/>
          <w:color w:val="auto"/>
          <w:spacing w:val="3"/>
          <w:lang w:eastAsia="en-US"/>
        </w:rPr>
        <w:t>,</w:t>
      </w:r>
    </w:p>
    <w:p w14:paraId="3FE6E476" w14:textId="752793A5" w:rsidR="002D7B36" w:rsidRPr="00DE12A3" w:rsidRDefault="00242DA0" w:rsidP="00E20716">
      <w:pPr>
        <w:numPr>
          <w:ilvl w:val="0"/>
          <w:numId w:val="331"/>
        </w:numPr>
        <w:spacing w:before="120" w:after="120"/>
        <w:ind w:left="1701" w:hanging="567"/>
        <w:jc w:val="both"/>
        <w:rPr>
          <w:rFonts w:eastAsia="Times New Roman" w:cs="Times New Roman"/>
          <w:color w:val="auto"/>
          <w:spacing w:val="3"/>
          <w:lang w:eastAsia="en-US"/>
        </w:rPr>
      </w:pPr>
      <w:r w:rsidRPr="00DE12A3">
        <w:rPr>
          <w:rFonts w:eastAsia="Times New Roman" w:cs="Times New Roman"/>
          <w:color w:val="auto"/>
          <w:spacing w:val="3"/>
          <w:lang w:eastAsia="en-US"/>
        </w:rPr>
        <w:t>8.1.12 bendindeki doğrulama prosedürünün gerçekleştirilmesi</w:t>
      </w:r>
      <w:r w:rsidR="003844BE" w:rsidRPr="00DE12A3">
        <w:rPr>
          <w:rFonts w:eastAsia="Times New Roman" w:cs="Times New Roman"/>
          <w:color w:val="auto"/>
          <w:spacing w:val="3"/>
          <w:lang w:eastAsia="en-US"/>
        </w:rPr>
        <w:t>.</w:t>
      </w:r>
    </w:p>
    <w:p w14:paraId="17D75238" w14:textId="77777777" w:rsidR="002D7B36" w:rsidRPr="00DE12A3" w:rsidRDefault="00242DA0" w:rsidP="00E20716">
      <w:pPr>
        <w:numPr>
          <w:ilvl w:val="0"/>
          <w:numId w:val="330"/>
        </w:numPr>
        <w:tabs>
          <w:tab w:val="left" w:pos="892"/>
        </w:tabs>
        <w:spacing w:before="120" w:after="120"/>
        <w:ind w:left="1134" w:hanging="1134"/>
        <w:jc w:val="both"/>
        <w:rPr>
          <w:rFonts w:eastAsia="Times New Roman" w:cs="Times New Roman"/>
          <w:color w:val="auto"/>
          <w:spacing w:val="3"/>
          <w:lang w:eastAsia="en-US"/>
        </w:rPr>
      </w:pPr>
      <w:r w:rsidRPr="00DE12A3">
        <w:rPr>
          <w:rFonts w:eastAsia="Times New Roman" w:cs="Times New Roman"/>
          <w:color w:val="auto"/>
          <w:spacing w:val="3"/>
          <w:lang w:eastAsia="en-US"/>
        </w:rPr>
        <w:lastRenderedPageBreak/>
        <w:t>İzin verilen numune kurutucu tipleri ve kurutucu sonrasındaki nem içeriğini tahmin etme prosedürü</w:t>
      </w:r>
    </w:p>
    <w:p w14:paraId="3A79EF88" w14:textId="77777777" w:rsidR="002D7B36" w:rsidRPr="00DE12A3" w:rsidRDefault="00441404" w:rsidP="00C917D6">
      <w:pPr>
        <w:spacing w:before="120" w:after="120"/>
        <w:ind w:left="1134" w:hanging="1134"/>
        <w:jc w:val="both"/>
        <w:rPr>
          <w:rFonts w:eastAsia="Times New Roman" w:cs="Times New Roman"/>
          <w:color w:val="auto"/>
          <w:spacing w:val="3"/>
          <w:lang w:eastAsia="en-US"/>
        </w:rPr>
      </w:pPr>
      <w:r w:rsidRPr="00DE12A3">
        <w:rPr>
          <w:rFonts w:eastAsia="Times New Roman" w:cs="Times New Roman"/>
          <w:color w:val="auto"/>
          <w:spacing w:val="3"/>
          <w:lang w:eastAsia="en-US"/>
        </w:rPr>
        <w:t xml:space="preserve">                  </w:t>
      </w:r>
      <w:r w:rsidR="00242DA0" w:rsidRPr="00DE12A3">
        <w:rPr>
          <w:rFonts w:eastAsia="Times New Roman" w:cs="Times New Roman"/>
          <w:color w:val="auto"/>
          <w:spacing w:val="3"/>
          <w:lang w:eastAsia="en-US"/>
        </w:rPr>
        <w:t>Bu bentte açıklanan her numune kurutucu tipi kullanılabilir.</w:t>
      </w:r>
    </w:p>
    <w:p w14:paraId="72E70F4B" w14:textId="7BC9205C" w:rsidR="002D7B36" w:rsidRPr="00DE12A3" w:rsidRDefault="00441404" w:rsidP="00E20716">
      <w:pPr>
        <w:numPr>
          <w:ilvl w:val="0"/>
          <w:numId w:val="332"/>
        </w:numPr>
        <w:spacing w:before="120" w:after="120"/>
        <w:ind w:left="1701" w:hanging="567"/>
        <w:jc w:val="both"/>
        <w:rPr>
          <w:rFonts w:eastAsia="Times New Roman" w:cs="Times New Roman"/>
          <w:color w:val="auto"/>
          <w:spacing w:val="3"/>
          <w:lang w:eastAsia="en-US"/>
        </w:rPr>
      </w:pPr>
      <w:r w:rsidRPr="00DE12A3">
        <w:rPr>
          <w:rFonts w:eastAsia="Times New Roman" w:cs="Times New Roman"/>
          <w:color w:val="auto"/>
          <w:spacing w:val="3"/>
          <w:lang w:eastAsia="en-US"/>
        </w:rPr>
        <w:t xml:space="preserve">    </w:t>
      </w:r>
      <w:r w:rsidR="00242DA0" w:rsidRPr="00DE12A3">
        <w:rPr>
          <w:rFonts w:eastAsia="Times New Roman" w:cs="Times New Roman"/>
          <w:color w:val="auto"/>
          <w:spacing w:val="3"/>
          <w:lang w:eastAsia="en-US"/>
        </w:rPr>
        <w:t xml:space="preserve">Herhangi bir gaz analiz cihazının veya depolama ortamının giriş kısmında bir ozmotik membranlı kurutucu kullanılırsa, 9.3.2.2 bendinde belirtilen sıcaklık </w:t>
      </w:r>
      <w:r w:rsidR="0053289F" w:rsidRPr="00DE12A3">
        <w:rPr>
          <w:rFonts w:eastAsia="Times New Roman" w:cs="Times New Roman"/>
          <w:color w:val="auto"/>
          <w:spacing w:val="3"/>
          <w:lang w:eastAsia="en-US"/>
        </w:rPr>
        <w:t>gerekliliklerini</w:t>
      </w:r>
      <w:r w:rsidR="00242DA0" w:rsidRPr="00DE12A3">
        <w:rPr>
          <w:rFonts w:eastAsia="Times New Roman" w:cs="Times New Roman"/>
          <w:color w:val="auto"/>
          <w:spacing w:val="3"/>
          <w:lang w:eastAsia="en-US"/>
        </w:rPr>
        <w:t xml:space="preserve"> sağlamalıdır. Bir ozmotik membranlı kurutucunun çıkış tarafındaki yoğuşma noktası </w:t>
      </w:r>
      <w:r w:rsidR="00242DA0" w:rsidRPr="00DE12A3">
        <w:rPr>
          <w:rFonts w:eastAsia="Times New Roman" w:cs="Times New Roman"/>
          <w:i/>
          <w:iCs/>
          <w:color w:val="auto"/>
          <w:spacing w:val="3"/>
          <w:lang w:eastAsia="en-US"/>
        </w:rPr>
        <w:t>T</w:t>
      </w:r>
      <w:r w:rsidR="00242DA0" w:rsidRPr="00DE12A3">
        <w:rPr>
          <w:rFonts w:eastAsia="Times New Roman" w:cs="Times New Roman"/>
          <w:color w:val="auto"/>
          <w:spacing w:val="3"/>
          <w:vertAlign w:val="subscript"/>
          <w:lang w:eastAsia="en-US"/>
        </w:rPr>
        <w:t>dew</w:t>
      </w:r>
      <w:r w:rsidR="00242DA0" w:rsidRPr="00DE12A3">
        <w:rPr>
          <w:rFonts w:eastAsia="Times New Roman" w:cs="Times New Roman"/>
          <w:color w:val="auto"/>
          <w:spacing w:val="3"/>
          <w:lang w:eastAsia="en-US"/>
        </w:rPr>
        <w:t xml:space="preserve"> ve mutlak basınç </w:t>
      </w:r>
      <w:r w:rsidR="00242DA0" w:rsidRPr="00DE12A3">
        <w:rPr>
          <w:rFonts w:eastAsia="Times New Roman" w:cs="Times New Roman"/>
          <w:i/>
          <w:iCs/>
          <w:color w:val="auto"/>
          <w:spacing w:val="3"/>
          <w:lang w:eastAsia="en-US"/>
        </w:rPr>
        <w:t>p</w:t>
      </w:r>
      <w:r w:rsidR="00242DA0" w:rsidRPr="00DE12A3">
        <w:rPr>
          <w:rFonts w:eastAsia="Times New Roman" w:cs="Times New Roman"/>
          <w:color w:val="auto"/>
          <w:spacing w:val="3"/>
          <w:vertAlign w:val="subscript"/>
          <w:lang w:eastAsia="en-US"/>
        </w:rPr>
        <w:t>total</w:t>
      </w:r>
      <w:r w:rsidR="00242DA0" w:rsidRPr="00DE12A3">
        <w:rPr>
          <w:rFonts w:eastAsia="Times New Roman" w:cs="Times New Roman"/>
          <w:color w:val="auto"/>
          <w:spacing w:val="3"/>
          <w:lang w:eastAsia="en-US"/>
        </w:rPr>
        <w:t xml:space="preserve"> izlenmelidir. Su miktarı, </w:t>
      </w:r>
      <w:r w:rsidR="00FA0678" w:rsidRPr="00DE12A3">
        <w:rPr>
          <w:rFonts w:eastAsia="Times New Roman" w:cs="Times New Roman"/>
          <w:color w:val="auto"/>
          <w:spacing w:val="3"/>
          <w:lang w:eastAsia="en-US"/>
        </w:rPr>
        <w:t xml:space="preserve">VII’nci </w:t>
      </w:r>
      <w:r w:rsidR="00E10EB2" w:rsidRPr="00DE12A3">
        <w:rPr>
          <w:rFonts w:eastAsia="Times New Roman" w:cs="Times New Roman"/>
          <w:color w:val="auto"/>
          <w:spacing w:val="3"/>
          <w:lang w:eastAsia="en-US"/>
        </w:rPr>
        <w:t>E</w:t>
      </w:r>
      <w:r w:rsidR="00FA0678" w:rsidRPr="00DE12A3">
        <w:rPr>
          <w:rFonts w:eastAsia="Times New Roman" w:cs="Times New Roman"/>
          <w:color w:val="auto"/>
          <w:spacing w:val="3"/>
          <w:lang w:eastAsia="en-US"/>
        </w:rPr>
        <w:t>k</w:t>
      </w:r>
      <w:r w:rsidR="00242DA0" w:rsidRPr="00DE12A3">
        <w:rPr>
          <w:rFonts w:eastAsia="Times New Roman" w:cs="Times New Roman"/>
          <w:color w:val="auto"/>
          <w:spacing w:val="3"/>
          <w:lang w:eastAsia="en-US"/>
        </w:rPr>
        <w:t xml:space="preserve">te belirtildiği şekilde, sürekli kaydedilmiş </w:t>
      </w:r>
      <w:r w:rsidR="00242DA0" w:rsidRPr="00DE12A3">
        <w:rPr>
          <w:rFonts w:eastAsia="Times New Roman" w:cs="Times New Roman"/>
          <w:i/>
          <w:iCs/>
          <w:color w:val="auto"/>
          <w:spacing w:val="3"/>
          <w:lang w:eastAsia="en-US"/>
        </w:rPr>
        <w:t>T</w:t>
      </w:r>
      <w:r w:rsidR="00242DA0" w:rsidRPr="00DE12A3">
        <w:rPr>
          <w:rFonts w:eastAsia="Times New Roman" w:cs="Times New Roman"/>
          <w:color w:val="auto"/>
          <w:spacing w:val="3"/>
          <w:vertAlign w:val="subscript"/>
          <w:lang w:eastAsia="en-US"/>
        </w:rPr>
        <w:t>dew</w:t>
      </w:r>
      <w:r w:rsidR="00242DA0" w:rsidRPr="00DE12A3">
        <w:rPr>
          <w:rFonts w:eastAsia="Times New Roman" w:cs="Times New Roman"/>
          <w:color w:val="auto"/>
          <w:spacing w:val="3"/>
          <w:lang w:eastAsia="en-US"/>
        </w:rPr>
        <w:t xml:space="preserve"> ve ptotal değerleri veya bunların bir test sırasında gözlemlenen tepe değerleri veya alarm ayar noktaları kullanılarak hesaplanmalıdır. Doğrudan bir ölçüm yapılmadan, kurutucunun test sırasında beklenen en düşük mutlak basıncı, nominal </w:t>
      </w:r>
      <w:r w:rsidR="00242DA0" w:rsidRPr="00DE12A3">
        <w:rPr>
          <w:rFonts w:eastAsia="Times New Roman" w:cs="Times New Roman"/>
          <w:i/>
          <w:iCs/>
          <w:color w:val="auto"/>
          <w:spacing w:val="3"/>
          <w:lang w:eastAsia="en-US"/>
        </w:rPr>
        <w:t>p</w:t>
      </w:r>
      <w:r w:rsidR="00242DA0" w:rsidRPr="00DE12A3">
        <w:rPr>
          <w:rFonts w:eastAsia="Times New Roman" w:cs="Times New Roman"/>
          <w:color w:val="auto"/>
          <w:spacing w:val="3"/>
          <w:vertAlign w:val="subscript"/>
          <w:lang w:eastAsia="en-US"/>
        </w:rPr>
        <w:t>total</w:t>
      </w:r>
      <w:r w:rsidR="00242DA0" w:rsidRPr="00DE12A3">
        <w:rPr>
          <w:rFonts w:eastAsia="Times New Roman" w:cs="Times New Roman"/>
          <w:color w:val="auto"/>
          <w:spacing w:val="3"/>
          <w:lang w:eastAsia="en-US"/>
        </w:rPr>
        <w:t>'ı verir.</w:t>
      </w:r>
    </w:p>
    <w:p w14:paraId="254296C0" w14:textId="0496C78C" w:rsidR="002D7B36" w:rsidRPr="00DE12A3" w:rsidRDefault="00242DA0" w:rsidP="00E20716">
      <w:pPr>
        <w:numPr>
          <w:ilvl w:val="0"/>
          <w:numId w:val="332"/>
        </w:numPr>
        <w:spacing w:before="120" w:after="120"/>
        <w:ind w:left="1701" w:hanging="567"/>
        <w:jc w:val="both"/>
        <w:rPr>
          <w:rFonts w:eastAsia="Times New Roman" w:cs="Times New Roman"/>
          <w:color w:val="auto"/>
          <w:spacing w:val="3"/>
          <w:lang w:eastAsia="en-US"/>
        </w:rPr>
      </w:pPr>
      <w:bookmarkStart w:id="22" w:name="_Hlk22650946"/>
      <w:r w:rsidRPr="00DE12A3">
        <w:rPr>
          <w:rFonts w:eastAsia="Times New Roman" w:cs="Times New Roman"/>
          <w:color w:val="auto"/>
          <w:spacing w:val="3"/>
          <w:lang w:eastAsia="en-US"/>
        </w:rPr>
        <w:t>Sıkıştırma ateşlemeli motorlar için THC ölçüm sisteminin giriş kısmında bir termal soğutucu kullanılamaz. NO</w:t>
      </w:r>
      <w:r w:rsidR="00E10EB2" w:rsidRPr="00DE12A3">
        <w:rPr>
          <w:rFonts w:eastAsia="Times New Roman" w:cs="Times New Roman"/>
          <w:color w:val="auto"/>
          <w:spacing w:val="3"/>
          <w:vertAlign w:val="subscript"/>
          <w:lang w:eastAsia="en-US"/>
        </w:rPr>
        <w:t>2</w:t>
      </w:r>
      <w:r w:rsidR="00E10EB2" w:rsidRPr="00DE12A3">
        <w:rPr>
          <w:rFonts w:eastAsia="Times New Roman" w:cs="Times New Roman"/>
          <w:color w:val="auto"/>
          <w:spacing w:val="3"/>
          <w:lang w:eastAsia="en-US"/>
        </w:rPr>
        <w:t>-</w:t>
      </w:r>
      <w:r w:rsidRPr="00DE12A3">
        <w:rPr>
          <w:rFonts w:eastAsia="Times New Roman" w:cs="Times New Roman"/>
          <w:color w:val="auto"/>
          <w:spacing w:val="3"/>
          <w:lang w:eastAsia="en-US"/>
        </w:rPr>
        <w:t xml:space="preserve"> NO konvertörünün giriş kısmında bir termal soğutucu veya NO</w:t>
      </w:r>
      <w:r w:rsidR="00E10EB2" w:rsidRPr="00DE12A3">
        <w:rPr>
          <w:rFonts w:eastAsia="Times New Roman" w:cs="Times New Roman"/>
          <w:color w:val="auto"/>
          <w:spacing w:val="3"/>
          <w:vertAlign w:val="subscript"/>
          <w:lang w:eastAsia="en-US"/>
        </w:rPr>
        <w:t>2</w:t>
      </w:r>
      <w:r w:rsidR="00E10EB2" w:rsidRPr="00DE12A3">
        <w:rPr>
          <w:rFonts w:eastAsia="Times New Roman" w:cs="Times New Roman"/>
          <w:color w:val="auto"/>
          <w:spacing w:val="3"/>
          <w:lang w:eastAsia="en-US"/>
        </w:rPr>
        <w:t>-</w:t>
      </w:r>
      <w:r w:rsidRPr="00DE12A3">
        <w:rPr>
          <w:rFonts w:eastAsia="Times New Roman" w:cs="Times New Roman"/>
          <w:color w:val="auto"/>
          <w:spacing w:val="3"/>
          <w:lang w:eastAsia="en-US"/>
        </w:rPr>
        <w:t xml:space="preserve"> NO konvertörsüz bir örnekleme sisteminde kullanılırsa, soğutucu 8.1.11.4 bendinde belirtilen NO</w:t>
      </w:r>
      <w:r w:rsidRPr="00DE12A3">
        <w:rPr>
          <w:rFonts w:eastAsia="Times New Roman" w:cs="Times New Roman"/>
          <w:color w:val="auto"/>
          <w:spacing w:val="3"/>
          <w:vertAlign w:val="subscript"/>
          <w:lang w:eastAsia="en-US"/>
        </w:rPr>
        <w:t>2</w:t>
      </w:r>
      <w:r w:rsidRPr="00DE12A3">
        <w:rPr>
          <w:rFonts w:eastAsia="Times New Roman" w:cs="Times New Roman"/>
          <w:color w:val="auto"/>
          <w:spacing w:val="3"/>
          <w:lang w:eastAsia="en-US"/>
        </w:rPr>
        <w:t xml:space="preserve"> kayıp performans kontrolünü sağlamalıdır. Bir termal soğutucunun çıkış tarafındaki yoğuşma noktası Tdew ve mutlak basınç ptotal izlenmelidir. Su miktarı, </w:t>
      </w:r>
      <w:r w:rsidR="00FA0678" w:rsidRPr="00DE12A3">
        <w:rPr>
          <w:rFonts w:eastAsia="Times New Roman" w:cs="Times New Roman"/>
          <w:color w:val="auto"/>
          <w:spacing w:val="3"/>
          <w:lang w:eastAsia="en-US"/>
        </w:rPr>
        <w:t xml:space="preserve">VII’nci </w:t>
      </w:r>
      <w:r w:rsidR="003844BE" w:rsidRPr="00DE12A3">
        <w:rPr>
          <w:rFonts w:eastAsia="Times New Roman" w:cs="Times New Roman"/>
          <w:color w:val="auto"/>
          <w:spacing w:val="3"/>
          <w:lang w:eastAsia="en-US"/>
        </w:rPr>
        <w:t>E</w:t>
      </w:r>
      <w:r w:rsidR="00FA0678" w:rsidRPr="00DE12A3">
        <w:rPr>
          <w:rFonts w:eastAsia="Times New Roman" w:cs="Times New Roman"/>
          <w:color w:val="auto"/>
          <w:spacing w:val="3"/>
          <w:lang w:eastAsia="en-US"/>
        </w:rPr>
        <w:t>k</w:t>
      </w:r>
      <w:r w:rsidRPr="00DE12A3">
        <w:rPr>
          <w:rFonts w:eastAsia="Times New Roman" w:cs="Times New Roman"/>
          <w:color w:val="auto"/>
          <w:spacing w:val="3"/>
          <w:lang w:eastAsia="en-US"/>
        </w:rPr>
        <w:t xml:space="preserve">te belirtildiği şekilde, sürekli kaydedilmiş Tdew ve ptotal değerleri veya bunların bir test sırasında gözlemlenen tepe değerleri veya alarm ayar noktaları kullanılarak hesaplanmalıdır. </w:t>
      </w:r>
      <w:bookmarkEnd w:id="22"/>
    </w:p>
    <w:p w14:paraId="069E09D0" w14:textId="4A69C8AD" w:rsidR="002D7B36" w:rsidRPr="00DE12A3" w:rsidRDefault="00441404" w:rsidP="00C917D6">
      <w:pPr>
        <w:tabs>
          <w:tab w:val="left" w:pos="1901"/>
        </w:tabs>
        <w:spacing w:before="120" w:after="120"/>
        <w:ind w:left="1701" w:hanging="567"/>
        <w:jc w:val="both"/>
        <w:rPr>
          <w:rFonts w:eastAsia="Times New Roman" w:cs="Times New Roman"/>
          <w:color w:val="auto"/>
          <w:spacing w:val="3"/>
          <w:lang w:eastAsia="en-US"/>
        </w:rPr>
      </w:pPr>
      <w:r w:rsidRPr="00DE12A3">
        <w:rPr>
          <w:rFonts w:eastAsia="Times New Roman" w:cs="Times New Roman"/>
          <w:color w:val="auto"/>
          <w:spacing w:val="3"/>
          <w:lang w:eastAsia="en-US"/>
        </w:rPr>
        <w:t xml:space="preserve">         </w:t>
      </w:r>
      <w:r w:rsidR="00242DA0" w:rsidRPr="00DE12A3">
        <w:rPr>
          <w:rFonts w:eastAsia="Times New Roman" w:cs="Times New Roman"/>
          <w:color w:val="auto"/>
          <w:spacing w:val="3"/>
          <w:lang w:eastAsia="en-US"/>
        </w:rPr>
        <w:t xml:space="preserve">Doğrudan bir ölçüm yapılmadan, termal soğutucunun test sırasında beklenen en düşük mutlak basıncı, nominal ptotal'ı verir. Termal soğutucudaki doygunluk derecesini varsaymak yerinde olursa, bilinen soğutucu verimi ve soğutucu sıcaklığı </w:t>
      </w:r>
      <w:r w:rsidR="00242DA0" w:rsidRPr="00DE12A3">
        <w:rPr>
          <w:rFonts w:eastAsia="Times New Roman" w:cs="Times New Roman"/>
          <w:i/>
          <w:iCs/>
          <w:color w:val="auto"/>
          <w:spacing w:val="3"/>
          <w:lang w:eastAsia="en-US"/>
        </w:rPr>
        <w:t>T</w:t>
      </w:r>
      <w:r w:rsidR="00242DA0" w:rsidRPr="00DE12A3">
        <w:rPr>
          <w:rFonts w:eastAsia="Times New Roman" w:cs="Times New Roman"/>
          <w:color w:val="auto"/>
          <w:spacing w:val="3"/>
          <w:vertAlign w:val="subscript"/>
          <w:lang w:eastAsia="en-US"/>
        </w:rPr>
        <w:t>chiller</w:t>
      </w:r>
      <w:r w:rsidR="00242DA0" w:rsidRPr="00DE12A3">
        <w:rPr>
          <w:rFonts w:eastAsia="Times New Roman" w:cs="Times New Roman"/>
          <w:color w:val="auto"/>
          <w:spacing w:val="3"/>
          <w:lang w:eastAsia="en-US"/>
        </w:rPr>
        <w:t xml:space="preserve">'in sürekli izlenmesine bağlı olarak </w:t>
      </w:r>
      <w:r w:rsidR="00242DA0" w:rsidRPr="00DE12A3">
        <w:rPr>
          <w:rFonts w:eastAsia="Times New Roman" w:cs="Times New Roman"/>
          <w:i/>
          <w:iCs/>
          <w:color w:val="auto"/>
          <w:spacing w:val="3"/>
          <w:lang w:eastAsia="en-US"/>
        </w:rPr>
        <w:t>T</w:t>
      </w:r>
      <w:r w:rsidR="00242DA0" w:rsidRPr="00DE12A3">
        <w:rPr>
          <w:rFonts w:eastAsia="Times New Roman" w:cs="Times New Roman"/>
          <w:color w:val="auto"/>
          <w:spacing w:val="3"/>
          <w:vertAlign w:val="subscript"/>
          <w:lang w:eastAsia="en-US"/>
        </w:rPr>
        <w:t>dew</w:t>
      </w:r>
      <w:r w:rsidR="00242DA0" w:rsidRPr="00DE12A3">
        <w:rPr>
          <w:rFonts w:eastAsia="Times New Roman" w:cs="Times New Roman"/>
          <w:color w:val="auto"/>
          <w:spacing w:val="3"/>
          <w:lang w:eastAsia="en-US"/>
        </w:rPr>
        <w:t xml:space="preserve"> hesaplanabilir. T</w:t>
      </w:r>
      <w:r w:rsidR="00242DA0" w:rsidRPr="00DE12A3">
        <w:rPr>
          <w:rFonts w:eastAsia="Times New Roman" w:cs="Times New Roman"/>
          <w:color w:val="auto"/>
          <w:spacing w:val="3"/>
          <w:vertAlign w:val="subscript"/>
          <w:lang w:eastAsia="en-US"/>
        </w:rPr>
        <w:t>chiller</w:t>
      </w:r>
      <w:r w:rsidR="00242DA0" w:rsidRPr="00DE12A3">
        <w:rPr>
          <w:rFonts w:eastAsia="Times New Roman" w:cs="Times New Roman"/>
          <w:color w:val="auto"/>
          <w:spacing w:val="3"/>
          <w:lang w:eastAsia="en-US"/>
        </w:rPr>
        <w:t xml:space="preserve"> değerleri sürekli olarak kaydedilmiyorsa, bir test sırasında gözlenen en yüksek değeri veya alarm ayar noktası, </w:t>
      </w:r>
      <w:r w:rsidR="00FA0678" w:rsidRPr="00DE12A3">
        <w:rPr>
          <w:rFonts w:eastAsia="Times New Roman" w:cs="Times New Roman"/>
          <w:color w:val="auto"/>
          <w:spacing w:val="3"/>
          <w:lang w:eastAsia="en-US"/>
        </w:rPr>
        <w:t xml:space="preserve">VII’nci </w:t>
      </w:r>
      <w:r w:rsidR="00E10EB2" w:rsidRPr="00DE12A3">
        <w:rPr>
          <w:rFonts w:eastAsia="Times New Roman" w:cs="Times New Roman"/>
          <w:color w:val="auto"/>
          <w:spacing w:val="3"/>
          <w:lang w:eastAsia="en-US"/>
        </w:rPr>
        <w:t>E</w:t>
      </w:r>
      <w:r w:rsidR="00FA0678" w:rsidRPr="00DE12A3">
        <w:rPr>
          <w:rFonts w:eastAsia="Times New Roman" w:cs="Times New Roman"/>
          <w:color w:val="auto"/>
          <w:spacing w:val="3"/>
          <w:lang w:eastAsia="en-US"/>
        </w:rPr>
        <w:t>k</w:t>
      </w:r>
      <w:r w:rsidR="00242DA0" w:rsidRPr="00DE12A3">
        <w:rPr>
          <w:rFonts w:eastAsia="Times New Roman" w:cs="Times New Roman"/>
          <w:color w:val="auto"/>
          <w:spacing w:val="3"/>
          <w:lang w:eastAsia="en-US"/>
        </w:rPr>
        <w:t xml:space="preserve"> uyarınca sabit bir su miktarını belirlemek için sabit bir değer olarak kullanılabilir. Tchiller'in Tdew'e eşit olduğunu varsaymak yerinde olursa, </w:t>
      </w:r>
      <w:r w:rsidR="00FA0678" w:rsidRPr="00DE12A3">
        <w:rPr>
          <w:rFonts w:eastAsia="Times New Roman" w:cs="Times New Roman"/>
          <w:color w:val="auto"/>
          <w:spacing w:val="3"/>
          <w:lang w:eastAsia="en-US"/>
        </w:rPr>
        <w:t xml:space="preserve">VII’nci </w:t>
      </w:r>
      <w:r w:rsidR="00E10EB2" w:rsidRPr="00DE12A3">
        <w:rPr>
          <w:rFonts w:eastAsia="Times New Roman" w:cs="Times New Roman"/>
          <w:color w:val="auto"/>
          <w:spacing w:val="3"/>
          <w:lang w:eastAsia="en-US"/>
        </w:rPr>
        <w:t>E</w:t>
      </w:r>
      <w:r w:rsidR="00FA0678" w:rsidRPr="00DE12A3">
        <w:rPr>
          <w:rFonts w:eastAsia="Times New Roman" w:cs="Times New Roman"/>
          <w:color w:val="auto"/>
          <w:spacing w:val="3"/>
          <w:lang w:eastAsia="en-US"/>
        </w:rPr>
        <w:t>k</w:t>
      </w:r>
      <w:r w:rsidR="00242DA0" w:rsidRPr="00DE12A3">
        <w:rPr>
          <w:rFonts w:eastAsia="Times New Roman" w:cs="Times New Roman"/>
          <w:color w:val="auto"/>
          <w:spacing w:val="3"/>
          <w:lang w:eastAsia="en-US"/>
        </w:rPr>
        <w:t xml:space="preserve"> uyarınca Tchiller, Tdew yerine kullanılabilir. Tchiller ve Tdew arasında sabit bir sıcaklık dengelemesi varsaymak yerinde olursa, soğutucu çıkışı ve sıcaklık ölçüm noktası arasında bilinen ve sabit miktarda bir numunenin tekrar ısınması nedeniyle, bu varsayılan sıcaklık dengeleme değeri emisyon hesaplamalarında dikkate alınabilir. Bu bentte izin verilen varsayımların geçerliliği, mühendislik analizi veya verilerle gösterilmelidir.</w:t>
      </w:r>
    </w:p>
    <w:p w14:paraId="77EB1DAB" w14:textId="77777777" w:rsidR="002D7B36" w:rsidRPr="00DE12A3" w:rsidRDefault="00242DA0" w:rsidP="00E20716">
      <w:pPr>
        <w:numPr>
          <w:ilvl w:val="0"/>
          <w:numId w:val="329"/>
        </w:numPr>
        <w:spacing w:before="120" w:after="120"/>
        <w:ind w:left="1134" w:hanging="1134"/>
        <w:jc w:val="both"/>
        <w:rPr>
          <w:rFonts w:eastAsia="Times New Roman" w:cs="Times New Roman"/>
          <w:color w:val="auto"/>
          <w:spacing w:val="3"/>
          <w:lang w:eastAsia="en-US"/>
        </w:rPr>
      </w:pPr>
      <w:r w:rsidRPr="00DE12A3">
        <w:rPr>
          <w:rFonts w:eastAsia="Times New Roman" w:cs="Times New Roman"/>
          <w:color w:val="auto"/>
          <w:spacing w:val="3"/>
          <w:lang w:eastAsia="en-US"/>
        </w:rPr>
        <w:t>Numune pompaları</w:t>
      </w:r>
    </w:p>
    <w:p w14:paraId="11DE104D" w14:textId="77777777" w:rsidR="002D7B36" w:rsidRPr="00DE12A3" w:rsidRDefault="00441404" w:rsidP="00C917D6">
      <w:pPr>
        <w:spacing w:before="120" w:after="120"/>
        <w:ind w:left="1134" w:hanging="1134"/>
        <w:jc w:val="both"/>
        <w:rPr>
          <w:rFonts w:eastAsia="Times New Roman" w:cs="Times New Roman"/>
          <w:color w:val="auto"/>
          <w:spacing w:val="3"/>
          <w:lang w:eastAsia="en-US"/>
        </w:rPr>
      </w:pPr>
      <w:r w:rsidRPr="00DE12A3">
        <w:rPr>
          <w:rFonts w:eastAsia="Times New Roman" w:cs="Times New Roman"/>
          <w:color w:val="auto"/>
          <w:spacing w:val="3"/>
          <w:lang w:eastAsia="en-US"/>
        </w:rPr>
        <w:t xml:space="preserve">                  </w:t>
      </w:r>
      <w:r w:rsidR="00242DA0" w:rsidRPr="00DE12A3">
        <w:rPr>
          <w:rFonts w:eastAsia="Times New Roman" w:cs="Times New Roman"/>
          <w:color w:val="auto"/>
          <w:spacing w:val="3"/>
          <w:lang w:eastAsia="en-US"/>
        </w:rPr>
        <w:t>Herhangi bir gaz için bir analiz cihazının veya depolama ortamının giriş kısmında numune pompaları kullanılmalıdır. Emisyon örneklemesi için paslanmaz çelik, PTFE veya daha iyi özelliklere sahip başka herhangi bir malzemeden iç yüzeylere sahip numune pompaları kullanılmalıdır. Bazı numune pompalarında, sıcaklıklar aşağıdaki şekilde kontrol edilmelidir:</w:t>
      </w:r>
    </w:p>
    <w:p w14:paraId="0F241219" w14:textId="6778B811" w:rsidR="002D7B36" w:rsidRPr="00DE12A3" w:rsidRDefault="00441404" w:rsidP="00E20716">
      <w:pPr>
        <w:numPr>
          <w:ilvl w:val="0"/>
          <w:numId w:val="333"/>
        </w:numPr>
        <w:spacing w:before="120" w:after="120"/>
        <w:ind w:left="1701" w:hanging="567"/>
        <w:jc w:val="both"/>
        <w:rPr>
          <w:rFonts w:eastAsia="Times New Roman" w:cs="Times New Roman"/>
          <w:color w:val="auto"/>
          <w:spacing w:val="3"/>
          <w:lang w:eastAsia="en-US"/>
        </w:rPr>
      </w:pPr>
      <w:r w:rsidRPr="00DE12A3">
        <w:rPr>
          <w:rFonts w:eastAsia="Times New Roman" w:cs="Times New Roman"/>
          <w:color w:val="auto"/>
          <w:spacing w:val="3"/>
          <w:lang w:eastAsia="en-US"/>
        </w:rPr>
        <w:t xml:space="preserve">    </w:t>
      </w:r>
      <w:r w:rsidR="00242DA0" w:rsidRPr="00DE12A3">
        <w:rPr>
          <w:rFonts w:eastAsia="Times New Roman" w:cs="Times New Roman"/>
          <w:color w:val="auto"/>
          <w:spacing w:val="3"/>
          <w:lang w:eastAsia="en-US"/>
        </w:rPr>
        <w:t xml:space="preserve">8.1.11.5 bendinde belirtilen </w:t>
      </w:r>
      <w:r w:rsidR="0053289F" w:rsidRPr="00DE12A3">
        <w:rPr>
          <w:rFonts w:eastAsia="Times New Roman" w:cs="Times New Roman"/>
          <w:color w:val="auto"/>
          <w:spacing w:val="3"/>
          <w:lang w:eastAsia="en-US"/>
        </w:rPr>
        <w:t>gereklilikleri</w:t>
      </w:r>
      <w:r w:rsidR="00242DA0" w:rsidRPr="00DE12A3">
        <w:rPr>
          <w:rFonts w:eastAsia="Times New Roman" w:cs="Times New Roman"/>
          <w:color w:val="auto"/>
          <w:spacing w:val="3"/>
          <w:lang w:eastAsia="en-US"/>
        </w:rPr>
        <w:t xml:space="preserve"> sağlayan bir NO</w:t>
      </w:r>
      <w:r w:rsidR="003B5C00" w:rsidRPr="00DE12A3">
        <w:rPr>
          <w:rFonts w:eastAsia="Times New Roman" w:cs="Times New Roman"/>
          <w:color w:val="auto"/>
          <w:spacing w:val="3"/>
          <w:vertAlign w:val="subscript"/>
          <w:lang w:eastAsia="en-US"/>
        </w:rPr>
        <w:t>2</w:t>
      </w:r>
      <w:r w:rsidR="003B5C00" w:rsidRPr="00DE12A3">
        <w:rPr>
          <w:rFonts w:eastAsia="Times New Roman" w:cs="Times New Roman"/>
          <w:color w:val="auto"/>
          <w:spacing w:val="3"/>
          <w:lang w:eastAsia="en-US"/>
        </w:rPr>
        <w:t>-</w:t>
      </w:r>
      <w:r w:rsidR="00242DA0" w:rsidRPr="00DE12A3">
        <w:rPr>
          <w:rFonts w:eastAsia="Times New Roman" w:cs="Times New Roman"/>
          <w:color w:val="auto"/>
          <w:spacing w:val="3"/>
          <w:lang w:eastAsia="en-US"/>
        </w:rPr>
        <w:t xml:space="preserve">NO konvertörünün veya 8.1.11.4 bendinde belirtilen </w:t>
      </w:r>
      <w:r w:rsidR="0053289F" w:rsidRPr="00DE12A3">
        <w:rPr>
          <w:rFonts w:eastAsia="Times New Roman" w:cs="Times New Roman"/>
          <w:color w:val="auto"/>
          <w:spacing w:val="3"/>
          <w:lang w:eastAsia="en-US"/>
        </w:rPr>
        <w:t>gereklilikleri</w:t>
      </w:r>
      <w:r w:rsidR="00242DA0" w:rsidRPr="00DE12A3">
        <w:rPr>
          <w:rFonts w:eastAsia="Times New Roman" w:cs="Times New Roman"/>
          <w:color w:val="auto"/>
          <w:spacing w:val="3"/>
          <w:lang w:eastAsia="en-US"/>
        </w:rPr>
        <w:t xml:space="preserve"> sağlayan bir soğutucunun giriş tarafında bir NOx numune pompası kullanılırsa, sulu yoğuşmayı önlemek için ısıtılmalıdır</w:t>
      </w:r>
      <w:r w:rsidR="003844BE" w:rsidRPr="00DE12A3">
        <w:rPr>
          <w:rFonts w:eastAsia="Times New Roman" w:cs="Times New Roman"/>
          <w:color w:val="auto"/>
          <w:spacing w:val="3"/>
          <w:lang w:eastAsia="en-US"/>
        </w:rPr>
        <w:t>.</w:t>
      </w:r>
    </w:p>
    <w:p w14:paraId="75D6FE6E" w14:textId="77777777" w:rsidR="002D7B36" w:rsidRPr="00DE12A3" w:rsidRDefault="00242DA0" w:rsidP="00E20716">
      <w:pPr>
        <w:numPr>
          <w:ilvl w:val="0"/>
          <w:numId w:val="333"/>
        </w:numPr>
        <w:spacing w:before="120" w:after="120"/>
        <w:ind w:left="1701" w:hanging="567"/>
        <w:jc w:val="both"/>
        <w:rPr>
          <w:rFonts w:eastAsia="Times New Roman" w:cs="Times New Roman"/>
          <w:color w:val="auto"/>
          <w:spacing w:val="3"/>
          <w:lang w:eastAsia="en-US"/>
        </w:rPr>
      </w:pPr>
      <w:r w:rsidRPr="00DE12A3">
        <w:rPr>
          <w:rFonts w:eastAsia="Times New Roman" w:cs="Times New Roman"/>
          <w:color w:val="auto"/>
          <w:spacing w:val="3"/>
          <w:lang w:eastAsia="en-US"/>
        </w:rPr>
        <w:t>THC analiz cihazının veya depolama ortamının giriş kısmında bir THC numune pompası kullanılırsa, iç yüzeyleri 464 ± 11 K (191 ± 11) °C'lik bir toleransa ısıtılmalıdır.</w:t>
      </w:r>
    </w:p>
    <w:p w14:paraId="53EBA863" w14:textId="77777777" w:rsidR="002D7B36" w:rsidRPr="00DE12A3" w:rsidRDefault="00242DA0" w:rsidP="00E20716">
      <w:pPr>
        <w:numPr>
          <w:ilvl w:val="0"/>
          <w:numId w:val="329"/>
        </w:numPr>
        <w:spacing w:before="120" w:after="120"/>
        <w:ind w:left="1134" w:hanging="1134"/>
        <w:jc w:val="both"/>
        <w:rPr>
          <w:rFonts w:eastAsia="Times New Roman" w:cs="Times New Roman"/>
          <w:color w:val="auto"/>
          <w:spacing w:val="3"/>
          <w:lang w:eastAsia="en-US"/>
        </w:rPr>
      </w:pPr>
      <w:r w:rsidRPr="00DE12A3">
        <w:rPr>
          <w:rFonts w:eastAsia="Times New Roman" w:cs="Times New Roman"/>
          <w:color w:val="auto"/>
          <w:spacing w:val="3"/>
          <w:lang w:eastAsia="en-US"/>
        </w:rPr>
        <w:lastRenderedPageBreak/>
        <w:t>Amonyak temizleyiciler</w:t>
      </w:r>
    </w:p>
    <w:p w14:paraId="12A7C37F" w14:textId="77777777" w:rsidR="002D7B36" w:rsidRPr="00DE12A3" w:rsidRDefault="00441404" w:rsidP="00C917D6">
      <w:pPr>
        <w:spacing w:before="120" w:after="120"/>
        <w:ind w:left="1134" w:hanging="1134"/>
        <w:jc w:val="both"/>
        <w:rPr>
          <w:rFonts w:eastAsia="Times New Roman" w:cs="Times New Roman"/>
          <w:color w:val="auto"/>
          <w:spacing w:val="3"/>
          <w:lang w:eastAsia="en-US"/>
        </w:rPr>
      </w:pPr>
      <w:r w:rsidRPr="00DE12A3">
        <w:rPr>
          <w:rFonts w:eastAsia="Times New Roman" w:cs="Times New Roman"/>
          <w:color w:val="auto"/>
          <w:spacing w:val="3"/>
          <w:lang w:eastAsia="en-US"/>
        </w:rPr>
        <w:t xml:space="preserve">                  </w:t>
      </w:r>
      <w:r w:rsidR="00242DA0" w:rsidRPr="00DE12A3">
        <w:rPr>
          <w:rFonts w:eastAsia="Times New Roman" w:cs="Times New Roman"/>
          <w:color w:val="auto"/>
          <w:spacing w:val="3"/>
          <w:lang w:eastAsia="en-US"/>
        </w:rPr>
        <w:t>NH3 karışmasını, NO</w:t>
      </w:r>
      <w:r w:rsidR="003B5C00" w:rsidRPr="00DE12A3">
        <w:rPr>
          <w:rFonts w:eastAsia="Times New Roman" w:cs="Times New Roman"/>
          <w:color w:val="auto"/>
          <w:spacing w:val="3"/>
          <w:vertAlign w:val="subscript"/>
          <w:lang w:eastAsia="en-US"/>
        </w:rPr>
        <w:t>2</w:t>
      </w:r>
      <w:r w:rsidR="003B5C00" w:rsidRPr="00DE12A3">
        <w:rPr>
          <w:rFonts w:eastAsia="Times New Roman" w:cs="Times New Roman"/>
          <w:color w:val="auto"/>
          <w:spacing w:val="3"/>
          <w:lang w:eastAsia="en-US"/>
        </w:rPr>
        <w:t>-</w:t>
      </w:r>
      <w:r w:rsidR="00242DA0" w:rsidRPr="00DE12A3">
        <w:rPr>
          <w:rFonts w:eastAsia="Times New Roman" w:cs="Times New Roman"/>
          <w:color w:val="auto"/>
          <w:spacing w:val="3"/>
          <w:lang w:eastAsia="en-US"/>
        </w:rPr>
        <w:t xml:space="preserve"> NO konvertörünün zehirlenmesini ve örnekleme sistemi veya analiz cihazlarında birikimleri önlemek için her gaz örnekleme sistemi için amonyak temizleyiciler kullanılabilir. Amonyak temizleyicinin montajı imalatçının tavsiyelerine uygun olmalıdır.</w:t>
      </w:r>
    </w:p>
    <w:p w14:paraId="49039755" w14:textId="77777777" w:rsidR="002D7B36" w:rsidRPr="00DE12A3" w:rsidRDefault="00441404" w:rsidP="00E20716">
      <w:pPr>
        <w:numPr>
          <w:ilvl w:val="0"/>
          <w:numId w:val="325"/>
        </w:numPr>
        <w:tabs>
          <w:tab w:val="left" w:pos="907"/>
        </w:tabs>
        <w:spacing w:before="120" w:after="120"/>
        <w:ind w:left="1134" w:hanging="1134"/>
        <w:jc w:val="both"/>
        <w:rPr>
          <w:rFonts w:eastAsia="Times New Roman" w:cs="Times New Roman"/>
          <w:color w:val="auto"/>
          <w:spacing w:val="3"/>
          <w:lang w:eastAsia="en-US"/>
        </w:rPr>
      </w:pPr>
      <w:r w:rsidRPr="00DE12A3">
        <w:rPr>
          <w:rFonts w:eastAsia="Times New Roman" w:cs="Times New Roman"/>
          <w:color w:val="auto"/>
          <w:spacing w:val="3"/>
          <w:lang w:eastAsia="en-US"/>
        </w:rPr>
        <w:t xml:space="preserve">    </w:t>
      </w:r>
      <w:r w:rsidR="00242DA0" w:rsidRPr="00DE12A3">
        <w:rPr>
          <w:rFonts w:eastAsia="Times New Roman" w:cs="Times New Roman"/>
          <w:color w:val="auto"/>
          <w:spacing w:val="3"/>
          <w:lang w:eastAsia="en-US"/>
        </w:rPr>
        <w:t>Numune depolama ortamı</w:t>
      </w:r>
    </w:p>
    <w:p w14:paraId="29D17A90" w14:textId="77777777" w:rsidR="002D7B36" w:rsidRPr="00DE12A3" w:rsidRDefault="00441404" w:rsidP="00C917D6">
      <w:pPr>
        <w:spacing w:before="120" w:after="120"/>
        <w:ind w:left="1134" w:hanging="1134"/>
        <w:jc w:val="both"/>
        <w:rPr>
          <w:rFonts w:eastAsia="Times New Roman" w:cs="Times New Roman"/>
          <w:color w:val="auto"/>
          <w:spacing w:val="3"/>
          <w:lang w:eastAsia="en-US"/>
        </w:rPr>
      </w:pPr>
      <w:r w:rsidRPr="00DE12A3">
        <w:rPr>
          <w:rFonts w:eastAsia="Times New Roman" w:cs="Times New Roman"/>
          <w:color w:val="auto"/>
          <w:spacing w:val="3"/>
          <w:lang w:eastAsia="en-US"/>
        </w:rPr>
        <w:t xml:space="preserve">                  </w:t>
      </w:r>
      <w:r w:rsidR="00242DA0" w:rsidRPr="00DE12A3">
        <w:rPr>
          <w:rFonts w:eastAsia="Times New Roman" w:cs="Times New Roman"/>
          <w:color w:val="auto"/>
          <w:spacing w:val="3"/>
          <w:lang w:eastAsia="en-US"/>
        </w:rPr>
        <w:t xml:space="preserve">Torba örnekleme durumunda, gaz hacimleri, asgari düzeyde gazsız veya gazların nüfuz etmesini sağlayan yeterince temiz kaplarda saklanmalıdır. Depolama ortamının temizliği ve geçirgenliği için kabul edilebilir eşik değerleri belirlemek için iyi mühendislik kararı kullanılmalıdır. Bir kap, temizlenmesi için tekrar tekrar arındırılabilir ve tahliye edilebilir ve ısıtılabilir. Sıcaklık kontrollü bir ortam içindeki esnek bir kap (örneğin bir torba) veya başlangıçta tahliye edilen veya bir piston ve silindir düzeneği gibi değiştirilebilen bir hacme sahip olan sıcaklık kontrollü sert bir kap kullanılmalıdır. Aşağıda Tablo 6.6'daki </w:t>
      </w:r>
      <w:r w:rsidR="0053289F" w:rsidRPr="00DE12A3">
        <w:rPr>
          <w:rFonts w:eastAsia="Times New Roman" w:cs="Times New Roman"/>
          <w:color w:val="auto"/>
          <w:spacing w:val="3"/>
          <w:lang w:eastAsia="en-US"/>
        </w:rPr>
        <w:t>gereklilikleri</w:t>
      </w:r>
      <w:r w:rsidR="00242DA0" w:rsidRPr="00DE12A3">
        <w:rPr>
          <w:rFonts w:eastAsia="Times New Roman" w:cs="Times New Roman"/>
          <w:color w:val="auto"/>
          <w:spacing w:val="3"/>
          <w:lang w:eastAsia="en-US"/>
        </w:rPr>
        <w:t xml:space="preserve"> sağlayan kaplar kullanılmalıdır.</w:t>
      </w:r>
    </w:p>
    <w:p w14:paraId="6457A241" w14:textId="77777777" w:rsidR="002D7B36" w:rsidRPr="00DE12A3" w:rsidRDefault="002D7B36" w:rsidP="00C917D6">
      <w:pPr>
        <w:spacing w:before="120" w:after="120"/>
        <w:ind w:left="709" w:hanging="709"/>
        <w:jc w:val="both"/>
        <w:rPr>
          <w:rFonts w:eastAsia="Times New Roman" w:cs="Times New Roman"/>
          <w:color w:val="auto"/>
          <w:sz w:val="20"/>
          <w:szCs w:val="20"/>
          <w:lang w:eastAsia="en-US"/>
        </w:rPr>
      </w:pPr>
    </w:p>
    <w:p w14:paraId="10F87D72" w14:textId="77777777" w:rsidR="002D7B36" w:rsidRPr="00DE12A3" w:rsidRDefault="00242DA0" w:rsidP="00C917D6">
      <w:pPr>
        <w:spacing w:before="120" w:after="120"/>
        <w:ind w:left="709" w:hanging="709"/>
        <w:jc w:val="center"/>
        <w:rPr>
          <w:rFonts w:eastAsia="Times New Roman" w:cs="Times New Roman"/>
          <w:color w:val="auto"/>
          <w:lang w:eastAsia="en-US"/>
        </w:rPr>
      </w:pPr>
      <w:r w:rsidRPr="00DE12A3">
        <w:rPr>
          <w:rFonts w:eastAsia="Times New Roman" w:cs="Times New Roman"/>
          <w:color w:val="auto"/>
          <w:lang w:eastAsia="en-US"/>
        </w:rPr>
        <w:t>Tablo 6.6</w:t>
      </w:r>
    </w:p>
    <w:p w14:paraId="27F12C1F" w14:textId="77777777" w:rsidR="002D7B36" w:rsidRPr="00DE12A3" w:rsidRDefault="00242DA0" w:rsidP="00C917D6">
      <w:pPr>
        <w:spacing w:before="120" w:after="120"/>
        <w:ind w:left="709" w:hanging="709"/>
        <w:jc w:val="center"/>
        <w:rPr>
          <w:rFonts w:eastAsia="Times New Roman" w:cs="Times New Roman"/>
          <w:b/>
          <w:color w:val="auto"/>
          <w:lang w:eastAsia="en-US"/>
        </w:rPr>
      </w:pPr>
      <w:r w:rsidRPr="00DE12A3">
        <w:rPr>
          <w:rFonts w:eastAsia="Times New Roman" w:cs="Times New Roman"/>
          <w:b/>
          <w:color w:val="auto"/>
          <w:lang w:eastAsia="en-US"/>
        </w:rPr>
        <w:t>Gaz Toplu Örnekleme Kabı Malzemeleri</w:t>
      </w:r>
    </w:p>
    <w:tbl>
      <w:tblPr>
        <w:tblpPr w:leftFromText="141" w:rightFromText="141" w:vertAnchor="text" w:horzAnchor="margin" w:tblpXSpec="right" w:tblpY="34"/>
        <w:tblOverlap w:val="neve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891"/>
        <w:gridCol w:w="5199"/>
      </w:tblGrid>
      <w:tr w:rsidR="00DE12A3" w:rsidRPr="00DE12A3" w14:paraId="576FFE6D" w14:textId="77777777" w:rsidTr="00726E69">
        <w:trPr>
          <w:trHeight w:hRule="exact" w:val="1422"/>
          <w:jc w:val="right"/>
        </w:trPr>
        <w:tc>
          <w:tcPr>
            <w:tcW w:w="2891" w:type="dxa"/>
          </w:tcPr>
          <w:p w14:paraId="6A367375" w14:textId="00024127" w:rsidR="00726E69" w:rsidRPr="00DE12A3" w:rsidRDefault="00242DA0" w:rsidP="00C917D6">
            <w:pPr>
              <w:pStyle w:val="Gvdemetni360"/>
              <w:shd w:val="clear" w:color="auto" w:fill="auto"/>
              <w:spacing w:before="120" w:after="120" w:line="240" w:lineRule="auto"/>
              <w:ind w:left="709" w:hanging="709"/>
              <w:rPr>
                <w:rStyle w:val="Gvdemetni367pt"/>
                <w:color w:val="auto"/>
                <w:sz w:val="24"/>
                <w:szCs w:val="24"/>
              </w:rPr>
            </w:pPr>
            <w:r w:rsidRPr="00DE12A3">
              <w:rPr>
                <w:rStyle w:val="Gvdemetni367pt"/>
                <w:color w:val="auto"/>
                <w:sz w:val="24"/>
                <w:szCs w:val="24"/>
              </w:rPr>
              <w:t>CO, CO</w:t>
            </w:r>
            <w:r w:rsidRPr="00DE12A3">
              <w:rPr>
                <w:rStyle w:val="Gvdemetni367pt"/>
                <w:color w:val="auto"/>
                <w:sz w:val="24"/>
                <w:szCs w:val="24"/>
                <w:vertAlign w:val="subscript"/>
              </w:rPr>
              <w:t>2</w:t>
            </w:r>
            <w:r w:rsidRPr="00DE12A3">
              <w:rPr>
                <w:rStyle w:val="Gvdemetni367pt"/>
                <w:color w:val="auto"/>
                <w:sz w:val="24"/>
                <w:szCs w:val="24"/>
              </w:rPr>
              <w:t>, O</w:t>
            </w:r>
            <w:r w:rsidR="006F30D6" w:rsidRPr="00DE12A3">
              <w:rPr>
                <w:rStyle w:val="Gvdemetni367pt"/>
                <w:color w:val="auto"/>
                <w:sz w:val="24"/>
                <w:szCs w:val="24"/>
                <w:vertAlign w:val="subscript"/>
              </w:rPr>
              <w:t>2</w:t>
            </w:r>
            <w:r w:rsidR="006F30D6" w:rsidRPr="00DE12A3">
              <w:rPr>
                <w:rStyle w:val="Gvdemetni367pt"/>
                <w:color w:val="auto"/>
                <w:sz w:val="24"/>
                <w:szCs w:val="24"/>
              </w:rPr>
              <w:t xml:space="preserve">, </w:t>
            </w:r>
            <w:r w:rsidR="006F30D6" w:rsidRPr="00DE12A3">
              <w:rPr>
                <w:rStyle w:val="Gvdemetni367pt"/>
                <w:color w:val="auto"/>
                <w:spacing w:val="3"/>
                <w:sz w:val="24"/>
                <w:szCs w:val="24"/>
              </w:rPr>
              <w:t>CH</w:t>
            </w:r>
            <w:r w:rsidR="00714D62" w:rsidRPr="00DE12A3">
              <w:rPr>
                <w:rStyle w:val="Gvdemetni367pt"/>
                <w:color w:val="auto"/>
                <w:spacing w:val="3"/>
                <w:sz w:val="24"/>
                <w:szCs w:val="24"/>
                <w:vertAlign w:val="subscript"/>
              </w:rPr>
              <w:t>4</w:t>
            </w:r>
            <w:r w:rsidR="00726E69" w:rsidRPr="00DE12A3">
              <w:rPr>
                <w:rStyle w:val="Gvdemetnitalik"/>
                <w:color w:val="auto"/>
                <w:vertAlign w:val="subscript"/>
              </w:rPr>
              <w:t>4</w:t>
            </w:r>
            <w:r w:rsidR="003844BE" w:rsidRPr="00DE12A3">
              <w:rPr>
                <w:rStyle w:val="Gvdemetnitalik"/>
                <w:color w:val="auto"/>
                <w:vertAlign w:val="subscript"/>
              </w:rPr>
              <w:t>,</w:t>
            </w:r>
          </w:p>
          <w:p w14:paraId="45F8334F" w14:textId="1D3A407D" w:rsidR="002D7B36" w:rsidRPr="00DE12A3" w:rsidRDefault="006F30D6" w:rsidP="00C917D6">
            <w:pPr>
              <w:pStyle w:val="Gvdemetni360"/>
              <w:shd w:val="clear" w:color="auto" w:fill="auto"/>
              <w:spacing w:before="120" w:after="120" w:line="240" w:lineRule="auto"/>
              <w:ind w:left="709" w:hanging="709"/>
              <w:rPr>
                <w:sz w:val="24"/>
                <w:szCs w:val="24"/>
                <w:lang w:val="en-US"/>
              </w:rPr>
            </w:pPr>
            <w:r w:rsidRPr="00DE12A3">
              <w:rPr>
                <w:rStyle w:val="Gvdemetni367pt"/>
                <w:color w:val="auto"/>
                <w:spacing w:val="3"/>
                <w:sz w:val="24"/>
                <w:szCs w:val="24"/>
              </w:rPr>
              <w:t xml:space="preserve"> C</w:t>
            </w:r>
            <w:r w:rsidR="00726E69" w:rsidRPr="00DE12A3">
              <w:rPr>
                <w:rStyle w:val="Gvdemetnitalik"/>
                <w:color w:val="auto"/>
                <w:sz w:val="24"/>
                <w:szCs w:val="24"/>
                <w:vertAlign w:val="subscript"/>
              </w:rPr>
              <w:t>2</w:t>
            </w:r>
            <w:r w:rsidR="00726E69" w:rsidRPr="00DE12A3">
              <w:rPr>
                <w:rStyle w:val="Gvdemetni367pt"/>
                <w:color w:val="auto"/>
                <w:spacing w:val="3"/>
                <w:sz w:val="24"/>
                <w:szCs w:val="24"/>
              </w:rPr>
              <w:t>H</w:t>
            </w:r>
            <w:r w:rsidR="00726E69" w:rsidRPr="00DE12A3">
              <w:rPr>
                <w:rStyle w:val="Gvdemetnitalik"/>
                <w:color w:val="auto"/>
                <w:sz w:val="24"/>
                <w:szCs w:val="24"/>
                <w:vertAlign w:val="subscript"/>
              </w:rPr>
              <w:t>6</w:t>
            </w:r>
            <w:r w:rsidR="00726E69" w:rsidRPr="00DE12A3">
              <w:rPr>
                <w:rStyle w:val="Gvdemetnitalik"/>
                <w:color w:val="auto"/>
                <w:sz w:val="24"/>
                <w:szCs w:val="24"/>
              </w:rPr>
              <w:t xml:space="preserve"> </w:t>
            </w:r>
            <w:r w:rsidR="00726E69" w:rsidRPr="00DE12A3">
              <w:rPr>
                <w:rStyle w:val="Gvdemetnitalik"/>
                <w:color w:val="auto"/>
              </w:rPr>
              <w:t xml:space="preserve"> </w:t>
            </w:r>
            <w:r w:rsidR="00726E69" w:rsidRPr="00DE12A3">
              <w:rPr>
                <w:rStyle w:val="Gvdemetnitalik"/>
                <w:i w:val="0"/>
                <w:color w:val="auto"/>
              </w:rPr>
              <w:t>,</w:t>
            </w:r>
            <w:r w:rsidR="00242DA0" w:rsidRPr="00DE12A3">
              <w:rPr>
                <w:rStyle w:val="Gvdemetni367pt"/>
                <w:color w:val="auto"/>
                <w:spacing w:val="3"/>
                <w:sz w:val="24"/>
                <w:szCs w:val="24"/>
              </w:rPr>
              <w:t>C</w:t>
            </w:r>
            <w:r w:rsidR="00242DA0" w:rsidRPr="00DE12A3">
              <w:rPr>
                <w:rStyle w:val="Gvdemetnitalik"/>
                <w:color w:val="auto"/>
                <w:sz w:val="24"/>
                <w:szCs w:val="24"/>
                <w:vertAlign w:val="subscript"/>
              </w:rPr>
              <w:t>3</w:t>
            </w:r>
            <w:r w:rsidR="00242DA0" w:rsidRPr="00DE12A3">
              <w:rPr>
                <w:rStyle w:val="Gvdemetni367pt"/>
                <w:color w:val="auto"/>
                <w:spacing w:val="3"/>
                <w:sz w:val="24"/>
                <w:szCs w:val="24"/>
              </w:rPr>
              <w:t>H</w:t>
            </w:r>
            <w:r w:rsidR="00242DA0" w:rsidRPr="00DE12A3">
              <w:rPr>
                <w:rStyle w:val="Gvdemetnitalik"/>
                <w:color w:val="auto"/>
                <w:sz w:val="24"/>
                <w:szCs w:val="24"/>
                <w:vertAlign w:val="subscript"/>
              </w:rPr>
              <w:t>8</w:t>
            </w:r>
            <w:r w:rsidR="00242DA0" w:rsidRPr="00DE12A3">
              <w:rPr>
                <w:rStyle w:val="Gvdemetni367pt"/>
                <w:color w:val="auto"/>
                <w:spacing w:val="3"/>
                <w:sz w:val="24"/>
                <w:szCs w:val="24"/>
              </w:rPr>
              <w:t>, NO, NO</w:t>
            </w:r>
            <w:r w:rsidR="00242DA0" w:rsidRPr="00DE12A3">
              <w:rPr>
                <w:rStyle w:val="Gvdemetnitalik"/>
                <w:color w:val="auto"/>
                <w:sz w:val="24"/>
                <w:szCs w:val="24"/>
                <w:vertAlign w:val="subscript"/>
              </w:rPr>
              <w:t>2</w:t>
            </w:r>
            <w:r w:rsidR="00242DA0" w:rsidRPr="00DE12A3">
              <w:rPr>
                <w:rStyle w:val="Gvdemetni367pt"/>
                <w:color w:val="auto"/>
                <w:spacing w:val="3"/>
                <w:sz w:val="24"/>
                <w:szCs w:val="24"/>
              </w:rPr>
              <w:t xml:space="preserve"> (</w:t>
            </w:r>
            <w:r w:rsidR="00242DA0" w:rsidRPr="00DE12A3">
              <w:rPr>
                <w:rStyle w:val="Gvdemetni367pt"/>
                <w:color w:val="auto"/>
                <w:spacing w:val="3"/>
                <w:sz w:val="24"/>
                <w:szCs w:val="24"/>
                <w:vertAlign w:val="superscript"/>
              </w:rPr>
              <w:t>1</w:t>
            </w:r>
            <w:r w:rsidR="00242DA0" w:rsidRPr="00DE12A3">
              <w:rPr>
                <w:rStyle w:val="Gvdemetni367pt"/>
                <w:color w:val="auto"/>
                <w:spacing w:val="3"/>
                <w:sz w:val="24"/>
                <w:szCs w:val="24"/>
              </w:rPr>
              <w:t>)</w:t>
            </w:r>
          </w:p>
        </w:tc>
        <w:tc>
          <w:tcPr>
            <w:tcW w:w="5199" w:type="dxa"/>
          </w:tcPr>
          <w:p w14:paraId="5DD53570" w14:textId="77777777" w:rsidR="002D7B36" w:rsidRPr="00DE12A3" w:rsidRDefault="00726E69" w:rsidP="00C917D6">
            <w:pPr>
              <w:pStyle w:val="Gvdemetni360"/>
              <w:shd w:val="clear" w:color="auto" w:fill="auto"/>
              <w:spacing w:before="120" w:after="120" w:line="240" w:lineRule="auto"/>
              <w:ind w:left="709" w:hanging="709"/>
              <w:jc w:val="left"/>
              <w:rPr>
                <w:sz w:val="24"/>
                <w:szCs w:val="24"/>
                <w:lang w:val="en-US"/>
              </w:rPr>
            </w:pPr>
            <w:r w:rsidRPr="00DE12A3">
              <w:rPr>
                <w:spacing w:val="1"/>
                <w:sz w:val="24"/>
                <w:szCs w:val="24"/>
              </w:rPr>
              <w:t xml:space="preserve">           </w:t>
            </w:r>
            <w:r w:rsidR="006F30D6" w:rsidRPr="00DE12A3">
              <w:rPr>
                <w:spacing w:val="1"/>
                <w:sz w:val="24"/>
                <w:szCs w:val="24"/>
              </w:rPr>
              <w:t>Polivinil</w:t>
            </w:r>
            <w:r w:rsidR="00242DA0" w:rsidRPr="00DE12A3">
              <w:rPr>
                <w:spacing w:val="1"/>
                <w:sz w:val="24"/>
                <w:szCs w:val="24"/>
              </w:rPr>
              <w:t xml:space="preserve"> florür (PVF) (</w:t>
            </w:r>
            <w:r w:rsidR="00242DA0" w:rsidRPr="00DE12A3">
              <w:rPr>
                <w:spacing w:val="1"/>
                <w:sz w:val="24"/>
                <w:szCs w:val="24"/>
                <w:vertAlign w:val="superscript"/>
              </w:rPr>
              <w:t>2</w:t>
            </w:r>
            <w:r w:rsidR="00242DA0" w:rsidRPr="00DE12A3">
              <w:rPr>
                <w:spacing w:val="1"/>
                <w:sz w:val="24"/>
                <w:szCs w:val="24"/>
              </w:rPr>
              <w:t>), örneğin Tedlar™, poliviniliden florür (</w:t>
            </w:r>
            <w:r w:rsidR="00242DA0" w:rsidRPr="00DE12A3">
              <w:rPr>
                <w:spacing w:val="1"/>
                <w:sz w:val="24"/>
                <w:szCs w:val="24"/>
                <w:vertAlign w:val="superscript"/>
              </w:rPr>
              <w:t>2</w:t>
            </w:r>
            <w:r w:rsidR="00242DA0" w:rsidRPr="00DE12A3">
              <w:rPr>
                <w:spacing w:val="1"/>
                <w:sz w:val="24"/>
                <w:szCs w:val="24"/>
              </w:rPr>
              <w:t>), örneğin Kynar™, politetrafloroetilen (</w:t>
            </w:r>
            <w:r w:rsidR="00242DA0" w:rsidRPr="00DE12A3">
              <w:rPr>
                <w:spacing w:val="1"/>
                <w:sz w:val="24"/>
                <w:szCs w:val="24"/>
                <w:vertAlign w:val="superscript"/>
              </w:rPr>
              <w:t>3</w:t>
            </w:r>
            <w:r w:rsidR="00242DA0" w:rsidRPr="00DE12A3">
              <w:rPr>
                <w:spacing w:val="1"/>
                <w:sz w:val="24"/>
                <w:szCs w:val="24"/>
              </w:rPr>
              <w:t>), örneğin Teflon™ veya paslanmaz çelik (</w:t>
            </w:r>
            <w:r w:rsidR="00242DA0" w:rsidRPr="00DE12A3">
              <w:rPr>
                <w:spacing w:val="1"/>
                <w:sz w:val="24"/>
                <w:szCs w:val="24"/>
                <w:vertAlign w:val="superscript"/>
              </w:rPr>
              <w:t>2</w:t>
            </w:r>
            <w:r w:rsidR="00242DA0" w:rsidRPr="00DE12A3">
              <w:rPr>
                <w:spacing w:val="1"/>
                <w:sz w:val="24"/>
                <w:szCs w:val="24"/>
              </w:rPr>
              <w:t>)</w:t>
            </w:r>
          </w:p>
        </w:tc>
      </w:tr>
      <w:tr w:rsidR="00DE12A3" w:rsidRPr="00DE12A3" w14:paraId="71679E07" w14:textId="77777777" w:rsidTr="00726E69">
        <w:trPr>
          <w:trHeight w:hRule="exact" w:val="840"/>
          <w:jc w:val="right"/>
        </w:trPr>
        <w:tc>
          <w:tcPr>
            <w:tcW w:w="2891" w:type="dxa"/>
          </w:tcPr>
          <w:p w14:paraId="7E807549" w14:textId="77777777" w:rsidR="002D7B36" w:rsidRPr="00DE12A3" w:rsidRDefault="00242DA0" w:rsidP="00C917D6">
            <w:pPr>
              <w:pStyle w:val="Gvdemetni360"/>
              <w:shd w:val="clear" w:color="auto" w:fill="auto"/>
              <w:spacing w:before="120" w:after="120" w:line="240" w:lineRule="auto"/>
              <w:ind w:left="709" w:hanging="709"/>
              <w:rPr>
                <w:sz w:val="24"/>
                <w:szCs w:val="24"/>
                <w:lang w:val="en-US"/>
              </w:rPr>
            </w:pPr>
            <w:r w:rsidRPr="00DE12A3">
              <w:rPr>
                <w:rStyle w:val="Gvdemetni367pt"/>
                <w:color w:val="auto"/>
                <w:spacing w:val="3"/>
                <w:sz w:val="24"/>
                <w:szCs w:val="24"/>
              </w:rPr>
              <w:t>HC</w:t>
            </w:r>
          </w:p>
        </w:tc>
        <w:tc>
          <w:tcPr>
            <w:tcW w:w="5199" w:type="dxa"/>
          </w:tcPr>
          <w:p w14:paraId="21205B9F" w14:textId="77777777" w:rsidR="002D7B36" w:rsidRPr="00DE12A3" w:rsidRDefault="006F30D6" w:rsidP="00C917D6">
            <w:pPr>
              <w:pStyle w:val="Gvdemetni360"/>
              <w:shd w:val="clear" w:color="auto" w:fill="auto"/>
              <w:spacing w:before="120" w:after="120" w:line="240" w:lineRule="auto"/>
              <w:ind w:left="709" w:hanging="709"/>
              <w:rPr>
                <w:sz w:val="24"/>
                <w:szCs w:val="24"/>
                <w:lang w:val="en-US"/>
              </w:rPr>
            </w:pPr>
            <w:r w:rsidRPr="00DE12A3">
              <w:rPr>
                <w:sz w:val="24"/>
                <w:szCs w:val="24"/>
              </w:rPr>
              <w:t>Politetrafloroetilen</w:t>
            </w:r>
            <w:r w:rsidR="00242DA0" w:rsidRPr="00DE12A3">
              <w:rPr>
                <w:sz w:val="24"/>
                <w:szCs w:val="24"/>
              </w:rPr>
              <w:t xml:space="preserve"> (</w:t>
            </w:r>
            <w:r w:rsidR="00242DA0" w:rsidRPr="00DE12A3">
              <w:rPr>
                <w:sz w:val="24"/>
                <w:szCs w:val="24"/>
                <w:vertAlign w:val="superscript"/>
              </w:rPr>
              <w:t>4</w:t>
            </w:r>
            <w:r w:rsidR="00242DA0" w:rsidRPr="00DE12A3">
              <w:rPr>
                <w:sz w:val="24"/>
                <w:szCs w:val="24"/>
              </w:rPr>
              <w:t>) veya paslanmaz çelik (</w:t>
            </w:r>
            <w:r w:rsidR="00242DA0" w:rsidRPr="00DE12A3">
              <w:rPr>
                <w:sz w:val="24"/>
                <w:szCs w:val="24"/>
                <w:vertAlign w:val="superscript"/>
              </w:rPr>
              <w:t>4</w:t>
            </w:r>
            <w:r w:rsidR="00242DA0" w:rsidRPr="00DE12A3">
              <w:rPr>
                <w:sz w:val="24"/>
                <w:szCs w:val="24"/>
              </w:rPr>
              <w:t>)</w:t>
            </w:r>
          </w:p>
        </w:tc>
      </w:tr>
    </w:tbl>
    <w:p w14:paraId="2F266662" w14:textId="77777777" w:rsidR="002D7B36" w:rsidRPr="00DE12A3" w:rsidRDefault="002D7B36" w:rsidP="00C917D6">
      <w:pPr>
        <w:spacing w:before="120" w:after="120"/>
        <w:ind w:left="709" w:hanging="709"/>
        <w:jc w:val="both"/>
        <w:rPr>
          <w:rFonts w:eastAsia="Times New Roman" w:cs="Times New Roman"/>
          <w:color w:val="auto"/>
          <w:sz w:val="20"/>
          <w:szCs w:val="20"/>
          <w:lang w:eastAsia="en-US"/>
        </w:rPr>
      </w:pPr>
    </w:p>
    <w:p w14:paraId="6F32908B" w14:textId="77777777" w:rsidR="002D7B36" w:rsidRPr="00DE12A3" w:rsidRDefault="002D7B36" w:rsidP="00C917D6">
      <w:pPr>
        <w:spacing w:before="120" w:after="120"/>
        <w:ind w:left="709" w:hanging="709"/>
        <w:jc w:val="both"/>
        <w:rPr>
          <w:rFonts w:eastAsia="Times New Roman" w:cs="Times New Roman"/>
          <w:color w:val="auto"/>
          <w:sz w:val="20"/>
          <w:szCs w:val="20"/>
          <w:lang w:eastAsia="en-US"/>
        </w:rPr>
      </w:pPr>
    </w:p>
    <w:p w14:paraId="01E027A0" w14:textId="77777777" w:rsidR="002D7B36" w:rsidRPr="00DE12A3" w:rsidRDefault="002D7B36" w:rsidP="00C917D6">
      <w:pPr>
        <w:spacing w:before="120" w:after="120"/>
        <w:ind w:left="709" w:hanging="709"/>
        <w:jc w:val="both"/>
        <w:rPr>
          <w:rFonts w:eastAsia="Times New Roman" w:cs="Times New Roman"/>
          <w:color w:val="auto"/>
          <w:sz w:val="20"/>
          <w:szCs w:val="20"/>
          <w:lang w:eastAsia="en-US"/>
        </w:rPr>
      </w:pPr>
    </w:p>
    <w:p w14:paraId="0F5CD3CF" w14:textId="77777777" w:rsidR="002D7B36" w:rsidRPr="00DE12A3" w:rsidRDefault="002D7B36" w:rsidP="00C917D6">
      <w:pPr>
        <w:spacing w:before="120" w:after="120"/>
        <w:ind w:left="709" w:hanging="709"/>
        <w:jc w:val="both"/>
        <w:rPr>
          <w:rFonts w:eastAsia="Times New Roman" w:cs="Times New Roman"/>
          <w:color w:val="auto"/>
          <w:sz w:val="20"/>
          <w:szCs w:val="20"/>
          <w:lang w:eastAsia="en-US"/>
        </w:rPr>
      </w:pPr>
    </w:p>
    <w:p w14:paraId="773665E5" w14:textId="77777777" w:rsidR="002D7B36" w:rsidRPr="00DE12A3" w:rsidRDefault="002D7B36" w:rsidP="00C917D6">
      <w:pPr>
        <w:spacing w:before="120" w:after="120"/>
        <w:ind w:left="709" w:hanging="709"/>
        <w:jc w:val="both"/>
        <w:rPr>
          <w:rFonts w:eastAsia="Times New Roman" w:cs="Times New Roman"/>
          <w:color w:val="auto"/>
          <w:sz w:val="20"/>
          <w:szCs w:val="20"/>
          <w:lang w:eastAsia="en-US"/>
        </w:rPr>
      </w:pPr>
    </w:p>
    <w:p w14:paraId="7CEFEDC9" w14:textId="77777777" w:rsidR="002D7B36" w:rsidRPr="00DE12A3" w:rsidRDefault="002D7B36" w:rsidP="00C917D6">
      <w:pPr>
        <w:spacing w:before="120" w:after="120"/>
        <w:ind w:left="709" w:hanging="709"/>
        <w:jc w:val="both"/>
        <w:rPr>
          <w:rFonts w:eastAsia="Times New Roman" w:cs="Times New Roman"/>
          <w:color w:val="auto"/>
          <w:sz w:val="20"/>
          <w:szCs w:val="20"/>
          <w:lang w:eastAsia="en-US"/>
        </w:rPr>
      </w:pPr>
    </w:p>
    <w:p w14:paraId="1B8231EE" w14:textId="77777777" w:rsidR="002D7B36" w:rsidRPr="00DE12A3" w:rsidRDefault="002D7B36" w:rsidP="00C917D6">
      <w:pPr>
        <w:spacing w:before="120" w:after="120"/>
        <w:ind w:left="709" w:hanging="709"/>
        <w:jc w:val="both"/>
        <w:rPr>
          <w:rFonts w:eastAsia="Times New Roman" w:cs="Times New Roman"/>
          <w:color w:val="auto"/>
          <w:sz w:val="20"/>
          <w:szCs w:val="20"/>
          <w:lang w:eastAsia="en-US"/>
        </w:rPr>
      </w:pPr>
    </w:p>
    <w:p w14:paraId="6CC23F51" w14:textId="77777777" w:rsidR="002D7B36" w:rsidRPr="00DE12A3" w:rsidRDefault="00726E69" w:rsidP="00C917D6">
      <w:pPr>
        <w:pBdr>
          <w:top w:val="single" w:sz="4" w:space="15" w:color="auto"/>
          <w:bottom w:val="single" w:sz="4" w:space="1" w:color="auto"/>
        </w:pBdr>
        <w:tabs>
          <w:tab w:val="left" w:pos="220"/>
        </w:tabs>
        <w:spacing w:before="120" w:after="120"/>
        <w:ind w:left="709" w:hanging="709"/>
        <w:jc w:val="both"/>
        <w:rPr>
          <w:rFonts w:cs="Times New Roman"/>
          <w:color w:val="auto"/>
        </w:rPr>
      </w:pPr>
      <w:r w:rsidRPr="00DE12A3">
        <w:rPr>
          <w:rStyle w:val="Gvdemetni367pt"/>
          <w:rFonts w:eastAsia="Courier New"/>
          <w:color w:val="auto"/>
          <w:sz w:val="24"/>
          <w:szCs w:val="24"/>
        </w:rPr>
        <w:t>(</w:t>
      </w:r>
      <w:r w:rsidR="00242DA0" w:rsidRPr="00DE12A3">
        <w:rPr>
          <w:rStyle w:val="Gvdemetni367pt"/>
          <w:rFonts w:eastAsia="Courier New"/>
          <w:color w:val="auto"/>
          <w:sz w:val="24"/>
          <w:szCs w:val="24"/>
          <w:vertAlign w:val="superscript"/>
        </w:rPr>
        <w:t>1</w:t>
      </w:r>
      <w:r w:rsidR="00242DA0" w:rsidRPr="00DE12A3">
        <w:rPr>
          <w:rStyle w:val="Gvdemetni367pt"/>
          <w:rFonts w:eastAsia="Courier New"/>
          <w:color w:val="auto"/>
          <w:sz w:val="24"/>
          <w:szCs w:val="24"/>
        </w:rPr>
        <w:t>)</w:t>
      </w:r>
      <w:r w:rsidR="00242DA0" w:rsidRPr="00DE12A3">
        <w:rPr>
          <w:rStyle w:val="Gvdemetni367pt"/>
          <w:rFonts w:eastAsia="Courier New"/>
          <w:color w:val="auto"/>
          <w:sz w:val="24"/>
          <w:szCs w:val="24"/>
        </w:rPr>
        <w:tab/>
      </w:r>
      <w:r w:rsidR="00242DA0" w:rsidRPr="00DE12A3">
        <w:rPr>
          <w:rFonts w:cs="Times New Roman"/>
          <w:color w:val="auto"/>
        </w:rPr>
        <w:t>Depolama kabında sulu yoğuşma önlendiği sürece</w:t>
      </w:r>
      <w:r w:rsidR="00242DA0" w:rsidRPr="00DE12A3">
        <w:rPr>
          <w:rStyle w:val="Tabloyazs12"/>
          <w:rFonts w:eastAsia="Courier New"/>
          <w:color w:val="auto"/>
          <w:sz w:val="24"/>
          <w:szCs w:val="24"/>
        </w:rPr>
        <w:t>.</w:t>
      </w:r>
    </w:p>
    <w:p w14:paraId="7303E7AE" w14:textId="77777777" w:rsidR="002D7B36" w:rsidRPr="00DE12A3" w:rsidRDefault="00242DA0" w:rsidP="00C917D6">
      <w:pPr>
        <w:pBdr>
          <w:top w:val="single" w:sz="4" w:space="15" w:color="auto"/>
          <w:bottom w:val="single" w:sz="4" w:space="1" w:color="auto"/>
        </w:pBdr>
        <w:tabs>
          <w:tab w:val="left" w:pos="220"/>
        </w:tabs>
        <w:spacing w:before="120" w:after="120"/>
        <w:ind w:left="709" w:hanging="709"/>
        <w:jc w:val="both"/>
        <w:rPr>
          <w:rFonts w:cs="Times New Roman"/>
          <w:color w:val="auto"/>
        </w:rPr>
      </w:pPr>
      <w:r w:rsidRPr="00DE12A3">
        <w:rPr>
          <w:rFonts w:cs="Times New Roman"/>
          <w:color w:val="auto"/>
        </w:rPr>
        <w:t>(</w:t>
      </w:r>
      <w:r w:rsidRPr="00DE12A3">
        <w:rPr>
          <w:rFonts w:cs="Times New Roman"/>
          <w:color w:val="auto"/>
          <w:vertAlign w:val="superscript"/>
        </w:rPr>
        <w:t>2</w:t>
      </w:r>
      <w:r w:rsidRPr="00DE12A3">
        <w:rPr>
          <w:rFonts w:cs="Times New Roman"/>
          <w:color w:val="auto"/>
        </w:rPr>
        <w:t>)</w:t>
      </w:r>
      <w:r w:rsidRPr="00DE12A3">
        <w:rPr>
          <w:rFonts w:cs="Times New Roman"/>
          <w:color w:val="auto"/>
        </w:rPr>
        <w:tab/>
        <w:t>313 K'ye (40 °C) kadar.</w:t>
      </w:r>
    </w:p>
    <w:p w14:paraId="77DBF5B8" w14:textId="77777777" w:rsidR="002D7B36" w:rsidRPr="00DE12A3" w:rsidRDefault="00242DA0" w:rsidP="00C917D6">
      <w:pPr>
        <w:pBdr>
          <w:top w:val="single" w:sz="4" w:space="15" w:color="auto"/>
          <w:bottom w:val="single" w:sz="4" w:space="1" w:color="auto"/>
        </w:pBdr>
        <w:tabs>
          <w:tab w:val="left" w:pos="220"/>
        </w:tabs>
        <w:spacing w:before="120" w:after="120"/>
        <w:ind w:left="709" w:hanging="709"/>
        <w:jc w:val="both"/>
        <w:rPr>
          <w:rFonts w:cs="Times New Roman"/>
          <w:color w:val="auto"/>
        </w:rPr>
      </w:pPr>
      <w:r w:rsidRPr="00DE12A3">
        <w:rPr>
          <w:rFonts w:cs="Times New Roman"/>
          <w:color w:val="auto"/>
        </w:rPr>
        <w:t>(</w:t>
      </w:r>
      <w:r w:rsidRPr="00DE12A3">
        <w:rPr>
          <w:rFonts w:cs="Times New Roman"/>
          <w:color w:val="auto"/>
          <w:vertAlign w:val="superscript"/>
        </w:rPr>
        <w:t>3</w:t>
      </w:r>
      <w:r w:rsidRPr="00DE12A3">
        <w:rPr>
          <w:rFonts w:cs="Times New Roman"/>
          <w:color w:val="auto"/>
        </w:rPr>
        <w:t>)</w:t>
      </w:r>
      <w:r w:rsidRPr="00DE12A3">
        <w:rPr>
          <w:rFonts w:cs="Times New Roman"/>
          <w:color w:val="auto"/>
        </w:rPr>
        <w:tab/>
        <w:t>475 K'ye (202 °C) kadar</w:t>
      </w:r>
      <w:r w:rsidRPr="00DE12A3">
        <w:rPr>
          <w:rStyle w:val="Tabloyazs12"/>
          <w:rFonts w:eastAsia="Courier New"/>
          <w:color w:val="auto"/>
          <w:sz w:val="24"/>
          <w:szCs w:val="24"/>
        </w:rPr>
        <w:t>.</w:t>
      </w:r>
    </w:p>
    <w:p w14:paraId="4C6E8942" w14:textId="77777777" w:rsidR="002D7B36" w:rsidRPr="00DE12A3" w:rsidRDefault="00242DA0" w:rsidP="00C917D6">
      <w:pPr>
        <w:pBdr>
          <w:top w:val="single" w:sz="4" w:space="15" w:color="auto"/>
          <w:bottom w:val="single" w:sz="4" w:space="1" w:color="auto"/>
        </w:pBdr>
        <w:tabs>
          <w:tab w:val="left" w:pos="220"/>
        </w:tabs>
        <w:spacing w:before="120" w:after="120"/>
        <w:ind w:left="709" w:hanging="709"/>
        <w:jc w:val="both"/>
        <w:rPr>
          <w:rFonts w:cs="Times New Roman"/>
          <w:color w:val="auto"/>
        </w:rPr>
      </w:pPr>
      <w:r w:rsidRPr="00DE12A3">
        <w:rPr>
          <w:rFonts w:cs="Times New Roman"/>
          <w:color w:val="auto"/>
        </w:rPr>
        <w:t>(</w:t>
      </w:r>
      <w:r w:rsidRPr="00DE12A3">
        <w:rPr>
          <w:rFonts w:cs="Times New Roman"/>
          <w:color w:val="auto"/>
          <w:vertAlign w:val="superscript"/>
        </w:rPr>
        <w:t>4</w:t>
      </w:r>
      <w:r w:rsidRPr="00DE12A3">
        <w:rPr>
          <w:rFonts w:cs="Times New Roman"/>
          <w:color w:val="auto"/>
        </w:rPr>
        <w:t>)</w:t>
      </w:r>
      <w:r w:rsidRPr="00DE12A3">
        <w:rPr>
          <w:rFonts w:cs="Times New Roman"/>
          <w:color w:val="auto"/>
        </w:rPr>
        <w:tab/>
        <w:t>464 ± 11 K'de (191 ± 11 °C</w:t>
      </w:r>
      <w:r w:rsidRPr="00DE12A3">
        <w:rPr>
          <w:rStyle w:val="Tabloyazs12"/>
          <w:rFonts w:eastAsia="Courier New"/>
          <w:color w:val="auto"/>
          <w:sz w:val="24"/>
          <w:szCs w:val="24"/>
        </w:rPr>
        <w:t>).</w:t>
      </w:r>
    </w:p>
    <w:p w14:paraId="479474BB" w14:textId="77777777" w:rsidR="002D7B36" w:rsidRPr="00DE12A3" w:rsidRDefault="002D7B36" w:rsidP="00C917D6">
      <w:pPr>
        <w:pBdr>
          <w:top w:val="single" w:sz="4" w:space="15" w:color="auto"/>
          <w:bottom w:val="single" w:sz="4" w:space="1" w:color="auto"/>
        </w:pBdr>
        <w:tabs>
          <w:tab w:val="left" w:pos="2520"/>
        </w:tabs>
        <w:spacing w:before="120" w:after="120"/>
        <w:ind w:left="709" w:hanging="709"/>
        <w:jc w:val="both"/>
        <w:rPr>
          <w:rFonts w:eastAsia="Times New Roman" w:cs="Times New Roman"/>
          <w:color w:val="auto"/>
          <w:sz w:val="20"/>
          <w:szCs w:val="20"/>
          <w:lang w:eastAsia="en-US"/>
        </w:rPr>
      </w:pPr>
    </w:p>
    <w:p w14:paraId="254EF5EA" w14:textId="77777777" w:rsidR="002D7B36" w:rsidRPr="00DE12A3" w:rsidRDefault="002D7B36" w:rsidP="00C917D6">
      <w:pPr>
        <w:spacing w:before="120" w:after="120"/>
        <w:ind w:left="709" w:hanging="709"/>
        <w:jc w:val="both"/>
        <w:rPr>
          <w:rFonts w:eastAsia="Times New Roman" w:cs="Times New Roman"/>
          <w:color w:val="auto"/>
          <w:sz w:val="20"/>
          <w:szCs w:val="20"/>
          <w:lang w:eastAsia="en-US"/>
        </w:rPr>
      </w:pPr>
    </w:p>
    <w:p w14:paraId="613CCC86" w14:textId="77777777" w:rsidR="002D7B36" w:rsidRPr="00DE12A3" w:rsidRDefault="00726E69" w:rsidP="00E20716">
      <w:pPr>
        <w:numPr>
          <w:ilvl w:val="0"/>
          <w:numId w:val="321"/>
        </w:numPr>
        <w:tabs>
          <w:tab w:val="left" w:pos="900"/>
        </w:tabs>
        <w:spacing w:before="120" w:after="120"/>
        <w:ind w:left="1134" w:hanging="1134"/>
        <w:jc w:val="both"/>
        <w:rPr>
          <w:rFonts w:eastAsia="Times New Roman" w:cs="Times New Roman"/>
          <w:color w:val="auto"/>
          <w:spacing w:val="3"/>
          <w:lang w:eastAsia="en-US"/>
        </w:rPr>
      </w:pPr>
      <w:r w:rsidRPr="00DE12A3">
        <w:rPr>
          <w:rFonts w:eastAsia="Times New Roman" w:cs="Times New Roman"/>
          <w:color w:val="auto"/>
          <w:spacing w:val="4"/>
          <w:shd w:val="clear" w:color="auto" w:fill="FFFFFF"/>
          <w:lang w:eastAsia="en-US"/>
        </w:rPr>
        <w:t xml:space="preserve">   </w:t>
      </w:r>
      <w:r w:rsidR="00242DA0" w:rsidRPr="00DE12A3">
        <w:rPr>
          <w:rFonts w:eastAsia="Times New Roman" w:cs="Times New Roman"/>
          <w:color w:val="auto"/>
          <w:spacing w:val="4"/>
          <w:shd w:val="clear" w:color="auto" w:fill="FFFFFF"/>
          <w:lang w:eastAsia="en-US"/>
        </w:rPr>
        <w:t xml:space="preserve">PM </w:t>
      </w:r>
      <w:r w:rsidR="00242DA0" w:rsidRPr="00DE12A3">
        <w:rPr>
          <w:rFonts w:eastAsia="Times New Roman" w:cs="Times New Roman"/>
          <w:color w:val="auto"/>
          <w:spacing w:val="1"/>
          <w:lang w:eastAsia="en-US"/>
        </w:rPr>
        <w:t>örnekleme</w:t>
      </w:r>
    </w:p>
    <w:p w14:paraId="747F2B8F" w14:textId="77777777" w:rsidR="002D7B36" w:rsidRPr="00DE12A3" w:rsidRDefault="00726E69" w:rsidP="00E20716">
      <w:pPr>
        <w:numPr>
          <w:ilvl w:val="0"/>
          <w:numId w:val="334"/>
        </w:numPr>
        <w:tabs>
          <w:tab w:val="left" w:pos="907"/>
        </w:tabs>
        <w:spacing w:before="120" w:after="120"/>
        <w:ind w:left="1134" w:hanging="1134"/>
        <w:jc w:val="both"/>
        <w:rPr>
          <w:rFonts w:eastAsia="Times New Roman" w:cs="Times New Roman"/>
          <w:color w:val="auto"/>
          <w:spacing w:val="3"/>
          <w:lang w:eastAsia="en-US"/>
        </w:rPr>
      </w:pPr>
      <w:r w:rsidRPr="00DE12A3">
        <w:rPr>
          <w:rFonts w:eastAsia="Times New Roman" w:cs="Times New Roman"/>
          <w:color w:val="auto"/>
          <w:spacing w:val="1"/>
          <w:lang w:eastAsia="en-US"/>
        </w:rPr>
        <w:t xml:space="preserve">   </w:t>
      </w:r>
      <w:r w:rsidR="00242DA0" w:rsidRPr="00DE12A3">
        <w:rPr>
          <w:rFonts w:eastAsia="Times New Roman" w:cs="Times New Roman"/>
          <w:color w:val="auto"/>
          <w:spacing w:val="1"/>
          <w:lang w:eastAsia="en-US"/>
        </w:rPr>
        <w:t>Örnekleme sondaları</w:t>
      </w:r>
    </w:p>
    <w:p w14:paraId="4DB708F4" w14:textId="77777777" w:rsidR="002D7B36" w:rsidRPr="00DE12A3" w:rsidRDefault="00242DA0" w:rsidP="00C917D6">
      <w:pPr>
        <w:spacing w:before="120" w:after="120"/>
        <w:ind w:left="1134"/>
        <w:jc w:val="both"/>
        <w:rPr>
          <w:rFonts w:eastAsia="Times New Roman" w:cs="Times New Roman"/>
          <w:color w:val="auto"/>
          <w:spacing w:val="3"/>
          <w:lang w:eastAsia="en-US"/>
        </w:rPr>
      </w:pPr>
      <w:r w:rsidRPr="00DE12A3">
        <w:rPr>
          <w:rFonts w:eastAsia="Times New Roman" w:cs="Times New Roman"/>
          <w:color w:val="auto"/>
          <w:spacing w:val="1"/>
          <w:lang w:eastAsia="en-US"/>
        </w:rPr>
        <w:t>Ucunda tek bir açıklığa sahip PM sondaları kullanılmalıdır. PM sondaları doğrudan giriş tarafına bakacak şekilde yönlendirilmelidir</w:t>
      </w:r>
      <w:r w:rsidRPr="00DE12A3">
        <w:rPr>
          <w:rFonts w:eastAsia="Times New Roman" w:cs="Times New Roman"/>
          <w:color w:val="auto"/>
          <w:spacing w:val="4"/>
          <w:shd w:val="clear" w:color="auto" w:fill="FFFFFF"/>
          <w:lang w:eastAsia="en-US"/>
        </w:rPr>
        <w:t>.</w:t>
      </w:r>
    </w:p>
    <w:p w14:paraId="01DF6A29" w14:textId="77777777" w:rsidR="002D7B36" w:rsidRPr="00DE12A3" w:rsidRDefault="00242DA0" w:rsidP="00C917D6">
      <w:pPr>
        <w:spacing w:before="120" w:after="120"/>
        <w:ind w:left="1134"/>
        <w:jc w:val="both"/>
        <w:rPr>
          <w:rFonts w:eastAsia="Times New Roman" w:cs="Times New Roman"/>
          <w:color w:val="auto"/>
          <w:spacing w:val="4"/>
          <w:shd w:val="clear" w:color="auto" w:fill="FFFFFF"/>
          <w:lang w:eastAsia="en-US"/>
        </w:rPr>
      </w:pPr>
      <w:r w:rsidRPr="00DE12A3">
        <w:rPr>
          <w:rFonts w:eastAsia="Times New Roman" w:cs="Times New Roman"/>
          <w:color w:val="auto"/>
          <w:spacing w:val="1"/>
          <w:lang w:eastAsia="en-US"/>
        </w:rPr>
        <w:t>PM sondası, Şekil 6.8'deki şartlara uygun bir şapka ile korunabilir. Bu durumda, 9.3.3.3 bendinde açıklanan ön sınıflandırıcı kullanılmaz</w:t>
      </w:r>
      <w:r w:rsidRPr="00DE12A3">
        <w:rPr>
          <w:rFonts w:eastAsia="Times New Roman" w:cs="Times New Roman"/>
          <w:color w:val="auto"/>
          <w:spacing w:val="4"/>
          <w:shd w:val="clear" w:color="auto" w:fill="FFFFFF"/>
          <w:lang w:eastAsia="en-US"/>
        </w:rPr>
        <w:t>.</w:t>
      </w:r>
    </w:p>
    <w:p w14:paraId="72F8617C" w14:textId="77777777" w:rsidR="00B17281" w:rsidRPr="00DE12A3" w:rsidRDefault="00B17281" w:rsidP="00C917D6">
      <w:pPr>
        <w:spacing w:before="120" w:after="120"/>
        <w:ind w:left="709"/>
        <w:jc w:val="both"/>
        <w:rPr>
          <w:rFonts w:eastAsia="Times New Roman" w:cs="Times New Roman"/>
          <w:color w:val="auto"/>
          <w:spacing w:val="4"/>
          <w:sz w:val="20"/>
          <w:szCs w:val="20"/>
          <w:shd w:val="clear" w:color="auto" w:fill="FFFFFF"/>
          <w:lang w:eastAsia="en-US"/>
        </w:rPr>
      </w:pPr>
    </w:p>
    <w:p w14:paraId="3DC0D3E7" w14:textId="77777777" w:rsidR="00B17281" w:rsidRPr="00DE12A3" w:rsidRDefault="00B17281" w:rsidP="00C917D6">
      <w:pPr>
        <w:spacing w:before="120" w:after="120"/>
        <w:ind w:left="709" w:hanging="709"/>
        <w:jc w:val="both"/>
        <w:rPr>
          <w:rFonts w:eastAsia="Times New Roman" w:cs="Times New Roman"/>
          <w:color w:val="auto"/>
          <w:spacing w:val="4"/>
          <w:sz w:val="20"/>
          <w:szCs w:val="20"/>
          <w:shd w:val="clear" w:color="auto" w:fill="FFFFFF"/>
          <w:lang w:eastAsia="en-US"/>
        </w:rPr>
      </w:pPr>
    </w:p>
    <w:p w14:paraId="298E0715" w14:textId="77777777" w:rsidR="002D7B36" w:rsidRPr="00DE12A3" w:rsidRDefault="00242DA0" w:rsidP="00C917D6">
      <w:pPr>
        <w:spacing w:before="120" w:after="120"/>
        <w:ind w:left="709" w:hanging="709"/>
        <w:jc w:val="center"/>
        <w:rPr>
          <w:rFonts w:eastAsia="Times New Roman" w:cs="Times New Roman"/>
          <w:iCs/>
          <w:color w:val="auto"/>
          <w:spacing w:val="3"/>
          <w:lang w:eastAsia="en-US"/>
        </w:rPr>
      </w:pPr>
      <w:r w:rsidRPr="00DE12A3">
        <w:rPr>
          <w:rFonts w:eastAsia="Times New Roman" w:cs="Times New Roman"/>
          <w:iCs/>
          <w:color w:val="auto"/>
          <w:spacing w:val="3"/>
          <w:lang w:eastAsia="en-US"/>
        </w:rPr>
        <w:t>Şekil 6.8</w:t>
      </w:r>
    </w:p>
    <w:p w14:paraId="48B27304" w14:textId="77777777" w:rsidR="002D7B36" w:rsidRPr="00DE12A3" w:rsidRDefault="00242DA0" w:rsidP="00C917D6">
      <w:pPr>
        <w:spacing w:before="120" w:after="120"/>
        <w:ind w:left="709" w:hanging="709"/>
        <w:jc w:val="center"/>
        <w:rPr>
          <w:rFonts w:eastAsia="Times New Roman" w:cs="Times New Roman"/>
          <w:b/>
          <w:bCs/>
          <w:color w:val="auto"/>
          <w:spacing w:val="3"/>
          <w:lang w:eastAsia="en-US"/>
        </w:rPr>
      </w:pPr>
      <w:r w:rsidRPr="00DE12A3">
        <w:rPr>
          <w:rFonts w:eastAsia="Times New Roman" w:cs="Times New Roman"/>
          <w:b/>
          <w:bCs/>
          <w:color w:val="auto"/>
          <w:spacing w:val="3"/>
          <w:lang w:eastAsia="en-US"/>
        </w:rPr>
        <w:t>Şapka-şekilli bir ön sınıflandırıcıya sahip örnekleme sondasının şeması</w:t>
      </w:r>
    </w:p>
    <w:p w14:paraId="00F337C0" w14:textId="4EA7CAD9" w:rsidR="002D7B36" w:rsidRPr="00DE12A3" w:rsidRDefault="00B17281" w:rsidP="00C917D6">
      <w:pPr>
        <w:spacing w:before="120" w:after="120"/>
        <w:ind w:left="709" w:hanging="709"/>
        <w:jc w:val="both"/>
        <w:rPr>
          <w:rFonts w:eastAsia="Times New Roman" w:cs="Times New Roman"/>
          <w:color w:val="auto"/>
          <w:sz w:val="20"/>
          <w:szCs w:val="20"/>
          <w:lang w:eastAsia="en-US"/>
        </w:rPr>
      </w:pPr>
      <w:r w:rsidRPr="00DE12A3">
        <w:rPr>
          <w:rFonts w:cs="Times New Roman"/>
          <w:noProof/>
          <w:color w:val="auto"/>
        </w:rPr>
        <w:lastRenderedPageBreak/>
        <w:drawing>
          <wp:inline distT="0" distB="0" distL="0" distR="0" wp14:anchorId="42AA1CDE" wp14:editId="02B88A4D">
            <wp:extent cx="5760720" cy="2731477"/>
            <wp:effectExtent l="0" t="0" r="0" b="0"/>
            <wp:docPr id="2409" name="Resim 24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777001" cy="2739197"/>
                    </a:xfrm>
                    <a:prstGeom prst="rect">
                      <a:avLst/>
                    </a:prstGeom>
                    <a:noFill/>
                    <a:ln>
                      <a:noFill/>
                    </a:ln>
                  </pic:spPr>
                </pic:pic>
              </a:graphicData>
            </a:graphic>
          </wp:inline>
        </w:drawing>
      </w:r>
    </w:p>
    <w:p w14:paraId="0DAE6552" w14:textId="77777777" w:rsidR="002D7B36" w:rsidRPr="00DE12A3" w:rsidRDefault="002D7B36" w:rsidP="00C917D6">
      <w:pPr>
        <w:spacing w:before="120" w:after="120"/>
        <w:ind w:left="709" w:hanging="709"/>
        <w:jc w:val="both"/>
        <w:rPr>
          <w:rFonts w:eastAsia="Times New Roman" w:cs="Times New Roman"/>
          <w:color w:val="auto"/>
          <w:sz w:val="20"/>
          <w:szCs w:val="20"/>
          <w:lang w:eastAsia="en-US"/>
        </w:rPr>
      </w:pPr>
    </w:p>
    <w:p w14:paraId="7671A07A" w14:textId="77777777" w:rsidR="002D7B36" w:rsidRPr="00DE12A3" w:rsidRDefault="00242DA0" w:rsidP="00C917D6">
      <w:pPr>
        <w:spacing w:before="120" w:after="120"/>
        <w:ind w:left="1134" w:hanging="1134"/>
        <w:jc w:val="both"/>
        <w:rPr>
          <w:rFonts w:eastAsia="Times New Roman" w:cs="Times New Roman"/>
          <w:color w:val="auto"/>
          <w:lang w:eastAsia="en-US"/>
        </w:rPr>
      </w:pPr>
      <w:r w:rsidRPr="00DE12A3">
        <w:rPr>
          <w:rFonts w:eastAsia="Times New Roman" w:cs="Times New Roman"/>
          <w:color w:val="auto"/>
          <w:lang w:eastAsia="en-US"/>
        </w:rPr>
        <w:t>9.3.3.2.</w:t>
      </w:r>
      <w:r w:rsidRPr="00DE12A3">
        <w:rPr>
          <w:rFonts w:eastAsia="Times New Roman" w:cs="Times New Roman"/>
          <w:color w:val="auto"/>
          <w:sz w:val="20"/>
          <w:szCs w:val="20"/>
          <w:lang w:eastAsia="en-US"/>
        </w:rPr>
        <w:tab/>
      </w:r>
      <w:r w:rsidRPr="00DE12A3">
        <w:rPr>
          <w:rFonts w:eastAsia="Times New Roman" w:cs="Times New Roman"/>
          <w:color w:val="auto"/>
          <w:lang w:eastAsia="en-US"/>
        </w:rPr>
        <w:t>Aktarım hatları</w:t>
      </w:r>
    </w:p>
    <w:p w14:paraId="00265BAD" w14:textId="5867D868" w:rsidR="002D7B36" w:rsidRPr="00DE12A3" w:rsidRDefault="00F53F7C" w:rsidP="00C917D6">
      <w:pPr>
        <w:spacing w:before="120" w:after="120"/>
        <w:ind w:left="1134" w:hanging="1134"/>
        <w:jc w:val="both"/>
        <w:rPr>
          <w:rFonts w:eastAsia="Times New Roman" w:cs="Times New Roman"/>
          <w:color w:val="auto"/>
          <w:lang w:eastAsia="en-US"/>
        </w:rPr>
      </w:pPr>
      <w:r w:rsidRPr="00DE12A3">
        <w:rPr>
          <w:rFonts w:eastAsia="Times New Roman" w:cs="Times New Roman"/>
          <w:color w:val="auto"/>
          <w:lang w:eastAsia="en-US"/>
        </w:rPr>
        <w:t xml:space="preserve">                   </w:t>
      </w:r>
      <w:r w:rsidR="00242DA0" w:rsidRPr="00DE12A3">
        <w:rPr>
          <w:rFonts w:eastAsia="Times New Roman" w:cs="Times New Roman"/>
          <w:color w:val="auto"/>
          <w:lang w:eastAsia="en-US"/>
        </w:rPr>
        <w:t>Aktarım hatları ve egzoz gazı bileşenleri arasındaki sıcaklık farklarını en aza indirmek için yalıtımlı veya ısıtılmış aktarım hatları veya ısıtılmış bir muhafaza kullanılması önerilir. PM ile tepkimeye girmeyen ve iç yüzeyleri elektriksel olarak iletken olan aktarım hatları kullanılmalıdır. Paslanmaz çelikten yapılmış PM aktarım hatları kullanılması önerilir</w:t>
      </w:r>
      <w:r w:rsidR="00B528E1" w:rsidRPr="00DE12A3">
        <w:rPr>
          <w:rFonts w:eastAsia="Times New Roman" w:cs="Times New Roman"/>
          <w:color w:val="auto"/>
          <w:lang w:eastAsia="en-US"/>
        </w:rPr>
        <w:t>.</w:t>
      </w:r>
      <w:r w:rsidR="00242DA0" w:rsidRPr="00DE12A3">
        <w:rPr>
          <w:rFonts w:eastAsia="Times New Roman" w:cs="Times New Roman"/>
          <w:color w:val="auto"/>
          <w:lang w:eastAsia="en-US"/>
        </w:rPr>
        <w:t xml:space="preserve"> </w:t>
      </w:r>
      <w:r w:rsidR="00B528E1" w:rsidRPr="00DE12A3">
        <w:rPr>
          <w:rFonts w:eastAsia="Times New Roman" w:cs="Times New Roman"/>
          <w:color w:val="auto"/>
          <w:lang w:eastAsia="en-US"/>
        </w:rPr>
        <w:t>P</w:t>
      </w:r>
      <w:r w:rsidR="00242DA0" w:rsidRPr="00DE12A3">
        <w:rPr>
          <w:rFonts w:eastAsia="Times New Roman" w:cs="Times New Roman"/>
          <w:color w:val="auto"/>
          <w:lang w:eastAsia="en-US"/>
        </w:rPr>
        <w:t>aslanmaz çelik dışındaki herhangi bir malzemenin, paslanmaz çelikle aynı örnekleme performansını sağlaması gerekecektir. PM aktarım hatlarının iç yüzeyi elektriksel olarak topraklanmalıdır.</w:t>
      </w:r>
    </w:p>
    <w:p w14:paraId="5A97B491" w14:textId="77777777" w:rsidR="002D7B36" w:rsidRPr="00DE12A3" w:rsidRDefault="00242DA0" w:rsidP="00C917D6">
      <w:pPr>
        <w:spacing w:before="120" w:after="120"/>
        <w:ind w:left="1134" w:hanging="1134"/>
        <w:jc w:val="both"/>
        <w:rPr>
          <w:rFonts w:eastAsia="Times New Roman" w:cs="Times New Roman"/>
          <w:color w:val="auto"/>
          <w:lang w:eastAsia="en-US"/>
        </w:rPr>
      </w:pPr>
      <w:r w:rsidRPr="00DE12A3">
        <w:rPr>
          <w:rFonts w:eastAsia="Times New Roman" w:cs="Times New Roman"/>
          <w:color w:val="auto"/>
          <w:lang w:eastAsia="en-US"/>
        </w:rPr>
        <w:t>9.3.3.3.</w:t>
      </w:r>
      <w:r w:rsidRPr="00DE12A3">
        <w:rPr>
          <w:rFonts w:eastAsia="Times New Roman" w:cs="Times New Roman"/>
          <w:color w:val="auto"/>
          <w:lang w:eastAsia="en-US"/>
        </w:rPr>
        <w:tab/>
      </w:r>
      <w:r w:rsidR="00726E69" w:rsidRPr="00DE12A3">
        <w:rPr>
          <w:rFonts w:eastAsia="Times New Roman" w:cs="Times New Roman"/>
          <w:color w:val="auto"/>
          <w:lang w:eastAsia="en-US"/>
        </w:rPr>
        <w:t>Ön sınıflandırıcı</w:t>
      </w:r>
    </w:p>
    <w:p w14:paraId="08F70BC7" w14:textId="77777777" w:rsidR="002D7B36" w:rsidRPr="00DE12A3" w:rsidRDefault="00F53F7C" w:rsidP="00C917D6">
      <w:pPr>
        <w:spacing w:before="120" w:after="120"/>
        <w:ind w:left="1134" w:hanging="1134"/>
        <w:jc w:val="both"/>
        <w:rPr>
          <w:rFonts w:eastAsia="Times New Roman" w:cs="Times New Roman"/>
          <w:color w:val="auto"/>
          <w:lang w:eastAsia="en-US"/>
        </w:rPr>
      </w:pPr>
      <w:r w:rsidRPr="00DE12A3">
        <w:rPr>
          <w:rFonts w:eastAsia="Times New Roman" w:cs="Times New Roman"/>
          <w:color w:val="auto"/>
          <w:lang w:eastAsia="en-US"/>
        </w:rPr>
        <w:t xml:space="preserve">                   </w:t>
      </w:r>
      <w:r w:rsidR="00242DA0" w:rsidRPr="00DE12A3">
        <w:rPr>
          <w:rFonts w:eastAsia="Times New Roman" w:cs="Times New Roman"/>
          <w:color w:val="auto"/>
          <w:lang w:eastAsia="en-US"/>
        </w:rPr>
        <w:t>Büyük çaplı parçacıkları gidermek için, doğrudan seyreltme sistemine filtre tutucusundan önce monte edilmiş olan PM ön sınıflandırıcısının kullanılmasına izin verilir. Sadece bir ön sınıflandırıcıya izin verilir. Şapka şekilli bir sonda kullanılıyorsa (bkz. Şekil 6.8), ön sınıflandırıcı kullanılması yasaktır.</w:t>
      </w:r>
    </w:p>
    <w:p w14:paraId="088B7EC7" w14:textId="77777777" w:rsidR="002D7B36" w:rsidRPr="00DE12A3" w:rsidRDefault="00F53F7C" w:rsidP="00C917D6">
      <w:pPr>
        <w:shd w:val="clear" w:color="auto" w:fill="FFFFFF"/>
        <w:spacing w:before="120" w:after="120"/>
        <w:ind w:left="1134" w:hanging="1134"/>
        <w:jc w:val="both"/>
        <w:rPr>
          <w:rFonts w:eastAsia="Times New Roman" w:cs="Times New Roman"/>
          <w:color w:val="auto"/>
          <w:spacing w:val="3"/>
          <w:lang w:eastAsia="en-US"/>
        </w:rPr>
      </w:pPr>
      <w:r w:rsidRPr="00DE12A3">
        <w:rPr>
          <w:rFonts w:eastAsia="Times New Roman" w:cs="Times New Roman"/>
          <w:color w:val="auto"/>
          <w:spacing w:val="3"/>
          <w:lang w:eastAsia="en-US"/>
        </w:rPr>
        <w:t xml:space="preserve">                  </w:t>
      </w:r>
      <w:r w:rsidR="00242DA0" w:rsidRPr="00DE12A3">
        <w:rPr>
          <w:rFonts w:eastAsia="Times New Roman" w:cs="Times New Roman"/>
          <w:color w:val="auto"/>
          <w:spacing w:val="3"/>
          <w:lang w:eastAsia="en-US"/>
        </w:rPr>
        <w:t xml:space="preserve">PM ön sınıflandırıcısı, ataletsiz bir ayrıştırıcı veya siklonik bir ayırıcı olabilir. Paslanmaz çelikten yapılmış olmalıdır. Ön sınıflandırıcı, 10 μm'lik bir aerodinamik çapta PM'nin en az </w:t>
      </w:r>
      <w:r w:rsidR="00470AD1" w:rsidRPr="00DE12A3">
        <w:rPr>
          <w:rFonts w:eastAsia="Times New Roman" w:cs="Times New Roman"/>
          <w:color w:val="auto"/>
          <w:spacing w:val="3"/>
          <w:lang w:eastAsia="en-US"/>
        </w:rPr>
        <w:t>%50</w:t>
      </w:r>
      <w:r w:rsidR="00242DA0" w:rsidRPr="00DE12A3">
        <w:rPr>
          <w:rFonts w:eastAsia="Times New Roman" w:cs="Times New Roman"/>
          <w:color w:val="auto"/>
          <w:spacing w:val="3"/>
          <w:lang w:eastAsia="en-US"/>
        </w:rPr>
        <w:t xml:space="preserve">'sini ve kullanıldığı akış hızları aralığı boyunca 1 μm'lik bir aerodinamik çapta PM'nin en çok </w:t>
      </w:r>
      <w:r w:rsidR="00470AD1" w:rsidRPr="00DE12A3">
        <w:rPr>
          <w:rFonts w:eastAsia="Times New Roman" w:cs="Times New Roman"/>
          <w:color w:val="auto"/>
          <w:spacing w:val="3"/>
          <w:lang w:eastAsia="en-US"/>
        </w:rPr>
        <w:t>%1</w:t>
      </w:r>
      <w:r w:rsidR="00242DA0" w:rsidRPr="00DE12A3">
        <w:rPr>
          <w:rFonts w:eastAsia="Times New Roman" w:cs="Times New Roman"/>
          <w:color w:val="auto"/>
          <w:spacing w:val="3"/>
          <w:lang w:eastAsia="en-US"/>
        </w:rPr>
        <w:t>'ini giderecek şekilde derecelendirilmelidir. Ön sınıflandırıcı çıkışı, ön sınıflandırıcı akışının bir teste başlamadan önce dengelenebileceği şekilde her PM numune filtresini bypass edecek bir imkanla yapılandırılmalıdır. PM numune filtresi, ön sınıflandırıcının çıkış tarafından 75 cm içinde yerleştirilmelidir.</w:t>
      </w:r>
    </w:p>
    <w:p w14:paraId="6A8B5595" w14:textId="77777777" w:rsidR="002D7B36" w:rsidRPr="00DE12A3" w:rsidRDefault="002D7B36" w:rsidP="00E20716">
      <w:pPr>
        <w:pStyle w:val="ListeParagraf"/>
        <w:numPr>
          <w:ilvl w:val="0"/>
          <w:numId w:val="334"/>
        </w:numPr>
        <w:shd w:val="clear" w:color="auto" w:fill="FFFFFF"/>
        <w:spacing w:before="120" w:after="120"/>
        <w:ind w:left="1134" w:hanging="1134"/>
        <w:contextualSpacing w:val="0"/>
        <w:jc w:val="both"/>
        <w:rPr>
          <w:rFonts w:eastAsia="Times New Roman" w:cs="Times New Roman"/>
          <w:vanish/>
          <w:color w:val="auto"/>
          <w:spacing w:val="3"/>
          <w:lang w:eastAsia="en-US"/>
        </w:rPr>
      </w:pPr>
    </w:p>
    <w:p w14:paraId="7E5F254B" w14:textId="77777777" w:rsidR="002D7B36" w:rsidRPr="00DE12A3" w:rsidRDefault="002D7B36" w:rsidP="00E20716">
      <w:pPr>
        <w:pStyle w:val="ListeParagraf"/>
        <w:numPr>
          <w:ilvl w:val="0"/>
          <w:numId w:val="334"/>
        </w:numPr>
        <w:shd w:val="clear" w:color="auto" w:fill="FFFFFF"/>
        <w:spacing w:before="120" w:after="120"/>
        <w:ind w:left="1134" w:hanging="1134"/>
        <w:contextualSpacing w:val="0"/>
        <w:jc w:val="both"/>
        <w:rPr>
          <w:rFonts w:eastAsia="Times New Roman" w:cs="Times New Roman"/>
          <w:vanish/>
          <w:color w:val="auto"/>
          <w:spacing w:val="3"/>
          <w:lang w:eastAsia="en-US"/>
        </w:rPr>
      </w:pPr>
    </w:p>
    <w:p w14:paraId="2326AB3B" w14:textId="77777777" w:rsidR="002D7B36" w:rsidRPr="00DE12A3" w:rsidRDefault="00242DA0" w:rsidP="00E20716">
      <w:pPr>
        <w:numPr>
          <w:ilvl w:val="0"/>
          <w:numId w:val="334"/>
        </w:numPr>
        <w:shd w:val="clear" w:color="auto" w:fill="FFFFFF"/>
        <w:spacing w:before="120" w:after="120"/>
        <w:ind w:left="1134" w:hanging="1134"/>
        <w:jc w:val="both"/>
        <w:rPr>
          <w:rFonts w:eastAsia="Times New Roman" w:cs="Times New Roman"/>
          <w:color w:val="auto"/>
          <w:spacing w:val="3"/>
          <w:lang w:eastAsia="en-US"/>
        </w:rPr>
      </w:pPr>
      <w:r w:rsidRPr="00DE12A3">
        <w:rPr>
          <w:rFonts w:eastAsia="Times New Roman" w:cs="Times New Roman"/>
          <w:color w:val="auto"/>
          <w:spacing w:val="3"/>
          <w:lang w:eastAsia="en-US"/>
        </w:rPr>
        <w:t>Numune filtresi</w:t>
      </w:r>
    </w:p>
    <w:p w14:paraId="1D83A903" w14:textId="77777777" w:rsidR="002D7B36" w:rsidRPr="00DE12A3" w:rsidRDefault="00F53F7C" w:rsidP="00C917D6">
      <w:pPr>
        <w:shd w:val="clear" w:color="auto" w:fill="FFFFFF"/>
        <w:spacing w:before="120" w:after="120"/>
        <w:ind w:left="1134" w:hanging="1134"/>
        <w:jc w:val="both"/>
        <w:rPr>
          <w:rFonts w:eastAsia="Times New Roman" w:cs="Times New Roman"/>
          <w:color w:val="auto"/>
          <w:spacing w:val="3"/>
          <w:lang w:eastAsia="en-US"/>
        </w:rPr>
      </w:pPr>
      <w:r w:rsidRPr="00DE12A3">
        <w:rPr>
          <w:rFonts w:eastAsia="Times New Roman" w:cs="Times New Roman"/>
          <w:color w:val="auto"/>
          <w:spacing w:val="3"/>
          <w:lang w:eastAsia="en-US"/>
        </w:rPr>
        <w:t xml:space="preserve">                  </w:t>
      </w:r>
      <w:r w:rsidR="00242DA0" w:rsidRPr="00DE12A3">
        <w:rPr>
          <w:rFonts w:eastAsia="Times New Roman" w:cs="Times New Roman"/>
          <w:color w:val="auto"/>
          <w:spacing w:val="3"/>
          <w:lang w:eastAsia="en-US"/>
        </w:rPr>
        <w:t xml:space="preserve">Seyreltilmiş egzoz gazı, test dizisi sırasında 9.3.3.4.1 ila 9.3.3.4.4 bentlerinde belirtilen </w:t>
      </w:r>
      <w:r w:rsidR="0053289F" w:rsidRPr="00DE12A3">
        <w:rPr>
          <w:rFonts w:eastAsia="Times New Roman" w:cs="Times New Roman"/>
          <w:color w:val="auto"/>
          <w:spacing w:val="3"/>
          <w:lang w:eastAsia="en-US"/>
        </w:rPr>
        <w:t>gereklilikleri</w:t>
      </w:r>
      <w:r w:rsidR="00242DA0" w:rsidRPr="00DE12A3">
        <w:rPr>
          <w:rFonts w:eastAsia="Times New Roman" w:cs="Times New Roman"/>
          <w:color w:val="auto"/>
          <w:spacing w:val="3"/>
          <w:lang w:eastAsia="en-US"/>
        </w:rPr>
        <w:t xml:space="preserve"> sağlayan bir filtre ile örneklenmelidir.</w:t>
      </w:r>
    </w:p>
    <w:p w14:paraId="5EF7A2DE" w14:textId="77777777" w:rsidR="002D7B36" w:rsidRPr="00DE12A3" w:rsidRDefault="00242DA0" w:rsidP="00E20716">
      <w:pPr>
        <w:numPr>
          <w:ilvl w:val="0"/>
          <w:numId w:val="335"/>
        </w:numPr>
        <w:shd w:val="clear" w:color="auto" w:fill="FFFFFF"/>
        <w:spacing w:before="120" w:after="120"/>
        <w:ind w:left="1134" w:hanging="1134"/>
        <w:jc w:val="both"/>
        <w:rPr>
          <w:rFonts w:eastAsia="Times New Roman" w:cs="Times New Roman"/>
          <w:color w:val="auto"/>
          <w:spacing w:val="3"/>
          <w:lang w:eastAsia="en-US"/>
        </w:rPr>
      </w:pPr>
      <w:r w:rsidRPr="00DE12A3">
        <w:rPr>
          <w:rFonts w:eastAsia="Times New Roman" w:cs="Times New Roman"/>
          <w:color w:val="auto"/>
          <w:spacing w:val="3"/>
          <w:lang w:eastAsia="en-US"/>
        </w:rPr>
        <w:t>Filtre şartnamesi</w:t>
      </w:r>
    </w:p>
    <w:p w14:paraId="5D300320" w14:textId="77777777" w:rsidR="002D7B36" w:rsidRPr="00DE12A3" w:rsidRDefault="00F53F7C" w:rsidP="00C917D6">
      <w:pPr>
        <w:shd w:val="clear" w:color="auto" w:fill="FFFFFF"/>
        <w:spacing w:before="120" w:after="120"/>
        <w:ind w:left="1134" w:hanging="1134"/>
        <w:jc w:val="both"/>
        <w:rPr>
          <w:rFonts w:eastAsia="Times New Roman" w:cs="Times New Roman"/>
          <w:color w:val="auto"/>
          <w:spacing w:val="3"/>
          <w:lang w:eastAsia="en-US"/>
        </w:rPr>
      </w:pPr>
      <w:r w:rsidRPr="00DE12A3">
        <w:rPr>
          <w:rFonts w:eastAsia="Times New Roman" w:cs="Times New Roman"/>
          <w:color w:val="auto"/>
          <w:spacing w:val="3"/>
          <w:lang w:eastAsia="en-US"/>
        </w:rPr>
        <w:t xml:space="preserve">                  </w:t>
      </w:r>
      <w:r w:rsidR="00242DA0" w:rsidRPr="00DE12A3">
        <w:rPr>
          <w:rFonts w:eastAsia="Times New Roman" w:cs="Times New Roman"/>
          <w:color w:val="auto"/>
          <w:spacing w:val="3"/>
          <w:lang w:eastAsia="en-US"/>
        </w:rPr>
        <w:t xml:space="preserve">Tüm filtre tipleri en az </w:t>
      </w:r>
      <w:r w:rsidRPr="00DE12A3">
        <w:rPr>
          <w:rFonts w:eastAsia="Times New Roman" w:cs="Times New Roman"/>
          <w:color w:val="auto"/>
          <w:spacing w:val="3"/>
          <w:lang w:eastAsia="en-US"/>
        </w:rPr>
        <w:t>%99,7</w:t>
      </w:r>
      <w:r w:rsidR="00242DA0" w:rsidRPr="00DE12A3">
        <w:rPr>
          <w:rFonts w:eastAsia="Times New Roman" w:cs="Times New Roman"/>
          <w:color w:val="auto"/>
          <w:spacing w:val="3"/>
          <w:lang w:eastAsia="en-US"/>
        </w:rPr>
        <w:t xml:space="preserve"> toplama verimine sahip olmalıdır. Numune filtresi imalatçılarının ürün derecelendirmelerine yansıyan ölçümleri bu şartı göstermek için kullanılabilir. Filtre malzemesi aşağıdakilerden biri olabilir:</w:t>
      </w:r>
    </w:p>
    <w:p w14:paraId="15F4D2B8" w14:textId="77777777" w:rsidR="002D7B36" w:rsidRPr="00DE12A3" w:rsidRDefault="00242DA0" w:rsidP="00E20716">
      <w:pPr>
        <w:numPr>
          <w:ilvl w:val="0"/>
          <w:numId w:val="336"/>
        </w:numPr>
        <w:shd w:val="clear" w:color="auto" w:fill="FFFFFF"/>
        <w:tabs>
          <w:tab w:val="left" w:pos="1701"/>
        </w:tabs>
        <w:spacing w:before="120" w:after="120"/>
        <w:ind w:left="1701" w:hanging="567"/>
        <w:jc w:val="both"/>
        <w:rPr>
          <w:rFonts w:eastAsia="Times New Roman" w:cs="Times New Roman"/>
          <w:color w:val="auto"/>
          <w:spacing w:val="3"/>
          <w:lang w:eastAsia="en-US"/>
        </w:rPr>
      </w:pPr>
      <w:r w:rsidRPr="00DE12A3">
        <w:rPr>
          <w:rFonts w:eastAsia="Times New Roman" w:cs="Times New Roman"/>
          <w:color w:val="auto"/>
          <w:spacing w:val="3"/>
          <w:lang w:eastAsia="en-US"/>
        </w:rPr>
        <w:t>Florokarbon (PTFE) kaplı cam lifi veya</w:t>
      </w:r>
    </w:p>
    <w:p w14:paraId="6C44AC7D" w14:textId="77777777" w:rsidR="002D7B36" w:rsidRPr="00DE12A3" w:rsidRDefault="00242DA0" w:rsidP="00E20716">
      <w:pPr>
        <w:numPr>
          <w:ilvl w:val="0"/>
          <w:numId w:val="336"/>
        </w:numPr>
        <w:shd w:val="clear" w:color="auto" w:fill="FFFFFF"/>
        <w:tabs>
          <w:tab w:val="left" w:pos="1701"/>
        </w:tabs>
        <w:spacing w:before="120" w:after="120"/>
        <w:ind w:left="1701" w:hanging="567"/>
        <w:jc w:val="both"/>
        <w:rPr>
          <w:rFonts w:eastAsia="Times New Roman" w:cs="Times New Roman"/>
          <w:color w:val="auto"/>
          <w:spacing w:val="3"/>
          <w:lang w:eastAsia="en-US"/>
        </w:rPr>
      </w:pPr>
      <w:r w:rsidRPr="00DE12A3">
        <w:rPr>
          <w:rFonts w:eastAsia="Times New Roman" w:cs="Times New Roman"/>
          <w:color w:val="auto"/>
          <w:spacing w:val="3"/>
          <w:lang w:eastAsia="en-US"/>
        </w:rPr>
        <w:t>Florokarbon (PTFE) membran.</w:t>
      </w:r>
    </w:p>
    <w:p w14:paraId="219A3AD6" w14:textId="77777777" w:rsidR="002D7B36" w:rsidRPr="00DE12A3" w:rsidRDefault="00242DA0" w:rsidP="00C917D6">
      <w:pPr>
        <w:shd w:val="clear" w:color="auto" w:fill="FFFFFF"/>
        <w:spacing w:before="120" w:after="120"/>
        <w:ind w:left="1134"/>
        <w:jc w:val="both"/>
        <w:rPr>
          <w:rFonts w:eastAsia="Times New Roman" w:cs="Times New Roman"/>
          <w:color w:val="auto"/>
          <w:spacing w:val="3"/>
          <w:lang w:eastAsia="en-US"/>
        </w:rPr>
      </w:pPr>
      <w:r w:rsidRPr="00DE12A3">
        <w:rPr>
          <w:rFonts w:eastAsia="Times New Roman" w:cs="Times New Roman"/>
          <w:color w:val="auto"/>
          <w:spacing w:val="3"/>
          <w:lang w:eastAsia="en-US"/>
        </w:rPr>
        <w:lastRenderedPageBreak/>
        <w:t xml:space="preserve">Filtre üzerinde beklenen net PM kütlesi 400 μg'ı aşarsa, </w:t>
      </w:r>
      <w:r w:rsidR="00FC3410" w:rsidRPr="00DE12A3">
        <w:rPr>
          <w:rFonts w:eastAsia="Times New Roman" w:cs="Times New Roman"/>
          <w:color w:val="auto"/>
          <w:spacing w:val="3"/>
          <w:lang w:eastAsia="en-US"/>
        </w:rPr>
        <w:t>%98</w:t>
      </w:r>
      <w:r w:rsidRPr="00DE12A3">
        <w:rPr>
          <w:rFonts w:eastAsia="Times New Roman" w:cs="Times New Roman"/>
          <w:color w:val="auto"/>
          <w:spacing w:val="3"/>
          <w:lang w:eastAsia="en-US"/>
        </w:rPr>
        <w:t>'lik asgari ilk toplama verimine sahip bir filtre kullanılabilir.</w:t>
      </w:r>
    </w:p>
    <w:p w14:paraId="34CFEE4C" w14:textId="77777777" w:rsidR="002D7B36" w:rsidRPr="00DE12A3" w:rsidRDefault="00242DA0" w:rsidP="00E20716">
      <w:pPr>
        <w:numPr>
          <w:ilvl w:val="0"/>
          <w:numId w:val="335"/>
        </w:numPr>
        <w:shd w:val="clear" w:color="auto" w:fill="FFFFFF"/>
        <w:tabs>
          <w:tab w:val="left" w:pos="887"/>
        </w:tabs>
        <w:spacing w:before="120" w:after="120"/>
        <w:ind w:left="1134" w:hanging="1134"/>
        <w:jc w:val="both"/>
        <w:rPr>
          <w:rFonts w:eastAsia="Times New Roman" w:cs="Times New Roman"/>
          <w:color w:val="auto"/>
          <w:spacing w:val="3"/>
          <w:lang w:eastAsia="en-US"/>
        </w:rPr>
      </w:pPr>
      <w:r w:rsidRPr="00DE12A3">
        <w:rPr>
          <w:rFonts w:eastAsia="Times New Roman" w:cs="Times New Roman"/>
          <w:color w:val="auto"/>
          <w:spacing w:val="3"/>
          <w:lang w:eastAsia="en-US"/>
        </w:rPr>
        <w:t>Filtre boyutu</w:t>
      </w:r>
    </w:p>
    <w:p w14:paraId="27F5A92F" w14:textId="77777777" w:rsidR="002D7B36" w:rsidRPr="00DE12A3" w:rsidRDefault="00470AD1" w:rsidP="00C917D6">
      <w:pPr>
        <w:shd w:val="clear" w:color="auto" w:fill="FFFFFF"/>
        <w:spacing w:before="120" w:after="120"/>
        <w:ind w:left="1134" w:hanging="1134"/>
        <w:jc w:val="both"/>
        <w:rPr>
          <w:rFonts w:eastAsia="Times New Roman" w:cs="Times New Roman"/>
          <w:color w:val="auto"/>
          <w:spacing w:val="3"/>
          <w:lang w:eastAsia="en-US"/>
        </w:rPr>
      </w:pPr>
      <w:r w:rsidRPr="00DE12A3">
        <w:rPr>
          <w:rFonts w:eastAsia="Times New Roman" w:cs="Times New Roman"/>
          <w:color w:val="auto"/>
          <w:spacing w:val="3"/>
          <w:lang w:eastAsia="en-US"/>
        </w:rPr>
        <w:t xml:space="preserve">                  </w:t>
      </w:r>
      <w:r w:rsidR="00242DA0" w:rsidRPr="00DE12A3">
        <w:rPr>
          <w:rFonts w:eastAsia="Times New Roman" w:cs="Times New Roman"/>
          <w:color w:val="auto"/>
          <w:spacing w:val="3"/>
          <w:lang w:eastAsia="en-US"/>
        </w:rPr>
        <w:t xml:space="preserve">Nominal filtre boyutu 46,50 mm ± 0,6 mm çap (en az 37 mm leke çapı) olmalıdır. </w:t>
      </w:r>
      <w:r w:rsidR="007E2039" w:rsidRPr="00DE12A3">
        <w:rPr>
          <w:rFonts w:eastAsia="Times New Roman" w:cs="Times New Roman"/>
          <w:color w:val="auto"/>
          <w:spacing w:val="3"/>
          <w:lang w:eastAsia="en-US"/>
        </w:rPr>
        <w:t xml:space="preserve">Onay </w:t>
      </w:r>
      <w:r w:rsidR="003B5C00" w:rsidRPr="00DE12A3">
        <w:rPr>
          <w:rFonts w:eastAsia="Times New Roman" w:cs="Times New Roman"/>
          <w:color w:val="auto"/>
          <w:spacing w:val="3"/>
          <w:lang w:eastAsia="en-US"/>
        </w:rPr>
        <w:t>kuruluşunun önceden</w:t>
      </w:r>
      <w:r w:rsidR="00242DA0" w:rsidRPr="00DE12A3">
        <w:rPr>
          <w:rFonts w:eastAsia="Times New Roman" w:cs="Times New Roman"/>
          <w:color w:val="auto"/>
          <w:spacing w:val="3"/>
          <w:lang w:eastAsia="en-US"/>
        </w:rPr>
        <w:t xml:space="preserve"> mutabakatı ile daha büyük çaplı filtreler kullanılabilir. Filtre ile leke alanı arasında orantılılık olması önerilir.</w:t>
      </w:r>
    </w:p>
    <w:p w14:paraId="1668462B" w14:textId="736C9500" w:rsidR="002D7B36" w:rsidRPr="00DE12A3" w:rsidRDefault="00470AD1" w:rsidP="00C917D6">
      <w:pPr>
        <w:shd w:val="clear" w:color="auto" w:fill="FFFFFF"/>
        <w:spacing w:before="120" w:after="120"/>
        <w:ind w:left="1134" w:hanging="1134"/>
        <w:jc w:val="both"/>
        <w:rPr>
          <w:rFonts w:eastAsia="Times New Roman" w:cs="Times New Roman"/>
          <w:color w:val="auto"/>
          <w:spacing w:val="3"/>
          <w:lang w:eastAsia="en-US"/>
        </w:rPr>
      </w:pPr>
      <w:r w:rsidRPr="00DE12A3">
        <w:rPr>
          <w:rFonts w:eastAsia="Times New Roman" w:cs="Times New Roman"/>
          <w:color w:val="auto"/>
          <w:spacing w:val="3"/>
          <w:lang w:eastAsia="en-US"/>
        </w:rPr>
        <w:t xml:space="preserve">                  </w:t>
      </w:r>
      <w:r w:rsidR="00242DA0" w:rsidRPr="00DE12A3">
        <w:rPr>
          <w:rFonts w:eastAsia="Times New Roman" w:cs="Times New Roman"/>
          <w:color w:val="auto"/>
          <w:spacing w:val="3"/>
          <w:lang w:eastAsia="en-US"/>
        </w:rPr>
        <w:t>PM numunelerinin seyreltilmesi ve sıcaklık kontrolü</w:t>
      </w:r>
      <w:r w:rsidR="00B528E1" w:rsidRPr="00DE12A3">
        <w:rPr>
          <w:rFonts w:eastAsia="Times New Roman" w:cs="Times New Roman"/>
          <w:color w:val="auto"/>
          <w:spacing w:val="3"/>
          <w:lang w:eastAsia="en-US"/>
        </w:rPr>
        <w:t>;</w:t>
      </w:r>
    </w:p>
    <w:p w14:paraId="3958AE26" w14:textId="279D27AF" w:rsidR="002D7B36" w:rsidRPr="00DE12A3" w:rsidRDefault="00470AD1" w:rsidP="00C917D6">
      <w:pPr>
        <w:shd w:val="clear" w:color="auto" w:fill="FFFFFF"/>
        <w:spacing w:before="120" w:after="120"/>
        <w:ind w:left="1134" w:hanging="1134"/>
        <w:jc w:val="both"/>
        <w:rPr>
          <w:rFonts w:eastAsia="Times New Roman" w:cs="Times New Roman"/>
          <w:color w:val="auto"/>
          <w:spacing w:val="3"/>
          <w:lang w:eastAsia="en-US"/>
        </w:rPr>
      </w:pPr>
      <w:r w:rsidRPr="00DE12A3">
        <w:rPr>
          <w:rFonts w:eastAsia="Times New Roman" w:cs="Times New Roman"/>
          <w:color w:val="auto"/>
          <w:spacing w:val="3"/>
          <w:lang w:eastAsia="en-US"/>
        </w:rPr>
        <w:t xml:space="preserve">                  </w:t>
      </w:r>
      <w:r w:rsidR="00242DA0" w:rsidRPr="00DE12A3">
        <w:rPr>
          <w:rFonts w:eastAsia="Times New Roman" w:cs="Times New Roman"/>
          <w:color w:val="auto"/>
          <w:spacing w:val="3"/>
          <w:lang w:eastAsia="en-US"/>
        </w:rPr>
        <w:t>PM numuneleri, CVS sistemi durumunda aktarım hatlarının giriş tarafında ve PFD sistemi durumunda çıkış tarafında en az bir kez seyreltilmelidir (aktarım hatları için bkz. 9.3.3.2).  Numune sıcaklığı, PM filtre maddesi girişinden önce 200 mm veya çıkışından sonra 200 mm içinde herhangi bir yerde ölçüldüğü gibi, 320 ± 5 K (47 ± 5 °C) bir toleransla kontrol edilmelidir. PM numunesinin öncelikle 9.2.1</w:t>
      </w:r>
      <w:r w:rsidR="00AE0A29" w:rsidRPr="00DE12A3">
        <w:rPr>
          <w:rFonts w:eastAsia="Times New Roman" w:cs="Times New Roman"/>
          <w:color w:val="auto"/>
          <w:spacing w:val="3"/>
          <w:lang w:eastAsia="en-US"/>
        </w:rPr>
        <w:t xml:space="preserve"> bendinin </w:t>
      </w:r>
      <w:r w:rsidR="00242DA0" w:rsidRPr="00DE12A3">
        <w:rPr>
          <w:rFonts w:eastAsia="Times New Roman" w:cs="Times New Roman"/>
          <w:color w:val="auto"/>
          <w:spacing w:val="3"/>
          <w:lang w:eastAsia="en-US"/>
        </w:rPr>
        <w:t>(a)</w:t>
      </w:r>
      <w:r w:rsidR="00AE0A29" w:rsidRPr="00DE12A3">
        <w:rPr>
          <w:rFonts w:eastAsia="Times New Roman" w:cs="Times New Roman"/>
          <w:color w:val="auto"/>
          <w:spacing w:val="3"/>
          <w:lang w:eastAsia="en-US"/>
        </w:rPr>
        <w:t xml:space="preserve"> </w:t>
      </w:r>
      <w:r w:rsidR="00B528E1" w:rsidRPr="00DE12A3">
        <w:rPr>
          <w:rFonts w:eastAsia="Times New Roman" w:cs="Times New Roman"/>
          <w:color w:val="auto"/>
          <w:spacing w:val="3"/>
          <w:lang w:eastAsia="en-US"/>
        </w:rPr>
        <w:t xml:space="preserve">numaralı </w:t>
      </w:r>
      <w:r w:rsidR="00AE0A29" w:rsidRPr="00DE12A3">
        <w:rPr>
          <w:rFonts w:eastAsia="Times New Roman" w:cs="Times New Roman"/>
          <w:color w:val="auto"/>
          <w:spacing w:val="3"/>
          <w:lang w:eastAsia="en-US"/>
        </w:rPr>
        <w:t>alt bendinde</w:t>
      </w:r>
      <w:r w:rsidR="00242DA0" w:rsidRPr="00DE12A3">
        <w:rPr>
          <w:rFonts w:eastAsia="Times New Roman" w:cs="Times New Roman"/>
          <w:color w:val="auto"/>
          <w:spacing w:val="3"/>
          <w:lang w:eastAsia="en-US"/>
        </w:rPr>
        <w:t xml:space="preserve"> belirtilen seyreltme koşulları ile ısıtılması veya soğutulması amaçlanır.</w:t>
      </w:r>
    </w:p>
    <w:p w14:paraId="1A1DA912" w14:textId="77777777" w:rsidR="002D7B36" w:rsidRPr="00DE12A3" w:rsidRDefault="00242DA0" w:rsidP="00E20716">
      <w:pPr>
        <w:numPr>
          <w:ilvl w:val="0"/>
          <w:numId w:val="335"/>
        </w:numPr>
        <w:shd w:val="clear" w:color="auto" w:fill="FFFFFF"/>
        <w:tabs>
          <w:tab w:val="left" w:pos="887"/>
        </w:tabs>
        <w:spacing w:before="120" w:after="120"/>
        <w:ind w:left="1134" w:hanging="1134"/>
        <w:jc w:val="both"/>
        <w:rPr>
          <w:rFonts w:eastAsia="Times New Roman" w:cs="Times New Roman"/>
          <w:color w:val="auto"/>
          <w:spacing w:val="3"/>
          <w:lang w:eastAsia="en-US"/>
        </w:rPr>
      </w:pPr>
      <w:r w:rsidRPr="00DE12A3">
        <w:rPr>
          <w:rFonts w:eastAsia="Times New Roman" w:cs="Times New Roman"/>
          <w:color w:val="auto"/>
          <w:spacing w:val="3"/>
          <w:lang w:eastAsia="en-US"/>
        </w:rPr>
        <w:t>Filtre yüzey hızı</w:t>
      </w:r>
    </w:p>
    <w:p w14:paraId="7EEBD307" w14:textId="77777777" w:rsidR="002D7B36" w:rsidRPr="00DE12A3" w:rsidRDefault="00470AD1" w:rsidP="00C917D6">
      <w:pPr>
        <w:shd w:val="clear" w:color="auto" w:fill="FFFFFF"/>
        <w:spacing w:before="120" w:after="120"/>
        <w:ind w:left="1134" w:hanging="1134"/>
        <w:jc w:val="both"/>
        <w:rPr>
          <w:rFonts w:eastAsia="Times New Roman" w:cs="Times New Roman"/>
          <w:color w:val="auto"/>
          <w:spacing w:val="3"/>
          <w:lang w:eastAsia="en-US"/>
        </w:rPr>
      </w:pPr>
      <w:r w:rsidRPr="00DE12A3">
        <w:rPr>
          <w:rFonts w:eastAsia="Times New Roman" w:cs="Times New Roman"/>
          <w:color w:val="auto"/>
          <w:spacing w:val="3"/>
          <w:lang w:eastAsia="en-US"/>
        </w:rPr>
        <w:t xml:space="preserve">                  </w:t>
      </w:r>
      <w:r w:rsidR="00242DA0" w:rsidRPr="00DE12A3">
        <w:rPr>
          <w:rFonts w:eastAsia="Times New Roman" w:cs="Times New Roman"/>
          <w:color w:val="auto"/>
          <w:spacing w:val="3"/>
          <w:lang w:eastAsia="en-US"/>
        </w:rPr>
        <w:t xml:space="preserve">Filtre yüzey hızı 0,90 ila 1,00 m/s arasında olmalı ve kaydedilen akış değerlerinin </w:t>
      </w:r>
      <w:r w:rsidRPr="00DE12A3">
        <w:rPr>
          <w:rFonts w:eastAsia="Times New Roman" w:cs="Times New Roman"/>
          <w:color w:val="auto"/>
          <w:spacing w:val="3"/>
          <w:lang w:eastAsia="en-US"/>
        </w:rPr>
        <w:t>%5</w:t>
      </w:r>
      <w:r w:rsidR="00242DA0" w:rsidRPr="00DE12A3">
        <w:rPr>
          <w:rFonts w:eastAsia="Times New Roman" w:cs="Times New Roman"/>
          <w:color w:val="auto"/>
          <w:spacing w:val="3"/>
          <w:lang w:eastAsia="en-US"/>
        </w:rPr>
        <w:t>'inden daha azı bu aralığı aşmalıdır. Toplam PM kütlesi 400 μg'ı aşarsa, filtre yüzey hızı düşürülebilir. Yüzey hızı, filtrenin giriş kısmındaki basınçta ve filtre yüzeyi sıcaklığında numunenin hacimsel akış hızının, filtrenin maruz kalan alanına bölümü olarak ölçülmelidir. PM örnekleyiciden filtreye kadar olan basınç düşüşü 2 kPa'dan az ise, egzoz sistemi yığını veya CVS tünel basıncı giriş basıncı için kullanılmalıdır.</w:t>
      </w:r>
    </w:p>
    <w:p w14:paraId="380BBC4A" w14:textId="77777777" w:rsidR="002D7B36" w:rsidRPr="00DE12A3" w:rsidRDefault="00242DA0" w:rsidP="00E20716">
      <w:pPr>
        <w:numPr>
          <w:ilvl w:val="0"/>
          <w:numId w:val="335"/>
        </w:numPr>
        <w:shd w:val="clear" w:color="auto" w:fill="FFFFFF"/>
        <w:spacing w:before="120" w:after="120"/>
        <w:ind w:left="1134" w:hanging="1134"/>
        <w:jc w:val="both"/>
        <w:rPr>
          <w:rFonts w:eastAsia="Times New Roman" w:cs="Times New Roman"/>
          <w:color w:val="auto"/>
          <w:spacing w:val="3"/>
          <w:lang w:eastAsia="en-US"/>
        </w:rPr>
      </w:pPr>
      <w:r w:rsidRPr="00DE12A3">
        <w:rPr>
          <w:rFonts w:eastAsia="Times New Roman" w:cs="Times New Roman"/>
          <w:color w:val="auto"/>
          <w:spacing w:val="3"/>
          <w:lang w:eastAsia="en-US"/>
        </w:rPr>
        <w:t>Filtre tutucu</w:t>
      </w:r>
    </w:p>
    <w:p w14:paraId="35432964" w14:textId="77777777" w:rsidR="002D7B36" w:rsidRPr="00DE12A3" w:rsidRDefault="00470AD1" w:rsidP="00C917D6">
      <w:pPr>
        <w:shd w:val="clear" w:color="auto" w:fill="FFFFFF"/>
        <w:spacing w:before="120" w:after="120"/>
        <w:ind w:left="1134" w:hanging="1134"/>
        <w:jc w:val="both"/>
        <w:rPr>
          <w:rFonts w:eastAsia="Times New Roman" w:cs="Times New Roman"/>
          <w:color w:val="auto"/>
          <w:spacing w:val="3"/>
          <w:lang w:eastAsia="en-US"/>
        </w:rPr>
      </w:pPr>
      <w:r w:rsidRPr="00DE12A3">
        <w:rPr>
          <w:rFonts w:eastAsia="Times New Roman" w:cs="Times New Roman"/>
          <w:color w:val="auto"/>
          <w:spacing w:val="3"/>
          <w:lang w:eastAsia="en-US"/>
        </w:rPr>
        <w:t xml:space="preserve">                  </w:t>
      </w:r>
      <w:r w:rsidR="00242DA0" w:rsidRPr="00DE12A3">
        <w:rPr>
          <w:rFonts w:eastAsia="Times New Roman" w:cs="Times New Roman"/>
          <w:color w:val="auto"/>
          <w:spacing w:val="3"/>
          <w:lang w:eastAsia="en-US"/>
        </w:rPr>
        <w:t xml:space="preserve">Türbülanslı çökelmeyi en aza indirmek ve PM'nin bir filtre üzerinde eşit şekilde birikmesi için, aktarım hattı iç çapından filtre yüzeyinde maruz kalan çapa geçişine kadar (merkezden) 12,5°'lik bir geniş koni açısı kullanılmalıdır. Bu geçiş için paslanmaz çelik kullanılmalıdır. </w:t>
      </w:r>
    </w:p>
    <w:p w14:paraId="6C97B83E" w14:textId="77777777" w:rsidR="002D7B36" w:rsidRPr="00DE12A3" w:rsidRDefault="00470AD1" w:rsidP="00E20716">
      <w:pPr>
        <w:numPr>
          <w:ilvl w:val="0"/>
          <w:numId w:val="321"/>
        </w:numPr>
        <w:shd w:val="clear" w:color="auto" w:fill="FFFFFF"/>
        <w:tabs>
          <w:tab w:val="left" w:pos="902"/>
          <w:tab w:val="left" w:pos="2140"/>
          <w:tab w:val="right" w:pos="3287"/>
          <w:tab w:val="left" w:pos="3359"/>
          <w:tab w:val="center" w:pos="4564"/>
          <w:tab w:val="right" w:pos="5653"/>
        </w:tabs>
        <w:spacing w:before="120" w:after="120"/>
        <w:ind w:left="1134" w:hanging="1134"/>
        <w:jc w:val="both"/>
        <w:rPr>
          <w:rFonts w:eastAsia="Times New Roman" w:cs="Times New Roman"/>
          <w:color w:val="auto"/>
          <w:spacing w:val="3"/>
          <w:lang w:eastAsia="en-US"/>
        </w:rPr>
      </w:pPr>
      <w:r w:rsidRPr="00DE12A3">
        <w:rPr>
          <w:rFonts w:eastAsia="Times New Roman" w:cs="Times New Roman"/>
          <w:color w:val="auto"/>
          <w:spacing w:val="3"/>
          <w:lang w:eastAsia="en-US"/>
        </w:rPr>
        <w:t xml:space="preserve">    </w:t>
      </w:r>
      <w:r w:rsidR="00242DA0" w:rsidRPr="00DE12A3">
        <w:rPr>
          <w:rFonts w:eastAsia="Times New Roman" w:cs="Times New Roman"/>
          <w:color w:val="auto"/>
          <w:spacing w:val="3"/>
          <w:lang w:eastAsia="en-US"/>
        </w:rPr>
        <w:t>Gravimetrik analiz için PM-dengeleme ve tartım ortamları</w:t>
      </w:r>
    </w:p>
    <w:p w14:paraId="13841757" w14:textId="77777777" w:rsidR="002D7B36" w:rsidRPr="00DE12A3" w:rsidRDefault="00242DA0" w:rsidP="00E20716">
      <w:pPr>
        <w:numPr>
          <w:ilvl w:val="0"/>
          <w:numId w:val="337"/>
        </w:numPr>
        <w:shd w:val="clear" w:color="auto" w:fill="FFFFFF"/>
        <w:spacing w:before="120" w:after="120"/>
        <w:ind w:left="1134" w:hanging="1134"/>
        <w:jc w:val="both"/>
        <w:rPr>
          <w:rFonts w:eastAsia="Times New Roman" w:cs="Times New Roman"/>
          <w:color w:val="auto"/>
          <w:spacing w:val="3"/>
          <w:lang w:eastAsia="en-US"/>
        </w:rPr>
      </w:pPr>
      <w:r w:rsidRPr="00DE12A3">
        <w:rPr>
          <w:rFonts w:eastAsia="Times New Roman" w:cs="Times New Roman"/>
          <w:color w:val="auto"/>
          <w:spacing w:val="3"/>
          <w:lang w:eastAsia="en-US"/>
        </w:rPr>
        <w:t>Gravimetrik analiz ortamı</w:t>
      </w:r>
    </w:p>
    <w:p w14:paraId="4D801EF9" w14:textId="69104F23" w:rsidR="002D7B36" w:rsidRPr="00DE12A3" w:rsidRDefault="00470AD1" w:rsidP="00C917D6">
      <w:pPr>
        <w:shd w:val="clear" w:color="auto" w:fill="FFFFFF"/>
        <w:tabs>
          <w:tab w:val="left" w:pos="2140"/>
          <w:tab w:val="right" w:pos="3287"/>
          <w:tab w:val="left" w:pos="3359"/>
          <w:tab w:val="right" w:pos="4322"/>
          <w:tab w:val="center" w:pos="4564"/>
          <w:tab w:val="right" w:pos="5653"/>
        </w:tabs>
        <w:spacing w:before="120" w:after="120"/>
        <w:ind w:left="1134" w:hanging="1134"/>
        <w:jc w:val="both"/>
        <w:rPr>
          <w:rFonts w:eastAsia="Times New Roman" w:cs="Times New Roman"/>
          <w:color w:val="auto"/>
          <w:spacing w:val="3"/>
          <w:lang w:eastAsia="en-US"/>
        </w:rPr>
      </w:pPr>
      <w:r w:rsidRPr="00DE12A3">
        <w:rPr>
          <w:rFonts w:eastAsia="Times New Roman" w:cs="Times New Roman"/>
          <w:color w:val="auto"/>
          <w:spacing w:val="3"/>
          <w:lang w:eastAsia="en-US"/>
        </w:rPr>
        <w:t xml:space="preserve">                  </w:t>
      </w:r>
      <w:r w:rsidR="00242DA0" w:rsidRPr="00DE12A3">
        <w:rPr>
          <w:rFonts w:eastAsia="Times New Roman" w:cs="Times New Roman"/>
          <w:color w:val="auto"/>
          <w:spacing w:val="3"/>
          <w:lang w:eastAsia="en-US"/>
        </w:rPr>
        <w:t xml:space="preserve">Bu </w:t>
      </w:r>
      <w:r w:rsidR="00B528E1" w:rsidRPr="00DE12A3">
        <w:rPr>
          <w:rFonts w:eastAsia="Times New Roman" w:cs="Times New Roman"/>
          <w:color w:val="auto"/>
          <w:spacing w:val="3"/>
          <w:lang w:eastAsia="en-US"/>
        </w:rPr>
        <w:t xml:space="preserve">bentte </w:t>
      </w:r>
      <w:r w:rsidR="00242DA0" w:rsidRPr="00DE12A3">
        <w:rPr>
          <w:rFonts w:eastAsia="Times New Roman" w:cs="Times New Roman"/>
          <w:color w:val="auto"/>
          <w:spacing w:val="3"/>
          <w:lang w:eastAsia="en-US"/>
        </w:rPr>
        <w:t>gravimetrik analiz için PM'yi dengelemek ve tartmak üzere gereken iki ortam açıklanmaktadır</w:t>
      </w:r>
      <w:r w:rsidR="00B528E1" w:rsidRPr="00DE12A3">
        <w:rPr>
          <w:rFonts w:eastAsia="Times New Roman" w:cs="Times New Roman"/>
          <w:color w:val="auto"/>
          <w:spacing w:val="3"/>
          <w:lang w:eastAsia="en-US"/>
        </w:rPr>
        <w:t>;</w:t>
      </w:r>
      <w:r w:rsidR="00242DA0" w:rsidRPr="00DE12A3">
        <w:rPr>
          <w:rFonts w:eastAsia="Times New Roman" w:cs="Times New Roman"/>
          <w:color w:val="auto"/>
          <w:spacing w:val="3"/>
          <w:lang w:eastAsia="en-US"/>
        </w:rPr>
        <w:t xml:space="preserve"> filtrelerin tartım öncesinde depolandığı PM dengeleme ortamı ve </w:t>
      </w:r>
      <w:r w:rsidR="00EF0D08" w:rsidRPr="00DE12A3">
        <w:rPr>
          <w:rFonts w:eastAsia="Times New Roman" w:cs="Times New Roman"/>
          <w:color w:val="auto"/>
          <w:spacing w:val="3"/>
          <w:lang w:eastAsia="en-US"/>
        </w:rPr>
        <w:t>balansın</w:t>
      </w:r>
      <w:r w:rsidR="00242DA0" w:rsidRPr="00DE12A3">
        <w:rPr>
          <w:rFonts w:eastAsia="Times New Roman" w:cs="Times New Roman"/>
          <w:color w:val="auto"/>
          <w:spacing w:val="3"/>
          <w:lang w:eastAsia="en-US"/>
        </w:rPr>
        <w:t xml:space="preserve"> bulunduğu tartım ortamı. Bu iki ortam ortak bir alanı paylaşabilir.</w:t>
      </w:r>
    </w:p>
    <w:p w14:paraId="47312367" w14:textId="77777777" w:rsidR="002D7B36" w:rsidRPr="00DE12A3" w:rsidRDefault="00470AD1" w:rsidP="00C917D6">
      <w:pPr>
        <w:shd w:val="clear" w:color="auto" w:fill="FFFFFF"/>
        <w:spacing w:before="120" w:after="120"/>
        <w:ind w:left="1134" w:hanging="1134"/>
        <w:jc w:val="both"/>
        <w:rPr>
          <w:rFonts w:eastAsia="Times New Roman" w:cs="Times New Roman"/>
          <w:color w:val="auto"/>
          <w:spacing w:val="3"/>
          <w:lang w:eastAsia="en-US"/>
        </w:rPr>
      </w:pPr>
      <w:r w:rsidRPr="00DE12A3">
        <w:rPr>
          <w:rFonts w:eastAsia="Times New Roman" w:cs="Times New Roman"/>
          <w:color w:val="auto"/>
          <w:spacing w:val="3"/>
          <w:lang w:eastAsia="en-US"/>
        </w:rPr>
        <w:t xml:space="preserve">                  </w:t>
      </w:r>
      <w:r w:rsidR="00242DA0" w:rsidRPr="00DE12A3">
        <w:rPr>
          <w:rFonts w:eastAsia="Times New Roman" w:cs="Times New Roman"/>
          <w:color w:val="auto"/>
          <w:spacing w:val="3"/>
          <w:lang w:eastAsia="en-US"/>
        </w:rPr>
        <w:t>Hem dengeleme hem de tartım ortamları, PM numunelerini kirletebilecek toz, aerosoller veya yarı uçucu malzemeler gibi ortam kirleticilerinden uzak tutulmalıdır.</w:t>
      </w:r>
    </w:p>
    <w:p w14:paraId="4328044E" w14:textId="77777777" w:rsidR="002D7B36" w:rsidRPr="00DE12A3" w:rsidRDefault="00242DA0" w:rsidP="00E20716">
      <w:pPr>
        <w:numPr>
          <w:ilvl w:val="0"/>
          <w:numId w:val="337"/>
        </w:numPr>
        <w:shd w:val="clear" w:color="auto" w:fill="FFFFFF"/>
        <w:spacing w:before="120" w:after="120"/>
        <w:ind w:left="1134" w:hanging="1134"/>
        <w:jc w:val="both"/>
        <w:rPr>
          <w:rFonts w:eastAsia="Times New Roman" w:cs="Times New Roman"/>
          <w:color w:val="auto"/>
          <w:spacing w:val="3"/>
          <w:lang w:eastAsia="en-US"/>
        </w:rPr>
      </w:pPr>
      <w:r w:rsidRPr="00DE12A3">
        <w:rPr>
          <w:rFonts w:eastAsia="Times New Roman" w:cs="Times New Roman"/>
          <w:color w:val="auto"/>
          <w:spacing w:val="3"/>
          <w:lang w:eastAsia="en-US"/>
        </w:rPr>
        <w:t>Temizlik</w:t>
      </w:r>
    </w:p>
    <w:p w14:paraId="7139EEAA" w14:textId="6B03D9A1" w:rsidR="002D7B36" w:rsidRPr="00DE12A3" w:rsidRDefault="00470AD1" w:rsidP="00C917D6">
      <w:pPr>
        <w:shd w:val="clear" w:color="auto" w:fill="FFFFFF"/>
        <w:spacing w:before="120" w:after="120"/>
        <w:ind w:left="1134" w:hanging="1134"/>
        <w:jc w:val="both"/>
        <w:rPr>
          <w:rFonts w:eastAsia="Times New Roman" w:cs="Times New Roman"/>
          <w:color w:val="auto"/>
          <w:spacing w:val="3"/>
          <w:lang w:eastAsia="en-US"/>
        </w:rPr>
      </w:pPr>
      <w:r w:rsidRPr="00DE12A3">
        <w:rPr>
          <w:rFonts w:eastAsia="Times New Roman" w:cs="Times New Roman"/>
          <w:color w:val="auto"/>
          <w:spacing w:val="3"/>
          <w:lang w:eastAsia="en-US"/>
        </w:rPr>
        <w:t xml:space="preserve">                  </w:t>
      </w:r>
      <w:r w:rsidR="00242DA0" w:rsidRPr="00DE12A3">
        <w:rPr>
          <w:rFonts w:eastAsia="Times New Roman" w:cs="Times New Roman"/>
          <w:color w:val="auto"/>
          <w:spacing w:val="3"/>
          <w:lang w:eastAsia="en-US"/>
        </w:rPr>
        <w:t>PM-dengeleme ortamının referans filtreler kullanılarak temizliği, açıklandığı şekilde doğrulanmalıdır.</w:t>
      </w:r>
    </w:p>
    <w:p w14:paraId="5685D0CA" w14:textId="77777777" w:rsidR="002D7B36" w:rsidRPr="00DE12A3" w:rsidRDefault="00242DA0" w:rsidP="00E20716">
      <w:pPr>
        <w:numPr>
          <w:ilvl w:val="0"/>
          <w:numId w:val="337"/>
        </w:numPr>
        <w:shd w:val="clear" w:color="auto" w:fill="FFFFFF"/>
        <w:spacing w:before="120" w:after="120"/>
        <w:ind w:left="1134" w:hanging="1134"/>
        <w:jc w:val="both"/>
        <w:rPr>
          <w:rFonts w:eastAsia="Times New Roman" w:cs="Times New Roman"/>
          <w:color w:val="auto"/>
          <w:spacing w:val="3"/>
          <w:lang w:eastAsia="en-US"/>
        </w:rPr>
      </w:pPr>
      <w:r w:rsidRPr="00DE12A3">
        <w:rPr>
          <w:rFonts w:eastAsia="Times New Roman" w:cs="Times New Roman"/>
          <w:color w:val="auto"/>
          <w:spacing w:val="3"/>
          <w:lang w:eastAsia="en-US"/>
        </w:rPr>
        <w:t>Haznenin sıcaklığı</w:t>
      </w:r>
    </w:p>
    <w:p w14:paraId="66A7B7E9" w14:textId="77777777" w:rsidR="002D7B36" w:rsidRPr="00DE12A3" w:rsidRDefault="00470AD1" w:rsidP="00C917D6">
      <w:pPr>
        <w:shd w:val="clear" w:color="auto" w:fill="FFFFFF"/>
        <w:spacing w:before="120" w:after="120"/>
        <w:ind w:left="1134" w:hanging="1134"/>
        <w:jc w:val="both"/>
        <w:rPr>
          <w:rFonts w:eastAsia="Times New Roman" w:cs="Times New Roman"/>
          <w:color w:val="auto"/>
          <w:spacing w:val="3"/>
          <w:lang w:eastAsia="en-US"/>
        </w:rPr>
      </w:pPr>
      <w:r w:rsidRPr="00DE12A3">
        <w:rPr>
          <w:rFonts w:eastAsia="Times New Roman" w:cs="Times New Roman"/>
          <w:color w:val="auto"/>
          <w:spacing w:val="3"/>
          <w:lang w:eastAsia="en-US"/>
        </w:rPr>
        <w:t xml:space="preserve">                  </w:t>
      </w:r>
      <w:r w:rsidR="007E2039" w:rsidRPr="00DE12A3">
        <w:rPr>
          <w:rFonts w:eastAsia="Times New Roman" w:cs="Times New Roman"/>
          <w:color w:val="auto"/>
          <w:spacing w:val="3"/>
          <w:lang w:eastAsia="en-US"/>
        </w:rPr>
        <w:t xml:space="preserve">Partikül </w:t>
      </w:r>
      <w:r w:rsidR="00242DA0" w:rsidRPr="00DE12A3">
        <w:rPr>
          <w:rFonts w:eastAsia="Times New Roman" w:cs="Times New Roman"/>
          <w:color w:val="auto"/>
          <w:spacing w:val="3"/>
          <w:lang w:eastAsia="en-US"/>
        </w:rPr>
        <w:t xml:space="preserve">filtrelerinin koşullandırıldığı ve tartıldığı haznenin (veya odanın) sıcaklığı, tüm filtre koşullandırma ve tartım işlemleri sırasında 295 ± 1 K (22 °C ± 1 °C) aralığı içinde tutulmalıdır. Nem, 282,5 ± 1 K (9,5 °C ± 1 °C) yoğuşma noktasında ve </w:t>
      </w:r>
      <w:r w:rsidRPr="00DE12A3">
        <w:rPr>
          <w:rFonts w:eastAsia="Times New Roman" w:cs="Times New Roman"/>
          <w:color w:val="auto"/>
          <w:spacing w:val="3"/>
          <w:lang w:eastAsia="en-US"/>
        </w:rPr>
        <w:t>%45</w:t>
      </w:r>
      <w:r w:rsidR="00242DA0" w:rsidRPr="00DE12A3">
        <w:rPr>
          <w:rFonts w:eastAsia="Times New Roman" w:cs="Times New Roman"/>
          <w:color w:val="auto"/>
          <w:spacing w:val="3"/>
          <w:lang w:eastAsia="en-US"/>
        </w:rPr>
        <w:t xml:space="preserve"> ± </w:t>
      </w:r>
      <w:r w:rsidRPr="00DE12A3">
        <w:rPr>
          <w:rFonts w:eastAsia="Times New Roman" w:cs="Times New Roman"/>
          <w:color w:val="auto"/>
          <w:spacing w:val="3"/>
          <w:lang w:eastAsia="en-US"/>
        </w:rPr>
        <w:t>%8</w:t>
      </w:r>
      <w:r w:rsidR="00242DA0" w:rsidRPr="00DE12A3">
        <w:rPr>
          <w:rFonts w:eastAsia="Times New Roman" w:cs="Times New Roman"/>
          <w:color w:val="auto"/>
          <w:spacing w:val="3"/>
          <w:lang w:eastAsia="en-US"/>
        </w:rPr>
        <w:t xml:space="preserve"> bağıl nemde muhafaza edilmelidir. Dengeleme ve tartım ortamları ayrı ise, dengeleme ortamı 295 ± 3 K (22 °C ± 3 °C) bir toleransta </w:t>
      </w:r>
      <w:r w:rsidR="00242DA0" w:rsidRPr="00DE12A3">
        <w:rPr>
          <w:rFonts w:eastAsia="Times New Roman" w:cs="Times New Roman"/>
          <w:color w:val="auto"/>
          <w:spacing w:val="3"/>
          <w:lang w:eastAsia="en-US"/>
        </w:rPr>
        <w:lastRenderedPageBreak/>
        <w:t>muhafaza edilmelidir.</w:t>
      </w:r>
    </w:p>
    <w:p w14:paraId="4B476060" w14:textId="77777777" w:rsidR="002D7B36" w:rsidRPr="00DE12A3" w:rsidRDefault="00242DA0" w:rsidP="00E20716">
      <w:pPr>
        <w:numPr>
          <w:ilvl w:val="0"/>
          <w:numId w:val="337"/>
        </w:numPr>
        <w:shd w:val="clear" w:color="auto" w:fill="FFFFFF"/>
        <w:spacing w:before="120" w:after="120"/>
        <w:ind w:left="1134" w:hanging="1134"/>
        <w:jc w:val="both"/>
        <w:rPr>
          <w:rFonts w:eastAsia="Times New Roman" w:cs="Times New Roman"/>
          <w:color w:val="auto"/>
          <w:spacing w:val="3"/>
          <w:lang w:eastAsia="en-US"/>
        </w:rPr>
      </w:pPr>
      <w:r w:rsidRPr="00DE12A3">
        <w:rPr>
          <w:rFonts w:eastAsia="Times New Roman" w:cs="Times New Roman"/>
          <w:color w:val="auto"/>
          <w:spacing w:val="3"/>
          <w:lang w:eastAsia="en-US"/>
        </w:rPr>
        <w:t>Ortam koşullarının doğrulanması</w:t>
      </w:r>
    </w:p>
    <w:p w14:paraId="0C4930F3" w14:textId="77777777" w:rsidR="002D7B36" w:rsidRPr="00DE12A3" w:rsidRDefault="00470AD1" w:rsidP="00C917D6">
      <w:pPr>
        <w:shd w:val="clear" w:color="auto" w:fill="FFFFFF"/>
        <w:spacing w:before="120" w:after="120"/>
        <w:ind w:left="1134" w:hanging="1134"/>
        <w:jc w:val="both"/>
        <w:rPr>
          <w:rFonts w:eastAsia="Times New Roman" w:cs="Times New Roman"/>
          <w:color w:val="auto"/>
          <w:spacing w:val="3"/>
          <w:lang w:eastAsia="en-US"/>
        </w:rPr>
      </w:pPr>
      <w:r w:rsidRPr="00DE12A3">
        <w:rPr>
          <w:rFonts w:eastAsia="Times New Roman" w:cs="Times New Roman"/>
          <w:color w:val="auto"/>
          <w:spacing w:val="3"/>
          <w:lang w:eastAsia="en-US"/>
        </w:rPr>
        <w:t xml:space="preserve">                  </w:t>
      </w:r>
      <w:r w:rsidR="00242DA0" w:rsidRPr="00DE12A3">
        <w:rPr>
          <w:rFonts w:eastAsia="Times New Roman" w:cs="Times New Roman"/>
          <w:color w:val="auto"/>
          <w:spacing w:val="3"/>
          <w:lang w:eastAsia="en-US"/>
        </w:rPr>
        <w:t xml:space="preserve">9.4 bendindeki </w:t>
      </w:r>
      <w:r w:rsidR="0053289F" w:rsidRPr="00DE12A3">
        <w:rPr>
          <w:rFonts w:eastAsia="Times New Roman" w:cs="Times New Roman"/>
          <w:color w:val="auto"/>
          <w:spacing w:val="3"/>
          <w:lang w:eastAsia="en-US"/>
        </w:rPr>
        <w:t>gereklilikleri</w:t>
      </w:r>
      <w:r w:rsidR="00242DA0" w:rsidRPr="00DE12A3">
        <w:rPr>
          <w:rFonts w:eastAsia="Times New Roman" w:cs="Times New Roman"/>
          <w:color w:val="auto"/>
          <w:spacing w:val="3"/>
          <w:lang w:eastAsia="en-US"/>
        </w:rPr>
        <w:t xml:space="preserve"> sağlayan ölçüm aletleri kullanılırken, aşağıdaki ortam koşulları doğrulanmalıdır:</w:t>
      </w:r>
    </w:p>
    <w:p w14:paraId="6EE7873B" w14:textId="31B8EE9F" w:rsidR="002D7B36" w:rsidRPr="00DE12A3" w:rsidRDefault="00470AD1" w:rsidP="00E20716">
      <w:pPr>
        <w:numPr>
          <w:ilvl w:val="0"/>
          <w:numId w:val="338"/>
        </w:numPr>
        <w:shd w:val="clear" w:color="auto" w:fill="FFFFFF"/>
        <w:spacing w:before="120" w:after="120"/>
        <w:ind w:left="1701" w:hanging="567"/>
        <w:jc w:val="both"/>
        <w:rPr>
          <w:rFonts w:eastAsia="Times New Roman" w:cs="Times New Roman"/>
          <w:color w:val="auto"/>
          <w:spacing w:val="3"/>
          <w:lang w:eastAsia="en-US"/>
        </w:rPr>
      </w:pPr>
      <w:r w:rsidRPr="00DE12A3">
        <w:rPr>
          <w:rFonts w:eastAsia="Times New Roman" w:cs="Times New Roman"/>
          <w:color w:val="auto"/>
          <w:spacing w:val="3"/>
          <w:lang w:eastAsia="en-US"/>
        </w:rPr>
        <w:t xml:space="preserve">     </w:t>
      </w:r>
      <w:r w:rsidR="00242DA0" w:rsidRPr="00DE12A3">
        <w:rPr>
          <w:rFonts w:eastAsia="Times New Roman" w:cs="Times New Roman"/>
          <w:color w:val="auto"/>
          <w:spacing w:val="3"/>
          <w:lang w:eastAsia="en-US"/>
        </w:rPr>
        <w:t>Yoğuşma noktası ve ortam sıcaklığı kaydedilmelidir. Bu değerler, dengeleme ve tartım ortamlarının, filtreleri tartmadan önce en az 60 dakika boyunca 9.3.4.3 bendinde belirtilen toleranslar dahilinde kaldığını belirlemek için kullanılır</w:t>
      </w:r>
      <w:r w:rsidR="00B528E1" w:rsidRPr="00DE12A3">
        <w:rPr>
          <w:rFonts w:eastAsia="Times New Roman" w:cs="Times New Roman"/>
          <w:color w:val="auto"/>
          <w:spacing w:val="3"/>
          <w:lang w:eastAsia="en-US"/>
        </w:rPr>
        <w:t>.</w:t>
      </w:r>
    </w:p>
    <w:p w14:paraId="433BE209" w14:textId="77777777" w:rsidR="002D7B36" w:rsidRPr="00DE12A3" w:rsidRDefault="00242DA0" w:rsidP="00E20716">
      <w:pPr>
        <w:numPr>
          <w:ilvl w:val="0"/>
          <w:numId w:val="338"/>
        </w:numPr>
        <w:shd w:val="clear" w:color="auto" w:fill="FFFFFF"/>
        <w:spacing w:before="120" w:after="120"/>
        <w:ind w:left="1701" w:hanging="567"/>
        <w:jc w:val="both"/>
        <w:rPr>
          <w:rFonts w:eastAsia="Times New Roman" w:cs="Times New Roman"/>
          <w:color w:val="auto"/>
          <w:spacing w:val="3"/>
          <w:lang w:eastAsia="en-US"/>
        </w:rPr>
      </w:pPr>
      <w:r w:rsidRPr="00DE12A3">
        <w:rPr>
          <w:rFonts w:eastAsia="Times New Roman" w:cs="Times New Roman"/>
          <w:color w:val="auto"/>
          <w:spacing w:val="3"/>
          <w:lang w:eastAsia="en-US"/>
        </w:rPr>
        <w:t xml:space="preserve">Atmosferik basınç tartım ortamı içinde sürekli olarak kaydedilmelidir. Kabul edilebilir bir alternatif, dengedeki atmosferik basıncın her zaman için paylaşılan atmosferik basıncın ± 100 Pa aralığı içinde dengede olması sağlanabildiği sürece, tartım ortamı dışındaki atmosferik basıncı ölçen bir barometrenin kullanılmasıdır. Her PM numunesi tartıldığında en son atmosferik basıncı kaydetmek için bir imkan sağlanmalıdır.  Bu değer, 8.1.13.2 bendindeki PM numune filtre kaldırma kuvveti düzeltmesini hesaplamak için kullanılır. </w:t>
      </w:r>
    </w:p>
    <w:p w14:paraId="6B5B59FE" w14:textId="77777777" w:rsidR="002D7B36" w:rsidRPr="00DE12A3" w:rsidRDefault="00EF0D08" w:rsidP="00E20716">
      <w:pPr>
        <w:numPr>
          <w:ilvl w:val="0"/>
          <w:numId w:val="337"/>
        </w:numPr>
        <w:shd w:val="clear" w:color="auto" w:fill="FFFFFF"/>
        <w:spacing w:before="120" w:after="120"/>
        <w:ind w:left="1134" w:hanging="1134"/>
        <w:jc w:val="both"/>
        <w:rPr>
          <w:rFonts w:eastAsia="Times New Roman" w:cs="Times New Roman"/>
          <w:color w:val="auto"/>
          <w:spacing w:val="3"/>
          <w:lang w:eastAsia="en-US"/>
        </w:rPr>
      </w:pPr>
      <w:r w:rsidRPr="00DE12A3">
        <w:rPr>
          <w:rFonts w:eastAsia="Times New Roman" w:cs="Times New Roman"/>
          <w:color w:val="auto"/>
          <w:spacing w:val="3"/>
          <w:lang w:eastAsia="en-US"/>
        </w:rPr>
        <w:t>Balansın</w:t>
      </w:r>
      <w:r w:rsidR="00242DA0" w:rsidRPr="00DE12A3">
        <w:rPr>
          <w:rFonts w:eastAsia="Times New Roman" w:cs="Times New Roman"/>
          <w:color w:val="auto"/>
          <w:spacing w:val="3"/>
          <w:lang w:eastAsia="en-US"/>
        </w:rPr>
        <w:t xml:space="preserve"> montajı</w:t>
      </w:r>
    </w:p>
    <w:p w14:paraId="2A98669A" w14:textId="77777777" w:rsidR="002D7B36" w:rsidRPr="00DE12A3" w:rsidRDefault="00470AD1" w:rsidP="00C917D6">
      <w:pPr>
        <w:shd w:val="clear" w:color="auto" w:fill="FFFFFF"/>
        <w:spacing w:before="120" w:after="120"/>
        <w:ind w:left="1134" w:hanging="1134"/>
        <w:jc w:val="both"/>
        <w:rPr>
          <w:rFonts w:eastAsia="Times New Roman" w:cs="Times New Roman"/>
          <w:color w:val="auto"/>
          <w:spacing w:val="3"/>
          <w:lang w:eastAsia="en-US"/>
        </w:rPr>
      </w:pPr>
      <w:r w:rsidRPr="00DE12A3">
        <w:rPr>
          <w:rFonts w:eastAsia="Times New Roman" w:cs="Times New Roman"/>
          <w:color w:val="auto"/>
          <w:spacing w:val="3"/>
          <w:lang w:eastAsia="en-US"/>
        </w:rPr>
        <w:t xml:space="preserve">                  </w:t>
      </w:r>
      <w:r w:rsidR="00EF0D08" w:rsidRPr="00DE12A3">
        <w:rPr>
          <w:rFonts w:eastAsia="Times New Roman" w:cs="Times New Roman"/>
          <w:color w:val="auto"/>
          <w:spacing w:val="3"/>
          <w:lang w:eastAsia="en-US"/>
        </w:rPr>
        <w:t>Balans</w:t>
      </w:r>
      <w:r w:rsidR="00242DA0" w:rsidRPr="00DE12A3">
        <w:rPr>
          <w:rFonts w:eastAsia="Times New Roman" w:cs="Times New Roman"/>
          <w:color w:val="auto"/>
          <w:spacing w:val="3"/>
          <w:lang w:eastAsia="en-US"/>
        </w:rPr>
        <w:t xml:space="preserve"> aşağıdaki şekilde monte edilmelidir:</w:t>
      </w:r>
    </w:p>
    <w:p w14:paraId="33A4E934" w14:textId="1EA71BBC" w:rsidR="002D7B36" w:rsidRPr="00DE12A3" w:rsidRDefault="00470AD1" w:rsidP="00E20716">
      <w:pPr>
        <w:numPr>
          <w:ilvl w:val="0"/>
          <w:numId w:val="339"/>
        </w:numPr>
        <w:shd w:val="clear" w:color="auto" w:fill="FFFFFF"/>
        <w:spacing w:before="120" w:after="120"/>
        <w:ind w:left="1701" w:hanging="567"/>
        <w:jc w:val="both"/>
        <w:rPr>
          <w:rFonts w:eastAsia="Times New Roman" w:cs="Times New Roman"/>
          <w:color w:val="auto"/>
          <w:spacing w:val="3"/>
          <w:lang w:eastAsia="en-US"/>
        </w:rPr>
      </w:pPr>
      <w:r w:rsidRPr="00DE12A3">
        <w:rPr>
          <w:rFonts w:eastAsia="Times New Roman" w:cs="Times New Roman"/>
          <w:color w:val="auto"/>
          <w:spacing w:val="3"/>
          <w:lang w:eastAsia="en-US"/>
        </w:rPr>
        <w:t xml:space="preserve">     </w:t>
      </w:r>
      <w:r w:rsidR="00242DA0" w:rsidRPr="00DE12A3">
        <w:rPr>
          <w:rFonts w:eastAsia="Times New Roman" w:cs="Times New Roman"/>
          <w:color w:val="auto"/>
          <w:spacing w:val="3"/>
          <w:lang w:eastAsia="en-US"/>
        </w:rPr>
        <w:t>Harici ses ve titreşimden yalıtması için titreşim yalıtımlı bir platform üzerine monte edilmelidi</w:t>
      </w:r>
      <w:r w:rsidR="00B528E1" w:rsidRPr="00DE12A3">
        <w:rPr>
          <w:rFonts w:eastAsia="Times New Roman" w:cs="Times New Roman"/>
          <w:color w:val="auto"/>
          <w:spacing w:val="3"/>
          <w:lang w:eastAsia="en-US"/>
        </w:rPr>
        <w:t>r.</w:t>
      </w:r>
    </w:p>
    <w:p w14:paraId="58933FC3" w14:textId="77777777" w:rsidR="002D7B36" w:rsidRPr="00DE12A3" w:rsidRDefault="002D7B36" w:rsidP="00C917D6">
      <w:pPr>
        <w:shd w:val="clear" w:color="auto" w:fill="FFFFFF"/>
        <w:spacing w:before="120" w:after="120"/>
        <w:ind w:left="1701" w:hanging="567"/>
        <w:jc w:val="both"/>
        <w:rPr>
          <w:rFonts w:eastAsia="Times New Roman" w:cs="Times New Roman"/>
          <w:color w:val="auto"/>
          <w:spacing w:val="3"/>
          <w:lang w:eastAsia="en-US"/>
        </w:rPr>
      </w:pPr>
    </w:p>
    <w:p w14:paraId="24020DCF" w14:textId="77777777" w:rsidR="002D7B36" w:rsidRPr="00DE12A3" w:rsidRDefault="00242DA0" w:rsidP="00E20716">
      <w:pPr>
        <w:numPr>
          <w:ilvl w:val="0"/>
          <w:numId w:val="339"/>
        </w:numPr>
        <w:shd w:val="clear" w:color="auto" w:fill="FFFFFF"/>
        <w:spacing w:before="120" w:after="120"/>
        <w:ind w:left="1701" w:hanging="567"/>
        <w:jc w:val="both"/>
        <w:rPr>
          <w:rFonts w:eastAsia="Times New Roman" w:cs="Times New Roman"/>
          <w:color w:val="auto"/>
          <w:spacing w:val="3"/>
          <w:lang w:eastAsia="en-US"/>
        </w:rPr>
      </w:pPr>
      <w:r w:rsidRPr="00DE12A3">
        <w:rPr>
          <w:rFonts w:eastAsia="Times New Roman" w:cs="Times New Roman"/>
          <w:color w:val="auto"/>
          <w:spacing w:val="3"/>
          <w:lang w:eastAsia="en-US"/>
        </w:rPr>
        <w:t>Taşınımlı hava akışından, elektriksel olarak topraklanmış statik-dağıtan bir akım kalkanı ile korunmalıdır.</w:t>
      </w:r>
    </w:p>
    <w:p w14:paraId="7DD87C3D" w14:textId="77777777" w:rsidR="002D7B36" w:rsidRPr="00DE12A3" w:rsidRDefault="00242DA0" w:rsidP="00E20716">
      <w:pPr>
        <w:numPr>
          <w:ilvl w:val="0"/>
          <w:numId w:val="337"/>
        </w:numPr>
        <w:shd w:val="clear" w:color="auto" w:fill="FFFFFF"/>
        <w:spacing w:before="120" w:after="120"/>
        <w:ind w:left="1134" w:hanging="1134"/>
        <w:jc w:val="both"/>
        <w:rPr>
          <w:rFonts w:eastAsia="Times New Roman" w:cs="Times New Roman"/>
          <w:color w:val="auto"/>
          <w:spacing w:val="3"/>
          <w:lang w:eastAsia="en-US"/>
        </w:rPr>
      </w:pPr>
      <w:r w:rsidRPr="00DE12A3">
        <w:rPr>
          <w:rFonts w:eastAsia="Times New Roman" w:cs="Times New Roman"/>
          <w:color w:val="auto"/>
          <w:spacing w:val="3"/>
          <w:lang w:eastAsia="en-US"/>
        </w:rPr>
        <w:t>Statik elektrik yükü</w:t>
      </w:r>
    </w:p>
    <w:p w14:paraId="75231948" w14:textId="77777777" w:rsidR="002D7B36" w:rsidRPr="00DE12A3" w:rsidRDefault="00470AD1" w:rsidP="00C917D6">
      <w:pPr>
        <w:shd w:val="clear" w:color="auto" w:fill="FFFFFF"/>
        <w:spacing w:before="120" w:after="120"/>
        <w:ind w:left="1134" w:hanging="1134"/>
        <w:jc w:val="both"/>
        <w:rPr>
          <w:rFonts w:eastAsia="Times New Roman" w:cs="Times New Roman"/>
          <w:color w:val="auto"/>
          <w:spacing w:val="3"/>
          <w:lang w:eastAsia="en-US"/>
        </w:rPr>
      </w:pPr>
      <w:r w:rsidRPr="00DE12A3">
        <w:rPr>
          <w:rFonts w:eastAsia="Times New Roman" w:cs="Times New Roman"/>
          <w:color w:val="auto"/>
          <w:spacing w:val="3"/>
          <w:lang w:eastAsia="en-US"/>
        </w:rPr>
        <w:t xml:space="preserve">                  </w:t>
      </w:r>
      <w:r w:rsidR="00EF0D08" w:rsidRPr="00DE12A3">
        <w:rPr>
          <w:rFonts w:eastAsia="Times New Roman" w:cs="Times New Roman"/>
          <w:color w:val="auto"/>
          <w:spacing w:val="3"/>
          <w:lang w:eastAsia="en-US"/>
        </w:rPr>
        <w:t>Balans</w:t>
      </w:r>
      <w:r w:rsidR="00242DA0" w:rsidRPr="00DE12A3">
        <w:rPr>
          <w:rFonts w:eastAsia="Times New Roman" w:cs="Times New Roman"/>
          <w:color w:val="auto"/>
          <w:spacing w:val="3"/>
          <w:lang w:eastAsia="en-US"/>
        </w:rPr>
        <w:t xml:space="preserve"> ortamında statik elektrik yükü aşağıdaki şekilde en aza indirilmelidir:</w:t>
      </w:r>
    </w:p>
    <w:p w14:paraId="5E8DD95D" w14:textId="0BDFCA33" w:rsidR="002D7B36" w:rsidRPr="00DE12A3" w:rsidRDefault="00470AD1" w:rsidP="00E20716">
      <w:pPr>
        <w:numPr>
          <w:ilvl w:val="0"/>
          <w:numId w:val="340"/>
        </w:numPr>
        <w:shd w:val="clear" w:color="auto" w:fill="FFFFFF"/>
        <w:spacing w:before="120" w:after="120"/>
        <w:ind w:left="1701" w:hanging="567"/>
        <w:jc w:val="both"/>
        <w:rPr>
          <w:rFonts w:eastAsia="Times New Roman" w:cs="Times New Roman"/>
          <w:color w:val="auto"/>
          <w:spacing w:val="3"/>
          <w:lang w:eastAsia="en-US"/>
        </w:rPr>
      </w:pPr>
      <w:r w:rsidRPr="00DE12A3">
        <w:rPr>
          <w:rFonts w:eastAsia="Times New Roman" w:cs="Times New Roman"/>
          <w:color w:val="auto"/>
          <w:spacing w:val="3"/>
          <w:lang w:eastAsia="en-US"/>
        </w:rPr>
        <w:t xml:space="preserve">    </w:t>
      </w:r>
      <w:r w:rsidR="00EF0D08" w:rsidRPr="00DE12A3">
        <w:rPr>
          <w:rFonts w:eastAsia="Times New Roman" w:cs="Times New Roman"/>
          <w:color w:val="auto"/>
          <w:spacing w:val="3"/>
          <w:lang w:eastAsia="en-US"/>
        </w:rPr>
        <w:t>Balans</w:t>
      </w:r>
      <w:r w:rsidR="00242DA0" w:rsidRPr="00DE12A3">
        <w:rPr>
          <w:rFonts w:eastAsia="Times New Roman" w:cs="Times New Roman"/>
          <w:color w:val="auto"/>
          <w:spacing w:val="3"/>
          <w:lang w:eastAsia="en-US"/>
        </w:rPr>
        <w:t xml:space="preserve"> elektriksel olarak topraklanır</w:t>
      </w:r>
      <w:r w:rsidR="00B528E1" w:rsidRPr="00DE12A3">
        <w:rPr>
          <w:rFonts w:eastAsia="Times New Roman" w:cs="Times New Roman"/>
          <w:color w:val="auto"/>
          <w:spacing w:val="3"/>
          <w:lang w:eastAsia="en-US"/>
        </w:rPr>
        <w:t>.</w:t>
      </w:r>
    </w:p>
    <w:p w14:paraId="02D8A885" w14:textId="235CC445" w:rsidR="002D7B36" w:rsidRPr="00DE12A3" w:rsidRDefault="00242DA0" w:rsidP="00E20716">
      <w:pPr>
        <w:numPr>
          <w:ilvl w:val="0"/>
          <w:numId w:val="340"/>
        </w:numPr>
        <w:shd w:val="clear" w:color="auto" w:fill="FFFFFF"/>
        <w:tabs>
          <w:tab w:val="left" w:pos="1166"/>
        </w:tabs>
        <w:spacing w:before="120" w:after="120"/>
        <w:ind w:left="1701" w:hanging="567"/>
        <w:jc w:val="both"/>
        <w:rPr>
          <w:rFonts w:eastAsia="Times New Roman" w:cs="Times New Roman"/>
          <w:color w:val="auto"/>
          <w:spacing w:val="3"/>
          <w:lang w:eastAsia="en-US"/>
        </w:rPr>
      </w:pPr>
      <w:r w:rsidRPr="00DE12A3">
        <w:rPr>
          <w:rFonts w:eastAsia="Times New Roman" w:cs="Times New Roman"/>
          <w:color w:val="auto"/>
          <w:spacing w:val="3"/>
          <w:lang w:eastAsia="en-US"/>
        </w:rPr>
        <w:t>PM numuneleri manuel olarak işlenecekse, paslanmaz çelik cımbız kullanılır</w:t>
      </w:r>
      <w:r w:rsidR="00B528E1" w:rsidRPr="00DE12A3">
        <w:rPr>
          <w:rFonts w:eastAsia="Times New Roman" w:cs="Times New Roman"/>
          <w:color w:val="auto"/>
          <w:spacing w:val="3"/>
          <w:lang w:eastAsia="en-US"/>
        </w:rPr>
        <w:t>.</w:t>
      </w:r>
    </w:p>
    <w:p w14:paraId="4CC5A0BA" w14:textId="38E25851" w:rsidR="002D7B36" w:rsidRPr="00DE12A3" w:rsidRDefault="00470AD1" w:rsidP="00E20716">
      <w:pPr>
        <w:numPr>
          <w:ilvl w:val="0"/>
          <w:numId w:val="340"/>
        </w:numPr>
        <w:shd w:val="clear" w:color="auto" w:fill="FFFFFF"/>
        <w:spacing w:before="120" w:after="120"/>
        <w:ind w:left="1701" w:hanging="567"/>
        <w:jc w:val="both"/>
        <w:rPr>
          <w:rFonts w:eastAsia="Times New Roman" w:cs="Times New Roman"/>
          <w:color w:val="auto"/>
          <w:spacing w:val="3"/>
          <w:lang w:eastAsia="en-US"/>
        </w:rPr>
      </w:pPr>
      <w:r w:rsidRPr="00DE12A3">
        <w:rPr>
          <w:rFonts w:eastAsia="Times New Roman" w:cs="Times New Roman"/>
          <w:color w:val="auto"/>
          <w:spacing w:val="3"/>
          <w:lang w:eastAsia="en-US"/>
        </w:rPr>
        <w:t xml:space="preserve">     </w:t>
      </w:r>
      <w:r w:rsidR="00242DA0" w:rsidRPr="00DE12A3">
        <w:rPr>
          <w:rFonts w:eastAsia="Times New Roman" w:cs="Times New Roman"/>
          <w:color w:val="auto"/>
          <w:spacing w:val="3"/>
          <w:lang w:eastAsia="en-US"/>
        </w:rPr>
        <w:t xml:space="preserve">Cımbız topraklama kablosu ile topraklanmalı veya operatöre, topraklama kablosu ile </w:t>
      </w:r>
      <w:r w:rsidR="00EF0D08" w:rsidRPr="00DE12A3">
        <w:rPr>
          <w:rFonts w:eastAsia="Times New Roman" w:cs="Times New Roman"/>
          <w:color w:val="auto"/>
          <w:spacing w:val="3"/>
          <w:lang w:eastAsia="en-US"/>
        </w:rPr>
        <w:t>balans</w:t>
      </w:r>
      <w:r w:rsidR="00242DA0" w:rsidRPr="00DE12A3">
        <w:rPr>
          <w:rFonts w:eastAsia="Times New Roman" w:cs="Times New Roman"/>
          <w:color w:val="auto"/>
          <w:spacing w:val="3"/>
          <w:lang w:eastAsia="en-US"/>
        </w:rPr>
        <w:t xml:space="preserve"> ortak bir topraklamayı paylaşacak şekilde bir topraklama kablosu sağlanmalıdır</w:t>
      </w:r>
      <w:r w:rsidR="00B528E1" w:rsidRPr="00DE12A3">
        <w:rPr>
          <w:rFonts w:eastAsia="Times New Roman" w:cs="Times New Roman"/>
          <w:color w:val="auto"/>
          <w:spacing w:val="3"/>
          <w:lang w:eastAsia="en-US"/>
        </w:rPr>
        <w:t>.</w:t>
      </w:r>
    </w:p>
    <w:p w14:paraId="54B3D211" w14:textId="77777777" w:rsidR="002D7B36" w:rsidRPr="00DE12A3" w:rsidRDefault="00242DA0" w:rsidP="00E20716">
      <w:pPr>
        <w:numPr>
          <w:ilvl w:val="0"/>
          <w:numId w:val="340"/>
        </w:numPr>
        <w:shd w:val="clear" w:color="auto" w:fill="FFFFFF"/>
        <w:tabs>
          <w:tab w:val="left" w:pos="1166"/>
        </w:tabs>
        <w:spacing w:before="120" w:after="120"/>
        <w:ind w:left="1701" w:hanging="567"/>
        <w:jc w:val="both"/>
        <w:rPr>
          <w:rFonts w:eastAsia="Times New Roman" w:cs="Times New Roman"/>
          <w:color w:val="auto"/>
          <w:spacing w:val="3"/>
          <w:lang w:eastAsia="en-US"/>
        </w:rPr>
      </w:pPr>
      <w:r w:rsidRPr="00DE12A3">
        <w:rPr>
          <w:rFonts w:eastAsia="Times New Roman" w:cs="Times New Roman"/>
          <w:color w:val="auto"/>
          <w:spacing w:val="3"/>
          <w:lang w:eastAsia="en-US"/>
        </w:rPr>
        <w:t xml:space="preserve">PM numunelerinden statik yükü gidermek için </w:t>
      </w:r>
      <w:r w:rsidR="00EF0D08" w:rsidRPr="00DE12A3">
        <w:rPr>
          <w:rFonts w:eastAsia="Times New Roman" w:cs="Times New Roman"/>
          <w:color w:val="auto"/>
          <w:spacing w:val="3"/>
          <w:lang w:eastAsia="en-US"/>
        </w:rPr>
        <w:t>balans</w:t>
      </w:r>
      <w:r w:rsidRPr="00DE12A3">
        <w:rPr>
          <w:rFonts w:eastAsia="Times New Roman" w:cs="Times New Roman"/>
          <w:color w:val="auto"/>
          <w:spacing w:val="3"/>
          <w:lang w:eastAsia="en-US"/>
        </w:rPr>
        <w:t xml:space="preserve"> ile ortak olarak elektrik topraklaması yapılmış bir statik-elektrik giderici sağlanmalıdır.</w:t>
      </w:r>
    </w:p>
    <w:p w14:paraId="118EC67F" w14:textId="77777777" w:rsidR="002D7B36" w:rsidRPr="00DE12A3" w:rsidRDefault="00242DA0" w:rsidP="00E20716">
      <w:pPr>
        <w:numPr>
          <w:ilvl w:val="0"/>
          <w:numId w:val="320"/>
        </w:numPr>
        <w:shd w:val="clear" w:color="auto" w:fill="FFFFFF"/>
        <w:spacing w:before="120" w:after="120"/>
        <w:ind w:left="1134" w:hanging="1134"/>
        <w:jc w:val="both"/>
        <w:rPr>
          <w:rFonts w:eastAsia="Times New Roman" w:cs="Times New Roman"/>
          <w:color w:val="auto"/>
          <w:spacing w:val="3"/>
          <w:lang w:eastAsia="en-US"/>
        </w:rPr>
      </w:pPr>
      <w:r w:rsidRPr="00DE12A3">
        <w:rPr>
          <w:rFonts w:eastAsia="Times New Roman" w:cs="Times New Roman"/>
          <w:color w:val="auto"/>
          <w:spacing w:val="3"/>
          <w:lang w:eastAsia="en-US"/>
        </w:rPr>
        <w:t>Ölçüm cihazları</w:t>
      </w:r>
    </w:p>
    <w:p w14:paraId="2D61B454" w14:textId="77777777" w:rsidR="002D7B36" w:rsidRPr="00DE12A3" w:rsidRDefault="00242DA0" w:rsidP="00E20716">
      <w:pPr>
        <w:numPr>
          <w:ilvl w:val="0"/>
          <w:numId w:val="341"/>
        </w:numPr>
        <w:shd w:val="clear" w:color="auto" w:fill="FFFFFF"/>
        <w:spacing w:before="120" w:after="120"/>
        <w:ind w:left="1134" w:hanging="1134"/>
        <w:jc w:val="both"/>
        <w:rPr>
          <w:rFonts w:eastAsia="Times New Roman" w:cs="Times New Roman"/>
          <w:color w:val="auto"/>
          <w:spacing w:val="3"/>
          <w:lang w:eastAsia="en-US"/>
        </w:rPr>
      </w:pPr>
      <w:r w:rsidRPr="00DE12A3">
        <w:rPr>
          <w:rFonts w:eastAsia="Times New Roman" w:cs="Times New Roman"/>
          <w:color w:val="auto"/>
          <w:spacing w:val="3"/>
          <w:lang w:eastAsia="en-US"/>
        </w:rPr>
        <w:t>Giriş</w:t>
      </w:r>
    </w:p>
    <w:p w14:paraId="184FCB37" w14:textId="77777777" w:rsidR="002D7B36" w:rsidRPr="00DE12A3" w:rsidRDefault="00242DA0" w:rsidP="00E20716">
      <w:pPr>
        <w:numPr>
          <w:ilvl w:val="0"/>
          <w:numId w:val="342"/>
        </w:numPr>
        <w:shd w:val="clear" w:color="auto" w:fill="FFFFFF"/>
        <w:spacing w:before="120" w:after="120"/>
        <w:ind w:left="1134" w:hanging="1134"/>
        <w:jc w:val="both"/>
        <w:rPr>
          <w:rFonts w:eastAsia="Times New Roman" w:cs="Times New Roman"/>
          <w:color w:val="auto"/>
          <w:spacing w:val="3"/>
          <w:lang w:eastAsia="en-US"/>
        </w:rPr>
      </w:pPr>
      <w:r w:rsidRPr="00DE12A3">
        <w:rPr>
          <w:rFonts w:eastAsia="Times New Roman" w:cs="Times New Roman"/>
          <w:color w:val="auto"/>
          <w:spacing w:val="3"/>
          <w:lang w:eastAsia="en-US"/>
        </w:rPr>
        <w:t>Kapsam</w:t>
      </w:r>
    </w:p>
    <w:p w14:paraId="4833C882" w14:textId="77777777" w:rsidR="002D7B36" w:rsidRPr="00DE12A3" w:rsidRDefault="00470AD1" w:rsidP="00C917D6">
      <w:pPr>
        <w:shd w:val="clear" w:color="auto" w:fill="FFFFFF"/>
        <w:spacing w:before="120" w:after="120"/>
        <w:ind w:left="1134" w:hanging="1134"/>
        <w:jc w:val="both"/>
        <w:rPr>
          <w:rFonts w:eastAsia="Times New Roman" w:cs="Times New Roman"/>
          <w:color w:val="auto"/>
          <w:spacing w:val="3"/>
          <w:lang w:eastAsia="en-US"/>
        </w:rPr>
      </w:pPr>
      <w:r w:rsidRPr="00DE12A3">
        <w:rPr>
          <w:rFonts w:eastAsia="Times New Roman" w:cs="Times New Roman"/>
          <w:color w:val="auto"/>
          <w:spacing w:val="3"/>
          <w:lang w:eastAsia="en-US"/>
        </w:rPr>
        <w:t xml:space="preserve">                  </w:t>
      </w:r>
      <w:r w:rsidR="00242DA0" w:rsidRPr="00DE12A3">
        <w:rPr>
          <w:rFonts w:eastAsia="Times New Roman" w:cs="Times New Roman"/>
          <w:color w:val="auto"/>
          <w:spacing w:val="3"/>
          <w:lang w:eastAsia="en-US"/>
        </w:rPr>
        <w:t xml:space="preserve">Bu bentte, emisyon testi ile ilgili ölçüm cihazları ve ilişkili sistem </w:t>
      </w:r>
      <w:r w:rsidR="0053289F" w:rsidRPr="00DE12A3">
        <w:rPr>
          <w:rFonts w:eastAsia="Times New Roman" w:cs="Times New Roman"/>
          <w:color w:val="auto"/>
          <w:spacing w:val="3"/>
          <w:lang w:eastAsia="en-US"/>
        </w:rPr>
        <w:t>gereklilikleri</w:t>
      </w:r>
      <w:r w:rsidR="00242DA0" w:rsidRPr="00DE12A3">
        <w:rPr>
          <w:rFonts w:eastAsia="Times New Roman" w:cs="Times New Roman"/>
          <w:color w:val="auto"/>
          <w:spacing w:val="3"/>
          <w:lang w:eastAsia="en-US"/>
        </w:rPr>
        <w:t xml:space="preserve"> belirtilmektedir. Bu; motor parametrelerini, ortam koşullarını, akışla ilgili parametreleri ve emisyon konsantrasyonlarını (ham veya seyreltilmiş) ölçmek için kullanılan laboratuvar cihazlarını içerir.</w:t>
      </w:r>
    </w:p>
    <w:p w14:paraId="05A000AB" w14:textId="77777777" w:rsidR="002D7B36" w:rsidRPr="00DE12A3" w:rsidRDefault="00242DA0" w:rsidP="00E20716">
      <w:pPr>
        <w:numPr>
          <w:ilvl w:val="0"/>
          <w:numId w:val="342"/>
        </w:numPr>
        <w:shd w:val="clear" w:color="auto" w:fill="FFFFFF"/>
        <w:spacing w:before="120" w:after="120"/>
        <w:ind w:left="1134" w:hanging="1134"/>
        <w:jc w:val="both"/>
        <w:rPr>
          <w:rFonts w:eastAsia="Times New Roman" w:cs="Times New Roman"/>
          <w:color w:val="auto"/>
          <w:spacing w:val="3"/>
          <w:lang w:eastAsia="en-US"/>
        </w:rPr>
      </w:pPr>
      <w:r w:rsidRPr="00DE12A3">
        <w:rPr>
          <w:rFonts w:eastAsia="Times New Roman" w:cs="Times New Roman"/>
          <w:color w:val="auto"/>
          <w:spacing w:val="3"/>
          <w:lang w:eastAsia="en-US"/>
        </w:rPr>
        <w:t>Cihaz tipleri</w:t>
      </w:r>
    </w:p>
    <w:p w14:paraId="664640A3" w14:textId="16F79167" w:rsidR="002D7B36" w:rsidRPr="00DE12A3" w:rsidRDefault="00470AD1" w:rsidP="00C917D6">
      <w:pPr>
        <w:shd w:val="clear" w:color="auto" w:fill="FFFFFF"/>
        <w:spacing w:before="120" w:after="120"/>
        <w:ind w:left="1134" w:hanging="1134"/>
        <w:jc w:val="both"/>
        <w:rPr>
          <w:rFonts w:eastAsia="Times New Roman" w:cs="Times New Roman"/>
          <w:color w:val="auto"/>
          <w:spacing w:val="3"/>
          <w:lang w:eastAsia="en-US"/>
        </w:rPr>
      </w:pPr>
      <w:r w:rsidRPr="00DE12A3">
        <w:rPr>
          <w:rFonts w:eastAsia="Times New Roman" w:cs="Times New Roman"/>
          <w:color w:val="auto"/>
          <w:spacing w:val="3"/>
          <w:lang w:eastAsia="en-US"/>
        </w:rPr>
        <w:t xml:space="preserve">                   </w:t>
      </w:r>
      <w:r w:rsidR="00242DA0" w:rsidRPr="00DE12A3">
        <w:rPr>
          <w:rFonts w:eastAsia="Times New Roman" w:cs="Times New Roman"/>
          <w:color w:val="auto"/>
          <w:spacing w:val="3"/>
          <w:lang w:eastAsia="en-US"/>
        </w:rPr>
        <w:t>Bu T</w:t>
      </w:r>
      <w:r w:rsidR="00EE5D5E" w:rsidRPr="00DE12A3">
        <w:rPr>
          <w:rFonts w:eastAsia="Times New Roman" w:cs="Times New Roman"/>
          <w:color w:val="auto"/>
          <w:spacing w:val="3"/>
          <w:lang w:eastAsia="en-US"/>
        </w:rPr>
        <w:t>ebliğde</w:t>
      </w:r>
      <w:r w:rsidR="00242DA0" w:rsidRPr="00DE12A3">
        <w:rPr>
          <w:rFonts w:eastAsia="Times New Roman" w:cs="Times New Roman"/>
          <w:color w:val="auto"/>
          <w:spacing w:val="3"/>
          <w:lang w:eastAsia="en-US"/>
        </w:rPr>
        <w:t xml:space="preserve"> belirtilen her cihaz, </w:t>
      </w:r>
      <w:r w:rsidR="00B528E1" w:rsidRPr="00DE12A3">
        <w:rPr>
          <w:rFonts w:eastAsia="Times New Roman" w:cs="Times New Roman"/>
          <w:color w:val="auto"/>
          <w:spacing w:val="3"/>
          <w:lang w:eastAsia="en-US"/>
        </w:rPr>
        <w:t>T</w:t>
      </w:r>
      <w:r w:rsidR="00EE5D5E" w:rsidRPr="00DE12A3">
        <w:rPr>
          <w:rFonts w:eastAsia="Times New Roman" w:cs="Times New Roman"/>
          <w:color w:val="auto"/>
          <w:spacing w:val="3"/>
          <w:lang w:eastAsia="en-US"/>
        </w:rPr>
        <w:t>ebliğde</w:t>
      </w:r>
      <w:r w:rsidR="00242DA0" w:rsidRPr="00DE12A3">
        <w:rPr>
          <w:rFonts w:eastAsia="Times New Roman" w:cs="Times New Roman"/>
          <w:color w:val="auto"/>
          <w:spacing w:val="3"/>
          <w:lang w:eastAsia="en-US"/>
        </w:rPr>
        <w:t xml:space="preserve"> belirtildiği şekilde kullanılmalıdır (bu cihazlar tarafından sağlanan ölçüm miktarları için Tablo 6.5'e bakınız). Bu </w:t>
      </w:r>
      <w:r w:rsidR="00B528E1" w:rsidRPr="00DE12A3">
        <w:rPr>
          <w:rFonts w:eastAsia="Times New Roman" w:cs="Times New Roman"/>
          <w:color w:val="auto"/>
          <w:spacing w:val="3"/>
          <w:lang w:eastAsia="en-US"/>
        </w:rPr>
        <w:lastRenderedPageBreak/>
        <w:t>T</w:t>
      </w:r>
      <w:r w:rsidR="00EE5D5E" w:rsidRPr="00DE12A3">
        <w:rPr>
          <w:rFonts w:eastAsia="Times New Roman" w:cs="Times New Roman"/>
          <w:color w:val="auto"/>
          <w:spacing w:val="3"/>
          <w:lang w:eastAsia="en-US"/>
        </w:rPr>
        <w:t>ebliğde</w:t>
      </w:r>
      <w:r w:rsidR="00242DA0" w:rsidRPr="00DE12A3">
        <w:rPr>
          <w:rFonts w:eastAsia="Times New Roman" w:cs="Times New Roman"/>
          <w:color w:val="auto"/>
          <w:spacing w:val="3"/>
          <w:lang w:eastAsia="en-US"/>
        </w:rPr>
        <w:t xml:space="preserve"> belirtilen bir cihazın belirtilmeyen bir şekilde kullanıldığı veya onun yerine başka bir cihazın kullanıldığı her durumda, 5.1.1 bendinde belirtilen denklik hükümlerine ilişkin şartlar uygulanır.  Belirli bir ölçüm için birden fazla cihazın belirtildiği durumlarda, başvuru üzerine bu cihazlardan biri, </w:t>
      </w:r>
      <w:r w:rsidR="007E2039" w:rsidRPr="00DE12A3">
        <w:rPr>
          <w:rFonts w:eastAsia="Times New Roman" w:cs="Times New Roman"/>
          <w:color w:val="auto"/>
          <w:spacing w:val="3"/>
          <w:lang w:eastAsia="en-US"/>
        </w:rPr>
        <w:t xml:space="preserve">onay </w:t>
      </w:r>
      <w:r w:rsidR="00FC3410" w:rsidRPr="00DE12A3">
        <w:rPr>
          <w:rFonts w:eastAsia="Times New Roman" w:cs="Times New Roman"/>
          <w:color w:val="auto"/>
          <w:spacing w:val="3"/>
          <w:lang w:eastAsia="en-US"/>
        </w:rPr>
        <w:t>kuruluşu tarafından</w:t>
      </w:r>
      <w:r w:rsidR="00242DA0" w:rsidRPr="00DE12A3">
        <w:rPr>
          <w:rFonts w:eastAsia="Times New Roman" w:cs="Times New Roman"/>
          <w:color w:val="auto"/>
          <w:spacing w:val="3"/>
          <w:lang w:eastAsia="en-US"/>
        </w:rPr>
        <w:t xml:space="preserve"> belirtilen prosedüre denk alternatif bir prosedürün olduğunu göstermek için referans olarak belirlenecektir. </w:t>
      </w:r>
    </w:p>
    <w:p w14:paraId="302AA6F9" w14:textId="77777777" w:rsidR="002D7B36" w:rsidRPr="00DE12A3" w:rsidRDefault="00242DA0" w:rsidP="00E20716">
      <w:pPr>
        <w:numPr>
          <w:ilvl w:val="0"/>
          <w:numId w:val="342"/>
        </w:numPr>
        <w:shd w:val="clear" w:color="auto" w:fill="FFFFFF"/>
        <w:spacing w:before="120" w:after="120"/>
        <w:ind w:left="1134" w:hanging="1134"/>
        <w:jc w:val="both"/>
        <w:rPr>
          <w:rFonts w:eastAsia="Times New Roman" w:cs="Times New Roman"/>
          <w:color w:val="auto"/>
          <w:spacing w:val="3"/>
          <w:lang w:eastAsia="en-US"/>
        </w:rPr>
      </w:pPr>
      <w:r w:rsidRPr="00DE12A3">
        <w:rPr>
          <w:rFonts w:eastAsia="Times New Roman" w:cs="Times New Roman"/>
          <w:color w:val="auto"/>
          <w:spacing w:val="3"/>
          <w:lang w:eastAsia="en-US"/>
        </w:rPr>
        <w:t>Yedek sistemler</w:t>
      </w:r>
    </w:p>
    <w:p w14:paraId="6F547EAA" w14:textId="77777777" w:rsidR="002D7B36" w:rsidRPr="00DE12A3" w:rsidRDefault="00242DA0" w:rsidP="00C917D6">
      <w:pPr>
        <w:shd w:val="clear" w:color="auto" w:fill="FFFFFF"/>
        <w:spacing w:before="120" w:after="120"/>
        <w:ind w:left="1134" w:hanging="1134"/>
        <w:jc w:val="both"/>
        <w:rPr>
          <w:rFonts w:eastAsia="Times New Roman" w:cs="Times New Roman"/>
          <w:color w:val="auto"/>
          <w:spacing w:val="3"/>
          <w:lang w:eastAsia="en-US"/>
        </w:rPr>
      </w:pPr>
      <w:r w:rsidRPr="00DE12A3">
        <w:rPr>
          <w:rFonts w:eastAsia="Times New Roman" w:cs="Times New Roman"/>
          <w:color w:val="auto"/>
          <w:spacing w:val="3"/>
          <w:lang w:eastAsia="en-US"/>
        </w:rPr>
        <w:t xml:space="preserve"> </w:t>
      </w:r>
      <w:r w:rsidR="00470AD1" w:rsidRPr="00DE12A3">
        <w:rPr>
          <w:rFonts w:eastAsia="Times New Roman" w:cs="Times New Roman"/>
          <w:color w:val="auto"/>
          <w:spacing w:val="3"/>
          <w:lang w:eastAsia="en-US"/>
        </w:rPr>
        <w:t xml:space="preserve">                 </w:t>
      </w:r>
      <w:r w:rsidR="007E2039" w:rsidRPr="00DE12A3">
        <w:rPr>
          <w:rFonts w:eastAsia="Times New Roman" w:cs="Times New Roman"/>
          <w:color w:val="auto"/>
          <w:spacing w:val="3"/>
          <w:lang w:eastAsia="en-US"/>
        </w:rPr>
        <w:t xml:space="preserve">Onay </w:t>
      </w:r>
      <w:r w:rsidR="00FC3410" w:rsidRPr="00DE12A3">
        <w:rPr>
          <w:rFonts w:eastAsia="Times New Roman" w:cs="Times New Roman"/>
          <w:color w:val="auto"/>
          <w:spacing w:val="3"/>
          <w:lang w:eastAsia="en-US"/>
        </w:rPr>
        <w:t>kuruluşunun önceden</w:t>
      </w:r>
      <w:r w:rsidRPr="00DE12A3">
        <w:rPr>
          <w:rFonts w:eastAsia="Times New Roman" w:cs="Times New Roman"/>
          <w:color w:val="auto"/>
          <w:spacing w:val="3"/>
          <w:lang w:eastAsia="en-US"/>
        </w:rPr>
        <w:t xml:space="preserve"> onayı ile, tek bir teste ilişkin test sonuçlarını hesaplamak amacıyla birden fazla cihazdan gelen veriler, bu noktada açıklanan tüm ölçüm </w:t>
      </w:r>
      <w:r w:rsidR="00B17281" w:rsidRPr="00DE12A3">
        <w:rPr>
          <w:rFonts w:eastAsia="Times New Roman" w:cs="Times New Roman"/>
          <w:color w:val="auto"/>
          <w:spacing w:val="3"/>
          <w:lang w:eastAsia="en-US"/>
        </w:rPr>
        <w:t xml:space="preserve">cihazları için kullanılabilir. </w:t>
      </w:r>
      <w:r w:rsidRPr="00DE12A3">
        <w:rPr>
          <w:rFonts w:eastAsia="Times New Roman" w:cs="Times New Roman"/>
          <w:color w:val="auto"/>
          <w:spacing w:val="3"/>
          <w:lang w:eastAsia="en-US"/>
        </w:rPr>
        <w:t xml:space="preserve"> Tüm ölçümlerden elde edilen sonuçlar kaydedilmeli ve ham veriler muhafaza edilmelidir. Ölçümlerin hesaplamalarda gerçekten kullanılıp kullanılmadığı hususunda bu şart uygulanır.</w:t>
      </w:r>
    </w:p>
    <w:p w14:paraId="178C224B" w14:textId="77777777" w:rsidR="002D7B36" w:rsidRPr="00DE12A3" w:rsidRDefault="00470AD1" w:rsidP="00E20716">
      <w:pPr>
        <w:numPr>
          <w:ilvl w:val="0"/>
          <w:numId w:val="341"/>
        </w:numPr>
        <w:shd w:val="clear" w:color="auto" w:fill="FFFFFF"/>
        <w:spacing w:before="120" w:after="120"/>
        <w:ind w:left="1134" w:hanging="1134"/>
        <w:jc w:val="both"/>
        <w:rPr>
          <w:rFonts w:eastAsia="Times New Roman" w:cs="Times New Roman"/>
          <w:color w:val="auto"/>
          <w:spacing w:val="3"/>
          <w:lang w:eastAsia="en-US"/>
        </w:rPr>
      </w:pPr>
      <w:r w:rsidRPr="00DE12A3">
        <w:rPr>
          <w:rFonts w:eastAsia="Times New Roman" w:cs="Times New Roman"/>
          <w:color w:val="auto"/>
          <w:spacing w:val="3"/>
          <w:lang w:eastAsia="en-US"/>
        </w:rPr>
        <w:t xml:space="preserve">       </w:t>
      </w:r>
      <w:r w:rsidR="00242DA0" w:rsidRPr="00DE12A3">
        <w:rPr>
          <w:rFonts w:eastAsia="Times New Roman" w:cs="Times New Roman"/>
          <w:color w:val="auto"/>
          <w:spacing w:val="3"/>
          <w:lang w:eastAsia="en-US"/>
        </w:rPr>
        <w:t>Veri kaydı ve kontrolü</w:t>
      </w:r>
    </w:p>
    <w:p w14:paraId="69A55C00" w14:textId="6E6FB756" w:rsidR="005978B8" w:rsidRPr="00DE12A3" w:rsidRDefault="00470AD1" w:rsidP="00EC6140">
      <w:pPr>
        <w:shd w:val="clear" w:color="auto" w:fill="FFFFFF"/>
        <w:spacing w:before="120" w:after="120"/>
        <w:ind w:left="1134" w:hanging="1134"/>
        <w:jc w:val="both"/>
        <w:rPr>
          <w:rFonts w:eastAsia="Times New Roman" w:cs="Times New Roman"/>
          <w:color w:val="auto"/>
          <w:spacing w:val="3"/>
          <w:sz w:val="20"/>
          <w:szCs w:val="20"/>
          <w:lang w:eastAsia="en-US"/>
        </w:rPr>
      </w:pPr>
      <w:r w:rsidRPr="00DE12A3">
        <w:rPr>
          <w:rFonts w:eastAsia="Times New Roman" w:cs="Times New Roman"/>
          <w:color w:val="auto"/>
          <w:spacing w:val="3"/>
          <w:lang w:eastAsia="en-US"/>
        </w:rPr>
        <w:t xml:space="preserve">                  </w:t>
      </w:r>
      <w:r w:rsidR="00242DA0" w:rsidRPr="00DE12A3">
        <w:rPr>
          <w:rFonts w:eastAsia="Times New Roman" w:cs="Times New Roman"/>
          <w:color w:val="auto"/>
          <w:spacing w:val="3"/>
          <w:lang w:eastAsia="en-US"/>
        </w:rPr>
        <w:t>Test sistemi, verileri güncelleyebilmeli, verileri kaydedebilmeli ve operatör talebi, dinamometre, örnekleme ekipmanı ve ölçüm cihazları ile ilgili kontrol sistemlerini kullanabilmelidir. Tablo 6.7'de gösterildiği gibi belirtilen asgari frekanslarda kayıt yapabilen veri toplama ve kontrol sistemleri kullanılmalıdır (bu Tablo ayrık mod NRSC testi için geçerli değildir).</w:t>
      </w:r>
    </w:p>
    <w:tbl>
      <w:tblPr>
        <w:tblpPr w:leftFromText="141" w:rightFromText="141" w:vertAnchor="text" w:horzAnchor="margin" w:tblpXSpec="center" w:tblpY="-24"/>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082"/>
        <w:gridCol w:w="3397"/>
        <w:gridCol w:w="1477"/>
        <w:gridCol w:w="1856"/>
      </w:tblGrid>
      <w:tr w:rsidR="00DE12A3" w:rsidRPr="00DE12A3" w14:paraId="08C2963D" w14:textId="77777777" w:rsidTr="00EC6140">
        <w:trPr>
          <w:trHeight w:hRule="exact" w:val="419"/>
        </w:trPr>
        <w:tc>
          <w:tcPr>
            <w:tcW w:w="7812" w:type="dxa"/>
            <w:gridSpan w:val="4"/>
            <w:shd w:val="clear" w:color="auto" w:fill="auto"/>
          </w:tcPr>
          <w:p w14:paraId="07C76D8E" w14:textId="77777777" w:rsidR="00506780" w:rsidRPr="00DE12A3" w:rsidRDefault="00506780" w:rsidP="00C917D6">
            <w:pPr>
              <w:pStyle w:val="Gvdemetni1"/>
              <w:shd w:val="clear" w:color="auto" w:fill="auto"/>
              <w:spacing w:before="120" w:after="120" w:line="240" w:lineRule="auto"/>
              <w:ind w:firstLine="0"/>
              <w:rPr>
                <w:color w:val="auto"/>
                <w:sz w:val="24"/>
                <w:szCs w:val="24"/>
              </w:rPr>
            </w:pPr>
            <w:r w:rsidRPr="00DE12A3">
              <w:rPr>
                <w:iCs/>
                <w:color w:val="auto"/>
                <w:sz w:val="24"/>
                <w:szCs w:val="24"/>
                <w:lang w:val="fr-FR"/>
              </w:rPr>
              <w:lastRenderedPageBreak/>
              <w:t>Tablo 6.7</w:t>
            </w:r>
          </w:p>
        </w:tc>
      </w:tr>
      <w:tr w:rsidR="00DE12A3" w:rsidRPr="00DE12A3" w14:paraId="3004E145" w14:textId="77777777" w:rsidTr="00EC6140">
        <w:trPr>
          <w:trHeight w:hRule="exact" w:val="419"/>
        </w:trPr>
        <w:tc>
          <w:tcPr>
            <w:tcW w:w="7812" w:type="dxa"/>
            <w:gridSpan w:val="4"/>
            <w:shd w:val="clear" w:color="auto" w:fill="auto"/>
          </w:tcPr>
          <w:p w14:paraId="0D2CD74E" w14:textId="77777777" w:rsidR="00EC6140" w:rsidRPr="00DE12A3" w:rsidRDefault="00EC6140" w:rsidP="00C917D6">
            <w:pPr>
              <w:pStyle w:val="Gvdemetni1"/>
              <w:shd w:val="clear" w:color="auto" w:fill="auto"/>
              <w:spacing w:before="120" w:after="120" w:line="240" w:lineRule="auto"/>
              <w:ind w:firstLine="0"/>
              <w:rPr>
                <w:iCs/>
                <w:color w:val="auto"/>
                <w:sz w:val="24"/>
                <w:szCs w:val="24"/>
                <w:lang w:val="fr-FR"/>
              </w:rPr>
            </w:pPr>
          </w:p>
          <w:p w14:paraId="7F3504C4" w14:textId="4642D687" w:rsidR="00EC6140" w:rsidRPr="00DE12A3" w:rsidRDefault="00EC6140" w:rsidP="00C917D6">
            <w:pPr>
              <w:pStyle w:val="Gvdemetni1"/>
              <w:shd w:val="clear" w:color="auto" w:fill="auto"/>
              <w:spacing w:before="120" w:after="120" w:line="240" w:lineRule="auto"/>
              <w:ind w:firstLine="0"/>
              <w:rPr>
                <w:iCs/>
                <w:color w:val="auto"/>
                <w:sz w:val="24"/>
                <w:szCs w:val="24"/>
                <w:lang w:val="fr-FR"/>
              </w:rPr>
            </w:pPr>
          </w:p>
        </w:tc>
      </w:tr>
      <w:tr w:rsidR="00DE12A3" w:rsidRPr="00DE12A3" w14:paraId="2E7BB5CB" w14:textId="77777777" w:rsidTr="00EC6140">
        <w:trPr>
          <w:trHeight w:hRule="exact" w:val="564"/>
        </w:trPr>
        <w:tc>
          <w:tcPr>
            <w:tcW w:w="7812" w:type="dxa"/>
            <w:gridSpan w:val="4"/>
            <w:shd w:val="clear" w:color="auto" w:fill="auto"/>
          </w:tcPr>
          <w:p w14:paraId="2C0A57BC" w14:textId="77777777" w:rsidR="00506780" w:rsidRPr="00DE12A3" w:rsidRDefault="00506780" w:rsidP="00C917D6">
            <w:pPr>
              <w:pStyle w:val="Gvdemetni1"/>
              <w:shd w:val="clear" w:color="auto" w:fill="auto"/>
              <w:spacing w:before="120" w:after="120" w:line="240" w:lineRule="auto"/>
              <w:ind w:firstLine="0"/>
              <w:rPr>
                <w:b/>
                <w:iCs/>
                <w:color w:val="auto"/>
                <w:sz w:val="24"/>
                <w:szCs w:val="24"/>
                <w:lang w:val="fr-FR"/>
              </w:rPr>
            </w:pPr>
            <w:r w:rsidRPr="00DE12A3">
              <w:rPr>
                <w:b/>
                <w:iCs/>
                <w:color w:val="auto"/>
                <w:sz w:val="24"/>
                <w:szCs w:val="24"/>
                <w:lang w:val="fr-FR"/>
              </w:rPr>
              <w:t>Veri kaydı ve minimum frekansları kontrol etme</w:t>
            </w:r>
          </w:p>
          <w:p w14:paraId="23D49C45" w14:textId="77777777" w:rsidR="00506780" w:rsidRPr="00DE12A3" w:rsidRDefault="00506780" w:rsidP="00C917D6">
            <w:pPr>
              <w:pStyle w:val="Gvdemetni1"/>
              <w:shd w:val="clear" w:color="auto" w:fill="auto"/>
              <w:spacing w:before="120" w:after="120" w:line="240" w:lineRule="auto"/>
              <w:ind w:firstLine="0"/>
              <w:rPr>
                <w:color w:val="auto"/>
                <w:sz w:val="20"/>
                <w:szCs w:val="20"/>
              </w:rPr>
            </w:pPr>
          </w:p>
        </w:tc>
      </w:tr>
      <w:tr w:rsidR="00DE12A3" w:rsidRPr="00DE12A3" w14:paraId="714E4A93" w14:textId="77777777" w:rsidTr="00EC6140">
        <w:trPr>
          <w:trHeight w:hRule="exact" w:val="1525"/>
        </w:trPr>
        <w:tc>
          <w:tcPr>
            <w:tcW w:w="1082" w:type="dxa"/>
            <w:shd w:val="clear" w:color="auto" w:fill="auto"/>
          </w:tcPr>
          <w:p w14:paraId="5AFA0576" w14:textId="77777777" w:rsidR="00506780" w:rsidRPr="00DE12A3" w:rsidRDefault="00506780" w:rsidP="00C917D6">
            <w:pPr>
              <w:pStyle w:val="NormalCentered"/>
            </w:pPr>
            <w:r w:rsidRPr="00DE12A3">
              <w:t>Geçerli Test</w:t>
            </w:r>
          </w:p>
          <w:p w14:paraId="44B05C1B" w14:textId="77777777" w:rsidR="00506780" w:rsidRPr="00DE12A3" w:rsidRDefault="00506780" w:rsidP="00C917D6">
            <w:pPr>
              <w:pStyle w:val="NormalCentered"/>
            </w:pPr>
            <w:r w:rsidRPr="00DE12A3">
              <w:t>Protokol</w:t>
            </w:r>
          </w:p>
          <w:p w14:paraId="3CCA424A" w14:textId="77777777" w:rsidR="00506780" w:rsidRPr="00DE12A3" w:rsidRDefault="00506780" w:rsidP="00C917D6">
            <w:pPr>
              <w:pStyle w:val="NormalCentered"/>
            </w:pPr>
            <w:r w:rsidRPr="00DE12A3">
              <w:t>Bölüm</w:t>
            </w:r>
          </w:p>
        </w:tc>
        <w:tc>
          <w:tcPr>
            <w:tcW w:w="3397" w:type="dxa"/>
            <w:shd w:val="clear" w:color="auto" w:fill="auto"/>
          </w:tcPr>
          <w:p w14:paraId="365DD97D" w14:textId="77777777" w:rsidR="00506780" w:rsidRPr="00DE12A3" w:rsidRDefault="00506780" w:rsidP="00C917D6">
            <w:pPr>
              <w:pStyle w:val="NormalCentered"/>
            </w:pPr>
            <w:r w:rsidRPr="00DE12A3">
              <w:t>Ölçülen Değerler</w:t>
            </w:r>
          </w:p>
        </w:tc>
        <w:tc>
          <w:tcPr>
            <w:tcW w:w="1477" w:type="dxa"/>
            <w:shd w:val="clear" w:color="auto" w:fill="auto"/>
          </w:tcPr>
          <w:p w14:paraId="496D6AA0" w14:textId="77777777" w:rsidR="00506780" w:rsidRPr="00DE12A3" w:rsidRDefault="00506780" w:rsidP="00C917D6">
            <w:pPr>
              <w:pStyle w:val="NormalCentered"/>
            </w:pPr>
            <w:r w:rsidRPr="00DE12A3">
              <w:t>Asgari Komuta ve Kontrol Frekansı</w:t>
            </w:r>
          </w:p>
        </w:tc>
        <w:tc>
          <w:tcPr>
            <w:tcW w:w="1853" w:type="dxa"/>
            <w:shd w:val="clear" w:color="auto" w:fill="auto"/>
          </w:tcPr>
          <w:p w14:paraId="05A04A47" w14:textId="77777777" w:rsidR="00506780" w:rsidRPr="00DE12A3" w:rsidRDefault="00506780" w:rsidP="00C917D6">
            <w:pPr>
              <w:pStyle w:val="NormalCentered"/>
            </w:pPr>
            <w:r w:rsidRPr="00DE12A3">
              <w:t>Asgari Kayıt Frekansı</w:t>
            </w:r>
          </w:p>
        </w:tc>
      </w:tr>
      <w:tr w:rsidR="00DE12A3" w:rsidRPr="00DE12A3" w14:paraId="7E4E5578" w14:textId="77777777" w:rsidTr="00EC6140">
        <w:trPr>
          <w:trHeight w:hRule="exact" w:val="773"/>
        </w:trPr>
        <w:tc>
          <w:tcPr>
            <w:tcW w:w="1082" w:type="dxa"/>
            <w:shd w:val="clear" w:color="auto" w:fill="auto"/>
          </w:tcPr>
          <w:p w14:paraId="638FDFDD" w14:textId="77777777" w:rsidR="00506780" w:rsidRPr="00DE12A3" w:rsidRDefault="00506780" w:rsidP="00C917D6">
            <w:pPr>
              <w:pStyle w:val="NormalLeft"/>
            </w:pPr>
            <w:r w:rsidRPr="00DE12A3">
              <w:t>7.6</w:t>
            </w:r>
          </w:p>
        </w:tc>
        <w:tc>
          <w:tcPr>
            <w:tcW w:w="3397" w:type="dxa"/>
            <w:shd w:val="clear" w:color="auto" w:fill="auto"/>
          </w:tcPr>
          <w:p w14:paraId="218C01DF" w14:textId="77777777" w:rsidR="00506780" w:rsidRPr="00DE12A3" w:rsidRDefault="00506780" w:rsidP="00C917D6">
            <w:pPr>
              <w:pStyle w:val="Gvdemetni1"/>
              <w:shd w:val="clear" w:color="auto" w:fill="auto"/>
              <w:spacing w:before="120" w:after="120" w:line="240" w:lineRule="auto"/>
              <w:ind w:firstLine="0"/>
              <w:jc w:val="both"/>
              <w:rPr>
                <w:color w:val="auto"/>
                <w:sz w:val="20"/>
                <w:szCs w:val="20"/>
              </w:rPr>
            </w:pPr>
            <w:r w:rsidRPr="00DE12A3">
              <w:rPr>
                <w:color w:val="auto"/>
                <w:sz w:val="20"/>
                <w:szCs w:val="20"/>
              </w:rPr>
              <w:t>Motor adım eşlemesi sırasında devir ve tork</w:t>
            </w:r>
          </w:p>
        </w:tc>
        <w:tc>
          <w:tcPr>
            <w:tcW w:w="1477" w:type="dxa"/>
            <w:shd w:val="clear" w:color="auto" w:fill="auto"/>
          </w:tcPr>
          <w:p w14:paraId="133080A9" w14:textId="77777777" w:rsidR="00506780" w:rsidRPr="00DE12A3" w:rsidRDefault="00506780" w:rsidP="00C917D6">
            <w:pPr>
              <w:pStyle w:val="Gvdemetni1"/>
              <w:shd w:val="clear" w:color="auto" w:fill="auto"/>
              <w:spacing w:before="120" w:after="120" w:line="240" w:lineRule="auto"/>
              <w:ind w:firstLine="0"/>
              <w:rPr>
                <w:color w:val="auto"/>
                <w:sz w:val="20"/>
                <w:szCs w:val="20"/>
              </w:rPr>
            </w:pPr>
            <w:r w:rsidRPr="00DE12A3">
              <w:rPr>
                <w:color w:val="auto"/>
                <w:sz w:val="20"/>
                <w:szCs w:val="20"/>
              </w:rPr>
              <w:t>1 Hz</w:t>
            </w:r>
          </w:p>
        </w:tc>
        <w:tc>
          <w:tcPr>
            <w:tcW w:w="1853" w:type="dxa"/>
            <w:shd w:val="clear" w:color="auto" w:fill="auto"/>
          </w:tcPr>
          <w:p w14:paraId="46C49329" w14:textId="77777777" w:rsidR="00506780" w:rsidRPr="00DE12A3" w:rsidRDefault="00506780" w:rsidP="00C917D6">
            <w:pPr>
              <w:pStyle w:val="Gvdemetni1"/>
              <w:shd w:val="clear" w:color="auto" w:fill="auto"/>
              <w:spacing w:before="120" w:after="120" w:line="240" w:lineRule="auto"/>
              <w:ind w:firstLine="0"/>
              <w:rPr>
                <w:color w:val="auto"/>
                <w:sz w:val="20"/>
                <w:szCs w:val="20"/>
              </w:rPr>
            </w:pPr>
            <w:r w:rsidRPr="00DE12A3">
              <w:rPr>
                <w:color w:val="auto"/>
                <w:sz w:val="20"/>
                <w:szCs w:val="20"/>
              </w:rPr>
              <w:t>Adım başına 1 ortalama değer</w:t>
            </w:r>
          </w:p>
        </w:tc>
      </w:tr>
      <w:tr w:rsidR="00DE12A3" w:rsidRPr="00DE12A3" w14:paraId="650BCDA1" w14:textId="77777777" w:rsidTr="00EC6140">
        <w:trPr>
          <w:trHeight w:hRule="exact" w:val="768"/>
        </w:trPr>
        <w:tc>
          <w:tcPr>
            <w:tcW w:w="1082" w:type="dxa"/>
            <w:shd w:val="clear" w:color="auto" w:fill="auto"/>
          </w:tcPr>
          <w:p w14:paraId="1E31EB09" w14:textId="77777777" w:rsidR="00506780" w:rsidRPr="00DE12A3" w:rsidRDefault="00506780" w:rsidP="00C917D6">
            <w:pPr>
              <w:pStyle w:val="NormalLeft"/>
            </w:pPr>
            <w:r w:rsidRPr="00DE12A3">
              <w:t>7.6</w:t>
            </w:r>
          </w:p>
        </w:tc>
        <w:tc>
          <w:tcPr>
            <w:tcW w:w="3397" w:type="dxa"/>
            <w:shd w:val="clear" w:color="auto" w:fill="auto"/>
          </w:tcPr>
          <w:p w14:paraId="7C127748" w14:textId="77777777" w:rsidR="00506780" w:rsidRPr="00DE12A3" w:rsidRDefault="00506780" w:rsidP="00C917D6">
            <w:pPr>
              <w:pStyle w:val="Gvdemetni1"/>
              <w:shd w:val="clear" w:color="auto" w:fill="auto"/>
              <w:spacing w:before="120" w:after="120" w:line="240" w:lineRule="auto"/>
              <w:ind w:firstLine="0"/>
              <w:jc w:val="both"/>
              <w:rPr>
                <w:color w:val="auto"/>
                <w:sz w:val="20"/>
                <w:szCs w:val="20"/>
              </w:rPr>
            </w:pPr>
            <w:r w:rsidRPr="00DE12A3">
              <w:rPr>
                <w:color w:val="auto"/>
                <w:sz w:val="20"/>
                <w:szCs w:val="20"/>
              </w:rPr>
              <w:t>Motor tarama eşlemesi sırasında devir ve tork</w:t>
            </w:r>
          </w:p>
        </w:tc>
        <w:tc>
          <w:tcPr>
            <w:tcW w:w="1477" w:type="dxa"/>
            <w:shd w:val="clear" w:color="auto" w:fill="auto"/>
          </w:tcPr>
          <w:p w14:paraId="6B76FC24" w14:textId="77777777" w:rsidR="00506780" w:rsidRPr="00DE12A3" w:rsidRDefault="00506780" w:rsidP="00C917D6">
            <w:pPr>
              <w:pStyle w:val="Gvdemetni1"/>
              <w:shd w:val="clear" w:color="auto" w:fill="auto"/>
              <w:spacing w:before="120" w:after="120" w:line="240" w:lineRule="auto"/>
              <w:ind w:firstLine="0"/>
              <w:rPr>
                <w:color w:val="auto"/>
                <w:sz w:val="20"/>
                <w:szCs w:val="20"/>
              </w:rPr>
            </w:pPr>
            <w:r w:rsidRPr="00DE12A3">
              <w:rPr>
                <w:color w:val="auto"/>
                <w:sz w:val="20"/>
                <w:szCs w:val="20"/>
              </w:rPr>
              <w:t>5 Hz</w:t>
            </w:r>
          </w:p>
        </w:tc>
        <w:tc>
          <w:tcPr>
            <w:tcW w:w="1853" w:type="dxa"/>
            <w:shd w:val="clear" w:color="auto" w:fill="auto"/>
          </w:tcPr>
          <w:p w14:paraId="4EB3DC00" w14:textId="77777777" w:rsidR="00506780" w:rsidRPr="00DE12A3" w:rsidRDefault="00506780" w:rsidP="00C917D6">
            <w:pPr>
              <w:pStyle w:val="Gvdemetni1"/>
              <w:shd w:val="clear" w:color="auto" w:fill="auto"/>
              <w:spacing w:before="120" w:after="120" w:line="240" w:lineRule="auto"/>
              <w:ind w:firstLine="0"/>
              <w:rPr>
                <w:color w:val="auto"/>
                <w:sz w:val="20"/>
                <w:szCs w:val="20"/>
              </w:rPr>
            </w:pPr>
            <w:r w:rsidRPr="00DE12A3">
              <w:rPr>
                <w:color w:val="auto"/>
                <w:sz w:val="20"/>
                <w:szCs w:val="20"/>
              </w:rPr>
              <w:t>1 Hz ortalamalar</w:t>
            </w:r>
          </w:p>
        </w:tc>
      </w:tr>
      <w:tr w:rsidR="00DE12A3" w:rsidRPr="00DE12A3" w14:paraId="07392F65" w14:textId="77777777" w:rsidTr="00EC6140">
        <w:trPr>
          <w:trHeight w:hRule="exact" w:val="773"/>
        </w:trPr>
        <w:tc>
          <w:tcPr>
            <w:tcW w:w="1082" w:type="dxa"/>
            <w:shd w:val="clear" w:color="auto" w:fill="auto"/>
          </w:tcPr>
          <w:p w14:paraId="10DC8D55" w14:textId="77777777" w:rsidR="00506780" w:rsidRPr="00DE12A3" w:rsidRDefault="00506780" w:rsidP="00C917D6">
            <w:pPr>
              <w:pStyle w:val="NormalLeft"/>
            </w:pPr>
            <w:r w:rsidRPr="00DE12A3">
              <w:t>7.8.3</w:t>
            </w:r>
          </w:p>
        </w:tc>
        <w:tc>
          <w:tcPr>
            <w:tcW w:w="3397" w:type="dxa"/>
            <w:shd w:val="clear" w:color="auto" w:fill="auto"/>
          </w:tcPr>
          <w:p w14:paraId="7826A24F" w14:textId="77777777" w:rsidR="00506780" w:rsidRPr="00DE12A3" w:rsidRDefault="003B5C00" w:rsidP="00C917D6">
            <w:pPr>
              <w:pStyle w:val="Gvdemetni1"/>
              <w:shd w:val="clear" w:color="auto" w:fill="auto"/>
              <w:spacing w:before="120" w:after="120" w:line="240" w:lineRule="auto"/>
              <w:ind w:firstLine="0"/>
              <w:jc w:val="both"/>
              <w:rPr>
                <w:color w:val="auto"/>
                <w:sz w:val="20"/>
                <w:szCs w:val="20"/>
              </w:rPr>
            </w:pPr>
            <w:r w:rsidRPr="00DE12A3">
              <w:rPr>
                <w:color w:val="auto"/>
                <w:sz w:val="20"/>
                <w:szCs w:val="20"/>
              </w:rPr>
              <w:t>Süreksiz (</w:t>
            </w:r>
            <w:r w:rsidR="00506780" w:rsidRPr="00DE12A3">
              <w:rPr>
                <w:color w:val="auto"/>
                <w:sz w:val="20"/>
                <w:szCs w:val="20"/>
              </w:rPr>
              <w:t xml:space="preserve">NRTC ve LSI-NRTC) hizmet </w:t>
            </w:r>
            <w:r w:rsidR="00F310B5" w:rsidRPr="00DE12A3">
              <w:rPr>
                <w:color w:val="auto"/>
                <w:sz w:val="20"/>
                <w:szCs w:val="20"/>
              </w:rPr>
              <w:t>çevrimi</w:t>
            </w:r>
            <w:r w:rsidR="00506780" w:rsidRPr="00DE12A3">
              <w:rPr>
                <w:color w:val="auto"/>
                <w:sz w:val="20"/>
                <w:szCs w:val="20"/>
              </w:rPr>
              <w:t xml:space="preserve"> referans ve geri besleme devirleri ve momentleri</w:t>
            </w:r>
          </w:p>
        </w:tc>
        <w:tc>
          <w:tcPr>
            <w:tcW w:w="1477" w:type="dxa"/>
            <w:shd w:val="clear" w:color="auto" w:fill="auto"/>
          </w:tcPr>
          <w:p w14:paraId="7D2DA5E2" w14:textId="77777777" w:rsidR="00506780" w:rsidRPr="00DE12A3" w:rsidRDefault="00506780" w:rsidP="00C917D6">
            <w:pPr>
              <w:pStyle w:val="Gvdemetni1"/>
              <w:shd w:val="clear" w:color="auto" w:fill="auto"/>
              <w:spacing w:before="120" w:after="120" w:line="240" w:lineRule="auto"/>
              <w:ind w:firstLine="0"/>
              <w:rPr>
                <w:color w:val="auto"/>
                <w:sz w:val="20"/>
                <w:szCs w:val="20"/>
              </w:rPr>
            </w:pPr>
            <w:r w:rsidRPr="00DE12A3">
              <w:rPr>
                <w:color w:val="auto"/>
                <w:sz w:val="20"/>
                <w:szCs w:val="20"/>
              </w:rPr>
              <w:t>5 Hz</w:t>
            </w:r>
          </w:p>
        </w:tc>
        <w:tc>
          <w:tcPr>
            <w:tcW w:w="1853" w:type="dxa"/>
            <w:shd w:val="clear" w:color="auto" w:fill="auto"/>
          </w:tcPr>
          <w:p w14:paraId="5B41D299" w14:textId="77777777" w:rsidR="00506780" w:rsidRPr="00DE12A3" w:rsidRDefault="00506780" w:rsidP="00C917D6">
            <w:pPr>
              <w:pStyle w:val="Gvdemetni1"/>
              <w:shd w:val="clear" w:color="auto" w:fill="auto"/>
              <w:spacing w:before="120" w:after="120" w:line="240" w:lineRule="auto"/>
              <w:ind w:firstLine="0"/>
              <w:rPr>
                <w:color w:val="auto"/>
                <w:sz w:val="20"/>
                <w:szCs w:val="20"/>
              </w:rPr>
            </w:pPr>
            <w:r w:rsidRPr="00DE12A3">
              <w:rPr>
                <w:color w:val="auto"/>
                <w:sz w:val="20"/>
                <w:szCs w:val="20"/>
              </w:rPr>
              <w:t>1 Hz ortalamalar</w:t>
            </w:r>
          </w:p>
        </w:tc>
      </w:tr>
      <w:tr w:rsidR="00DE12A3" w:rsidRPr="00DE12A3" w14:paraId="592CF090" w14:textId="77777777" w:rsidTr="00EC6140">
        <w:trPr>
          <w:trHeight w:hRule="exact" w:val="773"/>
        </w:trPr>
        <w:tc>
          <w:tcPr>
            <w:tcW w:w="1082" w:type="dxa"/>
            <w:shd w:val="clear" w:color="auto" w:fill="auto"/>
          </w:tcPr>
          <w:p w14:paraId="37DBFA2D" w14:textId="77777777" w:rsidR="00506780" w:rsidRPr="00DE12A3" w:rsidRDefault="00506780" w:rsidP="00C917D6">
            <w:pPr>
              <w:pStyle w:val="NormalLeft"/>
            </w:pPr>
            <w:r w:rsidRPr="00DE12A3">
              <w:t>7.8.2</w:t>
            </w:r>
          </w:p>
        </w:tc>
        <w:tc>
          <w:tcPr>
            <w:tcW w:w="3397" w:type="dxa"/>
            <w:shd w:val="clear" w:color="auto" w:fill="auto"/>
          </w:tcPr>
          <w:p w14:paraId="0D196AF0" w14:textId="77777777" w:rsidR="00506780" w:rsidRPr="00DE12A3" w:rsidRDefault="00506780" w:rsidP="00C917D6">
            <w:pPr>
              <w:pStyle w:val="Gvdemetni1"/>
              <w:shd w:val="clear" w:color="auto" w:fill="auto"/>
              <w:spacing w:before="120" w:after="120" w:line="240" w:lineRule="auto"/>
              <w:ind w:firstLine="0"/>
              <w:jc w:val="both"/>
              <w:rPr>
                <w:color w:val="auto"/>
                <w:sz w:val="20"/>
                <w:szCs w:val="20"/>
              </w:rPr>
            </w:pPr>
            <w:r w:rsidRPr="00DE12A3">
              <w:rPr>
                <w:color w:val="auto"/>
                <w:sz w:val="20"/>
                <w:szCs w:val="20"/>
              </w:rPr>
              <w:t xml:space="preserve">Ayrık mod NRSC ve RMC hizmet </w:t>
            </w:r>
            <w:r w:rsidR="00F310B5" w:rsidRPr="00DE12A3">
              <w:rPr>
                <w:color w:val="auto"/>
                <w:sz w:val="20"/>
                <w:szCs w:val="20"/>
              </w:rPr>
              <w:t>çevrimi</w:t>
            </w:r>
            <w:r w:rsidRPr="00DE12A3">
              <w:rPr>
                <w:color w:val="auto"/>
                <w:sz w:val="20"/>
                <w:szCs w:val="20"/>
              </w:rPr>
              <w:t xml:space="preserve"> referans ve geri besleme devirleri ve momentleri</w:t>
            </w:r>
          </w:p>
        </w:tc>
        <w:tc>
          <w:tcPr>
            <w:tcW w:w="1477" w:type="dxa"/>
            <w:shd w:val="clear" w:color="auto" w:fill="auto"/>
          </w:tcPr>
          <w:p w14:paraId="232843D1" w14:textId="77777777" w:rsidR="00506780" w:rsidRPr="00DE12A3" w:rsidRDefault="00506780" w:rsidP="00C917D6">
            <w:pPr>
              <w:pStyle w:val="Gvdemetni1"/>
              <w:shd w:val="clear" w:color="auto" w:fill="auto"/>
              <w:spacing w:before="120" w:after="120" w:line="240" w:lineRule="auto"/>
              <w:ind w:firstLine="0"/>
              <w:rPr>
                <w:color w:val="auto"/>
                <w:sz w:val="20"/>
                <w:szCs w:val="20"/>
              </w:rPr>
            </w:pPr>
            <w:r w:rsidRPr="00DE12A3">
              <w:rPr>
                <w:color w:val="auto"/>
                <w:sz w:val="20"/>
                <w:szCs w:val="20"/>
              </w:rPr>
              <w:t>1 Hz</w:t>
            </w:r>
          </w:p>
        </w:tc>
        <w:tc>
          <w:tcPr>
            <w:tcW w:w="1853" w:type="dxa"/>
            <w:shd w:val="clear" w:color="auto" w:fill="auto"/>
          </w:tcPr>
          <w:p w14:paraId="5ABE7F77" w14:textId="77777777" w:rsidR="00506780" w:rsidRPr="00DE12A3" w:rsidRDefault="00506780" w:rsidP="00C917D6">
            <w:pPr>
              <w:pStyle w:val="Gvdemetni1"/>
              <w:shd w:val="clear" w:color="auto" w:fill="auto"/>
              <w:spacing w:before="120" w:after="120" w:line="240" w:lineRule="auto"/>
              <w:ind w:firstLine="0"/>
              <w:rPr>
                <w:color w:val="auto"/>
                <w:sz w:val="20"/>
                <w:szCs w:val="20"/>
              </w:rPr>
            </w:pPr>
            <w:r w:rsidRPr="00DE12A3">
              <w:rPr>
                <w:color w:val="auto"/>
                <w:sz w:val="20"/>
                <w:szCs w:val="20"/>
              </w:rPr>
              <w:t>1 Hz</w:t>
            </w:r>
          </w:p>
        </w:tc>
      </w:tr>
      <w:tr w:rsidR="00DE12A3" w:rsidRPr="00DE12A3" w14:paraId="4AF00697" w14:textId="77777777" w:rsidTr="00EC6140">
        <w:trPr>
          <w:trHeight w:hRule="exact" w:val="581"/>
        </w:trPr>
        <w:tc>
          <w:tcPr>
            <w:tcW w:w="1082" w:type="dxa"/>
            <w:shd w:val="clear" w:color="auto" w:fill="auto"/>
          </w:tcPr>
          <w:p w14:paraId="2C15B994" w14:textId="77777777" w:rsidR="00506780" w:rsidRPr="00DE12A3" w:rsidRDefault="00506780" w:rsidP="00C917D6">
            <w:pPr>
              <w:pStyle w:val="NormalLeft"/>
            </w:pPr>
            <w:r w:rsidRPr="00DE12A3">
              <w:t>7.3</w:t>
            </w:r>
          </w:p>
        </w:tc>
        <w:tc>
          <w:tcPr>
            <w:tcW w:w="3397" w:type="dxa"/>
            <w:shd w:val="clear" w:color="auto" w:fill="auto"/>
          </w:tcPr>
          <w:p w14:paraId="587D2081" w14:textId="77777777" w:rsidR="00506780" w:rsidRPr="00DE12A3" w:rsidRDefault="00506780" w:rsidP="00C917D6">
            <w:pPr>
              <w:pStyle w:val="Gvdemetni1"/>
              <w:shd w:val="clear" w:color="auto" w:fill="auto"/>
              <w:spacing w:before="120" w:after="120" w:line="240" w:lineRule="auto"/>
              <w:ind w:firstLine="0"/>
              <w:jc w:val="both"/>
              <w:rPr>
                <w:color w:val="auto"/>
                <w:sz w:val="20"/>
                <w:szCs w:val="20"/>
              </w:rPr>
            </w:pPr>
            <w:r w:rsidRPr="00DE12A3">
              <w:rPr>
                <w:color w:val="auto"/>
                <w:sz w:val="20"/>
                <w:szCs w:val="20"/>
              </w:rPr>
              <w:t>Ham analiz cihazlarının sürekli konsantrasyonları</w:t>
            </w:r>
          </w:p>
        </w:tc>
        <w:tc>
          <w:tcPr>
            <w:tcW w:w="1477" w:type="dxa"/>
            <w:shd w:val="clear" w:color="auto" w:fill="auto"/>
          </w:tcPr>
          <w:p w14:paraId="5354E87A" w14:textId="77777777" w:rsidR="00506780" w:rsidRPr="00DE12A3" w:rsidRDefault="00506780" w:rsidP="00C917D6">
            <w:pPr>
              <w:pStyle w:val="Gvdemetni1"/>
              <w:shd w:val="clear" w:color="auto" w:fill="auto"/>
              <w:spacing w:before="120" w:after="120" w:line="240" w:lineRule="auto"/>
              <w:ind w:firstLine="0"/>
              <w:rPr>
                <w:color w:val="auto"/>
                <w:sz w:val="20"/>
                <w:szCs w:val="20"/>
              </w:rPr>
            </w:pPr>
            <w:r w:rsidRPr="00DE12A3">
              <w:rPr>
                <w:color w:val="auto"/>
                <w:sz w:val="20"/>
                <w:szCs w:val="20"/>
              </w:rPr>
              <w:t>Yok</w:t>
            </w:r>
          </w:p>
        </w:tc>
        <w:tc>
          <w:tcPr>
            <w:tcW w:w="1853" w:type="dxa"/>
            <w:shd w:val="clear" w:color="auto" w:fill="auto"/>
          </w:tcPr>
          <w:p w14:paraId="7B677492" w14:textId="77777777" w:rsidR="00506780" w:rsidRPr="00DE12A3" w:rsidRDefault="00506780" w:rsidP="00C917D6">
            <w:pPr>
              <w:pStyle w:val="Gvdemetni1"/>
              <w:shd w:val="clear" w:color="auto" w:fill="auto"/>
              <w:spacing w:before="120" w:after="120" w:line="240" w:lineRule="auto"/>
              <w:ind w:firstLine="0"/>
              <w:rPr>
                <w:color w:val="auto"/>
                <w:sz w:val="20"/>
                <w:szCs w:val="20"/>
              </w:rPr>
            </w:pPr>
            <w:r w:rsidRPr="00DE12A3">
              <w:rPr>
                <w:color w:val="auto"/>
                <w:sz w:val="20"/>
                <w:szCs w:val="20"/>
              </w:rPr>
              <w:t>1 Hz</w:t>
            </w:r>
          </w:p>
        </w:tc>
      </w:tr>
      <w:tr w:rsidR="00DE12A3" w:rsidRPr="00DE12A3" w14:paraId="6D5FE316" w14:textId="77777777" w:rsidTr="00EC6140">
        <w:trPr>
          <w:trHeight w:hRule="exact" w:val="585"/>
        </w:trPr>
        <w:tc>
          <w:tcPr>
            <w:tcW w:w="1082" w:type="dxa"/>
            <w:shd w:val="clear" w:color="auto" w:fill="auto"/>
          </w:tcPr>
          <w:p w14:paraId="7539AAF0" w14:textId="77777777" w:rsidR="00506780" w:rsidRPr="00DE12A3" w:rsidRDefault="00506780" w:rsidP="00C917D6">
            <w:pPr>
              <w:pStyle w:val="NormalLeft"/>
            </w:pPr>
            <w:r w:rsidRPr="00DE12A3">
              <w:t>7.3</w:t>
            </w:r>
          </w:p>
        </w:tc>
        <w:tc>
          <w:tcPr>
            <w:tcW w:w="3397" w:type="dxa"/>
            <w:shd w:val="clear" w:color="auto" w:fill="auto"/>
          </w:tcPr>
          <w:p w14:paraId="405FC275" w14:textId="77777777" w:rsidR="00506780" w:rsidRPr="00DE12A3" w:rsidRDefault="00506780" w:rsidP="00C917D6">
            <w:pPr>
              <w:pStyle w:val="Gvdemetni1"/>
              <w:shd w:val="clear" w:color="auto" w:fill="auto"/>
              <w:spacing w:before="120" w:after="120" w:line="240" w:lineRule="auto"/>
              <w:ind w:firstLine="0"/>
              <w:jc w:val="both"/>
              <w:rPr>
                <w:color w:val="auto"/>
                <w:sz w:val="20"/>
                <w:szCs w:val="20"/>
              </w:rPr>
            </w:pPr>
            <w:r w:rsidRPr="00DE12A3">
              <w:rPr>
                <w:color w:val="auto"/>
                <w:sz w:val="20"/>
                <w:szCs w:val="20"/>
              </w:rPr>
              <w:t>Seyrelti analiz cihazlarının sürekli konsantrasyonları</w:t>
            </w:r>
          </w:p>
        </w:tc>
        <w:tc>
          <w:tcPr>
            <w:tcW w:w="1477" w:type="dxa"/>
            <w:shd w:val="clear" w:color="auto" w:fill="auto"/>
          </w:tcPr>
          <w:p w14:paraId="34B3D35A" w14:textId="77777777" w:rsidR="00506780" w:rsidRPr="00DE12A3" w:rsidRDefault="00506780" w:rsidP="00C917D6">
            <w:pPr>
              <w:pStyle w:val="Gvdemetni1"/>
              <w:shd w:val="clear" w:color="auto" w:fill="auto"/>
              <w:spacing w:before="120" w:after="120" w:line="240" w:lineRule="auto"/>
              <w:ind w:firstLine="0"/>
              <w:rPr>
                <w:color w:val="auto"/>
                <w:sz w:val="20"/>
                <w:szCs w:val="20"/>
              </w:rPr>
            </w:pPr>
            <w:r w:rsidRPr="00DE12A3">
              <w:rPr>
                <w:color w:val="auto"/>
                <w:sz w:val="20"/>
                <w:szCs w:val="20"/>
              </w:rPr>
              <w:t>Yok</w:t>
            </w:r>
          </w:p>
        </w:tc>
        <w:tc>
          <w:tcPr>
            <w:tcW w:w="1853" w:type="dxa"/>
            <w:shd w:val="clear" w:color="auto" w:fill="auto"/>
          </w:tcPr>
          <w:p w14:paraId="71BFFD28" w14:textId="77777777" w:rsidR="00506780" w:rsidRPr="00DE12A3" w:rsidRDefault="00506780" w:rsidP="00C917D6">
            <w:pPr>
              <w:pStyle w:val="Gvdemetni1"/>
              <w:shd w:val="clear" w:color="auto" w:fill="auto"/>
              <w:spacing w:before="120" w:after="120" w:line="240" w:lineRule="auto"/>
              <w:ind w:firstLine="0"/>
              <w:rPr>
                <w:color w:val="auto"/>
                <w:sz w:val="20"/>
                <w:szCs w:val="20"/>
              </w:rPr>
            </w:pPr>
            <w:r w:rsidRPr="00DE12A3">
              <w:rPr>
                <w:color w:val="auto"/>
                <w:sz w:val="20"/>
                <w:szCs w:val="20"/>
              </w:rPr>
              <w:t>1 Hz</w:t>
            </w:r>
          </w:p>
        </w:tc>
      </w:tr>
      <w:tr w:rsidR="00DE12A3" w:rsidRPr="00DE12A3" w14:paraId="4C44816C" w14:textId="77777777" w:rsidTr="00EC6140">
        <w:trPr>
          <w:trHeight w:hRule="exact" w:val="773"/>
        </w:trPr>
        <w:tc>
          <w:tcPr>
            <w:tcW w:w="1082" w:type="dxa"/>
            <w:shd w:val="clear" w:color="auto" w:fill="auto"/>
          </w:tcPr>
          <w:p w14:paraId="1297B111" w14:textId="77777777" w:rsidR="00506780" w:rsidRPr="00DE12A3" w:rsidRDefault="00506780" w:rsidP="00C917D6">
            <w:pPr>
              <w:pStyle w:val="NormalLeft"/>
            </w:pPr>
            <w:r w:rsidRPr="00DE12A3">
              <w:t>7.3</w:t>
            </w:r>
          </w:p>
        </w:tc>
        <w:tc>
          <w:tcPr>
            <w:tcW w:w="3397" w:type="dxa"/>
            <w:shd w:val="clear" w:color="auto" w:fill="auto"/>
          </w:tcPr>
          <w:p w14:paraId="60708635" w14:textId="77777777" w:rsidR="00506780" w:rsidRPr="00DE12A3" w:rsidRDefault="00506780" w:rsidP="00C917D6">
            <w:pPr>
              <w:pStyle w:val="Gvdemetni1"/>
              <w:shd w:val="clear" w:color="auto" w:fill="auto"/>
              <w:spacing w:before="120" w:after="120" w:line="240" w:lineRule="auto"/>
              <w:ind w:firstLine="0"/>
              <w:jc w:val="both"/>
              <w:rPr>
                <w:color w:val="auto"/>
                <w:sz w:val="20"/>
                <w:szCs w:val="20"/>
              </w:rPr>
            </w:pPr>
            <w:r w:rsidRPr="00DE12A3">
              <w:rPr>
                <w:color w:val="auto"/>
                <w:sz w:val="20"/>
                <w:szCs w:val="20"/>
              </w:rPr>
              <w:t>Ham veya seyreltik analiz cihazlarının toplu konsantrasyonları</w:t>
            </w:r>
          </w:p>
        </w:tc>
        <w:tc>
          <w:tcPr>
            <w:tcW w:w="1477" w:type="dxa"/>
            <w:shd w:val="clear" w:color="auto" w:fill="auto"/>
          </w:tcPr>
          <w:p w14:paraId="57D97F76" w14:textId="77777777" w:rsidR="00506780" w:rsidRPr="00DE12A3" w:rsidRDefault="00506780" w:rsidP="00C917D6">
            <w:pPr>
              <w:pStyle w:val="Gvdemetni1"/>
              <w:shd w:val="clear" w:color="auto" w:fill="auto"/>
              <w:spacing w:before="120" w:after="120" w:line="240" w:lineRule="auto"/>
              <w:ind w:firstLine="0"/>
              <w:rPr>
                <w:color w:val="auto"/>
                <w:sz w:val="20"/>
                <w:szCs w:val="20"/>
              </w:rPr>
            </w:pPr>
            <w:r w:rsidRPr="00DE12A3">
              <w:rPr>
                <w:color w:val="auto"/>
                <w:sz w:val="20"/>
                <w:szCs w:val="20"/>
              </w:rPr>
              <w:t>Yok</w:t>
            </w:r>
          </w:p>
        </w:tc>
        <w:tc>
          <w:tcPr>
            <w:tcW w:w="1853" w:type="dxa"/>
            <w:shd w:val="clear" w:color="auto" w:fill="auto"/>
          </w:tcPr>
          <w:p w14:paraId="4DFBB466" w14:textId="77777777" w:rsidR="00506780" w:rsidRPr="00DE12A3" w:rsidRDefault="00506780" w:rsidP="00C917D6">
            <w:pPr>
              <w:pStyle w:val="Gvdemetni1"/>
              <w:shd w:val="clear" w:color="auto" w:fill="auto"/>
              <w:spacing w:before="120" w:after="120" w:line="240" w:lineRule="auto"/>
              <w:ind w:firstLine="0"/>
              <w:rPr>
                <w:color w:val="auto"/>
                <w:sz w:val="20"/>
                <w:szCs w:val="20"/>
              </w:rPr>
            </w:pPr>
            <w:r w:rsidRPr="00DE12A3">
              <w:rPr>
                <w:color w:val="auto"/>
                <w:sz w:val="20"/>
                <w:szCs w:val="20"/>
              </w:rPr>
              <w:t>Test aralığı başına 1 ortalama değer</w:t>
            </w:r>
          </w:p>
        </w:tc>
      </w:tr>
      <w:tr w:rsidR="00DE12A3" w:rsidRPr="00DE12A3" w14:paraId="3272E33A" w14:textId="77777777" w:rsidTr="00EC6140">
        <w:trPr>
          <w:trHeight w:hRule="exact" w:val="956"/>
        </w:trPr>
        <w:tc>
          <w:tcPr>
            <w:tcW w:w="1082" w:type="dxa"/>
            <w:shd w:val="clear" w:color="auto" w:fill="auto"/>
          </w:tcPr>
          <w:p w14:paraId="7B25FA4D" w14:textId="77777777" w:rsidR="00506780" w:rsidRPr="00DE12A3" w:rsidRDefault="00506780" w:rsidP="00C917D6">
            <w:pPr>
              <w:pStyle w:val="NormalLeft"/>
            </w:pPr>
            <w:r w:rsidRPr="00DE12A3">
              <w:t>7.6</w:t>
            </w:r>
          </w:p>
          <w:p w14:paraId="7B0055A7" w14:textId="77777777" w:rsidR="00506780" w:rsidRPr="00DE12A3" w:rsidRDefault="00506780" w:rsidP="00C917D6">
            <w:pPr>
              <w:pStyle w:val="NormalLeft"/>
            </w:pPr>
            <w:r w:rsidRPr="00DE12A3">
              <w:t>8.2.1</w:t>
            </w:r>
          </w:p>
        </w:tc>
        <w:tc>
          <w:tcPr>
            <w:tcW w:w="3397" w:type="dxa"/>
            <w:shd w:val="clear" w:color="auto" w:fill="auto"/>
          </w:tcPr>
          <w:p w14:paraId="56E2E745" w14:textId="77777777" w:rsidR="00506780" w:rsidRPr="00DE12A3" w:rsidRDefault="00506780" w:rsidP="00C917D6">
            <w:pPr>
              <w:pStyle w:val="Gvdemetni1"/>
              <w:shd w:val="clear" w:color="auto" w:fill="auto"/>
              <w:spacing w:before="120" w:after="120" w:line="240" w:lineRule="auto"/>
              <w:ind w:firstLine="0"/>
              <w:jc w:val="both"/>
              <w:rPr>
                <w:color w:val="auto"/>
                <w:sz w:val="20"/>
                <w:szCs w:val="20"/>
              </w:rPr>
            </w:pPr>
            <w:r w:rsidRPr="00DE12A3">
              <w:rPr>
                <w:color w:val="auto"/>
                <w:sz w:val="20"/>
                <w:szCs w:val="20"/>
              </w:rPr>
              <w:t>Akış ölçümünün giriş kısmında ısı eşanjörüne sahip bir CVS'den seyreltilmiş egzoz gazı akış hızı</w:t>
            </w:r>
          </w:p>
        </w:tc>
        <w:tc>
          <w:tcPr>
            <w:tcW w:w="1477" w:type="dxa"/>
            <w:shd w:val="clear" w:color="auto" w:fill="auto"/>
          </w:tcPr>
          <w:p w14:paraId="59CF28CB" w14:textId="77777777" w:rsidR="00506780" w:rsidRPr="00DE12A3" w:rsidRDefault="00506780" w:rsidP="00C917D6">
            <w:pPr>
              <w:pStyle w:val="Gvdemetni1"/>
              <w:shd w:val="clear" w:color="auto" w:fill="auto"/>
              <w:spacing w:before="120" w:after="120" w:line="240" w:lineRule="auto"/>
              <w:ind w:firstLine="0"/>
              <w:rPr>
                <w:color w:val="auto"/>
                <w:sz w:val="20"/>
                <w:szCs w:val="20"/>
              </w:rPr>
            </w:pPr>
            <w:r w:rsidRPr="00DE12A3">
              <w:rPr>
                <w:color w:val="auto"/>
                <w:sz w:val="20"/>
                <w:szCs w:val="20"/>
              </w:rPr>
              <w:t>Yok</w:t>
            </w:r>
          </w:p>
        </w:tc>
        <w:tc>
          <w:tcPr>
            <w:tcW w:w="1853" w:type="dxa"/>
            <w:shd w:val="clear" w:color="auto" w:fill="auto"/>
          </w:tcPr>
          <w:p w14:paraId="7B5CCEB5" w14:textId="77777777" w:rsidR="00506780" w:rsidRPr="00DE12A3" w:rsidRDefault="00506780" w:rsidP="00C917D6">
            <w:pPr>
              <w:pStyle w:val="Gvdemetni1"/>
              <w:shd w:val="clear" w:color="auto" w:fill="auto"/>
              <w:spacing w:before="120" w:after="120" w:line="240" w:lineRule="auto"/>
              <w:ind w:firstLine="0"/>
              <w:rPr>
                <w:color w:val="auto"/>
                <w:sz w:val="20"/>
                <w:szCs w:val="20"/>
              </w:rPr>
            </w:pPr>
            <w:r w:rsidRPr="00DE12A3">
              <w:rPr>
                <w:color w:val="auto"/>
                <w:sz w:val="20"/>
                <w:szCs w:val="20"/>
              </w:rPr>
              <w:t>1 Hz</w:t>
            </w:r>
          </w:p>
        </w:tc>
      </w:tr>
      <w:tr w:rsidR="00DE12A3" w:rsidRPr="00DE12A3" w14:paraId="0996235C" w14:textId="77777777" w:rsidTr="00EC6140">
        <w:trPr>
          <w:trHeight w:hRule="exact" w:val="961"/>
        </w:trPr>
        <w:tc>
          <w:tcPr>
            <w:tcW w:w="1082" w:type="dxa"/>
            <w:shd w:val="clear" w:color="auto" w:fill="auto"/>
          </w:tcPr>
          <w:p w14:paraId="7C83EA14" w14:textId="77777777" w:rsidR="00506780" w:rsidRPr="00DE12A3" w:rsidRDefault="00506780" w:rsidP="00C917D6">
            <w:pPr>
              <w:pStyle w:val="NormalLeft"/>
            </w:pPr>
            <w:r w:rsidRPr="00DE12A3">
              <w:t>7.6</w:t>
            </w:r>
          </w:p>
          <w:p w14:paraId="6BB80271" w14:textId="77777777" w:rsidR="00506780" w:rsidRPr="00DE12A3" w:rsidRDefault="00506780" w:rsidP="00C917D6">
            <w:pPr>
              <w:pStyle w:val="NormalLeft"/>
            </w:pPr>
            <w:r w:rsidRPr="00DE12A3">
              <w:t>8.2.1</w:t>
            </w:r>
          </w:p>
        </w:tc>
        <w:tc>
          <w:tcPr>
            <w:tcW w:w="3397" w:type="dxa"/>
            <w:shd w:val="clear" w:color="auto" w:fill="auto"/>
          </w:tcPr>
          <w:p w14:paraId="0D428896" w14:textId="77777777" w:rsidR="00506780" w:rsidRPr="00DE12A3" w:rsidRDefault="00506780" w:rsidP="00C917D6">
            <w:pPr>
              <w:pStyle w:val="Gvdemetni1"/>
              <w:shd w:val="clear" w:color="auto" w:fill="auto"/>
              <w:spacing w:before="120" w:after="120" w:line="240" w:lineRule="auto"/>
              <w:ind w:firstLine="0"/>
              <w:jc w:val="both"/>
              <w:rPr>
                <w:color w:val="auto"/>
                <w:sz w:val="20"/>
                <w:szCs w:val="20"/>
              </w:rPr>
            </w:pPr>
            <w:r w:rsidRPr="00DE12A3">
              <w:rPr>
                <w:color w:val="auto"/>
                <w:sz w:val="20"/>
                <w:szCs w:val="20"/>
              </w:rPr>
              <w:t>Akış ölçümünün giriş kısmında ısı eşanjörü olmayan bir CVS'den seyreltilmiş egzoz gazı akış hızı</w:t>
            </w:r>
          </w:p>
        </w:tc>
        <w:tc>
          <w:tcPr>
            <w:tcW w:w="1477" w:type="dxa"/>
            <w:shd w:val="clear" w:color="auto" w:fill="auto"/>
          </w:tcPr>
          <w:p w14:paraId="4C7EACBF" w14:textId="77777777" w:rsidR="00506780" w:rsidRPr="00DE12A3" w:rsidRDefault="00506780" w:rsidP="00C917D6">
            <w:pPr>
              <w:pStyle w:val="Gvdemetni1"/>
              <w:shd w:val="clear" w:color="auto" w:fill="auto"/>
              <w:spacing w:before="120" w:after="120" w:line="240" w:lineRule="auto"/>
              <w:ind w:firstLine="0"/>
              <w:rPr>
                <w:color w:val="auto"/>
                <w:sz w:val="20"/>
                <w:szCs w:val="20"/>
              </w:rPr>
            </w:pPr>
            <w:r w:rsidRPr="00DE12A3">
              <w:rPr>
                <w:color w:val="auto"/>
                <w:sz w:val="20"/>
                <w:szCs w:val="20"/>
              </w:rPr>
              <w:t>5 Hz</w:t>
            </w:r>
          </w:p>
        </w:tc>
        <w:tc>
          <w:tcPr>
            <w:tcW w:w="1853" w:type="dxa"/>
            <w:shd w:val="clear" w:color="auto" w:fill="auto"/>
          </w:tcPr>
          <w:p w14:paraId="32B5F574" w14:textId="77777777" w:rsidR="00506780" w:rsidRPr="00DE12A3" w:rsidRDefault="00506780" w:rsidP="00C917D6">
            <w:pPr>
              <w:pStyle w:val="Gvdemetni1"/>
              <w:shd w:val="clear" w:color="auto" w:fill="auto"/>
              <w:spacing w:before="120" w:after="120" w:line="240" w:lineRule="auto"/>
              <w:ind w:firstLine="0"/>
              <w:rPr>
                <w:color w:val="auto"/>
                <w:sz w:val="20"/>
                <w:szCs w:val="20"/>
              </w:rPr>
            </w:pPr>
            <w:r w:rsidRPr="00DE12A3">
              <w:rPr>
                <w:color w:val="auto"/>
                <w:sz w:val="20"/>
                <w:szCs w:val="20"/>
              </w:rPr>
              <w:t>1 Hz ortalamalar</w:t>
            </w:r>
          </w:p>
        </w:tc>
      </w:tr>
      <w:tr w:rsidR="00DE12A3" w:rsidRPr="00DE12A3" w14:paraId="71B937EE" w14:textId="77777777" w:rsidTr="00EC6140">
        <w:trPr>
          <w:trHeight w:hRule="exact" w:val="773"/>
        </w:trPr>
        <w:tc>
          <w:tcPr>
            <w:tcW w:w="1082" w:type="dxa"/>
            <w:shd w:val="clear" w:color="auto" w:fill="auto"/>
          </w:tcPr>
          <w:p w14:paraId="5FD72715" w14:textId="77777777" w:rsidR="00506780" w:rsidRPr="00DE12A3" w:rsidRDefault="00506780" w:rsidP="00C917D6">
            <w:pPr>
              <w:pStyle w:val="NormalLeft"/>
            </w:pPr>
            <w:r w:rsidRPr="00DE12A3">
              <w:t>7.6</w:t>
            </w:r>
          </w:p>
          <w:p w14:paraId="5C034657" w14:textId="77777777" w:rsidR="00506780" w:rsidRPr="00DE12A3" w:rsidRDefault="00506780" w:rsidP="00C917D6">
            <w:pPr>
              <w:pStyle w:val="NormalLeft"/>
            </w:pPr>
            <w:r w:rsidRPr="00DE12A3">
              <w:t>8.2.1</w:t>
            </w:r>
          </w:p>
        </w:tc>
        <w:tc>
          <w:tcPr>
            <w:tcW w:w="3397" w:type="dxa"/>
            <w:shd w:val="clear" w:color="auto" w:fill="auto"/>
          </w:tcPr>
          <w:p w14:paraId="04AE5F29" w14:textId="77777777" w:rsidR="00506780" w:rsidRPr="00DE12A3" w:rsidRDefault="00506780" w:rsidP="00C917D6">
            <w:pPr>
              <w:pStyle w:val="Gvdemetni1"/>
              <w:shd w:val="clear" w:color="auto" w:fill="auto"/>
              <w:spacing w:before="120" w:after="120" w:line="240" w:lineRule="auto"/>
              <w:ind w:firstLine="0"/>
              <w:jc w:val="both"/>
              <w:rPr>
                <w:color w:val="auto"/>
                <w:sz w:val="20"/>
                <w:szCs w:val="20"/>
              </w:rPr>
            </w:pPr>
            <w:r w:rsidRPr="00DE12A3">
              <w:rPr>
                <w:color w:val="auto"/>
                <w:sz w:val="20"/>
                <w:szCs w:val="20"/>
              </w:rPr>
              <w:t>Emme havası veya egzoz gazı akış hızı (ham süreksiz ölçümü için)</w:t>
            </w:r>
          </w:p>
        </w:tc>
        <w:tc>
          <w:tcPr>
            <w:tcW w:w="1477" w:type="dxa"/>
            <w:shd w:val="clear" w:color="auto" w:fill="auto"/>
          </w:tcPr>
          <w:p w14:paraId="30855C6C" w14:textId="77777777" w:rsidR="00506780" w:rsidRPr="00DE12A3" w:rsidRDefault="00506780" w:rsidP="00C917D6">
            <w:pPr>
              <w:pStyle w:val="Gvdemetni1"/>
              <w:shd w:val="clear" w:color="auto" w:fill="auto"/>
              <w:spacing w:before="120" w:after="120" w:line="240" w:lineRule="auto"/>
              <w:ind w:firstLine="0"/>
              <w:rPr>
                <w:color w:val="auto"/>
                <w:sz w:val="20"/>
                <w:szCs w:val="20"/>
              </w:rPr>
            </w:pPr>
            <w:r w:rsidRPr="00DE12A3">
              <w:rPr>
                <w:color w:val="auto"/>
                <w:sz w:val="20"/>
                <w:szCs w:val="20"/>
              </w:rPr>
              <w:t>Yok</w:t>
            </w:r>
          </w:p>
        </w:tc>
        <w:tc>
          <w:tcPr>
            <w:tcW w:w="1853" w:type="dxa"/>
            <w:shd w:val="clear" w:color="auto" w:fill="auto"/>
          </w:tcPr>
          <w:p w14:paraId="07375B60" w14:textId="77777777" w:rsidR="00506780" w:rsidRPr="00DE12A3" w:rsidRDefault="00506780" w:rsidP="00C917D6">
            <w:pPr>
              <w:pStyle w:val="Gvdemetni1"/>
              <w:shd w:val="clear" w:color="auto" w:fill="auto"/>
              <w:spacing w:before="120" w:after="120" w:line="240" w:lineRule="auto"/>
              <w:ind w:firstLine="0"/>
              <w:rPr>
                <w:color w:val="auto"/>
                <w:sz w:val="20"/>
                <w:szCs w:val="20"/>
              </w:rPr>
            </w:pPr>
            <w:r w:rsidRPr="00DE12A3">
              <w:rPr>
                <w:color w:val="auto"/>
                <w:sz w:val="20"/>
                <w:szCs w:val="20"/>
              </w:rPr>
              <w:t>1 Hz ortalamalar</w:t>
            </w:r>
          </w:p>
        </w:tc>
      </w:tr>
      <w:tr w:rsidR="00DE12A3" w:rsidRPr="00DE12A3" w14:paraId="1E5EA315" w14:textId="77777777" w:rsidTr="00EC6140">
        <w:trPr>
          <w:trHeight w:hRule="exact" w:val="768"/>
        </w:trPr>
        <w:tc>
          <w:tcPr>
            <w:tcW w:w="1082" w:type="dxa"/>
            <w:shd w:val="clear" w:color="auto" w:fill="auto"/>
          </w:tcPr>
          <w:p w14:paraId="69A39F4B" w14:textId="77777777" w:rsidR="00506780" w:rsidRPr="00DE12A3" w:rsidRDefault="00506780" w:rsidP="00C917D6">
            <w:pPr>
              <w:pStyle w:val="NormalLeft"/>
            </w:pPr>
            <w:r w:rsidRPr="00DE12A3">
              <w:t>7.6</w:t>
            </w:r>
          </w:p>
          <w:p w14:paraId="4522E792" w14:textId="77777777" w:rsidR="00506780" w:rsidRPr="00DE12A3" w:rsidRDefault="00506780" w:rsidP="00C917D6">
            <w:pPr>
              <w:pStyle w:val="NormalLeft"/>
            </w:pPr>
            <w:r w:rsidRPr="00DE12A3">
              <w:t>8.2.1</w:t>
            </w:r>
          </w:p>
        </w:tc>
        <w:tc>
          <w:tcPr>
            <w:tcW w:w="3397" w:type="dxa"/>
            <w:shd w:val="clear" w:color="auto" w:fill="auto"/>
          </w:tcPr>
          <w:p w14:paraId="671AB862" w14:textId="77777777" w:rsidR="00506780" w:rsidRPr="00DE12A3" w:rsidRDefault="00506780" w:rsidP="00C917D6">
            <w:pPr>
              <w:pStyle w:val="Gvdemetni1"/>
              <w:shd w:val="clear" w:color="auto" w:fill="auto"/>
              <w:spacing w:before="120" w:after="120" w:line="240" w:lineRule="auto"/>
              <w:ind w:firstLine="0"/>
              <w:jc w:val="both"/>
              <w:rPr>
                <w:color w:val="auto"/>
                <w:sz w:val="20"/>
                <w:szCs w:val="20"/>
              </w:rPr>
            </w:pPr>
            <w:r w:rsidRPr="00DE12A3">
              <w:rPr>
                <w:color w:val="auto"/>
                <w:sz w:val="20"/>
                <w:szCs w:val="20"/>
              </w:rPr>
              <w:t>Aktif olarak kontrol edilirse seyreltme havası</w:t>
            </w:r>
          </w:p>
        </w:tc>
        <w:tc>
          <w:tcPr>
            <w:tcW w:w="1477" w:type="dxa"/>
            <w:shd w:val="clear" w:color="auto" w:fill="auto"/>
          </w:tcPr>
          <w:p w14:paraId="07207A78" w14:textId="77777777" w:rsidR="00506780" w:rsidRPr="00DE12A3" w:rsidRDefault="00506780" w:rsidP="00C917D6">
            <w:pPr>
              <w:pStyle w:val="Gvdemetni1"/>
              <w:shd w:val="clear" w:color="auto" w:fill="auto"/>
              <w:spacing w:before="120" w:after="120" w:line="240" w:lineRule="auto"/>
              <w:ind w:firstLine="0"/>
              <w:rPr>
                <w:color w:val="auto"/>
                <w:sz w:val="20"/>
                <w:szCs w:val="20"/>
              </w:rPr>
            </w:pPr>
            <w:r w:rsidRPr="00DE12A3">
              <w:rPr>
                <w:color w:val="auto"/>
                <w:sz w:val="20"/>
                <w:szCs w:val="20"/>
              </w:rPr>
              <w:t>5 Hz</w:t>
            </w:r>
          </w:p>
        </w:tc>
        <w:tc>
          <w:tcPr>
            <w:tcW w:w="1853" w:type="dxa"/>
            <w:shd w:val="clear" w:color="auto" w:fill="auto"/>
          </w:tcPr>
          <w:p w14:paraId="04071288" w14:textId="77777777" w:rsidR="00506780" w:rsidRPr="00DE12A3" w:rsidRDefault="00506780" w:rsidP="00C917D6">
            <w:pPr>
              <w:pStyle w:val="Gvdemetni1"/>
              <w:shd w:val="clear" w:color="auto" w:fill="auto"/>
              <w:spacing w:before="120" w:after="120" w:line="240" w:lineRule="auto"/>
              <w:ind w:firstLine="0"/>
              <w:rPr>
                <w:color w:val="auto"/>
                <w:sz w:val="20"/>
                <w:szCs w:val="20"/>
              </w:rPr>
            </w:pPr>
            <w:r w:rsidRPr="00DE12A3">
              <w:rPr>
                <w:color w:val="auto"/>
                <w:sz w:val="20"/>
                <w:szCs w:val="20"/>
              </w:rPr>
              <w:t>1 Hz ortalamalar</w:t>
            </w:r>
          </w:p>
        </w:tc>
      </w:tr>
      <w:tr w:rsidR="00DE12A3" w:rsidRPr="00DE12A3" w14:paraId="141C351E" w14:textId="77777777" w:rsidTr="00EC6140">
        <w:trPr>
          <w:trHeight w:hRule="exact" w:val="773"/>
        </w:trPr>
        <w:tc>
          <w:tcPr>
            <w:tcW w:w="1082" w:type="dxa"/>
            <w:shd w:val="clear" w:color="auto" w:fill="auto"/>
          </w:tcPr>
          <w:p w14:paraId="2FA30E88" w14:textId="77777777" w:rsidR="00506780" w:rsidRPr="00DE12A3" w:rsidRDefault="00506780" w:rsidP="00C917D6">
            <w:pPr>
              <w:pStyle w:val="NormalLeft"/>
            </w:pPr>
            <w:r w:rsidRPr="00DE12A3">
              <w:t>7.6</w:t>
            </w:r>
          </w:p>
          <w:p w14:paraId="1D715033" w14:textId="77777777" w:rsidR="00506780" w:rsidRPr="00DE12A3" w:rsidRDefault="00506780" w:rsidP="00C917D6">
            <w:pPr>
              <w:pStyle w:val="NormalLeft"/>
            </w:pPr>
            <w:r w:rsidRPr="00DE12A3">
              <w:t>8.2.1</w:t>
            </w:r>
          </w:p>
        </w:tc>
        <w:tc>
          <w:tcPr>
            <w:tcW w:w="3397" w:type="dxa"/>
            <w:shd w:val="clear" w:color="auto" w:fill="auto"/>
          </w:tcPr>
          <w:p w14:paraId="1F1E715F" w14:textId="77777777" w:rsidR="00506780" w:rsidRPr="00DE12A3" w:rsidRDefault="00506780" w:rsidP="00C917D6">
            <w:pPr>
              <w:pStyle w:val="Gvdemetni1"/>
              <w:shd w:val="clear" w:color="auto" w:fill="auto"/>
              <w:spacing w:before="120" w:after="120" w:line="240" w:lineRule="auto"/>
              <w:ind w:firstLine="0"/>
              <w:jc w:val="both"/>
              <w:rPr>
                <w:color w:val="auto"/>
                <w:sz w:val="20"/>
                <w:szCs w:val="20"/>
              </w:rPr>
            </w:pPr>
            <w:r w:rsidRPr="00DE12A3">
              <w:rPr>
                <w:color w:val="auto"/>
                <w:sz w:val="20"/>
                <w:szCs w:val="20"/>
              </w:rPr>
              <w:t>Isı eşanjörlü bir CVS'den numune akışı</w:t>
            </w:r>
          </w:p>
        </w:tc>
        <w:tc>
          <w:tcPr>
            <w:tcW w:w="1477" w:type="dxa"/>
            <w:shd w:val="clear" w:color="auto" w:fill="auto"/>
          </w:tcPr>
          <w:p w14:paraId="6DF00FDE" w14:textId="77777777" w:rsidR="00506780" w:rsidRPr="00DE12A3" w:rsidRDefault="00506780" w:rsidP="00C917D6">
            <w:pPr>
              <w:pStyle w:val="Gvdemetni1"/>
              <w:shd w:val="clear" w:color="auto" w:fill="auto"/>
              <w:spacing w:before="120" w:after="120" w:line="240" w:lineRule="auto"/>
              <w:ind w:firstLine="0"/>
              <w:rPr>
                <w:color w:val="auto"/>
                <w:sz w:val="20"/>
                <w:szCs w:val="20"/>
              </w:rPr>
            </w:pPr>
            <w:r w:rsidRPr="00DE12A3">
              <w:rPr>
                <w:color w:val="auto"/>
                <w:sz w:val="20"/>
                <w:szCs w:val="20"/>
              </w:rPr>
              <w:t>1 Hz</w:t>
            </w:r>
          </w:p>
        </w:tc>
        <w:tc>
          <w:tcPr>
            <w:tcW w:w="1853" w:type="dxa"/>
            <w:shd w:val="clear" w:color="auto" w:fill="auto"/>
          </w:tcPr>
          <w:p w14:paraId="2D9DA6FE" w14:textId="77777777" w:rsidR="00506780" w:rsidRPr="00DE12A3" w:rsidRDefault="00506780" w:rsidP="00C917D6">
            <w:pPr>
              <w:pStyle w:val="Gvdemetni1"/>
              <w:shd w:val="clear" w:color="auto" w:fill="auto"/>
              <w:spacing w:before="120" w:after="120" w:line="240" w:lineRule="auto"/>
              <w:ind w:firstLine="0"/>
              <w:rPr>
                <w:color w:val="auto"/>
                <w:sz w:val="20"/>
                <w:szCs w:val="20"/>
              </w:rPr>
            </w:pPr>
            <w:r w:rsidRPr="00DE12A3">
              <w:rPr>
                <w:color w:val="auto"/>
                <w:sz w:val="20"/>
                <w:szCs w:val="20"/>
              </w:rPr>
              <w:t>1 Hz</w:t>
            </w:r>
          </w:p>
        </w:tc>
      </w:tr>
      <w:tr w:rsidR="00DE12A3" w:rsidRPr="00DE12A3" w14:paraId="17FF0CE7" w14:textId="77777777" w:rsidTr="0066751C">
        <w:trPr>
          <w:trHeight w:hRule="exact" w:val="1014"/>
        </w:trPr>
        <w:tc>
          <w:tcPr>
            <w:tcW w:w="1082" w:type="dxa"/>
            <w:shd w:val="clear" w:color="auto" w:fill="auto"/>
          </w:tcPr>
          <w:p w14:paraId="46DE833E" w14:textId="543B22FA" w:rsidR="002D30FB" w:rsidRPr="00DE12A3" w:rsidRDefault="00506780" w:rsidP="00C917D6">
            <w:pPr>
              <w:pStyle w:val="NormalLeft"/>
            </w:pPr>
            <w:r w:rsidRPr="00DE12A3">
              <w:t>7.6</w:t>
            </w:r>
          </w:p>
          <w:p w14:paraId="290C7905" w14:textId="77777777" w:rsidR="00506780" w:rsidRPr="00DE12A3" w:rsidRDefault="00506780" w:rsidP="00C917D6">
            <w:pPr>
              <w:pStyle w:val="NormalLeft"/>
            </w:pPr>
            <w:r w:rsidRPr="00DE12A3">
              <w:t>8.2.1</w:t>
            </w:r>
          </w:p>
        </w:tc>
        <w:tc>
          <w:tcPr>
            <w:tcW w:w="3397" w:type="dxa"/>
            <w:shd w:val="clear" w:color="auto" w:fill="auto"/>
          </w:tcPr>
          <w:p w14:paraId="5E8B740E" w14:textId="77777777" w:rsidR="00506780" w:rsidRPr="00DE12A3" w:rsidRDefault="00506780" w:rsidP="00C917D6">
            <w:pPr>
              <w:pStyle w:val="Gvdemetni1"/>
              <w:shd w:val="clear" w:color="auto" w:fill="auto"/>
              <w:spacing w:before="120" w:after="120" w:line="240" w:lineRule="auto"/>
              <w:ind w:firstLine="0"/>
              <w:jc w:val="both"/>
              <w:rPr>
                <w:color w:val="auto"/>
                <w:sz w:val="20"/>
                <w:szCs w:val="20"/>
              </w:rPr>
            </w:pPr>
            <w:r w:rsidRPr="00DE12A3">
              <w:rPr>
                <w:color w:val="auto"/>
                <w:sz w:val="20"/>
                <w:szCs w:val="20"/>
              </w:rPr>
              <w:t>Isı eşanjörsüz bir CVS'den numune akışı</w:t>
            </w:r>
          </w:p>
        </w:tc>
        <w:tc>
          <w:tcPr>
            <w:tcW w:w="1477" w:type="dxa"/>
            <w:shd w:val="clear" w:color="auto" w:fill="auto"/>
          </w:tcPr>
          <w:p w14:paraId="26F0229E" w14:textId="77777777" w:rsidR="00506780" w:rsidRPr="00DE12A3" w:rsidRDefault="00506780" w:rsidP="00C917D6">
            <w:pPr>
              <w:pStyle w:val="Gvdemetni1"/>
              <w:shd w:val="clear" w:color="auto" w:fill="auto"/>
              <w:spacing w:before="120" w:after="120" w:line="240" w:lineRule="auto"/>
              <w:ind w:firstLine="0"/>
              <w:rPr>
                <w:color w:val="auto"/>
                <w:sz w:val="20"/>
                <w:szCs w:val="20"/>
              </w:rPr>
            </w:pPr>
            <w:r w:rsidRPr="00DE12A3">
              <w:rPr>
                <w:color w:val="auto"/>
                <w:sz w:val="20"/>
                <w:szCs w:val="20"/>
              </w:rPr>
              <w:t>5 Hz</w:t>
            </w:r>
          </w:p>
        </w:tc>
        <w:tc>
          <w:tcPr>
            <w:tcW w:w="1853" w:type="dxa"/>
            <w:shd w:val="clear" w:color="auto" w:fill="auto"/>
          </w:tcPr>
          <w:p w14:paraId="656CBF98" w14:textId="77777777" w:rsidR="00506780" w:rsidRPr="00DE12A3" w:rsidRDefault="00506780" w:rsidP="00C917D6">
            <w:pPr>
              <w:pStyle w:val="Gvdemetni1"/>
              <w:shd w:val="clear" w:color="auto" w:fill="auto"/>
              <w:spacing w:before="120" w:after="120" w:line="240" w:lineRule="auto"/>
              <w:ind w:firstLine="0"/>
              <w:rPr>
                <w:color w:val="auto"/>
                <w:sz w:val="20"/>
                <w:szCs w:val="20"/>
              </w:rPr>
            </w:pPr>
            <w:r w:rsidRPr="00DE12A3">
              <w:rPr>
                <w:color w:val="auto"/>
                <w:sz w:val="20"/>
                <w:szCs w:val="20"/>
              </w:rPr>
              <w:t>1 Hz ortalama</w:t>
            </w:r>
          </w:p>
        </w:tc>
      </w:tr>
    </w:tbl>
    <w:p w14:paraId="2E9EB5DD" w14:textId="77777777" w:rsidR="0075455F" w:rsidRPr="00DE12A3" w:rsidRDefault="0075455F" w:rsidP="00E20716">
      <w:pPr>
        <w:pStyle w:val="ListeParagraf"/>
        <w:numPr>
          <w:ilvl w:val="0"/>
          <w:numId w:val="343"/>
        </w:numPr>
        <w:spacing w:before="120" w:after="120"/>
        <w:ind w:left="709" w:hanging="709"/>
        <w:contextualSpacing w:val="0"/>
        <w:jc w:val="both"/>
        <w:rPr>
          <w:rFonts w:eastAsia="Times New Roman" w:cs="Times New Roman"/>
          <w:vanish/>
          <w:color w:val="auto"/>
          <w:spacing w:val="3"/>
          <w:sz w:val="20"/>
          <w:szCs w:val="20"/>
        </w:rPr>
      </w:pPr>
    </w:p>
    <w:p w14:paraId="19B39EC1" w14:textId="77777777" w:rsidR="0075455F" w:rsidRPr="00DE12A3" w:rsidRDefault="0075455F" w:rsidP="00E20716">
      <w:pPr>
        <w:pStyle w:val="ListeParagraf"/>
        <w:numPr>
          <w:ilvl w:val="0"/>
          <w:numId w:val="343"/>
        </w:numPr>
        <w:spacing w:before="120" w:after="120"/>
        <w:ind w:left="709" w:hanging="709"/>
        <w:contextualSpacing w:val="0"/>
        <w:jc w:val="both"/>
        <w:rPr>
          <w:rFonts w:eastAsia="Times New Roman" w:cs="Times New Roman"/>
          <w:vanish/>
          <w:color w:val="auto"/>
          <w:spacing w:val="3"/>
          <w:sz w:val="20"/>
          <w:szCs w:val="20"/>
        </w:rPr>
      </w:pPr>
    </w:p>
    <w:p w14:paraId="1DAFBB99" w14:textId="77777777" w:rsidR="00EC6140" w:rsidRPr="00DE12A3" w:rsidRDefault="00506780" w:rsidP="00EC6140">
      <w:pPr>
        <w:pStyle w:val="Gvdemetni251"/>
        <w:shd w:val="clear" w:color="auto" w:fill="auto"/>
        <w:spacing w:before="120" w:after="120" w:line="240" w:lineRule="auto"/>
        <w:ind w:firstLine="0"/>
        <w:rPr>
          <w:color w:val="auto"/>
          <w:sz w:val="24"/>
          <w:szCs w:val="24"/>
        </w:rPr>
      </w:pPr>
      <w:r w:rsidRPr="00DE12A3">
        <w:rPr>
          <w:color w:val="auto"/>
          <w:sz w:val="24"/>
          <w:szCs w:val="24"/>
        </w:rPr>
        <w:t xml:space="preserve">       </w:t>
      </w:r>
    </w:p>
    <w:p w14:paraId="5325D327" w14:textId="77777777" w:rsidR="00EC6140" w:rsidRPr="00DE12A3" w:rsidRDefault="00EC6140" w:rsidP="00EC6140">
      <w:pPr>
        <w:pStyle w:val="Gvdemetni251"/>
        <w:shd w:val="clear" w:color="auto" w:fill="auto"/>
        <w:spacing w:before="120" w:after="120" w:line="240" w:lineRule="auto"/>
        <w:ind w:firstLine="0"/>
        <w:rPr>
          <w:color w:val="auto"/>
          <w:sz w:val="24"/>
          <w:szCs w:val="24"/>
        </w:rPr>
      </w:pPr>
    </w:p>
    <w:p w14:paraId="5BFC5988" w14:textId="77777777" w:rsidR="00EC6140" w:rsidRPr="00DE12A3" w:rsidRDefault="00EC6140" w:rsidP="00EC6140">
      <w:pPr>
        <w:pStyle w:val="Gvdemetni251"/>
        <w:shd w:val="clear" w:color="auto" w:fill="auto"/>
        <w:spacing w:before="120" w:after="120" w:line="240" w:lineRule="auto"/>
        <w:ind w:firstLine="0"/>
        <w:rPr>
          <w:color w:val="auto"/>
          <w:sz w:val="24"/>
          <w:szCs w:val="24"/>
        </w:rPr>
      </w:pPr>
    </w:p>
    <w:p w14:paraId="55ACF0EF" w14:textId="77777777" w:rsidR="00EC6140" w:rsidRPr="00DE12A3" w:rsidRDefault="00EC6140" w:rsidP="00EC6140">
      <w:pPr>
        <w:pStyle w:val="Gvdemetni251"/>
        <w:shd w:val="clear" w:color="auto" w:fill="auto"/>
        <w:spacing w:before="120" w:after="120" w:line="240" w:lineRule="auto"/>
        <w:ind w:firstLine="0"/>
        <w:rPr>
          <w:color w:val="auto"/>
          <w:sz w:val="24"/>
          <w:szCs w:val="24"/>
        </w:rPr>
      </w:pPr>
    </w:p>
    <w:p w14:paraId="3764794B" w14:textId="77777777" w:rsidR="00EC6140" w:rsidRPr="00DE12A3" w:rsidRDefault="00EC6140" w:rsidP="00EC6140">
      <w:pPr>
        <w:pStyle w:val="Gvdemetni251"/>
        <w:shd w:val="clear" w:color="auto" w:fill="auto"/>
        <w:spacing w:before="120" w:after="120" w:line="240" w:lineRule="auto"/>
        <w:ind w:firstLine="0"/>
        <w:rPr>
          <w:color w:val="auto"/>
          <w:sz w:val="24"/>
          <w:szCs w:val="24"/>
        </w:rPr>
      </w:pPr>
    </w:p>
    <w:p w14:paraId="75DD5768" w14:textId="77777777" w:rsidR="00EC6140" w:rsidRPr="00DE12A3" w:rsidRDefault="00EC6140" w:rsidP="00EC6140">
      <w:pPr>
        <w:pStyle w:val="Gvdemetni251"/>
        <w:shd w:val="clear" w:color="auto" w:fill="auto"/>
        <w:spacing w:before="120" w:after="120" w:line="240" w:lineRule="auto"/>
        <w:ind w:firstLine="0"/>
        <w:rPr>
          <w:color w:val="auto"/>
          <w:sz w:val="24"/>
          <w:szCs w:val="24"/>
        </w:rPr>
      </w:pPr>
    </w:p>
    <w:p w14:paraId="0DF69979" w14:textId="77777777" w:rsidR="00EC6140" w:rsidRPr="00DE12A3" w:rsidRDefault="00EC6140" w:rsidP="00EC6140">
      <w:pPr>
        <w:pStyle w:val="Gvdemetni251"/>
        <w:shd w:val="clear" w:color="auto" w:fill="auto"/>
        <w:spacing w:before="120" w:after="120" w:line="240" w:lineRule="auto"/>
        <w:ind w:firstLine="0"/>
        <w:rPr>
          <w:color w:val="auto"/>
          <w:sz w:val="24"/>
          <w:szCs w:val="24"/>
        </w:rPr>
      </w:pPr>
    </w:p>
    <w:p w14:paraId="2786A749" w14:textId="04C144E6" w:rsidR="00EC6140" w:rsidRPr="00DE12A3" w:rsidRDefault="00EC6140" w:rsidP="00EC6140">
      <w:pPr>
        <w:pStyle w:val="Gvdemetni251"/>
        <w:shd w:val="clear" w:color="auto" w:fill="auto"/>
        <w:spacing w:before="120" w:after="120" w:line="240" w:lineRule="auto"/>
        <w:ind w:firstLine="0"/>
        <w:rPr>
          <w:color w:val="auto"/>
          <w:sz w:val="24"/>
          <w:szCs w:val="24"/>
        </w:rPr>
      </w:pPr>
    </w:p>
    <w:p w14:paraId="057CE2A2" w14:textId="230F015F" w:rsidR="00EC6140" w:rsidRPr="00DE12A3" w:rsidRDefault="00EC6140" w:rsidP="00EC6140">
      <w:pPr>
        <w:pStyle w:val="Gvdemetni251"/>
        <w:shd w:val="clear" w:color="auto" w:fill="auto"/>
        <w:spacing w:before="120" w:after="120" w:line="240" w:lineRule="auto"/>
        <w:ind w:firstLine="0"/>
        <w:rPr>
          <w:color w:val="auto"/>
          <w:sz w:val="24"/>
          <w:szCs w:val="24"/>
        </w:rPr>
      </w:pPr>
    </w:p>
    <w:p w14:paraId="11B46CE9" w14:textId="51C2E07D" w:rsidR="00EC6140" w:rsidRPr="00DE12A3" w:rsidRDefault="00EC6140" w:rsidP="00EC6140">
      <w:pPr>
        <w:pStyle w:val="Gvdemetni251"/>
        <w:shd w:val="clear" w:color="auto" w:fill="auto"/>
        <w:spacing w:before="120" w:after="120" w:line="240" w:lineRule="auto"/>
        <w:ind w:firstLine="0"/>
        <w:rPr>
          <w:color w:val="auto"/>
          <w:sz w:val="24"/>
          <w:szCs w:val="24"/>
        </w:rPr>
      </w:pPr>
    </w:p>
    <w:p w14:paraId="3C2AFDF1" w14:textId="585CDAEB" w:rsidR="00EC6140" w:rsidRPr="00DE12A3" w:rsidRDefault="00EC6140" w:rsidP="00EC6140">
      <w:pPr>
        <w:pStyle w:val="Gvdemetni251"/>
        <w:shd w:val="clear" w:color="auto" w:fill="auto"/>
        <w:spacing w:before="120" w:after="120" w:line="240" w:lineRule="auto"/>
        <w:ind w:firstLine="0"/>
        <w:rPr>
          <w:color w:val="auto"/>
          <w:sz w:val="24"/>
          <w:szCs w:val="24"/>
        </w:rPr>
      </w:pPr>
    </w:p>
    <w:p w14:paraId="7D475770" w14:textId="34F25D5F" w:rsidR="00EC6140" w:rsidRPr="00DE12A3" w:rsidRDefault="00EC6140" w:rsidP="00EC6140">
      <w:pPr>
        <w:pStyle w:val="Gvdemetni251"/>
        <w:shd w:val="clear" w:color="auto" w:fill="auto"/>
        <w:spacing w:before="120" w:after="120" w:line="240" w:lineRule="auto"/>
        <w:ind w:firstLine="0"/>
        <w:rPr>
          <w:color w:val="auto"/>
          <w:sz w:val="24"/>
          <w:szCs w:val="24"/>
        </w:rPr>
      </w:pPr>
    </w:p>
    <w:p w14:paraId="50F4DEC0" w14:textId="5D125266" w:rsidR="00EC6140" w:rsidRPr="00DE12A3" w:rsidRDefault="00EC6140" w:rsidP="00EC6140">
      <w:pPr>
        <w:pStyle w:val="Gvdemetni251"/>
        <w:shd w:val="clear" w:color="auto" w:fill="auto"/>
        <w:spacing w:before="120" w:after="120" w:line="240" w:lineRule="auto"/>
        <w:ind w:firstLine="0"/>
        <w:rPr>
          <w:color w:val="auto"/>
          <w:sz w:val="24"/>
          <w:szCs w:val="24"/>
        </w:rPr>
      </w:pPr>
    </w:p>
    <w:p w14:paraId="22F00D6A" w14:textId="6E3F66BC" w:rsidR="00EC6140" w:rsidRPr="00DE12A3" w:rsidRDefault="00EC6140" w:rsidP="00EC6140">
      <w:pPr>
        <w:pStyle w:val="Gvdemetni251"/>
        <w:shd w:val="clear" w:color="auto" w:fill="auto"/>
        <w:spacing w:before="120" w:after="120" w:line="240" w:lineRule="auto"/>
        <w:ind w:firstLine="0"/>
        <w:rPr>
          <w:color w:val="auto"/>
          <w:sz w:val="24"/>
          <w:szCs w:val="24"/>
        </w:rPr>
      </w:pPr>
    </w:p>
    <w:p w14:paraId="1155223A" w14:textId="0A0EBC27" w:rsidR="00EC6140" w:rsidRPr="00DE12A3" w:rsidRDefault="00EC6140" w:rsidP="00EC6140">
      <w:pPr>
        <w:pStyle w:val="Gvdemetni251"/>
        <w:shd w:val="clear" w:color="auto" w:fill="auto"/>
        <w:spacing w:before="120" w:after="120" w:line="240" w:lineRule="auto"/>
        <w:ind w:firstLine="0"/>
        <w:rPr>
          <w:color w:val="auto"/>
          <w:sz w:val="24"/>
          <w:szCs w:val="24"/>
        </w:rPr>
      </w:pPr>
    </w:p>
    <w:p w14:paraId="7254D6AB" w14:textId="3BBC484C" w:rsidR="00EC6140" w:rsidRPr="00DE12A3" w:rsidRDefault="00EC6140" w:rsidP="00EC6140">
      <w:pPr>
        <w:pStyle w:val="Gvdemetni251"/>
        <w:shd w:val="clear" w:color="auto" w:fill="auto"/>
        <w:spacing w:before="120" w:after="120" w:line="240" w:lineRule="auto"/>
        <w:ind w:firstLine="0"/>
        <w:rPr>
          <w:color w:val="auto"/>
          <w:sz w:val="24"/>
          <w:szCs w:val="24"/>
        </w:rPr>
      </w:pPr>
    </w:p>
    <w:p w14:paraId="412E4DEC" w14:textId="2870270F" w:rsidR="00EC6140" w:rsidRPr="00DE12A3" w:rsidRDefault="00EC6140" w:rsidP="00EC6140">
      <w:pPr>
        <w:pStyle w:val="Gvdemetni251"/>
        <w:shd w:val="clear" w:color="auto" w:fill="auto"/>
        <w:spacing w:before="120" w:after="120" w:line="240" w:lineRule="auto"/>
        <w:ind w:firstLine="0"/>
        <w:rPr>
          <w:color w:val="auto"/>
          <w:sz w:val="24"/>
          <w:szCs w:val="24"/>
        </w:rPr>
      </w:pPr>
    </w:p>
    <w:p w14:paraId="7197397F" w14:textId="5185AF2D" w:rsidR="00EC6140" w:rsidRPr="00DE12A3" w:rsidRDefault="00EC6140" w:rsidP="00EC6140">
      <w:pPr>
        <w:pStyle w:val="Gvdemetni251"/>
        <w:shd w:val="clear" w:color="auto" w:fill="auto"/>
        <w:spacing w:before="120" w:after="120" w:line="240" w:lineRule="auto"/>
        <w:ind w:firstLine="0"/>
        <w:rPr>
          <w:color w:val="auto"/>
          <w:sz w:val="24"/>
          <w:szCs w:val="24"/>
        </w:rPr>
      </w:pPr>
    </w:p>
    <w:p w14:paraId="109E3CDF" w14:textId="21920397" w:rsidR="00EC6140" w:rsidRPr="00DE12A3" w:rsidRDefault="00EC6140" w:rsidP="00EC6140">
      <w:pPr>
        <w:pStyle w:val="Gvdemetni251"/>
        <w:shd w:val="clear" w:color="auto" w:fill="auto"/>
        <w:spacing w:before="120" w:after="120" w:line="240" w:lineRule="auto"/>
        <w:ind w:firstLine="0"/>
        <w:rPr>
          <w:color w:val="auto"/>
          <w:sz w:val="24"/>
          <w:szCs w:val="24"/>
        </w:rPr>
      </w:pPr>
    </w:p>
    <w:p w14:paraId="79A083C1" w14:textId="1DEB8365" w:rsidR="00EC6140" w:rsidRPr="00DE12A3" w:rsidRDefault="00EC6140" w:rsidP="00EC6140">
      <w:pPr>
        <w:pStyle w:val="Gvdemetni251"/>
        <w:shd w:val="clear" w:color="auto" w:fill="auto"/>
        <w:spacing w:before="120" w:after="120" w:line="240" w:lineRule="auto"/>
        <w:ind w:firstLine="0"/>
        <w:rPr>
          <w:color w:val="auto"/>
          <w:sz w:val="24"/>
          <w:szCs w:val="24"/>
        </w:rPr>
      </w:pPr>
    </w:p>
    <w:p w14:paraId="6F1C6BF7" w14:textId="3066DE5D" w:rsidR="00EC6140" w:rsidRPr="00DE12A3" w:rsidRDefault="00EC6140" w:rsidP="00EC6140">
      <w:pPr>
        <w:pStyle w:val="Gvdemetni251"/>
        <w:shd w:val="clear" w:color="auto" w:fill="auto"/>
        <w:spacing w:before="120" w:after="120" w:line="240" w:lineRule="auto"/>
        <w:ind w:firstLine="0"/>
        <w:rPr>
          <w:color w:val="auto"/>
          <w:sz w:val="24"/>
          <w:szCs w:val="24"/>
        </w:rPr>
      </w:pPr>
    </w:p>
    <w:p w14:paraId="756D6488" w14:textId="00B6B1F1" w:rsidR="00EC6140" w:rsidRPr="00DE12A3" w:rsidRDefault="00EC6140" w:rsidP="00EC6140">
      <w:pPr>
        <w:pStyle w:val="Gvdemetni251"/>
        <w:shd w:val="clear" w:color="auto" w:fill="auto"/>
        <w:spacing w:before="120" w:after="120" w:line="240" w:lineRule="auto"/>
        <w:ind w:firstLine="0"/>
        <w:rPr>
          <w:color w:val="auto"/>
          <w:sz w:val="24"/>
          <w:szCs w:val="24"/>
        </w:rPr>
      </w:pPr>
    </w:p>
    <w:p w14:paraId="7BD519D4" w14:textId="394CCB75" w:rsidR="00EC6140" w:rsidRPr="00DE12A3" w:rsidRDefault="00EC6140" w:rsidP="00EC6140">
      <w:pPr>
        <w:pStyle w:val="Gvdemetni251"/>
        <w:shd w:val="clear" w:color="auto" w:fill="auto"/>
        <w:spacing w:before="120" w:after="120" w:line="240" w:lineRule="auto"/>
        <w:ind w:firstLine="0"/>
        <w:rPr>
          <w:color w:val="auto"/>
          <w:sz w:val="24"/>
          <w:szCs w:val="24"/>
        </w:rPr>
      </w:pPr>
    </w:p>
    <w:p w14:paraId="52262D08" w14:textId="1D9A6A78" w:rsidR="00EC6140" w:rsidRPr="00DE12A3" w:rsidRDefault="00EC6140" w:rsidP="00EC6140">
      <w:pPr>
        <w:pStyle w:val="Gvdemetni251"/>
        <w:shd w:val="clear" w:color="auto" w:fill="auto"/>
        <w:spacing w:before="120" w:after="120" w:line="240" w:lineRule="auto"/>
        <w:ind w:firstLine="0"/>
        <w:rPr>
          <w:color w:val="auto"/>
          <w:sz w:val="24"/>
          <w:szCs w:val="24"/>
        </w:rPr>
      </w:pPr>
    </w:p>
    <w:p w14:paraId="47F339E9" w14:textId="590181F3" w:rsidR="00EC6140" w:rsidRPr="00DE12A3" w:rsidRDefault="00EC6140" w:rsidP="00EC6140">
      <w:pPr>
        <w:pStyle w:val="Gvdemetni251"/>
        <w:shd w:val="clear" w:color="auto" w:fill="auto"/>
        <w:spacing w:before="120" w:after="120" w:line="240" w:lineRule="auto"/>
        <w:ind w:firstLine="0"/>
        <w:rPr>
          <w:color w:val="auto"/>
          <w:sz w:val="24"/>
          <w:szCs w:val="24"/>
        </w:rPr>
      </w:pPr>
    </w:p>
    <w:p w14:paraId="29E32D1B" w14:textId="0B4638E2" w:rsidR="00EC6140" w:rsidRPr="00DE12A3" w:rsidRDefault="00EC6140" w:rsidP="00EC6140">
      <w:pPr>
        <w:pStyle w:val="Gvdemetni251"/>
        <w:shd w:val="clear" w:color="auto" w:fill="auto"/>
        <w:spacing w:before="120" w:after="120" w:line="240" w:lineRule="auto"/>
        <w:ind w:firstLine="0"/>
        <w:rPr>
          <w:color w:val="auto"/>
          <w:sz w:val="24"/>
          <w:szCs w:val="24"/>
        </w:rPr>
      </w:pPr>
    </w:p>
    <w:p w14:paraId="2000E1F0" w14:textId="5CE871A1" w:rsidR="00EC6140" w:rsidRPr="00DE12A3" w:rsidRDefault="00EC6140" w:rsidP="00EC6140">
      <w:pPr>
        <w:pStyle w:val="Gvdemetni251"/>
        <w:shd w:val="clear" w:color="auto" w:fill="auto"/>
        <w:spacing w:before="120" w:after="120" w:line="240" w:lineRule="auto"/>
        <w:ind w:firstLine="0"/>
        <w:rPr>
          <w:color w:val="auto"/>
          <w:sz w:val="24"/>
          <w:szCs w:val="24"/>
        </w:rPr>
      </w:pPr>
    </w:p>
    <w:p w14:paraId="5C5C053A" w14:textId="514176CF" w:rsidR="00EC6140" w:rsidRPr="00DE12A3" w:rsidRDefault="00EC6140" w:rsidP="00EC6140">
      <w:pPr>
        <w:pStyle w:val="Gvdemetni251"/>
        <w:shd w:val="clear" w:color="auto" w:fill="auto"/>
        <w:spacing w:before="120" w:after="120" w:line="240" w:lineRule="auto"/>
        <w:ind w:firstLine="0"/>
        <w:rPr>
          <w:color w:val="auto"/>
          <w:sz w:val="24"/>
          <w:szCs w:val="24"/>
        </w:rPr>
      </w:pPr>
    </w:p>
    <w:p w14:paraId="5777BCE3" w14:textId="27963A91" w:rsidR="00EC6140" w:rsidRPr="00DE12A3" w:rsidRDefault="00EC6140" w:rsidP="00EC6140">
      <w:pPr>
        <w:pStyle w:val="Gvdemetni251"/>
        <w:shd w:val="clear" w:color="auto" w:fill="auto"/>
        <w:spacing w:before="120" w:after="120" w:line="240" w:lineRule="auto"/>
        <w:ind w:firstLine="0"/>
        <w:rPr>
          <w:color w:val="auto"/>
          <w:sz w:val="24"/>
          <w:szCs w:val="24"/>
        </w:rPr>
      </w:pPr>
    </w:p>
    <w:p w14:paraId="495187F2" w14:textId="77777777" w:rsidR="00EC6140" w:rsidRPr="00DE12A3" w:rsidRDefault="00EC6140" w:rsidP="00EC6140">
      <w:pPr>
        <w:pStyle w:val="Gvdemetni251"/>
        <w:shd w:val="clear" w:color="auto" w:fill="auto"/>
        <w:spacing w:before="120" w:after="120" w:line="240" w:lineRule="auto"/>
        <w:ind w:firstLine="0"/>
        <w:rPr>
          <w:color w:val="auto"/>
          <w:sz w:val="24"/>
          <w:szCs w:val="24"/>
        </w:rPr>
      </w:pPr>
    </w:p>
    <w:p w14:paraId="054381A9" w14:textId="77777777" w:rsidR="00EC6140" w:rsidRPr="00DE12A3" w:rsidRDefault="00EC6140" w:rsidP="00EC6140">
      <w:pPr>
        <w:pStyle w:val="Gvdemetni251"/>
        <w:shd w:val="clear" w:color="auto" w:fill="auto"/>
        <w:spacing w:before="120" w:after="120" w:line="240" w:lineRule="auto"/>
        <w:ind w:firstLine="0"/>
        <w:rPr>
          <w:color w:val="auto"/>
          <w:sz w:val="24"/>
          <w:szCs w:val="24"/>
        </w:rPr>
      </w:pPr>
    </w:p>
    <w:p w14:paraId="51E0CD8C" w14:textId="77777777" w:rsidR="00EC6140" w:rsidRPr="00DE12A3" w:rsidRDefault="00EC6140" w:rsidP="00EC6140">
      <w:pPr>
        <w:pStyle w:val="Gvdemetni251"/>
        <w:shd w:val="clear" w:color="auto" w:fill="auto"/>
        <w:spacing w:before="120" w:after="120" w:line="240" w:lineRule="auto"/>
        <w:ind w:firstLine="0"/>
        <w:rPr>
          <w:color w:val="auto"/>
          <w:sz w:val="24"/>
          <w:szCs w:val="24"/>
        </w:rPr>
      </w:pPr>
    </w:p>
    <w:p w14:paraId="4E11BD75" w14:textId="77777777" w:rsidR="00EC6140" w:rsidRPr="00DE12A3" w:rsidRDefault="00EC6140" w:rsidP="00EC6140">
      <w:pPr>
        <w:pStyle w:val="Gvdemetni251"/>
        <w:shd w:val="clear" w:color="auto" w:fill="auto"/>
        <w:spacing w:before="120" w:after="120" w:line="240" w:lineRule="auto"/>
        <w:ind w:firstLine="0"/>
        <w:rPr>
          <w:color w:val="auto"/>
          <w:sz w:val="24"/>
          <w:szCs w:val="24"/>
        </w:rPr>
      </w:pPr>
    </w:p>
    <w:p w14:paraId="60D52D3D" w14:textId="77777777" w:rsidR="00EC6140" w:rsidRPr="00DE12A3" w:rsidRDefault="00EC6140" w:rsidP="00EC6140">
      <w:pPr>
        <w:pStyle w:val="Gvdemetni251"/>
        <w:shd w:val="clear" w:color="auto" w:fill="auto"/>
        <w:spacing w:before="120" w:after="120" w:line="240" w:lineRule="auto"/>
        <w:ind w:firstLine="0"/>
        <w:rPr>
          <w:color w:val="auto"/>
          <w:sz w:val="24"/>
          <w:szCs w:val="24"/>
        </w:rPr>
      </w:pPr>
    </w:p>
    <w:p w14:paraId="46BF2B5B" w14:textId="63A11CC1" w:rsidR="00EC6140" w:rsidRPr="00DE12A3" w:rsidRDefault="00EC6140" w:rsidP="00EC6140">
      <w:pPr>
        <w:pStyle w:val="Gvdemetni251"/>
        <w:shd w:val="clear" w:color="auto" w:fill="auto"/>
        <w:spacing w:before="120" w:after="120" w:line="240" w:lineRule="auto"/>
        <w:ind w:firstLine="0"/>
        <w:rPr>
          <w:color w:val="auto"/>
          <w:sz w:val="24"/>
          <w:szCs w:val="24"/>
        </w:rPr>
      </w:pPr>
      <w:r w:rsidRPr="00DE12A3">
        <w:rPr>
          <w:color w:val="auto"/>
          <w:sz w:val="24"/>
          <w:szCs w:val="24"/>
        </w:rPr>
        <w:t>9.4.3.         Ölçüm cihazları için performans şartnameleri</w:t>
      </w:r>
    </w:p>
    <w:p w14:paraId="51ABED7C" w14:textId="77777777" w:rsidR="002D7B36" w:rsidRPr="00DE12A3" w:rsidRDefault="00242DA0" w:rsidP="00E20716">
      <w:pPr>
        <w:pStyle w:val="Gvdemetni251"/>
        <w:numPr>
          <w:ilvl w:val="0"/>
          <w:numId w:val="344"/>
        </w:numPr>
        <w:shd w:val="clear" w:color="auto" w:fill="auto"/>
        <w:spacing w:before="120" w:after="120" w:line="240" w:lineRule="auto"/>
        <w:ind w:left="1134" w:hanging="1134"/>
        <w:rPr>
          <w:color w:val="auto"/>
          <w:sz w:val="24"/>
          <w:szCs w:val="24"/>
        </w:rPr>
      </w:pPr>
      <w:r w:rsidRPr="00DE12A3">
        <w:rPr>
          <w:color w:val="auto"/>
          <w:sz w:val="24"/>
          <w:szCs w:val="24"/>
        </w:rPr>
        <w:t>Genel bakış</w:t>
      </w:r>
    </w:p>
    <w:p w14:paraId="4BC291DA" w14:textId="77777777" w:rsidR="002D7B36" w:rsidRPr="00DE12A3" w:rsidRDefault="00506780" w:rsidP="00C917D6">
      <w:pPr>
        <w:pStyle w:val="Gvdemetni251"/>
        <w:shd w:val="clear" w:color="auto" w:fill="auto"/>
        <w:spacing w:before="120" w:after="120" w:line="240" w:lineRule="auto"/>
        <w:ind w:left="1134" w:hanging="1134"/>
        <w:rPr>
          <w:color w:val="auto"/>
          <w:sz w:val="24"/>
          <w:szCs w:val="24"/>
        </w:rPr>
      </w:pPr>
      <w:r w:rsidRPr="00DE12A3">
        <w:rPr>
          <w:color w:val="auto"/>
          <w:sz w:val="24"/>
          <w:szCs w:val="24"/>
        </w:rPr>
        <w:t xml:space="preserve">                  </w:t>
      </w:r>
      <w:r w:rsidR="00242DA0" w:rsidRPr="00DE12A3">
        <w:rPr>
          <w:color w:val="auto"/>
          <w:sz w:val="24"/>
          <w:szCs w:val="24"/>
        </w:rPr>
        <w:t xml:space="preserve">Test sistemi, bir bütün olarak, 8.1.4 ve 8.2 bentlerindeki doğrusallık kontrolü </w:t>
      </w:r>
      <w:r w:rsidR="0053289F" w:rsidRPr="00DE12A3">
        <w:rPr>
          <w:color w:val="auto"/>
          <w:sz w:val="24"/>
          <w:szCs w:val="24"/>
        </w:rPr>
        <w:lastRenderedPageBreak/>
        <w:t>gereklilikleri</w:t>
      </w:r>
      <w:r w:rsidR="00242DA0" w:rsidRPr="00DE12A3">
        <w:rPr>
          <w:color w:val="auto"/>
          <w:sz w:val="24"/>
          <w:szCs w:val="24"/>
        </w:rPr>
        <w:t xml:space="preserve"> da dahil olmak üzere, 8.1 bendinde belirtilen tüm geçerli kalibrasyonları, doğrulamaları ve test doğrulama kriterlerini sağlamalıdır. Cihazlar, testlerde kullanılacak tüm aralıklar için Tablo 6.7'deki </w:t>
      </w:r>
      <w:r w:rsidR="0053289F" w:rsidRPr="00DE12A3">
        <w:rPr>
          <w:color w:val="auto"/>
          <w:sz w:val="24"/>
          <w:szCs w:val="24"/>
        </w:rPr>
        <w:t>gereklilikleri</w:t>
      </w:r>
      <w:r w:rsidR="00242DA0" w:rsidRPr="00DE12A3">
        <w:rPr>
          <w:color w:val="auto"/>
          <w:sz w:val="24"/>
          <w:szCs w:val="24"/>
        </w:rPr>
        <w:t xml:space="preserve"> sağlamalıdır. Ayrıca, cihaz imalatçılarından alınan, cihazların Tablo 6.7'deki </w:t>
      </w:r>
      <w:r w:rsidR="0053289F" w:rsidRPr="00DE12A3">
        <w:rPr>
          <w:color w:val="auto"/>
          <w:sz w:val="24"/>
          <w:szCs w:val="24"/>
        </w:rPr>
        <w:t>gereklilikleri</w:t>
      </w:r>
      <w:r w:rsidR="00242DA0" w:rsidRPr="00DE12A3">
        <w:rPr>
          <w:color w:val="auto"/>
          <w:sz w:val="24"/>
          <w:szCs w:val="24"/>
        </w:rPr>
        <w:t xml:space="preserve"> sağladığını gösteren belgeler de muhafaza edilmelidir.</w:t>
      </w:r>
    </w:p>
    <w:p w14:paraId="02622FF1" w14:textId="77777777" w:rsidR="002D7B36" w:rsidRPr="00DE12A3" w:rsidRDefault="00242DA0" w:rsidP="00E20716">
      <w:pPr>
        <w:pStyle w:val="Gvdemetni251"/>
        <w:numPr>
          <w:ilvl w:val="0"/>
          <w:numId w:val="344"/>
        </w:numPr>
        <w:shd w:val="clear" w:color="auto" w:fill="auto"/>
        <w:spacing w:before="120" w:after="120" w:line="240" w:lineRule="auto"/>
        <w:ind w:left="1134" w:hanging="1134"/>
        <w:rPr>
          <w:color w:val="auto"/>
          <w:sz w:val="24"/>
          <w:szCs w:val="24"/>
        </w:rPr>
      </w:pPr>
      <w:r w:rsidRPr="00DE12A3">
        <w:rPr>
          <w:color w:val="auto"/>
          <w:sz w:val="24"/>
          <w:szCs w:val="24"/>
        </w:rPr>
        <w:t xml:space="preserve">Bileşen </w:t>
      </w:r>
      <w:r w:rsidR="0053289F" w:rsidRPr="00DE12A3">
        <w:rPr>
          <w:color w:val="auto"/>
          <w:sz w:val="24"/>
          <w:szCs w:val="24"/>
        </w:rPr>
        <w:t>gereklilikleri</w:t>
      </w:r>
    </w:p>
    <w:p w14:paraId="0BD5D891" w14:textId="77777777" w:rsidR="005978B8" w:rsidRPr="00DE12A3" w:rsidRDefault="00506780" w:rsidP="00C917D6">
      <w:pPr>
        <w:pStyle w:val="Gvdemetni251"/>
        <w:shd w:val="clear" w:color="auto" w:fill="auto"/>
        <w:spacing w:before="120" w:after="120" w:line="240" w:lineRule="auto"/>
        <w:ind w:left="1134" w:hanging="1134"/>
        <w:rPr>
          <w:color w:val="auto"/>
          <w:sz w:val="24"/>
          <w:szCs w:val="24"/>
        </w:rPr>
      </w:pPr>
      <w:r w:rsidRPr="00DE12A3">
        <w:rPr>
          <w:color w:val="auto"/>
          <w:sz w:val="24"/>
          <w:szCs w:val="24"/>
        </w:rPr>
        <w:t xml:space="preserve">                  </w:t>
      </w:r>
      <w:r w:rsidR="00242DA0" w:rsidRPr="00DE12A3">
        <w:rPr>
          <w:color w:val="auto"/>
          <w:sz w:val="24"/>
          <w:szCs w:val="24"/>
        </w:rPr>
        <w:t>Tablo 6.8'de tork, devir ve basınç dönüştürücüleri, sıcaklık ve yoğuşma noktası sensörleri ve diğer cihazlara ait şartlar gösterilmektedir. Belli fiziksel ve/veya kimyasal miktarı ölçmek için kullanılan toplam sistem, 8.1.4 bendindeki doğrusallık doğrulamasını sağlamalıdır. Gaz halindeki emisyonların ölçümleri için, ölçülen diğer gaz halindeki bileşenlerin ve belirli motor testine ilişkin yakıt özelliklerinin fonksiyonları olan dengeleme algoritmalarına sahip analiz cihazları kullanılabilir. Herhangi bir dengeleme algoritması, herhangi bir kazancı etkilemeden (yani yanlı olmadan) sadece fark dengelemesi sağlamalıdır.</w:t>
      </w:r>
    </w:p>
    <w:tbl>
      <w:tblPr>
        <w:tblpPr w:leftFromText="141" w:rightFromText="141" w:vertAnchor="text" w:horzAnchor="margin" w:tblpXSpec="center" w:tblpY="84"/>
        <w:tblOverlap w:val="neve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592"/>
        <w:gridCol w:w="960"/>
        <w:gridCol w:w="1152"/>
        <w:gridCol w:w="1344"/>
        <w:gridCol w:w="1598"/>
        <w:gridCol w:w="2130"/>
      </w:tblGrid>
      <w:tr w:rsidR="00DE12A3" w:rsidRPr="00DE12A3" w14:paraId="66418F17" w14:textId="77777777" w:rsidTr="005978B8">
        <w:trPr>
          <w:trHeight w:hRule="exact" w:val="434"/>
        </w:trPr>
        <w:tc>
          <w:tcPr>
            <w:tcW w:w="9776" w:type="dxa"/>
            <w:gridSpan w:val="6"/>
            <w:shd w:val="clear" w:color="auto" w:fill="auto"/>
          </w:tcPr>
          <w:p w14:paraId="25E1E602" w14:textId="77777777" w:rsidR="00506780" w:rsidRPr="00DE12A3" w:rsidRDefault="00506780" w:rsidP="00C917D6">
            <w:pPr>
              <w:pStyle w:val="Gvdemetni1"/>
              <w:shd w:val="clear" w:color="auto" w:fill="auto"/>
              <w:spacing w:before="120" w:after="120" w:line="240" w:lineRule="auto"/>
              <w:ind w:firstLine="0"/>
              <w:rPr>
                <w:color w:val="auto"/>
                <w:sz w:val="24"/>
                <w:szCs w:val="24"/>
              </w:rPr>
            </w:pPr>
            <w:r w:rsidRPr="00DE12A3">
              <w:rPr>
                <w:iCs/>
                <w:color w:val="auto"/>
                <w:sz w:val="24"/>
                <w:szCs w:val="24"/>
                <w:lang w:val="fr-FR"/>
              </w:rPr>
              <w:t>Tablo 6.8</w:t>
            </w:r>
          </w:p>
        </w:tc>
      </w:tr>
      <w:tr w:rsidR="00DE12A3" w:rsidRPr="00DE12A3" w14:paraId="165E1833" w14:textId="77777777" w:rsidTr="005978B8">
        <w:trPr>
          <w:trHeight w:hRule="exact" w:val="426"/>
        </w:trPr>
        <w:tc>
          <w:tcPr>
            <w:tcW w:w="9776" w:type="dxa"/>
            <w:gridSpan w:val="6"/>
            <w:shd w:val="clear" w:color="auto" w:fill="auto"/>
          </w:tcPr>
          <w:p w14:paraId="7C1B5508" w14:textId="77777777" w:rsidR="00506780" w:rsidRPr="00DE12A3" w:rsidRDefault="00506780" w:rsidP="00C917D6">
            <w:pPr>
              <w:pStyle w:val="Gvdemetni1"/>
              <w:shd w:val="clear" w:color="auto" w:fill="auto"/>
              <w:spacing w:before="120" w:after="120" w:line="240" w:lineRule="auto"/>
              <w:ind w:firstLine="0"/>
              <w:rPr>
                <w:b/>
                <w:iCs/>
                <w:color w:val="auto"/>
                <w:sz w:val="24"/>
                <w:szCs w:val="24"/>
                <w:lang w:val="fr-FR"/>
              </w:rPr>
            </w:pPr>
            <w:r w:rsidRPr="00DE12A3">
              <w:rPr>
                <w:b/>
                <w:iCs/>
                <w:color w:val="auto"/>
                <w:sz w:val="24"/>
                <w:szCs w:val="24"/>
                <w:lang w:val="fr-FR"/>
              </w:rPr>
              <w:t>Ölçüm cihazları için önerilen performans özellikleri</w:t>
            </w:r>
          </w:p>
          <w:p w14:paraId="3F9A1D2D" w14:textId="77777777" w:rsidR="00506780" w:rsidRPr="00DE12A3" w:rsidRDefault="00506780" w:rsidP="00C917D6">
            <w:pPr>
              <w:pStyle w:val="Gvdemetni1"/>
              <w:shd w:val="clear" w:color="auto" w:fill="auto"/>
              <w:spacing w:before="120" w:after="120" w:line="240" w:lineRule="auto"/>
              <w:ind w:firstLine="0"/>
              <w:rPr>
                <w:iCs/>
                <w:color w:val="auto"/>
                <w:sz w:val="24"/>
                <w:szCs w:val="24"/>
                <w:lang w:val="fr-FR"/>
              </w:rPr>
            </w:pPr>
          </w:p>
        </w:tc>
      </w:tr>
      <w:tr w:rsidR="00DE12A3" w:rsidRPr="00DE12A3" w14:paraId="548DA792" w14:textId="77777777" w:rsidTr="005978B8">
        <w:trPr>
          <w:trHeight w:hRule="exact" w:val="984"/>
        </w:trPr>
        <w:tc>
          <w:tcPr>
            <w:tcW w:w="2592" w:type="dxa"/>
            <w:shd w:val="clear" w:color="auto" w:fill="auto"/>
          </w:tcPr>
          <w:p w14:paraId="32D30FA1" w14:textId="77777777" w:rsidR="00506780" w:rsidRPr="00DE12A3" w:rsidRDefault="00506780" w:rsidP="00C917D6">
            <w:pPr>
              <w:pStyle w:val="NormalCentered"/>
            </w:pPr>
            <w:r w:rsidRPr="00DE12A3">
              <w:t>Ölçüm Cihazı</w:t>
            </w:r>
          </w:p>
        </w:tc>
        <w:tc>
          <w:tcPr>
            <w:tcW w:w="960" w:type="dxa"/>
            <w:shd w:val="clear" w:color="auto" w:fill="auto"/>
          </w:tcPr>
          <w:p w14:paraId="660B68AE" w14:textId="77777777" w:rsidR="00506780" w:rsidRPr="00DE12A3" w:rsidRDefault="00506780" w:rsidP="00C917D6">
            <w:pPr>
              <w:pStyle w:val="NormalCentered"/>
            </w:pPr>
            <w:r w:rsidRPr="00DE12A3">
              <w:t>Ölçülen miktar sembolü</w:t>
            </w:r>
          </w:p>
        </w:tc>
        <w:tc>
          <w:tcPr>
            <w:tcW w:w="1152" w:type="dxa"/>
            <w:shd w:val="clear" w:color="auto" w:fill="auto"/>
          </w:tcPr>
          <w:p w14:paraId="5EBBC934" w14:textId="77777777" w:rsidR="00506780" w:rsidRPr="00DE12A3" w:rsidRDefault="00506780" w:rsidP="00C917D6">
            <w:pPr>
              <w:pStyle w:val="NormalCentered"/>
            </w:pPr>
            <w:r w:rsidRPr="00DE12A3">
              <w:t>Komple Sistem Yükselme süresi</w:t>
            </w:r>
          </w:p>
        </w:tc>
        <w:tc>
          <w:tcPr>
            <w:tcW w:w="1344" w:type="dxa"/>
            <w:shd w:val="clear" w:color="auto" w:fill="auto"/>
          </w:tcPr>
          <w:p w14:paraId="6522C29B" w14:textId="77777777" w:rsidR="00506780" w:rsidRPr="00DE12A3" w:rsidRDefault="00506780" w:rsidP="00C917D6">
            <w:pPr>
              <w:pStyle w:val="NormalCentered"/>
            </w:pPr>
            <w:r w:rsidRPr="00DE12A3">
              <w:t>Kayıt güncelleme frekansı</w:t>
            </w:r>
          </w:p>
        </w:tc>
        <w:tc>
          <w:tcPr>
            <w:tcW w:w="1598" w:type="dxa"/>
            <w:shd w:val="clear" w:color="auto" w:fill="auto"/>
          </w:tcPr>
          <w:p w14:paraId="019091AC" w14:textId="77777777" w:rsidR="00506780" w:rsidRPr="00DE12A3" w:rsidRDefault="00506780" w:rsidP="00C917D6">
            <w:pPr>
              <w:pStyle w:val="NormalCentered"/>
            </w:pPr>
            <w:r w:rsidRPr="00DE12A3">
              <w:t xml:space="preserve">Doğruluk </w:t>
            </w:r>
            <w:r w:rsidRPr="00DE12A3">
              <w:rPr>
                <w:vertAlign w:val="superscript"/>
              </w:rPr>
              <w:t>(a)</w:t>
            </w:r>
          </w:p>
        </w:tc>
        <w:tc>
          <w:tcPr>
            <w:tcW w:w="2130" w:type="dxa"/>
            <w:shd w:val="clear" w:color="auto" w:fill="auto"/>
          </w:tcPr>
          <w:p w14:paraId="22313366" w14:textId="77777777" w:rsidR="00506780" w:rsidRPr="00DE12A3" w:rsidRDefault="00506780" w:rsidP="00C917D6">
            <w:pPr>
              <w:pStyle w:val="NormalCentered"/>
            </w:pPr>
            <w:r w:rsidRPr="00DE12A3">
              <w:t xml:space="preserve">Tekrarlanabilirlik </w:t>
            </w:r>
            <w:r w:rsidRPr="00DE12A3">
              <w:rPr>
                <w:vertAlign w:val="superscript"/>
              </w:rPr>
              <w:t>(a)</w:t>
            </w:r>
          </w:p>
        </w:tc>
      </w:tr>
      <w:tr w:rsidR="00DE12A3" w:rsidRPr="00DE12A3" w14:paraId="7ABE109B" w14:textId="77777777" w:rsidTr="0066751C">
        <w:trPr>
          <w:trHeight w:hRule="exact" w:val="865"/>
        </w:trPr>
        <w:tc>
          <w:tcPr>
            <w:tcW w:w="2592" w:type="dxa"/>
            <w:shd w:val="clear" w:color="auto" w:fill="auto"/>
          </w:tcPr>
          <w:p w14:paraId="5962775F" w14:textId="77777777" w:rsidR="00506780" w:rsidRPr="00DE12A3" w:rsidRDefault="00506780" w:rsidP="00C917D6">
            <w:pPr>
              <w:pStyle w:val="NormalLeft"/>
            </w:pPr>
            <w:r w:rsidRPr="00DE12A3">
              <w:t>Motor devri dönüştürücü</w:t>
            </w:r>
          </w:p>
        </w:tc>
        <w:tc>
          <w:tcPr>
            <w:tcW w:w="960" w:type="dxa"/>
            <w:shd w:val="clear" w:color="auto" w:fill="auto"/>
          </w:tcPr>
          <w:p w14:paraId="318A6C40" w14:textId="77777777" w:rsidR="00506780" w:rsidRPr="00DE12A3" w:rsidRDefault="00506780" w:rsidP="00C917D6">
            <w:pPr>
              <w:pStyle w:val="NormalLeft"/>
            </w:pPr>
            <w:r w:rsidRPr="00DE12A3">
              <w:t>n</w:t>
            </w:r>
          </w:p>
        </w:tc>
        <w:tc>
          <w:tcPr>
            <w:tcW w:w="1152" w:type="dxa"/>
            <w:shd w:val="clear" w:color="auto" w:fill="auto"/>
          </w:tcPr>
          <w:p w14:paraId="2667ACF1" w14:textId="77777777" w:rsidR="00506780" w:rsidRPr="00DE12A3" w:rsidRDefault="00506780" w:rsidP="00C917D6">
            <w:pPr>
              <w:pStyle w:val="NormalLeft"/>
            </w:pPr>
            <w:r w:rsidRPr="00DE12A3">
              <w:t>1 s</w:t>
            </w:r>
          </w:p>
        </w:tc>
        <w:tc>
          <w:tcPr>
            <w:tcW w:w="1344" w:type="dxa"/>
            <w:shd w:val="clear" w:color="auto" w:fill="auto"/>
          </w:tcPr>
          <w:p w14:paraId="72625D49" w14:textId="77777777" w:rsidR="00506780" w:rsidRPr="00DE12A3" w:rsidRDefault="00506780" w:rsidP="00C917D6">
            <w:pPr>
              <w:pStyle w:val="NormalLeft"/>
            </w:pPr>
            <w:r w:rsidRPr="00DE12A3">
              <w:t>1 Hz ortalamalar</w:t>
            </w:r>
          </w:p>
        </w:tc>
        <w:tc>
          <w:tcPr>
            <w:tcW w:w="1598" w:type="dxa"/>
            <w:shd w:val="clear" w:color="auto" w:fill="auto"/>
          </w:tcPr>
          <w:p w14:paraId="42A19B27" w14:textId="77777777" w:rsidR="00506780" w:rsidRPr="00DE12A3" w:rsidRDefault="00506780" w:rsidP="00C917D6">
            <w:pPr>
              <w:pStyle w:val="NormalLeft"/>
            </w:pPr>
            <w:r w:rsidRPr="00DE12A3">
              <w:t>% 2,0 pt. veya % 0,5 maks.</w:t>
            </w:r>
          </w:p>
        </w:tc>
        <w:tc>
          <w:tcPr>
            <w:tcW w:w="2130" w:type="dxa"/>
            <w:shd w:val="clear" w:color="auto" w:fill="auto"/>
          </w:tcPr>
          <w:p w14:paraId="4CC9F4B8" w14:textId="77777777" w:rsidR="00506780" w:rsidRPr="00DE12A3" w:rsidRDefault="00506780" w:rsidP="00C917D6">
            <w:pPr>
              <w:pStyle w:val="NormalLeft"/>
            </w:pPr>
            <w:r w:rsidRPr="00DE12A3">
              <w:t>% 1,0 pt. veya % 0,25 maks.</w:t>
            </w:r>
          </w:p>
        </w:tc>
      </w:tr>
      <w:tr w:rsidR="00DE12A3" w:rsidRPr="00DE12A3" w14:paraId="5E35C4D7" w14:textId="77777777" w:rsidTr="005978B8">
        <w:trPr>
          <w:trHeight w:hRule="exact" w:val="1104"/>
        </w:trPr>
        <w:tc>
          <w:tcPr>
            <w:tcW w:w="2592" w:type="dxa"/>
            <w:shd w:val="clear" w:color="auto" w:fill="auto"/>
          </w:tcPr>
          <w:p w14:paraId="688FFB60" w14:textId="77777777" w:rsidR="00506780" w:rsidRPr="00DE12A3" w:rsidRDefault="00506780" w:rsidP="00C917D6">
            <w:pPr>
              <w:pStyle w:val="NormalLeft"/>
            </w:pPr>
            <w:r w:rsidRPr="00DE12A3">
              <w:t>Motor torku dönüştürücü</w:t>
            </w:r>
          </w:p>
        </w:tc>
        <w:tc>
          <w:tcPr>
            <w:tcW w:w="960" w:type="dxa"/>
            <w:shd w:val="clear" w:color="auto" w:fill="auto"/>
          </w:tcPr>
          <w:p w14:paraId="76AB6F75" w14:textId="77777777" w:rsidR="00506780" w:rsidRPr="00DE12A3" w:rsidRDefault="00506780" w:rsidP="00C917D6">
            <w:pPr>
              <w:pStyle w:val="NormalLeft"/>
            </w:pPr>
            <w:r w:rsidRPr="00DE12A3">
              <w:t>T</w:t>
            </w:r>
          </w:p>
        </w:tc>
        <w:tc>
          <w:tcPr>
            <w:tcW w:w="1152" w:type="dxa"/>
            <w:shd w:val="clear" w:color="auto" w:fill="auto"/>
          </w:tcPr>
          <w:p w14:paraId="29DFD6B0" w14:textId="77777777" w:rsidR="00506780" w:rsidRPr="00DE12A3" w:rsidRDefault="00506780" w:rsidP="00C917D6">
            <w:pPr>
              <w:pStyle w:val="NormalLeft"/>
            </w:pPr>
            <w:r w:rsidRPr="00DE12A3">
              <w:t>1 s</w:t>
            </w:r>
          </w:p>
        </w:tc>
        <w:tc>
          <w:tcPr>
            <w:tcW w:w="1344" w:type="dxa"/>
            <w:shd w:val="clear" w:color="auto" w:fill="auto"/>
          </w:tcPr>
          <w:p w14:paraId="0B3BE918" w14:textId="77777777" w:rsidR="00506780" w:rsidRPr="00DE12A3" w:rsidRDefault="00506780" w:rsidP="00C917D6">
            <w:pPr>
              <w:pStyle w:val="NormalLeft"/>
            </w:pPr>
            <w:r w:rsidRPr="00DE12A3">
              <w:t>1 Hz ortalamalar</w:t>
            </w:r>
          </w:p>
        </w:tc>
        <w:tc>
          <w:tcPr>
            <w:tcW w:w="1598" w:type="dxa"/>
            <w:shd w:val="clear" w:color="auto" w:fill="auto"/>
          </w:tcPr>
          <w:p w14:paraId="1469F851" w14:textId="77777777" w:rsidR="00506780" w:rsidRPr="00DE12A3" w:rsidRDefault="00506780" w:rsidP="00C917D6">
            <w:pPr>
              <w:pStyle w:val="NormalLeft"/>
            </w:pPr>
            <w:r w:rsidRPr="00DE12A3">
              <w:t>% 2,0 pt. veya % 1,0 maks.</w:t>
            </w:r>
          </w:p>
          <w:p w14:paraId="4067F08D" w14:textId="77777777" w:rsidR="00506780" w:rsidRPr="00DE12A3" w:rsidRDefault="00506780" w:rsidP="00C917D6">
            <w:pPr>
              <w:pStyle w:val="NormalLeft"/>
            </w:pPr>
          </w:p>
        </w:tc>
        <w:tc>
          <w:tcPr>
            <w:tcW w:w="2130" w:type="dxa"/>
            <w:shd w:val="clear" w:color="auto" w:fill="auto"/>
          </w:tcPr>
          <w:p w14:paraId="6E8422BE" w14:textId="77777777" w:rsidR="00506780" w:rsidRPr="00DE12A3" w:rsidRDefault="00506780" w:rsidP="00C917D6">
            <w:pPr>
              <w:pStyle w:val="NormalLeft"/>
            </w:pPr>
            <w:r w:rsidRPr="00DE12A3">
              <w:t>% 1,0 pt. veya % 0,5 maks.</w:t>
            </w:r>
          </w:p>
        </w:tc>
      </w:tr>
      <w:tr w:rsidR="00DE12A3" w:rsidRPr="00DE12A3" w14:paraId="48E79E8B" w14:textId="77777777" w:rsidTr="0066751C">
        <w:trPr>
          <w:trHeight w:hRule="exact" w:val="879"/>
        </w:trPr>
        <w:tc>
          <w:tcPr>
            <w:tcW w:w="2592" w:type="dxa"/>
            <w:shd w:val="clear" w:color="auto" w:fill="auto"/>
          </w:tcPr>
          <w:p w14:paraId="4FCD42A6" w14:textId="77777777" w:rsidR="00506780" w:rsidRPr="00DE12A3" w:rsidRDefault="00506780" w:rsidP="00C917D6">
            <w:pPr>
              <w:pStyle w:val="NormalLeft"/>
            </w:pPr>
            <w:r w:rsidRPr="00DE12A3">
              <w:t>Yakıt sayacı (Yakıt toplayıcı)</w:t>
            </w:r>
          </w:p>
        </w:tc>
        <w:tc>
          <w:tcPr>
            <w:tcW w:w="960" w:type="dxa"/>
            <w:shd w:val="clear" w:color="auto" w:fill="auto"/>
          </w:tcPr>
          <w:p w14:paraId="1082AC48" w14:textId="77777777" w:rsidR="00506780" w:rsidRPr="00DE12A3" w:rsidRDefault="00506780" w:rsidP="00C917D6">
            <w:pPr>
              <w:pStyle w:val="NormalLeft"/>
            </w:pPr>
          </w:p>
        </w:tc>
        <w:tc>
          <w:tcPr>
            <w:tcW w:w="1152" w:type="dxa"/>
            <w:shd w:val="clear" w:color="auto" w:fill="auto"/>
          </w:tcPr>
          <w:p w14:paraId="0017EEB2" w14:textId="77777777" w:rsidR="00506780" w:rsidRPr="00DE12A3" w:rsidRDefault="00506780" w:rsidP="00C917D6">
            <w:pPr>
              <w:pStyle w:val="NormalLeft"/>
            </w:pPr>
            <w:r w:rsidRPr="00DE12A3">
              <w:t>5 s (Yok)</w:t>
            </w:r>
          </w:p>
        </w:tc>
        <w:tc>
          <w:tcPr>
            <w:tcW w:w="1344" w:type="dxa"/>
            <w:shd w:val="clear" w:color="auto" w:fill="auto"/>
          </w:tcPr>
          <w:p w14:paraId="312CE068" w14:textId="77777777" w:rsidR="00506780" w:rsidRPr="00DE12A3" w:rsidRDefault="00506780" w:rsidP="00C917D6">
            <w:pPr>
              <w:pStyle w:val="NormalLeft"/>
            </w:pPr>
            <w:r w:rsidRPr="00DE12A3">
              <w:t>1 Hz (Yok)</w:t>
            </w:r>
          </w:p>
        </w:tc>
        <w:tc>
          <w:tcPr>
            <w:tcW w:w="1598" w:type="dxa"/>
            <w:shd w:val="clear" w:color="auto" w:fill="auto"/>
          </w:tcPr>
          <w:p w14:paraId="21A9C309" w14:textId="77777777" w:rsidR="00506780" w:rsidRPr="00DE12A3" w:rsidRDefault="00506780" w:rsidP="00C917D6">
            <w:pPr>
              <w:pStyle w:val="NormalLeft"/>
            </w:pPr>
            <w:r w:rsidRPr="00DE12A3">
              <w:t>% 2,0 pt. veya % 1,5 maks.</w:t>
            </w:r>
          </w:p>
        </w:tc>
        <w:tc>
          <w:tcPr>
            <w:tcW w:w="2130" w:type="dxa"/>
            <w:shd w:val="clear" w:color="auto" w:fill="auto"/>
          </w:tcPr>
          <w:p w14:paraId="08ABFBCD" w14:textId="77777777" w:rsidR="00506780" w:rsidRPr="00DE12A3" w:rsidRDefault="00506780" w:rsidP="00C917D6">
            <w:pPr>
              <w:pStyle w:val="NormalLeft"/>
            </w:pPr>
            <w:r w:rsidRPr="00DE12A3">
              <w:t>% 1,0 pt. veya % 0,75 maks.</w:t>
            </w:r>
          </w:p>
        </w:tc>
      </w:tr>
      <w:tr w:rsidR="00DE12A3" w:rsidRPr="00DE12A3" w14:paraId="55BE3015" w14:textId="77777777" w:rsidTr="0066751C">
        <w:trPr>
          <w:trHeight w:hRule="exact" w:val="1416"/>
        </w:trPr>
        <w:tc>
          <w:tcPr>
            <w:tcW w:w="2592" w:type="dxa"/>
            <w:shd w:val="clear" w:color="auto" w:fill="auto"/>
          </w:tcPr>
          <w:p w14:paraId="78BA27BD" w14:textId="77777777" w:rsidR="00506780" w:rsidRPr="00DE12A3" w:rsidRDefault="00506780" w:rsidP="00C917D6">
            <w:pPr>
              <w:pStyle w:val="NormalLeft"/>
            </w:pPr>
            <w:r w:rsidRPr="00DE12A3">
              <w:t>Toplam seyreltilmiş egzoz gazı sayacı (CVS)</w:t>
            </w:r>
          </w:p>
          <w:p w14:paraId="1893776C" w14:textId="77777777" w:rsidR="00506780" w:rsidRPr="00DE12A3" w:rsidRDefault="00506780" w:rsidP="00C917D6">
            <w:pPr>
              <w:pStyle w:val="NormalLeft"/>
            </w:pPr>
            <w:r w:rsidRPr="00DE12A3">
              <w:t>(Sayaç öncesinde ısı eşanjörlü)</w:t>
            </w:r>
          </w:p>
        </w:tc>
        <w:tc>
          <w:tcPr>
            <w:tcW w:w="960" w:type="dxa"/>
            <w:shd w:val="clear" w:color="auto" w:fill="auto"/>
          </w:tcPr>
          <w:p w14:paraId="6C592427" w14:textId="77777777" w:rsidR="00506780" w:rsidRPr="00DE12A3" w:rsidRDefault="00506780" w:rsidP="00C917D6">
            <w:pPr>
              <w:pStyle w:val="NormalLeft"/>
            </w:pPr>
          </w:p>
        </w:tc>
        <w:tc>
          <w:tcPr>
            <w:tcW w:w="1152" w:type="dxa"/>
            <w:shd w:val="clear" w:color="auto" w:fill="auto"/>
          </w:tcPr>
          <w:p w14:paraId="32CCD5AB" w14:textId="77777777" w:rsidR="00506780" w:rsidRPr="00DE12A3" w:rsidRDefault="00506780" w:rsidP="00C917D6">
            <w:pPr>
              <w:pStyle w:val="NormalLeft"/>
            </w:pPr>
            <w:r w:rsidRPr="00DE12A3">
              <w:t>1 s</w:t>
            </w:r>
          </w:p>
          <w:p w14:paraId="772DD15E" w14:textId="77777777" w:rsidR="00506780" w:rsidRPr="00DE12A3" w:rsidRDefault="00506780" w:rsidP="00C917D6">
            <w:pPr>
              <w:pStyle w:val="NormalLeft"/>
            </w:pPr>
            <w:r w:rsidRPr="00DE12A3">
              <w:t>(5 s)</w:t>
            </w:r>
          </w:p>
        </w:tc>
        <w:tc>
          <w:tcPr>
            <w:tcW w:w="1344" w:type="dxa"/>
            <w:shd w:val="clear" w:color="auto" w:fill="auto"/>
          </w:tcPr>
          <w:p w14:paraId="33C5F198" w14:textId="77777777" w:rsidR="00506780" w:rsidRPr="00DE12A3" w:rsidRDefault="00506780" w:rsidP="00C917D6">
            <w:pPr>
              <w:pStyle w:val="NormalLeft"/>
            </w:pPr>
            <w:r w:rsidRPr="00DE12A3">
              <w:t>1 Hz ortalamalar (1 Hz)</w:t>
            </w:r>
          </w:p>
        </w:tc>
        <w:tc>
          <w:tcPr>
            <w:tcW w:w="1598" w:type="dxa"/>
            <w:shd w:val="clear" w:color="auto" w:fill="auto"/>
          </w:tcPr>
          <w:p w14:paraId="4BD2242B" w14:textId="77777777" w:rsidR="00506780" w:rsidRPr="00DE12A3" w:rsidRDefault="00506780" w:rsidP="00C917D6">
            <w:pPr>
              <w:pStyle w:val="NormalLeft"/>
            </w:pPr>
            <w:r w:rsidRPr="00DE12A3">
              <w:t>% 2,0 pt. veya % 1,5 maks.</w:t>
            </w:r>
          </w:p>
        </w:tc>
        <w:tc>
          <w:tcPr>
            <w:tcW w:w="2130" w:type="dxa"/>
            <w:shd w:val="clear" w:color="auto" w:fill="auto"/>
          </w:tcPr>
          <w:p w14:paraId="57C25831" w14:textId="77777777" w:rsidR="00506780" w:rsidRPr="00DE12A3" w:rsidRDefault="00506780" w:rsidP="00C917D6">
            <w:pPr>
              <w:pStyle w:val="NormalLeft"/>
            </w:pPr>
            <w:r w:rsidRPr="00DE12A3">
              <w:t>% 1,0 pt. veya % 0,75 maks.</w:t>
            </w:r>
          </w:p>
        </w:tc>
      </w:tr>
      <w:tr w:rsidR="00DE12A3" w:rsidRPr="00DE12A3" w14:paraId="1B64CA16" w14:textId="77777777" w:rsidTr="0066751C">
        <w:trPr>
          <w:trHeight w:hRule="exact" w:val="1280"/>
        </w:trPr>
        <w:tc>
          <w:tcPr>
            <w:tcW w:w="2592" w:type="dxa"/>
            <w:shd w:val="clear" w:color="auto" w:fill="auto"/>
          </w:tcPr>
          <w:p w14:paraId="7C477F20" w14:textId="77777777" w:rsidR="00506780" w:rsidRPr="00DE12A3" w:rsidRDefault="00506780" w:rsidP="00C917D6">
            <w:pPr>
              <w:pStyle w:val="NormalLeft"/>
            </w:pPr>
            <w:r w:rsidRPr="00DE12A3">
              <w:t>Seyreltme havası, emme havası, egzoz gazı ve numune sayaçları</w:t>
            </w:r>
          </w:p>
        </w:tc>
        <w:tc>
          <w:tcPr>
            <w:tcW w:w="960" w:type="dxa"/>
            <w:shd w:val="clear" w:color="auto" w:fill="auto"/>
          </w:tcPr>
          <w:p w14:paraId="5DE4E53C" w14:textId="77777777" w:rsidR="00506780" w:rsidRPr="00DE12A3" w:rsidRDefault="00506780" w:rsidP="00C917D6">
            <w:pPr>
              <w:pStyle w:val="NormalLeft"/>
            </w:pPr>
          </w:p>
        </w:tc>
        <w:tc>
          <w:tcPr>
            <w:tcW w:w="1152" w:type="dxa"/>
            <w:shd w:val="clear" w:color="auto" w:fill="auto"/>
          </w:tcPr>
          <w:p w14:paraId="313B1D51" w14:textId="77777777" w:rsidR="00506780" w:rsidRPr="00DE12A3" w:rsidRDefault="00506780" w:rsidP="00C917D6">
            <w:pPr>
              <w:pStyle w:val="NormalLeft"/>
            </w:pPr>
            <w:r w:rsidRPr="00DE12A3">
              <w:t>1 s</w:t>
            </w:r>
          </w:p>
        </w:tc>
        <w:tc>
          <w:tcPr>
            <w:tcW w:w="1344" w:type="dxa"/>
            <w:shd w:val="clear" w:color="auto" w:fill="auto"/>
          </w:tcPr>
          <w:p w14:paraId="43E08331" w14:textId="77777777" w:rsidR="00506780" w:rsidRPr="00DE12A3" w:rsidRDefault="00506780" w:rsidP="00C917D6">
            <w:pPr>
              <w:pStyle w:val="NormalLeft"/>
            </w:pPr>
            <w:r w:rsidRPr="00DE12A3">
              <w:t>5 Hz numunelerin 1 Hz ortalamaları</w:t>
            </w:r>
          </w:p>
        </w:tc>
        <w:tc>
          <w:tcPr>
            <w:tcW w:w="1598" w:type="dxa"/>
            <w:shd w:val="clear" w:color="auto" w:fill="auto"/>
          </w:tcPr>
          <w:p w14:paraId="1715D5AE" w14:textId="77777777" w:rsidR="00506780" w:rsidRPr="00DE12A3" w:rsidRDefault="00506780" w:rsidP="00C917D6">
            <w:pPr>
              <w:pStyle w:val="NormalLeft"/>
            </w:pPr>
            <w:r w:rsidRPr="00DE12A3">
              <w:t>% 2,5 pt. veya % 1,5 maks.</w:t>
            </w:r>
          </w:p>
          <w:p w14:paraId="3BB336BF" w14:textId="77777777" w:rsidR="00506780" w:rsidRPr="00DE12A3" w:rsidRDefault="00506780" w:rsidP="00C917D6">
            <w:pPr>
              <w:pStyle w:val="NormalLeft"/>
            </w:pPr>
          </w:p>
        </w:tc>
        <w:tc>
          <w:tcPr>
            <w:tcW w:w="2130" w:type="dxa"/>
            <w:shd w:val="clear" w:color="auto" w:fill="auto"/>
          </w:tcPr>
          <w:p w14:paraId="6548229D" w14:textId="77777777" w:rsidR="00506780" w:rsidRPr="00DE12A3" w:rsidRDefault="00506780" w:rsidP="00C917D6">
            <w:pPr>
              <w:pStyle w:val="NormalLeft"/>
            </w:pPr>
            <w:r w:rsidRPr="00DE12A3">
              <w:t>% 1,25 pt. veya % 0,75 maks.</w:t>
            </w:r>
          </w:p>
        </w:tc>
      </w:tr>
      <w:tr w:rsidR="00DE12A3" w:rsidRPr="00DE12A3" w14:paraId="07991161" w14:textId="77777777" w:rsidTr="0066751C">
        <w:trPr>
          <w:trHeight w:hRule="exact" w:val="2389"/>
        </w:trPr>
        <w:tc>
          <w:tcPr>
            <w:tcW w:w="2592" w:type="dxa"/>
            <w:shd w:val="clear" w:color="auto" w:fill="auto"/>
          </w:tcPr>
          <w:p w14:paraId="1C91CB3F" w14:textId="77777777" w:rsidR="00506780" w:rsidRPr="00DE12A3" w:rsidRDefault="00506780" w:rsidP="00C917D6">
            <w:pPr>
              <w:pStyle w:val="NormalLeft"/>
            </w:pPr>
            <w:r w:rsidRPr="00DE12A3">
              <w:t>Sürekli gaz analiz cihazı ham</w:t>
            </w:r>
          </w:p>
          <w:p w14:paraId="04A97ACC" w14:textId="72D2D066" w:rsidR="002D30FB" w:rsidRPr="00DE12A3" w:rsidRDefault="002D30FB" w:rsidP="00C917D6">
            <w:pPr>
              <w:pStyle w:val="NormalLeft"/>
            </w:pPr>
          </w:p>
        </w:tc>
        <w:tc>
          <w:tcPr>
            <w:tcW w:w="960" w:type="dxa"/>
            <w:shd w:val="clear" w:color="auto" w:fill="auto"/>
          </w:tcPr>
          <w:p w14:paraId="74D89E8D" w14:textId="77777777" w:rsidR="00506780" w:rsidRPr="00DE12A3" w:rsidRDefault="00506780" w:rsidP="00C917D6">
            <w:pPr>
              <w:pStyle w:val="NormalLeft"/>
            </w:pPr>
            <w:r w:rsidRPr="00DE12A3">
              <w:t>x</w:t>
            </w:r>
          </w:p>
        </w:tc>
        <w:tc>
          <w:tcPr>
            <w:tcW w:w="1152" w:type="dxa"/>
            <w:shd w:val="clear" w:color="auto" w:fill="auto"/>
          </w:tcPr>
          <w:p w14:paraId="35477B23" w14:textId="77777777" w:rsidR="00506780" w:rsidRPr="00DE12A3" w:rsidRDefault="00506780" w:rsidP="00C917D6">
            <w:pPr>
              <w:pStyle w:val="NormalLeft"/>
            </w:pPr>
            <w:r w:rsidRPr="00DE12A3">
              <w:t>5 s</w:t>
            </w:r>
          </w:p>
        </w:tc>
        <w:tc>
          <w:tcPr>
            <w:tcW w:w="1344" w:type="dxa"/>
            <w:shd w:val="clear" w:color="auto" w:fill="auto"/>
          </w:tcPr>
          <w:p w14:paraId="124BC78F" w14:textId="77777777" w:rsidR="00506780" w:rsidRPr="00DE12A3" w:rsidRDefault="00506780" w:rsidP="00C917D6">
            <w:pPr>
              <w:pStyle w:val="NormalLeft"/>
            </w:pPr>
            <w:r w:rsidRPr="00DE12A3">
              <w:t>2 Hz</w:t>
            </w:r>
          </w:p>
        </w:tc>
        <w:tc>
          <w:tcPr>
            <w:tcW w:w="1598" w:type="dxa"/>
            <w:shd w:val="clear" w:color="auto" w:fill="auto"/>
          </w:tcPr>
          <w:p w14:paraId="00336443" w14:textId="77777777" w:rsidR="00506780" w:rsidRPr="00DE12A3" w:rsidRDefault="00506780" w:rsidP="00C917D6">
            <w:pPr>
              <w:pStyle w:val="NormalLeft"/>
            </w:pPr>
            <w:r w:rsidRPr="00DE12A3">
              <w:t>% 2,0 pt. veya % 2.0 meas.</w:t>
            </w:r>
          </w:p>
        </w:tc>
        <w:tc>
          <w:tcPr>
            <w:tcW w:w="2130" w:type="dxa"/>
            <w:shd w:val="clear" w:color="auto" w:fill="auto"/>
          </w:tcPr>
          <w:p w14:paraId="4AA0063A" w14:textId="7F980A02" w:rsidR="00506780" w:rsidRPr="00DE12A3" w:rsidRDefault="00506780" w:rsidP="00C917D6">
            <w:pPr>
              <w:pStyle w:val="NormalLeft"/>
            </w:pPr>
            <w:r w:rsidRPr="00DE12A3">
              <w:t>% 1,0 pt. veya % 1.0 meas.</w:t>
            </w:r>
          </w:p>
          <w:p w14:paraId="06C4FD05" w14:textId="77777777" w:rsidR="002D30FB" w:rsidRPr="00DE12A3" w:rsidRDefault="002D30FB" w:rsidP="00C917D6">
            <w:pPr>
              <w:pStyle w:val="NormalLeft"/>
            </w:pPr>
          </w:p>
          <w:p w14:paraId="4E9A115E" w14:textId="60E84B5D" w:rsidR="002D30FB" w:rsidRPr="00DE12A3" w:rsidRDefault="002D30FB" w:rsidP="00C917D6">
            <w:pPr>
              <w:pStyle w:val="NormalLeft"/>
            </w:pPr>
          </w:p>
        </w:tc>
      </w:tr>
      <w:tr w:rsidR="00DE12A3" w:rsidRPr="00DE12A3" w14:paraId="1A040BE3" w14:textId="77777777" w:rsidTr="0066751C">
        <w:trPr>
          <w:trHeight w:hRule="exact" w:val="1428"/>
        </w:trPr>
        <w:tc>
          <w:tcPr>
            <w:tcW w:w="2592" w:type="dxa"/>
            <w:shd w:val="clear" w:color="auto" w:fill="auto"/>
          </w:tcPr>
          <w:p w14:paraId="163C6A04" w14:textId="6B8D1329" w:rsidR="005978B8" w:rsidRPr="00DE12A3" w:rsidRDefault="005978B8" w:rsidP="00C917D6">
            <w:pPr>
              <w:pStyle w:val="NormalCentered"/>
            </w:pPr>
            <w:r w:rsidRPr="00DE12A3">
              <w:lastRenderedPageBreak/>
              <w:t>Ölçüm Cihazı</w:t>
            </w:r>
          </w:p>
        </w:tc>
        <w:tc>
          <w:tcPr>
            <w:tcW w:w="960" w:type="dxa"/>
            <w:shd w:val="clear" w:color="auto" w:fill="auto"/>
          </w:tcPr>
          <w:p w14:paraId="26BBE2A3" w14:textId="77777777" w:rsidR="005978B8" w:rsidRPr="00DE12A3" w:rsidRDefault="005978B8" w:rsidP="00C917D6">
            <w:pPr>
              <w:pStyle w:val="NormalCentered"/>
            </w:pPr>
            <w:r w:rsidRPr="00DE12A3">
              <w:t>Ölçülen miktar sembolü</w:t>
            </w:r>
          </w:p>
        </w:tc>
        <w:tc>
          <w:tcPr>
            <w:tcW w:w="1152" w:type="dxa"/>
            <w:shd w:val="clear" w:color="auto" w:fill="auto"/>
          </w:tcPr>
          <w:p w14:paraId="3AB98EBA" w14:textId="77777777" w:rsidR="002D30FB" w:rsidRPr="00DE12A3" w:rsidRDefault="005978B8" w:rsidP="00C917D6">
            <w:pPr>
              <w:pStyle w:val="NormalCentered"/>
            </w:pPr>
            <w:r w:rsidRPr="00DE12A3">
              <w:t>Komple Sistem Yükselme</w:t>
            </w:r>
          </w:p>
          <w:p w14:paraId="10F25020" w14:textId="7063AB8F" w:rsidR="005978B8" w:rsidRPr="00DE12A3" w:rsidRDefault="005978B8" w:rsidP="00C917D6">
            <w:pPr>
              <w:pStyle w:val="NormalCentered"/>
            </w:pPr>
            <w:r w:rsidRPr="00DE12A3">
              <w:t xml:space="preserve"> süresi</w:t>
            </w:r>
          </w:p>
        </w:tc>
        <w:tc>
          <w:tcPr>
            <w:tcW w:w="1344" w:type="dxa"/>
            <w:shd w:val="clear" w:color="auto" w:fill="auto"/>
          </w:tcPr>
          <w:p w14:paraId="3A0F9EE9" w14:textId="77777777" w:rsidR="005978B8" w:rsidRPr="00DE12A3" w:rsidRDefault="005978B8" w:rsidP="00C917D6">
            <w:pPr>
              <w:pStyle w:val="NormalCentered"/>
            </w:pPr>
            <w:r w:rsidRPr="00DE12A3">
              <w:t>Kayıt güncelleme frekansı</w:t>
            </w:r>
          </w:p>
          <w:p w14:paraId="3AF884FC" w14:textId="5A3EE622" w:rsidR="002D30FB" w:rsidRPr="00DE12A3" w:rsidRDefault="002D30FB" w:rsidP="00C917D6">
            <w:pPr>
              <w:pStyle w:val="NormalCentered"/>
            </w:pPr>
          </w:p>
        </w:tc>
        <w:tc>
          <w:tcPr>
            <w:tcW w:w="1598" w:type="dxa"/>
            <w:shd w:val="clear" w:color="auto" w:fill="auto"/>
          </w:tcPr>
          <w:p w14:paraId="6B129B93" w14:textId="77777777" w:rsidR="005978B8" w:rsidRPr="00DE12A3" w:rsidRDefault="005978B8" w:rsidP="00C917D6">
            <w:pPr>
              <w:pStyle w:val="NormalCentered"/>
            </w:pPr>
            <w:r w:rsidRPr="00DE12A3">
              <w:t xml:space="preserve">Doğruluk </w:t>
            </w:r>
            <w:r w:rsidRPr="00DE12A3">
              <w:rPr>
                <w:vertAlign w:val="superscript"/>
              </w:rPr>
              <w:t>(a)</w:t>
            </w:r>
          </w:p>
        </w:tc>
        <w:tc>
          <w:tcPr>
            <w:tcW w:w="2130" w:type="dxa"/>
            <w:shd w:val="clear" w:color="auto" w:fill="auto"/>
          </w:tcPr>
          <w:p w14:paraId="43E7430C" w14:textId="77777777" w:rsidR="005978B8" w:rsidRPr="00DE12A3" w:rsidRDefault="005978B8" w:rsidP="00C917D6">
            <w:pPr>
              <w:pStyle w:val="NormalCentered"/>
            </w:pPr>
            <w:r w:rsidRPr="00DE12A3">
              <w:t xml:space="preserve">Tekrarlanabilirlik </w:t>
            </w:r>
            <w:r w:rsidRPr="00DE12A3">
              <w:rPr>
                <w:vertAlign w:val="superscript"/>
              </w:rPr>
              <w:t>(a)</w:t>
            </w:r>
          </w:p>
        </w:tc>
      </w:tr>
      <w:tr w:rsidR="00DE12A3" w:rsidRPr="00DE12A3" w14:paraId="73E71484" w14:textId="77777777" w:rsidTr="005978B8">
        <w:trPr>
          <w:trHeight w:hRule="exact" w:val="1104"/>
        </w:trPr>
        <w:tc>
          <w:tcPr>
            <w:tcW w:w="2592" w:type="dxa"/>
            <w:shd w:val="clear" w:color="auto" w:fill="auto"/>
          </w:tcPr>
          <w:p w14:paraId="2848C5DA" w14:textId="77777777" w:rsidR="00506780" w:rsidRPr="00DE12A3" w:rsidRDefault="00506780" w:rsidP="00C917D6">
            <w:pPr>
              <w:pStyle w:val="NormalLeft"/>
            </w:pPr>
            <w:r w:rsidRPr="00DE12A3">
              <w:t>Sürekli gaz analiz cihazı seyreltik</w:t>
            </w:r>
          </w:p>
        </w:tc>
        <w:tc>
          <w:tcPr>
            <w:tcW w:w="960" w:type="dxa"/>
            <w:shd w:val="clear" w:color="auto" w:fill="auto"/>
          </w:tcPr>
          <w:p w14:paraId="0ADB137E" w14:textId="77777777" w:rsidR="00506780" w:rsidRPr="00DE12A3" w:rsidRDefault="00506780" w:rsidP="00C917D6">
            <w:pPr>
              <w:pStyle w:val="NormalLeft"/>
            </w:pPr>
            <w:r w:rsidRPr="00DE12A3">
              <w:t>x</w:t>
            </w:r>
          </w:p>
        </w:tc>
        <w:tc>
          <w:tcPr>
            <w:tcW w:w="1152" w:type="dxa"/>
            <w:shd w:val="clear" w:color="auto" w:fill="auto"/>
          </w:tcPr>
          <w:p w14:paraId="11876D57" w14:textId="77777777" w:rsidR="00506780" w:rsidRPr="00DE12A3" w:rsidRDefault="00506780" w:rsidP="00C917D6">
            <w:pPr>
              <w:pStyle w:val="NormalLeft"/>
            </w:pPr>
            <w:r w:rsidRPr="00DE12A3">
              <w:t>5 s</w:t>
            </w:r>
          </w:p>
        </w:tc>
        <w:tc>
          <w:tcPr>
            <w:tcW w:w="1344" w:type="dxa"/>
            <w:shd w:val="clear" w:color="auto" w:fill="auto"/>
          </w:tcPr>
          <w:p w14:paraId="137A6EA9" w14:textId="77777777" w:rsidR="00506780" w:rsidRPr="00DE12A3" w:rsidRDefault="00506780" w:rsidP="00C917D6">
            <w:pPr>
              <w:pStyle w:val="NormalLeft"/>
            </w:pPr>
            <w:r w:rsidRPr="00DE12A3">
              <w:t>1 Hz</w:t>
            </w:r>
          </w:p>
        </w:tc>
        <w:tc>
          <w:tcPr>
            <w:tcW w:w="1598" w:type="dxa"/>
            <w:shd w:val="clear" w:color="auto" w:fill="auto"/>
          </w:tcPr>
          <w:p w14:paraId="5AF40AE1" w14:textId="77777777" w:rsidR="00506780" w:rsidRPr="00DE12A3" w:rsidRDefault="00506780" w:rsidP="00C917D6">
            <w:pPr>
              <w:pStyle w:val="NormalLeft"/>
            </w:pPr>
            <w:r w:rsidRPr="00DE12A3">
              <w:t>% 2,0 pt. veya % 2.0 meas.</w:t>
            </w:r>
          </w:p>
        </w:tc>
        <w:tc>
          <w:tcPr>
            <w:tcW w:w="2130" w:type="dxa"/>
            <w:shd w:val="clear" w:color="auto" w:fill="auto"/>
          </w:tcPr>
          <w:p w14:paraId="5F52507F" w14:textId="77777777" w:rsidR="00506780" w:rsidRPr="00DE12A3" w:rsidRDefault="00506780" w:rsidP="00C917D6">
            <w:pPr>
              <w:pStyle w:val="NormalLeft"/>
            </w:pPr>
            <w:r w:rsidRPr="00DE12A3">
              <w:t>% 1,0 pt. veya % 1.0 meas.</w:t>
            </w:r>
          </w:p>
        </w:tc>
      </w:tr>
      <w:tr w:rsidR="00DE12A3" w:rsidRPr="00DE12A3" w14:paraId="0FB303A0" w14:textId="77777777" w:rsidTr="005978B8">
        <w:trPr>
          <w:trHeight w:hRule="exact" w:val="1104"/>
        </w:trPr>
        <w:tc>
          <w:tcPr>
            <w:tcW w:w="2592" w:type="dxa"/>
            <w:shd w:val="clear" w:color="auto" w:fill="auto"/>
          </w:tcPr>
          <w:p w14:paraId="030AF9E1" w14:textId="77777777" w:rsidR="00506780" w:rsidRPr="00DE12A3" w:rsidRDefault="00506780" w:rsidP="00C917D6">
            <w:pPr>
              <w:pStyle w:val="NormalLeft"/>
            </w:pPr>
            <w:r w:rsidRPr="00DE12A3">
              <w:t>Sürekli gaz analiz cihazı</w:t>
            </w:r>
          </w:p>
        </w:tc>
        <w:tc>
          <w:tcPr>
            <w:tcW w:w="960" w:type="dxa"/>
            <w:shd w:val="clear" w:color="auto" w:fill="auto"/>
          </w:tcPr>
          <w:p w14:paraId="5720CBD5" w14:textId="77777777" w:rsidR="00506780" w:rsidRPr="00DE12A3" w:rsidRDefault="00506780" w:rsidP="00C917D6">
            <w:pPr>
              <w:pStyle w:val="NormalLeft"/>
            </w:pPr>
            <w:r w:rsidRPr="00DE12A3">
              <w:t>x</w:t>
            </w:r>
          </w:p>
        </w:tc>
        <w:tc>
          <w:tcPr>
            <w:tcW w:w="1152" w:type="dxa"/>
            <w:shd w:val="clear" w:color="auto" w:fill="auto"/>
          </w:tcPr>
          <w:p w14:paraId="203892D5" w14:textId="77777777" w:rsidR="00506780" w:rsidRPr="00DE12A3" w:rsidRDefault="00506780" w:rsidP="00C917D6">
            <w:pPr>
              <w:pStyle w:val="NormalLeft"/>
            </w:pPr>
            <w:r w:rsidRPr="00DE12A3">
              <w:t>5 s</w:t>
            </w:r>
          </w:p>
        </w:tc>
        <w:tc>
          <w:tcPr>
            <w:tcW w:w="1344" w:type="dxa"/>
            <w:shd w:val="clear" w:color="auto" w:fill="auto"/>
          </w:tcPr>
          <w:p w14:paraId="3565C7CD" w14:textId="77777777" w:rsidR="00506780" w:rsidRPr="00DE12A3" w:rsidRDefault="00506780" w:rsidP="00C917D6">
            <w:pPr>
              <w:pStyle w:val="NormalLeft"/>
            </w:pPr>
            <w:r w:rsidRPr="00DE12A3">
              <w:t>1 Hz</w:t>
            </w:r>
          </w:p>
        </w:tc>
        <w:tc>
          <w:tcPr>
            <w:tcW w:w="1598" w:type="dxa"/>
            <w:shd w:val="clear" w:color="auto" w:fill="auto"/>
          </w:tcPr>
          <w:p w14:paraId="1CAED5D2" w14:textId="77777777" w:rsidR="00506780" w:rsidRPr="00DE12A3" w:rsidRDefault="00506780" w:rsidP="00C917D6">
            <w:pPr>
              <w:pStyle w:val="NormalLeft"/>
            </w:pPr>
            <w:r w:rsidRPr="00DE12A3">
              <w:t>% 2,0 pt. veya % 2.0 meas.</w:t>
            </w:r>
          </w:p>
        </w:tc>
        <w:tc>
          <w:tcPr>
            <w:tcW w:w="2130" w:type="dxa"/>
            <w:shd w:val="clear" w:color="auto" w:fill="auto"/>
          </w:tcPr>
          <w:p w14:paraId="7A4DA4AA" w14:textId="77777777" w:rsidR="00506780" w:rsidRPr="00DE12A3" w:rsidRDefault="00506780" w:rsidP="00C917D6">
            <w:pPr>
              <w:pStyle w:val="NormalLeft"/>
            </w:pPr>
            <w:r w:rsidRPr="00DE12A3">
              <w:t>% 1,0 pt. veya % 1.0 meas.</w:t>
            </w:r>
          </w:p>
        </w:tc>
      </w:tr>
      <w:tr w:rsidR="00DE12A3" w:rsidRPr="00DE12A3" w14:paraId="4A90C55A" w14:textId="77777777" w:rsidTr="005978B8">
        <w:trPr>
          <w:trHeight w:hRule="exact" w:val="1114"/>
        </w:trPr>
        <w:tc>
          <w:tcPr>
            <w:tcW w:w="2592" w:type="dxa"/>
            <w:shd w:val="clear" w:color="auto" w:fill="auto"/>
          </w:tcPr>
          <w:p w14:paraId="619EB9F6" w14:textId="77777777" w:rsidR="00506780" w:rsidRPr="00DE12A3" w:rsidRDefault="00506780" w:rsidP="00C917D6">
            <w:pPr>
              <w:pStyle w:val="NormalLeft"/>
            </w:pPr>
            <w:r w:rsidRPr="00DE12A3">
              <w:t>Toplu gaz analiz cihazı</w:t>
            </w:r>
          </w:p>
        </w:tc>
        <w:tc>
          <w:tcPr>
            <w:tcW w:w="960" w:type="dxa"/>
            <w:shd w:val="clear" w:color="auto" w:fill="auto"/>
          </w:tcPr>
          <w:p w14:paraId="2150EBFC" w14:textId="77777777" w:rsidR="00506780" w:rsidRPr="00DE12A3" w:rsidRDefault="00506780" w:rsidP="00C917D6">
            <w:pPr>
              <w:pStyle w:val="NormalLeft"/>
            </w:pPr>
            <w:r w:rsidRPr="00DE12A3">
              <w:t>x</w:t>
            </w:r>
          </w:p>
        </w:tc>
        <w:tc>
          <w:tcPr>
            <w:tcW w:w="1152" w:type="dxa"/>
            <w:shd w:val="clear" w:color="auto" w:fill="auto"/>
          </w:tcPr>
          <w:p w14:paraId="3879DF51" w14:textId="77777777" w:rsidR="00506780" w:rsidRPr="00DE12A3" w:rsidRDefault="00506780" w:rsidP="00C917D6">
            <w:pPr>
              <w:pStyle w:val="NormalLeft"/>
            </w:pPr>
            <w:r w:rsidRPr="00DE12A3">
              <w:t>Yok</w:t>
            </w:r>
          </w:p>
        </w:tc>
        <w:tc>
          <w:tcPr>
            <w:tcW w:w="1344" w:type="dxa"/>
            <w:shd w:val="clear" w:color="auto" w:fill="auto"/>
          </w:tcPr>
          <w:p w14:paraId="3678E5D1" w14:textId="77777777" w:rsidR="00506780" w:rsidRPr="00DE12A3" w:rsidRDefault="00506780" w:rsidP="00C917D6">
            <w:pPr>
              <w:pStyle w:val="NormalLeft"/>
            </w:pPr>
            <w:r w:rsidRPr="00DE12A3">
              <w:t>Yok</w:t>
            </w:r>
          </w:p>
        </w:tc>
        <w:tc>
          <w:tcPr>
            <w:tcW w:w="1598" w:type="dxa"/>
            <w:shd w:val="clear" w:color="auto" w:fill="auto"/>
          </w:tcPr>
          <w:p w14:paraId="57155007" w14:textId="77777777" w:rsidR="00506780" w:rsidRPr="00DE12A3" w:rsidRDefault="00506780" w:rsidP="00C917D6">
            <w:pPr>
              <w:pStyle w:val="NormalLeft"/>
            </w:pPr>
            <w:r w:rsidRPr="00DE12A3">
              <w:t>% 2,0 pt. veya % 2.0 meas.</w:t>
            </w:r>
          </w:p>
        </w:tc>
        <w:tc>
          <w:tcPr>
            <w:tcW w:w="2130" w:type="dxa"/>
            <w:shd w:val="clear" w:color="auto" w:fill="auto"/>
          </w:tcPr>
          <w:p w14:paraId="67ABF2DC" w14:textId="77777777" w:rsidR="00506780" w:rsidRPr="00DE12A3" w:rsidRDefault="00506780" w:rsidP="00C917D6">
            <w:pPr>
              <w:pStyle w:val="NormalLeft"/>
            </w:pPr>
            <w:r w:rsidRPr="00DE12A3">
              <w:t>% 1,0 pt. veya % 1.0 meas.</w:t>
            </w:r>
          </w:p>
        </w:tc>
      </w:tr>
      <w:tr w:rsidR="00DE12A3" w:rsidRPr="00DE12A3" w14:paraId="4F84D6E8" w14:textId="77777777" w:rsidTr="009B070E">
        <w:trPr>
          <w:trHeight w:hRule="exact" w:val="1114"/>
        </w:trPr>
        <w:tc>
          <w:tcPr>
            <w:tcW w:w="2592" w:type="dxa"/>
            <w:tcBorders>
              <w:left w:val="single" w:sz="4" w:space="0" w:color="auto"/>
            </w:tcBorders>
            <w:shd w:val="clear" w:color="auto" w:fill="auto"/>
          </w:tcPr>
          <w:p w14:paraId="03BB4830" w14:textId="77777777" w:rsidR="005978B8" w:rsidRPr="00DE12A3" w:rsidRDefault="005978B8" w:rsidP="00C917D6">
            <w:pPr>
              <w:pStyle w:val="NormalLeft"/>
              <w:rPr>
                <w:sz w:val="16"/>
                <w:szCs w:val="16"/>
              </w:rPr>
            </w:pPr>
            <w:r w:rsidRPr="00DE12A3">
              <w:t xml:space="preserve">Gravimetrik PM </w:t>
            </w:r>
            <w:r w:rsidR="00EF0D08" w:rsidRPr="00DE12A3">
              <w:t>balansı</w:t>
            </w:r>
          </w:p>
        </w:tc>
        <w:tc>
          <w:tcPr>
            <w:tcW w:w="960" w:type="dxa"/>
            <w:shd w:val="clear" w:color="auto" w:fill="auto"/>
          </w:tcPr>
          <w:p w14:paraId="42CD07BE" w14:textId="77777777" w:rsidR="005978B8" w:rsidRPr="00DE12A3" w:rsidRDefault="005978B8" w:rsidP="00C917D6">
            <w:pPr>
              <w:pStyle w:val="NormalLeft"/>
            </w:pPr>
            <w:r w:rsidRPr="00DE12A3">
              <w:t>m</w:t>
            </w:r>
            <w:r w:rsidRPr="00DE12A3">
              <w:rPr>
                <w:vertAlign w:val="subscript"/>
              </w:rPr>
              <w:t>PM</w:t>
            </w:r>
          </w:p>
        </w:tc>
        <w:tc>
          <w:tcPr>
            <w:tcW w:w="1152" w:type="dxa"/>
            <w:shd w:val="clear" w:color="auto" w:fill="auto"/>
          </w:tcPr>
          <w:p w14:paraId="4EAEE79A" w14:textId="77777777" w:rsidR="005978B8" w:rsidRPr="00DE12A3" w:rsidRDefault="005978B8" w:rsidP="00C917D6">
            <w:pPr>
              <w:pStyle w:val="Gvdemetni1"/>
              <w:shd w:val="clear" w:color="auto" w:fill="auto"/>
              <w:spacing w:before="120" w:after="120" w:line="240" w:lineRule="auto"/>
              <w:ind w:firstLine="0"/>
              <w:rPr>
                <w:color w:val="auto"/>
                <w:sz w:val="16"/>
                <w:szCs w:val="16"/>
              </w:rPr>
            </w:pPr>
            <w:r w:rsidRPr="00DE12A3">
              <w:rPr>
                <w:rFonts w:eastAsiaTheme="minorEastAsia"/>
                <w:color w:val="auto"/>
                <w:spacing w:val="0"/>
                <w:sz w:val="24"/>
                <w:szCs w:val="24"/>
                <w:lang w:val="fr-FR"/>
              </w:rPr>
              <w:t>Yok</w:t>
            </w:r>
          </w:p>
        </w:tc>
        <w:tc>
          <w:tcPr>
            <w:tcW w:w="1344" w:type="dxa"/>
            <w:shd w:val="clear" w:color="auto" w:fill="auto"/>
          </w:tcPr>
          <w:p w14:paraId="26F7E826" w14:textId="77777777" w:rsidR="005978B8" w:rsidRPr="00DE12A3" w:rsidRDefault="005978B8" w:rsidP="00C917D6">
            <w:pPr>
              <w:pStyle w:val="Gvdemetni1"/>
              <w:shd w:val="clear" w:color="auto" w:fill="auto"/>
              <w:spacing w:before="120" w:after="120" w:line="240" w:lineRule="auto"/>
              <w:ind w:firstLine="0"/>
              <w:rPr>
                <w:rFonts w:eastAsiaTheme="minorEastAsia"/>
                <w:color w:val="auto"/>
                <w:spacing w:val="0"/>
                <w:sz w:val="24"/>
                <w:szCs w:val="24"/>
                <w:lang w:val="fr-FR"/>
              </w:rPr>
            </w:pPr>
            <w:r w:rsidRPr="00DE12A3">
              <w:rPr>
                <w:rFonts w:eastAsiaTheme="minorEastAsia"/>
                <w:color w:val="auto"/>
                <w:spacing w:val="0"/>
                <w:sz w:val="24"/>
                <w:szCs w:val="24"/>
                <w:lang w:val="fr-FR"/>
              </w:rPr>
              <w:t>Yok</w:t>
            </w:r>
          </w:p>
        </w:tc>
        <w:tc>
          <w:tcPr>
            <w:tcW w:w="1598" w:type="dxa"/>
            <w:shd w:val="clear" w:color="auto" w:fill="auto"/>
          </w:tcPr>
          <w:p w14:paraId="0F91AE2F" w14:textId="77777777" w:rsidR="005978B8" w:rsidRPr="00DE12A3" w:rsidRDefault="005978B8" w:rsidP="00C917D6">
            <w:pPr>
              <w:pStyle w:val="Gvdemetni1"/>
              <w:shd w:val="clear" w:color="auto" w:fill="auto"/>
              <w:spacing w:before="120" w:after="120" w:line="240" w:lineRule="auto"/>
              <w:ind w:firstLine="0"/>
              <w:rPr>
                <w:rFonts w:eastAsiaTheme="minorEastAsia"/>
                <w:color w:val="auto"/>
                <w:spacing w:val="0"/>
                <w:sz w:val="24"/>
                <w:szCs w:val="24"/>
                <w:lang w:val="fr-FR"/>
              </w:rPr>
            </w:pPr>
            <w:r w:rsidRPr="00DE12A3">
              <w:rPr>
                <w:rFonts w:eastAsiaTheme="minorEastAsia"/>
                <w:color w:val="auto"/>
                <w:spacing w:val="0"/>
                <w:sz w:val="24"/>
                <w:szCs w:val="24"/>
                <w:lang w:val="fr-FR"/>
              </w:rPr>
              <w:t>Bkz. 9.4.11</w:t>
            </w:r>
          </w:p>
        </w:tc>
        <w:tc>
          <w:tcPr>
            <w:tcW w:w="2130" w:type="dxa"/>
            <w:tcBorders>
              <w:right w:val="single" w:sz="4" w:space="0" w:color="auto"/>
            </w:tcBorders>
            <w:shd w:val="clear" w:color="auto" w:fill="auto"/>
          </w:tcPr>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1590"/>
            </w:tblGrid>
            <w:tr w:rsidR="00DE12A3" w:rsidRPr="00DE12A3" w14:paraId="7828B917" w14:textId="77777777" w:rsidTr="009B070E">
              <w:tc>
                <w:tcPr>
                  <w:tcW w:w="1590" w:type="dxa"/>
                  <w:tcBorders>
                    <w:top w:val="nil"/>
                    <w:left w:val="nil"/>
                    <w:bottom w:val="nil"/>
                    <w:right w:val="nil"/>
                  </w:tcBorders>
                  <w:vAlign w:val="center"/>
                  <w:hideMark/>
                </w:tcPr>
                <w:p w14:paraId="62D3F346" w14:textId="77777777" w:rsidR="005978B8" w:rsidRPr="00DE12A3" w:rsidRDefault="005978B8" w:rsidP="007A5B54">
                  <w:pPr>
                    <w:pStyle w:val="Gvdemetni361"/>
                    <w:framePr w:hSpace="141" w:wrap="around" w:vAnchor="text" w:hAnchor="margin" w:xAlign="center" w:y="84"/>
                    <w:shd w:val="clear" w:color="auto" w:fill="auto"/>
                    <w:spacing w:before="120" w:after="120" w:line="240" w:lineRule="auto"/>
                    <w:ind w:firstLine="0"/>
                    <w:suppressOverlap/>
                    <w:jc w:val="center"/>
                    <w:rPr>
                      <w:rFonts w:eastAsiaTheme="minorEastAsia"/>
                      <w:color w:val="auto"/>
                      <w:sz w:val="24"/>
                      <w:szCs w:val="24"/>
                      <w:lang w:val="fr-FR"/>
                    </w:rPr>
                  </w:pPr>
                  <w:r w:rsidRPr="00DE12A3">
                    <w:rPr>
                      <w:rFonts w:eastAsiaTheme="minorEastAsia"/>
                      <w:color w:val="auto"/>
                      <w:sz w:val="24"/>
                      <w:szCs w:val="24"/>
                      <w:lang w:val="fr-FR"/>
                    </w:rPr>
                    <w:t>0,5 μg</w:t>
                  </w:r>
                </w:p>
              </w:tc>
            </w:tr>
          </w:tbl>
          <w:p w14:paraId="4D51A070" w14:textId="77777777" w:rsidR="005978B8" w:rsidRPr="00DE12A3" w:rsidRDefault="005978B8" w:rsidP="00C917D6">
            <w:pPr>
              <w:pStyle w:val="Gvdemetni1"/>
              <w:shd w:val="clear" w:color="auto" w:fill="auto"/>
              <w:spacing w:before="120" w:after="120" w:line="240" w:lineRule="auto"/>
              <w:ind w:left="420" w:firstLine="0"/>
              <w:jc w:val="left"/>
              <w:rPr>
                <w:rFonts w:eastAsiaTheme="minorEastAsia"/>
                <w:color w:val="auto"/>
                <w:spacing w:val="0"/>
                <w:sz w:val="24"/>
                <w:szCs w:val="24"/>
                <w:lang w:val="fr-FR"/>
              </w:rPr>
            </w:pPr>
          </w:p>
        </w:tc>
      </w:tr>
      <w:tr w:rsidR="00DE12A3" w:rsidRPr="00DE12A3" w14:paraId="3F07B9FB" w14:textId="77777777" w:rsidTr="009B070E">
        <w:trPr>
          <w:trHeight w:hRule="exact" w:val="1114"/>
        </w:trPr>
        <w:tc>
          <w:tcPr>
            <w:tcW w:w="2592" w:type="dxa"/>
            <w:tcBorders>
              <w:left w:val="single" w:sz="4" w:space="0" w:color="auto"/>
            </w:tcBorders>
            <w:shd w:val="clear" w:color="auto" w:fill="auto"/>
          </w:tcPr>
          <w:p w14:paraId="3635638A" w14:textId="77777777" w:rsidR="005978B8" w:rsidRPr="00DE12A3" w:rsidRDefault="005978B8" w:rsidP="00C917D6">
            <w:pPr>
              <w:pStyle w:val="NormalLeft"/>
              <w:rPr>
                <w:sz w:val="16"/>
                <w:szCs w:val="16"/>
              </w:rPr>
            </w:pPr>
            <w:r w:rsidRPr="00DE12A3">
              <w:t xml:space="preserve">Atalet PM </w:t>
            </w:r>
            <w:r w:rsidR="00EF0D08" w:rsidRPr="00DE12A3">
              <w:t>balansı</w:t>
            </w:r>
          </w:p>
        </w:tc>
        <w:tc>
          <w:tcPr>
            <w:tcW w:w="960" w:type="dxa"/>
            <w:shd w:val="clear" w:color="auto" w:fill="auto"/>
          </w:tcPr>
          <w:p w14:paraId="39387622" w14:textId="77777777" w:rsidR="005978B8" w:rsidRPr="00DE12A3" w:rsidRDefault="005978B8" w:rsidP="00C917D6">
            <w:pPr>
              <w:pStyle w:val="NormalLeft"/>
            </w:pPr>
            <w:r w:rsidRPr="00DE12A3">
              <w:t>m</w:t>
            </w:r>
            <w:r w:rsidRPr="00DE12A3">
              <w:rPr>
                <w:vertAlign w:val="subscript"/>
              </w:rPr>
              <w:t>PM</w:t>
            </w:r>
          </w:p>
        </w:tc>
        <w:tc>
          <w:tcPr>
            <w:tcW w:w="1152" w:type="dxa"/>
            <w:shd w:val="clear" w:color="auto" w:fill="auto"/>
          </w:tcPr>
          <w:p w14:paraId="4618B764" w14:textId="77777777" w:rsidR="005978B8" w:rsidRPr="00DE12A3" w:rsidRDefault="005978B8" w:rsidP="00C917D6">
            <w:pPr>
              <w:pStyle w:val="Gvdemetni1"/>
              <w:shd w:val="clear" w:color="auto" w:fill="auto"/>
              <w:spacing w:before="120" w:after="120" w:line="240" w:lineRule="auto"/>
              <w:ind w:firstLine="0"/>
              <w:rPr>
                <w:rFonts w:eastAsiaTheme="minorEastAsia"/>
                <w:color w:val="auto"/>
                <w:spacing w:val="0"/>
                <w:sz w:val="24"/>
                <w:szCs w:val="24"/>
                <w:lang w:val="fr-FR"/>
              </w:rPr>
            </w:pPr>
            <w:r w:rsidRPr="00DE12A3">
              <w:rPr>
                <w:rFonts w:eastAsiaTheme="minorEastAsia"/>
                <w:color w:val="auto"/>
                <w:spacing w:val="0"/>
                <w:sz w:val="24"/>
                <w:szCs w:val="24"/>
                <w:lang w:val="fr-FR"/>
              </w:rPr>
              <w:t>5 s</w:t>
            </w:r>
          </w:p>
        </w:tc>
        <w:tc>
          <w:tcPr>
            <w:tcW w:w="1344" w:type="dxa"/>
            <w:shd w:val="clear" w:color="auto" w:fill="auto"/>
          </w:tcPr>
          <w:p w14:paraId="3D404448" w14:textId="77777777" w:rsidR="005978B8" w:rsidRPr="00DE12A3" w:rsidRDefault="005978B8" w:rsidP="00C917D6">
            <w:pPr>
              <w:pStyle w:val="Gvdemetni1"/>
              <w:shd w:val="clear" w:color="auto" w:fill="auto"/>
              <w:spacing w:before="120" w:after="120" w:line="240" w:lineRule="auto"/>
              <w:ind w:firstLine="0"/>
              <w:rPr>
                <w:rFonts w:eastAsiaTheme="minorEastAsia"/>
                <w:color w:val="auto"/>
                <w:spacing w:val="0"/>
                <w:sz w:val="24"/>
                <w:szCs w:val="24"/>
                <w:lang w:val="fr-FR"/>
              </w:rPr>
            </w:pPr>
            <w:r w:rsidRPr="00DE12A3">
              <w:rPr>
                <w:rFonts w:eastAsiaTheme="minorEastAsia"/>
                <w:color w:val="auto"/>
                <w:spacing w:val="0"/>
                <w:sz w:val="24"/>
                <w:szCs w:val="24"/>
                <w:lang w:val="fr-FR"/>
              </w:rPr>
              <w:t>1 Hz</w:t>
            </w:r>
          </w:p>
        </w:tc>
        <w:tc>
          <w:tcPr>
            <w:tcW w:w="1598" w:type="dxa"/>
            <w:shd w:val="clear" w:color="auto" w:fill="auto"/>
          </w:tcPr>
          <w:p w14:paraId="65884689" w14:textId="77777777" w:rsidR="005978B8" w:rsidRPr="00DE12A3" w:rsidRDefault="005978B8" w:rsidP="00C917D6">
            <w:pPr>
              <w:pStyle w:val="Gvdemetni1"/>
              <w:shd w:val="clear" w:color="auto" w:fill="auto"/>
              <w:tabs>
                <w:tab w:val="left" w:pos="264"/>
              </w:tabs>
              <w:spacing w:before="120" w:after="120" w:line="240" w:lineRule="auto"/>
              <w:ind w:left="137" w:firstLine="0"/>
              <w:jc w:val="both"/>
              <w:rPr>
                <w:rFonts w:eastAsiaTheme="minorEastAsia"/>
                <w:color w:val="auto"/>
                <w:spacing w:val="0"/>
                <w:sz w:val="24"/>
                <w:szCs w:val="24"/>
                <w:lang w:val="fr-FR"/>
              </w:rPr>
            </w:pPr>
            <w:r w:rsidRPr="00DE12A3">
              <w:rPr>
                <w:rFonts w:eastAsiaTheme="minorEastAsia"/>
                <w:color w:val="auto"/>
                <w:spacing w:val="0"/>
                <w:sz w:val="24"/>
                <w:szCs w:val="24"/>
                <w:lang w:val="fr-FR"/>
              </w:rPr>
              <w:t>% 2,0 pt. veya</w:t>
            </w:r>
          </w:p>
          <w:p w14:paraId="3806E171" w14:textId="77777777" w:rsidR="005978B8" w:rsidRPr="00DE12A3" w:rsidRDefault="005978B8" w:rsidP="00C917D6">
            <w:pPr>
              <w:pStyle w:val="Gvdemetni1"/>
              <w:shd w:val="clear" w:color="auto" w:fill="auto"/>
              <w:tabs>
                <w:tab w:val="left" w:pos="264"/>
              </w:tabs>
              <w:spacing w:before="120" w:after="120" w:line="240" w:lineRule="auto"/>
              <w:ind w:left="137" w:firstLine="0"/>
              <w:jc w:val="both"/>
              <w:rPr>
                <w:rFonts w:eastAsiaTheme="minorEastAsia"/>
                <w:color w:val="auto"/>
                <w:spacing w:val="0"/>
                <w:sz w:val="24"/>
                <w:szCs w:val="24"/>
                <w:lang w:val="fr-FR"/>
              </w:rPr>
            </w:pPr>
            <w:r w:rsidRPr="00DE12A3">
              <w:rPr>
                <w:rFonts w:eastAsiaTheme="minorEastAsia"/>
                <w:color w:val="auto"/>
                <w:spacing w:val="0"/>
                <w:sz w:val="24"/>
                <w:szCs w:val="24"/>
                <w:lang w:val="fr-FR"/>
              </w:rPr>
              <w:t>% 2.0 meas.</w:t>
            </w:r>
          </w:p>
        </w:tc>
        <w:tc>
          <w:tcPr>
            <w:tcW w:w="2130" w:type="dxa"/>
            <w:tcBorders>
              <w:right w:val="single" w:sz="4" w:space="0" w:color="auto"/>
            </w:tcBorders>
            <w:shd w:val="clear" w:color="auto" w:fill="auto"/>
          </w:tcPr>
          <w:p w14:paraId="7B038690" w14:textId="77777777" w:rsidR="005978B8" w:rsidRPr="00DE12A3" w:rsidRDefault="005978B8" w:rsidP="00C917D6">
            <w:pPr>
              <w:pStyle w:val="Gvdemetni1"/>
              <w:shd w:val="clear" w:color="auto" w:fill="auto"/>
              <w:tabs>
                <w:tab w:val="left" w:pos="245"/>
              </w:tabs>
              <w:spacing w:before="120" w:after="120" w:line="240" w:lineRule="auto"/>
              <w:ind w:left="137" w:firstLine="0"/>
              <w:jc w:val="both"/>
              <w:rPr>
                <w:rFonts w:eastAsiaTheme="minorEastAsia"/>
                <w:color w:val="auto"/>
                <w:spacing w:val="0"/>
                <w:sz w:val="24"/>
                <w:szCs w:val="24"/>
                <w:lang w:val="fr-FR"/>
              </w:rPr>
            </w:pPr>
            <w:r w:rsidRPr="00DE12A3">
              <w:rPr>
                <w:rFonts w:eastAsiaTheme="minorEastAsia"/>
                <w:color w:val="auto"/>
                <w:spacing w:val="0"/>
                <w:sz w:val="24"/>
                <w:szCs w:val="24"/>
                <w:lang w:val="fr-FR"/>
              </w:rPr>
              <w:t>% 1,0 pt. veya</w:t>
            </w:r>
          </w:p>
          <w:p w14:paraId="514E2C56" w14:textId="77777777" w:rsidR="005978B8" w:rsidRPr="00DE12A3" w:rsidRDefault="005978B8" w:rsidP="00C917D6">
            <w:pPr>
              <w:pStyle w:val="Gvdemetni1"/>
              <w:shd w:val="clear" w:color="auto" w:fill="auto"/>
              <w:tabs>
                <w:tab w:val="left" w:pos="245"/>
              </w:tabs>
              <w:spacing w:before="120" w:after="120" w:line="240" w:lineRule="auto"/>
              <w:ind w:left="137" w:firstLine="0"/>
              <w:jc w:val="both"/>
              <w:rPr>
                <w:rFonts w:eastAsiaTheme="minorEastAsia"/>
                <w:color w:val="auto"/>
                <w:spacing w:val="0"/>
                <w:sz w:val="24"/>
                <w:szCs w:val="24"/>
                <w:lang w:val="fr-FR"/>
              </w:rPr>
            </w:pPr>
            <w:r w:rsidRPr="00DE12A3">
              <w:rPr>
                <w:rFonts w:eastAsiaTheme="minorEastAsia"/>
                <w:color w:val="auto"/>
                <w:spacing w:val="0"/>
                <w:sz w:val="24"/>
                <w:szCs w:val="24"/>
                <w:lang w:val="fr-FR"/>
              </w:rPr>
              <w:t>% 1.0 meas.</w:t>
            </w:r>
          </w:p>
        </w:tc>
      </w:tr>
    </w:tbl>
    <w:p w14:paraId="2676AAC0" w14:textId="77777777" w:rsidR="002D7B36" w:rsidRPr="00DE12A3" w:rsidRDefault="002D7B36" w:rsidP="00C917D6">
      <w:pPr>
        <w:pStyle w:val="Tabloyazs101"/>
        <w:shd w:val="clear" w:color="auto" w:fill="auto"/>
        <w:spacing w:before="120" w:after="120" w:line="240" w:lineRule="auto"/>
        <w:ind w:left="709" w:hanging="709"/>
        <w:jc w:val="both"/>
        <w:rPr>
          <w:color w:val="auto"/>
          <w:spacing w:val="0"/>
          <w:sz w:val="20"/>
          <w:szCs w:val="20"/>
        </w:rPr>
      </w:pPr>
    </w:p>
    <w:p w14:paraId="3181560D" w14:textId="77777777" w:rsidR="002D7B36" w:rsidRPr="00DE12A3" w:rsidRDefault="005978B8" w:rsidP="00C917D6">
      <w:pPr>
        <w:pStyle w:val="Tabloyazs101"/>
        <w:shd w:val="clear" w:color="auto" w:fill="auto"/>
        <w:spacing w:before="120" w:after="120" w:line="240" w:lineRule="auto"/>
        <w:ind w:left="709" w:hanging="709"/>
        <w:jc w:val="both"/>
        <w:rPr>
          <w:b w:val="0"/>
          <w:color w:val="auto"/>
          <w:sz w:val="16"/>
          <w:szCs w:val="16"/>
        </w:rPr>
      </w:pPr>
      <w:r w:rsidRPr="00DE12A3">
        <w:rPr>
          <w:b w:val="0"/>
          <w:color w:val="auto"/>
          <w:sz w:val="20"/>
          <w:szCs w:val="20"/>
        </w:rPr>
        <w:t>(a)</w:t>
      </w:r>
      <w:r w:rsidRPr="00DE12A3">
        <w:rPr>
          <w:color w:val="auto"/>
          <w:sz w:val="20"/>
          <w:szCs w:val="20"/>
        </w:rPr>
        <w:tab/>
      </w:r>
      <w:r w:rsidRPr="00DE12A3">
        <w:rPr>
          <w:b w:val="0"/>
          <w:color w:val="auto"/>
          <w:sz w:val="16"/>
          <w:szCs w:val="16"/>
        </w:rPr>
        <w:t xml:space="preserve">Doğruluk ve tekrarlanabilirlik tamamen 9.4.3 bendinde belirtilen aynı toplanmış veriler ile ve mutlak değerler esasında belirlenir. "pt.", emisyon limitinde beklenen genel ortalama değeri ifade eder; "maks.", cihaz aralığının azami seviyesini değil, hizmet </w:t>
      </w:r>
      <w:r w:rsidR="00F310B5" w:rsidRPr="00DE12A3">
        <w:rPr>
          <w:b w:val="0"/>
          <w:color w:val="auto"/>
          <w:sz w:val="16"/>
          <w:szCs w:val="16"/>
        </w:rPr>
        <w:t>çevrimi</w:t>
      </w:r>
      <w:r w:rsidRPr="00DE12A3">
        <w:rPr>
          <w:b w:val="0"/>
          <w:color w:val="auto"/>
          <w:sz w:val="16"/>
          <w:szCs w:val="16"/>
        </w:rPr>
        <w:t xml:space="preserve"> boyunca emisyon sınırında beklenen tepe değeri ifade eder; "meas.", hizmet </w:t>
      </w:r>
      <w:r w:rsidR="00F310B5" w:rsidRPr="00DE12A3">
        <w:rPr>
          <w:b w:val="0"/>
          <w:color w:val="auto"/>
          <w:sz w:val="16"/>
          <w:szCs w:val="16"/>
        </w:rPr>
        <w:t>çevrimi</w:t>
      </w:r>
      <w:r w:rsidRPr="00DE12A3">
        <w:rPr>
          <w:b w:val="0"/>
          <w:color w:val="auto"/>
          <w:sz w:val="16"/>
          <w:szCs w:val="16"/>
        </w:rPr>
        <w:t xml:space="preserve"> boyunca ölçülen fiili ortalamayı ifade eder.</w:t>
      </w:r>
    </w:p>
    <w:p w14:paraId="49CF0371" w14:textId="77777777" w:rsidR="002D7B36" w:rsidRPr="00DE12A3" w:rsidRDefault="002D7B36" w:rsidP="00E20716">
      <w:pPr>
        <w:pStyle w:val="ListeParagraf"/>
        <w:numPr>
          <w:ilvl w:val="0"/>
          <w:numId w:val="343"/>
        </w:numPr>
        <w:tabs>
          <w:tab w:val="left" w:pos="0"/>
          <w:tab w:val="left" w:pos="4545"/>
          <w:tab w:val="left" w:pos="5141"/>
        </w:tabs>
        <w:spacing w:before="120" w:after="120"/>
        <w:ind w:left="709" w:hanging="709"/>
        <w:contextualSpacing w:val="0"/>
        <w:jc w:val="both"/>
        <w:rPr>
          <w:rFonts w:eastAsia="Times New Roman" w:cs="Times New Roman"/>
          <w:vanish/>
          <w:color w:val="auto"/>
          <w:spacing w:val="3"/>
          <w:sz w:val="20"/>
          <w:szCs w:val="20"/>
        </w:rPr>
      </w:pPr>
    </w:p>
    <w:p w14:paraId="25C3F446" w14:textId="77777777" w:rsidR="002D7B36" w:rsidRPr="00DE12A3" w:rsidRDefault="002D7B36" w:rsidP="00E20716">
      <w:pPr>
        <w:pStyle w:val="ListeParagraf"/>
        <w:numPr>
          <w:ilvl w:val="0"/>
          <w:numId w:val="343"/>
        </w:numPr>
        <w:tabs>
          <w:tab w:val="left" w:pos="0"/>
          <w:tab w:val="left" w:pos="4545"/>
          <w:tab w:val="left" w:pos="5141"/>
        </w:tabs>
        <w:spacing w:before="120" w:after="120"/>
        <w:ind w:left="709" w:hanging="709"/>
        <w:contextualSpacing w:val="0"/>
        <w:jc w:val="both"/>
        <w:rPr>
          <w:rFonts w:eastAsia="Times New Roman" w:cs="Times New Roman"/>
          <w:vanish/>
          <w:color w:val="auto"/>
          <w:spacing w:val="3"/>
          <w:sz w:val="20"/>
          <w:szCs w:val="20"/>
        </w:rPr>
      </w:pPr>
    </w:p>
    <w:p w14:paraId="697EDC52" w14:textId="77777777" w:rsidR="002D7B36" w:rsidRPr="00DE12A3" w:rsidRDefault="005978B8" w:rsidP="00E20716">
      <w:pPr>
        <w:pStyle w:val="Gvdemetni251"/>
        <w:numPr>
          <w:ilvl w:val="2"/>
          <w:numId w:val="449"/>
        </w:numPr>
        <w:shd w:val="clear" w:color="auto" w:fill="auto"/>
        <w:tabs>
          <w:tab w:val="left" w:pos="0"/>
        </w:tabs>
        <w:spacing w:before="120" w:after="120" w:line="240" w:lineRule="auto"/>
        <w:ind w:left="1134" w:hanging="1134"/>
        <w:rPr>
          <w:color w:val="auto"/>
          <w:sz w:val="24"/>
          <w:szCs w:val="24"/>
        </w:rPr>
      </w:pPr>
      <w:r w:rsidRPr="00DE12A3">
        <w:rPr>
          <w:color w:val="auto"/>
          <w:sz w:val="24"/>
          <w:szCs w:val="24"/>
        </w:rPr>
        <w:t xml:space="preserve">       </w:t>
      </w:r>
      <w:r w:rsidR="00242DA0" w:rsidRPr="00DE12A3">
        <w:rPr>
          <w:color w:val="auto"/>
          <w:sz w:val="24"/>
          <w:szCs w:val="24"/>
        </w:rPr>
        <w:t>Motor parametrelerinin ve ortam koşullarının ölçümü</w:t>
      </w:r>
    </w:p>
    <w:p w14:paraId="42D72D26" w14:textId="77777777" w:rsidR="002D7B36" w:rsidRPr="00DE12A3" w:rsidRDefault="00242DA0" w:rsidP="00E20716">
      <w:pPr>
        <w:pStyle w:val="Gvdemetni251"/>
        <w:numPr>
          <w:ilvl w:val="0"/>
          <w:numId w:val="345"/>
        </w:numPr>
        <w:shd w:val="clear" w:color="auto" w:fill="auto"/>
        <w:spacing w:before="120" w:after="120" w:line="240" w:lineRule="auto"/>
        <w:ind w:left="1134" w:hanging="1134"/>
        <w:rPr>
          <w:color w:val="auto"/>
          <w:sz w:val="24"/>
          <w:szCs w:val="24"/>
        </w:rPr>
      </w:pPr>
      <w:r w:rsidRPr="00DE12A3">
        <w:rPr>
          <w:color w:val="auto"/>
          <w:sz w:val="24"/>
          <w:szCs w:val="24"/>
        </w:rPr>
        <w:t>Devir ve tork sensörleri</w:t>
      </w:r>
    </w:p>
    <w:p w14:paraId="53EBF234" w14:textId="77777777" w:rsidR="002D7B36" w:rsidRPr="00DE12A3" w:rsidRDefault="00242DA0" w:rsidP="00E20716">
      <w:pPr>
        <w:pStyle w:val="Gvdemetni251"/>
        <w:numPr>
          <w:ilvl w:val="0"/>
          <w:numId w:val="346"/>
        </w:numPr>
        <w:shd w:val="clear" w:color="auto" w:fill="auto"/>
        <w:tabs>
          <w:tab w:val="left" w:pos="851"/>
        </w:tabs>
        <w:spacing w:before="120" w:after="120" w:line="240" w:lineRule="auto"/>
        <w:ind w:left="1134" w:hanging="1134"/>
        <w:rPr>
          <w:color w:val="auto"/>
          <w:sz w:val="24"/>
          <w:szCs w:val="24"/>
        </w:rPr>
      </w:pPr>
      <w:r w:rsidRPr="00DE12A3">
        <w:rPr>
          <w:color w:val="auto"/>
          <w:sz w:val="24"/>
          <w:szCs w:val="24"/>
        </w:rPr>
        <w:t>Uygulama</w:t>
      </w:r>
    </w:p>
    <w:p w14:paraId="1DB7A835" w14:textId="77777777" w:rsidR="002D7B36" w:rsidRPr="00DE12A3" w:rsidRDefault="005978B8" w:rsidP="00C917D6">
      <w:pPr>
        <w:pStyle w:val="Gvdemetni251"/>
        <w:shd w:val="clear" w:color="auto" w:fill="auto"/>
        <w:spacing w:before="120" w:after="120" w:line="240" w:lineRule="auto"/>
        <w:ind w:left="1134" w:hanging="1134"/>
        <w:rPr>
          <w:color w:val="auto"/>
          <w:sz w:val="24"/>
          <w:szCs w:val="24"/>
        </w:rPr>
      </w:pPr>
      <w:r w:rsidRPr="00DE12A3">
        <w:rPr>
          <w:color w:val="auto"/>
          <w:sz w:val="24"/>
          <w:szCs w:val="24"/>
        </w:rPr>
        <w:t xml:space="preserve">                  </w:t>
      </w:r>
      <w:r w:rsidR="00242DA0" w:rsidRPr="00DE12A3">
        <w:rPr>
          <w:color w:val="auto"/>
          <w:sz w:val="24"/>
          <w:szCs w:val="24"/>
        </w:rPr>
        <w:t xml:space="preserve">Motorun çalışması sırasındaki iş girişlerine ve çıkışlarına ilişkin ölçüm aletleri bu bentte belirtilen </w:t>
      </w:r>
      <w:r w:rsidR="0053289F" w:rsidRPr="00DE12A3">
        <w:rPr>
          <w:color w:val="auto"/>
          <w:sz w:val="24"/>
          <w:szCs w:val="24"/>
        </w:rPr>
        <w:t>gereklilikleri</w:t>
      </w:r>
      <w:r w:rsidR="00242DA0" w:rsidRPr="00DE12A3">
        <w:rPr>
          <w:color w:val="auto"/>
          <w:sz w:val="24"/>
          <w:szCs w:val="24"/>
        </w:rPr>
        <w:t xml:space="preserve"> sağlamalıdır. Tablo 6.8'deki </w:t>
      </w:r>
      <w:r w:rsidR="0053289F" w:rsidRPr="00DE12A3">
        <w:rPr>
          <w:color w:val="auto"/>
          <w:sz w:val="24"/>
          <w:szCs w:val="24"/>
        </w:rPr>
        <w:t>gereklilikleri</w:t>
      </w:r>
      <w:r w:rsidR="00242DA0" w:rsidRPr="00DE12A3">
        <w:rPr>
          <w:color w:val="auto"/>
          <w:sz w:val="24"/>
          <w:szCs w:val="24"/>
        </w:rPr>
        <w:t xml:space="preserve"> sağlayan sensörler, dönüştürücüler ve sayaçlar kullanılması önerilir. Çalışma girdilerinin ve çıktılarının ölçülmesi için kullanılan tüm sistemler, 8.1.4 bendindeki doğrusallık doğrulamalarını sağlamalıdır.</w:t>
      </w:r>
    </w:p>
    <w:p w14:paraId="29BCC1A3" w14:textId="77777777" w:rsidR="002D7B36" w:rsidRPr="00DE12A3" w:rsidRDefault="00242DA0" w:rsidP="00E20716">
      <w:pPr>
        <w:pStyle w:val="Gvdemetni251"/>
        <w:numPr>
          <w:ilvl w:val="0"/>
          <w:numId w:val="346"/>
        </w:numPr>
        <w:shd w:val="clear" w:color="auto" w:fill="auto"/>
        <w:tabs>
          <w:tab w:val="left" w:pos="851"/>
        </w:tabs>
        <w:spacing w:before="120" w:after="120" w:line="240" w:lineRule="auto"/>
        <w:ind w:left="1134" w:hanging="1134"/>
        <w:rPr>
          <w:color w:val="auto"/>
          <w:sz w:val="24"/>
          <w:szCs w:val="24"/>
        </w:rPr>
      </w:pPr>
      <w:r w:rsidRPr="00DE12A3">
        <w:rPr>
          <w:color w:val="auto"/>
          <w:sz w:val="24"/>
          <w:szCs w:val="24"/>
        </w:rPr>
        <w:t>Mil çalışması</w:t>
      </w:r>
    </w:p>
    <w:p w14:paraId="495D4F86" w14:textId="77777777" w:rsidR="002D7B36" w:rsidRPr="00DE12A3" w:rsidRDefault="005978B8" w:rsidP="00C917D6">
      <w:pPr>
        <w:pStyle w:val="Gvdemetni251"/>
        <w:shd w:val="clear" w:color="auto" w:fill="auto"/>
        <w:tabs>
          <w:tab w:val="left" w:pos="4545"/>
        </w:tabs>
        <w:spacing w:before="120" w:after="120" w:line="240" w:lineRule="auto"/>
        <w:ind w:left="1134" w:hanging="1134"/>
        <w:rPr>
          <w:color w:val="auto"/>
          <w:sz w:val="24"/>
          <w:szCs w:val="24"/>
        </w:rPr>
      </w:pPr>
      <w:r w:rsidRPr="00DE12A3">
        <w:rPr>
          <w:color w:val="auto"/>
          <w:sz w:val="24"/>
          <w:szCs w:val="24"/>
        </w:rPr>
        <w:t xml:space="preserve">                   </w:t>
      </w:r>
      <w:r w:rsidR="00242DA0" w:rsidRPr="00DE12A3">
        <w:rPr>
          <w:color w:val="auto"/>
          <w:sz w:val="24"/>
          <w:szCs w:val="24"/>
        </w:rPr>
        <w:t>Çalışma ve güç, 9.4.4.1 bendi uyarınca devir ve tork dönüştürücülerin çıktıları kullanılarak hesaplanmalıdır. Devir ve tork ölçümüne yönelik tüm sistemler 8.1.7 ve 8.1.4 bentlerindeki kalibrasyon ve doğrulamaları sağlamalıdır.</w:t>
      </w:r>
    </w:p>
    <w:p w14:paraId="1BC0A232" w14:textId="77777777" w:rsidR="002D7B36" w:rsidRPr="00DE12A3" w:rsidRDefault="005978B8" w:rsidP="00C917D6">
      <w:pPr>
        <w:pStyle w:val="Gvdemetni251"/>
        <w:shd w:val="clear" w:color="auto" w:fill="auto"/>
        <w:spacing w:before="120" w:after="120" w:line="240" w:lineRule="auto"/>
        <w:ind w:left="1134" w:hanging="1134"/>
        <w:rPr>
          <w:color w:val="auto"/>
          <w:sz w:val="24"/>
          <w:szCs w:val="24"/>
        </w:rPr>
      </w:pPr>
      <w:r w:rsidRPr="00DE12A3">
        <w:rPr>
          <w:color w:val="auto"/>
          <w:sz w:val="24"/>
          <w:szCs w:val="24"/>
        </w:rPr>
        <w:t xml:space="preserve">                  </w:t>
      </w:r>
      <w:r w:rsidR="00242DA0" w:rsidRPr="00DE12A3">
        <w:rPr>
          <w:color w:val="auto"/>
          <w:sz w:val="24"/>
          <w:szCs w:val="24"/>
        </w:rPr>
        <w:t>Tahrik mili ve dinamometre rotoru gibi volana bağlı hızlanma ve yavaşlama bileşenlerinin ataleti ile oluşturulan tork, iyi mühendislik kararına dayalı olarak gerektikçe dengelenmelidir.</w:t>
      </w:r>
    </w:p>
    <w:p w14:paraId="481B1BD3" w14:textId="77777777" w:rsidR="002D7B36" w:rsidRPr="00DE12A3" w:rsidRDefault="00242DA0" w:rsidP="00E20716">
      <w:pPr>
        <w:pStyle w:val="Gvdemetni251"/>
        <w:numPr>
          <w:ilvl w:val="0"/>
          <w:numId w:val="345"/>
        </w:numPr>
        <w:shd w:val="clear" w:color="auto" w:fill="auto"/>
        <w:spacing w:before="120" w:after="120" w:line="240" w:lineRule="auto"/>
        <w:ind w:left="1134" w:hanging="1134"/>
        <w:rPr>
          <w:color w:val="auto"/>
          <w:sz w:val="24"/>
          <w:szCs w:val="24"/>
        </w:rPr>
      </w:pPr>
      <w:r w:rsidRPr="00DE12A3">
        <w:rPr>
          <w:color w:val="auto"/>
          <w:sz w:val="24"/>
          <w:szCs w:val="24"/>
        </w:rPr>
        <w:t>Basınç dönüştürücüler, sıcaklık sensörleri ve yoğuşma noktası sensörleri</w:t>
      </w:r>
    </w:p>
    <w:p w14:paraId="53074851" w14:textId="77777777" w:rsidR="002D7B36" w:rsidRPr="00DE12A3" w:rsidRDefault="005978B8" w:rsidP="00C917D6">
      <w:pPr>
        <w:pStyle w:val="Gvdemetni251"/>
        <w:shd w:val="clear" w:color="auto" w:fill="auto"/>
        <w:spacing w:before="120" w:after="120" w:line="240" w:lineRule="auto"/>
        <w:ind w:left="1134" w:hanging="1134"/>
        <w:rPr>
          <w:color w:val="auto"/>
          <w:sz w:val="24"/>
          <w:szCs w:val="24"/>
        </w:rPr>
      </w:pPr>
      <w:r w:rsidRPr="00DE12A3">
        <w:rPr>
          <w:color w:val="auto"/>
          <w:sz w:val="24"/>
          <w:szCs w:val="24"/>
        </w:rPr>
        <w:t xml:space="preserve">                  </w:t>
      </w:r>
      <w:r w:rsidR="00242DA0" w:rsidRPr="00DE12A3">
        <w:rPr>
          <w:color w:val="auto"/>
          <w:sz w:val="24"/>
          <w:szCs w:val="24"/>
        </w:rPr>
        <w:t>Basınç, sıcaklık ve yoğuşma noktasının ölçülmesi için kullanılan tüm sistemler, 8.1.7 bendindeki kalibrasyonu sağlamalıdır.</w:t>
      </w:r>
    </w:p>
    <w:p w14:paraId="596E1D05" w14:textId="77777777" w:rsidR="002D7B36" w:rsidRPr="00DE12A3" w:rsidRDefault="005978B8" w:rsidP="00C917D6">
      <w:pPr>
        <w:pStyle w:val="Gvdemetni251"/>
        <w:shd w:val="clear" w:color="auto" w:fill="auto"/>
        <w:spacing w:before="120" w:after="120" w:line="240" w:lineRule="auto"/>
        <w:ind w:left="1134" w:hanging="1134"/>
        <w:rPr>
          <w:color w:val="auto"/>
          <w:sz w:val="24"/>
          <w:szCs w:val="24"/>
        </w:rPr>
      </w:pPr>
      <w:r w:rsidRPr="00DE12A3">
        <w:rPr>
          <w:color w:val="auto"/>
          <w:sz w:val="24"/>
          <w:szCs w:val="24"/>
        </w:rPr>
        <w:lastRenderedPageBreak/>
        <w:t xml:space="preserve">                  </w:t>
      </w:r>
      <w:r w:rsidR="00242DA0" w:rsidRPr="00DE12A3">
        <w:rPr>
          <w:color w:val="auto"/>
          <w:sz w:val="24"/>
          <w:szCs w:val="24"/>
        </w:rPr>
        <w:t>Basınç dönüştürücüler sıcaklık kontrollü bir ortam içine yerleştirilmeli veya beklenen çalışma aralığındaki sıcaklık değişikliklerini dengelemelidir. Dönüştürücü malzemeleri ölçülen sıvı ile uyumlu olmalıdır.</w:t>
      </w:r>
    </w:p>
    <w:p w14:paraId="705C4199" w14:textId="77777777" w:rsidR="002D7B36" w:rsidRPr="00DE12A3" w:rsidRDefault="005978B8" w:rsidP="00E20716">
      <w:pPr>
        <w:pStyle w:val="Gvdemetni251"/>
        <w:numPr>
          <w:ilvl w:val="2"/>
          <w:numId w:val="449"/>
        </w:numPr>
        <w:shd w:val="clear" w:color="auto" w:fill="auto"/>
        <w:spacing w:before="120" w:after="120" w:line="240" w:lineRule="auto"/>
        <w:rPr>
          <w:color w:val="auto"/>
          <w:sz w:val="24"/>
          <w:szCs w:val="24"/>
        </w:rPr>
      </w:pPr>
      <w:r w:rsidRPr="00DE12A3">
        <w:rPr>
          <w:color w:val="auto"/>
          <w:sz w:val="24"/>
          <w:szCs w:val="24"/>
        </w:rPr>
        <w:t xml:space="preserve">       </w:t>
      </w:r>
      <w:r w:rsidR="00242DA0" w:rsidRPr="00DE12A3">
        <w:rPr>
          <w:color w:val="auto"/>
          <w:sz w:val="24"/>
          <w:szCs w:val="24"/>
        </w:rPr>
        <w:t>Akışla ilgili ölçümler</w:t>
      </w:r>
    </w:p>
    <w:p w14:paraId="1E4D834B" w14:textId="77777777" w:rsidR="002D7B36" w:rsidRPr="00DE12A3" w:rsidRDefault="005978B8" w:rsidP="00C917D6">
      <w:pPr>
        <w:pStyle w:val="Gvdemetni251"/>
        <w:shd w:val="clear" w:color="auto" w:fill="auto"/>
        <w:spacing w:before="120" w:after="120" w:line="240" w:lineRule="auto"/>
        <w:ind w:left="1134" w:hanging="1134"/>
        <w:rPr>
          <w:color w:val="auto"/>
          <w:sz w:val="24"/>
          <w:szCs w:val="24"/>
        </w:rPr>
      </w:pPr>
      <w:r w:rsidRPr="00DE12A3">
        <w:rPr>
          <w:color w:val="auto"/>
          <w:sz w:val="24"/>
          <w:szCs w:val="24"/>
        </w:rPr>
        <w:t xml:space="preserve">                   </w:t>
      </w:r>
      <w:r w:rsidR="00242DA0" w:rsidRPr="00DE12A3">
        <w:rPr>
          <w:color w:val="auto"/>
          <w:sz w:val="24"/>
          <w:szCs w:val="24"/>
        </w:rPr>
        <w:t>Herhangi bir sayaç tipi için (yakıt, emme havası, ham egzoz gazı, seyreltilmiş egzoz gazı, numune), burgaçların, anaforların, dolaşımdaki akışların veya akış titreşimlerinin sayacın doğruluğunu veya tekrarlanabilirliğini etkilemesini önlemek için gerektikçe akış koşullandırılmalıdır. Bazı sayaçlarda bu, sayacın giriş kısmında sabit ve tahmin edilebilir bir hız profili oluşturmak için, yeterli bir düz boru uzunluğu (en az 10 boru çapına eşit uzunluk gibi) kullanılarak veya özel olarak tasarlanmış boru dirsekleri, doğrultma kanatçıkları, orifis plakaları (veya yakıt sayacı için pnömatik titreşim sönümleyiciler) kullanılarak gerçekleştirilebilir.</w:t>
      </w:r>
    </w:p>
    <w:p w14:paraId="1EB29FB4" w14:textId="77777777" w:rsidR="002D7B36" w:rsidRPr="00DE12A3" w:rsidRDefault="00242DA0" w:rsidP="00E20716">
      <w:pPr>
        <w:pStyle w:val="Gvdemetni251"/>
        <w:numPr>
          <w:ilvl w:val="0"/>
          <w:numId w:val="347"/>
        </w:numPr>
        <w:spacing w:before="120" w:after="120" w:line="240" w:lineRule="auto"/>
        <w:ind w:left="1134" w:hanging="1134"/>
        <w:rPr>
          <w:color w:val="auto"/>
          <w:sz w:val="24"/>
          <w:szCs w:val="24"/>
        </w:rPr>
      </w:pPr>
      <w:r w:rsidRPr="00DE12A3">
        <w:rPr>
          <w:color w:val="auto"/>
          <w:sz w:val="24"/>
          <w:szCs w:val="24"/>
        </w:rPr>
        <w:t>Yakıt sayacı</w:t>
      </w:r>
    </w:p>
    <w:p w14:paraId="45A56C7F" w14:textId="77777777" w:rsidR="002D7B36" w:rsidRPr="00DE12A3" w:rsidRDefault="00737107" w:rsidP="00C917D6">
      <w:pPr>
        <w:pStyle w:val="Gvdemetni251"/>
        <w:spacing w:before="120" w:after="120" w:line="240" w:lineRule="auto"/>
        <w:ind w:left="1134" w:hanging="1134"/>
        <w:rPr>
          <w:color w:val="auto"/>
          <w:sz w:val="24"/>
          <w:szCs w:val="24"/>
        </w:rPr>
      </w:pPr>
      <w:r w:rsidRPr="00DE12A3">
        <w:rPr>
          <w:color w:val="auto"/>
          <w:sz w:val="24"/>
          <w:szCs w:val="24"/>
        </w:rPr>
        <w:t xml:space="preserve">                  </w:t>
      </w:r>
      <w:r w:rsidR="00242DA0" w:rsidRPr="00DE12A3">
        <w:rPr>
          <w:color w:val="auto"/>
          <w:sz w:val="24"/>
          <w:szCs w:val="24"/>
        </w:rPr>
        <w:t>Yakıt akışını ölçen toplam sistem 8.1.8.1 bendindeki kalibrasyonu sağlamalıdır. Her yakıt akış ölçümünde, motoru bypass eden veya motordan yakıt depolama tankına geri dönen her yakıt için bu husus hesaba katılmalıdır.</w:t>
      </w:r>
    </w:p>
    <w:p w14:paraId="76400F23" w14:textId="77777777" w:rsidR="002D7B36" w:rsidRPr="00DE12A3" w:rsidRDefault="00242DA0" w:rsidP="00E20716">
      <w:pPr>
        <w:pStyle w:val="Gvdemetni251"/>
        <w:numPr>
          <w:ilvl w:val="0"/>
          <w:numId w:val="347"/>
        </w:numPr>
        <w:spacing w:before="120" w:after="120" w:line="240" w:lineRule="auto"/>
        <w:ind w:left="1134" w:hanging="1134"/>
        <w:rPr>
          <w:color w:val="auto"/>
          <w:sz w:val="24"/>
          <w:szCs w:val="24"/>
        </w:rPr>
      </w:pPr>
      <w:r w:rsidRPr="00DE12A3">
        <w:rPr>
          <w:color w:val="auto"/>
          <w:sz w:val="24"/>
          <w:szCs w:val="24"/>
        </w:rPr>
        <w:t>Emme-havası sayacı</w:t>
      </w:r>
    </w:p>
    <w:p w14:paraId="1291AB1A" w14:textId="77777777" w:rsidR="0075455F" w:rsidRPr="00DE12A3" w:rsidRDefault="009B070E" w:rsidP="00C917D6">
      <w:pPr>
        <w:pStyle w:val="Gvdemetni251"/>
        <w:spacing w:before="120" w:after="120" w:line="240" w:lineRule="auto"/>
        <w:ind w:left="1134" w:hanging="1134"/>
        <w:rPr>
          <w:color w:val="auto"/>
          <w:sz w:val="24"/>
          <w:szCs w:val="24"/>
        </w:rPr>
      </w:pPr>
      <w:r w:rsidRPr="00DE12A3">
        <w:rPr>
          <w:color w:val="auto"/>
          <w:sz w:val="24"/>
          <w:szCs w:val="24"/>
        </w:rPr>
        <w:t xml:space="preserve">                  </w:t>
      </w:r>
      <w:r w:rsidR="00242DA0" w:rsidRPr="00DE12A3">
        <w:rPr>
          <w:color w:val="auto"/>
          <w:sz w:val="24"/>
          <w:szCs w:val="24"/>
        </w:rPr>
        <w:t xml:space="preserve">Emme havası akışını ölçen toplam sistem 8.1.8.2 bendindeki kalibrasyonu </w:t>
      </w:r>
      <w:r w:rsidRPr="00DE12A3">
        <w:rPr>
          <w:color w:val="auto"/>
          <w:sz w:val="24"/>
          <w:szCs w:val="24"/>
        </w:rPr>
        <w:t>sağlamalıdır.</w:t>
      </w:r>
      <w:r w:rsidRPr="00DE12A3">
        <w:rPr>
          <w:color w:val="auto"/>
          <w:sz w:val="24"/>
          <w:szCs w:val="24"/>
          <w:highlight w:val="yellow"/>
        </w:rPr>
        <w:t xml:space="preserve"> </w:t>
      </w:r>
    </w:p>
    <w:p w14:paraId="795DC1CF" w14:textId="77777777" w:rsidR="002D7B36" w:rsidRPr="00DE12A3" w:rsidRDefault="00242DA0" w:rsidP="00E20716">
      <w:pPr>
        <w:pStyle w:val="Gvdemetni251"/>
        <w:numPr>
          <w:ilvl w:val="0"/>
          <w:numId w:val="347"/>
        </w:numPr>
        <w:spacing w:before="120" w:after="120" w:line="240" w:lineRule="auto"/>
        <w:ind w:left="1134" w:hanging="1134"/>
        <w:rPr>
          <w:color w:val="auto"/>
          <w:sz w:val="24"/>
          <w:szCs w:val="24"/>
        </w:rPr>
      </w:pPr>
      <w:r w:rsidRPr="00DE12A3">
        <w:rPr>
          <w:color w:val="auto"/>
          <w:sz w:val="24"/>
          <w:szCs w:val="24"/>
        </w:rPr>
        <w:t>Ham egzoz sayacı</w:t>
      </w:r>
    </w:p>
    <w:p w14:paraId="1CE11956" w14:textId="77777777" w:rsidR="002D7B36" w:rsidRPr="00DE12A3" w:rsidRDefault="00242DA0" w:rsidP="00E20716">
      <w:pPr>
        <w:pStyle w:val="Gvdemetni251"/>
        <w:numPr>
          <w:ilvl w:val="0"/>
          <w:numId w:val="348"/>
        </w:numPr>
        <w:spacing w:before="120" w:after="120" w:line="240" w:lineRule="auto"/>
        <w:ind w:left="1134" w:hanging="1134"/>
        <w:rPr>
          <w:color w:val="auto"/>
          <w:sz w:val="24"/>
          <w:szCs w:val="24"/>
        </w:rPr>
      </w:pPr>
      <w:r w:rsidRPr="00DE12A3">
        <w:rPr>
          <w:color w:val="auto"/>
          <w:sz w:val="24"/>
          <w:szCs w:val="24"/>
        </w:rPr>
        <w:t xml:space="preserve">Bileşen </w:t>
      </w:r>
      <w:r w:rsidR="0053289F" w:rsidRPr="00DE12A3">
        <w:rPr>
          <w:color w:val="auto"/>
          <w:sz w:val="24"/>
          <w:szCs w:val="24"/>
        </w:rPr>
        <w:t>gereklilikleri</w:t>
      </w:r>
    </w:p>
    <w:p w14:paraId="0295CAE4" w14:textId="77777777" w:rsidR="002D7B36" w:rsidRPr="00DE12A3" w:rsidRDefault="009B070E" w:rsidP="00C917D6">
      <w:pPr>
        <w:pStyle w:val="Gvdemetni251"/>
        <w:spacing w:before="120" w:after="120" w:line="240" w:lineRule="auto"/>
        <w:ind w:left="1134" w:hanging="1134"/>
        <w:rPr>
          <w:color w:val="auto"/>
          <w:sz w:val="24"/>
          <w:szCs w:val="24"/>
        </w:rPr>
      </w:pPr>
      <w:r w:rsidRPr="00DE12A3">
        <w:rPr>
          <w:color w:val="auto"/>
          <w:sz w:val="24"/>
          <w:szCs w:val="24"/>
        </w:rPr>
        <w:t xml:space="preserve">                  </w:t>
      </w:r>
      <w:r w:rsidR="00242DA0" w:rsidRPr="00DE12A3">
        <w:rPr>
          <w:color w:val="auto"/>
          <w:sz w:val="24"/>
          <w:szCs w:val="24"/>
        </w:rPr>
        <w:t xml:space="preserve">Ham egzoz gazı akışını ölçmek için kullanılan toplam sistem 8.1.4 bendindeki doğrusallık </w:t>
      </w:r>
      <w:r w:rsidR="0053289F" w:rsidRPr="00DE12A3">
        <w:rPr>
          <w:color w:val="auto"/>
          <w:sz w:val="24"/>
          <w:szCs w:val="24"/>
        </w:rPr>
        <w:t>gerekliliklerini</w:t>
      </w:r>
      <w:r w:rsidR="00242DA0" w:rsidRPr="00DE12A3">
        <w:rPr>
          <w:color w:val="auto"/>
          <w:sz w:val="24"/>
          <w:szCs w:val="24"/>
        </w:rPr>
        <w:t xml:space="preserve"> sağlamalıdır. Her ham egzoz sayacı, ham egzoz gazının termodinamik, akışkan ve bileşim durumlarındaki değişiklikleri uygun biçimde dengeleyecek şekilde tasarlanmalıdır.</w:t>
      </w:r>
    </w:p>
    <w:p w14:paraId="47954DB7" w14:textId="77777777" w:rsidR="002D7B36" w:rsidRPr="00DE12A3" w:rsidRDefault="00242DA0" w:rsidP="00E20716">
      <w:pPr>
        <w:pStyle w:val="Gvdemetni251"/>
        <w:numPr>
          <w:ilvl w:val="0"/>
          <w:numId w:val="348"/>
        </w:numPr>
        <w:spacing w:before="120" w:after="120" w:line="240" w:lineRule="auto"/>
        <w:ind w:left="1134" w:hanging="1134"/>
        <w:rPr>
          <w:color w:val="auto"/>
          <w:sz w:val="24"/>
          <w:szCs w:val="24"/>
        </w:rPr>
      </w:pPr>
      <w:r w:rsidRPr="00DE12A3">
        <w:rPr>
          <w:color w:val="auto"/>
          <w:sz w:val="24"/>
          <w:szCs w:val="24"/>
        </w:rPr>
        <w:t>Sayaç tepki süresi</w:t>
      </w:r>
    </w:p>
    <w:p w14:paraId="45D34ADC" w14:textId="77777777" w:rsidR="002D7B36" w:rsidRPr="00DE12A3" w:rsidRDefault="00242DA0" w:rsidP="00C917D6">
      <w:pPr>
        <w:pStyle w:val="Gvdemetni251"/>
        <w:tabs>
          <w:tab w:val="left" w:pos="1171"/>
        </w:tabs>
        <w:spacing w:before="120" w:after="120" w:line="240" w:lineRule="auto"/>
        <w:ind w:left="1134" w:firstLine="0"/>
        <w:rPr>
          <w:color w:val="auto"/>
          <w:sz w:val="24"/>
          <w:szCs w:val="24"/>
        </w:rPr>
      </w:pPr>
      <w:r w:rsidRPr="00DE12A3">
        <w:rPr>
          <w:color w:val="auto"/>
          <w:sz w:val="24"/>
          <w:szCs w:val="24"/>
        </w:rPr>
        <w:t xml:space="preserve">Orantılı bir ham egzoz gazı numunesi almaya yönelik bir kısmi akışlı seyreltme sisteminin kontrolü amacıyla, Tablo 6.8'de belirtilenden daha hızlı bir sayaç tepki süresi gereklidir.  Çevrimiçi kontrole sahip kısmi akışlı seyreltme sistemleri için, sayacın tepki süresi, 8.2.1.2 bendindeki </w:t>
      </w:r>
      <w:r w:rsidR="0053289F" w:rsidRPr="00DE12A3">
        <w:rPr>
          <w:color w:val="auto"/>
          <w:sz w:val="24"/>
          <w:szCs w:val="24"/>
        </w:rPr>
        <w:t>gereklilikleri</w:t>
      </w:r>
      <w:r w:rsidRPr="00DE12A3">
        <w:rPr>
          <w:color w:val="auto"/>
          <w:sz w:val="24"/>
          <w:szCs w:val="24"/>
        </w:rPr>
        <w:t xml:space="preserve"> sağlamalıdır.</w:t>
      </w:r>
    </w:p>
    <w:p w14:paraId="55EBC18C" w14:textId="77777777" w:rsidR="002D7B36" w:rsidRPr="00DE12A3" w:rsidRDefault="00242DA0" w:rsidP="00E20716">
      <w:pPr>
        <w:pStyle w:val="Gvdemetni251"/>
        <w:numPr>
          <w:ilvl w:val="0"/>
          <w:numId w:val="348"/>
        </w:numPr>
        <w:spacing w:before="120" w:after="120" w:line="240" w:lineRule="auto"/>
        <w:ind w:left="1134" w:hanging="1134"/>
        <w:rPr>
          <w:color w:val="auto"/>
          <w:sz w:val="24"/>
          <w:szCs w:val="24"/>
        </w:rPr>
      </w:pPr>
      <w:r w:rsidRPr="00DE12A3">
        <w:rPr>
          <w:color w:val="auto"/>
          <w:sz w:val="24"/>
          <w:szCs w:val="24"/>
        </w:rPr>
        <w:t>Egzoz gazı soğutması</w:t>
      </w:r>
    </w:p>
    <w:p w14:paraId="506CF9B7" w14:textId="77777777" w:rsidR="002D7B36" w:rsidRPr="00DE12A3" w:rsidRDefault="009B070E" w:rsidP="00C917D6">
      <w:pPr>
        <w:pStyle w:val="Gvdemetni251"/>
        <w:spacing w:before="120" w:after="120" w:line="240" w:lineRule="auto"/>
        <w:ind w:left="1134" w:hanging="1134"/>
        <w:rPr>
          <w:color w:val="auto"/>
          <w:sz w:val="24"/>
          <w:szCs w:val="24"/>
        </w:rPr>
      </w:pPr>
      <w:r w:rsidRPr="00DE12A3">
        <w:rPr>
          <w:color w:val="auto"/>
          <w:sz w:val="24"/>
          <w:szCs w:val="24"/>
        </w:rPr>
        <w:t xml:space="preserve">                  </w:t>
      </w:r>
      <w:r w:rsidR="00242DA0" w:rsidRPr="00DE12A3">
        <w:rPr>
          <w:color w:val="auto"/>
          <w:sz w:val="24"/>
          <w:szCs w:val="24"/>
        </w:rPr>
        <w:t>Bu bent, bunlarla sınırlı olmamak kaydıyla, su soğutmalı egzoz manifoldları veya turboşarjlar içeren motor tasarımı kaynaklı egzoz gazının soğutulması için uygulanmaz.</w:t>
      </w:r>
    </w:p>
    <w:p w14:paraId="7FB4C3DC" w14:textId="77777777" w:rsidR="002D7B36" w:rsidRPr="00DE12A3" w:rsidRDefault="009B070E" w:rsidP="00C917D6">
      <w:pPr>
        <w:pStyle w:val="Gvdemetni251"/>
        <w:spacing w:before="120" w:after="120" w:line="240" w:lineRule="auto"/>
        <w:ind w:left="1134" w:hanging="1134"/>
        <w:rPr>
          <w:color w:val="auto"/>
          <w:sz w:val="24"/>
          <w:szCs w:val="24"/>
        </w:rPr>
      </w:pPr>
      <w:r w:rsidRPr="00DE12A3">
        <w:rPr>
          <w:color w:val="auto"/>
          <w:sz w:val="24"/>
          <w:szCs w:val="24"/>
        </w:rPr>
        <w:t xml:space="preserve">                  </w:t>
      </w:r>
      <w:r w:rsidR="00242DA0" w:rsidRPr="00DE12A3">
        <w:rPr>
          <w:color w:val="auto"/>
          <w:sz w:val="24"/>
          <w:szCs w:val="24"/>
        </w:rPr>
        <w:t>Sayacın giriş kısmındaki egzoz gazı soğutmasına, aşağıdaki kısıtlamalarla izin verilir:</w:t>
      </w:r>
    </w:p>
    <w:p w14:paraId="54CABBB8" w14:textId="3291D211" w:rsidR="002D7B36" w:rsidRPr="00DE12A3" w:rsidRDefault="009B070E" w:rsidP="00E20716">
      <w:pPr>
        <w:pStyle w:val="Gvdemetni251"/>
        <w:numPr>
          <w:ilvl w:val="0"/>
          <w:numId w:val="349"/>
        </w:numPr>
        <w:spacing w:before="120" w:after="120" w:line="240" w:lineRule="auto"/>
        <w:ind w:left="1701" w:hanging="567"/>
        <w:rPr>
          <w:color w:val="auto"/>
          <w:sz w:val="24"/>
          <w:szCs w:val="24"/>
        </w:rPr>
      </w:pPr>
      <w:r w:rsidRPr="00DE12A3">
        <w:rPr>
          <w:color w:val="auto"/>
          <w:sz w:val="24"/>
          <w:szCs w:val="24"/>
        </w:rPr>
        <w:t xml:space="preserve">     </w:t>
      </w:r>
      <w:r w:rsidR="00242DA0" w:rsidRPr="00DE12A3">
        <w:rPr>
          <w:color w:val="auto"/>
          <w:sz w:val="24"/>
          <w:szCs w:val="24"/>
        </w:rPr>
        <w:t>PM soğutmanın çıkış kısmında örneklenemez</w:t>
      </w:r>
      <w:r w:rsidR="00B528E1" w:rsidRPr="00DE12A3">
        <w:rPr>
          <w:color w:val="auto"/>
          <w:sz w:val="24"/>
          <w:szCs w:val="24"/>
        </w:rPr>
        <w:t>.</w:t>
      </w:r>
    </w:p>
    <w:p w14:paraId="009051CC" w14:textId="1F34B21D" w:rsidR="002D7B36" w:rsidRPr="00DE12A3" w:rsidRDefault="00242DA0" w:rsidP="00E20716">
      <w:pPr>
        <w:pStyle w:val="Gvdemetni251"/>
        <w:numPr>
          <w:ilvl w:val="0"/>
          <w:numId w:val="349"/>
        </w:numPr>
        <w:spacing w:before="120" w:after="120" w:line="240" w:lineRule="auto"/>
        <w:ind w:left="1701" w:hanging="567"/>
        <w:rPr>
          <w:color w:val="auto"/>
          <w:sz w:val="24"/>
          <w:szCs w:val="24"/>
        </w:rPr>
      </w:pPr>
      <w:r w:rsidRPr="00DE12A3">
        <w:rPr>
          <w:color w:val="auto"/>
          <w:sz w:val="24"/>
          <w:szCs w:val="24"/>
        </w:rPr>
        <w:t>Soğutma, 475 K (202 °C) üzerindeki egzoz gazı sıcaklıklarının, 453 K (180 °C) altına düşmesine neden olursa, soğutmanın çıkış kısmında HC örneklenemez</w:t>
      </w:r>
      <w:r w:rsidR="00B528E1" w:rsidRPr="00DE12A3">
        <w:rPr>
          <w:color w:val="auto"/>
          <w:sz w:val="24"/>
          <w:szCs w:val="24"/>
        </w:rPr>
        <w:t>.</w:t>
      </w:r>
    </w:p>
    <w:p w14:paraId="3B9EAB51" w14:textId="43A1D781" w:rsidR="002D7B36" w:rsidRPr="00DE12A3" w:rsidRDefault="009B070E" w:rsidP="00E20716">
      <w:pPr>
        <w:pStyle w:val="Gvdemetni251"/>
        <w:numPr>
          <w:ilvl w:val="0"/>
          <w:numId w:val="349"/>
        </w:numPr>
        <w:spacing w:before="120" w:after="120" w:line="240" w:lineRule="auto"/>
        <w:ind w:left="1701" w:hanging="567"/>
        <w:rPr>
          <w:color w:val="auto"/>
          <w:sz w:val="24"/>
          <w:szCs w:val="24"/>
        </w:rPr>
      </w:pPr>
      <w:r w:rsidRPr="00DE12A3">
        <w:rPr>
          <w:color w:val="auto"/>
          <w:sz w:val="24"/>
          <w:szCs w:val="24"/>
        </w:rPr>
        <w:t xml:space="preserve">     </w:t>
      </w:r>
      <w:r w:rsidR="00242DA0" w:rsidRPr="00DE12A3">
        <w:rPr>
          <w:color w:val="auto"/>
          <w:sz w:val="24"/>
          <w:szCs w:val="24"/>
        </w:rPr>
        <w:t>Soğutma, sulu yoğuşmaya neden olursa, soğutucu 8.1.11.4 bendindeki performans doğrulamasını sağlamadıkça, soğutmanın çıkış kısmında NO</w:t>
      </w:r>
      <w:r w:rsidR="00242DA0" w:rsidRPr="00DE12A3">
        <w:rPr>
          <w:color w:val="auto"/>
          <w:sz w:val="24"/>
          <w:szCs w:val="24"/>
          <w:vertAlign w:val="subscript"/>
        </w:rPr>
        <w:t>x</w:t>
      </w:r>
      <w:r w:rsidR="00242DA0" w:rsidRPr="00DE12A3">
        <w:rPr>
          <w:color w:val="auto"/>
          <w:sz w:val="24"/>
          <w:szCs w:val="24"/>
        </w:rPr>
        <w:t xml:space="preserve"> örneklenemez</w:t>
      </w:r>
      <w:r w:rsidR="00B528E1" w:rsidRPr="00DE12A3">
        <w:rPr>
          <w:color w:val="auto"/>
          <w:sz w:val="24"/>
          <w:szCs w:val="24"/>
        </w:rPr>
        <w:t>.</w:t>
      </w:r>
    </w:p>
    <w:p w14:paraId="511F22B6" w14:textId="32D548F4" w:rsidR="002D7B36" w:rsidRPr="00DE12A3" w:rsidRDefault="00242DA0" w:rsidP="00E20716">
      <w:pPr>
        <w:pStyle w:val="Gvdemetni251"/>
        <w:numPr>
          <w:ilvl w:val="0"/>
          <w:numId w:val="349"/>
        </w:numPr>
        <w:spacing w:before="120" w:after="120" w:line="240" w:lineRule="auto"/>
        <w:ind w:left="1701" w:hanging="567"/>
        <w:rPr>
          <w:color w:val="auto"/>
          <w:sz w:val="24"/>
          <w:szCs w:val="24"/>
        </w:rPr>
      </w:pPr>
      <w:r w:rsidRPr="00DE12A3">
        <w:rPr>
          <w:color w:val="auto"/>
          <w:sz w:val="24"/>
          <w:szCs w:val="24"/>
        </w:rPr>
        <w:lastRenderedPageBreak/>
        <w:t xml:space="preserve">Soğutma, akış bir sayaca ulaşmadan önce sulu yoğuşmaya neden olursa, yoğuşma noktası </w:t>
      </w:r>
      <w:r w:rsidRPr="00DE12A3">
        <w:rPr>
          <w:i/>
          <w:iCs/>
          <w:color w:val="auto"/>
          <w:sz w:val="24"/>
          <w:szCs w:val="24"/>
        </w:rPr>
        <w:t>T</w:t>
      </w:r>
      <w:r w:rsidRPr="00DE12A3">
        <w:rPr>
          <w:color w:val="auto"/>
          <w:sz w:val="24"/>
          <w:szCs w:val="24"/>
          <w:vertAlign w:val="subscript"/>
        </w:rPr>
        <w:t>dew</w:t>
      </w:r>
      <w:r w:rsidRPr="00DE12A3">
        <w:rPr>
          <w:color w:val="auto"/>
          <w:sz w:val="24"/>
          <w:szCs w:val="24"/>
        </w:rPr>
        <w:t xml:space="preserve"> ve basınç </w:t>
      </w:r>
      <w:r w:rsidRPr="00DE12A3">
        <w:rPr>
          <w:i/>
          <w:iCs/>
          <w:color w:val="auto"/>
          <w:sz w:val="24"/>
          <w:szCs w:val="24"/>
        </w:rPr>
        <w:t>p</w:t>
      </w:r>
      <w:r w:rsidRPr="00DE12A3">
        <w:rPr>
          <w:color w:val="auto"/>
          <w:sz w:val="24"/>
          <w:szCs w:val="24"/>
          <w:vertAlign w:val="subscript"/>
        </w:rPr>
        <w:t>total</w:t>
      </w:r>
      <w:r w:rsidRPr="00DE12A3">
        <w:rPr>
          <w:color w:val="auto"/>
          <w:sz w:val="24"/>
          <w:szCs w:val="24"/>
        </w:rPr>
        <w:t xml:space="preserve"> akış sayacı girişinde ölçülmelidir. Bu değerler, </w:t>
      </w:r>
      <w:r w:rsidR="00FA0678" w:rsidRPr="00DE12A3">
        <w:rPr>
          <w:color w:val="auto"/>
          <w:sz w:val="24"/>
          <w:szCs w:val="24"/>
        </w:rPr>
        <w:t xml:space="preserve">VII’nci </w:t>
      </w:r>
      <w:r w:rsidR="00B528E1" w:rsidRPr="00DE12A3">
        <w:rPr>
          <w:color w:val="auto"/>
          <w:sz w:val="24"/>
          <w:szCs w:val="24"/>
        </w:rPr>
        <w:t>E</w:t>
      </w:r>
      <w:r w:rsidR="00FA0678" w:rsidRPr="00DE12A3">
        <w:rPr>
          <w:color w:val="auto"/>
          <w:sz w:val="24"/>
          <w:szCs w:val="24"/>
        </w:rPr>
        <w:t>k</w:t>
      </w:r>
      <w:r w:rsidRPr="00DE12A3">
        <w:rPr>
          <w:color w:val="auto"/>
          <w:sz w:val="24"/>
          <w:szCs w:val="24"/>
        </w:rPr>
        <w:t xml:space="preserve"> uyarınca emisyon hesaplamalarında kullanılmalıdır.</w:t>
      </w:r>
    </w:p>
    <w:p w14:paraId="32836EB8" w14:textId="77777777" w:rsidR="002D7B36" w:rsidRPr="00DE12A3" w:rsidRDefault="009B070E" w:rsidP="00E20716">
      <w:pPr>
        <w:pStyle w:val="Gvdemetni251"/>
        <w:numPr>
          <w:ilvl w:val="0"/>
          <w:numId w:val="347"/>
        </w:numPr>
        <w:tabs>
          <w:tab w:val="left" w:pos="898"/>
        </w:tabs>
        <w:spacing w:before="120" w:after="120" w:line="240" w:lineRule="auto"/>
        <w:ind w:left="1134" w:hanging="1134"/>
        <w:rPr>
          <w:color w:val="auto"/>
          <w:sz w:val="24"/>
          <w:szCs w:val="24"/>
        </w:rPr>
      </w:pPr>
      <w:r w:rsidRPr="00DE12A3">
        <w:rPr>
          <w:color w:val="auto"/>
          <w:sz w:val="24"/>
          <w:szCs w:val="24"/>
        </w:rPr>
        <w:t xml:space="preserve">     </w:t>
      </w:r>
      <w:r w:rsidR="00242DA0" w:rsidRPr="00DE12A3">
        <w:rPr>
          <w:color w:val="auto"/>
          <w:sz w:val="24"/>
          <w:szCs w:val="24"/>
        </w:rPr>
        <w:t>Seyreltme havası ve seyreltik egzoz sayaçları</w:t>
      </w:r>
    </w:p>
    <w:p w14:paraId="773B5112" w14:textId="77777777" w:rsidR="002D7B36" w:rsidRPr="00DE12A3" w:rsidRDefault="00242DA0" w:rsidP="00E20716">
      <w:pPr>
        <w:numPr>
          <w:ilvl w:val="0"/>
          <w:numId w:val="350"/>
        </w:numPr>
        <w:tabs>
          <w:tab w:val="left" w:pos="851"/>
        </w:tabs>
        <w:spacing w:before="120" w:after="120"/>
        <w:ind w:left="1134" w:hanging="1134"/>
        <w:jc w:val="both"/>
        <w:rPr>
          <w:rFonts w:eastAsia="Times New Roman" w:cs="Times New Roman"/>
          <w:color w:val="auto"/>
          <w:lang w:eastAsia="en-US"/>
        </w:rPr>
      </w:pPr>
      <w:r w:rsidRPr="00DE12A3">
        <w:rPr>
          <w:rFonts w:eastAsia="Times New Roman" w:cs="Times New Roman"/>
          <w:color w:val="auto"/>
          <w:lang w:eastAsia="en-US"/>
        </w:rPr>
        <w:t>Uygulama</w:t>
      </w:r>
    </w:p>
    <w:p w14:paraId="39A223A3" w14:textId="77777777" w:rsidR="002D7B36" w:rsidRPr="00DE12A3" w:rsidRDefault="009B070E" w:rsidP="00C917D6">
      <w:pPr>
        <w:pStyle w:val="Gvdemetni251"/>
        <w:spacing w:before="120" w:after="120" w:line="240" w:lineRule="auto"/>
        <w:ind w:left="1134" w:hanging="1134"/>
        <w:rPr>
          <w:color w:val="auto"/>
          <w:sz w:val="24"/>
          <w:szCs w:val="24"/>
        </w:rPr>
      </w:pPr>
      <w:r w:rsidRPr="00DE12A3">
        <w:rPr>
          <w:color w:val="auto"/>
          <w:sz w:val="24"/>
          <w:szCs w:val="24"/>
          <w:lang w:eastAsia="en-US"/>
        </w:rPr>
        <w:t xml:space="preserve">                  </w:t>
      </w:r>
      <w:r w:rsidR="00242DA0" w:rsidRPr="00DE12A3">
        <w:rPr>
          <w:color w:val="auto"/>
          <w:sz w:val="24"/>
          <w:szCs w:val="24"/>
          <w:lang w:eastAsia="en-US"/>
        </w:rPr>
        <w:t xml:space="preserve">Anlık seyreltilmiş egzoz gazı akış hızları veya bir test aralığı boyunca toplam seyreltilmiş egzoz gazı akışı, bir seyreltilmiş egzoz sayacı kullanılarak belirlenmelidir. Ham egzoz gazı akış hızları veya bir test aralığı boyunca toplam ham egzoz gazı akışı, bir seyreltilmiş egzoz </w:t>
      </w:r>
      <w:r w:rsidR="00242DA0" w:rsidRPr="00DE12A3">
        <w:rPr>
          <w:color w:val="auto"/>
          <w:sz w:val="24"/>
          <w:szCs w:val="24"/>
        </w:rPr>
        <w:t>sayacı kullanılarak belirlenmelidir. Ham egzoz gazı akış hızları veya bir test aralığı boyunca toplam ham egzoz gazı akışı, bir seyreltilmiş egzoz sayacı ile bir seyreltme havası sayacı arasındaki fark kullanılarak hesaplanabilir.</w:t>
      </w:r>
    </w:p>
    <w:p w14:paraId="1C3E070C" w14:textId="77777777" w:rsidR="002D7B36" w:rsidRPr="00DE12A3" w:rsidRDefault="00242DA0" w:rsidP="00E20716">
      <w:pPr>
        <w:pStyle w:val="Gvdemetni251"/>
        <w:numPr>
          <w:ilvl w:val="0"/>
          <w:numId w:val="350"/>
        </w:numPr>
        <w:shd w:val="clear" w:color="auto" w:fill="auto"/>
        <w:spacing w:before="120" w:after="120" w:line="240" w:lineRule="auto"/>
        <w:ind w:left="1134" w:hanging="1134"/>
        <w:rPr>
          <w:color w:val="auto"/>
          <w:sz w:val="24"/>
          <w:szCs w:val="24"/>
        </w:rPr>
      </w:pPr>
      <w:r w:rsidRPr="00DE12A3">
        <w:rPr>
          <w:color w:val="auto"/>
          <w:sz w:val="24"/>
          <w:szCs w:val="24"/>
        </w:rPr>
        <w:t xml:space="preserve">Bileşen </w:t>
      </w:r>
      <w:r w:rsidR="0053289F" w:rsidRPr="00DE12A3">
        <w:rPr>
          <w:color w:val="auto"/>
          <w:sz w:val="24"/>
          <w:szCs w:val="24"/>
        </w:rPr>
        <w:t>gereklilikleri</w:t>
      </w:r>
    </w:p>
    <w:p w14:paraId="12A1213E" w14:textId="77777777" w:rsidR="002D7B36" w:rsidRPr="00DE12A3" w:rsidRDefault="009B070E" w:rsidP="00C917D6">
      <w:pPr>
        <w:pStyle w:val="Gvdemetni251"/>
        <w:shd w:val="clear" w:color="auto" w:fill="auto"/>
        <w:spacing w:before="120" w:after="120" w:line="240" w:lineRule="auto"/>
        <w:ind w:left="1134" w:hanging="1134"/>
        <w:rPr>
          <w:color w:val="auto"/>
          <w:sz w:val="24"/>
          <w:szCs w:val="24"/>
        </w:rPr>
      </w:pPr>
      <w:r w:rsidRPr="00DE12A3">
        <w:rPr>
          <w:color w:val="auto"/>
          <w:sz w:val="24"/>
          <w:szCs w:val="24"/>
        </w:rPr>
        <w:t xml:space="preserve">                  </w:t>
      </w:r>
      <w:r w:rsidR="00242DA0" w:rsidRPr="00DE12A3">
        <w:rPr>
          <w:color w:val="auto"/>
          <w:sz w:val="24"/>
          <w:szCs w:val="24"/>
        </w:rPr>
        <w:t>Seyreltilmiş egzoz gazı akışını ölçmek için kullanılan toplam sistem 8.1.8.4 ve 8.1.8.5 bentlerindeki kalibrasyon ve doğrulamaları sağlamalıdır. Aşağıdaki sayaçlar kullanılabilir:</w:t>
      </w:r>
    </w:p>
    <w:p w14:paraId="4A84FEBF" w14:textId="3B5C915B" w:rsidR="002D7B36" w:rsidRPr="00DE12A3" w:rsidRDefault="00242DA0" w:rsidP="00E20716">
      <w:pPr>
        <w:pStyle w:val="Gvdemetni251"/>
        <w:numPr>
          <w:ilvl w:val="0"/>
          <w:numId w:val="351"/>
        </w:numPr>
        <w:shd w:val="clear" w:color="auto" w:fill="auto"/>
        <w:spacing w:before="120" w:after="120" w:line="240" w:lineRule="auto"/>
        <w:ind w:left="1701" w:hanging="567"/>
        <w:rPr>
          <w:color w:val="auto"/>
          <w:sz w:val="24"/>
          <w:szCs w:val="24"/>
        </w:rPr>
      </w:pPr>
      <w:r w:rsidRPr="00DE12A3">
        <w:rPr>
          <w:color w:val="auto"/>
          <w:sz w:val="24"/>
          <w:szCs w:val="24"/>
        </w:rPr>
        <w:t>Seyreltilmiş egzoz gazının toplam akışının sabit hacimli örneklemesi (CVS) için, bir kritik akışlı venturi (CFV) veya paralel olarak düzenlenmiş birden fazla kritik akışlı venturi, bir pozitif-deplasmanlı pompa (PDP), bir sees altı venturi (SSV) veya bir ultrasonik debimetre (UFM) kullanılabilir. Bir çıkış ısı eşanjörü ile birleştirildiğinde, bir CFV veya bir PDP de seyreltilmiş egzoz gazı sıcaklığını bir CVS sisteminde sabit tutmak suretiyle bir pasif akış kontrol cihazı olarak işlev görecektir</w:t>
      </w:r>
      <w:r w:rsidR="00B528E1" w:rsidRPr="00DE12A3">
        <w:rPr>
          <w:color w:val="auto"/>
          <w:sz w:val="24"/>
          <w:szCs w:val="24"/>
        </w:rPr>
        <w:t>.</w:t>
      </w:r>
    </w:p>
    <w:p w14:paraId="6B2DBA34" w14:textId="77777777" w:rsidR="002D7B36" w:rsidRPr="00DE12A3" w:rsidRDefault="00242DA0" w:rsidP="00E20716">
      <w:pPr>
        <w:pStyle w:val="Gvdemetni251"/>
        <w:numPr>
          <w:ilvl w:val="0"/>
          <w:numId w:val="351"/>
        </w:numPr>
        <w:shd w:val="clear" w:color="auto" w:fill="auto"/>
        <w:spacing w:before="120" w:after="120" w:line="240" w:lineRule="auto"/>
        <w:ind w:left="1701" w:hanging="567"/>
        <w:rPr>
          <w:color w:val="auto"/>
          <w:sz w:val="24"/>
          <w:szCs w:val="24"/>
        </w:rPr>
      </w:pPr>
      <w:r w:rsidRPr="00DE12A3">
        <w:rPr>
          <w:color w:val="auto"/>
          <w:sz w:val="24"/>
          <w:szCs w:val="24"/>
        </w:rPr>
        <w:t>Kısmi Akışlı Seyreltme (PFD) sistemi için, egzoz gazı bileşenlerinin orantılı örneklemesini sürdürmek için herhangi bir sayacın herhangi bir aktif akış kontrol sistemi ile birleşimi kullanılabilir. Seyreltilmiş egzoz gazının toplam akışı veya bir veya daha fazla numune akışı veya bu akış kontrollerinin bir birleşimi orantılı örneklemeyi sürdürmek için kontrol edilebilir.</w:t>
      </w:r>
    </w:p>
    <w:p w14:paraId="544D4E68" w14:textId="77777777" w:rsidR="002D7B36" w:rsidRPr="00DE12A3" w:rsidRDefault="00242DA0" w:rsidP="00C917D6">
      <w:pPr>
        <w:pStyle w:val="Gvdemetni251"/>
        <w:shd w:val="clear" w:color="auto" w:fill="auto"/>
        <w:spacing w:before="120" w:after="120" w:line="240" w:lineRule="auto"/>
        <w:ind w:left="1134" w:firstLine="0"/>
        <w:rPr>
          <w:color w:val="auto"/>
          <w:sz w:val="24"/>
          <w:szCs w:val="24"/>
        </w:rPr>
      </w:pPr>
      <w:r w:rsidRPr="00DE12A3">
        <w:rPr>
          <w:color w:val="auto"/>
          <w:sz w:val="24"/>
          <w:szCs w:val="24"/>
        </w:rPr>
        <w:t>Diğer tüm seyreltme sistemleri için, bir laminer akış elemanı, ultrasonik akış ölçer, ses altı venturi, bir kritik akışlı venturi veya paralel olarak düzenlenmiş birden fazla kritik akışlı venturi, pozitif deplasmanlı sayaç, termal kütle ölçer, ortalamalı Pitot tübü veya kızgın telli anemometre kullanılabilir.</w:t>
      </w:r>
    </w:p>
    <w:p w14:paraId="34C5CCD0" w14:textId="77777777" w:rsidR="002D7B36" w:rsidRPr="00DE12A3" w:rsidRDefault="00242DA0" w:rsidP="00E20716">
      <w:pPr>
        <w:pStyle w:val="Gvdemetni251"/>
        <w:numPr>
          <w:ilvl w:val="0"/>
          <w:numId w:val="350"/>
        </w:numPr>
        <w:shd w:val="clear" w:color="auto" w:fill="auto"/>
        <w:spacing w:before="120" w:after="120" w:line="240" w:lineRule="auto"/>
        <w:ind w:left="1134" w:hanging="1134"/>
        <w:rPr>
          <w:color w:val="auto"/>
          <w:sz w:val="24"/>
          <w:szCs w:val="24"/>
        </w:rPr>
      </w:pPr>
      <w:r w:rsidRPr="00DE12A3">
        <w:rPr>
          <w:color w:val="auto"/>
          <w:sz w:val="24"/>
          <w:szCs w:val="24"/>
        </w:rPr>
        <w:t>Egzoz gazı soğutması</w:t>
      </w:r>
    </w:p>
    <w:p w14:paraId="234F2A05" w14:textId="77777777" w:rsidR="002D7B36" w:rsidRPr="00DE12A3" w:rsidRDefault="009B070E" w:rsidP="00C917D6">
      <w:pPr>
        <w:pStyle w:val="Gvdemetni251"/>
        <w:shd w:val="clear" w:color="auto" w:fill="auto"/>
        <w:spacing w:before="120" w:after="120" w:line="240" w:lineRule="auto"/>
        <w:ind w:left="1134" w:hanging="1134"/>
        <w:rPr>
          <w:color w:val="auto"/>
          <w:sz w:val="24"/>
          <w:szCs w:val="24"/>
        </w:rPr>
      </w:pPr>
      <w:r w:rsidRPr="00DE12A3">
        <w:rPr>
          <w:color w:val="auto"/>
          <w:sz w:val="24"/>
          <w:szCs w:val="24"/>
        </w:rPr>
        <w:t xml:space="preserve">                   </w:t>
      </w:r>
      <w:r w:rsidR="00242DA0" w:rsidRPr="00DE12A3">
        <w:rPr>
          <w:color w:val="auto"/>
          <w:sz w:val="24"/>
          <w:szCs w:val="24"/>
        </w:rPr>
        <w:t>Bir seyrelti sayacının giriş kısmındaki seyreltilmiş egzoz gazı, aşağıdaki tüm hükümlere uyulduğu sürece soğutulabilir:</w:t>
      </w:r>
    </w:p>
    <w:p w14:paraId="2F0BCF38" w14:textId="69412C4B" w:rsidR="002D7B36" w:rsidRPr="00DE12A3" w:rsidRDefault="009B070E" w:rsidP="00E20716">
      <w:pPr>
        <w:pStyle w:val="Gvdemetni251"/>
        <w:numPr>
          <w:ilvl w:val="0"/>
          <w:numId w:val="352"/>
        </w:numPr>
        <w:shd w:val="clear" w:color="auto" w:fill="auto"/>
        <w:spacing w:before="120" w:after="120" w:line="240" w:lineRule="auto"/>
        <w:ind w:left="1701" w:hanging="567"/>
        <w:rPr>
          <w:color w:val="auto"/>
          <w:sz w:val="24"/>
          <w:szCs w:val="24"/>
        </w:rPr>
      </w:pPr>
      <w:r w:rsidRPr="00DE12A3">
        <w:rPr>
          <w:color w:val="auto"/>
          <w:sz w:val="24"/>
          <w:szCs w:val="24"/>
        </w:rPr>
        <w:t xml:space="preserve">      </w:t>
      </w:r>
      <w:r w:rsidR="00242DA0" w:rsidRPr="00DE12A3">
        <w:rPr>
          <w:color w:val="auto"/>
          <w:sz w:val="24"/>
          <w:szCs w:val="24"/>
        </w:rPr>
        <w:t>PM soğutmanın çıkış kısmında örneklenemez</w:t>
      </w:r>
      <w:r w:rsidR="00B528E1" w:rsidRPr="00DE12A3">
        <w:rPr>
          <w:color w:val="auto"/>
          <w:sz w:val="24"/>
          <w:szCs w:val="24"/>
        </w:rPr>
        <w:t>.</w:t>
      </w:r>
    </w:p>
    <w:p w14:paraId="7319632B" w14:textId="044D2A18" w:rsidR="002D7B36" w:rsidRPr="00DE12A3" w:rsidRDefault="00242DA0" w:rsidP="00E20716">
      <w:pPr>
        <w:pStyle w:val="Gvdemetni251"/>
        <w:numPr>
          <w:ilvl w:val="0"/>
          <w:numId w:val="352"/>
        </w:numPr>
        <w:shd w:val="clear" w:color="auto" w:fill="auto"/>
        <w:spacing w:before="120" w:after="120" w:line="240" w:lineRule="auto"/>
        <w:ind w:left="1701" w:hanging="567"/>
        <w:rPr>
          <w:color w:val="auto"/>
          <w:sz w:val="24"/>
          <w:szCs w:val="24"/>
        </w:rPr>
      </w:pPr>
      <w:r w:rsidRPr="00DE12A3">
        <w:rPr>
          <w:color w:val="auto"/>
          <w:sz w:val="24"/>
          <w:szCs w:val="24"/>
        </w:rPr>
        <w:t>Soğutma, 475 K (202 °C) üzerindeki egzoz gazı sıcaklıklarının, 453 K (180 °C) altına düşmesine neden olursa, soğutmanın çıkış kısmında HC örneklenemez</w:t>
      </w:r>
      <w:r w:rsidR="00B528E1" w:rsidRPr="00DE12A3">
        <w:rPr>
          <w:color w:val="auto"/>
          <w:sz w:val="24"/>
          <w:szCs w:val="24"/>
        </w:rPr>
        <w:t>.</w:t>
      </w:r>
    </w:p>
    <w:p w14:paraId="2FFE61EE" w14:textId="1F547CF7" w:rsidR="002D7B36" w:rsidRPr="00DE12A3" w:rsidRDefault="009B070E" w:rsidP="00E20716">
      <w:pPr>
        <w:pStyle w:val="Gvdemetni251"/>
        <w:numPr>
          <w:ilvl w:val="0"/>
          <w:numId w:val="352"/>
        </w:numPr>
        <w:shd w:val="clear" w:color="auto" w:fill="auto"/>
        <w:spacing w:before="120" w:after="120" w:line="240" w:lineRule="auto"/>
        <w:ind w:left="1701" w:hanging="567"/>
        <w:rPr>
          <w:color w:val="auto"/>
          <w:sz w:val="24"/>
          <w:szCs w:val="24"/>
        </w:rPr>
      </w:pPr>
      <w:r w:rsidRPr="00DE12A3">
        <w:rPr>
          <w:color w:val="auto"/>
          <w:sz w:val="24"/>
          <w:szCs w:val="24"/>
        </w:rPr>
        <w:t xml:space="preserve">     </w:t>
      </w:r>
      <w:r w:rsidR="00242DA0" w:rsidRPr="00DE12A3">
        <w:rPr>
          <w:color w:val="auto"/>
          <w:sz w:val="24"/>
          <w:szCs w:val="24"/>
        </w:rPr>
        <w:t>Soğutma, sulu yoğuşmaya neden olursa, soğutucu 8.1.11.4 bendindeki performans doğrulamasını sağlamadıkça, soğutmanın çıkış kısmında NO</w:t>
      </w:r>
      <w:r w:rsidR="00242DA0" w:rsidRPr="00DE12A3">
        <w:rPr>
          <w:color w:val="auto"/>
          <w:sz w:val="24"/>
          <w:szCs w:val="24"/>
          <w:vertAlign w:val="subscript"/>
        </w:rPr>
        <w:t>x</w:t>
      </w:r>
      <w:r w:rsidR="00242DA0" w:rsidRPr="00DE12A3">
        <w:rPr>
          <w:color w:val="auto"/>
          <w:sz w:val="24"/>
          <w:szCs w:val="24"/>
        </w:rPr>
        <w:t xml:space="preserve"> örneklenemez</w:t>
      </w:r>
      <w:r w:rsidR="00B528E1" w:rsidRPr="00DE12A3">
        <w:rPr>
          <w:color w:val="auto"/>
          <w:sz w:val="24"/>
          <w:szCs w:val="24"/>
        </w:rPr>
        <w:t>.</w:t>
      </w:r>
    </w:p>
    <w:p w14:paraId="4CFFC44C" w14:textId="074AC396" w:rsidR="002D7B36" w:rsidRPr="00DE12A3" w:rsidRDefault="00242DA0" w:rsidP="00E20716">
      <w:pPr>
        <w:pStyle w:val="Gvdemetni251"/>
        <w:numPr>
          <w:ilvl w:val="0"/>
          <w:numId w:val="352"/>
        </w:numPr>
        <w:shd w:val="clear" w:color="auto" w:fill="auto"/>
        <w:spacing w:before="120" w:after="120" w:line="240" w:lineRule="auto"/>
        <w:ind w:left="1701" w:hanging="567"/>
        <w:rPr>
          <w:color w:val="auto"/>
          <w:sz w:val="24"/>
          <w:szCs w:val="24"/>
        </w:rPr>
      </w:pPr>
      <w:r w:rsidRPr="00DE12A3">
        <w:rPr>
          <w:color w:val="auto"/>
          <w:sz w:val="24"/>
          <w:szCs w:val="24"/>
        </w:rPr>
        <w:t xml:space="preserve">Soğutma, akış bir sayaca ulaşmadan önce sulu yoğuşmaya neden olursa, yoğuşma noktası </w:t>
      </w:r>
      <w:r w:rsidRPr="00DE12A3">
        <w:rPr>
          <w:i/>
          <w:iCs/>
          <w:color w:val="auto"/>
          <w:sz w:val="24"/>
          <w:szCs w:val="24"/>
        </w:rPr>
        <w:t>T</w:t>
      </w:r>
      <w:r w:rsidRPr="00DE12A3">
        <w:rPr>
          <w:color w:val="auto"/>
          <w:sz w:val="24"/>
          <w:szCs w:val="24"/>
          <w:vertAlign w:val="subscript"/>
        </w:rPr>
        <w:t>dew</w:t>
      </w:r>
      <w:r w:rsidRPr="00DE12A3">
        <w:rPr>
          <w:color w:val="auto"/>
          <w:sz w:val="24"/>
          <w:szCs w:val="24"/>
        </w:rPr>
        <w:t xml:space="preserve"> ve basınç </w:t>
      </w:r>
      <w:r w:rsidRPr="00DE12A3">
        <w:rPr>
          <w:i/>
          <w:iCs/>
          <w:color w:val="auto"/>
          <w:sz w:val="24"/>
          <w:szCs w:val="24"/>
        </w:rPr>
        <w:t>p</w:t>
      </w:r>
      <w:r w:rsidRPr="00DE12A3">
        <w:rPr>
          <w:color w:val="auto"/>
          <w:sz w:val="24"/>
          <w:szCs w:val="24"/>
          <w:vertAlign w:val="subscript"/>
        </w:rPr>
        <w:t>total</w:t>
      </w:r>
      <w:r w:rsidRPr="00DE12A3">
        <w:rPr>
          <w:color w:val="auto"/>
          <w:sz w:val="24"/>
          <w:szCs w:val="24"/>
        </w:rPr>
        <w:t xml:space="preserve"> akış sayacı girişinde ölçülmelidir. Bu değerler, </w:t>
      </w:r>
      <w:r w:rsidR="00FA0678" w:rsidRPr="00DE12A3">
        <w:rPr>
          <w:color w:val="auto"/>
          <w:sz w:val="24"/>
          <w:szCs w:val="24"/>
        </w:rPr>
        <w:t xml:space="preserve">VII’nci </w:t>
      </w:r>
      <w:r w:rsidR="00B528E1" w:rsidRPr="00DE12A3">
        <w:rPr>
          <w:color w:val="auto"/>
          <w:sz w:val="24"/>
          <w:szCs w:val="24"/>
        </w:rPr>
        <w:t>E</w:t>
      </w:r>
      <w:r w:rsidR="00FA0678" w:rsidRPr="00DE12A3">
        <w:rPr>
          <w:color w:val="auto"/>
          <w:sz w:val="24"/>
          <w:szCs w:val="24"/>
        </w:rPr>
        <w:t>k</w:t>
      </w:r>
      <w:r w:rsidRPr="00DE12A3">
        <w:rPr>
          <w:color w:val="auto"/>
          <w:sz w:val="24"/>
          <w:szCs w:val="24"/>
        </w:rPr>
        <w:t xml:space="preserve"> uyarınca emisyon hesaplamalarında kullanılmalıdır.</w:t>
      </w:r>
    </w:p>
    <w:p w14:paraId="0B1A737A" w14:textId="77777777" w:rsidR="002D7B36" w:rsidRPr="00DE12A3" w:rsidRDefault="00242DA0" w:rsidP="00E20716">
      <w:pPr>
        <w:pStyle w:val="Gvdemetni251"/>
        <w:numPr>
          <w:ilvl w:val="0"/>
          <w:numId w:val="347"/>
        </w:numPr>
        <w:shd w:val="clear" w:color="auto" w:fill="auto"/>
        <w:spacing w:before="120" w:after="120" w:line="240" w:lineRule="auto"/>
        <w:ind w:left="1134" w:hanging="1134"/>
        <w:rPr>
          <w:color w:val="auto"/>
          <w:sz w:val="24"/>
          <w:szCs w:val="24"/>
        </w:rPr>
      </w:pPr>
      <w:r w:rsidRPr="00DE12A3">
        <w:rPr>
          <w:color w:val="auto"/>
          <w:sz w:val="24"/>
          <w:szCs w:val="24"/>
        </w:rPr>
        <w:lastRenderedPageBreak/>
        <w:t>Toplu örnekleme için numune sayacı</w:t>
      </w:r>
    </w:p>
    <w:p w14:paraId="10CCB6F6" w14:textId="77777777" w:rsidR="002D7B36" w:rsidRPr="00DE12A3" w:rsidRDefault="009B070E" w:rsidP="00C917D6">
      <w:pPr>
        <w:pStyle w:val="Gvdemetni251"/>
        <w:shd w:val="clear" w:color="auto" w:fill="auto"/>
        <w:spacing w:before="120" w:after="120" w:line="240" w:lineRule="auto"/>
        <w:ind w:left="1134" w:hanging="1134"/>
        <w:rPr>
          <w:color w:val="auto"/>
          <w:sz w:val="24"/>
          <w:szCs w:val="24"/>
        </w:rPr>
      </w:pPr>
      <w:r w:rsidRPr="00DE12A3">
        <w:rPr>
          <w:color w:val="auto"/>
          <w:sz w:val="24"/>
          <w:szCs w:val="24"/>
        </w:rPr>
        <w:t xml:space="preserve">                  </w:t>
      </w:r>
      <w:r w:rsidR="00242DA0" w:rsidRPr="00DE12A3">
        <w:rPr>
          <w:color w:val="auto"/>
          <w:sz w:val="24"/>
          <w:szCs w:val="24"/>
        </w:rPr>
        <w:t>Bir test aralığı boyunca numune akış hızlarını veya toplu örnekleme sistemine örneklenen toplam akışı belirlemek için bir numune sayacı kullanılır. Örneğin kısmi akışlı seyreltme PM ölçümü ve ikincil seyreltme akışı PM ölçümü için olan iki sayaç arasındaki fark, bir seyreltme tüneline giren numune akışını hesaplamak için kullanılabilir. Orantılı bir ham egzoz gazı numunesi almak için diferansiyel akış ölçümüne ilişkin şartlar 8.1.8.6.1 bendinde belirtilmiştir ve diferansiyel akış ölçümünün kalibrasyonu 8.1.8.6.2 bendinde verilmiştir.</w:t>
      </w:r>
    </w:p>
    <w:p w14:paraId="1893B238" w14:textId="77777777" w:rsidR="002D7B36" w:rsidRPr="00DE12A3" w:rsidRDefault="009B070E" w:rsidP="00C917D6">
      <w:pPr>
        <w:pStyle w:val="Gvdemetni251"/>
        <w:shd w:val="clear" w:color="auto" w:fill="auto"/>
        <w:spacing w:before="120" w:after="120" w:line="240" w:lineRule="auto"/>
        <w:ind w:left="1134" w:hanging="1134"/>
        <w:rPr>
          <w:color w:val="auto"/>
          <w:sz w:val="24"/>
          <w:szCs w:val="24"/>
        </w:rPr>
      </w:pPr>
      <w:r w:rsidRPr="00DE12A3">
        <w:rPr>
          <w:color w:val="auto"/>
          <w:sz w:val="24"/>
          <w:szCs w:val="24"/>
        </w:rPr>
        <w:t xml:space="preserve">                  </w:t>
      </w:r>
      <w:r w:rsidR="00242DA0" w:rsidRPr="00DE12A3">
        <w:rPr>
          <w:color w:val="auto"/>
          <w:sz w:val="24"/>
          <w:szCs w:val="24"/>
        </w:rPr>
        <w:t xml:space="preserve">Numune sayacı için toplam sistem 8.1.8 bendinde belirtilen kalibrasyon </w:t>
      </w:r>
      <w:r w:rsidR="0053289F" w:rsidRPr="00DE12A3">
        <w:rPr>
          <w:color w:val="auto"/>
          <w:sz w:val="24"/>
          <w:szCs w:val="24"/>
        </w:rPr>
        <w:t>gerekliliklerini</w:t>
      </w:r>
      <w:r w:rsidR="00242DA0" w:rsidRPr="00DE12A3">
        <w:rPr>
          <w:color w:val="auto"/>
          <w:sz w:val="24"/>
          <w:szCs w:val="24"/>
        </w:rPr>
        <w:t xml:space="preserve"> sağlamalıdır.</w:t>
      </w:r>
    </w:p>
    <w:p w14:paraId="7528C051" w14:textId="77777777" w:rsidR="002D7B36" w:rsidRPr="00DE12A3" w:rsidRDefault="00242DA0" w:rsidP="00E20716">
      <w:pPr>
        <w:pStyle w:val="Gvdemetni251"/>
        <w:numPr>
          <w:ilvl w:val="0"/>
          <w:numId w:val="347"/>
        </w:numPr>
        <w:shd w:val="clear" w:color="auto" w:fill="auto"/>
        <w:spacing w:before="120" w:after="120" w:line="240" w:lineRule="auto"/>
        <w:ind w:left="1134" w:hanging="1134"/>
        <w:rPr>
          <w:color w:val="auto"/>
          <w:sz w:val="24"/>
          <w:szCs w:val="24"/>
        </w:rPr>
      </w:pPr>
      <w:r w:rsidRPr="00DE12A3">
        <w:rPr>
          <w:color w:val="auto"/>
          <w:sz w:val="24"/>
          <w:szCs w:val="24"/>
        </w:rPr>
        <w:t>Gaz bölücü</w:t>
      </w:r>
    </w:p>
    <w:p w14:paraId="3766E98C" w14:textId="77777777" w:rsidR="002D7B36" w:rsidRPr="00DE12A3" w:rsidRDefault="009B070E" w:rsidP="00C917D6">
      <w:pPr>
        <w:pStyle w:val="Gvdemetni251"/>
        <w:shd w:val="clear" w:color="auto" w:fill="auto"/>
        <w:spacing w:before="120" w:after="120" w:line="240" w:lineRule="auto"/>
        <w:ind w:left="1134" w:hanging="1134"/>
        <w:rPr>
          <w:color w:val="auto"/>
          <w:sz w:val="24"/>
          <w:szCs w:val="24"/>
        </w:rPr>
      </w:pPr>
      <w:r w:rsidRPr="00DE12A3">
        <w:rPr>
          <w:color w:val="auto"/>
          <w:sz w:val="24"/>
          <w:szCs w:val="24"/>
        </w:rPr>
        <w:t xml:space="preserve">                 </w:t>
      </w:r>
      <w:r w:rsidR="00242DA0" w:rsidRPr="00DE12A3">
        <w:rPr>
          <w:color w:val="auto"/>
          <w:sz w:val="24"/>
          <w:szCs w:val="24"/>
        </w:rPr>
        <w:t>Kalibrasyon gazlarını karıştırmak için bir gaz bölücü kullanılabilir</w:t>
      </w:r>
      <w:r w:rsidR="00242DA0" w:rsidRPr="00DE12A3">
        <w:rPr>
          <w:rStyle w:val="Gvdemetni254"/>
          <w:color w:val="auto"/>
          <w:sz w:val="24"/>
          <w:szCs w:val="24"/>
        </w:rPr>
        <w:t>.</w:t>
      </w:r>
    </w:p>
    <w:p w14:paraId="021A7F19" w14:textId="77777777" w:rsidR="002D7B36" w:rsidRPr="00DE12A3" w:rsidRDefault="009B070E" w:rsidP="00C917D6">
      <w:pPr>
        <w:pStyle w:val="Gvdemetni251"/>
        <w:shd w:val="clear" w:color="auto" w:fill="auto"/>
        <w:spacing w:before="120" w:after="120" w:line="240" w:lineRule="auto"/>
        <w:ind w:left="1134" w:hanging="1134"/>
        <w:rPr>
          <w:color w:val="auto"/>
          <w:sz w:val="24"/>
          <w:szCs w:val="24"/>
        </w:rPr>
      </w:pPr>
      <w:r w:rsidRPr="00DE12A3">
        <w:rPr>
          <w:color w:val="auto"/>
          <w:sz w:val="24"/>
          <w:szCs w:val="24"/>
        </w:rPr>
        <w:t xml:space="preserve">                  </w:t>
      </w:r>
      <w:r w:rsidR="00242DA0" w:rsidRPr="00DE12A3">
        <w:rPr>
          <w:color w:val="auto"/>
          <w:sz w:val="24"/>
          <w:szCs w:val="24"/>
        </w:rPr>
        <w:t>Gazları, 9.5.1 bendindeki şartnamelere ve test sırasında beklenen konsantrasyonlara göre harmanlayan bir gaz bölücü kullanılmalıdır. Kritik akışlı gaz bölücüler, kapiler tüp gaz bölücüler veya termal kütle sayacı gaz bölücüler kullanılabilir. Doğru gaz bölünmesini uygun şekilde sağlamak için (gaz bölücü dahili yazılımı tarafından yapılmazsa) gerektikçe viskozite düzeltmeleri uygulanmalıdır. Gaz bölücü sistemi, 8.1.4.5 bendinde belirtilen doğrusallık doğrulamasını sağlamalıdır. İsteğe bağlı olarak, harmanlama cihazı yapısı gereği doğrusal olan bir cihaz ile, örneğin bir CLD ile NO gazı kullanarak kontrol edilebilir. Cihazın ayar değeri, cihaza doğrudan bağlı olan ayar gazı ile ayarlanmalıdır. Gaz bölücü kullanılan ayarlarda kontrol edilmeli ve nominal değer cihazın ölçülen konsantrasyonuyla karşılaştırılmalıdır</w:t>
      </w:r>
      <w:r w:rsidR="00242DA0" w:rsidRPr="00DE12A3">
        <w:rPr>
          <w:rStyle w:val="Gvdemetni254"/>
          <w:color w:val="auto"/>
          <w:sz w:val="24"/>
          <w:szCs w:val="24"/>
        </w:rPr>
        <w:t>.</w:t>
      </w:r>
    </w:p>
    <w:p w14:paraId="4D8A9063" w14:textId="77777777" w:rsidR="002D7B36" w:rsidRPr="00DE12A3" w:rsidRDefault="0004154E" w:rsidP="0004154E">
      <w:pPr>
        <w:pStyle w:val="Gvdemetni251"/>
        <w:shd w:val="clear" w:color="auto" w:fill="auto"/>
        <w:spacing w:before="120" w:after="120" w:line="240" w:lineRule="auto"/>
        <w:ind w:firstLine="0"/>
        <w:rPr>
          <w:color w:val="auto"/>
          <w:sz w:val="24"/>
          <w:szCs w:val="24"/>
        </w:rPr>
      </w:pPr>
      <w:r w:rsidRPr="00DE12A3">
        <w:rPr>
          <w:color w:val="auto"/>
          <w:sz w:val="24"/>
          <w:szCs w:val="24"/>
        </w:rPr>
        <w:t>9.4.6.</w:t>
      </w:r>
      <w:r w:rsidR="00464AC4" w:rsidRPr="00DE12A3">
        <w:rPr>
          <w:color w:val="auto"/>
          <w:sz w:val="24"/>
          <w:szCs w:val="24"/>
        </w:rPr>
        <w:t xml:space="preserve">       </w:t>
      </w:r>
      <w:r w:rsidR="00242DA0" w:rsidRPr="00DE12A3">
        <w:rPr>
          <w:color w:val="auto"/>
          <w:sz w:val="24"/>
          <w:szCs w:val="24"/>
        </w:rPr>
        <w:t>CO ve CO</w:t>
      </w:r>
      <w:r w:rsidR="00242DA0" w:rsidRPr="00DE12A3">
        <w:rPr>
          <w:color w:val="auto"/>
          <w:sz w:val="24"/>
          <w:szCs w:val="24"/>
          <w:vertAlign w:val="subscript"/>
        </w:rPr>
        <w:t>2</w:t>
      </w:r>
      <w:r w:rsidR="00242DA0" w:rsidRPr="00DE12A3">
        <w:rPr>
          <w:color w:val="auto"/>
          <w:sz w:val="24"/>
          <w:szCs w:val="24"/>
        </w:rPr>
        <w:t xml:space="preserve"> ölçümleri</w:t>
      </w:r>
    </w:p>
    <w:p w14:paraId="57D2098C" w14:textId="77777777" w:rsidR="002D7B36" w:rsidRPr="00DE12A3" w:rsidRDefault="00464AC4" w:rsidP="00C917D6">
      <w:pPr>
        <w:pStyle w:val="Gvdemetni251"/>
        <w:shd w:val="clear" w:color="auto" w:fill="auto"/>
        <w:spacing w:before="120" w:after="120" w:line="240" w:lineRule="auto"/>
        <w:ind w:left="1134" w:hanging="1134"/>
        <w:rPr>
          <w:color w:val="auto"/>
          <w:sz w:val="24"/>
          <w:szCs w:val="24"/>
        </w:rPr>
      </w:pPr>
      <w:r w:rsidRPr="00DE12A3">
        <w:rPr>
          <w:color w:val="auto"/>
          <w:sz w:val="24"/>
          <w:szCs w:val="24"/>
        </w:rPr>
        <w:t xml:space="preserve">                  </w:t>
      </w:r>
      <w:r w:rsidR="00242DA0" w:rsidRPr="00DE12A3">
        <w:rPr>
          <w:color w:val="auto"/>
          <w:sz w:val="24"/>
          <w:szCs w:val="24"/>
        </w:rPr>
        <w:t>Toplu veya sürekli örnekleme için ham veya seyreltik egzoz gazındaki CO ve CO</w:t>
      </w:r>
      <w:r w:rsidR="00242DA0" w:rsidRPr="00DE12A3">
        <w:rPr>
          <w:color w:val="auto"/>
          <w:sz w:val="24"/>
          <w:szCs w:val="24"/>
          <w:vertAlign w:val="subscript"/>
        </w:rPr>
        <w:t>2</w:t>
      </w:r>
      <w:r w:rsidR="00242DA0" w:rsidRPr="00DE12A3">
        <w:rPr>
          <w:color w:val="auto"/>
          <w:sz w:val="24"/>
          <w:szCs w:val="24"/>
        </w:rPr>
        <w:t xml:space="preserve"> konsantrasyonlarını ölçmek amacıyla bir saçılımsız kızılötesi analiz cihazı (NDIR) kullanılmalıdır</w:t>
      </w:r>
      <w:r w:rsidR="00242DA0" w:rsidRPr="00DE12A3">
        <w:rPr>
          <w:rStyle w:val="Gvdemetni254"/>
          <w:color w:val="auto"/>
          <w:sz w:val="24"/>
          <w:szCs w:val="24"/>
        </w:rPr>
        <w:t>.</w:t>
      </w:r>
    </w:p>
    <w:p w14:paraId="2FC519B3" w14:textId="77777777" w:rsidR="002D7B36" w:rsidRPr="00DE12A3" w:rsidRDefault="00464AC4" w:rsidP="00C917D6">
      <w:pPr>
        <w:pStyle w:val="Gvdemetni251"/>
        <w:shd w:val="clear" w:color="auto" w:fill="auto"/>
        <w:spacing w:before="120" w:after="120" w:line="240" w:lineRule="auto"/>
        <w:ind w:left="1134" w:hanging="1134"/>
        <w:rPr>
          <w:color w:val="auto"/>
          <w:sz w:val="24"/>
          <w:szCs w:val="24"/>
        </w:rPr>
      </w:pPr>
      <w:r w:rsidRPr="00DE12A3">
        <w:rPr>
          <w:color w:val="auto"/>
          <w:sz w:val="24"/>
          <w:szCs w:val="24"/>
        </w:rPr>
        <w:t xml:space="preserve">                  </w:t>
      </w:r>
      <w:r w:rsidR="00242DA0" w:rsidRPr="00DE12A3">
        <w:rPr>
          <w:color w:val="auto"/>
          <w:sz w:val="24"/>
          <w:szCs w:val="24"/>
        </w:rPr>
        <w:t>NDIR esaslı sistem, duruma göre 8.1.9.1 veya 8.1.9.2 bentlerinde belirtilen kalibrasyon ve doğrulamaları sağlamalıdır</w:t>
      </w:r>
      <w:r w:rsidR="00242DA0" w:rsidRPr="00DE12A3">
        <w:rPr>
          <w:rStyle w:val="Gvdemetni254"/>
          <w:color w:val="auto"/>
          <w:sz w:val="24"/>
          <w:szCs w:val="24"/>
        </w:rPr>
        <w:t>.</w:t>
      </w:r>
    </w:p>
    <w:p w14:paraId="3777B9B3" w14:textId="77777777" w:rsidR="002D7B36" w:rsidRPr="00DE12A3" w:rsidRDefault="0004154E" w:rsidP="0004154E">
      <w:pPr>
        <w:pStyle w:val="Gvdemetni251"/>
        <w:shd w:val="clear" w:color="auto" w:fill="auto"/>
        <w:spacing w:before="120" w:after="120" w:line="240" w:lineRule="auto"/>
        <w:ind w:firstLine="0"/>
        <w:rPr>
          <w:color w:val="auto"/>
          <w:sz w:val="24"/>
          <w:szCs w:val="24"/>
        </w:rPr>
      </w:pPr>
      <w:r w:rsidRPr="00DE12A3">
        <w:rPr>
          <w:color w:val="auto"/>
          <w:sz w:val="24"/>
          <w:szCs w:val="24"/>
        </w:rPr>
        <w:t>9.4.7.</w:t>
      </w:r>
      <w:r w:rsidR="00464AC4" w:rsidRPr="00DE12A3">
        <w:rPr>
          <w:color w:val="auto"/>
          <w:sz w:val="24"/>
          <w:szCs w:val="24"/>
        </w:rPr>
        <w:t xml:space="preserve">       </w:t>
      </w:r>
      <w:r w:rsidR="00242DA0" w:rsidRPr="00DE12A3">
        <w:rPr>
          <w:color w:val="auto"/>
          <w:sz w:val="24"/>
          <w:szCs w:val="24"/>
        </w:rPr>
        <w:t>Hidrokarbon ölçümleri</w:t>
      </w:r>
    </w:p>
    <w:p w14:paraId="071BE16C" w14:textId="77777777" w:rsidR="002D7B36" w:rsidRPr="00DE12A3" w:rsidRDefault="00242DA0" w:rsidP="00E20716">
      <w:pPr>
        <w:pStyle w:val="Gvdemetni251"/>
        <w:numPr>
          <w:ilvl w:val="0"/>
          <w:numId w:val="353"/>
        </w:numPr>
        <w:shd w:val="clear" w:color="auto" w:fill="auto"/>
        <w:spacing w:before="120" w:after="120" w:line="240" w:lineRule="auto"/>
        <w:ind w:left="1134" w:hanging="1134"/>
        <w:rPr>
          <w:color w:val="auto"/>
          <w:sz w:val="24"/>
          <w:szCs w:val="24"/>
        </w:rPr>
      </w:pPr>
      <w:r w:rsidRPr="00DE12A3">
        <w:rPr>
          <w:color w:val="auto"/>
          <w:sz w:val="24"/>
          <w:szCs w:val="24"/>
        </w:rPr>
        <w:t>Alev iyonlaşma detektörü</w:t>
      </w:r>
    </w:p>
    <w:p w14:paraId="53A39418" w14:textId="77777777" w:rsidR="002D7B36" w:rsidRPr="00DE12A3" w:rsidRDefault="00242DA0" w:rsidP="00E20716">
      <w:pPr>
        <w:pStyle w:val="Gvdemetni251"/>
        <w:numPr>
          <w:ilvl w:val="0"/>
          <w:numId w:val="354"/>
        </w:numPr>
        <w:shd w:val="clear" w:color="auto" w:fill="auto"/>
        <w:spacing w:before="120" w:after="120" w:line="240" w:lineRule="auto"/>
        <w:ind w:left="1134" w:hanging="1134"/>
        <w:rPr>
          <w:color w:val="auto"/>
          <w:sz w:val="24"/>
          <w:szCs w:val="24"/>
        </w:rPr>
      </w:pPr>
      <w:r w:rsidRPr="00DE12A3">
        <w:rPr>
          <w:color w:val="auto"/>
          <w:sz w:val="24"/>
          <w:szCs w:val="24"/>
        </w:rPr>
        <w:t>Uygulama</w:t>
      </w:r>
    </w:p>
    <w:p w14:paraId="45754ED6" w14:textId="77777777" w:rsidR="002D7B36" w:rsidRPr="00DE12A3" w:rsidRDefault="00464AC4" w:rsidP="00C917D6">
      <w:pPr>
        <w:pStyle w:val="Gvdemetni251"/>
        <w:shd w:val="clear" w:color="auto" w:fill="auto"/>
        <w:spacing w:before="120" w:after="120" w:line="240" w:lineRule="auto"/>
        <w:ind w:left="1134" w:hanging="1134"/>
        <w:rPr>
          <w:color w:val="auto"/>
          <w:sz w:val="24"/>
          <w:szCs w:val="24"/>
        </w:rPr>
      </w:pPr>
      <w:r w:rsidRPr="00DE12A3">
        <w:rPr>
          <w:color w:val="auto"/>
          <w:sz w:val="24"/>
          <w:szCs w:val="24"/>
        </w:rPr>
        <w:t xml:space="preserve">                  </w:t>
      </w:r>
      <w:r w:rsidR="00242DA0" w:rsidRPr="00DE12A3">
        <w:rPr>
          <w:color w:val="auto"/>
          <w:sz w:val="24"/>
          <w:szCs w:val="24"/>
        </w:rPr>
        <w:t>Toplu veya sürekli örnekleme için ham veya seyreltilmiş egzoz gazındaki hidrokarbon konsantrasyonlarını ölçmek amacıyla bir ısıtılmış alev iyonlaştırma detektörü (HFID) analiz cihazı kullanılmalıdır. Hidrokarbon konsantrasyonları, bir karbon sayısı, C1 bazında belirlenir. Isıtılmış FID analiz cihazları, emisyonlara maruz kalan tüm yüzeyleri 464 ± 11 K (191 ± 11 °C) sıcaklıkta tutmalıdır. İsteğe bağlı olarak, NG ve LPG yakıtlı ve SI motorlarda, hidrokarbon analiz cihazı, ısıtılmamış alev iyonlaştırma detektörü (FID) tipinde olabilir</w:t>
      </w:r>
      <w:r w:rsidR="00242DA0" w:rsidRPr="00DE12A3">
        <w:rPr>
          <w:rStyle w:val="Gvdemetni254"/>
          <w:color w:val="auto"/>
          <w:sz w:val="24"/>
          <w:szCs w:val="24"/>
        </w:rPr>
        <w:t>.</w:t>
      </w:r>
    </w:p>
    <w:p w14:paraId="405E33B8" w14:textId="77777777" w:rsidR="002D7B36" w:rsidRPr="00DE12A3" w:rsidRDefault="00242DA0" w:rsidP="00E20716">
      <w:pPr>
        <w:pStyle w:val="Gvdemetni251"/>
        <w:numPr>
          <w:ilvl w:val="0"/>
          <w:numId w:val="354"/>
        </w:numPr>
        <w:shd w:val="clear" w:color="auto" w:fill="auto"/>
        <w:spacing w:before="120" w:after="120" w:line="240" w:lineRule="auto"/>
        <w:ind w:left="1134" w:hanging="1134"/>
        <w:rPr>
          <w:color w:val="auto"/>
          <w:sz w:val="24"/>
          <w:szCs w:val="24"/>
        </w:rPr>
      </w:pPr>
      <w:r w:rsidRPr="00DE12A3">
        <w:rPr>
          <w:color w:val="auto"/>
          <w:sz w:val="24"/>
          <w:szCs w:val="24"/>
        </w:rPr>
        <w:t xml:space="preserve">Bileşen </w:t>
      </w:r>
      <w:r w:rsidR="0053289F" w:rsidRPr="00DE12A3">
        <w:rPr>
          <w:color w:val="auto"/>
          <w:sz w:val="24"/>
          <w:szCs w:val="24"/>
        </w:rPr>
        <w:t>gereklilikleri</w:t>
      </w:r>
    </w:p>
    <w:p w14:paraId="78F2FAB9" w14:textId="77777777" w:rsidR="002D7B36" w:rsidRPr="00DE12A3" w:rsidRDefault="00464AC4" w:rsidP="00C917D6">
      <w:pPr>
        <w:pStyle w:val="Gvdemetni251"/>
        <w:shd w:val="clear" w:color="auto" w:fill="auto"/>
        <w:spacing w:before="120" w:after="120" w:line="240" w:lineRule="auto"/>
        <w:ind w:left="1134" w:hanging="1134"/>
        <w:rPr>
          <w:color w:val="auto"/>
          <w:sz w:val="24"/>
          <w:szCs w:val="24"/>
        </w:rPr>
      </w:pPr>
      <w:r w:rsidRPr="00DE12A3">
        <w:rPr>
          <w:color w:val="auto"/>
          <w:sz w:val="24"/>
          <w:szCs w:val="24"/>
        </w:rPr>
        <w:t xml:space="preserve">                  </w:t>
      </w:r>
      <w:r w:rsidR="00242DA0" w:rsidRPr="00DE12A3">
        <w:rPr>
          <w:color w:val="auto"/>
          <w:sz w:val="24"/>
          <w:szCs w:val="24"/>
        </w:rPr>
        <w:t>THC'yi ölçmek için FID esaslı sistem, 8.1.10 bendindeki hidrokarbon ölçümüne ilişkin doğrulamaları sağlamalıdır</w:t>
      </w:r>
      <w:r w:rsidR="00242DA0" w:rsidRPr="00DE12A3">
        <w:rPr>
          <w:rStyle w:val="Gvdemetni254"/>
          <w:color w:val="auto"/>
          <w:sz w:val="24"/>
          <w:szCs w:val="24"/>
        </w:rPr>
        <w:t>.</w:t>
      </w:r>
    </w:p>
    <w:p w14:paraId="1C898618" w14:textId="77777777" w:rsidR="002D7B36" w:rsidRPr="00DE12A3" w:rsidRDefault="00242DA0" w:rsidP="00E20716">
      <w:pPr>
        <w:pStyle w:val="Gvdemetni251"/>
        <w:numPr>
          <w:ilvl w:val="0"/>
          <w:numId w:val="354"/>
        </w:numPr>
        <w:shd w:val="clear" w:color="auto" w:fill="auto"/>
        <w:spacing w:before="120" w:after="120" w:line="240" w:lineRule="auto"/>
        <w:ind w:left="1134" w:hanging="1134"/>
        <w:rPr>
          <w:color w:val="auto"/>
          <w:sz w:val="24"/>
          <w:szCs w:val="24"/>
        </w:rPr>
      </w:pPr>
      <w:r w:rsidRPr="00DE12A3">
        <w:rPr>
          <w:color w:val="auto"/>
          <w:sz w:val="24"/>
          <w:szCs w:val="24"/>
        </w:rPr>
        <w:t>FID yakıt ve brülör havası</w:t>
      </w:r>
    </w:p>
    <w:p w14:paraId="62E9F5FF" w14:textId="77777777" w:rsidR="002D7B36" w:rsidRPr="00DE12A3" w:rsidRDefault="00464AC4" w:rsidP="00C917D6">
      <w:pPr>
        <w:pStyle w:val="Gvdemetni251"/>
        <w:shd w:val="clear" w:color="auto" w:fill="auto"/>
        <w:spacing w:before="120" w:after="120" w:line="240" w:lineRule="auto"/>
        <w:ind w:left="1134" w:hanging="1134"/>
        <w:rPr>
          <w:color w:val="auto"/>
          <w:sz w:val="24"/>
          <w:szCs w:val="24"/>
        </w:rPr>
      </w:pPr>
      <w:r w:rsidRPr="00DE12A3">
        <w:rPr>
          <w:color w:val="auto"/>
          <w:sz w:val="24"/>
          <w:szCs w:val="24"/>
        </w:rPr>
        <w:t xml:space="preserve">                  </w:t>
      </w:r>
      <w:r w:rsidR="00242DA0" w:rsidRPr="00DE12A3">
        <w:rPr>
          <w:color w:val="auto"/>
          <w:sz w:val="24"/>
          <w:szCs w:val="24"/>
        </w:rPr>
        <w:t xml:space="preserve">FID yakıt ve brülör havası, 9.5.1 bendindeki </w:t>
      </w:r>
      <w:r w:rsidR="0053289F" w:rsidRPr="00DE12A3">
        <w:rPr>
          <w:color w:val="auto"/>
          <w:sz w:val="24"/>
          <w:szCs w:val="24"/>
        </w:rPr>
        <w:t>gereklilikleri</w:t>
      </w:r>
      <w:r w:rsidR="00242DA0" w:rsidRPr="00DE12A3">
        <w:rPr>
          <w:color w:val="auto"/>
          <w:sz w:val="24"/>
          <w:szCs w:val="24"/>
        </w:rPr>
        <w:t xml:space="preserve"> sağlamalıdır. FID yakıt ve brülör havası, FID analiz cihazının önceden karıştırılmış bir alevle değil </w:t>
      </w:r>
      <w:r w:rsidR="00242DA0" w:rsidRPr="00DE12A3">
        <w:rPr>
          <w:color w:val="auto"/>
          <w:sz w:val="24"/>
          <w:szCs w:val="24"/>
        </w:rPr>
        <w:lastRenderedPageBreak/>
        <w:t>difüzyon aleviyle çalışmasını sağlamak için FID analiz cihazına girmeden önce karışmamalıdır</w:t>
      </w:r>
      <w:r w:rsidR="00242DA0" w:rsidRPr="00DE12A3">
        <w:rPr>
          <w:rStyle w:val="Gvdemetni254"/>
          <w:color w:val="auto"/>
          <w:sz w:val="24"/>
          <w:szCs w:val="24"/>
        </w:rPr>
        <w:t>.</w:t>
      </w:r>
    </w:p>
    <w:p w14:paraId="448F2914" w14:textId="4E54CDB0" w:rsidR="002D7B36" w:rsidRPr="00DE12A3" w:rsidRDefault="00242DA0" w:rsidP="00E20716">
      <w:pPr>
        <w:pStyle w:val="Gvdemetni251"/>
        <w:numPr>
          <w:ilvl w:val="0"/>
          <w:numId w:val="354"/>
        </w:numPr>
        <w:shd w:val="clear" w:color="auto" w:fill="auto"/>
        <w:spacing w:before="120" w:after="120" w:line="240" w:lineRule="auto"/>
        <w:ind w:left="1134" w:hanging="1134"/>
        <w:rPr>
          <w:color w:val="auto"/>
          <w:sz w:val="24"/>
          <w:szCs w:val="24"/>
        </w:rPr>
      </w:pPr>
      <w:bookmarkStart w:id="23" w:name="_Hlk22656284"/>
      <w:r w:rsidRPr="00DE12A3">
        <w:rPr>
          <w:rStyle w:val="Gvdemetni254"/>
          <w:color w:val="auto"/>
          <w:sz w:val="24"/>
          <w:szCs w:val="24"/>
        </w:rPr>
        <w:t>Ayrılmış</w:t>
      </w:r>
      <w:bookmarkEnd w:id="23"/>
    </w:p>
    <w:p w14:paraId="4327BE41" w14:textId="77777777" w:rsidR="002D7B36" w:rsidRPr="00DE12A3" w:rsidRDefault="00242DA0" w:rsidP="00E20716">
      <w:pPr>
        <w:pStyle w:val="Gvdemetni251"/>
        <w:numPr>
          <w:ilvl w:val="0"/>
          <w:numId w:val="354"/>
        </w:numPr>
        <w:shd w:val="clear" w:color="auto" w:fill="auto"/>
        <w:spacing w:before="120" w:after="120" w:line="240" w:lineRule="auto"/>
        <w:ind w:left="1134" w:hanging="1134"/>
        <w:rPr>
          <w:color w:val="auto"/>
          <w:sz w:val="24"/>
          <w:szCs w:val="24"/>
        </w:rPr>
      </w:pPr>
      <w:r w:rsidRPr="00DE12A3">
        <w:rPr>
          <w:color w:val="auto"/>
          <w:sz w:val="24"/>
          <w:szCs w:val="24"/>
        </w:rPr>
        <w:t>Ayrılmış</w:t>
      </w:r>
    </w:p>
    <w:p w14:paraId="66BAA338" w14:textId="77777777" w:rsidR="002D7B36" w:rsidRPr="00DE12A3" w:rsidRDefault="00464AC4" w:rsidP="00E20716">
      <w:pPr>
        <w:pStyle w:val="Gvdemetni251"/>
        <w:numPr>
          <w:ilvl w:val="0"/>
          <w:numId w:val="353"/>
        </w:numPr>
        <w:shd w:val="clear" w:color="auto" w:fill="auto"/>
        <w:tabs>
          <w:tab w:val="left" w:pos="902"/>
        </w:tabs>
        <w:spacing w:before="120" w:after="120" w:line="240" w:lineRule="auto"/>
        <w:ind w:left="1134" w:hanging="1134"/>
        <w:rPr>
          <w:color w:val="auto"/>
          <w:sz w:val="24"/>
          <w:szCs w:val="24"/>
        </w:rPr>
      </w:pPr>
      <w:r w:rsidRPr="00DE12A3">
        <w:rPr>
          <w:color w:val="auto"/>
          <w:sz w:val="24"/>
          <w:szCs w:val="24"/>
        </w:rPr>
        <w:t xml:space="preserve">    </w:t>
      </w:r>
      <w:r w:rsidR="00242DA0" w:rsidRPr="00DE12A3">
        <w:rPr>
          <w:color w:val="auto"/>
          <w:sz w:val="24"/>
          <w:szCs w:val="24"/>
        </w:rPr>
        <w:t>Ayrılmış</w:t>
      </w:r>
    </w:p>
    <w:p w14:paraId="211492DB" w14:textId="77777777" w:rsidR="002D7B36" w:rsidRPr="00DE12A3" w:rsidRDefault="00464AC4" w:rsidP="00E20716">
      <w:pPr>
        <w:pStyle w:val="Gvdemetni251"/>
        <w:numPr>
          <w:ilvl w:val="2"/>
          <w:numId w:val="450"/>
        </w:numPr>
        <w:shd w:val="clear" w:color="auto" w:fill="auto"/>
        <w:spacing w:before="120" w:after="120" w:line="240" w:lineRule="auto"/>
        <w:ind w:left="1134" w:hanging="1134"/>
        <w:rPr>
          <w:color w:val="auto"/>
          <w:sz w:val="24"/>
          <w:szCs w:val="24"/>
        </w:rPr>
      </w:pPr>
      <w:r w:rsidRPr="00DE12A3">
        <w:rPr>
          <w:color w:val="auto"/>
          <w:sz w:val="24"/>
          <w:szCs w:val="24"/>
        </w:rPr>
        <w:t xml:space="preserve">       </w:t>
      </w:r>
      <w:r w:rsidR="00242DA0" w:rsidRPr="00DE12A3">
        <w:rPr>
          <w:color w:val="auto"/>
          <w:sz w:val="24"/>
          <w:szCs w:val="24"/>
        </w:rPr>
        <w:t>NO</w:t>
      </w:r>
      <w:r w:rsidR="00242DA0" w:rsidRPr="00DE12A3">
        <w:rPr>
          <w:color w:val="auto"/>
          <w:sz w:val="24"/>
          <w:szCs w:val="24"/>
          <w:vertAlign w:val="subscript"/>
        </w:rPr>
        <w:t>x</w:t>
      </w:r>
      <w:r w:rsidR="00242DA0" w:rsidRPr="00DE12A3">
        <w:rPr>
          <w:color w:val="auto"/>
          <w:sz w:val="24"/>
          <w:szCs w:val="24"/>
        </w:rPr>
        <w:t xml:space="preserve"> ölçümü için iki ölçüm cihazı belirtilmiştir ve sırasıyla 9.4.8.1 veya 9.4.8.2 bentlerinde belirtilen kriterleri sağlaması koşuluyla her iki cihaz da kullanılabilir. 5.1.1 bendi uyarınca önerilen tüm alternatif ölçüm prosedürleri ile karşılaştırma için referans prosedür olarak kemilüminesan detektör kullanılmalıdır</w:t>
      </w:r>
      <w:r w:rsidR="00242DA0" w:rsidRPr="00DE12A3">
        <w:rPr>
          <w:rStyle w:val="Gvdemetni254"/>
          <w:color w:val="auto"/>
          <w:sz w:val="24"/>
          <w:szCs w:val="24"/>
        </w:rPr>
        <w:t>.</w:t>
      </w:r>
    </w:p>
    <w:p w14:paraId="2D52AA89" w14:textId="77777777" w:rsidR="002D7B36" w:rsidRPr="00DE12A3" w:rsidRDefault="00242DA0" w:rsidP="00E20716">
      <w:pPr>
        <w:pStyle w:val="Gvdemetni251"/>
        <w:numPr>
          <w:ilvl w:val="0"/>
          <w:numId w:val="355"/>
        </w:numPr>
        <w:shd w:val="clear" w:color="auto" w:fill="auto"/>
        <w:spacing w:before="120" w:after="120" w:line="240" w:lineRule="auto"/>
        <w:ind w:left="1134" w:hanging="1134"/>
        <w:rPr>
          <w:color w:val="auto"/>
          <w:sz w:val="24"/>
          <w:szCs w:val="24"/>
        </w:rPr>
      </w:pPr>
      <w:r w:rsidRPr="00DE12A3">
        <w:rPr>
          <w:color w:val="auto"/>
          <w:sz w:val="24"/>
          <w:szCs w:val="24"/>
        </w:rPr>
        <w:t>Kemilüminesan detektör</w:t>
      </w:r>
    </w:p>
    <w:p w14:paraId="57650E7A" w14:textId="77777777" w:rsidR="002D7B36" w:rsidRPr="00DE12A3" w:rsidRDefault="00242DA0" w:rsidP="00E20716">
      <w:pPr>
        <w:pStyle w:val="Gvdemetni251"/>
        <w:numPr>
          <w:ilvl w:val="0"/>
          <w:numId w:val="356"/>
        </w:numPr>
        <w:shd w:val="clear" w:color="auto" w:fill="auto"/>
        <w:spacing w:before="120" w:after="120" w:line="240" w:lineRule="auto"/>
        <w:ind w:left="1134" w:hanging="1134"/>
        <w:rPr>
          <w:color w:val="auto"/>
          <w:sz w:val="24"/>
          <w:szCs w:val="24"/>
        </w:rPr>
      </w:pPr>
      <w:r w:rsidRPr="00DE12A3">
        <w:rPr>
          <w:color w:val="auto"/>
          <w:sz w:val="24"/>
          <w:szCs w:val="24"/>
        </w:rPr>
        <w:t>Uygulama</w:t>
      </w:r>
    </w:p>
    <w:p w14:paraId="5AE94DD0" w14:textId="33A11F50" w:rsidR="002D7B36" w:rsidRPr="00DE12A3" w:rsidRDefault="00464AC4" w:rsidP="00C917D6">
      <w:pPr>
        <w:pStyle w:val="Gvdemetni251"/>
        <w:shd w:val="clear" w:color="auto" w:fill="auto"/>
        <w:spacing w:before="120" w:after="120" w:line="240" w:lineRule="auto"/>
        <w:ind w:left="1134" w:hanging="1134"/>
        <w:rPr>
          <w:color w:val="auto"/>
          <w:sz w:val="24"/>
          <w:szCs w:val="24"/>
        </w:rPr>
      </w:pPr>
      <w:r w:rsidRPr="00DE12A3">
        <w:rPr>
          <w:color w:val="auto"/>
          <w:sz w:val="24"/>
          <w:szCs w:val="24"/>
        </w:rPr>
        <w:t xml:space="preserve">                  </w:t>
      </w:r>
      <w:r w:rsidR="00242DA0" w:rsidRPr="00DE12A3">
        <w:rPr>
          <w:color w:val="auto"/>
          <w:sz w:val="24"/>
          <w:szCs w:val="24"/>
        </w:rPr>
        <w:t>Toplu veya sürekli örnekleme için ham veya seyreltilmiş egzoz gazındaki NO</w:t>
      </w:r>
      <w:r w:rsidR="00242DA0" w:rsidRPr="00DE12A3">
        <w:rPr>
          <w:color w:val="auto"/>
          <w:sz w:val="24"/>
          <w:szCs w:val="24"/>
          <w:vertAlign w:val="subscript"/>
        </w:rPr>
        <w:t xml:space="preserve">x </w:t>
      </w:r>
      <w:r w:rsidR="00242DA0" w:rsidRPr="00DE12A3">
        <w:rPr>
          <w:color w:val="auto"/>
          <w:sz w:val="24"/>
          <w:szCs w:val="24"/>
        </w:rPr>
        <w:t>konsantrasyonunu ölçmek amacıyla bir NO</w:t>
      </w:r>
      <w:r w:rsidR="00C45656" w:rsidRPr="00DE12A3">
        <w:rPr>
          <w:color w:val="auto"/>
          <w:sz w:val="24"/>
          <w:szCs w:val="24"/>
          <w:vertAlign w:val="subscript"/>
        </w:rPr>
        <w:t>2-</w:t>
      </w:r>
      <w:r w:rsidR="00242DA0" w:rsidRPr="00DE12A3">
        <w:rPr>
          <w:color w:val="auto"/>
          <w:sz w:val="24"/>
          <w:szCs w:val="24"/>
        </w:rPr>
        <w:t xml:space="preserve"> NO konkvertörü ile birleştirilmiş bir kemilüminesan detektör (CLD) kullanılır</w:t>
      </w:r>
      <w:r w:rsidR="00242DA0" w:rsidRPr="00DE12A3">
        <w:rPr>
          <w:rStyle w:val="Gvdemetni254"/>
          <w:color w:val="auto"/>
          <w:sz w:val="24"/>
          <w:szCs w:val="24"/>
        </w:rPr>
        <w:t>.</w:t>
      </w:r>
    </w:p>
    <w:p w14:paraId="435B0931" w14:textId="77777777" w:rsidR="002D7B36" w:rsidRPr="00DE12A3" w:rsidRDefault="00242DA0" w:rsidP="00E20716">
      <w:pPr>
        <w:pStyle w:val="Gvdemetni251"/>
        <w:numPr>
          <w:ilvl w:val="0"/>
          <w:numId w:val="356"/>
        </w:numPr>
        <w:shd w:val="clear" w:color="auto" w:fill="auto"/>
        <w:spacing w:before="120" w:after="120" w:line="240" w:lineRule="auto"/>
        <w:ind w:left="1134" w:hanging="1134"/>
        <w:rPr>
          <w:color w:val="auto"/>
          <w:sz w:val="24"/>
          <w:szCs w:val="24"/>
        </w:rPr>
      </w:pPr>
      <w:r w:rsidRPr="00DE12A3">
        <w:rPr>
          <w:color w:val="auto"/>
          <w:sz w:val="24"/>
          <w:szCs w:val="24"/>
        </w:rPr>
        <w:t xml:space="preserve">Bileşen </w:t>
      </w:r>
      <w:r w:rsidR="0053289F" w:rsidRPr="00DE12A3">
        <w:rPr>
          <w:color w:val="auto"/>
          <w:sz w:val="24"/>
          <w:szCs w:val="24"/>
        </w:rPr>
        <w:t>gereklilikleri</w:t>
      </w:r>
    </w:p>
    <w:p w14:paraId="167C7478" w14:textId="77777777" w:rsidR="002D7B36" w:rsidRPr="00DE12A3" w:rsidRDefault="00464AC4" w:rsidP="00C917D6">
      <w:pPr>
        <w:pStyle w:val="Gvdemetni251"/>
        <w:shd w:val="clear" w:color="auto" w:fill="auto"/>
        <w:spacing w:before="120" w:after="120" w:line="240" w:lineRule="auto"/>
        <w:ind w:left="1134" w:hanging="1134"/>
        <w:rPr>
          <w:color w:val="auto"/>
          <w:sz w:val="24"/>
          <w:szCs w:val="24"/>
        </w:rPr>
      </w:pPr>
      <w:r w:rsidRPr="00DE12A3">
        <w:rPr>
          <w:color w:val="auto"/>
          <w:sz w:val="24"/>
          <w:szCs w:val="24"/>
        </w:rPr>
        <w:t xml:space="preserve">                  </w:t>
      </w:r>
      <w:r w:rsidR="00242DA0" w:rsidRPr="00DE12A3">
        <w:rPr>
          <w:color w:val="auto"/>
          <w:sz w:val="24"/>
          <w:szCs w:val="24"/>
        </w:rPr>
        <w:t>CLD esaslı sistem, 8.1.11.1 bendinde belirtilen soğutma doğrulamasını sağlamalıdır. Isıtılmış veya ısıtılmamış bir CLD kullanılabilir ve atmosferik basınçta veya bir vakum altında çalışan bir CLD kullanılabilir</w:t>
      </w:r>
      <w:r w:rsidR="00242DA0" w:rsidRPr="00DE12A3">
        <w:rPr>
          <w:rStyle w:val="Gvdemetni254"/>
          <w:color w:val="auto"/>
          <w:sz w:val="24"/>
          <w:szCs w:val="24"/>
        </w:rPr>
        <w:t>.</w:t>
      </w:r>
    </w:p>
    <w:p w14:paraId="3F8CE700" w14:textId="77777777" w:rsidR="002D7B36" w:rsidRPr="00DE12A3" w:rsidRDefault="00242DA0" w:rsidP="00E20716">
      <w:pPr>
        <w:pStyle w:val="Gvdemetni251"/>
        <w:numPr>
          <w:ilvl w:val="0"/>
          <w:numId w:val="356"/>
        </w:numPr>
        <w:shd w:val="clear" w:color="auto" w:fill="auto"/>
        <w:spacing w:before="120" w:after="120" w:line="240" w:lineRule="auto"/>
        <w:ind w:left="1134" w:hanging="1134"/>
        <w:rPr>
          <w:color w:val="auto"/>
          <w:sz w:val="24"/>
          <w:szCs w:val="24"/>
        </w:rPr>
      </w:pPr>
      <w:r w:rsidRPr="00DE12A3">
        <w:rPr>
          <w:rStyle w:val="Gvdemetni254"/>
          <w:color w:val="auto"/>
          <w:sz w:val="24"/>
          <w:szCs w:val="24"/>
        </w:rPr>
        <w:t>NO</w:t>
      </w:r>
      <w:r w:rsidRPr="00DE12A3">
        <w:rPr>
          <w:rStyle w:val="Gvdemetni254"/>
          <w:color w:val="auto"/>
          <w:sz w:val="24"/>
          <w:szCs w:val="24"/>
          <w:vertAlign w:val="subscript"/>
        </w:rPr>
        <w:t xml:space="preserve">2 </w:t>
      </w:r>
      <w:r w:rsidRPr="00DE12A3">
        <w:rPr>
          <w:rStyle w:val="Gvdemetni254"/>
          <w:color w:val="auto"/>
          <w:sz w:val="24"/>
          <w:szCs w:val="24"/>
        </w:rPr>
        <w:t xml:space="preserve">- NO </w:t>
      </w:r>
      <w:r w:rsidRPr="00DE12A3">
        <w:rPr>
          <w:color w:val="auto"/>
          <w:sz w:val="24"/>
          <w:szCs w:val="24"/>
        </w:rPr>
        <w:t>konvertörü</w:t>
      </w:r>
    </w:p>
    <w:p w14:paraId="1B86C8D0" w14:textId="4027128F" w:rsidR="002D7B36" w:rsidRPr="00DE12A3" w:rsidRDefault="00464AC4" w:rsidP="00C917D6">
      <w:pPr>
        <w:pStyle w:val="Gvdemetni251"/>
        <w:shd w:val="clear" w:color="auto" w:fill="auto"/>
        <w:spacing w:before="120" w:after="120" w:line="240" w:lineRule="auto"/>
        <w:ind w:left="1134" w:hanging="1134"/>
        <w:rPr>
          <w:color w:val="auto"/>
          <w:sz w:val="24"/>
          <w:szCs w:val="24"/>
        </w:rPr>
      </w:pPr>
      <w:r w:rsidRPr="00DE12A3">
        <w:rPr>
          <w:color w:val="auto"/>
          <w:sz w:val="24"/>
          <w:szCs w:val="24"/>
        </w:rPr>
        <w:t xml:space="preserve">                  </w:t>
      </w:r>
      <w:r w:rsidR="00242DA0" w:rsidRPr="00DE12A3">
        <w:rPr>
          <w:color w:val="auto"/>
          <w:sz w:val="24"/>
          <w:szCs w:val="24"/>
        </w:rPr>
        <w:t xml:space="preserve">8.1.11.5 bendindeki doğrulamayı sağlayan dahili veya harici bir </w:t>
      </w:r>
      <w:r w:rsidR="00242DA0" w:rsidRPr="00DE12A3">
        <w:rPr>
          <w:rStyle w:val="Gvdemetni254"/>
          <w:color w:val="auto"/>
          <w:sz w:val="24"/>
          <w:szCs w:val="24"/>
        </w:rPr>
        <w:t>NO</w:t>
      </w:r>
      <w:r w:rsidR="00C45656" w:rsidRPr="00DE12A3">
        <w:rPr>
          <w:rStyle w:val="Gvdemetni254"/>
          <w:color w:val="auto"/>
          <w:sz w:val="24"/>
          <w:szCs w:val="24"/>
          <w:vertAlign w:val="subscript"/>
        </w:rPr>
        <w:t>2-</w:t>
      </w:r>
      <w:r w:rsidR="00242DA0" w:rsidRPr="00DE12A3">
        <w:rPr>
          <w:rStyle w:val="Gvdemetni254"/>
          <w:color w:val="auto"/>
          <w:sz w:val="24"/>
          <w:szCs w:val="24"/>
        </w:rPr>
        <w:t xml:space="preserve"> NO</w:t>
      </w:r>
      <w:r w:rsidR="00242DA0" w:rsidRPr="00DE12A3">
        <w:rPr>
          <w:color w:val="auto"/>
          <w:sz w:val="24"/>
          <w:szCs w:val="24"/>
        </w:rPr>
        <w:t xml:space="preserve"> konvertörü CLD'nin giriş yönüne yerleştirilirken, dönüştürücü bu doğrulamayı kolaylaştırmak için bir bypass ile yapılandırılmalıdır</w:t>
      </w:r>
      <w:r w:rsidR="00242DA0" w:rsidRPr="00DE12A3">
        <w:rPr>
          <w:rStyle w:val="Gvdemetni254"/>
          <w:color w:val="auto"/>
          <w:sz w:val="24"/>
          <w:szCs w:val="24"/>
        </w:rPr>
        <w:t>.</w:t>
      </w:r>
    </w:p>
    <w:p w14:paraId="1CD296ED" w14:textId="77777777" w:rsidR="002D7B36" w:rsidRPr="00DE12A3" w:rsidRDefault="00242DA0" w:rsidP="00E20716">
      <w:pPr>
        <w:pStyle w:val="Gvdemetni251"/>
        <w:numPr>
          <w:ilvl w:val="0"/>
          <w:numId w:val="356"/>
        </w:numPr>
        <w:shd w:val="clear" w:color="auto" w:fill="auto"/>
        <w:spacing w:before="120" w:after="120" w:line="240" w:lineRule="auto"/>
        <w:ind w:left="1134" w:hanging="1134"/>
        <w:rPr>
          <w:color w:val="auto"/>
          <w:sz w:val="24"/>
          <w:szCs w:val="24"/>
        </w:rPr>
      </w:pPr>
      <w:r w:rsidRPr="00DE12A3">
        <w:rPr>
          <w:color w:val="auto"/>
          <w:sz w:val="24"/>
          <w:szCs w:val="24"/>
        </w:rPr>
        <w:t>Nem etkileri</w:t>
      </w:r>
    </w:p>
    <w:p w14:paraId="55F4C0E3" w14:textId="77777777" w:rsidR="002D7B36" w:rsidRPr="00DE12A3" w:rsidRDefault="00464AC4" w:rsidP="00C917D6">
      <w:pPr>
        <w:pStyle w:val="Gvdemetni251"/>
        <w:shd w:val="clear" w:color="auto" w:fill="auto"/>
        <w:spacing w:before="120" w:after="120" w:line="240" w:lineRule="auto"/>
        <w:ind w:left="1134" w:hanging="1134"/>
        <w:rPr>
          <w:rStyle w:val="Gvdemetni254"/>
          <w:color w:val="auto"/>
          <w:sz w:val="24"/>
          <w:szCs w:val="24"/>
        </w:rPr>
      </w:pPr>
      <w:r w:rsidRPr="00DE12A3">
        <w:rPr>
          <w:color w:val="auto"/>
          <w:sz w:val="24"/>
          <w:szCs w:val="24"/>
        </w:rPr>
        <w:t xml:space="preserve">                  </w:t>
      </w:r>
      <w:r w:rsidR="00242DA0" w:rsidRPr="00DE12A3">
        <w:rPr>
          <w:color w:val="auto"/>
          <w:sz w:val="24"/>
          <w:szCs w:val="24"/>
        </w:rPr>
        <w:t>Sulu yoğuşmayı önlemek için tüm CLD sıcaklıkları muhafaza edilmelidir. Bir CLD'nin giriş tarafındaki bir numuneden nem gidermek için, aşağıdaki yapılandırmalardan biri kullanılır</w:t>
      </w:r>
      <w:r w:rsidR="00242DA0" w:rsidRPr="00DE12A3">
        <w:rPr>
          <w:rStyle w:val="Gvdemetni254"/>
          <w:color w:val="auto"/>
          <w:sz w:val="24"/>
          <w:szCs w:val="24"/>
        </w:rPr>
        <w:t>:</w:t>
      </w:r>
    </w:p>
    <w:p w14:paraId="2998A68C" w14:textId="5A3DF947" w:rsidR="002D7B36" w:rsidRPr="00DE12A3" w:rsidRDefault="00464AC4" w:rsidP="00E20716">
      <w:pPr>
        <w:pStyle w:val="Gvdemetni251"/>
        <w:numPr>
          <w:ilvl w:val="0"/>
          <w:numId w:val="357"/>
        </w:numPr>
        <w:shd w:val="clear" w:color="auto" w:fill="auto"/>
        <w:spacing w:before="120" w:after="120" w:line="240" w:lineRule="auto"/>
        <w:ind w:left="1701" w:hanging="567"/>
        <w:rPr>
          <w:color w:val="auto"/>
          <w:sz w:val="24"/>
          <w:szCs w:val="24"/>
        </w:rPr>
      </w:pPr>
      <w:r w:rsidRPr="00DE12A3">
        <w:rPr>
          <w:color w:val="auto"/>
          <w:sz w:val="24"/>
          <w:szCs w:val="24"/>
        </w:rPr>
        <w:t xml:space="preserve">     </w:t>
      </w:r>
      <w:r w:rsidR="00242DA0" w:rsidRPr="00DE12A3">
        <w:rPr>
          <w:color w:val="auto"/>
          <w:sz w:val="24"/>
          <w:szCs w:val="24"/>
        </w:rPr>
        <w:t>8.1.11.5 bendinde belirtilen doğrulamayı sağlayan bir NO</w:t>
      </w:r>
      <w:r w:rsidR="00C45656" w:rsidRPr="00DE12A3">
        <w:rPr>
          <w:color w:val="auto"/>
          <w:sz w:val="24"/>
          <w:szCs w:val="24"/>
          <w:vertAlign w:val="subscript"/>
        </w:rPr>
        <w:t>2</w:t>
      </w:r>
      <w:r w:rsidR="00C45656" w:rsidRPr="00DE12A3">
        <w:rPr>
          <w:color w:val="auto"/>
          <w:sz w:val="24"/>
          <w:szCs w:val="24"/>
        </w:rPr>
        <w:t>-</w:t>
      </w:r>
      <w:r w:rsidR="00242DA0" w:rsidRPr="00DE12A3">
        <w:rPr>
          <w:color w:val="auto"/>
          <w:sz w:val="24"/>
          <w:szCs w:val="24"/>
        </w:rPr>
        <w:t xml:space="preserve"> NO konvertörünün çıkış tarafındaki bir kurutucunun veya soğutucunun çıkış tarafına bağlı bir CLD</w:t>
      </w:r>
      <w:r w:rsidR="00B528E1" w:rsidRPr="00DE12A3">
        <w:rPr>
          <w:rStyle w:val="Gvdemetni254"/>
          <w:color w:val="auto"/>
          <w:sz w:val="24"/>
          <w:szCs w:val="24"/>
        </w:rPr>
        <w:t>.</w:t>
      </w:r>
    </w:p>
    <w:p w14:paraId="603A19C8" w14:textId="77777777" w:rsidR="002D7B36" w:rsidRPr="00DE12A3" w:rsidRDefault="00242DA0" w:rsidP="00E20716">
      <w:pPr>
        <w:pStyle w:val="Gvdemetni251"/>
        <w:numPr>
          <w:ilvl w:val="0"/>
          <w:numId w:val="357"/>
        </w:numPr>
        <w:shd w:val="clear" w:color="auto" w:fill="auto"/>
        <w:spacing w:before="120" w:after="120" w:line="240" w:lineRule="auto"/>
        <w:ind w:left="1701" w:hanging="567"/>
        <w:rPr>
          <w:color w:val="auto"/>
          <w:sz w:val="24"/>
          <w:szCs w:val="24"/>
        </w:rPr>
      </w:pPr>
      <w:r w:rsidRPr="00DE12A3">
        <w:rPr>
          <w:color w:val="auto"/>
          <w:sz w:val="24"/>
          <w:szCs w:val="24"/>
        </w:rPr>
        <w:t>8.1.11.4 bendinde belirtilen doğrulamayı sağlayan bir kurutucunun veya termal soğutucunun çıkış tarafına bağlı bir CLD</w:t>
      </w:r>
      <w:r w:rsidRPr="00DE12A3">
        <w:rPr>
          <w:rStyle w:val="Gvdemetni254"/>
          <w:color w:val="auto"/>
          <w:sz w:val="24"/>
          <w:szCs w:val="24"/>
        </w:rPr>
        <w:t>.</w:t>
      </w:r>
    </w:p>
    <w:p w14:paraId="2FFBEE17" w14:textId="77777777" w:rsidR="002D7B36" w:rsidRPr="00DE12A3" w:rsidRDefault="00242DA0" w:rsidP="00E20716">
      <w:pPr>
        <w:pStyle w:val="Gvdemetni251"/>
        <w:numPr>
          <w:ilvl w:val="0"/>
          <w:numId w:val="356"/>
        </w:numPr>
        <w:shd w:val="clear" w:color="auto" w:fill="auto"/>
        <w:spacing w:before="120" w:after="120" w:line="240" w:lineRule="auto"/>
        <w:ind w:left="1134" w:hanging="1134"/>
        <w:rPr>
          <w:color w:val="auto"/>
          <w:sz w:val="24"/>
          <w:szCs w:val="24"/>
        </w:rPr>
      </w:pPr>
      <w:r w:rsidRPr="00DE12A3">
        <w:rPr>
          <w:color w:val="auto"/>
          <w:sz w:val="24"/>
          <w:szCs w:val="24"/>
        </w:rPr>
        <w:t>Tepki süresi</w:t>
      </w:r>
    </w:p>
    <w:p w14:paraId="6EE9B96D" w14:textId="77777777" w:rsidR="002D7B36" w:rsidRPr="00DE12A3" w:rsidRDefault="00464AC4" w:rsidP="00C917D6">
      <w:pPr>
        <w:pStyle w:val="Gvdemetni251"/>
        <w:shd w:val="clear" w:color="auto" w:fill="auto"/>
        <w:spacing w:before="120" w:after="120" w:line="240" w:lineRule="auto"/>
        <w:ind w:left="1134" w:hanging="1134"/>
        <w:rPr>
          <w:color w:val="auto"/>
          <w:sz w:val="24"/>
          <w:szCs w:val="24"/>
        </w:rPr>
      </w:pPr>
      <w:r w:rsidRPr="00DE12A3">
        <w:rPr>
          <w:color w:val="auto"/>
          <w:sz w:val="24"/>
          <w:szCs w:val="24"/>
        </w:rPr>
        <w:t xml:space="preserve">                  </w:t>
      </w:r>
      <w:r w:rsidR="00242DA0" w:rsidRPr="00DE12A3">
        <w:rPr>
          <w:color w:val="auto"/>
          <w:sz w:val="24"/>
          <w:szCs w:val="24"/>
        </w:rPr>
        <w:t>CLD tepki süresini iyileştirmek için ısıtılmış bir CLD kullanılabilir</w:t>
      </w:r>
      <w:r w:rsidR="00242DA0" w:rsidRPr="00DE12A3">
        <w:rPr>
          <w:rStyle w:val="Gvdemetni254"/>
          <w:color w:val="auto"/>
          <w:sz w:val="24"/>
          <w:szCs w:val="24"/>
        </w:rPr>
        <w:t>.</w:t>
      </w:r>
    </w:p>
    <w:p w14:paraId="177B78F8" w14:textId="77777777" w:rsidR="002D7B36" w:rsidRPr="00DE12A3" w:rsidRDefault="00242DA0" w:rsidP="00E20716">
      <w:pPr>
        <w:pStyle w:val="Gvdemetni251"/>
        <w:numPr>
          <w:ilvl w:val="0"/>
          <w:numId w:val="355"/>
        </w:numPr>
        <w:shd w:val="clear" w:color="auto" w:fill="auto"/>
        <w:spacing w:before="120" w:after="120" w:line="240" w:lineRule="auto"/>
        <w:ind w:left="1134" w:hanging="1134"/>
        <w:rPr>
          <w:color w:val="auto"/>
          <w:sz w:val="24"/>
          <w:szCs w:val="24"/>
        </w:rPr>
      </w:pPr>
      <w:r w:rsidRPr="00DE12A3">
        <w:rPr>
          <w:color w:val="auto"/>
          <w:sz w:val="24"/>
          <w:szCs w:val="24"/>
        </w:rPr>
        <w:t>Saçılımsız kızılötesi analiz cihazı</w:t>
      </w:r>
    </w:p>
    <w:p w14:paraId="76DC8AFF" w14:textId="77777777" w:rsidR="002D7B36" w:rsidRPr="00DE12A3" w:rsidRDefault="00242DA0" w:rsidP="00E20716">
      <w:pPr>
        <w:pStyle w:val="Gvdemetni251"/>
        <w:numPr>
          <w:ilvl w:val="0"/>
          <w:numId w:val="358"/>
        </w:numPr>
        <w:shd w:val="clear" w:color="auto" w:fill="auto"/>
        <w:spacing w:before="120" w:after="120" w:line="240" w:lineRule="auto"/>
        <w:ind w:left="1134" w:hanging="1134"/>
        <w:rPr>
          <w:color w:val="auto"/>
          <w:sz w:val="24"/>
          <w:szCs w:val="24"/>
        </w:rPr>
      </w:pPr>
      <w:r w:rsidRPr="00DE12A3">
        <w:rPr>
          <w:color w:val="auto"/>
          <w:sz w:val="24"/>
          <w:szCs w:val="24"/>
        </w:rPr>
        <w:t>Uygulama</w:t>
      </w:r>
    </w:p>
    <w:p w14:paraId="05CD4EBA" w14:textId="77777777" w:rsidR="002D7B36" w:rsidRPr="00DE12A3" w:rsidRDefault="00464AC4" w:rsidP="00C917D6">
      <w:pPr>
        <w:pStyle w:val="Gvdemetni251"/>
        <w:shd w:val="clear" w:color="auto" w:fill="auto"/>
        <w:spacing w:before="120" w:after="120" w:line="240" w:lineRule="auto"/>
        <w:ind w:left="1134" w:hanging="1134"/>
        <w:rPr>
          <w:color w:val="auto"/>
          <w:sz w:val="24"/>
          <w:szCs w:val="24"/>
        </w:rPr>
      </w:pPr>
      <w:r w:rsidRPr="00DE12A3">
        <w:rPr>
          <w:color w:val="auto"/>
          <w:sz w:val="24"/>
          <w:szCs w:val="24"/>
        </w:rPr>
        <w:t xml:space="preserve">                  </w:t>
      </w:r>
      <w:r w:rsidR="00242DA0" w:rsidRPr="00DE12A3">
        <w:rPr>
          <w:color w:val="auto"/>
          <w:sz w:val="24"/>
          <w:szCs w:val="24"/>
        </w:rPr>
        <w:t>Toplu veya sürekli örnekleme için ham veya seyreltilmiş egzoz gazındaki NOx konsantrasyonunu ölçmek amacıyla bir saçılımsız kızılötesi (NDUV) analiz cihazı kullanılır</w:t>
      </w:r>
      <w:r w:rsidR="00242DA0" w:rsidRPr="00DE12A3">
        <w:rPr>
          <w:rStyle w:val="Gvdemetni254"/>
          <w:color w:val="auto"/>
          <w:sz w:val="24"/>
          <w:szCs w:val="24"/>
        </w:rPr>
        <w:t>.</w:t>
      </w:r>
    </w:p>
    <w:p w14:paraId="3051F33D" w14:textId="77777777" w:rsidR="002D7B36" w:rsidRPr="00DE12A3" w:rsidRDefault="00242DA0" w:rsidP="00E20716">
      <w:pPr>
        <w:pStyle w:val="Gvdemetni251"/>
        <w:numPr>
          <w:ilvl w:val="0"/>
          <w:numId w:val="358"/>
        </w:numPr>
        <w:shd w:val="clear" w:color="auto" w:fill="auto"/>
        <w:spacing w:before="120" w:after="120" w:line="240" w:lineRule="auto"/>
        <w:ind w:left="1134" w:hanging="1134"/>
        <w:rPr>
          <w:color w:val="auto"/>
          <w:sz w:val="24"/>
          <w:szCs w:val="24"/>
        </w:rPr>
      </w:pPr>
      <w:r w:rsidRPr="00DE12A3">
        <w:rPr>
          <w:color w:val="auto"/>
          <w:sz w:val="24"/>
          <w:szCs w:val="24"/>
        </w:rPr>
        <w:t xml:space="preserve">Bileşen </w:t>
      </w:r>
      <w:r w:rsidR="0053289F" w:rsidRPr="00DE12A3">
        <w:rPr>
          <w:color w:val="auto"/>
          <w:sz w:val="24"/>
          <w:szCs w:val="24"/>
        </w:rPr>
        <w:t>gereklilikleri</w:t>
      </w:r>
    </w:p>
    <w:p w14:paraId="52ED3171" w14:textId="77777777" w:rsidR="002D7B36" w:rsidRPr="00DE12A3" w:rsidRDefault="00464AC4" w:rsidP="00C917D6">
      <w:pPr>
        <w:pStyle w:val="Gvdemetni251"/>
        <w:shd w:val="clear" w:color="auto" w:fill="auto"/>
        <w:spacing w:before="120" w:after="120" w:line="240" w:lineRule="auto"/>
        <w:ind w:left="1134" w:hanging="1134"/>
        <w:rPr>
          <w:color w:val="auto"/>
          <w:sz w:val="24"/>
          <w:szCs w:val="24"/>
        </w:rPr>
      </w:pPr>
      <w:r w:rsidRPr="00DE12A3">
        <w:rPr>
          <w:color w:val="auto"/>
          <w:sz w:val="24"/>
          <w:szCs w:val="24"/>
        </w:rPr>
        <w:t xml:space="preserve">                  </w:t>
      </w:r>
      <w:r w:rsidR="00242DA0" w:rsidRPr="00DE12A3">
        <w:rPr>
          <w:color w:val="auto"/>
          <w:sz w:val="24"/>
          <w:szCs w:val="24"/>
        </w:rPr>
        <w:t>NDUV esaslı sistem, 8.1.11.3 bendinde belirtilen doğrulamaları sağlamalıdır</w:t>
      </w:r>
      <w:r w:rsidR="00242DA0" w:rsidRPr="00DE12A3">
        <w:rPr>
          <w:rStyle w:val="Gvdemetni254"/>
          <w:color w:val="auto"/>
          <w:sz w:val="24"/>
          <w:szCs w:val="24"/>
        </w:rPr>
        <w:t>.</w:t>
      </w:r>
    </w:p>
    <w:p w14:paraId="708EA46C" w14:textId="77777777" w:rsidR="002D7B36" w:rsidRPr="00DE12A3" w:rsidRDefault="00242DA0" w:rsidP="00E20716">
      <w:pPr>
        <w:pStyle w:val="Gvdemetni251"/>
        <w:numPr>
          <w:ilvl w:val="0"/>
          <w:numId w:val="358"/>
        </w:numPr>
        <w:shd w:val="clear" w:color="auto" w:fill="auto"/>
        <w:spacing w:before="120" w:after="120" w:line="240" w:lineRule="auto"/>
        <w:ind w:left="1134" w:hanging="1134"/>
        <w:rPr>
          <w:color w:val="auto"/>
          <w:sz w:val="24"/>
          <w:szCs w:val="24"/>
        </w:rPr>
      </w:pPr>
      <w:r w:rsidRPr="00DE12A3">
        <w:rPr>
          <w:rStyle w:val="Gvdemetni254"/>
          <w:color w:val="auto"/>
          <w:sz w:val="24"/>
          <w:szCs w:val="24"/>
        </w:rPr>
        <w:t>NO</w:t>
      </w:r>
      <w:r w:rsidRPr="00DE12A3">
        <w:rPr>
          <w:rStyle w:val="Gvdemetni254"/>
          <w:color w:val="auto"/>
          <w:sz w:val="24"/>
          <w:szCs w:val="24"/>
          <w:vertAlign w:val="subscript"/>
        </w:rPr>
        <w:t xml:space="preserve">2 </w:t>
      </w:r>
      <w:r w:rsidRPr="00DE12A3">
        <w:rPr>
          <w:rStyle w:val="Gvdemetni254"/>
          <w:color w:val="auto"/>
          <w:sz w:val="24"/>
          <w:szCs w:val="24"/>
        </w:rPr>
        <w:t xml:space="preserve">- NO </w:t>
      </w:r>
      <w:r w:rsidRPr="00DE12A3">
        <w:rPr>
          <w:color w:val="auto"/>
          <w:sz w:val="24"/>
          <w:szCs w:val="24"/>
        </w:rPr>
        <w:t>konvertörü</w:t>
      </w:r>
    </w:p>
    <w:p w14:paraId="2B46C46A" w14:textId="41E62F1F" w:rsidR="002D7B36" w:rsidRPr="00DE12A3" w:rsidRDefault="00464AC4" w:rsidP="00C917D6">
      <w:pPr>
        <w:pStyle w:val="Gvdemetni251"/>
        <w:shd w:val="clear" w:color="auto" w:fill="auto"/>
        <w:spacing w:before="120" w:after="120" w:line="240" w:lineRule="auto"/>
        <w:ind w:left="1134" w:hanging="1134"/>
        <w:rPr>
          <w:rStyle w:val="Gvdemetni254"/>
          <w:color w:val="auto"/>
          <w:sz w:val="24"/>
          <w:szCs w:val="24"/>
        </w:rPr>
      </w:pPr>
      <w:r w:rsidRPr="00DE12A3">
        <w:rPr>
          <w:color w:val="auto"/>
          <w:sz w:val="24"/>
          <w:szCs w:val="24"/>
        </w:rPr>
        <w:lastRenderedPageBreak/>
        <w:t xml:space="preserve">                  </w:t>
      </w:r>
      <w:r w:rsidR="00242DA0" w:rsidRPr="00DE12A3">
        <w:rPr>
          <w:color w:val="auto"/>
          <w:sz w:val="24"/>
          <w:szCs w:val="24"/>
        </w:rPr>
        <w:t xml:space="preserve">NDUV analiz cihazı sadece NO değerlerini ölçüyorsa, NDUV analiz cihazının giriş tarafına 8.1.11.5 bendinde belirtilen doğrulamayı sağlayan dahili veya harici bir </w:t>
      </w:r>
      <w:r w:rsidR="00242DA0" w:rsidRPr="00DE12A3">
        <w:rPr>
          <w:rStyle w:val="Gvdemetni254"/>
          <w:color w:val="auto"/>
          <w:sz w:val="24"/>
          <w:szCs w:val="24"/>
        </w:rPr>
        <w:t>NO</w:t>
      </w:r>
      <w:r w:rsidR="00C45656" w:rsidRPr="00DE12A3">
        <w:rPr>
          <w:rStyle w:val="Gvdemetni254"/>
          <w:color w:val="auto"/>
          <w:sz w:val="24"/>
          <w:szCs w:val="24"/>
          <w:vertAlign w:val="subscript"/>
        </w:rPr>
        <w:t>2-</w:t>
      </w:r>
      <w:r w:rsidR="00242DA0" w:rsidRPr="00DE12A3">
        <w:rPr>
          <w:rStyle w:val="Gvdemetni254"/>
          <w:color w:val="auto"/>
          <w:sz w:val="24"/>
          <w:szCs w:val="24"/>
        </w:rPr>
        <w:t xml:space="preserve"> NO </w:t>
      </w:r>
      <w:r w:rsidR="00242DA0" w:rsidRPr="00DE12A3">
        <w:rPr>
          <w:color w:val="auto"/>
          <w:sz w:val="24"/>
          <w:szCs w:val="24"/>
        </w:rPr>
        <w:t>konvertörü konvertörü yerleştirilmelidir</w:t>
      </w:r>
      <w:r w:rsidR="00242DA0" w:rsidRPr="00DE12A3">
        <w:rPr>
          <w:rStyle w:val="Gvdemetni254"/>
          <w:color w:val="auto"/>
          <w:sz w:val="24"/>
          <w:szCs w:val="24"/>
        </w:rPr>
        <w:t xml:space="preserve">. </w:t>
      </w:r>
      <w:r w:rsidR="00242DA0" w:rsidRPr="00DE12A3">
        <w:rPr>
          <w:color w:val="auto"/>
          <w:sz w:val="24"/>
          <w:szCs w:val="24"/>
        </w:rPr>
        <w:t>Konvertör, bu doğrulamayı kolaylaştırmak için bir bypass ile yapılandırılmalıdır</w:t>
      </w:r>
      <w:r w:rsidR="00242DA0" w:rsidRPr="00DE12A3">
        <w:rPr>
          <w:rStyle w:val="Gvdemetni254"/>
          <w:color w:val="auto"/>
          <w:sz w:val="24"/>
          <w:szCs w:val="24"/>
        </w:rPr>
        <w:t>.</w:t>
      </w:r>
    </w:p>
    <w:p w14:paraId="54E9CFAD" w14:textId="77777777" w:rsidR="002D7B36" w:rsidRPr="00DE12A3" w:rsidRDefault="00242DA0" w:rsidP="00E20716">
      <w:pPr>
        <w:pStyle w:val="Gvdemetni251"/>
        <w:numPr>
          <w:ilvl w:val="0"/>
          <w:numId w:val="358"/>
        </w:numPr>
        <w:shd w:val="clear" w:color="auto" w:fill="auto"/>
        <w:spacing w:before="120" w:after="120" w:line="240" w:lineRule="auto"/>
        <w:ind w:left="1134" w:hanging="1134"/>
        <w:rPr>
          <w:color w:val="auto"/>
          <w:sz w:val="24"/>
          <w:szCs w:val="24"/>
        </w:rPr>
      </w:pPr>
      <w:r w:rsidRPr="00DE12A3">
        <w:rPr>
          <w:color w:val="auto"/>
          <w:sz w:val="24"/>
          <w:szCs w:val="24"/>
        </w:rPr>
        <w:t>Nem etkileri</w:t>
      </w:r>
    </w:p>
    <w:p w14:paraId="28D11064" w14:textId="77777777" w:rsidR="002D7B36" w:rsidRPr="00DE12A3" w:rsidRDefault="00464AC4" w:rsidP="00C917D6">
      <w:pPr>
        <w:pStyle w:val="Gvdemetni251"/>
        <w:shd w:val="clear" w:color="auto" w:fill="auto"/>
        <w:spacing w:before="120" w:after="120" w:line="240" w:lineRule="auto"/>
        <w:ind w:left="1134" w:hanging="1134"/>
        <w:rPr>
          <w:color w:val="auto"/>
          <w:sz w:val="24"/>
          <w:szCs w:val="24"/>
        </w:rPr>
      </w:pPr>
      <w:r w:rsidRPr="00DE12A3">
        <w:rPr>
          <w:color w:val="auto"/>
          <w:sz w:val="24"/>
          <w:szCs w:val="24"/>
        </w:rPr>
        <w:t xml:space="preserve">                  </w:t>
      </w:r>
      <w:r w:rsidR="00242DA0" w:rsidRPr="00DE12A3">
        <w:rPr>
          <w:color w:val="auto"/>
          <w:sz w:val="24"/>
          <w:szCs w:val="24"/>
        </w:rPr>
        <w:t>Aşağıdaki yapılandırmalardan biri kullanılmadıkça, sulu yoğuşmayı önlemek için NDUV sıcaklığı muhafaza edilmelidir:</w:t>
      </w:r>
    </w:p>
    <w:p w14:paraId="776E9F6C" w14:textId="169103F1" w:rsidR="002D7B36" w:rsidRPr="00DE12A3" w:rsidRDefault="00464AC4" w:rsidP="00E20716">
      <w:pPr>
        <w:pStyle w:val="Gvdemetni251"/>
        <w:numPr>
          <w:ilvl w:val="0"/>
          <w:numId w:val="359"/>
        </w:numPr>
        <w:shd w:val="clear" w:color="auto" w:fill="auto"/>
        <w:spacing w:before="120" w:after="120" w:line="240" w:lineRule="auto"/>
        <w:ind w:left="1701" w:hanging="567"/>
        <w:rPr>
          <w:color w:val="auto"/>
          <w:sz w:val="24"/>
          <w:szCs w:val="24"/>
        </w:rPr>
      </w:pPr>
      <w:r w:rsidRPr="00DE12A3">
        <w:rPr>
          <w:color w:val="auto"/>
          <w:sz w:val="24"/>
          <w:szCs w:val="24"/>
        </w:rPr>
        <w:t xml:space="preserve">     </w:t>
      </w:r>
      <w:r w:rsidR="00242DA0" w:rsidRPr="00DE12A3">
        <w:rPr>
          <w:color w:val="auto"/>
          <w:sz w:val="24"/>
          <w:szCs w:val="24"/>
        </w:rPr>
        <w:t>8.1.11.5 bendindeki doğrulamayı sağlayan bir NO</w:t>
      </w:r>
      <w:r w:rsidR="00C45656" w:rsidRPr="00DE12A3">
        <w:rPr>
          <w:color w:val="auto"/>
          <w:sz w:val="24"/>
          <w:szCs w:val="24"/>
          <w:vertAlign w:val="subscript"/>
        </w:rPr>
        <w:t>2</w:t>
      </w:r>
      <w:r w:rsidR="00C45656" w:rsidRPr="00DE12A3">
        <w:rPr>
          <w:color w:val="auto"/>
          <w:sz w:val="24"/>
          <w:szCs w:val="24"/>
        </w:rPr>
        <w:t>-</w:t>
      </w:r>
      <w:r w:rsidR="00242DA0" w:rsidRPr="00DE12A3">
        <w:rPr>
          <w:color w:val="auto"/>
          <w:sz w:val="24"/>
          <w:szCs w:val="24"/>
        </w:rPr>
        <w:t xml:space="preserve"> NO konvertörünün giriş tarafındaki herhangi bir kurutucunun veya soğutucunun giriş tarafına bir NDUV bağlanmalıdır</w:t>
      </w:r>
      <w:r w:rsidR="00B528E1" w:rsidRPr="00DE12A3">
        <w:rPr>
          <w:color w:val="auto"/>
          <w:sz w:val="24"/>
          <w:szCs w:val="24"/>
        </w:rPr>
        <w:t>.</w:t>
      </w:r>
    </w:p>
    <w:p w14:paraId="69E6DCEE" w14:textId="545104A6" w:rsidR="00C20325" w:rsidRPr="00DE12A3" w:rsidRDefault="00C20325" w:rsidP="00E20716">
      <w:pPr>
        <w:pStyle w:val="ListeParagraf"/>
        <w:numPr>
          <w:ilvl w:val="0"/>
          <w:numId w:val="359"/>
        </w:numPr>
        <w:tabs>
          <w:tab w:val="left" w:pos="1701"/>
        </w:tabs>
        <w:ind w:left="1701" w:hanging="567"/>
        <w:rPr>
          <w:rFonts w:eastAsia="Times New Roman" w:cs="Times New Roman"/>
          <w:color w:val="auto"/>
          <w:spacing w:val="3"/>
        </w:rPr>
      </w:pPr>
      <w:r w:rsidRPr="00DE12A3">
        <w:rPr>
          <w:rFonts w:eastAsia="Times New Roman" w:cs="Times New Roman"/>
          <w:color w:val="auto"/>
          <w:spacing w:val="3"/>
        </w:rPr>
        <w:t xml:space="preserve"> 8.1.11.4 bendindeki doğrulamayı sağlayan herhangi bir kurutucunun veya soğutucunun giriş tarafına bir NDUV bağlanmalıdır</w:t>
      </w:r>
      <w:r w:rsidR="00B528E1" w:rsidRPr="00DE12A3">
        <w:rPr>
          <w:rFonts w:eastAsia="Times New Roman" w:cs="Times New Roman"/>
          <w:color w:val="auto"/>
          <w:spacing w:val="3"/>
        </w:rPr>
        <w:t>.</w:t>
      </w:r>
    </w:p>
    <w:p w14:paraId="58B6897A" w14:textId="77777777" w:rsidR="002D7B36" w:rsidRPr="00DE12A3" w:rsidRDefault="002D7B36" w:rsidP="00E20716">
      <w:pPr>
        <w:pStyle w:val="ListeParagraf"/>
        <w:numPr>
          <w:ilvl w:val="0"/>
          <w:numId w:val="360"/>
        </w:numPr>
        <w:spacing w:before="120" w:after="120"/>
        <w:ind w:left="1134" w:hanging="1134"/>
        <w:contextualSpacing w:val="0"/>
        <w:jc w:val="both"/>
        <w:rPr>
          <w:rFonts w:eastAsia="Times New Roman" w:cs="Times New Roman"/>
          <w:vanish/>
          <w:color w:val="auto"/>
          <w:spacing w:val="3"/>
        </w:rPr>
      </w:pPr>
    </w:p>
    <w:p w14:paraId="6DC4E030" w14:textId="77777777" w:rsidR="002D7B36" w:rsidRPr="00DE12A3" w:rsidRDefault="00464AC4" w:rsidP="00E20716">
      <w:pPr>
        <w:pStyle w:val="Gvdemetni251"/>
        <w:numPr>
          <w:ilvl w:val="0"/>
          <w:numId w:val="360"/>
        </w:numPr>
        <w:shd w:val="clear" w:color="auto" w:fill="auto"/>
        <w:spacing w:before="120" w:after="120" w:line="240" w:lineRule="auto"/>
        <w:ind w:left="1134" w:hanging="1134"/>
        <w:rPr>
          <w:color w:val="auto"/>
          <w:sz w:val="24"/>
          <w:szCs w:val="24"/>
        </w:rPr>
      </w:pPr>
      <w:r w:rsidRPr="00DE12A3">
        <w:rPr>
          <w:color w:val="auto"/>
          <w:sz w:val="24"/>
          <w:szCs w:val="24"/>
        </w:rPr>
        <w:t xml:space="preserve">       </w:t>
      </w:r>
      <w:r w:rsidR="00242DA0" w:rsidRPr="00DE12A3">
        <w:rPr>
          <w:color w:val="auto"/>
          <w:sz w:val="24"/>
          <w:szCs w:val="24"/>
        </w:rPr>
        <w:t>O</w:t>
      </w:r>
      <w:r w:rsidR="00242DA0" w:rsidRPr="00DE12A3">
        <w:rPr>
          <w:color w:val="auto"/>
          <w:sz w:val="24"/>
          <w:szCs w:val="24"/>
          <w:vertAlign w:val="subscript"/>
        </w:rPr>
        <w:t>2</w:t>
      </w:r>
      <w:r w:rsidR="00242DA0" w:rsidRPr="00DE12A3">
        <w:rPr>
          <w:color w:val="auto"/>
          <w:sz w:val="24"/>
          <w:szCs w:val="24"/>
        </w:rPr>
        <w:t xml:space="preserve"> ölçümleri</w:t>
      </w:r>
    </w:p>
    <w:p w14:paraId="34D98D98" w14:textId="77777777" w:rsidR="002D7B36" w:rsidRPr="00DE12A3" w:rsidRDefault="00464AC4" w:rsidP="00C917D6">
      <w:pPr>
        <w:pStyle w:val="Gvdemetni251"/>
        <w:shd w:val="clear" w:color="auto" w:fill="auto"/>
        <w:spacing w:before="120" w:after="120" w:line="240" w:lineRule="auto"/>
        <w:ind w:left="1134" w:hanging="1134"/>
        <w:rPr>
          <w:color w:val="auto"/>
          <w:sz w:val="24"/>
          <w:szCs w:val="24"/>
        </w:rPr>
      </w:pPr>
      <w:r w:rsidRPr="00DE12A3">
        <w:rPr>
          <w:color w:val="auto"/>
          <w:sz w:val="24"/>
          <w:szCs w:val="24"/>
        </w:rPr>
        <w:t xml:space="preserve">                  </w:t>
      </w:r>
      <w:r w:rsidR="00242DA0" w:rsidRPr="00DE12A3">
        <w:rPr>
          <w:color w:val="auto"/>
          <w:sz w:val="24"/>
          <w:szCs w:val="24"/>
        </w:rPr>
        <w:t>Toplu veya sürekli örnekleme için ham veya seyreltilmiş egzoz gazındaki O2 konsantrasyonunu ölçmek amacıyla bir paramanyetik algılama (PMD) veya manyeto pnömatik algılama (MPD) analiz cihazı kullanılır.</w:t>
      </w:r>
    </w:p>
    <w:p w14:paraId="1919D950" w14:textId="77777777" w:rsidR="002D7B36" w:rsidRPr="00DE12A3" w:rsidRDefault="00464AC4" w:rsidP="00E20716">
      <w:pPr>
        <w:pStyle w:val="Gvdemetni251"/>
        <w:numPr>
          <w:ilvl w:val="0"/>
          <w:numId w:val="360"/>
        </w:numPr>
        <w:shd w:val="clear" w:color="auto" w:fill="auto"/>
        <w:spacing w:before="120" w:after="120" w:line="240" w:lineRule="auto"/>
        <w:ind w:left="1134" w:hanging="1134"/>
        <w:rPr>
          <w:color w:val="auto"/>
          <w:sz w:val="24"/>
          <w:szCs w:val="24"/>
        </w:rPr>
      </w:pPr>
      <w:r w:rsidRPr="00DE12A3">
        <w:rPr>
          <w:color w:val="auto"/>
          <w:sz w:val="24"/>
          <w:szCs w:val="24"/>
        </w:rPr>
        <w:t xml:space="preserve">       </w:t>
      </w:r>
      <w:r w:rsidR="00242DA0" w:rsidRPr="00DE12A3">
        <w:rPr>
          <w:color w:val="auto"/>
          <w:sz w:val="24"/>
          <w:szCs w:val="24"/>
        </w:rPr>
        <w:t>Hava/yakıt oranı ölçümleri</w:t>
      </w:r>
    </w:p>
    <w:p w14:paraId="0FB2846B" w14:textId="6218CFD7" w:rsidR="002D7B36" w:rsidRPr="00DE12A3" w:rsidRDefault="00464AC4" w:rsidP="00C917D6">
      <w:pPr>
        <w:pStyle w:val="Gvdemetni251"/>
        <w:shd w:val="clear" w:color="auto" w:fill="auto"/>
        <w:spacing w:before="120" w:after="120" w:line="240" w:lineRule="auto"/>
        <w:ind w:left="1134" w:hanging="1134"/>
        <w:rPr>
          <w:color w:val="auto"/>
          <w:sz w:val="24"/>
          <w:szCs w:val="24"/>
        </w:rPr>
      </w:pPr>
      <w:r w:rsidRPr="00DE12A3">
        <w:rPr>
          <w:color w:val="auto"/>
          <w:sz w:val="24"/>
          <w:szCs w:val="24"/>
        </w:rPr>
        <w:t xml:space="preserve">                  </w:t>
      </w:r>
      <w:r w:rsidR="00242DA0" w:rsidRPr="00DE12A3">
        <w:rPr>
          <w:color w:val="auto"/>
          <w:sz w:val="24"/>
          <w:szCs w:val="24"/>
        </w:rPr>
        <w:t>Sürekli örnekleme için ham egzoz gazı içindeki hava/yakıt oranını ölçmek amacıyla bir Zirkonya (ZrO</w:t>
      </w:r>
      <w:r w:rsidR="00242DA0" w:rsidRPr="00DE12A3">
        <w:rPr>
          <w:color w:val="auto"/>
          <w:sz w:val="24"/>
          <w:szCs w:val="24"/>
          <w:vertAlign w:val="subscript"/>
        </w:rPr>
        <w:t>2</w:t>
      </w:r>
      <w:r w:rsidR="00242DA0" w:rsidRPr="00DE12A3">
        <w:rPr>
          <w:color w:val="auto"/>
          <w:sz w:val="24"/>
          <w:szCs w:val="24"/>
        </w:rPr>
        <w:t xml:space="preserve">) analiz cihazı kullanılabilir. </w:t>
      </w:r>
      <w:r w:rsidR="00FA0678" w:rsidRPr="00DE12A3">
        <w:rPr>
          <w:color w:val="auto"/>
          <w:sz w:val="24"/>
          <w:szCs w:val="24"/>
        </w:rPr>
        <w:t xml:space="preserve">VII’nci </w:t>
      </w:r>
      <w:r w:rsidR="00C45656" w:rsidRPr="00DE12A3">
        <w:rPr>
          <w:color w:val="auto"/>
          <w:sz w:val="24"/>
          <w:szCs w:val="24"/>
        </w:rPr>
        <w:t>E</w:t>
      </w:r>
      <w:r w:rsidR="00FA0678" w:rsidRPr="00DE12A3">
        <w:rPr>
          <w:color w:val="auto"/>
          <w:sz w:val="24"/>
          <w:szCs w:val="24"/>
        </w:rPr>
        <w:t>k</w:t>
      </w:r>
      <w:r w:rsidR="00242DA0" w:rsidRPr="00DE12A3">
        <w:rPr>
          <w:color w:val="auto"/>
          <w:sz w:val="24"/>
          <w:szCs w:val="24"/>
        </w:rPr>
        <w:t xml:space="preserve"> uyarınca egzoz gazı akış hızını hesaplamak için, emme havası veya yakıt akışı ölçümleriyle yapılan O</w:t>
      </w:r>
      <w:r w:rsidR="00242DA0" w:rsidRPr="00DE12A3">
        <w:rPr>
          <w:color w:val="auto"/>
          <w:sz w:val="24"/>
          <w:szCs w:val="24"/>
          <w:vertAlign w:val="subscript"/>
        </w:rPr>
        <w:t>2</w:t>
      </w:r>
      <w:r w:rsidR="00242DA0" w:rsidRPr="00DE12A3">
        <w:rPr>
          <w:color w:val="auto"/>
          <w:sz w:val="24"/>
          <w:szCs w:val="24"/>
        </w:rPr>
        <w:t xml:space="preserve"> ölçümleri kullanılabilir.</w:t>
      </w:r>
    </w:p>
    <w:p w14:paraId="4E8EB2BE" w14:textId="77777777" w:rsidR="002D7B36" w:rsidRPr="00DE12A3" w:rsidRDefault="00464AC4" w:rsidP="00E20716">
      <w:pPr>
        <w:pStyle w:val="Gvdemetni251"/>
        <w:numPr>
          <w:ilvl w:val="0"/>
          <w:numId w:val="360"/>
        </w:numPr>
        <w:shd w:val="clear" w:color="auto" w:fill="auto"/>
        <w:spacing w:before="120" w:after="120" w:line="240" w:lineRule="auto"/>
        <w:ind w:left="1134" w:hanging="1134"/>
        <w:rPr>
          <w:color w:val="auto"/>
          <w:sz w:val="24"/>
          <w:szCs w:val="24"/>
        </w:rPr>
      </w:pPr>
      <w:r w:rsidRPr="00DE12A3">
        <w:rPr>
          <w:color w:val="auto"/>
          <w:sz w:val="24"/>
          <w:szCs w:val="24"/>
        </w:rPr>
        <w:t xml:space="preserve">       </w:t>
      </w:r>
      <w:r w:rsidR="00242DA0" w:rsidRPr="00DE12A3">
        <w:rPr>
          <w:color w:val="auto"/>
          <w:sz w:val="24"/>
          <w:szCs w:val="24"/>
        </w:rPr>
        <w:t xml:space="preserve">Gravimetrik </w:t>
      </w:r>
      <w:r w:rsidR="00EF0D08" w:rsidRPr="00DE12A3">
        <w:rPr>
          <w:color w:val="auto"/>
          <w:sz w:val="24"/>
          <w:szCs w:val="24"/>
        </w:rPr>
        <w:t>balans</w:t>
      </w:r>
      <w:r w:rsidR="00242DA0" w:rsidRPr="00DE12A3">
        <w:rPr>
          <w:color w:val="auto"/>
          <w:sz w:val="24"/>
          <w:szCs w:val="24"/>
        </w:rPr>
        <w:t xml:space="preserve"> ile PM ölçümleri</w:t>
      </w:r>
    </w:p>
    <w:p w14:paraId="536C13DD" w14:textId="77777777" w:rsidR="002D7B36" w:rsidRPr="00DE12A3" w:rsidRDefault="00464AC4" w:rsidP="00C917D6">
      <w:pPr>
        <w:pStyle w:val="Gvdemetni251"/>
        <w:shd w:val="clear" w:color="auto" w:fill="auto"/>
        <w:spacing w:before="120" w:after="120" w:line="240" w:lineRule="auto"/>
        <w:ind w:left="1134" w:hanging="1134"/>
        <w:rPr>
          <w:color w:val="auto"/>
          <w:sz w:val="24"/>
          <w:szCs w:val="24"/>
        </w:rPr>
      </w:pPr>
      <w:r w:rsidRPr="00DE12A3">
        <w:rPr>
          <w:color w:val="auto"/>
          <w:sz w:val="24"/>
          <w:szCs w:val="24"/>
        </w:rPr>
        <w:t xml:space="preserve">                  </w:t>
      </w:r>
      <w:r w:rsidR="00242DA0" w:rsidRPr="00DE12A3">
        <w:rPr>
          <w:color w:val="auto"/>
          <w:sz w:val="24"/>
          <w:szCs w:val="24"/>
        </w:rPr>
        <w:t xml:space="preserve">Numune filtre maddesi üzerinde toplanan net PM'yi tartmak için bir </w:t>
      </w:r>
      <w:r w:rsidR="00EF0D08" w:rsidRPr="00DE12A3">
        <w:rPr>
          <w:color w:val="auto"/>
          <w:sz w:val="24"/>
          <w:szCs w:val="24"/>
        </w:rPr>
        <w:t>balans</w:t>
      </w:r>
      <w:r w:rsidR="00242DA0" w:rsidRPr="00DE12A3">
        <w:rPr>
          <w:color w:val="auto"/>
          <w:sz w:val="24"/>
          <w:szCs w:val="24"/>
        </w:rPr>
        <w:t xml:space="preserve"> kullanılır.</w:t>
      </w:r>
    </w:p>
    <w:p w14:paraId="7442F440" w14:textId="77777777" w:rsidR="002D7B36" w:rsidRPr="00DE12A3" w:rsidRDefault="00464AC4" w:rsidP="00C917D6">
      <w:pPr>
        <w:pStyle w:val="Gvdemetni251"/>
        <w:shd w:val="clear" w:color="auto" w:fill="auto"/>
        <w:spacing w:before="120" w:after="120" w:line="240" w:lineRule="auto"/>
        <w:ind w:left="1134" w:hanging="1134"/>
        <w:rPr>
          <w:color w:val="auto"/>
          <w:sz w:val="24"/>
          <w:szCs w:val="24"/>
        </w:rPr>
      </w:pPr>
      <w:r w:rsidRPr="00DE12A3">
        <w:rPr>
          <w:color w:val="auto"/>
          <w:sz w:val="24"/>
          <w:szCs w:val="24"/>
        </w:rPr>
        <w:t xml:space="preserve">                  </w:t>
      </w:r>
      <w:r w:rsidR="00242DA0" w:rsidRPr="00DE12A3">
        <w:rPr>
          <w:color w:val="auto"/>
          <w:sz w:val="24"/>
          <w:szCs w:val="24"/>
        </w:rPr>
        <w:t xml:space="preserve">Denge çözünürlüğüne ilişkin asgari şart, Tablo 6.8'de önerilen 0,5 mikrogramın tekrarlanabilirliğine eşit veya daha düşük olmalıdır. </w:t>
      </w:r>
      <w:r w:rsidR="00EF0D08" w:rsidRPr="00DE12A3">
        <w:rPr>
          <w:color w:val="auto"/>
          <w:sz w:val="24"/>
          <w:szCs w:val="24"/>
        </w:rPr>
        <w:t>Balans</w:t>
      </w:r>
      <w:r w:rsidR="00242DA0" w:rsidRPr="00DE12A3">
        <w:rPr>
          <w:color w:val="auto"/>
          <w:sz w:val="24"/>
          <w:szCs w:val="24"/>
        </w:rPr>
        <w:t xml:space="preserve"> rutin ayarlama ve doğrusallık doğrulamaları için dahili kalibrasyon ağırlıkları kullanıyorsa, kalibrasyon ağırlıkları 9.5.2 bendindeki </w:t>
      </w:r>
      <w:r w:rsidR="0053289F" w:rsidRPr="00DE12A3">
        <w:rPr>
          <w:color w:val="auto"/>
          <w:sz w:val="24"/>
          <w:szCs w:val="24"/>
        </w:rPr>
        <w:t>gereklilikleri</w:t>
      </w:r>
      <w:r w:rsidR="00242DA0" w:rsidRPr="00DE12A3">
        <w:rPr>
          <w:color w:val="auto"/>
          <w:sz w:val="24"/>
          <w:szCs w:val="24"/>
        </w:rPr>
        <w:t xml:space="preserve"> sağlamalıdır.</w:t>
      </w:r>
    </w:p>
    <w:p w14:paraId="47A13BD4" w14:textId="77777777" w:rsidR="002D7B36" w:rsidRPr="00DE12A3" w:rsidRDefault="00464AC4" w:rsidP="00C917D6">
      <w:pPr>
        <w:pStyle w:val="Gvdemetni251"/>
        <w:shd w:val="clear" w:color="auto" w:fill="auto"/>
        <w:spacing w:before="120" w:after="120" w:line="240" w:lineRule="auto"/>
        <w:ind w:left="1134" w:hanging="1134"/>
        <w:rPr>
          <w:color w:val="auto"/>
          <w:sz w:val="24"/>
          <w:szCs w:val="24"/>
        </w:rPr>
      </w:pPr>
      <w:r w:rsidRPr="00DE12A3">
        <w:rPr>
          <w:color w:val="auto"/>
          <w:sz w:val="24"/>
          <w:szCs w:val="24"/>
        </w:rPr>
        <w:t xml:space="preserve">                  </w:t>
      </w:r>
      <w:r w:rsidR="00EF0D08" w:rsidRPr="00DE12A3">
        <w:rPr>
          <w:color w:val="auto"/>
          <w:sz w:val="24"/>
          <w:szCs w:val="24"/>
        </w:rPr>
        <w:t>Balans</w:t>
      </w:r>
      <w:r w:rsidR="00242DA0" w:rsidRPr="00DE12A3">
        <w:rPr>
          <w:color w:val="auto"/>
          <w:sz w:val="24"/>
          <w:szCs w:val="24"/>
        </w:rPr>
        <w:t>, optimum yatışma süresi ve bulunduğu yerdeki dengeye göre yapılandırılmalıdır.</w:t>
      </w:r>
    </w:p>
    <w:p w14:paraId="0F81022B" w14:textId="77777777" w:rsidR="002D7B36" w:rsidRPr="00DE12A3" w:rsidRDefault="00464AC4" w:rsidP="00E20716">
      <w:pPr>
        <w:pStyle w:val="Gvdemetni251"/>
        <w:numPr>
          <w:ilvl w:val="0"/>
          <w:numId w:val="360"/>
        </w:numPr>
        <w:shd w:val="clear" w:color="auto" w:fill="auto"/>
        <w:spacing w:before="120" w:after="120" w:line="240" w:lineRule="auto"/>
        <w:ind w:left="1134" w:hanging="1134"/>
        <w:rPr>
          <w:color w:val="auto"/>
          <w:sz w:val="24"/>
          <w:szCs w:val="24"/>
        </w:rPr>
      </w:pPr>
      <w:r w:rsidRPr="00DE12A3">
        <w:rPr>
          <w:color w:val="auto"/>
          <w:sz w:val="24"/>
          <w:szCs w:val="24"/>
        </w:rPr>
        <w:t xml:space="preserve">       </w:t>
      </w:r>
      <w:r w:rsidR="00242DA0" w:rsidRPr="00DE12A3">
        <w:rPr>
          <w:color w:val="auto"/>
          <w:sz w:val="24"/>
          <w:szCs w:val="24"/>
        </w:rPr>
        <w:t>Amonyak (NH</w:t>
      </w:r>
      <w:r w:rsidR="00242DA0" w:rsidRPr="00DE12A3">
        <w:rPr>
          <w:color w:val="auto"/>
          <w:sz w:val="24"/>
          <w:szCs w:val="24"/>
          <w:vertAlign w:val="subscript"/>
        </w:rPr>
        <w:t>3</w:t>
      </w:r>
      <w:r w:rsidR="00242DA0" w:rsidRPr="00DE12A3">
        <w:rPr>
          <w:color w:val="auto"/>
          <w:sz w:val="24"/>
          <w:szCs w:val="24"/>
        </w:rPr>
        <w:t>) ölçümleri</w:t>
      </w:r>
    </w:p>
    <w:p w14:paraId="633CF067" w14:textId="161C21D1" w:rsidR="002D7B36" w:rsidRPr="00DE12A3" w:rsidRDefault="00464AC4" w:rsidP="00C917D6">
      <w:pPr>
        <w:pStyle w:val="Gvdemetni251"/>
        <w:shd w:val="clear" w:color="auto" w:fill="auto"/>
        <w:spacing w:before="120" w:after="120" w:line="240" w:lineRule="auto"/>
        <w:ind w:left="1134" w:hanging="1134"/>
        <w:rPr>
          <w:color w:val="auto"/>
          <w:sz w:val="24"/>
          <w:szCs w:val="24"/>
        </w:rPr>
      </w:pPr>
      <w:r w:rsidRPr="00DE12A3">
        <w:rPr>
          <w:color w:val="auto"/>
          <w:sz w:val="24"/>
          <w:szCs w:val="24"/>
        </w:rPr>
        <w:t xml:space="preserve">                  </w:t>
      </w:r>
      <w:r w:rsidR="0007544E" w:rsidRPr="00DE12A3">
        <w:rPr>
          <w:color w:val="auto"/>
          <w:sz w:val="24"/>
          <w:szCs w:val="24"/>
        </w:rPr>
        <w:t>4. Açıklayıcı Ek</w:t>
      </w:r>
      <w:r w:rsidR="003C361A" w:rsidRPr="00DE12A3">
        <w:rPr>
          <w:color w:val="auto"/>
          <w:sz w:val="24"/>
          <w:szCs w:val="24"/>
        </w:rPr>
        <w:t xml:space="preserve"> </w:t>
      </w:r>
      <w:r w:rsidR="00242DA0" w:rsidRPr="00DE12A3">
        <w:rPr>
          <w:color w:val="auto"/>
          <w:sz w:val="24"/>
          <w:szCs w:val="24"/>
        </w:rPr>
        <w:t>uyarınca bir FTIR (Fourier dönüşümü kızılötesi) analiz cihazı, NDUV veya lazer kızılötesi analiz cihazı kullanılabilir.</w:t>
      </w:r>
    </w:p>
    <w:p w14:paraId="33DF95E1" w14:textId="77777777" w:rsidR="002D7B36" w:rsidRPr="00DE12A3" w:rsidRDefault="002D7B36" w:rsidP="00E20716">
      <w:pPr>
        <w:pStyle w:val="ListeParagraf"/>
        <w:numPr>
          <w:ilvl w:val="0"/>
          <w:numId w:val="361"/>
        </w:numPr>
        <w:tabs>
          <w:tab w:val="left" w:pos="898"/>
        </w:tabs>
        <w:spacing w:before="120" w:after="120"/>
        <w:ind w:left="1134" w:hanging="1134"/>
        <w:contextualSpacing w:val="0"/>
        <w:jc w:val="both"/>
        <w:rPr>
          <w:rFonts w:eastAsia="Times New Roman" w:cs="Times New Roman"/>
          <w:vanish/>
          <w:color w:val="auto"/>
          <w:spacing w:val="3"/>
        </w:rPr>
      </w:pPr>
    </w:p>
    <w:p w14:paraId="2385B93F" w14:textId="77777777" w:rsidR="002D7B36" w:rsidRPr="00DE12A3" w:rsidRDefault="002D7B36" w:rsidP="00E20716">
      <w:pPr>
        <w:pStyle w:val="ListeParagraf"/>
        <w:numPr>
          <w:ilvl w:val="0"/>
          <w:numId w:val="361"/>
        </w:numPr>
        <w:tabs>
          <w:tab w:val="left" w:pos="898"/>
        </w:tabs>
        <w:spacing w:before="120" w:after="120"/>
        <w:ind w:left="1134" w:hanging="1134"/>
        <w:contextualSpacing w:val="0"/>
        <w:jc w:val="both"/>
        <w:rPr>
          <w:rFonts w:eastAsia="Times New Roman" w:cs="Times New Roman"/>
          <w:vanish/>
          <w:color w:val="auto"/>
          <w:spacing w:val="3"/>
        </w:rPr>
      </w:pPr>
    </w:p>
    <w:p w14:paraId="5C207DED" w14:textId="77777777" w:rsidR="002D7B36" w:rsidRPr="00DE12A3" w:rsidRDefault="002D7B36" w:rsidP="00E20716">
      <w:pPr>
        <w:pStyle w:val="ListeParagraf"/>
        <w:numPr>
          <w:ilvl w:val="0"/>
          <w:numId w:val="361"/>
        </w:numPr>
        <w:tabs>
          <w:tab w:val="left" w:pos="898"/>
        </w:tabs>
        <w:spacing w:before="120" w:after="120"/>
        <w:ind w:left="1134" w:hanging="1134"/>
        <w:contextualSpacing w:val="0"/>
        <w:jc w:val="both"/>
        <w:rPr>
          <w:rFonts w:eastAsia="Times New Roman" w:cs="Times New Roman"/>
          <w:vanish/>
          <w:color w:val="auto"/>
          <w:spacing w:val="3"/>
        </w:rPr>
      </w:pPr>
    </w:p>
    <w:p w14:paraId="658BD758" w14:textId="77777777" w:rsidR="002D7B36" w:rsidRPr="00DE12A3" w:rsidRDefault="002D7B36" w:rsidP="00E20716">
      <w:pPr>
        <w:pStyle w:val="ListeParagraf"/>
        <w:numPr>
          <w:ilvl w:val="0"/>
          <w:numId w:val="361"/>
        </w:numPr>
        <w:tabs>
          <w:tab w:val="left" w:pos="898"/>
        </w:tabs>
        <w:spacing w:before="120" w:after="120"/>
        <w:ind w:left="1134" w:hanging="1134"/>
        <w:contextualSpacing w:val="0"/>
        <w:jc w:val="both"/>
        <w:rPr>
          <w:rFonts w:eastAsia="Times New Roman" w:cs="Times New Roman"/>
          <w:vanish/>
          <w:color w:val="auto"/>
          <w:spacing w:val="3"/>
        </w:rPr>
      </w:pPr>
    </w:p>
    <w:p w14:paraId="40D13A8A" w14:textId="77777777" w:rsidR="002D7B36" w:rsidRPr="00DE12A3" w:rsidRDefault="00464AC4" w:rsidP="00E20716">
      <w:pPr>
        <w:pStyle w:val="Gvdemetni251"/>
        <w:numPr>
          <w:ilvl w:val="0"/>
          <w:numId w:val="361"/>
        </w:numPr>
        <w:shd w:val="clear" w:color="auto" w:fill="auto"/>
        <w:tabs>
          <w:tab w:val="left" w:pos="898"/>
        </w:tabs>
        <w:spacing w:before="120" w:after="120" w:line="240" w:lineRule="auto"/>
        <w:ind w:left="1134" w:hanging="1134"/>
        <w:rPr>
          <w:color w:val="auto"/>
          <w:sz w:val="24"/>
          <w:szCs w:val="24"/>
        </w:rPr>
      </w:pPr>
      <w:r w:rsidRPr="00DE12A3">
        <w:rPr>
          <w:color w:val="auto"/>
          <w:sz w:val="24"/>
          <w:szCs w:val="24"/>
        </w:rPr>
        <w:t xml:space="preserve">    </w:t>
      </w:r>
      <w:r w:rsidR="00242DA0" w:rsidRPr="00DE12A3">
        <w:rPr>
          <w:color w:val="auto"/>
          <w:sz w:val="24"/>
          <w:szCs w:val="24"/>
        </w:rPr>
        <w:t>Analitik gazlar ve kütle standartları</w:t>
      </w:r>
    </w:p>
    <w:p w14:paraId="35BF855E" w14:textId="77777777" w:rsidR="002D7B36" w:rsidRPr="00DE12A3" w:rsidRDefault="00464AC4" w:rsidP="00E20716">
      <w:pPr>
        <w:pStyle w:val="Gvdemetni251"/>
        <w:numPr>
          <w:ilvl w:val="0"/>
          <w:numId w:val="362"/>
        </w:numPr>
        <w:shd w:val="clear" w:color="auto" w:fill="auto"/>
        <w:spacing w:before="120" w:after="120" w:line="240" w:lineRule="auto"/>
        <w:ind w:left="1134" w:hanging="1134"/>
        <w:rPr>
          <w:color w:val="auto"/>
          <w:sz w:val="24"/>
          <w:szCs w:val="24"/>
        </w:rPr>
      </w:pPr>
      <w:r w:rsidRPr="00DE12A3">
        <w:rPr>
          <w:color w:val="auto"/>
          <w:sz w:val="24"/>
          <w:szCs w:val="24"/>
        </w:rPr>
        <w:t xml:space="preserve">       </w:t>
      </w:r>
      <w:r w:rsidR="00242DA0" w:rsidRPr="00DE12A3">
        <w:rPr>
          <w:color w:val="auto"/>
          <w:sz w:val="24"/>
          <w:szCs w:val="24"/>
        </w:rPr>
        <w:t>Analitik gazlar</w:t>
      </w:r>
    </w:p>
    <w:p w14:paraId="0F6C3AB2" w14:textId="77777777" w:rsidR="002D7B36" w:rsidRPr="00DE12A3" w:rsidRDefault="00464AC4" w:rsidP="00C917D6">
      <w:pPr>
        <w:pStyle w:val="Gvdemetni251"/>
        <w:shd w:val="clear" w:color="auto" w:fill="auto"/>
        <w:tabs>
          <w:tab w:val="left" w:pos="1636"/>
          <w:tab w:val="right" w:pos="2788"/>
          <w:tab w:val="left" w:pos="2826"/>
          <w:tab w:val="right" w:pos="5652"/>
        </w:tabs>
        <w:spacing w:before="120" w:after="120" w:line="240" w:lineRule="auto"/>
        <w:ind w:left="1134" w:hanging="1134"/>
        <w:rPr>
          <w:color w:val="auto"/>
          <w:sz w:val="24"/>
          <w:szCs w:val="24"/>
        </w:rPr>
      </w:pPr>
      <w:r w:rsidRPr="00DE12A3">
        <w:rPr>
          <w:color w:val="auto"/>
          <w:sz w:val="24"/>
          <w:szCs w:val="24"/>
        </w:rPr>
        <w:t xml:space="preserve">                  </w:t>
      </w:r>
      <w:r w:rsidR="00242DA0" w:rsidRPr="00DE12A3">
        <w:rPr>
          <w:color w:val="auto"/>
          <w:sz w:val="24"/>
          <w:szCs w:val="24"/>
        </w:rPr>
        <w:t xml:space="preserve">Analitik gazlar bu bölümdeki doğruluk ve saflık </w:t>
      </w:r>
      <w:r w:rsidR="0053289F" w:rsidRPr="00DE12A3">
        <w:rPr>
          <w:color w:val="auto"/>
          <w:sz w:val="24"/>
          <w:szCs w:val="24"/>
        </w:rPr>
        <w:t>gerekliliklerini</w:t>
      </w:r>
      <w:r w:rsidR="00242DA0" w:rsidRPr="00DE12A3">
        <w:rPr>
          <w:color w:val="auto"/>
          <w:sz w:val="24"/>
          <w:szCs w:val="24"/>
        </w:rPr>
        <w:t xml:space="preserve"> sağlamalıdır.</w:t>
      </w:r>
    </w:p>
    <w:p w14:paraId="46148672" w14:textId="77777777" w:rsidR="002D7B36" w:rsidRPr="00DE12A3" w:rsidRDefault="00242DA0" w:rsidP="00E20716">
      <w:pPr>
        <w:pStyle w:val="Gvdemetni251"/>
        <w:numPr>
          <w:ilvl w:val="0"/>
          <w:numId w:val="363"/>
        </w:numPr>
        <w:shd w:val="clear" w:color="auto" w:fill="auto"/>
        <w:spacing w:before="120" w:after="120" w:line="240" w:lineRule="auto"/>
        <w:ind w:left="1134" w:hanging="1134"/>
        <w:rPr>
          <w:color w:val="auto"/>
          <w:sz w:val="24"/>
          <w:szCs w:val="24"/>
        </w:rPr>
      </w:pPr>
      <w:r w:rsidRPr="00DE12A3">
        <w:rPr>
          <w:color w:val="auto"/>
          <w:sz w:val="24"/>
          <w:szCs w:val="24"/>
        </w:rPr>
        <w:t>Gaz şartnameleri</w:t>
      </w:r>
    </w:p>
    <w:p w14:paraId="1C769DB5" w14:textId="77777777" w:rsidR="002D7B36" w:rsidRPr="00DE12A3" w:rsidRDefault="00464AC4" w:rsidP="00C917D6">
      <w:pPr>
        <w:pStyle w:val="Gvdemetni251"/>
        <w:shd w:val="clear" w:color="auto" w:fill="auto"/>
        <w:spacing w:before="120" w:after="120" w:line="240" w:lineRule="auto"/>
        <w:ind w:left="1134" w:hanging="1134"/>
        <w:rPr>
          <w:color w:val="auto"/>
          <w:sz w:val="24"/>
          <w:szCs w:val="24"/>
        </w:rPr>
      </w:pPr>
      <w:r w:rsidRPr="00DE12A3">
        <w:rPr>
          <w:color w:val="auto"/>
          <w:sz w:val="24"/>
          <w:szCs w:val="24"/>
        </w:rPr>
        <w:t xml:space="preserve">                  </w:t>
      </w:r>
      <w:r w:rsidR="00242DA0" w:rsidRPr="00DE12A3">
        <w:rPr>
          <w:color w:val="auto"/>
          <w:sz w:val="24"/>
          <w:szCs w:val="24"/>
        </w:rPr>
        <w:t>Aşağıdaki gaz şartnameleri dikkate alınmalıdır:</w:t>
      </w:r>
    </w:p>
    <w:p w14:paraId="0D8CD783" w14:textId="77777777" w:rsidR="002D7B36" w:rsidRPr="00DE12A3" w:rsidRDefault="00242DA0" w:rsidP="00E20716">
      <w:pPr>
        <w:pStyle w:val="Gvdemetni251"/>
        <w:numPr>
          <w:ilvl w:val="0"/>
          <w:numId w:val="364"/>
        </w:numPr>
        <w:shd w:val="clear" w:color="auto" w:fill="auto"/>
        <w:spacing w:before="120" w:after="120" w:line="240" w:lineRule="auto"/>
        <w:ind w:left="1134" w:hanging="1134"/>
        <w:rPr>
          <w:color w:val="auto"/>
          <w:sz w:val="24"/>
          <w:szCs w:val="24"/>
        </w:rPr>
      </w:pPr>
      <w:r w:rsidRPr="00DE12A3">
        <w:rPr>
          <w:color w:val="auto"/>
          <w:sz w:val="24"/>
          <w:szCs w:val="24"/>
        </w:rPr>
        <w:t>Kalibrasyon gazlarıyla karıştırılmak ve ölçüm cihazlarını sıfır kalibrasyon standardına sıfır tepki verecek şekilde ayarlamak için saflaştırılmış gazlar kullanılmalıdır. Kirlenmiş gazlar, gaz silindiri içinde veya bir sıfır gaz jeneratörünün çıkışında aşağıdaki değerlerden en yüksek olanından daha yüksek olmamalıdır:</w:t>
      </w:r>
    </w:p>
    <w:p w14:paraId="6F347D40" w14:textId="3C39EA24" w:rsidR="002D7B36" w:rsidRPr="00DE12A3" w:rsidRDefault="00464AC4" w:rsidP="00E20716">
      <w:pPr>
        <w:pStyle w:val="Gvdemetni251"/>
        <w:numPr>
          <w:ilvl w:val="0"/>
          <w:numId w:val="365"/>
        </w:numPr>
        <w:shd w:val="clear" w:color="auto" w:fill="auto"/>
        <w:spacing w:before="120" w:after="120" w:line="240" w:lineRule="auto"/>
        <w:ind w:left="1701" w:hanging="567"/>
        <w:rPr>
          <w:color w:val="auto"/>
          <w:sz w:val="24"/>
          <w:szCs w:val="24"/>
        </w:rPr>
      </w:pPr>
      <w:r w:rsidRPr="00DE12A3">
        <w:rPr>
          <w:color w:val="auto"/>
          <w:spacing w:val="4"/>
          <w:sz w:val="24"/>
          <w:szCs w:val="24"/>
        </w:rPr>
        <w:lastRenderedPageBreak/>
        <w:t xml:space="preserve">     </w:t>
      </w:r>
      <w:r w:rsidR="00242DA0" w:rsidRPr="00DE12A3">
        <w:rPr>
          <w:color w:val="auto"/>
          <w:spacing w:val="4"/>
          <w:sz w:val="24"/>
          <w:szCs w:val="24"/>
        </w:rPr>
        <w:t xml:space="preserve">Emisyon sınır değerinde beklenen ortalama konsantrasyona göre ölçülen </w:t>
      </w:r>
      <w:r w:rsidR="00EC6140" w:rsidRPr="00DE12A3">
        <w:rPr>
          <w:color w:val="auto"/>
          <w:spacing w:val="4"/>
          <w:sz w:val="24"/>
          <w:szCs w:val="24"/>
        </w:rPr>
        <w:t>%2</w:t>
      </w:r>
      <w:r w:rsidR="00242DA0" w:rsidRPr="00DE12A3">
        <w:rPr>
          <w:color w:val="auto"/>
          <w:spacing w:val="4"/>
          <w:sz w:val="24"/>
          <w:szCs w:val="24"/>
        </w:rPr>
        <w:t xml:space="preserve"> kirlilik. Örneğin, eğer 100,0 μmol/mol'lük bir CO konsantrasyonu bekleniyorsa, CO kirliliğinin 2 000 μmol/mol'e eşit veya daha az olduğu bir sıfır gazının kullanılmasına izin verilir</w:t>
      </w:r>
      <w:r w:rsidR="00242DA0" w:rsidRPr="00DE12A3">
        <w:rPr>
          <w:rStyle w:val="Gvdemetni250ptbolukbraklyor"/>
          <w:color w:val="auto"/>
          <w:sz w:val="24"/>
          <w:szCs w:val="24"/>
        </w:rPr>
        <w:t>;</w:t>
      </w:r>
    </w:p>
    <w:p w14:paraId="4BB5F716" w14:textId="432C34D0" w:rsidR="002D7B36" w:rsidRPr="00DE12A3" w:rsidRDefault="00242DA0" w:rsidP="00E20716">
      <w:pPr>
        <w:pStyle w:val="Gvdemetni251"/>
        <w:numPr>
          <w:ilvl w:val="0"/>
          <w:numId w:val="365"/>
        </w:numPr>
        <w:shd w:val="clear" w:color="auto" w:fill="auto"/>
        <w:spacing w:before="120" w:after="120" w:line="240" w:lineRule="auto"/>
        <w:ind w:left="1701" w:hanging="567"/>
        <w:rPr>
          <w:color w:val="auto"/>
          <w:sz w:val="24"/>
          <w:szCs w:val="24"/>
        </w:rPr>
      </w:pPr>
      <w:r w:rsidRPr="00DE12A3">
        <w:rPr>
          <w:color w:val="auto"/>
          <w:spacing w:val="4"/>
          <w:sz w:val="24"/>
          <w:szCs w:val="24"/>
        </w:rPr>
        <w:t xml:space="preserve">Ham veya seyreltik ölçümler için geçerli olan, Tablo 6.9'da </w:t>
      </w:r>
      <w:r w:rsidR="00C87086" w:rsidRPr="00DE12A3">
        <w:rPr>
          <w:color w:val="auto"/>
          <w:spacing w:val="4"/>
          <w:sz w:val="24"/>
          <w:szCs w:val="24"/>
        </w:rPr>
        <w:t>belirtilen kirlilik</w:t>
      </w:r>
      <w:r w:rsidR="00B528E1" w:rsidRPr="00DE12A3">
        <w:rPr>
          <w:rStyle w:val="Gvdemetni250ptbolukbraklyor"/>
          <w:color w:val="auto"/>
          <w:sz w:val="24"/>
          <w:szCs w:val="24"/>
        </w:rPr>
        <w:t>.</w:t>
      </w:r>
    </w:p>
    <w:p w14:paraId="1ED4E421" w14:textId="77777777" w:rsidR="002D7B36" w:rsidRPr="00DE12A3" w:rsidRDefault="00464AC4" w:rsidP="00E20716">
      <w:pPr>
        <w:pStyle w:val="Gvdemetni251"/>
        <w:numPr>
          <w:ilvl w:val="0"/>
          <w:numId w:val="365"/>
        </w:numPr>
        <w:shd w:val="clear" w:color="auto" w:fill="auto"/>
        <w:tabs>
          <w:tab w:val="left" w:pos="1560"/>
        </w:tabs>
        <w:spacing w:before="120" w:after="120" w:line="240" w:lineRule="auto"/>
        <w:ind w:left="1701" w:hanging="567"/>
        <w:rPr>
          <w:color w:val="auto"/>
          <w:sz w:val="24"/>
          <w:szCs w:val="24"/>
        </w:rPr>
      </w:pPr>
      <w:r w:rsidRPr="00DE12A3">
        <w:rPr>
          <w:color w:val="auto"/>
          <w:spacing w:val="4"/>
          <w:sz w:val="24"/>
          <w:szCs w:val="24"/>
        </w:rPr>
        <w:t xml:space="preserve">   </w:t>
      </w:r>
      <w:r w:rsidR="00242DA0" w:rsidRPr="00DE12A3">
        <w:rPr>
          <w:color w:val="auto"/>
          <w:spacing w:val="4"/>
          <w:sz w:val="24"/>
          <w:szCs w:val="24"/>
        </w:rPr>
        <w:t>Ham ölçümler için geçerli olan, Tablo 6.10'da belirtilen kirlilik</w:t>
      </w:r>
      <w:r w:rsidR="00242DA0" w:rsidRPr="00DE12A3">
        <w:rPr>
          <w:rStyle w:val="Gvdemetni250ptbolukbraklyor"/>
          <w:color w:val="auto"/>
          <w:sz w:val="24"/>
          <w:szCs w:val="24"/>
        </w:rPr>
        <w:t>.</w:t>
      </w:r>
    </w:p>
    <w:tbl>
      <w:tblPr>
        <w:tblpPr w:leftFromText="141" w:rightFromText="141" w:vertAnchor="text" w:horzAnchor="page" w:tblpX="2133" w:tblpY="182"/>
        <w:tblOverlap w:val="never"/>
        <w:tblW w:w="90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10" w:type="dxa"/>
          <w:right w:w="10" w:type="dxa"/>
        </w:tblCellMar>
        <w:tblLook w:val="04A0" w:firstRow="1" w:lastRow="0" w:firstColumn="1" w:lastColumn="0" w:noHBand="0" w:noVBand="1"/>
      </w:tblPr>
      <w:tblGrid>
        <w:gridCol w:w="2547"/>
        <w:gridCol w:w="3402"/>
        <w:gridCol w:w="1559"/>
        <w:gridCol w:w="1497"/>
      </w:tblGrid>
      <w:tr w:rsidR="00DE12A3" w:rsidRPr="00DE12A3" w14:paraId="10FB884E" w14:textId="77777777" w:rsidTr="009C355F">
        <w:trPr>
          <w:gridAfter w:val="1"/>
          <w:wAfter w:w="1497" w:type="dxa"/>
          <w:trHeight w:hRule="exact" w:val="442"/>
        </w:trPr>
        <w:tc>
          <w:tcPr>
            <w:tcW w:w="7508" w:type="dxa"/>
            <w:gridSpan w:val="3"/>
            <w:shd w:val="clear" w:color="auto" w:fill="FFFFFF"/>
          </w:tcPr>
          <w:p w14:paraId="6840975C" w14:textId="77777777" w:rsidR="009C355F" w:rsidRPr="00DE12A3" w:rsidRDefault="009C355F" w:rsidP="00C917D6">
            <w:pPr>
              <w:pStyle w:val="Gvdemetni361"/>
              <w:shd w:val="clear" w:color="auto" w:fill="auto"/>
              <w:spacing w:before="120" w:after="120" w:line="240" w:lineRule="auto"/>
              <w:ind w:firstLine="0"/>
              <w:jc w:val="center"/>
              <w:rPr>
                <w:color w:val="auto"/>
                <w:spacing w:val="2"/>
                <w:sz w:val="24"/>
                <w:szCs w:val="24"/>
              </w:rPr>
            </w:pPr>
            <w:r w:rsidRPr="00DE12A3">
              <w:rPr>
                <w:iCs/>
                <w:color w:val="auto"/>
                <w:spacing w:val="2"/>
                <w:sz w:val="24"/>
                <w:szCs w:val="24"/>
                <w:lang w:val="fr-FR"/>
              </w:rPr>
              <w:t>Tablo 6.9</w:t>
            </w:r>
          </w:p>
        </w:tc>
      </w:tr>
      <w:tr w:rsidR="00DE12A3" w:rsidRPr="00DE12A3" w14:paraId="14E60615" w14:textId="77777777" w:rsidTr="00C45656">
        <w:trPr>
          <w:gridAfter w:val="1"/>
          <w:wAfter w:w="1497" w:type="dxa"/>
          <w:trHeight w:hRule="exact" w:val="707"/>
        </w:trPr>
        <w:tc>
          <w:tcPr>
            <w:tcW w:w="7508" w:type="dxa"/>
            <w:gridSpan w:val="3"/>
            <w:shd w:val="clear" w:color="auto" w:fill="FFFFFF"/>
          </w:tcPr>
          <w:p w14:paraId="1CA8D0AF" w14:textId="77777777" w:rsidR="009C355F" w:rsidRPr="00DE12A3" w:rsidRDefault="009C355F" w:rsidP="00C917D6">
            <w:pPr>
              <w:pStyle w:val="Gvdemetni361"/>
              <w:shd w:val="clear" w:color="auto" w:fill="auto"/>
              <w:spacing w:before="120" w:after="120" w:line="240" w:lineRule="auto"/>
              <w:ind w:firstLine="0"/>
              <w:jc w:val="center"/>
              <w:rPr>
                <w:b/>
                <w:iCs/>
                <w:color w:val="auto"/>
                <w:spacing w:val="2"/>
                <w:sz w:val="24"/>
                <w:szCs w:val="24"/>
                <w:lang w:val="fr-FR"/>
              </w:rPr>
            </w:pPr>
            <w:r w:rsidRPr="00DE12A3">
              <w:rPr>
                <w:b/>
                <w:iCs/>
                <w:color w:val="auto"/>
                <w:spacing w:val="2"/>
                <w:sz w:val="24"/>
                <w:szCs w:val="24"/>
                <w:lang w:val="fr-FR"/>
              </w:rPr>
              <w:t>Ham veya seyreltik ölçümler için geçerli kirlilik sınırları [μmol/mol = ppm]</w:t>
            </w:r>
          </w:p>
          <w:p w14:paraId="135A93D5" w14:textId="77777777" w:rsidR="009C355F" w:rsidRPr="00DE12A3" w:rsidRDefault="009C355F" w:rsidP="00C917D6">
            <w:pPr>
              <w:pStyle w:val="Gvdemetni361"/>
              <w:shd w:val="clear" w:color="auto" w:fill="auto"/>
              <w:spacing w:before="120" w:after="120" w:line="240" w:lineRule="auto"/>
              <w:ind w:firstLine="0"/>
              <w:jc w:val="center"/>
              <w:rPr>
                <w:b/>
                <w:color w:val="auto"/>
                <w:spacing w:val="2"/>
                <w:sz w:val="20"/>
                <w:szCs w:val="20"/>
              </w:rPr>
            </w:pPr>
          </w:p>
        </w:tc>
      </w:tr>
      <w:tr w:rsidR="00DE12A3" w:rsidRPr="00DE12A3" w14:paraId="013CB99A" w14:textId="77777777" w:rsidTr="009C355F">
        <w:trPr>
          <w:gridAfter w:val="1"/>
          <w:wAfter w:w="1497" w:type="dxa"/>
          <w:trHeight w:hRule="exact" w:val="839"/>
        </w:trPr>
        <w:tc>
          <w:tcPr>
            <w:tcW w:w="2547" w:type="dxa"/>
            <w:shd w:val="clear" w:color="auto" w:fill="FFFFFF"/>
          </w:tcPr>
          <w:p w14:paraId="578413D7" w14:textId="77777777" w:rsidR="009C355F" w:rsidRPr="00DE12A3" w:rsidRDefault="009C355F" w:rsidP="00C917D6">
            <w:pPr>
              <w:pStyle w:val="NormalCentered"/>
            </w:pPr>
            <w:r w:rsidRPr="00DE12A3">
              <w:t>Bileşen</w:t>
            </w:r>
          </w:p>
        </w:tc>
        <w:tc>
          <w:tcPr>
            <w:tcW w:w="3402" w:type="dxa"/>
            <w:shd w:val="clear" w:color="auto" w:fill="FFFFFF"/>
          </w:tcPr>
          <w:p w14:paraId="00FA1280" w14:textId="77777777" w:rsidR="009C355F" w:rsidRPr="00DE12A3" w:rsidRDefault="009C355F" w:rsidP="00C917D6">
            <w:pPr>
              <w:pStyle w:val="NormalCentered"/>
            </w:pPr>
            <w:r w:rsidRPr="00DE12A3">
              <w:t xml:space="preserve">Saflaştırılmış Sentetik Hava </w:t>
            </w:r>
            <w:r w:rsidRPr="00DE12A3">
              <w:rPr>
                <w:vertAlign w:val="superscript"/>
              </w:rPr>
              <w:t>(a)</w:t>
            </w:r>
          </w:p>
        </w:tc>
        <w:tc>
          <w:tcPr>
            <w:tcW w:w="1559" w:type="dxa"/>
            <w:shd w:val="clear" w:color="auto" w:fill="FFFFFF"/>
          </w:tcPr>
          <w:p w14:paraId="14A4617D" w14:textId="77777777" w:rsidR="009C355F" w:rsidRPr="00DE12A3" w:rsidRDefault="009C355F" w:rsidP="00C917D6">
            <w:pPr>
              <w:pStyle w:val="NormalCentered"/>
            </w:pPr>
            <w:r w:rsidRPr="00DE12A3">
              <w:t>Saflaştırılmış N</w:t>
            </w:r>
            <w:r w:rsidRPr="00DE12A3">
              <w:rPr>
                <w:vertAlign w:val="subscript"/>
              </w:rPr>
              <w:t>2</w:t>
            </w:r>
            <w:r w:rsidRPr="00DE12A3">
              <w:t xml:space="preserve"> </w:t>
            </w:r>
            <w:r w:rsidRPr="00DE12A3">
              <w:rPr>
                <w:vertAlign w:val="superscript"/>
              </w:rPr>
              <w:t>(a)</w:t>
            </w:r>
          </w:p>
        </w:tc>
      </w:tr>
      <w:tr w:rsidR="00DE12A3" w:rsidRPr="00DE12A3" w14:paraId="3ADA3FD2" w14:textId="77777777" w:rsidTr="0066751C">
        <w:trPr>
          <w:gridAfter w:val="1"/>
          <w:wAfter w:w="1497" w:type="dxa"/>
          <w:trHeight w:hRule="exact" w:val="849"/>
        </w:trPr>
        <w:tc>
          <w:tcPr>
            <w:tcW w:w="2547" w:type="dxa"/>
            <w:shd w:val="clear" w:color="auto" w:fill="FFFFFF"/>
          </w:tcPr>
          <w:p w14:paraId="11A908FA" w14:textId="77777777" w:rsidR="009C355F" w:rsidRPr="00DE12A3" w:rsidRDefault="009C355F" w:rsidP="00C917D6">
            <w:pPr>
              <w:pStyle w:val="NormalCentered"/>
            </w:pPr>
            <w:r w:rsidRPr="00DE12A3">
              <w:t>THC (C</w:t>
            </w:r>
            <w:r w:rsidRPr="00DE12A3">
              <w:rPr>
                <w:vertAlign w:val="subscript"/>
              </w:rPr>
              <w:t>1</w:t>
            </w:r>
            <w:r w:rsidRPr="00DE12A3">
              <w:t xml:space="preserve">  dengi )</w:t>
            </w:r>
          </w:p>
        </w:tc>
        <w:tc>
          <w:tcPr>
            <w:tcW w:w="3402" w:type="dxa"/>
            <w:shd w:val="clear" w:color="auto" w:fill="FFFFFF"/>
          </w:tcPr>
          <w:p w14:paraId="1CCA073F" w14:textId="77777777" w:rsidR="009C355F" w:rsidRPr="00DE12A3" w:rsidRDefault="009C355F" w:rsidP="00C917D6">
            <w:pPr>
              <w:pStyle w:val="Gvdemetni361"/>
              <w:shd w:val="clear" w:color="auto" w:fill="auto"/>
              <w:spacing w:before="120" w:after="120" w:line="240" w:lineRule="auto"/>
              <w:ind w:left="36" w:right="-4" w:firstLine="0"/>
              <w:rPr>
                <w:rFonts w:eastAsiaTheme="minorEastAsia"/>
                <w:color w:val="auto"/>
                <w:sz w:val="24"/>
                <w:szCs w:val="24"/>
                <w:lang w:val="fr-FR"/>
              </w:rPr>
            </w:pPr>
            <w:r w:rsidRPr="00DE12A3">
              <w:rPr>
                <w:rFonts w:eastAsiaTheme="minorEastAsia"/>
                <w:color w:val="auto"/>
                <w:sz w:val="24"/>
                <w:szCs w:val="24"/>
                <w:lang w:val="fr-FR"/>
              </w:rPr>
              <w:t>≤ 0,05 μmol/mol</w:t>
            </w:r>
          </w:p>
        </w:tc>
        <w:tc>
          <w:tcPr>
            <w:tcW w:w="1559" w:type="dxa"/>
            <w:shd w:val="clear" w:color="auto" w:fill="FFFFFF"/>
          </w:tcPr>
          <w:p w14:paraId="0D84CDDD" w14:textId="52F848B6" w:rsidR="009C355F" w:rsidRPr="00DE12A3" w:rsidRDefault="009C355F" w:rsidP="0066751C">
            <w:pPr>
              <w:pStyle w:val="Gvdemetni361"/>
              <w:shd w:val="clear" w:color="auto" w:fill="auto"/>
              <w:spacing w:before="120" w:after="120" w:line="240" w:lineRule="auto"/>
              <w:ind w:left="36" w:firstLine="0"/>
              <w:rPr>
                <w:rFonts w:eastAsiaTheme="minorEastAsia"/>
                <w:color w:val="auto"/>
                <w:sz w:val="24"/>
                <w:szCs w:val="24"/>
                <w:lang w:val="fr-FR"/>
              </w:rPr>
            </w:pPr>
            <w:r w:rsidRPr="00DE12A3">
              <w:rPr>
                <w:rFonts w:eastAsiaTheme="minorEastAsia"/>
                <w:color w:val="auto"/>
                <w:sz w:val="24"/>
                <w:szCs w:val="24"/>
                <w:lang w:val="fr-FR"/>
              </w:rPr>
              <w:t>≤</w:t>
            </w:r>
            <w:r w:rsidR="0066751C" w:rsidRPr="00DE12A3">
              <w:rPr>
                <w:rFonts w:eastAsiaTheme="minorEastAsia"/>
                <w:color w:val="auto"/>
                <w:sz w:val="24"/>
                <w:szCs w:val="24"/>
                <w:lang w:val="fr-FR"/>
              </w:rPr>
              <w:t xml:space="preserve"> </w:t>
            </w:r>
            <w:r w:rsidRPr="00DE12A3">
              <w:rPr>
                <w:rFonts w:eastAsiaTheme="minorEastAsia"/>
                <w:color w:val="auto"/>
                <w:sz w:val="24"/>
                <w:szCs w:val="24"/>
                <w:lang w:val="fr-FR"/>
              </w:rPr>
              <w:t>0,05 μmol/mol</w:t>
            </w:r>
          </w:p>
        </w:tc>
      </w:tr>
      <w:tr w:rsidR="00DE12A3" w:rsidRPr="00DE12A3" w14:paraId="3AC4F906" w14:textId="77777777" w:rsidTr="009C355F">
        <w:trPr>
          <w:gridAfter w:val="1"/>
          <w:wAfter w:w="1497" w:type="dxa"/>
          <w:trHeight w:hRule="exact" w:val="413"/>
        </w:trPr>
        <w:tc>
          <w:tcPr>
            <w:tcW w:w="2547" w:type="dxa"/>
            <w:shd w:val="clear" w:color="auto" w:fill="FFFFFF"/>
          </w:tcPr>
          <w:p w14:paraId="61CF3F64" w14:textId="77777777" w:rsidR="009C355F" w:rsidRPr="00DE12A3" w:rsidRDefault="009C355F" w:rsidP="00C917D6">
            <w:pPr>
              <w:pStyle w:val="NormalLeft"/>
            </w:pPr>
            <w:r w:rsidRPr="00DE12A3">
              <w:t>CO</w:t>
            </w:r>
          </w:p>
        </w:tc>
        <w:tc>
          <w:tcPr>
            <w:tcW w:w="3402" w:type="dxa"/>
            <w:shd w:val="clear" w:color="auto" w:fill="FFFFFF"/>
          </w:tcPr>
          <w:p w14:paraId="66BFD2F1" w14:textId="77777777" w:rsidR="009C355F" w:rsidRPr="00DE12A3" w:rsidRDefault="009C355F" w:rsidP="00C917D6">
            <w:pPr>
              <w:pStyle w:val="NormalLeft"/>
            </w:pPr>
            <w:r w:rsidRPr="00DE12A3">
              <w:t>≤ 1 μmol/mol</w:t>
            </w:r>
          </w:p>
        </w:tc>
        <w:tc>
          <w:tcPr>
            <w:tcW w:w="1559" w:type="dxa"/>
            <w:shd w:val="clear" w:color="auto" w:fill="FFFFFF"/>
          </w:tcPr>
          <w:p w14:paraId="680C4BCD" w14:textId="77777777" w:rsidR="009C355F" w:rsidRPr="00DE12A3" w:rsidRDefault="009C355F" w:rsidP="00C917D6">
            <w:pPr>
              <w:pStyle w:val="NormalLeft"/>
            </w:pPr>
            <w:r w:rsidRPr="00DE12A3">
              <w:t>≤ 1 μmol/mol</w:t>
            </w:r>
          </w:p>
        </w:tc>
      </w:tr>
      <w:tr w:rsidR="00DE12A3" w:rsidRPr="00DE12A3" w14:paraId="56384294" w14:textId="77777777" w:rsidTr="009C355F">
        <w:trPr>
          <w:gridAfter w:val="1"/>
          <w:wAfter w:w="1497" w:type="dxa"/>
          <w:trHeight w:hRule="exact" w:val="839"/>
        </w:trPr>
        <w:tc>
          <w:tcPr>
            <w:tcW w:w="2547" w:type="dxa"/>
            <w:shd w:val="clear" w:color="auto" w:fill="FFFFFF"/>
          </w:tcPr>
          <w:p w14:paraId="31923731" w14:textId="77777777" w:rsidR="009C355F" w:rsidRPr="00DE12A3" w:rsidRDefault="009C355F" w:rsidP="00C917D6">
            <w:pPr>
              <w:pStyle w:val="NormalLeft"/>
            </w:pPr>
            <w:r w:rsidRPr="00DE12A3">
              <w:t>CO</w:t>
            </w:r>
            <w:r w:rsidRPr="00DE12A3">
              <w:rPr>
                <w:vertAlign w:val="subscript"/>
              </w:rPr>
              <w:t>2</w:t>
            </w:r>
          </w:p>
        </w:tc>
        <w:tc>
          <w:tcPr>
            <w:tcW w:w="3402" w:type="dxa"/>
            <w:shd w:val="clear" w:color="auto" w:fill="FFFFFF"/>
          </w:tcPr>
          <w:p w14:paraId="515C2EBD" w14:textId="77777777" w:rsidR="009C355F" w:rsidRPr="00DE12A3" w:rsidRDefault="009C355F" w:rsidP="00C917D6">
            <w:pPr>
              <w:pStyle w:val="NormalLeft"/>
            </w:pPr>
            <w:r w:rsidRPr="00DE12A3">
              <w:t>≤ 10 μmol/mol</w:t>
            </w:r>
          </w:p>
        </w:tc>
        <w:tc>
          <w:tcPr>
            <w:tcW w:w="1559" w:type="dxa"/>
            <w:shd w:val="clear" w:color="auto" w:fill="FFFFFF"/>
          </w:tcPr>
          <w:p w14:paraId="5879DDA1" w14:textId="77777777" w:rsidR="009C355F" w:rsidRPr="00DE12A3" w:rsidRDefault="009C355F" w:rsidP="00C917D6">
            <w:pPr>
              <w:pStyle w:val="NormalLeft"/>
            </w:pPr>
            <w:r w:rsidRPr="00DE12A3">
              <w:t>≤ 10 μmol/mol</w:t>
            </w:r>
          </w:p>
        </w:tc>
      </w:tr>
      <w:tr w:rsidR="00DE12A3" w:rsidRPr="00DE12A3" w14:paraId="43FD5CB5" w14:textId="77777777" w:rsidTr="009C355F">
        <w:trPr>
          <w:trHeight w:hRule="exact" w:val="576"/>
        </w:trPr>
        <w:tc>
          <w:tcPr>
            <w:tcW w:w="2547" w:type="dxa"/>
            <w:shd w:val="clear" w:color="auto" w:fill="FFFFFF"/>
          </w:tcPr>
          <w:p w14:paraId="475F007B" w14:textId="77777777" w:rsidR="009C355F" w:rsidRPr="00DE12A3" w:rsidRDefault="009C355F" w:rsidP="00C917D6">
            <w:pPr>
              <w:pStyle w:val="NormalLeft"/>
            </w:pPr>
            <w:r w:rsidRPr="00DE12A3">
              <w:t>O</w:t>
            </w:r>
            <w:r w:rsidRPr="00DE12A3">
              <w:rPr>
                <w:vertAlign w:val="subscript"/>
              </w:rPr>
              <w:t>2</w:t>
            </w:r>
          </w:p>
        </w:tc>
        <w:tc>
          <w:tcPr>
            <w:tcW w:w="3402" w:type="dxa"/>
            <w:shd w:val="clear" w:color="auto" w:fill="FFFFFF"/>
          </w:tcPr>
          <w:p w14:paraId="22A24AEC" w14:textId="77777777" w:rsidR="009C355F" w:rsidRPr="00DE12A3" w:rsidRDefault="009C355F" w:rsidP="00C917D6">
            <w:pPr>
              <w:pStyle w:val="NormalLeft"/>
            </w:pPr>
            <w:r w:rsidRPr="00DE12A3">
              <w:t>0,205 ila 0,215 mol/mol</w:t>
            </w:r>
          </w:p>
        </w:tc>
        <w:tc>
          <w:tcPr>
            <w:tcW w:w="1559" w:type="dxa"/>
            <w:shd w:val="clear" w:color="auto" w:fill="FFFFFF"/>
          </w:tcPr>
          <w:p w14:paraId="47210A37" w14:textId="77777777" w:rsidR="009C355F" w:rsidRPr="00DE12A3" w:rsidRDefault="009C355F" w:rsidP="00C917D6">
            <w:pPr>
              <w:pStyle w:val="NormalLeft"/>
            </w:pPr>
            <w:r w:rsidRPr="00DE12A3">
              <w:t>≤ 2 μmol/mol</w:t>
            </w:r>
          </w:p>
        </w:tc>
        <w:tc>
          <w:tcPr>
            <w:tcW w:w="1497" w:type="dxa"/>
            <w:shd w:val="clear" w:color="auto" w:fill="FFFFFF"/>
          </w:tcPr>
          <w:p w14:paraId="5991A896" w14:textId="77777777" w:rsidR="009C355F" w:rsidRPr="00DE12A3" w:rsidRDefault="009C355F" w:rsidP="00C917D6">
            <w:pPr>
              <w:spacing w:before="120" w:after="120"/>
              <w:rPr>
                <w:rFonts w:cs="Times New Roman"/>
                <w:b/>
                <w:bCs/>
                <w:color w:val="auto"/>
              </w:rPr>
            </w:pPr>
            <w:r w:rsidRPr="00DE12A3">
              <w:rPr>
                <w:rStyle w:val="fontstyle01"/>
                <w:rFonts w:ascii="Times New Roman" w:hAnsi="Times New Roman" w:cs="Times New Roman"/>
                <w:b/>
                <w:bCs/>
                <w:color w:val="auto"/>
              </w:rPr>
              <w:t>≤ 1 μmol/mol</w:t>
            </w:r>
          </w:p>
        </w:tc>
      </w:tr>
      <w:tr w:rsidR="00DE12A3" w:rsidRPr="00DE12A3" w14:paraId="60971803" w14:textId="77777777" w:rsidTr="009C355F">
        <w:trPr>
          <w:gridAfter w:val="1"/>
          <w:wAfter w:w="1497" w:type="dxa"/>
          <w:trHeight w:hRule="exact" w:val="418"/>
        </w:trPr>
        <w:tc>
          <w:tcPr>
            <w:tcW w:w="2547" w:type="dxa"/>
            <w:shd w:val="clear" w:color="auto" w:fill="FFFFFF"/>
          </w:tcPr>
          <w:p w14:paraId="69DA59E7" w14:textId="77777777" w:rsidR="009C355F" w:rsidRPr="00DE12A3" w:rsidRDefault="009C355F" w:rsidP="00C917D6">
            <w:pPr>
              <w:pStyle w:val="NormalLeft"/>
            </w:pPr>
            <w:r w:rsidRPr="00DE12A3">
              <w:t>NO</w:t>
            </w:r>
            <w:r w:rsidRPr="00DE12A3">
              <w:rPr>
                <w:vertAlign w:val="subscript"/>
              </w:rPr>
              <w:t>x</w:t>
            </w:r>
          </w:p>
        </w:tc>
        <w:tc>
          <w:tcPr>
            <w:tcW w:w="3402" w:type="dxa"/>
            <w:shd w:val="clear" w:color="auto" w:fill="FFFFFF"/>
          </w:tcPr>
          <w:p w14:paraId="78B7DE10" w14:textId="77777777" w:rsidR="009C355F" w:rsidRPr="00DE12A3" w:rsidRDefault="009C355F" w:rsidP="00C917D6">
            <w:pPr>
              <w:pStyle w:val="NormalLeft"/>
            </w:pPr>
            <w:r w:rsidRPr="00DE12A3">
              <w:t>≤ 0,02 μmol/mol</w:t>
            </w:r>
          </w:p>
        </w:tc>
        <w:tc>
          <w:tcPr>
            <w:tcW w:w="1559" w:type="dxa"/>
            <w:shd w:val="clear" w:color="auto" w:fill="FFFFFF"/>
          </w:tcPr>
          <w:p w14:paraId="40CF0246" w14:textId="77777777" w:rsidR="009C355F" w:rsidRPr="00DE12A3" w:rsidRDefault="009C355F" w:rsidP="00C917D6">
            <w:pPr>
              <w:pStyle w:val="NormalLeft"/>
            </w:pPr>
            <w:r w:rsidRPr="00DE12A3">
              <w:t>≤ 0,02 μmol/mol</w:t>
            </w:r>
          </w:p>
        </w:tc>
      </w:tr>
    </w:tbl>
    <w:p w14:paraId="1F810A1A" w14:textId="77777777" w:rsidR="002D7B36" w:rsidRPr="00DE12A3" w:rsidRDefault="002D7B36" w:rsidP="004F7D49">
      <w:pPr>
        <w:rPr>
          <w:color w:val="auto"/>
        </w:rPr>
      </w:pPr>
    </w:p>
    <w:p w14:paraId="346D4736" w14:textId="77777777" w:rsidR="0055404E" w:rsidRPr="00DE12A3" w:rsidRDefault="0055404E" w:rsidP="00C917D6">
      <w:pPr>
        <w:pStyle w:val="Tabloyazs71"/>
        <w:shd w:val="clear" w:color="auto" w:fill="auto"/>
        <w:spacing w:before="120" w:after="120" w:line="240" w:lineRule="auto"/>
        <w:ind w:left="284" w:hanging="284"/>
        <w:jc w:val="left"/>
        <w:rPr>
          <w:rStyle w:val="Tabloyazs72"/>
          <w:color w:val="auto"/>
          <w:sz w:val="24"/>
          <w:szCs w:val="24"/>
        </w:rPr>
      </w:pPr>
    </w:p>
    <w:p w14:paraId="5F51AC32" w14:textId="77777777" w:rsidR="0055404E" w:rsidRPr="00DE12A3" w:rsidRDefault="0055404E" w:rsidP="00C917D6">
      <w:pPr>
        <w:pStyle w:val="Tabloyazs71"/>
        <w:shd w:val="clear" w:color="auto" w:fill="auto"/>
        <w:spacing w:before="120" w:after="120" w:line="240" w:lineRule="auto"/>
        <w:ind w:left="284" w:hanging="284"/>
        <w:jc w:val="left"/>
        <w:rPr>
          <w:rStyle w:val="Tabloyazs72"/>
          <w:color w:val="auto"/>
          <w:sz w:val="24"/>
          <w:szCs w:val="24"/>
        </w:rPr>
      </w:pPr>
    </w:p>
    <w:p w14:paraId="5B47E23D" w14:textId="77777777" w:rsidR="0055404E" w:rsidRPr="00DE12A3" w:rsidRDefault="0055404E" w:rsidP="00C917D6">
      <w:pPr>
        <w:pStyle w:val="Tabloyazs71"/>
        <w:shd w:val="clear" w:color="auto" w:fill="auto"/>
        <w:spacing w:before="120" w:after="120" w:line="240" w:lineRule="auto"/>
        <w:ind w:left="284" w:hanging="284"/>
        <w:jc w:val="left"/>
        <w:rPr>
          <w:rStyle w:val="Tabloyazs72"/>
          <w:color w:val="auto"/>
          <w:sz w:val="24"/>
          <w:szCs w:val="24"/>
        </w:rPr>
      </w:pPr>
    </w:p>
    <w:p w14:paraId="6FBF2376" w14:textId="77777777" w:rsidR="0055404E" w:rsidRPr="00DE12A3" w:rsidRDefault="0055404E" w:rsidP="00C917D6">
      <w:pPr>
        <w:pStyle w:val="Tabloyazs71"/>
        <w:shd w:val="clear" w:color="auto" w:fill="auto"/>
        <w:spacing w:before="120" w:after="120" w:line="240" w:lineRule="auto"/>
        <w:ind w:left="284" w:hanging="284"/>
        <w:jc w:val="left"/>
        <w:rPr>
          <w:rStyle w:val="Tabloyazs72"/>
          <w:color w:val="auto"/>
          <w:sz w:val="24"/>
          <w:szCs w:val="24"/>
        </w:rPr>
      </w:pPr>
    </w:p>
    <w:p w14:paraId="12C055E3" w14:textId="77777777" w:rsidR="0055404E" w:rsidRPr="00DE12A3" w:rsidRDefault="0055404E" w:rsidP="00C917D6">
      <w:pPr>
        <w:pStyle w:val="Tabloyazs71"/>
        <w:shd w:val="clear" w:color="auto" w:fill="auto"/>
        <w:spacing w:before="120" w:after="120" w:line="240" w:lineRule="auto"/>
        <w:ind w:left="284" w:hanging="284"/>
        <w:jc w:val="left"/>
        <w:rPr>
          <w:rStyle w:val="Tabloyazs72"/>
          <w:color w:val="auto"/>
          <w:sz w:val="24"/>
          <w:szCs w:val="24"/>
        </w:rPr>
      </w:pPr>
    </w:p>
    <w:p w14:paraId="77ABAE38" w14:textId="77777777" w:rsidR="0055404E" w:rsidRPr="00DE12A3" w:rsidRDefault="0055404E" w:rsidP="00C917D6">
      <w:pPr>
        <w:pStyle w:val="Tabloyazs71"/>
        <w:shd w:val="clear" w:color="auto" w:fill="auto"/>
        <w:spacing w:before="120" w:after="120" w:line="240" w:lineRule="auto"/>
        <w:ind w:left="284" w:hanging="284"/>
        <w:jc w:val="left"/>
        <w:rPr>
          <w:rStyle w:val="Tabloyazs72"/>
          <w:color w:val="auto"/>
          <w:sz w:val="24"/>
          <w:szCs w:val="24"/>
        </w:rPr>
      </w:pPr>
    </w:p>
    <w:p w14:paraId="1047827F" w14:textId="77777777" w:rsidR="0055404E" w:rsidRPr="00DE12A3" w:rsidRDefault="0055404E" w:rsidP="00C917D6">
      <w:pPr>
        <w:pStyle w:val="Tabloyazs71"/>
        <w:shd w:val="clear" w:color="auto" w:fill="auto"/>
        <w:spacing w:before="120" w:after="120" w:line="240" w:lineRule="auto"/>
        <w:ind w:left="284" w:hanging="284"/>
        <w:jc w:val="left"/>
        <w:rPr>
          <w:rStyle w:val="Tabloyazs72"/>
          <w:color w:val="auto"/>
          <w:sz w:val="24"/>
          <w:szCs w:val="24"/>
        </w:rPr>
      </w:pPr>
    </w:p>
    <w:p w14:paraId="22660832" w14:textId="77777777" w:rsidR="0055404E" w:rsidRPr="00DE12A3" w:rsidRDefault="0055404E" w:rsidP="00C917D6">
      <w:pPr>
        <w:pStyle w:val="Tabloyazs71"/>
        <w:shd w:val="clear" w:color="auto" w:fill="auto"/>
        <w:spacing w:before="120" w:after="120" w:line="240" w:lineRule="auto"/>
        <w:ind w:left="284" w:hanging="284"/>
        <w:jc w:val="left"/>
        <w:rPr>
          <w:rStyle w:val="Tabloyazs72"/>
          <w:color w:val="auto"/>
          <w:sz w:val="24"/>
          <w:szCs w:val="24"/>
        </w:rPr>
      </w:pPr>
    </w:p>
    <w:p w14:paraId="3F5539A2" w14:textId="77777777" w:rsidR="0055404E" w:rsidRPr="00DE12A3" w:rsidRDefault="0055404E" w:rsidP="00C917D6">
      <w:pPr>
        <w:pStyle w:val="Tabloyazs71"/>
        <w:shd w:val="clear" w:color="auto" w:fill="auto"/>
        <w:spacing w:before="120" w:after="120" w:line="240" w:lineRule="auto"/>
        <w:ind w:left="284" w:hanging="284"/>
        <w:jc w:val="left"/>
        <w:rPr>
          <w:rStyle w:val="Tabloyazs72"/>
          <w:color w:val="auto"/>
          <w:sz w:val="24"/>
          <w:szCs w:val="24"/>
        </w:rPr>
      </w:pPr>
    </w:p>
    <w:p w14:paraId="4390E307" w14:textId="77777777" w:rsidR="0055404E" w:rsidRPr="00DE12A3" w:rsidRDefault="0055404E" w:rsidP="00C917D6">
      <w:pPr>
        <w:pStyle w:val="Tabloyazs71"/>
        <w:shd w:val="clear" w:color="auto" w:fill="auto"/>
        <w:spacing w:before="120" w:after="120" w:line="240" w:lineRule="auto"/>
        <w:ind w:left="284" w:hanging="284"/>
        <w:jc w:val="left"/>
        <w:rPr>
          <w:rStyle w:val="Tabloyazs72"/>
          <w:color w:val="auto"/>
          <w:sz w:val="24"/>
          <w:szCs w:val="24"/>
        </w:rPr>
      </w:pPr>
    </w:p>
    <w:p w14:paraId="286261F4" w14:textId="77777777" w:rsidR="0055404E" w:rsidRPr="00DE12A3" w:rsidRDefault="0055404E" w:rsidP="00C917D6">
      <w:pPr>
        <w:pStyle w:val="Tabloyazs71"/>
        <w:shd w:val="clear" w:color="auto" w:fill="auto"/>
        <w:spacing w:before="120" w:after="120" w:line="240" w:lineRule="auto"/>
        <w:ind w:left="284" w:hanging="284"/>
        <w:jc w:val="left"/>
        <w:rPr>
          <w:rStyle w:val="Tabloyazs72"/>
          <w:color w:val="auto"/>
          <w:sz w:val="24"/>
          <w:szCs w:val="24"/>
        </w:rPr>
      </w:pPr>
    </w:p>
    <w:p w14:paraId="6154A262" w14:textId="77777777" w:rsidR="0055404E" w:rsidRPr="00DE12A3" w:rsidRDefault="0055404E" w:rsidP="00C917D6">
      <w:pPr>
        <w:pStyle w:val="Tabloyazs71"/>
        <w:shd w:val="clear" w:color="auto" w:fill="auto"/>
        <w:spacing w:before="120" w:after="120" w:line="240" w:lineRule="auto"/>
        <w:ind w:left="284" w:hanging="284"/>
        <w:jc w:val="left"/>
        <w:rPr>
          <w:rStyle w:val="Tabloyazs72"/>
          <w:color w:val="auto"/>
          <w:sz w:val="24"/>
          <w:szCs w:val="24"/>
        </w:rPr>
      </w:pPr>
    </w:p>
    <w:p w14:paraId="06E67427" w14:textId="77777777" w:rsidR="009C355F" w:rsidRPr="00DE12A3" w:rsidRDefault="009C355F" w:rsidP="00C917D6">
      <w:pPr>
        <w:pStyle w:val="Tabloyazs71"/>
        <w:shd w:val="clear" w:color="auto" w:fill="auto"/>
        <w:spacing w:before="120" w:after="120" w:line="240" w:lineRule="auto"/>
        <w:ind w:left="284" w:hanging="284"/>
        <w:jc w:val="left"/>
        <w:rPr>
          <w:sz w:val="20"/>
          <w:szCs w:val="20"/>
        </w:rPr>
      </w:pPr>
      <w:r w:rsidRPr="00DE12A3">
        <w:rPr>
          <w:rStyle w:val="Tabloyazs72"/>
          <w:color w:val="auto"/>
          <w:sz w:val="20"/>
          <w:szCs w:val="20"/>
        </w:rPr>
        <w:t>(</w:t>
      </w:r>
      <w:r w:rsidRPr="00DE12A3">
        <w:rPr>
          <w:rStyle w:val="Tabloyazs72"/>
          <w:color w:val="auto"/>
          <w:sz w:val="20"/>
          <w:szCs w:val="20"/>
          <w:vertAlign w:val="superscript"/>
        </w:rPr>
        <w:t>a</w:t>
      </w:r>
      <w:r w:rsidRPr="00DE12A3">
        <w:rPr>
          <w:rStyle w:val="Tabloyazs72"/>
          <w:color w:val="auto"/>
          <w:sz w:val="20"/>
          <w:szCs w:val="20"/>
        </w:rPr>
        <w:t>)</w:t>
      </w:r>
      <w:r w:rsidRPr="00DE12A3">
        <w:rPr>
          <w:rStyle w:val="Tabloyazs72"/>
          <w:color w:val="auto"/>
          <w:sz w:val="20"/>
          <w:szCs w:val="20"/>
        </w:rPr>
        <w:tab/>
      </w:r>
      <w:r w:rsidRPr="00DE12A3">
        <w:rPr>
          <w:sz w:val="20"/>
          <w:szCs w:val="20"/>
        </w:rPr>
        <w:t>Bu saflık seviyelerinin uluslararası ve/veya ulusal düzeyde tanınan standartlarca takip edilebilir olması şart değildir</w:t>
      </w:r>
      <w:r w:rsidRPr="00DE12A3">
        <w:rPr>
          <w:rStyle w:val="Tabloyazs72"/>
          <w:color w:val="auto"/>
          <w:sz w:val="20"/>
          <w:szCs w:val="20"/>
        </w:rPr>
        <w:t>.</w:t>
      </w:r>
    </w:p>
    <w:tbl>
      <w:tblPr>
        <w:tblpPr w:leftFromText="141" w:rightFromText="141" w:vertAnchor="text" w:horzAnchor="margin" w:tblpY="492"/>
        <w:tblOverlap w:val="neve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10" w:type="dxa"/>
          <w:right w:w="10" w:type="dxa"/>
        </w:tblCellMar>
        <w:tblLook w:val="04A0" w:firstRow="1" w:lastRow="0" w:firstColumn="1" w:lastColumn="0" w:noHBand="0" w:noVBand="1"/>
      </w:tblPr>
      <w:tblGrid>
        <w:gridCol w:w="2263"/>
        <w:gridCol w:w="3119"/>
        <w:gridCol w:w="3544"/>
      </w:tblGrid>
      <w:tr w:rsidR="00DE12A3" w:rsidRPr="00DE12A3" w14:paraId="4DC84B37" w14:textId="77777777" w:rsidTr="009C355F">
        <w:trPr>
          <w:trHeight w:hRule="exact" w:val="440"/>
        </w:trPr>
        <w:tc>
          <w:tcPr>
            <w:tcW w:w="8926" w:type="dxa"/>
            <w:gridSpan w:val="3"/>
            <w:shd w:val="clear" w:color="auto" w:fill="FFFFFF"/>
          </w:tcPr>
          <w:p w14:paraId="5202BAE2" w14:textId="77777777" w:rsidR="009C355F" w:rsidRPr="00DE12A3" w:rsidRDefault="009C355F" w:rsidP="00C917D6">
            <w:pPr>
              <w:pStyle w:val="Gvdemetni361"/>
              <w:shd w:val="clear" w:color="auto" w:fill="auto"/>
              <w:spacing w:before="120" w:after="120" w:line="240" w:lineRule="auto"/>
              <w:ind w:firstLine="0"/>
              <w:jc w:val="center"/>
              <w:rPr>
                <w:iCs/>
                <w:color w:val="auto"/>
                <w:spacing w:val="2"/>
                <w:sz w:val="24"/>
                <w:szCs w:val="24"/>
                <w:lang w:val="fr-FR"/>
              </w:rPr>
            </w:pPr>
            <w:r w:rsidRPr="00DE12A3">
              <w:rPr>
                <w:iCs/>
                <w:color w:val="auto"/>
                <w:spacing w:val="2"/>
                <w:sz w:val="24"/>
                <w:szCs w:val="24"/>
                <w:lang w:val="fr-FR"/>
              </w:rPr>
              <w:t>Tablo 6.10</w:t>
            </w:r>
          </w:p>
        </w:tc>
      </w:tr>
      <w:tr w:rsidR="00DE12A3" w:rsidRPr="00DE12A3" w14:paraId="4A8F48C1" w14:textId="77777777" w:rsidTr="009C355F">
        <w:trPr>
          <w:trHeight w:hRule="exact" w:val="491"/>
        </w:trPr>
        <w:tc>
          <w:tcPr>
            <w:tcW w:w="8926" w:type="dxa"/>
            <w:gridSpan w:val="3"/>
            <w:shd w:val="clear" w:color="auto" w:fill="FFFFFF"/>
          </w:tcPr>
          <w:p w14:paraId="17FA5207" w14:textId="77777777" w:rsidR="009C355F" w:rsidRPr="00DE12A3" w:rsidRDefault="009C355F" w:rsidP="00C917D6">
            <w:pPr>
              <w:pStyle w:val="Gvdemetni361"/>
              <w:shd w:val="clear" w:color="auto" w:fill="auto"/>
              <w:spacing w:before="120" w:after="120" w:line="240" w:lineRule="auto"/>
              <w:ind w:firstLine="0"/>
              <w:jc w:val="center"/>
              <w:rPr>
                <w:b/>
                <w:iCs/>
                <w:color w:val="auto"/>
                <w:spacing w:val="2"/>
                <w:sz w:val="24"/>
                <w:szCs w:val="24"/>
                <w:lang w:val="fr-FR"/>
              </w:rPr>
            </w:pPr>
            <w:r w:rsidRPr="00DE12A3">
              <w:rPr>
                <w:b/>
                <w:iCs/>
                <w:color w:val="auto"/>
                <w:spacing w:val="2"/>
                <w:sz w:val="24"/>
                <w:szCs w:val="24"/>
                <w:lang w:val="fr-FR"/>
              </w:rPr>
              <w:t>Ham ölçümler için geçerli kontaminasyon sınırları [^ mol / mol = ppm]</w:t>
            </w:r>
          </w:p>
          <w:p w14:paraId="7929903C" w14:textId="77777777" w:rsidR="009C355F" w:rsidRPr="00DE12A3" w:rsidRDefault="009C355F" w:rsidP="00C917D6">
            <w:pPr>
              <w:pStyle w:val="Gvdemetni361"/>
              <w:shd w:val="clear" w:color="auto" w:fill="auto"/>
              <w:spacing w:before="120" w:after="120" w:line="240" w:lineRule="auto"/>
              <w:ind w:firstLine="0"/>
              <w:jc w:val="center"/>
              <w:rPr>
                <w:rStyle w:val="Gvdemetni3695pt0ptbolukbraklyor"/>
                <w:color w:val="auto"/>
                <w:sz w:val="20"/>
                <w:szCs w:val="20"/>
              </w:rPr>
            </w:pPr>
          </w:p>
        </w:tc>
      </w:tr>
      <w:tr w:rsidR="00DE12A3" w:rsidRPr="00DE12A3" w14:paraId="1B066913" w14:textId="77777777" w:rsidTr="009C355F">
        <w:trPr>
          <w:trHeight w:hRule="exact" w:val="653"/>
        </w:trPr>
        <w:tc>
          <w:tcPr>
            <w:tcW w:w="2263" w:type="dxa"/>
            <w:shd w:val="clear" w:color="auto" w:fill="FFFFFF"/>
          </w:tcPr>
          <w:p w14:paraId="75E6F0CC" w14:textId="77777777" w:rsidR="009C355F" w:rsidRPr="00DE12A3" w:rsidRDefault="009C355F" w:rsidP="00C917D6">
            <w:pPr>
              <w:pStyle w:val="NormalLeft"/>
            </w:pPr>
            <w:r w:rsidRPr="00DE12A3">
              <w:t>Bileşen</w:t>
            </w:r>
          </w:p>
        </w:tc>
        <w:tc>
          <w:tcPr>
            <w:tcW w:w="3119" w:type="dxa"/>
            <w:shd w:val="clear" w:color="auto" w:fill="FFFFFF"/>
          </w:tcPr>
          <w:p w14:paraId="37B0B666" w14:textId="77777777" w:rsidR="009C355F" w:rsidRPr="00DE12A3" w:rsidRDefault="009C355F" w:rsidP="00C917D6">
            <w:pPr>
              <w:pStyle w:val="NormalLeft"/>
            </w:pPr>
            <w:r w:rsidRPr="00DE12A3">
              <w:t xml:space="preserve">Saflaştırılmış Sentetik Hava </w:t>
            </w:r>
            <w:r w:rsidRPr="00DE12A3">
              <w:rPr>
                <w:vertAlign w:val="superscript"/>
              </w:rPr>
              <w:t>(a)</w:t>
            </w:r>
          </w:p>
        </w:tc>
        <w:tc>
          <w:tcPr>
            <w:tcW w:w="3544" w:type="dxa"/>
            <w:shd w:val="clear" w:color="auto" w:fill="FFFFFF"/>
          </w:tcPr>
          <w:p w14:paraId="11523D4D" w14:textId="77777777" w:rsidR="009C355F" w:rsidRPr="00DE12A3" w:rsidRDefault="009C355F" w:rsidP="00C917D6">
            <w:pPr>
              <w:pStyle w:val="NormalLeft"/>
            </w:pPr>
            <w:r w:rsidRPr="00DE12A3">
              <w:t xml:space="preserve">Saflaştırılmış N2 </w:t>
            </w:r>
            <w:r w:rsidRPr="00DE12A3">
              <w:rPr>
                <w:vertAlign w:val="superscript"/>
              </w:rPr>
              <w:t>(a)</w:t>
            </w:r>
          </w:p>
        </w:tc>
      </w:tr>
      <w:tr w:rsidR="00DE12A3" w:rsidRPr="00DE12A3" w14:paraId="7BA3A97F" w14:textId="77777777" w:rsidTr="009C355F">
        <w:trPr>
          <w:trHeight w:hRule="exact" w:val="605"/>
        </w:trPr>
        <w:tc>
          <w:tcPr>
            <w:tcW w:w="2263" w:type="dxa"/>
            <w:shd w:val="clear" w:color="auto" w:fill="FFFFFF"/>
          </w:tcPr>
          <w:p w14:paraId="5FF9B6EC" w14:textId="77777777" w:rsidR="009C355F" w:rsidRPr="00DE12A3" w:rsidRDefault="009C355F" w:rsidP="00C917D6">
            <w:pPr>
              <w:pStyle w:val="NormalLeft"/>
            </w:pPr>
            <w:r w:rsidRPr="00DE12A3">
              <w:t>THC (C</w:t>
            </w:r>
            <w:r w:rsidRPr="00DE12A3">
              <w:rPr>
                <w:vertAlign w:val="subscript"/>
              </w:rPr>
              <w:t>1</w:t>
            </w:r>
            <w:r w:rsidRPr="00DE12A3">
              <w:t xml:space="preserve"> equiv</w:t>
            </w:r>
            <w:r w:rsidRPr="00DE12A3">
              <w:softHyphen/>
              <w:t>alent)</w:t>
            </w:r>
          </w:p>
        </w:tc>
        <w:tc>
          <w:tcPr>
            <w:tcW w:w="3119" w:type="dxa"/>
            <w:shd w:val="clear" w:color="auto" w:fill="FFFFFF"/>
          </w:tcPr>
          <w:p w14:paraId="09EB5E58" w14:textId="77777777" w:rsidR="009C355F" w:rsidRPr="00DE12A3" w:rsidRDefault="009C355F" w:rsidP="00C917D6">
            <w:pPr>
              <w:pStyle w:val="NormalLeft"/>
            </w:pPr>
            <w:r w:rsidRPr="00DE12A3">
              <w:t>≤ 1 μmol/mol</w:t>
            </w:r>
          </w:p>
        </w:tc>
        <w:tc>
          <w:tcPr>
            <w:tcW w:w="3544" w:type="dxa"/>
            <w:shd w:val="clear" w:color="auto" w:fill="FFFFFF"/>
          </w:tcPr>
          <w:p w14:paraId="258F0AF2" w14:textId="77777777" w:rsidR="009C355F" w:rsidRPr="00DE12A3" w:rsidRDefault="009C355F" w:rsidP="00C917D6">
            <w:pPr>
              <w:pStyle w:val="NormalLeft"/>
            </w:pPr>
            <w:r w:rsidRPr="00DE12A3">
              <w:t>≤ 1 μmol/mol</w:t>
            </w:r>
          </w:p>
        </w:tc>
      </w:tr>
      <w:tr w:rsidR="00DE12A3" w:rsidRPr="00DE12A3" w14:paraId="21770F91" w14:textId="77777777" w:rsidTr="009C355F">
        <w:trPr>
          <w:trHeight w:hRule="exact" w:val="413"/>
        </w:trPr>
        <w:tc>
          <w:tcPr>
            <w:tcW w:w="2263" w:type="dxa"/>
            <w:shd w:val="clear" w:color="auto" w:fill="FFFFFF"/>
          </w:tcPr>
          <w:p w14:paraId="50AA6732" w14:textId="77777777" w:rsidR="009C355F" w:rsidRPr="00DE12A3" w:rsidRDefault="009C355F" w:rsidP="00C917D6">
            <w:pPr>
              <w:pStyle w:val="NormalLeft"/>
            </w:pPr>
            <w:r w:rsidRPr="00DE12A3">
              <w:t>CO</w:t>
            </w:r>
          </w:p>
        </w:tc>
        <w:tc>
          <w:tcPr>
            <w:tcW w:w="3119" w:type="dxa"/>
            <w:shd w:val="clear" w:color="auto" w:fill="FFFFFF"/>
          </w:tcPr>
          <w:p w14:paraId="3445BEF5" w14:textId="77777777" w:rsidR="009C355F" w:rsidRPr="00DE12A3" w:rsidRDefault="009C355F" w:rsidP="00C917D6">
            <w:pPr>
              <w:pStyle w:val="NormalLeft"/>
            </w:pPr>
            <w:r w:rsidRPr="00DE12A3">
              <w:t>≤ 1 μmol/mol</w:t>
            </w:r>
          </w:p>
        </w:tc>
        <w:tc>
          <w:tcPr>
            <w:tcW w:w="3544" w:type="dxa"/>
            <w:shd w:val="clear" w:color="auto" w:fill="FFFFFF"/>
          </w:tcPr>
          <w:p w14:paraId="72BB9604" w14:textId="77777777" w:rsidR="009C355F" w:rsidRPr="00DE12A3" w:rsidRDefault="009C355F" w:rsidP="00C917D6">
            <w:pPr>
              <w:pStyle w:val="NormalLeft"/>
            </w:pPr>
            <w:r w:rsidRPr="00DE12A3">
              <w:t>≤ 1 μmol/mol</w:t>
            </w:r>
          </w:p>
        </w:tc>
      </w:tr>
      <w:tr w:rsidR="00DE12A3" w:rsidRPr="00DE12A3" w14:paraId="1D8A6B06" w14:textId="77777777" w:rsidTr="009C355F">
        <w:trPr>
          <w:trHeight w:hRule="exact" w:val="413"/>
        </w:trPr>
        <w:tc>
          <w:tcPr>
            <w:tcW w:w="2263" w:type="dxa"/>
            <w:shd w:val="clear" w:color="auto" w:fill="FFFFFF"/>
          </w:tcPr>
          <w:p w14:paraId="6F9CE7BE" w14:textId="77777777" w:rsidR="009C355F" w:rsidRPr="00DE12A3" w:rsidRDefault="009C355F" w:rsidP="00C917D6">
            <w:pPr>
              <w:pStyle w:val="NormalLeft"/>
            </w:pPr>
            <w:r w:rsidRPr="00DE12A3">
              <w:t>CO</w:t>
            </w:r>
            <w:r w:rsidRPr="00DE12A3">
              <w:rPr>
                <w:vertAlign w:val="subscript"/>
              </w:rPr>
              <w:t>2</w:t>
            </w:r>
          </w:p>
        </w:tc>
        <w:tc>
          <w:tcPr>
            <w:tcW w:w="3119" w:type="dxa"/>
            <w:shd w:val="clear" w:color="auto" w:fill="FFFFFF"/>
          </w:tcPr>
          <w:p w14:paraId="71735B75" w14:textId="77777777" w:rsidR="009C355F" w:rsidRPr="00DE12A3" w:rsidRDefault="009C355F" w:rsidP="00C917D6">
            <w:pPr>
              <w:pStyle w:val="NormalLeft"/>
            </w:pPr>
            <w:r w:rsidRPr="00DE12A3">
              <w:t>≤ 400 μmol/mol</w:t>
            </w:r>
          </w:p>
        </w:tc>
        <w:tc>
          <w:tcPr>
            <w:tcW w:w="3544" w:type="dxa"/>
            <w:shd w:val="clear" w:color="auto" w:fill="FFFFFF"/>
          </w:tcPr>
          <w:p w14:paraId="71888605" w14:textId="77777777" w:rsidR="009C355F" w:rsidRPr="00DE12A3" w:rsidRDefault="009C355F" w:rsidP="00C917D6">
            <w:pPr>
              <w:pStyle w:val="NormalLeft"/>
            </w:pPr>
            <w:r w:rsidRPr="00DE12A3">
              <w:t>≤ 400 μmol/mol</w:t>
            </w:r>
          </w:p>
        </w:tc>
      </w:tr>
      <w:tr w:rsidR="00DE12A3" w:rsidRPr="00DE12A3" w14:paraId="25E6CD3A" w14:textId="77777777" w:rsidTr="009C355F">
        <w:trPr>
          <w:trHeight w:hRule="exact" w:val="605"/>
        </w:trPr>
        <w:tc>
          <w:tcPr>
            <w:tcW w:w="2263" w:type="dxa"/>
            <w:shd w:val="clear" w:color="auto" w:fill="FFFFFF"/>
          </w:tcPr>
          <w:p w14:paraId="62388CBC" w14:textId="77777777" w:rsidR="009C355F" w:rsidRPr="00DE12A3" w:rsidRDefault="009C355F" w:rsidP="00C917D6">
            <w:pPr>
              <w:pStyle w:val="NormalLeft"/>
            </w:pPr>
            <w:r w:rsidRPr="00DE12A3">
              <w:t>O</w:t>
            </w:r>
            <w:r w:rsidRPr="00DE12A3">
              <w:rPr>
                <w:vertAlign w:val="subscript"/>
              </w:rPr>
              <w:t>2</w:t>
            </w:r>
          </w:p>
        </w:tc>
        <w:tc>
          <w:tcPr>
            <w:tcW w:w="3119" w:type="dxa"/>
            <w:shd w:val="clear" w:color="auto" w:fill="FFFFFF"/>
          </w:tcPr>
          <w:p w14:paraId="2E7BF40C" w14:textId="77777777" w:rsidR="009C355F" w:rsidRPr="00DE12A3" w:rsidRDefault="009C355F" w:rsidP="00C917D6">
            <w:pPr>
              <w:pStyle w:val="NormalLeft"/>
            </w:pPr>
            <w:r w:rsidRPr="00DE12A3">
              <w:t>0,18 ila 0,21 mol/mol</w:t>
            </w:r>
          </w:p>
        </w:tc>
        <w:tc>
          <w:tcPr>
            <w:tcW w:w="3544" w:type="dxa"/>
            <w:shd w:val="clear" w:color="auto" w:fill="FFFFFF"/>
          </w:tcPr>
          <w:p w14:paraId="644E2B7A" w14:textId="77777777" w:rsidR="009C355F" w:rsidRPr="00DE12A3" w:rsidRDefault="009C355F" w:rsidP="00C917D6">
            <w:pPr>
              <w:pStyle w:val="NormalLeft"/>
            </w:pPr>
            <w:r w:rsidRPr="00DE12A3">
              <w:t>—</w:t>
            </w:r>
          </w:p>
        </w:tc>
      </w:tr>
      <w:tr w:rsidR="00DE12A3" w:rsidRPr="00DE12A3" w14:paraId="2636F295" w14:textId="77777777" w:rsidTr="009C355F">
        <w:trPr>
          <w:trHeight w:hRule="exact" w:val="427"/>
        </w:trPr>
        <w:tc>
          <w:tcPr>
            <w:tcW w:w="2263" w:type="dxa"/>
            <w:shd w:val="clear" w:color="auto" w:fill="FFFFFF"/>
          </w:tcPr>
          <w:p w14:paraId="225BDEBF" w14:textId="77777777" w:rsidR="009C355F" w:rsidRPr="00DE12A3" w:rsidRDefault="009C355F" w:rsidP="00C917D6">
            <w:pPr>
              <w:pStyle w:val="NormalLeft"/>
            </w:pPr>
            <w:r w:rsidRPr="00DE12A3">
              <w:t>NO</w:t>
            </w:r>
            <w:r w:rsidRPr="00DE12A3">
              <w:rPr>
                <w:vertAlign w:val="subscript"/>
              </w:rPr>
              <w:t>x</w:t>
            </w:r>
          </w:p>
        </w:tc>
        <w:tc>
          <w:tcPr>
            <w:tcW w:w="3119" w:type="dxa"/>
            <w:shd w:val="clear" w:color="auto" w:fill="FFFFFF"/>
          </w:tcPr>
          <w:p w14:paraId="397D1376" w14:textId="77777777" w:rsidR="009C355F" w:rsidRPr="00DE12A3" w:rsidRDefault="009C355F" w:rsidP="00C917D6">
            <w:pPr>
              <w:pStyle w:val="NormalLeft"/>
            </w:pPr>
            <w:r w:rsidRPr="00DE12A3">
              <w:t>≤ 0,1 μmol/mol</w:t>
            </w:r>
          </w:p>
        </w:tc>
        <w:tc>
          <w:tcPr>
            <w:tcW w:w="3544" w:type="dxa"/>
            <w:shd w:val="clear" w:color="auto" w:fill="FFFFFF"/>
          </w:tcPr>
          <w:p w14:paraId="0E607A0D" w14:textId="77777777" w:rsidR="009C355F" w:rsidRPr="00DE12A3" w:rsidRDefault="009C355F" w:rsidP="00C917D6">
            <w:pPr>
              <w:pStyle w:val="NormalLeft"/>
            </w:pPr>
            <w:r w:rsidRPr="00DE12A3">
              <w:t>≤ 0,1 μmol/mol</w:t>
            </w:r>
          </w:p>
        </w:tc>
      </w:tr>
    </w:tbl>
    <w:p w14:paraId="2504F7E7" w14:textId="77777777" w:rsidR="002D7B36" w:rsidRPr="00DE12A3" w:rsidRDefault="002D7B36" w:rsidP="000970BB">
      <w:pPr>
        <w:rPr>
          <w:color w:val="auto"/>
        </w:rPr>
      </w:pPr>
    </w:p>
    <w:p w14:paraId="4AA70E1E" w14:textId="77777777" w:rsidR="002D7B36" w:rsidRPr="00DE12A3" w:rsidRDefault="002D7B36" w:rsidP="00C917D6">
      <w:pPr>
        <w:spacing w:before="120" w:after="120"/>
        <w:ind w:left="709" w:hanging="709"/>
        <w:jc w:val="both"/>
        <w:rPr>
          <w:rFonts w:eastAsia="Times New Roman" w:cs="Times New Roman"/>
          <w:color w:val="auto"/>
          <w:sz w:val="20"/>
          <w:szCs w:val="20"/>
          <w:lang w:eastAsia="en-US"/>
        </w:rPr>
      </w:pPr>
    </w:p>
    <w:p w14:paraId="05D56D65" w14:textId="77777777" w:rsidR="009C355F" w:rsidRPr="00DE12A3" w:rsidRDefault="009C355F" w:rsidP="00C917D6">
      <w:pPr>
        <w:pStyle w:val="Tabloyazs71"/>
        <w:shd w:val="clear" w:color="auto" w:fill="auto"/>
        <w:spacing w:before="120" w:after="120" w:line="240" w:lineRule="auto"/>
        <w:ind w:left="284" w:hanging="284"/>
        <w:jc w:val="left"/>
        <w:rPr>
          <w:sz w:val="20"/>
          <w:szCs w:val="20"/>
        </w:rPr>
      </w:pPr>
      <w:r w:rsidRPr="00DE12A3">
        <w:rPr>
          <w:rStyle w:val="Tabloyazs72"/>
          <w:color w:val="auto"/>
          <w:sz w:val="20"/>
          <w:szCs w:val="20"/>
        </w:rPr>
        <w:t>(</w:t>
      </w:r>
      <w:r w:rsidRPr="00DE12A3">
        <w:rPr>
          <w:rStyle w:val="Tabloyazs72"/>
          <w:color w:val="auto"/>
          <w:sz w:val="20"/>
          <w:szCs w:val="20"/>
          <w:vertAlign w:val="superscript"/>
        </w:rPr>
        <w:t>a</w:t>
      </w:r>
      <w:r w:rsidRPr="00DE12A3">
        <w:rPr>
          <w:rStyle w:val="Tabloyazs72"/>
          <w:color w:val="auto"/>
          <w:sz w:val="20"/>
          <w:szCs w:val="20"/>
        </w:rPr>
        <w:t>)</w:t>
      </w:r>
      <w:r w:rsidRPr="00DE12A3">
        <w:rPr>
          <w:rStyle w:val="Tabloyazs72"/>
          <w:color w:val="auto"/>
          <w:sz w:val="20"/>
          <w:szCs w:val="20"/>
        </w:rPr>
        <w:tab/>
      </w:r>
      <w:r w:rsidRPr="00DE12A3">
        <w:rPr>
          <w:sz w:val="20"/>
          <w:szCs w:val="20"/>
        </w:rPr>
        <w:t>Bu saflık seviyelerinin uluslararası ve/veya ulusal düzeyde tanınan standartlarca takip edilebilir olması şart değildir</w:t>
      </w:r>
      <w:r w:rsidRPr="00DE12A3">
        <w:rPr>
          <w:rStyle w:val="Tabloyazs72"/>
          <w:color w:val="auto"/>
          <w:sz w:val="20"/>
          <w:szCs w:val="20"/>
        </w:rPr>
        <w:t>.</w:t>
      </w:r>
    </w:p>
    <w:p w14:paraId="67D25CA8" w14:textId="77777777" w:rsidR="009C355F" w:rsidRPr="00DE12A3" w:rsidRDefault="009C355F" w:rsidP="00C917D6">
      <w:pPr>
        <w:spacing w:before="120" w:after="120"/>
        <w:ind w:left="709" w:hanging="709"/>
        <w:jc w:val="both"/>
        <w:rPr>
          <w:rFonts w:eastAsia="Times New Roman" w:cs="Times New Roman"/>
          <w:color w:val="auto"/>
          <w:sz w:val="20"/>
          <w:szCs w:val="20"/>
          <w:lang w:eastAsia="en-US"/>
        </w:rPr>
      </w:pPr>
    </w:p>
    <w:p w14:paraId="0C39963D" w14:textId="77777777" w:rsidR="002D7B36" w:rsidRPr="00DE12A3" w:rsidRDefault="00242DA0" w:rsidP="00E20716">
      <w:pPr>
        <w:pStyle w:val="Gvdemetni251"/>
        <w:numPr>
          <w:ilvl w:val="0"/>
          <w:numId w:val="364"/>
        </w:numPr>
        <w:shd w:val="clear" w:color="auto" w:fill="auto"/>
        <w:spacing w:before="120" w:after="120" w:line="240" w:lineRule="auto"/>
        <w:ind w:left="1701" w:hanging="567"/>
        <w:rPr>
          <w:color w:val="auto"/>
          <w:sz w:val="24"/>
          <w:szCs w:val="24"/>
        </w:rPr>
      </w:pPr>
      <w:r w:rsidRPr="00DE12A3">
        <w:rPr>
          <w:color w:val="auto"/>
          <w:spacing w:val="4"/>
          <w:sz w:val="24"/>
          <w:szCs w:val="24"/>
        </w:rPr>
        <w:t>Bir FID analiz cihazı ile birlikte aşağıdaki gazlar kullanılır</w:t>
      </w:r>
      <w:r w:rsidRPr="00DE12A3">
        <w:rPr>
          <w:rStyle w:val="Gvdemetni250ptbolukbraklyor"/>
          <w:color w:val="auto"/>
          <w:sz w:val="24"/>
          <w:szCs w:val="24"/>
        </w:rPr>
        <w:t>:</w:t>
      </w:r>
    </w:p>
    <w:p w14:paraId="184569A5" w14:textId="11F2E79B" w:rsidR="002D7B36" w:rsidRPr="00DE12A3" w:rsidRDefault="00F864F6" w:rsidP="00E20716">
      <w:pPr>
        <w:pStyle w:val="Gvdemetni251"/>
        <w:numPr>
          <w:ilvl w:val="0"/>
          <w:numId w:val="366"/>
        </w:numPr>
        <w:shd w:val="clear" w:color="auto" w:fill="auto"/>
        <w:spacing w:before="120" w:after="120" w:line="240" w:lineRule="auto"/>
        <w:ind w:left="2268" w:hanging="567"/>
        <w:rPr>
          <w:color w:val="auto"/>
          <w:sz w:val="24"/>
          <w:szCs w:val="24"/>
        </w:rPr>
      </w:pPr>
      <w:r w:rsidRPr="00DE12A3">
        <w:rPr>
          <w:color w:val="auto"/>
          <w:spacing w:val="4"/>
          <w:sz w:val="24"/>
          <w:szCs w:val="24"/>
        </w:rPr>
        <w:lastRenderedPageBreak/>
        <w:t xml:space="preserve">  </w:t>
      </w:r>
      <w:r w:rsidR="00242DA0" w:rsidRPr="00DE12A3">
        <w:rPr>
          <w:color w:val="auto"/>
          <w:spacing w:val="4"/>
          <w:sz w:val="24"/>
          <w:szCs w:val="24"/>
        </w:rPr>
        <w:t>He veya N</w:t>
      </w:r>
      <w:r w:rsidR="00242DA0" w:rsidRPr="00DE12A3">
        <w:rPr>
          <w:color w:val="auto"/>
          <w:spacing w:val="4"/>
          <w:sz w:val="24"/>
          <w:szCs w:val="24"/>
          <w:vertAlign w:val="subscript"/>
        </w:rPr>
        <w:t>2</w:t>
      </w:r>
      <w:r w:rsidR="00242DA0" w:rsidRPr="00DE12A3">
        <w:rPr>
          <w:color w:val="auto"/>
          <w:spacing w:val="4"/>
          <w:sz w:val="24"/>
          <w:szCs w:val="24"/>
        </w:rPr>
        <w:t xml:space="preserve"> dengeli 0,39 ila 0,41 mol/mol H</w:t>
      </w:r>
      <w:r w:rsidR="00242DA0" w:rsidRPr="00DE12A3">
        <w:rPr>
          <w:color w:val="auto"/>
          <w:spacing w:val="4"/>
          <w:sz w:val="24"/>
          <w:szCs w:val="24"/>
          <w:vertAlign w:val="subscript"/>
        </w:rPr>
        <w:t>2</w:t>
      </w:r>
      <w:r w:rsidR="00242DA0" w:rsidRPr="00DE12A3">
        <w:rPr>
          <w:color w:val="auto"/>
          <w:spacing w:val="4"/>
          <w:sz w:val="24"/>
          <w:szCs w:val="24"/>
        </w:rPr>
        <w:t xml:space="preserve"> konsantrasyonu ile FID yakıtı kullanılmalıdır</w:t>
      </w:r>
      <w:r w:rsidR="00242DA0" w:rsidRPr="00DE12A3">
        <w:rPr>
          <w:rStyle w:val="Gvdemetni250ptbolukbraklyor"/>
          <w:color w:val="auto"/>
          <w:sz w:val="24"/>
          <w:szCs w:val="24"/>
        </w:rPr>
        <w:t xml:space="preserve">. </w:t>
      </w:r>
      <w:r w:rsidR="00242DA0" w:rsidRPr="00DE12A3">
        <w:rPr>
          <w:color w:val="auto"/>
          <w:spacing w:val="4"/>
          <w:sz w:val="24"/>
          <w:szCs w:val="24"/>
        </w:rPr>
        <w:t>Karışım 0,05 μmol/mol'den fazla THC içermemelidir</w:t>
      </w:r>
      <w:r w:rsidR="00B528E1" w:rsidRPr="00DE12A3">
        <w:rPr>
          <w:color w:val="auto"/>
          <w:spacing w:val="4"/>
          <w:sz w:val="24"/>
          <w:szCs w:val="24"/>
        </w:rPr>
        <w:t>.</w:t>
      </w:r>
    </w:p>
    <w:p w14:paraId="39F29D5B" w14:textId="2EABE932" w:rsidR="002D7B36" w:rsidRPr="00DE12A3" w:rsidRDefault="00F864F6" w:rsidP="00E20716">
      <w:pPr>
        <w:pStyle w:val="Gvdemetni251"/>
        <w:numPr>
          <w:ilvl w:val="0"/>
          <w:numId w:val="366"/>
        </w:numPr>
        <w:shd w:val="clear" w:color="auto" w:fill="auto"/>
        <w:spacing w:before="120" w:after="120" w:line="240" w:lineRule="auto"/>
        <w:ind w:left="2268" w:hanging="567"/>
        <w:rPr>
          <w:color w:val="auto"/>
          <w:sz w:val="24"/>
          <w:szCs w:val="24"/>
        </w:rPr>
      </w:pPr>
      <w:r w:rsidRPr="00DE12A3">
        <w:rPr>
          <w:color w:val="auto"/>
          <w:sz w:val="24"/>
          <w:szCs w:val="24"/>
        </w:rPr>
        <w:t xml:space="preserve">  </w:t>
      </w:r>
      <w:r w:rsidR="00242DA0" w:rsidRPr="00DE12A3">
        <w:rPr>
          <w:color w:val="auto"/>
          <w:sz w:val="24"/>
          <w:szCs w:val="24"/>
        </w:rPr>
        <w:t xml:space="preserve">Bu bendin (a) </w:t>
      </w:r>
      <w:r w:rsidR="00B528E1" w:rsidRPr="00DE12A3">
        <w:rPr>
          <w:color w:val="auto"/>
          <w:sz w:val="24"/>
          <w:szCs w:val="24"/>
        </w:rPr>
        <w:t xml:space="preserve">numaralı alt bendindeki </w:t>
      </w:r>
      <w:r w:rsidR="00242DA0" w:rsidRPr="00DE12A3">
        <w:rPr>
          <w:color w:val="auto"/>
          <w:sz w:val="24"/>
          <w:szCs w:val="24"/>
        </w:rPr>
        <w:t xml:space="preserve">saflaştırılmış hava </w:t>
      </w:r>
      <w:r w:rsidR="0053289F" w:rsidRPr="00DE12A3">
        <w:rPr>
          <w:color w:val="auto"/>
          <w:sz w:val="24"/>
          <w:szCs w:val="24"/>
        </w:rPr>
        <w:t>gerekliliklerini</w:t>
      </w:r>
      <w:r w:rsidR="00242DA0" w:rsidRPr="00DE12A3">
        <w:rPr>
          <w:color w:val="auto"/>
          <w:sz w:val="24"/>
          <w:szCs w:val="24"/>
        </w:rPr>
        <w:t xml:space="preserve"> sağlayan FID brülör havası kullanılmalıdır;</w:t>
      </w:r>
    </w:p>
    <w:p w14:paraId="2B8B91AA" w14:textId="5B01BDBE" w:rsidR="002D7B36" w:rsidRPr="00DE12A3" w:rsidRDefault="00F864F6" w:rsidP="00E20716">
      <w:pPr>
        <w:pStyle w:val="Gvdemetni251"/>
        <w:numPr>
          <w:ilvl w:val="0"/>
          <w:numId w:val="366"/>
        </w:numPr>
        <w:shd w:val="clear" w:color="auto" w:fill="auto"/>
        <w:spacing w:before="120" w:after="120" w:line="240" w:lineRule="auto"/>
        <w:ind w:left="2268" w:hanging="567"/>
        <w:rPr>
          <w:color w:val="auto"/>
          <w:sz w:val="24"/>
          <w:szCs w:val="24"/>
        </w:rPr>
      </w:pPr>
      <w:r w:rsidRPr="00DE12A3">
        <w:rPr>
          <w:color w:val="auto"/>
          <w:sz w:val="24"/>
          <w:szCs w:val="24"/>
        </w:rPr>
        <w:t xml:space="preserve">  </w:t>
      </w:r>
      <w:r w:rsidR="00242DA0" w:rsidRPr="00DE12A3">
        <w:rPr>
          <w:color w:val="auto"/>
          <w:sz w:val="24"/>
          <w:szCs w:val="24"/>
        </w:rPr>
        <w:t>FID sıfır gazı. Alev iyonlaştırma detektörleri, saflaştırılmış gaz O</w:t>
      </w:r>
      <w:r w:rsidR="00242DA0" w:rsidRPr="00DE12A3">
        <w:rPr>
          <w:color w:val="auto"/>
          <w:sz w:val="24"/>
          <w:szCs w:val="24"/>
          <w:vertAlign w:val="subscript"/>
        </w:rPr>
        <w:t>2</w:t>
      </w:r>
      <w:r w:rsidR="00242DA0" w:rsidRPr="00DE12A3">
        <w:rPr>
          <w:color w:val="auto"/>
          <w:sz w:val="24"/>
          <w:szCs w:val="24"/>
        </w:rPr>
        <w:t xml:space="preserve"> konsantrasyonunun herhangi bir değerde olabilmesi dışında, bu bendin (a) </w:t>
      </w:r>
      <w:r w:rsidR="00B528E1" w:rsidRPr="00DE12A3">
        <w:rPr>
          <w:color w:val="auto"/>
          <w:sz w:val="24"/>
          <w:szCs w:val="24"/>
        </w:rPr>
        <w:t xml:space="preserve">numaralı alt bendindeki </w:t>
      </w:r>
      <w:r w:rsidR="0053289F" w:rsidRPr="00DE12A3">
        <w:rPr>
          <w:color w:val="auto"/>
          <w:sz w:val="24"/>
          <w:szCs w:val="24"/>
        </w:rPr>
        <w:t>gereklilikleri</w:t>
      </w:r>
      <w:r w:rsidR="00242DA0" w:rsidRPr="00DE12A3">
        <w:rPr>
          <w:color w:val="auto"/>
          <w:sz w:val="24"/>
          <w:szCs w:val="24"/>
        </w:rPr>
        <w:t xml:space="preserve"> sağlayan saflaştırılmış gazla sıfırlanmalıdır;</w:t>
      </w:r>
    </w:p>
    <w:p w14:paraId="245FE5ED" w14:textId="77777777" w:rsidR="002D7B36" w:rsidRPr="00DE12A3" w:rsidRDefault="00F864F6" w:rsidP="00E20716">
      <w:pPr>
        <w:pStyle w:val="Gvdemetni251"/>
        <w:numPr>
          <w:ilvl w:val="0"/>
          <w:numId w:val="366"/>
        </w:numPr>
        <w:shd w:val="clear" w:color="auto" w:fill="auto"/>
        <w:spacing w:before="120" w:after="120" w:line="240" w:lineRule="auto"/>
        <w:ind w:left="2268" w:hanging="567"/>
        <w:rPr>
          <w:color w:val="auto"/>
          <w:sz w:val="24"/>
          <w:szCs w:val="24"/>
        </w:rPr>
      </w:pPr>
      <w:r w:rsidRPr="00DE12A3">
        <w:rPr>
          <w:color w:val="auto"/>
          <w:sz w:val="24"/>
          <w:szCs w:val="24"/>
        </w:rPr>
        <w:t xml:space="preserve">   </w:t>
      </w:r>
      <w:r w:rsidR="00242DA0" w:rsidRPr="00DE12A3">
        <w:rPr>
          <w:color w:val="auto"/>
          <w:sz w:val="24"/>
          <w:szCs w:val="24"/>
        </w:rPr>
        <w:t>FID propan ayar gazı. THC FID, propan C</w:t>
      </w:r>
      <w:r w:rsidR="00242DA0" w:rsidRPr="00DE12A3">
        <w:rPr>
          <w:color w:val="auto"/>
          <w:sz w:val="24"/>
          <w:szCs w:val="24"/>
          <w:vertAlign w:val="subscript"/>
        </w:rPr>
        <w:t>3</w:t>
      </w:r>
      <w:r w:rsidR="00242DA0" w:rsidRPr="00DE12A3">
        <w:rPr>
          <w:color w:val="auto"/>
          <w:sz w:val="24"/>
          <w:szCs w:val="24"/>
        </w:rPr>
        <w:t>H</w:t>
      </w:r>
      <w:r w:rsidR="00242DA0" w:rsidRPr="00DE12A3">
        <w:rPr>
          <w:color w:val="auto"/>
          <w:sz w:val="24"/>
          <w:szCs w:val="24"/>
          <w:vertAlign w:val="subscript"/>
        </w:rPr>
        <w:t>8</w:t>
      </w:r>
      <w:r w:rsidR="00242DA0" w:rsidRPr="00DE12A3">
        <w:rPr>
          <w:color w:val="auto"/>
          <w:sz w:val="24"/>
          <w:szCs w:val="24"/>
        </w:rPr>
        <w:t>'in ayar konsantrasyonları ile ayarlanmalı ve kalibre edilmelidir. THC FID, bir karbon sayısı (C</w:t>
      </w:r>
      <w:r w:rsidR="00242DA0" w:rsidRPr="00DE12A3">
        <w:rPr>
          <w:color w:val="auto"/>
          <w:sz w:val="24"/>
          <w:szCs w:val="24"/>
          <w:vertAlign w:val="subscript"/>
        </w:rPr>
        <w:t>1</w:t>
      </w:r>
      <w:r w:rsidR="00242DA0" w:rsidRPr="00DE12A3">
        <w:rPr>
          <w:color w:val="auto"/>
          <w:sz w:val="24"/>
          <w:szCs w:val="24"/>
        </w:rPr>
        <w:t>) bazında kalibre edilmelidir;</w:t>
      </w:r>
    </w:p>
    <w:p w14:paraId="0E046D4C" w14:textId="77777777" w:rsidR="002D7B36" w:rsidRPr="00DE12A3" w:rsidRDefault="00F864F6" w:rsidP="00E20716">
      <w:pPr>
        <w:pStyle w:val="Gvdemetni251"/>
        <w:numPr>
          <w:ilvl w:val="0"/>
          <w:numId w:val="366"/>
        </w:numPr>
        <w:shd w:val="clear" w:color="auto" w:fill="auto"/>
        <w:spacing w:before="120" w:after="120" w:line="240" w:lineRule="auto"/>
        <w:ind w:left="2268" w:hanging="567"/>
        <w:rPr>
          <w:color w:val="auto"/>
          <w:sz w:val="24"/>
          <w:szCs w:val="24"/>
        </w:rPr>
      </w:pPr>
      <w:r w:rsidRPr="00DE12A3">
        <w:rPr>
          <w:color w:val="auto"/>
          <w:sz w:val="24"/>
          <w:szCs w:val="24"/>
        </w:rPr>
        <w:t xml:space="preserve">  </w:t>
      </w:r>
      <w:r w:rsidR="00242DA0" w:rsidRPr="00DE12A3">
        <w:rPr>
          <w:color w:val="auto"/>
          <w:sz w:val="24"/>
          <w:szCs w:val="24"/>
        </w:rPr>
        <w:t>Ayrılmış;</w:t>
      </w:r>
    </w:p>
    <w:p w14:paraId="5AE1B8ED" w14:textId="6CD91BEE" w:rsidR="002D7B36" w:rsidRPr="00DE12A3" w:rsidRDefault="00F864F6" w:rsidP="00E20716">
      <w:pPr>
        <w:pStyle w:val="Gvdemetni251"/>
        <w:numPr>
          <w:ilvl w:val="0"/>
          <w:numId w:val="364"/>
        </w:numPr>
        <w:shd w:val="clear" w:color="auto" w:fill="auto"/>
        <w:spacing w:before="120" w:after="120" w:line="240" w:lineRule="auto"/>
        <w:ind w:left="1701" w:hanging="567"/>
        <w:rPr>
          <w:color w:val="auto"/>
          <w:sz w:val="24"/>
          <w:szCs w:val="24"/>
        </w:rPr>
      </w:pPr>
      <w:r w:rsidRPr="00DE12A3">
        <w:rPr>
          <w:color w:val="auto"/>
          <w:sz w:val="24"/>
          <w:szCs w:val="24"/>
        </w:rPr>
        <w:t xml:space="preserve">     </w:t>
      </w:r>
      <w:r w:rsidR="00242DA0" w:rsidRPr="00DE12A3">
        <w:rPr>
          <w:color w:val="auto"/>
          <w:sz w:val="24"/>
          <w:szCs w:val="24"/>
        </w:rPr>
        <w:t>Aşağıdaki gaz karışımları, uluslararası ve/veya ulusal düzeyde tanınan standartların gerçek değerleri veya onaylanan diğer gaz standartları ± % 1,0 aralığı içinde takip edilebilir gazlarla birlikte kullanılmalıdır</w:t>
      </w:r>
      <w:r w:rsidR="00B528E1" w:rsidRPr="00DE12A3">
        <w:rPr>
          <w:color w:val="auto"/>
          <w:sz w:val="24"/>
          <w:szCs w:val="24"/>
        </w:rPr>
        <w:t>.</w:t>
      </w:r>
    </w:p>
    <w:p w14:paraId="20803E68" w14:textId="6011679B" w:rsidR="002D7B36" w:rsidRPr="00DE12A3" w:rsidRDefault="00242DA0" w:rsidP="00E20716">
      <w:pPr>
        <w:pStyle w:val="Gvdemetni251"/>
        <w:numPr>
          <w:ilvl w:val="0"/>
          <w:numId w:val="367"/>
        </w:numPr>
        <w:shd w:val="clear" w:color="auto" w:fill="auto"/>
        <w:spacing w:before="120" w:after="120" w:line="240" w:lineRule="auto"/>
        <w:ind w:left="2268" w:hanging="567"/>
        <w:rPr>
          <w:color w:val="auto"/>
          <w:sz w:val="24"/>
          <w:szCs w:val="24"/>
        </w:rPr>
      </w:pPr>
      <w:r w:rsidRPr="00DE12A3">
        <w:rPr>
          <w:color w:val="auto"/>
          <w:sz w:val="24"/>
          <w:szCs w:val="24"/>
        </w:rPr>
        <w:t>CH</w:t>
      </w:r>
      <w:r w:rsidRPr="00DE12A3">
        <w:rPr>
          <w:color w:val="auto"/>
          <w:sz w:val="24"/>
          <w:szCs w:val="24"/>
          <w:vertAlign w:val="subscript"/>
        </w:rPr>
        <w:t>4</w:t>
      </w:r>
      <w:r w:rsidRPr="00DE12A3">
        <w:rPr>
          <w:color w:val="auto"/>
          <w:sz w:val="24"/>
          <w:szCs w:val="24"/>
        </w:rPr>
        <w:t>, denge saflaştırılmış sentetik hava ve/veya N</w:t>
      </w:r>
      <w:r w:rsidRPr="00DE12A3">
        <w:rPr>
          <w:color w:val="auto"/>
          <w:sz w:val="24"/>
          <w:szCs w:val="24"/>
          <w:vertAlign w:val="subscript"/>
        </w:rPr>
        <w:t>2</w:t>
      </w:r>
      <w:r w:rsidRPr="00DE12A3">
        <w:rPr>
          <w:color w:val="auto"/>
          <w:sz w:val="24"/>
          <w:szCs w:val="24"/>
        </w:rPr>
        <w:t xml:space="preserve"> (uygunsa)</w:t>
      </w:r>
      <w:r w:rsidR="00B528E1" w:rsidRPr="00DE12A3">
        <w:rPr>
          <w:color w:val="auto"/>
          <w:sz w:val="24"/>
          <w:szCs w:val="24"/>
        </w:rPr>
        <w:t>.</w:t>
      </w:r>
    </w:p>
    <w:p w14:paraId="72E6DB3E" w14:textId="77777777" w:rsidR="002D7B36" w:rsidRPr="00DE12A3" w:rsidRDefault="00242DA0" w:rsidP="00E20716">
      <w:pPr>
        <w:pStyle w:val="Gvdemetni251"/>
        <w:numPr>
          <w:ilvl w:val="0"/>
          <w:numId w:val="367"/>
        </w:numPr>
        <w:shd w:val="clear" w:color="auto" w:fill="auto"/>
        <w:spacing w:before="120" w:after="120" w:line="240" w:lineRule="auto"/>
        <w:ind w:left="2268" w:hanging="567"/>
        <w:rPr>
          <w:color w:val="auto"/>
          <w:sz w:val="24"/>
          <w:szCs w:val="24"/>
        </w:rPr>
      </w:pPr>
      <w:r w:rsidRPr="00DE12A3">
        <w:rPr>
          <w:color w:val="auto"/>
          <w:sz w:val="24"/>
          <w:szCs w:val="24"/>
        </w:rPr>
        <w:t>Ayrılmış;</w:t>
      </w:r>
    </w:p>
    <w:p w14:paraId="1D75D3F5" w14:textId="16C07FC0" w:rsidR="002D7B36" w:rsidRPr="00DE12A3" w:rsidRDefault="00242DA0" w:rsidP="00E20716">
      <w:pPr>
        <w:pStyle w:val="Gvdemetni251"/>
        <w:numPr>
          <w:ilvl w:val="0"/>
          <w:numId w:val="367"/>
        </w:numPr>
        <w:shd w:val="clear" w:color="auto" w:fill="auto"/>
        <w:spacing w:before="120" w:after="120" w:line="240" w:lineRule="auto"/>
        <w:ind w:left="2268" w:hanging="567"/>
        <w:rPr>
          <w:color w:val="auto"/>
          <w:sz w:val="24"/>
          <w:szCs w:val="24"/>
        </w:rPr>
      </w:pPr>
      <w:r w:rsidRPr="00DE12A3">
        <w:rPr>
          <w:color w:val="auto"/>
          <w:sz w:val="24"/>
          <w:szCs w:val="24"/>
        </w:rPr>
        <w:t>C</w:t>
      </w:r>
      <w:r w:rsidRPr="00DE12A3">
        <w:rPr>
          <w:color w:val="auto"/>
          <w:sz w:val="24"/>
          <w:szCs w:val="24"/>
          <w:vertAlign w:val="subscript"/>
        </w:rPr>
        <w:t>3</w:t>
      </w:r>
      <w:r w:rsidRPr="00DE12A3">
        <w:rPr>
          <w:color w:val="auto"/>
          <w:sz w:val="24"/>
          <w:szCs w:val="24"/>
        </w:rPr>
        <w:t>H</w:t>
      </w:r>
      <w:r w:rsidRPr="00DE12A3">
        <w:rPr>
          <w:color w:val="auto"/>
          <w:sz w:val="24"/>
          <w:szCs w:val="24"/>
          <w:vertAlign w:val="subscript"/>
        </w:rPr>
        <w:t>8</w:t>
      </w:r>
      <w:r w:rsidRPr="00DE12A3">
        <w:rPr>
          <w:color w:val="auto"/>
          <w:sz w:val="24"/>
          <w:szCs w:val="24"/>
        </w:rPr>
        <w:t>, denge saflaştırılmış sentetik hava ve/veya N</w:t>
      </w:r>
      <w:r w:rsidRPr="00DE12A3">
        <w:rPr>
          <w:color w:val="auto"/>
          <w:sz w:val="24"/>
          <w:szCs w:val="24"/>
          <w:vertAlign w:val="subscript"/>
        </w:rPr>
        <w:t>2</w:t>
      </w:r>
      <w:r w:rsidRPr="00DE12A3">
        <w:rPr>
          <w:color w:val="auto"/>
          <w:sz w:val="24"/>
          <w:szCs w:val="24"/>
        </w:rPr>
        <w:t xml:space="preserve"> (uygunsa)</w:t>
      </w:r>
      <w:r w:rsidR="00B528E1" w:rsidRPr="00DE12A3">
        <w:rPr>
          <w:color w:val="auto"/>
          <w:sz w:val="24"/>
          <w:szCs w:val="24"/>
        </w:rPr>
        <w:t>.</w:t>
      </w:r>
    </w:p>
    <w:p w14:paraId="4C51305A" w14:textId="71F1A570" w:rsidR="002D7B36" w:rsidRPr="00DE12A3" w:rsidRDefault="00242DA0" w:rsidP="00E20716">
      <w:pPr>
        <w:pStyle w:val="Gvdemetni251"/>
        <w:numPr>
          <w:ilvl w:val="0"/>
          <w:numId w:val="367"/>
        </w:numPr>
        <w:shd w:val="clear" w:color="auto" w:fill="auto"/>
        <w:spacing w:before="120" w:after="120" w:line="240" w:lineRule="auto"/>
        <w:ind w:left="2268" w:hanging="567"/>
        <w:rPr>
          <w:color w:val="auto"/>
          <w:sz w:val="24"/>
          <w:szCs w:val="24"/>
        </w:rPr>
      </w:pPr>
      <w:r w:rsidRPr="00DE12A3">
        <w:rPr>
          <w:color w:val="auto"/>
          <w:sz w:val="24"/>
          <w:szCs w:val="24"/>
        </w:rPr>
        <w:t>CO, denge saflaştırılmış N</w:t>
      </w:r>
      <w:r w:rsidRPr="00DE12A3">
        <w:rPr>
          <w:color w:val="auto"/>
          <w:sz w:val="24"/>
          <w:szCs w:val="24"/>
          <w:vertAlign w:val="subscript"/>
        </w:rPr>
        <w:t>2</w:t>
      </w:r>
      <w:r w:rsidR="00B528E1" w:rsidRPr="00DE12A3">
        <w:rPr>
          <w:color w:val="auto"/>
          <w:sz w:val="24"/>
          <w:szCs w:val="24"/>
        </w:rPr>
        <w:t>.</w:t>
      </w:r>
    </w:p>
    <w:p w14:paraId="61B8B812" w14:textId="5E64BED5" w:rsidR="002D7B36" w:rsidRPr="00DE12A3" w:rsidRDefault="00242DA0" w:rsidP="00E20716">
      <w:pPr>
        <w:pStyle w:val="Gvdemetni251"/>
        <w:numPr>
          <w:ilvl w:val="0"/>
          <w:numId w:val="367"/>
        </w:numPr>
        <w:shd w:val="clear" w:color="auto" w:fill="auto"/>
        <w:spacing w:before="120" w:after="120" w:line="240" w:lineRule="auto"/>
        <w:ind w:left="2268" w:hanging="567"/>
        <w:rPr>
          <w:color w:val="auto"/>
          <w:sz w:val="24"/>
          <w:szCs w:val="24"/>
        </w:rPr>
      </w:pPr>
      <w:r w:rsidRPr="00DE12A3">
        <w:rPr>
          <w:color w:val="auto"/>
          <w:sz w:val="24"/>
          <w:szCs w:val="24"/>
        </w:rPr>
        <w:t>CO</w:t>
      </w:r>
      <w:r w:rsidRPr="00DE12A3">
        <w:rPr>
          <w:color w:val="auto"/>
          <w:sz w:val="24"/>
          <w:szCs w:val="24"/>
          <w:vertAlign w:val="subscript"/>
        </w:rPr>
        <w:t>2</w:t>
      </w:r>
      <w:r w:rsidRPr="00DE12A3">
        <w:rPr>
          <w:color w:val="auto"/>
          <w:sz w:val="24"/>
          <w:szCs w:val="24"/>
        </w:rPr>
        <w:t>, denge saflaştırılmış N</w:t>
      </w:r>
      <w:r w:rsidRPr="00DE12A3">
        <w:rPr>
          <w:color w:val="auto"/>
          <w:sz w:val="24"/>
          <w:szCs w:val="24"/>
          <w:vertAlign w:val="subscript"/>
        </w:rPr>
        <w:t>2</w:t>
      </w:r>
      <w:r w:rsidR="00B528E1" w:rsidRPr="00DE12A3">
        <w:rPr>
          <w:color w:val="auto"/>
          <w:sz w:val="24"/>
          <w:szCs w:val="24"/>
        </w:rPr>
        <w:t>.</w:t>
      </w:r>
    </w:p>
    <w:p w14:paraId="067A8068" w14:textId="59F9E90A" w:rsidR="002D7B36" w:rsidRPr="00DE12A3" w:rsidRDefault="00242DA0" w:rsidP="00E20716">
      <w:pPr>
        <w:pStyle w:val="Gvdemetni251"/>
        <w:numPr>
          <w:ilvl w:val="0"/>
          <w:numId w:val="367"/>
        </w:numPr>
        <w:shd w:val="clear" w:color="auto" w:fill="auto"/>
        <w:spacing w:before="120" w:after="120" w:line="240" w:lineRule="auto"/>
        <w:ind w:left="2268" w:hanging="567"/>
        <w:rPr>
          <w:color w:val="auto"/>
          <w:sz w:val="24"/>
          <w:szCs w:val="24"/>
        </w:rPr>
      </w:pPr>
      <w:r w:rsidRPr="00DE12A3">
        <w:rPr>
          <w:color w:val="auto"/>
          <w:sz w:val="24"/>
          <w:szCs w:val="24"/>
        </w:rPr>
        <w:t>NO, denge saflaştırılmış N</w:t>
      </w:r>
      <w:r w:rsidRPr="00DE12A3">
        <w:rPr>
          <w:color w:val="auto"/>
          <w:sz w:val="24"/>
          <w:szCs w:val="24"/>
          <w:vertAlign w:val="subscript"/>
        </w:rPr>
        <w:t>2</w:t>
      </w:r>
      <w:r w:rsidR="00B528E1" w:rsidRPr="00DE12A3">
        <w:rPr>
          <w:color w:val="auto"/>
          <w:sz w:val="24"/>
          <w:szCs w:val="24"/>
        </w:rPr>
        <w:t>.</w:t>
      </w:r>
    </w:p>
    <w:p w14:paraId="249CBE8B" w14:textId="636E018B" w:rsidR="002D7B36" w:rsidRPr="00DE12A3" w:rsidRDefault="00242DA0" w:rsidP="00E20716">
      <w:pPr>
        <w:pStyle w:val="Gvdemetni251"/>
        <w:numPr>
          <w:ilvl w:val="0"/>
          <w:numId w:val="367"/>
        </w:numPr>
        <w:shd w:val="clear" w:color="auto" w:fill="auto"/>
        <w:spacing w:before="120" w:after="120" w:line="240" w:lineRule="auto"/>
        <w:ind w:left="2268" w:hanging="567"/>
        <w:rPr>
          <w:color w:val="auto"/>
          <w:sz w:val="24"/>
          <w:szCs w:val="24"/>
        </w:rPr>
      </w:pPr>
      <w:r w:rsidRPr="00DE12A3">
        <w:rPr>
          <w:color w:val="auto"/>
          <w:sz w:val="24"/>
          <w:szCs w:val="24"/>
        </w:rPr>
        <w:t>NO</w:t>
      </w:r>
      <w:r w:rsidRPr="00DE12A3">
        <w:rPr>
          <w:color w:val="auto"/>
          <w:sz w:val="24"/>
          <w:szCs w:val="24"/>
          <w:vertAlign w:val="subscript"/>
        </w:rPr>
        <w:t>2</w:t>
      </w:r>
      <w:r w:rsidRPr="00DE12A3">
        <w:rPr>
          <w:color w:val="auto"/>
          <w:sz w:val="24"/>
          <w:szCs w:val="24"/>
        </w:rPr>
        <w:t>, denge saflaştırılmış sentetik hava</w:t>
      </w:r>
      <w:r w:rsidR="00B528E1" w:rsidRPr="00DE12A3">
        <w:rPr>
          <w:color w:val="auto"/>
          <w:sz w:val="24"/>
          <w:szCs w:val="24"/>
        </w:rPr>
        <w:t>.</w:t>
      </w:r>
    </w:p>
    <w:p w14:paraId="2C46AD25" w14:textId="0E3E1454" w:rsidR="002D7B36" w:rsidRPr="00DE12A3" w:rsidRDefault="00242DA0" w:rsidP="00E20716">
      <w:pPr>
        <w:pStyle w:val="Gvdemetni251"/>
        <w:numPr>
          <w:ilvl w:val="0"/>
          <w:numId w:val="367"/>
        </w:numPr>
        <w:shd w:val="clear" w:color="auto" w:fill="auto"/>
        <w:spacing w:before="120" w:after="120" w:line="240" w:lineRule="auto"/>
        <w:ind w:left="2268" w:hanging="567"/>
        <w:rPr>
          <w:color w:val="auto"/>
          <w:sz w:val="24"/>
          <w:szCs w:val="24"/>
        </w:rPr>
      </w:pPr>
      <w:r w:rsidRPr="00DE12A3">
        <w:rPr>
          <w:color w:val="auto"/>
          <w:sz w:val="24"/>
          <w:szCs w:val="24"/>
        </w:rPr>
        <w:t>O</w:t>
      </w:r>
      <w:r w:rsidRPr="00DE12A3">
        <w:rPr>
          <w:color w:val="auto"/>
          <w:sz w:val="24"/>
          <w:szCs w:val="24"/>
          <w:vertAlign w:val="subscript"/>
        </w:rPr>
        <w:t>2</w:t>
      </w:r>
      <w:r w:rsidRPr="00DE12A3">
        <w:rPr>
          <w:color w:val="auto"/>
          <w:sz w:val="24"/>
          <w:szCs w:val="24"/>
        </w:rPr>
        <w:t>, denge saflaştırılmış N</w:t>
      </w:r>
      <w:r w:rsidRPr="00DE12A3">
        <w:rPr>
          <w:color w:val="auto"/>
          <w:sz w:val="24"/>
          <w:szCs w:val="24"/>
          <w:vertAlign w:val="subscript"/>
        </w:rPr>
        <w:t>2</w:t>
      </w:r>
      <w:r w:rsidR="00B528E1" w:rsidRPr="00DE12A3">
        <w:rPr>
          <w:color w:val="auto"/>
          <w:sz w:val="24"/>
          <w:szCs w:val="24"/>
        </w:rPr>
        <w:t>.</w:t>
      </w:r>
    </w:p>
    <w:p w14:paraId="2E6D2555" w14:textId="7E9EA464" w:rsidR="002D7B36" w:rsidRPr="00DE12A3" w:rsidRDefault="00242DA0" w:rsidP="00E20716">
      <w:pPr>
        <w:pStyle w:val="Gvdemetni251"/>
        <w:numPr>
          <w:ilvl w:val="0"/>
          <w:numId w:val="367"/>
        </w:numPr>
        <w:shd w:val="clear" w:color="auto" w:fill="auto"/>
        <w:spacing w:before="120" w:after="120" w:line="240" w:lineRule="auto"/>
        <w:ind w:left="2268" w:hanging="567"/>
        <w:rPr>
          <w:color w:val="auto"/>
          <w:sz w:val="24"/>
          <w:szCs w:val="24"/>
        </w:rPr>
      </w:pPr>
      <w:r w:rsidRPr="00DE12A3">
        <w:rPr>
          <w:color w:val="auto"/>
          <w:sz w:val="24"/>
          <w:szCs w:val="24"/>
        </w:rPr>
        <w:t>C</w:t>
      </w:r>
      <w:r w:rsidRPr="00DE12A3">
        <w:rPr>
          <w:color w:val="auto"/>
          <w:sz w:val="24"/>
          <w:szCs w:val="24"/>
          <w:vertAlign w:val="subscript"/>
        </w:rPr>
        <w:t>3</w:t>
      </w:r>
      <w:r w:rsidRPr="00DE12A3">
        <w:rPr>
          <w:color w:val="auto"/>
          <w:sz w:val="24"/>
          <w:szCs w:val="24"/>
        </w:rPr>
        <w:t>H</w:t>
      </w:r>
      <w:r w:rsidRPr="00DE12A3">
        <w:rPr>
          <w:color w:val="auto"/>
          <w:sz w:val="24"/>
          <w:szCs w:val="24"/>
          <w:vertAlign w:val="subscript"/>
        </w:rPr>
        <w:t>8</w:t>
      </w:r>
      <w:r w:rsidRPr="00DE12A3">
        <w:rPr>
          <w:color w:val="auto"/>
          <w:sz w:val="24"/>
          <w:szCs w:val="24"/>
        </w:rPr>
        <w:t>, CO, CO</w:t>
      </w:r>
      <w:r w:rsidRPr="00DE12A3">
        <w:rPr>
          <w:color w:val="auto"/>
          <w:sz w:val="24"/>
          <w:szCs w:val="24"/>
          <w:vertAlign w:val="subscript"/>
        </w:rPr>
        <w:t>2</w:t>
      </w:r>
      <w:r w:rsidRPr="00DE12A3">
        <w:rPr>
          <w:color w:val="auto"/>
          <w:sz w:val="24"/>
          <w:szCs w:val="24"/>
        </w:rPr>
        <w:t>, NO, denge saflaştırılmış N</w:t>
      </w:r>
      <w:r w:rsidRPr="00DE12A3">
        <w:rPr>
          <w:color w:val="auto"/>
          <w:sz w:val="24"/>
          <w:szCs w:val="24"/>
          <w:vertAlign w:val="subscript"/>
        </w:rPr>
        <w:t>2</w:t>
      </w:r>
      <w:r w:rsidR="00B528E1" w:rsidRPr="00DE12A3">
        <w:rPr>
          <w:color w:val="auto"/>
          <w:sz w:val="24"/>
          <w:szCs w:val="24"/>
        </w:rPr>
        <w:t>.</w:t>
      </w:r>
    </w:p>
    <w:p w14:paraId="2C3DECE5" w14:textId="77777777" w:rsidR="002D7B36" w:rsidRPr="00DE12A3" w:rsidRDefault="00242DA0" w:rsidP="00E20716">
      <w:pPr>
        <w:pStyle w:val="Gvdemetni251"/>
        <w:numPr>
          <w:ilvl w:val="0"/>
          <w:numId w:val="367"/>
        </w:numPr>
        <w:shd w:val="clear" w:color="auto" w:fill="auto"/>
        <w:spacing w:before="120" w:after="120" w:line="240" w:lineRule="auto"/>
        <w:ind w:left="2268" w:hanging="567"/>
        <w:rPr>
          <w:color w:val="auto"/>
          <w:sz w:val="24"/>
          <w:szCs w:val="24"/>
        </w:rPr>
      </w:pPr>
      <w:r w:rsidRPr="00DE12A3">
        <w:rPr>
          <w:color w:val="auto"/>
          <w:sz w:val="24"/>
          <w:szCs w:val="24"/>
        </w:rPr>
        <w:t>C</w:t>
      </w:r>
      <w:r w:rsidRPr="00DE12A3">
        <w:rPr>
          <w:rStyle w:val="Gvdemetni2555pt0ptbolukbraklyor"/>
          <w:color w:val="auto"/>
          <w:sz w:val="24"/>
          <w:szCs w:val="24"/>
          <w:vertAlign w:val="subscript"/>
        </w:rPr>
        <w:t>3</w:t>
      </w:r>
      <w:r w:rsidRPr="00DE12A3">
        <w:rPr>
          <w:color w:val="auto"/>
          <w:sz w:val="24"/>
          <w:szCs w:val="24"/>
        </w:rPr>
        <w:t>H</w:t>
      </w:r>
      <w:r w:rsidRPr="00DE12A3">
        <w:rPr>
          <w:rStyle w:val="Gvdemetni2555pt0ptbolukbraklyor"/>
          <w:color w:val="auto"/>
          <w:sz w:val="24"/>
          <w:szCs w:val="24"/>
          <w:vertAlign w:val="subscript"/>
        </w:rPr>
        <w:t>8</w:t>
      </w:r>
      <w:r w:rsidRPr="00DE12A3">
        <w:rPr>
          <w:color w:val="auto"/>
          <w:sz w:val="24"/>
          <w:szCs w:val="24"/>
        </w:rPr>
        <w:t>, CH</w:t>
      </w:r>
      <w:r w:rsidRPr="00DE12A3">
        <w:rPr>
          <w:rStyle w:val="Gvdemetni2555pt0ptbolukbraklyor"/>
          <w:color w:val="auto"/>
          <w:sz w:val="24"/>
          <w:szCs w:val="24"/>
          <w:vertAlign w:val="subscript"/>
        </w:rPr>
        <w:t>4</w:t>
      </w:r>
      <w:r w:rsidRPr="00DE12A3">
        <w:rPr>
          <w:color w:val="auto"/>
          <w:sz w:val="24"/>
          <w:szCs w:val="24"/>
        </w:rPr>
        <w:t>, CO, CO</w:t>
      </w:r>
      <w:r w:rsidRPr="00DE12A3">
        <w:rPr>
          <w:rStyle w:val="Gvdemetni2555pt0ptbolukbraklyor"/>
          <w:color w:val="auto"/>
          <w:sz w:val="24"/>
          <w:szCs w:val="24"/>
          <w:vertAlign w:val="subscript"/>
        </w:rPr>
        <w:t>2</w:t>
      </w:r>
      <w:r w:rsidRPr="00DE12A3">
        <w:rPr>
          <w:color w:val="auto"/>
          <w:sz w:val="24"/>
          <w:szCs w:val="24"/>
        </w:rPr>
        <w:t>, NO, denge saflaştırılmış N</w:t>
      </w:r>
      <w:r w:rsidRPr="00DE12A3">
        <w:rPr>
          <w:rStyle w:val="Gvdemetni2555pt0ptbolukbraklyor"/>
          <w:color w:val="auto"/>
          <w:sz w:val="24"/>
          <w:szCs w:val="24"/>
          <w:vertAlign w:val="subscript"/>
        </w:rPr>
        <w:t>2</w:t>
      </w:r>
      <w:r w:rsidRPr="00DE12A3">
        <w:rPr>
          <w:color w:val="auto"/>
          <w:sz w:val="24"/>
          <w:szCs w:val="24"/>
        </w:rPr>
        <w:t>.</w:t>
      </w:r>
    </w:p>
    <w:p w14:paraId="5EB5DDD0" w14:textId="45791D7A" w:rsidR="002D7B36" w:rsidRPr="00DE12A3" w:rsidRDefault="00242DA0" w:rsidP="00E20716">
      <w:pPr>
        <w:pStyle w:val="Gvdemetni251"/>
        <w:numPr>
          <w:ilvl w:val="0"/>
          <w:numId w:val="364"/>
        </w:numPr>
        <w:shd w:val="clear" w:color="auto" w:fill="auto"/>
        <w:spacing w:before="120" w:after="120" w:line="240" w:lineRule="auto"/>
        <w:ind w:left="1701" w:hanging="567"/>
        <w:rPr>
          <w:color w:val="auto"/>
          <w:sz w:val="24"/>
          <w:szCs w:val="24"/>
        </w:rPr>
      </w:pPr>
      <w:r w:rsidRPr="00DE12A3">
        <w:rPr>
          <w:color w:val="auto"/>
          <w:sz w:val="24"/>
          <w:szCs w:val="24"/>
        </w:rPr>
        <w:t xml:space="preserve">Uluslararası ve/veya ulusal düzeyde tanınan standartların gerçek değeri ± </w:t>
      </w:r>
      <w:r w:rsidR="00EC6140" w:rsidRPr="00DE12A3">
        <w:rPr>
          <w:color w:val="auto"/>
          <w:sz w:val="24"/>
          <w:szCs w:val="24"/>
        </w:rPr>
        <w:t>%3,0</w:t>
      </w:r>
      <w:r w:rsidRPr="00DE12A3">
        <w:rPr>
          <w:color w:val="auto"/>
          <w:sz w:val="24"/>
          <w:szCs w:val="24"/>
        </w:rPr>
        <w:t xml:space="preserve"> aralığı içinde takip edilebilir oldukları ve 9.5.1.2 bendindeki denge </w:t>
      </w:r>
      <w:r w:rsidR="0053289F" w:rsidRPr="00DE12A3">
        <w:rPr>
          <w:color w:val="auto"/>
          <w:sz w:val="24"/>
          <w:szCs w:val="24"/>
        </w:rPr>
        <w:t>gerekliliklerini</w:t>
      </w:r>
      <w:r w:rsidRPr="00DE12A3">
        <w:rPr>
          <w:color w:val="auto"/>
          <w:sz w:val="24"/>
          <w:szCs w:val="24"/>
        </w:rPr>
        <w:t xml:space="preserve"> sağladıkları sürece (tepki faktörlerini belirlemek için kullanılabilen havadaki metanol gibi) bu bendin (c) paragrafında listelenenler dışındaki türlere yönelik gazlar kullanılabilir;</w:t>
      </w:r>
    </w:p>
    <w:p w14:paraId="020B5F7D" w14:textId="01E63CB1" w:rsidR="002D7B36" w:rsidRPr="00DE12A3" w:rsidRDefault="00F864F6" w:rsidP="00E20716">
      <w:pPr>
        <w:pStyle w:val="Gvdemetni251"/>
        <w:numPr>
          <w:ilvl w:val="0"/>
          <w:numId w:val="364"/>
        </w:numPr>
        <w:shd w:val="clear" w:color="auto" w:fill="auto"/>
        <w:spacing w:before="120" w:after="120" w:line="240" w:lineRule="auto"/>
        <w:ind w:left="1701" w:hanging="567"/>
        <w:rPr>
          <w:color w:val="auto"/>
          <w:sz w:val="24"/>
          <w:szCs w:val="24"/>
        </w:rPr>
      </w:pPr>
      <w:r w:rsidRPr="00DE12A3">
        <w:rPr>
          <w:color w:val="auto"/>
          <w:sz w:val="24"/>
          <w:szCs w:val="24"/>
        </w:rPr>
        <w:t xml:space="preserve">    </w:t>
      </w:r>
      <w:r w:rsidR="00242DA0" w:rsidRPr="00DE12A3">
        <w:rPr>
          <w:color w:val="auto"/>
          <w:sz w:val="24"/>
          <w:szCs w:val="24"/>
        </w:rPr>
        <w:t>Gazları saflaştırılmış N</w:t>
      </w:r>
      <w:r w:rsidR="00242DA0" w:rsidRPr="00DE12A3">
        <w:rPr>
          <w:color w:val="auto"/>
          <w:sz w:val="24"/>
          <w:szCs w:val="24"/>
          <w:vertAlign w:val="subscript"/>
        </w:rPr>
        <w:t>2</w:t>
      </w:r>
      <w:r w:rsidR="00242DA0" w:rsidRPr="00DE12A3">
        <w:rPr>
          <w:color w:val="auto"/>
          <w:sz w:val="24"/>
          <w:szCs w:val="24"/>
        </w:rPr>
        <w:t xml:space="preserve"> veya saflaştırılmış sentetik hava ile seyreltmek için bir gaz bölücü gibi hassas bir harmanlama cihazı kullanılarak kendi kalibrasyon gazları üretilebilir. Eğer gaz bölücüler 9.4.5.6 bendindeki </w:t>
      </w:r>
      <w:r w:rsidR="0053289F" w:rsidRPr="00DE12A3">
        <w:rPr>
          <w:color w:val="auto"/>
          <w:sz w:val="24"/>
          <w:szCs w:val="24"/>
        </w:rPr>
        <w:t>gereklilikleri</w:t>
      </w:r>
      <w:r w:rsidR="00242DA0" w:rsidRPr="00DE12A3">
        <w:rPr>
          <w:color w:val="auto"/>
          <w:sz w:val="24"/>
          <w:szCs w:val="24"/>
        </w:rPr>
        <w:t xml:space="preserve"> sağlıyorsa ve harmanlanan gazlar bu bendin (a) ve (c) </w:t>
      </w:r>
      <w:r w:rsidR="00B528E1" w:rsidRPr="00DE12A3">
        <w:rPr>
          <w:color w:val="auto"/>
          <w:sz w:val="24"/>
          <w:szCs w:val="24"/>
        </w:rPr>
        <w:t xml:space="preserve">numaralı alt bentlerindeki </w:t>
      </w:r>
      <w:r w:rsidR="0053289F" w:rsidRPr="00DE12A3">
        <w:rPr>
          <w:color w:val="auto"/>
          <w:sz w:val="24"/>
          <w:szCs w:val="24"/>
        </w:rPr>
        <w:t>gereklilikleri</w:t>
      </w:r>
      <w:r w:rsidR="00242DA0" w:rsidRPr="00DE12A3">
        <w:rPr>
          <w:color w:val="auto"/>
          <w:sz w:val="24"/>
          <w:szCs w:val="24"/>
        </w:rPr>
        <w:t xml:space="preserve"> sağlıyorsa, ortaya çıkan karışımların bu 9.5.1.1 bendinin </w:t>
      </w:r>
      <w:r w:rsidR="0053289F" w:rsidRPr="00DE12A3">
        <w:rPr>
          <w:color w:val="auto"/>
          <w:sz w:val="24"/>
          <w:szCs w:val="24"/>
        </w:rPr>
        <w:t>gerekliliklerini</w:t>
      </w:r>
      <w:r w:rsidR="00242DA0" w:rsidRPr="00DE12A3">
        <w:rPr>
          <w:color w:val="auto"/>
          <w:sz w:val="24"/>
          <w:szCs w:val="24"/>
        </w:rPr>
        <w:t xml:space="preserve"> sağladığı kabul edilir.</w:t>
      </w:r>
    </w:p>
    <w:p w14:paraId="095AF99B" w14:textId="77777777" w:rsidR="002D7B36" w:rsidRPr="00DE12A3" w:rsidRDefault="00242DA0" w:rsidP="00E20716">
      <w:pPr>
        <w:pStyle w:val="Gvdemetni251"/>
        <w:numPr>
          <w:ilvl w:val="0"/>
          <w:numId w:val="363"/>
        </w:numPr>
        <w:shd w:val="clear" w:color="auto" w:fill="auto"/>
        <w:spacing w:before="120" w:after="120" w:line="240" w:lineRule="auto"/>
        <w:ind w:left="1134" w:hanging="1134"/>
        <w:rPr>
          <w:color w:val="auto"/>
          <w:sz w:val="24"/>
          <w:szCs w:val="24"/>
        </w:rPr>
      </w:pPr>
      <w:r w:rsidRPr="00DE12A3">
        <w:rPr>
          <w:color w:val="auto"/>
          <w:sz w:val="24"/>
          <w:szCs w:val="24"/>
        </w:rPr>
        <w:t>Konsantrasyon ve son kullanma tarihi</w:t>
      </w:r>
    </w:p>
    <w:p w14:paraId="022675D3" w14:textId="77777777" w:rsidR="002D7B36" w:rsidRPr="00DE12A3" w:rsidRDefault="00F864F6" w:rsidP="00C917D6">
      <w:pPr>
        <w:pStyle w:val="Gvdemetni251"/>
        <w:shd w:val="clear" w:color="auto" w:fill="auto"/>
        <w:spacing w:before="120" w:after="120" w:line="240" w:lineRule="auto"/>
        <w:ind w:left="1134" w:hanging="1134"/>
        <w:rPr>
          <w:color w:val="auto"/>
          <w:sz w:val="24"/>
          <w:szCs w:val="24"/>
        </w:rPr>
      </w:pPr>
      <w:r w:rsidRPr="00DE12A3">
        <w:rPr>
          <w:color w:val="auto"/>
          <w:sz w:val="24"/>
          <w:szCs w:val="24"/>
        </w:rPr>
        <w:t xml:space="preserve">                  </w:t>
      </w:r>
      <w:r w:rsidR="00242DA0" w:rsidRPr="00DE12A3">
        <w:rPr>
          <w:color w:val="auto"/>
          <w:sz w:val="24"/>
          <w:szCs w:val="24"/>
        </w:rPr>
        <w:t>Her kalibrasyon gazı standardının konsantrasyonu ve gaz tedarikçisi tarafından belirtilen son kullanma tarihi kaydedilmelidir.</w:t>
      </w:r>
    </w:p>
    <w:p w14:paraId="1882C0D7" w14:textId="78B2FE0E" w:rsidR="002D7B36" w:rsidRPr="00DE12A3" w:rsidRDefault="00F864F6" w:rsidP="00E20716">
      <w:pPr>
        <w:pStyle w:val="Gvdemetni251"/>
        <w:numPr>
          <w:ilvl w:val="0"/>
          <w:numId w:val="368"/>
        </w:numPr>
        <w:shd w:val="clear" w:color="auto" w:fill="auto"/>
        <w:spacing w:before="120" w:after="120" w:line="240" w:lineRule="auto"/>
        <w:ind w:left="1701" w:hanging="567"/>
        <w:rPr>
          <w:color w:val="auto"/>
          <w:sz w:val="24"/>
          <w:szCs w:val="24"/>
        </w:rPr>
      </w:pPr>
      <w:r w:rsidRPr="00DE12A3">
        <w:rPr>
          <w:color w:val="auto"/>
          <w:sz w:val="24"/>
          <w:szCs w:val="24"/>
        </w:rPr>
        <w:t xml:space="preserve">    </w:t>
      </w:r>
      <w:r w:rsidR="00242DA0" w:rsidRPr="00DE12A3">
        <w:rPr>
          <w:color w:val="auto"/>
          <w:sz w:val="24"/>
          <w:szCs w:val="24"/>
        </w:rPr>
        <w:t xml:space="preserve">Bu bendin (b) </w:t>
      </w:r>
      <w:r w:rsidR="00B528E1" w:rsidRPr="00DE12A3">
        <w:rPr>
          <w:color w:val="auto"/>
          <w:sz w:val="24"/>
          <w:szCs w:val="24"/>
        </w:rPr>
        <w:t xml:space="preserve">numaralı alt bendinde </w:t>
      </w:r>
      <w:r w:rsidR="00242DA0" w:rsidRPr="00DE12A3">
        <w:rPr>
          <w:color w:val="auto"/>
          <w:sz w:val="24"/>
          <w:szCs w:val="24"/>
        </w:rPr>
        <w:t>izin verilen durumlar dışında, son kullanma tarihinden sonra hiçbir kalibrasyon gazı standardı kullanılamaz.</w:t>
      </w:r>
    </w:p>
    <w:p w14:paraId="6B2CAE3B" w14:textId="77777777" w:rsidR="002D7B36" w:rsidRPr="00DE12A3" w:rsidRDefault="00242DA0" w:rsidP="00E20716">
      <w:pPr>
        <w:pStyle w:val="Gvdemetni251"/>
        <w:numPr>
          <w:ilvl w:val="0"/>
          <w:numId w:val="368"/>
        </w:numPr>
        <w:shd w:val="clear" w:color="auto" w:fill="auto"/>
        <w:spacing w:before="120" w:after="120" w:line="240" w:lineRule="auto"/>
        <w:ind w:left="1701" w:hanging="567"/>
        <w:rPr>
          <w:color w:val="auto"/>
          <w:sz w:val="24"/>
          <w:szCs w:val="24"/>
        </w:rPr>
      </w:pPr>
      <w:r w:rsidRPr="00DE12A3">
        <w:rPr>
          <w:color w:val="auto"/>
          <w:sz w:val="24"/>
          <w:szCs w:val="24"/>
        </w:rPr>
        <w:t xml:space="preserve">Kalibrasyon gazları, </w:t>
      </w:r>
      <w:r w:rsidR="007E2039" w:rsidRPr="00DE12A3">
        <w:rPr>
          <w:color w:val="auto"/>
          <w:sz w:val="24"/>
          <w:szCs w:val="24"/>
        </w:rPr>
        <w:t xml:space="preserve">onay </w:t>
      </w:r>
      <w:r w:rsidR="003B5C00" w:rsidRPr="00DE12A3">
        <w:rPr>
          <w:color w:val="auto"/>
          <w:sz w:val="24"/>
          <w:szCs w:val="24"/>
        </w:rPr>
        <w:t>kuruluşu tarafından</w:t>
      </w:r>
      <w:r w:rsidRPr="00DE12A3">
        <w:rPr>
          <w:color w:val="auto"/>
          <w:sz w:val="24"/>
          <w:szCs w:val="24"/>
        </w:rPr>
        <w:t xml:space="preserve"> önceden onaylanırsa son </w:t>
      </w:r>
      <w:r w:rsidRPr="00DE12A3">
        <w:rPr>
          <w:color w:val="auto"/>
          <w:sz w:val="24"/>
          <w:szCs w:val="24"/>
        </w:rPr>
        <w:lastRenderedPageBreak/>
        <w:t>kullanma tarihinden sonra yeniden etiketlenip kullanılabilir.</w:t>
      </w:r>
    </w:p>
    <w:p w14:paraId="2C250B39" w14:textId="77777777" w:rsidR="002D7B36" w:rsidRPr="00DE12A3" w:rsidRDefault="00242DA0" w:rsidP="00E20716">
      <w:pPr>
        <w:pStyle w:val="Gvdemetni251"/>
        <w:numPr>
          <w:ilvl w:val="0"/>
          <w:numId w:val="363"/>
        </w:numPr>
        <w:shd w:val="clear" w:color="auto" w:fill="auto"/>
        <w:spacing w:before="120" w:after="120" w:line="240" w:lineRule="auto"/>
        <w:ind w:left="1134" w:hanging="1134"/>
        <w:rPr>
          <w:color w:val="auto"/>
          <w:sz w:val="24"/>
          <w:szCs w:val="24"/>
        </w:rPr>
      </w:pPr>
      <w:r w:rsidRPr="00DE12A3">
        <w:rPr>
          <w:color w:val="auto"/>
          <w:sz w:val="24"/>
          <w:szCs w:val="24"/>
        </w:rPr>
        <w:t>Gaz aktarımı</w:t>
      </w:r>
    </w:p>
    <w:p w14:paraId="242C4414" w14:textId="77777777" w:rsidR="002D7B36" w:rsidRPr="00DE12A3" w:rsidRDefault="00F864F6" w:rsidP="00C917D6">
      <w:pPr>
        <w:pStyle w:val="Gvdemetni251"/>
        <w:shd w:val="clear" w:color="auto" w:fill="auto"/>
        <w:tabs>
          <w:tab w:val="left" w:pos="6237"/>
        </w:tabs>
        <w:spacing w:before="120" w:after="120" w:line="240" w:lineRule="auto"/>
        <w:ind w:left="1134" w:hanging="1134"/>
        <w:rPr>
          <w:color w:val="auto"/>
          <w:sz w:val="24"/>
          <w:szCs w:val="24"/>
        </w:rPr>
      </w:pPr>
      <w:r w:rsidRPr="00DE12A3">
        <w:rPr>
          <w:color w:val="auto"/>
          <w:sz w:val="24"/>
          <w:szCs w:val="24"/>
        </w:rPr>
        <w:t xml:space="preserve">                   </w:t>
      </w:r>
      <w:r w:rsidR="00242DA0" w:rsidRPr="00DE12A3">
        <w:rPr>
          <w:color w:val="auto"/>
          <w:sz w:val="24"/>
          <w:szCs w:val="24"/>
        </w:rPr>
        <w:t>Gazlar, kaynaklarından analiz cihazlarına sadece bu gazları kontrol etmeye ve aktarmaya özgü bileşenler kullanılarak aktarılmalıdır.</w:t>
      </w:r>
    </w:p>
    <w:p w14:paraId="513C79D9" w14:textId="77777777" w:rsidR="002D7B36" w:rsidRPr="00DE12A3" w:rsidRDefault="00F864F6" w:rsidP="00E20716">
      <w:pPr>
        <w:pStyle w:val="Gvdemetni251"/>
        <w:numPr>
          <w:ilvl w:val="0"/>
          <w:numId w:val="362"/>
        </w:numPr>
        <w:shd w:val="clear" w:color="auto" w:fill="auto"/>
        <w:tabs>
          <w:tab w:val="left" w:pos="902"/>
          <w:tab w:val="left" w:pos="1264"/>
        </w:tabs>
        <w:spacing w:before="120" w:after="120" w:line="240" w:lineRule="auto"/>
        <w:ind w:left="1134" w:hanging="1134"/>
        <w:rPr>
          <w:color w:val="auto"/>
          <w:sz w:val="24"/>
          <w:szCs w:val="24"/>
        </w:rPr>
      </w:pPr>
      <w:r w:rsidRPr="00DE12A3">
        <w:rPr>
          <w:color w:val="auto"/>
          <w:sz w:val="24"/>
          <w:szCs w:val="24"/>
        </w:rPr>
        <w:t xml:space="preserve">    </w:t>
      </w:r>
      <w:r w:rsidR="00242DA0" w:rsidRPr="00DE12A3">
        <w:rPr>
          <w:color w:val="auto"/>
          <w:sz w:val="24"/>
          <w:szCs w:val="24"/>
        </w:rPr>
        <w:t>Kütle standartları</w:t>
      </w:r>
    </w:p>
    <w:p w14:paraId="181B57B8" w14:textId="2DB59828" w:rsidR="002D7B36" w:rsidRPr="00DE12A3" w:rsidRDefault="00F864F6" w:rsidP="00C917D6">
      <w:pPr>
        <w:pStyle w:val="Gvdemetni251"/>
        <w:shd w:val="clear" w:color="auto" w:fill="auto"/>
        <w:tabs>
          <w:tab w:val="left" w:pos="6237"/>
        </w:tabs>
        <w:spacing w:before="120" w:after="120" w:line="240" w:lineRule="auto"/>
        <w:ind w:left="1134" w:hanging="1134"/>
        <w:rPr>
          <w:color w:val="auto"/>
          <w:sz w:val="24"/>
          <w:szCs w:val="24"/>
        </w:rPr>
      </w:pPr>
      <w:r w:rsidRPr="00DE12A3">
        <w:rPr>
          <w:color w:val="auto"/>
          <w:sz w:val="24"/>
          <w:szCs w:val="24"/>
        </w:rPr>
        <w:t xml:space="preserve">                  </w:t>
      </w:r>
      <w:r w:rsidR="00EC6140" w:rsidRPr="00DE12A3">
        <w:rPr>
          <w:color w:val="auto"/>
          <w:sz w:val="24"/>
          <w:szCs w:val="24"/>
        </w:rPr>
        <w:t>%0,1</w:t>
      </w:r>
      <w:r w:rsidR="00242DA0" w:rsidRPr="00DE12A3">
        <w:rPr>
          <w:color w:val="auto"/>
          <w:sz w:val="24"/>
          <w:szCs w:val="24"/>
        </w:rPr>
        <w:t xml:space="preserve"> belirsizlik dahilinde takip edilebilir, uluslararası ve/veya ulusal düzeyde tanınan standartlar olarak belgelenen PM </w:t>
      </w:r>
      <w:r w:rsidR="00EF0D08" w:rsidRPr="00DE12A3">
        <w:rPr>
          <w:color w:val="auto"/>
          <w:sz w:val="24"/>
          <w:szCs w:val="24"/>
        </w:rPr>
        <w:t>balansı</w:t>
      </w:r>
      <w:r w:rsidR="00242DA0" w:rsidRPr="00DE12A3">
        <w:rPr>
          <w:color w:val="auto"/>
          <w:sz w:val="24"/>
          <w:szCs w:val="24"/>
        </w:rPr>
        <w:t xml:space="preserve"> kalibrasyon ağırlıkları kullanılmalıdır. Kalibrasyon ağırlıkları, uluslararası ve/veya ulusal düzeyde tanınan standartların takip edilebilirliğini sürdüren herhangi bir kalibrasyon laboratuvarı tarafından onaylanabilir. En düşük kalibrasyon ağırlığının, kullanılmamış bir PM-numune maddesi kütlesinin on katından daha fazla olmaması sağlanmalıdır. Kalibrasyon raporunda ağırlıkların yoğunluğu da belirtilmelidir.</w:t>
      </w:r>
    </w:p>
    <w:p w14:paraId="6C00F82C" w14:textId="77777777" w:rsidR="002D7B36" w:rsidRPr="00DE12A3" w:rsidRDefault="002D7B36" w:rsidP="00C917D6">
      <w:pPr>
        <w:pStyle w:val="Gvdemetni251"/>
        <w:shd w:val="clear" w:color="auto" w:fill="auto"/>
        <w:tabs>
          <w:tab w:val="left" w:pos="6237"/>
        </w:tabs>
        <w:spacing w:before="120" w:after="120" w:line="240" w:lineRule="auto"/>
        <w:ind w:left="1134" w:hanging="1134"/>
        <w:rPr>
          <w:color w:val="auto"/>
          <w:sz w:val="24"/>
          <w:szCs w:val="24"/>
        </w:rPr>
      </w:pPr>
    </w:p>
    <w:p w14:paraId="7C3D9103" w14:textId="77777777" w:rsidR="002D7B36" w:rsidRPr="00DE12A3" w:rsidRDefault="002D7B36" w:rsidP="00C917D6">
      <w:pPr>
        <w:pStyle w:val="Gvdemetni251"/>
        <w:shd w:val="clear" w:color="auto" w:fill="auto"/>
        <w:tabs>
          <w:tab w:val="left" w:pos="6237"/>
        </w:tabs>
        <w:spacing w:before="120" w:after="120" w:line="240" w:lineRule="auto"/>
        <w:ind w:left="1134" w:hanging="1134"/>
        <w:rPr>
          <w:color w:val="auto"/>
          <w:sz w:val="24"/>
          <w:szCs w:val="24"/>
        </w:rPr>
      </w:pPr>
    </w:p>
    <w:p w14:paraId="60F128FB" w14:textId="77777777" w:rsidR="002D7B36" w:rsidRPr="00DE12A3" w:rsidRDefault="002D7B36" w:rsidP="00C917D6">
      <w:pPr>
        <w:pStyle w:val="Gvdemetni251"/>
        <w:shd w:val="clear" w:color="auto" w:fill="auto"/>
        <w:tabs>
          <w:tab w:val="left" w:pos="6237"/>
        </w:tabs>
        <w:spacing w:before="120" w:after="120" w:line="240" w:lineRule="auto"/>
        <w:ind w:left="1134" w:hanging="1134"/>
        <w:rPr>
          <w:color w:val="auto"/>
          <w:sz w:val="24"/>
          <w:szCs w:val="24"/>
        </w:rPr>
      </w:pPr>
    </w:p>
    <w:p w14:paraId="1EBE1FFE" w14:textId="77777777" w:rsidR="002D7B36" w:rsidRPr="00DE12A3" w:rsidRDefault="002D7B36" w:rsidP="00C917D6">
      <w:pPr>
        <w:pStyle w:val="Gvdemetni251"/>
        <w:shd w:val="clear" w:color="auto" w:fill="auto"/>
        <w:tabs>
          <w:tab w:val="left" w:pos="6237"/>
        </w:tabs>
        <w:spacing w:before="120" w:after="120" w:line="240" w:lineRule="auto"/>
        <w:ind w:left="1134" w:hanging="1134"/>
        <w:rPr>
          <w:color w:val="auto"/>
          <w:sz w:val="24"/>
          <w:szCs w:val="24"/>
        </w:rPr>
      </w:pPr>
    </w:p>
    <w:p w14:paraId="7EDE21F2" w14:textId="77777777" w:rsidR="002D7B36" w:rsidRPr="00DE12A3" w:rsidRDefault="002D7B36" w:rsidP="00C917D6">
      <w:pPr>
        <w:pStyle w:val="Gvdemetni251"/>
        <w:shd w:val="clear" w:color="auto" w:fill="auto"/>
        <w:tabs>
          <w:tab w:val="left" w:pos="6237"/>
        </w:tabs>
        <w:spacing w:before="120" w:after="120" w:line="240" w:lineRule="auto"/>
        <w:ind w:left="1134" w:hanging="1134"/>
        <w:rPr>
          <w:color w:val="auto"/>
          <w:sz w:val="24"/>
          <w:szCs w:val="24"/>
        </w:rPr>
      </w:pPr>
    </w:p>
    <w:p w14:paraId="2AC9367A" w14:textId="77777777" w:rsidR="002D7B36" w:rsidRPr="00DE12A3" w:rsidRDefault="002D7B36" w:rsidP="00C917D6">
      <w:pPr>
        <w:pStyle w:val="Gvdemetni251"/>
        <w:shd w:val="clear" w:color="auto" w:fill="auto"/>
        <w:tabs>
          <w:tab w:val="left" w:pos="6237"/>
        </w:tabs>
        <w:spacing w:before="120" w:after="120" w:line="240" w:lineRule="auto"/>
        <w:ind w:left="1134" w:hanging="1134"/>
        <w:rPr>
          <w:color w:val="auto"/>
          <w:sz w:val="24"/>
          <w:szCs w:val="24"/>
        </w:rPr>
      </w:pPr>
    </w:p>
    <w:p w14:paraId="043BC003" w14:textId="77777777" w:rsidR="002D7B36" w:rsidRPr="00DE12A3" w:rsidRDefault="002D7B36" w:rsidP="00C917D6">
      <w:pPr>
        <w:pStyle w:val="Gvdemetni251"/>
        <w:shd w:val="clear" w:color="auto" w:fill="auto"/>
        <w:tabs>
          <w:tab w:val="left" w:pos="6237"/>
        </w:tabs>
        <w:spacing w:before="120" w:after="120" w:line="240" w:lineRule="auto"/>
        <w:ind w:left="1134" w:hanging="1134"/>
        <w:rPr>
          <w:color w:val="auto"/>
          <w:sz w:val="24"/>
          <w:szCs w:val="24"/>
        </w:rPr>
      </w:pPr>
    </w:p>
    <w:p w14:paraId="0341F6D4" w14:textId="77777777" w:rsidR="0055404E" w:rsidRPr="00DE12A3" w:rsidRDefault="0055404E" w:rsidP="00C917D6">
      <w:pPr>
        <w:pStyle w:val="Gvdemetni251"/>
        <w:shd w:val="clear" w:color="auto" w:fill="auto"/>
        <w:tabs>
          <w:tab w:val="left" w:pos="6237"/>
        </w:tabs>
        <w:spacing w:before="120" w:after="120" w:line="240" w:lineRule="auto"/>
        <w:ind w:left="1134" w:hanging="1134"/>
        <w:rPr>
          <w:color w:val="auto"/>
          <w:sz w:val="24"/>
          <w:szCs w:val="24"/>
        </w:rPr>
      </w:pPr>
    </w:p>
    <w:p w14:paraId="14A6DE49" w14:textId="77777777" w:rsidR="0055404E" w:rsidRPr="00DE12A3" w:rsidRDefault="0055404E" w:rsidP="00C917D6">
      <w:pPr>
        <w:pStyle w:val="Gvdemetni251"/>
        <w:shd w:val="clear" w:color="auto" w:fill="auto"/>
        <w:tabs>
          <w:tab w:val="left" w:pos="6237"/>
        </w:tabs>
        <w:spacing w:before="120" w:after="120" w:line="240" w:lineRule="auto"/>
        <w:ind w:left="1134" w:hanging="1134"/>
        <w:rPr>
          <w:color w:val="auto"/>
          <w:sz w:val="24"/>
          <w:szCs w:val="24"/>
        </w:rPr>
      </w:pPr>
    </w:p>
    <w:p w14:paraId="71A62DF2" w14:textId="367C2E5A" w:rsidR="00D27F95" w:rsidRPr="00DE12A3" w:rsidRDefault="00D27F95">
      <w:pPr>
        <w:widowControl/>
        <w:rPr>
          <w:rFonts w:eastAsia="Times New Roman" w:cs="Times New Roman"/>
          <w:color w:val="auto"/>
          <w:spacing w:val="3"/>
        </w:rPr>
      </w:pPr>
      <w:r w:rsidRPr="00DE12A3">
        <w:rPr>
          <w:color w:val="auto"/>
        </w:rPr>
        <w:br w:type="page"/>
      </w:r>
    </w:p>
    <w:p w14:paraId="43578E7C" w14:textId="77777777" w:rsidR="002D7B36" w:rsidRPr="00DE12A3" w:rsidRDefault="00242DA0" w:rsidP="00D27F95">
      <w:pPr>
        <w:pStyle w:val="Balk2"/>
        <w:rPr>
          <w:i/>
          <w:color w:val="auto"/>
        </w:rPr>
      </w:pPr>
      <w:r w:rsidRPr="00DE12A3">
        <w:rPr>
          <w:rStyle w:val="Gvdemetni260ptbolukbraklyor6"/>
          <w:rFonts w:eastAsia="Courier New" w:cs="Courier New"/>
          <w:i w:val="0"/>
          <w:iCs w:val="0"/>
          <w:color w:val="auto"/>
          <w:spacing w:val="0"/>
          <w:sz w:val="24"/>
          <w:szCs w:val="24"/>
          <w:lang w:val="tr-TR"/>
        </w:rPr>
        <w:lastRenderedPageBreak/>
        <w:t>1. Açıklayıcı Ek</w:t>
      </w:r>
    </w:p>
    <w:p w14:paraId="1101F9F3" w14:textId="77777777" w:rsidR="002D7B36" w:rsidRPr="00DE12A3" w:rsidRDefault="007E2039" w:rsidP="00D27F95">
      <w:pPr>
        <w:jc w:val="center"/>
        <w:rPr>
          <w:b/>
          <w:bCs/>
          <w:color w:val="auto"/>
        </w:rPr>
      </w:pPr>
      <w:r w:rsidRPr="00DE12A3">
        <w:rPr>
          <w:b/>
          <w:bCs/>
          <w:color w:val="auto"/>
        </w:rPr>
        <w:t xml:space="preserve">Partikül </w:t>
      </w:r>
      <w:r w:rsidR="00242DA0" w:rsidRPr="00DE12A3">
        <w:rPr>
          <w:b/>
          <w:bCs/>
          <w:color w:val="auto"/>
        </w:rPr>
        <w:t>sayısı emisyonları ölçüm ekipmanları</w:t>
      </w:r>
    </w:p>
    <w:p w14:paraId="7CDD146C" w14:textId="77777777" w:rsidR="00404C7D" w:rsidRPr="00DE12A3" w:rsidRDefault="00404C7D" w:rsidP="00404C7D">
      <w:pPr>
        <w:rPr>
          <w:color w:val="auto"/>
        </w:rPr>
      </w:pPr>
    </w:p>
    <w:p w14:paraId="13DE9D05" w14:textId="668A1B32" w:rsidR="002D7B36" w:rsidRPr="00DE12A3" w:rsidRDefault="00404C7D" w:rsidP="00404C7D">
      <w:pPr>
        <w:rPr>
          <w:b/>
          <w:bCs/>
          <w:color w:val="auto"/>
        </w:rPr>
      </w:pPr>
      <w:r w:rsidRPr="00DE12A3">
        <w:rPr>
          <w:b/>
          <w:bCs/>
          <w:color w:val="auto"/>
        </w:rPr>
        <w:t xml:space="preserve">1. </w:t>
      </w:r>
      <w:r w:rsidR="00242DA0" w:rsidRPr="00DE12A3">
        <w:rPr>
          <w:b/>
          <w:bCs/>
          <w:color w:val="auto"/>
        </w:rPr>
        <w:t>Ölçüm testi prosedürü</w:t>
      </w:r>
    </w:p>
    <w:p w14:paraId="5E3A9611" w14:textId="77777777" w:rsidR="002D7B36" w:rsidRPr="00DE12A3" w:rsidRDefault="00F864F6" w:rsidP="00E20716">
      <w:pPr>
        <w:pStyle w:val="Gvdemetni251"/>
        <w:numPr>
          <w:ilvl w:val="1"/>
          <w:numId w:val="369"/>
        </w:numPr>
        <w:shd w:val="clear" w:color="auto" w:fill="auto"/>
        <w:spacing w:before="120" w:after="120" w:line="240" w:lineRule="auto"/>
        <w:ind w:left="1134" w:hanging="1134"/>
        <w:rPr>
          <w:color w:val="auto"/>
          <w:sz w:val="24"/>
          <w:szCs w:val="24"/>
        </w:rPr>
      </w:pPr>
      <w:r w:rsidRPr="00DE12A3">
        <w:rPr>
          <w:color w:val="auto"/>
          <w:sz w:val="24"/>
          <w:szCs w:val="24"/>
        </w:rPr>
        <w:t xml:space="preserve">       </w:t>
      </w:r>
      <w:r w:rsidR="00242DA0" w:rsidRPr="00DE12A3">
        <w:rPr>
          <w:color w:val="auto"/>
          <w:sz w:val="24"/>
          <w:szCs w:val="24"/>
        </w:rPr>
        <w:t>Örnekleme</w:t>
      </w:r>
    </w:p>
    <w:p w14:paraId="089BEE6F" w14:textId="77777777" w:rsidR="002D7B36" w:rsidRPr="00DE12A3" w:rsidRDefault="00F864F6" w:rsidP="00C917D6">
      <w:pPr>
        <w:pStyle w:val="Gvdemetni251"/>
        <w:shd w:val="clear" w:color="auto" w:fill="auto"/>
        <w:spacing w:before="120" w:after="120" w:line="240" w:lineRule="auto"/>
        <w:ind w:left="1134" w:hanging="1134"/>
        <w:rPr>
          <w:color w:val="auto"/>
          <w:sz w:val="24"/>
          <w:szCs w:val="24"/>
        </w:rPr>
      </w:pPr>
      <w:r w:rsidRPr="00DE12A3">
        <w:rPr>
          <w:color w:val="auto"/>
          <w:sz w:val="24"/>
          <w:szCs w:val="24"/>
        </w:rPr>
        <w:t xml:space="preserve">                  </w:t>
      </w:r>
      <w:r w:rsidR="007E2039" w:rsidRPr="00DE12A3">
        <w:rPr>
          <w:color w:val="auto"/>
          <w:sz w:val="24"/>
          <w:szCs w:val="24"/>
        </w:rPr>
        <w:t xml:space="preserve">Partikül </w:t>
      </w:r>
      <w:r w:rsidR="00242DA0" w:rsidRPr="00DE12A3">
        <w:rPr>
          <w:color w:val="auto"/>
          <w:sz w:val="24"/>
          <w:szCs w:val="24"/>
        </w:rPr>
        <w:t>sayısı emisyonları, bu Ek'in 9.2.3 bendinde açıklanan kısmi akış seyreltme sisteminden veya bu Ek'in 9.2.2 bendinde açıklanan tam akış seyreltme sisteminden sürekli örnekleme ile ölçülmelidir.</w:t>
      </w:r>
    </w:p>
    <w:p w14:paraId="6116CD26" w14:textId="77777777" w:rsidR="002D7B36" w:rsidRPr="00DE12A3" w:rsidRDefault="00F864F6" w:rsidP="00E20716">
      <w:pPr>
        <w:pStyle w:val="Gvdemetni251"/>
        <w:numPr>
          <w:ilvl w:val="2"/>
          <w:numId w:val="369"/>
        </w:numPr>
        <w:shd w:val="clear" w:color="auto" w:fill="auto"/>
        <w:spacing w:before="120" w:after="120" w:line="240" w:lineRule="auto"/>
        <w:ind w:left="1134" w:hanging="1134"/>
        <w:rPr>
          <w:color w:val="auto"/>
          <w:sz w:val="24"/>
          <w:szCs w:val="24"/>
        </w:rPr>
      </w:pPr>
      <w:r w:rsidRPr="00DE12A3">
        <w:rPr>
          <w:color w:val="auto"/>
          <w:sz w:val="24"/>
          <w:szCs w:val="24"/>
        </w:rPr>
        <w:t xml:space="preserve">       </w:t>
      </w:r>
      <w:r w:rsidR="00242DA0" w:rsidRPr="00DE12A3">
        <w:rPr>
          <w:color w:val="auto"/>
          <w:sz w:val="24"/>
          <w:szCs w:val="24"/>
        </w:rPr>
        <w:t>Seyreltici filtrelemesi</w:t>
      </w:r>
    </w:p>
    <w:p w14:paraId="42C906D1" w14:textId="05C9624B" w:rsidR="002D7B36" w:rsidRPr="00DE12A3" w:rsidRDefault="00F864F6" w:rsidP="00C917D6">
      <w:pPr>
        <w:pStyle w:val="Gvdemetni251"/>
        <w:shd w:val="clear" w:color="auto" w:fill="auto"/>
        <w:spacing w:before="120" w:after="120" w:line="240" w:lineRule="auto"/>
        <w:ind w:left="1134" w:hanging="1134"/>
        <w:rPr>
          <w:color w:val="auto"/>
          <w:sz w:val="24"/>
          <w:szCs w:val="24"/>
        </w:rPr>
      </w:pPr>
      <w:r w:rsidRPr="00DE12A3">
        <w:rPr>
          <w:color w:val="auto"/>
          <w:sz w:val="24"/>
          <w:szCs w:val="24"/>
        </w:rPr>
        <w:t xml:space="preserve">                  </w:t>
      </w:r>
      <w:r w:rsidR="00242DA0" w:rsidRPr="00DE12A3">
        <w:rPr>
          <w:color w:val="auto"/>
          <w:sz w:val="24"/>
          <w:szCs w:val="24"/>
        </w:rPr>
        <w:t xml:space="preserve">Seyreltme sistemindeki egzoz gazının hem birincil hem de varsa ikincil seyreltmesi için kullanılan seyreltici, Yüksek Verimli </w:t>
      </w:r>
      <w:r w:rsidR="007E2039" w:rsidRPr="00DE12A3">
        <w:rPr>
          <w:color w:val="auto"/>
          <w:sz w:val="24"/>
          <w:szCs w:val="24"/>
        </w:rPr>
        <w:t xml:space="preserve">Partikül </w:t>
      </w:r>
      <w:r w:rsidR="00242DA0" w:rsidRPr="00DE12A3">
        <w:rPr>
          <w:color w:val="auto"/>
          <w:sz w:val="24"/>
          <w:szCs w:val="24"/>
        </w:rPr>
        <w:t xml:space="preserve">Hava (HEPA) filtresi </w:t>
      </w:r>
      <w:r w:rsidR="0053289F" w:rsidRPr="00DE12A3">
        <w:rPr>
          <w:color w:val="auto"/>
          <w:sz w:val="24"/>
          <w:szCs w:val="24"/>
        </w:rPr>
        <w:t>gerekliliklerini</w:t>
      </w:r>
      <w:r w:rsidR="00242DA0" w:rsidRPr="00DE12A3">
        <w:rPr>
          <w:color w:val="auto"/>
          <w:sz w:val="24"/>
          <w:szCs w:val="24"/>
        </w:rPr>
        <w:t xml:space="preserve"> sağlayan filtrelerden geçirilmelidir. Seyreltici, seyreltici içindeki hidrokarbon konsantrasyonlarını azaltmak ve dengelemek için HEPA filtresine aktarılmadan önce isteğe bağlı olarak kömürle temizlenebilir. İlave bir kaba </w:t>
      </w:r>
      <w:r w:rsidR="007E2039" w:rsidRPr="00DE12A3">
        <w:rPr>
          <w:color w:val="auto"/>
          <w:sz w:val="24"/>
          <w:szCs w:val="24"/>
        </w:rPr>
        <w:t xml:space="preserve">partikül </w:t>
      </w:r>
      <w:r w:rsidR="00242DA0" w:rsidRPr="00DE12A3">
        <w:rPr>
          <w:color w:val="auto"/>
          <w:sz w:val="24"/>
          <w:szCs w:val="24"/>
        </w:rPr>
        <w:t>filtresinin, HEPA filtresinden önce ve kullanılıyorsa kömür temizleyiciden sonra yerleştirilmesi önerilir.</w:t>
      </w:r>
    </w:p>
    <w:p w14:paraId="35175BDD" w14:textId="14D95759" w:rsidR="002D7B36" w:rsidRPr="00DE12A3" w:rsidRDefault="00F864F6" w:rsidP="00E20716">
      <w:pPr>
        <w:pStyle w:val="Gvdemetni251"/>
        <w:numPr>
          <w:ilvl w:val="1"/>
          <w:numId w:val="369"/>
        </w:numPr>
        <w:shd w:val="clear" w:color="auto" w:fill="auto"/>
        <w:tabs>
          <w:tab w:val="right" w:pos="851"/>
        </w:tabs>
        <w:spacing w:before="120" w:after="120" w:line="240" w:lineRule="auto"/>
        <w:ind w:left="1134" w:hanging="1134"/>
        <w:rPr>
          <w:color w:val="auto"/>
          <w:sz w:val="24"/>
          <w:szCs w:val="24"/>
        </w:rPr>
      </w:pPr>
      <w:r w:rsidRPr="00DE12A3">
        <w:rPr>
          <w:color w:val="auto"/>
          <w:sz w:val="24"/>
          <w:szCs w:val="24"/>
        </w:rPr>
        <w:t xml:space="preserve">     </w:t>
      </w:r>
      <w:r w:rsidR="007E2039" w:rsidRPr="00DE12A3">
        <w:rPr>
          <w:color w:val="auto"/>
          <w:sz w:val="24"/>
          <w:szCs w:val="24"/>
        </w:rPr>
        <w:t xml:space="preserve">Partikül </w:t>
      </w:r>
      <w:r w:rsidR="00242DA0" w:rsidRPr="00DE12A3">
        <w:rPr>
          <w:color w:val="auto"/>
          <w:sz w:val="24"/>
          <w:szCs w:val="24"/>
        </w:rPr>
        <w:t xml:space="preserve">sayısı numune akışının </w:t>
      </w:r>
      <w:r w:rsidR="00EC6140" w:rsidRPr="00DE12A3">
        <w:rPr>
          <w:color w:val="auto"/>
          <w:sz w:val="24"/>
          <w:szCs w:val="24"/>
        </w:rPr>
        <w:t>dengelenmesi-</w:t>
      </w:r>
      <w:r w:rsidR="00242DA0" w:rsidRPr="00DE12A3">
        <w:rPr>
          <w:color w:val="auto"/>
          <w:sz w:val="24"/>
          <w:szCs w:val="24"/>
        </w:rPr>
        <w:t xml:space="preserve"> tam akışlı seyreltme sistemleri</w:t>
      </w:r>
    </w:p>
    <w:p w14:paraId="5C2C0241" w14:textId="6DF81C0C" w:rsidR="002D7B36" w:rsidRPr="00DE12A3" w:rsidRDefault="00F864F6" w:rsidP="00C917D6">
      <w:pPr>
        <w:pStyle w:val="Gvdemetni251"/>
        <w:shd w:val="clear" w:color="auto" w:fill="auto"/>
        <w:tabs>
          <w:tab w:val="left" w:pos="4707"/>
        </w:tabs>
        <w:spacing w:before="120" w:after="120" w:line="240" w:lineRule="auto"/>
        <w:ind w:left="1134" w:hanging="1134"/>
        <w:rPr>
          <w:color w:val="auto"/>
          <w:sz w:val="24"/>
          <w:szCs w:val="24"/>
        </w:rPr>
      </w:pPr>
      <w:r w:rsidRPr="00DE12A3">
        <w:rPr>
          <w:color w:val="auto"/>
          <w:sz w:val="24"/>
          <w:szCs w:val="24"/>
        </w:rPr>
        <w:t xml:space="preserve">                   </w:t>
      </w:r>
      <w:r w:rsidR="007E2039" w:rsidRPr="00DE12A3">
        <w:rPr>
          <w:color w:val="auto"/>
          <w:sz w:val="24"/>
          <w:szCs w:val="24"/>
        </w:rPr>
        <w:t xml:space="preserve">Partikül </w:t>
      </w:r>
      <w:r w:rsidR="00242DA0" w:rsidRPr="00DE12A3">
        <w:rPr>
          <w:color w:val="auto"/>
          <w:sz w:val="24"/>
          <w:szCs w:val="24"/>
        </w:rPr>
        <w:t xml:space="preserve">sayısı örneklemesi için seyreltme sisteminden çıkarılan kütle akışını dengelemek için, çıkarılan kütle akışı (filtrelenmiş) seyreltme sistemine geri döndürülmelidir. Alternatif olarak, seyreltme sistemindeki toplam kütle akışı, çıkarılan </w:t>
      </w:r>
      <w:r w:rsidR="007E2039" w:rsidRPr="00DE12A3">
        <w:rPr>
          <w:color w:val="auto"/>
          <w:sz w:val="24"/>
          <w:szCs w:val="24"/>
        </w:rPr>
        <w:t xml:space="preserve">partikül </w:t>
      </w:r>
      <w:r w:rsidR="00242DA0" w:rsidRPr="00DE12A3">
        <w:rPr>
          <w:color w:val="auto"/>
          <w:sz w:val="24"/>
          <w:szCs w:val="24"/>
        </w:rPr>
        <w:t xml:space="preserve">sayısı numune akışı bakımından matematiksel olarak düzeltilebilir. </w:t>
      </w:r>
      <w:r w:rsidR="007E2039" w:rsidRPr="00DE12A3">
        <w:rPr>
          <w:color w:val="auto"/>
          <w:sz w:val="24"/>
          <w:szCs w:val="24"/>
        </w:rPr>
        <w:t xml:space="preserve">Partikül </w:t>
      </w:r>
      <w:r w:rsidR="00242DA0" w:rsidRPr="00DE12A3">
        <w:rPr>
          <w:color w:val="auto"/>
          <w:sz w:val="24"/>
          <w:szCs w:val="24"/>
        </w:rPr>
        <w:t xml:space="preserve">sayısı örneklemesi ile </w:t>
      </w:r>
      <w:r w:rsidR="007E2039" w:rsidRPr="00DE12A3">
        <w:rPr>
          <w:color w:val="auto"/>
          <w:sz w:val="24"/>
          <w:szCs w:val="24"/>
        </w:rPr>
        <w:t xml:space="preserve">partikül </w:t>
      </w:r>
      <w:r w:rsidR="00242DA0" w:rsidRPr="00DE12A3">
        <w:rPr>
          <w:color w:val="auto"/>
          <w:sz w:val="24"/>
          <w:szCs w:val="24"/>
        </w:rPr>
        <w:t xml:space="preserve">kütlesi örneklemesi toplamı için seyreltme sisteminden çıkarılan toplam kütle akışı, seyreltme tünelindeki (med) seyreltilmiş toplam egzoz gazı akışının </w:t>
      </w:r>
      <w:r w:rsidR="00EC6140" w:rsidRPr="00DE12A3">
        <w:rPr>
          <w:color w:val="auto"/>
          <w:sz w:val="24"/>
          <w:szCs w:val="24"/>
        </w:rPr>
        <w:t>%0,5</w:t>
      </w:r>
      <w:r w:rsidR="00242DA0" w:rsidRPr="00DE12A3">
        <w:rPr>
          <w:color w:val="auto"/>
          <w:sz w:val="24"/>
          <w:szCs w:val="24"/>
        </w:rPr>
        <w:t>'inden az ise, bu düzeltme veya akış geri dönüşü ihmal edilebilir.</w:t>
      </w:r>
    </w:p>
    <w:p w14:paraId="1F5F50B5" w14:textId="10894BD6" w:rsidR="002D7B36" w:rsidRPr="00DE12A3" w:rsidRDefault="00F864F6" w:rsidP="00E20716">
      <w:pPr>
        <w:pStyle w:val="Gvdemetni251"/>
        <w:numPr>
          <w:ilvl w:val="1"/>
          <w:numId w:val="369"/>
        </w:numPr>
        <w:shd w:val="clear" w:color="auto" w:fill="auto"/>
        <w:spacing w:before="120" w:after="120" w:line="240" w:lineRule="auto"/>
        <w:ind w:left="1134" w:hanging="1134"/>
        <w:rPr>
          <w:color w:val="auto"/>
          <w:sz w:val="24"/>
          <w:szCs w:val="24"/>
        </w:rPr>
      </w:pPr>
      <w:r w:rsidRPr="00DE12A3">
        <w:rPr>
          <w:color w:val="auto"/>
          <w:sz w:val="24"/>
          <w:szCs w:val="24"/>
        </w:rPr>
        <w:t xml:space="preserve">       </w:t>
      </w:r>
      <w:r w:rsidR="007E2039" w:rsidRPr="00DE12A3">
        <w:rPr>
          <w:color w:val="auto"/>
          <w:sz w:val="24"/>
          <w:szCs w:val="24"/>
        </w:rPr>
        <w:t xml:space="preserve">Partikül </w:t>
      </w:r>
      <w:r w:rsidR="00242DA0" w:rsidRPr="00DE12A3">
        <w:rPr>
          <w:color w:val="auto"/>
          <w:sz w:val="24"/>
          <w:szCs w:val="24"/>
        </w:rPr>
        <w:t xml:space="preserve">sayısı numune akışının </w:t>
      </w:r>
      <w:r w:rsidR="00EC6140" w:rsidRPr="00DE12A3">
        <w:rPr>
          <w:color w:val="auto"/>
          <w:sz w:val="24"/>
          <w:szCs w:val="24"/>
        </w:rPr>
        <w:t>dengelenmesi-</w:t>
      </w:r>
      <w:r w:rsidR="00242DA0" w:rsidRPr="00DE12A3">
        <w:rPr>
          <w:color w:val="auto"/>
          <w:sz w:val="24"/>
          <w:szCs w:val="24"/>
        </w:rPr>
        <w:t xml:space="preserve"> kısmi akışlı seyreltme sistemleri</w:t>
      </w:r>
    </w:p>
    <w:p w14:paraId="26A7E21C" w14:textId="77777777" w:rsidR="002D7B36" w:rsidRPr="00DE12A3" w:rsidRDefault="00F864F6" w:rsidP="00E20716">
      <w:pPr>
        <w:pStyle w:val="Gvdemetni251"/>
        <w:numPr>
          <w:ilvl w:val="2"/>
          <w:numId w:val="369"/>
        </w:numPr>
        <w:shd w:val="clear" w:color="auto" w:fill="auto"/>
        <w:spacing w:before="120" w:after="120" w:line="240" w:lineRule="auto"/>
        <w:ind w:left="1134" w:hanging="1134"/>
        <w:rPr>
          <w:color w:val="auto"/>
          <w:sz w:val="24"/>
          <w:szCs w:val="24"/>
        </w:rPr>
      </w:pPr>
      <w:r w:rsidRPr="00DE12A3">
        <w:rPr>
          <w:color w:val="auto"/>
          <w:sz w:val="24"/>
          <w:szCs w:val="24"/>
        </w:rPr>
        <w:t xml:space="preserve">       </w:t>
      </w:r>
      <w:r w:rsidR="00242DA0" w:rsidRPr="00DE12A3">
        <w:rPr>
          <w:color w:val="auto"/>
          <w:sz w:val="24"/>
          <w:szCs w:val="24"/>
        </w:rPr>
        <w:t xml:space="preserve">Kısmi akışlı seyreltme sistemleri için, </w:t>
      </w:r>
      <w:r w:rsidR="007E2039" w:rsidRPr="00DE12A3">
        <w:rPr>
          <w:color w:val="auto"/>
          <w:sz w:val="24"/>
          <w:szCs w:val="24"/>
        </w:rPr>
        <w:t xml:space="preserve">partikül </w:t>
      </w:r>
      <w:r w:rsidR="00242DA0" w:rsidRPr="00DE12A3">
        <w:rPr>
          <w:color w:val="auto"/>
          <w:sz w:val="24"/>
          <w:szCs w:val="24"/>
        </w:rPr>
        <w:t xml:space="preserve">sayısı örneklemesi için seyreltme sisteminden çıkarılan kütle akışı, örneklemenin orantılılığının kontrol edilmesi sırasında hesaba katılmalıdır. Bu, </w:t>
      </w:r>
      <w:r w:rsidR="007E2039" w:rsidRPr="00DE12A3">
        <w:rPr>
          <w:color w:val="auto"/>
          <w:sz w:val="24"/>
          <w:szCs w:val="24"/>
        </w:rPr>
        <w:t xml:space="preserve">partikül </w:t>
      </w:r>
      <w:r w:rsidR="00242DA0" w:rsidRPr="00DE12A3">
        <w:rPr>
          <w:color w:val="auto"/>
          <w:sz w:val="24"/>
          <w:szCs w:val="24"/>
        </w:rPr>
        <w:t xml:space="preserve">sayısı numune akışını akış ölçüm cihazının üstündeki seyreltme sistemine geri besleyerek veya 1.3.2 bendinde özetlendiği gibi matematiksel düzeltme ile gerçekleştirilmelidir. Toplam örnekleme tipi kısmi akışlı seyreltme sistemleri durumunda, </w:t>
      </w:r>
      <w:r w:rsidR="007E2039" w:rsidRPr="00DE12A3">
        <w:rPr>
          <w:color w:val="auto"/>
          <w:sz w:val="24"/>
          <w:szCs w:val="24"/>
        </w:rPr>
        <w:t xml:space="preserve">partikül </w:t>
      </w:r>
      <w:r w:rsidR="00242DA0" w:rsidRPr="00DE12A3">
        <w:rPr>
          <w:color w:val="auto"/>
          <w:sz w:val="24"/>
          <w:szCs w:val="24"/>
        </w:rPr>
        <w:t xml:space="preserve">sayısı örneklemesi için çıkarılan kütle akışı ayrıca 1.3.3 bendinde özetlendiği gibi </w:t>
      </w:r>
      <w:r w:rsidR="007E2039" w:rsidRPr="00DE12A3">
        <w:rPr>
          <w:color w:val="auto"/>
          <w:sz w:val="24"/>
          <w:szCs w:val="24"/>
        </w:rPr>
        <w:t xml:space="preserve">partikül </w:t>
      </w:r>
      <w:r w:rsidR="00242DA0" w:rsidRPr="00DE12A3">
        <w:rPr>
          <w:color w:val="auto"/>
          <w:sz w:val="24"/>
          <w:szCs w:val="24"/>
        </w:rPr>
        <w:t>kütlesi hesaplamasında da düzeltilmelidir.</w:t>
      </w:r>
    </w:p>
    <w:p w14:paraId="119A020C" w14:textId="77777777" w:rsidR="002D7B36" w:rsidRPr="00DE12A3" w:rsidRDefault="00F864F6" w:rsidP="00E20716">
      <w:pPr>
        <w:pStyle w:val="Gvdemetni251"/>
        <w:numPr>
          <w:ilvl w:val="2"/>
          <w:numId w:val="369"/>
        </w:numPr>
        <w:shd w:val="clear" w:color="auto" w:fill="auto"/>
        <w:spacing w:before="120" w:after="120" w:line="240" w:lineRule="auto"/>
        <w:ind w:left="1134" w:hanging="1134"/>
        <w:rPr>
          <w:color w:val="auto"/>
          <w:sz w:val="24"/>
          <w:szCs w:val="24"/>
        </w:rPr>
      </w:pPr>
      <w:r w:rsidRPr="00DE12A3">
        <w:rPr>
          <w:color w:val="auto"/>
          <w:sz w:val="24"/>
          <w:szCs w:val="24"/>
        </w:rPr>
        <w:t xml:space="preserve">       </w:t>
      </w:r>
      <w:r w:rsidR="00242DA0" w:rsidRPr="00DE12A3">
        <w:rPr>
          <w:color w:val="auto"/>
          <w:sz w:val="24"/>
          <w:szCs w:val="24"/>
        </w:rPr>
        <w:t>Örneklemenin orantılılığını kontrol etmek için kullanılan seyreltme sistemine giren anlık egzoz gazı akış hızı (qmp), aşağıdaki yöntemlerden birine göre düzeltilmelidir:</w:t>
      </w:r>
    </w:p>
    <w:p w14:paraId="5C4D50D6" w14:textId="54F303E6" w:rsidR="002D7B36" w:rsidRPr="00DE12A3" w:rsidRDefault="00F864F6" w:rsidP="00E20716">
      <w:pPr>
        <w:pStyle w:val="Gvdemetni251"/>
        <w:numPr>
          <w:ilvl w:val="0"/>
          <w:numId w:val="370"/>
        </w:numPr>
        <w:shd w:val="clear" w:color="auto" w:fill="auto"/>
        <w:spacing w:before="120" w:after="120" w:line="240" w:lineRule="auto"/>
        <w:ind w:left="1701" w:hanging="567"/>
        <w:rPr>
          <w:color w:val="auto"/>
          <w:sz w:val="24"/>
          <w:szCs w:val="24"/>
        </w:rPr>
      </w:pPr>
      <w:r w:rsidRPr="00DE12A3">
        <w:rPr>
          <w:color w:val="auto"/>
          <w:sz w:val="24"/>
          <w:szCs w:val="24"/>
        </w:rPr>
        <w:t xml:space="preserve">     </w:t>
      </w:r>
      <w:r w:rsidR="00242DA0" w:rsidRPr="00DE12A3">
        <w:rPr>
          <w:color w:val="auto"/>
          <w:sz w:val="24"/>
          <w:szCs w:val="24"/>
        </w:rPr>
        <w:t xml:space="preserve">Çıkarılan </w:t>
      </w:r>
      <w:r w:rsidR="007E2039" w:rsidRPr="00DE12A3">
        <w:rPr>
          <w:color w:val="auto"/>
          <w:sz w:val="24"/>
          <w:szCs w:val="24"/>
        </w:rPr>
        <w:t xml:space="preserve">partikül </w:t>
      </w:r>
      <w:r w:rsidR="00242DA0" w:rsidRPr="00DE12A3">
        <w:rPr>
          <w:color w:val="auto"/>
          <w:sz w:val="24"/>
          <w:szCs w:val="24"/>
        </w:rPr>
        <w:t xml:space="preserve">sayısı numune akışının ıskartaya çıkarılması durumunda, bu Ek'in 8.1.8.6.1 bendindeki (6-20) </w:t>
      </w:r>
      <w:r w:rsidR="005E1C7E" w:rsidRPr="00DE12A3">
        <w:rPr>
          <w:color w:val="auto"/>
          <w:sz w:val="24"/>
          <w:szCs w:val="24"/>
        </w:rPr>
        <w:t>numaralı</w:t>
      </w:r>
      <w:r w:rsidR="005E1C7E" w:rsidRPr="00DE12A3" w:rsidDel="005E1C7E">
        <w:rPr>
          <w:color w:val="auto"/>
          <w:sz w:val="24"/>
          <w:szCs w:val="24"/>
        </w:rPr>
        <w:t xml:space="preserve"> </w:t>
      </w:r>
      <w:r w:rsidR="00242DA0" w:rsidRPr="00DE12A3">
        <w:rPr>
          <w:color w:val="auto"/>
          <w:sz w:val="24"/>
          <w:szCs w:val="24"/>
        </w:rPr>
        <w:t xml:space="preserve">denklemin yerini (6-29) </w:t>
      </w:r>
      <w:r w:rsidR="005E1C7E" w:rsidRPr="00DE12A3">
        <w:rPr>
          <w:color w:val="auto"/>
          <w:sz w:val="24"/>
          <w:szCs w:val="24"/>
        </w:rPr>
        <w:t>numaralı</w:t>
      </w:r>
      <w:r w:rsidR="005E1C7E" w:rsidRPr="00DE12A3" w:rsidDel="005E1C7E">
        <w:rPr>
          <w:color w:val="auto"/>
          <w:sz w:val="24"/>
          <w:szCs w:val="24"/>
        </w:rPr>
        <w:t xml:space="preserve"> </w:t>
      </w:r>
      <w:r w:rsidR="00242DA0" w:rsidRPr="00DE12A3">
        <w:rPr>
          <w:color w:val="auto"/>
          <w:sz w:val="24"/>
          <w:szCs w:val="24"/>
        </w:rPr>
        <w:t>denklem alır.</w:t>
      </w:r>
    </w:p>
    <w:p w14:paraId="1D2310B7" w14:textId="77777777" w:rsidR="0075455F" w:rsidRPr="00DE12A3" w:rsidRDefault="0075455F" w:rsidP="00C917D6">
      <w:pPr>
        <w:pStyle w:val="Gvdemetni251"/>
        <w:shd w:val="clear" w:color="auto" w:fill="auto"/>
        <w:spacing w:before="120" w:after="120" w:line="240" w:lineRule="auto"/>
        <w:ind w:left="1134" w:hanging="1134"/>
        <w:rPr>
          <w:color w:val="auto"/>
          <w:sz w:val="24"/>
          <w:szCs w:val="24"/>
        </w:rPr>
      </w:pPr>
    </w:p>
    <w:p w14:paraId="6544F054" w14:textId="77777777" w:rsidR="00F864F6" w:rsidRPr="00DE12A3" w:rsidRDefault="00F864F6" w:rsidP="00C917D6">
      <w:pPr>
        <w:pStyle w:val="Gvdemetni251"/>
        <w:shd w:val="clear" w:color="auto" w:fill="auto"/>
        <w:spacing w:before="120" w:after="120" w:line="240" w:lineRule="auto"/>
        <w:ind w:left="1134" w:hanging="1134"/>
        <w:rPr>
          <w:color w:val="auto"/>
          <w:sz w:val="24"/>
          <w:szCs w:val="24"/>
        </w:rPr>
      </w:pPr>
    </w:p>
    <w:p w14:paraId="20C4BB08" w14:textId="77777777" w:rsidR="00F864F6" w:rsidRPr="00DE12A3" w:rsidRDefault="00F864F6" w:rsidP="00C917D6">
      <w:pPr>
        <w:pStyle w:val="Gvdemetni251"/>
        <w:shd w:val="clear" w:color="auto" w:fill="auto"/>
        <w:spacing w:before="120" w:after="120" w:line="240" w:lineRule="auto"/>
        <w:ind w:left="1134" w:hanging="1134"/>
        <w:rPr>
          <w:color w:val="auto"/>
          <w:sz w:val="24"/>
          <w:szCs w:val="24"/>
        </w:rPr>
      </w:pPr>
    </w:p>
    <w:tbl>
      <w:tblPr>
        <w:tblW w:w="0" w:type="auto"/>
        <w:tblInd w:w="2739" w:type="dxa"/>
        <w:tblLayout w:type="fixed"/>
        <w:tblLook w:val="0000" w:firstRow="0" w:lastRow="0" w:firstColumn="0" w:lastColumn="0" w:noHBand="0" w:noVBand="0"/>
      </w:tblPr>
      <w:tblGrid>
        <w:gridCol w:w="2855"/>
        <w:gridCol w:w="952"/>
      </w:tblGrid>
      <w:tr w:rsidR="00DE12A3" w:rsidRPr="00DE12A3" w14:paraId="1C6BFD91" w14:textId="77777777" w:rsidTr="00F864F6">
        <w:tc>
          <w:tcPr>
            <w:tcW w:w="2855" w:type="dxa"/>
          </w:tcPr>
          <w:p w14:paraId="3647E6B1" w14:textId="77777777" w:rsidR="00F864F6" w:rsidRPr="00DE12A3" w:rsidRDefault="00F864F6" w:rsidP="00C917D6">
            <w:pPr>
              <w:pStyle w:val="NormalLeft"/>
            </w:pPr>
            <w:r w:rsidRPr="00DE12A3">
              <w:rPr>
                <w:i/>
                <w:iCs/>
              </w:rPr>
              <w:t>q</w:t>
            </w:r>
            <w:r w:rsidRPr="00DE12A3">
              <w:rPr>
                <w:i/>
                <w:iCs/>
                <w:vertAlign w:val="subscript"/>
              </w:rPr>
              <w:t>mp</w:t>
            </w:r>
            <w:r w:rsidRPr="00DE12A3">
              <w:t xml:space="preserve"> = </w:t>
            </w:r>
            <w:r w:rsidRPr="00DE12A3">
              <w:rPr>
                <w:i/>
                <w:iCs/>
              </w:rPr>
              <w:t>q</w:t>
            </w:r>
            <w:r w:rsidRPr="00DE12A3">
              <w:rPr>
                <w:i/>
                <w:iCs/>
                <w:vertAlign w:val="subscript"/>
              </w:rPr>
              <w:t>mdew</w:t>
            </w:r>
            <w:r w:rsidRPr="00DE12A3">
              <w:t xml:space="preserve"> – </w:t>
            </w:r>
            <w:r w:rsidRPr="00DE12A3">
              <w:rPr>
                <w:i/>
                <w:iCs/>
              </w:rPr>
              <w:t>q</w:t>
            </w:r>
            <w:r w:rsidRPr="00DE12A3">
              <w:rPr>
                <w:i/>
                <w:iCs/>
                <w:vertAlign w:val="subscript"/>
              </w:rPr>
              <w:t>mdw</w:t>
            </w:r>
            <w:r w:rsidRPr="00DE12A3">
              <w:t xml:space="preserve"> + </w:t>
            </w:r>
            <w:r w:rsidRPr="00DE12A3">
              <w:rPr>
                <w:i/>
                <w:iCs/>
              </w:rPr>
              <w:t>q</w:t>
            </w:r>
            <w:r w:rsidRPr="00DE12A3">
              <w:rPr>
                <w:i/>
                <w:iCs/>
                <w:vertAlign w:val="subscript"/>
              </w:rPr>
              <w:t>ex</w:t>
            </w:r>
          </w:p>
        </w:tc>
        <w:tc>
          <w:tcPr>
            <w:tcW w:w="952" w:type="dxa"/>
          </w:tcPr>
          <w:p w14:paraId="7F69E465" w14:textId="77777777" w:rsidR="00F864F6" w:rsidRPr="00DE12A3" w:rsidRDefault="00F864F6" w:rsidP="00C917D6">
            <w:pPr>
              <w:pStyle w:val="NormalLeft"/>
            </w:pPr>
            <w:r w:rsidRPr="00DE12A3">
              <w:t>(6-29)</w:t>
            </w:r>
          </w:p>
        </w:tc>
      </w:tr>
    </w:tbl>
    <w:p w14:paraId="75EB555A" w14:textId="77777777" w:rsidR="002D7B36" w:rsidRPr="00DE12A3" w:rsidRDefault="00242DA0" w:rsidP="00C917D6">
      <w:pPr>
        <w:pStyle w:val="Gvdemetni251"/>
        <w:shd w:val="clear" w:color="auto" w:fill="auto"/>
        <w:spacing w:before="120" w:after="120" w:line="240" w:lineRule="auto"/>
        <w:ind w:left="1134" w:firstLine="0"/>
        <w:rPr>
          <w:color w:val="auto"/>
          <w:sz w:val="24"/>
          <w:szCs w:val="24"/>
        </w:rPr>
      </w:pPr>
      <w:r w:rsidRPr="00DE12A3">
        <w:rPr>
          <w:color w:val="auto"/>
          <w:sz w:val="24"/>
          <w:szCs w:val="24"/>
        </w:rPr>
        <w:lastRenderedPageBreak/>
        <w:t>Burada:</w:t>
      </w:r>
    </w:p>
    <w:p w14:paraId="603647F1" w14:textId="77777777" w:rsidR="002D7B36" w:rsidRPr="00DE12A3" w:rsidRDefault="00242DA0" w:rsidP="00C917D6">
      <w:pPr>
        <w:pStyle w:val="Gvdemetni251"/>
        <w:shd w:val="clear" w:color="auto" w:fill="auto"/>
        <w:tabs>
          <w:tab w:val="left" w:pos="1701"/>
        </w:tabs>
        <w:spacing w:before="120" w:after="120" w:line="240" w:lineRule="auto"/>
        <w:ind w:left="1134" w:firstLine="0"/>
        <w:rPr>
          <w:color w:val="auto"/>
          <w:sz w:val="24"/>
          <w:szCs w:val="24"/>
        </w:rPr>
      </w:pPr>
      <w:r w:rsidRPr="00DE12A3">
        <w:rPr>
          <w:rStyle w:val="Gvdemetni254pttalik0ptbolukbraklyor"/>
          <w:color w:val="auto"/>
          <w:sz w:val="24"/>
          <w:szCs w:val="24"/>
        </w:rPr>
        <w:t>q</w:t>
      </w:r>
      <w:r w:rsidRPr="00DE12A3">
        <w:rPr>
          <w:rStyle w:val="Gvdemetni254pttalik0ptbolukbraklyor"/>
          <w:color w:val="auto"/>
          <w:sz w:val="24"/>
          <w:szCs w:val="24"/>
          <w:vertAlign w:val="subscript"/>
        </w:rPr>
        <w:t>mdew</w:t>
      </w:r>
      <w:r w:rsidRPr="00DE12A3">
        <w:rPr>
          <w:color w:val="auto"/>
          <w:sz w:val="24"/>
          <w:szCs w:val="24"/>
        </w:rPr>
        <w:tab/>
        <w:t>yaş bazda seyreltilmiş egzoz gazı kütle akış hızı, kg/s,</w:t>
      </w:r>
    </w:p>
    <w:p w14:paraId="1D72D845" w14:textId="77777777" w:rsidR="002D7B36" w:rsidRPr="00DE12A3" w:rsidRDefault="00242DA0" w:rsidP="00C917D6">
      <w:pPr>
        <w:pStyle w:val="Gvdemetni251"/>
        <w:shd w:val="clear" w:color="auto" w:fill="auto"/>
        <w:tabs>
          <w:tab w:val="left" w:pos="1701"/>
        </w:tabs>
        <w:spacing w:before="120" w:after="120" w:line="240" w:lineRule="auto"/>
        <w:ind w:left="1134" w:firstLine="0"/>
        <w:rPr>
          <w:color w:val="auto"/>
          <w:sz w:val="24"/>
          <w:szCs w:val="24"/>
        </w:rPr>
      </w:pPr>
      <w:r w:rsidRPr="00DE12A3">
        <w:rPr>
          <w:rStyle w:val="Gvdemetni254pttalik0ptbolukbraklyor"/>
          <w:color w:val="auto"/>
          <w:sz w:val="24"/>
          <w:szCs w:val="24"/>
        </w:rPr>
        <w:t>q</w:t>
      </w:r>
      <w:r w:rsidRPr="00DE12A3">
        <w:rPr>
          <w:rStyle w:val="Gvdemetni254pttalik0ptbolukbraklyor"/>
          <w:color w:val="auto"/>
          <w:sz w:val="24"/>
          <w:szCs w:val="24"/>
          <w:vertAlign w:val="subscript"/>
        </w:rPr>
        <w:t>mdw</w:t>
      </w:r>
      <w:r w:rsidRPr="00DE12A3">
        <w:rPr>
          <w:color w:val="auto"/>
          <w:sz w:val="24"/>
          <w:szCs w:val="24"/>
        </w:rPr>
        <w:tab/>
        <w:t>seyreltme havası kütle akış hızı, kg/s,</w:t>
      </w:r>
    </w:p>
    <w:p w14:paraId="59DFA23C" w14:textId="77777777" w:rsidR="002D7B36" w:rsidRPr="00DE12A3" w:rsidRDefault="00242DA0" w:rsidP="00C917D6">
      <w:pPr>
        <w:pStyle w:val="Gvdemetni251"/>
        <w:shd w:val="clear" w:color="auto" w:fill="auto"/>
        <w:tabs>
          <w:tab w:val="left" w:pos="1701"/>
        </w:tabs>
        <w:spacing w:before="120" w:after="120" w:line="240" w:lineRule="auto"/>
        <w:ind w:left="1134" w:firstLine="0"/>
        <w:rPr>
          <w:color w:val="auto"/>
          <w:sz w:val="24"/>
          <w:szCs w:val="24"/>
        </w:rPr>
      </w:pPr>
      <w:r w:rsidRPr="00DE12A3">
        <w:rPr>
          <w:rStyle w:val="Gvdemetni254pttalik0ptbolukbraklyor"/>
          <w:color w:val="auto"/>
          <w:sz w:val="24"/>
          <w:szCs w:val="24"/>
        </w:rPr>
        <w:t>q</w:t>
      </w:r>
      <w:r w:rsidRPr="00DE12A3">
        <w:rPr>
          <w:rStyle w:val="Gvdemetni254pttalik0ptbolukbraklyor"/>
          <w:color w:val="auto"/>
          <w:sz w:val="24"/>
          <w:szCs w:val="24"/>
          <w:vertAlign w:val="subscript"/>
        </w:rPr>
        <w:t>ex</w:t>
      </w:r>
      <w:r w:rsidRPr="00DE12A3">
        <w:rPr>
          <w:color w:val="auto"/>
          <w:sz w:val="24"/>
          <w:szCs w:val="24"/>
        </w:rPr>
        <w:tab/>
      </w:r>
      <w:r w:rsidR="007E2039" w:rsidRPr="00DE12A3">
        <w:rPr>
          <w:color w:val="auto"/>
          <w:sz w:val="24"/>
          <w:szCs w:val="24"/>
        </w:rPr>
        <w:t xml:space="preserve">partikül </w:t>
      </w:r>
      <w:r w:rsidRPr="00DE12A3">
        <w:rPr>
          <w:color w:val="auto"/>
          <w:sz w:val="24"/>
          <w:szCs w:val="24"/>
        </w:rPr>
        <w:t>sayısı numune kütlesi akış hızı, kg/s.</w:t>
      </w:r>
    </w:p>
    <w:p w14:paraId="735FC976" w14:textId="044F1D0D" w:rsidR="002D7B36" w:rsidRPr="00DE12A3" w:rsidRDefault="00242DA0" w:rsidP="00C917D6">
      <w:pPr>
        <w:pStyle w:val="Gvdemetni251"/>
        <w:shd w:val="clear" w:color="auto" w:fill="auto"/>
        <w:spacing w:before="120" w:after="120" w:line="240" w:lineRule="auto"/>
        <w:ind w:left="1134" w:firstLine="0"/>
        <w:rPr>
          <w:color w:val="auto"/>
          <w:sz w:val="24"/>
          <w:szCs w:val="24"/>
        </w:rPr>
      </w:pPr>
      <w:r w:rsidRPr="00DE12A3">
        <w:rPr>
          <w:color w:val="auto"/>
          <w:sz w:val="24"/>
          <w:szCs w:val="24"/>
        </w:rPr>
        <w:t xml:space="preserve">Kısmi akışlı sistem kontrol cihazına gönderilen </w:t>
      </w:r>
      <w:r w:rsidRPr="00DE12A3">
        <w:rPr>
          <w:i/>
          <w:iCs/>
          <w:color w:val="auto"/>
          <w:sz w:val="24"/>
          <w:szCs w:val="24"/>
        </w:rPr>
        <w:t>q</w:t>
      </w:r>
      <w:r w:rsidRPr="00DE12A3">
        <w:rPr>
          <w:i/>
          <w:iCs/>
          <w:color w:val="auto"/>
          <w:sz w:val="24"/>
          <w:szCs w:val="24"/>
          <w:vertAlign w:val="subscript"/>
        </w:rPr>
        <w:t>ex</w:t>
      </w:r>
      <w:r w:rsidRPr="00DE12A3">
        <w:rPr>
          <w:color w:val="auto"/>
          <w:sz w:val="24"/>
          <w:szCs w:val="24"/>
        </w:rPr>
        <w:t xml:space="preserve"> sinyali, her zaman </w:t>
      </w:r>
      <w:r w:rsidRPr="00DE12A3">
        <w:rPr>
          <w:i/>
          <w:iCs/>
          <w:color w:val="auto"/>
          <w:sz w:val="24"/>
          <w:szCs w:val="24"/>
        </w:rPr>
        <w:t>q</w:t>
      </w:r>
      <w:r w:rsidRPr="00DE12A3">
        <w:rPr>
          <w:i/>
          <w:iCs/>
          <w:color w:val="auto"/>
          <w:sz w:val="24"/>
          <w:szCs w:val="24"/>
          <w:vertAlign w:val="subscript"/>
        </w:rPr>
        <w:t>mdew</w:t>
      </w:r>
      <w:r w:rsidRPr="00DE12A3">
        <w:rPr>
          <w:color w:val="auto"/>
          <w:sz w:val="24"/>
          <w:szCs w:val="24"/>
        </w:rPr>
        <w:t xml:space="preserve"> </w:t>
      </w:r>
      <w:r w:rsidR="00F466F2" w:rsidRPr="00DE12A3">
        <w:rPr>
          <w:color w:val="auto"/>
          <w:sz w:val="24"/>
          <w:szCs w:val="24"/>
        </w:rPr>
        <w:t xml:space="preserve">           </w:t>
      </w:r>
      <w:r w:rsidRPr="00DE12A3">
        <w:rPr>
          <w:color w:val="auto"/>
          <w:sz w:val="24"/>
          <w:szCs w:val="24"/>
        </w:rPr>
        <w:t xml:space="preserve">± </w:t>
      </w:r>
      <w:r w:rsidR="00EC6140" w:rsidRPr="00DE12A3">
        <w:rPr>
          <w:color w:val="auto"/>
          <w:sz w:val="24"/>
          <w:szCs w:val="24"/>
        </w:rPr>
        <w:t>%0,1</w:t>
      </w:r>
      <w:r w:rsidRPr="00DE12A3">
        <w:rPr>
          <w:color w:val="auto"/>
          <w:sz w:val="24"/>
          <w:szCs w:val="24"/>
        </w:rPr>
        <w:t xml:space="preserve"> aralığı içinde doğru olmalı ve en az 1 Hz frekansta gönderilmelidir.</w:t>
      </w:r>
    </w:p>
    <w:p w14:paraId="3CC0A2C3" w14:textId="5AF7B51F" w:rsidR="002D7B36" w:rsidRPr="00DE12A3" w:rsidRDefault="00242DA0" w:rsidP="00E20716">
      <w:pPr>
        <w:pStyle w:val="Gvdemetni251"/>
        <w:numPr>
          <w:ilvl w:val="0"/>
          <w:numId w:val="370"/>
        </w:numPr>
        <w:shd w:val="clear" w:color="auto" w:fill="auto"/>
        <w:spacing w:before="120" w:after="120" w:line="240" w:lineRule="auto"/>
        <w:ind w:left="1701" w:hanging="567"/>
        <w:rPr>
          <w:color w:val="auto"/>
          <w:sz w:val="24"/>
          <w:szCs w:val="24"/>
        </w:rPr>
      </w:pPr>
      <w:r w:rsidRPr="00DE12A3">
        <w:rPr>
          <w:color w:val="auto"/>
          <w:sz w:val="24"/>
          <w:szCs w:val="24"/>
        </w:rPr>
        <w:t xml:space="preserve">Çıkarılan </w:t>
      </w:r>
      <w:r w:rsidR="007E2039" w:rsidRPr="00DE12A3">
        <w:rPr>
          <w:color w:val="auto"/>
          <w:sz w:val="24"/>
          <w:szCs w:val="24"/>
        </w:rPr>
        <w:t xml:space="preserve">partikül </w:t>
      </w:r>
      <w:r w:rsidRPr="00DE12A3">
        <w:rPr>
          <w:color w:val="auto"/>
          <w:sz w:val="24"/>
          <w:szCs w:val="24"/>
        </w:rPr>
        <w:t xml:space="preserve">sayısı numune akışının tamamen veya kısmen ıskartaya çıkarılması, ancak denk bir akışın, akış ölçüm cihazının üstündeki seyreltme sistemine geri beslenmesi durumunda, bu Ek'in 8.1.8.6.1 bendindeki (6-20) </w:t>
      </w:r>
      <w:r w:rsidR="005E1C7E" w:rsidRPr="00DE12A3">
        <w:rPr>
          <w:color w:val="auto"/>
          <w:sz w:val="24"/>
          <w:szCs w:val="24"/>
        </w:rPr>
        <w:t>numaralı</w:t>
      </w:r>
      <w:r w:rsidR="005E1C7E" w:rsidRPr="00DE12A3" w:rsidDel="005E1C7E">
        <w:rPr>
          <w:color w:val="auto"/>
          <w:sz w:val="24"/>
          <w:szCs w:val="24"/>
        </w:rPr>
        <w:t xml:space="preserve"> </w:t>
      </w:r>
      <w:r w:rsidRPr="00DE12A3">
        <w:rPr>
          <w:color w:val="auto"/>
          <w:sz w:val="24"/>
          <w:szCs w:val="24"/>
        </w:rPr>
        <w:t xml:space="preserve">denklemin yerini (6-30) </w:t>
      </w:r>
      <w:r w:rsidR="005E1C7E" w:rsidRPr="00DE12A3">
        <w:rPr>
          <w:color w:val="auto"/>
          <w:sz w:val="24"/>
          <w:szCs w:val="24"/>
        </w:rPr>
        <w:t>numaralı</w:t>
      </w:r>
      <w:r w:rsidRPr="00DE12A3">
        <w:rPr>
          <w:color w:val="auto"/>
          <w:sz w:val="24"/>
          <w:szCs w:val="24"/>
        </w:rPr>
        <w:t xml:space="preserve"> denklem alır:</w:t>
      </w:r>
    </w:p>
    <w:tbl>
      <w:tblPr>
        <w:tblW w:w="0" w:type="auto"/>
        <w:tblInd w:w="2507" w:type="dxa"/>
        <w:tblLayout w:type="fixed"/>
        <w:tblLook w:val="0000" w:firstRow="0" w:lastRow="0" w:firstColumn="0" w:lastColumn="0" w:noHBand="0" w:noVBand="0"/>
      </w:tblPr>
      <w:tblGrid>
        <w:gridCol w:w="3332"/>
        <w:gridCol w:w="940"/>
      </w:tblGrid>
      <w:tr w:rsidR="00DE12A3" w:rsidRPr="00DE12A3" w14:paraId="5B98711C" w14:textId="77777777" w:rsidTr="00513B24">
        <w:tc>
          <w:tcPr>
            <w:tcW w:w="3332" w:type="dxa"/>
          </w:tcPr>
          <w:p w14:paraId="4530E616" w14:textId="77777777" w:rsidR="00513B24" w:rsidRPr="00DE12A3" w:rsidRDefault="00513B24" w:rsidP="00C917D6">
            <w:pPr>
              <w:pStyle w:val="NormalLeft"/>
            </w:pPr>
            <w:r w:rsidRPr="00DE12A3">
              <w:rPr>
                <w:i/>
                <w:iCs/>
              </w:rPr>
              <w:t>q</w:t>
            </w:r>
            <w:r w:rsidRPr="00DE12A3">
              <w:rPr>
                <w:i/>
                <w:iCs/>
                <w:vertAlign w:val="subscript"/>
              </w:rPr>
              <w:t>mp</w:t>
            </w:r>
            <w:r w:rsidRPr="00DE12A3">
              <w:t xml:space="preserve"> = </w:t>
            </w:r>
            <w:r w:rsidRPr="00DE12A3">
              <w:rPr>
                <w:i/>
                <w:iCs/>
              </w:rPr>
              <w:t>q</w:t>
            </w:r>
            <w:r w:rsidRPr="00DE12A3">
              <w:rPr>
                <w:i/>
                <w:iCs/>
                <w:vertAlign w:val="subscript"/>
              </w:rPr>
              <w:t>mdew</w:t>
            </w:r>
            <w:r w:rsidRPr="00DE12A3">
              <w:t xml:space="preserve"> – </w:t>
            </w:r>
            <w:r w:rsidRPr="00DE12A3">
              <w:rPr>
                <w:i/>
                <w:iCs/>
              </w:rPr>
              <w:t>q</w:t>
            </w:r>
            <w:r w:rsidRPr="00DE12A3">
              <w:rPr>
                <w:i/>
                <w:iCs/>
                <w:vertAlign w:val="subscript"/>
              </w:rPr>
              <w:t>mdw</w:t>
            </w:r>
            <w:r w:rsidRPr="00DE12A3">
              <w:t xml:space="preserve"> + </w:t>
            </w:r>
            <w:r w:rsidRPr="00DE12A3">
              <w:rPr>
                <w:i/>
                <w:iCs/>
              </w:rPr>
              <w:t>q</w:t>
            </w:r>
            <w:r w:rsidRPr="00DE12A3">
              <w:rPr>
                <w:i/>
                <w:iCs/>
                <w:vertAlign w:val="subscript"/>
              </w:rPr>
              <w:t>ex</w:t>
            </w:r>
            <w:r w:rsidRPr="00DE12A3">
              <w:t xml:space="preserve"> – </w:t>
            </w:r>
            <w:r w:rsidRPr="00DE12A3">
              <w:rPr>
                <w:i/>
                <w:iCs/>
              </w:rPr>
              <w:t>q</w:t>
            </w:r>
            <w:r w:rsidRPr="00DE12A3">
              <w:rPr>
                <w:i/>
                <w:iCs/>
                <w:vertAlign w:val="subscript"/>
              </w:rPr>
              <w:t>sw</w:t>
            </w:r>
          </w:p>
        </w:tc>
        <w:tc>
          <w:tcPr>
            <w:tcW w:w="940" w:type="dxa"/>
          </w:tcPr>
          <w:p w14:paraId="7FF7AC43" w14:textId="77777777" w:rsidR="00513B24" w:rsidRPr="00DE12A3" w:rsidRDefault="00513B24" w:rsidP="00C917D6">
            <w:pPr>
              <w:pStyle w:val="NormalLeft"/>
            </w:pPr>
            <w:r w:rsidRPr="00DE12A3">
              <w:t>(6-30)</w:t>
            </w:r>
          </w:p>
        </w:tc>
      </w:tr>
    </w:tbl>
    <w:p w14:paraId="0238393C" w14:textId="77777777" w:rsidR="002D7B36" w:rsidRPr="00DE12A3" w:rsidRDefault="00242DA0" w:rsidP="00C917D6">
      <w:pPr>
        <w:pStyle w:val="Gvdemetni251"/>
        <w:shd w:val="clear" w:color="auto" w:fill="auto"/>
        <w:spacing w:before="120" w:after="120" w:line="240" w:lineRule="auto"/>
        <w:ind w:left="1134" w:firstLine="0"/>
        <w:rPr>
          <w:color w:val="auto"/>
          <w:sz w:val="24"/>
          <w:szCs w:val="24"/>
        </w:rPr>
      </w:pPr>
      <w:r w:rsidRPr="00DE12A3">
        <w:rPr>
          <w:color w:val="auto"/>
          <w:sz w:val="24"/>
          <w:szCs w:val="24"/>
        </w:rPr>
        <w:t>Burada:</w:t>
      </w:r>
    </w:p>
    <w:p w14:paraId="41F86227" w14:textId="77777777" w:rsidR="002D7B36" w:rsidRPr="00DE12A3" w:rsidRDefault="00242DA0" w:rsidP="00C917D6">
      <w:pPr>
        <w:tabs>
          <w:tab w:val="left" w:pos="1701"/>
        </w:tabs>
        <w:spacing w:before="120" w:after="120"/>
        <w:ind w:left="1134"/>
        <w:jc w:val="both"/>
        <w:rPr>
          <w:rFonts w:cs="Times New Roman"/>
          <w:color w:val="auto"/>
        </w:rPr>
      </w:pPr>
      <w:r w:rsidRPr="00DE12A3">
        <w:rPr>
          <w:rFonts w:cs="Times New Roman"/>
          <w:i/>
          <w:iCs/>
          <w:color w:val="auto"/>
          <w:spacing w:val="1"/>
        </w:rPr>
        <w:t>q</w:t>
      </w:r>
      <w:r w:rsidRPr="00DE12A3">
        <w:rPr>
          <w:rFonts w:cs="Times New Roman"/>
          <w:i/>
          <w:iCs/>
          <w:color w:val="auto"/>
          <w:spacing w:val="1"/>
          <w:vertAlign w:val="subscript"/>
        </w:rPr>
        <w:t>mdew</w:t>
      </w:r>
      <w:r w:rsidRPr="00DE12A3">
        <w:rPr>
          <w:rFonts w:cs="Times New Roman"/>
          <w:color w:val="auto"/>
          <w:spacing w:val="3"/>
        </w:rPr>
        <w:tab/>
      </w:r>
      <w:r w:rsidRPr="00DE12A3">
        <w:rPr>
          <w:rFonts w:eastAsia="Times New Roman" w:cs="Times New Roman"/>
          <w:color w:val="auto"/>
        </w:rPr>
        <w:t>yaş bazda seyreltilmiş egzoz gazı kütle akış hızı</w:t>
      </w:r>
      <w:r w:rsidRPr="00DE12A3">
        <w:rPr>
          <w:rFonts w:cs="Times New Roman"/>
          <w:color w:val="auto"/>
          <w:spacing w:val="3"/>
        </w:rPr>
        <w:t>, kg/s,</w:t>
      </w:r>
    </w:p>
    <w:p w14:paraId="70DA4437" w14:textId="77777777" w:rsidR="002D7B36" w:rsidRPr="00DE12A3" w:rsidRDefault="00242DA0" w:rsidP="00C917D6">
      <w:pPr>
        <w:tabs>
          <w:tab w:val="left" w:pos="1701"/>
        </w:tabs>
        <w:spacing w:before="120" w:after="120"/>
        <w:ind w:left="1134"/>
        <w:jc w:val="both"/>
        <w:rPr>
          <w:rFonts w:cs="Times New Roman"/>
          <w:color w:val="auto"/>
        </w:rPr>
      </w:pPr>
      <w:r w:rsidRPr="00DE12A3">
        <w:rPr>
          <w:rFonts w:cs="Times New Roman"/>
          <w:i/>
          <w:iCs/>
          <w:color w:val="auto"/>
          <w:spacing w:val="1"/>
        </w:rPr>
        <w:t>q</w:t>
      </w:r>
      <w:r w:rsidRPr="00DE12A3">
        <w:rPr>
          <w:rFonts w:cs="Times New Roman"/>
          <w:i/>
          <w:iCs/>
          <w:color w:val="auto"/>
          <w:spacing w:val="1"/>
          <w:vertAlign w:val="subscript"/>
        </w:rPr>
        <w:t>mdw</w:t>
      </w:r>
      <w:r w:rsidRPr="00DE12A3">
        <w:rPr>
          <w:rFonts w:cs="Times New Roman"/>
          <w:color w:val="auto"/>
          <w:spacing w:val="3"/>
        </w:rPr>
        <w:tab/>
      </w:r>
      <w:r w:rsidRPr="00DE12A3">
        <w:rPr>
          <w:rFonts w:eastAsia="Times New Roman" w:cs="Times New Roman"/>
          <w:color w:val="auto"/>
        </w:rPr>
        <w:t>seyreltme havası kütle akış hızı</w:t>
      </w:r>
      <w:r w:rsidRPr="00DE12A3">
        <w:rPr>
          <w:rFonts w:cs="Times New Roman"/>
          <w:color w:val="auto"/>
          <w:spacing w:val="3"/>
        </w:rPr>
        <w:t>, kg/s,</w:t>
      </w:r>
    </w:p>
    <w:p w14:paraId="0077DEDB" w14:textId="77777777" w:rsidR="002D7B36" w:rsidRPr="00DE12A3" w:rsidRDefault="00242DA0" w:rsidP="00C917D6">
      <w:pPr>
        <w:tabs>
          <w:tab w:val="left" w:pos="1701"/>
        </w:tabs>
        <w:spacing w:before="120" w:after="120"/>
        <w:ind w:left="1134"/>
        <w:jc w:val="both"/>
        <w:rPr>
          <w:rFonts w:cs="Times New Roman"/>
          <w:color w:val="auto"/>
        </w:rPr>
      </w:pPr>
      <w:r w:rsidRPr="00DE12A3">
        <w:rPr>
          <w:rFonts w:cs="Times New Roman"/>
          <w:i/>
          <w:iCs/>
          <w:color w:val="auto"/>
          <w:spacing w:val="1"/>
        </w:rPr>
        <w:t>q</w:t>
      </w:r>
      <w:r w:rsidRPr="00DE12A3">
        <w:rPr>
          <w:rFonts w:cs="Times New Roman"/>
          <w:i/>
          <w:iCs/>
          <w:color w:val="auto"/>
          <w:spacing w:val="1"/>
          <w:vertAlign w:val="subscript"/>
        </w:rPr>
        <w:t>ex</w:t>
      </w:r>
      <w:r w:rsidRPr="00DE12A3">
        <w:rPr>
          <w:rFonts w:cs="Times New Roman"/>
          <w:color w:val="auto"/>
          <w:spacing w:val="3"/>
        </w:rPr>
        <w:tab/>
      </w:r>
      <w:r w:rsidR="007E2039" w:rsidRPr="00DE12A3">
        <w:rPr>
          <w:rFonts w:eastAsia="Times New Roman" w:cs="Times New Roman"/>
          <w:color w:val="auto"/>
        </w:rPr>
        <w:t xml:space="preserve">partikül </w:t>
      </w:r>
      <w:r w:rsidRPr="00DE12A3">
        <w:rPr>
          <w:rFonts w:eastAsia="Times New Roman" w:cs="Times New Roman"/>
          <w:color w:val="auto"/>
        </w:rPr>
        <w:t>sayısı numune kütlesi akış hızı</w:t>
      </w:r>
      <w:r w:rsidRPr="00DE12A3">
        <w:rPr>
          <w:rFonts w:cs="Times New Roman"/>
          <w:color w:val="auto"/>
          <w:spacing w:val="3"/>
        </w:rPr>
        <w:t>, kg/s.</w:t>
      </w:r>
    </w:p>
    <w:p w14:paraId="11AD2831" w14:textId="77777777" w:rsidR="002D7B36" w:rsidRPr="00DE12A3" w:rsidRDefault="00242DA0" w:rsidP="00C917D6">
      <w:pPr>
        <w:pStyle w:val="Gvdemetni251"/>
        <w:shd w:val="clear" w:color="auto" w:fill="auto"/>
        <w:tabs>
          <w:tab w:val="right" w:pos="1846"/>
          <w:tab w:val="right" w:pos="2111"/>
          <w:tab w:val="left" w:pos="2149"/>
        </w:tabs>
        <w:spacing w:before="120" w:after="120" w:line="240" w:lineRule="auto"/>
        <w:ind w:left="1134" w:firstLine="0"/>
        <w:rPr>
          <w:color w:val="auto"/>
          <w:sz w:val="24"/>
          <w:szCs w:val="24"/>
        </w:rPr>
      </w:pPr>
      <w:r w:rsidRPr="00DE12A3">
        <w:rPr>
          <w:rStyle w:val="Gvdemetni254pttalik0ptbolukbraklyor"/>
          <w:color w:val="auto"/>
          <w:sz w:val="24"/>
          <w:szCs w:val="24"/>
        </w:rPr>
        <w:t>q</w:t>
      </w:r>
      <w:r w:rsidRPr="00DE12A3">
        <w:rPr>
          <w:rStyle w:val="Gvdemetni254pttalik0ptbolukbraklyor"/>
          <w:color w:val="auto"/>
          <w:sz w:val="24"/>
          <w:szCs w:val="24"/>
          <w:vertAlign w:val="subscript"/>
        </w:rPr>
        <w:t>sw</w:t>
      </w:r>
      <w:r w:rsidRPr="00DE12A3">
        <w:rPr>
          <w:color w:val="auto"/>
          <w:sz w:val="24"/>
          <w:szCs w:val="24"/>
        </w:rPr>
        <w:tab/>
      </w:r>
      <w:r w:rsidR="007E2039" w:rsidRPr="00DE12A3">
        <w:rPr>
          <w:color w:val="auto"/>
          <w:sz w:val="24"/>
          <w:szCs w:val="24"/>
        </w:rPr>
        <w:t xml:space="preserve">partikül </w:t>
      </w:r>
      <w:r w:rsidRPr="00DE12A3">
        <w:rPr>
          <w:color w:val="auto"/>
          <w:sz w:val="24"/>
          <w:szCs w:val="24"/>
        </w:rPr>
        <w:t>sayısı numune alımını dengelemek için seyreltme tüneline geri beslenen kütle akış hızı, kg/s.</w:t>
      </w:r>
    </w:p>
    <w:p w14:paraId="3AEB8EDC" w14:textId="094F77AD" w:rsidR="002D7B36" w:rsidRPr="00DE12A3" w:rsidRDefault="00242DA0" w:rsidP="00C917D6">
      <w:pPr>
        <w:pStyle w:val="Gvdemetni251"/>
        <w:shd w:val="clear" w:color="auto" w:fill="auto"/>
        <w:spacing w:before="120" w:after="120" w:line="240" w:lineRule="auto"/>
        <w:ind w:left="1134" w:firstLine="0"/>
        <w:rPr>
          <w:color w:val="auto"/>
          <w:sz w:val="24"/>
          <w:szCs w:val="24"/>
        </w:rPr>
      </w:pPr>
      <w:r w:rsidRPr="00DE12A3">
        <w:rPr>
          <w:color w:val="auto"/>
          <w:sz w:val="24"/>
          <w:szCs w:val="24"/>
        </w:rPr>
        <w:t xml:space="preserve">Kısmi akışlı sistem kontrol cihazına gönderilen </w:t>
      </w:r>
      <w:r w:rsidRPr="00DE12A3">
        <w:rPr>
          <w:i/>
          <w:iCs/>
          <w:color w:val="auto"/>
          <w:sz w:val="24"/>
          <w:szCs w:val="24"/>
        </w:rPr>
        <w:t>q</w:t>
      </w:r>
      <w:r w:rsidRPr="00DE12A3">
        <w:rPr>
          <w:i/>
          <w:iCs/>
          <w:color w:val="auto"/>
          <w:sz w:val="24"/>
          <w:szCs w:val="24"/>
          <w:vertAlign w:val="subscript"/>
        </w:rPr>
        <w:t>ex</w:t>
      </w:r>
      <w:r w:rsidRPr="00DE12A3">
        <w:rPr>
          <w:color w:val="auto"/>
          <w:sz w:val="24"/>
          <w:szCs w:val="24"/>
        </w:rPr>
        <w:t xml:space="preserve"> ve </w:t>
      </w:r>
      <w:r w:rsidRPr="00DE12A3">
        <w:rPr>
          <w:i/>
          <w:iCs/>
          <w:color w:val="auto"/>
          <w:sz w:val="24"/>
          <w:szCs w:val="24"/>
        </w:rPr>
        <w:t>q</w:t>
      </w:r>
      <w:r w:rsidRPr="00DE12A3">
        <w:rPr>
          <w:i/>
          <w:iCs/>
          <w:color w:val="auto"/>
          <w:sz w:val="24"/>
          <w:szCs w:val="24"/>
          <w:vertAlign w:val="subscript"/>
        </w:rPr>
        <w:t>sw</w:t>
      </w:r>
      <w:r w:rsidRPr="00DE12A3">
        <w:rPr>
          <w:color w:val="auto"/>
          <w:sz w:val="24"/>
          <w:szCs w:val="24"/>
        </w:rPr>
        <w:t xml:space="preserve"> arasındaki fark, her zaman </w:t>
      </w:r>
      <w:r w:rsidRPr="00DE12A3">
        <w:rPr>
          <w:i/>
          <w:iCs/>
          <w:color w:val="auto"/>
          <w:sz w:val="24"/>
          <w:szCs w:val="24"/>
        </w:rPr>
        <w:t>q</w:t>
      </w:r>
      <w:r w:rsidRPr="00DE12A3">
        <w:rPr>
          <w:i/>
          <w:iCs/>
          <w:color w:val="auto"/>
          <w:sz w:val="24"/>
          <w:szCs w:val="24"/>
          <w:vertAlign w:val="subscript"/>
        </w:rPr>
        <w:t>mdew</w:t>
      </w:r>
      <w:r w:rsidRPr="00DE12A3">
        <w:rPr>
          <w:color w:val="auto"/>
          <w:sz w:val="24"/>
          <w:szCs w:val="24"/>
        </w:rPr>
        <w:t xml:space="preserve"> ± </w:t>
      </w:r>
      <w:r w:rsidR="00F466F2" w:rsidRPr="00DE12A3">
        <w:rPr>
          <w:color w:val="auto"/>
          <w:sz w:val="24"/>
          <w:szCs w:val="24"/>
        </w:rPr>
        <w:t>%0,1</w:t>
      </w:r>
      <w:r w:rsidRPr="00DE12A3">
        <w:rPr>
          <w:color w:val="auto"/>
          <w:sz w:val="24"/>
          <w:szCs w:val="24"/>
        </w:rPr>
        <w:t xml:space="preserve"> aralığı içinde doğru olmalıdır. Sinyal (veya sinyaller) en az 1 Hz frekansla gönderilmelidir.</w:t>
      </w:r>
    </w:p>
    <w:p w14:paraId="79D44F98" w14:textId="77777777" w:rsidR="002D7B36" w:rsidRPr="00DE12A3" w:rsidRDefault="00513B24" w:rsidP="00E20716">
      <w:pPr>
        <w:pStyle w:val="Gvdemetni251"/>
        <w:numPr>
          <w:ilvl w:val="2"/>
          <w:numId w:val="369"/>
        </w:numPr>
        <w:shd w:val="clear" w:color="auto" w:fill="auto"/>
        <w:spacing w:before="120" w:after="120" w:line="240" w:lineRule="auto"/>
        <w:ind w:left="1134" w:hanging="1134"/>
        <w:rPr>
          <w:color w:val="auto"/>
          <w:sz w:val="24"/>
          <w:szCs w:val="24"/>
        </w:rPr>
      </w:pPr>
      <w:r w:rsidRPr="00DE12A3">
        <w:rPr>
          <w:color w:val="auto"/>
          <w:sz w:val="24"/>
          <w:szCs w:val="24"/>
        </w:rPr>
        <w:t xml:space="preserve">       </w:t>
      </w:r>
      <w:r w:rsidR="00242DA0" w:rsidRPr="00DE12A3">
        <w:rPr>
          <w:color w:val="auto"/>
          <w:sz w:val="24"/>
          <w:szCs w:val="24"/>
        </w:rPr>
        <w:t>PM ölçümünün düzeltilmesi</w:t>
      </w:r>
    </w:p>
    <w:p w14:paraId="60FE6F41" w14:textId="6BEC3F0D" w:rsidR="002D7B36" w:rsidRPr="00DE12A3" w:rsidRDefault="00513B24" w:rsidP="00C917D6">
      <w:pPr>
        <w:pStyle w:val="Gvdemetni251"/>
        <w:shd w:val="clear" w:color="auto" w:fill="auto"/>
        <w:spacing w:before="120" w:after="120" w:line="240" w:lineRule="auto"/>
        <w:ind w:left="1134" w:hanging="1134"/>
        <w:rPr>
          <w:color w:val="auto"/>
          <w:sz w:val="24"/>
          <w:szCs w:val="24"/>
        </w:rPr>
      </w:pPr>
      <w:r w:rsidRPr="00DE12A3">
        <w:rPr>
          <w:color w:val="auto"/>
          <w:sz w:val="24"/>
          <w:szCs w:val="24"/>
        </w:rPr>
        <w:t xml:space="preserve">                  </w:t>
      </w:r>
      <w:r w:rsidR="00242DA0" w:rsidRPr="00DE12A3">
        <w:rPr>
          <w:color w:val="auto"/>
          <w:sz w:val="24"/>
          <w:szCs w:val="24"/>
        </w:rPr>
        <w:t xml:space="preserve">Bir </w:t>
      </w:r>
      <w:r w:rsidR="007E2039" w:rsidRPr="00DE12A3">
        <w:rPr>
          <w:color w:val="auto"/>
          <w:sz w:val="24"/>
          <w:szCs w:val="24"/>
        </w:rPr>
        <w:t xml:space="preserve">partikül </w:t>
      </w:r>
      <w:r w:rsidR="00242DA0" w:rsidRPr="00DE12A3">
        <w:rPr>
          <w:color w:val="auto"/>
          <w:sz w:val="24"/>
          <w:szCs w:val="24"/>
        </w:rPr>
        <w:t xml:space="preserve">sayısı numune akışı, bir toplam örnekleme kısmi akışlı seyreltme sisteminden alındığında, </w:t>
      </w:r>
      <w:r w:rsidR="00FA0678" w:rsidRPr="00DE12A3">
        <w:rPr>
          <w:color w:val="auto"/>
          <w:sz w:val="24"/>
          <w:szCs w:val="24"/>
        </w:rPr>
        <w:t>VII’nci ek</w:t>
      </w:r>
      <w:r w:rsidR="00242DA0" w:rsidRPr="00DE12A3">
        <w:rPr>
          <w:color w:val="auto"/>
          <w:sz w:val="24"/>
          <w:szCs w:val="24"/>
        </w:rPr>
        <w:t xml:space="preserve">in 2.3.1.1 bendinde hesaplanan </w:t>
      </w:r>
      <w:r w:rsidR="007E2039" w:rsidRPr="00DE12A3">
        <w:rPr>
          <w:color w:val="auto"/>
          <w:sz w:val="24"/>
          <w:szCs w:val="24"/>
        </w:rPr>
        <w:t xml:space="preserve">partikül </w:t>
      </w:r>
      <w:r w:rsidR="00242DA0" w:rsidRPr="00DE12A3">
        <w:rPr>
          <w:color w:val="auto"/>
          <w:sz w:val="24"/>
          <w:szCs w:val="24"/>
        </w:rPr>
        <w:t xml:space="preserve">kütlesi (mPM), alınan akışı hesaba katacak şekilde aşağıdaki gibi düzeltilmelidir. Bu düzeltme, (6-31) </w:t>
      </w:r>
      <w:r w:rsidR="005E1C7E" w:rsidRPr="00DE12A3">
        <w:rPr>
          <w:color w:val="auto"/>
          <w:sz w:val="24"/>
          <w:szCs w:val="24"/>
        </w:rPr>
        <w:t>numaralı</w:t>
      </w:r>
      <w:r w:rsidR="005E1C7E" w:rsidRPr="00DE12A3" w:rsidDel="005E1C7E">
        <w:rPr>
          <w:color w:val="auto"/>
          <w:sz w:val="24"/>
          <w:szCs w:val="24"/>
        </w:rPr>
        <w:t xml:space="preserve"> </w:t>
      </w:r>
      <w:r w:rsidR="00242DA0" w:rsidRPr="00DE12A3">
        <w:rPr>
          <w:color w:val="auto"/>
          <w:sz w:val="24"/>
          <w:szCs w:val="24"/>
        </w:rPr>
        <w:t>denklemde belirtildiği gibi filtrelenmiş alınan akışın kısmi akışlı seyreltme sistemlerine geri beslenmesi durumunda bile gereklidir:</w:t>
      </w:r>
    </w:p>
    <w:tbl>
      <w:tblPr>
        <w:tblW w:w="6566" w:type="dxa"/>
        <w:jc w:val="center"/>
        <w:tblLayout w:type="fixed"/>
        <w:tblLook w:val="0000" w:firstRow="0" w:lastRow="0" w:firstColumn="0" w:lastColumn="0" w:noHBand="0" w:noVBand="0"/>
      </w:tblPr>
      <w:tblGrid>
        <w:gridCol w:w="5121"/>
        <w:gridCol w:w="1445"/>
      </w:tblGrid>
      <w:tr w:rsidR="00DE12A3" w:rsidRPr="00DE12A3" w14:paraId="72F02547" w14:textId="77777777" w:rsidTr="00513B24">
        <w:trPr>
          <w:trHeight w:val="1096"/>
          <w:jc w:val="center"/>
        </w:trPr>
        <w:tc>
          <w:tcPr>
            <w:tcW w:w="5121" w:type="dxa"/>
          </w:tcPr>
          <w:p w14:paraId="1BFF0654" w14:textId="00C3C591" w:rsidR="00513B24" w:rsidRPr="00DE12A3" w:rsidRDefault="00513B24" w:rsidP="00C917D6">
            <w:pPr>
              <w:pStyle w:val="NormalLeft"/>
            </w:pPr>
            <w:r w:rsidRPr="00DE12A3">
              <w:rPr>
                <w:noProof/>
                <w:lang w:val="tr-TR"/>
              </w:rPr>
              <w:drawing>
                <wp:inline distT="0" distB="0" distL="0" distR="0" wp14:anchorId="26DDE015" wp14:editId="7C9E6357">
                  <wp:extent cx="2924761" cy="603885"/>
                  <wp:effectExtent l="0" t="0" r="9525" b="5715"/>
                  <wp:docPr id="21" name="Resim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2935321" cy="606065"/>
                          </a:xfrm>
                          <a:prstGeom prst="rect">
                            <a:avLst/>
                          </a:prstGeom>
                          <a:noFill/>
                          <a:ln>
                            <a:noFill/>
                          </a:ln>
                        </pic:spPr>
                      </pic:pic>
                    </a:graphicData>
                  </a:graphic>
                </wp:inline>
              </w:drawing>
            </w:r>
          </w:p>
        </w:tc>
        <w:tc>
          <w:tcPr>
            <w:tcW w:w="1445" w:type="dxa"/>
          </w:tcPr>
          <w:p w14:paraId="21A285B5" w14:textId="77777777" w:rsidR="00513B24" w:rsidRPr="00DE12A3" w:rsidRDefault="00513B24" w:rsidP="00C917D6">
            <w:pPr>
              <w:pStyle w:val="NormalLeft"/>
            </w:pPr>
            <w:r w:rsidRPr="00DE12A3">
              <w:t>(6-31)</w:t>
            </w:r>
          </w:p>
        </w:tc>
      </w:tr>
    </w:tbl>
    <w:p w14:paraId="01D2FB4D" w14:textId="77777777" w:rsidR="002D7B36" w:rsidRPr="00DE12A3" w:rsidRDefault="00242DA0" w:rsidP="00C917D6">
      <w:pPr>
        <w:pStyle w:val="Gvdemetni251"/>
        <w:spacing w:before="120" w:after="120" w:line="240" w:lineRule="auto"/>
        <w:ind w:left="1134" w:firstLine="0"/>
        <w:rPr>
          <w:color w:val="auto"/>
          <w:sz w:val="24"/>
          <w:szCs w:val="24"/>
        </w:rPr>
      </w:pPr>
      <w:r w:rsidRPr="00DE12A3">
        <w:rPr>
          <w:color w:val="auto"/>
          <w:sz w:val="24"/>
          <w:szCs w:val="24"/>
        </w:rPr>
        <w:t>Burada:</w:t>
      </w:r>
    </w:p>
    <w:p w14:paraId="15FF58AC" w14:textId="1CA6BE9C" w:rsidR="002D7B36" w:rsidRPr="00DE12A3" w:rsidRDefault="00242DA0" w:rsidP="00C917D6">
      <w:pPr>
        <w:pStyle w:val="Gvdemetni251"/>
        <w:spacing w:before="120" w:after="120" w:line="240" w:lineRule="auto"/>
        <w:ind w:left="1134" w:firstLine="0"/>
        <w:rPr>
          <w:color w:val="auto"/>
          <w:sz w:val="24"/>
          <w:szCs w:val="24"/>
        </w:rPr>
      </w:pPr>
      <w:r w:rsidRPr="00DE12A3">
        <w:rPr>
          <w:rStyle w:val="Gvdemetni254pttalik0ptbolukbraklyor"/>
          <w:color w:val="auto"/>
          <w:sz w:val="24"/>
          <w:szCs w:val="24"/>
        </w:rPr>
        <w:t>m</w:t>
      </w:r>
      <w:r w:rsidRPr="00DE12A3">
        <w:rPr>
          <w:rStyle w:val="Gvdemetni254pttalik0ptbolukbraklyor"/>
          <w:color w:val="auto"/>
          <w:sz w:val="24"/>
          <w:szCs w:val="24"/>
          <w:vertAlign w:val="subscript"/>
        </w:rPr>
        <w:t>PM</w:t>
      </w:r>
      <w:r w:rsidRPr="00DE12A3">
        <w:rPr>
          <w:color w:val="auto"/>
          <w:sz w:val="24"/>
          <w:szCs w:val="24"/>
        </w:rPr>
        <w:tab/>
      </w:r>
      <w:r w:rsidR="00FA0678" w:rsidRPr="00DE12A3">
        <w:rPr>
          <w:color w:val="auto"/>
          <w:sz w:val="24"/>
          <w:szCs w:val="24"/>
        </w:rPr>
        <w:t xml:space="preserve">VII’nci </w:t>
      </w:r>
      <w:r w:rsidR="00590D92" w:rsidRPr="00DE12A3">
        <w:rPr>
          <w:color w:val="auto"/>
          <w:sz w:val="24"/>
          <w:szCs w:val="24"/>
        </w:rPr>
        <w:t>E</w:t>
      </w:r>
      <w:r w:rsidR="00FA0678" w:rsidRPr="00DE12A3">
        <w:rPr>
          <w:color w:val="auto"/>
          <w:sz w:val="24"/>
          <w:szCs w:val="24"/>
        </w:rPr>
        <w:t>k</w:t>
      </w:r>
      <w:r w:rsidRPr="00DE12A3">
        <w:rPr>
          <w:color w:val="auto"/>
          <w:sz w:val="24"/>
          <w:szCs w:val="24"/>
        </w:rPr>
        <w:t>in 2.3.1.1 bendi uyarınca belirlenen parçacıkların kütlesi, g/test,</w:t>
      </w:r>
    </w:p>
    <w:p w14:paraId="7FF96B97" w14:textId="77777777" w:rsidR="002D7B36" w:rsidRPr="00DE12A3" w:rsidRDefault="00242DA0" w:rsidP="00C917D6">
      <w:pPr>
        <w:pStyle w:val="Gvdemetni251"/>
        <w:tabs>
          <w:tab w:val="right" w:pos="5662"/>
        </w:tabs>
        <w:spacing w:before="120" w:after="120" w:line="240" w:lineRule="auto"/>
        <w:ind w:left="1134" w:firstLine="0"/>
        <w:rPr>
          <w:color w:val="auto"/>
          <w:sz w:val="24"/>
          <w:szCs w:val="24"/>
        </w:rPr>
      </w:pPr>
      <w:r w:rsidRPr="00DE12A3">
        <w:rPr>
          <w:rStyle w:val="Gvdemetni254pttalik0ptbolukbraklyor"/>
          <w:color w:val="auto"/>
          <w:sz w:val="24"/>
          <w:szCs w:val="24"/>
        </w:rPr>
        <w:t>m</w:t>
      </w:r>
      <w:r w:rsidRPr="00DE12A3">
        <w:rPr>
          <w:rStyle w:val="Gvdemetni254pttalik0ptbolukbraklyor"/>
          <w:color w:val="auto"/>
          <w:sz w:val="24"/>
          <w:szCs w:val="24"/>
          <w:vertAlign w:val="subscript"/>
        </w:rPr>
        <w:t>sed</w:t>
      </w:r>
      <w:r w:rsidRPr="00DE12A3">
        <w:rPr>
          <w:color w:val="auto"/>
          <w:sz w:val="24"/>
          <w:szCs w:val="24"/>
        </w:rPr>
        <w:tab/>
        <w:t>seyreltme tünelinden geçen toplam seyreltilmiş egzoz gazı kütlesi, kg,</w:t>
      </w:r>
    </w:p>
    <w:p w14:paraId="1EA17E09" w14:textId="77777777" w:rsidR="002D7B36" w:rsidRPr="00DE12A3" w:rsidRDefault="00242DA0" w:rsidP="00C917D6">
      <w:pPr>
        <w:pStyle w:val="Gvdemetni251"/>
        <w:tabs>
          <w:tab w:val="right" w:pos="5662"/>
        </w:tabs>
        <w:spacing w:before="120" w:after="120" w:line="240" w:lineRule="auto"/>
        <w:ind w:left="1134" w:firstLine="0"/>
        <w:rPr>
          <w:color w:val="auto"/>
          <w:sz w:val="24"/>
          <w:szCs w:val="24"/>
        </w:rPr>
      </w:pPr>
      <w:r w:rsidRPr="00DE12A3">
        <w:rPr>
          <w:rStyle w:val="Gvdemetni254pttalik0ptbolukbraklyor"/>
          <w:color w:val="auto"/>
          <w:sz w:val="24"/>
          <w:szCs w:val="24"/>
        </w:rPr>
        <w:t>m</w:t>
      </w:r>
      <w:r w:rsidRPr="00DE12A3">
        <w:rPr>
          <w:rStyle w:val="Gvdemetni254pttalik0ptbolukbraklyor"/>
          <w:color w:val="auto"/>
          <w:sz w:val="24"/>
          <w:szCs w:val="24"/>
          <w:vertAlign w:val="subscript"/>
        </w:rPr>
        <w:t>ex</w:t>
      </w:r>
      <w:r w:rsidRPr="00DE12A3">
        <w:rPr>
          <w:color w:val="auto"/>
          <w:sz w:val="24"/>
          <w:szCs w:val="24"/>
        </w:rPr>
        <w:tab/>
      </w:r>
      <w:r w:rsidR="007E2039" w:rsidRPr="00DE12A3">
        <w:rPr>
          <w:color w:val="auto"/>
          <w:sz w:val="24"/>
          <w:szCs w:val="24"/>
        </w:rPr>
        <w:t xml:space="preserve">partikül </w:t>
      </w:r>
      <w:r w:rsidRPr="00DE12A3">
        <w:rPr>
          <w:color w:val="auto"/>
          <w:sz w:val="24"/>
          <w:szCs w:val="24"/>
        </w:rPr>
        <w:t>sayısı örneklemesi için seyreltme tünelinden alınan seyreltilmiş egzoz gazının toplam kütlesi, kg.</w:t>
      </w:r>
    </w:p>
    <w:p w14:paraId="346CF49D" w14:textId="77777777" w:rsidR="00513B24" w:rsidRPr="00DE12A3" w:rsidRDefault="00513B24" w:rsidP="00C917D6">
      <w:pPr>
        <w:pStyle w:val="Gvdemetni251"/>
        <w:tabs>
          <w:tab w:val="right" w:pos="5662"/>
        </w:tabs>
        <w:spacing w:before="120" w:after="120" w:line="240" w:lineRule="auto"/>
        <w:ind w:left="1134" w:firstLine="0"/>
        <w:rPr>
          <w:color w:val="auto"/>
          <w:sz w:val="24"/>
          <w:szCs w:val="24"/>
        </w:rPr>
      </w:pPr>
    </w:p>
    <w:p w14:paraId="52F1009A" w14:textId="77777777" w:rsidR="002D7B36" w:rsidRPr="00DE12A3" w:rsidRDefault="00513B24" w:rsidP="00E20716">
      <w:pPr>
        <w:pStyle w:val="Gvdemetni251"/>
        <w:numPr>
          <w:ilvl w:val="2"/>
          <w:numId w:val="369"/>
        </w:numPr>
        <w:tabs>
          <w:tab w:val="left" w:pos="851"/>
        </w:tabs>
        <w:spacing w:before="120" w:after="120" w:line="240" w:lineRule="auto"/>
        <w:ind w:left="1134" w:hanging="1134"/>
        <w:rPr>
          <w:color w:val="auto"/>
          <w:sz w:val="24"/>
          <w:szCs w:val="24"/>
        </w:rPr>
      </w:pPr>
      <w:r w:rsidRPr="00DE12A3">
        <w:rPr>
          <w:color w:val="auto"/>
          <w:sz w:val="24"/>
          <w:szCs w:val="24"/>
        </w:rPr>
        <w:t xml:space="preserve">    </w:t>
      </w:r>
      <w:r w:rsidR="00242DA0" w:rsidRPr="00DE12A3">
        <w:rPr>
          <w:color w:val="auto"/>
          <w:sz w:val="24"/>
          <w:szCs w:val="24"/>
        </w:rPr>
        <w:t>Kısmi akışlı seyreltme örneklemesinin orantılılığı</w:t>
      </w:r>
    </w:p>
    <w:p w14:paraId="02B0FE6C" w14:textId="2FA71AD6" w:rsidR="002D7B36" w:rsidRPr="00DE12A3" w:rsidRDefault="00513B24" w:rsidP="00C917D6">
      <w:pPr>
        <w:pStyle w:val="Gvdemetni251"/>
        <w:tabs>
          <w:tab w:val="left" w:pos="938"/>
          <w:tab w:val="left" w:pos="988"/>
          <w:tab w:val="center" w:pos="4482"/>
          <w:tab w:val="center" w:pos="4490"/>
          <w:tab w:val="center" w:pos="5087"/>
          <w:tab w:val="right" w:pos="5662"/>
        </w:tabs>
        <w:spacing w:before="120" w:after="120" w:line="240" w:lineRule="auto"/>
        <w:ind w:left="1134" w:hanging="1134"/>
        <w:rPr>
          <w:color w:val="auto"/>
          <w:sz w:val="24"/>
          <w:szCs w:val="24"/>
        </w:rPr>
      </w:pPr>
      <w:r w:rsidRPr="00DE12A3">
        <w:rPr>
          <w:color w:val="auto"/>
          <w:sz w:val="24"/>
          <w:szCs w:val="24"/>
        </w:rPr>
        <w:t xml:space="preserve">                 </w:t>
      </w:r>
      <w:r w:rsidR="00242DA0" w:rsidRPr="00DE12A3">
        <w:rPr>
          <w:color w:val="auto"/>
          <w:sz w:val="24"/>
          <w:szCs w:val="24"/>
        </w:rPr>
        <w:t xml:space="preserve"> </w:t>
      </w:r>
      <w:r w:rsidR="007E2039" w:rsidRPr="00DE12A3">
        <w:rPr>
          <w:color w:val="auto"/>
          <w:sz w:val="24"/>
          <w:szCs w:val="24"/>
        </w:rPr>
        <w:t xml:space="preserve">Partikül </w:t>
      </w:r>
      <w:r w:rsidR="00242DA0" w:rsidRPr="00DE12A3">
        <w:rPr>
          <w:color w:val="auto"/>
          <w:sz w:val="24"/>
          <w:szCs w:val="24"/>
        </w:rPr>
        <w:t xml:space="preserve">sayısı ölçümü için, </w:t>
      </w:r>
      <w:r w:rsidR="00FA0678" w:rsidRPr="00DE12A3">
        <w:rPr>
          <w:color w:val="auto"/>
          <w:sz w:val="24"/>
          <w:szCs w:val="24"/>
        </w:rPr>
        <w:t xml:space="preserve">VII’nci </w:t>
      </w:r>
      <w:r w:rsidR="00590D92" w:rsidRPr="00DE12A3">
        <w:rPr>
          <w:color w:val="auto"/>
          <w:sz w:val="24"/>
          <w:szCs w:val="24"/>
        </w:rPr>
        <w:t>E</w:t>
      </w:r>
      <w:r w:rsidR="00FA0678" w:rsidRPr="00DE12A3">
        <w:rPr>
          <w:color w:val="auto"/>
          <w:sz w:val="24"/>
          <w:szCs w:val="24"/>
        </w:rPr>
        <w:t>k</w:t>
      </w:r>
      <w:r w:rsidR="00242DA0" w:rsidRPr="00DE12A3">
        <w:rPr>
          <w:color w:val="auto"/>
          <w:sz w:val="24"/>
          <w:szCs w:val="24"/>
        </w:rPr>
        <w:t xml:space="preserve">in 2.1.6.1 ila 2.1.6.4 bentlerinde belirtilen yöntemlerden herhangi birine göre belirlenen egzoz gazı kütle akış hızı, egzoz gazı kütle akış hızı ile orantılı bir numune almak üzere kısmi akışlı seyreltme </w:t>
      </w:r>
      <w:r w:rsidR="00242DA0" w:rsidRPr="00DE12A3">
        <w:rPr>
          <w:color w:val="auto"/>
          <w:sz w:val="24"/>
          <w:szCs w:val="24"/>
        </w:rPr>
        <w:lastRenderedPageBreak/>
        <w:t>sistemini kontrol etmek için kullanılır.</w:t>
      </w:r>
      <w:r w:rsidR="00242DA0" w:rsidRPr="00DE12A3">
        <w:rPr>
          <w:rFonts w:eastAsia="Courier New"/>
          <w:color w:val="auto"/>
          <w:spacing w:val="0"/>
          <w:sz w:val="24"/>
          <w:szCs w:val="24"/>
        </w:rPr>
        <w:t xml:space="preserve"> Orantılılık kalitesi, bu Ek'in 8.2.1.2 bendi uyarınca numune ve egzoz gazı akışı arasında bir regresyon analizi uygulanarak kontrol edilmelidir.</w:t>
      </w:r>
    </w:p>
    <w:p w14:paraId="5B1D2CFB" w14:textId="77777777" w:rsidR="002D7B36" w:rsidRPr="00DE12A3" w:rsidRDefault="00513B24" w:rsidP="00E20716">
      <w:pPr>
        <w:pStyle w:val="Gvdemetni251"/>
        <w:numPr>
          <w:ilvl w:val="2"/>
          <w:numId w:val="369"/>
        </w:numPr>
        <w:spacing w:before="120" w:after="120" w:line="240" w:lineRule="auto"/>
        <w:ind w:left="1134" w:hanging="1134"/>
        <w:rPr>
          <w:color w:val="auto"/>
          <w:sz w:val="24"/>
          <w:szCs w:val="24"/>
        </w:rPr>
      </w:pPr>
      <w:r w:rsidRPr="00DE12A3">
        <w:rPr>
          <w:color w:val="auto"/>
          <w:sz w:val="24"/>
          <w:szCs w:val="24"/>
        </w:rPr>
        <w:t xml:space="preserve">       </w:t>
      </w:r>
      <w:r w:rsidR="007E2039" w:rsidRPr="00DE12A3">
        <w:rPr>
          <w:color w:val="auto"/>
          <w:sz w:val="24"/>
          <w:szCs w:val="24"/>
        </w:rPr>
        <w:t xml:space="preserve">Partikül </w:t>
      </w:r>
      <w:r w:rsidR="00242DA0" w:rsidRPr="00DE12A3">
        <w:rPr>
          <w:color w:val="auto"/>
          <w:sz w:val="24"/>
          <w:szCs w:val="24"/>
        </w:rPr>
        <w:t>sayısı hesaplaması</w:t>
      </w:r>
    </w:p>
    <w:p w14:paraId="0953786C" w14:textId="596CEC33" w:rsidR="002D7B36" w:rsidRPr="00DE12A3" w:rsidRDefault="00513B24" w:rsidP="00C917D6">
      <w:pPr>
        <w:pStyle w:val="Gvdemetni251"/>
        <w:spacing w:before="120" w:after="120" w:line="240" w:lineRule="auto"/>
        <w:ind w:left="1134" w:hanging="1134"/>
        <w:rPr>
          <w:color w:val="auto"/>
          <w:sz w:val="24"/>
          <w:szCs w:val="24"/>
        </w:rPr>
      </w:pPr>
      <w:r w:rsidRPr="00DE12A3">
        <w:rPr>
          <w:color w:val="auto"/>
          <w:sz w:val="24"/>
          <w:szCs w:val="24"/>
        </w:rPr>
        <w:t xml:space="preserve">                  </w:t>
      </w:r>
      <w:r w:rsidR="00242DA0" w:rsidRPr="00DE12A3">
        <w:rPr>
          <w:color w:val="auto"/>
          <w:sz w:val="24"/>
          <w:szCs w:val="24"/>
        </w:rPr>
        <w:t xml:space="preserve">PN'nin belirlenmesi ve hesaplanması, </w:t>
      </w:r>
      <w:r w:rsidR="00FA0678" w:rsidRPr="00DE12A3">
        <w:rPr>
          <w:color w:val="auto"/>
          <w:sz w:val="24"/>
          <w:szCs w:val="24"/>
        </w:rPr>
        <w:t xml:space="preserve">VII’nci </w:t>
      </w:r>
      <w:r w:rsidR="003C361A" w:rsidRPr="00DE12A3">
        <w:rPr>
          <w:color w:val="auto"/>
          <w:sz w:val="24"/>
          <w:szCs w:val="24"/>
        </w:rPr>
        <w:t>E</w:t>
      </w:r>
      <w:r w:rsidR="00FA0678" w:rsidRPr="00DE12A3">
        <w:rPr>
          <w:color w:val="auto"/>
          <w:sz w:val="24"/>
          <w:szCs w:val="24"/>
        </w:rPr>
        <w:t>k</w:t>
      </w:r>
      <w:r w:rsidR="00242DA0" w:rsidRPr="00DE12A3">
        <w:rPr>
          <w:color w:val="auto"/>
          <w:sz w:val="24"/>
          <w:szCs w:val="24"/>
        </w:rPr>
        <w:t xml:space="preserve">in </w:t>
      </w:r>
      <w:r w:rsidR="00CD23C3" w:rsidRPr="00DE12A3">
        <w:rPr>
          <w:color w:val="auto"/>
          <w:sz w:val="24"/>
          <w:szCs w:val="24"/>
        </w:rPr>
        <w:t>5. Açıklayıcı Ek</w:t>
      </w:r>
      <w:r w:rsidR="00242DA0" w:rsidRPr="00DE12A3">
        <w:rPr>
          <w:color w:val="auto"/>
          <w:sz w:val="24"/>
          <w:szCs w:val="24"/>
        </w:rPr>
        <w:t>inde belirtilmiştir.</w:t>
      </w:r>
    </w:p>
    <w:p w14:paraId="623F8C8B" w14:textId="77777777" w:rsidR="002D7B36" w:rsidRPr="00DE12A3" w:rsidRDefault="002D7B36" w:rsidP="00E20716">
      <w:pPr>
        <w:pStyle w:val="ListeParagraf"/>
        <w:numPr>
          <w:ilvl w:val="0"/>
          <w:numId w:val="371"/>
        </w:numPr>
        <w:tabs>
          <w:tab w:val="left" w:pos="770"/>
        </w:tabs>
        <w:spacing w:before="120" w:after="120"/>
        <w:ind w:left="1134" w:hanging="1134"/>
        <w:contextualSpacing w:val="0"/>
        <w:jc w:val="both"/>
        <w:rPr>
          <w:rFonts w:eastAsia="Times New Roman" w:cs="Times New Roman"/>
          <w:vanish/>
          <w:color w:val="auto"/>
          <w:spacing w:val="3"/>
        </w:rPr>
      </w:pPr>
    </w:p>
    <w:p w14:paraId="3AFF8B03" w14:textId="77777777" w:rsidR="002D7B36" w:rsidRPr="00DE12A3" w:rsidRDefault="00513B24" w:rsidP="00E20716">
      <w:pPr>
        <w:pStyle w:val="Gvdemetni251"/>
        <w:numPr>
          <w:ilvl w:val="0"/>
          <w:numId w:val="371"/>
        </w:numPr>
        <w:shd w:val="clear" w:color="auto" w:fill="auto"/>
        <w:spacing w:before="120" w:after="120" w:line="240" w:lineRule="auto"/>
        <w:ind w:left="1134" w:hanging="1134"/>
        <w:rPr>
          <w:b/>
          <w:color w:val="auto"/>
          <w:sz w:val="24"/>
          <w:szCs w:val="24"/>
        </w:rPr>
      </w:pPr>
      <w:r w:rsidRPr="00DE12A3">
        <w:rPr>
          <w:b/>
          <w:color w:val="auto"/>
          <w:sz w:val="24"/>
          <w:szCs w:val="24"/>
        </w:rPr>
        <w:t xml:space="preserve">      </w:t>
      </w:r>
      <w:r w:rsidR="00242DA0" w:rsidRPr="00DE12A3">
        <w:rPr>
          <w:b/>
          <w:color w:val="auto"/>
          <w:sz w:val="24"/>
          <w:szCs w:val="24"/>
        </w:rPr>
        <w:t>Ölçüm ekipmanları</w:t>
      </w:r>
    </w:p>
    <w:p w14:paraId="7884B5BF" w14:textId="77777777" w:rsidR="002D7B36" w:rsidRPr="00DE12A3" w:rsidRDefault="00513B24" w:rsidP="00E20716">
      <w:pPr>
        <w:pStyle w:val="Gvdemetni251"/>
        <w:numPr>
          <w:ilvl w:val="0"/>
          <w:numId w:val="372"/>
        </w:numPr>
        <w:shd w:val="clear" w:color="auto" w:fill="auto"/>
        <w:tabs>
          <w:tab w:val="left" w:pos="770"/>
        </w:tabs>
        <w:spacing w:before="120" w:after="120" w:line="240" w:lineRule="auto"/>
        <w:ind w:left="1134" w:hanging="1134"/>
        <w:rPr>
          <w:color w:val="auto"/>
          <w:sz w:val="24"/>
          <w:szCs w:val="24"/>
        </w:rPr>
      </w:pPr>
      <w:r w:rsidRPr="00DE12A3">
        <w:rPr>
          <w:color w:val="auto"/>
          <w:sz w:val="24"/>
          <w:szCs w:val="24"/>
        </w:rPr>
        <w:t xml:space="preserve">     </w:t>
      </w:r>
      <w:r w:rsidR="00242DA0" w:rsidRPr="00DE12A3">
        <w:rPr>
          <w:color w:val="auto"/>
          <w:sz w:val="24"/>
          <w:szCs w:val="24"/>
        </w:rPr>
        <w:t>Şartname</w:t>
      </w:r>
    </w:p>
    <w:p w14:paraId="163D616B" w14:textId="77777777" w:rsidR="002D7B36" w:rsidRPr="00DE12A3" w:rsidRDefault="00513B24" w:rsidP="00E20716">
      <w:pPr>
        <w:pStyle w:val="Gvdemetni251"/>
        <w:numPr>
          <w:ilvl w:val="0"/>
          <w:numId w:val="373"/>
        </w:numPr>
        <w:shd w:val="clear" w:color="auto" w:fill="auto"/>
        <w:tabs>
          <w:tab w:val="left" w:pos="770"/>
        </w:tabs>
        <w:spacing w:before="120" w:after="120" w:line="240" w:lineRule="auto"/>
        <w:ind w:left="1134" w:hanging="1134"/>
        <w:rPr>
          <w:color w:val="auto"/>
          <w:sz w:val="24"/>
          <w:szCs w:val="24"/>
        </w:rPr>
      </w:pPr>
      <w:r w:rsidRPr="00DE12A3">
        <w:rPr>
          <w:color w:val="auto"/>
          <w:sz w:val="24"/>
          <w:szCs w:val="24"/>
        </w:rPr>
        <w:t xml:space="preserve">     </w:t>
      </w:r>
      <w:r w:rsidR="00242DA0" w:rsidRPr="00DE12A3">
        <w:rPr>
          <w:color w:val="auto"/>
          <w:sz w:val="24"/>
          <w:szCs w:val="24"/>
        </w:rPr>
        <w:t>Sistem özeti</w:t>
      </w:r>
    </w:p>
    <w:p w14:paraId="4BCEF141" w14:textId="77777777" w:rsidR="002D7B36" w:rsidRPr="00DE12A3" w:rsidRDefault="00513B24" w:rsidP="00E20716">
      <w:pPr>
        <w:pStyle w:val="Gvdemetni251"/>
        <w:numPr>
          <w:ilvl w:val="0"/>
          <w:numId w:val="374"/>
        </w:numPr>
        <w:shd w:val="clear" w:color="auto" w:fill="auto"/>
        <w:tabs>
          <w:tab w:val="left" w:pos="770"/>
        </w:tabs>
        <w:spacing w:before="120" w:after="120" w:line="240" w:lineRule="auto"/>
        <w:ind w:left="1134" w:hanging="1134"/>
        <w:rPr>
          <w:color w:val="auto"/>
          <w:sz w:val="24"/>
          <w:szCs w:val="24"/>
        </w:rPr>
      </w:pPr>
      <w:r w:rsidRPr="00DE12A3">
        <w:rPr>
          <w:color w:val="auto"/>
          <w:sz w:val="24"/>
          <w:szCs w:val="24"/>
        </w:rPr>
        <w:t xml:space="preserve">     </w:t>
      </w:r>
      <w:r w:rsidR="007E2039" w:rsidRPr="00DE12A3">
        <w:rPr>
          <w:color w:val="auto"/>
          <w:sz w:val="24"/>
          <w:szCs w:val="24"/>
        </w:rPr>
        <w:t xml:space="preserve">Partikül </w:t>
      </w:r>
      <w:r w:rsidR="00242DA0" w:rsidRPr="00DE12A3">
        <w:rPr>
          <w:color w:val="auto"/>
          <w:sz w:val="24"/>
          <w:szCs w:val="24"/>
        </w:rPr>
        <w:t xml:space="preserve">örnekleme sistemi, bu Ek'in 9.2.2 veya 9.2.3 bentlerinde açıklandığı gibi bir seyreltme sisteminde homojen bir şekilde karıştırılmış bir akıştan bir numune alan bir sonda veya örnekleme noktasından, bir </w:t>
      </w:r>
      <w:r w:rsidR="007E2039" w:rsidRPr="00DE12A3">
        <w:rPr>
          <w:color w:val="auto"/>
          <w:sz w:val="24"/>
          <w:szCs w:val="24"/>
        </w:rPr>
        <w:t xml:space="preserve">partikül </w:t>
      </w:r>
      <w:r w:rsidR="00242DA0" w:rsidRPr="00DE12A3">
        <w:rPr>
          <w:color w:val="auto"/>
          <w:sz w:val="24"/>
          <w:szCs w:val="24"/>
        </w:rPr>
        <w:t xml:space="preserve">sayısı sayacının (PNC) giriş tarafındaki bir uçucu </w:t>
      </w:r>
      <w:r w:rsidR="007E2039" w:rsidRPr="00DE12A3">
        <w:rPr>
          <w:color w:val="auto"/>
          <w:sz w:val="24"/>
          <w:szCs w:val="24"/>
        </w:rPr>
        <w:t xml:space="preserve">partikül </w:t>
      </w:r>
      <w:r w:rsidR="00242DA0" w:rsidRPr="00DE12A3">
        <w:rPr>
          <w:color w:val="auto"/>
          <w:sz w:val="24"/>
          <w:szCs w:val="24"/>
        </w:rPr>
        <w:t>gidericiden (VPR) ve uygun aktarma borusundan oluşur.</w:t>
      </w:r>
    </w:p>
    <w:p w14:paraId="5D0A2AF8" w14:textId="63206944" w:rsidR="002D7B36" w:rsidRPr="00DE12A3" w:rsidRDefault="00513B24" w:rsidP="00E20716">
      <w:pPr>
        <w:pStyle w:val="Gvdemetni251"/>
        <w:numPr>
          <w:ilvl w:val="0"/>
          <w:numId w:val="374"/>
        </w:numPr>
        <w:shd w:val="clear" w:color="auto" w:fill="auto"/>
        <w:tabs>
          <w:tab w:val="left" w:pos="770"/>
          <w:tab w:val="center" w:pos="2386"/>
          <w:tab w:val="right" w:pos="5677"/>
        </w:tabs>
        <w:spacing w:before="120" w:after="120" w:line="240" w:lineRule="auto"/>
        <w:ind w:left="1134" w:hanging="1134"/>
        <w:rPr>
          <w:color w:val="auto"/>
          <w:sz w:val="24"/>
          <w:szCs w:val="24"/>
        </w:rPr>
      </w:pPr>
      <w:r w:rsidRPr="00DE12A3">
        <w:rPr>
          <w:color w:val="auto"/>
          <w:sz w:val="24"/>
          <w:szCs w:val="24"/>
        </w:rPr>
        <w:t xml:space="preserve">       </w:t>
      </w:r>
      <w:r w:rsidR="00242DA0" w:rsidRPr="00DE12A3">
        <w:rPr>
          <w:color w:val="auto"/>
          <w:sz w:val="24"/>
          <w:szCs w:val="24"/>
        </w:rPr>
        <w:t xml:space="preserve">VPR girişinden önce bir </w:t>
      </w:r>
      <w:r w:rsidR="007E2039" w:rsidRPr="00DE12A3">
        <w:rPr>
          <w:color w:val="auto"/>
          <w:sz w:val="24"/>
          <w:szCs w:val="24"/>
        </w:rPr>
        <w:t xml:space="preserve">partikül </w:t>
      </w:r>
      <w:r w:rsidR="00242DA0" w:rsidRPr="00DE12A3">
        <w:rPr>
          <w:color w:val="auto"/>
          <w:sz w:val="24"/>
          <w:szCs w:val="24"/>
        </w:rPr>
        <w:t>boyutu ön sınıflandırıcısının (</w:t>
      </w:r>
      <w:r w:rsidR="005B014A" w:rsidRPr="00DE12A3">
        <w:rPr>
          <w:color w:val="auto"/>
          <w:sz w:val="24"/>
          <w:szCs w:val="24"/>
        </w:rPr>
        <w:t>örneğin</w:t>
      </w:r>
      <w:r w:rsidR="00242DA0" w:rsidRPr="00DE12A3">
        <w:rPr>
          <w:color w:val="auto"/>
          <w:sz w:val="24"/>
          <w:szCs w:val="24"/>
        </w:rPr>
        <w:t xml:space="preserve"> siklon, ayrıştırıcı</w:t>
      </w:r>
      <w:r w:rsidR="00CB4BBD" w:rsidRPr="00DE12A3">
        <w:rPr>
          <w:color w:val="auto"/>
          <w:sz w:val="24"/>
          <w:szCs w:val="24"/>
        </w:rPr>
        <w:t xml:space="preserve"> ve benzeri</w:t>
      </w:r>
      <w:r w:rsidR="00242DA0" w:rsidRPr="00DE12A3">
        <w:rPr>
          <w:color w:val="auto"/>
          <w:sz w:val="24"/>
          <w:szCs w:val="24"/>
        </w:rPr>
        <w:t xml:space="preserve">) yerleştirilmesi tavsiye edilir. Ancak, Şekil 6.8'de gösterildiği gibi, uygun bir boyut sınıflandırma cihazı olarak işlev gören bir numune sondası, bir </w:t>
      </w:r>
      <w:r w:rsidR="007E2039" w:rsidRPr="00DE12A3">
        <w:rPr>
          <w:color w:val="auto"/>
          <w:sz w:val="24"/>
          <w:szCs w:val="24"/>
        </w:rPr>
        <w:t xml:space="preserve">partikül </w:t>
      </w:r>
      <w:r w:rsidR="00242DA0" w:rsidRPr="00DE12A3">
        <w:rPr>
          <w:color w:val="auto"/>
          <w:sz w:val="24"/>
          <w:szCs w:val="24"/>
        </w:rPr>
        <w:t xml:space="preserve">boyutu ön sınıflandırıcısı kullanımına karşı kabul edilebilir bir alternatiftir. Kısmi akışlı seyreltme sistemleri söz konusu olduğunda, </w:t>
      </w:r>
      <w:r w:rsidR="007E2039" w:rsidRPr="00DE12A3">
        <w:rPr>
          <w:color w:val="auto"/>
          <w:sz w:val="24"/>
          <w:szCs w:val="24"/>
        </w:rPr>
        <w:t xml:space="preserve">partikül </w:t>
      </w:r>
      <w:r w:rsidR="00242DA0" w:rsidRPr="00DE12A3">
        <w:rPr>
          <w:color w:val="auto"/>
          <w:sz w:val="24"/>
          <w:szCs w:val="24"/>
        </w:rPr>
        <w:t xml:space="preserve">kütle numunesi ve </w:t>
      </w:r>
      <w:r w:rsidR="007E2039" w:rsidRPr="00DE12A3">
        <w:rPr>
          <w:color w:val="auto"/>
          <w:sz w:val="24"/>
          <w:szCs w:val="24"/>
        </w:rPr>
        <w:t xml:space="preserve">partikül </w:t>
      </w:r>
      <w:r w:rsidR="00242DA0" w:rsidRPr="00DE12A3">
        <w:rPr>
          <w:color w:val="auto"/>
          <w:sz w:val="24"/>
          <w:szCs w:val="24"/>
        </w:rPr>
        <w:t xml:space="preserve">sayısı örneklemesi için aynı ön-sınıflandırıcının kullanılması, </w:t>
      </w:r>
      <w:r w:rsidR="007E2039" w:rsidRPr="00DE12A3">
        <w:rPr>
          <w:color w:val="auto"/>
          <w:sz w:val="24"/>
          <w:szCs w:val="24"/>
        </w:rPr>
        <w:t xml:space="preserve">partikül </w:t>
      </w:r>
      <w:r w:rsidR="00242DA0" w:rsidRPr="00DE12A3">
        <w:rPr>
          <w:color w:val="auto"/>
          <w:sz w:val="24"/>
          <w:szCs w:val="24"/>
        </w:rPr>
        <w:t xml:space="preserve">sayısı numunesinin ön-sınıflandırıcının çıkış tarafındaki seyreltme sisteminden alınması kabul edilebilir. Alternatif olarak, </w:t>
      </w:r>
      <w:r w:rsidR="007E2039" w:rsidRPr="00DE12A3">
        <w:rPr>
          <w:color w:val="auto"/>
          <w:sz w:val="24"/>
          <w:szCs w:val="24"/>
        </w:rPr>
        <w:t xml:space="preserve">partikül </w:t>
      </w:r>
      <w:r w:rsidR="00242DA0" w:rsidRPr="00DE12A3">
        <w:rPr>
          <w:color w:val="auto"/>
          <w:sz w:val="24"/>
          <w:szCs w:val="24"/>
        </w:rPr>
        <w:t xml:space="preserve">sayısı numunesini </w:t>
      </w:r>
      <w:r w:rsidR="007E2039" w:rsidRPr="00DE12A3">
        <w:rPr>
          <w:color w:val="auto"/>
          <w:sz w:val="24"/>
          <w:szCs w:val="24"/>
        </w:rPr>
        <w:t xml:space="preserve">partikül </w:t>
      </w:r>
      <w:r w:rsidR="00242DA0" w:rsidRPr="00DE12A3">
        <w:rPr>
          <w:color w:val="auto"/>
          <w:sz w:val="24"/>
          <w:szCs w:val="24"/>
        </w:rPr>
        <w:t>kütlesi ön-sınıflandırıcısının giriş tarafındaki seyreltme sisteminden almak suretiyle ayrı ön sınıflandırıcılar kullanılabilir.</w:t>
      </w:r>
    </w:p>
    <w:p w14:paraId="6A1F5C8F" w14:textId="77777777" w:rsidR="002D7B36" w:rsidRPr="00DE12A3" w:rsidRDefault="00513B24" w:rsidP="00E20716">
      <w:pPr>
        <w:pStyle w:val="Gvdemetni251"/>
        <w:numPr>
          <w:ilvl w:val="0"/>
          <w:numId w:val="373"/>
        </w:numPr>
        <w:shd w:val="clear" w:color="auto" w:fill="auto"/>
        <w:tabs>
          <w:tab w:val="left" w:pos="770"/>
        </w:tabs>
        <w:spacing w:before="120" w:after="120" w:line="240" w:lineRule="auto"/>
        <w:ind w:left="1134" w:hanging="1134"/>
        <w:rPr>
          <w:color w:val="auto"/>
          <w:sz w:val="24"/>
          <w:szCs w:val="24"/>
        </w:rPr>
      </w:pPr>
      <w:r w:rsidRPr="00DE12A3">
        <w:rPr>
          <w:color w:val="auto"/>
          <w:sz w:val="24"/>
          <w:szCs w:val="24"/>
        </w:rPr>
        <w:t xml:space="preserve">      </w:t>
      </w:r>
      <w:r w:rsidR="00242DA0" w:rsidRPr="00DE12A3">
        <w:rPr>
          <w:color w:val="auto"/>
          <w:sz w:val="24"/>
          <w:szCs w:val="24"/>
        </w:rPr>
        <w:t>Genel şartlar</w:t>
      </w:r>
    </w:p>
    <w:p w14:paraId="502ECC70" w14:textId="77777777" w:rsidR="002D7B36" w:rsidRPr="00DE12A3" w:rsidRDefault="00513B24" w:rsidP="00E20716">
      <w:pPr>
        <w:pStyle w:val="Gvdemetni251"/>
        <w:numPr>
          <w:ilvl w:val="0"/>
          <w:numId w:val="375"/>
        </w:numPr>
        <w:shd w:val="clear" w:color="auto" w:fill="auto"/>
        <w:tabs>
          <w:tab w:val="left" w:pos="770"/>
          <w:tab w:val="left" w:pos="788"/>
          <w:tab w:val="left" w:pos="2323"/>
          <w:tab w:val="left" w:pos="3890"/>
          <w:tab w:val="right" w:pos="5118"/>
          <w:tab w:val="right" w:pos="5677"/>
        </w:tabs>
        <w:spacing w:before="120" w:after="120" w:line="240" w:lineRule="auto"/>
        <w:ind w:left="1134" w:hanging="1134"/>
        <w:rPr>
          <w:color w:val="auto"/>
          <w:sz w:val="24"/>
          <w:szCs w:val="24"/>
        </w:rPr>
      </w:pPr>
      <w:r w:rsidRPr="00DE12A3">
        <w:rPr>
          <w:color w:val="auto"/>
          <w:sz w:val="24"/>
          <w:szCs w:val="24"/>
        </w:rPr>
        <w:t xml:space="preserve">      </w:t>
      </w:r>
      <w:r w:rsidR="007E2039" w:rsidRPr="00DE12A3">
        <w:rPr>
          <w:color w:val="auto"/>
          <w:sz w:val="24"/>
          <w:szCs w:val="24"/>
        </w:rPr>
        <w:t xml:space="preserve">Partikül </w:t>
      </w:r>
      <w:r w:rsidR="00242DA0" w:rsidRPr="00DE12A3">
        <w:rPr>
          <w:color w:val="auto"/>
          <w:sz w:val="24"/>
          <w:szCs w:val="24"/>
        </w:rPr>
        <w:t>örnekleme noktası bir seyreltme sisteminin içinde bulunmalıdır.</w:t>
      </w:r>
    </w:p>
    <w:p w14:paraId="2E65D382" w14:textId="77777777" w:rsidR="002D7B36" w:rsidRPr="00DE12A3" w:rsidRDefault="00513B24" w:rsidP="00C917D6">
      <w:pPr>
        <w:pStyle w:val="Gvdemetni251"/>
        <w:shd w:val="clear" w:color="auto" w:fill="auto"/>
        <w:spacing w:before="120" w:after="120" w:line="240" w:lineRule="auto"/>
        <w:ind w:left="1134" w:hanging="1134"/>
        <w:rPr>
          <w:color w:val="auto"/>
          <w:sz w:val="24"/>
          <w:szCs w:val="24"/>
        </w:rPr>
      </w:pPr>
      <w:r w:rsidRPr="00DE12A3">
        <w:rPr>
          <w:color w:val="auto"/>
          <w:sz w:val="24"/>
          <w:szCs w:val="24"/>
        </w:rPr>
        <w:t xml:space="preserve">                  </w:t>
      </w:r>
      <w:r w:rsidR="00242DA0" w:rsidRPr="00DE12A3">
        <w:rPr>
          <w:color w:val="auto"/>
          <w:sz w:val="24"/>
          <w:szCs w:val="24"/>
        </w:rPr>
        <w:t xml:space="preserve">Örnekleme sondası ucu veya </w:t>
      </w:r>
      <w:r w:rsidR="007E2039" w:rsidRPr="00DE12A3">
        <w:rPr>
          <w:color w:val="auto"/>
          <w:sz w:val="24"/>
          <w:szCs w:val="24"/>
        </w:rPr>
        <w:t xml:space="preserve">partikül </w:t>
      </w:r>
      <w:r w:rsidR="00242DA0" w:rsidRPr="00DE12A3">
        <w:rPr>
          <w:color w:val="auto"/>
          <w:sz w:val="24"/>
          <w:szCs w:val="24"/>
        </w:rPr>
        <w:t xml:space="preserve">örnekleme noktası ve </w:t>
      </w:r>
      <w:r w:rsidR="007E2039" w:rsidRPr="00DE12A3">
        <w:rPr>
          <w:color w:val="auto"/>
          <w:sz w:val="24"/>
          <w:szCs w:val="24"/>
        </w:rPr>
        <w:t xml:space="preserve">partikül </w:t>
      </w:r>
      <w:r w:rsidR="00242DA0" w:rsidRPr="00DE12A3">
        <w:rPr>
          <w:color w:val="auto"/>
          <w:sz w:val="24"/>
          <w:szCs w:val="24"/>
        </w:rPr>
        <w:t xml:space="preserve">aktarım borusu (PTT), birlikte </w:t>
      </w:r>
      <w:r w:rsidR="007E2039" w:rsidRPr="00DE12A3">
        <w:rPr>
          <w:color w:val="auto"/>
          <w:sz w:val="24"/>
          <w:szCs w:val="24"/>
        </w:rPr>
        <w:t xml:space="preserve">partikül </w:t>
      </w:r>
      <w:r w:rsidR="00242DA0" w:rsidRPr="00DE12A3">
        <w:rPr>
          <w:color w:val="auto"/>
          <w:sz w:val="24"/>
          <w:szCs w:val="24"/>
        </w:rPr>
        <w:t>aktarım sistemini (PTS) oluşturur. PTS, numuneyi seyreltme tünelinden VPR girişine iletir. PTS aşağıdaki koşulları sağlamalıdır:</w:t>
      </w:r>
    </w:p>
    <w:p w14:paraId="136FEE82" w14:textId="6D7352C2" w:rsidR="002D7B36" w:rsidRPr="00DE12A3" w:rsidRDefault="00513B24" w:rsidP="00C917D6">
      <w:pPr>
        <w:pStyle w:val="Gvdemetni251"/>
        <w:shd w:val="clear" w:color="auto" w:fill="auto"/>
        <w:tabs>
          <w:tab w:val="left" w:pos="2323"/>
        </w:tabs>
        <w:spacing w:before="120" w:after="120" w:line="240" w:lineRule="auto"/>
        <w:ind w:left="1134" w:hanging="1134"/>
        <w:rPr>
          <w:color w:val="auto"/>
          <w:sz w:val="24"/>
          <w:szCs w:val="24"/>
        </w:rPr>
      </w:pPr>
      <w:r w:rsidRPr="00DE12A3">
        <w:rPr>
          <w:color w:val="auto"/>
          <w:sz w:val="24"/>
          <w:szCs w:val="24"/>
        </w:rPr>
        <w:t xml:space="preserve">                  </w:t>
      </w:r>
      <w:r w:rsidR="00242DA0" w:rsidRPr="00DE12A3">
        <w:rPr>
          <w:color w:val="auto"/>
          <w:sz w:val="24"/>
          <w:szCs w:val="24"/>
        </w:rPr>
        <w:t>Tam akışlı seyreltme sistemleri ve (bu Ek'in 9.2.3 bendinde açıklanan) ayırımlı örnekleme tipi kısmi akışlı seyreltme sistemleri durumunda, örnekleme sondası, tünel merkez hattının yakınında, gaz girişinin 10 ila 20 tünel çapı çıkış tarafına, uçtaki ekseni söz konusu seyreltme t</w:t>
      </w:r>
      <w:r w:rsidR="00CB4BBD" w:rsidRPr="00DE12A3">
        <w:rPr>
          <w:color w:val="auto"/>
          <w:sz w:val="24"/>
          <w:szCs w:val="24"/>
        </w:rPr>
        <w:t>ü</w:t>
      </w:r>
      <w:r w:rsidR="00242DA0" w:rsidRPr="00DE12A3">
        <w:rPr>
          <w:color w:val="auto"/>
          <w:sz w:val="24"/>
          <w:szCs w:val="24"/>
        </w:rPr>
        <w:t>neline paralel olarak, tünel gaz akışının içine giriş tarafına doğru bakar halde yerleştirilir. Örnekleme sondası, seyreltme sistemi içinde homojen bir seyreltici/egzoz gazı karışımından numune alınacak şekilde yerleştirilmelidir.</w:t>
      </w:r>
    </w:p>
    <w:p w14:paraId="481DA141" w14:textId="77777777" w:rsidR="002D7B36" w:rsidRPr="00DE12A3" w:rsidRDefault="00513B24" w:rsidP="00C917D6">
      <w:pPr>
        <w:pStyle w:val="Gvdemetni251"/>
        <w:shd w:val="clear" w:color="auto" w:fill="auto"/>
        <w:spacing w:before="120" w:after="120" w:line="240" w:lineRule="auto"/>
        <w:ind w:left="1134" w:hanging="1134"/>
        <w:rPr>
          <w:color w:val="auto"/>
          <w:sz w:val="24"/>
          <w:szCs w:val="24"/>
        </w:rPr>
      </w:pPr>
      <w:r w:rsidRPr="00DE12A3">
        <w:rPr>
          <w:color w:val="auto"/>
          <w:sz w:val="24"/>
          <w:szCs w:val="24"/>
        </w:rPr>
        <w:t xml:space="preserve">                  </w:t>
      </w:r>
      <w:r w:rsidR="00242DA0" w:rsidRPr="00DE12A3">
        <w:rPr>
          <w:color w:val="auto"/>
          <w:sz w:val="24"/>
          <w:szCs w:val="24"/>
        </w:rPr>
        <w:t xml:space="preserve">Toplam örnekleme tipi kısmi akışlı seyreltme sistemleri (bu Ek'in 9.2.3. bendinde açıklandığı gibi) durumunda, </w:t>
      </w:r>
      <w:r w:rsidR="007E2039" w:rsidRPr="00DE12A3">
        <w:rPr>
          <w:color w:val="auto"/>
          <w:sz w:val="24"/>
          <w:szCs w:val="24"/>
        </w:rPr>
        <w:t xml:space="preserve">partikül </w:t>
      </w:r>
      <w:r w:rsidR="00242DA0" w:rsidRPr="00DE12A3">
        <w:rPr>
          <w:color w:val="auto"/>
          <w:sz w:val="24"/>
          <w:szCs w:val="24"/>
        </w:rPr>
        <w:t xml:space="preserve">örnekleme noktası ya da örnekleme sondası, </w:t>
      </w:r>
      <w:r w:rsidR="007E2039" w:rsidRPr="00DE12A3">
        <w:rPr>
          <w:color w:val="auto"/>
          <w:sz w:val="24"/>
          <w:szCs w:val="24"/>
        </w:rPr>
        <w:t xml:space="preserve">partikül </w:t>
      </w:r>
      <w:r w:rsidR="00242DA0" w:rsidRPr="00DE12A3">
        <w:rPr>
          <w:color w:val="auto"/>
          <w:sz w:val="24"/>
          <w:szCs w:val="24"/>
        </w:rPr>
        <w:t xml:space="preserve">filtre tutucusu, akış ölçüm cihazı ve herhangi bir numune/bypass çatallanma noktası öncesindeki </w:t>
      </w:r>
      <w:r w:rsidR="007E2039" w:rsidRPr="00DE12A3">
        <w:rPr>
          <w:color w:val="auto"/>
          <w:sz w:val="24"/>
          <w:szCs w:val="24"/>
        </w:rPr>
        <w:t xml:space="preserve">partikül </w:t>
      </w:r>
      <w:r w:rsidR="00242DA0" w:rsidRPr="00DE12A3">
        <w:rPr>
          <w:color w:val="auto"/>
          <w:sz w:val="24"/>
          <w:szCs w:val="24"/>
        </w:rPr>
        <w:t xml:space="preserve">aktarım borusunun içine yerleştirilmelidir. Örnekleme noktası veya örnekleme sondası, homojen bir seyreltici/egzoz gazı karışımından numune alınacak şekilde konumlandırılmalıdır. </w:t>
      </w:r>
      <w:r w:rsidR="007E2039" w:rsidRPr="00DE12A3">
        <w:rPr>
          <w:color w:val="auto"/>
          <w:sz w:val="24"/>
          <w:szCs w:val="24"/>
        </w:rPr>
        <w:t xml:space="preserve">Partikül </w:t>
      </w:r>
      <w:r w:rsidR="00242DA0" w:rsidRPr="00DE12A3">
        <w:rPr>
          <w:color w:val="auto"/>
          <w:sz w:val="24"/>
          <w:szCs w:val="24"/>
        </w:rPr>
        <w:t>örnekleme sondasının boyutları, kısmi akışlı seyreltme sisteminin çalışmasını engellemeyecek şekilde boyutlandırılmalıdır.</w:t>
      </w:r>
    </w:p>
    <w:p w14:paraId="33C02503" w14:textId="77777777" w:rsidR="002D7B36" w:rsidRPr="00DE12A3" w:rsidRDefault="00513B24" w:rsidP="00C917D6">
      <w:pPr>
        <w:pStyle w:val="Gvdemetni251"/>
        <w:shd w:val="clear" w:color="auto" w:fill="auto"/>
        <w:spacing w:before="120" w:after="120" w:line="240" w:lineRule="auto"/>
        <w:ind w:left="1134" w:hanging="1134"/>
        <w:rPr>
          <w:color w:val="auto"/>
          <w:sz w:val="24"/>
          <w:szCs w:val="24"/>
        </w:rPr>
      </w:pPr>
      <w:r w:rsidRPr="00DE12A3">
        <w:rPr>
          <w:color w:val="auto"/>
          <w:sz w:val="24"/>
          <w:szCs w:val="24"/>
        </w:rPr>
        <w:t xml:space="preserve">                 </w:t>
      </w:r>
      <w:r w:rsidR="00242DA0" w:rsidRPr="00DE12A3">
        <w:rPr>
          <w:color w:val="auto"/>
          <w:sz w:val="24"/>
          <w:szCs w:val="24"/>
        </w:rPr>
        <w:t>PTS'den çekilen numune gaz aşağıdaki koşulları sağlamalıdır:</w:t>
      </w:r>
    </w:p>
    <w:p w14:paraId="6D58BB3B" w14:textId="7C3ABC62" w:rsidR="002D7B36" w:rsidRPr="00DE12A3" w:rsidRDefault="00513B24" w:rsidP="00E20716">
      <w:pPr>
        <w:pStyle w:val="Gvdemetni251"/>
        <w:numPr>
          <w:ilvl w:val="0"/>
          <w:numId w:val="376"/>
        </w:numPr>
        <w:shd w:val="clear" w:color="auto" w:fill="auto"/>
        <w:spacing w:before="120" w:after="120" w:line="240" w:lineRule="auto"/>
        <w:ind w:left="1701" w:hanging="567"/>
        <w:rPr>
          <w:color w:val="auto"/>
          <w:sz w:val="24"/>
          <w:szCs w:val="24"/>
        </w:rPr>
      </w:pPr>
      <w:r w:rsidRPr="00DE12A3">
        <w:rPr>
          <w:color w:val="auto"/>
          <w:sz w:val="24"/>
          <w:szCs w:val="24"/>
        </w:rPr>
        <w:lastRenderedPageBreak/>
        <w:t xml:space="preserve">    </w:t>
      </w:r>
      <w:r w:rsidR="00242DA0" w:rsidRPr="00DE12A3">
        <w:rPr>
          <w:color w:val="auto"/>
          <w:sz w:val="24"/>
          <w:szCs w:val="24"/>
        </w:rPr>
        <w:t xml:space="preserve">Tam akışlı seyreltme sistemleri söz konusu olduğunda, akış Reynolds sayısı (Re) </w:t>
      </w:r>
      <w:r w:rsidR="00590D92" w:rsidRPr="00DE12A3">
        <w:rPr>
          <w:color w:val="auto"/>
          <w:sz w:val="24"/>
          <w:szCs w:val="24"/>
        </w:rPr>
        <w:t>&lt;1700</w:t>
      </w:r>
      <w:r w:rsidR="00242DA0" w:rsidRPr="00DE12A3">
        <w:rPr>
          <w:color w:val="auto"/>
          <w:sz w:val="24"/>
          <w:szCs w:val="24"/>
        </w:rPr>
        <w:t xml:space="preserve"> olmalıdır</w:t>
      </w:r>
      <w:r w:rsidR="00CB4BBD" w:rsidRPr="00DE12A3">
        <w:rPr>
          <w:color w:val="auto"/>
          <w:sz w:val="24"/>
          <w:szCs w:val="24"/>
        </w:rPr>
        <w:t>.</w:t>
      </w:r>
    </w:p>
    <w:p w14:paraId="0013A9CB" w14:textId="7459E89F" w:rsidR="002D7B36" w:rsidRPr="00DE12A3" w:rsidRDefault="00242DA0" w:rsidP="00E20716">
      <w:pPr>
        <w:pStyle w:val="Gvdemetni251"/>
        <w:numPr>
          <w:ilvl w:val="0"/>
          <w:numId w:val="376"/>
        </w:numPr>
        <w:shd w:val="clear" w:color="auto" w:fill="auto"/>
        <w:spacing w:before="120" w:after="120" w:line="240" w:lineRule="auto"/>
        <w:ind w:left="1701" w:hanging="567"/>
        <w:rPr>
          <w:color w:val="auto"/>
          <w:sz w:val="24"/>
          <w:szCs w:val="24"/>
        </w:rPr>
      </w:pPr>
      <w:r w:rsidRPr="00DE12A3">
        <w:rPr>
          <w:color w:val="auto"/>
          <w:sz w:val="24"/>
          <w:szCs w:val="24"/>
        </w:rPr>
        <w:t xml:space="preserve">Kısmi akışlı seyreltme sistemleri söz konusu olduğunda, PTT'de, yani örnekleme sondası veya noktası sonrasında, akış Reynolds sayısı (Re) </w:t>
      </w:r>
      <w:r w:rsidR="00590D92" w:rsidRPr="00DE12A3">
        <w:rPr>
          <w:color w:val="auto"/>
          <w:sz w:val="24"/>
          <w:szCs w:val="24"/>
        </w:rPr>
        <w:t>&lt;1700</w:t>
      </w:r>
      <w:r w:rsidRPr="00DE12A3">
        <w:rPr>
          <w:color w:val="auto"/>
          <w:sz w:val="24"/>
          <w:szCs w:val="24"/>
        </w:rPr>
        <w:t xml:space="preserve"> olmalıdır</w:t>
      </w:r>
      <w:r w:rsidR="00CB4BBD" w:rsidRPr="00DE12A3">
        <w:rPr>
          <w:color w:val="auto"/>
          <w:sz w:val="24"/>
          <w:szCs w:val="24"/>
        </w:rPr>
        <w:t>.</w:t>
      </w:r>
    </w:p>
    <w:p w14:paraId="0D657ED5" w14:textId="77777777" w:rsidR="002D7B36" w:rsidRPr="00DE12A3" w:rsidRDefault="00242DA0" w:rsidP="00E20716">
      <w:pPr>
        <w:pStyle w:val="Gvdemetni251"/>
        <w:numPr>
          <w:ilvl w:val="0"/>
          <w:numId w:val="376"/>
        </w:numPr>
        <w:tabs>
          <w:tab w:val="left" w:pos="1134"/>
          <w:tab w:val="left" w:pos="1701"/>
          <w:tab w:val="left" w:pos="4394"/>
        </w:tabs>
        <w:spacing w:before="120" w:after="120" w:line="240" w:lineRule="auto"/>
        <w:ind w:left="1701" w:hanging="567"/>
        <w:rPr>
          <w:color w:val="auto"/>
          <w:sz w:val="24"/>
          <w:szCs w:val="24"/>
        </w:rPr>
      </w:pPr>
      <w:r w:rsidRPr="00DE12A3">
        <w:rPr>
          <w:color w:val="auto"/>
          <w:sz w:val="24"/>
          <w:szCs w:val="24"/>
        </w:rPr>
        <w:t xml:space="preserve">PTS'de kalma süresi </w:t>
      </w:r>
      <w:r w:rsidRPr="00DE12A3">
        <w:rPr>
          <w:rFonts w:eastAsia="Courier New"/>
          <w:color w:val="auto"/>
          <w:spacing w:val="0"/>
          <w:sz w:val="24"/>
          <w:szCs w:val="24"/>
        </w:rPr>
        <w:t>≤</w:t>
      </w:r>
      <w:r w:rsidRPr="00DE12A3">
        <w:rPr>
          <w:color w:val="auto"/>
          <w:sz w:val="24"/>
          <w:szCs w:val="24"/>
        </w:rPr>
        <w:t xml:space="preserve"> 3 saniye olmalıdır.</w:t>
      </w:r>
    </w:p>
    <w:p w14:paraId="09BF59B2" w14:textId="77777777" w:rsidR="002D7B36" w:rsidRPr="00DE12A3" w:rsidRDefault="00242DA0" w:rsidP="00E20716">
      <w:pPr>
        <w:pStyle w:val="Gvdemetni251"/>
        <w:numPr>
          <w:ilvl w:val="0"/>
          <w:numId w:val="376"/>
        </w:numPr>
        <w:tabs>
          <w:tab w:val="left" w:pos="1134"/>
          <w:tab w:val="left" w:pos="1418"/>
          <w:tab w:val="left" w:pos="1701"/>
          <w:tab w:val="left" w:pos="4394"/>
          <w:tab w:val="center" w:pos="5249"/>
        </w:tabs>
        <w:spacing w:before="120" w:after="120" w:line="240" w:lineRule="auto"/>
        <w:ind w:left="1701" w:hanging="567"/>
        <w:rPr>
          <w:color w:val="auto"/>
          <w:sz w:val="24"/>
          <w:szCs w:val="24"/>
        </w:rPr>
      </w:pPr>
      <w:r w:rsidRPr="00DE12A3">
        <w:rPr>
          <w:color w:val="auto"/>
          <w:sz w:val="24"/>
          <w:szCs w:val="24"/>
        </w:rPr>
        <w:t xml:space="preserve">PTS için 30 nm'de denk </w:t>
      </w:r>
      <w:r w:rsidR="007E2039" w:rsidRPr="00DE12A3">
        <w:rPr>
          <w:color w:val="auto"/>
          <w:sz w:val="24"/>
          <w:szCs w:val="24"/>
        </w:rPr>
        <w:t xml:space="preserve">partikül </w:t>
      </w:r>
      <w:r w:rsidRPr="00DE12A3">
        <w:rPr>
          <w:color w:val="auto"/>
          <w:sz w:val="24"/>
          <w:szCs w:val="24"/>
        </w:rPr>
        <w:t>penetrasyonunun ispatlanabildiği tüm diğer örnekleme konfigürasyonları kabul edilebilir sayılacaktır.</w:t>
      </w:r>
    </w:p>
    <w:p w14:paraId="0CE0B829" w14:textId="77777777" w:rsidR="002D7B36" w:rsidRPr="00DE12A3" w:rsidRDefault="00513B24" w:rsidP="00E20716">
      <w:pPr>
        <w:pStyle w:val="Gvdemetni251"/>
        <w:numPr>
          <w:ilvl w:val="0"/>
          <w:numId w:val="376"/>
        </w:numPr>
        <w:spacing w:before="120" w:after="120" w:line="240" w:lineRule="auto"/>
        <w:ind w:left="1701" w:hanging="567"/>
        <w:rPr>
          <w:color w:val="auto"/>
          <w:sz w:val="24"/>
          <w:szCs w:val="24"/>
        </w:rPr>
      </w:pPr>
      <w:r w:rsidRPr="00DE12A3">
        <w:rPr>
          <w:color w:val="auto"/>
          <w:sz w:val="24"/>
          <w:szCs w:val="24"/>
        </w:rPr>
        <w:t xml:space="preserve">     </w:t>
      </w:r>
      <w:r w:rsidR="00242DA0" w:rsidRPr="00DE12A3">
        <w:rPr>
          <w:color w:val="auto"/>
          <w:sz w:val="24"/>
          <w:szCs w:val="24"/>
        </w:rPr>
        <w:t>Seyreltilmiş numuneyi VPR'den PNC girişine ileten çıkış borusu (OT) aşağıdaki özelliklere sahip olmalıdır:</w:t>
      </w:r>
    </w:p>
    <w:p w14:paraId="2405AA8C" w14:textId="383E00B1" w:rsidR="002D7B36" w:rsidRPr="00DE12A3" w:rsidRDefault="00513B24" w:rsidP="00E20716">
      <w:pPr>
        <w:pStyle w:val="Gvdemetni251"/>
        <w:numPr>
          <w:ilvl w:val="0"/>
          <w:numId w:val="376"/>
        </w:numPr>
        <w:spacing w:before="120" w:after="120" w:line="240" w:lineRule="auto"/>
        <w:ind w:left="1701" w:hanging="567"/>
        <w:rPr>
          <w:color w:val="auto"/>
          <w:sz w:val="24"/>
          <w:szCs w:val="24"/>
        </w:rPr>
      </w:pPr>
      <w:r w:rsidRPr="00DE12A3">
        <w:rPr>
          <w:rFonts w:eastAsia="Courier New"/>
          <w:color w:val="auto"/>
          <w:spacing w:val="0"/>
          <w:sz w:val="24"/>
          <w:szCs w:val="24"/>
        </w:rPr>
        <w:t xml:space="preserve">     </w:t>
      </w:r>
      <w:r w:rsidR="00242DA0" w:rsidRPr="00DE12A3">
        <w:rPr>
          <w:rFonts w:eastAsia="Courier New"/>
          <w:color w:val="auto"/>
          <w:spacing w:val="0"/>
          <w:sz w:val="24"/>
          <w:szCs w:val="24"/>
        </w:rPr>
        <w:t>≥</w:t>
      </w:r>
      <w:r w:rsidR="00242DA0" w:rsidRPr="00DE12A3">
        <w:rPr>
          <w:color w:val="auto"/>
          <w:sz w:val="24"/>
          <w:szCs w:val="24"/>
        </w:rPr>
        <w:t xml:space="preserve"> 4 mm'lik bir iç çapa sahip olmalıdır</w:t>
      </w:r>
      <w:r w:rsidR="00CB4BBD" w:rsidRPr="00DE12A3">
        <w:rPr>
          <w:color w:val="auto"/>
          <w:sz w:val="24"/>
          <w:szCs w:val="24"/>
        </w:rPr>
        <w:t>.</w:t>
      </w:r>
    </w:p>
    <w:p w14:paraId="086C803E" w14:textId="77777777" w:rsidR="002D7B36" w:rsidRPr="00DE12A3" w:rsidRDefault="00242DA0" w:rsidP="00E20716">
      <w:pPr>
        <w:pStyle w:val="Gvdemetni251"/>
        <w:numPr>
          <w:ilvl w:val="0"/>
          <w:numId w:val="376"/>
        </w:numPr>
        <w:spacing w:before="120" w:after="120" w:line="240" w:lineRule="auto"/>
        <w:ind w:left="1701" w:hanging="567"/>
        <w:rPr>
          <w:color w:val="auto"/>
          <w:sz w:val="24"/>
          <w:szCs w:val="24"/>
        </w:rPr>
      </w:pPr>
      <w:r w:rsidRPr="00DE12A3">
        <w:rPr>
          <w:color w:val="auto"/>
          <w:sz w:val="24"/>
          <w:szCs w:val="24"/>
        </w:rPr>
        <w:t xml:space="preserve">OT içinden Numune Gaz akışı, </w:t>
      </w:r>
      <w:r w:rsidRPr="00DE12A3">
        <w:rPr>
          <w:rFonts w:eastAsia="Courier New"/>
          <w:color w:val="auto"/>
          <w:spacing w:val="0"/>
          <w:sz w:val="24"/>
          <w:szCs w:val="24"/>
        </w:rPr>
        <w:t>≤</w:t>
      </w:r>
      <w:r w:rsidRPr="00DE12A3">
        <w:rPr>
          <w:color w:val="auto"/>
          <w:sz w:val="24"/>
          <w:szCs w:val="24"/>
        </w:rPr>
        <w:t xml:space="preserve"> 0,8 saniyelik bir kalma süresine sahip olmalıdır.</w:t>
      </w:r>
    </w:p>
    <w:p w14:paraId="45808172" w14:textId="77777777" w:rsidR="002D7B36" w:rsidRPr="00DE12A3" w:rsidRDefault="00242DA0" w:rsidP="00E20716">
      <w:pPr>
        <w:pStyle w:val="Gvdemetni251"/>
        <w:numPr>
          <w:ilvl w:val="0"/>
          <w:numId w:val="376"/>
        </w:numPr>
        <w:spacing w:before="120" w:after="120" w:line="240" w:lineRule="auto"/>
        <w:ind w:left="1701" w:hanging="567"/>
        <w:rPr>
          <w:color w:val="auto"/>
          <w:sz w:val="24"/>
          <w:szCs w:val="24"/>
        </w:rPr>
      </w:pPr>
      <w:r w:rsidRPr="00DE12A3">
        <w:rPr>
          <w:color w:val="auto"/>
          <w:sz w:val="24"/>
          <w:szCs w:val="24"/>
        </w:rPr>
        <w:t xml:space="preserve">OT için 30 nm'de denk </w:t>
      </w:r>
      <w:r w:rsidR="007E2039" w:rsidRPr="00DE12A3">
        <w:rPr>
          <w:color w:val="auto"/>
          <w:sz w:val="24"/>
          <w:szCs w:val="24"/>
        </w:rPr>
        <w:t xml:space="preserve">partikül </w:t>
      </w:r>
      <w:r w:rsidRPr="00DE12A3">
        <w:rPr>
          <w:color w:val="auto"/>
          <w:sz w:val="24"/>
          <w:szCs w:val="24"/>
        </w:rPr>
        <w:t>penetrasyonunun ispatlanabildiği tüm diğer örnekleme konfigürasyonları kabul edilebilir sayılacaktır.</w:t>
      </w:r>
    </w:p>
    <w:p w14:paraId="6DF2D1B8" w14:textId="77777777" w:rsidR="002D7B36" w:rsidRPr="00DE12A3" w:rsidRDefault="00242DA0" w:rsidP="00E20716">
      <w:pPr>
        <w:pStyle w:val="Gvdemetni251"/>
        <w:numPr>
          <w:ilvl w:val="0"/>
          <w:numId w:val="375"/>
        </w:numPr>
        <w:spacing w:before="120" w:after="120" w:line="240" w:lineRule="auto"/>
        <w:ind w:left="1134" w:hanging="1134"/>
        <w:rPr>
          <w:color w:val="auto"/>
          <w:sz w:val="24"/>
          <w:szCs w:val="24"/>
        </w:rPr>
      </w:pPr>
      <w:r w:rsidRPr="00DE12A3">
        <w:rPr>
          <w:color w:val="auto"/>
          <w:sz w:val="24"/>
          <w:szCs w:val="24"/>
        </w:rPr>
        <w:t xml:space="preserve">VPR, numune seyreltme ve uçucu </w:t>
      </w:r>
      <w:r w:rsidR="007E2039" w:rsidRPr="00DE12A3">
        <w:rPr>
          <w:color w:val="auto"/>
          <w:sz w:val="24"/>
          <w:szCs w:val="24"/>
        </w:rPr>
        <w:t xml:space="preserve">partikül </w:t>
      </w:r>
      <w:r w:rsidRPr="00DE12A3">
        <w:rPr>
          <w:color w:val="auto"/>
          <w:sz w:val="24"/>
          <w:szCs w:val="24"/>
        </w:rPr>
        <w:t>giderme cihazları içermelidir.</w:t>
      </w:r>
    </w:p>
    <w:p w14:paraId="176481D9" w14:textId="77777777" w:rsidR="002D7B36" w:rsidRPr="00DE12A3" w:rsidRDefault="00242DA0" w:rsidP="00E20716">
      <w:pPr>
        <w:pStyle w:val="Gvdemetni251"/>
        <w:numPr>
          <w:ilvl w:val="0"/>
          <w:numId w:val="375"/>
        </w:numPr>
        <w:spacing w:before="120" w:after="120" w:line="240" w:lineRule="auto"/>
        <w:ind w:left="1134" w:hanging="1134"/>
        <w:rPr>
          <w:color w:val="auto"/>
          <w:sz w:val="24"/>
          <w:szCs w:val="24"/>
        </w:rPr>
      </w:pPr>
      <w:r w:rsidRPr="00DE12A3">
        <w:rPr>
          <w:color w:val="auto"/>
          <w:sz w:val="24"/>
          <w:szCs w:val="24"/>
        </w:rPr>
        <w:t>Seyreltme sisteminin ve örnekleme sisteminin, ham ve seyreltilmiş egzoz gazıyla temas halindeki egzoz borusundan PNC'ye kadar olan tüm parçaları, parçacıkların birikmesini en aza indirecek şekilde tasarlanmalıdır. Tüm parçalar, egzoz gazı bileşenleriyle tepkimeye girmeyen elektriksel olarak iletken malzemelerden yapılmalı ve elektrostatik etkileri önlemek için elektriksel olarak topraklanmalıdır.</w:t>
      </w:r>
    </w:p>
    <w:p w14:paraId="05D61B02" w14:textId="77777777" w:rsidR="002D7B36" w:rsidRPr="00DE12A3" w:rsidRDefault="007E2039" w:rsidP="00E20716">
      <w:pPr>
        <w:pStyle w:val="Gvdemetni251"/>
        <w:numPr>
          <w:ilvl w:val="0"/>
          <w:numId w:val="375"/>
        </w:numPr>
        <w:spacing w:before="120" w:after="120" w:line="240" w:lineRule="auto"/>
        <w:ind w:left="1134" w:hanging="1134"/>
        <w:rPr>
          <w:color w:val="auto"/>
          <w:sz w:val="24"/>
          <w:szCs w:val="24"/>
        </w:rPr>
      </w:pPr>
      <w:r w:rsidRPr="00DE12A3">
        <w:rPr>
          <w:color w:val="auto"/>
          <w:sz w:val="24"/>
          <w:szCs w:val="24"/>
        </w:rPr>
        <w:t xml:space="preserve">Partikül </w:t>
      </w:r>
      <w:r w:rsidR="00242DA0" w:rsidRPr="00DE12A3">
        <w:rPr>
          <w:color w:val="auto"/>
          <w:sz w:val="24"/>
          <w:szCs w:val="24"/>
        </w:rPr>
        <w:t>örnekleme sistemi, kesitte keskin dirseklerin ve ani değişikliklerin önlenmesini, pürüzsüz iç yüzeylerin kullanılmasını ve örnekleme hattının uzunluğunun en aza indirilmesini içeren iyi aerosol örnekleme uygulamasını bünyesinde toplamalıdır. Kesitte kademeli değişikliklere izin verilir.</w:t>
      </w:r>
    </w:p>
    <w:p w14:paraId="01D6BF8C" w14:textId="77777777" w:rsidR="002D7B36" w:rsidRPr="00DE12A3" w:rsidRDefault="00513B24" w:rsidP="00E20716">
      <w:pPr>
        <w:pStyle w:val="Gvdemetni251"/>
        <w:numPr>
          <w:ilvl w:val="0"/>
          <w:numId w:val="373"/>
        </w:numPr>
        <w:spacing w:before="120" w:after="120" w:line="240" w:lineRule="auto"/>
        <w:ind w:left="1134" w:hanging="1134"/>
        <w:rPr>
          <w:color w:val="auto"/>
          <w:sz w:val="24"/>
          <w:szCs w:val="24"/>
        </w:rPr>
      </w:pPr>
      <w:r w:rsidRPr="00DE12A3">
        <w:rPr>
          <w:color w:val="auto"/>
          <w:sz w:val="24"/>
          <w:szCs w:val="24"/>
        </w:rPr>
        <w:t xml:space="preserve">      </w:t>
      </w:r>
      <w:r w:rsidR="00242DA0" w:rsidRPr="00DE12A3">
        <w:rPr>
          <w:color w:val="auto"/>
          <w:sz w:val="24"/>
          <w:szCs w:val="24"/>
        </w:rPr>
        <w:t>Özel şartlar</w:t>
      </w:r>
    </w:p>
    <w:p w14:paraId="267F0A98" w14:textId="77777777" w:rsidR="002D7B36" w:rsidRPr="00DE12A3" w:rsidRDefault="007E2039" w:rsidP="00E20716">
      <w:pPr>
        <w:pStyle w:val="Gvdemetni251"/>
        <w:numPr>
          <w:ilvl w:val="0"/>
          <w:numId w:val="377"/>
        </w:numPr>
        <w:spacing w:before="120" w:after="120" w:line="240" w:lineRule="auto"/>
        <w:ind w:left="1134" w:hanging="1134"/>
        <w:rPr>
          <w:color w:val="auto"/>
          <w:sz w:val="24"/>
          <w:szCs w:val="24"/>
        </w:rPr>
      </w:pPr>
      <w:r w:rsidRPr="00DE12A3">
        <w:rPr>
          <w:color w:val="auto"/>
          <w:sz w:val="24"/>
          <w:szCs w:val="24"/>
        </w:rPr>
        <w:t xml:space="preserve">Partikül </w:t>
      </w:r>
      <w:r w:rsidR="00242DA0" w:rsidRPr="00DE12A3">
        <w:rPr>
          <w:color w:val="auto"/>
          <w:sz w:val="24"/>
          <w:szCs w:val="24"/>
        </w:rPr>
        <w:t>numunesi, PNC'den geçmeden önce bir pompadan geçemez.</w:t>
      </w:r>
    </w:p>
    <w:p w14:paraId="72C62D8E" w14:textId="77777777" w:rsidR="002D7B36" w:rsidRPr="00DE12A3" w:rsidRDefault="00242DA0" w:rsidP="00E20716">
      <w:pPr>
        <w:pStyle w:val="Gvdemetni251"/>
        <w:numPr>
          <w:ilvl w:val="0"/>
          <w:numId w:val="377"/>
        </w:numPr>
        <w:spacing w:before="120" w:after="120" w:line="240" w:lineRule="auto"/>
        <w:ind w:left="1134" w:hanging="1134"/>
        <w:rPr>
          <w:color w:val="auto"/>
          <w:sz w:val="24"/>
          <w:szCs w:val="24"/>
        </w:rPr>
      </w:pPr>
      <w:r w:rsidRPr="00DE12A3">
        <w:rPr>
          <w:color w:val="auto"/>
          <w:sz w:val="24"/>
          <w:szCs w:val="24"/>
        </w:rPr>
        <w:t>Bir numune ön sınıflandırıcı kullanılması önerilir.</w:t>
      </w:r>
    </w:p>
    <w:p w14:paraId="37CE843E" w14:textId="3DAD538D" w:rsidR="002D7B36" w:rsidRPr="00DE12A3" w:rsidRDefault="00242DA0" w:rsidP="00E20716">
      <w:pPr>
        <w:pStyle w:val="Gvdemetni251"/>
        <w:numPr>
          <w:ilvl w:val="0"/>
          <w:numId w:val="377"/>
        </w:numPr>
        <w:spacing w:before="120" w:after="120" w:line="240" w:lineRule="auto"/>
        <w:ind w:left="1134" w:hanging="1134"/>
        <w:rPr>
          <w:color w:val="auto"/>
          <w:sz w:val="24"/>
          <w:szCs w:val="24"/>
        </w:rPr>
      </w:pPr>
      <w:r w:rsidRPr="00DE12A3">
        <w:rPr>
          <w:color w:val="auto"/>
          <w:sz w:val="24"/>
          <w:szCs w:val="24"/>
        </w:rPr>
        <w:t>Numune ön koşullandırma ünitesi</w:t>
      </w:r>
    </w:p>
    <w:p w14:paraId="08B4087B" w14:textId="3D6B2C7A" w:rsidR="002D7B36" w:rsidRPr="00DE12A3" w:rsidRDefault="00242DA0" w:rsidP="00E20716">
      <w:pPr>
        <w:pStyle w:val="Gvdemetni251"/>
        <w:numPr>
          <w:ilvl w:val="0"/>
          <w:numId w:val="378"/>
        </w:numPr>
        <w:spacing w:before="120" w:after="120" w:line="240" w:lineRule="auto"/>
        <w:ind w:left="1134" w:hanging="1134"/>
        <w:rPr>
          <w:color w:val="auto"/>
          <w:sz w:val="24"/>
          <w:szCs w:val="24"/>
        </w:rPr>
      </w:pPr>
      <w:r w:rsidRPr="00DE12A3">
        <w:rPr>
          <w:color w:val="auto"/>
          <w:sz w:val="24"/>
          <w:szCs w:val="24"/>
        </w:rPr>
        <w:t xml:space="preserve">PNC'nin tek </w:t>
      </w:r>
      <w:r w:rsidR="007E2039" w:rsidRPr="00DE12A3">
        <w:rPr>
          <w:color w:val="auto"/>
          <w:sz w:val="24"/>
          <w:szCs w:val="24"/>
        </w:rPr>
        <w:t xml:space="preserve">partikül </w:t>
      </w:r>
      <w:r w:rsidRPr="00DE12A3">
        <w:rPr>
          <w:color w:val="auto"/>
          <w:sz w:val="24"/>
          <w:szCs w:val="24"/>
        </w:rPr>
        <w:t xml:space="preserve">sayma modunun üst eşik değerinin altında bir </w:t>
      </w:r>
      <w:r w:rsidR="007E2039" w:rsidRPr="00DE12A3">
        <w:rPr>
          <w:color w:val="auto"/>
          <w:sz w:val="24"/>
          <w:szCs w:val="24"/>
        </w:rPr>
        <w:t xml:space="preserve">partikül </w:t>
      </w:r>
      <w:r w:rsidRPr="00DE12A3">
        <w:rPr>
          <w:color w:val="auto"/>
          <w:sz w:val="24"/>
          <w:szCs w:val="24"/>
        </w:rPr>
        <w:t>sayısı konsantrasyonunu ve PNC girişinde 308 K (35 °C) altındaki bir gaz sıcaklığını elde etmek için numuneyi bir veya daha fazla aşamada seyreltebilmelidir</w:t>
      </w:r>
      <w:r w:rsidR="00CB4BBD" w:rsidRPr="00DE12A3">
        <w:rPr>
          <w:color w:val="auto"/>
          <w:sz w:val="24"/>
          <w:szCs w:val="24"/>
        </w:rPr>
        <w:t>.</w:t>
      </w:r>
    </w:p>
    <w:p w14:paraId="7DB614DF" w14:textId="53961F82" w:rsidR="002D7B36" w:rsidRPr="00DE12A3" w:rsidRDefault="00242DA0" w:rsidP="00E20716">
      <w:pPr>
        <w:pStyle w:val="Gvdemetni251"/>
        <w:numPr>
          <w:ilvl w:val="0"/>
          <w:numId w:val="378"/>
        </w:numPr>
        <w:tabs>
          <w:tab w:val="left" w:pos="1134"/>
          <w:tab w:val="left" w:pos="4071"/>
        </w:tabs>
        <w:spacing w:before="120" w:after="120" w:line="240" w:lineRule="auto"/>
        <w:ind w:left="1134" w:hanging="1134"/>
        <w:rPr>
          <w:color w:val="auto"/>
          <w:sz w:val="24"/>
          <w:szCs w:val="24"/>
        </w:rPr>
      </w:pPr>
      <w:r w:rsidRPr="00DE12A3">
        <w:rPr>
          <w:rFonts w:eastAsia="Courier New"/>
          <w:color w:val="auto"/>
          <w:spacing w:val="0"/>
          <w:sz w:val="24"/>
          <w:szCs w:val="24"/>
        </w:rPr>
        <w:t>≥</w:t>
      </w:r>
      <w:r w:rsidRPr="00DE12A3">
        <w:rPr>
          <w:color w:val="auto"/>
          <w:sz w:val="24"/>
          <w:szCs w:val="24"/>
        </w:rPr>
        <w:t xml:space="preserve"> 423 K (150 °C) ve </w:t>
      </w:r>
      <w:r w:rsidRPr="00DE12A3">
        <w:rPr>
          <w:rFonts w:eastAsia="Courier New"/>
          <w:color w:val="auto"/>
          <w:spacing w:val="0"/>
          <w:sz w:val="24"/>
          <w:szCs w:val="24"/>
        </w:rPr>
        <w:t xml:space="preserve">≤ </w:t>
      </w:r>
      <w:r w:rsidRPr="00DE12A3">
        <w:rPr>
          <w:color w:val="auto"/>
          <w:sz w:val="24"/>
          <w:szCs w:val="24"/>
        </w:rPr>
        <w:t>673 K (400 °C) sıcaklıkta bir numune çıkaran ve en az 10 kat seyrelten bir ilk ısıtılmış seyreltme aşaması içermelidir</w:t>
      </w:r>
      <w:r w:rsidR="00CB4BBD" w:rsidRPr="00DE12A3">
        <w:rPr>
          <w:color w:val="auto"/>
          <w:sz w:val="24"/>
          <w:szCs w:val="24"/>
        </w:rPr>
        <w:t>.</w:t>
      </w:r>
    </w:p>
    <w:p w14:paraId="4D4BA613" w14:textId="41439A3D" w:rsidR="002D7B36" w:rsidRPr="00DE12A3" w:rsidRDefault="00242DA0" w:rsidP="00E20716">
      <w:pPr>
        <w:pStyle w:val="Gvdemetni251"/>
        <w:numPr>
          <w:ilvl w:val="0"/>
          <w:numId w:val="378"/>
        </w:numPr>
        <w:spacing w:before="120" w:after="120" w:line="240" w:lineRule="auto"/>
        <w:ind w:left="1134" w:hanging="1134"/>
        <w:rPr>
          <w:color w:val="auto"/>
          <w:sz w:val="24"/>
          <w:szCs w:val="24"/>
        </w:rPr>
      </w:pPr>
      <w:r w:rsidRPr="00DE12A3">
        <w:rPr>
          <w:color w:val="auto"/>
          <w:sz w:val="24"/>
          <w:szCs w:val="24"/>
        </w:rPr>
        <w:t xml:space="preserve"> Isıtmalı aşamaları, 2.1.3.3.2 bendinde belirtilen aralık dahilinde sabit nominal çalışma sıcaklıklarında ± 10 K (± 10 °C) toleransla kontrol etmelidir.  Isıtmalı aşamaların doğru çalışma sıcaklıklarında olup olmadığına dair bir gösterge sağlamalıdır</w:t>
      </w:r>
      <w:r w:rsidR="00CB4BBD" w:rsidRPr="00DE12A3">
        <w:rPr>
          <w:color w:val="auto"/>
          <w:sz w:val="24"/>
          <w:szCs w:val="24"/>
        </w:rPr>
        <w:t>.</w:t>
      </w:r>
    </w:p>
    <w:p w14:paraId="6A2EF281" w14:textId="5980F219" w:rsidR="002D7B36" w:rsidRPr="00DE12A3" w:rsidRDefault="00242DA0" w:rsidP="00E20716">
      <w:pPr>
        <w:pStyle w:val="Gvdemetni251"/>
        <w:numPr>
          <w:ilvl w:val="0"/>
          <w:numId w:val="378"/>
        </w:numPr>
        <w:spacing w:before="120" w:after="120" w:line="240" w:lineRule="auto"/>
        <w:ind w:left="1134" w:hanging="1134"/>
        <w:rPr>
          <w:color w:val="auto"/>
          <w:sz w:val="24"/>
          <w:szCs w:val="24"/>
        </w:rPr>
      </w:pPr>
      <w:r w:rsidRPr="00DE12A3">
        <w:rPr>
          <w:color w:val="auto"/>
          <w:sz w:val="24"/>
          <w:szCs w:val="24"/>
        </w:rPr>
        <w:t xml:space="preserve">2.2.2.2 bendinde tanımlandığı gibi, 30 nm ve 50 nm elektriksel hareketlilik çapına sahip parçacıklar için sırasıyla en çok </w:t>
      </w:r>
      <w:r w:rsidR="00590D92" w:rsidRPr="00DE12A3">
        <w:rPr>
          <w:color w:val="auto"/>
          <w:sz w:val="24"/>
          <w:szCs w:val="24"/>
        </w:rPr>
        <w:t>%30</w:t>
      </w:r>
      <w:r w:rsidRPr="00DE12A3">
        <w:rPr>
          <w:color w:val="auto"/>
          <w:sz w:val="24"/>
          <w:szCs w:val="24"/>
        </w:rPr>
        <w:t xml:space="preserve"> ve </w:t>
      </w:r>
      <w:r w:rsidR="00590D92" w:rsidRPr="00DE12A3">
        <w:rPr>
          <w:color w:val="auto"/>
          <w:sz w:val="24"/>
          <w:szCs w:val="24"/>
        </w:rPr>
        <w:t>%20</w:t>
      </w:r>
      <w:r w:rsidRPr="00DE12A3">
        <w:rPr>
          <w:color w:val="auto"/>
          <w:sz w:val="24"/>
          <w:szCs w:val="24"/>
        </w:rPr>
        <w:t xml:space="preserve"> yüksek olan ve bir bütün olarak VPR için 100 nm elektriksel hareketlilik çapına sahip parçacıklar için olandan en çok </w:t>
      </w:r>
      <w:r w:rsidR="00590D92" w:rsidRPr="00DE12A3">
        <w:rPr>
          <w:color w:val="auto"/>
          <w:sz w:val="24"/>
          <w:szCs w:val="24"/>
        </w:rPr>
        <w:t>%5</w:t>
      </w:r>
      <w:r w:rsidRPr="00DE12A3">
        <w:rPr>
          <w:color w:val="auto"/>
          <w:sz w:val="24"/>
          <w:szCs w:val="24"/>
        </w:rPr>
        <w:t xml:space="preserve"> daha düşük bir </w:t>
      </w:r>
      <w:r w:rsidR="007E2039" w:rsidRPr="00DE12A3">
        <w:rPr>
          <w:color w:val="auto"/>
          <w:sz w:val="24"/>
          <w:szCs w:val="24"/>
        </w:rPr>
        <w:t xml:space="preserve">partikül </w:t>
      </w:r>
      <w:r w:rsidRPr="00DE12A3">
        <w:rPr>
          <w:color w:val="auto"/>
          <w:sz w:val="24"/>
          <w:szCs w:val="24"/>
        </w:rPr>
        <w:t>konsantrasyonu azaltma faktörüne (</w:t>
      </w:r>
      <w:r w:rsidRPr="00DE12A3">
        <w:rPr>
          <w:i/>
          <w:iCs/>
          <w:color w:val="auto"/>
          <w:sz w:val="24"/>
          <w:szCs w:val="24"/>
        </w:rPr>
        <w:t>fr</w:t>
      </w:r>
      <w:r w:rsidRPr="00DE12A3">
        <w:rPr>
          <w:color w:val="auto"/>
          <w:sz w:val="24"/>
          <w:szCs w:val="24"/>
        </w:rPr>
        <w:t>(</w:t>
      </w:r>
      <w:r w:rsidRPr="00DE12A3">
        <w:rPr>
          <w:i/>
          <w:iCs/>
          <w:color w:val="auto"/>
          <w:sz w:val="24"/>
          <w:szCs w:val="24"/>
        </w:rPr>
        <w:t>di</w:t>
      </w:r>
      <w:r w:rsidRPr="00DE12A3">
        <w:rPr>
          <w:color w:val="auto"/>
          <w:sz w:val="24"/>
          <w:szCs w:val="24"/>
        </w:rPr>
        <w:t>)) ulaşmalıdır</w:t>
      </w:r>
      <w:r w:rsidR="00CB4BBD" w:rsidRPr="00DE12A3">
        <w:rPr>
          <w:color w:val="auto"/>
          <w:sz w:val="24"/>
          <w:szCs w:val="24"/>
        </w:rPr>
        <w:t>.</w:t>
      </w:r>
    </w:p>
    <w:p w14:paraId="261A2345" w14:textId="6694CF69" w:rsidR="002D7B36" w:rsidRPr="00DE12A3" w:rsidRDefault="00242DA0" w:rsidP="00E20716">
      <w:pPr>
        <w:pStyle w:val="Gvdemetni251"/>
        <w:numPr>
          <w:ilvl w:val="0"/>
          <w:numId w:val="378"/>
        </w:numPr>
        <w:shd w:val="clear" w:color="auto" w:fill="auto"/>
        <w:tabs>
          <w:tab w:val="left" w:pos="783"/>
          <w:tab w:val="left" w:pos="1134"/>
          <w:tab w:val="left" w:pos="2268"/>
          <w:tab w:val="right" w:pos="2738"/>
          <w:tab w:val="left" w:pos="2775"/>
          <w:tab w:val="left" w:pos="3783"/>
        </w:tabs>
        <w:spacing w:before="120" w:after="120" w:line="240" w:lineRule="auto"/>
        <w:ind w:left="1134" w:hanging="1134"/>
        <w:rPr>
          <w:color w:val="auto"/>
          <w:sz w:val="24"/>
          <w:szCs w:val="24"/>
        </w:rPr>
      </w:pPr>
      <w:r w:rsidRPr="00DE12A3">
        <w:rPr>
          <w:color w:val="auto"/>
          <w:sz w:val="24"/>
          <w:szCs w:val="24"/>
        </w:rPr>
        <w:lastRenderedPageBreak/>
        <w:t>Ayrıca, ≥ 10000 cm</w:t>
      </w:r>
      <w:r w:rsidRPr="00DE12A3">
        <w:rPr>
          <w:color w:val="auto"/>
          <w:sz w:val="24"/>
          <w:szCs w:val="24"/>
          <w:vertAlign w:val="superscript"/>
        </w:rPr>
        <w:t>-3</w:t>
      </w:r>
      <w:r w:rsidRPr="00DE12A3">
        <w:rPr>
          <w:color w:val="auto"/>
          <w:sz w:val="24"/>
          <w:szCs w:val="24"/>
        </w:rPr>
        <w:t xml:space="preserve"> bir giriş konsantrasyonuyla, 30 nm tetrakontan (CH</w:t>
      </w:r>
      <w:r w:rsidRPr="00DE12A3">
        <w:rPr>
          <w:color w:val="auto"/>
          <w:sz w:val="24"/>
          <w:szCs w:val="24"/>
          <w:vertAlign w:val="subscript"/>
        </w:rPr>
        <w:t>3</w:t>
      </w:r>
      <w:r w:rsidRPr="00DE12A3">
        <w:rPr>
          <w:color w:val="auto"/>
          <w:sz w:val="24"/>
          <w:szCs w:val="24"/>
        </w:rPr>
        <w:t>(CH</w:t>
      </w:r>
      <w:r w:rsidRPr="00DE12A3">
        <w:rPr>
          <w:color w:val="auto"/>
          <w:sz w:val="24"/>
          <w:szCs w:val="24"/>
          <w:vertAlign w:val="subscript"/>
        </w:rPr>
        <w:t>2</w:t>
      </w:r>
      <w:r w:rsidRPr="00DE12A3">
        <w:rPr>
          <w:color w:val="auto"/>
          <w:sz w:val="24"/>
          <w:szCs w:val="24"/>
        </w:rPr>
        <w:t>)</w:t>
      </w:r>
      <w:r w:rsidRPr="00DE12A3">
        <w:rPr>
          <w:color w:val="auto"/>
          <w:sz w:val="24"/>
          <w:szCs w:val="24"/>
          <w:vertAlign w:val="subscript"/>
        </w:rPr>
        <w:t>38</w:t>
      </w:r>
      <w:r w:rsidRPr="00DE12A3">
        <w:rPr>
          <w:color w:val="auto"/>
          <w:sz w:val="24"/>
          <w:szCs w:val="24"/>
        </w:rPr>
        <w:t>CH</w:t>
      </w:r>
      <w:r w:rsidRPr="00DE12A3">
        <w:rPr>
          <w:color w:val="auto"/>
          <w:sz w:val="24"/>
          <w:szCs w:val="24"/>
          <w:vertAlign w:val="subscript"/>
        </w:rPr>
        <w:t>3</w:t>
      </w:r>
      <w:r w:rsidRPr="00DE12A3">
        <w:rPr>
          <w:color w:val="auto"/>
          <w:sz w:val="24"/>
          <w:szCs w:val="24"/>
        </w:rPr>
        <w:t xml:space="preserve">) parçacıklarının, tetrakontanın ısıtılması ve kısmi basınçlarının düşürülmesi </w:t>
      </w:r>
      <w:r w:rsidR="00590D92" w:rsidRPr="00DE12A3">
        <w:rPr>
          <w:color w:val="auto"/>
          <w:sz w:val="24"/>
          <w:szCs w:val="24"/>
        </w:rPr>
        <w:t>yoluyla&gt;</w:t>
      </w:r>
      <w:r w:rsidRPr="00DE12A3">
        <w:rPr>
          <w:color w:val="auto"/>
          <w:sz w:val="24"/>
          <w:szCs w:val="24"/>
        </w:rPr>
        <w:t xml:space="preserve"> </w:t>
      </w:r>
      <w:r w:rsidR="00590D92" w:rsidRPr="00DE12A3">
        <w:rPr>
          <w:color w:val="auto"/>
          <w:sz w:val="24"/>
          <w:szCs w:val="24"/>
        </w:rPr>
        <w:t>%99,0</w:t>
      </w:r>
      <w:r w:rsidRPr="00DE12A3">
        <w:rPr>
          <w:color w:val="auto"/>
          <w:sz w:val="24"/>
          <w:szCs w:val="24"/>
        </w:rPr>
        <w:t xml:space="preserve"> buharlaşmasını da sağlamalıdır.</w:t>
      </w:r>
    </w:p>
    <w:p w14:paraId="53C7D0D4" w14:textId="42D47E0D" w:rsidR="002D7B36" w:rsidRPr="00DE12A3" w:rsidRDefault="00242DA0" w:rsidP="00E20716">
      <w:pPr>
        <w:pStyle w:val="Gvdemetni251"/>
        <w:numPr>
          <w:ilvl w:val="0"/>
          <w:numId w:val="377"/>
        </w:numPr>
        <w:shd w:val="clear" w:color="auto" w:fill="auto"/>
        <w:spacing w:before="120" w:after="120" w:line="240" w:lineRule="auto"/>
        <w:ind w:left="1134" w:hanging="1134"/>
        <w:rPr>
          <w:color w:val="auto"/>
          <w:sz w:val="24"/>
          <w:szCs w:val="24"/>
        </w:rPr>
      </w:pPr>
      <w:r w:rsidRPr="00DE12A3">
        <w:rPr>
          <w:color w:val="auto"/>
          <w:sz w:val="24"/>
          <w:szCs w:val="24"/>
        </w:rPr>
        <w:t>PNC</w:t>
      </w:r>
    </w:p>
    <w:p w14:paraId="33A328C9" w14:textId="6CF491CF" w:rsidR="002D7B36" w:rsidRPr="00DE12A3" w:rsidRDefault="00242DA0" w:rsidP="00E20716">
      <w:pPr>
        <w:pStyle w:val="Gvdemetni251"/>
        <w:numPr>
          <w:ilvl w:val="0"/>
          <w:numId w:val="379"/>
        </w:numPr>
        <w:shd w:val="clear" w:color="auto" w:fill="auto"/>
        <w:spacing w:before="120" w:after="120" w:line="240" w:lineRule="auto"/>
        <w:ind w:left="1134" w:hanging="1134"/>
        <w:rPr>
          <w:color w:val="auto"/>
          <w:sz w:val="24"/>
          <w:szCs w:val="24"/>
        </w:rPr>
      </w:pPr>
      <w:r w:rsidRPr="00DE12A3">
        <w:rPr>
          <w:color w:val="auto"/>
          <w:sz w:val="24"/>
          <w:szCs w:val="24"/>
        </w:rPr>
        <w:t>Tam akışlı çalışma koşulları altında çalışmalıdır</w:t>
      </w:r>
      <w:r w:rsidR="00CB4BBD" w:rsidRPr="00DE12A3">
        <w:rPr>
          <w:color w:val="auto"/>
          <w:sz w:val="24"/>
          <w:szCs w:val="24"/>
        </w:rPr>
        <w:t>.</w:t>
      </w:r>
    </w:p>
    <w:p w14:paraId="156083B5" w14:textId="7D8AB146" w:rsidR="002D7B36" w:rsidRPr="00DE12A3" w:rsidRDefault="00242DA0" w:rsidP="00E20716">
      <w:pPr>
        <w:pStyle w:val="Gvdemetni251"/>
        <w:numPr>
          <w:ilvl w:val="0"/>
          <w:numId w:val="379"/>
        </w:numPr>
        <w:shd w:val="clear" w:color="auto" w:fill="auto"/>
        <w:spacing w:before="120" w:after="120" w:line="240" w:lineRule="auto"/>
        <w:ind w:left="1134" w:hanging="1134"/>
        <w:rPr>
          <w:color w:val="auto"/>
          <w:sz w:val="24"/>
          <w:szCs w:val="24"/>
        </w:rPr>
      </w:pPr>
      <w:r w:rsidRPr="00DE12A3">
        <w:rPr>
          <w:color w:val="auto"/>
          <w:sz w:val="24"/>
          <w:szCs w:val="24"/>
        </w:rPr>
        <w:t xml:space="preserve">Takip edilebilir bir standarda karşı PNC'nin tek </w:t>
      </w:r>
      <w:r w:rsidR="007E2039" w:rsidRPr="00DE12A3">
        <w:rPr>
          <w:color w:val="auto"/>
          <w:sz w:val="24"/>
          <w:szCs w:val="24"/>
        </w:rPr>
        <w:t xml:space="preserve">partikül </w:t>
      </w:r>
      <w:r w:rsidRPr="00DE12A3">
        <w:rPr>
          <w:color w:val="auto"/>
          <w:sz w:val="24"/>
          <w:szCs w:val="24"/>
        </w:rPr>
        <w:t>sayım modunun üst eşik değerine 1 cm</w:t>
      </w:r>
      <w:r w:rsidRPr="00DE12A3">
        <w:rPr>
          <w:color w:val="auto"/>
          <w:sz w:val="24"/>
          <w:szCs w:val="24"/>
          <w:vertAlign w:val="superscript"/>
        </w:rPr>
        <w:t>-3</w:t>
      </w:r>
      <w:r w:rsidRPr="00DE12A3">
        <w:rPr>
          <w:color w:val="auto"/>
          <w:sz w:val="24"/>
          <w:szCs w:val="24"/>
        </w:rPr>
        <w:t xml:space="preserve"> aralığı boyunca ± </w:t>
      </w:r>
      <w:r w:rsidR="00F466F2" w:rsidRPr="00DE12A3">
        <w:rPr>
          <w:color w:val="auto"/>
          <w:sz w:val="24"/>
          <w:szCs w:val="24"/>
        </w:rPr>
        <w:t>%10</w:t>
      </w:r>
      <w:r w:rsidRPr="00DE12A3">
        <w:rPr>
          <w:color w:val="auto"/>
          <w:sz w:val="24"/>
          <w:szCs w:val="24"/>
        </w:rPr>
        <w:t xml:space="preserve"> sayım doğruluğuna sahip olmalıdır. PNC'nin doğruluğunu yüksek derecede bir istatistiksel güven ile ispatlamak için 100 cm</w:t>
      </w:r>
      <w:r w:rsidRPr="00DE12A3">
        <w:rPr>
          <w:color w:val="auto"/>
          <w:sz w:val="24"/>
          <w:szCs w:val="24"/>
          <w:vertAlign w:val="superscript"/>
        </w:rPr>
        <w:t>-3</w:t>
      </w:r>
      <w:r w:rsidRPr="00DE12A3">
        <w:rPr>
          <w:color w:val="auto"/>
          <w:sz w:val="24"/>
          <w:szCs w:val="24"/>
        </w:rPr>
        <w:t>'ün altındaki konsantrasyonlarda, uzun örnekleme süreleri boyunca ortalaması alınan ölçümler gerekebilir</w:t>
      </w:r>
      <w:r w:rsidR="00CB4BBD" w:rsidRPr="00DE12A3">
        <w:rPr>
          <w:color w:val="auto"/>
          <w:sz w:val="24"/>
          <w:szCs w:val="24"/>
        </w:rPr>
        <w:t>.</w:t>
      </w:r>
    </w:p>
    <w:p w14:paraId="32A984AE" w14:textId="4CBFCD07" w:rsidR="002D7B36" w:rsidRPr="00DE12A3" w:rsidRDefault="00242DA0" w:rsidP="00E20716">
      <w:pPr>
        <w:pStyle w:val="Gvdemetni251"/>
        <w:numPr>
          <w:ilvl w:val="0"/>
          <w:numId w:val="379"/>
        </w:numPr>
        <w:shd w:val="clear" w:color="auto" w:fill="auto"/>
        <w:spacing w:before="120" w:after="120" w:line="240" w:lineRule="auto"/>
        <w:ind w:left="1134" w:hanging="1134"/>
        <w:rPr>
          <w:color w:val="auto"/>
          <w:sz w:val="24"/>
          <w:szCs w:val="24"/>
        </w:rPr>
      </w:pPr>
      <w:r w:rsidRPr="00DE12A3">
        <w:rPr>
          <w:color w:val="auto"/>
          <w:sz w:val="24"/>
          <w:szCs w:val="24"/>
        </w:rPr>
        <w:t>100 cm</w:t>
      </w:r>
      <w:r w:rsidRPr="00DE12A3">
        <w:rPr>
          <w:color w:val="auto"/>
          <w:sz w:val="24"/>
          <w:szCs w:val="24"/>
          <w:vertAlign w:val="superscript"/>
        </w:rPr>
        <w:t>-3</w:t>
      </w:r>
      <w:r w:rsidRPr="00DE12A3">
        <w:rPr>
          <w:color w:val="auto"/>
          <w:sz w:val="24"/>
          <w:szCs w:val="24"/>
        </w:rPr>
        <w:t xml:space="preserve">'ün altındaki konsantrasyonlarda en az 0,1 </w:t>
      </w:r>
      <w:r w:rsidR="007E2039" w:rsidRPr="00DE12A3">
        <w:rPr>
          <w:color w:val="auto"/>
          <w:sz w:val="24"/>
          <w:szCs w:val="24"/>
        </w:rPr>
        <w:t xml:space="preserve">partikül </w:t>
      </w:r>
      <w:r w:rsidRPr="00DE12A3">
        <w:rPr>
          <w:color w:val="auto"/>
          <w:sz w:val="24"/>
          <w:szCs w:val="24"/>
        </w:rPr>
        <w:t>cm</w:t>
      </w:r>
      <w:r w:rsidRPr="00DE12A3">
        <w:rPr>
          <w:color w:val="auto"/>
          <w:sz w:val="24"/>
          <w:szCs w:val="24"/>
          <w:vertAlign w:val="superscript"/>
        </w:rPr>
        <w:t>-3</w:t>
      </w:r>
      <w:r w:rsidRPr="00DE12A3">
        <w:rPr>
          <w:color w:val="auto"/>
          <w:sz w:val="24"/>
          <w:szCs w:val="24"/>
        </w:rPr>
        <w:t xml:space="preserve"> okunabilirliği olmalıdır</w:t>
      </w:r>
      <w:r w:rsidR="00CB4BBD" w:rsidRPr="00DE12A3">
        <w:rPr>
          <w:color w:val="auto"/>
          <w:sz w:val="24"/>
          <w:szCs w:val="24"/>
        </w:rPr>
        <w:t>.</w:t>
      </w:r>
    </w:p>
    <w:p w14:paraId="2C53DD74" w14:textId="75297675" w:rsidR="002D7B36" w:rsidRPr="00DE12A3" w:rsidRDefault="00242DA0" w:rsidP="00E20716">
      <w:pPr>
        <w:pStyle w:val="Gvdemetni251"/>
        <w:numPr>
          <w:ilvl w:val="0"/>
          <w:numId w:val="379"/>
        </w:numPr>
        <w:shd w:val="clear" w:color="auto" w:fill="auto"/>
        <w:spacing w:before="120" w:after="120" w:line="240" w:lineRule="auto"/>
        <w:ind w:left="1134" w:hanging="1134"/>
        <w:rPr>
          <w:color w:val="auto"/>
          <w:sz w:val="24"/>
          <w:szCs w:val="24"/>
        </w:rPr>
      </w:pPr>
      <w:r w:rsidRPr="00DE12A3">
        <w:rPr>
          <w:color w:val="auto"/>
          <w:sz w:val="24"/>
          <w:szCs w:val="24"/>
        </w:rPr>
        <w:t xml:space="preserve">Tek </w:t>
      </w:r>
      <w:r w:rsidR="007E2039" w:rsidRPr="00DE12A3">
        <w:rPr>
          <w:color w:val="auto"/>
          <w:sz w:val="24"/>
          <w:szCs w:val="24"/>
        </w:rPr>
        <w:t xml:space="preserve">partikül </w:t>
      </w:r>
      <w:r w:rsidRPr="00DE12A3">
        <w:rPr>
          <w:color w:val="auto"/>
          <w:sz w:val="24"/>
          <w:szCs w:val="24"/>
        </w:rPr>
        <w:t xml:space="preserve">sayma modunda, tüm ölçüm aralığı boyunca </w:t>
      </w:r>
      <w:r w:rsidR="007E2039" w:rsidRPr="00DE12A3">
        <w:rPr>
          <w:color w:val="auto"/>
          <w:sz w:val="24"/>
          <w:szCs w:val="24"/>
        </w:rPr>
        <w:t xml:space="preserve">partikül </w:t>
      </w:r>
      <w:r w:rsidRPr="00DE12A3">
        <w:rPr>
          <w:color w:val="auto"/>
          <w:sz w:val="24"/>
          <w:szCs w:val="24"/>
        </w:rPr>
        <w:t>konsantrasyonlarına doğrusal bir tepki vermelidir</w:t>
      </w:r>
      <w:r w:rsidR="00CB4BBD" w:rsidRPr="00DE12A3">
        <w:rPr>
          <w:color w:val="auto"/>
          <w:sz w:val="24"/>
          <w:szCs w:val="24"/>
        </w:rPr>
        <w:t>.</w:t>
      </w:r>
    </w:p>
    <w:p w14:paraId="2863879B" w14:textId="52B25C71" w:rsidR="002D7B36" w:rsidRPr="00DE12A3" w:rsidRDefault="00242DA0" w:rsidP="00E20716">
      <w:pPr>
        <w:pStyle w:val="Gvdemetni251"/>
        <w:numPr>
          <w:ilvl w:val="0"/>
          <w:numId w:val="379"/>
        </w:numPr>
        <w:shd w:val="clear" w:color="auto" w:fill="auto"/>
        <w:spacing w:before="120" w:after="120" w:line="240" w:lineRule="auto"/>
        <w:ind w:left="1134" w:hanging="1134"/>
        <w:rPr>
          <w:color w:val="auto"/>
          <w:sz w:val="24"/>
          <w:szCs w:val="24"/>
        </w:rPr>
      </w:pPr>
      <w:r w:rsidRPr="00DE12A3">
        <w:rPr>
          <w:color w:val="auto"/>
          <w:sz w:val="24"/>
          <w:szCs w:val="24"/>
        </w:rPr>
        <w:t>0,5 Hz veya daha yüksek bir veri raporlama sıklığına sahip olmalıdır</w:t>
      </w:r>
      <w:r w:rsidR="00CB4BBD" w:rsidRPr="00DE12A3">
        <w:rPr>
          <w:color w:val="auto"/>
          <w:sz w:val="24"/>
          <w:szCs w:val="24"/>
        </w:rPr>
        <w:t>.</w:t>
      </w:r>
    </w:p>
    <w:p w14:paraId="0D55FE55" w14:textId="1F91314C" w:rsidR="002D7B36" w:rsidRPr="00DE12A3" w:rsidRDefault="00242DA0" w:rsidP="00E20716">
      <w:pPr>
        <w:pStyle w:val="Gvdemetni251"/>
        <w:numPr>
          <w:ilvl w:val="0"/>
          <w:numId w:val="379"/>
        </w:numPr>
        <w:shd w:val="clear" w:color="auto" w:fill="auto"/>
        <w:spacing w:before="120" w:after="120" w:line="240" w:lineRule="auto"/>
        <w:ind w:left="1134" w:hanging="1134"/>
        <w:rPr>
          <w:color w:val="auto"/>
          <w:sz w:val="24"/>
          <w:szCs w:val="24"/>
        </w:rPr>
      </w:pPr>
      <w:r w:rsidRPr="00DE12A3">
        <w:rPr>
          <w:color w:val="auto"/>
          <w:sz w:val="24"/>
          <w:szCs w:val="24"/>
        </w:rPr>
        <w:t>Ölçülen konsantrasyon aralığı boyunca 5 s'den az bir tepki süresine sahip olmalıdır</w:t>
      </w:r>
      <w:r w:rsidR="00CB4BBD" w:rsidRPr="00DE12A3">
        <w:rPr>
          <w:color w:val="auto"/>
          <w:sz w:val="24"/>
          <w:szCs w:val="24"/>
        </w:rPr>
        <w:t>.</w:t>
      </w:r>
    </w:p>
    <w:p w14:paraId="370ABF1F" w14:textId="201CE6B6" w:rsidR="002D7B36" w:rsidRPr="00DE12A3" w:rsidRDefault="00242DA0" w:rsidP="00E20716">
      <w:pPr>
        <w:pStyle w:val="Gvdemetni251"/>
        <w:numPr>
          <w:ilvl w:val="0"/>
          <w:numId w:val="379"/>
        </w:numPr>
        <w:shd w:val="clear" w:color="auto" w:fill="auto"/>
        <w:spacing w:before="120" w:after="120" w:line="240" w:lineRule="auto"/>
        <w:ind w:left="1134" w:hanging="1134"/>
        <w:rPr>
          <w:color w:val="auto"/>
          <w:sz w:val="24"/>
          <w:szCs w:val="24"/>
        </w:rPr>
      </w:pPr>
      <w:r w:rsidRPr="00DE12A3">
        <w:rPr>
          <w:color w:val="auto"/>
          <w:sz w:val="24"/>
          <w:szCs w:val="24"/>
        </w:rPr>
        <w:t xml:space="preserve">Azami </w:t>
      </w:r>
      <w:r w:rsidR="00590D92" w:rsidRPr="00DE12A3">
        <w:rPr>
          <w:color w:val="auto"/>
          <w:sz w:val="24"/>
          <w:szCs w:val="24"/>
        </w:rPr>
        <w:t>%10</w:t>
      </w:r>
      <w:r w:rsidRPr="00DE12A3">
        <w:rPr>
          <w:color w:val="auto"/>
          <w:sz w:val="24"/>
          <w:szCs w:val="24"/>
        </w:rPr>
        <w:t>'luk bir düzeltmeye kadar bir çakışma düzeltme fonksiyonu içermeli ve 2.2.1.3 bendinde belirtilen bir dahili kalibrasyon faktöründen faydalanabilmeli, ancak sayım verimini düzeltmek veya tanımlamak için başka bir algoritma kullanmamalıdır</w:t>
      </w:r>
      <w:r w:rsidR="00CB4BBD" w:rsidRPr="00DE12A3">
        <w:rPr>
          <w:color w:val="auto"/>
          <w:sz w:val="24"/>
          <w:szCs w:val="24"/>
        </w:rPr>
        <w:t>.</w:t>
      </w:r>
    </w:p>
    <w:p w14:paraId="3252E39A" w14:textId="0FCB8D24" w:rsidR="002D7B36" w:rsidRPr="00DE12A3" w:rsidRDefault="00242DA0" w:rsidP="00E20716">
      <w:pPr>
        <w:pStyle w:val="Gvdemetni251"/>
        <w:numPr>
          <w:ilvl w:val="0"/>
          <w:numId w:val="379"/>
        </w:numPr>
        <w:shd w:val="clear" w:color="auto" w:fill="auto"/>
        <w:spacing w:before="120" w:after="120" w:line="240" w:lineRule="auto"/>
        <w:ind w:left="1134" w:hanging="1134"/>
        <w:rPr>
          <w:color w:val="auto"/>
          <w:sz w:val="24"/>
          <w:szCs w:val="24"/>
        </w:rPr>
      </w:pPr>
      <w:r w:rsidRPr="00DE12A3">
        <w:rPr>
          <w:color w:val="auto"/>
          <w:sz w:val="24"/>
          <w:szCs w:val="24"/>
        </w:rPr>
        <w:t xml:space="preserve">23 nm (± 1 nm) ve 41 nm (± 1 nm) </w:t>
      </w:r>
      <w:r w:rsidR="007E2039" w:rsidRPr="00DE12A3">
        <w:rPr>
          <w:color w:val="auto"/>
          <w:sz w:val="24"/>
          <w:szCs w:val="24"/>
        </w:rPr>
        <w:t xml:space="preserve">partikül </w:t>
      </w:r>
      <w:r w:rsidRPr="00DE12A3">
        <w:rPr>
          <w:color w:val="auto"/>
          <w:sz w:val="24"/>
          <w:szCs w:val="24"/>
        </w:rPr>
        <w:t xml:space="preserve">boyutlarında sırasıyla </w:t>
      </w:r>
      <w:r w:rsidR="00F466F2" w:rsidRPr="00DE12A3">
        <w:rPr>
          <w:color w:val="auto"/>
          <w:sz w:val="24"/>
          <w:szCs w:val="24"/>
        </w:rPr>
        <w:t>%50</w:t>
      </w:r>
      <w:r w:rsidRPr="00DE12A3">
        <w:rPr>
          <w:color w:val="auto"/>
          <w:sz w:val="24"/>
          <w:szCs w:val="24"/>
        </w:rPr>
        <w:t xml:space="preserve"> (± </w:t>
      </w:r>
      <w:r w:rsidR="00F466F2" w:rsidRPr="00DE12A3">
        <w:rPr>
          <w:color w:val="auto"/>
          <w:sz w:val="24"/>
          <w:szCs w:val="24"/>
        </w:rPr>
        <w:t>%12</w:t>
      </w:r>
      <w:r w:rsidRPr="00DE12A3">
        <w:rPr>
          <w:color w:val="auto"/>
          <w:sz w:val="24"/>
          <w:szCs w:val="24"/>
        </w:rPr>
        <w:t xml:space="preserve">) ve </w:t>
      </w:r>
      <w:r w:rsidR="00F466F2" w:rsidRPr="00DE12A3">
        <w:rPr>
          <w:color w:val="auto"/>
          <w:sz w:val="24"/>
          <w:szCs w:val="24"/>
        </w:rPr>
        <w:t>%90</w:t>
      </w:r>
      <w:r w:rsidRPr="00DE12A3">
        <w:rPr>
          <w:color w:val="auto"/>
          <w:sz w:val="24"/>
          <w:szCs w:val="24"/>
        </w:rPr>
        <w:t xml:space="preserve"> elektriksel hareketlilik çapında sayım verimlerine sahip olmalıdır. Bu sayım verimleri, dahili (örneğin, cihaz tasarımının kontrolü) veya harici (örneğin, boyut ön sınıflandırma) imkanlar ile sağlanabilir</w:t>
      </w:r>
      <w:r w:rsidR="00CB4BBD" w:rsidRPr="00DE12A3">
        <w:rPr>
          <w:color w:val="auto"/>
          <w:sz w:val="24"/>
          <w:szCs w:val="24"/>
        </w:rPr>
        <w:t>.</w:t>
      </w:r>
    </w:p>
    <w:p w14:paraId="30F24E88" w14:textId="77777777" w:rsidR="002D7B36" w:rsidRPr="00DE12A3" w:rsidRDefault="00242DA0" w:rsidP="00E20716">
      <w:pPr>
        <w:pStyle w:val="Gvdemetni251"/>
        <w:numPr>
          <w:ilvl w:val="0"/>
          <w:numId w:val="379"/>
        </w:numPr>
        <w:shd w:val="clear" w:color="auto" w:fill="auto"/>
        <w:spacing w:before="120" w:after="120" w:line="240" w:lineRule="auto"/>
        <w:ind w:left="1134" w:hanging="1134"/>
        <w:rPr>
          <w:color w:val="auto"/>
          <w:sz w:val="24"/>
          <w:szCs w:val="24"/>
        </w:rPr>
      </w:pPr>
      <w:r w:rsidRPr="00DE12A3">
        <w:rPr>
          <w:color w:val="auto"/>
          <w:sz w:val="24"/>
          <w:szCs w:val="24"/>
        </w:rPr>
        <w:t>PNC bir çalışma sıvısı kullanıyorsa, bu sıvı cihaz imalatçısı tarafından belirtilen sıklıkta değiştirilmelidir.</w:t>
      </w:r>
    </w:p>
    <w:p w14:paraId="5ABB8B1A" w14:textId="77777777" w:rsidR="002D7B36" w:rsidRPr="00DE12A3" w:rsidRDefault="00513B24" w:rsidP="00E20716">
      <w:pPr>
        <w:pStyle w:val="Gvdemetni251"/>
        <w:numPr>
          <w:ilvl w:val="0"/>
          <w:numId w:val="377"/>
        </w:numPr>
        <w:shd w:val="clear" w:color="auto" w:fill="auto"/>
        <w:tabs>
          <w:tab w:val="left" w:pos="851"/>
        </w:tabs>
        <w:spacing w:before="120" w:after="120" w:line="240" w:lineRule="auto"/>
        <w:ind w:left="1134" w:hanging="1134"/>
        <w:rPr>
          <w:color w:val="auto"/>
          <w:sz w:val="24"/>
          <w:szCs w:val="24"/>
        </w:rPr>
      </w:pPr>
      <w:r w:rsidRPr="00DE12A3">
        <w:rPr>
          <w:color w:val="auto"/>
          <w:sz w:val="24"/>
          <w:szCs w:val="24"/>
        </w:rPr>
        <w:t xml:space="preserve">     </w:t>
      </w:r>
      <w:r w:rsidR="00242DA0" w:rsidRPr="00DE12A3">
        <w:rPr>
          <w:color w:val="auto"/>
          <w:sz w:val="24"/>
          <w:szCs w:val="24"/>
        </w:rPr>
        <w:t xml:space="preserve">PNC akış hızının kontrol edildiği noktada bilinen bir sabit seviyede tutulmadıkları takdirde, PNC girişindeki basınç ve/veya sıcaklık, </w:t>
      </w:r>
      <w:r w:rsidR="007E2039" w:rsidRPr="00DE12A3">
        <w:rPr>
          <w:color w:val="auto"/>
          <w:sz w:val="24"/>
          <w:szCs w:val="24"/>
        </w:rPr>
        <w:t xml:space="preserve">partikül </w:t>
      </w:r>
      <w:r w:rsidR="00242DA0" w:rsidRPr="00DE12A3">
        <w:rPr>
          <w:color w:val="auto"/>
          <w:sz w:val="24"/>
          <w:szCs w:val="24"/>
        </w:rPr>
        <w:t>konsantrasyon ölçümlerini standart koşullara göre düzeltme amacıyla ölçülmeli ve raporlanmalıdır.</w:t>
      </w:r>
    </w:p>
    <w:p w14:paraId="67D43A29" w14:textId="77777777" w:rsidR="002D7B36" w:rsidRPr="00DE12A3" w:rsidRDefault="00513B24" w:rsidP="00E20716">
      <w:pPr>
        <w:pStyle w:val="Gvdemetni251"/>
        <w:numPr>
          <w:ilvl w:val="0"/>
          <w:numId w:val="377"/>
        </w:numPr>
        <w:shd w:val="clear" w:color="auto" w:fill="auto"/>
        <w:tabs>
          <w:tab w:val="left" w:pos="851"/>
          <w:tab w:val="left" w:pos="5055"/>
        </w:tabs>
        <w:spacing w:before="120" w:after="120" w:line="240" w:lineRule="auto"/>
        <w:ind w:left="1134" w:hanging="1134"/>
        <w:rPr>
          <w:color w:val="auto"/>
          <w:sz w:val="24"/>
          <w:szCs w:val="24"/>
        </w:rPr>
      </w:pPr>
      <w:r w:rsidRPr="00DE12A3">
        <w:rPr>
          <w:color w:val="auto"/>
          <w:sz w:val="24"/>
          <w:szCs w:val="24"/>
        </w:rPr>
        <w:t xml:space="preserve">     </w:t>
      </w:r>
      <w:r w:rsidR="00242DA0" w:rsidRPr="00DE12A3">
        <w:rPr>
          <w:color w:val="auto"/>
          <w:sz w:val="24"/>
          <w:szCs w:val="24"/>
        </w:rPr>
        <w:t>PTS, VPR ve OT'nin kalma süresi artı PNC'nin tepki süresi toplamı 20 saniyeden fazla olamaz.</w:t>
      </w:r>
    </w:p>
    <w:p w14:paraId="53C82F4E" w14:textId="5D0F82B8" w:rsidR="002D7B36" w:rsidRPr="00DE12A3" w:rsidRDefault="00242DA0" w:rsidP="00E20716">
      <w:pPr>
        <w:pStyle w:val="Gvdemetni251"/>
        <w:numPr>
          <w:ilvl w:val="0"/>
          <w:numId w:val="377"/>
        </w:numPr>
        <w:shd w:val="clear" w:color="auto" w:fill="auto"/>
        <w:spacing w:before="120" w:after="120" w:line="240" w:lineRule="auto"/>
        <w:ind w:left="1134" w:hanging="1134"/>
        <w:rPr>
          <w:color w:val="auto"/>
          <w:sz w:val="24"/>
          <w:szCs w:val="24"/>
        </w:rPr>
      </w:pPr>
      <w:r w:rsidRPr="00DE12A3">
        <w:rPr>
          <w:color w:val="auto"/>
          <w:sz w:val="24"/>
          <w:szCs w:val="24"/>
        </w:rPr>
        <w:t xml:space="preserve">Tüm </w:t>
      </w:r>
      <w:r w:rsidR="007E2039" w:rsidRPr="00DE12A3">
        <w:rPr>
          <w:color w:val="auto"/>
          <w:sz w:val="24"/>
          <w:szCs w:val="24"/>
        </w:rPr>
        <w:t xml:space="preserve">partikül </w:t>
      </w:r>
      <w:r w:rsidRPr="00DE12A3">
        <w:rPr>
          <w:color w:val="auto"/>
          <w:sz w:val="24"/>
          <w:szCs w:val="24"/>
        </w:rPr>
        <w:t xml:space="preserve">sayısı örnekleme sisteminin (PTS, VPR, OT ve PNC) dönüşüm süresi, doğrudan PTS'nin girişinde bulunan aerosol değişimi ile belirlenmelidir. Aerosol değişimi 0,1 s'den daha kısa sürede yapılmalıdır. Test için kullanılan aerosol tam ölçeğin (FS) en az %60'ı kadar konsantrasyon değişikliğine neden </w:t>
      </w:r>
      <w:r w:rsidR="00067050" w:rsidRPr="00DE12A3">
        <w:rPr>
          <w:color w:val="auto"/>
          <w:sz w:val="24"/>
          <w:szCs w:val="24"/>
        </w:rPr>
        <w:t>olmalıdır.</w:t>
      </w:r>
    </w:p>
    <w:p w14:paraId="41CB9934" w14:textId="0692ECD4" w:rsidR="002D7B36" w:rsidRPr="00DE12A3" w:rsidRDefault="00513B24" w:rsidP="00C917D6">
      <w:pPr>
        <w:pStyle w:val="Gvdemetni251"/>
        <w:shd w:val="clear" w:color="auto" w:fill="auto"/>
        <w:spacing w:before="120" w:after="120" w:line="240" w:lineRule="auto"/>
        <w:ind w:left="1134" w:hanging="1134"/>
        <w:rPr>
          <w:color w:val="auto"/>
          <w:sz w:val="24"/>
          <w:szCs w:val="24"/>
        </w:rPr>
      </w:pPr>
      <w:r w:rsidRPr="00DE12A3">
        <w:rPr>
          <w:color w:val="auto"/>
          <w:sz w:val="24"/>
          <w:szCs w:val="24"/>
        </w:rPr>
        <w:t xml:space="preserve">                  </w:t>
      </w:r>
      <w:r w:rsidR="00242DA0" w:rsidRPr="00DE12A3">
        <w:rPr>
          <w:color w:val="auto"/>
          <w:sz w:val="24"/>
          <w:szCs w:val="24"/>
        </w:rPr>
        <w:t xml:space="preserve">Konsantrasyon izi kaydedilmelidir. </w:t>
      </w:r>
      <w:r w:rsidR="007E2039" w:rsidRPr="00DE12A3">
        <w:rPr>
          <w:color w:val="auto"/>
          <w:sz w:val="24"/>
          <w:szCs w:val="24"/>
        </w:rPr>
        <w:t xml:space="preserve">Partikül </w:t>
      </w:r>
      <w:r w:rsidR="00242DA0" w:rsidRPr="00DE12A3">
        <w:rPr>
          <w:color w:val="auto"/>
          <w:sz w:val="24"/>
          <w:szCs w:val="24"/>
        </w:rPr>
        <w:t>sayısı konsantrasyonunun ve egzoz gazı akış sinyallerinin süre hizalaması için dönüşüm süresi, değişimden (t</w:t>
      </w:r>
      <w:r w:rsidR="00242DA0" w:rsidRPr="00DE12A3">
        <w:rPr>
          <w:color w:val="auto"/>
          <w:sz w:val="24"/>
          <w:szCs w:val="24"/>
          <w:vertAlign w:val="subscript"/>
        </w:rPr>
        <w:t>0</w:t>
      </w:r>
      <w:r w:rsidR="00242DA0" w:rsidRPr="00DE12A3">
        <w:rPr>
          <w:color w:val="auto"/>
          <w:sz w:val="24"/>
          <w:szCs w:val="24"/>
        </w:rPr>
        <w:t xml:space="preserve">), tepkinin nihai değerin </w:t>
      </w:r>
      <w:r w:rsidR="00F466F2" w:rsidRPr="00DE12A3">
        <w:rPr>
          <w:color w:val="auto"/>
          <w:sz w:val="24"/>
          <w:szCs w:val="24"/>
        </w:rPr>
        <w:t>%50</w:t>
      </w:r>
      <w:r w:rsidR="00242DA0" w:rsidRPr="00DE12A3">
        <w:rPr>
          <w:color w:val="auto"/>
          <w:sz w:val="24"/>
          <w:szCs w:val="24"/>
        </w:rPr>
        <w:t>'si olduğu zamana kadar olan süre (t</w:t>
      </w:r>
      <w:r w:rsidR="00242DA0" w:rsidRPr="00DE12A3">
        <w:rPr>
          <w:color w:val="auto"/>
          <w:sz w:val="24"/>
          <w:szCs w:val="24"/>
          <w:vertAlign w:val="subscript"/>
        </w:rPr>
        <w:t>50</w:t>
      </w:r>
      <w:r w:rsidR="00242DA0" w:rsidRPr="00DE12A3">
        <w:rPr>
          <w:color w:val="auto"/>
          <w:sz w:val="24"/>
          <w:szCs w:val="24"/>
        </w:rPr>
        <w:t>) olarak tanımlanır.</w:t>
      </w:r>
    </w:p>
    <w:p w14:paraId="3AC13FE0" w14:textId="77777777" w:rsidR="002D7B36" w:rsidRPr="00DE12A3" w:rsidRDefault="00513B24" w:rsidP="00E20716">
      <w:pPr>
        <w:pStyle w:val="Gvdemetni251"/>
        <w:numPr>
          <w:ilvl w:val="0"/>
          <w:numId w:val="373"/>
        </w:numPr>
        <w:shd w:val="clear" w:color="auto" w:fill="auto"/>
        <w:spacing w:before="120" w:after="120" w:line="240" w:lineRule="auto"/>
        <w:ind w:left="1134" w:hanging="1134"/>
        <w:rPr>
          <w:color w:val="auto"/>
          <w:sz w:val="24"/>
          <w:szCs w:val="24"/>
        </w:rPr>
      </w:pPr>
      <w:r w:rsidRPr="00DE12A3">
        <w:rPr>
          <w:color w:val="auto"/>
          <w:sz w:val="24"/>
          <w:szCs w:val="24"/>
        </w:rPr>
        <w:t xml:space="preserve">      </w:t>
      </w:r>
      <w:r w:rsidR="00242DA0" w:rsidRPr="00DE12A3">
        <w:rPr>
          <w:color w:val="auto"/>
          <w:sz w:val="24"/>
          <w:szCs w:val="24"/>
        </w:rPr>
        <w:t>Önerilen sistem açıklaması</w:t>
      </w:r>
    </w:p>
    <w:p w14:paraId="22BC4201" w14:textId="77777777" w:rsidR="002D7B36" w:rsidRPr="00DE12A3" w:rsidRDefault="00513B24" w:rsidP="00C917D6">
      <w:pPr>
        <w:pStyle w:val="Gvdemetni251"/>
        <w:shd w:val="clear" w:color="auto" w:fill="auto"/>
        <w:spacing w:before="120" w:after="120" w:line="240" w:lineRule="auto"/>
        <w:ind w:left="1134" w:hanging="1134"/>
        <w:rPr>
          <w:color w:val="auto"/>
          <w:sz w:val="24"/>
          <w:szCs w:val="24"/>
        </w:rPr>
      </w:pPr>
      <w:r w:rsidRPr="00DE12A3">
        <w:rPr>
          <w:color w:val="auto"/>
          <w:sz w:val="24"/>
          <w:szCs w:val="24"/>
        </w:rPr>
        <w:t xml:space="preserve">                  </w:t>
      </w:r>
      <w:r w:rsidR="00242DA0" w:rsidRPr="00DE12A3">
        <w:rPr>
          <w:color w:val="auto"/>
          <w:sz w:val="24"/>
          <w:szCs w:val="24"/>
        </w:rPr>
        <w:t xml:space="preserve">Bu bent, </w:t>
      </w:r>
      <w:r w:rsidR="007E2039" w:rsidRPr="00DE12A3">
        <w:rPr>
          <w:color w:val="auto"/>
          <w:sz w:val="24"/>
          <w:szCs w:val="24"/>
        </w:rPr>
        <w:t xml:space="preserve">partikül </w:t>
      </w:r>
      <w:r w:rsidR="00242DA0" w:rsidRPr="00DE12A3">
        <w:rPr>
          <w:color w:val="auto"/>
          <w:sz w:val="24"/>
          <w:szCs w:val="24"/>
        </w:rPr>
        <w:t xml:space="preserve">sayısının ölçümü için önerilen uygulamayı içermektedir. Ancak, 2.1.2 ve 2.1.3 bentlerinde belirtilen performans </w:t>
      </w:r>
      <w:r w:rsidR="0053289F" w:rsidRPr="00DE12A3">
        <w:rPr>
          <w:color w:val="auto"/>
          <w:sz w:val="24"/>
          <w:szCs w:val="24"/>
        </w:rPr>
        <w:t>gerekliliklerini</w:t>
      </w:r>
      <w:r w:rsidR="00242DA0" w:rsidRPr="00DE12A3">
        <w:rPr>
          <w:color w:val="auto"/>
          <w:sz w:val="24"/>
          <w:szCs w:val="24"/>
        </w:rPr>
        <w:t xml:space="preserve"> sağlayan </w:t>
      </w:r>
      <w:r w:rsidR="00242DA0" w:rsidRPr="00DE12A3">
        <w:rPr>
          <w:color w:val="auto"/>
          <w:sz w:val="24"/>
          <w:szCs w:val="24"/>
        </w:rPr>
        <w:lastRenderedPageBreak/>
        <w:t>her sistem kabul edilebilir.</w:t>
      </w:r>
    </w:p>
    <w:p w14:paraId="2B3CDABC" w14:textId="77777777" w:rsidR="002D7B36" w:rsidRPr="00DE12A3" w:rsidRDefault="00513B24" w:rsidP="00C917D6">
      <w:pPr>
        <w:pStyle w:val="Gvdemetni251"/>
        <w:shd w:val="clear" w:color="auto" w:fill="auto"/>
        <w:spacing w:before="120" w:after="120" w:line="240" w:lineRule="auto"/>
        <w:ind w:left="1134" w:hanging="1134"/>
        <w:rPr>
          <w:color w:val="auto"/>
          <w:sz w:val="24"/>
          <w:szCs w:val="24"/>
        </w:rPr>
      </w:pPr>
      <w:r w:rsidRPr="00DE12A3">
        <w:rPr>
          <w:color w:val="auto"/>
          <w:sz w:val="24"/>
          <w:szCs w:val="24"/>
        </w:rPr>
        <w:t xml:space="preserve">                   </w:t>
      </w:r>
      <w:r w:rsidR="00242DA0" w:rsidRPr="00DE12A3">
        <w:rPr>
          <w:color w:val="auto"/>
          <w:sz w:val="24"/>
          <w:szCs w:val="24"/>
        </w:rPr>
        <w:t xml:space="preserve">Şekil 6.9 ve 6.10, sırasıyla kısmi ve tam akışlı seyreltme sistemleri için önerilen </w:t>
      </w:r>
      <w:r w:rsidR="007E2039" w:rsidRPr="00DE12A3">
        <w:rPr>
          <w:color w:val="auto"/>
          <w:sz w:val="24"/>
          <w:szCs w:val="24"/>
        </w:rPr>
        <w:t xml:space="preserve">partikül </w:t>
      </w:r>
      <w:r w:rsidR="00242DA0" w:rsidRPr="00DE12A3">
        <w:rPr>
          <w:color w:val="auto"/>
          <w:sz w:val="24"/>
          <w:szCs w:val="24"/>
        </w:rPr>
        <w:t>örnekleme sistemi yapılandırmalarının şematik çizimleridir.</w:t>
      </w:r>
    </w:p>
    <w:p w14:paraId="58A024E1" w14:textId="77777777" w:rsidR="002D7B36" w:rsidRPr="00DE12A3" w:rsidRDefault="00242DA0" w:rsidP="00C917D6">
      <w:pPr>
        <w:pStyle w:val="Gvdemetni261"/>
        <w:shd w:val="clear" w:color="auto" w:fill="auto"/>
        <w:spacing w:before="120" w:after="120" w:line="240" w:lineRule="auto"/>
        <w:ind w:left="1134" w:hanging="1134"/>
        <w:rPr>
          <w:color w:val="auto"/>
          <w:sz w:val="24"/>
          <w:szCs w:val="24"/>
        </w:rPr>
      </w:pPr>
      <w:r w:rsidRPr="00DE12A3">
        <w:rPr>
          <w:rStyle w:val="Gvdemetni260ptbolukbraklyor5"/>
          <w:color w:val="auto"/>
          <w:sz w:val="24"/>
          <w:szCs w:val="24"/>
        </w:rPr>
        <w:t>Şekil 6.9</w:t>
      </w:r>
    </w:p>
    <w:p w14:paraId="12B3A9A0" w14:textId="54D75A2E" w:rsidR="002D7B36" w:rsidRPr="00DE12A3" w:rsidRDefault="00242DA0" w:rsidP="00C917D6">
      <w:pPr>
        <w:pStyle w:val="Gvdemetni51"/>
        <w:shd w:val="clear" w:color="auto" w:fill="auto"/>
        <w:spacing w:before="120" w:after="120" w:line="240" w:lineRule="auto"/>
        <w:ind w:left="1134" w:hanging="1134"/>
        <w:jc w:val="center"/>
        <w:rPr>
          <w:color w:val="auto"/>
          <w:sz w:val="24"/>
          <w:szCs w:val="24"/>
        </w:rPr>
      </w:pPr>
      <w:r w:rsidRPr="00DE12A3">
        <w:rPr>
          <w:color w:val="auto"/>
          <w:sz w:val="24"/>
          <w:szCs w:val="24"/>
        </w:rPr>
        <w:t xml:space="preserve">Önerilen </w:t>
      </w:r>
      <w:r w:rsidR="007E2039" w:rsidRPr="00DE12A3">
        <w:rPr>
          <w:color w:val="auto"/>
          <w:sz w:val="24"/>
          <w:szCs w:val="24"/>
        </w:rPr>
        <w:t xml:space="preserve">partikül </w:t>
      </w:r>
      <w:r w:rsidRPr="00DE12A3">
        <w:rPr>
          <w:color w:val="auto"/>
          <w:sz w:val="24"/>
          <w:szCs w:val="24"/>
        </w:rPr>
        <w:t xml:space="preserve">örnekleme sistemi </w:t>
      </w:r>
      <w:r w:rsidR="00590D92" w:rsidRPr="00DE12A3">
        <w:rPr>
          <w:color w:val="auto"/>
          <w:sz w:val="24"/>
          <w:szCs w:val="24"/>
        </w:rPr>
        <w:t>şeması-</w:t>
      </w:r>
      <w:r w:rsidRPr="00DE12A3">
        <w:rPr>
          <w:color w:val="auto"/>
          <w:sz w:val="24"/>
          <w:szCs w:val="24"/>
        </w:rPr>
        <w:t xml:space="preserve"> Kısmi akışlı örnekleme</w:t>
      </w:r>
    </w:p>
    <w:p w14:paraId="117F2975" w14:textId="77777777" w:rsidR="000D5EC0" w:rsidRPr="00DE12A3" w:rsidRDefault="000D5EC0" w:rsidP="00C917D6">
      <w:pPr>
        <w:pStyle w:val="Gvdemetni51"/>
        <w:shd w:val="clear" w:color="auto" w:fill="auto"/>
        <w:tabs>
          <w:tab w:val="left" w:pos="142"/>
        </w:tabs>
        <w:spacing w:before="120" w:after="120" w:line="240" w:lineRule="auto"/>
        <w:ind w:left="1134" w:hanging="1134"/>
        <w:jc w:val="center"/>
        <w:rPr>
          <w:color w:val="auto"/>
          <w:sz w:val="24"/>
          <w:szCs w:val="24"/>
        </w:rPr>
      </w:pPr>
    </w:p>
    <w:p w14:paraId="5666282C" w14:textId="690118FB" w:rsidR="000D5EC0" w:rsidRPr="00DE12A3" w:rsidRDefault="000D5EC0" w:rsidP="00C917D6">
      <w:pPr>
        <w:pStyle w:val="Gvdemetni51"/>
        <w:shd w:val="clear" w:color="auto" w:fill="auto"/>
        <w:spacing w:before="120" w:after="120" w:line="240" w:lineRule="auto"/>
        <w:ind w:left="1134" w:hanging="1134"/>
        <w:jc w:val="both"/>
        <w:rPr>
          <w:color w:val="auto"/>
          <w:sz w:val="24"/>
          <w:szCs w:val="24"/>
        </w:rPr>
      </w:pPr>
      <w:r w:rsidRPr="00DE12A3">
        <w:rPr>
          <w:noProof/>
          <w:color w:val="auto"/>
          <w:sz w:val="24"/>
          <w:szCs w:val="24"/>
        </w:rPr>
        <w:drawing>
          <wp:inline distT="0" distB="0" distL="0" distR="0" wp14:anchorId="3FA5AF90" wp14:editId="635609BA">
            <wp:extent cx="5720862" cy="4589145"/>
            <wp:effectExtent l="0" t="0" r="0" b="1905"/>
            <wp:docPr id="56" name="Resim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Resim 56"/>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a:xfrm>
                      <a:off x="0" y="0"/>
                      <a:ext cx="5733363" cy="4599173"/>
                    </a:xfrm>
                    <a:prstGeom prst="rect">
                      <a:avLst/>
                    </a:prstGeom>
                    <a:noFill/>
                    <a:ln>
                      <a:noFill/>
                    </a:ln>
                  </pic:spPr>
                </pic:pic>
              </a:graphicData>
            </a:graphic>
          </wp:inline>
        </w:drawing>
      </w:r>
    </w:p>
    <w:p w14:paraId="28200271" w14:textId="77777777" w:rsidR="000D5EC0" w:rsidRPr="00DE12A3" w:rsidRDefault="000D5EC0" w:rsidP="00C917D6">
      <w:pPr>
        <w:pStyle w:val="Gvdemetni51"/>
        <w:shd w:val="clear" w:color="auto" w:fill="auto"/>
        <w:spacing w:before="120" w:after="120" w:line="240" w:lineRule="auto"/>
        <w:ind w:left="1134" w:hanging="1134"/>
        <w:jc w:val="both"/>
        <w:rPr>
          <w:color w:val="auto"/>
          <w:sz w:val="24"/>
          <w:szCs w:val="24"/>
        </w:rPr>
      </w:pPr>
    </w:p>
    <w:p w14:paraId="6F0A7673" w14:textId="77777777" w:rsidR="002D7B36" w:rsidRPr="00DE12A3" w:rsidRDefault="002D7B36" w:rsidP="00C917D6">
      <w:pPr>
        <w:spacing w:before="120" w:after="120"/>
        <w:ind w:left="1134" w:hanging="1134"/>
        <w:jc w:val="both"/>
        <w:rPr>
          <w:rFonts w:eastAsia="Times New Roman" w:cs="Times New Roman"/>
          <w:color w:val="auto"/>
          <w:lang w:eastAsia="en-US"/>
        </w:rPr>
      </w:pPr>
    </w:p>
    <w:p w14:paraId="7F6F0BF7" w14:textId="77777777" w:rsidR="00513B24" w:rsidRPr="00DE12A3" w:rsidRDefault="00513B24" w:rsidP="00C917D6">
      <w:pPr>
        <w:spacing w:before="120" w:after="120"/>
        <w:ind w:left="1134" w:hanging="1134"/>
        <w:jc w:val="both"/>
        <w:rPr>
          <w:rFonts w:eastAsia="Times New Roman" w:cs="Times New Roman"/>
          <w:color w:val="auto"/>
          <w:lang w:eastAsia="en-US"/>
        </w:rPr>
      </w:pPr>
    </w:p>
    <w:p w14:paraId="622AFC0A" w14:textId="77777777" w:rsidR="00513B24" w:rsidRPr="00DE12A3" w:rsidRDefault="00513B24" w:rsidP="00C917D6">
      <w:pPr>
        <w:spacing w:before="120" w:after="120"/>
        <w:ind w:left="1134" w:hanging="1134"/>
        <w:jc w:val="both"/>
        <w:rPr>
          <w:rFonts w:eastAsia="Times New Roman" w:cs="Times New Roman"/>
          <w:color w:val="auto"/>
          <w:lang w:eastAsia="en-US"/>
        </w:rPr>
      </w:pPr>
    </w:p>
    <w:p w14:paraId="2613E879" w14:textId="77777777" w:rsidR="00513B24" w:rsidRPr="00DE12A3" w:rsidRDefault="00513B24" w:rsidP="00C917D6">
      <w:pPr>
        <w:spacing w:before="120" w:after="120"/>
        <w:ind w:left="1134" w:hanging="1134"/>
        <w:jc w:val="both"/>
        <w:rPr>
          <w:rFonts w:eastAsia="Times New Roman" w:cs="Times New Roman"/>
          <w:color w:val="auto"/>
          <w:lang w:eastAsia="en-US"/>
        </w:rPr>
      </w:pPr>
    </w:p>
    <w:p w14:paraId="64CA1F74" w14:textId="77777777" w:rsidR="00513B24" w:rsidRPr="00DE12A3" w:rsidRDefault="00513B24" w:rsidP="00C917D6">
      <w:pPr>
        <w:spacing w:before="120" w:after="120"/>
        <w:ind w:left="1134" w:hanging="1134"/>
        <w:jc w:val="both"/>
        <w:rPr>
          <w:rFonts w:eastAsia="Times New Roman" w:cs="Times New Roman"/>
          <w:color w:val="auto"/>
          <w:lang w:eastAsia="en-US"/>
        </w:rPr>
      </w:pPr>
    </w:p>
    <w:p w14:paraId="39259981" w14:textId="77777777" w:rsidR="0055404E" w:rsidRPr="00DE12A3" w:rsidRDefault="0055404E" w:rsidP="00C917D6">
      <w:pPr>
        <w:pStyle w:val="Gvdemetni261"/>
        <w:shd w:val="clear" w:color="auto" w:fill="auto"/>
        <w:spacing w:before="120" w:after="120" w:line="240" w:lineRule="auto"/>
        <w:ind w:left="1134" w:hanging="1134"/>
        <w:rPr>
          <w:rStyle w:val="Gvdemetni260ptbolukbraklyor5"/>
          <w:color w:val="auto"/>
          <w:sz w:val="24"/>
          <w:szCs w:val="24"/>
        </w:rPr>
      </w:pPr>
    </w:p>
    <w:p w14:paraId="727EC712" w14:textId="77777777" w:rsidR="0055404E" w:rsidRPr="00DE12A3" w:rsidRDefault="0055404E" w:rsidP="00C917D6">
      <w:pPr>
        <w:pStyle w:val="Gvdemetni261"/>
        <w:shd w:val="clear" w:color="auto" w:fill="auto"/>
        <w:spacing w:before="120" w:after="120" w:line="240" w:lineRule="auto"/>
        <w:ind w:left="1134" w:hanging="1134"/>
        <w:rPr>
          <w:rStyle w:val="Gvdemetni260ptbolukbraklyor5"/>
          <w:color w:val="auto"/>
          <w:sz w:val="24"/>
          <w:szCs w:val="24"/>
        </w:rPr>
      </w:pPr>
    </w:p>
    <w:p w14:paraId="04A7FC3F" w14:textId="77777777" w:rsidR="0055404E" w:rsidRPr="00DE12A3" w:rsidRDefault="0055404E" w:rsidP="00C917D6">
      <w:pPr>
        <w:pStyle w:val="Gvdemetni261"/>
        <w:shd w:val="clear" w:color="auto" w:fill="auto"/>
        <w:spacing w:before="120" w:after="120" w:line="240" w:lineRule="auto"/>
        <w:ind w:left="1134" w:hanging="1134"/>
        <w:rPr>
          <w:rStyle w:val="Gvdemetni260ptbolukbraklyor5"/>
          <w:color w:val="auto"/>
          <w:sz w:val="24"/>
          <w:szCs w:val="24"/>
        </w:rPr>
      </w:pPr>
    </w:p>
    <w:p w14:paraId="3B84B65B" w14:textId="77777777" w:rsidR="0055404E" w:rsidRPr="00DE12A3" w:rsidRDefault="0055404E" w:rsidP="00C917D6">
      <w:pPr>
        <w:pStyle w:val="Gvdemetni261"/>
        <w:shd w:val="clear" w:color="auto" w:fill="auto"/>
        <w:spacing w:before="120" w:after="120" w:line="240" w:lineRule="auto"/>
        <w:ind w:left="1134" w:hanging="1134"/>
        <w:rPr>
          <w:rStyle w:val="Gvdemetni260ptbolukbraklyor5"/>
          <w:color w:val="auto"/>
          <w:sz w:val="24"/>
          <w:szCs w:val="24"/>
        </w:rPr>
      </w:pPr>
    </w:p>
    <w:p w14:paraId="493B9C9E" w14:textId="77777777" w:rsidR="00F466F2" w:rsidRPr="00DE12A3" w:rsidRDefault="00F466F2" w:rsidP="00C917D6">
      <w:pPr>
        <w:pStyle w:val="Gvdemetni261"/>
        <w:shd w:val="clear" w:color="auto" w:fill="auto"/>
        <w:spacing w:before="120" w:after="120" w:line="240" w:lineRule="auto"/>
        <w:ind w:left="1134" w:hanging="1134"/>
        <w:rPr>
          <w:rStyle w:val="Gvdemetni260ptbolukbraklyor5"/>
          <w:color w:val="auto"/>
          <w:sz w:val="24"/>
          <w:szCs w:val="24"/>
        </w:rPr>
      </w:pPr>
    </w:p>
    <w:p w14:paraId="4B0229F3" w14:textId="77777777" w:rsidR="00F466F2" w:rsidRPr="00DE12A3" w:rsidRDefault="00F466F2" w:rsidP="00C917D6">
      <w:pPr>
        <w:pStyle w:val="Gvdemetni261"/>
        <w:shd w:val="clear" w:color="auto" w:fill="auto"/>
        <w:spacing w:before="120" w:after="120" w:line="240" w:lineRule="auto"/>
        <w:ind w:left="1134" w:hanging="1134"/>
        <w:rPr>
          <w:rStyle w:val="Gvdemetni260ptbolukbraklyor5"/>
          <w:color w:val="auto"/>
          <w:sz w:val="24"/>
          <w:szCs w:val="24"/>
        </w:rPr>
      </w:pPr>
    </w:p>
    <w:p w14:paraId="6D54A71C" w14:textId="0EF43E2E" w:rsidR="002D7B36" w:rsidRPr="00DE12A3" w:rsidRDefault="00242DA0" w:rsidP="00C917D6">
      <w:pPr>
        <w:pStyle w:val="Gvdemetni261"/>
        <w:shd w:val="clear" w:color="auto" w:fill="auto"/>
        <w:spacing w:before="120" w:after="120" w:line="240" w:lineRule="auto"/>
        <w:ind w:left="1134" w:hanging="1134"/>
        <w:rPr>
          <w:color w:val="auto"/>
          <w:sz w:val="24"/>
          <w:szCs w:val="24"/>
        </w:rPr>
      </w:pPr>
      <w:r w:rsidRPr="00DE12A3">
        <w:rPr>
          <w:rStyle w:val="Gvdemetni260ptbolukbraklyor5"/>
          <w:color w:val="auto"/>
          <w:sz w:val="24"/>
          <w:szCs w:val="24"/>
        </w:rPr>
        <w:lastRenderedPageBreak/>
        <w:t>Şekil 6.10</w:t>
      </w:r>
    </w:p>
    <w:p w14:paraId="639BC625" w14:textId="21F80CA7" w:rsidR="002D7B36" w:rsidRPr="00DE12A3" w:rsidRDefault="00242DA0" w:rsidP="00C917D6">
      <w:pPr>
        <w:pStyle w:val="Gvdemetni51"/>
        <w:shd w:val="clear" w:color="auto" w:fill="auto"/>
        <w:spacing w:before="120" w:after="120" w:line="240" w:lineRule="auto"/>
        <w:ind w:left="1134" w:hanging="1134"/>
        <w:jc w:val="center"/>
        <w:rPr>
          <w:color w:val="auto"/>
          <w:sz w:val="24"/>
          <w:szCs w:val="24"/>
        </w:rPr>
      </w:pPr>
      <w:r w:rsidRPr="00DE12A3">
        <w:rPr>
          <w:color w:val="auto"/>
          <w:sz w:val="24"/>
          <w:szCs w:val="24"/>
        </w:rPr>
        <w:t xml:space="preserve">Önerilen </w:t>
      </w:r>
      <w:r w:rsidR="007E2039" w:rsidRPr="00DE12A3">
        <w:rPr>
          <w:color w:val="auto"/>
          <w:sz w:val="24"/>
          <w:szCs w:val="24"/>
        </w:rPr>
        <w:t xml:space="preserve">partikül </w:t>
      </w:r>
      <w:r w:rsidRPr="00DE12A3">
        <w:rPr>
          <w:color w:val="auto"/>
          <w:sz w:val="24"/>
          <w:szCs w:val="24"/>
        </w:rPr>
        <w:t xml:space="preserve">örnekleme sistemi </w:t>
      </w:r>
      <w:r w:rsidR="00590D92" w:rsidRPr="00DE12A3">
        <w:rPr>
          <w:color w:val="auto"/>
          <w:sz w:val="24"/>
          <w:szCs w:val="24"/>
        </w:rPr>
        <w:t>şeması-</w:t>
      </w:r>
      <w:r w:rsidRPr="00DE12A3">
        <w:rPr>
          <w:color w:val="auto"/>
          <w:sz w:val="24"/>
          <w:szCs w:val="24"/>
        </w:rPr>
        <w:t xml:space="preserve"> Tam akışlı örnekleme</w:t>
      </w:r>
    </w:p>
    <w:p w14:paraId="6A0D65B6" w14:textId="48F45211" w:rsidR="000D5EC0" w:rsidRPr="00DE12A3" w:rsidRDefault="000D5EC0" w:rsidP="00C917D6">
      <w:pPr>
        <w:pStyle w:val="Gvdemetni51"/>
        <w:shd w:val="clear" w:color="auto" w:fill="auto"/>
        <w:spacing w:before="120" w:after="120" w:line="240" w:lineRule="auto"/>
        <w:ind w:left="1134" w:hanging="1134"/>
        <w:jc w:val="both"/>
        <w:rPr>
          <w:color w:val="auto"/>
          <w:sz w:val="24"/>
          <w:szCs w:val="24"/>
        </w:rPr>
      </w:pPr>
      <w:r w:rsidRPr="00DE12A3">
        <w:rPr>
          <w:noProof/>
          <w:color w:val="auto"/>
          <w:sz w:val="24"/>
          <w:szCs w:val="24"/>
        </w:rPr>
        <w:drawing>
          <wp:inline distT="0" distB="0" distL="0" distR="0" wp14:anchorId="6F1B07DF" wp14:editId="76BFFE8E">
            <wp:extent cx="5808785" cy="4378224"/>
            <wp:effectExtent l="0" t="0" r="1905" b="3810"/>
            <wp:docPr id="2410" name="Resim 24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5836687" cy="4399255"/>
                    </a:xfrm>
                    <a:prstGeom prst="rect">
                      <a:avLst/>
                    </a:prstGeom>
                    <a:noFill/>
                    <a:ln>
                      <a:noFill/>
                    </a:ln>
                  </pic:spPr>
                </pic:pic>
              </a:graphicData>
            </a:graphic>
          </wp:inline>
        </w:drawing>
      </w:r>
    </w:p>
    <w:p w14:paraId="1F03E304" w14:textId="77777777" w:rsidR="000D5EC0" w:rsidRPr="00DE12A3" w:rsidRDefault="000D5EC0" w:rsidP="00C917D6">
      <w:pPr>
        <w:pStyle w:val="Gvdemetni51"/>
        <w:shd w:val="clear" w:color="auto" w:fill="auto"/>
        <w:spacing w:before="120" w:after="120" w:line="240" w:lineRule="auto"/>
        <w:ind w:left="1134" w:hanging="1134"/>
        <w:jc w:val="both"/>
        <w:rPr>
          <w:color w:val="auto"/>
          <w:sz w:val="24"/>
          <w:szCs w:val="24"/>
        </w:rPr>
      </w:pPr>
    </w:p>
    <w:p w14:paraId="7328D981" w14:textId="77777777" w:rsidR="002D7B36" w:rsidRPr="00DE12A3" w:rsidRDefault="00242DA0" w:rsidP="00E20716">
      <w:pPr>
        <w:pStyle w:val="Gvdemetni251"/>
        <w:numPr>
          <w:ilvl w:val="0"/>
          <w:numId w:val="380"/>
        </w:numPr>
        <w:shd w:val="clear" w:color="auto" w:fill="auto"/>
        <w:spacing w:before="120" w:after="120" w:line="240" w:lineRule="auto"/>
        <w:ind w:left="1134" w:hanging="1134"/>
        <w:rPr>
          <w:color w:val="auto"/>
          <w:sz w:val="24"/>
          <w:szCs w:val="24"/>
        </w:rPr>
      </w:pPr>
      <w:r w:rsidRPr="00DE12A3">
        <w:rPr>
          <w:color w:val="auto"/>
          <w:sz w:val="24"/>
          <w:szCs w:val="24"/>
        </w:rPr>
        <w:t>Örnekleme sistemi açıklaması</w:t>
      </w:r>
    </w:p>
    <w:p w14:paraId="012D2DE4" w14:textId="027FD721" w:rsidR="002D7B36" w:rsidRPr="00DE12A3" w:rsidRDefault="00513B24" w:rsidP="00C917D6">
      <w:pPr>
        <w:pStyle w:val="Gvdemetni251"/>
        <w:shd w:val="clear" w:color="auto" w:fill="auto"/>
        <w:spacing w:before="120" w:after="120" w:line="240" w:lineRule="auto"/>
        <w:ind w:left="1134" w:hanging="1134"/>
        <w:rPr>
          <w:color w:val="auto"/>
          <w:sz w:val="24"/>
          <w:szCs w:val="24"/>
        </w:rPr>
      </w:pPr>
      <w:r w:rsidRPr="00DE12A3">
        <w:rPr>
          <w:color w:val="auto"/>
          <w:sz w:val="24"/>
          <w:szCs w:val="24"/>
        </w:rPr>
        <w:t xml:space="preserve">                  </w:t>
      </w:r>
      <w:r w:rsidR="007E2039" w:rsidRPr="00DE12A3">
        <w:rPr>
          <w:color w:val="auto"/>
          <w:sz w:val="24"/>
          <w:szCs w:val="24"/>
        </w:rPr>
        <w:t xml:space="preserve">Partikül </w:t>
      </w:r>
      <w:r w:rsidR="00242DA0" w:rsidRPr="00DE12A3">
        <w:rPr>
          <w:color w:val="auto"/>
          <w:sz w:val="24"/>
          <w:szCs w:val="24"/>
        </w:rPr>
        <w:t xml:space="preserve">örnekleme sistemi, seyreltme sistemindeki bir örnekleme sondası ucu veya </w:t>
      </w:r>
      <w:r w:rsidR="007E2039" w:rsidRPr="00DE12A3">
        <w:rPr>
          <w:color w:val="auto"/>
          <w:sz w:val="24"/>
          <w:szCs w:val="24"/>
        </w:rPr>
        <w:t xml:space="preserve">partikül </w:t>
      </w:r>
      <w:r w:rsidR="00242DA0" w:rsidRPr="00DE12A3">
        <w:rPr>
          <w:color w:val="auto"/>
          <w:sz w:val="24"/>
          <w:szCs w:val="24"/>
        </w:rPr>
        <w:t xml:space="preserve">örnekleme noktasından, bir </w:t>
      </w:r>
      <w:r w:rsidR="007E2039" w:rsidRPr="00DE12A3">
        <w:rPr>
          <w:color w:val="auto"/>
          <w:sz w:val="24"/>
          <w:szCs w:val="24"/>
        </w:rPr>
        <w:t xml:space="preserve">partikül </w:t>
      </w:r>
      <w:r w:rsidR="00242DA0" w:rsidRPr="00DE12A3">
        <w:rPr>
          <w:color w:val="auto"/>
          <w:sz w:val="24"/>
          <w:szCs w:val="24"/>
        </w:rPr>
        <w:t xml:space="preserve">aktarım tüpü (PTT), </w:t>
      </w:r>
      <w:r w:rsidR="007E2039" w:rsidRPr="00DE12A3">
        <w:rPr>
          <w:color w:val="auto"/>
          <w:sz w:val="24"/>
          <w:szCs w:val="24"/>
        </w:rPr>
        <w:t xml:space="preserve">partikül </w:t>
      </w:r>
      <w:r w:rsidR="00242DA0" w:rsidRPr="00DE12A3">
        <w:rPr>
          <w:color w:val="auto"/>
          <w:sz w:val="24"/>
          <w:szCs w:val="24"/>
        </w:rPr>
        <w:t xml:space="preserve">sayısı konsantrasyon ölçüm (PNC) ünitesinin giriş tarafında bir </w:t>
      </w:r>
      <w:r w:rsidR="007E2039" w:rsidRPr="00DE12A3">
        <w:rPr>
          <w:color w:val="auto"/>
          <w:sz w:val="24"/>
          <w:szCs w:val="24"/>
        </w:rPr>
        <w:t xml:space="preserve">partikül </w:t>
      </w:r>
      <w:r w:rsidR="00242DA0" w:rsidRPr="00DE12A3">
        <w:rPr>
          <w:color w:val="auto"/>
          <w:sz w:val="24"/>
          <w:szCs w:val="24"/>
        </w:rPr>
        <w:t xml:space="preserve">ön sınıflandırıcı (PCF) ve bir uçucu </w:t>
      </w:r>
      <w:r w:rsidR="007E2039" w:rsidRPr="00DE12A3">
        <w:rPr>
          <w:color w:val="auto"/>
          <w:sz w:val="24"/>
          <w:szCs w:val="24"/>
        </w:rPr>
        <w:t xml:space="preserve">partikül </w:t>
      </w:r>
      <w:r w:rsidR="00242DA0" w:rsidRPr="00DE12A3">
        <w:rPr>
          <w:color w:val="auto"/>
          <w:sz w:val="24"/>
          <w:szCs w:val="24"/>
        </w:rPr>
        <w:t>gidericiden (VPR) oluşur. VPR, numune seyreltme (</w:t>
      </w:r>
      <w:r w:rsidR="007E2039" w:rsidRPr="00DE12A3">
        <w:rPr>
          <w:color w:val="auto"/>
          <w:sz w:val="24"/>
          <w:szCs w:val="24"/>
        </w:rPr>
        <w:t xml:space="preserve">partikül </w:t>
      </w:r>
      <w:r w:rsidR="00242DA0" w:rsidRPr="00DE12A3">
        <w:rPr>
          <w:color w:val="auto"/>
          <w:sz w:val="24"/>
          <w:szCs w:val="24"/>
        </w:rPr>
        <w:t xml:space="preserve">sayısı seyrelticiler: PND1 ve PND2) ve </w:t>
      </w:r>
      <w:r w:rsidR="007E2039" w:rsidRPr="00DE12A3">
        <w:rPr>
          <w:color w:val="auto"/>
          <w:sz w:val="24"/>
          <w:szCs w:val="24"/>
        </w:rPr>
        <w:t xml:space="preserve">partikül </w:t>
      </w:r>
      <w:r w:rsidR="00242DA0" w:rsidRPr="00DE12A3">
        <w:rPr>
          <w:color w:val="auto"/>
          <w:sz w:val="24"/>
          <w:szCs w:val="24"/>
        </w:rPr>
        <w:t>buharlaşma cihazları (</w:t>
      </w:r>
      <w:r w:rsidR="00CB4BBD" w:rsidRPr="00DE12A3">
        <w:rPr>
          <w:color w:val="auto"/>
          <w:sz w:val="24"/>
          <w:szCs w:val="24"/>
        </w:rPr>
        <w:t>b</w:t>
      </w:r>
      <w:r w:rsidR="00242DA0" w:rsidRPr="00DE12A3">
        <w:rPr>
          <w:color w:val="auto"/>
          <w:sz w:val="24"/>
          <w:szCs w:val="24"/>
        </w:rPr>
        <w:t>uharlaşma borusu ET) içermelidir. Test gazı akışı için örnekleme sondası veya örnekleme noktası, seyreltme sistemi içinde, homojen bir seyreltici/egzoz gazı karışımından temsili bir numune gaz akışı alınacak şekilde düzenlenmelidir. Sistemin kalma süresi artı PNC'nin tepki süresi toplamı 20 saniyeden fazla olamaz.</w:t>
      </w:r>
    </w:p>
    <w:p w14:paraId="3D463967" w14:textId="77777777" w:rsidR="002D7B36" w:rsidRPr="00DE12A3" w:rsidRDefault="007E2039" w:rsidP="00E20716">
      <w:pPr>
        <w:pStyle w:val="Gvdemetni251"/>
        <w:numPr>
          <w:ilvl w:val="0"/>
          <w:numId w:val="380"/>
        </w:numPr>
        <w:shd w:val="clear" w:color="auto" w:fill="auto"/>
        <w:spacing w:before="120" w:after="120" w:line="240" w:lineRule="auto"/>
        <w:ind w:left="1134" w:hanging="1134"/>
        <w:rPr>
          <w:color w:val="auto"/>
          <w:sz w:val="24"/>
          <w:szCs w:val="24"/>
        </w:rPr>
      </w:pPr>
      <w:r w:rsidRPr="00DE12A3">
        <w:rPr>
          <w:color w:val="auto"/>
          <w:sz w:val="24"/>
          <w:szCs w:val="24"/>
        </w:rPr>
        <w:t xml:space="preserve">Partikül </w:t>
      </w:r>
      <w:r w:rsidR="00242DA0" w:rsidRPr="00DE12A3">
        <w:rPr>
          <w:color w:val="auto"/>
          <w:sz w:val="24"/>
          <w:szCs w:val="24"/>
        </w:rPr>
        <w:t>aktarım sistemi</w:t>
      </w:r>
    </w:p>
    <w:p w14:paraId="4A14F963" w14:textId="77777777" w:rsidR="002D7B36" w:rsidRPr="00DE12A3" w:rsidRDefault="00513B24" w:rsidP="00C917D6">
      <w:pPr>
        <w:pStyle w:val="Gvdemetni251"/>
        <w:shd w:val="clear" w:color="auto" w:fill="auto"/>
        <w:spacing w:before="120" w:after="120" w:line="240" w:lineRule="auto"/>
        <w:ind w:left="1134" w:hanging="1134"/>
        <w:rPr>
          <w:color w:val="auto"/>
          <w:sz w:val="24"/>
          <w:szCs w:val="24"/>
        </w:rPr>
      </w:pPr>
      <w:r w:rsidRPr="00DE12A3">
        <w:rPr>
          <w:color w:val="auto"/>
          <w:sz w:val="24"/>
          <w:szCs w:val="24"/>
        </w:rPr>
        <w:t xml:space="preserve">                  </w:t>
      </w:r>
      <w:r w:rsidR="00242DA0" w:rsidRPr="00DE12A3">
        <w:rPr>
          <w:color w:val="auto"/>
          <w:sz w:val="24"/>
          <w:szCs w:val="24"/>
        </w:rPr>
        <w:t xml:space="preserve">Örnekleme sondası ucu veya </w:t>
      </w:r>
      <w:r w:rsidR="007E2039" w:rsidRPr="00DE12A3">
        <w:rPr>
          <w:color w:val="auto"/>
          <w:sz w:val="24"/>
          <w:szCs w:val="24"/>
        </w:rPr>
        <w:t xml:space="preserve">partikül </w:t>
      </w:r>
      <w:r w:rsidR="00242DA0" w:rsidRPr="00DE12A3">
        <w:rPr>
          <w:color w:val="auto"/>
          <w:sz w:val="24"/>
          <w:szCs w:val="24"/>
        </w:rPr>
        <w:t xml:space="preserve">örnekleme noktası ve </w:t>
      </w:r>
      <w:r w:rsidR="007E2039" w:rsidRPr="00DE12A3">
        <w:rPr>
          <w:color w:val="auto"/>
          <w:sz w:val="24"/>
          <w:szCs w:val="24"/>
        </w:rPr>
        <w:t xml:space="preserve">partikül </w:t>
      </w:r>
      <w:r w:rsidR="00242DA0" w:rsidRPr="00DE12A3">
        <w:rPr>
          <w:color w:val="auto"/>
          <w:sz w:val="24"/>
          <w:szCs w:val="24"/>
        </w:rPr>
        <w:t xml:space="preserve">aktarım borusu (PTT), birlikte </w:t>
      </w:r>
      <w:r w:rsidR="007E2039" w:rsidRPr="00DE12A3">
        <w:rPr>
          <w:color w:val="auto"/>
          <w:sz w:val="24"/>
          <w:szCs w:val="24"/>
        </w:rPr>
        <w:t xml:space="preserve">partikül </w:t>
      </w:r>
      <w:r w:rsidR="00242DA0" w:rsidRPr="00DE12A3">
        <w:rPr>
          <w:color w:val="auto"/>
          <w:sz w:val="24"/>
          <w:szCs w:val="24"/>
        </w:rPr>
        <w:t xml:space="preserve">aktarım sistemini (PTS) oluşturur. PTS, numuneyi seyreltme tünelinden ilk </w:t>
      </w:r>
      <w:r w:rsidR="007E2039" w:rsidRPr="00DE12A3">
        <w:rPr>
          <w:color w:val="auto"/>
          <w:sz w:val="24"/>
          <w:szCs w:val="24"/>
        </w:rPr>
        <w:t xml:space="preserve">partikül </w:t>
      </w:r>
      <w:r w:rsidR="00242DA0" w:rsidRPr="00DE12A3">
        <w:rPr>
          <w:color w:val="auto"/>
          <w:sz w:val="24"/>
          <w:szCs w:val="24"/>
        </w:rPr>
        <w:t>sayısı seyrelticinin girişine iletir. PTS aşağıdaki koşulları sağlamalıdır:</w:t>
      </w:r>
    </w:p>
    <w:p w14:paraId="21B02F85" w14:textId="77777777" w:rsidR="002D7B36" w:rsidRPr="00DE12A3" w:rsidRDefault="00513B24" w:rsidP="00C917D6">
      <w:pPr>
        <w:pStyle w:val="Gvdemetni251"/>
        <w:shd w:val="clear" w:color="auto" w:fill="auto"/>
        <w:spacing w:before="120" w:after="120" w:line="240" w:lineRule="auto"/>
        <w:ind w:left="1134" w:hanging="1134"/>
        <w:rPr>
          <w:color w:val="auto"/>
          <w:sz w:val="24"/>
          <w:szCs w:val="24"/>
        </w:rPr>
      </w:pPr>
      <w:r w:rsidRPr="00DE12A3">
        <w:rPr>
          <w:color w:val="auto"/>
          <w:sz w:val="24"/>
          <w:szCs w:val="24"/>
        </w:rPr>
        <w:t xml:space="preserve">                  </w:t>
      </w:r>
      <w:r w:rsidR="00242DA0" w:rsidRPr="00DE12A3">
        <w:rPr>
          <w:color w:val="auto"/>
          <w:sz w:val="24"/>
          <w:szCs w:val="24"/>
        </w:rPr>
        <w:t xml:space="preserve">Tam akışlı seyreltme sistemleri ve (bu Ek'in 9.2.3 bendinde açıklanan) ayırımlı örnekleme tipi kısmi akışlı seyreltme sistemleri durumunda, örnekleme sondası, tünel merkez hattının yakınında, gaz girişinin 10 ila 20 tünel çapı çıkış tarafına, uçtaki ekseni söz konusu seyreltme tuneline paralel olarak, tünel gaz akışının içine giriş tarafına doğru bakar halde yerleştirilir. Örnekleme sondası, seyreltme </w:t>
      </w:r>
      <w:r w:rsidR="00242DA0" w:rsidRPr="00DE12A3">
        <w:rPr>
          <w:color w:val="auto"/>
          <w:sz w:val="24"/>
          <w:szCs w:val="24"/>
        </w:rPr>
        <w:lastRenderedPageBreak/>
        <w:t>sistemi içinde homojen bir seyreltici/egzoz gazı karışımından numune alınacak şekilde yerleştirilmelidir.</w:t>
      </w:r>
    </w:p>
    <w:p w14:paraId="7F1BD203" w14:textId="77777777" w:rsidR="002D7B36" w:rsidRPr="00DE12A3" w:rsidRDefault="00513B24" w:rsidP="00C917D6">
      <w:pPr>
        <w:pStyle w:val="Gvdemetni251"/>
        <w:shd w:val="clear" w:color="auto" w:fill="auto"/>
        <w:spacing w:before="120" w:after="120" w:line="240" w:lineRule="auto"/>
        <w:ind w:left="1134" w:hanging="1134"/>
        <w:rPr>
          <w:color w:val="auto"/>
          <w:sz w:val="24"/>
          <w:szCs w:val="24"/>
        </w:rPr>
      </w:pPr>
      <w:r w:rsidRPr="00DE12A3">
        <w:rPr>
          <w:color w:val="auto"/>
          <w:sz w:val="24"/>
          <w:szCs w:val="24"/>
        </w:rPr>
        <w:t xml:space="preserve">                  </w:t>
      </w:r>
      <w:r w:rsidR="00242DA0" w:rsidRPr="00DE12A3">
        <w:rPr>
          <w:color w:val="auto"/>
          <w:sz w:val="24"/>
          <w:szCs w:val="24"/>
        </w:rPr>
        <w:t xml:space="preserve">Toplam örnekleme tipi kısmi akışlı seyreltme sistemleri (bu Ek'in 9.2.3 bendinde açıklandığı gibi) durumunda, </w:t>
      </w:r>
      <w:r w:rsidR="007E2039" w:rsidRPr="00DE12A3">
        <w:rPr>
          <w:color w:val="auto"/>
          <w:sz w:val="24"/>
          <w:szCs w:val="24"/>
        </w:rPr>
        <w:t xml:space="preserve">partikül </w:t>
      </w:r>
      <w:r w:rsidR="00242DA0" w:rsidRPr="00DE12A3">
        <w:rPr>
          <w:color w:val="auto"/>
          <w:sz w:val="24"/>
          <w:szCs w:val="24"/>
        </w:rPr>
        <w:t xml:space="preserve">örnekleme noktası, </w:t>
      </w:r>
      <w:r w:rsidR="007E2039" w:rsidRPr="00DE12A3">
        <w:rPr>
          <w:color w:val="auto"/>
          <w:sz w:val="24"/>
          <w:szCs w:val="24"/>
        </w:rPr>
        <w:t xml:space="preserve">partikül </w:t>
      </w:r>
      <w:r w:rsidR="00242DA0" w:rsidRPr="00DE12A3">
        <w:rPr>
          <w:color w:val="auto"/>
          <w:sz w:val="24"/>
          <w:szCs w:val="24"/>
        </w:rPr>
        <w:t xml:space="preserve">filtre tutucusu, akış ölçüm cihazı ve herhangi bir numune/bypass çatallanma noktası öncesindeki </w:t>
      </w:r>
      <w:r w:rsidR="007E2039" w:rsidRPr="00DE12A3">
        <w:rPr>
          <w:color w:val="auto"/>
          <w:sz w:val="24"/>
          <w:szCs w:val="24"/>
        </w:rPr>
        <w:t xml:space="preserve">partikül </w:t>
      </w:r>
      <w:r w:rsidR="00242DA0" w:rsidRPr="00DE12A3">
        <w:rPr>
          <w:color w:val="auto"/>
          <w:sz w:val="24"/>
          <w:szCs w:val="24"/>
        </w:rPr>
        <w:t>aktarım borusunun içine yerleştirilmelidir. Örnekleme noktası veya örnekleme sondası, homojen bir seyreltici/egzoz gazı karışımından numune alınacak şekilde konumlandırılmalıdır.</w:t>
      </w:r>
    </w:p>
    <w:p w14:paraId="6954AEFB" w14:textId="77777777" w:rsidR="002D7B36" w:rsidRPr="00DE12A3" w:rsidRDefault="00513B24" w:rsidP="00C917D6">
      <w:pPr>
        <w:pStyle w:val="Gvdemetni251"/>
        <w:shd w:val="clear" w:color="auto" w:fill="auto"/>
        <w:spacing w:before="120" w:after="120" w:line="240" w:lineRule="auto"/>
        <w:ind w:left="1134" w:hanging="1134"/>
        <w:rPr>
          <w:color w:val="auto"/>
          <w:sz w:val="24"/>
          <w:szCs w:val="24"/>
        </w:rPr>
      </w:pPr>
      <w:r w:rsidRPr="00DE12A3">
        <w:rPr>
          <w:color w:val="auto"/>
          <w:sz w:val="24"/>
          <w:szCs w:val="24"/>
        </w:rPr>
        <w:t xml:space="preserve">                  </w:t>
      </w:r>
      <w:r w:rsidR="00242DA0" w:rsidRPr="00DE12A3">
        <w:rPr>
          <w:color w:val="auto"/>
          <w:sz w:val="24"/>
          <w:szCs w:val="24"/>
        </w:rPr>
        <w:t>PTS'den çekilen numune gaz aşağıdaki koşulları sağlamalıdır:</w:t>
      </w:r>
    </w:p>
    <w:p w14:paraId="70C9B09E" w14:textId="7D6CD092" w:rsidR="002D7B36" w:rsidRPr="00DE12A3" w:rsidRDefault="00513B24" w:rsidP="00C917D6">
      <w:pPr>
        <w:pStyle w:val="Gvdemetni251"/>
        <w:shd w:val="clear" w:color="auto" w:fill="auto"/>
        <w:spacing w:before="120" w:after="120" w:line="240" w:lineRule="auto"/>
        <w:ind w:left="1134" w:hanging="1134"/>
        <w:rPr>
          <w:color w:val="auto"/>
          <w:sz w:val="24"/>
          <w:szCs w:val="24"/>
        </w:rPr>
      </w:pPr>
      <w:r w:rsidRPr="00DE12A3">
        <w:rPr>
          <w:color w:val="auto"/>
          <w:sz w:val="24"/>
          <w:szCs w:val="24"/>
        </w:rPr>
        <w:t xml:space="preserve">                 </w:t>
      </w:r>
      <w:r w:rsidR="00242DA0" w:rsidRPr="00DE12A3">
        <w:rPr>
          <w:color w:val="auto"/>
          <w:sz w:val="24"/>
          <w:szCs w:val="24"/>
        </w:rPr>
        <w:t xml:space="preserve">Akış Reynolds sayısı (Re) </w:t>
      </w:r>
      <w:r w:rsidR="00590D92" w:rsidRPr="00DE12A3">
        <w:rPr>
          <w:color w:val="auto"/>
          <w:sz w:val="24"/>
          <w:szCs w:val="24"/>
        </w:rPr>
        <w:t>&lt;1700</w:t>
      </w:r>
      <w:r w:rsidR="00242DA0" w:rsidRPr="00DE12A3">
        <w:rPr>
          <w:color w:val="auto"/>
          <w:sz w:val="24"/>
          <w:szCs w:val="24"/>
        </w:rPr>
        <w:t xml:space="preserve"> olmalıdır</w:t>
      </w:r>
      <w:r w:rsidR="00CB4BBD" w:rsidRPr="00DE12A3">
        <w:rPr>
          <w:color w:val="auto"/>
          <w:sz w:val="24"/>
          <w:szCs w:val="24"/>
        </w:rPr>
        <w:t>.</w:t>
      </w:r>
    </w:p>
    <w:p w14:paraId="04898AA6" w14:textId="77777777" w:rsidR="002D7B36" w:rsidRPr="00DE12A3" w:rsidRDefault="00513B24" w:rsidP="00C917D6">
      <w:pPr>
        <w:pStyle w:val="Gvdemetni251"/>
        <w:shd w:val="clear" w:color="auto" w:fill="auto"/>
        <w:spacing w:before="120" w:after="120" w:line="240" w:lineRule="auto"/>
        <w:ind w:left="1134" w:hanging="1134"/>
        <w:rPr>
          <w:color w:val="auto"/>
          <w:sz w:val="24"/>
          <w:szCs w:val="24"/>
        </w:rPr>
      </w:pPr>
      <w:r w:rsidRPr="00DE12A3">
        <w:rPr>
          <w:color w:val="auto"/>
          <w:sz w:val="24"/>
          <w:szCs w:val="24"/>
        </w:rPr>
        <w:t xml:space="preserve">                 </w:t>
      </w:r>
      <w:r w:rsidR="00242DA0" w:rsidRPr="00DE12A3">
        <w:rPr>
          <w:color w:val="auto"/>
          <w:sz w:val="24"/>
          <w:szCs w:val="24"/>
        </w:rPr>
        <w:t xml:space="preserve">PTS'de kalma süresi </w:t>
      </w:r>
      <w:r w:rsidR="00242DA0" w:rsidRPr="00DE12A3">
        <w:rPr>
          <w:rFonts w:eastAsia="Courier New"/>
          <w:color w:val="auto"/>
          <w:spacing w:val="0"/>
          <w:sz w:val="24"/>
          <w:szCs w:val="24"/>
        </w:rPr>
        <w:t>≤</w:t>
      </w:r>
      <w:r w:rsidR="00242DA0" w:rsidRPr="00DE12A3">
        <w:rPr>
          <w:color w:val="auto"/>
          <w:sz w:val="24"/>
          <w:szCs w:val="24"/>
        </w:rPr>
        <w:t xml:space="preserve"> 3 saniye olmalıdır.</w:t>
      </w:r>
    </w:p>
    <w:p w14:paraId="2B98AF7D" w14:textId="77777777" w:rsidR="002D7B36" w:rsidRPr="00DE12A3" w:rsidRDefault="00513B24" w:rsidP="00C917D6">
      <w:pPr>
        <w:pStyle w:val="Gvdemetni251"/>
        <w:shd w:val="clear" w:color="auto" w:fill="auto"/>
        <w:spacing w:before="120" w:after="120" w:line="240" w:lineRule="auto"/>
        <w:ind w:left="1134" w:hanging="1134"/>
        <w:rPr>
          <w:color w:val="auto"/>
          <w:sz w:val="24"/>
          <w:szCs w:val="24"/>
        </w:rPr>
      </w:pPr>
      <w:r w:rsidRPr="00DE12A3">
        <w:rPr>
          <w:color w:val="auto"/>
          <w:sz w:val="24"/>
          <w:szCs w:val="24"/>
        </w:rPr>
        <w:t xml:space="preserve">                 </w:t>
      </w:r>
      <w:r w:rsidR="00242DA0" w:rsidRPr="00DE12A3">
        <w:rPr>
          <w:color w:val="auto"/>
          <w:sz w:val="24"/>
          <w:szCs w:val="24"/>
        </w:rPr>
        <w:t xml:space="preserve">PTS için, 30 nm elektriksel hareketlilik çapına sahip parçacıklar için denk </w:t>
      </w:r>
      <w:r w:rsidR="007E2039" w:rsidRPr="00DE12A3">
        <w:rPr>
          <w:color w:val="auto"/>
          <w:sz w:val="24"/>
          <w:szCs w:val="24"/>
        </w:rPr>
        <w:t xml:space="preserve">partikül </w:t>
      </w:r>
      <w:r w:rsidR="00242DA0" w:rsidRPr="00DE12A3">
        <w:rPr>
          <w:color w:val="auto"/>
          <w:sz w:val="24"/>
          <w:szCs w:val="24"/>
        </w:rPr>
        <w:t>penetrasyonunun ispatlanabildiği tüm diğer örnekleme yapılandırmaları kabul edilebilir sayılacaktır.</w:t>
      </w:r>
    </w:p>
    <w:p w14:paraId="1B911632" w14:textId="77777777" w:rsidR="002D7B36" w:rsidRPr="00DE12A3" w:rsidRDefault="00513B24" w:rsidP="00C917D6">
      <w:pPr>
        <w:pStyle w:val="Gvdemetni251"/>
        <w:shd w:val="clear" w:color="auto" w:fill="auto"/>
        <w:spacing w:before="120" w:after="120" w:line="240" w:lineRule="auto"/>
        <w:ind w:left="1134" w:hanging="1134"/>
        <w:rPr>
          <w:color w:val="auto"/>
          <w:sz w:val="24"/>
          <w:szCs w:val="24"/>
        </w:rPr>
      </w:pPr>
      <w:r w:rsidRPr="00DE12A3">
        <w:rPr>
          <w:color w:val="auto"/>
          <w:sz w:val="24"/>
          <w:szCs w:val="24"/>
        </w:rPr>
        <w:t xml:space="preserve">                  </w:t>
      </w:r>
      <w:r w:rsidR="00242DA0" w:rsidRPr="00DE12A3">
        <w:rPr>
          <w:color w:val="auto"/>
          <w:sz w:val="24"/>
          <w:szCs w:val="24"/>
        </w:rPr>
        <w:t>Seyreltilmiş numuneyi VPR'den PNC girişine ileten çıkış borusu (OT) aşağıdaki özelliklere sahip olmalıdır:</w:t>
      </w:r>
    </w:p>
    <w:p w14:paraId="280D3017" w14:textId="528A6B19" w:rsidR="002D7B36" w:rsidRPr="00DE12A3" w:rsidRDefault="00513B24" w:rsidP="00C917D6">
      <w:pPr>
        <w:pStyle w:val="Gvdemetni251"/>
        <w:shd w:val="clear" w:color="auto" w:fill="auto"/>
        <w:spacing w:before="120" w:after="120" w:line="240" w:lineRule="auto"/>
        <w:ind w:left="1134" w:hanging="1134"/>
        <w:rPr>
          <w:color w:val="auto"/>
          <w:sz w:val="24"/>
          <w:szCs w:val="24"/>
        </w:rPr>
      </w:pPr>
      <w:r w:rsidRPr="00DE12A3">
        <w:rPr>
          <w:rFonts w:eastAsia="Courier New"/>
          <w:color w:val="auto"/>
          <w:spacing w:val="0"/>
          <w:sz w:val="24"/>
          <w:szCs w:val="24"/>
        </w:rPr>
        <w:t xml:space="preserve">                    </w:t>
      </w:r>
      <w:r w:rsidR="00242DA0" w:rsidRPr="00DE12A3">
        <w:rPr>
          <w:rFonts w:eastAsia="Courier New"/>
          <w:color w:val="auto"/>
          <w:spacing w:val="0"/>
          <w:sz w:val="24"/>
          <w:szCs w:val="24"/>
        </w:rPr>
        <w:t>≥</w:t>
      </w:r>
      <w:r w:rsidR="00242DA0" w:rsidRPr="00DE12A3">
        <w:rPr>
          <w:color w:val="auto"/>
          <w:sz w:val="24"/>
          <w:szCs w:val="24"/>
        </w:rPr>
        <w:t xml:space="preserve"> 4 mm'lik bir iç çapa sahip olmalıdır</w:t>
      </w:r>
      <w:r w:rsidR="00CB4BBD" w:rsidRPr="00DE12A3">
        <w:rPr>
          <w:color w:val="auto"/>
          <w:sz w:val="24"/>
          <w:szCs w:val="24"/>
        </w:rPr>
        <w:t>.</w:t>
      </w:r>
    </w:p>
    <w:p w14:paraId="1CFAB77A" w14:textId="77777777" w:rsidR="002D7B36" w:rsidRPr="00DE12A3" w:rsidRDefault="00513B24" w:rsidP="00C917D6">
      <w:pPr>
        <w:pStyle w:val="Gvdemetni251"/>
        <w:shd w:val="clear" w:color="auto" w:fill="auto"/>
        <w:spacing w:before="120" w:after="120" w:line="240" w:lineRule="auto"/>
        <w:ind w:left="1134" w:hanging="1134"/>
        <w:rPr>
          <w:color w:val="auto"/>
          <w:sz w:val="24"/>
          <w:szCs w:val="24"/>
        </w:rPr>
      </w:pPr>
      <w:r w:rsidRPr="00DE12A3">
        <w:rPr>
          <w:color w:val="auto"/>
          <w:sz w:val="24"/>
          <w:szCs w:val="24"/>
        </w:rPr>
        <w:t xml:space="preserve">                   </w:t>
      </w:r>
      <w:r w:rsidR="00242DA0" w:rsidRPr="00DE12A3">
        <w:rPr>
          <w:color w:val="auto"/>
          <w:sz w:val="24"/>
          <w:szCs w:val="24"/>
        </w:rPr>
        <w:t xml:space="preserve">POT içinden Numune Gaz akışı, </w:t>
      </w:r>
      <w:r w:rsidR="00242DA0" w:rsidRPr="00DE12A3">
        <w:rPr>
          <w:rFonts w:eastAsia="Courier New"/>
          <w:color w:val="auto"/>
          <w:spacing w:val="0"/>
          <w:sz w:val="24"/>
          <w:szCs w:val="24"/>
        </w:rPr>
        <w:t>≤</w:t>
      </w:r>
      <w:r w:rsidR="00242DA0" w:rsidRPr="00DE12A3">
        <w:rPr>
          <w:color w:val="auto"/>
          <w:sz w:val="24"/>
          <w:szCs w:val="24"/>
        </w:rPr>
        <w:t xml:space="preserve"> 0,8 saniyelik bir kalma süresine sahip olmalıdır.</w:t>
      </w:r>
    </w:p>
    <w:p w14:paraId="595D83FB" w14:textId="77777777" w:rsidR="002D7B36" w:rsidRPr="00DE12A3" w:rsidRDefault="00513B24" w:rsidP="00C917D6">
      <w:pPr>
        <w:pStyle w:val="Gvdemetni251"/>
        <w:shd w:val="clear" w:color="auto" w:fill="auto"/>
        <w:spacing w:before="120" w:after="120" w:line="240" w:lineRule="auto"/>
        <w:ind w:left="1134" w:hanging="1134"/>
        <w:rPr>
          <w:color w:val="auto"/>
          <w:sz w:val="24"/>
          <w:szCs w:val="24"/>
        </w:rPr>
      </w:pPr>
      <w:r w:rsidRPr="00DE12A3">
        <w:rPr>
          <w:color w:val="auto"/>
          <w:sz w:val="24"/>
          <w:szCs w:val="24"/>
        </w:rPr>
        <w:t xml:space="preserve">                  </w:t>
      </w:r>
      <w:r w:rsidR="00242DA0" w:rsidRPr="00DE12A3">
        <w:rPr>
          <w:color w:val="auto"/>
          <w:sz w:val="24"/>
          <w:szCs w:val="24"/>
        </w:rPr>
        <w:t xml:space="preserve">OT için, 30 nm elektriksel hareketlilik çapına sahip parçacıklar için denk </w:t>
      </w:r>
      <w:r w:rsidR="007E2039" w:rsidRPr="00DE12A3">
        <w:rPr>
          <w:color w:val="auto"/>
          <w:sz w:val="24"/>
          <w:szCs w:val="24"/>
        </w:rPr>
        <w:t xml:space="preserve">partikül </w:t>
      </w:r>
      <w:r w:rsidR="00242DA0" w:rsidRPr="00DE12A3">
        <w:rPr>
          <w:color w:val="auto"/>
          <w:sz w:val="24"/>
          <w:szCs w:val="24"/>
        </w:rPr>
        <w:t>penetrasyonunun ispatlanabildiği tüm diğer örnekleme yapılandırmaları kabul edilebilir sayılacaktır.</w:t>
      </w:r>
    </w:p>
    <w:p w14:paraId="739D2B04" w14:textId="77777777" w:rsidR="002D7B36" w:rsidRPr="00DE12A3" w:rsidRDefault="007E2039" w:rsidP="00E20716">
      <w:pPr>
        <w:pStyle w:val="Gvdemetni251"/>
        <w:numPr>
          <w:ilvl w:val="0"/>
          <w:numId w:val="380"/>
        </w:numPr>
        <w:shd w:val="clear" w:color="auto" w:fill="auto"/>
        <w:spacing w:before="120" w:after="120" w:line="240" w:lineRule="auto"/>
        <w:ind w:left="1134" w:hanging="1134"/>
        <w:rPr>
          <w:color w:val="auto"/>
          <w:sz w:val="24"/>
          <w:szCs w:val="24"/>
        </w:rPr>
      </w:pPr>
      <w:r w:rsidRPr="00DE12A3">
        <w:rPr>
          <w:color w:val="auto"/>
          <w:sz w:val="24"/>
          <w:szCs w:val="24"/>
        </w:rPr>
        <w:t xml:space="preserve">Partikül </w:t>
      </w:r>
      <w:r w:rsidR="00242DA0" w:rsidRPr="00DE12A3">
        <w:rPr>
          <w:color w:val="auto"/>
          <w:sz w:val="24"/>
          <w:szCs w:val="24"/>
        </w:rPr>
        <w:t>ön sınıflandırıcı</w:t>
      </w:r>
    </w:p>
    <w:p w14:paraId="6F883BCD" w14:textId="25D858D2" w:rsidR="002D7B36" w:rsidRPr="00DE12A3" w:rsidRDefault="00513B24" w:rsidP="00C917D6">
      <w:pPr>
        <w:pStyle w:val="Gvdemetni251"/>
        <w:shd w:val="clear" w:color="auto" w:fill="auto"/>
        <w:spacing w:before="120" w:after="120" w:line="240" w:lineRule="auto"/>
        <w:ind w:left="1134" w:hanging="1134"/>
        <w:rPr>
          <w:color w:val="auto"/>
          <w:sz w:val="24"/>
          <w:szCs w:val="24"/>
        </w:rPr>
      </w:pPr>
      <w:r w:rsidRPr="00DE12A3">
        <w:rPr>
          <w:color w:val="auto"/>
          <w:sz w:val="24"/>
          <w:szCs w:val="24"/>
        </w:rPr>
        <w:t xml:space="preserve">                  </w:t>
      </w:r>
      <w:r w:rsidR="00242DA0" w:rsidRPr="00DE12A3">
        <w:rPr>
          <w:color w:val="auto"/>
          <w:sz w:val="24"/>
          <w:szCs w:val="24"/>
        </w:rPr>
        <w:t xml:space="preserve">Tavsiye edilen </w:t>
      </w:r>
      <w:r w:rsidR="007E2039" w:rsidRPr="00DE12A3">
        <w:rPr>
          <w:color w:val="auto"/>
          <w:sz w:val="24"/>
          <w:szCs w:val="24"/>
        </w:rPr>
        <w:t xml:space="preserve">partikül </w:t>
      </w:r>
      <w:r w:rsidR="00242DA0" w:rsidRPr="00DE12A3">
        <w:rPr>
          <w:color w:val="auto"/>
          <w:sz w:val="24"/>
          <w:szCs w:val="24"/>
        </w:rPr>
        <w:t xml:space="preserve">ön sınıflandırıcı VPR'nin giriş tarafına yerleştirilmelidir. Ön sınıflandırıcı </w:t>
      </w:r>
      <w:r w:rsidR="00F466F2" w:rsidRPr="00DE12A3">
        <w:rPr>
          <w:color w:val="auto"/>
          <w:sz w:val="24"/>
          <w:szCs w:val="24"/>
        </w:rPr>
        <w:t>%50</w:t>
      </w:r>
      <w:r w:rsidR="00242DA0" w:rsidRPr="00DE12A3">
        <w:rPr>
          <w:color w:val="auto"/>
          <w:sz w:val="24"/>
          <w:szCs w:val="24"/>
        </w:rPr>
        <w:t xml:space="preserve"> kesme noktası </w:t>
      </w:r>
      <w:r w:rsidR="007E2039" w:rsidRPr="00DE12A3">
        <w:rPr>
          <w:color w:val="auto"/>
          <w:sz w:val="24"/>
          <w:szCs w:val="24"/>
        </w:rPr>
        <w:t xml:space="preserve">partikül </w:t>
      </w:r>
      <w:r w:rsidR="00242DA0" w:rsidRPr="00DE12A3">
        <w:rPr>
          <w:color w:val="auto"/>
          <w:sz w:val="24"/>
          <w:szCs w:val="24"/>
        </w:rPr>
        <w:t xml:space="preserve">çapı, </w:t>
      </w:r>
      <w:r w:rsidR="007E2039" w:rsidRPr="00DE12A3">
        <w:rPr>
          <w:color w:val="auto"/>
          <w:sz w:val="24"/>
          <w:szCs w:val="24"/>
        </w:rPr>
        <w:t xml:space="preserve">partikül </w:t>
      </w:r>
      <w:r w:rsidR="00242DA0" w:rsidRPr="00DE12A3">
        <w:rPr>
          <w:color w:val="auto"/>
          <w:sz w:val="24"/>
          <w:szCs w:val="24"/>
        </w:rPr>
        <w:t xml:space="preserve">sayısı emisyonlarını örneklemek için seçilen hacimsel akış hızında 2,5 μm ila 10 μm arasında olmalıdır. Ön sınıflandırıcı, ön sınıflandırıcıya giren 1 μm </w:t>
      </w:r>
      <w:r w:rsidR="007E2039" w:rsidRPr="00DE12A3">
        <w:rPr>
          <w:color w:val="auto"/>
          <w:sz w:val="24"/>
          <w:szCs w:val="24"/>
        </w:rPr>
        <w:t xml:space="preserve">partikül </w:t>
      </w:r>
      <w:r w:rsidR="00242DA0" w:rsidRPr="00DE12A3">
        <w:rPr>
          <w:color w:val="auto"/>
          <w:sz w:val="24"/>
          <w:szCs w:val="24"/>
        </w:rPr>
        <w:t xml:space="preserve">kütle konsantrasyonunun en az </w:t>
      </w:r>
      <w:r w:rsidR="00F466F2" w:rsidRPr="00DE12A3">
        <w:rPr>
          <w:color w:val="auto"/>
          <w:sz w:val="24"/>
          <w:szCs w:val="24"/>
        </w:rPr>
        <w:t>%99</w:t>
      </w:r>
      <w:r w:rsidR="00242DA0" w:rsidRPr="00DE12A3">
        <w:rPr>
          <w:color w:val="auto"/>
          <w:sz w:val="24"/>
          <w:szCs w:val="24"/>
        </w:rPr>
        <w:t xml:space="preserve">'unun, </w:t>
      </w:r>
      <w:r w:rsidR="007E2039" w:rsidRPr="00DE12A3">
        <w:rPr>
          <w:color w:val="auto"/>
          <w:sz w:val="24"/>
          <w:szCs w:val="24"/>
        </w:rPr>
        <w:t xml:space="preserve">partikül </w:t>
      </w:r>
      <w:r w:rsidR="00242DA0" w:rsidRPr="00DE12A3">
        <w:rPr>
          <w:color w:val="auto"/>
          <w:sz w:val="24"/>
          <w:szCs w:val="24"/>
        </w:rPr>
        <w:t xml:space="preserve">sayısı emisyonları için seçilen hacimsel akış hızında ön sınıflandırıcı çıkışından geçmesine izin vermelidir. Kısmi akışlı seyreltme sistemleri söz konusu olduğunda, </w:t>
      </w:r>
      <w:r w:rsidR="007E2039" w:rsidRPr="00DE12A3">
        <w:rPr>
          <w:color w:val="auto"/>
          <w:sz w:val="24"/>
          <w:szCs w:val="24"/>
        </w:rPr>
        <w:t xml:space="preserve">partikül </w:t>
      </w:r>
      <w:r w:rsidR="00242DA0" w:rsidRPr="00DE12A3">
        <w:rPr>
          <w:color w:val="auto"/>
          <w:sz w:val="24"/>
          <w:szCs w:val="24"/>
        </w:rPr>
        <w:t xml:space="preserve">kütle numunesi ve </w:t>
      </w:r>
      <w:r w:rsidR="007E2039" w:rsidRPr="00DE12A3">
        <w:rPr>
          <w:color w:val="auto"/>
          <w:sz w:val="24"/>
          <w:szCs w:val="24"/>
        </w:rPr>
        <w:t xml:space="preserve">partikül </w:t>
      </w:r>
      <w:r w:rsidR="00242DA0" w:rsidRPr="00DE12A3">
        <w:rPr>
          <w:color w:val="auto"/>
          <w:sz w:val="24"/>
          <w:szCs w:val="24"/>
        </w:rPr>
        <w:t xml:space="preserve">sayısı örneklemesi için aynı ön-sınıflandırıcının kullanılması, parçacı ksayısı numunesinin ön-sınıflandırıcının çıkış tarafındaki seyreltme sisteminden alınması kabul edilebilir. Alternatif olarak, </w:t>
      </w:r>
      <w:r w:rsidR="007E2039" w:rsidRPr="00DE12A3">
        <w:rPr>
          <w:color w:val="auto"/>
          <w:sz w:val="24"/>
          <w:szCs w:val="24"/>
        </w:rPr>
        <w:t xml:space="preserve">partikül </w:t>
      </w:r>
      <w:r w:rsidR="00242DA0" w:rsidRPr="00DE12A3">
        <w:rPr>
          <w:color w:val="auto"/>
          <w:sz w:val="24"/>
          <w:szCs w:val="24"/>
        </w:rPr>
        <w:t xml:space="preserve">sayısı numunesini </w:t>
      </w:r>
      <w:r w:rsidR="007E2039" w:rsidRPr="00DE12A3">
        <w:rPr>
          <w:color w:val="auto"/>
          <w:sz w:val="24"/>
          <w:szCs w:val="24"/>
        </w:rPr>
        <w:t xml:space="preserve">partikül </w:t>
      </w:r>
      <w:r w:rsidR="00242DA0" w:rsidRPr="00DE12A3">
        <w:rPr>
          <w:color w:val="auto"/>
          <w:sz w:val="24"/>
          <w:szCs w:val="24"/>
        </w:rPr>
        <w:t>kütlesi ön-sınıflandırıcısının giriş tarafındaki seyreltme sisteminden almak suretiyle ayrı ön sınıflandırıcılar kullanılabilir.</w:t>
      </w:r>
    </w:p>
    <w:p w14:paraId="586B1158" w14:textId="77777777" w:rsidR="002D7B36" w:rsidRPr="00DE12A3" w:rsidRDefault="00242DA0" w:rsidP="00E20716">
      <w:pPr>
        <w:pStyle w:val="Gvdemetni251"/>
        <w:numPr>
          <w:ilvl w:val="0"/>
          <w:numId w:val="380"/>
        </w:numPr>
        <w:shd w:val="clear" w:color="auto" w:fill="auto"/>
        <w:spacing w:before="120" w:after="120" w:line="240" w:lineRule="auto"/>
        <w:ind w:left="1134" w:hanging="1134"/>
        <w:rPr>
          <w:color w:val="auto"/>
          <w:sz w:val="24"/>
          <w:szCs w:val="24"/>
        </w:rPr>
      </w:pPr>
      <w:r w:rsidRPr="00DE12A3">
        <w:rPr>
          <w:color w:val="auto"/>
          <w:sz w:val="24"/>
          <w:szCs w:val="24"/>
        </w:rPr>
        <w:t xml:space="preserve">Uçucu </w:t>
      </w:r>
      <w:r w:rsidR="007E2039" w:rsidRPr="00DE12A3">
        <w:rPr>
          <w:color w:val="auto"/>
          <w:sz w:val="24"/>
          <w:szCs w:val="24"/>
        </w:rPr>
        <w:t xml:space="preserve">partikül </w:t>
      </w:r>
      <w:r w:rsidRPr="00DE12A3">
        <w:rPr>
          <w:color w:val="auto"/>
          <w:sz w:val="24"/>
          <w:szCs w:val="24"/>
        </w:rPr>
        <w:t>giderici (VPR)</w:t>
      </w:r>
    </w:p>
    <w:p w14:paraId="1E855023" w14:textId="77777777" w:rsidR="002D7B36" w:rsidRPr="00DE12A3" w:rsidRDefault="00513B24" w:rsidP="00C917D6">
      <w:pPr>
        <w:pStyle w:val="Gvdemetni251"/>
        <w:shd w:val="clear" w:color="auto" w:fill="auto"/>
        <w:spacing w:before="120" w:after="120" w:line="240" w:lineRule="auto"/>
        <w:ind w:left="1134" w:hanging="1134"/>
        <w:rPr>
          <w:color w:val="auto"/>
          <w:sz w:val="24"/>
          <w:szCs w:val="24"/>
        </w:rPr>
      </w:pPr>
      <w:r w:rsidRPr="00DE12A3">
        <w:rPr>
          <w:color w:val="auto"/>
          <w:sz w:val="24"/>
          <w:szCs w:val="24"/>
        </w:rPr>
        <w:t xml:space="preserve">                  </w:t>
      </w:r>
      <w:r w:rsidR="00242DA0" w:rsidRPr="00DE12A3">
        <w:rPr>
          <w:color w:val="auto"/>
          <w:sz w:val="24"/>
          <w:szCs w:val="24"/>
        </w:rPr>
        <w:t xml:space="preserve">VPR, seri olarak bir </w:t>
      </w:r>
      <w:r w:rsidR="007E2039" w:rsidRPr="00DE12A3">
        <w:rPr>
          <w:color w:val="auto"/>
          <w:sz w:val="24"/>
          <w:szCs w:val="24"/>
        </w:rPr>
        <w:t xml:space="preserve">partikül </w:t>
      </w:r>
      <w:r w:rsidR="00242DA0" w:rsidRPr="00DE12A3">
        <w:rPr>
          <w:color w:val="auto"/>
          <w:sz w:val="24"/>
          <w:szCs w:val="24"/>
        </w:rPr>
        <w:t>sayısı seyreltici (PND</w:t>
      </w:r>
      <w:r w:rsidR="00242DA0" w:rsidRPr="00DE12A3">
        <w:rPr>
          <w:color w:val="auto"/>
          <w:sz w:val="24"/>
          <w:szCs w:val="24"/>
          <w:vertAlign w:val="subscript"/>
        </w:rPr>
        <w:t>1</w:t>
      </w:r>
      <w:r w:rsidR="00242DA0" w:rsidRPr="00DE12A3">
        <w:rPr>
          <w:color w:val="auto"/>
          <w:sz w:val="24"/>
          <w:szCs w:val="24"/>
        </w:rPr>
        <w:t>), bir buharlaştırma borusu ve ikinci bir seyreltici (PND</w:t>
      </w:r>
      <w:r w:rsidR="00242DA0" w:rsidRPr="00DE12A3">
        <w:rPr>
          <w:color w:val="auto"/>
          <w:sz w:val="24"/>
          <w:szCs w:val="24"/>
          <w:vertAlign w:val="subscript"/>
        </w:rPr>
        <w:t>2</w:t>
      </w:r>
      <w:r w:rsidR="00242DA0" w:rsidRPr="00DE12A3">
        <w:rPr>
          <w:color w:val="auto"/>
          <w:sz w:val="24"/>
          <w:szCs w:val="24"/>
        </w:rPr>
        <w:t xml:space="preserve">) içermelidir. Bu seyreltme işlevi, </w:t>
      </w:r>
      <w:r w:rsidR="007E2039" w:rsidRPr="00DE12A3">
        <w:rPr>
          <w:color w:val="auto"/>
          <w:sz w:val="24"/>
          <w:szCs w:val="24"/>
        </w:rPr>
        <w:t xml:space="preserve">partikül </w:t>
      </w:r>
      <w:r w:rsidR="00242DA0" w:rsidRPr="00DE12A3">
        <w:rPr>
          <w:color w:val="auto"/>
          <w:sz w:val="24"/>
          <w:szCs w:val="24"/>
        </w:rPr>
        <w:t xml:space="preserve">yoğunluğu ölçüm ünitesine giren numune sayısı konsantrasyonunu, PNC'nin tek </w:t>
      </w:r>
      <w:r w:rsidR="007E2039" w:rsidRPr="00DE12A3">
        <w:rPr>
          <w:color w:val="auto"/>
          <w:sz w:val="24"/>
          <w:szCs w:val="24"/>
        </w:rPr>
        <w:t xml:space="preserve">partikül </w:t>
      </w:r>
      <w:r w:rsidR="00242DA0" w:rsidRPr="00DE12A3">
        <w:rPr>
          <w:color w:val="auto"/>
          <w:sz w:val="24"/>
          <w:szCs w:val="24"/>
        </w:rPr>
        <w:t>sayım modunun üst eşiğinden daha düşük bir seviyeye düşürmek ve numune içinde çekirdeklenmeyi bastırmaktır. VPR, PND</w:t>
      </w:r>
      <w:r w:rsidR="00242DA0" w:rsidRPr="00DE12A3">
        <w:rPr>
          <w:color w:val="auto"/>
          <w:sz w:val="24"/>
          <w:szCs w:val="24"/>
          <w:vertAlign w:val="subscript"/>
        </w:rPr>
        <w:t>1</w:t>
      </w:r>
      <w:r w:rsidR="00242DA0" w:rsidRPr="00DE12A3">
        <w:rPr>
          <w:color w:val="auto"/>
          <w:sz w:val="24"/>
          <w:szCs w:val="24"/>
        </w:rPr>
        <w:t xml:space="preserve"> ve buharlaşma borusunun doğru çalışma sıcaklıklarında olup olmadığına dair bir gösterge sağlamalıdır.</w:t>
      </w:r>
    </w:p>
    <w:p w14:paraId="7B600928" w14:textId="371EE788" w:rsidR="002D7B36" w:rsidRPr="00DE12A3" w:rsidRDefault="00513B24" w:rsidP="00C917D6">
      <w:pPr>
        <w:pStyle w:val="Gvdemetni251"/>
        <w:shd w:val="clear" w:color="auto" w:fill="auto"/>
        <w:spacing w:before="120" w:after="120" w:line="240" w:lineRule="auto"/>
        <w:ind w:left="1134" w:hanging="1134"/>
        <w:rPr>
          <w:color w:val="auto"/>
          <w:sz w:val="24"/>
          <w:szCs w:val="24"/>
        </w:rPr>
      </w:pPr>
      <w:r w:rsidRPr="00DE12A3">
        <w:rPr>
          <w:color w:val="auto"/>
          <w:sz w:val="24"/>
          <w:szCs w:val="24"/>
        </w:rPr>
        <w:t xml:space="preserve">                  </w:t>
      </w:r>
      <w:r w:rsidR="00242DA0" w:rsidRPr="00DE12A3">
        <w:rPr>
          <w:color w:val="auto"/>
          <w:sz w:val="24"/>
          <w:szCs w:val="24"/>
        </w:rPr>
        <w:t>VPR, ≥ 10000 cm</w:t>
      </w:r>
      <w:r w:rsidR="00242DA0" w:rsidRPr="00DE12A3">
        <w:rPr>
          <w:color w:val="auto"/>
          <w:sz w:val="24"/>
          <w:szCs w:val="24"/>
          <w:vertAlign w:val="superscript"/>
        </w:rPr>
        <w:t>-3</w:t>
      </w:r>
      <w:r w:rsidR="00242DA0" w:rsidRPr="00DE12A3">
        <w:rPr>
          <w:color w:val="auto"/>
          <w:sz w:val="24"/>
          <w:szCs w:val="24"/>
        </w:rPr>
        <w:t xml:space="preserve"> bir giriş konsantrasyonuyla, 30 nm tetrakontan (CH</w:t>
      </w:r>
      <w:r w:rsidR="00242DA0" w:rsidRPr="00DE12A3">
        <w:rPr>
          <w:color w:val="auto"/>
          <w:sz w:val="24"/>
          <w:szCs w:val="24"/>
          <w:vertAlign w:val="subscript"/>
        </w:rPr>
        <w:t>3</w:t>
      </w:r>
      <w:r w:rsidR="00242DA0" w:rsidRPr="00DE12A3">
        <w:rPr>
          <w:color w:val="auto"/>
          <w:sz w:val="24"/>
          <w:szCs w:val="24"/>
        </w:rPr>
        <w:t>(CH</w:t>
      </w:r>
      <w:r w:rsidR="00242DA0" w:rsidRPr="00DE12A3">
        <w:rPr>
          <w:color w:val="auto"/>
          <w:sz w:val="24"/>
          <w:szCs w:val="24"/>
          <w:vertAlign w:val="subscript"/>
        </w:rPr>
        <w:t>2</w:t>
      </w:r>
      <w:r w:rsidR="00242DA0" w:rsidRPr="00DE12A3">
        <w:rPr>
          <w:color w:val="auto"/>
          <w:sz w:val="24"/>
          <w:szCs w:val="24"/>
        </w:rPr>
        <w:t>)</w:t>
      </w:r>
      <w:r w:rsidR="00242DA0" w:rsidRPr="00DE12A3">
        <w:rPr>
          <w:color w:val="auto"/>
          <w:sz w:val="24"/>
          <w:szCs w:val="24"/>
          <w:vertAlign w:val="subscript"/>
        </w:rPr>
        <w:t>38</w:t>
      </w:r>
      <w:r w:rsidR="00242DA0" w:rsidRPr="00DE12A3">
        <w:rPr>
          <w:color w:val="auto"/>
          <w:sz w:val="24"/>
          <w:szCs w:val="24"/>
        </w:rPr>
        <w:t>CH</w:t>
      </w:r>
      <w:r w:rsidR="00242DA0" w:rsidRPr="00DE12A3">
        <w:rPr>
          <w:color w:val="auto"/>
          <w:sz w:val="24"/>
          <w:szCs w:val="24"/>
          <w:vertAlign w:val="subscript"/>
        </w:rPr>
        <w:t>3</w:t>
      </w:r>
      <w:r w:rsidR="00242DA0" w:rsidRPr="00DE12A3">
        <w:rPr>
          <w:color w:val="auto"/>
          <w:sz w:val="24"/>
          <w:szCs w:val="24"/>
        </w:rPr>
        <w:t xml:space="preserve">) parçacıklarının, tetrakontanın ısıtılması ve kısmi basınçlarının düşürülmesi </w:t>
      </w:r>
      <w:r w:rsidR="00F466F2" w:rsidRPr="00DE12A3">
        <w:rPr>
          <w:color w:val="auto"/>
          <w:sz w:val="24"/>
          <w:szCs w:val="24"/>
        </w:rPr>
        <w:t>yoluyla</w:t>
      </w:r>
      <w:r w:rsidR="00505CBD" w:rsidRPr="00DE12A3">
        <w:rPr>
          <w:color w:val="auto"/>
          <w:sz w:val="24"/>
          <w:szCs w:val="24"/>
        </w:rPr>
        <w:t xml:space="preserve">    </w:t>
      </w:r>
      <w:r w:rsidR="00F466F2" w:rsidRPr="00DE12A3">
        <w:rPr>
          <w:color w:val="auto"/>
          <w:sz w:val="24"/>
          <w:szCs w:val="24"/>
        </w:rPr>
        <w:t>&gt;</w:t>
      </w:r>
      <w:r w:rsidR="00242DA0" w:rsidRPr="00DE12A3">
        <w:rPr>
          <w:color w:val="auto"/>
          <w:sz w:val="24"/>
          <w:szCs w:val="24"/>
        </w:rPr>
        <w:t xml:space="preserve"> </w:t>
      </w:r>
      <w:r w:rsidR="00F466F2" w:rsidRPr="00DE12A3">
        <w:rPr>
          <w:color w:val="auto"/>
          <w:sz w:val="24"/>
          <w:szCs w:val="24"/>
        </w:rPr>
        <w:t>%99,0</w:t>
      </w:r>
      <w:r w:rsidR="00505CBD" w:rsidRPr="00DE12A3">
        <w:rPr>
          <w:color w:val="auto"/>
          <w:sz w:val="24"/>
          <w:szCs w:val="24"/>
        </w:rPr>
        <w:t xml:space="preserve"> oranında </w:t>
      </w:r>
      <w:r w:rsidR="00242DA0" w:rsidRPr="00DE12A3">
        <w:rPr>
          <w:color w:val="auto"/>
          <w:sz w:val="24"/>
          <w:szCs w:val="24"/>
        </w:rPr>
        <w:t xml:space="preserve"> buharlaşmasını sağlamalıdır. Ayrıca, </w:t>
      </w:r>
      <w:r w:rsidR="00242DA0" w:rsidRPr="00DE12A3">
        <w:rPr>
          <w:color w:val="auto"/>
          <w:sz w:val="24"/>
          <w:szCs w:val="24"/>
        </w:rPr>
        <w:lastRenderedPageBreak/>
        <w:t xml:space="preserve">2.2.2.2 bendinde tanımlandığı gibi, 30 nm ve 50 nm elektriksel hareketlilik çapına sahip parçacıklar için sırasıyla en çok </w:t>
      </w:r>
      <w:r w:rsidR="00F466F2" w:rsidRPr="00DE12A3">
        <w:rPr>
          <w:color w:val="auto"/>
          <w:sz w:val="24"/>
          <w:szCs w:val="24"/>
        </w:rPr>
        <w:t>%30</w:t>
      </w:r>
      <w:r w:rsidR="00242DA0" w:rsidRPr="00DE12A3">
        <w:rPr>
          <w:color w:val="auto"/>
          <w:sz w:val="24"/>
          <w:szCs w:val="24"/>
        </w:rPr>
        <w:t xml:space="preserve"> ve </w:t>
      </w:r>
      <w:r w:rsidR="00F466F2" w:rsidRPr="00DE12A3">
        <w:rPr>
          <w:color w:val="auto"/>
          <w:sz w:val="24"/>
          <w:szCs w:val="24"/>
        </w:rPr>
        <w:t>%20</w:t>
      </w:r>
      <w:r w:rsidR="00242DA0" w:rsidRPr="00DE12A3">
        <w:rPr>
          <w:color w:val="auto"/>
          <w:sz w:val="24"/>
          <w:szCs w:val="24"/>
        </w:rPr>
        <w:t xml:space="preserve"> yüksek olan ve bir bütün olarak VPR için 100 nm elektriksel hareketlilik çapına sahip parçacıklar için olandan en çok </w:t>
      </w:r>
      <w:r w:rsidR="00F466F2" w:rsidRPr="00DE12A3">
        <w:rPr>
          <w:color w:val="auto"/>
          <w:sz w:val="24"/>
          <w:szCs w:val="24"/>
        </w:rPr>
        <w:t>%5</w:t>
      </w:r>
      <w:r w:rsidR="00242DA0" w:rsidRPr="00DE12A3">
        <w:rPr>
          <w:color w:val="auto"/>
          <w:sz w:val="24"/>
          <w:szCs w:val="24"/>
        </w:rPr>
        <w:t xml:space="preserve"> daha düşük bir </w:t>
      </w:r>
      <w:r w:rsidR="007E2039" w:rsidRPr="00DE12A3">
        <w:rPr>
          <w:color w:val="auto"/>
          <w:sz w:val="24"/>
          <w:szCs w:val="24"/>
        </w:rPr>
        <w:t xml:space="preserve">partikül </w:t>
      </w:r>
      <w:r w:rsidR="00242DA0" w:rsidRPr="00DE12A3">
        <w:rPr>
          <w:color w:val="auto"/>
          <w:sz w:val="24"/>
          <w:szCs w:val="24"/>
        </w:rPr>
        <w:t>konsantrasyonu azaltma faktörüne (f) de ulaşmalıdır.</w:t>
      </w:r>
    </w:p>
    <w:p w14:paraId="2E4C3772" w14:textId="77777777" w:rsidR="002D7B36" w:rsidRPr="00DE12A3" w:rsidRDefault="00242DA0" w:rsidP="00E20716">
      <w:pPr>
        <w:pStyle w:val="Gvdemetni251"/>
        <w:numPr>
          <w:ilvl w:val="0"/>
          <w:numId w:val="381"/>
        </w:numPr>
        <w:shd w:val="clear" w:color="auto" w:fill="auto"/>
        <w:spacing w:before="120" w:after="120" w:line="240" w:lineRule="auto"/>
        <w:ind w:left="1134" w:hanging="1134"/>
        <w:rPr>
          <w:color w:val="auto"/>
          <w:sz w:val="24"/>
          <w:szCs w:val="24"/>
        </w:rPr>
      </w:pPr>
      <w:r w:rsidRPr="00DE12A3">
        <w:rPr>
          <w:color w:val="auto"/>
          <w:sz w:val="24"/>
          <w:szCs w:val="24"/>
        </w:rPr>
        <w:t xml:space="preserve">İlk </w:t>
      </w:r>
      <w:r w:rsidR="007E2039" w:rsidRPr="00DE12A3">
        <w:rPr>
          <w:color w:val="auto"/>
          <w:sz w:val="24"/>
          <w:szCs w:val="24"/>
        </w:rPr>
        <w:t xml:space="preserve">partikül </w:t>
      </w:r>
      <w:r w:rsidRPr="00DE12A3">
        <w:rPr>
          <w:color w:val="auto"/>
          <w:sz w:val="24"/>
          <w:szCs w:val="24"/>
        </w:rPr>
        <w:t>sayısı seyreltme cihazı (PND</w:t>
      </w:r>
      <w:r w:rsidRPr="00DE12A3">
        <w:rPr>
          <w:color w:val="auto"/>
          <w:sz w:val="24"/>
          <w:szCs w:val="24"/>
          <w:vertAlign w:val="subscript"/>
        </w:rPr>
        <w:t>1</w:t>
      </w:r>
      <w:r w:rsidRPr="00DE12A3">
        <w:rPr>
          <w:color w:val="auto"/>
          <w:sz w:val="24"/>
          <w:szCs w:val="24"/>
        </w:rPr>
        <w:t>)</w:t>
      </w:r>
    </w:p>
    <w:p w14:paraId="3CF7EA41" w14:textId="77777777" w:rsidR="002D7B36" w:rsidRPr="00DE12A3" w:rsidRDefault="00513B24" w:rsidP="00C917D6">
      <w:pPr>
        <w:pStyle w:val="Gvdemetni251"/>
        <w:shd w:val="clear" w:color="auto" w:fill="auto"/>
        <w:spacing w:before="120" w:after="120" w:line="240" w:lineRule="auto"/>
        <w:ind w:left="1134" w:hanging="1134"/>
        <w:rPr>
          <w:color w:val="auto"/>
          <w:sz w:val="24"/>
          <w:szCs w:val="24"/>
        </w:rPr>
      </w:pPr>
      <w:r w:rsidRPr="00DE12A3">
        <w:rPr>
          <w:color w:val="auto"/>
          <w:sz w:val="24"/>
          <w:szCs w:val="24"/>
        </w:rPr>
        <w:t xml:space="preserve">                  </w:t>
      </w:r>
      <w:r w:rsidR="00242DA0" w:rsidRPr="00DE12A3">
        <w:rPr>
          <w:color w:val="auto"/>
          <w:sz w:val="24"/>
          <w:szCs w:val="24"/>
        </w:rPr>
        <w:t xml:space="preserve">İlk </w:t>
      </w:r>
      <w:r w:rsidR="007E2039" w:rsidRPr="00DE12A3">
        <w:rPr>
          <w:color w:val="auto"/>
          <w:sz w:val="24"/>
          <w:szCs w:val="24"/>
        </w:rPr>
        <w:t xml:space="preserve">partikül </w:t>
      </w:r>
      <w:r w:rsidR="00242DA0" w:rsidRPr="00DE12A3">
        <w:rPr>
          <w:color w:val="auto"/>
          <w:sz w:val="24"/>
          <w:szCs w:val="24"/>
        </w:rPr>
        <w:t xml:space="preserve">sayısı seyreltme cihazı, </w:t>
      </w:r>
      <w:r w:rsidR="007E2039" w:rsidRPr="00DE12A3">
        <w:rPr>
          <w:color w:val="auto"/>
          <w:sz w:val="24"/>
          <w:szCs w:val="24"/>
        </w:rPr>
        <w:t xml:space="preserve">partikül </w:t>
      </w:r>
      <w:r w:rsidR="00242DA0" w:rsidRPr="00DE12A3">
        <w:rPr>
          <w:color w:val="auto"/>
          <w:sz w:val="24"/>
          <w:szCs w:val="24"/>
        </w:rPr>
        <w:t>sayısı konsantrasyonunu seyreltecek ve 423 K ila 673 K (150 °C ila 400 °C) bir (duvar) sıcaklıkta çalışacak şekilde özel olarak tasarlanmalıdır. Duvar sıcaklığı ayar noktası, sabit bir nominal çalışma sıcaklığında, bu aralık dahilinde, ± 10 °C'lik bir toleransta tutulmalı ve ET'nin duvar sıcaklığını geçmemelidir (2.1.4.4.2). Seyreltici, HEPA ile filtrelenmiş seyreltme havası ile beslenmeli ve 10 ila 200 kat seyreltme faktörüne sahip olabilmelidir.</w:t>
      </w:r>
    </w:p>
    <w:p w14:paraId="0DE2914A" w14:textId="77777777" w:rsidR="002D7B36" w:rsidRPr="00DE12A3" w:rsidRDefault="00242DA0" w:rsidP="00E20716">
      <w:pPr>
        <w:pStyle w:val="Gvdemetni251"/>
        <w:numPr>
          <w:ilvl w:val="0"/>
          <w:numId w:val="381"/>
        </w:numPr>
        <w:shd w:val="clear" w:color="auto" w:fill="auto"/>
        <w:spacing w:before="120" w:after="120" w:line="240" w:lineRule="auto"/>
        <w:ind w:left="1134" w:hanging="1134"/>
        <w:rPr>
          <w:color w:val="auto"/>
          <w:sz w:val="24"/>
          <w:szCs w:val="24"/>
        </w:rPr>
      </w:pPr>
      <w:r w:rsidRPr="00DE12A3">
        <w:rPr>
          <w:color w:val="auto"/>
          <w:sz w:val="24"/>
          <w:szCs w:val="24"/>
        </w:rPr>
        <w:t>Buharlaşma Borusu (ET)</w:t>
      </w:r>
    </w:p>
    <w:p w14:paraId="47EC76E9" w14:textId="77777777" w:rsidR="002D7B36" w:rsidRPr="00DE12A3" w:rsidRDefault="00513B24" w:rsidP="00C917D6">
      <w:pPr>
        <w:pStyle w:val="Gvdemetni251"/>
        <w:shd w:val="clear" w:color="auto" w:fill="auto"/>
        <w:spacing w:before="120" w:after="120" w:line="240" w:lineRule="auto"/>
        <w:ind w:left="1134" w:hanging="1134"/>
        <w:rPr>
          <w:color w:val="auto"/>
          <w:sz w:val="24"/>
          <w:szCs w:val="24"/>
        </w:rPr>
      </w:pPr>
      <w:r w:rsidRPr="00DE12A3">
        <w:rPr>
          <w:color w:val="auto"/>
          <w:sz w:val="24"/>
          <w:szCs w:val="24"/>
        </w:rPr>
        <w:t xml:space="preserve">                  </w:t>
      </w:r>
      <w:r w:rsidR="00242DA0" w:rsidRPr="00DE12A3">
        <w:rPr>
          <w:color w:val="auto"/>
          <w:sz w:val="24"/>
          <w:szCs w:val="24"/>
        </w:rPr>
        <w:t xml:space="preserve">ET'nin tüm uzunluğu, ilk </w:t>
      </w:r>
      <w:r w:rsidR="007E2039" w:rsidRPr="00DE12A3">
        <w:rPr>
          <w:color w:val="auto"/>
          <w:sz w:val="24"/>
          <w:szCs w:val="24"/>
        </w:rPr>
        <w:t xml:space="preserve">partikül </w:t>
      </w:r>
      <w:r w:rsidR="00242DA0" w:rsidRPr="00DE12A3">
        <w:rPr>
          <w:color w:val="auto"/>
          <w:sz w:val="24"/>
          <w:szCs w:val="24"/>
        </w:rPr>
        <w:t>sayısı seyreltme cihazınınkine eşit veya daha büyük bir duvar sıcaklığına ve 300 °C ila 400 °C arasında sabit bir nominal çalışma sıcaklığında tutulan duvar sıcaklığı ± 10 °C'lik bir toleransa göre kontrol edilmelidir.</w:t>
      </w:r>
    </w:p>
    <w:p w14:paraId="559A96DE" w14:textId="77777777" w:rsidR="002D7B36" w:rsidRPr="00DE12A3" w:rsidRDefault="00242DA0" w:rsidP="00E20716">
      <w:pPr>
        <w:pStyle w:val="Gvdemetni251"/>
        <w:numPr>
          <w:ilvl w:val="0"/>
          <w:numId w:val="381"/>
        </w:numPr>
        <w:shd w:val="clear" w:color="auto" w:fill="auto"/>
        <w:spacing w:before="120" w:after="120" w:line="240" w:lineRule="auto"/>
        <w:ind w:left="1134" w:hanging="1134"/>
        <w:rPr>
          <w:color w:val="auto"/>
          <w:sz w:val="24"/>
          <w:szCs w:val="24"/>
        </w:rPr>
      </w:pPr>
      <w:r w:rsidRPr="00DE12A3">
        <w:rPr>
          <w:color w:val="auto"/>
          <w:sz w:val="24"/>
          <w:szCs w:val="24"/>
        </w:rPr>
        <w:t xml:space="preserve">İkinci </w:t>
      </w:r>
      <w:r w:rsidR="007E2039" w:rsidRPr="00DE12A3">
        <w:rPr>
          <w:color w:val="auto"/>
          <w:sz w:val="24"/>
          <w:szCs w:val="24"/>
        </w:rPr>
        <w:t xml:space="preserve">partikül </w:t>
      </w:r>
      <w:r w:rsidRPr="00DE12A3">
        <w:rPr>
          <w:color w:val="auto"/>
          <w:sz w:val="24"/>
          <w:szCs w:val="24"/>
        </w:rPr>
        <w:t>sayısı seyreltme cihazı (PND</w:t>
      </w:r>
      <w:r w:rsidRPr="00DE12A3">
        <w:rPr>
          <w:color w:val="auto"/>
          <w:sz w:val="24"/>
          <w:szCs w:val="24"/>
          <w:vertAlign w:val="subscript"/>
        </w:rPr>
        <w:t>2</w:t>
      </w:r>
      <w:r w:rsidRPr="00DE12A3">
        <w:rPr>
          <w:color w:val="auto"/>
          <w:sz w:val="24"/>
          <w:szCs w:val="24"/>
        </w:rPr>
        <w:t>)</w:t>
      </w:r>
    </w:p>
    <w:p w14:paraId="269AB4C4" w14:textId="77777777" w:rsidR="002D7B36" w:rsidRPr="00DE12A3" w:rsidRDefault="0059217B" w:rsidP="00C917D6">
      <w:pPr>
        <w:pStyle w:val="Gvdemetni251"/>
        <w:shd w:val="clear" w:color="auto" w:fill="auto"/>
        <w:tabs>
          <w:tab w:val="left" w:pos="1887"/>
        </w:tabs>
        <w:spacing w:before="120" w:after="120" w:line="240" w:lineRule="auto"/>
        <w:ind w:left="1134" w:hanging="1134"/>
        <w:rPr>
          <w:color w:val="auto"/>
          <w:sz w:val="24"/>
          <w:szCs w:val="24"/>
        </w:rPr>
      </w:pPr>
      <w:r w:rsidRPr="00DE12A3">
        <w:rPr>
          <w:color w:val="auto"/>
          <w:sz w:val="24"/>
          <w:szCs w:val="24"/>
        </w:rPr>
        <w:t xml:space="preserve">                  </w:t>
      </w:r>
      <w:r w:rsidR="00242DA0" w:rsidRPr="00DE12A3">
        <w:rPr>
          <w:color w:val="auto"/>
          <w:sz w:val="24"/>
          <w:szCs w:val="24"/>
        </w:rPr>
        <w:t>PND</w:t>
      </w:r>
      <w:r w:rsidR="00242DA0" w:rsidRPr="00DE12A3">
        <w:rPr>
          <w:color w:val="auto"/>
          <w:sz w:val="24"/>
          <w:szCs w:val="24"/>
          <w:vertAlign w:val="subscript"/>
        </w:rPr>
        <w:t>2</w:t>
      </w:r>
      <w:r w:rsidR="00242DA0" w:rsidRPr="00DE12A3">
        <w:rPr>
          <w:color w:val="auto"/>
          <w:sz w:val="24"/>
          <w:szCs w:val="24"/>
        </w:rPr>
        <w:t xml:space="preserve">, </w:t>
      </w:r>
      <w:r w:rsidR="007E2039" w:rsidRPr="00DE12A3">
        <w:rPr>
          <w:color w:val="auto"/>
          <w:sz w:val="24"/>
          <w:szCs w:val="24"/>
        </w:rPr>
        <w:t xml:space="preserve">partikül </w:t>
      </w:r>
      <w:r w:rsidR="00242DA0" w:rsidRPr="00DE12A3">
        <w:rPr>
          <w:color w:val="auto"/>
          <w:sz w:val="24"/>
          <w:szCs w:val="24"/>
        </w:rPr>
        <w:t>sayısı konsantrasyonunu seyreltecek şekilde özel olarak tasarlanmalıdır. Seyreltici, HEPA ile filtrelenmiş seyreltme havası ile beslenmeli ve tek bir seyreltme faktörünü 10 ila 30 kat aralığında tutabilmelidir. PND</w:t>
      </w:r>
      <w:r w:rsidR="00242DA0" w:rsidRPr="00DE12A3">
        <w:rPr>
          <w:color w:val="auto"/>
          <w:sz w:val="24"/>
          <w:szCs w:val="24"/>
          <w:vertAlign w:val="subscript"/>
        </w:rPr>
        <w:t>2</w:t>
      </w:r>
      <w:r w:rsidR="00242DA0" w:rsidRPr="00DE12A3">
        <w:rPr>
          <w:color w:val="auto"/>
          <w:sz w:val="24"/>
          <w:szCs w:val="24"/>
        </w:rPr>
        <w:t xml:space="preserve">'nin seyreltme faktörü, ikinci seyrelticinin çıkış tarafındaki </w:t>
      </w:r>
      <w:r w:rsidR="007E2039" w:rsidRPr="00DE12A3">
        <w:rPr>
          <w:color w:val="auto"/>
          <w:sz w:val="24"/>
          <w:szCs w:val="24"/>
        </w:rPr>
        <w:t xml:space="preserve">partikül </w:t>
      </w:r>
      <w:r w:rsidR="00242DA0" w:rsidRPr="00DE12A3">
        <w:rPr>
          <w:color w:val="auto"/>
          <w:sz w:val="24"/>
          <w:szCs w:val="24"/>
        </w:rPr>
        <w:t xml:space="preserve">sayısı konsantrasyonu, PNC'nin tek </w:t>
      </w:r>
      <w:r w:rsidR="007E2039" w:rsidRPr="00DE12A3">
        <w:rPr>
          <w:color w:val="auto"/>
          <w:sz w:val="24"/>
          <w:szCs w:val="24"/>
        </w:rPr>
        <w:t xml:space="preserve">partikül </w:t>
      </w:r>
      <w:r w:rsidR="00242DA0" w:rsidRPr="00DE12A3">
        <w:rPr>
          <w:color w:val="auto"/>
          <w:sz w:val="24"/>
          <w:szCs w:val="24"/>
        </w:rPr>
        <w:t>sayımı modunun üst eşik değerinden daha düşük olacak ve PNC girişi öncesindeki gaz sıcaklığı &lt; 35 °C olacak şekilde, 10 ile 15 aralığında seçilmelidir.</w:t>
      </w:r>
    </w:p>
    <w:p w14:paraId="18158F2F" w14:textId="77777777" w:rsidR="002D7B36" w:rsidRPr="00DE12A3" w:rsidRDefault="007E2039" w:rsidP="00E20716">
      <w:pPr>
        <w:pStyle w:val="Gvdemetni251"/>
        <w:numPr>
          <w:ilvl w:val="0"/>
          <w:numId w:val="380"/>
        </w:numPr>
        <w:shd w:val="clear" w:color="auto" w:fill="auto"/>
        <w:spacing w:before="120" w:after="120" w:line="240" w:lineRule="auto"/>
        <w:ind w:left="1134" w:hanging="1134"/>
        <w:rPr>
          <w:color w:val="auto"/>
          <w:sz w:val="24"/>
          <w:szCs w:val="24"/>
        </w:rPr>
      </w:pPr>
      <w:r w:rsidRPr="00DE12A3">
        <w:rPr>
          <w:color w:val="auto"/>
          <w:sz w:val="24"/>
          <w:szCs w:val="24"/>
        </w:rPr>
        <w:t xml:space="preserve">Partikül </w:t>
      </w:r>
      <w:r w:rsidR="00242DA0" w:rsidRPr="00DE12A3">
        <w:rPr>
          <w:color w:val="auto"/>
          <w:sz w:val="24"/>
          <w:szCs w:val="24"/>
        </w:rPr>
        <w:t>sayısı sayacı (PNC)</w:t>
      </w:r>
    </w:p>
    <w:p w14:paraId="0E22B899" w14:textId="77777777" w:rsidR="002D7B36" w:rsidRPr="00DE12A3" w:rsidRDefault="0059217B" w:rsidP="00C917D6">
      <w:pPr>
        <w:pStyle w:val="Gvdemetni251"/>
        <w:shd w:val="clear" w:color="auto" w:fill="auto"/>
        <w:spacing w:before="120" w:after="120" w:line="240" w:lineRule="auto"/>
        <w:ind w:left="1134" w:hanging="1134"/>
        <w:rPr>
          <w:color w:val="auto"/>
          <w:sz w:val="24"/>
          <w:szCs w:val="24"/>
        </w:rPr>
      </w:pPr>
      <w:r w:rsidRPr="00DE12A3">
        <w:rPr>
          <w:color w:val="auto"/>
          <w:sz w:val="24"/>
          <w:szCs w:val="24"/>
        </w:rPr>
        <w:t xml:space="preserve">                  </w:t>
      </w:r>
      <w:r w:rsidR="00242DA0" w:rsidRPr="00DE12A3">
        <w:rPr>
          <w:color w:val="auto"/>
          <w:sz w:val="24"/>
          <w:szCs w:val="24"/>
        </w:rPr>
        <w:t xml:space="preserve">PNC, 2.1.3.4 bendindeki </w:t>
      </w:r>
      <w:r w:rsidR="0053289F" w:rsidRPr="00DE12A3">
        <w:rPr>
          <w:color w:val="auto"/>
          <w:sz w:val="24"/>
          <w:szCs w:val="24"/>
        </w:rPr>
        <w:t>gereklilikleri</w:t>
      </w:r>
      <w:r w:rsidR="00242DA0" w:rsidRPr="00DE12A3">
        <w:rPr>
          <w:color w:val="auto"/>
          <w:sz w:val="24"/>
          <w:szCs w:val="24"/>
        </w:rPr>
        <w:t xml:space="preserve"> sağlamalıdır.</w:t>
      </w:r>
    </w:p>
    <w:p w14:paraId="651073BC" w14:textId="77777777" w:rsidR="002D7B36" w:rsidRPr="00DE12A3" w:rsidRDefault="0059217B" w:rsidP="00E20716">
      <w:pPr>
        <w:pStyle w:val="Gvdemetni251"/>
        <w:numPr>
          <w:ilvl w:val="0"/>
          <w:numId w:val="382"/>
        </w:numPr>
        <w:shd w:val="clear" w:color="auto" w:fill="auto"/>
        <w:spacing w:before="120" w:after="120" w:line="240" w:lineRule="auto"/>
        <w:ind w:left="1134" w:hanging="1134"/>
        <w:rPr>
          <w:color w:val="auto"/>
          <w:sz w:val="24"/>
          <w:szCs w:val="24"/>
        </w:rPr>
      </w:pPr>
      <w:r w:rsidRPr="00DE12A3">
        <w:rPr>
          <w:color w:val="auto"/>
          <w:sz w:val="24"/>
          <w:szCs w:val="24"/>
        </w:rPr>
        <w:t xml:space="preserve">       </w:t>
      </w:r>
      <w:r w:rsidR="007E2039" w:rsidRPr="00DE12A3">
        <w:rPr>
          <w:color w:val="auto"/>
          <w:sz w:val="24"/>
          <w:szCs w:val="24"/>
        </w:rPr>
        <w:t xml:space="preserve">Partikül </w:t>
      </w:r>
      <w:r w:rsidR="00242DA0" w:rsidRPr="00DE12A3">
        <w:rPr>
          <w:color w:val="auto"/>
          <w:sz w:val="24"/>
          <w:szCs w:val="24"/>
        </w:rPr>
        <w:t>örnekleme sistemi kalibrasyonu/doğrulaması (</w:t>
      </w:r>
      <w:r w:rsidR="00242DA0" w:rsidRPr="00DE12A3">
        <w:rPr>
          <w:color w:val="auto"/>
          <w:sz w:val="24"/>
          <w:szCs w:val="24"/>
          <w:vertAlign w:val="superscript"/>
        </w:rPr>
        <w:t>1</w:t>
      </w:r>
      <w:r w:rsidR="00242DA0" w:rsidRPr="00DE12A3">
        <w:rPr>
          <w:color w:val="auto"/>
          <w:sz w:val="24"/>
          <w:szCs w:val="24"/>
        </w:rPr>
        <w:t>)</w:t>
      </w:r>
    </w:p>
    <w:p w14:paraId="4334EF4E" w14:textId="77777777" w:rsidR="002D7B36" w:rsidRPr="00DE12A3" w:rsidRDefault="0059217B" w:rsidP="00E20716">
      <w:pPr>
        <w:pStyle w:val="Gvdemetni251"/>
        <w:numPr>
          <w:ilvl w:val="0"/>
          <w:numId w:val="383"/>
        </w:numPr>
        <w:shd w:val="clear" w:color="auto" w:fill="auto"/>
        <w:spacing w:before="120" w:after="120" w:line="240" w:lineRule="auto"/>
        <w:ind w:left="1134" w:hanging="1134"/>
        <w:rPr>
          <w:color w:val="auto"/>
          <w:sz w:val="24"/>
          <w:szCs w:val="24"/>
        </w:rPr>
      </w:pPr>
      <w:r w:rsidRPr="00DE12A3">
        <w:rPr>
          <w:color w:val="auto"/>
          <w:sz w:val="24"/>
          <w:szCs w:val="24"/>
        </w:rPr>
        <w:t xml:space="preserve">       </w:t>
      </w:r>
      <w:r w:rsidR="007E2039" w:rsidRPr="00DE12A3">
        <w:rPr>
          <w:color w:val="auto"/>
          <w:sz w:val="24"/>
          <w:szCs w:val="24"/>
        </w:rPr>
        <w:t xml:space="preserve">Partikül </w:t>
      </w:r>
      <w:r w:rsidR="00242DA0" w:rsidRPr="00DE12A3">
        <w:rPr>
          <w:color w:val="auto"/>
          <w:sz w:val="24"/>
          <w:szCs w:val="24"/>
        </w:rPr>
        <w:t>sayısı sayacının kalibrasyonu</w:t>
      </w:r>
    </w:p>
    <w:p w14:paraId="60CD4E6A" w14:textId="77777777" w:rsidR="002D7B36" w:rsidRPr="00DE12A3" w:rsidRDefault="0059217B" w:rsidP="00E20716">
      <w:pPr>
        <w:pStyle w:val="Gvdemetni251"/>
        <w:numPr>
          <w:ilvl w:val="0"/>
          <w:numId w:val="384"/>
        </w:numPr>
        <w:shd w:val="clear" w:color="auto" w:fill="auto"/>
        <w:spacing w:before="120" w:after="120" w:line="240" w:lineRule="auto"/>
        <w:ind w:left="1134" w:hanging="1134"/>
        <w:rPr>
          <w:color w:val="auto"/>
          <w:sz w:val="24"/>
          <w:szCs w:val="24"/>
        </w:rPr>
      </w:pPr>
      <w:r w:rsidRPr="00DE12A3">
        <w:rPr>
          <w:color w:val="auto"/>
          <w:sz w:val="24"/>
          <w:szCs w:val="24"/>
        </w:rPr>
        <w:t xml:space="preserve">       </w:t>
      </w:r>
      <w:r w:rsidR="00242DA0" w:rsidRPr="00DE12A3">
        <w:rPr>
          <w:color w:val="auto"/>
          <w:sz w:val="24"/>
          <w:szCs w:val="24"/>
        </w:rPr>
        <w:t>Teknik Servis, PNC için emisyon testinden önceki 12 aylık bir süre içerisinde takip edilebilir bir standarda uyumluluğu ispatlayan bir kalibrasyon sertifikası bulunmasını sağlamalıdır.</w:t>
      </w:r>
    </w:p>
    <w:p w14:paraId="3F46127F" w14:textId="77777777" w:rsidR="002D7B36" w:rsidRPr="00DE12A3" w:rsidRDefault="00242DA0" w:rsidP="00E20716">
      <w:pPr>
        <w:pStyle w:val="Gvdemetni251"/>
        <w:numPr>
          <w:ilvl w:val="0"/>
          <w:numId w:val="385"/>
        </w:numPr>
        <w:shd w:val="clear" w:color="auto" w:fill="auto"/>
        <w:spacing w:before="120" w:after="120" w:line="240" w:lineRule="auto"/>
        <w:ind w:left="1134" w:hanging="1134"/>
        <w:rPr>
          <w:color w:val="auto"/>
          <w:sz w:val="24"/>
          <w:szCs w:val="24"/>
        </w:rPr>
      </w:pPr>
      <w:r w:rsidRPr="00DE12A3">
        <w:rPr>
          <w:color w:val="auto"/>
          <w:sz w:val="24"/>
          <w:szCs w:val="24"/>
        </w:rPr>
        <w:t>PNC ayrıca yeniden kalibre edilmeli ve herhangi bir büyük bakım ardından yeni bir kalibrasyon sertifikası verilmelidir.</w:t>
      </w:r>
    </w:p>
    <w:p w14:paraId="7E4071BE" w14:textId="233B8ACE" w:rsidR="002D7B36" w:rsidRPr="00DE12A3" w:rsidRDefault="00242DA0" w:rsidP="00E20716">
      <w:pPr>
        <w:pStyle w:val="Gvdemetni251"/>
        <w:numPr>
          <w:ilvl w:val="0"/>
          <w:numId w:val="385"/>
        </w:numPr>
        <w:shd w:val="clear" w:color="auto" w:fill="auto"/>
        <w:spacing w:before="120" w:after="120" w:line="240" w:lineRule="auto"/>
        <w:ind w:left="1134" w:hanging="1134"/>
        <w:rPr>
          <w:color w:val="auto"/>
          <w:sz w:val="24"/>
          <w:szCs w:val="24"/>
        </w:rPr>
      </w:pPr>
      <w:r w:rsidRPr="00DE12A3">
        <w:rPr>
          <w:color w:val="auto"/>
          <w:sz w:val="24"/>
          <w:szCs w:val="24"/>
        </w:rPr>
        <w:t>Kalibrasyon standart bir kalibrasyon yöntemiyle takip edilebilir olmalıdır</w:t>
      </w:r>
      <w:r w:rsidR="00CB4BBD" w:rsidRPr="00DE12A3">
        <w:rPr>
          <w:color w:val="auto"/>
          <w:sz w:val="24"/>
          <w:szCs w:val="24"/>
        </w:rPr>
        <w:t>.</w:t>
      </w:r>
    </w:p>
    <w:p w14:paraId="09587D8A" w14:textId="77777777" w:rsidR="002D7B36" w:rsidRPr="00DE12A3" w:rsidRDefault="00242DA0" w:rsidP="00E20716">
      <w:pPr>
        <w:pStyle w:val="Gvdemetni251"/>
        <w:numPr>
          <w:ilvl w:val="0"/>
          <w:numId w:val="386"/>
        </w:numPr>
        <w:shd w:val="clear" w:color="auto" w:fill="auto"/>
        <w:tabs>
          <w:tab w:val="center" w:pos="1701"/>
          <w:tab w:val="right" w:pos="5671"/>
        </w:tabs>
        <w:spacing w:before="120" w:after="120" w:line="240" w:lineRule="auto"/>
        <w:ind w:left="1701" w:hanging="567"/>
        <w:rPr>
          <w:color w:val="auto"/>
          <w:sz w:val="24"/>
          <w:szCs w:val="24"/>
        </w:rPr>
      </w:pPr>
      <w:r w:rsidRPr="00DE12A3">
        <w:rPr>
          <w:color w:val="auto"/>
          <w:sz w:val="24"/>
          <w:szCs w:val="24"/>
        </w:rPr>
        <w:t>Eş zamanlı olarak elektrostatik olarak sınıflandırılmış kalibrasyon parçacıklarını örneklerken, PNC'nin kalibrasyon sırasındaki tepkisinin, kalibre edilmiş bir aerosol elektrometresinin tepkisi ile karşılaştırılması veya</w:t>
      </w:r>
    </w:p>
    <w:p w14:paraId="22D4BFD2" w14:textId="77777777" w:rsidR="0059217B" w:rsidRPr="00DE12A3" w:rsidRDefault="0059217B" w:rsidP="00C917D6">
      <w:pPr>
        <w:pStyle w:val="Gvdemetni251"/>
        <w:shd w:val="clear" w:color="auto" w:fill="auto"/>
        <w:spacing w:before="120" w:after="120" w:line="240" w:lineRule="auto"/>
        <w:ind w:left="1134" w:hanging="1134"/>
        <w:rPr>
          <w:color w:val="auto"/>
          <w:sz w:val="24"/>
          <w:szCs w:val="24"/>
        </w:rPr>
      </w:pPr>
    </w:p>
    <w:p w14:paraId="56CFA6F7" w14:textId="6EC8FDBA" w:rsidR="0059217B" w:rsidRPr="00DE12A3" w:rsidRDefault="0059217B" w:rsidP="00C917D6">
      <w:pPr>
        <w:pStyle w:val="Gvdemetni251"/>
        <w:shd w:val="clear" w:color="auto" w:fill="auto"/>
        <w:spacing w:before="120" w:after="120" w:line="240" w:lineRule="auto"/>
        <w:ind w:left="1134" w:hanging="1134"/>
        <w:rPr>
          <w:color w:val="auto"/>
          <w:sz w:val="24"/>
          <w:szCs w:val="24"/>
        </w:rPr>
      </w:pPr>
      <w:r w:rsidRPr="00DE12A3">
        <w:rPr>
          <w:noProof/>
          <w:color w:val="auto"/>
          <w:sz w:val="24"/>
          <w:szCs w:val="24"/>
        </w:rPr>
        <mc:AlternateContent>
          <mc:Choice Requires="wps">
            <w:drawing>
              <wp:anchor distT="0" distB="0" distL="114300" distR="114300" simplePos="0" relativeHeight="251689472" behindDoc="0" locked="0" layoutInCell="1" allowOverlap="1" wp14:anchorId="475737D1" wp14:editId="3E95938F">
                <wp:simplePos x="0" y="0"/>
                <wp:positionH relativeFrom="column">
                  <wp:posOffset>160020</wp:posOffset>
                </wp:positionH>
                <wp:positionV relativeFrom="paragraph">
                  <wp:posOffset>109220</wp:posOffset>
                </wp:positionV>
                <wp:extent cx="2143125" cy="0"/>
                <wp:effectExtent l="0" t="0" r="29210" b="19050"/>
                <wp:wrapNone/>
                <wp:docPr id="2368" name="Düz Bağlayıcı 2368"/>
                <wp:cNvGraphicFramePr/>
                <a:graphic xmlns:a="http://schemas.openxmlformats.org/drawingml/2006/main">
                  <a:graphicData uri="http://schemas.microsoft.com/office/word/2010/wordprocessingShape">
                    <wps:wsp>
                      <wps:cNvCnPr/>
                      <wps:spPr>
                        <a:xfrm>
                          <a:off x="0" y="0"/>
                          <a:ext cx="2143023" cy="0"/>
                        </a:xfrm>
                        <a:prstGeom prst="line">
                          <a:avLst/>
                        </a:prstGeom>
                        <a:noFill/>
                        <a:ln w="9525" cap="flat" cmpd="sng" algn="ctr">
                          <a:solidFill>
                            <a:srgbClr val="4F81BD">
                              <a:shade val="95000"/>
                              <a:satMod val="105000"/>
                            </a:srgbClr>
                          </a:solidFill>
                          <a:prstDash val="solid"/>
                        </a:ln>
                        <a:effectLst/>
                      </wps:spPr>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xmlns:w16sdtdh="http://schemas.microsoft.com/office/word/2020/wordml/sdtdatahash" xmlns:w16="http://schemas.microsoft.com/office/word/2018/wordml" xmlns:w16cex="http://schemas.microsoft.com/office/word/2018/wordml/cex">
            <w:pict>
              <v:line w14:anchorId="4E6BD771" id="Düz Bağlayıcı 2368" o:spid="_x0000_s1026" style="position:absolute;z-index:251689472;visibility:visible;mso-wrap-style:square;mso-wrap-distance-left:9pt;mso-wrap-distance-top:0;mso-wrap-distance-right:9pt;mso-wrap-distance-bottom:0;mso-position-horizontal:absolute;mso-position-horizontal-relative:text;mso-position-vertical:absolute;mso-position-vertical-relative:text" from="12.6pt,8.6pt" to="181.35pt,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" strokecolor="#4a7ebb"/>
            </w:pict>
          </mc:Fallback>
        </mc:AlternateContent>
      </w:r>
    </w:p>
    <w:p w14:paraId="77453D1A" w14:textId="48FF694D" w:rsidR="0059217B" w:rsidRPr="00DE12A3" w:rsidRDefault="0059217B" w:rsidP="00590D92">
      <w:pPr>
        <w:spacing w:before="120" w:after="120"/>
        <w:ind w:left="1134" w:hanging="1134"/>
        <w:rPr>
          <w:rFonts w:cs="Times New Roman"/>
          <w:color w:val="auto"/>
        </w:rPr>
      </w:pPr>
      <w:r w:rsidRPr="00DE12A3">
        <w:rPr>
          <w:rStyle w:val="Gvdemetni370ptbolukbraklyor"/>
          <w:rFonts w:eastAsia="Courier New"/>
          <w:color w:val="auto"/>
          <w:sz w:val="24"/>
          <w:szCs w:val="24"/>
          <w:vertAlign w:val="superscript"/>
        </w:rPr>
        <w:t>(1)</w:t>
      </w:r>
      <w:r w:rsidRPr="00DE12A3">
        <w:rPr>
          <w:rStyle w:val="Gvdemetni370ptbolukbraklyor"/>
          <w:rFonts w:eastAsia="Courier New"/>
          <w:color w:val="auto"/>
          <w:sz w:val="24"/>
          <w:szCs w:val="24"/>
        </w:rPr>
        <w:t xml:space="preserve"> </w:t>
      </w:r>
      <w:r w:rsidRPr="00DE12A3">
        <w:rPr>
          <w:rFonts w:cs="Times New Roman"/>
          <w:color w:val="auto"/>
          <w:spacing w:val="3"/>
        </w:rPr>
        <w:t>Örnek kalibrasyon/doğrulama yöntemleri için</w:t>
      </w:r>
      <w:r w:rsidRPr="00DE12A3">
        <w:rPr>
          <w:rStyle w:val="Gvdemetni370ptbolukbraklyor"/>
          <w:rFonts w:eastAsia="Courier New"/>
          <w:color w:val="auto"/>
          <w:sz w:val="24"/>
          <w:szCs w:val="24"/>
        </w:rPr>
        <w:t xml:space="preserve">: </w:t>
      </w:r>
      <w:hyperlink w:history="1">
        <w:r w:rsidR="00590D92" w:rsidRPr="00DE12A3">
          <w:rPr>
            <w:rStyle w:val="Kpr"/>
            <w:rFonts w:cs="Times New Roman"/>
            <w:color w:val="auto"/>
          </w:rPr>
          <w:t>www.unece.org/es/trans/main/</w:t>
        </w:r>
        <w:r w:rsidR="00590D92" w:rsidRPr="00DE12A3">
          <w:rPr>
            <w:rStyle w:val="Kpr"/>
            <w:rFonts w:cs="Times New Roman"/>
            <w:color w:val="auto"/>
            <w:spacing w:val="3"/>
          </w:rPr>
          <w:t>wp29/wp29wgs/wp29grpe/pmpfcp</w:t>
        </w:r>
      </w:hyperlink>
    </w:p>
    <w:p w14:paraId="3645F373" w14:textId="77777777" w:rsidR="002D7B36" w:rsidRPr="00DE12A3" w:rsidRDefault="00242DA0" w:rsidP="00E20716">
      <w:pPr>
        <w:pStyle w:val="Gvdemetni251"/>
        <w:numPr>
          <w:ilvl w:val="0"/>
          <w:numId w:val="386"/>
        </w:numPr>
        <w:shd w:val="clear" w:color="auto" w:fill="auto"/>
        <w:tabs>
          <w:tab w:val="center" w:pos="1701"/>
        </w:tabs>
        <w:spacing w:before="120" w:after="120" w:line="240" w:lineRule="auto"/>
        <w:ind w:left="1701" w:hanging="567"/>
        <w:rPr>
          <w:color w:val="auto"/>
          <w:sz w:val="24"/>
          <w:szCs w:val="24"/>
        </w:rPr>
      </w:pPr>
      <w:r w:rsidRPr="00DE12A3">
        <w:rPr>
          <w:color w:val="auto"/>
          <w:sz w:val="24"/>
          <w:szCs w:val="24"/>
        </w:rPr>
        <w:lastRenderedPageBreak/>
        <w:t>PNC'nin kalibrasyon sırasındaki tepkisi ile yukarıdaki yöntemle doğrudan kalibre edilmiş olan bir ikinci PNC'nin tepkisi ile karşılaştırılması.</w:t>
      </w:r>
    </w:p>
    <w:p w14:paraId="349956EC" w14:textId="09732D9F" w:rsidR="002D7B36" w:rsidRPr="00DE12A3" w:rsidRDefault="0059217B" w:rsidP="00C917D6">
      <w:pPr>
        <w:pStyle w:val="Gvdemetni251"/>
        <w:shd w:val="clear" w:color="auto" w:fill="auto"/>
        <w:spacing w:before="120" w:after="120" w:line="240" w:lineRule="auto"/>
        <w:ind w:left="1134" w:hanging="1134"/>
        <w:rPr>
          <w:color w:val="auto"/>
          <w:sz w:val="24"/>
          <w:szCs w:val="24"/>
          <w:lang w:eastAsia="en-US"/>
        </w:rPr>
      </w:pPr>
      <w:r w:rsidRPr="00DE12A3">
        <w:rPr>
          <w:color w:val="auto"/>
          <w:sz w:val="24"/>
          <w:szCs w:val="24"/>
        </w:rPr>
        <w:t xml:space="preserve">                 </w:t>
      </w:r>
      <w:r w:rsidR="00242DA0" w:rsidRPr="00DE12A3">
        <w:rPr>
          <w:color w:val="auto"/>
          <w:sz w:val="24"/>
          <w:szCs w:val="24"/>
        </w:rPr>
        <w:t>Elektrometre durumunda, PNC'nin ölçüm aralığı boyunca mümkün olduğunca eşit aralıklarla yerleştirilmiş en az altı standart konsantrasyon kullanılarak kalibrasyon yapılmalıdır. Bu noktalar, her cihazın girişine en az EN 1822:2008 H13 sınıfı veya denk performansa sahip HEPA filtreleri takılarak üretilen nominal sıfır konsantrasyon noktasını içerecektir. PNC'ye kalibrasyon sırasında hiçbir kalibrasyon faktörü uygulanmadığında ölçülen konsantrasyonlar, sıfır noktası hariç, kullanılan her konsantrasyon için standart konsantrasyon ± %10 aralığı içinde olmalıdır</w:t>
      </w:r>
      <w:r w:rsidR="00CB4BBD" w:rsidRPr="00DE12A3">
        <w:rPr>
          <w:color w:val="auto"/>
          <w:sz w:val="24"/>
          <w:szCs w:val="24"/>
        </w:rPr>
        <w:t>.</w:t>
      </w:r>
      <w:r w:rsidR="00242DA0" w:rsidRPr="00DE12A3">
        <w:rPr>
          <w:color w:val="auto"/>
          <w:sz w:val="24"/>
          <w:szCs w:val="24"/>
        </w:rPr>
        <w:t xml:space="preserve"> </w:t>
      </w:r>
      <w:r w:rsidR="00CB4BBD" w:rsidRPr="00DE12A3">
        <w:rPr>
          <w:color w:val="auto"/>
          <w:sz w:val="24"/>
          <w:szCs w:val="24"/>
        </w:rPr>
        <w:t>A</w:t>
      </w:r>
      <w:r w:rsidR="00242DA0" w:rsidRPr="00DE12A3">
        <w:rPr>
          <w:color w:val="auto"/>
          <w:sz w:val="24"/>
          <w:szCs w:val="24"/>
        </w:rPr>
        <w:t>ksi takdirde kalibrasyon altındaki PNC reddedilir. İki veri setinin lineer regresyonundan gradyan hesaplanmalı ve kaydedilmelidir. Kalibrasyon altındaki PNC'ye, gradyanın tersine eşit bir kalibrasyon faktörü uygulanmalıdır. Tepkinin doğrusallığı, iki veri setinin Pearson ürün moment korelasyon katsayısının (R</w:t>
      </w:r>
      <w:r w:rsidR="00242DA0" w:rsidRPr="00DE12A3">
        <w:rPr>
          <w:color w:val="auto"/>
          <w:sz w:val="24"/>
          <w:szCs w:val="24"/>
          <w:vertAlign w:val="superscript"/>
        </w:rPr>
        <w:t>2</w:t>
      </w:r>
      <w:r w:rsidR="00242DA0" w:rsidRPr="00DE12A3">
        <w:rPr>
          <w:color w:val="auto"/>
          <w:sz w:val="24"/>
          <w:szCs w:val="24"/>
        </w:rPr>
        <w:t>) karesi olarak hesaplanır ve 0,97'ye eşit veya daha büyük olmalıdır. Hem gradyan hem de R</w:t>
      </w:r>
      <w:r w:rsidR="00242DA0" w:rsidRPr="00DE12A3">
        <w:rPr>
          <w:color w:val="auto"/>
          <w:sz w:val="24"/>
          <w:szCs w:val="24"/>
          <w:vertAlign w:val="superscript"/>
        </w:rPr>
        <w:t>2</w:t>
      </w:r>
      <w:r w:rsidR="00242DA0" w:rsidRPr="00DE12A3">
        <w:rPr>
          <w:color w:val="auto"/>
          <w:sz w:val="24"/>
          <w:szCs w:val="24"/>
        </w:rPr>
        <w:t xml:space="preserve"> hesaplanırken, lineer regresyon merkezden (her iki cihazda da sıfır konsantrasyon) zorlanmalıdır.</w:t>
      </w:r>
      <w:r w:rsidRPr="00DE12A3">
        <w:rPr>
          <w:color w:val="auto"/>
          <w:lang w:eastAsia="en-US"/>
        </w:rPr>
        <w:t xml:space="preserve"> </w:t>
      </w:r>
    </w:p>
    <w:p w14:paraId="79A874E5" w14:textId="6AF52B5B" w:rsidR="002D7B36" w:rsidRPr="00DE12A3" w:rsidRDefault="0059217B" w:rsidP="00C917D6">
      <w:pPr>
        <w:pStyle w:val="Gvdemetni251"/>
        <w:shd w:val="clear" w:color="auto" w:fill="auto"/>
        <w:spacing w:before="120" w:after="120" w:line="240" w:lineRule="auto"/>
        <w:ind w:left="1134" w:hanging="1134"/>
        <w:rPr>
          <w:color w:val="auto"/>
          <w:sz w:val="24"/>
          <w:szCs w:val="24"/>
        </w:rPr>
      </w:pPr>
      <w:r w:rsidRPr="00DE12A3">
        <w:rPr>
          <w:color w:val="auto"/>
          <w:sz w:val="24"/>
          <w:szCs w:val="24"/>
        </w:rPr>
        <w:t xml:space="preserve">                  </w:t>
      </w:r>
      <w:r w:rsidR="00242DA0" w:rsidRPr="00DE12A3">
        <w:rPr>
          <w:color w:val="auto"/>
          <w:sz w:val="24"/>
          <w:szCs w:val="24"/>
        </w:rPr>
        <w:t>Referans PNC durumunda, PNC'nin ölçüm aralığı boyunca en az altı standart konsantrasyon kullanılarak kalibrasyon yapılmalıdır. En az 3 nokta, 1000 cm</w:t>
      </w:r>
      <w:r w:rsidR="00242DA0" w:rsidRPr="00DE12A3">
        <w:rPr>
          <w:color w:val="auto"/>
          <w:sz w:val="24"/>
          <w:szCs w:val="24"/>
          <w:vertAlign w:val="superscript"/>
        </w:rPr>
        <w:t>-3</w:t>
      </w:r>
      <w:r w:rsidR="00242DA0" w:rsidRPr="00DE12A3">
        <w:rPr>
          <w:color w:val="auto"/>
          <w:sz w:val="24"/>
          <w:szCs w:val="24"/>
        </w:rPr>
        <w:t xml:space="preserve"> altındaki konsantrasyonlarda olmalı, geriye kalan konsantrasyonlar, tek </w:t>
      </w:r>
      <w:r w:rsidR="007E2039" w:rsidRPr="00DE12A3">
        <w:rPr>
          <w:color w:val="auto"/>
          <w:sz w:val="24"/>
          <w:szCs w:val="24"/>
        </w:rPr>
        <w:t xml:space="preserve">partikül </w:t>
      </w:r>
      <w:r w:rsidR="00242DA0" w:rsidRPr="00DE12A3">
        <w:rPr>
          <w:color w:val="auto"/>
          <w:sz w:val="24"/>
          <w:szCs w:val="24"/>
        </w:rPr>
        <w:t>sayımı modunda, 1000 cm</w:t>
      </w:r>
      <w:r w:rsidR="00242DA0" w:rsidRPr="00DE12A3">
        <w:rPr>
          <w:color w:val="auto"/>
          <w:sz w:val="24"/>
          <w:szCs w:val="24"/>
          <w:vertAlign w:val="superscript"/>
        </w:rPr>
        <w:t>-3</w:t>
      </w:r>
      <w:r w:rsidR="00242DA0" w:rsidRPr="00DE12A3">
        <w:rPr>
          <w:color w:val="auto"/>
          <w:sz w:val="24"/>
          <w:szCs w:val="24"/>
        </w:rPr>
        <w:t xml:space="preserve"> ile azami PNC aralığı arasında doğrusal olarak aralıklandırılmalıdır. Bu noktalar, her cihazın girişine en az EN 1822:2008 H13 sınıfı veya denk performansa sahip HEPA filtreleri takılarak üretilen nominal sıfır konsantrasyon noktasını içerecektir. PNC'ye kalibrasyon sırasında hiçbir kalibrasyon faktörü uygulanmadığında ölçülen konsantrasyonlar, sıfır noktası hariç, her konsantrasyon için standart konsantrasyon ± </w:t>
      </w:r>
      <w:r w:rsidR="00590D92" w:rsidRPr="00DE12A3">
        <w:rPr>
          <w:color w:val="auto"/>
          <w:sz w:val="24"/>
          <w:szCs w:val="24"/>
        </w:rPr>
        <w:t>%10</w:t>
      </w:r>
      <w:r w:rsidR="00242DA0" w:rsidRPr="00DE12A3">
        <w:rPr>
          <w:color w:val="auto"/>
          <w:sz w:val="24"/>
          <w:szCs w:val="24"/>
        </w:rPr>
        <w:t xml:space="preserve"> aralığı içinde olmalıdır</w:t>
      </w:r>
      <w:r w:rsidR="00CB4BBD" w:rsidRPr="00DE12A3">
        <w:rPr>
          <w:color w:val="auto"/>
          <w:sz w:val="24"/>
          <w:szCs w:val="24"/>
        </w:rPr>
        <w:t>.</w:t>
      </w:r>
      <w:r w:rsidR="00242DA0" w:rsidRPr="00DE12A3">
        <w:rPr>
          <w:color w:val="auto"/>
          <w:sz w:val="24"/>
          <w:szCs w:val="24"/>
        </w:rPr>
        <w:t xml:space="preserve"> </w:t>
      </w:r>
      <w:r w:rsidR="00CB4BBD" w:rsidRPr="00DE12A3">
        <w:rPr>
          <w:color w:val="auto"/>
          <w:sz w:val="24"/>
          <w:szCs w:val="24"/>
        </w:rPr>
        <w:t>A</w:t>
      </w:r>
      <w:r w:rsidR="00242DA0" w:rsidRPr="00DE12A3">
        <w:rPr>
          <w:color w:val="auto"/>
          <w:sz w:val="24"/>
          <w:szCs w:val="24"/>
        </w:rPr>
        <w:t>ksi takdirde kalibrasyon altındaki PNC reddedilir. İki veri setinin lineer regresyonundan gradyan hesaplanmalı ve kaydedilmelidir. Kalibrasyon altındaki PNC'ye, gradyanın tersine eşit bir kalibrasyon faktörü uygulanmalıdır. Tepkinin doğrusallığı, iki veri setinin Pearson ürün moment korelasyon katsayısının (R</w:t>
      </w:r>
      <w:r w:rsidR="00242DA0" w:rsidRPr="00DE12A3">
        <w:rPr>
          <w:color w:val="auto"/>
          <w:sz w:val="24"/>
          <w:szCs w:val="24"/>
          <w:vertAlign w:val="superscript"/>
        </w:rPr>
        <w:t>2</w:t>
      </w:r>
      <w:r w:rsidR="00242DA0" w:rsidRPr="00DE12A3">
        <w:rPr>
          <w:color w:val="auto"/>
          <w:sz w:val="24"/>
          <w:szCs w:val="24"/>
        </w:rPr>
        <w:t>) karesi olarak hesaplanır ve 0,97'ye eşit veya daha büyük olmalıdır. Hem gradyan hem de R</w:t>
      </w:r>
      <w:r w:rsidR="00242DA0" w:rsidRPr="00DE12A3">
        <w:rPr>
          <w:color w:val="auto"/>
          <w:sz w:val="24"/>
          <w:szCs w:val="24"/>
          <w:vertAlign w:val="superscript"/>
        </w:rPr>
        <w:t>2</w:t>
      </w:r>
      <w:r w:rsidR="00242DA0" w:rsidRPr="00DE12A3">
        <w:rPr>
          <w:color w:val="auto"/>
          <w:sz w:val="24"/>
          <w:szCs w:val="24"/>
        </w:rPr>
        <w:t xml:space="preserve"> hesaplanırken, lineer regresyon merkezden (her iki cihazda da sıfır konsantrasyon) zorlanmalıdır.</w:t>
      </w:r>
    </w:p>
    <w:p w14:paraId="4E997B3D" w14:textId="77777777" w:rsidR="002D7B36" w:rsidRPr="00DE12A3" w:rsidRDefault="00242DA0" w:rsidP="00E20716">
      <w:pPr>
        <w:pStyle w:val="Gvdemetni251"/>
        <w:numPr>
          <w:ilvl w:val="0"/>
          <w:numId w:val="385"/>
        </w:numPr>
        <w:shd w:val="clear" w:color="auto" w:fill="auto"/>
        <w:spacing w:before="120" w:after="120" w:line="240" w:lineRule="auto"/>
        <w:ind w:left="1134" w:hanging="1134"/>
        <w:rPr>
          <w:color w:val="auto"/>
          <w:sz w:val="24"/>
          <w:szCs w:val="24"/>
        </w:rPr>
      </w:pPr>
      <w:r w:rsidRPr="00DE12A3">
        <w:rPr>
          <w:color w:val="auto"/>
          <w:sz w:val="24"/>
          <w:szCs w:val="24"/>
        </w:rPr>
        <w:t>Kalibrasyon ayrıca, PNC'nin 23 nm elektriksel hareket çapına sahip parçacıklarla algılama veriminin 2.1.3.4.8 bendindeki şartlara dayalı bir kontrolünü de içermelidir. 41 nm parçacıklar ile sayım verimliliği kontrolü gerekli değildir.</w:t>
      </w:r>
    </w:p>
    <w:p w14:paraId="7119AB59" w14:textId="77777777" w:rsidR="002D7B36" w:rsidRPr="00DE12A3" w:rsidRDefault="0059217B" w:rsidP="00E20716">
      <w:pPr>
        <w:pStyle w:val="Gvdemetni251"/>
        <w:numPr>
          <w:ilvl w:val="0"/>
          <w:numId w:val="383"/>
        </w:numPr>
        <w:shd w:val="clear" w:color="auto" w:fill="auto"/>
        <w:spacing w:before="120" w:after="120" w:line="240" w:lineRule="auto"/>
        <w:ind w:left="1134" w:hanging="1134"/>
        <w:rPr>
          <w:color w:val="auto"/>
          <w:sz w:val="24"/>
          <w:szCs w:val="24"/>
        </w:rPr>
      </w:pPr>
      <w:r w:rsidRPr="00DE12A3">
        <w:rPr>
          <w:color w:val="auto"/>
          <w:sz w:val="24"/>
          <w:szCs w:val="24"/>
        </w:rPr>
        <w:t xml:space="preserve">       </w:t>
      </w:r>
      <w:r w:rsidR="00242DA0" w:rsidRPr="00DE12A3">
        <w:rPr>
          <w:color w:val="auto"/>
          <w:sz w:val="24"/>
          <w:szCs w:val="24"/>
        </w:rPr>
        <w:t xml:space="preserve">Uçucu </w:t>
      </w:r>
      <w:r w:rsidR="007E2039" w:rsidRPr="00DE12A3">
        <w:rPr>
          <w:color w:val="auto"/>
          <w:sz w:val="24"/>
          <w:szCs w:val="24"/>
        </w:rPr>
        <w:t xml:space="preserve">partikül </w:t>
      </w:r>
      <w:r w:rsidR="00242DA0" w:rsidRPr="00DE12A3">
        <w:rPr>
          <w:color w:val="auto"/>
          <w:sz w:val="24"/>
          <w:szCs w:val="24"/>
        </w:rPr>
        <w:t>giderici kalibrasyonu/doğrulaması</w:t>
      </w:r>
    </w:p>
    <w:p w14:paraId="00CF6D85" w14:textId="77777777" w:rsidR="002D7B36" w:rsidRPr="00DE12A3" w:rsidRDefault="00242DA0" w:rsidP="00E20716">
      <w:pPr>
        <w:pStyle w:val="Gvdemetni251"/>
        <w:numPr>
          <w:ilvl w:val="0"/>
          <w:numId w:val="387"/>
        </w:numPr>
        <w:shd w:val="clear" w:color="auto" w:fill="auto"/>
        <w:spacing w:before="120" w:after="120" w:line="240" w:lineRule="auto"/>
        <w:ind w:left="1134" w:hanging="1134"/>
        <w:rPr>
          <w:color w:val="auto"/>
          <w:sz w:val="24"/>
          <w:szCs w:val="24"/>
        </w:rPr>
      </w:pPr>
      <w:r w:rsidRPr="00DE12A3">
        <w:rPr>
          <w:color w:val="auto"/>
          <w:sz w:val="24"/>
          <w:szCs w:val="24"/>
        </w:rPr>
        <w:t xml:space="preserve">Ünite yeni olduğunda ve herhangi bir büyük bakımın ardından, VPR'nin </w:t>
      </w:r>
      <w:r w:rsidR="007E2039" w:rsidRPr="00DE12A3">
        <w:rPr>
          <w:color w:val="auto"/>
          <w:sz w:val="24"/>
          <w:szCs w:val="24"/>
        </w:rPr>
        <w:t xml:space="preserve">partikül </w:t>
      </w:r>
      <w:r w:rsidRPr="00DE12A3">
        <w:rPr>
          <w:color w:val="auto"/>
          <w:sz w:val="24"/>
          <w:szCs w:val="24"/>
        </w:rPr>
        <w:t xml:space="preserve">konsantrasyonu düşürme faktörlerinin tüm seyreltme ayarları aralığında, cihazın sabit nominal çalışma sıcaklıklarında kalibre edilmesi gerekir. VPR'nin </w:t>
      </w:r>
      <w:r w:rsidR="007E2039" w:rsidRPr="00DE12A3">
        <w:rPr>
          <w:color w:val="auto"/>
          <w:sz w:val="24"/>
          <w:szCs w:val="24"/>
        </w:rPr>
        <w:t xml:space="preserve">partikül </w:t>
      </w:r>
      <w:r w:rsidRPr="00DE12A3">
        <w:rPr>
          <w:color w:val="auto"/>
          <w:sz w:val="24"/>
          <w:szCs w:val="24"/>
        </w:rPr>
        <w:t xml:space="preserve">konsantrasyon düşürme faktörü için periyodik doğrulama gereksinimi, dizel partikül filtresi ne sahip karayolu dışında kullanılan hareketli makinalar üzerinde ölçüm için kullanılan tek bir ayarda yapılan bir kontrol ile sınırlıdır. Teknik Servis, uçucu </w:t>
      </w:r>
      <w:r w:rsidR="007E2039" w:rsidRPr="00DE12A3">
        <w:rPr>
          <w:color w:val="auto"/>
          <w:sz w:val="24"/>
          <w:szCs w:val="24"/>
        </w:rPr>
        <w:t xml:space="preserve">partikül </w:t>
      </w:r>
      <w:r w:rsidRPr="00DE12A3">
        <w:rPr>
          <w:color w:val="auto"/>
          <w:sz w:val="24"/>
          <w:szCs w:val="24"/>
        </w:rPr>
        <w:t xml:space="preserve">giderici için emisyon testinden önceki 6 aylık bir süre içinde bir kalibrasyon veya doğrulama sertifikası bulunmasını sağlamalıdır. Uçucu </w:t>
      </w:r>
      <w:r w:rsidR="007E2039" w:rsidRPr="00DE12A3">
        <w:rPr>
          <w:color w:val="auto"/>
          <w:sz w:val="24"/>
          <w:szCs w:val="24"/>
        </w:rPr>
        <w:t xml:space="preserve">partikül </w:t>
      </w:r>
      <w:r w:rsidRPr="00DE12A3">
        <w:rPr>
          <w:color w:val="auto"/>
          <w:sz w:val="24"/>
          <w:szCs w:val="24"/>
        </w:rPr>
        <w:t>giderici sıcaklık izleme alarmları kullanıyorsa, 12 aylık bir doğrulama aralığına izin verilebilir.</w:t>
      </w:r>
    </w:p>
    <w:p w14:paraId="30A94848" w14:textId="2D911097" w:rsidR="002D7B36" w:rsidRPr="00DE12A3" w:rsidRDefault="0059217B" w:rsidP="00C917D6">
      <w:pPr>
        <w:pStyle w:val="Gvdemetni251"/>
        <w:shd w:val="clear" w:color="auto" w:fill="auto"/>
        <w:spacing w:before="120" w:after="120" w:line="240" w:lineRule="auto"/>
        <w:ind w:left="1134" w:hanging="1134"/>
        <w:rPr>
          <w:color w:val="auto"/>
          <w:sz w:val="24"/>
          <w:szCs w:val="24"/>
        </w:rPr>
      </w:pPr>
      <w:r w:rsidRPr="00DE12A3">
        <w:rPr>
          <w:color w:val="auto"/>
          <w:sz w:val="24"/>
          <w:szCs w:val="24"/>
        </w:rPr>
        <w:t xml:space="preserve">                  </w:t>
      </w:r>
      <w:r w:rsidR="00242DA0" w:rsidRPr="00DE12A3">
        <w:rPr>
          <w:color w:val="auto"/>
          <w:sz w:val="24"/>
          <w:szCs w:val="24"/>
        </w:rPr>
        <w:t xml:space="preserve">VPR, </w:t>
      </w:r>
      <w:r w:rsidR="007E2039" w:rsidRPr="00DE12A3">
        <w:rPr>
          <w:color w:val="auto"/>
          <w:sz w:val="24"/>
          <w:szCs w:val="24"/>
        </w:rPr>
        <w:t xml:space="preserve">partikül </w:t>
      </w:r>
      <w:r w:rsidR="00242DA0" w:rsidRPr="00DE12A3">
        <w:rPr>
          <w:color w:val="auto"/>
          <w:sz w:val="24"/>
          <w:szCs w:val="24"/>
        </w:rPr>
        <w:t xml:space="preserve">yoğunluğu düşürme faktörü için, 30 nm, 50 nm ve 100 nm elektriksel hareketlilik çapına sahip katı parçacıklarla karakterize edilmelidir. </w:t>
      </w:r>
      <w:r w:rsidR="007E2039" w:rsidRPr="00DE12A3">
        <w:rPr>
          <w:color w:val="auto"/>
          <w:sz w:val="24"/>
          <w:szCs w:val="24"/>
        </w:rPr>
        <w:t xml:space="preserve">Partikül </w:t>
      </w:r>
      <w:r w:rsidR="00242DA0" w:rsidRPr="00DE12A3">
        <w:rPr>
          <w:color w:val="auto"/>
          <w:sz w:val="24"/>
          <w:szCs w:val="24"/>
        </w:rPr>
        <w:t>konsantrasyon düşürme faktörleri (</w:t>
      </w:r>
      <w:r w:rsidR="00242DA0" w:rsidRPr="00DE12A3">
        <w:rPr>
          <w:i/>
          <w:iCs/>
          <w:color w:val="auto"/>
          <w:sz w:val="24"/>
          <w:szCs w:val="24"/>
        </w:rPr>
        <w:t>fr</w:t>
      </w:r>
      <w:r w:rsidR="00242DA0" w:rsidRPr="00DE12A3">
        <w:rPr>
          <w:color w:val="auto"/>
          <w:sz w:val="24"/>
          <w:szCs w:val="24"/>
        </w:rPr>
        <w:t>(</w:t>
      </w:r>
      <w:r w:rsidR="00242DA0" w:rsidRPr="00DE12A3">
        <w:rPr>
          <w:i/>
          <w:iCs/>
          <w:color w:val="auto"/>
          <w:sz w:val="24"/>
          <w:szCs w:val="24"/>
        </w:rPr>
        <w:t>d</w:t>
      </w:r>
      <w:r w:rsidR="00242DA0" w:rsidRPr="00DE12A3">
        <w:rPr>
          <w:color w:val="auto"/>
          <w:sz w:val="24"/>
          <w:szCs w:val="24"/>
        </w:rPr>
        <w:t xml:space="preserve">)), 30 nm ve 50 nm elektriksel hareketlilik çapına sahip parçacıklar için sırasıyla en çok </w:t>
      </w:r>
      <w:r w:rsidR="00590D92" w:rsidRPr="00DE12A3">
        <w:rPr>
          <w:color w:val="auto"/>
          <w:sz w:val="24"/>
          <w:szCs w:val="24"/>
        </w:rPr>
        <w:t>%30</w:t>
      </w:r>
      <w:r w:rsidR="00242DA0" w:rsidRPr="00DE12A3">
        <w:rPr>
          <w:color w:val="auto"/>
          <w:sz w:val="24"/>
          <w:szCs w:val="24"/>
        </w:rPr>
        <w:t xml:space="preserve"> ve </w:t>
      </w:r>
      <w:r w:rsidR="00590D92" w:rsidRPr="00DE12A3">
        <w:rPr>
          <w:color w:val="auto"/>
          <w:sz w:val="24"/>
          <w:szCs w:val="24"/>
        </w:rPr>
        <w:t>%20</w:t>
      </w:r>
      <w:r w:rsidR="00242DA0" w:rsidRPr="00DE12A3">
        <w:rPr>
          <w:color w:val="auto"/>
          <w:sz w:val="24"/>
          <w:szCs w:val="24"/>
        </w:rPr>
        <w:t xml:space="preserve"> daha </w:t>
      </w:r>
      <w:r w:rsidR="00242DA0" w:rsidRPr="00DE12A3">
        <w:rPr>
          <w:color w:val="auto"/>
          <w:sz w:val="24"/>
          <w:szCs w:val="24"/>
        </w:rPr>
        <w:lastRenderedPageBreak/>
        <w:t xml:space="preserve">yüksek olmalı ve 100 nm elektriksel hareketlilik çapına sahip parçacıklar için en çok </w:t>
      </w:r>
      <w:r w:rsidR="00590D92" w:rsidRPr="00DE12A3">
        <w:rPr>
          <w:color w:val="auto"/>
          <w:sz w:val="24"/>
          <w:szCs w:val="24"/>
        </w:rPr>
        <w:t>%5</w:t>
      </w:r>
      <w:r w:rsidR="00242DA0" w:rsidRPr="00DE12A3">
        <w:rPr>
          <w:color w:val="auto"/>
          <w:sz w:val="24"/>
          <w:szCs w:val="24"/>
        </w:rPr>
        <w:t xml:space="preserve"> daha düşük olmalıdır. Doğrulama amacıyla, ortalama </w:t>
      </w:r>
      <w:r w:rsidR="007E2039" w:rsidRPr="00DE12A3">
        <w:rPr>
          <w:color w:val="auto"/>
          <w:sz w:val="24"/>
          <w:szCs w:val="24"/>
        </w:rPr>
        <w:t xml:space="preserve">partikül </w:t>
      </w:r>
      <w:r w:rsidR="00242DA0" w:rsidRPr="00DE12A3">
        <w:rPr>
          <w:color w:val="auto"/>
          <w:sz w:val="24"/>
          <w:szCs w:val="24"/>
        </w:rPr>
        <w:t xml:space="preserve">konsantrasyonu düşürme faktörü, VPR'nin birincil kalibrasyonu sırasında belirlenen ortalama </w:t>
      </w:r>
      <w:r w:rsidR="007E2039" w:rsidRPr="00DE12A3">
        <w:rPr>
          <w:color w:val="auto"/>
          <w:sz w:val="24"/>
          <w:szCs w:val="24"/>
        </w:rPr>
        <w:t xml:space="preserve">partikül </w:t>
      </w:r>
      <w:r w:rsidR="00242DA0" w:rsidRPr="00DE12A3">
        <w:rPr>
          <w:color w:val="auto"/>
          <w:sz w:val="24"/>
          <w:szCs w:val="24"/>
        </w:rPr>
        <w:t>konsantrasyonu düşürme faktörü (</w:t>
      </w:r>
      <w:r w:rsidR="00242DA0" w:rsidRPr="00DE12A3">
        <w:rPr>
          <w:i/>
          <w:iCs/>
          <w:color w:val="auto"/>
          <w:sz w:val="24"/>
          <w:szCs w:val="24"/>
        </w:rPr>
        <w:t>fr</w:t>
      </w:r>
      <w:r w:rsidR="00242DA0" w:rsidRPr="00DE12A3">
        <w:rPr>
          <w:color w:val="auto"/>
          <w:sz w:val="24"/>
          <w:szCs w:val="24"/>
        </w:rPr>
        <w:t xml:space="preserve">) ± </w:t>
      </w:r>
      <w:r w:rsidR="00590D92" w:rsidRPr="00DE12A3">
        <w:rPr>
          <w:color w:val="auto"/>
          <w:sz w:val="24"/>
          <w:szCs w:val="24"/>
        </w:rPr>
        <w:t>%10</w:t>
      </w:r>
      <w:r w:rsidR="00242DA0" w:rsidRPr="00DE12A3">
        <w:rPr>
          <w:color w:val="auto"/>
          <w:sz w:val="24"/>
          <w:szCs w:val="24"/>
        </w:rPr>
        <w:t xml:space="preserve"> aralığı içinde olmalıdır.</w:t>
      </w:r>
    </w:p>
    <w:p w14:paraId="6946B823" w14:textId="5A8D26E9" w:rsidR="002D7B36" w:rsidRPr="00DE12A3" w:rsidRDefault="00242DA0" w:rsidP="00E20716">
      <w:pPr>
        <w:pStyle w:val="Gvdemetni251"/>
        <w:numPr>
          <w:ilvl w:val="0"/>
          <w:numId w:val="387"/>
        </w:numPr>
        <w:shd w:val="clear" w:color="auto" w:fill="auto"/>
        <w:spacing w:before="120" w:after="120" w:line="240" w:lineRule="auto"/>
        <w:ind w:left="1134" w:hanging="1134"/>
        <w:rPr>
          <w:color w:val="auto"/>
          <w:sz w:val="24"/>
          <w:szCs w:val="24"/>
        </w:rPr>
      </w:pPr>
      <w:r w:rsidRPr="00DE12A3">
        <w:rPr>
          <w:color w:val="auto"/>
          <w:sz w:val="24"/>
          <w:szCs w:val="24"/>
        </w:rPr>
        <w:t>Bu ölçümler için test aerosolü</w:t>
      </w:r>
      <w:r w:rsidR="00CB4BBD" w:rsidRPr="00DE12A3">
        <w:rPr>
          <w:color w:val="auto"/>
          <w:sz w:val="24"/>
          <w:szCs w:val="24"/>
        </w:rPr>
        <w:t>;</w:t>
      </w:r>
      <w:r w:rsidRPr="00DE12A3">
        <w:rPr>
          <w:color w:val="auto"/>
          <w:sz w:val="24"/>
          <w:szCs w:val="24"/>
        </w:rPr>
        <w:t xml:space="preserve"> 30, 50 ve 100 nm elektriksel hareketlilik çapına ve VPR girişinde 5000 </w:t>
      </w:r>
      <w:r w:rsidR="007E2039" w:rsidRPr="00DE12A3">
        <w:rPr>
          <w:color w:val="auto"/>
          <w:sz w:val="24"/>
          <w:szCs w:val="24"/>
        </w:rPr>
        <w:t xml:space="preserve">partikül </w:t>
      </w:r>
      <w:r w:rsidRPr="00DE12A3">
        <w:rPr>
          <w:color w:val="auto"/>
          <w:sz w:val="24"/>
          <w:szCs w:val="24"/>
        </w:rPr>
        <w:t>cm</w:t>
      </w:r>
      <w:r w:rsidRPr="00DE12A3">
        <w:rPr>
          <w:color w:val="auto"/>
          <w:sz w:val="24"/>
          <w:szCs w:val="24"/>
          <w:vertAlign w:val="superscript"/>
        </w:rPr>
        <w:t>-3</w:t>
      </w:r>
      <w:r w:rsidRPr="00DE12A3">
        <w:rPr>
          <w:color w:val="auto"/>
          <w:sz w:val="24"/>
          <w:szCs w:val="24"/>
        </w:rPr>
        <w:t xml:space="preserve">'lük bir asgari konsantrasyona sahip katı parçacıklar olmalıdır. </w:t>
      </w:r>
      <w:r w:rsidR="007E2039" w:rsidRPr="00DE12A3">
        <w:rPr>
          <w:color w:val="auto"/>
          <w:sz w:val="24"/>
          <w:szCs w:val="24"/>
        </w:rPr>
        <w:t xml:space="preserve">Partikül </w:t>
      </w:r>
      <w:r w:rsidRPr="00DE12A3">
        <w:rPr>
          <w:color w:val="auto"/>
          <w:sz w:val="24"/>
          <w:szCs w:val="24"/>
        </w:rPr>
        <w:t>konsantrasyonları, bileşenlerin giriş ve çıkış tarafında ölçülmelidir.</w:t>
      </w:r>
    </w:p>
    <w:p w14:paraId="59131515" w14:textId="741AA55D" w:rsidR="002D7B36" w:rsidRPr="00DE12A3" w:rsidRDefault="0059217B" w:rsidP="00C917D6">
      <w:pPr>
        <w:pStyle w:val="Gvdemetni251"/>
        <w:shd w:val="clear" w:color="auto" w:fill="auto"/>
        <w:spacing w:before="120" w:after="120" w:line="240" w:lineRule="auto"/>
        <w:ind w:left="1134" w:hanging="1134"/>
        <w:rPr>
          <w:color w:val="auto"/>
          <w:sz w:val="24"/>
          <w:szCs w:val="24"/>
        </w:rPr>
      </w:pPr>
      <w:r w:rsidRPr="00DE12A3">
        <w:rPr>
          <w:color w:val="auto"/>
          <w:sz w:val="24"/>
          <w:szCs w:val="24"/>
        </w:rPr>
        <w:t xml:space="preserve">                  </w:t>
      </w:r>
      <w:r w:rsidR="00242DA0" w:rsidRPr="00DE12A3">
        <w:rPr>
          <w:color w:val="auto"/>
          <w:sz w:val="24"/>
          <w:szCs w:val="24"/>
        </w:rPr>
        <w:t xml:space="preserve">Her </w:t>
      </w:r>
      <w:r w:rsidR="007E2039" w:rsidRPr="00DE12A3">
        <w:rPr>
          <w:color w:val="auto"/>
          <w:sz w:val="24"/>
          <w:szCs w:val="24"/>
        </w:rPr>
        <w:t xml:space="preserve">partikül </w:t>
      </w:r>
      <w:r w:rsidR="00242DA0" w:rsidRPr="00DE12A3">
        <w:rPr>
          <w:color w:val="auto"/>
          <w:sz w:val="24"/>
          <w:szCs w:val="24"/>
        </w:rPr>
        <w:t>büyüklüğündeki (</w:t>
      </w:r>
      <w:r w:rsidR="00242DA0" w:rsidRPr="00DE12A3">
        <w:rPr>
          <w:i/>
          <w:iCs/>
          <w:color w:val="auto"/>
          <w:sz w:val="24"/>
          <w:szCs w:val="24"/>
        </w:rPr>
        <w:t>fr</w:t>
      </w:r>
      <w:r w:rsidR="00242DA0" w:rsidRPr="00DE12A3">
        <w:rPr>
          <w:color w:val="auto"/>
          <w:sz w:val="24"/>
          <w:szCs w:val="24"/>
        </w:rPr>
        <w:t>(</w:t>
      </w:r>
      <w:r w:rsidR="00242DA0" w:rsidRPr="00DE12A3">
        <w:rPr>
          <w:i/>
          <w:iCs/>
          <w:color w:val="auto"/>
          <w:sz w:val="24"/>
          <w:szCs w:val="24"/>
        </w:rPr>
        <w:t>di</w:t>
      </w:r>
      <w:r w:rsidR="00242DA0" w:rsidRPr="00DE12A3">
        <w:rPr>
          <w:color w:val="auto"/>
          <w:sz w:val="24"/>
          <w:szCs w:val="24"/>
        </w:rPr>
        <w:t xml:space="preserve">)) </w:t>
      </w:r>
      <w:r w:rsidR="007E2039" w:rsidRPr="00DE12A3">
        <w:rPr>
          <w:color w:val="auto"/>
          <w:sz w:val="24"/>
          <w:szCs w:val="24"/>
        </w:rPr>
        <w:t xml:space="preserve">partikül </w:t>
      </w:r>
      <w:r w:rsidR="00242DA0" w:rsidRPr="00DE12A3">
        <w:rPr>
          <w:color w:val="auto"/>
          <w:sz w:val="24"/>
          <w:szCs w:val="24"/>
        </w:rPr>
        <w:t xml:space="preserve">konsantrasyonu düşürme faktörü, (6-32) </w:t>
      </w:r>
      <w:r w:rsidR="005E1C7E" w:rsidRPr="00DE12A3">
        <w:rPr>
          <w:color w:val="auto"/>
          <w:sz w:val="24"/>
          <w:szCs w:val="24"/>
        </w:rPr>
        <w:t>numaralı</w:t>
      </w:r>
      <w:r w:rsidR="005E1C7E" w:rsidRPr="00DE12A3" w:rsidDel="005E1C7E">
        <w:rPr>
          <w:color w:val="auto"/>
          <w:sz w:val="24"/>
          <w:szCs w:val="24"/>
        </w:rPr>
        <w:t xml:space="preserve"> </w:t>
      </w:r>
      <w:r w:rsidR="00242DA0" w:rsidRPr="00DE12A3">
        <w:rPr>
          <w:color w:val="auto"/>
          <w:sz w:val="24"/>
          <w:szCs w:val="24"/>
        </w:rPr>
        <w:t>denklem ile hesaplanır:</w:t>
      </w:r>
    </w:p>
    <w:p w14:paraId="4C1C9A40" w14:textId="4D9EDBF5" w:rsidR="0059217B" w:rsidRPr="00DE12A3" w:rsidRDefault="00BF0740" w:rsidP="00C917D6">
      <w:pPr>
        <w:pStyle w:val="Gvdemetni251"/>
        <w:shd w:val="clear" w:color="auto" w:fill="auto"/>
        <w:spacing w:before="120" w:after="120" w:line="240" w:lineRule="auto"/>
        <w:ind w:left="1134" w:hanging="1134"/>
        <w:rPr>
          <w:color w:val="auto"/>
          <w:sz w:val="24"/>
          <w:szCs w:val="24"/>
        </w:rPr>
      </w:pPr>
      <w:r w:rsidRPr="00DE12A3">
        <w:rPr>
          <w:noProof/>
          <w:color w:val="auto"/>
          <w:sz w:val="24"/>
          <w:szCs w:val="24"/>
        </w:rPr>
        <w:drawing>
          <wp:anchor distT="0" distB="0" distL="114300" distR="114300" simplePos="0" relativeHeight="251683328" behindDoc="0" locked="0" layoutInCell="1" allowOverlap="1" wp14:anchorId="7617DC9E" wp14:editId="0B4AA61A">
            <wp:simplePos x="0" y="0"/>
            <wp:positionH relativeFrom="column">
              <wp:posOffset>660742</wp:posOffset>
            </wp:positionH>
            <wp:positionV relativeFrom="paragraph">
              <wp:posOffset>249946</wp:posOffset>
            </wp:positionV>
            <wp:extent cx="5106621" cy="673735"/>
            <wp:effectExtent l="0" t="0" r="0" b="0"/>
            <wp:wrapNone/>
            <wp:docPr id="237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3" name="Picture 13"/>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a:xfrm>
                      <a:off x="0" y="0"/>
                      <a:ext cx="5111507" cy="674380"/>
                    </a:xfrm>
                    <a:prstGeom prst="rect">
                      <a:avLst/>
                    </a:prstGeom>
                    <a:noFill/>
                    <a:ln>
                      <a:noFill/>
                    </a:ln>
                  </pic:spPr>
                </pic:pic>
              </a:graphicData>
            </a:graphic>
            <wp14:sizeRelH relativeFrom="margin">
              <wp14:pctWidth>0</wp14:pctWidth>
            </wp14:sizeRelH>
          </wp:anchor>
        </w:drawing>
      </w:r>
    </w:p>
    <w:p w14:paraId="00565801" w14:textId="77777777" w:rsidR="002D7B36" w:rsidRPr="00DE12A3" w:rsidRDefault="002D7B36" w:rsidP="00C917D6">
      <w:pPr>
        <w:pStyle w:val="ListeParagraf"/>
        <w:spacing w:before="120" w:after="120"/>
        <w:ind w:left="1134" w:hanging="1134"/>
        <w:jc w:val="both"/>
        <w:rPr>
          <w:rFonts w:cs="Times New Roman"/>
          <w:color w:val="auto"/>
        </w:rPr>
      </w:pPr>
    </w:p>
    <w:p w14:paraId="0B7ACE2C" w14:textId="77777777" w:rsidR="002D7B36" w:rsidRPr="00DE12A3" w:rsidRDefault="002D7B36" w:rsidP="00C917D6">
      <w:pPr>
        <w:pStyle w:val="Gvdemetni251"/>
        <w:shd w:val="clear" w:color="auto" w:fill="auto"/>
        <w:spacing w:before="120" w:after="120" w:line="240" w:lineRule="auto"/>
        <w:ind w:left="1134" w:hanging="1134"/>
        <w:rPr>
          <w:color w:val="auto"/>
          <w:sz w:val="24"/>
          <w:szCs w:val="24"/>
        </w:rPr>
      </w:pPr>
    </w:p>
    <w:p w14:paraId="01441D1F" w14:textId="77777777" w:rsidR="002D7B36" w:rsidRPr="00DE12A3" w:rsidRDefault="002D7B36" w:rsidP="00C917D6">
      <w:pPr>
        <w:pStyle w:val="Gvdemetni251"/>
        <w:shd w:val="clear" w:color="auto" w:fill="auto"/>
        <w:spacing w:before="120" w:after="120" w:line="240" w:lineRule="auto"/>
        <w:ind w:left="1134" w:hanging="1134"/>
        <w:rPr>
          <w:color w:val="auto"/>
          <w:sz w:val="24"/>
          <w:szCs w:val="24"/>
        </w:rPr>
      </w:pPr>
    </w:p>
    <w:p w14:paraId="2D1DD36B" w14:textId="77777777" w:rsidR="002D7B36" w:rsidRPr="00DE12A3" w:rsidRDefault="00242DA0" w:rsidP="00C917D6">
      <w:pPr>
        <w:pStyle w:val="Gvdemetni251"/>
        <w:shd w:val="clear" w:color="auto" w:fill="auto"/>
        <w:spacing w:before="120" w:after="120" w:line="240" w:lineRule="auto"/>
        <w:ind w:left="1134" w:firstLine="0"/>
        <w:rPr>
          <w:color w:val="auto"/>
          <w:sz w:val="24"/>
          <w:szCs w:val="24"/>
        </w:rPr>
      </w:pPr>
      <w:r w:rsidRPr="00DE12A3">
        <w:rPr>
          <w:color w:val="auto"/>
          <w:sz w:val="24"/>
          <w:szCs w:val="24"/>
        </w:rPr>
        <w:t>Burada:</w:t>
      </w:r>
    </w:p>
    <w:p w14:paraId="6C447E0C" w14:textId="77777777" w:rsidR="002D7B36" w:rsidRPr="00DE12A3" w:rsidRDefault="00242DA0" w:rsidP="00C917D6">
      <w:pPr>
        <w:pStyle w:val="Gvdemetni251"/>
        <w:shd w:val="clear" w:color="auto" w:fill="auto"/>
        <w:tabs>
          <w:tab w:val="left" w:pos="1510"/>
        </w:tabs>
        <w:spacing w:before="120" w:after="120" w:line="240" w:lineRule="auto"/>
        <w:ind w:left="1134" w:firstLine="0"/>
        <w:rPr>
          <w:color w:val="auto"/>
          <w:sz w:val="24"/>
          <w:szCs w:val="24"/>
        </w:rPr>
      </w:pPr>
      <w:r w:rsidRPr="00DE12A3">
        <w:rPr>
          <w:rStyle w:val="Gvdemetni254pttalik0ptbolukbraklyor33"/>
          <w:color w:val="auto"/>
          <w:sz w:val="24"/>
          <w:szCs w:val="24"/>
        </w:rPr>
        <w:t>N</w:t>
      </w:r>
      <w:r w:rsidRPr="00DE12A3">
        <w:rPr>
          <w:rStyle w:val="Gvdemetni254pttalik0ptbolukbraklyor33"/>
          <w:color w:val="auto"/>
          <w:sz w:val="24"/>
          <w:szCs w:val="24"/>
          <w:vertAlign w:val="subscript"/>
        </w:rPr>
        <w:t>in</w:t>
      </w:r>
      <w:r w:rsidRPr="00DE12A3">
        <w:rPr>
          <w:rStyle w:val="Gvdemetni254pttalik0ptbolukbraklyor33"/>
          <w:color w:val="auto"/>
          <w:sz w:val="24"/>
          <w:szCs w:val="24"/>
        </w:rPr>
        <w:t>(d</w:t>
      </w:r>
      <w:r w:rsidRPr="00DE12A3">
        <w:rPr>
          <w:rStyle w:val="Gvdemetni254pttalik0ptbolukbraklyor33"/>
          <w:color w:val="auto"/>
          <w:sz w:val="24"/>
          <w:szCs w:val="24"/>
          <w:vertAlign w:val="subscript"/>
        </w:rPr>
        <w:t>i</w:t>
      </w:r>
      <w:r w:rsidRPr="00DE12A3">
        <w:rPr>
          <w:rStyle w:val="Gvdemetni254pttalik0ptbolukbraklyor33"/>
          <w:color w:val="auto"/>
          <w:sz w:val="24"/>
          <w:szCs w:val="24"/>
        </w:rPr>
        <w:t>)</w:t>
      </w:r>
      <w:r w:rsidRPr="00DE12A3">
        <w:rPr>
          <w:color w:val="auto"/>
          <w:sz w:val="24"/>
          <w:szCs w:val="24"/>
        </w:rPr>
        <w:tab/>
      </w:r>
      <w:r w:rsidRPr="00DE12A3">
        <w:rPr>
          <w:i/>
          <w:iCs/>
          <w:color w:val="auto"/>
          <w:sz w:val="24"/>
          <w:szCs w:val="24"/>
        </w:rPr>
        <w:t>d</w:t>
      </w:r>
      <w:r w:rsidRPr="00DE12A3">
        <w:rPr>
          <w:i/>
          <w:iCs/>
          <w:color w:val="auto"/>
          <w:sz w:val="24"/>
          <w:szCs w:val="24"/>
          <w:vertAlign w:val="subscript"/>
        </w:rPr>
        <w:t>i</w:t>
      </w:r>
      <w:r w:rsidRPr="00DE12A3">
        <w:rPr>
          <w:color w:val="auto"/>
          <w:sz w:val="24"/>
          <w:szCs w:val="24"/>
        </w:rPr>
        <w:t xml:space="preserve"> çapındaki parçacıklar için giriş tarafındaki </w:t>
      </w:r>
      <w:r w:rsidR="007E2039" w:rsidRPr="00DE12A3">
        <w:rPr>
          <w:color w:val="auto"/>
          <w:sz w:val="24"/>
          <w:szCs w:val="24"/>
        </w:rPr>
        <w:t xml:space="preserve">partikül </w:t>
      </w:r>
      <w:r w:rsidRPr="00DE12A3">
        <w:rPr>
          <w:color w:val="auto"/>
          <w:sz w:val="24"/>
          <w:szCs w:val="24"/>
        </w:rPr>
        <w:t>sayısı konsantrasyonu</w:t>
      </w:r>
    </w:p>
    <w:p w14:paraId="1AA4906E" w14:textId="77777777" w:rsidR="002D7B36" w:rsidRPr="00DE12A3" w:rsidRDefault="00242DA0" w:rsidP="00C917D6">
      <w:pPr>
        <w:pStyle w:val="Gvdemetni251"/>
        <w:shd w:val="clear" w:color="auto" w:fill="auto"/>
        <w:tabs>
          <w:tab w:val="left" w:pos="1510"/>
        </w:tabs>
        <w:spacing w:before="120" w:after="120" w:line="240" w:lineRule="auto"/>
        <w:ind w:left="1134" w:firstLine="0"/>
        <w:rPr>
          <w:color w:val="auto"/>
          <w:sz w:val="24"/>
          <w:szCs w:val="24"/>
        </w:rPr>
      </w:pPr>
      <w:r w:rsidRPr="00DE12A3">
        <w:rPr>
          <w:rStyle w:val="Gvdemetni254pttalik0ptbolukbraklyor33"/>
          <w:color w:val="auto"/>
          <w:sz w:val="24"/>
          <w:szCs w:val="24"/>
        </w:rPr>
        <w:t>N</w:t>
      </w:r>
      <w:r w:rsidRPr="00DE12A3">
        <w:rPr>
          <w:rStyle w:val="Gvdemetni254pttalik0ptbolukbraklyor33"/>
          <w:color w:val="auto"/>
          <w:sz w:val="24"/>
          <w:szCs w:val="24"/>
          <w:vertAlign w:val="subscript"/>
        </w:rPr>
        <w:t>out</w:t>
      </w:r>
      <w:r w:rsidRPr="00DE12A3">
        <w:rPr>
          <w:rStyle w:val="Gvdemetni254pttalik0ptbolukbraklyor33"/>
          <w:color w:val="auto"/>
          <w:sz w:val="24"/>
          <w:szCs w:val="24"/>
        </w:rPr>
        <w:t>(d</w:t>
      </w:r>
      <w:r w:rsidRPr="00DE12A3">
        <w:rPr>
          <w:rStyle w:val="Gvdemetni254pttalik0ptbolukbraklyor33"/>
          <w:color w:val="auto"/>
          <w:sz w:val="24"/>
          <w:szCs w:val="24"/>
          <w:vertAlign w:val="subscript"/>
        </w:rPr>
        <w:t>i</w:t>
      </w:r>
      <w:r w:rsidRPr="00DE12A3">
        <w:rPr>
          <w:rStyle w:val="Gvdemetni254pttalik0ptbolukbraklyor33"/>
          <w:color w:val="auto"/>
          <w:sz w:val="24"/>
          <w:szCs w:val="24"/>
        </w:rPr>
        <w:t>)</w:t>
      </w:r>
      <w:r w:rsidRPr="00DE12A3">
        <w:rPr>
          <w:color w:val="auto"/>
          <w:sz w:val="24"/>
          <w:szCs w:val="24"/>
        </w:rPr>
        <w:tab/>
      </w:r>
      <w:r w:rsidRPr="00DE12A3">
        <w:rPr>
          <w:i/>
          <w:iCs/>
          <w:color w:val="auto"/>
          <w:sz w:val="24"/>
          <w:szCs w:val="24"/>
        </w:rPr>
        <w:t>d</w:t>
      </w:r>
      <w:r w:rsidRPr="00DE12A3">
        <w:rPr>
          <w:i/>
          <w:iCs/>
          <w:color w:val="auto"/>
          <w:sz w:val="24"/>
          <w:szCs w:val="24"/>
          <w:vertAlign w:val="subscript"/>
        </w:rPr>
        <w:t>i</w:t>
      </w:r>
      <w:r w:rsidRPr="00DE12A3">
        <w:rPr>
          <w:color w:val="auto"/>
          <w:sz w:val="24"/>
          <w:szCs w:val="24"/>
        </w:rPr>
        <w:t xml:space="preserve"> çapındaki parçacıklar için çıkış tarafındaki </w:t>
      </w:r>
      <w:r w:rsidR="007E2039" w:rsidRPr="00DE12A3">
        <w:rPr>
          <w:color w:val="auto"/>
          <w:sz w:val="24"/>
          <w:szCs w:val="24"/>
        </w:rPr>
        <w:t xml:space="preserve">partikül </w:t>
      </w:r>
      <w:r w:rsidRPr="00DE12A3">
        <w:rPr>
          <w:color w:val="auto"/>
          <w:sz w:val="24"/>
          <w:szCs w:val="24"/>
        </w:rPr>
        <w:t>sayısı konsantrasyonu</w:t>
      </w:r>
    </w:p>
    <w:p w14:paraId="364583C9" w14:textId="77777777" w:rsidR="002D7B36" w:rsidRPr="00DE12A3" w:rsidRDefault="00242DA0" w:rsidP="00C917D6">
      <w:pPr>
        <w:pStyle w:val="Gvdemetni251"/>
        <w:shd w:val="clear" w:color="auto" w:fill="auto"/>
        <w:tabs>
          <w:tab w:val="left" w:pos="1510"/>
        </w:tabs>
        <w:spacing w:before="120" w:after="120" w:line="240" w:lineRule="auto"/>
        <w:ind w:left="1134" w:firstLine="0"/>
        <w:rPr>
          <w:color w:val="auto"/>
          <w:sz w:val="24"/>
          <w:szCs w:val="24"/>
        </w:rPr>
      </w:pPr>
      <w:r w:rsidRPr="00DE12A3">
        <w:rPr>
          <w:rStyle w:val="Gvdemetni254pttalik0ptbolukbraklyor33"/>
          <w:color w:val="auto"/>
          <w:sz w:val="24"/>
          <w:szCs w:val="24"/>
        </w:rPr>
        <w:t>d</w:t>
      </w:r>
      <w:r w:rsidRPr="00DE12A3">
        <w:rPr>
          <w:rStyle w:val="Gvdemetni254pttalik0ptbolukbraklyor33"/>
          <w:color w:val="auto"/>
          <w:sz w:val="24"/>
          <w:szCs w:val="24"/>
          <w:vertAlign w:val="subscript"/>
        </w:rPr>
        <w:t>i</w:t>
      </w:r>
      <w:r w:rsidRPr="00DE12A3">
        <w:rPr>
          <w:color w:val="auto"/>
          <w:sz w:val="24"/>
          <w:szCs w:val="24"/>
        </w:rPr>
        <w:tab/>
      </w:r>
      <w:r w:rsidR="007E2039" w:rsidRPr="00DE12A3">
        <w:rPr>
          <w:color w:val="auto"/>
          <w:sz w:val="24"/>
          <w:szCs w:val="24"/>
        </w:rPr>
        <w:t xml:space="preserve">partikül </w:t>
      </w:r>
      <w:r w:rsidRPr="00DE12A3">
        <w:rPr>
          <w:color w:val="auto"/>
          <w:sz w:val="24"/>
          <w:szCs w:val="24"/>
        </w:rPr>
        <w:t>elektriksel hareketlilik çapı (30, 50 veya 100 nm)</w:t>
      </w:r>
    </w:p>
    <w:p w14:paraId="23DD75DC" w14:textId="77777777" w:rsidR="002D7B36" w:rsidRPr="00DE12A3" w:rsidRDefault="00242DA0" w:rsidP="00C917D6">
      <w:pPr>
        <w:pStyle w:val="Gvdemetni251"/>
        <w:shd w:val="clear" w:color="auto" w:fill="auto"/>
        <w:spacing w:before="120" w:after="120" w:line="240" w:lineRule="auto"/>
        <w:ind w:left="1134" w:firstLine="0"/>
        <w:rPr>
          <w:color w:val="auto"/>
          <w:sz w:val="24"/>
          <w:szCs w:val="24"/>
        </w:rPr>
      </w:pPr>
      <w:r w:rsidRPr="00DE12A3">
        <w:rPr>
          <w:i/>
          <w:iCs/>
          <w:color w:val="auto"/>
          <w:spacing w:val="8"/>
          <w:sz w:val="24"/>
          <w:szCs w:val="24"/>
        </w:rPr>
        <w:t>N</w:t>
      </w:r>
      <w:r w:rsidRPr="00DE12A3">
        <w:rPr>
          <w:i/>
          <w:iCs/>
          <w:color w:val="auto"/>
          <w:spacing w:val="8"/>
          <w:sz w:val="24"/>
          <w:szCs w:val="24"/>
          <w:vertAlign w:val="subscript"/>
        </w:rPr>
        <w:t>in</w:t>
      </w:r>
      <w:r w:rsidRPr="00DE12A3">
        <w:rPr>
          <w:i/>
          <w:iCs/>
          <w:color w:val="auto"/>
          <w:spacing w:val="8"/>
          <w:sz w:val="24"/>
          <w:szCs w:val="24"/>
        </w:rPr>
        <w:t>(d</w:t>
      </w:r>
      <w:r w:rsidRPr="00DE12A3">
        <w:rPr>
          <w:i/>
          <w:iCs/>
          <w:color w:val="auto"/>
          <w:spacing w:val="8"/>
          <w:sz w:val="24"/>
          <w:szCs w:val="24"/>
          <w:vertAlign w:val="subscript"/>
        </w:rPr>
        <w:t>i</w:t>
      </w:r>
      <w:r w:rsidRPr="00DE12A3">
        <w:rPr>
          <w:i/>
          <w:iCs/>
          <w:color w:val="auto"/>
          <w:spacing w:val="8"/>
          <w:sz w:val="24"/>
          <w:szCs w:val="24"/>
        </w:rPr>
        <w:t xml:space="preserve">) </w:t>
      </w:r>
      <w:r w:rsidRPr="00DE12A3">
        <w:rPr>
          <w:color w:val="auto"/>
          <w:spacing w:val="8"/>
          <w:sz w:val="24"/>
          <w:szCs w:val="24"/>
        </w:rPr>
        <w:t>ve</w:t>
      </w:r>
      <w:r w:rsidRPr="00DE12A3">
        <w:rPr>
          <w:i/>
          <w:iCs/>
          <w:color w:val="auto"/>
          <w:spacing w:val="8"/>
          <w:sz w:val="24"/>
          <w:szCs w:val="24"/>
        </w:rPr>
        <w:t xml:space="preserve"> N</w:t>
      </w:r>
      <w:r w:rsidRPr="00DE12A3">
        <w:rPr>
          <w:i/>
          <w:iCs/>
          <w:color w:val="auto"/>
          <w:spacing w:val="8"/>
          <w:sz w:val="24"/>
          <w:szCs w:val="24"/>
          <w:vertAlign w:val="subscript"/>
        </w:rPr>
        <w:t>out</w:t>
      </w:r>
      <w:r w:rsidRPr="00DE12A3">
        <w:rPr>
          <w:i/>
          <w:iCs/>
          <w:color w:val="auto"/>
          <w:spacing w:val="8"/>
          <w:sz w:val="24"/>
          <w:szCs w:val="24"/>
        </w:rPr>
        <w:t>(d</w:t>
      </w:r>
      <w:r w:rsidRPr="00DE12A3">
        <w:rPr>
          <w:i/>
          <w:iCs/>
          <w:color w:val="auto"/>
          <w:spacing w:val="8"/>
          <w:sz w:val="24"/>
          <w:szCs w:val="24"/>
          <w:vertAlign w:val="subscript"/>
        </w:rPr>
        <w:t>i</w:t>
      </w:r>
      <w:r w:rsidRPr="00DE12A3">
        <w:rPr>
          <w:i/>
          <w:iCs/>
          <w:color w:val="auto"/>
          <w:spacing w:val="8"/>
          <w:sz w:val="24"/>
          <w:szCs w:val="24"/>
        </w:rPr>
        <w:t xml:space="preserve">) </w:t>
      </w:r>
      <w:r w:rsidRPr="00DE12A3">
        <w:rPr>
          <w:color w:val="auto"/>
          <w:spacing w:val="8"/>
          <w:sz w:val="24"/>
          <w:szCs w:val="24"/>
        </w:rPr>
        <w:t>aynı koşullara göre düzeltilmelidir</w:t>
      </w:r>
      <w:r w:rsidRPr="00DE12A3">
        <w:rPr>
          <w:color w:val="auto"/>
          <w:sz w:val="24"/>
          <w:szCs w:val="24"/>
        </w:rPr>
        <w:t>.</w:t>
      </w:r>
    </w:p>
    <w:p w14:paraId="01FF4979" w14:textId="3D46D021" w:rsidR="002D7B36" w:rsidRPr="00DE12A3" w:rsidRDefault="00242DA0" w:rsidP="00C917D6">
      <w:pPr>
        <w:pStyle w:val="Gvdemetni251"/>
        <w:shd w:val="clear" w:color="auto" w:fill="auto"/>
        <w:spacing w:before="120" w:after="120" w:line="240" w:lineRule="auto"/>
        <w:ind w:left="1134" w:firstLine="0"/>
        <w:rPr>
          <w:color w:val="auto"/>
          <w:sz w:val="24"/>
          <w:szCs w:val="24"/>
        </w:rPr>
      </w:pPr>
      <w:r w:rsidRPr="00DE12A3">
        <w:rPr>
          <w:color w:val="auto"/>
          <w:sz w:val="24"/>
          <w:szCs w:val="24"/>
        </w:rPr>
        <w:t xml:space="preserve">Belirli bir seyreltme ayarında ortalama </w:t>
      </w:r>
      <w:r w:rsidR="007E2039" w:rsidRPr="00DE12A3">
        <w:rPr>
          <w:color w:val="auto"/>
          <w:sz w:val="24"/>
          <w:szCs w:val="24"/>
        </w:rPr>
        <w:t xml:space="preserve">partikül </w:t>
      </w:r>
      <w:r w:rsidRPr="00DE12A3">
        <w:rPr>
          <w:color w:val="auto"/>
          <w:sz w:val="24"/>
          <w:szCs w:val="24"/>
        </w:rPr>
        <w:t xml:space="preserve">konsantrasyonu düşüşü (fr), (6-33) </w:t>
      </w:r>
      <w:r w:rsidR="005E1C7E" w:rsidRPr="00DE12A3">
        <w:rPr>
          <w:color w:val="auto"/>
          <w:sz w:val="24"/>
          <w:szCs w:val="24"/>
        </w:rPr>
        <w:t>numaralı</w:t>
      </w:r>
      <w:r w:rsidR="005E1C7E" w:rsidRPr="00DE12A3" w:rsidDel="005E1C7E">
        <w:rPr>
          <w:color w:val="auto"/>
          <w:sz w:val="24"/>
          <w:szCs w:val="24"/>
        </w:rPr>
        <w:t xml:space="preserve"> </w:t>
      </w:r>
      <w:r w:rsidRPr="00DE12A3">
        <w:rPr>
          <w:color w:val="auto"/>
          <w:sz w:val="24"/>
          <w:szCs w:val="24"/>
        </w:rPr>
        <w:t>denklem ile hesaplanır:</w:t>
      </w:r>
    </w:p>
    <w:p w14:paraId="39B2648C" w14:textId="77777777" w:rsidR="0059217B" w:rsidRPr="00DE12A3" w:rsidRDefault="0059217B" w:rsidP="00C917D6">
      <w:pPr>
        <w:pStyle w:val="Gvdemetni251"/>
        <w:shd w:val="clear" w:color="auto" w:fill="auto"/>
        <w:spacing w:before="120" w:after="120" w:line="240" w:lineRule="auto"/>
        <w:ind w:left="1134" w:firstLine="0"/>
        <w:rPr>
          <w:color w:val="auto"/>
          <w:sz w:val="24"/>
          <w:szCs w:val="24"/>
        </w:rPr>
      </w:pPr>
    </w:p>
    <w:p w14:paraId="0BC8348B" w14:textId="335245E5" w:rsidR="002D7B36" w:rsidRPr="00DE12A3" w:rsidRDefault="00242DA0" w:rsidP="00C917D6">
      <w:pPr>
        <w:spacing w:before="120" w:after="120"/>
        <w:ind w:left="1134" w:hanging="1134"/>
        <w:jc w:val="center"/>
        <w:rPr>
          <w:rFonts w:eastAsia="Times New Roman" w:cs="Times New Roman"/>
          <w:color w:val="auto"/>
          <w:lang w:eastAsia="en-US"/>
        </w:rPr>
      </w:pPr>
      <w:r w:rsidRPr="00DE12A3">
        <w:rPr>
          <w:rFonts w:eastAsia="Times New Roman" w:cs="Times New Roman"/>
          <w:noProof/>
          <w:color w:val="auto"/>
        </w:rPr>
        <w:drawing>
          <wp:inline distT="0" distB="0" distL="0" distR="0" wp14:anchorId="618C0EDD" wp14:editId="49D2DC0E">
            <wp:extent cx="4229296" cy="727021"/>
            <wp:effectExtent l="0" t="0" r="0" b="0"/>
            <wp:docPr id="2374" name="Resim 2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4" name="Resim 2374"/>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a:xfrm>
                      <a:off x="0" y="0"/>
                      <a:ext cx="4325038" cy="743479"/>
                    </a:xfrm>
                    <a:prstGeom prst="rect">
                      <a:avLst/>
                    </a:prstGeom>
                    <a:noFill/>
                    <a:ln>
                      <a:noFill/>
                    </a:ln>
                  </pic:spPr>
                </pic:pic>
              </a:graphicData>
            </a:graphic>
          </wp:inline>
        </w:drawing>
      </w:r>
    </w:p>
    <w:p w14:paraId="1A946F45" w14:textId="77777777" w:rsidR="002D7B36" w:rsidRPr="00DE12A3" w:rsidRDefault="00BF0740" w:rsidP="00C917D6">
      <w:pPr>
        <w:pStyle w:val="Gvdemetni251"/>
        <w:shd w:val="clear" w:color="auto" w:fill="auto"/>
        <w:spacing w:before="120" w:after="120" w:line="240" w:lineRule="auto"/>
        <w:ind w:left="1134" w:hanging="1134"/>
        <w:rPr>
          <w:color w:val="auto"/>
          <w:sz w:val="24"/>
          <w:szCs w:val="24"/>
        </w:rPr>
      </w:pPr>
      <w:r w:rsidRPr="00DE12A3">
        <w:rPr>
          <w:color w:val="auto"/>
          <w:sz w:val="24"/>
          <w:szCs w:val="24"/>
        </w:rPr>
        <w:t xml:space="preserve">                  </w:t>
      </w:r>
      <w:r w:rsidR="00242DA0" w:rsidRPr="00DE12A3">
        <w:rPr>
          <w:color w:val="auto"/>
          <w:sz w:val="24"/>
          <w:szCs w:val="24"/>
        </w:rPr>
        <w:t>R'nin komple bir ünite olarak kalibre edilmesi ve doğrulanması önerilir.</w:t>
      </w:r>
    </w:p>
    <w:p w14:paraId="4B7D7B70" w14:textId="60AB58D4" w:rsidR="002D7B36" w:rsidRPr="00DE12A3" w:rsidRDefault="00242DA0" w:rsidP="00E20716">
      <w:pPr>
        <w:pStyle w:val="Gvdemetni251"/>
        <w:numPr>
          <w:ilvl w:val="0"/>
          <w:numId w:val="387"/>
        </w:numPr>
        <w:shd w:val="clear" w:color="auto" w:fill="auto"/>
        <w:spacing w:before="120" w:after="120" w:line="240" w:lineRule="auto"/>
        <w:ind w:left="1134" w:hanging="1134"/>
        <w:rPr>
          <w:color w:val="auto"/>
          <w:sz w:val="24"/>
          <w:szCs w:val="24"/>
        </w:rPr>
      </w:pPr>
      <w:r w:rsidRPr="00DE12A3">
        <w:rPr>
          <w:color w:val="auto"/>
          <w:sz w:val="24"/>
          <w:szCs w:val="24"/>
        </w:rPr>
        <w:t xml:space="preserve">Teknik </w:t>
      </w:r>
      <w:r w:rsidR="00CB4BBD" w:rsidRPr="00DE12A3">
        <w:rPr>
          <w:color w:val="auto"/>
          <w:sz w:val="24"/>
          <w:szCs w:val="24"/>
        </w:rPr>
        <w:t>s</w:t>
      </w:r>
      <w:r w:rsidRPr="00DE12A3">
        <w:rPr>
          <w:color w:val="auto"/>
          <w:sz w:val="24"/>
          <w:szCs w:val="24"/>
        </w:rPr>
        <w:t xml:space="preserve">ervis, VPR için emisyon testinden önceki 6 aylık bir süre içinde etkin uçucu </w:t>
      </w:r>
      <w:r w:rsidR="007E2039" w:rsidRPr="00DE12A3">
        <w:rPr>
          <w:color w:val="auto"/>
          <w:sz w:val="24"/>
          <w:szCs w:val="24"/>
        </w:rPr>
        <w:t xml:space="preserve">partikül </w:t>
      </w:r>
      <w:r w:rsidRPr="00DE12A3">
        <w:rPr>
          <w:color w:val="auto"/>
          <w:sz w:val="24"/>
          <w:szCs w:val="24"/>
        </w:rPr>
        <w:t xml:space="preserve">giderme verimini ispatlayan bir onay sertifikasının bulunmasını sağlamalıdır. Uçucu </w:t>
      </w:r>
      <w:r w:rsidR="007E2039" w:rsidRPr="00DE12A3">
        <w:rPr>
          <w:color w:val="auto"/>
          <w:sz w:val="24"/>
          <w:szCs w:val="24"/>
        </w:rPr>
        <w:t xml:space="preserve">partikül </w:t>
      </w:r>
      <w:r w:rsidRPr="00DE12A3">
        <w:rPr>
          <w:color w:val="auto"/>
          <w:sz w:val="24"/>
          <w:szCs w:val="24"/>
        </w:rPr>
        <w:t>giderici sıcaklık izleme alarmları kullanıyorsa, 12 aylık bir doğrulama aralığına izin verilebilir. VPR, ≥ 10000 cm</w:t>
      </w:r>
      <w:r w:rsidRPr="00DE12A3">
        <w:rPr>
          <w:color w:val="auto"/>
          <w:sz w:val="24"/>
          <w:szCs w:val="24"/>
          <w:vertAlign w:val="superscript"/>
        </w:rPr>
        <w:t>-3</w:t>
      </w:r>
      <w:r w:rsidRPr="00DE12A3">
        <w:rPr>
          <w:color w:val="auto"/>
          <w:sz w:val="24"/>
          <w:szCs w:val="24"/>
        </w:rPr>
        <w:t>'lük bir giriş konsantrasyonu ile asgari seyreltme ayarında ve imalatçının tavsiye ettiği çalışma sıcaklığında çalıştırıldığında, en az 30 nm elektriksel hareketlilik çapına sahip tetrakontan (CH</w:t>
      </w:r>
      <w:r w:rsidRPr="00DE12A3">
        <w:rPr>
          <w:color w:val="auto"/>
          <w:sz w:val="24"/>
          <w:szCs w:val="24"/>
          <w:vertAlign w:val="subscript"/>
        </w:rPr>
        <w:t>3</w:t>
      </w:r>
      <w:r w:rsidRPr="00DE12A3">
        <w:rPr>
          <w:color w:val="auto"/>
          <w:sz w:val="24"/>
          <w:szCs w:val="24"/>
        </w:rPr>
        <w:t>(CH</w:t>
      </w:r>
      <w:r w:rsidRPr="00DE12A3">
        <w:rPr>
          <w:color w:val="auto"/>
          <w:sz w:val="24"/>
          <w:szCs w:val="24"/>
          <w:vertAlign w:val="subscript"/>
        </w:rPr>
        <w:t>2</w:t>
      </w:r>
      <w:r w:rsidRPr="00DE12A3">
        <w:rPr>
          <w:color w:val="auto"/>
          <w:sz w:val="24"/>
          <w:szCs w:val="24"/>
        </w:rPr>
        <w:t>)</w:t>
      </w:r>
      <w:r w:rsidRPr="00DE12A3">
        <w:rPr>
          <w:color w:val="auto"/>
          <w:sz w:val="24"/>
          <w:szCs w:val="24"/>
          <w:vertAlign w:val="subscript"/>
        </w:rPr>
        <w:t>38</w:t>
      </w:r>
      <w:r w:rsidRPr="00DE12A3">
        <w:rPr>
          <w:color w:val="auto"/>
          <w:sz w:val="24"/>
          <w:szCs w:val="24"/>
        </w:rPr>
        <w:t>CH</w:t>
      </w:r>
      <w:r w:rsidRPr="00DE12A3">
        <w:rPr>
          <w:color w:val="auto"/>
          <w:sz w:val="24"/>
          <w:szCs w:val="24"/>
          <w:vertAlign w:val="subscript"/>
        </w:rPr>
        <w:t>3</w:t>
      </w:r>
      <w:r w:rsidRPr="00DE12A3">
        <w:rPr>
          <w:color w:val="auto"/>
          <w:sz w:val="24"/>
          <w:szCs w:val="24"/>
        </w:rPr>
        <w:t xml:space="preserve">) parçacıklarının </w:t>
      </w:r>
      <w:r w:rsidR="00F466F2" w:rsidRPr="00DE12A3">
        <w:rPr>
          <w:color w:val="auto"/>
          <w:sz w:val="24"/>
          <w:szCs w:val="24"/>
        </w:rPr>
        <w:t>%99,0</w:t>
      </w:r>
      <w:r w:rsidRPr="00DE12A3">
        <w:rPr>
          <w:color w:val="auto"/>
          <w:sz w:val="24"/>
          <w:szCs w:val="24"/>
        </w:rPr>
        <w:t>'undan fazlasının giderildiğini ispatlamalıdır.</w:t>
      </w:r>
    </w:p>
    <w:p w14:paraId="27F55B92" w14:textId="77777777" w:rsidR="002D7B36" w:rsidRPr="00DE12A3" w:rsidRDefault="00BF0740" w:rsidP="00E20716">
      <w:pPr>
        <w:pStyle w:val="Gvdemetni251"/>
        <w:numPr>
          <w:ilvl w:val="0"/>
          <w:numId w:val="383"/>
        </w:numPr>
        <w:shd w:val="clear" w:color="auto" w:fill="auto"/>
        <w:spacing w:before="120" w:after="120" w:line="240" w:lineRule="auto"/>
        <w:ind w:left="1134" w:hanging="1134"/>
        <w:rPr>
          <w:color w:val="auto"/>
          <w:sz w:val="24"/>
          <w:szCs w:val="24"/>
        </w:rPr>
      </w:pPr>
      <w:r w:rsidRPr="00DE12A3">
        <w:rPr>
          <w:color w:val="auto"/>
          <w:sz w:val="24"/>
          <w:szCs w:val="24"/>
        </w:rPr>
        <w:t xml:space="preserve">       </w:t>
      </w:r>
      <w:r w:rsidR="007E2039" w:rsidRPr="00DE12A3">
        <w:rPr>
          <w:color w:val="auto"/>
          <w:sz w:val="24"/>
          <w:szCs w:val="24"/>
        </w:rPr>
        <w:t xml:space="preserve">Partikül </w:t>
      </w:r>
      <w:r w:rsidR="00242DA0" w:rsidRPr="00DE12A3">
        <w:rPr>
          <w:color w:val="auto"/>
          <w:sz w:val="24"/>
          <w:szCs w:val="24"/>
        </w:rPr>
        <w:t>sayısı sistemi kontrol prosedürleri</w:t>
      </w:r>
    </w:p>
    <w:p w14:paraId="0AC6A864" w14:textId="77777777" w:rsidR="002D7B36" w:rsidRPr="00DE12A3" w:rsidRDefault="00242DA0" w:rsidP="00E20716">
      <w:pPr>
        <w:pStyle w:val="Gvdemetni251"/>
        <w:numPr>
          <w:ilvl w:val="0"/>
          <w:numId w:val="388"/>
        </w:numPr>
        <w:shd w:val="clear" w:color="auto" w:fill="auto"/>
        <w:spacing w:before="120" w:after="120" w:line="240" w:lineRule="auto"/>
        <w:ind w:left="1134" w:hanging="1134"/>
        <w:rPr>
          <w:color w:val="auto"/>
          <w:sz w:val="24"/>
          <w:szCs w:val="24"/>
        </w:rPr>
      </w:pPr>
      <w:r w:rsidRPr="00DE12A3">
        <w:rPr>
          <w:color w:val="auto"/>
          <w:sz w:val="24"/>
          <w:szCs w:val="24"/>
        </w:rPr>
        <w:t xml:space="preserve">Her test öncesinde, en az EN 1822:2008 H13 sınıfı veya denk performansa sahip bir HEPA filtresi bütün </w:t>
      </w:r>
      <w:r w:rsidR="007E2039" w:rsidRPr="00DE12A3">
        <w:rPr>
          <w:color w:val="auto"/>
          <w:sz w:val="24"/>
          <w:szCs w:val="24"/>
        </w:rPr>
        <w:t xml:space="preserve">partikül </w:t>
      </w:r>
      <w:r w:rsidRPr="00DE12A3">
        <w:rPr>
          <w:color w:val="auto"/>
          <w:sz w:val="24"/>
          <w:szCs w:val="24"/>
        </w:rPr>
        <w:t xml:space="preserve">örnekleme sisteminin (VPR ve PNC) girişine bağlandığında, </w:t>
      </w:r>
      <w:r w:rsidR="007E2039" w:rsidRPr="00DE12A3">
        <w:rPr>
          <w:color w:val="auto"/>
          <w:sz w:val="24"/>
          <w:szCs w:val="24"/>
        </w:rPr>
        <w:t xml:space="preserve">partikül </w:t>
      </w:r>
      <w:r w:rsidRPr="00DE12A3">
        <w:rPr>
          <w:color w:val="auto"/>
          <w:sz w:val="24"/>
          <w:szCs w:val="24"/>
        </w:rPr>
        <w:t>sayacı 0,5 partikül cm</w:t>
      </w:r>
      <w:r w:rsidRPr="00DE12A3">
        <w:rPr>
          <w:color w:val="auto"/>
          <w:sz w:val="24"/>
          <w:szCs w:val="24"/>
          <w:vertAlign w:val="superscript"/>
        </w:rPr>
        <w:t>-3</w:t>
      </w:r>
      <w:r w:rsidRPr="00DE12A3">
        <w:rPr>
          <w:color w:val="auto"/>
          <w:sz w:val="24"/>
          <w:szCs w:val="24"/>
        </w:rPr>
        <w:t>'ten daha az ölçülmüş bir konsantrasyon hareketi bildirmelidir.</w:t>
      </w:r>
    </w:p>
    <w:p w14:paraId="0236A839" w14:textId="1E985F8D" w:rsidR="002D7B36" w:rsidRPr="00DE12A3" w:rsidRDefault="00242DA0" w:rsidP="00E20716">
      <w:pPr>
        <w:pStyle w:val="Gvdemetni251"/>
        <w:numPr>
          <w:ilvl w:val="0"/>
          <w:numId w:val="388"/>
        </w:numPr>
        <w:shd w:val="clear" w:color="auto" w:fill="auto"/>
        <w:tabs>
          <w:tab w:val="left" w:pos="1134"/>
          <w:tab w:val="left" w:pos="4106"/>
        </w:tabs>
        <w:spacing w:before="120" w:after="120" w:line="240" w:lineRule="auto"/>
        <w:ind w:left="1134" w:hanging="1134"/>
        <w:rPr>
          <w:color w:val="auto"/>
          <w:sz w:val="24"/>
          <w:szCs w:val="24"/>
        </w:rPr>
      </w:pPr>
      <w:r w:rsidRPr="00DE12A3">
        <w:rPr>
          <w:color w:val="auto"/>
          <w:sz w:val="24"/>
          <w:szCs w:val="24"/>
        </w:rPr>
        <w:t xml:space="preserve">Aylık olarak, </w:t>
      </w:r>
      <w:r w:rsidR="007E2039" w:rsidRPr="00DE12A3">
        <w:rPr>
          <w:color w:val="auto"/>
          <w:sz w:val="24"/>
          <w:szCs w:val="24"/>
        </w:rPr>
        <w:t xml:space="preserve">partikül </w:t>
      </w:r>
      <w:r w:rsidRPr="00DE12A3">
        <w:rPr>
          <w:color w:val="auto"/>
          <w:sz w:val="24"/>
          <w:szCs w:val="24"/>
        </w:rPr>
        <w:t xml:space="preserve">sayacına giren akış, kalibre edilmiş bir sayaçla kontrol </w:t>
      </w:r>
      <w:r w:rsidRPr="00DE12A3">
        <w:rPr>
          <w:color w:val="auto"/>
          <w:sz w:val="24"/>
          <w:szCs w:val="24"/>
        </w:rPr>
        <w:lastRenderedPageBreak/>
        <w:t xml:space="preserve">edildiğinde </w:t>
      </w:r>
      <w:r w:rsidR="007E2039" w:rsidRPr="00DE12A3">
        <w:rPr>
          <w:color w:val="auto"/>
          <w:sz w:val="24"/>
          <w:szCs w:val="24"/>
        </w:rPr>
        <w:t xml:space="preserve">partikül </w:t>
      </w:r>
      <w:r w:rsidRPr="00DE12A3">
        <w:rPr>
          <w:color w:val="auto"/>
          <w:sz w:val="24"/>
          <w:szCs w:val="24"/>
        </w:rPr>
        <w:t xml:space="preserve">sayacının nominal akış hızının </w:t>
      </w:r>
      <w:r w:rsidR="00F466F2" w:rsidRPr="00DE12A3">
        <w:rPr>
          <w:color w:val="auto"/>
          <w:sz w:val="24"/>
          <w:szCs w:val="24"/>
        </w:rPr>
        <w:t>%5</w:t>
      </w:r>
      <w:r w:rsidRPr="00DE12A3">
        <w:rPr>
          <w:color w:val="auto"/>
          <w:sz w:val="24"/>
          <w:szCs w:val="24"/>
        </w:rPr>
        <w:t>'i içinde ölçülen bir değer bildirmelidir.</w:t>
      </w:r>
    </w:p>
    <w:p w14:paraId="05E04669" w14:textId="3136393D" w:rsidR="002D7B36" w:rsidRPr="00DE12A3" w:rsidRDefault="00242DA0" w:rsidP="00E20716">
      <w:pPr>
        <w:pStyle w:val="Gvdemetni251"/>
        <w:numPr>
          <w:ilvl w:val="0"/>
          <w:numId w:val="388"/>
        </w:numPr>
        <w:shd w:val="clear" w:color="auto" w:fill="auto"/>
        <w:tabs>
          <w:tab w:val="left" w:pos="1134"/>
          <w:tab w:val="left" w:pos="2194"/>
          <w:tab w:val="left" w:pos="2458"/>
          <w:tab w:val="right" w:pos="5654"/>
        </w:tabs>
        <w:spacing w:before="120" w:after="120" w:line="240" w:lineRule="auto"/>
        <w:ind w:left="1134" w:hanging="1134"/>
        <w:rPr>
          <w:color w:val="auto"/>
          <w:sz w:val="24"/>
          <w:szCs w:val="24"/>
        </w:rPr>
      </w:pPr>
      <w:r w:rsidRPr="00DE12A3">
        <w:rPr>
          <w:color w:val="auto"/>
          <w:sz w:val="24"/>
          <w:szCs w:val="24"/>
        </w:rPr>
        <w:t xml:space="preserve">Her gün, </w:t>
      </w:r>
      <w:r w:rsidR="007E2039" w:rsidRPr="00DE12A3">
        <w:rPr>
          <w:color w:val="auto"/>
          <w:sz w:val="24"/>
          <w:szCs w:val="24"/>
        </w:rPr>
        <w:t xml:space="preserve">partikül </w:t>
      </w:r>
      <w:r w:rsidRPr="00DE12A3">
        <w:rPr>
          <w:color w:val="auto"/>
          <w:sz w:val="24"/>
          <w:szCs w:val="24"/>
        </w:rPr>
        <w:t xml:space="preserve">sayacının girişine en az EN 1822:2008 H13 sınıfı veya eşdeğer performansa sahip bir HEPA filtresinin uygulanmasından sonra, </w:t>
      </w:r>
      <w:r w:rsidR="007E2039" w:rsidRPr="00DE12A3">
        <w:rPr>
          <w:color w:val="auto"/>
          <w:sz w:val="24"/>
          <w:szCs w:val="24"/>
        </w:rPr>
        <w:t xml:space="preserve">partikül </w:t>
      </w:r>
      <w:r w:rsidRPr="00DE12A3">
        <w:rPr>
          <w:color w:val="auto"/>
          <w:sz w:val="24"/>
          <w:szCs w:val="24"/>
        </w:rPr>
        <w:t>sayacı ≤ 0,2 cm</w:t>
      </w:r>
      <w:r w:rsidRPr="00DE12A3">
        <w:rPr>
          <w:color w:val="auto"/>
          <w:sz w:val="24"/>
          <w:szCs w:val="24"/>
          <w:vertAlign w:val="superscript"/>
        </w:rPr>
        <w:t>-3</w:t>
      </w:r>
      <w:r w:rsidRPr="00DE12A3">
        <w:rPr>
          <w:color w:val="auto"/>
          <w:sz w:val="24"/>
          <w:szCs w:val="24"/>
        </w:rPr>
        <w:t>'lük bir konsantrasyon bildirmelidir.</w:t>
      </w:r>
      <w:r w:rsidR="00590D92" w:rsidRPr="00DE12A3">
        <w:rPr>
          <w:color w:val="auto"/>
          <w:sz w:val="24"/>
          <w:szCs w:val="24"/>
        </w:rPr>
        <w:t xml:space="preserve"> </w:t>
      </w:r>
      <w:r w:rsidRPr="00DE12A3">
        <w:rPr>
          <w:color w:val="auto"/>
          <w:sz w:val="24"/>
          <w:szCs w:val="24"/>
        </w:rPr>
        <w:t xml:space="preserve">Bu filtre çıkarıldığında </w:t>
      </w:r>
      <w:r w:rsidR="007E2039" w:rsidRPr="00DE12A3">
        <w:rPr>
          <w:color w:val="auto"/>
          <w:sz w:val="24"/>
          <w:szCs w:val="24"/>
        </w:rPr>
        <w:t xml:space="preserve">partikül </w:t>
      </w:r>
      <w:r w:rsidRPr="00DE12A3">
        <w:rPr>
          <w:color w:val="auto"/>
          <w:sz w:val="24"/>
          <w:szCs w:val="24"/>
        </w:rPr>
        <w:t>sayacı, ortam havası ile karşılaştığında ölçülen konsantrasyonda en az 100 partikül cm</w:t>
      </w:r>
      <w:r w:rsidRPr="00DE12A3">
        <w:rPr>
          <w:color w:val="auto"/>
          <w:sz w:val="24"/>
          <w:szCs w:val="24"/>
          <w:vertAlign w:val="superscript"/>
        </w:rPr>
        <w:t>-3</w:t>
      </w:r>
      <w:r w:rsidRPr="00DE12A3">
        <w:rPr>
          <w:color w:val="auto"/>
          <w:sz w:val="24"/>
          <w:szCs w:val="24"/>
        </w:rPr>
        <w:t>'lük bir artış göstermeli ve HEPA filtresi yeniden takıldığında ≤ 0,2 cm</w:t>
      </w:r>
      <w:r w:rsidRPr="00DE12A3">
        <w:rPr>
          <w:color w:val="auto"/>
          <w:sz w:val="24"/>
          <w:szCs w:val="24"/>
          <w:vertAlign w:val="superscript"/>
        </w:rPr>
        <w:t>-3</w:t>
      </w:r>
      <w:r w:rsidRPr="00DE12A3">
        <w:rPr>
          <w:color w:val="auto"/>
          <w:sz w:val="24"/>
          <w:szCs w:val="24"/>
        </w:rPr>
        <w:t>'e bir geri dönüş göstermelidir.</w:t>
      </w:r>
    </w:p>
    <w:p w14:paraId="07F9EA5D" w14:textId="77777777" w:rsidR="002D7B36" w:rsidRPr="00DE12A3" w:rsidRDefault="00242DA0" w:rsidP="00E20716">
      <w:pPr>
        <w:pStyle w:val="Gvdemetni251"/>
        <w:numPr>
          <w:ilvl w:val="0"/>
          <w:numId w:val="388"/>
        </w:numPr>
        <w:shd w:val="clear" w:color="auto" w:fill="auto"/>
        <w:tabs>
          <w:tab w:val="left" w:pos="1134"/>
          <w:tab w:val="left" w:pos="1751"/>
          <w:tab w:val="left" w:pos="2194"/>
          <w:tab w:val="left" w:pos="2458"/>
          <w:tab w:val="left" w:pos="3465"/>
          <w:tab w:val="right" w:pos="5654"/>
        </w:tabs>
        <w:spacing w:before="120" w:after="120" w:line="240" w:lineRule="auto"/>
        <w:ind w:left="1134" w:hanging="1134"/>
        <w:rPr>
          <w:color w:val="auto"/>
          <w:sz w:val="24"/>
          <w:szCs w:val="24"/>
        </w:rPr>
      </w:pPr>
      <w:r w:rsidRPr="00DE12A3">
        <w:rPr>
          <w:color w:val="auto"/>
          <w:sz w:val="24"/>
          <w:szCs w:val="24"/>
        </w:rPr>
        <w:t>Her test başlamadan önce, ölçüm sisteminin, sistemde kullanıldığı durumlarda buharlaşma borusunun doğru çalışma sıcaklığına ulaştığını gösterdiği doğrulanmalıdır.</w:t>
      </w:r>
    </w:p>
    <w:p w14:paraId="19A0AF72" w14:textId="77777777" w:rsidR="002D7B36" w:rsidRPr="00DE12A3" w:rsidRDefault="00242DA0" w:rsidP="00E20716">
      <w:pPr>
        <w:pStyle w:val="Gvdemetni251"/>
        <w:numPr>
          <w:ilvl w:val="0"/>
          <w:numId w:val="388"/>
        </w:numPr>
        <w:shd w:val="clear" w:color="auto" w:fill="auto"/>
        <w:tabs>
          <w:tab w:val="left" w:pos="1134"/>
          <w:tab w:val="left" w:pos="2194"/>
          <w:tab w:val="left" w:pos="2458"/>
          <w:tab w:val="left" w:pos="3465"/>
          <w:tab w:val="right" w:pos="5654"/>
        </w:tabs>
        <w:spacing w:before="120" w:after="120" w:line="240" w:lineRule="auto"/>
        <w:ind w:left="1134" w:hanging="1134"/>
        <w:rPr>
          <w:color w:val="auto"/>
          <w:sz w:val="24"/>
          <w:szCs w:val="24"/>
        </w:rPr>
      </w:pPr>
      <w:r w:rsidRPr="00DE12A3">
        <w:rPr>
          <w:color w:val="auto"/>
          <w:sz w:val="24"/>
          <w:szCs w:val="24"/>
        </w:rPr>
        <w:t>Her test başlamadan önce, ölçüm sisteminin, seyreltici PND</w:t>
      </w:r>
      <w:r w:rsidRPr="00DE12A3">
        <w:rPr>
          <w:color w:val="auto"/>
          <w:sz w:val="24"/>
          <w:szCs w:val="24"/>
          <w:vertAlign w:val="subscript"/>
        </w:rPr>
        <w:t>1</w:t>
      </w:r>
      <w:r w:rsidRPr="00DE12A3">
        <w:rPr>
          <w:color w:val="auto"/>
          <w:sz w:val="24"/>
          <w:szCs w:val="24"/>
        </w:rPr>
        <w:t>'in doğru çalışma sıcaklığına ulaştığını gösterdiği doğrulanmalıdır.</w:t>
      </w:r>
    </w:p>
    <w:p w14:paraId="44775F71" w14:textId="77777777" w:rsidR="002D7B36" w:rsidRPr="00DE12A3" w:rsidRDefault="002D7B36" w:rsidP="00C917D6">
      <w:pPr>
        <w:pStyle w:val="Gvdemetni251"/>
        <w:shd w:val="clear" w:color="auto" w:fill="auto"/>
        <w:tabs>
          <w:tab w:val="left" w:pos="1751"/>
          <w:tab w:val="left" w:pos="2194"/>
          <w:tab w:val="left" w:pos="2458"/>
          <w:tab w:val="left" w:pos="3465"/>
          <w:tab w:val="right" w:pos="5654"/>
        </w:tabs>
        <w:spacing w:before="120" w:after="120" w:line="240" w:lineRule="auto"/>
        <w:ind w:left="1134" w:hanging="1134"/>
        <w:rPr>
          <w:color w:val="auto"/>
          <w:sz w:val="24"/>
          <w:szCs w:val="24"/>
        </w:rPr>
      </w:pPr>
    </w:p>
    <w:p w14:paraId="32953962" w14:textId="77777777" w:rsidR="002D7B36" w:rsidRPr="00DE12A3" w:rsidRDefault="002D7B36" w:rsidP="00C917D6">
      <w:pPr>
        <w:pStyle w:val="Gvdemetni251"/>
        <w:shd w:val="clear" w:color="auto" w:fill="auto"/>
        <w:tabs>
          <w:tab w:val="left" w:pos="1751"/>
          <w:tab w:val="left" w:pos="2194"/>
          <w:tab w:val="left" w:pos="2458"/>
          <w:tab w:val="left" w:pos="3465"/>
          <w:tab w:val="right" w:pos="5654"/>
        </w:tabs>
        <w:spacing w:before="120" w:after="120" w:line="240" w:lineRule="auto"/>
        <w:ind w:left="1134" w:hanging="1134"/>
        <w:rPr>
          <w:color w:val="auto"/>
          <w:sz w:val="24"/>
          <w:szCs w:val="24"/>
        </w:rPr>
      </w:pPr>
    </w:p>
    <w:p w14:paraId="21C73B72" w14:textId="77777777" w:rsidR="002D7B36" w:rsidRPr="00DE12A3" w:rsidRDefault="002D7B36" w:rsidP="00C917D6">
      <w:pPr>
        <w:pStyle w:val="Gvdemetni251"/>
        <w:shd w:val="clear" w:color="auto" w:fill="auto"/>
        <w:tabs>
          <w:tab w:val="left" w:pos="1751"/>
          <w:tab w:val="left" w:pos="2194"/>
          <w:tab w:val="left" w:pos="2458"/>
          <w:tab w:val="left" w:pos="3465"/>
          <w:tab w:val="right" w:pos="5654"/>
        </w:tabs>
        <w:spacing w:before="120" w:after="120" w:line="240" w:lineRule="auto"/>
        <w:ind w:left="1134" w:hanging="1134"/>
        <w:rPr>
          <w:color w:val="auto"/>
          <w:sz w:val="24"/>
          <w:szCs w:val="24"/>
        </w:rPr>
      </w:pPr>
    </w:p>
    <w:p w14:paraId="7C92FBD1" w14:textId="599C9ED3" w:rsidR="00D27F95" w:rsidRPr="00DE12A3" w:rsidRDefault="00D27F95">
      <w:pPr>
        <w:widowControl/>
        <w:rPr>
          <w:rFonts w:eastAsia="Times New Roman" w:cs="Times New Roman"/>
          <w:color w:val="auto"/>
          <w:spacing w:val="3"/>
          <w:sz w:val="20"/>
          <w:szCs w:val="20"/>
        </w:rPr>
      </w:pPr>
      <w:r w:rsidRPr="00DE12A3">
        <w:rPr>
          <w:color w:val="auto"/>
          <w:sz w:val="20"/>
          <w:szCs w:val="20"/>
        </w:rPr>
        <w:br w:type="page"/>
      </w:r>
    </w:p>
    <w:p w14:paraId="30326B71" w14:textId="77777777" w:rsidR="002D7B36" w:rsidRPr="00DE12A3" w:rsidRDefault="00242DA0" w:rsidP="00D27F95">
      <w:pPr>
        <w:pStyle w:val="Balk2"/>
        <w:rPr>
          <w:color w:val="auto"/>
        </w:rPr>
      </w:pPr>
      <w:r w:rsidRPr="00DE12A3">
        <w:rPr>
          <w:color w:val="auto"/>
        </w:rPr>
        <w:lastRenderedPageBreak/>
        <w:t>2. Açıklayıcı Ek</w:t>
      </w:r>
    </w:p>
    <w:p w14:paraId="19508E91" w14:textId="77777777" w:rsidR="002D7B36" w:rsidRPr="00DE12A3" w:rsidRDefault="00242DA0" w:rsidP="00C917D6">
      <w:pPr>
        <w:pStyle w:val="Gvdemetni251"/>
        <w:shd w:val="clear" w:color="auto" w:fill="auto"/>
        <w:spacing w:before="120" w:after="120" w:line="240" w:lineRule="auto"/>
        <w:ind w:left="709" w:hanging="709"/>
        <w:jc w:val="center"/>
        <w:rPr>
          <w:b/>
          <w:bCs/>
          <w:color w:val="auto"/>
          <w:sz w:val="20"/>
          <w:szCs w:val="20"/>
        </w:rPr>
      </w:pPr>
      <w:r w:rsidRPr="00DE12A3">
        <w:rPr>
          <w:b/>
          <w:bCs/>
          <w:color w:val="auto"/>
          <w:sz w:val="20"/>
          <w:szCs w:val="20"/>
        </w:rPr>
        <w:t xml:space="preserve">Ekipmanlar ve yardımcı cihazlar için montaj </w:t>
      </w:r>
      <w:r w:rsidR="0053289F" w:rsidRPr="00DE12A3">
        <w:rPr>
          <w:b/>
          <w:bCs/>
          <w:color w:val="auto"/>
          <w:sz w:val="20"/>
          <w:szCs w:val="20"/>
        </w:rPr>
        <w:t>gereklilikleri</w:t>
      </w:r>
    </w:p>
    <w:tbl>
      <w:tblPr>
        <w:tblW w:w="8376"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888"/>
        <w:gridCol w:w="5971"/>
        <w:gridCol w:w="1517"/>
      </w:tblGrid>
      <w:tr w:rsidR="00DE12A3" w:rsidRPr="00DE12A3" w14:paraId="4CDDC11E" w14:textId="77777777" w:rsidTr="00852D26">
        <w:trPr>
          <w:trHeight w:hRule="exact" w:val="418"/>
        </w:trPr>
        <w:tc>
          <w:tcPr>
            <w:tcW w:w="888" w:type="dxa"/>
            <w:shd w:val="clear" w:color="auto" w:fill="FFFFFF"/>
          </w:tcPr>
          <w:p w14:paraId="427A1336" w14:textId="77777777" w:rsidR="002D7B36" w:rsidRPr="00DE12A3" w:rsidRDefault="00242DA0" w:rsidP="00C917D6">
            <w:pPr>
              <w:spacing w:before="120" w:after="120"/>
              <w:ind w:left="709" w:hanging="709"/>
              <w:jc w:val="both"/>
              <w:rPr>
                <w:rFonts w:cs="Times New Roman"/>
                <w:color w:val="auto"/>
              </w:rPr>
            </w:pPr>
            <w:r w:rsidRPr="00DE12A3">
              <w:rPr>
                <w:rFonts w:cs="Times New Roman"/>
                <w:color w:val="auto"/>
              </w:rPr>
              <w:t>Sayı</w:t>
            </w:r>
          </w:p>
        </w:tc>
        <w:tc>
          <w:tcPr>
            <w:tcW w:w="5971" w:type="dxa"/>
            <w:shd w:val="clear" w:color="auto" w:fill="FFFFFF"/>
          </w:tcPr>
          <w:p w14:paraId="603FE3D8" w14:textId="77777777" w:rsidR="002D7B36" w:rsidRPr="00DE12A3" w:rsidRDefault="00242DA0" w:rsidP="00C917D6">
            <w:pPr>
              <w:spacing w:before="120" w:after="120"/>
              <w:ind w:left="709" w:hanging="709"/>
              <w:jc w:val="both"/>
              <w:rPr>
                <w:rFonts w:cs="Times New Roman"/>
                <w:color w:val="auto"/>
              </w:rPr>
            </w:pPr>
            <w:r w:rsidRPr="00DE12A3">
              <w:rPr>
                <w:rFonts w:cs="Times New Roman"/>
                <w:color w:val="auto"/>
              </w:rPr>
              <w:t>Ekipmanlar ve yardımcı cihazlar</w:t>
            </w:r>
          </w:p>
        </w:tc>
        <w:tc>
          <w:tcPr>
            <w:tcW w:w="1517" w:type="dxa"/>
            <w:shd w:val="clear" w:color="auto" w:fill="FFFFFF"/>
          </w:tcPr>
          <w:p w14:paraId="0E14BE86" w14:textId="77777777" w:rsidR="002D7B36" w:rsidRPr="00DE12A3" w:rsidRDefault="00242DA0" w:rsidP="00C917D6">
            <w:pPr>
              <w:spacing w:before="120" w:after="120"/>
              <w:ind w:left="709" w:hanging="709"/>
              <w:jc w:val="both"/>
              <w:rPr>
                <w:rFonts w:cs="Times New Roman"/>
                <w:color w:val="auto"/>
              </w:rPr>
            </w:pPr>
            <w:r w:rsidRPr="00DE12A3">
              <w:rPr>
                <w:rFonts w:cs="Times New Roman"/>
                <w:color w:val="auto"/>
              </w:rPr>
              <w:t>Emisyon testi için takılmış</w:t>
            </w:r>
          </w:p>
        </w:tc>
      </w:tr>
      <w:tr w:rsidR="00DE12A3" w:rsidRPr="00DE12A3" w14:paraId="507EFB98" w14:textId="77777777" w:rsidTr="00173FD1">
        <w:trPr>
          <w:trHeight w:val="2241"/>
        </w:trPr>
        <w:tc>
          <w:tcPr>
            <w:tcW w:w="888" w:type="dxa"/>
            <w:shd w:val="clear" w:color="auto" w:fill="FFFFFF"/>
          </w:tcPr>
          <w:p w14:paraId="72467CB4" w14:textId="77777777" w:rsidR="00852D26" w:rsidRPr="00DE12A3" w:rsidRDefault="00852D26" w:rsidP="00C917D6">
            <w:pPr>
              <w:pStyle w:val="Gvdemetni361"/>
              <w:shd w:val="clear" w:color="auto" w:fill="auto"/>
              <w:spacing w:before="120" w:after="120" w:line="240" w:lineRule="auto"/>
              <w:ind w:left="709" w:hanging="709"/>
              <w:rPr>
                <w:color w:val="auto"/>
                <w:sz w:val="24"/>
                <w:szCs w:val="24"/>
              </w:rPr>
            </w:pPr>
            <w:r w:rsidRPr="00DE12A3">
              <w:rPr>
                <w:rStyle w:val="Gvdemetni367pt"/>
                <w:color w:val="auto"/>
                <w:sz w:val="24"/>
                <w:szCs w:val="24"/>
              </w:rPr>
              <w:t>1</w:t>
            </w:r>
          </w:p>
        </w:tc>
        <w:tc>
          <w:tcPr>
            <w:tcW w:w="5971" w:type="dxa"/>
            <w:shd w:val="clear" w:color="auto" w:fill="FFFFFF"/>
          </w:tcPr>
          <w:p w14:paraId="152AF94F" w14:textId="77777777" w:rsidR="00852D26" w:rsidRPr="00DE12A3" w:rsidRDefault="00852D26" w:rsidP="00C917D6">
            <w:pPr>
              <w:spacing w:before="120" w:after="120"/>
              <w:ind w:left="709" w:hanging="709"/>
              <w:jc w:val="both"/>
              <w:rPr>
                <w:rFonts w:cs="Times New Roman"/>
                <w:color w:val="auto"/>
              </w:rPr>
            </w:pPr>
            <w:r w:rsidRPr="00DE12A3">
              <w:rPr>
                <w:rFonts w:cs="Times New Roman"/>
                <w:color w:val="auto"/>
              </w:rPr>
              <w:t>Giriş sistemi</w:t>
            </w:r>
          </w:p>
          <w:p w14:paraId="2CAAFF2D" w14:textId="77777777" w:rsidR="00852D26" w:rsidRPr="00DE12A3" w:rsidRDefault="00852D26" w:rsidP="00C917D6">
            <w:pPr>
              <w:spacing w:before="120" w:after="120"/>
              <w:ind w:left="709" w:hanging="709"/>
              <w:jc w:val="both"/>
              <w:rPr>
                <w:rFonts w:cs="Times New Roman"/>
                <w:color w:val="auto"/>
              </w:rPr>
            </w:pPr>
            <w:r w:rsidRPr="00DE12A3">
              <w:rPr>
                <w:rFonts w:cs="Times New Roman"/>
                <w:color w:val="auto"/>
              </w:rPr>
              <w:t>Giriş manifoldu</w:t>
            </w:r>
          </w:p>
          <w:p w14:paraId="370C3305" w14:textId="77777777" w:rsidR="00852D26" w:rsidRPr="00DE12A3" w:rsidRDefault="00852D26" w:rsidP="00C917D6">
            <w:pPr>
              <w:spacing w:before="120" w:after="120"/>
              <w:ind w:left="709" w:hanging="709"/>
              <w:jc w:val="both"/>
              <w:rPr>
                <w:rFonts w:cs="Times New Roman"/>
                <w:color w:val="auto"/>
              </w:rPr>
            </w:pPr>
            <w:r w:rsidRPr="00DE12A3">
              <w:rPr>
                <w:rFonts w:cs="Times New Roman"/>
                <w:color w:val="auto"/>
              </w:rPr>
              <w:t>Karter emisyon kontrol sistemi</w:t>
            </w:r>
          </w:p>
          <w:p w14:paraId="6A0E2034" w14:textId="77777777" w:rsidR="00852D26" w:rsidRPr="00DE12A3" w:rsidRDefault="00852D26" w:rsidP="00C917D6">
            <w:pPr>
              <w:spacing w:before="120" w:after="120"/>
              <w:ind w:left="709" w:hanging="709"/>
              <w:jc w:val="both"/>
              <w:rPr>
                <w:rFonts w:cs="Times New Roman"/>
                <w:color w:val="auto"/>
              </w:rPr>
            </w:pPr>
            <w:r w:rsidRPr="00DE12A3">
              <w:rPr>
                <w:rFonts w:cs="Times New Roman"/>
                <w:color w:val="auto"/>
              </w:rPr>
              <w:t>Hava sayacı</w:t>
            </w:r>
          </w:p>
          <w:p w14:paraId="3AF65F7B" w14:textId="77777777" w:rsidR="00852D26" w:rsidRPr="00DE12A3" w:rsidRDefault="00852D26" w:rsidP="00C917D6">
            <w:pPr>
              <w:spacing w:before="120" w:after="120"/>
              <w:ind w:left="709" w:hanging="709"/>
              <w:jc w:val="both"/>
              <w:rPr>
                <w:rFonts w:cs="Times New Roman"/>
                <w:color w:val="auto"/>
              </w:rPr>
            </w:pPr>
            <w:r w:rsidRPr="00DE12A3">
              <w:rPr>
                <w:rFonts w:cs="Times New Roman"/>
                <w:color w:val="auto"/>
              </w:rPr>
              <w:t>Hava filtresi</w:t>
            </w:r>
          </w:p>
          <w:p w14:paraId="18B9BD70" w14:textId="77777777" w:rsidR="00852D26" w:rsidRPr="00DE12A3" w:rsidRDefault="00852D26" w:rsidP="00C917D6">
            <w:pPr>
              <w:spacing w:before="120" w:after="120"/>
              <w:ind w:left="709" w:hanging="709"/>
              <w:jc w:val="both"/>
              <w:rPr>
                <w:rFonts w:cs="Times New Roman"/>
                <w:color w:val="auto"/>
              </w:rPr>
            </w:pPr>
            <w:r w:rsidRPr="00DE12A3">
              <w:rPr>
                <w:rFonts w:cs="Times New Roman"/>
                <w:color w:val="auto"/>
              </w:rPr>
              <w:t>Giriş susturucu</w:t>
            </w:r>
          </w:p>
        </w:tc>
        <w:tc>
          <w:tcPr>
            <w:tcW w:w="1517" w:type="dxa"/>
            <w:shd w:val="clear" w:color="auto" w:fill="FFFFFF"/>
          </w:tcPr>
          <w:p w14:paraId="28A53DAB" w14:textId="77777777" w:rsidR="00852D26" w:rsidRPr="00DE12A3" w:rsidRDefault="00852D26" w:rsidP="00C917D6">
            <w:pPr>
              <w:spacing w:before="120" w:after="120"/>
              <w:ind w:left="709" w:hanging="709"/>
              <w:jc w:val="both"/>
              <w:rPr>
                <w:rFonts w:cs="Times New Roman"/>
                <w:color w:val="auto"/>
              </w:rPr>
            </w:pPr>
          </w:p>
          <w:p w14:paraId="663B83A3" w14:textId="77777777" w:rsidR="00852D26" w:rsidRPr="00DE12A3" w:rsidRDefault="00852D26" w:rsidP="00C917D6">
            <w:pPr>
              <w:spacing w:before="120" w:after="120"/>
              <w:ind w:left="709" w:hanging="709"/>
              <w:jc w:val="both"/>
              <w:rPr>
                <w:rFonts w:cs="Times New Roman"/>
                <w:color w:val="auto"/>
              </w:rPr>
            </w:pPr>
            <w:r w:rsidRPr="00DE12A3">
              <w:rPr>
                <w:rFonts w:cs="Times New Roman"/>
                <w:color w:val="auto"/>
              </w:rPr>
              <w:t>Evet</w:t>
            </w:r>
          </w:p>
          <w:p w14:paraId="1435FF1A" w14:textId="77777777" w:rsidR="00852D26" w:rsidRPr="00DE12A3" w:rsidRDefault="00852D26" w:rsidP="00C917D6">
            <w:pPr>
              <w:spacing w:before="120" w:after="120"/>
              <w:ind w:left="709" w:hanging="709"/>
              <w:jc w:val="both"/>
              <w:rPr>
                <w:rFonts w:cs="Times New Roman"/>
                <w:color w:val="auto"/>
              </w:rPr>
            </w:pPr>
            <w:r w:rsidRPr="00DE12A3">
              <w:rPr>
                <w:rFonts w:cs="Times New Roman"/>
                <w:color w:val="auto"/>
              </w:rPr>
              <w:t>Evet</w:t>
            </w:r>
          </w:p>
          <w:p w14:paraId="768837B9" w14:textId="77777777" w:rsidR="00852D26" w:rsidRPr="00DE12A3" w:rsidRDefault="00852D26" w:rsidP="00C917D6">
            <w:pPr>
              <w:spacing w:before="120" w:after="120"/>
              <w:ind w:left="709" w:hanging="709"/>
              <w:jc w:val="both"/>
              <w:rPr>
                <w:rFonts w:cs="Times New Roman"/>
                <w:color w:val="auto"/>
              </w:rPr>
            </w:pPr>
            <w:r w:rsidRPr="00DE12A3">
              <w:rPr>
                <w:rFonts w:cs="Times New Roman"/>
                <w:color w:val="auto"/>
              </w:rPr>
              <w:t>Evet</w:t>
            </w:r>
          </w:p>
          <w:p w14:paraId="62CEA5A6" w14:textId="77777777" w:rsidR="00852D26" w:rsidRPr="00DE12A3" w:rsidRDefault="00852D26" w:rsidP="00C917D6">
            <w:pPr>
              <w:spacing w:before="120" w:after="120"/>
              <w:ind w:left="709" w:hanging="709"/>
              <w:jc w:val="both"/>
              <w:rPr>
                <w:rFonts w:cs="Times New Roman"/>
                <w:color w:val="auto"/>
              </w:rPr>
            </w:pPr>
            <w:r w:rsidRPr="00DE12A3">
              <w:rPr>
                <w:rFonts w:cs="Times New Roman"/>
                <w:color w:val="auto"/>
              </w:rPr>
              <w:t>Evet (</w:t>
            </w:r>
            <w:r w:rsidRPr="00DE12A3">
              <w:rPr>
                <w:rFonts w:cs="Times New Roman"/>
                <w:color w:val="auto"/>
                <w:vertAlign w:val="superscript"/>
              </w:rPr>
              <w:t>a</w:t>
            </w:r>
            <w:r w:rsidRPr="00DE12A3">
              <w:rPr>
                <w:rFonts w:cs="Times New Roman"/>
                <w:color w:val="auto"/>
              </w:rPr>
              <w:t>)</w:t>
            </w:r>
          </w:p>
          <w:p w14:paraId="2CB5AB72" w14:textId="77777777" w:rsidR="00852D26" w:rsidRPr="00DE12A3" w:rsidRDefault="00852D26" w:rsidP="00C917D6">
            <w:pPr>
              <w:spacing w:before="120" w:after="120"/>
              <w:ind w:left="709" w:hanging="709"/>
              <w:jc w:val="both"/>
              <w:rPr>
                <w:rFonts w:cs="Times New Roman"/>
                <w:color w:val="auto"/>
              </w:rPr>
            </w:pPr>
            <w:r w:rsidRPr="00DE12A3">
              <w:rPr>
                <w:rFonts w:cs="Times New Roman"/>
                <w:color w:val="auto"/>
              </w:rPr>
              <w:t>Evet (</w:t>
            </w:r>
            <w:r w:rsidRPr="00DE12A3">
              <w:rPr>
                <w:rFonts w:cs="Times New Roman"/>
                <w:color w:val="auto"/>
                <w:vertAlign w:val="superscript"/>
              </w:rPr>
              <w:t>a</w:t>
            </w:r>
            <w:r w:rsidRPr="00DE12A3">
              <w:rPr>
                <w:rFonts w:cs="Times New Roman"/>
                <w:color w:val="auto"/>
              </w:rPr>
              <w:t>)</w:t>
            </w:r>
          </w:p>
        </w:tc>
      </w:tr>
      <w:tr w:rsidR="00DE12A3" w:rsidRPr="00DE12A3" w14:paraId="3DEAEF17" w14:textId="77777777" w:rsidTr="00173FD1">
        <w:trPr>
          <w:trHeight w:val="2980"/>
        </w:trPr>
        <w:tc>
          <w:tcPr>
            <w:tcW w:w="888" w:type="dxa"/>
            <w:shd w:val="clear" w:color="auto" w:fill="FFFFFF"/>
          </w:tcPr>
          <w:p w14:paraId="3286E57D" w14:textId="77777777" w:rsidR="00173FD1" w:rsidRPr="00DE12A3" w:rsidRDefault="00173FD1" w:rsidP="00C917D6">
            <w:pPr>
              <w:pStyle w:val="Gvdemetni361"/>
              <w:shd w:val="clear" w:color="auto" w:fill="auto"/>
              <w:spacing w:before="120" w:after="120" w:line="240" w:lineRule="auto"/>
              <w:ind w:left="709" w:hanging="709"/>
              <w:rPr>
                <w:color w:val="auto"/>
                <w:sz w:val="24"/>
                <w:szCs w:val="24"/>
              </w:rPr>
            </w:pPr>
            <w:r w:rsidRPr="00DE12A3">
              <w:rPr>
                <w:rStyle w:val="Gvdemetni3675pt5"/>
                <w:color w:val="auto"/>
                <w:sz w:val="24"/>
                <w:szCs w:val="24"/>
              </w:rPr>
              <w:t>2</w:t>
            </w:r>
          </w:p>
        </w:tc>
        <w:tc>
          <w:tcPr>
            <w:tcW w:w="5971" w:type="dxa"/>
            <w:shd w:val="clear" w:color="auto" w:fill="FFFFFF"/>
          </w:tcPr>
          <w:p w14:paraId="7C1EBC21" w14:textId="77777777" w:rsidR="00173FD1" w:rsidRPr="00DE12A3" w:rsidRDefault="00173FD1" w:rsidP="00C917D6">
            <w:pPr>
              <w:spacing w:before="120" w:after="120"/>
              <w:ind w:left="709" w:hanging="709"/>
              <w:jc w:val="both"/>
              <w:rPr>
                <w:rFonts w:cs="Times New Roman"/>
                <w:color w:val="auto"/>
              </w:rPr>
            </w:pPr>
            <w:r w:rsidRPr="00DE12A3">
              <w:rPr>
                <w:rFonts w:cs="Times New Roman"/>
                <w:color w:val="auto"/>
              </w:rPr>
              <w:t>Egzoz sistemi</w:t>
            </w:r>
          </w:p>
          <w:p w14:paraId="42244862" w14:textId="77777777" w:rsidR="00173FD1" w:rsidRPr="00DE12A3" w:rsidRDefault="00173FD1" w:rsidP="00C917D6">
            <w:pPr>
              <w:spacing w:before="120" w:after="120"/>
              <w:ind w:left="709" w:hanging="709"/>
              <w:jc w:val="both"/>
              <w:rPr>
                <w:rFonts w:cs="Times New Roman"/>
                <w:color w:val="auto"/>
              </w:rPr>
            </w:pPr>
            <w:r w:rsidRPr="00DE12A3">
              <w:rPr>
                <w:rFonts w:cs="Times New Roman"/>
                <w:color w:val="auto"/>
              </w:rPr>
              <w:t xml:space="preserve">Egzoz </w:t>
            </w:r>
            <w:r w:rsidR="007E2039" w:rsidRPr="00DE12A3">
              <w:rPr>
                <w:rFonts w:cs="Times New Roman"/>
                <w:color w:val="auto"/>
              </w:rPr>
              <w:t xml:space="preserve">arıtma </w:t>
            </w:r>
            <w:r w:rsidRPr="00DE12A3">
              <w:rPr>
                <w:rFonts w:cs="Times New Roman"/>
                <w:color w:val="auto"/>
              </w:rPr>
              <w:t>sistemi</w:t>
            </w:r>
          </w:p>
          <w:p w14:paraId="04F99DF7" w14:textId="77777777" w:rsidR="00173FD1" w:rsidRPr="00DE12A3" w:rsidRDefault="00173FD1" w:rsidP="00C917D6">
            <w:pPr>
              <w:spacing w:before="120" w:after="120"/>
              <w:ind w:left="709" w:hanging="709"/>
              <w:jc w:val="both"/>
              <w:rPr>
                <w:rFonts w:cs="Times New Roman"/>
                <w:color w:val="auto"/>
              </w:rPr>
            </w:pPr>
            <w:r w:rsidRPr="00DE12A3">
              <w:rPr>
                <w:rFonts w:cs="Times New Roman"/>
                <w:color w:val="auto"/>
              </w:rPr>
              <w:t>Egzoz manifoldu</w:t>
            </w:r>
          </w:p>
          <w:p w14:paraId="772DAF58" w14:textId="77777777" w:rsidR="00173FD1" w:rsidRPr="00DE12A3" w:rsidRDefault="00173FD1" w:rsidP="00C917D6">
            <w:pPr>
              <w:spacing w:before="120" w:after="120"/>
              <w:ind w:left="709" w:hanging="709"/>
              <w:jc w:val="both"/>
              <w:rPr>
                <w:rFonts w:cs="Times New Roman"/>
                <w:color w:val="auto"/>
              </w:rPr>
            </w:pPr>
            <w:r w:rsidRPr="00DE12A3">
              <w:rPr>
                <w:rFonts w:cs="Times New Roman"/>
                <w:color w:val="auto"/>
              </w:rPr>
              <w:t>Bağlantı boruları</w:t>
            </w:r>
          </w:p>
          <w:p w14:paraId="2EACC007" w14:textId="77777777" w:rsidR="00173FD1" w:rsidRPr="00DE12A3" w:rsidRDefault="00173FD1" w:rsidP="00C917D6">
            <w:pPr>
              <w:spacing w:before="120" w:after="120"/>
              <w:ind w:left="709" w:hanging="709"/>
              <w:jc w:val="both"/>
              <w:rPr>
                <w:rFonts w:cs="Times New Roman"/>
                <w:color w:val="auto"/>
              </w:rPr>
            </w:pPr>
            <w:r w:rsidRPr="00DE12A3">
              <w:rPr>
                <w:rFonts w:cs="Times New Roman"/>
                <w:color w:val="auto"/>
              </w:rPr>
              <w:t>Susturucu</w:t>
            </w:r>
          </w:p>
          <w:p w14:paraId="344F862A" w14:textId="77777777" w:rsidR="00173FD1" w:rsidRPr="00DE12A3" w:rsidRDefault="00173FD1" w:rsidP="00C917D6">
            <w:pPr>
              <w:spacing w:before="120" w:after="120"/>
              <w:ind w:left="709" w:hanging="709"/>
              <w:jc w:val="both"/>
              <w:rPr>
                <w:rFonts w:cs="Times New Roman"/>
                <w:color w:val="auto"/>
              </w:rPr>
            </w:pPr>
            <w:r w:rsidRPr="00DE12A3">
              <w:rPr>
                <w:rFonts w:cs="Times New Roman"/>
                <w:color w:val="auto"/>
              </w:rPr>
              <w:t>Kuyruk borusu</w:t>
            </w:r>
          </w:p>
          <w:p w14:paraId="69DAC6E2" w14:textId="77777777" w:rsidR="00173FD1" w:rsidRPr="00DE12A3" w:rsidRDefault="00173FD1" w:rsidP="00C917D6">
            <w:pPr>
              <w:spacing w:before="120" w:after="120"/>
              <w:ind w:left="709" w:hanging="709"/>
              <w:jc w:val="both"/>
              <w:rPr>
                <w:rFonts w:cs="Times New Roman"/>
                <w:color w:val="auto"/>
              </w:rPr>
            </w:pPr>
            <w:r w:rsidRPr="00DE12A3">
              <w:rPr>
                <w:rFonts w:cs="Times New Roman"/>
                <w:color w:val="auto"/>
              </w:rPr>
              <w:t>Egzoz freni</w:t>
            </w:r>
          </w:p>
          <w:p w14:paraId="090CACD6" w14:textId="77777777" w:rsidR="00173FD1" w:rsidRPr="00DE12A3" w:rsidRDefault="00173FD1" w:rsidP="00C917D6">
            <w:pPr>
              <w:spacing w:before="120" w:after="120"/>
              <w:ind w:left="709" w:hanging="709"/>
              <w:jc w:val="both"/>
              <w:rPr>
                <w:rFonts w:cs="Times New Roman"/>
                <w:color w:val="auto"/>
              </w:rPr>
            </w:pPr>
            <w:r w:rsidRPr="00DE12A3">
              <w:rPr>
                <w:rFonts w:cs="Times New Roman"/>
                <w:color w:val="auto"/>
              </w:rPr>
              <w:t>Basınç şarj cihazı</w:t>
            </w:r>
          </w:p>
        </w:tc>
        <w:tc>
          <w:tcPr>
            <w:tcW w:w="1517" w:type="dxa"/>
            <w:shd w:val="clear" w:color="auto" w:fill="FFFFFF"/>
          </w:tcPr>
          <w:p w14:paraId="464F5453" w14:textId="77777777" w:rsidR="00173FD1" w:rsidRPr="00DE12A3" w:rsidRDefault="00173FD1" w:rsidP="00C917D6">
            <w:pPr>
              <w:spacing w:before="120" w:after="120"/>
              <w:ind w:left="709" w:hanging="709"/>
              <w:jc w:val="both"/>
              <w:rPr>
                <w:rFonts w:cs="Times New Roman"/>
                <w:color w:val="auto"/>
              </w:rPr>
            </w:pPr>
          </w:p>
          <w:p w14:paraId="6C62D209" w14:textId="77777777" w:rsidR="00173FD1" w:rsidRPr="00DE12A3" w:rsidRDefault="00173FD1" w:rsidP="00C917D6">
            <w:pPr>
              <w:spacing w:before="120" w:after="120"/>
              <w:ind w:left="709" w:hanging="709"/>
              <w:jc w:val="both"/>
              <w:rPr>
                <w:rFonts w:cs="Times New Roman"/>
                <w:color w:val="auto"/>
              </w:rPr>
            </w:pPr>
            <w:r w:rsidRPr="00DE12A3">
              <w:rPr>
                <w:rFonts w:cs="Times New Roman"/>
                <w:color w:val="auto"/>
              </w:rPr>
              <w:t>Evet</w:t>
            </w:r>
          </w:p>
          <w:p w14:paraId="262093F7" w14:textId="77777777" w:rsidR="00173FD1" w:rsidRPr="00DE12A3" w:rsidRDefault="00173FD1" w:rsidP="00C917D6">
            <w:pPr>
              <w:spacing w:before="120" w:after="120"/>
              <w:ind w:left="709" w:hanging="709"/>
              <w:jc w:val="both"/>
              <w:rPr>
                <w:rFonts w:cs="Times New Roman"/>
                <w:color w:val="auto"/>
              </w:rPr>
            </w:pPr>
            <w:r w:rsidRPr="00DE12A3">
              <w:rPr>
                <w:rFonts w:cs="Times New Roman"/>
                <w:color w:val="auto"/>
              </w:rPr>
              <w:t>Evet</w:t>
            </w:r>
          </w:p>
          <w:p w14:paraId="4AD92566" w14:textId="77777777" w:rsidR="00173FD1" w:rsidRPr="00DE12A3" w:rsidRDefault="00173FD1" w:rsidP="00C917D6">
            <w:pPr>
              <w:spacing w:before="120" w:after="120"/>
              <w:ind w:left="709" w:hanging="709"/>
              <w:jc w:val="both"/>
              <w:rPr>
                <w:rFonts w:cs="Times New Roman"/>
                <w:color w:val="auto"/>
              </w:rPr>
            </w:pPr>
            <w:r w:rsidRPr="00DE12A3">
              <w:rPr>
                <w:rFonts w:cs="Times New Roman"/>
                <w:color w:val="auto"/>
              </w:rPr>
              <w:t>Evet (</w:t>
            </w:r>
            <w:r w:rsidRPr="00DE12A3">
              <w:rPr>
                <w:rFonts w:cs="Times New Roman"/>
                <w:color w:val="auto"/>
                <w:vertAlign w:val="superscript"/>
              </w:rPr>
              <w:t>b</w:t>
            </w:r>
            <w:r w:rsidRPr="00DE12A3">
              <w:rPr>
                <w:rFonts w:cs="Times New Roman"/>
                <w:color w:val="auto"/>
              </w:rPr>
              <w:t>)</w:t>
            </w:r>
          </w:p>
          <w:p w14:paraId="077C9C84" w14:textId="77777777" w:rsidR="00173FD1" w:rsidRPr="00DE12A3" w:rsidRDefault="00173FD1" w:rsidP="00C917D6">
            <w:pPr>
              <w:spacing w:before="120" w:after="120"/>
              <w:ind w:left="709" w:hanging="709"/>
              <w:jc w:val="both"/>
              <w:rPr>
                <w:rFonts w:cs="Times New Roman"/>
                <w:color w:val="auto"/>
              </w:rPr>
            </w:pPr>
            <w:r w:rsidRPr="00DE12A3">
              <w:rPr>
                <w:rFonts w:cs="Times New Roman"/>
                <w:color w:val="auto"/>
              </w:rPr>
              <w:t>Evet (</w:t>
            </w:r>
            <w:r w:rsidRPr="00DE12A3">
              <w:rPr>
                <w:rFonts w:cs="Times New Roman"/>
                <w:color w:val="auto"/>
                <w:vertAlign w:val="superscript"/>
              </w:rPr>
              <w:t>b</w:t>
            </w:r>
            <w:r w:rsidRPr="00DE12A3">
              <w:rPr>
                <w:rFonts w:cs="Times New Roman"/>
                <w:color w:val="auto"/>
              </w:rPr>
              <w:t>)</w:t>
            </w:r>
          </w:p>
          <w:p w14:paraId="528D1AFD" w14:textId="77777777" w:rsidR="00173FD1" w:rsidRPr="00DE12A3" w:rsidRDefault="00173FD1" w:rsidP="00C917D6">
            <w:pPr>
              <w:spacing w:before="120" w:after="120"/>
              <w:ind w:left="709" w:hanging="709"/>
              <w:jc w:val="both"/>
              <w:rPr>
                <w:rFonts w:cs="Times New Roman"/>
                <w:color w:val="auto"/>
              </w:rPr>
            </w:pPr>
            <w:r w:rsidRPr="00DE12A3">
              <w:rPr>
                <w:rFonts w:cs="Times New Roman"/>
                <w:color w:val="auto"/>
              </w:rPr>
              <w:t>Evet (</w:t>
            </w:r>
            <w:r w:rsidRPr="00DE12A3">
              <w:rPr>
                <w:rFonts w:cs="Times New Roman"/>
                <w:color w:val="auto"/>
                <w:vertAlign w:val="superscript"/>
              </w:rPr>
              <w:t>b</w:t>
            </w:r>
            <w:r w:rsidRPr="00DE12A3">
              <w:rPr>
                <w:rFonts w:cs="Times New Roman"/>
                <w:color w:val="auto"/>
              </w:rPr>
              <w:t>)</w:t>
            </w:r>
          </w:p>
          <w:p w14:paraId="0A514E1B" w14:textId="77777777" w:rsidR="00173FD1" w:rsidRPr="00DE12A3" w:rsidRDefault="00173FD1" w:rsidP="00C917D6">
            <w:pPr>
              <w:spacing w:before="120" w:after="120"/>
              <w:ind w:left="709" w:hanging="709"/>
              <w:jc w:val="both"/>
              <w:rPr>
                <w:rFonts w:cs="Times New Roman"/>
                <w:color w:val="auto"/>
              </w:rPr>
            </w:pPr>
            <w:r w:rsidRPr="00DE12A3">
              <w:rPr>
                <w:rFonts w:cs="Times New Roman"/>
                <w:color w:val="auto"/>
              </w:rPr>
              <w:t>Hayır (</w:t>
            </w:r>
            <w:r w:rsidRPr="00DE12A3">
              <w:rPr>
                <w:rFonts w:cs="Times New Roman"/>
                <w:color w:val="auto"/>
                <w:vertAlign w:val="superscript"/>
              </w:rPr>
              <w:t>c</w:t>
            </w:r>
            <w:r w:rsidRPr="00DE12A3">
              <w:rPr>
                <w:rFonts w:cs="Times New Roman"/>
                <w:color w:val="auto"/>
              </w:rPr>
              <w:t>)</w:t>
            </w:r>
          </w:p>
          <w:p w14:paraId="6C2E0E63" w14:textId="77777777" w:rsidR="00173FD1" w:rsidRPr="00DE12A3" w:rsidRDefault="00173FD1" w:rsidP="00C917D6">
            <w:pPr>
              <w:spacing w:before="120" w:after="120"/>
              <w:ind w:left="709" w:hanging="709"/>
              <w:jc w:val="both"/>
              <w:rPr>
                <w:rFonts w:cs="Times New Roman"/>
                <w:color w:val="auto"/>
              </w:rPr>
            </w:pPr>
            <w:r w:rsidRPr="00DE12A3">
              <w:rPr>
                <w:rFonts w:cs="Times New Roman"/>
                <w:color w:val="auto"/>
              </w:rPr>
              <w:t>Evet</w:t>
            </w:r>
          </w:p>
        </w:tc>
      </w:tr>
      <w:tr w:rsidR="00DE12A3" w:rsidRPr="00DE12A3" w14:paraId="5E239A57" w14:textId="77777777" w:rsidTr="00852D26">
        <w:trPr>
          <w:trHeight w:hRule="exact" w:val="384"/>
        </w:trPr>
        <w:tc>
          <w:tcPr>
            <w:tcW w:w="888" w:type="dxa"/>
            <w:shd w:val="clear" w:color="auto" w:fill="FFFFFF"/>
          </w:tcPr>
          <w:p w14:paraId="78E31A65" w14:textId="77777777" w:rsidR="002D7B36" w:rsidRPr="00DE12A3" w:rsidRDefault="00242DA0" w:rsidP="00C917D6">
            <w:pPr>
              <w:pStyle w:val="Gvdemetni361"/>
              <w:shd w:val="clear" w:color="auto" w:fill="auto"/>
              <w:spacing w:before="120" w:after="120" w:line="240" w:lineRule="auto"/>
              <w:ind w:left="709" w:hanging="709"/>
              <w:rPr>
                <w:color w:val="auto"/>
                <w:sz w:val="24"/>
                <w:szCs w:val="24"/>
              </w:rPr>
            </w:pPr>
            <w:r w:rsidRPr="00DE12A3">
              <w:rPr>
                <w:rStyle w:val="Gvdemetni367pt0ptbolukbraklyor"/>
                <w:rFonts w:eastAsia="Courier New"/>
                <w:color w:val="auto"/>
                <w:sz w:val="24"/>
                <w:szCs w:val="24"/>
              </w:rPr>
              <w:t>3</w:t>
            </w:r>
          </w:p>
        </w:tc>
        <w:tc>
          <w:tcPr>
            <w:tcW w:w="5971" w:type="dxa"/>
            <w:shd w:val="clear" w:color="auto" w:fill="FFFFFF"/>
          </w:tcPr>
          <w:p w14:paraId="3B789B1D" w14:textId="77777777" w:rsidR="002D7B36" w:rsidRPr="00DE12A3" w:rsidRDefault="00242DA0" w:rsidP="00C917D6">
            <w:pPr>
              <w:spacing w:before="120" w:after="120"/>
              <w:ind w:left="709" w:hanging="709"/>
              <w:jc w:val="both"/>
              <w:rPr>
                <w:rFonts w:cs="Times New Roman"/>
                <w:color w:val="auto"/>
              </w:rPr>
            </w:pPr>
            <w:r w:rsidRPr="00DE12A3">
              <w:rPr>
                <w:rFonts w:cs="Times New Roman"/>
                <w:color w:val="auto"/>
              </w:rPr>
              <w:t>Yakıt besleme pompası</w:t>
            </w:r>
          </w:p>
        </w:tc>
        <w:tc>
          <w:tcPr>
            <w:tcW w:w="1517" w:type="dxa"/>
            <w:shd w:val="clear" w:color="auto" w:fill="FFFFFF"/>
          </w:tcPr>
          <w:p w14:paraId="1CE37C48" w14:textId="77777777" w:rsidR="002D7B36" w:rsidRPr="00DE12A3" w:rsidRDefault="00242DA0" w:rsidP="00C917D6">
            <w:pPr>
              <w:spacing w:before="120" w:after="120"/>
              <w:ind w:left="709" w:hanging="709"/>
              <w:jc w:val="both"/>
              <w:rPr>
                <w:rFonts w:cs="Times New Roman"/>
                <w:color w:val="auto"/>
              </w:rPr>
            </w:pPr>
            <w:r w:rsidRPr="00DE12A3">
              <w:rPr>
                <w:rFonts w:cs="Times New Roman"/>
                <w:color w:val="auto"/>
              </w:rPr>
              <w:t>Evet (</w:t>
            </w:r>
            <w:r w:rsidRPr="00DE12A3">
              <w:rPr>
                <w:rFonts w:cs="Times New Roman"/>
                <w:color w:val="auto"/>
                <w:vertAlign w:val="superscript"/>
              </w:rPr>
              <w:t>d</w:t>
            </w:r>
            <w:r w:rsidRPr="00DE12A3">
              <w:rPr>
                <w:rFonts w:cs="Times New Roman"/>
                <w:color w:val="auto"/>
              </w:rPr>
              <w:t>)</w:t>
            </w:r>
          </w:p>
        </w:tc>
      </w:tr>
      <w:tr w:rsidR="00DE12A3" w:rsidRPr="00DE12A3" w14:paraId="60C60CA6" w14:textId="77777777" w:rsidTr="00173FD1">
        <w:trPr>
          <w:trHeight w:val="1487"/>
        </w:trPr>
        <w:tc>
          <w:tcPr>
            <w:tcW w:w="888" w:type="dxa"/>
            <w:shd w:val="clear" w:color="auto" w:fill="FFFFFF"/>
          </w:tcPr>
          <w:p w14:paraId="16E4E0B0" w14:textId="77777777" w:rsidR="00173FD1" w:rsidRPr="00DE12A3" w:rsidRDefault="00173FD1" w:rsidP="00C917D6">
            <w:pPr>
              <w:pStyle w:val="Gvdemetni361"/>
              <w:shd w:val="clear" w:color="auto" w:fill="auto"/>
              <w:spacing w:before="120" w:after="120" w:line="240" w:lineRule="auto"/>
              <w:ind w:left="709" w:hanging="709"/>
              <w:rPr>
                <w:color w:val="auto"/>
                <w:sz w:val="24"/>
                <w:szCs w:val="24"/>
              </w:rPr>
            </w:pPr>
            <w:r w:rsidRPr="00DE12A3">
              <w:rPr>
                <w:rStyle w:val="Gvdemetni367pt0ptbolukbraklyor"/>
                <w:rFonts w:eastAsia="Courier New"/>
                <w:color w:val="auto"/>
                <w:sz w:val="24"/>
                <w:szCs w:val="24"/>
              </w:rPr>
              <w:t>4</w:t>
            </w:r>
          </w:p>
        </w:tc>
        <w:tc>
          <w:tcPr>
            <w:tcW w:w="5971" w:type="dxa"/>
            <w:shd w:val="clear" w:color="auto" w:fill="FFFFFF"/>
          </w:tcPr>
          <w:p w14:paraId="658C74AF" w14:textId="77777777" w:rsidR="00173FD1" w:rsidRPr="00DE12A3" w:rsidRDefault="00173FD1" w:rsidP="00C917D6">
            <w:pPr>
              <w:spacing w:before="120" w:after="120"/>
              <w:ind w:left="709" w:hanging="709"/>
              <w:jc w:val="both"/>
              <w:rPr>
                <w:rFonts w:cs="Times New Roman"/>
                <w:color w:val="auto"/>
              </w:rPr>
            </w:pPr>
            <w:r w:rsidRPr="00DE12A3">
              <w:rPr>
                <w:rFonts w:cs="Times New Roman"/>
                <w:color w:val="auto"/>
              </w:rPr>
              <w:t>Yakıt enjeksiyon ekipmanları</w:t>
            </w:r>
          </w:p>
          <w:p w14:paraId="586558FB" w14:textId="77777777" w:rsidR="00173FD1" w:rsidRPr="00DE12A3" w:rsidRDefault="00173FD1" w:rsidP="00C917D6">
            <w:pPr>
              <w:spacing w:before="120" w:after="120"/>
              <w:ind w:left="709" w:hanging="709"/>
              <w:jc w:val="both"/>
              <w:rPr>
                <w:rFonts w:cs="Times New Roman"/>
                <w:color w:val="auto"/>
              </w:rPr>
            </w:pPr>
            <w:r w:rsidRPr="00DE12A3">
              <w:rPr>
                <w:rFonts w:cs="Times New Roman"/>
                <w:color w:val="auto"/>
              </w:rPr>
              <w:t>Ön filtre</w:t>
            </w:r>
          </w:p>
          <w:p w14:paraId="4313753E" w14:textId="77777777" w:rsidR="00173FD1" w:rsidRPr="00DE12A3" w:rsidRDefault="00173FD1" w:rsidP="00C917D6">
            <w:pPr>
              <w:spacing w:before="120" w:after="120"/>
              <w:ind w:left="709" w:hanging="709"/>
              <w:jc w:val="both"/>
              <w:rPr>
                <w:rFonts w:cs="Times New Roman"/>
                <w:color w:val="auto"/>
              </w:rPr>
            </w:pPr>
            <w:r w:rsidRPr="00DE12A3">
              <w:rPr>
                <w:rFonts w:cs="Times New Roman"/>
                <w:color w:val="auto"/>
              </w:rPr>
              <w:t>Filtre</w:t>
            </w:r>
          </w:p>
          <w:p w14:paraId="5C85A01E" w14:textId="77777777" w:rsidR="00173FD1" w:rsidRPr="00DE12A3" w:rsidRDefault="00173FD1" w:rsidP="00C917D6">
            <w:pPr>
              <w:spacing w:before="120" w:after="120"/>
              <w:ind w:left="709" w:hanging="709"/>
              <w:jc w:val="both"/>
              <w:rPr>
                <w:rFonts w:cs="Times New Roman"/>
                <w:color w:val="auto"/>
              </w:rPr>
            </w:pPr>
            <w:r w:rsidRPr="00DE12A3">
              <w:rPr>
                <w:rFonts w:cs="Times New Roman"/>
                <w:color w:val="auto"/>
              </w:rPr>
              <w:t>Pompa</w:t>
            </w:r>
          </w:p>
        </w:tc>
        <w:tc>
          <w:tcPr>
            <w:tcW w:w="1517" w:type="dxa"/>
            <w:shd w:val="clear" w:color="auto" w:fill="FFFFFF"/>
          </w:tcPr>
          <w:p w14:paraId="0D5C7B83" w14:textId="77777777" w:rsidR="00173FD1" w:rsidRPr="00DE12A3" w:rsidRDefault="00173FD1" w:rsidP="00C917D6">
            <w:pPr>
              <w:spacing w:before="120" w:after="120"/>
              <w:ind w:left="709" w:hanging="709"/>
              <w:jc w:val="both"/>
              <w:rPr>
                <w:rFonts w:cs="Times New Roman"/>
                <w:color w:val="auto"/>
              </w:rPr>
            </w:pPr>
          </w:p>
          <w:p w14:paraId="2FFB178C" w14:textId="77777777" w:rsidR="00173FD1" w:rsidRPr="00DE12A3" w:rsidRDefault="00173FD1" w:rsidP="00C917D6">
            <w:pPr>
              <w:spacing w:before="120" w:after="120"/>
              <w:ind w:left="709" w:hanging="709"/>
              <w:jc w:val="both"/>
              <w:rPr>
                <w:rFonts w:cs="Times New Roman"/>
                <w:color w:val="auto"/>
              </w:rPr>
            </w:pPr>
            <w:r w:rsidRPr="00DE12A3">
              <w:rPr>
                <w:rFonts w:cs="Times New Roman"/>
                <w:color w:val="auto"/>
              </w:rPr>
              <w:t>Evet</w:t>
            </w:r>
          </w:p>
          <w:p w14:paraId="4EC33039" w14:textId="77777777" w:rsidR="00173FD1" w:rsidRPr="00DE12A3" w:rsidRDefault="00173FD1" w:rsidP="00C917D6">
            <w:pPr>
              <w:spacing w:before="120" w:after="120"/>
              <w:ind w:left="709" w:hanging="709"/>
              <w:jc w:val="both"/>
              <w:rPr>
                <w:rFonts w:cs="Times New Roman"/>
                <w:color w:val="auto"/>
              </w:rPr>
            </w:pPr>
            <w:r w:rsidRPr="00DE12A3">
              <w:rPr>
                <w:rFonts w:cs="Times New Roman"/>
                <w:color w:val="auto"/>
              </w:rPr>
              <w:t>Evet</w:t>
            </w:r>
          </w:p>
          <w:p w14:paraId="311DD6CC" w14:textId="77777777" w:rsidR="00173FD1" w:rsidRPr="00DE12A3" w:rsidRDefault="00173FD1" w:rsidP="00C917D6">
            <w:pPr>
              <w:spacing w:before="120" w:after="120"/>
              <w:ind w:left="709" w:hanging="709"/>
              <w:jc w:val="both"/>
              <w:rPr>
                <w:rFonts w:cs="Times New Roman"/>
                <w:color w:val="auto"/>
              </w:rPr>
            </w:pPr>
            <w:r w:rsidRPr="00DE12A3">
              <w:rPr>
                <w:rFonts w:cs="Times New Roman"/>
                <w:color w:val="auto"/>
              </w:rPr>
              <w:t>Evet</w:t>
            </w:r>
          </w:p>
        </w:tc>
      </w:tr>
      <w:tr w:rsidR="00DE12A3" w:rsidRPr="00DE12A3" w14:paraId="5F20FA11" w14:textId="77777777" w:rsidTr="00173FD1">
        <w:trPr>
          <w:trHeight w:val="1867"/>
        </w:trPr>
        <w:tc>
          <w:tcPr>
            <w:tcW w:w="888" w:type="dxa"/>
            <w:shd w:val="clear" w:color="auto" w:fill="FFFFFF"/>
          </w:tcPr>
          <w:p w14:paraId="28E03384" w14:textId="77777777" w:rsidR="00173FD1" w:rsidRPr="00DE12A3" w:rsidRDefault="00173FD1" w:rsidP="00C917D6">
            <w:pPr>
              <w:pStyle w:val="Gvdemetni361"/>
              <w:shd w:val="clear" w:color="auto" w:fill="auto"/>
              <w:spacing w:before="120" w:after="120" w:line="240" w:lineRule="auto"/>
              <w:ind w:left="709" w:hanging="709"/>
              <w:rPr>
                <w:color w:val="auto"/>
                <w:sz w:val="24"/>
                <w:szCs w:val="24"/>
              </w:rPr>
            </w:pPr>
            <w:r w:rsidRPr="00DE12A3">
              <w:rPr>
                <w:rStyle w:val="Gvdemetni367pt0ptbolukbraklyor"/>
                <w:rFonts w:eastAsia="Courier New"/>
                <w:color w:val="auto"/>
                <w:sz w:val="24"/>
                <w:szCs w:val="24"/>
              </w:rPr>
              <w:t>5</w:t>
            </w:r>
          </w:p>
        </w:tc>
        <w:tc>
          <w:tcPr>
            <w:tcW w:w="5971" w:type="dxa"/>
            <w:shd w:val="clear" w:color="auto" w:fill="FFFFFF"/>
          </w:tcPr>
          <w:p w14:paraId="3C25286B" w14:textId="77777777" w:rsidR="00173FD1" w:rsidRPr="00DE12A3" w:rsidRDefault="00173FD1" w:rsidP="00C917D6">
            <w:pPr>
              <w:spacing w:before="120" w:after="120"/>
              <w:ind w:left="709" w:hanging="709"/>
              <w:jc w:val="both"/>
              <w:rPr>
                <w:rFonts w:cs="Times New Roman"/>
                <w:color w:val="auto"/>
              </w:rPr>
            </w:pPr>
            <w:r w:rsidRPr="00DE12A3">
              <w:rPr>
                <w:rFonts w:cs="Times New Roman"/>
                <w:color w:val="auto"/>
              </w:rPr>
              <w:t>Yüksek basınç borusu</w:t>
            </w:r>
          </w:p>
          <w:p w14:paraId="788C6610" w14:textId="77777777" w:rsidR="00173FD1" w:rsidRPr="00DE12A3" w:rsidRDefault="00173FD1" w:rsidP="00C917D6">
            <w:pPr>
              <w:spacing w:before="120" w:after="120"/>
              <w:ind w:left="709" w:hanging="709"/>
              <w:jc w:val="both"/>
              <w:rPr>
                <w:rFonts w:cs="Times New Roman"/>
                <w:color w:val="auto"/>
              </w:rPr>
            </w:pPr>
            <w:r w:rsidRPr="00DE12A3">
              <w:rPr>
                <w:rFonts w:cs="Times New Roman"/>
                <w:color w:val="auto"/>
              </w:rPr>
              <w:t>Enjektör</w:t>
            </w:r>
          </w:p>
          <w:p w14:paraId="3D3461CF" w14:textId="287BAADD" w:rsidR="00173FD1" w:rsidRPr="00DE12A3" w:rsidRDefault="00173FD1" w:rsidP="00C917D6">
            <w:pPr>
              <w:spacing w:before="120" w:after="120"/>
              <w:ind w:left="709" w:hanging="709"/>
              <w:jc w:val="both"/>
              <w:rPr>
                <w:rFonts w:cs="Times New Roman"/>
                <w:color w:val="auto"/>
              </w:rPr>
            </w:pPr>
            <w:r w:rsidRPr="00DE12A3">
              <w:rPr>
                <w:rFonts w:cs="Times New Roman"/>
                <w:color w:val="auto"/>
              </w:rPr>
              <w:t xml:space="preserve">Elektronik kontrol ünitesi, sensörler </w:t>
            </w:r>
            <w:r w:rsidR="00CB4BBD" w:rsidRPr="00DE12A3">
              <w:rPr>
                <w:rFonts w:cs="Times New Roman"/>
                <w:color w:val="auto"/>
              </w:rPr>
              <w:t>ve benzeri</w:t>
            </w:r>
          </w:p>
          <w:p w14:paraId="1D990E8E" w14:textId="77777777" w:rsidR="00173FD1" w:rsidRPr="00DE12A3" w:rsidRDefault="00EF0D08" w:rsidP="00C917D6">
            <w:pPr>
              <w:spacing w:before="120" w:after="120"/>
              <w:ind w:left="709" w:hanging="709"/>
              <w:jc w:val="both"/>
              <w:rPr>
                <w:rFonts w:cs="Times New Roman"/>
                <w:color w:val="auto"/>
              </w:rPr>
            </w:pPr>
            <w:r w:rsidRPr="00DE12A3">
              <w:rPr>
                <w:rFonts w:cs="Times New Roman"/>
                <w:color w:val="auto"/>
              </w:rPr>
              <w:t>Motor kontrol ünitesi</w:t>
            </w:r>
            <w:r w:rsidR="007502D6" w:rsidRPr="00DE12A3">
              <w:rPr>
                <w:rFonts w:cs="Times New Roman"/>
                <w:color w:val="auto"/>
              </w:rPr>
              <w:t xml:space="preserve"> </w:t>
            </w:r>
            <w:r w:rsidR="00173FD1" w:rsidRPr="00DE12A3">
              <w:rPr>
                <w:rFonts w:cs="Times New Roman"/>
                <w:color w:val="auto"/>
              </w:rPr>
              <w:t>/kontrol sistemi</w:t>
            </w:r>
          </w:p>
          <w:p w14:paraId="13D01496" w14:textId="2B569EB4" w:rsidR="00173FD1" w:rsidRPr="00DE12A3" w:rsidRDefault="00173FD1" w:rsidP="00C917D6">
            <w:pPr>
              <w:spacing w:before="120" w:after="120"/>
              <w:ind w:left="709" w:hanging="709"/>
              <w:jc w:val="both"/>
              <w:rPr>
                <w:rFonts w:cs="Times New Roman"/>
                <w:color w:val="auto"/>
              </w:rPr>
            </w:pPr>
            <w:r w:rsidRPr="00DE12A3">
              <w:rPr>
                <w:rFonts w:cs="Times New Roman"/>
                <w:color w:val="auto"/>
              </w:rPr>
              <w:t>Atmosferik koşullara bağlı olarak kontrol çubuğu içinotomatik tam yük durdurma</w:t>
            </w:r>
          </w:p>
        </w:tc>
        <w:tc>
          <w:tcPr>
            <w:tcW w:w="1517" w:type="dxa"/>
            <w:shd w:val="clear" w:color="auto" w:fill="FFFFFF"/>
          </w:tcPr>
          <w:p w14:paraId="30B27E68" w14:textId="77777777" w:rsidR="00173FD1" w:rsidRPr="00DE12A3" w:rsidRDefault="00173FD1" w:rsidP="00C917D6">
            <w:pPr>
              <w:spacing w:before="120" w:after="120"/>
              <w:ind w:left="709" w:hanging="709"/>
              <w:jc w:val="both"/>
              <w:rPr>
                <w:rFonts w:cs="Times New Roman"/>
                <w:color w:val="auto"/>
              </w:rPr>
            </w:pPr>
            <w:r w:rsidRPr="00DE12A3">
              <w:rPr>
                <w:rFonts w:cs="Times New Roman"/>
                <w:color w:val="auto"/>
              </w:rPr>
              <w:t>Evet</w:t>
            </w:r>
          </w:p>
          <w:p w14:paraId="4AA8334C" w14:textId="77777777" w:rsidR="00173FD1" w:rsidRPr="00DE12A3" w:rsidRDefault="00173FD1" w:rsidP="00C917D6">
            <w:pPr>
              <w:spacing w:before="120" w:after="120"/>
              <w:ind w:left="709" w:hanging="709"/>
              <w:jc w:val="both"/>
              <w:rPr>
                <w:rFonts w:cs="Times New Roman"/>
                <w:color w:val="auto"/>
              </w:rPr>
            </w:pPr>
            <w:r w:rsidRPr="00DE12A3">
              <w:rPr>
                <w:rFonts w:cs="Times New Roman"/>
                <w:color w:val="auto"/>
              </w:rPr>
              <w:t>Evet</w:t>
            </w:r>
          </w:p>
          <w:p w14:paraId="31C4CA72" w14:textId="77777777" w:rsidR="00173FD1" w:rsidRPr="00DE12A3" w:rsidRDefault="00173FD1" w:rsidP="00C917D6">
            <w:pPr>
              <w:spacing w:before="120" w:after="120"/>
              <w:ind w:left="709" w:hanging="709"/>
              <w:jc w:val="both"/>
              <w:rPr>
                <w:rFonts w:cs="Times New Roman"/>
                <w:color w:val="auto"/>
              </w:rPr>
            </w:pPr>
            <w:r w:rsidRPr="00DE12A3">
              <w:rPr>
                <w:rFonts w:cs="Times New Roman"/>
                <w:color w:val="auto"/>
              </w:rPr>
              <w:t>Evet</w:t>
            </w:r>
          </w:p>
          <w:p w14:paraId="6597371A" w14:textId="77777777" w:rsidR="00173FD1" w:rsidRPr="00DE12A3" w:rsidRDefault="00173FD1" w:rsidP="00C917D6">
            <w:pPr>
              <w:spacing w:before="120" w:after="120"/>
              <w:ind w:left="709" w:hanging="709"/>
              <w:jc w:val="both"/>
              <w:rPr>
                <w:rFonts w:cs="Times New Roman"/>
                <w:color w:val="auto"/>
              </w:rPr>
            </w:pPr>
            <w:r w:rsidRPr="00DE12A3">
              <w:rPr>
                <w:rFonts w:cs="Times New Roman"/>
                <w:color w:val="auto"/>
              </w:rPr>
              <w:t>Evet</w:t>
            </w:r>
          </w:p>
          <w:p w14:paraId="7529C96B" w14:textId="77777777" w:rsidR="00173FD1" w:rsidRPr="00DE12A3" w:rsidRDefault="00173FD1" w:rsidP="00C917D6">
            <w:pPr>
              <w:spacing w:before="120" w:after="120"/>
              <w:ind w:left="709" w:hanging="709"/>
              <w:jc w:val="both"/>
              <w:rPr>
                <w:rFonts w:cs="Times New Roman"/>
                <w:color w:val="auto"/>
              </w:rPr>
            </w:pPr>
            <w:r w:rsidRPr="00DE12A3">
              <w:rPr>
                <w:rFonts w:cs="Times New Roman"/>
                <w:color w:val="auto"/>
              </w:rPr>
              <w:t>Evet</w:t>
            </w:r>
          </w:p>
        </w:tc>
      </w:tr>
      <w:tr w:rsidR="00DE12A3" w:rsidRPr="00DE12A3" w14:paraId="0A966EA0" w14:textId="77777777" w:rsidTr="00173FD1">
        <w:trPr>
          <w:trHeight w:val="2352"/>
        </w:trPr>
        <w:tc>
          <w:tcPr>
            <w:tcW w:w="888" w:type="dxa"/>
            <w:shd w:val="clear" w:color="auto" w:fill="FFFFFF"/>
          </w:tcPr>
          <w:p w14:paraId="0F26431C" w14:textId="77777777" w:rsidR="00173FD1" w:rsidRPr="00DE12A3" w:rsidRDefault="00173FD1" w:rsidP="00C917D6">
            <w:pPr>
              <w:pStyle w:val="Gvdemetni361"/>
              <w:shd w:val="clear" w:color="auto" w:fill="auto"/>
              <w:spacing w:before="120" w:after="120" w:line="240" w:lineRule="auto"/>
              <w:ind w:left="709" w:hanging="709"/>
              <w:rPr>
                <w:color w:val="auto"/>
                <w:sz w:val="24"/>
                <w:szCs w:val="24"/>
              </w:rPr>
            </w:pPr>
            <w:r w:rsidRPr="00DE12A3">
              <w:rPr>
                <w:rStyle w:val="Gvdemetni3675pt5"/>
                <w:color w:val="auto"/>
                <w:sz w:val="24"/>
                <w:szCs w:val="24"/>
              </w:rPr>
              <w:t>6</w:t>
            </w:r>
          </w:p>
        </w:tc>
        <w:tc>
          <w:tcPr>
            <w:tcW w:w="5971" w:type="dxa"/>
            <w:shd w:val="clear" w:color="auto" w:fill="FFFFFF"/>
          </w:tcPr>
          <w:p w14:paraId="49E92FFC" w14:textId="77777777" w:rsidR="00173FD1" w:rsidRPr="00DE12A3" w:rsidRDefault="00173FD1" w:rsidP="00C917D6">
            <w:pPr>
              <w:spacing w:before="120" w:after="120"/>
              <w:ind w:left="709" w:hanging="709"/>
              <w:jc w:val="both"/>
              <w:rPr>
                <w:rFonts w:cs="Times New Roman"/>
                <w:color w:val="auto"/>
              </w:rPr>
            </w:pPr>
            <w:r w:rsidRPr="00DE12A3">
              <w:rPr>
                <w:rFonts w:cs="Times New Roman"/>
                <w:color w:val="auto"/>
              </w:rPr>
              <w:t>Sıvı soğutma ekipmanı</w:t>
            </w:r>
          </w:p>
          <w:p w14:paraId="11E2B3D6" w14:textId="77777777" w:rsidR="00173FD1" w:rsidRPr="00DE12A3" w:rsidRDefault="00173FD1" w:rsidP="00C917D6">
            <w:pPr>
              <w:spacing w:before="120" w:after="120"/>
              <w:ind w:left="709" w:hanging="709"/>
              <w:jc w:val="both"/>
              <w:rPr>
                <w:rFonts w:cs="Times New Roman"/>
                <w:color w:val="auto"/>
              </w:rPr>
            </w:pPr>
            <w:r w:rsidRPr="00DE12A3">
              <w:rPr>
                <w:rFonts w:cs="Times New Roman"/>
                <w:color w:val="auto"/>
              </w:rPr>
              <w:t>Radyatör</w:t>
            </w:r>
          </w:p>
          <w:p w14:paraId="4119D1B0" w14:textId="77777777" w:rsidR="00173FD1" w:rsidRPr="00DE12A3" w:rsidRDefault="00173FD1" w:rsidP="00C917D6">
            <w:pPr>
              <w:spacing w:before="120" w:after="120"/>
              <w:ind w:left="709" w:hanging="709"/>
              <w:jc w:val="both"/>
              <w:rPr>
                <w:rFonts w:cs="Times New Roman"/>
                <w:color w:val="auto"/>
              </w:rPr>
            </w:pPr>
            <w:r w:rsidRPr="00DE12A3">
              <w:rPr>
                <w:rFonts w:cs="Times New Roman"/>
                <w:color w:val="auto"/>
              </w:rPr>
              <w:t>Fan</w:t>
            </w:r>
          </w:p>
          <w:p w14:paraId="168E2894" w14:textId="77777777" w:rsidR="00173FD1" w:rsidRPr="00DE12A3" w:rsidRDefault="00173FD1" w:rsidP="00C917D6">
            <w:pPr>
              <w:spacing w:before="120" w:after="120"/>
              <w:ind w:left="709" w:hanging="709"/>
              <w:jc w:val="both"/>
              <w:rPr>
                <w:rFonts w:cs="Times New Roman"/>
                <w:color w:val="auto"/>
              </w:rPr>
            </w:pPr>
            <w:r w:rsidRPr="00DE12A3">
              <w:rPr>
                <w:rFonts w:cs="Times New Roman"/>
                <w:color w:val="auto"/>
              </w:rPr>
              <w:t>Fan kaportası</w:t>
            </w:r>
          </w:p>
          <w:p w14:paraId="66B76EDC" w14:textId="77777777" w:rsidR="00173FD1" w:rsidRPr="00DE12A3" w:rsidRDefault="00173FD1" w:rsidP="00C917D6">
            <w:pPr>
              <w:spacing w:before="120" w:after="120"/>
              <w:ind w:left="709" w:hanging="709"/>
              <w:jc w:val="both"/>
              <w:rPr>
                <w:rFonts w:cs="Times New Roman"/>
                <w:color w:val="auto"/>
              </w:rPr>
            </w:pPr>
            <w:r w:rsidRPr="00DE12A3">
              <w:rPr>
                <w:rFonts w:cs="Times New Roman"/>
                <w:color w:val="auto"/>
              </w:rPr>
              <w:t>Su pompası</w:t>
            </w:r>
          </w:p>
          <w:p w14:paraId="2624D77F" w14:textId="77777777" w:rsidR="00173FD1" w:rsidRPr="00DE12A3" w:rsidRDefault="00173FD1" w:rsidP="00C917D6">
            <w:pPr>
              <w:spacing w:before="120" w:after="120"/>
              <w:ind w:left="709" w:hanging="709"/>
              <w:jc w:val="both"/>
              <w:rPr>
                <w:rFonts w:cs="Times New Roman"/>
                <w:color w:val="auto"/>
              </w:rPr>
            </w:pPr>
            <w:r w:rsidRPr="00DE12A3">
              <w:rPr>
                <w:rFonts w:cs="Times New Roman"/>
                <w:color w:val="auto"/>
              </w:rPr>
              <w:t>Termostat</w:t>
            </w:r>
          </w:p>
        </w:tc>
        <w:tc>
          <w:tcPr>
            <w:tcW w:w="1517" w:type="dxa"/>
            <w:shd w:val="clear" w:color="auto" w:fill="FFFFFF"/>
          </w:tcPr>
          <w:p w14:paraId="6E6BFA5A" w14:textId="77777777" w:rsidR="00173FD1" w:rsidRPr="00DE12A3" w:rsidRDefault="00173FD1" w:rsidP="00C917D6">
            <w:pPr>
              <w:spacing w:before="120" w:after="120"/>
              <w:ind w:left="709" w:hanging="709"/>
              <w:jc w:val="both"/>
              <w:rPr>
                <w:rFonts w:cs="Times New Roman"/>
                <w:color w:val="auto"/>
              </w:rPr>
            </w:pPr>
          </w:p>
          <w:p w14:paraId="3F703905" w14:textId="77777777" w:rsidR="00173FD1" w:rsidRPr="00DE12A3" w:rsidRDefault="00173FD1" w:rsidP="00C917D6">
            <w:pPr>
              <w:spacing w:before="120" w:after="120"/>
              <w:ind w:left="709" w:hanging="709"/>
              <w:jc w:val="both"/>
              <w:rPr>
                <w:rFonts w:cs="Times New Roman"/>
                <w:color w:val="auto"/>
              </w:rPr>
            </w:pPr>
            <w:r w:rsidRPr="00DE12A3">
              <w:rPr>
                <w:rFonts w:cs="Times New Roman"/>
                <w:color w:val="auto"/>
              </w:rPr>
              <w:t>Hayır</w:t>
            </w:r>
          </w:p>
          <w:p w14:paraId="4F484510" w14:textId="77777777" w:rsidR="00173FD1" w:rsidRPr="00DE12A3" w:rsidRDefault="00173FD1" w:rsidP="00C917D6">
            <w:pPr>
              <w:spacing w:before="120" w:after="120"/>
              <w:ind w:left="709" w:hanging="709"/>
              <w:jc w:val="both"/>
              <w:rPr>
                <w:rFonts w:cs="Times New Roman"/>
                <w:color w:val="auto"/>
              </w:rPr>
            </w:pPr>
            <w:r w:rsidRPr="00DE12A3">
              <w:rPr>
                <w:rFonts w:cs="Times New Roman"/>
                <w:color w:val="auto"/>
              </w:rPr>
              <w:t>Hayır</w:t>
            </w:r>
          </w:p>
          <w:p w14:paraId="228E6542" w14:textId="77777777" w:rsidR="00173FD1" w:rsidRPr="00DE12A3" w:rsidRDefault="00173FD1" w:rsidP="00C917D6">
            <w:pPr>
              <w:spacing w:before="120" w:after="120"/>
              <w:ind w:left="709" w:hanging="709"/>
              <w:jc w:val="both"/>
              <w:rPr>
                <w:rFonts w:cs="Times New Roman"/>
                <w:color w:val="auto"/>
              </w:rPr>
            </w:pPr>
            <w:r w:rsidRPr="00DE12A3">
              <w:rPr>
                <w:rFonts w:cs="Times New Roman"/>
                <w:color w:val="auto"/>
              </w:rPr>
              <w:t>Hayır</w:t>
            </w:r>
          </w:p>
          <w:p w14:paraId="4BCF64C6" w14:textId="77777777" w:rsidR="00173FD1" w:rsidRPr="00DE12A3" w:rsidRDefault="00173FD1" w:rsidP="00C917D6">
            <w:pPr>
              <w:spacing w:before="120" w:after="120"/>
              <w:ind w:left="709" w:hanging="709"/>
              <w:jc w:val="both"/>
              <w:rPr>
                <w:rFonts w:cs="Times New Roman"/>
                <w:color w:val="auto"/>
              </w:rPr>
            </w:pPr>
            <w:r w:rsidRPr="00DE12A3">
              <w:rPr>
                <w:rFonts w:cs="Times New Roman"/>
                <w:color w:val="auto"/>
              </w:rPr>
              <w:t>Evet (</w:t>
            </w:r>
            <w:r w:rsidRPr="00DE12A3">
              <w:rPr>
                <w:rFonts w:cs="Times New Roman"/>
                <w:color w:val="auto"/>
                <w:vertAlign w:val="superscript"/>
              </w:rPr>
              <w:t>e</w:t>
            </w:r>
            <w:r w:rsidRPr="00DE12A3">
              <w:rPr>
                <w:rFonts w:cs="Times New Roman"/>
                <w:color w:val="auto"/>
              </w:rPr>
              <w:t>)</w:t>
            </w:r>
          </w:p>
          <w:p w14:paraId="6E59EAED" w14:textId="77777777" w:rsidR="00173FD1" w:rsidRPr="00DE12A3" w:rsidRDefault="00173FD1" w:rsidP="00C917D6">
            <w:pPr>
              <w:spacing w:before="120" w:after="120"/>
              <w:ind w:left="709" w:hanging="709"/>
              <w:jc w:val="both"/>
              <w:rPr>
                <w:rFonts w:cs="Times New Roman"/>
                <w:color w:val="auto"/>
              </w:rPr>
            </w:pPr>
            <w:r w:rsidRPr="00DE12A3">
              <w:rPr>
                <w:rFonts w:cs="Times New Roman"/>
                <w:color w:val="auto"/>
              </w:rPr>
              <w:t>Evet (</w:t>
            </w:r>
            <w:r w:rsidRPr="00DE12A3">
              <w:rPr>
                <w:rFonts w:cs="Times New Roman"/>
                <w:color w:val="auto"/>
                <w:vertAlign w:val="superscript"/>
              </w:rPr>
              <w:t>f</w:t>
            </w:r>
            <w:r w:rsidRPr="00DE12A3">
              <w:rPr>
                <w:rFonts w:cs="Times New Roman"/>
                <w:color w:val="auto"/>
              </w:rPr>
              <w:t>)</w:t>
            </w:r>
          </w:p>
        </w:tc>
      </w:tr>
      <w:tr w:rsidR="00DE12A3" w:rsidRPr="00DE12A3" w14:paraId="52236629" w14:textId="77777777" w:rsidTr="00173FD1">
        <w:trPr>
          <w:trHeight w:val="1497"/>
        </w:trPr>
        <w:tc>
          <w:tcPr>
            <w:tcW w:w="888" w:type="dxa"/>
            <w:shd w:val="clear" w:color="auto" w:fill="FFFFFF"/>
          </w:tcPr>
          <w:p w14:paraId="481EB296" w14:textId="77777777" w:rsidR="00173FD1" w:rsidRPr="00DE12A3" w:rsidRDefault="00173FD1" w:rsidP="00C917D6">
            <w:pPr>
              <w:spacing w:before="120" w:after="120"/>
              <w:ind w:left="709" w:hanging="709"/>
              <w:jc w:val="both"/>
              <w:rPr>
                <w:rFonts w:cs="Times New Roman"/>
                <w:color w:val="auto"/>
              </w:rPr>
            </w:pPr>
            <w:r w:rsidRPr="00DE12A3">
              <w:rPr>
                <w:rFonts w:cs="Times New Roman"/>
                <w:color w:val="auto"/>
              </w:rPr>
              <w:lastRenderedPageBreak/>
              <w:t>Sayı</w:t>
            </w:r>
          </w:p>
        </w:tc>
        <w:tc>
          <w:tcPr>
            <w:tcW w:w="5971" w:type="dxa"/>
            <w:shd w:val="clear" w:color="auto" w:fill="FFFFFF"/>
          </w:tcPr>
          <w:p w14:paraId="5CB602C0" w14:textId="77777777" w:rsidR="00173FD1" w:rsidRPr="00DE12A3" w:rsidRDefault="00173FD1" w:rsidP="00C917D6">
            <w:pPr>
              <w:spacing w:before="120" w:after="120"/>
              <w:ind w:left="709" w:hanging="709"/>
              <w:jc w:val="both"/>
              <w:rPr>
                <w:rFonts w:cs="Times New Roman"/>
                <w:color w:val="auto"/>
              </w:rPr>
            </w:pPr>
            <w:r w:rsidRPr="00DE12A3">
              <w:rPr>
                <w:rFonts w:cs="Times New Roman"/>
                <w:color w:val="auto"/>
              </w:rPr>
              <w:t>Ekipmanlar ve yardımcı cihazlar</w:t>
            </w:r>
          </w:p>
        </w:tc>
        <w:tc>
          <w:tcPr>
            <w:tcW w:w="1517" w:type="dxa"/>
            <w:shd w:val="clear" w:color="auto" w:fill="FFFFFF"/>
          </w:tcPr>
          <w:p w14:paraId="4D946CEC" w14:textId="77777777" w:rsidR="00173FD1" w:rsidRPr="00DE12A3" w:rsidRDefault="00173FD1" w:rsidP="00C917D6">
            <w:pPr>
              <w:spacing w:before="120" w:after="120"/>
              <w:jc w:val="both"/>
              <w:rPr>
                <w:rFonts w:cs="Times New Roman"/>
                <w:color w:val="auto"/>
              </w:rPr>
            </w:pPr>
            <w:r w:rsidRPr="00DE12A3">
              <w:rPr>
                <w:rFonts w:cs="Times New Roman"/>
                <w:color w:val="auto"/>
              </w:rPr>
              <w:t>Emisyon testi için takılmış</w:t>
            </w:r>
          </w:p>
        </w:tc>
      </w:tr>
      <w:tr w:rsidR="00DE12A3" w:rsidRPr="00DE12A3" w14:paraId="42BE022B" w14:textId="77777777" w:rsidTr="00173FD1">
        <w:trPr>
          <w:trHeight w:val="1497"/>
        </w:trPr>
        <w:tc>
          <w:tcPr>
            <w:tcW w:w="888" w:type="dxa"/>
            <w:shd w:val="clear" w:color="auto" w:fill="FFFFFF"/>
          </w:tcPr>
          <w:p w14:paraId="3313173A" w14:textId="398AEC04" w:rsidR="00173FD1" w:rsidRPr="00DE12A3" w:rsidRDefault="00E27CF1" w:rsidP="00C917D6">
            <w:pPr>
              <w:pStyle w:val="Gvdemetni361"/>
              <w:shd w:val="clear" w:color="auto" w:fill="auto"/>
              <w:spacing w:before="120" w:after="120" w:line="240" w:lineRule="auto"/>
              <w:ind w:left="709" w:hanging="709"/>
              <w:rPr>
                <w:color w:val="auto"/>
                <w:sz w:val="24"/>
                <w:szCs w:val="24"/>
              </w:rPr>
            </w:pPr>
            <w:r w:rsidRPr="00DE12A3">
              <w:rPr>
                <w:rStyle w:val="Gvdemetni367pt0ptbolukbraklyor"/>
                <w:rFonts w:eastAsia="Courier New"/>
                <w:color w:val="auto"/>
                <w:sz w:val="24"/>
                <w:szCs w:val="24"/>
              </w:rPr>
              <w:t>7</w:t>
            </w:r>
          </w:p>
        </w:tc>
        <w:tc>
          <w:tcPr>
            <w:tcW w:w="5971" w:type="dxa"/>
            <w:shd w:val="clear" w:color="auto" w:fill="FFFFFF"/>
          </w:tcPr>
          <w:p w14:paraId="7E6EC7DC" w14:textId="77777777" w:rsidR="00173FD1" w:rsidRPr="00DE12A3" w:rsidRDefault="00173FD1" w:rsidP="00C917D6">
            <w:pPr>
              <w:spacing w:before="120" w:after="120"/>
              <w:ind w:left="709" w:hanging="709"/>
              <w:jc w:val="both"/>
              <w:rPr>
                <w:rFonts w:cs="Times New Roman"/>
                <w:color w:val="auto"/>
              </w:rPr>
            </w:pPr>
            <w:r w:rsidRPr="00DE12A3">
              <w:rPr>
                <w:rFonts w:cs="Times New Roman"/>
                <w:color w:val="auto"/>
              </w:rPr>
              <w:t>Hava soğutma</w:t>
            </w:r>
          </w:p>
          <w:p w14:paraId="7AF6412C" w14:textId="77777777" w:rsidR="00173FD1" w:rsidRPr="00DE12A3" w:rsidRDefault="00173FD1" w:rsidP="00C917D6">
            <w:pPr>
              <w:spacing w:before="120" w:after="120"/>
              <w:ind w:left="709" w:hanging="709"/>
              <w:jc w:val="both"/>
              <w:rPr>
                <w:rFonts w:cs="Times New Roman"/>
                <w:color w:val="auto"/>
              </w:rPr>
            </w:pPr>
            <w:r w:rsidRPr="00DE12A3">
              <w:rPr>
                <w:rFonts w:cs="Times New Roman"/>
                <w:color w:val="auto"/>
              </w:rPr>
              <w:t>Kaporta</w:t>
            </w:r>
          </w:p>
          <w:p w14:paraId="542F37BC" w14:textId="77777777" w:rsidR="00173FD1" w:rsidRPr="00DE12A3" w:rsidRDefault="00173FD1" w:rsidP="00C917D6">
            <w:pPr>
              <w:spacing w:before="120" w:after="120"/>
              <w:ind w:left="709" w:hanging="709"/>
              <w:jc w:val="both"/>
              <w:rPr>
                <w:rFonts w:cs="Times New Roman"/>
                <w:color w:val="auto"/>
              </w:rPr>
            </w:pPr>
            <w:r w:rsidRPr="00DE12A3">
              <w:rPr>
                <w:rFonts w:cs="Times New Roman"/>
                <w:color w:val="auto"/>
              </w:rPr>
              <w:t>Fan veya Üfleyici</w:t>
            </w:r>
          </w:p>
          <w:p w14:paraId="3279FFCA" w14:textId="77777777" w:rsidR="00173FD1" w:rsidRPr="00DE12A3" w:rsidRDefault="00173FD1" w:rsidP="00C917D6">
            <w:pPr>
              <w:spacing w:before="120" w:after="120"/>
              <w:ind w:left="709" w:hanging="709"/>
              <w:jc w:val="both"/>
              <w:rPr>
                <w:rFonts w:cs="Times New Roman"/>
                <w:color w:val="auto"/>
              </w:rPr>
            </w:pPr>
            <w:r w:rsidRPr="00DE12A3">
              <w:rPr>
                <w:rFonts w:cs="Times New Roman"/>
                <w:color w:val="auto"/>
              </w:rPr>
              <w:t>Sıcaklık düzenleme cihazı</w:t>
            </w:r>
          </w:p>
        </w:tc>
        <w:tc>
          <w:tcPr>
            <w:tcW w:w="1517" w:type="dxa"/>
            <w:shd w:val="clear" w:color="auto" w:fill="FFFFFF"/>
          </w:tcPr>
          <w:p w14:paraId="0D56AFB8" w14:textId="77777777" w:rsidR="00173FD1" w:rsidRPr="00DE12A3" w:rsidRDefault="00173FD1" w:rsidP="00C917D6">
            <w:pPr>
              <w:spacing w:before="120" w:after="120"/>
              <w:ind w:left="709" w:hanging="709"/>
              <w:jc w:val="both"/>
              <w:rPr>
                <w:rFonts w:cs="Times New Roman"/>
                <w:color w:val="auto"/>
              </w:rPr>
            </w:pPr>
          </w:p>
          <w:p w14:paraId="519FD652" w14:textId="77777777" w:rsidR="00173FD1" w:rsidRPr="00DE12A3" w:rsidRDefault="00173FD1" w:rsidP="00C917D6">
            <w:pPr>
              <w:spacing w:before="120" w:after="120"/>
              <w:ind w:left="709" w:hanging="709"/>
              <w:jc w:val="both"/>
              <w:rPr>
                <w:rFonts w:cs="Times New Roman"/>
                <w:color w:val="auto"/>
              </w:rPr>
            </w:pPr>
            <w:r w:rsidRPr="00DE12A3">
              <w:rPr>
                <w:rFonts w:cs="Times New Roman"/>
                <w:color w:val="auto"/>
              </w:rPr>
              <w:t>Hayır (</w:t>
            </w:r>
            <w:r w:rsidRPr="00DE12A3">
              <w:rPr>
                <w:rFonts w:cs="Times New Roman"/>
                <w:color w:val="auto"/>
                <w:vertAlign w:val="superscript"/>
              </w:rPr>
              <w:t>g</w:t>
            </w:r>
            <w:r w:rsidRPr="00DE12A3">
              <w:rPr>
                <w:rFonts w:cs="Times New Roman"/>
                <w:color w:val="auto"/>
              </w:rPr>
              <w:t>)</w:t>
            </w:r>
          </w:p>
          <w:p w14:paraId="7BEDF5A1" w14:textId="77777777" w:rsidR="00173FD1" w:rsidRPr="00DE12A3" w:rsidRDefault="00173FD1" w:rsidP="00C917D6">
            <w:pPr>
              <w:spacing w:before="120" w:after="120"/>
              <w:ind w:left="709" w:hanging="709"/>
              <w:jc w:val="both"/>
              <w:rPr>
                <w:rFonts w:cs="Times New Roman"/>
                <w:color w:val="auto"/>
              </w:rPr>
            </w:pPr>
            <w:r w:rsidRPr="00DE12A3">
              <w:rPr>
                <w:rFonts w:cs="Times New Roman"/>
                <w:color w:val="auto"/>
              </w:rPr>
              <w:t>Hayır (</w:t>
            </w:r>
            <w:r w:rsidRPr="00DE12A3">
              <w:rPr>
                <w:rFonts w:cs="Times New Roman"/>
                <w:color w:val="auto"/>
                <w:vertAlign w:val="superscript"/>
              </w:rPr>
              <w:t>g</w:t>
            </w:r>
            <w:r w:rsidRPr="00DE12A3">
              <w:rPr>
                <w:rFonts w:cs="Times New Roman"/>
                <w:color w:val="auto"/>
              </w:rPr>
              <w:t>)</w:t>
            </w:r>
          </w:p>
          <w:p w14:paraId="72F52CA1" w14:textId="77777777" w:rsidR="00173FD1" w:rsidRPr="00DE12A3" w:rsidRDefault="00173FD1" w:rsidP="00C917D6">
            <w:pPr>
              <w:spacing w:before="120" w:after="120"/>
              <w:ind w:left="709" w:hanging="709"/>
              <w:jc w:val="both"/>
              <w:rPr>
                <w:rFonts w:cs="Times New Roman"/>
                <w:color w:val="auto"/>
              </w:rPr>
            </w:pPr>
            <w:r w:rsidRPr="00DE12A3">
              <w:rPr>
                <w:rFonts w:cs="Times New Roman"/>
                <w:color w:val="auto"/>
              </w:rPr>
              <w:t>Hayır</w:t>
            </w:r>
          </w:p>
        </w:tc>
      </w:tr>
      <w:tr w:rsidR="00DE12A3" w:rsidRPr="00DE12A3" w14:paraId="6A14994E" w14:textId="77777777" w:rsidTr="00173FD1">
        <w:trPr>
          <w:trHeight w:hRule="exact" w:val="3455"/>
        </w:trPr>
        <w:tc>
          <w:tcPr>
            <w:tcW w:w="888" w:type="dxa"/>
            <w:shd w:val="clear" w:color="auto" w:fill="FFFFFF"/>
          </w:tcPr>
          <w:p w14:paraId="0E65F1D5" w14:textId="411139C5" w:rsidR="002D7B36" w:rsidRPr="00DE12A3" w:rsidRDefault="00E27CF1" w:rsidP="00C917D6">
            <w:pPr>
              <w:pStyle w:val="Gvdemetni1"/>
              <w:shd w:val="clear" w:color="auto" w:fill="auto"/>
              <w:spacing w:before="120" w:after="120" w:line="240" w:lineRule="auto"/>
              <w:ind w:left="709" w:hanging="709"/>
              <w:jc w:val="both"/>
              <w:rPr>
                <w:color w:val="auto"/>
                <w:sz w:val="24"/>
                <w:szCs w:val="24"/>
              </w:rPr>
            </w:pPr>
            <w:r w:rsidRPr="00DE12A3">
              <w:rPr>
                <w:color w:val="auto"/>
                <w:sz w:val="24"/>
                <w:szCs w:val="24"/>
              </w:rPr>
              <w:t>8</w:t>
            </w:r>
          </w:p>
        </w:tc>
        <w:tc>
          <w:tcPr>
            <w:tcW w:w="5971" w:type="dxa"/>
            <w:shd w:val="clear" w:color="auto" w:fill="FFFFFF"/>
          </w:tcPr>
          <w:p w14:paraId="77FB336B" w14:textId="77777777" w:rsidR="002D7B36" w:rsidRPr="00DE12A3" w:rsidRDefault="00242DA0" w:rsidP="00C917D6">
            <w:pPr>
              <w:spacing w:before="120" w:after="120"/>
              <w:ind w:left="709" w:hanging="709"/>
              <w:jc w:val="both"/>
              <w:rPr>
                <w:rFonts w:cs="Times New Roman"/>
                <w:color w:val="auto"/>
              </w:rPr>
            </w:pPr>
            <w:r w:rsidRPr="00DE12A3">
              <w:rPr>
                <w:rFonts w:cs="Times New Roman"/>
                <w:color w:val="auto"/>
              </w:rPr>
              <w:t>Basınç şarj ekipmanları</w:t>
            </w:r>
          </w:p>
          <w:p w14:paraId="7AF0952A" w14:textId="77777777" w:rsidR="002D7B36" w:rsidRPr="00DE12A3" w:rsidRDefault="00242DA0" w:rsidP="00C917D6">
            <w:pPr>
              <w:spacing w:before="120" w:after="120"/>
              <w:ind w:left="709" w:hanging="709"/>
              <w:jc w:val="both"/>
              <w:rPr>
                <w:rFonts w:cs="Times New Roman"/>
                <w:color w:val="auto"/>
              </w:rPr>
            </w:pPr>
            <w:r w:rsidRPr="00DE12A3">
              <w:rPr>
                <w:rFonts w:cs="Times New Roman"/>
                <w:color w:val="auto"/>
              </w:rPr>
              <w:t>Doğrudan motor ve/veya egzoz sistemi tahrikli kompresör</w:t>
            </w:r>
          </w:p>
          <w:p w14:paraId="7A9771DA" w14:textId="77777777" w:rsidR="002D7B36" w:rsidRPr="00DE12A3" w:rsidRDefault="00242DA0" w:rsidP="00C917D6">
            <w:pPr>
              <w:spacing w:before="120" w:after="120"/>
              <w:ind w:left="709" w:hanging="709"/>
              <w:jc w:val="both"/>
              <w:rPr>
                <w:rFonts w:cs="Times New Roman"/>
                <w:color w:val="auto"/>
              </w:rPr>
            </w:pPr>
            <w:r w:rsidRPr="00DE12A3">
              <w:rPr>
                <w:rFonts w:cs="Times New Roman"/>
                <w:color w:val="auto"/>
              </w:rPr>
              <w:t>Ara soğutucu</w:t>
            </w:r>
          </w:p>
          <w:p w14:paraId="1EF7B34E" w14:textId="77777777" w:rsidR="002D7B36" w:rsidRPr="00DE12A3" w:rsidRDefault="00242DA0" w:rsidP="00C917D6">
            <w:pPr>
              <w:spacing w:before="120" w:after="120"/>
              <w:ind w:left="709" w:hanging="709"/>
              <w:jc w:val="both"/>
              <w:rPr>
                <w:rFonts w:cs="Times New Roman"/>
                <w:color w:val="auto"/>
              </w:rPr>
            </w:pPr>
            <w:r w:rsidRPr="00DE12A3">
              <w:rPr>
                <w:rFonts w:cs="Times New Roman"/>
                <w:color w:val="auto"/>
              </w:rPr>
              <w:t>Soğutucu pompa veya fan (motor-tahrikli)</w:t>
            </w:r>
          </w:p>
          <w:p w14:paraId="1FA67B99" w14:textId="77777777" w:rsidR="002D7B36" w:rsidRPr="00DE12A3" w:rsidRDefault="00242DA0" w:rsidP="00C917D6">
            <w:pPr>
              <w:spacing w:before="120" w:after="120"/>
              <w:ind w:left="709" w:hanging="709"/>
              <w:jc w:val="both"/>
              <w:rPr>
                <w:rFonts w:cs="Times New Roman"/>
                <w:color w:val="auto"/>
              </w:rPr>
            </w:pPr>
            <w:r w:rsidRPr="00DE12A3">
              <w:rPr>
                <w:rFonts w:cs="Times New Roman"/>
                <w:color w:val="auto"/>
              </w:rPr>
              <w:t>Soğutucu akışı kontrol cihazı</w:t>
            </w:r>
          </w:p>
        </w:tc>
        <w:tc>
          <w:tcPr>
            <w:tcW w:w="1517" w:type="dxa"/>
            <w:shd w:val="clear" w:color="auto" w:fill="FFFFFF"/>
          </w:tcPr>
          <w:p w14:paraId="50E06244" w14:textId="77777777" w:rsidR="002D7B36" w:rsidRPr="00DE12A3" w:rsidRDefault="002D7B36" w:rsidP="00C917D6">
            <w:pPr>
              <w:spacing w:before="120" w:after="120"/>
              <w:ind w:left="709" w:hanging="709"/>
              <w:jc w:val="both"/>
              <w:rPr>
                <w:rFonts w:cs="Times New Roman"/>
                <w:color w:val="auto"/>
              </w:rPr>
            </w:pPr>
          </w:p>
          <w:p w14:paraId="4B26A1B2" w14:textId="77777777" w:rsidR="002D7B36" w:rsidRPr="00DE12A3" w:rsidRDefault="00242DA0" w:rsidP="00C917D6">
            <w:pPr>
              <w:spacing w:before="120" w:after="120"/>
              <w:ind w:left="709" w:hanging="709"/>
              <w:jc w:val="both"/>
              <w:rPr>
                <w:rFonts w:cs="Times New Roman"/>
                <w:color w:val="auto"/>
              </w:rPr>
            </w:pPr>
            <w:r w:rsidRPr="00DE12A3">
              <w:rPr>
                <w:rFonts w:cs="Times New Roman"/>
                <w:color w:val="auto"/>
              </w:rPr>
              <w:t>Evet</w:t>
            </w:r>
          </w:p>
          <w:p w14:paraId="2415FF16" w14:textId="77777777" w:rsidR="002D7B36" w:rsidRPr="00DE12A3" w:rsidRDefault="00242DA0" w:rsidP="00C917D6">
            <w:pPr>
              <w:spacing w:before="120" w:after="120"/>
              <w:ind w:left="709" w:hanging="709"/>
              <w:jc w:val="both"/>
              <w:rPr>
                <w:rFonts w:cs="Times New Roman"/>
                <w:color w:val="auto"/>
              </w:rPr>
            </w:pPr>
            <w:r w:rsidRPr="00DE12A3">
              <w:rPr>
                <w:rFonts w:cs="Times New Roman"/>
                <w:color w:val="auto"/>
              </w:rPr>
              <w:t>Evet (</w:t>
            </w:r>
            <w:r w:rsidRPr="00DE12A3">
              <w:rPr>
                <w:rFonts w:cs="Times New Roman"/>
                <w:color w:val="auto"/>
                <w:vertAlign w:val="superscript"/>
              </w:rPr>
              <w:t>g</w:t>
            </w:r>
            <w:r w:rsidRPr="00DE12A3">
              <w:rPr>
                <w:rFonts w:cs="Times New Roman"/>
                <w:color w:val="auto"/>
              </w:rPr>
              <w:t>) (</w:t>
            </w:r>
            <w:r w:rsidRPr="00DE12A3">
              <w:rPr>
                <w:rFonts w:cs="Times New Roman"/>
                <w:color w:val="auto"/>
                <w:vertAlign w:val="superscript"/>
              </w:rPr>
              <w:t>h</w:t>
            </w:r>
            <w:r w:rsidRPr="00DE12A3">
              <w:rPr>
                <w:rFonts w:cs="Times New Roman"/>
                <w:color w:val="auto"/>
              </w:rPr>
              <w:t>)</w:t>
            </w:r>
          </w:p>
          <w:p w14:paraId="7AE7A529" w14:textId="77777777" w:rsidR="002D7B36" w:rsidRPr="00DE12A3" w:rsidRDefault="00242DA0" w:rsidP="00C917D6">
            <w:pPr>
              <w:spacing w:before="120" w:after="120"/>
              <w:ind w:left="709" w:hanging="709"/>
              <w:jc w:val="both"/>
              <w:rPr>
                <w:rFonts w:cs="Times New Roman"/>
                <w:color w:val="auto"/>
              </w:rPr>
            </w:pPr>
            <w:r w:rsidRPr="00DE12A3">
              <w:rPr>
                <w:rFonts w:cs="Times New Roman"/>
                <w:color w:val="auto"/>
              </w:rPr>
              <w:t>Hayır (</w:t>
            </w:r>
            <w:r w:rsidRPr="00DE12A3">
              <w:rPr>
                <w:rFonts w:cs="Times New Roman"/>
                <w:color w:val="auto"/>
                <w:vertAlign w:val="superscript"/>
              </w:rPr>
              <w:t>g</w:t>
            </w:r>
            <w:r w:rsidRPr="00DE12A3">
              <w:rPr>
                <w:rFonts w:cs="Times New Roman"/>
                <w:color w:val="auto"/>
              </w:rPr>
              <w:t>)</w:t>
            </w:r>
          </w:p>
          <w:p w14:paraId="23B8229D" w14:textId="77777777" w:rsidR="002D7B36" w:rsidRPr="00DE12A3" w:rsidRDefault="00242DA0" w:rsidP="00C917D6">
            <w:pPr>
              <w:spacing w:before="120" w:after="120"/>
              <w:ind w:left="709" w:hanging="709"/>
              <w:jc w:val="both"/>
              <w:rPr>
                <w:rFonts w:cs="Times New Roman"/>
                <w:color w:val="auto"/>
              </w:rPr>
            </w:pPr>
            <w:r w:rsidRPr="00DE12A3">
              <w:rPr>
                <w:rFonts w:cs="Times New Roman"/>
                <w:color w:val="auto"/>
              </w:rPr>
              <w:t>Evet</w:t>
            </w:r>
          </w:p>
        </w:tc>
      </w:tr>
      <w:tr w:rsidR="00DE12A3" w:rsidRPr="00DE12A3" w14:paraId="44F81A43" w14:textId="77777777" w:rsidTr="00235760">
        <w:trPr>
          <w:trHeight w:hRule="exact" w:val="570"/>
        </w:trPr>
        <w:tc>
          <w:tcPr>
            <w:tcW w:w="888" w:type="dxa"/>
            <w:shd w:val="clear" w:color="auto" w:fill="FFFFFF"/>
          </w:tcPr>
          <w:p w14:paraId="334A2EFC" w14:textId="197A7CD8" w:rsidR="002D7B36" w:rsidRPr="00DE12A3" w:rsidRDefault="00E27CF1" w:rsidP="00C917D6">
            <w:pPr>
              <w:pStyle w:val="Gvdemetni1"/>
              <w:shd w:val="clear" w:color="auto" w:fill="auto"/>
              <w:spacing w:before="120" w:after="120" w:line="240" w:lineRule="auto"/>
              <w:ind w:left="709" w:hanging="709"/>
              <w:jc w:val="both"/>
              <w:rPr>
                <w:color w:val="auto"/>
                <w:sz w:val="24"/>
                <w:szCs w:val="24"/>
              </w:rPr>
            </w:pPr>
            <w:r w:rsidRPr="00DE12A3">
              <w:rPr>
                <w:color w:val="auto"/>
                <w:sz w:val="24"/>
                <w:szCs w:val="24"/>
              </w:rPr>
              <w:t>9</w:t>
            </w:r>
          </w:p>
        </w:tc>
        <w:tc>
          <w:tcPr>
            <w:tcW w:w="5971" w:type="dxa"/>
            <w:shd w:val="clear" w:color="auto" w:fill="FFFFFF"/>
          </w:tcPr>
          <w:p w14:paraId="3FF957BB" w14:textId="7906BE05" w:rsidR="002D7B36" w:rsidRPr="00DE12A3" w:rsidRDefault="00242DA0" w:rsidP="00C917D6">
            <w:pPr>
              <w:spacing w:before="120" w:after="120"/>
              <w:ind w:left="709" w:hanging="709"/>
              <w:jc w:val="both"/>
              <w:rPr>
                <w:rFonts w:cs="Times New Roman"/>
                <w:color w:val="auto"/>
              </w:rPr>
            </w:pPr>
            <w:r w:rsidRPr="00DE12A3">
              <w:rPr>
                <w:rFonts w:cs="Times New Roman"/>
                <w:color w:val="auto"/>
              </w:rPr>
              <w:t xml:space="preserve">Yardımcı test </w:t>
            </w:r>
            <w:r w:rsidR="00F466F2" w:rsidRPr="00DE12A3">
              <w:rPr>
                <w:rFonts w:cs="Times New Roman"/>
                <w:color w:val="auto"/>
              </w:rPr>
              <w:t>tezgâhı</w:t>
            </w:r>
            <w:r w:rsidRPr="00DE12A3">
              <w:rPr>
                <w:rFonts w:cs="Times New Roman"/>
                <w:color w:val="auto"/>
              </w:rPr>
              <w:t xml:space="preserve"> fanı</w:t>
            </w:r>
          </w:p>
        </w:tc>
        <w:tc>
          <w:tcPr>
            <w:tcW w:w="1517" w:type="dxa"/>
            <w:shd w:val="clear" w:color="auto" w:fill="FFFFFF"/>
          </w:tcPr>
          <w:p w14:paraId="5BA78722" w14:textId="77777777" w:rsidR="002D7B36" w:rsidRPr="00DE12A3" w:rsidRDefault="00242DA0" w:rsidP="00C917D6">
            <w:pPr>
              <w:spacing w:before="120" w:after="120"/>
              <w:ind w:left="709" w:hanging="709"/>
              <w:jc w:val="both"/>
              <w:rPr>
                <w:rFonts w:cs="Times New Roman"/>
                <w:color w:val="auto"/>
              </w:rPr>
            </w:pPr>
            <w:r w:rsidRPr="00DE12A3">
              <w:rPr>
                <w:rFonts w:cs="Times New Roman"/>
                <w:color w:val="auto"/>
              </w:rPr>
              <w:t>Gerekirse evet</w:t>
            </w:r>
          </w:p>
        </w:tc>
      </w:tr>
      <w:tr w:rsidR="00DE12A3" w:rsidRPr="00DE12A3" w14:paraId="181205BF" w14:textId="77777777" w:rsidTr="00235760">
        <w:trPr>
          <w:trHeight w:hRule="exact" w:val="504"/>
        </w:trPr>
        <w:tc>
          <w:tcPr>
            <w:tcW w:w="888" w:type="dxa"/>
            <w:shd w:val="clear" w:color="auto" w:fill="FFFFFF"/>
          </w:tcPr>
          <w:p w14:paraId="7D14604A" w14:textId="1CF0488C" w:rsidR="002D7B36" w:rsidRPr="00DE12A3" w:rsidRDefault="00242DA0" w:rsidP="00C917D6">
            <w:pPr>
              <w:pStyle w:val="Gvdemetni1"/>
              <w:shd w:val="clear" w:color="auto" w:fill="auto"/>
              <w:spacing w:before="120" w:after="120" w:line="240" w:lineRule="auto"/>
              <w:ind w:left="709" w:hanging="709"/>
              <w:jc w:val="both"/>
              <w:rPr>
                <w:color w:val="auto"/>
                <w:sz w:val="24"/>
                <w:szCs w:val="24"/>
              </w:rPr>
            </w:pPr>
            <w:r w:rsidRPr="00DE12A3">
              <w:rPr>
                <w:color w:val="auto"/>
                <w:sz w:val="24"/>
                <w:szCs w:val="24"/>
              </w:rPr>
              <w:t>1</w:t>
            </w:r>
            <w:r w:rsidR="00E27CF1" w:rsidRPr="00DE12A3">
              <w:rPr>
                <w:color w:val="auto"/>
                <w:sz w:val="24"/>
                <w:szCs w:val="24"/>
              </w:rPr>
              <w:t>0</w:t>
            </w:r>
          </w:p>
        </w:tc>
        <w:tc>
          <w:tcPr>
            <w:tcW w:w="5971" w:type="dxa"/>
            <w:shd w:val="clear" w:color="auto" w:fill="FFFFFF"/>
          </w:tcPr>
          <w:p w14:paraId="11BF02ED" w14:textId="77777777" w:rsidR="002D7B36" w:rsidRPr="00DE12A3" w:rsidRDefault="00242DA0" w:rsidP="00C917D6">
            <w:pPr>
              <w:spacing w:before="120" w:after="120"/>
              <w:ind w:left="709" w:hanging="709"/>
              <w:jc w:val="both"/>
              <w:rPr>
                <w:rFonts w:cs="Times New Roman"/>
                <w:color w:val="auto"/>
              </w:rPr>
            </w:pPr>
            <w:r w:rsidRPr="00DE12A3">
              <w:rPr>
                <w:rFonts w:cs="Times New Roman"/>
                <w:color w:val="auto"/>
              </w:rPr>
              <w:t>Kirlenmeyi önleyici cihaz</w:t>
            </w:r>
          </w:p>
        </w:tc>
        <w:tc>
          <w:tcPr>
            <w:tcW w:w="1517" w:type="dxa"/>
            <w:shd w:val="clear" w:color="auto" w:fill="FFFFFF"/>
          </w:tcPr>
          <w:p w14:paraId="67E0044E" w14:textId="77777777" w:rsidR="002D7B36" w:rsidRPr="00DE12A3" w:rsidRDefault="00242DA0" w:rsidP="00C917D6">
            <w:pPr>
              <w:spacing w:before="120" w:after="120"/>
              <w:ind w:left="709" w:hanging="709"/>
              <w:jc w:val="both"/>
              <w:rPr>
                <w:rFonts w:cs="Times New Roman"/>
                <w:color w:val="auto"/>
              </w:rPr>
            </w:pPr>
            <w:r w:rsidRPr="00DE12A3">
              <w:rPr>
                <w:rFonts w:cs="Times New Roman"/>
                <w:color w:val="auto"/>
              </w:rPr>
              <w:t>Evet</w:t>
            </w:r>
          </w:p>
        </w:tc>
      </w:tr>
      <w:tr w:rsidR="00DE12A3" w:rsidRPr="00DE12A3" w14:paraId="35DDE4B5" w14:textId="77777777" w:rsidTr="00173FD1">
        <w:trPr>
          <w:trHeight w:hRule="exact" w:val="1706"/>
        </w:trPr>
        <w:tc>
          <w:tcPr>
            <w:tcW w:w="888" w:type="dxa"/>
            <w:shd w:val="clear" w:color="auto" w:fill="FFFFFF"/>
          </w:tcPr>
          <w:p w14:paraId="067328F6" w14:textId="4D78C1B7" w:rsidR="002D7B36" w:rsidRPr="00DE12A3" w:rsidRDefault="00242DA0" w:rsidP="00C917D6">
            <w:pPr>
              <w:pStyle w:val="Gvdemetni1"/>
              <w:shd w:val="clear" w:color="auto" w:fill="auto"/>
              <w:spacing w:before="120" w:after="120" w:line="240" w:lineRule="auto"/>
              <w:ind w:left="709" w:hanging="709"/>
              <w:jc w:val="both"/>
              <w:rPr>
                <w:color w:val="auto"/>
                <w:sz w:val="24"/>
                <w:szCs w:val="24"/>
              </w:rPr>
            </w:pPr>
            <w:r w:rsidRPr="00DE12A3">
              <w:rPr>
                <w:color w:val="auto"/>
                <w:sz w:val="24"/>
                <w:szCs w:val="24"/>
              </w:rPr>
              <w:t>1</w:t>
            </w:r>
            <w:r w:rsidR="00E27CF1" w:rsidRPr="00DE12A3">
              <w:rPr>
                <w:color w:val="auto"/>
                <w:sz w:val="24"/>
                <w:szCs w:val="24"/>
              </w:rPr>
              <w:t>1</w:t>
            </w:r>
          </w:p>
        </w:tc>
        <w:tc>
          <w:tcPr>
            <w:tcW w:w="5971" w:type="dxa"/>
            <w:shd w:val="clear" w:color="auto" w:fill="FFFFFF"/>
          </w:tcPr>
          <w:p w14:paraId="0AF71E2B" w14:textId="77777777" w:rsidR="002D7B36" w:rsidRPr="00DE12A3" w:rsidRDefault="00242DA0" w:rsidP="00C917D6">
            <w:pPr>
              <w:spacing w:before="120" w:after="120"/>
              <w:ind w:left="709" w:hanging="709"/>
              <w:jc w:val="both"/>
              <w:rPr>
                <w:rFonts w:cs="Times New Roman"/>
                <w:color w:val="auto"/>
              </w:rPr>
            </w:pPr>
            <w:r w:rsidRPr="00DE12A3">
              <w:rPr>
                <w:rFonts w:cs="Times New Roman"/>
                <w:color w:val="auto"/>
              </w:rPr>
              <w:t>Çalıştırma ekipmanları</w:t>
            </w:r>
          </w:p>
        </w:tc>
        <w:tc>
          <w:tcPr>
            <w:tcW w:w="1517" w:type="dxa"/>
            <w:shd w:val="clear" w:color="auto" w:fill="FFFFFF"/>
          </w:tcPr>
          <w:p w14:paraId="454CFEF5" w14:textId="77777777" w:rsidR="002D7B36" w:rsidRPr="00DE12A3" w:rsidRDefault="00242DA0" w:rsidP="00C917D6">
            <w:pPr>
              <w:spacing w:before="120" w:after="120"/>
              <w:ind w:right="-31"/>
              <w:rPr>
                <w:rFonts w:cs="Times New Roman"/>
                <w:color w:val="auto"/>
              </w:rPr>
            </w:pPr>
            <w:r w:rsidRPr="00DE12A3">
              <w:rPr>
                <w:rFonts w:cs="Times New Roman"/>
                <w:color w:val="auto"/>
              </w:rPr>
              <w:t>Evet veya test tezgahı ekipmanları (</w:t>
            </w:r>
            <w:r w:rsidRPr="00DE12A3">
              <w:rPr>
                <w:rFonts w:cs="Times New Roman"/>
                <w:color w:val="auto"/>
                <w:vertAlign w:val="superscript"/>
              </w:rPr>
              <w:t>i</w:t>
            </w:r>
            <w:r w:rsidRPr="00DE12A3">
              <w:rPr>
                <w:rFonts w:cs="Times New Roman"/>
                <w:color w:val="auto"/>
              </w:rPr>
              <w:t>)</w:t>
            </w:r>
          </w:p>
        </w:tc>
      </w:tr>
      <w:tr w:rsidR="00DE12A3" w:rsidRPr="00DE12A3" w14:paraId="2D1D404F" w14:textId="77777777" w:rsidTr="00852D26">
        <w:trPr>
          <w:trHeight w:hRule="exact" w:val="602"/>
        </w:trPr>
        <w:tc>
          <w:tcPr>
            <w:tcW w:w="888" w:type="dxa"/>
            <w:shd w:val="clear" w:color="auto" w:fill="FFFFFF"/>
          </w:tcPr>
          <w:p w14:paraId="1C9BB638" w14:textId="6AB3463F" w:rsidR="002D7B36" w:rsidRPr="00DE12A3" w:rsidRDefault="00242DA0" w:rsidP="00C917D6">
            <w:pPr>
              <w:pStyle w:val="Gvdemetni1"/>
              <w:shd w:val="clear" w:color="auto" w:fill="auto"/>
              <w:spacing w:before="120" w:after="120" w:line="240" w:lineRule="auto"/>
              <w:ind w:left="709" w:hanging="709"/>
              <w:jc w:val="both"/>
              <w:rPr>
                <w:color w:val="auto"/>
                <w:sz w:val="24"/>
                <w:szCs w:val="24"/>
              </w:rPr>
            </w:pPr>
            <w:r w:rsidRPr="00DE12A3">
              <w:rPr>
                <w:color w:val="auto"/>
                <w:sz w:val="24"/>
                <w:szCs w:val="24"/>
              </w:rPr>
              <w:t>1</w:t>
            </w:r>
            <w:r w:rsidR="00E27CF1" w:rsidRPr="00DE12A3">
              <w:rPr>
                <w:color w:val="auto"/>
                <w:sz w:val="24"/>
                <w:szCs w:val="24"/>
              </w:rPr>
              <w:t>2</w:t>
            </w:r>
          </w:p>
        </w:tc>
        <w:tc>
          <w:tcPr>
            <w:tcW w:w="5971" w:type="dxa"/>
            <w:shd w:val="clear" w:color="auto" w:fill="FFFFFF"/>
          </w:tcPr>
          <w:p w14:paraId="1CAA3A3E" w14:textId="77777777" w:rsidR="002D7B36" w:rsidRPr="00DE12A3" w:rsidRDefault="00242DA0" w:rsidP="00C917D6">
            <w:pPr>
              <w:spacing w:before="120" w:after="120"/>
              <w:ind w:left="709" w:hanging="709"/>
              <w:jc w:val="both"/>
              <w:rPr>
                <w:rFonts w:cs="Times New Roman"/>
                <w:color w:val="auto"/>
              </w:rPr>
            </w:pPr>
            <w:r w:rsidRPr="00DE12A3">
              <w:rPr>
                <w:rFonts w:cs="Times New Roman"/>
                <w:color w:val="auto"/>
              </w:rPr>
              <w:t>Motor yağı pompası</w:t>
            </w:r>
          </w:p>
        </w:tc>
        <w:tc>
          <w:tcPr>
            <w:tcW w:w="1517" w:type="dxa"/>
            <w:shd w:val="clear" w:color="auto" w:fill="FFFFFF"/>
          </w:tcPr>
          <w:p w14:paraId="49892355" w14:textId="77777777" w:rsidR="002D7B36" w:rsidRPr="00DE12A3" w:rsidRDefault="00242DA0" w:rsidP="00C917D6">
            <w:pPr>
              <w:spacing w:before="120" w:after="120"/>
              <w:ind w:left="709" w:hanging="709"/>
              <w:jc w:val="both"/>
              <w:rPr>
                <w:rFonts w:cs="Times New Roman"/>
                <w:color w:val="auto"/>
              </w:rPr>
            </w:pPr>
            <w:r w:rsidRPr="00DE12A3">
              <w:rPr>
                <w:rFonts w:cs="Times New Roman"/>
                <w:color w:val="auto"/>
              </w:rPr>
              <w:t>Evet</w:t>
            </w:r>
          </w:p>
        </w:tc>
      </w:tr>
      <w:tr w:rsidR="00DE12A3" w:rsidRPr="00DE12A3" w14:paraId="2516DEB3" w14:textId="77777777" w:rsidTr="00173FD1">
        <w:trPr>
          <w:trHeight w:hRule="exact" w:val="4356"/>
        </w:trPr>
        <w:tc>
          <w:tcPr>
            <w:tcW w:w="888" w:type="dxa"/>
            <w:shd w:val="clear" w:color="auto" w:fill="FFFFFF"/>
          </w:tcPr>
          <w:p w14:paraId="5638D4AA" w14:textId="1F1D4D2E" w:rsidR="002D7B36" w:rsidRPr="00DE12A3" w:rsidRDefault="00242DA0" w:rsidP="00C917D6">
            <w:pPr>
              <w:pStyle w:val="Gvdemetni1"/>
              <w:shd w:val="clear" w:color="auto" w:fill="auto"/>
              <w:spacing w:before="120" w:after="120" w:line="240" w:lineRule="auto"/>
              <w:ind w:left="709" w:hanging="709"/>
              <w:jc w:val="both"/>
              <w:rPr>
                <w:color w:val="auto"/>
                <w:sz w:val="24"/>
                <w:szCs w:val="24"/>
              </w:rPr>
            </w:pPr>
            <w:r w:rsidRPr="00DE12A3">
              <w:rPr>
                <w:color w:val="auto"/>
                <w:sz w:val="24"/>
                <w:szCs w:val="24"/>
              </w:rPr>
              <w:t>1</w:t>
            </w:r>
            <w:r w:rsidR="00E27CF1" w:rsidRPr="00DE12A3">
              <w:rPr>
                <w:color w:val="auto"/>
                <w:sz w:val="24"/>
                <w:szCs w:val="24"/>
              </w:rPr>
              <w:t>3</w:t>
            </w:r>
          </w:p>
        </w:tc>
        <w:tc>
          <w:tcPr>
            <w:tcW w:w="5971" w:type="dxa"/>
            <w:shd w:val="clear" w:color="auto" w:fill="FFFFFF"/>
          </w:tcPr>
          <w:p w14:paraId="5D435FEA" w14:textId="77777777" w:rsidR="002D7B36" w:rsidRPr="00DE12A3" w:rsidRDefault="00242DA0" w:rsidP="00C917D6">
            <w:pPr>
              <w:spacing w:before="120" w:after="120"/>
              <w:ind w:left="99"/>
              <w:jc w:val="both"/>
              <w:rPr>
                <w:rFonts w:cs="Times New Roman"/>
                <w:color w:val="auto"/>
              </w:rPr>
            </w:pPr>
            <w:r w:rsidRPr="00DE12A3">
              <w:rPr>
                <w:rFonts w:cs="Times New Roman"/>
                <w:color w:val="auto"/>
              </w:rPr>
              <w:t>Tanımı, karayolu dışında kullanılan hareketli makinaların çalışmasıyla bağlantılı ve motora monte edilmiş olabilecek bazı yardımcı cihazlar test için sökülür.</w:t>
            </w:r>
          </w:p>
          <w:p w14:paraId="7CC36BE5" w14:textId="77777777" w:rsidR="002D7B36" w:rsidRPr="00DE12A3" w:rsidRDefault="00242DA0" w:rsidP="00C917D6">
            <w:pPr>
              <w:spacing w:before="120" w:after="120"/>
              <w:ind w:left="709" w:hanging="709"/>
              <w:jc w:val="both"/>
              <w:rPr>
                <w:rFonts w:cs="Times New Roman"/>
                <w:color w:val="auto"/>
              </w:rPr>
            </w:pPr>
            <w:r w:rsidRPr="00DE12A3">
              <w:rPr>
                <w:rFonts w:cs="Times New Roman"/>
                <w:color w:val="auto"/>
              </w:rPr>
              <w:t>Aşağıdaki kapsamlı olmayan liste örnek olarak verilmiştir:</w:t>
            </w:r>
          </w:p>
          <w:p w14:paraId="700F32DD" w14:textId="77777777" w:rsidR="002D7B36" w:rsidRPr="00DE12A3" w:rsidRDefault="00235760" w:rsidP="00E20716">
            <w:pPr>
              <w:numPr>
                <w:ilvl w:val="0"/>
                <w:numId w:val="389"/>
              </w:numPr>
              <w:spacing w:before="120" w:after="120"/>
              <w:ind w:left="709" w:hanging="709"/>
              <w:jc w:val="both"/>
              <w:rPr>
                <w:rFonts w:cs="Times New Roman"/>
                <w:color w:val="auto"/>
              </w:rPr>
            </w:pPr>
            <w:r w:rsidRPr="00DE12A3">
              <w:rPr>
                <w:rFonts w:cs="Times New Roman"/>
                <w:color w:val="auto"/>
              </w:rPr>
              <w:t>F</w:t>
            </w:r>
            <w:r w:rsidR="00242DA0" w:rsidRPr="00DE12A3">
              <w:rPr>
                <w:rFonts w:cs="Times New Roman"/>
                <w:color w:val="auto"/>
              </w:rPr>
              <w:t>renler için hava kompresörü</w:t>
            </w:r>
          </w:p>
          <w:p w14:paraId="121F4019" w14:textId="77777777" w:rsidR="002D7B36" w:rsidRPr="00DE12A3" w:rsidRDefault="00235760" w:rsidP="00E20716">
            <w:pPr>
              <w:numPr>
                <w:ilvl w:val="0"/>
                <w:numId w:val="389"/>
              </w:numPr>
              <w:spacing w:before="120" w:after="120"/>
              <w:ind w:left="709" w:hanging="709"/>
              <w:jc w:val="both"/>
              <w:rPr>
                <w:rFonts w:cs="Times New Roman"/>
                <w:color w:val="auto"/>
              </w:rPr>
            </w:pPr>
            <w:r w:rsidRPr="00DE12A3">
              <w:rPr>
                <w:rFonts w:cs="Times New Roman"/>
                <w:color w:val="auto"/>
              </w:rPr>
              <w:t>H</w:t>
            </w:r>
            <w:r w:rsidR="00242DA0" w:rsidRPr="00DE12A3">
              <w:rPr>
                <w:rFonts w:cs="Times New Roman"/>
                <w:color w:val="auto"/>
              </w:rPr>
              <w:t>idrolik direksiyon kompresörü</w:t>
            </w:r>
          </w:p>
          <w:p w14:paraId="53EAC3A4" w14:textId="77777777" w:rsidR="002D7B36" w:rsidRPr="00DE12A3" w:rsidRDefault="00235760" w:rsidP="00E20716">
            <w:pPr>
              <w:numPr>
                <w:ilvl w:val="0"/>
                <w:numId w:val="389"/>
              </w:numPr>
              <w:spacing w:before="120" w:after="120"/>
              <w:ind w:left="709" w:hanging="709"/>
              <w:jc w:val="both"/>
              <w:rPr>
                <w:rFonts w:cs="Times New Roman"/>
                <w:color w:val="auto"/>
              </w:rPr>
            </w:pPr>
            <w:r w:rsidRPr="00DE12A3">
              <w:rPr>
                <w:rFonts w:cs="Times New Roman"/>
                <w:color w:val="auto"/>
              </w:rPr>
              <w:t>Süspansiyon</w:t>
            </w:r>
            <w:r w:rsidR="00242DA0" w:rsidRPr="00DE12A3">
              <w:rPr>
                <w:rFonts w:cs="Times New Roman"/>
                <w:color w:val="auto"/>
              </w:rPr>
              <w:t xml:space="preserve"> kompresörü</w:t>
            </w:r>
          </w:p>
          <w:p w14:paraId="70604C22" w14:textId="4226AB43" w:rsidR="002D7B36" w:rsidRPr="00DE12A3" w:rsidRDefault="00235760" w:rsidP="00E20716">
            <w:pPr>
              <w:numPr>
                <w:ilvl w:val="0"/>
                <w:numId w:val="389"/>
              </w:numPr>
              <w:spacing w:before="120" w:after="120"/>
              <w:ind w:left="709" w:hanging="709"/>
              <w:jc w:val="both"/>
              <w:rPr>
                <w:rFonts w:cs="Times New Roman"/>
                <w:color w:val="auto"/>
              </w:rPr>
            </w:pPr>
            <w:r w:rsidRPr="00DE12A3">
              <w:rPr>
                <w:rFonts w:cs="Times New Roman"/>
                <w:color w:val="auto"/>
              </w:rPr>
              <w:t>Klima</w:t>
            </w:r>
            <w:r w:rsidR="00242DA0" w:rsidRPr="00DE12A3">
              <w:rPr>
                <w:rFonts w:cs="Times New Roman"/>
                <w:color w:val="auto"/>
              </w:rPr>
              <w:t xml:space="preserve"> sistemi</w:t>
            </w:r>
          </w:p>
        </w:tc>
        <w:tc>
          <w:tcPr>
            <w:tcW w:w="1517" w:type="dxa"/>
            <w:shd w:val="clear" w:color="auto" w:fill="FFFFFF"/>
          </w:tcPr>
          <w:p w14:paraId="3955A139" w14:textId="77777777" w:rsidR="002D7B36" w:rsidRPr="00DE12A3" w:rsidRDefault="00242DA0" w:rsidP="00C917D6">
            <w:pPr>
              <w:spacing w:before="120" w:after="120"/>
              <w:ind w:left="709" w:hanging="709"/>
              <w:jc w:val="both"/>
              <w:rPr>
                <w:rFonts w:cs="Times New Roman"/>
                <w:color w:val="auto"/>
              </w:rPr>
            </w:pPr>
            <w:r w:rsidRPr="00DE12A3">
              <w:rPr>
                <w:rFonts w:cs="Times New Roman"/>
                <w:color w:val="auto"/>
              </w:rPr>
              <w:t>Hayır</w:t>
            </w:r>
          </w:p>
        </w:tc>
      </w:tr>
    </w:tbl>
    <w:p w14:paraId="7E5047F2" w14:textId="77777777" w:rsidR="002D7B36" w:rsidRPr="00DE12A3" w:rsidRDefault="002D7B36" w:rsidP="00C917D6">
      <w:pPr>
        <w:pStyle w:val="Gvdemetni251"/>
        <w:shd w:val="clear" w:color="auto" w:fill="auto"/>
        <w:tabs>
          <w:tab w:val="left" w:pos="1751"/>
          <w:tab w:val="left" w:pos="2194"/>
          <w:tab w:val="left" w:pos="2458"/>
          <w:tab w:val="left" w:pos="3465"/>
          <w:tab w:val="right" w:pos="5654"/>
        </w:tabs>
        <w:spacing w:before="120" w:after="120" w:line="240" w:lineRule="auto"/>
        <w:ind w:left="709" w:hanging="709"/>
        <w:rPr>
          <w:color w:val="auto"/>
          <w:sz w:val="20"/>
          <w:szCs w:val="20"/>
        </w:rPr>
      </w:pPr>
    </w:p>
    <w:p w14:paraId="68E51BB4" w14:textId="77777777" w:rsidR="002D7B36" w:rsidRPr="00DE12A3" w:rsidRDefault="00242DA0" w:rsidP="00C917D6">
      <w:pPr>
        <w:pStyle w:val="Gvdemetni1"/>
        <w:shd w:val="clear" w:color="auto" w:fill="auto"/>
        <w:spacing w:before="120" w:after="120" w:line="240" w:lineRule="auto"/>
        <w:ind w:left="1134" w:hanging="1134"/>
        <w:jc w:val="both"/>
        <w:rPr>
          <w:color w:val="auto"/>
          <w:sz w:val="24"/>
          <w:szCs w:val="24"/>
        </w:rPr>
      </w:pPr>
      <w:r w:rsidRPr="00DE12A3">
        <w:rPr>
          <w:color w:val="auto"/>
          <w:sz w:val="24"/>
          <w:szCs w:val="24"/>
        </w:rPr>
        <w:t>(</w:t>
      </w:r>
      <w:r w:rsidRPr="00DE12A3">
        <w:rPr>
          <w:color w:val="auto"/>
          <w:sz w:val="24"/>
          <w:szCs w:val="24"/>
          <w:vertAlign w:val="superscript"/>
        </w:rPr>
        <w:t>a</w:t>
      </w:r>
      <w:r w:rsidRPr="00DE12A3">
        <w:rPr>
          <w:color w:val="auto"/>
          <w:sz w:val="24"/>
          <w:szCs w:val="24"/>
        </w:rPr>
        <w:t>)</w:t>
      </w:r>
      <w:r w:rsidRPr="00DE12A3">
        <w:rPr>
          <w:color w:val="auto"/>
          <w:sz w:val="16"/>
          <w:szCs w:val="16"/>
        </w:rPr>
        <w:tab/>
      </w:r>
      <w:r w:rsidRPr="00DE12A3">
        <w:rPr>
          <w:color w:val="auto"/>
          <w:sz w:val="24"/>
          <w:szCs w:val="24"/>
        </w:rPr>
        <w:t>Komple giriş sistemi, aşağıdaki durumlarda amaçlanan uygulama için öngörüldüğü şekilde takılmalıdır:</w:t>
      </w:r>
    </w:p>
    <w:p w14:paraId="3864ADEB" w14:textId="6085031A" w:rsidR="002D7B36" w:rsidRPr="00DE12A3" w:rsidRDefault="00242DA0" w:rsidP="00C917D6">
      <w:pPr>
        <w:pStyle w:val="Gvdemetni1"/>
        <w:shd w:val="clear" w:color="auto" w:fill="auto"/>
        <w:tabs>
          <w:tab w:val="left" w:pos="436"/>
        </w:tabs>
        <w:spacing w:before="120" w:after="120" w:line="240" w:lineRule="auto"/>
        <w:ind w:left="1701" w:hanging="567"/>
        <w:jc w:val="both"/>
        <w:rPr>
          <w:color w:val="auto"/>
          <w:sz w:val="24"/>
          <w:szCs w:val="24"/>
        </w:rPr>
      </w:pPr>
      <w:r w:rsidRPr="00DE12A3">
        <w:rPr>
          <w:color w:val="auto"/>
          <w:sz w:val="24"/>
          <w:szCs w:val="24"/>
        </w:rPr>
        <w:t>(i)</w:t>
      </w:r>
      <w:r w:rsidRPr="00DE12A3">
        <w:rPr>
          <w:color w:val="auto"/>
          <w:sz w:val="24"/>
          <w:szCs w:val="24"/>
        </w:rPr>
        <w:tab/>
      </w:r>
      <w:r w:rsidR="00173FD1" w:rsidRPr="00DE12A3">
        <w:rPr>
          <w:color w:val="auto"/>
          <w:sz w:val="24"/>
          <w:szCs w:val="24"/>
        </w:rPr>
        <w:t>M</w:t>
      </w:r>
      <w:r w:rsidRPr="00DE12A3">
        <w:rPr>
          <w:color w:val="auto"/>
          <w:sz w:val="24"/>
          <w:szCs w:val="24"/>
        </w:rPr>
        <w:t>otor gücü üzerinde kayda değer bir etki riski olduğunda</w:t>
      </w:r>
      <w:r w:rsidR="00ED46C8" w:rsidRPr="00DE12A3">
        <w:rPr>
          <w:color w:val="auto"/>
          <w:sz w:val="24"/>
          <w:szCs w:val="24"/>
        </w:rPr>
        <w:t>.</w:t>
      </w:r>
    </w:p>
    <w:p w14:paraId="0970EEEF" w14:textId="77777777" w:rsidR="002D7B36" w:rsidRPr="00DE12A3" w:rsidRDefault="00242DA0" w:rsidP="00C917D6">
      <w:pPr>
        <w:pStyle w:val="Gvdemetni1"/>
        <w:shd w:val="clear" w:color="auto" w:fill="auto"/>
        <w:tabs>
          <w:tab w:val="left" w:pos="436"/>
        </w:tabs>
        <w:spacing w:before="120" w:after="120" w:line="240" w:lineRule="auto"/>
        <w:ind w:left="1701" w:hanging="567"/>
        <w:jc w:val="both"/>
        <w:rPr>
          <w:color w:val="auto"/>
          <w:sz w:val="24"/>
          <w:szCs w:val="24"/>
        </w:rPr>
      </w:pPr>
      <w:r w:rsidRPr="00DE12A3">
        <w:rPr>
          <w:color w:val="auto"/>
          <w:sz w:val="24"/>
          <w:szCs w:val="24"/>
        </w:rPr>
        <w:t>(ii)</w:t>
      </w:r>
      <w:r w:rsidRPr="00DE12A3">
        <w:rPr>
          <w:color w:val="auto"/>
          <w:sz w:val="24"/>
          <w:szCs w:val="24"/>
        </w:rPr>
        <w:tab/>
      </w:r>
      <w:r w:rsidR="00173FD1" w:rsidRPr="00DE12A3">
        <w:rPr>
          <w:color w:val="auto"/>
          <w:sz w:val="24"/>
          <w:szCs w:val="24"/>
        </w:rPr>
        <w:t>İ</w:t>
      </w:r>
      <w:r w:rsidRPr="00DE12A3">
        <w:rPr>
          <w:color w:val="auto"/>
          <w:sz w:val="24"/>
          <w:szCs w:val="24"/>
        </w:rPr>
        <w:t>malatçı bunun yapılmasını istediğinde.</w:t>
      </w:r>
    </w:p>
    <w:p w14:paraId="4C8B0324" w14:textId="77777777" w:rsidR="002D7B36" w:rsidRPr="00DE12A3" w:rsidRDefault="00173FD1" w:rsidP="00C917D6">
      <w:pPr>
        <w:pStyle w:val="Gvdemetni1"/>
        <w:shd w:val="clear" w:color="auto" w:fill="auto"/>
        <w:spacing w:before="120" w:after="120" w:line="240" w:lineRule="auto"/>
        <w:ind w:left="1134" w:hanging="1134"/>
        <w:jc w:val="both"/>
        <w:rPr>
          <w:color w:val="auto"/>
          <w:sz w:val="24"/>
          <w:szCs w:val="24"/>
        </w:rPr>
      </w:pPr>
      <w:r w:rsidRPr="00DE12A3">
        <w:rPr>
          <w:color w:val="auto"/>
          <w:sz w:val="24"/>
          <w:szCs w:val="24"/>
        </w:rPr>
        <w:t xml:space="preserve">                  </w:t>
      </w:r>
      <w:r w:rsidR="00242DA0" w:rsidRPr="00DE12A3">
        <w:rPr>
          <w:color w:val="auto"/>
          <w:sz w:val="24"/>
          <w:szCs w:val="24"/>
        </w:rPr>
        <w:t>Diğer durumlarda, denk bir sistem kullanılabilir ve emme basıncının imalatçı tarafından temiz hava filtresi için belirtilen üst sınırdan 100 Pa'dan daha fazla farklı olmadığından emin olmak için bir kontrol yapılmalıdır.</w:t>
      </w:r>
    </w:p>
    <w:p w14:paraId="0C045E63" w14:textId="77777777" w:rsidR="002D7B36" w:rsidRPr="00DE12A3" w:rsidRDefault="00242DA0" w:rsidP="00C917D6">
      <w:pPr>
        <w:pStyle w:val="Gvdemetni1"/>
        <w:shd w:val="clear" w:color="auto" w:fill="auto"/>
        <w:tabs>
          <w:tab w:val="left" w:pos="436"/>
          <w:tab w:val="left" w:pos="1418"/>
        </w:tabs>
        <w:spacing w:before="120" w:after="120" w:line="240" w:lineRule="auto"/>
        <w:ind w:left="1134" w:hanging="1134"/>
        <w:jc w:val="both"/>
        <w:rPr>
          <w:color w:val="auto"/>
          <w:sz w:val="24"/>
          <w:szCs w:val="24"/>
        </w:rPr>
      </w:pPr>
      <w:r w:rsidRPr="00DE12A3">
        <w:rPr>
          <w:color w:val="auto"/>
          <w:sz w:val="24"/>
          <w:szCs w:val="24"/>
        </w:rPr>
        <w:t>(</w:t>
      </w:r>
      <w:r w:rsidRPr="00DE12A3">
        <w:rPr>
          <w:color w:val="auto"/>
          <w:sz w:val="24"/>
          <w:szCs w:val="24"/>
          <w:vertAlign w:val="superscript"/>
        </w:rPr>
        <w:t>b</w:t>
      </w:r>
      <w:r w:rsidRPr="00DE12A3">
        <w:rPr>
          <w:color w:val="auto"/>
          <w:sz w:val="24"/>
          <w:szCs w:val="24"/>
        </w:rPr>
        <w:t>)</w:t>
      </w:r>
      <w:r w:rsidRPr="00DE12A3">
        <w:rPr>
          <w:color w:val="auto"/>
          <w:sz w:val="24"/>
          <w:szCs w:val="24"/>
        </w:rPr>
        <w:tab/>
      </w:r>
      <w:r w:rsidR="00173FD1" w:rsidRPr="00DE12A3">
        <w:rPr>
          <w:color w:val="auto"/>
          <w:sz w:val="24"/>
          <w:szCs w:val="24"/>
        </w:rPr>
        <w:t xml:space="preserve">           </w:t>
      </w:r>
      <w:r w:rsidRPr="00DE12A3">
        <w:rPr>
          <w:color w:val="auto"/>
          <w:sz w:val="24"/>
          <w:szCs w:val="24"/>
        </w:rPr>
        <w:t>Komple egzoz sistemi, aşağıdaki durumlarda amaçlanan uygulama için öngörüldüğü şekilde takılmalıdır:</w:t>
      </w:r>
    </w:p>
    <w:p w14:paraId="1EA5BB6E" w14:textId="69D4ED83" w:rsidR="002D7B36" w:rsidRPr="00DE12A3" w:rsidRDefault="00242DA0" w:rsidP="00C917D6">
      <w:pPr>
        <w:tabs>
          <w:tab w:val="left" w:pos="436"/>
          <w:tab w:val="left" w:pos="1418"/>
          <w:tab w:val="left" w:pos="1560"/>
        </w:tabs>
        <w:spacing w:before="120" w:after="120"/>
        <w:ind w:left="1701" w:hanging="567"/>
        <w:jc w:val="both"/>
        <w:rPr>
          <w:rFonts w:eastAsia="Times New Roman" w:cs="Times New Roman"/>
          <w:color w:val="auto"/>
          <w:spacing w:val="4"/>
        </w:rPr>
      </w:pPr>
      <w:r w:rsidRPr="00DE12A3">
        <w:rPr>
          <w:rFonts w:eastAsia="Times New Roman" w:cs="Times New Roman"/>
          <w:color w:val="auto"/>
          <w:spacing w:val="4"/>
          <w:shd w:val="clear" w:color="auto" w:fill="FFFFFF"/>
        </w:rPr>
        <w:t>(i)</w:t>
      </w:r>
      <w:r w:rsidRPr="00DE12A3">
        <w:rPr>
          <w:rFonts w:eastAsia="Times New Roman" w:cs="Times New Roman"/>
          <w:color w:val="auto"/>
          <w:spacing w:val="4"/>
          <w:shd w:val="clear" w:color="auto" w:fill="FFFFFF"/>
        </w:rPr>
        <w:tab/>
      </w:r>
      <w:r w:rsidR="00173FD1" w:rsidRPr="00DE12A3">
        <w:rPr>
          <w:rFonts w:eastAsia="Times New Roman" w:cs="Times New Roman"/>
          <w:color w:val="auto"/>
          <w:spacing w:val="4"/>
          <w:shd w:val="clear" w:color="auto" w:fill="FFFFFF"/>
        </w:rPr>
        <w:t xml:space="preserve">     M</w:t>
      </w:r>
      <w:r w:rsidRPr="00DE12A3">
        <w:rPr>
          <w:rFonts w:eastAsia="Times New Roman" w:cs="Times New Roman"/>
          <w:color w:val="auto"/>
          <w:spacing w:val="4"/>
        </w:rPr>
        <w:t>otor gücü üzerinde kayda değer bir etki riski olduğunda</w:t>
      </w:r>
      <w:r w:rsidR="00ED46C8" w:rsidRPr="00DE12A3">
        <w:rPr>
          <w:rFonts w:eastAsia="Times New Roman" w:cs="Times New Roman"/>
          <w:color w:val="auto"/>
          <w:spacing w:val="4"/>
          <w:shd w:val="clear" w:color="auto" w:fill="FFFFFF"/>
        </w:rPr>
        <w:t>.</w:t>
      </w:r>
    </w:p>
    <w:p w14:paraId="57143F08" w14:textId="77777777" w:rsidR="002D7B36" w:rsidRPr="00DE12A3" w:rsidRDefault="00242DA0" w:rsidP="00C917D6">
      <w:pPr>
        <w:tabs>
          <w:tab w:val="left" w:pos="436"/>
        </w:tabs>
        <w:spacing w:before="120" w:after="120"/>
        <w:ind w:left="1701" w:hanging="567"/>
        <w:jc w:val="both"/>
        <w:rPr>
          <w:rFonts w:eastAsia="Times New Roman" w:cs="Times New Roman"/>
          <w:color w:val="auto"/>
          <w:spacing w:val="4"/>
        </w:rPr>
      </w:pPr>
      <w:r w:rsidRPr="00DE12A3">
        <w:rPr>
          <w:rFonts w:eastAsia="Times New Roman" w:cs="Times New Roman"/>
          <w:color w:val="auto"/>
          <w:spacing w:val="4"/>
          <w:shd w:val="clear" w:color="auto" w:fill="FFFFFF"/>
        </w:rPr>
        <w:t>(ii)</w:t>
      </w:r>
      <w:r w:rsidRPr="00DE12A3">
        <w:rPr>
          <w:rFonts w:eastAsia="Times New Roman" w:cs="Times New Roman"/>
          <w:color w:val="auto"/>
          <w:spacing w:val="4"/>
          <w:shd w:val="clear" w:color="auto" w:fill="FFFFFF"/>
        </w:rPr>
        <w:tab/>
      </w:r>
      <w:r w:rsidR="00173FD1" w:rsidRPr="00DE12A3">
        <w:rPr>
          <w:rFonts w:eastAsia="Times New Roman" w:cs="Times New Roman"/>
          <w:color w:val="auto"/>
          <w:spacing w:val="4"/>
          <w:shd w:val="clear" w:color="auto" w:fill="FFFFFF"/>
        </w:rPr>
        <w:t>İ</w:t>
      </w:r>
      <w:r w:rsidRPr="00DE12A3">
        <w:rPr>
          <w:rFonts w:eastAsia="Times New Roman" w:cs="Times New Roman"/>
          <w:color w:val="auto"/>
          <w:spacing w:val="4"/>
        </w:rPr>
        <w:t>malatçı bunun yapılmasını istediğinde</w:t>
      </w:r>
      <w:r w:rsidRPr="00DE12A3">
        <w:rPr>
          <w:rFonts w:eastAsia="Times New Roman" w:cs="Times New Roman"/>
          <w:color w:val="auto"/>
          <w:spacing w:val="4"/>
          <w:shd w:val="clear" w:color="auto" w:fill="FFFFFF"/>
        </w:rPr>
        <w:t>.</w:t>
      </w:r>
    </w:p>
    <w:p w14:paraId="3EC2E81A" w14:textId="375291E2" w:rsidR="002D7B36" w:rsidRPr="00DE12A3" w:rsidRDefault="00242DA0" w:rsidP="00C917D6">
      <w:pPr>
        <w:pStyle w:val="Gvdemetni1"/>
        <w:shd w:val="clear" w:color="auto" w:fill="auto"/>
        <w:spacing w:before="120" w:after="120" w:line="240" w:lineRule="auto"/>
        <w:ind w:left="1134" w:hanging="1134"/>
        <w:jc w:val="both"/>
        <w:rPr>
          <w:color w:val="auto"/>
          <w:sz w:val="24"/>
          <w:szCs w:val="24"/>
        </w:rPr>
      </w:pPr>
      <w:r w:rsidRPr="00DE12A3">
        <w:rPr>
          <w:color w:val="auto"/>
          <w:sz w:val="24"/>
          <w:szCs w:val="24"/>
        </w:rPr>
        <w:tab/>
        <w:t>Diğer durumlarda, ölçülen basıncın imalatçı tarafından belirtilen üst sınırdan 1000 Pa'dan daha fazla farklı olmaması kaydıyla denk bir sistem kurulabilir.</w:t>
      </w:r>
    </w:p>
    <w:p w14:paraId="564F1140" w14:textId="75B36BAE" w:rsidR="002D7B36" w:rsidRPr="00DE12A3" w:rsidRDefault="00242DA0" w:rsidP="00C917D6">
      <w:pPr>
        <w:pStyle w:val="Gvdemetni1"/>
        <w:shd w:val="clear" w:color="auto" w:fill="auto"/>
        <w:spacing w:before="120" w:after="120" w:line="240" w:lineRule="auto"/>
        <w:ind w:left="1134" w:hanging="1134"/>
        <w:jc w:val="both"/>
        <w:rPr>
          <w:color w:val="auto"/>
          <w:sz w:val="24"/>
          <w:szCs w:val="24"/>
        </w:rPr>
      </w:pPr>
      <w:r w:rsidRPr="00DE12A3">
        <w:rPr>
          <w:color w:val="auto"/>
          <w:sz w:val="24"/>
          <w:szCs w:val="24"/>
        </w:rPr>
        <w:t>(</w:t>
      </w:r>
      <w:r w:rsidR="00E27CF1" w:rsidRPr="00DE12A3">
        <w:rPr>
          <w:color w:val="auto"/>
          <w:sz w:val="24"/>
          <w:szCs w:val="24"/>
          <w:vertAlign w:val="superscript"/>
        </w:rPr>
        <w:t>c</w:t>
      </w:r>
      <w:r w:rsidRPr="00DE12A3">
        <w:rPr>
          <w:color w:val="auto"/>
          <w:sz w:val="24"/>
          <w:szCs w:val="24"/>
        </w:rPr>
        <w:t>)</w:t>
      </w:r>
      <w:r w:rsidRPr="00DE12A3">
        <w:rPr>
          <w:color w:val="auto"/>
          <w:sz w:val="24"/>
          <w:szCs w:val="24"/>
        </w:rPr>
        <w:tab/>
        <w:t>Motorda bir egzoz sistemi freni kullanılıyorsa, gaz kelebeği tam açık konumda sabitlenmelidir.</w:t>
      </w:r>
    </w:p>
    <w:p w14:paraId="32559BFE" w14:textId="7F36F794" w:rsidR="002D7B36" w:rsidRPr="00DE12A3" w:rsidRDefault="00242DA0" w:rsidP="00C917D6">
      <w:pPr>
        <w:pStyle w:val="Gvdemetni1"/>
        <w:shd w:val="clear" w:color="auto" w:fill="auto"/>
        <w:spacing w:before="120" w:after="120" w:line="240" w:lineRule="auto"/>
        <w:ind w:left="1134" w:hanging="1134"/>
        <w:jc w:val="both"/>
        <w:rPr>
          <w:color w:val="auto"/>
          <w:sz w:val="24"/>
          <w:szCs w:val="24"/>
        </w:rPr>
      </w:pPr>
      <w:r w:rsidRPr="00DE12A3">
        <w:rPr>
          <w:color w:val="auto"/>
          <w:sz w:val="24"/>
          <w:szCs w:val="24"/>
        </w:rPr>
        <w:t>(</w:t>
      </w:r>
      <w:r w:rsidR="00E27CF1" w:rsidRPr="00DE12A3">
        <w:rPr>
          <w:color w:val="auto"/>
          <w:sz w:val="24"/>
          <w:szCs w:val="24"/>
          <w:vertAlign w:val="superscript"/>
        </w:rPr>
        <w:t>d</w:t>
      </w:r>
      <w:r w:rsidRPr="00DE12A3">
        <w:rPr>
          <w:color w:val="auto"/>
          <w:sz w:val="24"/>
          <w:szCs w:val="24"/>
        </w:rPr>
        <w:t>)</w:t>
      </w:r>
      <w:r w:rsidRPr="00DE12A3">
        <w:rPr>
          <w:color w:val="auto"/>
          <w:sz w:val="24"/>
          <w:szCs w:val="24"/>
        </w:rPr>
        <w:tab/>
        <w:t>Gerekirse, (özellikle bir "yakıt geri dönüş" sistemi kullanıldığında) söz konusu motor uygulamasında mevcut basıncı yeniden üretmek için yakıt besleme basıncı ayarlanabilir.</w:t>
      </w:r>
    </w:p>
    <w:p w14:paraId="194E2DA7" w14:textId="7101AEA1" w:rsidR="002D7B36" w:rsidRPr="00DE12A3" w:rsidRDefault="00242DA0" w:rsidP="00C917D6">
      <w:pPr>
        <w:pStyle w:val="Gvdemetni1"/>
        <w:shd w:val="clear" w:color="auto" w:fill="auto"/>
        <w:spacing w:before="120" w:after="120" w:line="240" w:lineRule="auto"/>
        <w:ind w:left="1134" w:hanging="1134"/>
        <w:jc w:val="both"/>
        <w:rPr>
          <w:color w:val="auto"/>
          <w:sz w:val="24"/>
          <w:szCs w:val="24"/>
        </w:rPr>
      </w:pPr>
      <w:r w:rsidRPr="00DE12A3">
        <w:rPr>
          <w:color w:val="auto"/>
          <w:sz w:val="24"/>
          <w:szCs w:val="24"/>
        </w:rPr>
        <w:t>(</w:t>
      </w:r>
      <w:r w:rsidR="00E27CF1" w:rsidRPr="00DE12A3">
        <w:rPr>
          <w:color w:val="auto"/>
          <w:sz w:val="24"/>
          <w:szCs w:val="24"/>
          <w:vertAlign w:val="superscript"/>
        </w:rPr>
        <w:t>e</w:t>
      </w:r>
      <w:r w:rsidRPr="00DE12A3">
        <w:rPr>
          <w:color w:val="auto"/>
          <w:sz w:val="24"/>
          <w:szCs w:val="24"/>
        </w:rPr>
        <w:t>)</w:t>
      </w:r>
      <w:r w:rsidRPr="00DE12A3">
        <w:rPr>
          <w:color w:val="auto"/>
          <w:sz w:val="24"/>
          <w:szCs w:val="24"/>
        </w:rPr>
        <w:tab/>
        <w:t>Soğutma suyu dev</w:t>
      </w:r>
      <w:r w:rsidR="00ED46C8" w:rsidRPr="00DE12A3">
        <w:rPr>
          <w:color w:val="auto"/>
          <w:sz w:val="24"/>
          <w:szCs w:val="24"/>
        </w:rPr>
        <w:t>ir</w:t>
      </w:r>
      <w:r w:rsidRPr="00DE12A3">
        <w:rPr>
          <w:color w:val="auto"/>
          <w:sz w:val="24"/>
          <w:szCs w:val="24"/>
        </w:rPr>
        <w:t>daimi sadece motor su pompası tarafından çalıştırılmalıdır. Sıvının soğutulması, bir dış devre tarafından, bu devrenin basınç kaybı ve pompa girişindeki basınç motor soğutma sistemine ait olanlarla büyük ölçüde aynı kalacak şekilde sağlanabilir.</w:t>
      </w:r>
    </w:p>
    <w:p w14:paraId="673A12FE" w14:textId="6895459B" w:rsidR="002D7B36" w:rsidRPr="00DE12A3" w:rsidRDefault="00242DA0" w:rsidP="00C917D6">
      <w:pPr>
        <w:pStyle w:val="Gvdemetni1"/>
        <w:shd w:val="clear" w:color="auto" w:fill="auto"/>
        <w:tabs>
          <w:tab w:val="left" w:pos="436"/>
        </w:tabs>
        <w:spacing w:before="120" w:after="120" w:line="240" w:lineRule="auto"/>
        <w:ind w:left="1134" w:hanging="1134"/>
        <w:jc w:val="both"/>
        <w:rPr>
          <w:color w:val="auto"/>
          <w:sz w:val="24"/>
          <w:szCs w:val="24"/>
        </w:rPr>
      </w:pPr>
      <w:r w:rsidRPr="00DE12A3">
        <w:rPr>
          <w:color w:val="auto"/>
          <w:sz w:val="24"/>
          <w:szCs w:val="24"/>
        </w:rPr>
        <w:t>(</w:t>
      </w:r>
      <w:r w:rsidR="00E27CF1" w:rsidRPr="00DE12A3">
        <w:rPr>
          <w:color w:val="auto"/>
          <w:sz w:val="24"/>
          <w:szCs w:val="24"/>
          <w:vertAlign w:val="superscript"/>
        </w:rPr>
        <w:t>f</w:t>
      </w:r>
      <w:r w:rsidRPr="00DE12A3">
        <w:rPr>
          <w:color w:val="auto"/>
          <w:sz w:val="24"/>
          <w:szCs w:val="24"/>
        </w:rPr>
        <w:t>)</w:t>
      </w:r>
      <w:r w:rsidRPr="00DE12A3">
        <w:rPr>
          <w:color w:val="auto"/>
          <w:sz w:val="24"/>
          <w:szCs w:val="24"/>
        </w:rPr>
        <w:tab/>
      </w:r>
      <w:r w:rsidR="00235760" w:rsidRPr="00DE12A3">
        <w:rPr>
          <w:color w:val="auto"/>
          <w:sz w:val="24"/>
          <w:szCs w:val="24"/>
        </w:rPr>
        <w:t xml:space="preserve">          </w:t>
      </w:r>
      <w:r w:rsidRPr="00DE12A3">
        <w:rPr>
          <w:color w:val="auto"/>
          <w:sz w:val="24"/>
          <w:szCs w:val="24"/>
        </w:rPr>
        <w:t>Termostat tamamen açık konumda sabitlenebilir.</w:t>
      </w:r>
    </w:p>
    <w:p w14:paraId="39F7845F" w14:textId="4B0430B7" w:rsidR="002D7B36" w:rsidRPr="00DE12A3" w:rsidRDefault="00E27CF1" w:rsidP="00C917D6">
      <w:pPr>
        <w:pStyle w:val="Gvdemetni1"/>
        <w:shd w:val="clear" w:color="auto" w:fill="auto"/>
        <w:tabs>
          <w:tab w:val="left" w:pos="436"/>
        </w:tabs>
        <w:spacing w:before="120" w:after="120" w:line="240" w:lineRule="auto"/>
        <w:ind w:left="1134" w:hanging="1134"/>
        <w:jc w:val="both"/>
        <w:rPr>
          <w:color w:val="auto"/>
          <w:sz w:val="24"/>
          <w:szCs w:val="24"/>
        </w:rPr>
      </w:pPr>
      <w:r w:rsidRPr="00DE12A3">
        <w:rPr>
          <w:color w:val="auto"/>
          <w:sz w:val="24"/>
          <w:szCs w:val="24"/>
        </w:rPr>
        <w:t>(</w:t>
      </w:r>
      <w:r w:rsidRPr="00DE12A3">
        <w:rPr>
          <w:color w:val="auto"/>
          <w:sz w:val="24"/>
          <w:szCs w:val="24"/>
          <w:vertAlign w:val="superscript"/>
        </w:rPr>
        <w:t>g</w:t>
      </w:r>
      <w:r w:rsidRPr="00DE12A3">
        <w:rPr>
          <w:color w:val="auto"/>
          <w:sz w:val="24"/>
          <w:szCs w:val="24"/>
        </w:rPr>
        <w:t>)</w:t>
      </w:r>
      <w:r w:rsidR="00235760" w:rsidRPr="00DE12A3">
        <w:rPr>
          <w:color w:val="auto"/>
          <w:sz w:val="24"/>
          <w:szCs w:val="24"/>
        </w:rPr>
        <w:t xml:space="preserve">         </w:t>
      </w:r>
      <w:r w:rsidR="00242DA0" w:rsidRPr="00DE12A3">
        <w:rPr>
          <w:color w:val="auto"/>
          <w:sz w:val="24"/>
          <w:szCs w:val="24"/>
        </w:rPr>
        <w:t>Test için soğutma fanı veya üfleyici takıldığında, hava soğutmalı motorların doğrudan krank miline takılan soğutma fanları haricinde, çekilen güç sonuçlara eklenmelidir. Fan veya üfleyici gücü, test için kullanılan devirlerde, standart özellikler kullanılarak hesaplanmak suretiyle ya da pratik testler yoluyla belirlenmelidir.</w:t>
      </w:r>
    </w:p>
    <w:p w14:paraId="679E1224" w14:textId="78B86F4B" w:rsidR="002D7B36" w:rsidRPr="00DE12A3" w:rsidRDefault="00242DA0" w:rsidP="00C917D6">
      <w:pPr>
        <w:pStyle w:val="Gvdemetni1"/>
        <w:shd w:val="clear" w:color="auto" w:fill="auto"/>
        <w:tabs>
          <w:tab w:val="left" w:pos="436"/>
        </w:tabs>
        <w:spacing w:before="120" w:after="120" w:line="240" w:lineRule="auto"/>
        <w:ind w:left="1134" w:hanging="1134"/>
        <w:jc w:val="both"/>
        <w:rPr>
          <w:color w:val="auto"/>
          <w:sz w:val="24"/>
          <w:szCs w:val="24"/>
        </w:rPr>
      </w:pPr>
      <w:r w:rsidRPr="00DE12A3">
        <w:rPr>
          <w:color w:val="auto"/>
          <w:sz w:val="24"/>
          <w:szCs w:val="24"/>
        </w:rPr>
        <w:t>(</w:t>
      </w:r>
      <w:r w:rsidR="00E27CF1" w:rsidRPr="00DE12A3">
        <w:rPr>
          <w:color w:val="auto"/>
          <w:sz w:val="24"/>
          <w:szCs w:val="24"/>
          <w:vertAlign w:val="superscript"/>
        </w:rPr>
        <w:t>h</w:t>
      </w:r>
      <w:r w:rsidRPr="00DE12A3">
        <w:rPr>
          <w:color w:val="auto"/>
          <w:sz w:val="24"/>
          <w:szCs w:val="24"/>
        </w:rPr>
        <w:t>)</w:t>
      </w:r>
      <w:r w:rsidRPr="00DE12A3">
        <w:rPr>
          <w:color w:val="auto"/>
          <w:sz w:val="24"/>
          <w:szCs w:val="24"/>
        </w:rPr>
        <w:tab/>
      </w:r>
      <w:r w:rsidR="00235760" w:rsidRPr="00DE12A3">
        <w:rPr>
          <w:color w:val="auto"/>
          <w:sz w:val="24"/>
          <w:szCs w:val="24"/>
        </w:rPr>
        <w:t xml:space="preserve">           </w:t>
      </w:r>
      <w:r w:rsidRPr="00DE12A3">
        <w:rPr>
          <w:color w:val="auto"/>
          <w:sz w:val="24"/>
          <w:szCs w:val="24"/>
        </w:rPr>
        <w:t>Ara soğutuculu motorlar, sıvı veya hava soğutmalı olsun, ara soğutucu ile test edilmelidir</w:t>
      </w:r>
      <w:r w:rsidR="00ED46C8" w:rsidRPr="00DE12A3">
        <w:rPr>
          <w:color w:val="auto"/>
          <w:sz w:val="24"/>
          <w:szCs w:val="24"/>
        </w:rPr>
        <w:t>.</w:t>
      </w:r>
      <w:r w:rsidRPr="00DE12A3">
        <w:rPr>
          <w:color w:val="auto"/>
          <w:sz w:val="24"/>
          <w:szCs w:val="24"/>
        </w:rPr>
        <w:t xml:space="preserve"> </w:t>
      </w:r>
      <w:r w:rsidR="00ED46C8" w:rsidRPr="00DE12A3">
        <w:rPr>
          <w:color w:val="auto"/>
          <w:sz w:val="24"/>
          <w:szCs w:val="24"/>
        </w:rPr>
        <w:t>A</w:t>
      </w:r>
      <w:r w:rsidRPr="00DE12A3">
        <w:rPr>
          <w:color w:val="auto"/>
          <w:sz w:val="24"/>
          <w:szCs w:val="24"/>
        </w:rPr>
        <w:t>ncak imalatçı tercih ederse, hava soğutucunun yerini bir test tezgahı sistemi alabilir. Her iki durumda da, her devirde güç ölçümü, test tezgahı sistemindeki ara soğutucu boyunca, imalatçı tarafından belirtilenler gibi motor havasının azami basınç düşüşü ve asgari sıcaklık düşüşü ile yapılmalıdır.</w:t>
      </w:r>
    </w:p>
    <w:p w14:paraId="362AE2EB" w14:textId="5692867B" w:rsidR="002D7B36" w:rsidRPr="00DE12A3" w:rsidRDefault="00242DA0" w:rsidP="00C917D6">
      <w:pPr>
        <w:pStyle w:val="Gvdemetni1"/>
        <w:shd w:val="clear" w:color="auto" w:fill="auto"/>
        <w:tabs>
          <w:tab w:val="left" w:pos="436"/>
        </w:tabs>
        <w:spacing w:before="120" w:after="120" w:line="240" w:lineRule="auto"/>
        <w:ind w:left="1134" w:hanging="1134"/>
        <w:jc w:val="both"/>
        <w:rPr>
          <w:color w:val="auto"/>
          <w:sz w:val="24"/>
          <w:szCs w:val="24"/>
        </w:rPr>
      </w:pPr>
      <w:r w:rsidRPr="00DE12A3">
        <w:rPr>
          <w:color w:val="auto"/>
          <w:sz w:val="24"/>
          <w:szCs w:val="24"/>
        </w:rPr>
        <w:t>(</w:t>
      </w:r>
      <w:r w:rsidR="00E27CF1" w:rsidRPr="00DE12A3">
        <w:rPr>
          <w:color w:val="auto"/>
          <w:sz w:val="24"/>
          <w:szCs w:val="24"/>
          <w:vertAlign w:val="superscript"/>
        </w:rPr>
        <w:t>i</w:t>
      </w:r>
      <w:r w:rsidRPr="00DE12A3">
        <w:rPr>
          <w:color w:val="auto"/>
          <w:sz w:val="24"/>
          <w:szCs w:val="24"/>
        </w:rPr>
        <w:t>)</w:t>
      </w:r>
      <w:r w:rsidR="00235760" w:rsidRPr="00DE12A3">
        <w:rPr>
          <w:color w:val="auto"/>
          <w:sz w:val="24"/>
          <w:szCs w:val="24"/>
        </w:rPr>
        <w:t xml:space="preserve">      </w:t>
      </w:r>
      <w:r w:rsidRPr="00DE12A3">
        <w:rPr>
          <w:color w:val="auto"/>
          <w:sz w:val="24"/>
          <w:szCs w:val="24"/>
        </w:rPr>
        <w:tab/>
        <w:t>Elektrikli veya diğer çalıştırma sistemlerinin gücü test tezgahından sağlanmalıdır.</w:t>
      </w:r>
    </w:p>
    <w:p w14:paraId="2650242B" w14:textId="77777777" w:rsidR="002D7B36" w:rsidRPr="00DE12A3" w:rsidRDefault="002D7B36" w:rsidP="00C917D6">
      <w:pPr>
        <w:spacing w:before="120" w:after="120"/>
        <w:ind w:left="1134" w:hanging="1134"/>
        <w:jc w:val="both"/>
        <w:rPr>
          <w:rFonts w:eastAsia="Times New Roman" w:cs="Times New Roman"/>
          <w:color w:val="auto"/>
          <w:lang w:eastAsia="en-US"/>
        </w:rPr>
      </w:pPr>
    </w:p>
    <w:p w14:paraId="6B885471" w14:textId="1CD9027A" w:rsidR="00D27F95" w:rsidRPr="00DE12A3" w:rsidRDefault="00D27F95">
      <w:pPr>
        <w:widowControl/>
        <w:rPr>
          <w:rFonts w:eastAsia="Times New Roman" w:cs="Times New Roman"/>
          <w:color w:val="auto"/>
          <w:sz w:val="20"/>
          <w:szCs w:val="20"/>
          <w:lang w:eastAsia="en-US"/>
        </w:rPr>
      </w:pPr>
      <w:r w:rsidRPr="00DE12A3">
        <w:rPr>
          <w:rFonts w:eastAsia="Times New Roman" w:cs="Times New Roman"/>
          <w:color w:val="auto"/>
          <w:sz w:val="20"/>
          <w:szCs w:val="20"/>
          <w:lang w:eastAsia="en-US"/>
        </w:rPr>
        <w:br w:type="page"/>
      </w:r>
    </w:p>
    <w:p w14:paraId="597EE234" w14:textId="77777777" w:rsidR="002D7B36" w:rsidRPr="00DE12A3" w:rsidRDefault="00242DA0" w:rsidP="00D27F95">
      <w:pPr>
        <w:pStyle w:val="Balk2"/>
        <w:rPr>
          <w:color w:val="auto"/>
        </w:rPr>
      </w:pPr>
      <w:r w:rsidRPr="00DE12A3">
        <w:rPr>
          <w:color w:val="auto"/>
        </w:rPr>
        <w:lastRenderedPageBreak/>
        <w:t>3. Açıklayıcı Ek</w:t>
      </w:r>
    </w:p>
    <w:p w14:paraId="73B8BB6E" w14:textId="77777777" w:rsidR="002D7B36" w:rsidRPr="00DE12A3" w:rsidRDefault="00242DA0" w:rsidP="00404C7D">
      <w:pPr>
        <w:jc w:val="center"/>
        <w:rPr>
          <w:b/>
          <w:bCs/>
          <w:color w:val="auto"/>
        </w:rPr>
      </w:pPr>
      <w:r w:rsidRPr="00DE12A3">
        <w:rPr>
          <w:b/>
          <w:bCs/>
          <w:color w:val="auto"/>
        </w:rPr>
        <w:t>Elektronik kontrol ünitesi tarafından yayınlanan tork sinyalinin doğrulanması</w:t>
      </w:r>
    </w:p>
    <w:p w14:paraId="6EC8594D" w14:textId="77777777" w:rsidR="00404C7D" w:rsidRPr="00DE12A3" w:rsidRDefault="00404C7D" w:rsidP="00404C7D">
      <w:pPr>
        <w:rPr>
          <w:b/>
          <w:bCs/>
          <w:color w:val="auto"/>
        </w:rPr>
      </w:pPr>
    </w:p>
    <w:p w14:paraId="10FB634D" w14:textId="1BFA5CD7" w:rsidR="002D7B36" w:rsidRPr="00DE12A3" w:rsidRDefault="00404C7D" w:rsidP="00404C7D">
      <w:pPr>
        <w:rPr>
          <w:b/>
          <w:bCs/>
          <w:color w:val="auto"/>
        </w:rPr>
      </w:pPr>
      <w:r w:rsidRPr="00DE12A3">
        <w:rPr>
          <w:b/>
          <w:bCs/>
          <w:color w:val="auto"/>
        </w:rPr>
        <w:t xml:space="preserve">1. </w:t>
      </w:r>
      <w:r w:rsidR="00242DA0" w:rsidRPr="00DE12A3">
        <w:rPr>
          <w:b/>
          <w:bCs/>
          <w:color w:val="auto"/>
        </w:rPr>
        <w:t>Giriş</w:t>
      </w:r>
    </w:p>
    <w:p w14:paraId="171D29A9" w14:textId="4E3E0ECD" w:rsidR="002D7B36" w:rsidRPr="00DE12A3" w:rsidRDefault="00242DA0" w:rsidP="00404C7D">
      <w:pPr>
        <w:pStyle w:val="Gvdemetni251"/>
        <w:shd w:val="clear" w:color="auto" w:fill="auto"/>
        <w:spacing w:before="120" w:after="120" w:line="240" w:lineRule="auto"/>
        <w:ind w:firstLine="0"/>
        <w:rPr>
          <w:color w:val="auto"/>
          <w:sz w:val="24"/>
          <w:szCs w:val="24"/>
        </w:rPr>
      </w:pPr>
      <w:r w:rsidRPr="00DE12A3">
        <w:rPr>
          <w:color w:val="auto"/>
          <w:sz w:val="24"/>
          <w:szCs w:val="24"/>
        </w:rPr>
        <w:t>Bu Açıklayıcı Ekin amacı, imalatçının 2017/655</w:t>
      </w:r>
      <w:r w:rsidR="00EE5D5E" w:rsidRPr="00DE12A3">
        <w:rPr>
          <w:color w:val="auto"/>
          <w:sz w:val="24"/>
          <w:szCs w:val="24"/>
        </w:rPr>
        <w:t>/AB</w:t>
      </w:r>
      <w:r w:rsidRPr="00DE12A3">
        <w:rPr>
          <w:color w:val="auto"/>
          <w:sz w:val="24"/>
          <w:szCs w:val="24"/>
        </w:rPr>
        <w:t xml:space="preserve"> </w:t>
      </w:r>
      <w:r w:rsidR="00B32A92" w:rsidRPr="00DE12A3">
        <w:rPr>
          <w:color w:val="auto"/>
          <w:sz w:val="24"/>
          <w:szCs w:val="24"/>
        </w:rPr>
        <w:t>T</w:t>
      </w:r>
      <w:r w:rsidR="00EE5D5E" w:rsidRPr="00DE12A3">
        <w:rPr>
          <w:color w:val="auto"/>
          <w:sz w:val="24"/>
          <w:szCs w:val="24"/>
        </w:rPr>
        <w:t>ebliğ</w:t>
      </w:r>
      <w:r w:rsidR="00B32A92" w:rsidRPr="00DE12A3">
        <w:rPr>
          <w:color w:val="auto"/>
          <w:sz w:val="24"/>
          <w:szCs w:val="24"/>
        </w:rPr>
        <w:t>i</w:t>
      </w:r>
      <w:r w:rsidRPr="00DE12A3">
        <w:rPr>
          <w:color w:val="auto"/>
          <w:sz w:val="24"/>
          <w:szCs w:val="24"/>
        </w:rPr>
        <w:t xml:space="preserve"> uyarınca hizmet içi izleme testlerinin yürütülmesi sırasında bu donanıma sahip motorların elektronik kontrol ünitesi (ECU) tarafından yayınlanan tork sinyalini kullanmayı amaçlaması durumunda doğrulama </w:t>
      </w:r>
      <w:r w:rsidR="0053289F" w:rsidRPr="00DE12A3">
        <w:rPr>
          <w:color w:val="auto"/>
          <w:sz w:val="24"/>
          <w:szCs w:val="24"/>
        </w:rPr>
        <w:t>gerekliliklerini</w:t>
      </w:r>
      <w:r w:rsidRPr="00DE12A3">
        <w:rPr>
          <w:color w:val="auto"/>
          <w:sz w:val="24"/>
          <w:szCs w:val="24"/>
        </w:rPr>
        <w:t xml:space="preserve"> ortaya koymaktır.</w:t>
      </w:r>
    </w:p>
    <w:p w14:paraId="54D40412" w14:textId="42AE54D1" w:rsidR="002D7B36" w:rsidRPr="00DE12A3" w:rsidRDefault="00242DA0" w:rsidP="00404C7D">
      <w:pPr>
        <w:pStyle w:val="Gvdemetni251"/>
        <w:shd w:val="clear" w:color="auto" w:fill="auto"/>
        <w:spacing w:before="120" w:after="120" w:line="240" w:lineRule="auto"/>
        <w:ind w:firstLine="0"/>
        <w:rPr>
          <w:color w:val="auto"/>
          <w:sz w:val="24"/>
          <w:szCs w:val="24"/>
        </w:rPr>
      </w:pPr>
      <w:r w:rsidRPr="00DE12A3">
        <w:rPr>
          <w:color w:val="auto"/>
          <w:sz w:val="24"/>
          <w:szCs w:val="24"/>
        </w:rPr>
        <w:t xml:space="preserve">Net tork için esas, </w:t>
      </w:r>
      <w:r w:rsidR="0007544E" w:rsidRPr="00DE12A3">
        <w:rPr>
          <w:color w:val="auto"/>
          <w:sz w:val="24"/>
          <w:szCs w:val="24"/>
        </w:rPr>
        <w:t>2. Açıklayıcı Ek</w:t>
      </w:r>
      <w:r w:rsidR="003C361A" w:rsidRPr="00DE12A3">
        <w:rPr>
          <w:color w:val="auto"/>
          <w:sz w:val="24"/>
          <w:szCs w:val="24"/>
        </w:rPr>
        <w:t xml:space="preserve"> </w:t>
      </w:r>
      <w:r w:rsidRPr="00DE12A3">
        <w:rPr>
          <w:color w:val="auto"/>
          <w:sz w:val="24"/>
          <w:szCs w:val="24"/>
        </w:rPr>
        <w:t>uyarınca bir emisyon testine dahil edilecek ekipmanları ve yardımcı cihazları içeren motor tarafından sağlanan düzeltilmemiş net tork olmalıdır.</w:t>
      </w:r>
    </w:p>
    <w:p w14:paraId="64AD11E9" w14:textId="68FA85B8" w:rsidR="002D7B36" w:rsidRPr="00DE12A3" w:rsidRDefault="00404C7D" w:rsidP="00404C7D">
      <w:pPr>
        <w:rPr>
          <w:b/>
          <w:bCs/>
          <w:color w:val="auto"/>
        </w:rPr>
      </w:pPr>
      <w:r w:rsidRPr="00DE12A3">
        <w:rPr>
          <w:b/>
          <w:bCs/>
          <w:color w:val="auto"/>
        </w:rPr>
        <w:t xml:space="preserve">2. </w:t>
      </w:r>
      <w:r w:rsidR="00242DA0" w:rsidRPr="00DE12A3">
        <w:rPr>
          <w:b/>
          <w:bCs/>
          <w:color w:val="auto"/>
        </w:rPr>
        <w:t>ECU tork sinyali</w:t>
      </w:r>
    </w:p>
    <w:p w14:paraId="5E94FCA5" w14:textId="6CBE3E09" w:rsidR="002D7B36" w:rsidRPr="00DE12A3" w:rsidRDefault="00242DA0" w:rsidP="00404C7D">
      <w:pPr>
        <w:pStyle w:val="Gvdemetni251"/>
        <w:shd w:val="clear" w:color="auto" w:fill="auto"/>
        <w:spacing w:before="120" w:after="120" w:line="240" w:lineRule="auto"/>
        <w:ind w:firstLine="0"/>
        <w:rPr>
          <w:color w:val="auto"/>
          <w:sz w:val="24"/>
          <w:szCs w:val="24"/>
        </w:rPr>
      </w:pPr>
      <w:r w:rsidRPr="00DE12A3">
        <w:rPr>
          <w:color w:val="auto"/>
          <w:sz w:val="24"/>
          <w:szCs w:val="24"/>
        </w:rPr>
        <w:t xml:space="preserve">Eşleme prosedürünü yürütmek için motor test tezgahına monte </w:t>
      </w:r>
      <w:r w:rsidR="003B5C00" w:rsidRPr="00DE12A3">
        <w:rPr>
          <w:color w:val="auto"/>
          <w:sz w:val="24"/>
          <w:szCs w:val="24"/>
        </w:rPr>
        <w:t>edildiğine, 2017</w:t>
      </w:r>
      <w:r w:rsidRPr="00DE12A3">
        <w:rPr>
          <w:color w:val="auto"/>
          <w:sz w:val="24"/>
          <w:szCs w:val="24"/>
        </w:rPr>
        <w:t>/655</w:t>
      </w:r>
      <w:r w:rsidR="00EE5D5E" w:rsidRPr="00DE12A3">
        <w:rPr>
          <w:color w:val="auto"/>
          <w:sz w:val="24"/>
          <w:szCs w:val="24"/>
        </w:rPr>
        <w:t>/AB</w:t>
      </w:r>
      <w:r w:rsidRPr="00DE12A3">
        <w:rPr>
          <w:color w:val="auto"/>
          <w:sz w:val="24"/>
          <w:szCs w:val="24"/>
        </w:rPr>
        <w:t xml:space="preserve"> </w:t>
      </w:r>
      <w:r w:rsidR="00EE5D5E" w:rsidRPr="00DE12A3">
        <w:rPr>
          <w:color w:val="auto"/>
          <w:sz w:val="24"/>
          <w:szCs w:val="24"/>
        </w:rPr>
        <w:t>Tebliği</w:t>
      </w:r>
      <w:r w:rsidR="00966EFF" w:rsidRPr="00DE12A3">
        <w:rPr>
          <w:color w:val="auto"/>
          <w:sz w:val="24"/>
          <w:szCs w:val="24"/>
        </w:rPr>
        <w:t>nin</w:t>
      </w:r>
      <w:r w:rsidR="00EE5D5E" w:rsidRPr="00DE12A3">
        <w:rPr>
          <w:color w:val="auto"/>
          <w:sz w:val="24"/>
          <w:szCs w:val="24"/>
        </w:rPr>
        <w:t xml:space="preserve"> </w:t>
      </w:r>
      <w:r w:rsidRPr="00DE12A3">
        <w:rPr>
          <w:color w:val="auto"/>
          <w:sz w:val="24"/>
          <w:szCs w:val="24"/>
        </w:rPr>
        <w:t>I</w:t>
      </w:r>
      <w:r w:rsidR="00EE5D5E" w:rsidRPr="00DE12A3">
        <w:rPr>
          <w:color w:val="auto"/>
          <w:sz w:val="24"/>
          <w:szCs w:val="24"/>
        </w:rPr>
        <w:t xml:space="preserve">’inci </w:t>
      </w:r>
      <w:r w:rsidR="00EC3EF0" w:rsidRPr="00DE12A3">
        <w:rPr>
          <w:color w:val="auto"/>
          <w:sz w:val="24"/>
          <w:szCs w:val="24"/>
        </w:rPr>
        <w:t>Ekinin</w:t>
      </w:r>
      <w:r w:rsidRPr="00DE12A3">
        <w:rPr>
          <w:color w:val="auto"/>
          <w:sz w:val="24"/>
          <w:szCs w:val="24"/>
        </w:rPr>
        <w:t xml:space="preserve"> </w:t>
      </w:r>
      <w:r w:rsidR="00CD23C3" w:rsidRPr="00DE12A3">
        <w:rPr>
          <w:color w:val="auto"/>
          <w:sz w:val="24"/>
          <w:szCs w:val="24"/>
        </w:rPr>
        <w:t>6. Açıklayıcı Ek</w:t>
      </w:r>
      <w:r w:rsidRPr="00DE12A3">
        <w:rPr>
          <w:color w:val="auto"/>
          <w:sz w:val="24"/>
          <w:szCs w:val="24"/>
        </w:rPr>
        <w:t>i uyarınca ECU tarafından yayınlanan tork sinyalini okumak için imkanlar sağlanmalıdır.</w:t>
      </w:r>
    </w:p>
    <w:p w14:paraId="14AD4074" w14:textId="2EE95C30" w:rsidR="002D7B36" w:rsidRPr="00DE12A3" w:rsidRDefault="00404C7D" w:rsidP="00404C7D">
      <w:pPr>
        <w:rPr>
          <w:b/>
          <w:bCs/>
          <w:color w:val="auto"/>
        </w:rPr>
      </w:pPr>
      <w:r w:rsidRPr="00DE12A3">
        <w:rPr>
          <w:b/>
          <w:bCs/>
          <w:color w:val="auto"/>
        </w:rPr>
        <w:t xml:space="preserve">3. </w:t>
      </w:r>
      <w:r w:rsidR="00242DA0" w:rsidRPr="00DE12A3">
        <w:rPr>
          <w:b/>
          <w:bCs/>
          <w:color w:val="auto"/>
        </w:rPr>
        <w:t>Doğrulama prosedürü</w:t>
      </w:r>
    </w:p>
    <w:p w14:paraId="558E54F1" w14:textId="20940EA9" w:rsidR="002D7B36" w:rsidRPr="00DE12A3" w:rsidRDefault="00242DA0" w:rsidP="00404C7D">
      <w:pPr>
        <w:pStyle w:val="Gvdemetni251"/>
        <w:shd w:val="clear" w:color="auto" w:fill="auto"/>
        <w:spacing w:before="120" w:after="120" w:line="240" w:lineRule="auto"/>
        <w:ind w:firstLine="0"/>
        <w:rPr>
          <w:color w:val="auto"/>
          <w:sz w:val="24"/>
          <w:szCs w:val="24"/>
        </w:rPr>
      </w:pPr>
      <w:r w:rsidRPr="00DE12A3">
        <w:rPr>
          <w:color w:val="auto"/>
          <w:sz w:val="24"/>
          <w:szCs w:val="24"/>
        </w:rPr>
        <w:t xml:space="preserve">Eşleme prosedürü bu Ekin 7.6.2 </w:t>
      </w:r>
      <w:r w:rsidR="00ED46C8" w:rsidRPr="00DE12A3">
        <w:rPr>
          <w:color w:val="auto"/>
          <w:sz w:val="24"/>
          <w:szCs w:val="24"/>
        </w:rPr>
        <w:t xml:space="preserve">bendi </w:t>
      </w:r>
      <w:r w:rsidRPr="00DE12A3">
        <w:rPr>
          <w:color w:val="auto"/>
          <w:sz w:val="24"/>
          <w:szCs w:val="24"/>
        </w:rPr>
        <w:t>uyarınca yürütülürken, dinamometre ile ölçülen tork okumaları ve ECU tarafından yayınlanan tork, tork eğrisi üzerinde en az üç noktada eşzamanlı olarak alınmalıdır. Okumalardan en az biri, eğri üzerinde torkun azami değerin % 98'inden az olmadığı bir noktada alınmalıdır.</w:t>
      </w:r>
    </w:p>
    <w:p w14:paraId="505D813C" w14:textId="766B0FA6" w:rsidR="002D7B36" w:rsidRPr="00DE12A3" w:rsidRDefault="001A3093" w:rsidP="00404C7D">
      <w:pPr>
        <w:pStyle w:val="Gvdemetni251"/>
        <w:shd w:val="clear" w:color="auto" w:fill="auto"/>
        <w:tabs>
          <w:tab w:val="left" w:pos="398"/>
        </w:tabs>
        <w:spacing w:before="120" w:after="120" w:line="240" w:lineRule="auto"/>
        <w:ind w:firstLine="0"/>
        <w:rPr>
          <w:color w:val="auto"/>
          <w:sz w:val="24"/>
          <w:szCs w:val="24"/>
        </w:rPr>
      </w:pPr>
      <w:r w:rsidRPr="00DE12A3">
        <w:rPr>
          <w:color w:val="auto"/>
          <w:sz w:val="24"/>
          <w:szCs w:val="24"/>
        </w:rPr>
        <w:t>Ö</w:t>
      </w:r>
      <w:r w:rsidR="00242DA0" w:rsidRPr="00DE12A3">
        <w:rPr>
          <w:color w:val="auto"/>
          <w:sz w:val="24"/>
          <w:szCs w:val="24"/>
        </w:rPr>
        <w:t xml:space="preserve">lçümlerin yapıldığı her noktada, dinamometreden gelen tork değerinin ECU'dan gelen tork değerine bölünmesiyle hesaplanan faktör 0,93'ten az değilse (yani, </w:t>
      </w:r>
      <w:r w:rsidR="00F466F2" w:rsidRPr="00DE12A3">
        <w:rPr>
          <w:color w:val="auto"/>
          <w:sz w:val="24"/>
          <w:szCs w:val="24"/>
        </w:rPr>
        <w:t>%7</w:t>
      </w:r>
      <w:r w:rsidR="00242DA0" w:rsidRPr="00DE12A3">
        <w:rPr>
          <w:color w:val="auto"/>
          <w:sz w:val="24"/>
          <w:szCs w:val="24"/>
        </w:rPr>
        <w:t>'lik azami fark), ECU tarafından yayınlanan tork düzeltilmeden kabul edilir. Bu durumda, ECU tarafından yayınlanan torkun düzeltme olmadan doğrulandığı tip onayı sertifikasına kaydedilmelidir. Bir veya daha fazla test noktasındaki faktörün 0,93'ten az olması durumunda, ortalama düzeltme faktörü, okumaların alındığı ve tip onayı sertifikasına kaydedildiği tüm noktalardan belirlenmelidir. Tip onayı belgesinde bir faktörün kaydedilmesi durumunda, 2017/655</w:t>
      </w:r>
      <w:r w:rsidR="00EE5D5E" w:rsidRPr="00DE12A3">
        <w:rPr>
          <w:color w:val="auto"/>
          <w:sz w:val="24"/>
          <w:szCs w:val="24"/>
        </w:rPr>
        <w:t>/AB</w:t>
      </w:r>
      <w:r w:rsidR="00242DA0" w:rsidRPr="00DE12A3">
        <w:rPr>
          <w:color w:val="auto"/>
          <w:sz w:val="24"/>
          <w:szCs w:val="24"/>
        </w:rPr>
        <w:t xml:space="preserve"> </w:t>
      </w:r>
      <w:r w:rsidR="00966EFF" w:rsidRPr="00DE12A3">
        <w:rPr>
          <w:color w:val="auto"/>
          <w:sz w:val="24"/>
          <w:szCs w:val="24"/>
        </w:rPr>
        <w:t>T</w:t>
      </w:r>
      <w:r w:rsidR="00EE5D5E" w:rsidRPr="00DE12A3">
        <w:rPr>
          <w:color w:val="auto"/>
          <w:sz w:val="24"/>
          <w:szCs w:val="24"/>
        </w:rPr>
        <w:t>ebliğ</w:t>
      </w:r>
      <w:r w:rsidR="00242DA0" w:rsidRPr="00DE12A3">
        <w:rPr>
          <w:color w:val="auto"/>
          <w:sz w:val="24"/>
          <w:szCs w:val="24"/>
        </w:rPr>
        <w:t xml:space="preserve"> uyarınca hizmet içi izleme testleri yapılırken ECU tarafından yayı</w:t>
      </w:r>
      <w:r w:rsidR="00AD4AF2" w:rsidRPr="00DE12A3">
        <w:rPr>
          <w:color w:val="auto"/>
          <w:sz w:val="24"/>
          <w:szCs w:val="24"/>
        </w:rPr>
        <w:t>m</w:t>
      </w:r>
      <w:r w:rsidR="00242DA0" w:rsidRPr="00DE12A3">
        <w:rPr>
          <w:color w:val="auto"/>
          <w:sz w:val="24"/>
          <w:szCs w:val="24"/>
        </w:rPr>
        <w:t>lanan tork için uygulanmalıdır.</w:t>
      </w:r>
    </w:p>
    <w:p w14:paraId="401FF155" w14:textId="77777777" w:rsidR="002D7B36" w:rsidRPr="00DE12A3" w:rsidRDefault="002D7B36" w:rsidP="00C917D6">
      <w:pPr>
        <w:spacing w:before="120" w:after="120"/>
        <w:ind w:left="709" w:hanging="709"/>
        <w:jc w:val="both"/>
        <w:rPr>
          <w:rFonts w:eastAsia="Times New Roman" w:cs="Times New Roman"/>
          <w:color w:val="auto"/>
          <w:sz w:val="20"/>
          <w:szCs w:val="20"/>
          <w:lang w:eastAsia="en-US"/>
        </w:rPr>
      </w:pPr>
    </w:p>
    <w:p w14:paraId="247A1BA1" w14:textId="579184A0" w:rsidR="00404C7D" w:rsidRPr="00DE12A3" w:rsidRDefault="00404C7D">
      <w:pPr>
        <w:widowControl/>
        <w:rPr>
          <w:rFonts w:eastAsia="Times New Roman" w:cs="Times New Roman"/>
          <w:color w:val="auto"/>
          <w:sz w:val="20"/>
          <w:szCs w:val="20"/>
          <w:lang w:eastAsia="en-US"/>
        </w:rPr>
      </w:pPr>
      <w:r w:rsidRPr="00DE12A3">
        <w:rPr>
          <w:rFonts w:eastAsia="Times New Roman" w:cs="Times New Roman"/>
          <w:color w:val="auto"/>
          <w:sz w:val="20"/>
          <w:szCs w:val="20"/>
          <w:lang w:eastAsia="en-US"/>
        </w:rPr>
        <w:br w:type="page"/>
      </w:r>
    </w:p>
    <w:p w14:paraId="5EACC426" w14:textId="77777777" w:rsidR="002D7B36" w:rsidRPr="00DE12A3" w:rsidRDefault="00242DA0" w:rsidP="00D27F95">
      <w:pPr>
        <w:pStyle w:val="Balk2"/>
        <w:rPr>
          <w:color w:val="auto"/>
        </w:rPr>
      </w:pPr>
      <w:r w:rsidRPr="00DE12A3">
        <w:rPr>
          <w:color w:val="auto"/>
        </w:rPr>
        <w:lastRenderedPageBreak/>
        <w:t>4. Açıklayıcı Ek</w:t>
      </w:r>
    </w:p>
    <w:p w14:paraId="24EDD85F" w14:textId="77777777" w:rsidR="002D7B36" w:rsidRPr="00DE12A3" w:rsidRDefault="00242DA0" w:rsidP="00404C7D">
      <w:pPr>
        <w:jc w:val="center"/>
        <w:rPr>
          <w:b/>
          <w:bCs/>
          <w:color w:val="auto"/>
        </w:rPr>
      </w:pPr>
      <w:r w:rsidRPr="00DE12A3">
        <w:rPr>
          <w:b/>
          <w:bCs/>
          <w:color w:val="auto"/>
        </w:rPr>
        <w:t>Amonyak ölçümüne ilişkin prosedür</w:t>
      </w:r>
    </w:p>
    <w:p w14:paraId="539283EF" w14:textId="10101402" w:rsidR="002D7B36" w:rsidRPr="00DE12A3" w:rsidRDefault="00235760" w:rsidP="00E20716">
      <w:pPr>
        <w:pStyle w:val="Gvdemetni251"/>
        <w:numPr>
          <w:ilvl w:val="0"/>
          <w:numId w:val="390"/>
        </w:numPr>
        <w:shd w:val="clear" w:color="auto" w:fill="auto"/>
        <w:spacing w:before="120" w:after="120" w:line="240" w:lineRule="auto"/>
        <w:ind w:left="1134" w:hanging="1134"/>
        <w:rPr>
          <w:color w:val="auto"/>
          <w:sz w:val="24"/>
          <w:szCs w:val="24"/>
        </w:rPr>
      </w:pPr>
      <w:r w:rsidRPr="00DE12A3">
        <w:rPr>
          <w:b/>
          <w:color w:val="auto"/>
          <w:sz w:val="24"/>
          <w:szCs w:val="24"/>
        </w:rPr>
        <w:t xml:space="preserve">       </w:t>
      </w:r>
      <w:r w:rsidR="00242DA0" w:rsidRPr="00DE12A3">
        <w:rPr>
          <w:color w:val="auto"/>
          <w:sz w:val="24"/>
          <w:szCs w:val="24"/>
        </w:rPr>
        <w:t xml:space="preserve">Bu </w:t>
      </w:r>
      <w:r w:rsidR="003C361A" w:rsidRPr="00DE12A3">
        <w:rPr>
          <w:color w:val="auto"/>
          <w:sz w:val="24"/>
          <w:szCs w:val="24"/>
        </w:rPr>
        <w:t>A</w:t>
      </w:r>
      <w:r w:rsidR="00242DA0" w:rsidRPr="00DE12A3">
        <w:rPr>
          <w:color w:val="auto"/>
          <w:sz w:val="24"/>
          <w:szCs w:val="24"/>
        </w:rPr>
        <w:t xml:space="preserve">çıklayıcı </w:t>
      </w:r>
      <w:r w:rsidR="003B7064" w:rsidRPr="00DE12A3">
        <w:rPr>
          <w:color w:val="auto"/>
          <w:sz w:val="24"/>
          <w:szCs w:val="24"/>
        </w:rPr>
        <w:t>E</w:t>
      </w:r>
      <w:r w:rsidR="00242DA0" w:rsidRPr="00DE12A3">
        <w:rPr>
          <w:color w:val="auto"/>
          <w:sz w:val="24"/>
          <w:szCs w:val="24"/>
        </w:rPr>
        <w:t>kte, amonyak (NH</w:t>
      </w:r>
      <w:r w:rsidR="00242DA0" w:rsidRPr="00DE12A3">
        <w:rPr>
          <w:color w:val="auto"/>
          <w:sz w:val="24"/>
          <w:szCs w:val="24"/>
          <w:vertAlign w:val="subscript"/>
        </w:rPr>
        <w:t>3</w:t>
      </w:r>
      <w:r w:rsidR="00242DA0" w:rsidRPr="00DE12A3">
        <w:rPr>
          <w:color w:val="auto"/>
          <w:sz w:val="24"/>
          <w:szCs w:val="24"/>
        </w:rPr>
        <w:t xml:space="preserve">) ölçümüne ilişkin prosedür açıklanmaktadır. </w:t>
      </w:r>
      <w:r w:rsidRPr="00DE12A3">
        <w:rPr>
          <w:color w:val="auto"/>
          <w:sz w:val="24"/>
          <w:szCs w:val="24"/>
        </w:rPr>
        <w:t xml:space="preserve">      </w:t>
      </w:r>
      <w:r w:rsidR="00242DA0" w:rsidRPr="00DE12A3">
        <w:rPr>
          <w:color w:val="auto"/>
          <w:sz w:val="24"/>
          <w:szCs w:val="24"/>
        </w:rPr>
        <w:t>Doğrusal olmayan analiz cihazları için, doğrusallaştırma devrelerinin kullanımına izin verilir.</w:t>
      </w:r>
    </w:p>
    <w:p w14:paraId="36DC5658" w14:textId="32C7F7C5" w:rsidR="002D7B36" w:rsidRPr="00DE12A3" w:rsidRDefault="00235760" w:rsidP="00E20716">
      <w:pPr>
        <w:pStyle w:val="Gvdemetni251"/>
        <w:numPr>
          <w:ilvl w:val="0"/>
          <w:numId w:val="390"/>
        </w:numPr>
        <w:shd w:val="clear" w:color="auto" w:fill="auto"/>
        <w:spacing w:before="120" w:after="120" w:line="240" w:lineRule="auto"/>
        <w:ind w:left="1134" w:hanging="1134"/>
        <w:rPr>
          <w:color w:val="auto"/>
          <w:sz w:val="24"/>
          <w:szCs w:val="24"/>
        </w:rPr>
      </w:pPr>
      <w:r w:rsidRPr="00DE12A3">
        <w:rPr>
          <w:b/>
          <w:color w:val="auto"/>
          <w:sz w:val="24"/>
          <w:szCs w:val="24"/>
        </w:rPr>
        <w:t xml:space="preserve">       </w:t>
      </w:r>
      <w:r w:rsidR="00242DA0" w:rsidRPr="00DE12A3">
        <w:rPr>
          <w:color w:val="auto"/>
          <w:sz w:val="24"/>
          <w:szCs w:val="24"/>
        </w:rPr>
        <w:t>NH</w:t>
      </w:r>
      <w:r w:rsidR="00242DA0" w:rsidRPr="00DE12A3">
        <w:rPr>
          <w:color w:val="auto"/>
          <w:sz w:val="24"/>
          <w:szCs w:val="24"/>
          <w:vertAlign w:val="subscript"/>
        </w:rPr>
        <w:t>3</w:t>
      </w:r>
      <w:r w:rsidR="00242DA0" w:rsidRPr="00DE12A3">
        <w:rPr>
          <w:color w:val="auto"/>
          <w:sz w:val="24"/>
          <w:szCs w:val="24"/>
        </w:rPr>
        <w:t xml:space="preserve"> ölçümü için üç ölçüm ilkesi belirtilmiştir ve sırasıyla </w:t>
      </w:r>
      <w:r w:rsidR="00ED46C8" w:rsidRPr="00DE12A3">
        <w:rPr>
          <w:color w:val="auto"/>
          <w:sz w:val="24"/>
          <w:szCs w:val="24"/>
        </w:rPr>
        <w:t xml:space="preserve">bu Açıklayıcı Ekin </w:t>
      </w:r>
      <w:r w:rsidR="00242DA0" w:rsidRPr="00DE12A3">
        <w:rPr>
          <w:color w:val="auto"/>
          <w:sz w:val="24"/>
          <w:szCs w:val="24"/>
        </w:rPr>
        <w:t>2.1, 2.2 veya 2.3 bentlerinde belirtilen kriterleri sağlaması koşuluyla ilkelerin her biri kullanılabilir. NH</w:t>
      </w:r>
      <w:r w:rsidR="00242DA0" w:rsidRPr="00DE12A3">
        <w:rPr>
          <w:color w:val="auto"/>
          <w:sz w:val="24"/>
          <w:szCs w:val="24"/>
          <w:vertAlign w:val="subscript"/>
        </w:rPr>
        <w:t>3</w:t>
      </w:r>
      <w:r w:rsidR="00242DA0" w:rsidRPr="00DE12A3">
        <w:rPr>
          <w:color w:val="auto"/>
          <w:sz w:val="24"/>
          <w:szCs w:val="24"/>
        </w:rPr>
        <w:t xml:space="preserve"> ölçümü için gaz kurutuculara izin verilmez.</w:t>
      </w:r>
    </w:p>
    <w:p w14:paraId="3DE944BC" w14:textId="044444D3" w:rsidR="002D7B36" w:rsidRPr="00DE12A3" w:rsidRDefault="00235760" w:rsidP="00E20716">
      <w:pPr>
        <w:pStyle w:val="Gvdemetni251"/>
        <w:numPr>
          <w:ilvl w:val="1"/>
          <w:numId w:val="390"/>
        </w:numPr>
        <w:shd w:val="clear" w:color="auto" w:fill="auto"/>
        <w:spacing w:before="120" w:after="120" w:line="240" w:lineRule="auto"/>
        <w:ind w:left="1134" w:hanging="1134"/>
        <w:rPr>
          <w:color w:val="auto"/>
          <w:sz w:val="24"/>
          <w:szCs w:val="24"/>
        </w:rPr>
      </w:pPr>
      <w:r w:rsidRPr="00DE12A3">
        <w:rPr>
          <w:color w:val="auto"/>
          <w:sz w:val="24"/>
          <w:szCs w:val="24"/>
        </w:rPr>
        <w:t xml:space="preserve">       </w:t>
      </w:r>
      <w:r w:rsidR="00242DA0" w:rsidRPr="00DE12A3">
        <w:rPr>
          <w:color w:val="auto"/>
          <w:sz w:val="24"/>
          <w:szCs w:val="24"/>
        </w:rPr>
        <w:t xml:space="preserve">Fourier Dönüşümlü Kızılötesi (bundan </w:t>
      </w:r>
      <w:r w:rsidR="00ED46C8" w:rsidRPr="00DE12A3">
        <w:rPr>
          <w:color w:val="auto"/>
          <w:sz w:val="24"/>
          <w:szCs w:val="24"/>
        </w:rPr>
        <w:t xml:space="preserve">sonra </w:t>
      </w:r>
      <w:r w:rsidR="00242DA0" w:rsidRPr="00DE12A3">
        <w:rPr>
          <w:color w:val="auto"/>
          <w:sz w:val="24"/>
          <w:szCs w:val="24"/>
        </w:rPr>
        <w:t>"FTIR") analiz cihazı</w:t>
      </w:r>
    </w:p>
    <w:p w14:paraId="38FEC72D" w14:textId="77777777" w:rsidR="002D7B36" w:rsidRPr="00DE12A3" w:rsidRDefault="00235760" w:rsidP="00E20716">
      <w:pPr>
        <w:pStyle w:val="Gvdemetni251"/>
        <w:numPr>
          <w:ilvl w:val="2"/>
          <w:numId w:val="390"/>
        </w:numPr>
        <w:shd w:val="clear" w:color="auto" w:fill="auto"/>
        <w:spacing w:before="120" w:after="120" w:line="240" w:lineRule="auto"/>
        <w:ind w:left="1134" w:hanging="1134"/>
        <w:rPr>
          <w:color w:val="auto"/>
          <w:sz w:val="24"/>
          <w:szCs w:val="24"/>
        </w:rPr>
      </w:pPr>
      <w:r w:rsidRPr="00DE12A3">
        <w:rPr>
          <w:color w:val="auto"/>
          <w:sz w:val="24"/>
          <w:szCs w:val="24"/>
        </w:rPr>
        <w:t xml:space="preserve">       </w:t>
      </w:r>
      <w:r w:rsidR="00242DA0" w:rsidRPr="00DE12A3">
        <w:rPr>
          <w:color w:val="auto"/>
          <w:sz w:val="24"/>
          <w:szCs w:val="24"/>
        </w:rPr>
        <w:t>Ölçüm ilkesi</w:t>
      </w:r>
    </w:p>
    <w:p w14:paraId="212BCBE3" w14:textId="77777777" w:rsidR="002D7B36" w:rsidRPr="00DE12A3" w:rsidRDefault="00235760" w:rsidP="00C917D6">
      <w:pPr>
        <w:pStyle w:val="Gvdemetni251"/>
        <w:shd w:val="clear" w:color="auto" w:fill="auto"/>
        <w:spacing w:before="120" w:after="120" w:line="240" w:lineRule="auto"/>
        <w:ind w:left="1134" w:hanging="1134"/>
        <w:rPr>
          <w:color w:val="auto"/>
          <w:sz w:val="24"/>
          <w:szCs w:val="24"/>
        </w:rPr>
      </w:pPr>
      <w:r w:rsidRPr="00DE12A3">
        <w:rPr>
          <w:color w:val="auto"/>
          <w:sz w:val="24"/>
          <w:szCs w:val="24"/>
        </w:rPr>
        <w:t xml:space="preserve">                   </w:t>
      </w:r>
      <w:r w:rsidR="00242DA0" w:rsidRPr="00DE12A3">
        <w:rPr>
          <w:color w:val="auto"/>
          <w:sz w:val="24"/>
          <w:szCs w:val="24"/>
        </w:rPr>
        <w:t>FTIR geniş dalga bandı kızılötesi spektroskopi ilkesini kullanır. Cihazda standartlaştırılmış spektrumları bulunan egzoz gazı bileşenlerinin eşzamanlı ölçümüne izin verir. Absorpsiyon spektrumu (yoğunluk/dalga boyu), Fourier dönüşüm metodu ile ölçülen girişim eğrisinden (yoğunluk/zaman) hesaplanır.</w:t>
      </w:r>
    </w:p>
    <w:p w14:paraId="28398255" w14:textId="77777777" w:rsidR="002D7B36" w:rsidRPr="00DE12A3" w:rsidRDefault="00235760" w:rsidP="00E20716">
      <w:pPr>
        <w:pStyle w:val="Gvdemetni251"/>
        <w:numPr>
          <w:ilvl w:val="2"/>
          <w:numId w:val="390"/>
        </w:numPr>
        <w:shd w:val="clear" w:color="auto" w:fill="auto"/>
        <w:spacing w:before="120" w:after="120" w:line="240" w:lineRule="auto"/>
        <w:ind w:left="1134" w:hanging="1134"/>
        <w:rPr>
          <w:color w:val="auto"/>
          <w:sz w:val="24"/>
          <w:szCs w:val="24"/>
        </w:rPr>
      </w:pPr>
      <w:r w:rsidRPr="00DE12A3">
        <w:rPr>
          <w:color w:val="auto"/>
          <w:sz w:val="24"/>
          <w:szCs w:val="24"/>
        </w:rPr>
        <w:t xml:space="preserve">       </w:t>
      </w:r>
      <w:r w:rsidR="00242DA0" w:rsidRPr="00DE12A3">
        <w:rPr>
          <w:color w:val="auto"/>
          <w:sz w:val="24"/>
          <w:szCs w:val="24"/>
        </w:rPr>
        <w:t>Montaj ve örnekleme</w:t>
      </w:r>
    </w:p>
    <w:p w14:paraId="4149B991" w14:textId="77777777" w:rsidR="002D7B36" w:rsidRPr="00DE12A3" w:rsidRDefault="00235760" w:rsidP="00C917D6">
      <w:pPr>
        <w:pStyle w:val="Gvdemetni251"/>
        <w:shd w:val="clear" w:color="auto" w:fill="auto"/>
        <w:spacing w:before="120" w:after="120" w:line="240" w:lineRule="auto"/>
        <w:ind w:left="1134" w:hanging="1134"/>
        <w:rPr>
          <w:color w:val="auto"/>
          <w:sz w:val="24"/>
          <w:szCs w:val="24"/>
        </w:rPr>
      </w:pPr>
      <w:r w:rsidRPr="00DE12A3">
        <w:rPr>
          <w:color w:val="auto"/>
          <w:sz w:val="24"/>
          <w:szCs w:val="24"/>
        </w:rPr>
        <w:t xml:space="preserve">                   </w:t>
      </w:r>
      <w:r w:rsidR="00242DA0" w:rsidRPr="00DE12A3">
        <w:rPr>
          <w:color w:val="auto"/>
          <w:sz w:val="24"/>
          <w:szCs w:val="24"/>
        </w:rPr>
        <w:t>FTIR, cihaz imalatçısının talimatları uyarınca monte edilmelidir. Değerlendirme için NH</w:t>
      </w:r>
      <w:r w:rsidR="00242DA0" w:rsidRPr="00DE12A3">
        <w:rPr>
          <w:color w:val="auto"/>
          <w:sz w:val="24"/>
          <w:szCs w:val="24"/>
          <w:vertAlign w:val="subscript"/>
        </w:rPr>
        <w:t>3</w:t>
      </w:r>
      <w:r w:rsidR="00242DA0" w:rsidRPr="00DE12A3">
        <w:rPr>
          <w:color w:val="auto"/>
          <w:sz w:val="24"/>
          <w:szCs w:val="24"/>
        </w:rPr>
        <w:t xml:space="preserve"> dalga boyu seçilmelidir. Numune yolu (örnekleme hattı, ön filtreler ve valfler) paslanmaz çelikten veya PTFE'den yapılmış olmalı ve NH</w:t>
      </w:r>
      <w:r w:rsidR="00242DA0" w:rsidRPr="00DE12A3">
        <w:rPr>
          <w:color w:val="auto"/>
          <w:sz w:val="24"/>
          <w:szCs w:val="24"/>
          <w:vertAlign w:val="subscript"/>
        </w:rPr>
        <w:t>3</w:t>
      </w:r>
      <w:r w:rsidR="00242DA0" w:rsidRPr="00DE12A3">
        <w:rPr>
          <w:color w:val="auto"/>
          <w:sz w:val="24"/>
          <w:szCs w:val="24"/>
        </w:rPr>
        <w:t xml:space="preserve"> kayıplarını ve örnekleme eserlerini en aza indirmek amacıyla 383 K (110 °C) ile 464 K (191 °C) arasındaki ayar noktalarına ısıtılmalıdır. Ek olarak, örnekleme hattı mümkün olduğunca kısa olmalıdır.</w:t>
      </w:r>
    </w:p>
    <w:p w14:paraId="4460BC7A" w14:textId="77777777" w:rsidR="002D7B36" w:rsidRPr="00DE12A3" w:rsidRDefault="00235760" w:rsidP="00E20716">
      <w:pPr>
        <w:pStyle w:val="Gvdemetni251"/>
        <w:numPr>
          <w:ilvl w:val="2"/>
          <w:numId w:val="390"/>
        </w:numPr>
        <w:shd w:val="clear" w:color="auto" w:fill="auto"/>
        <w:spacing w:before="120" w:after="120" w:line="240" w:lineRule="auto"/>
        <w:ind w:left="1134" w:hanging="1134"/>
        <w:rPr>
          <w:color w:val="auto"/>
          <w:sz w:val="24"/>
          <w:szCs w:val="24"/>
        </w:rPr>
      </w:pPr>
      <w:r w:rsidRPr="00DE12A3">
        <w:rPr>
          <w:color w:val="auto"/>
          <w:sz w:val="24"/>
          <w:szCs w:val="24"/>
        </w:rPr>
        <w:t xml:space="preserve">       </w:t>
      </w:r>
      <w:r w:rsidR="00242DA0" w:rsidRPr="00DE12A3">
        <w:rPr>
          <w:color w:val="auto"/>
          <w:sz w:val="24"/>
          <w:szCs w:val="24"/>
        </w:rPr>
        <w:t>Çapraz karışma</w:t>
      </w:r>
    </w:p>
    <w:p w14:paraId="4E2B7521" w14:textId="77777777" w:rsidR="002D7B36" w:rsidRPr="00DE12A3" w:rsidRDefault="00235760" w:rsidP="00C917D6">
      <w:pPr>
        <w:pStyle w:val="Gvdemetni251"/>
        <w:shd w:val="clear" w:color="auto" w:fill="auto"/>
        <w:spacing w:before="120" w:after="120" w:line="240" w:lineRule="auto"/>
        <w:ind w:left="1134" w:hanging="1134"/>
        <w:rPr>
          <w:color w:val="auto"/>
          <w:sz w:val="24"/>
          <w:szCs w:val="24"/>
        </w:rPr>
      </w:pPr>
      <w:r w:rsidRPr="00DE12A3">
        <w:rPr>
          <w:color w:val="auto"/>
          <w:sz w:val="24"/>
          <w:szCs w:val="24"/>
        </w:rPr>
        <w:t xml:space="preserve">                   </w:t>
      </w:r>
      <w:r w:rsidR="00242DA0" w:rsidRPr="00DE12A3">
        <w:rPr>
          <w:color w:val="auto"/>
          <w:sz w:val="24"/>
          <w:szCs w:val="24"/>
        </w:rPr>
        <w:t>NH</w:t>
      </w:r>
      <w:r w:rsidR="00242DA0" w:rsidRPr="00DE12A3">
        <w:rPr>
          <w:color w:val="auto"/>
          <w:sz w:val="24"/>
          <w:szCs w:val="24"/>
          <w:vertAlign w:val="subscript"/>
        </w:rPr>
        <w:t>3</w:t>
      </w:r>
      <w:r w:rsidR="00242DA0" w:rsidRPr="00DE12A3">
        <w:rPr>
          <w:color w:val="auto"/>
          <w:sz w:val="24"/>
          <w:szCs w:val="24"/>
        </w:rPr>
        <w:t xml:space="preserve"> dalga boyunun spektral çözünürlüğü, egzoz gazında bulunan diğer gazlardan çapraz karışmayı en aza indirgemek için 0,5 cm</w:t>
      </w:r>
      <w:r w:rsidR="00242DA0" w:rsidRPr="00DE12A3">
        <w:rPr>
          <w:color w:val="auto"/>
          <w:sz w:val="24"/>
          <w:szCs w:val="24"/>
          <w:vertAlign w:val="superscript"/>
        </w:rPr>
        <w:t>-1</w:t>
      </w:r>
      <w:r w:rsidR="00242DA0" w:rsidRPr="00DE12A3">
        <w:rPr>
          <w:color w:val="auto"/>
          <w:sz w:val="24"/>
          <w:szCs w:val="24"/>
        </w:rPr>
        <w:t xml:space="preserve"> arasında olmalıdır.</w:t>
      </w:r>
    </w:p>
    <w:p w14:paraId="74394089" w14:textId="77777777" w:rsidR="002D7B36" w:rsidRPr="00DE12A3" w:rsidRDefault="00235760" w:rsidP="00E20716">
      <w:pPr>
        <w:pStyle w:val="Gvdemetni251"/>
        <w:numPr>
          <w:ilvl w:val="1"/>
          <w:numId w:val="390"/>
        </w:numPr>
        <w:shd w:val="clear" w:color="auto" w:fill="auto"/>
        <w:spacing w:before="120" w:after="120" w:line="240" w:lineRule="auto"/>
        <w:ind w:left="1134" w:hanging="1134"/>
        <w:rPr>
          <w:color w:val="auto"/>
          <w:sz w:val="24"/>
          <w:szCs w:val="24"/>
        </w:rPr>
      </w:pPr>
      <w:r w:rsidRPr="00DE12A3">
        <w:rPr>
          <w:color w:val="auto"/>
          <w:sz w:val="24"/>
          <w:szCs w:val="24"/>
        </w:rPr>
        <w:t xml:space="preserve">       </w:t>
      </w:r>
      <w:r w:rsidR="00242DA0" w:rsidRPr="00DE12A3">
        <w:rPr>
          <w:color w:val="auto"/>
          <w:sz w:val="24"/>
          <w:szCs w:val="24"/>
        </w:rPr>
        <w:t>Saçılımsız Kızılötesi Titreşim Emilimi analiz cihazı (bundan sonra ‘NDUV’)</w:t>
      </w:r>
    </w:p>
    <w:p w14:paraId="536DC7E5" w14:textId="77777777" w:rsidR="002D7B36" w:rsidRPr="00DE12A3" w:rsidRDefault="00235760" w:rsidP="00E20716">
      <w:pPr>
        <w:pStyle w:val="Gvdemetni251"/>
        <w:numPr>
          <w:ilvl w:val="2"/>
          <w:numId w:val="390"/>
        </w:numPr>
        <w:shd w:val="clear" w:color="auto" w:fill="auto"/>
        <w:spacing w:before="120" w:after="120" w:line="240" w:lineRule="auto"/>
        <w:ind w:left="1134" w:hanging="1134"/>
        <w:rPr>
          <w:color w:val="auto"/>
          <w:sz w:val="24"/>
          <w:szCs w:val="24"/>
        </w:rPr>
      </w:pPr>
      <w:r w:rsidRPr="00DE12A3">
        <w:rPr>
          <w:color w:val="auto"/>
          <w:sz w:val="24"/>
          <w:szCs w:val="24"/>
        </w:rPr>
        <w:t xml:space="preserve">        </w:t>
      </w:r>
      <w:r w:rsidR="00242DA0" w:rsidRPr="00DE12A3">
        <w:rPr>
          <w:color w:val="auto"/>
          <w:sz w:val="24"/>
          <w:szCs w:val="24"/>
        </w:rPr>
        <w:t>Ölçüm İlkesi</w:t>
      </w:r>
    </w:p>
    <w:p w14:paraId="359A8D69" w14:textId="0B38E540" w:rsidR="002D7B36" w:rsidRPr="00DE12A3" w:rsidRDefault="00235760" w:rsidP="00C917D6">
      <w:pPr>
        <w:pStyle w:val="Gvdemetni251"/>
        <w:shd w:val="clear" w:color="auto" w:fill="auto"/>
        <w:spacing w:before="120" w:after="120" w:line="240" w:lineRule="auto"/>
        <w:ind w:left="1134" w:hanging="1134"/>
        <w:rPr>
          <w:color w:val="auto"/>
          <w:sz w:val="24"/>
          <w:szCs w:val="24"/>
        </w:rPr>
      </w:pPr>
      <w:r w:rsidRPr="00DE12A3">
        <w:rPr>
          <w:color w:val="auto"/>
          <w:sz w:val="24"/>
          <w:szCs w:val="24"/>
        </w:rPr>
        <w:t xml:space="preserve">                   </w:t>
      </w:r>
      <w:r w:rsidR="00242DA0" w:rsidRPr="00DE12A3">
        <w:rPr>
          <w:color w:val="auto"/>
          <w:sz w:val="24"/>
          <w:szCs w:val="24"/>
        </w:rPr>
        <w:t>NDUV, tamamen fiziksel bir ilkeye dayanır</w:t>
      </w:r>
      <w:r w:rsidR="00ED46C8" w:rsidRPr="00DE12A3">
        <w:rPr>
          <w:color w:val="auto"/>
          <w:sz w:val="24"/>
          <w:szCs w:val="24"/>
        </w:rPr>
        <w:t>.</w:t>
      </w:r>
      <w:r w:rsidR="00242DA0" w:rsidRPr="00DE12A3">
        <w:rPr>
          <w:color w:val="auto"/>
          <w:sz w:val="24"/>
          <w:szCs w:val="24"/>
        </w:rPr>
        <w:t xml:space="preserve"> </w:t>
      </w:r>
      <w:r w:rsidR="00ED46C8" w:rsidRPr="00DE12A3">
        <w:rPr>
          <w:color w:val="auto"/>
          <w:sz w:val="24"/>
          <w:szCs w:val="24"/>
        </w:rPr>
        <w:t>H</w:t>
      </w:r>
      <w:r w:rsidR="00242DA0" w:rsidRPr="00DE12A3">
        <w:rPr>
          <w:color w:val="auto"/>
          <w:sz w:val="24"/>
          <w:szCs w:val="24"/>
        </w:rPr>
        <w:t>içbir yardımcı gaz veya ekipman gerekmez. Fotometrenin ana elemanı elektrotsuz bir deşarj lambasıdır. NH</w:t>
      </w:r>
      <w:r w:rsidR="00242DA0" w:rsidRPr="00DE12A3">
        <w:rPr>
          <w:color w:val="auto"/>
          <w:sz w:val="24"/>
          <w:szCs w:val="24"/>
          <w:vertAlign w:val="subscript"/>
        </w:rPr>
        <w:t>3</w:t>
      </w:r>
      <w:r w:rsidR="00242DA0" w:rsidRPr="00DE12A3">
        <w:rPr>
          <w:color w:val="auto"/>
          <w:sz w:val="24"/>
          <w:szCs w:val="24"/>
        </w:rPr>
        <w:t xml:space="preserve"> gibi bir takım bileşenlerin ölçümünü mümkün kılan kızılötesi aralıkta keskin bir şekilde yapılandırılmış bir radyasyon üretir.</w:t>
      </w:r>
    </w:p>
    <w:p w14:paraId="052FBA3B" w14:textId="77777777" w:rsidR="002D7B36" w:rsidRPr="00DE12A3" w:rsidRDefault="00235760" w:rsidP="00C917D6">
      <w:pPr>
        <w:pStyle w:val="Gvdemetni251"/>
        <w:shd w:val="clear" w:color="auto" w:fill="auto"/>
        <w:spacing w:before="120" w:after="120" w:line="240" w:lineRule="auto"/>
        <w:ind w:left="1134" w:hanging="1134"/>
        <w:rPr>
          <w:color w:val="auto"/>
          <w:sz w:val="24"/>
          <w:szCs w:val="24"/>
        </w:rPr>
      </w:pPr>
      <w:r w:rsidRPr="00DE12A3">
        <w:rPr>
          <w:color w:val="auto"/>
          <w:sz w:val="24"/>
          <w:szCs w:val="24"/>
        </w:rPr>
        <w:t xml:space="preserve">                  </w:t>
      </w:r>
      <w:r w:rsidR="00242DA0" w:rsidRPr="00DE12A3">
        <w:rPr>
          <w:color w:val="auto"/>
          <w:sz w:val="24"/>
          <w:szCs w:val="24"/>
        </w:rPr>
        <w:t>Fotometrik sistem, filtre korelasyon tekniği ile bir ölçüm ve referans ışını üretmek üzere ayarlanmış zaman tasarımı içinde çift ışına sahiptir.</w:t>
      </w:r>
    </w:p>
    <w:p w14:paraId="13082F0C" w14:textId="77777777" w:rsidR="002D7B36" w:rsidRPr="00DE12A3" w:rsidRDefault="00235760" w:rsidP="00C917D6">
      <w:pPr>
        <w:pStyle w:val="Gvdemetni251"/>
        <w:shd w:val="clear" w:color="auto" w:fill="auto"/>
        <w:spacing w:before="120" w:after="120" w:line="240" w:lineRule="auto"/>
        <w:ind w:left="1134" w:hanging="1134"/>
        <w:rPr>
          <w:color w:val="auto"/>
          <w:sz w:val="24"/>
          <w:szCs w:val="24"/>
        </w:rPr>
      </w:pPr>
      <w:r w:rsidRPr="00DE12A3">
        <w:rPr>
          <w:color w:val="auto"/>
          <w:sz w:val="24"/>
          <w:szCs w:val="24"/>
        </w:rPr>
        <w:t xml:space="preserve">                  </w:t>
      </w:r>
      <w:r w:rsidR="00242DA0" w:rsidRPr="00DE12A3">
        <w:rPr>
          <w:color w:val="auto"/>
          <w:sz w:val="24"/>
          <w:szCs w:val="24"/>
        </w:rPr>
        <w:t xml:space="preserve">Ölçüm sinyalinde yüksek bir dengeye ulaşmak için zaman tasarımındaki çift ışın, uzay tasarımındaki çift ışın ile birleştirilir. Detektör sinyallerinin işlenmesi, neredeyse ihmal edilebilir miktarda sıfır nokta </w:t>
      </w:r>
      <w:r w:rsidR="00093948" w:rsidRPr="00DE12A3">
        <w:rPr>
          <w:color w:val="auto"/>
          <w:sz w:val="24"/>
          <w:szCs w:val="24"/>
        </w:rPr>
        <w:t>sapma</w:t>
      </w:r>
      <w:r w:rsidR="00242DA0" w:rsidRPr="00DE12A3">
        <w:rPr>
          <w:color w:val="auto"/>
          <w:sz w:val="24"/>
          <w:szCs w:val="24"/>
        </w:rPr>
        <w:t xml:space="preserve"> oranını teşvik eder.</w:t>
      </w:r>
    </w:p>
    <w:p w14:paraId="3C018905" w14:textId="6B1D35B5" w:rsidR="002D7B36" w:rsidRPr="00DE12A3" w:rsidRDefault="00235760" w:rsidP="00C917D6">
      <w:pPr>
        <w:pStyle w:val="Gvdemetni251"/>
        <w:shd w:val="clear" w:color="auto" w:fill="auto"/>
        <w:spacing w:before="120" w:after="120" w:line="240" w:lineRule="auto"/>
        <w:ind w:left="1134" w:hanging="1134"/>
        <w:rPr>
          <w:color w:val="auto"/>
          <w:sz w:val="24"/>
          <w:szCs w:val="24"/>
        </w:rPr>
      </w:pPr>
      <w:r w:rsidRPr="00DE12A3">
        <w:rPr>
          <w:color w:val="auto"/>
          <w:sz w:val="24"/>
          <w:szCs w:val="24"/>
        </w:rPr>
        <w:t xml:space="preserve">                  </w:t>
      </w:r>
      <w:r w:rsidR="00242DA0" w:rsidRPr="00DE12A3">
        <w:rPr>
          <w:color w:val="auto"/>
          <w:sz w:val="24"/>
          <w:szCs w:val="24"/>
        </w:rPr>
        <w:t>Analiz cihazının kalibrasyon modunda, tam bir kalibrasyon değeri elde etmek için kapalı bir kuvars hücresi ışın yoluna yatırılır</w:t>
      </w:r>
      <w:r w:rsidR="00ED46C8" w:rsidRPr="00DE12A3">
        <w:rPr>
          <w:color w:val="auto"/>
          <w:sz w:val="24"/>
          <w:szCs w:val="24"/>
        </w:rPr>
        <w:t>.</w:t>
      </w:r>
      <w:r w:rsidR="00242DA0" w:rsidRPr="00DE12A3">
        <w:rPr>
          <w:color w:val="auto"/>
          <w:sz w:val="24"/>
          <w:szCs w:val="24"/>
        </w:rPr>
        <w:t xml:space="preserve"> </w:t>
      </w:r>
      <w:r w:rsidR="00ED46C8" w:rsidRPr="00DE12A3">
        <w:rPr>
          <w:color w:val="auto"/>
          <w:sz w:val="24"/>
          <w:szCs w:val="24"/>
        </w:rPr>
        <w:t>Ç</w:t>
      </w:r>
      <w:r w:rsidR="00242DA0" w:rsidRPr="00DE12A3">
        <w:rPr>
          <w:color w:val="auto"/>
          <w:sz w:val="24"/>
          <w:szCs w:val="24"/>
        </w:rPr>
        <w:t>ünkü hücre pencerelerinin tüm yansıma ve absorpsiyon kayıpları dengelenir. Hücrenin gaz dolumu çok dengeli olduğu için, bu kalibrasyon yöntemi fotometrenin çok uzun bir süre dengesini sağlar.</w:t>
      </w:r>
    </w:p>
    <w:p w14:paraId="21F25E5C" w14:textId="77777777" w:rsidR="002D7B36" w:rsidRPr="00DE12A3" w:rsidRDefault="00235760" w:rsidP="00E20716">
      <w:pPr>
        <w:pStyle w:val="Gvdemetni251"/>
        <w:numPr>
          <w:ilvl w:val="2"/>
          <w:numId w:val="390"/>
        </w:numPr>
        <w:shd w:val="clear" w:color="auto" w:fill="auto"/>
        <w:spacing w:before="120" w:after="120" w:line="240" w:lineRule="auto"/>
        <w:ind w:left="1134" w:hanging="1134"/>
        <w:rPr>
          <w:color w:val="auto"/>
          <w:sz w:val="24"/>
          <w:szCs w:val="24"/>
        </w:rPr>
      </w:pPr>
      <w:r w:rsidRPr="00DE12A3">
        <w:rPr>
          <w:color w:val="auto"/>
          <w:sz w:val="24"/>
          <w:szCs w:val="24"/>
        </w:rPr>
        <w:t xml:space="preserve">       </w:t>
      </w:r>
      <w:r w:rsidR="00242DA0" w:rsidRPr="00DE12A3">
        <w:rPr>
          <w:color w:val="auto"/>
          <w:sz w:val="24"/>
          <w:szCs w:val="24"/>
        </w:rPr>
        <w:t>Montaj</w:t>
      </w:r>
    </w:p>
    <w:p w14:paraId="6A1AA538" w14:textId="77777777" w:rsidR="002D7B36" w:rsidRPr="00DE12A3" w:rsidRDefault="00235760" w:rsidP="00C917D6">
      <w:pPr>
        <w:pStyle w:val="Gvdemetni251"/>
        <w:shd w:val="clear" w:color="auto" w:fill="auto"/>
        <w:spacing w:before="120" w:after="120" w:line="240" w:lineRule="auto"/>
        <w:ind w:left="1134" w:hanging="1134"/>
        <w:rPr>
          <w:color w:val="auto"/>
          <w:sz w:val="24"/>
          <w:szCs w:val="24"/>
        </w:rPr>
      </w:pPr>
      <w:r w:rsidRPr="00DE12A3">
        <w:rPr>
          <w:color w:val="auto"/>
          <w:sz w:val="24"/>
          <w:szCs w:val="24"/>
        </w:rPr>
        <w:t xml:space="preserve">                  </w:t>
      </w:r>
      <w:r w:rsidR="00242DA0" w:rsidRPr="00DE12A3">
        <w:rPr>
          <w:color w:val="auto"/>
          <w:sz w:val="24"/>
          <w:szCs w:val="24"/>
        </w:rPr>
        <w:t>Analiz cihazı, cihaz imalatçısının talimatları uyarınca özütleyici örnekleme kullanılarak bir analiz cihazı dolabı içine monte edilmelidir. Analiz cihazının yeri, imalatçı tarafından belirtilen ağırlığı destekleyebilmelidir.</w:t>
      </w:r>
    </w:p>
    <w:p w14:paraId="1B413F38" w14:textId="77777777" w:rsidR="002D7B36" w:rsidRPr="00DE12A3" w:rsidRDefault="00235760" w:rsidP="00C917D6">
      <w:pPr>
        <w:pStyle w:val="Gvdemetni251"/>
        <w:shd w:val="clear" w:color="auto" w:fill="auto"/>
        <w:spacing w:before="120" w:after="120" w:line="240" w:lineRule="auto"/>
        <w:ind w:left="1134" w:hanging="1134"/>
        <w:rPr>
          <w:color w:val="auto"/>
          <w:sz w:val="24"/>
          <w:szCs w:val="24"/>
        </w:rPr>
      </w:pPr>
      <w:r w:rsidRPr="00DE12A3">
        <w:rPr>
          <w:color w:val="auto"/>
          <w:sz w:val="24"/>
          <w:szCs w:val="24"/>
        </w:rPr>
        <w:lastRenderedPageBreak/>
        <w:t xml:space="preserve">                  </w:t>
      </w:r>
      <w:r w:rsidR="00242DA0" w:rsidRPr="00DE12A3">
        <w:rPr>
          <w:color w:val="auto"/>
          <w:sz w:val="24"/>
          <w:szCs w:val="24"/>
        </w:rPr>
        <w:t>Numune yolu (örnekleme hattı, ön filtreler ve valfler) paslanmaz çelikten veya PTFE'den yapılmış olmalı ve 383 K (110 °C) ile 464 K (191 °C) arasındaki ayar noktalarına ısıtılmalıdır.</w:t>
      </w:r>
    </w:p>
    <w:p w14:paraId="31231412" w14:textId="77777777" w:rsidR="002D7B36" w:rsidRPr="00DE12A3" w:rsidRDefault="00235760" w:rsidP="00C917D6">
      <w:pPr>
        <w:pStyle w:val="Gvdemetni251"/>
        <w:shd w:val="clear" w:color="auto" w:fill="auto"/>
        <w:spacing w:before="120" w:after="120" w:line="240" w:lineRule="auto"/>
        <w:ind w:left="1134" w:hanging="1134"/>
        <w:rPr>
          <w:color w:val="auto"/>
          <w:sz w:val="24"/>
          <w:szCs w:val="24"/>
        </w:rPr>
      </w:pPr>
      <w:r w:rsidRPr="00DE12A3">
        <w:rPr>
          <w:color w:val="auto"/>
          <w:sz w:val="24"/>
          <w:szCs w:val="24"/>
        </w:rPr>
        <w:t xml:space="preserve">                  </w:t>
      </w:r>
      <w:r w:rsidR="00242DA0" w:rsidRPr="00DE12A3">
        <w:rPr>
          <w:color w:val="auto"/>
          <w:sz w:val="24"/>
          <w:szCs w:val="24"/>
        </w:rPr>
        <w:t>Ek olarak, örnekleme hattı mümkün olduğunca kısa olmalıdır. Egzoz gazı sıcaklığı ve basıncı, montaj ortamı ve titreşimlerin ölçüm üzerindeki etkisi en aza indirilmelidir.</w:t>
      </w:r>
    </w:p>
    <w:p w14:paraId="29C5D061" w14:textId="77777777" w:rsidR="002D7B36" w:rsidRPr="00DE12A3" w:rsidRDefault="00235760" w:rsidP="00C917D6">
      <w:pPr>
        <w:pStyle w:val="Gvdemetni251"/>
        <w:shd w:val="clear" w:color="auto" w:fill="auto"/>
        <w:spacing w:before="120" w:after="120" w:line="240" w:lineRule="auto"/>
        <w:ind w:left="1134" w:hanging="1134"/>
        <w:rPr>
          <w:color w:val="auto"/>
          <w:sz w:val="24"/>
          <w:szCs w:val="24"/>
        </w:rPr>
      </w:pPr>
      <w:r w:rsidRPr="00DE12A3">
        <w:rPr>
          <w:color w:val="auto"/>
          <w:sz w:val="24"/>
          <w:szCs w:val="24"/>
        </w:rPr>
        <w:t xml:space="preserve">                  </w:t>
      </w:r>
      <w:r w:rsidR="00242DA0" w:rsidRPr="00DE12A3">
        <w:rPr>
          <w:color w:val="auto"/>
          <w:sz w:val="24"/>
          <w:szCs w:val="24"/>
        </w:rPr>
        <w:t>Gaz analiz cihazı soğuktan, ısıdan, sıcaklık değişimlerinden ve güçlü hava akımlarından, toz birikmesinden, aşındırıcı atmosferden ve titreşimlerden korunmalıdır. Isı birikimini önlemek için yeterli hava dolaşımı sağlanmalıdır. Isı kayıplarını dağıtmak için tüm yüzey kullanılmalıdır.</w:t>
      </w:r>
    </w:p>
    <w:p w14:paraId="24D7EAE9" w14:textId="5AA25A10" w:rsidR="002D7B36" w:rsidRPr="00DE12A3" w:rsidRDefault="00235760" w:rsidP="00E20716">
      <w:pPr>
        <w:pStyle w:val="Gvdemetni251"/>
        <w:numPr>
          <w:ilvl w:val="2"/>
          <w:numId w:val="390"/>
        </w:numPr>
        <w:shd w:val="clear" w:color="auto" w:fill="auto"/>
        <w:spacing w:before="120" w:after="120" w:line="240" w:lineRule="auto"/>
        <w:ind w:left="1134" w:hanging="1134"/>
        <w:rPr>
          <w:color w:val="auto"/>
          <w:sz w:val="24"/>
          <w:szCs w:val="24"/>
        </w:rPr>
      </w:pPr>
      <w:r w:rsidRPr="00DE12A3">
        <w:rPr>
          <w:color w:val="auto"/>
          <w:sz w:val="24"/>
          <w:szCs w:val="24"/>
        </w:rPr>
        <w:t xml:space="preserve">       </w:t>
      </w:r>
      <w:r w:rsidR="00242DA0" w:rsidRPr="00DE12A3">
        <w:rPr>
          <w:color w:val="auto"/>
          <w:sz w:val="24"/>
          <w:szCs w:val="24"/>
        </w:rPr>
        <w:t xml:space="preserve">Çapraz </w:t>
      </w:r>
      <w:r w:rsidR="00ED46C8" w:rsidRPr="00DE12A3">
        <w:rPr>
          <w:color w:val="auto"/>
          <w:sz w:val="24"/>
          <w:szCs w:val="24"/>
        </w:rPr>
        <w:t>h</w:t>
      </w:r>
      <w:r w:rsidR="00242DA0" w:rsidRPr="00DE12A3">
        <w:rPr>
          <w:color w:val="auto"/>
          <w:sz w:val="24"/>
          <w:szCs w:val="24"/>
        </w:rPr>
        <w:t>assasiyet</w:t>
      </w:r>
    </w:p>
    <w:p w14:paraId="0A5BC60A" w14:textId="77777777" w:rsidR="002D7B36" w:rsidRPr="00DE12A3" w:rsidRDefault="00235760" w:rsidP="00C917D6">
      <w:pPr>
        <w:pStyle w:val="Gvdemetni251"/>
        <w:shd w:val="clear" w:color="auto" w:fill="auto"/>
        <w:spacing w:before="120" w:after="120" w:line="240" w:lineRule="auto"/>
        <w:ind w:left="1134" w:hanging="1134"/>
        <w:rPr>
          <w:color w:val="auto"/>
          <w:sz w:val="24"/>
          <w:szCs w:val="24"/>
        </w:rPr>
      </w:pPr>
      <w:r w:rsidRPr="00DE12A3">
        <w:rPr>
          <w:color w:val="auto"/>
          <w:sz w:val="24"/>
          <w:szCs w:val="24"/>
        </w:rPr>
        <w:t xml:space="preserve">                   </w:t>
      </w:r>
      <w:r w:rsidR="00242DA0" w:rsidRPr="00DE12A3">
        <w:rPr>
          <w:color w:val="auto"/>
          <w:sz w:val="24"/>
          <w:szCs w:val="24"/>
        </w:rPr>
        <w:t>Beraberindeki gazların çapraz karışmalarını en aza indirmek için uygun bir spektral aralık seçilmelidir. NH3 ölçümünde çapraz hassasiyete neden olan tipik bileşenler SO</w:t>
      </w:r>
      <w:r w:rsidR="00242DA0" w:rsidRPr="00DE12A3">
        <w:rPr>
          <w:color w:val="auto"/>
          <w:sz w:val="24"/>
          <w:szCs w:val="24"/>
          <w:vertAlign w:val="subscript"/>
        </w:rPr>
        <w:t>2</w:t>
      </w:r>
      <w:r w:rsidR="00242DA0" w:rsidRPr="00DE12A3">
        <w:rPr>
          <w:color w:val="auto"/>
          <w:sz w:val="24"/>
          <w:szCs w:val="24"/>
        </w:rPr>
        <w:t>, NO</w:t>
      </w:r>
      <w:r w:rsidR="00242DA0" w:rsidRPr="00DE12A3">
        <w:rPr>
          <w:color w:val="auto"/>
          <w:sz w:val="24"/>
          <w:szCs w:val="24"/>
          <w:vertAlign w:val="subscript"/>
        </w:rPr>
        <w:t>2</w:t>
      </w:r>
      <w:r w:rsidR="00242DA0" w:rsidRPr="00DE12A3">
        <w:rPr>
          <w:color w:val="auto"/>
          <w:sz w:val="24"/>
          <w:szCs w:val="24"/>
        </w:rPr>
        <w:t xml:space="preserve"> ve NO'dur.</w:t>
      </w:r>
    </w:p>
    <w:p w14:paraId="7DC9157E" w14:textId="77777777" w:rsidR="002D7B36" w:rsidRPr="00DE12A3" w:rsidRDefault="00235760" w:rsidP="00C917D6">
      <w:pPr>
        <w:pStyle w:val="Gvdemetni251"/>
        <w:shd w:val="clear" w:color="auto" w:fill="auto"/>
        <w:spacing w:before="120" w:after="120" w:line="240" w:lineRule="auto"/>
        <w:ind w:left="1134" w:hanging="1134"/>
        <w:rPr>
          <w:color w:val="auto"/>
          <w:sz w:val="24"/>
          <w:szCs w:val="24"/>
        </w:rPr>
      </w:pPr>
      <w:r w:rsidRPr="00DE12A3">
        <w:rPr>
          <w:color w:val="auto"/>
          <w:sz w:val="24"/>
          <w:szCs w:val="24"/>
        </w:rPr>
        <w:t xml:space="preserve">                   </w:t>
      </w:r>
      <w:r w:rsidR="00242DA0" w:rsidRPr="00DE12A3">
        <w:rPr>
          <w:color w:val="auto"/>
          <w:sz w:val="24"/>
          <w:szCs w:val="24"/>
        </w:rPr>
        <w:t>Ek olarak, çapraz hassasiyetleri azaltmak için başka yöntemler de uygulanabilir.</w:t>
      </w:r>
    </w:p>
    <w:p w14:paraId="264A74E4" w14:textId="2165F4A7" w:rsidR="002D7B36" w:rsidRPr="00DE12A3" w:rsidRDefault="00235760" w:rsidP="00E20716">
      <w:pPr>
        <w:pStyle w:val="Gvdemetni251"/>
        <w:numPr>
          <w:ilvl w:val="0"/>
          <w:numId w:val="391"/>
        </w:numPr>
        <w:shd w:val="clear" w:color="auto" w:fill="auto"/>
        <w:spacing w:before="120" w:after="120" w:line="240" w:lineRule="auto"/>
        <w:ind w:left="1701" w:hanging="567"/>
        <w:rPr>
          <w:color w:val="auto"/>
          <w:sz w:val="24"/>
          <w:szCs w:val="24"/>
        </w:rPr>
      </w:pPr>
      <w:r w:rsidRPr="00DE12A3">
        <w:rPr>
          <w:color w:val="auto"/>
          <w:sz w:val="24"/>
          <w:szCs w:val="24"/>
        </w:rPr>
        <w:t xml:space="preserve">     </w:t>
      </w:r>
      <w:r w:rsidR="00242DA0" w:rsidRPr="00DE12A3">
        <w:rPr>
          <w:color w:val="auto"/>
          <w:sz w:val="24"/>
          <w:szCs w:val="24"/>
        </w:rPr>
        <w:t>Karışma filtrelerinin kullanımı</w:t>
      </w:r>
      <w:r w:rsidR="00ED46C8" w:rsidRPr="00DE12A3">
        <w:rPr>
          <w:color w:val="auto"/>
          <w:sz w:val="24"/>
          <w:szCs w:val="24"/>
        </w:rPr>
        <w:t>.</w:t>
      </w:r>
    </w:p>
    <w:p w14:paraId="11731AE2" w14:textId="77777777" w:rsidR="002D7B36" w:rsidRPr="00DE12A3" w:rsidRDefault="00242DA0" w:rsidP="00E20716">
      <w:pPr>
        <w:pStyle w:val="Gvdemetni251"/>
        <w:numPr>
          <w:ilvl w:val="0"/>
          <w:numId w:val="391"/>
        </w:numPr>
        <w:shd w:val="clear" w:color="auto" w:fill="auto"/>
        <w:spacing w:before="120" w:after="120" w:line="240" w:lineRule="auto"/>
        <w:ind w:left="1701" w:hanging="567"/>
        <w:rPr>
          <w:color w:val="auto"/>
          <w:sz w:val="24"/>
          <w:szCs w:val="24"/>
        </w:rPr>
      </w:pPr>
      <w:r w:rsidRPr="00DE12A3">
        <w:rPr>
          <w:color w:val="auto"/>
          <w:sz w:val="24"/>
          <w:szCs w:val="24"/>
        </w:rPr>
        <w:t>Çapraz hassasiyet bileşenlerini ölçerek ve dengeleme için ölçüm sinyalini kullanarak çapraz hassasiyetin dengelenmesi.</w:t>
      </w:r>
    </w:p>
    <w:p w14:paraId="07DB1198" w14:textId="77777777" w:rsidR="002D7B36" w:rsidRPr="00DE12A3" w:rsidRDefault="00235760" w:rsidP="00E20716">
      <w:pPr>
        <w:pStyle w:val="Gvdemetni251"/>
        <w:numPr>
          <w:ilvl w:val="1"/>
          <w:numId w:val="390"/>
        </w:numPr>
        <w:shd w:val="clear" w:color="auto" w:fill="auto"/>
        <w:spacing w:before="120" w:after="120" w:line="240" w:lineRule="auto"/>
        <w:ind w:left="1134" w:hanging="1134"/>
        <w:rPr>
          <w:color w:val="auto"/>
          <w:sz w:val="24"/>
          <w:szCs w:val="24"/>
        </w:rPr>
      </w:pPr>
      <w:r w:rsidRPr="00DE12A3">
        <w:rPr>
          <w:color w:val="auto"/>
          <w:sz w:val="24"/>
          <w:szCs w:val="24"/>
        </w:rPr>
        <w:t xml:space="preserve">       </w:t>
      </w:r>
      <w:r w:rsidR="00242DA0" w:rsidRPr="00DE12A3">
        <w:rPr>
          <w:color w:val="auto"/>
          <w:sz w:val="24"/>
          <w:szCs w:val="24"/>
        </w:rPr>
        <w:t>Lazer Kızılötesi analiz cihazı</w:t>
      </w:r>
    </w:p>
    <w:p w14:paraId="7A3E9E40" w14:textId="77777777" w:rsidR="002D7B36" w:rsidRPr="00DE12A3" w:rsidRDefault="00235760" w:rsidP="00E20716">
      <w:pPr>
        <w:pStyle w:val="Gvdemetni251"/>
        <w:numPr>
          <w:ilvl w:val="2"/>
          <w:numId w:val="390"/>
        </w:numPr>
        <w:shd w:val="clear" w:color="auto" w:fill="auto"/>
        <w:spacing w:before="120" w:after="120" w:line="240" w:lineRule="auto"/>
        <w:ind w:left="1134" w:hanging="1134"/>
        <w:rPr>
          <w:color w:val="auto"/>
          <w:sz w:val="24"/>
          <w:szCs w:val="24"/>
        </w:rPr>
      </w:pPr>
      <w:r w:rsidRPr="00DE12A3">
        <w:rPr>
          <w:color w:val="auto"/>
          <w:sz w:val="24"/>
          <w:szCs w:val="24"/>
        </w:rPr>
        <w:t xml:space="preserve">       </w:t>
      </w:r>
      <w:r w:rsidR="00242DA0" w:rsidRPr="00DE12A3">
        <w:rPr>
          <w:color w:val="auto"/>
          <w:sz w:val="24"/>
          <w:szCs w:val="24"/>
        </w:rPr>
        <w:t>Ölçüm ilkesi</w:t>
      </w:r>
    </w:p>
    <w:p w14:paraId="4F49F9A1" w14:textId="77777777" w:rsidR="002D7B36" w:rsidRPr="00DE12A3" w:rsidRDefault="00235760" w:rsidP="00C917D6">
      <w:pPr>
        <w:pStyle w:val="Gvdemetni251"/>
        <w:shd w:val="clear" w:color="auto" w:fill="auto"/>
        <w:spacing w:before="120" w:after="120" w:line="240" w:lineRule="auto"/>
        <w:ind w:left="1134" w:hanging="1134"/>
        <w:rPr>
          <w:color w:val="auto"/>
          <w:sz w:val="24"/>
          <w:szCs w:val="24"/>
        </w:rPr>
      </w:pPr>
      <w:r w:rsidRPr="00DE12A3">
        <w:rPr>
          <w:color w:val="auto"/>
          <w:sz w:val="24"/>
          <w:szCs w:val="24"/>
        </w:rPr>
        <w:t xml:space="preserve">                  </w:t>
      </w:r>
      <w:r w:rsidR="00242DA0" w:rsidRPr="00DE12A3">
        <w:rPr>
          <w:color w:val="auto"/>
          <w:sz w:val="24"/>
          <w:szCs w:val="24"/>
        </w:rPr>
        <w:t>Ayarlanabilir diyot lazer (TDL) veya kuantum kademeli lazer (QCL) gibi ir kızılötesi lazer, yakın-kızılötesi bölgede veya NH3 dahil azot bileşiklerinin güçlü emilimine sahip olduğu orta-kızılötesi bölgede koherent ışık yayabilir. Bu lazer optikler, darbeli mod yüksek çözünürlüklü dar bant yakın-kızılötesi veya orta-kızılötesi spektrum verebilir. Bu nedenle, lazer kızılötesi analiz cihazları, motor egzoz gazında birlikte bulunan bileşenlerin spektral çakışmasının neden olduğu karışmayı azaltabilir.</w:t>
      </w:r>
    </w:p>
    <w:p w14:paraId="63FA8368" w14:textId="77777777" w:rsidR="002D7B36" w:rsidRPr="00DE12A3" w:rsidRDefault="00AA67AA" w:rsidP="00E20716">
      <w:pPr>
        <w:pStyle w:val="Gvdemetni251"/>
        <w:numPr>
          <w:ilvl w:val="2"/>
          <w:numId w:val="390"/>
        </w:numPr>
        <w:shd w:val="clear" w:color="auto" w:fill="auto"/>
        <w:spacing w:before="120" w:after="120" w:line="240" w:lineRule="auto"/>
        <w:ind w:left="1134" w:hanging="1134"/>
        <w:rPr>
          <w:color w:val="auto"/>
          <w:sz w:val="24"/>
          <w:szCs w:val="24"/>
        </w:rPr>
      </w:pPr>
      <w:r w:rsidRPr="00DE12A3">
        <w:rPr>
          <w:color w:val="auto"/>
          <w:sz w:val="24"/>
          <w:szCs w:val="24"/>
        </w:rPr>
        <w:t xml:space="preserve">       </w:t>
      </w:r>
      <w:r w:rsidR="00242DA0" w:rsidRPr="00DE12A3">
        <w:rPr>
          <w:color w:val="auto"/>
          <w:sz w:val="24"/>
          <w:szCs w:val="24"/>
        </w:rPr>
        <w:t>Montaj</w:t>
      </w:r>
    </w:p>
    <w:p w14:paraId="1C901888" w14:textId="77777777" w:rsidR="002D7B36" w:rsidRPr="00DE12A3" w:rsidRDefault="00AA67AA" w:rsidP="00C917D6">
      <w:pPr>
        <w:pStyle w:val="Gvdemetni251"/>
        <w:shd w:val="clear" w:color="auto" w:fill="auto"/>
        <w:spacing w:before="120" w:after="120" w:line="240" w:lineRule="auto"/>
        <w:ind w:left="1134" w:hanging="1134"/>
        <w:rPr>
          <w:color w:val="auto"/>
          <w:sz w:val="24"/>
          <w:szCs w:val="24"/>
        </w:rPr>
      </w:pPr>
      <w:r w:rsidRPr="00DE12A3">
        <w:rPr>
          <w:color w:val="auto"/>
          <w:sz w:val="24"/>
          <w:szCs w:val="24"/>
        </w:rPr>
        <w:t xml:space="preserve">                  </w:t>
      </w:r>
      <w:r w:rsidR="00242DA0" w:rsidRPr="00DE12A3">
        <w:rPr>
          <w:color w:val="auto"/>
          <w:sz w:val="24"/>
          <w:szCs w:val="24"/>
        </w:rPr>
        <w:t>Analiz cihazı, doğrudan egzoz borusuna (yerinde) veya cihaz imalatçısının talimatları uyarınca özütleyici örnekleme kullanılarak bir analiz cihazı dolabı içine monte edilmelidir. Bir analiz cihazı dolabı içine monte edilirse, numune yolu (örnekleme hattı, ön filtreler ve valfler) paslanmaz çelikten veya PTFE'den yapılmış olmalı ve NH</w:t>
      </w:r>
      <w:r w:rsidR="00242DA0" w:rsidRPr="00DE12A3">
        <w:rPr>
          <w:color w:val="auto"/>
          <w:sz w:val="24"/>
          <w:szCs w:val="24"/>
          <w:vertAlign w:val="subscript"/>
        </w:rPr>
        <w:t>3</w:t>
      </w:r>
      <w:r w:rsidR="00242DA0" w:rsidRPr="00DE12A3">
        <w:rPr>
          <w:color w:val="auto"/>
          <w:sz w:val="24"/>
          <w:szCs w:val="24"/>
        </w:rPr>
        <w:t xml:space="preserve"> kayıplarını ve örnekleme eserlerini en aza indirmek amacıyla 383 K (110 °C) ile 464 K (191 °C) arasındaki ayar noktalarına ısıtılmalıdır. Ek olarak, örnekleme hattı mümkün olduğunca kısa olmalıdır.</w:t>
      </w:r>
    </w:p>
    <w:p w14:paraId="5F09D486" w14:textId="77777777" w:rsidR="002D7B36" w:rsidRPr="00DE12A3" w:rsidRDefault="00AA67AA" w:rsidP="00C917D6">
      <w:pPr>
        <w:pStyle w:val="Gvdemetni251"/>
        <w:shd w:val="clear" w:color="auto" w:fill="auto"/>
        <w:spacing w:before="120" w:after="120" w:line="240" w:lineRule="auto"/>
        <w:ind w:left="1134" w:hanging="1134"/>
        <w:rPr>
          <w:color w:val="auto"/>
          <w:sz w:val="24"/>
          <w:szCs w:val="24"/>
        </w:rPr>
      </w:pPr>
      <w:r w:rsidRPr="00DE12A3">
        <w:rPr>
          <w:color w:val="auto"/>
          <w:sz w:val="24"/>
          <w:szCs w:val="24"/>
        </w:rPr>
        <w:t xml:space="preserve">                  </w:t>
      </w:r>
      <w:r w:rsidR="00242DA0" w:rsidRPr="00DE12A3">
        <w:rPr>
          <w:color w:val="auto"/>
          <w:sz w:val="24"/>
          <w:szCs w:val="24"/>
        </w:rPr>
        <w:t>Egzoz gazı sıcaklığı ve basıncı, montaj ortamı ve titreşimlerin ölçüm üzerindeki etkisi en aza indirilmeli veya dengeleme teknikleri kullanılmalıdır.</w:t>
      </w:r>
    </w:p>
    <w:p w14:paraId="172AFE96" w14:textId="77777777" w:rsidR="002D7B36" w:rsidRPr="00DE12A3" w:rsidRDefault="00AA67AA" w:rsidP="00C917D6">
      <w:pPr>
        <w:pStyle w:val="Gvdemetni251"/>
        <w:shd w:val="clear" w:color="auto" w:fill="auto"/>
        <w:spacing w:before="120" w:after="120" w:line="240" w:lineRule="auto"/>
        <w:ind w:left="1134" w:hanging="1134"/>
        <w:rPr>
          <w:color w:val="auto"/>
          <w:sz w:val="24"/>
          <w:szCs w:val="24"/>
        </w:rPr>
      </w:pPr>
      <w:r w:rsidRPr="00DE12A3">
        <w:rPr>
          <w:color w:val="auto"/>
          <w:sz w:val="24"/>
          <w:szCs w:val="24"/>
        </w:rPr>
        <w:t xml:space="preserve">                  </w:t>
      </w:r>
      <w:r w:rsidR="00242DA0" w:rsidRPr="00DE12A3">
        <w:rPr>
          <w:color w:val="auto"/>
          <w:sz w:val="24"/>
          <w:szCs w:val="24"/>
        </w:rPr>
        <w:t>Mümkünse, cihazın korunması için yerinde ölçümle birlikte kullanılan yelpaze havası, herhangi bir egzoz gazı bileşeninin cihazın çıkış tarafında ölçülen konsantrasyonunu etkilememeli veya diğer egzoz gazı bileşenlerinin örneklemesi cihazın giriş tarafında yapılmalıdır.</w:t>
      </w:r>
    </w:p>
    <w:p w14:paraId="6775752A" w14:textId="77777777" w:rsidR="002D7B36" w:rsidRPr="00DE12A3" w:rsidRDefault="00AA67AA" w:rsidP="00E20716">
      <w:pPr>
        <w:pStyle w:val="Gvdemetni251"/>
        <w:numPr>
          <w:ilvl w:val="2"/>
          <w:numId w:val="390"/>
        </w:numPr>
        <w:shd w:val="clear" w:color="auto" w:fill="auto"/>
        <w:spacing w:before="120" w:after="120" w:line="240" w:lineRule="auto"/>
        <w:ind w:left="1134" w:hanging="1134"/>
        <w:rPr>
          <w:color w:val="auto"/>
          <w:sz w:val="24"/>
          <w:szCs w:val="24"/>
        </w:rPr>
      </w:pPr>
      <w:r w:rsidRPr="00DE12A3">
        <w:rPr>
          <w:color w:val="auto"/>
          <w:sz w:val="24"/>
          <w:szCs w:val="24"/>
        </w:rPr>
        <w:t xml:space="preserve">       </w:t>
      </w:r>
      <w:r w:rsidR="00242DA0" w:rsidRPr="00DE12A3">
        <w:rPr>
          <w:color w:val="auto"/>
          <w:sz w:val="24"/>
          <w:szCs w:val="24"/>
        </w:rPr>
        <w:t>NH</w:t>
      </w:r>
      <w:r w:rsidR="00242DA0" w:rsidRPr="00DE12A3">
        <w:rPr>
          <w:color w:val="auto"/>
          <w:sz w:val="24"/>
          <w:szCs w:val="24"/>
          <w:vertAlign w:val="subscript"/>
        </w:rPr>
        <w:t>3</w:t>
      </w:r>
      <w:r w:rsidR="00242DA0" w:rsidRPr="00DE12A3">
        <w:rPr>
          <w:color w:val="auto"/>
          <w:sz w:val="24"/>
          <w:szCs w:val="24"/>
        </w:rPr>
        <w:t xml:space="preserve"> lazer kızılötesi analiz cihazları için karışma doğrulaması (çapraz karışma)</w:t>
      </w:r>
    </w:p>
    <w:p w14:paraId="201CC0B3" w14:textId="77777777" w:rsidR="002D7B36" w:rsidRPr="00DE12A3" w:rsidRDefault="00242DA0" w:rsidP="00E20716">
      <w:pPr>
        <w:pStyle w:val="Gvdemetni251"/>
        <w:numPr>
          <w:ilvl w:val="3"/>
          <w:numId w:val="390"/>
        </w:numPr>
        <w:shd w:val="clear" w:color="auto" w:fill="auto"/>
        <w:spacing w:before="120" w:after="120" w:line="240" w:lineRule="auto"/>
        <w:ind w:left="1134" w:hanging="1134"/>
        <w:rPr>
          <w:color w:val="auto"/>
          <w:sz w:val="24"/>
          <w:szCs w:val="24"/>
        </w:rPr>
      </w:pPr>
      <w:r w:rsidRPr="00DE12A3">
        <w:rPr>
          <w:color w:val="auto"/>
          <w:sz w:val="24"/>
          <w:szCs w:val="24"/>
        </w:rPr>
        <w:t>Kapsam ve sıklık</w:t>
      </w:r>
    </w:p>
    <w:p w14:paraId="0A1950D9" w14:textId="77777777" w:rsidR="002D7B36" w:rsidRPr="00DE12A3" w:rsidRDefault="00AA67AA" w:rsidP="00C917D6">
      <w:pPr>
        <w:pStyle w:val="Gvdemetni251"/>
        <w:shd w:val="clear" w:color="auto" w:fill="auto"/>
        <w:spacing w:before="120" w:after="120" w:line="240" w:lineRule="auto"/>
        <w:ind w:left="1134" w:hanging="1134"/>
        <w:rPr>
          <w:color w:val="auto"/>
          <w:sz w:val="24"/>
          <w:szCs w:val="24"/>
        </w:rPr>
      </w:pPr>
      <w:r w:rsidRPr="00DE12A3">
        <w:rPr>
          <w:color w:val="auto"/>
          <w:sz w:val="24"/>
          <w:szCs w:val="24"/>
        </w:rPr>
        <w:t xml:space="preserve">                  </w:t>
      </w:r>
      <w:r w:rsidR="00242DA0" w:rsidRPr="00DE12A3">
        <w:rPr>
          <w:color w:val="auto"/>
          <w:sz w:val="24"/>
          <w:szCs w:val="24"/>
        </w:rPr>
        <w:t>NH</w:t>
      </w:r>
      <w:r w:rsidR="00242DA0" w:rsidRPr="00DE12A3">
        <w:rPr>
          <w:color w:val="auto"/>
          <w:sz w:val="24"/>
          <w:szCs w:val="24"/>
          <w:vertAlign w:val="subscript"/>
        </w:rPr>
        <w:t>3</w:t>
      </w:r>
      <w:r w:rsidR="00242DA0" w:rsidRPr="00DE12A3">
        <w:rPr>
          <w:color w:val="auto"/>
          <w:sz w:val="24"/>
          <w:szCs w:val="24"/>
        </w:rPr>
        <w:t xml:space="preserve">, lazer kızılötesi analiz cihazı kullanılarak ölçülürse, ilk analiz cihazı </w:t>
      </w:r>
      <w:r w:rsidR="00242DA0" w:rsidRPr="00DE12A3">
        <w:rPr>
          <w:color w:val="auto"/>
          <w:sz w:val="24"/>
          <w:szCs w:val="24"/>
        </w:rPr>
        <w:lastRenderedPageBreak/>
        <w:t>montajından sonra ve büyük bir bakım sonrasında karışma miktarı doğrulanmalıdır.</w:t>
      </w:r>
    </w:p>
    <w:p w14:paraId="083F42B1" w14:textId="77777777" w:rsidR="002D7B36" w:rsidRPr="00DE12A3" w:rsidRDefault="00242DA0" w:rsidP="00E20716">
      <w:pPr>
        <w:pStyle w:val="Gvdemetni251"/>
        <w:numPr>
          <w:ilvl w:val="3"/>
          <w:numId w:val="390"/>
        </w:numPr>
        <w:shd w:val="clear" w:color="auto" w:fill="auto"/>
        <w:spacing w:before="120" w:after="120" w:line="240" w:lineRule="auto"/>
        <w:ind w:left="1134" w:hanging="1134"/>
        <w:rPr>
          <w:color w:val="auto"/>
          <w:sz w:val="24"/>
          <w:szCs w:val="24"/>
        </w:rPr>
      </w:pPr>
      <w:r w:rsidRPr="00DE12A3">
        <w:rPr>
          <w:color w:val="auto"/>
          <w:sz w:val="24"/>
          <w:szCs w:val="24"/>
        </w:rPr>
        <w:t>Karışma doğrulaması için ölçüm ilkeleri</w:t>
      </w:r>
    </w:p>
    <w:p w14:paraId="7DEE3A11" w14:textId="77777777" w:rsidR="002D7B36" w:rsidRPr="00DE12A3" w:rsidRDefault="00AA67AA" w:rsidP="00C917D6">
      <w:pPr>
        <w:pStyle w:val="Gvdemetni251"/>
        <w:shd w:val="clear" w:color="auto" w:fill="auto"/>
        <w:spacing w:before="120" w:after="120" w:line="240" w:lineRule="auto"/>
        <w:ind w:left="1134" w:hanging="1134"/>
        <w:rPr>
          <w:color w:val="auto"/>
          <w:sz w:val="24"/>
          <w:szCs w:val="24"/>
        </w:rPr>
      </w:pPr>
      <w:r w:rsidRPr="00DE12A3">
        <w:rPr>
          <w:color w:val="auto"/>
          <w:sz w:val="24"/>
          <w:szCs w:val="24"/>
        </w:rPr>
        <w:t xml:space="preserve">                  </w:t>
      </w:r>
      <w:r w:rsidR="00242DA0" w:rsidRPr="00DE12A3">
        <w:rPr>
          <w:color w:val="auto"/>
          <w:sz w:val="24"/>
          <w:szCs w:val="24"/>
        </w:rPr>
        <w:t>Karışma gazları, NH</w:t>
      </w:r>
      <w:r w:rsidR="00242DA0" w:rsidRPr="00DE12A3">
        <w:rPr>
          <w:color w:val="auto"/>
          <w:sz w:val="24"/>
          <w:szCs w:val="24"/>
          <w:vertAlign w:val="subscript"/>
        </w:rPr>
        <w:t>3</w:t>
      </w:r>
      <w:r w:rsidR="00242DA0" w:rsidRPr="00DE12A3">
        <w:rPr>
          <w:color w:val="auto"/>
          <w:sz w:val="24"/>
          <w:szCs w:val="24"/>
        </w:rPr>
        <w:t>'e benzer bir tepkiye neden olarak bazı lazer kızılötesi analiz cihazlarına pozitif olarak karışabilir. Analiz cihazı bu karışma doğrulamasını sağlamak için diğer gazlara ait ölçümleri kullanan dengeleme algoritmaları kullanıyorsa, analiz cihazı karışma doğrulaması sırasında dengeleme algoritmalarını test etmek için, bu diğer ölçümler eş zamanlı olarak yapılmalıdır.</w:t>
      </w:r>
    </w:p>
    <w:p w14:paraId="3736A01A" w14:textId="77777777" w:rsidR="002D7B36" w:rsidRPr="00DE12A3" w:rsidRDefault="00AA67AA" w:rsidP="00C917D6">
      <w:pPr>
        <w:pStyle w:val="Gvdemetni251"/>
        <w:shd w:val="clear" w:color="auto" w:fill="auto"/>
        <w:spacing w:before="120" w:after="120" w:line="240" w:lineRule="auto"/>
        <w:ind w:left="1134" w:hanging="1134"/>
        <w:rPr>
          <w:color w:val="auto"/>
          <w:sz w:val="24"/>
          <w:szCs w:val="24"/>
        </w:rPr>
      </w:pPr>
      <w:r w:rsidRPr="00DE12A3">
        <w:rPr>
          <w:color w:val="auto"/>
          <w:sz w:val="24"/>
          <w:szCs w:val="24"/>
        </w:rPr>
        <w:t xml:space="preserve">                  </w:t>
      </w:r>
      <w:r w:rsidR="00242DA0" w:rsidRPr="00DE12A3">
        <w:rPr>
          <w:color w:val="auto"/>
          <w:sz w:val="24"/>
          <w:szCs w:val="24"/>
        </w:rPr>
        <w:t>Lazer kızılötesi analiz cihazı için karışma gazlarını belirlemek amacıyla iyi mühendislik kararı kullanılmalıdır. Karışma türlerinin, H</w:t>
      </w:r>
      <w:r w:rsidR="00242DA0" w:rsidRPr="00DE12A3">
        <w:rPr>
          <w:color w:val="auto"/>
          <w:sz w:val="24"/>
          <w:szCs w:val="24"/>
          <w:vertAlign w:val="subscript"/>
        </w:rPr>
        <w:t>2</w:t>
      </w:r>
      <w:r w:rsidR="00242DA0" w:rsidRPr="00DE12A3">
        <w:rPr>
          <w:color w:val="auto"/>
          <w:sz w:val="24"/>
          <w:szCs w:val="24"/>
        </w:rPr>
        <w:t>O hariç, cihaz imalatçısı tarafından seçilen NH</w:t>
      </w:r>
      <w:r w:rsidR="00242DA0" w:rsidRPr="00DE12A3">
        <w:rPr>
          <w:color w:val="auto"/>
          <w:sz w:val="24"/>
          <w:szCs w:val="24"/>
          <w:vertAlign w:val="subscript"/>
        </w:rPr>
        <w:t>3</w:t>
      </w:r>
      <w:r w:rsidR="00242DA0" w:rsidRPr="00DE12A3">
        <w:rPr>
          <w:color w:val="auto"/>
          <w:sz w:val="24"/>
          <w:szCs w:val="24"/>
        </w:rPr>
        <w:t xml:space="preserve"> kızılötesi emilim bandına bağlı olduğu unutulmamalıdır. Her analiz cihazı için NH</w:t>
      </w:r>
      <w:r w:rsidR="00242DA0" w:rsidRPr="00DE12A3">
        <w:rPr>
          <w:color w:val="auto"/>
          <w:sz w:val="24"/>
          <w:szCs w:val="24"/>
          <w:vertAlign w:val="subscript"/>
        </w:rPr>
        <w:t>3</w:t>
      </w:r>
      <w:r w:rsidR="00242DA0" w:rsidRPr="00DE12A3">
        <w:rPr>
          <w:color w:val="auto"/>
          <w:sz w:val="24"/>
          <w:szCs w:val="24"/>
        </w:rPr>
        <w:t xml:space="preserve"> kızılötesi emilim bandı belirlenmelidir. Her NH</w:t>
      </w:r>
      <w:r w:rsidR="00242DA0" w:rsidRPr="00DE12A3">
        <w:rPr>
          <w:color w:val="auto"/>
          <w:sz w:val="24"/>
          <w:szCs w:val="24"/>
          <w:vertAlign w:val="subscript"/>
        </w:rPr>
        <w:t>3</w:t>
      </w:r>
      <w:r w:rsidR="00242DA0" w:rsidRPr="00DE12A3">
        <w:rPr>
          <w:color w:val="auto"/>
          <w:sz w:val="24"/>
          <w:szCs w:val="24"/>
        </w:rPr>
        <w:t xml:space="preserve"> kızılötesi emilim bandı için, doğrulamada kullanılacak karışma gazlarını belirlemek için iyi mühendislik kararı kullanılmalıdır.</w:t>
      </w:r>
    </w:p>
    <w:p w14:paraId="45A8DE16" w14:textId="77777777" w:rsidR="002D7B36" w:rsidRPr="00DE12A3" w:rsidRDefault="00AA67AA" w:rsidP="00E20716">
      <w:pPr>
        <w:pStyle w:val="Gvdemetni251"/>
        <w:numPr>
          <w:ilvl w:val="0"/>
          <w:numId w:val="390"/>
        </w:numPr>
        <w:shd w:val="clear" w:color="auto" w:fill="auto"/>
        <w:spacing w:before="120" w:after="120" w:line="240" w:lineRule="auto"/>
        <w:ind w:left="1134" w:hanging="1134"/>
        <w:rPr>
          <w:b/>
          <w:color w:val="auto"/>
          <w:sz w:val="24"/>
          <w:szCs w:val="24"/>
        </w:rPr>
      </w:pPr>
      <w:r w:rsidRPr="00DE12A3">
        <w:rPr>
          <w:color w:val="auto"/>
          <w:sz w:val="24"/>
          <w:szCs w:val="24"/>
        </w:rPr>
        <w:t xml:space="preserve">     </w:t>
      </w:r>
      <w:r w:rsidRPr="00DE12A3">
        <w:rPr>
          <w:b/>
          <w:color w:val="auto"/>
          <w:sz w:val="24"/>
          <w:szCs w:val="24"/>
        </w:rPr>
        <w:t xml:space="preserve"> </w:t>
      </w:r>
      <w:r w:rsidR="00242DA0" w:rsidRPr="00DE12A3">
        <w:rPr>
          <w:b/>
          <w:color w:val="auto"/>
          <w:sz w:val="24"/>
          <w:szCs w:val="24"/>
        </w:rPr>
        <w:t>Emisyon testi prosedürü</w:t>
      </w:r>
    </w:p>
    <w:p w14:paraId="7A5CC742" w14:textId="77777777" w:rsidR="002D7B36" w:rsidRPr="00DE12A3" w:rsidRDefault="00AA67AA" w:rsidP="00E20716">
      <w:pPr>
        <w:pStyle w:val="Gvdemetni251"/>
        <w:numPr>
          <w:ilvl w:val="1"/>
          <w:numId w:val="390"/>
        </w:numPr>
        <w:shd w:val="clear" w:color="auto" w:fill="auto"/>
        <w:spacing w:before="120" w:after="120" w:line="240" w:lineRule="auto"/>
        <w:ind w:left="1134" w:hanging="1134"/>
        <w:rPr>
          <w:color w:val="auto"/>
          <w:sz w:val="24"/>
          <w:szCs w:val="24"/>
        </w:rPr>
      </w:pPr>
      <w:r w:rsidRPr="00DE12A3">
        <w:rPr>
          <w:color w:val="auto"/>
          <w:sz w:val="24"/>
          <w:szCs w:val="24"/>
        </w:rPr>
        <w:t xml:space="preserve">      </w:t>
      </w:r>
      <w:r w:rsidR="00242DA0" w:rsidRPr="00DE12A3">
        <w:rPr>
          <w:color w:val="auto"/>
          <w:sz w:val="24"/>
          <w:szCs w:val="24"/>
        </w:rPr>
        <w:t>Analiz cihazları kontrolü</w:t>
      </w:r>
    </w:p>
    <w:p w14:paraId="545523F0" w14:textId="77777777" w:rsidR="002D7B36" w:rsidRPr="00DE12A3" w:rsidRDefault="00AA67AA" w:rsidP="00C917D6">
      <w:pPr>
        <w:pStyle w:val="Gvdemetni251"/>
        <w:shd w:val="clear" w:color="auto" w:fill="auto"/>
        <w:spacing w:before="120" w:after="120" w:line="240" w:lineRule="auto"/>
        <w:ind w:left="1134" w:hanging="1134"/>
        <w:rPr>
          <w:color w:val="auto"/>
          <w:sz w:val="24"/>
          <w:szCs w:val="24"/>
        </w:rPr>
      </w:pPr>
      <w:r w:rsidRPr="00DE12A3">
        <w:rPr>
          <w:color w:val="auto"/>
          <w:sz w:val="24"/>
          <w:szCs w:val="24"/>
        </w:rPr>
        <w:t xml:space="preserve">                 </w:t>
      </w:r>
      <w:r w:rsidR="00242DA0" w:rsidRPr="00DE12A3">
        <w:rPr>
          <w:color w:val="auto"/>
          <w:sz w:val="24"/>
          <w:szCs w:val="24"/>
        </w:rPr>
        <w:t>Emisyon testinden önce, analiz cihazı aralığı seçilmelidir. Otomatik veya manuel tip anahtarlı emisyon analiz cihazları kullanılabilir. Test süresince analiz cihazları aralığı değiştirilmemelidir.</w:t>
      </w:r>
    </w:p>
    <w:p w14:paraId="61509CDB" w14:textId="77777777" w:rsidR="002D7B36" w:rsidRPr="00DE12A3" w:rsidRDefault="00AA67AA" w:rsidP="00C917D6">
      <w:pPr>
        <w:pStyle w:val="Gvdemetni251"/>
        <w:shd w:val="clear" w:color="auto" w:fill="auto"/>
        <w:spacing w:before="120" w:after="120" w:line="240" w:lineRule="auto"/>
        <w:ind w:left="1134" w:hanging="1134"/>
        <w:rPr>
          <w:color w:val="auto"/>
          <w:sz w:val="24"/>
          <w:szCs w:val="24"/>
        </w:rPr>
      </w:pPr>
      <w:r w:rsidRPr="00DE12A3">
        <w:rPr>
          <w:color w:val="auto"/>
          <w:sz w:val="24"/>
          <w:szCs w:val="24"/>
        </w:rPr>
        <w:t xml:space="preserve">                  </w:t>
      </w:r>
      <w:r w:rsidR="00242DA0" w:rsidRPr="00DE12A3">
        <w:rPr>
          <w:color w:val="auto"/>
          <w:sz w:val="24"/>
          <w:szCs w:val="24"/>
        </w:rPr>
        <w:t xml:space="preserve">3.4.2 bendinde belirtilen hükümler söz konusu cihaz için geçerli değilse, sıfır ve ayar tepkisi belirlenmelidir. Ayar tepkisi için, 4.2.7 bendinde belirtilen </w:t>
      </w:r>
      <w:r w:rsidR="0053289F" w:rsidRPr="00DE12A3">
        <w:rPr>
          <w:color w:val="auto"/>
          <w:sz w:val="24"/>
          <w:szCs w:val="24"/>
        </w:rPr>
        <w:t>gereklilikleri</w:t>
      </w:r>
      <w:r w:rsidR="00242DA0" w:rsidRPr="00DE12A3">
        <w:rPr>
          <w:color w:val="auto"/>
          <w:sz w:val="24"/>
          <w:szCs w:val="24"/>
        </w:rPr>
        <w:t xml:space="preserve"> sağlayan bir NH</w:t>
      </w:r>
      <w:r w:rsidR="00242DA0" w:rsidRPr="00DE12A3">
        <w:rPr>
          <w:color w:val="auto"/>
          <w:sz w:val="24"/>
          <w:szCs w:val="24"/>
          <w:vertAlign w:val="subscript"/>
        </w:rPr>
        <w:t>3</w:t>
      </w:r>
      <w:r w:rsidR="00242DA0" w:rsidRPr="00DE12A3">
        <w:rPr>
          <w:color w:val="auto"/>
          <w:sz w:val="24"/>
          <w:szCs w:val="24"/>
        </w:rPr>
        <w:t xml:space="preserve"> gazı kullanılmalıdır. NH</w:t>
      </w:r>
      <w:r w:rsidR="00242DA0" w:rsidRPr="00DE12A3">
        <w:rPr>
          <w:color w:val="auto"/>
          <w:sz w:val="24"/>
          <w:szCs w:val="24"/>
          <w:vertAlign w:val="subscript"/>
        </w:rPr>
        <w:t>3</w:t>
      </w:r>
      <w:r w:rsidR="00242DA0" w:rsidRPr="00DE12A3">
        <w:rPr>
          <w:color w:val="auto"/>
          <w:sz w:val="24"/>
          <w:szCs w:val="24"/>
        </w:rPr>
        <w:t xml:space="preserve"> ayar gazı içeren referans hücrelerin kullanımına izin verilir.</w:t>
      </w:r>
    </w:p>
    <w:p w14:paraId="6C9E6243" w14:textId="77777777" w:rsidR="002D7B36" w:rsidRPr="00DE12A3" w:rsidRDefault="00AA67AA" w:rsidP="00E20716">
      <w:pPr>
        <w:pStyle w:val="Gvdemetni251"/>
        <w:numPr>
          <w:ilvl w:val="1"/>
          <w:numId w:val="390"/>
        </w:numPr>
        <w:shd w:val="clear" w:color="auto" w:fill="auto"/>
        <w:spacing w:before="120" w:after="120" w:line="240" w:lineRule="auto"/>
        <w:ind w:left="1134" w:hanging="1134"/>
        <w:rPr>
          <w:color w:val="auto"/>
          <w:sz w:val="24"/>
          <w:szCs w:val="24"/>
        </w:rPr>
      </w:pPr>
      <w:r w:rsidRPr="00DE12A3">
        <w:rPr>
          <w:color w:val="auto"/>
          <w:sz w:val="24"/>
          <w:szCs w:val="24"/>
        </w:rPr>
        <w:t xml:space="preserve">      </w:t>
      </w:r>
      <w:r w:rsidR="00242DA0" w:rsidRPr="00DE12A3">
        <w:rPr>
          <w:color w:val="auto"/>
          <w:sz w:val="24"/>
          <w:szCs w:val="24"/>
        </w:rPr>
        <w:t>Emisyonla ilgili verilerin toplanması</w:t>
      </w:r>
    </w:p>
    <w:p w14:paraId="132C82FA" w14:textId="77777777" w:rsidR="002D7B36" w:rsidRPr="00DE12A3" w:rsidRDefault="00AA67AA" w:rsidP="00C917D6">
      <w:pPr>
        <w:pStyle w:val="Gvdemetni251"/>
        <w:shd w:val="clear" w:color="auto" w:fill="auto"/>
        <w:tabs>
          <w:tab w:val="left" w:pos="2346"/>
          <w:tab w:val="center" w:pos="2810"/>
          <w:tab w:val="right" w:pos="3266"/>
          <w:tab w:val="left" w:pos="3351"/>
          <w:tab w:val="left" w:pos="3376"/>
          <w:tab w:val="center" w:pos="3818"/>
          <w:tab w:val="center" w:pos="4055"/>
          <w:tab w:val="center" w:pos="4056"/>
          <w:tab w:val="left" w:pos="4808"/>
        </w:tabs>
        <w:spacing w:before="120" w:after="120" w:line="240" w:lineRule="auto"/>
        <w:ind w:left="1134" w:hanging="1134"/>
        <w:rPr>
          <w:color w:val="auto"/>
          <w:sz w:val="24"/>
          <w:szCs w:val="24"/>
        </w:rPr>
      </w:pPr>
      <w:r w:rsidRPr="00DE12A3">
        <w:rPr>
          <w:color w:val="auto"/>
          <w:sz w:val="24"/>
          <w:szCs w:val="24"/>
        </w:rPr>
        <w:t xml:space="preserve">                 </w:t>
      </w:r>
      <w:r w:rsidR="00242DA0" w:rsidRPr="00DE12A3">
        <w:rPr>
          <w:color w:val="auto"/>
          <w:sz w:val="24"/>
          <w:szCs w:val="24"/>
        </w:rPr>
        <w:t>Test dizisinin başlangıcında, eş zamanlı olarak NH</w:t>
      </w:r>
      <w:r w:rsidR="00242DA0" w:rsidRPr="00DE12A3">
        <w:rPr>
          <w:color w:val="auto"/>
          <w:sz w:val="24"/>
          <w:szCs w:val="24"/>
          <w:vertAlign w:val="subscript"/>
        </w:rPr>
        <w:t>3</w:t>
      </w:r>
      <w:r w:rsidR="00242DA0" w:rsidRPr="00DE12A3">
        <w:rPr>
          <w:color w:val="auto"/>
          <w:sz w:val="24"/>
          <w:szCs w:val="24"/>
        </w:rPr>
        <w:t xml:space="preserve"> verisinin toplanması da başlamalıdır. NH</w:t>
      </w:r>
      <w:r w:rsidR="00242DA0" w:rsidRPr="00DE12A3">
        <w:rPr>
          <w:color w:val="auto"/>
          <w:sz w:val="24"/>
          <w:szCs w:val="24"/>
          <w:vertAlign w:val="subscript"/>
        </w:rPr>
        <w:t>3</w:t>
      </w:r>
      <w:r w:rsidR="00242DA0" w:rsidRPr="00DE12A3">
        <w:rPr>
          <w:color w:val="auto"/>
          <w:sz w:val="24"/>
          <w:szCs w:val="24"/>
        </w:rPr>
        <w:t xml:space="preserve"> konsantrasyonu sürekli olarak ölçülmeli ve bir bilgisayar sistemi üzerinde en az 1 Hz ile depolanmalıdır.</w:t>
      </w:r>
    </w:p>
    <w:p w14:paraId="2DA9742F" w14:textId="77777777" w:rsidR="002D7B36" w:rsidRPr="00DE12A3" w:rsidRDefault="00AA67AA" w:rsidP="00E20716">
      <w:pPr>
        <w:pStyle w:val="Gvdemetni251"/>
        <w:numPr>
          <w:ilvl w:val="1"/>
          <w:numId w:val="390"/>
        </w:numPr>
        <w:shd w:val="clear" w:color="auto" w:fill="auto"/>
        <w:spacing w:before="120" w:after="120" w:line="240" w:lineRule="auto"/>
        <w:ind w:left="1134" w:hanging="1134"/>
        <w:rPr>
          <w:color w:val="auto"/>
          <w:sz w:val="24"/>
          <w:szCs w:val="24"/>
        </w:rPr>
      </w:pPr>
      <w:r w:rsidRPr="00DE12A3">
        <w:rPr>
          <w:color w:val="auto"/>
          <w:sz w:val="24"/>
          <w:szCs w:val="24"/>
        </w:rPr>
        <w:t xml:space="preserve">       </w:t>
      </w:r>
      <w:r w:rsidR="00242DA0" w:rsidRPr="00DE12A3">
        <w:rPr>
          <w:color w:val="auto"/>
          <w:sz w:val="24"/>
          <w:szCs w:val="24"/>
        </w:rPr>
        <w:t>Test sonrası işlemler</w:t>
      </w:r>
    </w:p>
    <w:p w14:paraId="58DAEDDD" w14:textId="77777777" w:rsidR="002D7B36" w:rsidRPr="00DE12A3" w:rsidRDefault="00AA67AA" w:rsidP="00C917D6">
      <w:pPr>
        <w:pStyle w:val="Gvdemetni251"/>
        <w:shd w:val="clear" w:color="auto" w:fill="auto"/>
        <w:spacing w:before="120" w:after="120" w:line="240" w:lineRule="auto"/>
        <w:ind w:left="1134" w:hanging="1134"/>
        <w:rPr>
          <w:color w:val="auto"/>
          <w:sz w:val="24"/>
          <w:szCs w:val="24"/>
        </w:rPr>
      </w:pPr>
      <w:r w:rsidRPr="00DE12A3">
        <w:rPr>
          <w:color w:val="auto"/>
          <w:sz w:val="24"/>
          <w:szCs w:val="24"/>
        </w:rPr>
        <w:t xml:space="preserve">                  </w:t>
      </w:r>
      <w:r w:rsidR="00242DA0" w:rsidRPr="00DE12A3">
        <w:rPr>
          <w:color w:val="auto"/>
          <w:sz w:val="24"/>
          <w:szCs w:val="24"/>
        </w:rPr>
        <w:t xml:space="preserve">Test tamamlandığında, sistem tepki süreleri geçinceye kadar örnekleme devam etmelidir. 3.4.1 bendi uyarınca analiz cihazı </w:t>
      </w:r>
      <w:r w:rsidR="00093948" w:rsidRPr="00DE12A3">
        <w:rPr>
          <w:color w:val="auto"/>
          <w:sz w:val="24"/>
          <w:szCs w:val="24"/>
        </w:rPr>
        <w:t>sapmasının</w:t>
      </w:r>
      <w:r w:rsidR="00242DA0" w:rsidRPr="00DE12A3">
        <w:rPr>
          <w:color w:val="auto"/>
          <w:sz w:val="24"/>
          <w:szCs w:val="24"/>
        </w:rPr>
        <w:t xml:space="preserve"> belirlenmesi, sadece 3.4.2 bendinde istenen bilgiler mevcut değilse gereklidir.</w:t>
      </w:r>
    </w:p>
    <w:p w14:paraId="61E4195D" w14:textId="77777777" w:rsidR="002D7B36" w:rsidRPr="00DE12A3" w:rsidRDefault="00AA67AA" w:rsidP="00E20716">
      <w:pPr>
        <w:pStyle w:val="Gvdemetni251"/>
        <w:numPr>
          <w:ilvl w:val="1"/>
          <w:numId w:val="390"/>
        </w:numPr>
        <w:shd w:val="clear" w:color="auto" w:fill="auto"/>
        <w:spacing w:before="120" w:after="120" w:line="240" w:lineRule="auto"/>
        <w:ind w:left="1134" w:hanging="1134"/>
        <w:rPr>
          <w:color w:val="auto"/>
          <w:sz w:val="24"/>
          <w:szCs w:val="24"/>
        </w:rPr>
      </w:pPr>
      <w:r w:rsidRPr="00DE12A3">
        <w:rPr>
          <w:color w:val="auto"/>
          <w:sz w:val="24"/>
          <w:szCs w:val="24"/>
        </w:rPr>
        <w:t xml:space="preserve">      </w:t>
      </w:r>
      <w:r w:rsidR="00242DA0" w:rsidRPr="00DE12A3">
        <w:rPr>
          <w:color w:val="auto"/>
          <w:sz w:val="24"/>
          <w:szCs w:val="24"/>
        </w:rPr>
        <w:t xml:space="preserve">Analyser </w:t>
      </w:r>
      <w:r w:rsidR="00093948" w:rsidRPr="00DE12A3">
        <w:rPr>
          <w:color w:val="auto"/>
          <w:sz w:val="24"/>
          <w:szCs w:val="24"/>
        </w:rPr>
        <w:t>sapma</w:t>
      </w:r>
    </w:p>
    <w:p w14:paraId="06ADFC13" w14:textId="1ED8C1D6" w:rsidR="002D7B36" w:rsidRPr="00DE12A3" w:rsidRDefault="00AA67AA" w:rsidP="00E20716">
      <w:pPr>
        <w:pStyle w:val="Gvdemetni251"/>
        <w:numPr>
          <w:ilvl w:val="2"/>
          <w:numId w:val="390"/>
        </w:numPr>
        <w:shd w:val="clear" w:color="auto" w:fill="auto"/>
        <w:tabs>
          <w:tab w:val="left" w:pos="634"/>
          <w:tab w:val="left" w:pos="2346"/>
          <w:tab w:val="center" w:pos="2654"/>
          <w:tab w:val="left" w:pos="3351"/>
          <w:tab w:val="center" w:pos="3590"/>
          <w:tab w:val="center" w:pos="4325"/>
          <w:tab w:val="right" w:pos="4766"/>
          <w:tab w:val="left" w:pos="4808"/>
          <w:tab w:val="right" w:pos="5645"/>
        </w:tabs>
        <w:spacing w:before="120" w:after="120" w:line="240" w:lineRule="auto"/>
        <w:ind w:left="1134" w:hanging="1134"/>
        <w:rPr>
          <w:color w:val="auto"/>
          <w:sz w:val="24"/>
          <w:szCs w:val="24"/>
        </w:rPr>
      </w:pPr>
      <w:r w:rsidRPr="00DE12A3">
        <w:rPr>
          <w:color w:val="auto"/>
          <w:sz w:val="24"/>
          <w:szCs w:val="24"/>
        </w:rPr>
        <w:t xml:space="preserve">        </w:t>
      </w:r>
      <w:r w:rsidR="00242DA0" w:rsidRPr="00DE12A3">
        <w:rPr>
          <w:color w:val="auto"/>
          <w:sz w:val="24"/>
          <w:szCs w:val="24"/>
        </w:rPr>
        <w:t xml:space="preserve">Mümkün olduğunca kısa sürede, ancak test </w:t>
      </w:r>
      <w:r w:rsidR="00F310B5" w:rsidRPr="00DE12A3">
        <w:rPr>
          <w:color w:val="auto"/>
          <w:sz w:val="24"/>
          <w:szCs w:val="24"/>
        </w:rPr>
        <w:t>çevrimi</w:t>
      </w:r>
      <w:r w:rsidR="00242DA0" w:rsidRPr="00DE12A3">
        <w:rPr>
          <w:color w:val="auto"/>
          <w:sz w:val="24"/>
          <w:szCs w:val="24"/>
        </w:rPr>
        <w:t xml:space="preserve"> tamamlandıktan sonra veya ıslanma döneminden en geç 30 dakika sonra, analiz cihazının sıfır ve ayar tepkileri belirlenmelidir. Test öncesi ve test sonrası sonuçlar arasındaki fark tam öl</w:t>
      </w:r>
      <w:r w:rsidR="001A3093" w:rsidRPr="00DE12A3">
        <w:rPr>
          <w:color w:val="auto"/>
          <w:sz w:val="24"/>
          <w:szCs w:val="24"/>
        </w:rPr>
        <w:t xml:space="preserve">çeğin </w:t>
      </w:r>
      <w:r w:rsidR="00590D92" w:rsidRPr="00DE12A3">
        <w:rPr>
          <w:color w:val="auto"/>
          <w:sz w:val="24"/>
          <w:szCs w:val="24"/>
        </w:rPr>
        <w:t>%2</w:t>
      </w:r>
      <w:r w:rsidR="001A3093" w:rsidRPr="00DE12A3">
        <w:rPr>
          <w:color w:val="auto"/>
          <w:sz w:val="24"/>
          <w:szCs w:val="24"/>
        </w:rPr>
        <w:t xml:space="preserve">'sinden az olmalıdır. </w:t>
      </w:r>
    </w:p>
    <w:p w14:paraId="5BAC1EF8" w14:textId="108000EB" w:rsidR="002D7B36" w:rsidRPr="00DE12A3" w:rsidRDefault="00EC420E" w:rsidP="00EC420E">
      <w:pPr>
        <w:pStyle w:val="Gvdemetni251"/>
        <w:spacing w:before="120" w:after="120" w:line="240" w:lineRule="auto"/>
        <w:ind w:firstLine="0"/>
        <w:rPr>
          <w:color w:val="auto"/>
          <w:sz w:val="24"/>
          <w:szCs w:val="24"/>
        </w:rPr>
      </w:pPr>
      <w:r w:rsidRPr="00DE12A3">
        <w:rPr>
          <w:color w:val="auto"/>
          <w:sz w:val="24"/>
          <w:szCs w:val="24"/>
        </w:rPr>
        <w:t xml:space="preserve">3.4.2.         </w:t>
      </w:r>
      <w:r w:rsidR="00242DA0" w:rsidRPr="00DE12A3">
        <w:rPr>
          <w:color w:val="auto"/>
          <w:sz w:val="24"/>
          <w:szCs w:val="24"/>
        </w:rPr>
        <w:t xml:space="preserve">Aşağıdaki durumlarda analiz cihazı </w:t>
      </w:r>
      <w:r w:rsidR="00093948" w:rsidRPr="00DE12A3">
        <w:rPr>
          <w:color w:val="auto"/>
          <w:sz w:val="24"/>
          <w:szCs w:val="24"/>
        </w:rPr>
        <w:t>sapmasının</w:t>
      </w:r>
      <w:r w:rsidR="00242DA0" w:rsidRPr="00DE12A3">
        <w:rPr>
          <w:color w:val="auto"/>
          <w:sz w:val="24"/>
          <w:szCs w:val="24"/>
        </w:rPr>
        <w:t xml:space="preserve"> belirlenmesi gerekmez:</w:t>
      </w:r>
    </w:p>
    <w:p w14:paraId="752D0787" w14:textId="5F67602A" w:rsidR="002D7B36" w:rsidRPr="00DE12A3" w:rsidRDefault="00AA67AA" w:rsidP="00E20716">
      <w:pPr>
        <w:pStyle w:val="Gvdemetni251"/>
        <w:numPr>
          <w:ilvl w:val="0"/>
          <w:numId w:val="392"/>
        </w:numPr>
        <w:spacing w:before="120" w:after="120" w:line="240" w:lineRule="auto"/>
        <w:ind w:left="1701" w:hanging="567"/>
        <w:rPr>
          <w:color w:val="auto"/>
          <w:sz w:val="24"/>
          <w:szCs w:val="24"/>
        </w:rPr>
      </w:pPr>
      <w:r w:rsidRPr="00DE12A3">
        <w:rPr>
          <w:color w:val="auto"/>
          <w:sz w:val="24"/>
          <w:szCs w:val="24"/>
        </w:rPr>
        <w:t xml:space="preserve">     </w:t>
      </w:r>
      <w:r w:rsidR="00242DA0" w:rsidRPr="00DE12A3">
        <w:rPr>
          <w:color w:val="auto"/>
          <w:sz w:val="24"/>
          <w:szCs w:val="24"/>
        </w:rPr>
        <w:t xml:space="preserve">Cihaz imalatçısı tarafından 4.2.3 ve 4.2.4 bentlerinde belirtilen sıfır ve ayar </w:t>
      </w:r>
      <w:r w:rsidR="00093948" w:rsidRPr="00DE12A3">
        <w:rPr>
          <w:color w:val="auto"/>
          <w:sz w:val="24"/>
          <w:szCs w:val="24"/>
        </w:rPr>
        <w:t>sapması</w:t>
      </w:r>
      <w:r w:rsidR="00242DA0" w:rsidRPr="00DE12A3">
        <w:rPr>
          <w:color w:val="auto"/>
          <w:sz w:val="24"/>
          <w:szCs w:val="24"/>
        </w:rPr>
        <w:t xml:space="preserve">, 3.4.1 bendindeki </w:t>
      </w:r>
      <w:r w:rsidR="0053289F" w:rsidRPr="00DE12A3">
        <w:rPr>
          <w:color w:val="auto"/>
          <w:sz w:val="24"/>
          <w:szCs w:val="24"/>
        </w:rPr>
        <w:t>gereklilikleri</w:t>
      </w:r>
      <w:r w:rsidR="00242DA0" w:rsidRPr="00DE12A3">
        <w:rPr>
          <w:color w:val="auto"/>
          <w:sz w:val="24"/>
          <w:szCs w:val="24"/>
        </w:rPr>
        <w:t xml:space="preserve"> sağlıyorsa</w:t>
      </w:r>
      <w:r w:rsidR="00ED46C8" w:rsidRPr="00DE12A3">
        <w:rPr>
          <w:color w:val="auto"/>
          <w:sz w:val="24"/>
          <w:szCs w:val="24"/>
        </w:rPr>
        <w:t>.</w:t>
      </w:r>
    </w:p>
    <w:p w14:paraId="5B86B469" w14:textId="77777777" w:rsidR="002D7B36" w:rsidRPr="00DE12A3" w:rsidRDefault="00242DA0" w:rsidP="00E20716">
      <w:pPr>
        <w:pStyle w:val="Gvdemetni251"/>
        <w:numPr>
          <w:ilvl w:val="0"/>
          <w:numId w:val="392"/>
        </w:numPr>
        <w:spacing w:before="120" w:after="120" w:line="240" w:lineRule="auto"/>
        <w:ind w:left="1701" w:hanging="567"/>
        <w:rPr>
          <w:color w:val="auto"/>
          <w:sz w:val="24"/>
          <w:szCs w:val="24"/>
        </w:rPr>
      </w:pPr>
      <w:r w:rsidRPr="00DE12A3">
        <w:rPr>
          <w:color w:val="auto"/>
          <w:sz w:val="24"/>
          <w:szCs w:val="24"/>
        </w:rPr>
        <w:t xml:space="preserve">Cihaz imalatçısı tarafından 4.2.3 ve 4.2.4 bentlerinde belirtilen sıfır ve ayar </w:t>
      </w:r>
      <w:r w:rsidR="00093948" w:rsidRPr="00DE12A3">
        <w:rPr>
          <w:color w:val="auto"/>
          <w:sz w:val="24"/>
          <w:szCs w:val="24"/>
        </w:rPr>
        <w:t>sapması</w:t>
      </w:r>
      <w:r w:rsidRPr="00DE12A3">
        <w:rPr>
          <w:color w:val="auto"/>
          <w:sz w:val="24"/>
          <w:szCs w:val="24"/>
        </w:rPr>
        <w:t xml:space="preserve"> için zaman aralığı, testin süresini aşıyorsa.</w:t>
      </w:r>
    </w:p>
    <w:p w14:paraId="59C40F69" w14:textId="77777777" w:rsidR="002D7B36" w:rsidRPr="00DE12A3" w:rsidRDefault="00AA67AA" w:rsidP="00E20716">
      <w:pPr>
        <w:pStyle w:val="Gvdemetni251"/>
        <w:numPr>
          <w:ilvl w:val="0"/>
          <w:numId w:val="390"/>
        </w:numPr>
        <w:tabs>
          <w:tab w:val="left" w:pos="638"/>
          <w:tab w:val="left" w:pos="2537"/>
        </w:tabs>
        <w:spacing w:before="120" w:after="120" w:line="240" w:lineRule="auto"/>
        <w:ind w:left="1134" w:hanging="1134"/>
        <w:rPr>
          <w:b/>
          <w:color w:val="auto"/>
          <w:sz w:val="24"/>
          <w:szCs w:val="24"/>
        </w:rPr>
      </w:pPr>
      <w:r w:rsidRPr="00DE12A3">
        <w:rPr>
          <w:b/>
          <w:color w:val="auto"/>
          <w:sz w:val="24"/>
          <w:szCs w:val="24"/>
        </w:rPr>
        <w:t xml:space="preserve">        </w:t>
      </w:r>
      <w:r w:rsidR="00242DA0" w:rsidRPr="00DE12A3">
        <w:rPr>
          <w:b/>
          <w:color w:val="auto"/>
          <w:sz w:val="24"/>
          <w:szCs w:val="24"/>
        </w:rPr>
        <w:t>Analiz cihazı şartnamesi ve doğrulaması</w:t>
      </w:r>
    </w:p>
    <w:p w14:paraId="5190253B" w14:textId="77777777" w:rsidR="002D7B36" w:rsidRPr="00DE12A3" w:rsidRDefault="00AA67AA" w:rsidP="00E20716">
      <w:pPr>
        <w:pStyle w:val="Gvdemetni251"/>
        <w:numPr>
          <w:ilvl w:val="1"/>
          <w:numId w:val="390"/>
        </w:numPr>
        <w:spacing w:before="120" w:after="120" w:line="240" w:lineRule="auto"/>
        <w:ind w:left="1134" w:hanging="1134"/>
        <w:rPr>
          <w:color w:val="auto"/>
          <w:sz w:val="24"/>
          <w:szCs w:val="24"/>
        </w:rPr>
      </w:pPr>
      <w:r w:rsidRPr="00DE12A3">
        <w:rPr>
          <w:color w:val="auto"/>
          <w:sz w:val="24"/>
          <w:szCs w:val="24"/>
        </w:rPr>
        <w:t xml:space="preserve">        </w:t>
      </w:r>
      <w:r w:rsidR="00242DA0" w:rsidRPr="00DE12A3">
        <w:rPr>
          <w:color w:val="auto"/>
          <w:sz w:val="24"/>
          <w:szCs w:val="24"/>
        </w:rPr>
        <w:t xml:space="preserve">Doğrusallık </w:t>
      </w:r>
      <w:r w:rsidR="0053289F" w:rsidRPr="00DE12A3">
        <w:rPr>
          <w:color w:val="auto"/>
          <w:sz w:val="24"/>
          <w:szCs w:val="24"/>
        </w:rPr>
        <w:t>gereklilikleri</w:t>
      </w:r>
    </w:p>
    <w:p w14:paraId="21F12C77" w14:textId="2686F3F9" w:rsidR="002D7B36" w:rsidRPr="00DE12A3" w:rsidRDefault="00AA67AA" w:rsidP="00C917D6">
      <w:pPr>
        <w:pStyle w:val="Gvdemetni251"/>
        <w:tabs>
          <w:tab w:val="left" w:pos="2537"/>
          <w:tab w:val="left" w:pos="2905"/>
          <w:tab w:val="center" w:pos="3918"/>
          <w:tab w:val="center" w:pos="5022"/>
          <w:tab w:val="right" w:pos="5666"/>
        </w:tabs>
        <w:spacing w:before="120" w:after="120" w:line="240" w:lineRule="auto"/>
        <w:ind w:left="1134" w:hanging="1134"/>
        <w:rPr>
          <w:color w:val="auto"/>
          <w:sz w:val="24"/>
          <w:szCs w:val="24"/>
        </w:rPr>
      </w:pPr>
      <w:r w:rsidRPr="00DE12A3">
        <w:rPr>
          <w:color w:val="auto"/>
          <w:sz w:val="24"/>
          <w:szCs w:val="24"/>
        </w:rPr>
        <w:lastRenderedPageBreak/>
        <w:t xml:space="preserve">                   </w:t>
      </w:r>
      <w:r w:rsidR="00242DA0" w:rsidRPr="00DE12A3">
        <w:rPr>
          <w:color w:val="auto"/>
          <w:sz w:val="24"/>
          <w:szCs w:val="24"/>
        </w:rPr>
        <w:t>Analiz cihazı, bu Ekte</w:t>
      </w:r>
      <w:r w:rsidR="00ED46C8" w:rsidRPr="00DE12A3">
        <w:rPr>
          <w:color w:val="auto"/>
          <w:sz w:val="24"/>
          <w:szCs w:val="24"/>
        </w:rPr>
        <w:t xml:space="preserve"> yer alan </w:t>
      </w:r>
      <w:r w:rsidR="00242DA0" w:rsidRPr="00DE12A3">
        <w:rPr>
          <w:color w:val="auto"/>
          <w:sz w:val="24"/>
          <w:szCs w:val="24"/>
        </w:rPr>
        <w:t xml:space="preserve"> Tablo 6.5 içinde belirtilen doğrusallık </w:t>
      </w:r>
      <w:r w:rsidR="0053289F" w:rsidRPr="00DE12A3">
        <w:rPr>
          <w:color w:val="auto"/>
          <w:sz w:val="24"/>
          <w:szCs w:val="24"/>
        </w:rPr>
        <w:t>gereklilikleri</w:t>
      </w:r>
      <w:r w:rsidR="00242DA0" w:rsidRPr="00DE12A3">
        <w:rPr>
          <w:color w:val="auto"/>
          <w:sz w:val="24"/>
          <w:szCs w:val="24"/>
        </w:rPr>
        <w:t xml:space="preserve"> ile uyumlu olmalıdır. Bu Ek'in 8.1.4 bendi uyarınca yapılan doğrusallık doğrulaması, en az bu Ekte </w:t>
      </w:r>
      <w:r w:rsidR="00ED46C8" w:rsidRPr="00DE12A3">
        <w:rPr>
          <w:color w:val="auto"/>
          <w:sz w:val="24"/>
          <w:szCs w:val="24"/>
        </w:rPr>
        <w:t xml:space="preserve">yer alan </w:t>
      </w:r>
      <w:r w:rsidR="00242DA0" w:rsidRPr="00DE12A3">
        <w:rPr>
          <w:color w:val="auto"/>
          <w:sz w:val="24"/>
          <w:szCs w:val="24"/>
        </w:rPr>
        <w:t xml:space="preserve">Tablo 6.4'te belirtilen asgari sıklıkta gerçekleştirilmelidir. Denk bir doğruluk ispatlanabilirse, </w:t>
      </w:r>
      <w:r w:rsidR="007E2039" w:rsidRPr="00DE12A3">
        <w:rPr>
          <w:color w:val="auto"/>
          <w:sz w:val="24"/>
          <w:szCs w:val="24"/>
        </w:rPr>
        <w:t xml:space="preserve">onay </w:t>
      </w:r>
      <w:r w:rsidR="005E0D60" w:rsidRPr="00DE12A3">
        <w:rPr>
          <w:color w:val="auto"/>
          <w:sz w:val="24"/>
          <w:szCs w:val="24"/>
        </w:rPr>
        <w:t>kuruluşunun önceden</w:t>
      </w:r>
      <w:r w:rsidR="00242DA0" w:rsidRPr="00DE12A3">
        <w:rPr>
          <w:color w:val="auto"/>
          <w:sz w:val="24"/>
          <w:szCs w:val="24"/>
        </w:rPr>
        <w:t xml:space="preserve"> onayı ile, 10'dan daha az referans noktasına izin verilir.</w:t>
      </w:r>
    </w:p>
    <w:p w14:paraId="3C439784" w14:textId="77777777" w:rsidR="002D7B36" w:rsidRPr="00DE12A3" w:rsidRDefault="00AA67AA" w:rsidP="00C917D6">
      <w:pPr>
        <w:pStyle w:val="Gvdemetni251"/>
        <w:spacing w:before="120" w:after="120" w:line="240" w:lineRule="auto"/>
        <w:ind w:left="1134" w:hanging="1134"/>
        <w:rPr>
          <w:color w:val="auto"/>
          <w:sz w:val="24"/>
          <w:szCs w:val="24"/>
        </w:rPr>
      </w:pPr>
      <w:r w:rsidRPr="00DE12A3">
        <w:rPr>
          <w:color w:val="auto"/>
          <w:sz w:val="24"/>
          <w:szCs w:val="24"/>
        </w:rPr>
        <w:t xml:space="preserve">                  </w:t>
      </w:r>
      <w:r w:rsidR="00242DA0" w:rsidRPr="00DE12A3">
        <w:rPr>
          <w:color w:val="auto"/>
          <w:sz w:val="24"/>
          <w:szCs w:val="24"/>
        </w:rPr>
        <w:t xml:space="preserve">Doğrusallık doğrulaması için, 4.2.7 bendinde belirtilen </w:t>
      </w:r>
      <w:r w:rsidR="0053289F" w:rsidRPr="00DE12A3">
        <w:rPr>
          <w:color w:val="auto"/>
          <w:sz w:val="24"/>
          <w:szCs w:val="24"/>
        </w:rPr>
        <w:t>gereklilikleri</w:t>
      </w:r>
      <w:r w:rsidR="00242DA0" w:rsidRPr="00DE12A3">
        <w:rPr>
          <w:color w:val="auto"/>
          <w:sz w:val="24"/>
          <w:szCs w:val="24"/>
        </w:rPr>
        <w:t xml:space="preserve"> sağlayan bir NH</w:t>
      </w:r>
      <w:r w:rsidR="00242DA0" w:rsidRPr="00DE12A3">
        <w:rPr>
          <w:color w:val="auto"/>
          <w:sz w:val="24"/>
          <w:szCs w:val="24"/>
          <w:vertAlign w:val="subscript"/>
        </w:rPr>
        <w:t>3</w:t>
      </w:r>
      <w:r w:rsidR="00242DA0" w:rsidRPr="00DE12A3">
        <w:rPr>
          <w:color w:val="auto"/>
          <w:sz w:val="24"/>
          <w:szCs w:val="24"/>
        </w:rPr>
        <w:t xml:space="preserve"> gazı kullanılmalıdır. NH</w:t>
      </w:r>
      <w:r w:rsidR="00242DA0" w:rsidRPr="00DE12A3">
        <w:rPr>
          <w:color w:val="auto"/>
          <w:sz w:val="24"/>
          <w:szCs w:val="24"/>
          <w:vertAlign w:val="subscript"/>
        </w:rPr>
        <w:t>3</w:t>
      </w:r>
      <w:r w:rsidR="00242DA0" w:rsidRPr="00DE12A3">
        <w:rPr>
          <w:color w:val="auto"/>
          <w:sz w:val="24"/>
          <w:szCs w:val="24"/>
        </w:rPr>
        <w:t xml:space="preserve"> ayar gazı içeren referans hücrelerin kullanımına izin verilir.</w:t>
      </w:r>
    </w:p>
    <w:p w14:paraId="081864F8" w14:textId="224A6FCD" w:rsidR="002D7B36" w:rsidRPr="00DE12A3" w:rsidRDefault="00AA67AA" w:rsidP="00C917D6">
      <w:pPr>
        <w:pStyle w:val="Gvdemetni251"/>
        <w:spacing w:before="120" w:after="120" w:line="240" w:lineRule="auto"/>
        <w:ind w:left="1134" w:hanging="1134"/>
        <w:rPr>
          <w:color w:val="auto"/>
          <w:sz w:val="24"/>
          <w:szCs w:val="24"/>
        </w:rPr>
      </w:pPr>
      <w:r w:rsidRPr="00DE12A3">
        <w:rPr>
          <w:color w:val="auto"/>
          <w:sz w:val="24"/>
          <w:szCs w:val="24"/>
        </w:rPr>
        <w:t xml:space="preserve">                  </w:t>
      </w:r>
      <w:r w:rsidR="00242DA0" w:rsidRPr="00DE12A3">
        <w:rPr>
          <w:color w:val="auto"/>
          <w:sz w:val="24"/>
          <w:szCs w:val="24"/>
        </w:rPr>
        <w:t>Sinyalleri dengeleme algoritmaları için kullanılan cihazlar, bu Ekte</w:t>
      </w:r>
      <w:r w:rsidR="00ED46C8" w:rsidRPr="00DE12A3">
        <w:rPr>
          <w:color w:val="auto"/>
          <w:sz w:val="24"/>
          <w:szCs w:val="24"/>
        </w:rPr>
        <w:t xml:space="preserve"> yer alan</w:t>
      </w:r>
      <w:r w:rsidR="00242DA0" w:rsidRPr="00DE12A3">
        <w:rPr>
          <w:color w:val="auto"/>
          <w:sz w:val="24"/>
          <w:szCs w:val="24"/>
        </w:rPr>
        <w:t xml:space="preserve"> Tablo 6.5 içinde belirtilen doğrusallık </w:t>
      </w:r>
      <w:r w:rsidR="0053289F" w:rsidRPr="00DE12A3">
        <w:rPr>
          <w:color w:val="auto"/>
          <w:sz w:val="24"/>
          <w:szCs w:val="24"/>
        </w:rPr>
        <w:t>gerekliliklerini</w:t>
      </w:r>
      <w:r w:rsidR="00242DA0" w:rsidRPr="00DE12A3">
        <w:rPr>
          <w:color w:val="auto"/>
          <w:sz w:val="24"/>
          <w:szCs w:val="24"/>
        </w:rPr>
        <w:t xml:space="preserve"> sağlamalıdır. Doğrusallık doğrulaması, cihaz imalatçısı tarafından iç denetim prosedürleri gereğince veya ISO 9000 </w:t>
      </w:r>
      <w:r w:rsidR="0053289F" w:rsidRPr="00DE12A3">
        <w:rPr>
          <w:color w:val="auto"/>
          <w:sz w:val="24"/>
          <w:szCs w:val="24"/>
        </w:rPr>
        <w:t>gereklilikleri</w:t>
      </w:r>
      <w:r w:rsidR="00242DA0" w:rsidRPr="00DE12A3">
        <w:rPr>
          <w:color w:val="auto"/>
          <w:sz w:val="24"/>
          <w:szCs w:val="24"/>
        </w:rPr>
        <w:t xml:space="preserve"> uyarınca yapılmalıdır.</w:t>
      </w:r>
    </w:p>
    <w:p w14:paraId="2AE6328C" w14:textId="77777777" w:rsidR="002D7B36" w:rsidRPr="00DE12A3" w:rsidRDefault="00AA67AA" w:rsidP="00E20716">
      <w:pPr>
        <w:pStyle w:val="Gvdemetni251"/>
        <w:numPr>
          <w:ilvl w:val="1"/>
          <w:numId w:val="390"/>
        </w:numPr>
        <w:spacing w:before="120" w:after="120" w:line="240" w:lineRule="auto"/>
        <w:ind w:left="1134" w:hanging="1134"/>
        <w:rPr>
          <w:color w:val="auto"/>
          <w:sz w:val="24"/>
          <w:szCs w:val="24"/>
        </w:rPr>
      </w:pPr>
      <w:r w:rsidRPr="00DE12A3">
        <w:rPr>
          <w:color w:val="auto"/>
          <w:sz w:val="24"/>
          <w:szCs w:val="24"/>
        </w:rPr>
        <w:t xml:space="preserve">       </w:t>
      </w:r>
      <w:r w:rsidR="00242DA0" w:rsidRPr="00DE12A3">
        <w:rPr>
          <w:color w:val="auto"/>
          <w:sz w:val="24"/>
          <w:szCs w:val="24"/>
        </w:rPr>
        <w:t>Analiz cihazı şartnameleri</w:t>
      </w:r>
    </w:p>
    <w:p w14:paraId="5C2DDE07" w14:textId="77777777" w:rsidR="002D7B36" w:rsidRPr="00DE12A3" w:rsidRDefault="00AA67AA" w:rsidP="00C917D6">
      <w:pPr>
        <w:pStyle w:val="Gvdemetni251"/>
        <w:spacing w:before="120" w:after="120" w:line="240" w:lineRule="auto"/>
        <w:ind w:left="1134" w:hanging="1134"/>
        <w:rPr>
          <w:color w:val="auto"/>
          <w:sz w:val="24"/>
          <w:szCs w:val="24"/>
        </w:rPr>
      </w:pPr>
      <w:r w:rsidRPr="00DE12A3">
        <w:rPr>
          <w:color w:val="auto"/>
          <w:sz w:val="24"/>
          <w:szCs w:val="24"/>
        </w:rPr>
        <w:t xml:space="preserve">                  </w:t>
      </w:r>
      <w:r w:rsidR="00242DA0" w:rsidRPr="00DE12A3">
        <w:rPr>
          <w:color w:val="auto"/>
          <w:sz w:val="24"/>
          <w:szCs w:val="24"/>
        </w:rPr>
        <w:t xml:space="preserve">Analiz cihazı, geçiş ve </w:t>
      </w:r>
      <w:r w:rsidR="00951351" w:rsidRPr="00DE12A3">
        <w:rPr>
          <w:color w:val="auto"/>
          <w:sz w:val="24"/>
          <w:szCs w:val="24"/>
        </w:rPr>
        <w:t xml:space="preserve">  kararlı </w:t>
      </w:r>
      <w:r w:rsidR="003B5C00" w:rsidRPr="00DE12A3">
        <w:rPr>
          <w:color w:val="auto"/>
          <w:sz w:val="24"/>
          <w:szCs w:val="24"/>
        </w:rPr>
        <w:t>durum koşulları</w:t>
      </w:r>
      <w:r w:rsidR="00242DA0" w:rsidRPr="00DE12A3">
        <w:rPr>
          <w:color w:val="auto"/>
          <w:sz w:val="24"/>
          <w:szCs w:val="24"/>
        </w:rPr>
        <w:t xml:space="preserve"> altında NH</w:t>
      </w:r>
      <w:r w:rsidR="00242DA0" w:rsidRPr="00DE12A3">
        <w:rPr>
          <w:color w:val="auto"/>
          <w:sz w:val="24"/>
          <w:szCs w:val="24"/>
          <w:vertAlign w:val="subscript"/>
        </w:rPr>
        <w:t>3</w:t>
      </w:r>
      <w:r w:rsidR="00242DA0" w:rsidRPr="00DE12A3">
        <w:rPr>
          <w:color w:val="auto"/>
          <w:sz w:val="24"/>
          <w:szCs w:val="24"/>
        </w:rPr>
        <w:t xml:space="preserve"> konsantrasyonunu ölçmek için gereken hassasiyete uygun bir ölçüm aralığına ve tepki süresine sahip olmalıdır.</w:t>
      </w:r>
    </w:p>
    <w:p w14:paraId="66ABA315" w14:textId="77777777" w:rsidR="002D7B36" w:rsidRPr="00DE12A3" w:rsidRDefault="00AA67AA" w:rsidP="00E20716">
      <w:pPr>
        <w:pStyle w:val="Gvdemetni251"/>
        <w:numPr>
          <w:ilvl w:val="2"/>
          <w:numId w:val="390"/>
        </w:numPr>
        <w:spacing w:before="120" w:after="120" w:line="240" w:lineRule="auto"/>
        <w:ind w:left="1134" w:hanging="1134"/>
        <w:rPr>
          <w:color w:val="auto"/>
          <w:sz w:val="24"/>
          <w:szCs w:val="24"/>
        </w:rPr>
      </w:pPr>
      <w:r w:rsidRPr="00DE12A3">
        <w:rPr>
          <w:color w:val="auto"/>
          <w:sz w:val="24"/>
          <w:szCs w:val="24"/>
        </w:rPr>
        <w:t xml:space="preserve">      </w:t>
      </w:r>
      <w:r w:rsidR="00242DA0" w:rsidRPr="00DE12A3">
        <w:rPr>
          <w:color w:val="auto"/>
          <w:sz w:val="24"/>
          <w:szCs w:val="24"/>
        </w:rPr>
        <w:t>Asgari tespit sınırı</w:t>
      </w:r>
    </w:p>
    <w:p w14:paraId="619C5616" w14:textId="77777777" w:rsidR="002D7B36" w:rsidRPr="00DE12A3" w:rsidRDefault="00AA67AA" w:rsidP="00C917D6">
      <w:pPr>
        <w:pStyle w:val="Gvdemetni251"/>
        <w:spacing w:before="120" w:after="120" w:line="240" w:lineRule="auto"/>
        <w:ind w:left="1134" w:hanging="1134"/>
        <w:rPr>
          <w:color w:val="auto"/>
          <w:sz w:val="24"/>
          <w:szCs w:val="24"/>
        </w:rPr>
      </w:pPr>
      <w:r w:rsidRPr="00DE12A3">
        <w:rPr>
          <w:color w:val="auto"/>
          <w:sz w:val="24"/>
          <w:szCs w:val="24"/>
        </w:rPr>
        <w:t xml:space="preserve">                 </w:t>
      </w:r>
      <w:r w:rsidR="00242DA0" w:rsidRPr="00DE12A3">
        <w:rPr>
          <w:color w:val="auto"/>
          <w:sz w:val="24"/>
          <w:szCs w:val="24"/>
        </w:rPr>
        <w:t>Analiz cihazı, tüm test koşulları altında asgari 2 ppm tespit sınırına sahip olmalıdır.</w:t>
      </w:r>
    </w:p>
    <w:p w14:paraId="459F74B1" w14:textId="77777777" w:rsidR="002D7B36" w:rsidRPr="00DE12A3" w:rsidRDefault="00AA67AA" w:rsidP="00E20716">
      <w:pPr>
        <w:pStyle w:val="Gvdemetni251"/>
        <w:numPr>
          <w:ilvl w:val="2"/>
          <w:numId w:val="390"/>
        </w:numPr>
        <w:spacing w:before="120" w:after="120" w:line="240" w:lineRule="auto"/>
        <w:ind w:left="1134" w:hanging="1134"/>
        <w:rPr>
          <w:color w:val="auto"/>
          <w:sz w:val="24"/>
          <w:szCs w:val="24"/>
        </w:rPr>
      </w:pPr>
      <w:r w:rsidRPr="00DE12A3">
        <w:rPr>
          <w:color w:val="auto"/>
          <w:sz w:val="24"/>
          <w:szCs w:val="24"/>
        </w:rPr>
        <w:t xml:space="preserve">      </w:t>
      </w:r>
      <w:r w:rsidR="00242DA0" w:rsidRPr="00DE12A3">
        <w:rPr>
          <w:color w:val="auto"/>
          <w:sz w:val="24"/>
          <w:szCs w:val="24"/>
        </w:rPr>
        <w:t>Doğruluk</w:t>
      </w:r>
    </w:p>
    <w:p w14:paraId="114C76F5" w14:textId="25790F5B" w:rsidR="002D7B36" w:rsidRPr="00DE12A3" w:rsidRDefault="00AA67AA" w:rsidP="00C917D6">
      <w:pPr>
        <w:pStyle w:val="Gvdemetni251"/>
        <w:spacing w:before="120" w:after="120" w:line="240" w:lineRule="auto"/>
        <w:ind w:left="1134" w:hanging="1134"/>
        <w:rPr>
          <w:color w:val="auto"/>
          <w:sz w:val="24"/>
          <w:szCs w:val="24"/>
        </w:rPr>
      </w:pPr>
      <w:r w:rsidRPr="00DE12A3">
        <w:rPr>
          <w:color w:val="auto"/>
          <w:sz w:val="24"/>
          <w:szCs w:val="24"/>
        </w:rPr>
        <w:t xml:space="preserve">                 </w:t>
      </w:r>
      <w:r w:rsidR="00242DA0" w:rsidRPr="00DE12A3">
        <w:rPr>
          <w:color w:val="auto"/>
          <w:sz w:val="24"/>
          <w:szCs w:val="24"/>
        </w:rPr>
        <w:t xml:space="preserve">Analiz cihazında okunan değerin referans değerden sapması olarak tanımlanan doğruluk, hangisi daha büyükse, okuma değeri ± </w:t>
      </w:r>
      <w:r w:rsidR="00F466F2" w:rsidRPr="00DE12A3">
        <w:rPr>
          <w:color w:val="auto"/>
          <w:sz w:val="24"/>
          <w:szCs w:val="24"/>
        </w:rPr>
        <w:t>%3</w:t>
      </w:r>
      <w:r w:rsidR="00242DA0" w:rsidRPr="00DE12A3">
        <w:rPr>
          <w:color w:val="auto"/>
          <w:sz w:val="24"/>
          <w:szCs w:val="24"/>
        </w:rPr>
        <w:t xml:space="preserve"> veya ± 2 ppm'yi aşmamalıdır.</w:t>
      </w:r>
    </w:p>
    <w:p w14:paraId="3D7C4183" w14:textId="77777777" w:rsidR="002D7B36" w:rsidRPr="00DE12A3" w:rsidRDefault="00AA67AA" w:rsidP="00E20716">
      <w:pPr>
        <w:pStyle w:val="Gvdemetni251"/>
        <w:numPr>
          <w:ilvl w:val="2"/>
          <w:numId w:val="390"/>
        </w:numPr>
        <w:spacing w:before="120" w:after="120" w:line="240" w:lineRule="auto"/>
        <w:ind w:left="1134" w:hanging="1134"/>
        <w:rPr>
          <w:color w:val="auto"/>
          <w:sz w:val="24"/>
          <w:szCs w:val="24"/>
        </w:rPr>
      </w:pPr>
      <w:r w:rsidRPr="00DE12A3">
        <w:rPr>
          <w:color w:val="auto"/>
          <w:sz w:val="24"/>
          <w:szCs w:val="24"/>
        </w:rPr>
        <w:t xml:space="preserve">      </w:t>
      </w:r>
      <w:r w:rsidR="00242DA0" w:rsidRPr="00DE12A3">
        <w:rPr>
          <w:color w:val="auto"/>
          <w:sz w:val="24"/>
          <w:szCs w:val="24"/>
        </w:rPr>
        <w:t xml:space="preserve">Sıfır </w:t>
      </w:r>
      <w:r w:rsidR="00093948" w:rsidRPr="00DE12A3">
        <w:rPr>
          <w:color w:val="auto"/>
          <w:sz w:val="24"/>
          <w:szCs w:val="24"/>
        </w:rPr>
        <w:t>sapma</w:t>
      </w:r>
    </w:p>
    <w:p w14:paraId="62EA1462" w14:textId="77777777" w:rsidR="002D7B36" w:rsidRPr="00DE12A3" w:rsidRDefault="00AA67AA" w:rsidP="00C917D6">
      <w:pPr>
        <w:pStyle w:val="Gvdemetni251"/>
        <w:spacing w:before="120" w:after="120" w:line="240" w:lineRule="auto"/>
        <w:ind w:left="1134" w:hanging="1134"/>
        <w:rPr>
          <w:color w:val="auto"/>
          <w:sz w:val="24"/>
          <w:szCs w:val="24"/>
        </w:rPr>
      </w:pPr>
      <w:r w:rsidRPr="00DE12A3">
        <w:rPr>
          <w:color w:val="auto"/>
          <w:sz w:val="24"/>
          <w:szCs w:val="24"/>
        </w:rPr>
        <w:t xml:space="preserve">                  </w:t>
      </w:r>
      <w:r w:rsidR="00242DA0" w:rsidRPr="00DE12A3">
        <w:rPr>
          <w:color w:val="auto"/>
          <w:sz w:val="24"/>
          <w:szCs w:val="24"/>
        </w:rPr>
        <w:t xml:space="preserve">Sıfır tepkinin </w:t>
      </w:r>
      <w:r w:rsidR="00093948" w:rsidRPr="00DE12A3">
        <w:rPr>
          <w:color w:val="auto"/>
          <w:sz w:val="24"/>
          <w:szCs w:val="24"/>
        </w:rPr>
        <w:t>sapması</w:t>
      </w:r>
      <w:r w:rsidR="00242DA0" w:rsidRPr="00DE12A3">
        <w:rPr>
          <w:color w:val="auto"/>
          <w:sz w:val="24"/>
          <w:szCs w:val="24"/>
        </w:rPr>
        <w:t xml:space="preserve"> ve ilgili zaman aralığı, cihaz imalatçısı tarafından belirtilmelidir.</w:t>
      </w:r>
    </w:p>
    <w:p w14:paraId="491CCC9E" w14:textId="77777777" w:rsidR="002D7B36" w:rsidRPr="00DE12A3" w:rsidRDefault="00AA67AA" w:rsidP="00E20716">
      <w:pPr>
        <w:pStyle w:val="Gvdemetni251"/>
        <w:numPr>
          <w:ilvl w:val="2"/>
          <w:numId w:val="390"/>
        </w:numPr>
        <w:spacing w:before="120" w:after="120" w:line="240" w:lineRule="auto"/>
        <w:ind w:left="1134" w:hanging="1134"/>
        <w:rPr>
          <w:color w:val="auto"/>
          <w:sz w:val="24"/>
          <w:szCs w:val="24"/>
        </w:rPr>
      </w:pPr>
      <w:r w:rsidRPr="00DE12A3">
        <w:rPr>
          <w:color w:val="auto"/>
          <w:sz w:val="24"/>
          <w:szCs w:val="24"/>
        </w:rPr>
        <w:t xml:space="preserve">      </w:t>
      </w:r>
      <w:r w:rsidR="00242DA0" w:rsidRPr="00DE12A3">
        <w:rPr>
          <w:color w:val="auto"/>
          <w:sz w:val="24"/>
          <w:szCs w:val="24"/>
        </w:rPr>
        <w:t xml:space="preserve">Ayar </w:t>
      </w:r>
      <w:r w:rsidR="00093948" w:rsidRPr="00DE12A3">
        <w:rPr>
          <w:color w:val="auto"/>
          <w:sz w:val="24"/>
          <w:szCs w:val="24"/>
        </w:rPr>
        <w:t>sapması</w:t>
      </w:r>
    </w:p>
    <w:p w14:paraId="70E29B24" w14:textId="77777777" w:rsidR="002D7B36" w:rsidRPr="00DE12A3" w:rsidRDefault="00AA67AA" w:rsidP="00C917D6">
      <w:pPr>
        <w:pStyle w:val="Gvdemetni251"/>
        <w:spacing w:before="120" w:after="120" w:line="240" w:lineRule="auto"/>
        <w:ind w:left="1134" w:hanging="1134"/>
        <w:rPr>
          <w:color w:val="auto"/>
          <w:sz w:val="24"/>
          <w:szCs w:val="24"/>
        </w:rPr>
      </w:pPr>
      <w:r w:rsidRPr="00DE12A3">
        <w:rPr>
          <w:color w:val="auto"/>
          <w:sz w:val="24"/>
          <w:szCs w:val="24"/>
        </w:rPr>
        <w:t xml:space="preserve">                  </w:t>
      </w:r>
      <w:r w:rsidR="00242DA0" w:rsidRPr="00DE12A3">
        <w:rPr>
          <w:color w:val="auto"/>
          <w:sz w:val="24"/>
          <w:szCs w:val="24"/>
        </w:rPr>
        <w:t xml:space="preserve">Ayar tepkisinin </w:t>
      </w:r>
      <w:r w:rsidR="00093948" w:rsidRPr="00DE12A3">
        <w:rPr>
          <w:color w:val="auto"/>
          <w:sz w:val="24"/>
          <w:szCs w:val="24"/>
        </w:rPr>
        <w:t>sapması</w:t>
      </w:r>
      <w:r w:rsidR="00242DA0" w:rsidRPr="00DE12A3">
        <w:rPr>
          <w:color w:val="auto"/>
          <w:sz w:val="24"/>
          <w:szCs w:val="24"/>
        </w:rPr>
        <w:t xml:space="preserve"> ve ilgili zaman aralığı, cihaz imalatçısı tarafından belirtilmelidir.</w:t>
      </w:r>
    </w:p>
    <w:p w14:paraId="4066BACD" w14:textId="77777777" w:rsidR="002D7B36" w:rsidRPr="00DE12A3" w:rsidRDefault="00AA67AA" w:rsidP="00E20716">
      <w:pPr>
        <w:pStyle w:val="Gvdemetni251"/>
        <w:numPr>
          <w:ilvl w:val="2"/>
          <w:numId w:val="390"/>
        </w:numPr>
        <w:spacing w:before="120" w:after="120" w:line="240" w:lineRule="auto"/>
        <w:ind w:left="1134" w:hanging="1134"/>
        <w:rPr>
          <w:color w:val="auto"/>
          <w:sz w:val="24"/>
          <w:szCs w:val="24"/>
        </w:rPr>
      </w:pPr>
      <w:r w:rsidRPr="00DE12A3">
        <w:rPr>
          <w:color w:val="auto"/>
          <w:sz w:val="24"/>
          <w:szCs w:val="24"/>
        </w:rPr>
        <w:t xml:space="preserve">      </w:t>
      </w:r>
      <w:r w:rsidR="00242DA0" w:rsidRPr="00DE12A3">
        <w:rPr>
          <w:color w:val="auto"/>
          <w:sz w:val="24"/>
          <w:szCs w:val="24"/>
        </w:rPr>
        <w:t>Sistem tepki süresi</w:t>
      </w:r>
    </w:p>
    <w:p w14:paraId="401914BA" w14:textId="77777777" w:rsidR="002D7B36" w:rsidRPr="00DE12A3" w:rsidRDefault="00AA67AA" w:rsidP="00C917D6">
      <w:pPr>
        <w:pStyle w:val="Gvdemetni251"/>
        <w:spacing w:before="120" w:after="120" w:line="240" w:lineRule="auto"/>
        <w:ind w:left="1134" w:hanging="1134"/>
        <w:rPr>
          <w:color w:val="auto"/>
          <w:sz w:val="24"/>
          <w:szCs w:val="24"/>
        </w:rPr>
      </w:pPr>
      <w:r w:rsidRPr="00DE12A3">
        <w:rPr>
          <w:color w:val="auto"/>
          <w:sz w:val="24"/>
          <w:szCs w:val="24"/>
        </w:rPr>
        <w:t xml:space="preserve">                 </w:t>
      </w:r>
      <w:r w:rsidR="00242DA0" w:rsidRPr="00DE12A3">
        <w:rPr>
          <w:color w:val="auto"/>
          <w:sz w:val="24"/>
          <w:szCs w:val="24"/>
        </w:rPr>
        <w:t>Sistem tepki süresi ≤ 20 s olmalıdır.</w:t>
      </w:r>
    </w:p>
    <w:p w14:paraId="1D3CFDA3" w14:textId="77777777" w:rsidR="002D7B36" w:rsidRPr="00DE12A3" w:rsidRDefault="00AA67AA" w:rsidP="00E20716">
      <w:pPr>
        <w:pStyle w:val="Gvdemetni251"/>
        <w:numPr>
          <w:ilvl w:val="2"/>
          <w:numId w:val="390"/>
        </w:numPr>
        <w:spacing w:before="120" w:after="120" w:line="240" w:lineRule="auto"/>
        <w:ind w:left="1134" w:hanging="1134"/>
        <w:rPr>
          <w:color w:val="auto"/>
          <w:sz w:val="24"/>
          <w:szCs w:val="24"/>
        </w:rPr>
      </w:pPr>
      <w:r w:rsidRPr="00DE12A3">
        <w:rPr>
          <w:color w:val="auto"/>
          <w:sz w:val="24"/>
          <w:szCs w:val="24"/>
        </w:rPr>
        <w:t xml:space="preserve">     </w:t>
      </w:r>
      <w:r w:rsidR="00242DA0" w:rsidRPr="00DE12A3">
        <w:rPr>
          <w:color w:val="auto"/>
          <w:sz w:val="24"/>
          <w:szCs w:val="24"/>
        </w:rPr>
        <w:t>Yükselme süresi</w:t>
      </w:r>
    </w:p>
    <w:p w14:paraId="47DB166E" w14:textId="77777777" w:rsidR="002D7B36" w:rsidRPr="00DE12A3" w:rsidRDefault="00AA67AA" w:rsidP="00C917D6">
      <w:pPr>
        <w:pStyle w:val="Gvdemetni251"/>
        <w:spacing w:before="120" w:after="120" w:line="240" w:lineRule="auto"/>
        <w:ind w:left="1134" w:hanging="1134"/>
        <w:rPr>
          <w:color w:val="auto"/>
          <w:sz w:val="24"/>
          <w:szCs w:val="24"/>
        </w:rPr>
      </w:pPr>
      <w:r w:rsidRPr="00DE12A3">
        <w:rPr>
          <w:color w:val="auto"/>
          <w:sz w:val="24"/>
          <w:szCs w:val="24"/>
        </w:rPr>
        <w:t xml:space="preserve">                 </w:t>
      </w:r>
      <w:r w:rsidR="00242DA0" w:rsidRPr="00DE12A3">
        <w:rPr>
          <w:color w:val="auto"/>
          <w:sz w:val="24"/>
          <w:szCs w:val="24"/>
        </w:rPr>
        <w:t>Analiz cihazının yükselme süresi ≤ 5 s olmalıdır.</w:t>
      </w:r>
    </w:p>
    <w:p w14:paraId="3AF846FD" w14:textId="77777777" w:rsidR="002D7B36" w:rsidRPr="00DE12A3" w:rsidRDefault="00AA67AA" w:rsidP="00E20716">
      <w:pPr>
        <w:pStyle w:val="Gvdemetni251"/>
        <w:numPr>
          <w:ilvl w:val="2"/>
          <w:numId w:val="390"/>
        </w:numPr>
        <w:spacing w:before="120" w:after="120" w:line="240" w:lineRule="auto"/>
        <w:ind w:left="1134" w:hanging="1134"/>
        <w:rPr>
          <w:color w:val="auto"/>
          <w:sz w:val="24"/>
          <w:szCs w:val="24"/>
        </w:rPr>
      </w:pPr>
      <w:r w:rsidRPr="00DE12A3">
        <w:rPr>
          <w:color w:val="auto"/>
          <w:sz w:val="24"/>
          <w:szCs w:val="24"/>
        </w:rPr>
        <w:t xml:space="preserve">      </w:t>
      </w:r>
      <w:r w:rsidR="00242DA0" w:rsidRPr="00DE12A3">
        <w:rPr>
          <w:color w:val="auto"/>
          <w:sz w:val="24"/>
          <w:szCs w:val="24"/>
        </w:rPr>
        <w:t>NH</w:t>
      </w:r>
      <w:r w:rsidR="00242DA0" w:rsidRPr="00DE12A3">
        <w:rPr>
          <w:color w:val="auto"/>
          <w:sz w:val="24"/>
          <w:szCs w:val="24"/>
          <w:vertAlign w:val="subscript"/>
        </w:rPr>
        <w:t>3</w:t>
      </w:r>
      <w:r w:rsidR="00242DA0" w:rsidRPr="00DE12A3">
        <w:rPr>
          <w:color w:val="auto"/>
          <w:sz w:val="24"/>
          <w:szCs w:val="24"/>
        </w:rPr>
        <w:t xml:space="preserve"> kalibrasyon gazı</w:t>
      </w:r>
    </w:p>
    <w:p w14:paraId="61C82742" w14:textId="77777777" w:rsidR="002D7B36" w:rsidRPr="00DE12A3" w:rsidRDefault="00AA67AA" w:rsidP="00C917D6">
      <w:pPr>
        <w:pStyle w:val="Gvdemetni251"/>
        <w:spacing w:before="120" w:after="120" w:line="240" w:lineRule="auto"/>
        <w:ind w:left="1134" w:hanging="1134"/>
        <w:rPr>
          <w:color w:val="auto"/>
          <w:sz w:val="24"/>
          <w:szCs w:val="24"/>
        </w:rPr>
      </w:pPr>
      <w:r w:rsidRPr="00DE12A3">
        <w:rPr>
          <w:color w:val="auto"/>
          <w:sz w:val="24"/>
          <w:szCs w:val="24"/>
        </w:rPr>
        <w:t xml:space="preserve">                 </w:t>
      </w:r>
      <w:r w:rsidR="00242DA0" w:rsidRPr="00DE12A3">
        <w:rPr>
          <w:color w:val="auto"/>
          <w:sz w:val="24"/>
          <w:szCs w:val="24"/>
        </w:rPr>
        <w:t>Aşağıdaki kimyasal bileşime sahip bir gaz karışımı olmalıdır.</w:t>
      </w:r>
    </w:p>
    <w:p w14:paraId="5696F687" w14:textId="77777777" w:rsidR="002D7B36" w:rsidRPr="00DE12A3" w:rsidRDefault="00242DA0" w:rsidP="00C917D6">
      <w:pPr>
        <w:pStyle w:val="Gvdemetni251"/>
        <w:spacing w:before="120" w:after="120" w:line="240" w:lineRule="auto"/>
        <w:ind w:left="1134" w:firstLine="0"/>
        <w:rPr>
          <w:color w:val="auto"/>
          <w:sz w:val="24"/>
          <w:szCs w:val="24"/>
        </w:rPr>
      </w:pPr>
      <w:r w:rsidRPr="00DE12A3">
        <w:rPr>
          <w:color w:val="auto"/>
          <w:sz w:val="24"/>
          <w:szCs w:val="24"/>
        </w:rPr>
        <w:t>NH</w:t>
      </w:r>
      <w:r w:rsidRPr="00DE12A3">
        <w:rPr>
          <w:color w:val="auto"/>
          <w:sz w:val="24"/>
          <w:szCs w:val="24"/>
          <w:vertAlign w:val="subscript"/>
        </w:rPr>
        <w:t>3</w:t>
      </w:r>
      <w:r w:rsidRPr="00DE12A3">
        <w:rPr>
          <w:color w:val="auto"/>
          <w:sz w:val="24"/>
          <w:szCs w:val="24"/>
        </w:rPr>
        <w:t xml:space="preserve"> ve saflaştırılmış azot.</w:t>
      </w:r>
    </w:p>
    <w:p w14:paraId="787C73EE" w14:textId="3E6FB838" w:rsidR="002D7B36" w:rsidRPr="00DE12A3" w:rsidRDefault="00242DA0" w:rsidP="00B65F12">
      <w:pPr>
        <w:pStyle w:val="Gvdemetni251"/>
        <w:shd w:val="clear" w:color="auto" w:fill="auto"/>
        <w:spacing w:before="240" w:after="240" w:line="240" w:lineRule="auto"/>
        <w:ind w:left="1134" w:firstLine="0"/>
        <w:rPr>
          <w:color w:val="auto"/>
          <w:sz w:val="24"/>
          <w:szCs w:val="24"/>
        </w:rPr>
      </w:pPr>
      <w:r w:rsidRPr="00DE12A3">
        <w:rPr>
          <w:color w:val="auto"/>
          <w:sz w:val="24"/>
          <w:szCs w:val="24"/>
        </w:rPr>
        <w:t xml:space="preserve">Kalibrasyon gazının gerçek konsantrasyonu nominal değer ± </w:t>
      </w:r>
      <w:r w:rsidR="00F466F2" w:rsidRPr="00DE12A3">
        <w:rPr>
          <w:color w:val="auto"/>
          <w:sz w:val="24"/>
          <w:szCs w:val="24"/>
        </w:rPr>
        <w:t>%3</w:t>
      </w:r>
      <w:r w:rsidRPr="00DE12A3">
        <w:rPr>
          <w:color w:val="auto"/>
          <w:sz w:val="24"/>
          <w:szCs w:val="24"/>
        </w:rPr>
        <w:t xml:space="preserve"> aralığı içinde olmalıdır. NH</w:t>
      </w:r>
      <w:r w:rsidRPr="00DE12A3">
        <w:rPr>
          <w:color w:val="auto"/>
          <w:sz w:val="24"/>
          <w:szCs w:val="24"/>
          <w:vertAlign w:val="subscript"/>
        </w:rPr>
        <w:t>3</w:t>
      </w:r>
      <w:r w:rsidRPr="00DE12A3">
        <w:rPr>
          <w:color w:val="auto"/>
          <w:sz w:val="24"/>
          <w:szCs w:val="24"/>
        </w:rPr>
        <w:t xml:space="preserve"> konsantrasyonu hacim bazında verilmelidir (yüzde hacim veya hacim ppm).</w:t>
      </w:r>
    </w:p>
    <w:p w14:paraId="597857F6" w14:textId="77777777" w:rsidR="002D7B36" w:rsidRPr="00DE12A3" w:rsidRDefault="00242DA0" w:rsidP="00B65F12">
      <w:pPr>
        <w:pStyle w:val="Gvdemetni251"/>
        <w:shd w:val="clear" w:color="auto" w:fill="auto"/>
        <w:spacing w:before="240" w:after="240" w:line="240" w:lineRule="auto"/>
        <w:ind w:left="1134" w:firstLine="0"/>
        <w:rPr>
          <w:color w:val="auto"/>
          <w:sz w:val="24"/>
          <w:szCs w:val="24"/>
        </w:rPr>
      </w:pPr>
      <w:r w:rsidRPr="00DE12A3">
        <w:rPr>
          <w:color w:val="auto"/>
          <w:sz w:val="24"/>
          <w:szCs w:val="24"/>
        </w:rPr>
        <w:t>Kalibrasyon gazlarının son kullanım tarihi kaydedilmelidir.</w:t>
      </w:r>
    </w:p>
    <w:p w14:paraId="78D364C9" w14:textId="77777777" w:rsidR="002D7B36" w:rsidRPr="00DE12A3" w:rsidRDefault="00AA67AA" w:rsidP="00E20716">
      <w:pPr>
        <w:pStyle w:val="Gvdemetni251"/>
        <w:numPr>
          <w:ilvl w:val="2"/>
          <w:numId w:val="390"/>
        </w:numPr>
        <w:shd w:val="clear" w:color="auto" w:fill="auto"/>
        <w:spacing w:before="240" w:after="240" w:line="240" w:lineRule="auto"/>
        <w:ind w:left="1134" w:hanging="1134"/>
        <w:rPr>
          <w:color w:val="auto"/>
          <w:sz w:val="24"/>
          <w:szCs w:val="24"/>
        </w:rPr>
      </w:pPr>
      <w:r w:rsidRPr="00DE12A3">
        <w:rPr>
          <w:color w:val="auto"/>
          <w:sz w:val="24"/>
          <w:szCs w:val="24"/>
        </w:rPr>
        <w:t xml:space="preserve">       </w:t>
      </w:r>
      <w:r w:rsidR="00242DA0" w:rsidRPr="00DE12A3">
        <w:rPr>
          <w:color w:val="auto"/>
          <w:sz w:val="24"/>
          <w:szCs w:val="24"/>
        </w:rPr>
        <w:t>Karışma doğrulama prosedürü</w:t>
      </w:r>
    </w:p>
    <w:p w14:paraId="60CE6CDA" w14:textId="77777777" w:rsidR="002D7B36" w:rsidRPr="00DE12A3" w:rsidRDefault="00AA67AA" w:rsidP="00B65F12">
      <w:pPr>
        <w:pStyle w:val="Gvdemetni251"/>
        <w:shd w:val="clear" w:color="auto" w:fill="auto"/>
        <w:spacing w:before="240" w:after="240" w:line="240" w:lineRule="auto"/>
        <w:ind w:left="1134" w:hanging="1134"/>
        <w:rPr>
          <w:color w:val="auto"/>
          <w:sz w:val="24"/>
          <w:szCs w:val="24"/>
        </w:rPr>
      </w:pPr>
      <w:r w:rsidRPr="00DE12A3">
        <w:rPr>
          <w:color w:val="auto"/>
          <w:sz w:val="24"/>
          <w:szCs w:val="24"/>
        </w:rPr>
        <w:lastRenderedPageBreak/>
        <w:t xml:space="preserve">                   </w:t>
      </w:r>
      <w:r w:rsidR="00242DA0" w:rsidRPr="00DE12A3">
        <w:rPr>
          <w:color w:val="auto"/>
          <w:sz w:val="24"/>
          <w:szCs w:val="24"/>
        </w:rPr>
        <w:t>Karışma doğrulaması aşağıdaki şekilde yapılmalıdır:</w:t>
      </w:r>
    </w:p>
    <w:p w14:paraId="6A32CE85" w14:textId="1CAFC4DF" w:rsidR="002D7B36" w:rsidRPr="00DE12A3" w:rsidRDefault="00AA67AA" w:rsidP="00E20716">
      <w:pPr>
        <w:pStyle w:val="Gvdemetni251"/>
        <w:numPr>
          <w:ilvl w:val="0"/>
          <w:numId w:val="393"/>
        </w:numPr>
        <w:shd w:val="clear" w:color="auto" w:fill="auto"/>
        <w:spacing w:before="240" w:after="240" w:line="240" w:lineRule="auto"/>
        <w:ind w:left="1701" w:hanging="567"/>
        <w:rPr>
          <w:color w:val="auto"/>
          <w:sz w:val="24"/>
          <w:szCs w:val="24"/>
        </w:rPr>
      </w:pPr>
      <w:r w:rsidRPr="00DE12A3">
        <w:rPr>
          <w:color w:val="auto"/>
          <w:sz w:val="24"/>
          <w:szCs w:val="24"/>
        </w:rPr>
        <w:t xml:space="preserve">     </w:t>
      </w:r>
      <w:r w:rsidR="00242DA0" w:rsidRPr="00DE12A3">
        <w:rPr>
          <w:color w:val="auto"/>
          <w:sz w:val="24"/>
          <w:szCs w:val="24"/>
        </w:rPr>
        <w:t>NH</w:t>
      </w:r>
      <w:r w:rsidR="00242DA0" w:rsidRPr="00DE12A3">
        <w:rPr>
          <w:color w:val="auto"/>
          <w:sz w:val="24"/>
          <w:szCs w:val="24"/>
          <w:vertAlign w:val="subscript"/>
        </w:rPr>
        <w:t>3</w:t>
      </w:r>
      <w:r w:rsidR="00242DA0" w:rsidRPr="00DE12A3">
        <w:rPr>
          <w:color w:val="auto"/>
          <w:sz w:val="24"/>
          <w:szCs w:val="24"/>
        </w:rPr>
        <w:t xml:space="preserve"> analiz cihazı, bir emisyon testi öncesindeki gibi çalıştırılmalı, işletilmeli, sıfırlanmalı ve ayarlanmalıdır</w:t>
      </w:r>
      <w:r w:rsidR="00ED46C8" w:rsidRPr="00DE12A3">
        <w:rPr>
          <w:color w:val="auto"/>
          <w:sz w:val="24"/>
          <w:szCs w:val="24"/>
        </w:rPr>
        <w:t>.</w:t>
      </w:r>
    </w:p>
    <w:p w14:paraId="3A29B0AA" w14:textId="1E2057BC" w:rsidR="002D7B36" w:rsidRPr="00DE12A3" w:rsidRDefault="00242DA0" w:rsidP="00E20716">
      <w:pPr>
        <w:pStyle w:val="Gvdemetni251"/>
        <w:numPr>
          <w:ilvl w:val="0"/>
          <w:numId w:val="393"/>
        </w:numPr>
        <w:shd w:val="clear" w:color="auto" w:fill="auto"/>
        <w:spacing w:before="240" w:after="240" w:line="240" w:lineRule="auto"/>
        <w:ind w:left="1701" w:hanging="567"/>
        <w:rPr>
          <w:color w:val="auto"/>
          <w:sz w:val="24"/>
          <w:szCs w:val="24"/>
        </w:rPr>
      </w:pPr>
      <w:r w:rsidRPr="00DE12A3">
        <w:rPr>
          <w:color w:val="auto"/>
          <w:sz w:val="24"/>
          <w:szCs w:val="24"/>
        </w:rPr>
        <w:t>Çok bileşenli bir ayar gazının kapalı bir kapta damıtılmış H</w:t>
      </w:r>
      <w:r w:rsidRPr="00DE12A3">
        <w:rPr>
          <w:color w:val="auto"/>
          <w:sz w:val="24"/>
          <w:szCs w:val="24"/>
          <w:vertAlign w:val="subscript"/>
        </w:rPr>
        <w:t>2</w:t>
      </w:r>
      <w:r w:rsidRPr="00DE12A3">
        <w:rPr>
          <w:color w:val="auto"/>
          <w:sz w:val="24"/>
          <w:szCs w:val="24"/>
        </w:rPr>
        <w:t>O içinde köpürtülmesi ile nemlendirilmiş karışma test gazı oluşturulur. Numune bir numune kurutucudan geçirilmezse, emisyon testi sırasında en az beklenen azami seviye kadar yüksek bir H</w:t>
      </w:r>
      <w:r w:rsidRPr="00DE12A3">
        <w:rPr>
          <w:color w:val="auto"/>
          <w:sz w:val="24"/>
          <w:szCs w:val="24"/>
          <w:vertAlign w:val="subscript"/>
        </w:rPr>
        <w:t>2</w:t>
      </w:r>
      <w:r w:rsidRPr="00DE12A3">
        <w:rPr>
          <w:color w:val="auto"/>
          <w:sz w:val="24"/>
          <w:szCs w:val="24"/>
        </w:rPr>
        <w:t>O seviyesinin üretilmesi için kap sıcaklığı kontrol edilmelidir. En az test sırasında beklenen azami seviye kadar yüksek karışma ayar gazı konsantrasyonları kullanılmalıdır</w:t>
      </w:r>
      <w:r w:rsidR="00ED46C8" w:rsidRPr="00DE12A3">
        <w:rPr>
          <w:color w:val="auto"/>
          <w:sz w:val="24"/>
          <w:szCs w:val="24"/>
        </w:rPr>
        <w:t>.</w:t>
      </w:r>
    </w:p>
    <w:p w14:paraId="6C6B3642" w14:textId="77777777" w:rsidR="002D7B36" w:rsidRPr="00DE12A3" w:rsidRDefault="00AA67AA" w:rsidP="00E20716">
      <w:pPr>
        <w:pStyle w:val="Gvdemetni251"/>
        <w:numPr>
          <w:ilvl w:val="0"/>
          <w:numId w:val="393"/>
        </w:numPr>
        <w:shd w:val="clear" w:color="auto" w:fill="auto"/>
        <w:spacing w:before="240" w:after="240" w:line="240" w:lineRule="auto"/>
        <w:ind w:left="1701" w:hanging="567"/>
        <w:rPr>
          <w:color w:val="auto"/>
          <w:sz w:val="24"/>
          <w:szCs w:val="24"/>
        </w:rPr>
      </w:pPr>
      <w:r w:rsidRPr="00DE12A3">
        <w:rPr>
          <w:color w:val="auto"/>
          <w:sz w:val="24"/>
          <w:szCs w:val="24"/>
        </w:rPr>
        <w:t xml:space="preserve">     </w:t>
      </w:r>
      <w:r w:rsidR="00242DA0" w:rsidRPr="00DE12A3">
        <w:rPr>
          <w:color w:val="auto"/>
          <w:sz w:val="24"/>
          <w:szCs w:val="24"/>
        </w:rPr>
        <w:t>Nemlendirilmiş karışma testi gazı, örnekleme sistemi içine beslenmelidir.</w:t>
      </w:r>
    </w:p>
    <w:p w14:paraId="680D6D46" w14:textId="59D28E07" w:rsidR="002D7B36" w:rsidRPr="00DE12A3" w:rsidRDefault="00242DA0" w:rsidP="00E20716">
      <w:pPr>
        <w:pStyle w:val="Gvdemetni251"/>
        <w:numPr>
          <w:ilvl w:val="0"/>
          <w:numId w:val="393"/>
        </w:numPr>
        <w:shd w:val="clear" w:color="auto" w:fill="auto"/>
        <w:spacing w:before="240" w:after="240" w:line="240" w:lineRule="auto"/>
        <w:ind w:left="1701" w:hanging="567"/>
        <w:rPr>
          <w:color w:val="auto"/>
          <w:sz w:val="24"/>
          <w:szCs w:val="24"/>
        </w:rPr>
      </w:pPr>
      <w:r w:rsidRPr="00DE12A3">
        <w:rPr>
          <w:color w:val="auto"/>
          <w:sz w:val="24"/>
          <w:szCs w:val="24"/>
        </w:rPr>
        <w:t xml:space="preserve">Nemlendirilmiş karışma testi gazının su mol fraksiyonu </w:t>
      </w:r>
      <w:r w:rsidRPr="00DE12A3">
        <w:rPr>
          <w:i/>
          <w:iCs/>
          <w:color w:val="auto"/>
          <w:sz w:val="24"/>
          <w:szCs w:val="24"/>
        </w:rPr>
        <w:t>x</w:t>
      </w:r>
      <w:r w:rsidRPr="00DE12A3">
        <w:rPr>
          <w:color w:val="auto"/>
          <w:sz w:val="24"/>
          <w:szCs w:val="24"/>
          <w:vertAlign w:val="subscript"/>
        </w:rPr>
        <w:t>H2O</w:t>
      </w:r>
      <w:r w:rsidRPr="00DE12A3">
        <w:rPr>
          <w:color w:val="auto"/>
          <w:sz w:val="24"/>
          <w:szCs w:val="24"/>
        </w:rPr>
        <w:t xml:space="preserve">, analiz cihazının girişine mümkün olduğunca yakın ölçülmelidir. Örneğin, </w:t>
      </w:r>
      <w:r w:rsidRPr="00DE12A3">
        <w:rPr>
          <w:i/>
          <w:iCs/>
          <w:color w:val="auto"/>
          <w:sz w:val="24"/>
          <w:szCs w:val="24"/>
        </w:rPr>
        <w:t>x</w:t>
      </w:r>
      <w:r w:rsidRPr="00DE12A3">
        <w:rPr>
          <w:color w:val="auto"/>
          <w:sz w:val="24"/>
          <w:szCs w:val="24"/>
          <w:vertAlign w:val="subscript"/>
        </w:rPr>
        <w:t>H2O</w:t>
      </w:r>
      <w:r w:rsidRPr="00DE12A3">
        <w:rPr>
          <w:color w:val="auto"/>
          <w:sz w:val="24"/>
          <w:szCs w:val="24"/>
        </w:rPr>
        <w:t xml:space="preserve">'nin hesaplanması için, yoğuşma noktası </w:t>
      </w:r>
      <w:r w:rsidRPr="00DE12A3">
        <w:rPr>
          <w:i/>
          <w:iCs/>
          <w:color w:val="auto"/>
          <w:sz w:val="24"/>
          <w:szCs w:val="24"/>
        </w:rPr>
        <w:t>T</w:t>
      </w:r>
      <w:r w:rsidRPr="00DE12A3">
        <w:rPr>
          <w:color w:val="auto"/>
          <w:sz w:val="24"/>
          <w:szCs w:val="24"/>
          <w:vertAlign w:val="subscript"/>
        </w:rPr>
        <w:t>dew</w:t>
      </w:r>
      <w:r w:rsidRPr="00DE12A3">
        <w:rPr>
          <w:color w:val="auto"/>
          <w:sz w:val="24"/>
          <w:szCs w:val="24"/>
        </w:rPr>
        <w:t xml:space="preserve"> ve mutlak basınç ptotal ölçülmelidir</w:t>
      </w:r>
      <w:r w:rsidR="00ED46C8" w:rsidRPr="00DE12A3">
        <w:rPr>
          <w:color w:val="auto"/>
          <w:sz w:val="24"/>
          <w:szCs w:val="24"/>
        </w:rPr>
        <w:t>.</w:t>
      </w:r>
    </w:p>
    <w:p w14:paraId="6625F476" w14:textId="7D9F8E5D" w:rsidR="002D7B36" w:rsidRPr="00DE12A3" w:rsidRDefault="00AA67AA" w:rsidP="00E20716">
      <w:pPr>
        <w:pStyle w:val="Gvdemetni251"/>
        <w:numPr>
          <w:ilvl w:val="0"/>
          <w:numId w:val="393"/>
        </w:numPr>
        <w:shd w:val="clear" w:color="auto" w:fill="auto"/>
        <w:spacing w:before="240" w:after="240" w:line="240" w:lineRule="auto"/>
        <w:ind w:left="1701" w:hanging="567"/>
        <w:rPr>
          <w:color w:val="auto"/>
          <w:sz w:val="24"/>
          <w:szCs w:val="24"/>
        </w:rPr>
      </w:pPr>
      <w:r w:rsidRPr="00DE12A3">
        <w:rPr>
          <w:i/>
          <w:iCs/>
          <w:color w:val="auto"/>
          <w:sz w:val="24"/>
          <w:szCs w:val="24"/>
        </w:rPr>
        <w:t xml:space="preserve">     </w:t>
      </w:r>
      <w:r w:rsidR="00242DA0" w:rsidRPr="00DE12A3">
        <w:rPr>
          <w:i/>
          <w:iCs/>
          <w:color w:val="auto"/>
          <w:sz w:val="24"/>
          <w:szCs w:val="24"/>
        </w:rPr>
        <w:t>x</w:t>
      </w:r>
      <w:r w:rsidR="00242DA0" w:rsidRPr="00DE12A3">
        <w:rPr>
          <w:color w:val="auto"/>
          <w:sz w:val="24"/>
          <w:szCs w:val="24"/>
          <w:vertAlign w:val="subscript"/>
        </w:rPr>
        <w:t>H2O</w:t>
      </w:r>
      <w:r w:rsidR="00242DA0" w:rsidRPr="00DE12A3">
        <w:rPr>
          <w:color w:val="auto"/>
          <w:sz w:val="24"/>
          <w:szCs w:val="24"/>
        </w:rPr>
        <w:t>'nun ölçüldüğü noktadan analiz cihazına kadar olan aktarım hatları, bağlantılar veya valfler içinde yoğuşmayı önlemek için iyi mühendislik kararı kullanılmalıdır</w:t>
      </w:r>
      <w:r w:rsidR="00ED46C8" w:rsidRPr="00DE12A3">
        <w:rPr>
          <w:color w:val="auto"/>
          <w:sz w:val="24"/>
          <w:szCs w:val="24"/>
        </w:rPr>
        <w:t>.</w:t>
      </w:r>
    </w:p>
    <w:p w14:paraId="5920517F" w14:textId="6D256E3C" w:rsidR="002D7B36" w:rsidRPr="00DE12A3" w:rsidRDefault="00AA67AA" w:rsidP="00E20716">
      <w:pPr>
        <w:pStyle w:val="Gvdemetni251"/>
        <w:numPr>
          <w:ilvl w:val="0"/>
          <w:numId w:val="393"/>
        </w:numPr>
        <w:shd w:val="clear" w:color="auto" w:fill="auto"/>
        <w:spacing w:before="240" w:after="240" w:line="240" w:lineRule="auto"/>
        <w:ind w:left="1701" w:hanging="567"/>
        <w:rPr>
          <w:color w:val="auto"/>
          <w:sz w:val="24"/>
          <w:szCs w:val="24"/>
        </w:rPr>
      </w:pPr>
      <w:r w:rsidRPr="00DE12A3">
        <w:rPr>
          <w:color w:val="auto"/>
          <w:sz w:val="24"/>
          <w:szCs w:val="24"/>
        </w:rPr>
        <w:t xml:space="preserve">     </w:t>
      </w:r>
      <w:r w:rsidR="00242DA0" w:rsidRPr="00DE12A3">
        <w:rPr>
          <w:color w:val="auto"/>
          <w:sz w:val="24"/>
          <w:szCs w:val="24"/>
        </w:rPr>
        <w:t>Analiz cihazı tepkisinin dengelenmesi için süre tanınmalıdır</w:t>
      </w:r>
      <w:r w:rsidR="00ED46C8" w:rsidRPr="00DE12A3">
        <w:rPr>
          <w:color w:val="auto"/>
          <w:sz w:val="24"/>
          <w:szCs w:val="24"/>
        </w:rPr>
        <w:t>.</w:t>
      </w:r>
    </w:p>
    <w:p w14:paraId="47E34DED" w14:textId="5002D5BA" w:rsidR="002D7B36" w:rsidRPr="00DE12A3" w:rsidRDefault="00242DA0" w:rsidP="00E20716">
      <w:pPr>
        <w:pStyle w:val="Gvdemetni251"/>
        <w:numPr>
          <w:ilvl w:val="0"/>
          <w:numId w:val="393"/>
        </w:numPr>
        <w:shd w:val="clear" w:color="auto" w:fill="auto"/>
        <w:spacing w:before="240" w:after="240" w:line="240" w:lineRule="auto"/>
        <w:ind w:left="1701" w:hanging="567"/>
        <w:rPr>
          <w:color w:val="auto"/>
          <w:sz w:val="24"/>
          <w:szCs w:val="24"/>
        </w:rPr>
      </w:pPr>
      <w:r w:rsidRPr="00DE12A3">
        <w:rPr>
          <w:color w:val="auto"/>
          <w:sz w:val="24"/>
          <w:szCs w:val="24"/>
        </w:rPr>
        <w:t>Analiz cihazı numunenin konsantrasyonunu ölçerken, çıktısı 30 saniye boyunca kaydedilmelidir. Bu verilerin aritmetik ortalaması hesaplanmalıdır</w:t>
      </w:r>
      <w:r w:rsidR="00ED46C8" w:rsidRPr="00DE12A3">
        <w:rPr>
          <w:color w:val="auto"/>
          <w:sz w:val="24"/>
          <w:szCs w:val="24"/>
        </w:rPr>
        <w:t>.</w:t>
      </w:r>
    </w:p>
    <w:p w14:paraId="7631604D" w14:textId="17CE29FF" w:rsidR="002D7B36" w:rsidRPr="00DE12A3" w:rsidRDefault="00242DA0" w:rsidP="00E20716">
      <w:pPr>
        <w:pStyle w:val="Gvdemetni251"/>
        <w:numPr>
          <w:ilvl w:val="0"/>
          <w:numId w:val="393"/>
        </w:numPr>
        <w:shd w:val="clear" w:color="auto" w:fill="auto"/>
        <w:spacing w:before="240" w:after="240" w:line="240" w:lineRule="auto"/>
        <w:ind w:left="1701" w:hanging="567"/>
        <w:rPr>
          <w:color w:val="auto"/>
          <w:sz w:val="24"/>
          <w:szCs w:val="24"/>
        </w:rPr>
      </w:pPr>
      <w:r w:rsidRPr="00DE12A3">
        <w:rPr>
          <w:color w:val="auto"/>
          <w:sz w:val="24"/>
          <w:szCs w:val="24"/>
        </w:rPr>
        <w:t xml:space="preserve">Bu bendin (g) </w:t>
      </w:r>
      <w:r w:rsidR="00ED46C8" w:rsidRPr="00DE12A3">
        <w:rPr>
          <w:color w:val="auto"/>
          <w:sz w:val="24"/>
          <w:szCs w:val="24"/>
        </w:rPr>
        <w:t xml:space="preserve">numaralı alt bendinin </w:t>
      </w:r>
      <w:r w:rsidRPr="00DE12A3">
        <w:rPr>
          <w:color w:val="auto"/>
          <w:sz w:val="24"/>
          <w:szCs w:val="24"/>
        </w:rPr>
        <w:t>sonucu bu bölümdeki toleransı sağlıyorsa, analiz cihazı karışma doğrulamasını sağlar.</w:t>
      </w:r>
    </w:p>
    <w:p w14:paraId="5F4856B1" w14:textId="3061F1D4" w:rsidR="002D7B36" w:rsidRPr="00DE12A3" w:rsidRDefault="00AA67AA" w:rsidP="00E20716">
      <w:pPr>
        <w:pStyle w:val="Gvdemetni251"/>
        <w:numPr>
          <w:ilvl w:val="0"/>
          <w:numId w:val="393"/>
        </w:numPr>
        <w:shd w:val="clear" w:color="auto" w:fill="auto"/>
        <w:spacing w:before="240" w:after="240" w:line="240" w:lineRule="auto"/>
        <w:ind w:left="1701" w:hanging="567"/>
        <w:rPr>
          <w:color w:val="auto"/>
          <w:sz w:val="24"/>
          <w:szCs w:val="24"/>
        </w:rPr>
      </w:pPr>
      <w:r w:rsidRPr="00DE12A3">
        <w:rPr>
          <w:color w:val="auto"/>
          <w:sz w:val="24"/>
          <w:szCs w:val="24"/>
        </w:rPr>
        <w:t xml:space="preserve">     </w:t>
      </w:r>
      <w:r w:rsidR="00242DA0" w:rsidRPr="00DE12A3">
        <w:rPr>
          <w:color w:val="auto"/>
          <w:sz w:val="24"/>
          <w:szCs w:val="24"/>
        </w:rPr>
        <w:t>Her karışma gazı için karışma prosedürleri ayrı olarak da yürütülebilir. Kullanılan karışma gazı seviyeleri test sırasında beklenen azami seviyelerden yüksekse, gözlemlenen karışma, beklenen azami konsantrasyon değerinin bu prosedür sırasında kullanılan gerçek değere oranı ile çarpılarak gözlemlenen her karışma değeri düşürülebilir. Test sırasında beklenen azami seviyelerden düşük olan ayrı H</w:t>
      </w:r>
      <w:r w:rsidR="00242DA0" w:rsidRPr="00DE12A3">
        <w:rPr>
          <w:color w:val="auto"/>
          <w:sz w:val="24"/>
          <w:szCs w:val="24"/>
          <w:vertAlign w:val="subscript"/>
        </w:rPr>
        <w:t>2</w:t>
      </w:r>
      <w:r w:rsidR="00242DA0" w:rsidRPr="00DE12A3">
        <w:rPr>
          <w:color w:val="auto"/>
          <w:sz w:val="24"/>
          <w:szCs w:val="24"/>
        </w:rPr>
        <w:t>O karışma konsantrasyonları (0,025 mol/mol H</w:t>
      </w:r>
      <w:r w:rsidR="00242DA0" w:rsidRPr="00DE12A3">
        <w:rPr>
          <w:color w:val="auto"/>
          <w:sz w:val="24"/>
          <w:szCs w:val="24"/>
          <w:vertAlign w:val="subscript"/>
        </w:rPr>
        <w:t>2</w:t>
      </w:r>
      <w:r w:rsidR="00242DA0" w:rsidRPr="00DE12A3">
        <w:rPr>
          <w:color w:val="auto"/>
          <w:sz w:val="24"/>
          <w:szCs w:val="24"/>
        </w:rPr>
        <w:t>O içeriğine kadar) yürütülebilir</w:t>
      </w:r>
      <w:r w:rsidR="00ED46C8" w:rsidRPr="00DE12A3">
        <w:rPr>
          <w:color w:val="auto"/>
          <w:sz w:val="24"/>
          <w:szCs w:val="24"/>
        </w:rPr>
        <w:t>.</w:t>
      </w:r>
      <w:r w:rsidR="00242DA0" w:rsidRPr="00DE12A3">
        <w:rPr>
          <w:color w:val="auto"/>
          <w:sz w:val="24"/>
          <w:szCs w:val="24"/>
        </w:rPr>
        <w:t xml:space="preserve"> </w:t>
      </w:r>
      <w:r w:rsidR="00ED46C8" w:rsidRPr="00DE12A3">
        <w:rPr>
          <w:color w:val="auto"/>
          <w:sz w:val="24"/>
          <w:szCs w:val="24"/>
        </w:rPr>
        <w:t>A</w:t>
      </w:r>
      <w:r w:rsidR="00242DA0" w:rsidRPr="00DE12A3">
        <w:rPr>
          <w:color w:val="auto"/>
          <w:sz w:val="24"/>
          <w:szCs w:val="24"/>
        </w:rPr>
        <w:t>ncak gözlemlenen H</w:t>
      </w:r>
      <w:r w:rsidR="00242DA0" w:rsidRPr="00DE12A3">
        <w:rPr>
          <w:color w:val="auto"/>
          <w:sz w:val="24"/>
          <w:szCs w:val="24"/>
          <w:vertAlign w:val="subscript"/>
        </w:rPr>
        <w:t>2</w:t>
      </w:r>
      <w:r w:rsidR="00242DA0" w:rsidRPr="00DE12A3">
        <w:rPr>
          <w:color w:val="auto"/>
          <w:sz w:val="24"/>
          <w:szCs w:val="24"/>
        </w:rPr>
        <w:t>O karışması, gözlemlenen karışmanın, beklenen azami H</w:t>
      </w:r>
      <w:r w:rsidR="00242DA0" w:rsidRPr="00DE12A3">
        <w:rPr>
          <w:color w:val="auto"/>
          <w:sz w:val="24"/>
          <w:szCs w:val="24"/>
          <w:vertAlign w:val="subscript"/>
        </w:rPr>
        <w:t>2</w:t>
      </w:r>
      <w:r w:rsidR="00242DA0" w:rsidRPr="00DE12A3">
        <w:rPr>
          <w:color w:val="auto"/>
          <w:sz w:val="24"/>
          <w:szCs w:val="24"/>
        </w:rPr>
        <w:t>O konsantrasyon değerinin bu prosedür sırasında kullanılan gerçek değere oranı ile çarpılmasıyla arttırılmalıdır. Ölçeklendirilmiş karışma değerlerinin toplamı, bu bendin (j) paragrafında belirtildiği şekilde birleşik karışım toleransını sağlamalıdır.</w:t>
      </w:r>
    </w:p>
    <w:p w14:paraId="7532B3B7" w14:textId="196E5D0C" w:rsidR="002D7B36" w:rsidRPr="00DE12A3" w:rsidRDefault="00242DA0" w:rsidP="0066751C">
      <w:pPr>
        <w:pStyle w:val="Gvdemetni251"/>
        <w:numPr>
          <w:ilvl w:val="0"/>
          <w:numId w:val="393"/>
        </w:numPr>
        <w:shd w:val="clear" w:color="auto" w:fill="auto"/>
        <w:spacing w:before="240" w:after="240" w:line="240" w:lineRule="auto"/>
        <w:ind w:left="1701" w:hanging="567"/>
        <w:rPr>
          <w:color w:val="auto"/>
          <w:sz w:val="24"/>
          <w:szCs w:val="24"/>
        </w:rPr>
      </w:pPr>
      <w:r w:rsidRPr="00DE12A3">
        <w:rPr>
          <w:color w:val="auto"/>
          <w:sz w:val="24"/>
          <w:szCs w:val="24"/>
        </w:rPr>
        <w:t xml:space="preserve">Analiz cihazı, </w:t>
      </w:r>
      <w:r w:rsidR="00FA0678" w:rsidRPr="00DE12A3">
        <w:rPr>
          <w:color w:val="auto"/>
          <w:sz w:val="24"/>
          <w:szCs w:val="24"/>
        </w:rPr>
        <w:t xml:space="preserve">IV’ncü </w:t>
      </w:r>
      <w:r w:rsidR="00590D92" w:rsidRPr="00DE12A3">
        <w:rPr>
          <w:color w:val="auto"/>
          <w:sz w:val="24"/>
          <w:szCs w:val="24"/>
        </w:rPr>
        <w:t>E</w:t>
      </w:r>
      <w:r w:rsidR="00FA0678" w:rsidRPr="00DE12A3">
        <w:rPr>
          <w:color w:val="auto"/>
          <w:sz w:val="24"/>
          <w:szCs w:val="24"/>
        </w:rPr>
        <w:t>k</w:t>
      </w:r>
      <w:r w:rsidRPr="00DE12A3">
        <w:rPr>
          <w:color w:val="auto"/>
          <w:sz w:val="24"/>
          <w:szCs w:val="24"/>
        </w:rPr>
        <w:t>in 3.4. bendinde belirtilen geçerli amonyak (NH</w:t>
      </w:r>
      <w:r w:rsidRPr="00DE12A3">
        <w:rPr>
          <w:color w:val="auto"/>
          <w:sz w:val="24"/>
          <w:szCs w:val="24"/>
          <w:vertAlign w:val="subscript"/>
        </w:rPr>
        <w:t>3</w:t>
      </w:r>
      <w:r w:rsidRPr="00DE12A3">
        <w:rPr>
          <w:color w:val="auto"/>
          <w:sz w:val="24"/>
          <w:szCs w:val="24"/>
        </w:rPr>
        <w:t xml:space="preserve">) ortalama değeri ± </w:t>
      </w:r>
      <w:r w:rsidR="00F466F2" w:rsidRPr="00DE12A3">
        <w:rPr>
          <w:color w:val="auto"/>
          <w:sz w:val="24"/>
          <w:szCs w:val="24"/>
        </w:rPr>
        <w:t>%2</w:t>
      </w:r>
      <w:r w:rsidRPr="00DE12A3">
        <w:rPr>
          <w:color w:val="auto"/>
          <w:sz w:val="24"/>
          <w:szCs w:val="24"/>
        </w:rPr>
        <w:t xml:space="preserve"> aralığı içinde karışmayı birleştirmiş olmalıdır.</w:t>
      </w:r>
    </w:p>
    <w:p w14:paraId="35257781" w14:textId="77777777" w:rsidR="002D7B36" w:rsidRPr="00DE12A3" w:rsidRDefault="00AA67AA" w:rsidP="00E20716">
      <w:pPr>
        <w:pStyle w:val="Gvdemetni251"/>
        <w:numPr>
          <w:ilvl w:val="0"/>
          <w:numId w:val="390"/>
        </w:numPr>
        <w:shd w:val="clear" w:color="auto" w:fill="auto"/>
        <w:tabs>
          <w:tab w:val="left" w:pos="629"/>
          <w:tab w:val="center" w:pos="1718"/>
        </w:tabs>
        <w:spacing w:before="0" w:after="0" w:line="240" w:lineRule="auto"/>
        <w:ind w:left="1134" w:hanging="1134"/>
        <w:rPr>
          <w:b/>
          <w:color w:val="auto"/>
          <w:sz w:val="24"/>
          <w:szCs w:val="24"/>
        </w:rPr>
      </w:pPr>
      <w:r w:rsidRPr="00DE12A3">
        <w:rPr>
          <w:color w:val="auto"/>
          <w:sz w:val="24"/>
          <w:szCs w:val="24"/>
        </w:rPr>
        <w:t xml:space="preserve">         </w:t>
      </w:r>
      <w:r w:rsidR="00242DA0" w:rsidRPr="00DE12A3">
        <w:rPr>
          <w:b/>
          <w:color w:val="auto"/>
          <w:sz w:val="24"/>
          <w:szCs w:val="24"/>
        </w:rPr>
        <w:t>Alternatif sistemler</w:t>
      </w:r>
    </w:p>
    <w:p w14:paraId="79666BCC" w14:textId="77777777" w:rsidR="002D7B18" w:rsidRPr="00DE12A3" w:rsidRDefault="00AA67AA" w:rsidP="00F466F2">
      <w:pPr>
        <w:pStyle w:val="Gvdemetni251"/>
        <w:shd w:val="clear" w:color="auto" w:fill="auto"/>
        <w:spacing w:before="0" w:after="0" w:line="240" w:lineRule="auto"/>
        <w:ind w:left="1134" w:hanging="1134"/>
        <w:rPr>
          <w:color w:val="auto"/>
          <w:sz w:val="24"/>
          <w:szCs w:val="24"/>
        </w:rPr>
      </w:pPr>
      <w:r w:rsidRPr="00DE12A3">
        <w:rPr>
          <w:color w:val="auto"/>
          <w:sz w:val="24"/>
          <w:szCs w:val="24"/>
        </w:rPr>
        <w:t xml:space="preserve">                   </w:t>
      </w:r>
      <w:r w:rsidR="00242DA0" w:rsidRPr="00DE12A3">
        <w:rPr>
          <w:color w:val="auto"/>
          <w:sz w:val="24"/>
          <w:szCs w:val="24"/>
        </w:rPr>
        <w:t xml:space="preserve">Bu Ekin 5.1.1 bendi uyarınca denk sonuçlar verdikleri tespit edilirse, diğer sistemler veya analiz cihazları </w:t>
      </w:r>
      <w:r w:rsidR="007E2039" w:rsidRPr="00DE12A3">
        <w:rPr>
          <w:color w:val="auto"/>
          <w:sz w:val="24"/>
          <w:szCs w:val="24"/>
        </w:rPr>
        <w:t xml:space="preserve">onay </w:t>
      </w:r>
      <w:r w:rsidR="003B5C00" w:rsidRPr="00DE12A3">
        <w:rPr>
          <w:color w:val="auto"/>
          <w:sz w:val="24"/>
          <w:szCs w:val="24"/>
        </w:rPr>
        <w:t>kuruluşu tarafından</w:t>
      </w:r>
      <w:r w:rsidR="00242DA0" w:rsidRPr="00DE12A3">
        <w:rPr>
          <w:color w:val="auto"/>
          <w:sz w:val="24"/>
          <w:szCs w:val="24"/>
        </w:rPr>
        <w:t xml:space="preserve"> onaylanabilir. Bu durumda, söz konusu bentteki "Sonuçlar", geçerli </w:t>
      </w:r>
      <w:r w:rsidR="00F310B5" w:rsidRPr="00DE12A3">
        <w:rPr>
          <w:color w:val="auto"/>
          <w:sz w:val="24"/>
          <w:szCs w:val="24"/>
        </w:rPr>
        <w:t>çevrim</w:t>
      </w:r>
      <w:r w:rsidR="00242DA0" w:rsidRPr="00DE12A3">
        <w:rPr>
          <w:color w:val="auto"/>
          <w:sz w:val="24"/>
          <w:szCs w:val="24"/>
        </w:rPr>
        <w:t xml:space="preserve"> için hesaplanan ortalama NH</w:t>
      </w:r>
      <w:r w:rsidR="00242DA0" w:rsidRPr="00DE12A3">
        <w:rPr>
          <w:color w:val="auto"/>
          <w:sz w:val="24"/>
          <w:szCs w:val="24"/>
          <w:vertAlign w:val="subscript"/>
        </w:rPr>
        <w:t>3</w:t>
      </w:r>
      <w:r w:rsidR="00242DA0" w:rsidRPr="00DE12A3">
        <w:rPr>
          <w:color w:val="auto"/>
          <w:sz w:val="24"/>
          <w:szCs w:val="24"/>
        </w:rPr>
        <w:t xml:space="preserve"> konsantrasyonunu ifade eder.</w:t>
      </w:r>
    </w:p>
    <w:p w14:paraId="13515EF8" w14:textId="05F82EB1" w:rsidR="002D7B36" w:rsidRPr="00DE12A3" w:rsidRDefault="00242DA0" w:rsidP="00B34FCE">
      <w:pPr>
        <w:pStyle w:val="Balk2"/>
        <w:rPr>
          <w:color w:val="auto"/>
        </w:rPr>
      </w:pPr>
      <w:r w:rsidRPr="00DE12A3">
        <w:rPr>
          <w:color w:val="auto"/>
        </w:rPr>
        <w:lastRenderedPageBreak/>
        <w:t>5. Açıklayıcı Ek</w:t>
      </w:r>
    </w:p>
    <w:p w14:paraId="33B4F961" w14:textId="77777777" w:rsidR="002D7B36" w:rsidRPr="00DE12A3" w:rsidRDefault="00242DA0" w:rsidP="00C917D6">
      <w:pPr>
        <w:pStyle w:val="Gvdemetni51"/>
        <w:spacing w:before="120" w:after="120" w:line="240" w:lineRule="auto"/>
        <w:ind w:left="1134" w:hanging="1134"/>
        <w:jc w:val="center"/>
        <w:rPr>
          <w:color w:val="auto"/>
          <w:sz w:val="24"/>
          <w:szCs w:val="24"/>
        </w:rPr>
      </w:pPr>
      <w:r w:rsidRPr="00DE12A3">
        <w:rPr>
          <w:color w:val="auto"/>
          <w:sz w:val="24"/>
          <w:szCs w:val="24"/>
        </w:rPr>
        <w:t>Sistem tepkilerinin açıklaması</w:t>
      </w:r>
    </w:p>
    <w:p w14:paraId="40CFDB4D" w14:textId="30B611F3" w:rsidR="002D7B36" w:rsidRPr="00DE12A3" w:rsidRDefault="00404C7D" w:rsidP="00404C7D">
      <w:pPr>
        <w:pStyle w:val="Gvdemetni251"/>
        <w:spacing w:before="120" w:after="120" w:line="240" w:lineRule="auto"/>
        <w:ind w:firstLine="0"/>
        <w:rPr>
          <w:color w:val="auto"/>
          <w:sz w:val="24"/>
          <w:szCs w:val="24"/>
        </w:rPr>
      </w:pPr>
      <w:r w:rsidRPr="00DE12A3">
        <w:rPr>
          <w:color w:val="auto"/>
          <w:sz w:val="24"/>
          <w:szCs w:val="24"/>
        </w:rPr>
        <w:t>1</w:t>
      </w:r>
      <w:r w:rsidRPr="00DE12A3">
        <w:rPr>
          <w:b/>
          <w:color w:val="auto"/>
          <w:sz w:val="24"/>
          <w:szCs w:val="24"/>
        </w:rPr>
        <w:t xml:space="preserve">. </w:t>
      </w:r>
      <w:r w:rsidR="00242DA0" w:rsidRPr="00DE12A3">
        <w:rPr>
          <w:color w:val="auto"/>
          <w:sz w:val="24"/>
          <w:szCs w:val="24"/>
        </w:rPr>
        <w:t xml:space="preserve">Bu </w:t>
      </w:r>
      <w:r w:rsidR="003C361A" w:rsidRPr="00DE12A3">
        <w:rPr>
          <w:color w:val="auto"/>
          <w:sz w:val="24"/>
          <w:szCs w:val="24"/>
        </w:rPr>
        <w:t>A</w:t>
      </w:r>
      <w:r w:rsidR="00242DA0" w:rsidRPr="00DE12A3">
        <w:rPr>
          <w:color w:val="auto"/>
          <w:sz w:val="24"/>
          <w:szCs w:val="24"/>
        </w:rPr>
        <w:t xml:space="preserve">çıklayıcı </w:t>
      </w:r>
      <w:r w:rsidR="003C361A" w:rsidRPr="00DE12A3">
        <w:rPr>
          <w:color w:val="auto"/>
          <w:sz w:val="24"/>
          <w:szCs w:val="24"/>
        </w:rPr>
        <w:t>E</w:t>
      </w:r>
      <w:r w:rsidR="00242DA0" w:rsidRPr="00DE12A3">
        <w:rPr>
          <w:color w:val="auto"/>
          <w:sz w:val="24"/>
          <w:szCs w:val="24"/>
        </w:rPr>
        <w:t>kte, analitik sistemlerin ve diğer ölçüm sistemlerinin bir giriş sinyaline tepkisini ifade etmek için kullanılan zamanları açıklanmaktadır.</w:t>
      </w:r>
    </w:p>
    <w:p w14:paraId="011CE361" w14:textId="5948AB5A" w:rsidR="002D7B36" w:rsidRPr="00DE12A3" w:rsidRDefault="00404C7D" w:rsidP="00404C7D">
      <w:pPr>
        <w:pStyle w:val="Gvdemetni251"/>
        <w:spacing w:before="120" w:after="120" w:line="240" w:lineRule="auto"/>
        <w:ind w:firstLine="0"/>
        <w:rPr>
          <w:color w:val="auto"/>
          <w:sz w:val="24"/>
          <w:szCs w:val="24"/>
        </w:rPr>
      </w:pPr>
      <w:r w:rsidRPr="00DE12A3">
        <w:rPr>
          <w:color w:val="auto"/>
          <w:sz w:val="24"/>
          <w:szCs w:val="24"/>
        </w:rPr>
        <w:t xml:space="preserve">2. </w:t>
      </w:r>
      <w:r w:rsidR="00242DA0" w:rsidRPr="00DE12A3">
        <w:rPr>
          <w:color w:val="auto"/>
          <w:sz w:val="24"/>
          <w:szCs w:val="24"/>
        </w:rPr>
        <w:t>Şekil 6-11'de gösterildiği gibi, aşağıdaki zamanlar uygulanır:</w:t>
      </w:r>
    </w:p>
    <w:p w14:paraId="4C4BC1E0" w14:textId="2E2FB8CC" w:rsidR="002D7B36" w:rsidRPr="00DE12A3" w:rsidRDefault="00404C7D" w:rsidP="00404C7D">
      <w:pPr>
        <w:pStyle w:val="Gvdemetni251"/>
        <w:spacing w:before="120" w:after="120" w:line="240" w:lineRule="auto"/>
        <w:ind w:firstLine="0"/>
        <w:rPr>
          <w:color w:val="auto"/>
          <w:sz w:val="24"/>
          <w:szCs w:val="24"/>
        </w:rPr>
      </w:pPr>
      <w:r w:rsidRPr="00DE12A3">
        <w:rPr>
          <w:color w:val="auto"/>
          <w:sz w:val="24"/>
          <w:szCs w:val="24"/>
        </w:rPr>
        <w:t xml:space="preserve">2.1. </w:t>
      </w:r>
      <w:r w:rsidR="00242DA0" w:rsidRPr="00DE12A3">
        <w:rPr>
          <w:color w:val="auto"/>
          <w:sz w:val="24"/>
          <w:szCs w:val="24"/>
        </w:rPr>
        <w:t>Gecikme süresi, örnekleme sondası referans noktası olarak tanımlandığında, referans noktasında ölçülecek bileşenin değişmesi ile son okuma değerinin (</w:t>
      </w:r>
      <w:r w:rsidR="00242DA0" w:rsidRPr="00DE12A3">
        <w:rPr>
          <w:i/>
          <w:iCs/>
          <w:color w:val="auto"/>
          <w:sz w:val="24"/>
          <w:szCs w:val="24"/>
        </w:rPr>
        <w:t>t</w:t>
      </w:r>
      <w:r w:rsidR="00242DA0" w:rsidRPr="00DE12A3">
        <w:rPr>
          <w:color w:val="auto"/>
          <w:sz w:val="24"/>
          <w:szCs w:val="24"/>
          <w:vertAlign w:val="subscript"/>
        </w:rPr>
        <w:t>10</w:t>
      </w:r>
      <w:r w:rsidR="00242DA0" w:rsidRPr="00DE12A3">
        <w:rPr>
          <w:color w:val="auto"/>
          <w:sz w:val="24"/>
          <w:szCs w:val="24"/>
        </w:rPr>
        <w:t xml:space="preserve">) </w:t>
      </w:r>
      <w:r w:rsidR="00590D92" w:rsidRPr="00DE12A3">
        <w:rPr>
          <w:color w:val="auto"/>
          <w:sz w:val="24"/>
          <w:szCs w:val="24"/>
        </w:rPr>
        <w:t>%10</w:t>
      </w:r>
      <w:r w:rsidR="00242DA0" w:rsidRPr="00DE12A3">
        <w:rPr>
          <w:color w:val="auto"/>
          <w:sz w:val="24"/>
          <w:szCs w:val="24"/>
        </w:rPr>
        <w:t>'u kadar bir sistem tepkisi arasındaki zaman farkıdır.</w:t>
      </w:r>
    </w:p>
    <w:p w14:paraId="11598CB7" w14:textId="2F5FB306" w:rsidR="002D7B36" w:rsidRPr="00DE12A3" w:rsidRDefault="00404C7D" w:rsidP="00404C7D">
      <w:pPr>
        <w:pStyle w:val="Gvdemetni251"/>
        <w:spacing w:before="120" w:after="120" w:line="240" w:lineRule="auto"/>
        <w:ind w:firstLine="0"/>
        <w:rPr>
          <w:color w:val="auto"/>
          <w:sz w:val="24"/>
          <w:szCs w:val="24"/>
        </w:rPr>
      </w:pPr>
      <w:r w:rsidRPr="00DE12A3">
        <w:rPr>
          <w:color w:val="auto"/>
          <w:sz w:val="24"/>
          <w:szCs w:val="24"/>
        </w:rPr>
        <w:t xml:space="preserve">2.2. </w:t>
      </w:r>
      <w:r w:rsidR="00242DA0" w:rsidRPr="00DE12A3">
        <w:rPr>
          <w:color w:val="auto"/>
          <w:sz w:val="24"/>
          <w:szCs w:val="24"/>
        </w:rPr>
        <w:t>Tepki süresi, örnekleme sondası referans noktası olarak tanımlandığında, referans noktasında ölçülecek bileşenin değişmesi ile son okuma değerinin (</w:t>
      </w:r>
      <w:r w:rsidR="00242DA0" w:rsidRPr="00DE12A3">
        <w:rPr>
          <w:i/>
          <w:iCs/>
          <w:color w:val="auto"/>
          <w:sz w:val="24"/>
          <w:szCs w:val="24"/>
        </w:rPr>
        <w:t>t</w:t>
      </w:r>
      <w:r w:rsidR="00242DA0" w:rsidRPr="00DE12A3">
        <w:rPr>
          <w:color w:val="auto"/>
          <w:sz w:val="24"/>
          <w:szCs w:val="24"/>
          <w:vertAlign w:val="subscript"/>
        </w:rPr>
        <w:t>90</w:t>
      </w:r>
      <w:r w:rsidR="00242DA0" w:rsidRPr="00DE12A3">
        <w:rPr>
          <w:color w:val="auto"/>
          <w:sz w:val="24"/>
          <w:szCs w:val="24"/>
        </w:rPr>
        <w:t xml:space="preserve">) </w:t>
      </w:r>
      <w:r w:rsidR="00590D92" w:rsidRPr="00DE12A3">
        <w:rPr>
          <w:color w:val="auto"/>
          <w:sz w:val="24"/>
          <w:szCs w:val="24"/>
        </w:rPr>
        <w:t>%90</w:t>
      </w:r>
      <w:r w:rsidR="00242DA0" w:rsidRPr="00DE12A3">
        <w:rPr>
          <w:color w:val="auto"/>
          <w:sz w:val="24"/>
          <w:szCs w:val="24"/>
        </w:rPr>
        <w:t>'ı kadar bir sistem tepkisi arasındaki zaman farkıdır.</w:t>
      </w:r>
    </w:p>
    <w:p w14:paraId="3377FB5C" w14:textId="0A4C2750" w:rsidR="002D7B36" w:rsidRPr="00DE12A3" w:rsidRDefault="00404C7D" w:rsidP="00404C7D">
      <w:pPr>
        <w:pStyle w:val="Gvdemetni251"/>
        <w:spacing w:before="120" w:after="120" w:line="240" w:lineRule="auto"/>
        <w:ind w:firstLine="0"/>
        <w:rPr>
          <w:color w:val="auto"/>
          <w:sz w:val="24"/>
          <w:szCs w:val="24"/>
        </w:rPr>
      </w:pPr>
      <w:r w:rsidRPr="00DE12A3">
        <w:rPr>
          <w:color w:val="auto"/>
          <w:sz w:val="24"/>
          <w:szCs w:val="24"/>
        </w:rPr>
        <w:t xml:space="preserve">2.3. </w:t>
      </w:r>
      <w:r w:rsidR="00242DA0" w:rsidRPr="00DE12A3">
        <w:rPr>
          <w:color w:val="auto"/>
          <w:sz w:val="24"/>
          <w:szCs w:val="24"/>
        </w:rPr>
        <w:t>Yükselme zamanı, son okumanın % 10 ve % 90 tepkisi arasındaki zaman farkıdır (</w:t>
      </w:r>
      <w:r w:rsidR="00242DA0" w:rsidRPr="00DE12A3">
        <w:rPr>
          <w:i/>
          <w:iCs/>
          <w:color w:val="auto"/>
          <w:sz w:val="24"/>
          <w:szCs w:val="24"/>
        </w:rPr>
        <w:t>t</w:t>
      </w:r>
      <w:r w:rsidR="00242DA0" w:rsidRPr="00DE12A3">
        <w:rPr>
          <w:color w:val="auto"/>
          <w:sz w:val="24"/>
          <w:szCs w:val="24"/>
          <w:vertAlign w:val="subscript"/>
        </w:rPr>
        <w:t>90</w:t>
      </w:r>
      <w:r w:rsidR="00242DA0" w:rsidRPr="00DE12A3">
        <w:rPr>
          <w:color w:val="auto"/>
          <w:sz w:val="24"/>
          <w:szCs w:val="24"/>
        </w:rPr>
        <w:t xml:space="preserve"> - </w:t>
      </w:r>
      <w:r w:rsidR="00242DA0" w:rsidRPr="00DE12A3">
        <w:rPr>
          <w:i/>
          <w:iCs/>
          <w:color w:val="auto"/>
          <w:sz w:val="24"/>
          <w:szCs w:val="24"/>
        </w:rPr>
        <w:t>t</w:t>
      </w:r>
      <w:r w:rsidR="00242DA0" w:rsidRPr="00DE12A3">
        <w:rPr>
          <w:color w:val="auto"/>
          <w:sz w:val="24"/>
          <w:szCs w:val="24"/>
          <w:vertAlign w:val="subscript"/>
        </w:rPr>
        <w:t>10</w:t>
      </w:r>
      <w:r w:rsidR="00242DA0" w:rsidRPr="00DE12A3">
        <w:rPr>
          <w:color w:val="auto"/>
          <w:sz w:val="24"/>
          <w:szCs w:val="24"/>
        </w:rPr>
        <w:t>)</w:t>
      </w:r>
    </w:p>
    <w:p w14:paraId="1CF2B8B6" w14:textId="5DBA74CD" w:rsidR="002D7B36" w:rsidRPr="00DE12A3" w:rsidRDefault="00404C7D" w:rsidP="00404C7D">
      <w:pPr>
        <w:pStyle w:val="Gvdemetni251"/>
        <w:spacing w:before="120" w:after="120" w:line="240" w:lineRule="auto"/>
        <w:ind w:firstLine="0"/>
        <w:rPr>
          <w:color w:val="auto"/>
          <w:sz w:val="24"/>
          <w:szCs w:val="24"/>
        </w:rPr>
      </w:pPr>
      <w:r w:rsidRPr="00DE12A3">
        <w:rPr>
          <w:color w:val="auto"/>
          <w:sz w:val="24"/>
          <w:szCs w:val="24"/>
        </w:rPr>
        <w:t xml:space="preserve">2.4. </w:t>
      </w:r>
      <w:r w:rsidR="00242DA0" w:rsidRPr="00DE12A3">
        <w:rPr>
          <w:color w:val="auto"/>
          <w:sz w:val="24"/>
          <w:szCs w:val="24"/>
        </w:rPr>
        <w:t>Dönüşüm süresi, örnekleme sondası referans noktası olarak tanımlandığında, referans noktasında ölçülecek bileşenin değişmesi ile son okuma değerinin (</w:t>
      </w:r>
      <w:r w:rsidR="00242DA0" w:rsidRPr="00DE12A3">
        <w:rPr>
          <w:i/>
          <w:iCs/>
          <w:color w:val="auto"/>
          <w:sz w:val="24"/>
          <w:szCs w:val="24"/>
        </w:rPr>
        <w:t>t</w:t>
      </w:r>
      <w:r w:rsidR="00242DA0" w:rsidRPr="00DE12A3">
        <w:rPr>
          <w:color w:val="auto"/>
          <w:sz w:val="24"/>
          <w:szCs w:val="24"/>
          <w:vertAlign w:val="subscript"/>
        </w:rPr>
        <w:t>50</w:t>
      </w:r>
      <w:r w:rsidR="00242DA0" w:rsidRPr="00DE12A3">
        <w:rPr>
          <w:color w:val="auto"/>
          <w:sz w:val="24"/>
          <w:szCs w:val="24"/>
        </w:rPr>
        <w:t xml:space="preserve">) </w:t>
      </w:r>
      <w:r w:rsidR="00590D92" w:rsidRPr="00DE12A3">
        <w:rPr>
          <w:color w:val="auto"/>
          <w:sz w:val="24"/>
          <w:szCs w:val="24"/>
        </w:rPr>
        <w:t>%50</w:t>
      </w:r>
      <w:r w:rsidR="00242DA0" w:rsidRPr="00DE12A3">
        <w:rPr>
          <w:color w:val="auto"/>
          <w:sz w:val="24"/>
          <w:szCs w:val="24"/>
        </w:rPr>
        <w:t>'si kadar bir sistem tepkisi arasındaki zaman farkıdır.</w:t>
      </w:r>
    </w:p>
    <w:p w14:paraId="26A4F21D" w14:textId="2D13D5A4" w:rsidR="002D7B36" w:rsidRPr="00DE12A3" w:rsidRDefault="00404C7D" w:rsidP="00404C7D">
      <w:pPr>
        <w:pStyle w:val="Gvdemetni251"/>
        <w:spacing w:before="120" w:after="120" w:line="240" w:lineRule="auto"/>
        <w:ind w:firstLine="0"/>
        <w:rPr>
          <w:color w:val="auto"/>
          <w:sz w:val="24"/>
          <w:szCs w:val="24"/>
        </w:rPr>
      </w:pPr>
      <w:r w:rsidRPr="00DE12A3">
        <w:rPr>
          <w:color w:val="auto"/>
          <w:sz w:val="24"/>
          <w:szCs w:val="24"/>
        </w:rPr>
        <w:t xml:space="preserve">2.5. </w:t>
      </w:r>
      <w:r w:rsidR="00242DA0" w:rsidRPr="00DE12A3">
        <w:rPr>
          <w:color w:val="auto"/>
          <w:sz w:val="24"/>
          <w:szCs w:val="24"/>
        </w:rPr>
        <w:t>Adım giriş zamanı, ölçülen parametrede bir değişikliğin olduğu zamandır.</w:t>
      </w:r>
    </w:p>
    <w:p w14:paraId="20E90DC4" w14:textId="77777777" w:rsidR="002D7B36" w:rsidRPr="00DE12A3" w:rsidRDefault="002D7B36" w:rsidP="00C917D6">
      <w:pPr>
        <w:pStyle w:val="Gvdemetni251"/>
        <w:spacing w:before="120" w:after="120" w:line="240" w:lineRule="auto"/>
        <w:ind w:left="1134" w:hanging="1134"/>
        <w:rPr>
          <w:color w:val="auto"/>
          <w:sz w:val="24"/>
          <w:szCs w:val="24"/>
        </w:rPr>
      </w:pPr>
    </w:p>
    <w:p w14:paraId="27C1D9C4" w14:textId="1FE21443" w:rsidR="002D7B36" w:rsidRPr="00DE12A3" w:rsidRDefault="00242DA0" w:rsidP="00B34FCE">
      <w:pPr>
        <w:pStyle w:val="Gvdemetni51"/>
        <w:shd w:val="clear" w:color="auto" w:fill="auto"/>
        <w:spacing w:before="120" w:after="120" w:line="240" w:lineRule="auto"/>
        <w:jc w:val="center"/>
        <w:rPr>
          <w:rStyle w:val="Gvdemetni54ptKalnDeiltalik0ptbolukbraklyor"/>
          <w:color w:val="auto"/>
          <w:sz w:val="24"/>
          <w:szCs w:val="24"/>
        </w:rPr>
      </w:pPr>
      <w:r w:rsidRPr="00DE12A3">
        <w:rPr>
          <w:rStyle w:val="Gvdemetni54ptKalnDeiltalik0ptbolukbraklyor"/>
          <w:color w:val="auto"/>
          <w:sz w:val="24"/>
          <w:szCs w:val="24"/>
        </w:rPr>
        <w:t>Şekil 6-1</w:t>
      </w:r>
      <w:r w:rsidR="00404C7D" w:rsidRPr="00DE12A3">
        <w:rPr>
          <w:rStyle w:val="Gvdemetni54ptKalnDeiltalik0ptbolukbraklyor"/>
          <w:color w:val="auto"/>
          <w:sz w:val="24"/>
          <w:szCs w:val="24"/>
        </w:rPr>
        <w:t>1</w:t>
      </w:r>
    </w:p>
    <w:p w14:paraId="52CC0B92" w14:textId="77777777" w:rsidR="002D7B36" w:rsidRPr="00DE12A3" w:rsidRDefault="00242DA0" w:rsidP="00B34FCE">
      <w:pPr>
        <w:pStyle w:val="Gvdemetni51"/>
        <w:shd w:val="clear" w:color="auto" w:fill="auto"/>
        <w:spacing w:before="120" w:after="120" w:line="240" w:lineRule="auto"/>
        <w:jc w:val="center"/>
        <w:rPr>
          <w:color w:val="auto"/>
          <w:sz w:val="24"/>
          <w:szCs w:val="24"/>
        </w:rPr>
      </w:pPr>
      <w:r w:rsidRPr="00DE12A3">
        <w:rPr>
          <w:color w:val="auto"/>
          <w:sz w:val="24"/>
          <w:szCs w:val="24"/>
        </w:rPr>
        <w:t>Sistem tepkileri şeması</w:t>
      </w:r>
    </w:p>
    <w:p w14:paraId="78E4B1EF" w14:textId="77777777" w:rsidR="002D7B36" w:rsidRPr="00DE12A3" w:rsidRDefault="002D7B36" w:rsidP="00B34FCE">
      <w:pPr>
        <w:pStyle w:val="Gvdemetni251"/>
        <w:spacing w:before="120" w:after="120" w:line="240" w:lineRule="auto"/>
        <w:ind w:firstLine="0"/>
        <w:rPr>
          <w:color w:val="auto"/>
          <w:sz w:val="20"/>
          <w:szCs w:val="20"/>
        </w:rPr>
      </w:pPr>
    </w:p>
    <w:p w14:paraId="788B0C1E" w14:textId="77777777" w:rsidR="002D7B36" w:rsidRPr="00DE12A3" w:rsidRDefault="00242DA0" w:rsidP="00D56EAF">
      <w:pPr>
        <w:spacing w:before="120" w:after="120"/>
        <w:ind w:left="709" w:hanging="709"/>
        <w:jc w:val="center"/>
        <w:rPr>
          <w:rFonts w:eastAsia="Times New Roman" w:cs="Times New Roman"/>
          <w:color w:val="auto"/>
          <w:sz w:val="20"/>
          <w:szCs w:val="20"/>
          <w:lang w:eastAsia="en-US"/>
        </w:rPr>
      </w:pPr>
      <w:r w:rsidRPr="00DE12A3">
        <w:rPr>
          <w:rFonts w:eastAsia="Times New Roman" w:cs="Times New Roman"/>
          <w:noProof/>
          <w:color w:val="auto"/>
          <w:sz w:val="20"/>
          <w:szCs w:val="20"/>
        </w:rPr>
        <w:drawing>
          <wp:inline distT="0" distB="0" distL="0" distR="0" wp14:anchorId="423715DE" wp14:editId="3950F029">
            <wp:extent cx="5233522" cy="3375622"/>
            <wp:effectExtent l="0" t="0" r="5715" b="0"/>
            <wp:docPr id="2375" name="Resim 2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5" name="Resim 2375"/>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a:xfrm>
                      <a:off x="0" y="0"/>
                      <a:ext cx="5236605" cy="3377610"/>
                    </a:xfrm>
                    <a:prstGeom prst="rect">
                      <a:avLst/>
                    </a:prstGeom>
                    <a:noFill/>
                    <a:ln>
                      <a:noFill/>
                    </a:ln>
                  </pic:spPr>
                </pic:pic>
              </a:graphicData>
            </a:graphic>
          </wp:inline>
        </w:drawing>
      </w:r>
      <w:r w:rsidRPr="00DE12A3">
        <w:rPr>
          <w:rFonts w:eastAsia="Times New Roman" w:cs="Times New Roman"/>
          <w:color w:val="auto"/>
          <w:sz w:val="20"/>
          <w:szCs w:val="20"/>
          <w:lang w:eastAsia="en-US"/>
        </w:rPr>
        <w:br w:type="textWrapping" w:clear="all"/>
      </w:r>
    </w:p>
    <w:p w14:paraId="2FDAA592" w14:textId="77777777" w:rsidR="00D56EAF" w:rsidRPr="00DE12A3" w:rsidRDefault="00D56EAF">
      <w:pPr>
        <w:widowControl/>
        <w:rPr>
          <w:rFonts w:eastAsia="Times New Roman" w:cs="Times New Roman"/>
          <w:color w:val="auto"/>
          <w:sz w:val="20"/>
          <w:szCs w:val="20"/>
          <w:lang w:eastAsia="en-US"/>
        </w:rPr>
      </w:pPr>
      <w:bookmarkStart w:id="24" w:name="bookmark29"/>
      <w:r w:rsidRPr="00DE12A3">
        <w:rPr>
          <w:rFonts w:eastAsia="Times New Roman" w:cs="Times New Roman"/>
          <w:color w:val="auto"/>
          <w:sz w:val="20"/>
          <w:szCs w:val="20"/>
        </w:rPr>
        <w:br w:type="page"/>
      </w:r>
    </w:p>
    <w:p w14:paraId="2D79FC1D" w14:textId="5E729196" w:rsidR="002D7B36" w:rsidRPr="00DE12A3" w:rsidRDefault="00242DA0" w:rsidP="00D56EAF">
      <w:pPr>
        <w:pStyle w:val="Balk1"/>
        <w:rPr>
          <w:i/>
          <w:color w:val="auto"/>
        </w:rPr>
      </w:pPr>
      <w:r w:rsidRPr="00DE12A3">
        <w:rPr>
          <w:rStyle w:val="Balk55TimesNewRoman4pttalik0ptbolukbraklyor"/>
          <w:rFonts w:eastAsia="Constantia"/>
          <w:i w:val="0"/>
          <w:color w:val="auto"/>
          <w:sz w:val="24"/>
          <w:szCs w:val="24"/>
        </w:rPr>
        <w:lastRenderedPageBreak/>
        <w:t>EK VII</w:t>
      </w:r>
      <w:bookmarkEnd w:id="24"/>
    </w:p>
    <w:p w14:paraId="3BC9BF0D" w14:textId="77777777" w:rsidR="002D7B36" w:rsidRPr="00DE12A3" w:rsidRDefault="00242DA0" w:rsidP="007D226D">
      <w:pPr>
        <w:jc w:val="center"/>
        <w:rPr>
          <w:b/>
          <w:bCs/>
          <w:color w:val="auto"/>
        </w:rPr>
      </w:pPr>
      <w:r w:rsidRPr="00DE12A3">
        <w:rPr>
          <w:b/>
          <w:color w:val="auto"/>
        </w:rPr>
        <w:t>Veri değerlendirme ve hesaplama yöntemi</w:t>
      </w:r>
    </w:p>
    <w:p w14:paraId="45B31962" w14:textId="77777777" w:rsidR="002D7B36" w:rsidRPr="00DE12A3" w:rsidRDefault="00AA67AA" w:rsidP="00E20716">
      <w:pPr>
        <w:pStyle w:val="Balk750"/>
        <w:numPr>
          <w:ilvl w:val="0"/>
          <w:numId w:val="394"/>
        </w:numPr>
        <w:shd w:val="clear" w:color="auto" w:fill="auto"/>
        <w:spacing w:before="120" w:after="120" w:line="240" w:lineRule="auto"/>
        <w:ind w:left="1134" w:hanging="1134"/>
        <w:rPr>
          <w:sz w:val="24"/>
          <w:szCs w:val="24"/>
        </w:rPr>
      </w:pPr>
      <w:r w:rsidRPr="00DE12A3">
        <w:rPr>
          <w:spacing w:val="3"/>
          <w:sz w:val="24"/>
          <w:szCs w:val="24"/>
        </w:rPr>
        <w:t xml:space="preserve">       </w:t>
      </w:r>
      <w:r w:rsidR="00242DA0" w:rsidRPr="00DE12A3">
        <w:rPr>
          <w:spacing w:val="3"/>
          <w:sz w:val="24"/>
          <w:szCs w:val="24"/>
        </w:rPr>
        <w:t>Genel şartlar</w:t>
      </w:r>
    </w:p>
    <w:p w14:paraId="02E19F45" w14:textId="7636785F" w:rsidR="002D7B36" w:rsidRPr="00DE12A3" w:rsidRDefault="00AA67AA" w:rsidP="00C917D6">
      <w:pPr>
        <w:pStyle w:val="Gvdemetni251"/>
        <w:shd w:val="clear" w:color="auto" w:fill="auto"/>
        <w:spacing w:before="120" w:after="120" w:line="240" w:lineRule="auto"/>
        <w:ind w:left="1134" w:hanging="1134"/>
        <w:rPr>
          <w:color w:val="auto"/>
          <w:sz w:val="24"/>
          <w:szCs w:val="24"/>
        </w:rPr>
      </w:pPr>
      <w:r w:rsidRPr="00DE12A3">
        <w:rPr>
          <w:color w:val="auto"/>
          <w:sz w:val="24"/>
          <w:szCs w:val="24"/>
        </w:rPr>
        <w:t xml:space="preserve">                  </w:t>
      </w:r>
      <w:r w:rsidR="00242DA0" w:rsidRPr="00DE12A3">
        <w:rPr>
          <w:color w:val="auto"/>
          <w:sz w:val="24"/>
          <w:szCs w:val="24"/>
        </w:rPr>
        <w:t xml:space="preserve">Emisyonların hesaplanması, 2. </w:t>
      </w:r>
      <w:r w:rsidR="00B32A92" w:rsidRPr="00DE12A3">
        <w:rPr>
          <w:color w:val="auto"/>
          <w:sz w:val="24"/>
          <w:szCs w:val="24"/>
        </w:rPr>
        <w:t>Bölüm</w:t>
      </w:r>
      <w:r w:rsidR="00242DA0" w:rsidRPr="00DE12A3">
        <w:rPr>
          <w:color w:val="auto"/>
          <w:sz w:val="24"/>
          <w:szCs w:val="24"/>
        </w:rPr>
        <w:t xml:space="preserve"> (kütle esaslı hesaplamalar) veya 3. </w:t>
      </w:r>
      <w:r w:rsidR="00B32A92" w:rsidRPr="00DE12A3">
        <w:rPr>
          <w:color w:val="auto"/>
          <w:sz w:val="24"/>
          <w:szCs w:val="24"/>
        </w:rPr>
        <w:t>Bölüm</w:t>
      </w:r>
      <w:r w:rsidR="00242DA0" w:rsidRPr="00DE12A3">
        <w:rPr>
          <w:color w:val="auto"/>
          <w:sz w:val="24"/>
          <w:szCs w:val="24"/>
        </w:rPr>
        <w:t xml:space="preserve"> (molar esaslı hesaplamalar) uyarınca yapılmalıdır. İki yöntemin karışımına izin verilmez. Hesaplamaların hem 2. </w:t>
      </w:r>
      <w:r w:rsidR="00B32A92" w:rsidRPr="00DE12A3">
        <w:rPr>
          <w:color w:val="auto"/>
          <w:sz w:val="24"/>
          <w:szCs w:val="24"/>
        </w:rPr>
        <w:t>Bölüm</w:t>
      </w:r>
      <w:r w:rsidR="00242DA0" w:rsidRPr="00DE12A3">
        <w:rPr>
          <w:color w:val="auto"/>
          <w:sz w:val="24"/>
          <w:szCs w:val="24"/>
        </w:rPr>
        <w:t xml:space="preserve"> hem de 3. </w:t>
      </w:r>
      <w:r w:rsidR="00B32A92" w:rsidRPr="00DE12A3">
        <w:rPr>
          <w:color w:val="auto"/>
          <w:sz w:val="24"/>
          <w:szCs w:val="24"/>
        </w:rPr>
        <w:t>Bölüm</w:t>
      </w:r>
      <w:r w:rsidR="00242DA0" w:rsidRPr="00DE12A3">
        <w:rPr>
          <w:color w:val="auto"/>
          <w:sz w:val="24"/>
          <w:szCs w:val="24"/>
        </w:rPr>
        <w:t xml:space="preserve"> uyarınca yapılması gerekmez.</w:t>
      </w:r>
    </w:p>
    <w:p w14:paraId="24A7C54D" w14:textId="38871A2C" w:rsidR="002D7B36" w:rsidRPr="00DE12A3" w:rsidRDefault="00AA67AA" w:rsidP="00C917D6">
      <w:pPr>
        <w:pStyle w:val="Gvdemetni251"/>
        <w:shd w:val="clear" w:color="auto" w:fill="auto"/>
        <w:spacing w:before="120" w:after="120" w:line="240" w:lineRule="auto"/>
        <w:ind w:left="1134" w:hanging="992"/>
        <w:rPr>
          <w:color w:val="auto"/>
          <w:sz w:val="24"/>
          <w:szCs w:val="24"/>
        </w:rPr>
      </w:pPr>
      <w:r w:rsidRPr="00DE12A3">
        <w:rPr>
          <w:color w:val="auto"/>
          <w:sz w:val="24"/>
          <w:szCs w:val="24"/>
        </w:rPr>
        <w:t xml:space="preserve">               </w:t>
      </w:r>
      <w:r w:rsidR="00242DA0" w:rsidRPr="00DE12A3">
        <w:rPr>
          <w:color w:val="auto"/>
          <w:sz w:val="24"/>
          <w:szCs w:val="24"/>
        </w:rPr>
        <w:t xml:space="preserve">Varsa, </w:t>
      </w:r>
      <w:r w:rsidR="007E2039" w:rsidRPr="00DE12A3">
        <w:rPr>
          <w:color w:val="auto"/>
          <w:sz w:val="24"/>
          <w:szCs w:val="24"/>
        </w:rPr>
        <w:t xml:space="preserve">partikül </w:t>
      </w:r>
      <w:r w:rsidR="00242DA0" w:rsidRPr="00DE12A3">
        <w:rPr>
          <w:color w:val="auto"/>
          <w:sz w:val="24"/>
          <w:szCs w:val="24"/>
        </w:rPr>
        <w:t xml:space="preserve">sayısı (PN) ölçümüne ilişkin özel şartlar </w:t>
      </w:r>
      <w:r w:rsidR="00ED46C8" w:rsidRPr="00DE12A3">
        <w:rPr>
          <w:color w:val="auto"/>
          <w:sz w:val="24"/>
          <w:szCs w:val="24"/>
        </w:rPr>
        <w:t xml:space="preserve">bu Ekin </w:t>
      </w:r>
      <w:r w:rsidR="00CD23C3" w:rsidRPr="00DE12A3">
        <w:rPr>
          <w:color w:val="auto"/>
          <w:sz w:val="24"/>
          <w:szCs w:val="24"/>
        </w:rPr>
        <w:t>5. Açıklayıcı Ek</w:t>
      </w:r>
      <w:r w:rsidR="00ED46C8" w:rsidRPr="00DE12A3">
        <w:rPr>
          <w:color w:val="auto"/>
          <w:sz w:val="24"/>
          <w:szCs w:val="24"/>
        </w:rPr>
        <w:t>inde</w:t>
      </w:r>
      <w:r w:rsidR="00242DA0" w:rsidRPr="00DE12A3">
        <w:rPr>
          <w:color w:val="auto"/>
          <w:sz w:val="24"/>
          <w:szCs w:val="24"/>
        </w:rPr>
        <w:t xml:space="preserve"> belirtilmiştir.</w:t>
      </w:r>
    </w:p>
    <w:p w14:paraId="5348ED65" w14:textId="77777777" w:rsidR="002D7B36" w:rsidRPr="00DE12A3" w:rsidRDefault="00AA67AA" w:rsidP="00E20716">
      <w:pPr>
        <w:pStyle w:val="Gvdemetni251"/>
        <w:numPr>
          <w:ilvl w:val="1"/>
          <w:numId w:val="394"/>
        </w:numPr>
        <w:shd w:val="clear" w:color="auto" w:fill="auto"/>
        <w:spacing w:before="120" w:after="120" w:line="240" w:lineRule="auto"/>
        <w:ind w:left="709" w:hanging="709"/>
        <w:rPr>
          <w:color w:val="auto"/>
          <w:sz w:val="24"/>
          <w:szCs w:val="24"/>
        </w:rPr>
      </w:pPr>
      <w:r w:rsidRPr="00DE12A3">
        <w:rPr>
          <w:color w:val="auto"/>
          <w:sz w:val="24"/>
          <w:szCs w:val="24"/>
        </w:rPr>
        <w:t xml:space="preserve">       </w:t>
      </w:r>
      <w:r w:rsidR="00242DA0" w:rsidRPr="00DE12A3">
        <w:rPr>
          <w:color w:val="auto"/>
          <w:sz w:val="24"/>
          <w:szCs w:val="24"/>
        </w:rPr>
        <w:t>Genel semboller</w:t>
      </w:r>
    </w:p>
    <w:p w14:paraId="2FC8250B" w14:textId="77777777" w:rsidR="00AA67AA" w:rsidRPr="00DE12A3" w:rsidRDefault="00AA67AA" w:rsidP="00C917D6">
      <w:pPr>
        <w:pStyle w:val="Gvdemetni251"/>
        <w:shd w:val="clear" w:color="auto" w:fill="auto"/>
        <w:spacing w:before="120" w:after="120" w:line="240" w:lineRule="auto"/>
        <w:ind w:left="709" w:firstLine="0"/>
        <w:rPr>
          <w:color w:val="auto"/>
          <w:sz w:val="24"/>
          <w:szCs w:val="24"/>
        </w:rPr>
      </w:pPr>
    </w:p>
    <w:tbl>
      <w:tblPr>
        <w:tblW w:w="9007" w:type="dxa"/>
        <w:tblInd w:w="139" w:type="dxa"/>
        <w:tblLayout w:type="fixed"/>
        <w:tblLook w:val="0000" w:firstRow="0" w:lastRow="0" w:firstColumn="0" w:lastColumn="0" w:noHBand="0" w:noVBand="0"/>
      </w:tblPr>
      <w:tblGrid>
        <w:gridCol w:w="1261"/>
        <w:gridCol w:w="1261"/>
        <w:gridCol w:w="1441"/>
        <w:gridCol w:w="5044"/>
      </w:tblGrid>
      <w:tr w:rsidR="00DE12A3" w:rsidRPr="00DE12A3" w14:paraId="3E8ABD6A" w14:textId="77777777" w:rsidTr="002C23B9">
        <w:tc>
          <w:tcPr>
            <w:tcW w:w="1261" w:type="dxa"/>
            <w:tcBorders>
              <w:top w:val="single" w:sz="4" w:space="0" w:color="auto"/>
              <w:left w:val="single" w:sz="4" w:space="0" w:color="auto"/>
              <w:bottom w:val="single" w:sz="4" w:space="0" w:color="auto"/>
              <w:right w:val="single" w:sz="4" w:space="0" w:color="auto"/>
            </w:tcBorders>
            <w:shd w:val="clear" w:color="auto" w:fill="auto"/>
          </w:tcPr>
          <w:p w14:paraId="2C41D94F" w14:textId="77777777" w:rsidR="002C23B9" w:rsidRPr="00DE12A3" w:rsidRDefault="002C23B9" w:rsidP="00C917D6">
            <w:pPr>
              <w:spacing w:before="120" w:after="120"/>
              <w:jc w:val="center"/>
              <w:rPr>
                <w:rFonts w:cs="Times New Roman"/>
                <w:color w:val="auto"/>
              </w:rPr>
            </w:pPr>
            <w:r w:rsidRPr="00DE12A3">
              <w:rPr>
                <w:rFonts w:cs="Times New Roman"/>
                <w:color w:val="auto"/>
              </w:rPr>
              <w:t>Bölüm 2</w:t>
            </w:r>
          </w:p>
        </w:tc>
        <w:tc>
          <w:tcPr>
            <w:tcW w:w="1261" w:type="dxa"/>
            <w:tcBorders>
              <w:top w:val="single" w:sz="4" w:space="0" w:color="auto"/>
              <w:left w:val="single" w:sz="4" w:space="0" w:color="auto"/>
              <w:bottom w:val="single" w:sz="4" w:space="0" w:color="auto"/>
              <w:right w:val="single" w:sz="4" w:space="0" w:color="auto"/>
            </w:tcBorders>
            <w:shd w:val="clear" w:color="auto" w:fill="auto"/>
          </w:tcPr>
          <w:p w14:paraId="753A7C05" w14:textId="77777777" w:rsidR="002C23B9" w:rsidRPr="00DE12A3" w:rsidRDefault="002C23B9" w:rsidP="00C917D6">
            <w:pPr>
              <w:spacing w:before="120" w:after="120"/>
              <w:jc w:val="center"/>
              <w:rPr>
                <w:rFonts w:cs="Times New Roman"/>
                <w:color w:val="auto"/>
              </w:rPr>
            </w:pPr>
            <w:r w:rsidRPr="00DE12A3">
              <w:rPr>
                <w:rFonts w:cs="Times New Roman"/>
                <w:color w:val="auto"/>
              </w:rPr>
              <w:t>Bölüm 3</w:t>
            </w:r>
          </w:p>
        </w:tc>
        <w:tc>
          <w:tcPr>
            <w:tcW w:w="1441" w:type="dxa"/>
            <w:tcBorders>
              <w:top w:val="single" w:sz="4" w:space="0" w:color="auto"/>
              <w:left w:val="single" w:sz="4" w:space="0" w:color="auto"/>
              <w:bottom w:val="single" w:sz="4" w:space="0" w:color="auto"/>
              <w:right w:val="single" w:sz="4" w:space="0" w:color="auto"/>
            </w:tcBorders>
            <w:shd w:val="clear" w:color="auto" w:fill="auto"/>
          </w:tcPr>
          <w:p w14:paraId="5FB4C13A" w14:textId="77777777" w:rsidR="002C23B9" w:rsidRPr="00DE12A3" w:rsidRDefault="002C23B9" w:rsidP="00C917D6">
            <w:pPr>
              <w:spacing w:before="120" w:after="120"/>
              <w:jc w:val="center"/>
              <w:rPr>
                <w:rFonts w:cs="Times New Roman"/>
                <w:color w:val="auto"/>
              </w:rPr>
            </w:pPr>
            <w:r w:rsidRPr="00DE12A3">
              <w:rPr>
                <w:rFonts w:cs="Times New Roman"/>
                <w:color w:val="auto"/>
              </w:rPr>
              <w:t>Birim</w:t>
            </w:r>
          </w:p>
        </w:tc>
        <w:tc>
          <w:tcPr>
            <w:tcW w:w="5044" w:type="dxa"/>
            <w:tcBorders>
              <w:top w:val="single" w:sz="4" w:space="0" w:color="auto"/>
              <w:left w:val="single" w:sz="4" w:space="0" w:color="auto"/>
              <w:bottom w:val="single" w:sz="4" w:space="0" w:color="auto"/>
              <w:right w:val="single" w:sz="4" w:space="0" w:color="auto"/>
            </w:tcBorders>
            <w:shd w:val="clear" w:color="auto" w:fill="auto"/>
          </w:tcPr>
          <w:p w14:paraId="3465C030" w14:textId="77777777" w:rsidR="002C23B9" w:rsidRPr="00DE12A3" w:rsidRDefault="002C23B9" w:rsidP="00C917D6">
            <w:pPr>
              <w:spacing w:before="120" w:after="120"/>
              <w:jc w:val="center"/>
              <w:rPr>
                <w:rFonts w:cs="Times New Roman"/>
                <w:color w:val="auto"/>
              </w:rPr>
            </w:pPr>
            <w:r w:rsidRPr="00DE12A3">
              <w:rPr>
                <w:rFonts w:cs="Times New Roman"/>
                <w:color w:val="auto"/>
              </w:rPr>
              <w:t>Miktar</w:t>
            </w:r>
          </w:p>
        </w:tc>
      </w:tr>
      <w:tr w:rsidR="00DE12A3" w:rsidRPr="00DE12A3" w14:paraId="107DF032" w14:textId="77777777" w:rsidTr="002C23B9">
        <w:tc>
          <w:tcPr>
            <w:tcW w:w="1261" w:type="dxa"/>
            <w:tcBorders>
              <w:top w:val="single" w:sz="4" w:space="0" w:color="auto"/>
              <w:left w:val="single" w:sz="2" w:space="0" w:color="auto"/>
              <w:bottom w:val="single" w:sz="2" w:space="0" w:color="auto"/>
              <w:right w:val="single" w:sz="2" w:space="0" w:color="auto"/>
            </w:tcBorders>
          </w:tcPr>
          <w:p w14:paraId="6B916C63" w14:textId="77777777" w:rsidR="000978CB" w:rsidRPr="00DE12A3" w:rsidRDefault="000978CB" w:rsidP="00C917D6">
            <w:pPr>
              <w:adjustRightInd w:val="0"/>
              <w:spacing w:before="120" w:after="120"/>
              <w:rPr>
                <w:rFonts w:cs="Times New Roman"/>
                <w:color w:val="auto"/>
              </w:rPr>
            </w:pPr>
          </w:p>
        </w:tc>
        <w:tc>
          <w:tcPr>
            <w:tcW w:w="1261" w:type="dxa"/>
            <w:tcBorders>
              <w:top w:val="single" w:sz="4" w:space="0" w:color="auto"/>
              <w:left w:val="single" w:sz="2" w:space="0" w:color="auto"/>
              <w:bottom w:val="single" w:sz="2" w:space="0" w:color="auto"/>
              <w:right w:val="single" w:sz="2" w:space="0" w:color="auto"/>
            </w:tcBorders>
          </w:tcPr>
          <w:p w14:paraId="44F80CD9" w14:textId="77777777" w:rsidR="000978CB" w:rsidRPr="00DE12A3" w:rsidRDefault="000978CB" w:rsidP="00C917D6">
            <w:pPr>
              <w:pStyle w:val="NormalLeft"/>
            </w:pPr>
            <w:r w:rsidRPr="00DE12A3">
              <w:rPr>
                <w:i/>
                <w:iCs/>
              </w:rPr>
              <w:t>A</w:t>
            </w:r>
          </w:p>
        </w:tc>
        <w:tc>
          <w:tcPr>
            <w:tcW w:w="1441" w:type="dxa"/>
            <w:tcBorders>
              <w:top w:val="single" w:sz="4" w:space="0" w:color="auto"/>
              <w:left w:val="single" w:sz="2" w:space="0" w:color="auto"/>
              <w:bottom w:val="single" w:sz="2" w:space="0" w:color="auto"/>
              <w:right w:val="single" w:sz="2" w:space="0" w:color="auto"/>
            </w:tcBorders>
          </w:tcPr>
          <w:p w14:paraId="7B11B679" w14:textId="77777777" w:rsidR="000978CB" w:rsidRPr="00DE12A3" w:rsidRDefault="000978CB" w:rsidP="00C917D6">
            <w:pPr>
              <w:pStyle w:val="NormalLeft"/>
            </w:pPr>
            <w:r w:rsidRPr="00DE12A3">
              <w:t>m</w:t>
            </w:r>
            <w:r w:rsidRPr="00DE12A3">
              <w:rPr>
                <w:vertAlign w:val="superscript"/>
              </w:rPr>
              <w:t>2</w:t>
            </w:r>
          </w:p>
        </w:tc>
        <w:tc>
          <w:tcPr>
            <w:tcW w:w="5044" w:type="dxa"/>
            <w:tcBorders>
              <w:top w:val="single" w:sz="4" w:space="0" w:color="auto"/>
              <w:left w:val="single" w:sz="2" w:space="0" w:color="auto"/>
              <w:bottom w:val="single" w:sz="2" w:space="0" w:color="auto"/>
              <w:right w:val="single" w:sz="2" w:space="0" w:color="auto"/>
            </w:tcBorders>
          </w:tcPr>
          <w:p w14:paraId="71923165" w14:textId="77777777" w:rsidR="000978CB" w:rsidRPr="00DE12A3" w:rsidRDefault="000978CB" w:rsidP="00C917D6">
            <w:pPr>
              <w:spacing w:before="120" w:after="120"/>
              <w:rPr>
                <w:rFonts w:cs="Times New Roman"/>
                <w:color w:val="auto"/>
              </w:rPr>
            </w:pPr>
            <w:r w:rsidRPr="00DE12A3">
              <w:rPr>
                <w:rFonts w:cs="Times New Roman"/>
                <w:color w:val="auto"/>
              </w:rPr>
              <w:t>Alan</w:t>
            </w:r>
          </w:p>
        </w:tc>
      </w:tr>
      <w:tr w:rsidR="00DE12A3" w:rsidRPr="00DE12A3" w14:paraId="7901FAF2" w14:textId="77777777" w:rsidTr="002C23B9">
        <w:tc>
          <w:tcPr>
            <w:tcW w:w="1261" w:type="dxa"/>
            <w:tcBorders>
              <w:top w:val="single" w:sz="2" w:space="0" w:color="auto"/>
              <w:left w:val="single" w:sz="2" w:space="0" w:color="auto"/>
              <w:bottom w:val="single" w:sz="2" w:space="0" w:color="auto"/>
              <w:right w:val="single" w:sz="2" w:space="0" w:color="auto"/>
            </w:tcBorders>
          </w:tcPr>
          <w:p w14:paraId="4A74756C" w14:textId="77777777" w:rsidR="000978CB" w:rsidRPr="00DE12A3" w:rsidRDefault="000978CB" w:rsidP="00C917D6">
            <w:pPr>
              <w:adjustRightInd w:val="0"/>
              <w:spacing w:before="120" w:after="120"/>
              <w:rPr>
                <w:rFonts w:cs="Times New Roman"/>
                <w:color w:val="auto"/>
              </w:rPr>
            </w:pPr>
          </w:p>
        </w:tc>
        <w:tc>
          <w:tcPr>
            <w:tcW w:w="1261" w:type="dxa"/>
            <w:tcBorders>
              <w:top w:val="single" w:sz="2" w:space="0" w:color="auto"/>
              <w:left w:val="single" w:sz="2" w:space="0" w:color="auto"/>
              <w:bottom w:val="single" w:sz="2" w:space="0" w:color="auto"/>
              <w:right w:val="single" w:sz="2" w:space="0" w:color="auto"/>
            </w:tcBorders>
          </w:tcPr>
          <w:p w14:paraId="70C9801B" w14:textId="77777777" w:rsidR="000978CB" w:rsidRPr="00DE12A3" w:rsidRDefault="000978CB" w:rsidP="00C917D6">
            <w:pPr>
              <w:pStyle w:val="NormalLeft"/>
            </w:pPr>
            <w:r w:rsidRPr="00DE12A3">
              <w:rPr>
                <w:i/>
                <w:iCs/>
              </w:rPr>
              <w:t>A</w:t>
            </w:r>
            <w:r w:rsidRPr="00DE12A3">
              <w:rPr>
                <w:i/>
                <w:iCs/>
                <w:vertAlign w:val="subscript"/>
              </w:rPr>
              <w:t>t</w:t>
            </w:r>
          </w:p>
        </w:tc>
        <w:tc>
          <w:tcPr>
            <w:tcW w:w="1441" w:type="dxa"/>
            <w:tcBorders>
              <w:top w:val="single" w:sz="2" w:space="0" w:color="auto"/>
              <w:left w:val="single" w:sz="2" w:space="0" w:color="auto"/>
              <w:bottom w:val="single" w:sz="2" w:space="0" w:color="auto"/>
              <w:right w:val="single" w:sz="2" w:space="0" w:color="auto"/>
            </w:tcBorders>
          </w:tcPr>
          <w:p w14:paraId="7D447DC5" w14:textId="77777777" w:rsidR="000978CB" w:rsidRPr="00DE12A3" w:rsidRDefault="000978CB" w:rsidP="00C917D6">
            <w:pPr>
              <w:pStyle w:val="NormalLeft"/>
            </w:pPr>
            <w:r w:rsidRPr="00DE12A3">
              <w:t>m</w:t>
            </w:r>
            <w:r w:rsidRPr="00DE12A3">
              <w:rPr>
                <w:vertAlign w:val="superscript"/>
              </w:rPr>
              <w:t>2</w:t>
            </w:r>
          </w:p>
        </w:tc>
        <w:tc>
          <w:tcPr>
            <w:tcW w:w="5044" w:type="dxa"/>
            <w:tcBorders>
              <w:top w:val="single" w:sz="2" w:space="0" w:color="auto"/>
              <w:left w:val="single" w:sz="2" w:space="0" w:color="auto"/>
              <w:bottom w:val="single" w:sz="2" w:space="0" w:color="auto"/>
              <w:right w:val="single" w:sz="2" w:space="0" w:color="auto"/>
            </w:tcBorders>
          </w:tcPr>
          <w:p w14:paraId="4799F969" w14:textId="77777777" w:rsidR="000978CB" w:rsidRPr="00DE12A3" w:rsidRDefault="000978CB" w:rsidP="00C917D6">
            <w:pPr>
              <w:spacing w:before="120" w:after="120"/>
              <w:rPr>
                <w:rFonts w:cs="Times New Roman"/>
                <w:color w:val="auto"/>
              </w:rPr>
            </w:pPr>
            <w:r w:rsidRPr="00DE12A3">
              <w:rPr>
                <w:rFonts w:cs="Times New Roman"/>
                <w:color w:val="auto"/>
              </w:rPr>
              <w:t>Venturi boğazı kesit alanı</w:t>
            </w:r>
          </w:p>
        </w:tc>
      </w:tr>
      <w:tr w:rsidR="00DE12A3" w:rsidRPr="00DE12A3" w14:paraId="521D4253" w14:textId="77777777" w:rsidTr="002C23B9">
        <w:tc>
          <w:tcPr>
            <w:tcW w:w="1261" w:type="dxa"/>
            <w:tcBorders>
              <w:top w:val="single" w:sz="2" w:space="0" w:color="auto"/>
              <w:left w:val="single" w:sz="2" w:space="0" w:color="auto"/>
              <w:bottom w:val="single" w:sz="2" w:space="0" w:color="auto"/>
              <w:right w:val="single" w:sz="2" w:space="0" w:color="auto"/>
            </w:tcBorders>
          </w:tcPr>
          <w:p w14:paraId="5C0512E5" w14:textId="77777777" w:rsidR="000978CB" w:rsidRPr="00DE12A3" w:rsidRDefault="000978CB" w:rsidP="00C917D6">
            <w:pPr>
              <w:pStyle w:val="NormalLeft"/>
            </w:pPr>
            <w:r w:rsidRPr="00DE12A3">
              <w:rPr>
                <w:i/>
                <w:iCs/>
              </w:rPr>
              <w:t>b</w:t>
            </w:r>
            <w:r w:rsidRPr="00DE12A3">
              <w:t xml:space="preserve">, </w:t>
            </w:r>
            <w:r w:rsidRPr="00DE12A3">
              <w:rPr>
                <w:i/>
                <w:iCs/>
              </w:rPr>
              <w:t>D</w:t>
            </w:r>
            <w:r w:rsidRPr="00DE12A3">
              <w:rPr>
                <w:vertAlign w:val="subscript"/>
              </w:rPr>
              <w:t>0</w:t>
            </w:r>
          </w:p>
        </w:tc>
        <w:tc>
          <w:tcPr>
            <w:tcW w:w="1261" w:type="dxa"/>
            <w:tcBorders>
              <w:top w:val="single" w:sz="2" w:space="0" w:color="auto"/>
              <w:left w:val="single" w:sz="2" w:space="0" w:color="auto"/>
              <w:bottom w:val="single" w:sz="2" w:space="0" w:color="auto"/>
              <w:right w:val="single" w:sz="2" w:space="0" w:color="auto"/>
            </w:tcBorders>
          </w:tcPr>
          <w:p w14:paraId="49B2B422" w14:textId="77777777" w:rsidR="000978CB" w:rsidRPr="00DE12A3" w:rsidRDefault="000978CB" w:rsidP="00C917D6">
            <w:pPr>
              <w:pStyle w:val="NormalLeft"/>
            </w:pPr>
            <w:r w:rsidRPr="00DE12A3">
              <w:rPr>
                <w:i/>
                <w:iCs/>
              </w:rPr>
              <w:t>a</w:t>
            </w:r>
            <w:r w:rsidRPr="00DE12A3">
              <w:rPr>
                <w:vertAlign w:val="subscript"/>
              </w:rPr>
              <w:t>0</w:t>
            </w:r>
          </w:p>
        </w:tc>
        <w:tc>
          <w:tcPr>
            <w:tcW w:w="1441" w:type="dxa"/>
            <w:tcBorders>
              <w:top w:val="single" w:sz="2" w:space="0" w:color="auto"/>
              <w:left w:val="single" w:sz="2" w:space="0" w:color="auto"/>
              <w:bottom w:val="single" w:sz="2" w:space="0" w:color="auto"/>
              <w:right w:val="single" w:sz="2" w:space="0" w:color="auto"/>
            </w:tcBorders>
          </w:tcPr>
          <w:p w14:paraId="67B54721" w14:textId="3203E0C1" w:rsidR="000978CB" w:rsidRPr="00DE12A3" w:rsidRDefault="000978CB" w:rsidP="00C917D6">
            <w:pPr>
              <w:pStyle w:val="NormalLeft"/>
            </w:pPr>
            <w:r w:rsidRPr="00DE12A3">
              <w:t>t.b.d.</w:t>
            </w:r>
            <w:r w:rsidR="00E72A60" w:rsidRPr="00DE12A3">
              <w:rPr>
                <w:vertAlign w:val="superscript"/>
              </w:rPr>
              <w:t>(3)</w:t>
            </w:r>
          </w:p>
        </w:tc>
        <w:tc>
          <w:tcPr>
            <w:tcW w:w="5044" w:type="dxa"/>
            <w:tcBorders>
              <w:top w:val="single" w:sz="2" w:space="0" w:color="auto"/>
              <w:left w:val="single" w:sz="2" w:space="0" w:color="auto"/>
              <w:bottom w:val="single" w:sz="2" w:space="0" w:color="auto"/>
              <w:right w:val="single" w:sz="2" w:space="0" w:color="auto"/>
            </w:tcBorders>
          </w:tcPr>
          <w:p w14:paraId="3076A178" w14:textId="1FA6B2B0" w:rsidR="000978CB" w:rsidRPr="00DE12A3" w:rsidRDefault="00906219" w:rsidP="00C917D6">
            <w:pPr>
              <w:spacing w:before="120" w:after="120"/>
              <w:rPr>
                <w:rFonts w:cs="Times New Roman"/>
                <w:color w:val="auto"/>
              </w:rPr>
            </w:pPr>
            <w:r w:rsidRPr="00DE12A3">
              <w:rPr>
                <w:rFonts w:cs="Times New Roman"/>
                <w:color w:val="auto"/>
              </w:rPr>
              <w:t>Regresyon</w:t>
            </w:r>
            <w:r w:rsidR="000978CB" w:rsidRPr="00DE12A3">
              <w:rPr>
                <w:rFonts w:cs="Times New Roman"/>
                <w:color w:val="auto"/>
              </w:rPr>
              <w:t xml:space="preserve"> doğrusunun y kesişimi</w:t>
            </w:r>
          </w:p>
        </w:tc>
      </w:tr>
      <w:tr w:rsidR="00DE12A3" w:rsidRPr="00DE12A3" w14:paraId="539A98E1" w14:textId="77777777" w:rsidTr="002C23B9">
        <w:tc>
          <w:tcPr>
            <w:tcW w:w="1261" w:type="dxa"/>
            <w:tcBorders>
              <w:top w:val="single" w:sz="2" w:space="0" w:color="auto"/>
              <w:left w:val="single" w:sz="2" w:space="0" w:color="auto"/>
              <w:bottom w:val="single" w:sz="2" w:space="0" w:color="auto"/>
              <w:right w:val="single" w:sz="2" w:space="0" w:color="auto"/>
            </w:tcBorders>
          </w:tcPr>
          <w:p w14:paraId="478639CD" w14:textId="77777777" w:rsidR="000978CB" w:rsidRPr="00DE12A3" w:rsidRDefault="000978CB" w:rsidP="00C917D6">
            <w:pPr>
              <w:pStyle w:val="NormalLeft"/>
            </w:pPr>
            <w:r w:rsidRPr="00DE12A3">
              <w:rPr>
                <w:i/>
                <w:iCs/>
              </w:rPr>
              <w:t>A/F</w:t>
            </w:r>
            <w:r w:rsidRPr="00DE12A3">
              <w:rPr>
                <w:vertAlign w:val="subscript"/>
              </w:rPr>
              <w:t>st</w:t>
            </w:r>
          </w:p>
        </w:tc>
        <w:tc>
          <w:tcPr>
            <w:tcW w:w="1261" w:type="dxa"/>
            <w:tcBorders>
              <w:top w:val="single" w:sz="2" w:space="0" w:color="auto"/>
              <w:left w:val="single" w:sz="2" w:space="0" w:color="auto"/>
              <w:bottom w:val="single" w:sz="2" w:space="0" w:color="auto"/>
              <w:right w:val="single" w:sz="2" w:space="0" w:color="auto"/>
            </w:tcBorders>
          </w:tcPr>
          <w:p w14:paraId="03644A8A" w14:textId="77777777" w:rsidR="000978CB" w:rsidRPr="00DE12A3" w:rsidRDefault="000978CB" w:rsidP="00C917D6">
            <w:pPr>
              <w:pStyle w:val="NormalLeft"/>
            </w:pPr>
          </w:p>
        </w:tc>
        <w:tc>
          <w:tcPr>
            <w:tcW w:w="1441" w:type="dxa"/>
            <w:tcBorders>
              <w:top w:val="single" w:sz="2" w:space="0" w:color="auto"/>
              <w:left w:val="single" w:sz="2" w:space="0" w:color="auto"/>
              <w:bottom w:val="single" w:sz="2" w:space="0" w:color="auto"/>
              <w:right w:val="single" w:sz="2" w:space="0" w:color="auto"/>
            </w:tcBorders>
          </w:tcPr>
          <w:p w14:paraId="398C342D" w14:textId="77777777" w:rsidR="000978CB" w:rsidRPr="00DE12A3" w:rsidRDefault="000978CB" w:rsidP="00C917D6">
            <w:pPr>
              <w:pStyle w:val="NormalLeft"/>
            </w:pPr>
            <w:r w:rsidRPr="00DE12A3">
              <w:t>—</w:t>
            </w:r>
          </w:p>
        </w:tc>
        <w:tc>
          <w:tcPr>
            <w:tcW w:w="5044" w:type="dxa"/>
            <w:tcBorders>
              <w:top w:val="single" w:sz="2" w:space="0" w:color="auto"/>
              <w:left w:val="single" w:sz="2" w:space="0" w:color="auto"/>
              <w:bottom w:val="single" w:sz="2" w:space="0" w:color="auto"/>
              <w:right w:val="single" w:sz="2" w:space="0" w:color="auto"/>
            </w:tcBorders>
          </w:tcPr>
          <w:p w14:paraId="52BA63FC" w14:textId="77777777" w:rsidR="000978CB" w:rsidRPr="00DE12A3" w:rsidRDefault="000978CB" w:rsidP="00C917D6">
            <w:pPr>
              <w:spacing w:before="120" w:after="120"/>
              <w:rPr>
                <w:rFonts w:cs="Times New Roman"/>
                <w:color w:val="auto"/>
              </w:rPr>
            </w:pPr>
            <w:r w:rsidRPr="00DE12A3">
              <w:rPr>
                <w:rFonts w:cs="Times New Roman"/>
                <w:color w:val="auto"/>
              </w:rPr>
              <w:t>Stokiyometrik hava/yakıt oranı</w:t>
            </w:r>
          </w:p>
        </w:tc>
      </w:tr>
      <w:tr w:rsidR="00DE12A3" w:rsidRPr="00DE12A3" w14:paraId="2CF820F0" w14:textId="77777777" w:rsidTr="002C23B9">
        <w:tc>
          <w:tcPr>
            <w:tcW w:w="1261" w:type="dxa"/>
            <w:tcBorders>
              <w:top w:val="single" w:sz="2" w:space="0" w:color="auto"/>
              <w:left w:val="single" w:sz="2" w:space="0" w:color="auto"/>
              <w:bottom w:val="single" w:sz="2" w:space="0" w:color="auto"/>
              <w:right w:val="single" w:sz="2" w:space="0" w:color="auto"/>
            </w:tcBorders>
          </w:tcPr>
          <w:p w14:paraId="6CE7E3E0" w14:textId="77777777" w:rsidR="000978CB" w:rsidRPr="00DE12A3" w:rsidRDefault="000978CB" w:rsidP="00C917D6">
            <w:pPr>
              <w:adjustRightInd w:val="0"/>
              <w:spacing w:before="120" w:after="120"/>
              <w:rPr>
                <w:rFonts w:cs="Times New Roman"/>
                <w:color w:val="auto"/>
              </w:rPr>
            </w:pPr>
          </w:p>
        </w:tc>
        <w:tc>
          <w:tcPr>
            <w:tcW w:w="1261" w:type="dxa"/>
            <w:tcBorders>
              <w:top w:val="single" w:sz="2" w:space="0" w:color="auto"/>
              <w:left w:val="single" w:sz="2" w:space="0" w:color="auto"/>
              <w:bottom w:val="single" w:sz="2" w:space="0" w:color="auto"/>
              <w:right w:val="single" w:sz="2" w:space="0" w:color="auto"/>
            </w:tcBorders>
          </w:tcPr>
          <w:p w14:paraId="171DF70C" w14:textId="77777777" w:rsidR="000978CB" w:rsidRPr="00DE12A3" w:rsidRDefault="000978CB" w:rsidP="00C917D6">
            <w:pPr>
              <w:pStyle w:val="NormalLeft"/>
            </w:pPr>
            <w:r w:rsidRPr="00DE12A3">
              <w:rPr>
                <w:i/>
                <w:iCs/>
              </w:rPr>
              <w:t>C</w:t>
            </w:r>
          </w:p>
        </w:tc>
        <w:tc>
          <w:tcPr>
            <w:tcW w:w="1441" w:type="dxa"/>
            <w:tcBorders>
              <w:top w:val="single" w:sz="2" w:space="0" w:color="auto"/>
              <w:left w:val="single" w:sz="2" w:space="0" w:color="auto"/>
              <w:bottom w:val="single" w:sz="2" w:space="0" w:color="auto"/>
              <w:right w:val="single" w:sz="2" w:space="0" w:color="auto"/>
            </w:tcBorders>
          </w:tcPr>
          <w:p w14:paraId="739B45C6" w14:textId="77777777" w:rsidR="000978CB" w:rsidRPr="00DE12A3" w:rsidRDefault="000978CB" w:rsidP="00C917D6">
            <w:pPr>
              <w:pStyle w:val="NormalLeft"/>
            </w:pPr>
            <w:r w:rsidRPr="00DE12A3">
              <w:t>—</w:t>
            </w:r>
          </w:p>
        </w:tc>
        <w:tc>
          <w:tcPr>
            <w:tcW w:w="5044" w:type="dxa"/>
            <w:tcBorders>
              <w:top w:val="single" w:sz="2" w:space="0" w:color="auto"/>
              <w:left w:val="single" w:sz="2" w:space="0" w:color="auto"/>
              <w:bottom w:val="single" w:sz="2" w:space="0" w:color="auto"/>
              <w:right w:val="single" w:sz="2" w:space="0" w:color="auto"/>
            </w:tcBorders>
          </w:tcPr>
          <w:p w14:paraId="26D0A289" w14:textId="77777777" w:rsidR="000978CB" w:rsidRPr="00DE12A3" w:rsidRDefault="000978CB" w:rsidP="00C917D6">
            <w:pPr>
              <w:spacing w:before="120" w:after="120"/>
              <w:rPr>
                <w:rFonts w:cs="Times New Roman"/>
                <w:color w:val="auto"/>
              </w:rPr>
            </w:pPr>
            <w:r w:rsidRPr="00DE12A3">
              <w:rPr>
                <w:rFonts w:cs="Times New Roman"/>
                <w:color w:val="auto"/>
              </w:rPr>
              <w:t>Katsayı</w:t>
            </w:r>
          </w:p>
        </w:tc>
      </w:tr>
      <w:tr w:rsidR="00DE12A3" w:rsidRPr="00DE12A3" w14:paraId="3CC4A9BC" w14:textId="77777777" w:rsidTr="002C23B9">
        <w:tc>
          <w:tcPr>
            <w:tcW w:w="1261" w:type="dxa"/>
            <w:tcBorders>
              <w:top w:val="single" w:sz="2" w:space="0" w:color="auto"/>
              <w:left w:val="single" w:sz="2" w:space="0" w:color="auto"/>
              <w:bottom w:val="single" w:sz="2" w:space="0" w:color="auto"/>
              <w:right w:val="single" w:sz="2" w:space="0" w:color="auto"/>
            </w:tcBorders>
          </w:tcPr>
          <w:p w14:paraId="46144F62" w14:textId="77777777" w:rsidR="000978CB" w:rsidRPr="00DE12A3" w:rsidRDefault="000978CB" w:rsidP="00C917D6">
            <w:pPr>
              <w:pStyle w:val="NormalLeft"/>
            </w:pPr>
            <w:r w:rsidRPr="00DE12A3">
              <w:rPr>
                <w:i/>
                <w:iCs/>
              </w:rPr>
              <w:t>C</w:t>
            </w:r>
            <w:r w:rsidRPr="00DE12A3">
              <w:rPr>
                <w:vertAlign w:val="subscript"/>
              </w:rPr>
              <w:t>d</w:t>
            </w:r>
          </w:p>
        </w:tc>
        <w:tc>
          <w:tcPr>
            <w:tcW w:w="1261" w:type="dxa"/>
            <w:tcBorders>
              <w:top w:val="single" w:sz="2" w:space="0" w:color="auto"/>
              <w:left w:val="single" w:sz="2" w:space="0" w:color="auto"/>
              <w:bottom w:val="single" w:sz="2" w:space="0" w:color="auto"/>
              <w:right w:val="single" w:sz="2" w:space="0" w:color="auto"/>
            </w:tcBorders>
          </w:tcPr>
          <w:p w14:paraId="14364549" w14:textId="77777777" w:rsidR="000978CB" w:rsidRPr="00DE12A3" w:rsidRDefault="000978CB" w:rsidP="00C917D6">
            <w:pPr>
              <w:pStyle w:val="NormalLeft"/>
            </w:pPr>
            <w:r w:rsidRPr="00DE12A3">
              <w:rPr>
                <w:i/>
                <w:iCs/>
              </w:rPr>
              <w:t>C</w:t>
            </w:r>
            <w:r w:rsidRPr="00DE12A3">
              <w:rPr>
                <w:vertAlign w:val="subscript"/>
              </w:rPr>
              <w:t>d</w:t>
            </w:r>
          </w:p>
        </w:tc>
        <w:tc>
          <w:tcPr>
            <w:tcW w:w="1441" w:type="dxa"/>
            <w:tcBorders>
              <w:top w:val="single" w:sz="2" w:space="0" w:color="auto"/>
              <w:left w:val="single" w:sz="2" w:space="0" w:color="auto"/>
              <w:bottom w:val="single" w:sz="2" w:space="0" w:color="auto"/>
              <w:right w:val="single" w:sz="2" w:space="0" w:color="auto"/>
            </w:tcBorders>
          </w:tcPr>
          <w:p w14:paraId="010CBD77" w14:textId="77777777" w:rsidR="000978CB" w:rsidRPr="00DE12A3" w:rsidRDefault="000978CB" w:rsidP="00C917D6">
            <w:pPr>
              <w:pStyle w:val="NormalLeft"/>
            </w:pPr>
            <w:r w:rsidRPr="00DE12A3">
              <w:t>—</w:t>
            </w:r>
          </w:p>
        </w:tc>
        <w:tc>
          <w:tcPr>
            <w:tcW w:w="5044" w:type="dxa"/>
            <w:tcBorders>
              <w:top w:val="single" w:sz="2" w:space="0" w:color="auto"/>
              <w:left w:val="single" w:sz="2" w:space="0" w:color="auto"/>
              <w:bottom w:val="single" w:sz="2" w:space="0" w:color="auto"/>
              <w:right w:val="single" w:sz="2" w:space="0" w:color="auto"/>
            </w:tcBorders>
          </w:tcPr>
          <w:p w14:paraId="60CD3DB1" w14:textId="77777777" w:rsidR="000978CB" w:rsidRPr="00DE12A3" w:rsidRDefault="000978CB" w:rsidP="00C917D6">
            <w:pPr>
              <w:spacing w:before="120" w:after="120"/>
              <w:rPr>
                <w:rFonts w:cs="Times New Roman"/>
                <w:color w:val="auto"/>
              </w:rPr>
            </w:pPr>
            <w:r w:rsidRPr="00DE12A3">
              <w:rPr>
                <w:rFonts w:cs="Times New Roman"/>
                <w:color w:val="auto"/>
              </w:rPr>
              <w:t>Boşaltma katsayısı</w:t>
            </w:r>
          </w:p>
        </w:tc>
      </w:tr>
      <w:tr w:rsidR="00DE12A3" w:rsidRPr="00DE12A3" w14:paraId="4A61C317" w14:textId="77777777" w:rsidTr="002C23B9">
        <w:tc>
          <w:tcPr>
            <w:tcW w:w="1261" w:type="dxa"/>
            <w:tcBorders>
              <w:top w:val="single" w:sz="2" w:space="0" w:color="auto"/>
              <w:left w:val="single" w:sz="2" w:space="0" w:color="auto"/>
              <w:bottom w:val="single" w:sz="2" w:space="0" w:color="auto"/>
              <w:right w:val="single" w:sz="2" w:space="0" w:color="auto"/>
            </w:tcBorders>
          </w:tcPr>
          <w:p w14:paraId="5FB06EF5" w14:textId="77777777" w:rsidR="000978CB" w:rsidRPr="00DE12A3" w:rsidRDefault="000978CB" w:rsidP="00C917D6">
            <w:pPr>
              <w:adjustRightInd w:val="0"/>
              <w:spacing w:before="120" w:after="120"/>
              <w:rPr>
                <w:rFonts w:cs="Times New Roman"/>
                <w:color w:val="auto"/>
              </w:rPr>
            </w:pPr>
          </w:p>
        </w:tc>
        <w:tc>
          <w:tcPr>
            <w:tcW w:w="1261" w:type="dxa"/>
            <w:tcBorders>
              <w:top w:val="single" w:sz="2" w:space="0" w:color="auto"/>
              <w:left w:val="single" w:sz="2" w:space="0" w:color="auto"/>
              <w:bottom w:val="single" w:sz="2" w:space="0" w:color="auto"/>
              <w:right w:val="single" w:sz="2" w:space="0" w:color="auto"/>
            </w:tcBorders>
          </w:tcPr>
          <w:p w14:paraId="0E9D88CB" w14:textId="77777777" w:rsidR="000978CB" w:rsidRPr="00DE12A3" w:rsidRDefault="000978CB" w:rsidP="00C917D6">
            <w:pPr>
              <w:pStyle w:val="NormalLeft"/>
            </w:pPr>
            <w:r w:rsidRPr="00DE12A3">
              <w:rPr>
                <w:i/>
                <w:iCs/>
              </w:rPr>
              <w:t>C</w:t>
            </w:r>
            <w:r w:rsidRPr="00DE12A3">
              <w:rPr>
                <w:vertAlign w:val="subscript"/>
              </w:rPr>
              <w:t>f</w:t>
            </w:r>
          </w:p>
        </w:tc>
        <w:tc>
          <w:tcPr>
            <w:tcW w:w="1441" w:type="dxa"/>
            <w:tcBorders>
              <w:top w:val="single" w:sz="2" w:space="0" w:color="auto"/>
              <w:left w:val="single" w:sz="2" w:space="0" w:color="auto"/>
              <w:bottom w:val="single" w:sz="2" w:space="0" w:color="auto"/>
              <w:right w:val="single" w:sz="2" w:space="0" w:color="auto"/>
            </w:tcBorders>
          </w:tcPr>
          <w:p w14:paraId="4C959AC7" w14:textId="77777777" w:rsidR="000978CB" w:rsidRPr="00DE12A3" w:rsidRDefault="000978CB" w:rsidP="00C917D6">
            <w:pPr>
              <w:pStyle w:val="NormalLeft"/>
            </w:pPr>
            <w:r w:rsidRPr="00DE12A3">
              <w:t>—</w:t>
            </w:r>
          </w:p>
        </w:tc>
        <w:tc>
          <w:tcPr>
            <w:tcW w:w="5044" w:type="dxa"/>
            <w:tcBorders>
              <w:top w:val="single" w:sz="2" w:space="0" w:color="auto"/>
              <w:left w:val="single" w:sz="2" w:space="0" w:color="auto"/>
              <w:bottom w:val="single" w:sz="2" w:space="0" w:color="auto"/>
              <w:right w:val="single" w:sz="2" w:space="0" w:color="auto"/>
            </w:tcBorders>
          </w:tcPr>
          <w:p w14:paraId="225FA5A1" w14:textId="77777777" w:rsidR="000978CB" w:rsidRPr="00DE12A3" w:rsidRDefault="000978CB" w:rsidP="00C917D6">
            <w:pPr>
              <w:spacing w:before="120" w:after="120"/>
              <w:rPr>
                <w:rFonts w:cs="Times New Roman"/>
                <w:color w:val="auto"/>
              </w:rPr>
            </w:pPr>
            <w:r w:rsidRPr="00DE12A3">
              <w:rPr>
                <w:rFonts w:cs="Times New Roman"/>
                <w:color w:val="auto"/>
              </w:rPr>
              <w:t>Akış katsayısı</w:t>
            </w:r>
          </w:p>
        </w:tc>
      </w:tr>
      <w:tr w:rsidR="00DE12A3" w:rsidRPr="00DE12A3" w14:paraId="0B6D08E3" w14:textId="77777777" w:rsidTr="002C23B9">
        <w:tc>
          <w:tcPr>
            <w:tcW w:w="1261" w:type="dxa"/>
            <w:tcBorders>
              <w:top w:val="single" w:sz="2" w:space="0" w:color="auto"/>
              <w:left w:val="single" w:sz="2" w:space="0" w:color="auto"/>
              <w:bottom w:val="single" w:sz="2" w:space="0" w:color="auto"/>
              <w:right w:val="single" w:sz="2" w:space="0" w:color="auto"/>
            </w:tcBorders>
          </w:tcPr>
          <w:p w14:paraId="23862CA3" w14:textId="77777777" w:rsidR="000978CB" w:rsidRPr="00DE12A3" w:rsidRDefault="000978CB" w:rsidP="00C917D6">
            <w:pPr>
              <w:pStyle w:val="NormalLeft"/>
            </w:pPr>
            <w:r w:rsidRPr="00DE12A3">
              <w:rPr>
                <w:i/>
                <w:iCs/>
              </w:rPr>
              <w:t>c</w:t>
            </w:r>
          </w:p>
        </w:tc>
        <w:tc>
          <w:tcPr>
            <w:tcW w:w="1261" w:type="dxa"/>
            <w:tcBorders>
              <w:top w:val="single" w:sz="2" w:space="0" w:color="auto"/>
              <w:left w:val="single" w:sz="2" w:space="0" w:color="auto"/>
              <w:bottom w:val="single" w:sz="2" w:space="0" w:color="auto"/>
              <w:right w:val="single" w:sz="2" w:space="0" w:color="auto"/>
            </w:tcBorders>
          </w:tcPr>
          <w:p w14:paraId="6D6B368A" w14:textId="77777777" w:rsidR="000978CB" w:rsidRPr="00DE12A3" w:rsidRDefault="000978CB" w:rsidP="00C917D6">
            <w:pPr>
              <w:pStyle w:val="NormalLeft"/>
            </w:pPr>
            <w:r w:rsidRPr="00DE12A3">
              <w:rPr>
                <w:i/>
                <w:iCs/>
              </w:rPr>
              <w:t>x</w:t>
            </w:r>
          </w:p>
        </w:tc>
        <w:tc>
          <w:tcPr>
            <w:tcW w:w="1441" w:type="dxa"/>
            <w:tcBorders>
              <w:top w:val="single" w:sz="2" w:space="0" w:color="auto"/>
              <w:left w:val="single" w:sz="2" w:space="0" w:color="auto"/>
              <w:bottom w:val="single" w:sz="2" w:space="0" w:color="auto"/>
              <w:right w:val="single" w:sz="2" w:space="0" w:color="auto"/>
            </w:tcBorders>
          </w:tcPr>
          <w:p w14:paraId="4518375B" w14:textId="77777777" w:rsidR="000978CB" w:rsidRPr="00DE12A3" w:rsidRDefault="000978CB" w:rsidP="00C917D6">
            <w:pPr>
              <w:pStyle w:val="NormalLeft"/>
            </w:pPr>
            <w:r w:rsidRPr="00DE12A3">
              <w:t>ppm, % vol</w:t>
            </w:r>
          </w:p>
        </w:tc>
        <w:tc>
          <w:tcPr>
            <w:tcW w:w="5044" w:type="dxa"/>
            <w:tcBorders>
              <w:top w:val="single" w:sz="2" w:space="0" w:color="auto"/>
              <w:left w:val="single" w:sz="2" w:space="0" w:color="auto"/>
              <w:bottom w:val="single" w:sz="2" w:space="0" w:color="auto"/>
              <w:right w:val="single" w:sz="2" w:space="0" w:color="auto"/>
            </w:tcBorders>
          </w:tcPr>
          <w:p w14:paraId="4D107533" w14:textId="77777777" w:rsidR="000978CB" w:rsidRPr="00DE12A3" w:rsidRDefault="000978CB" w:rsidP="00C917D6">
            <w:pPr>
              <w:spacing w:before="120" w:after="120"/>
              <w:rPr>
                <w:rFonts w:cs="Times New Roman"/>
                <w:color w:val="auto"/>
              </w:rPr>
            </w:pPr>
            <w:r w:rsidRPr="00DE12A3">
              <w:rPr>
                <w:rFonts w:cs="Times New Roman"/>
                <w:color w:val="auto"/>
              </w:rPr>
              <w:t>Konsantrasyon/mol oranı (μmol/mol = ppm)</w:t>
            </w:r>
          </w:p>
        </w:tc>
      </w:tr>
      <w:tr w:rsidR="00DE12A3" w:rsidRPr="00DE12A3" w14:paraId="576C9825" w14:textId="77777777" w:rsidTr="002C23B9">
        <w:tc>
          <w:tcPr>
            <w:tcW w:w="1261" w:type="dxa"/>
            <w:tcBorders>
              <w:top w:val="single" w:sz="2" w:space="0" w:color="auto"/>
              <w:left w:val="single" w:sz="2" w:space="0" w:color="auto"/>
              <w:bottom w:val="single" w:sz="2" w:space="0" w:color="auto"/>
              <w:right w:val="single" w:sz="2" w:space="0" w:color="auto"/>
            </w:tcBorders>
          </w:tcPr>
          <w:p w14:paraId="70FA9A65" w14:textId="77777777" w:rsidR="000978CB" w:rsidRPr="00DE12A3" w:rsidRDefault="000978CB" w:rsidP="00C917D6">
            <w:pPr>
              <w:pStyle w:val="NormalLeft"/>
            </w:pPr>
            <w:r w:rsidRPr="00DE12A3">
              <w:rPr>
                <w:i/>
                <w:iCs/>
              </w:rPr>
              <w:t>c</w:t>
            </w:r>
            <w:r w:rsidRPr="00DE12A3">
              <w:rPr>
                <w:vertAlign w:val="subscript"/>
              </w:rPr>
              <w:t>d</w:t>
            </w:r>
          </w:p>
        </w:tc>
        <w:tc>
          <w:tcPr>
            <w:tcW w:w="1261" w:type="dxa"/>
            <w:tcBorders>
              <w:top w:val="single" w:sz="2" w:space="0" w:color="auto"/>
              <w:left w:val="single" w:sz="2" w:space="0" w:color="auto"/>
              <w:bottom w:val="single" w:sz="2" w:space="0" w:color="auto"/>
              <w:right w:val="single" w:sz="2" w:space="0" w:color="auto"/>
            </w:tcBorders>
          </w:tcPr>
          <w:p w14:paraId="5901FBCB" w14:textId="77777777" w:rsidR="000978CB" w:rsidRPr="00DE12A3" w:rsidRDefault="003641E5" w:rsidP="00C917D6">
            <w:pPr>
              <w:pStyle w:val="NormalLeft"/>
              <w:rPr>
                <w:vertAlign w:val="superscript"/>
              </w:rPr>
            </w:pPr>
            <w:r w:rsidRPr="00DE12A3">
              <w:rPr>
                <w:vertAlign w:val="superscript"/>
              </w:rPr>
              <w:t>(</w:t>
            </w:r>
            <w:r w:rsidRPr="00DE12A3">
              <w:rPr>
                <w:rStyle w:val="DipnotBavurusu"/>
              </w:rPr>
              <w:t>1</w:t>
            </w:r>
            <w:r w:rsidRPr="00DE12A3">
              <w:rPr>
                <w:vertAlign w:val="superscript"/>
              </w:rPr>
              <w:t>)</w:t>
            </w:r>
          </w:p>
        </w:tc>
        <w:tc>
          <w:tcPr>
            <w:tcW w:w="1441" w:type="dxa"/>
            <w:tcBorders>
              <w:top w:val="single" w:sz="2" w:space="0" w:color="auto"/>
              <w:left w:val="single" w:sz="2" w:space="0" w:color="auto"/>
              <w:bottom w:val="single" w:sz="2" w:space="0" w:color="auto"/>
              <w:right w:val="single" w:sz="2" w:space="0" w:color="auto"/>
            </w:tcBorders>
          </w:tcPr>
          <w:p w14:paraId="3C257230" w14:textId="77777777" w:rsidR="000978CB" w:rsidRPr="00DE12A3" w:rsidRDefault="000978CB" w:rsidP="00C917D6">
            <w:pPr>
              <w:pStyle w:val="NormalLeft"/>
            </w:pPr>
            <w:r w:rsidRPr="00DE12A3">
              <w:t>ppm, % vol</w:t>
            </w:r>
          </w:p>
        </w:tc>
        <w:tc>
          <w:tcPr>
            <w:tcW w:w="5044" w:type="dxa"/>
            <w:tcBorders>
              <w:top w:val="single" w:sz="2" w:space="0" w:color="auto"/>
              <w:left w:val="single" w:sz="2" w:space="0" w:color="auto"/>
              <w:bottom w:val="single" w:sz="2" w:space="0" w:color="auto"/>
              <w:right w:val="single" w:sz="2" w:space="0" w:color="auto"/>
            </w:tcBorders>
          </w:tcPr>
          <w:p w14:paraId="039A744E" w14:textId="77777777" w:rsidR="000978CB" w:rsidRPr="00DE12A3" w:rsidRDefault="000978CB" w:rsidP="00C917D6">
            <w:pPr>
              <w:spacing w:before="120" w:after="120"/>
              <w:rPr>
                <w:rFonts w:cs="Times New Roman"/>
                <w:color w:val="auto"/>
              </w:rPr>
            </w:pPr>
            <w:r w:rsidRPr="00DE12A3">
              <w:rPr>
                <w:rFonts w:cs="Times New Roman"/>
                <w:color w:val="auto"/>
              </w:rPr>
              <w:t>Kuru bazda konsantrasyon</w:t>
            </w:r>
          </w:p>
        </w:tc>
      </w:tr>
      <w:tr w:rsidR="00DE12A3" w:rsidRPr="00DE12A3" w14:paraId="354DD410" w14:textId="77777777" w:rsidTr="002C23B9">
        <w:tc>
          <w:tcPr>
            <w:tcW w:w="1261" w:type="dxa"/>
            <w:tcBorders>
              <w:top w:val="single" w:sz="2" w:space="0" w:color="auto"/>
              <w:left w:val="single" w:sz="2" w:space="0" w:color="auto"/>
              <w:bottom w:val="single" w:sz="2" w:space="0" w:color="auto"/>
              <w:right w:val="single" w:sz="2" w:space="0" w:color="auto"/>
            </w:tcBorders>
          </w:tcPr>
          <w:p w14:paraId="7C15AC0A" w14:textId="77777777" w:rsidR="003641E5" w:rsidRPr="00DE12A3" w:rsidRDefault="003641E5" w:rsidP="00C917D6">
            <w:pPr>
              <w:pStyle w:val="NormalLeft"/>
            </w:pPr>
            <w:r w:rsidRPr="00DE12A3">
              <w:rPr>
                <w:i/>
                <w:iCs/>
              </w:rPr>
              <w:t>c</w:t>
            </w:r>
            <w:r w:rsidRPr="00DE12A3">
              <w:rPr>
                <w:vertAlign w:val="subscript"/>
              </w:rPr>
              <w:t>w</w:t>
            </w:r>
          </w:p>
        </w:tc>
        <w:tc>
          <w:tcPr>
            <w:tcW w:w="1261" w:type="dxa"/>
            <w:tcBorders>
              <w:top w:val="single" w:sz="2" w:space="0" w:color="auto"/>
              <w:left w:val="single" w:sz="2" w:space="0" w:color="auto"/>
              <w:bottom w:val="single" w:sz="2" w:space="0" w:color="auto"/>
              <w:right w:val="single" w:sz="2" w:space="0" w:color="auto"/>
            </w:tcBorders>
          </w:tcPr>
          <w:p w14:paraId="6675EB59" w14:textId="77777777" w:rsidR="003641E5" w:rsidRPr="00DE12A3" w:rsidRDefault="003641E5" w:rsidP="00C917D6">
            <w:pPr>
              <w:spacing w:before="120" w:after="120"/>
              <w:rPr>
                <w:rFonts w:cs="Times New Roman"/>
                <w:color w:val="auto"/>
              </w:rPr>
            </w:pPr>
            <w:r w:rsidRPr="00DE12A3">
              <w:rPr>
                <w:rFonts w:cs="Times New Roman"/>
                <w:color w:val="auto"/>
                <w:vertAlign w:val="superscript"/>
              </w:rPr>
              <w:t>(</w:t>
            </w:r>
            <w:r w:rsidRPr="00DE12A3">
              <w:rPr>
                <w:rStyle w:val="DipnotBavurusu"/>
                <w:rFonts w:cs="Times New Roman"/>
                <w:color w:val="auto"/>
              </w:rPr>
              <w:t>1</w:t>
            </w:r>
            <w:r w:rsidRPr="00DE12A3">
              <w:rPr>
                <w:rFonts w:cs="Times New Roman"/>
                <w:color w:val="auto"/>
                <w:vertAlign w:val="superscript"/>
              </w:rPr>
              <w:t>)</w:t>
            </w:r>
          </w:p>
        </w:tc>
        <w:tc>
          <w:tcPr>
            <w:tcW w:w="1441" w:type="dxa"/>
            <w:tcBorders>
              <w:top w:val="single" w:sz="2" w:space="0" w:color="auto"/>
              <w:left w:val="single" w:sz="2" w:space="0" w:color="auto"/>
              <w:bottom w:val="single" w:sz="2" w:space="0" w:color="auto"/>
              <w:right w:val="single" w:sz="2" w:space="0" w:color="auto"/>
            </w:tcBorders>
          </w:tcPr>
          <w:p w14:paraId="54D2AEF1" w14:textId="77777777" w:rsidR="003641E5" w:rsidRPr="00DE12A3" w:rsidRDefault="003641E5" w:rsidP="00C917D6">
            <w:pPr>
              <w:pStyle w:val="NormalLeft"/>
            </w:pPr>
            <w:r w:rsidRPr="00DE12A3">
              <w:t>ppm, % vol</w:t>
            </w:r>
          </w:p>
        </w:tc>
        <w:tc>
          <w:tcPr>
            <w:tcW w:w="5044" w:type="dxa"/>
            <w:tcBorders>
              <w:top w:val="single" w:sz="2" w:space="0" w:color="auto"/>
              <w:left w:val="single" w:sz="2" w:space="0" w:color="auto"/>
              <w:bottom w:val="single" w:sz="2" w:space="0" w:color="auto"/>
              <w:right w:val="single" w:sz="2" w:space="0" w:color="auto"/>
            </w:tcBorders>
          </w:tcPr>
          <w:p w14:paraId="318E25D3" w14:textId="77777777" w:rsidR="003641E5" w:rsidRPr="00DE12A3" w:rsidRDefault="003641E5" w:rsidP="00C917D6">
            <w:pPr>
              <w:spacing w:before="120" w:after="120"/>
              <w:rPr>
                <w:rFonts w:cs="Times New Roman"/>
                <w:color w:val="auto"/>
              </w:rPr>
            </w:pPr>
            <w:r w:rsidRPr="00DE12A3">
              <w:rPr>
                <w:rFonts w:cs="Times New Roman"/>
                <w:color w:val="auto"/>
              </w:rPr>
              <w:t>Yaş bazda konsantrasyon</w:t>
            </w:r>
          </w:p>
        </w:tc>
      </w:tr>
      <w:tr w:rsidR="00DE12A3" w:rsidRPr="00DE12A3" w14:paraId="3D5AE769" w14:textId="77777777" w:rsidTr="002C23B9">
        <w:tc>
          <w:tcPr>
            <w:tcW w:w="1261" w:type="dxa"/>
            <w:tcBorders>
              <w:top w:val="single" w:sz="2" w:space="0" w:color="auto"/>
              <w:left w:val="single" w:sz="2" w:space="0" w:color="auto"/>
              <w:bottom w:val="single" w:sz="2" w:space="0" w:color="auto"/>
              <w:right w:val="single" w:sz="2" w:space="0" w:color="auto"/>
            </w:tcBorders>
          </w:tcPr>
          <w:p w14:paraId="05CD3D70" w14:textId="77777777" w:rsidR="003641E5" w:rsidRPr="00DE12A3" w:rsidRDefault="003641E5" w:rsidP="00C917D6">
            <w:pPr>
              <w:pStyle w:val="NormalLeft"/>
            </w:pPr>
            <w:r w:rsidRPr="00DE12A3">
              <w:rPr>
                <w:i/>
                <w:iCs/>
              </w:rPr>
              <w:t>c</w:t>
            </w:r>
            <w:r w:rsidRPr="00DE12A3">
              <w:rPr>
                <w:i/>
                <w:iCs/>
                <w:vertAlign w:val="subscript"/>
              </w:rPr>
              <w:t>b</w:t>
            </w:r>
          </w:p>
        </w:tc>
        <w:tc>
          <w:tcPr>
            <w:tcW w:w="1261" w:type="dxa"/>
            <w:tcBorders>
              <w:top w:val="single" w:sz="2" w:space="0" w:color="auto"/>
              <w:left w:val="single" w:sz="2" w:space="0" w:color="auto"/>
              <w:bottom w:val="single" w:sz="2" w:space="0" w:color="auto"/>
              <w:right w:val="single" w:sz="2" w:space="0" w:color="auto"/>
            </w:tcBorders>
          </w:tcPr>
          <w:p w14:paraId="2DBA9A13" w14:textId="77777777" w:rsidR="003641E5" w:rsidRPr="00DE12A3" w:rsidRDefault="003641E5" w:rsidP="00C917D6">
            <w:pPr>
              <w:spacing w:before="120" w:after="120"/>
              <w:rPr>
                <w:rFonts w:cs="Times New Roman"/>
                <w:color w:val="auto"/>
              </w:rPr>
            </w:pPr>
            <w:r w:rsidRPr="00DE12A3">
              <w:rPr>
                <w:rFonts w:cs="Times New Roman"/>
                <w:color w:val="auto"/>
                <w:vertAlign w:val="superscript"/>
              </w:rPr>
              <w:t>(</w:t>
            </w:r>
            <w:r w:rsidRPr="00DE12A3">
              <w:rPr>
                <w:rStyle w:val="DipnotBavurusu"/>
                <w:rFonts w:cs="Times New Roman"/>
                <w:color w:val="auto"/>
              </w:rPr>
              <w:t>1</w:t>
            </w:r>
            <w:r w:rsidRPr="00DE12A3">
              <w:rPr>
                <w:rFonts w:cs="Times New Roman"/>
                <w:color w:val="auto"/>
                <w:vertAlign w:val="superscript"/>
              </w:rPr>
              <w:t>)</w:t>
            </w:r>
          </w:p>
        </w:tc>
        <w:tc>
          <w:tcPr>
            <w:tcW w:w="1441" w:type="dxa"/>
            <w:tcBorders>
              <w:top w:val="single" w:sz="2" w:space="0" w:color="auto"/>
              <w:left w:val="single" w:sz="2" w:space="0" w:color="auto"/>
              <w:bottom w:val="single" w:sz="2" w:space="0" w:color="auto"/>
              <w:right w:val="single" w:sz="2" w:space="0" w:color="auto"/>
            </w:tcBorders>
          </w:tcPr>
          <w:p w14:paraId="6AB5A111" w14:textId="77777777" w:rsidR="003641E5" w:rsidRPr="00DE12A3" w:rsidRDefault="003641E5" w:rsidP="00C917D6">
            <w:pPr>
              <w:pStyle w:val="NormalLeft"/>
            </w:pPr>
            <w:r w:rsidRPr="00DE12A3">
              <w:t>ppm, % vol</w:t>
            </w:r>
          </w:p>
        </w:tc>
        <w:tc>
          <w:tcPr>
            <w:tcW w:w="5044" w:type="dxa"/>
            <w:tcBorders>
              <w:top w:val="single" w:sz="2" w:space="0" w:color="auto"/>
              <w:left w:val="single" w:sz="2" w:space="0" w:color="auto"/>
              <w:bottom w:val="single" w:sz="2" w:space="0" w:color="auto"/>
              <w:right w:val="single" w:sz="2" w:space="0" w:color="auto"/>
            </w:tcBorders>
          </w:tcPr>
          <w:p w14:paraId="54F10508" w14:textId="77777777" w:rsidR="003641E5" w:rsidRPr="00DE12A3" w:rsidRDefault="003641E5" w:rsidP="00C917D6">
            <w:pPr>
              <w:spacing w:before="120" w:after="120"/>
              <w:rPr>
                <w:rFonts w:cs="Times New Roman"/>
                <w:color w:val="auto"/>
              </w:rPr>
            </w:pPr>
            <w:r w:rsidRPr="00DE12A3">
              <w:rPr>
                <w:rFonts w:cs="Times New Roman"/>
                <w:color w:val="auto"/>
              </w:rPr>
              <w:t>Arka plan konsantrasyonu</w:t>
            </w:r>
          </w:p>
        </w:tc>
      </w:tr>
      <w:tr w:rsidR="00DE12A3" w:rsidRPr="00DE12A3" w14:paraId="17AD39C3" w14:textId="77777777" w:rsidTr="002C23B9">
        <w:tc>
          <w:tcPr>
            <w:tcW w:w="1261" w:type="dxa"/>
            <w:tcBorders>
              <w:top w:val="single" w:sz="2" w:space="0" w:color="auto"/>
              <w:left w:val="single" w:sz="2" w:space="0" w:color="auto"/>
              <w:bottom w:val="single" w:sz="2" w:space="0" w:color="auto"/>
              <w:right w:val="single" w:sz="2" w:space="0" w:color="auto"/>
            </w:tcBorders>
          </w:tcPr>
          <w:p w14:paraId="636C8960" w14:textId="77777777" w:rsidR="000978CB" w:rsidRPr="00DE12A3" w:rsidRDefault="000978CB" w:rsidP="00C917D6">
            <w:pPr>
              <w:pStyle w:val="NormalLeft"/>
            </w:pPr>
            <w:r w:rsidRPr="00DE12A3">
              <w:rPr>
                <w:i/>
                <w:iCs/>
              </w:rPr>
              <w:t>D</w:t>
            </w:r>
          </w:p>
        </w:tc>
        <w:tc>
          <w:tcPr>
            <w:tcW w:w="1261" w:type="dxa"/>
            <w:tcBorders>
              <w:top w:val="single" w:sz="2" w:space="0" w:color="auto"/>
              <w:left w:val="single" w:sz="2" w:space="0" w:color="auto"/>
              <w:bottom w:val="single" w:sz="2" w:space="0" w:color="auto"/>
              <w:right w:val="single" w:sz="2" w:space="0" w:color="auto"/>
            </w:tcBorders>
          </w:tcPr>
          <w:p w14:paraId="55DF06BC" w14:textId="77777777" w:rsidR="000978CB" w:rsidRPr="00DE12A3" w:rsidRDefault="000978CB" w:rsidP="00C917D6">
            <w:pPr>
              <w:pStyle w:val="NormalLeft"/>
            </w:pPr>
            <w:r w:rsidRPr="00DE12A3">
              <w:rPr>
                <w:i/>
                <w:iCs/>
              </w:rPr>
              <w:t>x</w:t>
            </w:r>
            <w:r w:rsidRPr="00DE12A3">
              <w:rPr>
                <w:vertAlign w:val="subscript"/>
              </w:rPr>
              <w:t>dil</w:t>
            </w:r>
          </w:p>
        </w:tc>
        <w:tc>
          <w:tcPr>
            <w:tcW w:w="1441" w:type="dxa"/>
            <w:tcBorders>
              <w:top w:val="single" w:sz="2" w:space="0" w:color="auto"/>
              <w:left w:val="single" w:sz="2" w:space="0" w:color="auto"/>
              <w:bottom w:val="single" w:sz="2" w:space="0" w:color="auto"/>
              <w:right w:val="single" w:sz="2" w:space="0" w:color="auto"/>
            </w:tcBorders>
          </w:tcPr>
          <w:p w14:paraId="6812327C" w14:textId="77777777" w:rsidR="000978CB" w:rsidRPr="00DE12A3" w:rsidRDefault="000978CB" w:rsidP="00C917D6">
            <w:pPr>
              <w:pStyle w:val="NormalLeft"/>
            </w:pPr>
            <w:r w:rsidRPr="00DE12A3">
              <w:t>—</w:t>
            </w:r>
          </w:p>
        </w:tc>
        <w:tc>
          <w:tcPr>
            <w:tcW w:w="5044" w:type="dxa"/>
            <w:tcBorders>
              <w:top w:val="single" w:sz="2" w:space="0" w:color="auto"/>
              <w:left w:val="single" w:sz="2" w:space="0" w:color="auto"/>
              <w:bottom w:val="single" w:sz="2" w:space="0" w:color="auto"/>
              <w:right w:val="single" w:sz="2" w:space="0" w:color="auto"/>
            </w:tcBorders>
          </w:tcPr>
          <w:p w14:paraId="1D27B73C" w14:textId="77777777" w:rsidR="000978CB" w:rsidRPr="00DE12A3" w:rsidRDefault="000978CB" w:rsidP="00C917D6">
            <w:pPr>
              <w:spacing w:before="120" w:after="120"/>
              <w:rPr>
                <w:rFonts w:cs="Times New Roman"/>
                <w:color w:val="auto"/>
              </w:rPr>
            </w:pPr>
            <w:r w:rsidRPr="00DE12A3">
              <w:rPr>
                <w:rFonts w:cs="Times New Roman"/>
                <w:color w:val="auto"/>
              </w:rPr>
              <w:t xml:space="preserve">Seyreltme faktörü </w:t>
            </w:r>
            <w:r w:rsidRPr="00DE12A3">
              <w:rPr>
                <w:rFonts w:cs="Times New Roman"/>
                <w:color w:val="auto"/>
                <w:vertAlign w:val="superscript"/>
              </w:rPr>
              <w:t>(2)</w:t>
            </w:r>
          </w:p>
        </w:tc>
      </w:tr>
      <w:tr w:rsidR="00DE12A3" w:rsidRPr="00DE12A3" w14:paraId="28F2CEDC" w14:textId="77777777" w:rsidTr="002C23B9">
        <w:tc>
          <w:tcPr>
            <w:tcW w:w="1261" w:type="dxa"/>
            <w:tcBorders>
              <w:top w:val="single" w:sz="2" w:space="0" w:color="auto"/>
              <w:left w:val="single" w:sz="2" w:space="0" w:color="auto"/>
              <w:bottom w:val="single" w:sz="2" w:space="0" w:color="auto"/>
              <w:right w:val="single" w:sz="2" w:space="0" w:color="auto"/>
            </w:tcBorders>
          </w:tcPr>
          <w:p w14:paraId="6B8DB3D2" w14:textId="77777777" w:rsidR="000978CB" w:rsidRPr="00DE12A3" w:rsidRDefault="000978CB" w:rsidP="00C917D6">
            <w:pPr>
              <w:pStyle w:val="NormalLeft"/>
            </w:pPr>
            <w:r w:rsidRPr="00DE12A3">
              <w:rPr>
                <w:i/>
                <w:iCs/>
              </w:rPr>
              <w:t>D</w:t>
            </w:r>
            <w:r w:rsidRPr="00DE12A3">
              <w:rPr>
                <w:vertAlign w:val="subscript"/>
              </w:rPr>
              <w:t>0</w:t>
            </w:r>
          </w:p>
        </w:tc>
        <w:tc>
          <w:tcPr>
            <w:tcW w:w="1261" w:type="dxa"/>
            <w:tcBorders>
              <w:top w:val="single" w:sz="2" w:space="0" w:color="auto"/>
              <w:left w:val="single" w:sz="2" w:space="0" w:color="auto"/>
              <w:bottom w:val="single" w:sz="2" w:space="0" w:color="auto"/>
              <w:right w:val="single" w:sz="2" w:space="0" w:color="auto"/>
            </w:tcBorders>
          </w:tcPr>
          <w:p w14:paraId="36387228" w14:textId="77777777" w:rsidR="000978CB" w:rsidRPr="00DE12A3" w:rsidRDefault="000978CB" w:rsidP="00C917D6">
            <w:pPr>
              <w:pStyle w:val="NormalLeft"/>
            </w:pPr>
          </w:p>
        </w:tc>
        <w:tc>
          <w:tcPr>
            <w:tcW w:w="1441" w:type="dxa"/>
            <w:tcBorders>
              <w:top w:val="single" w:sz="2" w:space="0" w:color="auto"/>
              <w:left w:val="single" w:sz="2" w:space="0" w:color="auto"/>
              <w:bottom w:val="single" w:sz="2" w:space="0" w:color="auto"/>
              <w:right w:val="single" w:sz="2" w:space="0" w:color="auto"/>
            </w:tcBorders>
          </w:tcPr>
          <w:p w14:paraId="2E802D8B" w14:textId="77777777" w:rsidR="000978CB" w:rsidRPr="00DE12A3" w:rsidRDefault="000978CB" w:rsidP="00C917D6">
            <w:pPr>
              <w:pStyle w:val="NormalLeft"/>
            </w:pPr>
            <w:r w:rsidRPr="00DE12A3">
              <w:t>m</w:t>
            </w:r>
            <w:r w:rsidRPr="00DE12A3">
              <w:rPr>
                <w:vertAlign w:val="superscript"/>
              </w:rPr>
              <w:t>3</w:t>
            </w:r>
            <w:r w:rsidRPr="00DE12A3">
              <w:t>/rev</w:t>
            </w:r>
          </w:p>
        </w:tc>
        <w:tc>
          <w:tcPr>
            <w:tcW w:w="5044" w:type="dxa"/>
            <w:tcBorders>
              <w:top w:val="single" w:sz="2" w:space="0" w:color="auto"/>
              <w:left w:val="single" w:sz="2" w:space="0" w:color="auto"/>
              <w:bottom w:val="single" w:sz="2" w:space="0" w:color="auto"/>
              <w:right w:val="single" w:sz="2" w:space="0" w:color="auto"/>
            </w:tcBorders>
          </w:tcPr>
          <w:p w14:paraId="065FEC24" w14:textId="77777777" w:rsidR="000978CB" w:rsidRPr="00DE12A3" w:rsidRDefault="000978CB" w:rsidP="00C917D6">
            <w:pPr>
              <w:spacing w:before="120" w:after="120"/>
              <w:rPr>
                <w:rFonts w:cs="Times New Roman"/>
                <w:color w:val="auto"/>
              </w:rPr>
            </w:pPr>
            <w:r w:rsidRPr="00DE12A3">
              <w:rPr>
                <w:rFonts w:cs="Times New Roman"/>
                <w:color w:val="auto"/>
              </w:rPr>
              <w:t>PDP kalibrasyon kesişimi</w:t>
            </w:r>
          </w:p>
        </w:tc>
      </w:tr>
      <w:tr w:rsidR="00DE12A3" w:rsidRPr="00DE12A3" w14:paraId="226B2794" w14:textId="77777777" w:rsidTr="002C23B9">
        <w:tc>
          <w:tcPr>
            <w:tcW w:w="1261" w:type="dxa"/>
            <w:tcBorders>
              <w:top w:val="single" w:sz="2" w:space="0" w:color="auto"/>
              <w:left w:val="single" w:sz="2" w:space="0" w:color="auto"/>
              <w:bottom w:val="single" w:sz="2" w:space="0" w:color="auto"/>
              <w:right w:val="single" w:sz="2" w:space="0" w:color="auto"/>
            </w:tcBorders>
          </w:tcPr>
          <w:p w14:paraId="05F6A717" w14:textId="77777777" w:rsidR="000978CB" w:rsidRPr="00DE12A3" w:rsidRDefault="000978CB" w:rsidP="00C917D6">
            <w:pPr>
              <w:pStyle w:val="NormalLeft"/>
            </w:pPr>
            <w:r w:rsidRPr="00DE12A3">
              <w:rPr>
                <w:i/>
                <w:iCs/>
              </w:rPr>
              <w:t>d</w:t>
            </w:r>
          </w:p>
        </w:tc>
        <w:tc>
          <w:tcPr>
            <w:tcW w:w="1261" w:type="dxa"/>
            <w:tcBorders>
              <w:top w:val="single" w:sz="2" w:space="0" w:color="auto"/>
              <w:left w:val="single" w:sz="2" w:space="0" w:color="auto"/>
              <w:bottom w:val="single" w:sz="2" w:space="0" w:color="auto"/>
              <w:right w:val="single" w:sz="2" w:space="0" w:color="auto"/>
            </w:tcBorders>
          </w:tcPr>
          <w:p w14:paraId="6274D6AD" w14:textId="77777777" w:rsidR="000978CB" w:rsidRPr="00DE12A3" w:rsidRDefault="000978CB" w:rsidP="00C917D6">
            <w:pPr>
              <w:pStyle w:val="NormalLeft"/>
            </w:pPr>
            <w:r w:rsidRPr="00DE12A3">
              <w:rPr>
                <w:i/>
                <w:iCs/>
              </w:rPr>
              <w:t>d</w:t>
            </w:r>
          </w:p>
        </w:tc>
        <w:tc>
          <w:tcPr>
            <w:tcW w:w="1441" w:type="dxa"/>
            <w:tcBorders>
              <w:top w:val="single" w:sz="2" w:space="0" w:color="auto"/>
              <w:left w:val="single" w:sz="2" w:space="0" w:color="auto"/>
              <w:bottom w:val="single" w:sz="2" w:space="0" w:color="auto"/>
              <w:right w:val="single" w:sz="2" w:space="0" w:color="auto"/>
            </w:tcBorders>
          </w:tcPr>
          <w:p w14:paraId="375C82F7" w14:textId="77777777" w:rsidR="000978CB" w:rsidRPr="00DE12A3" w:rsidRDefault="000978CB" w:rsidP="00C917D6">
            <w:pPr>
              <w:pStyle w:val="NormalLeft"/>
            </w:pPr>
            <w:r w:rsidRPr="00DE12A3">
              <w:t>m</w:t>
            </w:r>
          </w:p>
        </w:tc>
        <w:tc>
          <w:tcPr>
            <w:tcW w:w="5044" w:type="dxa"/>
            <w:tcBorders>
              <w:top w:val="single" w:sz="2" w:space="0" w:color="auto"/>
              <w:left w:val="single" w:sz="2" w:space="0" w:color="auto"/>
              <w:bottom w:val="single" w:sz="2" w:space="0" w:color="auto"/>
              <w:right w:val="single" w:sz="2" w:space="0" w:color="auto"/>
            </w:tcBorders>
          </w:tcPr>
          <w:p w14:paraId="73190895" w14:textId="77777777" w:rsidR="000978CB" w:rsidRPr="00DE12A3" w:rsidRDefault="000978CB" w:rsidP="00C917D6">
            <w:pPr>
              <w:spacing w:before="120" w:after="120"/>
              <w:rPr>
                <w:rFonts w:cs="Times New Roman"/>
                <w:color w:val="auto"/>
              </w:rPr>
            </w:pPr>
            <w:r w:rsidRPr="00DE12A3">
              <w:rPr>
                <w:rFonts w:cs="Times New Roman"/>
                <w:color w:val="auto"/>
              </w:rPr>
              <w:t>Çap</w:t>
            </w:r>
          </w:p>
        </w:tc>
      </w:tr>
      <w:tr w:rsidR="00DE12A3" w:rsidRPr="00DE12A3" w14:paraId="4852855A" w14:textId="77777777" w:rsidTr="002C23B9">
        <w:tc>
          <w:tcPr>
            <w:tcW w:w="1261" w:type="dxa"/>
            <w:tcBorders>
              <w:top w:val="single" w:sz="2" w:space="0" w:color="auto"/>
              <w:left w:val="single" w:sz="2" w:space="0" w:color="auto"/>
              <w:bottom w:val="single" w:sz="2" w:space="0" w:color="auto"/>
              <w:right w:val="single" w:sz="2" w:space="0" w:color="auto"/>
            </w:tcBorders>
          </w:tcPr>
          <w:p w14:paraId="03DA1E87" w14:textId="77777777" w:rsidR="000978CB" w:rsidRPr="00DE12A3" w:rsidRDefault="000978CB" w:rsidP="00C917D6">
            <w:pPr>
              <w:pStyle w:val="NormalLeft"/>
            </w:pPr>
            <w:r w:rsidRPr="00DE12A3">
              <w:rPr>
                <w:i/>
                <w:iCs/>
              </w:rPr>
              <w:t>d</w:t>
            </w:r>
            <w:r w:rsidRPr="00DE12A3">
              <w:rPr>
                <w:vertAlign w:val="subscript"/>
              </w:rPr>
              <w:t>V</w:t>
            </w:r>
          </w:p>
        </w:tc>
        <w:tc>
          <w:tcPr>
            <w:tcW w:w="1261" w:type="dxa"/>
            <w:tcBorders>
              <w:top w:val="single" w:sz="2" w:space="0" w:color="auto"/>
              <w:left w:val="single" w:sz="2" w:space="0" w:color="auto"/>
              <w:bottom w:val="single" w:sz="2" w:space="0" w:color="auto"/>
              <w:right w:val="single" w:sz="2" w:space="0" w:color="auto"/>
            </w:tcBorders>
          </w:tcPr>
          <w:p w14:paraId="61D1D8A3" w14:textId="77777777" w:rsidR="000978CB" w:rsidRPr="00DE12A3" w:rsidRDefault="000978CB" w:rsidP="00C917D6">
            <w:pPr>
              <w:pStyle w:val="NormalLeft"/>
            </w:pPr>
          </w:p>
        </w:tc>
        <w:tc>
          <w:tcPr>
            <w:tcW w:w="1441" w:type="dxa"/>
            <w:tcBorders>
              <w:top w:val="single" w:sz="2" w:space="0" w:color="auto"/>
              <w:left w:val="single" w:sz="2" w:space="0" w:color="auto"/>
              <w:bottom w:val="single" w:sz="2" w:space="0" w:color="auto"/>
              <w:right w:val="single" w:sz="2" w:space="0" w:color="auto"/>
            </w:tcBorders>
          </w:tcPr>
          <w:p w14:paraId="4A70DCE0" w14:textId="77777777" w:rsidR="000978CB" w:rsidRPr="00DE12A3" w:rsidRDefault="000978CB" w:rsidP="00C917D6">
            <w:pPr>
              <w:pStyle w:val="NormalLeft"/>
            </w:pPr>
            <w:r w:rsidRPr="00DE12A3">
              <w:t>m</w:t>
            </w:r>
          </w:p>
        </w:tc>
        <w:tc>
          <w:tcPr>
            <w:tcW w:w="5044" w:type="dxa"/>
            <w:tcBorders>
              <w:top w:val="single" w:sz="2" w:space="0" w:color="auto"/>
              <w:left w:val="single" w:sz="2" w:space="0" w:color="auto"/>
              <w:bottom w:val="single" w:sz="2" w:space="0" w:color="auto"/>
              <w:right w:val="single" w:sz="2" w:space="0" w:color="auto"/>
            </w:tcBorders>
          </w:tcPr>
          <w:p w14:paraId="66D65A49" w14:textId="77777777" w:rsidR="000978CB" w:rsidRPr="00DE12A3" w:rsidRDefault="000978CB" w:rsidP="00C917D6">
            <w:pPr>
              <w:spacing w:before="120" w:after="120"/>
              <w:rPr>
                <w:rFonts w:cs="Times New Roman"/>
                <w:color w:val="auto"/>
              </w:rPr>
            </w:pPr>
            <w:r w:rsidRPr="00DE12A3">
              <w:rPr>
                <w:rFonts w:cs="Times New Roman"/>
                <w:color w:val="auto"/>
              </w:rPr>
              <w:t>Venturi boğazı çapı</w:t>
            </w:r>
          </w:p>
        </w:tc>
      </w:tr>
      <w:tr w:rsidR="00DE12A3" w:rsidRPr="00DE12A3" w14:paraId="378402F3" w14:textId="77777777" w:rsidTr="002C23B9">
        <w:tc>
          <w:tcPr>
            <w:tcW w:w="1261" w:type="dxa"/>
            <w:tcBorders>
              <w:top w:val="single" w:sz="2" w:space="0" w:color="auto"/>
              <w:left w:val="single" w:sz="2" w:space="0" w:color="auto"/>
              <w:bottom w:val="single" w:sz="2" w:space="0" w:color="auto"/>
              <w:right w:val="single" w:sz="2" w:space="0" w:color="auto"/>
            </w:tcBorders>
          </w:tcPr>
          <w:p w14:paraId="20D29794" w14:textId="77777777" w:rsidR="000978CB" w:rsidRPr="00DE12A3" w:rsidRDefault="000978CB" w:rsidP="00C917D6">
            <w:pPr>
              <w:pStyle w:val="NormalLeft"/>
            </w:pPr>
            <w:r w:rsidRPr="00DE12A3">
              <w:rPr>
                <w:i/>
                <w:iCs/>
              </w:rPr>
              <w:t>e</w:t>
            </w:r>
          </w:p>
        </w:tc>
        <w:tc>
          <w:tcPr>
            <w:tcW w:w="1261" w:type="dxa"/>
            <w:tcBorders>
              <w:top w:val="single" w:sz="2" w:space="0" w:color="auto"/>
              <w:left w:val="single" w:sz="2" w:space="0" w:color="auto"/>
              <w:bottom w:val="single" w:sz="2" w:space="0" w:color="auto"/>
              <w:right w:val="single" w:sz="2" w:space="0" w:color="auto"/>
            </w:tcBorders>
          </w:tcPr>
          <w:p w14:paraId="4A0DBFFD" w14:textId="77777777" w:rsidR="000978CB" w:rsidRPr="00DE12A3" w:rsidRDefault="000978CB" w:rsidP="00C917D6">
            <w:pPr>
              <w:pStyle w:val="NormalLeft"/>
            </w:pPr>
            <w:r w:rsidRPr="00DE12A3">
              <w:rPr>
                <w:i/>
                <w:iCs/>
              </w:rPr>
              <w:t>e</w:t>
            </w:r>
          </w:p>
        </w:tc>
        <w:tc>
          <w:tcPr>
            <w:tcW w:w="1441" w:type="dxa"/>
            <w:tcBorders>
              <w:top w:val="single" w:sz="2" w:space="0" w:color="auto"/>
              <w:left w:val="single" w:sz="2" w:space="0" w:color="auto"/>
              <w:bottom w:val="single" w:sz="2" w:space="0" w:color="auto"/>
              <w:right w:val="single" w:sz="2" w:space="0" w:color="auto"/>
            </w:tcBorders>
          </w:tcPr>
          <w:p w14:paraId="0C8B21BC" w14:textId="77777777" w:rsidR="000978CB" w:rsidRPr="00DE12A3" w:rsidRDefault="000978CB" w:rsidP="00C917D6">
            <w:pPr>
              <w:pStyle w:val="NormalLeft"/>
            </w:pPr>
            <w:r w:rsidRPr="00DE12A3">
              <w:t>g/kWh</w:t>
            </w:r>
          </w:p>
        </w:tc>
        <w:tc>
          <w:tcPr>
            <w:tcW w:w="5044" w:type="dxa"/>
            <w:tcBorders>
              <w:top w:val="single" w:sz="2" w:space="0" w:color="auto"/>
              <w:left w:val="single" w:sz="2" w:space="0" w:color="auto"/>
              <w:bottom w:val="single" w:sz="2" w:space="0" w:color="auto"/>
              <w:right w:val="single" w:sz="2" w:space="0" w:color="auto"/>
            </w:tcBorders>
          </w:tcPr>
          <w:p w14:paraId="5099CE16" w14:textId="77777777" w:rsidR="000978CB" w:rsidRPr="00DE12A3" w:rsidRDefault="000978CB" w:rsidP="00C917D6">
            <w:pPr>
              <w:spacing w:before="120" w:after="120"/>
              <w:rPr>
                <w:rFonts w:cs="Times New Roman"/>
                <w:color w:val="auto"/>
              </w:rPr>
            </w:pPr>
            <w:r w:rsidRPr="00DE12A3">
              <w:rPr>
                <w:rFonts w:cs="Times New Roman"/>
                <w:color w:val="auto"/>
              </w:rPr>
              <w:t>Frene özgü baz</w:t>
            </w:r>
          </w:p>
        </w:tc>
      </w:tr>
      <w:tr w:rsidR="00DE12A3" w:rsidRPr="00DE12A3" w14:paraId="4D35594F" w14:textId="77777777" w:rsidTr="002C23B9">
        <w:tc>
          <w:tcPr>
            <w:tcW w:w="1261" w:type="dxa"/>
            <w:tcBorders>
              <w:top w:val="single" w:sz="2" w:space="0" w:color="auto"/>
              <w:left w:val="single" w:sz="2" w:space="0" w:color="auto"/>
              <w:bottom w:val="single" w:sz="2" w:space="0" w:color="auto"/>
              <w:right w:val="single" w:sz="2" w:space="0" w:color="auto"/>
            </w:tcBorders>
          </w:tcPr>
          <w:p w14:paraId="5E71FFC3" w14:textId="77777777" w:rsidR="000978CB" w:rsidRPr="00DE12A3" w:rsidRDefault="000978CB" w:rsidP="00C917D6">
            <w:pPr>
              <w:pStyle w:val="NormalLeft"/>
            </w:pPr>
            <w:r w:rsidRPr="00DE12A3">
              <w:rPr>
                <w:i/>
                <w:iCs/>
              </w:rPr>
              <w:t>e</w:t>
            </w:r>
            <w:r w:rsidRPr="00DE12A3">
              <w:rPr>
                <w:vertAlign w:val="subscript"/>
              </w:rPr>
              <w:t>gas</w:t>
            </w:r>
          </w:p>
        </w:tc>
        <w:tc>
          <w:tcPr>
            <w:tcW w:w="1261" w:type="dxa"/>
            <w:tcBorders>
              <w:top w:val="single" w:sz="2" w:space="0" w:color="auto"/>
              <w:left w:val="single" w:sz="2" w:space="0" w:color="auto"/>
              <w:bottom w:val="single" w:sz="2" w:space="0" w:color="auto"/>
              <w:right w:val="single" w:sz="2" w:space="0" w:color="auto"/>
            </w:tcBorders>
          </w:tcPr>
          <w:p w14:paraId="566DD3B9" w14:textId="77777777" w:rsidR="000978CB" w:rsidRPr="00DE12A3" w:rsidRDefault="000978CB" w:rsidP="00C917D6">
            <w:pPr>
              <w:pStyle w:val="NormalLeft"/>
            </w:pPr>
            <w:r w:rsidRPr="00DE12A3">
              <w:rPr>
                <w:i/>
                <w:iCs/>
              </w:rPr>
              <w:t>e</w:t>
            </w:r>
            <w:r w:rsidRPr="00DE12A3">
              <w:rPr>
                <w:vertAlign w:val="subscript"/>
              </w:rPr>
              <w:t>gas</w:t>
            </w:r>
          </w:p>
        </w:tc>
        <w:tc>
          <w:tcPr>
            <w:tcW w:w="1441" w:type="dxa"/>
            <w:tcBorders>
              <w:top w:val="single" w:sz="2" w:space="0" w:color="auto"/>
              <w:left w:val="single" w:sz="2" w:space="0" w:color="auto"/>
              <w:bottom w:val="single" w:sz="2" w:space="0" w:color="auto"/>
              <w:right w:val="single" w:sz="2" w:space="0" w:color="auto"/>
            </w:tcBorders>
          </w:tcPr>
          <w:p w14:paraId="4E605206" w14:textId="77777777" w:rsidR="000978CB" w:rsidRPr="00DE12A3" w:rsidRDefault="000978CB" w:rsidP="00C917D6">
            <w:pPr>
              <w:pStyle w:val="NormalLeft"/>
            </w:pPr>
            <w:r w:rsidRPr="00DE12A3">
              <w:t>g/kWh</w:t>
            </w:r>
          </w:p>
        </w:tc>
        <w:tc>
          <w:tcPr>
            <w:tcW w:w="5044" w:type="dxa"/>
            <w:tcBorders>
              <w:top w:val="single" w:sz="2" w:space="0" w:color="auto"/>
              <w:left w:val="single" w:sz="2" w:space="0" w:color="auto"/>
              <w:bottom w:val="single" w:sz="2" w:space="0" w:color="auto"/>
              <w:right w:val="single" w:sz="2" w:space="0" w:color="auto"/>
            </w:tcBorders>
          </w:tcPr>
          <w:p w14:paraId="603786A5" w14:textId="77777777" w:rsidR="000978CB" w:rsidRPr="00DE12A3" w:rsidRDefault="000978CB" w:rsidP="00C917D6">
            <w:pPr>
              <w:spacing w:before="120" w:after="120"/>
              <w:rPr>
                <w:rFonts w:cs="Times New Roman"/>
                <w:color w:val="auto"/>
              </w:rPr>
            </w:pPr>
            <w:r w:rsidRPr="00DE12A3">
              <w:rPr>
                <w:rFonts w:cs="Times New Roman"/>
                <w:color w:val="auto"/>
              </w:rPr>
              <w:t>Gaz halindeki bileşenlerin spesifik emisyonu</w:t>
            </w:r>
          </w:p>
        </w:tc>
      </w:tr>
      <w:tr w:rsidR="00DE12A3" w:rsidRPr="00DE12A3" w14:paraId="3F56CBC9" w14:textId="77777777" w:rsidTr="002C23B9">
        <w:tc>
          <w:tcPr>
            <w:tcW w:w="1261" w:type="dxa"/>
            <w:tcBorders>
              <w:top w:val="single" w:sz="2" w:space="0" w:color="auto"/>
              <w:left w:val="single" w:sz="2" w:space="0" w:color="auto"/>
              <w:bottom w:val="single" w:sz="2" w:space="0" w:color="auto"/>
              <w:right w:val="single" w:sz="2" w:space="0" w:color="auto"/>
            </w:tcBorders>
          </w:tcPr>
          <w:p w14:paraId="12AFFEB9" w14:textId="77777777" w:rsidR="000978CB" w:rsidRPr="00DE12A3" w:rsidRDefault="000978CB" w:rsidP="00C917D6">
            <w:pPr>
              <w:pStyle w:val="NormalLeft"/>
            </w:pPr>
            <w:r w:rsidRPr="00DE12A3">
              <w:rPr>
                <w:i/>
                <w:iCs/>
              </w:rPr>
              <w:t>e</w:t>
            </w:r>
            <w:r w:rsidRPr="00DE12A3">
              <w:rPr>
                <w:vertAlign w:val="subscript"/>
              </w:rPr>
              <w:t>PM</w:t>
            </w:r>
          </w:p>
        </w:tc>
        <w:tc>
          <w:tcPr>
            <w:tcW w:w="1261" w:type="dxa"/>
            <w:tcBorders>
              <w:top w:val="single" w:sz="2" w:space="0" w:color="auto"/>
              <w:left w:val="single" w:sz="2" w:space="0" w:color="auto"/>
              <w:bottom w:val="single" w:sz="2" w:space="0" w:color="auto"/>
              <w:right w:val="single" w:sz="2" w:space="0" w:color="auto"/>
            </w:tcBorders>
          </w:tcPr>
          <w:p w14:paraId="04CBBC94" w14:textId="77777777" w:rsidR="000978CB" w:rsidRPr="00DE12A3" w:rsidRDefault="000978CB" w:rsidP="00C917D6">
            <w:pPr>
              <w:pStyle w:val="NormalLeft"/>
            </w:pPr>
            <w:r w:rsidRPr="00DE12A3">
              <w:rPr>
                <w:i/>
                <w:iCs/>
              </w:rPr>
              <w:t>e</w:t>
            </w:r>
            <w:r w:rsidRPr="00DE12A3">
              <w:rPr>
                <w:vertAlign w:val="subscript"/>
              </w:rPr>
              <w:t>PM</w:t>
            </w:r>
          </w:p>
        </w:tc>
        <w:tc>
          <w:tcPr>
            <w:tcW w:w="1441" w:type="dxa"/>
            <w:tcBorders>
              <w:top w:val="single" w:sz="2" w:space="0" w:color="auto"/>
              <w:left w:val="single" w:sz="2" w:space="0" w:color="auto"/>
              <w:bottom w:val="single" w:sz="2" w:space="0" w:color="auto"/>
              <w:right w:val="single" w:sz="2" w:space="0" w:color="auto"/>
            </w:tcBorders>
          </w:tcPr>
          <w:p w14:paraId="170E242E" w14:textId="77777777" w:rsidR="000978CB" w:rsidRPr="00DE12A3" w:rsidRDefault="000978CB" w:rsidP="00C917D6">
            <w:pPr>
              <w:pStyle w:val="NormalLeft"/>
            </w:pPr>
            <w:r w:rsidRPr="00DE12A3">
              <w:t>g/kWh</w:t>
            </w:r>
          </w:p>
        </w:tc>
        <w:tc>
          <w:tcPr>
            <w:tcW w:w="5044" w:type="dxa"/>
            <w:tcBorders>
              <w:top w:val="single" w:sz="2" w:space="0" w:color="auto"/>
              <w:left w:val="single" w:sz="2" w:space="0" w:color="auto"/>
              <w:bottom w:val="single" w:sz="2" w:space="0" w:color="auto"/>
              <w:right w:val="single" w:sz="2" w:space="0" w:color="auto"/>
            </w:tcBorders>
          </w:tcPr>
          <w:p w14:paraId="148EA4D9" w14:textId="77777777" w:rsidR="000978CB" w:rsidRPr="00DE12A3" w:rsidRDefault="000978CB" w:rsidP="00C917D6">
            <w:pPr>
              <w:spacing w:before="120" w:after="120"/>
              <w:rPr>
                <w:rFonts w:cs="Times New Roman"/>
                <w:color w:val="auto"/>
              </w:rPr>
            </w:pPr>
            <w:r w:rsidRPr="00DE12A3">
              <w:rPr>
                <w:rFonts w:cs="Times New Roman"/>
                <w:color w:val="auto"/>
              </w:rPr>
              <w:t>Parçacıkların spesifik emisyonu</w:t>
            </w:r>
          </w:p>
        </w:tc>
      </w:tr>
      <w:tr w:rsidR="00DE12A3" w:rsidRPr="00DE12A3" w14:paraId="0D341D95" w14:textId="77777777" w:rsidTr="002C23B9">
        <w:tc>
          <w:tcPr>
            <w:tcW w:w="1261" w:type="dxa"/>
            <w:tcBorders>
              <w:top w:val="single" w:sz="2" w:space="0" w:color="auto"/>
              <w:left w:val="single" w:sz="2" w:space="0" w:color="auto"/>
              <w:bottom w:val="single" w:sz="2" w:space="0" w:color="auto"/>
              <w:right w:val="single" w:sz="2" w:space="0" w:color="auto"/>
            </w:tcBorders>
          </w:tcPr>
          <w:p w14:paraId="7FD4A546" w14:textId="77777777" w:rsidR="000978CB" w:rsidRPr="00DE12A3" w:rsidRDefault="000978CB" w:rsidP="00C917D6">
            <w:pPr>
              <w:pStyle w:val="NormalLeft"/>
            </w:pPr>
            <w:r w:rsidRPr="00DE12A3">
              <w:rPr>
                <w:i/>
                <w:iCs/>
              </w:rPr>
              <w:t>E</w:t>
            </w:r>
          </w:p>
        </w:tc>
        <w:tc>
          <w:tcPr>
            <w:tcW w:w="1261" w:type="dxa"/>
            <w:tcBorders>
              <w:top w:val="single" w:sz="2" w:space="0" w:color="auto"/>
              <w:left w:val="single" w:sz="2" w:space="0" w:color="auto"/>
              <w:bottom w:val="single" w:sz="2" w:space="0" w:color="auto"/>
              <w:right w:val="single" w:sz="2" w:space="0" w:color="auto"/>
            </w:tcBorders>
          </w:tcPr>
          <w:p w14:paraId="1BD564AB" w14:textId="77777777" w:rsidR="000978CB" w:rsidRPr="00DE12A3" w:rsidRDefault="000978CB" w:rsidP="00C917D6">
            <w:pPr>
              <w:pStyle w:val="NormalLeft"/>
            </w:pPr>
            <w:r w:rsidRPr="00DE12A3">
              <w:t xml:space="preserve">1 – </w:t>
            </w:r>
            <w:r w:rsidRPr="00DE12A3">
              <w:rPr>
                <w:i/>
                <w:iCs/>
              </w:rPr>
              <w:t>PF</w:t>
            </w:r>
          </w:p>
        </w:tc>
        <w:tc>
          <w:tcPr>
            <w:tcW w:w="1441" w:type="dxa"/>
            <w:tcBorders>
              <w:top w:val="single" w:sz="2" w:space="0" w:color="auto"/>
              <w:left w:val="single" w:sz="2" w:space="0" w:color="auto"/>
              <w:bottom w:val="single" w:sz="2" w:space="0" w:color="auto"/>
              <w:right w:val="single" w:sz="2" w:space="0" w:color="auto"/>
            </w:tcBorders>
          </w:tcPr>
          <w:p w14:paraId="6483BFDF" w14:textId="77777777" w:rsidR="000978CB" w:rsidRPr="00DE12A3" w:rsidRDefault="000978CB" w:rsidP="00C917D6">
            <w:pPr>
              <w:pStyle w:val="NormalLeft"/>
            </w:pPr>
            <w:r w:rsidRPr="00DE12A3">
              <w:t>%</w:t>
            </w:r>
          </w:p>
        </w:tc>
        <w:tc>
          <w:tcPr>
            <w:tcW w:w="5044" w:type="dxa"/>
            <w:tcBorders>
              <w:top w:val="single" w:sz="2" w:space="0" w:color="auto"/>
              <w:left w:val="single" w:sz="2" w:space="0" w:color="auto"/>
              <w:bottom w:val="single" w:sz="2" w:space="0" w:color="auto"/>
              <w:right w:val="single" w:sz="2" w:space="0" w:color="auto"/>
            </w:tcBorders>
          </w:tcPr>
          <w:p w14:paraId="2D64C05B" w14:textId="77777777" w:rsidR="000978CB" w:rsidRPr="00DE12A3" w:rsidRDefault="000978CB" w:rsidP="00C917D6">
            <w:pPr>
              <w:spacing w:before="120" w:after="120"/>
              <w:rPr>
                <w:rFonts w:cs="Times New Roman"/>
                <w:color w:val="auto"/>
              </w:rPr>
            </w:pPr>
            <w:r w:rsidRPr="00DE12A3">
              <w:rPr>
                <w:rFonts w:cs="Times New Roman"/>
                <w:color w:val="auto"/>
              </w:rPr>
              <w:t>Dönüşüm verimi (PF = Penetrasyon oranı)</w:t>
            </w:r>
          </w:p>
        </w:tc>
      </w:tr>
      <w:tr w:rsidR="00DE12A3" w:rsidRPr="00DE12A3" w14:paraId="06CBFF1F" w14:textId="77777777" w:rsidTr="002C23B9">
        <w:tc>
          <w:tcPr>
            <w:tcW w:w="1261" w:type="dxa"/>
            <w:tcBorders>
              <w:top w:val="single" w:sz="2" w:space="0" w:color="auto"/>
              <w:left w:val="single" w:sz="2" w:space="0" w:color="auto"/>
              <w:bottom w:val="single" w:sz="2" w:space="0" w:color="auto"/>
              <w:right w:val="single" w:sz="2" w:space="0" w:color="auto"/>
            </w:tcBorders>
          </w:tcPr>
          <w:p w14:paraId="235F8B49" w14:textId="77777777" w:rsidR="000978CB" w:rsidRPr="00DE12A3" w:rsidRDefault="000978CB" w:rsidP="00C917D6">
            <w:pPr>
              <w:pStyle w:val="NormalLeft"/>
            </w:pPr>
            <w:r w:rsidRPr="00DE12A3">
              <w:rPr>
                <w:i/>
                <w:iCs/>
              </w:rPr>
              <w:lastRenderedPageBreak/>
              <w:t>F</w:t>
            </w:r>
            <w:r w:rsidRPr="00DE12A3">
              <w:rPr>
                <w:vertAlign w:val="subscript"/>
              </w:rPr>
              <w:t>s</w:t>
            </w:r>
          </w:p>
        </w:tc>
        <w:tc>
          <w:tcPr>
            <w:tcW w:w="1261" w:type="dxa"/>
            <w:tcBorders>
              <w:top w:val="single" w:sz="2" w:space="0" w:color="auto"/>
              <w:left w:val="single" w:sz="2" w:space="0" w:color="auto"/>
              <w:bottom w:val="single" w:sz="2" w:space="0" w:color="auto"/>
              <w:right w:val="single" w:sz="2" w:space="0" w:color="auto"/>
            </w:tcBorders>
          </w:tcPr>
          <w:p w14:paraId="236F452A" w14:textId="77777777" w:rsidR="000978CB" w:rsidRPr="00DE12A3" w:rsidRDefault="000978CB" w:rsidP="00C917D6">
            <w:pPr>
              <w:pStyle w:val="NormalLeft"/>
            </w:pPr>
          </w:p>
        </w:tc>
        <w:tc>
          <w:tcPr>
            <w:tcW w:w="1441" w:type="dxa"/>
            <w:tcBorders>
              <w:top w:val="single" w:sz="2" w:space="0" w:color="auto"/>
              <w:left w:val="single" w:sz="2" w:space="0" w:color="auto"/>
              <w:bottom w:val="single" w:sz="2" w:space="0" w:color="auto"/>
              <w:right w:val="single" w:sz="2" w:space="0" w:color="auto"/>
            </w:tcBorders>
          </w:tcPr>
          <w:p w14:paraId="7EBD2755" w14:textId="77777777" w:rsidR="000978CB" w:rsidRPr="00DE12A3" w:rsidRDefault="000978CB" w:rsidP="00C917D6">
            <w:pPr>
              <w:pStyle w:val="NormalLeft"/>
            </w:pPr>
            <w:r w:rsidRPr="00DE12A3">
              <w:t>—</w:t>
            </w:r>
          </w:p>
        </w:tc>
        <w:tc>
          <w:tcPr>
            <w:tcW w:w="5044" w:type="dxa"/>
            <w:tcBorders>
              <w:top w:val="single" w:sz="2" w:space="0" w:color="auto"/>
              <w:left w:val="single" w:sz="2" w:space="0" w:color="auto"/>
              <w:bottom w:val="single" w:sz="2" w:space="0" w:color="auto"/>
              <w:right w:val="single" w:sz="2" w:space="0" w:color="auto"/>
            </w:tcBorders>
          </w:tcPr>
          <w:p w14:paraId="399AE83B" w14:textId="77777777" w:rsidR="000978CB" w:rsidRPr="00DE12A3" w:rsidRDefault="000978CB" w:rsidP="00C917D6">
            <w:pPr>
              <w:spacing w:before="120" w:after="120"/>
              <w:rPr>
                <w:rFonts w:cs="Times New Roman"/>
                <w:color w:val="auto"/>
              </w:rPr>
            </w:pPr>
            <w:r w:rsidRPr="00DE12A3">
              <w:rPr>
                <w:rFonts w:cs="Times New Roman"/>
                <w:color w:val="auto"/>
              </w:rPr>
              <w:t>Stokiyometrik faktör</w:t>
            </w:r>
          </w:p>
        </w:tc>
      </w:tr>
      <w:tr w:rsidR="00DE12A3" w:rsidRPr="00DE12A3" w14:paraId="35FD8583" w14:textId="77777777" w:rsidTr="002C23B9">
        <w:tc>
          <w:tcPr>
            <w:tcW w:w="1261" w:type="dxa"/>
            <w:tcBorders>
              <w:top w:val="single" w:sz="2" w:space="0" w:color="auto"/>
              <w:left w:val="single" w:sz="2" w:space="0" w:color="auto"/>
              <w:bottom w:val="single" w:sz="2" w:space="0" w:color="auto"/>
              <w:right w:val="single" w:sz="2" w:space="0" w:color="auto"/>
            </w:tcBorders>
          </w:tcPr>
          <w:p w14:paraId="5B06FA03" w14:textId="77777777" w:rsidR="000978CB" w:rsidRPr="00DE12A3" w:rsidRDefault="000978CB" w:rsidP="00C917D6">
            <w:pPr>
              <w:adjustRightInd w:val="0"/>
              <w:spacing w:before="120" w:after="120"/>
              <w:rPr>
                <w:rFonts w:cs="Times New Roman"/>
                <w:color w:val="auto"/>
              </w:rPr>
            </w:pPr>
          </w:p>
        </w:tc>
        <w:tc>
          <w:tcPr>
            <w:tcW w:w="1261" w:type="dxa"/>
            <w:tcBorders>
              <w:top w:val="single" w:sz="2" w:space="0" w:color="auto"/>
              <w:left w:val="single" w:sz="2" w:space="0" w:color="auto"/>
              <w:bottom w:val="single" w:sz="2" w:space="0" w:color="auto"/>
              <w:right w:val="single" w:sz="2" w:space="0" w:color="auto"/>
            </w:tcBorders>
          </w:tcPr>
          <w:p w14:paraId="35B2364F" w14:textId="77777777" w:rsidR="000978CB" w:rsidRPr="00DE12A3" w:rsidRDefault="000978CB" w:rsidP="00C917D6">
            <w:pPr>
              <w:pStyle w:val="NormalLeft"/>
            </w:pPr>
            <w:r w:rsidRPr="00DE12A3">
              <w:rPr>
                <w:i/>
                <w:iCs/>
              </w:rPr>
              <w:t>f</w:t>
            </w:r>
          </w:p>
        </w:tc>
        <w:tc>
          <w:tcPr>
            <w:tcW w:w="1441" w:type="dxa"/>
            <w:tcBorders>
              <w:top w:val="single" w:sz="2" w:space="0" w:color="auto"/>
              <w:left w:val="single" w:sz="2" w:space="0" w:color="auto"/>
              <w:bottom w:val="single" w:sz="2" w:space="0" w:color="auto"/>
              <w:right w:val="single" w:sz="2" w:space="0" w:color="auto"/>
            </w:tcBorders>
          </w:tcPr>
          <w:p w14:paraId="10DA39C9" w14:textId="77777777" w:rsidR="000978CB" w:rsidRPr="00DE12A3" w:rsidRDefault="000978CB" w:rsidP="00C917D6">
            <w:pPr>
              <w:pStyle w:val="NormalLeft"/>
            </w:pPr>
            <w:r w:rsidRPr="00DE12A3">
              <w:t>Hz</w:t>
            </w:r>
          </w:p>
        </w:tc>
        <w:tc>
          <w:tcPr>
            <w:tcW w:w="5044" w:type="dxa"/>
            <w:tcBorders>
              <w:top w:val="single" w:sz="2" w:space="0" w:color="auto"/>
              <w:left w:val="single" w:sz="2" w:space="0" w:color="auto"/>
              <w:bottom w:val="single" w:sz="2" w:space="0" w:color="auto"/>
              <w:right w:val="single" w:sz="2" w:space="0" w:color="auto"/>
            </w:tcBorders>
          </w:tcPr>
          <w:p w14:paraId="1EE799A1" w14:textId="77777777" w:rsidR="000978CB" w:rsidRPr="00DE12A3" w:rsidRDefault="000978CB" w:rsidP="00C917D6">
            <w:pPr>
              <w:spacing w:before="120" w:after="120"/>
              <w:rPr>
                <w:rFonts w:cs="Times New Roman"/>
                <w:color w:val="auto"/>
              </w:rPr>
            </w:pPr>
            <w:r w:rsidRPr="00DE12A3">
              <w:rPr>
                <w:rFonts w:cs="Times New Roman"/>
                <w:color w:val="auto"/>
              </w:rPr>
              <w:t>Frekans</w:t>
            </w:r>
          </w:p>
        </w:tc>
      </w:tr>
      <w:tr w:rsidR="00DE12A3" w:rsidRPr="00DE12A3" w14:paraId="411F1907" w14:textId="77777777" w:rsidTr="002C23B9">
        <w:tc>
          <w:tcPr>
            <w:tcW w:w="1261" w:type="dxa"/>
            <w:tcBorders>
              <w:top w:val="single" w:sz="2" w:space="0" w:color="auto"/>
              <w:left w:val="single" w:sz="2" w:space="0" w:color="auto"/>
              <w:bottom w:val="single" w:sz="2" w:space="0" w:color="auto"/>
              <w:right w:val="single" w:sz="2" w:space="0" w:color="auto"/>
            </w:tcBorders>
          </w:tcPr>
          <w:p w14:paraId="59F7CC21" w14:textId="77777777" w:rsidR="000978CB" w:rsidRPr="00DE12A3" w:rsidRDefault="000978CB" w:rsidP="00C917D6">
            <w:pPr>
              <w:pStyle w:val="NormalLeft"/>
            </w:pPr>
            <w:r w:rsidRPr="00DE12A3">
              <w:rPr>
                <w:i/>
                <w:iCs/>
              </w:rPr>
              <w:t>f</w:t>
            </w:r>
            <w:r w:rsidRPr="00DE12A3">
              <w:rPr>
                <w:vertAlign w:val="subscript"/>
              </w:rPr>
              <w:t>c</w:t>
            </w:r>
          </w:p>
        </w:tc>
        <w:tc>
          <w:tcPr>
            <w:tcW w:w="1261" w:type="dxa"/>
            <w:tcBorders>
              <w:top w:val="single" w:sz="2" w:space="0" w:color="auto"/>
              <w:left w:val="single" w:sz="2" w:space="0" w:color="auto"/>
              <w:bottom w:val="single" w:sz="2" w:space="0" w:color="auto"/>
              <w:right w:val="single" w:sz="2" w:space="0" w:color="auto"/>
            </w:tcBorders>
          </w:tcPr>
          <w:p w14:paraId="125EEA27" w14:textId="77777777" w:rsidR="000978CB" w:rsidRPr="00DE12A3" w:rsidRDefault="000978CB" w:rsidP="00C917D6">
            <w:pPr>
              <w:pStyle w:val="NormalLeft"/>
            </w:pPr>
          </w:p>
        </w:tc>
        <w:tc>
          <w:tcPr>
            <w:tcW w:w="1441" w:type="dxa"/>
            <w:tcBorders>
              <w:top w:val="single" w:sz="2" w:space="0" w:color="auto"/>
              <w:left w:val="single" w:sz="2" w:space="0" w:color="auto"/>
              <w:bottom w:val="single" w:sz="2" w:space="0" w:color="auto"/>
              <w:right w:val="single" w:sz="2" w:space="0" w:color="auto"/>
            </w:tcBorders>
          </w:tcPr>
          <w:p w14:paraId="5E499DAD" w14:textId="77777777" w:rsidR="000978CB" w:rsidRPr="00DE12A3" w:rsidRDefault="000978CB" w:rsidP="00C917D6">
            <w:pPr>
              <w:pStyle w:val="NormalLeft"/>
            </w:pPr>
            <w:r w:rsidRPr="00DE12A3">
              <w:t>—</w:t>
            </w:r>
          </w:p>
        </w:tc>
        <w:tc>
          <w:tcPr>
            <w:tcW w:w="5044" w:type="dxa"/>
            <w:tcBorders>
              <w:top w:val="single" w:sz="2" w:space="0" w:color="auto"/>
              <w:left w:val="single" w:sz="2" w:space="0" w:color="auto"/>
              <w:bottom w:val="single" w:sz="2" w:space="0" w:color="auto"/>
              <w:right w:val="single" w:sz="2" w:space="0" w:color="auto"/>
            </w:tcBorders>
          </w:tcPr>
          <w:p w14:paraId="4932E8F0" w14:textId="77777777" w:rsidR="000978CB" w:rsidRPr="00DE12A3" w:rsidRDefault="000978CB" w:rsidP="00C917D6">
            <w:pPr>
              <w:spacing w:before="120" w:after="120"/>
              <w:rPr>
                <w:rFonts w:cs="Times New Roman"/>
                <w:color w:val="auto"/>
              </w:rPr>
            </w:pPr>
            <w:r w:rsidRPr="00DE12A3">
              <w:rPr>
                <w:rFonts w:cs="Times New Roman"/>
                <w:color w:val="auto"/>
              </w:rPr>
              <w:t>Karbon faktörü</w:t>
            </w:r>
          </w:p>
        </w:tc>
      </w:tr>
      <w:tr w:rsidR="00DE12A3" w:rsidRPr="00DE12A3" w14:paraId="4749447C" w14:textId="77777777" w:rsidTr="002C23B9">
        <w:tc>
          <w:tcPr>
            <w:tcW w:w="1261" w:type="dxa"/>
            <w:tcBorders>
              <w:top w:val="single" w:sz="2" w:space="0" w:color="auto"/>
              <w:left w:val="single" w:sz="2" w:space="0" w:color="auto"/>
              <w:bottom w:val="single" w:sz="2" w:space="0" w:color="auto"/>
              <w:right w:val="single" w:sz="2" w:space="0" w:color="auto"/>
            </w:tcBorders>
          </w:tcPr>
          <w:p w14:paraId="610FF337" w14:textId="77777777" w:rsidR="000978CB" w:rsidRPr="00DE12A3" w:rsidRDefault="000978CB" w:rsidP="00C917D6">
            <w:pPr>
              <w:adjustRightInd w:val="0"/>
              <w:spacing w:before="120" w:after="120"/>
              <w:rPr>
                <w:rFonts w:cs="Times New Roman"/>
                <w:color w:val="auto"/>
              </w:rPr>
            </w:pPr>
          </w:p>
        </w:tc>
        <w:tc>
          <w:tcPr>
            <w:tcW w:w="1261" w:type="dxa"/>
            <w:tcBorders>
              <w:top w:val="single" w:sz="2" w:space="0" w:color="auto"/>
              <w:left w:val="single" w:sz="2" w:space="0" w:color="auto"/>
              <w:bottom w:val="single" w:sz="2" w:space="0" w:color="auto"/>
              <w:right w:val="single" w:sz="2" w:space="0" w:color="auto"/>
            </w:tcBorders>
          </w:tcPr>
          <w:p w14:paraId="3BF25E5F" w14:textId="77777777" w:rsidR="000978CB" w:rsidRPr="00DE12A3" w:rsidRDefault="000978CB" w:rsidP="00C917D6">
            <w:pPr>
              <w:pStyle w:val="NormalLeft"/>
            </w:pPr>
            <w:r w:rsidRPr="00DE12A3">
              <w:t>γ</w:t>
            </w:r>
          </w:p>
        </w:tc>
        <w:tc>
          <w:tcPr>
            <w:tcW w:w="1441" w:type="dxa"/>
            <w:tcBorders>
              <w:top w:val="single" w:sz="2" w:space="0" w:color="auto"/>
              <w:left w:val="single" w:sz="2" w:space="0" w:color="auto"/>
              <w:bottom w:val="single" w:sz="2" w:space="0" w:color="auto"/>
              <w:right w:val="single" w:sz="2" w:space="0" w:color="auto"/>
            </w:tcBorders>
          </w:tcPr>
          <w:p w14:paraId="5C1B30BC" w14:textId="77777777" w:rsidR="000978CB" w:rsidRPr="00DE12A3" w:rsidRDefault="000978CB" w:rsidP="00C917D6">
            <w:pPr>
              <w:pStyle w:val="NormalLeft"/>
            </w:pPr>
            <w:r w:rsidRPr="00DE12A3">
              <w:t>—</w:t>
            </w:r>
          </w:p>
        </w:tc>
        <w:tc>
          <w:tcPr>
            <w:tcW w:w="5044" w:type="dxa"/>
            <w:tcBorders>
              <w:top w:val="single" w:sz="2" w:space="0" w:color="auto"/>
              <w:left w:val="single" w:sz="2" w:space="0" w:color="auto"/>
              <w:bottom w:val="single" w:sz="2" w:space="0" w:color="auto"/>
              <w:right w:val="single" w:sz="2" w:space="0" w:color="auto"/>
            </w:tcBorders>
          </w:tcPr>
          <w:p w14:paraId="1A298E6A" w14:textId="77777777" w:rsidR="000978CB" w:rsidRPr="00DE12A3" w:rsidRDefault="000978CB" w:rsidP="00C917D6">
            <w:pPr>
              <w:spacing w:before="120" w:after="120"/>
              <w:rPr>
                <w:rFonts w:cs="Times New Roman"/>
                <w:color w:val="auto"/>
              </w:rPr>
            </w:pPr>
            <w:r w:rsidRPr="00DE12A3">
              <w:rPr>
                <w:rFonts w:cs="Times New Roman"/>
                <w:color w:val="auto"/>
              </w:rPr>
              <w:t>Özgül ısıların oranı</w:t>
            </w:r>
          </w:p>
        </w:tc>
      </w:tr>
      <w:tr w:rsidR="00DE12A3" w:rsidRPr="00DE12A3" w14:paraId="74511393" w14:textId="77777777" w:rsidTr="002C23B9">
        <w:tc>
          <w:tcPr>
            <w:tcW w:w="1261" w:type="dxa"/>
            <w:tcBorders>
              <w:top w:val="single" w:sz="2" w:space="0" w:color="auto"/>
              <w:left w:val="single" w:sz="2" w:space="0" w:color="auto"/>
              <w:bottom w:val="single" w:sz="2" w:space="0" w:color="auto"/>
              <w:right w:val="single" w:sz="2" w:space="0" w:color="auto"/>
            </w:tcBorders>
          </w:tcPr>
          <w:p w14:paraId="60D529ED" w14:textId="77777777" w:rsidR="000978CB" w:rsidRPr="00DE12A3" w:rsidRDefault="000978CB" w:rsidP="00C917D6">
            <w:pPr>
              <w:pStyle w:val="NormalLeft"/>
            </w:pPr>
            <w:r w:rsidRPr="00DE12A3">
              <w:rPr>
                <w:i/>
                <w:iCs/>
              </w:rPr>
              <w:t>H</w:t>
            </w:r>
          </w:p>
        </w:tc>
        <w:tc>
          <w:tcPr>
            <w:tcW w:w="1261" w:type="dxa"/>
            <w:tcBorders>
              <w:top w:val="single" w:sz="2" w:space="0" w:color="auto"/>
              <w:left w:val="single" w:sz="2" w:space="0" w:color="auto"/>
              <w:bottom w:val="single" w:sz="2" w:space="0" w:color="auto"/>
              <w:right w:val="single" w:sz="2" w:space="0" w:color="auto"/>
            </w:tcBorders>
          </w:tcPr>
          <w:p w14:paraId="6CB663FA" w14:textId="77777777" w:rsidR="000978CB" w:rsidRPr="00DE12A3" w:rsidRDefault="000978CB" w:rsidP="00C917D6">
            <w:pPr>
              <w:pStyle w:val="NormalLeft"/>
            </w:pPr>
          </w:p>
        </w:tc>
        <w:tc>
          <w:tcPr>
            <w:tcW w:w="1441" w:type="dxa"/>
            <w:tcBorders>
              <w:top w:val="single" w:sz="2" w:space="0" w:color="auto"/>
              <w:left w:val="single" w:sz="2" w:space="0" w:color="auto"/>
              <w:bottom w:val="single" w:sz="2" w:space="0" w:color="auto"/>
              <w:right w:val="single" w:sz="2" w:space="0" w:color="auto"/>
            </w:tcBorders>
          </w:tcPr>
          <w:p w14:paraId="2C2669D4" w14:textId="77777777" w:rsidR="000978CB" w:rsidRPr="00DE12A3" w:rsidRDefault="000978CB" w:rsidP="00C917D6">
            <w:pPr>
              <w:pStyle w:val="NormalLeft"/>
            </w:pPr>
            <w:r w:rsidRPr="00DE12A3">
              <w:t>g/kg</w:t>
            </w:r>
          </w:p>
        </w:tc>
        <w:tc>
          <w:tcPr>
            <w:tcW w:w="5044" w:type="dxa"/>
            <w:tcBorders>
              <w:top w:val="single" w:sz="2" w:space="0" w:color="auto"/>
              <w:left w:val="single" w:sz="2" w:space="0" w:color="auto"/>
              <w:bottom w:val="single" w:sz="2" w:space="0" w:color="auto"/>
              <w:right w:val="single" w:sz="2" w:space="0" w:color="auto"/>
            </w:tcBorders>
          </w:tcPr>
          <w:p w14:paraId="58B6B52B" w14:textId="77777777" w:rsidR="000978CB" w:rsidRPr="00DE12A3" w:rsidRDefault="000978CB" w:rsidP="00C917D6">
            <w:pPr>
              <w:spacing w:before="120" w:after="120"/>
              <w:rPr>
                <w:rFonts w:cs="Times New Roman"/>
                <w:color w:val="auto"/>
              </w:rPr>
            </w:pPr>
            <w:r w:rsidRPr="00DE12A3">
              <w:rPr>
                <w:rFonts w:cs="Times New Roman"/>
                <w:color w:val="auto"/>
              </w:rPr>
              <w:t>Mutlak nem</w:t>
            </w:r>
          </w:p>
        </w:tc>
      </w:tr>
      <w:tr w:rsidR="00DE12A3" w:rsidRPr="00DE12A3" w14:paraId="60FE4AA2" w14:textId="77777777" w:rsidTr="002C23B9">
        <w:tc>
          <w:tcPr>
            <w:tcW w:w="1261" w:type="dxa"/>
            <w:tcBorders>
              <w:top w:val="single" w:sz="2" w:space="0" w:color="auto"/>
              <w:left w:val="single" w:sz="2" w:space="0" w:color="auto"/>
              <w:bottom w:val="single" w:sz="2" w:space="0" w:color="auto"/>
              <w:right w:val="single" w:sz="2" w:space="0" w:color="auto"/>
            </w:tcBorders>
          </w:tcPr>
          <w:p w14:paraId="6568F040" w14:textId="77777777" w:rsidR="000978CB" w:rsidRPr="00DE12A3" w:rsidRDefault="000978CB" w:rsidP="00C917D6">
            <w:pPr>
              <w:adjustRightInd w:val="0"/>
              <w:spacing w:before="120" w:after="120"/>
              <w:rPr>
                <w:rFonts w:cs="Times New Roman"/>
                <w:color w:val="auto"/>
              </w:rPr>
            </w:pPr>
          </w:p>
        </w:tc>
        <w:tc>
          <w:tcPr>
            <w:tcW w:w="1261" w:type="dxa"/>
            <w:tcBorders>
              <w:top w:val="single" w:sz="2" w:space="0" w:color="auto"/>
              <w:left w:val="single" w:sz="2" w:space="0" w:color="auto"/>
              <w:bottom w:val="single" w:sz="2" w:space="0" w:color="auto"/>
              <w:right w:val="single" w:sz="2" w:space="0" w:color="auto"/>
            </w:tcBorders>
          </w:tcPr>
          <w:p w14:paraId="05D5BF37" w14:textId="77777777" w:rsidR="000978CB" w:rsidRPr="00DE12A3" w:rsidRDefault="000978CB" w:rsidP="00C917D6">
            <w:pPr>
              <w:pStyle w:val="NormalLeft"/>
            </w:pPr>
            <w:r w:rsidRPr="00DE12A3">
              <w:rPr>
                <w:i/>
                <w:iCs/>
              </w:rPr>
              <w:t>K</w:t>
            </w:r>
          </w:p>
        </w:tc>
        <w:tc>
          <w:tcPr>
            <w:tcW w:w="1441" w:type="dxa"/>
            <w:tcBorders>
              <w:top w:val="single" w:sz="2" w:space="0" w:color="auto"/>
              <w:left w:val="single" w:sz="2" w:space="0" w:color="auto"/>
              <w:bottom w:val="single" w:sz="2" w:space="0" w:color="auto"/>
              <w:right w:val="single" w:sz="2" w:space="0" w:color="auto"/>
            </w:tcBorders>
          </w:tcPr>
          <w:p w14:paraId="74154D09" w14:textId="77777777" w:rsidR="000978CB" w:rsidRPr="00DE12A3" w:rsidRDefault="000978CB" w:rsidP="00C917D6">
            <w:pPr>
              <w:pStyle w:val="NormalLeft"/>
            </w:pPr>
            <w:r w:rsidRPr="00DE12A3">
              <w:t>—</w:t>
            </w:r>
          </w:p>
        </w:tc>
        <w:tc>
          <w:tcPr>
            <w:tcW w:w="5044" w:type="dxa"/>
            <w:tcBorders>
              <w:top w:val="single" w:sz="2" w:space="0" w:color="auto"/>
              <w:left w:val="single" w:sz="2" w:space="0" w:color="auto"/>
              <w:bottom w:val="single" w:sz="2" w:space="0" w:color="auto"/>
              <w:right w:val="single" w:sz="2" w:space="0" w:color="auto"/>
            </w:tcBorders>
          </w:tcPr>
          <w:p w14:paraId="70394AFA" w14:textId="77777777" w:rsidR="000978CB" w:rsidRPr="00DE12A3" w:rsidRDefault="000978CB" w:rsidP="00C917D6">
            <w:pPr>
              <w:spacing w:before="120" w:after="120"/>
              <w:rPr>
                <w:rFonts w:cs="Times New Roman"/>
                <w:color w:val="auto"/>
              </w:rPr>
            </w:pPr>
            <w:r w:rsidRPr="00DE12A3">
              <w:rPr>
                <w:rFonts w:cs="Times New Roman"/>
                <w:color w:val="auto"/>
              </w:rPr>
              <w:t>Düzeltme faktörü</w:t>
            </w:r>
          </w:p>
        </w:tc>
      </w:tr>
      <w:tr w:rsidR="00DE12A3" w:rsidRPr="00DE12A3" w14:paraId="343770E5" w14:textId="77777777" w:rsidTr="002C23B9">
        <w:tc>
          <w:tcPr>
            <w:tcW w:w="1261" w:type="dxa"/>
            <w:tcBorders>
              <w:top w:val="single" w:sz="2" w:space="0" w:color="auto"/>
              <w:left w:val="single" w:sz="2" w:space="0" w:color="auto"/>
              <w:bottom w:val="single" w:sz="2" w:space="0" w:color="auto"/>
              <w:right w:val="single" w:sz="2" w:space="0" w:color="auto"/>
            </w:tcBorders>
          </w:tcPr>
          <w:p w14:paraId="168225C3" w14:textId="77777777" w:rsidR="000978CB" w:rsidRPr="00DE12A3" w:rsidRDefault="000978CB" w:rsidP="00C917D6">
            <w:pPr>
              <w:pStyle w:val="NormalLeft"/>
            </w:pPr>
            <w:r w:rsidRPr="00DE12A3">
              <w:rPr>
                <w:i/>
                <w:iCs/>
              </w:rPr>
              <w:t>K</w:t>
            </w:r>
            <w:r w:rsidRPr="00DE12A3">
              <w:rPr>
                <w:vertAlign w:val="subscript"/>
              </w:rPr>
              <w:t>V</w:t>
            </w:r>
          </w:p>
        </w:tc>
        <w:tc>
          <w:tcPr>
            <w:tcW w:w="1261" w:type="dxa"/>
            <w:tcBorders>
              <w:top w:val="single" w:sz="2" w:space="0" w:color="auto"/>
              <w:left w:val="single" w:sz="2" w:space="0" w:color="auto"/>
              <w:bottom w:val="single" w:sz="2" w:space="0" w:color="auto"/>
              <w:right w:val="single" w:sz="2" w:space="0" w:color="auto"/>
            </w:tcBorders>
          </w:tcPr>
          <w:p w14:paraId="19EF5573" w14:textId="77777777" w:rsidR="000978CB" w:rsidRPr="00DE12A3" w:rsidRDefault="000978CB" w:rsidP="00C917D6">
            <w:pPr>
              <w:pStyle w:val="NormalLeft"/>
            </w:pPr>
          </w:p>
        </w:tc>
        <w:tc>
          <w:tcPr>
            <w:tcW w:w="1441" w:type="dxa"/>
            <w:tcBorders>
              <w:top w:val="single" w:sz="2" w:space="0" w:color="auto"/>
              <w:left w:val="single" w:sz="2" w:space="0" w:color="auto"/>
              <w:bottom w:val="single" w:sz="2" w:space="0" w:color="auto"/>
              <w:right w:val="single" w:sz="2" w:space="0" w:color="auto"/>
            </w:tcBorders>
          </w:tcPr>
          <w:p w14:paraId="0DADEBAE" w14:textId="2A094BDD" w:rsidR="000978CB" w:rsidRPr="00DE12A3" w:rsidRDefault="000978CB" w:rsidP="00C917D6">
            <w:pPr>
              <w:pStyle w:val="NormalLeft"/>
            </w:pPr>
            <w:r w:rsidRPr="00DE12A3">
              <w:rPr>
                <w:noProof/>
                <w:lang w:val="tr-TR"/>
              </w:rPr>
              <w:drawing>
                <wp:inline distT="0" distB="0" distL="0" distR="0" wp14:anchorId="25DE528B" wp14:editId="711A1E06">
                  <wp:extent cx="832485" cy="369570"/>
                  <wp:effectExtent l="0" t="0" r="5715" b="0"/>
                  <wp:docPr id="31" name="Resim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832485" cy="369570"/>
                          </a:xfrm>
                          <a:prstGeom prst="rect">
                            <a:avLst/>
                          </a:prstGeom>
                          <a:noFill/>
                          <a:ln>
                            <a:noFill/>
                          </a:ln>
                        </pic:spPr>
                      </pic:pic>
                    </a:graphicData>
                  </a:graphic>
                </wp:inline>
              </w:drawing>
            </w:r>
          </w:p>
        </w:tc>
        <w:tc>
          <w:tcPr>
            <w:tcW w:w="5044" w:type="dxa"/>
            <w:tcBorders>
              <w:top w:val="single" w:sz="2" w:space="0" w:color="auto"/>
              <w:left w:val="single" w:sz="2" w:space="0" w:color="auto"/>
              <w:bottom w:val="single" w:sz="2" w:space="0" w:color="auto"/>
              <w:right w:val="single" w:sz="2" w:space="0" w:color="auto"/>
            </w:tcBorders>
          </w:tcPr>
          <w:p w14:paraId="64372FF3" w14:textId="77777777" w:rsidR="000978CB" w:rsidRPr="00DE12A3" w:rsidRDefault="000978CB" w:rsidP="00C917D6">
            <w:pPr>
              <w:spacing w:before="120" w:after="120"/>
              <w:rPr>
                <w:rFonts w:cs="Times New Roman"/>
                <w:color w:val="auto"/>
              </w:rPr>
            </w:pPr>
            <w:r w:rsidRPr="00DE12A3">
              <w:rPr>
                <w:rFonts w:cs="Times New Roman"/>
                <w:color w:val="auto"/>
              </w:rPr>
              <w:t>CFV kalibrasyon fonksiyonu</w:t>
            </w:r>
          </w:p>
        </w:tc>
      </w:tr>
      <w:tr w:rsidR="00DE12A3" w:rsidRPr="00DE12A3" w14:paraId="765F8B97" w14:textId="77777777" w:rsidTr="002C23B9">
        <w:tc>
          <w:tcPr>
            <w:tcW w:w="1261" w:type="dxa"/>
            <w:tcBorders>
              <w:top w:val="single" w:sz="2" w:space="0" w:color="auto"/>
              <w:left w:val="single" w:sz="2" w:space="0" w:color="auto"/>
              <w:bottom w:val="single" w:sz="2" w:space="0" w:color="auto"/>
              <w:right w:val="single" w:sz="2" w:space="0" w:color="auto"/>
            </w:tcBorders>
          </w:tcPr>
          <w:p w14:paraId="4DF2BF15" w14:textId="77777777" w:rsidR="000978CB" w:rsidRPr="00DE12A3" w:rsidRDefault="000978CB" w:rsidP="00C917D6">
            <w:pPr>
              <w:pStyle w:val="NormalLeft"/>
            </w:pPr>
            <w:r w:rsidRPr="00DE12A3">
              <w:rPr>
                <w:i/>
                <w:iCs/>
              </w:rPr>
              <w:t>k</w:t>
            </w:r>
            <w:r w:rsidRPr="00DE12A3">
              <w:rPr>
                <w:vertAlign w:val="subscript"/>
              </w:rPr>
              <w:t>f</w:t>
            </w:r>
          </w:p>
        </w:tc>
        <w:tc>
          <w:tcPr>
            <w:tcW w:w="1261" w:type="dxa"/>
            <w:tcBorders>
              <w:top w:val="single" w:sz="2" w:space="0" w:color="auto"/>
              <w:left w:val="single" w:sz="2" w:space="0" w:color="auto"/>
              <w:bottom w:val="single" w:sz="2" w:space="0" w:color="auto"/>
              <w:right w:val="single" w:sz="2" w:space="0" w:color="auto"/>
            </w:tcBorders>
          </w:tcPr>
          <w:p w14:paraId="749963D0" w14:textId="77777777" w:rsidR="000978CB" w:rsidRPr="00DE12A3" w:rsidRDefault="000978CB" w:rsidP="00C917D6">
            <w:pPr>
              <w:pStyle w:val="NormalLeft"/>
            </w:pPr>
          </w:p>
        </w:tc>
        <w:tc>
          <w:tcPr>
            <w:tcW w:w="1441" w:type="dxa"/>
            <w:tcBorders>
              <w:top w:val="single" w:sz="2" w:space="0" w:color="auto"/>
              <w:left w:val="single" w:sz="2" w:space="0" w:color="auto"/>
              <w:bottom w:val="single" w:sz="2" w:space="0" w:color="auto"/>
              <w:right w:val="single" w:sz="2" w:space="0" w:color="auto"/>
            </w:tcBorders>
          </w:tcPr>
          <w:p w14:paraId="3B9724F0" w14:textId="77777777" w:rsidR="000978CB" w:rsidRPr="00DE12A3" w:rsidRDefault="000978CB" w:rsidP="00C917D6">
            <w:pPr>
              <w:pStyle w:val="NormalLeft"/>
            </w:pPr>
            <w:r w:rsidRPr="00DE12A3">
              <w:t>m</w:t>
            </w:r>
            <w:r w:rsidRPr="00DE12A3">
              <w:rPr>
                <w:vertAlign w:val="superscript"/>
              </w:rPr>
              <w:t>3</w:t>
            </w:r>
            <w:r w:rsidRPr="00DE12A3">
              <w:t>/kg fuel</w:t>
            </w:r>
          </w:p>
        </w:tc>
        <w:tc>
          <w:tcPr>
            <w:tcW w:w="5044" w:type="dxa"/>
            <w:tcBorders>
              <w:top w:val="single" w:sz="2" w:space="0" w:color="auto"/>
              <w:left w:val="single" w:sz="2" w:space="0" w:color="auto"/>
              <w:bottom w:val="single" w:sz="2" w:space="0" w:color="auto"/>
              <w:right w:val="single" w:sz="2" w:space="0" w:color="auto"/>
            </w:tcBorders>
          </w:tcPr>
          <w:p w14:paraId="3070E720" w14:textId="77777777" w:rsidR="000978CB" w:rsidRPr="00DE12A3" w:rsidRDefault="000978CB" w:rsidP="00C917D6">
            <w:pPr>
              <w:spacing w:before="120" w:after="120"/>
              <w:rPr>
                <w:rFonts w:cs="Times New Roman"/>
                <w:color w:val="auto"/>
              </w:rPr>
            </w:pPr>
            <w:r w:rsidRPr="00DE12A3">
              <w:rPr>
                <w:rFonts w:cs="Times New Roman"/>
                <w:color w:val="auto"/>
              </w:rPr>
              <w:t>Yakıta özgü faktör</w:t>
            </w:r>
          </w:p>
        </w:tc>
      </w:tr>
      <w:tr w:rsidR="00DE12A3" w:rsidRPr="00DE12A3" w14:paraId="2B236A75" w14:textId="77777777" w:rsidTr="002C23B9">
        <w:tc>
          <w:tcPr>
            <w:tcW w:w="1261" w:type="dxa"/>
            <w:tcBorders>
              <w:top w:val="single" w:sz="2" w:space="0" w:color="auto"/>
              <w:left w:val="single" w:sz="2" w:space="0" w:color="auto"/>
              <w:bottom w:val="single" w:sz="2" w:space="0" w:color="auto"/>
              <w:right w:val="single" w:sz="2" w:space="0" w:color="auto"/>
            </w:tcBorders>
          </w:tcPr>
          <w:p w14:paraId="4A7B1F4F" w14:textId="77777777" w:rsidR="000978CB" w:rsidRPr="00DE12A3" w:rsidRDefault="000978CB" w:rsidP="00C917D6">
            <w:pPr>
              <w:pStyle w:val="NormalLeft"/>
            </w:pPr>
            <w:r w:rsidRPr="00DE12A3">
              <w:rPr>
                <w:i/>
                <w:iCs/>
              </w:rPr>
              <w:t>k</w:t>
            </w:r>
            <w:r w:rsidRPr="00DE12A3">
              <w:rPr>
                <w:vertAlign w:val="subscript"/>
              </w:rPr>
              <w:t>h</w:t>
            </w:r>
          </w:p>
        </w:tc>
        <w:tc>
          <w:tcPr>
            <w:tcW w:w="1261" w:type="dxa"/>
            <w:tcBorders>
              <w:top w:val="single" w:sz="2" w:space="0" w:color="auto"/>
              <w:left w:val="single" w:sz="2" w:space="0" w:color="auto"/>
              <w:bottom w:val="single" w:sz="2" w:space="0" w:color="auto"/>
              <w:right w:val="single" w:sz="2" w:space="0" w:color="auto"/>
            </w:tcBorders>
          </w:tcPr>
          <w:p w14:paraId="706CF27D" w14:textId="77777777" w:rsidR="000978CB" w:rsidRPr="00DE12A3" w:rsidRDefault="000978CB" w:rsidP="00C917D6">
            <w:pPr>
              <w:pStyle w:val="NormalLeft"/>
            </w:pPr>
          </w:p>
        </w:tc>
        <w:tc>
          <w:tcPr>
            <w:tcW w:w="1441" w:type="dxa"/>
            <w:tcBorders>
              <w:top w:val="single" w:sz="2" w:space="0" w:color="auto"/>
              <w:left w:val="single" w:sz="2" w:space="0" w:color="auto"/>
              <w:bottom w:val="single" w:sz="2" w:space="0" w:color="auto"/>
              <w:right w:val="single" w:sz="2" w:space="0" w:color="auto"/>
            </w:tcBorders>
          </w:tcPr>
          <w:p w14:paraId="1E9F889E" w14:textId="77777777" w:rsidR="000978CB" w:rsidRPr="00DE12A3" w:rsidRDefault="000978CB" w:rsidP="00C917D6">
            <w:pPr>
              <w:pStyle w:val="NormalLeft"/>
            </w:pPr>
            <w:r w:rsidRPr="00DE12A3">
              <w:t>—</w:t>
            </w:r>
          </w:p>
        </w:tc>
        <w:tc>
          <w:tcPr>
            <w:tcW w:w="5044" w:type="dxa"/>
            <w:tcBorders>
              <w:top w:val="single" w:sz="2" w:space="0" w:color="auto"/>
              <w:left w:val="single" w:sz="2" w:space="0" w:color="auto"/>
              <w:bottom w:val="single" w:sz="2" w:space="0" w:color="auto"/>
              <w:right w:val="single" w:sz="2" w:space="0" w:color="auto"/>
            </w:tcBorders>
          </w:tcPr>
          <w:p w14:paraId="6948DBC1" w14:textId="77777777" w:rsidR="000978CB" w:rsidRPr="00DE12A3" w:rsidRDefault="000978CB" w:rsidP="00C917D6">
            <w:pPr>
              <w:spacing w:before="120" w:after="120"/>
              <w:rPr>
                <w:rFonts w:cs="Times New Roman"/>
                <w:color w:val="auto"/>
              </w:rPr>
            </w:pPr>
            <w:r w:rsidRPr="00DE12A3">
              <w:rPr>
                <w:rFonts w:cs="Times New Roman"/>
                <w:color w:val="auto"/>
              </w:rPr>
              <w:t>NOx için nem düzeltme faktörü, dizel motorlar</w:t>
            </w:r>
          </w:p>
        </w:tc>
      </w:tr>
      <w:tr w:rsidR="00DE12A3" w:rsidRPr="00DE12A3" w14:paraId="1BF1CD32" w14:textId="77777777" w:rsidTr="002C23B9">
        <w:tc>
          <w:tcPr>
            <w:tcW w:w="1261" w:type="dxa"/>
            <w:tcBorders>
              <w:top w:val="single" w:sz="2" w:space="0" w:color="auto"/>
              <w:left w:val="single" w:sz="2" w:space="0" w:color="auto"/>
              <w:bottom w:val="single" w:sz="2" w:space="0" w:color="auto"/>
              <w:right w:val="single" w:sz="2" w:space="0" w:color="auto"/>
            </w:tcBorders>
          </w:tcPr>
          <w:p w14:paraId="08B7E133" w14:textId="77777777" w:rsidR="000978CB" w:rsidRPr="00DE12A3" w:rsidRDefault="000978CB" w:rsidP="00C917D6">
            <w:pPr>
              <w:pStyle w:val="NormalLeft"/>
            </w:pPr>
            <w:r w:rsidRPr="00DE12A3">
              <w:rPr>
                <w:i/>
                <w:iCs/>
              </w:rPr>
              <w:t>k</w:t>
            </w:r>
            <w:r w:rsidRPr="00DE12A3">
              <w:rPr>
                <w:vertAlign w:val="subscript"/>
              </w:rPr>
              <w:t>Dr</w:t>
            </w:r>
          </w:p>
        </w:tc>
        <w:tc>
          <w:tcPr>
            <w:tcW w:w="1261" w:type="dxa"/>
            <w:tcBorders>
              <w:top w:val="single" w:sz="2" w:space="0" w:color="auto"/>
              <w:left w:val="single" w:sz="2" w:space="0" w:color="auto"/>
              <w:bottom w:val="single" w:sz="2" w:space="0" w:color="auto"/>
              <w:right w:val="single" w:sz="2" w:space="0" w:color="auto"/>
            </w:tcBorders>
          </w:tcPr>
          <w:p w14:paraId="11471B13" w14:textId="77777777" w:rsidR="000978CB" w:rsidRPr="00DE12A3" w:rsidRDefault="000978CB" w:rsidP="00C917D6">
            <w:pPr>
              <w:pStyle w:val="NormalLeft"/>
            </w:pPr>
            <w:r w:rsidRPr="00DE12A3">
              <w:rPr>
                <w:i/>
                <w:iCs/>
              </w:rPr>
              <w:t>k</w:t>
            </w:r>
            <w:r w:rsidRPr="00DE12A3">
              <w:rPr>
                <w:vertAlign w:val="subscript"/>
              </w:rPr>
              <w:t>Dr</w:t>
            </w:r>
          </w:p>
        </w:tc>
        <w:tc>
          <w:tcPr>
            <w:tcW w:w="1441" w:type="dxa"/>
            <w:tcBorders>
              <w:top w:val="single" w:sz="2" w:space="0" w:color="auto"/>
              <w:left w:val="single" w:sz="2" w:space="0" w:color="auto"/>
              <w:bottom w:val="single" w:sz="2" w:space="0" w:color="auto"/>
              <w:right w:val="single" w:sz="2" w:space="0" w:color="auto"/>
            </w:tcBorders>
          </w:tcPr>
          <w:p w14:paraId="6FE66E8F" w14:textId="77777777" w:rsidR="000978CB" w:rsidRPr="00DE12A3" w:rsidRDefault="000978CB" w:rsidP="00C917D6">
            <w:pPr>
              <w:pStyle w:val="NormalLeft"/>
            </w:pPr>
            <w:r w:rsidRPr="00DE12A3">
              <w:t>—</w:t>
            </w:r>
          </w:p>
        </w:tc>
        <w:tc>
          <w:tcPr>
            <w:tcW w:w="5044" w:type="dxa"/>
            <w:tcBorders>
              <w:top w:val="single" w:sz="2" w:space="0" w:color="auto"/>
              <w:left w:val="single" w:sz="2" w:space="0" w:color="auto"/>
              <w:bottom w:val="single" w:sz="2" w:space="0" w:color="auto"/>
              <w:right w:val="single" w:sz="2" w:space="0" w:color="auto"/>
            </w:tcBorders>
          </w:tcPr>
          <w:p w14:paraId="762C48CD" w14:textId="77777777" w:rsidR="000978CB" w:rsidRPr="00DE12A3" w:rsidRDefault="000978CB" w:rsidP="00C917D6">
            <w:pPr>
              <w:spacing w:before="120" w:after="120"/>
              <w:rPr>
                <w:rFonts w:cs="Times New Roman"/>
                <w:color w:val="auto"/>
              </w:rPr>
            </w:pPr>
            <w:r w:rsidRPr="00DE12A3">
              <w:rPr>
                <w:rFonts w:cs="Times New Roman"/>
                <w:color w:val="auto"/>
              </w:rPr>
              <w:t>Aşağı doğru ayar faktörü</w:t>
            </w:r>
          </w:p>
        </w:tc>
      </w:tr>
      <w:tr w:rsidR="00DE12A3" w:rsidRPr="00DE12A3" w14:paraId="7EA2E4DB" w14:textId="77777777" w:rsidTr="002C23B9">
        <w:tc>
          <w:tcPr>
            <w:tcW w:w="1261" w:type="dxa"/>
            <w:tcBorders>
              <w:top w:val="single" w:sz="2" w:space="0" w:color="auto"/>
              <w:left w:val="single" w:sz="2" w:space="0" w:color="auto"/>
              <w:bottom w:val="single" w:sz="2" w:space="0" w:color="auto"/>
              <w:right w:val="single" w:sz="2" w:space="0" w:color="auto"/>
            </w:tcBorders>
          </w:tcPr>
          <w:p w14:paraId="2659C039" w14:textId="77777777" w:rsidR="000978CB" w:rsidRPr="00DE12A3" w:rsidRDefault="000978CB" w:rsidP="00C917D6">
            <w:pPr>
              <w:pStyle w:val="NormalLeft"/>
            </w:pPr>
            <w:r w:rsidRPr="00DE12A3">
              <w:rPr>
                <w:i/>
                <w:iCs/>
              </w:rPr>
              <w:t>k</w:t>
            </w:r>
            <w:r w:rsidRPr="00DE12A3">
              <w:rPr>
                <w:vertAlign w:val="subscript"/>
              </w:rPr>
              <w:t>r</w:t>
            </w:r>
          </w:p>
        </w:tc>
        <w:tc>
          <w:tcPr>
            <w:tcW w:w="1261" w:type="dxa"/>
            <w:tcBorders>
              <w:top w:val="single" w:sz="2" w:space="0" w:color="auto"/>
              <w:left w:val="single" w:sz="2" w:space="0" w:color="auto"/>
              <w:bottom w:val="single" w:sz="2" w:space="0" w:color="auto"/>
              <w:right w:val="single" w:sz="2" w:space="0" w:color="auto"/>
            </w:tcBorders>
          </w:tcPr>
          <w:p w14:paraId="5C300201" w14:textId="77777777" w:rsidR="000978CB" w:rsidRPr="00DE12A3" w:rsidRDefault="000978CB" w:rsidP="00C917D6">
            <w:pPr>
              <w:pStyle w:val="NormalLeft"/>
            </w:pPr>
            <w:r w:rsidRPr="00DE12A3">
              <w:rPr>
                <w:i/>
                <w:iCs/>
              </w:rPr>
              <w:t>k</w:t>
            </w:r>
            <w:r w:rsidRPr="00DE12A3">
              <w:rPr>
                <w:vertAlign w:val="subscript"/>
              </w:rPr>
              <w:t>r</w:t>
            </w:r>
          </w:p>
        </w:tc>
        <w:tc>
          <w:tcPr>
            <w:tcW w:w="1441" w:type="dxa"/>
            <w:tcBorders>
              <w:top w:val="single" w:sz="2" w:space="0" w:color="auto"/>
              <w:left w:val="single" w:sz="2" w:space="0" w:color="auto"/>
              <w:bottom w:val="single" w:sz="2" w:space="0" w:color="auto"/>
              <w:right w:val="single" w:sz="2" w:space="0" w:color="auto"/>
            </w:tcBorders>
          </w:tcPr>
          <w:p w14:paraId="38C9BC27" w14:textId="77777777" w:rsidR="000978CB" w:rsidRPr="00DE12A3" w:rsidRDefault="000978CB" w:rsidP="00C917D6">
            <w:pPr>
              <w:pStyle w:val="NormalLeft"/>
            </w:pPr>
            <w:r w:rsidRPr="00DE12A3">
              <w:t>—</w:t>
            </w:r>
          </w:p>
        </w:tc>
        <w:tc>
          <w:tcPr>
            <w:tcW w:w="5044" w:type="dxa"/>
            <w:tcBorders>
              <w:top w:val="single" w:sz="2" w:space="0" w:color="auto"/>
              <w:left w:val="single" w:sz="2" w:space="0" w:color="auto"/>
              <w:bottom w:val="single" w:sz="2" w:space="0" w:color="auto"/>
              <w:right w:val="single" w:sz="2" w:space="0" w:color="auto"/>
            </w:tcBorders>
          </w:tcPr>
          <w:p w14:paraId="2E43EB34" w14:textId="77777777" w:rsidR="000978CB" w:rsidRPr="00DE12A3" w:rsidRDefault="000978CB" w:rsidP="00C917D6">
            <w:pPr>
              <w:spacing w:before="120" w:after="120"/>
              <w:rPr>
                <w:rFonts w:cs="Times New Roman"/>
                <w:color w:val="auto"/>
              </w:rPr>
            </w:pPr>
            <w:r w:rsidRPr="00DE12A3">
              <w:rPr>
                <w:rFonts w:cs="Times New Roman"/>
                <w:color w:val="auto"/>
              </w:rPr>
              <w:t>Çarpımsal rejenerasyon faktörü</w:t>
            </w:r>
          </w:p>
        </w:tc>
      </w:tr>
      <w:tr w:rsidR="00DE12A3" w:rsidRPr="00DE12A3" w14:paraId="5722B014" w14:textId="77777777" w:rsidTr="002C23B9">
        <w:tc>
          <w:tcPr>
            <w:tcW w:w="1261" w:type="dxa"/>
            <w:tcBorders>
              <w:top w:val="single" w:sz="2" w:space="0" w:color="auto"/>
              <w:left w:val="single" w:sz="2" w:space="0" w:color="auto"/>
              <w:bottom w:val="single" w:sz="2" w:space="0" w:color="auto"/>
              <w:right w:val="single" w:sz="2" w:space="0" w:color="auto"/>
            </w:tcBorders>
          </w:tcPr>
          <w:p w14:paraId="4A32A3E3" w14:textId="77777777" w:rsidR="000978CB" w:rsidRPr="00DE12A3" w:rsidRDefault="000978CB" w:rsidP="00C917D6">
            <w:pPr>
              <w:pStyle w:val="NormalLeft"/>
            </w:pPr>
            <w:r w:rsidRPr="00DE12A3">
              <w:rPr>
                <w:i/>
                <w:iCs/>
              </w:rPr>
              <w:t>k</w:t>
            </w:r>
            <w:r w:rsidRPr="00DE12A3">
              <w:rPr>
                <w:vertAlign w:val="subscript"/>
              </w:rPr>
              <w:t>Ur</w:t>
            </w:r>
          </w:p>
        </w:tc>
        <w:tc>
          <w:tcPr>
            <w:tcW w:w="1261" w:type="dxa"/>
            <w:tcBorders>
              <w:top w:val="single" w:sz="2" w:space="0" w:color="auto"/>
              <w:left w:val="single" w:sz="2" w:space="0" w:color="auto"/>
              <w:bottom w:val="single" w:sz="2" w:space="0" w:color="auto"/>
              <w:right w:val="single" w:sz="2" w:space="0" w:color="auto"/>
            </w:tcBorders>
          </w:tcPr>
          <w:p w14:paraId="13C61EE6" w14:textId="77777777" w:rsidR="000978CB" w:rsidRPr="00DE12A3" w:rsidRDefault="000978CB" w:rsidP="00C917D6">
            <w:pPr>
              <w:pStyle w:val="NormalLeft"/>
            </w:pPr>
            <w:r w:rsidRPr="00DE12A3">
              <w:rPr>
                <w:i/>
                <w:iCs/>
              </w:rPr>
              <w:t>k</w:t>
            </w:r>
            <w:r w:rsidRPr="00DE12A3">
              <w:rPr>
                <w:vertAlign w:val="subscript"/>
              </w:rPr>
              <w:t>Ur</w:t>
            </w:r>
          </w:p>
        </w:tc>
        <w:tc>
          <w:tcPr>
            <w:tcW w:w="1441" w:type="dxa"/>
            <w:tcBorders>
              <w:top w:val="single" w:sz="2" w:space="0" w:color="auto"/>
              <w:left w:val="single" w:sz="2" w:space="0" w:color="auto"/>
              <w:bottom w:val="single" w:sz="2" w:space="0" w:color="auto"/>
              <w:right w:val="single" w:sz="2" w:space="0" w:color="auto"/>
            </w:tcBorders>
          </w:tcPr>
          <w:p w14:paraId="329C1275" w14:textId="77777777" w:rsidR="000978CB" w:rsidRPr="00DE12A3" w:rsidRDefault="000978CB" w:rsidP="00C917D6">
            <w:pPr>
              <w:pStyle w:val="NormalLeft"/>
            </w:pPr>
            <w:r w:rsidRPr="00DE12A3">
              <w:t>—</w:t>
            </w:r>
          </w:p>
        </w:tc>
        <w:tc>
          <w:tcPr>
            <w:tcW w:w="5044" w:type="dxa"/>
            <w:tcBorders>
              <w:top w:val="single" w:sz="2" w:space="0" w:color="auto"/>
              <w:left w:val="single" w:sz="2" w:space="0" w:color="auto"/>
              <w:bottom w:val="single" w:sz="2" w:space="0" w:color="auto"/>
              <w:right w:val="single" w:sz="2" w:space="0" w:color="auto"/>
            </w:tcBorders>
          </w:tcPr>
          <w:p w14:paraId="287CCF1F" w14:textId="77777777" w:rsidR="000978CB" w:rsidRPr="00DE12A3" w:rsidRDefault="000978CB" w:rsidP="00C917D6">
            <w:pPr>
              <w:spacing w:before="120" w:after="120"/>
              <w:rPr>
                <w:rFonts w:cs="Times New Roman"/>
                <w:color w:val="auto"/>
              </w:rPr>
            </w:pPr>
            <w:r w:rsidRPr="00DE12A3">
              <w:rPr>
                <w:rFonts w:cs="Times New Roman"/>
                <w:color w:val="auto"/>
              </w:rPr>
              <w:t>Yukarı doğru ayar faktörü</w:t>
            </w:r>
          </w:p>
        </w:tc>
      </w:tr>
      <w:tr w:rsidR="00DE12A3" w:rsidRPr="00DE12A3" w14:paraId="0828E09B" w14:textId="77777777" w:rsidTr="002C23B9">
        <w:tc>
          <w:tcPr>
            <w:tcW w:w="1261" w:type="dxa"/>
            <w:tcBorders>
              <w:top w:val="single" w:sz="2" w:space="0" w:color="auto"/>
              <w:left w:val="single" w:sz="2" w:space="0" w:color="auto"/>
              <w:bottom w:val="single" w:sz="2" w:space="0" w:color="auto"/>
              <w:right w:val="single" w:sz="2" w:space="0" w:color="auto"/>
            </w:tcBorders>
          </w:tcPr>
          <w:p w14:paraId="68C9C49B" w14:textId="77777777" w:rsidR="000978CB" w:rsidRPr="00DE12A3" w:rsidRDefault="000978CB" w:rsidP="00C917D6">
            <w:pPr>
              <w:pStyle w:val="NormalLeft"/>
            </w:pPr>
            <w:r w:rsidRPr="00DE12A3">
              <w:rPr>
                <w:i/>
                <w:iCs/>
              </w:rPr>
              <w:t>k</w:t>
            </w:r>
            <w:r w:rsidRPr="00DE12A3">
              <w:rPr>
                <w:vertAlign w:val="subscript"/>
              </w:rPr>
              <w:t>w,a</w:t>
            </w:r>
          </w:p>
        </w:tc>
        <w:tc>
          <w:tcPr>
            <w:tcW w:w="1261" w:type="dxa"/>
            <w:tcBorders>
              <w:top w:val="single" w:sz="2" w:space="0" w:color="auto"/>
              <w:left w:val="single" w:sz="2" w:space="0" w:color="auto"/>
              <w:bottom w:val="single" w:sz="2" w:space="0" w:color="auto"/>
              <w:right w:val="single" w:sz="2" w:space="0" w:color="auto"/>
            </w:tcBorders>
          </w:tcPr>
          <w:p w14:paraId="1F886A3E" w14:textId="77777777" w:rsidR="000978CB" w:rsidRPr="00DE12A3" w:rsidRDefault="000978CB" w:rsidP="00C917D6">
            <w:pPr>
              <w:pStyle w:val="NormalLeft"/>
            </w:pPr>
          </w:p>
        </w:tc>
        <w:tc>
          <w:tcPr>
            <w:tcW w:w="1441" w:type="dxa"/>
            <w:tcBorders>
              <w:top w:val="single" w:sz="2" w:space="0" w:color="auto"/>
              <w:left w:val="single" w:sz="2" w:space="0" w:color="auto"/>
              <w:bottom w:val="single" w:sz="2" w:space="0" w:color="auto"/>
              <w:right w:val="single" w:sz="2" w:space="0" w:color="auto"/>
            </w:tcBorders>
          </w:tcPr>
          <w:p w14:paraId="4F6090A2" w14:textId="77777777" w:rsidR="000978CB" w:rsidRPr="00DE12A3" w:rsidRDefault="000978CB" w:rsidP="00C917D6">
            <w:pPr>
              <w:pStyle w:val="NormalLeft"/>
            </w:pPr>
            <w:r w:rsidRPr="00DE12A3">
              <w:t>—</w:t>
            </w:r>
          </w:p>
        </w:tc>
        <w:tc>
          <w:tcPr>
            <w:tcW w:w="5044" w:type="dxa"/>
            <w:tcBorders>
              <w:top w:val="single" w:sz="2" w:space="0" w:color="auto"/>
              <w:left w:val="single" w:sz="2" w:space="0" w:color="auto"/>
              <w:bottom w:val="single" w:sz="2" w:space="0" w:color="auto"/>
              <w:right w:val="single" w:sz="2" w:space="0" w:color="auto"/>
            </w:tcBorders>
          </w:tcPr>
          <w:p w14:paraId="469974F6" w14:textId="77777777" w:rsidR="000978CB" w:rsidRPr="00DE12A3" w:rsidRDefault="000978CB" w:rsidP="00C917D6">
            <w:pPr>
              <w:spacing w:before="120" w:after="120"/>
              <w:rPr>
                <w:rFonts w:cs="Times New Roman"/>
                <w:color w:val="auto"/>
              </w:rPr>
            </w:pPr>
            <w:r w:rsidRPr="00DE12A3">
              <w:rPr>
                <w:rFonts w:cs="Times New Roman"/>
                <w:color w:val="auto"/>
              </w:rPr>
              <w:t>Emme havası için kuru ila yaş düzeltme faktörü</w:t>
            </w:r>
          </w:p>
        </w:tc>
      </w:tr>
      <w:tr w:rsidR="00DE12A3" w:rsidRPr="00DE12A3" w14:paraId="3BF2ADD6" w14:textId="77777777" w:rsidTr="002C23B9">
        <w:tc>
          <w:tcPr>
            <w:tcW w:w="1261" w:type="dxa"/>
            <w:tcBorders>
              <w:top w:val="single" w:sz="2" w:space="0" w:color="auto"/>
              <w:left w:val="single" w:sz="2" w:space="0" w:color="auto"/>
              <w:bottom w:val="single" w:sz="2" w:space="0" w:color="auto"/>
              <w:right w:val="single" w:sz="2" w:space="0" w:color="auto"/>
            </w:tcBorders>
          </w:tcPr>
          <w:p w14:paraId="233D489E" w14:textId="77777777" w:rsidR="000978CB" w:rsidRPr="00DE12A3" w:rsidRDefault="000978CB" w:rsidP="00C917D6">
            <w:pPr>
              <w:pStyle w:val="NormalLeft"/>
            </w:pPr>
            <w:r w:rsidRPr="00DE12A3">
              <w:rPr>
                <w:i/>
                <w:iCs/>
              </w:rPr>
              <w:t>k</w:t>
            </w:r>
            <w:r w:rsidRPr="00DE12A3">
              <w:rPr>
                <w:vertAlign w:val="subscript"/>
              </w:rPr>
              <w:t>w,d</w:t>
            </w:r>
          </w:p>
        </w:tc>
        <w:tc>
          <w:tcPr>
            <w:tcW w:w="1261" w:type="dxa"/>
            <w:tcBorders>
              <w:top w:val="single" w:sz="2" w:space="0" w:color="auto"/>
              <w:left w:val="single" w:sz="2" w:space="0" w:color="auto"/>
              <w:bottom w:val="single" w:sz="2" w:space="0" w:color="auto"/>
              <w:right w:val="single" w:sz="2" w:space="0" w:color="auto"/>
            </w:tcBorders>
          </w:tcPr>
          <w:p w14:paraId="0117929E" w14:textId="77777777" w:rsidR="000978CB" w:rsidRPr="00DE12A3" w:rsidRDefault="000978CB" w:rsidP="00C917D6">
            <w:pPr>
              <w:pStyle w:val="NormalLeft"/>
            </w:pPr>
          </w:p>
        </w:tc>
        <w:tc>
          <w:tcPr>
            <w:tcW w:w="1441" w:type="dxa"/>
            <w:tcBorders>
              <w:top w:val="single" w:sz="2" w:space="0" w:color="auto"/>
              <w:left w:val="single" w:sz="2" w:space="0" w:color="auto"/>
              <w:bottom w:val="single" w:sz="2" w:space="0" w:color="auto"/>
              <w:right w:val="single" w:sz="2" w:space="0" w:color="auto"/>
            </w:tcBorders>
          </w:tcPr>
          <w:p w14:paraId="00607A3D" w14:textId="77777777" w:rsidR="000978CB" w:rsidRPr="00DE12A3" w:rsidRDefault="000978CB" w:rsidP="00C917D6">
            <w:pPr>
              <w:pStyle w:val="NormalLeft"/>
            </w:pPr>
            <w:r w:rsidRPr="00DE12A3">
              <w:t>—</w:t>
            </w:r>
          </w:p>
        </w:tc>
        <w:tc>
          <w:tcPr>
            <w:tcW w:w="5044" w:type="dxa"/>
            <w:tcBorders>
              <w:top w:val="single" w:sz="2" w:space="0" w:color="auto"/>
              <w:left w:val="single" w:sz="2" w:space="0" w:color="auto"/>
              <w:bottom w:val="single" w:sz="2" w:space="0" w:color="auto"/>
              <w:right w:val="single" w:sz="2" w:space="0" w:color="auto"/>
            </w:tcBorders>
          </w:tcPr>
          <w:p w14:paraId="103E2A8A" w14:textId="77777777" w:rsidR="000978CB" w:rsidRPr="00DE12A3" w:rsidRDefault="000978CB" w:rsidP="00C917D6">
            <w:pPr>
              <w:spacing w:before="120" w:after="120"/>
              <w:rPr>
                <w:rFonts w:cs="Times New Roman"/>
                <w:color w:val="auto"/>
              </w:rPr>
            </w:pPr>
            <w:r w:rsidRPr="00DE12A3">
              <w:rPr>
                <w:rFonts w:cs="Times New Roman"/>
                <w:color w:val="auto"/>
              </w:rPr>
              <w:t>Seyreltme havası için kuru ila yaş düzeltme faktörü</w:t>
            </w:r>
          </w:p>
        </w:tc>
      </w:tr>
      <w:tr w:rsidR="00DE12A3" w:rsidRPr="00DE12A3" w14:paraId="04068653" w14:textId="77777777" w:rsidTr="002C23B9">
        <w:tc>
          <w:tcPr>
            <w:tcW w:w="1261" w:type="dxa"/>
            <w:tcBorders>
              <w:top w:val="single" w:sz="2" w:space="0" w:color="auto"/>
              <w:left w:val="single" w:sz="2" w:space="0" w:color="auto"/>
              <w:bottom w:val="single" w:sz="2" w:space="0" w:color="auto"/>
              <w:right w:val="single" w:sz="2" w:space="0" w:color="auto"/>
            </w:tcBorders>
          </w:tcPr>
          <w:p w14:paraId="6803B392" w14:textId="77777777" w:rsidR="000978CB" w:rsidRPr="00DE12A3" w:rsidRDefault="000978CB" w:rsidP="00C917D6">
            <w:pPr>
              <w:pStyle w:val="NormalLeft"/>
            </w:pPr>
            <w:r w:rsidRPr="00DE12A3">
              <w:rPr>
                <w:i/>
                <w:iCs/>
              </w:rPr>
              <w:t>k</w:t>
            </w:r>
            <w:r w:rsidRPr="00DE12A3">
              <w:rPr>
                <w:vertAlign w:val="subscript"/>
              </w:rPr>
              <w:t>w,e</w:t>
            </w:r>
          </w:p>
        </w:tc>
        <w:tc>
          <w:tcPr>
            <w:tcW w:w="1261" w:type="dxa"/>
            <w:tcBorders>
              <w:top w:val="single" w:sz="2" w:space="0" w:color="auto"/>
              <w:left w:val="single" w:sz="2" w:space="0" w:color="auto"/>
              <w:bottom w:val="single" w:sz="2" w:space="0" w:color="auto"/>
              <w:right w:val="single" w:sz="2" w:space="0" w:color="auto"/>
            </w:tcBorders>
          </w:tcPr>
          <w:p w14:paraId="710CD728" w14:textId="77777777" w:rsidR="000978CB" w:rsidRPr="00DE12A3" w:rsidRDefault="000978CB" w:rsidP="00C917D6">
            <w:pPr>
              <w:pStyle w:val="NormalLeft"/>
            </w:pPr>
          </w:p>
        </w:tc>
        <w:tc>
          <w:tcPr>
            <w:tcW w:w="1441" w:type="dxa"/>
            <w:tcBorders>
              <w:top w:val="single" w:sz="2" w:space="0" w:color="auto"/>
              <w:left w:val="single" w:sz="2" w:space="0" w:color="auto"/>
              <w:bottom w:val="single" w:sz="2" w:space="0" w:color="auto"/>
              <w:right w:val="single" w:sz="2" w:space="0" w:color="auto"/>
            </w:tcBorders>
          </w:tcPr>
          <w:p w14:paraId="14A701AF" w14:textId="77777777" w:rsidR="000978CB" w:rsidRPr="00DE12A3" w:rsidRDefault="000978CB" w:rsidP="00C917D6">
            <w:pPr>
              <w:pStyle w:val="NormalLeft"/>
            </w:pPr>
            <w:r w:rsidRPr="00DE12A3">
              <w:t>—</w:t>
            </w:r>
          </w:p>
        </w:tc>
        <w:tc>
          <w:tcPr>
            <w:tcW w:w="5044" w:type="dxa"/>
            <w:tcBorders>
              <w:top w:val="single" w:sz="2" w:space="0" w:color="auto"/>
              <w:left w:val="single" w:sz="2" w:space="0" w:color="auto"/>
              <w:bottom w:val="single" w:sz="2" w:space="0" w:color="auto"/>
              <w:right w:val="single" w:sz="2" w:space="0" w:color="auto"/>
            </w:tcBorders>
          </w:tcPr>
          <w:p w14:paraId="65F85CA1" w14:textId="77777777" w:rsidR="000978CB" w:rsidRPr="00DE12A3" w:rsidRDefault="000978CB" w:rsidP="00C917D6">
            <w:pPr>
              <w:spacing w:before="120" w:after="120"/>
              <w:rPr>
                <w:rFonts w:cs="Times New Roman"/>
                <w:color w:val="auto"/>
              </w:rPr>
            </w:pPr>
            <w:r w:rsidRPr="00DE12A3">
              <w:rPr>
                <w:rFonts w:cs="Times New Roman"/>
                <w:color w:val="auto"/>
              </w:rPr>
              <w:t>Seyreltilmiş egzoz gazı için kuru ila yaş düzeltme faktörü</w:t>
            </w:r>
          </w:p>
        </w:tc>
      </w:tr>
      <w:tr w:rsidR="00DE12A3" w:rsidRPr="00DE12A3" w14:paraId="6E17F9D1" w14:textId="77777777" w:rsidTr="002C23B9">
        <w:tc>
          <w:tcPr>
            <w:tcW w:w="1261" w:type="dxa"/>
            <w:tcBorders>
              <w:top w:val="single" w:sz="2" w:space="0" w:color="auto"/>
              <w:left w:val="single" w:sz="2" w:space="0" w:color="auto"/>
              <w:bottom w:val="single" w:sz="2" w:space="0" w:color="auto"/>
              <w:right w:val="single" w:sz="2" w:space="0" w:color="auto"/>
            </w:tcBorders>
          </w:tcPr>
          <w:p w14:paraId="095BDEF8" w14:textId="77777777" w:rsidR="000978CB" w:rsidRPr="00DE12A3" w:rsidRDefault="000978CB" w:rsidP="00C917D6">
            <w:pPr>
              <w:pStyle w:val="NormalLeft"/>
            </w:pPr>
            <w:r w:rsidRPr="00DE12A3">
              <w:rPr>
                <w:i/>
                <w:iCs/>
              </w:rPr>
              <w:t>k</w:t>
            </w:r>
            <w:r w:rsidRPr="00DE12A3">
              <w:rPr>
                <w:vertAlign w:val="subscript"/>
              </w:rPr>
              <w:t>w,r</w:t>
            </w:r>
          </w:p>
        </w:tc>
        <w:tc>
          <w:tcPr>
            <w:tcW w:w="1261" w:type="dxa"/>
            <w:tcBorders>
              <w:top w:val="single" w:sz="2" w:space="0" w:color="auto"/>
              <w:left w:val="single" w:sz="2" w:space="0" w:color="auto"/>
              <w:bottom w:val="single" w:sz="2" w:space="0" w:color="auto"/>
              <w:right w:val="single" w:sz="2" w:space="0" w:color="auto"/>
            </w:tcBorders>
          </w:tcPr>
          <w:p w14:paraId="24858824" w14:textId="77777777" w:rsidR="000978CB" w:rsidRPr="00DE12A3" w:rsidRDefault="000978CB" w:rsidP="00C917D6">
            <w:pPr>
              <w:pStyle w:val="NormalLeft"/>
            </w:pPr>
          </w:p>
        </w:tc>
        <w:tc>
          <w:tcPr>
            <w:tcW w:w="1441" w:type="dxa"/>
            <w:tcBorders>
              <w:top w:val="single" w:sz="2" w:space="0" w:color="auto"/>
              <w:left w:val="single" w:sz="2" w:space="0" w:color="auto"/>
              <w:bottom w:val="single" w:sz="2" w:space="0" w:color="auto"/>
              <w:right w:val="single" w:sz="2" w:space="0" w:color="auto"/>
            </w:tcBorders>
          </w:tcPr>
          <w:p w14:paraId="31C4A1D3" w14:textId="77777777" w:rsidR="000978CB" w:rsidRPr="00DE12A3" w:rsidRDefault="000978CB" w:rsidP="00C917D6">
            <w:pPr>
              <w:pStyle w:val="NormalLeft"/>
            </w:pPr>
            <w:r w:rsidRPr="00DE12A3">
              <w:t>—</w:t>
            </w:r>
          </w:p>
        </w:tc>
        <w:tc>
          <w:tcPr>
            <w:tcW w:w="5044" w:type="dxa"/>
            <w:tcBorders>
              <w:top w:val="single" w:sz="2" w:space="0" w:color="auto"/>
              <w:left w:val="single" w:sz="2" w:space="0" w:color="auto"/>
              <w:bottom w:val="single" w:sz="2" w:space="0" w:color="auto"/>
              <w:right w:val="single" w:sz="2" w:space="0" w:color="auto"/>
            </w:tcBorders>
          </w:tcPr>
          <w:p w14:paraId="5F80DFD6" w14:textId="77777777" w:rsidR="000978CB" w:rsidRPr="00DE12A3" w:rsidRDefault="000978CB" w:rsidP="00C917D6">
            <w:pPr>
              <w:spacing w:before="120" w:after="120"/>
              <w:rPr>
                <w:rFonts w:cs="Times New Roman"/>
                <w:color w:val="auto"/>
              </w:rPr>
            </w:pPr>
            <w:r w:rsidRPr="00DE12A3">
              <w:rPr>
                <w:rFonts w:cs="Times New Roman"/>
                <w:color w:val="auto"/>
              </w:rPr>
              <w:t>Ham egzoz gazı için kuru ila yaş düzeltme faktörü</w:t>
            </w:r>
          </w:p>
        </w:tc>
      </w:tr>
      <w:tr w:rsidR="00DE12A3" w:rsidRPr="00DE12A3" w14:paraId="46F034A7" w14:textId="77777777" w:rsidTr="002C23B9">
        <w:tc>
          <w:tcPr>
            <w:tcW w:w="1261" w:type="dxa"/>
            <w:tcBorders>
              <w:top w:val="single" w:sz="2" w:space="0" w:color="auto"/>
              <w:left w:val="single" w:sz="2" w:space="0" w:color="auto"/>
              <w:bottom w:val="single" w:sz="2" w:space="0" w:color="auto"/>
              <w:right w:val="single" w:sz="2" w:space="0" w:color="auto"/>
            </w:tcBorders>
          </w:tcPr>
          <w:p w14:paraId="28D7C867" w14:textId="77777777" w:rsidR="000978CB" w:rsidRPr="00DE12A3" w:rsidRDefault="000978CB" w:rsidP="00C917D6">
            <w:pPr>
              <w:pStyle w:val="NormalLeft"/>
            </w:pPr>
            <w:r w:rsidRPr="00DE12A3">
              <w:rPr>
                <w:i/>
                <w:iCs/>
              </w:rPr>
              <w:t>μ</w:t>
            </w:r>
          </w:p>
        </w:tc>
        <w:tc>
          <w:tcPr>
            <w:tcW w:w="1261" w:type="dxa"/>
            <w:tcBorders>
              <w:top w:val="single" w:sz="2" w:space="0" w:color="auto"/>
              <w:left w:val="single" w:sz="2" w:space="0" w:color="auto"/>
              <w:bottom w:val="single" w:sz="2" w:space="0" w:color="auto"/>
              <w:right w:val="single" w:sz="2" w:space="0" w:color="auto"/>
            </w:tcBorders>
          </w:tcPr>
          <w:p w14:paraId="792FEC75" w14:textId="77777777" w:rsidR="000978CB" w:rsidRPr="00DE12A3" w:rsidRDefault="000978CB" w:rsidP="00C917D6">
            <w:pPr>
              <w:pStyle w:val="NormalLeft"/>
            </w:pPr>
            <w:r w:rsidRPr="00DE12A3">
              <w:rPr>
                <w:i/>
                <w:iCs/>
              </w:rPr>
              <w:t>μ</w:t>
            </w:r>
          </w:p>
        </w:tc>
        <w:tc>
          <w:tcPr>
            <w:tcW w:w="1441" w:type="dxa"/>
            <w:tcBorders>
              <w:top w:val="single" w:sz="2" w:space="0" w:color="auto"/>
              <w:left w:val="single" w:sz="2" w:space="0" w:color="auto"/>
              <w:bottom w:val="single" w:sz="2" w:space="0" w:color="auto"/>
              <w:right w:val="single" w:sz="2" w:space="0" w:color="auto"/>
            </w:tcBorders>
          </w:tcPr>
          <w:p w14:paraId="3E8F4AED" w14:textId="77777777" w:rsidR="000978CB" w:rsidRPr="00DE12A3" w:rsidRDefault="000978CB" w:rsidP="00C917D6">
            <w:pPr>
              <w:pStyle w:val="NormalLeft"/>
            </w:pPr>
            <w:r w:rsidRPr="00DE12A3">
              <w:t>kg/(m·s)</w:t>
            </w:r>
          </w:p>
        </w:tc>
        <w:tc>
          <w:tcPr>
            <w:tcW w:w="5044" w:type="dxa"/>
            <w:tcBorders>
              <w:top w:val="single" w:sz="2" w:space="0" w:color="auto"/>
              <w:left w:val="single" w:sz="2" w:space="0" w:color="auto"/>
              <w:bottom w:val="single" w:sz="2" w:space="0" w:color="auto"/>
              <w:right w:val="single" w:sz="2" w:space="0" w:color="auto"/>
            </w:tcBorders>
          </w:tcPr>
          <w:p w14:paraId="1A3A3AD8" w14:textId="77777777" w:rsidR="000978CB" w:rsidRPr="00DE12A3" w:rsidRDefault="000978CB" w:rsidP="00C917D6">
            <w:pPr>
              <w:spacing w:before="120" w:after="120"/>
              <w:rPr>
                <w:rFonts w:cs="Times New Roman"/>
                <w:color w:val="auto"/>
              </w:rPr>
            </w:pPr>
            <w:r w:rsidRPr="00DE12A3">
              <w:rPr>
                <w:rFonts w:cs="Times New Roman"/>
                <w:color w:val="auto"/>
              </w:rPr>
              <w:t>Dinamik viskozite</w:t>
            </w:r>
          </w:p>
        </w:tc>
      </w:tr>
      <w:tr w:rsidR="00DE12A3" w:rsidRPr="00DE12A3" w14:paraId="55A61C0D" w14:textId="77777777" w:rsidTr="002C23B9">
        <w:tc>
          <w:tcPr>
            <w:tcW w:w="1261" w:type="dxa"/>
            <w:tcBorders>
              <w:top w:val="single" w:sz="2" w:space="0" w:color="auto"/>
              <w:left w:val="single" w:sz="2" w:space="0" w:color="auto"/>
              <w:bottom w:val="single" w:sz="2" w:space="0" w:color="auto"/>
              <w:right w:val="single" w:sz="2" w:space="0" w:color="auto"/>
            </w:tcBorders>
          </w:tcPr>
          <w:p w14:paraId="0820CFC0" w14:textId="77777777" w:rsidR="000978CB" w:rsidRPr="00DE12A3" w:rsidRDefault="000978CB" w:rsidP="00C917D6">
            <w:pPr>
              <w:pStyle w:val="NormalLeft"/>
            </w:pPr>
            <w:r w:rsidRPr="00DE12A3">
              <w:rPr>
                <w:i/>
                <w:iCs/>
              </w:rPr>
              <w:t>M</w:t>
            </w:r>
          </w:p>
        </w:tc>
        <w:tc>
          <w:tcPr>
            <w:tcW w:w="1261" w:type="dxa"/>
            <w:tcBorders>
              <w:top w:val="single" w:sz="2" w:space="0" w:color="auto"/>
              <w:left w:val="single" w:sz="2" w:space="0" w:color="auto"/>
              <w:bottom w:val="single" w:sz="2" w:space="0" w:color="auto"/>
              <w:right w:val="single" w:sz="2" w:space="0" w:color="auto"/>
            </w:tcBorders>
          </w:tcPr>
          <w:p w14:paraId="6DCEAD7F" w14:textId="77777777" w:rsidR="000978CB" w:rsidRPr="00DE12A3" w:rsidRDefault="000978CB" w:rsidP="00C917D6">
            <w:pPr>
              <w:pStyle w:val="NormalLeft"/>
            </w:pPr>
            <w:r w:rsidRPr="00DE12A3">
              <w:rPr>
                <w:i/>
                <w:iCs/>
              </w:rPr>
              <w:t>M</w:t>
            </w:r>
          </w:p>
        </w:tc>
        <w:tc>
          <w:tcPr>
            <w:tcW w:w="1441" w:type="dxa"/>
            <w:tcBorders>
              <w:top w:val="single" w:sz="2" w:space="0" w:color="auto"/>
              <w:left w:val="single" w:sz="2" w:space="0" w:color="auto"/>
              <w:bottom w:val="single" w:sz="2" w:space="0" w:color="auto"/>
              <w:right w:val="single" w:sz="2" w:space="0" w:color="auto"/>
            </w:tcBorders>
          </w:tcPr>
          <w:p w14:paraId="2CE2DC8C" w14:textId="77777777" w:rsidR="000978CB" w:rsidRPr="00DE12A3" w:rsidRDefault="000978CB" w:rsidP="00C917D6">
            <w:pPr>
              <w:pStyle w:val="NormalLeft"/>
            </w:pPr>
            <w:r w:rsidRPr="00DE12A3">
              <w:t>g/mol</w:t>
            </w:r>
          </w:p>
        </w:tc>
        <w:tc>
          <w:tcPr>
            <w:tcW w:w="5044" w:type="dxa"/>
            <w:tcBorders>
              <w:top w:val="single" w:sz="2" w:space="0" w:color="auto"/>
              <w:left w:val="single" w:sz="2" w:space="0" w:color="auto"/>
              <w:bottom w:val="single" w:sz="2" w:space="0" w:color="auto"/>
              <w:right w:val="single" w:sz="2" w:space="0" w:color="auto"/>
            </w:tcBorders>
          </w:tcPr>
          <w:p w14:paraId="1633A0A2" w14:textId="77777777" w:rsidR="000978CB" w:rsidRPr="00DE12A3" w:rsidRDefault="000978CB" w:rsidP="00C917D6">
            <w:pPr>
              <w:spacing w:before="120" w:after="120"/>
              <w:rPr>
                <w:rFonts w:cs="Times New Roman"/>
                <w:color w:val="auto"/>
              </w:rPr>
            </w:pPr>
            <w:r w:rsidRPr="00DE12A3">
              <w:rPr>
                <w:rFonts w:cs="Times New Roman"/>
                <w:color w:val="auto"/>
              </w:rPr>
              <w:t xml:space="preserve">Molar kütle </w:t>
            </w:r>
            <w:r w:rsidRPr="00DE12A3">
              <w:rPr>
                <w:rFonts w:cs="Times New Roman"/>
                <w:color w:val="auto"/>
                <w:vertAlign w:val="superscript"/>
              </w:rPr>
              <w:t>(1)</w:t>
            </w:r>
          </w:p>
        </w:tc>
      </w:tr>
      <w:tr w:rsidR="00DE12A3" w:rsidRPr="00DE12A3" w14:paraId="5DC0079E" w14:textId="77777777" w:rsidTr="002C23B9">
        <w:tc>
          <w:tcPr>
            <w:tcW w:w="1261" w:type="dxa"/>
            <w:tcBorders>
              <w:top w:val="single" w:sz="2" w:space="0" w:color="auto"/>
              <w:left w:val="single" w:sz="2" w:space="0" w:color="auto"/>
              <w:bottom w:val="single" w:sz="2" w:space="0" w:color="auto"/>
              <w:right w:val="single" w:sz="2" w:space="0" w:color="auto"/>
            </w:tcBorders>
          </w:tcPr>
          <w:p w14:paraId="608EF736" w14:textId="77777777" w:rsidR="000978CB" w:rsidRPr="00DE12A3" w:rsidRDefault="000978CB" w:rsidP="00C917D6">
            <w:pPr>
              <w:pStyle w:val="NormalLeft"/>
            </w:pPr>
            <w:r w:rsidRPr="00DE12A3">
              <w:rPr>
                <w:i/>
                <w:iCs/>
              </w:rPr>
              <w:t>M</w:t>
            </w:r>
            <w:r w:rsidRPr="00DE12A3">
              <w:rPr>
                <w:vertAlign w:val="subscript"/>
              </w:rPr>
              <w:t>a</w:t>
            </w:r>
          </w:p>
        </w:tc>
        <w:tc>
          <w:tcPr>
            <w:tcW w:w="1261" w:type="dxa"/>
            <w:tcBorders>
              <w:top w:val="single" w:sz="2" w:space="0" w:color="auto"/>
              <w:left w:val="single" w:sz="2" w:space="0" w:color="auto"/>
              <w:bottom w:val="single" w:sz="2" w:space="0" w:color="auto"/>
              <w:right w:val="single" w:sz="2" w:space="0" w:color="auto"/>
            </w:tcBorders>
          </w:tcPr>
          <w:p w14:paraId="67AEC04F" w14:textId="59D20CA0" w:rsidR="000978CB" w:rsidRPr="00DE12A3" w:rsidRDefault="000978CB" w:rsidP="0066751C">
            <w:pPr>
              <w:pStyle w:val="NormalLeft"/>
              <w:numPr>
                <w:ilvl w:val="0"/>
                <w:numId w:val="469"/>
              </w:numPr>
            </w:pPr>
          </w:p>
        </w:tc>
        <w:tc>
          <w:tcPr>
            <w:tcW w:w="1441" w:type="dxa"/>
            <w:tcBorders>
              <w:top w:val="single" w:sz="2" w:space="0" w:color="auto"/>
              <w:left w:val="single" w:sz="2" w:space="0" w:color="auto"/>
              <w:bottom w:val="single" w:sz="2" w:space="0" w:color="auto"/>
              <w:right w:val="single" w:sz="2" w:space="0" w:color="auto"/>
            </w:tcBorders>
          </w:tcPr>
          <w:p w14:paraId="361493E8" w14:textId="77777777" w:rsidR="000978CB" w:rsidRPr="00DE12A3" w:rsidRDefault="000978CB" w:rsidP="00C917D6">
            <w:pPr>
              <w:pStyle w:val="NormalLeft"/>
            </w:pPr>
            <w:r w:rsidRPr="00DE12A3">
              <w:t>g/mol</w:t>
            </w:r>
          </w:p>
        </w:tc>
        <w:tc>
          <w:tcPr>
            <w:tcW w:w="5044" w:type="dxa"/>
            <w:tcBorders>
              <w:top w:val="single" w:sz="2" w:space="0" w:color="auto"/>
              <w:left w:val="single" w:sz="2" w:space="0" w:color="auto"/>
              <w:bottom w:val="single" w:sz="2" w:space="0" w:color="auto"/>
              <w:right w:val="single" w:sz="2" w:space="0" w:color="auto"/>
            </w:tcBorders>
          </w:tcPr>
          <w:p w14:paraId="4E7AF2C3" w14:textId="77777777" w:rsidR="000978CB" w:rsidRPr="00DE12A3" w:rsidRDefault="000978CB" w:rsidP="00C917D6">
            <w:pPr>
              <w:spacing w:before="120" w:after="120"/>
              <w:rPr>
                <w:rFonts w:cs="Times New Roman"/>
                <w:color w:val="auto"/>
              </w:rPr>
            </w:pPr>
            <w:r w:rsidRPr="00DE12A3">
              <w:rPr>
                <w:rFonts w:cs="Times New Roman"/>
                <w:color w:val="auto"/>
              </w:rPr>
              <w:t>Emme havasının molar kütlesi</w:t>
            </w:r>
          </w:p>
        </w:tc>
      </w:tr>
      <w:tr w:rsidR="00DE12A3" w:rsidRPr="00DE12A3" w14:paraId="5C44923F" w14:textId="77777777" w:rsidTr="002C23B9">
        <w:tc>
          <w:tcPr>
            <w:tcW w:w="1261" w:type="dxa"/>
            <w:tcBorders>
              <w:top w:val="single" w:sz="2" w:space="0" w:color="auto"/>
              <w:left w:val="single" w:sz="2" w:space="0" w:color="auto"/>
              <w:bottom w:val="single" w:sz="2" w:space="0" w:color="auto"/>
              <w:right w:val="single" w:sz="2" w:space="0" w:color="auto"/>
            </w:tcBorders>
          </w:tcPr>
          <w:p w14:paraId="2AF11E01" w14:textId="77777777" w:rsidR="000978CB" w:rsidRPr="00DE12A3" w:rsidRDefault="000978CB" w:rsidP="00C917D6">
            <w:pPr>
              <w:pStyle w:val="NormalLeft"/>
            </w:pPr>
            <w:r w:rsidRPr="00DE12A3">
              <w:rPr>
                <w:i/>
                <w:iCs/>
              </w:rPr>
              <w:t>M</w:t>
            </w:r>
            <w:r w:rsidRPr="00DE12A3">
              <w:rPr>
                <w:vertAlign w:val="subscript"/>
              </w:rPr>
              <w:t>e</w:t>
            </w:r>
          </w:p>
        </w:tc>
        <w:tc>
          <w:tcPr>
            <w:tcW w:w="1261" w:type="dxa"/>
            <w:tcBorders>
              <w:top w:val="single" w:sz="2" w:space="0" w:color="auto"/>
              <w:left w:val="single" w:sz="2" w:space="0" w:color="auto"/>
              <w:bottom w:val="single" w:sz="2" w:space="0" w:color="auto"/>
              <w:right w:val="single" w:sz="2" w:space="0" w:color="auto"/>
            </w:tcBorders>
          </w:tcPr>
          <w:p w14:paraId="7F18CB86" w14:textId="77777777" w:rsidR="000978CB" w:rsidRPr="00DE12A3" w:rsidRDefault="000978CB" w:rsidP="00C917D6">
            <w:pPr>
              <w:pStyle w:val="NormalLeft"/>
            </w:pPr>
            <w:r w:rsidRPr="00DE12A3">
              <w:rPr>
                <w:vertAlign w:val="superscript"/>
              </w:rPr>
              <w:t>v</w:t>
            </w:r>
          </w:p>
        </w:tc>
        <w:tc>
          <w:tcPr>
            <w:tcW w:w="1441" w:type="dxa"/>
            <w:tcBorders>
              <w:top w:val="single" w:sz="2" w:space="0" w:color="auto"/>
              <w:left w:val="single" w:sz="2" w:space="0" w:color="auto"/>
              <w:bottom w:val="single" w:sz="2" w:space="0" w:color="auto"/>
              <w:right w:val="single" w:sz="2" w:space="0" w:color="auto"/>
            </w:tcBorders>
          </w:tcPr>
          <w:p w14:paraId="7544D899" w14:textId="77777777" w:rsidR="000978CB" w:rsidRPr="00DE12A3" w:rsidRDefault="000978CB" w:rsidP="00C917D6">
            <w:pPr>
              <w:pStyle w:val="NormalLeft"/>
            </w:pPr>
            <w:r w:rsidRPr="00DE12A3">
              <w:t>g/mol</w:t>
            </w:r>
          </w:p>
        </w:tc>
        <w:tc>
          <w:tcPr>
            <w:tcW w:w="5044" w:type="dxa"/>
            <w:tcBorders>
              <w:top w:val="single" w:sz="2" w:space="0" w:color="auto"/>
              <w:left w:val="single" w:sz="2" w:space="0" w:color="auto"/>
              <w:bottom w:val="single" w:sz="2" w:space="0" w:color="auto"/>
              <w:right w:val="single" w:sz="2" w:space="0" w:color="auto"/>
            </w:tcBorders>
          </w:tcPr>
          <w:p w14:paraId="6D366EC6" w14:textId="77777777" w:rsidR="000978CB" w:rsidRPr="00DE12A3" w:rsidRDefault="000978CB" w:rsidP="00C917D6">
            <w:pPr>
              <w:spacing w:before="120" w:after="120"/>
              <w:rPr>
                <w:rFonts w:cs="Times New Roman"/>
                <w:color w:val="auto"/>
              </w:rPr>
            </w:pPr>
            <w:r w:rsidRPr="00DE12A3">
              <w:rPr>
                <w:rFonts w:cs="Times New Roman"/>
                <w:color w:val="auto"/>
              </w:rPr>
              <w:t>Egzoz gazının molar kütlesi</w:t>
            </w:r>
          </w:p>
        </w:tc>
      </w:tr>
      <w:tr w:rsidR="00DE12A3" w:rsidRPr="00DE12A3" w14:paraId="170475B0" w14:textId="77777777" w:rsidTr="002C23B9">
        <w:tc>
          <w:tcPr>
            <w:tcW w:w="1261" w:type="dxa"/>
            <w:tcBorders>
              <w:top w:val="single" w:sz="2" w:space="0" w:color="auto"/>
              <w:left w:val="single" w:sz="2" w:space="0" w:color="auto"/>
              <w:bottom w:val="single" w:sz="2" w:space="0" w:color="auto"/>
              <w:right w:val="single" w:sz="2" w:space="0" w:color="auto"/>
            </w:tcBorders>
          </w:tcPr>
          <w:p w14:paraId="4DAB5F84" w14:textId="77777777" w:rsidR="000978CB" w:rsidRPr="00DE12A3" w:rsidRDefault="000978CB" w:rsidP="00C917D6">
            <w:pPr>
              <w:pStyle w:val="NormalLeft"/>
            </w:pPr>
            <w:r w:rsidRPr="00DE12A3">
              <w:rPr>
                <w:i/>
                <w:iCs/>
              </w:rPr>
              <w:t>M</w:t>
            </w:r>
            <w:r w:rsidRPr="00DE12A3">
              <w:rPr>
                <w:vertAlign w:val="subscript"/>
              </w:rPr>
              <w:t>gas</w:t>
            </w:r>
          </w:p>
        </w:tc>
        <w:tc>
          <w:tcPr>
            <w:tcW w:w="1261" w:type="dxa"/>
            <w:tcBorders>
              <w:top w:val="single" w:sz="2" w:space="0" w:color="auto"/>
              <w:left w:val="single" w:sz="2" w:space="0" w:color="auto"/>
              <w:bottom w:val="single" w:sz="2" w:space="0" w:color="auto"/>
              <w:right w:val="single" w:sz="2" w:space="0" w:color="auto"/>
            </w:tcBorders>
          </w:tcPr>
          <w:p w14:paraId="427C229F" w14:textId="77777777" w:rsidR="000978CB" w:rsidRPr="00DE12A3" w:rsidRDefault="000978CB" w:rsidP="00C917D6">
            <w:pPr>
              <w:pStyle w:val="NormalLeft"/>
            </w:pPr>
            <w:r w:rsidRPr="00DE12A3">
              <w:rPr>
                <w:i/>
                <w:iCs/>
              </w:rPr>
              <w:t>M</w:t>
            </w:r>
            <w:r w:rsidRPr="00DE12A3">
              <w:rPr>
                <w:vertAlign w:val="subscript"/>
              </w:rPr>
              <w:t>gas</w:t>
            </w:r>
          </w:p>
        </w:tc>
        <w:tc>
          <w:tcPr>
            <w:tcW w:w="1441" w:type="dxa"/>
            <w:tcBorders>
              <w:top w:val="single" w:sz="2" w:space="0" w:color="auto"/>
              <w:left w:val="single" w:sz="2" w:space="0" w:color="auto"/>
              <w:bottom w:val="single" w:sz="2" w:space="0" w:color="auto"/>
              <w:right w:val="single" w:sz="2" w:space="0" w:color="auto"/>
            </w:tcBorders>
          </w:tcPr>
          <w:p w14:paraId="2F48F52B" w14:textId="77777777" w:rsidR="000978CB" w:rsidRPr="00DE12A3" w:rsidRDefault="000978CB" w:rsidP="00C917D6">
            <w:pPr>
              <w:pStyle w:val="NormalLeft"/>
            </w:pPr>
            <w:r w:rsidRPr="00DE12A3">
              <w:t>g/mol</w:t>
            </w:r>
          </w:p>
        </w:tc>
        <w:tc>
          <w:tcPr>
            <w:tcW w:w="5044" w:type="dxa"/>
            <w:tcBorders>
              <w:top w:val="single" w:sz="2" w:space="0" w:color="auto"/>
              <w:left w:val="single" w:sz="2" w:space="0" w:color="auto"/>
              <w:bottom w:val="single" w:sz="2" w:space="0" w:color="auto"/>
              <w:right w:val="single" w:sz="2" w:space="0" w:color="auto"/>
            </w:tcBorders>
          </w:tcPr>
          <w:p w14:paraId="1CF2506F" w14:textId="77777777" w:rsidR="000978CB" w:rsidRPr="00DE12A3" w:rsidRDefault="000978CB" w:rsidP="00C917D6">
            <w:pPr>
              <w:spacing w:before="120" w:after="120"/>
              <w:rPr>
                <w:rFonts w:cs="Times New Roman"/>
                <w:color w:val="auto"/>
              </w:rPr>
            </w:pPr>
            <w:r w:rsidRPr="00DE12A3">
              <w:rPr>
                <w:rFonts w:cs="Times New Roman"/>
                <w:color w:val="auto"/>
              </w:rPr>
              <w:t>Gaz halindeki bileşenlerinin molar kütlesi</w:t>
            </w:r>
          </w:p>
        </w:tc>
      </w:tr>
      <w:tr w:rsidR="00DE12A3" w:rsidRPr="00DE12A3" w14:paraId="1A362808" w14:textId="77777777" w:rsidTr="002C23B9">
        <w:tc>
          <w:tcPr>
            <w:tcW w:w="1261" w:type="dxa"/>
            <w:tcBorders>
              <w:top w:val="single" w:sz="2" w:space="0" w:color="auto"/>
              <w:left w:val="single" w:sz="2" w:space="0" w:color="auto"/>
              <w:bottom w:val="single" w:sz="2" w:space="0" w:color="auto"/>
              <w:right w:val="single" w:sz="2" w:space="0" w:color="auto"/>
            </w:tcBorders>
          </w:tcPr>
          <w:p w14:paraId="21239FBB" w14:textId="77777777" w:rsidR="000978CB" w:rsidRPr="00DE12A3" w:rsidRDefault="000978CB" w:rsidP="00C917D6">
            <w:pPr>
              <w:pStyle w:val="NormalLeft"/>
            </w:pPr>
            <w:r w:rsidRPr="00DE12A3">
              <w:rPr>
                <w:i/>
                <w:iCs/>
              </w:rPr>
              <w:t>m</w:t>
            </w:r>
          </w:p>
        </w:tc>
        <w:tc>
          <w:tcPr>
            <w:tcW w:w="1261" w:type="dxa"/>
            <w:tcBorders>
              <w:top w:val="single" w:sz="2" w:space="0" w:color="auto"/>
              <w:left w:val="single" w:sz="2" w:space="0" w:color="auto"/>
              <w:bottom w:val="single" w:sz="2" w:space="0" w:color="auto"/>
              <w:right w:val="single" w:sz="2" w:space="0" w:color="auto"/>
            </w:tcBorders>
          </w:tcPr>
          <w:p w14:paraId="6EB384A6" w14:textId="77777777" w:rsidR="000978CB" w:rsidRPr="00DE12A3" w:rsidRDefault="000978CB" w:rsidP="00C917D6">
            <w:pPr>
              <w:pStyle w:val="NormalLeft"/>
            </w:pPr>
            <w:r w:rsidRPr="00DE12A3">
              <w:rPr>
                <w:i/>
                <w:iCs/>
              </w:rPr>
              <w:t>m</w:t>
            </w:r>
          </w:p>
        </w:tc>
        <w:tc>
          <w:tcPr>
            <w:tcW w:w="1441" w:type="dxa"/>
            <w:tcBorders>
              <w:top w:val="single" w:sz="2" w:space="0" w:color="auto"/>
              <w:left w:val="single" w:sz="2" w:space="0" w:color="auto"/>
              <w:bottom w:val="single" w:sz="2" w:space="0" w:color="auto"/>
              <w:right w:val="single" w:sz="2" w:space="0" w:color="auto"/>
            </w:tcBorders>
          </w:tcPr>
          <w:p w14:paraId="77F4CB96" w14:textId="77777777" w:rsidR="000978CB" w:rsidRPr="00DE12A3" w:rsidRDefault="000978CB" w:rsidP="00C917D6">
            <w:pPr>
              <w:pStyle w:val="NormalLeft"/>
            </w:pPr>
            <w:r w:rsidRPr="00DE12A3">
              <w:t>kg</w:t>
            </w:r>
          </w:p>
        </w:tc>
        <w:tc>
          <w:tcPr>
            <w:tcW w:w="5044" w:type="dxa"/>
            <w:tcBorders>
              <w:top w:val="single" w:sz="2" w:space="0" w:color="auto"/>
              <w:left w:val="single" w:sz="2" w:space="0" w:color="auto"/>
              <w:bottom w:val="single" w:sz="2" w:space="0" w:color="auto"/>
              <w:right w:val="single" w:sz="2" w:space="0" w:color="auto"/>
            </w:tcBorders>
          </w:tcPr>
          <w:p w14:paraId="0533404B" w14:textId="0320C6FF" w:rsidR="000978CB" w:rsidRPr="00DE12A3" w:rsidRDefault="00906219" w:rsidP="00C917D6">
            <w:pPr>
              <w:spacing w:before="120" w:after="120"/>
              <w:rPr>
                <w:rFonts w:cs="Times New Roman"/>
                <w:color w:val="auto"/>
              </w:rPr>
            </w:pPr>
            <w:r w:rsidRPr="00DE12A3">
              <w:rPr>
                <w:rFonts w:cs="Times New Roman"/>
                <w:color w:val="auto"/>
              </w:rPr>
              <w:t>Kütle</w:t>
            </w:r>
          </w:p>
        </w:tc>
      </w:tr>
      <w:tr w:rsidR="00DE12A3" w:rsidRPr="00DE12A3" w14:paraId="35B69B21" w14:textId="77777777" w:rsidTr="002C23B9">
        <w:tc>
          <w:tcPr>
            <w:tcW w:w="1261" w:type="dxa"/>
            <w:tcBorders>
              <w:top w:val="single" w:sz="2" w:space="0" w:color="auto"/>
              <w:left w:val="single" w:sz="2" w:space="0" w:color="auto"/>
              <w:bottom w:val="single" w:sz="2" w:space="0" w:color="auto"/>
              <w:right w:val="single" w:sz="2" w:space="0" w:color="auto"/>
            </w:tcBorders>
          </w:tcPr>
          <w:p w14:paraId="2AAA89E2" w14:textId="77777777" w:rsidR="000978CB" w:rsidRPr="00DE12A3" w:rsidRDefault="000978CB" w:rsidP="00C917D6">
            <w:pPr>
              <w:pStyle w:val="NormalLeft"/>
            </w:pPr>
            <w:r w:rsidRPr="00DE12A3">
              <w:rPr>
                <w:i/>
                <w:iCs/>
              </w:rPr>
              <w:t>m</w:t>
            </w:r>
          </w:p>
        </w:tc>
        <w:tc>
          <w:tcPr>
            <w:tcW w:w="1261" w:type="dxa"/>
            <w:tcBorders>
              <w:top w:val="single" w:sz="2" w:space="0" w:color="auto"/>
              <w:left w:val="single" w:sz="2" w:space="0" w:color="auto"/>
              <w:bottom w:val="single" w:sz="2" w:space="0" w:color="auto"/>
              <w:right w:val="single" w:sz="2" w:space="0" w:color="auto"/>
            </w:tcBorders>
          </w:tcPr>
          <w:p w14:paraId="6B7867CF" w14:textId="77777777" w:rsidR="000978CB" w:rsidRPr="00DE12A3" w:rsidRDefault="000978CB" w:rsidP="00C917D6">
            <w:pPr>
              <w:pStyle w:val="NormalLeft"/>
            </w:pPr>
            <w:r w:rsidRPr="00DE12A3">
              <w:rPr>
                <w:i/>
                <w:iCs/>
              </w:rPr>
              <w:t>a</w:t>
            </w:r>
            <w:r w:rsidRPr="00DE12A3">
              <w:rPr>
                <w:vertAlign w:val="subscript"/>
              </w:rPr>
              <w:t>1</w:t>
            </w:r>
          </w:p>
        </w:tc>
        <w:tc>
          <w:tcPr>
            <w:tcW w:w="1441" w:type="dxa"/>
            <w:tcBorders>
              <w:top w:val="single" w:sz="2" w:space="0" w:color="auto"/>
              <w:left w:val="single" w:sz="2" w:space="0" w:color="auto"/>
              <w:bottom w:val="single" w:sz="2" w:space="0" w:color="auto"/>
              <w:right w:val="single" w:sz="2" w:space="0" w:color="auto"/>
            </w:tcBorders>
          </w:tcPr>
          <w:p w14:paraId="05335FB2" w14:textId="5549290C" w:rsidR="000978CB" w:rsidRPr="00DE12A3" w:rsidRDefault="000978CB" w:rsidP="00C917D6">
            <w:pPr>
              <w:pStyle w:val="NormalLeft"/>
            </w:pPr>
            <w:r w:rsidRPr="00DE12A3">
              <w:t>t.b.d.</w:t>
            </w:r>
            <w:r w:rsidR="00C87819" w:rsidRPr="00DE12A3">
              <w:rPr>
                <w:vertAlign w:val="superscript"/>
              </w:rPr>
              <w:t xml:space="preserve"> (</w:t>
            </w:r>
            <w:r w:rsidR="00753246" w:rsidRPr="00DE12A3">
              <w:rPr>
                <w:rStyle w:val="DipnotBavurusu"/>
              </w:rPr>
              <w:t>3</w:t>
            </w:r>
            <w:r w:rsidR="00C87819" w:rsidRPr="00DE12A3">
              <w:rPr>
                <w:vertAlign w:val="superscript"/>
              </w:rPr>
              <w:t>)</w:t>
            </w:r>
          </w:p>
        </w:tc>
        <w:tc>
          <w:tcPr>
            <w:tcW w:w="5044" w:type="dxa"/>
            <w:tcBorders>
              <w:top w:val="single" w:sz="2" w:space="0" w:color="auto"/>
              <w:left w:val="single" w:sz="2" w:space="0" w:color="auto"/>
              <w:bottom w:val="single" w:sz="2" w:space="0" w:color="auto"/>
              <w:right w:val="single" w:sz="2" w:space="0" w:color="auto"/>
            </w:tcBorders>
          </w:tcPr>
          <w:p w14:paraId="1EEAEDEF" w14:textId="77777777" w:rsidR="000978CB" w:rsidRPr="00DE12A3" w:rsidRDefault="000978CB" w:rsidP="00C917D6">
            <w:pPr>
              <w:spacing w:before="120" w:after="120"/>
              <w:rPr>
                <w:rFonts w:cs="Times New Roman"/>
                <w:color w:val="auto"/>
              </w:rPr>
            </w:pPr>
            <w:r w:rsidRPr="00DE12A3">
              <w:rPr>
                <w:rFonts w:cs="Times New Roman"/>
                <w:color w:val="auto"/>
              </w:rPr>
              <w:t>Regresyon doğrusunun eğimi</w:t>
            </w:r>
          </w:p>
        </w:tc>
      </w:tr>
      <w:tr w:rsidR="00DE12A3" w:rsidRPr="00DE12A3" w14:paraId="76B08D26" w14:textId="77777777" w:rsidTr="002C23B9">
        <w:tc>
          <w:tcPr>
            <w:tcW w:w="1261" w:type="dxa"/>
            <w:tcBorders>
              <w:top w:val="single" w:sz="2" w:space="0" w:color="auto"/>
              <w:left w:val="single" w:sz="2" w:space="0" w:color="auto"/>
              <w:bottom w:val="single" w:sz="2" w:space="0" w:color="auto"/>
              <w:right w:val="single" w:sz="2" w:space="0" w:color="auto"/>
            </w:tcBorders>
          </w:tcPr>
          <w:p w14:paraId="396A0865" w14:textId="77777777" w:rsidR="000978CB" w:rsidRPr="00DE12A3" w:rsidRDefault="000978CB" w:rsidP="00C917D6">
            <w:pPr>
              <w:adjustRightInd w:val="0"/>
              <w:spacing w:before="120" w:after="120"/>
              <w:rPr>
                <w:rFonts w:cs="Times New Roman"/>
                <w:color w:val="auto"/>
              </w:rPr>
            </w:pPr>
          </w:p>
        </w:tc>
        <w:tc>
          <w:tcPr>
            <w:tcW w:w="1261" w:type="dxa"/>
            <w:tcBorders>
              <w:top w:val="single" w:sz="2" w:space="0" w:color="auto"/>
              <w:left w:val="single" w:sz="2" w:space="0" w:color="auto"/>
              <w:bottom w:val="single" w:sz="2" w:space="0" w:color="auto"/>
              <w:right w:val="single" w:sz="2" w:space="0" w:color="auto"/>
            </w:tcBorders>
          </w:tcPr>
          <w:p w14:paraId="33D0E881" w14:textId="77777777" w:rsidR="000978CB" w:rsidRPr="00DE12A3" w:rsidRDefault="000978CB" w:rsidP="00C917D6">
            <w:pPr>
              <w:pStyle w:val="NormalLeft"/>
            </w:pPr>
            <w:r w:rsidRPr="00DE12A3">
              <w:rPr>
                <w:i/>
                <w:iCs/>
              </w:rPr>
              <w:t>ν</w:t>
            </w:r>
          </w:p>
        </w:tc>
        <w:tc>
          <w:tcPr>
            <w:tcW w:w="1441" w:type="dxa"/>
            <w:tcBorders>
              <w:top w:val="single" w:sz="2" w:space="0" w:color="auto"/>
              <w:left w:val="single" w:sz="2" w:space="0" w:color="auto"/>
              <w:bottom w:val="single" w:sz="2" w:space="0" w:color="auto"/>
              <w:right w:val="single" w:sz="2" w:space="0" w:color="auto"/>
            </w:tcBorders>
          </w:tcPr>
          <w:p w14:paraId="70746039" w14:textId="77777777" w:rsidR="000978CB" w:rsidRPr="00DE12A3" w:rsidRDefault="000978CB" w:rsidP="00C917D6">
            <w:pPr>
              <w:pStyle w:val="NormalLeft"/>
            </w:pPr>
            <w:r w:rsidRPr="00DE12A3">
              <w:t>m</w:t>
            </w:r>
            <w:r w:rsidRPr="00DE12A3">
              <w:rPr>
                <w:vertAlign w:val="superscript"/>
              </w:rPr>
              <w:t>2</w:t>
            </w:r>
            <w:r w:rsidRPr="00DE12A3">
              <w:t>/s</w:t>
            </w:r>
          </w:p>
        </w:tc>
        <w:tc>
          <w:tcPr>
            <w:tcW w:w="5044" w:type="dxa"/>
            <w:tcBorders>
              <w:top w:val="single" w:sz="2" w:space="0" w:color="auto"/>
              <w:left w:val="single" w:sz="2" w:space="0" w:color="auto"/>
              <w:bottom w:val="single" w:sz="2" w:space="0" w:color="auto"/>
              <w:right w:val="single" w:sz="2" w:space="0" w:color="auto"/>
            </w:tcBorders>
          </w:tcPr>
          <w:p w14:paraId="3B9C4FDC" w14:textId="77777777" w:rsidR="000978CB" w:rsidRPr="00DE12A3" w:rsidRDefault="000978CB" w:rsidP="00C917D6">
            <w:pPr>
              <w:spacing w:before="120" w:after="120"/>
              <w:rPr>
                <w:rFonts w:cs="Times New Roman"/>
                <w:color w:val="auto"/>
              </w:rPr>
            </w:pPr>
            <w:r w:rsidRPr="00DE12A3">
              <w:rPr>
                <w:rFonts w:cs="Times New Roman"/>
                <w:color w:val="auto"/>
              </w:rPr>
              <w:t>Kinematik viskozite</w:t>
            </w:r>
          </w:p>
        </w:tc>
      </w:tr>
      <w:tr w:rsidR="00DE12A3" w:rsidRPr="00DE12A3" w14:paraId="416F4138" w14:textId="77777777" w:rsidTr="002C23B9">
        <w:tc>
          <w:tcPr>
            <w:tcW w:w="1261" w:type="dxa"/>
            <w:tcBorders>
              <w:top w:val="single" w:sz="2" w:space="0" w:color="auto"/>
              <w:left w:val="single" w:sz="2" w:space="0" w:color="auto"/>
              <w:bottom w:val="single" w:sz="2" w:space="0" w:color="auto"/>
              <w:right w:val="single" w:sz="2" w:space="0" w:color="auto"/>
            </w:tcBorders>
          </w:tcPr>
          <w:p w14:paraId="6E23F006" w14:textId="77777777" w:rsidR="000978CB" w:rsidRPr="00DE12A3" w:rsidRDefault="000978CB" w:rsidP="00C917D6">
            <w:pPr>
              <w:pStyle w:val="NormalLeft"/>
            </w:pPr>
            <w:r w:rsidRPr="00DE12A3">
              <w:rPr>
                <w:i/>
                <w:iCs/>
              </w:rPr>
              <w:t>m</w:t>
            </w:r>
            <w:r w:rsidRPr="00DE12A3">
              <w:rPr>
                <w:vertAlign w:val="subscript"/>
              </w:rPr>
              <w:t>d</w:t>
            </w:r>
          </w:p>
        </w:tc>
        <w:tc>
          <w:tcPr>
            <w:tcW w:w="1261" w:type="dxa"/>
            <w:tcBorders>
              <w:top w:val="single" w:sz="2" w:space="0" w:color="auto"/>
              <w:left w:val="single" w:sz="2" w:space="0" w:color="auto"/>
              <w:bottom w:val="single" w:sz="2" w:space="0" w:color="auto"/>
              <w:right w:val="single" w:sz="2" w:space="0" w:color="auto"/>
            </w:tcBorders>
          </w:tcPr>
          <w:p w14:paraId="73BC14E1" w14:textId="77777777" w:rsidR="000978CB" w:rsidRPr="00DE12A3" w:rsidRDefault="000978CB" w:rsidP="00C917D6">
            <w:pPr>
              <w:pStyle w:val="NormalLeft"/>
            </w:pPr>
            <w:r w:rsidRPr="00DE12A3">
              <w:rPr>
                <w:vertAlign w:val="superscript"/>
              </w:rPr>
              <w:t>v</w:t>
            </w:r>
          </w:p>
        </w:tc>
        <w:tc>
          <w:tcPr>
            <w:tcW w:w="1441" w:type="dxa"/>
            <w:tcBorders>
              <w:top w:val="single" w:sz="2" w:space="0" w:color="auto"/>
              <w:left w:val="single" w:sz="2" w:space="0" w:color="auto"/>
              <w:bottom w:val="single" w:sz="2" w:space="0" w:color="auto"/>
              <w:right w:val="single" w:sz="2" w:space="0" w:color="auto"/>
            </w:tcBorders>
          </w:tcPr>
          <w:p w14:paraId="117A01F0" w14:textId="77777777" w:rsidR="000978CB" w:rsidRPr="00DE12A3" w:rsidRDefault="000978CB" w:rsidP="00C917D6">
            <w:pPr>
              <w:pStyle w:val="NormalLeft"/>
            </w:pPr>
            <w:r w:rsidRPr="00DE12A3">
              <w:t>kg</w:t>
            </w:r>
          </w:p>
        </w:tc>
        <w:tc>
          <w:tcPr>
            <w:tcW w:w="5044" w:type="dxa"/>
            <w:tcBorders>
              <w:top w:val="single" w:sz="2" w:space="0" w:color="auto"/>
              <w:left w:val="single" w:sz="2" w:space="0" w:color="auto"/>
              <w:bottom w:val="single" w:sz="2" w:space="0" w:color="auto"/>
              <w:right w:val="single" w:sz="2" w:space="0" w:color="auto"/>
            </w:tcBorders>
          </w:tcPr>
          <w:p w14:paraId="10A913F4" w14:textId="77777777" w:rsidR="000978CB" w:rsidRPr="00DE12A3" w:rsidRDefault="007E2039" w:rsidP="00C917D6">
            <w:pPr>
              <w:spacing w:before="120" w:after="120"/>
              <w:rPr>
                <w:rFonts w:cs="Times New Roman"/>
                <w:color w:val="auto"/>
              </w:rPr>
            </w:pPr>
            <w:r w:rsidRPr="00DE12A3">
              <w:rPr>
                <w:rFonts w:cs="Times New Roman"/>
                <w:color w:val="auto"/>
              </w:rPr>
              <w:t xml:space="preserve">Partikül </w:t>
            </w:r>
            <w:r w:rsidR="000978CB" w:rsidRPr="00DE12A3">
              <w:rPr>
                <w:rFonts w:cs="Times New Roman"/>
                <w:color w:val="auto"/>
              </w:rPr>
              <w:t>örnekleme filtrelerinden geçirilen seyreltme havası numunesi kütlesi</w:t>
            </w:r>
          </w:p>
        </w:tc>
      </w:tr>
      <w:tr w:rsidR="00DE12A3" w:rsidRPr="00DE12A3" w14:paraId="6F2C012D" w14:textId="77777777" w:rsidTr="002C23B9">
        <w:tc>
          <w:tcPr>
            <w:tcW w:w="1261" w:type="dxa"/>
            <w:tcBorders>
              <w:top w:val="single" w:sz="2" w:space="0" w:color="auto"/>
              <w:left w:val="single" w:sz="2" w:space="0" w:color="auto"/>
              <w:bottom w:val="single" w:sz="2" w:space="0" w:color="auto"/>
              <w:right w:val="single" w:sz="2" w:space="0" w:color="auto"/>
            </w:tcBorders>
          </w:tcPr>
          <w:p w14:paraId="6425E96B" w14:textId="77777777" w:rsidR="003641E5" w:rsidRPr="00DE12A3" w:rsidRDefault="003641E5" w:rsidP="00C917D6">
            <w:pPr>
              <w:pStyle w:val="NormalLeft"/>
            </w:pPr>
            <w:r w:rsidRPr="00DE12A3">
              <w:rPr>
                <w:i/>
                <w:iCs/>
              </w:rPr>
              <w:lastRenderedPageBreak/>
              <w:t>m</w:t>
            </w:r>
            <w:r w:rsidRPr="00DE12A3">
              <w:rPr>
                <w:vertAlign w:val="subscript"/>
              </w:rPr>
              <w:t>ed</w:t>
            </w:r>
          </w:p>
        </w:tc>
        <w:tc>
          <w:tcPr>
            <w:tcW w:w="1261" w:type="dxa"/>
            <w:tcBorders>
              <w:top w:val="single" w:sz="2" w:space="0" w:color="auto"/>
              <w:left w:val="single" w:sz="2" w:space="0" w:color="auto"/>
              <w:bottom w:val="single" w:sz="2" w:space="0" w:color="auto"/>
              <w:right w:val="single" w:sz="2" w:space="0" w:color="auto"/>
            </w:tcBorders>
          </w:tcPr>
          <w:p w14:paraId="1D78932D" w14:textId="77777777" w:rsidR="003641E5" w:rsidRPr="00DE12A3" w:rsidRDefault="003641E5" w:rsidP="00C917D6">
            <w:pPr>
              <w:spacing w:before="120" w:after="120"/>
              <w:rPr>
                <w:rFonts w:cs="Times New Roman"/>
                <w:color w:val="auto"/>
              </w:rPr>
            </w:pPr>
            <w:r w:rsidRPr="00DE12A3">
              <w:rPr>
                <w:rFonts w:cs="Times New Roman"/>
                <w:color w:val="auto"/>
                <w:vertAlign w:val="superscript"/>
              </w:rPr>
              <w:t>(</w:t>
            </w:r>
            <w:r w:rsidRPr="00DE12A3">
              <w:rPr>
                <w:rStyle w:val="DipnotBavurusu"/>
                <w:rFonts w:cs="Times New Roman"/>
                <w:color w:val="auto"/>
              </w:rPr>
              <w:t>1</w:t>
            </w:r>
            <w:r w:rsidRPr="00DE12A3">
              <w:rPr>
                <w:rFonts w:cs="Times New Roman"/>
                <w:color w:val="auto"/>
                <w:vertAlign w:val="superscript"/>
              </w:rPr>
              <w:t>)</w:t>
            </w:r>
          </w:p>
        </w:tc>
        <w:tc>
          <w:tcPr>
            <w:tcW w:w="1441" w:type="dxa"/>
            <w:tcBorders>
              <w:top w:val="single" w:sz="2" w:space="0" w:color="auto"/>
              <w:left w:val="single" w:sz="2" w:space="0" w:color="auto"/>
              <w:bottom w:val="single" w:sz="2" w:space="0" w:color="auto"/>
              <w:right w:val="single" w:sz="2" w:space="0" w:color="auto"/>
            </w:tcBorders>
          </w:tcPr>
          <w:p w14:paraId="35B2EF01" w14:textId="77777777" w:rsidR="003641E5" w:rsidRPr="00DE12A3" w:rsidRDefault="003641E5" w:rsidP="00C917D6">
            <w:pPr>
              <w:pStyle w:val="NormalLeft"/>
            </w:pPr>
            <w:r w:rsidRPr="00DE12A3">
              <w:t>kg</w:t>
            </w:r>
          </w:p>
        </w:tc>
        <w:tc>
          <w:tcPr>
            <w:tcW w:w="5044" w:type="dxa"/>
            <w:tcBorders>
              <w:top w:val="single" w:sz="2" w:space="0" w:color="auto"/>
              <w:left w:val="single" w:sz="2" w:space="0" w:color="auto"/>
              <w:bottom w:val="single" w:sz="2" w:space="0" w:color="auto"/>
              <w:right w:val="single" w:sz="2" w:space="0" w:color="auto"/>
            </w:tcBorders>
          </w:tcPr>
          <w:p w14:paraId="2C87C20C" w14:textId="77777777" w:rsidR="003641E5" w:rsidRPr="00DE12A3" w:rsidRDefault="00F310B5" w:rsidP="00C917D6">
            <w:pPr>
              <w:spacing w:before="120" w:after="120"/>
              <w:rPr>
                <w:rFonts w:cs="Times New Roman"/>
                <w:color w:val="auto"/>
              </w:rPr>
            </w:pPr>
            <w:r w:rsidRPr="00DE12A3">
              <w:rPr>
                <w:rFonts w:cs="Times New Roman"/>
                <w:color w:val="auto"/>
              </w:rPr>
              <w:t>Çevrim</w:t>
            </w:r>
            <w:r w:rsidR="003641E5" w:rsidRPr="00DE12A3">
              <w:rPr>
                <w:rFonts w:cs="Times New Roman"/>
                <w:color w:val="auto"/>
              </w:rPr>
              <w:t xml:space="preserve"> boyunca toplam seyreltilmiş egzoz gazı kütlesi</w:t>
            </w:r>
          </w:p>
        </w:tc>
      </w:tr>
      <w:tr w:rsidR="00DE12A3" w:rsidRPr="00DE12A3" w14:paraId="712504F3" w14:textId="77777777" w:rsidTr="002C23B9">
        <w:tc>
          <w:tcPr>
            <w:tcW w:w="1261" w:type="dxa"/>
            <w:tcBorders>
              <w:top w:val="single" w:sz="2" w:space="0" w:color="auto"/>
              <w:left w:val="single" w:sz="2" w:space="0" w:color="auto"/>
              <w:bottom w:val="single" w:sz="2" w:space="0" w:color="auto"/>
              <w:right w:val="single" w:sz="2" w:space="0" w:color="auto"/>
            </w:tcBorders>
          </w:tcPr>
          <w:p w14:paraId="06360BBE" w14:textId="77777777" w:rsidR="003641E5" w:rsidRPr="00DE12A3" w:rsidRDefault="003641E5" w:rsidP="00C917D6">
            <w:pPr>
              <w:pStyle w:val="NormalLeft"/>
            </w:pPr>
            <w:r w:rsidRPr="00DE12A3">
              <w:rPr>
                <w:i/>
                <w:iCs/>
              </w:rPr>
              <w:t>m</w:t>
            </w:r>
            <w:r w:rsidRPr="00DE12A3">
              <w:rPr>
                <w:vertAlign w:val="subscript"/>
              </w:rPr>
              <w:t>edf</w:t>
            </w:r>
          </w:p>
        </w:tc>
        <w:tc>
          <w:tcPr>
            <w:tcW w:w="1261" w:type="dxa"/>
            <w:tcBorders>
              <w:top w:val="single" w:sz="2" w:space="0" w:color="auto"/>
              <w:left w:val="single" w:sz="2" w:space="0" w:color="auto"/>
              <w:bottom w:val="single" w:sz="2" w:space="0" w:color="auto"/>
              <w:right w:val="single" w:sz="2" w:space="0" w:color="auto"/>
            </w:tcBorders>
          </w:tcPr>
          <w:p w14:paraId="626D3D2E" w14:textId="77777777" w:rsidR="003641E5" w:rsidRPr="00DE12A3" w:rsidRDefault="003641E5" w:rsidP="00C917D6">
            <w:pPr>
              <w:spacing w:before="120" w:after="120"/>
              <w:rPr>
                <w:rFonts w:cs="Times New Roman"/>
                <w:color w:val="auto"/>
              </w:rPr>
            </w:pPr>
            <w:r w:rsidRPr="00DE12A3">
              <w:rPr>
                <w:rFonts w:cs="Times New Roman"/>
                <w:color w:val="auto"/>
                <w:vertAlign w:val="superscript"/>
              </w:rPr>
              <w:t>(</w:t>
            </w:r>
            <w:r w:rsidRPr="00DE12A3">
              <w:rPr>
                <w:rStyle w:val="DipnotBavurusu"/>
                <w:rFonts w:cs="Times New Roman"/>
                <w:color w:val="auto"/>
              </w:rPr>
              <w:t>1</w:t>
            </w:r>
            <w:r w:rsidRPr="00DE12A3">
              <w:rPr>
                <w:rFonts w:cs="Times New Roman"/>
                <w:color w:val="auto"/>
                <w:vertAlign w:val="superscript"/>
              </w:rPr>
              <w:t>)</w:t>
            </w:r>
          </w:p>
        </w:tc>
        <w:tc>
          <w:tcPr>
            <w:tcW w:w="1441" w:type="dxa"/>
            <w:tcBorders>
              <w:top w:val="single" w:sz="2" w:space="0" w:color="auto"/>
              <w:left w:val="single" w:sz="2" w:space="0" w:color="auto"/>
              <w:bottom w:val="single" w:sz="2" w:space="0" w:color="auto"/>
              <w:right w:val="single" w:sz="2" w:space="0" w:color="auto"/>
            </w:tcBorders>
          </w:tcPr>
          <w:p w14:paraId="13D100A7" w14:textId="77777777" w:rsidR="003641E5" w:rsidRPr="00DE12A3" w:rsidRDefault="003641E5" w:rsidP="00C917D6">
            <w:pPr>
              <w:pStyle w:val="NormalLeft"/>
            </w:pPr>
            <w:r w:rsidRPr="00DE12A3">
              <w:t>kg</w:t>
            </w:r>
          </w:p>
        </w:tc>
        <w:tc>
          <w:tcPr>
            <w:tcW w:w="5044" w:type="dxa"/>
            <w:tcBorders>
              <w:top w:val="single" w:sz="2" w:space="0" w:color="auto"/>
              <w:left w:val="single" w:sz="2" w:space="0" w:color="auto"/>
              <w:bottom w:val="single" w:sz="2" w:space="0" w:color="auto"/>
              <w:right w:val="single" w:sz="2" w:space="0" w:color="auto"/>
            </w:tcBorders>
          </w:tcPr>
          <w:p w14:paraId="5412D292" w14:textId="77777777" w:rsidR="003641E5" w:rsidRPr="00DE12A3" w:rsidRDefault="003641E5" w:rsidP="00C917D6">
            <w:pPr>
              <w:spacing w:before="120" w:after="120"/>
              <w:rPr>
                <w:rFonts w:cs="Times New Roman"/>
                <w:color w:val="auto"/>
              </w:rPr>
            </w:pPr>
            <w:r w:rsidRPr="00DE12A3">
              <w:rPr>
                <w:rFonts w:cs="Times New Roman"/>
                <w:color w:val="auto"/>
              </w:rPr>
              <w:t xml:space="preserve">Test </w:t>
            </w:r>
            <w:r w:rsidR="00F310B5" w:rsidRPr="00DE12A3">
              <w:rPr>
                <w:rFonts w:cs="Times New Roman"/>
                <w:color w:val="auto"/>
              </w:rPr>
              <w:t>çevrimi</w:t>
            </w:r>
            <w:r w:rsidRPr="00DE12A3">
              <w:rPr>
                <w:rFonts w:cs="Times New Roman"/>
                <w:color w:val="auto"/>
              </w:rPr>
              <w:t xml:space="preserve"> boyunca denk seyreltilmiş egzoz gazı kütlesi</w:t>
            </w:r>
          </w:p>
        </w:tc>
      </w:tr>
      <w:tr w:rsidR="00DE12A3" w:rsidRPr="00DE12A3" w14:paraId="09DD0829" w14:textId="77777777" w:rsidTr="002C23B9">
        <w:tc>
          <w:tcPr>
            <w:tcW w:w="1261" w:type="dxa"/>
            <w:tcBorders>
              <w:top w:val="single" w:sz="2" w:space="0" w:color="auto"/>
              <w:left w:val="single" w:sz="2" w:space="0" w:color="auto"/>
              <w:bottom w:val="single" w:sz="2" w:space="0" w:color="auto"/>
              <w:right w:val="single" w:sz="2" w:space="0" w:color="auto"/>
            </w:tcBorders>
          </w:tcPr>
          <w:p w14:paraId="343BDD48" w14:textId="77777777" w:rsidR="003641E5" w:rsidRPr="00DE12A3" w:rsidRDefault="003641E5" w:rsidP="00C917D6">
            <w:pPr>
              <w:pStyle w:val="NormalLeft"/>
            </w:pPr>
            <w:r w:rsidRPr="00DE12A3">
              <w:rPr>
                <w:i/>
                <w:iCs/>
              </w:rPr>
              <w:t>m</w:t>
            </w:r>
            <w:r w:rsidRPr="00DE12A3">
              <w:rPr>
                <w:vertAlign w:val="subscript"/>
              </w:rPr>
              <w:t>ew</w:t>
            </w:r>
          </w:p>
        </w:tc>
        <w:tc>
          <w:tcPr>
            <w:tcW w:w="1261" w:type="dxa"/>
            <w:tcBorders>
              <w:top w:val="single" w:sz="2" w:space="0" w:color="auto"/>
              <w:left w:val="single" w:sz="2" w:space="0" w:color="auto"/>
              <w:bottom w:val="single" w:sz="2" w:space="0" w:color="auto"/>
              <w:right w:val="single" w:sz="2" w:space="0" w:color="auto"/>
            </w:tcBorders>
          </w:tcPr>
          <w:p w14:paraId="77A4E87F" w14:textId="77777777" w:rsidR="003641E5" w:rsidRPr="00DE12A3" w:rsidRDefault="003641E5" w:rsidP="00C917D6">
            <w:pPr>
              <w:spacing w:before="120" w:after="120"/>
              <w:rPr>
                <w:rFonts w:cs="Times New Roman"/>
                <w:color w:val="auto"/>
              </w:rPr>
            </w:pPr>
            <w:r w:rsidRPr="00DE12A3">
              <w:rPr>
                <w:rFonts w:cs="Times New Roman"/>
                <w:color w:val="auto"/>
                <w:vertAlign w:val="superscript"/>
              </w:rPr>
              <w:t>(</w:t>
            </w:r>
            <w:r w:rsidRPr="00DE12A3">
              <w:rPr>
                <w:rStyle w:val="DipnotBavurusu"/>
                <w:rFonts w:cs="Times New Roman"/>
                <w:color w:val="auto"/>
              </w:rPr>
              <w:t>1</w:t>
            </w:r>
            <w:r w:rsidRPr="00DE12A3">
              <w:rPr>
                <w:rFonts w:cs="Times New Roman"/>
                <w:color w:val="auto"/>
                <w:vertAlign w:val="superscript"/>
              </w:rPr>
              <w:t>)</w:t>
            </w:r>
          </w:p>
        </w:tc>
        <w:tc>
          <w:tcPr>
            <w:tcW w:w="1441" w:type="dxa"/>
            <w:tcBorders>
              <w:top w:val="single" w:sz="2" w:space="0" w:color="auto"/>
              <w:left w:val="single" w:sz="2" w:space="0" w:color="auto"/>
              <w:bottom w:val="single" w:sz="2" w:space="0" w:color="auto"/>
              <w:right w:val="single" w:sz="2" w:space="0" w:color="auto"/>
            </w:tcBorders>
          </w:tcPr>
          <w:p w14:paraId="0C784C12" w14:textId="77777777" w:rsidR="003641E5" w:rsidRPr="00DE12A3" w:rsidRDefault="003641E5" w:rsidP="00C917D6">
            <w:pPr>
              <w:pStyle w:val="NormalLeft"/>
            </w:pPr>
            <w:r w:rsidRPr="00DE12A3">
              <w:t>kg</w:t>
            </w:r>
          </w:p>
        </w:tc>
        <w:tc>
          <w:tcPr>
            <w:tcW w:w="5044" w:type="dxa"/>
            <w:tcBorders>
              <w:top w:val="single" w:sz="2" w:space="0" w:color="auto"/>
              <w:left w:val="single" w:sz="2" w:space="0" w:color="auto"/>
              <w:bottom w:val="single" w:sz="2" w:space="0" w:color="auto"/>
              <w:right w:val="single" w:sz="2" w:space="0" w:color="auto"/>
            </w:tcBorders>
          </w:tcPr>
          <w:p w14:paraId="7E0B12CC" w14:textId="77777777" w:rsidR="003641E5" w:rsidRPr="00DE12A3" w:rsidRDefault="00F310B5" w:rsidP="00C917D6">
            <w:pPr>
              <w:spacing w:before="120" w:after="120"/>
              <w:rPr>
                <w:rFonts w:cs="Times New Roman"/>
                <w:color w:val="auto"/>
              </w:rPr>
            </w:pPr>
            <w:r w:rsidRPr="00DE12A3">
              <w:rPr>
                <w:rFonts w:cs="Times New Roman"/>
                <w:color w:val="auto"/>
              </w:rPr>
              <w:t>Çevrim</w:t>
            </w:r>
            <w:r w:rsidR="003641E5" w:rsidRPr="00DE12A3">
              <w:rPr>
                <w:rFonts w:cs="Times New Roman"/>
                <w:color w:val="auto"/>
              </w:rPr>
              <w:t xml:space="preserve"> boyunca toplam egzoz gazı kütlesi</w:t>
            </w:r>
          </w:p>
        </w:tc>
      </w:tr>
      <w:tr w:rsidR="00DE12A3" w:rsidRPr="00DE12A3" w14:paraId="44941FC1" w14:textId="77777777" w:rsidTr="002C23B9">
        <w:tc>
          <w:tcPr>
            <w:tcW w:w="1261" w:type="dxa"/>
            <w:tcBorders>
              <w:top w:val="single" w:sz="2" w:space="0" w:color="auto"/>
              <w:left w:val="single" w:sz="2" w:space="0" w:color="auto"/>
              <w:bottom w:val="single" w:sz="2" w:space="0" w:color="auto"/>
              <w:right w:val="single" w:sz="2" w:space="0" w:color="auto"/>
            </w:tcBorders>
          </w:tcPr>
          <w:p w14:paraId="7F8EBDAB" w14:textId="77777777" w:rsidR="003641E5" w:rsidRPr="00DE12A3" w:rsidRDefault="003641E5" w:rsidP="00C917D6">
            <w:pPr>
              <w:pStyle w:val="NormalLeft"/>
            </w:pPr>
            <w:r w:rsidRPr="00DE12A3">
              <w:rPr>
                <w:i/>
                <w:iCs/>
              </w:rPr>
              <w:t>m</w:t>
            </w:r>
            <w:r w:rsidRPr="00DE12A3">
              <w:rPr>
                <w:vertAlign w:val="subscript"/>
              </w:rPr>
              <w:t>f</w:t>
            </w:r>
          </w:p>
        </w:tc>
        <w:tc>
          <w:tcPr>
            <w:tcW w:w="1261" w:type="dxa"/>
            <w:tcBorders>
              <w:top w:val="single" w:sz="2" w:space="0" w:color="auto"/>
              <w:left w:val="single" w:sz="2" w:space="0" w:color="auto"/>
              <w:bottom w:val="single" w:sz="2" w:space="0" w:color="auto"/>
              <w:right w:val="single" w:sz="2" w:space="0" w:color="auto"/>
            </w:tcBorders>
          </w:tcPr>
          <w:p w14:paraId="220F52D7" w14:textId="77777777" w:rsidR="003641E5" w:rsidRPr="00DE12A3" w:rsidRDefault="003641E5" w:rsidP="00C917D6">
            <w:pPr>
              <w:spacing w:before="120" w:after="120"/>
              <w:rPr>
                <w:rFonts w:cs="Times New Roman"/>
                <w:color w:val="auto"/>
              </w:rPr>
            </w:pPr>
            <w:r w:rsidRPr="00DE12A3">
              <w:rPr>
                <w:rFonts w:cs="Times New Roman"/>
                <w:color w:val="auto"/>
                <w:vertAlign w:val="superscript"/>
              </w:rPr>
              <w:t>(</w:t>
            </w:r>
            <w:r w:rsidRPr="00DE12A3">
              <w:rPr>
                <w:rStyle w:val="DipnotBavurusu"/>
                <w:rFonts w:cs="Times New Roman"/>
                <w:color w:val="auto"/>
              </w:rPr>
              <w:t>1</w:t>
            </w:r>
            <w:r w:rsidRPr="00DE12A3">
              <w:rPr>
                <w:rFonts w:cs="Times New Roman"/>
                <w:color w:val="auto"/>
                <w:vertAlign w:val="superscript"/>
              </w:rPr>
              <w:t>)</w:t>
            </w:r>
          </w:p>
        </w:tc>
        <w:tc>
          <w:tcPr>
            <w:tcW w:w="1441" w:type="dxa"/>
            <w:tcBorders>
              <w:top w:val="single" w:sz="2" w:space="0" w:color="auto"/>
              <w:left w:val="single" w:sz="2" w:space="0" w:color="auto"/>
              <w:bottom w:val="single" w:sz="2" w:space="0" w:color="auto"/>
              <w:right w:val="single" w:sz="2" w:space="0" w:color="auto"/>
            </w:tcBorders>
          </w:tcPr>
          <w:p w14:paraId="40E9D68D" w14:textId="77777777" w:rsidR="003641E5" w:rsidRPr="00DE12A3" w:rsidRDefault="003641E5" w:rsidP="00C917D6">
            <w:pPr>
              <w:pStyle w:val="NormalLeft"/>
            </w:pPr>
            <w:r w:rsidRPr="00DE12A3">
              <w:t>mg</w:t>
            </w:r>
          </w:p>
        </w:tc>
        <w:tc>
          <w:tcPr>
            <w:tcW w:w="5044" w:type="dxa"/>
            <w:tcBorders>
              <w:top w:val="single" w:sz="2" w:space="0" w:color="auto"/>
              <w:left w:val="single" w:sz="2" w:space="0" w:color="auto"/>
              <w:bottom w:val="single" w:sz="2" w:space="0" w:color="auto"/>
              <w:right w:val="single" w:sz="2" w:space="0" w:color="auto"/>
            </w:tcBorders>
          </w:tcPr>
          <w:p w14:paraId="65D8ADE5" w14:textId="77777777" w:rsidR="003641E5" w:rsidRPr="00DE12A3" w:rsidRDefault="003641E5" w:rsidP="00C917D6">
            <w:pPr>
              <w:spacing w:before="120" w:after="120"/>
              <w:rPr>
                <w:rFonts w:cs="Times New Roman"/>
                <w:color w:val="auto"/>
              </w:rPr>
            </w:pPr>
            <w:r w:rsidRPr="00DE12A3">
              <w:rPr>
                <w:rFonts w:cs="Times New Roman"/>
                <w:color w:val="auto"/>
              </w:rPr>
              <w:t xml:space="preserve">Toplanan </w:t>
            </w:r>
            <w:r w:rsidR="007E2039" w:rsidRPr="00DE12A3">
              <w:rPr>
                <w:rFonts w:cs="Times New Roman"/>
                <w:color w:val="auto"/>
              </w:rPr>
              <w:t xml:space="preserve">partikül </w:t>
            </w:r>
            <w:r w:rsidRPr="00DE12A3">
              <w:rPr>
                <w:rFonts w:cs="Times New Roman"/>
                <w:color w:val="auto"/>
              </w:rPr>
              <w:t>numune kütlesi</w:t>
            </w:r>
          </w:p>
        </w:tc>
      </w:tr>
      <w:tr w:rsidR="00DE12A3" w:rsidRPr="00DE12A3" w14:paraId="784F68F9" w14:textId="77777777" w:rsidTr="002C23B9">
        <w:tc>
          <w:tcPr>
            <w:tcW w:w="1261" w:type="dxa"/>
            <w:tcBorders>
              <w:top w:val="single" w:sz="2" w:space="0" w:color="auto"/>
              <w:left w:val="single" w:sz="2" w:space="0" w:color="auto"/>
              <w:bottom w:val="single" w:sz="2" w:space="0" w:color="auto"/>
              <w:right w:val="single" w:sz="2" w:space="0" w:color="auto"/>
            </w:tcBorders>
          </w:tcPr>
          <w:p w14:paraId="019308BB" w14:textId="77777777" w:rsidR="003641E5" w:rsidRPr="00DE12A3" w:rsidRDefault="003641E5" w:rsidP="00C917D6">
            <w:pPr>
              <w:pStyle w:val="NormalLeft"/>
            </w:pPr>
            <w:r w:rsidRPr="00DE12A3">
              <w:rPr>
                <w:i/>
                <w:iCs/>
              </w:rPr>
              <w:t>m</w:t>
            </w:r>
            <w:r w:rsidRPr="00DE12A3">
              <w:rPr>
                <w:vertAlign w:val="subscript"/>
              </w:rPr>
              <w:t>f,d</w:t>
            </w:r>
          </w:p>
        </w:tc>
        <w:tc>
          <w:tcPr>
            <w:tcW w:w="1261" w:type="dxa"/>
            <w:tcBorders>
              <w:top w:val="single" w:sz="2" w:space="0" w:color="auto"/>
              <w:left w:val="single" w:sz="2" w:space="0" w:color="auto"/>
              <w:bottom w:val="single" w:sz="2" w:space="0" w:color="auto"/>
              <w:right w:val="single" w:sz="2" w:space="0" w:color="auto"/>
            </w:tcBorders>
          </w:tcPr>
          <w:p w14:paraId="00C2AAB4" w14:textId="77777777" w:rsidR="003641E5" w:rsidRPr="00DE12A3" w:rsidRDefault="003641E5" w:rsidP="00C917D6">
            <w:pPr>
              <w:spacing w:before="120" w:after="120"/>
              <w:rPr>
                <w:rFonts w:cs="Times New Roman"/>
                <w:color w:val="auto"/>
              </w:rPr>
            </w:pPr>
            <w:r w:rsidRPr="00DE12A3">
              <w:rPr>
                <w:rFonts w:cs="Times New Roman"/>
                <w:color w:val="auto"/>
                <w:vertAlign w:val="superscript"/>
              </w:rPr>
              <w:t>(</w:t>
            </w:r>
            <w:r w:rsidRPr="00DE12A3">
              <w:rPr>
                <w:rStyle w:val="DipnotBavurusu"/>
                <w:rFonts w:cs="Times New Roman"/>
                <w:color w:val="auto"/>
              </w:rPr>
              <w:t>1</w:t>
            </w:r>
            <w:r w:rsidRPr="00DE12A3">
              <w:rPr>
                <w:rFonts w:cs="Times New Roman"/>
                <w:color w:val="auto"/>
                <w:vertAlign w:val="superscript"/>
              </w:rPr>
              <w:t>)</w:t>
            </w:r>
          </w:p>
        </w:tc>
        <w:tc>
          <w:tcPr>
            <w:tcW w:w="1441" w:type="dxa"/>
            <w:tcBorders>
              <w:top w:val="single" w:sz="2" w:space="0" w:color="auto"/>
              <w:left w:val="single" w:sz="2" w:space="0" w:color="auto"/>
              <w:bottom w:val="single" w:sz="2" w:space="0" w:color="auto"/>
              <w:right w:val="single" w:sz="2" w:space="0" w:color="auto"/>
            </w:tcBorders>
          </w:tcPr>
          <w:p w14:paraId="471B7AC8" w14:textId="77777777" w:rsidR="003641E5" w:rsidRPr="00DE12A3" w:rsidRDefault="003641E5" w:rsidP="00C917D6">
            <w:pPr>
              <w:pStyle w:val="NormalLeft"/>
            </w:pPr>
            <w:r w:rsidRPr="00DE12A3">
              <w:t>mg</w:t>
            </w:r>
          </w:p>
        </w:tc>
        <w:tc>
          <w:tcPr>
            <w:tcW w:w="5044" w:type="dxa"/>
            <w:tcBorders>
              <w:top w:val="single" w:sz="2" w:space="0" w:color="auto"/>
              <w:left w:val="single" w:sz="2" w:space="0" w:color="auto"/>
              <w:bottom w:val="single" w:sz="2" w:space="0" w:color="auto"/>
              <w:right w:val="single" w:sz="2" w:space="0" w:color="auto"/>
            </w:tcBorders>
          </w:tcPr>
          <w:p w14:paraId="04422343" w14:textId="77777777" w:rsidR="003641E5" w:rsidRPr="00DE12A3" w:rsidRDefault="003641E5" w:rsidP="00C917D6">
            <w:pPr>
              <w:spacing w:before="120" w:after="120"/>
              <w:rPr>
                <w:rFonts w:cs="Times New Roman"/>
                <w:color w:val="auto"/>
              </w:rPr>
            </w:pPr>
            <w:r w:rsidRPr="00DE12A3">
              <w:rPr>
                <w:rFonts w:cs="Times New Roman"/>
                <w:color w:val="auto"/>
              </w:rPr>
              <w:t xml:space="preserve">Toplanan seyreltme havasının </w:t>
            </w:r>
            <w:r w:rsidR="007E2039" w:rsidRPr="00DE12A3">
              <w:rPr>
                <w:rFonts w:cs="Times New Roman"/>
                <w:color w:val="auto"/>
              </w:rPr>
              <w:t xml:space="preserve">partikül </w:t>
            </w:r>
            <w:r w:rsidRPr="00DE12A3">
              <w:rPr>
                <w:rFonts w:cs="Times New Roman"/>
                <w:color w:val="auto"/>
              </w:rPr>
              <w:t>numune kütlesi</w:t>
            </w:r>
          </w:p>
        </w:tc>
      </w:tr>
      <w:tr w:rsidR="00DE12A3" w:rsidRPr="00DE12A3" w14:paraId="60A54B46" w14:textId="77777777" w:rsidTr="002C23B9">
        <w:tc>
          <w:tcPr>
            <w:tcW w:w="1261" w:type="dxa"/>
            <w:tcBorders>
              <w:top w:val="single" w:sz="2" w:space="0" w:color="auto"/>
              <w:left w:val="single" w:sz="2" w:space="0" w:color="auto"/>
              <w:bottom w:val="single" w:sz="2" w:space="0" w:color="auto"/>
              <w:right w:val="single" w:sz="2" w:space="0" w:color="auto"/>
            </w:tcBorders>
          </w:tcPr>
          <w:p w14:paraId="197B1C09" w14:textId="77777777" w:rsidR="000978CB" w:rsidRPr="00DE12A3" w:rsidRDefault="000978CB" w:rsidP="00C917D6">
            <w:pPr>
              <w:pStyle w:val="NormalLeft"/>
            </w:pPr>
            <w:r w:rsidRPr="00DE12A3">
              <w:rPr>
                <w:i/>
                <w:iCs/>
              </w:rPr>
              <w:t>m</w:t>
            </w:r>
            <w:r w:rsidRPr="00DE12A3">
              <w:rPr>
                <w:vertAlign w:val="subscript"/>
              </w:rPr>
              <w:t>gas</w:t>
            </w:r>
          </w:p>
        </w:tc>
        <w:tc>
          <w:tcPr>
            <w:tcW w:w="1261" w:type="dxa"/>
            <w:tcBorders>
              <w:top w:val="single" w:sz="2" w:space="0" w:color="auto"/>
              <w:left w:val="single" w:sz="2" w:space="0" w:color="auto"/>
              <w:bottom w:val="single" w:sz="2" w:space="0" w:color="auto"/>
              <w:right w:val="single" w:sz="2" w:space="0" w:color="auto"/>
            </w:tcBorders>
          </w:tcPr>
          <w:p w14:paraId="22EF3740" w14:textId="77777777" w:rsidR="000978CB" w:rsidRPr="00DE12A3" w:rsidRDefault="000978CB" w:rsidP="00C917D6">
            <w:pPr>
              <w:pStyle w:val="NormalLeft"/>
            </w:pPr>
            <w:r w:rsidRPr="00DE12A3">
              <w:rPr>
                <w:i/>
                <w:iCs/>
              </w:rPr>
              <w:t>m</w:t>
            </w:r>
            <w:r w:rsidRPr="00DE12A3">
              <w:rPr>
                <w:vertAlign w:val="subscript"/>
              </w:rPr>
              <w:t>gas</w:t>
            </w:r>
          </w:p>
        </w:tc>
        <w:tc>
          <w:tcPr>
            <w:tcW w:w="1441" w:type="dxa"/>
            <w:tcBorders>
              <w:top w:val="single" w:sz="2" w:space="0" w:color="auto"/>
              <w:left w:val="single" w:sz="2" w:space="0" w:color="auto"/>
              <w:bottom w:val="single" w:sz="2" w:space="0" w:color="auto"/>
              <w:right w:val="single" w:sz="2" w:space="0" w:color="auto"/>
            </w:tcBorders>
          </w:tcPr>
          <w:p w14:paraId="4E274BA5" w14:textId="77777777" w:rsidR="000978CB" w:rsidRPr="00DE12A3" w:rsidRDefault="000978CB" w:rsidP="00C917D6">
            <w:pPr>
              <w:pStyle w:val="NormalLeft"/>
            </w:pPr>
            <w:r w:rsidRPr="00DE12A3">
              <w:t>g</w:t>
            </w:r>
          </w:p>
        </w:tc>
        <w:tc>
          <w:tcPr>
            <w:tcW w:w="5044" w:type="dxa"/>
            <w:tcBorders>
              <w:top w:val="single" w:sz="2" w:space="0" w:color="auto"/>
              <w:left w:val="single" w:sz="2" w:space="0" w:color="auto"/>
              <w:bottom w:val="single" w:sz="2" w:space="0" w:color="auto"/>
              <w:right w:val="single" w:sz="2" w:space="0" w:color="auto"/>
            </w:tcBorders>
          </w:tcPr>
          <w:p w14:paraId="548DD806" w14:textId="77777777" w:rsidR="000978CB" w:rsidRPr="00DE12A3" w:rsidRDefault="000978CB" w:rsidP="00C917D6">
            <w:pPr>
              <w:spacing w:before="120" w:after="120"/>
              <w:rPr>
                <w:rFonts w:cs="Times New Roman"/>
                <w:color w:val="auto"/>
              </w:rPr>
            </w:pPr>
            <w:r w:rsidRPr="00DE12A3">
              <w:rPr>
                <w:rFonts w:cs="Times New Roman"/>
                <w:color w:val="auto"/>
              </w:rPr>
              <w:t xml:space="preserve">Test </w:t>
            </w:r>
            <w:r w:rsidR="00F310B5" w:rsidRPr="00DE12A3">
              <w:rPr>
                <w:rFonts w:cs="Times New Roman"/>
                <w:color w:val="auto"/>
              </w:rPr>
              <w:t>çevrimi</w:t>
            </w:r>
            <w:r w:rsidRPr="00DE12A3">
              <w:rPr>
                <w:rFonts w:cs="Times New Roman"/>
                <w:color w:val="auto"/>
              </w:rPr>
              <w:t xml:space="preserve"> boyunca gaz emisyonlarının kütlesi</w:t>
            </w:r>
          </w:p>
        </w:tc>
      </w:tr>
      <w:tr w:rsidR="00DE12A3" w:rsidRPr="00DE12A3" w14:paraId="3283A897" w14:textId="77777777" w:rsidTr="002C23B9">
        <w:tc>
          <w:tcPr>
            <w:tcW w:w="1261" w:type="dxa"/>
            <w:tcBorders>
              <w:top w:val="single" w:sz="2" w:space="0" w:color="auto"/>
              <w:left w:val="single" w:sz="2" w:space="0" w:color="auto"/>
              <w:bottom w:val="single" w:sz="2" w:space="0" w:color="auto"/>
              <w:right w:val="single" w:sz="2" w:space="0" w:color="auto"/>
            </w:tcBorders>
          </w:tcPr>
          <w:p w14:paraId="4045A840" w14:textId="77777777" w:rsidR="000978CB" w:rsidRPr="00DE12A3" w:rsidRDefault="000978CB" w:rsidP="00C917D6">
            <w:pPr>
              <w:pStyle w:val="NormalLeft"/>
            </w:pPr>
            <w:r w:rsidRPr="00DE12A3">
              <w:rPr>
                <w:i/>
                <w:iCs/>
              </w:rPr>
              <w:t>m</w:t>
            </w:r>
            <w:r w:rsidRPr="00DE12A3">
              <w:rPr>
                <w:vertAlign w:val="subscript"/>
              </w:rPr>
              <w:t>PM</w:t>
            </w:r>
          </w:p>
        </w:tc>
        <w:tc>
          <w:tcPr>
            <w:tcW w:w="1261" w:type="dxa"/>
            <w:tcBorders>
              <w:top w:val="single" w:sz="2" w:space="0" w:color="auto"/>
              <w:left w:val="single" w:sz="2" w:space="0" w:color="auto"/>
              <w:bottom w:val="single" w:sz="2" w:space="0" w:color="auto"/>
              <w:right w:val="single" w:sz="2" w:space="0" w:color="auto"/>
            </w:tcBorders>
          </w:tcPr>
          <w:p w14:paraId="4B5487B3" w14:textId="77777777" w:rsidR="000978CB" w:rsidRPr="00DE12A3" w:rsidRDefault="000978CB" w:rsidP="00C917D6">
            <w:pPr>
              <w:pStyle w:val="NormalLeft"/>
            </w:pPr>
            <w:r w:rsidRPr="00DE12A3">
              <w:rPr>
                <w:i/>
                <w:iCs/>
              </w:rPr>
              <w:t>m</w:t>
            </w:r>
            <w:r w:rsidRPr="00DE12A3">
              <w:rPr>
                <w:vertAlign w:val="subscript"/>
              </w:rPr>
              <w:t>PM</w:t>
            </w:r>
          </w:p>
        </w:tc>
        <w:tc>
          <w:tcPr>
            <w:tcW w:w="1441" w:type="dxa"/>
            <w:tcBorders>
              <w:top w:val="single" w:sz="2" w:space="0" w:color="auto"/>
              <w:left w:val="single" w:sz="2" w:space="0" w:color="auto"/>
              <w:bottom w:val="single" w:sz="2" w:space="0" w:color="auto"/>
              <w:right w:val="single" w:sz="2" w:space="0" w:color="auto"/>
            </w:tcBorders>
          </w:tcPr>
          <w:p w14:paraId="04E6BFD0" w14:textId="77777777" w:rsidR="000978CB" w:rsidRPr="00DE12A3" w:rsidRDefault="000978CB" w:rsidP="00C917D6">
            <w:pPr>
              <w:pStyle w:val="NormalLeft"/>
            </w:pPr>
            <w:r w:rsidRPr="00DE12A3">
              <w:t>g</w:t>
            </w:r>
          </w:p>
        </w:tc>
        <w:tc>
          <w:tcPr>
            <w:tcW w:w="5044" w:type="dxa"/>
            <w:tcBorders>
              <w:top w:val="single" w:sz="2" w:space="0" w:color="auto"/>
              <w:left w:val="single" w:sz="2" w:space="0" w:color="auto"/>
              <w:bottom w:val="single" w:sz="2" w:space="0" w:color="auto"/>
              <w:right w:val="single" w:sz="2" w:space="0" w:color="auto"/>
            </w:tcBorders>
          </w:tcPr>
          <w:p w14:paraId="2359439D" w14:textId="77777777" w:rsidR="000978CB" w:rsidRPr="00DE12A3" w:rsidRDefault="000978CB" w:rsidP="00C917D6">
            <w:pPr>
              <w:spacing w:before="120" w:after="120"/>
              <w:rPr>
                <w:rFonts w:cs="Times New Roman"/>
                <w:color w:val="auto"/>
              </w:rPr>
            </w:pPr>
            <w:r w:rsidRPr="00DE12A3">
              <w:rPr>
                <w:rFonts w:cs="Times New Roman"/>
                <w:color w:val="auto"/>
              </w:rPr>
              <w:t xml:space="preserve">Test </w:t>
            </w:r>
            <w:r w:rsidR="00F310B5" w:rsidRPr="00DE12A3">
              <w:rPr>
                <w:rFonts w:cs="Times New Roman"/>
                <w:color w:val="auto"/>
              </w:rPr>
              <w:t>çevrimi</w:t>
            </w:r>
            <w:r w:rsidRPr="00DE12A3">
              <w:rPr>
                <w:rFonts w:cs="Times New Roman"/>
                <w:color w:val="auto"/>
              </w:rPr>
              <w:t xml:space="preserve"> boyunca </w:t>
            </w:r>
            <w:r w:rsidR="007E2039" w:rsidRPr="00DE12A3">
              <w:rPr>
                <w:rFonts w:cs="Times New Roman"/>
                <w:color w:val="auto"/>
              </w:rPr>
              <w:t xml:space="preserve">partikül </w:t>
            </w:r>
            <w:r w:rsidRPr="00DE12A3">
              <w:rPr>
                <w:rFonts w:cs="Times New Roman"/>
                <w:color w:val="auto"/>
              </w:rPr>
              <w:t>emisyonlarının kütlesi</w:t>
            </w:r>
          </w:p>
        </w:tc>
      </w:tr>
      <w:tr w:rsidR="00DE12A3" w:rsidRPr="00DE12A3" w14:paraId="7361A839" w14:textId="77777777" w:rsidTr="002C23B9">
        <w:tc>
          <w:tcPr>
            <w:tcW w:w="1261" w:type="dxa"/>
            <w:tcBorders>
              <w:top w:val="single" w:sz="2" w:space="0" w:color="auto"/>
              <w:left w:val="single" w:sz="2" w:space="0" w:color="auto"/>
              <w:bottom w:val="single" w:sz="2" w:space="0" w:color="auto"/>
              <w:right w:val="single" w:sz="2" w:space="0" w:color="auto"/>
            </w:tcBorders>
          </w:tcPr>
          <w:p w14:paraId="7FE7786D" w14:textId="77777777" w:rsidR="003641E5" w:rsidRPr="00DE12A3" w:rsidRDefault="003641E5" w:rsidP="00C917D6">
            <w:pPr>
              <w:pStyle w:val="NormalLeft"/>
            </w:pPr>
            <w:r w:rsidRPr="00DE12A3">
              <w:rPr>
                <w:i/>
                <w:iCs/>
              </w:rPr>
              <w:t>m</w:t>
            </w:r>
            <w:r w:rsidRPr="00DE12A3">
              <w:rPr>
                <w:vertAlign w:val="subscript"/>
              </w:rPr>
              <w:t>se</w:t>
            </w:r>
          </w:p>
        </w:tc>
        <w:tc>
          <w:tcPr>
            <w:tcW w:w="1261" w:type="dxa"/>
            <w:tcBorders>
              <w:top w:val="single" w:sz="2" w:space="0" w:color="auto"/>
              <w:left w:val="single" w:sz="2" w:space="0" w:color="auto"/>
              <w:bottom w:val="single" w:sz="2" w:space="0" w:color="auto"/>
              <w:right w:val="single" w:sz="2" w:space="0" w:color="auto"/>
            </w:tcBorders>
          </w:tcPr>
          <w:p w14:paraId="6E03EA0D" w14:textId="77777777" w:rsidR="003641E5" w:rsidRPr="00DE12A3" w:rsidRDefault="003641E5" w:rsidP="00C917D6">
            <w:pPr>
              <w:spacing w:before="120" w:after="120"/>
              <w:rPr>
                <w:rFonts w:cs="Times New Roman"/>
                <w:color w:val="auto"/>
              </w:rPr>
            </w:pPr>
            <w:r w:rsidRPr="00DE12A3">
              <w:rPr>
                <w:rFonts w:cs="Times New Roman"/>
                <w:color w:val="auto"/>
                <w:vertAlign w:val="superscript"/>
              </w:rPr>
              <w:t>(</w:t>
            </w:r>
            <w:r w:rsidRPr="00DE12A3">
              <w:rPr>
                <w:rStyle w:val="DipnotBavurusu"/>
                <w:rFonts w:cs="Times New Roman"/>
                <w:color w:val="auto"/>
              </w:rPr>
              <w:t>1</w:t>
            </w:r>
            <w:r w:rsidRPr="00DE12A3">
              <w:rPr>
                <w:rFonts w:cs="Times New Roman"/>
                <w:color w:val="auto"/>
                <w:vertAlign w:val="superscript"/>
              </w:rPr>
              <w:t>)</w:t>
            </w:r>
          </w:p>
        </w:tc>
        <w:tc>
          <w:tcPr>
            <w:tcW w:w="1441" w:type="dxa"/>
            <w:tcBorders>
              <w:top w:val="single" w:sz="2" w:space="0" w:color="auto"/>
              <w:left w:val="single" w:sz="2" w:space="0" w:color="auto"/>
              <w:bottom w:val="single" w:sz="2" w:space="0" w:color="auto"/>
              <w:right w:val="single" w:sz="2" w:space="0" w:color="auto"/>
            </w:tcBorders>
          </w:tcPr>
          <w:p w14:paraId="2736E9B0" w14:textId="77777777" w:rsidR="003641E5" w:rsidRPr="00DE12A3" w:rsidRDefault="003641E5" w:rsidP="00C917D6">
            <w:pPr>
              <w:pStyle w:val="NormalLeft"/>
            </w:pPr>
            <w:r w:rsidRPr="00DE12A3">
              <w:t>kg</w:t>
            </w:r>
          </w:p>
        </w:tc>
        <w:tc>
          <w:tcPr>
            <w:tcW w:w="5044" w:type="dxa"/>
            <w:tcBorders>
              <w:top w:val="single" w:sz="2" w:space="0" w:color="auto"/>
              <w:left w:val="single" w:sz="2" w:space="0" w:color="auto"/>
              <w:bottom w:val="single" w:sz="2" w:space="0" w:color="auto"/>
              <w:right w:val="single" w:sz="2" w:space="0" w:color="auto"/>
            </w:tcBorders>
          </w:tcPr>
          <w:p w14:paraId="00AFCD3F" w14:textId="77777777" w:rsidR="003641E5" w:rsidRPr="00DE12A3" w:rsidRDefault="003641E5" w:rsidP="00C917D6">
            <w:pPr>
              <w:pStyle w:val="NormalLeft"/>
            </w:pPr>
            <w:r w:rsidRPr="00DE12A3">
              <w:t xml:space="preserve">Test </w:t>
            </w:r>
            <w:r w:rsidR="00F310B5" w:rsidRPr="00DE12A3">
              <w:t>çevrimi</w:t>
            </w:r>
            <w:r w:rsidRPr="00DE12A3">
              <w:t xml:space="preserve"> boyunca egzoz gazı numunesi kütlesi</w:t>
            </w:r>
          </w:p>
        </w:tc>
      </w:tr>
      <w:tr w:rsidR="00DE12A3" w:rsidRPr="00DE12A3" w14:paraId="71A164F6" w14:textId="77777777" w:rsidTr="002C23B9">
        <w:tc>
          <w:tcPr>
            <w:tcW w:w="1261" w:type="dxa"/>
            <w:tcBorders>
              <w:top w:val="single" w:sz="2" w:space="0" w:color="auto"/>
              <w:left w:val="single" w:sz="2" w:space="0" w:color="auto"/>
              <w:bottom w:val="single" w:sz="2" w:space="0" w:color="auto"/>
              <w:right w:val="single" w:sz="2" w:space="0" w:color="auto"/>
            </w:tcBorders>
          </w:tcPr>
          <w:p w14:paraId="047F97B6" w14:textId="77777777" w:rsidR="003641E5" w:rsidRPr="00DE12A3" w:rsidRDefault="003641E5" w:rsidP="00C917D6">
            <w:pPr>
              <w:pStyle w:val="NormalLeft"/>
            </w:pPr>
            <w:r w:rsidRPr="00DE12A3">
              <w:rPr>
                <w:i/>
                <w:iCs/>
              </w:rPr>
              <w:t>m</w:t>
            </w:r>
            <w:r w:rsidRPr="00DE12A3">
              <w:rPr>
                <w:vertAlign w:val="subscript"/>
              </w:rPr>
              <w:t>sed</w:t>
            </w:r>
          </w:p>
        </w:tc>
        <w:tc>
          <w:tcPr>
            <w:tcW w:w="1261" w:type="dxa"/>
            <w:tcBorders>
              <w:top w:val="single" w:sz="2" w:space="0" w:color="auto"/>
              <w:left w:val="single" w:sz="2" w:space="0" w:color="auto"/>
              <w:bottom w:val="single" w:sz="2" w:space="0" w:color="auto"/>
              <w:right w:val="single" w:sz="2" w:space="0" w:color="auto"/>
            </w:tcBorders>
          </w:tcPr>
          <w:p w14:paraId="2DEBC9A8" w14:textId="77777777" w:rsidR="003641E5" w:rsidRPr="00DE12A3" w:rsidRDefault="003641E5" w:rsidP="00C917D6">
            <w:pPr>
              <w:spacing w:before="120" w:after="120"/>
              <w:rPr>
                <w:rFonts w:cs="Times New Roman"/>
                <w:color w:val="auto"/>
              </w:rPr>
            </w:pPr>
            <w:r w:rsidRPr="00DE12A3">
              <w:rPr>
                <w:rFonts w:cs="Times New Roman"/>
                <w:color w:val="auto"/>
                <w:vertAlign w:val="superscript"/>
              </w:rPr>
              <w:t>(</w:t>
            </w:r>
            <w:r w:rsidRPr="00DE12A3">
              <w:rPr>
                <w:rStyle w:val="DipnotBavurusu"/>
                <w:rFonts w:cs="Times New Roman"/>
                <w:color w:val="auto"/>
              </w:rPr>
              <w:t>1</w:t>
            </w:r>
            <w:r w:rsidRPr="00DE12A3">
              <w:rPr>
                <w:rFonts w:cs="Times New Roman"/>
                <w:color w:val="auto"/>
                <w:vertAlign w:val="superscript"/>
              </w:rPr>
              <w:t>)</w:t>
            </w:r>
          </w:p>
        </w:tc>
        <w:tc>
          <w:tcPr>
            <w:tcW w:w="1441" w:type="dxa"/>
            <w:tcBorders>
              <w:top w:val="single" w:sz="2" w:space="0" w:color="auto"/>
              <w:left w:val="single" w:sz="2" w:space="0" w:color="auto"/>
              <w:bottom w:val="single" w:sz="2" w:space="0" w:color="auto"/>
              <w:right w:val="single" w:sz="2" w:space="0" w:color="auto"/>
            </w:tcBorders>
          </w:tcPr>
          <w:p w14:paraId="49A3EFC6" w14:textId="77777777" w:rsidR="003641E5" w:rsidRPr="00DE12A3" w:rsidRDefault="003641E5" w:rsidP="00C917D6">
            <w:pPr>
              <w:pStyle w:val="NormalLeft"/>
            </w:pPr>
            <w:r w:rsidRPr="00DE12A3">
              <w:t>kg</w:t>
            </w:r>
          </w:p>
        </w:tc>
        <w:tc>
          <w:tcPr>
            <w:tcW w:w="5044" w:type="dxa"/>
            <w:tcBorders>
              <w:top w:val="single" w:sz="2" w:space="0" w:color="auto"/>
              <w:left w:val="single" w:sz="2" w:space="0" w:color="auto"/>
              <w:bottom w:val="single" w:sz="2" w:space="0" w:color="auto"/>
              <w:right w:val="single" w:sz="2" w:space="0" w:color="auto"/>
            </w:tcBorders>
          </w:tcPr>
          <w:p w14:paraId="31324C2F" w14:textId="77777777" w:rsidR="003641E5" w:rsidRPr="00DE12A3" w:rsidRDefault="003641E5" w:rsidP="00C917D6">
            <w:pPr>
              <w:pStyle w:val="NormalLeft"/>
            </w:pPr>
            <w:r w:rsidRPr="00DE12A3">
              <w:t>Seyreltme tünelinden geçen seyreltilmiş egzoz gazı kütlesi</w:t>
            </w:r>
          </w:p>
        </w:tc>
      </w:tr>
      <w:tr w:rsidR="00DE12A3" w:rsidRPr="00DE12A3" w14:paraId="39E4F9BD" w14:textId="77777777" w:rsidTr="002C23B9">
        <w:tc>
          <w:tcPr>
            <w:tcW w:w="1261" w:type="dxa"/>
            <w:tcBorders>
              <w:top w:val="single" w:sz="2" w:space="0" w:color="auto"/>
              <w:left w:val="single" w:sz="2" w:space="0" w:color="auto"/>
              <w:bottom w:val="single" w:sz="2" w:space="0" w:color="auto"/>
              <w:right w:val="single" w:sz="2" w:space="0" w:color="auto"/>
            </w:tcBorders>
          </w:tcPr>
          <w:p w14:paraId="57AB32EB" w14:textId="77777777" w:rsidR="003641E5" w:rsidRPr="00DE12A3" w:rsidRDefault="003641E5" w:rsidP="00C917D6">
            <w:pPr>
              <w:pStyle w:val="NormalLeft"/>
            </w:pPr>
            <w:r w:rsidRPr="00DE12A3">
              <w:rPr>
                <w:i/>
                <w:iCs/>
              </w:rPr>
              <w:t>m</w:t>
            </w:r>
            <w:r w:rsidRPr="00DE12A3">
              <w:rPr>
                <w:vertAlign w:val="subscript"/>
              </w:rPr>
              <w:t>sep</w:t>
            </w:r>
          </w:p>
        </w:tc>
        <w:tc>
          <w:tcPr>
            <w:tcW w:w="1261" w:type="dxa"/>
            <w:tcBorders>
              <w:top w:val="single" w:sz="2" w:space="0" w:color="auto"/>
              <w:left w:val="single" w:sz="2" w:space="0" w:color="auto"/>
              <w:bottom w:val="single" w:sz="2" w:space="0" w:color="auto"/>
              <w:right w:val="single" w:sz="2" w:space="0" w:color="auto"/>
            </w:tcBorders>
          </w:tcPr>
          <w:p w14:paraId="5DCD3D75" w14:textId="77777777" w:rsidR="003641E5" w:rsidRPr="00DE12A3" w:rsidRDefault="003641E5" w:rsidP="00C917D6">
            <w:pPr>
              <w:spacing w:before="120" w:after="120"/>
              <w:rPr>
                <w:rFonts w:cs="Times New Roman"/>
                <w:color w:val="auto"/>
              </w:rPr>
            </w:pPr>
            <w:r w:rsidRPr="00DE12A3">
              <w:rPr>
                <w:rFonts w:cs="Times New Roman"/>
                <w:color w:val="auto"/>
                <w:vertAlign w:val="superscript"/>
              </w:rPr>
              <w:t>(</w:t>
            </w:r>
            <w:r w:rsidRPr="00DE12A3">
              <w:rPr>
                <w:rStyle w:val="DipnotBavurusu"/>
                <w:rFonts w:cs="Times New Roman"/>
                <w:color w:val="auto"/>
              </w:rPr>
              <w:t>1</w:t>
            </w:r>
            <w:r w:rsidRPr="00DE12A3">
              <w:rPr>
                <w:rFonts w:cs="Times New Roman"/>
                <w:color w:val="auto"/>
                <w:vertAlign w:val="superscript"/>
              </w:rPr>
              <w:t>)</w:t>
            </w:r>
          </w:p>
        </w:tc>
        <w:tc>
          <w:tcPr>
            <w:tcW w:w="1441" w:type="dxa"/>
            <w:tcBorders>
              <w:top w:val="single" w:sz="2" w:space="0" w:color="auto"/>
              <w:left w:val="single" w:sz="2" w:space="0" w:color="auto"/>
              <w:bottom w:val="single" w:sz="2" w:space="0" w:color="auto"/>
              <w:right w:val="single" w:sz="2" w:space="0" w:color="auto"/>
            </w:tcBorders>
          </w:tcPr>
          <w:p w14:paraId="25BB9469" w14:textId="77777777" w:rsidR="003641E5" w:rsidRPr="00DE12A3" w:rsidRDefault="003641E5" w:rsidP="00C917D6">
            <w:pPr>
              <w:pStyle w:val="NormalLeft"/>
            </w:pPr>
            <w:r w:rsidRPr="00DE12A3">
              <w:t>kg</w:t>
            </w:r>
          </w:p>
        </w:tc>
        <w:tc>
          <w:tcPr>
            <w:tcW w:w="5044" w:type="dxa"/>
            <w:tcBorders>
              <w:top w:val="single" w:sz="2" w:space="0" w:color="auto"/>
              <w:left w:val="single" w:sz="2" w:space="0" w:color="auto"/>
              <w:bottom w:val="single" w:sz="2" w:space="0" w:color="auto"/>
              <w:right w:val="single" w:sz="2" w:space="0" w:color="auto"/>
            </w:tcBorders>
          </w:tcPr>
          <w:p w14:paraId="283950FE" w14:textId="77777777" w:rsidR="003641E5" w:rsidRPr="00DE12A3" w:rsidRDefault="007E2039" w:rsidP="00C917D6">
            <w:pPr>
              <w:spacing w:before="120" w:after="120"/>
              <w:rPr>
                <w:rFonts w:cs="Times New Roman"/>
                <w:color w:val="auto"/>
              </w:rPr>
            </w:pPr>
            <w:r w:rsidRPr="00DE12A3">
              <w:rPr>
                <w:rFonts w:cs="Times New Roman"/>
                <w:color w:val="auto"/>
              </w:rPr>
              <w:t xml:space="preserve">Partikül </w:t>
            </w:r>
            <w:r w:rsidR="003641E5" w:rsidRPr="00DE12A3">
              <w:rPr>
                <w:rFonts w:cs="Times New Roman"/>
                <w:color w:val="auto"/>
              </w:rPr>
              <w:t>toplama filtrelerinden geçen seyreltilmiş egzoz gazı kütlesi</w:t>
            </w:r>
          </w:p>
        </w:tc>
      </w:tr>
      <w:tr w:rsidR="00DE12A3" w:rsidRPr="00DE12A3" w14:paraId="10BB7F53" w14:textId="77777777" w:rsidTr="002C23B9">
        <w:tc>
          <w:tcPr>
            <w:tcW w:w="1261" w:type="dxa"/>
            <w:tcBorders>
              <w:top w:val="single" w:sz="2" w:space="0" w:color="auto"/>
              <w:left w:val="single" w:sz="2" w:space="0" w:color="auto"/>
              <w:bottom w:val="single" w:sz="2" w:space="0" w:color="auto"/>
              <w:right w:val="single" w:sz="2" w:space="0" w:color="auto"/>
            </w:tcBorders>
          </w:tcPr>
          <w:p w14:paraId="204D9CDB" w14:textId="77777777" w:rsidR="00171726" w:rsidRPr="00DE12A3" w:rsidRDefault="00171726" w:rsidP="00C917D6">
            <w:pPr>
              <w:pStyle w:val="NormalLeft"/>
            </w:pPr>
            <w:r w:rsidRPr="00DE12A3">
              <w:rPr>
                <w:i/>
                <w:iCs/>
              </w:rPr>
              <w:t>m</w:t>
            </w:r>
            <w:r w:rsidRPr="00DE12A3">
              <w:rPr>
                <w:vertAlign w:val="subscript"/>
              </w:rPr>
              <w:t>ssd</w:t>
            </w:r>
          </w:p>
        </w:tc>
        <w:tc>
          <w:tcPr>
            <w:tcW w:w="1261" w:type="dxa"/>
            <w:tcBorders>
              <w:top w:val="single" w:sz="2" w:space="0" w:color="auto"/>
              <w:left w:val="single" w:sz="2" w:space="0" w:color="auto"/>
              <w:bottom w:val="single" w:sz="2" w:space="0" w:color="auto"/>
              <w:right w:val="single" w:sz="2" w:space="0" w:color="auto"/>
            </w:tcBorders>
          </w:tcPr>
          <w:p w14:paraId="5C874530" w14:textId="77777777" w:rsidR="00171726" w:rsidRPr="00DE12A3" w:rsidRDefault="00171726" w:rsidP="00C917D6">
            <w:pPr>
              <w:pStyle w:val="NormalLeft"/>
            </w:pPr>
          </w:p>
        </w:tc>
        <w:tc>
          <w:tcPr>
            <w:tcW w:w="1441" w:type="dxa"/>
            <w:tcBorders>
              <w:top w:val="single" w:sz="2" w:space="0" w:color="auto"/>
              <w:left w:val="single" w:sz="2" w:space="0" w:color="auto"/>
              <w:bottom w:val="single" w:sz="2" w:space="0" w:color="auto"/>
              <w:right w:val="single" w:sz="2" w:space="0" w:color="auto"/>
            </w:tcBorders>
          </w:tcPr>
          <w:p w14:paraId="4C763527" w14:textId="77777777" w:rsidR="00171726" w:rsidRPr="00DE12A3" w:rsidRDefault="00171726" w:rsidP="00C917D6">
            <w:pPr>
              <w:pStyle w:val="NormalLeft"/>
            </w:pPr>
            <w:r w:rsidRPr="00DE12A3">
              <w:t>kg</w:t>
            </w:r>
          </w:p>
        </w:tc>
        <w:tc>
          <w:tcPr>
            <w:tcW w:w="5044" w:type="dxa"/>
            <w:tcBorders>
              <w:top w:val="single" w:sz="2" w:space="0" w:color="auto"/>
              <w:left w:val="single" w:sz="2" w:space="0" w:color="auto"/>
              <w:bottom w:val="single" w:sz="2" w:space="0" w:color="auto"/>
              <w:right w:val="single" w:sz="2" w:space="0" w:color="auto"/>
            </w:tcBorders>
          </w:tcPr>
          <w:p w14:paraId="6DE1F687" w14:textId="77777777" w:rsidR="00171726" w:rsidRPr="00DE12A3" w:rsidRDefault="00171726" w:rsidP="00C917D6">
            <w:pPr>
              <w:spacing w:before="120" w:after="120"/>
              <w:rPr>
                <w:rFonts w:cs="Times New Roman"/>
                <w:color w:val="auto"/>
              </w:rPr>
            </w:pPr>
            <w:r w:rsidRPr="00DE12A3">
              <w:rPr>
                <w:rFonts w:cs="Times New Roman"/>
                <w:color w:val="auto"/>
              </w:rPr>
              <w:t>İkincil seyreltme havası kütlesi</w:t>
            </w:r>
          </w:p>
        </w:tc>
      </w:tr>
      <w:tr w:rsidR="00DE12A3" w:rsidRPr="00DE12A3" w14:paraId="73D26203" w14:textId="77777777" w:rsidTr="002C23B9">
        <w:tc>
          <w:tcPr>
            <w:tcW w:w="1261" w:type="dxa"/>
            <w:tcBorders>
              <w:top w:val="single" w:sz="2" w:space="0" w:color="auto"/>
              <w:left w:val="single" w:sz="2" w:space="0" w:color="auto"/>
              <w:bottom w:val="single" w:sz="2" w:space="0" w:color="auto"/>
              <w:right w:val="single" w:sz="2" w:space="0" w:color="auto"/>
            </w:tcBorders>
          </w:tcPr>
          <w:p w14:paraId="04104462" w14:textId="77777777" w:rsidR="00171726" w:rsidRPr="00DE12A3" w:rsidRDefault="00171726" w:rsidP="00C917D6">
            <w:pPr>
              <w:adjustRightInd w:val="0"/>
              <w:spacing w:before="120" w:after="120"/>
              <w:rPr>
                <w:rFonts w:cs="Times New Roman"/>
                <w:color w:val="auto"/>
              </w:rPr>
            </w:pPr>
          </w:p>
        </w:tc>
        <w:tc>
          <w:tcPr>
            <w:tcW w:w="1261" w:type="dxa"/>
            <w:tcBorders>
              <w:top w:val="single" w:sz="2" w:space="0" w:color="auto"/>
              <w:left w:val="single" w:sz="2" w:space="0" w:color="auto"/>
              <w:bottom w:val="single" w:sz="2" w:space="0" w:color="auto"/>
              <w:right w:val="single" w:sz="2" w:space="0" w:color="auto"/>
            </w:tcBorders>
          </w:tcPr>
          <w:p w14:paraId="7F1C2409" w14:textId="77777777" w:rsidR="00171726" w:rsidRPr="00DE12A3" w:rsidRDefault="00171726" w:rsidP="00C917D6">
            <w:pPr>
              <w:pStyle w:val="NormalLeft"/>
            </w:pPr>
            <w:r w:rsidRPr="00DE12A3">
              <w:t>N</w:t>
            </w:r>
          </w:p>
        </w:tc>
        <w:tc>
          <w:tcPr>
            <w:tcW w:w="1441" w:type="dxa"/>
            <w:tcBorders>
              <w:top w:val="single" w:sz="2" w:space="0" w:color="auto"/>
              <w:left w:val="single" w:sz="2" w:space="0" w:color="auto"/>
              <w:bottom w:val="single" w:sz="2" w:space="0" w:color="auto"/>
              <w:right w:val="single" w:sz="2" w:space="0" w:color="auto"/>
            </w:tcBorders>
          </w:tcPr>
          <w:p w14:paraId="759F7590" w14:textId="77777777" w:rsidR="00171726" w:rsidRPr="00DE12A3" w:rsidRDefault="00171726" w:rsidP="00C917D6">
            <w:pPr>
              <w:pStyle w:val="NormalLeft"/>
            </w:pPr>
            <w:r w:rsidRPr="00DE12A3">
              <w:t>—</w:t>
            </w:r>
          </w:p>
        </w:tc>
        <w:tc>
          <w:tcPr>
            <w:tcW w:w="5044" w:type="dxa"/>
            <w:tcBorders>
              <w:top w:val="single" w:sz="2" w:space="0" w:color="auto"/>
              <w:left w:val="single" w:sz="2" w:space="0" w:color="auto"/>
              <w:bottom w:val="single" w:sz="2" w:space="0" w:color="auto"/>
              <w:right w:val="single" w:sz="2" w:space="0" w:color="auto"/>
            </w:tcBorders>
          </w:tcPr>
          <w:p w14:paraId="016DFEBE" w14:textId="77777777" w:rsidR="00171726" w:rsidRPr="00DE12A3" w:rsidRDefault="00171726" w:rsidP="00C917D6">
            <w:pPr>
              <w:spacing w:before="120" w:after="120"/>
              <w:rPr>
                <w:rFonts w:cs="Times New Roman"/>
                <w:color w:val="auto"/>
              </w:rPr>
            </w:pPr>
            <w:r w:rsidRPr="00DE12A3">
              <w:rPr>
                <w:rFonts w:cs="Times New Roman"/>
                <w:color w:val="auto"/>
              </w:rPr>
              <w:t>Bir serinin toplam sayısı</w:t>
            </w:r>
          </w:p>
        </w:tc>
      </w:tr>
      <w:tr w:rsidR="00DE12A3" w:rsidRPr="00DE12A3" w14:paraId="3A4CB550" w14:textId="77777777" w:rsidTr="002C23B9">
        <w:tc>
          <w:tcPr>
            <w:tcW w:w="1261" w:type="dxa"/>
            <w:tcBorders>
              <w:top w:val="single" w:sz="2" w:space="0" w:color="auto"/>
              <w:left w:val="single" w:sz="2" w:space="0" w:color="auto"/>
              <w:bottom w:val="single" w:sz="2" w:space="0" w:color="auto"/>
              <w:right w:val="single" w:sz="2" w:space="0" w:color="auto"/>
            </w:tcBorders>
          </w:tcPr>
          <w:p w14:paraId="6907069F" w14:textId="77777777" w:rsidR="00171726" w:rsidRPr="00DE12A3" w:rsidRDefault="00171726" w:rsidP="00C917D6">
            <w:pPr>
              <w:adjustRightInd w:val="0"/>
              <w:spacing w:before="120" w:after="120"/>
              <w:rPr>
                <w:rFonts w:cs="Times New Roman"/>
                <w:color w:val="auto"/>
              </w:rPr>
            </w:pPr>
          </w:p>
        </w:tc>
        <w:tc>
          <w:tcPr>
            <w:tcW w:w="1261" w:type="dxa"/>
            <w:tcBorders>
              <w:top w:val="single" w:sz="2" w:space="0" w:color="auto"/>
              <w:left w:val="single" w:sz="2" w:space="0" w:color="auto"/>
              <w:bottom w:val="single" w:sz="2" w:space="0" w:color="auto"/>
              <w:right w:val="single" w:sz="2" w:space="0" w:color="auto"/>
            </w:tcBorders>
          </w:tcPr>
          <w:p w14:paraId="4D95FEF7" w14:textId="77777777" w:rsidR="00171726" w:rsidRPr="00DE12A3" w:rsidRDefault="00171726" w:rsidP="00C917D6">
            <w:pPr>
              <w:pStyle w:val="NormalLeft"/>
            </w:pPr>
            <w:r w:rsidRPr="00DE12A3">
              <w:rPr>
                <w:i/>
                <w:iCs/>
              </w:rPr>
              <w:t>n</w:t>
            </w:r>
          </w:p>
        </w:tc>
        <w:tc>
          <w:tcPr>
            <w:tcW w:w="1441" w:type="dxa"/>
            <w:tcBorders>
              <w:top w:val="single" w:sz="2" w:space="0" w:color="auto"/>
              <w:left w:val="single" w:sz="2" w:space="0" w:color="auto"/>
              <w:bottom w:val="single" w:sz="2" w:space="0" w:color="auto"/>
              <w:right w:val="single" w:sz="2" w:space="0" w:color="auto"/>
            </w:tcBorders>
          </w:tcPr>
          <w:p w14:paraId="0E633794" w14:textId="77777777" w:rsidR="00171726" w:rsidRPr="00DE12A3" w:rsidRDefault="00171726" w:rsidP="00C917D6">
            <w:pPr>
              <w:pStyle w:val="NormalLeft"/>
            </w:pPr>
            <w:r w:rsidRPr="00DE12A3">
              <w:t>mol</w:t>
            </w:r>
          </w:p>
        </w:tc>
        <w:tc>
          <w:tcPr>
            <w:tcW w:w="5044" w:type="dxa"/>
            <w:tcBorders>
              <w:top w:val="single" w:sz="2" w:space="0" w:color="auto"/>
              <w:left w:val="single" w:sz="2" w:space="0" w:color="auto"/>
              <w:bottom w:val="single" w:sz="2" w:space="0" w:color="auto"/>
              <w:right w:val="single" w:sz="2" w:space="0" w:color="auto"/>
            </w:tcBorders>
          </w:tcPr>
          <w:p w14:paraId="0F57E72F" w14:textId="77777777" w:rsidR="00171726" w:rsidRPr="00DE12A3" w:rsidRDefault="00171726" w:rsidP="00C917D6">
            <w:pPr>
              <w:spacing w:before="120" w:after="120"/>
              <w:rPr>
                <w:rFonts w:cs="Times New Roman"/>
                <w:color w:val="auto"/>
              </w:rPr>
            </w:pPr>
            <w:r w:rsidRPr="00DE12A3">
              <w:rPr>
                <w:rFonts w:cs="Times New Roman"/>
                <w:color w:val="auto"/>
              </w:rPr>
              <w:t>Madde miktarı</w:t>
            </w:r>
          </w:p>
        </w:tc>
      </w:tr>
      <w:tr w:rsidR="00DE12A3" w:rsidRPr="00DE12A3" w14:paraId="146580DB" w14:textId="77777777" w:rsidTr="002C23B9">
        <w:tc>
          <w:tcPr>
            <w:tcW w:w="1261" w:type="dxa"/>
            <w:tcBorders>
              <w:top w:val="single" w:sz="2" w:space="0" w:color="auto"/>
              <w:left w:val="single" w:sz="2" w:space="0" w:color="auto"/>
              <w:bottom w:val="single" w:sz="2" w:space="0" w:color="auto"/>
              <w:right w:val="single" w:sz="2" w:space="0" w:color="auto"/>
            </w:tcBorders>
          </w:tcPr>
          <w:p w14:paraId="2BD4A398" w14:textId="77777777" w:rsidR="00171726" w:rsidRPr="00DE12A3" w:rsidRDefault="00171726" w:rsidP="00C917D6">
            <w:pPr>
              <w:adjustRightInd w:val="0"/>
              <w:spacing w:before="120" w:after="120"/>
              <w:rPr>
                <w:rFonts w:cs="Times New Roman"/>
                <w:color w:val="auto"/>
              </w:rPr>
            </w:pPr>
          </w:p>
        </w:tc>
        <w:tc>
          <w:tcPr>
            <w:tcW w:w="1261" w:type="dxa"/>
            <w:tcBorders>
              <w:top w:val="single" w:sz="2" w:space="0" w:color="auto"/>
              <w:left w:val="single" w:sz="2" w:space="0" w:color="auto"/>
              <w:bottom w:val="single" w:sz="2" w:space="0" w:color="auto"/>
              <w:right w:val="single" w:sz="2" w:space="0" w:color="auto"/>
            </w:tcBorders>
          </w:tcPr>
          <w:p w14:paraId="1794B66B" w14:textId="77777777" w:rsidR="00171726" w:rsidRPr="00DE12A3" w:rsidRDefault="00171726" w:rsidP="00C917D6">
            <w:pPr>
              <w:pStyle w:val="NormalLeft"/>
            </w:pPr>
            <w:r w:rsidRPr="00DE12A3">
              <w:rPr>
                <w:i/>
                <w:iCs/>
              </w:rPr>
              <w:t>ṅ</w:t>
            </w:r>
          </w:p>
        </w:tc>
        <w:tc>
          <w:tcPr>
            <w:tcW w:w="1441" w:type="dxa"/>
            <w:tcBorders>
              <w:top w:val="single" w:sz="2" w:space="0" w:color="auto"/>
              <w:left w:val="single" w:sz="2" w:space="0" w:color="auto"/>
              <w:bottom w:val="single" w:sz="2" w:space="0" w:color="auto"/>
              <w:right w:val="single" w:sz="2" w:space="0" w:color="auto"/>
            </w:tcBorders>
          </w:tcPr>
          <w:p w14:paraId="3F26E330" w14:textId="77777777" w:rsidR="00171726" w:rsidRPr="00DE12A3" w:rsidRDefault="00171726" w:rsidP="00C917D6">
            <w:pPr>
              <w:pStyle w:val="NormalLeft"/>
            </w:pPr>
            <w:r w:rsidRPr="00DE12A3">
              <w:t>mol/s</w:t>
            </w:r>
          </w:p>
        </w:tc>
        <w:tc>
          <w:tcPr>
            <w:tcW w:w="5044" w:type="dxa"/>
            <w:tcBorders>
              <w:top w:val="single" w:sz="2" w:space="0" w:color="auto"/>
              <w:left w:val="single" w:sz="2" w:space="0" w:color="auto"/>
              <w:bottom w:val="single" w:sz="2" w:space="0" w:color="auto"/>
              <w:right w:val="single" w:sz="2" w:space="0" w:color="auto"/>
            </w:tcBorders>
          </w:tcPr>
          <w:p w14:paraId="51E68ABE" w14:textId="77777777" w:rsidR="00171726" w:rsidRPr="00DE12A3" w:rsidRDefault="00171726" w:rsidP="00C917D6">
            <w:pPr>
              <w:spacing w:before="120" w:after="120"/>
              <w:rPr>
                <w:rFonts w:cs="Times New Roman"/>
                <w:color w:val="auto"/>
              </w:rPr>
            </w:pPr>
            <w:r w:rsidRPr="00DE12A3">
              <w:rPr>
                <w:rFonts w:cs="Times New Roman"/>
                <w:color w:val="auto"/>
              </w:rPr>
              <w:t>Madde oranı hızı</w:t>
            </w:r>
          </w:p>
        </w:tc>
      </w:tr>
      <w:tr w:rsidR="00DE12A3" w:rsidRPr="00DE12A3" w14:paraId="0C3B42A3" w14:textId="77777777" w:rsidTr="002C23B9">
        <w:tc>
          <w:tcPr>
            <w:tcW w:w="1261" w:type="dxa"/>
            <w:tcBorders>
              <w:top w:val="single" w:sz="2" w:space="0" w:color="auto"/>
              <w:left w:val="single" w:sz="2" w:space="0" w:color="auto"/>
              <w:bottom w:val="single" w:sz="2" w:space="0" w:color="auto"/>
              <w:right w:val="single" w:sz="2" w:space="0" w:color="auto"/>
            </w:tcBorders>
          </w:tcPr>
          <w:p w14:paraId="150CFF45" w14:textId="77777777" w:rsidR="00171726" w:rsidRPr="00DE12A3" w:rsidRDefault="00171726" w:rsidP="00C917D6">
            <w:pPr>
              <w:pStyle w:val="NormalLeft"/>
            </w:pPr>
            <w:r w:rsidRPr="00DE12A3">
              <w:rPr>
                <w:i/>
                <w:iCs/>
              </w:rPr>
              <w:t>n</w:t>
            </w:r>
          </w:p>
        </w:tc>
        <w:tc>
          <w:tcPr>
            <w:tcW w:w="1261" w:type="dxa"/>
            <w:tcBorders>
              <w:top w:val="single" w:sz="2" w:space="0" w:color="auto"/>
              <w:left w:val="single" w:sz="2" w:space="0" w:color="auto"/>
              <w:bottom w:val="single" w:sz="2" w:space="0" w:color="auto"/>
              <w:right w:val="single" w:sz="2" w:space="0" w:color="auto"/>
            </w:tcBorders>
          </w:tcPr>
          <w:p w14:paraId="2EA9A5E7" w14:textId="77777777" w:rsidR="00171726" w:rsidRPr="00DE12A3" w:rsidRDefault="00171726" w:rsidP="00C917D6">
            <w:pPr>
              <w:pStyle w:val="NormalLeft"/>
            </w:pPr>
            <w:r w:rsidRPr="00DE12A3">
              <w:rPr>
                <w:i/>
                <w:iCs/>
              </w:rPr>
              <w:t>f</w:t>
            </w:r>
            <w:r w:rsidRPr="00DE12A3">
              <w:rPr>
                <w:vertAlign w:val="subscript"/>
              </w:rPr>
              <w:t>n</w:t>
            </w:r>
          </w:p>
        </w:tc>
        <w:tc>
          <w:tcPr>
            <w:tcW w:w="1441" w:type="dxa"/>
            <w:tcBorders>
              <w:top w:val="single" w:sz="2" w:space="0" w:color="auto"/>
              <w:left w:val="single" w:sz="2" w:space="0" w:color="auto"/>
              <w:bottom w:val="single" w:sz="2" w:space="0" w:color="auto"/>
              <w:right w:val="single" w:sz="2" w:space="0" w:color="auto"/>
            </w:tcBorders>
          </w:tcPr>
          <w:p w14:paraId="3D4E4C5C" w14:textId="77777777" w:rsidR="00171726" w:rsidRPr="00DE12A3" w:rsidRDefault="00171726" w:rsidP="00C917D6">
            <w:pPr>
              <w:pStyle w:val="NormalLeft"/>
            </w:pPr>
            <w:r w:rsidRPr="00DE12A3">
              <w:t>min</w:t>
            </w:r>
            <w:r w:rsidRPr="00DE12A3">
              <w:rPr>
                <w:vertAlign w:val="superscript"/>
              </w:rPr>
              <w:t>– 1</w:t>
            </w:r>
          </w:p>
        </w:tc>
        <w:tc>
          <w:tcPr>
            <w:tcW w:w="5044" w:type="dxa"/>
            <w:tcBorders>
              <w:top w:val="single" w:sz="2" w:space="0" w:color="auto"/>
              <w:left w:val="single" w:sz="2" w:space="0" w:color="auto"/>
              <w:bottom w:val="single" w:sz="2" w:space="0" w:color="auto"/>
              <w:right w:val="single" w:sz="2" w:space="0" w:color="auto"/>
            </w:tcBorders>
          </w:tcPr>
          <w:p w14:paraId="7FD43D29" w14:textId="77777777" w:rsidR="00171726" w:rsidRPr="00DE12A3" w:rsidRDefault="00171726" w:rsidP="00C917D6">
            <w:pPr>
              <w:spacing w:before="120" w:after="120"/>
              <w:rPr>
                <w:rFonts w:cs="Times New Roman"/>
                <w:color w:val="auto"/>
              </w:rPr>
            </w:pPr>
            <w:r w:rsidRPr="00DE12A3">
              <w:rPr>
                <w:rFonts w:cs="Times New Roman"/>
                <w:color w:val="auto"/>
              </w:rPr>
              <w:t>Motor devri</w:t>
            </w:r>
          </w:p>
        </w:tc>
      </w:tr>
      <w:tr w:rsidR="00DE12A3" w:rsidRPr="00DE12A3" w14:paraId="73BF5033" w14:textId="77777777" w:rsidTr="002C23B9">
        <w:tc>
          <w:tcPr>
            <w:tcW w:w="1261" w:type="dxa"/>
            <w:tcBorders>
              <w:top w:val="single" w:sz="2" w:space="0" w:color="auto"/>
              <w:left w:val="single" w:sz="2" w:space="0" w:color="auto"/>
              <w:bottom w:val="single" w:sz="2" w:space="0" w:color="auto"/>
              <w:right w:val="single" w:sz="2" w:space="0" w:color="auto"/>
            </w:tcBorders>
          </w:tcPr>
          <w:p w14:paraId="58781AB0" w14:textId="77777777" w:rsidR="00171726" w:rsidRPr="00DE12A3" w:rsidRDefault="00171726" w:rsidP="00C917D6">
            <w:pPr>
              <w:pStyle w:val="NormalLeft"/>
            </w:pPr>
            <w:r w:rsidRPr="00DE12A3">
              <w:rPr>
                <w:i/>
                <w:iCs/>
              </w:rPr>
              <w:t>n</w:t>
            </w:r>
            <w:r w:rsidRPr="00DE12A3">
              <w:rPr>
                <w:vertAlign w:val="subscript"/>
              </w:rPr>
              <w:t>p</w:t>
            </w:r>
          </w:p>
        </w:tc>
        <w:tc>
          <w:tcPr>
            <w:tcW w:w="1261" w:type="dxa"/>
            <w:tcBorders>
              <w:top w:val="single" w:sz="2" w:space="0" w:color="auto"/>
              <w:left w:val="single" w:sz="2" w:space="0" w:color="auto"/>
              <w:bottom w:val="single" w:sz="2" w:space="0" w:color="auto"/>
              <w:right w:val="single" w:sz="2" w:space="0" w:color="auto"/>
            </w:tcBorders>
          </w:tcPr>
          <w:p w14:paraId="12A4C9FA" w14:textId="77777777" w:rsidR="00171726" w:rsidRPr="00DE12A3" w:rsidRDefault="00171726" w:rsidP="00C917D6">
            <w:pPr>
              <w:pStyle w:val="NormalLeft"/>
            </w:pPr>
          </w:p>
        </w:tc>
        <w:tc>
          <w:tcPr>
            <w:tcW w:w="1441" w:type="dxa"/>
            <w:tcBorders>
              <w:top w:val="single" w:sz="2" w:space="0" w:color="auto"/>
              <w:left w:val="single" w:sz="2" w:space="0" w:color="auto"/>
              <w:bottom w:val="single" w:sz="2" w:space="0" w:color="auto"/>
              <w:right w:val="single" w:sz="2" w:space="0" w:color="auto"/>
            </w:tcBorders>
          </w:tcPr>
          <w:p w14:paraId="56E52ED8" w14:textId="77777777" w:rsidR="00171726" w:rsidRPr="00DE12A3" w:rsidRDefault="00171726" w:rsidP="00C917D6">
            <w:pPr>
              <w:pStyle w:val="NormalLeft"/>
            </w:pPr>
            <w:r w:rsidRPr="00DE12A3">
              <w:t>r/s</w:t>
            </w:r>
          </w:p>
        </w:tc>
        <w:tc>
          <w:tcPr>
            <w:tcW w:w="5044" w:type="dxa"/>
            <w:tcBorders>
              <w:top w:val="single" w:sz="2" w:space="0" w:color="auto"/>
              <w:left w:val="single" w:sz="2" w:space="0" w:color="auto"/>
              <w:bottom w:val="single" w:sz="2" w:space="0" w:color="auto"/>
              <w:right w:val="single" w:sz="2" w:space="0" w:color="auto"/>
            </w:tcBorders>
          </w:tcPr>
          <w:p w14:paraId="3143090F" w14:textId="77777777" w:rsidR="00171726" w:rsidRPr="00DE12A3" w:rsidRDefault="00171726" w:rsidP="00C917D6">
            <w:pPr>
              <w:spacing w:before="120" w:after="120"/>
              <w:rPr>
                <w:rFonts w:cs="Times New Roman"/>
                <w:color w:val="auto"/>
              </w:rPr>
            </w:pPr>
            <w:r w:rsidRPr="00DE12A3">
              <w:rPr>
                <w:rFonts w:cs="Times New Roman"/>
                <w:color w:val="auto"/>
              </w:rPr>
              <w:t>PDP pompası devri</w:t>
            </w:r>
          </w:p>
        </w:tc>
      </w:tr>
      <w:tr w:rsidR="00DE12A3" w:rsidRPr="00DE12A3" w14:paraId="4A901582" w14:textId="77777777" w:rsidTr="002C23B9">
        <w:tc>
          <w:tcPr>
            <w:tcW w:w="1261" w:type="dxa"/>
            <w:tcBorders>
              <w:top w:val="single" w:sz="2" w:space="0" w:color="auto"/>
              <w:left w:val="single" w:sz="2" w:space="0" w:color="auto"/>
              <w:bottom w:val="single" w:sz="2" w:space="0" w:color="auto"/>
              <w:right w:val="single" w:sz="2" w:space="0" w:color="auto"/>
            </w:tcBorders>
          </w:tcPr>
          <w:p w14:paraId="0D74A6DF" w14:textId="77777777" w:rsidR="00171726" w:rsidRPr="00DE12A3" w:rsidRDefault="00171726" w:rsidP="00C917D6">
            <w:pPr>
              <w:pStyle w:val="NormalLeft"/>
            </w:pPr>
            <w:r w:rsidRPr="00DE12A3">
              <w:rPr>
                <w:i/>
                <w:iCs/>
              </w:rPr>
              <w:t>P</w:t>
            </w:r>
          </w:p>
        </w:tc>
        <w:tc>
          <w:tcPr>
            <w:tcW w:w="1261" w:type="dxa"/>
            <w:tcBorders>
              <w:top w:val="single" w:sz="2" w:space="0" w:color="auto"/>
              <w:left w:val="single" w:sz="2" w:space="0" w:color="auto"/>
              <w:bottom w:val="single" w:sz="2" w:space="0" w:color="auto"/>
              <w:right w:val="single" w:sz="2" w:space="0" w:color="auto"/>
            </w:tcBorders>
          </w:tcPr>
          <w:p w14:paraId="4F3273AE" w14:textId="77777777" w:rsidR="00171726" w:rsidRPr="00DE12A3" w:rsidRDefault="00171726" w:rsidP="00C917D6">
            <w:pPr>
              <w:pStyle w:val="NormalLeft"/>
            </w:pPr>
            <w:r w:rsidRPr="00DE12A3">
              <w:rPr>
                <w:i/>
                <w:iCs/>
              </w:rPr>
              <w:t>P</w:t>
            </w:r>
          </w:p>
        </w:tc>
        <w:tc>
          <w:tcPr>
            <w:tcW w:w="1441" w:type="dxa"/>
            <w:tcBorders>
              <w:top w:val="single" w:sz="2" w:space="0" w:color="auto"/>
              <w:left w:val="single" w:sz="2" w:space="0" w:color="auto"/>
              <w:bottom w:val="single" w:sz="2" w:space="0" w:color="auto"/>
              <w:right w:val="single" w:sz="2" w:space="0" w:color="auto"/>
            </w:tcBorders>
          </w:tcPr>
          <w:p w14:paraId="5D8CBCAA" w14:textId="77777777" w:rsidR="00171726" w:rsidRPr="00DE12A3" w:rsidRDefault="00171726" w:rsidP="00C917D6">
            <w:pPr>
              <w:pStyle w:val="NormalLeft"/>
            </w:pPr>
            <w:r w:rsidRPr="00DE12A3">
              <w:t>kW</w:t>
            </w:r>
          </w:p>
        </w:tc>
        <w:tc>
          <w:tcPr>
            <w:tcW w:w="5044" w:type="dxa"/>
            <w:tcBorders>
              <w:top w:val="single" w:sz="2" w:space="0" w:color="auto"/>
              <w:left w:val="single" w:sz="2" w:space="0" w:color="auto"/>
              <w:bottom w:val="single" w:sz="2" w:space="0" w:color="auto"/>
              <w:right w:val="single" w:sz="2" w:space="0" w:color="auto"/>
            </w:tcBorders>
          </w:tcPr>
          <w:p w14:paraId="7B2EB985" w14:textId="77777777" w:rsidR="00171726" w:rsidRPr="00DE12A3" w:rsidRDefault="00171726" w:rsidP="00C917D6">
            <w:pPr>
              <w:spacing w:before="120" w:after="120"/>
              <w:rPr>
                <w:rFonts w:cs="Times New Roman"/>
                <w:color w:val="auto"/>
              </w:rPr>
            </w:pPr>
            <w:r w:rsidRPr="00DE12A3">
              <w:rPr>
                <w:rFonts w:cs="Times New Roman"/>
                <w:color w:val="auto"/>
              </w:rPr>
              <w:t>Güç</w:t>
            </w:r>
          </w:p>
        </w:tc>
      </w:tr>
      <w:tr w:rsidR="00DE12A3" w:rsidRPr="00DE12A3" w14:paraId="4595A3A1" w14:textId="77777777" w:rsidTr="002C23B9">
        <w:tc>
          <w:tcPr>
            <w:tcW w:w="1261" w:type="dxa"/>
            <w:tcBorders>
              <w:top w:val="single" w:sz="2" w:space="0" w:color="auto"/>
              <w:left w:val="single" w:sz="2" w:space="0" w:color="auto"/>
              <w:bottom w:val="single" w:sz="2" w:space="0" w:color="auto"/>
              <w:right w:val="single" w:sz="2" w:space="0" w:color="auto"/>
            </w:tcBorders>
          </w:tcPr>
          <w:p w14:paraId="1495EF2D" w14:textId="77777777" w:rsidR="00171726" w:rsidRPr="00DE12A3" w:rsidRDefault="00171726" w:rsidP="00C917D6">
            <w:pPr>
              <w:pStyle w:val="NormalLeft"/>
            </w:pPr>
            <w:r w:rsidRPr="00DE12A3">
              <w:rPr>
                <w:i/>
                <w:iCs/>
              </w:rPr>
              <w:t>p</w:t>
            </w:r>
          </w:p>
        </w:tc>
        <w:tc>
          <w:tcPr>
            <w:tcW w:w="1261" w:type="dxa"/>
            <w:tcBorders>
              <w:top w:val="single" w:sz="2" w:space="0" w:color="auto"/>
              <w:left w:val="single" w:sz="2" w:space="0" w:color="auto"/>
              <w:bottom w:val="single" w:sz="2" w:space="0" w:color="auto"/>
              <w:right w:val="single" w:sz="2" w:space="0" w:color="auto"/>
            </w:tcBorders>
          </w:tcPr>
          <w:p w14:paraId="570547BF" w14:textId="77777777" w:rsidR="00171726" w:rsidRPr="00DE12A3" w:rsidRDefault="00171726" w:rsidP="00C917D6">
            <w:pPr>
              <w:pStyle w:val="NormalLeft"/>
            </w:pPr>
            <w:r w:rsidRPr="00DE12A3">
              <w:rPr>
                <w:i/>
                <w:iCs/>
              </w:rPr>
              <w:t>p</w:t>
            </w:r>
          </w:p>
        </w:tc>
        <w:tc>
          <w:tcPr>
            <w:tcW w:w="1441" w:type="dxa"/>
            <w:tcBorders>
              <w:top w:val="single" w:sz="2" w:space="0" w:color="auto"/>
              <w:left w:val="single" w:sz="2" w:space="0" w:color="auto"/>
              <w:bottom w:val="single" w:sz="2" w:space="0" w:color="auto"/>
              <w:right w:val="single" w:sz="2" w:space="0" w:color="auto"/>
            </w:tcBorders>
          </w:tcPr>
          <w:p w14:paraId="009E3F49" w14:textId="77777777" w:rsidR="00171726" w:rsidRPr="00DE12A3" w:rsidRDefault="00171726" w:rsidP="00C917D6">
            <w:pPr>
              <w:pStyle w:val="NormalLeft"/>
            </w:pPr>
            <w:r w:rsidRPr="00DE12A3">
              <w:t>kPa</w:t>
            </w:r>
          </w:p>
        </w:tc>
        <w:tc>
          <w:tcPr>
            <w:tcW w:w="5044" w:type="dxa"/>
            <w:tcBorders>
              <w:top w:val="single" w:sz="2" w:space="0" w:color="auto"/>
              <w:left w:val="single" w:sz="2" w:space="0" w:color="auto"/>
              <w:bottom w:val="single" w:sz="2" w:space="0" w:color="auto"/>
              <w:right w:val="single" w:sz="2" w:space="0" w:color="auto"/>
            </w:tcBorders>
          </w:tcPr>
          <w:p w14:paraId="51EE7F47" w14:textId="77777777" w:rsidR="00171726" w:rsidRPr="00DE12A3" w:rsidRDefault="00171726" w:rsidP="00C917D6">
            <w:pPr>
              <w:spacing w:before="120" w:after="120"/>
              <w:rPr>
                <w:rFonts w:cs="Times New Roman"/>
                <w:color w:val="auto"/>
              </w:rPr>
            </w:pPr>
            <w:r w:rsidRPr="00DE12A3">
              <w:rPr>
                <w:rFonts w:cs="Times New Roman"/>
                <w:color w:val="auto"/>
              </w:rPr>
              <w:t>Basınç</w:t>
            </w:r>
          </w:p>
        </w:tc>
      </w:tr>
      <w:tr w:rsidR="00DE12A3" w:rsidRPr="00DE12A3" w14:paraId="410FCEB2" w14:textId="77777777" w:rsidTr="002C23B9">
        <w:tc>
          <w:tcPr>
            <w:tcW w:w="1261" w:type="dxa"/>
            <w:tcBorders>
              <w:top w:val="single" w:sz="2" w:space="0" w:color="auto"/>
              <w:left w:val="single" w:sz="2" w:space="0" w:color="auto"/>
              <w:bottom w:val="single" w:sz="2" w:space="0" w:color="auto"/>
              <w:right w:val="single" w:sz="2" w:space="0" w:color="auto"/>
            </w:tcBorders>
          </w:tcPr>
          <w:p w14:paraId="18B33ED1" w14:textId="77777777" w:rsidR="00171726" w:rsidRPr="00DE12A3" w:rsidRDefault="00171726" w:rsidP="00C917D6">
            <w:pPr>
              <w:pStyle w:val="NormalLeft"/>
            </w:pPr>
            <w:r w:rsidRPr="00DE12A3">
              <w:rPr>
                <w:i/>
                <w:iCs/>
              </w:rPr>
              <w:t>p</w:t>
            </w:r>
            <w:r w:rsidRPr="00DE12A3">
              <w:rPr>
                <w:vertAlign w:val="subscript"/>
              </w:rPr>
              <w:t>a</w:t>
            </w:r>
          </w:p>
        </w:tc>
        <w:tc>
          <w:tcPr>
            <w:tcW w:w="1261" w:type="dxa"/>
            <w:tcBorders>
              <w:top w:val="single" w:sz="2" w:space="0" w:color="auto"/>
              <w:left w:val="single" w:sz="2" w:space="0" w:color="auto"/>
              <w:bottom w:val="single" w:sz="2" w:space="0" w:color="auto"/>
              <w:right w:val="single" w:sz="2" w:space="0" w:color="auto"/>
            </w:tcBorders>
          </w:tcPr>
          <w:p w14:paraId="2F7D9DE9" w14:textId="77777777" w:rsidR="00171726" w:rsidRPr="00DE12A3" w:rsidRDefault="00171726" w:rsidP="00C917D6">
            <w:pPr>
              <w:pStyle w:val="NormalLeft"/>
            </w:pPr>
          </w:p>
        </w:tc>
        <w:tc>
          <w:tcPr>
            <w:tcW w:w="1441" w:type="dxa"/>
            <w:tcBorders>
              <w:top w:val="single" w:sz="2" w:space="0" w:color="auto"/>
              <w:left w:val="single" w:sz="2" w:space="0" w:color="auto"/>
              <w:bottom w:val="single" w:sz="2" w:space="0" w:color="auto"/>
              <w:right w:val="single" w:sz="2" w:space="0" w:color="auto"/>
            </w:tcBorders>
          </w:tcPr>
          <w:p w14:paraId="011FC027" w14:textId="77777777" w:rsidR="00171726" w:rsidRPr="00DE12A3" w:rsidRDefault="00171726" w:rsidP="00C917D6">
            <w:pPr>
              <w:pStyle w:val="NormalLeft"/>
            </w:pPr>
            <w:r w:rsidRPr="00DE12A3">
              <w:t>kPa</w:t>
            </w:r>
          </w:p>
        </w:tc>
        <w:tc>
          <w:tcPr>
            <w:tcW w:w="5044" w:type="dxa"/>
            <w:tcBorders>
              <w:top w:val="single" w:sz="2" w:space="0" w:color="auto"/>
              <w:left w:val="single" w:sz="2" w:space="0" w:color="auto"/>
              <w:bottom w:val="single" w:sz="2" w:space="0" w:color="auto"/>
              <w:right w:val="single" w:sz="2" w:space="0" w:color="auto"/>
            </w:tcBorders>
          </w:tcPr>
          <w:p w14:paraId="3A1B36BD" w14:textId="77777777" w:rsidR="00171726" w:rsidRPr="00DE12A3" w:rsidRDefault="00171726" w:rsidP="00C917D6">
            <w:pPr>
              <w:spacing w:before="120" w:after="120"/>
              <w:rPr>
                <w:rFonts w:cs="Times New Roman"/>
                <w:color w:val="auto"/>
              </w:rPr>
            </w:pPr>
            <w:r w:rsidRPr="00DE12A3">
              <w:rPr>
                <w:rFonts w:cs="Times New Roman"/>
                <w:color w:val="auto"/>
              </w:rPr>
              <w:t>Kuru atmosferik basınç</w:t>
            </w:r>
          </w:p>
        </w:tc>
      </w:tr>
      <w:tr w:rsidR="00DE12A3" w:rsidRPr="00DE12A3" w14:paraId="212FC7B9" w14:textId="77777777" w:rsidTr="002C23B9">
        <w:tc>
          <w:tcPr>
            <w:tcW w:w="1261" w:type="dxa"/>
            <w:tcBorders>
              <w:top w:val="single" w:sz="2" w:space="0" w:color="auto"/>
              <w:left w:val="single" w:sz="2" w:space="0" w:color="auto"/>
              <w:bottom w:val="single" w:sz="2" w:space="0" w:color="auto"/>
              <w:right w:val="single" w:sz="2" w:space="0" w:color="auto"/>
            </w:tcBorders>
          </w:tcPr>
          <w:p w14:paraId="16796665" w14:textId="77777777" w:rsidR="00171726" w:rsidRPr="00DE12A3" w:rsidRDefault="00171726" w:rsidP="00C917D6">
            <w:pPr>
              <w:pStyle w:val="NormalLeft"/>
            </w:pPr>
            <w:r w:rsidRPr="00DE12A3">
              <w:rPr>
                <w:i/>
                <w:iCs/>
              </w:rPr>
              <w:t>p</w:t>
            </w:r>
            <w:r w:rsidRPr="00DE12A3">
              <w:rPr>
                <w:vertAlign w:val="subscript"/>
              </w:rPr>
              <w:t>b</w:t>
            </w:r>
          </w:p>
        </w:tc>
        <w:tc>
          <w:tcPr>
            <w:tcW w:w="1261" w:type="dxa"/>
            <w:tcBorders>
              <w:top w:val="single" w:sz="2" w:space="0" w:color="auto"/>
              <w:left w:val="single" w:sz="2" w:space="0" w:color="auto"/>
              <w:bottom w:val="single" w:sz="2" w:space="0" w:color="auto"/>
              <w:right w:val="single" w:sz="2" w:space="0" w:color="auto"/>
            </w:tcBorders>
          </w:tcPr>
          <w:p w14:paraId="4A5A0177" w14:textId="77777777" w:rsidR="00171726" w:rsidRPr="00DE12A3" w:rsidRDefault="00171726" w:rsidP="00C917D6">
            <w:pPr>
              <w:pStyle w:val="NormalLeft"/>
            </w:pPr>
          </w:p>
        </w:tc>
        <w:tc>
          <w:tcPr>
            <w:tcW w:w="1441" w:type="dxa"/>
            <w:tcBorders>
              <w:top w:val="single" w:sz="2" w:space="0" w:color="auto"/>
              <w:left w:val="single" w:sz="2" w:space="0" w:color="auto"/>
              <w:bottom w:val="single" w:sz="2" w:space="0" w:color="auto"/>
              <w:right w:val="single" w:sz="2" w:space="0" w:color="auto"/>
            </w:tcBorders>
          </w:tcPr>
          <w:p w14:paraId="79F704B9" w14:textId="77777777" w:rsidR="00171726" w:rsidRPr="00DE12A3" w:rsidRDefault="00171726" w:rsidP="00C917D6">
            <w:pPr>
              <w:pStyle w:val="NormalLeft"/>
            </w:pPr>
            <w:r w:rsidRPr="00DE12A3">
              <w:t>kPa</w:t>
            </w:r>
          </w:p>
        </w:tc>
        <w:tc>
          <w:tcPr>
            <w:tcW w:w="5044" w:type="dxa"/>
            <w:tcBorders>
              <w:top w:val="single" w:sz="2" w:space="0" w:color="auto"/>
              <w:left w:val="single" w:sz="2" w:space="0" w:color="auto"/>
              <w:bottom w:val="single" w:sz="2" w:space="0" w:color="auto"/>
              <w:right w:val="single" w:sz="2" w:space="0" w:color="auto"/>
            </w:tcBorders>
          </w:tcPr>
          <w:p w14:paraId="147D2CE3" w14:textId="77777777" w:rsidR="00171726" w:rsidRPr="00DE12A3" w:rsidRDefault="00171726" w:rsidP="00C917D6">
            <w:pPr>
              <w:spacing w:before="120" w:after="120"/>
              <w:rPr>
                <w:rFonts w:cs="Times New Roman"/>
                <w:color w:val="auto"/>
              </w:rPr>
            </w:pPr>
            <w:r w:rsidRPr="00DE12A3">
              <w:rPr>
                <w:rFonts w:cs="Times New Roman"/>
                <w:color w:val="auto"/>
              </w:rPr>
              <w:t>Toplam atmosferik basınç</w:t>
            </w:r>
          </w:p>
        </w:tc>
      </w:tr>
      <w:tr w:rsidR="00DE12A3" w:rsidRPr="00DE12A3" w14:paraId="46ED866B" w14:textId="77777777" w:rsidTr="002C23B9">
        <w:tc>
          <w:tcPr>
            <w:tcW w:w="1261" w:type="dxa"/>
            <w:tcBorders>
              <w:top w:val="single" w:sz="2" w:space="0" w:color="auto"/>
              <w:left w:val="single" w:sz="2" w:space="0" w:color="auto"/>
              <w:bottom w:val="single" w:sz="2" w:space="0" w:color="auto"/>
              <w:right w:val="single" w:sz="2" w:space="0" w:color="auto"/>
            </w:tcBorders>
          </w:tcPr>
          <w:p w14:paraId="410DD415" w14:textId="77777777" w:rsidR="00171726" w:rsidRPr="00DE12A3" w:rsidRDefault="00171726" w:rsidP="00C917D6">
            <w:pPr>
              <w:pStyle w:val="NormalLeft"/>
            </w:pPr>
            <w:r w:rsidRPr="00DE12A3">
              <w:rPr>
                <w:i/>
                <w:iCs/>
              </w:rPr>
              <w:t>p</w:t>
            </w:r>
            <w:r w:rsidRPr="00DE12A3">
              <w:rPr>
                <w:vertAlign w:val="subscript"/>
              </w:rPr>
              <w:t>d</w:t>
            </w:r>
          </w:p>
        </w:tc>
        <w:tc>
          <w:tcPr>
            <w:tcW w:w="1261" w:type="dxa"/>
            <w:tcBorders>
              <w:top w:val="single" w:sz="2" w:space="0" w:color="auto"/>
              <w:left w:val="single" w:sz="2" w:space="0" w:color="auto"/>
              <w:bottom w:val="single" w:sz="2" w:space="0" w:color="auto"/>
              <w:right w:val="single" w:sz="2" w:space="0" w:color="auto"/>
            </w:tcBorders>
          </w:tcPr>
          <w:p w14:paraId="4A8DF53B" w14:textId="77777777" w:rsidR="00171726" w:rsidRPr="00DE12A3" w:rsidRDefault="00171726" w:rsidP="00C917D6">
            <w:pPr>
              <w:pStyle w:val="NormalLeft"/>
            </w:pPr>
          </w:p>
        </w:tc>
        <w:tc>
          <w:tcPr>
            <w:tcW w:w="1441" w:type="dxa"/>
            <w:tcBorders>
              <w:top w:val="single" w:sz="2" w:space="0" w:color="auto"/>
              <w:left w:val="single" w:sz="2" w:space="0" w:color="auto"/>
              <w:bottom w:val="single" w:sz="2" w:space="0" w:color="auto"/>
              <w:right w:val="single" w:sz="2" w:space="0" w:color="auto"/>
            </w:tcBorders>
          </w:tcPr>
          <w:p w14:paraId="4305BCD6" w14:textId="77777777" w:rsidR="00171726" w:rsidRPr="00DE12A3" w:rsidRDefault="00171726" w:rsidP="00C917D6">
            <w:pPr>
              <w:pStyle w:val="NormalLeft"/>
            </w:pPr>
            <w:r w:rsidRPr="00DE12A3">
              <w:t>kPa</w:t>
            </w:r>
          </w:p>
        </w:tc>
        <w:tc>
          <w:tcPr>
            <w:tcW w:w="5044" w:type="dxa"/>
            <w:tcBorders>
              <w:top w:val="single" w:sz="2" w:space="0" w:color="auto"/>
              <w:left w:val="single" w:sz="2" w:space="0" w:color="auto"/>
              <w:bottom w:val="single" w:sz="2" w:space="0" w:color="auto"/>
              <w:right w:val="single" w:sz="2" w:space="0" w:color="auto"/>
            </w:tcBorders>
          </w:tcPr>
          <w:p w14:paraId="4E2A46DE" w14:textId="77777777" w:rsidR="00171726" w:rsidRPr="00DE12A3" w:rsidRDefault="00171726" w:rsidP="00C917D6">
            <w:pPr>
              <w:spacing w:before="120" w:after="120"/>
              <w:rPr>
                <w:rFonts w:cs="Times New Roman"/>
                <w:color w:val="auto"/>
              </w:rPr>
            </w:pPr>
            <w:r w:rsidRPr="00DE12A3">
              <w:rPr>
                <w:rFonts w:cs="Times New Roman"/>
                <w:color w:val="auto"/>
              </w:rPr>
              <w:t>Seyreltme havasının doyma buhar basıncı</w:t>
            </w:r>
          </w:p>
        </w:tc>
      </w:tr>
      <w:tr w:rsidR="00DE12A3" w:rsidRPr="00DE12A3" w14:paraId="4C0DA54E" w14:textId="77777777" w:rsidTr="002C23B9">
        <w:tc>
          <w:tcPr>
            <w:tcW w:w="1261" w:type="dxa"/>
            <w:tcBorders>
              <w:top w:val="single" w:sz="2" w:space="0" w:color="auto"/>
              <w:left w:val="single" w:sz="2" w:space="0" w:color="auto"/>
              <w:bottom w:val="single" w:sz="2" w:space="0" w:color="auto"/>
              <w:right w:val="single" w:sz="2" w:space="0" w:color="auto"/>
            </w:tcBorders>
          </w:tcPr>
          <w:p w14:paraId="214A938F" w14:textId="77777777" w:rsidR="00171726" w:rsidRPr="00DE12A3" w:rsidRDefault="00171726" w:rsidP="00C917D6">
            <w:pPr>
              <w:pStyle w:val="NormalLeft"/>
            </w:pPr>
            <w:r w:rsidRPr="00DE12A3">
              <w:rPr>
                <w:i/>
                <w:iCs/>
              </w:rPr>
              <w:t>p</w:t>
            </w:r>
            <w:r w:rsidRPr="00DE12A3">
              <w:rPr>
                <w:vertAlign w:val="subscript"/>
              </w:rPr>
              <w:t>p</w:t>
            </w:r>
          </w:p>
        </w:tc>
        <w:tc>
          <w:tcPr>
            <w:tcW w:w="1261" w:type="dxa"/>
            <w:tcBorders>
              <w:top w:val="single" w:sz="2" w:space="0" w:color="auto"/>
              <w:left w:val="single" w:sz="2" w:space="0" w:color="auto"/>
              <w:bottom w:val="single" w:sz="2" w:space="0" w:color="auto"/>
              <w:right w:val="single" w:sz="2" w:space="0" w:color="auto"/>
            </w:tcBorders>
          </w:tcPr>
          <w:p w14:paraId="450BA2E0" w14:textId="77777777" w:rsidR="00171726" w:rsidRPr="00DE12A3" w:rsidRDefault="00171726" w:rsidP="00C917D6">
            <w:pPr>
              <w:pStyle w:val="NormalLeft"/>
            </w:pPr>
            <w:r w:rsidRPr="00DE12A3">
              <w:rPr>
                <w:i/>
                <w:iCs/>
              </w:rPr>
              <w:t>p</w:t>
            </w:r>
            <w:r w:rsidRPr="00DE12A3">
              <w:rPr>
                <w:vertAlign w:val="subscript"/>
              </w:rPr>
              <w:t>abs</w:t>
            </w:r>
          </w:p>
        </w:tc>
        <w:tc>
          <w:tcPr>
            <w:tcW w:w="1441" w:type="dxa"/>
            <w:tcBorders>
              <w:top w:val="single" w:sz="2" w:space="0" w:color="auto"/>
              <w:left w:val="single" w:sz="2" w:space="0" w:color="auto"/>
              <w:bottom w:val="single" w:sz="2" w:space="0" w:color="auto"/>
              <w:right w:val="single" w:sz="2" w:space="0" w:color="auto"/>
            </w:tcBorders>
          </w:tcPr>
          <w:p w14:paraId="6A74419D" w14:textId="77777777" w:rsidR="00171726" w:rsidRPr="00DE12A3" w:rsidRDefault="00171726" w:rsidP="00C917D6">
            <w:pPr>
              <w:pStyle w:val="NormalLeft"/>
            </w:pPr>
            <w:r w:rsidRPr="00DE12A3">
              <w:t>kPa</w:t>
            </w:r>
          </w:p>
        </w:tc>
        <w:tc>
          <w:tcPr>
            <w:tcW w:w="5044" w:type="dxa"/>
            <w:tcBorders>
              <w:top w:val="single" w:sz="2" w:space="0" w:color="auto"/>
              <w:left w:val="single" w:sz="2" w:space="0" w:color="auto"/>
              <w:bottom w:val="single" w:sz="2" w:space="0" w:color="auto"/>
              <w:right w:val="single" w:sz="2" w:space="0" w:color="auto"/>
            </w:tcBorders>
          </w:tcPr>
          <w:p w14:paraId="090626DD" w14:textId="77777777" w:rsidR="00171726" w:rsidRPr="00DE12A3" w:rsidRDefault="00171726" w:rsidP="00C917D6">
            <w:pPr>
              <w:spacing w:before="120" w:after="120"/>
              <w:rPr>
                <w:rFonts w:cs="Times New Roman"/>
                <w:color w:val="auto"/>
              </w:rPr>
            </w:pPr>
            <w:r w:rsidRPr="00DE12A3">
              <w:rPr>
                <w:rFonts w:cs="Times New Roman"/>
                <w:color w:val="auto"/>
              </w:rPr>
              <w:t>Mutlak basınç</w:t>
            </w:r>
          </w:p>
        </w:tc>
      </w:tr>
      <w:tr w:rsidR="00DE12A3" w:rsidRPr="00DE12A3" w14:paraId="4E6B2759" w14:textId="77777777" w:rsidTr="002C23B9">
        <w:tc>
          <w:tcPr>
            <w:tcW w:w="1261" w:type="dxa"/>
            <w:tcBorders>
              <w:top w:val="single" w:sz="2" w:space="0" w:color="auto"/>
              <w:left w:val="single" w:sz="2" w:space="0" w:color="auto"/>
              <w:bottom w:val="single" w:sz="2" w:space="0" w:color="auto"/>
              <w:right w:val="single" w:sz="2" w:space="0" w:color="auto"/>
            </w:tcBorders>
          </w:tcPr>
          <w:p w14:paraId="428B83F1" w14:textId="77777777" w:rsidR="00171726" w:rsidRPr="00DE12A3" w:rsidRDefault="00171726" w:rsidP="00C917D6">
            <w:pPr>
              <w:pStyle w:val="NormalLeft"/>
            </w:pPr>
            <w:r w:rsidRPr="00DE12A3">
              <w:rPr>
                <w:i/>
                <w:iCs/>
              </w:rPr>
              <w:t>p</w:t>
            </w:r>
            <w:r w:rsidRPr="00DE12A3">
              <w:rPr>
                <w:vertAlign w:val="subscript"/>
              </w:rPr>
              <w:t>r</w:t>
            </w:r>
          </w:p>
        </w:tc>
        <w:tc>
          <w:tcPr>
            <w:tcW w:w="1261" w:type="dxa"/>
            <w:tcBorders>
              <w:top w:val="single" w:sz="2" w:space="0" w:color="auto"/>
              <w:left w:val="single" w:sz="2" w:space="0" w:color="auto"/>
              <w:bottom w:val="single" w:sz="2" w:space="0" w:color="auto"/>
              <w:right w:val="single" w:sz="2" w:space="0" w:color="auto"/>
            </w:tcBorders>
          </w:tcPr>
          <w:p w14:paraId="7D518FE3" w14:textId="77777777" w:rsidR="00171726" w:rsidRPr="00DE12A3" w:rsidRDefault="00171726" w:rsidP="00C917D6">
            <w:pPr>
              <w:pStyle w:val="NormalLeft"/>
            </w:pPr>
            <w:r w:rsidRPr="00DE12A3">
              <w:rPr>
                <w:i/>
                <w:iCs/>
              </w:rPr>
              <w:t>p</w:t>
            </w:r>
            <w:r w:rsidRPr="00DE12A3">
              <w:rPr>
                <w:sz w:val="16"/>
                <w:szCs w:val="16"/>
                <w:vertAlign w:val="subscript"/>
              </w:rPr>
              <w:t>H2O</w:t>
            </w:r>
          </w:p>
        </w:tc>
        <w:tc>
          <w:tcPr>
            <w:tcW w:w="1441" w:type="dxa"/>
            <w:tcBorders>
              <w:top w:val="single" w:sz="2" w:space="0" w:color="auto"/>
              <w:left w:val="single" w:sz="2" w:space="0" w:color="auto"/>
              <w:bottom w:val="single" w:sz="2" w:space="0" w:color="auto"/>
              <w:right w:val="single" w:sz="2" w:space="0" w:color="auto"/>
            </w:tcBorders>
          </w:tcPr>
          <w:p w14:paraId="3D09E16A" w14:textId="77777777" w:rsidR="00171726" w:rsidRPr="00DE12A3" w:rsidRDefault="00171726" w:rsidP="00C917D6">
            <w:pPr>
              <w:pStyle w:val="NormalLeft"/>
            </w:pPr>
            <w:r w:rsidRPr="00DE12A3">
              <w:t>kPa</w:t>
            </w:r>
          </w:p>
        </w:tc>
        <w:tc>
          <w:tcPr>
            <w:tcW w:w="5044" w:type="dxa"/>
            <w:tcBorders>
              <w:top w:val="single" w:sz="2" w:space="0" w:color="auto"/>
              <w:left w:val="single" w:sz="2" w:space="0" w:color="auto"/>
              <w:bottom w:val="single" w:sz="2" w:space="0" w:color="auto"/>
              <w:right w:val="single" w:sz="2" w:space="0" w:color="auto"/>
            </w:tcBorders>
          </w:tcPr>
          <w:p w14:paraId="3F19735A" w14:textId="77777777" w:rsidR="00171726" w:rsidRPr="00DE12A3" w:rsidRDefault="00171726" w:rsidP="00C917D6">
            <w:pPr>
              <w:spacing w:before="120" w:after="120"/>
              <w:rPr>
                <w:rFonts w:cs="Times New Roman"/>
                <w:color w:val="auto"/>
              </w:rPr>
            </w:pPr>
            <w:r w:rsidRPr="00DE12A3">
              <w:rPr>
                <w:rFonts w:cs="Times New Roman"/>
                <w:color w:val="auto"/>
              </w:rPr>
              <w:t>Su buharı basıncı</w:t>
            </w:r>
          </w:p>
        </w:tc>
      </w:tr>
      <w:tr w:rsidR="00DE12A3" w:rsidRPr="00DE12A3" w14:paraId="08A92596" w14:textId="77777777" w:rsidTr="002C23B9">
        <w:tc>
          <w:tcPr>
            <w:tcW w:w="1261" w:type="dxa"/>
            <w:tcBorders>
              <w:top w:val="single" w:sz="2" w:space="0" w:color="auto"/>
              <w:left w:val="single" w:sz="2" w:space="0" w:color="auto"/>
              <w:bottom w:val="single" w:sz="2" w:space="0" w:color="auto"/>
              <w:right w:val="single" w:sz="2" w:space="0" w:color="auto"/>
            </w:tcBorders>
          </w:tcPr>
          <w:p w14:paraId="7FD1717F" w14:textId="77777777" w:rsidR="00171726" w:rsidRPr="00DE12A3" w:rsidRDefault="00171726" w:rsidP="00C917D6">
            <w:pPr>
              <w:pStyle w:val="NormalLeft"/>
            </w:pPr>
            <w:r w:rsidRPr="00DE12A3">
              <w:rPr>
                <w:i/>
                <w:iCs/>
              </w:rPr>
              <w:t>p</w:t>
            </w:r>
            <w:r w:rsidRPr="00DE12A3">
              <w:rPr>
                <w:vertAlign w:val="subscript"/>
              </w:rPr>
              <w:t>s</w:t>
            </w:r>
          </w:p>
        </w:tc>
        <w:tc>
          <w:tcPr>
            <w:tcW w:w="1261" w:type="dxa"/>
            <w:tcBorders>
              <w:top w:val="single" w:sz="2" w:space="0" w:color="auto"/>
              <w:left w:val="single" w:sz="2" w:space="0" w:color="auto"/>
              <w:bottom w:val="single" w:sz="2" w:space="0" w:color="auto"/>
              <w:right w:val="single" w:sz="2" w:space="0" w:color="auto"/>
            </w:tcBorders>
          </w:tcPr>
          <w:p w14:paraId="20FC121F" w14:textId="77777777" w:rsidR="00171726" w:rsidRPr="00DE12A3" w:rsidRDefault="00171726" w:rsidP="00C917D6">
            <w:pPr>
              <w:pStyle w:val="NormalLeft"/>
            </w:pPr>
          </w:p>
        </w:tc>
        <w:tc>
          <w:tcPr>
            <w:tcW w:w="1441" w:type="dxa"/>
            <w:tcBorders>
              <w:top w:val="single" w:sz="2" w:space="0" w:color="auto"/>
              <w:left w:val="single" w:sz="2" w:space="0" w:color="auto"/>
              <w:bottom w:val="single" w:sz="2" w:space="0" w:color="auto"/>
              <w:right w:val="single" w:sz="2" w:space="0" w:color="auto"/>
            </w:tcBorders>
          </w:tcPr>
          <w:p w14:paraId="014FE1D8" w14:textId="77777777" w:rsidR="00171726" w:rsidRPr="00DE12A3" w:rsidRDefault="00171726" w:rsidP="00C917D6">
            <w:pPr>
              <w:pStyle w:val="NormalLeft"/>
            </w:pPr>
            <w:r w:rsidRPr="00DE12A3">
              <w:t>kPa</w:t>
            </w:r>
          </w:p>
        </w:tc>
        <w:tc>
          <w:tcPr>
            <w:tcW w:w="5044" w:type="dxa"/>
            <w:tcBorders>
              <w:top w:val="single" w:sz="2" w:space="0" w:color="auto"/>
              <w:left w:val="single" w:sz="2" w:space="0" w:color="auto"/>
              <w:bottom w:val="single" w:sz="2" w:space="0" w:color="auto"/>
              <w:right w:val="single" w:sz="2" w:space="0" w:color="auto"/>
            </w:tcBorders>
          </w:tcPr>
          <w:p w14:paraId="7097BFE2" w14:textId="77777777" w:rsidR="00171726" w:rsidRPr="00DE12A3" w:rsidRDefault="00171726" w:rsidP="00C917D6">
            <w:pPr>
              <w:spacing w:before="120" w:after="120"/>
              <w:rPr>
                <w:rFonts w:cs="Times New Roman"/>
                <w:color w:val="auto"/>
              </w:rPr>
            </w:pPr>
            <w:r w:rsidRPr="00DE12A3">
              <w:rPr>
                <w:rFonts w:cs="Times New Roman"/>
                <w:color w:val="auto"/>
              </w:rPr>
              <w:t>Kuru atmosferik basınç</w:t>
            </w:r>
          </w:p>
        </w:tc>
      </w:tr>
      <w:tr w:rsidR="00DE12A3" w:rsidRPr="00DE12A3" w14:paraId="3E9F44E6" w14:textId="77777777" w:rsidTr="002C23B9">
        <w:tc>
          <w:tcPr>
            <w:tcW w:w="1261" w:type="dxa"/>
            <w:tcBorders>
              <w:top w:val="single" w:sz="2" w:space="0" w:color="auto"/>
              <w:left w:val="single" w:sz="2" w:space="0" w:color="auto"/>
              <w:bottom w:val="single" w:sz="2" w:space="0" w:color="auto"/>
              <w:right w:val="single" w:sz="2" w:space="0" w:color="auto"/>
            </w:tcBorders>
          </w:tcPr>
          <w:p w14:paraId="5C139A79" w14:textId="77777777" w:rsidR="00171726" w:rsidRPr="00DE12A3" w:rsidRDefault="00171726" w:rsidP="00C917D6">
            <w:pPr>
              <w:pStyle w:val="NormalLeft"/>
            </w:pPr>
            <w:r w:rsidRPr="00DE12A3">
              <w:lastRenderedPageBreak/>
              <w:t xml:space="preserve">1 — </w:t>
            </w:r>
            <w:r w:rsidRPr="00DE12A3">
              <w:rPr>
                <w:i/>
                <w:iCs/>
              </w:rPr>
              <w:t>E</w:t>
            </w:r>
          </w:p>
        </w:tc>
        <w:tc>
          <w:tcPr>
            <w:tcW w:w="1261" w:type="dxa"/>
            <w:tcBorders>
              <w:top w:val="single" w:sz="2" w:space="0" w:color="auto"/>
              <w:left w:val="single" w:sz="2" w:space="0" w:color="auto"/>
              <w:bottom w:val="single" w:sz="2" w:space="0" w:color="auto"/>
              <w:right w:val="single" w:sz="2" w:space="0" w:color="auto"/>
            </w:tcBorders>
          </w:tcPr>
          <w:p w14:paraId="7719E986" w14:textId="77777777" w:rsidR="00171726" w:rsidRPr="00DE12A3" w:rsidRDefault="00171726" w:rsidP="00C917D6">
            <w:pPr>
              <w:pStyle w:val="NormalLeft"/>
            </w:pPr>
            <w:r w:rsidRPr="00DE12A3">
              <w:rPr>
                <w:i/>
                <w:iCs/>
              </w:rPr>
              <w:t>PF</w:t>
            </w:r>
          </w:p>
        </w:tc>
        <w:tc>
          <w:tcPr>
            <w:tcW w:w="1441" w:type="dxa"/>
            <w:tcBorders>
              <w:top w:val="single" w:sz="2" w:space="0" w:color="auto"/>
              <w:left w:val="single" w:sz="2" w:space="0" w:color="auto"/>
              <w:bottom w:val="single" w:sz="2" w:space="0" w:color="auto"/>
              <w:right w:val="single" w:sz="2" w:space="0" w:color="auto"/>
            </w:tcBorders>
          </w:tcPr>
          <w:p w14:paraId="3820A427" w14:textId="77777777" w:rsidR="00171726" w:rsidRPr="00DE12A3" w:rsidRDefault="00171726" w:rsidP="00C917D6">
            <w:pPr>
              <w:pStyle w:val="NormalLeft"/>
            </w:pPr>
            <w:r w:rsidRPr="00DE12A3">
              <w:t>%</w:t>
            </w:r>
          </w:p>
        </w:tc>
        <w:tc>
          <w:tcPr>
            <w:tcW w:w="5044" w:type="dxa"/>
            <w:tcBorders>
              <w:top w:val="single" w:sz="2" w:space="0" w:color="auto"/>
              <w:left w:val="single" w:sz="2" w:space="0" w:color="auto"/>
              <w:bottom w:val="single" w:sz="2" w:space="0" w:color="auto"/>
              <w:right w:val="single" w:sz="2" w:space="0" w:color="auto"/>
            </w:tcBorders>
          </w:tcPr>
          <w:p w14:paraId="57464A5A" w14:textId="77777777" w:rsidR="00171726" w:rsidRPr="00DE12A3" w:rsidRDefault="00171726" w:rsidP="00C917D6">
            <w:pPr>
              <w:spacing w:before="120" w:after="120"/>
              <w:rPr>
                <w:rFonts w:cs="Times New Roman"/>
                <w:color w:val="auto"/>
              </w:rPr>
            </w:pPr>
            <w:r w:rsidRPr="00DE12A3">
              <w:rPr>
                <w:rFonts w:cs="Times New Roman"/>
                <w:color w:val="auto"/>
              </w:rPr>
              <w:t>Penetrasyon oranı</w:t>
            </w:r>
          </w:p>
        </w:tc>
      </w:tr>
      <w:tr w:rsidR="00DE12A3" w:rsidRPr="00DE12A3" w14:paraId="00DEBB0E" w14:textId="77777777" w:rsidTr="002C23B9">
        <w:tc>
          <w:tcPr>
            <w:tcW w:w="1261" w:type="dxa"/>
            <w:tcBorders>
              <w:top w:val="single" w:sz="2" w:space="0" w:color="auto"/>
              <w:left w:val="single" w:sz="2" w:space="0" w:color="auto"/>
              <w:bottom w:val="single" w:sz="2" w:space="0" w:color="auto"/>
              <w:right w:val="single" w:sz="2" w:space="0" w:color="auto"/>
            </w:tcBorders>
          </w:tcPr>
          <w:p w14:paraId="7F22FC19" w14:textId="77777777" w:rsidR="00171726" w:rsidRPr="00DE12A3" w:rsidRDefault="00171726" w:rsidP="00C917D6">
            <w:pPr>
              <w:pStyle w:val="NormalLeft"/>
            </w:pPr>
            <w:r w:rsidRPr="00DE12A3">
              <w:t>q</w:t>
            </w:r>
            <w:r w:rsidRPr="00DE12A3">
              <w:rPr>
                <w:i/>
                <w:iCs/>
                <w:vertAlign w:val="subscript"/>
              </w:rPr>
              <w:t>m</w:t>
            </w:r>
          </w:p>
        </w:tc>
        <w:tc>
          <w:tcPr>
            <w:tcW w:w="1261" w:type="dxa"/>
            <w:tcBorders>
              <w:top w:val="single" w:sz="2" w:space="0" w:color="auto"/>
              <w:left w:val="single" w:sz="2" w:space="0" w:color="auto"/>
              <w:bottom w:val="single" w:sz="2" w:space="0" w:color="auto"/>
              <w:right w:val="single" w:sz="2" w:space="0" w:color="auto"/>
            </w:tcBorders>
          </w:tcPr>
          <w:p w14:paraId="7C2E5565" w14:textId="77777777" w:rsidR="00171726" w:rsidRPr="00DE12A3" w:rsidRDefault="00171726" w:rsidP="00C917D6">
            <w:pPr>
              <w:pStyle w:val="NormalLeft"/>
            </w:pPr>
            <w:r w:rsidRPr="00DE12A3">
              <w:rPr>
                <w:i/>
                <w:iCs/>
              </w:rPr>
              <w:t>ṁ</w:t>
            </w:r>
          </w:p>
        </w:tc>
        <w:tc>
          <w:tcPr>
            <w:tcW w:w="1441" w:type="dxa"/>
            <w:tcBorders>
              <w:top w:val="single" w:sz="2" w:space="0" w:color="auto"/>
              <w:left w:val="single" w:sz="2" w:space="0" w:color="auto"/>
              <w:bottom w:val="single" w:sz="2" w:space="0" w:color="auto"/>
              <w:right w:val="single" w:sz="2" w:space="0" w:color="auto"/>
            </w:tcBorders>
          </w:tcPr>
          <w:p w14:paraId="188F0FE3" w14:textId="77777777" w:rsidR="00171726" w:rsidRPr="00DE12A3" w:rsidRDefault="00171726" w:rsidP="00C917D6">
            <w:pPr>
              <w:pStyle w:val="NormalLeft"/>
            </w:pPr>
            <w:r w:rsidRPr="00DE12A3">
              <w:t>kg/s</w:t>
            </w:r>
          </w:p>
        </w:tc>
        <w:tc>
          <w:tcPr>
            <w:tcW w:w="5044" w:type="dxa"/>
            <w:tcBorders>
              <w:top w:val="single" w:sz="2" w:space="0" w:color="auto"/>
              <w:left w:val="single" w:sz="2" w:space="0" w:color="auto"/>
              <w:bottom w:val="single" w:sz="2" w:space="0" w:color="auto"/>
              <w:right w:val="single" w:sz="2" w:space="0" w:color="auto"/>
            </w:tcBorders>
          </w:tcPr>
          <w:p w14:paraId="4361253F" w14:textId="77777777" w:rsidR="00171726" w:rsidRPr="00DE12A3" w:rsidRDefault="00171726" w:rsidP="00C917D6">
            <w:pPr>
              <w:spacing w:before="120" w:after="120"/>
              <w:rPr>
                <w:rFonts w:cs="Times New Roman"/>
                <w:color w:val="auto"/>
              </w:rPr>
            </w:pPr>
            <w:r w:rsidRPr="00DE12A3">
              <w:rPr>
                <w:rFonts w:cs="Times New Roman"/>
                <w:color w:val="auto"/>
              </w:rPr>
              <w:t>Kütle oranı</w:t>
            </w:r>
          </w:p>
        </w:tc>
      </w:tr>
      <w:tr w:rsidR="00DE12A3" w:rsidRPr="00DE12A3" w14:paraId="5A9BB134" w14:textId="77777777" w:rsidTr="002C23B9">
        <w:tc>
          <w:tcPr>
            <w:tcW w:w="1261" w:type="dxa"/>
            <w:tcBorders>
              <w:top w:val="single" w:sz="2" w:space="0" w:color="auto"/>
              <w:left w:val="single" w:sz="2" w:space="0" w:color="auto"/>
              <w:bottom w:val="single" w:sz="2" w:space="0" w:color="auto"/>
              <w:right w:val="single" w:sz="2" w:space="0" w:color="auto"/>
            </w:tcBorders>
          </w:tcPr>
          <w:p w14:paraId="7BBAC167" w14:textId="77777777" w:rsidR="00171726" w:rsidRPr="00DE12A3" w:rsidRDefault="00171726" w:rsidP="00C917D6">
            <w:pPr>
              <w:pStyle w:val="NormalLeft"/>
            </w:pPr>
            <w:r w:rsidRPr="00DE12A3">
              <w:rPr>
                <w:i/>
                <w:iCs/>
              </w:rPr>
              <w:t>q</w:t>
            </w:r>
            <w:r w:rsidRPr="00DE12A3">
              <w:rPr>
                <w:i/>
                <w:iCs/>
                <w:vertAlign w:val="subscript"/>
              </w:rPr>
              <w:t>m</w:t>
            </w:r>
            <w:r w:rsidRPr="00DE12A3">
              <w:rPr>
                <w:vertAlign w:val="subscript"/>
              </w:rPr>
              <w:t>ad</w:t>
            </w:r>
          </w:p>
        </w:tc>
        <w:tc>
          <w:tcPr>
            <w:tcW w:w="1261" w:type="dxa"/>
            <w:tcBorders>
              <w:top w:val="single" w:sz="2" w:space="0" w:color="auto"/>
              <w:left w:val="single" w:sz="2" w:space="0" w:color="auto"/>
              <w:bottom w:val="single" w:sz="2" w:space="0" w:color="auto"/>
              <w:right w:val="single" w:sz="2" w:space="0" w:color="auto"/>
            </w:tcBorders>
          </w:tcPr>
          <w:p w14:paraId="469A8AE6" w14:textId="77777777" w:rsidR="00171726" w:rsidRPr="00DE12A3" w:rsidRDefault="00171726" w:rsidP="00C917D6">
            <w:pPr>
              <w:pStyle w:val="NormalLeft"/>
            </w:pPr>
            <w:r w:rsidRPr="00DE12A3">
              <w:rPr>
                <w:i/>
                <w:iCs/>
              </w:rPr>
              <w:t>ṁ</w:t>
            </w:r>
            <w:r w:rsidR="00C87819" w:rsidRPr="00DE12A3">
              <w:rPr>
                <w:i/>
                <w:iCs/>
              </w:rPr>
              <w:t xml:space="preserve">  </w:t>
            </w:r>
            <w:r w:rsidR="00C87819" w:rsidRPr="00DE12A3">
              <w:rPr>
                <w:vertAlign w:val="superscript"/>
              </w:rPr>
              <w:t>(</w:t>
            </w:r>
            <w:r w:rsidR="00C87819" w:rsidRPr="00DE12A3">
              <w:rPr>
                <w:rStyle w:val="DipnotBavurusu"/>
              </w:rPr>
              <w:t>1</w:t>
            </w:r>
            <w:r w:rsidR="00C87819" w:rsidRPr="00DE12A3">
              <w:rPr>
                <w:vertAlign w:val="superscript"/>
              </w:rPr>
              <w:t>)</w:t>
            </w:r>
          </w:p>
        </w:tc>
        <w:tc>
          <w:tcPr>
            <w:tcW w:w="1441" w:type="dxa"/>
            <w:tcBorders>
              <w:top w:val="single" w:sz="2" w:space="0" w:color="auto"/>
              <w:left w:val="single" w:sz="2" w:space="0" w:color="auto"/>
              <w:bottom w:val="single" w:sz="2" w:space="0" w:color="auto"/>
              <w:right w:val="single" w:sz="2" w:space="0" w:color="auto"/>
            </w:tcBorders>
          </w:tcPr>
          <w:p w14:paraId="31CF6FF3" w14:textId="77777777" w:rsidR="00171726" w:rsidRPr="00DE12A3" w:rsidRDefault="00171726" w:rsidP="00C917D6">
            <w:pPr>
              <w:pStyle w:val="NormalLeft"/>
            </w:pPr>
            <w:r w:rsidRPr="00DE12A3">
              <w:t>kg/s</w:t>
            </w:r>
          </w:p>
        </w:tc>
        <w:tc>
          <w:tcPr>
            <w:tcW w:w="5044" w:type="dxa"/>
            <w:tcBorders>
              <w:top w:val="single" w:sz="2" w:space="0" w:color="auto"/>
              <w:left w:val="single" w:sz="2" w:space="0" w:color="auto"/>
              <w:bottom w:val="single" w:sz="2" w:space="0" w:color="auto"/>
              <w:right w:val="single" w:sz="2" w:space="0" w:color="auto"/>
            </w:tcBorders>
          </w:tcPr>
          <w:p w14:paraId="7E06814F" w14:textId="77777777" w:rsidR="00171726" w:rsidRPr="00DE12A3" w:rsidRDefault="00171726" w:rsidP="00C917D6">
            <w:pPr>
              <w:spacing w:before="120" w:after="120"/>
              <w:rPr>
                <w:rFonts w:cs="Times New Roman"/>
                <w:color w:val="auto"/>
              </w:rPr>
            </w:pPr>
            <w:r w:rsidRPr="00DE12A3">
              <w:rPr>
                <w:rFonts w:cs="Times New Roman"/>
                <w:color w:val="auto"/>
              </w:rPr>
              <w:t>Kuru bazda emme havası kütle akış hızı</w:t>
            </w:r>
          </w:p>
        </w:tc>
      </w:tr>
      <w:tr w:rsidR="00DE12A3" w:rsidRPr="00DE12A3" w14:paraId="5DE09499" w14:textId="77777777" w:rsidTr="002C23B9">
        <w:tc>
          <w:tcPr>
            <w:tcW w:w="1261" w:type="dxa"/>
            <w:tcBorders>
              <w:top w:val="single" w:sz="2" w:space="0" w:color="auto"/>
              <w:left w:val="single" w:sz="2" w:space="0" w:color="auto"/>
              <w:bottom w:val="single" w:sz="2" w:space="0" w:color="auto"/>
              <w:right w:val="single" w:sz="2" w:space="0" w:color="auto"/>
            </w:tcBorders>
          </w:tcPr>
          <w:p w14:paraId="21E9FB53" w14:textId="77777777" w:rsidR="003641E5" w:rsidRPr="00DE12A3" w:rsidRDefault="003641E5" w:rsidP="00C917D6">
            <w:pPr>
              <w:pStyle w:val="NormalLeft"/>
            </w:pPr>
            <w:r w:rsidRPr="00DE12A3">
              <w:rPr>
                <w:i/>
                <w:iCs/>
              </w:rPr>
              <w:t>q</w:t>
            </w:r>
            <w:r w:rsidRPr="00DE12A3">
              <w:rPr>
                <w:i/>
                <w:iCs/>
                <w:vertAlign w:val="subscript"/>
              </w:rPr>
              <w:t>m</w:t>
            </w:r>
            <w:r w:rsidRPr="00DE12A3">
              <w:rPr>
                <w:vertAlign w:val="subscript"/>
              </w:rPr>
              <w:t>aw</w:t>
            </w:r>
          </w:p>
        </w:tc>
        <w:tc>
          <w:tcPr>
            <w:tcW w:w="1261" w:type="dxa"/>
            <w:tcBorders>
              <w:top w:val="single" w:sz="2" w:space="0" w:color="auto"/>
              <w:left w:val="single" w:sz="2" w:space="0" w:color="auto"/>
              <w:bottom w:val="single" w:sz="2" w:space="0" w:color="auto"/>
              <w:right w:val="single" w:sz="2" w:space="0" w:color="auto"/>
            </w:tcBorders>
          </w:tcPr>
          <w:p w14:paraId="285B540E" w14:textId="77777777" w:rsidR="003641E5" w:rsidRPr="00DE12A3" w:rsidRDefault="003641E5" w:rsidP="00C917D6">
            <w:pPr>
              <w:spacing w:before="120" w:after="120"/>
              <w:rPr>
                <w:rFonts w:cs="Times New Roman"/>
                <w:color w:val="auto"/>
              </w:rPr>
            </w:pPr>
            <w:r w:rsidRPr="00DE12A3">
              <w:rPr>
                <w:rFonts w:cs="Times New Roman"/>
                <w:color w:val="auto"/>
                <w:vertAlign w:val="superscript"/>
              </w:rPr>
              <w:t>(</w:t>
            </w:r>
            <w:r w:rsidRPr="00DE12A3">
              <w:rPr>
                <w:rStyle w:val="DipnotBavurusu"/>
                <w:rFonts w:cs="Times New Roman"/>
                <w:color w:val="auto"/>
              </w:rPr>
              <w:t>1</w:t>
            </w:r>
            <w:r w:rsidRPr="00DE12A3">
              <w:rPr>
                <w:rFonts w:cs="Times New Roman"/>
                <w:color w:val="auto"/>
                <w:vertAlign w:val="superscript"/>
              </w:rPr>
              <w:t>)</w:t>
            </w:r>
          </w:p>
        </w:tc>
        <w:tc>
          <w:tcPr>
            <w:tcW w:w="1441" w:type="dxa"/>
            <w:tcBorders>
              <w:top w:val="single" w:sz="2" w:space="0" w:color="auto"/>
              <w:left w:val="single" w:sz="2" w:space="0" w:color="auto"/>
              <w:bottom w:val="single" w:sz="2" w:space="0" w:color="auto"/>
              <w:right w:val="single" w:sz="2" w:space="0" w:color="auto"/>
            </w:tcBorders>
          </w:tcPr>
          <w:p w14:paraId="52B459B4" w14:textId="77777777" w:rsidR="003641E5" w:rsidRPr="00DE12A3" w:rsidRDefault="003641E5" w:rsidP="00C917D6">
            <w:pPr>
              <w:pStyle w:val="NormalLeft"/>
            </w:pPr>
            <w:r w:rsidRPr="00DE12A3">
              <w:t>kg/s</w:t>
            </w:r>
          </w:p>
        </w:tc>
        <w:tc>
          <w:tcPr>
            <w:tcW w:w="5044" w:type="dxa"/>
            <w:tcBorders>
              <w:top w:val="single" w:sz="2" w:space="0" w:color="auto"/>
              <w:left w:val="single" w:sz="2" w:space="0" w:color="auto"/>
              <w:bottom w:val="single" w:sz="2" w:space="0" w:color="auto"/>
              <w:right w:val="single" w:sz="2" w:space="0" w:color="auto"/>
            </w:tcBorders>
          </w:tcPr>
          <w:p w14:paraId="6BE22634" w14:textId="77777777" w:rsidR="003641E5" w:rsidRPr="00DE12A3" w:rsidRDefault="003641E5" w:rsidP="00C917D6">
            <w:pPr>
              <w:spacing w:before="120" w:after="120"/>
              <w:rPr>
                <w:rFonts w:cs="Times New Roman"/>
                <w:color w:val="auto"/>
              </w:rPr>
            </w:pPr>
            <w:r w:rsidRPr="00DE12A3">
              <w:rPr>
                <w:rFonts w:cs="Times New Roman"/>
                <w:color w:val="auto"/>
              </w:rPr>
              <w:t>Yaş bazda emme havası kütle akış hızı</w:t>
            </w:r>
          </w:p>
        </w:tc>
      </w:tr>
      <w:tr w:rsidR="00DE12A3" w:rsidRPr="00DE12A3" w14:paraId="6BB07934" w14:textId="77777777" w:rsidTr="002C23B9">
        <w:tc>
          <w:tcPr>
            <w:tcW w:w="1261" w:type="dxa"/>
            <w:tcBorders>
              <w:top w:val="single" w:sz="2" w:space="0" w:color="auto"/>
              <w:left w:val="single" w:sz="2" w:space="0" w:color="auto"/>
              <w:bottom w:val="single" w:sz="2" w:space="0" w:color="auto"/>
              <w:right w:val="single" w:sz="2" w:space="0" w:color="auto"/>
            </w:tcBorders>
          </w:tcPr>
          <w:p w14:paraId="0BB1873B" w14:textId="77777777" w:rsidR="003641E5" w:rsidRPr="00DE12A3" w:rsidRDefault="003641E5" w:rsidP="00C917D6">
            <w:pPr>
              <w:pStyle w:val="NormalLeft"/>
            </w:pPr>
            <w:r w:rsidRPr="00DE12A3">
              <w:rPr>
                <w:i/>
                <w:iCs/>
              </w:rPr>
              <w:t>q</w:t>
            </w:r>
            <w:r w:rsidRPr="00DE12A3">
              <w:rPr>
                <w:i/>
                <w:iCs/>
                <w:vertAlign w:val="subscript"/>
              </w:rPr>
              <w:t>m</w:t>
            </w:r>
            <w:r w:rsidRPr="00DE12A3">
              <w:rPr>
                <w:vertAlign w:val="subscript"/>
              </w:rPr>
              <w:t>Ce</w:t>
            </w:r>
          </w:p>
        </w:tc>
        <w:tc>
          <w:tcPr>
            <w:tcW w:w="1261" w:type="dxa"/>
            <w:tcBorders>
              <w:top w:val="single" w:sz="2" w:space="0" w:color="auto"/>
              <w:left w:val="single" w:sz="2" w:space="0" w:color="auto"/>
              <w:bottom w:val="single" w:sz="2" w:space="0" w:color="auto"/>
              <w:right w:val="single" w:sz="2" w:space="0" w:color="auto"/>
            </w:tcBorders>
          </w:tcPr>
          <w:p w14:paraId="349D8726" w14:textId="77777777" w:rsidR="003641E5" w:rsidRPr="00DE12A3" w:rsidRDefault="003641E5" w:rsidP="00C917D6">
            <w:pPr>
              <w:spacing w:before="120" w:after="120"/>
              <w:rPr>
                <w:rFonts w:cs="Times New Roman"/>
                <w:color w:val="auto"/>
              </w:rPr>
            </w:pPr>
            <w:r w:rsidRPr="00DE12A3">
              <w:rPr>
                <w:rFonts w:cs="Times New Roman"/>
                <w:color w:val="auto"/>
                <w:vertAlign w:val="superscript"/>
              </w:rPr>
              <w:t>(</w:t>
            </w:r>
            <w:r w:rsidRPr="00DE12A3">
              <w:rPr>
                <w:rStyle w:val="DipnotBavurusu"/>
                <w:rFonts w:cs="Times New Roman"/>
                <w:color w:val="auto"/>
              </w:rPr>
              <w:t>1</w:t>
            </w:r>
            <w:r w:rsidRPr="00DE12A3">
              <w:rPr>
                <w:rFonts w:cs="Times New Roman"/>
                <w:color w:val="auto"/>
                <w:vertAlign w:val="superscript"/>
              </w:rPr>
              <w:t>)</w:t>
            </w:r>
          </w:p>
        </w:tc>
        <w:tc>
          <w:tcPr>
            <w:tcW w:w="1441" w:type="dxa"/>
            <w:tcBorders>
              <w:top w:val="single" w:sz="2" w:space="0" w:color="auto"/>
              <w:left w:val="single" w:sz="2" w:space="0" w:color="auto"/>
              <w:bottom w:val="single" w:sz="2" w:space="0" w:color="auto"/>
              <w:right w:val="single" w:sz="2" w:space="0" w:color="auto"/>
            </w:tcBorders>
          </w:tcPr>
          <w:p w14:paraId="1A5696CC" w14:textId="77777777" w:rsidR="003641E5" w:rsidRPr="00DE12A3" w:rsidRDefault="003641E5" w:rsidP="00C917D6">
            <w:pPr>
              <w:pStyle w:val="NormalLeft"/>
            </w:pPr>
            <w:r w:rsidRPr="00DE12A3">
              <w:t>kg/s</w:t>
            </w:r>
          </w:p>
        </w:tc>
        <w:tc>
          <w:tcPr>
            <w:tcW w:w="5044" w:type="dxa"/>
            <w:tcBorders>
              <w:top w:val="single" w:sz="2" w:space="0" w:color="auto"/>
              <w:left w:val="single" w:sz="2" w:space="0" w:color="auto"/>
              <w:bottom w:val="single" w:sz="2" w:space="0" w:color="auto"/>
              <w:right w:val="single" w:sz="2" w:space="0" w:color="auto"/>
            </w:tcBorders>
          </w:tcPr>
          <w:p w14:paraId="06E3C95C" w14:textId="77777777" w:rsidR="003641E5" w:rsidRPr="00DE12A3" w:rsidRDefault="003641E5" w:rsidP="00C917D6">
            <w:pPr>
              <w:spacing w:before="120" w:after="120"/>
              <w:rPr>
                <w:rFonts w:cs="Times New Roman"/>
                <w:color w:val="auto"/>
              </w:rPr>
            </w:pPr>
            <w:r w:rsidRPr="00DE12A3">
              <w:rPr>
                <w:rFonts w:cs="Times New Roman"/>
                <w:color w:val="auto"/>
              </w:rPr>
              <w:t>Ham egzoz gazı içindeki karbon kütle akış hızı</w:t>
            </w:r>
          </w:p>
        </w:tc>
      </w:tr>
      <w:tr w:rsidR="00DE12A3" w:rsidRPr="00DE12A3" w14:paraId="0605D816" w14:textId="77777777" w:rsidTr="002C23B9">
        <w:tc>
          <w:tcPr>
            <w:tcW w:w="1261" w:type="dxa"/>
            <w:tcBorders>
              <w:top w:val="single" w:sz="2" w:space="0" w:color="auto"/>
              <w:left w:val="single" w:sz="2" w:space="0" w:color="auto"/>
              <w:bottom w:val="single" w:sz="2" w:space="0" w:color="auto"/>
              <w:right w:val="single" w:sz="2" w:space="0" w:color="auto"/>
            </w:tcBorders>
          </w:tcPr>
          <w:p w14:paraId="6C26B53A" w14:textId="77777777" w:rsidR="003641E5" w:rsidRPr="00DE12A3" w:rsidRDefault="003641E5" w:rsidP="00C917D6">
            <w:pPr>
              <w:pStyle w:val="NormalLeft"/>
            </w:pPr>
            <w:r w:rsidRPr="00DE12A3">
              <w:rPr>
                <w:i/>
                <w:iCs/>
              </w:rPr>
              <w:t>q</w:t>
            </w:r>
            <w:r w:rsidRPr="00DE12A3">
              <w:rPr>
                <w:i/>
                <w:iCs/>
                <w:vertAlign w:val="subscript"/>
              </w:rPr>
              <w:t>m</w:t>
            </w:r>
            <w:r w:rsidRPr="00DE12A3">
              <w:rPr>
                <w:vertAlign w:val="subscript"/>
              </w:rPr>
              <w:t>Cf</w:t>
            </w:r>
          </w:p>
        </w:tc>
        <w:tc>
          <w:tcPr>
            <w:tcW w:w="1261" w:type="dxa"/>
            <w:tcBorders>
              <w:top w:val="single" w:sz="2" w:space="0" w:color="auto"/>
              <w:left w:val="single" w:sz="2" w:space="0" w:color="auto"/>
              <w:bottom w:val="single" w:sz="2" w:space="0" w:color="auto"/>
              <w:right w:val="single" w:sz="2" w:space="0" w:color="auto"/>
            </w:tcBorders>
          </w:tcPr>
          <w:p w14:paraId="24035D4B" w14:textId="77777777" w:rsidR="003641E5" w:rsidRPr="00DE12A3" w:rsidRDefault="003641E5" w:rsidP="00C917D6">
            <w:pPr>
              <w:spacing w:before="120" w:after="120"/>
              <w:rPr>
                <w:rFonts w:cs="Times New Roman"/>
                <w:color w:val="auto"/>
              </w:rPr>
            </w:pPr>
            <w:r w:rsidRPr="00DE12A3">
              <w:rPr>
                <w:rFonts w:cs="Times New Roman"/>
                <w:color w:val="auto"/>
                <w:vertAlign w:val="superscript"/>
              </w:rPr>
              <w:t>(</w:t>
            </w:r>
            <w:r w:rsidRPr="00DE12A3">
              <w:rPr>
                <w:rStyle w:val="DipnotBavurusu"/>
                <w:rFonts w:cs="Times New Roman"/>
                <w:color w:val="auto"/>
              </w:rPr>
              <w:t>1</w:t>
            </w:r>
            <w:r w:rsidRPr="00DE12A3">
              <w:rPr>
                <w:rFonts w:cs="Times New Roman"/>
                <w:color w:val="auto"/>
                <w:vertAlign w:val="superscript"/>
              </w:rPr>
              <w:t>)</w:t>
            </w:r>
          </w:p>
        </w:tc>
        <w:tc>
          <w:tcPr>
            <w:tcW w:w="1441" w:type="dxa"/>
            <w:tcBorders>
              <w:top w:val="single" w:sz="2" w:space="0" w:color="auto"/>
              <w:left w:val="single" w:sz="2" w:space="0" w:color="auto"/>
              <w:bottom w:val="single" w:sz="2" w:space="0" w:color="auto"/>
              <w:right w:val="single" w:sz="2" w:space="0" w:color="auto"/>
            </w:tcBorders>
          </w:tcPr>
          <w:p w14:paraId="301EDD64" w14:textId="77777777" w:rsidR="003641E5" w:rsidRPr="00DE12A3" w:rsidRDefault="003641E5" w:rsidP="00C917D6">
            <w:pPr>
              <w:pStyle w:val="NormalLeft"/>
            </w:pPr>
            <w:r w:rsidRPr="00DE12A3">
              <w:t>kg/s</w:t>
            </w:r>
          </w:p>
        </w:tc>
        <w:tc>
          <w:tcPr>
            <w:tcW w:w="5044" w:type="dxa"/>
            <w:tcBorders>
              <w:top w:val="single" w:sz="2" w:space="0" w:color="auto"/>
              <w:left w:val="single" w:sz="2" w:space="0" w:color="auto"/>
              <w:bottom w:val="single" w:sz="2" w:space="0" w:color="auto"/>
              <w:right w:val="single" w:sz="2" w:space="0" w:color="auto"/>
            </w:tcBorders>
          </w:tcPr>
          <w:p w14:paraId="2B200252" w14:textId="77777777" w:rsidR="003641E5" w:rsidRPr="00DE12A3" w:rsidRDefault="003641E5" w:rsidP="00C917D6">
            <w:pPr>
              <w:spacing w:before="120" w:after="120"/>
              <w:rPr>
                <w:rFonts w:cs="Times New Roman"/>
                <w:color w:val="auto"/>
              </w:rPr>
            </w:pPr>
            <w:r w:rsidRPr="00DE12A3">
              <w:rPr>
                <w:rFonts w:cs="Times New Roman"/>
                <w:color w:val="auto"/>
              </w:rPr>
              <w:t>Motorun içine karbon kütle akış hızı</w:t>
            </w:r>
          </w:p>
        </w:tc>
      </w:tr>
      <w:tr w:rsidR="00DE12A3" w:rsidRPr="00DE12A3" w14:paraId="566B07FA" w14:textId="77777777" w:rsidTr="002C23B9">
        <w:tc>
          <w:tcPr>
            <w:tcW w:w="1261" w:type="dxa"/>
            <w:tcBorders>
              <w:top w:val="single" w:sz="2" w:space="0" w:color="auto"/>
              <w:left w:val="single" w:sz="2" w:space="0" w:color="auto"/>
              <w:bottom w:val="single" w:sz="2" w:space="0" w:color="auto"/>
              <w:right w:val="single" w:sz="2" w:space="0" w:color="auto"/>
            </w:tcBorders>
          </w:tcPr>
          <w:p w14:paraId="293F84BB" w14:textId="77777777" w:rsidR="003641E5" w:rsidRPr="00DE12A3" w:rsidRDefault="003641E5" w:rsidP="00C917D6">
            <w:pPr>
              <w:pStyle w:val="NormalLeft"/>
            </w:pPr>
            <w:r w:rsidRPr="00DE12A3">
              <w:rPr>
                <w:i/>
                <w:iCs/>
              </w:rPr>
              <w:t>q</w:t>
            </w:r>
            <w:r w:rsidRPr="00DE12A3">
              <w:rPr>
                <w:i/>
                <w:iCs/>
                <w:vertAlign w:val="subscript"/>
              </w:rPr>
              <w:t>m</w:t>
            </w:r>
            <w:r w:rsidRPr="00DE12A3">
              <w:rPr>
                <w:vertAlign w:val="subscript"/>
              </w:rPr>
              <w:t>Cp</w:t>
            </w:r>
          </w:p>
        </w:tc>
        <w:tc>
          <w:tcPr>
            <w:tcW w:w="1261" w:type="dxa"/>
            <w:tcBorders>
              <w:top w:val="single" w:sz="2" w:space="0" w:color="auto"/>
              <w:left w:val="single" w:sz="2" w:space="0" w:color="auto"/>
              <w:bottom w:val="single" w:sz="2" w:space="0" w:color="auto"/>
              <w:right w:val="single" w:sz="2" w:space="0" w:color="auto"/>
            </w:tcBorders>
          </w:tcPr>
          <w:p w14:paraId="04D3D161" w14:textId="77777777" w:rsidR="003641E5" w:rsidRPr="00DE12A3" w:rsidRDefault="003641E5" w:rsidP="00C917D6">
            <w:pPr>
              <w:spacing w:before="120" w:after="120"/>
              <w:rPr>
                <w:rFonts w:cs="Times New Roman"/>
                <w:color w:val="auto"/>
              </w:rPr>
            </w:pPr>
            <w:r w:rsidRPr="00DE12A3">
              <w:rPr>
                <w:rFonts w:cs="Times New Roman"/>
                <w:color w:val="auto"/>
                <w:vertAlign w:val="superscript"/>
              </w:rPr>
              <w:t>(</w:t>
            </w:r>
            <w:r w:rsidRPr="00DE12A3">
              <w:rPr>
                <w:rStyle w:val="DipnotBavurusu"/>
                <w:rFonts w:cs="Times New Roman"/>
                <w:color w:val="auto"/>
              </w:rPr>
              <w:t>1</w:t>
            </w:r>
            <w:r w:rsidRPr="00DE12A3">
              <w:rPr>
                <w:rFonts w:cs="Times New Roman"/>
                <w:color w:val="auto"/>
                <w:vertAlign w:val="superscript"/>
              </w:rPr>
              <w:t>)</w:t>
            </w:r>
          </w:p>
        </w:tc>
        <w:tc>
          <w:tcPr>
            <w:tcW w:w="1441" w:type="dxa"/>
            <w:tcBorders>
              <w:top w:val="single" w:sz="2" w:space="0" w:color="auto"/>
              <w:left w:val="single" w:sz="2" w:space="0" w:color="auto"/>
              <w:bottom w:val="single" w:sz="2" w:space="0" w:color="auto"/>
              <w:right w:val="single" w:sz="2" w:space="0" w:color="auto"/>
            </w:tcBorders>
          </w:tcPr>
          <w:p w14:paraId="4D1428BD" w14:textId="77777777" w:rsidR="003641E5" w:rsidRPr="00DE12A3" w:rsidRDefault="003641E5" w:rsidP="00C917D6">
            <w:pPr>
              <w:pStyle w:val="NormalLeft"/>
            </w:pPr>
            <w:r w:rsidRPr="00DE12A3">
              <w:t>kg/s</w:t>
            </w:r>
          </w:p>
        </w:tc>
        <w:tc>
          <w:tcPr>
            <w:tcW w:w="5044" w:type="dxa"/>
            <w:tcBorders>
              <w:top w:val="single" w:sz="2" w:space="0" w:color="auto"/>
              <w:left w:val="single" w:sz="2" w:space="0" w:color="auto"/>
              <w:bottom w:val="single" w:sz="2" w:space="0" w:color="auto"/>
              <w:right w:val="single" w:sz="2" w:space="0" w:color="auto"/>
            </w:tcBorders>
          </w:tcPr>
          <w:p w14:paraId="196BC4D6" w14:textId="77777777" w:rsidR="003641E5" w:rsidRPr="00DE12A3" w:rsidRDefault="003641E5" w:rsidP="00C917D6">
            <w:pPr>
              <w:spacing w:before="120" w:after="120"/>
              <w:rPr>
                <w:rFonts w:cs="Times New Roman"/>
                <w:color w:val="auto"/>
              </w:rPr>
            </w:pPr>
            <w:r w:rsidRPr="00DE12A3">
              <w:rPr>
                <w:rFonts w:cs="Times New Roman"/>
                <w:color w:val="auto"/>
              </w:rPr>
              <w:t>Kısmi akışlı seyreltme sisteminde karbon kütle akış hızı</w:t>
            </w:r>
          </w:p>
        </w:tc>
      </w:tr>
      <w:tr w:rsidR="00DE12A3" w:rsidRPr="00DE12A3" w14:paraId="402B4A6B" w14:textId="77777777" w:rsidTr="002C23B9">
        <w:tc>
          <w:tcPr>
            <w:tcW w:w="1261" w:type="dxa"/>
            <w:tcBorders>
              <w:top w:val="single" w:sz="2" w:space="0" w:color="auto"/>
              <w:left w:val="single" w:sz="2" w:space="0" w:color="auto"/>
              <w:bottom w:val="single" w:sz="2" w:space="0" w:color="auto"/>
              <w:right w:val="single" w:sz="2" w:space="0" w:color="auto"/>
            </w:tcBorders>
          </w:tcPr>
          <w:p w14:paraId="631DF189" w14:textId="77777777" w:rsidR="003641E5" w:rsidRPr="00DE12A3" w:rsidRDefault="003641E5" w:rsidP="00C917D6">
            <w:pPr>
              <w:pStyle w:val="NormalLeft"/>
            </w:pPr>
            <w:r w:rsidRPr="00DE12A3">
              <w:rPr>
                <w:i/>
                <w:iCs/>
              </w:rPr>
              <w:t>q</w:t>
            </w:r>
            <w:r w:rsidRPr="00DE12A3">
              <w:rPr>
                <w:i/>
                <w:iCs/>
                <w:vertAlign w:val="subscript"/>
              </w:rPr>
              <w:t>m</w:t>
            </w:r>
            <w:r w:rsidRPr="00DE12A3">
              <w:rPr>
                <w:vertAlign w:val="subscript"/>
              </w:rPr>
              <w:t>dew</w:t>
            </w:r>
          </w:p>
        </w:tc>
        <w:tc>
          <w:tcPr>
            <w:tcW w:w="1261" w:type="dxa"/>
            <w:tcBorders>
              <w:top w:val="single" w:sz="2" w:space="0" w:color="auto"/>
              <w:left w:val="single" w:sz="2" w:space="0" w:color="auto"/>
              <w:bottom w:val="single" w:sz="2" w:space="0" w:color="auto"/>
              <w:right w:val="single" w:sz="2" w:space="0" w:color="auto"/>
            </w:tcBorders>
          </w:tcPr>
          <w:p w14:paraId="0EC80E4E" w14:textId="77777777" w:rsidR="003641E5" w:rsidRPr="00DE12A3" w:rsidRDefault="003641E5" w:rsidP="00C917D6">
            <w:pPr>
              <w:spacing w:before="120" w:after="120"/>
              <w:rPr>
                <w:rFonts w:cs="Times New Roman"/>
                <w:color w:val="auto"/>
              </w:rPr>
            </w:pPr>
            <w:r w:rsidRPr="00DE12A3">
              <w:rPr>
                <w:rFonts w:cs="Times New Roman"/>
                <w:color w:val="auto"/>
                <w:vertAlign w:val="superscript"/>
              </w:rPr>
              <w:t>(</w:t>
            </w:r>
            <w:r w:rsidRPr="00DE12A3">
              <w:rPr>
                <w:rStyle w:val="DipnotBavurusu"/>
                <w:rFonts w:cs="Times New Roman"/>
                <w:color w:val="auto"/>
              </w:rPr>
              <w:t>1</w:t>
            </w:r>
            <w:r w:rsidRPr="00DE12A3">
              <w:rPr>
                <w:rFonts w:cs="Times New Roman"/>
                <w:color w:val="auto"/>
                <w:vertAlign w:val="superscript"/>
              </w:rPr>
              <w:t>)</w:t>
            </w:r>
          </w:p>
        </w:tc>
        <w:tc>
          <w:tcPr>
            <w:tcW w:w="1441" w:type="dxa"/>
            <w:tcBorders>
              <w:top w:val="single" w:sz="2" w:space="0" w:color="auto"/>
              <w:left w:val="single" w:sz="2" w:space="0" w:color="auto"/>
              <w:bottom w:val="single" w:sz="2" w:space="0" w:color="auto"/>
              <w:right w:val="single" w:sz="2" w:space="0" w:color="auto"/>
            </w:tcBorders>
          </w:tcPr>
          <w:p w14:paraId="2BD991A4" w14:textId="77777777" w:rsidR="003641E5" w:rsidRPr="00DE12A3" w:rsidRDefault="003641E5" w:rsidP="00C917D6">
            <w:pPr>
              <w:pStyle w:val="NormalLeft"/>
            </w:pPr>
            <w:r w:rsidRPr="00DE12A3">
              <w:t>kg/s</w:t>
            </w:r>
          </w:p>
        </w:tc>
        <w:tc>
          <w:tcPr>
            <w:tcW w:w="5044" w:type="dxa"/>
            <w:tcBorders>
              <w:top w:val="single" w:sz="2" w:space="0" w:color="auto"/>
              <w:left w:val="single" w:sz="2" w:space="0" w:color="auto"/>
              <w:bottom w:val="single" w:sz="2" w:space="0" w:color="auto"/>
              <w:right w:val="single" w:sz="2" w:space="0" w:color="auto"/>
            </w:tcBorders>
          </w:tcPr>
          <w:p w14:paraId="54B5091C" w14:textId="77777777" w:rsidR="003641E5" w:rsidRPr="00DE12A3" w:rsidRDefault="003641E5" w:rsidP="00C917D6">
            <w:pPr>
              <w:spacing w:before="120" w:after="120"/>
              <w:rPr>
                <w:rFonts w:cs="Times New Roman"/>
                <w:color w:val="auto"/>
              </w:rPr>
            </w:pPr>
            <w:r w:rsidRPr="00DE12A3">
              <w:rPr>
                <w:rFonts w:cs="Times New Roman"/>
                <w:color w:val="auto"/>
              </w:rPr>
              <w:t>Yaş bazda seyreltilmiş egzoz gazı kütle akış hızı</w:t>
            </w:r>
          </w:p>
        </w:tc>
      </w:tr>
      <w:tr w:rsidR="00DE12A3" w:rsidRPr="00DE12A3" w14:paraId="04D72905" w14:textId="77777777" w:rsidTr="002C23B9">
        <w:tc>
          <w:tcPr>
            <w:tcW w:w="1261" w:type="dxa"/>
            <w:tcBorders>
              <w:top w:val="single" w:sz="2" w:space="0" w:color="auto"/>
              <w:left w:val="single" w:sz="2" w:space="0" w:color="auto"/>
              <w:bottom w:val="single" w:sz="2" w:space="0" w:color="auto"/>
              <w:right w:val="single" w:sz="2" w:space="0" w:color="auto"/>
            </w:tcBorders>
          </w:tcPr>
          <w:p w14:paraId="57D2BD24" w14:textId="77777777" w:rsidR="003641E5" w:rsidRPr="00DE12A3" w:rsidRDefault="003641E5" w:rsidP="00C917D6">
            <w:pPr>
              <w:pStyle w:val="NormalLeft"/>
            </w:pPr>
            <w:r w:rsidRPr="00DE12A3">
              <w:rPr>
                <w:i/>
                <w:iCs/>
              </w:rPr>
              <w:t>q</w:t>
            </w:r>
            <w:r w:rsidRPr="00DE12A3">
              <w:rPr>
                <w:i/>
                <w:iCs/>
                <w:vertAlign w:val="subscript"/>
              </w:rPr>
              <w:t>m</w:t>
            </w:r>
            <w:r w:rsidRPr="00DE12A3">
              <w:rPr>
                <w:vertAlign w:val="subscript"/>
              </w:rPr>
              <w:t>dw</w:t>
            </w:r>
          </w:p>
        </w:tc>
        <w:tc>
          <w:tcPr>
            <w:tcW w:w="1261" w:type="dxa"/>
            <w:tcBorders>
              <w:top w:val="single" w:sz="2" w:space="0" w:color="auto"/>
              <w:left w:val="single" w:sz="2" w:space="0" w:color="auto"/>
              <w:bottom w:val="single" w:sz="2" w:space="0" w:color="auto"/>
              <w:right w:val="single" w:sz="2" w:space="0" w:color="auto"/>
            </w:tcBorders>
          </w:tcPr>
          <w:p w14:paraId="4AAEF8DA" w14:textId="77777777" w:rsidR="003641E5" w:rsidRPr="00DE12A3" w:rsidRDefault="003641E5" w:rsidP="00C917D6">
            <w:pPr>
              <w:spacing w:before="120" w:after="120"/>
              <w:rPr>
                <w:rFonts w:cs="Times New Roman"/>
                <w:color w:val="auto"/>
              </w:rPr>
            </w:pPr>
            <w:r w:rsidRPr="00DE12A3">
              <w:rPr>
                <w:rFonts w:cs="Times New Roman"/>
                <w:color w:val="auto"/>
                <w:vertAlign w:val="superscript"/>
              </w:rPr>
              <w:t>(</w:t>
            </w:r>
            <w:r w:rsidRPr="00DE12A3">
              <w:rPr>
                <w:rStyle w:val="DipnotBavurusu"/>
                <w:rFonts w:cs="Times New Roman"/>
                <w:color w:val="auto"/>
              </w:rPr>
              <w:t>1</w:t>
            </w:r>
            <w:r w:rsidRPr="00DE12A3">
              <w:rPr>
                <w:rFonts w:cs="Times New Roman"/>
                <w:color w:val="auto"/>
                <w:vertAlign w:val="superscript"/>
              </w:rPr>
              <w:t>)</w:t>
            </w:r>
          </w:p>
        </w:tc>
        <w:tc>
          <w:tcPr>
            <w:tcW w:w="1441" w:type="dxa"/>
            <w:tcBorders>
              <w:top w:val="single" w:sz="2" w:space="0" w:color="auto"/>
              <w:left w:val="single" w:sz="2" w:space="0" w:color="auto"/>
              <w:bottom w:val="single" w:sz="2" w:space="0" w:color="auto"/>
              <w:right w:val="single" w:sz="2" w:space="0" w:color="auto"/>
            </w:tcBorders>
          </w:tcPr>
          <w:p w14:paraId="358D96D1" w14:textId="77777777" w:rsidR="003641E5" w:rsidRPr="00DE12A3" w:rsidRDefault="003641E5" w:rsidP="00C917D6">
            <w:pPr>
              <w:pStyle w:val="NormalLeft"/>
            </w:pPr>
            <w:r w:rsidRPr="00DE12A3">
              <w:t>kg/s</w:t>
            </w:r>
          </w:p>
        </w:tc>
        <w:tc>
          <w:tcPr>
            <w:tcW w:w="5044" w:type="dxa"/>
            <w:tcBorders>
              <w:top w:val="single" w:sz="2" w:space="0" w:color="auto"/>
              <w:left w:val="single" w:sz="2" w:space="0" w:color="auto"/>
              <w:bottom w:val="single" w:sz="2" w:space="0" w:color="auto"/>
              <w:right w:val="single" w:sz="2" w:space="0" w:color="auto"/>
            </w:tcBorders>
          </w:tcPr>
          <w:p w14:paraId="13DF9EAE" w14:textId="77777777" w:rsidR="003641E5" w:rsidRPr="00DE12A3" w:rsidRDefault="003641E5" w:rsidP="00C917D6">
            <w:pPr>
              <w:spacing w:before="120" w:after="120"/>
              <w:rPr>
                <w:rFonts w:cs="Times New Roman"/>
                <w:color w:val="auto"/>
              </w:rPr>
            </w:pPr>
            <w:r w:rsidRPr="00DE12A3">
              <w:rPr>
                <w:rFonts w:cs="Times New Roman"/>
                <w:color w:val="auto"/>
              </w:rPr>
              <w:t>Yaş bazda seyreltme havası kütle akış hızı</w:t>
            </w:r>
          </w:p>
        </w:tc>
      </w:tr>
      <w:tr w:rsidR="00DE12A3" w:rsidRPr="00DE12A3" w14:paraId="116EC5AE" w14:textId="77777777" w:rsidTr="002C23B9">
        <w:tc>
          <w:tcPr>
            <w:tcW w:w="1261" w:type="dxa"/>
            <w:tcBorders>
              <w:top w:val="single" w:sz="2" w:space="0" w:color="auto"/>
              <w:left w:val="single" w:sz="2" w:space="0" w:color="auto"/>
              <w:bottom w:val="single" w:sz="2" w:space="0" w:color="auto"/>
              <w:right w:val="single" w:sz="2" w:space="0" w:color="auto"/>
            </w:tcBorders>
          </w:tcPr>
          <w:p w14:paraId="4D4D53F2" w14:textId="77777777" w:rsidR="003641E5" w:rsidRPr="00DE12A3" w:rsidRDefault="003641E5" w:rsidP="00C917D6">
            <w:pPr>
              <w:pStyle w:val="NormalLeft"/>
            </w:pPr>
            <w:r w:rsidRPr="00DE12A3">
              <w:rPr>
                <w:i/>
                <w:iCs/>
              </w:rPr>
              <w:t>q</w:t>
            </w:r>
            <w:r w:rsidRPr="00DE12A3">
              <w:rPr>
                <w:i/>
                <w:iCs/>
                <w:vertAlign w:val="subscript"/>
              </w:rPr>
              <w:t>m</w:t>
            </w:r>
            <w:r w:rsidRPr="00DE12A3">
              <w:rPr>
                <w:vertAlign w:val="subscript"/>
              </w:rPr>
              <w:t>edf</w:t>
            </w:r>
          </w:p>
        </w:tc>
        <w:tc>
          <w:tcPr>
            <w:tcW w:w="1261" w:type="dxa"/>
            <w:tcBorders>
              <w:top w:val="single" w:sz="2" w:space="0" w:color="auto"/>
              <w:left w:val="single" w:sz="2" w:space="0" w:color="auto"/>
              <w:bottom w:val="single" w:sz="2" w:space="0" w:color="auto"/>
              <w:right w:val="single" w:sz="2" w:space="0" w:color="auto"/>
            </w:tcBorders>
          </w:tcPr>
          <w:p w14:paraId="2A9A4E6C" w14:textId="77777777" w:rsidR="003641E5" w:rsidRPr="00DE12A3" w:rsidRDefault="003641E5" w:rsidP="00C917D6">
            <w:pPr>
              <w:spacing w:before="120" w:after="120"/>
              <w:rPr>
                <w:rFonts w:cs="Times New Roman"/>
                <w:color w:val="auto"/>
              </w:rPr>
            </w:pPr>
            <w:r w:rsidRPr="00DE12A3">
              <w:rPr>
                <w:rFonts w:cs="Times New Roman"/>
                <w:color w:val="auto"/>
                <w:vertAlign w:val="superscript"/>
              </w:rPr>
              <w:t>(</w:t>
            </w:r>
            <w:r w:rsidRPr="00DE12A3">
              <w:rPr>
                <w:rStyle w:val="DipnotBavurusu"/>
                <w:rFonts w:cs="Times New Roman"/>
                <w:color w:val="auto"/>
              </w:rPr>
              <w:t>1</w:t>
            </w:r>
            <w:r w:rsidRPr="00DE12A3">
              <w:rPr>
                <w:rFonts w:cs="Times New Roman"/>
                <w:color w:val="auto"/>
                <w:vertAlign w:val="superscript"/>
              </w:rPr>
              <w:t>)</w:t>
            </w:r>
          </w:p>
        </w:tc>
        <w:tc>
          <w:tcPr>
            <w:tcW w:w="1441" w:type="dxa"/>
            <w:tcBorders>
              <w:top w:val="single" w:sz="2" w:space="0" w:color="auto"/>
              <w:left w:val="single" w:sz="2" w:space="0" w:color="auto"/>
              <w:bottom w:val="single" w:sz="2" w:space="0" w:color="auto"/>
              <w:right w:val="single" w:sz="2" w:space="0" w:color="auto"/>
            </w:tcBorders>
          </w:tcPr>
          <w:p w14:paraId="7CBF4119" w14:textId="77777777" w:rsidR="003641E5" w:rsidRPr="00DE12A3" w:rsidRDefault="003641E5" w:rsidP="00C917D6">
            <w:pPr>
              <w:pStyle w:val="NormalLeft"/>
            </w:pPr>
            <w:r w:rsidRPr="00DE12A3">
              <w:t>kg/s</w:t>
            </w:r>
          </w:p>
        </w:tc>
        <w:tc>
          <w:tcPr>
            <w:tcW w:w="5044" w:type="dxa"/>
            <w:tcBorders>
              <w:top w:val="single" w:sz="2" w:space="0" w:color="auto"/>
              <w:left w:val="single" w:sz="2" w:space="0" w:color="auto"/>
              <w:bottom w:val="single" w:sz="2" w:space="0" w:color="auto"/>
              <w:right w:val="single" w:sz="2" w:space="0" w:color="auto"/>
            </w:tcBorders>
          </w:tcPr>
          <w:p w14:paraId="5031614E" w14:textId="77777777" w:rsidR="003641E5" w:rsidRPr="00DE12A3" w:rsidRDefault="003641E5" w:rsidP="00C917D6">
            <w:pPr>
              <w:spacing w:before="120" w:after="120"/>
              <w:rPr>
                <w:rFonts w:cs="Times New Roman"/>
                <w:color w:val="auto"/>
              </w:rPr>
            </w:pPr>
            <w:r w:rsidRPr="00DE12A3">
              <w:rPr>
                <w:rFonts w:cs="Times New Roman"/>
                <w:color w:val="auto"/>
              </w:rPr>
              <w:t>Yaş bazda denk seyreltilmiş egzoz gazı kütle akış hızı</w:t>
            </w:r>
          </w:p>
        </w:tc>
      </w:tr>
      <w:tr w:rsidR="00DE12A3" w:rsidRPr="00DE12A3" w14:paraId="00C82B8A" w14:textId="77777777" w:rsidTr="002C23B9">
        <w:tc>
          <w:tcPr>
            <w:tcW w:w="1261" w:type="dxa"/>
            <w:tcBorders>
              <w:top w:val="single" w:sz="2" w:space="0" w:color="auto"/>
              <w:left w:val="single" w:sz="2" w:space="0" w:color="auto"/>
              <w:bottom w:val="single" w:sz="2" w:space="0" w:color="auto"/>
              <w:right w:val="single" w:sz="2" w:space="0" w:color="auto"/>
            </w:tcBorders>
          </w:tcPr>
          <w:p w14:paraId="61A25D9B" w14:textId="77777777" w:rsidR="003641E5" w:rsidRPr="00DE12A3" w:rsidRDefault="003641E5" w:rsidP="00C917D6">
            <w:pPr>
              <w:pStyle w:val="NormalLeft"/>
            </w:pPr>
            <w:r w:rsidRPr="00DE12A3">
              <w:rPr>
                <w:i/>
                <w:iCs/>
              </w:rPr>
              <w:t>q</w:t>
            </w:r>
            <w:r w:rsidRPr="00DE12A3">
              <w:rPr>
                <w:i/>
                <w:iCs/>
                <w:vertAlign w:val="subscript"/>
              </w:rPr>
              <w:t>m</w:t>
            </w:r>
            <w:r w:rsidRPr="00DE12A3">
              <w:rPr>
                <w:vertAlign w:val="subscript"/>
              </w:rPr>
              <w:t>ew</w:t>
            </w:r>
          </w:p>
        </w:tc>
        <w:tc>
          <w:tcPr>
            <w:tcW w:w="1261" w:type="dxa"/>
            <w:tcBorders>
              <w:top w:val="single" w:sz="2" w:space="0" w:color="auto"/>
              <w:left w:val="single" w:sz="2" w:space="0" w:color="auto"/>
              <w:bottom w:val="single" w:sz="2" w:space="0" w:color="auto"/>
              <w:right w:val="single" w:sz="2" w:space="0" w:color="auto"/>
            </w:tcBorders>
          </w:tcPr>
          <w:p w14:paraId="2CEDE265" w14:textId="77777777" w:rsidR="003641E5" w:rsidRPr="00DE12A3" w:rsidRDefault="003641E5" w:rsidP="00C917D6">
            <w:pPr>
              <w:spacing w:before="120" w:after="120"/>
              <w:rPr>
                <w:rFonts w:cs="Times New Roman"/>
                <w:color w:val="auto"/>
              </w:rPr>
            </w:pPr>
            <w:r w:rsidRPr="00DE12A3">
              <w:rPr>
                <w:rFonts w:cs="Times New Roman"/>
                <w:color w:val="auto"/>
                <w:vertAlign w:val="superscript"/>
              </w:rPr>
              <w:t>(</w:t>
            </w:r>
            <w:r w:rsidRPr="00DE12A3">
              <w:rPr>
                <w:rStyle w:val="DipnotBavurusu"/>
                <w:rFonts w:cs="Times New Roman"/>
                <w:color w:val="auto"/>
              </w:rPr>
              <w:t>1</w:t>
            </w:r>
            <w:r w:rsidRPr="00DE12A3">
              <w:rPr>
                <w:rFonts w:cs="Times New Roman"/>
                <w:color w:val="auto"/>
                <w:vertAlign w:val="superscript"/>
              </w:rPr>
              <w:t>)</w:t>
            </w:r>
          </w:p>
        </w:tc>
        <w:tc>
          <w:tcPr>
            <w:tcW w:w="1441" w:type="dxa"/>
            <w:tcBorders>
              <w:top w:val="single" w:sz="2" w:space="0" w:color="auto"/>
              <w:left w:val="single" w:sz="2" w:space="0" w:color="auto"/>
              <w:bottom w:val="single" w:sz="2" w:space="0" w:color="auto"/>
              <w:right w:val="single" w:sz="2" w:space="0" w:color="auto"/>
            </w:tcBorders>
          </w:tcPr>
          <w:p w14:paraId="3D13036D" w14:textId="77777777" w:rsidR="003641E5" w:rsidRPr="00DE12A3" w:rsidRDefault="003641E5" w:rsidP="00C917D6">
            <w:pPr>
              <w:pStyle w:val="NormalLeft"/>
            </w:pPr>
            <w:r w:rsidRPr="00DE12A3">
              <w:t>kg/s</w:t>
            </w:r>
          </w:p>
        </w:tc>
        <w:tc>
          <w:tcPr>
            <w:tcW w:w="5044" w:type="dxa"/>
            <w:tcBorders>
              <w:top w:val="single" w:sz="2" w:space="0" w:color="auto"/>
              <w:left w:val="single" w:sz="2" w:space="0" w:color="auto"/>
              <w:bottom w:val="single" w:sz="2" w:space="0" w:color="auto"/>
              <w:right w:val="single" w:sz="2" w:space="0" w:color="auto"/>
            </w:tcBorders>
          </w:tcPr>
          <w:p w14:paraId="1D77320F" w14:textId="77777777" w:rsidR="003641E5" w:rsidRPr="00DE12A3" w:rsidRDefault="003641E5" w:rsidP="00C917D6">
            <w:pPr>
              <w:spacing w:before="120" w:after="120"/>
              <w:rPr>
                <w:rFonts w:cs="Times New Roman"/>
                <w:color w:val="auto"/>
              </w:rPr>
            </w:pPr>
            <w:r w:rsidRPr="00DE12A3">
              <w:rPr>
                <w:rFonts w:cs="Times New Roman"/>
                <w:color w:val="auto"/>
              </w:rPr>
              <w:t>Yaş bazda egzoz gazı kütle akış hızı</w:t>
            </w:r>
          </w:p>
        </w:tc>
      </w:tr>
      <w:tr w:rsidR="00DE12A3" w:rsidRPr="00DE12A3" w14:paraId="2711AD53" w14:textId="77777777" w:rsidTr="002C23B9">
        <w:tc>
          <w:tcPr>
            <w:tcW w:w="1261" w:type="dxa"/>
            <w:tcBorders>
              <w:top w:val="single" w:sz="2" w:space="0" w:color="auto"/>
              <w:left w:val="single" w:sz="2" w:space="0" w:color="auto"/>
              <w:bottom w:val="single" w:sz="2" w:space="0" w:color="auto"/>
              <w:right w:val="single" w:sz="2" w:space="0" w:color="auto"/>
            </w:tcBorders>
          </w:tcPr>
          <w:p w14:paraId="1A3B088E" w14:textId="77777777" w:rsidR="003641E5" w:rsidRPr="00DE12A3" w:rsidRDefault="003641E5" w:rsidP="00C917D6">
            <w:pPr>
              <w:pStyle w:val="NormalLeft"/>
            </w:pPr>
            <w:r w:rsidRPr="00DE12A3">
              <w:rPr>
                <w:i/>
                <w:iCs/>
              </w:rPr>
              <w:t>q</w:t>
            </w:r>
            <w:r w:rsidRPr="00DE12A3">
              <w:rPr>
                <w:i/>
                <w:iCs/>
                <w:vertAlign w:val="subscript"/>
              </w:rPr>
              <w:t>m</w:t>
            </w:r>
            <w:r w:rsidRPr="00DE12A3">
              <w:rPr>
                <w:vertAlign w:val="subscript"/>
              </w:rPr>
              <w:t>ex</w:t>
            </w:r>
          </w:p>
        </w:tc>
        <w:tc>
          <w:tcPr>
            <w:tcW w:w="1261" w:type="dxa"/>
            <w:tcBorders>
              <w:top w:val="single" w:sz="2" w:space="0" w:color="auto"/>
              <w:left w:val="single" w:sz="2" w:space="0" w:color="auto"/>
              <w:bottom w:val="single" w:sz="2" w:space="0" w:color="auto"/>
              <w:right w:val="single" w:sz="2" w:space="0" w:color="auto"/>
            </w:tcBorders>
          </w:tcPr>
          <w:p w14:paraId="65C3E4A2" w14:textId="77777777" w:rsidR="003641E5" w:rsidRPr="00DE12A3" w:rsidRDefault="003641E5" w:rsidP="00C917D6">
            <w:pPr>
              <w:spacing w:before="120" w:after="120"/>
              <w:rPr>
                <w:rFonts w:cs="Times New Roman"/>
                <w:color w:val="auto"/>
              </w:rPr>
            </w:pPr>
            <w:r w:rsidRPr="00DE12A3">
              <w:rPr>
                <w:rFonts w:cs="Times New Roman"/>
                <w:color w:val="auto"/>
                <w:vertAlign w:val="superscript"/>
              </w:rPr>
              <w:t>(</w:t>
            </w:r>
            <w:r w:rsidRPr="00DE12A3">
              <w:rPr>
                <w:rStyle w:val="DipnotBavurusu"/>
                <w:rFonts w:cs="Times New Roman"/>
                <w:color w:val="auto"/>
              </w:rPr>
              <w:t>1</w:t>
            </w:r>
            <w:r w:rsidRPr="00DE12A3">
              <w:rPr>
                <w:rFonts w:cs="Times New Roman"/>
                <w:color w:val="auto"/>
                <w:vertAlign w:val="superscript"/>
              </w:rPr>
              <w:t>)</w:t>
            </w:r>
          </w:p>
        </w:tc>
        <w:tc>
          <w:tcPr>
            <w:tcW w:w="1441" w:type="dxa"/>
            <w:tcBorders>
              <w:top w:val="single" w:sz="2" w:space="0" w:color="auto"/>
              <w:left w:val="single" w:sz="2" w:space="0" w:color="auto"/>
              <w:bottom w:val="single" w:sz="2" w:space="0" w:color="auto"/>
              <w:right w:val="single" w:sz="2" w:space="0" w:color="auto"/>
            </w:tcBorders>
          </w:tcPr>
          <w:p w14:paraId="27271746" w14:textId="77777777" w:rsidR="003641E5" w:rsidRPr="00DE12A3" w:rsidRDefault="003641E5" w:rsidP="00C917D6">
            <w:pPr>
              <w:pStyle w:val="NormalLeft"/>
            </w:pPr>
            <w:r w:rsidRPr="00DE12A3">
              <w:t>kg/s</w:t>
            </w:r>
          </w:p>
        </w:tc>
        <w:tc>
          <w:tcPr>
            <w:tcW w:w="5044" w:type="dxa"/>
            <w:tcBorders>
              <w:top w:val="single" w:sz="2" w:space="0" w:color="auto"/>
              <w:left w:val="single" w:sz="2" w:space="0" w:color="auto"/>
              <w:bottom w:val="single" w:sz="2" w:space="0" w:color="auto"/>
              <w:right w:val="single" w:sz="2" w:space="0" w:color="auto"/>
            </w:tcBorders>
          </w:tcPr>
          <w:p w14:paraId="21B49054" w14:textId="77777777" w:rsidR="003641E5" w:rsidRPr="00DE12A3" w:rsidRDefault="003641E5" w:rsidP="00C917D6">
            <w:pPr>
              <w:spacing w:before="120" w:after="120"/>
              <w:rPr>
                <w:rFonts w:cs="Times New Roman"/>
                <w:color w:val="auto"/>
              </w:rPr>
            </w:pPr>
            <w:r w:rsidRPr="00DE12A3">
              <w:rPr>
                <w:rFonts w:cs="Times New Roman"/>
                <w:color w:val="auto"/>
              </w:rPr>
              <w:t>Seyreltme tünelinden alınan numune kütle akış hızı</w:t>
            </w:r>
          </w:p>
        </w:tc>
      </w:tr>
      <w:tr w:rsidR="00DE12A3" w:rsidRPr="00DE12A3" w14:paraId="03BAC4C8" w14:textId="77777777" w:rsidTr="002C23B9">
        <w:tc>
          <w:tcPr>
            <w:tcW w:w="1261" w:type="dxa"/>
            <w:tcBorders>
              <w:top w:val="single" w:sz="2" w:space="0" w:color="auto"/>
              <w:left w:val="single" w:sz="2" w:space="0" w:color="auto"/>
              <w:bottom w:val="single" w:sz="2" w:space="0" w:color="auto"/>
              <w:right w:val="single" w:sz="2" w:space="0" w:color="auto"/>
            </w:tcBorders>
          </w:tcPr>
          <w:p w14:paraId="6C331594" w14:textId="77777777" w:rsidR="003641E5" w:rsidRPr="00DE12A3" w:rsidRDefault="003641E5" w:rsidP="00C917D6">
            <w:pPr>
              <w:pStyle w:val="NormalLeft"/>
            </w:pPr>
            <w:r w:rsidRPr="00DE12A3">
              <w:rPr>
                <w:i/>
                <w:iCs/>
              </w:rPr>
              <w:t>q</w:t>
            </w:r>
            <w:r w:rsidRPr="00DE12A3">
              <w:rPr>
                <w:i/>
                <w:iCs/>
                <w:vertAlign w:val="subscript"/>
              </w:rPr>
              <w:t>m</w:t>
            </w:r>
            <w:r w:rsidRPr="00DE12A3">
              <w:rPr>
                <w:vertAlign w:val="subscript"/>
              </w:rPr>
              <w:t>f</w:t>
            </w:r>
          </w:p>
        </w:tc>
        <w:tc>
          <w:tcPr>
            <w:tcW w:w="1261" w:type="dxa"/>
            <w:tcBorders>
              <w:top w:val="single" w:sz="2" w:space="0" w:color="auto"/>
              <w:left w:val="single" w:sz="2" w:space="0" w:color="auto"/>
              <w:bottom w:val="single" w:sz="2" w:space="0" w:color="auto"/>
              <w:right w:val="single" w:sz="2" w:space="0" w:color="auto"/>
            </w:tcBorders>
          </w:tcPr>
          <w:p w14:paraId="7ECFB317" w14:textId="77777777" w:rsidR="003641E5" w:rsidRPr="00DE12A3" w:rsidRDefault="003641E5" w:rsidP="00C917D6">
            <w:pPr>
              <w:spacing w:before="120" w:after="120"/>
              <w:rPr>
                <w:rFonts w:cs="Times New Roman"/>
                <w:color w:val="auto"/>
              </w:rPr>
            </w:pPr>
            <w:r w:rsidRPr="00DE12A3">
              <w:rPr>
                <w:rFonts w:cs="Times New Roman"/>
                <w:color w:val="auto"/>
                <w:vertAlign w:val="superscript"/>
              </w:rPr>
              <w:t>(</w:t>
            </w:r>
            <w:r w:rsidRPr="00DE12A3">
              <w:rPr>
                <w:rStyle w:val="DipnotBavurusu"/>
                <w:rFonts w:cs="Times New Roman"/>
                <w:color w:val="auto"/>
              </w:rPr>
              <w:t>1</w:t>
            </w:r>
            <w:r w:rsidRPr="00DE12A3">
              <w:rPr>
                <w:rFonts w:cs="Times New Roman"/>
                <w:color w:val="auto"/>
                <w:vertAlign w:val="superscript"/>
              </w:rPr>
              <w:t>)</w:t>
            </w:r>
          </w:p>
        </w:tc>
        <w:tc>
          <w:tcPr>
            <w:tcW w:w="1441" w:type="dxa"/>
            <w:tcBorders>
              <w:top w:val="single" w:sz="2" w:space="0" w:color="auto"/>
              <w:left w:val="single" w:sz="2" w:space="0" w:color="auto"/>
              <w:bottom w:val="single" w:sz="2" w:space="0" w:color="auto"/>
              <w:right w:val="single" w:sz="2" w:space="0" w:color="auto"/>
            </w:tcBorders>
          </w:tcPr>
          <w:p w14:paraId="011681F4" w14:textId="77777777" w:rsidR="003641E5" w:rsidRPr="00DE12A3" w:rsidRDefault="003641E5" w:rsidP="00C917D6">
            <w:pPr>
              <w:pStyle w:val="NormalLeft"/>
            </w:pPr>
            <w:r w:rsidRPr="00DE12A3">
              <w:t>kg/s</w:t>
            </w:r>
          </w:p>
        </w:tc>
        <w:tc>
          <w:tcPr>
            <w:tcW w:w="5044" w:type="dxa"/>
            <w:tcBorders>
              <w:top w:val="single" w:sz="2" w:space="0" w:color="auto"/>
              <w:left w:val="single" w:sz="2" w:space="0" w:color="auto"/>
              <w:bottom w:val="single" w:sz="2" w:space="0" w:color="auto"/>
              <w:right w:val="single" w:sz="2" w:space="0" w:color="auto"/>
            </w:tcBorders>
          </w:tcPr>
          <w:p w14:paraId="57842636" w14:textId="77777777" w:rsidR="003641E5" w:rsidRPr="00DE12A3" w:rsidRDefault="003641E5" w:rsidP="00C917D6">
            <w:pPr>
              <w:spacing w:before="120" w:after="120"/>
              <w:rPr>
                <w:rFonts w:cs="Times New Roman"/>
                <w:color w:val="auto"/>
              </w:rPr>
            </w:pPr>
            <w:r w:rsidRPr="00DE12A3">
              <w:rPr>
                <w:rFonts w:cs="Times New Roman"/>
                <w:color w:val="auto"/>
              </w:rPr>
              <w:t>Yakıt kütle akış hızı</w:t>
            </w:r>
          </w:p>
        </w:tc>
      </w:tr>
      <w:tr w:rsidR="00DE12A3" w:rsidRPr="00DE12A3" w14:paraId="56DC6622" w14:textId="77777777" w:rsidTr="002C23B9">
        <w:tc>
          <w:tcPr>
            <w:tcW w:w="1261" w:type="dxa"/>
            <w:tcBorders>
              <w:top w:val="single" w:sz="2" w:space="0" w:color="auto"/>
              <w:left w:val="single" w:sz="2" w:space="0" w:color="auto"/>
              <w:bottom w:val="single" w:sz="2" w:space="0" w:color="auto"/>
              <w:right w:val="single" w:sz="2" w:space="0" w:color="auto"/>
            </w:tcBorders>
          </w:tcPr>
          <w:p w14:paraId="2F1BDF76" w14:textId="77777777" w:rsidR="003641E5" w:rsidRPr="00DE12A3" w:rsidRDefault="003641E5" w:rsidP="00C917D6">
            <w:pPr>
              <w:pStyle w:val="NormalLeft"/>
            </w:pPr>
            <w:r w:rsidRPr="00DE12A3">
              <w:rPr>
                <w:i/>
                <w:iCs/>
              </w:rPr>
              <w:t>q</w:t>
            </w:r>
            <w:r w:rsidRPr="00DE12A3">
              <w:rPr>
                <w:i/>
                <w:iCs/>
                <w:vertAlign w:val="subscript"/>
              </w:rPr>
              <w:t>m</w:t>
            </w:r>
            <w:r w:rsidRPr="00DE12A3">
              <w:rPr>
                <w:vertAlign w:val="subscript"/>
              </w:rPr>
              <w:t>p</w:t>
            </w:r>
          </w:p>
        </w:tc>
        <w:tc>
          <w:tcPr>
            <w:tcW w:w="1261" w:type="dxa"/>
            <w:tcBorders>
              <w:top w:val="single" w:sz="2" w:space="0" w:color="auto"/>
              <w:left w:val="single" w:sz="2" w:space="0" w:color="auto"/>
              <w:bottom w:val="single" w:sz="2" w:space="0" w:color="auto"/>
              <w:right w:val="single" w:sz="2" w:space="0" w:color="auto"/>
            </w:tcBorders>
          </w:tcPr>
          <w:p w14:paraId="5B586B30" w14:textId="77777777" w:rsidR="003641E5" w:rsidRPr="00DE12A3" w:rsidRDefault="003641E5" w:rsidP="00C917D6">
            <w:pPr>
              <w:spacing w:before="120" w:after="120"/>
              <w:rPr>
                <w:rFonts w:cs="Times New Roman"/>
                <w:color w:val="auto"/>
              </w:rPr>
            </w:pPr>
            <w:r w:rsidRPr="00DE12A3">
              <w:rPr>
                <w:rFonts w:cs="Times New Roman"/>
                <w:color w:val="auto"/>
                <w:vertAlign w:val="superscript"/>
              </w:rPr>
              <w:t>(</w:t>
            </w:r>
            <w:r w:rsidRPr="00DE12A3">
              <w:rPr>
                <w:rStyle w:val="DipnotBavurusu"/>
                <w:rFonts w:cs="Times New Roman"/>
                <w:color w:val="auto"/>
              </w:rPr>
              <w:t>1</w:t>
            </w:r>
            <w:r w:rsidRPr="00DE12A3">
              <w:rPr>
                <w:rFonts w:cs="Times New Roman"/>
                <w:color w:val="auto"/>
                <w:vertAlign w:val="superscript"/>
              </w:rPr>
              <w:t>)</w:t>
            </w:r>
          </w:p>
        </w:tc>
        <w:tc>
          <w:tcPr>
            <w:tcW w:w="1441" w:type="dxa"/>
            <w:tcBorders>
              <w:top w:val="single" w:sz="2" w:space="0" w:color="auto"/>
              <w:left w:val="single" w:sz="2" w:space="0" w:color="auto"/>
              <w:bottom w:val="single" w:sz="2" w:space="0" w:color="auto"/>
              <w:right w:val="single" w:sz="2" w:space="0" w:color="auto"/>
            </w:tcBorders>
          </w:tcPr>
          <w:p w14:paraId="6A14E88D" w14:textId="77777777" w:rsidR="003641E5" w:rsidRPr="00DE12A3" w:rsidRDefault="003641E5" w:rsidP="00C917D6">
            <w:pPr>
              <w:pStyle w:val="NormalLeft"/>
            </w:pPr>
            <w:r w:rsidRPr="00DE12A3">
              <w:t>kg/s</w:t>
            </w:r>
          </w:p>
        </w:tc>
        <w:tc>
          <w:tcPr>
            <w:tcW w:w="5044" w:type="dxa"/>
            <w:tcBorders>
              <w:top w:val="single" w:sz="2" w:space="0" w:color="auto"/>
              <w:left w:val="single" w:sz="2" w:space="0" w:color="auto"/>
              <w:bottom w:val="single" w:sz="2" w:space="0" w:color="auto"/>
              <w:right w:val="single" w:sz="2" w:space="0" w:color="auto"/>
            </w:tcBorders>
          </w:tcPr>
          <w:p w14:paraId="3F2A5A71" w14:textId="77777777" w:rsidR="003641E5" w:rsidRPr="00DE12A3" w:rsidRDefault="003641E5" w:rsidP="00C917D6">
            <w:pPr>
              <w:spacing w:before="120" w:after="120"/>
              <w:rPr>
                <w:rFonts w:cs="Times New Roman"/>
                <w:color w:val="auto"/>
              </w:rPr>
            </w:pPr>
            <w:r w:rsidRPr="00DE12A3">
              <w:rPr>
                <w:rFonts w:cs="Times New Roman"/>
                <w:color w:val="auto"/>
              </w:rPr>
              <w:t>Kısmi akışlı seyreltme sistemi içine egzoz gazı numune akışı</w:t>
            </w:r>
          </w:p>
        </w:tc>
      </w:tr>
      <w:tr w:rsidR="00DE12A3" w:rsidRPr="00DE12A3" w14:paraId="460AC500" w14:textId="77777777" w:rsidTr="002C23B9">
        <w:tc>
          <w:tcPr>
            <w:tcW w:w="1261" w:type="dxa"/>
            <w:tcBorders>
              <w:top w:val="single" w:sz="2" w:space="0" w:color="auto"/>
              <w:left w:val="single" w:sz="2" w:space="0" w:color="auto"/>
              <w:bottom w:val="single" w:sz="2" w:space="0" w:color="auto"/>
              <w:right w:val="single" w:sz="2" w:space="0" w:color="auto"/>
            </w:tcBorders>
          </w:tcPr>
          <w:p w14:paraId="60471252" w14:textId="77777777" w:rsidR="00171726" w:rsidRPr="00DE12A3" w:rsidRDefault="00171726" w:rsidP="00C917D6">
            <w:pPr>
              <w:pStyle w:val="NormalLeft"/>
            </w:pPr>
            <w:r w:rsidRPr="00DE12A3">
              <w:rPr>
                <w:i/>
                <w:iCs/>
              </w:rPr>
              <w:t>q</w:t>
            </w:r>
            <w:r w:rsidRPr="00DE12A3">
              <w:rPr>
                <w:i/>
                <w:iCs/>
                <w:vertAlign w:val="subscript"/>
              </w:rPr>
              <w:t>V</w:t>
            </w:r>
          </w:p>
        </w:tc>
        <w:tc>
          <w:tcPr>
            <w:tcW w:w="1261" w:type="dxa"/>
            <w:tcBorders>
              <w:top w:val="single" w:sz="2" w:space="0" w:color="auto"/>
              <w:left w:val="single" w:sz="2" w:space="0" w:color="auto"/>
              <w:bottom w:val="single" w:sz="2" w:space="0" w:color="auto"/>
              <w:right w:val="single" w:sz="2" w:space="0" w:color="auto"/>
            </w:tcBorders>
          </w:tcPr>
          <w:p w14:paraId="2196CA2E" w14:textId="77777777" w:rsidR="00171726" w:rsidRPr="00DE12A3" w:rsidRDefault="00171726" w:rsidP="00C917D6">
            <w:pPr>
              <w:pStyle w:val="NormalLeft"/>
            </w:pPr>
            <w:r w:rsidRPr="00DE12A3">
              <w:rPr>
                <w:i/>
                <w:iCs/>
              </w:rPr>
              <w:t>V̇</w:t>
            </w:r>
          </w:p>
        </w:tc>
        <w:tc>
          <w:tcPr>
            <w:tcW w:w="1441" w:type="dxa"/>
            <w:tcBorders>
              <w:top w:val="single" w:sz="2" w:space="0" w:color="auto"/>
              <w:left w:val="single" w:sz="2" w:space="0" w:color="auto"/>
              <w:bottom w:val="single" w:sz="2" w:space="0" w:color="auto"/>
              <w:right w:val="single" w:sz="2" w:space="0" w:color="auto"/>
            </w:tcBorders>
          </w:tcPr>
          <w:p w14:paraId="30D6F9E3" w14:textId="77777777" w:rsidR="00171726" w:rsidRPr="00DE12A3" w:rsidRDefault="00171726" w:rsidP="00C917D6">
            <w:pPr>
              <w:pStyle w:val="NormalLeft"/>
            </w:pPr>
            <w:r w:rsidRPr="00DE12A3">
              <w:t>m</w:t>
            </w:r>
            <w:r w:rsidRPr="00DE12A3">
              <w:rPr>
                <w:vertAlign w:val="superscript"/>
              </w:rPr>
              <w:t>3</w:t>
            </w:r>
            <w:r w:rsidRPr="00DE12A3">
              <w:t>/s</w:t>
            </w:r>
          </w:p>
        </w:tc>
        <w:tc>
          <w:tcPr>
            <w:tcW w:w="5044" w:type="dxa"/>
            <w:tcBorders>
              <w:top w:val="single" w:sz="2" w:space="0" w:color="auto"/>
              <w:left w:val="single" w:sz="2" w:space="0" w:color="auto"/>
              <w:bottom w:val="single" w:sz="2" w:space="0" w:color="auto"/>
              <w:right w:val="single" w:sz="2" w:space="0" w:color="auto"/>
            </w:tcBorders>
          </w:tcPr>
          <w:p w14:paraId="423D55A0" w14:textId="77777777" w:rsidR="00171726" w:rsidRPr="00DE12A3" w:rsidRDefault="00171726" w:rsidP="00C917D6">
            <w:pPr>
              <w:spacing w:before="120" w:after="120"/>
              <w:rPr>
                <w:rFonts w:cs="Times New Roman"/>
                <w:color w:val="auto"/>
              </w:rPr>
            </w:pPr>
            <w:r w:rsidRPr="00DE12A3">
              <w:rPr>
                <w:rFonts w:cs="Times New Roman"/>
                <w:color w:val="auto"/>
              </w:rPr>
              <w:t>Hacimsel akış hızı</w:t>
            </w:r>
          </w:p>
        </w:tc>
      </w:tr>
      <w:tr w:rsidR="00DE12A3" w:rsidRPr="00DE12A3" w14:paraId="4E88CFA6" w14:textId="77777777" w:rsidTr="002C23B9">
        <w:tc>
          <w:tcPr>
            <w:tcW w:w="1261" w:type="dxa"/>
            <w:tcBorders>
              <w:top w:val="single" w:sz="2" w:space="0" w:color="auto"/>
              <w:left w:val="single" w:sz="2" w:space="0" w:color="auto"/>
              <w:bottom w:val="single" w:sz="2" w:space="0" w:color="auto"/>
              <w:right w:val="single" w:sz="2" w:space="0" w:color="auto"/>
            </w:tcBorders>
          </w:tcPr>
          <w:p w14:paraId="26345DBA" w14:textId="77777777" w:rsidR="003641E5" w:rsidRPr="00DE12A3" w:rsidRDefault="003641E5" w:rsidP="00C917D6">
            <w:pPr>
              <w:pStyle w:val="NormalLeft"/>
            </w:pPr>
            <w:r w:rsidRPr="00DE12A3">
              <w:rPr>
                <w:i/>
                <w:iCs/>
              </w:rPr>
              <w:t>q</w:t>
            </w:r>
            <w:r w:rsidRPr="00DE12A3">
              <w:rPr>
                <w:i/>
                <w:iCs/>
                <w:vertAlign w:val="subscript"/>
              </w:rPr>
              <w:t>V</w:t>
            </w:r>
            <w:r w:rsidRPr="00DE12A3">
              <w:rPr>
                <w:vertAlign w:val="subscript"/>
              </w:rPr>
              <w:t>CVS</w:t>
            </w:r>
          </w:p>
        </w:tc>
        <w:tc>
          <w:tcPr>
            <w:tcW w:w="1261" w:type="dxa"/>
            <w:tcBorders>
              <w:top w:val="single" w:sz="2" w:space="0" w:color="auto"/>
              <w:left w:val="single" w:sz="2" w:space="0" w:color="auto"/>
              <w:bottom w:val="single" w:sz="2" w:space="0" w:color="auto"/>
              <w:right w:val="single" w:sz="2" w:space="0" w:color="auto"/>
            </w:tcBorders>
          </w:tcPr>
          <w:p w14:paraId="41FC8269" w14:textId="77777777" w:rsidR="003641E5" w:rsidRPr="00DE12A3" w:rsidRDefault="003641E5" w:rsidP="00C917D6">
            <w:pPr>
              <w:spacing w:before="120" w:after="120"/>
              <w:rPr>
                <w:rFonts w:cs="Times New Roman"/>
                <w:color w:val="auto"/>
              </w:rPr>
            </w:pPr>
            <w:r w:rsidRPr="00DE12A3">
              <w:rPr>
                <w:rFonts w:cs="Times New Roman"/>
                <w:color w:val="auto"/>
                <w:vertAlign w:val="superscript"/>
              </w:rPr>
              <w:t>(</w:t>
            </w:r>
            <w:r w:rsidRPr="00DE12A3">
              <w:rPr>
                <w:rStyle w:val="DipnotBavurusu"/>
                <w:rFonts w:cs="Times New Roman"/>
                <w:color w:val="auto"/>
              </w:rPr>
              <w:t>1</w:t>
            </w:r>
            <w:r w:rsidRPr="00DE12A3">
              <w:rPr>
                <w:rFonts w:cs="Times New Roman"/>
                <w:color w:val="auto"/>
                <w:vertAlign w:val="superscript"/>
              </w:rPr>
              <w:t>)</w:t>
            </w:r>
          </w:p>
        </w:tc>
        <w:tc>
          <w:tcPr>
            <w:tcW w:w="1441" w:type="dxa"/>
            <w:tcBorders>
              <w:top w:val="single" w:sz="2" w:space="0" w:color="auto"/>
              <w:left w:val="single" w:sz="2" w:space="0" w:color="auto"/>
              <w:bottom w:val="single" w:sz="2" w:space="0" w:color="auto"/>
              <w:right w:val="single" w:sz="2" w:space="0" w:color="auto"/>
            </w:tcBorders>
          </w:tcPr>
          <w:p w14:paraId="0F23C7D2" w14:textId="77777777" w:rsidR="003641E5" w:rsidRPr="00DE12A3" w:rsidRDefault="003641E5" w:rsidP="00C917D6">
            <w:pPr>
              <w:pStyle w:val="NormalLeft"/>
            </w:pPr>
            <w:r w:rsidRPr="00DE12A3">
              <w:t>m</w:t>
            </w:r>
            <w:r w:rsidRPr="00DE12A3">
              <w:rPr>
                <w:vertAlign w:val="superscript"/>
              </w:rPr>
              <w:t>3</w:t>
            </w:r>
            <w:r w:rsidRPr="00DE12A3">
              <w:t>/s</w:t>
            </w:r>
          </w:p>
        </w:tc>
        <w:tc>
          <w:tcPr>
            <w:tcW w:w="5044" w:type="dxa"/>
            <w:tcBorders>
              <w:top w:val="single" w:sz="2" w:space="0" w:color="auto"/>
              <w:left w:val="single" w:sz="2" w:space="0" w:color="auto"/>
              <w:bottom w:val="single" w:sz="2" w:space="0" w:color="auto"/>
              <w:right w:val="single" w:sz="2" w:space="0" w:color="auto"/>
            </w:tcBorders>
          </w:tcPr>
          <w:p w14:paraId="6AB57650" w14:textId="77777777" w:rsidR="003641E5" w:rsidRPr="00DE12A3" w:rsidRDefault="003641E5" w:rsidP="00C917D6">
            <w:pPr>
              <w:spacing w:before="120" w:after="120"/>
              <w:rPr>
                <w:rFonts w:cs="Times New Roman"/>
                <w:color w:val="auto"/>
              </w:rPr>
            </w:pPr>
            <w:r w:rsidRPr="00DE12A3">
              <w:rPr>
                <w:rFonts w:cs="Times New Roman"/>
                <w:color w:val="auto"/>
              </w:rPr>
              <w:t>CVS hacim oranı</w:t>
            </w:r>
          </w:p>
        </w:tc>
      </w:tr>
      <w:tr w:rsidR="00DE12A3" w:rsidRPr="00DE12A3" w14:paraId="65EF343D" w14:textId="77777777" w:rsidTr="002C23B9">
        <w:tc>
          <w:tcPr>
            <w:tcW w:w="1261" w:type="dxa"/>
            <w:tcBorders>
              <w:top w:val="single" w:sz="2" w:space="0" w:color="auto"/>
              <w:left w:val="single" w:sz="2" w:space="0" w:color="auto"/>
              <w:bottom w:val="single" w:sz="2" w:space="0" w:color="auto"/>
              <w:right w:val="single" w:sz="2" w:space="0" w:color="auto"/>
            </w:tcBorders>
          </w:tcPr>
          <w:p w14:paraId="7193056B" w14:textId="77777777" w:rsidR="003641E5" w:rsidRPr="00DE12A3" w:rsidRDefault="003641E5" w:rsidP="00C917D6">
            <w:pPr>
              <w:pStyle w:val="NormalLeft"/>
            </w:pPr>
            <w:r w:rsidRPr="00DE12A3">
              <w:rPr>
                <w:i/>
                <w:iCs/>
              </w:rPr>
              <w:t>q</w:t>
            </w:r>
            <w:r w:rsidRPr="00DE12A3">
              <w:rPr>
                <w:i/>
                <w:iCs/>
                <w:vertAlign w:val="subscript"/>
              </w:rPr>
              <w:t>V</w:t>
            </w:r>
            <w:r w:rsidRPr="00DE12A3">
              <w:rPr>
                <w:vertAlign w:val="subscript"/>
              </w:rPr>
              <w:t>s</w:t>
            </w:r>
          </w:p>
        </w:tc>
        <w:tc>
          <w:tcPr>
            <w:tcW w:w="1261" w:type="dxa"/>
            <w:tcBorders>
              <w:top w:val="single" w:sz="2" w:space="0" w:color="auto"/>
              <w:left w:val="single" w:sz="2" w:space="0" w:color="auto"/>
              <w:bottom w:val="single" w:sz="2" w:space="0" w:color="auto"/>
              <w:right w:val="single" w:sz="2" w:space="0" w:color="auto"/>
            </w:tcBorders>
          </w:tcPr>
          <w:p w14:paraId="3043CC37" w14:textId="77777777" w:rsidR="003641E5" w:rsidRPr="00DE12A3" w:rsidRDefault="003641E5" w:rsidP="00C917D6">
            <w:pPr>
              <w:spacing w:before="120" w:after="120"/>
              <w:rPr>
                <w:rFonts w:cs="Times New Roman"/>
                <w:color w:val="auto"/>
              </w:rPr>
            </w:pPr>
            <w:r w:rsidRPr="00DE12A3">
              <w:rPr>
                <w:rFonts w:cs="Times New Roman"/>
                <w:color w:val="auto"/>
                <w:vertAlign w:val="superscript"/>
              </w:rPr>
              <w:t>(</w:t>
            </w:r>
            <w:r w:rsidRPr="00DE12A3">
              <w:rPr>
                <w:rStyle w:val="DipnotBavurusu"/>
                <w:rFonts w:cs="Times New Roman"/>
                <w:color w:val="auto"/>
              </w:rPr>
              <w:t>1</w:t>
            </w:r>
            <w:r w:rsidRPr="00DE12A3">
              <w:rPr>
                <w:rFonts w:cs="Times New Roman"/>
                <w:color w:val="auto"/>
                <w:vertAlign w:val="superscript"/>
              </w:rPr>
              <w:t>)</w:t>
            </w:r>
          </w:p>
        </w:tc>
        <w:tc>
          <w:tcPr>
            <w:tcW w:w="1441" w:type="dxa"/>
            <w:tcBorders>
              <w:top w:val="single" w:sz="2" w:space="0" w:color="auto"/>
              <w:left w:val="single" w:sz="2" w:space="0" w:color="auto"/>
              <w:bottom w:val="single" w:sz="2" w:space="0" w:color="auto"/>
              <w:right w:val="single" w:sz="2" w:space="0" w:color="auto"/>
            </w:tcBorders>
          </w:tcPr>
          <w:p w14:paraId="33FE14A6" w14:textId="77777777" w:rsidR="003641E5" w:rsidRPr="00DE12A3" w:rsidRDefault="003641E5" w:rsidP="00C917D6">
            <w:pPr>
              <w:pStyle w:val="NormalLeft"/>
            </w:pPr>
            <w:r w:rsidRPr="00DE12A3">
              <w:t>dm</w:t>
            </w:r>
            <w:r w:rsidRPr="00DE12A3">
              <w:rPr>
                <w:vertAlign w:val="superscript"/>
              </w:rPr>
              <w:t>3</w:t>
            </w:r>
            <w:r w:rsidRPr="00DE12A3">
              <w:t>/min</w:t>
            </w:r>
          </w:p>
        </w:tc>
        <w:tc>
          <w:tcPr>
            <w:tcW w:w="5044" w:type="dxa"/>
            <w:tcBorders>
              <w:top w:val="single" w:sz="2" w:space="0" w:color="auto"/>
              <w:left w:val="single" w:sz="2" w:space="0" w:color="auto"/>
              <w:bottom w:val="single" w:sz="2" w:space="0" w:color="auto"/>
              <w:right w:val="single" w:sz="2" w:space="0" w:color="auto"/>
            </w:tcBorders>
          </w:tcPr>
          <w:p w14:paraId="356B06C3" w14:textId="77777777" w:rsidR="003641E5" w:rsidRPr="00DE12A3" w:rsidRDefault="003641E5" w:rsidP="00C917D6">
            <w:pPr>
              <w:spacing w:before="120" w:after="120"/>
              <w:rPr>
                <w:rFonts w:cs="Times New Roman"/>
                <w:color w:val="auto"/>
              </w:rPr>
            </w:pPr>
            <w:r w:rsidRPr="00DE12A3">
              <w:rPr>
                <w:rFonts w:cs="Times New Roman"/>
                <w:color w:val="auto"/>
              </w:rPr>
              <w:t>Egzoz gazı analiz cihazı sisteminin sistem akış hızı</w:t>
            </w:r>
          </w:p>
        </w:tc>
      </w:tr>
      <w:tr w:rsidR="00DE12A3" w:rsidRPr="00DE12A3" w14:paraId="214F3BA0" w14:textId="77777777" w:rsidTr="002C23B9">
        <w:tc>
          <w:tcPr>
            <w:tcW w:w="1261" w:type="dxa"/>
            <w:tcBorders>
              <w:top w:val="single" w:sz="2" w:space="0" w:color="auto"/>
              <w:left w:val="single" w:sz="2" w:space="0" w:color="auto"/>
              <w:bottom w:val="single" w:sz="2" w:space="0" w:color="auto"/>
              <w:right w:val="single" w:sz="2" w:space="0" w:color="auto"/>
            </w:tcBorders>
          </w:tcPr>
          <w:p w14:paraId="24B3FA5A" w14:textId="77777777" w:rsidR="003641E5" w:rsidRPr="00DE12A3" w:rsidRDefault="003641E5" w:rsidP="00C917D6">
            <w:pPr>
              <w:pStyle w:val="NormalLeft"/>
            </w:pPr>
            <w:r w:rsidRPr="00DE12A3">
              <w:rPr>
                <w:i/>
                <w:iCs/>
              </w:rPr>
              <w:t>q</w:t>
            </w:r>
            <w:r w:rsidRPr="00DE12A3">
              <w:rPr>
                <w:i/>
                <w:iCs/>
                <w:vertAlign w:val="subscript"/>
              </w:rPr>
              <w:t>V</w:t>
            </w:r>
            <w:r w:rsidRPr="00DE12A3">
              <w:rPr>
                <w:vertAlign w:val="subscript"/>
              </w:rPr>
              <w:t>t</w:t>
            </w:r>
          </w:p>
        </w:tc>
        <w:tc>
          <w:tcPr>
            <w:tcW w:w="1261" w:type="dxa"/>
            <w:tcBorders>
              <w:top w:val="single" w:sz="2" w:space="0" w:color="auto"/>
              <w:left w:val="single" w:sz="2" w:space="0" w:color="auto"/>
              <w:bottom w:val="single" w:sz="2" w:space="0" w:color="auto"/>
              <w:right w:val="single" w:sz="2" w:space="0" w:color="auto"/>
            </w:tcBorders>
          </w:tcPr>
          <w:p w14:paraId="279821A5" w14:textId="77777777" w:rsidR="003641E5" w:rsidRPr="00DE12A3" w:rsidRDefault="003641E5" w:rsidP="00C917D6">
            <w:pPr>
              <w:spacing w:before="120" w:after="120"/>
              <w:rPr>
                <w:rFonts w:cs="Times New Roman"/>
                <w:color w:val="auto"/>
              </w:rPr>
            </w:pPr>
            <w:r w:rsidRPr="00DE12A3">
              <w:rPr>
                <w:rFonts w:cs="Times New Roman"/>
                <w:color w:val="auto"/>
                <w:vertAlign w:val="superscript"/>
              </w:rPr>
              <w:t>(</w:t>
            </w:r>
            <w:r w:rsidRPr="00DE12A3">
              <w:rPr>
                <w:rStyle w:val="DipnotBavurusu"/>
                <w:rFonts w:cs="Times New Roman"/>
                <w:color w:val="auto"/>
              </w:rPr>
              <w:t>1</w:t>
            </w:r>
            <w:r w:rsidRPr="00DE12A3">
              <w:rPr>
                <w:rFonts w:cs="Times New Roman"/>
                <w:color w:val="auto"/>
                <w:vertAlign w:val="superscript"/>
              </w:rPr>
              <w:t>)</w:t>
            </w:r>
          </w:p>
        </w:tc>
        <w:tc>
          <w:tcPr>
            <w:tcW w:w="1441" w:type="dxa"/>
            <w:tcBorders>
              <w:top w:val="single" w:sz="2" w:space="0" w:color="auto"/>
              <w:left w:val="single" w:sz="2" w:space="0" w:color="auto"/>
              <w:bottom w:val="single" w:sz="2" w:space="0" w:color="auto"/>
              <w:right w:val="single" w:sz="2" w:space="0" w:color="auto"/>
            </w:tcBorders>
          </w:tcPr>
          <w:p w14:paraId="124F6D58" w14:textId="77777777" w:rsidR="003641E5" w:rsidRPr="00DE12A3" w:rsidRDefault="003641E5" w:rsidP="00C917D6">
            <w:pPr>
              <w:pStyle w:val="NormalLeft"/>
            </w:pPr>
            <w:r w:rsidRPr="00DE12A3">
              <w:t>cm</w:t>
            </w:r>
            <w:r w:rsidRPr="00DE12A3">
              <w:rPr>
                <w:vertAlign w:val="superscript"/>
              </w:rPr>
              <w:t>3</w:t>
            </w:r>
            <w:r w:rsidRPr="00DE12A3">
              <w:t>/min</w:t>
            </w:r>
          </w:p>
        </w:tc>
        <w:tc>
          <w:tcPr>
            <w:tcW w:w="5044" w:type="dxa"/>
            <w:tcBorders>
              <w:top w:val="single" w:sz="2" w:space="0" w:color="auto"/>
              <w:left w:val="single" w:sz="2" w:space="0" w:color="auto"/>
              <w:bottom w:val="single" w:sz="2" w:space="0" w:color="auto"/>
              <w:right w:val="single" w:sz="2" w:space="0" w:color="auto"/>
            </w:tcBorders>
          </w:tcPr>
          <w:p w14:paraId="0C227781" w14:textId="77777777" w:rsidR="003641E5" w:rsidRPr="00DE12A3" w:rsidRDefault="003641E5" w:rsidP="00C917D6">
            <w:pPr>
              <w:spacing w:before="120" w:after="120"/>
              <w:rPr>
                <w:rFonts w:cs="Times New Roman"/>
                <w:color w:val="auto"/>
              </w:rPr>
            </w:pPr>
            <w:r w:rsidRPr="00DE12A3">
              <w:rPr>
                <w:rFonts w:cs="Times New Roman"/>
                <w:color w:val="auto"/>
              </w:rPr>
              <w:t>İzleyici gaz akış hızı</w:t>
            </w:r>
          </w:p>
        </w:tc>
      </w:tr>
      <w:tr w:rsidR="00DE12A3" w:rsidRPr="00DE12A3" w14:paraId="00BB18F8" w14:textId="77777777" w:rsidTr="002C23B9">
        <w:tc>
          <w:tcPr>
            <w:tcW w:w="1261" w:type="dxa"/>
            <w:tcBorders>
              <w:top w:val="single" w:sz="2" w:space="0" w:color="auto"/>
              <w:left w:val="single" w:sz="2" w:space="0" w:color="auto"/>
              <w:bottom w:val="single" w:sz="2" w:space="0" w:color="auto"/>
              <w:right w:val="single" w:sz="2" w:space="0" w:color="auto"/>
            </w:tcBorders>
          </w:tcPr>
          <w:p w14:paraId="77AF1F98" w14:textId="77777777" w:rsidR="00171726" w:rsidRPr="00DE12A3" w:rsidRDefault="00171726" w:rsidP="00C917D6">
            <w:pPr>
              <w:pStyle w:val="NormalLeft"/>
            </w:pPr>
            <w:r w:rsidRPr="00DE12A3">
              <w:rPr>
                <w:i/>
                <w:iCs/>
              </w:rPr>
              <w:t>ρ</w:t>
            </w:r>
          </w:p>
        </w:tc>
        <w:tc>
          <w:tcPr>
            <w:tcW w:w="1261" w:type="dxa"/>
            <w:tcBorders>
              <w:top w:val="single" w:sz="2" w:space="0" w:color="auto"/>
              <w:left w:val="single" w:sz="2" w:space="0" w:color="auto"/>
              <w:bottom w:val="single" w:sz="2" w:space="0" w:color="auto"/>
              <w:right w:val="single" w:sz="2" w:space="0" w:color="auto"/>
            </w:tcBorders>
          </w:tcPr>
          <w:p w14:paraId="145C0C72" w14:textId="77777777" w:rsidR="00171726" w:rsidRPr="00DE12A3" w:rsidRDefault="00171726" w:rsidP="00C917D6">
            <w:pPr>
              <w:pStyle w:val="NormalLeft"/>
            </w:pPr>
            <w:r w:rsidRPr="00DE12A3">
              <w:rPr>
                <w:i/>
                <w:iCs/>
              </w:rPr>
              <w:t>ρ</w:t>
            </w:r>
          </w:p>
        </w:tc>
        <w:tc>
          <w:tcPr>
            <w:tcW w:w="1441" w:type="dxa"/>
            <w:tcBorders>
              <w:top w:val="single" w:sz="2" w:space="0" w:color="auto"/>
              <w:left w:val="single" w:sz="2" w:space="0" w:color="auto"/>
              <w:bottom w:val="single" w:sz="2" w:space="0" w:color="auto"/>
              <w:right w:val="single" w:sz="2" w:space="0" w:color="auto"/>
            </w:tcBorders>
          </w:tcPr>
          <w:p w14:paraId="2A563F91" w14:textId="77777777" w:rsidR="00171726" w:rsidRPr="00DE12A3" w:rsidRDefault="00171726" w:rsidP="00C917D6">
            <w:pPr>
              <w:pStyle w:val="NormalLeft"/>
            </w:pPr>
            <w:r w:rsidRPr="00DE12A3">
              <w:t>kg/m</w:t>
            </w:r>
            <w:r w:rsidRPr="00DE12A3">
              <w:rPr>
                <w:vertAlign w:val="superscript"/>
              </w:rPr>
              <w:t>3</w:t>
            </w:r>
          </w:p>
        </w:tc>
        <w:tc>
          <w:tcPr>
            <w:tcW w:w="5044" w:type="dxa"/>
            <w:tcBorders>
              <w:top w:val="single" w:sz="2" w:space="0" w:color="auto"/>
              <w:left w:val="single" w:sz="2" w:space="0" w:color="auto"/>
              <w:bottom w:val="single" w:sz="2" w:space="0" w:color="auto"/>
              <w:right w:val="single" w:sz="2" w:space="0" w:color="auto"/>
            </w:tcBorders>
          </w:tcPr>
          <w:p w14:paraId="49D16276" w14:textId="77777777" w:rsidR="00171726" w:rsidRPr="00DE12A3" w:rsidRDefault="00171726" w:rsidP="00C917D6">
            <w:pPr>
              <w:spacing w:before="120" w:after="120"/>
              <w:rPr>
                <w:rFonts w:cs="Times New Roman"/>
                <w:color w:val="auto"/>
              </w:rPr>
            </w:pPr>
            <w:r w:rsidRPr="00DE12A3">
              <w:rPr>
                <w:rFonts w:cs="Times New Roman"/>
                <w:color w:val="auto"/>
              </w:rPr>
              <w:t>Kütle yoğunluğu</w:t>
            </w:r>
          </w:p>
        </w:tc>
      </w:tr>
      <w:tr w:rsidR="00DE12A3" w:rsidRPr="00DE12A3" w14:paraId="5F69F6F6" w14:textId="77777777" w:rsidTr="002C23B9">
        <w:tc>
          <w:tcPr>
            <w:tcW w:w="1261" w:type="dxa"/>
            <w:tcBorders>
              <w:top w:val="single" w:sz="2" w:space="0" w:color="auto"/>
              <w:left w:val="single" w:sz="2" w:space="0" w:color="auto"/>
              <w:bottom w:val="single" w:sz="2" w:space="0" w:color="auto"/>
              <w:right w:val="single" w:sz="2" w:space="0" w:color="auto"/>
            </w:tcBorders>
          </w:tcPr>
          <w:p w14:paraId="24B99C3D" w14:textId="77777777" w:rsidR="00171726" w:rsidRPr="00DE12A3" w:rsidRDefault="00171726" w:rsidP="00C917D6">
            <w:pPr>
              <w:pStyle w:val="NormalLeft"/>
            </w:pPr>
            <w:r w:rsidRPr="00DE12A3">
              <w:rPr>
                <w:i/>
                <w:iCs/>
              </w:rPr>
              <w:t>ρ</w:t>
            </w:r>
            <w:r w:rsidRPr="00DE12A3">
              <w:rPr>
                <w:vertAlign w:val="subscript"/>
              </w:rPr>
              <w:t>e</w:t>
            </w:r>
          </w:p>
        </w:tc>
        <w:tc>
          <w:tcPr>
            <w:tcW w:w="1261" w:type="dxa"/>
            <w:tcBorders>
              <w:top w:val="single" w:sz="2" w:space="0" w:color="auto"/>
              <w:left w:val="single" w:sz="2" w:space="0" w:color="auto"/>
              <w:bottom w:val="single" w:sz="2" w:space="0" w:color="auto"/>
              <w:right w:val="single" w:sz="2" w:space="0" w:color="auto"/>
            </w:tcBorders>
          </w:tcPr>
          <w:p w14:paraId="7FABA833" w14:textId="77777777" w:rsidR="00171726" w:rsidRPr="00DE12A3" w:rsidRDefault="00171726" w:rsidP="00C917D6">
            <w:pPr>
              <w:pStyle w:val="NormalLeft"/>
            </w:pPr>
          </w:p>
        </w:tc>
        <w:tc>
          <w:tcPr>
            <w:tcW w:w="1441" w:type="dxa"/>
            <w:tcBorders>
              <w:top w:val="single" w:sz="2" w:space="0" w:color="auto"/>
              <w:left w:val="single" w:sz="2" w:space="0" w:color="auto"/>
              <w:bottom w:val="single" w:sz="2" w:space="0" w:color="auto"/>
              <w:right w:val="single" w:sz="2" w:space="0" w:color="auto"/>
            </w:tcBorders>
          </w:tcPr>
          <w:p w14:paraId="7760A246" w14:textId="77777777" w:rsidR="00171726" w:rsidRPr="00DE12A3" w:rsidRDefault="00171726" w:rsidP="00C917D6">
            <w:pPr>
              <w:pStyle w:val="NormalLeft"/>
            </w:pPr>
            <w:r w:rsidRPr="00DE12A3">
              <w:t>kg/m</w:t>
            </w:r>
            <w:r w:rsidRPr="00DE12A3">
              <w:rPr>
                <w:vertAlign w:val="superscript"/>
              </w:rPr>
              <w:t>3</w:t>
            </w:r>
          </w:p>
        </w:tc>
        <w:tc>
          <w:tcPr>
            <w:tcW w:w="5044" w:type="dxa"/>
            <w:tcBorders>
              <w:top w:val="single" w:sz="2" w:space="0" w:color="auto"/>
              <w:left w:val="single" w:sz="2" w:space="0" w:color="auto"/>
              <w:bottom w:val="single" w:sz="2" w:space="0" w:color="auto"/>
              <w:right w:val="single" w:sz="2" w:space="0" w:color="auto"/>
            </w:tcBorders>
          </w:tcPr>
          <w:p w14:paraId="513E55AF" w14:textId="77777777" w:rsidR="00171726" w:rsidRPr="00DE12A3" w:rsidRDefault="00171726" w:rsidP="00C917D6">
            <w:pPr>
              <w:spacing w:before="120" w:after="120"/>
              <w:rPr>
                <w:rFonts w:cs="Times New Roman"/>
                <w:color w:val="auto"/>
              </w:rPr>
            </w:pPr>
            <w:r w:rsidRPr="00DE12A3">
              <w:rPr>
                <w:rFonts w:cs="Times New Roman"/>
                <w:color w:val="auto"/>
              </w:rPr>
              <w:t>Egzoz gazı yoğunluğu</w:t>
            </w:r>
          </w:p>
        </w:tc>
      </w:tr>
      <w:tr w:rsidR="00DE12A3" w:rsidRPr="00DE12A3" w14:paraId="17D85FDA" w14:textId="77777777" w:rsidTr="002C23B9">
        <w:tc>
          <w:tcPr>
            <w:tcW w:w="1261" w:type="dxa"/>
            <w:tcBorders>
              <w:top w:val="single" w:sz="2" w:space="0" w:color="auto"/>
              <w:left w:val="single" w:sz="2" w:space="0" w:color="auto"/>
              <w:bottom w:val="single" w:sz="2" w:space="0" w:color="auto"/>
              <w:right w:val="single" w:sz="2" w:space="0" w:color="auto"/>
            </w:tcBorders>
          </w:tcPr>
          <w:p w14:paraId="7F3413C7" w14:textId="77777777" w:rsidR="00171726" w:rsidRPr="00DE12A3" w:rsidRDefault="00171726" w:rsidP="00C917D6">
            <w:pPr>
              <w:adjustRightInd w:val="0"/>
              <w:spacing w:before="120" w:after="120"/>
              <w:rPr>
                <w:rFonts w:cs="Times New Roman"/>
                <w:color w:val="auto"/>
              </w:rPr>
            </w:pPr>
          </w:p>
        </w:tc>
        <w:tc>
          <w:tcPr>
            <w:tcW w:w="1261" w:type="dxa"/>
            <w:tcBorders>
              <w:top w:val="single" w:sz="2" w:space="0" w:color="auto"/>
              <w:left w:val="single" w:sz="2" w:space="0" w:color="auto"/>
              <w:bottom w:val="single" w:sz="2" w:space="0" w:color="auto"/>
              <w:right w:val="single" w:sz="2" w:space="0" w:color="auto"/>
            </w:tcBorders>
          </w:tcPr>
          <w:p w14:paraId="0BE7C663" w14:textId="77777777" w:rsidR="00171726" w:rsidRPr="00DE12A3" w:rsidRDefault="00171726" w:rsidP="00C917D6">
            <w:pPr>
              <w:pStyle w:val="NormalLeft"/>
            </w:pPr>
            <w:r w:rsidRPr="00DE12A3">
              <w:rPr>
                <w:i/>
                <w:iCs/>
              </w:rPr>
              <w:t>r</w:t>
            </w:r>
          </w:p>
        </w:tc>
        <w:tc>
          <w:tcPr>
            <w:tcW w:w="1441" w:type="dxa"/>
            <w:tcBorders>
              <w:top w:val="single" w:sz="2" w:space="0" w:color="auto"/>
              <w:left w:val="single" w:sz="2" w:space="0" w:color="auto"/>
              <w:bottom w:val="single" w:sz="2" w:space="0" w:color="auto"/>
              <w:right w:val="single" w:sz="2" w:space="0" w:color="auto"/>
            </w:tcBorders>
          </w:tcPr>
          <w:p w14:paraId="55B278A3" w14:textId="77777777" w:rsidR="00171726" w:rsidRPr="00DE12A3" w:rsidRDefault="00171726" w:rsidP="00C917D6">
            <w:pPr>
              <w:pStyle w:val="NormalLeft"/>
            </w:pPr>
            <w:r w:rsidRPr="00DE12A3">
              <w:t>—</w:t>
            </w:r>
          </w:p>
        </w:tc>
        <w:tc>
          <w:tcPr>
            <w:tcW w:w="5044" w:type="dxa"/>
            <w:tcBorders>
              <w:top w:val="single" w:sz="2" w:space="0" w:color="auto"/>
              <w:left w:val="single" w:sz="2" w:space="0" w:color="auto"/>
              <w:bottom w:val="single" w:sz="2" w:space="0" w:color="auto"/>
              <w:right w:val="single" w:sz="2" w:space="0" w:color="auto"/>
            </w:tcBorders>
          </w:tcPr>
          <w:p w14:paraId="3ACAF9A7" w14:textId="77777777" w:rsidR="00171726" w:rsidRPr="00DE12A3" w:rsidRDefault="00171726" w:rsidP="00C917D6">
            <w:pPr>
              <w:spacing w:before="120" w:after="120"/>
              <w:rPr>
                <w:rFonts w:cs="Times New Roman"/>
                <w:color w:val="auto"/>
              </w:rPr>
            </w:pPr>
            <w:r w:rsidRPr="00DE12A3">
              <w:rPr>
                <w:rFonts w:cs="Times New Roman"/>
                <w:color w:val="auto"/>
              </w:rPr>
              <w:t>Basınçlar oranı</w:t>
            </w:r>
          </w:p>
        </w:tc>
      </w:tr>
      <w:tr w:rsidR="00DE12A3" w:rsidRPr="00DE12A3" w14:paraId="76EAA771" w14:textId="77777777" w:rsidTr="002C23B9">
        <w:tc>
          <w:tcPr>
            <w:tcW w:w="1261" w:type="dxa"/>
            <w:tcBorders>
              <w:top w:val="single" w:sz="2" w:space="0" w:color="auto"/>
              <w:left w:val="single" w:sz="2" w:space="0" w:color="auto"/>
              <w:bottom w:val="single" w:sz="2" w:space="0" w:color="auto"/>
              <w:right w:val="single" w:sz="2" w:space="0" w:color="auto"/>
            </w:tcBorders>
          </w:tcPr>
          <w:p w14:paraId="62E1DC0D" w14:textId="77777777" w:rsidR="00171726" w:rsidRPr="00DE12A3" w:rsidRDefault="00171726" w:rsidP="00C917D6">
            <w:pPr>
              <w:pStyle w:val="NormalLeft"/>
            </w:pPr>
            <w:r w:rsidRPr="00DE12A3">
              <w:rPr>
                <w:i/>
                <w:iCs/>
              </w:rPr>
              <w:t>r</w:t>
            </w:r>
            <w:r w:rsidRPr="00DE12A3">
              <w:rPr>
                <w:vertAlign w:val="subscript"/>
              </w:rPr>
              <w:t>d</w:t>
            </w:r>
          </w:p>
        </w:tc>
        <w:tc>
          <w:tcPr>
            <w:tcW w:w="1261" w:type="dxa"/>
            <w:tcBorders>
              <w:top w:val="single" w:sz="2" w:space="0" w:color="auto"/>
              <w:left w:val="single" w:sz="2" w:space="0" w:color="auto"/>
              <w:bottom w:val="single" w:sz="2" w:space="0" w:color="auto"/>
              <w:right w:val="single" w:sz="2" w:space="0" w:color="auto"/>
            </w:tcBorders>
          </w:tcPr>
          <w:p w14:paraId="0DC3BEDC" w14:textId="77777777" w:rsidR="00171726" w:rsidRPr="00DE12A3" w:rsidRDefault="00171726" w:rsidP="00C917D6">
            <w:pPr>
              <w:pStyle w:val="NormalLeft"/>
            </w:pPr>
            <w:r w:rsidRPr="00DE12A3">
              <w:rPr>
                <w:i/>
                <w:iCs/>
              </w:rPr>
              <w:t>DR</w:t>
            </w:r>
          </w:p>
        </w:tc>
        <w:tc>
          <w:tcPr>
            <w:tcW w:w="1441" w:type="dxa"/>
            <w:tcBorders>
              <w:top w:val="single" w:sz="2" w:space="0" w:color="auto"/>
              <w:left w:val="single" w:sz="2" w:space="0" w:color="auto"/>
              <w:bottom w:val="single" w:sz="2" w:space="0" w:color="auto"/>
              <w:right w:val="single" w:sz="2" w:space="0" w:color="auto"/>
            </w:tcBorders>
          </w:tcPr>
          <w:p w14:paraId="297DB31F" w14:textId="77777777" w:rsidR="00171726" w:rsidRPr="00DE12A3" w:rsidRDefault="00171726" w:rsidP="00C917D6">
            <w:pPr>
              <w:pStyle w:val="NormalLeft"/>
            </w:pPr>
            <w:r w:rsidRPr="00DE12A3">
              <w:t>—</w:t>
            </w:r>
          </w:p>
        </w:tc>
        <w:tc>
          <w:tcPr>
            <w:tcW w:w="5044" w:type="dxa"/>
            <w:tcBorders>
              <w:top w:val="single" w:sz="2" w:space="0" w:color="auto"/>
              <w:left w:val="single" w:sz="2" w:space="0" w:color="auto"/>
              <w:bottom w:val="single" w:sz="2" w:space="0" w:color="auto"/>
              <w:right w:val="single" w:sz="2" w:space="0" w:color="auto"/>
            </w:tcBorders>
          </w:tcPr>
          <w:p w14:paraId="564D84C0" w14:textId="77777777" w:rsidR="00171726" w:rsidRPr="00DE12A3" w:rsidRDefault="00171726" w:rsidP="00C917D6">
            <w:pPr>
              <w:spacing w:before="120" w:after="120"/>
              <w:rPr>
                <w:rFonts w:cs="Times New Roman"/>
                <w:color w:val="auto"/>
              </w:rPr>
            </w:pPr>
            <w:r w:rsidRPr="00DE12A3">
              <w:rPr>
                <w:rFonts w:cs="Times New Roman"/>
                <w:color w:val="auto"/>
              </w:rPr>
              <w:t xml:space="preserve">Seyreltme oranı </w:t>
            </w:r>
            <w:r w:rsidRPr="00DE12A3">
              <w:rPr>
                <w:rFonts w:cs="Times New Roman"/>
                <w:color w:val="auto"/>
                <w:vertAlign w:val="superscript"/>
              </w:rPr>
              <w:t>(1)</w:t>
            </w:r>
          </w:p>
        </w:tc>
      </w:tr>
      <w:tr w:rsidR="00DE12A3" w:rsidRPr="00DE12A3" w14:paraId="55B30E35" w14:textId="77777777" w:rsidTr="002C23B9">
        <w:tc>
          <w:tcPr>
            <w:tcW w:w="1261" w:type="dxa"/>
            <w:tcBorders>
              <w:top w:val="single" w:sz="2" w:space="0" w:color="auto"/>
              <w:left w:val="single" w:sz="2" w:space="0" w:color="auto"/>
              <w:bottom w:val="single" w:sz="2" w:space="0" w:color="auto"/>
              <w:right w:val="single" w:sz="2" w:space="0" w:color="auto"/>
            </w:tcBorders>
          </w:tcPr>
          <w:p w14:paraId="23269742" w14:textId="77777777" w:rsidR="00171726" w:rsidRPr="00DE12A3" w:rsidRDefault="00171726" w:rsidP="00C917D6">
            <w:pPr>
              <w:adjustRightInd w:val="0"/>
              <w:spacing w:before="120" w:after="120"/>
              <w:rPr>
                <w:rFonts w:cs="Times New Roman"/>
                <w:color w:val="auto"/>
              </w:rPr>
            </w:pPr>
          </w:p>
        </w:tc>
        <w:tc>
          <w:tcPr>
            <w:tcW w:w="1261" w:type="dxa"/>
            <w:tcBorders>
              <w:top w:val="single" w:sz="2" w:space="0" w:color="auto"/>
              <w:left w:val="single" w:sz="2" w:space="0" w:color="auto"/>
              <w:bottom w:val="single" w:sz="2" w:space="0" w:color="auto"/>
              <w:right w:val="single" w:sz="2" w:space="0" w:color="auto"/>
            </w:tcBorders>
          </w:tcPr>
          <w:p w14:paraId="1A858689" w14:textId="77777777" w:rsidR="00171726" w:rsidRPr="00DE12A3" w:rsidRDefault="00171726" w:rsidP="00C917D6">
            <w:pPr>
              <w:pStyle w:val="NormalLeft"/>
            </w:pPr>
            <w:r w:rsidRPr="00DE12A3">
              <w:rPr>
                <w:i/>
                <w:iCs/>
              </w:rPr>
              <w:t>Ra</w:t>
            </w:r>
          </w:p>
        </w:tc>
        <w:tc>
          <w:tcPr>
            <w:tcW w:w="1441" w:type="dxa"/>
            <w:tcBorders>
              <w:top w:val="single" w:sz="2" w:space="0" w:color="auto"/>
              <w:left w:val="single" w:sz="2" w:space="0" w:color="auto"/>
              <w:bottom w:val="single" w:sz="2" w:space="0" w:color="auto"/>
              <w:right w:val="single" w:sz="2" w:space="0" w:color="auto"/>
            </w:tcBorders>
          </w:tcPr>
          <w:p w14:paraId="0F86FB28" w14:textId="77777777" w:rsidR="00171726" w:rsidRPr="00DE12A3" w:rsidRDefault="00171726" w:rsidP="00C917D6">
            <w:pPr>
              <w:pStyle w:val="NormalLeft"/>
            </w:pPr>
            <w:r w:rsidRPr="00DE12A3">
              <w:t>μm</w:t>
            </w:r>
          </w:p>
        </w:tc>
        <w:tc>
          <w:tcPr>
            <w:tcW w:w="5044" w:type="dxa"/>
            <w:tcBorders>
              <w:top w:val="single" w:sz="2" w:space="0" w:color="auto"/>
              <w:left w:val="single" w:sz="2" w:space="0" w:color="auto"/>
              <w:bottom w:val="single" w:sz="2" w:space="0" w:color="auto"/>
              <w:right w:val="single" w:sz="2" w:space="0" w:color="auto"/>
            </w:tcBorders>
          </w:tcPr>
          <w:p w14:paraId="485DE8A6" w14:textId="77777777" w:rsidR="00171726" w:rsidRPr="00DE12A3" w:rsidRDefault="00171726" w:rsidP="00C917D6">
            <w:pPr>
              <w:spacing w:before="120" w:after="120"/>
              <w:rPr>
                <w:rFonts w:cs="Times New Roman"/>
                <w:color w:val="auto"/>
              </w:rPr>
            </w:pPr>
            <w:r w:rsidRPr="00DE12A3">
              <w:rPr>
                <w:rFonts w:cs="Times New Roman"/>
                <w:color w:val="auto"/>
              </w:rPr>
              <w:t>Ortalama yüzey pürüzlülüğü</w:t>
            </w:r>
          </w:p>
        </w:tc>
      </w:tr>
      <w:tr w:rsidR="00DE12A3" w:rsidRPr="00DE12A3" w14:paraId="0C211125" w14:textId="77777777" w:rsidTr="002C23B9">
        <w:tc>
          <w:tcPr>
            <w:tcW w:w="1261" w:type="dxa"/>
            <w:tcBorders>
              <w:top w:val="single" w:sz="2" w:space="0" w:color="auto"/>
              <w:left w:val="single" w:sz="2" w:space="0" w:color="auto"/>
              <w:bottom w:val="single" w:sz="2" w:space="0" w:color="auto"/>
              <w:right w:val="single" w:sz="2" w:space="0" w:color="auto"/>
            </w:tcBorders>
          </w:tcPr>
          <w:p w14:paraId="5134E24B" w14:textId="77777777" w:rsidR="00171726" w:rsidRPr="00DE12A3" w:rsidRDefault="00171726" w:rsidP="00C917D6">
            <w:pPr>
              <w:pStyle w:val="NormalLeft"/>
            </w:pPr>
            <w:r w:rsidRPr="00DE12A3">
              <w:rPr>
                <w:i/>
                <w:iCs/>
              </w:rPr>
              <w:t>RH</w:t>
            </w:r>
          </w:p>
        </w:tc>
        <w:tc>
          <w:tcPr>
            <w:tcW w:w="1261" w:type="dxa"/>
            <w:tcBorders>
              <w:top w:val="single" w:sz="2" w:space="0" w:color="auto"/>
              <w:left w:val="single" w:sz="2" w:space="0" w:color="auto"/>
              <w:bottom w:val="single" w:sz="2" w:space="0" w:color="auto"/>
              <w:right w:val="single" w:sz="2" w:space="0" w:color="auto"/>
            </w:tcBorders>
          </w:tcPr>
          <w:p w14:paraId="74DA2552" w14:textId="77777777" w:rsidR="00171726" w:rsidRPr="00DE12A3" w:rsidRDefault="00171726" w:rsidP="00C917D6">
            <w:pPr>
              <w:pStyle w:val="NormalLeft"/>
            </w:pPr>
          </w:p>
        </w:tc>
        <w:tc>
          <w:tcPr>
            <w:tcW w:w="1441" w:type="dxa"/>
            <w:tcBorders>
              <w:top w:val="single" w:sz="2" w:space="0" w:color="auto"/>
              <w:left w:val="single" w:sz="2" w:space="0" w:color="auto"/>
              <w:bottom w:val="single" w:sz="2" w:space="0" w:color="auto"/>
              <w:right w:val="single" w:sz="2" w:space="0" w:color="auto"/>
            </w:tcBorders>
          </w:tcPr>
          <w:p w14:paraId="6FD69EF7" w14:textId="77777777" w:rsidR="00171726" w:rsidRPr="00DE12A3" w:rsidRDefault="00171726" w:rsidP="00C917D6">
            <w:pPr>
              <w:pStyle w:val="NormalLeft"/>
            </w:pPr>
            <w:r w:rsidRPr="00DE12A3">
              <w:t>%</w:t>
            </w:r>
          </w:p>
        </w:tc>
        <w:tc>
          <w:tcPr>
            <w:tcW w:w="5044" w:type="dxa"/>
            <w:tcBorders>
              <w:top w:val="single" w:sz="2" w:space="0" w:color="auto"/>
              <w:left w:val="single" w:sz="2" w:space="0" w:color="auto"/>
              <w:bottom w:val="single" w:sz="2" w:space="0" w:color="auto"/>
              <w:right w:val="single" w:sz="2" w:space="0" w:color="auto"/>
            </w:tcBorders>
          </w:tcPr>
          <w:p w14:paraId="179D6464" w14:textId="77777777" w:rsidR="00171726" w:rsidRPr="00DE12A3" w:rsidRDefault="00171726" w:rsidP="00C917D6">
            <w:pPr>
              <w:spacing w:before="120" w:after="120"/>
              <w:rPr>
                <w:rFonts w:cs="Times New Roman"/>
                <w:color w:val="auto"/>
              </w:rPr>
            </w:pPr>
            <w:r w:rsidRPr="00DE12A3">
              <w:rPr>
                <w:rFonts w:cs="Times New Roman"/>
                <w:color w:val="auto"/>
              </w:rPr>
              <w:t>Bağıl nem</w:t>
            </w:r>
          </w:p>
        </w:tc>
      </w:tr>
      <w:tr w:rsidR="00DE12A3" w:rsidRPr="00DE12A3" w14:paraId="001CB21B" w14:textId="77777777" w:rsidTr="002C23B9">
        <w:tc>
          <w:tcPr>
            <w:tcW w:w="1261" w:type="dxa"/>
            <w:tcBorders>
              <w:top w:val="single" w:sz="2" w:space="0" w:color="auto"/>
              <w:left w:val="single" w:sz="2" w:space="0" w:color="auto"/>
              <w:bottom w:val="single" w:sz="2" w:space="0" w:color="auto"/>
              <w:right w:val="single" w:sz="2" w:space="0" w:color="auto"/>
            </w:tcBorders>
          </w:tcPr>
          <w:p w14:paraId="6B9B707C" w14:textId="77777777" w:rsidR="00171726" w:rsidRPr="00DE12A3" w:rsidRDefault="00171726" w:rsidP="00C917D6">
            <w:pPr>
              <w:pStyle w:val="NormalLeft"/>
            </w:pPr>
            <w:r w:rsidRPr="00DE12A3">
              <w:rPr>
                <w:i/>
                <w:iCs/>
              </w:rPr>
              <w:t>r</w:t>
            </w:r>
            <w:r w:rsidRPr="00DE12A3">
              <w:rPr>
                <w:vertAlign w:val="subscript"/>
              </w:rPr>
              <w:t>D</w:t>
            </w:r>
          </w:p>
        </w:tc>
        <w:tc>
          <w:tcPr>
            <w:tcW w:w="1261" w:type="dxa"/>
            <w:tcBorders>
              <w:top w:val="single" w:sz="2" w:space="0" w:color="auto"/>
              <w:left w:val="single" w:sz="2" w:space="0" w:color="auto"/>
              <w:bottom w:val="single" w:sz="2" w:space="0" w:color="auto"/>
              <w:right w:val="single" w:sz="2" w:space="0" w:color="auto"/>
            </w:tcBorders>
          </w:tcPr>
          <w:p w14:paraId="45374027" w14:textId="77777777" w:rsidR="00171726" w:rsidRPr="00DE12A3" w:rsidRDefault="00171726" w:rsidP="00C917D6">
            <w:pPr>
              <w:pStyle w:val="NormalLeft"/>
            </w:pPr>
            <w:r w:rsidRPr="00DE12A3">
              <w:rPr>
                <w:i/>
                <w:iCs/>
              </w:rPr>
              <w:t>β</w:t>
            </w:r>
          </w:p>
        </w:tc>
        <w:tc>
          <w:tcPr>
            <w:tcW w:w="1441" w:type="dxa"/>
            <w:tcBorders>
              <w:top w:val="single" w:sz="2" w:space="0" w:color="auto"/>
              <w:left w:val="single" w:sz="2" w:space="0" w:color="auto"/>
              <w:bottom w:val="single" w:sz="2" w:space="0" w:color="auto"/>
              <w:right w:val="single" w:sz="2" w:space="0" w:color="auto"/>
            </w:tcBorders>
          </w:tcPr>
          <w:p w14:paraId="73A502CA" w14:textId="77777777" w:rsidR="00171726" w:rsidRPr="00DE12A3" w:rsidRDefault="00171726" w:rsidP="00C917D6">
            <w:pPr>
              <w:pStyle w:val="NormalLeft"/>
            </w:pPr>
            <w:r w:rsidRPr="00DE12A3">
              <w:t>m/m</w:t>
            </w:r>
          </w:p>
        </w:tc>
        <w:tc>
          <w:tcPr>
            <w:tcW w:w="5044" w:type="dxa"/>
            <w:tcBorders>
              <w:top w:val="single" w:sz="2" w:space="0" w:color="auto"/>
              <w:left w:val="single" w:sz="2" w:space="0" w:color="auto"/>
              <w:bottom w:val="single" w:sz="2" w:space="0" w:color="auto"/>
              <w:right w:val="single" w:sz="2" w:space="0" w:color="auto"/>
            </w:tcBorders>
          </w:tcPr>
          <w:p w14:paraId="1C68EB6F" w14:textId="77777777" w:rsidR="00171726" w:rsidRPr="00DE12A3" w:rsidRDefault="00171726" w:rsidP="00C917D6">
            <w:pPr>
              <w:spacing w:before="120" w:after="120"/>
              <w:rPr>
                <w:rFonts w:cs="Times New Roman"/>
                <w:color w:val="auto"/>
              </w:rPr>
            </w:pPr>
            <w:r w:rsidRPr="00DE12A3">
              <w:rPr>
                <w:rFonts w:cs="Times New Roman"/>
                <w:color w:val="auto"/>
              </w:rPr>
              <w:t>Çaplar oranı (CVS sistemleri)</w:t>
            </w:r>
          </w:p>
        </w:tc>
      </w:tr>
      <w:tr w:rsidR="00DE12A3" w:rsidRPr="00DE12A3" w14:paraId="0379FC2C" w14:textId="77777777" w:rsidTr="002C23B9">
        <w:tc>
          <w:tcPr>
            <w:tcW w:w="1261" w:type="dxa"/>
            <w:tcBorders>
              <w:top w:val="single" w:sz="2" w:space="0" w:color="auto"/>
              <w:left w:val="single" w:sz="2" w:space="0" w:color="auto"/>
              <w:bottom w:val="single" w:sz="2" w:space="0" w:color="auto"/>
              <w:right w:val="single" w:sz="2" w:space="0" w:color="auto"/>
            </w:tcBorders>
          </w:tcPr>
          <w:p w14:paraId="67E972CC" w14:textId="77777777" w:rsidR="00171726" w:rsidRPr="00DE12A3" w:rsidRDefault="00171726" w:rsidP="00C917D6">
            <w:pPr>
              <w:pStyle w:val="NormalLeft"/>
            </w:pPr>
            <w:r w:rsidRPr="00DE12A3">
              <w:rPr>
                <w:i/>
                <w:iCs/>
              </w:rPr>
              <w:lastRenderedPageBreak/>
              <w:t>r</w:t>
            </w:r>
            <w:r w:rsidRPr="00DE12A3">
              <w:rPr>
                <w:vertAlign w:val="subscript"/>
              </w:rPr>
              <w:t>p</w:t>
            </w:r>
          </w:p>
        </w:tc>
        <w:tc>
          <w:tcPr>
            <w:tcW w:w="1261" w:type="dxa"/>
            <w:tcBorders>
              <w:top w:val="single" w:sz="2" w:space="0" w:color="auto"/>
              <w:left w:val="single" w:sz="2" w:space="0" w:color="auto"/>
              <w:bottom w:val="single" w:sz="2" w:space="0" w:color="auto"/>
              <w:right w:val="single" w:sz="2" w:space="0" w:color="auto"/>
            </w:tcBorders>
          </w:tcPr>
          <w:p w14:paraId="01E5F6C6" w14:textId="77777777" w:rsidR="00171726" w:rsidRPr="00DE12A3" w:rsidRDefault="00171726" w:rsidP="00C917D6">
            <w:pPr>
              <w:pStyle w:val="NormalLeft"/>
            </w:pPr>
          </w:p>
        </w:tc>
        <w:tc>
          <w:tcPr>
            <w:tcW w:w="1441" w:type="dxa"/>
            <w:tcBorders>
              <w:top w:val="single" w:sz="2" w:space="0" w:color="auto"/>
              <w:left w:val="single" w:sz="2" w:space="0" w:color="auto"/>
              <w:bottom w:val="single" w:sz="2" w:space="0" w:color="auto"/>
              <w:right w:val="single" w:sz="2" w:space="0" w:color="auto"/>
            </w:tcBorders>
          </w:tcPr>
          <w:p w14:paraId="6E38B2B0" w14:textId="77777777" w:rsidR="00171726" w:rsidRPr="00DE12A3" w:rsidRDefault="00171726" w:rsidP="00C917D6">
            <w:pPr>
              <w:pStyle w:val="NormalLeft"/>
            </w:pPr>
            <w:r w:rsidRPr="00DE12A3">
              <w:t>—</w:t>
            </w:r>
          </w:p>
        </w:tc>
        <w:tc>
          <w:tcPr>
            <w:tcW w:w="5044" w:type="dxa"/>
            <w:tcBorders>
              <w:top w:val="single" w:sz="2" w:space="0" w:color="auto"/>
              <w:left w:val="single" w:sz="2" w:space="0" w:color="auto"/>
              <w:bottom w:val="single" w:sz="2" w:space="0" w:color="auto"/>
              <w:right w:val="single" w:sz="2" w:space="0" w:color="auto"/>
            </w:tcBorders>
          </w:tcPr>
          <w:p w14:paraId="102C02F4" w14:textId="77777777" w:rsidR="00171726" w:rsidRPr="00DE12A3" w:rsidRDefault="00171726" w:rsidP="00C917D6">
            <w:pPr>
              <w:spacing w:before="120" w:after="120"/>
              <w:rPr>
                <w:rFonts w:cs="Times New Roman"/>
                <w:color w:val="auto"/>
              </w:rPr>
            </w:pPr>
            <w:r w:rsidRPr="00DE12A3">
              <w:rPr>
                <w:rFonts w:cs="Times New Roman"/>
                <w:color w:val="auto"/>
              </w:rPr>
              <w:t>SSV basınç oranı</w:t>
            </w:r>
          </w:p>
        </w:tc>
      </w:tr>
      <w:tr w:rsidR="00DE12A3" w:rsidRPr="00DE12A3" w14:paraId="1631DD1B" w14:textId="77777777" w:rsidTr="002C23B9">
        <w:tc>
          <w:tcPr>
            <w:tcW w:w="1261" w:type="dxa"/>
            <w:tcBorders>
              <w:top w:val="single" w:sz="2" w:space="0" w:color="auto"/>
              <w:left w:val="single" w:sz="2" w:space="0" w:color="auto"/>
              <w:bottom w:val="single" w:sz="2" w:space="0" w:color="auto"/>
              <w:right w:val="single" w:sz="2" w:space="0" w:color="auto"/>
            </w:tcBorders>
          </w:tcPr>
          <w:p w14:paraId="79CBD9EE" w14:textId="77777777" w:rsidR="00171726" w:rsidRPr="00DE12A3" w:rsidRDefault="00171726" w:rsidP="00C917D6">
            <w:pPr>
              <w:pStyle w:val="NormalLeft"/>
            </w:pPr>
            <w:r w:rsidRPr="00DE12A3">
              <w:rPr>
                <w:i/>
                <w:iCs/>
              </w:rPr>
              <w:t>Re</w:t>
            </w:r>
          </w:p>
        </w:tc>
        <w:tc>
          <w:tcPr>
            <w:tcW w:w="1261" w:type="dxa"/>
            <w:tcBorders>
              <w:top w:val="single" w:sz="2" w:space="0" w:color="auto"/>
              <w:left w:val="single" w:sz="2" w:space="0" w:color="auto"/>
              <w:bottom w:val="single" w:sz="2" w:space="0" w:color="auto"/>
              <w:right w:val="single" w:sz="2" w:space="0" w:color="auto"/>
            </w:tcBorders>
          </w:tcPr>
          <w:p w14:paraId="1C747746" w14:textId="77777777" w:rsidR="00171726" w:rsidRPr="00DE12A3" w:rsidRDefault="00171726" w:rsidP="00C917D6">
            <w:pPr>
              <w:pStyle w:val="NormalLeft"/>
            </w:pPr>
            <w:r w:rsidRPr="00DE12A3">
              <w:rPr>
                <w:i/>
                <w:iCs/>
              </w:rPr>
              <w:t>Re</w:t>
            </w:r>
            <w:r w:rsidRPr="00DE12A3">
              <w:rPr>
                <w:i/>
                <w:iCs/>
                <w:vertAlign w:val="superscript"/>
              </w:rPr>
              <w:t>#</w:t>
            </w:r>
          </w:p>
        </w:tc>
        <w:tc>
          <w:tcPr>
            <w:tcW w:w="1441" w:type="dxa"/>
            <w:tcBorders>
              <w:top w:val="single" w:sz="2" w:space="0" w:color="auto"/>
              <w:left w:val="single" w:sz="2" w:space="0" w:color="auto"/>
              <w:bottom w:val="single" w:sz="2" w:space="0" w:color="auto"/>
              <w:right w:val="single" w:sz="2" w:space="0" w:color="auto"/>
            </w:tcBorders>
          </w:tcPr>
          <w:p w14:paraId="3B107CFD" w14:textId="77777777" w:rsidR="00171726" w:rsidRPr="00DE12A3" w:rsidRDefault="00171726" w:rsidP="00C917D6">
            <w:pPr>
              <w:pStyle w:val="NormalLeft"/>
            </w:pPr>
            <w:r w:rsidRPr="00DE12A3">
              <w:t>—</w:t>
            </w:r>
          </w:p>
        </w:tc>
        <w:tc>
          <w:tcPr>
            <w:tcW w:w="5044" w:type="dxa"/>
            <w:tcBorders>
              <w:top w:val="single" w:sz="2" w:space="0" w:color="auto"/>
              <w:left w:val="single" w:sz="2" w:space="0" w:color="auto"/>
              <w:bottom w:val="single" w:sz="2" w:space="0" w:color="auto"/>
              <w:right w:val="single" w:sz="2" w:space="0" w:color="auto"/>
            </w:tcBorders>
          </w:tcPr>
          <w:p w14:paraId="0297D779" w14:textId="77777777" w:rsidR="00171726" w:rsidRPr="00DE12A3" w:rsidRDefault="00171726" w:rsidP="00C917D6">
            <w:pPr>
              <w:spacing w:before="120" w:after="120"/>
              <w:rPr>
                <w:rFonts w:cs="Times New Roman"/>
                <w:color w:val="auto"/>
              </w:rPr>
            </w:pPr>
            <w:r w:rsidRPr="00DE12A3">
              <w:rPr>
                <w:rFonts w:cs="Times New Roman"/>
                <w:color w:val="auto"/>
              </w:rPr>
              <w:t>Reynolds sayısı</w:t>
            </w:r>
          </w:p>
        </w:tc>
      </w:tr>
      <w:tr w:rsidR="00DE12A3" w:rsidRPr="00DE12A3" w14:paraId="2E0FD028" w14:textId="77777777" w:rsidTr="002C23B9">
        <w:tc>
          <w:tcPr>
            <w:tcW w:w="1261" w:type="dxa"/>
            <w:tcBorders>
              <w:top w:val="single" w:sz="2" w:space="0" w:color="auto"/>
              <w:left w:val="single" w:sz="2" w:space="0" w:color="auto"/>
              <w:bottom w:val="single" w:sz="2" w:space="0" w:color="auto"/>
              <w:right w:val="single" w:sz="2" w:space="0" w:color="auto"/>
            </w:tcBorders>
          </w:tcPr>
          <w:p w14:paraId="11FC055E" w14:textId="77777777" w:rsidR="00171726" w:rsidRPr="00DE12A3" w:rsidRDefault="00171726" w:rsidP="00C917D6">
            <w:pPr>
              <w:adjustRightInd w:val="0"/>
              <w:spacing w:before="120" w:after="120"/>
              <w:rPr>
                <w:rFonts w:cs="Times New Roman"/>
                <w:color w:val="auto"/>
              </w:rPr>
            </w:pPr>
          </w:p>
        </w:tc>
        <w:tc>
          <w:tcPr>
            <w:tcW w:w="1261" w:type="dxa"/>
            <w:tcBorders>
              <w:top w:val="single" w:sz="2" w:space="0" w:color="auto"/>
              <w:left w:val="single" w:sz="2" w:space="0" w:color="auto"/>
              <w:bottom w:val="single" w:sz="2" w:space="0" w:color="auto"/>
              <w:right w:val="single" w:sz="2" w:space="0" w:color="auto"/>
            </w:tcBorders>
          </w:tcPr>
          <w:p w14:paraId="0C66A63E" w14:textId="77777777" w:rsidR="00171726" w:rsidRPr="00DE12A3" w:rsidRDefault="00171726" w:rsidP="00C917D6">
            <w:pPr>
              <w:pStyle w:val="NormalLeft"/>
            </w:pPr>
            <w:r w:rsidRPr="00DE12A3">
              <w:rPr>
                <w:i/>
                <w:iCs/>
              </w:rPr>
              <w:t>S</w:t>
            </w:r>
          </w:p>
        </w:tc>
        <w:tc>
          <w:tcPr>
            <w:tcW w:w="1441" w:type="dxa"/>
            <w:tcBorders>
              <w:top w:val="single" w:sz="2" w:space="0" w:color="auto"/>
              <w:left w:val="single" w:sz="2" w:space="0" w:color="auto"/>
              <w:bottom w:val="single" w:sz="2" w:space="0" w:color="auto"/>
              <w:right w:val="single" w:sz="2" w:space="0" w:color="auto"/>
            </w:tcBorders>
          </w:tcPr>
          <w:p w14:paraId="590449C0" w14:textId="77777777" w:rsidR="00171726" w:rsidRPr="00DE12A3" w:rsidRDefault="00171726" w:rsidP="00C917D6">
            <w:pPr>
              <w:pStyle w:val="NormalLeft"/>
            </w:pPr>
            <w:r w:rsidRPr="00DE12A3">
              <w:t>K</w:t>
            </w:r>
          </w:p>
        </w:tc>
        <w:tc>
          <w:tcPr>
            <w:tcW w:w="5044" w:type="dxa"/>
            <w:tcBorders>
              <w:top w:val="single" w:sz="2" w:space="0" w:color="auto"/>
              <w:left w:val="single" w:sz="2" w:space="0" w:color="auto"/>
              <w:bottom w:val="single" w:sz="2" w:space="0" w:color="auto"/>
              <w:right w:val="single" w:sz="2" w:space="0" w:color="auto"/>
            </w:tcBorders>
          </w:tcPr>
          <w:p w14:paraId="148E318E" w14:textId="77777777" w:rsidR="00171726" w:rsidRPr="00DE12A3" w:rsidRDefault="00171726" w:rsidP="00C917D6">
            <w:pPr>
              <w:spacing w:before="120" w:after="120"/>
              <w:rPr>
                <w:rFonts w:cs="Times New Roman"/>
                <w:color w:val="auto"/>
              </w:rPr>
            </w:pPr>
            <w:r w:rsidRPr="00DE12A3">
              <w:rPr>
                <w:rFonts w:cs="Times New Roman"/>
                <w:color w:val="auto"/>
              </w:rPr>
              <w:t>Sutherland sabiti</w:t>
            </w:r>
          </w:p>
        </w:tc>
      </w:tr>
      <w:tr w:rsidR="00DE12A3" w:rsidRPr="00DE12A3" w14:paraId="2EE825B7" w14:textId="77777777" w:rsidTr="002C23B9">
        <w:tc>
          <w:tcPr>
            <w:tcW w:w="1261" w:type="dxa"/>
            <w:tcBorders>
              <w:top w:val="single" w:sz="2" w:space="0" w:color="auto"/>
              <w:left w:val="single" w:sz="2" w:space="0" w:color="auto"/>
              <w:bottom w:val="single" w:sz="2" w:space="0" w:color="auto"/>
              <w:right w:val="single" w:sz="2" w:space="0" w:color="auto"/>
            </w:tcBorders>
          </w:tcPr>
          <w:p w14:paraId="2FB15185" w14:textId="77777777" w:rsidR="00171726" w:rsidRPr="00DE12A3" w:rsidRDefault="00171726" w:rsidP="00C917D6">
            <w:pPr>
              <w:pStyle w:val="NormalLeft"/>
            </w:pPr>
            <w:r w:rsidRPr="00DE12A3">
              <w:rPr>
                <w:i/>
                <w:iCs/>
              </w:rPr>
              <w:t>σ</w:t>
            </w:r>
          </w:p>
        </w:tc>
        <w:tc>
          <w:tcPr>
            <w:tcW w:w="1261" w:type="dxa"/>
            <w:tcBorders>
              <w:top w:val="single" w:sz="2" w:space="0" w:color="auto"/>
              <w:left w:val="single" w:sz="2" w:space="0" w:color="auto"/>
              <w:bottom w:val="single" w:sz="2" w:space="0" w:color="auto"/>
              <w:right w:val="single" w:sz="2" w:space="0" w:color="auto"/>
            </w:tcBorders>
          </w:tcPr>
          <w:p w14:paraId="40911DA1" w14:textId="77777777" w:rsidR="00171726" w:rsidRPr="00DE12A3" w:rsidRDefault="00171726" w:rsidP="00C917D6">
            <w:pPr>
              <w:pStyle w:val="NormalLeft"/>
            </w:pPr>
            <w:r w:rsidRPr="00DE12A3">
              <w:rPr>
                <w:i/>
                <w:iCs/>
              </w:rPr>
              <w:t>σ</w:t>
            </w:r>
          </w:p>
        </w:tc>
        <w:tc>
          <w:tcPr>
            <w:tcW w:w="1441" w:type="dxa"/>
            <w:tcBorders>
              <w:top w:val="single" w:sz="2" w:space="0" w:color="auto"/>
              <w:left w:val="single" w:sz="2" w:space="0" w:color="auto"/>
              <w:bottom w:val="single" w:sz="2" w:space="0" w:color="auto"/>
              <w:right w:val="single" w:sz="2" w:space="0" w:color="auto"/>
            </w:tcBorders>
          </w:tcPr>
          <w:p w14:paraId="1A2A79D0" w14:textId="77777777" w:rsidR="00171726" w:rsidRPr="00DE12A3" w:rsidRDefault="00171726" w:rsidP="00C917D6">
            <w:pPr>
              <w:pStyle w:val="NormalLeft"/>
            </w:pPr>
            <w:r w:rsidRPr="00DE12A3">
              <w:t>—</w:t>
            </w:r>
          </w:p>
        </w:tc>
        <w:tc>
          <w:tcPr>
            <w:tcW w:w="5044" w:type="dxa"/>
            <w:tcBorders>
              <w:top w:val="single" w:sz="2" w:space="0" w:color="auto"/>
              <w:left w:val="single" w:sz="2" w:space="0" w:color="auto"/>
              <w:bottom w:val="single" w:sz="2" w:space="0" w:color="auto"/>
              <w:right w:val="single" w:sz="2" w:space="0" w:color="auto"/>
            </w:tcBorders>
          </w:tcPr>
          <w:p w14:paraId="6A8FEF9C" w14:textId="77777777" w:rsidR="00171726" w:rsidRPr="00DE12A3" w:rsidRDefault="00171726" w:rsidP="00C917D6">
            <w:pPr>
              <w:spacing w:before="120" w:after="120"/>
              <w:rPr>
                <w:rFonts w:cs="Times New Roman"/>
                <w:color w:val="auto"/>
              </w:rPr>
            </w:pPr>
            <w:r w:rsidRPr="00DE12A3">
              <w:rPr>
                <w:rFonts w:cs="Times New Roman"/>
                <w:color w:val="auto"/>
              </w:rPr>
              <w:t>Standart sapma</w:t>
            </w:r>
          </w:p>
        </w:tc>
      </w:tr>
      <w:tr w:rsidR="00DE12A3" w:rsidRPr="00DE12A3" w14:paraId="7F2D1635" w14:textId="77777777" w:rsidTr="002C23B9">
        <w:tc>
          <w:tcPr>
            <w:tcW w:w="1261" w:type="dxa"/>
            <w:tcBorders>
              <w:top w:val="single" w:sz="2" w:space="0" w:color="auto"/>
              <w:left w:val="single" w:sz="2" w:space="0" w:color="auto"/>
              <w:bottom w:val="single" w:sz="2" w:space="0" w:color="auto"/>
              <w:right w:val="single" w:sz="2" w:space="0" w:color="auto"/>
            </w:tcBorders>
          </w:tcPr>
          <w:p w14:paraId="1AFBA27E" w14:textId="77777777" w:rsidR="00171726" w:rsidRPr="00DE12A3" w:rsidRDefault="00171726" w:rsidP="00C917D6">
            <w:pPr>
              <w:pStyle w:val="NormalLeft"/>
            </w:pPr>
            <w:r w:rsidRPr="00DE12A3">
              <w:rPr>
                <w:i/>
                <w:iCs/>
              </w:rPr>
              <w:t>T</w:t>
            </w:r>
          </w:p>
        </w:tc>
        <w:tc>
          <w:tcPr>
            <w:tcW w:w="1261" w:type="dxa"/>
            <w:tcBorders>
              <w:top w:val="single" w:sz="2" w:space="0" w:color="auto"/>
              <w:left w:val="single" w:sz="2" w:space="0" w:color="auto"/>
              <w:bottom w:val="single" w:sz="2" w:space="0" w:color="auto"/>
              <w:right w:val="single" w:sz="2" w:space="0" w:color="auto"/>
            </w:tcBorders>
          </w:tcPr>
          <w:p w14:paraId="42957A6A" w14:textId="77777777" w:rsidR="00171726" w:rsidRPr="00DE12A3" w:rsidRDefault="00171726" w:rsidP="00C917D6">
            <w:pPr>
              <w:pStyle w:val="NormalLeft"/>
            </w:pPr>
            <w:r w:rsidRPr="00DE12A3">
              <w:rPr>
                <w:i/>
                <w:iCs/>
              </w:rPr>
              <w:t>T</w:t>
            </w:r>
          </w:p>
        </w:tc>
        <w:tc>
          <w:tcPr>
            <w:tcW w:w="1441" w:type="dxa"/>
            <w:tcBorders>
              <w:top w:val="single" w:sz="2" w:space="0" w:color="auto"/>
              <w:left w:val="single" w:sz="2" w:space="0" w:color="auto"/>
              <w:bottom w:val="single" w:sz="2" w:space="0" w:color="auto"/>
              <w:right w:val="single" w:sz="2" w:space="0" w:color="auto"/>
            </w:tcBorders>
          </w:tcPr>
          <w:p w14:paraId="7B8608A6" w14:textId="77777777" w:rsidR="00171726" w:rsidRPr="00DE12A3" w:rsidRDefault="00171726" w:rsidP="00C917D6">
            <w:pPr>
              <w:pStyle w:val="NormalLeft"/>
            </w:pPr>
            <w:r w:rsidRPr="00DE12A3">
              <w:t>°C</w:t>
            </w:r>
          </w:p>
        </w:tc>
        <w:tc>
          <w:tcPr>
            <w:tcW w:w="5044" w:type="dxa"/>
            <w:tcBorders>
              <w:top w:val="single" w:sz="2" w:space="0" w:color="auto"/>
              <w:left w:val="single" w:sz="2" w:space="0" w:color="auto"/>
              <w:bottom w:val="single" w:sz="2" w:space="0" w:color="auto"/>
              <w:right w:val="single" w:sz="2" w:space="0" w:color="auto"/>
            </w:tcBorders>
          </w:tcPr>
          <w:p w14:paraId="6006C7D5" w14:textId="77777777" w:rsidR="00171726" w:rsidRPr="00DE12A3" w:rsidRDefault="00171726" w:rsidP="00C917D6">
            <w:pPr>
              <w:spacing w:before="120" w:after="120"/>
              <w:rPr>
                <w:rFonts w:cs="Times New Roman"/>
                <w:color w:val="auto"/>
              </w:rPr>
            </w:pPr>
            <w:r w:rsidRPr="00DE12A3">
              <w:rPr>
                <w:rFonts w:cs="Times New Roman"/>
                <w:color w:val="auto"/>
              </w:rPr>
              <w:t>Sıcaklık</w:t>
            </w:r>
          </w:p>
        </w:tc>
      </w:tr>
      <w:tr w:rsidR="00DE12A3" w:rsidRPr="00DE12A3" w14:paraId="04E10BAA" w14:textId="77777777" w:rsidTr="002C23B9">
        <w:tc>
          <w:tcPr>
            <w:tcW w:w="1261" w:type="dxa"/>
            <w:tcBorders>
              <w:top w:val="single" w:sz="2" w:space="0" w:color="auto"/>
              <w:left w:val="single" w:sz="2" w:space="0" w:color="auto"/>
              <w:bottom w:val="single" w:sz="2" w:space="0" w:color="auto"/>
              <w:right w:val="single" w:sz="2" w:space="0" w:color="auto"/>
            </w:tcBorders>
          </w:tcPr>
          <w:p w14:paraId="7FB9FBAA" w14:textId="77777777" w:rsidR="00171726" w:rsidRPr="00DE12A3" w:rsidRDefault="00171726" w:rsidP="00C917D6">
            <w:pPr>
              <w:adjustRightInd w:val="0"/>
              <w:spacing w:before="120" w:after="120"/>
              <w:rPr>
                <w:rFonts w:cs="Times New Roman"/>
                <w:color w:val="auto"/>
              </w:rPr>
            </w:pPr>
          </w:p>
        </w:tc>
        <w:tc>
          <w:tcPr>
            <w:tcW w:w="1261" w:type="dxa"/>
            <w:tcBorders>
              <w:top w:val="single" w:sz="2" w:space="0" w:color="auto"/>
              <w:left w:val="single" w:sz="2" w:space="0" w:color="auto"/>
              <w:bottom w:val="single" w:sz="2" w:space="0" w:color="auto"/>
              <w:right w:val="single" w:sz="2" w:space="0" w:color="auto"/>
            </w:tcBorders>
          </w:tcPr>
          <w:p w14:paraId="1CF8B83F" w14:textId="77777777" w:rsidR="00171726" w:rsidRPr="00DE12A3" w:rsidRDefault="00171726" w:rsidP="00C917D6">
            <w:pPr>
              <w:pStyle w:val="NormalLeft"/>
            </w:pPr>
            <w:r w:rsidRPr="00DE12A3">
              <w:rPr>
                <w:i/>
                <w:iCs/>
              </w:rPr>
              <w:t>T</w:t>
            </w:r>
          </w:p>
        </w:tc>
        <w:tc>
          <w:tcPr>
            <w:tcW w:w="1441" w:type="dxa"/>
            <w:tcBorders>
              <w:top w:val="single" w:sz="2" w:space="0" w:color="auto"/>
              <w:left w:val="single" w:sz="2" w:space="0" w:color="auto"/>
              <w:bottom w:val="single" w:sz="2" w:space="0" w:color="auto"/>
              <w:right w:val="single" w:sz="2" w:space="0" w:color="auto"/>
            </w:tcBorders>
          </w:tcPr>
          <w:p w14:paraId="0CC11CBC" w14:textId="77777777" w:rsidR="00171726" w:rsidRPr="00DE12A3" w:rsidRDefault="00171726" w:rsidP="00C917D6">
            <w:pPr>
              <w:pStyle w:val="NormalLeft"/>
            </w:pPr>
            <w:r w:rsidRPr="00DE12A3">
              <w:t>Nm</w:t>
            </w:r>
          </w:p>
        </w:tc>
        <w:tc>
          <w:tcPr>
            <w:tcW w:w="5044" w:type="dxa"/>
            <w:tcBorders>
              <w:top w:val="single" w:sz="2" w:space="0" w:color="auto"/>
              <w:left w:val="single" w:sz="2" w:space="0" w:color="auto"/>
              <w:bottom w:val="single" w:sz="2" w:space="0" w:color="auto"/>
              <w:right w:val="single" w:sz="2" w:space="0" w:color="auto"/>
            </w:tcBorders>
          </w:tcPr>
          <w:p w14:paraId="67781596" w14:textId="77777777" w:rsidR="00171726" w:rsidRPr="00DE12A3" w:rsidRDefault="00171726" w:rsidP="00C917D6">
            <w:pPr>
              <w:spacing w:before="120" w:after="120"/>
              <w:rPr>
                <w:rFonts w:cs="Times New Roman"/>
                <w:color w:val="auto"/>
              </w:rPr>
            </w:pPr>
            <w:r w:rsidRPr="00DE12A3">
              <w:rPr>
                <w:rFonts w:cs="Times New Roman"/>
                <w:color w:val="auto"/>
              </w:rPr>
              <w:t>Motor torku</w:t>
            </w:r>
          </w:p>
        </w:tc>
      </w:tr>
      <w:tr w:rsidR="00DE12A3" w:rsidRPr="00DE12A3" w14:paraId="319962D1" w14:textId="77777777" w:rsidTr="002C23B9">
        <w:tc>
          <w:tcPr>
            <w:tcW w:w="1261" w:type="dxa"/>
            <w:tcBorders>
              <w:top w:val="single" w:sz="2" w:space="0" w:color="auto"/>
              <w:left w:val="single" w:sz="2" w:space="0" w:color="auto"/>
              <w:bottom w:val="single" w:sz="2" w:space="0" w:color="auto"/>
              <w:right w:val="single" w:sz="2" w:space="0" w:color="auto"/>
            </w:tcBorders>
          </w:tcPr>
          <w:p w14:paraId="48892903" w14:textId="77777777" w:rsidR="00171726" w:rsidRPr="00DE12A3" w:rsidRDefault="00171726" w:rsidP="00C917D6">
            <w:pPr>
              <w:pStyle w:val="NormalLeft"/>
            </w:pPr>
            <w:r w:rsidRPr="00DE12A3">
              <w:rPr>
                <w:i/>
                <w:iCs/>
              </w:rPr>
              <w:t>T</w:t>
            </w:r>
            <w:r w:rsidRPr="00DE12A3">
              <w:rPr>
                <w:vertAlign w:val="subscript"/>
              </w:rPr>
              <w:t>a</w:t>
            </w:r>
          </w:p>
        </w:tc>
        <w:tc>
          <w:tcPr>
            <w:tcW w:w="1261" w:type="dxa"/>
            <w:tcBorders>
              <w:top w:val="single" w:sz="2" w:space="0" w:color="auto"/>
              <w:left w:val="single" w:sz="2" w:space="0" w:color="auto"/>
              <w:bottom w:val="single" w:sz="2" w:space="0" w:color="auto"/>
              <w:right w:val="single" w:sz="2" w:space="0" w:color="auto"/>
            </w:tcBorders>
          </w:tcPr>
          <w:p w14:paraId="50F73107" w14:textId="77777777" w:rsidR="00171726" w:rsidRPr="00DE12A3" w:rsidRDefault="00171726" w:rsidP="00C917D6">
            <w:pPr>
              <w:pStyle w:val="NormalLeft"/>
            </w:pPr>
          </w:p>
        </w:tc>
        <w:tc>
          <w:tcPr>
            <w:tcW w:w="1441" w:type="dxa"/>
            <w:tcBorders>
              <w:top w:val="single" w:sz="2" w:space="0" w:color="auto"/>
              <w:left w:val="single" w:sz="2" w:space="0" w:color="auto"/>
              <w:bottom w:val="single" w:sz="2" w:space="0" w:color="auto"/>
              <w:right w:val="single" w:sz="2" w:space="0" w:color="auto"/>
            </w:tcBorders>
          </w:tcPr>
          <w:p w14:paraId="3620CAB0" w14:textId="77777777" w:rsidR="00171726" w:rsidRPr="00DE12A3" w:rsidRDefault="00171726" w:rsidP="00C917D6">
            <w:pPr>
              <w:pStyle w:val="NormalLeft"/>
            </w:pPr>
            <w:r w:rsidRPr="00DE12A3">
              <w:t>K</w:t>
            </w:r>
          </w:p>
        </w:tc>
        <w:tc>
          <w:tcPr>
            <w:tcW w:w="5044" w:type="dxa"/>
            <w:tcBorders>
              <w:top w:val="single" w:sz="2" w:space="0" w:color="auto"/>
              <w:left w:val="single" w:sz="2" w:space="0" w:color="auto"/>
              <w:bottom w:val="single" w:sz="2" w:space="0" w:color="auto"/>
              <w:right w:val="single" w:sz="2" w:space="0" w:color="auto"/>
            </w:tcBorders>
          </w:tcPr>
          <w:p w14:paraId="230C800E" w14:textId="77777777" w:rsidR="00171726" w:rsidRPr="00DE12A3" w:rsidRDefault="00171726" w:rsidP="00C917D6">
            <w:pPr>
              <w:spacing w:before="120" w:after="120"/>
              <w:rPr>
                <w:rFonts w:cs="Times New Roman"/>
                <w:color w:val="auto"/>
              </w:rPr>
            </w:pPr>
            <w:r w:rsidRPr="00DE12A3">
              <w:rPr>
                <w:rFonts w:cs="Times New Roman"/>
                <w:color w:val="auto"/>
              </w:rPr>
              <w:t>Mutlak sıcaklık</w:t>
            </w:r>
          </w:p>
        </w:tc>
      </w:tr>
      <w:tr w:rsidR="00DE12A3" w:rsidRPr="00DE12A3" w14:paraId="75053587" w14:textId="77777777" w:rsidTr="002C23B9">
        <w:tc>
          <w:tcPr>
            <w:tcW w:w="1261" w:type="dxa"/>
            <w:tcBorders>
              <w:top w:val="single" w:sz="2" w:space="0" w:color="auto"/>
              <w:left w:val="single" w:sz="2" w:space="0" w:color="auto"/>
              <w:bottom w:val="single" w:sz="2" w:space="0" w:color="auto"/>
              <w:right w:val="single" w:sz="2" w:space="0" w:color="auto"/>
            </w:tcBorders>
          </w:tcPr>
          <w:p w14:paraId="6470BB93" w14:textId="77777777" w:rsidR="00171726" w:rsidRPr="00DE12A3" w:rsidRDefault="00171726" w:rsidP="00C917D6">
            <w:pPr>
              <w:pStyle w:val="NormalLeft"/>
            </w:pPr>
            <w:r w:rsidRPr="00DE12A3">
              <w:rPr>
                <w:i/>
                <w:iCs/>
              </w:rPr>
              <w:t>t</w:t>
            </w:r>
          </w:p>
        </w:tc>
        <w:tc>
          <w:tcPr>
            <w:tcW w:w="1261" w:type="dxa"/>
            <w:tcBorders>
              <w:top w:val="single" w:sz="2" w:space="0" w:color="auto"/>
              <w:left w:val="single" w:sz="2" w:space="0" w:color="auto"/>
              <w:bottom w:val="single" w:sz="2" w:space="0" w:color="auto"/>
              <w:right w:val="single" w:sz="2" w:space="0" w:color="auto"/>
            </w:tcBorders>
          </w:tcPr>
          <w:p w14:paraId="53D8D376" w14:textId="77777777" w:rsidR="00171726" w:rsidRPr="00DE12A3" w:rsidRDefault="00171726" w:rsidP="00C917D6">
            <w:pPr>
              <w:pStyle w:val="NormalLeft"/>
            </w:pPr>
            <w:r w:rsidRPr="00DE12A3">
              <w:rPr>
                <w:i/>
                <w:iCs/>
              </w:rPr>
              <w:t>t</w:t>
            </w:r>
          </w:p>
        </w:tc>
        <w:tc>
          <w:tcPr>
            <w:tcW w:w="1441" w:type="dxa"/>
            <w:tcBorders>
              <w:top w:val="single" w:sz="2" w:space="0" w:color="auto"/>
              <w:left w:val="single" w:sz="2" w:space="0" w:color="auto"/>
              <w:bottom w:val="single" w:sz="2" w:space="0" w:color="auto"/>
              <w:right w:val="single" w:sz="2" w:space="0" w:color="auto"/>
            </w:tcBorders>
          </w:tcPr>
          <w:p w14:paraId="403546A2" w14:textId="77777777" w:rsidR="00171726" w:rsidRPr="00DE12A3" w:rsidRDefault="00171726" w:rsidP="00C917D6">
            <w:pPr>
              <w:pStyle w:val="NormalLeft"/>
            </w:pPr>
            <w:r w:rsidRPr="00DE12A3">
              <w:t>s</w:t>
            </w:r>
          </w:p>
        </w:tc>
        <w:tc>
          <w:tcPr>
            <w:tcW w:w="5044" w:type="dxa"/>
            <w:tcBorders>
              <w:top w:val="single" w:sz="2" w:space="0" w:color="auto"/>
              <w:left w:val="single" w:sz="2" w:space="0" w:color="auto"/>
              <w:bottom w:val="single" w:sz="2" w:space="0" w:color="auto"/>
              <w:right w:val="single" w:sz="2" w:space="0" w:color="auto"/>
            </w:tcBorders>
          </w:tcPr>
          <w:p w14:paraId="56E39CDA" w14:textId="77777777" w:rsidR="00171726" w:rsidRPr="00DE12A3" w:rsidRDefault="00171726" w:rsidP="00C917D6">
            <w:pPr>
              <w:spacing w:before="120" w:after="120"/>
              <w:rPr>
                <w:rFonts w:cs="Times New Roman"/>
                <w:color w:val="auto"/>
              </w:rPr>
            </w:pPr>
            <w:r w:rsidRPr="00DE12A3">
              <w:rPr>
                <w:rFonts w:cs="Times New Roman"/>
                <w:color w:val="auto"/>
              </w:rPr>
              <w:t>Zaman</w:t>
            </w:r>
          </w:p>
        </w:tc>
      </w:tr>
      <w:tr w:rsidR="00DE12A3" w:rsidRPr="00DE12A3" w14:paraId="1EDB4522" w14:textId="77777777" w:rsidTr="002C23B9">
        <w:tc>
          <w:tcPr>
            <w:tcW w:w="1261" w:type="dxa"/>
            <w:tcBorders>
              <w:top w:val="single" w:sz="2" w:space="0" w:color="auto"/>
              <w:left w:val="single" w:sz="2" w:space="0" w:color="auto"/>
              <w:bottom w:val="single" w:sz="2" w:space="0" w:color="auto"/>
              <w:right w:val="single" w:sz="2" w:space="0" w:color="auto"/>
            </w:tcBorders>
          </w:tcPr>
          <w:p w14:paraId="63E3702E" w14:textId="77777777" w:rsidR="00171726" w:rsidRPr="00DE12A3" w:rsidRDefault="00171726" w:rsidP="00C917D6">
            <w:pPr>
              <w:pStyle w:val="NormalLeft"/>
            </w:pPr>
            <w:r w:rsidRPr="00DE12A3">
              <w:t>Δ</w:t>
            </w:r>
            <w:r w:rsidRPr="00DE12A3">
              <w:rPr>
                <w:i/>
                <w:iCs/>
              </w:rPr>
              <w:t>t</w:t>
            </w:r>
          </w:p>
        </w:tc>
        <w:tc>
          <w:tcPr>
            <w:tcW w:w="1261" w:type="dxa"/>
            <w:tcBorders>
              <w:top w:val="single" w:sz="2" w:space="0" w:color="auto"/>
              <w:left w:val="single" w:sz="2" w:space="0" w:color="auto"/>
              <w:bottom w:val="single" w:sz="2" w:space="0" w:color="auto"/>
              <w:right w:val="single" w:sz="2" w:space="0" w:color="auto"/>
            </w:tcBorders>
          </w:tcPr>
          <w:p w14:paraId="27538388" w14:textId="77777777" w:rsidR="00171726" w:rsidRPr="00DE12A3" w:rsidRDefault="00171726" w:rsidP="00C917D6">
            <w:pPr>
              <w:pStyle w:val="NormalLeft"/>
            </w:pPr>
            <w:r w:rsidRPr="00DE12A3">
              <w:t>Δ</w:t>
            </w:r>
            <w:r w:rsidRPr="00DE12A3">
              <w:rPr>
                <w:i/>
                <w:iCs/>
              </w:rPr>
              <w:t>t</w:t>
            </w:r>
          </w:p>
        </w:tc>
        <w:tc>
          <w:tcPr>
            <w:tcW w:w="1441" w:type="dxa"/>
            <w:tcBorders>
              <w:top w:val="single" w:sz="2" w:space="0" w:color="auto"/>
              <w:left w:val="single" w:sz="2" w:space="0" w:color="auto"/>
              <w:bottom w:val="single" w:sz="2" w:space="0" w:color="auto"/>
              <w:right w:val="single" w:sz="2" w:space="0" w:color="auto"/>
            </w:tcBorders>
          </w:tcPr>
          <w:p w14:paraId="49E9C4AF" w14:textId="77777777" w:rsidR="00171726" w:rsidRPr="00DE12A3" w:rsidRDefault="00171726" w:rsidP="00C917D6">
            <w:pPr>
              <w:pStyle w:val="NormalLeft"/>
            </w:pPr>
            <w:r w:rsidRPr="00DE12A3">
              <w:t>s</w:t>
            </w:r>
          </w:p>
        </w:tc>
        <w:tc>
          <w:tcPr>
            <w:tcW w:w="5044" w:type="dxa"/>
            <w:tcBorders>
              <w:top w:val="single" w:sz="2" w:space="0" w:color="auto"/>
              <w:left w:val="single" w:sz="2" w:space="0" w:color="auto"/>
              <w:bottom w:val="single" w:sz="2" w:space="0" w:color="auto"/>
              <w:right w:val="single" w:sz="2" w:space="0" w:color="auto"/>
            </w:tcBorders>
          </w:tcPr>
          <w:p w14:paraId="282B43F8" w14:textId="77777777" w:rsidR="00171726" w:rsidRPr="00DE12A3" w:rsidRDefault="00171726" w:rsidP="00C917D6">
            <w:pPr>
              <w:spacing w:before="120" w:after="120"/>
              <w:rPr>
                <w:rFonts w:cs="Times New Roman"/>
                <w:color w:val="auto"/>
              </w:rPr>
            </w:pPr>
            <w:r w:rsidRPr="00DE12A3">
              <w:rPr>
                <w:rFonts w:cs="Times New Roman"/>
                <w:color w:val="auto"/>
              </w:rPr>
              <w:t>Zaman aralığı</w:t>
            </w:r>
          </w:p>
        </w:tc>
      </w:tr>
      <w:tr w:rsidR="00DE12A3" w:rsidRPr="00DE12A3" w14:paraId="366A9A7E" w14:textId="77777777" w:rsidTr="002C23B9">
        <w:tc>
          <w:tcPr>
            <w:tcW w:w="1261" w:type="dxa"/>
            <w:tcBorders>
              <w:top w:val="single" w:sz="2" w:space="0" w:color="auto"/>
              <w:left w:val="single" w:sz="2" w:space="0" w:color="auto"/>
              <w:bottom w:val="single" w:sz="2" w:space="0" w:color="auto"/>
              <w:right w:val="single" w:sz="2" w:space="0" w:color="auto"/>
            </w:tcBorders>
          </w:tcPr>
          <w:p w14:paraId="5CF7DA21" w14:textId="77777777" w:rsidR="00171726" w:rsidRPr="00DE12A3" w:rsidRDefault="00171726" w:rsidP="00C917D6">
            <w:pPr>
              <w:pStyle w:val="NormalLeft"/>
            </w:pPr>
            <w:r w:rsidRPr="00DE12A3">
              <w:rPr>
                <w:i/>
                <w:iCs/>
              </w:rPr>
              <w:t>u</w:t>
            </w:r>
          </w:p>
        </w:tc>
        <w:tc>
          <w:tcPr>
            <w:tcW w:w="1261" w:type="dxa"/>
            <w:tcBorders>
              <w:top w:val="single" w:sz="2" w:space="0" w:color="auto"/>
              <w:left w:val="single" w:sz="2" w:space="0" w:color="auto"/>
              <w:bottom w:val="single" w:sz="2" w:space="0" w:color="auto"/>
              <w:right w:val="single" w:sz="2" w:space="0" w:color="auto"/>
            </w:tcBorders>
          </w:tcPr>
          <w:p w14:paraId="2B780758" w14:textId="77777777" w:rsidR="00171726" w:rsidRPr="00DE12A3" w:rsidRDefault="00171726" w:rsidP="00C917D6">
            <w:pPr>
              <w:pStyle w:val="NormalLeft"/>
            </w:pPr>
          </w:p>
        </w:tc>
        <w:tc>
          <w:tcPr>
            <w:tcW w:w="1441" w:type="dxa"/>
            <w:tcBorders>
              <w:top w:val="single" w:sz="2" w:space="0" w:color="auto"/>
              <w:left w:val="single" w:sz="2" w:space="0" w:color="auto"/>
              <w:bottom w:val="single" w:sz="2" w:space="0" w:color="auto"/>
              <w:right w:val="single" w:sz="2" w:space="0" w:color="auto"/>
            </w:tcBorders>
          </w:tcPr>
          <w:p w14:paraId="36BE8F44" w14:textId="77777777" w:rsidR="00171726" w:rsidRPr="00DE12A3" w:rsidRDefault="00171726" w:rsidP="00C917D6">
            <w:pPr>
              <w:pStyle w:val="NormalLeft"/>
            </w:pPr>
            <w:r w:rsidRPr="00DE12A3">
              <w:t>—</w:t>
            </w:r>
          </w:p>
        </w:tc>
        <w:tc>
          <w:tcPr>
            <w:tcW w:w="5044" w:type="dxa"/>
            <w:tcBorders>
              <w:top w:val="single" w:sz="2" w:space="0" w:color="auto"/>
              <w:left w:val="single" w:sz="2" w:space="0" w:color="auto"/>
              <w:bottom w:val="single" w:sz="2" w:space="0" w:color="auto"/>
              <w:right w:val="single" w:sz="2" w:space="0" w:color="auto"/>
            </w:tcBorders>
          </w:tcPr>
          <w:p w14:paraId="478AE471" w14:textId="77777777" w:rsidR="00171726" w:rsidRPr="00DE12A3" w:rsidRDefault="00171726" w:rsidP="00C917D6">
            <w:pPr>
              <w:spacing w:before="120" w:after="120"/>
              <w:rPr>
                <w:rFonts w:cs="Times New Roman"/>
                <w:color w:val="auto"/>
              </w:rPr>
            </w:pPr>
            <w:r w:rsidRPr="00DE12A3">
              <w:rPr>
                <w:rFonts w:cs="Times New Roman"/>
                <w:color w:val="auto"/>
              </w:rPr>
              <w:t>Gaz bileşen ve egzoz gazı yoğunlukları arasındaki oran</w:t>
            </w:r>
          </w:p>
        </w:tc>
      </w:tr>
      <w:tr w:rsidR="00DE12A3" w:rsidRPr="00DE12A3" w14:paraId="03764715" w14:textId="77777777" w:rsidTr="002C23B9">
        <w:tc>
          <w:tcPr>
            <w:tcW w:w="1261" w:type="dxa"/>
            <w:tcBorders>
              <w:top w:val="single" w:sz="2" w:space="0" w:color="auto"/>
              <w:left w:val="single" w:sz="2" w:space="0" w:color="auto"/>
              <w:bottom w:val="single" w:sz="2" w:space="0" w:color="auto"/>
              <w:right w:val="single" w:sz="2" w:space="0" w:color="auto"/>
            </w:tcBorders>
          </w:tcPr>
          <w:p w14:paraId="32B5ACA4" w14:textId="77777777" w:rsidR="00171726" w:rsidRPr="00DE12A3" w:rsidRDefault="00171726" w:rsidP="00C917D6">
            <w:pPr>
              <w:pStyle w:val="NormalLeft"/>
            </w:pPr>
            <w:r w:rsidRPr="00DE12A3">
              <w:rPr>
                <w:i/>
                <w:iCs/>
              </w:rPr>
              <w:t>V</w:t>
            </w:r>
          </w:p>
        </w:tc>
        <w:tc>
          <w:tcPr>
            <w:tcW w:w="1261" w:type="dxa"/>
            <w:tcBorders>
              <w:top w:val="single" w:sz="2" w:space="0" w:color="auto"/>
              <w:left w:val="single" w:sz="2" w:space="0" w:color="auto"/>
              <w:bottom w:val="single" w:sz="2" w:space="0" w:color="auto"/>
              <w:right w:val="single" w:sz="2" w:space="0" w:color="auto"/>
            </w:tcBorders>
          </w:tcPr>
          <w:p w14:paraId="7EACD362" w14:textId="77777777" w:rsidR="00171726" w:rsidRPr="00DE12A3" w:rsidRDefault="00171726" w:rsidP="00C917D6">
            <w:pPr>
              <w:pStyle w:val="NormalLeft"/>
            </w:pPr>
            <w:r w:rsidRPr="00DE12A3">
              <w:rPr>
                <w:i/>
                <w:iCs/>
              </w:rPr>
              <w:t>V</w:t>
            </w:r>
          </w:p>
        </w:tc>
        <w:tc>
          <w:tcPr>
            <w:tcW w:w="1441" w:type="dxa"/>
            <w:tcBorders>
              <w:top w:val="single" w:sz="2" w:space="0" w:color="auto"/>
              <w:left w:val="single" w:sz="2" w:space="0" w:color="auto"/>
              <w:bottom w:val="single" w:sz="2" w:space="0" w:color="auto"/>
              <w:right w:val="single" w:sz="2" w:space="0" w:color="auto"/>
            </w:tcBorders>
          </w:tcPr>
          <w:p w14:paraId="47366591" w14:textId="77777777" w:rsidR="00171726" w:rsidRPr="00DE12A3" w:rsidRDefault="00171726" w:rsidP="00C917D6">
            <w:pPr>
              <w:pStyle w:val="NormalLeft"/>
            </w:pPr>
            <w:r w:rsidRPr="00DE12A3">
              <w:t>m</w:t>
            </w:r>
            <w:r w:rsidRPr="00DE12A3">
              <w:rPr>
                <w:vertAlign w:val="superscript"/>
              </w:rPr>
              <w:t>3</w:t>
            </w:r>
          </w:p>
        </w:tc>
        <w:tc>
          <w:tcPr>
            <w:tcW w:w="5044" w:type="dxa"/>
            <w:tcBorders>
              <w:top w:val="single" w:sz="2" w:space="0" w:color="auto"/>
              <w:left w:val="single" w:sz="2" w:space="0" w:color="auto"/>
              <w:bottom w:val="single" w:sz="2" w:space="0" w:color="auto"/>
              <w:right w:val="single" w:sz="2" w:space="0" w:color="auto"/>
            </w:tcBorders>
          </w:tcPr>
          <w:p w14:paraId="0CE33509" w14:textId="77777777" w:rsidR="00171726" w:rsidRPr="00DE12A3" w:rsidRDefault="00171726" w:rsidP="00C917D6">
            <w:pPr>
              <w:spacing w:before="120" w:after="120"/>
              <w:rPr>
                <w:rFonts w:cs="Times New Roman"/>
                <w:color w:val="auto"/>
              </w:rPr>
            </w:pPr>
            <w:r w:rsidRPr="00DE12A3">
              <w:rPr>
                <w:rFonts w:cs="Times New Roman"/>
                <w:color w:val="auto"/>
              </w:rPr>
              <w:t>Hacim</w:t>
            </w:r>
          </w:p>
        </w:tc>
      </w:tr>
      <w:tr w:rsidR="00DE12A3" w:rsidRPr="00DE12A3" w14:paraId="1E3EF028" w14:textId="77777777" w:rsidTr="002C23B9">
        <w:tc>
          <w:tcPr>
            <w:tcW w:w="1261" w:type="dxa"/>
            <w:tcBorders>
              <w:top w:val="single" w:sz="2" w:space="0" w:color="auto"/>
              <w:left w:val="single" w:sz="2" w:space="0" w:color="auto"/>
              <w:bottom w:val="single" w:sz="2" w:space="0" w:color="auto"/>
              <w:right w:val="single" w:sz="2" w:space="0" w:color="auto"/>
            </w:tcBorders>
          </w:tcPr>
          <w:p w14:paraId="6B919591" w14:textId="77777777" w:rsidR="00171726" w:rsidRPr="00DE12A3" w:rsidRDefault="00171726" w:rsidP="00C917D6">
            <w:pPr>
              <w:pStyle w:val="NormalLeft"/>
            </w:pPr>
            <w:r w:rsidRPr="00DE12A3">
              <w:rPr>
                <w:i/>
                <w:iCs/>
              </w:rPr>
              <w:t>q</w:t>
            </w:r>
            <w:r w:rsidRPr="00DE12A3">
              <w:rPr>
                <w:i/>
                <w:iCs/>
                <w:vertAlign w:val="subscript"/>
              </w:rPr>
              <w:t>V</w:t>
            </w:r>
          </w:p>
        </w:tc>
        <w:tc>
          <w:tcPr>
            <w:tcW w:w="1261" w:type="dxa"/>
            <w:tcBorders>
              <w:top w:val="single" w:sz="2" w:space="0" w:color="auto"/>
              <w:left w:val="single" w:sz="2" w:space="0" w:color="auto"/>
              <w:bottom w:val="single" w:sz="2" w:space="0" w:color="auto"/>
              <w:right w:val="single" w:sz="2" w:space="0" w:color="auto"/>
            </w:tcBorders>
          </w:tcPr>
          <w:p w14:paraId="4B23CA92" w14:textId="77777777" w:rsidR="00171726" w:rsidRPr="00DE12A3" w:rsidRDefault="00171726" w:rsidP="00C917D6">
            <w:pPr>
              <w:pStyle w:val="NormalLeft"/>
            </w:pPr>
            <w:r w:rsidRPr="00DE12A3">
              <w:rPr>
                <w:i/>
                <w:iCs/>
              </w:rPr>
              <w:t>V̇</w:t>
            </w:r>
          </w:p>
        </w:tc>
        <w:tc>
          <w:tcPr>
            <w:tcW w:w="1441" w:type="dxa"/>
            <w:tcBorders>
              <w:top w:val="single" w:sz="2" w:space="0" w:color="auto"/>
              <w:left w:val="single" w:sz="2" w:space="0" w:color="auto"/>
              <w:bottom w:val="single" w:sz="2" w:space="0" w:color="auto"/>
              <w:right w:val="single" w:sz="2" w:space="0" w:color="auto"/>
            </w:tcBorders>
          </w:tcPr>
          <w:p w14:paraId="371F1649" w14:textId="77777777" w:rsidR="00171726" w:rsidRPr="00DE12A3" w:rsidRDefault="00171726" w:rsidP="00C917D6">
            <w:pPr>
              <w:pStyle w:val="NormalLeft"/>
            </w:pPr>
            <w:r w:rsidRPr="00DE12A3">
              <w:t>m</w:t>
            </w:r>
            <w:r w:rsidRPr="00DE12A3">
              <w:rPr>
                <w:vertAlign w:val="superscript"/>
              </w:rPr>
              <w:t>3</w:t>
            </w:r>
            <w:r w:rsidRPr="00DE12A3">
              <w:t>/s</w:t>
            </w:r>
          </w:p>
        </w:tc>
        <w:tc>
          <w:tcPr>
            <w:tcW w:w="5044" w:type="dxa"/>
            <w:tcBorders>
              <w:top w:val="single" w:sz="2" w:space="0" w:color="auto"/>
              <w:left w:val="single" w:sz="2" w:space="0" w:color="auto"/>
              <w:bottom w:val="single" w:sz="2" w:space="0" w:color="auto"/>
              <w:right w:val="single" w:sz="2" w:space="0" w:color="auto"/>
            </w:tcBorders>
          </w:tcPr>
          <w:p w14:paraId="3EA6C0CB" w14:textId="77777777" w:rsidR="00171726" w:rsidRPr="00DE12A3" w:rsidRDefault="00171726" w:rsidP="00C917D6">
            <w:pPr>
              <w:spacing w:before="120" w:after="120"/>
              <w:rPr>
                <w:rFonts w:cs="Times New Roman"/>
                <w:color w:val="auto"/>
              </w:rPr>
            </w:pPr>
            <w:r w:rsidRPr="00DE12A3">
              <w:rPr>
                <w:rFonts w:cs="Times New Roman"/>
                <w:color w:val="auto"/>
              </w:rPr>
              <w:t>Hacim oranı</w:t>
            </w:r>
          </w:p>
        </w:tc>
      </w:tr>
      <w:tr w:rsidR="00DE12A3" w:rsidRPr="00DE12A3" w14:paraId="13CA0A87" w14:textId="77777777" w:rsidTr="002C23B9">
        <w:tc>
          <w:tcPr>
            <w:tcW w:w="1261" w:type="dxa"/>
            <w:tcBorders>
              <w:top w:val="single" w:sz="2" w:space="0" w:color="auto"/>
              <w:left w:val="single" w:sz="2" w:space="0" w:color="auto"/>
              <w:bottom w:val="single" w:sz="2" w:space="0" w:color="auto"/>
              <w:right w:val="single" w:sz="2" w:space="0" w:color="auto"/>
            </w:tcBorders>
          </w:tcPr>
          <w:p w14:paraId="6F900226" w14:textId="77777777" w:rsidR="00171726" w:rsidRPr="00DE12A3" w:rsidRDefault="00171726" w:rsidP="00C917D6">
            <w:pPr>
              <w:pStyle w:val="NormalLeft"/>
            </w:pPr>
            <w:r w:rsidRPr="00DE12A3">
              <w:rPr>
                <w:i/>
                <w:iCs/>
              </w:rPr>
              <w:t>V</w:t>
            </w:r>
            <w:r w:rsidRPr="00DE12A3">
              <w:rPr>
                <w:vertAlign w:val="subscript"/>
              </w:rPr>
              <w:t>0</w:t>
            </w:r>
          </w:p>
        </w:tc>
        <w:tc>
          <w:tcPr>
            <w:tcW w:w="1261" w:type="dxa"/>
            <w:tcBorders>
              <w:top w:val="single" w:sz="2" w:space="0" w:color="auto"/>
              <w:left w:val="single" w:sz="2" w:space="0" w:color="auto"/>
              <w:bottom w:val="single" w:sz="2" w:space="0" w:color="auto"/>
              <w:right w:val="single" w:sz="2" w:space="0" w:color="auto"/>
            </w:tcBorders>
          </w:tcPr>
          <w:p w14:paraId="02AF60EC" w14:textId="77777777" w:rsidR="00171726" w:rsidRPr="00DE12A3" w:rsidRDefault="00171726" w:rsidP="00C917D6">
            <w:pPr>
              <w:pStyle w:val="NormalLeft"/>
            </w:pPr>
          </w:p>
        </w:tc>
        <w:tc>
          <w:tcPr>
            <w:tcW w:w="1441" w:type="dxa"/>
            <w:tcBorders>
              <w:top w:val="single" w:sz="2" w:space="0" w:color="auto"/>
              <w:left w:val="single" w:sz="2" w:space="0" w:color="auto"/>
              <w:bottom w:val="single" w:sz="2" w:space="0" w:color="auto"/>
              <w:right w:val="single" w:sz="2" w:space="0" w:color="auto"/>
            </w:tcBorders>
          </w:tcPr>
          <w:p w14:paraId="1D25ED9E" w14:textId="77777777" w:rsidR="00171726" w:rsidRPr="00DE12A3" w:rsidRDefault="00171726" w:rsidP="00C917D6">
            <w:pPr>
              <w:pStyle w:val="NormalLeft"/>
            </w:pPr>
            <w:r w:rsidRPr="00DE12A3">
              <w:t>m</w:t>
            </w:r>
            <w:r w:rsidRPr="00DE12A3">
              <w:rPr>
                <w:vertAlign w:val="superscript"/>
              </w:rPr>
              <w:t>3</w:t>
            </w:r>
            <w:r w:rsidRPr="00DE12A3">
              <w:t>/r</w:t>
            </w:r>
          </w:p>
        </w:tc>
        <w:tc>
          <w:tcPr>
            <w:tcW w:w="5044" w:type="dxa"/>
            <w:tcBorders>
              <w:top w:val="single" w:sz="2" w:space="0" w:color="auto"/>
              <w:left w:val="single" w:sz="2" w:space="0" w:color="auto"/>
              <w:bottom w:val="single" w:sz="2" w:space="0" w:color="auto"/>
              <w:right w:val="single" w:sz="2" w:space="0" w:color="auto"/>
            </w:tcBorders>
          </w:tcPr>
          <w:p w14:paraId="53197C80" w14:textId="77777777" w:rsidR="00171726" w:rsidRPr="00DE12A3" w:rsidRDefault="00171726" w:rsidP="00C917D6">
            <w:pPr>
              <w:spacing w:before="120" w:after="120"/>
              <w:rPr>
                <w:rFonts w:cs="Times New Roman"/>
                <w:color w:val="auto"/>
              </w:rPr>
            </w:pPr>
            <w:r w:rsidRPr="00DE12A3">
              <w:rPr>
                <w:rFonts w:cs="Times New Roman"/>
                <w:color w:val="auto"/>
              </w:rPr>
              <w:t>Devir başına pompalanan PDP gaz hacmi</w:t>
            </w:r>
          </w:p>
        </w:tc>
      </w:tr>
      <w:tr w:rsidR="00DE12A3" w:rsidRPr="00DE12A3" w14:paraId="742E87CE" w14:textId="77777777" w:rsidTr="002C23B9">
        <w:tc>
          <w:tcPr>
            <w:tcW w:w="1261" w:type="dxa"/>
            <w:tcBorders>
              <w:top w:val="single" w:sz="2" w:space="0" w:color="auto"/>
              <w:left w:val="single" w:sz="2" w:space="0" w:color="auto"/>
              <w:bottom w:val="single" w:sz="2" w:space="0" w:color="auto"/>
              <w:right w:val="single" w:sz="2" w:space="0" w:color="auto"/>
            </w:tcBorders>
          </w:tcPr>
          <w:p w14:paraId="49029038" w14:textId="77777777" w:rsidR="00171726" w:rsidRPr="00DE12A3" w:rsidRDefault="00171726" w:rsidP="00C917D6">
            <w:pPr>
              <w:pStyle w:val="NormalLeft"/>
            </w:pPr>
            <w:r w:rsidRPr="00DE12A3">
              <w:rPr>
                <w:i/>
                <w:iCs/>
              </w:rPr>
              <w:t>W</w:t>
            </w:r>
          </w:p>
        </w:tc>
        <w:tc>
          <w:tcPr>
            <w:tcW w:w="1261" w:type="dxa"/>
            <w:tcBorders>
              <w:top w:val="single" w:sz="2" w:space="0" w:color="auto"/>
              <w:left w:val="single" w:sz="2" w:space="0" w:color="auto"/>
              <w:bottom w:val="single" w:sz="2" w:space="0" w:color="auto"/>
              <w:right w:val="single" w:sz="2" w:space="0" w:color="auto"/>
            </w:tcBorders>
          </w:tcPr>
          <w:p w14:paraId="02639082" w14:textId="77777777" w:rsidR="00171726" w:rsidRPr="00DE12A3" w:rsidRDefault="00171726" w:rsidP="00C917D6">
            <w:pPr>
              <w:pStyle w:val="NormalLeft"/>
            </w:pPr>
            <w:r w:rsidRPr="00DE12A3">
              <w:rPr>
                <w:i/>
                <w:iCs/>
              </w:rPr>
              <w:t>W</w:t>
            </w:r>
          </w:p>
        </w:tc>
        <w:tc>
          <w:tcPr>
            <w:tcW w:w="1441" w:type="dxa"/>
            <w:tcBorders>
              <w:top w:val="single" w:sz="2" w:space="0" w:color="auto"/>
              <w:left w:val="single" w:sz="2" w:space="0" w:color="auto"/>
              <w:bottom w:val="single" w:sz="2" w:space="0" w:color="auto"/>
              <w:right w:val="single" w:sz="2" w:space="0" w:color="auto"/>
            </w:tcBorders>
          </w:tcPr>
          <w:p w14:paraId="40AB8EBD" w14:textId="77777777" w:rsidR="00171726" w:rsidRPr="00DE12A3" w:rsidRDefault="00171726" w:rsidP="00C917D6">
            <w:pPr>
              <w:pStyle w:val="NormalLeft"/>
            </w:pPr>
            <w:r w:rsidRPr="00DE12A3">
              <w:t>kWh</w:t>
            </w:r>
          </w:p>
        </w:tc>
        <w:tc>
          <w:tcPr>
            <w:tcW w:w="5044" w:type="dxa"/>
            <w:tcBorders>
              <w:top w:val="single" w:sz="2" w:space="0" w:color="auto"/>
              <w:left w:val="single" w:sz="2" w:space="0" w:color="auto"/>
              <w:bottom w:val="single" w:sz="2" w:space="0" w:color="auto"/>
              <w:right w:val="single" w:sz="2" w:space="0" w:color="auto"/>
            </w:tcBorders>
          </w:tcPr>
          <w:p w14:paraId="108FB564" w14:textId="77777777" w:rsidR="00171726" w:rsidRPr="00DE12A3" w:rsidRDefault="00171726" w:rsidP="00C917D6">
            <w:pPr>
              <w:spacing w:before="120" w:after="120"/>
              <w:rPr>
                <w:rFonts w:cs="Times New Roman"/>
                <w:color w:val="auto"/>
              </w:rPr>
            </w:pPr>
            <w:r w:rsidRPr="00DE12A3">
              <w:rPr>
                <w:rFonts w:cs="Times New Roman"/>
                <w:color w:val="auto"/>
              </w:rPr>
              <w:t>Çalışma</w:t>
            </w:r>
          </w:p>
        </w:tc>
      </w:tr>
      <w:tr w:rsidR="00DE12A3" w:rsidRPr="00DE12A3" w14:paraId="57243845" w14:textId="77777777" w:rsidTr="002C23B9">
        <w:tc>
          <w:tcPr>
            <w:tcW w:w="1261" w:type="dxa"/>
            <w:tcBorders>
              <w:top w:val="single" w:sz="2" w:space="0" w:color="auto"/>
              <w:left w:val="single" w:sz="2" w:space="0" w:color="auto"/>
              <w:bottom w:val="single" w:sz="2" w:space="0" w:color="auto"/>
              <w:right w:val="single" w:sz="2" w:space="0" w:color="auto"/>
            </w:tcBorders>
          </w:tcPr>
          <w:p w14:paraId="381CD8CE" w14:textId="77777777" w:rsidR="00171726" w:rsidRPr="00DE12A3" w:rsidRDefault="00171726" w:rsidP="00C917D6">
            <w:pPr>
              <w:pStyle w:val="NormalLeft"/>
            </w:pPr>
            <w:r w:rsidRPr="00DE12A3">
              <w:rPr>
                <w:i/>
                <w:iCs/>
              </w:rPr>
              <w:t>W</w:t>
            </w:r>
            <w:r w:rsidRPr="00DE12A3">
              <w:rPr>
                <w:vertAlign w:val="subscript"/>
              </w:rPr>
              <w:t>act</w:t>
            </w:r>
          </w:p>
        </w:tc>
        <w:tc>
          <w:tcPr>
            <w:tcW w:w="1261" w:type="dxa"/>
            <w:tcBorders>
              <w:top w:val="single" w:sz="2" w:space="0" w:color="auto"/>
              <w:left w:val="single" w:sz="2" w:space="0" w:color="auto"/>
              <w:bottom w:val="single" w:sz="2" w:space="0" w:color="auto"/>
              <w:right w:val="single" w:sz="2" w:space="0" w:color="auto"/>
            </w:tcBorders>
          </w:tcPr>
          <w:p w14:paraId="45B63120" w14:textId="77777777" w:rsidR="00171726" w:rsidRPr="00DE12A3" w:rsidRDefault="00171726" w:rsidP="00C917D6">
            <w:pPr>
              <w:pStyle w:val="NormalLeft"/>
            </w:pPr>
            <w:r w:rsidRPr="00DE12A3">
              <w:rPr>
                <w:i/>
                <w:iCs/>
              </w:rPr>
              <w:t>W</w:t>
            </w:r>
            <w:r w:rsidRPr="00DE12A3">
              <w:rPr>
                <w:vertAlign w:val="subscript"/>
              </w:rPr>
              <w:t>act</w:t>
            </w:r>
          </w:p>
        </w:tc>
        <w:tc>
          <w:tcPr>
            <w:tcW w:w="1441" w:type="dxa"/>
            <w:tcBorders>
              <w:top w:val="single" w:sz="2" w:space="0" w:color="auto"/>
              <w:left w:val="single" w:sz="2" w:space="0" w:color="auto"/>
              <w:bottom w:val="single" w:sz="2" w:space="0" w:color="auto"/>
              <w:right w:val="single" w:sz="2" w:space="0" w:color="auto"/>
            </w:tcBorders>
          </w:tcPr>
          <w:p w14:paraId="79876DBE" w14:textId="77777777" w:rsidR="00171726" w:rsidRPr="00DE12A3" w:rsidRDefault="00171726" w:rsidP="00C917D6">
            <w:pPr>
              <w:pStyle w:val="NormalLeft"/>
            </w:pPr>
            <w:r w:rsidRPr="00DE12A3">
              <w:t>kWh</w:t>
            </w:r>
          </w:p>
        </w:tc>
        <w:tc>
          <w:tcPr>
            <w:tcW w:w="5044" w:type="dxa"/>
            <w:tcBorders>
              <w:top w:val="single" w:sz="2" w:space="0" w:color="auto"/>
              <w:left w:val="single" w:sz="2" w:space="0" w:color="auto"/>
              <w:bottom w:val="single" w:sz="2" w:space="0" w:color="auto"/>
              <w:right w:val="single" w:sz="2" w:space="0" w:color="auto"/>
            </w:tcBorders>
          </w:tcPr>
          <w:p w14:paraId="5B89F90C" w14:textId="77777777" w:rsidR="00171726" w:rsidRPr="00DE12A3" w:rsidRDefault="00171726" w:rsidP="00C917D6">
            <w:pPr>
              <w:spacing w:before="120" w:after="120"/>
              <w:rPr>
                <w:rFonts w:cs="Times New Roman"/>
                <w:color w:val="auto"/>
              </w:rPr>
            </w:pPr>
            <w:r w:rsidRPr="00DE12A3">
              <w:rPr>
                <w:rFonts w:cs="Times New Roman"/>
                <w:color w:val="auto"/>
              </w:rPr>
              <w:t xml:space="preserve">Test </w:t>
            </w:r>
            <w:r w:rsidR="007E2039" w:rsidRPr="00DE12A3">
              <w:rPr>
                <w:rFonts w:cs="Times New Roman"/>
                <w:color w:val="auto"/>
              </w:rPr>
              <w:t>çevrimini</w:t>
            </w:r>
            <w:r w:rsidRPr="00DE12A3">
              <w:rPr>
                <w:rFonts w:cs="Times New Roman"/>
                <w:color w:val="auto"/>
              </w:rPr>
              <w:t xml:space="preserve">n gerçek </w:t>
            </w:r>
            <w:r w:rsidR="00F310B5" w:rsidRPr="00DE12A3">
              <w:rPr>
                <w:rFonts w:cs="Times New Roman"/>
                <w:color w:val="auto"/>
              </w:rPr>
              <w:t>çevrim</w:t>
            </w:r>
            <w:r w:rsidRPr="00DE12A3">
              <w:rPr>
                <w:rFonts w:cs="Times New Roman"/>
                <w:color w:val="auto"/>
              </w:rPr>
              <w:t xml:space="preserve"> çalışması</w:t>
            </w:r>
          </w:p>
        </w:tc>
      </w:tr>
      <w:tr w:rsidR="00DE12A3" w:rsidRPr="00DE12A3" w14:paraId="3869FEEB" w14:textId="77777777" w:rsidTr="002C23B9">
        <w:tc>
          <w:tcPr>
            <w:tcW w:w="1261" w:type="dxa"/>
            <w:tcBorders>
              <w:top w:val="single" w:sz="2" w:space="0" w:color="auto"/>
              <w:left w:val="single" w:sz="2" w:space="0" w:color="auto"/>
              <w:bottom w:val="single" w:sz="2" w:space="0" w:color="auto"/>
              <w:right w:val="single" w:sz="2" w:space="0" w:color="auto"/>
            </w:tcBorders>
          </w:tcPr>
          <w:p w14:paraId="238F9306" w14:textId="77777777" w:rsidR="00171726" w:rsidRPr="00DE12A3" w:rsidRDefault="00171726" w:rsidP="00C917D6">
            <w:pPr>
              <w:pStyle w:val="NormalLeft"/>
            </w:pPr>
            <w:r w:rsidRPr="00DE12A3">
              <w:rPr>
                <w:i/>
                <w:iCs/>
              </w:rPr>
              <w:t>WF</w:t>
            </w:r>
          </w:p>
        </w:tc>
        <w:tc>
          <w:tcPr>
            <w:tcW w:w="1261" w:type="dxa"/>
            <w:tcBorders>
              <w:top w:val="single" w:sz="2" w:space="0" w:color="auto"/>
              <w:left w:val="single" w:sz="2" w:space="0" w:color="auto"/>
              <w:bottom w:val="single" w:sz="2" w:space="0" w:color="auto"/>
              <w:right w:val="single" w:sz="2" w:space="0" w:color="auto"/>
            </w:tcBorders>
          </w:tcPr>
          <w:p w14:paraId="56080C7E" w14:textId="77777777" w:rsidR="00171726" w:rsidRPr="00DE12A3" w:rsidRDefault="00171726" w:rsidP="00C917D6">
            <w:pPr>
              <w:pStyle w:val="NormalLeft"/>
            </w:pPr>
            <w:r w:rsidRPr="00DE12A3">
              <w:rPr>
                <w:i/>
                <w:iCs/>
              </w:rPr>
              <w:t>WF</w:t>
            </w:r>
          </w:p>
        </w:tc>
        <w:tc>
          <w:tcPr>
            <w:tcW w:w="1441" w:type="dxa"/>
            <w:tcBorders>
              <w:top w:val="single" w:sz="2" w:space="0" w:color="auto"/>
              <w:left w:val="single" w:sz="2" w:space="0" w:color="auto"/>
              <w:bottom w:val="single" w:sz="2" w:space="0" w:color="auto"/>
              <w:right w:val="single" w:sz="2" w:space="0" w:color="auto"/>
            </w:tcBorders>
          </w:tcPr>
          <w:p w14:paraId="0DD42A46" w14:textId="77777777" w:rsidR="00171726" w:rsidRPr="00DE12A3" w:rsidRDefault="00171726" w:rsidP="00C917D6">
            <w:pPr>
              <w:pStyle w:val="NormalLeft"/>
            </w:pPr>
            <w:r w:rsidRPr="00DE12A3">
              <w:t>—</w:t>
            </w:r>
          </w:p>
        </w:tc>
        <w:tc>
          <w:tcPr>
            <w:tcW w:w="5044" w:type="dxa"/>
            <w:tcBorders>
              <w:top w:val="single" w:sz="2" w:space="0" w:color="auto"/>
              <w:left w:val="single" w:sz="2" w:space="0" w:color="auto"/>
              <w:bottom w:val="single" w:sz="2" w:space="0" w:color="auto"/>
              <w:right w:val="single" w:sz="2" w:space="0" w:color="auto"/>
            </w:tcBorders>
          </w:tcPr>
          <w:p w14:paraId="1F667382" w14:textId="77777777" w:rsidR="00171726" w:rsidRPr="00DE12A3" w:rsidRDefault="00171726" w:rsidP="00C917D6">
            <w:pPr>
              <w:spacing w:before="120" w:after="120"/>
              <w:rPr>
                <w:rFonts w:cs="Times New Roman"/>
                <w:color w:val="auto"/>
              </w:rPr>
            </w:pPr>
            <w:r w:rsidRPr="00DE12A3">
              <w:rPr>
                <w:rFonts w:cs="Times New Roman"/>
                <w:color w:val="auto"/>
              </w:rPr>
              <w:t>Tartım faktörü</w:t>
            </w:r>
          </w:p>
        </w:tc>
      </w:tr>
      <w:tr w:rsidR="00DE12A3" w:rsidRPr="00DE12A3" w14:paraId="655EC223" w14:textId="77777777" w:rsidTr="002C23B9">
        <w:tc>
          <w:tcPr>
            <w:tcW w:w="1261" w:type="dxa"/>
            <w:tcBorders>
              <w:top w:val="single" w:sz="2" w:space="0" w:color="auto"/>
              <w:left w:val="single" w:sz="2" w:space="0" w:color="auto"/>
              <w:bottom w:val="single" w:sz="2" w:space="0" w:color="auto"/>
              <w:right w:val="single" w:sz="2" w:space="0" w:color="auto"/>
            </w:tcBorders>
          </w:tcPr>
          <w:p w14:paraId="55655C28" w14:textId="77777777" w:rsidR="00171726" w:rsidRPr="00DE12A3" w:rsidRDefault="00171726" w:rsidP="00C917D6">
            <w:pPr>
              <w:pStyle w:val="NormalLeft"/>
            </w:pPr>
            <w:r w:rsidRPr="00DE12A3">
              <w:rPr>
                <w:i/>
                <w:iCs/>
              </w:rPr>
              <w:t>w</w:t>
            </w:r>
          </w:p>
        </w:tc>
        <w:tc>
          <w:tcPr>
            <w:tcW w:w="1261" w:type="dxa"/>
            <w:tcBorders>
              <w:top w:val="single" w:sz="2" w:space="0" w:color="auto"/>
              <w:left w:val="single" w:sz="2" w:space="0" w:color="auto"/>
              <w:bottom w:val="single" w:sz="2" w:space="0" w:color="auto"/>
              <w:right w:val="single" w:sz="2" w:space="0" w:color="auto"/>
            </w:tcBorders>
          </w:tcPr>
          <w:p w14:paraId="2C8D3BC1" w14:textId="77777777" w:rsidR="00171726" w:rsidRPr="00DE12A3" w:rsidRDefault="00171726" w:rsidP="00C917D6">
            <w:pPr>
              <w:pStyle w:val="NormalLeft"/>
            </w:pPr>
            <w:r w:rsidRPr="00DE12A3">
              <w:rPr>
                <w:i/>
                <w:iCs/>
              </w:rPr>
              <w:t>w</w:t>
            </w:r>
          </w:p>
        </w:tc>
        <w:tc>
          <w:tcPr>
            <w:tcW w:w="1441" w:type="dxa"/>
            <w:tcBorders>
              <w:top w:val="single" w:sz="2" w:space="0" w:color="auto"/>
              <w:left w:val="single" w:sz="2" w:space="0" w:color="auto"/>
              <w:bottom w:val="single" w:sz="2" w:space="0" w:color="auto"/>
              <w:right w:val="single" w:sz="2" w:space="0" w:color="auto"/>
            </w:tcBorders>
          </w:tcPr>
          <w:p w14:paraId="413A310E" w14:textId="77777777" w:rsidR="00171726" w:rsidRPr="00DE12A3" w:rsidRDefault="00171726" w:rsidP="00C917D6">
            <w:pPr>
              <w:pStyle w:val="NormalLeft"/>
            </w:pPr>
            <w:r w:rsidRPr="00DE12A3">
              <w:t>g/g</w:t>
            </w:r>
          </w:p>
        </w:tc>
        <w:tc>
          <w:tcPr>
            <w:tcW w:w="5044" w:type="dxa"/>
            <w:tcBorders>
              <w:top w:val="single" w:sz="2" w:space="0" w:color="auto"/>
              <w:left w:val="single" w:sz="2" w:space="0" w:color="auto"/>
              <w:bottom w:val="single" w:sz="2" w:space="0" w:color="auto"/>
              <w:right w:val="single" w:sz="2" w:space="0" w:color="auto"/>
            </w:tcBorders>
          </w:tcPr>
          <w:p w14:paraId="7078CD09" w14:textId="77777777" w:rsidR="00171726" w:rsidRPr="00DE12A3" w:rsidRDefault="00171726" w:rsidP="00C917D6">
            <w:pPr>
              <w:spacing w:before="120" w:after="120"/>
              <w:rPr>
                <w:rFonts w:cs="Times New Roman"/>
                <w:color w:val="auto"/>
              </w:rPr>
            </w:pPr>
            <w:r w:rsidRPr="00DE12A3">
              <w:rPr>
                <w:rFonts w:cs="Times New Roman"/>
                <w:color w:val="auto"/>
              </w:rPr>
              <w:t>Kütle oranı</w:t>
            </w:r>
          </w:p>
        </w:tc>
      </w:tr>
      <w:tr w:rsidR="00DE12A3" w:rsidRPr="00DE12A3" w14:paraId="7F8268A8" w14:textId="77777777" w:rsidTr="002C23B9">
        <w:tc>
          <w:tcPr>
            <w:tcW w:w="1261" w:type="dxa"/>
            <w:tcBorders>
              <w:top w:val="single" w:sz="2" w:space="0" w:color="auto"/>
              <w:left w:val="single" w:sz="2" w:space="0" w:color="auto"/>
              <w:bottom w:val="single" w:sz="2" w:space="0" w:color="auto"/>
              <w:right w:val="single" w:sz="2" w:space="0" w:color="auto"/>
            </w:tcBorders>
          </w:tcPr>
          <w:p w14:paraId="7F4A99E5" w14:textId="77777777" w:rsidR="00171726" w:rsidRPr="00DE12A3" w:rsidRDefault="00171726" w:rsidP="00C917D6">
            <w:pPr>
              <w:adjustRightInd w:val="0"/>
              <w:spacing w:before="120" w:after="120"/>
              <w:rPr>
                <w:rFonts w:cs="Times New Roman"/>
                <w:color w:val="auto"/>
              </w:rPr>
            </w:pPr>
          </w:p>
        </w:tc>
        <w:tc>
          <w:tcPr>
            <w:tcW w:w="1261" w:type="dxa"/>
            <w:tcBorders>
              <w:top w:val="single" w:sz="2" w:space="0" w:color="auto"/>
              <w:left w:val="single" w:sz="2" w:space="0" w:color="auto"/>
              <w:bottom w:val="single" w:sz="2" w:space="0" w:color="auto"/>
              <w:right w:val="single" w:sz="2" w:space="0" w:color="auto"/>
            </w:tcBorders>
          </w:tcPr>
          <w:p w14:paraId="6BFED695" w14:textId="31DBBD6B" w:rsidR="00171726" w:rsidRPr="00DE12A3" w:rsidRDefault="00171726" w:rsidP="00C917D6">
            <w:pPr>
              <w:pStyle w:val="NormalLeft"/>
            </w:pPr>
            <w:r w:rsidRPr="00DE12A3">
              <w:rPr>
                <w:noProof/>
                <w:lang w:val="tr-TR"/>
              </w:rPr>
              <w:drawing>
                <wp:inline distT="0" distB="0" distL="0" distR="0" wp14:anchorId="7CADAD30" wp14:editId="11FEB0D0">
                  <wp:extent cx="193675" cy="222885"/>
                  <wp:effectExtent l="0" t="0" r="0" b="5715"/>
                  <wp:docPr id="29" name="Resim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193675" cy="222885"/>
                          </a:xfrm>
                          <a:prstGeom prst="rect">
                            <a:avLst/>
                          </a:prstGeom>
                          <a:noFill/>
                          <a:ln>
                            <a:noFill/>
                          </a:ln>
                        </pic:spPr>
                      </pic:pic>
                    </a:graphicData>
                  </a:graphic>
                </wp:inline>
              </w:drawing>
            </w:r>
          </w:p>
        </w:tc>
        <w:tc>
          <w:tcPr>
            <w:tcW w:w="1441" w:type="dxa"/>
            <w:tcBorders>
              <w:top w:val="single" w:sz="2" w:space="0" w:color="auto"/>
              <w:left w:val="single" w:sz="2" w:space="0" w:color="auto"/>
              <w:bottom w:val="single" w:sz="2" w:space="0" w:color="auto"/>
              <w:right w:val="single" w:sz="2" w:space="0" w:color="auto"/>
            </w:tcBorders>
          </w:tcPr>
          <w:p w14:paraId="2A7AFDA7" w14:textId="77777777" w:rsidR="00171726" w:rsidRPr="00DE12A3" w:rsidRDefault="00171726" w:rsidP="00C917D6">
            <w:pPr>
              <w:pStyle w:val="NormalLeft"/>
            </w:pPr>
            <w:r w:rsidRPr="00DE12A3">
              <w:t>mol/mol</w:t>
            </w:r>
          </w:p>
        </w:tc>
        <w:tc>
          <w:tcPr>
            <w:tcW w:w="5044" w:type="dxa"/>
            <w:tcBorders>
              <w:top w:val="single" w:sz="2" w:space="0" w:color="auto"/>
              <w:left w:val="single" w:sz="2" w:space="0" w:color="auto"/>
              <w:bottom w:val="single" w:sz="2" w:space="0" w:color="auto"/>
              <w:right w:val="single" w:sz="2" w:space="0" w:color="auto"/>
            </w:tcBorders>
          </w:tcPr>
          <w:p w14:paraId="4B61BC52" w14:textId="77777777" w:rsidR="00171726" w:rsidRPr="00DE12A3" w:rsidRDefault="00171726" w:rsidP="00C917D6">
            <w:pPr>
              <w:spacing w:before="120" w:after="120"/>
              <w:rPr>
                <w:rFonts w:cs="Times New Roman"/>
                <w:color w:val="auto"/>
              </w:rPr>
            </w:pPr>
            <w:r w:rsidRPr="00DE12A3">
              <w:rPr>
                <w:rFonts w:cs="Times New Roman"/>
                <w:color w:val="auto"/>
              </w:rPr>
              <w:t>Akış ağırlıklı ortalama konsantrasyon</w:t>
            </w:r>
          </w:p>
        </w:tc>
      </w:tr>
      <w:tr w:rsidR="00DE12A3" w:rsidRPr="00DE12A3" w14:paraId="29AB8AF6" w14:textId="77777777" w:rsidTr="002C23B9">
        <w:tc>
          <w:tcPr>
            <w:tcW w:w="1261" w:type="dxa"/>
            <w:tcBorders>
              <w:top w:val="single" w:sz="2" w:space="0" w:color="auto"/>
              <w:left w:val="single" w:sz="2" w:space="0" w:color="auto"/>
              <w:bottom w:val="single" w:sz="2" w:space="0" w:color="auto"/>
              <w:right w:val="single" w:sz="2" w:space="0" w:color="auto"/>
            </w:tcBorders>
          </w:tcPr>
          <w:p w14:paraId="48F5F130" w14:textId="77777777" w:rsidR="00171726" w:rsidRPr="00DE12A3" w:rsidRDefault="00171726" w:rsidP="00C917D6">
            <w:pPr>
              <w:pStyle w:val="NormalLeft"/>
            </w:pPr>
            <w:r w:rsidRPr="00DE12A3">
              <w:rPr>
                <w:i/>
                <w:iCs/>
              </w:rPr>
              <w:t>X</w:t>
            </w:r>
            <w:r w:rsidRPr="00DE12A3">
              <w:rPr>
                <w:vertAlign w:val="subscript"/>
              </w:rPr>
              <w:t>0</w:t>
            </w:r>
          </w:p>
        </w:tc>
        <w:tc>
          <w:tcPr>
            <w:tcW w:w="1261" w:type="dxa"/>
            <w:tcBorders>
              <w:top w:val="single" w:sz="2" w:space="0" w:color="auto"/>
              <w:left w:val="single" w:sz="2" w:space="0" w:color="auto"/>
              <w:bottom w:val="single" w:sz="2" w:space="0" w:color="auto"/>
              <w:right w:val="single" w:sz="2" w:space="0" w:color="auto"/>
            </w:tcBorders>
          </w:tcPr>
          <w:p w14:paraId="1E329788" w14:textId="77777777" w:rsidR="00171726" w:rsidRPr="00DE12A3" w:rsidRDefault="00171726" w:rsidP="00C917D6">
            <w:pPr>
              <w:pStyle w:val="NormalLeft"/>
            </w:pPr>
            <w:r w:rsidRPr="00DE12A3">
              <w:rPr>
                <w:i/>
                <w:iCs/>
              </w:rPr>
              <w:t>K</w:t>
            </w:r>
            <w:r w:rsidRPr="00DE12A3">
              <w:rPr>
                <w:vertAlign w:val="subscript"/>
              </w:rPr>
              <w:t>s</w:t>
            </w:r>
          </w:p>
        </w:tc>
        <w:tc>
          <w:tcPr>
            <w:tcW w:w="1441" w:type="dxa"/>
            <w:tcBorders>
              <w:top w:val="single" w:sz="2" w:space="0" w:color="auto"/>
              <w:left w:val="single" w:sz="2" w:space="0" w:color="auto"/>
              <w:bottom w:val="single" w:sz="2" w:space="0" w:color="auto"/>
              <w:right w:val="single" w:sz="2" w:space="0" w:color="auto"/>
            </w:tcBorders>
          </w:tcPr>
          <w:p w14:paraId="15EBEEC3" w14:textId="77777777" w:rsidR="00171726" w:rsidRPr="00DE12A3" w:rsidRDefault="00171726" w:rsidP="00C917D6">
            <w:pPr>
              <w:pStyle w:val="NormalLeft"/>
            </w:pPr>
            <w:r w:rsidRPr="00DE12A3">
              <w:t>s/rev</w:t>
            </w:r>
          </w:p>
        </w:tc>
        <w:tc>
          <w:tcPr>
            <w:tcW w:w="5044" w:type="dxa"/>
            <w:tcBorders>
              <w:top w:val="single" w:sz="2" w:space="0" w:color="auto"/>
              <w:left w:val="single" w:sz="2" w:space="0" w:color="auto"/>
              <w:bottom w:val="single" w:sz="2" w:space="0" w:color="auto"/>
              <w:right w:val="single" w:sz="2" w:space="0" w:color="auto"/>
            </w:tcBorders>
          </w:tcPr>
          <w:p w14:paraId="173364B7" w14:textId="77777777" w:rsidR="00171726" w:rsidRPr="00DE12A3" w:rsidRDefault="00171726" w:rsidP="00C917D6">
            <w:pPr>
              <w:spacing w:before="120" w:after="120"/>
              <w:rPr>
                <w:rFonts w:cs="Times New Roman"/>
                <w:color w:val="auto"/>
              </w:rPr>
            </w:pPr>
            <w:r w:rsidRPr="00DE12A3">
              <w:rPr>
                <w:rFonts w:cs="Times New Roman"/>
                <w:color w:val="auto"/>
              </w:rPr>
              <w:t>PDP kalibrasyon fonksiyonu</w:t>
            </w:r>
          </w:p>
        </w:tc>
      </w:tr>
      <w:tr w:rsidR="00DE12A3" w:rsidRPr="00DE12A3" w14:paraId="32667719" w14:textId="77777777" w:rsidTr="002C23B9">
        <w:tc>
          <w:tcPr>
            <w:tcW w:w="1261" w:type="dxa"/>
            <w:tcBorders>
              <w:top w:val="single" w:sz="2" w:space="0" w:color="auto"/>
              <w:left w:val="single" w:sz="2" w:space="0" w:color="auto"/>
              <w:bottom w:val="single" w:sz="2" w:space="0" w:color="auto"/>
              <w:right w:val="single" w:sz="2" w:space="0" w:color="auto"/>
            </w:tcBorders>
          </w:tcPr>
          <w:p w14:paraId="34FEC7F9" w14:textId="77777777" w:rsidR="00171726" w:rsidRPr="00DE12A3" w:rsidRDefault="00171726" w:rsidP="00C917D6">
            <w:pPr>
              <w:adjustRightInd w:val="0"/>
              <w:spacing w:before="120" w:after="120"/>
              <w:rPr>
                <w:rFonts w:cs="Times New Roman"/>
                <w:color w:val="auto"/>
              </w:rPr>
            </w:pPr>
          </w:p>
        </w:tc>
        <w:tc>
          <w:tcPr>
            <w:tcW w:w="1261" w:type="dxa"/>
            <w:tcBorders>
              <w:top w:val="single" w:sz="2" w:space="0" w:color="auto"/>
              <w:left w:val="single" w:sz="2" w:space="0" w:color="auto"/>
              <w:bottom w:val="single" w:sz="2" w:space="0" w:color="auto"/>
              <w:right w:val="single" w:sz="2" w:space="0" w:color="auto"/>
            </w:tcBorders>
          </w:tcPr>
          <w:p w14:paraId="2D4A75AC" w14:textId="77777777" w:rsidR="00171726" w:rsidRPr="00DE12A3" w:rsidRDefault="00171726" w:rsidP="00C917D6">
            <w:pPr>
              <w:pStyle w:val="NormalLeft"/>
            </w:pPr>
            <w:r w:rsidRPr="00DE12A3">
              <w:rPr>
                <w:i/>
                <w:iCs/>
              </w:rPr>
              <w:t>y</w:t>
            </w:r>
          </w:p>
        </w:tc>
        <w:tc>
          <w:tcPr>
            <w:tcW w:w="1441" w:type="dxa"/>
            <w:tcBorders>
              <w:top w:val="single" w:sz="2" w:space="0" w:color="auto"/>
              <w:left w:val="single" w:sz="2" w:space="0" w:color="auto"/>
              <w:bottom w:val="single" w:sz="2" w:space="0" w:color="auto"/>
              <w:right w:val="single" w:sz="2" w:space="0" w:color="auto"/>
            </w:tcBorders>
          </w:tcPr>
          <w:p w14:paraId="1C9115A3" w14:textId="77777777" w:rsidR="00171726" w:rsidRPr="00DE12A3" w:rsidRDefault="00171726" w:rsidP="00C917D6">
            <w:pPr>
              <w:pStyle w:val="NormalLeft"/>
            </w:pPr>
            <w:r w:rsidRPr="00DE12A3">
              <w:t>—</w:t>
            </w:r>
          </w:p>
        </w:tc>
        <w:tc>
          <w:tcPr>
            <w:tcW w:w="5044" w:type="dxa"/>
            <w:tcBorders>
              <w:top w:val="single" w:sz="2" w:space="0" w:color="auto"/>
              <w:left w:val="single" w:sz="2" w:space="0" w:color="auto"/>
              <w:bottom w:val="single" w:sz="2" w:space="0" w:color="auto"/>
              <w:right w:val="single" w:sz="2" w:space="0" w:color="auto"/>
            </w:tcBorders>
          </w:tcPr>
          <w:p w14:paraId="04F7D301" w14:textId="77777777" w:rsidR="00171726" w:rsidRPr="00DE12A3" w:rsidRDefault="00171726" w:rsidP="00C917D6">
            <w:pPr>
              <w:spacing w:before="120" w:after="120"/>
              <w:rPr>
                <w:rFonts w:cs="Times New Roman"/>
                <w:color w:val="auto"/>
              </w:rPr>
            </w:pPr>
            <w:r w:rsidRPr="00DE12A3">
              <w:rPr>
                <w:rFonts w:cs="Times New Roman"/>
                <w:color w:val="auto"/>
              </w:rPr>
              <w:t>Genel değişken</w:t>
            </w:r>
          </w:p>
        </w:tc>
      </w:tr>
      <w:tr w:rsidR="00DE12A3" w:rsidRPr="00DE12A3" w14:paraId="32132649" w14:textId="77777777" w:rsidTr="002C23B9">
        <w:tc>
          <w:tcPr>
            <w:tcW w:w="1261" w:type="dxa"/>
            <w:tcBorders>
              <w:top w:val="single" w:sz="2" w:space="0" w:color="auto"/>
              <w:left w:val="single" w:sz="2" w:space="0" w:color="auto"/>
              <w:bottom w:val="single" w:sz="2" w:space="0" w:color="auto"/>
              <w:right w:val="single" w:sz="2" w:space="0" w:color="auto"/>
            </w:tcBorders>
          </w:tcPr>
          <w:p w14:paraId="1FF3DA98" w14:textId="596D6F2C" w:rsidR="00171726" w:rsidRPr="00DE12A3" w:rsidRDefault="00171726" w:rsidP="00C917D6">
            <w:pPr>
              <w:pStyle w:val="NormalLeft"/>
            </w:pPr>
            <w:r w:rsidRPr="00DE12A3">
              <w:rPr>
                <w:noProof/>
                <w:lang w:val="tr-TR"/>
              </w:rPr>
              <w:drawing>
                <wp:inline distT="0" distB="0" distL="0" distR="0" wp14:anchorId="1D421082" wp14:editId="72D1CCF0">
                  <wp:extent cx="193675" cy="269875"/>
                  <wp:effectExtent l="0" t="0" r="0" b="0"/>
                  <wp:docPr id="27" name="Resim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93675" cy="269875"/>
                          </a:xfrm>
                          <a:prstGeom prst="rect">
                            <a:avLst/>
                          </a:prstGeom>
                          <a:noFill/>
                          <a:ln>
                            <a:noFill/>
                          </a:ln>
                        </pic:spPr>
                      </pic:pic>
                    </a:graphicData>
                  </a:graphic>
                </wp:inline>
              </w:drawing>
            </w:r>
          </w:p>
        </w:tc>
        <w:tc>
          <w:tcPr>
            <w:tcW w:w="1261" w:type="dxa"/>
            <w:tcBorders>
              <w:top w:val="single" w:sz="2" w:space="0" w:color="auto"/>
              <w:left w:val="single" w:sz="2" w:space="0" w:color="auto"/>
              <w:bottom w:val="single" w:sz="2" w:space="0" w:color="auto"/>
              <w:right w:val="single" w:sz="2" w:space="0" w:color="auto"/>
            </w:tcBorders>
          </w:tcPr>
          <w:p w14:paraId="6915AAE5" w14:textId="3CB3E397" w:rsidR="00171726" w:rsidRPr="00DE12A3" w:rsidRDefault="00171726" w:rsidP="00C917D6">
            <w:pPr>
              <w:pStyle w:val="NormalLeft"/>
            </w:pPr>
            <w:r w:rsidRPr="00DE12A3">
              <w:rPr>
                <w:noProof/>
                <w:lang w:val="tr-TR"/>
              </w:rPr>
              <w:drawing>
                <wp:inline distT="0" distB="0" distL="0" distR="0" wp14:anchorId="6CD3A01E" wp14:editId="75B007EC">
                  <wp:extent cx="193675" cy="269875"/>
                  <wp:effectExtent l="0" t="0" r="0" b="0"/>
                  <wp:docPr id="23" name="Resim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93675" cy="269875"/>
                          </a:xfrm>
                          <a:prstGeom prst="rect">
                            <a:avLst/>
                          </a:prstGeom>
                          <a:noFill/>
                          <a:ln>
                            <a:noFill/>
                          </a:ln>
                        </pic:spPr>
                      </pic:pic>
                    </a:graphicData>
                  </a:graphic>
                </wp:inline>
              </w:drawing>
            </w:r>
          </w:p>
        </w:tc>
        <w:tc>
          <w:tcPr>
            <w:tcW w:w="1441" w:type="dxa"/>
            <w:tcBorders>
              <w:top w:val="single" w:sz="2" w:space="0" w:color="auto"/>
              <w:left w:val="single" w:sz="2" w:space="0" w:color="auto"/>
              <w:bottom w:val="single" w:sz="2" w:space="0" w:color="auto"/>
              <w:right w:val="single" w:sz="2" w:space="0" w:color="auto"/>
            </w:tcBorders>
          </w:tcPr>
          <w:p w14:paraId="7F49FD70" w14:textId="77777777" w:rsidR="00171726" w:rsidRPr="00DE12A3" w:rsidRDefault="00171726" w:rsidP="00C917D6">
            <w:pPr>
              <w:pStyle w:val="NormalLeft"/>
            </w:pPr>
          </w:p>
        </w:tc>
        <w:tc>
          <w:tcPr>
            <w:tcW w:w="5044" w:type="dxa"/>
            <w:tcBorders>
              <w:top w:val="single" w:sz="2" w:space="0" w:color="auto"/>
              <w:left w:val="single" w:sz="2" w:space="0" w:color="auto"/>
              <w:bottom w:val="single" w:sz="2" w:space="0" w:color="auto"/>
              <w:right w:val="single" w:sz="2" w:space="0" w:color="auto"/>
            </w:tcBorders>
          </w:tcPr>
          <w:p w14:paraId="548CA141" w14:textId="77777777" w:rsidR="00171726" w:rsidRPr="00DE12A3" w:rsidRDefault="00171726" w:rsidP="00C917D6">
            <w:pPr>
              <w:spacing w:before="120" w:after="120"/>
              <w:rPr>
                <w:rFonts w:cs="Times New Roman"/>
                <w:color w:val="auto"/>
              </w:rPr>
            </w:pPr>
            <w:r w:rsidRPr="00DE12A3">
              <w:rPr>
                <w:rFonts w:cs="Times New Roman"/>
                <w:color w:val="auto"/>
              </w:rPr>
              <w:t>Aritmetik ortalama</w:t>
            </w:r>
          </w:p>
        </w:tc>
      </w:tr>
      <w:tr w:rsidR="00DE12A3" w:rsidRPr="00DE12A3" w14:paraId="65F54820" w14:textId="77777777" w:rsidTr="002C23B9">
        <w:tc>
          <w:tcPr>
            <w:tcW w:w="1261" w:type="dxa"/>
            <w:tcBorders>
              <w:top w:val="single" w:sz="2" w:space="0" w:color="auto"/>
              <w:left w:val="single" w:sz="2" w:space="0" w:color="auto"/>
              <w:bottom w:val="single" w:sz="2" w:space="0" w:color="auto"/>
              <w:right w:val="single" w:sz="2" w:space="0" w:color="auto"/>
            </w:tcBorders>
          </w:tcPr>
          <w:p w14:paraId="23B09909" w14:textId="77777777" w:rsidR="00171726" w:rsidRPr="00DE12A3" w:rsidRDefault="00171726" w:rsidP="00C917D6">
            <w:pPr>
              <w:adjustRightInd w:val="0"/>
              <w:spacing w:before="120" w:after="120"/>
              <w:rPr>
                <w:rFonts w:cs="Times New Roman"/>
                <w:color w:val="auto"/>
              </w:rPr>
            </w:pPr>
          </w:p>
        </w:tc>
        <w:tc>
          <w:tcPr>
            <w:tcW w:w="1261" w:type="dxa"/>
            <w:tcBorders>
              <w:top w:val="single" w:sz="2" w:space="0" w:color="auto"/>
              <w:left w:val="single" w:sz="2" w:space="0" w:color="auto"/>
              <w:bottom w:val="single" w:sz="2" w:space="0" w:color="auto"/>
              <w:right w:val="single" w:sz="2" w:space="0" w:color="auto"/>
            </w:tcBorders>
          </w:tcPr>
          <w:p w14:paraId="48EBB1EE" w14:textId="77777777" w:rsidR="00171726" w:rsidRPr="00DE12A3" w:rsidRDefault="00171726" w:rsidP="00C917D6">
            <w:pPr>
              <w:pStyle w:val="NormalLeft"/>
            </w:pPr>
            <w:r w:rsidRPr="00DE12A3">
              <w:t>Z</w:t>
            </w:r>
          </w:p>
        </w:tc>
        <w:tc>
          <w:tcPr>
            <w:tcW w:w="1441" w:type="dxa"/>
            <w:tcBorders>
              <w:top w:val="single" w:sz="2" w:space="0" w:color="auto"/>
              <w:left w:val="single" w:sz="2" w:space="0" w:color="auto"/>
              <w:bottom w:val="single" w:sz="2" w:space="0" w:color="auto"/>
              <w:right w:val="single" w:sz="2" w:space="0" w:color="auto"/>
            </w:tcBorders>
          </w:tcPr>
          <w:p w14:paraId="1515D221" w14:textId="77777777" w:rsidR="00171726" w:rsidRPr="00DE12A3" w:rsidRDefault="00171726" w:rsidP="00C917D6">
            <w:pPr>
              <w:pStyle w:val="NormalLeft"/>
            </w:pPr>
            <w:r w:rsidRPr="00DE12A3">
              <w:t>—</w:t>
            </w:r>
          </w:p>
        </w:tc>
        <w:tc>
          <w:tcPr>
            <w:tcW w:w="5044" w:type="dxa"/>
            <w:tcBorders>
              <w:top w:val="single" w:sz="2" w:space="0" w:color="auto"/>
              <w:left w:val="single" w:sz="2" w:space="0" w:color="auto"/>
              <w:bottom w:val="single" w:sz="2" w:space="0" w:color="auto"/>
              <w:right w:val="single" w:sz="2" w:space="0" w:color="auto"/>
            </w:tcBorders>
          </w:tcPr>
          <w:p w14:paraId="012AE73A" w14:textId="77777777" w:rsidR="00171726" w:rsidRPr="00DE12A3" w:rsidRDefault="00171726" w:rsidP="00C917D6">
            <w:pPr>
              <w:spacing w:before="120" w:after="120"/>
              <w:rPr>
                <w:rFonts w:cs="Times New Roman"/>
                <w:color w:val="auto"/>
              </w:rPr>
            </w:pPr>
            <w:r w:rsidRPr="00DE12A3">
              <w:rPr>
                <w:rFonts w:cs="Times New Roman"/>
                <w:color w:val="auto"/>
              </w:rPr>
              <w:t>Sıkıştırılabilirlik faktörü</w:t>
            </w:r>
          </w:p>
        </w:tc>
      </w:tr>
    </w:tbl>
    <w:p w14:paraId="0DDCEC57" w14:textId="2248B4D5" w:rsidR="002D7B36" w:rsidRPr="00DE12A3" w:rsidRDefault="00242DA0" w:rsidP="00C917D6">
      <w:pPr>
        <w:pStyle w:val="Dipnot1"/>
        <w:shd w:val="clear" w:color="auto" w:fill="auto"/>
        <w:spacing w:before="120" w:after="120" w:line="240" w:lineRule="auto"/>
        <w:ind w:left="1134" w:hanging="1134"/>
        <w:rPr>
          <w:sz w:val="24"/>
          <w:szCs w:val="24"/>
        </w:rPr>
      </w:pPr>
      <w:r w:rsidRPr="00DE12A3">
        <w:rPr>
          <w:rStyle w:val="Dipnot0"/>
          <w:color w:val="auto"/>
          <w:sz w:val="24"/>
          <w:szCs w:val="24"/>
        </w:rPr>
        <w:t>(</w:t>
      </w:r>
      <w:r w:rsidRPr="00DE12A3">
        <w:rPr>
          <w:rStyle w:val="Dipnot0"/>
          <w:color w:val="auto"/>
          <w:sz w:val="24"/>
          <w:szCs w:val="24"/>
          <w:vertAlign w:val="superscript"/>
        </w:rPr>
        <w:t>1</w:t>
      </w:r>
      <w:r w:rsidRPr="00DE12A3">
        <w:rPr>
          <w:rStyle w:val="Dipnot0"/>
          <w:color w:val="auto"/>
          <w:sz w:val="24"/>
          <w:szCs w:val="24"/>
        </w:rPr>
        <w:t>)</w:t>
      </w:r>
      <w:r w:rsidRPr="00DE12A3">
        <w:rPr>
          <w:rStyle w:val="Dipnot0"/>
          <w:color w:val="auto"/>
          <w:sz w:val="24"/>
          <w:szCs w:val="24"/>
        </w:rPr>
        <w:tab/>
      </w:r>
      <w:r w:rsidRPr="00DE12A3">
        <w:rPr>
          <w:sz w:val="24"/>
          <w:szCs w:val="24"/>
        </w:rPr>
        <w:t xml:space="preserve">Alt indislere bakınız; </w:t>
      </w:r>
      <w:r w:rsidR="005B014A" w:rsidRPr="00DE12A3">
        <w:rPr>
          <w:sz w:val="24"/>
          <w:szCs w:val="24"/>
        </w:rPr>
        <w:t>örneğin</w:t>
      </w:r>
      <w:r w:rsidRPr="00DE12A3">
        <w:rPr>
          <w:sz w:val="24"/>
          <w:szCs w:val="24"/>
        </w:rPr>
        <w:t xml:space="preserve">: kuru hava kütle oranı için </w:t>
      </w:r>
      <w:r w:rsidRPr="00DE12A3">
        <w:rPr>
          <w:i/>
          <w:iCs/>
          <w:sz w:val="24"/>
          <w:szCs w:val="24"/>
        </w:rPr>
        <w:t>m</w:t>
      </w:r>
      <w:r w:rsidRPr="00DE12A3">
        <w:rPr>
          <w:sz w:val="24"/>
          <w:szCs w:val="24"/>
          <w:vertAlign w:val="subscript"/>
        </w:rPr>
        <w:t>air</w:t>
      </w:r>
      <w:r w:rsidRPr="00DE12A3">
        <w:rPr>
          <w:sz w:val="24"/>
          <w:szCs w:val="24"/>
        </w:rPr>
        <w:t xml:space="preserve">, yakıt kütle oranı için </w:t>
      </w:r>
      <w:r w:rsidRPr="00DE12A3">
        <w:rPr>
          <w:i/>
          <w:iCs/>
          <w:sz w:val="24"/>
          <w:szCs w:val="24"/>
        </w:rPr>
        <w:t>m</w:t>
      </w:r>
      <w:r w:rsidRPr="00DE12A3">
        <w:rPr>
          <w:sz w:val="24"/>
          <w:szCs w:val="24"/>
          <w:vertAlign w:val="subscript"/>
        </w:rPr>
        <w:t>fuel</w:t>
      </w:r>
      <w:r w:rsidR="003D51C5" w:rsidRPr="00DE12A3">
        <w:rPr>
          <w:rStyle w:val="Dipnot0"/>
          <w:color w:val="auto"/>
          <w:sz w:val="24"/>
          <w:szCs w:val="24"/>
        </w:rPr>
        <w:t xml:space="preserve"> ve benzeri.</w:t>
      </w:r>
    </w:p>
    <w:p w14:paraId="6F637615" w14:textId="331A1CA6" w:rsidR="002D7B36" w:rsidRPr="00DE12A3" w:rsidRDefault="00242DA0" w:rsidP="00C917D6">
      <w:pPr>
        <w:pStyle w:val="Dipnot1"/>
        <w:shd w:val="clear" w:color="auto" w:fill="auto"/>
        <w:tabs>
          <w:tab w:val="left" w:pos="326"/>
        </w:tabs>
        <w:spacing w:before="120" w:after="120" w:line="240" w:lineRule="auto"/>
        <w:ind w:left="1134" w:hanging="1134"/>
        <w:rPr>
          <w:sz w:val="24"/>
          <w:szCs w:val="24"/>
        </w:rPr>
      </w:pPr>
      <w:r w:rsidRPr="00DE12A3">
        <w:rPr>
          <w:rStyle w:val="Dipnot0"/>
          <w:color w:val="auto"/>
          <w:sz w:val="24"/>
          <w:szCs w:val="24"/>
        </w:rPr>
        <w:t>(</w:t>
      </w:r>
      <w:r w:rsidRPr="00DE12A3">
        <w:rPr>
          <w:rStyle w:val="Dipnot0"/>
          <w:color w:val="auto"/>
          <w:sz w:val="24"/>
          <w:szCs w:val="24"/>
          <w:vertAlign w:val="superscript"/>
        </w:rPr>
        <w:t>2</w:t>
      </w:r>
      <w:r w:rsidRPr="00DE12A3">
        <w:rPr>
          <w:rStyle w:val="Dipnot0"/>
          <w:color w:val="auto"/>
          <w:sz w:val="24"/>
          <w:szCs w:val="24"/>
        </w:rPr>
        <w:t>)</w:t>
      </w:r>
      <w:r w:rsidRPr="00DE12A3">
        <w:rPr>
          <w:rStyle w:val="Dipnot0"/>
          <w:color w:val="auto"/>
          <w:sz w:val="24"/>
          <w:szCs w:val="24"/>
        </w:rPr>
        <w:tab/>
      </w:r>
      <w:r w:rsidR="003641E5" w:rsidRPr="00DE12A3">
        <w:rPr>
          <w:rStyle w:val="Dipnot0"/>
          <w:color w:val="auto"/>
          <w:sz w:val="24"/>
          <w:szCs w:val="24"/>
        </w:rPr>
        <w:t xml:space="preserve">              </w:t>
      </w:r>
      <w:r w:rsidRPr="00DE12A3">
        <w:rPr>
          <w:sz w:val="24"/>
          <w:szCs w:val="24"/>
        </w:rPr>
        <w:t xml:space="preserve">2. </w:t>
      </w:r>
      <w:r w:rsidR="00B32A92" w:rsidRPr="00DE12A3">
        <w:rPr>
          <w:sz w:val="24"/>
          <w:szCs w:val="24"/>
        </w:rPr>
        <w:t>Bölüm</w:t>
      </w:r>
      <w:r w:rsidRPr="00DE12A3">
        <w:rPr>
          <w:sz w:val="24"/>
          <w:szCs w:val="24"/>
        </w:rPr>
        <w:t xml:space="preserve">deki seyreltme oranı </w:t>
      </w:r>
      <w:r w:rsidRPr="00DE12A3">
        <w:rPr>
          <w:i/>
          <w:iCs/>
          <w:sz w:val="24"/>
          <w:szCs w:val="24"/>
        </w:rPr>
        <w:t>r</w:t>
      </w:r>
      <w:r w:rsidRPr="00DE12A3">
        <w:rPr>
          <w:sz w:val="24"/>
          <w:szCs w:val="24"/>
          <w:vertAlign w:val="subscript"/>
        </w:rPr>
        <w:t>d</w:t>
      </w:r>
      <w:r w:rsidRPr="00DE12A3">
        <w:rPr>
          <w:sz w:val="24"/>
          <w:szCs w:val="24"/>
        </w:rPr>
        <w:t xml:space="preserve"> ve 3. </w:t>
      </w:r>
      <w:r w:rsidR="00B32A92" w:rsidRPr="00DE12A3">
        <w:rPr>
          <w:sz w:val="24"/>
          <w:szCs w:val="24"/>
        </w:rPr>
        <w:t>Bölüm</w:t>
      </w:r>
      <w:r w:rsidRPr="00DE12A3">
        <w:rPr>
          <w:sz w:val="24"/>
          <w:szCs w:val="24"/>
        </w:rPr>
        <w:t xml:space="preserve">deki </w:t>
      </w:r>
      <w:r w:rsidRPr="00DE12A3">
        <w:rPr>
          <w:i/>
          <w:iCs/>
          <w:sz w:val="24"/>
          <w:szCs w:val="24"/>
        </w:rPr>
        <w:t>DR</w:t>
      </w:r>
      <w:r w:rsidRPr="00DE12A3">
        <w:rPr>
          <w:sz w:val="24"/>
          <w:szCs w:val="24"/>
        </w:rPr>
        <w:t>; farklı sembollerdir</w:t>
      </w:r>
      <w:r w:rsidR="003D51C5" w:rsidRPr="00DE12A3">
        <w:rPr>
          <w:sz w:val="24"/>
          <w:szCs w:val="24"/>
        </w:rPr>
        <w:t>.</w:t>
      </w:r>
      <w:r w:rsidRPr="00DE12A3">
        <w:rPr>
          <w:sz w:val="24"/>
          <w:szCs w:val="24"/>
        </w:rPr>
        <w:t xml:space="preserve"> </w:t>
      </w:r>
      <w:r w:rsidR="003D51C5" w:rsidRPr="00DE12A3">
        <w:rPr>
          <w:sz w:val="24"/>
          <w:szCs w:val="24"/>
        </w:rPr>
        <w:t>A</w:t>
      </w:r>
      <w:r w:rsidRPr="00DE12A3">
        <w:rPr>
          <w:sz w:val="24"/>
          <w:szCs w:val="24"/>
        </w:rPr>
        <w:t xml:space="preserve">ncak aynı anlama ve aynı denkleme sahiptirler. 2. </w:t>
      </w:r>
      <w:r w:rsidR="00B32A92" w:rsidRPr="00DE12A3">
        <w:rPr>
          <w:sz w:val="24"/>
          <w:szCs w:val="24"/>
        </w:rPr>
        <w:t>Bölüm</w:t>
      </w:r>
      <w:r w:rsidRPr="00DE12A3">
        <w:rPr>
          <w:sz w:val="24"/>
          <w:szCs w:val="24"/>
        </w:rPr>
        <w:t xml:space="preserve">deki seyreltme faktörü </w:t>
      </w:r>
      <w:r w:rsidRPr="00DE12A3">
        <w:rPr>
          <w:i/>
          <w:sz w:val="24"/>
          <w:szCs w:val="24"/>
        </w:rPr>
        <w:t>D</w:t>
      </w:r>
      <w:r w:rsidRPr="00DE12A3">
        <w:rPr>
          <w:sz w:val="24"/>
          <w:szCs w:val="24"/>
        </w:rPr>
        <w:t xml:space="preserve"> ve 3. </w:t>
      </w:r>
      <w:r w:rsidR="00B32A92" w:rsidRPr="00DE12A3">
        <w:rPr>
          <w:sz w:val="24"/>
          <w:szCs w:val="24"/>
        </w:rPr>
        <w:t>Bölüm</w:t>
      </w:r>
      <w:r w:rsidRPr="00DE12A3">
        <w:rPr>
          <w:sz w:val="24"/>
          <w:szCs w:val="24"/>
        </w:rPr>
        <w:t xml:space="preserve">deki </w:t>
      </w:r>
      <w:r w:rsidRPr="00DE12A3">
        <w:rPr>
          <w:i/>
          <w:iCs/>
          <w:sz w:val="24"/>
          <w:szCs w:val="24"/>
        </w:rPr>
        <w:t>x</w:t>
      </w:r>
      <w:r w:rsidRPr="00DE12A3">
        <w:rPr>
          <w:sz w:val="24"/>
          <w:szCs w:val="24"/>
          <w:vertAlign w:val="subscript"/>
        </w:rPr>
        <w:t>dil</w:t>
      </w:r>
      <w:r w:rsidRPr="00DE12A3">
        <w:rPr>
          <w:sz w:val="24"/>
          <w:szCs w:val="24"/>
        </w:rPr>
        <w:t>; farklı sembollerdir</w:t>
      </w:r>
      <w:r w:rsidR="003D51C5" w:rsidRPr="00DE12A3">
        <w:rPr>
          <w:sz w:val="24"/>
          <w:szCs w:val="24"/>
        </w:rPr>
        <w:t>.</w:t>
      </w:r>
      <w:r w:rsidRPr="00DE12A3">
        <w:rPr>
          <w:sz w:val="24"/>
          <w:szCs w:val="24"/>
        </w:rPr>
        <w:t xml:space="preserve"> </w:t>
      </w:r>
      <w:r w:rsidR="003D51C5" w:rsidRPr="00DE12A3">
        <w:rPr>
          <w:sz w:val="24"/>
          <w:szCs w:val="24"/>
        </w:rPr>
        <w:t>A</w:t>
      </w:r>
      <w:r w:rsidRPr="00DE12A3">
        <w:rPr>
          <w:sz w:val="24"/>
          <w:szCs w:val="24"/>
        </w:rPr>
        <w:t xml:space="preserve">ncak aynı fiziksel anlama sahiplerdir; (7-124) </w:t>
      </w:r>
      <w:r w:rsidR="005E1C7E" w:rsidRPr="00DE12A3">
        <w:rPr>
          <w:sz w:val="24"/>
          <w:szCs w:val="24"/>
        </w:rPr>
        <w:t>numaralı</w:t>
      </w:r>
      <w:r w:rsidR="005E1C7E" w:rsidRPr="00DE12A3" w:rsidDel="005E1C7E">
        <w:rPr>
          <w:sz w:val="24"/>
          <w:szCs w:val="24"/>
        </w:rPr>
        <w:t xml:space="preserve"> </w:t>
      </w:r>
      <w:r w:rsidRPr="00DE12A3">
        <w:rPr>
          <w:sz w:val="24"/>
          <w:szCs w:val="24"/>
        </w:rPr>
        <w:t xml:space="preserve">denklem, </w:t>
      </w:r>
      <w:r w:rsidRPr="00DE12A3">
        <w:rPr>
          <w:i/>
          <w:iCs/>
          <w:sz w:val="24"/>
          <w:szCs w:val="24"/>
        </w:rPr>
        <w:t>x</w:t>
      </w:r>
      <w:r w:rsidRPr="00DE12A3">
        <w:rPr>
          <w:sz w:val="24"/>
          <w:szCs w:val="24"/>
          <w:vertAlign w:val="subscript"/>
        </w:rPr>
        <w:t>dil</w:t>
      </w:r>
      <w:r w:rsidRPr="00DE12A3">
        <w:rPr>
          <w:sz w:val="24"/>
          <w:szCs w:val="24"/>
        </w:rPr>
        <w:t xml:space="preserve"> ve </w:t>
      </w:r>
      <w:r w:rsidRPr="00DE12A3">
        <w:rPr>
          <w:i/>
          <w:iCs/>
          <w:sz w:val="24"/>
          <w:szCs w:val="24"/>
        </w:rPr>
        <w:t>DR</w:t>
      </w:r>
      <w:r w:rsidRPr="00DE12A3">
        <w:rPr>
          <w:sz w:val="24"/>
          <w:szCs w:val="24"/>
        </w:rPr>
        <w:t xml:space="preserve"> arasındaki ilişkiyi gösterir</w:t>
      </w:r>
      <w:r w:rsidRPr="00DE12A3">
        <w:rPr>
          <w:rStyle w:val="Dipnottalik"/>
          <w:color w:val="auto"/>
          <w:sz w:val="24"/>
          <w:szCs w:val="24"/>
        </w:rPr>
        <w:t>.</w:t>
      </w:r>
    </w:p>
    <w:p w14:paraId="55B5F179" w14:textId="0BC9E6D3" w:rsidR="002D7B36" w:rsidRPr="00DE12A3" w:rsidRDefault="00242DA0" w:rsidP="00C917D6">
      <w:pPr>
        <w:pStyle w:val="Dipnot1"/>
        <w:shd w:val="clear" w:color="auto" w:fill="auto"/>
        <w:tabs>
          <w:tab w:val="left" w:pos="326"/>
        </w:tabs>
        <w:spacing w:before="120" w:after="120" w:line="240" w:lineRule="auto"/>
        <w:ind w:left="1134" w:hanging="1134"/>
        <w:rPr>
          <w:rStyle w:val="Dipnot0"/>
          <w:color w:val="auto"/>
          <w:sz w:val="24"/>
          <w:szCs w:val="24"/>
        </w:rPr>
      </w:pPr>
      <w:r w:rsidRPr="00DE12A3">
        <w:rPr>
          <w:rStyle w:val="Dipnot0"/>
          <w:color w:val="auto"/>
          <w:sz w:val="24"/>
          <w:szCs w:val="24"/>
        </w:rPr>
        <w:t>(</w:t>
      </w:r>
      <w:r w:rsidRPr="00DE12A3">
        <w:rPr>
          <w:rStyle w:val="Dipnot0"/>
          <w:color w:val="auto"/>
          <w:sz w:val="24"/>
          <w:szCs w:val="24"/>
          <w:vertAlign w:val="superscript"/>
        </w:rPr>
        <w:t>3</w:t>
      </w:r>
      <w:r w:rsidRPr="00DE12A3">
        <w:rPr>
          <w:rStyle w:val="Dipnot0"/>
          <w:color w:val="auto"/>
          <w:sz w:val="24"/>
          <w:szCs w:val="24"/>
        </w:rPr>
        <w:t>)</w:t>
      </w:r>
      <w:r w:rsidRPr="00DE12A3">
        <w:rPr>
          <w:rStyle w:val="Dipnot0"/>
          <w:color w:val="auto"/>
          <w:sz w:val="24"/>
          <w:szCs w:val="24"/>
        </w:rPr>
        <w:tab/>
      </w:r>
      <w:r w:rsidR="003641E5" w:rsidRPr="00DE12A3">
        <w:rPr>
          <w:rStyle w:val="Dipnot0"/>
          <w:color w:val="auto"/>
          <w:sz w:val="24"/>
          <w:szCs w:val="24"/>
        </w:rPr>
        <w:t xml:space="preserve">             </w:t>
      </w:r>
      <w:r w:rsidRPr="00DE12A3">
        <w:rPr>
          <w:rStyle w:val="Dipnot0"/>
          <w:color w:val="auto"/>
          <w:sz w:val="24"/>
          <w:szCs w:val="24"/>
        </w:rPr>
        <w:t xml:space="preserve">t.b.d.= </w:t>
      </w:r>
      <w:r w:rsidR="00A74944" w:rsidRPr="00DE12A3">
        <w:rPr>
          <w:sz w:val="24"/>
          <w:szCs w:val="24"/>
        </w:rPr>
        <w:t>T</w:t>
      </w:r>
      <w:r w:rsidRPr="00DE12A3">
        <w:rPr>
          <w:sz w:val="24"/>
          <w:szCs w:val="24"/>
        </w:rPr>
        <w:t>anımlanacak</w:t>
      </w:r>
      <w:r w:rsidRPr="00DE12A3">
        <w:rPr>
          <w:rStyle w:val="Dipnot0"/>
          <w:color w:val="auto"/>
          <w:sz w:val="24"/>
          <w:szCs w:val="24"/>
        </w:rPr>
        <w:t>.</w:t>
      </w:r>
    </w:p>
    <w:p w14:paraId="3FFD93E3" w14:textId="77777777" w:rsidR="002D7B36" w:rsidRPr="00DE12A3" w:rsidRDefault="00907C73" w:rsidP="00E20716">
      <w:pPr>
        <w:pStyle w:val="Resimyazs70"/>
        <w:numPr>
          <w:ilvl w:val="1"/>
          <w:numId w:val="394"/>
        </w:numPr>
        <w:shd w:val="clear" w:color="auto" w:fill="auto"/>
        <w:tabs>
          <w:tab w:val="left" w:pos="326"/>
        </w:tabs>
        <w:spacing w:after="120" w:line="240" w:lineRule="auto"/>
        <w:ind w:left="709" w:hanging="709"/>
        <w:rPr>
          <w:rStyle w:val="Resimyazs77pt0ptbolukbraklyor"/>
          <w:color w:val="auto"/>
          <w:spacing w:val="424"/>
          <w:sz w:val="24"/>
          <w:szCs w:val="24"/>
          <w:shd w:val="clear" w:color="auto" w:fill="auto"/>
          <w:lang w:val="tr-TR"/>
        </w:rPr>
      </w:pPr>
      <w:r w:rsidRPr="00DE12A3">
        <w:rPr>
          <w:rStyle w:val="Resimyazs77pt0ptbolukbraklyor"/>
          <w:rFonts w:eastAsia="Courier New"/>
          <w:color w:val="auto"/>
          <w:sz w:val="24"/>
          <w:szCs w:val="24"/>
        </w:rPr>
        <w:lastRenderedPageBreak/>
        <w:t>Alt i</w:t>
      </w:r>
      <w:r w:rsidR="003641E5" w:rsidRPr="00DE12A3">
        <w:rPr>
          <w:rStyle w:val="Resimyazs77pt0ptbolukbraklyor"/>
          <w:rFonts w:eastAsia="Courier New"/>
          <w:color w:val="auto"/>
          <w:sz w:val="24"/>
          <w:szCs w:val="24"/>
        </w:rPr>
        <w:t>ndisler</w:t>
      </w:r>
    </w:p>
    <w:p w14:paraId="7E1F38A3" w14:textId="77777777" w:rsidR="00197998" w:rsidRPr="00DE12A3" w:rsidRDefault="00197998" w:rsidP="00C917D6">
      <w:pPr>
        <w:pStyle w:val="Resimyazs70"/>
        <w:shd w:val="clear" w:color="auto" w:fill="auto"/>
        <w:tabs>
          <w:tab w:val="left" w:pos="326"/>
        </w:tabs>
        <w:spacing w:after="120" w:line="240" w:lineRule="auto"/>
        <w:ind w:left="709"/>
        <w:rPr>
          <w:rStyle w:val="Resimyazs77pt0ptbolukbraklyor"/>
          <w:color w:val="auto"/>
          <w:spacing w:val="424"/>
          <w:sz w:val="24"/>
          <w:szCs w:val="24"/>
          <w:shd w:val="clear" w:color="auto" w:fill="auto"/>
          <w:lang w:val="tr-TR"/>
        </w:rPr>
      </w:pPr>
    </w:p>
    <w:tbl>
      <w:tblPr>
        <w:tblpPr w:leftFromText="141" w:rightFromText="141" w:vertAnchor="text" w:horzAnchor="margin" w:tblpXSpec="center" w:tblpY="40"/>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124"/>
        <w:gridCol w:w="982"/>
        <w:gridCol w:w="6268"/>
      </w:tblGrid>
      <w:tr w:rsidR="00DE12A3" w:rsidRPr="00DE12A3" w14:paraId="5B9681E8" w14:textId="77777777" w:rsidTr="00197998">
        <w:trPr>
          <w:trHeight w:hRule="exact" w:val="630"/>
        </w:trPr>
        <w:tc>
          <w:tcPr>
            <w:tcW w:w="1124" w:type="dxa"/>
            <w:shd w:val="clear" w:color="auto" w:fill="auto"/>
          </w:tcPr>
          <w:p w14:paraId="0ECCC8DE" w14:textId="77777777" w:rsidR="00197998" w:rsidRPr="00DE12A3" w:rsidRDefault="00197998" w:rsidP="00C917D6">
            <w:pPr>
              <w:spacing w:before="120" w:after="120"/>
              <w:ind w:left="709" w:hanging="709"/>
              <w:jc w:val="both"/>
              <w:rPr>
                <w:rFonts w:cs="Times New Roman"/>
                <w:color w:val="auto"/>
              </w:rPr>
            </w:pPr>
            <w:r w:rsidRPr="00DE12A3">
              <w:rPr>
                <w:rFonts w:cs="Times New Roman"/>
                <w:color w:val="auto"/>
              </w:rPr>
              <w:t>Bölüm 2 (</w:t>
            </w:r>
            <w:r w:rsidRPr="00DE12A3">
              <w:rPr>
                <w:rFonts w:cs="Times New Roman"/>
                <w:color w:val="auto"/>
                <w:vertAlign w:val="superscript"/>
              </w:rPr>
              <w:t>1</w:t>
            </w:r>
            <w:r w:rsidRPr="00DE12A3">
              <w:rPr>
                <w:rFonts w:cs="Times New Roman"/>
                <w:color w:val="auto"/>
              </w:rPr>
              <w:t>)</w:t>
            </w:r>
          </w:p>
        </w:tc>
        <w:tc>
          <w:tcPr>
            <w:tcW w:w="982" w:type="dxa"/>
            <w:shd w:val="clear" w:color="auto" w:fill="auto"/>
          </w:tcPr>
          <w:p w14:paraId="6142A5AB" w14:textId="77777777" w:rsidR="00197998" w:rsidRPr="00DE12A3" w:rsidRDefault="00197998" w:rsidP="00C917D6">
            <w:pPr>
              <w:spacing w:before="120" w:after="120"/>
              <w:ind w:left="709" w:hanging="709"/>
              <w:jc w:val="both"/>
              <w:rPr>
                <w:rFonts w:cs="Times New Roman"/>
                <w:color w:val="auto"/>
              </w:rPr>
            </w:pPr>
            <w:r w:rsidRPr="00DE12A3">
              <w:rPr>
                <w:rFonts w:cs="Times New Roman"/>
                <w:color w:val="auto"/>
              </w:rPr>
              <w:t>Bölüm 3</w:t>
            </w:r>
          </w:p>
        </w:tc>
        <w:tc>
          <w:tcPr>
            <w:tcW w:w="6268" w:type="dxa"/>
            <w:shd w:val="clear" w:color="auto" w:fill="auto"/>
          </w:tcPr>
          <w:p w14:paraId="54DA73BA" w14:textId="77777777" w:rsidR="00197998" w:rsidRPr="00DE12A3" w:rsidRDefault="00197998" w:rsidP="00C917D6">
            <w:pPr>
              <w:spacing w:before="120" w:after="120"/>
              <w:ind w:left="709" w:hanging="709"/>
              <w:jc w:val="both"/>
              <w:rPr>
                <w:rFonts w:cs="Times New Roman"/>
                <w:color w:val="auto"/>
              </w:rPr>
            </w:pPr>
            <w:r w:rsidRPr="00DE12A3">
              <w:rPr>
                <w:rFonts w:cs="Times New Roman"/>
                <w:color w:val="auto"/>
              </w:rPr>
              <w:t>Miktar</w:t>
            </w:r>
          </w:p>
        </w:tc>
      </w:tr>
      <w:tr w:rsidR="00DE12A3" w:rsidRPr="00DE12A3" w14:paraId="120E36CE" w14:textId="77777777" w:rsidTr="00197998">
        <w:trPr>
          <w:trHeight w:hRule="exact" w:val="636"/>
        </w:trPr>
        <w:tc>
          <w:tcPr>
            <w:tcW w:w="1124" w:type="dxa"/>
            <w:shd w:val="clear" w:color="auto" w:fill="auto"/>
          </w:tcPr>
          <w:p w14:paraId="38028B3B" w14:textId="77777777" w:rsidR="00197998" w:rsidRPr="00DE12A3" w:rsidRDefault="00197998" w:rsidP="00C917D6">
            <w:pPr>
              <w:pStyle w:val="Gvdemetni361"/>
              <w:shd w:val="clear" w:color="auto" w:fill="auto"/>
              <w:spacing w:before="120" w:after="120" w:line="240" w:lineRule="auto"/>
              <w:ind w:left="709" w:hanging="709"/>
              <w:rPr>
                <w:color w:val="auto"/>
                <w:sz w:val="24"/>
                <w:szCs w:val="24"/>
              </w:rPr>
            </w:pPr>
            <w:r w:rsidRPr="00DE12A3">
              <w:rPr>
                <w:rStyle w:val="Gvdemetni367pt0ptbolukbraklyor"/>
                <w:rFonts w:eastAsia="Courier New"/>
                <w:color w:val="auto"/>
                <w:sz w:val="24"/>
                <w:szCs w:val="24"/>
              </w:rPr>
              <w:t>act</w:t>
            </w:r>
          </w:p>
        </w:tc>
        <w:tc>
          <w:tcPr>
            <w:tcW w:w="982" w:type="dxa"/>
            <w:shd w:val="clear" w:color="auto" w:fill="auto"/>
          </w:tcPr>
          <w:p w14:paraId="54A42A21" w14:textId="77777777" w:rsidR="00197998" w:rsidRPr="00DE12A3" w:rsidRDefault="00197998" w:rsidP="00C917D6">
            <w:pPr>
              <w:pStyle w:val="Gvdemetni361"/>
              <w:shd w:val="clear" w:color="auto" w:fill="auto"/>
              <w:spacing w:before="120" w:after="120" w:line="240" w:lineRule="auto"/>
              <w:ind w:left="709" w:hanging="709"/>
              <w:rPr>
                <w:color w:val="auto"/>
                <w:sz w:val="24"/>
                <w:szCs w:val="24"/>
              </w:rPr>
            </w:pPr>
            <w:r w:rsidRPr="00DE12A3">
              <w:rPr>
                <w:rStyle w:val="Gvdemetni367pt0ptbolukbraklyor"/>
                <w:rFonts w:eastAsia="Courier New"/>
                <w:color w:val="auto"/>
                <w:sz w:val="24"/>
                <w:szCs w:val="24"/>
              </w:rPr>
              <w:t>act</w:t>
            </w:r>
          </w:p>
        </w:tc>
        <w:tc>
          <w:tcPr>
            <w:tcW w:w="6268" w:type="dxa"/>
            <w:shd w:val="clear" w:color="auto" w:fill="auto"/>
          </w:tcPr>
          <w:p w14:paraId="38F109B5" w14:textId="77777777" w:rsidR="00197998" w:rsidRPr="00DE12A3" w:rsidRDefault="00197998" w:rsidP="00C917D6">
            <w:pPr>
              <w:spacing w:before="120" w:after="120"/>
              <w:ind w:left="709" w:hanging="709"/>
              <w:jc w:val="both"/>
              <w:rPr>
                <w:rFonts w:cs="Times New Roman"/>
                <w:color w:val="auto"/>
              </w:rPr>
            </w:pPr>
            <w:r w:rsidRPr="00DE12A3">
              <w:rPr>
                <w:rFonts w:cs="Times New Roman"/>
                <w:color w:val="auto"/>
              </w:rPr>
              <w:t>Gerçek miktar</w:t>
            </w:r>
          </w:p>
        </w:tc>
      </w:tr>
      <w:tr w:rsidR="00DE12A3" w:rsidRPr="00DE12A3" w14:paraId="46CD126A" w14:textId="77777777" w:rsidTr="00197998">
        <w:trPr>
          <w:trHeight w:hRule="exact" w:val="641"/>
        </w:trPr>
        <w:tc>
          <w:tcPr>
            <w:tcW w:w="1124" w:type="dxa"/>
            <w:shd w:val="clear" w:color="auto" w:fill="auto"/>
          </w:tcPr>
          <w:p w14:paraId="46592C57" w14:textId="77777777" w:rsidR="00197998" w:rsidRPr="00DE12A3" w:rsidRDefault="00197998" w:rsidP="00C917D6">
            <w:pPr>
              <w:pStyle w:val="Gvdemetni361"/>
              <w:shd w:val="clear" w:color="auto" w:fill="auto"/>
              <w:spacing w:before="120" w:after="120" w:line="240" w:lineRule="auto"/>
              <w:ind w:left="709" w:hanging="709"/>
              <w:rPr>
                <w:color w:val="auto"/>
                <w:sz w:val="24"/>
                <w:szCs w:val="24"/>
              </w:rPr>
            </w:pPr>
            <w:r w:rsidRPr="00DE12A3">
              <w:rPr>
                <w:rStyle w:val="Gvdemetni364pttalik"/>
                <w:color w:val="auto"/>
                <w:sz w:val="24"/>
                <w:szCs w:val="24"/>
              </w:rPr>
              <w:t>i</w:t>
            </w:r>
          </w:p>
        </w:tc>
        <w:tc>
          <w:tcPr>
            <w:tcW w:w="982" w:type="dxa"/>
            <w:shd w:val="clear" w:color="auto" w:fill="auto"/>
          </w:tcPr>
          <w:p w14:paraId="6606E596" w14:textId="77777777" w:rsidR="00197998" w:rsidRPr="00DE12A3" w:rsidRDefault="00197998" w:rsidP="00C917D6">
            <w:pPr>
              <w:spacing w:before="120" w:after="120"/>
              <w:ind w:left="709" w:hanging="709"/>
              <w:jc w:val="both"/>
              <w:rPr>
                <w:rFonts w:cs="Times New Roman"/>
                <w:color w:val="auto"/>
              </w:rPr>
            </w:pPr>
          </w:p>
        </w:tc>
        <w:tc>
          <w:tcPr>
            <w:tcW w:w="6268" w:type="dxa"/>
            <w:shd w:val="clear" w:color="auto" w:fill="auto"/>
          </w:tcPr>
          <w:p w14:paraId="31A29F7B" w14:textId="6BD84DBF" w:rsidR="00197998" w:rsidRPr="00DE12A3" w:rsidRDefault="00197998" w:rsidP="00C917D6">
            <w:pPr>
              <w:spacing w:before="120" w:after="120"/>
              <w:ind w:left="709" w:hanging="709"/>
              <w:jc w:val="both"/>
              <w:rPr>
                <w:rFonts w:cs="Times New Roman"/>
                <w:color w:val="auto"/>
              </w:rPr>
            </w:pPr>
            <w:r w:rsidRPr="00DE12A3">
              <w:rPr>
                <w:rFonts w:cs="Times New Roman"/>
                <w:color w:val="auto"/>
              </w:rPr>
              <w:t>Anlık ölçüm (</w:t>
            </w:r>
            <w:r w:rsidR="005B014A" w:rsidRPr="00DE12A3">
              <w:rPr>
                <w:rFonts w:cs="Times New Roman"/>
                <w:color w:val="auto"/>
              </w:rPr>
              <w:t>örneğin</w:t>
            </w:r>
            <w:r w:rsidRPr="00DE12A3">
              <w:rPr>
                <w:rFonts w:cs="Times New Roman"/>
                <w:color w:val="auto"/>
              </w:rPr>
              <w:t xml:space="preserve"> 1 Hz)</w:t>
            </w:r>
          </w:p>
        </w:tc>
      </w:tr>
      <w:tr w:rsidR="00DE12A3" w:rsidRPr="00DE12A3" w14:paraId="12EB070C" w14:textId="77777777" w:rsidTr="00197998">
        <w:trPr>
          <w:trHeight w:hRule="exact" w:val="648"/>
        </w:trPr>
        <w:tc>
          <w:tcPr>
            <w:tcW w:w="1124" w:type="dxa"/>
            <w:shd w:val="clear" w:color="auto" w:fill="auto"/>
          </w:tcPr>
          <w:p w14:paraId="44485974" w14:textId="77777777" w:rsidR="00197998" w:rsidRPr="00DE12A3" w:rsidRDefault="00197998" w:rsidP="00C917D6">
            <w:pPr>
              <w:spacing w:before="120" w:after="120"/>
              <w:ind w:left="709" w:hanging="709"/>
              <w:jc w:val="both"/>
              <w:rPr>
                <w:rFonts w:cs="Times New Roman"/>
                <w:color w:val="auto"/>
              </w:rPr>
            </w:pPr>
          </w:p>
        </w:tc>
        <w:tc>
          <w:tcPr>
            <w:tcW w:w="982" w:type="dxa"/>
            <w:shd w:val="clear" w:color="auto" w:fill="auto"/>
          </w:tcPr>
          <w:p w14:paraId="269C9507" w14:textId="77777777" w:rsidR="00197998" w:rsidRPr="00DE12A3" w:rsidRDefault="00197998" w:rsidP="00C917D6">
            <w:pPr>
              <w:spacing w:before="120" w:after="120"/>
              <w:ind w:left="709" w:hanging="709"/>
              <w:jc w:val="both"/>
              <w:rPr>
                <w:rFonts w:cs="Times New Roman"/>
                <w:color w:val="auto"/>
              </w:rPr>
            </w:pPr>
          </w:p>
        </w:tc>
        <w:tc>
          <w:tcPr>
            <w:tcW w:w="6268" w:type="dxa"/>
            <w:shd w:val="clear" w:color="auto" w:fill="auto"/>
          </w:tcPr>
          <w:p w14:paraId="600DF7DF" w14:textId="77777777" w:rsidR="00197998" w:rsidRPr="00DE12A3" w:rsidRDefault="00197998" w:rsidP="00C917D6">
            <w:pPr>
              <w:spacing w:before="120" w:after="120"/>
              <w:ind w:left="709" w:hanging="709"/>
              <w:jc w:val="both"/>
              <w:rPr>
                <w:rFonts w:cs="Times New Roman"/>
                <w:color w:val="auto"/>
              </w:rPr>
            </w:pPr>
            <w:r w:rsidRPr="00DE12A3">
              <w:rPr>
                <w:rFonts w:cs="Times New Roman"/>
                <w:color w:val="auto"/>
              </w:rPr>
              <w:t>Bir serinin bir adımı</w:t>
            </w:r>
          </w:p>
        </w:tc>
      </w:tr>
      <w:tr w:rsidR="00DE12A3" w:rsidRPr="00DE12A3" w14:paraId="21F29E53" w14:textId="77777777" w:rsidTr="00197998">
        <w:trPr>
          <w:trHeight w:hRule="exact" w:val="1426"/>
        </w:trPr>
        <w:tc>
          <w:tcPr>
            <w:tcW w:w="8374" w:type="dxa"/>
            <w:gridSpan w:val="3"/>
            <w:shd w:val="clear" w:color="auto" w:fill="auto"/>
          </w:tcPr>
          <w:p w14:paraId="5D7A1373" w14:textId="02E48F05" w:rsidR="00197998" w:rsidRPr="00DE12A3" w:rsidRDefault="00197998" w:rsidP="00C917D6">
            <w:pPr>
              <w:pStyle w:val="Tabloyazs71"/>
              <w:shd w:val="clear" w:color="auto" w:fill="auto"/>
              <w:spacing w:before="120" w:after="120" w:line="240" w:lineRule="auto"/>
              <w:ind w:right="275"/>
              <w:rPr>
                <w:sz w:val="24"/>
                <w:szCs w:val="24"/>
              </w:rPr>
            </w:pPr>
            <w:r w:rsidRPr="00DE12A3">
              <w:rPr>
                <w:rStyle w:val="Tabloyazs7"/>
                <w:rFonts w:eastAsia="Malgun Gothic"/>
                <w:color w:val="auto"/>
                <w:sz w:val="24"/>
                <w:szCs w:val="24"/>
              </w:rPr>
              <w:t>(</w:t>
            </w:r>
            <w:r w:rsidRPr="00DE12A3">
              <w:rPr>
                <w:rStyle w:val="Tabloyazs7"/>
                <w:rFonts w:eastAsia="Malgun Gothic"/>
                <w:color w:val="auto"/>
                <w:sz w:val="24"/>
                <w:szCs w:val="24"/>
                <w:vertAlign w:val="superscript"/>
              </w:rPr>
              <w:t>1</w:t>
            </w:r>
            <w:r w:rsidRPr="00DE12A3">
              <w:rPr>
                <w:rStyle w:val="Tabloyazs7"/>
                <w:rFonts w:eastAsia="Malgun Gothic"/>
                <w:color w:val="auto"/>
                <w:sz w:val="24"/>
                <w:szCs w:val="24"/>
              </w:rPr>
              <w:t>)</w:t>
            </w:r>
            <w:r w:rsidRPr="00DE12A3">
              <w:rPr>
                <w:rStyle w:val="Tabloyazs7"/>
                <w:rFonts w:eastAsia="Malgun Gothic"/>
                <w:color w:val="auto"/>
                <w:sz w:val="24"/>
                <w:szCs w:val="24"/>
              </w:rPr>
              <w:tab/>
            </w:r>
            <w:r w:rsidRPr="00DE12A3">
              <w:rPr>
                <w:sz w:val="24"/>
                <w:szCs w:val="24"/>
              </w:rPr>
              <w:t xml:space="preserve">2. </w:t>
            </w:r>
            <w:r w:rsidR="00B32A92" w:rsidRPr="00DE12A3">
              <w:rPr>
                <w:sz w:val="24"/>
                <w:szCs w:val="24"/>
              </w:rPr>
              <w:t>Bölüm</w:t>
            </w:r>
            <w:r w:rsidRPr="00DE12A3">
              <w:rPr>
                <w:sz w:val="24"/>
                <w:szCs w:val="24"/>
              </w:rPr>
              <w:t>de, alt indisin anlamı, ilgili miktar ile belirlenir; örneğin, "d" alt indisi, "</w:t>
            </w:r>
            <w:r w:rsidRPr="00DE12A3">
              <w:rPr>
                <w:i/>
                <w:iCs/>
                <w:sz w:val="24"/>
                <w:szCs w:val="24"/>
              </w:rPr>
              <w:t>c</w:t>
            </w:r>
            <w:r w:rsidRPr="00DE12A3">
              <w:rPr>
                <w:sz w:val="24"/>
                <w:szCs w:val="24"/>
                <w:vertAlign w:val="subscript"/>
              </w:rPr>
              <w:t>d</w:t>
            </w:r>
            <w:r w:rsidRPr="00DE12A3">
              <w:rPr>
                <w:sz w:val="24"/>
                <w:szCs w:val="24"/>
              </w:rPr>
              <w:t xml:space="preserve"> = kuru bazda konsantrasyon", "</w:t>
            </w:r>
            <w:r w:rsidRPr="00DE12A3">
              <w:rPr>
                <w:i/>
                <w:iCs/>
                <w:sz w:val="24"/>
                <w:szCs w:val="24"/>
              </w:rPr>
              <w:t>p</w:t>
            </w:r>
            <w:r w:rsidRPr="00DE12A3">
              <w:rPr>
                <w:sz w:val="24"/>
                <w:szCs w:val="24"/>
                <w:vertAlign w:val="subscript"/>
              </w:rPr>
              <w:t>d</w:t>
            </w:r>
            <w:r w:rsidRPr="00DE12A3">
              <w:rPr>
                <w:sz w:val="24"/>
                <w:szCs w:val="24"/>
              </w:rPr>
              <w:t xml:space="preserve"> = seyreltme havasının doyma buhar basıncı" veya "</w:t>
            </w:r>
            <w:r w:rsidRPr="00DE12A3">
              <w:rPr>
                <w:i/>
                <w:iCs/>
                <w:sz w:val="24"/>
                <w:szCs w:val="24"/>
              </w:rPr>
              <w:t>k</w:t>
            </w:r>
            <w:r w:rsidRPr="00DE12A3">
              <w:rPr>
                <w:sz w:val="24"/>
                <w:szCs w:val="24"/>
                <w:vertAlign w:val="subscript"/>
              </w:rPr>
              <w:t>w,d</w:t>
            </w:r>
            <w:r w:rsidRPr="00DE12A3">
              <w:rPr>
                <w:sz w:val="24"/>
                <w:szCs w:val="24"/>
              </w:rPr>
              <w:t xml:space="preserve"> = seyreltme havası için kuru ila yaş düzeltme faktörü", seyreltme oranı "</w:t>
            </w:r>
            <w:r w:rsidRPr="00DE12A3">
              <w:rPr>
                <w:i/>
                <w:iCs/>
                <w:sz w:val="24"/>
                <w:szCs w:val="24"/>
              </w:rPr>
              <w:t>r</w:t>
            </w:r>
            <w:r w:rsidRPr="00DE12A3">
              <w:rPr>
                <w:sz w:val="24"/>
                <w:szCs w:val="24"/>
                <w:vertAlign w:val="subscript"/>
              </w:rPr>
              <w:t>d</w:t>
            </w:r>
            <w:r w:rsidRPr="00DE12A3">
              <w:rPr>
                <w:sz w:val="24"/>
                <w:szCs w:val="24"/>
              </w:rPr>
              <w:t>" gibi.</w:t>
            </w:r>
          </w:p>
          <w:p w14:paraId="2F49168B" w14:textId="77777777" w:rsidR="00197998" w:rsidRPr="00DE12A3" w:rsidRDefault="00197998" w:rsidP="00C917D6">
            <w:pPr>
              <w:spacing w:before="120" w:after="120"/>
              <w:ind w:left="709" w:hanging="709"/>
              <w:jc w:val="both"/>
              <w:rPr>
                <w:rFonts w:cs="Times New Roman"/>
                <w:color w:val="auto"/>
              </w:rPr>
            </w:pPr>
          </w:p>
        </w:tc>
      </w:tr>
    </w:tbl>
    <w:p w14:paraId="73B0A918" w14:textId="77777777" w:rsidR="00197998" w:rsidRPr="00DE12A3" w:rsidRDefault="00197998" w:rsidP="00C917D6">
      <w:pPr>
        <w:spacing w:before="120" w:after="120"/>
        <w:ind w:left="709" w:hanging="709"/>
        <w:jc w:val="both"/>
        <w:rPr>
          <w:rFonts w:eastAsia="Times New Roman" w:cs="Times New Roman"/>
          <w:color w:val="auto"/>
          <w:sz w:val="20"/>
          <w:szCs w:val="20"/>
          <w:lang w:eastAsia="en-US"/>
        </w:rPr>
      </w:pPr>
    </w:p>
    <w:p w14:paraId="5B5400D8" w14:textId="322707F9" w:rsidR="002D7B36" w:rsidRPr="00DE12A3" w:rsidRDefault="00242DA0" w:rsidP="00E20716">
      <w:pPr>
        <w:pStyle w:val="Gvdemetni251"/>
        <w:numPr>
          <w:ilvl w:val="1"/>
          <w:numId w:val="394"/>
        </w:numPr>
        <w:shd w:val="clear" w:color="auto" w:fill="auto"/>
        <w:tabs>
          <w:tab w:val="left" w:pos="709"/>
          <w:tab w:val="right" w:pos="1541"/>
          <w:tab w:val="right" w:pos="2602"/>
          <w:tab w:val="right" w:pos="2861"/>
          <w:tab w:val="right" w:pos="3115"/>
          <w:tab w:val="right" w:pos="3778"/>
          <w:tab w:val="right" w:pos="4656"/>
          <w:tab w:val="right" w:pos="5078"/>
          <w:tab w:val="right" w:pos="5504"/>
        </w:tabs>
        <w:spacing w:before="120" w:after="120" w:line="240" w:lineRule="auto"/>
        <w:ind w:left="709" w:hanging="709"/>
        <w:rPr>
          <w:color w:val="auto"/>
          <w:sz w:val="24"/>
          <w:szCs w:val="24"/>
        </w:rPr>
      </w:pPr>
      <w:r w:rsidRPr="00DE12A3">
        <w:rPr>
          <w:color w:val="auto"/>
          <w:sz w:val="24"/>
          <w:szCs w:val="24"/>
        </w:rPr>
        <w:t>Kimyasal bileşenler için semboller ve kısaltmalar (bunlar da alt indis olarak kullanılır</w:t>
      </w:r>
      <w:r w:rsidR="003D51C5" w:rsidRPr="00DE12A3">
        <w:rPr>
          <w:color w:val="auto"/>
          <w:sz w:val="24"/>
          <w:szCs w:val="24"/>
        </w:rPr>
        <w:t>.</w:t>
      </w:r>
      <w:r w:rsidRPr="00DE12A3">
        <w:rPr>
          <w:color w:val="auto"/>
          <w:sz w:val="24"/>
          <w:szCs w:val="24"/>
        </w:rPr>
        <w:t>)</w:t>
      </w:r>
    </w:p>
    <w:tbl>
      <w:tblPr>
        <w:tblpPr w:leftFromText="141" w:rightFromText="141" w:vertAnchor="text" w:horzAnchor="margin" w:tblpXSpec="center" w:tblpY="339"/>
        <w:tblOverlap w:val="never"/>
        <w:tblW w:w="75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099"/>
        <w:gridCol w:w="960"/>
        <w:gridCol w:w="5530"/>
      </w:tblGrid>
      <w:tr w:rsidR="00DE12A3" w:rsidRPr="00DE12A3" w14:paraId="57AA002A" w14:textId="77777777" w:rsidTr="00910EB3">
        <w:trPr>
          <w:trHeight w:hRule="exact" w:val="480"/>
        </w:trPr>
        <w:tc>
          <w:tcPr>
            <w:tcW w:w="1099" w:type="dxa"/>
            <w:shd w:val="clear" w:color="auto" w:fill="auto"/>
          </w:tcPr>
          <w:p w14:paraId="40B13383" w14:textId="77777777" w:rsidR="002D7B36" w:rsidRPr="00DE12A3" w:rsidRDefault="00242DA0" w:rsidP="00C917D6">
            <w:pPr>
              <w:spacing w:before="120" w:after="120"/>
              <w:ind w:left="709" w:hanging="709"/>
              <w:jc w:val="both"/>
              <w:rPr>
                <w:rFonts w:cs="Times New Roman"/>
                <w:color w:val="auto"/>
              </w:rPr>
            </w:pPr>
            <w:r w:rsidRPr="00DE12A3">
              <w:rPr>
                <w:rFonts w:cs="Times New Roman"/>
                <w:color w:val="auto"/>
              </w:rPr>
              <w:t>Bölüm 2</w:t>
            </w:r>
          </w:p>
        </w:tc>
        <w:tc>
          <w:tcPr>
            <w:tcW w:w="960" w:type="dxa"/>
            <w:shd w:val="clear" w:color="auto" w:fill="auto"/>
          </w:tcPr>
          <w:p w14:paraId="691208A5" w14:textId="77777777" w:rsidR="002D7B36" w:rsidRPr="00DE12A3" w:rsidRDefault="00242DA0" w:rsidP="00C917D6">
            <w:pPr>
              <w:spacing w:before="120" w:after="120"/>
              <w:ind w:left="709" w:hanging="709"/>
              <w:jc w:val="both"/>
              <w:rPr>
                <w:rFonts w:cs="Times New Roman"/>
                <w:color w:val="auto"/>
              </w:rPr>
            </w:pPr>
            <w:r w:rsidRPr="00DE12A3">
              <w:rPr>
                <w:rFonts w:cs="Times New Roman"/>
                <w:color w:val="auto"/>
              </w:rPr>
              <w:t>Bölüm 3</w:t>
            </w:r>
          </w:p>
        </w:tc>
        <w:tc>
          <w:tcPr>
            <w:tcW w:w="5530" w:type="dxa"/>
            <w:shd w:val="clear" w:color="auto" w:fill="auto"/>
          </w:tcPr>
          <w:p w14:paraId="73E29CE5" w14:textId="77777777" w:rsidR="002D7B36" w:rsidRPr="00DE12A3" w:rsidRDefault="00242DA0" w:rsidP="00C917D6">
            <w:pPr>
              <w:spacing w:before="120" w:after="120"/>
              <w:ind w:left="709" w:hanging="709"/>
              <w:jc w:val="both"/>
              <w:rPr>
                <w:rFonts w:cs="Times New Roman"/>
                <w:color w:val="auto"/>
              </w:rPr>
            </w:pPr>
            <w:r w:rsidRPr="00DE12A3">
              <w:rPr>
                <w:rFonts w:cs="Times New Roman"/>
                <w:color w:val="auto"/>
              </w:rPr>
              <w:t>Miktar</w:t>
            </w:r>
          </w:p>
        </w:tc>
      </w:tr>
      <w:tr w:rsidR="00DE12A3" w:rsidRPr="00DE12A3" w14:paraId="636EF1CE" w14:textId="77777777" w:rsidTr="00910EB3">
        <w:trPr>
          <w:trHeight w:hRule="exact" w:val="494"/>
        </w:trPr>
        <w:tc>
          <w:tcPr>
            <w:tcW w:w="1099" w:type="dxa"/>
            <w:shd w:val="clear" w:color="auto" w:fill="auto"/>
          </w:tcPr>
          <w:p w14:paraId="2FD53894" w14:textId="77777777" w:rsidR="002D7B36" w:rsidRPr="00DE12A3" w:rsidRDefault="00242DA0" w:rsidP="00C917D6">
            <w:pPr>
              <w:pStyle w:val="Gvdemetni361"/>
              <w:shd w:val="clear" w:color="auto" w:fill="auto"/>
              <w:spacing w:before="120" w:after="120" w:line="240" w:lineRule="auto"/>
              <w:ind w:left="709" w:hanging="709"/>
              <w:rPr>
                <w:color w:val="auto"/>
                <w:sz w:val="24"/>
                <w:szCs w:val="24"/>
              </w:rPr>
            </w:pPr>
            <w:r w:rsidRPr="00DE12A3">
              <w:rPr>
                <w:rStyle w:val="Gvdemetni367pt0ptbolukbraklyor"/>
                <w:rFonts w:eastAsia="Courier New"/>
                <w:color w:val="auto"/>
                <w:sz w:val="24"/>
                <w:szCs w:val="24"/>
              </w:rPr>
              <w:t>Ar</w:t>
            </w:r>
          </w:p>
        </w:tc>
        <w:tc>
          <w:tcPr>
            <w:tcW w:w="960" w:type="dxa"/>
            <w:shd w:val="clear" w:color="auto" w:fill="auto"/>
          </w:tcPr>
          <w:p w14:paraId="21E86022" w14:textId="77777777" w:rsidR="002D7B36" w:rsidRPr="00DE12A3" w:rsidRDefault="00242DA0" w:rsidP="00C917D6">
            <w:pPr>
              <w:pStyle w:val="Gvdemetni361"/>
              <w:shd w:val="clear" w:color="auto" w:fill="auto"/>
              <w:spacing w:before="120" w:after="120" w:line="240" w:lineRule="auto"/>
              <w:ind w:left="709" w:hanging="709"/>
              <w:rPr>
                <w:color w:val="auto"/>
                <w:sz w:val="24"/>
                <w:szCs w:val="24"/>
              </w:rPr>
            </w:pPr>
            <w:r w:rsidRPr="00DE12A3">
              <w:rPr>
                <w:rStyle w:val="Gvdemetni367pt0ptbolukbraklyor"/>
                <w:rFonts w:eastAsia="Courier New"/>
                <w:color w:val="auto"/>
                <w:sz w:val="24"/>
                <w:szCs w:val="24"/>
              </w:rPr>
              <w:t>Ar</w:t>
            </w:r>
          </w:p>
        </w:tc>
        <w:tc>
          <w:tcPr>
            <w:tcW w:w="5530" w:type="dxa"/>
            <w:shd w:val="clear" w:color="auto" w:fill="auto"/>
          </w:tcPr>
          <w:p w14:paraId="6ABCAE13" w14:textId="77777777" w:rsidR="002D7B36" w:rsidRPr="00DE12A3" w:rsidRDefault="00242DA0" w:rsidP="00C917D6">
            <w:pPr>
              <w:pStyle w:val="Gvdemetni361"/>
              <w:shd w:val="clear" w:color="auto" w:fill="auto"/>
              <w:spacing w:before="120" w:after="120" w:line="240" w:lineRule="auto"/>
              <w:ind w:left="709" w:hanging="709"/>
              <w:rPr>
                <w:color w:val="auto"/>
                <w:sz w:val="24"/>
                <w:szCs w:val="24"/>
              </w:rPr>
            </w:pPr>
            <w:r w:rsidRPr="00DE12A3">
              <w:rPr>
                <w:rStyle w:val="Gvdemetni367pt0ptbolukbraklyor"/>
                <w:rFonts w:eastAsia="Courier New"/>
                <w:color w:val="auto"/>
                <w:sz w:val="24"/>
                <w:szCs w:val="24"/>
              </w:rPr>
              <w:t>Argon</w:t>
            </w:r>
          </w:p>
        </w:tc>
      </w:tr>
      <w:tr w:rsidR="00DE12A3" w:rsidRPr="00DE12A3" w14:paraId="564A8F76" w14:textId="77777777" w:rsidTr="00910EB3">
        <w:trPr>
          <w:trHeight w:hRule="exact" w:val="494"/>
        </w:trPr>
        <w:tc>
          <w:tcPr>
            <w:tcW w:w="1099" w:type="dxa"/>
            <w:shd w:val="clear" w:color="auto" w:fill="auto"/>
          </w:tcPr>
          <w:p w14:paraId="323F630C" w14:textId="77777777" w:rsidR="002D7B36" w:rsidRPr="00DE12A3" w:rsidRDefault="00242DA0" w:rsidP="00C917D6">
            <w:pPr>
              <w:pStyle w:val="Gvdemetni361"/>
              <w:shd w:val="clear" w:color="auto" w:fill="auto"/>
              <w:spacing w:before="120" w:after="120" w:line="240" w:lineRule="auto"/>
              <w:ind w:left="709" w:hanging="709"/>
              <w:rPr>
                <w:rStyle w:val="Gvdemetni367pt0ptbolukbraklyor"/>
                <w:rFonts w:eastAsia="Courier New"/>
                <w:color w:val="auto"/>
                <w:sz w:val="24"/>
                <w:szCs w:val="24"/>
              </w:rPr>
            </w:pPr>
            <w:r w:rsidRPr="00DE12A3">
              <w:rPr>
                <w:rStyle w:val="Gvdemetni367pt0ptbolukbraklyor"/>
                <w:rFonts w:eastAsia="Courier New"/>
                <w:color w:val="auto"/>
                <w:sz w:val="24"/>
                <w:szCs w:val="24"/>
              </w:rPr>
              <w:t>C1</w:t>
            </w:r>
          </w:p>
        </w:tc>
        <w:tc>
          <w:tcPr>
            <w:tcW w:w="960" w:type="dxa"/>
            <w:shd w:val="clear" w:color="auto" w:fill="auto"/>
          </w:tcPr>
          <w:p w14:paraId="44C79CD3" w14:textId="77777777" w:rsidR="002D7B36" w:rsidRPr="00DE12A3" w:rsidRDefault="00242DA0" w:rsidP="00C917D6">
            <w:pPr>
              <w:pStyle w:val="Gvdemetni361"/>
              <w:shd w:val="clear" w:color="auto" w:fill="auto"/>
              <w:spacing w:before="120" w:after="120" w:line="240" w:lineRule="auto"/>
              <w:ind w:left="709" w:hanging="709"/>
              <w:rPr>
                <w:rStyle w:val="Gvdemetni367pt0ptbolukbraklyor"/>
                <w:rFonts w:eastAsia="Courier New"/>
                <w:color w:val="auto"/>
                <w:sz w:val="24"/>
                <w:szCs w:val="24"/>
              </w:rPr>
            </w:pPr>
            <w:r w:rsidRPr="00DE12A3">
              <w:rPr>
                <w:rStyle w:val="Gvdemetni367pt0ptbolukbraklyor"/>
                <w:rFonts w:eastAsia="Courier New"/>
                <w:color w:val="auto"/>
                <w:sz w:val="24"/>
                <w:szCs w:val="24"/>
              </w:rPr>
              <w:t>C1</w:t>
            </w:r>
          </w:p>
        </w:tc>
        <w:tc>
          <w:tcPr>
            <w:tcW w:w="5530" w:type="dxa"/>
            <w:shd w:val="clear" w:color="auto" w:fill="auto"/>
          </w:tcPr>
          <w:p w14:paraId="38D81FD9" w14:textId="77777777" w:rsidR="002D7B36" w:rsidRPr="00DE12A3" w:rsidRDefault="00242DA0" w:rsidP="00C917D6">
            <w:pPr>
              <w:spacing w:before="120" w:after="120"/>
              <w:ind w:left="709" w:hanging="709"/>
              <w:jc w:val="both"/>
              <w:rPr>
                <w:rFonts w:cs="Times New Roman"/>
                <w:color w:val="auto"/>
              </w:rPr>
            </w:pPr>
            <w:r w:rsidRPr="00DE12A3">
              <w:rPr>
                <w:rFonts w:cs="Times New Roman"/>
                <w:color w:val="auto"/>
              </w:rPr>
              <w:t>Karbon 1 dengi hidrokarbon</w:t>
            </w:r>
          </w:p>
        </w:tc>
      </w:tr>
      <w:tr w:rsidR="00DE12A3" w:rsidRPr="00DE12A3" w14:paraId="7B221186" w14:textId="77777777" w:rsidTr="00910EB3">
        <w:trPr>
          <w:trHeight w:hRule="exact" w:val="494"/>
        </w:trPr>
        <w:tc>
          <w:tcPr>
            <w:tcW w:w="1099" w:type="dxa"/>
            <w:shd w:val="clear" w:color="auto" w:fill="auto"/>
          </w:tcPr>
          <w:p w14:paraId="056E9496" w14:textId="77777777" w:rsidR="002D7B36" w:rsidRPr="00DE12A3" w:rsidRDefault="00242DA0" w:rsidP="00C917D6">
            <w:pPr>
              <w:pStyle w:val="Gvdemetni361"/>
              <w:shd w:val="clear" w:color="auto" w:fill="auto"/>
              <w:spacing w:before="120" w:after="120" w:line="240" w:lineRule="auto"/>
              <w:ind w:left="709" w:hanging="709"/>
              <w:rPr>
                <w:rStyle w:val="Gvdemetni367pt0ptbolukbraklyor"/>
                <w:rFonts w:eastAsia="Courier New"/>
                <w:color w:val="auto"/>
                <w:sz w:val="24"/>
                <w:szCs w:val="24"/>
              </w:rPr>
            </w:pPr>
            <w:r w:rsidRPr="00DE12A3">
              <w:rPr>
                <w:rStyle w:val="Gvdemetni367pt0ptbolukbraklyor"/>
                <w:rFonts w:eastAsia="Courier New"/>
                <w:color w:val="auto"/>
                <w:sz w:val="24"/>
                <w:szCs w:val="24"/>
              </w:rPr>
              <w:t>CH</w:t>
            </w:r>
            <w:r w:rsidRPr="00DE12A3">
              <w:rPr>
                <w:rStyle w:val="Gvdemetni367pt0ptbolukbraklyor"/>
                <w:rFonts w:eastAsia="Courier New"/>
                <w:color w:val="auto"/>
                <w:sz w:val="24"/>
                <w:szCs w:val="24"/>
                <w:vertAlign w:val="subscript"/>
              </w:rPr>
              <w:t>4</w:t>
            </w:r>
          </w:p>
        </w:tc>
        <w:tc>
          <w:tcPr>
            <w:tcW w:w="960" w:type="dxa"/>
            <w:shd w:val="clear" w:color="auto" w:fill="auto"/>
          </w:tcPr>
          <w:p w14:paraId="7E46F57C" w14:textId="77777777" w:rsidR="002D7B36" w:rsidRPr="00DE12A3" w:rsidRDefault="00242DA0" w:rsidP="00C917D6">
            <w:pPr>
              <w:pStyle w:val="Gvdemetni361"/>
              <w:shd w:val="clear" w:color="auto" w:fill="auto"/>
              <w:spacing w:before="120" w:after="120" w:line="240" w:lineRule="auto"/>
              <w:ind w:left="709" w:hanging="709"/>
              <w:rPr>
                <w:rStyle w:val="Gvdemetni367pt0ptbolukbraklyor"/>
                <w:rFonts w:eastAsia="Courier New"/>
                <w:color w:val="auto"/>
                <w:sz w:val="24"/>
                <w:szCs w:val="24"/>
              </w:rPr>
            </w:pPr>
            <w:r w:rsidRPr="00DE12A3">
              <w:rPr>
                <w:rStyle w:val="Gvdemetni367pt0ptbolukbraklyor"/>
                <w:rFonts w:eastAsia="Courier New"/>
                <w:color w:val="auto"/>
                <w:sz w:val="24"/>
                <w:szCs w:val="24"/>
              </w:rPr>
              <w:t>CH</w:t>
            </w:r>
            <w:r w:rsidRPr="00DE12A3">
              <w:rPr>
                <w:rStyle w:val="Gvdemetni367pt0ptbolukbraklyor"/>
                <w:rFonts w:eastAsia="Courier New"/>
                <w:color w:val="auto"/>
                <w:sz w:val="24"/>
                <w:szCs w:val="24"/>
                <w:vertAlign w:val="subscript"/>
              </w:rPr>
              <w:t>4</w:t>
            </w:r>
          </w:p>
        </w:tc>
        <w:tc>
          <w:tcPr>
            <w:tcW w:w="5530" w:type="dxa"/>
            <w:shd w:val="clear" w:color="auto" w:fill="auto"/>
          </w:tcPr>
          <w:p w14:paraId="0344A2B1" w14:textId="77777777" w:rsidR="002D7B36" w:rsidRPr="00DE12A3" w:rsidRDefault="00242DA0" w:rsidP="00C917D6">
            <w:pPr>
              <w:spacing w:before="120" w:after="120"/>
              <w:ind w:left="709" w:hanging="709"/>
              <w:jc w:val="both"/>
              <w:rPr>
                <w:rFonts w:cs="Times New Roman"/>
                <w:color w:val="auto"/>
              </w:rPr>
            </w:pPr>
            <w:r w:rsidRPr="00DE12A3">
              <w:rPr>
                <w:rFonts w:cs="Times New Roman"/>
                <w:color w:val="auto"/>
              </w:rPr>
              <w:t>Metan</w:t>
            </w:r>
          </w:p>
        </w:tc>
      </w:tr>
      <w:tr w:rsidR="00DE12A3" w:rsidRPr="00DE12A3" w14:paraId="4759AE6B" w14:textId="77777777" w:rsidTr="00910EB3">
        <w:trPr>
          <w:trHeight w:hRule="exact" w:val="490"/>
        </w:trPr>
        <w:tc>
          <w:tcPr>
            <w:tcW w:w="1099" w:type="dxa"/>
            <w:shd w:val="clear" w:color="auto" w:fill="auto"/>
          </w:tcPr>
          <w:p w14:paraId="65074ED8" w14:textId="77777777" w:rsidR="002D7B36" w:rsidRPr="00DE12A3" w:rsidRDefault="00242DA0" w:rsidP="00C917D6">
            <w:pPr>
              <w:pStyle w:val="Gvdemetni361"/>
              <w:shd w:val="clear" w:color="auto" w:fill="auto"/>
              <w:spacing w:before="120" w:after="120" w:line="240" w:lineRule="auto"/>
              <w:ind w:left="709" w:hanging="709"/>
              <w:rPr>
                <w:rStyle w:val="Gvdemetni367pt0ptbolukbraklyor"/>
                <w:rFonts w:eastAsia="Courier New"/>
                <w:color w:val="auto"/>
                <w:sz w:val="24"/>
                <w:szCs w:val="24"/>
              </w:rPr>
            </w:pPr>
            <w:r w:rsidRPr="00DE12A3">
              <w:rPr>
                <w:rStyle w:val="Gvdemetni367pt0ptbolukbraklyor"/>
                <w:rFonts w:eastAsia="Courier New"/>
                <w:color w:val="auto"/>
                <w:sz w:val="24"/>
                <w:szCs w:val="24"/>
              </w:rPr>
              <w:t>C</w:t>
            </w:r>
            <w:r w:rsidRPr="00DE12A3">
              <w:rPr>
                <w:rStyle w:val="Gvdemetni367pt0ptbolukbraklyor"/>
                <w:rFonts w:eastAsia="Georgia"/>
                <w:color w:val="auto"/>
                <w:sz w:val="24"/>
                <w:szCs w:val="24"/>
                <w:vertAlign w:val="subscript"/>
              </w:rPr>
              <w:t>2</w:t>
            </w:r>
            <w:r w:rsidRPr="00DE12A3">
              <w:rPr>
                <w:rStyle w:val="Gvdemetni367pt0ptbolukbraklyor"/>
                <w:rFonts w:eastAsia="Courier New"/>
                <w:color w:val="auto"/>
                <w:sz w:val="24"/>
                <w:szCs w:val="24"/>
              </w:rPr>
              <w:t>H</w:t>
            </w:r>
            <w:r w:rsidRPr="00DE12A3">
              <w:rPr>
                <w:rStyle w:val="Gvdemetni367pt0ptbolukbraklyor"/>
                <w:rFonts w:eastAsia="Georgia"/>
                <w:color w:val="auto"/>
                <w:sz w:val="24"/>
                <w:szCs w:val="24"/>
                <w:vertAlign w:val="subscript"/>
              </w:rPr>
              <w:t>6</w:t>
            </w:r>
          </w:p>
        </w:tc>
        <w:tc>
          <w:tcPr>
            <w:tcW w:w="960" w:type="dxa"/>
            <w:shd w:val="clear" w:color="auto" w:fill="auto"/>
          </w:tcPr>
          <w:p w14:paraId="6468AD7A" w14:textId="77777777" w:rsidR="002D7B36" w:rsidRPr="00DE12A3" w:rsidRDefault="00242DA0" w:rsidP="00C917D6">
            <w:pPr>
              <w:pStyle w:val="Gvdemetni361"/>
              <w:shd w:val="clear" w:color="auto" w:fill="auto"/>
              <w:spacing w:before="120" w:after="120" w:line="240" w:lineRule="auto"/>
              <w:ind w:left="709" w:hanging="709"/>
              <w:rPr>
                <w:rStyle w:val="Gvdemetni367pt0ptbolukbraklyor"/>
                <w:rFonts w:eastAsia="Courier New"/>
                <w:color w:val="auto"/>
                <w:sz w:val="24"/>
                <w:szCs w:val="24"/>
              </w:rPr>
            </w:pPr>
            <w:r w:rsidRPr="00DE12A3">
              <w:rPr>
                <w:rStyle w:val="Gvdemetni367pt0ptbolukbraklyor"/>
                <w:rFonts w:eastAsia="Courier New"/>
                <w:color w:val="auto"/>
                <w:sz w:val="24"/>
                <w:szCs w:val="24"/>
              </w:rPr>
              <w:t>C</w:t>
            </w:r>
            <w:r w:rsidRPr="00DE12A3">
              <w:rPr>
                <w:rStyle w:val="Gvdemetni367pt0ptbolukbraklyor"/>
                <w:rFonts w:eastAsia="Georgia"/>
                <w:color w:val="auto"/>
                <w:sz w:val="24"/>
                <w:szCs w:val="24"/>
                <w:vertAlign w:val="subscript"/>
              </w:rPr>
              <w:t>2</w:t>
            </w:r>
            <w:r w:rsidRPr="00DE12A3">
              <w:rPr>
                <w:rStyle w:val="Gvdemetni367pt0ptbolukbraklyor"/>
                <w:rFonts w:eastAsia="Courier New"/>
                <w:color w:val="auto"/>
                <w:sz w:val="24"/>
                <w:szCs w:val="24"/>
              </w:rPr>
              <w:t>H</w:t>
            </w:r>
            <w:r w:rsidRPr="00DE12A3">
              <w:rPr>
                <w:rStyle w:val="Gvdemetni367pt0ptbolukbraklyor"/>
                <w:rFonts w:eastAsia="Georgia"/>
                <w:color w:val="auto"/>
                <w:sz w:val="24"/>
                <w:szCs w:val="24"/>
                <w:vertAlign w:val="subscript"/>
              </w:rPr>
              <w:t>6</w:t>
            </w:r>
          </w:p>
        </w:tc>
        <w:tc>
          <w:tcPr>
            <w:tcW w:w="5530" w:type="dxa"/>
            <w:shd w:val="clear" w:color="auto" w:fill="auto"/>
          </w:tcPr>
          <w:p w14:paraId="1ED40893" w14:textId="77777777" w:rsidR="002D7B36" w:rsidRPr="00DE12A3" w:rsidRDefault="00242DA0" w:rsidP="00C917D6">
            <w:pPr>
              <w:spacing w:before="120" w:after="120"/>
              <w:ind w:left="709" w:hanging="709"/>
              <w:jc w:val="both"/>
              <w:rPr>
                <w:rFonts w:cs="Times New Roman"/>
                <w:color w:val="auto"/>
              </w:rPr>
            </w:pPr>
            <w:r w:rsidRPr="00DE12A3">
              <w:rPr>
                <w:rFonts w:cs="Times New Roman"/>
                <w:color w:val="auto"/>
              </w:rPr>
              <w:t>Etan</w:t>
            </w:r>
          </w:p>
        </w:tc>
      </w:tr>
      <w:tr w:rsidR="00DE12A3" w:rsidRPr="00DE12A3" w14:paraId="526C5E37" w14:textId="77777777" w:rsidTr="00910EB3">
        <w:trPr>
          <w:trHeight w:hRule="exact" w:val="494"/>
        </w:trPr>
        <w:tc>
          <w:tcPr>
            <w:tcW w:w="1099" w:type="dxa"/>
            <w:shd w:val="clear" w:color="auto" w:fill="auto"/>
          </w:tcPr>
          <w:p w14:paraId="56850F7E" w14:textId="77777777" w:rsidR="002D7B36" w:rsidRPr="00DE12A3" w:rsidRDefault="00242DA0" w:rsidP="00C917D6">
            <w:pPr>
              <w:pStyle w:val="Gvdemetni361"/>
              <w:shd w:val="clear" w:color="auto" w:fill="auto"/>
              <w:spacing w:before="120" w:after="120" w:line="240" w:lineRule="auto"/>
              <w:ind w:left="709" w:hanging="709"/>
              <w:rPr>
                <w:rStyle w:val="Gvdemetni367pt0ptbolukbraklyor"/>
                <w:rFonts w:eastAsia="Courier New"/>
                <w:color w:val="auto"/>
                <w:sz w:val="24"/>
                <w:szCs w:val="24"/>
              </w:rPr>
            </w:pPr>
            <w:r w:rsidRPr="00DE12A3">
              <w:rPr>
                <w:rStyle w:val="Gvdemetni367pt0ptbolukbraklyor"/>
                <w:rFonts w:eastAsia="Courier New"/>
                <w:color w:val="auto"/>
                <w:sz w:val="24"/>
                <w:szCs w:val="24"/>
              </w:rPr>
              <w:t>C</w:t>
            </w:r>
            <w:r w:rsidRPr="00DE12A3">
              <w:rPr>
                <w:rStyle w:val="Gvdemetni367pt0ptbolukbraklyor"/>
                <w:rFonts w:eastAsia="Courier New"/>
                <w:color w:val="auto"/>
                <w:sz w:val="24"/>
                <w:szCs w:val="24"/>
                <w:vertAlign w:val="subscript"/>
              </w:rPr>
              <w:t>3</w:t>
            </w:r>
            <w:r w:rsidRPr="00DE12A3">
              <w:rPr>
                <w:rStyle w:val="Gvdemetni367pt0ptbolukbraklyor"/>
                <w:rFonts w:eastAsia="Courier New"/>
                <w:color w:val="auto"/>
                <w:sz w:val="24"/>
                <w:szCs w:val="24"/>
              </w:rPr>
              <w:t>H</w:t>
            </w:r>
            <w:r w:rsidRPr="00DE12A3">
              <w:rPr>
                <w:rStyle w:val="Gvdemetni367pt0ptbolukbraklyor"/>
                <w:rFonts w:eastAsia="Courier New"/>
                <w:color w:val="auto"/>
                <w:sz w:val="24"/>
                <w:szCs w:val="24"/>
                <w:vertAlign w:val="subscript"/>
              </w:rPr>
              <w:t>8</w:t>
            </w:r>
          </w:p>
        </w:tc>
        <w:tc>
          <w:tcPr>
            <w:tcW w:w="960" w:type="dxa"/>
            <w:shd w:val="clear" w:color="auto" w:fill="auto"/>
          </w:tcPr>
          <w:p w14:paraId="49B03FB2" w14:textId="77777777" w:rsidR="002D7B36" w:rsidRPr="00DE12A3" w:rsidRDefault="00242DA0" w:rsidP="00C917D6">
            <w:pPr>
              <w:pStyle w:val="Gvdemetni361"/>
              <w:shd w:val="clear" w:color="auto" w:fill="auto"/>
              <w:spacing w:before="120" w:after="120" w:line="240" w:lineRule="auto"/>
              <w:ind w:left="709" w:hanging="709"/>
              <w:rPr>
                <w:rStyle w:val="Gvdemetni367pt0ptbolukbraklyor"/>
                <w:rFonts w:eastAsia="Courier New"/>
                <w:color w:val="auto"/>
                <w:sz w:val="24"/>
                <w:szCs w:val="24"/>
              </w:rPr>
            </w:pPr>
            <w:r w:rsidRPr="00DE12A3">
              <w:rPr>
                <w:rStyle w:val="Gvdemetni367pt0ptbolukbraklyor"/>
                <w:rFonts w:eastAsia="Courier New"/>
                <w:color w:val="auto"/>
                <w:sz w:val="24"/>
                <w:szCs w:val="24"/>
              </w:rPr>
              <w:t>C</w:t>
            </w:r>
            <w:r w:rsidRPr="00DE12A3">
              <w:rPr>
                <w:rStyle w:val="Gvdemetni367pt0ptbolukbraklyor"/>
                <w:rFonts w:eastAsia="Courier New"/>
                <w:color w:val="auto"/>
                <w:sz w:val="24"/>
                <w:szCs w:val="24"/>
                <w:vertAlign w:val="subscript"/>
              </w:rPr>
              <w:t>3</w:t>
            </w:r>
            <w:r w:rsidRPr="00DE12A3">
              <w:rPr>
                <w:rStyle w:val="Gvdemetni367pt0ptbolukbraklyor"/>
                <w:rFonts w:eastAsia="Courier New"/>
                <w:color w:val="auto"/>
                <w:sz w:val="24"/>
                <w:szCs w:val="24"/>
              </w:rPr>
              <w:t>H</w:t>
            </w:r>
            <w:r w:rsidRPr="00DE12A3">
              <w:rPr>
                <w:rStyle w:val="Gvdemetni367pt0ptbolukbraklyor"/>
                <w:rFonts w:eastAsia="Courier New"/>
                <w:color w:val="auto"/>
                <w:sz w:val="24"/>
                <w:szCs w:val="24"/>
                <w:vertAlign w:val="subscript"/>
              </w:rPr>
              <w:t>8</w:t>
            </w:r>
          </w:p>
        </w:tc>
        <w:tc>
          <w:tcPr>
            <w:tcW w:w="5530" w:type="dxa"/>
            <w:shd w:val="clear" w:color="auto" w:fill="auto"/>
          </w:tcPr>
          <w:p w14:paraId="09887139" w14:textId="77777777" w:rsidR="002D7B36" w:rsidRPr="00DE12A3" w:rsidRDefault="00242DA0" w:rsidP="00C917D6">
            <w:pPr>
              <w:spacing w:before="120" w:after="120"/>
              <w:ind w:left="709" w:hanging="709"/>
              <w:jc w:val="both"/>
              <w:rPr>
                <w:rFonts w:cs="Times New Roman"/>
                <w:color w:val="auto"/>
              </w:rPr>
            </w:pPr>
            <w:r w:rsidRPr="00DE12A3">
              <w:rPr>
                <w:rFonts w:cs="Times New Roman"/>
                <w:color w:val="auto"/>
              </w:rPr>
              <w:t>Propan</w:t>
            </w:r>
          </w:p>
        </w:tc>
      </w:tr>
      <w:tr w:rsidR="00DE12A3" w:rsidRPr="00DE12A3" w14:paraId="75F348F1" w14:textId="77777777" w:rsidTr="00910EB3">
        <w:trPr>
          <w:trHeight w:hRule="exact" w:val="494"/>
        </w:trPr>
        <w:tc>
          <w:tcPr>
            <w:tcW w:w="1099" w:type="dxa"/>
            <w:shd w:val="clear" w:color="auto" w:fill="auto"/>
          </w:tcPr>
          <w:p w14:paraId="22673AE6" w14:textId="77777777" w:rsidR="002D7B36" w:rsidRPr="00DE12A3" w:rsidRDefault="00242DA0" w:rsidP="00C917D6">
            <w:pPr>
              <w:pStyle w:val="Gvdemetni361"/>
              <w:shd w:val="clear" w:color="auto" w:fill="auto"/>
              <w:spacing w:before="120" w:after="120" w:line="240" w:lineRule="auto"/>
              <w:ind w:left="709" w:hanging="709"/>
              <w:rPr>
                <w:rStyle w:val="Gvdemetni367pt0ptbolukbraklyor"/>
                <w:rFonts w:eastAsia="Courier New"/>
                <w:color w:val="auto"/>
                <w:sz w:val="24"/>
                <w:szCs w:val="24"/>
              </w:rPr>
            </w:pPr>
            <w:r w:rsidRPr="00DE12A3">
              <w:rPr>
                <w:rStyle w:val="Gvdemetni367pt0ptbolukbraklyor"/>
                <w:rFonts w:eastAsia="Courier New"/>
                <w:color w:val="auto"/>
                <w:sz w:val="24"/>
                <w:szCs w:val="24"/>
              </w:rPr>
              <w:t>CO</w:t>
            </w:r>
          </w:p>
        </w:tc>
        <w:tc>
          <w:tcPr>
            <w:tcW w:w="960" w:type="dxa"/>
            <w:shd w:val="clear" w:color="auto" w:fill="auto"/>
          </w:tcPr>
          <w:p w14:paraId="6D4B5801" w14:textId="77777777" w:rsidR="002D7B36" w:rsidRPr="00DE12A3" w:rsidRDefault="00242DA0" w:rsidP="00C917D6">
            <w:pPr>
              <w:pStyle w:val="Gvdemetni361"/>
              <w:shd w:val="clear" w:color="auto" w:fill="auto"/>
              <w:spacing w:before="120" w:after="120" w:line="240" w:lineRule="auto"/>
              <w:ind w:left="709" w:hanging="709"/>
              <w:rPr>
                <w:rStyle w:val="Gvdemetni367pt0ptbolukbraklyor"/>
                <w:rFonts w:eastAsia="Courier New"/>
                <w:color w:val="auto"/>
                <w:sz w:val="24"/>
                <w:szCs w:val="24"/>
              </w:rPr>
            </w:pPr>
            <w:r w:rsidRPr="00DE12A3">
              <w:rPr>
                <w:rStyle w:val="Gvdemetni367pt0ptbolukbraklyor"/>
                <w:rFonts w:eastAsia="Courier New"/>
                <w:color w:val="auto"/>
                <w:sz w:val="24"/>
                <w:szCs w:val="24"/>
              </w:rPr>
              <w:t>CO</w:t>
            </w:r>
          </w:p>
        </w:tc>
        <w:tc>
          <w:tcPr>
            <w:tcW w:w="5530" w:type="dxa"/>
            <w:shd w:val="clear" w:color="auto" w:fill="auto"/>
          </w:tcPr>
          <w:p w14:paraId="7E7BFF04" w14:textId="77777777" w:rsidR="002D7B36" w:rsidRPr="00DE12A3" w:rsidRDefault="00242DA0" w:rsidP="00C917D6">
            <w:pPr>
              <w:spacing w:before="120" w:after="120"/>
              <w:ind w:left="709" w:hanging="709"/>
              <w:jc w:val="both"/>
              <w:rPr>
                <w:rFonts w:cs="Times New Roman"/>
                <w:color w:val="auto"/>
              </w:rPr>
            </w:pPr>
            <w:r w:rsidRPr="00DE12A3">
              <w:rPr>
                <w:rFonts w:cs="Times New Roman"/>
                <w:color w:val="auto"/>
              </w:rPr>
              <w:t>Karbon monoksit</w:t>
            </w:r>
          </w:p>
        </w:tc>
      </w:tr>
      <w:tr w:rsidR="00DE12A3" w:rsidRPr="00DE12A3" w14:paraId="22ED1E77" w14:textId="77777777" w:rsidTr="00910EB3">
        <w:trPr>
          <w:trHeight w:hRule="exact" w:val="490"/>
        </w:trPr>
        <w:tc>
          <w:tcPr>
            <w:tcW w:w="1099" w:type="dxa"/>
            <w:shd w:val="clear" w:color="auto" w:fill="auto"/>
          </w:tcPr>
          <w:p w14:paraId="11423592" w14:textId="77777777" w:rsidR="002D7B36" w:rsidRPr="00DE12A3" w:rsidRDefault="00242DA0" w:rsidP="00C917D6">
            <w:pPr>
              <w:pStyle w:val="Gvdemetni361"/>
              <w:shd w:val="clear" w:color="auto" w:fill="auto"/>
              <w:spacing w:before="120" w:after="120" w:line="240" w:lineRule="auto"/>
              <w:ind w:left="709" w:hanging="709"/>
              <w:rPr>
                <w:rStyle w:val="Gvdemetni367pt0ptbolukbraklyor"/>
                <w:rFonts w:eastAsia="Courier New"/>
                <w:color w:val="auto"/>
                <w:sz w:val="24"/>
                <w:szCs w:val="24"/>
              </w:rPr>
            </w:pPr>
            <w:r w:rsidRPr="00DE12A3">
              <w:rPr>
                <w:rStyle w:val="Gvdemetni367pt0ptbolukbraklyor"/>
                <w:rFonts w:eastAsia="Courier New"/>
                <w:smallCaps/>
                <w:color w:val="auto"/>
                <w:sz w:val="24"/>
                <w:szCs w:val="24"/>
              </w:rPr>
              <w:t>co</w:t>
            </w:r>
            <w:r w:rsidRPr="00DE12A3">
              <w:rPr>
                <w:rStyle w:val="Gvdemetni367pt0ptbolukbraklyor"/>
                <w:rFonts w:eastAsia="Courier New"/>
                <w:smallCaps/>
                <w:color w:val="auto"/>
                <w:sz w:val="24"/>
                <w:szCs w:val="24"/>
                <w:vertAlign w:val="subscript"/>
              </w:rPr>
              <w:t>2</w:t>
            </w:r>
          </w:p>
        </w:tc>
        <w:tc>
          <w:tcPr>
            <w:tcW w:w="960" w:type="dxa"/>
            <w:shd w:val="clear" w:color="auto" w:fill="auto"/>
          </w:tcPr>
          <w:p w14:paraId="340DEACC" w14:textId="77777777" w:rsidR="002D7B36" w:rsidRPr="00DE12A3" w:rsidRDefault="00242DA0" w:rsidP="00C917D6">
            <w:pPr>
              <w:pStyle w:val="Gvdemetni361"/>
              <w:shd w:val="clear" w:color="auto" w:fill="auto"/>
              <w:spacing w:before="120" w:after="120" w:line="240" w:lineRule="auto"/>
              <w:ind w:left="709" w:hanging="709"/>
              <w:rPr>
                <w:rStyle w:val="Gvdemetni367pt0ptbolukbraklyor"/>
                <w:rFonts w:eastAsia="Courier New"/>
                <w:color w:val="auto"/>
                <w:sz w:val="24"/>
                <w:szCs w:val="24"/>
              </w:rPr>
            </w:pPr>
            <w:r w:rsidRPr="00DE12A3">
              <w:rPr>
                <w:rStyle w:val="Gvdemetni367pt0ptbolukbraklyor"/>
                <w:rFonts w:eastAsia="Courier New"/>
                <w:smallCaps/>
                <w:color w:val="auto"/>
                <w:sz w:val="24"/>
                <w:szCs w:val="24"/>
              </w:rPr>
              <w:t>co</w:t>
            </w:r>
            <w:r w:rsidRPr="00DE12A3">
              <w:rPr>
                <w:rStyle w:val="Gvdemetni367pt0ptbolukbraklyor"/>
                <w:rFonts w:eastAsia="Courier New"/>
                <w:smallCaps/>
                <w:color w:val="auto"/>
                <w:sz w:val="24"/>
                <w:szCs w:val="24"/>
                <w:vertAlign w:val="subscript"/>
              </w:rPr>
              <w:t>2</w:t>
            </w:r>
          </w:p>
        </w:tc>
        <w:tc>
          <w:tcPr>
            <w:tcW w:w="5530" w:type="dxa"/>
            <w:shd w:val="clear" w:color="auto" w:fill="auto"/>
          </w:tcPr>
          <w:p w14:paraId="14F555E6" w14:textId="77777777" w:rsidR="002D7B36" w:rsidRPr="00DE12A3" w:rsidRDefault="00242DA0" w:rsidP="00C917D6">
            <w:pPr>
              <w:spacing w:before="120" w:after="120"/>
              <w:ind w:left="709" w:hanging="709"/>
              <w:jc w:val="both"/>
              <w:rPr>
                <w:rFonts w:cs="Times New Roman"/>
                <w:color w:val="auto"/>
              </w:rPr>
            </w:pPr>
            <w:r w:rsidRPr="00DE12A3">
              <w:rPr>
                <w:rFonts w:cs="Times New Roman"/>
                <w:color w:val="auto"/>
              </w:rPr>
              <w:t>Karbon dioksit</w:t>
            </w:r>
          </w:p>
        </w:tc>
      </w:tr>
      <w:tr w:rsidR="00DE12A3" w:rsidRPr="00DE12A3" w14:paraId="27442DE0" w14:textId="77777777" w:rsidTr="00910EB3">
        <w:trPr>
          <w:trHeight w:hRule="exact" w:val="494"/>
        </w:trPr>
        <w:tc>
          <w:tcPr>
            <w:tcW w:w="1099" w:type="dxa"/>
            <w:shd w:val="clear" w:color="auto" w:fill="auto"/>
          </w:tcPr>
          <w:p w14:paraId="7DB680C3" w14:textId="77777777" w:rsidR="002D7B36" w:rsidRPr="00DE12A3" w:rsidRDefault="002D7B36" w:rsidP="00C917D6">
            <w:pPr>
              <w:pStyle w:val="Gvdemetni361"/>
              <w:shd w:val="clear" w:color="auto" w:fill="auto"/>
              <w:spacing w:before="120" w:after="120" w:line="240" w:lineRule="auto"/>
              <w:ind w:left="709" w:hanging="709"/>
              <w:rPr>
                <w:rStyle w:val="Gvdemetni367pt0ptbolukbraklyor"/>
                <w:rFonts w:eastAsia="Courier New"/>
                <w:color w:val="auto"/>
                <w:sz w:val="24"/>
                <w:szCs w:val="24"/>
              </w:rPr>
            </w:pPr>
          </w:p>
        </w:tc>
        <w:tc>
          <w:tcPr>
            <w:tcW w:w="960" w:type="dxa"/>
            <w:shd w:val="clear" w:color="auto" w:fill="auto"/>
          </w:tcPr>
          <w:p w14:paraId="5D76A842" w14:textId="77777777" w:rsidR="002D7B36" w:rsidRPr="00DE12A3" w:rsidRDefault="00242DA0" w:rsidP="00C917D6">
            <w:pPr>
              <w:pStyle w:val="Gvdemetni361"/>
              <w:shd w:val="clear" w:color="auto" w:fill="auto"/>
              <w:spacing w:before="120" w:after="120" w:line="240" w:lineRule="auto"/>
              <w:ind w:left="709" w:hanging="709"/>
              <w:rPr>
                <w:rStyle w:val="Gvdemetni367pt0ptbolukbraklyor"/>
                <w:rFonts w:eastAsia="Courier New"/>
                <w:color w:val="auto"/>
                <w:sz w:val="24"/>
                <w:szCs w:val="24"/>
              </w:rPr>
            </w:pPr>
            <w:r w:rsidRPr="00DE12A3">
              <w:rPr>
                <w:rStyle w:val="Gvdemetni367pt0ptbolukbraklyor"/>
                <w:rFonts w:eastAsia="Courier New"/>
                <w:color w:val="auto"/>
                <w:sz w:val="24"/>
                <w:szCs w:val="24"/>
              </w:rPr>
              <w:t>H</w:t>
            </w:r>
          </w:p>
        </w:tc>
        <w:tc>
          <w:tcPr>
            <w:tcW w:w="5530" w:type="dxa"/>
            <w:shd w:val="clear" w:color="auto" w:fill="auto"/>
          </w:tcPr>
          <w:p w14:paraId="2C21C9B7" w14:textId="77777777" w:rsidR="002D7B36" w:rsidRPr="00DE12A3" w:rsidRDefault="00242DA0" w:rsidP="00C917D6">
            <w:pPr>
              <w:spacing w:before="120" w:after="120"/>
              <w:ind w:left="709" w:hanging="709"/>
              <w:jc w:val="both"/>
              <w:rPr>
                <w:rFonts w:cs="Times New Roman"/>
                <w:color w:val="auto"/>
              </w:rPr>
            </w:pPr>
            <w:r w:rsidRPr="00DE12A3">
              <w:rPr>
                <w:rFonts w:cs="Times New Roman"/>
                <w:color w:val="auto"/>
              </w:rPr>
              <w:t>Atomik hidrojen</w:t>
            </w:r>
          </w:p>
        </w:tc>
      </w:tr>
      <w:tr w:rsidR="00DE12A3" w:rsidRPr="00DE12A3" w14:paraId="3FB92AA1" w14:textId="77777777" w:rsidTr="00910EB3">
        <w:trPr>
          <w:trHeight w:hRule="exact" w:val="494"/>
        </w:trPr>
        <w:tc>
          <w:tcPr>
            <w:tcW w:w="1099" w:type="dxa"/>
            <w:shd w:val="clear" w:color="auto" w:fill="auto"/>
          </w:tcPr>
          <w:p w14:paraId="7DA0AD48" w14:textId="77777777" w:rsidR="002D7B36" w:rsidRPr="00DE12A3" w:rsidRDefault="002D7B36" w:rsidP="00C917D6">
            <w:pPr>
              <w:pStyle w:val="Gvdemetni361"/>
              <w:shd w:val="clear" w:color="auto" w:fill="auto"/>
              <w:spacing w:before="120" w:after="120" w:line="240" w:lineRule="auto"/>
              <w:ind w:left="709" w:hanging="709"/>
              <w:rPr>
                <w:rStyle w:val="Gvdemetni367pt0ptbolukbraklyor"/>
                <w:rFonts w:eastAsia="Courier New"/>
                <w:color w:val="auto"/>
                <w:sz w:val="24"/>
                <w:szCs w:val="24"/>
              </w:rPr>
            </w:pPr>
          </w:p>
        </w:tc>
        <w:tc>
          <w:tcPr>
            <w:tcW w:w="960" w:type="dxa"/>
            <w:shd w:val="clear" w:color="auto" w:fill="auto"/>
          </w:tcPr>
          <w:p w14:paraId="1824AB3B" w14:textId="77777777" w:rsidR="002D7B36" w:rsidRPr="00DE12A3" w:rsidRDefault="00242DA0" w:rsidP="00C917D6">
            <w:pPr>
              <w:pStyle w:val="Gvdemetni361"/>
              <w:shd w:val="clear" w:color="auto" w:fill="auto"/>
              <w:spacing w:before="120" w:after="120" w:line="240" w:lineRule="auto"/>
              <w:ind w:left="709" w:hanging="709"/>
              <w:rPr>
                <w:rStyle w:val="Gvdemetni367pt0ptbolukbraklyor"/>
                <w:rFonts w:eastAsia="Courier New"/>
                <w:color w:val="auto"/>
                <w:sz w:val="24"/>
                <w:szCs w:val="24"/>
              </w:rPr>
            </w:pPr>
            <w:r w:rsidRPr="00DE12A3">
              <w:rPr>
                <w:rStyle w:val="Gvdemetni367pt0ptbolukbraklyor"/>
                <w:rFonts w:eastAsia="Courier New"/>
                <w:color w:val="auto"/>
                <w:sz w:val="24"/>
                <w:szCs w:val="24"/>
              </w:rPr>
              <w:t>H</w:t>
            </w:r>
            <w:r w:rsidRPr="00DE12A3">
              <w:rPr>
                <w:rStyle w:val="Gvdemetni367pt0ptbolukbraklyor"/>
                <w:rFonts w:eastAsia="Courier New"/>
                <w:color w:val="auto"/>
                <w:sz w:val="24"/>
                <w:szCs w:val="24"/>
                <w:vertAlign w:val="subscript"/>
              </w:rPr>
              <w:t>2</w:t>
            </w:r>
          </w:p>
        </w:tc>
        <w:tc>
          <w:tcPr>
            <w:tcW w:w="5530" w:type="dxa"/>
            <w:shd w:val="clear" w:color="auto" w:fill="auto"/>
          </w:tcPr>
          <w:p w14:paraId="51C9A484" w14:textId="77777777" w:rsidR="002D7B36" w:rsidRPr="00DE12A3" w:rsidRDefault="00242DA0" w:rsidP="00C917D6">
            <w:pPr>
              <w:spacing w:before="120" w:after="120"/>
              <w:ind w:left="709" w:hanging="709"/>
              <w:jc w:val="both"/>
              <w:rPr>
                <w:rFonts w:cs="Times New Roman"/>
                <w:color w:val="auto"/>
              </w:rPr>
            </w:pPr>
            <w:r w:rsidRPr="00DE12A3">
              <w:rPr>
                <w:rFonts w:cs="Times New Roman"/>
                <w:color w:val="auto"/>
              </w:rPr>
              <w:t>Moleküler hidrojen</w:t>
            </w:r>
          </w:p>
        </w:tc>
      </w:tr>
      <w:tr w:rsidR="00DE12A3" w:rsidRPr="00DE12A3" w14:paraId="76708C72" w14:textId="77777777" w:rsidTr="00910EB3">
        <w:trPr>
          <w:trHeight w:hRule="exact" w:val="490"/>
        </w:trPr>
        <w:tc>
          <w:tcPr>
            <w:tcW w:w="1099" w:type="dxa"/>
            <w:shd w:val="clear" w:color="auto" w:fill="auto"/>
          </w:tcPr>
          <w:p w14:paraId="3DA531B0" w14:textId="77777777" w:rsidR="002D7B36" w:rsidRPr="00DE12A3" w:rsidRDefault="00242DA0" w:rsidP="00C917D6">
            <w:pPr>
              <w:pStyle w:val="Gvdemetni361"/>
              <w:shd w:val="clear" w:color="auto" w:fill="auto"/>
              <w:spacing w:before="120" w:after="120" w:line="240" w:lineRule="auto"/>
              <w:ind w:left="709" w:hanging="709"/>
              <w:rPr>
                <w:rStyle w:val="Gvdemetni367pt0ptbolukbraklyor"/>
                <w:rFonts w:eastAsia="Courier New"/>
                <w:color w:val="auto"/>
                <w:sz w:val="24"/>
                <w:szCs w:val="24"/>
              </w:rPr>
            </w:pPr>
            <w:r w:rsidRPr="00DE12A3">
              <w:rPr>
                <w:rStyle w:val="Gvdemetni367pt0ptbolukbraklyor"/>
                <w:rFonts w:eastAsia="Courier New"/>
                <w:color w:val="auto"/>
                <w:sz w:val="24"/>
                <w:szCs w:val="24"/>
              </w:rPr>
              <w:t>HC</w:t>
            </w:r>
          </w:p>
        </w:tc>
        <w:tc>
          <w:tcPr>
            <w:tcW w:w="960" w:type="dxa"/>
            <w:shd w:val="clear" w:color="auto" w:fill="auto"/>
          </w:tcPr>
          <w:p w14:paraId="0570068E" w14:textId="77777777" w:rsidR="002D7B36" w:rsidRPr="00DE12A3" w:rsidRDefault="00242DA0" w:rsidP="00C917D6">
            <w:pPr>
              <w:pStyle w:val="Gvdemetni361"/>
              <w:shd w:val="clear" w:color="auto" w:fill="auto"/>
              <w:spacing w:before="120" w:after="120" w:line="240" w:lineRule="auto"/>
              <w:ind w:left="709" w:hanging="709"/>
              <w:rPr>
                <w:rStyle w:val="Gvdemetni367pt0ptbolukbraklyor"/>
                <w:rFonts w:eastAsia="Courier New"/>
                <w:color w:val="auto"/>
                <w:sz w:val="24"/>
                <w:szCs w:val="24"/>
              </w:rPr>
            </w:pPr>
            <w:r w:rsidRPr="00DE12A3">
              <w:rPr>
                <w:rStyle w:val="Gvdemetni367pt0ptbolukbraklyor"/>
                <w:rFonts w:eastAsia="Courier New"/>
                <w:color w:val="auto"/>
                <w:sz w:val="24"/>
                <w:szCs w:val="24"/>
              </w:rPr>
              <w:t>HC</w:t>
            </w:r>
          </w:p>
        </w:tc>
        <w:tc>
          <w:tcPr>
            <w:tcW w:w="5530" w:type="dxa"/>
            <w:shd w:val="clear" w:color="auto" w:fill="auto"/>
          </w:tcPr>
          <w:p w14:paraId="35B8325B" w14:textId="77777777" w:rsidR="002D7B36" w:rsidRPr="00DE12A3" w:rsidRDefault="00242DA0" w:rsidP="00C917D6">
            <w:pPr>
              <w:spacing w:before="120" w:after="120"/>
              <w:ind w:left="709" w:hanging="709"/>
              <w:jc w:val="both"/>
              <w:rPr>
                <w:rFonts w:cs="Times New Roman"/>
                <w:color w:val="auto"/>
              </w:rPr>
            </w:pPr>
            <w:r w:rsidRPr="00DE12A3">
              <w:rPr>
                <w:rFonts w:cs="Times New Roman"/>
                <w:color w:val="auto"/>
              </w:rPr>
              <w:t>Hidrokarbon</w:t>
            </w:r>
          </w:p>
        </w:tc>
      </w:tr>
      <w:tr w:rsidR="00DE12A3" w:rsidRPr="00DE12A3" w14:paraId="4FB08B1B" w14:textId="77777777" w:rsidTr="00910EB3">
        <w:trPr>
          <w:trHeight w:hRule="exact" w:val="494"/>
        </w:trPr>
        <w:tc>
          <w:tcPr>
            <w:tcW w:w="1099" w:type="dxa"/>
            <w:shd w:val="clear" w:color="auto" w:fill="auto"/>
          </w:tcPr>
          <w:p w14:paraId="56C8E4E1" w14:textId="77777777" w:rsidR="002D7B36" w:rsidRPr="00DE12A3" w:rsidRDefault="00242DA0" w:rsidP="00C917D6">
            <w:pPr>
              <w:pStyle w:val="Gvdemetni361"/>
              <w:shd w:val="clear" w:color="auto" w:fill="auto"/>
              <w:spacing w:before="120" w:after="120" w:line="240" w:lineRule="auto"/>
              <w:ind w:left="709" w:hanging="709"/>
              <w:rPr>
                <w:rStyle w:val="Gvdemetni367pt0ptbolukbraklyor"/>
                <w:rFonts w:eastAsia="Courier New"/>
                <w:color w:val="auto"/>
                <w:sz w:val="24"/>
                <w:szCs w:val="24"/>
              </w:rPr>
            </w:pPr>
            <w:r w:rsidRPr="00DE12A3">
              <w:rPr>
                <w:rStyle w:val="Gvdemetni367pt0ptbolukbraklyor"/>
                <w:rFonts w:eastAsia="Courier New"/>
                <w:smallCaps/>
                <w:color w:val="auto"/>
                <w:sz w:val="24"/>
                <w:szCs w:val="24"/>
              </w:rPr>
              <w:t>h</w:t>
            </w:r>
            <w:r w:rsidRPr="00DE12A3">
              <w:rPr>
                <w:rStyle w:val="Gvdemetni367pt0ptbolukbraklyor"/>
                <w:rFonts w:eastAsia="Courier New"/>
                <w:smallCaps/>
                <w:color w:val="auto"/>
                <w:sz w:val="24"/>
                <w:szCs w:val="24"/>
                <w:vertAlign w:val="subscript"/>
              </w:rPr>
              <w:t>2</w:t>
            </w:r>
            <w:r w:rsidRPr="00DE12A3">
              <w:rPr>
                <w:rStyle w:val="Gvdemetni367pt0ptbolukbraklyor"/>
                <w:rFonts w:eastAsia="Courier New"/>
                <w:smallCaps/>
                <w:color w:val="auto"/>
                <w:sz w:val="24"/>
                <w:szCs w:val="24"/>
              </w:rPr>
              <w:t>o</w:t>
            </w:r>
          </w:p>
        </w:tc>
        <w:tc>
          <w:tcPr>
            <w:tcW w:w="960" w:type="dxa"/>
            <w:shd w:val="clear" w:color="auto" w:fill="auto"/>
          </w:tcPr>
          <w:p w14:paraId="74016221" w14:textId="77777777" w:rsidR="002D7B36" w:rsidRPr="00DE12A3" w:rsidRDefault="00242DA0" w:rsidP="00C917D6">
            <w:pPr>
              <w:pStyle w:val="Gvdemetni361"/>
              <w:shd w:val="clear" w:color="auto" w:fill="auto"/>
              <w:spacing w:before="120" w:after="120" w:line="240" w:lineRule="auto"/>
              <w:ind w:left="709" w:hanging="709"/>
              <w:rPr>
                <w:rStyle w:val="Gvdemetni367pt0ptbolukbraklyor"/>
                <w:rFonts w:eastAsia="Courier New"/>
                <w:color w:val="auto"/>
                <w:sz w:val="24"/>
                <w:szCs w:val="24"/>
              </w:rPr>
            </w:pPr>
            <w:r w:rsidRPr="00DE12A3">
              <w:rPr>
                <w:rStyle w:val="Gvdemetni367pt0ptbolukbraklyor"/>
                <w:rFonts w:eastAsia="Courier New"/>
                <w:smallCaps/>
                <w:color w:val="auto"/>
                <w:sz w:val="24"/>
                <w:szCs w:val="24"/>
              </w:rPr>
              <w:t>h</w:t>
            </w:r>
            <w:r w:rsidRPr="00DE12A3">
              <w:rPr>
                <w:rStyle w:val="Gvdemetni367pt0ptbolukbraklyor"/>
                <w:rFonts w:eastAsia="Courier New"/>
                <w:smallCaps/>
                <w:color w:val="auto"/>
                <w:sz w:val="24"/>
                <w:szCs w:val="24"/>
                <w:vertAlign w:val="subscript"/>
              </w:rPr>
              <w:t>2</w:t>
            </w:r>
            <w:r w:rsidRPr="00DE12A3">
              <w:rPr>
                <w:rStyle w:val="Gvdemetni367pt0ptbolukbraklyor"/>
                <w:rFonts w:eastAsia="Courier New"/>
                <w:smallCaps/>
                <w:color w:val="auto"/>
                <w:sz w:val="24"/>
                <w:szCs w:val="24"/>
              </w:rPr>
              <w:t>o</w:t>
            </w:r>
          </w:p>
        </w:tc>
        <w:tc>
          <w:tcPr>
            <w:tcW w:w="5530" w:type="dxa"/>
            <w:shd w:val="clear" w:color="auto" w:fill="auto"/>
          </w:tcPr>
          <w:p w14:paraId="741E7662" w14:textId="77777777" w:rsidR="002D7B36" w:rsidRPr="00DE12A3" w:rsidRDefault="00242DA0" w:rsidP="00C917D6">
            <w:pPr>
              <w:spacing w:before="120" w:after="120"/>
              <w:ind w:left="709" w:hanging="709"/>
              <w:jc w:val="both"/>
              <w:rPr>
                <w:rFonts w:cs="Times New Roman"/>
                <w:color w:val="auto"/>
              </w:rPr>
            </w:pPr>
            <w:r w:rsidRPr="00DE12A3">
              <w:rPr>
                <w:rFonts w:cs="Times New Roman"/>
                <w:color w:val="auto"/>
              </w:rPr>
              <w:t>Su</w:t>
            </w:r>
          </w:p>
        </w:tc>
      </w:tr>
      <w:tr w:rsidR="00DE12A3" w:rsidRPr="00DE12A3" w14:paraId="3DF3FCCC" w14:textId="77777777" w:rsidTr="00910EB3">
        <w:trPr>
          <w:trHeight w:hRule="exact" w:val="494"/>
        </w:trPr>
        <w:tc>
          <w:tcPr>
            <w:tcW w:w="1099" w:type="dxa"/>
            <w:shd w:val="clear" w:color="auto" w:fill="auto"/>
          </w:tcPr>
          <w:p w14:paraId="42D56E3D" w14:textId="77777777" w:rsidR="002D7B36" w:rsidRPr="00DE12A3" w:rsidRDefault="002D7B36" w:rsidP="00C917D6">
            <w:pPr>
              <w:pStyle w:val="Gvdemetni361"/>
              <w:shd w:val="clear" w:color="auto" w:fill="auto"/>
              <w:spacing w:before="120" w:after="120" w:line="240" w:lineRule="auto"/>
              <w:ind w:left="709" w:hanging="709"/>
              <w:rPr>
                <w:rStyle w:val="Gvdemetni367pt0ptbolukbraklyor"/>
                <w:rFonts w:eastAsia="Courier New"/>
                <w:color w:val="auto"/>
                <w:sz w:val="24"/>
                <w:szCs w:val="24"/>
              </w:rPr>
            </w:pPr>
          </w:p>
        </w:tc>
        <w:tc>
          <w:tcPr>
            <w:tcW w:w="960" w:type="dxa"/>
            <w:shd w:val="clear" w:color="auto" w:fill="auto"/>
          </w:tcPr>
          <w:p w14:paraId="10F2F56D" w14:textId="77777777" w:rsidR="002D7B36" w:rsidRPr="00DE12A3" w:rsidRDefault="00242DA0" w:rsidP="00C917D6">
            <w:pPr>
              <w:pStyle w:val="Gvdemetni361"/>
              <w:shd w:val="clear" w:color="auto" w:fill="auto"/>
              <w:spacing w:before="120" w:after="120" w:line="240" w:lineRule="auto"/>
              <w:ind w:left="709" w:hanging="709"/>
              <w:rPr>
                <w:rStyle w:val="Gvdemetni367pt0ptbolukbraklyor"/>
                <w:rFonts w:eastAsia="Courier New"/>
                <w:color w:val="auto"/>
                <w:sz w:val="24"/>
                <w:szCs w:val="24"/>
              </w:rPr>
            </w:pPr>
            <w:r w:rsidRPr="00DE12A3">
              <w:rPr>
                <w:rStyle w:val="Gvdemetni367pt0ptbolukbraklyor"/>
                <w:rFonts w:eastAsia="Courier New"/>
                <w:color w:val="auto"/>
                <w:sz w:val="24"/>
                <w:szCs w:val="24"/>
              </w:rPr>
              <w:t>He</w:t>
            </w:r>
          </w:p>
        </w:tc>
        <w:tc>
          <w:tcPr>
            <w:tcW w:w="5530" w:type="dxa"/>
            <w:shd w:val="clear" w:color="auto" w:fill="auto"/>
          </w:tcPr>
          <w:p w14:paraId="53BE1337" w14:textId="77777777" w:rsidR="002D7B36" w:rsidRPr="00DE12A3" w:rsidRDefault="00242DA0" w:rsidP="00C917D6">
            <w:pPr>
              <w:spacing w:before="120" w:after="120"/>
              <w:ind w:left="709" w:hanging="709"/>
              <w:jc w:val="both"/>
              <w:rPr>
                <w:rFonts w:cs="Times New Roman"/>
                <w:color w:val="auto"/>
              </w:rPr>
            </w:pPr>
            <w:r w:rsidRPr="00DE12A3">
              <w:rPr>
                <w:rFonts w:cs="Times New Roman"/>
                <w:color w:val="auto"/>
              </w:rPr>
              <w:t>Helyum</w:t>
            </w:r>
          </w:p>
        </w:tc>
      </w:tr>
      <w:tr w:rsidR="00DE12A3" w:rsidRPr="00DE12A3" w14:paraId="20571F2F" w14:textId="77777777" w:rsidTr="00910EB3">
        <w:trPr>
          <w:trHeight w:hRule="exact" w:val="494"/>
        </w:trPr>
        <w:tc>
          <w:tcPr>
            <w:tcW w:w="1099" w:type="dxa"/>
            <w:shd w:val="clear" w:color="auto" w:fill="auto"/>
          </w:tcPr>
          <w:p w14:paraId="5435F374" w14:textId="77777777" w:rsidR="002D7B36" w:rsidRPr="00DE12A3" w:rsidRDefault="002D7B36" w:rsidP="00C917D6">
            <w:pPr>
              <w:spacing w:before="120" w:after="120"/>
              <w:ind w:left="709" w:hanging="709"/>
              <w:jc w:val="both"/>
              <w:rPr>
                <w:rFonts w:cs="Times New Roman"/>
                <w:color w:val="auto"/>
              </w:rPr>
            </w:pPr>
          </w:p>
        </w:tc>
        <w:tc>
          <w:tcPr>
            <w:tcW w:w="960" w:type="dxa"/>
            <w:shd w:val="clear" w:color="auto" w:fill="auto"/>
          </w:tcPr>
          <w:p w14:paraId="34C97EB6" w14:textId="77777777" w:rsidR="002D7B36" w:rsidRPr="00DE12A3" w:rsidRDefault="00242DA0" w:rsidP="00C917D6">
            <w:pPr>
              <w:pStyle w:val="Gvdemetni361"/>
              <w:shd w:val="clear" w:color="auto" w:fill="auto"/>
              <w:spacing w:before="120" w:after="120" w:line="240" w:lineRule="auto"/>
              <w:ind w:left="709" w:hanging="709"/>
              <w:rPr>
                <w:color w:val="auto"/>
                <w:sz w:val="24"/>
                <w:szCs w:val="24"/>
              </w:rPr>
            </w:pPr>
            <w:r w:rsidRPr="00DE12A3">
              <w:rPr>
                <w:rStyle w:val="Gvdemetni367pt0ptbolukbraklyor"/>
                <w:rFonts w:eastAsia="Courier New"/>
                <w:color w:val="auto"/>
                <w:sz w:val="24"/>
                <w:szCs w:val="24"/>
              </w:rPr>
              <w:t>N</w:t>
            </w:r>
          </w:p>
        </w:tc>
        <w:tc>
          <w:tcPr>
            <w:tcW w:w="5530" w:type="dxa"/>
            <w:shd w:val="clear" w:color="auto" w:fill="auto"/>
          </w:tcPr>
          <w:p w14:paraId="310ED03A" w14:textId="77777777" w:rsidR="002D7B36" w:rsidRPr="00DE12A3" w:rsidRDefault="00242DA0" w:rsidP="00C917D6">
            <w:pPr>
              <w:spacing w:before="120" w:after="120"/>
              <w:ind w:left="709" w:hanging="709"/>
              <w:jc w:val="both"/>
              <w:rPr>
                <w:rFonts w:cs="Times New Roman"/>
                <w:color w:val="auto"/>
              </w:rPr>
            </w:pPr>
            <w:r w:rsidRPr="00DE12A3">
              <w:rPr>
                <w:rFonts w:cs="Times New Roman"/>
                <w:color w:val="auto"/>
              </w:rPr>
              <w:t>Atomik nitrojen</w:t>
            </w:r>
          </w:p>
        </w:tc>
      </w:tr>
      <w:tr w:rsidR="00DE12A3" w:rsidRPr="00DE12A3" w14:paraId="36B4F9F4" w14:textId="77777777" w:rsidTr="00910EB3">
        <w:trPr>
          <w:trHeight w:hRule="exact" w:val="490"/>
        </w:trPr>
        <w:tc>
          <w:tcPr>
            <w:tcW w:w="1099" w:type="dxa"/>
            <w:shd w:val="clear" w:color="auto" w:fill="auto"/>
          </w:tcPr>
          <w:p w14:paraId="495406F2" w14:textId="77777777" w:rsidR="002D7B36" w:rsidRPr="00DE12A3" w:rsidRDefault="002D7B36" w:rsidP="00C917D6">
            <w:pPr>
              <w:spacing w:before="120" w:after="120"/>
              <w:ind w:left="709" w:hanging="709"/>
              <w:jc w:val="both"/>
              <w:rPr>
                <w:rFonts w:cs="Times New Roman"/>
                <w:color w:val="auto"/>
              </w:rPr>
            </w:pPr>
          </w:p>
        </w:tc>
        <w:tc>
          <w:tcPr>
            <w:tcW w:w="960" w:type="dxa"/>
            <w:shd w:val="clear" w:color="auto" w:fill="auto"/>
          </w:tcPr>
          <w:p w14:paraId="379B4695" w14:textId="77777777" w:rsidR="002D7B36" w:rsidRPr="00DE12A3" w:rsidRDefault="00242DA0" w:rsidP="00C917D6">
            <w:pPr>
              <w:pStyle w:val="Gvdemetni361"/>
              <w:shd w:val="clear" w:color="auto" w:fill="auto"/>
              <w:spacing w:before="120" w:after="120" w:line="240" w:lineRule="auto"/>
              <w:ind w:left="709" w:hanging="709"/>
              <w:rPr>
                <w:color w:val="auto"/>
                <w:sz w:val="24"/>
                <w:szCs w:val="24"/>
              </w:rPr>
            </w:pPr>
            <w:r w:rsidRPr="00DE12A3">
              <w:rPr>
                <w:rStyle w:val="Gvdemetni367pt0ptbolukbraklyor"/>
                <w:rFonts w:eastAsia="Courier New"/>
                <w:color w:val="auto"/>
                <w:sz w:val="24"/>
                <w:szCs w:val="24"/>
              </w:rPr>
              <w:t>N</w:t>
            </w:r>
            <w:r w:rsidRPr="00DE12A3">
              <w:rPr>
                <w:rStyle w:val="Gvdemetni3655pt"/>
                <w:color w:val="auto"/>
                <w:sz w:val="24"/>
                <w:szCs w:val="24"/>
                <w:vertAlign w:val="subscript"/>
              </w:rPr>
              <w:t>2</w:t>
            </w:r>
          </w:p>
        </w:tc>
        <w:tc>
          <w:tcPr>
            <w:tcW w:w="5530" w:type="dxa"/>
            <w:shd w:val="clear" w:color="auto" w:fill="auto"/>
          </w:tcPr>
          <w:p w14:paraId="5AEFA5B5" w14:textId="77777777" w:rsidR="002D7B36" w:rsidRPr="00DE12A3" w:rsidRDefault="00242DA0" w:rsidP="00C917D6">
            <w:pPr>
              <w:spacing w:before="120" w:after="120"/>
              <w:ind w:left="709" w:hanging="709"/>
              <w:jc w:val="both"/>
              <w:rPr>
                <w:rFonts w:cs="Times New Roman"/>
                <w:color w:val="auto"/>
              </w:rPr>
            </w:pPr>
            <w:r w:rsidRPr="00DE12A3">
              <w:rPr>
                <w:rFonts w:cs="Times New Roman"/>
                <w:color w:val="auto"/>
              </w:rPr>
              <w:t>Moleküler nitrojen</w:t>
            </w:r>
          </w:p>
        </w:tc>
      </w:tr>
      <w:tr w:rsidR="00DE12A3" w:rsidRPr="00DE12A3" w14:paraId="42377370" w14:textId="77777777" w:rsidTr="00910EB3">
        <w:trPr>
          <w:trHeight w:hRule="exact" w:val="494"/>
        </w:trPr>
        <w:tc>
          <w:tcPr>
            <w:tcW w:w="1099" w:type="dxa"/>
            <w:shd w:val="clear" w:color="auto" w:fill="auto"/>
          </w:tcPr>
          <w:p w14:paraId="57E5E061" w14:textId="77777777" w:rsidR="002D7B36" w:rsidRPr="00DE12A3" w:rsidRDefault="00242DA0" w:rsidP="004F7D49">
            <w:pPr>
              <w:pStyle w:val="Gvdemetni254pt"/>
              <w:framePr w:hSpace="0" w:wrap="auto" w:vAnchor="margin" w:hAnchor="text" w:xAlign="left" w:yAlign="inline"/>
              <w:suppressOverlap w:val="0"/>
              <w:rPr>
                <w:color w:val="auto"/>
              </w:rPr>
            </w:pPr>
            <w:r w:rsidRPr="00DE12A3">
              <w:rPr>
                <w:color w:val="auto"/>
              </w:rPr>
              <w:t>NO</w:t>
            </w:r>
            <w:r w:rsidRPr="00DE12A3">
              <w:rPr>
                <w:rStyle w:val="Gvdemetni365pt4"/>
                <w:color w:val="auto"/>
                <w:sz w:val="24"/>
                <w:szCs w:val="24"/>
                <w:vertAlign w:val="subscript"/>
              </w:rPr>
              <w:t>x</w:t>
            </w:r>
          </w:p>
        </w:tc>
        <w:tc>
          <w:tcPr>
            <w:tcW w:w="960" w:type="dxa"/>
            <w:shd w:val="clear" w:color="auto" w:fill="auto"/>
          </w:tcPr>
          <w:p w14:paraId="28DDC1CE" w14:textId="77777777" w:rsidR="002D7B36" w:rsidRPr="00DE12A3" w:rsidRDefault="00242DA0" w:rsidP="004F7D49">
            <w:pPr>
              <w:pStyle w:val="Gvdemetni254pt"/>
              <w:framePr w:hSpace="0" w:wrap="auto" w:vAnchor="margin" w:hAnchor="text" w:xAlign="left" w:yAlign="inline"/>
              <w:suppressOverlap w:val="0"/>
              <w:rPr>
                <w:color w:val="auto"/>
              </w:rPr>
            </w:pPr>
            <w:r w:rsidRPr="00DE12A3">
              <w:rPr>
                <w:color w:val="auto"/>
              </w:rPr>
              <w:t>NO</w:t>
            </w:r>
            <w:r w:rsidRPr="00DE12A3">
              <w:rPr>
                <w:rStyle w:val="Gvdemetni365pt4"/>
                <w:color w:val="auto"/>
                <w:sz w:val="24"/>
                <w:szCs w:val="24"/>
                <w:vertAlign w:val="subscript"/>
              </w:rPr>
              <w:t>x</w:t>
            </w:r>
          </w:p>
        </w:tc>
        <w:tc>
          <w:tcPr>
            <w:tcW w:w="5530" w:type="dxa"/>
            <w:shd w:val="clear" w:color="auto" w:fill="auto"/>
          </w:tcPr>
          <w:p w14:paraId="5E60CA22" w14:textId="77777777" w:rsidR="002D7B36" w:rsidRPr="00DE12A3" w:rsidRDefault="00242DA0" w:rsidP="00C917D6">
            <w:pPr>
              <w:spacing w:before="120" w:after="120"/>
              <w:ind w:left="709" w:hanging="709"/>
              <w:jc w:val="both"/>
              <w:rPr>
                <w:rFonts w:cs="Times New Roman"/>
                <w:color w:val="auto"/>
              </w:rPr>
            </w:pPr>
            <w:r w:rsidRPr="00DE12A3">
              <w:rPr>
                <w:rFonts w:cs="Times New Roman"/>
                <w:color w:val="auto"/>
              </w:rPr>
              <w:t>Azot oksitler</w:t>
            </w:r>
          </w:p>
        </w:tc>
      </w:tr>
      <w:tr w:rsidR="00DE12A3" w:rsidRPr="00DE12A3" w14:paraId="74FE9292" w14:textId="77777777" w:rsidTr="00910EB3">
        <w:trPr>
          <w:trHeight w:hRule="exact" w:val="494"/>
        </w:trPr>
        <w:tc>
          <w:tcPr>
            <w:tcW w:w="1099" w:type="dxa"/>
            <w:shd w:val="clear" w:color="auto" w:fill="auto"/>
          </w:tcPr>
          <w:p w14:paraId="6454578B" w14:textId="77777777" w:rsidR="002D7B36" w:rsidRPr="00DE12A3" w:rsidRDefault="00242DA0" w:rsidP="00C917D6">
            <w:pPr>
              <w:pStyle w:val="Gvdemetni361"/>
              <w:shd w:val="clear" w:color="auto" w:fill="auto"/>
              <w:spacing w:before="120" w:after="120" w:line="240" w:lineRule="auto"/>
              <w:ind w:left="709" w:hanging="709"/>
              <w:rPr>
                <w:color w:val="auto"/>
                <w:sz w:val="24"/>
                <w:szCs w:val="24"/>
              </w:rPr>
            </w:pPr>
            <w:r w:rsidRPr="00DE12A3">
              <w:rPr>
                <w:rStyle w:val="Gvdemetni367pt0ptbolukbraklyor"/>
                <w:rFonts w:eastAsia="Courier New"/>
                <w:color w:val="auto"/>
                <w:sz w:val="24"/>
                <w:szCs w:val="24"/>
              </w:rPr>
              <w:lastRenderedPageBreak/>
              <w:t>NO</w:t>
            </w:r>
          </w:p>
        </w:tc>
        <w:tc>
          <w:tcPr>
            <w:tcW w:w="960" w:type="dxa"/>
            <w:shd w:val="clear" w:color="auto" w:fill="auto"/>
          </w:tcPr>
          <w:p w14:paraId="12AF50C2" w14:textId="77777777" w:rsidR="002D7B36" w:rsidRPr="00DE12A3" w:rsidRDefault="00242DA0" w:rsidP="00C917D6">
            <w:pPr>
              <w:pStyle w:val="Gvdemetni361"/>
              <w:shd w:val="clear" w:color="auto" w:fill="auto"/>
              <w:spacing w:before="120" w:after="120" w:line="240" w:lineRule="auto"/>
              <w:ind w:left="709" w:hanging="709"/>
              <w:rPr>
                <w:color w:val="auto"/>
                <w:sz w:val="24"/>
                <w:szCs w:val="24"/>
              </w:rPr>
            </w:pPr>
            <w:r w:rsidRPr="00DE12A3">
              <w:rPr>
                <w:rStyle w:val="Gvdemetni367pt0ptbolukbraklyor"/>
                <w:rFonts w:eastAsia="Courier New"/>
                <w:color w:val="auto"/>
                <w:sz w:val="24"/>
                <w:szCs w:val="24"/>
              </w:rPr>
              <w:t>NO</w:t>
            </w:r>
          </w:p>
        </w:tc>
        <w:tc>
          <w:tcPr>
            <w:tcW w:w="5530" w:type="dxa"/>
            <w:shd w:val="clear" w:color="auto" w:fill="auto"/>
          </w:tcPr>
          <w:p w14:paraId="6AB9CD1C" w14:textId="77777777" w:rsidR="002D7B36" w:rsidRPr="00DE12A3" w:rsidRDefault="00242DA0" w:rsidP="00C917D6">
            <w:pPr>
              <w:spacing w:before="120" w:after="120"/>
              <w:ind w:left="709" w:hanging="709"/>
              <w:jc w:val="both"/>
              <w:rPr>
                <w:rFonts w:cs="Times New Roman"/>
                <w:color w:val="auto"/>
              </w:rPr>
            </w:pPr>
            <w:r w:rsidRPr="00DE12A3">
              <w:rPr>
                <w:rFonts w:cs="Times New Roman"/>
                <w:color w:val="auto"/>
              </w:rPr>
              <w:t>Nitrik oksit</w:t>
            </w:r>
          </w:p>
        </w:tc>
      </w:tr>
      <w:tr w:rsidR="00DE12A3" w:rsidRPr="00DE12A3" w14:paraId="1381CAD4" w14:textId="77777777" w:rsidTr="00910EB3">
        <w:trPr>
          <w:trHeight w:hRule="exact" w:val="490"/>
        </w:trPr>
        <w:tc>
          <w:tcPr>
            <w:tcW w:w="1099" w:type="dxa"/>
            <w:shd w:val="clear" w:color="auto" w:fill="auto"/>
          </w:tcPr>
          <w:p w14:paraId="6549DE5A" w14:textId="77777777" w:rsidR="002D7B36" w:rsidRPr="00DE12A3" w:rsidRDefault="00242DA0" w:rsidP="00C917D6">
            <w:pPr>
              <w:pStyle w:val="Gvdemetni361"/>
              <w:shd w:val="clear" w:color="auto" w:fill="auto"/>
              <w:spacing w:before="120" w:after="120" w:line="240" w:lineRule="auto"/>
              <w:ind w:left="709" w:hanging="709"/>
              <w:rPr>
                <w:color w:val="auto"/>
                <w:sz w:val="24"/>
                <w:szCs w:val="24"/>
              </w:rPr>
            </w:pPr>
            <w:r w:rsidRPr="00DE12A3">
              <w:rPr>
                <w:rStyle w:val="Gvdemetni367ptKkBykHarf0ptbolukbraklyor"/>
                <w:color w:val="auto"/>
                <w:sz w:val="24"/>
                <w:szCs w:val="24"/>
              </w:rPr>
              <w:t>no</w:t>
            </w:r>
            <w:r w:rsidRPr="00DE12A3">
              <w:rPr>
                <w:rStyle w:val="Gvdemetni367ptKkBykHarf0ptbolukbraklyor"/>
                <w:color w:val="auto"/>
                <w:sz w:val="24"/>
                <w:szCs w:val="24"/>
                <w:vertAlign w:val="subscript"/>
              </w:rPr>
              <w:t>2</w:t>
            </w:r>
          </w:p>
        </w:tc>
        <w:tc>
          <w:tcPr>
            <w:tcW w:w="960" w:type="dxa"/>
            <w:shd w:val="clear" w:color="auto" w:fill="auto"/>
          </w:tcPr>
          <w:p w14:paraId="5DE41183" w14:textId="77777777" w:rsidR="002D7B36" w:rsidRPr="00DE12A3" w:rsidRDefault="00242DA0" w:rsidP="00C917D6">
            <w:pPr>
              <w:pStyle w:val="Gvdemetni361"/>
              <w:shd w:val="clear" w:color="auto" w:fill="auto"/>
              <w:spacing w:before="120" w:after="120" w:line="240" w:lineRule="auto"/>
              <w:ind w:left="709" w:hanging="709"/>
              <w:rPr>
                <w:color w:val="auto"/>
                <w:sz w:val="24"/>
                <w:szCs w:val="24"/>
              </w:rPr>
            </w:pPr>
            <w:r w:rsidRPr="00DE12A3">
              <w:rPr>
                <w:rStyle w:val="Gvdemetni367ptKkBykHarf0ptbolukbraklyor"/>
                <w:color w:val="auto"/>
                <w:sz w:val="24"/>
                <w:szCs w:val="24"/>
              </w:rPr>
              <w:t>no</w:t>
            </w:r>
            <w:r w:rsidRPr="00DE12A3">
              <w:rPr>
                <w:rStyle w:val="Gvdemetni367ptKkBykHarf0ptbolukbraklyor"/>
                <w:color w:val="auto"/>
                <w:sz w:val="24"/>
                <w:szCs w:val="24"/>
                <w:vertAlign w:val="subscript"/>
              </w:rPr>
              <w:t>2</w:t>
            </w:r>
          </w:p>
        </w:tc>
        <w:tc>
          <w:tcPr>
            <w:tcW w:w="5530" w:type="dxa"/>
            <w:shd w:val="clear" w:color="auto" w:fill="auto"/>
          </w:tcPr>
          <w:p w14:paraId="1180C13C" w14:textId="77777777" w:rsidR="002D7B36" w:rsidRPr="00DE12A3" w:rsidRDefault="00242DA0" w:rsidP="00C917D6">
            <w:pPr>
              <w:spacing w:before="120" w:after="120"/>
              <w:ind w:left="709" w:hanging="709"/>
              <w:jc w:val="both"/>
              <w:rPr>
                <w:rFonts w:cs="Times New Roman"/>
                <w:color w:val="auto"/>
              </w:rPr>
            </w:pPr>
            <w:r w:rsidRPr="00DE12A3">
              <w:rPr>
                <w:rFonts w:cs="Times New Roman"/>
                <w:color w:val="auto"/>
              </w:rPr>
              <w:t>Nitrojen dioksit</w:t>
            </w:r>
          </w:p>
        </w:tc>
      </w:tr>
      <w:tr w:rsidR="00DE12A3" w:rsidRPr="00DE12A3" w14:paraId="12280CD2" w14:textId="77777777" w:rsidTr="00910EB3">
        <w:trPr>
          <w:trHeight w:hRule="exact" w:val="494"/>
        </w:trPr>
        <w:tc>
          <w:tcPr>
            <w:tcW w:w="1099" w:type="dxa"/>
            <w:shd w:val="clear" w:color="auto" w:fill="auto"/>
          </w:tcPr>
          <w:p w14:paraId="754EEB0C" w14:textId="77777777" w:rsidR="002D7B36" w:rsidRPr="00DE12A3" w:rsidRDefault="002D7B36" w:rsidP="00C917D6">
            <w:pPr>
              <w:spacing w:before="120" w:after="120"/>
              <w:ind w:left="709" w:hanging="709"/>
              <w:jc w:val="both"/>
              <w:rPr>
                <w:rFonts w:cs="Times New Roman"/>
                <w:color w:val="auto"/>
              </w:rPr>
            </w:pPr>
          </w:p>
        </w:tc>
        <w:tc>
          <w:tcPr>
            <w:tcW w:w="960" w:type="dxa"/>
            <w:shd w:val="clear" w:color="auto" w:fill="auto"/>
          </w:tcPr>
          <w:p w14:paraId="6F9C28DD" w14:textId="77777777" w:rsidR="002D7B36" w:rsidRPr="00DE12A3" w:rsidRDefault="00242DA0" w:rsidP="00C917D6">
            <w:pPr>
              <w:pStyle w:val="Gvdemetni361"/>
              <w:shd w:val="clear" w:color="auto" w:fill="auto"/>
              <w:spacing w:before="120" w:after="120" w:line="240" w:lineRule="auto"/>
              <w:ind w:left="709" w:hanging="709"/>
              <w:rPr>
                <w:color w:val="auto"/>
                <w:sz w:val="24"/>
                <w:szCs w:val="24"/>
              </w:rPr>
            </w:pPr>
            <w:r w:rsidRPr="00DE12A3">
              <w:rPr>
                <w:rStyle w:val="Gvdemetni367pt0ptbolukbraklyor"/>
                <w:rFonts w:eastAsia="Courier New"/>
                <w:color w:val="auto"/>
                <w:sz w:val="24"/>
                <w:szCs w:val="24"/>
              </w:rPr>
              <w:t>O</w:t>
            </w:r>
          </w:p>
        </w:tc>
        <w:tc>
          <w:tcPr>
            <w:tcW w:w="5530" w:type="dxa"/>
            <w:shd w:val="clear" w:color="auto" w:fill="auto"/>
          </w:tcPr>
          <w:p w14:paraId="54D889B7" w14:textId="77777777" w:rsidR="002D7B36" w:rsidRPr="00DE12A3" w:rsidRDefault="00242DA0" w:rsidP="00C917D6">
            <w:pPr>
              <w:spacing w:before="120" w:after="120"/>
              <w:ind w:left="709" w:hanging="709"/>
              <w:jc w:val="both"/>
              <w:rPr>
                <w:rFonts w:cs="Times New Roman"/>
                <w:color w:val="auto"/>
              </w:rPr>
            </w:pPr>
            <w:r w:rsidRPr="00DE12A3">
              <w:rPr>
                <w:rFonts w:cs="Times New Roman"/>
                <w:color w:val="auto"/>
              </w:rPr>
              <w:t>Atomik oksijen</w:t>
            </w:r>
          </w:p>
        </w:tc>
      </w:tr>
      <w:tr w:rsidR="00DE12A3" w:rsidRPr="00DE12A3" w14:paraId="57645E06" w14:textId="77777777" w:rsidTr="00910EB3">
        <w:trPr>
          <w:trHeight w:hRule="exact" w:val="494"/>
        </w:trPr>
        <w:tc>
          <w:tcPr>
            <w:tcW w:w="1099" w:type="dxa"/>
            <w:shd w:val="clear" w:color="auto" w:fill="auto"/>
          </w:tcPr>
          <w:p w14:paraId="258097E0" w14:textId="77777777" w:rsidR="002D7B36" w:rsidRPr="00DE12A3" w:rsidRDefault="00242DA0" w:rsidP="00C917D6">
            <w:pPr>
              <w:pStyle w:val="Gvdemetni361"/>
              <w:shd w:val="clear" w:color="auto" w:fill="auto"/>
              <w:spacing w:before="120" w:after="120" w:line="240" w:lineRule="auto"/>
              <w:ind w:left="709" w:hanging="709"/>
              <w:rPr>
                <w:color w:val="auto"/>
                <w:sz w:val="24"/>
                <w:szCs w:val="24"/>
              </w:rPr>
            </w:pPr>
            <w:r w:rsidRPr="00DE12A3">
              <w:rPr>
                <w:rStyle w:val="Gvdemetni367pt0ptbolukbraklyor"/>
                <w:rFonts w:eastAsia="Courier New"/>
                <w:color w:val="auto"/>
                <w:sz w:val="24"/>
                <w:szCs w:val="24"/>
              </w:rPr>
              <w:t>PM</w:t>
            </w:r>
          </w:p>
        </w:tc>
        <w:tc>
          <w:tcPr>
            <w:tcW w:w="960" w:type="dxa"/>
            <w:shd w:val="clear" w:color="auto" w:fill="auto"/>
          </w:tcPr>
          <w:p w14:paraId="514F4012" w14:textId="77777777" w:rsidR="002D7B36" w:rsidRPr="00DE12A3" w:rsidRDefault="00242DA0" w:rsidP="00C917D6">
            <w:pPr>
              <w:pStyle w:val="Gvdemetni361"/>
              <w:shd w:val="clear" w:color="auto" w:fill="auto"/>
              <w:spacing w:before="120" w:after="120" w:line="240" w:lineRule="auto"/>
              <w:ind w:left="709" w:hanging="709"/>
              <w:rPr>
                <w:color w:val="auto"/>
                <w:sz w:val="24"/>
                <w:szCs w:val="24"/>
              </w:rPr>
            </w:pPr>
            <w:r w:rsidRPr="00DE12A3">
              <w:rPr>
                <w:rStyle w:val="Gvdemetni367pt0ptbolukbraklyor"/>
                <w:rFonts w:eastAsia="Courier New"/>
                <w:color w:val="auto"/>
                <w:sz w:val="24"/>
                <w:szCs w:val="24"/>
              </w:rPr>
              <w:t>PM</w:t>
            </w:r>
          </w:p>
        </w:tc>
        <w:tc>
          <w:tcPr>
            <w:tcW w:w="5530" w:type="dxa"/>
            <w:shd w:val="clear" w:color="auto" w:fill="auto"/>
          </w:tcPr>
          <w:p w14:paraId="6859C841" w14:textId="77777777" w:rsidR="002D7B36" w:rsidRPr="00DE12A3" w:rsidRDefault="007E2039" w:rsidP="00C917D6">
            <w:pPr>
              <w:spacing w:before="120" w:after="120"/>
              <w:ind w:left="709" w:hanging="709"/>
              <w:jc w:val="both"/>
              <w:rPr>
                <w:rFonts w:cs="Times New Roman"/>
                <w:color w:val="auto"/>
              </w:rPr>
            </w:pPr>
            <w:r w:rsidRPr="00DE12A3">
              <w:rPr>
                <w:rFonts w:cs="Times New Roman"/>
                <w:color w:val="auto"/>
              </w:rPr>
              <w:t xml:space="preserve">Partikül </w:t>
            </w:r>
            <w:r w:rsidR="00242DA0" w:rsidRPr="00DE12A3">
              <w:rPr>
                <w:rFonts w:cs="Times New Roman"/>
                <w:color w:val="auto"/>
              </w:rPr>
              <w:t>madde</w:t>
            </w:r>
          </w:p>
        </w:tc>
      </w:tr>
      <w:tr w:rsidR="00DE12A3" w:rsidRPr="00DE12A3" w14:paraId="678B06F3" w14:textId="77777777" w:rsidTr="00910EB3">
        <w:trPr>
          <w:trHeight w:hRule="exact" w:val="499"/>
        </w:trPr>
        <w:tc>
          <w:tcPr>
            <w:tcW w:w="1099" w:type="dxa"/>
            <w:shd w:val="clear" w:color="auto" w:fill="auto"/>
          </w:tcPr>
          <w:p w14:paraId="4077E20C" w14:textId="77777777" w:rsidR="002D7B36" w:rsidRPr="00DE12A3" w:rsidRDefault="00242DA0" w:rsidP="00C917D6">
            <w:pPr>
              <w:pStyle w:val="Gvdemetni361"/>
              <w:shd w:val="clear" w:color="auto" w:fill="auto"/>
              <w:spacing w:before="120" w:after="120" w:line="240" w:lineRule="auto"/>
              <w:ind w:left="709" w:hanging="709"/>
              <w:rPr>
                <w:color w:val="auto"/>
                <w:sz w:val="24"/>
                <w:szCs w:val="24"/>
              </w:rPr>
            </w:pPr>
            <w:r w:rsidRPr="00DE12A3">
              <w:rPr>
                <w:rStyle w:val="Gvdemetni367pt0ptbolukbraklyor"/>
                <w:rFonts w:eastAsia="Courier New"/>
                <w:color w:val="auto"/>
                <w:sz w:val="24"/>
                <w:szCs w:val="24"/>
              </w:rPr>
              <w:t>S</w:t>
            </w:r>
          </w:p>
        </w:tc>
        <w:tc>
          <w:tcPr>
            <w:tcW w:w="960" w:type="dxa"/>
            <w:shd w:val="clear" w:color="auto" w:fill="auto"/>
          </w:tcPr>
          <w:p w14:paraId="5227C657" w14:textId="77777777" w:rsidR="002D7B36" w:rsidRPr="00DE12A3" w:rsidRDefault="00242DA0" w:rsidP="00C917D6">
            <w:pPr>
              <w:pStyle w:val="Gvdemetni361"/>
              <w:shd w:val="clear" w:color="auto" w:fill="auto"/>
              <w:spacing w:before="120" w:after="120" w:line="240" w:lineRule="auto"/>
              <w:ind w:left="709" w:hanging="709"/>
              <w:rPr>
                <w:color w:val="auto"/>
                <w:sz w:val="24"/>
                <w:szCs w:val="24"/>
              </w:rPr>
            </w:pPr>
            <w:r w:rsidRPr="00DE12A3">
              <w:rPr>
                <w:rStyle w:val="Gvdemetni367pt0ptbolukbraklyor"/>
                <w:rFonts w:eastAsia="Courier New"/>
                <w:color w:val="auto"/>
                <w:sz w:val="24"/>
                <w:szCs w:val="24"/>
              </w:rPr>
              <w:t>S</w:t>
            </w:r>
          </w:p>
        </w:tc>
        <w:tc>
          <w:tcPr>
            <w:tcW w:w="5530" w:type="dxa"/>
            <w:shd w:val="clear" w:color="auto" w:fill="auto"/>
          </w:tcPr>
          <w:p w14:paraId="5AF0EB98" w14:textId="77777777" w:rsidR="002D7B36" w:rsidRPr="00DE12A3" w:rsidRDefault="00242DA0" w:rsidP="00C917D6">
            <w:pPr>
              <w:spacing w:before="120" w:after="120"/>
              <w:ind w:left="709" w:hanging="709"/>
              <w:jc w:val="both"/>
              <w:rPr>
                <w:rFonts w:cs="Times New Roman"/>
                <w:color w:val="auto"/>
              </w:rPr>
            </w:pPr>
            <w:r w:rsidRPr="00DE12A3">
              <w:rPr>
                <w:rFonts w:cs="Times New Roman"/>
                <w:color w:val="auto"/>
              </w:rPr>
              <w:t>Kükürt</w:t>
            </w:r>
          </w:p>
        </w:tc>
      </w:tr>
    </w:tbl>
    <w:p w14:paraId="5B968539" w14:textId="77777777" w:rsidR="002D7B36" w:rsidRPr="00DE12A3" w:rsidRDefault="002D7B36" w:rsidP="00C917D6">
      <w:pPr>
        <w:pStyle w:val="Gvdemetni251"/>
        <w:shd w:val="clear" w:color="auto" w:fill="auto"/>
        <w:tabs>
          <w:tab w:val="left" w:pos="754"/>
          <w:tab w:val="right" w:pos="1541"/>
          <w:tab w:val="right" w:pos="2602"/>
          <w:tab w:val="right" w:pos="2861"/>
          <w:tab w:val="right" w:pos="3115"/>
          <w:tab w:val="right" w:pos="3778"/>
          <w:tab w:val="right" w:pos="4656"/>
          <w:tab w:val="right" w:pos="5078"/>
          <w:tab w:val="right" w:pos="5504"/>
        </w:tabs>
        <w:spacing w:before="120" w:after="120" w:line="240" w:lineRule="auto"/>
        <w:ind w:left="709" w:hanging="709"/>
        <w:rPr>
          <w:color w:val="auto"/>
          <w:sz w:val="20"/>
          <w:szCs w:val="20"/>
        </w:rPr>
      </w:pPr>
    </w:p>
    <w:p w14:paraId="3881B998" w14:textId="77777777" w:rsidR="002D7B36" w:rsidRPr="00DE12A3" w:rsidRDefault="00242DA0" w:rsidP="00C917D6">
      <w:pPr>
        <w:pStyle w:val="Gvdemetni251"/>
        <w:shd w:val="clear" w:color="auto" w:fill="auto"/>
        <w:tabs>
          <w:tab w:val="left" w:pos="-142"/>
          <w:tab w:val="left" w:pos="0"/>
          <w:tab w:val="left" w:pos="754"/>
          <w:tab w:val="right" w:pos="1541"/>
          <w:tab w:val="right" w:pos="2602"/>
          <w:tab w:val="right" w:pos="2861"/>
          <w:tab w:val="right" w:pos="3115"/>
          <w:tab w:val="right" w:pos="3778"/>
          <w:tab w:val="right" w:pos="4656"/>
          <w:tab w:val="right" w:pos="5078"/>
          <w:tab w:val="right" w:pos="5504"/>
        </w:tabs>
        <w:spacing w:before="120" w:after="120" w:line="240" w:lineRule="auto"/>
        <w:ind w:left="709" w:hanging="709"/>
        <w:rPr>
          <w:color w:val="auto"/>
          <w:sz w:val="20"/>
          <w:szCs w:val="20"/>
        </w:rPr>
      </w:pPr>
      <w:r w:rsidRPr="00DE12A3">
        <w:rPr>
          <w:color w:val="auto"/>
          <w:sz w:val="20"/>
          <w:szCs w:val="20"/>
        </w:rPr>
        <w:tab/>
      </w:r>
    </w:p>
    <w:p w14:paraId="63B9C68C" w14:textId="77777777" w:rsidR="002D7B36" w:rsidRPr="00DE12A3" w:rsidRDefault="002D7B36" w:rsidP="00C917D6">
      <w:pPr>
        <w:pStyle w:val="Gvdemetni251"/>
        <w:shd w:val="clear" w:color="auto" w:fill="auto"/>
        <w:tabs>
          <w:tab w:val="left" w:pos="-142"/>
          <w:tab w:val="left" w:pos="0"/>
          <w:tab w:val="left" w:pos="754"/>
          <w:tab w:val="right" w:pos="1541"/>
          <w:tab w:val="right" w:pos="2602"/>
          <w:tab w:val="right" w:pos="2861"/>
          <w:tab w:val="right" w:pos="3115"/>
          <w:tab w:val="right" w:pos="3778"/>
          <w:tab w:val="right" w:pos="4656"/>
          <w:tab w:val="right" w:pos="5078"/>
          <w:tab w:val="right" w:pos="5504"/>
        </w:tabs>
        <w:spacing w:before="120" w:after="120" w:line="240" w:lineRule="auto"/>
        <w:ind w:left="709" w:hanging="709"/>
        <w:rPr>
          <w:color w:val="auto"/>
          <w:sz w:val="20"/>
          <w:szCs w:val="20"/>
        </w:rPr>
      </w:pPr>
    </w:p>
    <w:p w14:paraId="6902C9E4" w14:textId="77777777" w:rsidR="002D7B36" w:rsidRPr="00DE12A3" w:rsidRDefault="002D7B36" w:rsidP="00C917D6">
      <w:pPr>
        <w:pStyle w:val="Gvdemetni251"/>
        <w:shd w:val="clear" w:color="auto" w:fill="auto"/>
        <w:tabs>
          <w:tab w:val="left" w:pos="-142"/>
          <w:tab w:val="left" w:pos="0"/>
          <w:tab w:val="left" w:pos="754"/>
          <w:tab w:val="right" w:pos="1541"/>
          <w:tab w:val="right" w:pos="2602"/>
          <w:tab w:val="right" w:pos="2861"/>
          <w:tab w:val="right" w:pos="3115"/>
          <w:tab w:val="right" w:pos="3778"/>
          <w:tab w:val="right" w:pos="4656"/>
          <w:tab w:val="right" w:pos="5078"/>
          <w:tab w:val="right" w:pos="5504"/>
        </w:tabs>
        <w:spacing w:before="120" w:after="120" w:line="240" w:lineRule="auto"/>
        <w:ind w:left="709" w:hanging="709"/>
        <w:rPr>
          <w:color w:val="auto"/>
          <w:sz w:val="20"/>
          <w:szCs w:val="20"/>
        </w:rPr>
      </w:pPr>
    </w:p>
    <w:p w14:paraId="2B081249" w14:textId="77777777" w:rsidR="002D7B36" w:rsidRPr="00DE12A3" w:rsidRDefault="002D7B36" w:rsidP="00C917D6">
      <w:pPr>
        <w:pStyle w:val="Gvdemetni251"/>
        <w:shd w:val="clear" w:color="auto" w:fill="auto"/>
        <w:tabs>
          <w:tab w:val="left" w:pos="-142"/>
          <w:tab w:val="left" w:pos="0"/>
          <w:tab w:val="left" w:pos="754"/>
          <w:tab w:val="right" w:pos="1541"/>
          <w:tab w:val="right" w:pos="2602"/>
          <w:tab w:val="right" w:pos="2861"/>
          <w:tab w:val="right" w:pos="3115"/>
          <w:tab w:val="right" w:pos="3778"/>
          <w:tab w:val="right" w:pos="4656"/>
          <w:tab w:val="right" w:pos="5078"/>
          <w:tab w:val="right" w:pos="5504"/>
        </w:tabs>
        <w:spacing w:before="120" w:after="120" w:line="240" w:lineRule="auto"/>
        <w:ind w:left="709" w:hanging="709"/>
        <w:rPr>
          <w:color w:val="auto"/>
          <w:sz w:val="20"/>
          <w:szCs w:val="20"/>
        </w:rPr>
      </w:pPr>
    </w:p>
    <w:p w14:paraId="6FB247EB" w14:textId="77777777" w:rsidR="002D7B36" w:rsidRPr="00DE12A3" w:rsidRDefault="002D7B36" w:rsidP="00C917D6">
      <w:pPr>
        <w:pStyle w:val="Gvdemetni251"/>
        <w:shd w:val="clear" w:color="auto" w:fill="auto"/>
        <w:tabs>
          <w:tab w:val="left" w:pos="-142"/>
          <w:tab w:val="left" w:pos="0"/>
          <w:tab w:val="left" w:pos="754"/>
          <w:tab w:val="right" w:pos="1541"/>
          <w:tab w:val="right" w:pos="2602"/>
          <w:tab w:val="right" w:pos="2861"/>
          <w:tab w:val="right" w:pos="3115"/>
          <w:tab w:val="right" w:pos="3778"/>
          <w:tab w:val="right" w:pos="4656"/>
          <w:tab w:val="right" w:pos="5078"/>
          <w:tab w:val="right" w:pos="5504"/>
        </w:tabs>
        <w:spacing w:before="120" w:after="120" w:line="240" w:lineRule="auto"/>
        <w:ind w:left="709" w:hanging="709"/>
        <w:rPr>
          <w:color w:val="auto"/>
          <w:sz w:val="20"/>
          <w:szCs w:val="20"/>
          <w:lang w:eastAsia="en-US"/>
        </w:rPr>
      </w:pPr>
    </w:p>
    <w:p w14:paraId="257DF490" w14:textId="77777777" w:rsidR="002D7B36" w:rsidRPr="00DE12A3" w:rsidRDefault="002D7B36" w:rsidP="00C917D6">
      <w:pPr>
        <w:pStyle w:val="Gvdemetni251"/>
        <w:shd w:val="clear" w:color="auto" w:fill="auto"/>
        <w:tabs>
          <w:tab w:val="left" w:pos="754"/>
          <w:tab w:val="right" w:pos="1541"/>
          <w:tab w:val="right" w:pos="2602"/>
          <w:tab w:val="right" w:pos="2861"/>
          <w:tab w:val="right" w:pos="3115"/>
          <w:tab w:val="right" w:pos="3778"/>
          <w:tab w:val="right" w:pos="4656"/>
          <w:tab w:val="right" w:pos="5078"/>
          <w:tab w:val="right" w:pos="5504"/>
        </w:tabs>
        <w:spacing w:before="120" w:after="120" w:line="240" w:lineRule="auto"/>
        <w:ind w:left="709" w:hanging="709"/>
        <w:rPr>
          <w:color w:val="auto"/>
          <w:sz w:val="20"/>
          <w:szCs w:val="20"/>
          <w:lang w:eastAsia="en-US"/>
        </w:rPr>
      </w:pPr>
    </w:p>
    <w:p w14:paraId="6C1C0B41" w14:textId="77777777" w:rsidR="002D7B36" w:rsidRPr="00DE12A3" w:rsidRDefault="002D7B36" w:rsidP="00E20716">
      <w:pPr>
        <w:pStyle w:val="ListeParagraf"/>
        <w:numPr>
          <w:ilvl w:val="0"/>
          <w:numId w:val="395"/>
        </w:numPr>
        <w:tabs>
          <w:tab w:val="left" w:pos="754"/>
          <w:tab w:val="right" w:pos="1646"/>
          <w:tab w:val="right" w:pos="2626"/>
          <w:tab w:val="right" w:pos="2894"/>
          <w:tab w:val="right" w:pos="3158"/>
          <w:tab w:val="right" w:pos="3490"/>
          <w:tab w:val="right" w:pos="4392"/>
        </w:tabs>
        <w:spacing w:before="120" w:after="120"/>
        <w:ind w:left="709" w:hanging="709"/>
        <w:contextualSpacing w:val="0"/>
        <w:jc w:val="both"/>
        <w:rPr>
          <w:rFonts w:eastAsia="Times New Roman" w:cs="Times New Roman"/>
          <w:vanish/>
          <w:color w:val="auto"/>
          <w:spacing w:val="3"/>
          <w:sz w:val="20"/>
          <w:szCs w:val="20"/>
        </w:rPr>
      </w:pPr>
    </w:p>
    <w:p w14:paraId="0AE8BFBE" w14:textId="77777777" w:rsidR="002D7B36" w:rsidRPr="00DE12A3" w:rsidRDefault="002D7B36" w:rsidP="00E20716">
      <w:pPr>
        <w:pStyle w:val="ListeParagraf"/>
        <w:numPr>
          <w:ilvl w:val="1"/>
          <w:numId w:val="395"/>
        </w:numPr>
        <w:tabs>
          <w:tab w:val="left" w:pos="754"/>
          <w:tab w:val="right" w:pos="1646"/>
          <w:tab w:val="right" w:pos="2626"/>
          <w:tab w:val="right" w:pos="2894"/>
          <w:tab w:val="right" w:pos="3158"/>
          <w:tab w:val="right" w:pos="3490"/>
          <w:tab w:val="right" w:pos="4392"/>
        </w:tabs>
        <w:spacing w:before="120" w:after="120"/>
        <w:ind w:left="709" w:hanging="709"/>
        <w:contextualSpacing w:val="0"/>
        <w:jc w:val="both"/>
        <w:rPr>
          <w:rFonts w:eastAsia="Times New Roman" w:cs="Times New Roman"/>
          <w:vanish/>
          <w:color w:val="auto"/>
          <w:spacing w:val="3"/>
          <w:sz w:val="20"/>
          <w:szCs w:val="20"/>
        </w:rPr>
      </w:pPr>
    </w:p>
    <w:p w14:paraId="1E108AB5" w14:textId="77777777" w:rsidR="002D7B36" w:rsidRPr="00DE12A3" w:rsidRDefault="002D7B36" w:rsidP="00E20716">
      <w:pPr>
        <w:pStyle w:val="ListeParagraf"/>
        <w:numPr>
          <w:ilvl w:val="1"/>
          <w:numId w:val="395"/>
        </w:numPr>
        <w:tabs>
          <w:tab w:val="left" w:pos="754"/>
          <w:tab w:val="right" w:pos="1646"/>
          <w:tab w:val="right" w:pos="2626"/>
          <w:tab w:val="right" w:pos="2894"/>
          <w:tab w:val="right" w:pos="3158"/>
          <w:tab w:val="right" w:pos="3490"/>
          <w:tab w:val="right" w:pos="4392"/>
        </w:tabs>
        <w:spacing w:before="120" w:after="120"/>
        <w:ind w:left="709" w:hanging="709"/>
        <w:contextualSpacing w:val="0"/>
        <w:jc w:val="both"/>
        <w:rPr>
          <w:rFonts w:eastAsia="Times New Roman" w:cs="Times New Roman"/>
          <w:vanish/>
          <w:color w:val="auto"/>
          <w:spacing w:val="3"/>
          <w:sz w:val="20"/>
          <w:szCs w:val="20"/>
        </w:rPr>
      </w:pPr>
    </w:p>
    <w:p w14:paraId="7BA5FB72" w14:textId="77777777" w:rsidR="002D7B36" w:rsidRPr="00DE12A3" w:rsidRDefault="002D7B36" w:rsidP="00E20716">
      <w:pPr>
        <w:pStyle w:val="ListeParagraf"/>
        <w:numPr>
          <w:ilvl w:val="1"/>
          <w:numId w:val="395"/>
        </w:numPr>
        <w:tabs>
          <w:tab w:val="left" w:pos="754"/>
          <w:tab w:val="right" w:pos="1646"/>
          <w:tab w:val="right" w:pos="2626"/>
          <w:tab w:val="right" w:pos="2894"/>
          <w:tab w:val="right" w:pos="3158"/>
          <w:tab w:val="right" w:pos="3490"/>
          <w:tab w:val="right" w:pos="4392"/>
        </w:tabs>
        <w:spacing w:before="120" w:after="120"/>
        <w:ind w:left="709" w:hanging="709"/>
        <w:contextualSpacing w:val="0"/>
        <w:jc w:val="both"/>
        <w:rPr>
          <w:rFonts w:eastAsia="Times New Roman" w:cs="Times New Roman"/>
          <w:vanish/>
          <w:color w:val="auto"/>
          <w:spacing w:val="3"/>
          <w:sz w:val="20"/>
          <w:szCs w:val="20"/>
        </w:rPr>
      </w:pPr>
    </w:p>
    <w:p w14:paraId="32609A1E" w14:textId="77777777" w:rsidR="00F466F2" w:rsidRPr="00DE12A3" w:rsidRDefault="00F466F2" w:rsidP="00F466F2">
      <w:pPr>
        <w:pStyle w:val="Gvdemetni251"/>
        <w:shd w:val="clear" w:color="auto" w:fill="auto"/>
        <w:tabs>
          <w:tab w:val="left" w:pos="754"/>
          <w:tab w:val="right" w:pos="1646"/>
          <w:tab w:val="right" w:pos="2626"/>
          <w:tab w:val="right" w:pos="2894"/>
          <w:tab w:val="right" w:pos="3158"/>
          <w:tab w:val="right" w:pos="3490"/>
          <w:tab w:val="right" w:pos="4392"/>
        </w:tabs>
        <w:spacing w:before="120" w:after="120" w:line="240" w:lineRule="auto"/>
        <w:ind w:firstLine="0"/>
        <w:rPr>
          <w:color w:val="auto"/>
          <w:sz w:val="24"/>
          <w:szCs w:val="24"/>
        </w:rPr>
      </w:pPr>
    </w:p>
    <w:p w14:paraId="7027710B" w14:textId="77777777" w:rsidR="00F466F2" w:rsidRPr="00DE12A3" w:rsidRDefault="00F466F2" w:rsidP="00F466F2">
      <w:pPr>
        <w:pStyle w:val="Gvdemetni251"/>
        <w:shd w:val="clear" w:color="auto" w:fill="auto"/>
        <w:tabs>
          <w:tab w:val="left" w:pos="754"/>
          <w:tab w:val="right" w:pos="1646"/>
          <w:tab w:val="right" w:pos="2626"/>
          <w:tab w:val="right" w:pos="2894"/>
          <w:tab w:val="right" w:pos="3158"/>
          <w:tab w:val="right" w:pos="3490"/>
          <w:tab w:val="right" w:pos="4392"/>
        </w:tabs>
        <w:spacing w:before="120" w:after="120" w:line="240" w:lineRule="auto"/>
        <w:ind w:firstLine="0"/>
        <w:rPr>
          <w:color w:val="auto"/>
          <w:sz w:val="24"/>
          <w:szCs w:val="24"/>
        </w:rPr>
      </w:pPr>
    </w:p>
    <w:p w14:paraId="29AC3F60" w14:textId="0757E0D6" w:rsidR="002D7B36" w:rsidRPr="00DE12A3" w:rsidRDefault="00242DA0" w:rsidP="00E20716">
      <w:pPr>
        <w:pStyle w:val="Gvdemetni251"/>
        <w:numPr>
          <w:ilvl w:val="1"/>
          <w:numId w:val="395"/>
        </w:numPr>
        <w:shd w:val="clear" w:color="auto" w:fill="auto"/>
        <w:tabs>
          <w:tab w:val="left" w:pos="754"/>
          <w:tab w:val="right" w:pos="1646"/>
          <w:tab w:val="right" w:pos="2626"/>
          <w:tab w:val="right" w:pos="2894"/>
          <w:tab w:val="right" w:pos="3158"/>
          <w:tab w:val="right" w:pos="3490"/>
          <w:tab w:val="right" w:pos="4392"/>
        </w:tabs>
        <w:spacing w:before="120" w:after="120" w:line="240" w:lineRule="auto"/>
        <w:ind w:left="709" w:hanging="709"/>
        <w:rPr>
          <w:color w:val="auto"/>
          <w:sz w:val="24"/>
          <w:szCs w:val="24"/>
        </w:rPr>
      </w:pPr>
      <w:r w:rsidRPr="00DE12A3">
        <w:rPr>
          <w:color w:val="auto"/>
          <w:sz w:val="24"/>
          <w:szCs w:val="24"/>
        </w:rPr>
        <w:t>Yakıt bileşimine ilişkin semboller ve kısaltmalar</w:t>
      </w:r>
    </w:p>
    <w:p w14:paraId="5007FC33" w14:textId="77777777" w:rsidR="002D7B36" w:rsidRPr="00DE12A3" w:rsidRDefault="002D7B36" w:rsidP="00C917D6">
      <w:pPr>
        <w:pStyle w:val="Gvdemetni251"/>
        <w:shd w:val="clear" w:color="auto" w:fill="auto"/>
        <w:tabs>
          <w:tab w:val="left" w:pos="754"/>
          <w:tab w:val="right" w:pos="1646"/>
          <w:tab w:val="right" w:pos="2626"/>
          <w:tab w:val="right" w:pos="2894"/>
          <w:tab w:val="right" w:pos="3158"/>
          <w:tab w:val="right" w:pos="3490"/>
          <w:tab w:val="right" w:pos="4392"/>
        </w:tabs>
        <w:spacing w:before="120" w:after="120" w:line="240" w:lineRule="auto"/>
        <w:ind w:left="709" w:hanging="709"/>
        <w:rPr>
          <w:color w:val="auto"/>
          <w:sz w:val="20"/>
          <w:szCs w:val="20"/>
        </w:rPr>
      </w:pPr>
    </w:p>
    <w:tbl>
      <w:tblPr>
        <w:tblpPr w:leftFromText="141" w:rightFromText="141" w:vertAnchor="text" w:horzAnchor="margin" w:tblpXSpec="center" w:tblpY="25"/>
        <w:tblOverlap w:val="never"/>
        <w:tblW w:w="76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286"/>
        <w:gridCol w:w="1276"/>
        <w:gridCol w:w="5062"/>
      </w:tblGrid>
      <w:tr w:rsidR="00DE12A3" w:rsidRPr="00DE12A3" w14:paraId="704A0F32" w14:textId="77777777" w:rsidTr="00910EB3">
        <w:trPr>
          <w:trHeight w:hRule="exact" w:val="653"/>
        </w:trPr>
        <w:tc>
          <w:tcPr>
            <w:tcW w:w="1286" w:type="dxa"/>
            <w:shd w:val="clear" w:color="auto" w:fill="auto"/>
          </w:tcPr>
          <w:p w14:paraId="5D62FE74" w14:textId="77777777" w:rsidR="002D7B36" w:rsidRPr="00DE12A3" w:rsidRDefault="00242DA0" w:rsidP="00C917D6">
            <w:pPr>
              <w:spacing w:before="120" w:after="120"/>
              <w:ind w:left="709" w:hanging="709"/>
              <w:jc w:val="both"/>
              <w:rPr>
                <w:rFonts w:cs="Times New Roman"/>
                <w:color w:val="auto"/>
              </w:rPr>
            </w:pPr>
            <w:r w:rsidRPr="00DE12A3">
              <w:rPr>
                <w:rFonts w:cs="Times New Roman"/>
                <w:color w:val="auto"/>
              </w:rPr>
              <w:t>Bölüm 2 (</w:t>
            </w:r>
            <w:r w:rsidRPr="00DE12A3">
              <w:rPr>
                <w:rFonts w:cs="Times New Roman"/>
                <w:color w:val="auto"/>
                <w:vertAlign w:val="superscript"/>
              </w:rPr>
              <w:t>1</w:t>
            </w:r>
            <w:r w:rsidRPr="00DE12A3">
              <w:rPr>
                <w:rFonts w:cs="Times New Roman"/>
                <w:color w:val="auto"/>
              </w:rPr>
              <w:t>)</w:t>
            </w:r>
          </w:p>
        </w:tc>
        <w:tc>
          <w:tcPr>
            <w:tcW w:w="1276" w:type="dxa"/>
            <w:shd w:val="clear" w:color="auto" w:fill="auto"/>
          </w:tcPr>
          <w:p w14:paraId="39C87E62" w14:textId="77777777" w:rsidR="002D7B36" w:rsidRPr="00DE12A3" w:rsidRDefault="00242DA0" w:rsidP="00C917D6">
            <w:pPr>
              <w:spacing w:before="120" w:after="120"/>
              <w:ind w:left="709" w:hanging="709"/>
              <w:jc w:val="both"/>
              <w:rPr>
                <w:rFonts w:cs="Times New Roman"/>
                <w:color w:val="auto"/>
              </w:rPr>
            </w:pPr>
            <w:r w:rsidRPr="00DE12A3">
              <w:rPr>
                <w:rFonts w:cs="Times New Roman"/>
                <w:color w:val="auto"/>
              </w:rPr>
              <w:t>Bölüm 3 (</w:t>
            </w:r>
            <w:r w:rsidRPr="00DE12A3">
              <w:rPr>
                <w:rFonts w:cs="Times New Roman"/>
                <w:color w:val="auto"/>
                <w:vertAlign w:val="superscript"/>
              </w:rPr>
              <w:t>2</w:t>
            </w:r>
            <w:r w:rsidRPr="00DE12A3">
              <w:rPr>
                <w:rFonts w:cs="Times New Roman"/>
                <w:color w:val="auto"/>
              </w:rPr>
              <w:t>)</w:t>
            </w:r>
          </w:p>
        </w:tc>
        <w:tc>
          <w:tcPr>
            <w:tcW w:w="5062" w:type="dxa"/>
            <w:shd w:val="clear" w:color="auto" w:fill="auto"/>
          </w:tcPr>
          <w:p w14:paraId="5BA55210" w14:textId="77777777" w:rsidR="002D7B36" w:rsidRPr="00DE12A3" w:rsidRDefault="00242DA0" w:rsidP="00C917D6">
            <w:pPr>
              <w:spacing w:before="120" w:after="120"/>
              <w:ind w:left="709" w:hanging="709"/>
              <w:jc w:val="both"/>
              <w:rPr>
                <w:rFonts w:cs="Times New Roman"/>
                <w:color w:val="auto"/>
              </w:rPr>
            </w:pPr>
            <w:r w:rsidRPr="00DE12A3">
              <w:rPr>
                <w:rFonts w:cs="Times New Roman"/>
                <w:color w:val="auto"/>
              </w:rPr>
              <w:t>Miktar</w:t>
            </w:r>
          </w:p>
        </w:tc>
      </w:tr>
      <w:tr w:rsidR="00DE12A3" w:rsidRPr="00DE12A3" w14:paraId="3186A259" w14:textId="77777777" w:rsidTr="00910EB3">
        <w:trPr>
          <w:trHeight w:hRule="exact" w:val="586"/>
        </w:trPr>
        <w:tc>
          <w:tcPr>
            <w:tcW w:w="1286" w:type="dxa"/>
            <w:shd w:val="clear" w:color="auto" w:fill="auto"/>
          </w:tcPr>
          <w:p w14:paraId="6435D3C5" w14:textId="77777777" w:rsidR="002D7B36" w:rsidRPr="00DE12A3" w:rsidRDefault="00242DA0" w:rsidP="00C917D6">
            <w:pPr>
              <w:pStyle w:val="Gvdemetni361"/>
              <w:shd w:val="clear" w:color="auto" w:fill="auto"/>
              <w:spacing w:before="120" w:after="120" w:line="240" w:lineRule="auto"/>
              <w:ind w:left="709" w:hanging="709"/>
              <w:rPr>
                <w:color w:val="auto"/>
                <w:sz w:val="24"/>
                <w:szCs w:val="24"/>
              </w:rPr>
            </w:pPr>
            <w:r w:rsidRPr="00DE12A3">
              <w:rPr>
                <w:rStyle w:val="Gvdemetni366pt0ptbolukbraklyor1"/>
                <w:color w:val="auto"/>
                <w:sz w:val="24"/>
                <w:szCs w:val="24"/>
              </w:rPr>
              <w:t>w</w:t>
            </w:r>
            <w:r w:rsidRPr="00DE12A3">
              <w:rPr>
                <w:rStyle w:val="Gvdemetni366pt0ptbolukbraklyor1"/>
                <w:color w:val="auto"/>
                <w:sz w:val="24"/>
                <w:szCs w:val="24"/>
                <w:vertAlign w:val="subscript"/>
              </w:rPr>
              <w:t>C</w:t>
            </w:r>
            <w:r w:rsidRPr="00DE12A3">
              <w:rPr>
                <w:rStyle w:val="Gvdemetni366pt0ptbolukbraklyor1"/>
                <w:color w:val="auto"/>
                <w:sz w:val="24"/>
                <w:szCs w:val="24"/>
              </w:rPr>
              <w:t xml:space="preserve"> (</w:t>
            </w:r>
            <w:r w:rsidRPr="00DE12A3">
              <w:rPr>
                <w:rStyle w:val="Gvdemetni366pt"/>
                <w:color w:val="auto"/>
                <w:sz w:val="24"/>
                <w:szCs w:val="24"/>
                <w:vertAlign w:val="superscript"/>
              </w:rPr>
              <w:t>4</w:t>
            </w:r>
            <w:r w:rsidRPr="00DE12A3">
              <w:rPr>
                <w:rStyle w:val="Gvdemetni366pt0ptbolukbraklyor1"/>
                <w:color w:val="auto"/>
                <w:sz w:val="24"/>
                <w:szCs w:val="24"/>
              </w:rPr>
              <w:t>)</w:t>
            </w:r>
          </w:p>
        </w:tc>
        <w:tc>
          <w:tcPr>
            <w:tcW w:w="1276" w:type="dxa"/>
            <w:shd w:val="clear" w:color="auto" w:fill="auto"/>
          </w:tcPr>
          <w:p w14:paraId="000A07E9" w14:textId="77777777" w:rsidR="002D7B36" w:rsidRPr="00DE12A3" w:rsidRDefault="00242DA0" w:rsidP="00C917D6">
            <w:pPr>
              <w:pStyle w:val="Gvdemetni361"/>
              <w:shd w:val="clear" w:color="auto" w:fill="auto"/>
              <w:spacing w:before="120" w:after="120" w:line="240" w:lineRule="auto"/>
              <w:ind w:left="709" w:hanging="709"/>
              <w:rPr>
                <w:color w:val="auto"/>
                <w:sz w:val="24"/>
                <w:szCs w:val="24"/>
              </w:rPr>
            </w:pPr>
            <w:r w:rsidRPr="00DE12A3">
              <w:rPr>
                <w:rStyle w:val="Gvdemetni366pt0ptbolukbraklyor1"/>
                <w:color w:val="auto"/>
                <w:sz w:val="24"/>
                <w:szCs w:val="24"/>
              </w:rPr>
              <w:t>w</w:t>
            </w:r>
            <w:r w:rsidRPr="00DE12A3">
              <w:rPr>
                <w:rStyle w:val="Gvdemetni366pt0ptbolukbraklyor1"/>
                <w:color w:val="auto"/>
                <w:sz w:val="24"/>
                <w:szCs w:val="24"/>
                <w:vertAlign w:val="subscript"/>
              </w:rPr>
              <w:t>C</w:t>
            </w:r>
            <w:r w:rsidRPr="00DE12A3">
              <w:rPr>
                <w:rStyle w:val="Gvdemetni366pt0ptbolukbraklyor1"/>
                <w:color w:val="auto"/>
                <w:sz w:val="24"/>
                <w:szCs w:val="24"/>
              </w:rPr>
              <w:t xml:space="preserve"> (</w:t>
            </w:r>
            <w:r w:rsidRPr="00DE12A3">
              <w:rPr>
                <w:rStyle w:val="Gvdemetni366pt"/>
                <w:color w:val="auto"/>
                <w:sz w:val="24"/>
                <w:szCs w:val="24"/>
                <w:vertAlign w:val="superscript"/>
              </w:rPr>
              <w:t>4</w:t>
            </w:r>
            <w:r w:rsidRPr="00DE12A3">
              <w:rPr>
                <w:rStyle w:val="Gvdemetni366pt0ptbolukbraklyor1"/>
                <w:color w:val="auto"/>
                <w:sz w:val="24"/>
                <w:szCs w:val="24"/>
              </w:rPr>
              <w:t>)</w:t>
            </w:r>
          </w:p>
        </w:tc>
        <w:tc>
          <w:tcPr>
            <w:tcW w:w="5062" w:type="dxa"/>
            <w:shd w:val="clear" w:color="auto" w:fill="auto"/>
          </w:tcPr>
          <w:p w14:paraId="1BDE12DE" w14:textId="77777777" w:rsidR="002D7B36" w:rsidRPr="00DE12A3" w:rsidRDefault="00242DA0" w:rsidP="00C917D6">
            <w:pPr>
              <w:spacing w:before="120" w:after="120"/>
              <w:ind w:left="709" w:right="519" w:hanging="709"/>
              <w:jc w:val="both"/>
              <w:rPr>
                <w:rFonts w:cs="Times New Roman"/>
                <w:color w:val="auto"/>
              </w:rPr>
            </w:pPr>
            <w:r w:rsidRPr="00DE12A3">
              <w:rPr>
                <w:rFonts w:cs="Times New Roman"/>
                <w:color w:val="auto"/>
              </w:rPr>
              <w:t>Yakıtın karbon içeriği, kütle oranı [g/g] veya [% kütle]</w:t>
            </w:r>
          </w:p>
        </w:tc>
      </w:tr>
      <w:tr w:rsidR="00DE12A3" w:rsidRPr="00DE12A3" w14:paraId="7BEA3064" w14:textId="77777777" w:rsidTr="00910EB3">
        <w:trPr>
          <w:trHeight w:hRule="exact" w:val="586"/>
        </w:trPr>
        <w:tc>
          <w:tcPr>
            <w:tcW w:w="1286" w:type="dxa"/>
            <w:shd w:val="clear" w:color="auto" w:fill="auto"/>
          </w:tcPr>
          <w:p w14:paraId="150EED54" w14:textId="77777777" w:rsidR="002D7B36" w:rsidRPr="00DE12A3" w:rsidRDefault="00242DA0" w:rsidP="00C917D6">
            <w:pPr>
              <w:spacing w:before="120" w:after="120"/>
              <w:ind w:left="709" w:hanging="709"/>
              <w:jc w:val="both"/>
              <w:rPr>
                <w:rFonts w:cs="Times New Roman"/>
                <w:color w:val="auto"/>
              </w:rPr>
            </w:pPr>
            <w:r w:rsidRPr="00DE12A3">
              <w:rPr>
                <w:rFonts w:cs="Times New Roman"/>
                <w:color w:val="auto"/>
              </w:rPr>
              <w:t>w</w:t>
            </w:r>
            <w:r w:rsidRPr="00DE12A3">
              <w:rPr>
                <w:rFonts w:cs="Times New Roman"/>
                <w:smallCaps/>
                <w:color w:val="auto"/>
                <w:vertAlign w:val="subscript"/>
              </w:rPr>
              <w:t>H</w:t>
            </w:r>
          </w:p>
        </w:tc>
        <w:tc>
          <w:tcPr>
            <w:tcW w:w="1276" w:type="dxa"/>
            <w:shd w:val="clear" w:color="auto" w:fill="auto"/>
          </w:tcPr>
          <w:p w14:paraId="78B35D72" w14:textId="77777777" w:rsidR="002D7B36" w:rsidRPr="00DE12A3" w:rsidRDefault="00242DA0" w:rsidP="00C917D6">
            <w:pPr>
              <w:spacing w:before="120" w:after="120"/>
              <w:ind w:left="709" w:hanging="709"/>
              <w:jc w:val="both"/>
              <w:rPr>
                <w:rFonts w:cs="Times New Roman"/>
                <w:color w:val="auto"/>
              </w:rPr>
            </w:pPr>
            <w:r w:rsidRPr="00DE12A3">
              <w:rPr>
                <w:rFonts w:cs="Times New Roman"/>
                <w:color w:val="auto"/>
              </w:rPr>
              <w:t>w</w:t>
            </w:r>
            <w:r w:rsidRPr="00DE12A3">
              <w:rPr>
                <w:rFonts w:cs="Times New Roman"/>
                <w:smallCaps/>
                <w:color w:val="auto"/>
                <w:vertAlign w:val="subscript"/>
              </w:rPr>
              <w:t>h</w:t>
            </w:r>
          </w:p>
        </w:tc>
        <w:tc>
          <w:tcPr>
            <w:tcW w:w="5062" w:type="dxa"/>
            <w:shd w:val="clear" w:color="auto" w:fill="auto"/>
          </w:tcPr>
          <w:p w14:paraId="1414C585" w14:textId="77777777" w:rsidR="002D7B36" w:rsidRPr="00DE12A3" w:rsidRDefault="00242DA0" w:rsidP="00C917D6">
            <w:pPr>
              <w:spacing w:before="120" w:after="120"/>
              <w:ind w:left="709" w:right="519" w:hanging="709"/>
              <w:jc w:val="both"/>
              <w:rPr>
                <w:rFonts w:cs="Times New Roman"/>
                <w:color w:val="auto"/>
              </w:rPr>
            </w:pPr>
            <w:r w:rsidRPr="00DE12A3">
              <w:rPr>
                <w:rFonts w:cs="Times New Roman"/>
                <w:color w:val="auto"/>
              </w:rPr>
              <w:t>Yakıtın hidrojen içeriği, kütle oranı [g/g] veya [% kütle]</w:t>
            </w:r>
          </w:p>
        </w:tc>
      </w:tr>
      <w:tr w:rsidR="00DE12A3" w:rsidRPr="00DE12A3" w14:paraId="54495B67" w14:textId="77777777" w:rsidTr="00910EB3">
        <w:trPr>
          <w:trHeight w:hRule="exact" w:val="581"/>
        </w:trPr>
        <w:tc>
          <w:tcPr>
            <w:tcW w:w="1286" w:type="dxa"/>
            <w:shd w:val="clear" w:color="auto" w:fill="auto"/>
          </w:tcPr>
          <w:p w14:paraId="624F6B8E" w14:textId="77777777" w:rsidR="002D7B36" w:rsidRPr="00DE12A3" w:rsidRDefault="00242DA0" w:rsidP="00C917D6">
            <w:pPr>
              <w:spacing w:before="120" w:after="120"/>
              <w:ind w:left="709" w:hanging="709"/>
              <w:jc w:val="both"/>
              <w:rPr>
                <w:rFonts w:cs="Times New Roman"/>
                <w:color w:val="auto"/>
              </w:rPr>
            </w:pPr>
            <w:r w:rsidRPr="00DE12A3">
              <w:rPr>
                <w:rFonts w:cs="Times New Roman"/>
                <w:color w:val="auto"/>
              </w:rPr>
              <w:t>w</w:t>
            </w:r>
            <w:r w:rsidRPr="00DE12A3">
              <w:rPr>
                <w:rFonts w:cs="Times New Roman"/>
                <w:color w:val="auto"/>
                <w:vertAlign w:val="subscript"/>
              </w:rPr>
              <w:t>N</w:t>
            </w:r>
          </w:p>
        </w:tc>
        <w:tc>
          <w:tcPr>
            <w:tcW w:w="1276" w:type="dxa"/>
            <w:shd w:val="clear" w:color="auto" w:fill="auto"/>
          </w:tcPr>
          <w:p w14:paraId="1BDE10E9" w14:textId="77777777" w:rsidR="002D7B36" w:rsidRPr="00DE12A3" w:rsidRDefault="00242DA0" w:rsidP="00C917D6">
            <w:pPr>
              <w:spacing w:before="120" w:after="120"/>
              <w:ind w:left="709" w:hanging="709"/>
              <w:jc w:val="both"/>
              <w:rPr>
                <w:rFonts w:cs="Times New Roman"/>
                <w:color w:val="auto"/>
              </w:rPr>
            </w:pPr>
            <w:r w:rsidRPr="00DE12A3">
              <w:rPr>
                <w:rFonts w:cs="Times New Roman"/>
                <w:color w:val="auto"/>
              </w:rPr>
              <w:t>w</w:t>
            </w:r>
            <w:r w:rsidRPr="00DE12A3">
              <w:rPr>
                <w:rFonts w:cs="Times New Roman"/>
                <w:color w:val="auto"/>
                <w:vertAlign w:val="subscript"/>
              </w:rPr>
              <w:t>N</w:t>
            </w:r>
          </w:p>
        </w:tc>
        <w:tc>
          <w:tcPr>
            <w:tcW w:w="5062" w:type="dxa"/>
            <w:shd w:val="clear" w:color="auto" w:fill="auto"/>
          </w:tcPr>
          <w:p w14:paraId="313B8AD2" w14:textId="77777777" w:rsidR="002D7B36" w:rsidRPr="00DE12A3" w:rsidRDefault="00242DA0" w:rsidP="00C917D6">
            <w:pPr>
              <w:spacing w:before="120" w:after="120"/>
              <w:ind w:left="709" w:right="519" w:hanging="709"/>
              <w:jc w:val="both"/>
              <w:rPr>
                <w:rFonts w:cs="Times New Roman"/>
                <w:color w:val="auto"/>
              </w:rPr>
            </w:pPr>
            <w:r w:rsidRPr="00DE12A3">
              <w:rPr>
                <w:rFonts w:cs="Times New Roman"/>
                <w:color w:val="auto"/>
              </w:rPr>
              <w:t>Yakıtın nitrojen içeriği, kütle oranı [g/g] veya [% kütle]</w:t>
            </w:r>
          </w:p>
        </w:tc>
      </w:tr>
      <w:tr w:rsidR="00DE12A3" w:rsidRPr="00DE12A3" w14:paraId="1F4FC4DF" w14:textId="77777777" w:rsidTr="00910EB3">
        <w:trPr>
          <w:trHeight w:hRule="exact" w:val="586"/>
        </w:trPr>
        <w:tc>
          <w:tcPr>
            <w:tcW w:w="1286" w:type="dxa"/>
            <w:shd w:val="clear" w:color="auto" w:fill="auto"/>
          </w:tcPr>
          <w:p w14:paraId="1D445257" w14:textId="77777777" w:rsidR="002D7B36" w:rsidRPr="00DE12A3" w:rsidRDefault="00242DA0" w:rsidP="00C917D6">
            <w:pPr>
              <w:spacing w:before="120" w:after="120"/>
              <w:ind w:left="709" w:hanging="709"/>
              <w:jc w:val="both"/>
              <w:rPr>
                <w:rFonts w:cs="Times New Roman"/>
                <w:color w:val="auto"/>
              </w:rPr>
            </w:pPr>
            <w:r w:rsidRPr="00DE12A3">
              <w:rPr>
                <w:rFonts w:cs="Times New Roman"/>
                <w:color w:val="auto"/>
              </w:rPr>
              <w:t>w</w:t>
            </w:r>
            <w:r w:rsidRPr="00DE12A3">
              <w:rPr>
                <w:rFonts w:cs="Times New Roman"/>
                <w:color w:val="auto"/>
                <w:vertAlign w:val="subscript"/>
              </w:rPr>
              <w:t>O</w:t>
            </w:r>
          </w:p>
        </w:tc>
        <w:tc>
          <w:tcPr>
            <w:tcW w:w="1276" w:type="dxa"/>
            <w:shd w:val="clear" w:color="auto" w:fill="auto"/>
          </w:tcPr>
          <w:p w14:paraId="611797DD" w14:textId="77777777" w:rsidR="002D7B36" w:rsidRPr="00DE12A3" w:rsidRDefault="00242DA0" w:rsidP="00C917D6">
            <w:pPr>
              <w:spacing w:before="120" w:after="120"/>
              <w:ind w:left="709" w:hanging="709"/>
              <w:jc w:val="both"/>
              <w:rPr>
                <w:rFonts w:cs="Times New Roman"/>
                <w:color w:val="auto"/>
              </w:rPr>
            </w:pPr>
            <w:r w:rsidRPr="00DE12A3">
              <w:rPr>
                <w:rFonts w:cs="Times New Roman"/>
                <w:color w:val="auto"/>
              </w:rPr>
              <w:t>w</w:t>
            </w:r>
            <w:r w:rsidRPr="00DE12A3">
              <w:rPr>
                <w:rFonts w:cs="Times New Roman"/>
                <w:color w:val="auto"/>
                <w:vertAlign w:val="subscript"/>
              </w:rPr>
              <w:t>O</w:t>
            </w:r>
          </w:p>
        </w:tc>
        <w:tc>
          <w:tcPr>
            <w:tcW w:w="5062" w:type="dxa"/>
            <w:shd w:val="clear" w:color="auto" w:fill="auto"/>
          </w:tcPr>
          <w:p w14:paraId="6129E554" w14:textId="77777777" w:rsidR="002D7B36" w:rsidRPr="00DE12A3" w:rsidRDefault="00242DA0" w:rsidP="00C917D6">
            <w:pPr>
              <w:spacing w:before="120" w:after="120"/>
              <w:ind w:left="709" w:right="519" w:hanging="709"/>
              <w:jc w:val="both"/>
              <w:rPr>
                <w:rFonts w:cs="Times New Roman"/>
                <w:color w:val="auto"/>
              </w:rPr>
            </w:pPr>
            <w:r w:rsidRPr="00DE12A3">
              <w:rPr>
                <w:rFonts w:cs="Times New Roman"/>
                <w:color w:val="auto"/>
              </w:rPr>
              <w:t>Yakıtın oksijen içeriği, kütle oranı [g/g] veya [% kütle]</w:t>
            </w:r>
          </w:p>
        </w:tc>
      </w:tr>
      <w:tr w:rsidR="00DE12A3" w:rsidRPr="00DE12A3" w14:paraId="60F16BE5" w14:textId="77777777" w:rsidTr="008C7297">
        <w:trPr>
          <w:trHeight w:hRule="exact" w:val="849"/>
        </w:trPr>
        <w:tc>
          <w:tcPr>
            <w:tcW w:w="1286" w:type="dxa"/>
            <w:shd w:val="clear" w:color="auto" w:fill="auto"/>
          </w:tcPr>
          <w:p w14:paraId="5240746E" w14:textId="77777777" w:rsidR="002D7B36" w:rsidRPr="00DE12A3" w:rsidRDefault="00242DA0" w:rsidP="00C917D6">
            <w:pPr>
              <w:spacing w:before="120" w:after="120"/>
              <w:ind w:left="709" w:hanging="709"/>
              <w:jc w:val="both"/>
              <w:rPr>
                <w:rFonts w:cs="Times New Roman"/>
                <w:color w:val="auto"/>
              </w:rPr>
            </w:pPr>
            <w:r w:rsidRPr="00DE12A3">
              <w:rPr>
                <w:rFonts w:cs="Times New Roman"/>
                <w:color w:val="auto"/>
              </w:rPr>
              <w:t>w</w:t>
            </w:r>
            <w:r w:rsidRPr="00DE12A3">
              <w:rPr>
                <w:rFonts w:cs="Times New Roman"/>
                <w:color w:val="auto"/>
                <w:vertAlign w:val="subscript"/>
              </w:rPr>
              <w:t>S</w:t>
            </w:r>
          </w:p>
        </w:tc>
        <w:tc>
          <w:tcPr>
            <w:tcW w:w="1276" w:type="dxa"/>
            <w:shd w:val="clear" w:color="auto" w:fill="auto"/>
          </w:tcPr>
          <w:p w14:paraId="0DBF7C80" w14:textId="77777777" w:rsidR="002D7B36" w:rsidRPr="00DE12A3" w:rsidRDefault="00242DA0" w:rsidP="00C917D6">
            <w:pPr>
              <w:spacing w:before="120" w:after="120"/>
              <w:ind w:left="709" w:hanging="709"/>
              <w:jc w:val="both"/>
              <w:rPr>
                <w:rFonts w:cs="Times New Roman"/>
                <w:color w:val="auto"/>
              </w:rPr>
            </w:pPr>
            <w:r w:rsidRPr="00DE12A3">
              <w:rPr>
                <w:rFonts w:cs="Times New Roman"/>
                <w:color w:val="auto"/>
              </w:rPr>
              <w:t>w</w:t>
            </w:r>
            <w:r w:rsidRPr="00DE12A3">
              <w:rPr>
                <w:rFonts w:cs="Times New Roman"/>
                <w:color w:val="auto"/>
                <w:vertAlign w:val="subscript"/>
              </w:rPr>
              <w:t>S</w:t>
            </w:r>
          </w:p>
        </w:tc>
        <w:tc>
          <w:tcPr>
            <w:tcW w:w="5062" w:type="dxa"/>
            <w:shd w:val="clear" w:color="auto" w:fill="auto"/>
          </w:tcPr>
          <w:p w14:paraId="0617FA7E" w14:textId="77777777" w:rsidR="002D7B36" w:rsidRPr="00DE12A3" w:rsidRDefault="00242DA0" w:rsidP="00C917D6">
            <w:pPr>
              <w:spacing w:before="120" w:after="120"/>
              <w:ind w:left="709" w:right="519" w:hanging="709"/>
              <w:jc w:val="both"/>
              <w:rPr>
                <w:rFonts w:cs="Times New Roman"/>
                <w:color w:val="auto"/>
              </w:rPr>
            </w:pPr>
            <w:r w:rsidRPr="00DE12A3">
              <w:rPr>
                <w:rFonts w:cs="Times New Roman"/>
                <w:color w:val="auto"/>
              </w:rPr>
              <w:t>Yakıtın kükürt içeriği, kütle oranı [g/g] veya [% kütle]</w:t>
            </w:r>
          </w:p>
        </w:tc>
      </w:tr>
      <w:tr w:rsidR="00DE12A3" w:rsidRPr="00DE12A3" w14:paraId="08E882D4" w14:textId="77777777" w:rsidTr="00910EB3">
        <w:trPr>
          <w:trHeight w:hRule="exact" w:val="581"/>
        </w:trPr>
        <w:tc>
          <w:tcPr>
            <w:tcW w:w="1286" w:type="dxa"/>
            <w:shd w:val="clear" w:color="auto" w:fill="auto"/>
          </w:tcPr>
          <w:p w14:paraId="28C50BE8" w14:textId="77777777" w:rsidR="002D7B36" w:rsidRPr="00DE12A3" w:rsidRDefault="00242DA0" w:rsidP="00C917D6">
            <w:pPr>
              <w:pStyle w:val="Gvdemetni361"/>
              <w:shd w:val="clear" w:color="auto" w:fill="auto"/>
              <w:spacing w:before="120" w:after="120" w:line="240" w:lineRule="auto"/>
              <w:ind w:left="709" w:hanging="709"/>
              <w:rPr>
                <w:color w:val="auto"/>
                <w:sz w:val="24"/>
                <w:szCs w:val="24"/>
              </w:rPr>
            </w:pPr>
            <w:r w:rsidRPr="00DE12A3">
              <w:rPr>
                <w:rStyle w:val="Gvdemetni368pttalik"/>
                <w:color w:val="auto"/>
                <w:sz w:val="24"/>
                <w:szCs w:val="24"/>
              </w:rPr>
              <w:t>α</w:t>
            </w:r>
          </w:p>
        </w:tc>
        <w:tc>
          <w:tcPr>
            <w:tcW w:w="1276" w:type="dxa"/>
            <w:shd w:val="clear" w:color="auto" w:fill="auto"/>
          </w:tcPr>
          <w:p w14:paraId="2A668359" w14:textId="77777777" w:rsidR="002D7B36" w:rsidRPr="00DE12A3" w:rsidRDefault="00242DA0" w:rsidP="00C917D6">
            <w:pPr>
              <w:pStyle w:val="Gvdemetni361"/>
              <w:shd w:val="clear" w:color="auto" w:fill="auto"/>
              <w:spacing w:before="120" w:after="120" w:line="240" w:lineRule="auto"/>
              <w:ind w:left="709" w:hanging="709"/>
              <w:rPr>
                <w:color w:val="auto"/>
                <w:sz w:val="24"/>
                <w:szCs w:val="24"/>
              </w:rPr>
            </w:pPr>
            <w:r w:rsidRPr="00DE12A3">
              <w:rPr>
                <w:rStyle w:val="Gvdemetni368pttalik"/>
                <w:color w:val="auto"/>
                <w:sz w:val="24"/>
                <w:szCs w:val="24"/>
              </w:rPr>
              <w:t>α</w:t>
            </w:r>
          </w:p>
        </w:tc>
        <w:tc>
          <w:tcPr>
            <w:tcW w:w="5062" w:type="dxa"/>
            <w:shd w:val="clear" w:color="auto" w:fill="auto"/>
          </w:tcPr>
          <w:p w14:paraId="39C9AC6C" w14:textId="77777777" w:rsidR="002D7B36" w:rsidRPr="00DE12A3" w:rsidRDefault="00242DA0" w:rsidP="00C917D6">
            <w:pPr>
              <w:spacing w:before="120" w:after="120"/>
              <w:ind w:left="709" w:right="519" w:hanging="709"/>
              <w:jc w:val="both"/>
              <w:rPr>
                <w:rFonts w:cs="Times New Roman"/>
                <w:color w:val="auto"/>
              </w:rPr>
            </w:pPr>
            <w:r w:rsidRPr="00DE12A3">
              <w:rPr>
                <w:rFonts w:cs="Times New Roman"/>
                <w:color w:val="auto"/>
              </w:rPr>
              <w:t>Atomik hidrojen-karbon oranı (H/C)</w:t>
            </w:r>
          </w:p>
        </w:tc>
      </w:tr>
      <w:tr w:rsidR="00DE12A3" w:rsidRPr="00DE12A3" w14:paraId="20BA5B24" w14:textId="77777777" w:rsidTr="00910EB3">
        <w:trPr>
          <w:trHeight w:hRule="exact" w:val="586"/>
        </w:trPr>
        <w:tc>
          <w:tcPr>
            <w:tcW w:w="1286" w:type="dxa"/>
            <w:shd w:val="clear" w:color="auto" w:fill="auto"/>
          </w:tcPr>
          <w:p w14:paraId="5AEFBF74" w14:textId="77777777" w:rsidR="002D7B36" w:rsidRPr="00DE12A3" w:rsidRDefault="00242DA0" w:rsidP="00C917D6">
            <w:pPr>
              <w:pStyle w:val="Gvdemetni361"/>
              <w:shd w:val="clear" w:color="auto" w:fill="auto"/>
              <w:spacing w:before="120" w:after="120" w:line="240" w:lineRule="auto"/>
              <w:ind w:left="709" w:hanging="709"/>
              <w:rPr>
                <w:color w:val="auto"/>
                <w:sz w:val="24"/>
                <w:szCs w:val="24"/>
              </w:rPr>
            </w:pPr>
            <w:r w:rsidRPr="00DE12A3">
              <w:rPr>
                <w:rStyle w:val="Gvdemetni364pttalik0ptbolukbraklyor3"/>
                <w:color w:val="auto"/>
                <w:sz w:val="24"/>
                <w:szCs w:val="24"/>
              </w:rPr>
              <w:t>ε</w:t>
            </w:r>
          </w:p>
        </w:tc>
        <w:tc>
          <w:tcPr>
            <w:tcW w:w="1276" w:type="dxa"/>
            <w:shd w:val="clear" w:color="auto" w:fill="auto"/>
          </w:tcPr>
          <w:p w14:paraId="3A90A713" w14:textId="77777777" w:rsidR="002D7B36" w:rsidRPr="00DE12A3" w:rsidRDefault="00242DA0" w:rsidP="00C917D6">
            <w:pPr>
              <w:pStyle w:val="Gvdemetni361"/>
              <w:shd w:val="clear" w:color="auto" w:fill="auto"/>
              <w:spacing w:before="120" w:after="120" w:line="240" w:lineRule="auto"/>
              <w:ind w:left="709" w:hanging="709"/>
              <w:rPr>
                <w:color w:val="auto"/>
                <w:sz w:val="24"/>
                <w:szCs w:val="24"/>
              </w:rPr>
            </w:pPr>
            <w:r w:rsidRPr="00DE12A3">
              <w:rPr>
                <w:rStyle w:val="Gvdemetni3610pttalik"/>
                <w:color w:val="auto"/>
                <w:sz w:val="24"/>
                <w:szCs w:val="24"/>
              </w:rPr>
              <w:t>β</w:t>
            </w:r>
          </w:p>
        </w:tc>
        <w:tc>
          <w:tcPr>
            <w:tcW w:w="5062" w:type="dxa"/>
            <w:shd w:val="clear" w:color="auto" w:fill="auto"/>
          </w:tcPr>
          <w:p w14:paraId="5A6646E3" w14:textId="77777777" w:rsidR="002D7B36" w:rsidRPr="00DE12A3" w:rsidRDefault="00242DA0" w:rsidP="00C917D6">
            <w:pPr>
              <w:spacing w:before="120" w:after="120"/>
              <w:ind w:left="709" w:right="519" w:hanging="709"/>
              <w:jc w:val="both"/>
              <w:rPr>
                <w:rFonts w:cs="Times New Roman"/>
                <w:color w:val="auto"/>
              </w:rPr>
            </w:pPr>
            <w:r w:rsidRPr="00DE12A3">
              <w:rPr>
                <w:rFonts w:cs="Times New Roman"/>
                <w:color w:val="auto"/>
              </w:rPr>
              <w:t xml:space="preserve">Atomik oksijen-karbon oranı (O/C) </w:t>
            </w:r>
            <w:r w:rsidRPr="00DE12A3">
              <w:rPr>
                <w:rFonts w:cs="Times New Roman"/>
                <w:color w:val="auto"/>
                <w:vertAlign w:val="superscript"/>
              </w:rPr>
              <w:t>(3)</w:t>
            </w:r>
          </w:p>
        </w:tc>
      </w:tr>
      <w:tr w:rsidR="00DE12A3" w:rsidRPr="00DE12A3" w14:paraId="6E468F70" w14:textId="77777777" w:rsidTr="00910EB3">
        <w:trPr>
          <w:trHeight w:hRule="exact" w:val="586"/>
        </w:trPr>
        <w:tc>
          <w:tcPr>
            <w:tcW w:w="1286" w:type="dxa"/>
            <w:shd w:val="clear" w:color="auto" w:fill="auto"/>
          </w:tcPr>
          <w:p w14:paraId="28474467" w14:textId="77777777" w:rsidR="002D7B36" w:rsidRPr="00DE12A3" w:rsidRDefault="00242DA0" w:rsidP="00C917D6">
            <w:pPr>
              <w:pStyle w:val="Gvdemetni361"/>
              <w:shd w:val="clear" w:color="auto" w:fill="auto"/>
              <w:spacing w:before="120" w:after="120" w:line="240" w:lineRule="auto"/>
              <w:ind w:left="709" w:hanging="709"/>
              <w:rPr>
                <w:color w:val="auto"/>
                <w:sz w:val="24"/>
                <w:szCs w:val="24"/>
              </w:rPr>
            </w:pPr>
            <w:r w:rsidRPr="00DE12A3">
              <w:rPr>
                <w:rStyle w:val="Gvdemetni364pttalik0ptbolukbraklyor3"/>
                <w:color w:val="auto"/>
                <w:sz w:val="24"/>
                <w:szCs w:val="24"/>
              </w:rPr>
              <w:t>γ</w:t>
            </w:r>
          </w:p>
        </w:tc>
        <w:tc>
          <w:tcPr>
            <w:tcW w:w="1276" w:type="dxa"/>
            <w:shd w:val="clear" w:color="auto" w:fill="auto"/>
          </w:tcPr>
          <w:p w14:paraId="5117F277" w14:textId="77777777" w:rsidR="002D7B36" w:rsidRPr="00DE12A3" w:rsidRDefault="00242DA0" w:rsidP="00D56EAF">
            <w:pPr>
              <w:pStyle w:val="Gvdemetni254pt"/>
              <w:framePr w:hSpace="0" w:wrap="auto" w:vAnchor="margin" w:hAnchor="text" w:xAlign="left" w:yAlign="inline"/>
              <w:suppressOverlap w:val="0"/>
              <w:rPr>
                <w:rStyle w:val="Gvdemetni36Impact65pttalik"/>
                <w:rFonts w:ascii="Times New Roman" w:hAnsi="Times New Roman" w:cs="Times New Roman"/>
                <w:color w:val="auto"/>
                <w:sz w:val="24"/>
                <w:szCs w:val="24"/>
              </w:rPr>
            </w:pPr>
            <w:r w:rsidRPr="00DE12A3">
              <w:rPr>
                <w:rStyle w:val="Gvdemetni36Impact65pttalik"/>
                <w:rFonts w:ascii="Times New Roman" w:hAnsi="Times New Roman" w:cs="Times New Roman"/>
                <w:b/>
                <w:bCs/>
                <w:color w:val="auto"/>
                <w:sz w:val="24"/>
                <w:szCs w:val="24"/>
              </w:rPr>
              <w:t>γ</w:t>
            </w:r>
          </w:p>
        </w:tc>
        <w:tc>
          <w:tcPr>
            <w:tcW w:w="5062" w:type="dxa"/>
            <w:shd w:val="clear" w:color="auto" w:fill="auto"/>
          </w:tcPr>
          <w:p w14:paraId="1EBDB146" w14:textId="77777777" w:rsidR="002D7B36" w:rsidRPr="00DE12A3" w:rsidRDefault="00242DA0" w:rsidP="00C917D6">
            <w:pPr>
              <w:spacing w:before="120" w:after="120"/>
              <w:ind w:left="709" w:right="519" w:hanging="709"/>
              <w:jc w:val="both"/>
              <w:rPr>
                <w:rFonts w:cs="Times New Roman"/>
                <w:color w:val="auto"/>
              </w:rPr>
            </w:pPr>
            <w:r w:rsidRPr="00DE12A3">
              <w:rPr>
                <w:rFonts w:cs="Times New Roman"/>
                <w:color w:val="auto"/>
              </w:rPr>
              <w:t>Atomik kükürt-karbon oranı (S/C)</w:t>
            </w:r>
          </w:p>
        </w:tc>
      </w:tr>
      <w:tr w:rsidR="00DE12A3" w:rsidRPr="00DE12A3" w14:paraId="048E4D74" w14:textId="77777777" w:rsidTr="00910EB3">
        <w:trPr>
          <w:trHeight w:hRule="exact" w:val="590"/>
        </w:trPr>
        <w:tc>
          <w:tcPr>
            <w:tcW w:w="1286" w:type="dxa"/>
            <w:shd w:val="clear" w:color="auto" w:fill="auto"/>
          </w:tcPr>
          <w:p w14:paraId="23F9A0B1" w14:textId="77777777" w:rsidR="002D7B36" w:rsidRPr="00DE12A3" w:rsidRDefault="00242DA0" w:rsidP="00C917D6">
            <w:pPr>
              <w:pStyle w:val="Gvdemetni361"/>
              <w:shd w:val="clear" w:color="auto" w:fill="auto"/>
              <w:spacing w:before="120" w:after="120" w:line="240" w:lineRule="auto"/>
              <w:ind w:left="709" w:hanging="709"/>
              <w:rPr>
                <w:color w:val="auto"/>
                <w:sz w:val="24"/>
                <w:szCs w:val="24"/>
              </w:rPr>
            </w:pPr>
            <w:r w:rsidRPr="00DE12A3">
              <w:rPr>
                <w:rStyle w:val="Gvdemetni364pttalik0ptbolukbraklyor3"/>
                <w:color w:val="auto"/>
                <w:sz w:val="24"/>
                <w:szCs w:val="24"/>
              </w:rPr>
              <w:t>s</w:t>
            </w:r>
          </w:p>
        </w:tc>
        <w:tc>
          <w:tcPr>
            <w:tcW w:w="1276" w:type="dxa"/>
            <w:shd w:val="clear" w:color="auto" w:fill="auto"/>
          </w:tcPr>
          <w:p w14:paraId="3A967A72" w14:textId="77777777" w:rsidR="002D7B36" w:rsidRPr="00DE12A3" w:rsidRDefault="00242DA0" w:rsidP="00D56EAF">
            <w:pPr>
              <w:pStyle w:val="Gvdemetni254pt"/>
              <w:framePr w:hSpace="0" w:wrap="auto" w:vAnchor="margin" w:hAnchor="text" w:xAlign="left" w:yAlign="inline"/>
              <w:suppressOverlap w:val="0"/>
              <w:rPr>
                <w:color w:val="auto"/>
              </w:rPr>
            </w:pPr>
            <w:r w:rsidRPr="00DE12A3">
              <w:rPr>
                <w:rStyle w:val="Gvdemetni36Impact65pttalik"/>
                <w:rFonts w:ascii="Times New Roman" w:hAnsi="Times New Roman" w:cs="Times New Roman"/>
                <w:color w:val="auto"/>
                <w:sz w:val="24"/>
                <w:szCs w:val="24"/>
              </w:rPr>
              <w:t>s</w:t>
            </w:r>
          </w:p>
        </w:tc>
        <w:tc>
          <w:tcPr>
            <w:tcW w:w="5062" w:type="dxa"/>
            <w:shd w:val="clear" w:color="auto" w:fill="auto"/>
          </w:tcPr>
          <w:p w14:paraId="39E44094" w14:textId="77777777" w:rsidR="002D7B36" w:rsidRPr="00DE12A3" w:rsidRDefault="00242DA0" w:rsidP="00C917D6">
            <w:pPr>
              <w:spacing w:before="120" w:after="120"/>
              <w:ind w:left="709" w:right="519" w:hanging="709"/>
              <w:jc w:val="both"/>
              <w:rPr>
                <w:rFonts w:cs="Times New Roman"/>
                <w:color w:val="auto"/>
              </w:rPr>
            </w:pPr>
            <w:r w:rsidRPr="00DE12A3">
              <w:rPr>
                <w:rFonts w:cs="Times New Roman"/>
                <w:color w:val="auto"/>
              </w:rPr>
              <w:t>Atomik nitrojen-karbon oranı (N/C)</w:t>
            </w:r>
          </w:p>
        </w:tc>
      </w:tr>
    </w:tbl>
    <w:p w14:paraId="623E0CE4" w14:textId="77777777" w:rsidR="002D7B36" w:rsidRPr="00DE12A3" w:rsidRDefault="002D7B36" w:rsidP="00C917D6">
      <w:pPr>
        <w:pStyle w:val="Gvdemetni251"/>
        <w:shd w:val="clear" w:color="auto" w:fill="auto"/>
        <w:tabs>
          <w:tab w:val="left" w:pos="754"/>
          <w:tab w:val="right" w:pos="1541"/>
          <w:tab w:val="right" w:pos="2602"/>
          <w:tab w:val="right" w:pos="2861"/>
          <w:tab w:val="right" w:pos="3115"/>
          <w:tab w:val="right" w:pos="3778"/>
          <w:tab w:val="right" w:pos="4656"/>
          <w:tab w:val="right" w:pos="5078"/>
          <w:tab w:val="right" w:pos="5504"/>
        </w:tabs>
        <w:spacing w:before="120" w:after="120" w:line="240" w:lineRule="auto"/>
        <w:ind w:left="709" w:hanging="709"/>
        <w:rPr>
          <w:color w:val="auto"/>
          <w:sz w:val="20"/>
          <w:szCs w:val="20"/>
          <w:lang w:eastAsia="en-US"/>
        </w:rPr>
      </w:pPr>
    </w:p>
    <w:p w14:paraId="0181780D" w14:textId="77777777" w:rsidR="002D7B36" w:rsidRPr="00DE12A3" w:rsidRDefault="002D7B36" w:rsidP="00C917D6">
      <w:pPr>
        <w:pStyle w:val="Gvdemetni251"/>
        <w:shd w:val="clear" w:color="auto" w:fill="auto"/>
        <w:tabs>
          <w:tab w:val="left" w:pos="754"/>
          <w:tab w:val="right" w:pos="1541"/>
          <w:tab w:val="right" w:pos="2602"/>
          <w:tab w:val="right" w:pos="2861"/>
          <w:tab w:val="right" w:pos="3115"/>
          <w:tab w:val="right" w:pos="3778"/>
          <w:tab w:val="right" w:pos="4656"/>
          <w:tab w:val="right" w:pos="5078"/>
          <w:tab w:val="right" w:pos="5504"/>
        </w:tabs>
        <w:spacing w:before="120" w:after="120" w:line="240" w:lineRule="auto"/>
        <w:ind w:left="709" w:hanging="709"/>
        <w:rPr>
          <w:color w:val="auto"/>
          <w:sz w:val="20"/>
          <w:szCs w:val="20"/>
          <w:lang w:eastAsia="en-US"/>
        </w:rPr>
      </w:pPr>
    </w:p>
    <w:p w14:paraId="5EE72971" w14:textId="77777777" w:rsidR="002D7B36" w:rsidRPr="00DE12A3" w:rsidRDefault="002D7B36" w:rsidP="00C917D6">
      <w:pPr>
        <w:pStyle w:val="Gvdemetni251"/>
        <w:shd w:val="clear" w:color="auto" w:fill="auto"/>
        <w:tabs>
          <w:tab w:val="left" w:pos="754"/>
          <w:tab w:val="right" w:pos="1541"/>
          <w:tab w:val="right" w:pos="2602"/>
          <w:tab w:val="right" w:pos="2861"/>
          <w:tab w:val="right" w:pos="3115"/>
          <w:tab w:val="right" w:pos="3778"/>
          <w:tab w:val="right" w:pos="4656"/>
          <w:tab w:val="right" w:pos="5078"/>
          <w:tab w:val="right" w:pos="5504"/>
        </w:tabs>
        <w:spacing w:before="120" w:after="120" w:line="240" w:lineRule="auto"/>
        <w:ind w:left="709" w:hanging="709"/>
        <w:rPr>
          <w:color w:val="auto"/>
          <w:sz w:val="20"/>
          <w:szCs w:val="20"/>
          <w:lang w:eastAsia="en-US"/>
        </w:rPr>
      </w:pPr>
    </w:p>
    <w:p w14:paraId="652DC006" w14:textId="77777777" w:rsidR="002D7B36" w:rsidRPr="00DE12A3" w:rsidRDefault="002D7B36" w:rsidP="00C917D6">
      <w:pPr>
        <w:pStyle w:val="Gvdemetni251"/>
        <w:shd w:val="clear" w:color="auto" w:fill="auto"/>
        <w:tabs>
          <w:tab w:val="left" w:pos="754"/>
          <w:tab w:val="right" w:pos="1541"/>
          <w:tab w:val="right" w:pos="2602"/>
          <w:tab w:val="right" w:pos="2861"/>
          <w:tab w:val="right" w:pos="3115"/>
          <w:tab w:val="right" w:pos="3778"/>
          <w:tab w:val="right" w:pos="4656"/>
          <w:tab w:val="right" w:pos="5078"/>
          <w:tab w:val="right" w:pos="5504"/>
        </w:tabs>
        <w:spacing w:before="120" w:after="120" w:line="240" w:lineRule="auto"/>
        <w:ind w:left="709" w:hanging="709"/>
        <w:rPr>
          <w:color w:val="auto"/>
          <w:sz w:val="20"/>
          <w:szCs w:val="20"/>
          <w:lang w:eastAsia="en-US"/>
        </w:rPr>
      </w:pPr>
    </w:p>
    <w:p w14:paraId="272C81AB" w14:textId="77777777" w:rsidR="002D7B36" w:rsidRPr="00DE12A3" w:rsidRDefault="002D7B36" w:rsidP="00C917D6">
      <w:pPr>
        <w:pStyle w:val="Gvdemetni251"/>
        <w:shd w:val="clear" w:color="auto" w:fill="auto"/>
        <w:tabs>
          <w:tab w:val="left" w:pos="754"/>
          <w:tab w:val="right" w:pos="1541"/>
          <w:tab w:val="right" w:pos="2602"/>
          <w:tab w:val="right" w:pos="2861"/>
          <w:tab w:val="right" w:pos="3115"/>
          <w:tab w:val="right" w:pos="3778"/>
          <w:tab w:val="right" w:pos="4656"/>
          <w:tab w:val="right" w:pos="5078"/>
          <w:tab w:val="right" w:pos="5504"/>
        </w:tabs>
        <w:spacing w:before="120" w:after="120" w:line="240" w:lineRule="auto"/>
        <w:ind w:left="709" w:hanging="709"/>
        <w:rPr>
          <w:color w:val="auto"/>
          <w:sz w:val="20"/>
          <w:szCs w:val="20"/>
          <w:lang w:eastAsia="en-US"/>
        </w:rPr>
      </w:pPr>
    </w:p>
    <w:p w14:paraId="71774EA4" w14:textId="77777777" w:rsidR="002D7B36" w:rsidRPr="00DE12A3" w:rsidRDefault="002D7B36" w:rsidP="00C917D6">
      <w:pPr>
        <w:pStyle w:val="Gvdemetni251"/>
        <w:shd w:val="clear" w:color="auto" w:fill="auto"/>
        <w:tabs>
          <w:tab w:val="left" w:pos="754"/>
          <w:tab w:val="right" w:pos="1541"/>
          <w:tab w:val="right" w:pos="2602"/>
          <w:tab w:val="right" w:pos="2861"/>
          <w:tab w:val="right" w:pos="3115"/>
          <w:tab w:val="right" w:pos="3778"/>
          <w:tab w:val="right" w:pos="4656"/>
          <w:tab w:val="right" w:pos="5078"/>
          <w:tab w:val="right" w:pos="5504"/>
        </w:tabs>
        <w:spacing w:before="120" w:after="120" w:line="240" w:lineRule="auto"/>
        <w:ind w:left="709" w:hanging="709"/>
        <w:rPr>
          <w:color w:val="auto"/>
          <w:sz w:val="20"/>
          <w:szCs w:val="20"/>
          <w:lang w:eastAsia="en-US"/>
        </w:rPr>
      </w:pPr>
    </w:p>
    <w:p w14:paraId="0910DB66" w14:textId="77777777" w:rsidR="002D7B36" w:rsidRPr="00DE12A3" w:rsidRDefault="002D7B36" w:rsidP="00C917D6">
      <w:pPr>
        <w:pStyle w:val="Gvdemetni251"/>
        <w:shd w:val="clear" w:color="auto" w:fill="auto"/>
        <w:tabs>
          <w:tab w:val="left" w:pos="754"/>
          <w:tab w:val="right" w:pos="1541"/>
          <w:tab w:val="right" w:pos="2602"/>
          <w:tab w:val="right" w:pos="2861"/>
          <w:tab w:val="right" w:pos="3115"/>
          <w:tab w:val="right" w:pos="3778"/>
          <w:tab w:val="right" w:pos="4656"/>
          <w:tab w:val="right" w:pos="5078"/>
          <w:tab w:val="right" w:pos="5504"/>
        </w:tabs>
        <w:spacing w:before="120" w:after="120" w:line="240" w:lineRule="auto"/>
        <w:ind w:left="709" w:hanging="709"/>
        <w:rPr>
          <w:color w:val="auto"/>
          <w:sz w:val="20"/>
          <w:szCs w:val="20"/>
          <w:lang w:eastAsia="en-US"/>
        </w:rPr>
      </w:pPr>
    </w:p>
    <w:p w14:paraId="66BD883B" w14:textId="77777777" w:rsidR="002D7B36" w:rsidRPr="00DE12A3" w:rsidRDefault="002D7B36" w:rsidP="00C917D6">
      <w:pPr>
        <w:spacing w:before="120" w:after="120"/>
        <w:ind w:left="709" w:hanging="709"/>
        <w:jc w:val="both"/>
        <w:rPr>
          <w:rFonts w:cs="Times New Roman"/>
          <w:color w:val="auto"/>
          <w:lang w:eastAsia="en-US"/>
        </w:rPr>
      </w:pPr>
    </w:p>
    <w:p w14:paraId="102037C6" w14:textId="77777777" w:rsidR="002D7B36" w:rsidRPr="00DE12A3" w:rsidRDefault="002D7B36" w:rsidP="00C917D6">
      <w:pPr>
        <w:spacing w:before="120" w:after="120"/>
        <w:ind w:left="709" w:hanging="709"/>
        <w:jc w:val="both"/>
        <w:rPr>
          <w:rFonts w:cs="Times New Roman"/>
          <w:color w:val="auto"/>
          <w:lang w:eastAsia="en-US"/>
        </w:rPr>
      </w:pPr>
    </w:p>
    <w:p w14:paraId="3F084F77" w14:textId="77777777" w:rsidR="002D7B36" w:rsidRPr="00DE12A3" w:rsidRDefault="002D7B36" w:rsidP="00C917D6">
      <w:pPr>
        <w:spacing w:before="120" w:after="120"/>
        <w:ind w:left="709" w:hanging="709"/>
        <w:jc w:val="both"/>
        <w:rPr>
          <w:rFonts w:cs="Times New Roman"/>
          <w:color w:val="auto"/>
          <w:lang w:eastAsia="en-US"/>
        </w:rPr>
      </w:pPr>
    </w:p>
    <w:p w14:paraId="3CDD6C56" w14:textId="77777777" w:rsidR="002D7B36" w:rsidRPr="00DE12A3" w:rsidRDefault="002D7B36" w:rsidP="00C917D6">
      <w:pPr>
        <w:spacing w:before="120" w:after="120"/>
        <w:ind w:left="709" w:hanging="709"/>
        <w:jc w:val="both"/>
        <w:rPr>
          <w:rFonts w:cs="Times New Roman"/>
          <w:color w:val="auto"/>
          <w:lang w:eastAsia="en-US"/>
        </w:rPr>
      </w:pPr>
    </w:p>
    <w:p w14:paraId="1591EC7F" w14:textId="77777777" w:rsidR="002D7B36" w:rsidRPr="00DE12A3" w:rsidRDefault="002D7B36" w:rsidP="00C917D6">
      <w:pPr>
        <w:spacing w:before="120" w:after="120"/>
        <w:ind w:left="709" w:hanging="709"/>
        <w:jc w:val="both"/>
        <w:rPr>
          <w:rFonts w:cs="Times New Roman"/>
          <w:color w:val="auto"/>
          <w:lang w:eastAsia="en-US"/>
        </w:rPr>
      </w:pPr>
    </w:p>
    <w:p w14:paraId="1A2A8208" w14:textId="77777777" w:rsidR="002D7B36" w:rsidRPr="00DE12A3" w:rsidRDefault="002D7B36" w:rsidP="00C917D6">
      <w:pPr>
        <w:spacing w:before="120" w:after="120"/>
        <w:ind w:left="709" w:hanging="709"/>
        <w:jc w:val="both"/>
        <w:rPr>
          <w:rFonts w:cs="Times New Roman"/>
          <w:color w:val="auto"/>
          <w:lang w:eastAsia="en-US"/>
        </w:rPr>
      </w:pPr>
    </w:p>
    <w:p w14:paraId="6BCB21BA" w14:textId="77777777" w:rsidR="002D7B36" w:rsidRPr="00DE12A3" w:rsidRDefault="002D7B36" w:rsidP="00C917D6">
      <w:pPr>
        <w:spacing w:before="120" w:after="120"/>
        <w:ind w:left="709" w:hanging="709"/>
        <w:jc w:val="both"/>
        <w:rPr>
          <w:rFonts w:cs="Times New Roman"/>
          <w:color w:val="auto"/>
          <w:lang w:eastAsia="en-US"/>
        </w:rPr>
      </w:pPr>
    </w:p>
    <w:p w14:paraId="6AD9DEF1" w14:textId="77777777" w:rsidR="002D7B36" w:rsidRPr="00DE12A3" w:rsidRDefault="002D7B36" w:rsidP="00C917D6">
      <w:pPr>
        <w:spacing w:before="120" w:after="120"/>
        <w:ind w:left="709" w:hanging="709"/>
        <w:jc w:val="both"/>
        <w:rPr>
          <w:rFonts w:cs="Times New Roman"/>
          <w:color w:val="auto"/>
          <w:lang w:eastAsia="en-US"/>
        </w:rPr>
      </w:pPr>
    </w:p>
    <w:p w14:paraId="434AC5DA" w14:textId="77777777" w:rsidR="002D7B36" w:rsidRPr="00DE12A3" w:rsidRDefault="002D7B36" w:rsidP="00C917D6">
      <w:pPr>
        <w:spacing w:before="120" w:after="120"/>
        <w:ind w:left="709" w:hanging="709"/>
        <w:jc w:val="both"/>
        <w:rPr>
          <w:rFonts w:cs="Times New Roman"/>
          <w:color w:val="auto"/>
          <w:lang w:eastAsia="en-US"/>
        </w:rPr>
      </w:pPr>
    </w:p>
    <w:p w14:paraId="2695113E" w14:textId="77777777" w:rsidR="002D7B36" w:rsidRPr="00DE12A3" w:rsidRDefault="002D7B36" w:rsidP="00C917D6">
      <w:pPr>
        <w:spacing w:before="120" w:after="120"/>
        <w:ind w:left="709" w:hanging="709"/>
        <w:jc w:val="both"/>
        <w:rPr>
          <w:rFonts w:cs="Times New Roman"/>
          <w:color w:val="auto"/>
          <w:lang w:eastAsia="en-US"/>
        </w:rPr>
      </w:pPr>
    </w:p>
    <w:p w14:paraId="3FC33138" w14:textId="77777777" w:rsidR="002D7B36" w:rsidRPr="00DE12A3" w:rsidRDefault="00242DA0" w:rsidP="00C917D6">
      <w:pPr>
        <w:pStyle w:val="Tabloyazs71"/>
        <w:shd w:val="clear" w:color="auto" w:fill="auto"/>
        <w:tabs>
          <w:tab w:val="left" w:pos="369"/>
          <w:tab w:val="left" w:pos="873"/>
          <w:tab w:val="left" w:pos="1775"/>
        </w:tabs>
        <w:spacing w:before="120" w:after="120" w:line="240" w:lineRule="auto"/>
        <w:ind w:left="709" w:hanging="709"/>
        <w:rPr>
          <w:sz w:val="24"/>
          <w:szCs w:val="24"/>
        </w:rPr>
      </w:pPr>
      <w:r w:rsidRPr="00DE12A3">
        <w:rPr>
          <w:rStyle w:val="Tabloyazs7"/>
          <w:rFonts w:eastAsia="Malgun Gothic"/>
          <w:color w:val="auto"/>
          <w:sz w:val="24"/>
          <w:szCs w:val="24"/>
        </w:rPr>
        <w:t>(</w:t>
      </w:r>
      <w:r w:rsidRPr="00DE12A3">
        <w:rPr>
          <w:rStyle w:val="Tabloyazs7"/>
          <w:rFonts w:eastAsia="Malgun Gothic"/>
          <w:color w:val="auto"/>
          <w:sz w:val="24"/>
          <w:szCs w:val="24"/>
          <w:vertAlign w:val="superscript"/>
        </w:rPr>
        <w:t>1</w:t>
      </w:r>
      <w:r w:rsidRPr="00DE12A3">
        <w:rPr>
          <w:rStyle w:val="Tabloyazs7"/>
          <w:rFonts w:eastAsia="Malgun Gothic"/>
          <w:color w:val="auto"/>
          <w:sz w:val="24"/>
          <w:szCs w:val="24"/>
        </w:rPr>
        <w:t>)</w:t>
      </w:r>
      <w:r w:rsidRPr="00DE12A3">
        <w:rPr>
          <w:rStyle w:val="Tabloyazs7"/>
          <w:rFonts w:eastAsia="Malgun Gothic"/>
          <w:color w:val="auto"/>
          <w:sz w:val="24"/>
          <w:szCs w:val="24"/>
        </w:rPr>
        <w:tab/>
        <w:t xml:space="preserve">Kimyasal formülü </w:t>
      </w:r>
      <w:r w:rsidRPr="00DE12A3">
        <w:rPr>
          <w:rFonts w:eastAsia="Courier New"/>
          <w:spacing w:val="0"/>
          <w:sz w:val="24"/>
          <w:szCs w:val="24"/>
        </w:rPr>
        <w:t>CH</w:t>
      </w:r>
      <w:r w:rsidRPr="00DE12A3">
        <w:rPr>
          <w:rFonts w:eastAsia="Courier New"/>
          <w:spacing w:val="0"/>
          <w:sz w:val="24"/>
          <w:szCs w:val="24"/>
          <w:vertAlign w:val="subscript"/>
        </w:rPr>
        <w:t>α</w:t>
      </w:r>
      <w:r w:rsidRPr="00DE12A3">
        <w:rPr>
          <w:rFonts w:eastAsia="Courier New"/>
          <w:spacing w:val="0"/>
          <w:sz w:val="24"/>
          <w:szCs w:val="24"/>
        </w:rPr>
        <w:t>O</w:t>
      </w:r>
      <w:r w:rsidRPr="00DE12A3">
        <w:rPr>
          <w:rFonts w:eastAsia="Courier New"/>
          <w:spacing w:val="0"/>
          <w:sz w:val="24"/>
          <w:szCs w:val="24"/>
          <w:vertAlign w:val="subscript"/>
        </w:rPr>
        <w:t>ε</w:t>
      </w:r>
      <w:r w:rsidRPr="00DE12A3">
        <w:rPr>
          <w:rFonts w:eastAsia="Courier New"/>
          <w:spacing w:val="0"/>
          <w:sz w:val="24"/>
          <w:szCs w:val="24"/>
        </w:rPr>
        <w:t>N</w:t>
      </w:r>
      <w:r w:rsidRPr="00DE12A3">
        <w:rPr>
          <w:rFonts w:eastAsia="Courier New"/>
          <w:spacing w:val="0"/>
          <w:sz w:val="24"/>
          <w:szCs w:val="24"/>
          <w:vertAlign w:val="subscript"/>
        </w:rPr>
        <w:t>δ</w:t>
      </w:r>
      <w:r w:rsidRPr="00DE12A3">
        <w:rPr>
          <w:rFonts w:eastAsia="Courier New"/>
          <w:spacing w:val="0"/>
          <w:sz w:val="24"/>
          <w:szCs w:val="24"/>
        </w:rPr>
        <w:t>S</w:t>
      </w:r>
      <w:r w:rsidRPr="00DE12A3">
        <w:rPr>
          <w:rFonts w:eastAsia="Courier New"/>
          <w:spacing w:val="0"/>
          <w:sz w:val="24"/>
          <w:szCs w:val="24"/>
          <w:vertAlign w:val="subscript"/>
        </w:rPr>
        <w:t>γ</w:t>
      </w:r>
      <w:r w:rsidRPr="00DE12A3">
        <w:rPr>
          <w:rStyle w:val="Tabloyazs7"/>
          <w:rFonts w:eastAsia="Malgun Gothic"/>
          <w:color w:val="auto"/>
          <w:sz w:val="24"/>
          <w:szCs w:val="24"/>
          <w:vertAlign w:val="subscript"/>
        </w:rPr>
        <w:t xml:space="preserve"> </w:t>
      </w:r>
      <w:r w:rsidRPr="00DE12A3">
        <w:rPr>
          <w:rStyle w:val="Tabloyazs7"/>
          <w:rFonts w:eastAsia="Malgun Gothic"/>
          <w:color w:val="auto"/>
          <w:sz w:val="24"/>
          <w:szCs w:val="24"/>
        </w:rPr>
        <w:t>olan bir yakıtı ifade eder.</w:t>
      </w:r>
    </w:p>
    <w:p w14:paraId="3E4405F0" w14:textId="77777777" w:rsidR="002D7B36" w:rsidRPr="00DE12A3" w:rsidRDefault="00242DA0" w:rsidP="00C917D6">
      <w:pPr>
        <w:pStyle w:val="Tabloyazs71"/>
        <w:shd w:val="clear" w:color="auto" w:fill="auto"/>
        <w:tabs>
          <w:tab w:val="left" w:pos="369"/>
          <w:tab w:val="left" w:pos="873"/>
          <w:tab w:val="left" w:pos="1775"/>
        </w:tabs>
        <w:spacing w:before="120" w:after="120" w:line="240" w:lineRule="auto"/>
        <w:ind w:left="709" w:hanging="709"/>
        <w:rPr>
          <w:sz w:val="24"/>
          <w:szCs w:val="24"/>
        </w:rPr>
      </w:pPr>
      <w:r w:rsidRPr="00DE12A3">
        <w:rPr>
          <w:rStyle w:val="Tabloyazs7"/>
          <w:rFonts w:eastAsia="Malgun Gothic"/>
          <w:color w:val="auto"/>
          <w:sz w:val="24"/>
          <w:szCs w:val="24"/>
        </w:rPr>
        <w:t>(</w:t>
      </w:r>
      <w:r w:rsidRPr="00DE12A3">
        <w:rPr>
          <w:rStyle w:val="Tabloyazs7"/>
          <w:rFonts w:eastAsia="Malgun Gothic"/>
          <w:color w:val="auto"/>
          <w:sz w:val="24"/>
          <w:szCs w:val="24"/>
          <w:vertAlign w:val="superscript"/>
        </w:rPr>
        <w:t>2</w:t>
      </w:r>
      <w:r w:rsidRPr="00DE12A3">
        <w:rPr>
          <w:rStyle w:val="Tabloyazs7"/>
          <w:rFonts w:eastAsia="Malgun Gothic"/>
          <w:color w:val="auto"/>
          <w:sz w:val="24"/>
          <w:szCs w:val="24"/>
        </w:rPr>
        <w:t>)</w:t>
      </w:r>
      <w:r w:rsidRPr="00DE12A3">
        <w:rPr>
          <w:rStyle w:val="Tabloyazs7"/>
          <w:rFonts w:eastAsia="Malgun Gothic"/>
          <w:color w:val="auto"/>
          <w:sz w:val="24"/>
          <w:szCs w:val="24"/>
        </w:rPr>
        <w:tab/>
        <w:t xml:space="preserve">Kimyasal formülü </w:t>
      </w:r>
      <w:r w:rsidRPr="00DE12A3">
        <w:rPr>
          <w:rFonts w:eastAsia="Courier New"/>
          <w:spacing w:val="0"/>
          <w:sz w:val="24"/>
          <w:szCs w:val="24"/>
        </w:rPr>
        <w:t>CH</w:t>
      </w:r>
      <w:r w:rsidRPr="00DE12A3">
        <w:rPr>
          <w:rFonts w:eastAsia="Courier New"/>
          <w:spacing w:val="0"/>
          <w:sz w:val="24"/>
          <w:szCs w:val="24"/>
          <w:vertAlign w:val="subscript"/>
        </w:rPr>
        <w:t>α</w:t>
      </w:r>
      <w:r w:rsidRPr="00DE12A3">
        <w:rPr>
          <w:rFonts w:eastAsia="Courier New"/>
          <w:spacing w:val="0"/>
          <w:sz w:val="24"/>
          <w:szCs w:val="24"/>
        </w:rPr>
        <w:t>O</w:t>
      </w:r>
      <w:r w:rsidRPr="00DE12A3">
        <w:rPr>
          <w:rFonts w:eastAsia="Courier New"/>
          <w:spacing w:val="0"/>
          <w:sz w:val="24"/>
          <w:szCs w:val="24"/>
          <w:vertAlign w:val="subscript"/>
        </w:rPr>
        <w:t>β</w:t>
      </w:r>
      <w:r w:rsidRPr="00DE12A3">
        <w:rPr>
          <w:rFonts w:eastAsia="Courier New"/>
          <w:spacing w:val="0"/>
          <w:sz w:val="24"/>
          <w:szCs w:val="24"/>
        </w:rPr>
        <w:t>S</w:t>
      </w:r>
      <w:r w:rsidRPr="00DE12A3">
        <w:rPr>
          <w:rFonts w:eastAsia="Courier New"/>
          <w:spacing w:val="0"/>
          <w:sz w:val="24"/>
          <w:szCs w:val="24"/>
          <w:vertAlign w:val="subscript"/>
        </w:rPr>
        <w:t>γ</w:t>
      </w:r>
      <w:r w:rsidRPr="00DE12A3">
        <w:rPr>
          <w:rFonts w:eastAsia="Courier New"/>
          <w:spacing w:val="0"/>
          <w:sz w:val="24"/>
          <w:szCs w:val="24"/>
        </w:rPr>
        <w:t>N</w:t>
      </w:r>
      <w:r w:rsidRPr="00DE12A3">
        <w:rPr>
          <w:rFonts w:eastAsia="Courier New"/>
          <w:spacing w:val="0"/>
          <w:sz w:val="24"/>
          <w:szCs w:val="24"/>
          <w:vertAlign w:val="subscript"/>
        </w:rPr>
        <w:t xml:space="preserve">δ </w:t>
      </w:r>
      <w:r w:rsidRPr="00DE12A3">
        <w:rPr>
          <w:rStyle w:val="Tabloyazs7"/>
          <w:rFonts w:eastAsia="Malgun Gothic"/>
          <w:color w:val="auto"/>
          <w:sz w:val="24"/>
          <w:szCs w:val="24"/>
        </w:rPr>
        <w:t>olan bir yakıtı ifade eder.</w:t>
      </w:r>
    </w:p>
    <w:p w14:paraId="52A4A4CC" w14:textId="6CF7AB8A" w:rsidR="002D7B36" w:rsidRPr="00DE12A3" w:rsidRDefault="00242DA0" w:rsidP="00C917D6">
      <w:pPr>
        <w:pStyle w:val="Tabloyazs71"/>
        <w:shd w:val="clear" w:color="auto" w:fill="auto"/>
        <w:spacing w:before="120" w:after="120" w:line="240" w:lineRule="auto"/>
        <w:ind w:left="709" w:hanging="709"/>
        <w:rPr>
          <w:sz w:val="24"/>
          <w:szCs w:val="24"/>
        </w:rPr>
      </w:pPr>
      <w:r w:rsidRPr="00DE12A3">
        <w:rPr>
          <w:sz w:val="24"/>
          <w:szCs w:val="24"/>
        </w:rPr>
        <w:t>(</w:t>
      </w:r>
      <w:r w:rsidRPr="00DE12A3">
        <w:rPr>
          <w:sz w:val="24"/>
          <w:szCs w:val="24"/>
          <w:vertAlign w:val="superscript"/>
        </w:rPr>
        <w:t>3</w:t>
      </w:r>
      <w:r w:rsidRPr="00DE12A3">
        <w:rPr>
          <w:sz w:val="24"/>
          <w:szCs w:val="24"/>
        </w:rPr>
        <w:t>)</w:t>
      </w:r>
      <w:r w:rsidRPr="00DE12A3">
        <w:rPr>
          <w:sz w:val="24"/>
          <w:szCs w:val="24"/>
        </w:rPr>
        <w:tab/>
        <w:t xml:space="preserve">İki emisyon hesaplama bölümünde </w:t>
      </w:r>
      <w:r w:rsidRPr="00DE12A3">
        <w:rPr>
          <w:i/>
          <w:iCs/>
          <w:sz w:val="24"/>
          <w:szCs w:val="24"/>
        </w:rPr>
        <w:t>β</w:t>
      </w:r>
      <w:r w:rsidRPr="00DE12A3">
        <w:rPr>
          <w:sz w:val="24"/>
          <w:szCs w:val="24"/>
        </w:rPr>
        <w:t xml:space="preserve"> sembolünün farklı anlamlarına dikkat edilmelidir: 2. </w:t>
      </w:r>
      <w:r w:rsidR="00B32A92" w:rsidRPr="00DE12A3">
        <w:rPr>
          <w:sz w:val="24"/>
          <w:szCs w:val="24"/>
        </w:rPr>
        <w:t>Bölüm</w:t>
      </w:r>
      <w:r w:rsidRPr="00DE12A3">
        <w:rPr>
          <w:sz w:val="24"/>
          <w:szCs w:val="24"/>
        </w:rPr>
        <w:t xml:space="preserve">de, </w:t>
      </w:r>
      <w:r w:rsidRPr="00DE12A3">
        <w:rPr>
          <w:rFonts w:eastAsia="Courier New"/>
          <w:spacing w:val="0"/>
          <w:sz w:val="24"/>
          <w:szCs w:val="24"/>
        </w:rPr>
        <w:t>CH</w:t>
      </w:r>
      <w:r w:rsidRPr="00DE12A3">
        <w:rPr>
          <w:rFonts w:eastAsia="Courier New"/>
          <w:spacing w:val="0"/>
          <w:sz w:val="24"/>
          <w:szCs w:val="24"/>
          <w:vertAlign w:val="subscript"/>
        </w:rPr>
        <w:t>α</w:t>
      </w:r>
      <w:r w:rsidRPr="00DE12A3">
        <w:rPr>
          <w:rFonts w:eastAsia="Courier New"/>
          <w:spacing w:val="0"/>
          <w:sz w:val="24"/>
          <w:szCs w:val="24"/>
        </w:rPr>
        <w:t>S</w:t>
      </w:r>
      <w:r w:rsidRPr="00DE12A3">
        <w:rPr>
          <w:rFonts w:eastAsia="Courier New"/>
          <w:spacing w:val="0"/>
          <w:sz w:val="24"/>
          <w:szCs w:val="24"/>
          <w:vertAlign w:val="subscript"/>
        </w:rPr>
        <w:t>γ</w:t>
      </w:r>
      <w:r w:rsidRPr="00DE12A3">
        <w:rPr>
          <w:rFonts w:eastAsia="Courier New"/>
          <w:spacing w:val="0"/>
          <w:sz w:val="24"/>
          <w:szCs w:val="24"/>
        </w:rPr>
        <w:t>N</w:t>
      </w:r>
      <w:r w:rsidRPr="00DE12A3">
        <w:rPr>
          <w:rFonts w:eastAsia="Courier New"/>
          <w:spacing w:val="0"/>
          <w:sz w:val="24"/>
          <w:szCs w:val="24"/>
          <w:vertAlign w:val="subscript"/>
        </w:rPr>
        <w:t>δ</w:t>
      </w:r>
      <w:r w:rsidRPr="00DE12A3">
        <w:rPr>
          <w:rFonts w:eastAsia="Courier New"/>
          <w:spacing w:val="0"/>
          <w:sz w:val="24"/>
          <w:szCs w:val="24"/>
        </w:rPr>
        <w:t>O</w:t>
      </w:r>
      <w:r w:rsidR="00910EB3" w:rsidRPr="00DE12A3">
        <w:rPr>
          <w:rFonts w:eastAsia="Courier New"/>
          <w:spacing w:val="0"/>
          <w:sz w:val="24"/>
          <w:szCs w:val="24"/>
          <w:vertAlign w:val="subscript"/>
        </w:rPr>
        <w:t>ε</w:t>
      </w:r>
      <w:r w:rsidR="00910EB3" w:rsidRPr="00DE12A3">
        <w:rPr>
          <w:rFonts w:eastAsia="Courier New"/>
          <w:spacing w:val="0"/>
          <w:sz w:val="24"/>
          <w:szCs w:val="24"/>
        </w:rPr>
        <w:t xml:space="preserve"> </w:t>
      </w:r>
      <w:r w:rsidR="00910EB3" w:rsidRPr="00DE12A3">
        <w:rPr>
          <w:sz w:val="24"/>
          <w:szCs w:val="24"/>
        </w:rPr>
        <w:t>kimyasal</w:t>
      </w:r>
      <w:r w:rsidRPr="00DE12A3">
        <w:rPr>
          <w:sz w:val="24"/>
          <w:szCs w:val="24"/>
        </w:rPr>
        <w:t xml:space="preserve"> formülüne (yani </w:t>
      </w:r>
      <w:r w:rsidRPr="00DE12A3">
        <w:rPr>
          <w:rFonts w:eastAsia="Courier New"/>
          <w:spacing w:val="0"/>
          <w:sz w:val="24"/>
          <w:szCs w:val="24"/>
        </w:rPr>
        <w:t>C</w:t>
      </w:r>
      <w:r w:rsidRPr="00DE12A3">
        <w:rPr>
          <w:rFonts w:eastAsia="Courier New"/>
          <w:spacing w:val="0"/>
          <w:sz w:val="24"/>
          <w:szCs w:val="24"/>
          <w:vertAlign w:val="subscript"/>
        </w:rPr>
        <w:t>β</w:t>
      </w:r>
      <w:r w:rsidRPr="00DE12A3">
        <w:rPr>
          <w:rFonts w:eastAsia="Courier New"/>
          <w:spacing w:val="0"/>
          <w:sz w:val="24"/>
          <w:szCs w:val="24"/>
        </w:rPr>
        <w:t>H</w:t>
      </w:r>
      <w:r w:rsidRPr="00DE12A3">
        <w:rPr>
          <w:rFonts w:eastAsia="Courier New"/>
          <w:spacing w:val="0"/>
          <w:sz w:val="24"/>
          <w:szCs w:val="24"/>
          <w:vertAlign w:val="subscript"/>
        </w:rPr>
        <w:t>α</w:t>
      </w:r>
      <w:r w:rsidRPr="00DE12A3">
        <w:rPr>
          <w:rFonts w:eastAsia="Courier New"/>
          <w:spacing w:val="0"/>
          <w:sz w:val="24"/>
          <w:szCs w:val="24"/>
        </w:rPr>
        <w:t>S</w:t>
      </w:r>
      <w:r w:rsidRPr="00DE12A3">
        <w:rPr>
          <w:rFonts w:eastAsia="Courier New"/>
          <w:spacing w:val="0"/>
          <w:sz w:val="24"/>
          <w:szCs w:val="24"/>
          <w:vertAlign w:val="subscript"/>
        </w:rPr>
        <w:t>γ</w:t>
      </w:r>
      <w:r w:rsidRPr="00DE12A3">
        <w:rPr>
          <w:rFonts w:eastAsia="Courier New"/>
          <w:spacing w:val="0"/>
          <w:sz w:val="24"/>
          <w:szCs w:val="24"/>
        </w:rPr>
        <w:t>N</w:t>
      </w:r>
      <w:r w:rsidRPr="00DE12A3">
        <w:rPr>
          <w:rFonts w:eastAsia="Courier New"/>
          <w:spacing w:val="0"/>
          <w:sz w:val="24"/>
          <w:szCs w:val="24"/>
          <w:vertAlign w:val="subscript"/>
        </w:rPr>
        <w:t>δ</w:t>
      </w:r>
      <w:r w:rsidRPr="00DE12A3">
        <w:rPr>
          <w:rFonts w:eastAsia="Courier New"/>
          <w:spacing w:val="0"/>
          <w:sz w:val="24"/>
          <w:szCs w:val="24"/>
        </w:rPr>
        <w:t>O</w:t>
      </w:r>
      <w:r w:rsidRPr="00DE12A3">
        <w:rPr>
          <w:rFonts w:eastAsia="Courier New"/>
          <w:spacing w:val="0"/>
          <w:sz w:val="24"/>
          <w:szCs w:val="24"/>
          <w:vertAlign w:val="subscript"/>
        </w:rPr>
        <w:t>ε</w:t>
      </w:r>
      <w:r w:rsidRPr="00DE12A3">
        <w:rPr>
          <w:sz w:val="24"/>
          <w:szCs w:val="24"/>
        </w:rPr>
        <w:t xml:space="preserve"> formülü, burada β = 1, molekül başına bir karbon atomu olduğu varsayılarak) sahip bir yakıtı ifade ederken, 3. </w:t>
      </w:r>
      <w:r w:rsidR="00B32A92" w:rsidRPr="00DE12A3">
        <w:rPr>
          <w:sz w:val="24"/>
          <w:szCs w:val="24"/>
        </w:rPr>
        <w:t>Bölüm</w:t>
      </w:r>
      <w:r w:rsidRPr="00DE12A3">
        <w:rPr>
          <w:sz w:val="24"/>
          <w:szCs w:val="24"/>
        </w:rPr>
        <w:t xml:space="preserve">de </w:t>
      </w:r>
      <w:r w:rsidRPr="00DE12A3">
        <w:rPr>
          <w:rFonts w:eastAsia="Courier New"/>
          <w:spacing w:val="0"/>
          <w:sz w:val="24"/>
          <w:szCs w:val="24"/>
        </w:rPr>
        <w:t>CH</w:t>
      </w:r>
      <w:r w:rsidRPr="00DE12A3">
        <w:rPr>
          <w:rFonts w:eastAsia="Courier New"/>
          <w:spacing w:val="0"/>
          <w:sz w:val="24"/>
          <w:szCs w:val="24"/>
          <w:vertAlign w:val="subscript"/>
        </w:rPr>
        <w:t>α</w:t>
      </w:r>
      <w:r w:rsidRPr="00DE12A3">
        <w:rPr>
          <w:rFonts w:eastAsia="Courier New"/>
          <w:spacing w:val="0"/>
          <w:sz w:val="24"/>
          <w:szCs w:val="24"/>
        </w:rPr>
        <w:t>O</w:t>
      </w:r>
      <w:r w:rsidRPr="00DE12A3">
        <w:rPr>
          <w:rFonts w:eastAsia="Courier New"/>
          <w:spacing w:val="0"/>
          <w:sz w:val="24"/>
          <w:szCs w:val="24"/>
          <w:vertAlign w:val="subscript"/>
        </w:rPr>
        <w:t>β</w:t>
      </w:r>
      <w:r w:rsidRPr="00DE12A3">
        <w:rPr>
          <w:rFonts w:eastAsia="Courier New"/>
          <w:spacing w:val="0"/>
          <w:sz w:val="24"/>
          <w:szCs w:val="24"/>
        </w:rPr>
        <w:t>S</w:t>
      </w:r>
      <w:r w:rsidRPr="00DE12A3">
        <w:rPr>
          <w:rFonts w:eastAsia="Courier New"/>
          <w:spacing w:val="0"/>
          <w:sz w:val="24"/>
          <w:szCs w:val="24"/>
          <w:vertAlign w:val="subscript"/>
        </w:rPr>
        <w:t>γ</w:t>
      </w:r>
      <w:r w:rsidRPr="00DE12A3">
        <w:rPr>
          <w:rFonts w:eastAsia="Courier New"/>
          <w:spacing w:val="0"/>
          <w:sz w:val="24"/>
          <w:szCs w:val="24"/>
        </w:rPr>
        <w:t>N</w:t>
      </w:r>
      <w:r w:rsidRPr="00DE12A3">
        <w:rPr>
          <w:rFonts w:eastAsia="Courier New"/>
          <w:spacing w:val="0"/>
          <w:sz w:val="24"/>
          <w:szCs w:val="24"/>
          <w:vertAlign w:val="subscript"/>
        </w:rPr>
        <w:t>δ</w:t>
      </w:r>
      <w:r w:rsidRPr="00DE12A3">
        <w:rPr>
          <w:sz w:val="24"/>
          <w:szCs w:val="24"/>
          <w:vertAlign w:val="subscript"/>
        </w:rPr>
        <w:t xml:space="preserve"> </w:t>
      </w:r>
      <w:r w:rsidRPr="00DE12A3">
        <w:rPr>
          <w:sz w:val="24"/>
          <w:szCs w:val="24"/>
        </w:rPr>
        <w:t xml:space="preserve">ile oksijen-karbon oranını ifade eder. </w:t>
      </w:r>
      <w:r w:rsidR="00B02387" w:rsidRPr="00DE12A3">
        <w:rPr>
          <w:sz w:val="24"/>
          <w:szCs w:val="24"/>
        </w:rPr>
        <w:t>Bu</w:t>
      </w:r>
      <w:r w:rsidRPr="00DE12A3">
        <w:rPr>
          <w:sz w:val="24"/>
          <w:szCs w:val="24"/>
        </w:rPr>
        <w:t xml:space="preserve"> durumda, 3. </w:t>
      </w:r>
      <w:r w:rsidR="00B32A92" w:rsidRPr="00DE12A3">
        <w:rPr>
          <w:sz w:val="24"/>
          <w:szCs w:val="24"/>
        </w:rPr>
        <w:t>Bölüm</w:t>
      </w:r>
      <w:r w:rsidRPr="00DE12A3">
        <w:rPr>
          <w:sz w:val="24"/>
          <w:szCs w:val="24"/>
        </w:rPr>
        <w:t xml:space="preserve">deki </w:t>
      </w:r>
      <w:r w:rsidRPr="00DE12A3">
        <w:rPr>
          <w:i/>
          <w:iCs/>
          <w:sz w:val="24"/>
          <w:szCs w:val="24"/>
        </w:rPr>
        <w:t>β</w:t>
      </w:r>
      <w:r w:rsidRPr="00DE12A3">
        <w:rPr>
          <w:sz w:val="24"/>
          <w:szCs w:val="24"/>
        </w:rPr>
        <w:t xml:space="preserve">, 2. </w:t>
      </w:r>
      <w:r w:rsidR="00B32A92" w:rsidRPr="00DE12A3">
        <w:rPr>
          <w:sz w:val="24"/>
          <w:szCs w:val="24"/>
        </w:rPr>
        <w:t>Bölüm</w:t>
      </w:r>
      <w:r w:rsidRPr="00DE12A3">
        <w:rPr>
          <w:sz w:val="24"/>
          <w:szCs w:val="24"/>
        </w:rPr>
        <w:t xml:space="preserve">deki </w:t>
      </w:r>
      <w:r w:rsidRPr="00DE12A3">
        <w:rPr>
          <w:i/>
          <w:iCs/>
          <w:sz w:val="24"/>
          <w:szCs w:val="24"/>
        </w:rPr>
        <w:t>ε</w:t>
      </w:r>
      <w:r w:rsidRPr="00DE12A3">
        <w:rPr>
          <w:sz w:val="24"/>
          <w:szCs w:val="24"/>
        </w:rPr>
        <w:t>'ye karşılık gelir.</w:t>
      </w:r>
    </w:p>
    <w:p w14:paraId="1153136F" w14:textId="77777777" w:rsidR="002D7B36" w:rsidRPr="00DE12A3" w:rsidRDefault="00242DA0" w:rsidP="00C917D6">
      <w:pPr>
        <w:pStyle w:val="Tabloyazs71"/>
        <w:shd w:val="clear" w:color="auto" w:fill="auto"/>
        <w:tabs>
          <w:tab w:val="left" w:pos="326"/>
        </w:tabs>
        <w:spacing w:before="120" w:after="120" w:line="240" w:lineRule="auto"/>
        <w:ind w:left="709" w:hanging="709"/>
        <w:rPr>
          <w:sz w:val="24"/>
          <w:szCs w:val="24"/>
        </w:rPr>
      </w:pPr>
      <w:r w:rsidRPr="00DE12A3">
        <w:rPr>
          <w:rStyle w:val="Tabloyazs7"/>
          <w:rFonts w:eastAsia="Malgun Gothic"/>
          <w:color w:val="auto"/>
          <w:sz w:val="24"/>
          <w:szCs w:val="24"/>
        </w:rPr>
        <w:t>(</w:t>
      </w:r>
      <w:r w:rsidRPr="00DE12A3">
        <w:rPr>
          <w:rStyle w:val="Tabloyazs7"/>
          <w:rFonts w:eastAsia="Malgun Gothic"/>
          <w:color w:val="auto"/>
          <w:sz w:val="24"/>
          <w:szCs w:val="24"/>
          <w:vertAlign w:val="superscript"/>
        </w:rPr>
        <w:t>4</w:t>
      </w:r>
      <w:r w:rsidRPr="00DE12A3">
        <w:rPr>
          <w:rStyle w:val="Tabloyazs7"/>
          <w:rFonts w:eastAsia="Malgun Gothic"/>
          <w:color w:val="auto"/>
          <w:sz w:val="24"/>
          <w:szCs w:val="24"/>
        </w:rPr>
        <w:t>)</w:t>
      </w:r>
      <w:r w:rsidRPr="00DE12A3">
        <w:rPr>
          <w:rStyle w:val="Tabloyazs7"/>
          <w:rFonts w:eastAsia="Malgun Gothic"/>
          <w:color w:val="auto"/>
          <w:sz w:val="24"/>
          <w:szCs w:val="24"/>
        </w:rPr>
        <w:tab/>
      </w:r>
      <w:r w:rsidRPr="00DE12A3">
        <w:rPr>
          <w:sz w:val="24"/>
          <w:szCs w:val="24"/>
        </w:rPr>
        <w:t xml:space="preserve">Kütle oranı </w:t>
      </w:r>
      <w:r w:rsidRPr="00DE12A3">
        <w:rPr>
          <w:i/>
          <w:iCs/>
          <w:sz w:val="24"/>
          <w:szCs w:val="24"/>
        </w:rPr>
        <w:t>w</w:t>
      </w:r>
      <w:r w:rsidRPr="00DE12A3">
        <w:rPr>
          <w:sz w:val="24"/>
          <w:szCs w:val="24"/>
        </w:rPr>
        <w:t>, bir alt indis olarak kimyasal bileşenin sembolü ile birlikte yazılır</w:t>
      </w:r>
      <w:r w:rsidRPr="00DE12A3">
        <w:rPr>
          <w:rStyle w:val="Tabloyazs7"/>
          <w:rFonts w:eastAsia="Malgun Gothic"/>
          <w:color w:val="auto"/>
          <w:sz w:val="24"/>
          <w:szCs w:val="24"/>
        </w:rPr>
        <w:t>.</w:t>
      </w:r>
    </w:p>
    <w:p w14:paraId="3B1D3D53" w14:textId="4F889F05" w:rsidR="002D7B36" w:rsidRPr="00DE12A3" w:rsidRDefault="00242DA0" w:rsidP="00C917D6">
      <w:pPr>
        <w:spacing w:before="120" w:after="120"/>
        <w:ind w:left="709" w:hanging="709"/>
        <w:jc w:val="both"/>
        <w:rPr>
          <w:rFonts w:cs="Times New Roman"/>
          <w:color w:val="auto"/>
          <w:lang w:eastAsia="en-US"/>
        </w:rPr>
      </w:pPr>
      <w:r w:rsidRPr="00DE12A3">
        <w:rPr>
          <w:rFonts w:cs="Times New Roman"/>
          <w:noProof/>
          <w:color w:val="auto"/>
        </w:rPr>
        <mc:AlternateContent>
          <mc:Choice Requires="wps">
            <w:drawing>
              <wp:anchor distT="0" distB="0" distL="114300" distR="114300" simplePos="0" relativeHeight="251644416" behindDoc="0" locked="0" layoutInCell="1" allowOverlap="1" wp14:anchorId="1812DFAE" wp14:editId="7D2CE8EF">
                <wp:simplePos x="0" y="0"/>
                <wp:positionH relativeFrom="column">
                  <wp:posOffset>-635</wp:posOffset>
                </wp:positionH>
                <wp:positionV relativeFrom="paragraph">
                  <wp:posOffset>93980</wp:posOffset>
                </wp:positionV>
                <wp:extent cx="5537835" cy="29845"/>
                <wp:effectExtent l="0" t="0" r="25400" b="27940"/>
                <wp:wrapNone/>
                <wp:docPr id="2379" name="Düz Bağlayıcı 2379"/>
                <wp:cNvGraphicFramePr/>
                <a:graphic xmlns:a="http://schemas.openxmlformats.org/drawingml/2006/main">
                  <a:graphicData uri="http://schemas.microsoft.com/office/word/2010/wordprocessingShape">
                    <wps:wsp>
                      <wps:cNvCnPr/>
                      <wps:spPr>
                        <a:xfrm>
                          <a:off x="0" y="0"/>
                          <a:ext cx="5537606" cy="29591"/>
                        </a:xfrm>
                        <a:prstGeom prst="line">
                          <a:avLst/>
                        </a:prstGeom>
                        <a:noFill/>
                        <a:ln w="9525" cap="flat" cmpd="sng" algn="ctr">
                          <a:solidFill>
                            <a:srgbClr val="4F81BD">
                              <a:shade val="95000"/>
                              <a:satMod val="105000"/>
                            </a:srgbClr>
                          </a:solidFill>
                          <a:prstDash val="solid"/>
                        </a:ln>
                        <a:effectLst/>
                      </wps:spPr>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xmlns:w16sdtdh="http://schemas.microsoft.com/office/word/2020/wordml/sdtdatahash" xmlns:w16="http://schemas.microsoft.com/office/word/2018/wordml" xmlns:w16cex="http://schemas.microsoft.com/office/word/2018/wordml/cex">
            <w:pict>
              <v:line w14:anchorId="3A1507EA" id="Düz Bağlayıcı 2379" o:spid="_x0000_s1026" style="position:absolute;z-index:251644416;visibility:visible;mso-wrap-style:square;mso-wrap-distance-left:9pt;mso-wrap-distance-top:0;mso-wrap-distance-right:9pt;mso-wrap-distance-bottom:0;mso-position-horizontal:absolute;mso-position-horizontal-relative:text;mso-position-vertical:absolute;mso-position-vertical-relative:text" from="-.05pt,7.4pt" to="436pt,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" strokecolor="#4a7ebb"/>
            </w:pict>
          </mc:Fallback>
        </mc:AlternateContent>
      </w:r>
    </w:p>
    <w:p w14:paraId="6BC6753D" w14:textId="77777777" w:rsidR="002D7B36" w:rsidRPr="00DE12A3" w:rsidRDefault="00910EB3" w:rsidP="00E20716">
      <w:pPr>
        <w:pStyle w:val="Balk750"/>
        <w:numPr>
          <w:ilvl w:val="0"/>
          <w:numId w:val="394"/>
        </w:numPr>
        <w:shd w:val="clear" w:color="auto" w:fill="auto"/>
        <w:spacing w:before="120" w:after="120" w:line="240" w:lineRule="auto"/>
        <w:ind w:left="1134" w:hanging="1134"/>
        <w:rPr>
          <w:sz w:val="24"/>
          <w:szCs w:val="24"/>
        </w:rPr>
      </w:pPr>
      <w:r w:rsidRPr="00DE12A3">
        <w:rPr>
          <w:sz w:val="24"/>
          <w:szCs w:val="24"/>
        </w:rPr>
        <w:t xml:space="preserve">       </w:t>
      </w:r>
      <w:r w:rsidR="00242DA0" w:rsidRPr="00DE12A3">
        <w:rPr>
          <w:sz w:val="24"/>
          <w:szCs w:val="24"/>
        </w:rPr>
        <w:t>Kütle bazlı emisyon hesaplamaları</w:t>
      </w:r>
    </w:p>
    <w:p w14:paraId="378C8811" w14:textId="77777777" w:rsidR="002D7B36" w:rsidRPr="00DE12A3" w:rsidRDefault="00910EB3" w:rsidP="00E20716">
      <w:pPr>
        <w:pStyle w:val="Gvdemetni251"/>
        <w:numPr>
          <w:ilvl w:val="1"/>
          <w:numId w:val="394"/>
        </w:numPr>
        <w:shd w:val="clear" w:color="auto" w:fill="auto"/>
        <w:tabs>
          <w:tab w:val="right" w:pos="567"/>
        </w:tabs>
        <w:spacing w:before="120" w:after="120" w:line="240" w:lineRule="auto"/>
        <w:ind w:left="1134" w:hanging="1134"/>
        <w:rPr>
          <w:color w:val="auto"/>
          <w:sz w:val="24"/>
          <w:szCs w:val="24"/>
        </w:rPr>
      </w:pPr>
      <w:r w:rsidRPr="00DE12A3">
        <w:rPr>
          <w:color w:val="auto"/>
          <w:sz w:val="24"/>
          <w:szCs w:val="24"/>
        </w:rPr>
        <w:t xml:space="preserve">        </w:t>
      </w:r>
      <w:r w:rsidR="00242DA0" w:rsidRPr="00DE12A3">
        <w:rPr>
          <w:color w:val="auto"/>
          <w:sz w:val="24"/>
          <w:szCs w:val="24"/>
        </w:rPr>
        <w:t>Ham egzoz gazındaki gaz emisyonlarının ölçümü</w:t>
      </w:r>
    </w:p>
    <w:p w14:paraId="254CC506" w14:textId="77777777" w:rsidR="002D7B36" w:rsidRPr="00DE12A3" w:rsidRDefault="00910EB3" w:rsidP="00E20716">
      <w:pPr>
        <w:pStyle w:val="Gvdemetni251"/>
        <w:numPr>
          <w:ilvl w:val="2"/>
          <w:numId w:val="394"/>
        </w:numPr>
        <w:shd w:val="clear" w:color="auto" w:fill="auto"/>
        <w:spacing w:before="120" w:after="120" w:line="240" w:lineRule="auto"/>
        <w:ind w:left="1134" w:hanging="1134"/>
        <w:rPr>
          <w:color w:val="auto"/>
          <w:sz w:val="24"/>
          <w:szCs w:val="24"/>
        </w:rPr>
      </w:pPr>
      <w:r w:rsidRPr="00DE12A3">
        <w:rPr>
          <w:color w:val="auto"/>
          <w:sz w:val="24"/>
          <w:szCs w:val="24"/>
        </w:rPr>
        <w:lastRenderedPageBreak/>
        <w:t xml:space="preserve">      </w:t>
      </w:r>
      <w:r w:rsidR="00242DA0" w:rsidRPr="00DE12A3">
        <w:rPr>
          <w:color w:val="auto"/>
          <w:sz w:val="24"/>
          <w:szCs w:val="24"/>
        </w:rPr>
        <w:t>Ayrık mod NRSC testleri</w:t>
      </w:r>
    </w:p>
    <w:p w14:paraId="0D2F50A6" w14:textId="5BA8D573" w:rsidR="002D7B36" w:rsidRPr="00DE12A3" w:rsidRDefault="00910EB3" w:rsidP="00C917D6">
      <w:pPr>
        <w:pStyle w:val="Gvdemetni251"/>
        <w:shd w:val="clear" w:color="auto" w:fill="auto"/>
        <w:spacing w:before="120" w:after="120" w:line="240" w:lineRule="auto"/>
        <w:ind w:left="1134" w:hanging="1134"/>
        <w:rPr>
          <w:color w:val="auto"/>
          <w:sz w:val="24"/>
          <w:szCs w:val="24"/>
        </w:rPr>
      </w:pPr>
      <w:r w:rsidRPr="00DE12A3">
        <w:rPr>
          <w:color w:val="auto"/>
          <w:sz w:val="24"/>
          <w:szCs w:val="24"/>
        </w:rPr>
        <w:t xml:space="preserve">                  </w:t>
      </w:r>
      <w:r w:rsidR="00951351" w:rsidRPr="00DE12A3">
        <w:rPr>
          <w:color w:val="auto"/>
          <w:sz w:val="24"/>
          <w:szCs w:val="24"/>
        </w:rPr>
        <w:t xml:space="preserve">  </w:t>
      </w:r>
      <w:r w:rsidR="0019234A" w:rsidRPr="00DE12A3">
        <w:rPr>
          <w:color w:val="auto"/>
          <w:sz w:val="24"/>
          <w:szCs w:val="24"/>
        </w:rPr>
        <w:t>Kararlı</w:t>
      </w:r>
      <w:r w:rsidR="00951351" w:rsidRPr="00DE12A3">
        <w:rPr>
          <w:color w:val="auto"/>
          <w:sz w:val="24"/>
          <w:szCs w:val="24"/>
        </w:rPr>
        <w:t xml:space="preserve"> </w:t>
      </w:r>
      <w:r w:rsidR="00351D6A" w:rsidRPr="00DE12A3">
        <w:rPr>
          <w:color w:val="auto"/>
          <w:sz w:val="24"/>
          <w:szCs w:val="24"/>
        </w:rPr>
        <w:t>durum testinin</w:t>
      </w:r>
      <w:r w:rsidR="00242DA0" w:rsidRPr="00DE12A3">
        <w:rPr>
          <w:color w:val="auto"/>
          <w:sz w:val="24"/>
          <w:szCs w:val="24"/>
        </w:rPr>
        <w:t xml:space="preserve"> her </w:t>
      </w:r>
      <w:r w:rsidR="003D51C5" w:rsidRPr="00DE12A3">
        <w:rPr>
          <w:color w:val="auto"/>
          <w:sz w:val="24"/>
          <w:szCs w:val="24"/>
        </w:rPr>
        <w:t xml:space="preserve">i </w:t>
      </w:r>
      <w:r w:rsidR="00242DA0" w:rsidRPr="00DE12A3">
        <w:rPr>
          <w:color w:val="auto"/>
          <w:sz w:val="24"/>
          <w:szCs w:val="24"/>
        </w:rPr>
        <w:t xml:space="preserve">modu için, gaz emisyonu emisyon hızı </w:t>
      </w:r>
      <w:r w:rsidR="00242DA0" w:rsidRPr="00DE12A3">
        <w:rPr>
          <w:i/>
          <w:iCs/>
          <w:color w:val="auto"/>
          <w:sz w:val="24"/>
          <w:szCs w:val="24"/>
        </w:rPr>
        <w:t>q</w:t>
      </w:r>
      <w:r w:rsidR="00242DA0" w:rsidRPr="00DE12A3">
        <w:rPr>
          <w:color w:val="auto"/>
          <w:sz w:val="24"/>
          <w:szCs w:val="24"/>
          <w:vertAlign w:val="subscript"/>
        </w:rPr>
        <w:t>mgas,i</w:t>
      </w:r>
      <w:r w:rsidR="00242DA0" w:rsidRPr="00DE12A3">
        <w:rPr>
          <w:color w:val="auto"/>
          <w:sz w:val="24"/>
          <w:szCs w:val="24"/>
        </w:rPr>
        <w:t xml:space="preserve"> [g/h]; gaz emisyonu konsantrasyonunun, kendisine ait ilgili akış ile aşağıdaki şekilde çarpılması suretiyle hesaplanır:</w:t>
      </w:r>
    </w:p>
    <w:tbl>
      <w:tblPr>
        <w:tblW w:w="7734" w:type="dxa"/>
        <w:tblInd w:w="1242" w:type="dxa"/>
        <w:tblLayout w:type="fixed"/>
        <w:tblLook w:val="0000" w:firstRow="0" w:lastRow="0" w:firstColumn="0" w:lastColumn="0" w:noHBand="0" w:noVBand="0"/>
      </w:tblPr>
      <w:tblGrid>
        <w:gridCol w:w="6804"/>
        <w:gridCol w:w="930"/>
      </w:tblGrid>
      <w:tr w:rsidR="00DE12A3" w:rsidRPr="00DE12A3" w14:paraId="020727B0" w14:textId="77777777" w:rsidTr="0001450C">
        <w:trPr>
          <w:trHeight w:val="724"/>
        </w:trPr>
        <w:tc>
          <w:tcPr>
            <w:tcW w:w="6804" w:type="dxa"/>
          </w:tcPr>
          <w:p w14:paraId="6B359F22" w14:textId="3452DD3D" w:rsidR="00910EB3" w:rsidRPr="00DE12A3" w:rsidRDefault="00910EB3" w:rsidP="00C917D6">
            <w:pPr>
              <w:pStyle w:val="NormalLeft"/>
            </w:pPr>
            <w:r w:rsidRPr="00DE12A3">
              <w:rPr>
                <w:noProof/>
                <w:lang w:val="tr-TR"/>
              </w:rPr>
              <w:drawing>
                <wp:inline distT="0" distB="0" distL="0" distR="0" wp14:anchorId="73932E63" wp14:editId="3EF110EF">
                  <wp:extent cx="3897630" cy="346075"/>
                  <wp:effectExtent l="0" t="0" r="7620" b="0"/>
                  <wp:docPr id="3"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3897630" cy="346075"/>
                          </a:xfrm>
                          <a:prstGeom prst="rect">
                            <a:avLst/>
                          </a:prstGeom>
                          <a:noFill/>
                          <a:ln>
                            <a:noFill/>
                          </a:ln>
                        </pic:spPr>
                      </pic:pic>
                    </a:graphicData>
                  </a:graphic>
                </wp:inline>
              </w:drawing>
            </w:r>
          </w:p>
        </w:tc>
        <w:tc>
          <w:tcPr>
            <w:tcW w:w="930" w:type="dxa"/>
          </w:tcPr>
          <w:p w14:paraId="0326C95A" w14:textId="77777777" w:rsidR="00910EB3" w:rsidRPr="00DE12A3" w:rsidRDefault="00910EB3" w:rsidP="00C917D6">
            <w:pPr>
              <w:pStyle w:val="NormalLeft"/>
            </w:pPr>
            <w:r w:rsidRPr="00DE12A3">
              <w:t>(7-1)</w:t>
            </w:r>
          </w:p>
        </w:tc>
      </w:tr>
    </w:tbl>
    <w:p w14:paraId="678A41EF" w14:textId="77777777" w:rsidR="002D7B36" w:rsidRPr="00DE12A3" w:rsidRDefault="0001450C" w:rsidP="00C917D6">
      <w:pPr>
        <w:pStyle w:val="Gvdemetni251"/>
        <w:shd w:val="clear" w:color="auto" w:fill="auto"/>
        <w:spacing w:before="120" w:after="120" w:line="240" w:lineRule="auto"/>
        <w:ind w:left="1134" w:firstLine="0"/>
        <w:rPr>
          <w:color w:val="auto"/>
          <w:sz w:val="24"/>
          <w:szCs w:val="24"/>
        </w:rPr>
      </w:pPr>
      <w:r w:rsidRPr="00DE12A3">
        <w:rPr>
          <w:color w:val="auto"/>
          <w:sz w:val="24"/>
          <w:szCs w:val="24"/>
        </w:rPr>
        <w:t>B</w:t>
      </w:r>
      <w:r w:rsidR="00242DA0" w:rsidRPr="00DE12A3">
        <w:rPr>
          <w:color w:val="auto"/>
          <w:sz w:val="24"/>
          <w:szCs w:val="24"/>
        </w:rPr>
        <w:t>urada:</w:t>
      </w:r>
    </w:p>
    <w:p w14:paraId="3E106B1A" w14:textId="77777777" w:rsidR="002D7B36" w:rsidRPr="00DE12A3" w:rsidRDefault="00242DA0" w:rsidP="00C917D6">
      <w:pPr>
        <w:pStyle w:val="Gvdemetni251"/>
        <w:shd w:val="clear" w:color="auto" w:fill="auto"/>
        <w:spacing w:before="120" w:after="120" w:line="240" w:lineRule="auto"/>
        <w:ind w:left="1134" w:firstLine="0"/>
        <w:rPr>
          <w:color w:val="auto"/>
          <w:sz w:val="24"/>
          <w:szCs w:val="24"/>
        </w:rPr>
      </w:pPr>
      <w:r w:rsidRPr="00DE12A3">
        <w:rPr>
          <w:i/>
          <w:iCs/>
          <w:color w:val="auto"/>
          <w:spacing w:val="2"/>
          <w:sz w:val="24"/>
          <w:szCs w:val="24"/>
        </w:rPr>
        <w:t>c</w:t>
      </w:r>
      <w:r w:rsidRPr="00DE12A3">
        <w:rPr>
          <w:iCs/>
          <w:color w:val="auto"/>
          <w:spacing w:val="2"/>
          <w:sz w:val="24"/>
          <w:szCs w:val="24"/>
          <w:vertAlign w:val="subscript"/>
        </w:rPr>
        <w:t>gasr,w,i</w:t>
      </w:r>
      <w:r w:rsidRPr="00DE12A3">
        <w:rPr>
          <w:i/>
          <w:iCs/>
          <w:color w:val="auto"/>
          <w:spacing w:val="2"/>
          <w:sz w:val="24"/>
          <w:szCs w:val="24"/>
        </w:rPr>
        <w:t xml:space="preserve"> </w:t>
      </w:r>
      <w:r w:rsidRPr="00DE12A3">
        <w:rPr>
          <w:iCs/>
          <w:color w:val="auto"/>
          <w:spacing w:val="2"/>
          <w:sz w:val="24"/>
          <w:szCs w:val="24"/>
        </w:rPr>
        <w:t xml:space="preserve">[ppm] için </w:t>
      </w:r>
      <w:r w:rsidRPr="00DE12A3">
        <w:rPr>
          <w:i/>
          <w:color w:val="auto"/>
          <w:spacing w:val="2"/>
          <w:sz w:val="24"/>
          <w:szCs w:val="24"/>
        </w:rPr>
        <w:t>k</w:t>
      </w:r>
      <w:r w:rsidRPr="00DE12A3">
        <w:rPr>
          <w:iCs/>
          <w:color w:val="auto"/>
          <w:spacing w:val="2"/>
          <w:sz w:val="24"/>
          <w:szCs w:val="24"/>
        </w:rPr>
        <w:t xml:space="preserve"> = 1 ve </w:t>
      </w:r>
      <w:r w:rsidRPr="00DE12A3">
        <w:rPr>
          <w:i/>
          <w:color w:val="auto"/>
          <w:spacing w:val="2"/>
          <w:sz w:val="24"/>
          <w:szCs w:val="24"/>
        </w:rPr>
        <w:t>c</w:t>
      </w:r>
      <w:r w:rsidRPr="00DE12A3">
        <w:rPr>
          <w:iCs/>
          <w:color w:val="auto"/>
          <w:spacing w:val="2"/>
          <w:sz w:val="24"/>
          <w:szCs w:val="24"/>
          <w:vertAlign w:val="subscript"/>
        </w:rPr>
        <w:t>gasr,w,i</w:t>
      </w:r>
      <w:r w:rsidRPr="00DE12A3">
        <w:rPr>
          <w:iCs/>
          <w:color w:val="auto"/>
          <w:spacing w:val="2"/>
          <w:sz w:val="24"/>
          <w:szCs w:val="24"/>
        </w:rPr>
        <w:t xml:space="preserve"> [% hacim] için </w:t>
      </w:r>
      <w:r w:rsidRPr="00DE12A3">
        <w:rPr>
          <w:i/>
          <w:color w:val="auto"/>
          <w:spacing w:val="2"/>
          <w:sz w:val="24"/>
          <w:szCs w:val="24"/>
        </w:rPr>
        <w:t>k</w:t>
      </w:r>
      <w:r w:rsidRPr="00DE12A3">
        <w:rPr>
          <w:iCs/>
          <w:color w:val="auto"/>
          <w:spacing w:val="2"/>
          <w:sz w:val="24"/>
          <w:szCs w:val="24"/>
        </w:rPr>
        <w:t xml:space="preserve"> = 10000</w:t>
      </w:r>
    </w:p>
    <w:p w14:paraId="16E98B41" w14:textId="77777777" w:rsidR="002D7B36" w:rsidRPr="00DE12A3" w:rsidRDefault="00242DA0" w:rsidP="00C917D6">
      <w:pPr>
        <w:pStyle w:val="Gvdemetni251"/>
        <w:shd w:val="clear" w:color="auto" w:fill="auto"/>
        <w:spacing w:before="120" w:after="120" w:line="240" w:lineRule="auto"/>
        <w:ind w:left="1134" w:firstLine="0"/>
        <w:rPr>
          <w:color w:val="auto"/>
          <w:sz w:val="24"/>
          <w:szCs w:val="24"/>
        </w:rPr>
      </w:pPr>
      <w:r w:rsidRPr="00DE12A3">
        <w:rPr>
          <w:i/>
          <w:iCs/>
          <w:color w:val="auto"/>
          <w:sz w:val="24"/>
          <w:szCs w:val="24"/>
        </w:rPr>
        <w:t>k</w:t>
      </w:r>
      <w:r w:rsidRPr="00DE12A3">
        <w:rPr>
          <w:color w:val="auto"/>
          <w:sz w:val="24"/>
          <w:szCs w:val="24"/>
          <w:vertAlign w:val="subscript"/>
        </w:rPr>
        <w:t>h</w:t>
      </w:r>
      <w:r w:rsidRPr="00DE12A3">
        <w:rPr>
          <w:color w:val="auto"/>
          <w:sz w:val="24"/>
          <w:szCs w:val="24"/>
        </w:rPr>
        <w:t xml:space="preserve"> =</w:t>
      </w:r>
      <w:r w:rsidRPr="00DE12A3">
        <w:rPr>
          <w:color w:val="auto"/>
          <w:sz w:val="24"/>
          <w:szCs w:val="24"/>
        </w:rPr>
        <w:tab/>
        <w:t>NOx düzeltme faktörü [-], NOx emisyonu hesaplaması için (bkz. 2.1.4)</w:t>
      </w:r>
    </w:p>
    <w:p w14:paraId="1890090B" w14:textId="77777777" w:rsidR="002D7B36" w:rsidRPr="00DE12A3" w:rsidRDefault="00242DA0" w:rsidP="00C917D6">
      <w:pPr>
        <w:pStyle w:val="Gvdemetni251"/>
        <w:shd w:val="clear" w:color="auto" w:fill="auto"/>
        <w:spacing w:before="120" w:after="120" w:line="240" w:lineRule="auto"/>
        <w:ind w:left="1134" w:firstLine="0"/>
        <w:rPr>
          <w:color w:val="auto"/>
          <w:sz w:val="24"/>
          <w:szCs w:val="24"/>
        </w:rPr>
      </w:pPr>
      <w:r w:rsidRPr="00DE12A3">
        <w:rPr>
          <w:i/>
          <w:iCs/>
          <w:color w:val="auto"/>
          <w:sz w:val="24"/>
          <w:szCs w:val="24"/>
        </w:rPr>
        <w:t>u</w:t>
      </w:r>
      <w:r w:rsidRPr="00DE12A3">
        <w:rPr>
          <w:color w:val="auto"/>
          <w:sz w:val="24"/>
          <w:szCs w:val="24"/>
          <w:vertAlign w:val="subscript"/>
        </w:rPr>
        <w:t>gas</w:t>
      </w:r>
      <w:r w:rsidRPr="00DE12A3">
        <w:rPr>
          <w:color w:val="auto"/>
          <w:sz w:val="24"/>
          <w:szCs w:val="24"/>
        </w:rPr>
        <w:t xml:space="preserve"> =</w:t>
      </w:r>
      <w:r w:rsidRPr="00DE12A3">
        <w:rPr>
          <w:color w:val="auto"/>
          <w:sz w:val="24"/>
          <w:szCs w:val="24"/>
        </w:rPr>
        <w:tab/>
        <w:t>bileşene özgü faktör veya gaz bileşen ile egzoz gazı yoğunlukları arasındaki oran [-]</w:t>
      </w:r>
    </w:p>
    <w:p w14:paraId="68B7A8F6" w14:textId="77777777" w:rsidR="002D7B36" w:rsidRPr="00DE12A3" w:rsidRDefault="00242DA0" w:rsidP="00C917D6">
      <w:pPr>
        <w:pStyle w:val="Gvdemetni251"/>
        <w:shd w:val="clear" w:color="auto" w:fill="auto"/>
        <w:spacing w:before="120" w:after="120" w:line="240" w:lineRule="auto"/>
        <w:ind w:left="1134" w:firstLine="0"/>
        <w:rPr>
          <w:color w:val="auto"/>
          <w:sz w:val="24"/>
          <w:szCs w:val="24"/>
        </w:rPr>
      </w:pPr>
      <w:r w:rsidRPr="00DE12A3">
        <w:rPr>
          <w:rStyle w:val="Gvdemetni254pttalik0ptbolukbraklyor32"/>
          <w:color w:val="auto"/>
          <w:sz w:val="24"/>
          <w:szCs w:val="24"/>
        </w:rPr>
        <w:t>q</w:t>
      </w:r>
      <w:r w:rsidRPr="00DE12A3">
        <w:rPr>
          <w:rStyle w:val="Gvdemetni254pttalik0ptbolukbraklyor32"/>
          <w:color w:val="auto"/>
          <w:sz w:val="24"/>
          <w:szCs w:val="24"/>
          <w:vertAlign w:val="subscript"/>
        </w:rPr>
        <w:t>mewJ</w:t>
      </w:r>
      <w:r w:rsidRPr="00DE12A3">
        <w:rPr>
          <w:color w:val="auto"/>
          <w:sz w:val="24"/>
          <w:szCs w:val="24"/>
        </w:rPr>
        <w:t xml:space="preserve"> =</w:t>
      </w:r>
      <w:r w:rsidRPr="00DE12A3">
        <w:rPr>
          <w:color w:val="auto"/>
          <w:sz w:val="24"/>
          <w:szCs w:val="24"/>
        </w:rPr>
        <w:tab/>
        <w:t>i modunda yaş bazda egzoz gazı kütle akış hızı [kg/s]</w:t>
      </w:r>
    </w:p>
    <w:p w14:paraId="68D9C785" w14:textId="77777777" w:rsidR="002D7B36" w:rsidRPr="00DE12A3" w:rsidRDefault="00242DA0" w:rsidP="00C917D6">
      <w:pPr>
        <w:pStyle w:val="Gvdemetni251"/>
        <w:shd w:val="clear" w:color="auto" w:fill="auto"/>
        <w:spacing w:before="120" w:after="120" w:line="240" w:lineRule="auto"/>
        <w:ind w:left="1134" w:firstLine="0"/>
        <w:rPr>
          <w:color w:val="auto"/>
          <w:sz w:val="24"/>
          <w:szCs w:val="24"/>
        </w:rPr>
      </w:pPr>
      <w:r w:rsidRPr="00DE12A3">
        <w:rPr>
          <w:i/>
          <w:iCs/>
          <w:color w:val="auto"/>
          <w:sz w:val="24"/>
          <w:szCs w:val="24"/>
        </w:rPr>
        <w:t>c</w:t>
      </w:r>
      <w:r w:rsidRPr="00DE12A3">
        <w:rPr>
          <w:color w:val="auto"/>
          <w:sz w:val="24"/>
          <w:szCs w:val="24"/>
          <w:vertAlign w:val="subscript"/>
        </w:rPr>
        <w:t>gas,</w:t>
      </w:r>
      <w:r w:rsidRPr="00DE12A3">
        <w:rPr>
          <w:i/>
          <w:iCs/>
          <w:color w:val="auto"/>
          <w:sz w:val="24"/>
          <w:szCs w:val="24"/>
          <w:vertAlign w:val="subscript"/>
        </w:rPr>
        <w:t>i</w:t>
      </w:r>
      <w:r w:rsidRPr="00DE12A3">
        <w:rPr>
          <w:color w:val="auto"/>
          <w:sz w:val="24"/>
          <w:szCs w:val="24"/>
        </w:rPr>
        <w:t xml:space="preserve"> =</w:t>
      </w:r>
      <w:r w:rsidRPr="00DE12A3">
        <w:rPr>
          <w:color w:val="auto"/>
          <w:sz w:val="24"/>
          <w:szCs w:val="24"/>
        </w:rPr>
        <w:tab/>
        <w:t>i modunda yaş bazda ham egzoz gazı içindeki emisyon konsantrasyonu [ppm] veya [% hacim]</w:t>
      </w:r>
    </w:p>
    <w:p w14:paraId="05C83793" w14:textId="77777777" w:rsidR="002D7B36" w:rsidRPr="00DE12A3" w:rsidRDefault="0001450C" w:rsidP="00E20716">
      <w:pPr>
        <w:pStyle w:val="ListeParagraf"/>
        <w:numPr>
          <w:ilvl w:val="2"/>
          <w:numId w:val="394"/>
        </w:numPr>
        <w:spacing w:before="120" w:after="120"/>
        <w:ind w:left="1134" w:hanging="1134"/>
        <w:jc w:val="both"/>
        <w:rPr>
          <w:rFonts w:eastAsia="Times New Roman" w:cs="Times New Roman"/>
          <w:color w:val="auto"/>
          <w:spacing w:val="3"/>
        </w:rPr>
      </w:pPr>
      <w:r w:rsidRPr="00DE12A3">
        <w:rPr>
          <w:rFonts w:eastAsia="Times New Roman" w:cs="Times New Roman"/>
          <w:color w:val="auto"/>
          <w:spacing w:val="3"/>
        </w:rPr>
        <w:t xml:space="preserve">     </w:t>
      </w:r>
      <w:r w:rsidR="00C87086" w:rsidRPr="00DE12A3">
        <w:rPr>
          <w:rFonts w:eastAsia="Times New Roman" w:cs="Times New Roman"/>
          <w:color w:val="auto"/>
          <w:spacing w:val="3"/>
        </w:rPr>
        <w:t xml:space="preserve">  S</w:t>
      </w:r>
      <w:r w:rsidR="00951351" w:rsidRPr="00DE12A3">
        <w:rPr>
          <w:rFonts w:eastAsia="Times New Roman" w:cs="Times New Roman"/>
          <w:color w:val="auto"/>
          <w:spacing w:val="3"/>
        </w:rPr>
        <w:t xml:space="preserve">üreksiz </w:t>
      </w:r>
      <w:r w:rsidR="00242DA0" w:rsidRPr="00DE12A3">
        <w:rPr>
          <w:rFonts w:eastAsia="Times New Roman" w:cs="Times New Roman"/>
          <w:color w:val="auto"/>
          <w:spacing w:val="3"/>
        </w:rPr>
        <w:t xml:space="preserve">(NRTC ve LSI-NRTC) test </w:t>
      </w:r>
      <w:r w:rsidR="00F310B5" w:rsidRPr="00DE12A3">
        <w:rPr>
          <w:rFonts w:eastAsia="Times New Roman" w:cs="Times New Roman"/>
          <w:color w:val="auto"/>
          <w:spacing w:val="3"/>
        </w:rPr>
        <w:t>çevrim</w:t>
      </w:r>
      <w:r w:rsidR="00242DA0" w:rsidRPr="00DE12A3">
        <w:rPr>
          <w:rFonts w:eastAsia="Times New Roman" w:cs="Times New Roman"/>
          <w:color w:val="auto"/>
          <w:spacing w:val="3"/>
        </w:rPr>
        <w:t>leri ve RMC testleri</w:t>
      </w:r>
    </w:p>
    <w:p w14:paraId="6D08B859" w14:textId="7651F253" w:rsidR="002D7B36" w:rsidRPr="00DE12A3" w:rsidRDefault="0001450C" w:rsidP="00C917D6">
      <w:pPr>
        <w:spacing w:before="120" w:after="120"/>
        <w:ind w:left="1134" w:hanging="1134"/>
        <w:jc w:val="both"/>
        <w:rPr>
          <w:rFonts w:eastAsia="Times New Roman" w:cs="Times New Roman"/>
          <w:color w:val="auto"/>
          <w:spacing w:val="3"/>
        </w:rPr>
      </w:pPr>
      <w:r w:rsidRPr="00DE12A3">
        <w:rPr>
          <w:rFonts w:eastAsia="Times New Roman" w:cs="Times New Roman"/>
          <w:color w:val="auto"/>
          <w:spacing w:val="3"/>
        </w:rPr>
        <w:t xml:space="preserve">                  </w:t>
      </w:r>
      <w:r w:rsidR="00242DA0" w:rsidRPr="00DE12A3">
        <w:rPr>
          <w:rFonts w:eastAsia="Times New Roman" w:cs="Times New Roman"/>
          <w:color w:val="auto"/>
          <w:spacing w:val="3"/>
        </w:rPr>
        <w:t xml:space="preserve">Bir gaz emisyonunun test başına toplam kütlesi mgas [g/test], zaman ayarlı anlık konsantrasyonların ve egzoz gazı akışlarının çarpılması ve (7-2) </w:t>
      </w:r>
      <w:r w:rsidR="005E1C7E" w:rsidRPr="00DE12A3">
        <w:rPr>
          <w:color w:val="auto"/>
        </w:rPr>
        <w:t>numaralı</w:t>
      </w:r>
      <w:r w:rsidR="005E1C7E" w:rsidRPr="00DE12A3" w:rsidDel="005E1C7E">
        <w:rPr>
          <w:rFonts w:eastAsia="Times New Roman" w:cs="Times New Roman"/>
          <w:color w:val="auto"/>
          <w:spacing w:val="3"/>
        </w:rPr>
        <w:t xml:space="preserve"> </w:t>
      </w:r>
      <w:r w:rsidR="00242DA0" w:rsidRPr="00DE12A3">
        <w:rPr>
          <w:rFonts w:eastAsia="Times New Roman" w:cs="Times New Roman"/>
          <w:color w:val="auto"/>
          <w:spacing w:val="3"/>
        </w:rPr>
        <w:t xml:space="preserve"> denklem ile test </w:t>
      </w:r>
      <w:r w:rsidR="00F310B5" w:rsidRPr="00DE12A3">
        <w:rPr>
          <w:rFonts w:eastAsia="Times New Roman" w:cs="Times New Roman"/>
          <w:color w:val="auto"/>
          <w:spacing w:val="3"/>
        </w:rPr>
        <w:t>çevrimi</w:t>
      </w:r>
      <w:r w:rsidR="00242DA0" w:rsidRPr="00DE12A3">
        <w:rPr>
          <w:rFonts w:eastAsia="Times New Roman" w:cs="Times New Roman"/>
          <w:color w:val="auto"/>
          <w:spacing w:val="3"/>
        </w:rPr>
        <w:t xml:space="preserve"> boyunca toplanması ile hesaplanır:</w:t>
      </w:r>
    </w:p>
    <w:tbl>
      <w:tblPr>
        <w:tblW w:w="0" w:type="auto"/>
        <w:tblInd w:w="2554" w:type="dxa"/>
        <w:tblLayout w:type="fixed"/>
        <w:tblLook w:val="0000" w:firstRow="0" w:lastRow="0" w:firstColumn="0" w:lastColumn="0" w:noHBand="0" w:noVBand="0"/>
      </w:tblPr>
      <w:tblGrid>
        <w:gridCol w:w="4464"/>
        <w:gridCol w:w="1116"/>
      </w:tblGrid>
      <w:tr w:rsidR="00DE12A3" w:rsidRPr="00DE12A3" w14:paraId="26BCC790" w14:textId="77777777" w:rsidTr="0001450C">
        <w:trPr>
          <w:trHeight w:val="888"/>
        </w:trPr>
        <w:tc>
          <w:tcPr>
            <w:tcW w:w="4464" w:type="dxa"/>
          </w:tcPr>
          <w:p w14:paraId="02952625" w14:textId="275D5BB3" w:rsidR="0001450C" w:rsidRPr="00DE12A3" w:rsidRDefault="0001450C" w:rsidP="00C917D6">
            <w:pPr>
              <w:pStyle w:val="NormalLeft"/>
            </w:pPr>
            <w:r w:rsidRPr="00DE12A3">
              <w:rPr>
                <w:noProof/>
                <w:lang w:val="tr-TR"/>
              </w:rPr>
              <w:drawing>
                <wp:inline distT="0" distB="0" distL="0" distR="0" wp14:anchorId="4D0F1B19" wp14:editId="41238142">
                  <wp:extent cx="2279650" cy="451339"/>
                  <wp:effectExtent l="0" t="0" r="6350" b="6350"/>
                  <wp:docPr id="42" name="Resim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2334835" cy="462265"/>
                          </a:xfrm>
                          <a:prstGeom prst="rect">
                            <a:avLst/>
                          </a:prstGeom>
                          <a:noFill/>
                          <a:ln>
                            <a:noFill/>
                          </a:ln>
                        </pic:spPr>
                      </pic:pic>
                    </a:graphicData>
                  </a:graphic>
                </wp:inline>
              </w:drawing>
            </w:r>
          </w:p>
        </w:tc>
        <w:tc>
          <w:tcPr>
            <w:tcW w:w="1116" w:type="dxa"/>
          </w:tcPr>
          <w:p w14:paraId="2EE51E01" w14:textId="77777777" w:rsidR="0001450C" w:rsidRPr="00DE12A3" w:rsidRDefault="0001450C" w:rsidP="00C917D6">
            <w:pPr>
              <w:pStyle w:val="NormalLeft"/>
            </w:pPr>
            <w:r w:rsidRPr="00DE12A3">
              <w:t>(7-2)</w:t>
            </w:r>
          </w:p>
        </w:tc>
      </w:tr>
    </w:tbl>
    <w:p w14:paraId="4FD8FAB8" w14:textId="14250422" w:rsidR="002D7B36" w:rsidRPr="00DE12A3" w:rsidRDefault="00242DA0" w:rsidP="00C917D6">
      <w:pPr>
        <w:spacing w:before="120" w:after="120"/>
        <w:ind w:left="1134" w:hanging="1134"/>
        <w:jc w:val="both"/>
        <w:rPr>
          <w:rFonts w:cs="Times New Roman"/>
          <w:color w:val="auto"/>
        </w:rPr>
      </w:pPr>
      <w:r w:rsidRPr="00DE12A3">
        <w:rPr>
          <w:rFonts w:cs="Times New Roman"/>
          <w:color w:val="auto"/>
        </w:rPr>
        <w:t xml:space="preserve">   </w:t>
      </w:r>
      <w:r w:rsidRPr="00DE12A3">
        <w:rPr>
          <w:rFonts w:cs="Times New Roman"/>
          <w:color w:val="auto"/>
          <w:lang w:eastAsia="en-US"/>
        </w:rPr>
        <w:tab/>
      </w:r>
      <w:r w:rsidR="0001450C" w:rsidRPr="00DE12A3">
        <w:rPr>
          <w:rFonts w:cs="Times New Roman"/>
          <w:color w:val="auto"/>
          <w:lang w:eastAsia="en-US"/>
        </w:rPr>
        <w:t>B</w:t>
      </w:r>
      <w:r w:rsidRPr="00DE12A3">
        <w:rPr>
          <w:rFonts w:cs="Times New Roman"/>
          <w:color w:val="auto"/>
        </w:rPr>
        <w:t>urada:</w:t>
      </w:r>
    </w:p>
    <w:tbl>
      <w:tblPr>
        <w:tblW w:w="9286" w:type="dxa"/>
        <w:tblLayout w:type="fixed"/>
        <w:tblLook w:val="0000" w:firstRow="0" w:lastRow="0" w:firstColumn="0" w:lastColumn="0" w:noHBand="0" w:noVBand="0"/>
      </w:tblPr>
      <w:tblGrid>
        <w:gridCol w:w="1114"/>
        <w:gridCol w:w="557"/>
        <w:gridCol w:w="7615"/>
      </w:tblGrid>
      <w:tr w:rsidR="00DE12A3" w:rsidRPr="00DE12A3" w14:paraId="26CF006E" w14:textId="77777777" w:rsidTr="0001450C">
        <w:tc>
          <w:tcPr>
            <w:tcW w:w="1114" w:type="dxa"/>
          </w:tcPr>
          <w:p w14:paraId="5217341E" w14:textId="77777777" w:rsidR="0001450C" w:rsidRPr="00DE12A3" w:rsidRDefault="0001450C" w:rsidP="00C917D6">
            <w:pPr>
              <w:pStyle w:val="NormalLeft"/>
            </w:pPr>
            <w:r w:rsidRPr="00DE12A3">
              <w:rPr>
                <w:i/>
                <w:iCs/>
              </w:rPr>
              <w:t>ƒ</w:t>
            </w:r>
          </w:p>
        </w:tc>
        <w:tc>
          <w:tcPr>
            <w:tcW w:w="557" w:type="dxa"/>
          </w:tcPr>
          <w:p w14:paraId="5F37437B" w14:textId="77777777" w:rsidR="0001450C" w:rsidRPr="00DE12A3" w:rsidRDefault="0001450C" w:rsidP="00C917D6">
            <w:pPr>
              <w:pStyle w:val="NormalLeft"/>
            </w:pPr>
            <w:r w:rsidRPr="00DE12A3">
              <w:t>=</w:t>
            </w:r>
          </w:p>
        </w:tc>
        <w:tc>
          <w:tcPr>
            <w:tcW w:w="7615" w:type="dxa"/>
          </w:tcPr>
          <w:p w14:paraId="6624A4B1" w14:textId="6C1603A1" w:rsidR="0001450C" w:rsidRPr="00DE12A3" w:rsidRDefault="00906219" w:rsidP="00C917D6">
            <w:pPr>
              <w:spacing w:before="120" w:after="120"/>
              <w:rPr>
                <w:rFonts w:cs="Times New Roman"/>
                <w:color w:val="auto"/>
              </w:rPr>
            </w:pPr>
            <w:r w:rsidRPr="00DE12A3">
              <w:rPr>
                <w:rFonts w:cs="Times New Roman"/>
                <w:color w:val="auto"/>
              </w:rPr>
              <w:t>Veri</w:t>
            </w:r>
            <w:r w:rsidR="0001450C" w:rsidRPr="00DE12A3">
              <w:rPr>
                <w:rFonts w:cs="Times New Roman"/>
                <w:color w:val="auto"/>
              </w:rPr>
              <w:t xml:space="preserve"> örnekleme hızı [Hz]</w:t>
            </w:r>
          </w:p>
        </w:tc>
      </w:tr>
      <w:tr w:rsidR="00DE12A3" w:rsidRPr="00DE12A3" w14:paraId="4910F479" w14:textId="77777777" w:rsidTr="0001450C">
        <w:tc>
          <w:tcPr>
            <w:tcW w:w="1114" w:type="dxa"/>
          </w:tcPr>
          <w:p w14:paraId="6E50458A" w14:textId="77777777" w:rsidR="0001450C" w:rsidRPr="00DE12A3" w:rsidRDefault="0001450C" w:rsidP="00C917D6">
            <w:pPr>
              <w:pStyle w:val="NormalLeft"/>
            </w:pPr>
            <w:r w:rsidRPr="00DE12A3">
              <w:rPr>
                <w:i/>
                <w:iCs/>
              </w:rPr>
              <w:t>k</w:t>
            </w:r>
            <w:r w:rsidRPr="00DE12A3">
              <w:rPr>
                <w:vertAlign w:val="subscript"/>
              </w:rPr>
              <w:t>h</w:t>
            </w:r>
          </w:p>
        </w:tc>
        <w:tc>
          <w:tcPr>
            <w:tcW w:w="557" w:type="dxa"/>
          </w:tcPr>
          <w:p w14:paraId="1888A736" w14:textId="77777777" w:rsidR="0001450C" w:rsidRPr="00DE12A3" w:rsidRDefault="0001450C" w:rsidP="00C917D6">
            <w:pPr>
              <w:pStyle w:val="NormalLeft"/>
            </w:pPr>
            <w:r w:rsidRPr="00DE12A3">
              <w:t>=</w:t>
            </w:r>
          </w:p>
        </w:tc>
        <w:tc>
          <w:tcPr>
            <w:tcW w:w="7615" w:type="dxa"/>
          </w:tcPr>
          <w:p w14:paraId="4D8381A2" w14:textId="77777777" w:rsidR="0001450C" w:rsidRPr="00DE12A3" w:rsidRDefault="0001450C" w:rsidP="00C917D6">
            <w:pPr>
              <w:spacing w:before="120" w:after="120"/>
              <w:rPr>
                <w:rFonts w:cs="Times New Roman"/>
                <w:color w:val="auto"/>
              </w:rPr>
            </w:pPr>
            <w:r w:rsidRPr="00DE12A3">
              <w:rPr>
                <w:rFonts w:cs="Times New Roman"/>
                <w:color w:val="auto"/>
              </w:rPr>
              <w:t>NOx düzeltme faktörü [-], sadece NOx emisyonu hesaplaması için uygulanır</w:t>
            </w:r>
          </w:p>
        </w:tc>
      </w:tr>
      <w:tr w:rsidR="00DE12A3" w:rsidRPr="00DE12A3" w14:paraId="149E28E5" w14:textId="77777777" w:rsidTr="0001450C">
        <w:tc>
          <w:tcPr>
            <w:tcW w:w="1114" w:type="dxa"/>
          </w:tcPr>
          <w:p w14:paraId="2A7FB0E2" w14:textId="77777777" w:rsidR="0001450C" w:rsidRPr="00DE12A3" w:rsidRDefault="0001450C" w:rsidP="00C917D6">
            <w:pPr>
              <w:pStyle w:val="NormalLeft"/>
            </w:pPr>
            <w:r w:rsidRPr="00DE12A3">
              <w:rPr>
                <w:i/>
                <w:iCs/>
              </w:rPr>
              <w:t>k</w:t>
            </w:r>
          </w:p>
        </w:tc>
        <w:tc>
          <w:tcPr>
            <w:tcW w:w="557" w:type="dxa"/>
          </w:tcPr>
          <w:p w14:paraId="7FB1894B" w14:textId="77777777" w:rsidR="0001450C" w:rsidRPr="00DE12A3" w:rsidRDefault="0001450C" w:rsidP="00C917D6">
            <w:pPr>
              <w:pStyle w:val="NormalLeft"/>
            </w:pPr>
            <w:r w:rsidRPr="00DE12A3">
              <w:t>=</w:t>
            </w:r>
          </w:p>
        </w:tc>
        <w:tc>
          <w:tcPr>
            <w:tcW w:w="7615" w:type="dxa"/>
          </w:tcPr>
          <w:p w14:paraId="58ECEF1E" w14:textId="77777777" w:rsidR="0001450C" w:rsidRPr="00DE12A3" w:rsidRDefault="0001450C" w:rsidP="00C917D6">
            <w:pPr>
              <w:spacing w:before="120" w:after="120"/>
              <w:rPr>
                <w:rFonts w:cs="Times New Roman"/>
                <w:color w:val="auto"/>
              </w:rPr>
            </w:pPr>
            <w:r w:rsidRPr="00DE12A3">
              <w:rPr>
                <w:rFonts w:cs="Times New Roman"/>
                <w:color w:val="auto"/>
              </w:rPr>
              <w:t>1 [ppm] cinsinden cgasrwi için ve k = 10000 [% vol]cinsinden cgasrwi için</w:t>
            </w:r>
          </w:p>
        </w:tc>
      </w:tr>
      <w:tr w:rsidR="00DE12A3" w:rsidRPr="00DE12A3" w14:paraId="2B4F16FA" w14:textId="77777777" w:rsidTr="0001450C">
        <w:tc>
          <w:tcPr>
            <w:tcW w:w="1114" w:type="dxa"/>
          </w:tcPr>
          <w:p w14:paraId="12938840" w14:textId="77777777" w:rsidR="0001450C" w:rsidRPr="00DE12A3" w:rsidRDefault="0001450C" w:rsidP="00C917D6">
            <w:pPr>
              <w:pStyle w:val="NormalLeft"/>
            </w:pPr>
            <w:r w:rsidRPr="00DE12A3">
              <w:rPr>
                <w:i/>
                <w:iCs/>
              </w:rPr>
              <w:t>u</w:t>
            </w:r>
            <w:r w:rsidRPr="00DE12A3">
              <w:rPr>
                <w:vertAlign w:val="subscript"/>
              </w:rPr>
              <w:t>gas</w:t>
            </w:r>
          </w:p>
        </w:tc>
        <w:tc>
          <w:tcPr>
            <w:tcW w:w="557" w:type="dxa"/>
          </w:tcPr>
          <w:p w14:paraId="40DEB56C" w14:textId="77777777" w:rsidR="0001450C" w:rsidRPr="00DE12A3" w:rsidRDefault="0001450C" w:rsidP="00C917D6">
            <w:pPr>
              <w:pStyle w:val="NormalLeft"/>
            </w:pPr>
            <w:r w:rsidRPr="00DE12A3">
              <w:t>=</w:t>
            </w:r>
          </w:p>
        </w:tc>
        <w:tc>
          <w:tcPr>
            <w:tcW w:w="7615" w:type="dxa"/>
          </w:tcPr>
          <w:p w14:paraId="3AE2D696" w14:textId="5390224F" w:rsidR="0001450C" w:rsidRPr="00DE12A3" w:rsidRDefault="00906219" w:rsidP="00C917D6">
            <w:pPr>
              <w:spacing w:before="120" w:after="120"/>
              <w:rPr>
                <w:rFonts w:cs="Times New Roman"/>
                <w:color w:val="auto"/>
              </w:rPr>
            </w:pPr>
            <w:r w:rsidRPr="00DE12A3">
              <w:rPr>
                <w:rFonts w:cs="Times New Roman"/>
                <w:color w:val="auto"/>
              </w:rPr>
              <w:t>Bileşene</w:t>
            </w:r>
            <w:r w:rsidR="0001450C" w:rsidRPr="00DE12A3">
              <w:rPr>
                <w:rFonts w:cs="Times New Roman"/>
                <w:color w:val="auto"/>
              </w:rPr>
              <w:t xml:space="preserve"> özgü faktör [-] (bkz. 2.1.5)</w:t>
            </w:r>
          </w:p>
        </w:tc>
      </w:tr>
      <w:tr w:rsidR="00DE12A3" w:rsidRPr="00DE12A3" w14:paraId="5456A1F8" w14:textId="77777777" w:rsidTr="0001450C">
        <w:tc>
          <w:tcPr>
            <w:tcW w:w="1114" w:type="dxa"/>
          </w:tcPr>
          <w:p w14:paraId="14315089" w14:textId="77777777" w:rsidR="0001450C" w:rsidRPr="00DE12A3" w:rsidRDefault="0001450C" w:rsidP="00C917D6">
            <w:pPr>
              <w:pStyle w:val="NormalLeft"/>
            </w:pPr>
            <w:r w:rsidRPr="00DE12A3">
              <w:rPr>
                <w:i/>
                <w:iCs/>
              </w:rPr>
              <w:t>N</w:t>
            </w:r>
          </w:p>
        </w:tc>
        <w:tc>
          <w:tcPr>
            <w:tcW w:w="557" w:type="dxa"/>
          </w:tcPr>
          <w:p w14:paraId="42EB57D5" w14:textId="77777777" w:rsidR="0001450C" w:rsidRPr="00DE12A3" w:rsidRDefault="0001450C" w:rsidP="00C917D6">
            <w:pPr>
              <w:pStyle w:val="NormalLeft"/>
            </w:pPr>
            <w:r w:rsidRPr="00DE12A3">
              <w:t>=</w:t>
            </w:r>
          </w:p>
        </w:tc>
        <w:tc>
          <w:tcPr>
            <w:tcW w:w="7615" w:type="dxa"/>
          </w:tcPr>
          <w:p w14:paraId="59956BD5" w14:textId="7F9B0C05" w:rsidR="0001450C" w:rsidRPr="00DE12A3" w:rsidRDefault="00906219" w:rsidP="00C917D6">
            <w:pPr>
              <w:spacing w:before="120" w:after="120"/>
              <w:rPr>
                <w:rFonts w:cs="Times New Roman"/>
                <w:color w:val="auto"/>
              </w:rPr>
            </w:pPr>
            <w:r w:rsidRPr="00DE12A3">
              <w:rPr>
                <w:rFonts w:cs="Times New Roman"/>
                <w:color w:val="auto"/>
              </w:rPr>
              <w:t>Ölçüm</w:t>
            </w:r>
            <w:r w:rsidR="0001450C" w:rsidRPr="00DE12A3">
              <w:rPr>
                <w:rFonts w:cs="Times New Roman"/>
                <w:color w:val="auto"/>
              </w:rPr>
              <w:t xml:space="preserve"> sayısı [-]</w:t>
            </w:r>
          </w:p>
        </w:tc>
      </w:tr>
      <w:tr w:rsidR="00DE12A3" w:rsidRPr="00DE12A3" w14:paraId="7349AB58" w14:textId="77777777" w:rsidTr="0001450C">
        <w:tc>
          <w:tcPr>
            <w:tcW w:w="1114" w:type="dxa"/>
          </w:tcPr>
          <w:p w14:paraId="1A908DE6" w14:textId="77777777" w:rsidR="0001450C" w:rsidRPr="00DE12A3" w:rsidRDefault="0001450C" w:rsidP="00C917D6">
            <w:pPr>
              <w:pStyle w:val="NormalLeft"/>
            </w:pPr>
            <w:r w:rsidRPr="00DE12A3">
              <w:rPr>
                <w:i/>
                <w:iCs/>
              </w:rPr>
              <w:t>q</w:t>
            </w:r>
            <w:r w:rsidRPr="00DE12A3">
              <w:rPr>
                <w:i/>
                <w:iCs/>
                <w:vertAlign w:val="subscript"/>
              </w:rPr>
              <w:t>m</w:t>
            </w:r>
            <w:r w:rsidRPr="00DE12A3">
              <w:rPr>
                <w:vertAlign w:val="subscript"/>
              </w:rPr>
              <w:t>ew,</w:t>
            </w:r>
            <w:r w:rsidRPr="00DE12A3">
              <w:rPr>
                <w:i/>
                <w:iCs/>
                <w:vertAlign w:val="subscript"/>
              </w:rPr>
              <w:t>i</w:t>
            </w:r>
          </w:p>
        </w:tc>
        <w:tc>
          <w:tcPr>
            <w:tcW w:w="557" w:type="dxa"/>
          </w:tcPr>
          <w:p w14:paraId="36A06C20" w14:textId="77777777" w:rsidR="0001450C" w:rsidRPr="00DE12A3" w:rsidRDefault="0001450C" w:rsidP="00C917D6">
            <w:pPr>
              <w:pStyle w:val="NormalLeft"/>
            </w:pPr>
            <w:r w:rsidRPr="00DE12A3">
              <w:t>=</w:t>
            </w:r>
          </w:p>
        </w:tc>
        <w:tc>
          <w:tcPr>
            <w:tcW w:w="7615" w:type="dxa"/>
          </w:tcPr>
          <w:p w14:paraId="4360CA9C" w14:textId="131F806E" w:rsidR="0001450C" w:rsidRPr="00DE12A3" w:rsidRDefault="00906219" w:rsidP="00C917D6">
            <w:pPr>
              <w:spacing w:before="120" w:after="120"/>
              <w:rPr>
                <w:rFonts w:cs="Times New Roman"/>
                <w:color w:val="auto"/>
              </w:rPr>
            </w:pPr>
            <w:r w:rsidRPr="00DE12A3">
              <w:rPr>
                <w:rFonts w:cs="Times New Roman"/>
                <w:color w:val="auto"/>
              </w:rPr>
              <w:t>Yaş</w:t>
            </w:r>
            <w:r w:rsidR="0001450C" w:rsidRPr="00DE12A3">
              <w:rPr>
                <w:rFonts w:cs="Times New Roman"/>
                <w:color w:val="auto"/>
              </w:rPr>
              <w:t xml:space="preserve"> bazda anlık egzoz gazı kütle akış hızı [kg/s]</w:t>
            </w:r>
          </w:p>
        </w:tc>
      </w:tr>
      <w:tr w:rsidR="00DE12A3" w:rsidRPr="00DE12A3" w14:paraId="17AF3D95" w14:textId="77777777" w:rsidTr="0001450C">
        <w:tc>
          <w:tcPr>
            <w:tcW w:w="1114" w:type="dxa"/>
          </w:tcPr>
          <w:p w14:paraId="6C3F45A7" w14:textId="77777777" w:rsidR="0001450C" w:rsidRPr="00DE12A3" w:rsidRDefault="0001450C" w:rsidP="00C917D6">
            <w:pPr>
              <w:pStyle w:val="NormalLeft"/>
            </w:pPr>
            <w:r w:rsidRPr="00DE12A3">
              <w:rPr>
                <w:i/>
                <w:iCs/>
              </w:rPr>
              <w:t>c</w:t>
            </w:r>
            <w:r w:rsidRPr="00DE12A3">
              <w:rPr>
                <w:vertAlign w:val="subscript"/>
              </w:rPr>
              <w:t>gas,</w:t>
            </w:r>
            <w:r w:rsidRPr="00DE12A3">
              <w:rPr>
                <w:i/>
                <w:iCs/>
                <w:vertAlign w:val="subscript"/>
              </w:rPr>
              <w:t>i</w:t>
            </w:r>
          </w:p>
        </w:tc>
        <w:tc>
          <w:tcPr>
            <w:tcW w:w="557" w:type="dxa"/>
          </w:tcPr>
          <w:p w14:paraId="52600D14" w14:textId="77777777" w:rsidR="0001450C" w:rsidRPr="00DE12A3" w:rsidRDefault="0001450C" w:rsidP="00C917D6">
            <w:pPr>
              <w:pStyle w:val="NormalLeft"/>
            </w:pPr>
            <w:r w:rsidRPr="00DE12A3">
              <w:t>=</w:t>
            </w:r>
          </w:p>
        </w:tc>
        <w:tc>
          <w:tcPr>
            <w:tcW w:w="7615" w:type="dxa"/>
          </w:tcPr>
          <w:p w14:paraId="49E2AA62" w14:textId="105D1CCF" w:rsidR="0001450C" w:rsidRPr="00DE12A3" w:rsidRDefault="00906219" w:rsidP="00C917D6">
            <w:pPr>
              <w:spacing w:before="120" w:after="120"/>
              <w:rPr>
                <w:rFonts w:cs="Times New Roman"/>
                <w:color w:val="auto"/>
              </w:rPr>
            </w:pPr>
            <w:r w:rsidRPr="00DE12A3">
              <w:rPr>
                <w:rFonts w:cs="Times New Roman"/>
                <w:color w:val="auto"/>
              </w:rPr>
              <w:t>Yaş</w:t>
            </w:r>
            <w:r w:rsidR="0001450C" w:rsidRPr="00DE12A3">
              <w:rPr>
                <w:rFonts w:cs="Times New Roman"/>
                <w:color w:val="auto"/>
              </w:rPr>
              <w:t xml:space="preserve"> bazda ham egzoz gazındaki anlık emisyon konsantrasyonu [ppm] veya [% hacim]</w:t>
            </w:r>
          </w:p>
        </w:tc>
      </w:tr>
    </w:tbl>
    <w:p w14:paraId="2BF36EEE" w14:textId="77777777" w:rsidR="002D7B36" w:rsidRPr="00DE12A3" w:rsidRDefault="00934008" w:rsidP="00E20716">
      <w:pPr>
        <w:numPr>
          <w:ilvl w:val="2"/>
          <w:numId w:val="394"/>
        </w:numPr>
        <w:spacing w:before="120" w:after="120"/>
        <w:ind w:left="1134" w:hanging="1134"/>
        <w:jc w:val="both"/>
        <w:rPr>
          <w:rFonts w:eastAsia="Times New Roman" w:cs="Times New Roman"/>
          <w:color w:val="auto"/>
          <w:spacing w:val="3"/>
        </w:rPr>
      </w:pPr>
      <w:r w:rsidRPr="00DE12A3">
        <w:rPr>
          <w:rFonts w:eastAsia="Times New Roman" w:cs="Times New Roman"/>
          <w:color w:val="auto"/>
          <w:spacing w:val="3"/>
        </w:rPr>
        <w:t xml:space="preserve">      </w:t>
      </w:r>
      <w:r w:rsidR="00242DA0" w:rsidRPr="00DE12A3">
        <w:rPr>
          <w:rFonts w:eastAsia="Times New Roman" w:cs="Times New Roman"/>
          <w:color w:val="auto"/>
          <w:spacing w:val="3"/>
        </w:rPr>
        <w:t>Kuru-yaş konsantrasyon dönüşümü</w:t>
      </w:r>
    </w:p>
    <w:p w14:paraId="34F359C8" w14:textId="40CA4F91" w:rsidR="002D7B36" w:rsidRPr="00DE12A3" w:rsidRDefault="00242DA0" w:rsidP="00C917D6">
      <w:pPr>
        <w:spacing w:before="120" w:after="120"/>
        <w:ind w:leftChars="472" w:left="1133" w:firstLine="1"/>
        <w:jc w:val="both"/>
        <w:rPr>
          <w:rFonts w:eastAsia="Times New Roman" w:cs="Times New Roman"/>
          <w:color w:val="auto"/>
          <w:spacing w:val="3"/>
        </w:rPr>
      </w:pPr>
      <w:r w:rsidRPr="00DE12A3">
        <w:rPr>
          <w:rFonts w:eastAsia="Times New Roman" w:cs="Times New Roman"/>
          <w:color w:val="auto"/>
          <w:spacing w:val="3"/>
        </w:rPr>
        <w:t xml:space="preserve">Eğer emisyonlar kuru olarak ölçülürse, kuru bazda ölçülen konsantrasyon cd, (7-3) </w:t>
      </w:r>
      <w:r w:rsidR="005E1C7E" w:rsidRPr="00DE12A3">
        <w:rPr>
          <w:color w:val="auto"/>
        </w:rPr>
        <w:t>numaralı</w:t>
      </w:r>
      <w:r w:rsidRPr="00DE12A3">
        <w:rPr>
          <w:rFonts w:eastAsia="Times New Roman" w:cs="Times New Roman"/>
          <w:color w:val="auto"/>
          <w:spacing w:val="3"/>
        </w:rPr>
        <w:t xml:space="preserve"> denklem ile yaş bazda konsantrasyon cw'ye dönüştürülmelidir:</w:t>
      </w:r>
    </w:p>
    <w:p w14:paraId="76C825C5" w14:textId="77777777" w:rsidR="002D7B36" w:rsidRPr="00DE12A3" w:rsidRDefault="002D7B36" w:rsidP="00C917D6">
      <w:pPr>
        <w:tabs>
          <w:tab w:val="left" w:pos="1970"/>
        </w:tabs>
        <w:spacing w:before="120" w:after="120"/>
        <w:ind w:left="1134" w:hanging="1134"/>
        <w:jc w:val="both"/>
        <w:rPr>
          <w:rFonts w:cs="Times New Roman"/>
          <w:color w:val="auto"/>
          <w:lang w:eastAsia="en-US"/>
        </w:rPr>
      </w:pPr>
    </w:p>
    <w:p w14:paraId="775DE7C8" w14:textId="2B99B089" w:rsidR="002D7B36" w:rsidRPr="00DE12A3" w:rsidRDefault="00242DA0" w:rsidP="00C917D6">
      <w:pPr>
        <w:tabs>
          <w:tab w:val="left" w:pos="1970"/>
        </w:tabs>
        <w:spacing w:before="120" w:after="120"/>
        <w:ind w:left="1134" w:hanging="1134"/>
        <w:jc w:val="center"/>
        <w:rPr>
          <w:rFonts w:cs="Times New Roman"/>
          <w:color w:val="auto"/>
        </w:rPr>
      </w:pPr>
      <w:r w:rsidRPr="00DE12A3">
        <w:rPr>
          <w:rFonts w:cs="Times New Roman"/>
          <w:noProof/>
          <w:color w:val="auto"/>
        </w:rPr>
        <w:drawing>
          <wp:inline distT="0" distB="0" distL="114300" distR="114300" wp14:anchorId="341114B8" wp14:editId="6FCFD050">
            <wp:extent cx="3563620" cy="485775"/>
            <wp:effectExtent l="0" t="0" r="0" b="9525"/>
            <wp:docPr id="4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Picture 5"/>
                    <pic:cNvPicPr>
                      <a:picLocks noChangeAspect="1"/>
                    </pic:cNvPicPr>
                  </pic:nvPicPr>
                  <pic:blipFill>
                    <a:blip r:embed="rId62"/>
                    <a:stretch>
                      <a:fillRect/>
                    </a:stretch>
                  </pic:blipFill>
                  <pic:spPr>
                    <a:xfrm>
                      <a:off x="0" y="0"/>
                      <a:ext cx="3563620" cy="485775"/>
                    </a:xfrm>
                    <a:prstGeom prst="rect">
                      <a:avLst/>
                    </a:prstGeom>
                    <a:noFill/>
                    <a:ln>
                      <a:noFill/>
                    </a:ln>
                  </pic:spPr>
                </pic:pic>
              </a:graphicData>
            </a:graphic>
          </wp:inline>
        </w:drawing>
      </w:r>
    </w:p>
    <w:p w14:paraId="3CC5E45D" w14:textId="77777777" w:rsidR="002D7B36" w:rsidRPr="00DE12A3" w:rsidRDefault="0001450C" w:rsidP="00C917D6">
      <w:pPr>
        <w:widowControl/>
        <w:spacing w:before="120" w:after="120"/>
        <w:ind w:leftChars="467" w:left="1132" w:hanging="11"/>
        <w:jc w:val="both"/>
        <w:rPr>
          <w:rFonts w:eastAsia="SimSun" w:cs="Times New Roman"/>
          <w:color w:val="auto"/>
          <w:lang w:eastAsia="zh-CN" w:bidi="ar"/>
        </w:rPr>
      </w:pPr>
      <w:r w:rsidRPr="00DE12A3">
        <w:rPr>
          <w:rFonts w:eastAsia="SimSun" w:cs="Times New Roman"/>
          <w:color w:val="auto"/>
          <w:lang w:eastAsia="zh-CN" w:bidi="ar"/>
        </w:rPr>
        <w:lastRenderedPageBreak/>
        <w:t>B</w:t>
      </w:r>
      <w:r w:rsidR="00242DA0" w:rsidRPr="00DE12A3">
        <w:rPr>
          <w:rFonts w:eastAsia="SimSun" w:cs="Times New Roman"/>
          <w:color w:val="auto"/>
          <w:lang w:eastAsia="zh-CN" w:bidi="ar"/>
        </w:rPr>
        <w:t>urada:</w:t>
      </w:r>
    </w:p>
    <w:tbl>
      <w:tblPr>
        <w:tblW w:w="0" w:type="auto"/>
        <w:tblInd w:w="1300" w:type="dxa"/>
        <w:tblLayout w:type="fixed"/>
        <w:tblLook w:val="0000" w:firstRow="0" w:lastRow="0" w:firstColumn="0" w:lastColumn="0" w:noHBand="0" w:noVBand="0"/>
      </w:tblPr>
      <w:tblGrid>
        <w:gridCol w:w="735"/>
        <w:gridCol w:w="535"/>
        <w:gridCol w:w="5416"/>
      </w:tblGrid>
      <w:tr w:rsidR="00DE12A3" w:rsidRPr="00DE12A3" w14:paraId="03AA2CDF" w14:textId="77777777" w:rsidTr="0001450C">
        <w:tc>
          <w:tcPr>
            <w:tcW w:w="735" w:type="dxa"/>
          </w:tcPr>
          <w:p w14:paraId="0ED696A9" w14:textId="77777777" w:rsidR="0001450C" w:rsidRPr="00DE12A3" w:rsidRDefault="0001450C" w:rsidP="00C917D6">
            <w:pPr>
              <w:pStyle w:val="NormalLeft"/>
            </w:pPr>
            <w:r w:rsidRPr="00DE12A3">
              <w:rPr>
                <w:i/>
                <w:iCs/>
              </w:rPr>
              <w:t>k</w:t>
            </w:r>
            <w:r w:rsidRPr="00DE12A3">
              <w:rPr>
                <w:vertAlign w:val="subscript"/>
              </w:rPr>
              <w:t>w</w:t>
            </w:r>
          </w:p>
        </w:tc>
        <w:tc>
          <w:tcPr>
            <w:tcW w:w="535" w:type="dxa"/>
          </w:tcPr>
          <w:p w14:paraId="595E80D3" w14:textId="77777777" w:rsidR="0001450C" w:rsidRPr="00DE12A3" w:rsidRDefault="0001450C" w:rsidP="00C917D6">
            <w:pPr>
              <w:pStyle w:val="NormalLeft"/>
            </w:pPr>
            <w:r w:rsidRPr="00DE12A3">
              <w:t>=</w:t>
            </w:r>
          </w:p>
        </w:tc>
        <w:tc>
          <w:tcPr>
            <w:tcW w:w="5416" w:type="dxa"/>
          </w:tcPr>
          <w:p w14:paraId="1980F7AB" w14:textId="737E42BD" w:rsidR="0001450C" w:rsidRPr="00DE12A3" w:rsidRDefault="00906219" w:rsidP="00C917D6">
            <w:pPr>
              <w:spacing w:before="120" w:after="120"/>
              <w:rPr>
                <w:rFonts w:cs="Times New Roman"/>
                <w:color w:val="auto"/>
              </w:rPr>
            </w:pPr>
            <w:r w:rsidRPr="00DE12A3">
              <w:rPr>
                <w:rFonts w:cs="Times New Roman"/>
                <w:color w:val="auto"/>
              </w:rPr>
              <w:t>Kuru</w:t>
            </w:r>
            <w:r w:rsidR="0001450C" w:rsidRPr="00DE12A3">
              <w:rPr>
                <w:rFonts w:cs="Times New Roman"/>
                <w:color w:val="auto"/>
              </w:rPr>
              <w:t>-yaş dönüşüm faktörü [-]</w:t>
            </w:r>
          </w:p>
        </w:tc>
      </w:tr>
      <w:tr w:rsidR="00DE12A3" w:rsidRPr="00DE12A3" w14:paraId="777DA9AE" w14:textId="77777777" w:rsidTr="0001450C">
        <w:tc>
          <w:tcPr>
            <w:tcW w:w="735" w:type="dxa"/>
          </w:tcPr>
          <w:p w14:paraId="32882102" w14:textId="77777777" w:rsidR="0001450C" w:rsidRPr="00DE12A3" w:rsidRDefault="0001450C" w:rsidP="00C917D6">
            <w:pPr>
              <w:pStyle w:val="NormalLeft"/>
            </w:pPr>
            <w:r w:rsidRPr="00DE12A3">
              <w:rPr>
                <w:i/>
                <w:iCs/>
              </w:rPr>
              <w:t>c</w:t>
            </w:r>
            <w:r w:rsidRPr="00DE12A3">
              <w:rPr>
                <w:vertAlign w:val="subscript"/>
              </w:rPr>
              <w:t>d</w:t>
            </w:r>
          </w:p>
        </w:tc>
        <w:tc>
          <w:tcPr>
            <w:tcW w:w="535" w:type="dxa"/>
          </w:tcPr>
          <w:p w14:paraId="2B6713D5" w14:textId="77777777" w:rsidR="0001450C" w:rsidRPr="00DE12A3" w:rsidRDefault="0001450C" w:rsidP="00C917D6">
            <w:pPr>
              <w:pStyle w:val="NormalLeft"/>
            </w:pPr>
            <w:r w:rsidRPr="00DE12A3">
              <w:t>=</w:t>
            </w:r>
          </w:p>
        </w:tc>
        <w:tc>
          <w:tcPr>
            <w:tcW w:w="5416" w:type="dxa"/>
          </w:tcPr>
          <w:p w14:paraId="2C709E82" w14:textId="3D8C13CB" w:rsidR="0001450C" w:rsidRPr="00DE12A3" w:rsidRDefault="00906219" w:rsidP="00C917D6">
            <w:pPr>
              <w:spacing w:before="120" w:after="120"/>
              <w:rPr>
                <w:rFonts w:cs="Times New Roman"/>
                <w:color w:val="auto"/>
              </w:rPr>
            </w:pPr>
            <w:r w:rsidRPr="00DE12A3">
              <w:rPr>
                <w:rFonts w:cs="Times New Roman"/>
                <w:color w:val="auto"/>
              </w:rPr>
              <w:t>Kuru</w:t>
            </w:r>
            <w:r w:rsidR="0001450C" w:rsidRPr="00DE12A3">
              <w:rPr>
                <w:rFonts w:cs="Times New Roman"/>
                <w:color w:val="auto"/>
              </w:rPr>
              <w:t xml:space="preserve"> bazda emisyon konsantrasyonu [ppm] veya [% hacim]</w:t>
            </w:r>
          </w:p>
        </w:tc>
      </w:tr>
    </w:tbl>
    <w:p w14:paraId="2AE36ADA" w14:textId="2C5B396E" w:rsidR="002D7B36" w:rsidRPr="00DE12A3" w:rsidRDefault="00242DA0" w:rsidP="00C917D6">
      <w:pPr>
        <w:spacing w:before="120" w:after="120"/>
        <w:ind w:leftChars="467" w:left="1132" w:hanging="11"/>
        <w:jc w:val="both"/>
        <w:rPr>
          <w:rFonts w:cs="Times New Roman"/>
          <w:color w:val="auto"/>
        </w:rPr>
      </w:pPr>
      <w:r w:rsidRPr="00DE12A3">
        <w:rPr>
          <w:rFonts w:cs="Times New Roman"/>
          <w:color w:val="auto"/>
        </w:rPr>
        <w:t xml:space="preserve">Tam yanma için, ham egzoz gazı için kurudan yaşa dönüşüm faktörü kw,a [-] biçiminde yazılır ve (7-4) </w:t>
      </w:r>
      <w:r w:rsidR="005E1C7E" w:rsidRPr="00DE12A3">
        <w:rPr>
          <w:color w:val="auto"/>
        </w:rPr>
        <w:t>numaralı</w:t>
      </w:r>
      <w:r w:rsidRPr="00DE12A3">
        <w:rPr>
          <w:rFonts w:cs="Times New Roman"/>
          <w:color w:val="auto"/>
        </w:rPr>
        <w:t xml:space="preserve"> denklem ile hesaplanır:</w:t>
      </w:r>
    </w:p>
    <w:p w14:paraId="718703BC" w14:textId="77777777" w:rsidR="002D7B36" w:rsidRPr="00DE12A3" w:rsidRDefault="002D7B36" w:rsidP="00C917D6">
      <w:pPr>
        <w:tabs>
          <w:tab w:val="left" w:pos="1970"/>
        </w:tabs>
        <w:spacing w:before="120" w:after="120"/>
        <w:ind w:left="1134" w:hanging="1134"/>
        <w:jc w:val="both"/>
        <w:rPr>
          <w:rFonts w:cs="Times New Roman"/>
          <w:color w:val="auto"/>
        </w:rPr>
      </w:pPr>
    </w:p>
    <w:p w14:paraId="63A73BA1" w14:textId="1FCEE622" w:rsidR="002D7B36" w:rsidRPr="00DE12A3" w:rsidRDefault="00242DA0" w:rsidP="00C917D6">
      <w:pPr>
        <w:spacing w:before="120" w:after="120"/>
        <w:ind w:left="1134" w:hanging="1134"/>
        <w:jc w:val="center"/>
        <w:rPr>
          <w:rFonts w:cs="Times New Roman"/>
          <w:color w:val="auto"/>
        </w:rPr>
      </w:pPr>
      <w:r w:rsidRPr="00DE12A3">
        <w:rPr>
          <w:rFonts w:cs="Times New Roman"/>
          <w:noProof/>
          <w:color w:val="auto"/>
        </w:rPr>
        <w:drawing>
          <wp:inline distT="0" distB="0" distL="114300" distR="114300" wp14:anchorId="5DCC6C21" wp14:editId="6B49C4BA">
            <wp:extent cx="3803015" cy="786130"/>
            <wp:effectExtent l="0" t="0" r="3175" b="2540"/>
            <wp:docPr id="73"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Picture 19"/>
                    <pic:cNvPicPr>
                      <a:picLocks noChangeAspect="1"/>
                    </pic:cNvPicPr>
                  </pic:nvPicPr>
                  <pic:blipFill>
                    <a:blip r:embed="rId63"/>
                    <a:stretch>
                      <a:fillRect/>
                    </a:stretch>
                  </pic:blipFill>
                  <pic:spPr>
                    <a:xfrm>
                      <a:off x="0" y="0"/>
                      <a:ext cx="3803015" cy="786130"/>
                    </a:xfrm>
                    <a:prstGeom prst="rect">
                      <a:avLst/>
                    </a:prstGeom>
                    <a:noFill/>
                    <a:ln>
                      <a:noFill/>
                    </a:ln>
                  </pic:spPr>
                </pic:pic>
              </a:graphicData>
            </a:graphic>
          </wp:inline>
        </w:drawing>
      </w:r>
    </w:p>
    <w:p w14:paraId="19ED7B98" w14:textId="2D2B7C81" w:rsidR="00934008" w:rsidRPr="00DE12A3" w:rsidRDefault="00934008" w:rsidP="00B02387">
      <w:pPr>
        <w:widowControl/>
        <w:spacing w:before="120" w:after="120"/>
        <w:ind w:left="1134"/>
        <w:jc w:val="both"/>
        <w:rPr>
          <w:rFonts w:cs="Times New Roman"/>
          <w:color w:val="auto"/>
        </w:rPr>
      </w:pPr>
      <w:r w:rsidRPr="00DE12A3">
        <w:rPr>
          <w:rFonts w:eastAsia="SimSun" w:cs="Times New Roman"/>
          <w:color w:val="auto"/>
          <w:lang w:eastAsia="zh-CN" w:bidi="ar"/>
        </w:rPr>
        <w:t>B</w:t>
      </w:r>
      <w:r w:rsidR="00242DA0" w:rsidRPr="00DE12A3">
        <w:rPr>
          <w:rFonts w:eastAsia="SimSun" w:cs="Times New Roman"/>
          <w:color w:val="auto"/>
          <w:lang w:eastAsia="zh-CN" w:bidi="ar"/>
        </w:rPr>
        <w:t>urada:</w:t>
      </w:r>
      <w:r w:rsidR="00242DA0" w:rsidRPr="00DE12A3">
        <w:rPr>
          <w:rFonts w:cs="Times New Roman"/>
          <w:color w:val="auto"/>
        </w:rPr>
        <w:t xml:space="preserve">        </w:t>
      </w:r>
    </w:p>
    <w:tbl>
      <w:tblPr>
        <w:tblW w:w="0" w:type="auto"/>
        <w:tblInd w:w="1579" w:type="dxa"/>
        <w:tblLayout w:type="fixed"/>
        <w:tblLook w:val="0000" w:firstRow="0" w:lastRow="0" w:firstColumn="0" w:lastColumn="0" w:noHBand="0" w:noVBand="0"/>
      </w:tblPr>
      <w:tblGrid>
        <w:gridCol w:w="1042"/>
        <w:gridCol w:w="551"/>
        <w:gridCol w:w="4536"/>
      </w:tblGrid>
      <w:tr w:rsidR="00DE12A3" w:rsidRPr="00DE12A3" w14:paraId="1138CA4B" w14:textId="77777777" w:rsidTr="00934008">
        <w:tc>
          <w:tcPr>
            <w:tcW w:w="1042" w:type="dxa"/>
          </w:tcPr>
          <w:p w14:paraId="46AB34DC" w14:textId="77777777" w:rsidR="00934008" w:rsidRPr="00DE12A3" w:rsidRDefault="00934008" w:rsidP="00C917D6">
            <w:pPr>
              <w:pStyle w:val="NormalLeft"/>
            </w:pPr>
            <w:r w:rsidRPr="00DE12A3">
              <w:rPr>
                <w:i/>
                <w:iCs/>
              </w:rPr>
              <w:t>H</w:t>
            </w:r>
            <w:r w:rsidRPr="00DE12A3">
              <w:rPr>
                <w:vertAlign w:val="subscript"/>
              </w:rPr>
              <w:t>a</w:t>
            </w:r>
          </w:p>
        </w:tc>
        <w:tc>
          <w:tcPr>
            <w:tcW w:w="551" w:type="dxa"/>
          </w:tcPr>
          <w:p w14:paraId="3117B011" w14:textId="77777777" w:rsidR="00934008" w:rsidRPr="00DE12A3" w:rsidRDefault="00934008" w:rsidP="00C917D6">
            <w:pPr>
              <w:pStyle w:val="NormalLeft"/>
            </w:pPr>
            <w:r w:rsidRPr="00DE12A3">
              <w:t>=</w:t>
            </w:r>
          </w:p>
        </w:tc>
        <w:tc>
          <w:tcPr>
            <w:tcW w:w="4536" w:type="dxa"/>
          </w:tcPr>
          <w:p w14:paraId="74CA5556" w14:textId="0C797DCD" w:rsidR="00934008" w:rsidRPr="00DE12A3" w:rsidRDefault="00906219" w:rsidP="00C917D6">
            <w:pPr>
              <w:spacing w:before="120" w:after="120"/>
              <w:rPr>
                <w:rFonts w:cs="Times New Roman"/>
                <w:color w:val="auto"/>
              </w:rPr>
            </w:pPr>
            <w:r w:rsidRPr="00DE12A3">
              <w:rPr>
                <w:rFonts w:cs="Times New Roman"/>
                <w:color w:val="auto"/>
              </w:rPr>
              <w:t>Emme</w:t>
            </w:r>
            <w:r w:rsidR="00934008" w:rsidRPr="00DE12A3">
              <w:rPr>
                <w:rFonts w:cs="Times New Roman"/>
                <w:color w:val="auto"/>
              </w:rPr>
              <w:t xml:space="preserve"> havası nemi [g H2O/kg kuru hava]</w:t>
            </w:r>
          </w:p>
        </w:tc>
      </w:tr>
      <w:tr w:rsidR="00DE12A3" w:rsidRPr="00DE12A3" w14:paraId="06447CC2" w14:textId="77777777" w:rsidTr="00934008">
        <w:tc>
          <w:tcPr>
            <w:tcW w:w="1042" w:type="dxa"/>
          </w:tcPr>
          <w:p w14:paraId="4AB55113" w14:textId="77777777" w:rsidR="00934008" w:rsidRPr="00DE12A3" w:rsidRDefault="00934008" w:rsidP="00C917D6">
            <w:pPr>
              <w:pStyle w:val="NormalLeft"/>
            </w:pPr>
            <w:r w:rsidRPr="00DE12A3">
              <w:rPr>
                <w:i/>
                <w:iCs/>
              </w:rPr>
              <w:t>q</w:t>
            </w:r>
            <w:r w:rsidRPr="00DE12A3">
              <w:rPr>
                <w:i/>
                <w:iCs/>
                <w:vertAlign w:val="subscript"/>
              </w:rPr>
              <w:t>m</w:t>
            </w:r>
            <w:r w:rsidRPr="00DE12A3">
              <w:rPr>
                <w:vertAlign w:val="subscript"/>
              </w:rPr>
              <w:t>f,</w:t>
            </w:r>
            <w:r w:rsidRPr="00DE12A3">
              <w:rPr>
                <w:i/>
                <w:iCs/>
                <w:vertAlign w:val="subscript"/>
              </w:rPr>
              <w:t>i</w:t>
            </w:r>
          </w:p>
        </w:tc>
        <w:tc>
          <w:tcPr>
            <w:tcW w:w="551" w:type="dxa"/>
          </w:tcPr>
          <w:p w14:paraId="28F417BA" w14:textId="77777777" w:rsidR="00934008" w:rsidRPr="00DE12A3" w:rsidRDefault="00934008" w:rsidP="00C917D6">
            <w:pPr>
              <w:pStyle w:val="NormalLeft"/>
            </w:pPr>
            <w:r w:rsidRPr="00DE12A3">
              <w:t>=</w:t>
            </w:r>
          </w:p>
        </w:tc>
        <w:tc>
          <w:tcPr>
            <w:tcW w:w="4536" w:type="dxa"/>
          </w:tcPr>
          <w:p w14:paraId="373EFB89" w14:textId="2A79EBFA" w:rsidR="00934008" w:rsidRPr="00DE12A3" w:rsidRDefault="00906219" w:rsidP="00C917D6">
            <w:pPr>
              <w:spacing w:before="120" w:after="120"/>
              <w:rPr>
                <w:rFonts w:cs="Times New Roman"/>
                <w:color w:val="auto"/>
              </w:rPr>
            </w:pPr>
            <w:r w:rsidRPr="00DE12A3">
              <w:rPr>
                <w:rFonts w:cs="Times New Roman"/>
                <w:color w:val="auto"/>
              </w:rPr>
              <w:t>Anlık</w:t>
            </w:r>
            <w:r w:rsidR="00934008" w:rsidRPr="00DE12A3">
              <w:rPr>
                <w:rFonts w:cs="Times New Roman"/>
                <w:color w:val="auto"/>
              </w:rPr>
              <w:t xml:space="preserve"> yakıt akış hızı [kg/s]</w:t>
            </w:r>
          </w:p>
        </w:tc>
      </w:tr>
      <w:tr w:rsidR="00DE12A3" w:rsidRPr="00DE12A3" w14:paraId="797E3145" w14:textId="77777777" w:rsidTr="00934008">
        <w:tc>
          <w:tcPr>
            <w:tcW w:w="1042" w:type="dxa"/>
          </w:tcPr>
          <w:p w14:paraId="0C72C49E" w14:textId="77777777" w:rsidR="00934008" w:rsidRPr="00DE12A3" w:rsidRDefault="00934008" w:rsidP="00C917D6">
            <w:pPr>
              <w:pStyle w:val="NormalLeft"/>
            </w:pPr>
            <w:r w:rsidRPr="00DE12A3">
              <w:rPr>
                <w:i/>
                <w:iCs/>
              </w:rPr>
              <w:t>q</w:t>
            </w:r>
            <w:r w:rsidRPr="00DE12A3">
              <w:rPr>
                <w:i/>
                <w:iCs/>
                <w:vertAlign w:val="subscript"/>
              </w:rPr>
              <w:t>m</w:t>
            </w:r>
            <w:r w:rsidRPr="00DE12A3">
              <w:rPr>
                <w:vertAlign w:val="subscript"/>
              </w:rPr>
              <w:t>ad,</w:t>
            </w:r>
            <w:r w:rsidRPr="00DE12A3">
              <w:rPr>
                <w:i/>
                <w:iCs/>
                <w:vertAlign w:val="subscript"/>
              </w:rPr>
              <w:t>i</w:t>
            </w:r>
          </w:p>
        </w:tc>
        <w:tc>
          <w:tcPr>
            <w:tcW w:w="551" w:type="dxa"/>
          </w:tcPr>
          <w:p w14:paraId="29EDA656" w14:textId="77777777" w:rsidR="00934008" w:rsidRPr="00DE12A3" w:rsidRDefault="00934008" w:rsidP="00C917D6">
            <w:pPr>
              <w:pStyle w:val="NormalLeft"/>
            </w:pPr>
            <w:r w:rsidRPr="00DE12A3">
              <w:t>=</w:t>
            </w:r>
          </w:p>
        </w:tc>
        <w:tc>
          <w:tcPr>
            <w:tcW w:w="4536" w:type="dxa"/>
          </w:tcPr>
          <w:p w14:paraId="1D12E8EB" w14:textId="2566197E" w:rsidR="00934008" w:rsidRPr="00DE12A3" w:rsidRDefault="00906219" w:rsidP="00C917D6">
            <w:pPr>
              <w:spacing w:before="120" w:after="120"/>
              <w:rPr>
                <w:rFonts w:cs="Times New Roman"/>
                <w:color w:val="auto"/>
              </w:rPr>
            </w:pPr>
            <w:r w:rsidRPr="00DE12A3">
              <w:rPr>
                <w:rFonts w:cs="Times New Roman"/>
                <w:color w:val="auto"/>
              </w:rPr>
              <w:t>Anlık</w:t>
            </w:r>
            <w:r w:rsidR="00934008" w:rsidRPr="00DE12A3">
              <w:rPr>
                <w:rFonts w:cs="Times New Roman"/>
                <w:color w:val="auto"/>
              </w:rPr>
              <w:t xml:space="preserve"> kuru emme havası akış hızı [kg/s]</w:t>
            </w:r>
          </w:p>
        </w:tc>
      </w:tr>
      <w:tr w:rsidR="00DE12A3" w:rsidRPr="00DE12A3" w14:paraId="1988BFE0" w14:textId="77777777" w:rsidTr="00934008">
        <w:tc>
          <w:tcPr>
            <w:tcW w:w="1042" w:type="dxa"/>
          </w:tcPr>
          <w:p w14:paraId="79352337" w14:textId="77777777" w:rsidR="00934008" w:rsidRPr="00DE12A3" w:rsidRDefault="00934008" w:rsidP="00C917D6">
            <w:pPr>
              <w:pStyle w:val="NormalLeft"/>
            </w:pPr>
            <w:r w:rsidRPr="00DE12A3">
              <w:rPr>
                <w:i/>
                <w:iCs/>
              </w:rPr>
              <w:t>p</w:t>
            </w:r>
            <w:r w:rsidRPr="00DE12A3">
              <w:rPr>
                <w:vertAlign w:val="subscript"/>
              </w:rPr>
              <w:t>r</w:t>
            </w:r>
          </w:p>
        </w:tc>
        <w:tc>
          <w:tcPr>
            <w:tcW w:w="551" w:type="dxa"/>
          </w:tcPr>
          <w:p w14:paraId="0694FEA1" w14:textId="77777777" w:rsidR="00934008" w:rsidRPr="00DE12A3" w:rsidRDefault="00934008" w:rsidP="00C917D6">
            <w:pPr>
              <w:pStyle w:val="NormalLeft"/>
            </w:pPr>
            <w:r w:rsidRPr="00DE12A3">
              <w:t>=</w:t>
            </w:r>
          </w:p>
        </w:tc>
        <w:tc>
          <w:tcPr>
            <w:tcW w:w="4536" w:type="dxa"/>
          </w:tcPr>
          <w:p w14:paraId="1CF90D87" w14:textId="0B463FAD" w:rsidR="00934008" w:rsidRPr="00DE12A3" w:rsidRDefault="00906219" w:rsidP="00C917D6">
            <w:pPr>
              <w:spacing w:before="120" w:after="120"/>
              <w:rPr>
                <w:rFonts w:cs="Times New Roman"/>
                <w:color w:val="auto"/>
              </w:rPr>
            </w:pPr>
            <w:r w:rsidRPr="00DE12A3">
              <w:rPr>
                <w:rFonts w:cs="Times New Roman"/>
                <w:color w:val="auto"/>
              </w:rPr>
              <w:t>Soğutucu</w:t>
            </w:r>
            <w:r w:rsidR="00934008" w:rsidRPr="00DE12A3">
              <w:rPr>
                <w:rFonts w:cs="Times New Roman"/>
                <w:color w:val="auto"/>
              </w:rPr>
              <w:t xml:space="preserve"> sonrası su basıncı [kPa]</w:t>
            </w:r>
          </w:p>
        </w:tc>
      </w:tr>
      <w:tr w:rsidR="00DE12A3" w:rsidRPr="00DE12A3" w14:paraId="099D0035" w14:textId="77777777" w:rsidTr="00934008">
        <w:tc>
          <w:tcPr>
            <w:tcW w:w="1042" w:type="dxa"/>
          </w:tcPr>
          <w:p w14:paraId="2E35A0F5" w14:textId="77777777" w:rsidR="00934008" w:rsidRPr="00DE12A3" w:rsidRDefault="00934008" w:rsidP="00C917D6">
            <w:pPr>
              <w:pStyle w:val="NormalLeft"/>
            </w:pPr>
            <w:r w:rsidRPr="00DE12A3">
              <w:rPr>
                <w:i/>
                <w:iCs/>
              </w:rPr>
              <w:t>p</w:t>
            </w:r>
            <w:r w:rsidRPr="00DE12A3">
              <w:rPr>
                <w:vertAlign w:val="subscript"/>
              </w:rPr>
              <w:t>b</w:t>
            </w:r>
          </w:p>
        </w:tc>
        <w:tc>
          <w:tcPr>
            <w:tcW w:w="551" w:type="dxa"/>
          </w:tcPr>
          <w:p w14:paraId="5A6CB3C4" w14:textId="77777777" w:rsidR="00934008" w:rsidRPr="00DE12A3" w:rsidRDefault="00934008" w:rsidP="00C917D6">
            <w:pPr>
              <w:pStyle w:val="NormalLeft"/>
            </w:pPr>
            <w:r w:rsidRPr="00DE12A3">
              <w:t>=</w:t>
            </w:r>
          </w:p>
        </w:tc>
        <w:tc>
          <w:tcPr>
            <w:tcW w:w="4536" w:type="dxa"/>
          </w:tcPr>
          <w:p w14:paraId="17393B1A" w14:textId="697DD07D" w:rsidR="00934008" w:rsidRPr="00DE12A3" w:rsidRDefault="00906219" w:rsidP="00C917D6">
            <w:pPr>
              <w:spacing w:before="120" w:after="120"/>
              <w:rPr>
                <w:rFonts w:cs="Times New Roman"/>
                <w:color w:val="auto"/>
              </w:rPr>
            </w:pPr>
            <w:r w:rsidRPr="00DE12A3">
              <w:rPr>
                <w:rFonts w:cs="Times New Roman"/>
                <w:color w:val="auto"/>
              </w:rPr>
              <w:t>Toplam</w:t>
            </w:r>
            <w:r w:rsidR="00934008" w:rsidRPr="00DE12A3">
              <w:rPr>
                <w:rFonts w:cs="Times New Roman"/>
                <w:color w:val="auto"/>
              </w:rPr>
              <w:t xml:space="preserve"> barometrik basınç [kPa]</w:t>
            </w:r>
          </w:p>
        </w:tc>
      </w:tr>
      <w:tr w:rsidR="00DE12A3" w:rsidRPr="00DE12A3" w14:paraId="10811371" w14:textId="77777777" w:rsidTr="00934008">
        <w:tc>
          <w:tcPr>
            <w:tcW w:w="1042" w:type="dxa"/>
          </w:tcPr>
          <w:p w14:paraId="671DA7BA" w14:textId="77777777" w:rsidR="00934008" w:rsidRPr="00DE12A3" w:rsidRDefault="00934008" w:rsidP="00C917D6">
            <w:pPr>
              <w:pStyle w:val="NormalLeft"/>
            </w:pPr>
            <w:r w:rsidRPr="00DE12A3">
              <w:rPr>
                <w:i/>
                <w:iCs/>
              </w:rPr>
              <w:t>w</w:t>
            </w:r>
            <w:r w:rsidRPr="00DE12A3">
              <w:rPr>
                <w:vertAlign w:val="subscript"/>
              </w:rPr>
              <w:t>H</w:t>
            </w:r>
          </w:p>
        </w:tc>
        <w:tc>
          <w:tcPr>
            <w:tcW w:w="551" w:type="dxa"/>
          </w:tcPr>
          <w:p w14:paraId="77B8666E" w14:textId="77777777" w:rsidR="00934008" w:rsidRPr="00DE12A3" w:rsidRDefault="00934008" w:rsidP="00C917D6">
            <w:pPr>
              <w:pStyle w:val="NormalLeft"/>
            </w:pPr>
            <w:r w:rsidRPr="00DE12A3">
              <w:t>=</w:t>
            </w:r>
          </w:p>
        </w:tc>
        <w:tc>
          <w:tcPr>
            <w:tcW w:w="4536" w:type="dxa"/>
          </w:tcPr>
          <w:p w14:paraId="783E7E52" w14:textId="0FBD4F1E" w:rsidR="00934008" w:rsidRPr="00DE12A3" w:rsidRDefault="00906219" w:rsidP="00C917D6">
            <w:pPr>
              <w:spacing w:before="120" w:after="120"/>
              <w:rPr>
                <w:rFonts w:cs="Times New Roman"/>
                <w:color w:val="auto"/>
              </w:rPr>
            </w:pPr>
            <w:r w:rsidRPr="00DE12A3">
              <w:rPr>
                <w:rFonts w:cs="Times New Roman"/>
                <w:color w:val="auto"/>
              </w:rPr>
              <w:t>Yakıtın</w:t>
            </w:r>
            <w:r w:rsidR="00934008" w:rsidRPr="00DE12A3">
              <w:rPr>
                <w:rFonts w:cs="Times New Roman"/>
                <w:color w:val="auto"/>
              </w:rPr>
              <w:t xml:space="preserve"> hidrojen içeriği [% kütle]</w:t>
            </w:r>
          </w:p>
        </w:tc>
      </w:tr>
      <w:tr w:rsidR="00DE12A3" w:rsidRPr="00DE12A3" w14:paraId="0A14923F" w14:textId="77777777" w:rsidTr="00934008">
        <w:tc>
          <w:tcPr>
            <w:tcW w:w="1042" w:type="dxa"/>
          </w:tcPr>
          <w:p w14:paraId="42D38F12" w14:textId="77777777" w:rsidR="00934008" w:rsidRPr="00DE12A3" w:rsidRDefault="00934008" w:rsidP="00C917D6">
            <w:pPr>
              <w:pStyle w:val="NormalLeft"/>
            </w:pPr>
            <w:r w:rsidRPr="00DE12A3">
              <w:rPr>
                <w:i/>
                <w:iCs/>
              </w:rPr>
              <w:t>k</w:t>
            </w:r>
            <w:r w:rsidRPr="00DE12A3">
              <w:rPr>
                <w:vertAlign w:val="subscript"/>
              </w:rPr>
              <w:t>f</w:t>
            </w:r>
          </w:p>
        </w:tc>
        <w:tc>
          <w:tcPr>
            <w:tcW w:w="551" w:type="dxa"/>
          </w:tcPr>
          <w:p w14:paraId="49248825" w14:textId="77777777" w:rsidR="00934008" w:rsidRPr="00DE12A3" w:rsidRDefault="00934008" w:rsidP="00C917D6">
            <w:pPr>
              <w:pStyle w:val="NormalLeft"/>
            </w:pPr>
            <w:r w:rsidRPr="00DE12A3">
              <w:t>=</w:t>
            </w:r>
          </w:p>
        </w:tc>
        <w:tc>
          <w:tcPr>
            <w:tcW w:w="4536" w:type="dxa"/>
          </w:tcPr>
          <w:p w14:paraId="1987CEC8" w14:textId="1037A8F8" w:rsidR="00934008" w:rsidRPr="00DE12A3" w:rsidRDefault="00906219" w:rsidP="00C917D6">
            <w:pPr>
              <w:spacing w:before="120" w:after="120"/>
              <w:rPr>
                <w:rFonts w:cs="Times New Roman"/>
                <w:color w:val="auto"/>
              </w:rPr>
            </w:pPr>
            <w:r w:rsidRPr="00DE12A3">
              <w:rPr>
                <w:rFonts w:cs="Times New Roman"/>
                <w:color w:val="auto"/>
              </w:rPr>
              <w:t>Yanma</w:t>
            </w:r>
            <w:r w:rsidR="00934008" w:rsidRPr="00DE12A3">
              <w:rPr>
                <w:rFonts w:cs="Times New Roman"/>
                <w:color w:val="auto"/>
              </w:rPr>
              <w:t xml:space="preserve"> ilave hacmi [m3/kg yakıt]</w:t>
            </w:r>
          </w:p>
        </w:tc>
      </w:tr>
    </w:tbl>
    <w:p w14:paraId="4282C210" w14:textId="77777777" w:rsidR="002D7B36" w:rsidRPr="00DE12A3" w:rsidRDefault="00242DA0" w:rsidP="00C917D6">
      <w:pPr>
        <w:pStyle w:val="Gvdemetni2511"/>
        <w:shd w:val="clear" w:color="auto" w:fill="auto"/>
        <w:spacing w:before="120" w:after="120" w:line="240" w:lineRule="auto"/>
        <w:ind w:left="1134" w:firstLineChars="250" w:firstLine="607"/>
        <w:rPr>
          <w:color w:val="auto"/>
          <w:sz w:val="24"/>
          <w:szCs w:val="24"/>
        </w:rPr>
      </w:pPr>
      <w:r w:rsidRPr="00DE12A3">
        <w:rPr>
          <w:color w:val="auto"/>
          <w:sz w:val="24"/>
          <w:szCs w:val="24"/>
        </w:rPr>
        <w:t>ve:</w:t>
      </w:r>
    </w:p>
    <w:p w14:paraId="31C31ACA" w14:textId="04F73BF9" w:rsidR="002D7B36" w:rsidRPr="00DE12A3" w:rsidRDefault="00242DA0" w:rsidP="00C917D6">
      <w:pPr>
        <w:tabs>
          <w:tab w:val="left" w:pos="1970"/>
        </w:tabs>
        <w:spacing w:before="120" w:after="120"/>
        <w:ind w:left="1134" w:hanging="1134"/>
        <w:jc w:val="center"/>
        <w:rPr>
          <w:rFonts w:cs="Times New Roman"/>
          <w:color w:val="auto"/>
        </w:rPr>
      </w:pPr>
      <w:r w:rsidRPr="00DE12A3">
        <w:rPr>
          <w:rFonts w:cs="Times New Roman"/>
          <w:noProof/>
          <w:color w:val="auto"/>
        </w:rPr>
        <w:drawing>
          <wp:inline distT="0" distB="0" distL="114300" distR="114300" wp14:anchorId="3D6BFA5F" wp14:editId="499113A5">
            <wp:extent cx="3943350" cy="342900"/>
            <wp:effectExtent l="0" t="0" r="0" b="0"/>
            <wp:docPr id="66"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Picture 12"/>
                    <pic:cNvPicPr>
                      <a:picLocks noChangeAspect="1"/>
                    </pic:cNvPicPr>
                  </pic:nvPicPr>
                  <pic:blipFill>
                    <a:blip r:embed="rId64"/>
                    <a:stretch>
                      <a:fillRect/>
                    </a:stretch>
                  </pic:blipFill>
                  <pic:spPr>
                    <a:xfrm>
                      <a:off x="0" y="0"/>
                      <a:ext cx="3943350" cy="342900"/>
                    </a:xfrm>
                    <a:prstGeom prst="rect">
                      <a:avLst/>
                    </a:prstGeom>
                    <a:noFill/>
                    <a:ln>
                      <a:noFill/>
                    </a:ln>
                  </pic:spPr>
                </pic:pic>
              </a:graphicData>
            </a:graphic>
          </wp:inline>
        </w:drawing>
      </w:r>
    </w:p>
    <w:p w14:paraId="24E7975E" w14:textId="77777777" w:rsidR="002D7B36" w:rsidRPr="00DE12A3" w:rsidRDefault="00934008" w:rsidP="00C917D6">
      <w:pPr>
        <w:pStyle w:val="Gvdemetni2511"/>
        <w:shd w:val="clear" w:color="auto" w:fill="auto"/>
        <w:spacing w:before="120" w:after="120" w:line="240" w:lineRule="auto"/>
        <w:ind w:left="1134" w:firstLine="0"/>
        <w:rPr>
          <w:color w:val="auto"/>
          <w:sz w:val="24"/>
          <w:szCs w:val="24"/>
        </w:rPr>
      </w:pPr>
      <w:r w:rsidRPr="00DE12A3">
        <w:rPr>
          <w:color w:val="auto"/>
          <w:sz w:val="24"/>
          <w:szCs w:val="24"/>
        </w:rPr>
        <w:t>B</w:t>
      </w:r>
      <w:r w:rsidR="00242DA0" w:rsidRPr="00DE12A3">
        <w:rPr>
          <w:color w:val="auto"/>
          <w:sz w:val="24"/>
          <w:szCs w:val="24"/>
        </w:rPr>
        <w:t>urada:</w:t>
      </w:r>
    </w:p>
    <w:p w14:paraId="63A6BEC6" w14:textId="77777777" w:rsidR="002D7B36" w:rsidRPr="00DE12A3" w:rsidRDefault="00242DA0" w:rsidP="00C917D6">
      <w:pPr>
        <w:pStyle w:val="Gvdemetni2511"/>
        <w:shd w:val="clear" w:color="auto" w:fill="auto"/>
        <w:spacing w:before="120" w:after="120" w:line="240" w:lineRule="auto"/>
        <w:ind w:left="1134" w:firstLine="0"/>
        <w:rPr>
          <w:color w:val="auto"/>
          <w:sz w:val="24"/>
          <w:szCs w:val="24"/>
        </w:rPr>
      </w:pPr>
      <w:r w:rsidRPr="00DE12A3">
        <w:rPr>
          <w:rStyle w:val="Gvdemetni254pttalik0ptbolukbraklyor30"/>
          <w:color w:val="auto"/>
          <w:sz w:val="24"/>
          <w:szCs w:val="24"/>
        </w:rPr>
        <w:t>w</w:t>
      </w:r>
      <w:r w:rsidRPr="00DE12A3">
        <w:rPr>
          <w:rStyle w:val="Gvdemetni254pttalik0ptbolukbraklyor30"/>
          <w:color w:val="auto"/>
          <w:sz w:val="24"/>
          <w:szCs w:val="24"/>
          <w:vertAlign w:val="subscript"/>
        </w:rPr>
        <w:t>H</w:t>
      </w:r>
      <w:r w:rsidRPr="00DE12A3">
        <w:rPr>
          <w:color w:val="auto"/>
          <w:sz w:val="24"/>
          <w:szCs w:val="24"/>
        </w:rPr>
        <w:t xml:space="preserve"> = yakıtın hidrojen içeriği [% kütle]</w:t>
      </w:r>
    </w:p>
    <w:p w14:paraId="0EF192AA" w14:textId="77777777" w:rsidR="002D7B36" w:rsidRPr="00DE12A3" w:rsidRDefault="00242DA0" w:rsidP="00C917D6">
      <w:pPr>
        <w:pStyle w:val="Gvdemetni2511"/>
        <w:shd w:val="clear" w:color="auto" w:fill="auto"/>
        <w:spacing w:before="120" w:after="120" w:line="240" w:lineRule="auto"/>
        <w:ind w:left="1134" w:firstLine="0"/>
        <w:rPr>
          <w:color w:val="auto"/>
          <w:sz w:val="24"/>
          <w:szCs w:val="24"/>
        </w:rPr>
      </w:pPr>
      <w:r w:rsidRPr="00DE12A3">
        <w:rPr>
          <w:color w:val="auto"/>
          <w:sz w:val="24"/>
          <w:szCs w:val="24"/>
        </w:rPr>
        <w:t>w</w:t>
      </w:r>
      <w:r w:rsidRPr="00DE12A3">
        <w:rPr>
          <w:color w:val="auto"/>
          <w:sz w:val="24"/>
          <w:szCs w:val="24"/>
          <w:vertAlign w:val="subscript"/>
        </w:rPr>
        <w:t>N</w:t>
      </w:r>
      <w:r w:rsidRPr="00DE12A3">
        <w:rPr>
          <w:color w:val="auto"/>
          <w:sz w:val="24"/>
          <w:szCs w:val="24"/>
        </w:rPr>
        <w:t xml:space="preserve"> = yakıtın azot içeriği [% kütle]</w:t>
      </w:r>
    </w:p>
    <w:p w14:paraId="64944A57" w14:textId="77777777" w:rsidR="002D7B36" w:rsidRPr="00DE12A3" w:rsidRDefault="00242DA0" w:rsidP="00C917D6">
      <w:pPr>
        <w:pStyle w:val="Gvdemetni2511"/>
        <w:shd w:val="clear" w:color="auto" w:fill="auto"/>
        <w:spacing w:before="120" w:after="120" w:line="240" w:lineRule="auto"/>
        <w:ind w:left="1134" w:firstLine="0"/>
        <w:rPr>
          <w:color w:val="auto"/>
          <w:sz w:val="24"/>
          <w:szCs w:val="24"/>
        </w:rPr>
      </w:pPr>
      <w:r w:rsidRPr="00DE12A3">
        <w:rPr>
          <w:rStyle w:val="Gvdemetni254pttalik0ptbolukbraklyor30"/>
          <w:color w:val="auto"/>
          <w:sz w:val="24"/>
          <w:szCs w:val="24"/>
        </w:rPr>
        <w:t>w</w:t>
      </w:r>
      <w:r w:rsidRPr="00DE12A3">
        <w:rPr>
          <w:rStyle w:val="Gvdemetni254pttalik0ptbolukbraklyor30"/>
          <w:color w:val="auto"/>
          <w:sz w:val="24"/>
          <w:szCs w:val="24"/>
          <w:vertAlign w:val="subscript"/>
        </w:rPr>
        <w:t>O</w:t>
      </w:r>
      <w:r w:rsidRPr="00DE12A3">
        <w:rPr>
          <w:color w:val="auto"/>
          <w:sz w:val="24"/>
          <w:szCs w:val="24"/>
        </w:rPr>
        <w:t xml:space="preserve"> = yakıtın oksijen içeriği [% kütle]</w:t>
      </w:r>
    </w:p>
    <w:p w14:paraId="27F4C97E" w14:textId="42B6FCF0" w:rsidR="002D7B36" w:rsidRPr="00DE12A3" w:rsidRDefault="00242DA0" w:rsidP="00C917D6">
      <w:pPr>
        <w:pStyle w:val="Gvdemetni2511"/>
        <w:shd w:val="clear" w:color="auto" w:fill="auto"/>
        <w:spacing w:before="120" w:after="120" w:line="240" w:lineRule="auto"/>
        <w:ind w:left="1134" w:firstLine="0"/>
        <w:rPr>
          <w:color w:val="auto"/>
          <w:sz w:val="24"/>
          <w:szCs w:val="24"/>
        </w:rPr>
      </w:pPr>
      <w:r w:rsidRPr="00DE12A3">
        <w:rPr>
          <w:color w:val="auto"/>
          <w:sz w:val="24"/>
          <w:szCs w:val="24"/>
        </w:rPr>
        <w:t xml:space="preserve">(7-4) </w:t>
      </w:r>
      <w:r w:rsidR="005E1C7E" w:rsidRPr="00DE12A3">
        <w:rPr>
          <w:color w:val="auto"/>
          <w:sz w:val="24"/>
          <w:szCs w:val="24"/>
        </w:rPr>
        <w:t>numaralı</w:t>
      </w:r>
      <w:r w:rsidRPr="00DE12A3">
        <w:rPr>
          <w:color w:val="auto"/>
          <w:sz w:val="24"/>
          <w:szCs w:val="24"/>
        </w:rPr>
        <w:t xml:space="preserve"> denklemde </w:t>
      </w:r>
      <w:r w:rsidRPr="00DE12A3">
        <w:rPr>
          <w:i/>
          <w:iCs/>
          <w:color w:val="auto"/>
          <w:sz w:val="24"/>
          <w:szCs w:val="24"/>
        </w:rPr>
        <w:t>p</w:t>
      </w:r>
      <w:r w:rsidRPr="00DE12A3">
        <w:rPr>
          <w:color w:val="auto"/>
          <w:sz w:val="24"/>
          <w:szCs w:val="24"/>
          <w:vertAlign w:val="subscript"/>
        </w:rPr>
        <w:t>r</w:t>
      </w:r>
      <w:r w:rsidRPr="00DE12A3">
        <w:rPr>
          <w:color w:val="auto"/>
          <w:sz w:val="24"/>
          <w:szCs w:val="24"/>
        </w:rPr>
        <w:t>/</w:t>
      </w:r>
      <w:r w:rsidRPr="00DE12A3">
        <w:rPr>
          <w:i/>
          <w:iCs/>
          <w:color w:val="auto"/>
          <w:sz w:val="24"/>
          <w:szCs w:val="24"/>
        </w:rPr>
        <w:t>p</w:t>
      </w:r>
      <w:r w:rsidRPr="00DE12A3">
        <w:rPr>
          <w:color w:val="auto"/>
          <w:sz w:val="24"/>
          <w:szCs w:val="24"/>
          <w:vertAlign w:val="subscript"/>
        </w:rPr>
        <w:t>b</w:t>
      </w:r>
      <w:r w:rsidRPr="00DE12A3">
        <w:rPr>
          <w:color w:val="auto"/>
          <w:sz w:val="24"/>
          <w:szCs w:val="24"/>
        </w:rPr>
        <w:t xml:space="preserve"> oranı aşağıdaki gibi varsayılabilir:</w:t>
      </w:r>
    </w:p>
    <w:p w14:paraId="74E2B119" w14:textId="77777777" w:rsidR="002D7B36" w:rsidRPr="00DE12A3" w:rsidRDefault="002D7B36" w:rsidP="00C917D6">
      <w:pPr>
        <w:tabs>
          <w:tab w:val="left" w:pos="1970"/>
        </w:tabs>
        <w:spacing w:before="120" w:after="120"/>
        <w:ind w:left="1134" w:hanging="1134"/>
        <w:jc w:val="both"/>
        <w:rPr>
          <w:rFonts w:cs="Times New Roman"/>
          <w:color w:val="auto"/>
          <w:lang w:eastAsia="en-US"/>
        </w:rPr>
      </w:pPr>
    </w:p>
    <w:p w14:paraId="37B1137A" w14:textId="0E5FCE21" w:rsidR="002D7B36" w:rsidRPr="00DE12A3" w:rsidRDefault="00242DA0" w:rsidP="00C917D6">
      <w:pPr>
        <w:tabs>
          <w:tab w:val="left" w:pos="1970"/>
        </w:tabs>
        <w:spacing w:before="120" w:after="120"/>
        <w:ind w:left="1134" w:hanging="1134"/>
        <w:jc w:val="center"/>
        <w:rPr>
          <w:rFonts w:cs="Times New Roman"/>
          <w:color w:val="auto"/>
        </w:rPr>
      </w:pPr>
      <w:r w:rsidRPr="00DE12A3">
        <w:rPr>
          <w:rFonts w:cs="Times New Roman"/>
          <w:noProof/>
          <w:color w:val="auto"/>
        </w:rPr>
        <w:drawing>
          <wp:inline distT="0" distB="0" distL="114300" distR="114300" wp14:anchorId="72774061" wp14:editId="762FE1F5">
            <wp:extent cx="4136390" cy="461645"/>
            <wp:effectExtent l="0" t="0" r="12700" b="1270"/>
            <wp:docPr id="74"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Picture 20"/>
                    <pic:cNvPicPr>
                      <a:picLocks noChangeAspect="1"/>
                    </pic:cNvPicPr>
                  </pic:nvPicPr>
                  <pic:blipFill>
                    <a:blip r:embed="rId65"/>
                    <a:stretch>
                      <a:fillRect/>
                    </a:stretch>
                  </pic:blipFill>
                  <pic:spPr>
                    <a:xfrm>
                      <a:off x="0" y="0"/>
                      <a:ext cx="4136390" cy="461645"/>
                    </a:xfrm>
                    <a:prstGeom prst="rect">
                      <a:avLst/>
                    </a:prstGeom>
                    <a:noFill/>
                    <a:ln>
                      <a:noFill/>
                    </a:ln>
                  </pic:spPr>
                </pic:pic>
              </a:graphicData>
            </a:graphic>
          </wp:inline>
        </w:drawing>
      </w:r>
    </w:p>
    <w:p w14:paraId="1F4511DA" w14:textId="77777777" w:rsidR="002D7B36" w:rsidRPr="00DE12A3" w:rsidRDefault="002D7B36" w:rsidP="00C917D6">
      <w:pPr>
        <w:tabs>
          <w:tab w:val="left" w:pos="1970"/>
        </w:tabs>
        <w:spacing w:before="120" w:after="120"/>
        <w:ind w:left="1134" w:hanging="1134"/>
        <w:jc w:val="both"/>
        <w:rPr>
          <w:rFonts w:cs="Times New Roman"/>
          <w:color w:val="auto"/>
        </w:rPr>
      </w:pPr>
    </w:p>
    <w:p w14:paraId="37CAAC91" w14:textId="77777777" w:rsidR="002D7B36" w:rsidRPr="00DE12A3" w:rsidRDefault="00934008" w:rsidP="00C917D6">
      <w:pPr>
        <w:pStyle w:val="Gvdemetni2511"/>
        <w:shd w:val="clear" w:color="auto" w:fill="auto"/>
        <w:spacing w:before="120" w:after="120" w:line="240" w:lineRule="auto"/>
        <w:ind w:left="1134" w:hanging="1134"/>
        <w:rPr>
          <w:color w:val="auto"/>
          <w:sz w:val="24"/>
          <w:szCs w:val="24"/>
        </w:rPr>
      </w:pPr>
      <w:r w:rsidRPr="00DE12A3">
        <w:rPr>
          <w:color w:val="auto"/>
          <w:sz w:val="24"/>
          <w:szCs w:val="24"/>
        </w:rPr>
        <w:t xml:space="preserve">                  </w:t>
      </w:r>
      <w:r w:rsidR="00242DA0" w:rsidRPr="00DE12A3">
        <w:rPr>
          <w:color w:val="auto"/>
          <w:sz w:val="24"/>
          <w:szCs w:val="24"/>
        </w:rPr>
        <w:t>Eksik yanma için (zengin yakıt hava karışımları) ve aynı zamanda doğrudan hava akış ölçümü olmayan emisyon testleri için, ikinci bir kw,a hesaplama yöntemi tercih edilir:</w:t>
      </w:r>
    </w:p>
    <w:p w14:paraId="754AFE61" w14:textId="77777777" w:rsidR="002D7B36" w:rsidRPr="00DE12A3" w:rsidRDefault="002D7B36" w:rsidP="00C917D6">
      <w:pPr>
        <w:tabs>
          <w:tab w:val="left" w:pos="1970"/>
        </w:tabs>
        <w:spacing w:before="120" w:after="120"/>
        <w:ind w:left="1134" w:hanging="1134"/>
        <w:jc w:val="both"/>
        <w:rPr>
          <w:rFonts w:cs="Times New Roman"/>
          <w:color w:val="auto"/>
          <w:lang w:eastAsia="en-US"/>
        </w:rPr>
      </w:pPr>
    </w:p>
    <w:p w14:paraId="590DC8EC" w14:textId="7CFD0C5E" w:rsidR="002D7B36" w:rsidRPr="00DE12A3" w:rsidRDefault="00242DA0" w:rsidP="00C917D6">
      <w:pPr>
        <w:tabs>
          <w:tab w:val="left" w:pos="1970"/>
        </w:tabs>
        <w:spacing w:before="120" w:after="120"/>
        <w:ind w:left="1134" w:hanging="1134"/>
        <w:jc w:val="center"/>
        <w:rPr>
          <w:rFonts w:cs="Times New Roman"/>
          <w:color w:val="auto"/>
          <w:lang w:eastAsia="en-US"/>
        </w:rPr>
      </w:pPr>
      <w:r w:rsidRPr="00DE12A3">
        <w:rPr>
          <w:rFonts w:cs="Times New Roman"/>
          <w:noProof/>
          <w:color w:val="auto"/>
        </w:rPr>
        <w:lastRenderedPageBreak/>
        <w:drawing>
          <wp:inline distT="0" distB="0" distL="114300" distR="114300" wp14:anchorId="32C357E8" wp14:editId="25FC5C28">
            <wp:extent cx="4110355" cy="512445"/>
            <wp:effectExtent l="0" t="0" r="4445" b="1905"/>
            <wp:docPr id="75"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Picture 21"/>
                    <pic:cNvPicPr>
                      <a:picLocks noChangeAspect="1"/>
                    </pic:cNvPicPr>
                  </pic:nvPicPr>
                  <pic:blipFill>
                    <a:blip r:embed="rId66"/>
                    <a:stretch>
                      <a:fillRect/>
                    </a:stretch>
                  </pic:blipFill>
                  <pic:spPr>
                    <a:xfrm>
                      <a:off x="0" y="0"/>
                      <a:ext cx="4110355" cy="512445"/>
                    </a:xfrm>
                    <a:prstGeom prst="rect">
                      <a:avLst/>
                    </a:prstGeom>
                    <a:noFill/>
                    <a:ln>
                      <a:noFill/>
                    </a:ln>
                  </pic:spPr>
                </pic:pic>
              </a:graphicData>
            </a:graphic>
          </wp:inline>
        </w:drawing>
      </w:r>
    </w:p>
    <w:p w14:paraId="7433DD1B" w14:textId="018CB799" w:rsidR="002D7B36" w:rsidRPr="00DE12A3" w:rsidRDefault="00242DA0" w:rsidP="00F466F2">
      <w:pPr>
        <w:tabs>
          <w:tab w:val="left" w:pos="1970"/>
        </w:tabs>
        <w:spacing w:before="120" w:after="120"/>
        <w:ind w:left="1134" w:hanging="1134"/>
        <w:jc w:val="both"/>
        <w:rPr>
          <w:color w:val="auto"/>
        </w:rPr>
      </w:pPr>
      <w:r w:rsidRPr="00DE12A3">
        <w:rPr>
          <w:rFonts w:cs="Times New Roman"/>
          <w:color w:val="auto"/>
          <w:lang w:eastAsia="en-US"/>
        </w:rPr>
        <w:t xml:space="preserve">   </w:t>
      </w:r>
      <w:r w:rsidR="00F466F2" w:rsidRPr="00DE12A3">
        <w:rPr>
          <w:rFonts w:cs="Times New Roman"/>
          <w:color w:val="auto"/>
          <w:lang w:eastAsia="en-US"/>
        </w:rPr>
        <w:t xml:space="preserve">             </w:t>
      </w:r>
      <w:r w:rsidRPr="00DE12A3">
        <w:rPr>
          <w:rFonts w:cs="Times New Roman"/>
          <w:color w:val="auto"/>
          <w:lang w:eastAsia="en-US"/>
        </w:rPr>
        <w:t xml:space="preserve">  </w:t>
      </w:r>
      <w:r w:rsidR="00934008" w:rsidRPr="00DE12A3">
        <w:rPr>
          <w:color w:val="auto"/>
        </w:rPr>
        <w:t>B</w:t>
      </w:r>
      <w:r w:rsidRPr="00DE12A3">
        <w:rPr>
          <w:color w:val="auto"/>
        </w:rPr>
        <w:t>urada:</w:t>
      </w:r>
    </w:p>
    <w:p w14:paraId="04B64F2C" w14:textId="77777777" w:rsidR="002D7B36" w:rsidRPr="00DE12A3" w:rsidRDefault="00242DA0" w:rsidP="00C917D6">
      <w:pPr>
        <w:pStyle w:val="Gvdemetni2511"/>
        <w:shd w:val="clear" w:color="auto" w:fill="auto"/>
        <w:spacing w:before="120" w:after="120" w:line="240" w:lineRule="auto"/>
        <w:ind w:left="1134" w:firstLine="0"/>
        <w:rPr>
          <w:color w:val="auto"/>
          <w:sz w:val="24"/>
          <w:szCs w:val="24"/>
        </w:rPr>
      </w:pPr>
      <w:r w:rsidRPr="00DE12A3">
        <w:rPr>
          <w:color w:val="auto"/>
          <w:sz w:val="24"/>
          <w:szCs w:val="24"/>
          <w:vertAlign w:val="superscript"/>
        </w:rPr>
        <w:t>c</w:t>
      </w:r>
      <w:r w:rsidRPr="00DE12A3">
        <w:rPr>
          <w:rStyle w:val="Gvdemetni2555pt"/>
          <w:rFonts w:eastAsia="Consolas"/>
          <w:color w:val="auto"/>
          <w:sz w:val="24"/>
          <w:szCs w:val="24"/>
          <w:vertAlign w:val="subscript"/>
        </w:rPr>
        <w:t>CO2</w:t>
      </w:r>
      <w:r w:rsidRPr="00DE12A3">
        <w:rPr>
          <w:color w:val="auto"/>
          <w:sz w:val="24"/>
          <w:szCs w:val="24"/>
        </w:rPr>
        <w:t xml:space="preserve"> =</w:t>
      </w:r>
      <w:r w:rsidRPr="00DE12A3">
        <w:rPr>
          <w:color w:val="auto"/>
          <w:sz w:val="24"/>
          <w:szCs w:val="24"/>
        </w:rPr>
        <w:tab/>
        <w:t>ham egzoz gazı içindeki CO</w:t>
      </w:r>
      <w:r w:rsidRPr="00DE12A3">
        <w:rPr>
          <w:color w:val="auto"/>
          <w:sz w:val="24"/>
          <w:szCs w:val="24"/>
          <w:vertAlign w:val="subscript"/>
        </w:rPr>
        <w:t>2</w:t>
      </w:r>
      <w:r w:rsidRPr="00DE12A3">
        <w:rPr>
          <w:color w:val="auto"/>
          <w:sz w:val="24"/>
          <w:szCs w:val="24"/>
        </w:rPr>
        <w:t xml:space="preserve"> konsantrasyonu, kuru bazda [yüzde hacim]</w:t>
      </w:r>
    </w:p>
    <w:p w14:paraId="6107FB76" w14:textId="77777777" w:rsidR="002D7B36" w:rsidRPr="00DE12A3" w:rsidRDefault="00242DA0" w:rsidP="00C917D6">
      <w:pPr>
        <w:pStyle w:val="Gvdemetni2511"/>
        <w:shd w:val="clear" w:color="auto" w:fill="auto"/>
        <w:spacing w:before="120" w:after="120" w:line="240" w:lineRule="auto"/>
        <w:ind w:left="1134" w:firstLine="0"/>
        <w:rPr>
          <w:color w:val="auto"/>
          <w:sz w:val="24"/>
          <w:szCs w:val="24"/>
        </w:rPr>
      </w:pPr>
      <w:r w:rsidRPr="00DE12A3">
        <w:rPr>
          <w:color w:val="auto"/>
          <w:sz w:val="24"/>
          <w:szCs w:val="24"/>
        </w:rPr>
        <w:t>c</w:t>
      </w:r>
      <w:r w:rsidRPr="00DE12A3">
        <w:rPr>
          <w:color w:val="auto"/>
          <w:sz w:val="24"/>
          <w:szCs w:val="24"/>
          <w:vertAlign w:val="subscript"/>
        </w:rPr>
        <w:t>CO</w:t>
      </w:r>
      <w:r w:rsidRPr="00DE12A3">
        <w:rPr>
          <w:color w:val="auto"/>
          <w:sz w:val="24"/>
          <w:szCs w:val="24"/>
        </w:rPr>
        <w:t xml:space="preserve"> =</w:t>
      </w:r>
      <w:r w:rsidRPr="00DE12A3">
        <w:rPr>
          <w:color w:val="auto"/>
          <w:sz w:val="24"/>
          <w:szCs w:val="24"/>
        </w:rPr>
        <w:tab/>
        <w:t>ham egzoz gazı içindeki CO konsantrasyonu, kuru bazda [ppm]</w:t>
      </w:r>
    </w:p>
    <w:p w14:paraId="0A46CBB7" w14:textId="77777777" w:rsidR="002D7B36" w:rsidRPr="00DE12A3" w:rsidRDefault="00242DA0" w:rsidP="00C917D6">
      <w:pPr>
        <w:pStyle w:val="Gvdemetni2511"/>
        <w:shd w:val="clear" w:color="auto" w:fill="auto"/>
        <w:tabs>
          <w:tab w:val="right" w:pos="1328"/>
          <w:tab w:val="left" w:pos="1367"/>
        </w:tabs>
        <w:spacing w:before="120" w:after="120" w:line="240" w:lineRule="auto"/>
        <w:ind w:left="1134" w:firstLine="0"/>
        <w:rPr>
          <w:color w:val="auto"/>
          <w:sz w:val="24"/>
          <w:szCs w:val="24"/>
        </w:rPr>
      </w:pPr>
      <w:r w:rsidRPr="00DE12A3">
        <w:rPr>
          <w:i/>
          <w:iCs/>
          <w:color w:val="auto"/>
          <w:sz w:val="24"/>
          <w:szCs w:val="24"/>
        </w:rPr>
        <w:t>p</w:t>
      </w:r>
      <w:r w:rsidRPr="00DE12A3">
        <w:rPr>
          <w:color w:val="auto"/>
          <w:sz w:val="24"/>
          <w:szCs w:val="24"/>
          <w:vertAlign w:val="subscript"/>
        </w:rPr>
        <w:t>r</w:t>
      </w:r>
      <w:r w:rsidRPr="00DE12A3">
        <w:rPr>
          <w:color w:val="auto"/>
          <w:sz w:val="24"/>
          <w:szCs w:val="24"/>
        </w:rPr>
        <w:tab/>
        <w:t>=</w:t>
      </w:r>
      <w:r w:rsidRPr="00DE12A3">
        <w:rPr>
          <w:color w:val="auto"/>
          <w:sz w:val="24"/>
          <w:szCs w:val="24"/>
        </w:rPr>
        <w:tab/>
        <w:t>soğutucu sonrası su basıncı [kPa]</w:t>
      </w:r>
    </w:p>
    <w:p w14:paraId="5901E9E5" w14:textId="77777777" w:rsidR="002D7B36" w:rsidRPr="00DE12A3" w:rsidRDefault="00242DA0" w:rsidP="00C917D6">
      <w:pPr>
        <w:pStyle w:val="Gvdemetni2511"/>
        <w:shd w:val="clear" w:color="auto" w:fill="auto"/>
        <w:tabs>
          <w:tab w:val="right" w:pos="1328"/>
          <w:tab w:val="left" w:pos="1367"/>
        </w:tabs>
        <w:spacing w:before="120" w:after="120" w:line="240" w:lineRule="auto"/>
        <w:ind w:left="1134" w:firstLine="0"/>
        <w:rPr>
          <w:color w:val="auto"/>
          <w:sz w:val="24"/>
          <w:szCs w:val="24"/>
        </w:rPr>
      </w:pPr>
      <w:r w:rsidRPr="00DE12A3">
        <w:rPr>
          <w:i/>
          <w:iCs/>
          <w:color w:val="auto"/>
          <w:sz w:val="24"/>
          <w:szCs w:val="24"/>
        </w:rPr>
        <w:t>p</w:t>
      </w:r>
      <w:r w:rsidRPr="00DE12A3">
        <w:rPr>
          <w:color w:val="auto"/>
          <w:sz w:val="24"/>
          <w:szCs w:val="24"/>
          <w:vertAlign w:val="subscript"/>
        </w:rPr>
        <w:t>b</w:t>
      </w:r>
      <w:r w:rsidRPr="00DE12A3">
        <w:rPr>
          <w:color w:val="auto"/>
          <w:sz w:val="24"/>
          <w:szCs w:val="24"/>
        </w:rPr>
        <w:tab/>
        <w:t>=</w:t>
      </w:r>
      <w:r w:rsidRPr="00DE12A3">
        <w:rPr>
          <w:color w:val="auto"/>
          <w:sz w:val="24"/>
          <w:szCs w:val="24"/>
        </w:rPr>
        <w:tab/>
        <w:t>toplam barometrik basınç [kPa]</w:t>
      </w:r>
    </w:p>
    <w:p w14:paraId="3976DBCB" w14:textId="77777777" w:rsidR="002D7B36" w:rsidRPr="00DE12A3" w:rsidRDefault="00242DA0" w:rsidP="00C917D6">
      <w:pPr>
        <w:pStyle w:val="Gvdemetni2511"/>
        <w:shd w:val="clear" w:color="auto" w:fill="auto"/>
        <w:tabs>
          <w:tab w:val="right" w:pos="1328"/>
          <w:tab w:val="left" w:pos="1367"/>
          <w:tab w:val="right" w:pos="3833"/>
        </w:tabs>
        <w:spacing w:before="120" w:after="120" w:line="240" w:lineRule="auto"/>
        <w:ind w:left="1134" w:firstLine="0"/>
        <w:rPr>
          <w:color w:val="auto"/>
          <w:sz w:val="24"/>
          <w:szCs w:val="24"/>
        </w:rPr>
      </w:pPr>
      <w:r w:rsidRPr="00DE12A3">
        <w:rPr>
          <w:rStyle w:val="Gvdemetni254pttalik0ptbolukbraklyor30"/>
          <w:color w:val="auto"/>
          <w:sz w:val="24"/>
          <w:szCs w:val="24"/>
        </w:rPr>
        <w:t>α</w:t>
      </w:r>
      <w:r w:rsidRPr="00DE12A3">
        <w:rPr>
          <w:color w:val="auto"/>
          <w:sz w:val="24"/>
          <w:szCs w:val="24"/>
        </w:rPr>
        <w:tab/>
        <w:t>=</w:t>
      </w:r>
      <w:r w:rsidRPr="00DE12A3">
        <w:rPr>
          <w:color w:val="auto"/>
          <w:sz w:val="24"/>
          <w:szCs w:val="24"/>
        </w:rPr>
        <w:tab/>
        <w:t>mol-karbon hidrojen oranı [-]</w:t>
      </w:r>
    </w:p>
    <w:p w14:paraId="1FDAE047" w14:textId="77777777" w:rsidR="002D7B36" w:rsidRPr="00DE12A3" w:rsidRDefault="00242DA0" w:rsidP="00C917D6">
      <w:pPr>
        <w:pStyle w:val="Gvdemetni2511"/>
        <w:shd w:val="clear" w:color="auto" w:fill="auto"/>
        <w:tabs>
          <w:tab w:val="right" w:pos="1328"/>
          <w:tab w:val="left" w:pos="1367"/>
        </w:tabs>
        <w:spacing w:before="120" w:after="120" w:line="240" w:lineRule="auto"/>
        <w:ind w:left="1134" w:firstLine="0"/>
        <w:rPr>
          <w:color w:val="auto"/>
          <w:sz w:val="24"/>
          <w:szCs w:val="24"/>
        </w:rPr>
      </w:pPr>
      <w:r w:rsidRPr="00DE12A3">
        <w:rPr>
          <w:i/>
          <w:iCs/>
          <w:color w:val="auto"/>
          <w:sz w:val="24"/>
          <w:szCs w:val="24"/>
        </w:rPr>
        <w:t>k</w:t>
      </w:r>
      <w:r w:rsidRPr="00DE12A3">
        <w:rPr>
          <w:color w:val="auto"/>
          <w:sz w:val="24"/>
          <w:szCs w:val="24"/>
          <w:vertAlign w:val="subscript"/>
        </w:rPr>
        <w:t>w1</w:t>
      </w:r>
      <w:r w:rsidRPr="00DE12A3">
        <w:rPr>
          <w:color w:val="auto"/>
          <w:sz w:val="24"/>
          <w:szCs w:val="24"/>
        </w:rPr>
        <w:tab/>
        <w:t>=</w:t>
      </w:r>
      <w:r w:rsidRPr="00DE12A3">
        <w:rPr>
          <w:color w:val="auto"/>
          <w:sz w:val="24"/>
          <w:szCs w:val="24"/>
        </w:rPr>
        <w:tab/>
        <w:t>emme havası nemi [-]</w:t>
      </w:r>
    </w:p>
    <w:p w14:paraId="2ADABBFE" w14:textId="7C89FDE0" w:rsidR="002D7B36" w:rsidRPr="00DE12A3" w:rsidRDefault="00242DA0" w:rsidP="00C917D6">
      <w:pPr>
        <w:tabs>
          <w:tab w:val="left" w:pos="1970"/>
        </w:tabs>
        <w:spacing w:before="120" w:after="120"/>
        <w:ind w:left="1134" w:hanging="1134"/>
        <w:jc w:val="center"/>
        <w:rPr>
          <w:rFonts w:cs="Times New Roman"/>
          <w:color w:val="auto"/>
        </w:rPr>
      </w:pPr>
      <w:r w:rsidRPr="00DE12A3">
        <w:rPr>
          <w:rFonts w:cs="Times New Roman"/>
          <w:noProof/>
          <w:color w:val="auto"/>
        </w:rPr>
        <w:drawing>
          <wp:inline distT="0" distB="0" distL="114300" distR="114300" wp14:anchorId="03E00051" wp14:editId="5D683096">
            <wp:extent cx="3931285" cy="435610"/>
            <wp:effectExtent l="0" t="0" r="12065" b="10160"/>
            <wp:docPr id="76"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Picture 22"/>
                    <pic:cNvPicPr>
                      <a:picLocks noChangeAspect="1"/>
                    </pic:cNvPicPr>
                  </pic:nvPicPr>
                  <pic:blipFill>
                    <a:blip r:embed="rId67"/>
                    <a:stretch>
                      <a:fillRect/>
                    </a:stretch>
                  </pic:blipFill>
                  <pic:spPr>
                    <a:xfrm>
                      <a:off x="0" y="0"/>
                      <a:ext cx="3931285" cy="435610"/>
                    </a:xfrm>
                    <a:prstGeom prst="rect">
                      <a:avLst/>
                    </a:prstGeom>
                    <a:noFill/>
                    <a:ln>
                      <a:noFill/>
                    </a:ln>
                  </pic:spPr>
                </pic:pic>
              </a:graphicData>
            </a:graphic>
          </wp:inline>
        </w:drawing>
      </w:r>
    </w:p>
    <w:p w14:paraId="246ABB98" w14:textId="77777777" w:rsidR="002D7B36" w:rsidRPr="00DE12A3" w:rsidRDefault="00934008" w:rsidP="00E20716">
      <w:pPr>
        <w:pStyle w:val="Gvdemetni2511"/>
        <w:numPr>
          <w:ilvl w:val="2"/>
          <w:numId w:val="394"/>
        </w:numPr>
        <w:shd w:val="clear" w:color="auto" w:fill="auto"/>
        <w:spacing w:before="120" w:after="120" w:line="240" w:lineRule="auto"/>
        <w:ind w:left="1134" w:hanging="1134"/>
        <w:rPr>
          <w:color w:val="auto"/>
          <w:sz w:val="24"/>
          <w:szCs w:val="24"/>
        </w:rPr>
      </w:pPr>
      <w:r w:rsidRPr="00DE12A3">
        <w:rPr>
          <w:color w:val="auto"/>
          <w:sz w:val="24"/>
          <w:szCs w:val="24"/>
        </w:rPr>
        <w:t xml:space="preserve">      </w:t>
      </w:r>
      <w:r w:rsidR="00242DA0" w:rsidRPr="00DE12A3">
        <w:rPr>
          <w:color w:val="auto"/>
          <w:sz w:val="24"/>
          <w:szCs w:val="24"/>
        </w:rPr>
        <w:t>Nem ve sıcaklık için NO</w:t>
      </w:r>
      <w:r w:rsidR="00242DA0" w:rsidRPr="00DE12A3">
        <w:rPr>
          <w:color w:val="auto"/>
          <w:sz w:val="24"/>
          <w:szCs w:val="24"/>
          <w:vertAlign w:val="subscript"/>
        </w:rPr>
        <w:t>x</w:t>
      </w:r>
      <w:r w:rsidR="00242DA0" w:rsidRPr="00DE12A3">
        <w:rPr>
          <w:color w:val="auto"/>
          <w:sz w:val="24"/>
          <w:szCs w:val="24"/>
        </w:rPr>
        <w:t xml:space="preserve"> düzeltmesi</w:t>
      </w:r>
    </w:p>
    <w:p w14:paraId="2DAB722A" w14:textId="01126413" w:rsidR="002D7B36" w:rsidRPr="00DE12A3" w:rsidRDefault="00934008" w:rsidP="00C917D6">
      <w:pPr>
        <w:pStyle w:val="Gvdemetni2511"/>
        <w:shd w:val="clear" w:color="auto" w:fill="auto"/>
        <w:tabs>
          <w:tab w:val="left" w:pos="720"/>
        </w:tabs>
        <w:spacing w:before="120" w:after="120" w:line="240" w:lineRule="auto"/>
        <w:ind w:left="1134" w:hanging="1134"/>
        <w:rPr>
          <w:color w:val="auto"/>
          <w:sz w:val="24"/>
          <w:szCs w:val="24"/>
        </w:rPr>
      </w:pPr>
      <w:r w:rsidRPr="00DE12A3">
        <w:rPr>
          <w:color w:val="auto"/>
          <w:sz w:val="24"/>
          <w:szCs w:val="24"/>
        </w:rPr>
        <w:t xml:space="preserve">                 </w:t>
      </w:r>
      <w:r w:rsidR="00242DA0" w:rsidRPr="00DE12A3">
        <w:rPr>
          <w:color w:val="auto"/>
          <w:sz w:val="24"/>
          <w:szCs w:val="24"/>
        </w:rPr>
        <w:t>NO</w:t>
      </w:r>
      <w:r w:rsidR="00242DA0" w:rsidRPr="00DE12A3">
        <w:rPr>
          <w:color w:val="auto"/>
          <w:sz w:val="24"/>
          <w:szCs w:val="24"/>
          <w:vertAlign w:val="subscript"/>
        </w:rPr>
        <w:t>x</w:t>
      </w:r>
      <w:r w:rsidR="00242DA0" w:rsidRPr="00DE12A3">
        <w:rPr>
          <w:color w:val="auto"/>
          <w:sz w:val="24"/>
          <w:szCs w:val="24"/>
        </w:rPr>
        <w:t xml:space="preserve"> emisyonu ortamdaki hava koşullarına bağlı olduğundan, NO</w:t>
      </w:r>
      <w:r w:rsidR="00242DA0" w:rsidRPr="00DE12A3">
        <w:rPr>
          <w:color w:val="auto"/>
          <w:sz w:val="24"/>
          <w:szCs w:val="24"/>
          <w:vertAlign w:val="subscript"/>
        </w:rPr>
        <w:t>x</w:t>
      </w:r>
      <w:r w:rsidR="00242DA0" w:rsidRPr="00DE12A3">
        <w:rPr>
          <w:color w:val="auto"/>
          <w:sz w:val="24"/>
          <w:szCs w:val="24"/>
        </w:rPr>
        <w:t xml:space="preserve"> konsantrasyonu ortam hava sıcaklığı ve nemi için (7-9) ve (7-10) </w:t>
      </w:r>
      <w:r w:rsidR="005E1C7E" w:rsidRPr="00DE12A3">
        <w:rPr>
          <w:color w:val="auto"/>
          <w:sz w:val="24"/>
          <w:szCs w:val="24"/>
        </w:rPr>
        <w:t>numaralı</w:t>
      </w:r>
      <w:r w:rsidR="005E1C7E" w:rsidRPr="00DE12A3" w:rsidDel="005E1C7E">
        <w:rPr>
          <w:color w:val="auto"/>
          <w:sz w:val="24"/>
          <w:szCs w:val="24"/>
        </w:rPr>
        <w:t xml:space="preserve"> </w:t>
      </w:r>
      <w:r w:rsidR="00242DA0" w:rsidRPr="00DE12A3">
        <w:rPr>
          <w:color w:val="auto"/>
          <w:sz w:val="24"/>
          <w:szCs w:val="24"/>
        </w:rPr>
        <w:t xml:space="preserve"> denklemlerde verilen </w:t>
      </w:r>
      <w:r w:rsidR="00242DA0" w:rsidRPr="00DE12A3">
        <w:rPr>
          <w:i/>
          <w:iCs/>
          <w:color w:val="auto"/>
          <w:sz w:val="24"/>
          <w:szCs w:val="24"/>
        </w:rPr>
        <w:t>k</w:t>
      </w:r>
      <w:r w:rsidR="00242DA0" w:rsidRPr="00DE12A3">
        <w:rPr>
          <w:color w:val="auto"/>
          <w:sz w:val="24"/>
          <w:szCs w:val="24"/>
          <w:vertAlign w:val="subscript"/>
        </w:rPr>
        <w:t>h,D</w:t>
      </w:r>
      <w:r w:rsidR="00242DA0" w:rsidRPr="00DE12A3">
        <w:rPr>
          <w:color w:val="auto"/>
          <w:sz w:val="24"/>
          <w:szCs w:val="24"/>
        </w:rPr>
        <w:t xml:space="preserve"> veya k</w:t>
      </w:r>
      <w:r w:rsidR="00242DA0" w:rsidRPr="00DE12A3">
        <w:rPr>
          <w:color w:val="auto"/>
          <w:sz w:val="24"/>
          <w:szCs w:val="24"/>
          <w:vertAlign w:val="subscript"/>
        </w:rPr>
        <w:t>h,G</w:t>
      </w:r>
      <w:r w:rsidR="00242DA0" w:rsidRPr="00DE12A3">
        <w:rPr>
          <w:color w:val="auto"/>
          <w:sz w:val="24"/>
          <w:szCs w:val="24"/>
        </w:rPr>
        <w:t xml:space="preserve"> [-] faktörleriyle düzeltilmelidir. Bu faktörler, 0 ila 25 g H</w:t>
      </w:r>
      <w:r w:rsidR="00242DA0" w:rsidRPr="00DE12A3">
        <w:rPr>
          <w:color w:val="auto"/>
          <w:sz w:val="24"/>
          <w:szCs w:val="24"/>
          <w:vertAlign w:val="subscript"/>
        </w:rPr>
        <w:t>2</w:t>
      </w:r>
      <w:r w:rsidR="00242DA0" w:rsidRPr="00DE12A3">
        <w:rPr>
          <w:color w:val="auto"/>
          <w:sz w:val="24"/>
          <w:szCs w:val="24"/>
        </w:rPr>
        <w:t>O/kg kuru hava arasında bir nem aralığı için geçerlidir.</w:t>
      </w:r>
    </w:p>
    <w:p w14:paraId="254774B9" w14:textId="497FE9EF" w:rsidR="002D7B36" w:rsidRPr="00DE12A3" w:rsidRDefault="00934008" w:rsidP="00E20716">
      <w:pPr>
        <w:pStyle w:val="Gvdemetni2511"/>
        <w:numPr>
          <w:ilvl w:val="0"/>
          <w:numId w:val="396"/>
        </w:numPr>
        <w:shd w:val="clear" w:color="auto" w:fill="auto"/>
        <w:spacing w:before="120" w:after="120" w:line="240" w:lineRule="auto"/>
        <w:ind w:left="1134" w:firstLine="0"/>
        <w:rPr>
          <w:color w:val="auto"/>
          <w:sz w:val="24"/>
          <w:szCs w:val="24"/>
        </w:rPr>
      </w:pPr>
      <w:r w:rsidRPr="00DE12A3">
        <w:rPr>
          <w:color w:val="auto"/>
          <w:sz w:val="24"/>
          <w:szCs w:val="24"/>
        </w:rPr>
        <w:t>S</w:t>
      </w:r>
      <w:r w:rsidR="00242DA0" w:rsidRPr="00DE12A3">
        <w:rPr>
          <w:color w:val="auto"/>
          <w:sz w:val="24"/>
          <w:szCs w:val="24"/>
        </w:rPr>
        <w:t>ıkıştırma ateşlemeli motorlar için</w:t>
      </w:r>
      <w:r w:rsidR="003D51C5" w:rsidRPr="00DE12A3">
        <w:rPr>
          <w:color w:val="auto"/>
          <w:sz w:val="24"/>
          <w:szCs w:val="24"/>
        </w:rPr>
        <w:t>;</w:t>
      </w:r>
    </w:p>
    <w:p w14:paraId="4155B147" w14:textId="2043E313" w:rsidR="002D7B36" w:rsidRPr="00DE12A3" w:rsidRDefault="00242DA0" w:rsidP="00C917D6">
      <w:pPr>
        <w:pStyle w:val="Gvdemetni2511"/>
        <w:shd w:val="clear" w:color="auto" w:fill="auto"/>
        <w:spacing w:before="120" w:after="120" w:line="240" w:lineRule="auto"/>
        <w:ind w:left="1134" w:hanging="1134"/>
        <w:jc w:val="center"/>
        <w:rPr>
          <w:color w:val="auto"/>
          <w:sz w:val="24"/>
          <w:szCs w:val="24"/>
        </w:rPr>
      </w:pPr>
      <w:r w:rsidRPr="00DE12A3">
        <w:rPr>
          <w:noProof/>
          <w:color w:val="auto"/>
          <w:sz w:val="24"/>
          <w:szCs w:val="24"/>
        </w:rPr>
        <w:drawing>
          <wp:inline distT="0" distB="0" distL="114300" distR="114300" wp14:anchorId="0AF0AF17" wp14:editId="011CE454">
            <wp:extent cx="4119245" cy="444500"/>
            <wp:effectExtent l="0" t="0" r="12700" b="1270"/>
            <wp:docPr id="77"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Picture 23"/>
                    <pic:cNvPicPr>
                      <a:picLocks noChangeAspect="1"/>
                    </pic:cNvPicPr>
                  </pic:nvPicPr>
                  <pic:blipFill>
                    <a:blip r:embed="rId68"/>
                    <a:stretch>
                      <a:fillRect/>
                    </a:stretch>
                  </pic:blipFill>
                  <pic:spPr>
                    <a:xfrm>
                      <a:off x="0" y="0"/>
                      <a:ext cx="4119245" cy="444500"/>
                    </a:xfrm>
                    <a:prstGeom prst="rect">
                      <a:avLst/>
                    </a:prstGeom>
                    <a:noFill/>
                    <a:ln>
                      <a:noFill/>
                    </a:ln>
                  </pic:spPr>
                </pic:pic>
              </a:graphicData>
            </a:graphic>
          </wp:inline>
        </w:drawing>
      </w:r>
    </w:p>
    <w:p w14:paraId="0F7EC2FE" w14:textId="4B3E5090" w:rsidR="002D7B36" w:rsidRPr="00DE12A3" w:rsidRDefault="00934008" w:rsidP="00E20716">
      <w:pPr>
        <w:pStyle w:val="Gvdemetni2511"/>
        <w:numPr>
          <w:ilvl w:val="0"/>
          <w:numId w:val="396"/>
        </w:numPr>
        <w:shd w:val="clear" w:color="auto" w:fill="auto"/>
        <w:tabs>
          <w:tab w:val="left" w:pos="1418"/>
          <w:tab w:val="left" w:pos="1560"/>
        </w:tabs>
        <w:spacing w:before="120" w:after="120" w:line="240" w:lineRule="auto"/>
        <w:ind w:left="1134" w:firstLine="0"/>
        <w:rPr>
          <w:color w:val="auto"/>
          <w:sz w:val="24"/>
          <w:szCs w:val="24"/>
        </w:rPr>
      </w:pPr>
      <w:r w:rsidRPr="00DE12A3">
        <w:rPr>
          <w:color w:val="auto"/>
          <w:sz w:val="24"/>
          <w:szCs w:val="24"/>
        </w:rPr>
        <w:t>K</w:t>
      </w:r>
      <w:r w:rsidR="00242DA0" w:rsidRPr="00DE12A3">
        <w:rPr>
          <w:color w:val="auto"/>
          <w:sz w:val="24"/>
          <w:szCs w:val="24"/>
        </w:rPr>
        <w:t>ıvılcım ateşlemeli motorlar için</w:t>
      </w:r>
      <w:r w:rsidR="003D51C5" w:rsidRPr="00DE12A3">
        <w:rPr>
          <w:color w:val="auto"/>
          <w:sz w:val="24"/>
          <w:szCs w:val="24"/>
        </w:rPr>
        <w:t>;</w:t>
      </w:r>
    </w:p>
    <w:p w14:paraId="0D0B47B8" w14:textId="00D8AF4B" w:rsidR="002D7B36" w:rsidRPr="00DE12A3" w:rsidRDefault="00242DA0" w:rsidP="00C917D6">
      <w:pPr>
        <w:tabs>
          <w:tab w:val="left" w:pos="1970"/>
        </w:tabs>
        <w:spacing w:before="120" w:after="120"/>
        <w:ind w:left="1134" w:hanging="1134"/>
        <w:jc w:val="center"/>
        <w:rPr>
          <w:rFonts w:cs="Times New Roman"/>
          <w:color w:val="auto"/>
        </w:rPr>
      </w:pPr>
      <w:r w:rsidRPr="00DE12A3">
        <w:rPr>
          <w:rFonts w:cs="Times New Roman"/>
          <w:noProof/>
          <w:color w:val="auto"/>
        </w:rPr>
        <w:drawing>
          <wp:inline distT="0" distB="0" distL="114300" distR="114300" wp14:anchorId="2D9DC199" wp14:editId="4C702B54">
            <wp:extent cx="4923692" cy="480060"/>
            <wp:effectExtent l="0" t="0" r="0" b="0"/>
            <wp:docPr id="72"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Picture 18"/>
                    <pic:cNvPicPr>
                      <a:picLocks noChangeAspect="1"/>
                    </pic:cNvPicPr>
                  </pic:nvPicPr>
                  <pic:blipFill>
                    <a:blip r:embed="rId69"/>
                    <a:stretch>
                      <a:fillRect/>
                    </a:stretch>
                  </pic:blipFill>
                  <pic:spPr>
                    <a:xfrm>
                      <a:off x="0" y="0"/>
                      <a:ext cx="4970983" cy="484671"/>
                    </a:xfrm>
                    <a:prstGeom prst="rect">
                      <a:avLst/>
                    </a:prstGeom>
                    <a:noFill/>
                    <a:ln>
                      <a:noFill/>
                    </a:ln>
                  </pic:spPr>
                </pic:pic>
              </a:graphicData>
            </a:graphic>
          </wp:inline>
        </w:drawing>
      </w:r>
    </w:p>
    <w:p w14:paraId="04CB0F3A" w14:textId="77777777" w:rsidR="002D7B36" w:rsidRPr="00DE12A3" w:rsidRDefault="00934008" w:rsidP="00C917D6">
      <w:pPr>
        <w:pStyle w:val="Gvdemetni2511"/>
        <w:shd w:val="clear" w:color="auto" w:fill="auto"/>
        <w:spacing w:before="120" w:after="120" w:line="240" w:lineRule="auto"/>
        <w:ind w:left="1134" w:firstLine="0"/>
        <w:rPr>
          <w:color w:val="auto"/>
          <w:sz w:val="24"/>
          <w:szCs w:val="24"/>
        </w:rPr>
      </w:pPr>
      <w:r w:rsidRPr="00DE12A3">
        <w:rPr>
          <w:color w:val="auto"/>
          <w:sz w:val="24"/>
          <w:szCs w:val="24"/>
        </w:rPr>
        <w:t>B</w:t>
      </w:r>
      <w:r w:rsidR="00242DA0" w:rsidRPr="00DE12A3">
        <w:rPr>
          <w:color w:val="auto"/>
          <w:sz w:val="24"/>
          <w:szCs w:val="24"/>
        </w:rPr>
        <w:t>urada:</w:t>
      </w:r>
    </w:p>
    <w:p w14:paraId="7D13CC14" w14:textId="77777777" w:rsidR="002D7B36" w:rsidRPr="00DE12A3" w:rsidRDefault="00242DA0" w:rsidP="00C917D6">
      <w:pPr>
        <w:pStyle w:val="Gvdemetni2511"/>
        <w:shd w:val="clear" w:color="auto" w:fill="auto"/>
        <w:spacing w:before="120" w:after="120" w:line="240" w:lineRule="auto"/>
        <w:ind w:left="1134" w:firstLine="0"/>
        <w:rPr>
          <w:color w:val="auto"/>
          <w:sz w:val="24"/>
          <w:szCs w:val="24"/>
        </w:rPr>
      </w:pPr>
      <w:r w:rsidRPr="00DE12A3">
        <w:rPr>
          <w:rStyle w:val="Gvdemetni254pttalik0ptbolukbraklyor30"/>
          <w:color w:val="auto"/>
          <w:sz w:val="24"/>
          <w:szCs w:val="24"/>
        </w:rPr>
        <w:t>H</w:t>
      </w:r>
      <w:r w:rsidRPr="00DE12A3">
        <w:rPr>
          <w:rStyle w:val="Gvdemetni254pttalik0ptbolukbraklyor30"/>
          <w:color w:val="auto"/>
          <w:sz w:val="24"/>
          <w:szCs w:val="24"/>
          <w:vertAlign w:val="subscript"/>
        </w:rPr>
        <w:t>a</w:t>
      </w:r>
      <w:r w:rsidRPr="00DE12A3">
        <w:rPr>
          <w:color w:val="auto"/>
          <w:sz w:val="24"/>
          <w:szCs w:val="24"/>
        </w:rPr>
        <w:t xml:space="preserve"> = emme havası nemi [g H</w:t>
      </w:r>
      <w:r w:rsidRPr="00DE12A3">
        <w:rPr>
          <w:color w:val="auto"/>
          <w:sz w:val="24"/>
          <w:szCs w:val="24"/>
          <w:vertAlign w:val="subscript"/>
        </w:rPr>
        <w:t>2</w:t>
      </w:r>
      <w:r w:rsidRPr="00DE12A3">
        <w:rPr>
          <w:color w:val="auto"/>
          <w:sz w:val="24"/>
          <w:szCs w:val="24"/>
        </w:rPr>
        <w:t>O/kg kuru hava]</w:t>
      </w:r>
    </w:p>
    <w:p w14:paraId="7B891B51" w14:textId="77777777" w:rsidR="002D7B36" w:rsidRPr="00DE12A3" w:rsidRDefault="00242DA0" w:rsidP="00E20716">
      <w:pPr>
        <w:pStyle w:val="Gvdemetni2511"/>
        <w:numPr>
          <w:ilvl w:val="2"/>
          <w:numId w:val="394"/>
        </w:numPr>
        <w:shd w:val="clear" w:color="auto" w:fill="auto"/>
        <w:spacing w:before="120" w:after="120" w:line="240" w:lineRule="auto"/>
        <w:ind w:left="1134" w:rightChars="-20" w:right="-48" w:hanging="1134"/>
        <w:rPr>
          <w:color w:val="auto"/>
          <w:sz w:val="24"/>
          <w:szCs w:val="24"/>
        </w:rPr>
      </w:pPr>
      <w:r w:rsidRPr="00DE12A3">
        <w:rPr>
          <w:color w:val="auto"/>
          <w:sz w:val="24"/>
          <w:szCs w:val="24"/>
        </w:rPr>
        <w:t xml:space="preserve">   </w:t>
      </w:r>
      <w:r w:rsidR="00934008" w:rsidRPr="00DE12A3">
        <w:rPr>
          <w:color w:val="auto"/>
          <w:sz w:val="24"/>
          <w:szCs w:val="24"/>
        </w:rPr>
        <w:t xml:space="preserve">    </w:t>
      </w:r>
      <w:r w:rsidRPr="00DE12A3">
        <w:rPr>
          <w:color w:val="auto"/>
          <w:sz w:val="24"/>
          <w:szCs w:val="24"/>
        </w:rPr>
        <w:t>Bileşene özgü faktörü</w:t>
      </w:r>
    </w:p>
    <w:p w14:paraId="55E9DC99" w14:textId="4501A418" w:rsidR="002D7B36" w:rsidRPr="00DE12A3" w:rsidRDefault="00934008" w:rsidP="00C917D6">
      <w:pPr>
        <w:pStyle w:val="Gvdemetni2511"/>
        <w:shd w:val="clear" w:color="auto" w:fill="auto"/>
        <w:spacing w:before="120" w:after="120" w:line="240" w:lineRule="auto"/>
        <w:ind w:left="1134" w:rightChars="-20" w:right="-48" w:hanging="1134"/>
        <w:rPr>
          <w:color w:val="auto"/>
          <w:sz w:val="24"/>
          <w:szCs w:val="24"/>
        </w:rPr>
      </w:pPr>
      <w:r w:rsidRPr="00DE12A3">
        <w:rPr>
          <w:rStyle w:val="Gvdemetni20ptbolukbraklyor1"/>
          <w:color w:val="auto"/>
          <w:sz w:val="24"/>
          <w:szCs w:val="24"/>
        </w:rPr>
        <w:t xml:space="preserve">                    </w:t>
      </w:r>
      <w:r w:rsidR="00242DA0" w:rsidRPr="00DE12A3">
        <w:rPr>
          <w:rStyle w:val="Gvdemetni20ptbolukbraklyor1"/>
          <w:color w:val="auto"/>
          <w:sz w:val="24"/>
          <w:szCs w:val="24"/>
        </w:rPr>
        <w:t>2.1.5.1 ve 2.1.5.2 bentlerinde iki hesaplama prosedürü açıklanmıştır</w:t>
      </w:r>
      <w:r w:rsidR="00242DA0" w:rsidRPr="00DE12A3">
        <w:rPr>
          <w:rStyle w:val="Tabloyazs"/>
          <w:color w:val="auto"/>
          <w:sz w:val="24"/>
          <w:szCs w:val="24"/>
        </w:rPr>
        <w:t xml:space="preserve">. </w:t>
      </w:r>
      <w:r w:rsidR="00242DA0" w:rsidRPr="00DE12A3">
        <w:rPr>
          <w:color w:val="auto"/>
          <w:sz w:val="24"/>
          <w:szCs w:val="24"/>
        </w:rPr>
        <w:t xml:space="preserve">2.1.5.1 bendinde belirtilen prosedür daha kolaydır, çünkü bileşen ve egzoz gazı yoğunluğu arasındaki oran için tablo halindeki u değerleri kullanır. 2.1.5.2 bendinde belirtilen prosedür, </w:t>
      </w:r>
      <w:r w:rsidR="007F62FA" w:rsidRPr="00DE12A3">
        <w:rPr>
          <w:color w:val="auto"/>
          <w:sz w:val="24"/>
          <w:szCs w:val="24"/>
        </w:rPr>
        <w:t xml:space="preserve">VIII’inci </w:t>
      </w:r>
      <w:r w:rsidR="00A82A16" w:rsidRPr="00DE12A3">
        <w:rPr>
          <w:color w:val="auto"/>
          <w:sz w:val="24"/>
          <w:szCs w:val="24"/>
        </w:rPr>
        <w:t>E</w:t>
      </w:r>
      <w:r w:rsidR="007F62FA" w:rsidRPr="00DE12A3">
        <w:rPr>
          <w:color w:val="auto"/>
          <w:sz w:val="24"/>
          <w:szCs w:val="24"/>
        </w:rPr>
        <w:t>k</w:t>
      </w:r>
      <w:r w:rsidR="00242DA0" w:rsidRPr="00DE12A3">
        <w:rPr>
          <w:color w:val="auto"/>
          <w:sz w:val="24"/>
          <w:szCs w:val="24"/>
        </w:rPr>
        <w:t>teki şartnamelerden farklı yakıt nitelikleri için daha doğrudur</w:t>
      </w:r>
      <w:r w:rsidR="003D51C5" w:rsidRPr="00DE12A3">
        <w:rPr>
          <w:color w:val="auto"/>
          <w:sz w:val="24"/>
          <w:szCs w:val="24"/>
        </w:rPr>
        <w:t>.</w:t>
      </w:r>
      <w:r w:rsidR="00242DA0" w:rsidRPr="00DE12A3">
        <w:rPr>
          <w:color w:val="auto"/>
          <w:sz w:val="24"/>
          <w:szCs w:val="24"/>
        </w:rPr>
        <w:t xml:space="preserve"> </w:t>
      </w:r>
      <w:r w:rsidR="003D51C5" w:rsidRPr="00DE12A3">
        <w:rPr>
          <w:color w:val="auto"/>
          <w:sz w:val="24"/>
          <w:szCs w:val="24"/>
        </w:rPr>
        <w:t>A</w:t>
      </w:r>
      <w:r w:rsidR="00242DA0" w:rsidRPr="00DE12A3">
        <w:rPr>
          <w:color w:val="auto"/>
          <w:sz w:val="24"/>
          <w:szCs w:val="24"/>
        </w:rPr>
        <w:t>ncak yakıt kompozisyonuna ilişkin temel analizi gerektirir</w:t>
      </w:r>
      <w:r w:rsidR="00242DA0" w:rsidRPr="00DE12A3">
        <w:rPr>
          <w:rStyle w:val="Gvdemetni254"/>
          <w:color w:val="auto"/>
          <w:sz w:val="24"/>
          <w:szCs w:val="24"/>
        </w:rPr>
        <w:t>.</w:t>
      </w:r>
    </w:p>
    <w:p w14:paraId="07C0C243" w14:textId="77777777" w:rsidR="002D7B36" w:rsidRPr="00DE12A3" w:rsidRDefault="00242DA0" w:rsidP="00E20716">
      <w:pPr>
        <w:pStyle w:val="Gvdemetni2511"/>
        <w:numPr>
          <w:ilvl w:val="0"/>
          <w:numId w:val="397"/>
        </w:numPr>
        <w:shd w:val="clear" w:color="auto" w:fill="auto"/>
        <w:spacing w:before="120" w:after="120" w:line="240" w:lineRule="auto"/>
        <w:ind w:left="1134" w:rightChars="-20" w:right="-48" w:hanging="1134"/>
        <w:rPr>
          <w:color w:val="auto"/>
          <w:sz w:val="24"/>
          <w:szCs w:val="24"/>
        </w:rPr>
      </w:pPr>
      <w:r w:rsidRPr="00DE12A3">
        <w:rPr>
          <w:color w:val="auto"/>
          <w:sz w:val="24"/>
          <w:szCs w:val="24"/>
        </w:rPr>
        <w:t>Tablo değerleri</w:t>
      </w:r>
    </w:p>
    <w:p w14:paraId="08E92E4E" w14:textId="20BA7350" w:rsidR="002D7B36" w:rsidRPr="00DE12A3" w:rsidRDefault="00934008" w:rsidP="00C917D6">
      <w:pPr>
        <w:pStyle w:val="Gvdemetni2511"/>
        <w:shd w:val="clear" w:color="auto" w:fill="auto"/>
        <w:spacing w:before="120" w:after="120" w:line="240" w:lineRule="auto"/>
        <w:ind w:left="1134" w:rightChars="-20" w:right="-48" w:hanging="1134"/>
        <w:rPr>
          <w:rStyle w:val="Gvdemetni254"/>
          <w:color w:val="auto"/>
          <w:sz w:val="24"/>
          <w:szCs w:val="24"/>
        </w:rPr>
      </w:pPr>
      <w:r w:rsidRPr="00DE12A3">
        <w:rPr>
          <w:color w:val="auto"/>
          <w:sz w:val="24"/>
          <w:szCs w:val="24"/>
        </w:rPr>
        <w:t xml:space="preserve">                  </w:t>
      </w:r>
      <w:r w:rsidR="00242DA0" w:rsidRPr="00DE12A3">
        <w:rPr>
          <w:color w:val="auto"/>
          <w:sz w:val="24"/>
          <w:szCs w:val="24"/>
        </w:rPr>
        <w:t>Bazı sadeleştirmelerin (X değeri ve Tablo 7.1'de gösterilen emme havası koşulları üzerine varsayım) 2.1.5.2 bendinde belirtilen denklemlere uygulanması, elde edilen u</w:t>
      </w:r>
      <w:r w:rsidR="00242DA0" w:rsidRPr="00DE12A3">
        <w:rPr>
          <w:color w:val="auto"/>
          <w:sz w:val="24"/>
          <w:szCs w:val="24"/>
          <w:vertAlign w:val="subscript"/>
        </w:rPr>
        <w:t>gas</w:t>
      </w:r>
      <w:r w:rsidR="00242DA0" w:rsidRPr="00DE12A3">
        <w:rPr>
          <w:color w:val="auto"/>
          <w:sz w:val="24"/>
          <w:szCs w:val="24"/>
        </w:rPr>
        <w:t xml:space="preserve"> değerleri Tablo 7.1'de verilmiştir</w:t>
      </w:r>
      <w:r w:rsidR="00242DA0" w:rsidRPr="00DE12A3">
        <w:rPr>
          <w:rStyle w:val="Gvdemetni254"/>
          <w:color w:val="auto"/>
          <w:sz w:val="24"/>
          <w:szCs w:val="24"/>
        </w:rPr>
        <w:t>.</w:t>
      </w:r>
    </w:p>
    <w:p w14:paraId="2BE68DCB" w14:textId="77777777" w:rsidR="0017089B" w:rsidRPr="00DE12A3" w:rsidRDefault="0017089B" w:rsidP="00C917D6">
      <w:pPr>
        <w:pStyle w:val="Gvdemetni2511"/>
        <w:shd w:val="clear" w:color="auto" w:fill="auto"/>
        <w:spacing w:before="120" w:after="120" w:line="240" w:lineRule="auto"/>
        <w:ind w:left="1134" w:rightChars="-20" w:right="-48" w:hanging="1134"/>
        <w:rPr>
          <w:rStyle w:val="Gvdemetni254"/>
          <w:color w:val="auto"/>
          <w:sz w:val="24"/>
          <w:szCs w:val="24"/>
        </w:rPr>
      </w:pPr>
    </w:p>
    <w:p w14:paraId="4F6BBEF2" w14:textId="77777777" w:rsidR="00B02387" w:rsidRPr="00DE12A3" w:rsidRDefault="00B02387" w:rsidP="0017089B">
      <w:pPr>
        <w:pStyle w:val="Tabloyazs61"/>
        <w:shd w:val="clear" w:color="auto" w:fill="auto"/>
        <w:spacing w:before="120" w:after="120" w:line="240" w:lineRule="auto"/>
        <w:jc w:val="center"/>
        <w:rPr>
          <w:i w:val="0"/>
          <w:iCs w:val="0"/>
          <w:color w:val="auto"/>
          <w:sz w:val="24"/>
          <w:szCs w:val="24"/>
        </w:rPr>
      </w:pPr>
    </w:p>
    <w:p w14:paraId="74A20F05" w14:textId="78542711" w:rsidR="002D7B36" w:rsidRPr="00DE12A3" w:rsidRDefault="00242DA0" w:rsidP="0017089B">
      <w:pPr>
        <w:pStyle w:val="Tabloyazs61"/>
        <w:shd w:val="clear" w:color="auto" w:fill="auto"/>
        <w:spacing w:before="120" w:after="120" w:line="240" w:lineRule="auto"/>
        <w:jc w:val="center"/>
        <w:rPr>
          <w:i w:val="0"/>
          <w:iCs w:val="0"/>
          <w:color w:val="auto"/>
          <w:sz w:val="24"/>
          <w:szCs w:val="24"/>
        </w:rPr>
      </w:pPr>
      <w:r w:rsidRPr="00DE12A3">
        <w:rPr>
          <w:i w:val="0"/>
          <w:iCs w:val="0"/>
          <w:color w:val="auto"/>
          <w:sz w:val="24"/>
          <w:szCs w:val="24"/>
        </w:rPr>
        <w:t>Tablo 7.1</w:t>
      </w:r>
    </w:p>
    <w:p w14:paraId="082724DC" w14:textId="3FE9F3C9" w:rsidR="00934008" w:rsidRPr="00DE12A3" w:rsidRDefault="00242DA0" w:rsidP="0017089B">
      <w:pPr>
        <w:pStyle w:val="Tabloyazs101"/>
        <w:shd w:val="clear" w:color="auto" w:fill="auto"/>
        <w:spacing w:before="120" w:after="120" w:line="240" w:lineRule="auto"/>
        <w:jc w:val="center"/>
        <w:rPr>
          <w:rStyle w:val="Tabloyazs100ptbolukbraklyor11"/>
          <w:b/>
          <w:bCs/>
          <w:color w:val="auto"/>
          <w:sz w:val="24"/>
          <w:szCs w:val="24"/>
        </w:rPr>
      </w:pPr>
      <w:r w:rsidRPr="00DE12A3">
        <w:rPr>
          <w:color w:val="auto"/>
          <w:spacing w:val="0"/>
          <w:sz w:val="24"/>
          <w:szCs w:val="24"/>
        </w:rPr>
        <w:lastRenderedPageBreak/>
        <w:t xml:space="preserve">Ham egzoz gazı </w:t>
      </w:r>
      <w:r w:rsidR="003D51C5" w:rsidRPr="00DE12A3">
        <w:rPr>
          <w:color w:val="auto"/>
          <w:spacing w:val="0"/>
          <w:sz w:val="24"/>
          <w:szCs w:val="24"/>
        </w:rPr>
        <w:t>“</w:t>
      </w:r>
      <w:r w:rsidRPr="00DE12A3">
        <w:rPr>
          <w:color w:val="auto"/>
          <w:spacing w:val="0"/>
          <w:sz w:val="24"/>
          <w:szCs w:val="24"/>
        </w:rPr>
        <w:t>u</w:t>
      </w:r>
      <w:r w:rsidR="003D51C5" w:rsidRPr="00DE12A3">
        <w:rPr>
          <w:color w:val="auto"/>
          <w:spacing w:val="0"/>
          <w:sz w:val="24"/>
          <w:szCs w:val="24"/>
        </w:rPr>
        <w:t>”</w:t>
      </w:r>
      <w:r w:rsidRPr="00DE12A3">
        <w:rPr>
          <w:color w:val="auto"/>
          <w:spacing w:val="0"/>
          <w:sz w:val="24"/>
          <w:szCs w:val="24"/>
        </w:rPr>
        <w:t xml:space="preserve"> ve bileşen yoğunlukları (ppm cinsinden ifade edilen emisyon konsantrasyonu için</w:t>
      </w:r>
      <w:r w:rsidRPr="00DE12A3">
        <w:rPr>
          <w:rStyle w:val="Tabloyazs100ptbolukbraklyor11"/>
          <w:b/>
          <w:bCs/>
          <w:color w:val="auto"/>
          <w:sz w:val="24"/>
          <w:szCs w:val="24"/>
        </w:rPr>
        <w:t>)</w:t>
      </w:r>
    </w:p>
    <w:tbl>
      <w:tblPr>
        <w:tblpPr w:leftFromText="141" w:rightFromText="141" w:vertAnchor="text" w:horzAnchor="margin" w:tblpX="436" w:tblpY="24"/>
        <w:tblOverlap w:val="never"/>
        <w:tblW w:w="87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116"/>
        <w:gridCol w:w="854"/>
        <w:gridCol w:w="960"/>
        <w:gridCol w:w="960"/>
        <w:gridCol w:w="960"/>
        <w:gridCol w:w="960"/>
        <w:gridCol w:w="960"/>
        <w:gridCol w:w="984"/>
      </w:tblGrid>
      <w:tr w:rsidR="00DE12A3" w:rsidRPr="00DE12A3" w14:paraId="2619A527" w14:textId="77777777" w:rsidTr="0017089B">
        <w:trPr>
          <w:trHeight w:hRule="exact" w:val="528"/>
        </w:trPr>
        <w:tc>
          <w:tcPr>
            <w:tcW w:w="2116" w:type="dxa"/>
            <w:vMerge w:val="restart"/>
            <w:shd w:val="clear" w:color="auto" w:fill="auto"/>
            <w:vAlign w:val="center"/>
          </w:tcPr>
          <w:p w14:paraId="3F4905ED" w14:textId="77777777" w:rsidR="009E224E" w:rsidRPr="00DE12A3" w:rsidRDefault="009E224E" w:rsidP="0017089B">
            <w:pPr>
              <w:spacing w:before="120" w:after="120"/>
              <w:jc w:val="center"/>
              <w:rPr>
                <w:rFonts w:cs="Times New Roman"/>
                <w:color w:val="auto"/>
              </w:rPr>
            </w:pPr>
            <w:r w:rsidRPr="00DE12A3">
              <w:rPr>
                <w:rFonts w:cs="Times New Roman"/>
                <w:color w:val="auto"/>
              </w:rPr>
              <w:t>Yakıt</w:t>
            </w:r>
          </w:p>
        </w:tc>
        <w:tc>
          <w:tcPr>
            <w:tcW w:w="854" w:type="dxa"/>
            <w:shd w:val="clear" w:color="auto" w:fill="auto"/>
          </w:tcPr>
          <w:p w14:paraId="6F75263E" w14:textId="77777777" w:rsidR="009E224E" w:rsidRPr="00DE12A3" w:rsidRDefault="009E224E" w:rsidP="00C87086">
            <w:pPr>
              <w:spacing w:before="120" w:after="120"/>
              <w:rPr>
                <w:rFonts w:cs="Times New Roman"/>
                <w:color w:val="auto"/>
              </w:rPr>
            </w:pPr>
          </w:p>
        </w:tc>
        <w:tc>
          <w:tcPr>
            <w:tcW w:w="960" w:type="dxa"/>
            <w:shd w:val="clear" w:color="auto" w:fill="auto"/>
          </w:tcPr>
          <w:p w14:paraId="7C490DDC" w14:textId="77777777" w:rsidR="009E224E" w:rsidRPr="00DE12A3" w:rsidRDefault="009E224E" w:rsidP="00C87086">
            <w:pPr>
              <w:spacing w:before="120" w:after="120"/>
              <w:rPr>
                <w:rFonts w:cs="Times New Roman"/>
                <w:color w:val="auto"/>
              </w:rPr>
            </w:pPr>
          </w:p>
        </w:tc>
        <w:tc>
          <w:tcPr>
            <w:tcW w:w="960" w:type="dxa"/>
            <w:shd w:val="clear" w:color="auto" w:fill="auto"/>
          </w:tcPr>
          <w:p w14:paraId="19A59C26" w14:textId="77777777" w:rsidR="009E224E" w:rsidRPr="00DE12A3" w:rsidRDefault="009E224E" w:rsidP="00C87086">
            <w:pPr>
              <w:spacing w:before="120" w:after="120"/>
              <w:rPr>
                <w:rFonts w:cs="Times New Roman"/>
                <w:color w:val="auto"/>
              </w:rPr>
            </w:pPr>
          </w:p>
        </w:tc>
        <w:tc>
          <w:tcPr>
            <w:tcW w:w="960" w:type="dxa"/>
            <w:shd w:val="clear" w:color="auto" w:fill="auto"/>
          </w:tcPr>
          <w:p w14:paraId="01640E96" w14:textId="77777777" w:rsidR="009E224E" w:rsidRPr="00DE12A3" w:rsidRDefault="009E224E" w:rsidP="00C87086">
            <w:pPr>
              <w:pStyle w:val="Gvdemetni361"/>
              <w:shd w:val="clear" w:color="auto" w:fill="auto"/>
              <w:spacing w:before="120" w:after="120" w:line="240" w:lineRule="auto"/>
              <w:ind w:firstLine="0"/>
              <w:jc w:val="center"/>
              <w:rPr>
                <w:color w:val="auto"/>
                <w:sz w:val="24"/>
                <w:szCs w:val="24"/>
              </w:rPr>
            </w:pPr>
            <w:r w:rsidRPr="00DE12A3">
              <w:rPr>
                <w:rStyle w:val="Gvdemetni365pt0ptbolukbraklyor9"/>
                <w:color w:val="auto"/>
                <w:sz w:val="24"/>
                <w:szCs w:val="24"/>
              </w:rPr>
              <w:t>Gaz</w:t>
            </w:r>
          </w:p>
        </w:tc>
        <w:tc>
          <w:tcPr>
            <w:tcW w:w="960" w:type="dxa"/>
            <w:shd w:val="clear" w:color="auto" w:fill="auto"/>
          </w:tcPr>
          <w:p w14:paraId="76904D7B" w14:textId="77777777" w:rsidR="009E224E" w:rsidRPr="00DE12A3" w:rsidRDefault="009E224E" w:rsidP="00C87086">
            <w:pPr>
              <w:spacing w:before="120" w:after="120"/>
              <w:rPr>
                <w:rFonts w:cs="Times New Roman"/>
                <w:color w:val="auto"/>
              </w:rPr>
            </w:pPr>
          </w:p>
        </w:tc>
        <w:tc>
          <w:tcPr>
            <w:tcW w:w="960" w:type="dxa"/>
            <w:shd w:val="clear" w:color="auto" w:fill="auto"/>
          </w:tcPr>
          <w:p w14:paraId="18F96258" w14:textId="77777777" w:rsidR="009E224E" w:rsidRPr="00DE12A3" w:rsidRDefault="009E224E" w:rsidP="00C87086">
            <w:pPr>
              <w:spacing w:before="120" w:after="120"/>
              <w:rPr>
                <w:rFonts w:cs="Times New Roman"/>
                <w:color w:val="auto"/>
              </w:rPr>
            </w:pPr>
          </w:p>
        </w:tc>
        <w:tc>
          <w:tcPr>
            <w:tcW w:w="984" w:type="dxa"/>
            <w:shd w:val="clear" w:color="auto" w:fill="auto"/>
          </w:tcPr>
          <w:p w14:paraId="323E9652" w14:textId="77777777" w:rsidR="009E224E" w:rsidRPr="00DE12A3" w:rsidRDefault="009E224E" w:rsidP="00C87086">
            <w:pPr>
              <w:spacing w:before="120" w:after="120"/>
              <w:rPr>
                <w:rFonts w:cs="Times New Roman"/>
                <w:color w:val="auto"/>
              </w:rPr>
            </w:pPr>
          </w:p>
        </w:tc>
      </w:tr>
      <w:tr w:rsidR="00DE12A3" w:rsidRPr="00DE12A3" w14:paraId="036DE528" w14:textId="77777777" w:rsidTr="00C87086">
        <w:trPr>
          <w:trHeight w:hRule="exact" w:val="518"/>
        </w:trPr>
        <w:tc>
          <w:tcPr>
            <w:tcW w:w="2116" w:type="dxa"/>
            <w:vMerge/>
            <w:shd w:val="clear" w:color="auto" w:fill="auto"/>
          </w:tcPr>
          <w:p w14:paraId="40E18915" w14:textId="77777777" w:rsidR="009E224E" w:rsidRPr="00DE12A3" w:rsidRDefault="009E224E" w:rsidP="00C87086">
            <w:pPr>
              <w:spacing w:before="120" w:after="120"/>
              <w:rPr>
                <w:rFonts w:cs="Times New Roman"/>
                <w:color w:val="auto"/>
              </w:rPr>
            </w:pPr>
          </w:p>
        </w:tc>
        <w:tc>
          <w:tcPr>
            <w:tcW w:w="854" w:type="dxa"/>
            <w:shd w:val="clear" w:color="auto" w:fill="auto"/>
          </w:tcPr>
          <w:p w14:paraId="2754C226" w14:textId="77777777" w:rsidR="009E224E" w:rsidRPr="00DE12A3" w:rsidRDefault="009E224E" w:rsidP="00C87086">
            <w:pPr>
              <w:spacing w:before="120" w:after="120"/>
              <w:rPr>
                <w:rFonts w:cs="Times New Roman"/>
                <w:color w:val="auto"/>
              </w:rPr>
            </w:pPr>
          </w:p>
        </w:tc>
        <w:tc>
          <w:tcPr>
            <w:tcW w:w="960" w:type="dxa"/>
            <w:shd w:val="clear" w:color="auto" w:fill="auto"/>
          </w:tcPr>
          <w:p w14:paraId="79A8E546" w14:textId="77777777" w:rsidR="009E224E" w:rsidRPr="00DE12A3" w:rsidRDefault="009E224E" w:rsidP="00C87086">
            <w:pPr>
              <w:pStyle w:val="Gvdemetni361"/>
              <w:shd w:val="clear" w:color="auto" w:fill="auto"/>
              <w:spacing w:before="120" w:after="120" w:line="240" w:lineRule="auto"/>
              <w:ind w:firstLine="0"/>
              <w:jc w:val="center"/>
              <w:rPr>
                <w:color w:val="auto"/>
                <w:sz w:val="24"/>
                <w:szCs w:val="24"/>
              </w:rPr>
            </w:pPr>
            <w:r w:rsidRPr="00DE12A3">
              <w:rPr>
                <w:rStyle w:val="Gvdemetni367pt1"/>
                <w:color w:val="auto"/>
                <w:sz w:val="24"/>
                <w:szCs w:val="24"/>
              </w:rPr>
              <w:t>NO</w:t>
            </w:r>
            <w:r w:rsidRPr="00DE12A3">
              <w:rPr>
                <w:rStyle w:val="Gvdemetni367pt1"/>
                <w:color w:val="auto"/>
                <w:sz w:val="24"/>
                <w:szCs w:val="24"/>
                <w:vertAlign w:val="subscript"/>
              </w:rPr>
              <w:t>X</w:t>
            </w:r>
          </w:p>
        </w:tc>
        <w:tc>
          <w:tcPr>
            <w:tcW w:w="960" w:type="dxa"/>
            <w:shd w:val="clear" w:color="auto" w:fill="auto"/>
          </w:tcPr>
          <w:p w14:paraId="5F70947B" w14:textId="77777777" w:rsidR="009E224E" w:rsidRPr="00DE12A3" w:rsidRDefault="009E224E" w:rsidP="00C87086">
            <w:pPr>
              <w:pStyle w:val="Gvdemetni361"/>
              <w:shd w:val="clear" w:color="auto" w:fill="auto"/>
              <w:spacing w:before="120" w:after="120" w:line="240" w:lineRule="auto"/>
              <w:ind w:firstLine="0"/>
              <w:jc w:val="center"/>
              <w:rPr>
                <w:color w:val="auto"/>
                <w:sz w:val="24"/>
                <w:szCs w:val="24"/>
              </w:rPr>
            </w:pPr>
            <w:r w:rsidRPr="00DE12A3">
              <w:rPr>
                <w:rStyle w:val="Gvdemetni365pt0ptbolukbraklyor9"/>
                <w:color w:val="auto"/>
                <w:sz w:val="24"/>
                <w:szCs w:val="24"/>
              </w:rPr>
              <w:t>CO</w:t>
            </w:r>
          </w:p>
        </w:tc>
        <w:tc>
          <w:tcPr>
            <w:tcW w:w="960" w:type="dxa"/>
            <w:shd w:val="clear" w:color="auto" w:fill="auto"/>
          </w:tcPr>
          <w:p w14:paraId="7CFD1BCE" w14:textId="77777777" w:rsidR="009E224E" w:rsidRPr="00DE12A3" w:rsidRDefault="009E224E" w:rsidP="00C87086">
            <w:pPr>
              <w:pStyle w:val="Gvdemetni361"/>
              <w:shd w:val="clear" w:color="auto" w:fill="auto"/>
              <w:spacing w:before="120" w:after="120" w:line="240" w:lineRule="auto"/>
              <w:ind w:firstLine="0"/>
              <w:jc w:val="center"/>
              <w:rPr>
                <w:color w:val="auto"/>
                <w:sz w:val="24"/>
                <w:szCs w:val="24"/>
              </w:rPr>
            </w:pPr>
            <w:r w:rsidRPr="00DE12A3">
              <w:rPr>
                <w:rStyle w:val="Gvdemetni365pt0ptbolukbraklyor9"/>
                <w:color w:val="auto"/>
                <w:sz w:val="24"/>
                <w:szCs w:val="24"/>
              </w:rPr>
              <w:t>HC</w:t>
            </w:r>
          </w:p>
        </w:tc>
        <w:tc>
          <w:tcPr>
            <w:tcW w:w="960" w:type="dxa"/>
            <w:shd w:val="clear" w:color="auto" w:fill="auto"/>
          </w:tcPr>
          <w:p w14:paraId="1520A7F9" w14:textId="77777777" w:rsidR="009E224E" w:rsidRPr="00DE12A3" w:rsidRDefault="009E224E" w:rsidP="00C87086">
            <w:pPr>
              <w:pStyle w:val="Gvdemetni361"/>
              <w:shd w:val="clear" w:color="auto" w:fill="auto"/>
              <w:spacing w:before="120" w:after="120" w:line="240" w:lineRule="auto"/>
              <w:ind w:firstLine="0"/>
              <w:jc w:val="center"/>
              <w:rPr>
                <w:color w:val="auto"/>
                <w:sz w:val="24"/>
                <w:szCs w:val="24"/>
              </w:rPr>
            </w:pPr>
            <w:r w:rsidRPr="00DE12A3">
              <w:rPr>
                <w:rStyle w:val="Gvdemetni365pt0ptbolukbraklyor9"/>
                <w:color w:val="auto"/>
                <w:sz w:val="24"/>
                <w:szCs w:val="24"/>
              </w:rPr>
              <w:t>CO</w:t>
            </w:r>
            <w:r w:rsidRPr="00DE12A3">
              <w:rPr>
                <w:rStyle w:val="Gvdemetni365pt0ptbolukbraklyor9"/>
                <w:color w:val="auto"/>
                <w:sz w:val="24"/>
                <w:szCs w:val="24"/>
                <w:vertAlign w:val="subscript"/>
              </w:rPr>
              <w:t>2</w:t>
            </w:r>
          </w:p>
        </w:tc>
        <w:tc>
          <w:tcPr>
            <w:tcW w:w="960" w:type="dxa"/>
            <w:shd w:val="clear" w:color="auto" w:fill="auto"/>
          </w:tcPr>
          <w:p w14:paraId="20D8B1EF" w14:textId="77777777" w:rsidR="009E224E" w:rsidRPr="00DE12A3" w:rsidRDefault="009E224E" w:rsidP="00C87086">
            <w:pPr>
              <w:pStyle w:val="Gvdemetni361"/>
              <w:shd w:val="clear" w:color="auto" w:fill="auto"/>
              <w:spacing w:before="120" w:after="120" w:line="240" w:lineRule="auto"/>
              <w:ind w:firstLine="0"/>
              <w:jc w:val="center"/>
              <w:rPr>
                <w:color w:val="auto"/>
                <w:sz w:val="24"/>
                <w:szCs w:val="24"/>
              </w:rPr>
            </w:pPr>
            <w:r w:rsidRPr="00DE12A3">
              <w:rPr>
                <w:rStyle w:val="Gvdemetni36PalatinoLinotype55pt0ptbolukbraklyor"/>
                <w:rFonts w:ascii="Times New Roman" w:hAnsi="Times New Roman" w:cs="Times New Roman"/>
                <w:color w:val="auto"/>
                <w:sz w:val="24"/>
                <w:szCs w:val="24"/>
              </w:rPr>
              <w:t>O</w:t>
            </w:r>
            <w:r w:rsidRPr="00DE12A3">
              <w:rPr>
                <w:rStyle w:val="Gvdemetni36PalatinoLinotype55pt0ptbolukbraklyor"/>
                <w:rFonts w:ascii="Times New Roman" w:hAnsi="Times New Roman" w:cs="Times New Roman"/>
                <w:color w:val="auto"/>
                <w:sz w:val="24"/>
                <w:szCs w:val="24"/>
                <w:vertAlign w:val="subscript"/>
              </w:rPr>
              <w:t>2</w:t>
            </w:r>
          </w:p>
        </w:tc>
        <w:tc>
          <w:tcPr>
            <w:tcW w:w="984" w:type="dxa"/>
            <w:shd w:val="clear" w:color="auto" w:fill="auto"/>
          </w:tcPr>
          <w:p w14:paraId="342ED353" w14:textId="77777777" w:rsidR="009E224E" w:rsidRPr="00DE12A3" w:rsidRDefault="009E224E" w:rsidP="00C87086">
            <w:pPr>
              <w:pStyle w:val="Gvdemetni361"/>
              <w:shd w:val="clear" w:color="auto" w:fill="auto"/>
              <w:spacing w:before="120" w:after="120" w:line="240" w:lineRule="auto"/>
              <w:ind w:firstLine="0"/>
              <w:jc w:val="center"/>
              <w:rPr>
                <w:color w:val="auto"/>
                <w:sz w:val="24"/>
                <w:szCs w:val="24"/>
              </w:rPr>
            </w:pPr>
            <w:r w:rsidRPr="00DE12A3">
              <w:rPr>
                <w:rStyle w:val="Gvdemetni365ptKkBykHarf0ptbolukbraklyor"/>
                <w:color w:val="auto"/>
                <w:sz w:val="24"/>
                <w:szCs w:val="24"/>
              </w:rPr>
              <w:t>ch</w:t>
            </w:r>
            <w:r w:rsidRPr="00DE12A3">
              <w:rPr>
                <w:rStyle w:val="Gvdemetni365ptKkBykHarf0ptbolukbraklyor"/>
                <w:color w:val="auto"/>
                <w:sz w:val="24"/>
                <w:szCs w:val="24"/>
                <w:vertAlign w:val="subscript"/>
              </w:rPr>
              <w:t>4</w:t>
            </w:r>
          </w:p>
        </w:tc>
      </w:tr>
      <w:tr w:rsidR="00DE12A3" w:rsidRPr="00DE12A3" w14:paraId="0FBDC6BB" w14:textId="77777777" w:rsidTr="00C87086">
        <w:trPr>
          <w:trHeight w:hRule="exact" w:val="811"/>
        </w:trPr>
        <w:tc>
          <w:tcPr>
            <w:tcW w:w="2116" w:type="dxa"/>
            <w:vMerge/>
            <w:shd w:val="clear" w:color="auto" w:fill="auto"/>
          </w:tcPr>
          <w:p w14:paraId="29FCE661" w14:textId="77777777" w:rsidR="009E224E" w:rsidRPr="00DE12A3" w:rsidRDefault="009E224E" w:rsidP="00C87086">
            <w:pPr>
              <w:spacing w:before="120" w:after="120"/>
              <w:rPr>
                <w:rFonts w:cs="Times New Roman"/>
                <w:color w:val="auto"/>
              </w:rPr>
            </w:pPr>
          </w:p>
        </w:tc>
        <w:tc>
          <w:tcPr>
            <w:tcW w:w="854" w:type="dxa"/>
            <w:shd w:val="clear" w:color="auto" w:fill="auto"/>
          </w:tcPr>
          <w:p w14:paraId="661EEF94" w14:textId="77777777" w:rsidR="009E224E" w:rsidRPr="00DE12A3" w:rsidRDefault="009E224E" w:rsidP="00C87086">
            <w:pPr>
              <w:pStyle w:val="Gvdemetni361"/>
              <w:shd w:val="clear" w:color="auto" w:fill="auto"/>
              <w:spacing w:before="120" w:after="120" w:line="240" w:lineRule="auto"/>
              <w:ind w:firstLine="0"/>
              <w:jc w:val="center"/>
              <w:rPr>
                <w:color w:val="auto"/>
                <w:sz w:val="24"/>
                <w:szCs w:val="24"/>
              </w:rPr>
            </w:pPr>
            <w:r w:rsidRPr="00DE12A3">
              <w:rPr>
                <w:rStyle w:val="Gvdemetni3655pt3"/>
                <w:color w:val="auto"/>
                <w:sz w:val="24"/>
                <w:szCs w:val="24"/>
              </w:rPr>
              <w:t>ρ</w:t>
            </w:r>
            <w:r w:rsidRPr="00DE12A3">
              <w:rPr>
                <w:rStyle w:val="Gvdemetni3655pt3"/>
                <w:color w:val="auto"/>
                <w:sz w:val="24"/>
                <w:szCs w:val="24"/>
                <w:vertAlign w:val="subscript"/>
              </w:rPr>
              <w:t>e</w:t>
            </w:r>
          </w:p>
        </w:tc>
        <w:tc>
          <w:tcPr>
            <w:tcW w:w="960" w:type="dxa"/>
            <w:shd w:val="clear" w:color="auto" w:fill="auto"/>
          </w:tcPr>
          <w:p w14:paraId="4BD9E086" w14:textId="77777777" w:rsidR="009E224E" w:rsidRPr="00DE12A3" w:rsidRDefault="009E224E" w:rsidP="00C87086">
            <w:pPr>
              <w:spacing w:before="120" w:after="120"/>
              <w:rPr>
                <w:rFonts w:cs="Times New Roman"/>
                <w:color w:val="auto"/>
              </w:rPr>
            </w:pPr>
          </w:p>
        </w:tc>
        <w:tc>
          <w:tcPr>
            <w:tcW w:w="960" w:type="dxa"/>
            <w:shd w:val="clear" w:color="auto" w:fill="auto"/>
          </w:tcPr>
          <w:p w14:paraId="008753C5" w14:textId="77777777" w:rsidR="009E224E" w:rsidRPr="00DE12A3" w:rsidRDefault="009E224E" w:rsidP="00C87086">
            <w:pPr>
              <w:spacing w:before="120" w:after="120"/>
              <w:rPr>
                <w:rFonts w:cs="Times New Roman"/>
                <w:color w:val="auto"/>
              </w:rPr>
            </w:pPr>
          </w:p>
        </w:tc>
        <w:tc>
          <w:tcPr>
            <w:tcW w:w="960" w:type="dxa"/>
            <w:shd w:val="clear" w:color="auto" w:fill="auto"/>
          </w:tcPr>
          <w:p w14:paraId="62A54CEF" w14:textId="77777777" w:rsidR="009E224E" w:rsidRPr="00DE12A3" w:rsidRDefault="009E224E" w:rsidP="00C87086">
            <w:pPr>
              <w:pStyle w:val="Gvdemetni361"/>
              <w:shd w:val="clear" w:color="auto" w:fill="auto"/>
              <w:spacing w:before="120" w:after="120" w:line="240" w:lineRule="auto"/>
              <w:ind w:firstLine="0"/>
              <w:jc w:val="center"/>
              <w:rPr>
                <w:color w:val="auto"/>
                <w:sz w:val="24"/>
                <w:szCs w:val="24"/>
              </w:rPr>
            </w:pPr>
            <w:r w:rsidRPr="00DE12A3">
              <w:rPr>
                <w:rStyle w:val="Gvdemetni3655pt3"/>
                <w:color w:val="auto"/>
                <w:sz w:val="24"/>
                <w:szCs w:val="24"/>
              </w:rPr>
              <w:t>ρ</w:t>
            </w:r>
            <w:r w:rsidRPr="00DE12A3">
              <w:rPr>
                <w:rStyle w:val="Gvdemetni3655pt3"/>
                <w:color w:val="auto"/>
                <w:sz w:val="24"/>
                <w:szCs w:val="24"/>
                <w:vertAlign w:val="subscript"/>
              </w:rPr>
              <w:t>gas</w:t>
            </w:r>
            <w:r w:rsidRPr="00DE12A3">
              <w:rPr>
                <w:rStyle w:val="Gvdemetni3655pt3"/>
                <w:color w:val="auto"/>
                <w:sz w:val="24"/>
                <w:szCs w:val="24"/>
              </w:rPr>
              <w:t xml:space="preserve"> [kg/m</w:t>
            </w:r>
            <w:r w:rsidRPr="00DE12A3">
              <w:rPr>
                <w:rStyle w:val="Gvdemetni3655pt3"/>
                <w:color w:val="auto"/>
                <w:sz w:val="24"/>
                <w:szCs w:val="24"/>
                <w:vertAlign w:val="superscript"/>
              </w:rPr>
              <w:t>3</w:t>
            </w:r>
            <w:r w:rsidRPr="00DE12A3">
              <w:rPr>
                <w:rStyle w:val="Gvdemetni3655pt3"/>
                <w:color w:val="auto"/>
                <w:sz w:val="24"/>
                <w:szCs w:val="24"/>
              </w:rPr>
              <w:t>]</w:t>
            </w:r>
          </w:p>
        </w:tc>
        <w:tc>
          <w:tcPr>
            <w:tcW w:w="960" w:type="dxa"/>
            <w:shd w:val="clear" w:color="auto" w:fill="auto"/>
          </w:tcPr>
          <w:p w14:paraId="7A8558A5" w14:textId="77777777" w:rsidR="009E224E" w:rsidRPr="00DE12A3" w:rsidRDefault="009E224E" w:rsidP="00C87086">
            <w:pPr>
              <w:spacing w:before="120" w:after="120"/>
              <w:rPr>
                <w:rFonts w:cs="Times New Roman"/>
                <w:color w:val="auto"/>
              </w:rPr>
            </w:pPr>
          </w:p>
        </w:tc>
        <w:tc>
          <w:tcPr>
            <w:tcW w:w="960" w:type="dxa"/>
            <w:shd w:val="clear" w:color="auto" w:fill="auto"/>
          </w:tcPr>
          <w:p w14:paraId="68A6A5DA" w14:textId="77777777" w:rsidR="009E224E" w:rsidRPr="00DE12A3" w:rsidRDefault="009E224E" w:rsidP="00C87086">
            <w:pPr>
              <w:spacing w:before="120" w:after="120"/>
              <w:rPr>
                <w:rFonts w:cs="Times New Roman"/>
                <w:color w:val="auto"/>
              </w:rPr>
            </w:pPr>
          </w:p>
        </w:tc>
        <w:tc>
          <w:tcPr>
            <w:tcW w:w="984" w:type="dxa"/>
            <w:shd w:val="clear" w:color="auto" w:fill="auto"/>
          </w:tcPr>
          <w:p w14:paraId="5C359C65" w14:textId="77777777" w:rsidR="009E224E" w:rsidRPr="00DE12A3" w:rsidRDefault="009E224E" w:rsidP="00C87086">
            <w:pPr>
              <w:spacing w:before="120" w:after="120"/>
              <w:rPr>
                <w:rFonts w:cs="Times New Roman"/>
                <w:color w:val="auto"/>
              </w:rPr>
            </w:pPr>
          </w:p>
        </w:tc>
      </w:tr>
      <w:tr w:rsidR="00DE12A3" w:rsidRPr="00DE12A3" w14:paraId="58A8228B" w14:textId="77777777" w:rsidTr="00C87086">
        <w:trPr>
          <w:trHeight w:hRule="exact" w:val="461"/>
        </w:trPr>
        <w:tc>
          <w:tcPr>
            <w:tcW w:w="2116" w:type="dxa"/>
            <w:vMerge/>
            <w:shd w:val="clear" w:color="auto" w:fill="auto"/>
          </w:tcPr>
          <w:p w14:paraId="7E7DA6F5" w14:textId="77777777" w:rsidR="009E224E" w:rsidRPr="00DE12A3" w:rsidRDefault="009E224E" w:rsidP="00C87086">
            <w:pPr>
              <w:spacing w:before="120" w:after="120"/>
              <w:rPr>
                <w:rFonts w:cs="Times New Roman"/>
                <w:color w:val="auto"/>
              </w:rPr>
            </w:pPr>
          </w:p>
        </w:tc>
        <w:tc>
          <w:tcPr>
            <w:tcW w:w="854" w:type="dxa"/>
            <w:shd w:val="clear" w:color="auto" w:fill="auto"/>
          </w:tcPr>
          <w:p w14:paraId="357AF998" w14:textId="77777777" w:rsidR="009E224E" w:rsidRPr="00DE12A3" w:rsidRDefault="009E224E" w:rsidP="00C87086">
            <w:pPr>
              <w:spacing w:before="120" w:after="120"/>
              <w:rPr>
                <w:rFonts w:cs="Times New Roman"/>
                <w:color w:val="auto"/>
              </w:rPr>
            </w:pPr>
          </w:p>
        </w:tc>
        <w:tc>
          <w:tcPr>
            <w:tcW w:w="960" w:type="dxa"/>
            <w:shd w:val="clear" w:color="auto" w:fill="auto"/>
          </w:tcPr>
          <w:p w14:paraId="49C607F9" w14:textId="77777777" w:rsidR="009E224E" w:rsidRPr="00DE12A3" w:rsidRDefault="009E224E" w:rsidP="00C87086">
            <w:pPr>
              <w:pStyle w:val="Gvdemetni361"/>
              <w:shd w:val="clear" w:color="auto" w:fill="auto"/>
              <w:spacing w:before="120" w:after="120" w:line="240" w:lineRule="auto"/>
              <w:ind w:firstLine="0"/>
              <w:jc w:val="center"/>
              <w:rPr>
                <w:color w:val="auto"/>
                <w:sz w:val="24"/>
                <w:szCs w:val="24"/>
              </w:rPr>
            </w:pPr>
            <w:r w:rsidRPr="00DE12A3">
              <w:rPr>
                <w:rStyle w:val="Gvdemetni367pt0ptbolukbraklyor5"/>
                <w:color w:val="auto"/>
                <w:sz w:val="24"/>
                <w:szCs w:val="24"/>
              </w:rPr>
              <w:t>2,053</w:t>
            </w:r>
          </w:p>
        </w:tc>
        <w:tc>
          <w:tcPr>
            <w:tcW w:w="960" w:type="dxa"/>
            <w:shd w:val="clear" w:color="auto" w:fill="auto"/>
          </w:tcPr>
          <w:p w14:paraId="4D2CA76F" w14:textId="77777777" w:rsidR="009E224E" w:rsidRPr="00DE12A3" w:rsidRDefault="009E224E" w:rsidP="00C87086">
            <w:pPr>
              <w:pStyle w:val="Gvdemetni361"/>
              <w:shd w:val="clear" w:color="auto" w:fill="auto"/>
              <w:spacing w:before="120" w:after="120" w:line="240" w:lineRule="auto"/>
              <w:ind w:firstLine="0"/>
              <w:jc w:val="center"/>
              <w:rPr>
                <w:color w:val="auto"/>
                <w:sz w:val="24"/>
                <w:szCs w:val="24"/>
              </w:rPr>
            </w:pPr>
            <w:r w:rsidRPr="00DE12A3">
              <w:rPr>
                <w:rStyle w:val="Gvdemetni367pt0ptbolukbraklyor5"/>
                <w:color w:val="auto"/>
                <w:sz w:val="24"/>
                <w:szCs w:val="24"/>
              </w:rPr>
              <w:t>1,250</w:t>
            </w:r>
          </w:p>
        </w:tc>
        <w:tc>
          <w:tcPr>
            <w:tcW w:w="960" w:type="dxa"/>
            <w:shd w:val="clear" w:color="auto" w:fill="auto"/>
          </w:tcPr>
          <w:p w14:paraId="45202E35" w14:textId="77777777" w:rsidR="009E224E" w:rsidRPr="00DE12A3" w:rsidRDefault="009E224E" w:rsidP="00C87086">
            <w:pPr>
              <w:pStyle w:val="Gvdemetni361"/>
              <w:shd w:val="clear" w:color="auto" w:fill="auto"/>
              <w:spacing w:before="120" w:after="120" w:line="240" w:lineRule="auto"/>
              <w:ind w:firstLine="0"/>
              <w:jc w:val="center"/>
              <w:rPr>
                <w:color w:val="auto"/>
                <w:sz w:val="24"/>
                <w:szCs w:val="24"/>
              </w:rPr>
            </w:pPr>
            <w:r w:rsidRPr="00DE12A3">
              <w:rPr>
                <w:rStyle w:val="Gvdemetni3665pt0ptbolukbraklyor"/>
                <w:color w:val="auto"/>
                <w:sz w:val="24"/>
                <w:szCs w:val="24"/>
              </w:rPr>
              <w:t>(</w:t>
            </w:r>
            <w:r w:rsidRPr="00DE12A3">
              <w:rPr>
                <w:rStyle w:val="Gvdemetni3665pt0ptbolukbraklyor"/>
                <w:color w:val="auto"/>
                <w:sz w:val="24"/>
                <w:szCs w:val="24"/>
                <w:vertAlign w:val="superscript"/>
              </w:rPr>
              <w:t>a</w:t>
            </w:r>
            <w:r w:rsidRPr="00DE12A3">
              <w:rPr>
                <w:rStyle w:val="Gvdemetni3665pt0ptbolukbraklyor"/>
                <w:color w:val="auto"/>
                <w:sz w:val="24"/>
                <w:szCs w:val="24"/>
              </w:rPr>
              <w:t>)</w:t>
            </w:r>
          </w:p>
        </w:tc>
        <w:tc>
          <w:tcPr>
            <w:tcW w:w="960" w:type="dxa"/>
            <w:shd w:val="clear" w:color="auto" w:fill="auto"/>
          </w:tcPr>
          <w:p w14:paraId="7E997BC5" w14:textId="77777777" w:rsidR="009E224E" w:rsidRPr="00DE12A3" w:rsidRDefault="009E224E" w:rsidP="00C87086">
            <w:pPr>
              <w:pStyle w:val="Gvdemetni361"/>
              <w:shd w:val="clear" w:color="auto" w:fill="auto"/>
              <w:spacing w:before="120" w:after="120" w:line="240" w:lineRule="auto"/>
              <w:ind w:firstLine="0"/>
              <w:jc w:val="center"/>
              <w:rPr>
                <w:color w:val="auto"/>
                <w:sz w:val="24"/>
                <w:szCs w:val="24"/>
              </w:rPr>
            </w:pPr>
            <w:r w:rsidRPr="00DE12A3">
              <w:rPr>
                <w:rStyle w:val="Gvdemetni367pt0ptbolukbraklyor5"/>
                <w:color w:val="auto"/>
                <w:sz w:val="24"/>
                <w:szCs w:val="24"/>
              </w:rPr>
              <w:t>1,9636</w:t>
            </w:r>
          </w:p>
        </w:tc>
        <w:tc>
          <w:tcPr>
            <w:tcW w:w="960" w:type="dxa"/>
            <w:shd w:val="clear" w:color="auto" w:fill="auto"/>
          </w:tcPr>
          <w:p w14:paraId="612E3092" w14:textId="77777777" w:rsidR="009E224E" w:rsidRPr="00DE12A3" w:rsidRDefault="009E224E" w:rsidP="00C87086">
            <w:pPr>
              <w:pStyle w:val="Gvdemetni361"/>
              <w:shd w:val="clear" w:color="auto" w:fill="auto"/>
              <w:spacing w:before="120" w:after="120" w:line="240" w:lineRule="auto"/>
              <w:ind w:firstLine="0"/>
              <w:jc w:val="center"/>
              <w:rPr>
                <w:color w:val="auto"/>
                <w:sz w:val="24"/>
                <w:szCs w:val="24"/>
              </w:rPr>
            </w:pPr>
            <w:r w:rsidRPr="00DE12A3">
              <w:rPr>
                <w:rStyle w:val="Gvdemetni367pt0ptbolukbraklyor5"/>
                <w:color w:val="auto"/>
                <w:sz w:val="24"/>
                <w:szCs w:val="24"/>
              </w:rPr>
              <w:t>1,4277</w:t>
            </w:r>
          </w:p>
        </w:tc>
        <w:tc>
          <w:tcPr>
            <w:tcW w:w="984" w:type="dxa"/>
            <w:shd w:val="clear" w:color="auto" w:fill="auto"/>
          </w:tcPr>
          <w:p w14:paraId="440A428E" w14:textId="77777777" w:rsidR="009E224E" w:rsidRPr="00DE12A3" w:rsidRDefault="009E224E" w:rsidP="00C87086">
            <w:pPr>
              <w:pStyle w:val="Gvdemetni361"/>
              <w:shd w:val="clear" w:color="auto" w:fill="auto"/>
              <w:spacing w:before="120" w:after="120" w:line="240" w:lineRule="auto"/>
              <w:ind w:firstLine="0"/>
              <w:jc w:val="center"/>
              <w:rPr>
                <w:color w:val="auto"/>
                <w:sz w:val="24"/>
                <w:szCs w:val="24"/>
              </w:rPr>
            </w:pPr>
            <w:r w:rsidRPr="00DE12A3">
              <w:rPr>
                <w:rStyle w:val="Gvdemetni367pt0ptbolukbraklyor5"/>
                <w:color w:val="auto"/>
                <w:sz w:val="24"/>
                <w:szCs w:val="24"/>
              </w:rPr>
              <w:t>0,716</w:t>
            </w:r>
          </w:p>
        </w:tc>
      </w:tr>
      <w:tr w:rsidR="00DE12A3" w:rsidRPr="00DE12A3" w14:paraId="1EC8A244" w14:textId="77777777" w:rsidTr="00C87086">
        <w:trPr>
          <w:trHeight w:hRule="exact" w:val="518"/>
        </w:trPr>
        <w:tc>
          <w:tcPr>
            <w:tcW w:w="2116" w:type="dxa"/>
            <w:vMerge/>
            <w:shd w:val="clear" w:color="auto" w:fill="auto"/>
          </w:tcPr>
          <w:p w14:paraId="454209FC" w14:textId="77777777" w:rsidR="009E224E" w:rsidRPr="00DE12A3" w:rsidRDefault="009E224E" w:rsidP="00C87086">
            <w:pPr>
              <w:spacing w:before="120" w:after="120"/>
              <w:rPr>
                <w:rFonts w:cs="Times New Roman"/>
                <w:color w:val="auto"/>
              </w:rPr>
            </w:pPr>
          </w:p>
        </w:tc>
        <w:tc>
          <w:tcPr>
            <w:tcW w:w="854" w:type="dxa"/>
            <w:shd w:val="clear" w:color="auto" w:fill="auto"/>
          </w:tcPr>
          <w:p w14:paraId="1185DA12" w14:textId="77777777" w:rsidR="009E224E" w:rsidRPr="00DE12A3" w:rsidRDefault="009E224E" w:rsidP="00C87086">
            <w:pPr>
              <w:spacing w:before="120" w:after="120"/>
              <w:rPr>
                <w:rFonts w:cs="Times New Roman"/>
                <w:color w:val="auto"/>
              </w:rPr>
            </w:pPr>
          </w:p>
        </w:tc>
        <w:tc>
          <w:tcPr>
            <w:tcW w:w="960" w:type="dxa"/>
            <w:shd w:val="clear" w:color="auto" w:fill="auto"/>
          </w:tcPr>
          <w:p w14:paraId="570BAFFE" w14:textId="77777777" w:rsidR="009E224E" w:rsidRPr="00DE12A3" w:rsidRDefault="009E224E" w:rsidP="00C87086">
            <w:pPr>
              <w:spacing w:before="120" w:after="120"/>
              <w:rPr>
                <w:rFonts w:cs="Times New Roman"/>
                <w:color w:val="auto"/>
              </w:rPr>
            </w:pPr>
          </w:p>
        </w:tc>
        <w:tc>
          <w:tcPr>
            <w:tcW w:w="960" w:type="dxa"/>
            <w:shd w:val="clear" w:color="auto" w:fill="auto"/>
          </w:tcPr>
          <w:p w14:paraId="766B79BD" w14:textId="77777777" w:rsidR="009E224E" w:rsidRPr="00DE12A3" w:rsidRDefault="009E224E" w:rsidP="00C87086">
            <w:pPr>
              <w:spacing w:before="120" w:after="120"/>
              <w:rPr>
                <w:rFonts w:cs="Times New Roman"/>
                <w:color w:val="auto"/>
              </w:rPr>
            </w:pPr>
          </w:p>
        </w:tc>
        <w:tc>
          <w:tcPr>
            <w:tcW w:w="960" w:type="dxa"/>
            <w:shd w:val="clear" w:color="auto" w:fill="auto"/>
          </w:tcPr>
          <w:p w14:paraId="142A3908" w14:textId="77777777" w:rsidR="009E224E" w:rsidRPr="00DE12A3" w:rsidRDefault="009E224E" w:rsidP="00C87086">
            <w:pPr>
              <w:pStyle w:val="Gvdemetni361"/>
              <w:shd w:val="clear" w:color="auto" w:fill="auto"/>
              <w:spacing w:before="120" w:after="120" w:line="240" w:lineRule="auto"/>
              <w:ind w:firstLine="0"/>
              <w:jc w:val="center"/>
              <w:rPr>
                <w:color w:val="auto"/>
                <w:sz w:val="24"/>
                <w:szCs w:val="24"/>
              </w:rPr>
            </w:pPr>
            <w:r w:rsidRPr="00DE12A3">
              <w:rPr>
                <w:rStyle w:val="Gvdemetni3645pt0ptbolukbraklyor"/>
                <w:color w:val="auto"/>
                <w:sz w:val="24"/>
                <w:szCs w:val="24"/>
              </w:rPr>
              <w:t>u</w:t>
            </w:r>
            <w:r w:rsidRPr="00DE12A3">
              <w:rPr>
                <w:rStyle w:val="Gvdemetni3645pt0ptbolukbraklyor"/>
                <w:color w:val="auto"/>
                <w:sz w:val="24"/>
                <w:szCs w:val="24"/>
                <w:vertAlign w:val="subscript"/>
              </w:rPr>
              <w:t>gas</w:t>
            </w:r>
            <w:r w:rsidRPr="00DE12A3">
              <w:rPr>
                <w:rStyle w:val="Gvdemetni3645pt0ptbolukbraklyor"/>
                <w:color w:val="auto"/>
                <w:sz w:val="24"/>
                <w:szCs w:val="24"/>
              </w:rPr>
              <w:t xml:space="preserve"> (</w:t>
            </w:r>
            <w:r w:rsidRPr="00DE12A3">
              <w:rPr>
                <w:rStyle w:val="Gvdemetni3645pt0ptbolukbraklyor"/>
                <w:color w:val="auto"/>
                <w:sz w:val="24"/>
                <w:szCs w:val="24"/>
                <w:vertAlign w:val="superscript"/>
              </w:rPr>
              <w:t>b</w:t>
            </w:r>
            <w:r w:rsidRPr="00DE12A3">
              <w:rPr>
                <w:rStyle w:val="Gvdemetni3645pt0ptbolukbraklyor"/>
                <w:color w:val="auto"/>
                <w:sz w:val="24"/>
                <w:szCs w:val="24"/>
              </w:rPr>
              <w:t>)</w:t>
            </w:r>
          </w:p>
        </w:tc>
        <w:tc>
          <w:tcPr>
            <w:tcW w:w="960" w:type="dxa"/>
            <w:shd w:val="clear" w:color="auto" w:fill="auto"/>
          </w:tcPr>
          <w:p w14:paraId="32DA94A4" w14:textId="77777777" w:rsidR="009E224E" w:rsidRPr="00DE12A3" w:rsidRDefault="009E224E" w:rsidP="00C87086">
            <w:pPr>
              <w:spacing w:before="120" w:after="120"/>
              <w:rPr>
                <w:rFonts w:cs="Times New Roman"/>
                <w:color w:val="auto"/>
              </w:rPr>
            </w:pPr>
          </w:p>
        </w:tc>
        <w:tc>
          <w:tcPr>
            <w:tcW w:w="960" w:type="dxa"/>
            <w:shd w:val="clear" w:color="auto" w:fill="auto"/>
          </w:tcPr>
          <w:p w14:paraId="06851BEB" w14:textId="77777777" w:rsidR="009E224E" w:rsidRPr="00DE12A3" w:rsidRDefault="009E224E" w:rsidP="00C87086">
            <w:pPr>
              <w:spacing w:before="120" w:after="120"/>
              <w:rPr>
                <w:rFonts w:cs="Times New Roman"/>
                <w:color w:val="auto"/>
              </w:rPr>
            </w:pPr>
          </w:p>
        </w:tc>
        <w:tc>
          <w:tcPr>
            <w:tcW w:w="984" w:type="dxa"/>
            <w:shd w:val="clear" w:color="auto" w:fill="auto"/>
          </w:tcPr>
          <w:p w14:paraId="3B8CACA9" w14:textId="77777777" w:rsidR="009E224E" w:rsidRPr="00DE12A3" w:rsidRDefault="009E224E" w:rsidP="00C87086">
            <w:pPr>
              <w:spacing w:before="120" w:after="120"/>
              <w:rPr>
                <w:rFonts w:cs="Times New Roman"/>
                <w:color w:val="auto"/>
              </w:rPr>
            </w:pPr>
          </w:p>
        </w:tc>
      </w:tr>
      <w:tr w:rsidR="00DE12A3" w:rsidRPr="00DE12A3" w14:paraId="659B9EF6" w14:textId="77777777" w:rsidTr="00C87086">
        <w:trPr>
          <w:trHeight w:hRule="exact" w:val="733"/>
        </w:trPr>
        <w:tc>
          <w:tcPr>
            <w:tcW w:w="2116" w:type="dxa"/>
            <w:shd w:val="clear" w:color="auto" w:fill="auto"/>
          </w:tcPr>
          <w:p w14:paraId="1205E080" w14:textId="77777777" w:rsidR="00D538EC" w:rsidRPr="00DE12A3" w:rsidRDefault="00D538EC" w:rsidP="00C87086">
            <w:pPr>
              <w:spacing w:before="120" w:after="120"/>
              <w:ind w:left="40"/>
              <w:rPr>
                <w:rFonts w:cs="Times New Roman"/>
                <w:color w:val="auto"/>
              </w:rPr>
            </w:pPr>
            <w:r w:rsidRPr="00DE12A3">
              <w:rPr>
                <w:rStyle w:val="Gvdemetni85pt0ptbolukbraklyor"/>
                <w:rFonts w:eastAsia="Courier New"/>
                <w:color w:val="auto"/>
                <w:sz w:val="24"/>
                <w:szCs w:val="24"/>
              </w:rPr>
              <w:t xml:space="preserve">Dizel (karayolu dışı </w:t>
            </w:r>
            <w:r w:rsidR="00E20EBD" w:rsidRPr="00DE12A3">
              <w:rPr>
                <w:rStyle w:val="Gvdemetni85pt0ptbolukbraklyor"/>
                <w:rFonts w:eastAsia="Courier New"/>
                <w:color w:val="auto"/>
                <w:sz w:val="24"/>
                <w:szCs w:val="24"/>
              </w:rPr>
              <w:t>dizel</w:t>
            </w:r>
            <w:r w:rsidRPr="00DE12A3">
              <w:rPr>
                <w:rStyle w:val="Gvdemetni85pt0ptbolukbraklyor"/>
                <w:rFonts w:eastAsia="Courier New"/>
                <w:color w:val="auto"/>
                <w:sz w:val="24"/>
                <w:szCs w:val="24"/>
              </w:rPr>
              <w:t xml:space="preserve"> yakıt)</w:t>
            </w:r>
          </w:p>
        </w:tc>
        <w:tc>
          <w:tcPr>
            <w:tcW w:w="854" w:type="dxa"/>
            <w:shd w:val="clear" w:color="auto" w:fill="auto"/>
          </w:tcPr>
          <w:p w14:paraId="06824128" w14:textId="77777777" w:rsidR="00D538EC" w:rsidRPr="00DE12A3" w:rsidRDefault="00D538EC" w:rsidP="00C87086">
            <w:pPr>
              <w:pStyle w:val="Gvdemetni361"/>
              <w:shd w:val="clear" w:color="auto" w:fill="auto"/>
              <w:spacing w:before="120" w:after="120" w:line="240" w:lineRule="auto"/>
              <w:ind w:firstLine="0"/>
              <w:jc w:val="center"/>
              <w:rPr>
                <w:color w:val="auto"/>
                <w:sz w:val="24"/>
                <w:szCs w:val="24"/>
              </w:rPr>
            </w:pPr>
            <w:r w:rsidRPr="00DE12A3">
              <w:rPr>
                <w:rStyle w:val="Gvdemetni367pt0ptbolukbraklyor5"/>
                <w:color w:val="auto"/>
                <w:sz w:val="24"/>
                <w:szCs w:val="24"/>
              </w:rPr>
              <w:t>1,2943</w:t>
            </w:r>
          </w:p>
        </w:tc>
        <w:tc>
          <w:tcPr>
            <w:tcW w:w="960" w:type="dxa"/>
            <w:shd w:val="clear" w:color="auto" w:fill="auto"/>
          </w:tcPr>
          <w:p w14:paraId="4E0A46EA" w14:textId="77777777" w:rsidR="00D538EC" w:rsidRPr="00DE12A3" w:rsidRDefault="00D538EC" w:rsidP="00C87086">
            <w:pPr>
              <w:pStyle w:val="Gvdemetni361"/>
              <w:shd w:val="clear" w:color="auto" w:fill="auto"/>
              <w:spacing w:before="120" w:after="120" w:line="240" w:lineRule="auto"/>
              <w:ind w:firstLine="0"/>
              <w:jc w:val="center"/>
              <w:rPr>
                <w:color w:val="auto"/>
                <w:sz w:val="24"/>
                <w:szCs w:val="24"/>
              </w:rPr>
            </w:pPr>
            <w:r w:rsidRPr="00DE12A3">
              <w:rPr>
                <w:rStyle w:val="Gvdemetni367pt0ptbolukbraklyor5"/>
                <w:color w:val="auto"/>
                <w:sz w:val="24"/>
                <w:szCs w:val="24"/>
              </w:rPr>
              <w:t>0,001586</w:t>
            </w:r>
          </w:p>
        </w:tc>
        <w:tc>
          <w:tcPr>
            <w:tcW w:w="960" w:type="dxa"/>
            <w:shd w:val="clear" w:color="auto" w:fill="auto"/>
          </w:tcPr>
          <w:p w14:paraId="7B4F5F5D" w14:textId="77777777" w:rsidR="00D538EC" w:rsidRPr="00DE12A3" w:rsidRDefault="00D538EC" w:rsidP="00C87086">
            <w:pPr>
              <w:pStyle w:val="Gvdemetni361"/>
              <w:shd w:val="clear" w:color="auto" w:fill="auto"/>
              <w:spacing w:before="120" w:after="120" w:line="240" w:lineRule="auto"/>
              <w:ind w:firstLine="0"/>
              <w:jc w:val="center"/>
              <w:rPr>
                <w:color w:val="auto"/>
                <w:sz w:val="24"/>
                <w:szCs w:val="24"/>
              </w:rPr>
            </w:pPr>
            <w:r w:rsidRPr="00DE12A3">
              <w:rPr>
                <w:rStyle w:val="Gvdemetni367pt0ptbolukbraklyor5"/>
                <w:color w:val="auto"/>
                <w:sz w:val="24"/>
                <w:szCs w:val="24"/>
              </w:rPr>
              <w:t>0,000966</w:t>
            </w:r>
          </w:p>
        </w:tc>
        <w:tc>
          <w:tcPr>
            <w:tcW w:w="960" w:type="dxa"/>
            <w:shd w:val="clear" w:color="auto" w:fill="auto"/>
          </w:tcPr>
          <w:p w14:paraId="2F0A6341" w14:textId="77777777" w:rsidR="00D538EC" w:rsidRPr="00DE12A3" w:rsidRDefault="00D538EC" w:rsidP="00C87086">
            <w:pPr>
              <w:pStyle w:val="Gvdemetni361"/>
              <w:shd w:val="clear" w:color="auto" w:fill="auto"/>
              <w:spacing w:before="120" w:after="120" w:line="240" w:lineRule="auto"/>
              <w:ind w:firstLine="0"/>
              <w:jc w:val="center"/>
              <w:rPr>
                <w:color w:val="auto"/>
                <w:sz w:val="24"/>
                <w:szCs w:val="24"/>
              </w:rPr>
            </w:pPr>
            <w:r w:rsidRPr="00DE12A3">
              <w:rPr>
                <w:rStyle w:val="Gvdemetni367pt0ptbolukbraklyor5"/>
                <w:color w:val="auto"/>
                <w:sz w:val="24"/>
                <w:szCs w:val="24"/>
              </w:rPr>
              <w:t>0,000482</w:t>
            </w:r>
          </w:p>
        </w:tc>
        <w:tc>
          <w:tcPr>
            <w:tcW w:w="960" w:type="dxa"/>
            <w:shd w:val="clear" w:color="auto" w:fill="auto"/>
          </w:tcPr>
          <w:p w14:paraId="3C8E80D1" w14:textId="77777777" w:rsidR="00D538EC" w:rsidRPr="00DE12A3" w:rsidRDefault="00D538EC" w:rsidP="00C87086">
            <w:pPr>
              <w:pStyle w:val="Gvdemetni361"/>
              <w:shd w:val="clear" w:color="auto" w:fill="auto"/>
              <w:spacing w:before="120" w:after="120" w:line="240" w:lineRule="auto"/>
              <w:ind w:firstLine="0"/>
              <w:jc w:val="center"/>
              <w:rPr>
                <w:color w:val="auto"/>
                <w:sz w:val="24"/>
                <w:szCs w:val="24"/>
              </w:rPr>
            </w:pPr>
            <w:r w:rsidRPr="00DE12A3">
              <w:rPr>
                <w:rStyle w:val="Gvdemetni367pt0ptbolukbraklyor5"/>
                <w:color w:val="auto"/>
                <w:sz w:val="24"/>
                <w:szCs w:val="24"/>
              </w:rPr>
              <w:t>0,001517</w:t>
            </w:r>
          </w:p>
        </w:tc>
        <w:tc>
          <w:tcPr>
            <w:tcW w:w="960" w:type="dxa"/>
            <w:shd w:val="clear" w:color="auto" w:fill="auto"/>
          </w:tcPr>
          <w:p w14:paraId="41F0A15A" w14:textId="77777777" w:rsidR="00D538EC" w:rsidRPr="00DE12A3" w:rsidRDefault="00D538EC" w:rsidP="00C87086">
            <w:pPr>
              <w:pStyle w:val="Gvdemetni361"/>
              <w:shd w:val="clear" w:color="auto" w:fill="auto"/>
              <w:spacing w:before="120" w:after="120" w:line="240" w:lineRule="auto"/>
              <w:ind w:firstLine="0"/>
              <w:jc w:val="center"/>
              <w:rPr>
                <w:color w:val="auto"/>
                <w:sz w:val="24"/>
                <w:szCs w:val="24"/>
              </w:rPr>
            </w:pPr>
            <w:r w:rsidRPr="00DE12A3">
              <w:rPr>
                <w:rStyle w:val="Gvdemetni367pt0ptbolukbraklyor5"/>
                <w:color w:val="auto"/>
                <w:sz w:val="24"/>
                <w:szCs w:val="24"/>
              </w:rPr>
              <w:t>0,001103</w:t>
            </w:r>
          </w:p>
        </w:tc>
        <w:tc>
          <w:tcPr>
            <w:tcW w:w="984" w:type="dxa"/>
            <w:shd w:val="clear" w:color="auto" w:fill="auto"/>
          </w:tcPr>
          <w:p w14:paraId="476AC1DA" w14:textId="77777777" w:rsidR="00D538EC" w:rsidRPr="00DE12A3" w:rsidRDefault="00D538EC" w:rsidP="00C87086">
            <w:pPr>
              <w:pStyle w:val="Gvdemetni361"/>
              <w:shd w:val="clear" w:color="auto" w:fill="auto"/>
              <w:spacing w:before="120" w:after="120" w:line="240" w:lineRule="auto"/>
              <w:ind w:firstLine="0"/>
              <w:jc w:val="center"/>
              <w:rPr>
                <w:color w:val="auto"/>
                <w:sz w:val="24"/>
                <w:szCs w:val="24"/>
              </w:rPr>
            </w:pPr>
            <w:r w:rsidRPr="00DE12A3">
              <w:rPr>
                <w:rStyle w:val="Gvdemetni367pt0ptbolukbraklyor5"/>
                <w:color w:val="auto"/>
                <w:sz w:val="24"/>
                <w:szCs w:val="24"/>
              </w:rPr>
              <w:t>0,000553</w:t>
            </w:r>
          </w:p>
        </w:tc>
      </w:tr>
      <w:tr w:rsidR="00DE12A3" w:rsidRPr="00DE12A3" w14:paraId="1C7ACA6F" w14:textId="77777777" w:rsidTr="00C87086">
        <w:trPr>
          <w:trHeight w:hRule="exact" w:val="981"/>
        </w:trPr>
        <w:tc>
          <w:tcPr>
            <w:tcW w:w="2116" w:type="dxa"/>
            <w:shd w:val="clear" w:color="auto" w:fill="auto"/>
          </w:tcPr>
          <w:p w14:paraId="1E2E2A3F" w14:textId="77777777" w:rsidR="00D538EC" w:rsidRPr="00DE12A3" w:rsidRDefault="00D538EC" w:rsidP="00C87086">
            <w:pPr>
              <w:spacing w:before="120" w:after="120"/>
              <w:ind w:left="40"/>
              <w:rPr>
                <w:rStyle w:val="Gvdemetni85pt0ptbolukbraklyor"/>
                <w:rFonts w:eastAsia="Courier New"/>
                <w:color w:val="auto"/>
                <w:sz w:val="24"/>
                <w:szCs w:val="24"/>
              </w:rPr>
            </w:pPr>
            <w:r w:rsidRPr="00DE12A3">
              <w:rPr>
                <w:rStyle w:val="Gvdemetni85pt0ptbolukbraklyor"/>
                <w:rFonts w:eastAsia="Courier New"/>
                <w:color w:val="auto"/>
                <w:sz w:val="24"/>
                <w:szCs w:val="24"/>
              </w:rPr>
              <w:t>Tahsisli sıkıştırma ateşlemeli motorlar için etanol</w:t>
            </w:r>
          </w:p>
          <w:p w14:paraId="6C17756C" w14:textId="77777777" w:rsidR="00D538EC" w:rsidRPr="00DE12A3" w:rsidRDefault="00D538EC" w:rsidP="00C87086">
            <w:pPr>
              <w:spacing w:before="120" w:after="120"/>
              <w:ind w:left="40"/>
              <w:rPr>
                <w:rStyle w:val="Gvdemetni85pt0ptbolukbraklyor"/>
                <w:rFonts w:eastAsia="Courier New"/>
                <w:color w:val="auto"/>
                <w:sz w:val="24"/>
                <w:szCs w:val="24"/>
              </w:rPr>
            </w:pPr>
            <w:r w:rsidRPr="00DE12A3">
              <w:rPr>
                <w:rStyle w:val="Gvdemetni85pt0ptbolukbraklyor"/>
                <w:rFonts w:eastAsia="Courier New"/>
                <w:color w:val="auto"/>
                <w:sz w:val="24"/>
                <w:szCs w:val="24"/>
              </w:rPr>
              <w:t>(ED95)</w:t>
            </w:r>
          </w:p>
        </w:tc>
        <w:tc>
          <w:tcPr>
            <w:tcW w:w="854" w:type="dxa"/>
            <w:shd w:val="clear" w:color="auto" w:fill="auto"/>
          </w:tcPr>
          <w:p w14:paraId="5B009576" w14:textId="77777777" w:rsidR="00D538EC" w:rsidRPr="00DE12A3" w:rsidRDefault="00D538EC" w:rsidP="00C87086">
            <w:pPr>
              <w:pStyle w:val="Gvdemetni361"/>
              <w:shd w:val="clear" w:color="auto" w:fill="auto"/>
              <w:spacing w:before="120" w:after="120" w:line="240" w:lineRule="auto"/>
              <w:ind w:firstLine="0"/>
              <w:jc w:val="center"/>
              <w:rPr>
                <w:rStyle w:val="Gvdemetni85pt0ptbolukbraklyor"/>
                <w:rFonts w:eastAsia="Courier New"/>
                <w:color w:val="auto"/>
                <w:sz w:val="24"/>
                <w:szCs w:val="24"/>
              </w:rPr>
            </w:pPr>
            <w:r w:rsidRPr="00DE12A3">
              <w:rPr>
                <w:rStyle w:val="Gvdemetni85pt0ptbolukbraklyor"/>
                <w:rFonts w:eastAsia="Courier New"/>
                <w:color w:val="auto"/>
                <w:sz w:val="24"/>
                <w:szCs w:val="24"/>
              </w:rPr>
              <w:t>1,</w:t>
            </w:r>
            <w:r w:rsidRPr="00DE12A3">
              <w:rPr>
                <w:rStyle w:val="Gvdemetni367pt0ptbolukbraklyor5"/>
                <w:color w:val="auto"/>
                <w:sz w:val="24"/>
                <w:szCs w:val="24"/>
              </w:rPr>
              <w:t>2768</w:t>
            </w:r>
          </w:p>
        </w:tc>
        <w:tc>
          <w:tcPr>
            <w:tcW w:w="960" w:type="dxa"/>
            <w:shd w:val="clear" w:color="auto" w:fill="auto"/>
          </w:tcPr>
          <w:p w14:paraId="4072B8FE" w14:textId="77777777" w:rsidR="00D538EC" w:rsidRPr="00DE12A3" w:rsidRDefault="00D538EC" w:rsidP="00C87086">
            <w:pPr>
              <w:pStyle w:val="Gvdemetni361"/>
              <w:shd w:val="clear" w:color="auto" w:fill="auto"/>
              <w:spacing w:before="120" w:after="120" w:line="240" w:lineRule="auto"/>
              <w:ind w:firstLine="0"/>
              <w:jc w:val="center"/>
              <w:rPr>
                <w:rStyle w:val="Gvdemetni85pt0ptbolukbraklyor"/>
                <w:rFonts w:eastAsia="Courier New"/>
                <w:color w:val="auto"/>
                <w:sz w:val="24"/>
                <w:szCs w:val="24"/>
              </w:rPr>
            </w:pPr>
            <w:r w:rsidRPr="00DE12A3">
              <w:rPr>
                <w:rStyle w:val="Gvdemetni85pt0ptbolukbraklyor"/>
                <w:rFonts w:eastAsia="Courier New"/>
                <w:color w:val="auto"/>
                <w:sz w:val="24"/>
                <w:szCs w:val="24"/>
              </w:rPr>
              <w:t>0,001609</w:t>
            </w:r>
          </w:p>
        </w:tc>
        <w:tc>
          <w:tcPr>
            <w:tcW w:w="960" w:type="dxa"/>
            <w:shd w:val="clear" w:color="auto" w:fill="auto"/>
          </w:tcPr>
          <w:p w14:paraId="0C2FBC0C" w14:textId="77777777" w:rsidR="00D538EC" w:rsidRPr="00DE12A3" w:rsidRDefault="00D538EC" w:rsidP="00C87086">
            <w:pPr>
              <w:pStyle w:val="Gvdemetni361"/>
              <w:shd w:val="clear" w:color="auto" w:fill="auto"/>
              <w:spacing w:before="120" w:after="120" w:line="240" w:lineRule="auto"/>
              <w:ind w:firstLine="0"/>
              <w:jc w:val="center"/>
              <w:rPr>
                <w:rStyle w:val="Gvdemetni367pt0ptbolukbraklyor5"/>
                <w:color w:val="auto"/>
                <w:sz w:val="24"/>
                <w:szCs w:val="24"/>
              </w:rPr>
            </w:pPr>
            <w:r w:rsidRPr="00DE12A3">
              <w:rPr>
                <w:rStyle w:val="Gvdemetni367pt0ptbolukbraklyor5"/>
                <w:color w:val="auto"/>
                <w:sz w:val="24"/>
                <w:szCs w:val="24"/>
              </w:rPr>
              <w:t>0,000980</w:t>
            </w:r>
          </w:p>
        </w:tc>
        <w:tc>
          <w:tcPr>
            <w:tcW w:w="960" w:type="dxa"/>
            <w:shd w:val="clear" w:color="auto" w:fill="auto"/>
          </w:tcPr>
          <w:p w14:paraId="1E4DCEAF" w14:textId="77777777" w:rsidR="00D538EC" w:rsidRPr="00DE12A3" w:rsidRDefault="00D538EC" w:rsidP="00C87086">
            <w:pPr>
              <w:pStyle w:val="Gvdemetni361"/>
              <w:shd w:val="clear" w:color="auto" w:fill="auto"/>
              <w:spacing w:before="120" w:after="120" w:line="240" w:lineRule="auto"/>
              <w:ind w:firstLine="0"/>
              <w:jc w:val="center"/>
              <w:rPr>
                <w:rStyle w:val="Gvdemetni367pt0ptbolukbraklyor5"/>
                <w:color w:val="auto"/>
                <w:sz w:val="24"/>
                <w:szCs w:val="24"/>
              </w:rPr>
            </w:pPr>
            <w:r w:rsidRPr="00DE12A3">
              <w:rPr>
                <w:rStyle w:val="Gvdemetni367pt0ptbolukbraklyor5"/>
                <w:color w:val="auto"/>
                <w:sz w:val="24"/>
                <w:szCs w:val="24"/>
              </w:rPr>
              <w:t>0,000780</w:t>
            </w:r>
          </w:p>
        </w:tc>
        <w:tc>
          <w:tcPr>
            <w:tcW w:w="960" w:type="dxa"/>
            <w:shd w:val="clear" w:color="auto" w:fill="auto"/>
          </w:tcPr>
          <w:p w14:paraId="29FEDD80" w14:textId="77777777" w:rsidR="00D538EC" w:rsidRPr="00DE12A3" w:rsidRDefault="00D538EC" w:rsidP="00C87086">
            <w:pPr>
              <w:pStyle w:val="Gvdemetni361"/>
              <w:shd w:val="clear" w:color="auto" w:fill="auto"/>
              <w:spacing w:before="120" w:after="120" w:line="240" w:lineRule="auto"/>
              <w:ind w:firstLine="0"/>
              <w:jc w:val="center"/>
              <w:rPr>
                <w:rStyle w:val="Gvdemetni367pt0ptbolukbraklyor5"/>
                <w:color w:val="auto"/>
                <w:sz w:val="24"/>
                <w:szCs w:val="24"/>
              </w:rPr>
            </w:pPr>
            <w:r w:rsidRPr="00DE12A3">
              <w:rPr>
                <w:rStyle w:val="Gvdemetni367pt0ptbolukbraklyor5"/>
                <w:color w:val="auto"/>
                <w:sz w:val="24"/>
                <w:szCs w:val="24"/>
              </w:rPr>
              <w:t>0,001539</w:t>
            </w:r>
          </w:p>
        </w:tc>
        <w:tc>
          <w:tcPr>
            <w:tcW w:w="960" w:type="dxa"/>
            <w:shd w:val="clear" w:color="auto" w:fill="auto"/>
          </w:tcPr>
          <w:p w14:paraId="31844DBE" w14:textId="77777777" w:rsidR="00D538EC" w:rsidRPr="00DE12A3" w:rsidRDefault="00D538EC" w:rsidP="00C87086">
            <w:pPr>
              <w:pStyle w:val="Gvdemetni361"/>
              <w:shd w:val="clear" w:color="auto" w:fill="auto"/>
              <w:spacing w:before="120" w:after="120" w:line="240" w:lineRule="auto"/>
              <w:ind w:firstLine="0"/>
              <w:jc w:val="center"/>
              <w:rPr>
                <w:rStyle w:val="Gvdemetni367pt0ptbolukbraklyor5"/>
                <w:color w:val="auto"/>
                <w:sz w:val="24"/>
                <w:szCs w:val="24"/>
              </w:rPr>
            </w:pPr>
            <w:r w:rsidRPr="00DE12A3">
              <w:rPr>
                <w:rStyle w:val="Gvdemetni367pt0ptbolukbraklyor5"/>
                <w:color w:val="auto"/>
                <w:sz w:val="24"/>
                <w:szCs w:val="24"/>
              </w:rPr>
              <w:t>0,001119</w:t>
            </w:r>
          </w:p>
        </w:tc>
        <w:tc>
          <w:tcPr>
            <w:tcW w:w="984" w:type="dxa"/>
            <w:shd w:val="clear" w:color="auto" w:fill="auto"/>
          </w:tcPr>
          <w:p w14:paraId="3BA74E7C" w14:textId="77777777" w:rsidR="00D538EC" w:rsidRPr="00DE12A3" w:rsidRDefault="00D538EC" w:rsidP="00C87086">
            <w:pPr>
              <w:pStyle w:val="Gvdemetni361"/>
              <w:shd w:val="clear" w:color="auto" w:fill="auto"/>
              <w:spacing w:before="120" w:after="120" w:line="240" w:lineRule="auto"/>
              <w:ind w:firstLine="0"/>
              <w:jc w:val="center"/>
              <w:rPr>
                <w:rStyle w:val="Gvdemetni367pt0ptbolukbraklyor5"/>
                <w:color w:val="auto"/>
                <w:sz w:val="24"/>
                <w:szCs w:val="24"/>
              </w:rPr>
            </w:pPr>
            <w:r w:rsidRPr="00DE12A3">
              <w:rPr>
                <w:rStyle w:val="Gvdemetni367pt0ptbolukbraklyor5"/>
                <w:color w:val="auto"/>
                <w:sz w:val="24"/>
                <w:szCs w:val="24"/>
              </w:rPr>
              <w:t>0,000561</w:t>
            </w:r>
          </w:p>
        </w:tc>
      </w:tr>
      <w:tr w:rsidR="00DE12A3" w:rsidRPr="00DE12A3" w14:paraId="03871A71" w14:textId="77777777" w:rsidTr="00906219">
        <w:trPr>
          <w:trHeight w:hRule="exact" w:val="858"/>
        </w:trPr>
        <w:tc>
          <w:tcPr>
            <w:tcW w:w="2116" w:type="dxa"/>
            <w:shd w:val="clear" w:color="auto" w:fill="auto"/>
          </w:tcPr>
          <w:p w14:paraId="2DB4C091" w14:textId="77777777" w:rsidR="00D538EC" w:rsidRPr="00DE12A3" w:rsidRDefault="00D538EC" w:rsidP="00C87086">
            <w:pPr>
              <w:spacing w:before="120" w:after="120"/>
              <w:ind w:left="40"/>
              <w:rPr>
                <w:rFonts w:cs="Times New Roman"/>
                <w:color w:val="auto"/>
              </w:rPr>
            </w:pPr>
            <w:r w:rsidRPr="00DE12A3">
              <w:rPr>
                <w:rStyle w:val="Gvdemetni85pt0ptbolukbraklyor"/>
                <w:rFonts w:eastAsia="Courier New"/>
                <w:color w:val="auto"/>
                <w:sz w:val="24"/>
                <w:szCs w:val="24"/>
              </w:rPr>
              <w:t xml:space="preserve">Doğal gaz / biyo-metan </w:t>
            </w:r>
            <w:r w:rsidRPr="00DE12A3">
              <w:rPr>
                <w:rStyle w:val="Gvdemetni85pt0ptbolukbraklyor"/>
                <w:rFonts w:eastAsia="Courier New"/>
                <w:color w:val="auto"/>
                <w:sz w:val="24"/>
                <w:szCs w:val="24"/>
                <w:vertAlign w:val="superscript"/>
              </w:rPr>
              <w:t>(c)</w:t>
            </w:r>
          </w:p>
        </w:tc>
        <w:tc>
          <w:tcPr>
            <w:tcW w:w="854" w:type="dxa"/>
            <w:shd w:val="clear" w:color="auto" w:fill="auto"/>
          </w:tcPr>
          <w:p w14:paraId="0A4C5604" w14:textId="77777777" w:rsidR="00D538EC" w:rsidRPr="00DE12A3" w:rsidRDefault="00D538EC" w:rsidP="00C87086">
            <w:pPr>
              <w:pStyle w:val="Gvdemetni361"/>
              <w:shd w:val="clear" w:color="auto" w:fill="auto"/>
              <w:spacing w:before="120" w:after="120" w:line="240" w:lineRule="auto"/>
              <w:ind w:firstLine="0"/>
              <w:jc w:val="center"/>
              <w:rPr>
                <w:color w:val="auto"/>
                <w:sz w:val="24"/>
                <w:szCs w:val="24"/>
              </w:rPr>
            </w:pPr>
            <w:r w:rsidRPr="00DE12A3">
              <w:rPr>
                <w:rStyle w:val="Gvdemetni367pt0ptbolukbraklyor5"/>
                <w:color w:val="auto"/>
                <w:sz w:val="24"/>
                <w:szCs w:val="24"/>
              </w:rPr>
              <w:t>1,2661</w:t>
            </w:r>
          </w:p>
        </w:tc>
        <w:tc>
          <w:tcPr>
            <w:tcW w:w="960" w:type="dxa"/>
            <w:shd w:val="clear" w:color="auto" w:fill="auto"/>
          </w:tcPr>
          <w:p w14:paraId="2D8C9B0A" w14:textId="77777777" w:rsidR="00D538EC" w:rsidRPr="00DE12A3" w:rsidRDefault="00D538EC" w:rsidP="00C87086">
            <w:pPr>
              <w:pStyle w:val="Gvdemetni361"/>
              <w:shd w:val="clear" w:color="auto" w:fill="auto"/>
              <w:spacing w:before="120" w:after="120" w:line="240" w:lineRule="auto"/>
              <w:ind w:firstLine="0"/>
              <w:jc w:val="center"/>
              <w:rPr>
                <w:color w:val="auto"/>
                <w:sz w:val="24"/>
                <w:szCs w:val="24"/>
              </w:rPr>
            </w:pPr>
            <w:r w:rsidRPr="00DE12A3">
              <w:rPr>
                <w:rStyle w:val="Gvdemetni367pt0ptbolukbraklyor5"/>
                <w:color w:val="auto"/>
                <w:sz w:val="24"/>
                <w:szCs w:val="24"/>
              </w:rPr>
              <w:t>0,001621</w:t>
            </w:r>
          </w:p>
        </w:tc>
        <w:tc>
          <w:tcPr>
            <w:tcW w:w="960" w:type="dxa"/>
            <w:shd w:val="clear" w:color="auto" w:fill="auto"/>
          </w:tcPr>
          <w:p w14:paraId="0624A255" w14:textId="77777777" w:rsidR="00D538EC" w:rsidRPr="00DE12A3" w:rsidRDefault="00D538EC" w:rsidP="00C87086">
            <w:pPr>
              <w:pStyle w:val="Gvdemetni361"/>
              <w:shd w:val="clear" w:color="auto" w:fill="auto"/>
              <w:spacing w:before="120" w:after="120" w:line="240" w:lineRule="auto"/>
              <w:ind w:firstLine="0"/>
              <w:jc w:val="center"/>
              <w:rPr>
                <w:color w:val="auto"/>
                <w:sz w:val="24"/>
                <w:szCs w:val="24"/>
              </w:rPr>
            </w:pPr>
            <w:r w:rsidRPr="00DE12A3">
              <w:rPr>
                <w:rStyle w:val="Gvdemetni367pt0ptbolukbraklyor5"/>
                <w:color w:val="auto"/>
                <w:sz w:val="24"/>
                <w:szCs w:val="24"/>
              </w:rPr>
              <w:t>0,000987</w:t>
            </w:r>
          </w:p>
        </w:tc>
        <w:tc>
          <w:tcPr>
            <w:tcW w:w="960" w:type="dxa"/>
            <w:shd w:val="clear" w:color="auto" w:fill="auto"/>
          </w:tcPr>
          <w:p w14:paraId="4674463C" w14:textId="77777777" w:rsidR="00D538EC" w:rsidRPr="00DE12A3" w:rsidRDefault="00D538EC" w:rsidP="00C87086">
            <w:pPr>
              <w:pStyle w:val="Gvdemetni361"/>
              <w:shd w:val="clear" w:color="auto" w:fill="auto"/>
              <w:spacing w:before="120" w:after="120" w:line="240" w:lineRule="auto"/>
              <w:ind w:firstLine="0"/>
              <w:jc w:val="center"/>
              <w:rPr>
                <w:color w:val="auto"/>
                <w:sz w:val="24"/>
                <w:szCs w:val="24"/>
              </w:rPr>
            </w:pPr>
            <w:r w:rsidRPr="00DE12A3">
              <w:rPr>
                <w:rStyle w:val="Gvdemetni367pt0ptbolukbraklyor5"/>
                <w:color w:val="auto"/>
                <w:sz w:val="24"/>
                <w:szCs w:val="24"/>
              </w:rPr>
              <w:t>0,000528 (</w:t>
            </w:r>
            <w:r w:rsidRPr="00DE12A3">
              <w:rPr>
                <w:rStyle w:val="Gvdemetni367pt0ptbolukbraklyor5"/>
                <w:color w:val="auto"/>
                <w:sz w:val="24"/>
                <w:szCs w:val="24"/>
                <w:vertAlign w:val="superscript"/>
              </w:rPr>
              <w:t>d</w:t>
            </w:r>
            <w:r w:rsidRPr="00DE12A3">
              <w:rPr>
                <w:rStyle w:val="Gvdemetni367pt0ptbolukbraklyor5"/>
                <w:color w:val="auto"/>
                <w:sz w:val="24"/>
                <w:szCs w:val="24"/>
              </w:rPr>
              <w:t>)</w:t>
            </w:r>
          </w:p>
        </w:tc>
        <w:tc>
          <w:tcPr>
            <w:tcW w:w="960" w:type="dxa"/>
            <w:shd w:val="clear" w:color="auto" w:fill="auto"/>
          </w:tcPr>
          <w:p w14:paraId="75B73DD7" w14:textId="77777777" w:rsidR="00D538EC" w:rsidRPr="00DE12A3" w:rsidRDefault="00D538EC" w:rsidP="00C87086">
            <w:pPr>
              <w:pStyle w:val="Gvdemetni361"/>
              <w:shd w:val="clear" w:color="auto" w:fill="auto"/>
              <w:spacing w:before="120" w:after="120" w:line="240" w:lineRule="auto"/>
              <w:ind w:firstLine="0"/>
              <w:jc w:val="center"/>
              <w:rPr>
                <w:color w:val="auto"/>
                <w:sz w:val="24"/>
                <w:szCs w:val="24"/>
              </w:rPr>
            </w:pPr>
            <w:r w:rsidRPr="00DE12A3">
              <w:rPr>
                <w:rStyle w:val="Gvdemetni367pt0ptbolukbraklyor5"/>
                <w:color w:val="auto"/>
                <w:sz w:val="24"/>
                <w:szCs w:val="24"/>
              </w:rPr>
              <w:t>0,001551</w:t>
            </w:r>
          </w:p>
        </w:tc>
        <w:tc>
          <w:tcPr>
            <w:tcW w:w="960" w:type="dxa"/>
            <w:shd w:val="clear" w:color="auto" w:fill="auto"/>
          </w:tcPr>
          <w:p w14:paraId="11CC5D57" w14:textId="77777777" w:rsidR="00D538EC" w:rsidRPr="00DE12A3" w:rsidRDefault="00D538EC" w:rsidP="00C87086">
            <w:pPr>
              <w:pStyle w:val="Gvdemetni361"/>
              <w:shd w:val="clear" w:color="auto" w:fill="auto"/>
              <w:spacing w:before="120" w:after="120" w:line="240" w:lineRule="auto"/>
              <w:ind w:firstLine="0"/>
              <w:jc w:val="center"/>
              <w:rPr>
                <w:color w:val="auto"/>
                <w:sz w:val="24"/>
                <w:szCs w:val="24"/>
              </w:rPr>
            </w:pPr>
            <w:r w:rsidRPr="00DE12A3">
              <w:rPr>
                <w:rStyle w:val="Gvdemetni367pt0ptbolukbraklyor5"/>
                <w:color w:val="auto"/>
                <w:sz w:val="24"/>
                <w:szCs w:val="24"/>
              </w:rPr>
              <w:t>0,001128</w:t>
            </w:r>
          </w:p>
        </w:tc>
        <w:tc>
          <w:tcPr>
            <w:tcW w:w="984" w:type="dxa"/>
            <w:shd w:val="clear" w:color="auto" w:fill="auto"/>
          </w:tcPr>
          <w:p w14:paraId="68258C60" w14:textId="77777777" w:rsidR="00D538EC" w:rsidRPr="00DE12A3" w:rsidRDefault="00D538EC" w:rsidP="00C87086">
            <w:pPr>
              <w:pStyle w:val="Gvdemetni361"/>
              <w:shd w:val="clear" w:color="auto" w:fill="auto"/>
              <w:spacing w:before="120" w:after="120" w:line="240" w:lineRule="auto"/>
              <w:ind w:firstLine="0"/>
              <w:jc w:val="center"/>
              <w:rPr>
                <w:color w:val="auto"/>
                <w:sz w:val="24"/>
                <w:szCs w:val="24"/>
              </w:rPr>
            </w:pPr>
            <w:r w:rsidRPr="00DE12A3">
              <w:rPr>
                <w:rStyle w:val="Gvdemetni367pt0ptbolukbraklyor5"/>
                <w:color w:val="auto"/>
                <w:sz w:val="24"/>
                <w:szCs w:val="24"/>
              </w:rPr>
              <w:t>0,000565</w:t>
            </w:r>
          </w:p>
        </w:tc>
      </w:tr>
      <w:tr w:rsidR="00DE12A3" w:rsidRPr="00DE12A3" w14:paraId="2E9E83F8" w14:textId="77777777" w:rsidTr="00C87086">
        <w:trPr>
          <w:trHeight w:hRule="exact" w:val="706"/>
        </w:trPr>
        <w:tc>
          <w:tcPr>
            <w:tcW w:w="2116" w:type="dxa"/>
            <w:shd w:val="clear" w:color="auto" w:fill="auto"/>
          </w:tcPr>
          <w:p w14:paraId="710E132D" w14:textId="77777777" w:rsidR="00D538EC" w:rsidRPr="00DE12A3" w:rsidRDefault="00D538EC" w:rsidP="00C87086">
            <w:pPr>
              <w:spacing w:before="120" w:after="120"/>
              <w:ind w:left="40"/>
              <w:rPr>
                <w:rFonts w:cs="Times New Roman"/>
                <w:color w:val="auto"/>
              </w:rPr>
            </w:pPr>
            <w:r w:rsidRPr="00DE12A3">
              <w:rPr>
                <w:rStyle w:val="Gvdemetni85pt0ptbolukbraklyor"/>
                <w:rFonts w:eastAsia="Courier New"/>
                <w:color w:val="auto"/>
                <w:sz w:val="24"/>
                <w:szCs w:val="24"/>
              </w:rPr>
              <w:t>Propan</w:t>
            </w:r>
          </w:p>
        </w:tc>
        <w:tc>
          <w:tcPr>
            <w:tcW w:w="854" w:type="dxa"/>
            <w:shd w:val="clear" w:color="auto" w:fill="auto"/>
          </w:tcPr>
          <w:p w14:paraId="4402930B" w14:textId="77777777" w:rsidR="00D538EC" w:rsidRPr="00DE12A3" w:rsidRDefault="00D538EC" w:rsidP="00C87086">
            <w:pPr>
              <w:pStyle w:val="Gvdemetni361"/>
              <w:shd w:val="clear" w:color="auto" w:fill="auto"/>
              <w:spacing w:before="120" w:after="120" w:line="240" w:lineRule="auto"/>
              <w:ind w:firstLine="0"/>
              <w:jc w:val="center"/>
              <w:rPr>
                <w:color w:val="auto"/>
                <w:sz w:val="24"/>
                <w:szCs w:val="24"/>
              </w:rPr>
            </w:pPr>
            <w:r w:rsidRPr="00DE12A3">
              <w:rPr>
                <w:rStyle w:val="Gvdemetni367pt0ptbolukbraklyor5"/>
                <w:color w:val="auto"/>
                <w:sz w:val="24"/>
                <w:szCs w:val="24"/>
              </w:rPr>
              <w:t>1,2805</w:t>
            </w:r>
          </w:p>
        </w:tc>
        <w:tc>
          <w:tcPr>
            <w:tcW w:w="960" w:type="dxa"/>
            <w:shd w:val="clear" w:color="auto" w:fill="auto"/>
          </w:tcPr>
          <w:p w14:paraId="31CFE3D7" w14:textId="77777777" w:rsidR="00D538EC" w:rsidRPr="00DE12A3" w:rsidRDefault="00D538EC" w:rsidP="00C87086">
            <w:pPr>
              <w:pStyle w:val="Gvdemetni361"/>
              <w:shd w:val="clear" w:color="auto" w:fill="auto"/>
              <w:spacing w:before="120" w:after="120" w:line="240" w:lineRule="auto"/>
              <w:ind w:firstLine="0"/>
              <w:jc w:val="center"/>
              <w:rPr>
                <w:color w:val="auto"/>
                <w:sz w:val="24"/>
                <w:szCs w:val="24"/>
              </w:rPr>
            </w:pPr>
            <w:r w:rsidRPr="00DE12A3">
              <w:rPr>
                <w:rStyle w:val="Gvdemetni367pt0ptbolukbraklyor5"/>
                <w:color w:val="auto"/>
                <w:sz w:val="24"/>
                <w:szCs w:val="24"/>
              </w:rPr>
              <w:t>0,001603</w:t>
            </w:r>
          </w:p>
        </w:tc>
        <w:tc>
          <w:tcPr>
            <w:tcW w:w="960" w:type="dxa"/>
            <w:shd w:val="clear" w:color="auto" w:fill="auto"/>
          </w:tcPr>
          <w:p w14:paraId="0F647697" w14:textId="77777777" w:rsidR="00D538EC" w:rsidRPr="00DE12A3" w:rsidRDefault="00D538EC" w:rsidP="00C87086">
            <w:pPr>
              <w:pStyle w:val="Gvdemetni361"/>
              <w:shd w:val="clear" w:color="auto" w:fill="auto"/>
              <w:spacing w:before="120" w:after="120" w:line="240" w:lineRule="auto"/>
              <w:ind w:firstLine="0"/>
              <w:jc w:val="center"/>
              <w:rPr>
                <w:color w:val="auto"/>
                <w:sz w:val="24"/>
                <w:szCs w:val="24"/>
              </w:rPr>
            </w:pPr>
            <w:r w:rsidRPr="00DE12A3">
              <w:rPr>
                <w:rStyle w:val="Gvdemetni367pt0ptbolukbraklyor5"/>
                <w:color w:val="auto"/>
                <w:sz w:val="24"/>
                <w:szCs w:val="24"/>
              </w:rPr>
              <w:t>0,000976</w:t>
            </w:r>
          </w:p>
        </w:tc>
        <w:tc>
          <w:tcPr>
            <w:tcW w:w="960" w:type="dxa"/>
            <w:shd w:val="clear" w:color="auto" w:fill="auto"/>
          </w:tcPr>
          <w:p w14:paraId="1C263D46" w14:textId="77777777" w:rsidR="00D538EC" w:rsidRPr="00DE12A3" w:rsidRDefault="00D538EC" w:rsidP="00C87086">
            <w:pPr>
              <w:pStyle w:val="Gvdemetni361"/>
              <w:shd w:val="clear" w:color="auto" w:fill="auto"/>
              <w:spacing w:before="120" w:after="120" w:line="240" w:lineRule="auto"/>
              <w:ind w:firstLine="0"/>
              <w:jc w:val="center"/>
              <w:rPr>
                <w:color w:val="auto"/>
                <w:sz w:val="24"/>
                <w:szCs w:val="24"/>
              </w:rPr>
            </w:pPr>
            <w:r w:rsidRPr="00DE12A3">
              <w:rPr>
                <w:rStyle w:val="Gvdemetni367pt0ptbolukbraklyor5"/>
                <w:color w:val="auto"/>
                <w:sz w:val="24"/>
                <w:szCs w:val="24"/>
              </w:rPr>
              <w:t>0,000512</w:t>
            </w:r>
          </w:p>
        </w:tc>
        <w:tc>
          <w:tcPr>
            <w:tcW w:w="960" w:type="dxa"/>
            <w:shd w:val="clear" w:color="auto" w:fill="auto"/>
          </w:tcPr>
          <w:p w14:paraId="020965AC" w14:textId="77777777" w:rsidR="00D538EC" w:rsidRPr="00DE12A3" w:rsidRDefault="00D538EC" w:rsidP="00C87086">
            <w:pPr>
              <w:pStyle w:val="Gvdemetni361"/>
              <w:shd w:val="clear" w:color="auto" w:fill="auto"/>
              <w:spacing w:before="120" w:after="120" w:line="240" w:lineRule="auto"/>
              <w:ind w:firstLine="0"/>
              <w:jc w:val="center"/>
              <w:rPr>
                <w:color w:val="auto"/>
                <w:sz w:val="24"/>
                <w:szCs w:val="24"/>
              </w:rPr>
            </w:pPr>
            <w:r w:rsidRPr="00DE12A3">
              <w:rPr>
                <w:rStyle w:val="Gvdemetni367pt0ptbolukbraklyor5"/>
                <w:color w:val="auto"/>
                <w:sz w:val="24"/>
                <w:szCs w:val="24"/>
              </w:rPr>
              <w:t>0,001533</w:t>
            </w:r>
          </w:p>
        </w:tc>
        <w:tc>
          <w:tcPr>
            <w:tcW w:w="960" w:type="dxa"/>
            <w:shd w:val="clear" w:color="auto" w:fill="auto"/>
          </w:tcPr>
          <w:p w14:paraId="3D8E36A6" w14:textId="77777777" w:rsidR="00D538EC" w:rsidRPr="00DE12A3" w:rsidRDefault="00D538EC" w:rsidP="00C87086">
            <w:pPr>
              <w:pStyle w:val="Gvdemetni361"/>
              <w:shd w:val="clear" w:color="auto" w:fill="auto"/>
              <w:spacing w:before="120" w:after="120" w:line="240" w:lineRule="auto"/>
              <w:ind w:firstLine="0"/>
              <w:jc w:val="center"/>
              <w:rPr>
                <w:color w:val="auto"/>
                <w:sz w:val="24"/>
                <w:szCs w:val="24"/>
              </w:rPr>
            </w:pPr>
            <w:r w:rsidRPr="00DE12A3">
              <w:rPr>
                <w:rStyle w:val="Gvdemetni367pt0ptbolukbraklyor5"/>
                <w:color w:val="auto"/>
                <w:sz w:val="24"/>
                <w:szCs w:val="24"/>
              </w:rPr>
              <w:t>0,001115</w:t>
            </w:r>
          </w:p>
        </w:tc>
        <w:tc>
          <w:tcPr>
            <w:tcW w:w="984" w:type="dxa"/>
            <w:shd w:val="clear" w:color="auto" w:fill="auto"/>
          </w:tcPr>
          <w:p w14:paraId="13D35CDF" w14:textId="77777777" w:rsidR="00D538EC" w:rsidRPr="00DE12A3" w:rsidRDefault="00D538EC" w:rsidP="00C87086">
            <w:pPr>
              <w:pStyle w:val="Gvdemetni361"/>
              <w:shd w:val="clear" w:color="auto" w:fill="auto"/>
              <w:spacing w:before="120" w:after="120" w:line="240" w:lineRule="auto"/>
              <w:ind w:firstLine="0"/>
              <w:jc w:val="center"/>
              <w:rPr>
                <w:color w:val="auto"/>
                <w:sz w:val="24"/>
                <w:szCs w:val="24"/>
              </w:rPr>
            </w:pPr>
            <w:r w:rsidRPr="00DE12A3">
              <w:rPr>
                <w:rStyle w:val="Gvdemetni367pt0ptbolukbraklyor5"/>
                <w:color w:val="auto"/>
                <w:sz w:val="24"/>
                <w:szCs w:val="24"/>
              </w:rPr>
              <w:t>0,000559</w:t>
            </w:r>
          </w:p>
        </w:tc>
      </w:tr>
      <w:tr w:rsidR="00DE12A3" w:rsidRPr="00DE12A3" w14:paraId="0D7AFE8E" w14:textId="77777777" w:rsidTr="00C87086">
        <w:trPr>
          <w:trHeight w:hRule="exact" w:val="716"/>
        </w:trPr>
        <w:tc>
          <w:tcPr>
            <w:tcW w:w="2116" w:type="dxa"/>
            <w:shd w:val="clear" w:color="auto" w:fill="auto"/>
          </w:tcPr>
          <w:p w14:paraId="12399A56" w14:textId="77777777" w:rsidR="00D538EC" w:rsidRPr="00DE12A3" w:rsidRDefault="00D538EC" w:rsidP="00C87086">
            <w:pPr>
              <w:spacing w:before="120" w:after="120"/>
              <w:ind w:left="40"/>
              <w:rPr>
                <w:rFonts w:cs="Times New Roman"/>
                <w:color w:val="auto"/>
              </w:rPr>
            </w:pPr>
            <w:r w:rsidRPr="00DE12A3">
              <w:rPr>
                <w:rStyle w:val="Gvdemetni85pt0ptbolukbraklyor"/>
                <w:rFonts w:eastAsia="Courier New"/>
                <w:color w:val="auto"/>
                <w:sz w:val="24"/>
                <w:szCs w:val="24"/>
              </w:rPr>
              <w:t>Bütan</w:t>
            </w:r>
          </w:p>
        </w:tc>
        <w:tc>
          <w:tcPr>
            <w:tcW w:w="854" w:type="dxa"/>
            <w:shd w:val="clear" w:color="auto" w:fill="auto"/>
          </w:tcPr>
          <w:p w14:paraId="46E29588" w14:textId="77777777" w:rsidR="00D538EC" w:rsidRPr="00DE12A3" w:rsidRDefault="00D538EC" w:rsidP="00C87086">
            <w:pPr>
              <w:pStyle w:val="Gvdemetni361"/>
              <w:shd w:val="clear" w:color="auto" w:fill="auto"/>
              <w:spacing w:before="120" w:after="120" w:line="240" w:lineRule="auto"/>
              <w:ind w:firstLine="0"/>
              <w:jc w:val="center"/>
              <w:rPr>
                <w:color w:val="auto"/>
                <w:sz w:val="24"/>
                <w:szCs w:val="24"/>
              </w:rPr>
            </w:pPr>
            <w:r w:rsidRPr="00DE12A3">
              <w:rPr>
                <w:rStyle w:val="Gvdemetni367pt0ptbolukbraklyor5"/>
                <w:color w:val="auto"/>
                <w:sz w:val="24"/>
                <w:szCs w:val="24"/>
              </w:rPr>
              <w:t>1,2832</w:t>
            </w:r>
          </w:p>
        </w:tc>
        <w:tc>
          <w:tcPr>
            <w:tcW w:w="960" w:type="dxa"/>
            <w:shd w:val="clear" w:color="auto" w:fill="auto"/>
          </w:tcPr>
          <w:p w14:paraId="7D8F5666" w14:textId="77777777" w:rsidR="00D538EC" w:rsidRPr="00DE12A3" w:rsidRDefault="00D538EC" w:rsidP="00C87086">
            <w:pPr>
              <w:pStyle w:val="Gvdemetni361"/>
              <w:shd w:val="clear" w:color="auto" w:fill="auto"/>
              <w:spacing w:before="120" w:after="120" w:line="240" w:lineRule="auto"/>
              <w:ind w:firstLine="0"/>
              <w:jc w:val="center"/>
              <w:rPr>
                <w:color w:val="auto"/>
                <w:sz w:val="24"/>
                <w:szCs w:val="24"/>
              </w:rPr>
            </w:pPr>
            <w:r w:rsidRPr="00DE12A3">
              <w:rPr>
                <w:rStyle w:val="Gvdemetni367pt0ptbolukbraklyor5"/>
                <w:color w:val="auto"/>
                <w:sz w:val="24"/>
                <w:szCs w:val="24"/>
              </w:rPr>
              <w:t>0,001600</w:t>
            </w:r>
          </w:p>
        </w:tc>
        <w:tc>
          <w:tcPr>
            <w:tcW w:w="960" w:type="dxa"/>
            <w:shd w:val="clear" w:color="auto" w:fill="auto"/>
          </w:tcPr>
          <w:p w14:paraId="7EF278A4" w14:textId="77777777" w:rsidR="00D538EC" w:rsidRPr="00DE12A3" w:rsidRDefault="00D538EC" w:rsidP="00C87086">
            <w:pPr>
              <w:pStyle w:val="Gvdemetni361"/>
              <w:shd w:val="clear" w:color="auto" w:fill="auto"/>
              <w:spacing w:before="120" w:after="120" w:line="240" w:lineRule="auto"/>
              <w:ind w:firstLine="0"/>
              <w:jc w:val="center"/>
              <w:rPr>
                <w:color w:val="auto"/>
                <w:sz w:val="24"/>
                <w:szCs w:val="24"/>
              </w:rPr>
            </w:pPr>
            <w:r w:rsidRPr="00DE12A3">
              <w:rPr>
                <w:rStyle w:val="Gvdemetni367pt0ptbolukbraklyor5"/>
                <w:color w:val="auto"/>
                <w:sz w:val="24"/>
                <w:szCs w:val="24"/>
              </w:rPr>
              <w:t>0,000974</w:t>
            </w:r>
          </w:p>
        </w:tc>
        <w:tc>
          <w:tcPr>
            <w:tcW w:w="960" w:type="dxa"/>
            <w:shd w:val="clear" w:color="auto" w:fill="auto"/>
          </w:tcPr>
          <w:p w14:paraId="370B39DE" w14:textId="77777777" w:rsidR="00D538EC" w:rsidRPr="00DE12A3" w:rsidRDefault="00D538EC" w:rsidP="00C87086">
            <w:pPr>
              <w:pStyle w:val="Gvdemetni361"/>
              <w:shd w:val="clear" w:color="auto" w:fill="auto"/>
              <w:spacing w:before="120" w:after="120" w:line="240" w:lineRule="auto"/>
              <w:ind w:firstLine="0"/>
              <w:jc w:val="center"/>
              <w:rPr>
                <w:color w:val="auto"/>
                <w:sz w:val="24"/>
                <w:szCs w:val="24"/>
              </w:rPr>
            </w:pPr>
            <w:r w:rsidRPr="00DE12A3">
              <w:rPr>
                <w:rStyle w:val="Gvdemetni367pt0ptbolukbraklyor5"/>
                <w:color w:val="auto"/>
                <w:sz w:val="24"/>
                <w:szCs w:val="24"/>
              </w:rPr>
              <w:t>0,000505</w:t>
            </w:r>
          </w:p>
        </w:tc>
        <w:tc>
          <w:tcPr>
            <w:tcW w:w="960" w:type="dxa"/>
            <w:shd w:val="clear" w:color="auto" w:fill="auto"/>
          </w:tcPr>
          <w:p w14:paraId="44B7D117" w14:textId="77777777" w:rsidR="00D538EC" w:rsidRPr="00DE12A3" w:rsidRDefault="00D538EC" w:rsidP="00C87086">
            <w:pPr>
              <w:pStyle w:val="Gvdemetni361"/>
              <w:shd w:val="clear" w:color="auto" w:fill="auto"/>
              <w:spacing w:before="120" w:after="120" w:line="240" w:lineRule="auto"/>
              <w:ind w:firstLine="0"/>
              <w:jc w:val="center"/>
              <w:rPr>
                <w:color w:val="auto"/>
                <w:sz w:val="24"/>
                <w:szCs w:val="24"/>
              </w:rPr>
            </w:pPr>
            <w:r w:rsidRPr="00DE12A3">
              <w:rPr>
                <w:rStyle w:val="Gvdemetni367pt0ptbolukbraklyor5"/>
                <w:color w:val="auto"/>
                <w:sz w:val="24"/>
                <w:szCs w:val="24"/>
              </w:rPr>
              <w:t>0,001530</w:t>
            </w:r>
          </w:p>
        </w:tc>
        <w:tc>
          <w:tcPr>
            <w:tcW w:w="960" w:type="dxa"/>
            <w:shd w:val="clear" w:color="auto" w:fill="auto"/>
          </w:tcPr>
          <w:p w14:paraId="5ADD3838" w14:textId="77777777" w:rsidR="00D538EC" w:rsidRPr="00DE12A3" w:rsidRDefault="00D538EC" w:rsidP="00C87086">
            <w:pPr>
              <w:pStyle w:val="Gvdemetni361"/>
              <w:shd w:val="clear" w:color="auto" w:fill="auto"/>
              <w:spacing w:before="120" w:after="120" w:line="240" w:lineRule="auto"/>
              <w:ind w:firstLine="0"/>
              <w:jc w:val="center"/>
              <w:rPr>
                <w:color w:val="auto"/>
                <w:sz w:val="24"/>
                <w:szCs w:val="24"/>
              </w:rPr>
            </w:pPr>
            <w:r w:rsidRPr="00DE12A3">
              <w:rPr>
                <w:rStyle w:val="Gvdemetni367pt0ptbolukbraklyor5"/>
                <w:color w:val="auto"/>
                <w:sz w:val="24"/>
                <w:szCs w:val="24"/>
              </w:rPr>
              <w:t>0,001113</w:t>
            </w:r>
          </w:p>
        </w:tc>
        <w:tc>
          <w:tcPr>
            <w:tcW w:w="984" w:type="dxa"/>
            <w:shd w:val="clear" w:color="auto" w:fill="auto"/>
          </w:tcPr>
          <w:p w14:paraId="73C2A684" w14:textId="77777777" w:rsidR="00D538EC" w:rsidRPr="00DE12A3" w:rsidRDefault="00D538EC" w:rsidP="00C87086">
            <w:pPr>
              <w:pStyle w:val="Gvdemetni361"/>
              <w:shd w:val="clear" w:color="auto" w:fill="auto"/>
              <w:spacing w:before="120" w:after="120" w:line="240" w:lineRule="auto"/>
              <w:ind w:firstLine="0"/>
              <w:jc w:val="center"/>
              <w:rPr>
                <w:color w:val="auto"/>
                <w:sz w:val="24"/>
                <w:szCs w:val="24"/>
              </w:rPr>
            </w:pPr>
            <w:r w:rsidRPr="00DE12A3">
              <w:rPr>
                <w:rStyle w:val="Gvdemetni367pt0ptbolukbraklyor5"/>
                <w:color w:val="auto"/>
                <w:sz w:val="24"/>
                <w:szCs w:val="24"/>
              </w:rPr>
              <w:t>0,000558</w:t>
            </w:r>
          </w:p>
        </w:tc>
      </w:tr>
      <w:tr w:rsidR="00DE12A3" w:rsidRPr="00DE12A3" w14:paraId="32A62C53" w14:textId="77777777" w:rsidTr="00C87086">
        <w:trPr>
          <w:trHeight w:hRule="exact" w:val="698"/>
        </w:trPr>
        <w:tc>
          <w:tcPr>
            <w:tcW w:w="2116" w:type="dxa"/>
            <w:shd w:val="clear" w:color="auto" w:fill="auto"/>
          </w:tcPr>
          <w:p w14:paraId="428456F1" w14:textId="77777777" w:rsidR="00D538EC" w:rsidRPr="00DE12A3" w:rsidRDefault="00D538EC" w:rsidP="00C87086">
            <w:pPr>
              <w:spacing w:before="120" w:after="120"/>
              <w:ind w:left="40"/>
              <w:rPr>
                <w:rFonts w:cs="Times New Roman"/>
                <w:color w:val="auto"/>
              </w:rPr>
            </w:pPr>
            <w:r w:rsidRPr="00DE12A3">
              <w:rPr>
                <w:rStyle w:val="Gvdemetni85pt0ptbolukbraklyor"/>
                <w:rFonts w:eastAsia="Courier New"/>
                <w:color w:val="auto"/>
                <w:sz w:val="24"/>
                <w:szCs w:val="24"/>
              </w:rPr>
              <w:t xml:space="preserve">LPG </w:t>
            </w:r>
            <w:r w:rsidRPr="00DE12A3">
              <w:rPr>
                <w:rStyle w:val="Gvdemetni85pt0ptbolukbraklyor"/>
                <w:rFonts w:eastAsia="Courier New"/>
                <w:color w:val="auto"/>
                <w:sz w:val="24"/>
                <w:szCs w:val="24"/>
                <w:vertAlign w:val="superscript"/>
              </w:rPr>
              <w:t>(e)</w:t>
            </w:r>
          </w:p>
        </w:tc>
        <w:tc>
          <w:tcPr>
            <w:tcW w:w="854" w:type="dxa"/>
            <w:shd w:val="clear" w:color="auto" w:fill="auto"/>
          </w:tcPr>
          <w:p w14:paraId="6A082EB8" w14:textId="77777777" w:rsidR="00D538EC" w:rsidRPr="00DE12A3" w:rsidRDefault="00D538EC" w:rsidP="00C87086">
            <w:pPr>
              <w:pStyle w:val="Gvdemetni361"/>
              <w:shd w:val="clear" w:color="auto" w:fill="auto"/>
              <w:spacing w:before="120" w:after="120" w:line="240" w:lineRule="auto"/>
              <w:ind w:firstLine="0"/>
              <w:jc w:val="center"/>
              <w:rPr>
                <w:color w:val="auto"/>
                <w:sz w:val="24"/>
                <w:szCs w:val="24"/>
              </w:rPr>
            </w:pPr>
            <w:r w:rsidRPr="00DE12A3">
              <w:rPr>
                <w:rStyle w:val="Gvdemetni367pt0ptbolukbraklyor5"/>
                <w:color w:val="auto"/>
                <w:sz w:val="24"/>
                <w:szCs w:val="24"/>
              </w:rPr>
              <w:t>1,2811</w:t>
            </w:r>
          </w:p>
        </w:tc>
        <w:tc>
          <w:tcPr>
            <w:tcW w:w="960" w:type="dxa"/>
            <w:shd w:val="clear" w:color="auto" w:fill="auto"/>
          </w:tcPr>
          <w:p w14:paraId="56F53A82" w14:textId="77777777" w:rsidR="00D538EC" w:rsidRPr="00DE12A3" w:rsidRDefault="00D538EC" w:rsidP="00C87086">
            <w:pPr>
              <w:pStyle w:val="Gvdemetni361"/>
              <w:shd w:val="clear" w:color="auto" w:fill="auto"/>
              <w:spacing w:before="120" w:after="120" w:line="240" w:lineRule="auto"/>
              <w:ind w:firstLine="0"/>
              <w:jc w:val="center"/>
              <w:rPr>
                <w:color w:val="auto"/>
                <w:sz w:val="24"/>
                <w:szCs w:val="24"/>
              </w:rPr>
            </w:pPr>
            <w:r w:rsidRPr="00DE12A3">
              <w:rPr>
                <w:rStyle w:val="Gvdemetni367pt0ptbolukbraklyor5"/>
                <w:color w:val="auto"/>
                <w:sz w:val="24"/>
                <w:szCs w:val="24"/>
              </w:rPr>
              <w:t>0,001602</w:t>
            </w:r>
          </w:p>
        </w:tc>
        <w:tc>
          <w:tcPr>
            <w:tcW w:w="960" w:type="dxa"/>
            <w:shd w:val="clear" w:color="auto" w:fill="auto"/>
          </w:tcPr>
          <w:p w14:paraId="18D27C20" w14:textId="77777777" w:rsidR="00D538EC" w:rsidRPr="00DE12A3" w:rsidRDefault="00D538EC" w:rsidP="00C87086">
            <w:pPr>
              <w:pStyle w:val="Gvdemetni361"/>
              <w:shd w:val="clear" w:color="auto" w:fill="auto"/>
              <w:spacing w:before="120" w:after="120" w:line="240" w:lineRule="auto"/>
              <w:ind w:firstLine="0"/>
              <w:jc w:val="center"/>
              <w:rPr>
                <w:color w:val="auto"/>
                <w:sz w:val="24"/>
                <w:szCs w:val="24"/>
              </w:rPr>
            </w:pPr>
            <w:r w:rsidRPr="00DE12A3">
              <w:rPr>
                <w:rStyle w:val="Gvdemetni367pt0ptbolukbraklyor5"/>
                <w:color w:val="auto"/>
                <w:sz w:val="24"/>
                <w:szCs w:val="24"/>
              </w:rPr>
              <w:t>0,000976</w:t>
            </w:r>
          </w:p>
        </w:tc>
        <w:tc>
          <w:tcPr>
            <w:tcW w:w="960" w:type="dxa"/>
            <w:shd w:val="clear" w:color="auto" w:fill="auto"/>
          </w:tcPr>
          <w:p w14:paraId="5DF08481" w14:textId="77777777" w:rsidR="00D538EC" w:rsidRPr="00DE12A3" w:rsidRDefault="00D538EC" w:rsidP="00C87086">
            <w:pPr>
              <w:pStyle w:val="Gvdemetni361"/>
              <w:shd w:val="clear" w:color="auto" w:fill="auto"/>
              <w:spacing w:before="120" w:after="120" w:line="240" w:lineRule="auto"/>
              <w:ind w:firstLine="0"/>
              <w:jc w:val="center"/>
              <w:rPr>
                <w:color w:val="auto"/>
                <w:sz w:val="24"/>
                <w:szCs w:val="24"/>
              </w:rPr>
            </w:pPr>
            <w:r w:rsidRPr="00DE12A3">
              <w:rPr>
                <w:rStyle w:val="Gvdemetni367pt0ptbolukbraklyor5"/>
                <w:color w:val="auto"/>
                <w:sz w:val="24"/>
                <w:szCs w:val="24"/>
              </w:rPr>
              <w:t>0,000510</w:t>
            </w:r>
          </w:p>
        </w:tc>
        <w:tc>
          <w:tcPr>
            <w:tcW w:w="960" w:type="dxa"/>
            <w:shd w:val="clear" w:color="auto" w:fill="auto"/>
          </w:tcPr>
          <w:p w14:paraId="6F18417F" w14:textId="77777777" w:rsidR="00D538EC" w:rsidRPr="00DE12A3" w:rsidRDefault="00D538EC" w:rsidP="00C87086">
            <w:pPr>
              <w:pStyle w:val="Gvdemetni361"/>
              <w:shd w:val="clear" w:color="auto" w:fill="auto"/>
              <w:spacing w:before="120" w:after="120" w:line="240" w:lineRule="auto"/>
              <w:ind w:firstLine="0"/>
              <w:jc w:val="center"/>
              <w:rPr>
                <w:color w:val="auto"/>
                <w:sz w:val="24"/>
                <w:szCs w:val="24"/>
              </w:rPr>
            </w:pPr>
            <w:r w:rsidRPr="00DE12A3">
              <w:rPr>
                <w:rStyle w:val="Gvdemetni367pt0ptbolukbraklyor5"/>
                <w:color w:val="auto"/>
                <w:sz w:val="24"/>
                <w:szCs w:val="24"/>
              </w:rPr>
              <w:t>0,001533</w:t>
            </w:r>
          </w:p>
        </w:tc>
        <w:tc>
          <w:tcPr>
            <w:tcW w:w="960" w:type="dxa"/>
            <w:shd w:val="clear" w:color="auto" w:fill="auto"/>
          </w:tcPr>
          <w:p w14:paraId="10958FEA" w14:textId="77777777" w:rsidR="00D538EC" w:rsidRPr="00DE12A3" w:rsidRDefault="00D538EC" w:rsidP="00C87086">
            <w:pPr>
              <w:pStyle w:val="Gvdemetni361"/>
              <w:shd w:val="clear" w:color="auto" w:fill="auto"/>
              <w:spacing w:before="120" w:after="120" w:line="240" w:lineRule="auto"/>
              <w:ind w:firstLine="0"/>
              <w:jc w:val="center"/>
              <w:rPr>
                <w:color w:val="auto"/>
                <w:sz w:val="24"/>
                <w:szCs w:val="24"/>
              </w:rPr>
            </w:pPr>
            <w:r w:rsidRPr="00DE12A3">
              <w:rPr>
                <w:rStyle w:val="Gvdemetni367pt0ptbolukbraklyor5"/>
                <w:color w:val="auto"/>
                <w:sz w:val="24"/>
                <w:szCs w:val="24"/>
              </w:rPr>
              <w:t>0,001115</w:t>
            </w:r>
          </w:p>
        </w:tc>
        <w:tc>
          <w:tcPr>
            <w:tcW w:w="984" w:type="dxa"/>
            <w:shd w:val="clear" w:color="auto" w:fill="auto"/>
          </w:tcPr>
          <w:p w14:paraId="54BEB157" w14:textId="77777777" w:rsidR="00D538EC" w:rsidRPr="00DE12A3" w:rsidRDefault="00D538EC" w:rsidP="00C87086">
            <w:pPr>
              <w:pStyle w:val="Gvdemetni361"/>
              <w:shd w:val="clear" w:color="auto" w:fill="auto"/>
              <w:spacing w:before="120" w:after="120" w:line="240" w:lineRule="auto"/>
              <w:ind w:firstLine="0"/>
              <w:jc w:val="center"/>
              <w:rPr>
                <w:color w:val="auto"/>
                <w:sz w:val="24"/>
                <w:szCs w:val="24"/>
              </w:rPr>
            </w:pPr>
            <w:r w:rsidRPr="00DE12A3">
              <w:rPr>
                <w:rStyle w:val="Gvdemetni367pt0ptbolukbraklyor5"/>
                <w:color w:val="auto"/>
                <w:sz w:val="24"/>
                <w:szCs w:val="24"/>
              </w:rPr>
              <w:t>0,000559</w:t>
            </w:r>
          </w:p>
        </w:tc>
      </w:tr>
      <w:tr w:rsidR="00DE12A3" w:rsidRPr="00DE12A3" w14:paraId="769B0119" w14:textId="77777777" w:rsidTr="00C87086">
        <w:trPr>
          <w:trHeight w:hRule="exact" w:val="722"/>
        </w:trPr>
        <w:tc>
          <w:tcPr>
            <w:tcW w:w="2116" w:type="dxa"/>
            <w:shd w:val="clear" w:color="auto" w:fill="auto"/>
          </w:tcPr>
          <w:p w14:paraId="2BFF3E33" w14:textId="77777777" w:rsidR="00D538EC" w:rsidRPr="00DE12A3" w:rsidRDefault="00D538EC" w:rsidP="00C87086">
            <w:pPr>
              <w:spacing w:before="120" w:after="120"/>
              <w:ind w:left="40"/>
              <w:rPr>
                <w:rFonts w:cs="Times New Roman"/>
                <w:color w:val="auto"/>
              </w:rPr>
            </w:pPr>
            <w:r w:rsidRPr="00DE12A3">
              <w:rPr>
                <w:rStyle w:val="Gvdemetni85pt0ptbolukbraklyor"/>
                <w:rFonts w:eastAsia="Courier New"/>
                <w:color w:val="auto"/>
                <w:sz w:val="24"/>
                <w:szCs w:val="24"/>
              </w:rPr>
              <w:t>Petrol (E10)</w:t>
            </w:r>
          </w:p>
        </w:tc>
        <w:tc>
          <w:tcPr>
            <w:tcW w:w="854" w:type="dxa"/>
            <w:shd w:val="clear" w:color="auto" w:fill="auto"/>
          </w:tcPr>
          <w:p w14:paraId="7A020064" w14:textId="77777777" w:rsidR="00D538EC" w:rsidRPr="00DE12A3" w:rsidRDefault="00D538EC" w:rsidP="00C87086">
            <w:pPr>
              <w:pStyle w:val="Gvdemetni361"/>
              <w:shd w:val="clear" w:color="auto" w:fill="auto"/>
              <w:spacing w:before="120" w:after="120" w:line="240" w:lineRule="auto"/>
              <w:ind w:firstLine="0"/>
              <w:jc w:val="center"/>
              <w:rPr>
                <w:color w:val="auto"/>
                <w:sz w:val="24"/>
                <w:szCs w:val="24"/>
              </w:rPr>
            </w:pPr>
            <w:r w:rsidRPr="00DE12A3">
              <w:rPr>
                <w:rStyle w:val="Gvdemetni367pt0ptbolukbraklyor5"/>
                <w:color w:val="auto"/>
                <w:sz w:val="24"/>
                <w:szCs w:val="24"/>
              </w:rPr>
              <w:t>1,2931</w:t>
            </w:r>
          </w:p>
        </w:tc>
        <w:tc>
          <w:tcPr>
            <w:tcW w:w="960" w:type="dxa"/>
            <w:shd w:val="clear" w:color="auto" w:fill="auto"/>
          </w:tcPr>
          <w:p w14:paraId="39D602AD" w14:textId="77777777" w:rsidR="00D538EC" w:rsidRPr="00DE12A3" w:rsidRDefault="00D538EC" w:rsidP="00C87086">
            <w:pPr>
              <w:pStyle w:val="Gvdemetni361"/>
              <w:shd w:val="clear" w:color="auto" w:fill="auto"/>
              <w:spacing w:before="120" w:after="120" w:line="240" w:lineRule="auto"/>
              <w:ind w:firstLine="0"/>
              <w:jc w:val="center"/>
              <w:rPr>
                <w:color w:val="auto"/>
                <w:sz w:val="24"/>
                <w:szCs w:val="24"/>
              </w:rPr>
            </w:pPr>
            <w:r w:rsidRPr="00DE12A3">
              <w:rPr>
                <w:rStyle w:val="Gvdemetni367pt0ptbolukbraklyor5"/>
                <w:color w:val="auto"/>
                <w:sz w:val="24"/>
                <w:szCs w:val="24"/>
              </w:rPr>
              <w:t>0,001587</w:t>
            </w:r>
          </w:p>
        </w:tc>
        <w:tc>
          <w:tcPr>
            <w:tcW w:w="960" w:type="dxa"/>
            <w:shd w:val="clear" w:color="auto" w:fill="auto"/>
          </w:tcPr>
          <w:p w14:paraId="6231748C" w14:textId="77777777" w:rsidR="00D538EC" w:rsidRPr="00DE12A3" w:rsidRDefault="00D538EC" w:rsidP="00C87086">
            <w:pPr>
              <w:pStyle w:val="Gvdemetni361"/>
              <w:shd w:val="clear" w:color="auto" w:fill="auto"/>
              <w:spacing w:before="120" w:after="120" w:line="240" w:lineRule="auto"/>
              <w:ind w:firstLine="0"/>
              <w:jc w:val="center"/>
              <w:rPr>
                <w:color w:val="auto"/>
                <w:sz w:val="24"/>
                <w:szCs w:val="24"/>
              </w:rPr>
            </w:pPr>
            <w:r w:rsidRPr="00DE12A3">
              <w:rPr>
                <w:rStyle w:val="Gvdemetni367pt0ptbolukbraklyor5"/>
                <w:color w:val="auto"/>
                <w:sz w:val="24"/>
                <w:szCs w:val="24"/>
              </w:rPr>
              <w:t>0,000966</w:t>
            </w:r>
          </w:p>
        </w:tc>
        <w:tc>
          <w:tcPr>
            <w:tcW w:w="960" w:type="dxa"/>
            <w:shd w:val="clear" w:color="auto" w:fill="auto"/>
          </w:tcPr>
          <w:p w14:paraId="1E510690" w14:textId="77777777" w:rsidR="00D538EC" w:rsidRPr="00DE12A3" w:rsidRDefault="00D538EC" w:rsidP="00C87086">
            <w:pPr>
              <w:pStyle w:val="Gvdemetni361"/>
              <w:shd w:val="clear" w:color="auto" w:fill="auto"/>
              <w:spacing w:before="120" w:after="120" w:line="240" w:lineRule="auto"/>
              <w:ind w:firstLine="0"/>
              <w:jc w:val="center"/>
              <w:rPr>
                <w:color w:val="auto"/>
                <w:sz w:val="24"/>
                <w:szCs w:val="24"/>
              </w:rPr>
            </w:pPr>
            <w:r w:rsidRPr="00DE12A3">
              <w:rPr>
                <w:rStyle w:val="Gvdemetni367pt0ptbolukbraklyor5"/>
                <w:color w:val="auto"/>
                <w:sz w:val="24"/>
                <w:szCs w:val="24"/>
              </w:rPr>
              <w:t>0,000499</w:t>
            </w:r>
          </w:p>
        </w:tc>
        <w:tc>
          <w:tcPr>
            <w:tcW w:w="960" w:type="dxa"/>
            <w:shd w:val="clear" w:color="auto" w:fill="auto"/>
          </w:tcPr>
          <w:p w14:paraId="257584C7" w14:textId="77777777" w:rsidR="00D538EC" w:rsidRPr="00DE12A3" w:rsidRDefault="00D538EC" w:rsidP="00C87086">
            <w:pPr>
              <w:pStyle w:val="Gvdemetni361"/>
              <w:shd w:val="clear" w:color="auto" w:fill="auto"/>
              <w:spacing w:before="120" w:after="120" w:line="240" w:lineRule="auto"/>
              <w:ind w:firstLine="0"/>
              <w:jc w:val="center"/>
              <w:rPr>
                <w:color w:val="auto"/>
                <w:sz w:val="24"/>
                <w:szCs w:val="24"/>
              </w:rPr>
            </w:pPr>
            <w:r w:rsidRPr="00DE12A3">
              <w:rPr>
                <w:rStyle w:val="Gvdemetni367pt0ptbolukbraklyor5"/>
                <w:color w:val="auto"/>
                <w:sz w:val="24"/>
                <w:szCs w:val="24"/>
              </w:rPr>
              <w:t>0,001518</w:t>
            </w:r>
          </w:p>
        </w:tc>
        <w:tc>
          <w:tcPr>
            <w:tcW w:w="960" w:type="dxa"/>
            <w:shd w:val="clear" w:color="auto" w:fill="auto"/>
          </w:tcPr>
          <w:p w14:paraId="28737E31" w14:textId="77777777" w:rsidR="00D538EC" w:rsidRPr="00DE12A3" w:rsidRDefault="00D538EC" w:rsidP="00C87086">
            <w:pPr>
              <w:pStyle w:val="Gvdemetni361"/>
              <w:shd w:val="clear" w:color="auto" w:fill="auto"/>
              <w:spacing w:before="120" w:after="120" w:line="240" w:lineRule="auto"/>
              <w:ind w:firstLine="0"/>
              <w:jc w:val="center"/>
              <w:rPr>
                <w:color w:val="auto"/>
                <w:sz w:val="24"/>
                <w:szCs w:val="24"/>
              </w:rPr>
            </w:pPr>
            <w:r w:rsidRPr="00DE12A3">
              <w:rPr>
                <w:rStyle w:val="Gvdemetni367pt0ptbolukbraklyor5"/>
                <w:color w:val="auto"/>
                <w:sz w:val="24"/>
                <w:szCs w:val="24"/>
              </w:rPr>
              <w:t>0,001104</w:t>
            </w:r>
          </w:p>
        </w:tc>
        <w:tc>
          <w:tcPr>
            <w:tcW w:w="984" w:type="dxa"/>
            <w:shd w:val="clear" w:color="auto" w:fill="auto"/>
          </w:tcPr>
          <w:p w14:paraId="71BCE49B" w14:textId="77777777" w:rsidR="00D538EC" w:rsidRPr="00DE12A3" w:rsidRDefault="00D538EC" w:rsidP="00C87086">
            <w:pPr>
              <w:pStyle w:val="Gvdemetni361"/>
              <w:shd w:val="clear" w:color="auto" w:fill="auto"/>
              <w:spacing w:before="120" w:after="120" w:line="240" w:lineRule="auto"/>
              <w:ind w:firstLine="0"/>
              <w:jc w:val="center"/>
              <w:rPr>
                <w:color w:val="auto"/>
                <w:sz w:val="24"/>
                <w:szCs w:val="24"/>
              </w:rPr>
            </w:pPr>
            <w:r w:rsidRPr="00DE12A3">
              <w:rPr>
                <w:rStyle w:val="Gvdemetni367pt0ptbolukbraklyor5"/>
                <w:color w:val="auto"/>
                <w:sz w:val="24"/>
                <w:szCs w:val="24"/>
              </w:rPr>
              <w:t>0,000553</w:t>
            </w:r>
          </w:p>
        </w:tc>
      </w:tr>
      <w:tr w:rsidR="00DE12A3" w:rsidRPr="00DE12A3" w14:paraId="23432123" w14:textId="77777777" w:rsidTr="00C87086">
        <w:trPr>
          <w:trHeight w:hRule="exact" w:val="986"/>
        </w:trPr>
        <w:tc>
          <w:tcPr>
            <w:tcW w:w="2116" w:type="dxa"/>
            <w:shd w:val="clear" w:color="auto" w:fill="auto"/>
          </w:tcPr>
          <w:p w14:paraId="33860069" w14:textId="77777777" w:rsidR="00D538EC" w:rsidRPr="00DE12A3" w:rsidRDefault="00D538EC" w:rsidP="00C87086">
            <w:pPr>
              <w:spacing w:before="120" w:after="120"/>
              <w:ind w:left="40"/>
              <w:rPr>
                <w:rFonts w:cs="Times New Roman"/>
                <w:color w:val="auto"/>
              </w:rPr>
            </w:pPr>
            <w:r w:rsidRPr="00DE12A3">
              <w:rPr>
                <w:rStyle w:val="Gvdemetni85pt0ptbolukbraklyor"/>
                <w:rFonts w:eastAsia="Courier New"/>
                <w:color w:val="auto"/>
                <w:sz w:val="24"/>
                <w:szCs w:val="24"/>
              </w:rPr>
              <w:t>Etanol</w:t>
            </w:r>
          </w:p>
          <w:p w14:paraId="36CA9E60" w14:textId="77777777" w:rsidR="00D538EC" w:rsidRPr="00DE12A3" w:rsidRDefault="00D538EC" w:rsidP="00C87086">
            <w:pPr>
              <w:spacing w:before="120" w:after="120"/>
              <w:ind w:left="40"/>
              <w:rPr>
                <w:rFonts w:cs="Times New Roman"/>
                <w:color w:val="auto"/>
              </w:rPr>
            </w:pPr>
            <w:r w:rsidRPr="00DE12A3">
              <w:rPr>
                <w:rStyle w:val="Gvdemetni85pt0ptbolukbraklyor"/>
                <w:rFonts w:eastAsia="Courier New"/>
                <w:color w:val="auto"/>
                <w:sz w:val="24"/>
                <w:szCs w:val="24"/>
              </w:rPr>
              <w:t>(E85)</w:t>
            </w:r>
          </w:p>
        </w:tc>
        <w:tc>
          <w:tcPr>
            <w:tcW w:w="854" w:type="dxa"/>
            <w:shd w:val="clear" w:color="auto" w:fill="auto"/>
          </w:tcPr>
          <w:p w14:paraId="162AA7BD" w14:textId="77777777" w:rsidR="00D538EC" w:rsidRPr="00DE12A3" w:rsidRDefault="00D538EC" w:rsidP="00C87086">
            <w:pPr>
              <w:pStyle w:val="Gvdemetni361"/>
              <w:shd w:val="clear" w:color="auto" w:fill="auto"/>
              <w:spacing w:before="120" w:after="120" w:line="240" w:lineRule="auto"/>
              <w:ind w:firstLine="0"/>
              <w:jc w:val="center"/>
              <w:rPr>
                <w:color w:val="auto"/>
                <w:sz w:val="24"/>
                <w:szCs w:val="24"/>
              </w:rPr>
            </w:pPr>
            <w:r w:rsidRPr="00DE12A3">
              <w:rPr>
                <w:rStyle w:val="Gvdemetni367pt0ptbolukbraklyor5"/>
                <w:color w:val="auto"/>
                <w:sz w:val="24"/>
                <w:szCs w:val="24"/>
              </w:rPr>
              <w:t>1,2797</w:t>
            </w:r>
          </w:p>
        </w:tc>
        <w:tc>
          <w:tcPr>
            <w:tcW w:w="960" w:type="dxa"/>
            <w:shd w:val="clear" w:color="auto" w:fill="auto"/>
          </w:tcPr>
          <w:p w14:paraId="7D71AF7C" w14:textId="77777777" w:rsidR="00D538EC" w:rsidRPr="00DE12A3" w:rsidRDefault="00D538EC" w:rsidP="00C87086">
            <w:pPr>
              <w:pStyle w:val="Gvdemetni361"/>
              <w:shd w:val="clear" w:color="auto" w:fill="auto"/>
              <w:spacing w:before="120" w:after="120" w:line="240" w:lineRule="auto"/>
              <w:ind w:firstLine="0"/>
              <w:jc w:val="center"/>
              <w:rPr>
                <w:color w:val="auto"/>
                <w:sz w:val="24"/>
                <w:szCs w:val="24"/>
              </w:rPr>
            </w:pPr>
            <w:r w:rsidRPr="00DE12A3">
              <w:rPr>
                <w:rStyle w:val="Gvdemetni367pt0ptbolukbraklyor5"/>
                <w:color w:val="auto"/>
                <w:sz w:val="24"/>
                <w:szCs w:val="24"/>
              </w:rPr>
              <w:t>0,001604</w:t>
            </w:r>
          </w:p>
        </w:tc>
        <w:tc>
          <w:tcPr>
            <w:tcW w:w="960" w:type="dxa"/>
            <w:shd w:val="clear" w:color="auto" w:fill="auto"/>
          </w:tcPr>
          <w:p w14:paraId="0D66203C" w14:textId="77777777" w:rsidR="00D538EC" w:rsidRPr="00DE12A3" w:rsidRDefault="00D538EC" w:rsidP="00C87086">
            <w:pPr>
              <w:pStyle w:val="Gvdemetni361"/>
              <w:shd w:val="clear" w:color="auto" w:fill="auto"/>
              <w:spacing w:before="120" w:after="120" w:line="240" w:lineRule="auto"/>
              <w:ind w:firstLine="0"/>
              <w:jc w:val="center"/>
              <w:rPr>
                <w:color w:val="auto"/>
                <w:sz w:val="24"/>
                <w:szCs w:val="24"/>
              </w:rPr>
            </w:pPr>
            <w:r w:rsidRPr="00DE12A3">
              <w:rPr>
                <w:rStyle w:val="Gvdemetni367pt0ptbolukbraklyor5"/>
                <w:color w:val="auto"/>
                <w:sz w:val="24"/>
                <w:szCs w:val="24"/>
              </w:rPr>
              <w:t>0,000977</w:t>
            </w:r>
          </w:p>
        </w:tc>
        <w:tc>
          <w:tcPr>
            <w:tcW w:w="960" w:type="dxa"/>
            <w:shd w:val="clear" w:color="auto" w:fill="auto"/>
          </w:tcPr>
          <w:p w14:paraId="21EF5EC3" w14:textId="77777777" w:rsidR="00D538EC" w:rsidRPr="00DE12A3" w:rsidRDefault="00D538EC" w:rsidP="00C87086">
            <w:pPr>
              <w:pStyle w:val="Gvdemetni361"/>
              <w:shd w:val="clear" w:color="auto" w:fill="auto"/>
              <w:spacing w:before="120" w:after="120" w:line="240" w:lineRule="auto"/>
              <w:ind w:firstLine="0"/>
              <w:jc w:val="center"/>
              <w:rPr>
                <w:color w:val="auto"/>
                <w:sz w:val="24"/>
                <w:szCs w:val="24"/>
              </w:rPr>
            </w:pPr>
            <w:r w:rsidRPr="00DE12A3">
              <w:rPr>
                <w:rStyle w:val="Gvdemetni367pt0ptbolukbraklyor5"/>
                <w:color w:val="auto"/>
                <w:sz w:val="24"/>
                <w:szCs w:val="24"/>
              </w:rPr>
              <w:t>0,000730</w:t>
            </w:r>
          </w:p>
        </w:tc>
        <w:tc>
          <w:tcPr>
            <w:tcW w:w="960" w:type="dxa"/>
            <w:shd w:val="clear" w:color="auto" w:fill="auto"/>
          </w:tcPr>
          <w:p w14:paraId="771324D2" w14:textId="77777777" w:rsidR="00D538EC" w:rsidRPr="00DE12A3" w:rsidRDefault="00D538EC" w:rsidP="00C87086">
            <w:pPr>
              <w:pStyle w:val="Gvdemetni361"/>
              <w:shd w:val="clear" w:color="auto" w:fill="auto"/>
              <w:spacing w:before="120" w:after="120" w:line="240" w:lineRule="auto"/>
              <w:ind w:firstLine="0"/>
              <w:jc w:val="center"/>
              <w:rPr>
                <w:color w:val="auto"/>
                <w:sz w:val="24"/>
                <w:szCs w:val="24"/>
              </w:rPr>
            </w:pPr>
            <w:r w:rsidRPr="00DE12A3">
              <w:rPr>
                <w:rStyle w:val="Gvdemetni367pt0ptbolukbraklyor5"/>
                <w:color w:val="auto"/>
                <w:sz w:val="24"/>
                <w:szCs w:val="24"/>
              </w:rPr>
              <w:t>0,001534</w:t>
            </w:r>
          </w:p>
        </w:tc>
        <w:tc>
          <w:tcPr>
            <w:tcW w:w="960" w:type="dxa"/>
            <w:shd w:val="clear" w:color="auto" w:fill="auto"/>
          </w:tcPr>
          <w:p w14:paraId="34787F28" w14:textId="77777777" w:rsidR="00D538EC" w:rsidRPr="00DE12A3" w:rsidRDefault="00D538EC" w:rsidP="00C87086">
            <w:pPr>
              <w:pStyle w:val="Gvdemetni361"/>
              <w:shd w:val="clear" w:color="auto" w:fill="auto"/>
              <w:spacing w:before="120" w:after="120" w:line="240" w:lineRule="auto"/>
              <w:ind w:firstLine="0"/>
              <w:jc w:val="center"/>
              <w:rPr>
                <w:color w:val="auto"/>
                <w:sz w:val="24"/>
                <w:szCs w:val="24"/>
              </w:rPr>
            </w:pPr>
            <w:r w:rsidRPr="00DE12A3">
              <w:rPr>
                <w:rStyle w:val="Gvdemetni367pt0ptbolukbraklyor5"/>
                <w:color w:val="auto"/>
                <w:sz w:val="24"/>
                <w:szCs w:val="24"/>
              </w:rPr>
              <w:t>0,001116</w:t>
            </w:r>
          </w:p>
        </w:tc>
        <w:tc>
          <w:tcPr>
            <w:tcW w:w="984" w:type="dxa"/>
            <w:shd w:val="clear" w:color="auto" w:fill="auto"/>
          </w:tcPr>
          <w:p w14:paraId="0DB2E68B" w14:textId="77777777" w:rsidR="00D538EC" w:rsidRPr="00DE12A3" w:rsidRDefault="00D538EC" w:rsidP="00C87086">
            <w:pPr>
              <w:pStyle w:val="Gvdemetni361"/>
              <w:shd w:val="clear" w:color="auto" w:fill="auto"/>
              <w:spacing w:before="120" w:after="120" w:line="240" w:lineRule="auto"/>
              <w:ind w:firstLine="0"/>
              <w:jc w:val="center"/>
              <w:rPr>
                <w:color w:val="auto"/>
                <w:sz w:val="24"/>
                <w:szCs w:val="24"/>
              </w:rPr>
            </w:pPr>
            <w:r w:rsidRPr="00DE12A3">
              <w:rPr>
                <w:rStyle w:val="Gvdemetni367pt0ptbolukbraklyor5"/>
                <w:color w:val="auto"/>
                <w:sz w:val="24"/>
                <w:szCs w:val="24"/>
              </w:rPr>
              <w:t>0,000559</w:t>
            </w:r>
          </w:p>
        </w:tc>
      </w:tr>
    </w:tbl>
    <w:p w14:paraId="615B0FDC" w14:textId="77777777" w:rsidR="00D538EC" w:rsidRPr="00DE12A3" w:rsidRDefault="00D538EC" w:rsidP="00C87086">
      <w:pPr>
        <w:pStyle w:val="Tabloyazs101"/>
        <w:spacing w:before="120" w:after="120" w:line="240" w:lineRule="auto"/>
        <w:ind w:left="1134"/>
        <w:rPr>
          <w:rStyle w:val="Tabloyazs100ptbolukbraklyor11"/>
          <w:bCs/>
          <w:color w:val="auto"/>
          <w:sz w:val="24"/>
          <w:szCs w:val="24"/>
        </w:rPr>
      </w:pPr>
      <w:r w:rsidRPr="00DE12A3">
        <w:rPr>
          <w:rStyle w:val="Tabloyazs100ptbolukbraklyor11"/>
          <w:bCs/>
          <w:color w:val="auto"/>
          <w:sz w:val="24"/>
          <w:szCs w:val="24"/>
          <w:vertAlign w:val="superscript"/>
        </w:rPr>
        <w:t>(a)</w:t>
      </w:r>
      <w:r w:rsidRPr="00DE12A3">
        <w:rPr>
          <w:rStyle w:val="Tabloyazs100ptbolukbraklyor11"/>
          <w:bCs/>
          <w:color w:val="auto"/>
          <w:sz w:val="24"/>
          <w:szCs w:val="24"/>
        </w:rPr>
        <w:tab/>
        <w:t>Yakıta bağlı olarak</w:t>
      </w:r>
    </w:p>
    <w:p w14:paraId="7D7C4415" w14:textId="77777777" w:rsidR="00D538EC" w:rsidRPr="00DE12A3" w:rsidRDefault="00D538EC" w:rsidP="00C87086">
      <w:pPr>
        <w:pStyle w:val="Tabloyazs101"/>
        <w:spacing w:before="120" w:after="120" w:line="240" w:lineRule="auto"/>
        <w:ind w:left="1134"/>
        <w:rPr>
          <w:rStyle w:val="Tabloyazs100ptbolukbraklyor11"/>
          <w:bCs/>
          <w:color w:val="auto"/>
          <w:sz w:val="24"/>
          <w:szCs w:val="24"/>
        </w:rPr>
      </w:pPr>
      <w:r w:rsidRPr="00DE12A3">
        <w:rPr>
          <w:rStyle w:val="Tabloyazs100ptbolukbraklyor11"/>
          <w:bCs/>
          <w:color w:val="auto"/>
          <w:sz w:val="24"/>
          <w:szCs w:val="24"/>
          <w:vertAlign w:val="superscript"/>
        </w:rPr>
        <w:t>(b)</w:t>
      </w:r>
      <w:r w:rsidRPr="00DE12A3">
        <w:rPr>
          <w:rStyle w:val="Tabloyazs100ptbolukbraklyor11"/>
          <w:bCs/>
          <w:color w:val="auto"/>
          <w:sz w:val="24"/>
          <w:szCs w:val="24"/>
        </w:rPr>
        <w:tab/>
        <w:t>λ = 2'de, kuru hava, 273 K, 101,3 kPa</w:t>
      </w:r>
    </w:p>
    <w:p w14:paraId="234CDFAD" w14:textId="22235350" w:rsidR="00D538EC" w:rsidRPr="00DE12A3" w:rsidRDefault="00D538EC" w:rsidP="00C87086">
      <w:pPr>
        <w:pStyle w:val="Tabloyazs101"/>
        <w:spacing w:before="120" w:after="120" w:line="240" w:lineRule="auto"/>
        <w:ind w:left="1134"/>
        <w:rPr>
          <w:rStyle w:val="Tabloyazs100ptbolukbraklyor11"/>
          <w:bCs/>
          <w:color w:val="auto"/>
          <w:sz w:val="24"/>
          <w:szCs w:val="24"/>
        </w:rPr>
      </w:pPr>
      <w:r w:rsidRPr="00DE12A3">
        <w:rPr>
          <w:rStyle w:val="Tabloyazs100ptbolukbraklyor11"/>
          <w:bCs/>
          <w:color w:val="auto"/>
          <w:sz w:val="24"/>
          <w:szCs w:val="24"/>
          <w:vertAlign w:val="superscript"/>
        </w:rPr>
        <w:t>(c)</w:t>
      </w:r>
      <w:r w:rsidRPr="00DE12A3">
        <w:rPr>
          <w:rStyle w:val="Tabloyazs100ptbolukbraklyor11"/>
          <w:bCs/>
          <w:color w:val="auto"/>
          <w:sz w:val="24"/>
          <w:szCs w:val="24"/>
        </w:rPr>
        <w:tab/>
        <w:t>u, C = % 66 - 76; H = % 22 - 25; N = % 0 - 12 kütle bileşimi için %0,2 aralığı içinde doğru</w:t>
      </w:r>
      <w:r w:rsidR="007C432A" w:rsidRPr="00DE12A3">
        <w:rPr>
          <w:rStyle w:val="Tabloyazs100ptbolukbraklyor11"/>
          <w:bCs/>
          <w:color w:val="auto"/>
          <w:sz w:val="24"/>
          <w:szCs w:val="24"/>
        </w:rPr>
        <w:t>dur</w:t>
      </w:r>
      <w:r w:rsidRPr="00DE12A3">
        <w:rPr>
          <w:rStyle w:val="Tabloyazs100ptbolukbraklyor11"/>
          <w:bCs/>
          <w:color w:val="auto"/>
          <w:sz w:val="24"/>
          <w:szCs w:val="24"/>
        </w:rPr>
        <w:t>.</w:t>
      </w:r>
    </w:p>
    <w:p w14:paraId="572DC80A" w14:textId="707A815E" w:rsidR="00D538EC" w:rsidRPr="00DE12A3" w:rsidRDefault="00D538EC" w:rsidP="00C87086">
      <w:pPr>
        <w:pStyle w:val="Tabloyazs101"/>
        <w:spacing w:before="120" w:after="120" w:line="240" w:lineRule="auto"/>
        <w:ind w:left="1134"/>
        <w:rPr>
          <w:rStyle w:val="Tabloyazs100ptbolukbraklyor11"/>
          <w:bCs/>
          <w:color w:val="auto"/>
          <w:sz w:val="24"/>
          <w:szCs w:val="24"/>
        </w:rPr>
      </w:pPr>
      <w:r w:rsidRPr="00DE12A3">
        <w:rPr>
          <w:rStyle w:val="Tabloyazs100ptbolukbraklyor11"/>
          <w:bCs/>
          <w:color w:val="auto"/>
          <w:sz w:val="24"/>
          <w:szCs w:val="24"/>
          <w:vertAlign w:val="superscript"/>
        </w:rPr>
        <w:t>(d)</w:t>
      </w:r>
      <w:r w:rsidRPr="00DE12A3">
        <w:rPr>
          <w:rStyle w:val="Tabloyazs100ptbolukbraklyor11"/>
          <w:bCs/>
          <w:color w:val="auto"/>
          <w:sz w:val="24"/>
          <w:szCs w:val="24"/>
        </w:rPr>
        <w:tab/>
        <w:t>CH</w:t>
      </w:r>
      <w:r w:rsidR="0019234A" w:rsidRPr="00DE12A3">
        <w:rPr>
          <w:rStyle w:val="Tabloyazs100ptbolukbraklyor11"/>
          <w:bCs/>
          <w:color w:val="auto"/>
          <w:sz w:val="24"/>
          <w:szCs w:val="24"/>
        </w:rPr>
        <w:t xml:space="preserve"> </w:t>
      </w:r>
      <w:r w:rsidRPr="00DE12A3">
        <w:rPr>
          <w:rStyle w:val="Tabloyazs100ptbolukbraklyor11"/>
          <w:bCs/>
          <w:color w:val="auto"/>
          <w:sz w:val="24"/>
          <w:szCs w:val="24"/>
          <w:vertAlign w:val="subscript"/>
        </w:rPr>
        <w:t>2,93</w:t>
      </w:r>
      <w:r w:rsidRPr="00DE12A3">
        <w:rPr>
          <w:rStyle w:val="Tabloyazs100ptbolukbraklyor11"/>
          <w:bCs/>
          <w:color w:val="auto"/>
          <w:sz w:val="24"/>
          <w:szCs w:val="24"/>
        </w:rPr>
        <w:t xml:space="preserve"> bazında NMHC (toplam HC için CH</w:t>
      </w:r>
      <w:r w:rsidRPr="00DE12A3">
        <w:rPr>
          <w:rStyle w:val="Tabloyazs100ptbolukbraklyor11"/>
          <w:bCs/>
          <w:color w:val="auto"/>
          <w:sz w:val="24"/>
          <w:szCs w:val="24"/>
          <w:vertAlign w:val="subscript"/>
        </w:rPr>
        <w:t>4</w:t>
      </w:r>
      <w:r w:rsidRPr="00DE12A3">
        <w:rPr>
          <w:rStyle w:val="Tabloyazs100ptbolukbraklyor11"/>
          <w:bCs/>
          <w:color w:val="auto"/>
          <w:sz w:val="24"/>
          <w:szCs w:val="24"/>
        </w:rPr>
        <w:t>'ün u</w:t>
      </w:r>
      <w:r w:rsidRPr="00DE12A3">
        <w:rPr>
          <w:rStyle w:val="Tabloyazs100ptbolukbraklyor11"/>
          <w:bCs/>
          <w:color w:val="auto"/>
          <w:sz w:val="24"/>
          <w:szCs w:val="24"/>
          <w:vertAlign w:val="subscript"/>
        </w:rPr>
        <w:t>gas</w:t>
      </w:r>
      <w:r w:rsidRPr="00DE12A3">
        <w:rPr>
          <w:rStyle w:val="Tabloyazs100ptbolukbraklyor11"/>
          <w:bCs/>
          <w:color w:val="auto"/>
          <w:sz w:val="24"/>
          <w:szCs w:val="24"/>
        </w:rPr>
        <w:t xml:space="preserve"> katsayısı kullanılır).</w:t>
      </w:r>
    </w:p>
    <w:p w14:paraId="125FF975" w14:textId="0CFC60D9" w:rsidR="00934008" w:rsidRPr="00DE12A3" w:rsidRDefault="00D538EC" w:rsidP="00C87086">
      <w:pPr>
        <w:pStyle w:val="Tabloyazs101"/>
        <w:shd w:val="clear" w:color="auto" w:fill="auto"/>
        <w:spacing w:before="120" w:after="120" w:line="240" w:lineRule="auto"/>
        <w:ind w:left="1134"/>
        <w:rPr>
          <w:rStyle w:val="Tabloyazs100ptbolukbraklyor11"/>
          <w:bCs/>
          <w:color w:val="auto"/>
          <w:sz w:val="24"/>
          <w:szCs w:val="24"/>
        </w:rPr>
      </w:pPr>
      <w:r w:rsidRPr="00DE12A3">
        <w:rPr>
          <w:rStyle w:val="Tabloyazs100ptbolukbraklyor11"/>
          <w:bCs/>
          <w:color w:val="auto"/>
          <w:sz w:val="24"/>
          <w:szCs w:val="24"/>
          <w:vertAlign w:val="superscript"/>
        </w:rPr>
        <w:t>(e)</w:t>
      </w:r>
      <w:r w:rsidRPr="00DE12A3">
        <w:rPr>
          <w:rStyle w:val="Tabloyazs100ptbolukbraklyor11"/>
          <w:bCs/>
          <w:color w:val="auto"/>
          <w:sz w:val="24"/>
          <w:szCs w:val="24"/>
        </w:rPr>
        <w:tab/>
        <w:t>u, C3 = % 70 - 90; C4 = % 10 - 30 kütle bileşimi için % 0,2 aralığı içinde doğru</w:t>
      </w:r>
      <w:r w:rsidR="007C432A" w:rsidRPr="00DE12A3">
        <w:rPr>
          <w:rStyle w:val="Tabloyazs100ptbolukbraklyor11"/>
          <w:bCs/>
          <w:color w:val="auto"/>
          <w:sz w:val="24"/>
          <w:szCs w:val="24"/>
        </w:rPr>
        <w:t>dur</w:t>
      </w:r>
      <w:r w:rsidRPr="00DE12A3">
        <w:rPr>
          <w:rStyle w:val="Tabloyazs100ptbolukbraklyor11"/>
          <w:bCs/>
          <w:color w:val="auto"/>
          <w:sz w:val="24"/>
          <w:szCs w:val="24"/>
        </w:rPr>
        <w:t>.</w:t>
      </w:r>
    </w:p>
    <w:p w14:paraId="06F1BE78" w14:textId="77777777" w:rsidR="002D7B36" w:rsidRPr="00DE12A3" w:rsidRDefault="00242DA0" w:rsidP="00E20716">
      <w:pPr>
        <w:pStyle w:val="Balk68"/>
        <w:numPr>
          <w:ilvl w:val="0"/>
          <w:numId w:val="397"/>
        </w:numPr>
        <w:shd w:val="clear" w:color="auto" w:fill="auto"/>
        <w:spacing w:before="120" w:after="120" w:line="240" w:lineRule="auto"/>
        <w:ind w:left="1134" w:hanging="1134"/>
        <w:rPr>
          <w:sz w:val="24"/>
          <w:szCs w:val="24"/>
        </w:rPr>
      </w:pPr>
      <w:r w:rsidRPr="00DE12A3">
        <w:rPr>
          <w:b w:val="0"/>
          <w:bCs w:val="0"/>
          <w:spacing w:val="3"/>
          <w:sz w:val="24"/>
          <w:szCs w:val="24"/>
        </w:rPr>
        <w:t>Hesaplanan değerler</w:t>
      </w:r>
    </w:p>
    <w:p w14:paraId="0324C795" w14:textId="013C24E6" w:rsidR="002D7B36" w:rsidRPr="00DE12A3" w:rsidRDefault="009E224E" w:rsidP="00C917D6">
      <w:pPr>
        <w:pStyle w:val="Balk68"/>
        <w:shd w:val="clear" w:color="auto" w:fill="auto"/>
        <w:spacing w:before="120" w:after="120" w:line="240" w:lineRule="auto"/>
        <w:ind w:left="1134" w:hanging="1134"/>
        <w:rPr>
          <w:sz w:val="24"/>
          <w:szCs w:val="24"/>
        </w:rPr>
      </w:pPr>
      <w:bookmarkStart w:id="25" w:name="bookmark42"/>
      <w:r w:rsidRPr="00DE12A3">
        <w:rPr>
          <w:b w:val="0"/>
          <w:bCs w:val="0"/>
          <w:spacing w:val="3"/>
          <w:sz w:val="24"/>
          <w:szCs w:val="24"/>
        </w:rPr>
        <w:t xml:space="preserve">                  </w:t>
      </w:r>
      <w:r w:rsidR="00242DA0" w:rsidRPr="00DE12A3">
        <w:rPr>
          <w:b w:val="0"/>
          <w:bCs w:val="0"/>
          <w:spacing w:val="3"/>
          <w:sz w:val="24"/>
          <w:szCs w:val="24"/>
        </w:rPr>
        <w:t>Bileşene özgü faktör u</w:t>
      </w:r>
      <w:r w:rsidR="00242DA0" w:rsidRPr="00DE12A3">
        <w:rPr>
          <w:b w:val="0"/>
          <w:bCs w:val="0"/>
          <w:spacing w:val="3"/>
          <w:sz w:val="24"/>
          <w:szCs w:val="24"/>
          <w:vertAlign w:val="subscript"/>
        </w:rPr>
        <w:t>gas,i</w:t>
      </w:r>
      <w:r w:rsidR="00242DA0" w:rsidRPr="00DE12A3">
        <w:rPr>
          <w:b w:val="0"/>
          <w:bCs w:val="0"/>
          <w:spacing w:val="3"/>
          <w:sz w:val="24"/>
          <w:szCs w:val="24"/>
        </w:rPr>
        <w:t xml:space="preserve">, bileşen ve egzoz gazı yoğunluk oranı veya alternatif olarak karşılık gelen molar kütleler oranı [(7-11) veya (7-12) </w:t>
      </w:r>
      <w:r w:rsidR="005E1C7E" w:rsidRPr="00DE12A3">
        <w:rPr>
          <w:b w:val="0"/>
          <w:sz w:val="24"/>
          <w:szCs w:val="24"/>
        </w:rPr>
        <w:t>numaralı</w:t>
      </w:r>
      <w:r w:rsidR="005E1C7E" w:rsidRPr="00DE12A3" w:rsidDel="005E1C7E">
        <w:rPr>
          <w:b w:val="0"/>
          <w:bCs w:val="0"/>
          <w:spacing w:val="3"/>
          <w:sz w:val="24"/>
          <w:szCs w:val="24"/>
        </w:rPr>
        <w:t xml:space="preserve"> </w:t>
      </w:r>
      <w:r w:rsidR="00242DA0" w:rsidRPr="00DE12A3">
        <w:rPr>
          <w:b w:val="0"/>
          <w:bCs w:val="0"/>
          <w:spacing w:val="3"/>
          <w:sz w:val="24"/>
          <w:szCs w:val="24"/>
        </w:rPr>
        <w:t>denklemler] ile hesaplanabilir</w:t>
      </w:r>
      <w:r w:rsidR="00242DA0" w:rsidRPr="00DE12A3">
        <w:rPr>
          <w:rStyle w:val="Balk687ptKalnDeil0ptbolukbraklyor"/>
          <w:color w:val="auto"/>
          <w:sz w:val="24"/>
          <w:szCs w:val="24"/>
        </w:rPr>
        <w:t>:</w:t>
      </w:r>
      <w:bookmarkEnd w:id="25"/>
    </w:p>
    <w:p w14:paraId="35094545" w14:textId="457DED85" w:rsidR="00F06D3C" w:rsidRPr="00DE12A3" w:rsidRDefault="00F06D3C" w:rsidP="00C917D6">
      <w:pPr>
        <w:widowControl/>
        <w:spacing w:before="120" w:after="120"/>
        <w:ind w:leftChars="400" w:left="2094" w:hanging="1134"/>
        <w:jc w:val="center"/>
        <w:rPr>
          <w:rFonts w:eastAsia="SimSun" w:cs="Times New Roman"/>
          <w:color w:val="auto"/>
          <w:lang w:eastAsia="zh-CN" w:bidi="ar"/>
        </w:rPr>
      </w:pPr>
      <w:r w:rsidRPr="00DE12A3">
        <w:rPr>
          <w:rFonts w:cs="Times New Roman"/>
          <w:noProof/>
          <w:color w:val="auto"/>
        </w:rPr>
        <w:drawing>
          <wp:inline distT="0" distB="0" distL="114300" distR="114300" wp14:anchorId="0A98DC18" wp14:editId="063B13EE">
            <wp:extent cx="4349750" cy="393065"/>
            <wp:effectExtent l="0" t="0" r="5080" b="1270"/>
            <wp:docPr id="2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
                    <pic:cNvPicPr>
                      <a:picLocks noChangeAspect="1"/>
                    </pic:cNvPicPr>
                  </pic:nvPicPr>
                  <pic:blipFill>
                    <a:blip r:embed="rId70"/>
                    <a:stretch>
                      <a:fillRect/>
                    </a:stretch>
                  </pic:blipFill>
                  <pic:spPr>
                    <a:xfrm>
                      <a:off x="0" y="0"/>
                      <a:ext cx="4349750" cy="393065"/>
                    </a:xfrm>
                    <a:prstGeom prst="rect">
                      <a:avLst/>
                    </a:prstGeom>
                    <a:noFill/>
                    <a:ln>
                      <a:noFill/>
                    </a:ln>
                  </pic:spPr>
                </pic:pic>
              </a:graphicData>
            </a:graphic>
          </wp:inline>
        </w:drawing>
      </w:r>
    </w:p>
    <w:p w14:paraId="3FB32D01" w14:textId="77777777" w:rsidR="002D7B36" w:rsidRPr="00DE12A3" w:rsidRDefault="009E224E" w:rsidP="00C917D6">
      <w:pPr>
        <w:widowControl/>
        <w:spacing w:before="120" w:after="120"/>
        <w:ind w:leftChars="400" w:left="2094" w:hanging="1134"/>
        <w:jc w:val="center"/>
        <w:rPr>
          <w:rFonts w:eastAsia="SimSun" w:cs="Times New Roman"/>
          <w:color w:val="auto"/>
          <w:lang w:eastAsia="zh-CN" w:bidi="ar"/>
        </w:rPr>
      </w:pPr>
      <w:r w:rsidRPr="00DE12A3">
        <w:rPr>
          <w:rFonts w:eastAsia="SimSun" w:cs="Times New Roman"/>
          <w:color w:val="auto"/>
          <w:lang w:eastAsia="zh-CN" w:bidi="ar"/>
        </w:rPr>
        <w:lastRenderedPageBreak/>
        <w:t>v</w:t>
      </w:r>
      <w:r w:rsidR="00242DA0" w:rsidRPr="00DE12A3">
        <w:rPr>
          <w:rFonts w:eastAsia="SimSun" w:cs="Times New Roman"/>
          <w:color w:val="auto"/>
          <w:lang w:eastAsia="zh-CN" w:bidi="ar"/>
        </w:rPr>
        <w:t>eya</w:t>
      </w:r>
    </w:p>
    <w:p w14:paraId="57D24E09" w14:textId="10AB4635" w:rsidR="002D7B36" w:rsidRPr="00DE12A3" w:rsidRDefault="00F06D3C" w:rsidP="00C917D6">
      <w:pPr>
        <w:tabs>
          <w:tab w:val="left" w:pos="1970"/>
        </w:tabs>
        <w:spacing w:before="120" w:after="120"/>
        <w:ind w:left="1134" w:rightChars="-20" w:right="-48" w:hanging="1134"/>
        <w:jc w:val="center"/>
        <w:rPr>
          <w:rFonts w:cs="Times New Roman"/>
          <w:color w:val="auto"/>
        </w:rPr>
      </w:pPr>
      <w:r w:rsidRPr="00DE12A3">
        <w:rPr>
          <w:rFonts w:cs="Times New Roman"/>
          <w:noProof/>
          <w:color w:val="auto"/>
        </w:rPr>
        <w:drawing>
          <wp:inline distT="0" distB="0" distL="114300" distR="114300" wp14:anchorId="2ECF2446" wp14:editId="23784B4F">
            <wp:extent cx="3835888" cy="410210"/>
            <wp:effectExtent l="0" t="0" r="0" b="8890"/>
            <wp:docPr id="5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Picture 3"/>
                    <pic:cNvPicPr>
                      <a:picLocks noChangeAspect="1"/>
                    </pic:cNvPicPr>
                  </pic:nvPicPr>
                  <pic:blipFill>
                    <a:blip r:embed="rId71"/>
                    <a:stretch>
                      <a:fillRect/>
                    </a:stretch>
                  </pic:blipFill>
                  <pic:spPr>
                    <a:xfrm>
                      <a:off x="0" y="0"/>
                      <a:ext cx="3843539" cy="411028"/>
                    </a:xfrm>
                    <a:prstGeom prst="rect">
                      <a:avLst/>
                    </a:prstGeom>
                    <a:noFill/>
                    <a:ln>
                      <a:noFill/>
                    </a:ln>
                  </pic:spPr>
                </pic:pic>
              </a:graphicData>
            </a:graphic>
          </wp:inline>
        </w:drawing>
      </w:r>
    </w:p>
    <w:p w14:paraId="3A08A4D5" w14:textId="77777777" w:rsidR="002D7B36" w:rsidRPr="00DE12A3" w:rsidRDefault="009E224E" w:rsidP="00C917D6">
      <w:pPr>
        <w:pStyle w:val="Gvdemetni11"/>
        <w:shd w:val="clear" w:color="auto" w:fill="auto"/>
        <w:spacing w:before="120" w:after="120" w:line="240" w:lineRule="auto"/>
        <w:ind w:left="1134" w:firstLine="0"/>
        <w:jc w:val="both"/>
        <w:rPr>
          <w:color w:val="auto"/>
          <w:sz w:val="24"/>
          <w:szCs w:val="24"/>
        </w:rPr>
      </w:pPr>
      <w:r w:rsidRPr="00DE12A3">
        <w:rPr>
          <w:color w:val="auto"/>
          <w:sz w:val="24"/>
          <w:szCs w:val="24"/>
        </w:rPr>
        <w:t>B</w:t>
      </w:r>
      <w:r w:rsidR="00242DA0" w:rsidRPr="00DE12A3">
        <w:rPr>
          <w:color w:val="auto"/>
          <w:sz w:val="24"/>
          <w:szCs w:val="24"/>
        </w:rPr>
        <w:t>urada:</w:t>
      </w:r>
    </w:p>
    <w:p w14:paraId="78A858FD" w14:textId="77777777" w:rsidR="002D7B36" w:rsidRPr="00DE12A3" w:rsidRDefault="00242DA0" w:rsidP="00C917D6">
      <w:pPr>
        <w:pStyle w:val="Gvdemetni11"/>
        <w:shd w:val="clear" w:color="auto" w:fill="auto"/>
        <w:spacing w:before="120" w:after="120" w:line="240" w:lineRule="auto"/>
        <w:ind w:left="1134" w:firstLine="0"/>
        <w:jc w:val="both"/>
        <w:rPr>
          <w:color w:val="auto"/>
          <w:sz w:val="24"/>
          <w:szCs w:val="24"/>
        </w:rPr>
      </w:pPr>
      <w:r w:rsidRPr="00DE12A3">
        <w:rPr>
          <w:color w:val="auto"/>
          <w:sz w:val="24"/>
          <w:szCs w:val="24"/>
        </w:rPr>
        <w:t>M</w:t>
      </w:r>
      <w:r w:rsidRPr="00DE12A3">
        <w:rPr>
          <w:color w:val="auto"/>
          <w:sz w:val="24"/>
          <w:szCs w:val="24"/>
          <w:vertAlign w:val="subscript"/>
        </w:rPr>
        <w:t>gas</w:t>
      </w:r>
      <w:r w:rsidRPr="00DE12A3">
        <w:rPr>
          <w:color w:val="auto"/>
          <w:sz w:val="24"/>
          <w:szCs w:val="24"/>
          <w:vertAlign w:val="subscript"/>
        </w:rPr>
        <w:tab/>
      </w:r>
      <w:r w:rsidRPr="00DE12A3">
        <w:rPr>
          <w:color w:val="auto"/>
          <w:sz w:val="24"/>
          <w:szCs w:val="24"/>
        </w:rPr>
        <w:t>= gaz bileşenin molar kütlesi [g/mol]</w:t>
      </w:r>
    </w:p>
    <w:p w14:paraId="6D6AEB67" w14:textId="77777777" w:rsidR="002D7B36" w:rsidRPr="00DE12A3" w:rsidRDefault="00242DA0" w:rsidP="00C917D6">
      <w:pPr>
        <w:pStyle w:val="Gvdemetni11"/>
        <w:shd w:val="clear" w:color="auto" w:fill="auto"/>
        <w:spacing w:before="120" w:after="120" w:line="240" w:lineRule="auto"/>
        <w:ind w:left="1134" w:firstLine="0"/>
        <w:jc w:val="both"/>
        <w:rPr>
          <w:color w:val="auto"/>
          <w:sz w:val="24"/>
          <w:szCs w:val="24"/>
        </w:rPr>
      </w:pPr>
      <w:r w:rsidRPr="00DE12A3">
        <w:rPr>
          <w:rStyle w:val="Gvdemetnitalik0ptbolukbraklyor"/>
          <w:color w:val="auto"/>
          <w:sz w:val="24"/>
          <w:szCs w:val="24"/>
        </w:rPr>
        <w:t>M</w:t>
      </w:r>
      <w:r w:rsidRPr="00DE12A3">
        <w:rPr>
          <w:rStyle w:val="Gvdemetnitalik0ptbolukbraklyor"/>
          <w:color w:val="auto"/>
          <w:sz w:val="24"/>
          <w:szCs w:val="24"/>
          <w:vertAlign w:val="subscript"/>
        </w:rPr>
        <w:t>e,i</w:t>
      </w:r>
      <w:r w:rsidRPr="00DE12A3">
        <w:rPr>
          <w:color w:val="auto"/>
          <w:sz w:val="24"/>
          <w:szCs w:val="24"/>
        </w:rPr>
        <w:tab/>
        <w:t>= yaş ham egzoz gazının anlık molar kütlesi [g/mol]</w:t>
      </w:r>
    </w:p>
    <w:p w14:paraId="39D5B43F" w14:textId="77777777" w:rsidR="002D7B36" w:rsidRPr="00DE12A3" w:rsidRDefault="00242DA0" w:rsidP="00C917D6">
      <w:pPr>
        <w:pStyle w:val="Gvdemetni11"/>
        <w:shd w:val="clear" w:color="auto" w:fill="auto"/>
        <w:spacing w:before="120" w:after="120" w:line="240" w:lineRule="auto"/>
        <w:ind w:left="1134" w:firstLine="0"/>
        <w:jc w:val="both"/>
        <w:rPr>
          <w:color w:val="auto"/>
          <w:sz w:val="24"/>
          <w:szCs w:val="24"/>
        </w:rPr>
      </w:pPr>
      <w:r w:rsidRPr="00DE12A3">
        <w:rPr>
          <w:rStyle w:val="Gvdemetnitalik0ptbolukbraklyor"/>
          <w:color w:val="auto"/>
          <w:sz w:val="24"/>
          <w:szCs w:val="24"/>
        </w:rPr>
        <w:t>ρ</w:t>
      </w:r>
      <w:r w:rsidRPr="00DE12A3">
        <w:rPr>
          <w:rStyle w:val="Gvdemetnitalik0ptbolukbraklyor"/>
          <w:color w:val="auto"/>
          <w:sz w:val="24"/>
          <w:szCs w:val="24"/>
          <w:vertAlign w:val="subscript"/>
        </w:rPr>
        <w:t>gas</w:t>
      </w:r>
      <w:r w:rsidRPr="00DE12A3">
        <w:rPr>
          <w:color w:val="auto"/>
          <w:sz w:val="24"/>
          <w:szCs w:val="24"/>
        </w:rPr>
        <w:tab/>
        <w:t>= gaz bileşenin yoğunluğu [kg/m</w:t>
      </w:r>
      <w:r w:rsidRPr="00DE12A3">
        <w:rPr>
          <w:color w:val="auto"/>
          <w:sz w:val="24"/>
          <w:szCs w:val="24"/>
          <w:vertAlign w:val="superscript"/>
        </w:rPr>
        <w:t>3</w:t>
      </w:r>
      <w:r w:rsidRPr="00DE12A3">
        <w:rPr>
          <w:color w:val="auto"/>
          <w:sz w:val="24"/>
          <w:szCs w:val="24"/>
        </w:rPr>
        <w:t>]</w:t>
      </w:r>
    </w:p>
    <w:p w14:paraId="5670A908" w14:textId="77777777" w:rsidR="002D7B36" w:rsidRPr="00DE12A3" w:rsidRDefault="00242DA0" w:rsidP="00C917D6">
      <w:pPr>
        <w:pStyle w:val="Gvdemetni11"/>
        <w:shd w:val="clear" w:color="auto" w:fill="auto"/>
        <w:spacing w:before="120" w:after="120" w:line="240" w:lineRule="auto"/>
        <w:ind w:left="1134" w:firstLine="0"/>
        <w:jc w:val="both"/>
        <w:rPr>
          <w:color w:val="auto"/>
          <w:sz w:val="24"/>
          <w:szCs w:val="24"/>
        </w:rPr>
      </w:pPr>
      <w:r w:rsidRPr="00DE12A3">
        <w:rPr>
          <w:i/>
          <w:color w:val="auto"/>
          <w:sz w:val="24"/>
          <w:szCs w:val="24"/>
        </w:rPr>
        <w:t>ρ</w:t>
      </w:r>
      <w:r w:rsidRPr="00DE12A3">
        <w:rPr>
          <w:color w:val="auto"/>
          <w:sz w:val="24"/>
          <w:szCs w:val="24"/>
          <w:vertAlign w:val="subscript"/>
        </w:rPr>
        <w:t>e,i</w:t>
      </w:r>
      <w:r w:rsidRPr="00DE12A3">
        <w:rPr>
          <w:color w:val="auto"/>
          <w:sz w:val="24"/>
          <w:szCs w:val="24"/>
        </w:rPr>
        <w:tab/>
        <w:t>= yaş ham egzoz gazının anlık yoğunluğu [kg/m</w:t>
      </w:r>
      <w:r w:rsidRPr="00DE12A3">
        <w:rPr>
          <w:color w:val="auto"/>
          <w:sz w:val="24"/>
          <w:szCs w:val="24"/>
          <w:vertAlign w:val="superscript"/>
        </w:rPr>
        <w:t>3</w:t>
      </w:r>
      <w:r w:rsidRPr="00DE12A3">
        <w:rPr>
          <w:color w:val="auto"/>
          <w:sz w:val="24"/>
          <w:szCs w:val="24"/>
        </w:rPr>
        <w:t>]</w:t>
      </w:r>
    </w:p>
    <w:p w14:paraId="3B117112" w14:textId="7E49D830" w:rsidR="002D7B36" w:rsidRPr="00DE12A3" w:rsidRDefault="00242DA0" w:rsidP="00C917D6">
      <w:pPr>
        <w:pStyle w:val="Gvdemetni11"/>
        <w:shd w:val="clear" w:color="auto" w:fill="auto"/>
        <w:spacing w:before="120" w:after="120" w:line="240" w:lineRule="auto"/>
        <w:ind w:left="1134" w:firstLine="0"/>
        <w:jc w:val="both"/>
        <w:rPr>
          <w:color w:val="auto"/>
          <w:sz w:val="24"/>
          <w:szCs w:val="24"/>
        </w:rPr>
      </w:pPr>
      <w:r w:rsidRPr="00DE12A3">
        <w:rPr>
          <w:color w:val="auto"/>
          <w:sz w:val="24"/>
          <w:szCs w:val="24"/>
        </w:rPr>
        <w:t>Egzoz gazının molar kütlesi M</w:t>
      </w:r>
      <w:r w:rsidRPr="00DE12A3">
        <w:rPr>
          <w:color w:val="auto"/>
          <w:sz w:val="24"/>
          <w:szCs w:val="24"/>
          <w:vertAlign w:val="subscript"/>
        </w:rPr>
        <w:t>e,i</w:t>
      </w:r>
      <w:r w:rsidRPr="00DE12A3">
        <w:rPr>
          <w:color w:val="auto"/>
          <w:sz w:val="24"/>
          <w:szCs w:val="24"/>
        </w:rPr>
        <w:t xml:space="preserve">, tam yanma varsayımı altında genel bir yakıt bileşimi </w:t>
      </w:r>
      <w:r w:rsidRPr="00DE12A3">
        <w:rPr>
          <w:rFonts w:eastAsia="Courier New"/>
          <w:color w:val="auto"/>
          <w:spacing w:val="0"/>
          <w:sz w:val="24"/>
          <w:szCs w:val="24"/>
        </w:rPr>
        <w:t>CH</w:t>
      </w:r>
      <w:r w:rsidRPr="00DE12A3">
        <w:rPr>
          <w:rFonts w:eastAsia="Courier New"/>
          <w:i/>
          <w:iCs/>
          <w:color w:val="auto"/>
          <w:spacing w:val="0"/>
          <w:sz w:val="24"/>
          <w:szCs w:val="24"/>
        </w:rPr>
        <w:t>α</w:t>
      </w:r>
      <w:r w:rsidRPr="00DE12A3">
        <w:rPr>
          <w:rFonts w:eastAsia="Courier New"/>
          <w:color w:val="auto"/>
          <w:spacing w:val="0"/>
          <w:sz w:val="24"/>
          <w:szCs w:val="24"/>
        </w:rPr>
        <w:t>O</w:t>
      </w:r>
      <w:r w:rsidRPr="00DE12A3">
        <w:rPr>
          <w:rFonts w:eastAsia="Courier New"/>
          <w:i/>
          <w:iCs/>
          <w:color w:val="auto"/>
          <w:spacing w:val="0"/>
          <w:sz w:val="24"/>
          <w:szCs w:val="24"/>
        </w:rPr>
        <w:t>ε</w:t>
      </w:r>
      <w:r w:rsidRPr="00DE12A3">
        <w:rPr>
          <w:rFonts w:eastAsia="Courier New"/>
          <w:color w:val="auto"/>
          <w:spacing w:val="0"/>
          <w:sz w:val="24"/>
          <w:szCs w:val="24"/>
        </w:rPr>
        <w:t>N</w:t>
      </w:r>
      <w:r w:rsidRPr="00DE12A3">
        <w:rPr>
          <w:rFonts w:eastAsia="Courier New"/>
          <w:i/>
          <w:iCs/>
          <w:color w:val="auto"/>
          <w:spacing w:val="0"/>
          <w:sz w:val="24"/>
          <w:szCs w:val="24"/>
        </w:rPr>
        <w:t>δ</w:t>
      </w:r>
      <w:r w:rsidRPr="00DE12A3">
        <w:rPr>
          <w:rFonts w:eastAsia="Courier New"/>
          <w:color w:val="auto"/>
          <w:spacing w:val="0"/>
          <w:sz w:val="24"/>
          <w:szCs w:val="24"/>
        </w:rPr>
        <w:t>S</w:t>
      </w:r>
      <w:r w:rsidRPr="00DE12A3">
        <w:rPr>
          <w:rFonts w:eastAsia="Courier New"/>
          <w:i/>
          <w:iCs/>
          <w:color w:val="auto"/>
          <w:spacing w:val="0"/>
          <w:sz w:val="24"/>
          <w:szCs w:val="24"/>
        </w:rPr>
        <w:t>γ</w:t>
      </w:r>
      <w:r w:rsidRPr="00DE12A3">
        <w:rPr>
          <w:color w:val="auto"/>
          <w:sz w:val="24"/>
          <w:szCs w:val="24"/>
        </w:rPr>
        <w:t xml:space="preserve"> için türetilir ve (7-13) </w:t>
      </w:r>
      <w:r w:rsidR="005E1C7E" w:rsidRPr="00DE12A3">
        <w:rPr>
          <w:color w:val="auto"/>
          <w:sz w:val="24"/>
          <w:szCs w:val="24"/>
        </w:rPr>
        <w:t>numaralı</w:t>
      </w:r>
      <w:r w:rsidR="005E1C7E" w:rsidRPr="00DE12A3" w:rsidDel="005E1C7E">
        <w:rPr>
          <w:color w:val="auto"/>
          <w:sz w:val="24"/>
          <w:szCs w:val="24"/>
        </w:rPr>
        <w:t xml:space="preserve"> </w:t>
      </w:r>
      <w:r w:rsidRPr="00DE12A3">
        <w:rPr>
          <w:color w:val="auto"/>
          <w:sz w:val="24"/>
          <w:szCs w:val="24"/>
        </w:rPr>
        <w:t>denklem ile hesaplanır:</w:t>
      </w:r>
    </w:p>
    <w:p w14:paraId="272B9F39" w14:textId="77777777" w:rsidR="001F551B" w:rsidRPr="00DE12A3" w:rsidRDefault="001F551B" w:rsidP="00C917D6">
      <w:pPr>
        <w:pStyle w:val="Gvdemetni11"/>
        <w:shd w:val="clear" w:color="auto" w:fill="auto"/>
        <w:spacing w:before="120" w:after="120" w:line="240" w:lineRule="auto"/>
        <w:ind w:left="1134" w:firstLine="0"/>
        <w:jc w:val="both"/>
        <w:rPr>
          <w:color w:val="auto"/>
          <w:sz w:val="24"/>
          <w:szCs w:val="24"/>
        </w:rPr>
      </w:pPr>
    </w:p>
    <w:p w14:paraId="4F8825D2" w14:textId="77777777" w:rsidR="001F551B" w:rsidRPr="00DE12A3" w:rsidRDefault="001F551B" w:rsidP="001F551B">
      <w:pPr>
        <w:spacing w:before="120" w:after="120"/>
        <w:jc w:val="both"/>
        <w:rPr>
          <w:color w:val="auto"/>
        </w:rPr>
      </w:pPr>
      <w:r w:rsidRPr="00DE12A3">
        <w:rPr>
          <w:noProof/>
          <w:color w:val="auto"/>
        </w:rPr>
        <w:drawing>
          <wp:inline distT="0" distB="0" distL="0" distR="0" wp14:anchorId="70858C56" wp14:editId="58EDD1DE">
            <wp:extent cx="3688080" cy="662940"/>
            <wp:effectExtent l="0" t="0" r="7620" b="3810"/>
            <wp:docPr id="252" name="Resim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3688080" cy="662940"/>
                    </a:xfrm>
                    <a:prstGeom prst="rect">
                      <a:avLst/>
                    </a:prstGeom>
                    <a:noFill/>
                    <a:ln>
                      <a:noFill/>
                    </a:ln>
                  </pic:spPr>
                </pic:pic>
              </a:graphicData>
            </a:graphic>
          </wp:inline>
        </w:drawing>
      </w:r>
      <w:r w:rsidRPr="00DE12A3">
        <w:rPr>
          <w:color w:val="auto"/>
        </w:rPr>
        <w:t>(7-13)</w:t>
      </w:r>
    </w:p>
    <w:p w14:paraId="351FDA82" w14:textId="77777777" w:rsidR="002D7B36" w:rsidRPr="00DE12A3" w:rsidRDefault="002D7B36" w:rsidP="001F551B">
      <w:pPr>
        <w:tabs>
          <w:tab w:val="left" w:pos="1970"/>
        </w:tabs>
        <w:spacing w:before="120" w:after="120"/>
        <w:ind w:left="1134" w:rightChars="-20" w:right="-48"/>
        <w:jc w:val="center"/>
        <w:rPr>
          <w:rFonts w:cs="Times New Roman"/>
          <w:color w:val="auto"/>
          <w:lang w:eastAsia="en-US"/>
        </w:rPr>
      </w:pPr>
    </w:p>
    <w:p w14:paraId="220E7250" w14:textId="77777777" w:rsidR="001F551B" w:rsidRPr="00DE12A3" w:rsidRDefault="001F551B" w:rsidP="00C917D6">
      <w:pPr>
        <w:tabs>
          <w:tab w:val="left" w:pos="1970"/>
        </w:tabs>
        <w:spacing w:before="120" w:after="120"/>
        <w:ind w:left="1134" w:rightChars="-20" w:right="-48"/>
        <w:jc w:val="both"/>
        <w:rPr>
          <w:rFonts w:cs="Times New Roman"/>
          <w:color w:val="auto"/>
          <w:lang w:eastAsia="en-US"/>
        </w:rPr>
      </w:pPr>
    </w:p>
    <w:p w14:paraId="1F442CAC" w14:textId="77777777" w:rsidR="002D7B36" w:rsidRPr="00DE12A3" w:rsidRDefault="009E224E" w:rsidP="00C917D6">
      <w:pPr>
        <w:pStyle w:val="Gvdemetni11"/>
        <w:shd w:val="clear" w:color="auto" w:fill="auto"/>
        <w:spacing w:before="120" w:after="120" w:line="240" w:lineRule="auto"/>
        <w:ind w:left="1134" w:firstLine="0"/>
        <w:jc w:val="both"/>
        <w:rPr>
          <w:color w:val="auto"/>
          <w:sz w:val="24"/>
          <w:szCs w:val="24"/>
        </w:rPr>
      </w:pPr>
      <w:r w:rsidRPr="00DE12A3">
        <w:rPr>
          <w:color w:val="auto"/>
          <w:sz w:val="24"/>
          <w:szCs w:val="24"/>
        </w:rPr>
        <w:t>B</w:t>
      </w:r>
      <w:r w:rsidR="00242DA0" w:rsidRPr="00DE12A3">
        <w:rPr>
          <w:color w:val="auto"/>
          <w:sz w:val="24"/>
          <w:szCs w:val="24"/>
        </w:rPr>
        <w:t>urada:</w:t>
      </w:r>
    </w:p>
    <w:p w14:paraId="15729283" w14:textId="77777777" w:rsidR="002D7B36" w:rsidRPr="00DE12A3" w:rsidRDefault="00242DA0" w:rsidP="00C917D6">
      <w:pPr>
        <w:pStyle w:val="Gvdemetni11"/>
        <w:shd w:val="clear" w:color="auto" w:fill="auto"/>
        <w:tabs>
          <w:tab w:val="right" w:pos="5638"/>
        </w:tabs>
        <w:spacing w:before="120" w:after="120" w:line="240" w:lineRule="auto"/>
        <w:ind w:left="1134" w:firstLine="0"/>
        <w:jc w:val="both"/>
        <w:rPr>
          <w:color w:val="auto"/>
          <w:sz w:val="24"/>
          <w:szCs w:val="24"/>
        </w:rPr>
      </w:pPr>
      <w:r w:rsidRPr="00DE12A3">
        <w:rPr>
          <w:rStyle w:val="Gvdemetnitalik0ptbolukbraklyor"/>
          <w:color w:val="auto"/>
          <w:sz w:val="24"/>
          <w:szCs w:val="24"/>
        </w:rPr>
        <w:t>q</w:t>
      </w:r>
      <w:r w:rsidRPr="00DE12A3">
        <w:rPr>
          <w:rStyle w:val="Gvdemetnitalik0ptbolukbraklyor"/>
          <w:color w:val="auto"/>
          <w:sz w:val="24"/>
          <w:szCs w:val="24"/>
          <w:vertAlign w:val="subscript"/>
        </w:rPr>
        <w:t>mf</w:t>
      </w:r>
      <w:r w:rsidRPr="00DE12A3">
        <w:rPr>
          <w:rStyle w:val="Gvdemetnitalik0ptbolukbraklyor"/>
          <w:color w:val="auto"/>
          <w:sz w:val="24"/>
          <w:szCs w:val="24"/>
        </w:rPr>
        <w:t>j</w:t>
      </w:r>
      <w:r w:rsidRPr="00DE12A3">
        <w:rPr>
          <w:color w:val="auto"/>
          <w:sz w:val="24"/>
          <w:szCs w:val="24"/>
        </w:rPr>
        <w:tab/>
        <w:t>= yaş bazda anlık yakıt kütle akış hızı [kg/s]</w:t>
      </w:r>
    </w:p>
    <w:p w14:paraId="676B5EC4" w14:textId="71F79E2C" w:rsidR="002D7B36" w:rsidRPr="00DE12A3" w:rsidRDefault="00242DA0" w:rsidP="00C917D6">
      <w:pPr>
        <w:pStyle w:val="Gvdemetni11"/>
        <w:shd w:val="clear" w:color="auto" w:fill="auto"/>
        <w:tabs>
          <w:tab w:val="right" w:pos="5638"/>
        </w:tabs>
        <w:spacing w:before="120" w:after="120" w:line="240" w:lineRule="auto"/>
        <w:ind w:left="1134" w:firstLine="0"/>
        <w:jc w:val="both"/>
        <w:rPr>
          <w:color w:val="auto"/>
          <w:sz w:val="24"/>
          <w:szCs w:val="24"/>
        </w:rPr>
      </w:pPr>
      <w:r w:rsidRPr="00DE12A3">
        <w:rPr>
          <w:rStyle w:val="Gvdemetnitalik0ptbolukbraklyor"/>
          <w:color w:val="auto"/>
          <w:sz w:val="24"/>
          <w:szCs w:val="24"/>
        </w:rPr>
        <w:t>q</w:t>
      </w:r>
      <w:r w:rsidRPr="00DE12A3">
        <w:rPr>
          <w:rStyle w:val="Gvdemetnitalik0ptbolukbraklyor"/>
          <w:color w:val="auto"/>
          <w:sz w:val="24"/>
          <w:szCs w:val="24"/>
          <w:vertAlign w:val="subscript"/>
        </w:rPr>
        <w:t>mawJ</w:t>
      </w:r>
      <w:r w:rsidR="003D51C5" w:rsidRPr="00DE12A3">
        <w:rPr>
          <w:rStyle w:val="Gvdemetnitalik0ptbolukbraklyor"/>
          <w:color w:val="auto"/>
          <w:sz w:val="24"/>
          <w:szCs w:val="24"/>
          <w:vertAlign w:val="subscript"/>
        </w:rPr>
        <w:t xml:space="preserve"> </w:t>
      </w:r>
      <w:r w:rsidRPr="00DE12A3">
        <w:rPr>
          <w:color w:val="auto"/>
          <w:sz w:val="24"/>
          <w:szCs w:val="24"/>
        </w:rPr>
        <w:t>=</w:t>
      </w:r>
      <w:r w:rsidRPr="00DE12A3">
        <w:rPr>
          <w:color w:val="auto"/>
          <w:sz w:val="24"/>
          <w:szCs w:val="24"/>
        </w:rPr>
        <w:tab/>
        <w:t xml:space="preserve"> yaş bazda anlık emme havası kütle akış hızı [kg/s]</w:t>
      </w:r>
    </w:p>
    <w:p w14:paraId="1D1F615E" w14:textId="77777777" w:rsidR="002D7B36" w:rsidRPr="00DE12A3" w:rsidRDefault="00242DA0" w:rsidP="00C917D6">
      <w:pPr>
        <w:pStyle w:val="Gvdemetni11"/>
        <w:shd w:val="clear" w:color="auto" w:fill="auto"/>
        <w:spacing w:before="120" w:after="120" w:line="240" w:lineRule="auto"/>
        <w:ind w:left="1134" w:firstLine="0"/>
        <w:jc w:val="both"/>
        <w:rPr>
          <w:color w:val="auto"/>
          <w:sz w:val="24"/>
          <w:szCs w:val="24"/>
        </w:rPr>
      </w:pPr>
      <w:r w:rsidRPr="00DE12A3">
        <w:rPr>
          <w:rStyle w:val="Gvdemetnitalik0ptbolukbraklyor"/>
          <w:color w:val="auto"/>
          <w:sz w:val="24"/>
          <w:szCs w:val="24"/>
        </w:rPr>
        <w:t>α</w:t>
      </w:r>
      <w:r w:rsidRPr="00DE12A3">
        <w:rPr>
          <w:rStyle w:val="Gvdemetnitalik0ptbolukbraklyor"/>
          <w:color w:val="auto"/>
          <w:sz w:val="24"/>
          <w:szCs w:val="24"/>
        </w:rPr>
        <w:tab/>
      </w:r>
      <w:r w:rsidRPr="00DE12A3">
        <w:rPr>
          <w:rStyle w:val="Gvdemetnitalik0ptbolukbraklyor"/>
          <w:i w:val="0"/>
          <w:iCs w:val="0"/>
          <w:color w:val="auto"/>
          <w:sz w:val="24"/>
          <w:szCs w:val="24"/>
        </w:rPr>
        <w:t>= molar hidrojen-karbon oranı</w:t>
      </w:r>
      <w:r w:rsidRPr="00DE12A3">
        <w:rPr>
          <w:rStyle w:val="Gvdemetnitalik0ptbolukbraklyor"/>
          <w:color w:val="auto"/>
          <w:sz w:val="24"/>
          <w:szCs w:val="24"/>
        </w:rPr>
        <w:t xml:space="preserve"> </w:t>
      </w:r>
      <w:r w:rsidRPr="00DE12A3">
        <w:rPr>
          <w:color w:val="auto"/>
          <w:sz w:val="24"/>
          <w:szCs w:val="24"/>
        </w:rPr>
        <w:t>[-]</w:t>
      </w:r>
    </w:p>
    <w:p w14:paraId="57E716A8" w14:textId="77777777" w:rsidR="002D7B36" w:rsidRPr="00DE12A3" w:rsidRDefault="00242DA0" w:rsidP="00C917D6">
      <w:pPr>
        <w:pStyle w:val="Gvdemetni11"/>
        <w:shd w:val="clear" w:color="auto" w:fill="auto"/>
        <w:spacing w:before="120" w:after="120" w:line="240" w:lineRule="auto"/>
        <w:ind w:left="1134" w:firstLine="0"/>
        <w:jc w:val="both"/>
        <w:rPr>
          <w:color w:val="auto"/>
          <w:sz w:val="24"/>
          <w:szCs w:val="24"/>
        </w:rPr>
      </w:pPr>
      <w:r w:rsidRPr="00DE12A3">
        <w:rPr>
          <w:rStyle w:val="Gvdemetnitalik0ptbolukbraklyor"/>
          <w:color w:val="auto"/>
          <w:sz w:val="24"/>
          <w:szCs w:val="24"/>
        </w:rPr>
        <w:t>δ</w:t>
      </w:r>
      <w:r w:rsidRPr="00DE12A3">
        <w:rPr>
          <w:rStyle w:val="Gvdemetnitalik0ptbolukbraklyor"/>
          <w:color w:val="auto"/>
          <w:sz w:val="24"/>
          <w:szCs w:val="24"/>
        </w:rPr>
        <w:tab/>
      </w:r>
      <w:r w:rsidRPr="00DE12A3">
        <w:rPr>
          <w:rStyle w:val="Gvdemetnitalik0ptbolukbraklyor"/>
          <w:i w:val="0"/>
          <w:iCs w:val="0"/>
          <w:color w:val="auto"/>
          <w:sz w:val="24"/>
          <w:szCs w:val="24"/>
        </w:rPr>
        <w:t>= molar nitrojen-karbon oranı</w:t>
      </w:r>
      <w:r w:rsidRPr="00DE12A3">
        <w:rPr>
          <w:rStyle w:val="Gvdemetnitalik0ptbolukbraklyor"/>
          <w:color w:val="auto"/>
          <w:sz w:val="24"/>
          <w:szCs w:val="24"/>
        </w:rPr>
        <w:t xml:space="preserve"> </w:t>
      </w:r>
      <w:r w:rsidRPr="00DE12A3">
        <w:rPr>
          <w:color w:val="auto"/>
          <w:sz w:val="24"/>
          <w:szCs w:val="24"/>
        </w:rPr>
        <w:t>[-]</w:t>
      </w:r>
    </w:p>
    <w:p w14:paraId="575D1E1F" w14:textId="77777777" w:rsidR="002D7B36" w:rsidRPr="00DE12A3" w:rsidRDefault="00242DA0" w:rsidP="00C917D6">
      <w:pPr>
        <w:pStyle w:val="Gvdemetni11"/>
        <w:shd w:val="clear" w:color="auto" w:fill="auto"/>
        <w:spacing w:before="120" w:after="120" w:line="240" w:lineRule="auto"/>
        <w:ind w:left="1134" w:firstLine="0"/>
        <w:jc w:val="both"/>
        <w:rPr>
          <w:color w:val="auto"/>
          <w:sz w:val="24"/>
          <w:szCs w:val="24"/>
        </w:rPr>
      </w:pPr>
      <w:r w:rsidRPr="00DE12A3">
        <w:rPr>
          <w:rStyle w:val="Gvdemetnitalik0ptbolukbraklyor"/>
          <w:color w:val="auto"/>
          <w:sz w:val="24"/>
          <w:szCs w:val="24"/>
        </w:rPr>
        <w:t>ε</w:t>
      </w:r>
      <w:r w:rsidRPr="00DE12A3">
        <w:rPr>
          <w:rStyle w:val="Gvdemetnitalik0ptbolukbraklyor"/>
          <w:color w:val="auto"/>
          <w:sz w:val="24"/>
          <w:szCs w:val="24"/>
        </w:rPr>
        <w:tab/>
      </w:r>
      <w:r w:rsidRPr="00DE12A3">
        <w:rPr>
          <w:rStyle w:val="Gvdemetnitalik0ptbolukbraklyor"/>
          <w:i w:val="0"/>
          <w:iCs w:val="0"/>
          <w:color w:val="auto"/>
          <w:sz w:val="24"/>
          <w:szCs w:val="24"/>
        </w:rPr>
        <w:t xml:space="preserve">= molar oksijen-karbon oranı </w:t>
      </w:r>
      <w:r w:rsidRPr="00DE12A3">
        <w:rPr>
          <w:color w:val="auto"/>
          <w:sz w:val="24"/>
          <w:szCs w:val="24"/>
        </w:rPr>
        <w:t>[-]</w:t>
      </w:r>
    </w:p>
    <w:p w14:paraId="2A59651A" w14:textId="77777777" w:rsidR="002D7B36" w:rsidRPr="00DE12A3" w:rsidRDefault="00242DA0" w:rsidP="00C917D6">
      <w:pPr>
        <w:pStyle w:val="Gvdemetni11"/>
        <w:shd w:val="clear" w:color="auto" w:fill="auto"/>
        <w:spacing w:before="120" w:after="120" w:line="240" w:lineRule="auto"/>
        <w:ind w:left="1134" w:firstLine="0"/>
        <w:jc w:val="both"/>
        <w:rPr>
          <w:color w:val="auto"/>
          <w:sz w:val="24"/>
          <w:szCs w:val="24"/>
        </w:rPr>
      </w:pPr>
      <w:r w:rsidRPr="00DE12A3">
        <w:rPr>
          <w:i/>
          <w:iCs/>
          <w:color w:val="auto"/>
          <w:sz w:val="24"/>
          <w:szCs w:val="24"/>
        </w:rPr>
        <w:t>γ</w:t>
      </w:r>
      <w:r w:rsidRPr="00DE12A3">
        <w:rPr>
          <w:color w:val="auto"/>
          <w:sz w:val="24"/>
          <w:szCs w:val="24"/>
        </w:rPr>
        <w:tab/>
        <w:t xml:space="preserve">= </w:t>
      </w:r>
      <w:r w:rsidRPr="00DE12A3">
        <w:rPr>
          <w:rStyle w:val="Gvdemetnitalik0ptbolukbraklyor"/>
          <w:color w:val="auto"/>
          <w:sz w:val="24"/>
          <w:szCs w:val="24"/>
        </w:rPr>
        <w:t>atomik</w:t>
      </w:r>
      <w:r w:rsidRPr="00DE12A3">
        <w:rPr>
          <w:color w:val="auto"/>
          <w:sz w:val="24"/>
          <w:szCs w:val="24"/>
        </w:rPr>
        <w:t xml:space="preserve"> kükürt-karbon oranı [-]</w:t>
      </w:r>
    </w:p>
    <w:p w14:paraId="4288681E" w14:textId="77777777" w:rsidR="002D7B36" w:rsidRPr="00DE12A3" w:rsidRDefault="00242DA0" w:rsidP="00C917D6">
      <w:pPr>
        <w:pStyle w:val="Gvdemetni11"/>
        <w:shd w:val="clear" w:color="auto" w:fill="auto"/>
        <w:spacing w:before="120" w:after="120" w:line="240" w:lineRule="auto"/>
        <w:ind w:left="1134" w:firstLine="0"/>
        <w:jc w:val="both"/>
        <w:rPr>
          <w:color w:val="auto"/>
          <w:sz w:val="24"/>
          <w:szCs w:val="24"/>
        </w:rPr>
      </w:pPr>
      <w:r w:rsidRPr="00DE12A3">
        <w:rPr>
          <w:rStyle w:val="Gvdemetnitalik0ptbolukbraklyor"/>
          <w:color w:val="auto"/>
          <w:sz w:val="24"/>
          <w:szCs w:val="24"/>
        </w:rPr>
        <w:t>H</w:t>
      </w:r>
      <w:r w:rsidRPr="00DE12A3">
        <w:rPr>
          <w:rStyle w:val="Gvdemetnitalik0ptbolukbraklyor"/>
          <w:color w:val="auto"/>
          <w:sz w:val="24"/>
          <w:szCs w:val="24"/>
          <w:vertAlign w:val="subscript"/>
        </w:rPr>
        <w:t>a</w:t>
      </w:r>
      <w:r w:rsidRPr="00DE12A3">
        <w:rPr>
          <w:color w:val="auto"/>
          <w:sz w:val="24"/>
          <w:szCs w:val="24"/>
        </w:rPr>
        <w:tab/>
        <w:t>= emme havası nemi [g H2O/kg kuru hava]</w:t>
      </w:r>
    </w:p>
    <w:p w14:paraId="060F204B" w14:textId="437BFE30" w:rsidR="002D7B36" w:rsidRPr="00DE12A3" w:rsidRDefault="00242DA0" w:rsidP="00C917D6">
      <w:pPr>
        <w:pStyle w:val="Gvdemetni11"/>
        <w:shd w:val="clear" w:color="auto" w:fill="auto"/>
        <w:spacing w:before="120" w:after="120" w:line="240" w:lineRule="auto"/>
        <w:ind w:left="1134" w:firstLine="0"/>
        <w:jc w:val="both"/>
        <w:rPr>
          <w:color w:val="auto"/>
          <w:sz w:val="24"/>
          <w:szCs w:val="24"/>
        </w:rPr>
      </w:pPr>
      <w:r w:rsidRPr="00DE12A3">
        <w:rPr>
          <w:color w:val="auto"/>
          <w:sz w:val="24"/>
          <w:szCs w:val="24"/>
        </w:rPr>
        <w:t>M</w:t>
      </w:r>
      <w:r w:rsidRPr="00DE12A3">
        <w:rPr>
          <w:color w:val="auto"/>
          <w:sz w:val="24"/>
          <w:szCs w:val="24"/>
          <w:vertAlign w:val="subscript"/>
        </w:rPr>
        <w:t>a</w:t>
      </w:r>
      <w:r w:rsidR="003D51C5" w:rsidRPr="00DE12A3">
        <w:rPr>
          <w:color w:val="auto"/>
          <w:sz w:val="24"/>
          <w:szCs w:val="24"/>
        </w:rPr>
        <w:t xml:space="preserve"> </w:t>
      </w:r>
      <w:r w:rsidRPr="00DE12A3">
        <w:rPr>
          <w:color w:val="auto"/>
          <w:sz w:val="24"/>
          <w:szCs w:val="24"/>
        </w:rPr>
        <w:t>= kuru emme havası moleküler kütlesi = 28,965 g/mol</w:t>
      </w:r>
    </w:p>
    <w:p w14:paraId="0D56851D" w14:textId="06D34930" w:rsidR="002D7B36" w:rsidRPr="00DE12A3" w:rsidRDefault="00242DA0" w:rsidP="00C917D6">
      <w:pPr>
        <w:pStyle w:val="Gvdemetni11"/>
        <w:shd w:val="clear" w:color="auto" w:fill="auto"/>
        <w:spacing w:before="120" w:after="120" w:line="240" w:lineRule="auto"/>
        <w:ind w:left="1134" w:firstLine="0"/>
        <w:jc w:val="both"/>
        <w:rPr>
          <w:color w:val="auto"/>
          <w:sz w:val="24"/>
          <w:szCs w:val="24"/>
        </w:rPr>
      </w:pPr>
      <w:r w:rsidRPr="00DE12A3">
        <w:rPr>
          <w:color w:val="auto"/>
          <w:sz w:val="24"/>
          <w:szCs w:val="24"/>
        </w:rPr>
        <w:t xml:space="preserve">Anlık ham egzoz gazı yoğunluğu </w:t>
      </w:r>
      <w:r w:rsidRPr="00DE12A3">
        <w:rPr>
          <w:i/>
          <w:iCs/>
          <w:color w:val="auto"/>
          <w:sz w:val="24"/>
          <w:szCs w:val="24"/>
        </w:rPr>
        <w:t>ρ</w:t>
      </w:r>
      <w:r w:rsidRPr="00DE12A3">
        <w:rPr>
          <w:color w:val="auto"/>
          <w:sz w:val="24"/>
          <w:szCs w:val="24"/>
          <w:vertAlign w:val="subscript"/>
        </w:rPr>
        <w:t>e,i</w:t>
      </w:r>
      <w:r w:rsidRPr="00DE12A3">
        <w:rPr>
          <w:color w:val="auto"/>
          <w:sz w:val="24"/>
          <w:szCs w:val="24"/>
        </w:rPr>
        <w:t xml:space="preserve"> [kg/m3], (7-14) </w:t>
      </w:r>
      <w:r w:rsidR="005E1C7E" w:rsidRPr="00DE12A3">
        <w:rPr>
          <w:color w:val="auto"/>
          <w:sz w:val="24"/>
          <w:szCs w:val="24"/>
        </w:rPr>
        <w:t>numaralı</w:t>
      </w:r>
      <w:r w:rsidR="005E1C7E" w:rsidRPr="00DE12A3" w:rsidDel="005E1C7E">
        <w:rPr>
          <w:color w:val="auto"/>
          <w:sz w:val="24"/>
          <w:szCs w:val="24"/>
        </w:rPr>
        <w:t xml:space="preserve"> </w:t>
      </w:r>
      <w:r w:rsidRPr="00DE12A3">
        <w:rPr>
          <w:color w:val="auto"/>
          <w:sz w:val="24"/>
          <w:szCs w:val="24"/>
        </w:rPr>
        <w:t>denklemle hesaplanmalıdır:</w:t>
      </w:r>
    </w:p>
    <w:p w14:paraId="4B3D4EED" w14:textId="77777777" w:rsidR="002D7B36" w:rsidRPr="00DE12A3" w:rsidRDefault="002D7B36" w:rsidP="00C917D6">
      <w:pPr>
        <w:pStyle w:val="Gvdemetni11"/>
        <w:shd w:val="clear" w:color="auto" w:fill="auto"/>
        <w:spacing w:before="120" w:after="120" w:line="240" w:lineRule="auto"/>
        <w:ind w:left="1134" w:firstLine="0"/>
        <w:jc w:val="both"/>
        <w:rPr>
          <w:color w:val="auto"/>
          <w:sz w:val="24"/>
          <w:szCs w:val="24"/>
        </w:rPr>
      </w:pPr>
    </w:p>
    <w:p w14:paraId="0A09A614" w14:textId="3AFD7E7D" w:rsidR="002D7B36" w:rsidRPr="00DE12A3" w:rsidRDefault="00242DA0" w:rsidP="00C917D6">
      <w:pPr>
        <w:tabs>
          <w:tab w:val="left" w:pos="1970"/>
        </w:tabs>
        <w:spacing w:before="120" w:after="120"/>
        <w:ind w:left="1134" w:rightChars="-20" w:right="-48" w:hanging="1134"/>
        <w:jc w:val="center"/>
        <w:rPr>
          <w:rFonts w:cs="Times New Roman"/>
          <w:color w:val="auto"/>
        </w:rPr>
      </w:pPr>
      <w:r w:rsidRPr="00DE12A3">
        <w:rPr>
          <w:rFonts w:cs="Times New Roman"/>
          <w:noProof/>
          <w:color w:val="auto"/>
        </w:rPr>
        <w:drawing>
          <wp:inline distT="0" distB="0" distL="114300" distR="114300" wp14:anchorId="2CEA92B7" wp14:editId="36990605">
            <wp:extent cx="4290060" cy="504190"/>
            <wp:effectExtent l="0" t="0" r="13335" b="10160"/>
            <wp:docPr id="6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Picture 5"/>
                    <pic:cNvPicPr>
                      <a:picLocks noChangeAspect="1"/>
                    </pic:cNvPicPr>
                  </pic:nvPicPr>
                  <pic:blipFill>
                    <a:blip r:embed="rId73"/>
                    <a:stretch>
                      <a:fillRect/>
                    </a:stretch>
                  </pic:blipFill>
                  <pic:spPr>
                    <a:xfrm>
                      <a:off x="0" y="0"/>
                      <a:ext cx="4290060" cy="504190"/>
                    </a:xfrm>
                    <a:prstGeom prst="rect">
                      <a:avLst/>
                    </a:prstGeom>
                    <a:noFill/>
                    <a:ln>
                      <a:noFill/>
                    </a:ln>
                  </pic:spPr>
                </pic:pic>
              </a:graphicData>
            </a:graphic>
          </wp:inline>
        </w:drawing>
      </w:r>
    </w:p>
    <w:p w14:paraId="2F3507C9" w14:textId="77777777" w:rsidR="002D7B36" w:rsidRPr="00DE12A3" w:rsidRDefault="009E224E" w:rsidP="00C917D6">
      <w:pPr>
        <w:pStyle w:val="Gvdemetni11"/>
        <w:shd w:val="clear" w:color="auto" w:fill="auto"/>
        <w:spacing w:before="120" w:after="120" w:line="240" w:lineRule="auto"/>
        <w:ind w:left="1134" w:firstLine="0"/>
        <w:jc w:val="both"/>
        <w:rPr>
          <w:color w:val="auto"/>
          <w:sz w:val="24"/>
          <w:szCs w:val="24"/>
        </w:rPr>
      </w:pPr>
      <w:r w:rsidRPr="00DE12A3">
        <w:rPr>
          <w:color w:val="auto"/>
          <w:sz w:val="24"/>
          <w:szCs w:val="24"/>
        </w:rPr>
        <w:t>B</w:t>
      </w:r>
      <w:r w:rsidR="00242DA0" w:rsidRPr="00DE12A3">
        <w:rPr>
          <w:color w:val="auto"/>
          <w:sz w:val="24"/>
          <w:szCs w:val="24"/>
        </w:rPr>
        <w:t>urada:</w:t>
      </w:r>
    </w:p>
    <w:p w14:paraId="20787E8A" w14:textId="77777777" w:rsidR="002D7B36" w:rsidRPr="00DE12A3" w:rsidRDefault="00242DA0" w:rsidP="00C917D6">
      <w:pPr>
        <w:pStyle w:val="Gvdemetni11"/>
        <w:shd w:val="clear" w:color="auto" w:fill="auto"/>
        <w:spacing w:before="120" w:after="120" w:line="240" w:lineRule="auto"/>
        <w:ind w:left="1134" w:firstLine="0"/>
        <w:jc w:val="both"/>
        <w:rPr>
          <w:color w:val="auto"/>
          <w:sz w:val="24"/>
          <w:szCs w:val="24"/>
        </w:rPr>
      </w:pPr>
      <w:r w:rsidRPr="00DE12A3">
        <w:rPr>
          <w:rStyle w:val="Gvdemetnitalik0ptbolukbraklyor"/>
          <w:color w:val="auto"/>
          <w:sz w:val="24"/>
          <w:szCs w:val="24"/>
        </w:rPr>
        <w:t>q</w:t>
      </w:r>
      <w:r w:rsidRPr="00DE12A3">
        <w:rPr>
          <w:rStyle w:val="Gvdemetnitalik0ptbolukbraklyor"/>
          <w:color w:val="auto"/>
          <w:sz w:val="24"/>
          <w:szCs w:val="24"/>
          <w:vertAlign w:val="subscript"/>
        </w:rPr>
        <w:t>mf,i</w:t>
      </w:r>
      <w:r w:rsidRPr="00DE12A3">
        <w:rPr>
          <w:color w:val="auto"/>
          <w:sz w:val="24"/>
          <w:szCs w:val="24"/>
        </w:rPr>
        <w:tab/>
        <w:t>= anlık yakıt kütle akış hızı [kg/s]</w:t>
      </w:r>
    </w:p>
    <w:p w14:paraId="499B49C7" w14:textId="77777777" w:rsidR="002D7B36" w:rsidRPr="00DE12A3" w:rsidRDefault="00242DA0" w:rsidP="00C917D6">
      <w:pPr>
        <w:pStyle w:val="Gvdemetni11"/>
        <w:shd w:val="clear" w:color="auto" w:fill="auto"/>
        <w:tabs>
          <w:tab w:val="center" w:pos="4507"/>
        </w:tabs>
        <w:spacing w:before="120" w:after="120" w:line="240" w:lineRule="auto"/>
        <w:ind w:left="1134" w:firstLine="0"/>
        <w:jc w:val="both"/>
        <w:rPr>
          <w:color w:val="auto"/>
          <w:sz w:val="24"/>
          <w:szCs w:val="24"/>
        </w:rPr>
      </w:pPr>
      <w:r w:rsidRPr="00DE12A3">
        <w:rPr>
          <w:rStyle w:val="Gvdemetnitalik0ptbolukbraklyor"/>
          <w:color w:val="auto"/>
          <w:sz w:val="24"/>
          <w:szCs w:val="24"/>
        </w:rPr>
        <w:t>q</w:t>
      </w:r>
      <w:r w:rsidRPr="00DE12A3">
        <w:rPr>
          <w:rStyle w:val="Gvdemetnitalik0ptbolukbraklyor"/>
          <w:color w:val="auto"/>
          <w:sz w:val="24"/>
          <w:szCs w:val="24"/>
          <w:vertAlign w:val="subscript"/>
        </w:rPr>
        <w:t>mad,i</w:t>
      </w:r>
      <w:r w:rsidRPr="00DE12A3">
        <w:rPr>
          <w:color w:val="auto"/>
          <w:sz w:val="24"/>
          <w:szCs w:val="24"/>
        </w:rPr>
        <w:tab/>
        <w:t>= anlık kuru emme havası kütle akış hızı [kg/s]</w:t>
      </w:r>
    </w:p>
    <w:p w14:paraId="656A225F" w14:textId="77777777" w:rsidR="002D7B36" w:rsidRPr="00DE12A3" w:rsidRDefault="00242DA0" w:rsidP="00C917D6">
      <w:pPr>
        <w:pStyle w:val="Gvdemetni11"/>
        <w:shd w:val="clear" w:color="auto" w:fill="auto"/>
        <w:spacing w:before="120" w:after="120" w:line="240" w:lineRule="auto"/>
        <w:ind w:left="1134" w:firstLine="0"/>
        <w:jc w:val="both"/>
        <w:rPr>
          <w:color w:val="auto"/>
          <w:sz w:val="24"/>
          <w:szCs w:val="24"/>
        </w:rPr>
      </w:pPr>
      <w:r w:rsidRPr="00DE12A3">
        <w:rPr>
          <w:i/>
          <w:iCs/>
          <w:color w:val="auto"/>
          <w:sz w:val="24"/>
          <w:szCs w:val="24"/>
        </w:rPr>
        <w:t>H</w:t>
      </w:r>
      <w:r w:rsidRPr="00DE12A3">
        <w:rPr>
          <w:color w:val="auto"/>
          <w:sz w:val="24"/>
          <w:szCs w:val="24"/>
          <w:vertAlign w:val="subscript"/>
        </w:rPr>
        <w:t>a</w:t>
      </w:r>
      <w:r w:rsidRPr="00DE12A3">
        <w:rPr>
          <w:color w:val="auto"/>
          <w:sz w:val="24"/>
          <w:szCs w:val="24"/>
        </w:rPr>
        <w:tab/>
        <w:t>= emme havası nemi [g H2O/kg kuru hava]</w:t>
      </w:r>
    </w:p>
    <w:p w14:paraId="33B57080" w14:textId="72AB706E" w:rsidR="002D7B36" w:rsidRPr="00DE12A3" w:rsidRDefault="00242DA0" w:rsidP="00C917D6">
      <w:pPr>
        <w:pStyle w:val="Gvdemetni11"/>
        <w:shd w:val="clear" w:color="auto" w:fill="auto"/>
        <w:tabs>
          <w:tab w:val="center" w:pos="4507"/>
          <w:tab w:val="right" w:pos="5638"/>
        </w:tabs>
        <w:spacing w:before="120" w:after="120" w:line="240" w:lineRule="auto"/>
        <w:ind w:left="1134" w:firstLine="0"/>
        <w:jc w:val="both"/>
        <w:rPr>
          <w:color w:val="auto"/>
          <w:sz w:val="24"/>
          <w:szCs w:val="24"/>
        </w:rPr>
      </w:pPr>
      <w:r w:rsidRPr="00DE12A3">
        <w:rPr>
          <w:i/>
          <w:iCs/>
          <w:color w:val="auto"/>
          <w:sz w:val="24"/>
          <w:szCs w:val="24"/>
        </w:rPr>
        <w:t>k</w:t>
      </w:r>
      <w:r w:rsidRPr="00DE12A3">
        <w:rPr>
          <w:color w:val="auto"/>
          <w:sz w:val="24"/>
          <w:szCs w:val="24"/>
          <w:vertAlign w:val="subscript"/>
        </w:rPr>
        <w:t>f</w:t>
      </w:r>
      <w:r w:rsidR="003D51C5" w:rsidRPr="00DE12A3">
        <w:rPr>
          <w:color w:val="auto"/>
          <w:sz w:val="24"/>
          <w:szCs w:val="24"/>
        </w:rPr>
        <w:t xml:space="preserve"> </w:t>
      </w:r>
      <w:r w:rsidRPr="00DE12A3">
        <w:rPr>
          <w:color w:val="auto"/>
          <w:sz w:val="24"/>
          <w:szCs w:val="24"/>
        </w:rPr>
        <w:t>= yanma ilave hacmi [m3/kg yakıt] [bkz. denklem (7-5)]</w:t>
      </w:r>
    </w:p>
    <w:p w14:paraId="52A9BE1C" w14:textId="77777777" w:rsidR="002D7B36" w:rsidRPr="00DE12A3" w:rsidRDefault="009E224E" w:rsidP="00E20716">
      <w:pPr>
        <w:pStyle w:val="Gvdemetni11"/>
        <w:numPr>
          <w:ilvl w:val="2"/>
          <w:numId w:val="394"/>
        </w:numPr>
        <w:shd w:val="clear" w:color="auto" w:fill="auto"/>
        <w:tabs>
          <w:tab w:val="left" w:pos="768"/>
        </w:tabs>
        <w:spacing w:before="120" w:after="120" w:line="240" w:lineRule="auto"/>
        <w:ind w:left="1134" w:hanging="1134"/>
        <w:jc w:val="both"/>
        <w:rPr>
          <w:color w:val="auto"/>
          <w:sz w:val="24"/>
          <w:szCs w:val="24"/>
        </w:rPr>
      </w:pPr>
      <w:r w:rsidRPr="00DE12A3">
        <w:rPr>
          <w:color w:val="auto"/>
          <w:sz w:val="24"/>
          <w:szCs w:val="24"/>
        </w:rPr>
        <w:t xml:space="preserve">     </w:t>
      </w:r>
      <w:r w:rsidR="00242DA0" w:rsidRPr="00DE12A3">
        <w:rPr>
          <w:color w:val="auto"/>
          <w:sz w:val="24"/>
          <w:szCs w:val="24"/>
        </w:rPr>
        <w:t>Egzoz gazının kütle akış hızı</w:t>
      </w:r>
    </w:p>
    <w:p w14:paraId="54EF0951" w14:textId="77777777" w:rsidR="002D7B36" w:rsidRPr="00DE12A3" w:rsidRDefault="00242DA0" w:rsidP="00E20716">
      <w:pPr>
        <w:pStyle w:val="Gvdemetni2511"/>
        <w:numPr>
          <w:ilvl w:val="0"/>
          <w:numId w:val="398"/>
        </w:numPr>
        <w:shd w:val="clear" w:color="auto" w:fill="auto"/>
        <w:spacing w:before="120" w:after="120" w:line="240" w:lineRule="auto"/>
        <w:ind w:left="1134" w:hanging="1134"/>
        <w:rPr>
          <w:color w:val="auto"/>
          <w:sz w:val="24"/>
          <w:szCs w:val="24"/>
        </w:rPr>
      </w:pPr>
      <w:r w:rsidRPr="00DE12A3">
        <w:rPr>
          <w:color w:val="auto"/>
          <w:sz w:val="24"/>
          <w:szCs w:val="24"/>
        </w:rPr>
        <w:t>Hava ve yakıt ölçüm yöntemi</w:t>
      </w:r>
    </w:p>
    <w:p w14:paraId="71455DC3" w14:textId="36051C6E" w:rsidR="002D7B36" w:rsidRPr="00DE12A3" w:rsidRDefault="009E224E" w:rsidP="00C917D6">
      <w:pPr>
        <w:pStyle w:val="Gvdemetni2511"/>
        <w:shd w:val="clear" w:color="auto" w:fill="auto"/>
        <w:spacing w:before="120" w:after="120" w:line="240" w:lineRule="auto"/>
        <w:ind w:left="1134" w:hanging="1134"/>
        <w:rPr>
          <w:color w:val="auto"/>
          <w:sz w:val="24"/>
          <w:szCs w:val="24"/>
        </w:rPr>
      </w:pPr>
      <w:r w:rsidRPr="00DE12A3">
        <w:rPr>
          <w:color w:val="auto"/>
          <w:sz w:val="24"/>
          <w:szCs w:val="24"/>
        </w:rPr>
        <w:lastRenderedPageBreak/>
        <w:t xml:space="preserve">                  </w:t>
      </w:r>
      <w:r w:rsidR="00242DA0" w:rsidRPr="00DE12A3">
        <w:rPr>
          <w:color w:val="auto"/>
          <w:sz w:val="24"/>
          <w:szCs w:val="24"/>
        </w:rPr>
        <w:t xml:space="preserve">Yöntem, hava akışının ve yakıt akışının uygun debimetreler ile ölçülmesini içerir. Anlık egzoz gazı akışı </w:t>
      </w:r>
      <w:r w:rsidR="00242DA0" w:rsidRPr="00DE12A3">
        <w:rPr>
          <w:i/>
          <w:iCs/>
          <w:color w:val="auto"/>
          <w:sz w:val="24"/>
          <w:szCs w:val="24"/>
        </w:rPr>
        <w:t>q</w:t>
      </w:r>
      <w:r w:rsidR="00242DA0" w:rsidRPr="00DE12A3">
        <w:rPr>
          <w:color w:val="auto"/>
          <w:sz w:val="24"/>
          <w:szCs w:val="24"/>
          <w:vertAlign w:val="subscript"/>
        </w:rPr>
        <w:t>mew,i</w:t>
      </w:r>
      <w:r w:rsidR="00242DA0" w:rsidRPr="00DE12A3">
        <w:rPr>
          <w:color w:val="auto"/>
          <w:sz w:val="24"/>
          <w:szCs w:val="24"/>
        </w:rPr>
        <w:t xml:space="preserve"> [kg/s], (7-15) </w:t>
      </w:r>
      <w:r w:rsidR="005E1C7E" w:rsidRPr="00DE12A3">
        <w:rPr>
          <w:color w:val="auto"/>
          <w:sz w:val="24"/>
          <w:szCs w:val="24"/>
        </w:rPr>
        <w:t>numaralı</w:t>
      </w:r>
      <w:r w:rsidR="005E1C7E" w:rsidRPr="00DE12A3" w:rsidDel="005E1C7E">
        <w:rPr>
          <w:color w:val="auto"/>
          <w:sz w:val="24"/>
          <w:szCs w:val="24"/>
        </w:rPr>
        <w:t xml:space="preserve"> </w:t>
      </w:r>
      <w:r w:rsidR="00242DA0" w:rsidRPr="00DE12A3">
        <w:rPr>
          <w:color w:val="auto"/>
          <w:sz w:val="24"/>
          <w:szCs w:val="24"/>
        </w:rPr>
        <w:t xml:space="preserve">denklem ile </w:t>
      </w:r>
      <w:r w:rsidRPr="00DE12A3">
        <w:rPr>
          <w:color w:val="auto"/>
          <w:sz w:val="24"/>
          <w:szCs w:val="24"/>
        </w:rPr>
        <w:t xml:space="preserve">     </w:t>
      </w:r>
      <w:r w:rsidR="00242DA0" w:rsidRPr="00DE12A3">
        <w:rPr>
          <w:color w:val="auto"/>
          <w:sz w:val="24"/>
          <w:szCs w:val="24"/>
        </w:rPr>
        <w:t>hesaplanmalıdır:</w:t>
      </w:r>
    </w:p>
    <w:p w14:paraId="0D2AECEA" w14:textId="6C1D1BD8" w:rsidR="002D7B36" w:rsidRPr="00DE12A3" w:rsidRDefault="00242DA0" w:rsidP="00C917D6">
      <w:pPr>
        <w:tabs>
          <w:tab w:val="left" w:pos="1970"/>
        </w:tabs>
        <w:spacing w:before="120" w:after="120"/>
        <w:ind w:left="1134" w:rightChars="-20" w:right="-48" w:hanging="1134"/>
        <w:jc w:val="center"/>
        <w:rPr>
          <w:rFonts w:cs="Times New Roman"/>
          <w:color w:val="auto"/>
        </w:rPr>
      </w:pPr>
      <w:r w:rsidRPr="00DE12A3">
        <w:rPr>
          <w:rFonts w:cs="Times New Roman"/>
          <w:noProof/>
          <w:color w:val="auto"/>
        </w:rPr>
        <w:drawing>
          <wp:inline distT="0" distB="0" distL="114300" distR="114300" wp14:anchorId="52EFCD24" wp14:editId="2788B586">
            <wp:extent cx="4230370" cy="393065"/>
            <wp:effectExtent l="0" t="0" r="4445" b="1270"/>
            <wp:docPr id="6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Picture 7"/>
                    <pic:cNvPicPr>
                      <a:picLocks noChangeAspect="1"/>
                    </pic:cNvPicPr>
                  </pic:nvPicPr>
                  <pic:blipFill>
                    <a:blip r:embed="rId74"/>
                    <a:stretch>
                      <a:fillRect/>
                    </a:stretch>
                  </pic:blipFill>
                  <pic:spPr>
                    <a:xfrm>
                      <a:off x="0" y="0"/>
                      <a:ext cx="4230370" cy="393065"/>
                    </a:xfrm>
                    <a:prstGeom prst="rect">
                      <a:avLst/>
                    </a:prstGeom>
                    <a:noFill/>
                    <a:ln>
                      <a:noFill/>
                    </a:ln>
                  </pic:spPr>
                </pic:pic>
              </a:graphicData>
            </a:graphic>
          </wp:inline>
        </w:drawing>
      </w:r>
    </w:p>
    <w:p w14:paraId="42CF9637" w14:textId="77777777" w:rsidR="002D7B36" w:rsidRPr="00DE12A3" w:rsidRDefault="00423D19" w:rsidP="00C917D6">
      <w:pPr>
        <w:pStyle w:val="Gvdemetni2511"/>
        <w:shd w:val="clear" w:color="auto" w:fill="auto"/>
        <w:spacing w:before="120" w:after="120" w:line="240" w:lineRule="auto"/>
        <w:ind w:left="1134" w:firstLine="0"/>
        <w:rPr>
          <w:color w:val="auto"/>
          <w:sz w:val="24"/>
          <w:szCs w:val="24"/>
        </w:rPr>
      </w:pPr>
      <w:r w:rsidRPr="00DE12A3">
        <w:rPr>
          <w:color w:val="auto"/>
          <w:sz w:val="24"/>
          <w:szCs w:val="24"/>
        </w:rPr>
        <w:t>B</w:t>
      </w:r>
      <w:r w:rsidR="00242DA0" w:rsidRPr="00DE12A3">
        <w:rPr>
          <w:color w:val="auto"/>
          <w:sz w:val="24"/>
          <w:szCs w:val="24"/>
        </w:rPr>
        <w:t>urada:</w:t>
      </w:r>
    </w:p>
    <w:p w14:paraId="30C28137" w14:textId="7D207429" w:rsidR="002D7B36" w:rsidRPr="00DE12A3" w:rsidRDefault="00242DA0" w:rsidP="00C917D6">
      <w:pPr>
        <w:pStyle w:val="Gvdemetni2511"/>
        <w:shd w:val="clear" w:color="auto" w:fill="auto"/>
        <w:spacing w:before="120" w:after="120" w:line="240" w:lineRule="auto"/>
        <w:ind w:left="1134" w:firstLine="0"/>
        <w:rPr>
          <w:color w:val="auto"/>
          <w:sz w:val="24"/>
          <w:szCs w:val="24"/>
        </w:rPr>
      </w:pPr>
      <w:r w:rsidRPr="00DE12A3">
        <w:rPr>
          <w:rStyle w:val="Gvdemetni254pttalik0ptbolukbraklyor32"/>
          <w:color w:val="auto"/>
          <w:sz w:val="24"/>
          <w:szCs w:val="24"/>
        </w:rPr>
        <w:t>q</w:t>
      </w:r>
      <w:r w:rsidRPr="00DE12A3">
        <w:rPr>
          <w:rStyle w:val="Gvdemetni254pttalik0ptbolukbraklyor32"/>
          <w:color w:val="auto"/>
          <w:sz w:val="24"/>
          <w:szCs w:val="24"/>
          <w:vertAlign w:val="subscript"/>
        </w:rPr>
        <w:t>maw,i</w:t>
      </w:r>
      <w:r w:rsidR="003D51C5" w:rsidRPr="00DE12A3">
        <w:rPr>
          <w:rStyle w:val="Gvdemetni254pttalik0ptbolukbraklyor32"/>
          <w:color w:val="auto"/>
          <w:sz w:val="24"/>
          <w:szCs w:val="24"/>
          <w:vertAlign w:val="subscript"/>
        </w:rPr>
        <w:t xml:space="preserve"> </w:t>
      </w:r>
      <w:r w:rsidRPr="00DE12A3">
        <w:rPr>
          <w:color w:val="auto"/>
          <w:sz w:val="24"/>
          <w:szCs w:val="24"/>
        </w:rPr>
        <w:t>= anlık emme havası kütle akış hızı [kg/s]</w:t>
      </w:r>
    </w:p>
    <w:p w14:paraId="30E3EE87" w14:textId="61153EAE" w:rsidR="002D7B36" w:rsidRPr="00DE12A3" w:rsidRDefault="00242DA0" w:rsidP="00C917D6">
      <w:pPr>
        <w:pStyle w:val="Gvdemetni2511"/>
        <w:shd w:val="clear" w:color="auto" w:fill="auto"/>
        <w:spacing w:before="120" w:after="120" w:line="240" w:lineRule="auto"/>
        <w:ind w:left="1134" w:firstLine="0"/>
        <w:rPr>
          <w:color w:val="auto"/>
          <w:sz w:val="24"/>
          <w:szCs w:val="24"/>
        </w:rPr>
      </w:pPr>
      <w:r w:rsidRPr="00DE12A3">
        <w:rPr>
          <w:rStyle w:val="Gvdemetni254pttalik0ptbolukbraklyor32"/>
          <w:color w:val="auto"/>
          <w:sz w:val="24"/>
          <w:szCs w:val="24"/>
        </w:rPr>
        <w:t>q</w:t>
      </w:r>
      <w:r w:rsidRPr="00DE12A3">
        <w:rPr>
          <w:rStyle w:val="Gvdemetni254pttalik0ptbolukbraklyor32"/>
          <w:color w:val="auto"/>
          <w:sz w:val="24"/>
          <w:szCs w:val="24"/>
          <w:vertAlign w:val="subscript"/>
        </w:rPr>
        <w:t>mf,i</w:t>
      </w:r>
      <w:r w:rsidR="003D51C5" w:rsidRPr="00DE12A3">
        <w:rPr>
          <w:color w:val="auto"/>
          <w:sz w:val="24"/>
          <w:szCs w:val="24"/>
        </w:rPr>
        <w:t xml:space="preserve"> </w:t>
      </w:r>
      <w:r w:rsidRPr="00DE12A3">
        <w:rPr>
          <w:color w:val="auto"/>
          <w:sz w:val="24"/>
          <w:szCs w:val="24"/>
        </w:rPr>
        <w:t>= anlık yakıt kütle akış hızı [kg/s]</w:t>
      </w:r>
    </w:p>
    <w:p w14:paraId="334278D3" w14:textId="77777777" w:rsidR="002D7B36" w:rsidRPr="00DE12A3" w:rsidRDefault="00242DA0" w:rsidP="00E20716">
      <w:pPr>
        <w:pStyle w:val="Gvdemetni2511"/>
        <w:numPr>
          <w:ilvl w:val="0"/>
          <w:numId w:val="398"/>
        </w:numPr>
        <w:shd w:val="clear" w:color="auto" w:fill="auto"/>
        <w:spacing w:before="120" w:after="120" w:line="240" w:lineRule="auto"/>
        <w:ind w:left="1134" w:hanging="1134"/>
        <w:rPr>
          <w:color w:val="auto"/>
          <w:sz w:val="24"/>
          <w:szCs w:val="24"/>
        </w:rPr>
      </w:pPr>
      <w:r w:rsidRPr="00DE12A3">
        <w:rPr>
          <w:color w:val="auto"/>
          <w:sz w:val="24"/>
          <w:szCs w:val="24"/>
        </w:rPr>
        <w:t>İzleyici ölçüm yöntemi</w:t>
      </w:r>
    </w:p>
    <w:p w14:paraId="182210F2" w14:textId="071287BC" w:rsidR="002D7B36" w:rsidRPr="00DE12A3" w:rsidRDefault="00242DA0" w:rsidP="00C917D6">
      <w:pPr>
        <w:pStyle w:val="Gvdemetni2511"/>
        <w:shd w:val="clear" w:color="auto" w:fill="auto"/>
        <w:spacing w:before="120" w:after="120" w:line="240" w:lineRule="auto"/>
        <w:ind w:leftChars="467" w:left="1132" w:hanging="11"/>
        <w:rPr>
          <w:color w:val="auto"/>
          <w:sz w:val="24"/>
          <w:szCs w:val="24"/>
        </w:rPr>
      </w:pPr>
      <w:r w:rsidRPr="00DE12A3">
        <w:rPr>
          <w:color w:val="auto"/>
          <w:sz w:val="24"/>
          <w:szCs w:val="24"/>
        </w:rPr>
        <w:t xml:space="preserve">Bu yöntem, egzoz gazı içindeki bir izleyici gaz konsantrasyonunun ölçülmesini içerir. Anlık egzoz gazı akışı </w:t>
      </w:r>
      <w:r w:rsidRPr="00DE12A3">
        <w:rPr>
          <w:i/>
          <w:iCs/>
          <w:color w:val="auto"/>
          <w:sz w:val="24"/>
          <w:szCs w:val="24"/>
        </w:rPr>
        <w:t>q</w:t>
      </w:r>
      <w:r w:rsidRPr="00DE12A3">
        <w:rPr>
          <w:color w:val="auto"/>
          <w:sz w:val="24"/>
          <w:szCs w:val="24"/>
          <w:vertAlign w:val="subscript"/>
        </w:rPr>
        <w:t>mew,i</w:t>
      </w:r>
      <w:r w:rsidRPr="00DE12A3">
        <w:rPr>
          <w:color w:val="auto"/>
          <w:sz w:val="24"/>
          <w:szCs w:val="24"/>
        </w:rPr>
        <w:t xml:space="preserve"> [kg/s], (7-16) </w:t>
      </w:r>
      <w:r w:rsidR="005E1C7E" w:rsidRPr="00DE12A3">
        <w:rPr>
          <w:color w:val="auto"/>
          <w:sz w:val="24"/>
          <w:szCs w:val="24"/>
        </w:rPr>
        <w:t>numaralı</w:t>
      </w:r>
      <w:r w:rsidR="005E1C7E" w:rsidRPr="00DE12A3" w:rsidDel="005E1C7E">
        <w:rPr>
          <w:color w:val="auto"/>
          <w:sz w:val="24"/>
          <w:szCs w:val="24"/>
        </w:rPr>
        <w:t xml:space="preserve"> </w:t>
      </w:r>
      <w:r w:rsidRPr="00DE12A3">
        <w:rPr>
          <w:color w:val="auto"/>
          <w:sz w:val="24"/>
          <w:szCs w:val="24"/>
        </w:rPr>
        <w:t>denklemle hesaplanmalıdır:</w:t>
      </w:r>
    </w:p>
    <w:p w14:paraId="6DF0C2AB" w14:textId="7CB7A88B" w:rsidR="002D7B36" w:rsidRPr="00DE12A3" w:rsidRDefault="00242DA0" w:rsidP="00C917D6">
      <w:pPr>
        <w:pStyle w:val="Gvdemetni2511"/>
        <w:shd w:val="clear" w:color="auto" w:fill="auto"/>
        <w:spacing w:before="120" w:after="120" w:line="240" w:lineRule="auto"/>
        <w:ind w:left="1134" w:hanging="1134"/>
        <w:jc w:val="center"/>
        <w:rPr>
          <w:color w:val="auto"/>
          <w:sz w:val="24"/>
          <w:szCs w:val="24"/>
        </w:rPr>
      </w:pPr>
      <w:r w:rsidRPr="00DE12A3">
        <w:rPr>
          <w:noProof/>
          <w:color w:val="auto"/>
          <w:sz w:val="24"/>
          <w:szCs w:val="24"/>
        </w:rPr>
        <w:drawing>
          <wp:inline distT="0" distB="0" distL="114300" distR="114300" wp14:anchorId="43DBCA91" wp14:editId="42A8A900">
            <wp:extent cx="4580255" cy="452755"/>
            <wp:effectExtent l="0" t="0" r="14605" b="10160"/>
            <wp:docPr id="78"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Picture 12"/>
                    <pic:cNvPicPr>
                      <a:picLocks noChangeAspect="1"/>
                    </pic:cNvPicPr>
                  </pic:nvPicPr>
                  <pic:blipFill>
                    <a:blip r:embed="rId75"/>
                    <a:stretch>
                      <a:fillRect/>
                    </a:stretch>
                  </pic:blipFill>
                  <pic:spPr>
                    <a:xfrm>
                      <a:off x="0" y="0"/>
                      <a:ext cx="4580255" cy="452755"/>
                    </a:xfrm>
                    <a:prstGeom prst="rect">
                      <a:avLst/>
                    </a:prstGeom>
                    <a:noFill/>
                    <a:ln>
                      <a:noFill/>
                    </a:ln>
                  </pic:spPr>
                </pic:pic>
              </a:graphicData>
            </a:graphic>
          </wp:inline>
        </w:drawing>
      </w:r>
    </w:p>
    <w:p w14:paraId="48690126" w14:textId="77777777" w:rsidR="002D7B36" w:rsidRPr="00DE12A3" w:rsidRDefault="00423D19" w:rsidP="00C917D6">
      <w:pPr>
        <w:spacing w:before="120" w:after="120"/>
        <w:ind w:left="1134"/>
        <w:jc w:val="both"/>
        <w:rPr>
          <w:rFonts w:eastAsia="Times New Roman" w:cs="Times New Roman"/>
          <w:color w:val="auto"/>
          <w:spacing w:val="3"/>
        </w:rPr>
      </w:pPr>
      <w:r w:rsidRPr="00DE12A3">
        <w:rPr>
          <w:rFonts w:eastAsia="Times New Roman" w:cs="Times New Roman"/>
          <w:color w:val="auto"/>
          <w:spacing w:val="3"/>
        </w:rPr>
        <w:t>B</w:t>
      </w:r>
      <w:r w:rsidR="00242DA0" w:rsidRPr="00DE12A3">
        <w:rPr>
          <w:rFonts w:eastAsia="Times New Roman" w:cs="Times New Roman"/>
          <w:color w:val="auto"/>
          <w:spacing w:val="3"/>
        </w:rPr>
        <w:t>urada:</w:t>
      </w:r>
    </w:p>
    <w:p w14:paraId="7F5DDF59" w14:textId="6CEDE7B3" w:rsidR="002D7B36" w:rsidRPr="00DE12A3" w:rsidRDefault="00242DA0" w:rsidP="00C917D6">
      <w:pPr>
        <w:tabs>
          <w:tab w:val="left" w:pos="1418"/>
        </w:tabs>
        <w:spacing w:before="120" w:after="120"/>
        <w:ind w:left="1134"/>
        <w:jc w:val="both"/>
        <w:rPr>
          <w:rFonts w:eastAsia="Times New Roman" w:cs="Times New Roman"/>
          <w:color w:val="auto"/>
          <w:spacing w:val="3"/>
        </w:rPr>
      </w:pPr>
      <w:r w:rsidRPr="00DE12A3">
        <w:rPr>
          <w:rFonts w:eastAsia="Times New Roman" w:cs="Times New Roman"/>
          <w:i/>
          <w:iCs/>
          <w:color w:val="auto"/>
          <w:spacing w:val="2"/>
        </w:rPr>
        <w:t>q</w:t>
      </w:r>
      <w:r w:rsidRPr="00DE12A3">
        <w:rPr>
          <w:rFonts w:eastAsia="Times New Roman" w:cs="Times New Roman"/>
          <w:i/>
          <w:iCs/>
          <w:color w:val="auto"/>
          <w:spacing w:val="2"/>
          <w:vertAlign w:val="subscript"/>
        </w:rPr>
        <w:t>V</w:t>
      </w:r>
      <w:r w:rsidRPr="00DE12A3">
        <w:rPr>
          <w:rFonts w:eastAsia="Times New Roman" w:cs="Times New Roman"/>
          <w:color w:val="auto"/>
          <w:spacing w:val="2"/>
          <w:vertAlign w:val="subscript"/>
        </w:rPr>
        <w:t>t</w:t>
      </w:r>
      <w:r w:rsidRPr="00DE12A3">
        <w:rPr>
          <w:rFonts w:eastAsia="Times New Roman" w:cs="Times New Roman"/>
          <w:color w:val="auto"/>
          <w:spacing w:val="3"/>
        </w:rPr>
        <w:tab/>
      </w:r>
      <w:r w:rsidR="003D51C5" w:rsidRPr="00DE12A3">
        <w:rPr>
          <w:rFonts w:eastAsia="Times New Roman" w:cs="Times New Roman"/>
          <w:color w:val="auto"/>
          <w:spacing w:val="3"/>
        </w:rPr>
        <w:t xml:space="preserve"> </w:t>
      </w:r>
      <w:r w:rsidRPr="00DE12A3">
        <w:rPr>
          <w:rFonts w:eastAsia="Times New Roman" w:cs="Times New Roman"/>
          <w:color w:val="auto"/>
          <w:spacing w:val="3"/>
        </w:rPr>
        <w:t>=</w:t>
      </w:r>
      <w:r w:rsidR="003D51C5" w:rsidRPr="00DE12A3">
        <w:rPr>
          <w:rFonts w:eastAsia="Times New Roman" w:cs="Times New Roman"/>
          <w:color w:val="auto"/>
          <w:spacing w:val="3"/>
        </w:rPr>
        <w:t xml:space="preserve"> </w:t>
      </w:r>
      <w:r w:rsidRPr="00DE12A3">
        <w:rPr>
          <w:rFonts w:eastAsia="Times New Roman" w:cs="Times New Roman"/>
          <w:color w:val="auto"/>
          <w:spacing w:val="3"/>
        </w:rPr>
        <w:t>izleyici gaz akış hızı [m</w:t>
      </w:r>
      <w:r w:rsidRPr="00DE12A3">
        <w:rPr>
          <w:rFonts w:eastAsia="Times New Roman" w:cs="Times New Roman"/>
          <w:color w:val="auto"/>
          <w:spacing w:val="3"/>
          <w:vertAlign w:val="superscript"/>
        </w:rPr>
        <w:t>3</w:t>
      </w:r>
      <w:r w:rsidRPr="00DE12A3">
        <w:rPr>
          <w:rFonts w:eastAsia="Times New Roman" w:cs="Times New Roman"/>
          <w:color w:val="auto"/>
          <w:spacing w:val="3"/>
        </w:rPr>
        <w:t>/s]</w:t>
      </w:r>
    </w:p>
    <w:p w14:paraId="4F4E63A6" w14:textId="61691AE4" w:rsidR="002D7B36" w:rsidRPr="00DE12A3" w:rsidRDefault="00242DA0" w:rsidP="00C917D6">
      <w:pPr>
        <w:tabs>
          <w:tab w:val="left" w:pos="1418"/>
        </w:tabs>
        <w:spacing w:before="120" w:after="120"/>
        <w:ind w:left="1134"/>
        <w:jc w:val="both"/>
        <w:rPr>
          <w:rFonts w:eastAsia="Times New Roman" w:cs="Times New Roman"/>
          <w:color w:val="auto"/>
          <w:spacing w:val="3"/>
        </w:rPr>
      </w:pPr>
      <w:r w:rsidRPr="00DE12A3">
        <w:rPr>
          <w:rFonts w:eastAsia="Times New Roman" w:cs="Times New Roman"/>
          <w:i/>
          <w:color w:val="auto"/>
          <w:spacing w:val="3"/>
        </w:rPr>
        <w:t>c</w:t>
      </w:r>
      <w:r w:rsidRPr="00DE12A3">
        <w:rPr>
          <w:rFonts w:eastAsia="Times New Roman" w:cs="Times New Roman"/>
          <w:color w:val="auto"/>
          <w:spacing w:val="3"/>
          <w:vertAlign w:val="subscript"/>
        </w:rPr>
        <w:t>mix,i</w:t>
      </w:r>
      <w:r w:rsidR="003D51C5" w:rsidRPr="00DE12A3">
        <w:rPr>
          <w:rFonts w:eastAsia="Times New Roman" w:cs="Times New Roman"/>
          <w:color w:val="auto"/>
          <w:spacing w:val="3"/>
        </w:rPr>
        <w:t xml:space="preserve"> </w:t>
      </w:r>
      <w:r w:rsidRPr="00DE12A3">
        <w:rPr>
          <w:rFonts w:eastAsia="Times New Roman" w:cs="Times New Roman"/>
          <w:color w:val="auto"/>
          <w:spacing w:val="3"/>
        </w:rPr>
        <w:t>=</w:t>
      </w:r>
      <w:r w:rsidR="003D51C5" w:rsidRPr="00DE12A3">
        <w:rPr>
          <w:rFonts w:eastAsia="Times New Roman" w:cs="Times New Roman"/>
          <w:color w:val="auto"/>
          <w:spacing w:val="3"/>
        </w:rPr>
        <w:t xml:space="preserve"> </w:t>
      </w:r>
      <w:r w:rsidRPr="00DE12A3">
        <w:rPr>
          <w:rFonts w:eastAsia="Times New Roman" w:cs="Times New Roman"/>
          <w:color w:val="auto"/>
          <w:spacing w:val="3"/>
        </w:rPr>
        <w:t>karıştırma sonrasında izleyici gazın anlık konsantrasyonu [PPm]</w:t>
      </w:r>
    </w:p>
    <w:p w14:paraId="0D51BD23" w14:textId="77777777" w:rsidR="002D7B36" w:rsidRPr="00DE12A3" w:rsidRDefault="00242DA0" w:rsidP="00C917D6">
      <w:pPr>
        <w:tabs>
          <w:tab w:val="left" w:pos="1418"/>
          <w:tab w:val="right" w:pos="4445"/>
        </w:tabs>
        <w:spacing w:before="120" w:after="120"/>
        <w:ind w:left="1134"/>
        <w:jc w:val="both"/>
        <w:rPr>
          <w:rFonts w:eastAsia="Times New Roman" w:cs="Times New Roman"/>
          <w:color w:val="auto"/>
          <w:spacing w:val="3"/>
        </w:rPr>
      </w:pPr>
      <w:r w:rsidRPr="00DE12A3">
        <w:rPr>
          <w:rFonts w:eastAsia="Times New Roman" w:cs="Times New Roman"/>
          <w:color w:val="auto"/>
          <w:spacing w:val="3"/>
        </w:rPr>
        <w:t>p</w:t>
      </w:r>
      <w:r w:rsidRPr="00DE12A3">
        <w:rPr>
          <w:rFonts w:eastAsia="Times New Roman" w:cs="Times New Roman"/>
          <w:color w:val="auto"/>
          <w:spacing w:val="3"/>
          <w:vertAlign w:val="subscript"/>
        </w:rPr>
        <w:t>e</w:t>
      </w:r>
      <w:r w:rsidRPr="00DE12A3">
        <w:rPr>
          <w:rFonts w:eastAsia="Times New Roman" w:cs="Times New Roman"/>
          <w:color w:val="auto"/>
          <w:spacing w:val="3"/>
        </w:rPr>
        <w:tab/>
        <w:t>=</w:t>
      </w:r>
      <w:r w:rsidRPr="00DE12A3">
        <w:rPr>
          <w:rFonts w:eastAsia="Times New Roman" w:cs="Times New Roman"/>
          <w:color w:val="auto"/>
          <w:spacing w:val="3"/>
        </w:rPr>
        <w:tab/>
        <w:t>ham egzoz gazı yoğunluğu [kg/m</w:t>
      </w:r>
      <w:r w:rsidRPr="00DE12A3">
        <w:rPr>
          <w:rFonts w:eastAsia="Times New Roman" w:cs="Times New Roman"/>
          <w:color w:val="auto"/>
          <w:spacing w:val="3"/>
          <w:vertAlign w:val="superscript"/>
        </w:rPr>
        <w:t>3</w:t>
      </w:r>
      <w:r w:rsidRPr="00DE12A3">
        <w:rPr>
          <w:rFonts w:eastAsia="Times New Roman" w:cs="Times New Roman"/>
          <w:color w:val="auto"/>
          <w:spacing w:val="3"/>
        </w:rPr>
        <w:t>]</w:t>
      </w:r>
    </w:p>
    <w:p w14:paraId="13D1956D" w14:textId="1839891A" w:rsidR="002D7B36" w:rsidRPr="00DE12A3" w:rsidRDefault="00242DA0" w:rsidP="00C917D6">
      <w:pPr>
        <w:tabs>
          <w:tab w:val="left" w:pos="1418"/>
        </w:tabs>
        <w:spacing w:before="120" w:after="120"/>
        <w:ind w:left="1134"/>
        <w:jc w:val="both"/>
        <w:rPr>
          <w:rFonts w:eastAsia="Times New Roman" w:cs="Times New Roman"/>
          <w:color w:val="auto"/>
          <w:spacing w:val="3"/>
        </w:rPr>
      </w:pPr>
      <w:r w:rsidRPr="00DE12A3">
        <w:rPr>
          <w:rFonts w:eastAsia="Times New Roman" w:cs="Times New Roman"/>
          <w:color w:val="auto"/>
          <w:spacing w:val="3"/>
        </w:rPr>
        <w:t>c</w:t>
      </w:r>
      <w:r w:rsidRPr="00DE12A3">
        <w:rPr>
          <w:rFonts w:eastAsia="Times New Roman" w:cs="Times New Roman"/>
          <w:color w:val="auto"/>
          <w:spacing w:val="3"/>
          <w:vertAlign w:val="subscript"/>
        </w:rPr>
        <w:t>b</w:t>
      </w:r>
      <w:r w:rsidRPr="00DE12A3">
        <w:rPr>
          <w:rFonts w:eastAsia="Times New Roman" w:cs="Times New Roman"/>
          <w:color w:val="auto"/>
          <w:spacing w:val="3"/>
        </w:rPr>
        <w:tab/>
        <w:t>=</w:t>
      </w:r>
      <w:r w:rsidR="003D51C5" w:rsidRPr="00DE12A3">
        <w:rPr>
          <w:rFonts w:eastAsia="Times New Roman" w:cs="Times New Roman"/>
          <w:color w:val="auto"/>
          <w:spacing w:val="3"/>
        </w:rPr>
        <w:t xml:space="preserve"> </w:t>
      </w:r>
      <w:r w:rsidRPr="00DE12A3">
        <w:rPr>
          <w:rFonts w:eastAsia="Times New Roman" w:cs="Times New Roman"/>
          <w:color w:val="auto"/>
          <w:spacing w:val="3"/>
        </w:rPr>
        <w:t>emme havası içindeki izleyici gazın arka plan konsantrasyonu [PPm]</w:t>
      </w:r>
    </w:p>
    <w:p w14:paraId="6A5E226E" w14:textId="7C9087BE" w:rsidR="002D7B36" w:rsidRPr="00DE12A3" w:rsidRDefault="00242DA0" w:rsidP="00C917D6">
      <w:pPr>
        <w:tabs>
          <w:tab w:val="left" w:pos="9120"/>
        </w:tabs>
        <w:spacing w:before="120" w:after="120"/>
        <w:ind w:left="1134"/>
        <w:jc w:val="both"/>
        <w:rPr>
          <w:rFonts w:eastAsia="Times New Roman" w:cs="Times New Roman"/>
          <w:color w:val="auto"/>
          <w:spacing w:val="3"/>
        </w:rPr>
      </w:pPr>
      <w:r w:rsidRPr="00DE12A3">
        <w:rPr>
          <w:rFonts w:eastAsia="Times New Roman" w:cs="Times New Roman"/>
          <w:color w:val="auto"/>
          <w:spacing w:val="3"/>
        </w:rPr>
        <w:t>İzleyici gazın arka plan konsantrasyonu cb, test uygulamasından hemen önce ve test uygulamasından sonra ölçülen arka plan konsantrasyonlarının ortalaması alınarak belirlenebilir. Arka plan konsantrasyonu, azami egzoz gazı akışında izleyici gazın karıştırma sonrasındaki konsantrasyonu c</w:t>
      </w:r>
      <w:r w:rsidRPr="00DE12A3">
        <w:rPr>
          <w:rFonts w:eastAsia="Times New Roman" w:cs="Times New Roman"/>
          <w:color w:val="auto"/>
          <w:spacing w:val="3"/>
          <w:vertAlign w:val="subscript"/>
        </w:rPr>
        <w:t>mix,i</w:t>
      </w:r>
      <w:r w:rsidR="00B06860" w:rsidRPr="00DE12A3">
        <w:rPr>
          <w:rFonts w:eastAsia="Times New Roman" w:cs="Times New Roman"/>
          <w:color w:val="auto"/>
          <w:spacing w:val="3"/>
          <w:vertAlign w:val="subscript"/>
        </w:rPr>
        <w:t xml:space="preserve">  </w:t>
      </w:r>
      <w:r w:rsidRPr="00DE12A3">
        <w:rPr>
          <w:rFonts w:eastAsia="Times New Roman" w:cs="Times New Roman"/>
          <w:color w:val="auto"/>
          <w:spacing w:val="3"/>
        </w:rPr>
        <w:t>'nin % 1'inden az olduğunda, arka plan konsantrasyonu ihmal edilebilir.</w:t>
      </w:r>
    </w:p>
    <w:p w14:paraId="385BB9C4" w14:textId="77777777" w:rsidR="002D7B36" w:rsidRPr="00DE12A3" w:rsidRDefault="00242DA0" w:rsidP="00E20716">
      <w:pPr>
        <w:pStyle w:val="Gvdemetni2511"/>
        <w:numPr>
          <w:ilvl w:val="0"/>
          <w:numId w:val="398"/>
        </w:numPr>
        <w:shd w:val="clear" w:color="auto" w:fill="auto"/>
        <w:spacing w:before="120" w:after="120" w:line="240" w:lineRule="auto"/>
        <w:ind w:left="1134" w:hanging="1134"/>
        <w:rPr>
          <w:color w:val="auto"/>
          <w:sz w:val="24"/>
          <w:szCs w:val="24"/>
        </w:rPr>
      </w:pPr>
      <w:r w:rsidRPr="00DE12A3">
        <w:rPr>
          <w:color w:val="auto"/>
          <w:sz w:val="24"/>
          <w:szCs w:val="24"/>
        </w:rPr>
        <w:t>Hava akışı ve hava/yakıt oranı ölçüm yöntemi</w:t>
      </w:r>
    </w:p>
    <w:p w14:paraId="31F26BF2" w14:textId="724D6FFA" w:rsidR="002D7B36" w:rsidRPr="00DE12A3" w:rsidRDefault="001A253A" w:rsidP="00C917D6">
      <w:pPr>
        <w:pStyle w:val="Gvdemetni2511"/>
        <w:shd w:val="clear" w:color="auto" w:fill="auto"/>
        <w:spacing w:before="120" w:after="120" w:line="240" w:lineRule="auto"/>
        <w:ind w:left="1134" w:hanging="1134"/>
        <w:rPr>
          <w:color w:val="auto"/>
          <w:sz w:val="24"/>
          <w:szCs w:val="24"/>
        </w:rPr>
      </w:pPr>
      <w:r w:rsidRPr="00DE12A3">
        <w:rPr>
          <w:color w:val="auto"/>
          <w:sz w:val="24"/>
          <w:szCs w:val="24"/>
        </w:rPr>
        <w:t xml:space="preserve">                  </w:t>
      </w:r>
      <w:r w:rsidR="00242DA0" w:rsidRPr="00DE12A3">
        <w:rPr>
          <w:color w:val="auto"/>
          <w:sz w:val="24"/>
          <w:szCs w:val="24"/>
        </w:rPr>
        <w:t xml:space="preserve">Bu yöntem, hava akışından ve hava/yakıt oranından egzoz gazı kütlesi hesaplanmasını içerir. Anlık egzoz gazı kütle akışı </w:t>
      </w:r>
      <w:r w:rsidR="00242DA0" w:rsidRPr="00DE12A3">
        <w:rPr>
          <w:i/>
          <w:iCs/>
          <w:color w:val="auto"/>
          <w:sz w:val="24"/>
          <w:szCs w:val="24"/>
        </w:rPr>
        <w:t>q</w:t>
      </w:r>
      <w:r w:rsidR="00242DA0" w:rsidRPr="00DE12A3">
        <w:rPr>
          <w:color w:val="auto"/>
          <w:sz w:val="24"/>
          <w:szCs w:val="24"/>
          <w:vertAlign w:val="subscript"/>
        </w:rPr>
        <w:t>mew,i</w:t>
      </w:r>
      <w:r w:rsidR="00242DA0" w:rsidRPr="00DE12A3">
        <w:rPr>
          <w:color w:val="auto"/>
          <w:sz w:val="24"/>
          <w:szCs w:val="24"/>
        </w:rPr>
        <w:t xml:space="preserve"> [kg/s], (7-17) </w:t>
      </w:r>
      <w:r w:rsidR="005E1C7E" w:rsidRPr="00DE12A3">
        <w:rPr>
          <w:color w:val="auto"/>
          <w:sz w:val="24"/>
          <w:szCs w:val="24"/>
        </w:rPr>
        <w:t>numaralı</w:t>
      </w:r>
      <w:r w:rsidR="005E1C7E" w:rsidRPr="00DE12A3" w:rsidDel="005E1C7E">
        <w:rPr>
          <w:color w:val="auto"/>
          <w:sz w:val="24"/>
          <w:szCs w:val="24"/>
        </w:rPr>
        <w:t xml:space="preserve"> </w:t>
      </w:r>
      <w:r w:rsidR="00242DA0" w:rsidRPr="00DE12A3">
        <w:rPr>
          <w:color w:val="auto"/>
          <w:sz w:val="24"/>
          <w:szCs w:val="24"/>
        </w:rPr>
        <w:t>denklemle hesaplanmalıdır:</w:t>
      </w:r>
    </w:p>
    <w:p w14:paraId="3C23F14A" w14:textId="77777777" w:rsidR="001A253A" w:rsidRPr="00DE12A3" w:rsidRDefault="001A253A" w:rsidP="00C917D6">
      <w:pPr>
        <w:pStyle w:val="Gvdemetni2511"/>
        <w:shd w:val="clear" w:color="auto" w:fill="auto"/>
        <w:spacing w:before="120" w:after="120" w:line="240" w:lineRule="auto"/>
        <w:ind w:left="1134" w:hanging="1134"/>
        <w:rPr>
          <w:color w:val="auto"/>
          <w:sz w:val="24"/>
          <w:szCs w:val="24"/>
        </w:rPr>
      </w:pPr>
    </w:p>
    <w:p w14:paraId="49EC7D92" w14:textId="0C439B4B" w:rsidR="002D7B36" w:rsidRPr="00DE12A3" w:rsidRDefault="001A253A" w:rsidP="00C917D6">
      <w:pPr>
        <w:pStyle w:val="Gvdemetni2511"/>
        <w:shd w:val="clear" w:color="auto" w:fill="auto"/>
        <w:spacing w:before="120" w:after="120" w:line="240" w:lineRule="auto"/>
        <w:ind w:left="1134" w:hanging="1134"/>
        <w:rPr>
          <w:color w:val="auto"/>
          <w:sz w:val="24"/>
          <w:szCs w:val="24"/>
          <w:lang w:eastAsia="en-US"/>
        </w:rPr>
      </w:pPr>
      <w:r w:rsidRPr="00DE12A3">
        <w:rPr>
          <w:color w:val="auto"/>
          <w:sz w:val="24"/>
          <w:szCs w:val="24"/>
          <w:lang w:eastAsia="en-US"/>
        </w:rPr>
        <w:t xml:space="preserve">         </w:t>
      </w:r>
      <w:r w:rsidRPr="00DE12A3">
        <w:rPr>
          <w:noProof/>
          <w:color w:val="auto"/>
          <w:sz w:val="24"/>
          <w:szCs w:val="24"/>
        </w:rPr>
        <w:drawing>
          <wp:inline distT="0" distB="0" distL="114300" distR="114300" wp14:anchorId="595C2322" wp14:editId="5B683E3D">
            <wp:extent cx="4478020" cy="444500"/>
            <wp:effectExtent l="0" t="0" r="13970" b="1270"/>
            <wp:docPr id="79"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Picture 13"/>
                    <pic:cNvPicPr>
                      <a:picLocks noChangeAspect="1"/>
                    </pic:cNvPicPr>
                  </pic:nvPicPr>
                  <pic:blipFill>
                    <a:blip r:embed="rId76"/>
                    <a:stretch>
                      <a:fillRect/>
                    </a:stretch>
                  </pic:blipFill>
                  <pic:spPr>
                    <a:xfrm>
                      <a:off x="0" y="0"/>
                      <a:ext cx="4478020" cy="444500"/>
                    </a:xfrm>
                    <a:prstGeom prst="rect">
                      <a:avLst/>
                    </a:prstGeom>
                    <a:noFill/>
                    <a:ln>
                      <a:noFill/>
                    </a:ln>
                  </pic:spPr>
                </pic:pic>
              </a:graphicData>
            </a:graphic>
          </wp:inline>
        </w:drawing>
      </w:r>
    </w:p>
    <w:p w14:paraId="109A3424" w14:textId="1FCDB93E" w:rsidR="002D7B36" w:rsidRPr="00DE12A3" w:rsidRDefault="00242DA0" w:rsidP="00C917D6">
      <w:pPr>
        <w:pStyle w:val="Gvdemetni2511"/>
        <w:shd w:val="clear" w:color="auto" w:fill="auto"/>
        <w:spacing w:before="120" w:after="120" w:line="240" w:lineRule="auto"/>
        <w:ind w:left="1134" w:hanging="1134"/>
        <w:jc w:val="center"/>
        <w:rPr>
          <w:color w:val="auto"/>
          <w:sz w:val="24"/>
          <w:szCs w:val="24"/>
        </w:rPr>
      </w:pPr>
      <w:r w:rsidRPr="00DE12A3">
        <w:rPr>
          <w:color w:val="auto"/>
          <w:sz w:val="24"/>
          <w:szCs w:val="24"/>
        </w:rPr>
        <w:t>ve</w:t>
      </w:r>
    </w:p>
    <w:p w14:paraId="06CF045A" w14:textId="77777777" w:rsidR="002D7B36" w:rsidRPr="00DE12A3" w:rsidRDefault="002D7B36" w:rsidP="00C917D6">
      <w:pPr>
        <w:pStyle w:val="Gvdemetni2511"/>
        <w:shd w:val="clear" w:color="auto" w:fill="auto"/>
        <w:spacing w:before="120" w:after="120" w:line="240" w:lineRule="auto"/>
        <w:ind w:left="1134" w:hanging="1134"/>
        <w:rPr>
          <w:color w:val="auto"/>
          <w:sz w:val="24"/>
          <w:szCs w:val="24"/>
          <w:lang w:eastAsia="en-US"/>
        </w:rPr>
      </w:pPr>
    </w:p>
    <w:p w14:paraId="4EE697CF" w14:textId="734319F4" w:rsidR="002D7B36" w:rsidRPr="00DE12A3" w:rsidRDefault="00242DA0" w:rsidP="00C917D6">
      <w:pPr>
        <w:pStyle w:val="Gvdemetni2511"/>
        <w:shd w:val="clear" w:color="auto" w:fill="auto"/>
        <w:spacing w:before="120" w:after="120" w:line="240" w:lineRule="auto"/>
        <w:ind w:left="1134" w:hanging="1134"/>
        <w:jc w:val="center"/>
        <w:rPr>
          <w:color w:val="auto"/>
          <w:sz w:val="24"/>
          <w:szCs w:val="24"/>
        </w:rPr>
      </w:pPr>
      <w:r w:rsidRPr="00DE12A3">
        <w:rPr>
          <w:noProof/>
          <w:color w:val="auto"/>
          <w:sz w:val="24"/>
          <w:szCs w:val="24"/>
        </w:rPr>
        <w:drawing>
          <wp:inline distT="0" distB="0" distL="114300" distR="114300" wp14:anchorId="69DB4A21" wp14:editId="492890D0">
            <wp:extent cx="5758815" cy="1501775"/>
            <wp:effectExtent l="0" t="0" r="1905" b="6985"/>
            <wp:docPr id="80"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Picture 14"/>
                    <pic:cNvPicPr>
                      <a:picLocks noChangeAspect="1"/>
                    </pic:cNvPicPr>
                  </pic:nvPicPr>
                  <pic:blipFill>
                    <a:blip r:embed="rId77"/>
                    <a:stretch>
                      <a:fillRect/>
                    </a:stretch>
                  </pic:blipFill>
                  <pic:spPr>
                    <a:xfrm>
                      <a:off x="0" y="0"/>
                      <a:ext cx="5758815" cy="1501775"/>
                    </a:xfrm>
                    <a:prstGeom prst="rect">
                      <a:avLst/>
                    </a:prstGeom>
                    <a:noFill/>
                    <a:ln>
                      <a:noFill/>
                    </a:ln>
                  </pic:spPr>
                </pic:pic>
              </a:graphicData>
            </a:graphic>
          </wp:inline>
        </w:drawing>
      </w:r>
    </w:p>
    <w:p w14:paraId="7F5AB2FE" w14:textId="77777777" w:rsidR="002D7B36" w:rsidRPr="00DE12A3" w:rsidRDefault="001A253A" w:rsidP="00C917D6">
      <w:pPr>
        <w:pStyle w:val="Gvdemetni2511"/>
        <w:shd w:val="clear" w:color="auto" w:fill="auto"/>
        <w:spacing w:before="120" w:after="120" w:line="240" w:lineRule="auto"/>
        <w:ind w:left="1134" w:firstLine="0"/>
        <w:rPr>
          <w:color w:val="auto"/>
          <w:sz w:val="24"/>
          <w:szCs w:val="24"/>
        </w:rPr>
      </w:pPr>
      <w:r w:rsidRPr="00DE12A3">
        <w:rPr>
          <w:color w:val="auto"/>
          <w:sz w:val="24"/>
          <w:szCs w:val="24"/>
        </w:rPr>
        <w:lastRenderedPageBreak/>
        <w:t>B</w:t>
      </w:r>
      <w:r w:rsidR="00242DA0" w:rsidRPr="00DE12A3">
        <w:rPr>
          <w:color w:val="auto"/>
          <w:sz w:val="24"/>
          <w:szCs w:val="24"/>
        </w:rPr>
        <w:t>urada:</w:t>
      </w:r>
    </w:p>
    <w:p w14:paraId="5591AF76" w14:textId="77777777" w:rsidR="002D7B36" w:rsidRPr="00DE12A3" w:rsidRDefault="00242DA0" w:rsidP="00C917D6">
      <w:pPr>
        <w:pStyle w:val="Gvdemetni2511"/>
        <w:shd w:val="clear" w:color="auto" w:fill="auto"/>
        <w:spacing w:before="120" w:after="120" w:line="240" w:lineRule="auto"/>
        <w:ind w:left="1134" w:firstLine="0"/>
        <w:rPr>
          <w:color w:val="auto"/>
          <w:sz w:val="24"/>
          <w:szCs w:val="24"/>
        </w:rPr>
      </w:pPr>
      <w:r w:rsidRPr="00DE12A3">
        <w:rPr>
          <w:rStyle w:val="Gvdemetni254pttalik0ptbolukbraklyor32"/>
          <w:color w:val="auto"/>
          <w:sz w:val="24"/>
          <w:szCs w:val="24"/>
        </w:rPr>
        <w:t>q</w:t>
      </w:r>
      <w:r w:rsidRPr="00DE12A3">
        <w:rPr>
          <w:rStyle w:val="Gvdemetni254pttalik0ptbolukbraklyor32"/>
          <w:color w:val="auto"/>
          <w:sz w:val="24"/>
          <w:szCs w:val="24"/>
          <w:vertAlign w:val="subscript"/>
        </w:rPr>
        <w:t>maw,i</w:t>
      </w:r>
      <w:r w:rsidRPr="00DE12A3">
        <w:rPr>
          <w:rStyle w:val="Gvdemetni254pttalik0ptbolukbraklyor32"/>
          <w:color w:val="auto"/>
          <w:sz w:val="24"/>
          <w:szCs w:val="24"/>
          <w:vertAlign w:val="subscript"/>
        </w:rPr>
        <w:tab/>
      </w:r>
      <w:r w:rsidRPr="00DE12A3">
        <w:rPr>
          <w:color w:val="auto"/>
          <w:sz w:val="24"/>
          <w:szCs w:val="24"/>
        </w:rPr>
        <w:t>= yaş emme havası kütle akış hızı [kg/s]</w:t>
      </w:r>
    </w:p>
    <w:p w14:paraId="51051F01" w14:textId="77777777" w:rsidR="002D7B36" w:rsidRPr="00DE12A3" w:rsidRDefault="00242DA0" w:rsidP="00C917D6">
      <w:pPr>
        <w:pStyle w:val="Gvdemetni2511"/>
        <w:shd w:val="clear" w:color="auto" w:fill="auto"/>
        <w:spacing w:before="120" w:after="120" w:line="240" w:lineRule="auto"/>
        <w:ind w:left="1134" w:firstLine="0"/>
        <w:rPr>
          <w:color w:val="auto"/>
          <w:sz w:val="24"/>
          <w:szCs w:val="24"/>
        </w:rPr>
      </w:pPr>
      <w:r w:rsidRPr="00DE12A3">
        <w:rPr>
          <w:rStyle w:val="Gvdemetni254pttalik0ptbolukbraklyor32"/>
          <w:color w:val="auto"/>
          <w:sz w:val="24"/>
          <w:szCs w:val="24"/>
        </w:rPr>
        <w:t>A/F</w:t>
      </w:r>
      <w:r w:rsidRPr="00DE12A3">
        <w:rPr>
          <w:rStyle w:val="Gvdemetni254pttalik0ptbolukbraklyor32"/>
          <w:color w:val="auto"/>
          <w:sz w:val="24"/>
          <w:szCs w:val="24"/>
          <w:vertAlign w:val="subscript"/>
        </w:rPr>
        <w:t>st</w:t>
      </w:r>
      <w:r w:rsidRPr="00DE12A3">
        <w:rPr>
          <w:color w:val="auto"/>
          <w:sz w:val="24"/>
          <w:szCs w:val="24"/>
        </w:rPr>
        <w:tab/>
        <w:t>= stokiyometrik hava/yakıt oranı [-]</w:t>
      </w:r>
    </w:p>
    <w:p w14:paraId="6171222D" w14:textId="77777777" w:rsidR="002D7B36" w:rsidRPr="00DE12A3" w:rsidRDefault="00242DA0" w:rsidP="00C917D6">
      <w:pPr>
        <w:pStyle w:val="Resimyazs70"/>
        <w:tabs>
          <w:tab w:val="left" w:pos="1276"/>
        </w:tabs>
        <w:spacing w:after="120" w:line="240" w:lineRule="auto"/>
        <w:ind w:left="1134"/>
        <w:rPr>
          <w:sz w:val="24"/>
          <w:szCs w:val="24"/>
        </w:rPr>
      </w:pPr>
      <w:r w:rsidRPr="00DE12A3">
        <w:rPr>
          <w:rStyle w:val="Resimyazs77pt0ptbolukbraklyor"/>
          <w:color w:val="auto"/>
          <w:sz w:val="24"/>
          <w:szCs w:val="24"/>
        </w:rPr>
        <w:t>λ</w:t>
      </w:r>
      <w:r w:rsidRPr="00DE12A3">
        <w:rPr>
          <w:rStyle w:val="Resimyazs77pt0ptbolukbraklyor"/>
          <w:color w:val="auto"/>
          <w:sz w:val="24"/>
          <w:szCs w:val="24"/>
          <w:vertAlign w:val="subscript"/>
        </w:rPr>
        <w:t>i</w:t>
      </w:r>
      <w:r w:rsidRPr="00DE12A3">
        <w:rPr>
          <w:rStyle w:val="Resimyazs77pt0ptbolukbraklyor"/>
          <w:color w:val="auto"/>
          <w:sz w:val="24"/>
          <w:szCs w:val="24"/>
        </w:rPr>
        <w:tab/>
        <w:t>=</w:t>
      </w:r>
      <w:r w:rsidRPr="00DE12A3">
        <w:rPr>
          <w:rStyle w:val="Resimyazs77pt0ptbolukbraklyor"/>
          <w:color w:val="auto"/>
          <w:sz w:val="24"/>
          <w:szCs w:val="24"/>
        </w:rPr>
        <w:tab/>
        <w:t>anlık fazla hava oranı [-]</w:t>
      </w:r>
    </w:p>
    <w:p w14:paraId="4C38F70E" w14:textId="77777777" w:rsidR="002D7B36" w:rsidRPr="00DE12A3" w:rsidRDefault="00242DA0" w:rsidP="00C917D6">
      <w:pPr>
        <w:pStyle w:val="Resimyazs70"/>
        <w:tabs>
          <w:tab w:val="left" w:pos="1276"/>
        </w:tabs>
        <w:spacing w:after="120" w:line="240" w:lineRule="auto"/>
        <w:ind w:left="1134"/>
        <w:rPr>
          <w:sz w:val="24"/>
          <w:szCs w:val="24"/>
        </w:rPr>
      </w:pPr>
      <w:r w:rsidRPr="00DE12A3">
        <w:rPr>
          <w:rStyle w:val="Resimyazs74pttalik0ptbolukbraklyor"/>
          <w:rFonts w:eastAsia="Segoe UI"/>
          <w:color w:val="auto"/>
          <w:sz w:val="24"/>
          <w:szCs w:val="24"/>
        </w:rPr>
        <w:t>c</w:t>
      </w:r>
      <w:r w:rsidRPr="00DE12A3">
        <w:rPr>
          <w:rStyle w:val="Resimyazs77pt0ptbolukbraklyor"/>
          <w:color w:val="auto"/>
          <w:sz w:val="24"/>
          <w:szCs w:val="24"/>
          <w:vertAlign w:val="subscript"/>
        </w:rPr>
        <w:t>Cod</w:t>
      </w:r>
      <w:r w:rsidRPr="00DE12A3">
        <w:rPr>
          <w:rStyle w:val="Resimyazs77pt0ptbolukbraklyor"/>
          <w:color w:val="auto"/>
          <w:sz w:val="24"/>
          <w:szCs w:val="24"/>
        </w:rPr>
        <w:tab/>
        <w:t>=</w:t>
      </w:r>
      <w:r w:rsidRPr="00DE12A3">
        <w:rPr>
          <w:rStyle w:val="Resimyazs77pt0ptbolukbraklyor"/>
          <w:color w:val="auto"/>
          <w:sz w:val="24"/>
          <w:szCs w:val="24"/>
        </w:rPr>
        <w:tab/>
        <w:t>kuru bazda ham egzoz gazı içindeki CO konsantrasyonu [ppm]</w:t>
      </w:r>
    </w:p>
    <w:p w14:paraId="406AC4B4" w14:textId="77777777" w:rsidR="002D7B36" w:rsidRPr="00DE12A3" w:rsidRDefault="00242DA0" w:rsidP="00C917D6">
      <w:pPr>
        <w:pStyle w:val="Resimyazs70"/>
        <w:tabs>
          <w:tab w:val="left" w:pos="1276"/>
        </w:tabs>
        <w:spacing w:after="120" w:line="240" w:lineRule="auto"/>
        <w:ind w:left="1134"/>
        <w:rPr>
          <w:sz w:val="24"/>
          <w:szCs w:val="24"/>
        </w:rPr>
      </w:pPr>
      <w:r w:rsidRPr="00DE12A3">
        <w:rPr>
          <w:rStyle w:val="Resimyazs74pttalik0ptbolukbraklyor"/>
          <w:rFonts w:eastAsia="Segoe UI"/>
          <w:color w:val="auto"/>
          <w:sz w:val="24"/>
          <w:szCs w:val="24"/>
        </w:rPr>
        <w:t>c</w:t>
      </w:r>
      <w:r w:rsidRPr="00DE12A3">
        <w:rPr>
          <w:rStyle w:val="Resimyazs77pt0ptbolukbraklyor"/>
          <w:color w:val="auto"/>
          <w:sz w:val="24"/>
          <w:szCs w:val="24"/>
          <w:vertAlign w:val="subscript"/>
        </w:rPr>
        <w:t>CO2d</w:t>
      </w:r>
      <w:r w:rsidRPr="00DE12A3">
        <w:rPr>
          <w:rStyle w:val="Resimyazs77pt0ptbolukbraklyor"/>
          <w:color w:val="auto"/>
          <w:sz w:val="24"/>
          <w:szCs w:val="24"/>
        </w:rPr>
        <w:tab/>
        <w:t>=</w:t>
      </w:r>
      <w:r w:rsidRPr="00DE12A3">
        <w:rPr>
          <w:rStyle w:val="Resimyazs77pt0ptbolukbraklyor"/>
          <w:color w:val="auto"/>
          <w:sz w:val="24"/>
          <w:szCs w:val="24"/>
        </w:rPr>
        <w:tab/>
      </w:r>
      <w:r w:rsidRPr="00DE12A3">
        <w:rPr>
          <w:spacing w:val="3"/>
          <w:sz w:val="24"/>
          <w:szCs w:val="24"/>
        </w:rPr>
        <w:t>kuru bazda ham egzoz gazı içindeki CO</w:t>
      </w:r>
      <w:r w:rsidRPr="00DE12A3">
        <w:rPr>
          <w:spacing w:val="3"/>
          <w:sz w:val="24"/>
          <w:szCs w:val="24"/>
          <w:vertAlign w:val="subscript"/>
        </w:rPr>
        <w:t>2</w:t>
      </w:r>
      <w:r w:rsidRPr="00DE12A3">
        <w:rPr>
          <w:spacing w:val="3"/>
          <w:sz w:val="24"/>
          <w:szCs w:val="24"/>
        </w:rPr>
        <w:t xml:space="preserve"> konsantrasyonu [yüzde</w:t>
      </w:r>
      <w:r w:rsidRPr="00DE12A3">
        <w:rPr>
          <w:rStyle w:val="Resimyazs77pt0ptbolukbraklyor"/>
          <w:color w:val="auto"/>
          <w:sz w:val="24"/>
          <w:szCs w:val="24"/>
        </w:rPr>
        <w:t>]</w:t>
      </w:r>
    </w:p>
    <w:p w14:paraId="5B090774" w14:textId="77777777" w:rsidR="002D7B36" w:rsidRPr="00DE12A3" w:rsidRDefault="00242DA0" w:rsidP="00C917D6">
      <w:pPr>
        <w:pStyle w:val="Resimyazs70"/>
        <w:tabs>
          <w:tab w:val="left" w:pos="1276"/>
        </w:tabs>
        <w:spacing w:after="120" w:line="240" w:lineRule="auto"/>
        <w:ind w:left="1134"/>
        <w:rPr>
          <w:sz w:val="24"/>
          <w:szCs w:val="24"/>
        </w:rPr>
      </w:pPr>
      <w:r w:rsidRPr="00DE12A3">
        <w:rPr>
          <w:rStyle w:val="Resimyazs74pttalik0ptbolukbraklyor"/>
          <w:rFonts w:eastAsia="Segoe UI"/>
          <w:color w:val="auto"/>
          <w:sz w:val="24"/>
          <w:szCs w:val="24"/>
        </w:rPr>
        <w:t>c</w:t>
      </w:r>
      <w:r w:rsidRPr="00DE12A3">
        <w:rPr>
          <w:rStyle w:val="Resimyazs77pt0ptbolukbraklyor"/>
          <w:color w:val="auto"/>
          <w:sz w:val="24"/>
          <w:szCs w:val="24"/>
          <w:vertAlign w:val="subscript"/>
        </w:rPr>
        <w:t>HCw</w:t>
      </w:r>
      <w:r w:rsidRPr="00DE12A3">
        <w:rPr>
          <w:rStyle w:val="Resimyazs77pt0ptbolukbraklyor"/>
          <w:color w:val="auto"/>
          <w:sz w:val="24"/>
          <w:szCs w:val="24"/>
        </w:rPr>
        <w:tab/>
        <w:t>=</w:t>
      </w:r>
      <w:r w:rsidRPr="00DE12A3">
        <w:rPr>
          <w:rStyle w:val="Resimyazs77pt0ptbolukbraklyor"/>
          <w:color w:val="auto"/>
          <w:sz w:val="24"/>
          <w:szCs w:val="24"/>
        </w:rPr>
        <w:tab/>
        <w:t>yaş bazda ham egzoz gazı içindeki HC konsantrasyonu [ppm C1]</w:t>
      </w:r>
    </w:p>
    <w:p w14:paraId="046FD3B9" w14:textId="77777777" w:rsidR="002D7B36" w:rsidRPr="00DE12A3" w:rsidRDefault="00242DA0" w:rsidP="00C917D6">
      <w:pPr>
        <w:pStyle w:val="Resimyazs70"/>
        <w:tabs>
          <w:tab w:val="left" w:pos="1276"/>
          <w:tab w:val="center" w:pos="1660"/>
          <w:tab w:val="right" w:pos="3901"/>
        </w:tabs>
        <w:spacing w:after="120" w:line="240" w:lineRule="auto"/>
        <w:ind w:left="1134"/>
        <w:rPr>
          <w:sz w:val="24"/>
          <w:szCs w:val="24"/>
        </w:rPr>
      </w:pPr>
      <w:r w:rsidRPr="00DE12A3">
        <w:rPr>
          <w:rStyle w:val="Resimyazs74pttalik0ptbolukbraklyor"/>
          <w:rFonts w:eastAsia="Segoe UI"/>
          <w:color w:val="auto"/>
          <w:sz w:val="24"/>
          <w:szCs w:val="24"/>
        </w:rPr>
        <w:t>α</w:t>
      </w:r>
      <w:r w:rsidRPr="00DE12A3">
        <w:rPr>
          <w:rStyle w:val="Resimyazs77pt0ptbolukbraklyor"/>
          <w:color w:val="auto"/>
          <w:sz w:val="24"/>
          <w:szCs w:val="24"/>
        </w:rPr>
        <w:tab/>
        <w:t>=</w:t>
      </w:r>
      <w:r w:rsidRPr="00DE12A3">
        <w:rPr>
          <w:rStyle w:val="Resimyazs77pt0ptbolukbraklyor"/>
          <w:color w:val="auto"/>
          <w:sz w:val="24"/>
          <w:szCs w:val="24"/>
        </w:rPr>
        <w:tab/>
        <w:t>molar hidrojen-karbon oranı [-]</w:t>
      </w:r>
    </w:p>
    <w:p w14:paraId="511A06DF" w14:textId="77777777" w:rsidR="002D7B36" w:rsidRPr="00DE12A3" w:rsidRDefault="00242DA0" w:rsidP="00C917D6">
      <w:pPr>
        <w:pStyle w:val="Resimyazs70"/>
        <w:tabs>
          <w:tab w:val="left" w:pos="1276"/>
          <w:tab w:val="center" w:pos="1660"/>
          <w:tab w:val="right" w:pos="3901"/>
        </w:tabs>
        <w:spacing w:after="120" w:line="240" w:lineRule="auto"/>
        <w:ind w:left="1134"/>
        <w:rPr>
          <w:sz w:val="24"/>
          <w:szCs w:val="24"/>
        </w:rPr>
      </w:pPr>
      <w:r w:rsidRPr="00DE12A3">
        <w:rPr>
          <w:rStyle w:val="Resimyazs74pttalik0ptbolukbraklyor"/>
          <w:rFonts w:eastAsia="Segoe UI"/>
          <w:color w:val="auto"/>
          <w:sz w:val="24"/>
          <w:szCs w:val="24"/>
        </w:rPr>
        <w:t>δ</w:t>
      </w:r>
      <w:r w:rsidRPr="00DE12A3">
        <w:rPr>
          <w:rStyle w:val="Resimyazs77pt0ptbolukbraklyor"/>
          <w:color w:val="auto"/>
          <w:sz w:val="24"/>
          <w:szCs w:val="24"/>
        </w:rPr>
        <w:tab/>
        <w:t>=</w:t>
      </w:r>
      <w:r w:rsidRPr="00DE12A3">
        <w:rPr>
          <w:rStyle w:val="Resimyazs77pt0ptbolukbraklyor"/>
          <w:color w:val="auto"/>
          <w:sz w:val="24"/>
          <w:szCs w:val="24"/>
        </w:rPr>
        <w:tab/>
        <w:t>molar nitrojen-karbon oranı [-]</w:t>
      </w:r>
    </w:p>
    <w:p w14:paraId="6E86685C" w14:textId="77777777" w:rsidR="002D7B36" w:rsidRPr="00DE12A3" w:rsidRDefault="00242DA0" w:rsidP="00C917D6">
      <w:pPr>
        <w:pStyle w:val="Resimyazs70"/>
        <w:tabs>
          <w:tab w:val="left" w:pos="1276"/>
          <w:tab w:val="center" w:pos="1660"/>
          <w:tab w:val="right" w:pos="3901"/>
        </w:tabs>
        <w:spacing w:after="120" w:line="240" w:lineRule="auto"/>
        <w:ind w:left="1134"/>
        <w:rPr>
          <w:sz w:val="24"/>
          <w:szCs w:val="24"/>
        </w:rPr>
      </w:pPr>
      <w:r w:rsidRPr="00DE12A3">
        <w:rPr>
          <w:rStyle w:val="Resimyazs74pttalik0ptbolukbraklyor"/>
          <w:rFonts w:eastAsia="Segoe UI"/>
          <w:color w:val="auto"/>
          <w:sz w:val="24"/>
          <w:szCs w:val="24"/>
        </w:rPr>
        <w:t>ε</w:t>
      </w:r>
      <w:r w:rsidRPr="00DE12A3">
        <w:rPr>
          <w:rStyle w:val="Resimyazs77pt0ptbolukbraklyor"/>
          <w:color w:val="auto"/>
          <w:sz w:val="24"/>
          <w:szCs w:val="24"/>
        </w:rPr>
        <w:tab/>
        <w:t>=</w:t>
      </w:r>
      <w:r w:rsidRPr="00DE12A3">
        <w:rPr>
          <w:rStyle w:val="Resimyazs77pt0ptbolukbraklyor"/>
          <w:color w:val="auto"/>
          <w:sz w:val="24"/>
          <w:szCs w:val="24"/>
        </w:rPr>
        <w:tab/>
        <w:t>molar oksijen-karbon oranı [-]</w:t>
      </w:r>
    </w:p>
    <w:p w14:paraId="355E78F9" w14:textId="77777777" w:rsidR="002D7B36" w:rsidRPr="00DE12A3" w:rsidRDefault="00242DA0" w:rsidP="00C917D6">
      <w:pPr>
        <w:pStyle w:val="Resimyazs70"/>
        <w:tabs>
          <w:tab w:val="left" w:pos="1274"/>
          <w:tab w:val="left" w:pos="1276"/>
          <w:tab w:val="center" w:pos="1660"/>
          <w:tab w:val="right" w:pos="3901"/>
        </w:tabs>
        <w:spacing w:after="120" w:line="240" w:lineRule="auto"/>
        <w:ind w:left="1134"/>
        <w:rPr>
          <w:sz w:val="24"/>
          <w:szCs w:val="24"/>
        </w:rPr>
      </w:pPr>
      <w:r w:rsidRPr="00DE12A3">
        <w:rPr>
          <w:rStyle w:val="Resimyazs77pt0ptbolukbraklyor"/>
          <w:color w:val="auto"/>
          <w:sz w:val="24"/>
          <w:szCs w:val="24"/>
        </w:rPr>
        <w:t>γ</w:t>
      </w:r>
      <w:r w:rsidRPr="00DE12A3">
        <w:rPr>
          <w:rStyle w:val="Resimyazs77pt0ptbolukbraklyor"/>
          <w:color w:val="auto"/>
          <w:sz w:val="24"/>
          <w:szCs w:val="24"/>
        </w:rPr>
        <w:tab/>
        <w:t>=</w:t>
      </w:r>
      <w:r w:rsidRPr="00DE12A3">
        <w:rPr>
          <w:rStyle w:val="Resimyazs77pt0ptbolukbraklyor"/>
          <w:color w:val="auto"/>
          <w:sz w:val="24"/>
          <w:szCs w:val="24"/>
        </w:rPr>
        <w:tab/>
        <w:t>atomik kükürt-karbon oranı [-]</w:t>
      </w:r>
    </w:p>
    <w:p w14:paraId="0453C380" w14:textId="77777777" w:rsidR="002D7B36" w:rsidRPr="00DE12A3" w:rsidRDefault="001A253A" w:rsidP="00E20716">
      <w:pPr>
        <w:pStyle w:val="Resimyazs70"/>
        <w:numPr>
          <w:ilvl w:val="0"/>
          <w:numId w:val="398"/>
        </w:numPr>
        <w:tabs>
          <w:tab w:val="left" w:pos="768"/>
        </w:tabs>
        <w:spacing w:after="120" w:line="240" w:lineRule="auto"/>
        <w:ind w:left="1134" w:hanging="1134"/>
        <w:rPr>
          <w:sz w:val="24"/>
          <w:szCs w:val="24"/>
        </w:rPr>
      </w:pPr>
      <w:r w:rsidRPr="00DE12A3">
        <w:rPr>
          <w:spacing w:val="3"/>
          <w:sz w:val="24"/>
          <w:szCs w:val="24"/>
        </w:rPr>
        <w:t xml:space="preserve">     </w:t>
      </w:r>
      <w:r w:rsidR="00242DA0" w:rsidRPr="00DE12A3">
        <w:rPr>
          <w:spacing w:val="3"/>
          <w:sz w:val="24"/>
          <w:szCs w:val="24"/>
        </w:rPr>
        <w:t>Karbon dengesi yöntemi, 1 adımlı prosedür</w:t>
      </w:r>
    </w:p>
    <w:p w14:paraId="1C7FAD37" w14:textId="324836E6" w:rsidR="002D7B36" w:rsidRPr="00DE12A3" w:rsidRDefault="00242DA0" w:rsidP="00C917D6">
      <w:pPr>
        <w:pStyle w:val="Gvdemetni2511"/>
        <w:shd w:val="clear" w:color="auto" w:fill="auto"/>
        <w:spacing w:before="120" w:after="120" w:line="240" w:lineRule="auto"/>
        <w:ind w:leftChars="467" w:left="1132" w:hanging="11"/>
        <w:rPr>
          <w:rStyle w:val="Resimyazs77pt0ptbolukbraklyor"/>
          <w:color w:val="auto"/>
          <w:sz w:val="24"/>
          <w:szCs w:val="24"/>
        </w:rPr>
      </w:pPr>
      <w:r w:rsidRPr="00DE12A3">
        <w:rPr>
          <w:color w:val="auto"/>
          <w:sz w:val="24"/>
          <w:szCs w:val="24"/>
        </w:rPr>
        <w:t xml:space="preserve">(7-20) </w:t>
      </w:r>
      <w:r w:rsidR="005E1C7E" w:rsidRPr="00DE12A3">
        <w:rPr>
          <w:color w:val="auto"/>
          <w:sz w:val="24"/>
          <w:szCs w:val="24"/>
        </w:rPr>
        <w:t>numaralı</w:t>
      </w:r>
      <w:r w:rsidR="005E1C7E" w:rsidRPr="00DE12A3" w:rsidDel="005E1C7E">
        <w:rPr>
          <w:color w:val="auto"/>
          <w:sz w:val="24"/>
          <w:szCs w:val="24"/>
        </w:rPr>
        <w:t xml:space="preserve"> </w:t>
      </w:r>
      <w:r w:rsidRPr="00DE12A3">
        <w:rPr>
          <w:color w:val="auto"/>
          <w:sz w:val="24"/>
          <w:szCs w:val="24"/>
        </w:rPr>
        <w:t xml:space="preserve">denklem ile belirtilen aşağıdaki </w:t>
      </w:r>
      <w:r w:rsidR="00BB4FA9" w:rsidRPr="00DE12A3">
        <w:rPr>
          <w:color w:val="auto"/>
          <w:sz w:val="24"/>
          <w:szCs w:val="24"/>
        </w:rPr>
        <w:t xml:space="preserve">bir </w:t>
      </w:r>
      <w:r w:rsidRPr="00DE12A3">
        <w:rPr>
          <w:color w:val="auto"/>
          <w:sz w:val="24"/>
          <w:szCs w:val="24"/>
        </w:rPr>
        <w:t xml:space="preserve">aşamalı formül, yaş egzoz gazı kütle akış hızı </w:t>
      </w:r>
      <w:r w:rsidRPr="00DE12A3">
        <w:rPr>
          <w:i/>
          <w:iCs/>
          <w:color w:val="auto"/>
          <w:sz w:val="24"/>
          <w:szCs w:val="24"/>
        </w:rPr>
        <w:t>q</w:t>
      </w:r>
      <w:r w:rsidRPr="00DE12A3">
        <w:rPr>
          <w:color w:val="auto"/>
          <w:sz w:val="24"/>
          <w:szCs w:val="24"/>
          <w:vertAlign w:val="subscript"/>
        </w:rPr>
        <w:t>mew,i</w:t>
      </w:r>
      <w:r w:rsidRPr="00DE12A3">
        <w:rPr>
          <w:color w:val="auto"/>
          <w:sz w:val="24"/>
          <w:szCs w:val="24"/>
        </w:rPr>
        <w:t xml:space="preserve"> [kg/s] hesaplanmasında kullanılabilir</w:t>
      </w:r>
      <w:r w:rsidRPr="00DE12A3">
        <w:rPr>
          <w:rStyle w:val="Resimyazs77pt0ptbolukbraklyor"/>
          <w:color w:val="auto"/>
          <w:sz w:val="24"/>
          <w:szCs w:val="24"/>
        </w:rPr>
        <w:t>:</w:t>
      </w:r>
    </w:p>
    <w:p w14:paraId="45046A54" w14:textId="4AC602ED" w:rsidR="002D7B36" w:rsidRPr="00DE12A3" w:rsidRDefault="00242DA0" w:rsidP="00C917D6">
      <w:pPr>
        <w:pStyle w:val="Gvdemetni2511"/>
        <w:shd w:val="clear" w:color="auto" w:fill="auto"/>
        <w:spacing w:before="120" w:after="120" w:line="240" w:lineRule="auto"/>
        <w:ind w:leftChars="300" w:left="1854" w:hanging="1134"/>
        <w:jc w:val="center"/>
        <w:rPr>
          <w:color w:val="auto"/>
          <w:sz w:val="24"/>
          <w:szCs w:val="24"/>
        </w:rPr>
      </w:pPr>
      <w:r w:rsidRPr="00DE12A3">
        <w:rPr>
          <w:noProof/>
          <w:color w:val="auto"/>
          <w:sz w:val="24"/>
          <w:szCs w:val="24"/>
        </w:rPr>
        <w:drawing>
          <wp:inline distT="0" distB="0" distL="114300" distR="114300" wp14:anchorId="5231DA89" wp14:editId="34484F8F">
            <wp:extent cx="5759450" cy="417830"/>
            <wp:effectExtent l="0" t="0" r="1270" b="10795"/>
            <wp:docPr id="83"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Picture 17"/>
                    <pic:cNvPicPr>
                      <a:picLocks noChangeAspect="1"/>
                    </pic:cNvPicPr>
                  </pic:nvPicPr>
                  <pic:blipFill>
                    <a:blip r:embed="rId78"/>
                    <a:stretch>
                      <a:fillRect/>
                    </a:stretch>
                  </pic:blipFill>
                  <pic:spPr>
                    <a:xfrm>
                      <a:off x="0" y="0"/>
                      <a:ext cx="5759450" cy="417830"/>
                    </a:xfrm>
                    <a:prstGeom prst="rect">
                      <a:avLst/>
                    </a:prstGeom>
                    <a:noFill/>
                    <a:ln>
                      <a:noFill/>
                    </a:ln>
                  </pic:spPr>
                </pic:pic>
              </a:graphicData>
            </a:graphic>
          </wp:inline>
        </w:drawing>
      </w:r>
    </w:p>
    <w:p w14:paraId="43A2D3DE" w14:textId="77777777" w:rsidR="002D7B36" w:rsidRPr="00DE12A3" w:rsidRDefault="001A253A" w:rsidP="00C917D6">
      <w:pPr>
        <w:pStyle w:val="Resimyazs70"/>
        <w:shd w:val="clear" w:color="auto" w:fill="auto"/>
        <w:spacing w:after="120" w:line="240" w:lineRule="auto"/>
        <w:ind w:left="1134"/>
        <w:rPr>
          <w:sz w:val="24"/>
          <w:szCs w:val="24"/>
        </w:rPr>
      </w:pPr>
      <w:r w:rsidRPr="00DE12A3">
        <w:rPr>
          <w:spacing w:val="3"/>
          <w:sz w:val="24"/>
          <w:szCs w:val="24"/>
        </w:rPr>
        <w:t>A</w:t>
      </w:r>
      <w:r w:rsidR="00242DA0" w:rsidRPr="00DE12A3">
        <w:rPr>
          <w:spacing w:val="3"/>
          <w:sz w:val="24"/>
          <w:szCs w:val="24"/>
        </w:rPr>
        <w:t xml:space="preserve">şağıdaki şekilde bulunan karbon faktörü </w:t>
      </w:r>
      <w:r w:rsidR="00242DA0" w:rsidRPr="00DE12A3">
        <w:rPr>
          <w:i/>
          <w:iCs/>
          <w:spacing w:val="3"/>
          <w:sz w:val="24"/>
          <w:szCs w:val="24"/>
        </w:rPr>
        <w:t>f</w:t>
      </w:r>
      <w:r w:rsidR="00242DA0" w:rsidRPr="00DE12A3">
        <w:rPr>
          <w:spacing w:val="3"/>
          <w:sz w:val="24"/>
          <w:szCs w:val="24"/>
          <w:vertAlign w:val="subscript"/>
        </w:rPr>
        <w:t>c</w:t>
      </w:r>
      <w:r w:rsidR="00242DA0" w:rsidRPr="00DE12A3">
        <w:rPr>
          <w:spacing w:val="3"/>
          <w:sz w:val="24"/>
          <w:szCs w:val="24"/>
        </w:rPr>
        <w:t xml:space="preserve"> [-] ile</w:t>
      </w:r>
      <w:r w:rsidR="00242DA0" w:rsidRPr="00DE12A3">
        <w:rPr>
          <w:rStyle w:val="Resimyazs77pt0ptbolukbraklyor"/>
          <w:color w:val="auto"/>
          <w:sz w:val="24"/>
          <w:szCs w:val="24"/>
        </w:rPr>
        <w:t>:</w:t>
      </w:r>
    </w:p>
    <w:p w14:paraId="58A6C423" w14:textId="5B8B3FF8" w:rsidR="002D7B36" w:rsidRPr="00DE12A3" w:rsidRDefault="00242DA0" w:rsidP="00C917D6">
      <w:pPr>
        <w:pStyle w:val="Gvdemetni2511"/>
        <w:shd w:val="clear" w:color="auto" w:fill="auto"/>
        <w:spacing w:before="120" w:after="120" w:line="240" w:lineRule="auto"/>
        <w:ind w:leftChars="300" w:left="1854" w:hanging="1134"/>
        <w:rPr>
          <w:color w:val="auto"/>
          <w:sz w:val="24"/>
          <w:szCs w:val="24"/>
        </w:rPr>
      </w:pPr>
      <w:r w:rsidRPr="00DE12A3">
        <w:rPr>
          <w:noProof/>
          <w:color w:val="auto"/>
          <w:sz w:val="24"/>
          <w:szCs w:val="24"/>
        </w:rPr>
        <w:drawing>
          <wp:inline distT="0" distB="0" distL="114300" distR="114300" wp14:anchorId="66D20413" wp14:editId="5520EC2D">
            <wp:extent cx="5760085" cy="330835"/>
            <wp:effectExtent l="0" t="0" r="635" b="12065"/>
            <wp:docPr id="84"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Picture 18"/>
                    <pic:cNvPicPr>
                      <a:picLocks noChangeAspect="1"/>
                    </pic:cNvPicPr>
                  </pic:nvPicPr>
                  <pic:blipFill>
                    <a:blip r:embed="rId79"/>
                    <a:stretch>
                      <a:fillRect/>
                    </a:stretch>
                  </pic:blipFill>
                  <pic:spPr>
                    <a:xfrm>
                      <a:off x="0" y="0"/>
                      <a:ext cx="5760085" cy="330835"/>
                    </a:xfrm>
                    <a:prstGeom prst="rect">
                      <a:avLst/>
                    </a:prstGeom>
                    <a:noFill/>
                    <a:ln>
                      <a:noFill/>
                    </a:ln>
                  </pic:spPr>
                </pic:pic>
              </a:graphicData>
            </a:graphic>
          </wp:inline>
        </w:drawing>
      </w:r>
    </w:p>
    <w:p w14:paraId="10BF606A" w14:textId="77777777" w:rsidR="002D7B36" w:rsidRPr="00DE12A3" w:rsidRDefault="001A253A" w:rsidP="00C917D6">
      <w:pPr>
        <w:pStyle w:val="Gvdemetni2511"/>
        <w:shd w:val="clear" w:color="auto" w:fill="auto"/>
        <w:spacing w:before="120" w:after="120" w:line="240" w:lineRule="auto"/>
        <w:ind w:left="1134" w:firstLine="0"/>
        <w:rPr>
          <w:color w:val="auto"/>
          <w:sz w:val="24"/>
          <w:szCs w:val="24"/>
        </w:rPr>
      </w:pPr>
      <w:r w:rsidRPr="00DE12A3">
        <w:rPr>
          <w:color w:val="auto"/>
          <w:sz w:val="24"/>
          <w:szCs w:val="24"/>
        </w:rPr>
        <w:t>B</w:t>
      </w:r>
      <w:r w:rsidR="00242DA0" w:rsidRPr="00DE12A3">
        <w:rPr>
          <w:color w:val="auto"/>
          <w:sz w:val="24"/>
          <w:szCs w:val="24"/>
        </w:rPr>
        <w:t>urada:</w:t>
      </w:r>
    </w:p>
    <w:p w14:paraId="18E272FD" w14:textId="77777777" w:rsidR="002D7B36" w:rsidRPr="00DE12A3" w:rsidRDefault="00242DA0" w:rsidP="00C917D6">
      <w:pPr>
        <w:pStyle w:val="Gvdemetni2511"/>
        <w:shd w:val="clear" w:color="auto" w:fill="auto"/>
        <w:tabs>
          <w:tab w:val="left" w:pos="1418"/>
        </w:tabs>
        <w:spacing w:before="120" w:after="120" w:line="240" w:lineRule="auto"/>
        <w:ind w:left="1134" w:firstLine="0"/>
        <w:rPr>
          <w:color w:val="auto"/>
          <w:sz w:val="24"/>
          <w:szCs w:val="24"/>
        </w:rPr>
      </w:pPr>
      <w:r w:rsidRPr="00DE12A3">
        <w:rPr>
          <w:rStyle w:val="Gvdemetni254pttalik"/>
          <w:color w:val="auto"/>
          <w:sz w:val="24"/>
          <w:szCs w:val="24"/>
        </w:rPr>
        <w:t>q</w:t>
      </w:r>
      <w:r w:rsidRPr="00DE12A3">
        <w:rPr>
          <w:rStyle w:val="Gvdemetni254pttalik"/>
          <w:color w:val="auto"/>
          <w:sz w:val="24"/>
          <w:szCs w:val="24"/>
          <w:vertAlign w:val="subscript"/>
        </w:rPr>
        <w:t>mf,i</w:t>
      </w:r>
      <w:r w:rsidRPr="00DE12A3">
        <w:rPr>
          <w:color w:val="auto"/>
          <w:sz w:val="24"/>
          <w:szCs w:val="24"/>
        </w:rPr>
        <w:tab/>
        <w:t>=</w:t>
      </w:r>
      <w:r w:rsidRPr="00DE12A3">
        <w:rPr>
          <w:color w:val="auto"/>
          <w:sz w:val="24"/>
          <w:szCs w:val="24"/>
        </w:rPr>
        <w:tab/>
        <w:t>anlık yakıt kütle akış hızı [kg/s]</w:t>
      </w:r>
    </w:p>
    <w:p w14:paraId="42621B64" w14:textId="176ED1F3" w:rsidR="002D7B36" w:rsidRPr="00DE12A3" w:rsidRDefault="00242DA0" w:rsidP="00C917D6">
      <w:pPr>
        <w:pStyle w:val="Gvdemetni2511"/>
        <w:shd w:val="clear" w:color="auto" w:fill="auto"/>
        <w:tabs>
          <w:tab w:val="left" w:pos="1418"/>
        </w:tabs>
        <w:spacing w:before="120" w:after="120" w:line="240" w:lineRule="auto"/>
        <w:ind w:left="1134" w:firstLine="0"/>
        <w:rPr>
          <w:color w:val="auto"/>
          <w:sz w:val="24"/>
          <w:szCs w:val="24"/>
        </w:rPr>
      </w:pPr>
      <w:r w:rsidRPr="00DE12A3">
        <w:rPr>
          <w:rStyle w:val="Gvdemetni254pttalik"/>
          <w:color w:val="auto"/>
          <w:sz w:val="24"/>
          <w:szCs w:val="24"/>
        </w:rPr>
        <w:t>w</w:t>
      </w:r>
      <w:r w:rsidRPr="00DE12A3">
        <w:rPr>
          <w:rStyle w:val="Gvdemetni254pttalik"/>
          <w:color w:val="auto"/>
          <w:sz w:val="24"/>
          <w:szCs w:val="24"/>
          <w:vertAlign w:val="subscript"/>
        </w:rPr>
        <w:t>C</w:t>
      </w:r>
      <w:r w:rsidRPr="00DE12A3">
        <w:rPr>
          <w:color w:val="auto"/>
          <w:sz w:val="24"/>
          <w:szCs w:val="24"/>
        </w:rPr>
        <w:tab/>
        <w:t>=</w:t>
      </w:r>
      <w:r w:rsidRPr="00DE12A3">
        <w:rPr>
          <w:color w:val="auto"/>
          <w:sz w:val="24"/>
          <w:szCs w:val="24"/>
        </w:rPr>
        <w:tab/>
        <w:t xml:space="preserve">yakıtın karbon içeriği [% kütle] (bkz. 3.3.3.1 bendindeki (7-82) </w:t>
      </w:r>
      <w:r w:rsidR="005E1C7E" w:rsidRPr="00DE12A3">
        <w:rPr>
          <w:color w:val="auto"/>
          <w:sz w:val="24"/>
          <w:szCs w:val="24"/>
        </w:rPr>
        <w:t>numaralı</w:t>
      </w:r>
      <w:r w:rsidR="005E1C7E" w:rsidRPr="00DE12A3" w:rsidDel="005E1C7E">
        <w:rPr>
          <w:color w:val="auto"/>
          <w:sz w:val="24"/>
          <w:szCs w:val="24"/>
        </w:rPr>
        <w:t xml:space="preserve"> </w:t>
      </w:r>
      <w:r w:rsidRPr="00DE12A3">
        <w:rPr>
          <w:color w:val="auto"/>
          <w:sz w:val="24"/>
          <w:szCs w:val="24"/>
        </w:rPr>
        <w:t>denklem veya Tablo 7.3)</w:t>
      </w:r>
    </w:p>
    <w:p w14:paraId="48C1B01B" w14:textId="77777777" w:rsidR="002D7B36" w:rsidRPr="00DE12A3" w:rsidRDefault="00242DA0" w:rsidP="00C917D6">
      <w:pPr>
        <w:pStyle w:val="Gvdemetni2511"/>
        <w:shd w:val="clear" w:color="auto" w:fill="auto"/>
        <w:tabs>
          <w:tab w:val="left" w:pos="1418"/>
        </w:tabs>
        <w:spacing w:before="120" w:after="120" w:line="240" w:lineRule="auto"/>
        <w:ind w:left="1134" w:firstLine="0"/>
        <w:rPr>
          <w:color w:val="auto"/>
          <w:sz w:val="24"/>
          <w:szCs w:val="24"/>
        </w:rPr>
      </w:pPr>
      <w:r w:rsidRPr="00DE12A3">
        <w:rPr>
          <w:rStyle w:val="Gvdemetni254pttalik"/>
          <w:color w:val="auto"/>
          <w:sz w:val="24"/>
          <w:szCs w:val="24"/>
        </w:rPr>
        <w:t>H</w:t>
      </w:r>
      <w:r w:rsidRPr="00DE12A3">
        <w:rPr>
          <w:rStyle w:val="Gvdemetni254pttalik"/>
          <w:color w:val="auto"/>
          <w:sz w:val="24"/>
          <w:szCs w:val="24"/>
          <w:vertAlign w:val="subscript"/>
        </w:rPr>
        <w:t>a</w:t>
      </w:r>
      <w:r w:rsidRPr="00DE12A3">
        <w:rPr>
          <w:color w:val="auto"/>
          <w:sz w:val="24"/>
          <w:szCs w:val="24"/>
        </w:rPr>
        <w:tab/>
        <w:t>=</w:t>
      </w:r>
      <w:r w:rsidRPr="00DE12A3">
        <w:rPr>
          <w:color w:val="auto"/>
          <w:sz w:val="24"/>
          <w:szCs w:val="24"/>
        </w:rPr>
        <w:tab/>
        <w:t>emme havası nemi [g H</w:t>
      </w:r>
      <w:r w:rsidRPr="00DE12A3">
        <w:rPr>
          <w:color w:val="auto"/>
          <w:sz w:val="24"/>
          <w:szCs w:val="24"/>
          <w:vertAlign w:val="subscript"/>
        </w:rPr>
        <w:t>2</w:t>
      </w:r>
      <w:r w:rsidRPr="00DE12A3">
        <w:rPr>
          <w:color w:val="auto"/>
          <w:sz w:val="24"/>
          <w:szCs w:val="24"/>
        </w:rPr>
        <w:t>O/kg kuru hava]</w:t>
      </w:r>
    </w:p>
    <w:p w14:paraId="498DE169" w14:textId="77777777" w:rsidR="002D7B36" w:rsidRPr="00DE12A3" w:rsidRDefault="00242DA0" w:rsidP="00C917D6">
      <w:pPr>
        <w:pStyle w:val="Gvdemetni2511"/>
        <w:shd w:val="clear" w:color="auto" w:fill="auto"/>
        <w:tabs>
          <w:tab w:val="left" w:pos="1418"/>
          <w:tab w:val="right" w:pos="5663"/>
        </w:tabs>
        <w:spacing w:before="120" w:after="120" w:line="240" w:lineRule="auto"/>
        <w:ind w:left="1134" w:firstLine="0"/>
        <w:rPr>
          <w:color w:val="auto"/>
          <w:sz w:val="24"/>
          <w:szCs w:val="24"/>
        </w:rPr>
      </w:pPr>
      <w:r w:rsidRPr="00DE12A3">
        <w:rPr>
          <w:i/>
          <w:iCs/>
          <w:color w:val="auto"/>
          <w:sz w:val="24"/>
          <w:szCs w:val="24"/>
        </w:rPr>
        <w:t>k</w:t>
      </w:r>
      <w:r w:rsidRPr="00DE12A3">
        <w:rPr>
          <w:color w:val="auto"/>
          <w:sz w:val="24"/>
          <w:szCs w:val="24"/>
          <w:vertAlign w:val="subscript"/>
        </w:rPr>
        <w:t>fd</w:t>
      </w:r>
      <w:r w:rsidRPr="00DE12A3">
        <w:rPr>
          <w:color w:val="auto"/>
          <w:sz w:val="24"/>
          <w:szCs w:val="24"/>
        </w:rPr>
        <w:tab/>
        <w:t>=</w:t>
      </w:r>
      <w:r w:rsidRPr="00DE12A3">
        <w:rPr>
          <w:color w:val="auto"/>
          <w:sz w:val="24"/>
          <w:szCs w:val="24"/>
        </w:rPr>
        <w:tab/>
        <w:t>kuru bazda yanma ilave hacmi [m</w:t>
      </w:r>
      <w:r w:rsidRPr="00DE12A3">
        <w:rPr>
          <w:color w:val="auto"/>
          <w:sz w:val="24"/>
          <w:szCs w:val="24"/>
          <w:vertAlign w:val="superscript"/>
        </w:rPr>
        <w:t>3</w:t>
      </w:r>
      <w:r w:rsidRPr="00DE12A3">
        <w:rPr>
          <w:color w:val="auto"/>
          <w:sz w:val="24"/>
          <w:szCs w:val="24"/>
        </w:rPr>
        <w:t>/kg yakıt]</w:t>
      </w:r>
    </w:p>
    <w:p w14:paraId="630D5EAC" w14:textId="7E7D9808" w:rsidR="002D7B36" w:rsidRPr="00DE12A3" w:rsidRDefault="00242DA0" w:rsidP="00C917D6">
      <w:pPr>
        <w:pStyle w:val="Gvdemetni2511"/>
        <w:shd w:val="clear" w:color="auto" w:fill="auto"/>
        <w:tabs>
          <w:tab w:val="left" w:pos="1418"/>
          <w:tab w:val="right" w:pos="5663"/>
        </w:tabs>
        <w:spacing w:before="120" w:after="120" w:line="240" w:lineRule="auto"/>
        <w:ind w:left="1134" w:firstLine="0"/>
        <w:rPr>
          <w:color w:val="auto"/>
          <w:sz w:val="24"/>
          <w:szCs w:val="24"/>
        </w:rPr>
      </w:pPr>
      <w:r w:rsidRPr="00DE12A3">
        <w:rPr>
          <w:i/>
          <w:iCs/>
          <w:color w:val="auto"/>
          <w:sz w:val="24"/>
          <w:szCs w:val="24"/>
        </w:rPr>
        <w:t>c</w:t>
      </w:r>
      <w:r w:rsidRPr="00DE12A3">
        <w:rPr>
          <w:color w:val="auto"/>
          <w:sz w:val="24"/>
          <w:szCs w:val="24"/>
          <w:vertAlign w:val="subscript"/>
        </w:rPr>
        <w:t>CO2d</w:t>
      </w:r>
      <w:r w:rsidR="00B06860" w:rsidRPr="00DE12A3">
        <w:rPr>
          <w:color w:val="auto"/>
          <w:sz w:val="24"/>
          <w:szCs w:val="24"/>
          <w:vertAlign w:val="subscript"/>
        </w:rPr>
        <w:t xml:space="preserve">  </w:t>
      </w:r>
      <w:r w:rsidRPr="00DE12A3">
        <w:rPr>
          <w:color w:val="auto"/>
          <w:sz w:val="24"/>
          <w:szCs w:val="24"/>
        </w:rPr>
        <w:t>=</w:t>
      </w:r>
      <w:r w:rsidRPr="00DE12A3">
        <w:rPr>
          <w:color w:val="auto"/>
          <w:sz w:val="24"/>
          <w:szCs w:val="24"/>
        </w:rPr>
        <w:tab/>
        <w:t>ham egzoz gazı içindeki kuru CO2 konsantrasyonu [%]</w:t>
      </w:r>
    </w:p>
    <w:p w14:paraId="12F5CB0C" w14:textId="77777777" w:rsidR="002D7B36" w:rsidRPr="00DE12A3" w:rsidRDefault="00242DA0" w:rsidP="00C917D6">
      <w:pPr>
        <w:pStyle w:val="Gvdemetni2511"/>
        <w:shd w:val="clear" w:color="auto" w:fill="auto"/>
        <w:tabs>
          <w:tab w:val="left" w:pos="1418"/>
        </w:tabs>
        <w:spacing w:before="120" w:after="120" w:line="240" w:lineRule="auto"/>
        <w:ind w:left="1134" w:firstLine="0"/>
        <w:rPr>
          <w:color w:val="auto"/>
          <w:sz w:val="24"/>
          <w:szCs w:val="24"/>
        </w:rPr>
      </w:pPr>
      <w:r w:rsidRPr="00DE12A3">
        <w:rPr>
          <w:i/>
          <w:iCs/>
          <w:color w:val="auto"/>
          <w:sz w:val="24"/>
          <w:szCs w:val="24"/>
        </w:rPr>
        <w:t>c</w:t>
      </w:r>
      <w:r w:rsidRPr="00DE12A3">
        <w:rPr>
          <w:color w:val="auto"/>
          <w:sz w:val="24"/>
          <w:szCs w:val="24"/>
          <w:vertAlign w:val="subscript"/>
        </w:rPr>
        <w:t>CO2d</w:t>
      </w:r>
      <w:r w:rsidRPr="00DE12A3">
        <w:rPr>
          <w:color w:val="auto"/>
          <w:sz w:val="24"/>
          <w:szCs w:val="24"/>
        </w:rPr>
        <w:t>,</w:t>
      </w:r>
      <w:r w:rsidRPr="00DE12A3">
        <w:rPr>
          <w:color w:val="auto"/>
          <w:sz w:val="24"/>
          <w:szCs w:val="24"/>
          <w:vertAlign w:val="subscript"/>
        </w:rPr>
        <w:t>a</w:t>
      </w:r>
      <w:r w:rsidRPr="00DE12A3">
        <w:rPr>
          <w:color w:val="auto"/>
          <w:sz w:val="24"/>
          <w:szCs w:val="24"/>
        </w:rPr>
        <w:tab/>
        <w:t>=</w:t>
      </w:r>
      <w:r w:rsidRPr="00DE12A3">
        <w:rPr>
          <w:color w:val="auto"/>
          <w:sz w:val="24"/>
          <w:szCs w:val="24"/>
        </w:rPr>
        <w:tab/>
        <w:t>ortam havası içindeki kuru CO2 konsantrasyonu [%]</w:t>
      </w:r>
    </w:p>
    <w:p w14:paraId="7A7B47AC" w14:textId="4105207D" w:rsidR="002D7B36" w:rsidRPr="00DE12A3" w:rsidRDefault="00242DA0" w:rsidP="00C917D6">
      <w:pPr>
        <w:pStyle w:val="Gvdemetni2511"/>
        <w:shd w:val="clear" w:color="auto" w:fill="auto"/>
        <w:tabs>
          <w:tab w:val="left" w:pos="1418"/>
          <w:tab w:val="center" w:pos="4606"/>
          <w:tab w:val="right" w:pos="5663"/>
        </w:tabs>
        <w:spacing w:before="120" w:after="120" w:line="240" w:lineRule="auto"/>
        <w:ind w:left="1134" w:firstLine="0"/>
        <w:rPr>
          <w:color w:val="auto"/>
          <w:sz w:val="24"/>
          <w:szCs w:val="24"/>
        </w:rPr>
      </w:pPr>
      <w:r w:rsidRPr="00DE12A3">
        <w:rPr>
          <w:i/>
          <w:iCs/>
          <w:color w:val="auto"/>
          <w:sz w:val="24"/>
          <w:szCs w:val="24"/>
        </w:rPr>
        <w:t>c</w:t>
      </w:r>
      <w:r w:rsidRPr="00DE12A3">
        <w:rPr>
          <w:color w:val="auto"/>
          <w:sz w:val="24"/>
          <w:szCs w:val="24"/>
          <w:vertAlign w:val="subscript"/>
        </w:rPr>
        <w:t>COd</w:t>
      </w:r>
      <w:r w:rsidR="00B06860" w:rsidRPr="00DE12A3">
        <w:rPr>
          <w:color w:val="auto"/>
          <w:sz w:val="24"/>
          <w:szCs w:val="24"/>
          <w:vertAlign w:val="subscript"/>
        </w:rPr>
        <w:t xml:space="preserve">              </w:t>
      </w:r>
      <w:r w:rsidRPr="00DE12A3">
        <w:rPr>
          <w:color w:val="auto"/>
          <w:sz w:val="24"/>
          <w:szCs w:val="24"/>
        </w:rPr>
        <w:t>=</w:t>
      </w:r>
      <w:r w:rsidR="00B06860" w:rsidRPr="00DE12A3">
        <w:rPr>
          <w:color w:val="auto"/>
          <w:sz w:val="24"/>
          <w:szCs w:val="24"/>
        </w:rPr>
        <w:t xml:space="preserve">         </w:t>
      </w:r>
      <w:r w:rsidRPr="00DE12A3">
        <w:rPr>
          <w:color w:val="auto"/>
          <w:sz w:val="24"/>
          <w:szCs w:val="24"/>
        </w:rPr>
        <w:tab/>
        <w:t>ham egzoz gazı içindeki kuru CO konsantrasyonu [ppm]</w:t>
      </w:r>
    </w:p>
    <w:p w14:paraId="66799A27" w14:textId="6384922D" w:rsidR="002D7B36" w:rsidRPr="00DE12A3" w:rsidRDefault="00242DA0" w:rsidP="00C917D6">
      <w:pPr>
        <w:pStyle w:val="Gvdemetni2511"/>
        <w:shd w:val="clear" w:color="auto" w:fill="auto"/>
        <w:tabs>
          <w:tab w:val="left" w:pos="1418"/>
          <w:tab w:val="center" w:pos="4606"/>
          <w:tab w:val="right" w:pos="5663"/>
        </w:tabs>
        <w:spacing w:before="120" w:after="120" w:line="240" w:lineRule="auto"/>
        <w:ind w:left="1134" w:firstLine="0"/>
        <w:rPr>
          <w:color w:val="auto"/>
          <w:sz w:val="24"/>
          <w:szCs w:val="24"/>
        </w:rPr>
      </w:pPr>
      <w:r w:rsidRPr="00DE12A3">
        <w:rPr>
          <w:i/>
          <w:iCs/>
          <w:color w:val="auto"/>
          <w:sz w:val="24"/>
          <w:szCs w:val="24"/>
        </w:rPr>
        <w:t>c</w:t>
      </w:r>
      <w:r w:rsidRPr="00DE12A3">
        <w:rPr>
          <w:color w:val="auto"/>
          <w:sz w:val="24"/>
          <w:szCs w:val="24"/>
          <w:vertAlign w:val="subscript"/>
        </w:rPr>
        <w:t>HCw</w:t>
      </w:r>
      <w:r w:rsidR="00B06860" w:rsidRPr="00DE12A3">
        <w:rPr>
          <w:color w:val="auto"/>
          <w:sz w:val="24"/>
          <w:szCs w:val="24"/>
          <w:vertAlign w:val="subscript"/>
        </w:rPr>
        <w:t xml:space="preserve">              </w:t>
      </w:r>
      <w:r w:rsidRPr="00DE12A3">
        <w:rPr>
          <w:color w:val="auto"/>
          <w:sz w:val="24"/>
          <w:szCs w:val="24"/>
        </w:rPr>
        <w:t>=</w:t>
      </w:r>
      <w:r w:rsidRPr="00DE12A3">
        <w:rPr>
          <w:color w:val="auto"/>
          <w:sz w:val="24"/>
          <w:szCs w:val="24"/>
        </w:rPr>
        <w:tab/>
      </w:r>
      <w:r w:rsidR="00B06860" w:rsidRPr="00DE12A3">
        <w:rPr>
          <w:color w:val="auto"/>
          <w:sz w:val="24"/>
          <w:szCs w:val="24"/>
        </w:rPr>
        <w:t xml:space="preserve">         </w:t>
      </w:r>
      <w:r w:rsidRPr="00DE12A3">
        <w:rPr>
          <w:color w:val="auto"/>
          <w:sz w:val="24"/>
          <w:szCs w:val="24"/>
        </w:rPr>
        <w:t>ham egzoz gazı içindeki yaş HC konsantrasyonu [ppm]</w:t>
      </w:r>
    </w:p>
    <w:p w14:paraId="621BAFFE" w14:textId="11791A31" w:rsidR="002D7B36" w:rsidRPr="00DE12A3" w:rsidRDefault="00242DA0" w:rsidP="00C917D6">
      <w:pPr>
        <w:pStyle w:val="Gvdemetni2511"/>
        <w:shd w:val="clear" w:color="auto" w:fill="auto"/>
        <w:spacing w:before="120" w:after="120" w:line="240" w:lineRule="auto"/>
        <w:ind w:leftChars="467" w:left="1132" w:hanging="11"/>
        <w:rPr>
          <w:color w:val="auto"/>
          <w:sz w:val="24"/>
          <w:szCs w:val="24"/>
          <w:vertAlign w:val="subscript"/>
        </w:rPr>
      </w:pPr>
      <w:r w:rsidRPr="00DE12A3">
        <w:rPr>
          <w:color w:val="auto"/>
          <w:sz w:val="24"/>
          <w:szCs w:val="24"/>
        </w:rPr>
        <w:t xml:space="preserve">ve kuru bazda (7-22) </w:t>
      </w:r>
      <w:r w:rsidR="005E1C7E" w:rsidRPr="00DE12A3">
        <w:rPr>
          <w:color w:val="auto"/>
          <w:sz w:val="24"/>
          <w:szCs w:val="24"/>
        </w:rPr>
        <w:t>numaralı</w:t>
      </w:r>
      <w:r w:rsidR="005E1C7E" w:rsidRPr="00DE12A3" w:rsidDel="005E1C7E">
        <w:rPr>
          <w:color w:val="auto"/>
          <w:sz w:val="24"/>
          <w:szCs w:val="24"/>
        </w:rPr>
        <w:t xml:space="preserve"> </w:t>
      </w:r>
      <w:r w:rsidRPr="00DE12A3">
        <w:rPr>
          <w:color w:val="auto"/>
          <w:sz w:val="24"/>
          <w:szCs w:val="24"/>
        </w:rPr>
        <w:t xml:space="preserve">denklemle hesaplanan faktör </w:t>
      </w:r>
      <w:r w:rsidRPr="00DE12A3">
        <w:rPr>
          <w:i/>
          <w:iCs/>
          <w:color w:val="auto"/>
          <w:sz w:val="24"/>
          <w:szCs w:val="24"/>
        </w:rPr>
        <w:t>k</w:t>
      </w:r>
      <w:r w:rsidRPr="00DE12A3">
        <w:rPr>
          <w:color w:val="auto"/>
          <w:sz w:val="24"/>
          <w:szCs w:val="24"/>
          <w:vertAlign w:val="subscript"/>
        </w:rPr>
        <w:t>fd</w:t>
      </w:r>
      <w:r w:rsidRPr="00DE12A3">
        <w:rPr>
          <w:color w:val="auto"/>
          <w:sz w:val="24"/>
          <w:szCs w:val="24"/>
        </w:rPr>
        <w:t xml:space="preserve"> [m</w:t>
      </w:r>
      <w:r w:rsidRPr="00DE12A3">
        <w:rPr>
          <w:color w:val="auto"/>
          <w:sz w:val="24"/>
          <w:szCs w:val="24"/>
          <w:vertAlign w:val="superscript"/>
        </w:rPr>
        <w:t>3</w:t>
      </w:r>
      <w:r w:rsidRPr="00DE12A3">
        <w:rPr>
          <w:color w:val="auto"/>
          <w:sz w:val="24"/>
          <w:szCs w:val="24"/>
        </w:rPr>
        <w:t xml:space="preserve">/kg yakıt], yanma sonucu oluşan suyun </w:t>
      </w:r>
      <w:r w:rsidRPr="00DE12A3">
        <w:rPr>
          <w:i/>
          <w:iCs/>
          <w:color w:val="auto"/>
          <w:sz w:val="24"/>
          <w:szCs w:val="24"/>
        </w:rPr>
        <w:t>k</w:t>
      </w:r>
      <w:r w:rsidRPr="00DE12A3">
        <w:rPr>
          <w:color w:val="auto"/>
          <w:sz w:val="24"/>
          <w:szCs w:val="24"/>
          <w:vertAlign w:val="subscript"/>
        </w:rPr>
        <w:t>f</w:t>
      </w:r>
      <w:r w:rsidRPr="00DE12A3">
        <w:rPr>
          <w:color w:val="auto"/>
          <w:sz w:val="24"/>
          <w:szCs w:val="24"/>
        </w:rPr>
        <w:t>'den çıkarılmasıyla hesaplanır</w:t>
      </w:r>
      <w:r w:rsidRPr="00DE12A3">
        <w:rPr>
          <w:color w:val="auto"/>
          <w:sz w:val="24"/>
          <w:szCs w:val="24"/>
          <w:vertAlign w:val="subscript"/>
        </w:rPr>
        <w:t>:</w:t>
      </w:r>
    </w:p>
    <w:p w14:paraId="5B3B9DB4" w14:textId="77777777" w:rsidR="002D7B36" w:rsidRPr="00DE12A3" w:rsidRDefault="00242DA0" w:rsidP="00C917D6">
      <w:pPr>
        <w:pStyle w:val="Gvdemetni2511"/>
        <w:shd w:val="clear" w:color="auto" w:fill="auto"/>
        <w:spacing w:before="120" w:after="120" w:line="240" w:lineRule="auto"/>
        <w:ind w:leftChars="300" w:left="720" w:firstLine="0"/>
        <w:rPr>
          <w:color w:val="auto"/>
          <w:sz w:val="24"/>
          <w:szCs w:val="24"/>
        </w:rPr>
      </w:pPr>
      <w:r w:rsidRPr="00DE12A3">
        <w:rPr>
          <w:noProof/>
          <w:color w:val="auto"/>
          <w:sz w:val="24"/>
          <w:szCs w:val="24"/>
        </w:rPr>
        <w:drawing>
          <wp:anchor distT="0" distB="0" distL="114300" distR="114300" simplePos="0" relativeHeight="251632128" behindDoc="0" locked="0" layoutInCell="1" allowOverlap="1" wp14:anchorId="0D54FCD2" wp14:editId="6B116245">
            <wp:simplePos x="0" y="0"/>
            <wp:positionH relativeFrom="column">
              <wp:posOffset>457200</wp:posOffset>
            </wp:positionH>
            <wp:positionV relativeFrom="paragraph">
              <wp:posOffset>67310</wp:posOffset>
            </wp:positionV>
            <wp:extent cx="4435475" cy="299085"/>
            <wp:effectExtent l="0" t="0" r="5080" b="9525"/>
            <wp:wrapTopAndBottom/>
            <wp:docPr id="6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Picture 2"/>
                    <pic:cNvPicPr>
                      <a:picLocks noChangeAspect="1"/>
                    </pic:cNvPicPr>
                  </pic:nvPicPr>
                  <pic:blipFill>
                    <a:blip r:embed="rId80"/>
                    <a:stretch>
                      <a:fillRect/>
                    </a:stretch>
                  </pic:blipFill>
                  <pic:spPr>
                    <a:xfrm>
                      <a:off x="0" y="0"/>
                      <a:ext cx="4435475" cy="299085"/>
                    </a:xfrm>
                    <a:prstGeom prst="rect">
                      <a:avLst/>
                    </a:prstGeom>
                    <a:noFill/>
                    <a:ln>
                      <a:noFill/>
                    </a:ln>
                  </pic:spPr>
                </pic:pic>
              </a:graphicData>
            </a:graphic>
          </wp:anchor>
        </w:drawing>
      </w:r>
      <w:r w:rsidR="001A253A" w:rsidRPr="00DE12A3">
        <w:rPr>
          <w:color w:val="auto"/>
          <w:sz w:val="24"/>
          <w:szCs w:val="24"/>
        </w:rPr>
        <w:t xml:space="preserve">       B</w:t>
      </w:r>
      <w:r w:rsidRPr="00DE12A3">
        <w:rPr>
          <w:color w:val="auto"/>
          <w:sz w:val="24"/>
          <w:szCs w:val="24"/>
        </w:rPr>
        <w:t>urada:</w:t>
      </w:r>
    </w:p>
    <w:p w14:paraId="191DFAF4" w14:textId="77777777" w:rsidR="002D7B36" w:rsidRPr="00DE12A3" w:rsidRDefault="00242DA0" w:rsidP="00C917D6">
      <w:pPr>
        <w:pStyle w:val="Gvdemetni2511"/>
        <w:shd w:val="clear" w:color="auto" w:fill="auto"/>
        <w:tabs>
          <w:tab w:val="left" w:pos="1134"/>
        </w:tabs>
        <w:spacing w:before="120" w:after="120" w:line="240" w:lineRule="auto"/>
        <w:ind w:left="1134" w:firstLine="0"/>
        <w:rPr>
          <w:color w:val="auto"/>
          <w:sz w:val="24"/>
          <w:szCs w:val="24"/>
        </w:rPr>
      </w:pPr>
      <w:r w:rsidRPr="00DE12A3">
        <w:rPr>
          <w:i/>
          <w:iCs/>
          <w:color w:val="auto"/>
          <w:sz w:val="24"/>
          <w:szCs w:val="24"/>
        </w:rPr>
        <w:t>k</w:t>
      </w:r>
      <w:r w:rsidRPr="00DE12A3">
        <w:rPr>
          <w:color w:val="auto"/>
          <w:sz w:val="24"/>
          <w:szCs w:val="24"/>
          <w:vertAlign w:val="subscript"/>
        </w:rPr>
        <w:t>f</w:t>
      </w:r>
      <w:r w:rsidRPr="00DE12A3">
        <w:rPr>
          <w:color w:val="auto"/>
          <w:sz w:val="24"/>
          <w:szCs w:val="24"/>
        </w:rPr>
        <w:tab/>
        <w:t>= yakıta özgü denklem faktörü (7-5) [m</w:t>
      </w:r>
      <w:r w:rsidRPr="00DE12A3">
        <w:rPr>
          <w:color w:val="auto"/>
          <w:sz w:val="24"/>
          <w:szCs w:val="24"/>
          <w:vertAlign w:val="superscript"/>
        </w:rPr>
        <w:t>3</w:t>
      </w:r>
      <w:r w:rsidRPr="00DE12A3">
        <w:rPr>
          <w:color w:val="auto"/>
          <w:sz w:val="24"/>
          <w:szCs w:val="24"/>
        </w:rPr>
        <w:t>/kg yakıt]</w:t>
      </w:r>
    </w:p>
    <w:p w14:paraId="2E312015" w14:textId="77777777" w:rsidR="002D7B36" w:rsidRPr="00DE12A3" w:rsidRDefault="00242DA0" w:rsidP="00C917D6">
      <w:pPr>
        <w:pStyle w:val="Gvdemetni2511"/>
        <w:shd w:val="clear" w:color="auto" w:fill="auto"/>
        <w:tabs>
          <w:tab w:val="left" w:pos="1134"/>
        </w:tabs>
        <w:spacing w:before="120" w:after="120" w:line="240" w:lineRule="auto"/>
        <w:ind w:left="1134" w:firstLine="0"/>
        <w:rPr>
          <w:color w:val="auto"/>
          <w:sz w:val="24"/>
          <w:szCs w:val="24"/>
        </w:rPr>
      </w:pPr>
      <w:r w:rsidRPr="00DE12A3">
        <w:rPr>
          <w:rStyle w:val="Gvdemetni254pttalik"/>
          <w:color w:val="auto"/>
          <w:sz w:val="24"/>
          <w:szCs w:val="24"/>
        </w:rPr>
        <w:t>w</w:t>
      </w:r>
      <w:r w:rsidRPr="00DE12A3">
        <w:rPr>
          <w:rStyle w:val="Gvdemetni254pttalik"/>
          <w:color w:val="auto"/>
          <w:sz w:val="24"/>
          <w:szCs w:val="24"/>
          <w:vertAlign w:val="subscript"/>
        </w:rPr>
        <w:t>H</w:t>
      </w:r>
      <w:r w:rsidRPr="00DE12A3">
        <w:rPr>
          <w:color w:val="auto"/>
          <w:sz w:val="24"/>
          <w:szCs w:val="24"/>
        </w:rPr>
        <w:tab/>
        <w:t>= yakıtın hidrojen içeriği [% kütle]</w:t>
      </w:r>
    </w:p>
    <w:p w14:paraId="2DA89D5F" w14:textId="77777777" w:rsidR="002D7B36" w:rsidRPr="00DE12A3" w:rsidRDefault="002D7B36" w:rsidP="00C917D6">
      <w:pPr>
        <w:pStyle w:val="Gvdemetni2511"/>
        <w:shd w:val="clear" w:color="auto" w:fill="auto"/>
        <w:spacing w:before="120" w:after="120" w:line="240" w:lineRule="auto"/>
        <w:ind w:leftChars="300" w:left="1854" w:hanging="1134"/>
        <w:rPr>
          <w:color w:val="auto"/>
          <w:sz w:val="24"/>
          <w:szCs w:val="24"/>
          <w:vertAlign w:val="subscript"/>
          <w:lang w:eastAsia="en-US"/>
        </w:rPr>
      </w:pPr>
    </w:p>
    <w:p w14:paraId="38AA13E3" w14:textId="77777777" w:rsidR="002D7B36" w:rsidRPr="00DE12A3" w:rsidRDefault="00242DA0" w:rsidP="00E20716">
      <w:pPr>
        <w:pStyle w:val="Gvdemetni2511"/>
        <w:numPr>
          <w:ilvl w:val="1"/>
          <w:numId w:val="394"/>
        </w:numPr>
        <w:shd w:val="clear" w:color="auto" w:fill="auto"/>
        <w:tabs>
          <w:tab w:val="left" w:pos="567"/>
        </w:tabs>
        <w:spacing w:before="120" w:after="120" w:line="240" w:lineRule="auto"/>
        <w:ind w:left="1134" w:hanging="1134"/>
        <w:rPr>
          <w:color w:val="auto"/>
          <w:sz w:val="24"/>
          <w:szCs w:val="24"/>
        </w:rPr>
      </w:pPr>
      <w:r w:rsidRPr="00DE12A3">
        <w:rPr>
          <w:color w:val="auto"/>
          <w:sz w:val="24"/>
          <w:szCs w:val="24"/>
        </w:rPr>
        <w:lastRenderedPageBreak/>
        <w:tab/>
        <w:t>Seyreltilmiş gaz emisyonları</w:t>
      </w:r>
    </w:p>
    <w:p w14:paraId="6FC9C527" w14:textId="77777777" w:rsidR="002D7B36" w:rsidRPr="00DE12A3" w:rsidRDefault="001A253A" w:rsidP="00E20716">
      <w:pPr>
        <w:pStyle w:val="Gvdemetni2511"/>
        <w:numPr>
          <w:ilvl w:val="2"/>
          <w:numId w:val="394"/>
        </w:numPr>
        <w:shd w:val="clear" w:color="auto" w:fill="auto"/>
        <w:tabs>
          <w:tab w:val="left" w:pos="284"/>
          <w:tab w:val="left" w:pos="426"/>
        </w:tabs>
        <w:spacing w:before="120" w:after="120" w:line="240" w:lineRule="auto"/>
        <w:ind w:left="1134" w:hanging="1134"/>
        <w:rPr>
          <w:color w:val="auto"/>
          <w:sz w:val="24"/>
          <w:szCs w:val="24"/>
        </w:rPr>
      </w:pPr>
      <w:r w:rsidRPr="00DE12A3">
        <w:rPr>
          <w:color w:val="auto"/>
          <w:sz w:val="24"/>
          <w:szCs w:val="24"/>
        </w:rPr>
        <w:t xml:space="preserve">       </w:t>
      </w:r>
      <w:r w:rsidR="00242DA0" w:rsidRPr="00DE12A3">
        <w:rPr>
          <w:color w:val="auto"/>
          <w:sz w:val="24"/>
          <w:szCs w:val="24"/>
        </w:rPr>
        <w:t>Gaz emisyonlarının kütlesi</w:t>
      </w:r>
    </w:p>
    <w:p w14:paraId="2A9D5345" w14:textId="77777777" w:rsidR="002D7B36" w:rsidRPr="00DE12A3" w:rsidRDefault="001A253A" w:rsidP="00C917D6">
      <w:pPr>
        <w:pStyle w:val="Gvdemetni2511"/>
        <w:shd w:val="clear" w:color="auto" w:fill="auto"/>
        <w:spacing w:before="120" w:after="120" w:line="240" w:lineRule="auto"/>
        <w:ind w:left="1134" w:hanging="1134"/>
        <w:rPr>
          <w:color w:val="auto"/>
          <w:sz w:val="24"/>
          <w:szCs w:val="24"/>
        </w:rPr>
      </w:pPr>
      <w:r w:rsidRPr="00DE12A3">
        <w:rPr>
          <w:color w:val="auto"/>
          <w:sz w:val="24"/>
          <w:szCs w:val="24"/>
        </w:rPr>
        <w:t xml:space="preserve">                   </w:t>
      </w:r>
      <w:r w:rsidR="00242DA0" w:rsidRPr="00DE12A3">
        <w:rPr>
          <w:color w:val="auto"/>
          <w:sz w:val="24"/>
          <w:szCs w:val="24"/>
        </w:rPr>
        <w:t>Egzoz gazı kütle akış hızı, bir pozitif deplasmanlı pompa (PDP), bir kritik akışlı venturi (CFV) veya bir ses altı venturi (SSV) kullanabilen bir sabit hacimli örnekleme (CVS) sistemi ile ölçülmelidir.</w:t>
      </w:r>
    </w:p>
    <w:p w14:paraId="70903955" w14:textId="6DEE8524" w:rsidR="002D7B36" w:rsidRPr="00DE12A3" w:rsidRDefault="001A253A" w:rsidP="00C917D6">
      <w:pPr>
        <w:pStyle w:val="Gvdemetni2511"/>
        <w:shd w:val="clear" w:color="auto" w:fill="auto"/>
        <w:tabs>
          <w:tab w:val="left" w:pos="6240"/>
        </w:tabs>
        <w:spacing w:before="120" w:after="120" w:line="240" w:lineRule="auto"/>
        <w:ind w:left="1134" w:hanging="1134"/>
        <w:rPr>
          <w:color w:val="auto"/>
          <w:sz w:val="24"/>
          <w:szCs w:val="24"/>
        </w:rPr>
      </w:pPr>
      <w:r w:rsidRPr="00DE12A3">
        <w:rPr>
          <w:color w:val="auto"/>
          <w:sz w:val="24"/>
          <w:szCs w:val="24"/>
        </w:rPr>
        <w:t xml:space="preserve">                  </w:t>
      </w:r>
      <w:r w:rsidR="00242DA0" w:rsidRPr="00DE12A3">
        <w:rPr>
          <w:color w:val="auto"/>
          <w:sz w:val="24"/>
          <w:szCs w:val="24"/>
        </w:rPr>
        <w:t xml:space="preserve">Sabit kütle akışlı (yani ısı eşanjörlü) sistemler için, kirletici gazların kütlesi </w:t>
      </w:r>
      <w:r w:rsidR="00242DA0" w:rsidRPr="00DE12A3">
        <w:rPr>
          <w:i/>
          <w:iCs/>
          <w:color w:val="auto"/>
          <w:sz w:val="24"/>
          <w:szCs w:val="24"/>
        </w:rPr>
        <w:t>m</w:t>
      </w:r>
      <w:r w:rsidR="00242DA0" w:rsidRPr="00DE12A3">
        <w:rPr>
          <w:color w:val="auto"/>
          <w:sz w:val="24"/>
          <w:szCs w:val="24"/>
          <w:vertAlign w:val="subscript"/>
        </w:rPr>
        <w:t>gas</w:t>
      </w:r>
      <w:r w:rsidR="00242DA0" w:rsidRPr="00DE12A3">
        <w:rPr>
          <w:color w:val="auto"/>
          <w:sz w:val="24"/>
          <w:szCs w:val="24"/>
        </w:rPr>
        <w:t xml:space="preserve"> [g/test], (7-23) </w:t>
      </w:r>
      <w:r w:rsidR="005E1C7E" w:rsidRPr="00DE12A3">
        <w:rPr>
          <w:color w:val="auto"/>
          <w:sz w:val="24"/>
          <w:szCs w:val="24"/>
        </w:rPr>
        <w:t>numaralı</w:t>
      </w:r>
      <w:r w:rsidR="005E1C7E" w:rsidRPr="00DE12A3" w:rsidDel="005E1C7E">
        <w:rPr>
          <w:color w:val="auto"/>
          <w:sz w:val="24"/>
          <w:szCs w:val="24"/>
        </w:rPr>
        <w:t xml:space="preserve"> </w:t>
      </w:r>
      <w:r w:rsidR="00242DA0" w:rsidRPr="00DE12A3">
        <w:rPr>
          <w:color w:val="auto"/>
          <w:sz w:val="24"/>
          <w:szCs w:val="24"/>
        </w:rPr>
        <w:t xml:space="preserve"> denklem ile belirlenmelidir:</w:t>
      </w:r>
    </w:p>
    <w:p w14:paraId="67F465B7" w14:textId="77777777" w:rsidR="002D7B36" w:rsidRPr="00DE12A3" w:rsidRDefault="002D7B36" w:rsidP="00C917D6">
      <w:pPr>
        <w:pStyle w:val="Gvdemetni2511"/>
        <w:shd w:val="clear" w:color="auto" w:fill="auto"/>
        <w:spacing w:before="120" w:after="120" w:line="240" w:lineRule="auto"/>
        <w:ind w:left="1134" w:hanging="1134"/>
        <w:rPr>
          <w:color w:val="auto"/>
          <w:sz w:val="24"/>
          <w:szCs w:val="24"/>
          <w:vertAlign w:val="subscript"/>
          <w:lang w:eastAsia="en-US"/>
        </w:rPr>
      </w:pPr>
    </w:p>
    <w:p w14:paraId="25EF16CB" w14:textId="77777777" w:rsidR="002D7B36" w:rsidRPr="00DE12A3" w:rsidRDefault="00242DA0" w:rsidP="00C917D6">
      <w:pPr>
        <w:pStyle w:val="Gvdemetni2511"/>
        <w:shd w:val="clear" w:color="auto" w:fill="auto"/>
        <w:spacing w:before="120" w:after="120" w:line="240" w:lineRule="auto"/>
        <w:ind w:left="1134" w:hanging="1134"/>
        <w:rPr>
          <w:color w:val="auto"/>
          <w:sz w:val="24"/>
          <w:szCs w:val="24"/>
          <w:vertAlign w:val="subscript"/>
          <w:lang w:eastAsia="en-US"/>
        </w:rPr>
      </w:pPr>
      <w:r w:rsidRPr="00DE12A3">
        <w:rPr>
          <w:noProof/>
          <w:color w:val="auto"/>
          <w:sz w:val="24"/>
          <w:szCs w:val="24"/>
        </w:rPr>
        <w:drawing>
          <wp:anchor distT="0" distB="0" distL="114300" distR="114300" simplePos="0" relativeHeight="251638272" behindDoc="0" locked="0" layoutInCell="1" allowOverlap="1" wp14:anchorId="43D07B31" wp14:editId="14F3EECD">
            <wp:simplePos x="0" y="0"/>
            <wp:positionH relativeFrom="column">
              <wp:posOffset>800784</wp:posOffset>
            </wp:positionH>
            <wp:positionV relativeFrom="paragraph">
              <wp:posOffset>6692</wp:posOffset>
            </wp:positionV>
            <wp:extent cx="4238625" cy="393065"/>
            <wp:effectExtent l="0" t="0" r="13335" b="1270"/>
            <wp:wrapSquare wrapText="bothSides"/>
            <wp:docPr id="6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Picture 3"/>
                    <pic:cNvPicPr>
                      <a:picLocks noChangeAspect="1"/>
                    </pic:cNvPicPr>
                  </pic:nvPicPr>
                  <pic:blipFill>
                    <a:blip r:embed="rId81"/>
                    <a:stretch>
                      <a:fillRect/>
                    </a:stretch>
                  </pic:blipFill>
                  <pic:spPr>
                    <a:xfrm>
                      <a:off x="0" y="0"/>
                      <a:ext cx="4238625" cy="393065"/>
                    </a:xfrm>
                    <a:prstGeom prst="rect">
                      <a:avLst/>
                    </a:prstGeom>
                    <a:noFill/>
                    <a:ln>
                      <a:noFill/>
                    </a:ln>
                  </pic:spPr>
                </pic:pic>
              </a:graphicData>
            </a:graphic>
          </wp:anchor>
        </w:drawing>
      </w:r>
      <w:r w:rsidR="001A253A" w:rsidRPr="00DE12A3">
        <w:rPr>
          <w:color w:val="auto"/>
          <w:sz w:val="24"/>
          <w:szCs w:val="24"/>
          <w:vertAlign w:val="subscript"/>
          <w:lang w:eastAsia="en-US"/>
        </w:rPr>
        <w:t xml:space="preserve">                   </w:t>
      </w:r>
      <w:r w:rsidRPr="00DE12A3">
        <w:rPr>
          <w:color w:val="auto"/>
          <w:sz w:val="24"/>
          <w:szCs w:val="24"/>
          <w:vertAlign w:val="subscript"/>
          <w:lang w:eastAsia="en-US"/>
        </w:rPr>
        <w:t xml:space="preserve">                                                                         </w:t>
      </w:r>
      <w:r w:rsidRPr="00DE12A3">
        <w:rPr>
          <w:color w:val="auto"/>
          <w:sz w:val="24"/>
          <w:szCs w:val="24"/>
          <w:vertAlign w:val="subscript"/>
          <w:lang w:eastAsia="en-US"/>
        </w:rPr>
        <w:tab/>
        <w:t xml:space="preserve">                                                                     </w:t>
      </w:r>
    </w:p>
    <w:p w14:paraId="604A2024" w14:textId="77777777" w:rsidR="002D7B36" w:rsidRPr="00DE12A3" w:rsidRDefault="001A253A" w:rsidP="0066751C">
      <w:pPr>
        <w:pStyle w:val="Gvdemetni2511"/>
        <w:shd w:val="clear" w:color="auto" w:fill="auto"/>
        <w:spacing w:before="120" w:after="120" w:line="240" w:lineRule="auto"/>
        <w:ind w:firstLine="709"/>
        <w:rPr>
          <w:color w:val="auto"/>
          <w:sz w:val="24"/>
          <w:szCs w:val="24"/>
        </w:rPr>
      </w:pPr>
      <w:r w:rsidRPr="00DE12A3">
        <w:rPr>
          <w:color w:val="auto"/>
          <w:sz w:val="24"/>
          <w:szCs w:val="24"/>
        </w:rPr>
        <w:t>B</w:t>
      </w:r>
      <w:r w:rsidR="00242DA0" w:rsidRPr="00DE12A3">
        <w:rPr>
          <w:color w:val="auto"/>
          <w:sz w:val="24"/>
          <w:szCs w:val="24"/>
        </w:rPr>
        <w:t>urada:</w:t>
      </w:r>
    </w:p>
    <w:p w14:paraId="16C00057" w14:textId="7276B0E2" w:rsidR="002D7B36" w:rsidRPr="00DE12A3" w:rsidRDefault="00242DA0" w:rsidP="00C917D6">
      <w:pPr>
        <w:pStyle w:val="Gvdemetni2511"/>
        <w:shd w:val="clear" w:color="auto" w:fill="auto"/>
        <w:spacing w:before="120" w:after="120" w:line="240" w:lineRule="auto"/>
        <w:ind w:left="1134" w:firstLine="0"/>
        <w:rPr>
          <w:color w:val="auto"/>
          <w:sz w:val="24"/>
          <w:szCs w:val="24"/>
        </w:rPr>
      </w:pPr>
      <w:r w:rsidRPr="00DE12A3">
        <w:rPr>
          <w:color w:val="auto"/>
          <w:sz w:val="24"/>
          <w:szCs w:val="24"/>
        </w:rPr>
        <w:t>u</w:t>
      </w:r>
      <w:r w:rsidRPr="00DE12A3">
        <w:rPr>
          <w:color w:val="auto"/>
          <w:sz w:val="24"/>
          <w:szCs w:val="24"/>
          <w:vertAlign w:val="subscript"/>
        </w:rPr>
        <w:t>gas</w:t>
      </w:r>
      <w:r w:rsidRPr="00DE12A3">
        <w:rPr>
          <w:color w:val="auto"/>
          <w:sz w:val="24"/>
          <w:szCs w:val="24"/>
        </w:rPr>
        <w:t xml:space="preserve">, Tablo 7.2'de verilen veya (7-34) </w:t>
      </w:r>
      <w:r w:rsidR="005E1C7E" w:rsidRPr="00DE12A3">
        <w:rPr>
          <w:color w:val="auto"/>
          <w:sz w:val="24"/>
          <w:szCs w:val="24"/>
        </w:rPr>
        <w:t>numaralı</w:t>
      </w:r>
      <w:r w:rsidRPr="00DE12A3">
        <w:rPr>
          <w:color w:val="auto"/>
          <w:sz w:val="24"/>
          <w:szCs w:val="24"/>
        </w:rPr>
        <w:t xml:space="preserve"> denklem ile hesaplanan egzoz gazı bileşeninin yoğunluğu ile hava yoğunluğu arasındaki orandır [-]</w:t>
      </w:r>
    </w:p>
    <w:p w14:paraId="5ED9B55D" w14:textId="77777777" w:rsidR="002D7B36" w:rsidRPr="00DE12A3" w:rsidRDefault="00242DA0" w:rsidP="00C917D6">
      <w:pPr>
        <w:pStyle w:val="Gvdemetni2511"/>
        <w:shd w:val="clear" w:color="auto" w:fill="auto"/>
        <w:tabs>
          <w:tab w:val="left" w:pos="6240"/>
        </w:tabs>
        <w:spacing w:before="120" w:after="120" w:line="240" w:lineRule="auto"/>
        <w:ind w:left="1134" w:rightChars="-20" w:right="-48" w:firstLine="0"/>
        <w:rPr>
          <w:color w:val="auto"/>
          <w:sz w:val="24"/>
          <w:szCs w:val="24"/>
        </w:rPr>
      </w:pPr>
      <w:r w:rsidRPr="00DE12A3">
        <w:rPr>
          <w:i/>
          <w:iCs/>
          <w:color w:val="auto"/>
          <w:sz w:val="24"/>
          <w:szCs w:val="24"/>
        </w:rPr>
        <w:t>c</w:t>
      </w:r>
      <w:r w:rsidRPr="00DE12A3">
        <w:rPr>
          <w:color w:val="auto"/>
          <w:sz w:val="24"/>
          <w:szCs w:val="24"/>
          <w:vertAlign w:val="subscript"/>
        </w:rPr>
        <w:t>gas</w:t>
      </w:r>
      <w:r w:rsidRPr="00DE12A3">
        <w:rPr>
          <w:color w:val="auto"/>
          <w:sz w:val="24"/>
          <w:szCs w:val="24"/>
        </w:rPr>
        <w:t xml:space="preserve"> = bileşenin yaş bazda sırasıyla [ppm] veya [% hacim] bazında düzeltilmiş ortalama arka plan konsantrasyonu</w:t>
      </w:r>
    </w:p>
    <w:p w14:paraId="610F8D9F" w14:textId="77777777" w:rsidR="002D7B36" w:rsidRPr="00DE12A3" w:rsidRDefault="00242DA0" w:rsidP="00C917D6">
      <w:pPr>
        <w:pStyle w:val="Gvdemetni2511"/>
        <w:shd w:val="clear" w:color="auto" w:fill="auto"/>
        <w:tabs>
          <w:tab w:val="left" w:pos="6240"/>
        </w:tabs>
        <w:spacing w:before="120" w:after="120" w:line="240" w:lineRule="auto"/>
        <w:ind w:left="1134" w:rightChars="-20" w:right="-48" w:firstLine="0"/>
        <w:rPr>
          <w:color w:val="auto"/>
          <w:sz w:val="24"/>
          <w:szCs w:val="24"/>
        </w:rPr>
      </w:pPr>
      <w:r w:rsidRPr="00DE12A3">
        <w:rPr>
          <w:i/>
          <w:iCs/>
          <w:color w:val="auto"/>
          <w:sz w:val="24"/>
          <w:szCs w:val="24"/>
        </w:rPr>
        <w:t>k</w:t>
      </w:r>
      <w:r w:rsidRPr="00DE12A3">
        <w:rPr>
          <w:color w:val="auto"/>
          <w:sz w:val="24"/>
          <w:szCs w:val="24"/>
          <w:vertAlign w:val="subscript"/>
        </w:rPr>
        <w:t>h</w:t>
      </w:r>
      <w:r w:rsidRPr="00DE12A3">
        <w:rPr>
          <w:color w:val="auto"/>
          <w:sz w:val="24"/>
          <w:szCs w:val="24"/>
        </w:rPr>
        <w:t xml:space="preserve"> = NO</w:t>
      </w:r>
      <w:r w:rsidRPr="00DE12A3">
        <w:rPr>
          <w:color w:val="auto"/>
          <w:sz w:val="24"/>
          <w:szCs w:val="24"/>
          <w:vertAlign w:val="subscript"/>
        </w:rPr>
        <w:t>x</w:t>
      </w:r>
      <w:r w:rsidRPr="00DE12A3">
        <w:rPr>
          <w:color w:val="auto"/>
          <w:sz w:val="24"/>
          <w:szCs w:val="24"/>
        </w:rPr>
        <w:t xml:space="preserve"> düzeltme faktörü [-], sadece NO</w:t>
      </w:r>
      <w:r w:rsidRPr="00DE12A3">
        <w:rPr>
          <w:color w:val="auto"/>
          <w:sz w:val="24"/>
          <w:szCs w:val="24"/>
          <w:vertAlign w:val="subscript"/>
        </w:rPr>
        <w:t>x</w:t>
      </w:r>
      <w:r w:rsidRPr="00DE12A3">
        <w:rPr>
          <w:color w:val="auto"/>
          <w:sz w:val="24"/>
          <w:szCs w:val="24"/>
        </w:rPr>
        <w:t xml:space="preserve"> emisyonu hesaplaması için uygulanır</w:t>
      </w:r>
    </w:p>
    <w:p w14:paraId="2CB8E8A0" w14:textId="77777777" w:rsidR="002D7B36" w:rsidRPr="00DE12A3" w:rsidRDefault="00242DA0" w:rsidP="00C917D6">
      <w:pPr>
        <w:pStyle w:val="Gvdemetni2511"/>
        <w:shd w:val="clear" w:color="auto" w:fill="auto"/>
        <w:tabs>
          <w:tab w:val="left" w:pos="6240"/>
        </w:tabs>
        <w:spacing w:before="120" w:after="120" w:line="240" w:lineRule="auto"/>
        <w:ind w:left="1134" w:rightChars="-20" w:right="-48" w:firstLine="0"/>
        <w:rPr>
          <w:color w:val="auto"/>
          <w:sz w:val="24"/>
          <w:szCs w:val="24"/>
        </w:rPr>
      </w:pPr>
      <w:r w:rsidRPr="00DE12A3">
        <w:rPr>
          <w:i/>
          <w:iCs/>
          <w:color w:val="auto"/>
          <w:sz w:val="24"/>
          <w:szCs w:val="24"/>
        </w:rPr>
        <w:t>c</w:t>
      </w:r>
      <w:r w:rsidRPr="00DE12A3">
        <w:rPr>
          <w:color w:val="auto"/>
          <w:sz w:val="24"/>
          <w:szCs w:val="24"/>
          <w:vertAlign w:val="subscript"/>
        </w:rPr>
        <w:t>gasr,w,i</w:t>
      </w:r>
      <w:r w:rsidRPr="00DE12A3">
        <w:rPr>
          <w:color w:val="auto"/>
          <w:sz w:val="24"/>
          <w:szCs w:val="24"/>
        </w:rPr>
        <w:t xml:space="preserve"> [ppm] için </w:t>
      </w:r>
      <w:r w:rsidRPr="00DE12A3">
        <w:rPr>
          <w:i/>
          <w:iCs/>
          <w:color w:val="auto"/>
          <w:sz w:val="24"/>
          <w:szCs w:val="24"/>
        </w:rPr>
        <w:t>k</w:t>
      </w:r>
      <w:r w:rsidRPr="00DE12A3">
        <w:rPr>
          <w:color w:val="auto"/>
          <w:sz w:val="24"/>
          <w:szCs w:val="24"/>
        </w:rPr>
        <w:t xml:space="preserve"> = 1, </w:t>
      </w:r>
      <w:r w:rsidRPr="00DE12A3">
        <w:rPr>
          <w:i/>
          <w:iCs/>
          <w:color w:val="auto"/>
          <w:sz w:val="24"/>
          <w:szCs w:val="24"/>
        </w:rPr>
        <w:t>c</w:t>
      </w:r>
      <w:r w:rsidRPr="00DE12A3">
        <w:rPr>
          <w:color w:val="auto"/>
          <w:sz w:val="24"/>
          <w:szCs w:val="24"/>
          <w:vertAlign w:val="subscript"/>
        </w:rPr>
        <w:t>gasr,w,i</w:t>
      </w:r>
      <w:r w:rsidRPr="00DE12A3">
        <w:rPr>
          <w:color w:val="auto"/>
          <w:sz w:val="24"/>
          <w:szCs w:val="24"/>
        </w:rPr>
        <w:t xml:space="preserve"> [% hacim] için </w:t>
      </w:r>
      <w:r w:rsidRPr="00DE12A3">
        <w:rPr>
          <w:i/>
          <w:iCs/>
          <w:color w:val="auto"/>
          <w:sz w:val="24"/>
          <w:szCs w:val="24"/>
        </w:rPr>
        <w:t>k</w:t>
      </w:r>
      <w:r w:rsidRPr="00DE12A3">
        <w:rPr>
          <w:color w:val="auto"/>
          <w:sz w:val="24"/>
          <w:szCs w:val="24"/>
        </w:rPr>
        <w:t xml:space="preserve"> = 10000</w:t>
      </w:r>
    </w:p>
    <w:p w14:paraId="4CC11020" w14:textId="77777777" w:rsidR="002D7B36" w:rsidRPr="00DE12A3" w:rsidRDefault="00242DA0" w:rsidP="00C917D6">
      <w:pPr>
        <w:pStyle w:val="Gvdemetni2511"/>
        <w:shd w:val="clear" w:color="auto" w:fill="auto"/>
        <w:tabs>
          <w:tab w:val="left" w:pos="6240"/>
        </w:tabs>
        <w:spacing w:before="120" w:after="120" w:line="240" w:lineRule="auto"/>
        <w:ind w:left="1134" w:rightChars="-20" w:right="-48" w:firstLine="0"/>
        <w:rPr>
          <w:color w:val="auto"/>
          <w:sz w:val="24"/>
          <w:szCs w:val="24"/>
        </w:rPr>
      </w:pPr>
      <w:r w:rsidRPr="00DE12A3">
        <w:rPr>
          <w:rStyle w:val="Gvdemetni254pttalik0ptbolukbraklyor28"/>
          <w:color w:val="auto"/>
          <w:sz w:val="24"/>
          <w:szCs w:val="24"/>
        </w:rPr>
        <w:t>m</w:t>
      </w:r>
      <w:r w:rsidRPr="00DE12A3">
        <w:rPr>
          <w:rStyle w:val="Gvdemetni254pttalik0ptbolukbraklyor28"/>
          <w:color w:val="auto"/>
          <w:sz w:val="24"/>
          <w:szCs w:val="24"/>
          <w:vertAlign w:val="subscript"/>
        </w:rPr>
        <w:t>ed</w:t>
      </w:r>
      <w:r w:rsidRPr="00DE12A3">
        <w:rPr>
          <w:color w:val="auto"/>
          <w:sz w:val="24"/>
          <w:szCs w:val="24"/>
        </w:rPr>
        <w:t xml:space="preserve"> = </w:t>
      </w:r>
      <w:r w:rsidR="00F310B5" w:rsidRPr="00DE12A3">
        <w:rPr>
          <w:color w:val="auto"/>
          <w:sz w:val="24"/>
          <w:szCs w:val="24"/>
        </w:rPr>
        <w:t>çevrim</w:t>
      </w:r>
      <w:r w:rsidRPr="00DE12A3">
        <w:rPr>
          <w:color w:val="auto"/>
          <w:sz w:val="24"/>
          <w:szCs w:val="24"/>
        </w:rPr>
        <w:t xml:space="preserve"> boyunca toplam seyreltilmiş egzoz gazı kütlesi [kg/test]</w:t>
      </w:r>
    </w:p>
    <w:p w14:paraId="323640EB" w14:textId="77777777" w:rsidR="007C432A" w:rsidRPr="00DE12A3" w:rsidRDefault="00242DA0" w:rsidP="00C917D6">
      <w:pPr>
        <w:pStyle w:val="Gvdemetni2511"/>
        <w:shd w:val="clear" w:color="auto" w:fill="auto"/>
        <w:tabs>
          <w:tab w:val="left" w:pos="6240"/>
        </w:tabs>
        <w:spacing w:before="120" w:after="120" w:line="240" w:lineRule="auto"/>
        <w:ind w:left="1134" w:rightChars="-20" w:right="-48" w:firstLine="0"/>
        <w:rPr>
          <w:color w:val="auto"/>
          <w:sz w:val="24"/>
          <w:szCs w:val="24"/>
        </w:rPr>
      </w:pPr>
      <w:r w:rsidRPr="00DE12A3">
        <w:rPr>
          <w:color w:val="auto"/>
          <w:sz w:val="24"/>
          <w:szCs w:val="24"/>
        </w:rPr>
        <w:t xml:space="preserve">Akış dengelemeli (ısı eşanjörsüz) sistemler için, kirleticilerin kütlesi </w:t>
      </w:r>
      <w:r w:rsidRPr="00DE12A3">
        <w:rPr>
          <w:i/>
          <w:iCs/>
          <w:color w:val="auto"/>
          <w:sz w:val="24"/>
          <w:szCs w:val="24"/>
        </w:rPr>
        <w:t>m</w:t>
      </w:r>
      <w:r w:rsidRPr="00DE12A3">
        <w:rPr>
          <w:color w:val="auto"/>
          <w:sz w:val="24"/>
          <w:szCs w:val="24"/>
          <w:vertAlign w:val="subscript"/>
        </w:rPr>
        <w:t>gas</w:t>
      </w:r>
      <w:r w:rsidRPr="00DE12A3">
        <w:rPr>
          <w:color w:val="auto"/>
          <w:sz w:val="24"/>
          <w:szCs w:val="24"/>
        </w:rPr>
        <w:t xml:space="preserve"> [g/test], </w:t>
      </w:r>
    </w:p>
    <w:p w14:paraId="585F30FC" w14:textId="77777777" w:rsidR="007C432A" w:rsidRPr="00DE12A3" w:rsidRDefault="007C432A" w:rsidP="00C917D6">
      <w:pPr>
        <w:pStyle w:val="Gvdemetni2511"/>
        <w:shd w:val="clear" w:color="auto" w:fill="auto"/>
        <w:tabs>
          <w:tab w:val="left" w:pos="6240"/>
        </w:tabs>
        <w:spacing w:before="120" w:after="120" w:line="240" w:lineRule="auto"/>
        <w:ind w:left="1134" w:rightChars="-20" w:right="-48" w:firstLine="0"/>
        <w:rPr>
          <w:color w:val="auto"/>
          <w:sz w:val="24"/>
          <w:szCs w:val="24"/>
        </w:rPr>
      </w:pPr>
    </w:p>
    <w:p w14:paraId="17FE2B44" w14:textId="77777777" w:rsidR="007C432A" w:rsidRPr="00DE12A3" w:rsidRDefault="007C432A" w:rsidP="007C432A">
      <w:pPr>
        <w:pStyle w:val="Gvdemetni2511"/>
        <w:shd w:val="clear" w:color="auto" w:fill="auto"/>
        <w:tabs>
          <w:tab w:val="left" w:pos="6240"/>
        </w:tabs>
        <w:spacing w:before="120" w:after="120" w:line="240" w:lineRule="auto"/>
        <w:ind w:left="1134" w:rightChars="-20" w:right="-48" w:firstLine="0"/>
        <w:rPr>
          <w:color w:val="auto"/>
          <w:sz w:val="24"/>
          <w:szCs w:val="24"/>
        </w:rPr>
      </w:pPr>
      <w:r w:rsidRPr="00DE12A3">
        <w:rPr>
          <w:color w:val="auto"/>
          <w:sz w:val="24"/>
          <w:szCs w:val="24"/>
        </w:rPr>
        <w:t>Anlık kütle emisyonlarının hesaplanması, toplanması ve (7-24) numaralı</w:t>
      </w:r>
      <w:r w:rsidRPr="00DE12A3" w:rsidDel="005E1C7E">
        <w:rPr>
          <w:color w:val="auto"/>
          <w:sz w:val="24"/>
          <w:szCs w:val="24"/>
        </w:rPr>
        <w:t xml:space="preserve"> </w:t>
      </w:r>
      <w:r w:rsidRPr="00DE12A3">
        <w:rPr>
          <w:color w:val="auto"/>
          <w:sz w:val="24"/>
          <w:szCs w:val="24"/>
        </w:rPr>
        <w:t>denklem aracılığıyla arka plan düzeltmesi ile belirlenmelidir:</w:t>
      </w:r>
    </w:p>
    <w:p w14:paraId="7C54D9F7" w14:textId="77777777" w:rsidR="007C432A" w:rsidRPr="00DE12A3" w:rsidRDefault="007C432A" w:rsidP="00C917D6">
      <w:pPr>
        <w:pStyle w:val="Gvdemetni2511"/>
        <w:shd w:val="clear" w:color="auto" w:fill="auto"/>
        <w:tabs>
          <w:tab w:val="left" w:pos="6240"/>
        </w:tabs>
        <w:spacing w:before="120" w:after="120" w:line="240" w:lineRule="auto"/>
        <w:ind w:left="1134" w:rightChars="-20" w:right="-48" w:firstLine="0"/>
        <w:rPr>
          <w:color w:val="auto"/>
          <w:sz w:val="24"/>
          <w:szCs w:val="24"/>
        </w:rPr>
      </w:pPr>
    </w:p>
    <w:p w14:paraId="11E0832A" w14:textId="77777777" w:rsidR="007C432A" w:rsidRPr="00DE12A3" w:rsidRDefault="007C432A" w:rsidP="00C917D6">
      <w:pPr>
        <w:pStyle w:val="Gvdemetni2511"/>
        <w:shd w:val="clear" w:color="auto" w:fill="auto"/>
        <w:tabs>
          <w:tab w:val="left" w:pos="6240"/>
        </w:tabs>
        <w:spacing w:before="120" w:after="120" w:line="240" w:lineRule="auto"/>
        <w:ind w:left="1134" w:rightChars="-20" w:right="-48" w:firstLine="0"/>
        <w:rPr>
          <w:color w:val="auto"/>
          <w:sz w:val="24"/>
          <w:szCs w:val="24"/>
        </w:rPr>
      </w:pPr>
    </w:p>
    <w:p w14:paraId="4BEC8215" w14:textId="202182C0" w:rsidR="002D7B36" w:rsidRPr="00DE12A3" w:rsidRDefault="00242DA0" w:rsidP="00C917D6">
      <w:pPr>
        <w:pStyle w:val="Gvdemetni2511"/>
        <w:shd w:val="clear" w:color="auto" w:fill="auto"/>
        <w:tabs>
          <w:tab w:val="left" w:pos="6240"/>
        </w:tabs>
        <w:spacing w:before="120" w:after="120" w:line="240" w:lineRule="auto"/>
        <w:ind w:left="12" w:rightChars="-20" w:right="-48" w:hangingChars="5" w:hanging="12"/>
        <w:rPr>
          <w:color w:val="auto"/>
          <w:sz w:val="24"/>
          <w:szCs w:val="24"/>
          <w:lang w:eastAsia="en-US"/>
        </w:rPr>
      </w:pPr>
      <w:r w:rsidRPr="00DE12A3">
        <w:rPr>
          <w:noProof/>
          <w:color w:val="auto"/>
          <w:sz w:val="24"/>
          <w:szCs w:val="24"/>
        </w:rPr>
        <w:drawing>
          <wp:anchor distT="0" distB="0" distL="114300" distR="114300" simplePos="0" relativeHeight="251650560" behindDoc="0" locked="0" layoutInCell="1" allowOverlap="1" wp14:anchorId="60015C95" wp14:editId="6D1CDA27">
            <wp:simplePos x="0" y="0"/>
            <wp:positionH relativeFrom="column">
              <wp:posOffset>-51435</wp:posOffset>
            </wp:positionH>
            <wp:positionV relativeFrom="paragraph">
              <wp:posOffset>-311150</wp:posOffset>
            </wp:positionV>
            <wp:extent cx="5759450" cy="498475"/>
            <wp:effectExtent l="0" t="0" r="1270" b="15875"/>
            <wp:wrapSquare wrapText="bothSides"/>
            <wp:docPr id="8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Picture 7"/>
                    <pic:cNvPicPr>
                      <a:picLocks noChangeAspect="1"/>
                    </pic:cNvPicPr>
                  </pic:nvPicPr>
                  <pic:blipFill>
                    <a:blip r:embed="rId82"/>
                    <a:stretch>
                      <a:fillRect/>
                    </a:stretch>
                  </pic:blipFill>
                  <pic:spPr>
                    <a:xfrm>
                      <a:off x="0" y="0"/>
                      <a:ext cx="5759450" cy="498475"/>
                    </a:xfrm>
                    <a:prstGeom prst="rect">
                      <a:avLst/>
                    </a:prstGeom>
                    <a:noFill/>
                    <a:ln>
                      <a:noFill/>
                    </a:ln>
                  </pic:spPr>
                </pic:pic>
              </a:graphicData>
            </a:graphic>
          </wp:anchor>
        </w:drawing>
      </w:r>
    </w:p>
    <w:p w14:paraId="4B473F63" w14:textId="77777777" w:rsidR="002D7B36" w:rsidRPr="00DE12A3" w:rsidRDefault="00242DA0" w:rsidP="00C917D6">
      <w:pPr>
        <w:pStyle w:val="Gvdemetni2511"/>
        <w:shd w:val="clear" w:color="auto" w:fill="auto"/>
        <w:spacing w:before="120" w:after="120" w:line="240" w:lineRule="auto"/>
        <w:ind w:left="1134" w:rightChars="80" w:right="192" w:firstLine="0"/>
        <w:rPr>
          <w:color w:val="auto"/>
          <w:sz w:val="24"/>
          <w:szCs w:val="24"/>
        </w:rPr>
      </w:pPr>
      <w:r w:rsidRPr="00DE12A3">
        <w:rPr>
          <w:color w:val="auto"/>
          <w:sz w:val="24"/>
          <w:szCs w:val="24"/>
        </w:rPr>
        <w:t>Burada:</w:t>
      </w:r>
    </w:p>
    <w:p w14:paraId="0757980D" w14:textId="77777777" w:rsidR="002D7B36" w:rsidRPr="00DE12A3" w:rsidRDefault="00242DA0" w:rsidP="00C917D6">
      <w:pPr>
        <w:pStyle w:val="Gvdemetni2511"/>
        <w:shd w:val="clear" w:color="auto" w:fill="auto"/>
        <w:tabs>
          <w:tab w:val="left" w:pos="1276"/>
        </w:tabs>
        <w:spacing w:before="120" w:after="120" w:line="240" w:lineRule="auto"/>
        <w:ind w:left="1134" w:rightChars="80" w:right="192" w:firstLine="0"/>
        <w:rPr>
          <w:color w:val="auto"/>
          <w:sz w:val="24"/>
          <w:szCs w:val="24"/>
        </w:rPr>
      </w:pPr>
      <w:r w:rsidRPr="00DE12A3">
        <w:rPr>
          <w:rStyle w:val="Gvdemetni254pttalik0ptbolukbraklyor28"/>
          <w:color w:val="auto"/>
          <w:sz w:val="24"/>
          <w:szCs w:val="24"/>
        </w:rPr>
        <w:t>c</w:t>
      </w:r>
      <w:r w:rsidRPr="00DE12A3">
        <w:rPr>
          <w:color w:val="auto"/>
          <w:sz w:val="24"/>
          <w:szCs w:val="24"/>
          <w:vertAlign w:val="subscript"/>
        </w:rPr>
        <w:t>e</w:t>
      </w:r>
      <w:r w:rsidRPr="00DE12A3">
        <w:rPr>
          <w:color w:val="auto"/>
          <w:sz w:val="24"/>
          <w:szCs w:val="24"/>
        </w:rPr>
        <w:tab/>
        <w:t>=yaş bazda seyreltilmiş egzoz gazındaki emisyon konsantrasyonu [ppm] veya [% hacim]</w:t>
      </w:r>
    </w:p>
    <w:p w14:paraId="4670F174" w14:textId="77777777" w:rsidR="002D7B36" w:rsidRPr="00DE12A3" w:rsidRDefault="00242DA0" w:rsidP="00C917D6">
      <w:pPr>
        <w:pStyle w:val="Gvdemetni2511"/>
        <w:shd w:val="clear" w:color="auto" w:fill="auto"/>
        <w:tabs>
          <w:tab w:val="left" w:pos="1276"/>
        </w:tabs>
        <w:spacing w:before="120" w:after="120" w:line="240" w:lineRule="auto"/>
        <w:ind w:left="1134" w:rightChars="80" w:right="192" w:firstLine="0"/>
        <w:rPr>
          <w:color w:val="auto"/>
          <w:sz w:val="24"/>
          <w:szCs w:val="24"/>
        </w:rPr>
      </w:pPr>
      <w:r w:rsidRPr="00DE12A3">
        <w:rPr>
          <w:i/>
          <w:iCs/>
          <w:color w:val="auto"/>
          <w:sz w:val="24"/>
          <w:szCs w:val="24"/>
        </w:rPr>
        <w:t>c</w:t>
      </w:r>
      <w:r w:rsidRPr="00DE12A3">
        <w:rPr>
          <w:color w:val="auto"/>
          <w:sz w:val="24"/>
          <w:szCs w:val="24"/>
          <w:vertAlign w:val="subscript"/>
        </w:rPr>
        <w:t>d</w:t>
      </w:r>
      <w:r w:rsidRPr="00DE12A3">
        <w:rPr>
          <w:color w:val="auto"/>
          <w:sz w:val="24"/>
          <w:szCs w:val="24"/>
        </w:rPr>
        <w:tab/>
        <w:t>=yaş bazda seyreltme havasındaki emisyon konsantrasyonu [ppm] veya [% hacim]</w:t>
      </w:r>
    </w:p>
    <w:p w14:paraId="75EBDAF6" w14:textId="77777777" w:rsidR="002D7B36" w:rsidRPr="00DE12A3" w:rsidRDefault="00242DA0" w:rsidP="00C917D6">
      <w:pPr>
        <w:pStyle w:val="Gvdemetni2511"/>
        <w:shd w:val="clear" w:color="auto" w:fill="auto"/>
        <w:tabs>
          <w:tab w:val="left" w:pos="1134"/>
          <w:tab w:val="left" w:pos="1276"/>
          <w:tab w:val="left" w:pos="1418"/>
          <w:tab w:val="left" w:pos="1560"/>
        </w:tabs>
        <w:spacing w:before="120" w:after="120" w:line="240" w:lineRule="auto"/>
        <w:ind w:left="1134" w:rightChars="80" w:right="192" w:firstLine="0"/>
        <w:jc w:val="left"/>
        <w:rPr>
          <w:color w:val="auto"/>
          <w:sz w:val="24"/>
          <w:szCs w:val="24"/>
        </w:rPr>
      </w:pPr>
      <w:r w:rsidRPr="00DE12A3">
        <w:rPr>
          <w:i/>
          <w:iCs/>
          <w:color w:val="auto"/>
          <w:sz w:val="24"/>
          <w:szCs w:val="24"/>
        </w:rPr>
        <w:t>m</w:t>
      </w:r>
      <w:r w:rsidRPr="00DE12A3">
        <w:rPr>
          <w:color w:val="auto"/>
          <w:sz w:val="24"/>
          <w:szCs w:val="24"/>
          <w:vertAlign w:val="subscript"/>
        </w:rPr>
        <w:t>ed</w:t>
      </w:r>
      <w:r w:rsidRPr="00DE12A3">
        <w:rPr>
          <w:color w:val="auto"/>
          <w:sz w:val="24"/>
          <w:szCs w:val="24"/>
        </w:rPr>
        <w:t>,</w:t>
      </w:r>
      <w:r w:rsidR="001A253A" w:rsidRPr="00DE12A3">
        <w:rPr>
          <w:i/>
          <w:iCs/>
          <w:color w:val="auto"/>
          <w:sz w:val="24"/>
          <w:szCs w:val="24"/>
          <w:vertAlign w:val="subscript"/>
        </w:rPr>
        <w:t xml:space="preserve">I   </w:t>
      </w:r>
      <w:r w:rsidRPr="00DE12A3">
        <w:rPr>
          <w:color w:val="auto"/>
          <w:sz w:val="24"/>
          <w:szCs w:val="24"/>
        </w:rPr>
        <w:t>=</w:t>
      </w:r>
      <w:r w:rsidRPr="00DE12A3">
        <w:rPr>
          <w:i/>
          <w:iCs/>
          <w:color w:val="auto"/>
          <w:sz w:val="24"/>
          <w:szCs w:val="24"/>
        </w:rPr>
        <w:t>i</w:t>
      </w:r>
      <w:r w:rsidRPr="00DE12A3">
        <w:rPr>
          <w:color w:val="auto"/>
          <w:sz w:val="24"/>
          <w:szCs w:val="24"/>
        </w:rPr>
        <w:t xml:space="preserve"> zaman aralığında seyreltilmiş egzoz gazı kütlesi [kg]</w:t>
      </w:r>
    </w:p>
    <w:p w14:paraId="743BF7D0" w14:textId="77777777" w:rsidR="002D7B36" w:rsidRPr="00DE12A3" w:rsidRDefault="00242DA0" w:rsidP="00C917D6">
      <w:pPr>
        <w:pStyle w:val="Gvdemetni2511"/>
        <w:shd w:val="clear" w:color="auto" w:fill="auto"/>
        <w:tabs>
          <w:tab w:val="left" w:pos="1276"/>
          <w:tab w:val="left" w:pos="1367"/>
          <w:tab w:val="left" w:pos="1701"/>
          <w:tab w:val="right" w:pos="5666"/>
        </w:tabs>
        <w:spacing w:before="120" w:after="120" w:line="240" w:lineRule="auto"/>
        <w:ind w:left="1134" w:rightChars="80" w:right="192" w:firstLine="0"/>
        <w:jc w:val="left"/>
        <w:rPr>
          <w:color w:val="auto"/>
          <w:sz w:val="24"/>
          <w:szCs w:val="24"/>
        </w:rPr>
      </w:pPr>
      <w:r w:rsidRPr="00DE12A3">
        <w:rPr>
          <w:rStyle w:val="Gvdemetni254pttalik0ptbolukbraklyor28"/>
          <w:color w:val="auto"/>
          <w:sz w:val="24"/>
          <w:szCs w:val="24"/>
        </w:rPr>
        <w:t>m</w:t>
      </w:r>
      <w:r w:rsidRPr="00DE12A3">
        <w:rPr>
          <w:color w:val="auto"/>
          <w:sz w:val="24"/>
          <w:szCs w:val="24"/>
          <w:vertAlign w:val="subscript"/>
        </w:rPr>
        <w:t>ed</w:t>
      </w:r>
      <w:r w:rsidRPr="00DE12A3">
        <w:rPr>
          <w:color w:val="auto"/>
          <w:sz w:val="24"/>
          <w:szCs w:val="24"/>
        </w:rPr>
        <w:tab/>
        <w:t>=</w:t>
      </w:r>
      <w:r w:rsidRPr="00DE12A3">
        <w:rPr>
          <w:color w:val="auto"/>
          <w:sz w:val="24"/>
          <w:szCs w:val="24"/>
        </w:rPr>
        <w:tab/>
      </w:r>
      <w:r w:rsidR="00F310B5" w:rsidRPr="00DE12A3">
        <w:rPr>
          <w:color w:val="auto"/>
          <w:sz w:val="24"/>
          <w:szCs w:val="24"/>
        </w:rPr>
        <w:t>çevrim</w:t>
      </w:r>
      <w:r w:rsidRPr="00DE12A3">
        <w:rPr>
          <w:color w:val="auto"/>
          <w:sz w:val="24"/>
          <w:szCs w:val="24"/>
        </w:rPr>
        <w:t xml:space="preserve"> boyunca toplam seyreltilmiş egzoz gazı kütlesi [kg]</w:t>
      </w:r>
    </w:p>
    <w:p w14:paraId="3B9EEEDC" w14:textId="77777777" w:rsidR="002D7B36" w:rsidRPr="00DE12A3" w:rsidRDefault="00242DA0" w:rsidP="00C917D6">
      <w:pPr>
        <w:pStyle w:val="Gvdemetni2511"/>
        <w:shd w:val="clear" w:color="auto" w:fill="auto"/>
        <w:tabs>
          <w:tab w:val="left" w:pos="1276"/>
          <w:tab w:val="left" w:pos="1367"/>
        </w:tabs>
        <w:spacing w:before="120" w:after="120" w:line="240" w:lineRule="auto"/>
        <w:ind w:left="1134" w:rightChars="80" w:right="192" w:firstLine="0"/>
        <w:rPr>
          <w:color w:val="auto"/>
          <w:sz w:val="24"/>
          <w:szCs w:val="24"/>
        </w:rPr>
      </w:pPr>
      <w:r w:rsidRPr="00DE12A3">
        <w:rPr>
          <w:i/>
          <w:iCs/>
          <w:color w:val="auto"/>
          <w:sz w:val="24"/>
          <w:szCs w:val="24"/>
        </w:rPr>
        <w:t>u</w:t>
      </w:r>
      <w:r w:rsidRPr="00DE12A3">
        <w:rPr>
          <w:color w:val="auto"/>
          <w:sz w:val="24"/>
          <w:szCs w:val="24"/>
          <w:vertAlign w:val="subscript"/>
        </w:rPr>
        <w:t>gas</w:t>
      </w:r>
      <w:r w:rsidRPr="00DE12A3">
        <w:rPr>
          <w:color w:val="auto"/>
          <w:sz w:val="24"/>
          <w:szCs w:val="24"/>
        </w:rPr>
        <w:tab/>
        <w:t>=</w:t>
      </w:r>
      <w:r w:rsidRPr="00DE12A3">
        <w:rPr>
          <w:color w:val="auto"/>
          <w:sz w:val="24"/>
          <w:szCs w:val="24"/>
        </w:rPr>
        <w:tab/>
        <w:t>Tablo 7.2'deki tablo değeri [-]</w:t>
      </w:r>
    </w:p>
    <w:p w14:paraId="5B3E30FB" w14:textId="214623CD" w:rsidR="002D7B36" w:rsidRPr="00DE12A3" w:rsidRDefault="00242DA0" w:rsidP="00C917D6">
      <w:pPr>
        <w:pStyle w:val="Gvdemetni2511"/>
        <w:shd w:val="clear" w:color="auto" w:fill="auto"/>
        <w:tabs>
          <w:tab w:val="left" w:pos="1276"/>
          <w:tab w:val="left" w:pos="1367"/>
          <w:tab w:val="right" w:pos="4116"/>
        </w:tabs>
        <w:spacing w:before="120" w:after="120" w:line="240" w:lineRule="auto"/>
        <w:ind w:left="1134" w:rightChars="80" w:right="192" w:firstLine="0"/>
        <w:rPr>
          <w:color w:val="auto"/>
          <w:sz w:val="24"/>
          <w:szCs w:val="24"/>
        </w:rPr>
      </w:pPr>
      <w:r w:rsidRPr="00DE12A3">
        <w:rPr>
          <w:rStyle w:val="Gvdemetni254pttalik0ptbolukbraklyor28"/>
          <w:color w:val="auto"/>
          <w:sz w:val="24"/>
          <w:szCs w:val="24"/>
        </w:rPr>
        <w:t>D</w:t>
      </w:r>
      <w:r w:rsidRPr="00DE12A3">
        <w:rPr>
          <w:color w:val="auto"/>
          <w:sz w:val="24"/>
          <w:szCs w:val="24"/>
        </w:rPr>
        <w:tab/>
        <w:t>=</w:t>
      </w:r>
      <w:r w:rsidRPr="00DE12A3">
        <w:rPr>
          <w:color w:val="auto"/>
          <w:sz w:val="24"/>
          <w:szCs w:val="24"/>
        </w:rPr>
        <w:tab/>
        <w:t xml:space="preserve">seyreltme faktörü [bkz. 2.2.2.2 bendindeki (7-28) </w:t>
      </w:r>
      <w:r w:rsidR="005E1C7E" w:rsidRPr="00DE12A3">
        <w:rPr>
          <w:color w:val="auto"/>
          <w:sz w:val="24"/>
          <w:szCs w:val="24"/>
        </w:rPr>
        <w:t>numaralı</w:t>
      </w:r>
      <w:r w:rsidR="005E1C7E" w:rsidRPr="00DE12A3" w:rsidDel="005E1C7E">
        <w:rPr>
          <w:color w:val="auto"/>
          <w:sz w:val="24"/>
          <w:szCs w:val="24"/>
        </w:rPr>
        <w:t xml:space="preserve"> </w:t>
      </w:r>
      <w:r w:rsidRPr="00DE12A3">
        <w:rPr>
          <w:color w:val="auto"/>
          <w:sz w:val="24"/>
          <w:szCs w:val="24"/>
        </w:rPr>
        <w:t>denklem] [-]</w:t>
      </w:r>
    </w:p>
    <w:p w14:paraId="7BE9FCD3" w14:textId="77777777" w:rsidR="002D7B36" w:rsidRPr="00DE12A3" w:rsidRDefault="00242DA0" w:rsidP="00C917D6">
      <w:pPr>
        <w:pStyle w:val="Gvdemetni2511"/>
        <w:shd w:val="clear" w:color="auto" w:fill="auto"/>
        <w:tabs>
          <w:tab w:val="left" w:pos="1276"/>
          <w:tab w:val="left" w:pos="1367"/>
          <w:tab w:val="right" w:pos="4116"/>
          <w:tab w:val="right" w:pos="5666"/>
        </w:tabs>
        <w:spacing w:before="120" w:after="120" w:line="240" w:lineRule="auto"/>
        <w:ind w:left="1134" w:rightChars="80" w:right="192" w:firstLine="0"/>
        <w:rPr>
          <w:color w:val="auto"/>
          <w:sz w:val="24"/>
          <w:szCs w:val="24"/>
        </w:rPr>
      </w:pPr>
      <w:r w:rsidRPr="00DE12A3">
        <w:rPr>
          <w:i/>
          <w:iCs/>
          <w:color w:val="auto"/>
          <w:sz w:val="24"/>
          <w:szCs w:val="24"/>
        </w:rPr>
        <w:t>k</w:t>
      </w:r>
      <w:r w:rsidRPr="00DE12A3">
        <w:rPr>
          <w:color w:val="auto"/>
          <w:sz w:val="24"/>
          <w:szCs w:val="24"/>
          <w:vertAlign w:val="subscript"/>
        </w:rPr>
        <w:t>h</w:t>
      </w:r>
      <w:r w:rsidRPr="00DE12A3">
        <w:rPr>
          <w:color w:val="auto"/>
          <w:sz w:val="24"/>
          <w:szCs w:val="24"/>
        </w:rPr>
        <w:tab/>
        <w:t>=</w:t>
      </w:r>
      <w:r w:rsidRPr="00DE12A3">
        <w:rPr>
          <w:color w:val="auto"/>
          <w:sz w:val="24"/>
          <w:szCs w:val="24"/>
        </w:rPr>
        <w:tab/>
        <w:t>NO</w:t>
      </w:r>
      <w:r w:rsidRPr="00DE12A3">
        <w:rPr>
          <w:color w:val="auto"/>
          <w:sz w:val="24"/>
          <w:szCs w:val="24"/>
          <w:vertAlign w:val="subscript"/>
        </w:rPr>
        <w:t>x</w:t>
      </w:r>
      <w:r w:rsidRPr="00DE12A3">
        <w:rPr>
          <w:color w:val="auto"/>
          <w:sz w:val="24"/>
          <w:szCs w:val="24"/>
        </w:rPr>
        <w:t xml:space="preserve"> düzeltme faktörü [-], sadece NO</w:t>
      </w:r>
      <w:r w:rsidRPr="00DE12A3">
        <w:rPr>
          <w:color w:val="auto"/>
          <w:sz w:val="24"/>
          <w:szCs w:val="24"/>
          <w:vertAlign w:val="subscript"/>
        </w:rPr>
        <w:t>x</w:t>
      </w:r>
      <w:r w:rsidRPr="00DE12A3">
        <w:rPr>
          <w:color w:val="auto"/>
          <w:sz w:val="24"/>
          <w:szCs w:val="24"/>
        </w:rPr>
        <w:t xml:space="preserve"> emisyonu hesaplaması için uygulanır</w:t>
      </w:r>
    </w:p>
    <w:p w14:paraId="5A951D37" w14:textId="77777777" w:rsidR="002D7B36" w:rsidRPr="00DE12A3" w:rsidRDefault="00242DA0" w:rsidP="00C917D6">
      <w:pPr>
        <w:pStyle w:val="Gvdemetni2511"/>
        <w:shd w:val="clear" w:color="auto" w:fill="auto"/>
        <w:tabs>
          <w:tab w:val="left" w:pos="1276"/>
        </w:tabs>
        <w:spacing w:before="120" w:after="120" w:line="240" w:lineRule="auto"/>
        <w:ind w:left="1134" w:rightChars="80" w:right="192" w:firstLine="0"/>
        <w:rPr>
          <w:color w:val="auto"/>
          <w:sz w:val="24"/>
          <w:szCs w:val="24"/>
        </w:rPr>
      </w:pPr>
      <w:r w:rsidRPr="00DE12A3">
        <w:rPr>
          <w:rStyle w:val="Gvdemetni254pttalik0ptbolukbraklyor28"/>
          <w:color w:val="auto"/>
          <w:sz w:val="24"/>
          <w:szCs w:val="24"/>
        </w:rPr>
        <w:t xml:space="preserve">c </w:t>
      </w:r>
      <w:r w:rsidRPr="00DE12A3">
        <w:rPr>
          <w:rStyle w:val="Gvdemetni254pttalik0ptbolukbraklyor28"/>
          <w:i w:val="0"/>
          <w:iCs w:val="0"/>
          <w:color w:val="auto"/>
          <w:sz w:val="24"/>
          <w:szCs w:val="24"/>
        </w:rPr>
        <w:t>[ppm] için</w:t>
      </w:r>
      <w:r w:rsidRPr="00DE12A3">
        <w:rPr>
          <w:rStyle w:val="Gvdemetni254pttalik0ptbolukbraklyor28"/>
          <w:color w:val="auto"/>
          <w:sz w:val="24"/>
          <w:szCs w:val="24"/>
        </w:rPr>
        <w:t xml:space="preserve"> k</w:t>
      </w:r>
      <w:r w:rsidRPr="00DE12A3">
        <w:rPr>
          <w:rStyle w:val="Gvdemetni254pttalik0ptbolukbraklyor28"/>
          <w:i w:val="0"/>
          <w:iCs w:val="0"/>
          <w:color w:val="auto"/>
          <w:sz w:val="24"/>
          <w:szCs w:val="24"/>
        </w:rPr>
        <w:t xml:space="preserve"> = 1,</w:t>
      </w:r>
      <w:r w:rsidRPr="00DE12A3">
        <w:rPr>
          <w:rStyle w:val="Gvdemetni254pttalik0ptbolukbraklyor28"/>
          <w:color w:val="auto"/>
          <w:sz w:val="24"/>
          <w:szCs w:val="24"/>
        </w:rPr>
        <w:t xml:space="preserve"> c </w:t>
      </w:r>
      <w:r w:rsidRPr="00DE12A3">
        <w:rPr>
          <w:rStyle w:val="Gvdemetni254pttalik0ptbolukbraklyor28"/>
          <w:i w:val="0"/>
          <w:iCs w:val="0"/>
          <w:color w:val="auto"/>
          <w:sz w:val="24"/>
          <w:szCs w:val="24"/>
        </w:rPr>
        <w:t>[% hacim] için</w:t>
      </w:r>
      <w:r w:rsidRPr="00DE12A3">
        <w:rPr>
          <w:rStyle w:val="Gvdemetni254pttalik0ptbolukbraklyor28"/>
          <w:color w:val="auto"/>
          <w:sz w:val="24"/>
          <w:szCs w:val="24"/>
        </w:rPr>
        <w:t xml:space="preserve"> k </w:t>
      </w:r>
      <w:r w:rsidRPr="00DE12A3">
        <w:rPr>
          <w:rStyle w:val="Gvdemetni254pttalik0ptbolukbraklyor28"/>
          <w:i w:val="0"/>
          <w:iCs w:val="0"/>
          <w:color w:val="auto"/>
          <w:sz w:val="24"/>
          <w:szCs w:val="24"/>
        </w:rPr>
        <w:t>= 10000</w:t>
      </w:r>
    </w:p>
    <w:p w14:paraId="258EBCD8" w14:textId="77777777" w:rsidR="002D7B36" w:rsidRPr="00DE12A3" w:rsidRDefault="00242DA0" w:rsidP="00C917D6">
      <w:pPr>
        <w:pStyle w:val="Gvdemetni2511"/>
        <w:shd w:val="clear" w:color="auto" w:fill="auto"/>
        <w:spacing w:before="120" w:after="120" w:line="240" w:lineRule="auto"/>
        <w:ind w:left="1134" w:rightChars="80" w:right="192" w:firstLine="0"/>
        <w:rPr>
          <w:color w:val="auto"/>
          <w:sz w:val="24"/>
          <w:szCs w:val="24"/>
        </w:rPr>
      </w:pPr>
      <w:r w:rsidRPr="00DE12A3">
        <w:rPr>
          <w:color w:val="auto"/>
          <w:sz w:val="24"/>
          <w:szCs w:val="24"/>
        </w:rPr>
        <w:t>c</w:t>
      </w:r>
      <w:r w:rsidRPr="00DE12A3">
        <w:rPr>
          <w:color w:val="auto"/>
          <w:sz w:val="24"/>
          <w:szCs w:val="24"/>
          <w:vertAlign w:val="subscript"/>
        </w:rPr>
        <w:t>gas</w:t>
      </w:r>
      <w:r w:rsidRPr="00DE12A3">
        <w:rPr>
          <w:color w:val="auto"/>
          <w:sz w:val="24"/>
          <w:szCs w:val="24"/>
        </w:rPr>
        <w:t>, c</w:t>
      </w:r>
      <w:r w:rsidRPr="00DE12A3">
        <w:rPr>
          <w:color w:val="auto"/>
          <w:sz w:val="24"/>
          <w:szCs w:val="24"/>
          <w:vertAlign w:val="subscript"/>
        </w:rPr>
        <w:t>e</w:t>
      </w:r>
      <w:r w:rsidRPr="00DE12A3">
        <w:rPr>
          <w:color w:val="auto"/>
          <w:sz w:val="24"/>
          <w:szCs w:val="24"/>
        </w:rPr>
        <w:t xml:space="preserve"> ve c</w:t>
      </w:r>
      <w:r w:rsidRPr="00DE12A3">
        <w:rPr>
          <w:color w:val="auto"/>
          <w:sz w:val="24"/>
          <w:szCs w:val="24"/>
          <w:vertAlign w:val="subscript"/>
        </w:rPr>
        <w:t>d</w:t>
      </w:r>
      <w:r w:rsidRPr="00DE12A3">
        <w:rPr>
          <w:color w:val="auto"/>
          <w:sz w:val="24"/>
          <w:szCs w:val="24"/>
        </w:rPr>
        <w:t xml:space="preserve"> konsantrasyonları, ya toplu numune içinde ölçülen değerler olabilir (torba, ancak NO</w:t>
      </w:r>
      <w:r w:rsidRPr="00DE12A3">
        <w:rPr>
          <w:color w:val="auto"/>
          <w:sz w:val="24"/>
          <w:szCs w:val="24"/>
          <w:vertAlign w:val="subscript"/>
        </w:rPr>
        <w:t>x</w:t>
      </w:r>
      <w:r w:rsidRPr="00DE12A3">
        <w:rPr>
          <w:color w:val="auto"/>
          <w:sz w:val="24"/>
          <w:szCs w:val="24"/>
        </w:rPr>
        <w:t xml:space="preserve"> ve HC için izin verilmez) ya da sürekli ölçümlerden </w:t>
      </w:r>
      <w:r w:rsidRPr="00DE12A3">
        <w:rPr>
          <w:color w:val="auto"/>
          <w:sz w:val="24"/>
          <w:szCs w:val="24"/>
        </w:rPr>
        <w:lastRenderedPageBreak/>
        <w:t xml:space="preserve">toplanarak ortalaması alınmış olabilir. Ayrıca, test </w:t>
      </w:r>
      <w:r w:rsidR="00F310B5" w:rsidRPr="00DE12A3">
        <w:rPr>
          <w:color w:val="auto"/>
          <w:sz w:val="24"/>
          <w:szCs w:val="24"/>
        </w:rPr>
        <w:t>çevrimi</w:t>
      </w:r>
      <w:r w:rsidRPr="00DE12A3">
        <w:rPr>
          <w:color w:val="auto"/>
          <w:sz w:val="24"/>
          <w:szCs w:val="24"/>
        </w:rPr>
        <w:t xml:space="preserve"> boyunca birleştirilerek medi ortalaması alınmalıdır.</w:t>
      </w:r>
    </w:p>
    <w:p w14:paraId="6FEF7997" w14:textId="77777777" w:rsidR="002D7B36" w:rsidRPr="00DE12A3" w:rsidRDefault="00242DA0" w:rsidP="00C917D6">
      <w:pPr>
        <w:pStyle w:val="Gvdemetni2511"/>
        <w:shd w:val="clear" w:color="auto" w:fill="auto"/>
        <w:spacing w:before="120" w:after="120" w:line="240" w:lineRule="auto"/>
        <w:ind w:left="1134" w:rightChars="80" w:right="192" w:firstLine="0"/>
        <w:rPr>
          <w:color w:val="auto"/>
          <w:sz w:val="24"/>
          <w:szCs w:val="24"/>
        </w:rPr>
      </w:pPr>
      <w:r w:rsidRPr="00DE12A3">
        <w:rPr>
          <w:color w:val="auto"/>
          <w:sz w:val="24"/>
          <w:szCs w:val="24"/>
        </w:rPr>
        <w:t>Aşağıdaki denklemler gerekli miktarların (c</w:t>
      </w:r>
      <w:r w:rsidRPr="00DE12A3">
        <w:rPr>
          <w:color w:val="auto"/>
          <w:sz w:val="24"/>
          <w:szCs w:val="24"/>
          <w:vertAlign w:val="subscript"/>
        </w:rPr>
        <w:t>e</w:t>
      </w:r>
      <w:r w:rsidRPr="00DE12A3">
        <w:rPr>
          <w:color w:val="auto"/>
          <w:sz w:val="24"/>
          <w:szCs w:val="24"/>
        </w:rPr>
        <w:t>, u</w:t>
      </w:r>
      <w:r w:rsidRPr="00DE12A3">
        <w:rPr>
          <w:color w:val="auto"/>
          <w:sz w:val="24"/>
          <w:szCs w:val="24"/>
          <w:vertAlign w:val="subscript"/>
        </w:rPr>
        <w:t>gas</w:t>
      </w:r>
      <w:r w:rsidRPr="00DE12A3">
        <w:rPr>
          <w:color w:val="auto"/>
          <w:sz w:val="24"/>
          <w:szCs w:val="24"/>
        </w:rPr>
        <w:t xml:space="preserve"> ve </w:t>
      </w:r>
      <w:r w:rsidRPr="00DE12A3">
        <w:rPr>
          <w:rStyle w:val="Gvdemetni254pttalik0ptbolukbraklyor28"/>
          <w:color w:val="auto"/>
          <w:sz w:val="24"/>
          <w:szCs w:val="24"/>
        </w:rPr>
        <w:t>m</w:t>
      </w:r>
      <w:r w:rsidRPr="00DE12A3">
        <w:rPr>
          <w:color w:val="auto"/>
          <w:sz w:val="24"/>
          <w:szCs w:val="24"/>
          <w:vertAlign w:val="subscript"/>
        </w:rPr>
        <w:t>ed</w:t>
      </w:r>
      <w:r w:rsidRPr="00DE12A3">
        <w:rPr>
          <w:color w:val="auto"/>
          <w:sz w:val="24"/>
          <w:szCs w:val="24"/>
        </w:rPr>
        <w:t>) nasıl hesaplandığını göstermektedir.</w:t>
      </w:r>
    </w:p>
    <w:p w14:paraId="51188EDD" w14:textId="77777777" w:rsidR="002D7B36" w:rsidRPr="00DE12A3" w:rsidRDefault="001A253A" w:rsidP="00E20716">
      <w:pPr>
        <w:pStyle w:val="Gvdemetni2511"/>
        <w:numPr>
          <w:ilvl w:val="0"/>
          <w:numId w:val="399"/>
        </w:numPr>
        <w:shd w:val="clear" w:color="auto" w:fill="auto"/>
        <w:spacing w:before="120" w:after="120" w:line="240" w:lineRule="auto"/>
        <w:ind w:left="1134" w:rightChars="-20" w:right="-48" w:hanging="1134"/>
        <w:rPr>
          <w:color w:val="auto"/>
          <w:sz w:val="24"/>
          <w:szCs w:val="24"/>
        </w:rPr>
      </w:pPr>
      <w:r w:rsidRPr="00DE12A3">
        <w:rPr>
          <w:color w:val="auto"/>
          <w:sz w:val="24"/>
          <w:szCs w:val="24"/>
        </w:rPr>
        <w:t xml:space="preserve">       </w:t>
      </w:r>
      <w:r w:rsidR="00242DA0" w:rsidRPr="00DE12A3">
        <w:rPr>
          <w:color w:val="auto"/>
          <w:sz w:val="24"/>
          <w:szCs w:val="24"/>
        </w:rPr>
        <w:t>Kuru-yaş konsantrasyon dönüşümü</w:t>
      </w:r>
    </w:p>
    <w:p w14:paraId="362D9B9D" w14:textId="1AD8438B" w:rsidR="002D7B36" w:rsidRPr="00DE12A3" w:rsidRDefault="00242DA0" w:rsidP="00C917D6">
      <w:pPr>
        <w:pStyle w:val="Gvdemetni2511"/>
        <w:shd w:val="clear" w:color="auto" w:fill="auto"/>
        <w:spacing w:before="120" w:after="120" w:line="240" w:lineRule="auto"/>
        <w:ind w:left="1134" w:rightChars="-20" w:right="-48" w:firstLine="0"/>
        <w:rPr>
          <w:color w:val="auto"/>
          <w:sz w:val="24"/>
          <w:szCs w:val="24"/>
        </w:rPr>
      </w:pPr>
      <w:r w:rsidRPr="00DE12A3">
        <w:rPr>
          <w:color w:val="auto"/>
          <w:sz w:val="24"/>
          <w:szCs w:val="24"/>
        </w:rPr>
        <w:t xml:space="preserve">2.2.1 bendinde belirtilen, kuru ölçülen tüm konsantrasyonlar, (7-3) </w:t>
      </w:r>
      <w:r w:rsidR="005E1C7E" w:rsidRPr="00DE12A3">
        <w:rPr>
          <w:color w:val="auto"/>
          <w:sz w:val="24"/>
          <w:szCs w:val="24"/>
        </w:rPr>
        <w:t>numaralı</w:t>
      </w:r>
      <w:r w:rsidR="005E1C7E" w:rsidRPr="00DE12A3" w:rsidDel="005E1C7E">
        <w:rPr>
          <w:color w:val="auto"/>
          <w:sz w:val="24"/>
          <w:szCs w:val="24"/>
        </w:rPr>
        <w:t xml:space="preserve"> </w:t>
      </w:r>
      <w:r w:rsidRPr="00DE12A3">
        <w:rPr>
          <w:color w:val="auto"/>
          <w:sz w:val="24"/>
          <w:szCs w:val="24"/>
        </w:rPr>
        <w:t>denklem ile yaş baza dönüştürülmelidir.</w:t>
      </w:r>
    </w:p>
    <w:p w14:paraId="0EB79C06" w14:textId="77777777" w:rsidR="002D7B36" w:rsidRPr="00DE12A3" w:rsidRDefault="00242DA0" w:rsidP="00E20716">
      <w:pPr>
        <w:pStyle w:val="Gvdemetni2511"/>
        <w:numPr>
          <w:ilvl w:val="0"/>
          <w:numId w:val="400"/>
        </w:numPr>
        <w:shd w:val="clear" w:color="auto" w:fill="auto"/>
        <w:spacing w:before="120" w:after="120" w:line="240" w:lineRule="auto"/>
        <w:ind w:left="1134" w:rightChars="-20" w:right="-48" w:hanging="1134"/>
        <w:rPr>
          <w:color w:val="auto"/>
          <w:sz w:val="24"/>
          <w:szCs w:val="24"/>
        </w:rPr>
      </w:pPr>
      <w:r w:rsidRPr="00DE12A3">
        <w:rPr>
          <w:color w:val="auto"/>
          <w:sz w:val="24"/>
          <w:szCs w:val="24"/>
        </w:rPr>
        <w:t>Seyreltilmiş egzoz gazı</w:t>
      </w:r>
    </w:p>
    <w:p w14:paraId="34E93852" w14:textId="77777777" w:rsidR="002D7B36" w:rsidRPr="00DE12A3" w:rsidRDefault="00242DA0" w:rsidP="00C917D6">
      <w:pPr>
        <w:pStyle w:val="Gvdemetni2511"/>
        <w:shd w:val="clear" w:color="auto" w:fill="auto"/>
        <w:spacing w:before="120" w:after="120" w:line="240" w:lineRule="auto"/>
        <w:ind w:leftChars="468" w:left="1132" w:rightChars="-20" w:right="-48" w:hanging="9"/>
        <w:rPr>
          <w:color w:val="auto"/>
          <w:sz w:val="24"/>
          <w:szCs w:val="24"/>
        </w:rPr>
      </w:pPr>
      <w:r w:rsidRPr="00DE12A3">
        <w:rPr>
          <w:color w:val="auto"/>
          <w:sz w:val="24"/>
          <w:szCs w:val="24"/>
        </w:rPr>
        <w:t xml:space="preserve">Kuru konsantrasyonlar, aşağıdaki iki denklemden [(7-25) veya (7-26)] birinin </w:t>
      </w:r>
      <w:r w:rsidR="001A253A" w:rsidRPr="00DE12A3">
        <w:rPr>
          <w:color w:val="auto"/>
          <w:sz w:val="24"/>
          <w:szCs w:val="24"/>
        </w:rPr>
        <w:t xml:space="preserve"> </w:t>
      </w:r>
      <w:r w:rsidRPr="00DE12A3">
        <w:rPr>
          <w:color w:val="auto"/>
          <w:sz w:val="24"/>
          <w:szCs w:val="24"/>
        </w:rPr>
        <w:t xml:space="preserve"> uygulanmasıyla yaş konsantrasyonlara dönüştürülmelidir:</w:t>
      </w:r>
    </w:p>
    <w:p w14:paraId="722266B8" w14:textId="75476674" w:rsidR="002D7B36" w:rsidRPr="00DE12A3" w:rsidRDefault="00242DA0" w:rsidP="00C917D6">
      <w:pPr>
        <w:pStyle w:val="Gvdemetni2511"/>
        <w:shd w:val="clear" w:color="auto" w:fill="auto"/>
        <w:tabs>
          <w:tab w:val="left" w:pos="6240"/>
        </w:tabs>
        <w:spacing w:before="120" w:after="120" w:line="240" w:lineRule="auto"/>
        <w:ind w:left="12" w:rightChars="80" w:right="192" w:hangingChars="5" w:hanging="12"/>
        <w:rPr>
          <w:color w:val="auto"/>
          <w:sz w:val="24"/>
          <w:szCs w:val="24"/>
          <w:lang w:eastAsia="en-US"/>
        </w:rPr>
      </w:pPr>
      <w:r w:rsidRPr="00DE12A3">
        <w:rPr>
          <w:noProof/>
          <w:color w:val="auto"/>
          <w:sz w:val="24"/>
          <w:szCs w:val="24"/>
        </w:rPr>
        <w:drawing>
          <wp:anchor distT="0" distB="0" distL="114300" distR="114300" simplePos="0" relativeHeight="251654656" behindDoc="0" locked="0" layoutInCell="1" allowOverlap="1" wp14:anchorId="3A30BC64" wp14:editId="06EA0667">
            <wp:simplePos x="0" y="0"/>
            <wp:positionH relativeFrom="column">
              <wp:posOffset>51435</wp:posOffset>
            </wp:positionH>
            <wp:positionV relativeFrom="paragraph">
              <wp:posOffset>53340</wp:posOffset>
            </wp:positionV>
            <wp:extent cx="4392295" cy="504190"/>
            <wp:effectExtent l="0" t="0" r="13970" b="10160"/>
            <wp:wrapSquare wrapText="bothSides"/>
            <wp:docPr id="82"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Picture 8"/>
                    <pic:cNvPicPr>
                      <a:picLocks noChangeAspect="1"/>
                    </pic:cNvPicPr>
                  </pic:nvPicPr>
                  <pic:blipFill>
                    <a:blip r:embed="rId83"/>
                    <a:stretch>
                      <a:fillRect/>
                    </a:stretch>
                  </pic:blipFill>
                  <pic:spPr>
                    <a:xfrm>
                      <a:off x="0" y="0"/>
                      <a:ext cx="4392295" cy="504190"/>
                    </a:xfrm>
                    <a:prstGeom prst="rect">
                      <a:avLst/>
                    </a:prstGeom>
                    <a:noFill/>
                    <a:ln>
                      <a:noFill/>
                    </a:ln>
                  </pic:spPr>
                </pic:pic>
              </a:graphicData>
            </a:graphic>
          </wp:anchor>
        </w:drawing>
      </w:r>
    </w:p>
    <w:p w14:paraId="2CCBA53E" w14:textId="77777777" w:rsidR="002D7B36" w:rsidRPr="00DE12A3" w:rsidRDefault="002D7B36" w:rsidP="00C917D6">
      <w:pPr>
        <w:pStyle w:val="Gvdemetni2511"/>
        <w:shd w:val="clear" w:color="auto" w:fill="auto"/>
        <w:tabs>
          <w:tab w:val="left" w:pos="6240"/>
        </w:tabs>
        <w:spacing w:before="120" w:after="120" w:line="240" w:lineRule="auto"/>
        <w:ind w:left="12" w:rightChars="-20" w:right="-48" w:hangingChars="5" w:hanging="12"/>
        <w:rPr>
          <w:color w:val="auto"/>
          <w:sz w:val="24"/>
          <w:szCs w:val="24"/>
          <w:lang w:eastAsia="en-US"/>
        </w:rPr>
      </w:pPr>
    </w:p>
    <w:p w14:paraId="1B8F13DE" w14:textId="77777777" w:rsidR="002D7B36" w:rsidRPr="00DE12A3" w:rsidRDefault="002D7B36" w:rsidP="00C917D6">
      <w:pPr>
        <w:pStyle w:val="Gvdemetni2511"/>
        <w:shd w:val="clear" w:color="auto" w:fill="auto"/>
        <w:tabs>
          <w:tab w:val="left" w:pos="6240"/>
        </w:tabs>
        <w:spacing w:before="120" w:after="120" w:line="240" w:lineRule="auto"/>
        <w:ind w:left="12" w:rightChars="-20" w:right="-48" w:hangingChars="5" w:hanging="12"/>
        <w:rPr>
          <w:color w:val="auto"/>
          <w:sz w:val="24"/>
          <w:szCs w:val="24"/>
          <w:lang w:eastAsia="en-US"/>
        </w:rPr>
      </w:pPr>
    </w:p>
    <w:p w14:paraId="5AF9E50B" w14:textId="77777777" w:rsidR="002D7B36" w:rsidRPr="00DE12A3" w:rsidRDefault="00242DA0" w:rsidP="00C917D6">
      <w:pPr>
        <w:pStyle w:val="Gvdemetni2511"/>
        <w:shd w:val="clear" w:color="auto" w:fill="auto"/>
        <w:tabs>
          <w:tab w:val="left" w:pos="6240"/>
        </w:tabs>
        <w:spacing w:before="120" w:after="120" w:line="240" w:lineRule="auto"/>
        <w:ind w:left="12" w:rightChars="-20" w:right="-48" w:hangingChars="5" w:hanging="12"/>
        <w:jc w:val="center"/>
        <w:rPr>
          <w:color w:val="auto"/>
          <w:sz w:val="24"/>
          <w:szCs w:val="24"/>
          <w:lang w:eastAsia="en-US"/>
        </w:rPr>
      </w:pPr>
      <w:r w:rsidRPr="00DE12A3">
        <w:rPr>
          <w:color w:val="auto"/>
          <w:sz w:val="24"/>
          <w:szCs w:val="24"/>
          <w:lang w:eastAsia="en-US"/>
        </w:rPr>
        <w:t>veya</w:t>
      </w:r>
    </w:p>
    <w:p w14:paraId="3FD4B615" w14:textId="2A5171AA" w:rsidR="002D7B36" w:rsidRPr="00DE12A3" w:rsidRDefault="00242DA0" w:rsidP="00C917D6">
      <w:pPr>
        <w:pStyle w:val="Gvdemetni2511"/>
        <w:shd w:val="clear" w:color="auto" w:fill="auto"/>
        <w:tabs>
          <w:tab w:val="left" w:pos="6240"/>
        </w:tabs>
        <w:spacing w:before="120" w:after="120" w:line="240" w:lineRule="auto"/>
        <w:ind w:left="12" w:rightChars="-20" w:right="-48" w:hangingChars="5" w:hanging="12"/>
        <w:rPr>
          <w:color w:val="auto"/>
          <w:sz w:val="24"/>
          <w:szCs w:val="24"/>
          <w:lang w:eastAsia="en-US"/>
        </w:rPr>
      </w:pPr>
      <w:r w:rsidRPr="00DE12A3">
        <w:rPr>
          <w:noProof/>
          <w:color w:val="auto"/>
          <w:sz w:val="24"/>
          <w:szCs w:val="24"/>
        </w:rPr>
        <w:drawing>
          <wp:anchor distT="0" distB="0" distL="114300" distR="114300" simplePos="0" relativeHeight="251657728" behindDoc="0" locked="0" layoutInCell="1" allowOverlap="1" wp14:anchorId="0209DF92" wp14:editId="5B045730">
            <wp:simplePos x="0" y="0"/>
            <wp:positionH relativeFrom="column">
              <wp:posOffset>709930</wp:posOffset>
            </wp:positionH>
            <wp:positionV relativeFrom="paragraph">
              <wp:posOffset>36195</wp:posOffset>
            </wp:positionV>
            <wp:extent cx="4375150" cy="452755"/>
            <wp:effectExtent l="0" t="0" r="13970" b="10160"/>
            <wp:wrapSquare wrapText="bothSides"/>
            <wp:docPr id="85"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Picture 9"/>
                    <pic:cNvPicPr>
                      <a:picLocks noChangeAspect="1"/>
                    </pic:cNvPicPr>
                  </pic:nvPicPr>
                  <pic:blipFill>
                    <a:blip r:embed="rId84"/>
                    <a:stretch>
                      <a:fillRect/>
                    </a:stretch>
                  </pic:blipFill>
                  <pic:spPr>
                    <a:xfrm>
                      <a:off x="0" y="0"/>
                      <a:ext cx="4375150" cy="452755"/>
                    </a:xfrm>
                    <a:prstGeom prst="rect">
                      <a:avLst/>
                    </a:prstGeom>
                    <a:noFill/>
                    <a:ln>
                      <a:noFill/>
                    </a:ln>
                  </pic:spPr>
                </pic:pic>
              </a:graphicData>
            </a:graphic>
          </wp:anchor>
        </w:drawing>
      </w:r>
    </w:p>
    <w:p w14:paraId="5E5A0A5C" w14:textId="77777777" w:rsidR="002D7B36" w:rsidRPr="00DE12A3" w:rsidRDefault="002D7B36" w:rsidP="00C917D6">
      <w:pPr>
        <w:pStyle w:val="Gvdemetni2511"/>
        <w:shd w:val="clear" w:color="auto" w:fill="auto"/>
        <w:tabs>
          <w:tab w:val="left" w:pos="6240"/>
        </w:tabs>
        <w:spacing w:before="120" w:after="120" w:line="240" w:lineRule="auto"/>
        <w:ind w:left="12" w:rightChars="-20" w:right="-48" w:hangingChars="5" w:hanging="12"/>
        <w:rPr>
          <w:color w:val="auto"/>
          <w:sz w:val="24"/>
          <w:szCs w:val="24"/>
          <w:lang w:eastAsia="en-US"/>
        </w:rPr>
      </w:pPr>
    </w:p>
    <w:p w14:paraId="3F4C573E" w14:textId="77777777" w:rsidR="002D7B36" w:rsidRPr="00DE12A3" w:rsidRDefault="002D7B36" w:rsidP="00C917D6">
      <w:pPr>
        <w:pStyle w:val="Gvdemetni2511"/>
        <w:shd w:val="clear" w:color="auto" w:fill="auto"/>
        <w:tabs>
          <w:tab w:val="left" w:pos="6240"/>
        </w:tabs>
        <w:spacing w:before="120" w:after="120" w:line="240" w:lineRule="auto"/>
        <w:ind w:left="12" w:rightChars="-20" w:right="-48" w:hangingChars="5" w:hanging="12"/>
        <w:rPr>
          <w:color w:val="auto"/>
          <w:sz w:val="24"/>
          <w:szCs w:val="24"/>
          <w:lang w:eastAsia="en-US"/>
        </w:rPr>
      </w:pPr>
    </w:p>
    <w:p w14:paraId="6EBBCDF9" w14:textId="77777777" w:rsidR="002D7B36" w:rsidRPr="00DE12A3" w:rsidRDefault="001A253A" w:rsidP="00C917D6">
      <w:pPr>
        <w:pStyle w:val="Gvdemetni2511"/>
        <w:shd w:val="clear" w:color="auto" w:fill="auto"/>
        <w:spacing w:before="120" w:after="120" w:line="240" w:lineRule="auto"/>
        <w:ind w:left="1134" w:firstLine="0"/>
        <w:rPr>
          <w:color w:val="auto"/>
          <w:sz w:val="24"/>
          <w:szCs w:val="24"/>
        </w:rPr>
      </w:pPr>
      <w:r w:rsidRPr="00DE12A3">
        <w:rPr>
          <w:color w:val="auto"/>
          <w:sz w:val="24"/>
          <w:szCs w:val="24"/>
        </w:rPr>
        <w:t>B</w:t>
      </w:r>
      <w:r w:rsidR="00242DA0" w:rsidRPr="00DE12A3">
        <w:rPr>
          <w:color w:val="auto"/>
          <w:sz w:val="24"/>
          <w:szCs w:val="24"/>
        </w:rPr>
        <w:t>urada:</w:t>
      </w:r>
    </w:p>
    <w:p w14:paraId="35D9AB3D" w14:textId="77777777" w:rsidR="002D7B36" w:rsidRPr="00DE12A3" w:rsidRDefault="00242DA0" w:rsidP="00C917D6">
      <w:pPr>
        <w:pStyle w:val="Gvdemetni2511"/>
        <w:shd w:val="clear" w:color="auto" w:fill="auto"/>
        <w:spacing w:before="120" w:after="120" w:line="240" w:lineRule="auto"/>
        <w:ind w:left="1134" w:firstLine="0"/>
        <w:rPr>
          <w:color w:val="auto"/>
          <w:sz w:val="24"/>
          <w:szCs w:val="24"/>
        </w:rPr>
      </w:pPr>
      <w:r w:rsidRPr="00DE12A3">
        <w:rPr>
          <w:i/>
          <w:iCs/>
          <w:color w:val="auto"/>
          <w:spacing w:val="2"/>
          <w:sz w:val="24"/>
          <w:szCs w:val="24"/>
        </w:rPr>
        <w:t xml:space="preserve">a = </w:t>
      </w:r>
      <w:r w:rsidRPr="00DE12A3">
        <w:rPr>
          <w:color w:val="auto"/>
          <w:spacing w:val="2"/>
          <w:sz w:val="24"/>
          <w:szCs w:val="24"/>
        </w:rPr>
        <w:t>yakıtın molar hidrojen-karbon oranı</w:t>
      </w:r>
      <w:r w:rsidRPr="00DE12A3">
        <w:rPr>
          <w:i/>
          <w:iCs/>
          <w:color w:val="auto"/>
          <w:spacing w:val="2"/>
          <w:sz w:val="24"/>
          <w:szCs w:val="24"/>
        </w:rPr>
        <w:t xml:space="preserve"> </w:t>
      </w:r>
      <w:r w:rsidRPr="00DE12A3">
        <w:rPr>
          <w:color w:val="auto"/>
          <w:sz w:val="24"/>
          <w:szCs w:val="24"/>
        </w:rPr>
        <w:t>[-]</w:t>
      </w:r>
    </w:p>
    <w:p w14:paraId="7A8B1EA5" w14:textId="77777777" w:rsidR="002D7B36" w:rsidRPr="00DE12A3" w:rsidRDefault="00242DA0" w:rsidP="00C917D6">
      <w:pPr>
        <w:pStyle w:val="Gvdemetni2511"/>
        <w:shd w:val="clear" w:color="auto" w:fill="auto"/>
        <w:spacing w:before="120" w:after="120" w:line="240" w:lineRule="auto"/>
        <w:ind w:left="1134" w:firstLine="0"/>
        <w:rPr>
          <w:color w:val="auto"/>
          <w:sz w:val="24"/>
          <w:szCs w:val="24"/>
        </w:rPr>
      </w:pPr>
      <w:r w:rsidRPr="00DE12A3">
        <w:rPr>
          <w:rStyle w:val="Gvdemetni254pttalik0ptbolukbraklyor27"/>
          <w:color w:val="auto"/>
          <w:sz w:val="24"/>
          <w:szCs w:val="24"/>
        </w:rPr>
        <w:t>c</w:t>
      </w:r>
      <w:r w:rsidRPr="00DE12A3">
        <w:rPr>
          <w:color w:val="auto"/>
          <w:sz w:val="24"/>
          <w:szCs w:val="24"/>
          <w:vertAlign w:val="subscript"/>
        </w:rPr>
        <w:t>CO2w</w:t>
      </w:r>
      <w:r w:rsidRPr="00DE12A3">
        <w:rPr>
          <w:color w:val="auto"/>
          <w:sz w:val="24"/>
          <w:szCs w:val="24"/>
        </w:rPr>
        <w:t xml:space="preserve"> = yaş bazda seyreltilmiş egzoz gazı içindeki CO</w:t>
      </w:r>
      <w:r w:rsidRPr="00DE12A3">
        <w:rPr>
          <w:color w:val="auto"/>
          <w:sz w:val="24"/>
          <w:szCs w:val="24"/>
          <w:vertAlign w:val="subscript"/>
        </w:rPr>
        <w:t>2</w:t>
      </w:r>
      <w:r w:rsidRPr="00DE12A3">
        <w:rPr>
          <w:color w:val="auto"/>
          <w:sz w:val="24"/>
          <w:szCs w:val="24"/>
        </w:rPr>
        <w:t xml:space="preserve"> konsantrasyonu [yüzde hacim]</w:t>
      </w:r>
    </w:p>
    <w:p w14:paraId="462397D4" w14:textId="77777777" w:rsidR="002D7B36" w:rsidRPr="00DE12A3" w:rsidRDefault="00242DA0" w:rsidP="00C917D6">
      <w:pPr>
        <w:pStyle w:val="Gvdemetni2511"/>
        <w:shd w:val="clear" w:color="auto" w:fill="auto"/>
        <w:spacing w:before="120" w:after="120" w:line="240" w:lineRule="auto"/>
        <w:ind w:left="1134" w:firstLine="0"/>
        <w:rPr>
          <w:color w:val="auto"/>
          <w:sz w:val="24"/>
          <w:szCs w:val="24"/>
        </w:rPr>
      </w:pPr>
      <w:r w:rsidRPr="00DE12A3">
        <w:rPr>
          <w:rStyle w:val="Gvdemetni254pttalik0ptbolukbraklyor27"/>
          <w:color w:val="auto"/>
          <w:sz w:val="24"/>
          <w:szCs w:val="24"/>
        </w:rPr>
        <w:t>c</w:t>
      </w:r>
      <w:r w:rsidRPr="00DE12A3">
        <w:rPr>
          <w:color w:val="auto"/>
          <w:sz w:val="24"/>
          <w:szCs w:val="24"/>
          <w:vertAlign w:val="subscript"/>
        </w:rPr>
        <w:t>CO2d</w:t>
      </w:r>
      <w:r w:rsidRPr="00DE12A3">
        <w:rPr>
          <w:color w:val="auto"/>
          <w:sz w:val="24"/>
          <w:szCs w:val="24"/>
        </w:rPr>
        <w:t xml:space="preserve"> = kuru bazda seyreltilmiş egzoz gazı içindeki CO</w:t>
      </w:r>
      <w:r w:rsidRPr="00DE12A3">
        <w:rPr>
          <w:color w:val="auto"/>
          <w:sz w:val="24"/>
          <w:szCs w:val="24"/>
          <w:vertAlign w:val="subscript"/>
        </w:rPr>
        <w:t>2</w:t>
      </w:r>
      <w:r w:rsidRPr="00DE12A3">
        <w:rPr>
          <w:color w:val="auto"/>
          <w:sz w:val="24"/>
          <w:szCs w:val="24"/>
        </w:rPr>
        <w:t xml:space="preserve"> konsantrasyonu [yüzde hacim]</w:t>
      </w:r>
    </w:p>
    <w:p w14:paraId="5E846B78" w14:textId="75A3FDB1" w:rsidR="002D7B36" w:rsidRPr="00DE12A3" w:rsidRDefault="00242DA0" w:rsidP="00C917D6">
      <w:pPr>
        <w:pStyle w:val="Gvdemetni2511"/>
        <w:shd w:val="clear" w:color="auto" w:fill="auto"/>
        <w:spacing w:before="120" w:after="120" w:line="240" w:lineRule="auto"/>
        <w:ind w:left="1134" w:firstLine="0"/>
        <w:rPr>
          <w:color w:val="auto"/>
          <w:sz w:val="24"/>
          <w:szCs w:val="24"/>
        </w:rPr>
      </w:pPr>
      <w:r w:rsidRPr="00DE12A3">
        <w:rPr>
          <w:color w:val="auto"/>
          <w:sz w:val="24"/>
          <w:szCs w:val="24"/>
        </w:rPr>
        <w:t xml:space="preserve">Kuru-yaş düzeltme faktörü </w:t>
      </w:r>
      <w:r w:rsidRPr="00DE12A3">
        <w:rPr>
          <w:i/>
          <w:iCs/>
          <w:color w:val="auto"/>
          <w:sz w:val="24"/>
          <w:szCs w:val="24"/>
        </w:rPr>
        <w:t>k</w:t>
      </w:r>
      <w:r w:rsidRPr="00DE12A3">
        <w:rPr>
          <w:color w:val="auto"/>
          <w:sz w:val="24"/>
          <w:szCs w:val="24"/>
          <w:vertAlign w:val="subscript"/>
        </w:rPr>
        <w:t>w2</w:t>
      </w:r>
      <w:r w:rsidRPr="00DE12A3">
        <w:rPr>
          <w:color w:val="auto"/>
          <w:sz w:val="24"/>
          <w:szCs w:val="24"/>
        </w:rPr>
        <w:t xml:space="preserve">, hem emme havasının hem de seyreltme havasının su içeriğini dikkate alır ve (7-27) </w:t>
      </w:r>
      <w:r w:rsidR="005E1C7E" w:rsidRPr="00DE12A3">
        <w:rPr>
          <w:color w:val="auto"/>
          <w:sz w:val="24"/>
          <w:szCs w:val="24"/>
        </w:rPr>
        <w:t>numaralı</w:t>
      </w:r>
      <w:r w:rsidR="005E1C7E" w:rsidRPr="00DE12A3" w:rsidDel="005E1C7E">
        <w:rPr>
          <w:color w:val="auto"/>
          <w:sz w:val="24"/>
          <w:szCs w:val="24"/>
        </w:rPr>
        <w:t xml:space="preserve"> </w:t>
      </w:r>
      <w:r w:rsidRPr="00DE12A3">
        <w:rPr>
          <w:color w:val="auto"/>
          <w:sz w:val="24"/>
          <w:szCs w:val="24"/>
        </w:rPr>
        <w:t>denklem ile hesaplanır:</w:t>
      </w:r>
    </w:p>
    <w:p w14:paraId="191BB110" w14:textId="434E26C9" w:rsidR="002D7B36" w:rsidRPr="00DE12A3" w:rsidRDefault="00242DA0" w:rsidP="00C917D6">
      <w:pPr>
        <w:pStyle w:val="Gvdemetni2511"/>
        <w:shd w:val="clear" w:color="auto" w:fill="auto"/>
        <w:tabs>
          <w:tab w:val="left" w:pos="6240"/>
        </w:tabs>
        <w:spacing w:before="120" w:after="120" w:line="240" w:lineRule="auto"/>
        <w:ind w:left="12" w:rightChars="-20" w:right="-48" w:hangingChars="5" w:hanging="12"/>
        <w:rPr>
          <w:color w:val="auto"/>
          <w:sz w:val="24"/>
          <w:szCs w:val="24"/>
        </w:rPr>
      </w:pPr>
      <w:r w:rsidRPr="00DE12A3">
        <w:rPr>
          <w:noProof/>
          <w:color w:val="auto"/>
          <w:sz w:val="24"/>
          <w:szCs w:val="24"/>
        </w:rPr>
        <w:drawing>
          <wp:anchor distT="0" distB="0" distL="114300" distR="114300" simplePos="0" relativeHeight="251664896" behindDoc="0" locked="0" layoutInCell="1" allowOverlap="1" wp14:anchorId="59EC5894" wp14:editId="5091A800">
            <wp:simplePos x="0" y="0"/>
            <wp:positionH relativeFrom="column">
              <wp:posOffset>0</wp:posOffset>
            </wp:positionH>
            <wp:positionV relativeFrom="paragraph">
              <wp:posOffset>73025</wp:posOffset>
            </wp:positionV>
            <wp:extent cx="5754370" cy="647065"/>
            <wp:effectExtent l="0" t="0" r="6350" b="4445"/>
            <wp:wrapSquare wrapText="bothSides"/>
            <wp:docPr id="91"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Picture 10"/>
                    <pic:cNvPicPr>
                      <a:picLocks noChangeAspect="1"/>
                    </pic:cNvPicPr>
                  </pic:nvPicPr>
                  <pic:blipFill>
                    <a:blip r:embed="rId85"/>
                    <a:stretch>
                      <a:fillRect/>
                    </a:stretch>
                  </pic:blipFill>
                  <pic:spPr>
                    <a:xfrm>
                      <a:off x="0" y="0"/>
                      <a:ext cx="5754370" cy="647065"/>
                    </a:xfrm>
                    <a:prstGeom prst="rect">
                      <a:avLst/>
                    </a:prstGeom>
                    <a:noFill/>
                    <a:ln>
                      <a:noFill/>
                    </a:ln>
                  </pic:spPr>
                </pic:pic>
              </a:graphicData>
            </a:graphic>
          </wp:anchor>
        </w:drawing>
      </w:r>
    </w:p>
    <w:p w14:paraId="56647DD1" w14:textId="77777777" w:rsidR="002D7B36" w:rsidRPr="00DE12A3" w:rsidRDefault="001A253A" w:rsidP="00C917D6">
      <w:pPr>
        <w:pStyle w:val="Gvdemetni2511"/>
        <w:shd w:val="clear" w:color="auto" w:fill="auto"/>
        <w:spacing w:before="120" w:after="120" w:line="240" w:lineRule="auto"/>
        <w:ind w:left="1134" w:firstLine="0"/>
        <w:rPr>
          <w:color w:val="auto"/>
          <w:sz w:val="24"/>
          <w:szCs w:val="24"/>
        </w:rPr>
      </w:pPr>
      <w:r w:rsidRPr="00DE12A3">
        <w:rPr>
          <w:color w:val="auto"/>
          <w:sz w:val="24"/>
          <w:szCs w:val="24"/>
        </w:rPr>
        <w:t>B</w:t>
      </w:r>
      <w:r w:rsidR="00242DA0" w:rsidRPr="00DE12A3">
        <w:rPr>
          <w:color w:val="auto"/>
          <w:sz w:val="24"/>
          <w:szCs w:val="24"/>
        </w:rPr>
        <w:t>urada:</w:t>
      </w:r>
    </w:p>
    <w:p w14:paraId="683B8DF2" w14:textId="77777777" w:rsidR="002D7B36" w:rsidRPr="00DE12A3" w:rsidRDefault="00242DA0" w:rsidP="00C917D6">
      <w:pPr>
        <w:pStyle w:val="Gvdemetni2511"/>
        <w:shd w:val="clear" w:color="auto" w:fill="auto"/>
        <w:spacing w:before="120" w:after="120" w:line="240" w:lineRule="auto"/>
        <w:ind w:left="1134" w:firstLine="0"/>
        <w:rPr>
          <w:color w:val="auto"/>
          <w:sz w:val="24"/>
          <w:szCs w:val="24"/>
        </w:rPr>
      </w:pPr>
      <w:r w:rsidRPr="00DE12A3">
        <w:rPr>
          <w:rStyle w:val="Gvdemetni254pttalik0ptbolukbraklyor27"/>
          <w:color w:val="auto"/>
          <w:sz w:val="24"/>
          <w:szCs w:val="24"/>
        </w:rPr>
        <w:t>H</w:t>
      </w:r>
      <w:r w:rsidRPr="00DE12A3">
        <w:rPr>
          <w:rStyle w:val="Gvdemetni254pttalik0ptbolukbraklyor27"/>
          <w:color w:val="auto"/>
          <w:sz w:val="24"/>
          <w:szCs w:val="24"/>
          <w:vertAlign w:val="subscript"/>
        </w:rPr>
        <w:t>a</w:t>
      </w:r>
      <w:r w:rsidRPr="00DE12A3">
        <w:rPr>
          <w:color w:val="auto"/>
          <w:sz w:val="24"/>
          <w:szCs w:val="24"/>
        </w:rPr>
        <w:t xml:space="preserve"> = emme havası nemi [g H</w:t>
      </w:r>
      <w:r w:rsidRPr="00DE12A3">
        <w:rPr>
          <w:color w:val="auto"/>
          <w:sz w:val="24"/>
          <w:szCs w:val="24"/>
          <w:vertAlign w:val="subscript"/>
        </w:rPr>
        <w:t>2</w:t>
      </w:r>
      <w:r w:rsidRPr="00DE12A3">
        <w:rPr>
          <w:color w:val="auto"/>
          <w:sz w:val="24"/>
          <w:szCs w:val="24"/>
        </w:rPr>
        <w:t>O/kg kuru hava]</w:t>
      </w:r>
    </w:p>
    <w:p w14:paraId="4FC160A5" w14:textId="77777777" w:rsidR="002D7B36" w:rsidRPr="00DE12A3" w:rsidRDefault="00242DA0" w:rsidP="00C917D6">
      <w:pPr>
        <w:pStyle w:val="Gvdemetni2511"/>
        <w:shd w:val="clear" w:color="auto" w:fill="auto"/>
        <w:spacing w:before="120" w:after="120" w:line="240" w:lineRule="auto"/>
        <w:ind w:left="1134" w:firstLine="0"/>
        <w:rPr>
          <w:color w:val="auto"/>
          <w:sz w:val="24"/>
          <w:szCs w:val="24"/>
        </w:rPr>
      </w:pPr>
      <w:r w:rsidRPr="00DE12A3">
        <w:rPr>
          <w:rStyle w:val="Gvdemetni254pttalik0ptbolukbraklyor27"/>
          <w:color w:val="auto"/>
          <w:sz w:val="24"/>
          <w:szCs w:val="24"/>
        </w:rPr>
        <w:t>H</w:t>
      </w:r>
      <w:r w:rsidRPr="00DE12A3">
        <w:rPr>
          <w:rStyle w:val="Gvdemetni254pttalik0ptbolukbraklyor27"/>
          <w:color w:val="auto"/>
          <w:sz w:val="24"/>
          <w:szCs w:val="24"/>
          <w:vertAlign w:val="subscript"/>
        </w:rPr>
        <w:t>d</w:t>
      </w:r>
      <w:r w:rsidRPr="00DE12A3">
        <w:rPr>
          <w:color w:val="auto"/>
          <w:sz w:val="24"/>
          <w:szCs w:val="24"/>
        </w:rPr>
        <w:t xml:space="preserve"> = seyreltme havası nemi [g H</w:t>
      </w:r>
      <w:r w:rsidRPr="00DE12A3">
        <w:rPr>
          <w:color w:val="auto"/>
          <w:sz w:val="24"/>
          <w:szCs w:val="24"/>
          <w:vertAlign w:val="subscript"/>
        </w:rPr>
        <w:t>2</w:t>
      </w:r>
      <w:r w:rsidRPr="00DE12A3">
        <w:rPr>
          <w:color w:val="auto"/>
          <w:sz w:val="24"/>
          <w:szCs w:val="24"/>
        </w:rPr>
        <w:t>O/kg kuru hava]</w:t>
      </w:r>
    </w:p>
    <w:p w14:paraId="48A56AB7" w14:textId="2F48531B" w:rsidR="002D7B36" w:rsidRPr="00DE12A3" w:rsidRDefault="00242DA0" w:rsidP="00C917D6">
      <w:pPr>
        <w:pStyle w:val="Gvdemetni2511"/>
        <w:shd w:val="clear" w:color="auto" w:fill="auto"/>
        <w:spacing w:before="120" w:after="120" w:line="240" w:lineRule="auto"/>
        <w:ind w:left="1134" w:firstLine="0"/>
        <w:rPr>
          <w:color w:val="auto"/>
          <w:sz w:val="24"/>
          <w:szCs w:val="24"/>
        </w:rPr>
      </w:pPr>
      <w:r w:rsidRPr="00DE12A3">
        <w:rPr>
          <w:rStyle w:val="Gvdemetni254pttalik0ptbolukbraklyor27"/>
          <w:color w:val="auto"/>
          <w:sz w:val="24"/>
          <w:szCs w:val="24"/>
        </w:rPr>
        <w:t>D</w:t>
      </w:r>
      <w:r w:rsidRPr="00DE12A3">
        <w:rPr>
          <w:color w:val="auto"/>
          <w:sz w:val="24"/>
          <w:szCs w:val="24"/>
        </w:rPr>
        <w:t xml:space="preserve"> = seyreltme faktörü [bkz. 2.2.2.2 bendi, (7-28) </w:t>
      </w:r>
      <w:r w:rsidR="005E1C7E" w:rsidRPr="00DE12A3">
        <w:rPr>
          <w:color w:val="auto"/>
          <w:sz w:val="24"/>
          <w:szCs w:val="24"/>
        </w:rPr>
        <w:t xml:space="preserve">numaralı </w:t>
      </w:r>
      <w:r w:rsidRPr="00DE12A3">
        <w:rPr>
          <w:color w:val="auto"/>
          <w:sz w:val="24"/>
          <w:szCs w:val="24"/>
        </w:rPr>
        <w:t>denklem] [-]</w:t>
      </w:r>
    </w:p>
    <w:p w14:paraId="0CFBC0FB" w14:textId="77777777" w:rsidR="002D7B36" w:rsidRPr="00DE12A3" w:rsidRDefault="00242DA0" w:rsidP="00E20716">
      <w:pPr>
        <w:pStyle w:val="Gvdemetni2511"/>
        <w:numPr>
          <w:ilvl w:val="0"/>
          <w:numId w:val="400"/>
        </w:numPr>
        <w:shd w:val="clear" w:color="auto" w:fill="auto"/>
        <w:spacing w:before="120" w:after="120" w:line="240" w:lineRule="auto"/>
        <w:ind w:left="1134" w:rightChars="-20" w:right="-48" w:hanging="1134"/>
        <w:rPr>
          <w:color w:val="auto"/>
          <w:sz w:val="24"/>
          <w:szCs w:val="24"/>
        </w:rPr>
      </w:pPr>
      <w:r w:rsidRPr="00DE12A3">
        <w:rPr>
          <w:color w:val="auto"/>
          <w:sz w:val="24"/>
          <w:szCs w:val="24"/>
        </w:rPr>
        <w:t>Seyreltme faktörü</w:t>
      </w:r>
    </w:p>
    <w:p w14:paraId="31271023" w14:textId="04A90A8E" w:rsidR="002D7B36" w:rsidRPr="00DE12A3" w:rsidRDefault="001A253A" w:rsidP="00C917D6">
      <w:pPr>
        <w:pStyle w:val="Gvdemetni2511"/>
        <w:shd w:val="clear" w:color="auto" w:fill="auto"/>
        <w:spacing w:before="120" w:after="120" w:line="240" w:lineRule="auto"/>
        <w:ind w:left="1134" w:rightChars="-20" w:right="-48" w:hanging="1134"/>
        <w:rPr>
          <w:color w:val="auto"/>
          <w:sz w:val="24"/>
          <w:szCs w:val="24"/>
        </w:rPr>
      </w:pPr>
      <w:r w:rsidRPr="00DE12A3">
        <w:rPr>
          <w:color w:val="auto"/>
          <w:sz w:val="24"/>
          <w:szCs w:val="24"/>
        </w:rPr>
        <w:t xml:space="preserve">                  </w:t>
      </w:r>
      <w:r w:rsidR="00242DA0" w:rsidRPr="00DE12A3">
        <w:rPr>
          <w:color w:val="auto"/>
          <w:sz w:val="24"/>
          <w:szCs w:val="24"/>
        </w:rPr>
        <w:t xml:space="preserve">Seyreltme faktörü </w:t>
      </w:r>
      <w:r w:rsidR="00242DA0" w:rsidRPr="00DE12A3">
        <w:rPr>
          <w:i/>
          <w:iCs/>
          <w:color w:val="auto"/>
          <w:sz w:val="24"/>
          <w:szCs w:val="24"/>
        </w:rPr>
        <w:t>D</w:t>
      </w:r>
      <w:r w:rsidR="00242DA0" w:rsidRPr="00DE12A3">
        <w:rPr>
          <w:color w:val="auto"/>
          <w:sz w:val="24"/>
          <w:szCs w:val="24"/>
        </w:rPr>
        <w:t xml:space="preserve"> [-] (arka plan düzeltmesi ve </w:t>
      </w:r>
      <w:r w:rsidR="00242DA0" w:rsidRPr="00DE12A3">
        <w:rPr>
          <w:i/>
          <w:iCs/>
          <w:color w:val="auto"/>
          <w:sz w:val="24"/>
          <w:szCs w:val="24"/>
        </w:rPr>
        <w:t>k</w:t>
      </w:r>
      <w:r w:rsidR="00242DA0" w:rsidRPr="00DE12A3">
        <w:rPr>
          <w:color w:val="auto"/>
          <w:sz w:val="24"/>
          <w:szCs w:val="24"/>
          <w:vertAlign w:val="subscript"/>
        </w:rPr>
        <w:t>w2</w:t>
      </w:r>
      <w:r w:rsidR="00242DA0" w:rsidRPr="00DE12A3">
        <w:rPr>
          <w:color w:val="auto"/>
          <w:sz w:val="24"/>
          <w:szCs w:val="24"/>
        </w:rPr>
        <w:t xml:space="preserve"> hesaplaması için gereklidir) (7-28) </w:t>
      </w:r>
      <w:r w:rsidR="005E1C7E" w:rsidRPr="00DE12A3">
        <w:rPr>
          <w:color w:val="auto"/>
          <w:sz w:val="24"/>
          <w:szCs w:val="24"/>
        </w:rPr>
        <w:t>numaralı</w:t>
      </w:r>
      <w:r w:rsidR="00242DA0" w:rsidRPr="00DE12A3">
        <w:rPr>
          <w:color w:val="auto"/>
          <w:sz w:val="24"/>
          <w:szCs w:val="24"/>
        </w:rPr>
        <w:t xml:space="preserve"> denklem ile hesaplanmalıdır:</w:t>
      </w:r>
    </w:p>
    <w:p w14:paraId="42A2D5F9" w14:textId="0135AB24" w:rsidR="002D7B36" w:rsidRPr="00DE12A3" w:rsidRDefault="00242DA0" w:rsidP="00C917D6">
      <w:pPr>
        <w:pStyle w:val="Gvdemetni2511"/>
        <w:shd w:val="clear" w:color="auto" w:fill="auto"/>
        <w:tabs>
          <w:tab w:val="left" w:pos="6240"/>
        </w:tabs>
        <w:spacing w:before="120" w:after="120" w:line="240" w:lineRule="auto"/>
        <w:ind w:left="12" w:rightChars="-20" w:right="-48" w:hangingChars="5" w:hanging="12"/>
        <w:rPr>
          <w:color w:val="auto"/>
          <w:sz w:val="24"/>
          <w:szCs w:val="24"/>
          <w:lang w:eastAsia="en-US"/>
        </w:rPr>
      </w:pPr>
      <w:r w:rsidRPr="00DE12A3">
        <w:rPr>
          <w:noProof/>
          <w:color w:val="auto"/>
          <w:sz w:val="24"/>
          <w:szCs w:val="24"/>
        </w:rPr>
        <w:drawing>
          <wp:anchor distT="0" distB="0" distL="114300" distR="114300" simplePos="0" relativeHeight="251671040" behindDoc="0" locked="0" layoutInCell="1" allowOverlap="1" wp14:anchorId="6C08B11B" wp14:editId="7EE6E07D">
            <wp:simplePos x="0" y="0"/>
            <wp:positionH relativeFrom="column">
              <wp:posOffset>489585</wp:posOffset>
            </wp:positionH>
            <wp:positionV relativeFrom="paragraph">
              <wp:posOffset>14605</wp:posOffset>
            </wp:positionV>
            <wp:extent cx="4418330" cy="487045"/>
            <wp:effectExtent l="0" t="0" r="5080" b="10160"/>
            <wp:wrapSquare wrapText="bothSides"/>
            <wp:docPr id="92"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Picture 11"/>
                    <pic:cNvPicPr>
                      <a:picLocks noChangeAspect="1"/>
                    </pic:cNvPicPr>
                  </pic:nvPicPr>
                  <pic:blipFill>
                    <a:blip r:embed="rId86"/>
                    <a:stretch>
                      <a:fillRect/>
                    </a:stretch>
                  </pic:blipFill>
                  <pic:spPr>
                    <a:xfrm>
                      <a:off x="0" y="0"/>
                      <a:ext cx="4418330" cy="487045"/>
                    </a:xfrm>
                    <a:prstGeom prst="rect">
                      <a:avLst/>
                    </a:prstGeom>
                    <a:noFill/>
                    <a:ln>
                      <a:noFill/>
                    </a:ln>
                  </pic:spPr>
                </pic:pic>
              </a:graphicData>
            </a:graphic>
          </wp:anchor>
        </w:drawing>
      </w:r>
    </w:p>
    <w:p w14:paraId="7BF78154" w14:textId="77777777" w:rsidR="002D7B36" w:rsidRPr="00DE12A3" w:rsidRDefault="002D7B36" w:rsidP="00C917D6">
      <w:pPr>
        <w:pStyle w:val="Gvdemetni2511"/>
        <w:shd w:val="clear" w:color="auto" w:fill="auto"/>
        <w:tabs>
          <w:tab w:val="left" w:pos="6240"/>
        </w:tabs>
        <w:spacing w:before="120" w:after="120" w:line="240" w:lineRule="auto"/>
        <w:ind w:left="12" w:rightChars="-20" w:right="-48" w:hangingChars="5" w:hanging="12"/>
        <w:rPr>
          <w:color w:val="auto"/>
          <w:sz w:val="24"/>
          <w:szCs w:val="24"/>
          <w:lang w:eastAsia="en-US"/>
        </w:rPr>
      </w:pPr>
    </w:p>
    <w:p w14:paraId="5CD524F3" w14:textId="77777777" w:rsidR="003D51C5" w:rsidRPr="00DE12A3" w:rsidRDefault="003D51C5" w:rsidP="00C917D6">
      <w:pPr>
        <w:pStyle w:val="Gvdemetni2511"/>
        <w:shd w:val="clear" w:color="auto" w:fill="auto"/>
        <w:tabs>
          <w:tab w:val="right" w:pos="3295"/>
        </w:tabs>
        <w:spacing w:before="120" w:after="120" w:line="240" w:lineRule="auto"/>
        <w:ind w:left="1134" w:firstLine="0"/>
        <w:rPr>
          <w:color w:val="auto"/>
          <w:sz w:val="24"/>
          <w:szCs w:val="24"/>
        </w:rPr>
      </w:pPr>
    </w:p>
    <w:p w14:paraId="77F76899" w14:textId="6974AC1E" w:rsidR="003D51C5" w:rsidRPr="00DE12A3" w:rsidRDefault="003D51C5" w:rsidP="00C917D6">
      <w:pPr>
        <w:pStyle w:val="Gvdemetni2511"/>
        <w:shd w:val="clear" w:color="auto" w:fill="auto"/>
        <w:tabs>
          <w:tab w:val="right" w:pos="3295"/>
        </w:tabs>
        <w:spacing w:before="120" w:after="120" w:line="240" w:lineRule="auto"/>
        <w:ind w:left="1134" w:firstLine="0"/>
        <w:rPr>
          <w:color w:val="auto"/>
          <w:sz w:val="24"/>
          <w:szCs w:val="24"/>
        </w:rPr>
      </w:pPr>
      <w:r w:rsidRPr="00DE12A3">
        <w:rPr>
          <w:color w:val="auto"/>
          <w:sz w:val="24"/>
          <w:szCs w:val="24"/>
        </w:rPr>
        <w:lastRenderedPageBreak/>
        <w:t>Burada:</w:t>
      </w:r>
    </w:p>
    <w:p w14:paraId="0C27042A" w14:textId="77777777" w:rsidR="002D7B36" w:rsidRPr="00DE12A3" w:rsidRDefault="00242DA0" w:rsidP="00C917D6">
      <w:pPr>
        <w:pStyle w:val="Gvdemetni2511"/>
        <w:shd w:val="clear" w:color="auto" w:fill="auto"/>
        <w:tabs>
          <w:tab w:val="right" w:pos="3295"/>
        </w:tabs>
        <w:spacing w:before="120" w:after="120" w:line="240" w:lineRule="auto"/>
        <w:ind w:left="1134" w:firstLine="0"/>
        <w:rPr>
          <w:color w:val="auto"/>
          <w:sz w:val="24"/>
          <w:szCs w:val="24"/>
        </w:rPr>
      </w:pPr>
      <w:r w:rsidRPr="00DE12A3">
        <w:rPr>
          <w:rStyle w:val="Gvdemetni254pttalik0ptbolukbraklyor27"/>
          <w:color w:val="auto"/>
          <w:sz w:val="24"/>
          <w:szCs w:val="24"/>
        </w:rPr>
        <w:t>F</w:t>
      </w:r>
      <w:r w:rsidRPr="00DE12A3">
        <w:rPr>
          <w:rStyle w:val="Gvdemetni254pttalik0ptbolukbraklyor27"/>
          <w:i w:val="0"/>
          <w:iCs w:val="0"/>
          <w:color w:val="auto"/>
          <w:sz w:val="24"/>
          <w:szCs w:val="24"/>
          <w:vertAlign w:val="subscript"/>
        </w:rPr>
        <w:t>S</w:t>
      </w:r>
      <w:r w:rsidRPr="00DE12A3">
        <w:rPr>
          <w:color w:val="auto"/>
          <w:sz w:val="24"/>
          <w:szCs w:val="24"/>
        </w:rPr>
        <w:tab/>
        <w:t>= stokiyometrik faktör [-]</w:t>
      </w:r>
    </w:p>
    <w:p w14:paraId="4FD788FD" w14:textId="77777777" w:rsidR="002D7B36" w:rsidRPr="00DE12A3" w:rsidRDefault="00242DA0" w:rsidP="00C917D6">
      <w:pPr>
        <w:pStyle w:val="Gvdemetni2511"/>
        <w:shd w:val="clear" w:color="auto" w:fill="auto"/>
        <w:spacing w:before="120" w:after="120" w:line="240" w:lineRule="auto"/>
        <w:ind w:left="1134" w:firstLine="0"/>
        <w:rPr>
          <w:color w:val="auto"/>
          <w:sz w:val="24"/>
          <w:szCs w:val="24"/>
        </w:rPr>
      </w:pPr>
      <w:r w:rsidRPr="00DE12A3">
        <w:rPr>
          <w:rStyle w:val="Gvdemetni254pttalik0ptbolukbraklyor27"/>
          <w:color w:val="auto"/>
          <w:sz w:val="24"/>
          <w:szCs w:val="24"/>
        </w:rPr>
        <w:t>c</w:t>
      </w:r>
      <w:r w:rsidRPr="00DE12A3">
        <w:rPr>
          <w:rStyle w:val="Gvdemetni25Constantia45pt"/>
          <w:rFonts w:ascii="Times New Roman" w:hAnsi="Times New Roman" w:cs="Times New Roman"/>
          <w:color w:val="auto"/>
          <w:sz w:val="24"/>
          <w:szCs w:val="24"/>
          <w:vertAlign w:val="subscript"/>
        </w:rPr>
        <w:t>CO</w:t>
      </w:r>
      <w:r w:rsidRPr="00DE12A3">
        <w:rPr>
          <w:rStyle w:val="Gvdemetni25Constantia75pt0ptbolukbraklyor"/>
          <w:rFonts w:ascii="Times New Roman" w:hAnsi="Times New Roman" w:cs="Times New Roman"/>
          <w:color w:val="auto"/>
          <w:sz w:val="24"/>
          <w:szCs w:val="24"/>
          <w:vertAlign w:val="subscript"/>
        </w:rPr>
        <w:t>2</w:t>
      </w:r>
      <w:r w:rsidRPr="00DE12A3">
        <w:rPr>
          <w:rStyle w:val="Gvdemetni25Constantia45pt"/>
          <w:rFonts w:ascii="Times New Roman" w:hAnsi="Times New Roman" w:cs="Times New Roman"/>
          <w:color w:val="auto"/>
          <w:sz w:val="24"/>
          <w:szCs w:val="24"/>
          <w:vertAlign w:val="subscript"/>
        </w:rPr>
        <w:t>,e</w:t>
      </w:r>
      <w:r w:rsidRPr="00DE12A3">
        <w:rPr>
          <w:rStyle w:val="Gvdemetni25Constantia45pt"/>
          <w:rFonts w:ascii="Times New Roman" w:hAnsi="Times New Roman" w:cs="Times New Roman"/>
          <w:color w:val="auto"/>
          <w:sz w:val="24"/>
          <w:szCs w:val="24"/>
        </w:rPr>
        <w:tab/>
      </w:r>
      <w:r w:rsidRPr="00DE12A3">
        <w:rPr>
          <w:color w:val="auto"/>
          <w:sz w:val="24"/>
          <w:szCs w:val="24"/>
        </w:rPr>
        <w:t>= seyreltik egzoz gazı içindeki yaş bazda CO</w:t>
      </w:r>
      <w:r w:rsidRPr="00DE12A3">
        <w:rPr>
          <w:color w:val="auto"/>
          <w:sz w:val="24"/>
          <w:szCs w:val="24"/>
          <w:vertAlign w:val="subscript"/>
        </w:rPr>
        <w:t>2</w:t>
      </w:r>
      <w:r w:rsidRPr="00DE12A3">
        <w:rPr>
          <w:color w:val="auto"/>
          <w:sz w:val="24"/>
          <w:szCs w:val="24"/>
        </w:rPr>
        <w:t xml:space="preserve"> konsantrasyonu [yüzde hacim]</w:t>
      </w:r>
    </w:p>
    <w:p w14:paraId="1AAF2190" w14:textId="77777777" w:rsidR="002D7B36" w:rsidRPr="00DE12A3" w:rsidRDefault="00242DA0" w:rsidP="00C917D6">
      <w:pPr>
        <w:pStyle w:val="Gvdemetni2511"/>
        <w:shd w:val="clear" w:color="auto" w:fill="auto"/>
        <w:spacing w:before="120" w:after="120" w:line="240" w:lineRule="auto"/>
        <w:ind w:left="1134" w:firstLine="0"/>
        <w:rPr>
          <w:color w:val="auto"/>
          <w:sz w:val="24"/>
          <w:szCs w:val="24"/>
        </w:rPr>
      </w:pPr>
      <w:r w:rsidRPr="00DE12A3">
        <w:rPr>
          <w:rStyle w:val="Gvdemetni254pttalik0ptbolukbraklyor27"/>
          <w:color w:val="auto"/>
          <w:sz w:val="24"/>
          <w:szCs w:val="24"/>
        </w:rPr>
        <w:t>c</w:t>
      </w:r>
      <w:r w:rsidRPr="00DE12A3">
        <w:rPr>
          <w:rStyle w:val="Gvdemetni25Constantia45pt"/>
          <w:rFonts w:ascii="Times New Roman" w:hAnsi="Times New Roman" w:cs="Times New Roman"/>
          <w:color w:val="auto"/>
          <w:sz w:val="24"/>
          <w:szCs w:val="24"/>
          <w:vertAlign w:val="subscript"/>
        </w:rPr>
        <w:t>HC,e</w:t>
      </w:r>
      <w:r w:rsidRPr="00DE12A3">
        <w:rPr>
          <w:rStyle w:val="Gvdemetni25Constantia45pt"/>
          <w:rFonts w:ascii="Times New Roman" w:hAnsi="Times New Roman" w:cs="Times New Roman"/>
          <w:color w:val="auto"/>
          <w:sz w:val="24"/>
          <w:szCs w:val="24"/>
        </w:rPr>
        <w:tab/>
      </w:r>
      <w:r w:rsidRPr="00DE12A3">
        <w:rPr>
          <w:color w:val="auto"/>
          <w:sz w:val="24"/>
          <w:szCs w:val="24"/>
        </w:rPr>
        <w:t>= seyreltik egzoz gazı içindeki yaş bazda HC konsantrasyonu [ppm C1]</w:t>
      </w:r>
    </w:p>
    <w:p w14:paraId="4BA74803" w14:textId="77777777" w:rsidR="002D7B36" w:rsidRPr="00DE12A3" w:rsidRDefault="00242DA0" w:rsidP="00C917D6">
      <w:pPr>
        <w:pStyle w:val="Gvdemetni2511"/>
        <w:shd w:val="clear" w:color="auto" w:fill="auto"/>
        <w:spacing w:before="120" w:after="120" w:line="240" w:lineRule="auto"/>
        <w:ind w:left="1134" w:firstLine="0"/>
        <w:rPr>
          <w:color w:val="auto"/>
          <w:sz w:val="24"/>
          <w:szCs w:val="24"/>
        </w:rPr>
      </w:pPr>
      <w:r w:rsidRPr="00DE12A3">
        <w:rPr>
          <w:rStyle w:val="Gvdemetni254pttalik0ptbolukbraklyor27"/>
          <w:color w:val="auto"/>
          <w:sz w:val="24"/>
          <w:szCs w:val="24"/>
        </w:rPr>
        <w:t>c</w:t>
      </w:r>
      <w:r w:rsidRPr="00DE12A3">
        <w:rPr>
          <w:rStyle w:val="Gvdemetni25Constantia45pt"/>
          <w:rFonts w:ascii="Times New Roman" w:hAnsi="Times New Roman" w:cs="Times New Roman"/>
          <w:color w:val="auto"/>
          <w:sz w:val="24"/>
          <w:szCs w:val="24"/>
          <w:vertAlign w:val="subscript"/>
        </w:rPr>
        <w:t>CO,e</w:t>
      </w:r>
      <w:r w:rsidRPr="00DE12A3">
        <w:rPr>
          <w:rStyle w:val="Gvdemetni25Constantia45pt"/>
          <w:rFonts w:ascii="Times New Roman" w:hAnsi="Times New Roman" w:cs="Times New Roman"/>
          <w:color w:val="auto"/>
          <w:sz w:val="24"/>
          <w:szCs w:val="24"/>
        </w:rPr>
        <w:tab/>
      </w:r>
      <w:r w:rsidRPr="00DE12A3">
        <w:rPr>
          <w:color w:val="auto"/>
          <w:sz w:val="24"/>
          <w:szCs w:val="24"/>
        </w:rPr>
        <w:t>= seyreltilmiş egzoz gazı içindeki yaş bazda CO konsantrasyonu [ppm]</w:t>
      </w:r>
    </w:p>
    <w:p w14:paraId="6B82657E" w14:textId="77777777" w:rsidR="002D7B36" w:rsidRPr="00DE12A3" w:rsidRDefault="002D7B36" w:rsidP="00C917D6">
      <w:pPr>
        <w:pStyle w:val="Gvdemetni2511"/>
        <w:shd w:val="clear" w:color="auto" w:fill="auto"/>
        <w:spacing w:before="120" w:after="120" w:line="240" w:lineRule="auto"/>
        <w:ind w:left="1134" w:firstLine="0"/>
        <w:rPr>
          <w:color w:val="auto"/>
          <w:sz w:val="24"/>
          <w:szCs w:val="24"/>
        </w:rPr>
      </w:pPr>
    </w:p>
    <w:p w14:paraId="047C7AC7" w14:textId="3096DDE4" w:rsidR="002D7B36" w:rsidRPr="00DE12A3" w:rsidRDefault="00242DA0" w:rsidP="00C917D6">
      <w:pPr>
        <w:pStyle w:val="Gvdemetni2511"/>
        <w:shd w:val="clear" w:color="auto" w:fill="auto"/>
        <w:spacing w:before="120" w:after="120" w:line="240" w:lineRule="auto"/>
        <w:ind w:left="1134" w:firstLine="0"/>
        <w:rPr>
          <w:color w:val="auto"/>
          <w:sz w:val="24"/>
          <w:szCs w:val="24"/>
        </w:rPr>
      </w:pPr>
      <w:r w:rsidRPr="00DE12A3">
        <w:rPr>
          <w:color w:val="auto"/>
          <w:sz w:val="24"/>
          <w:szCs w:val="24"/>
        </w:rPr>
        <w:t xml:space="preserve">Stokiyometrik faktör, (7-29) </w:t>
      </w:r>
      <w:r w:rsidR="005E1C7E" w:rsidRPr="00DE12A3">
        <w:rPr>
          <w:color w:val="auto"/>
          <w:sz w:val="24"/>
          <w:szCs w:val="24"/>
        </w:rPr>
        <w:t>numaralı</w:t>
      </w:r>
      <w:r w:rsidR="005E1C7E" w:rsidRPr="00DE12A3" w:rsidDel="005E1C7E">
        <w:rPr>
          <w:color w:val="auto"/>
          <w:sz w:val="24"/>
          <w:szCs w:val="24"/>
        </w:rPr>
        <w:t xml:space="preserve"> </w:t>
      </w:r>
      <w:r w:rsidRPr="00DE12A3">
        <w:rPr>
          <w:color w:val="auto"/>
          <w:sz w:val="24"/>
          <w:szCs w:val="24"/>
        </w:rPr>
        <w:t>denklem ile hesaplanmalıdır:</w:t>
      </w:r>
    </w:p>
    <w:p w14:paraId="367EDC44" w14:textId="77777777" w:rsidR="002D7B36" w:rsidRPr="00DE12A3" w:rsidRDefault="002D7B36" w:rsidP="00C917D6">
      <w:pPr>
        <w:pStyle w:val="Gvdemetni2511"/>
        <w:shd w:val="clear" w:color="auto" w:fill="auto"/>
        <w:spacing w:before="120" w:after="120" w:line="240" w:lineRule="auto"/>
        <w:ind w:left="1134" w:firstLine="0"/>
        <w:rPr>
          <w:color w:val="auto"/>
          <w:sz w:val="24"/>
          <w:szCs w:val="24"/>
        </w:rPr>
      </w:pPr>
    </w:p>
    <w:p w14:paraId="3BD4EA7B" w14:textId="0C7555CE" w:rsidR="002D7B36" w:rsidRPr="00DE12A3" w:rsidRDefault="00242DA0" w:rsidP="00C917D6">
      <w:pPr>
        <w:pStyle w:val="Gvdemetni2511"/>
        <w:shd w:val="clear" w:color="auto" w:fill="auto"/>
        <w:spacing w:before="120" w:after="120" w:line="240" w:lineRule="auto"/>
        <w:ind w:left="1134" w:hanging="1134"/>
        <w:rPr>
          <w:color w:val="auto"/>
          <w:sz w:val="24"/>
          <w:szCs w:val="24"/>
        </w:rPr>
      </w:pPr>
      <w:r w:rsidRPr="00DE12A3">
        <w:rPr>
          <w:noProof/>
          <w:color w:val="auto"/>
          <w:sz w:val="24"/>
          <w:szCs w:val="24"/>
        </w:rPr>
        <w:drawing>
          <wp:anchor distT="0" distB="0" distL="114300" distR="114300" simplePos="0" relativeHeight="251675136" behindDoc="0" locked="0" layoutInCell="1" allowOverlap="1" wp14:anchorId="3FC6B078" wp14:editId="7A3F091A">
            <wp:simplePos x="0" y="0"/>
            <wp:positionH relativeFrom="column">
              <wp:posOffset>572135</wp:posOffset>
            </wp:positionH>
            <wp:positionV relativeFrom="paragraph">
              <wp:posOffset>98425</wp:posOffset>
            </wp:positionV>
            <wp:extent cx="4435475" cy="461645"/>
            <wp:effectExtent l="0" t="0" r="5080" b="1270"/>
            <wp:wrapSquare wrapText="bothSides"/>
            <wp:docPr id="93"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Picture 12"/>
                    <pic:cNvPicPr>
                      <a:picLocks noChangeAspect="1"/>
                    </pic:cNvPicPr>
                  </pic:nvPicPr>
                  <pic:blipFill>
                    <a:blip r:embed="rId87"/>
                    <a:stretch>
                      <a:fillRect/>
                    </a:stretch>
                  </pic:blipFill>
                  <pic:spPr>
                    <a:xfrm>
                      <a:off x="0" y="0"/>
                      <a:ext cx="4435475" cy="461645"/>
                    </a:xfrm>
                    <a:prstGeom prst="rect">
                      <a:avLst/>
                    </a:prstGeom>
                    <a:noFill/>
                    <a:ln>
                      <a:noFill/>
                    </a:ln>
                  </pic:spPr>
                </pic:pic>
              </a:graphicData>
            </a:graphic>
          </wp:anchor>
        </w:drawing>
      </w:r>
    </w:p>
    <w:p w14:paraId="723438FD" w14:textId="77777777" w:rsidR="002D7B36" w:rsidRPr="00DE12A3" w:rsidRDefault="002D7B36" w:rsidP="00C917D6">
      <w:pPr>
        <w:pStyle w:val="Gvdemetni2511"/>
        <w:shd w:val="clear" w:color="auto" w:fill="auto"/>
        <w:spacing w:before="120" w:after="120" w:line="240" w:lineRule="auto"/>
        <w:ind w:left="1134" w:hanging="1134"/>
        <w:rPr>
          <w:color w:val="auto"/>
          <w:sz w:val="24"/>
          <w:szCs w:val="24"/>
        </w:rPr>
      </w:pPr>
    </w:p>
    <w:p w14:paraId="587B269D" w14:textId="77777777" w:rsidR="002D7B36" w:rsidRPr="00DE12A3" w:rsidRDefault="002D7B36" w:rsidP="00C917D6">
      <w:pPr>
        <w:pStyle w:val="Gvdemetni2511"/>
        <w:shd w:val="clear" w:color="auto" w:fill="auto"/>
        <w:tabs>
          <w:tab w:val="left" w:pos="6240"/>
        </w:tabs>
        <w:spacing w:before="120" w:after="120" w:line="240" w:lineRule="auto"/>
        <w:ind w:left="12" w:rightChars="-20" w:right="-48" w:hangingChars="5" w:hanging="12"/>
        <w:rPr>
          <w:color w:val="auto"/>
          <w:sz w:val="24"/>
          <w:szCs w:val="24"/>
          <w:lang w:eastAsia="en-US"/>
        </w:rPr>
      </w:pPr>
    </w:p>
    <w:p w14:paraId="078533AC" w14:textId="77777777" w:rsidR="002D7B36" w:rsidRPr="00DE12A3" w:rsidRDefault="00242DA0" w:rsidP="00C917D6">
      <w:pPr>
        <w:pStyle w:val="Gvdemetni2511"/>
        <w:shd w:val="clear" w:color="auto" w:fill="auto"/>
        <w:spacing w:before="120" w:after="120" w:line="240" w:lineRule="auto"/>
        <w:ind w:left="1134" w:firstLine="0"/>
        <w:rPr>
          <w:color w:val="auto"/>
          <w:sz w:val="24"/>
          <w:szCs w:val="24"/>
        </w:rPr>
      </w:pPr>
      <w:r w:rsidRPr="00DE12A3">
        <w:rPr>
          <w:color w:val="auto"/>
          <w:sz w:val="24"/>
          <w:szCs w:val="24"/>
        </w:rPr>
        <w:t>Burada:</w:t>
      </w:r>
    </w:p>
    <w:p w14:paraId="1C1C10C6" w14:textId="77777777" w:rsidR="002D7B36" w:rsidRPr="00DE12A3" w:rsidRDefault="00242DA0" w:rsidP="00C917D6">
      <w:pPr>
        <w:pStyle w:val="Gvdemetni2511"/>
        <w:shd w:val="clear" w:color="auto" w:fill="auto"/>
        <w:spacing w:before="120" w:after="120" w:line="240" w:lineRule="auto"/>
        <w:ind w:left="1134" w:firstLine="0"/>
        <w:rPr>
          <w:color w:val="auto"/>
          <w:sz w:val="24"/>
          <w:szCs w:val="24"/>
        </w:rPr>
      </w:pPr>
      <w:r w:rsidRPr="00DE12A3">
        <w:rPr>
          <w:i/>
          <w:iCs/>
          <w:color w:val="auto"/>
          <w:spacing w:val="1"/>
          <w:sz w:val="24"/>
          <w:szCs w:val="24"/>
        </w:rPr>
        <w:t xml:space="preserve">a </w:t>
      </w:r>
      <w:r w:rsidRPr="00DE12A3">
        <w:rPr>
          <w:color w:val="auto"/>
          <w:spacing w:val="1"/>
          <w:sz w:val="24"/>
          <w:szCs w:val="24"/>
        </w:rPr>
        <w:t>= yakıt içindeki molar hidrojen-karbon oranı</w:t>
      </w:r>
      <w:r w:rsidRPr="00DE12A3">
        <w:rPr>
          <w:i/>
          <w:iCs/>
          <w:color w:val="auto"/>
          <w:spacing w:val="1"/>
          <w:sz w:val="24"/>
          <w:szCs w:val="24"/>
        </w:rPr>
        <w:t xml:space="preserve"> </w:t>
      </w:r>
      <w:r w:rsidRPr="00DE12A3">
        <w:rPr>
          <w:color w:val="auto"/>
          <w:sz w:val="24"/>
          <w:szCs w:val="24"/>
        </w:rPr>
        <w:t>[-]</w:t>
      </w:r>
    </w:p>
    <w:p w14:paraId="7BBC33BF" w14:textId="77777777" w:rsidR="002D7B36" w:rsidRPr="00DE12A3" w:rsidRDefault="00242DA0" w:rsidP="00C917D6">
      <w:pPr>
        <w:pStyle w:val="Gvdemetni2511"/>
        <w:shd w:val="clear" w:color="auto" w:fill="auto"/>
        <w:spacing w:before="120" w:after="120" w:line="240" w:lineRule="auto"/>
        <w:ind w:left="1134" w:firstLine="0"/>
        <w:rPr>
          <w:color w:val="auto"/>
          <w:sz w:val="24"/>
          <w:szCs w:val="24"/>
        </w:rPr>
      </w:pPr>
      <w:r w:rsidRPr="00DE12A3">
        <w:rPr>
          <w:color w:val="auto"/>
          <w:sz w:val="24"/>
          <w:szCs w:val="24"/>
        </w:rPr>
        <w:t>Alternatif olarak, eğer yakıt bileşimi bilinmiyorsa, aşağıdaki stokiyometrik faktörler kullanılabilir:</w:t>
      </w:r>
    </w:p>
    <w:p w14:paraId="7E1A32F3" w14:textId="77777777" w:rsidR="001A253A" w:rsidRPr="00DE12A3" w:rsidRDefault="001A253A" w:rsidP="00C917D6">
      <w:pPr>
        <w:spacing w:before="120" w:after="120"/>
        <w:ind w:left="1134"/>
        <w:rPr>
          <w:rFonts w:cs="Times New Roman"/>
          <w:color w:val="auto"/>
        </w:rPr>
      </w:pPr>
      <w:r w:rsidRPr="00DE12A3">
        <w:rPr>
          <w:rFonts w:cs="Times New Roman"/>
          <w:i/>
          <w:iCs/>
          <w:color w:val="auto"/>
        </w:rPr>
        <w:t>F</w:t>
      </w:r>
      <w:r w:rsidRPr="00DE12A3">
        <w:rPr>
          <w:rFonts w:cs="Times New Roman"/>
          <w:color w:val="auto"/>
          <w:vertAlign w:val="subscript"/>
        </w:rPr>
        <w:t>S</w:t>
      </w:r>
      <w:r w:rsidRPr="00DE12A3">
        <w:rPr>
          <w:rFonts w:cs="Times New Roman"/>
          <w:color w:val="auto"/>
        </w:rPr>
        <w:t xml:space="preserve"> (dizel) = 13,4</w:t>
      </w:r>
    </w:p>
    <w:p w14:paraId="4E218B30" w14:textId="77777777" w:rsidR="001A253A" w:rsidRPr="00DE12A3" w:rsidRDefault="001A253A" w:rsidP="00C917D6">
      <w:pPr>
        <w:spacing w:before="120" w:after="120"/>
        <w:ind w:left="1134"/>
        <w:rPr>
          <w:rFonts w:cs="Times New Roman"/>
          <w:color w:val="auto"/>
        </w:rPr>
      </w:pPr>
      <w:r w:rsidRPr="00DE12A3">
        <w:rPr>
          <w:rFonts w:cs="Times New Roman"/>
          <w:i/>
          <w:iCs/>
          <w:color w:val="auto"/>
        </w:rPr>
        <w:t>F</w:t>
      </w:r>
      <w:r w:rsidRPr="00DE12A3">
        <w:rPr>
          <w:rFonts w:cs="Times New Roman"/>
          <w:i/>
          <w:iCs/>
          <w:color w:val="auto"/>
          <w:vertAlign w:val="subscript"/>
        </w:rPr>
        <w:t>S</w:t>
      </w:r>
      <w:r w:rsidRPr="00DE12A3">
        <w:rPr>
          <w:rFonts w:cs="Times New Roman"/>
          <w:color w:val="auto"/>
        </w:rPr>
        <w:t xml:space="preserve"> (LPG) = 11,6</w:t>
      </w:r>
    </w:p>
    <w:p w14:paraId="77E59477" w14:textId="77777777" w:rsidR="001A253A" w:rsidRPr="00DE12A3" w:rsidRDefault="001A253A" w:rsidP="00C917D6">
      <w:pPr>
        <w:spacing w:before="120" w:after="120"/>
        <w:ind w:left="1134"/>
        <w:rPr>
          <w:rFonts w:cs="Times New Roman"/>
          <w:color w:val="auto"/>
        </w:rPr>
      </w:pPr>
      <w:r w:rsidRPr="00DE12A3">
        <w:rPr>
          <w:rFonts w:cs="Times New Roman"/>
          <w:i/>
          <w:iCs/>
          <w:color w:val="auto"/>
        </w:rPr>
        <w:t>F</w:t>
      </w:r>
      <w:r w:rsidRPr="00DE12A3">
        <w:rPr>
          <w:rFonts w:cs="Times New Roman"/>
          <w:i/>
          <w:iCs/>
          <w:color w:val="auto"/>
          <w:vertAlign w:val="subscript"/>
        </w:rPr>
        <w:t>S</w:t>
      </w:r>
      <w:r w:rsidRPr="00DE12A3">
        <w:rPr>
          <w:rFonts w:cs="Times New Roman"/>
          <w:color w:val="auto"/>
        </w:rPr>
        <w:t xml:space="preserve"> (NG) = 9,5</w:t>
      </w:r>
    </w:p>
    <w:p w14:paraId="3D7D85E1" w14:textId="77777777" w:rsidR="001A253A" w:rsidRPr="00DE12A3" w:rsidRDefault="001A253A" w:rsidP="00C917D6">
      <w:pPr>
        <w:spacing w:before="120" w:after="120"/>
        <w:ind w:left="1134"/>
        <w:rPr>
          <w:rFonts w:cs="Times New Roman"/>
          <w:color w:val="auto"/>
        </w:rPr>
      </w:pPr>
      <w:r w:rsidRPr="00DE12A3">
        <w:rPr>
          <w:rFonts w:cs="Times New Roman"/>
          <w:i/>
          <w:iCs/>
          <w:color w:val="auto"/>
        </w:rPr>
        <w:t>F</w:t>
      </w:r>
      <w:r w:rsidRPr="00DE12A3">
        <w:rPr>
          <w:rFonts w:cs="Times New Roman"/>
          <w:i/>
          <w:iCs/>
          <w:color w:val="auto"/>
          <w:vertAlign w:val="subscript"/>
        </w:rPr>
        <w:t>S</w:t>
      </w:r>
      <w:r w:rsidRPr="00DE12A3">
        <w:rPr>
          <w:rFonts w:cs="Times New Roman"/>
          <w:color w:val="auto"/>
        </w:rPr>
        <w:t xml:space="preserve"> (E10) = 13,3</w:t>
      </w:r>
    </w:p>
    <w:p w14:paraId="1385CAE7" w14:textId="77777777" w:rsidR="001A253A" w:rsidRPr="00DE12A3" w:rsidRDefault="001A253A" w:rsidP="00C917D6">
      <w:pPr>
        <w:spacing w:before="120" w:after="120"/>
        <w:ind w:left="1134"/>
        <w:rPr>
          <w:rFonts w:cs="Times New Roman"/>
          <w:color w:val="auto"/>
        </w:rPr>
      </w:pPr>
      <w:r w:rsidRPr="00DE12A3">
        <w:rPr>
          <w:rFonts w:cs="Times New Roman"/>
          <w:i/>
          <w:iCs/>
          <w:color w:val="auto"/>
        </w:rPr>
        <w:t>F</w:t>
      </w:r>
      <w:r w:rsidRPr="00DE12A3">
        <w:rPr>
          <w:rFonts w:cs="Times New Roman"/>
          <w:i/>
          <w:iCs/>
          <w:color w:val="auto"/>
          <w:vertAlign w:val="subscript"/>
        </w:rPr>
        <w:t>S</w:t>
      </w:r>
      <w:r w:rsidRPr="00DE12A3">
        <w:rPr>
          <w:rFonts w:cs="Times New Roman"/>
          <w:color w:val="auto"/>
        </w:rPr>
        <w:t xml:space="preserve"> (E85) = 11,5</w:t>
      </w:r>
    </w:p>
    <w:p w14:paraId="6E97486A" w14:textId="26CB414E" w:rsidR="002D7B36" w:rsidRPr="00DE12A3" w:rsidRDefault="000B4383" w:rsidP="00C917D6">
      <w:pPr>
        <w:pStyle w:val="Gvdemetni2511"/>
        <w:shd w:val="clear" w:color="auto" w:fill="auto"/>
        <w:spacing w:before="120" w:after="120" w:line="240" w:lineRule="auto"/>
        <w:ind w:left="1134" w:hanging="1134"/>
        <w:rPr>
          <w:color w:val="auto"/>
          <w:sz w:val="24"/>
          <w:szCs w:val="24"/>
        </w:rPr>
      </w:pPr>
      <w:r w:rsidRPr="00DE12A3">
        <w:rPr>
          <w:color w:val="auto"/>
          <w:sz w:val="24"/>
          <w:szCs w:val="24"/>
        </w:rPr>
        <w:t xml:space="preserve">                  </w:t>
      </w:r>
      <w:r w:rsidR="00242DA0" w:rsidRPr="00DE12A3">
        <w:rPr>
          <w:color w:val="auto"/>
          <w:sz w:val="24"/>
          <w:szCs w:val="24"/>
        </w:rPr>
        <w:t xml:space="preserve">Egzoz gazı akışından doğrudan ölçüm yapılırsa, seyreltme faktörü </w:t>
      </w:r>
      <w:r w:rsidR="00242DA0" w:rsidRPr="00DE12A3">
        <w:rPr>
          <w:i/>
          <w:iCs/>
          <w:color w:val="auto"/>
          <w:sz w:val="24"/>
          <w:szCs w:val="24"/>
        </w:rPr>
        <w:t>D</w:t>
      </w:r>
      <w:r w:rsidR="00242DA0" w:rsidRPr="00DE12A3">
        <w:rPr>
          <w:color w:val="auto"/>
          <w:sz w:val="24"/>
          <w:szCs w:val="24"/>
        </w:rPr>
        <w:t xml:space="preserve"> [-], (7-30) </w:t>
      </w:r>
      <w:r w:rsidR="005E1C7E" w:rsidRPr="00DE12A3">
        <w:rPr>
          <w:color w:val="auto"/>
          <w:sz w:val="24"/>
          <w:szCs w:val="24"/>
        </w:rPr>
        <w:t>numaralı</w:t>
      </w:r>
      <w:r w:rsidR="005E1C7E" w:rsidRPr="00DE12A3" w:rsidDel="005E1C7E">
        <w:rPr>
          <w:color w:val="auto"/>
          <w:sz w:val="24"/>
          <w:szCs w:val="24"/>
        </w:rPr>
        <w:t xml:space="preserve"> </w:t>
      </w:r>
      <w:r w:rsidR="00242DA0" w:rsidRPr="00DE12A3">
        <w:rPr>
          <w:color w:val="auto"/>
          <w:sz w:val="24"/>
          <w:szCs w:val="24"/>
        </w:rPr>
        <w:t>denklem ile hesaplanabilir:</w:t>
      </w:r>
    </w:p>
    <w:p w14:paraId="3CC1FCED" w14:textId="77777777" w:rsidR="002D7B36" w:rsidRPr="00DE12A3" w:rsidRDefault="000B4383" w:rsidP="00C917D6">
      <w:pPr>
        <w:pStyle w:val="Gvdemetni2511"/>
        <w:shd w:val="clear" w:color="auto" w:fill="auto"/>
        <w:spacing w:before="120" w:after="120" w:line="240" w:lineRule="auto"/>
        <w:ind w:left="1134" w:hanging="1134"/>
        <w:rPr>
          <w:color w:val="auto"/>
          <w:sz w:val="24"/>
          <w:szCs w:val="24"/>
        </w:rPr>
      </w:pPr>
      <w:r w:rsidRPr="00DE12A3">
        <w:rPr>
          <w:noProof/>
          <w:color w:val="auto"/>
          <w:sz w:val="24"/>
          <w:szCs w:val="24"/>
        </w:rPr>
        <w:drawing>
          <wp:anchor distT="0" distB="0" distL="114300" distR="114300" simplePos="0" relativeHeight="251681280" behindDoc="0" locked="0" layoutInCell="1" allowOverlap="1" wp14:anchorId="1894CAE4" wp14:editId="5F4D27A6">
            <wp:simplePos x="0" y="0"/>
            <wp:positionH relativeFrom="column">
              <wp:posOffset>342265</wp:posOffset>
            </wp:positionH>
            <wp:positionV relativeFrom="paragraph">
              <wp:posOffset>212090</wp:posOffset>
            </wp:positionV>
            <wp:extent cx="5426710" cy="435610"/>
            <wp:effectExtent l="0" t="0" r="8255" b="10160"/>
            <wp:wrapSquare wrapText="bothSides"/>
            <wp:docPr id="95"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Picture 14"/>
                    <pic:cNvPicPr>
                      <a:picLocks noChangeAspect="1"/>
                    </pic:cNvPicPr>
                  </pic:nvPicPr>
                  <pic:blipFill>
                    <a:blip r:embed="rId88"/>
                    <a:stretch>
                      <a:fillRect/>
                    </a:stretch>
                  </pic:blipFill>
                  <pic:spPr>
                    <a:xfrm>
                      <a:off x="0" y="0"/>
                      <a:ext cx="5426710" cy="435610"/>
                    </a:xfrm>
                    <a:prstGeom prst="rect">
                      <a:avLst/>
                    </a:prstGeom>
                    <a:noFill/>
                    <a:ln>
                      <a:noFill/>
                    </a:ln>
                  </pic:spPr>
                </pic:pic>
              </a:graphicData>
            </a:graphic>
          </wp:anchor>
        </w:drawing>
      </w:r>
      <w:r w:rsidRPr="00DE12A3">
        <w:rPr>
          <w:noProof/>
          <w:color w:val="auto"/>
          <w:sz w:val="24"/>
          <w:szCs w:val="24"/>
        </w:rPr>
        <w:t xml:space="preserve"> </w:t>
      </w:r>
    </w:p>
    <w:p w14:paraId="7910D1A8" w14:textId="77777777" w:rsidR="002D7B36" w:rsidRPr="00DE12A3" w:rsidRDefault="00242DA0" w:rsidP="00C917D6">
      <w:pPr>
        <w:pStyle w:val="Gvdemetni2511"/>
        <w:shd w:val="clear" w:color="auto" w:fill="auto"/>
        <w:spacing w:before="120" w:after="120" w:line="240" w:lineRule="auto"/>
        <w:ind w:left="1134" w:firstLine="0"/>
        <w:rPr>
          <w:color w:val="auto"/>
          <w:sz w:val="24"/>
          <w:szCs w:val="24"/>
        </w:rPr>
      </w:pPr>
      <w:r w:rsidRPr="00DE12A3">
        <w:rPr>
          <w:color w:val="auto"/>
          <w:sz w:val="24"/>
          <w:szCs w:val="24"/>
        </w:rPr>
        <w:t>Burada:</w:t>
      </w:r>
    </w:p>
    <w:p w14:paraId="154817C4" w14:textId="344B600E" w:rsidR="002D7B36" w:rsidRPr="00DE12A3" w:rsidRDefault="00242DA0" w:rsidP="00C917D6">
      <w:pPr>
        <w:pStyle w:val="Gvdemetni2511"/>
        <w:shd w:val="clear" w:color="auto" w:fill="auto"/>
        <w:spacing w:before="120" w:after="120" w:line="240" w:lineRule="auto"/>
        <w:ind w:left="1134" w:firstLine="0"/>
        <w:rPr>
          <w:color w:val="auto"/>
          <w:sz w:val="24"/>
          <w:szCs w:val="24"/>
        </w:rPr>
      </w:pPr>
      <w:r w:rsidRPr="00DE12A3">
        <w:rPr>
          <w:rStyle w:val="Gvdemetni254pttalik0ptbolukbraklyor26"/>
          <w:color w:val="auto"/>
          <w:sz w:val="24"/>
          <w:szCs w:val="24"/>
        </w:rPr>
        <w:t>q</w:t>
      </w:r>
      <w:r w:rsidRPr="00DE12A3">
        <w:rPr>
          <w:color w:val="auto"/>
          <w:sz w:val="24"/>
          <w:szCs w:val="24"/>
          <w:vertAlign w:val="subscript"/>
        </w:rPr>
        <w:t>VCVS</w:t>
      </w:r>
      <w:r w:rsidRPr="00DE12A3">
        <w:rPr>
          <w:color w:val="auto"/>
          <w:sz w:val="24"/>
          <w:szCs w:val="24"/>
        </w:rPr>
        <w:t xml:space="preserve"> </w:t>
      </w:r>
      <w:r w:rsidR="006743BC" w:rsidRPr="00DE12A3">
        <w:rPr>
          <w:color w:val="auto"/>
          <w:sz w:val="24"/>
          <w:szCs w:val="24"/>
        </w:rPr>
        <w:t xml:space="preserve">= </w:t>
      </w:r>
      <w:r w:rsidRPr="00DE12A3">
        <w:rPr>
          <w:color w:val="auto"/>
          <w:sz w:val="24"/>
          <w:szCs w:val="24"/>
        </w:rPr>
        <w:t>seyreltik egzoz gazının hacimsel akış hızı [m</w:t>
      </w:r>
      <w:r w:rsidRPr="00DE12A3">
        <w:rPr>
          <w:color w:val="auto"/>
          <w:sz w:val="24"/>
          <w:szCs w:val="24"/>
          <w:vertAlign w:val="superscript"/>
        </w:rPr>
        <w:t>3</w:t>
      </w:r>
      <w:r w:rsidRPr="00DE12A3">
        <w:rPr>
          <w:color w:val="auto"/>
          <w:sz w:val="24"/>
          <w:szCs w:val="24"/>
        </w:rPr>
        <w:t>/s]</w:t>
      </w:r>
    </w:p>
    <w:p w14:paraId="09C465E4" w14:textId="77777777" w:rsidR="002D7B36" w:rsidRPr="00DE12A3" w:rsidRDefault="00242DA0" w:rsidP="00C917D6">
      <w:pPr>
        <w:pStyle w:val="Gvdemetni2511"/>
        <w:shd w:val="clear" w:color="auto" w:fill="auto"/>
        <w:spacing w:before="120" w:after="120" w:line="240" w:lineRule="auto"/>
        <w:ind w:left="1134" w:firstLine="0"/>
        <w:rPr>
          <w:color w:val="auto"/>
          <w:sz w:val="24"/>
          <w:szCs w:val="24"/>
        </w:rPr>
      </w:pPr>
      <w:r w:rsidRPr="00DE12A3">
        <w:rPr>
          <w:color w:val="auto"/>
          <w:sz w:val="24"/>
          <w:szCs w:val="24"/>
        </w:rPr>
        <w:t>q</w:t>
      </w:r>
      <w:r w:rsidRPr="00DE12A3">
        <w:rPr>
          <w:color w:val="auto"/>
          <w:sz w:val="24"/>
          <w:szCs w:val="24"/>
          <w:vertAlign w:val="subscript"/>
        </w:rPr>
        <w:t>Vew</w:t>
      </w:r>
      <w:r w:rsidRPr="00DE12A3">
        <w:rPr>
          <w:color w:val="auto"/>
          <w:sz w:val="24"/>
          <w:szCs w:val="24"/>
        </w:rPr>
        <w:t xml:space="preserve"> = ham egzoz gazının hacimsel akış hızı [m</w:t>
      </w:r>
      <w:r w:rsidRPr="00DE12A3">
        <w:rPr>
          <w:color w:val="auto"/>
          <w:sz w:val="24"/>
          <w:szCs w:val="24"/>
          <w:vertAlign w:val="superscript"/>
        </w:rPr>
        <w:t>3</w:t>
      </w:r>
      <w:r w:rsidRPr="00DE12A3">
        <w:rPr>
          <w:color w:val="auto"/>
          <w:sz w:val="24"/>
          <w:szCs w:val="24"/>
        </w:rPr>
        <w:t>/s]</w:t>
      </w:r>
    </w:p>
    <w:p w14:paraId="4E858B55" w14:textId="77777777" w:rsidR="002D7B36" w:rsidRPr="00DE12A3" w:rsidRDefault="000B4383" w:rsidP="00E20716">
      <w:pPr>
        <w:pStyle w:val="Gvdemetni2511"/>
        <w:numPr>
          <w:ilvl w:val="0"/>
          <w:numId w:val="400"/>
        </w:numPr>
        <w:shd w:val="clear" w:color="auto" w:fill="auto"/>
        <w:tabs>
          <w:tab w:val="left" w:pos="768"/>
        </w:tabs>
        <w:spacing w:before="120" w:after="120" w:line="240" w:lineRule="auto"/>
        <w:ind w:left="1134" w:hanging="1134"/>
        <w:rPr>
          <w:color w:val="auto"/>
          <w:sz w:val="24"/>
          <w:szCs w:val="24"/>
        </w:rPr>
      </w:pPr>
      <w:r w:rsidRPr="00DE12A3">
        <w:rPr>
          <w:color w:val="auto"/>
          <w:sz w:val="24"/>
          <w:szCs w:val="24"/>
        </w:rPr>
        <w:t xml:space="preserve">      </w:t>
      </w:r>
      <w:r w:rsidR="00242DA0" w:rsidRPr="00DE12A3">
        <w:rPr>
          <w:color w:val="auto"/>
          <w:sz w:val="24"/>
          <w:szCs w:val="24"/>
        </w:rPr>
        <w:t>Seyreltme havası</w:t>
      </w:r>
    </w:p>
    <w:p w14:paraId="743F1BDC" w14:textId="38D3F234" w:rsidR="002D7B36" w:rsidRPr="00DE12A3" w:rsidRDefault="00B20216" w:rsidP="00C917D6">
      <w:pPr>
        <w:pStyle w:val="Gvdemetni2511"/>
        <w:shd w:val="clear" w:color="auto" w:fill="auto"/>
        <w:tabs>
          <w:tab w:val="left" w:pos="6240"/>
        </w:tabs>
        <w:spacing w:before="120" w:after="120" w:line="240" w:lineRule="auto"/>
        <w:ind w:left="12" w:rightChars="-20" w:right="-48" w:hangingChars="5" w:hanging="12"/>
        <w:rPr>
          <w:color w:val="auto"/>
          <w:sz w:val="24"/>
          <w:szCs w:val="24"/>
          <w:lang w:eastAsia="en-US"/>
        </w:rPr>
      </w:pPr>
      <w:r w:rsidRPr="00DE12A3">
        <w:rPr>
          <w:noProof/>
          <w:color w:val="auto"/>
          <w:sz w:val="24"/>
          <w:szCs w:val="24"/>
        </w:rPr>
        <w:drawing>
          <wp:anchor distT="0" distB="0" distL="114300" distR="114300" simplePos="0" relativeHeight="251687424" behindDoc="0" locked="0" layoutInCell="1" allowOverlap="1" wp14:anchorId="4EB1035B" wp14:editId="2DF6F93A">
            <wp:simplePos x="0" y="0"/>
            <wp:positionH relativeFrom="column">
              <wp:posOffset>1285240</wp:posOffset>
            </wp:positionH>
            <wp:positionV relativeFrom="paragraph">
              <wp:posOffset>170180</wp:posOffset>
            </wp:positionV>
            <wp:extent cx="3333750" cy="314325"/>
            <wp:effectExtent l="0" t="0" r="0" b="9525"/>
            <wp:wrapSquare wrapText="bothSides"/>
            <wp:docPr id="7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Picture 3"/>
                    <pic:cNvPicPr>
                      <a:picLocks noChangeAspect="1"/>
                    </pic:cNvPicPr>
                  </pic:nvPicPr>
                  <pic:blipFill>
                    <a:blip r:embed="rId89"/>
                    <a:stretch>
                      <a:fillRect/>
                    </a:stretch>
                  </pic:blipFill>
                  <pic:spPr>
                    <a:xfrm>
                      <a:off x="0" y="0"/>
                      <a:ext cx="3333750" cy="314325"/>
                    </a:xfrm>
                    <a:prstGeom prst="rect">
                      <a:avLst/>
                    </a:prstGeom>
                    <a:noFill/>
                    <a:ln>
                      <a:noFill/>
                    </a:ln>
                  </pic:spPr>
                </pic:pic>
              </a:graphicData>
            </a:graphic>
          </wp:anchor>
        </w:drawing>
      </w:r>
    </w:p>
    <w:p w14:paraId="341CBAE9" w14:textId="77777777" w:rsidR="002D7B36" w:rsidRPr="00DE12A3" w:rsidRDefault="002D7B36" w:rsidP="00C917D6">
      <w:pPr>
        <w:pStyle w:val="Gvdemetni2511"/>
        <w:shd w:val="clear" w:color="auto" w:fill="auto"/>
        <w:tabs>
          <w:tab w:val="left" w:pos="6240"/>
        </w:tabs>
        <w:spacing w:before="120" w:after="120" w:line="240" w:lineRule="auto"/>
        <w:ind w:left="12" w:rightChars="-20" w:right="-48" w:hangingChars="5" w:hanging="12"/>
        <w:rPr>
          <w:color w:val="auto"/>
          <w:sz w:val="24"/>
          <w:szCs w:val="24"/>
          <w:lang w:eastAsia="en-US"/>
        </w:rPr>
      </w:pPr>
    </w:p>
    <w:p w14:paraId="4D3B5D60" w14:textId="77777777" w:rsidR="002D7B36" w:rsidRPr="00DE12A3" w:rsidRDefault="002D7B36" w:rsidP="00C917D6">
      <w:pPr>
        <w:pStyle w:val="Gvdemetni2511"/>
        <w:shd w:val="clear" w:color="auto" w:fill="auto"/>
        <w:tabs>
          <w:tab w:val="left" w:pos="6240"/>
        </w:tabs>
        <w:spacing w:before="120" w:after="120" w:line="240" w:lineRule="auto"/>
        <w:ind w:left="12" w:rightChars="-20" w:right="-48" w:hangingChars="5" w:hanging="12"/>
        <w:rPr>
          <w:color w:val="auto"/>
          <w:sz w:val="24"/>
          <w:szCs w:val="24"/>
          <w:lang w:eastAsia="en-US"/>
        </w:rPr>
      </w:pPr>
    </w:p>
    <w:p w14:paraId="5C170E2C" w14:textId="77777777" w:rsidR="002D7B36" w:rsidRPr="00DE12A3" w:rsidRDefault="00242DA0" w:rsidP="00C917D6">
      <w:pPr>
        <w:widowControl/>
        <w:spacing w:before="120" w:after="120"/>
        <w:ind w:left="1134" w:hanging="1134"/>
        <w:jc w:val="center"/>
        <w:rPr>
          <w:rFonts w:cs="Times New Roman"/>
          <w:color w:val="auto"/>
        </w:rPr>
      </w:pPr>
      <w:r w:rsidRPr="00DE12A3">
        <w:rPr>
          <w:rFonts w:eastAsia="SimSun" w:cs="Times New Roman"/>
          <w:color w:val="auto"/>
          <w:lang w:eastAsia="zh-CN" w:bidi="ar"/>
        </w:rPr>
        <w:t>ve</w:t>
      </w:r>
    </w:p>
    <w:p w14:paraId="1CE213C1" w14:textId="74DE2F9F" w:rsidR="002D7B36" w:rsidRPr="00DE12A3" w:rsidRDefault="00242DA0" w:rsidP="00C917D6">
      <w:pPr>
        <w:widowControl/>
        <w:spacing w:before="120" w:after="120"/>
        <w:ind w:left="1134" w:hanging="1134"/>
        <w:jc w:val="center"/>
        <w:rPr>
          <w:rFonts w:eastAsia="SimSun" w:cs="Times New Roman"/>
          <w:color w:val="auto"/>
          <w:lang w:eastAsia="en-US" w:bidi="ar"/>
        </w:rPr>
      </w:pPr>
      <w:r w:rsidRPr="00DE12A3">
        <w:rPr>
          <w:rFonts w:cs="Times New Roman"/>
          <w:noProof/>
          <w:color w:val="auto"/>
        </w:rPr>
        <w:drawing>
          <wp:inline distT="0" distB="0" distL="114300" distR="114300" wp14:anchorId="1A73AD2F" wp14:editId="76C3EB73">
            <wp:extent cx="4142105" cy="409575"/>
            <wp:effectExtent l="0" t="0" r="10795" b="9525"/>
            <wp:docPr id="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1"/>
                    <pic:cNvPicPr>
                      <a:picLocks noChangeAspect="1"/>
                    </pic:cNvPicPr>
                  </pic:nvPicPr>
                  <pic:blipFill>
                    <a:blip r:embed="rId90"/>
                    <a:stretch>
                      <a:fillRect/>
                    </a:stretch>
                  </pic:blipFill>
                  <pic:spPr>
                    <a:xfrm>
                      <a:off x="0" y="0"/>
                      <a:ext cx="4142105" cy="409575"/>
                    </a:xfrm>
                    <a:prstGeom prst="rect">
                      <a:avLst/>
                    </a:prstGeom>
                    <a:noFill/>
                    <a:ln>
                      <a:noFill/>
                    </a:ln>
                  </pic:spPr>
                </pic:pic>
              </a:graphicData>
            </a:graphic>
          </wp:inline>
        </w:drawing>
      </w:r>
    </w:p>
    <w:p w14:paraId="281C8B16" w14:textId="77777777" w:rsidR="002D7B36" w:rsidRPr="00DE12A3" w:rsidRDefault="000B4383" w:rsidP="00C917D6">
      <w:pPr>
        <w:widowControl/>
        <w:spacing w:before="120" w:after="120"/>
        <w:ind w:left="1134"/>
        <w:jc w:val="both"/>
        <w:rPr>
          <w:rFonts w:eastAsia="SimSun" w:cs="Times New Roman"/>
          <w:color w:val="auto"/>
          <w:lang w:eastAsia="zh-CN" w:bidi="ar"/>
        </w:rPr>
      </w:pPr>
      <w:r w:rsidRPr="00DE12A3">
        <w:rPr>
          <w:rFonts w:eastAsia="SimSun" w:cs="Times New Roman"/>
          <w:color w:val="auto"/>
          <w:lang w:eastAsia="zh-CN" w:bidi="ar"/>
        </w:rPr>
        <w:t>B</w:t>
      </w:r>
      <w:r w:rsidR="00242DA0" w:rsidRPr="00DE12A3">
        <w:rPr>
          <w:rFonts w:eastAsia="SimSun" w:cs="Times New Roman"/>
          <w:color w:val="auto"/>
          <w:lang w:eastAsia="zh-CN" w:bidi="ar"/>
        </w:rPr>
        <w:t xml:space="preserve">urada: </w:t>
      </w:r>
    </w:p>
    <w:p w14:paraId="6A1098C4" w14:textId="77777777" w:rsidR="002D7B36" w:rsidRPr="00DE12A3" w:rsidRDefault="00242DA0" w:rsidP="00C917D6">
      <w:pPr>
        <w:widowControl/>
        <w:spacing w:before="120" w:after="120"/>
        <w:ind w:left="1134"/>
        <w:jc w:val="both"/>
        <w:rPr>
          <w:rFonts w:cs="Times New Roman"/>
          <w:color w:val="auto"/>
        </w:rPr>
      </w:pPr>
      <w:r w:rsidRPr="00DE12A3">
        <w:rPr>
          <w:rFonts w:eastAsia="SimSun" w:cs="Times New Roman"/>
          <w:color w:val="auto"/>
          <w:lang w:eastAsia="zh-CN" w:bidi="ar"/>
        </w:rPr>
        <w:t>H</w:t>
      </w:r>
      <w:r w:rsidRPr="00DE12A3">
        <w:rPr>
          <w:rFonts w:eastAsia="SimSun" w:cs="Times New Roman"/>
          <w:color w:val="auto"/>
          <w:vertAlign w:val="subscript"/>
          <w:lang w:eastAsia="zh-CN" w:bidi="ar"/>
        </w:rPr>
        <w:t>d</w:t>
      </w:r>
      <w:r w:rsidRPr="00DE12A3">
        <w:rPr>
          <w:rFonts w:eastAsia="SimSun" w:cs="Times New Roman"/>
          <w:color w:val="auto"/>
          <w:lang w:eastAsia="zh-CN" w:bidi="ar"/>
        </w:rPr>
        <w:t xml:space="preserve"> = seyreltme havası nemi [g H2O/kg kuru hava] </w:t>
      </w:r>
    </w:p>
    <w:p w14:paraId="19C185E0" w14:textId="77777777" w:rsidR="002D7B36" w:rsidRPr="00DE12A3" w:rsidRDefault="000B4383" w:rsidP="00E20716">
      <w:pPr>
        <w:numPr>
          <w:ilvl w:val="0"/>
          <w:numId w:val="400"/>
        </w:numPr>
        <w:tabs>
          <w:tab w:val="left" w:pos="768"/>
        </w:tabs>
        <w:spacing w:before="120" w:after="120"/>
        <w:ind w:left="1134" w:hanging="1134"/>
        <w:jc w:val="both"/>
        <w:rPr>
          <w:rFonts w:eastAsia="Times New Roman" w:cs="Times New Roman"/>
          <w:color w:val="auto"/>
          <w:spacing w:val="3"/>
        </w:rPr>
      </w:pPr>
      <w:r w:rsidRPr="00DE12A3">
        <w:rPr>
          <w:rFonts w:eastAsia="Times New Roman" w:cs="Times New Roman"/>
          <w:color w:val="auto"/>
          <w:spacing w:val="3"/>
        </w:rPr>
        <w:lastRenderedPageBreak/>
        <w:t xml:space="preserve">     </w:t>
      </w:r>
      <w:r w:rsidR="00242DA0" w:rsidRPr="00DE12A3">
        <w:rPr>
          <w:rFonts w:eastAsia="Times New Roman" w:cs="Times New Roman"/>
          <w:color w:val="auto"/>
          <w:spacing w:val="3"/>
        </w:rPr>
        <w:t>Arka plan düzeltilmiş konsantrasyonun belirlenmesi</w:t>
      </w:r>
    </w:p>
    <w:p w14:paraId="3039A0B7" w14:textId="5E952021" w:rsidR="002D7B36" w:rsidRPr="00DE12A3" w:rsidRDefault="000B4383" w:rsidP="00C917D6">
      <w:pPr>
        <w:tabs>
          <w:tab w:val="left" w:pos="9120"/>
        </w:tabs>
        <w:spacing w:before="120" w:after="120"/>
        <w:ind w:left="1134" w:hanging="1134"/>
        <w:jc w:val="both"/>
        <w:rPr>
          <w:rFonts w:eastAsia="Times New Roman" w:cs="Times New Roman"/>
          <w:color w:val="auto"/>
          <w:spacing w:val="3"/>
        </w:rPr>
      </w:pPr>
      <w:r w:rsidRPr="00DE12A3">
        <w:rPr>
          <w:rFonts w:eastAsia="Times New Roman" w:cs="Times New Roman"/>
          <w:color w:val="auto"/>
          <w:spacing w:val="3"/>
        </w:rPr>
        <w:t xml:space="preserve">                  </w:t>
      </w:r>
      <w:r w:rsidR="00242DA0" w:rsidRPr="00DE12A3">
        <w:rPr>
          <w:rFonts w:eastAsia="Times New Roman" w:cs="Times New Roman"/>
          <w:color w:val="auto"/>
          <w:spacing w:val="3"/>
        </w:rPr>
        <w:t xml:space="preserve">Seyreltme havasında bulunan gaz halindeki kirleticilerin ortalama arka plan konsantrasyonu, kirleticilerin net konsantrasyonlarını elde etmek için ölçülen konsantrasyonlardan çıkarılmalıdır. Arka plan konsantrasyonlarının ortalama değerleri numune torbası yöntemi kullanılarak veya entegrasyon ile sürekli ölçüm yapılarak belirlenebilir. (7-33) </w:t>
      </w:r>
      <w:r w:rsidR="005E1C7E" w:rsidRPr="00DE12A3">
        <w:rPr>
          <w:color w:val="auto"/>
        </w:rPr>
        <w:t>numaralı</w:t>
      </w:r>
      <w:r w:rsidR="005E1C7E" w:rsidRPr="00DE12A3" w:rsidDel="005E1C7E">
        <w:rPr>
          <w:rFonts w:eastAsia="Times New Roman" w:cs="Times New Roman"/>
          <w:color w:val="auto"/>
          <w:spacing w:val="3"/>
        </w:rPr>
        <w:t xml:space="preserve"> </w:t>
      </w:r>
      <w:r w:rsidR="00242DA0" w:rsidRPr="00DE12A3">
        <w:rPr>
          <w:rFonts w:eastAsia="Times New Roman" w:cs="Times New Roman"/>
          <w:color w:val="auto"/>
          <w:spacing w:val="3"/>
        </w:rPr>
        <w:t>denklem kullanılmalıdır:</w:t>
      </w:r>
    </w:p>
    <w:p w14:paraId="2DD76B1E" w14:textId="6DA25375" w:rsidR="002D7B36" w:rsidRPr="00DE12A3" w:rsidRDefault="00242DA0" w:rsidP="00C917D6">
      <w:pPr>
        <w:widowControl/>
        <w:spacing w:before="120" w:after="120"/>
        <w:ind w:left="1134" w:hanging="1134"/>
        <w:jc w:val="both"/>
        <w:rPr>
          <w:rFonts w:eastAsia="SimSun" w:cs="Times New Roman"/>
          <w:color w:val="auto"/>
          <w:lang w:eastAsia="en-US" w:bidi="ar"/>
        </w:rPr>
      </w:pPr>
      <w:r w:rsidRPr="00DE12A3">
        <w:rPr>
          <w:rFonts w:cs="Times New Roman"/>
          <w:noProof/>
          <w:color w:val="auto"/>
        </w:rPr>
        <w:drawing>
          <wp:anchor distT="0" distB="0" distL="114300" distR="114300" simplePos="0" relativeHeight="251693568" behindDoc="0" locked="0" layoutInCell="1" allowOverlap="1" wp14:anchorId="1D5B95EA" wp14:editId="552CA29F">
            <wp:simplePos x="0" y="0"/>
            <wp:positionH relativeFrom="column">
              <wp:posOffset>720970</wp:posOffset>
            </wp:positionH>
            <wp:positionV relativeFrom="paragraph">
              <wp:posOffset>113910</wp:posOffset>
            </wp:positionV>
            <wp:extent cx="3686175" cy="295275"/>
            <wp:effectExtent l="0" t="0" r="9525" b="9525"/>
            <wp:wrapSquare wrapText="bothSides"/>
            <wp:docPr id="7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Picture 4"/>
                    <pic:cNvPicPr>
                      <a:picLocks noChangeAspect="1"/>
                    </pic:cNvPicPr>
                  </pic:nvPicPr>
                  <pic:blipFill>
                    <a:blip r:embed="rId91"/>
                    <a:stretch>
                      <a:fillRect/>
                    </a:stretch>
                  </pic:blipFill>
                  <pic:spPr>
                    <a:xfrm>
                      <a:off x="0" y="0"/>
                      <a:ext cx="3686175" cy="295275"/>
                    </a:xfrm>
                    <a:prstGeom prst="rect">
                      <a:avLst/>
                    </a:prstGeom>
                    <a:noFill/>
                    <a:ln>
                      <a:noFill/>
                    </a:ln>
                  </pic:spPr>
                </pic:pic>
              </a:graphicData>
            </a:graphic>
          </wp:anchor>
        </w:drawing>
      </w:r>
    </w:p>
    <w:p w14:paraId="3C35212F" w14:textId="77777777" w:rsidR="002D7B36" w:rsidRPr="00DE12A3" w:rsidRDefault="002D7B36" w:rsidP="00C917D6">
      <w:pPr>
        <w:widowControl/>
        <w:spacing w:before="120" w:after="120"/>
        <w:ind w:left="1134" w:hanging="1134"/>
        <w:jc w:val="both"/>
        <w:rPr>
          <w:rFonts w:eastAsia="SimSun" w:cs="Times New Roman"/>
          <w:color w:val="auto"/>
          <w:lang w:eastAsia="en-US" w:bidi="ar"/>
        </w:rPr>
      </w:pPr>
    </w:p>
    <w:p w14:paraId="5D46E642" w14:textId="77777777" w:rsidR="002D7B36" w:rsidRPr="00DE12A3" w:rsidRDefault="00242DA0" w:rsidP="00C917D6">
      <w:pPr>
        <w:pStyle w:val="Gvdemetni2511"/>
        <w:shd w:val="clear" w:color="auto" w:fill="auto"/>
        <w:spacing w:before="120" w:after="120" w:line="240" w:lineRule="auto"/>
        <w:ind w:left="1134" w:firstLine="0"/>
        <w:rPr>
          <w:color w:val="auto"/>
          <w:sz w:val="24"/>
          <w:szCs w:val="24"/>
        </w:rPr>
      </w:pPr>
      <w:r w:rsidRPr="00DE12A3">
        <w:rPr>
          <w:color w:val="auto"/>
          <w:sz w:val="24"/>
          <w:szCs w:val="24"/>
        </w:rPr>
        <w:t>Burada:</w:t>
      </w:r>
    </w:p>
    <w:p w14:paraId="03FC582F" w14:textId="77777777" w:rsidR="002D7B36" w:rsidRPr="00DE12A3" w:rsidRDefault="00242DA0" w:rsidP="00C917D6">
      <w:pPr>
        <w:pStyle w:val="Gvdemetni2511"/>
        <w:shd w:val="clear" w:color="auto" w:fill="auto"/>
        <w:tabs>
          <w:tab w:val="left" w:pos="1276"/>
        </w:tabs>
        <w:spacing w:before="120" w:after="120" w:line="240" w:lineRule="auto"/>
        <w:ind w:left="1134" w:firstLine="0"/>
        <w:rPr>
          <w:color w:val="auto"/>
          <w:sz w:val="24"/>
          <w:szCs w:val="24"/>
        </w:rPr>
      </w:pPr>
      <w:r w:rsidRPr="00DE12A3">
        <w:rPr>
          <w:i/>
          <w:color w:val="auto"/>
          <w:sz w:val="24"/>
          <w:szCs w:val="24"/>
        </w:rPr>
        <w:t>c</w:t>
      </w:r>
      <w:r w:rsidRPr="00DE12A3">
        <w:rPr>
          <w:color w:val="auto"/>
          <w:sz w:val="24"/>
          <w:szCs w:val="24"/>
          <w:vertAlign w:val="subscript"/>
        </w:rPr>
        <w:t>gas</w:t>
      </w:r>
      <w:r w:rsidRPr="00DE12A3">
        <w:rPr>
          <w:color w:val="auto"/>
          <w:sz w:val="24"/>
          <w:szCs w:val="24"/>
        </w:rPr>
        <w:tab/>
        <w:t>=gaz halindeki kirleticinin net konsantrasyonu [ppm] veya [% hacim]</w:t>
      </w:r>
    </w:p>
    <w:p w14:paraId="02CFAD43" w14:textId="77777777" w:rsidR="002D7B36" w:rsidRPr="00DE12A3" w:rsidRDefault="00242DA0" w:rsidP="00C917D6">
      <w:pPr>
        <w:pStyle w:val="Gvdemetni2511"/>
        <w:shd w:val="clear" w:color="auto" w:fill="auto"/>
        <w:tabs>
          <w:tab w:val="left" w:pos="1276"/>
        </w:tabs>
        <w:spacing w:before="120" w:after="120" w:line="240" w:lineRule="auto"/>
        <w:ind w:left="1134" w:firstLine="0"/>
        <w:rPr>
          <w:color w:val="auto"/>
          <w:sz w:val="24"/>
          <w:szCs w:val="24"/>
        </w:rPr>
      </w:pPr>
      <w:r w:rsidRPr="00DE12A3">
        <w:rPr>
          <w:i/>
          <w:color w:val="auto"/>
          <w:sz w:val="24"/>
          <w:szCs w:val="24"/>
        </w:rPr>
        <w:t>c</w:t>
      </w:r>
      <w:r w:rsidRPr="00DE12A3">
        <w:rPr>
          <w:color w:val="auto"/>
          <w:sz w:val="24"/>
          <w:szCs w:val="24"/>
          <w:vertAlign w:val="subscript"/>
        </w:rPr>
        <w:t>gas</w:t>
      </w:r>
      <w:r w:rsidRPr="00DE12A3">
        <w:rPr>
          <w:color w:val="auto"/>
          <w:sz w:val="24"/>
          <w:szCs w:val="24"/>
        </w:rPr>
        <w:t>,</w:t>
      </w:r>
      <w:r w:rsidRPr="00DE12A3">
        <w:rPr>
          <w:color w:val="auto"/>
          <w:sz w:val="24"/>
          <w:szCs w:val="24"/>
          <w:vertAlign w:val="subscript"/>
        </w:rPr>
        <w:t>e</w:t>
      </w:r>
      <w:r w:rsidRPr="00DE12A3">
        <w:rPr>
          <w:color w:val="auto"/>
          <w:sz w:val="24"/>
          <w:szCs w:val="24"/>
        </w:rPr>
        <w:tab/>
        <w:t>=yaş bazda seyreltilmiş egzoz gazındaki emisyon konsantrasyonu [ppm] veya [% hacim]</w:t>
      </w:r>
    </w:p>
    <w:p w14:paraId="7436A0EE" w14:textId="77777777" w:rsidR="002D7B36" w:rsidRPr="00DE12A3" w:rsidRDefault="00242DA0" w:rsidP="00C917D6">
      <w:pPr>
        <w:pStyle w:val="Gvdemetni2511"/>
        <w:shd w:val="clear" w:color="auto" w:fill="auto"/>
        <w:tabs>
          <w:tab w:val="left" w:pos="1276"/>
        </w:tabs>
        <w:spacing w:before="120" w:after="120" w:line="240" w:lineRule="auto"/>
        <w:ind w:left="1134" w:firstLine="0"/>
        <w:rPr>
          <w:color w:val="auto"/>
          <w:sz w:val="24"/>
          <w:szCs w:val="24"/>
        </w:rPr>
      </w:pPr>
      <w:r w:rsidRPr="00DE12A3">
        <w:rPr>
          <w:i/>
          <w:color w:val="auto"/>
          <w:sz w:val="24"/>
          <w:szCs w:val="24"/>
        </w:rPr>
        <w:t>c</w:t>
      </w:r>
      <w:r w:rsidRPr="00DE12A3">
        <w:rPr>
          <w:color w:val="auto"/>
          <w:sz w:val="24"/>
          <w:szCs w:val="24"/>
          <w:vertAlign w:val="subscript"/>
        </w:rPr>
        <w:t>d</w:t>
      </w:r>
      <w:r w:rsidRPr="00DE12A3">
        <w:rPr>
          <w:color w:val="auto"/>
          <w:sz w:val="24"/>
          <w:szCs w:val="24"/>
        </w:rPr>
        <w:tab/>
        <w:t>=yaş bazda seyreltme havasındaki emisyon konsantrasyonu [ppm] veya [% hacim]</w:t>
      </w:r>
    </w:p>
    <w:p w14:paraId="6EC8B023" w14:textId="19FE872E" w:rsidR="002D7B36" w:rsidRPr="00DE12A3" w:rsidRDefault="00242DA0" w:rsidP="00C917D6">
      <w:pPr>
        <w:pStyle w:val="Gvdemetni2511"/>
        <w:shd w:val="clear" w:color="auto" w:fill="auto"/>
        <w:tabs>
          <w:tab w:val="left" w:pos="1276"/>
        </w:tabs>
        <w:spacing w:before="120" w:after="120" w:line="240" w:lineRule="auto"/>
        <w:ind w:left="1134" w:firstLine="0"/>
        <w:rPr>
          <w:color w:val="auto"/>
          <w:sz w:val="24"/>
          <w:szCs w:val="24"/>
        </w:rPr>
      </w:pPr>
      <w:r w:rsidRPr="00DE12A3">
        <w:rPr>
          <w:rStyle w:val="Gvdemetni254pttalik0ptbolukbraklyor26"/>
          <w:color w:val="auto"/>
          <w:sz w:val="24"/>
          <w:szCs w:val="24"/>
        </w:rPr>
        <w:t>D</w:t>
      </w:r>
      <w:r w:rsidRPr="00DE12A3">
        <w:rPr>
          <w:color w:val="auto"/>
          <w:sz w:val="24"/>
          <w:szCs w:val="24"/>
        </w:rPr>
        <w:tab/>
        <w:t xml:space="preserve">=seyreltme faktörü [bkz. 2.2.2.2 bendindeki (7-28) </w:t>
      </w:r>
      <w:r w:rsidR="005E1C7E" w:rsidRPr="00DE12A3">
        <w:rPr>
          <w:color w:val="auto"/>
          <w:sz w:val="24"/>
          <w:szCs w:val="24"/>
        </w:rPr>
        <w:t>numaralı</w:t>
      </w:r>
      <w:r w:rsidR="005E1C7E" w:rsidRPr="00DE12A3" w:rsidDel="005E1C7E">
        <w:rPr>
          <w:color w:val="auto"/>
          <w:sz w:val="24"/>
          <w:szCs w:val="24"/>
        </w:rPr>
        <w:t xml:space="preserve"> </w:t>
      </w:r>
      <w:r w:rsidRPr="00DE12A3">
        <w:rPr>
          <w:color w:val="auto"/>
          <w:sz w:val="24"/>
          <w:szCs w:val="24"/>
        </w:rPr>
        <w:t>denklem] [-]</w:t>
      </w:r>
    </w:p>
    <w:p w14:paraId="241A3237" w14:textId="77777777" w:rsidR="002D7B36" w:rsidRPr="00DE12A3" w:rsidRDefault="00242DA0" w:rsidP="00E20716">
      <w:pPr>
        <w:pStyle w:val="Gvdemetni2511"/>
        <w:numPr>
          <w:ilvl w:val="0"/>
          <w:numId w:val="401"/>
        </w:numPr>
        <w:shd w:val="clear" w:color="auto" w:fill="auto"/>
        <w:spacing w:before="120" w:after="120" w:line="240" w:lineRule="auto"/>
        <w:ind w:left="1134" w:hanging="1134"/>
        <w:rPr>
          <w:color w:val="auto"/>
          <w:sz w:val="24"/>
          <w:szCs w:val="24"/>
        </w:rPr>
      </w:pPr>
      <w:r w:rsidRPr="00DE12A3">
        <w:rPr>
          <w:color w:val="auto"/>
          <w:spacing w:val="2"/>
          <w:sz w:val="24"/>
          <w:szCs w:val="24"/>
        </w:rPr>
        <w:t xml:space="preserve">       Bileşene özgü faktör </w:t>
      </w:r>
      <w:r w:rsidRPr="00DE12A3">
        <w:rPr>
          <w:rStyle w:val="Gvdemetni250ptbolukbraklyor2"/>
          <w:color w:val="auto"/>
          <w:sz w:val="24"/>
          <w:szCs w:val="24"/>
        </w:rPr>
        <w:t>u</w:t>
      </w:r>
    </w:p>
    <w:p w14:paraId="0F78F573" w14:textId="65C3B46B" w:rsidR="002D7B36" w:rsidRPr="00DE12A3" w:rsidRDefault="00242DA0" w:rsidP="00C917D6">
      <w:pPr>
        <w:pStyle w:val="Gvdemetni2511"/>
        <w:shd w:val="clear" w:color="auto" w:fill="auto"/>
        <w:spacing w:before="120" w:after="120" w:line="240" w:lineRule="auto"/>
        <w:ind w:left="1134" w:firstLine="2"/>
        <w:rPr>
          <w:color w:val="auto"/>
          <w:sz w:val="24"/>
          <w:szCs w:val="24"/>
        </w:rPr>
      </w:pPr>
      <w:r w:rsidRPr="00DE12A3">
        <w:rPr>
          <w:color w:val="auto"/>
          <w:spacing w:val="2"/>
          <w:sz w:val="24"/>
          <w:szCs w:val="24"/>
        </w:rPr>
        <w:t xml:space="preserve">Seyreltilmiş gazın bileşene özgü faktörü </w:t>
      </w:r>
      <w:r w:rsidRPr="00DE12A3">
        <w:rPr>
          <w:i/>
          <w:iCs/>
          <w:color w:val="auto"/>
          <w:spacing w:val="2"/>
          <w:sz w:val="24"/>
          <w:szCs w:val="24"/>
        </w:rPr>
        <w:t>u</w:t>
      </w:r>
      <w:r w:rsidRPr="00DE12A3">
        <w:rPr>
          <w:color w:val="auto"/>
          <w:spacing w:val="2"/>
          <w:sz w:val="24"/>
          <w:szCs w:val="24"/>
          <w:vertAlign w:val="subscript"/>
        </w:rPr>
        <w:t>gas</w:t>
      </w:r>
      <w:r w:rsidRPr="00DE12A3">
        <w:rPr>
          <w:color w:val="auto"/>
          <w:spacing w:val="2"/>
          <w:sz w:val="24"/>
          <w:szCs w:val="24"/>
        </w:rPr>
        <w:t xml:space="preserve">, ya (7-34) </w:t>
      </w:r>
      <w:r w:rsidR="005E1C7E" w:rsidRPr="00DE12A3">
        <w:rPr>
          <w:color w:val="auto"/>
          <w:sz w:val="24"/>
          <w:szCs w:val="24"/>
        </w:rPr>
        <w:t>numaralı</w:t>
      </w:r>
      <w:r w:rsidR="005E1C7E" w:rsidRPr="00DE12A3" w:rsidDel="005E1C7E">
        <w:rPr>
          <w:color w:val="auto"/>
          <w:spacing w:val="2"/>
          <w:sz w:val="24"/>
          <w:szCs w:val="24"/>
        </w:rPr>
        <w:t xml:space="preserve"> </w:t>
      </w:r>
      <w:r w:rsidRPr="00DE12A3">
        <w:rPr>
          <w:color w:val="auto"/>
          <w:spacing w:val="2"/>
          <w:sz w:val="24"/>
          <w:szCs w:val="24"/>
        </w:rPr>
        <w:t>denklem ile hesaplanabilir ya da Tablo 7.2'den alınabilir</w:t>
      </w:r>
      <w:r w:rsidR="006743BC" w:rsidRPr="00DE12A3">
        <w:rPr>
          <w:color w:val="auto"/>
          <w:spacing w:val="2"/>
          <w:sz w:val="24"/>
          <w:szCs w:val="24"/>
        </w:rPr>
        <w:t>.</w:t>
      </w:r>
      <w:r w:rsidRPr="00DE12A3">
        <w:rPr>
          <w:color w:val="auto"/>
          <w:spacing w:val="2"/>
          <w:sz w:val="24"/>
          <w:szCs w:val="24"/>
        </w:rPr>
        <w:t xml:space="preserve"> Tablo 7.2'de seyreltilmiş egzoz gazı yoğunluğunun hava yoğunluğuna eşit olduğu varsayılmıştır</w:t>
      </w:r>
      <w:r w:rsidRPr="00DE12A3">
        <w:rPr>
          <w:rStyle w:val="Gvdemetni250ptbolukbraklyor2"/>
          <w:color w:val="auto"/>
          <w:sz w:val="24"/>
          <w:szCs w:val="24"/>
        </w:rPr>
        <w:t>.</w:t>
      </w:r>
    </w:p>
    <w:p w14:paraId="24667DFE" w14:textId="1B4853D3" w:rsidR="002D7B36" w:rsidRPr="00DE12A3" w:rsidRDefault="00242DA0" w:rsidP="00C917D6">
      <w:pPr>
        <w:widowControl/>
        <w:spacing w:before="120" w:after="120"/>
        <w:ind w:leftChars="400" w:left="2094" w:hanging="1134"/>
        <w:jc w:val="both"/>
        <w:rPr>
          <w:rFonts w:cs="Times New Roman"/>
          <w:color w:val="auto"/>
        </w:rPr>
      </w:pPr>
      <w:r w:rsidRPr="00DE12A3">
        <w:rPr>
          <w:rFonts w:cs="Times New Roman"/>
          <w:noProof/>
          <w:color w:val="auto"/>
        </w:rPr>
        <w:drawing>
          <wp:inline distT="0" distB="0" distL="114300" distR="114300" wp14:anchorId="6B34ECC8" wp14:editId="2C6793BE">
            <wp:extent cx="5419725" cy="438150"/>
            <wp:effectExtent l="0" t="0" r="9525" b="0"/>
            <wp:docPr id="8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Picture 5"/>
                    <pic:cNvPicPr>
                      <a:picLocks noChangeAspect="1"/>
                    </pic:cNvPicPr>
                  </pic:nvPicPr>
                  <pic:blipFill>
                    <a:blip r:embed="rId92"/>
                    <a:stretch>
                      <a:fillRect/>
                    </a:stretch>
                  </pic:blipFill>
                  <pic:spPr>
                    <a:xfrm>
                      <a:off x="0" y="0"/>
                      <a:ext cx="5419725" cy="438150"/>
                    </a:xfrm>
                    <a:prstGeom prst="rect">
                      <a:avLst/>
                    </a:prstGeom>
                    <a:noFill/>
                    <a:ln>
                      <a:noFill/>
                    </a:ln>
                  </pic:spPr>
                </pic:pic>
              </a:graphicData>
            </a:graphic>
          </wp:inline>
        </w:drawing>
      </w:r>
    </w:p>
    <w:p w14:paraId="0C8ED6E7" w14:textId="77777777" w:rsidR="002D7B36" w:rsidRPr="00DE12A3" w:rsidRDefault="00242DA0" w:rsidP="00C917D6">
      <w:pPr>
        <w:pStyle w:val="Gvdemetni2511"/>
        <w:spacing w:before="120" w:after="120" w:line="240" w:lineRule="auto"/>
        <w:ind w:left="1134" w:firstLine="0"/>
        <w:rPr>
          <w:color w:val="auto"/>
          <w:sz w:val="24"/>
          <w:szCs w:val="24"/>
        </w:rPr>
      </w:pPr>
      <w:r w:rsidRPr="00DE12A3">
        <w:rPr>
          <w:rStyle w:val="Gvdemetni250ptbolukbraklyor2"/>
          <w:color w:val="auto"/>
          <w:sz w:val="24"/>
          <w:szCs w:val="24"/>
        </w:rPr>
        <w:t>Burada:</w:t>
      </w:r>
    </w:p>
    <w:p w14:paraId="5ED70474" w14:textId="77777777" w:rsidR="002D7B36" w:rsidRPr="00DE12A3" w:rsidRDefault="00242DA0" w:rsidP="00C917D6">
      <w:pPr>
        <w:pStyle w:val="Gvdemetni2511"/>
        <w:tabs>
          <w:tab w:val="left" w:pos="2268"/>
          <w:tab w:val="left" w:pos="4834"/>
        </w:tabs>
        <w:spacing w:before="120" w:after="120" w:line="240" w:lineRule="auto"/>
        <w:ind w:left="1134" w:firstLine="0"/>
        <w:rPr>
          <w:color w:val="auto"/>
          <w:spacing w:val="2"/>
          <w:sz w:val="24"/>
          <w:szCs w:val="24"/>
        </w:rPr>
      </w:pPr>
      <w:r w:rsidRPr="00DE12A3">
        <w:rPr>
          <w:rStyle w:val="Gvdemetni250ptbolukbraklyor2"/>
          <w:i/>
          <w:iCs/>
          <w:color w:val="auto"/>
          <w:sz w:val="24"/>
          <w:szCs w:val="24"/>
        </w:rPr>
        <w:t>M</w:t>
      </w:r>
      <w:r w:rsidRPr="00DE12A3">
        <w:rPr>
          <w:rStyle w:val="Gvdemetni250ptbolukbraklyor2"/>
          <w:color w:val="auto"/>
          <w:sz w:val="24"/>
          <w:szCs w:val="24"/>
          <w:vertAlign w:val="subscript"/>
        </w:rPr>
        <w:t>gas</w:t>
      </w:r>
      <w:r w:rsidRPr="00DE12A3">
        <w:rPr>
          <w:rStyle w:val="Gvdemetni250ptbolukbraklyor2"/>
          <w:color w:val="auto"/>
          <w:sz w:val="24"/>
          <w:szCs w:val="24"/>
        </w:rPr>
        <w:tab/>
        <w:t>=gaz bileşenin molar kütlesi [g/mol]</w:t>
      </w:r>
    </w:p>
    <w:p w14:paraId="79D2BA3E" w14:textId="77777777" w:rsidR="002D7B36" w:rsidRPr="00DE12A3" w:rsidRDefault="00242DA0" w:rsidP="00C917D6">
      <w:pPr>
        <w:pStyle w:val="Gvdemetni2511"/>
        <w:tabs>
          <w:tab w:val="left" w:pos="2268"/>
          <w:tab w:val="left" w:pos="4834"/>
        </w:tabs>
        <w:spacing w:before="120" w:after="120" w:line="240" w:lineRule="auto"/>
        <w:ind w:left="1134" w:firstLine="0"/>
        <w:rPr>
          <w:color w:val="auto"/>
          <w:sz w:val="24"/>
          <w:szCs w:val="24"/>
        </w:rPr>
      </w:pPr>
      <w:r w:rsidRPr="00DE12A3">
        <w:rPr>
          <w:rStyle w:val="Gvdemetni250ptbolukbraklyor2"/>
          <w:i/>
          <w:iCs/>
          <w:color w:val="auto"/>
          <w:sz w:val="24"/>
          <w:szCs w:val="24"/>
        </w:rPr>
        <w:t>M</w:t>
      </w:r>
      <w:r w:rsidRPr="00DE12A3">
        <w:rPr>
          <w:rStyle w:val="Gvdemetni250ptbolukbraklyor2"/>
          <w:color w:val="auto"/>
          <w:sz w:val="24"/>
          <w:szCs w:val="24"/>
          <w:vertAlign w:val="subscript"/>
        </w:rPr>
        <w:t>d,w</w:t>
      </w:r>
      <w:r w:rsidRPr="00DE12A3">
        <w:rPr>
          <w:rStyle w:val="Gvdemetni250ptbolukbraklyor2"/>
          <w:color w:val="auto"/>
          <w:sz w:val="24"/>
          <w:szCs w:val="24"/>
        </w:rPr>
        <w:tab/>
        <w:t>=</w:t>
      </w:r>
      <w:r w:rsidRPr="00DE12A3">
        <w:rPr>
          <w:color w:val="auto"/>
          <w:spacing w:val="2"/>
          <w:sz w:val="24"/>
          <w:szCs w:val="24"/>
        </w:rPr>
        <w:t xml:space="preserve">seyreltilmiş egzoz gazının molar kütlesi </w:t>
      </w:r>
      <w:r w:rsidRPr="00DE12A3">
        <w:rPr>
          <w:rStyle w:val="Gvdemetni250ptbolukbraklyor2"/>
          <w:color w:val="auto"/>
          <w:sz w:val="24"/>
          <w:szCs w:val="24"/>
        </w:rPr>
        <w:t>[g/mol]</w:t>
      </w:r>
    </w:p>
    <w:p w14:paraId="243FD024" w14:textId="1FED50C1" w:rsidR="002D7B36" w:rsidRPr="00DE12A3" w:rsidRDefault="00242DA0" w:rsidP="00C917D6">
      <w:pPr>
        <w:pStyle w:val="Gvdemetni2511"/>
        <w:tabs>
          <w:tab w:val="left" w:pos="2268"/>
          <w:tab w:val="left" w:pos="4834"/>
          <w:tab w:val="center" w:pos="5943"/>
        </w:tabs>
        <w:spacing w:before="120" w:after="120" w:line="240" w:lineRule="auto"/>
        <w:ind w:left="1134" w:firstLine="0"/>
        <w:rPr>
          <w:color w:val="auto"/>
          <w:sz w:val="24"/>
          <w:szCs w:val="24"/>
        </w:rPr>
      </w:pPr>
      <w:r w:rsidRPr="00DE12A3">
        <w:rPr>
          <w:rStyle w:val="Gvdemetni250ptbolukbraklyor2"/>
          <w:i/>
          <w:iCs/>
          <w:color w:val="auto"/>
          <w:sz w:val="24"/>
          <w:szCs w:val="24"/>
        </w:rPr>
        <w:t>M</w:t>
      </w:r>
      <w:r w:rsidRPr="00DE12A3">
        <w:rPr>
          <w:rStyle w:val="Gvdemetni250ptbolukbraklyor2"/>
          <w:color w:val="auto"/>
          <w:sz w:val="24"/>
          <w:szCs w:val="24"/>
          <w:vertAlign w:val="subscript"/>
        </w:rPr>
        <w:t>da,w</w:t>
      </w:r>
      <w:r w:rsidRPr="00DE12A3">
        <w:rPr>
          <w:rStyle w:val="Gvdemetni250ptbolukbraklyor2"/>
          <w:color w:val="auto"/>
          <w:sz w:val="24"/>
          <w:szCs w:val="24"/>
        </w:rPr>
        <w:tab/>
        <w:t>=</w:t>
      </w:r>
      <w:r w:rsidRPr="00DE12A3">
        <w:rPr>
          <w:color w:val="auto"/>
          <w:spacing w:val="2"/>
          <w:sz w:val="24"/>
          <w:szCs w:val="24"/>
        </w:rPr>
        <w:t xml:space="preserve">seyreltme havasının molar kütlesi [g/mol] (bkz. 3.9.3 bendi, (7-144) </w:t>
      </w:r>
      <w:r w:rsidR="005E1C7E" w:rsidRPr="00DE12A3">
        <w:rPr>
          <w:color w:val="auto"/>
          <w:sz w:val="24"/>
          <w:szCs w:val="24"/>
        </w:rPr>
        <w:t>numaralı</w:t>
      </w:r>
      <w:r w:rsidR="005E1C7E" w:rsidRPr="00DE12A3" w:rsidDel="005E1C7E">
        <w:rPr>
          <w:color w:val="auto"/>
          <w:spacing w:val="2"/>
          <w:sz w:val="24"/>
          <w:szCs w:val="24"/>
        </w:rPr>
        <w:t xml:space="preserve"> </w:t>
      </w:r>
      <w:r w:rsidRPr="00DE12A3">
        <w:rPr>
          <w:color w:val="auto"/>
          <w:spacing w:val="2"/>
          <w:sz w:val="24"/>
          <w:szCs w:val="24"/>
        </w:rPr>
        <w:t>denklem</w:t>
      </w:r>
      <w:r w:rsidRPr="00DE12A3">
        <w:rPr>
          <w:rStyle w:val="Gvdemetni250ptbolukbraklyor2"/>
          <w:color w:val="auto"/>
          <w:sz w:val="24"/>
          <w:szCs w:val="24"/>
        </w:rPr>
        <w:t>)</w:t>
      </w:r>
    </w:p>
    <w:p w14:paraId="3F20B30B" w14:textId="5F01C866" w:rsidR="002D7B36" w:rsidRPr="00DE12A3" w:rsidRDefault="00242DA0" w:rsidP="00C917D6">
      <w:pPr>
        <w:pStyle w:val="Gvdemetni2511"/>
        <w:tabs>
          <w:tab w:val="left" w:pos="2268"/>
        </w:tabs>
        <w:spacing w:before="120" w:after="120" w:line="240" w:lineRule="auto"/>
        <w:ind w:left="1134" w:firstLine="0"/>
        <w:rPr>
          <w:rStyle w:val="Gvdemetni254pttalik3"/>
          <w:rFonts w:eastAsia="Courier New"/>
          <w:color w:val="auto"/>
          <w:sz w:val="24"/>
          <w:szCs w:val="24"/>
        </w:rPr>
      </w:pPr>
      <w:r w:rsidRPr="00DE12A3">
        <w:rPr>
          <w:rStyle w:val="Gvdemetni250ptbolukbraklyor2"/>
          <w:i/>
          <w:iCs/>
          <w:color w:val="auto"/>
          <w:sz w:val="24"/>
          <w:szCs w:val="24"/>
        </w:rPr>
        <w:t>M</w:t>
      </w:r>
      <w:r w:rsidRPr="00DE12A3">
        <w:rPr>
          <w:rStyle w:val="Gvdemetni250ptbolukbraklyor2"/>
          <w:color w:val="auto"/>
          <w:sz w:val="24"/>
          <w:szCs w:val="24"/>
          <w:vertAlign w:val="subscript"/>
        </w:rPr>
        <w:t>r,w</w:t>
      </w:r>
      <w:r w:rsidRPr="00DE12A3">
        <w:rPr>
          <w:rStyle w:val="Gvdemetni250ptbolukbraklyor2"/>
          <w:color w:val="auto"/>
          <w:sz w:val="24"/>
          <w:szCs w:val="24"/>
        </w:rPr>
        <w:tab/>
        <w:t>=</w:t>
      </w:r>
      <w:r w:rsidRPr="00DE12A3">
        <w:rPr>
          <w:color w:val="auto"/>
          <w:spacing w:val="2"/>
          <w:sz w:val="24"/>
          <w:szCs w:val="24"/>
        </w:rPr>
        <w:t xml:space="preserve">ham egzoz gazının molar kütlesi [g/mol] (bkz. </w:t>
      </w:r>
      <w:r w:rsidR="00FA0678" w:rsidRPr="00DE12A3">
        <w:rPr>
          <w:color w:val="auto"/>
          <w:spacing w:val="2"/>
          <w:sz w:val="24"/>
          <w:szCs w:val="24"/>
        </w:rPr>
        <w:t>2. Açıklayıcı Ek</w:t>
      </w:r>
      <w:r w:rsidRPr="00DE12A3">
        <w:rPr>
          <w:color w:val="auto"/>
          <w:spacing w:val="2"/>
          <w:sz w:val="24"/>
          <w:szCs w:val="24"/>
        </w:rPr>
        <w:t>in 5</w:t>
      </w:r>
      <w:r w:rsidR="006743BC" w:rsidRPr="00DE12A3">
        <w:rPr>
          <w:color w:val="auto"/>
          <w:spacing w:val="2"/>
          <w:sz w:val="24"/>
          <w:szCs w:val="24"/>
        </w:rPr>
        <w:t>. Bölümü)</w:t>
      </w:r>
    </w:p>
    <w:p w14:paraId="64818F26" w14:textId="457582DA" w:rsidR="002D7B36" w:rsidRPr="00DE12A3" w:rsidRDefault="00242DA0" w:rsidP="00C917D6">
      <w:pPr>
        <w:widowControl/>
        <w:spacing w:before="120" w:after="120"/>
        <w:ind w:leftChars="472" w:left="1133"/>
        <w:jc w:val="both"/>
        <w:rPr>
          <w:rStyle w:val="Gvdemetni250ptbolukbraklyor2"/>
          <w:rFonts w:eastAsia="Courier New"/>
          <w:color w:val="auto"/>
          <w:sz w:val="24"/>
          <w:szCs w:val="24"/>
        </w:rPr>
      </w:pPr>
      <w:r w:rsidRPr="00DE12A3">
        <w:rPr>
          <w:rStyle w:val="Gvdemetni254pttalik3"/>
          <w:rFonts w:eastAsia="Courier New"/>
          <w:color w:val="auto"/>
          <w:sz w:val="24"/>
          <w:szCs w:val="24"/>
        </w:rPr>
        <w:t>D</w:t>
      </w:r>
      <w:r w:rsidRPr="00DE12A3">
        <w:rPr>
          <w:rStyle w:val="Gvdemetni250ptbolukbraklyor2"/>
          <w:rFonts w:eastAsia="Courier New"/>
          <w:color w:val="auto"/>
          <w:sz w:val="24"/>
          <w:szCs w:val="24"/>
        </w:rPr>
        <w:tab/>
      </w:r>
      <w:r w:rsidR="000B4383" w:rsidRPr="00DE12A3">
        <w:rPr>
          <w:rStyle w:val="Gvdemetni250ptbolukbraklyor2"/>
          <w:rFonts w:eastAsia="Courier New"/>
          <w:color w:val="auto"/>
          <w:sz w:val="24"/>
          <w:szCs w:val="24"/>
        </w:rPr>
        <w:t xml:space="preserve">              </w:t>
      </w:r>
      <w:r w:rsidRPr="00DE12A3">
        <w:rPr>
          <w:rStyle w:val="Gvdemetni250ptbolukbraklyor2"/>
          <w:rFonts w:eastAsia="Courier New"/>
          <w:color w:val="auto"/>
          <w:sz w:val="24"/>
          <w:szCs w:val="24"/>
        </w:rPr>
        <w:t>=</w:t>
      </w:r>
      <w:r w:rsidRPr="00DE12A3">
        <w:rPr>
          <w:rFonts w:cs="Times New Roman"/>
          <w:iCs/>
          <w:color w:val="auto"/>
          <w:spacing w:val="2"/>
        </w:rPr>
        <w:t>seyreltme faktörü [</w:t>
      </w:r>
      <w:r w:rsidR="004976F1" w:rsidRPr="00DE12A3">
        <w:rPr>
          <w:rFonts w:cs="Times New Roman"/>
          <w:iCs/>
          <w:color w:val="auto"/>
          <w:spacing w:val="2"/>
        </w:rPr>
        <w:t>bakı</w:t>
      </w:r>
      <w:r w:rsidRPr="00DE12A3">
        <w:rPr>
          <w:rFonts w:cs="Times New Roman"/>
          <w:iCs/>
          <w:color w:val="auto"/>
          <w:spacing w:val="2"/>
        </w:rPr>
        <w:t xml:space="preserve"> 2.2.2.2 bendi, (7-28) </w:t>
      </w:r>
      <w:r w:rsidR="005E1C7E" w:rsidRPr="00DE12A3">
        <w:rPr>
          <w:color w:val="auto"/>
        </w:rPr>
        <w:t>numaralı</w:t>
      </w:r>
      <w:r w:rsidR="005E1C7E" w:rsidRPr="00DE12A3" w:rsidDel="005E1C7E">
        <w:rPr>
          <w:rFonts w:cs="Times New Roman"/>
          <w:iCs/>
          <w:color w:val="auto"/>
          <w:spacing w:val="2"/>
        </w:rPr>
        <w:t xml:space="preserve"> </w:t>
      </w:r>
      <w:r w:rsidRPr="00DE12A3">
        <w:rPr>
          <w:rFonts w:cs="Times New Roman"/>
          <w:iCs/>
          <w:color w:val="auto"/>
          <w:spacing w:val="2"/>
        </w:rPr>
        <w:t>denklem</w:t>
      </w:r>
      <w:r w:rsidRPr="00DE12A3">
        <w:rPr>
          <w:rStyle w:val="Gvdemetni250ptbolukbraklyor2"/>
          <w:rFonts w:eastAsia="Courier New"/>
          <w:color w:val="auto"/>
          <w:sz w:val="24"/>
          <w:szCs w:val="24"/>
        </w:rPr>
        <w:t xml:space="preserve">] </w:t>
      </w:r>
      <w:r w:rsidR="004976F1" w:rsidRPr="00DE12A3">
        <w:rPr>
          <w:rStyle w:val="Gvdemetni250ptbolukbraklyor2"/>
          <w:rFonts w:eastAsia="Courier New"/>
          <w:color w:val="auto"/>
          <w:sz w:val="24"/>
          <w:szCs w:val="24"/>
        </w:rPr>
        <w:t>[-]</w:t>
      </w:r>
    </w:p>
    <w:p w14:paraId="6039D23E" w14:textId="77777777" w:rsidR="000E33CA" w:rsidRPr="00DE12A3" w:rsidRDefault="000E33CA" w:rsidP="00C917D6">
      <w:pPr>
        <w:pStyle w:val="Tabloyazs61"/>
        <w:shd w:val="clear" w:color="auto" w:fill="auto"/>
        <w:spacing w:before="120" w:after="120" w:line="240" w:lineRule="auto"/>
        <w:ind w:left="1134" w:hanging="1134"/>
        <w:jc w:val="center"/>
        <w:rPr>
          <w:rStyle w:val="Tabloyazs60ptbolukbraklyor3"/>
          <w:rFonts w:eastAsia="Tahoma"/>
          <w:color w:val="auto"/>
          <w:sz w:val="24"/>
          <w:szCs w:val="24"/>
        </w:rPr>
      </w:pPr>
    </w:p>
    <w:p w14:paraId="296BDAC0" w14:textId="77777777" w:rsidR="000E33CA" w:rsidRPr="00DE12A3" w:rsidRDefault="000E33CA" w:rsidP="00C917D6">
      <w:pPr>
        <w:pStyle w:val="Tabloyazs61"/>
        <w:shd w:val="clear" w:color="auto" w:fill="auto"/>
        <w:spacing w:before="120" w:after="120" w:line="240" w:lineRule="auto"/>
        <w:ind w:left="1134" w:hanging="1134"/>
        <w:jc w:val="center"/>
        <w:rPr>
          <w:rStyle w:val="Tabloyazs60ptbolukbraklyor3"/>
          <w:rFonts w:eastAsia="Tahoma"/>
          <w:color w:val="auto"/>
          <w:sz w:val="24"/>
          <w:szCs w:val="24"/>
        </w:rPr>
      </w:pPr>
    </w:p>
    <w:p w14:paraId="6D8B986E" w14:textId="77777777" w:rsidR="000E33CA" w:rsidRPr="00DE12A3" w:rsidRDefault="000E33CA" w:rsidP="00C917D6">
      <w:pPr>
        <w:pStyle w:val="Tabloyazs61"/>
        <w:shd w:val="clear" w:color="auto" w:fill="auto"/>
        <w:spacing w:before="120" w:after="120" w:line="240" w:lineRule="auto"/>
        <w:ind w:left="1134" w:hanging="1134"/>
        <w:jc w:val="center"/>
        <w:rPr>
          <w:rStyle w:val="Tabloyazs60ptbolukbraklyor3"/>
          <w:rFonts w:eastAsia="Tahoma"/>
          <w:color w:val="auto"/>
          <w:sz w:val="24"/>
          <w:szCs w:val="24"/>
        </w:rPr>
      </w:pPr>
    </w:p>
    <w:p w14:paraId="595DA30F" w14:textId="29B3B09F" w:rsidR="002D7B36" w:rsidRPr="00DE12A3" w:rsidRDefault="00242DA0" w:rsidP="00C917D6">
      <w:pPr>
        <w:pStyle w:val="Tabloyazs61"/>
        <w:shd w:val="clear" w:color="auto" w:fill="auto"/>
        <w:spacing w:before="120" w:after="120" w:line="240" w:lineRule="auto"/>
        <w:ind w:left="1134" w:hanging="1134"/>
        <w:jc w:val="center"/>
        <w:rPr>
          <w:rStyle w:val="Tabloyazs60ptbolukbraklyor3"/>
          <w:rFonts w:eastAsia="Tahoma"/>
          <w:color w:val="auto"/>
          <w:sz w:val="24"/>
          <w:szCs w:val="24"/>
        </w:rPr>
      </w:pPr>
      <w:r w:rsidRPr="00DE12A3">
        <w:rPr>
          <w:rStyle w:val="Tabloyazs60ptbolukbraklyor3"/>
          <w:rFonts w:eastAsia="Tahoma"/>
          <w:color w:val="auto"/>
          <w:sz w:val="24"/>
          <w:szCs w:val="24"/>
        </w:rPr>
        <w:t>Tablo 7.2</w:t>
      </w:r>
    </w:p>
    <w:p w14:paraId="784552C2" w14:textId="77777777" w:rsidR="002D7B36" w:rsidRPr="00DE12A3" w:rsidRDefault="00242DA0" w:rsidP="00C917D6">
      <w:pPr>
        <w:widowControl/>
        <w:spacing w:before="120" w:after="120"/>
        <w:ind w:left="1134" w:hanging="1134"/>
        <w:jc w:val="center"/>
        <w:rPr>
          <w:rStyle w:val="Tabloyazs100ptbolukbraklyor11"/>
          <w:rFonts w:eastAsia="Courier New"/>
          <w:color w:val="auto"/>
          <w:sz w:val="24"/>
          <w:szCs w:val="24"/>
        </w:rPr>
      </w:pPr>
      <w:r w:rsidRPr="00DE12A3">
        <w:rPr>
          <w:rStyle w:val="Tabloyazs100ptbolukbraklyor11"/>
          <w:rFonts w:eastAsia="Courier New"/>
          <w:color w:val="auto"/>
          <w:sz w:val="24"/>
          <w:szCs w:val="24"/>
        </w:rPr>
        <w:t>Seyreltilmiş egzoz gazı u değerleri (ppm cinsinden ifade edilen emisyon konsantrasyonu için) ve bileşen</w:t>
      </w:r>
    </w:p>
    <w:tbl>
      <w:tblPr>
        <w:tblpPr w:leftFromText="141" w:rightFromText="141" w:vertAnchor="text" w:horzAnchor="margin" w:tblpY="182"/>
        <w:tblOverlap w:val="never"/>
        <w:tblW w:w="90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560"/>
        <w:gridCol w:w="1066"/>
        <w:gridCol w:w="1066"/>
        <w:gridCol w:w="1066"/>
        <w:gridCol w:w="1066"/>
        <w:gridCol w:w="1066"/>
        <w:gridCol w:w="1066"/>
        <w:gridCol w:w="1094"/>
      </w:tblGrid>
      <w:tr w:rsidR="00DE12A3" w:rsidRPr="00DE12A3" w14:paraId="09437F68" w14:textId="77777777" w:rsidTr="000B4383">
        <w:trPr>
          <w:trHeight w:hRule="exact" w:val="442"/>
        </w:trPr>
        <w:tc>
          <w:tcPr>
            <w:tcW w:w="1560" w:type="dxa"/>
            <w:vMerge w:val="restart"/>
            <w:shd w:val="clear" w:color="auto" w:fill="auto"/>
          </w:tcPr>
          <w:p w14:paraId="1684D44A" w14:textId="77777777" w:rsidR="000B4383" w:rsidRPr="00DE12A3" w:rsidRDefault="000B4383" w:rsidP="00C917D6">
            <w:pPr>
              <w:pStyle w:val="Gvdemetni361"/>
              <w:spacing w:before="120" w:after="120" w:line="240" w:lineRule="auto"/>
              <w:ind w:left="709" w:hanging="709"/>
              <w:rPr>
                <w:rStyle w:val="Gvdemetni365pt0ptbolukbraklyor7"/>
                <w:rFonts w:eastAsia="Tahoma"/>
                <w:color w:val="auto"/>
                <w:sz w:val="24"/>
                <w:szCs w:val="24"/>
              </w:rPr>
            </w:pPr>
          </w:p>
          <w:p w14:paraId="00D0DF72" w14:textId="77777777" w:rsidR="000B4383" w:rsidRPr="00DE12A3" w:rsidRDefault="000B4383" w:rsidP="00C917D6">
            <w:pPr>
              <w:pStyle w:val="Gvdemetni361"/>
              <w:spacing w:before="120" w:after="120" w:line="240" w:lineRule="auto"/>
              <w:ind w:left="709" w:hanging="709"/>
              <w:rPr>
                <w:rStyle w:val="Gvdemetni365pt0ptbolukbraklyor7"/>
                <w:rFonts w:eastAsia="Tahoma"/>
                <w:color w:val="auto"/>
                <w:sz w:val="24"/>
                <w:szCs w:val="24"/>
              </w:rPr>
            </w:pPr>
          </w:p>
          <w:p w14:paraId="6818D39B" w14:textId="77777777" w:rsidR="000B4383" w:rsidRPr="00DE12A3" w:rsidRDefault="000B4383" w:rsidP="00C917D6">
            <w:pPr>
              <w:pStyle w:val="Gvdemetni361"/>
              <w:spacing w:before="120" w:after="120" w:line="240" w:lineRule="auto"/>
              <w:ind w:left="709" w:hanging="709"/>
              <w:rPr>
                <w:color w:val="auto"/>
                <w:sz w:val="24"/>
                <w:szCs w:val="24"/>
              </w:rPr>
            </w:pPr>
            <w:r w:rsidRPr="00DE12A3">
              <w:rPr>
                <w:rStyle w:val="Gvdemetni365pt0ptbolukbraklyor7"/>
                <w:rFonts w:eastAsia="Tahoma"/>
                <w:color w:val="auto"/>
                <w:sz w:val="24"/>
                <w:szCs w:val="24"/>
              </w:rPr>
              <w:t>Yakıt</w:t>
            </w:r>
          </w:p>
        </w:tc>
        <w:tc>
          <w:tcPr>
            <w:tcW w:w="1066" w:type="dxa"/>
            <w:shd w:val="clear" w:color="auto" w:fill="auto"/>
          </w:tcPr>
          <w:p w14:paraId="1B7ACE2F" w14:textId="77777777" w:rsidR="000B4383" w:rsidRPr="00DE12A3" w:rsidRDefault="000B4383" w:rsidP="00C917D6">
            <w:pPr>
              <w:spacing w:before="120" w:after="120"/>
              <w:ind w:left="709" w:hanging="709"/>
              <w:jc w:val="both"/>
              <w:rPr>
                <w:rFonts w:cs="Times New Roman"/>
                <w:color w:val="auto"/>
              </w:rPr>
            </w:pPr>
          </w:p>
        </w:tc>
        <w:tc>
          <w:tcPr>
            <w:tcW w:w="1066" w:type="dxa"/>
            <w:shd w:val="clear" w:color="auto" w:fill="auto"/>
          </w:tcPr>
          <w:p w14:paraId="51449D17" w14:textId="77777777" w:rsidR="000B4383" w:rsidRPr="00DE12A3" w:rsidRDefault="000B4383" w:rsidP="00C917D6">
            <w:pPr>
              <w:spacing w:before="120" w:after="120"/>
              <w:ind w:left="709" w:hanging="709"/>
              <w:jc w:val="both"/>
              <w:rPr>
                <w:rFonts w:cs="Times New Roman"/>
                <w:color w:val="auto"/>
              </w:rPr>
            </w:pPr>
          </w:p>
        </w:tc>
        <w:tc>
          <w:tcPr>
            <w:tcW w:w="1066" w:type="dxa"/>
            <w:shd w:val="clear" w:color="auto" w:fill="auto"/>
          </w:tcPr>
          <w:p w14:paraId="504B6827" w14:textId="77777777" w:rsidR="000B4383" w:rsidRPr="00DE12A3" w:rsidRDefault="000B4383" w:rsidP="00C917D6">
            <w:pPr>
              <w:spacing w:before="120" w:after="120"/>
              <w:ind w:left="709" w:hanging="709"/>
              <w:jc w:val="both"/>
              <w:rPr>
                <w:rFonts w:cs="Times New Roman"/>
                <w:color w:val="auto"/>
              </w:rPr>
            </w:pPr>
          </w:p>
        </w:tc>
        <w:tc>
          <w:tcPr>
            <w:tcW w:w="1066" w:type="dxa"/>
            <w:shd w:val="clear" w:color="auto" w:fill="auto"/>
          </w:tcPr>
          <w:p w14:paraId="77E7701D" w14:textId="77777777" w:rsidR="000B4383" w:rsidRPr="00DE12A3" w:rsidRDefault="000B4383" w:rsidP="00C917D6">
            <w:pPr>
              <w:pStyle w:val="Gvdemetni361"/>
              <w:shd w:val="clear" w:color="auto" w:fill="auto"/>
              <w:spacing w:before="120" w:after="120" w:line="240" w:lineRule="auto"/>
              <w:ind w:left="709" w:hanging="709"/>
              <w:rPr>
                <w:color w:val="auto"/>
                <w:sz w:val="24"/>
                <w:szCs w:val="24"/>
              </w:rPr>
            </w:pPr>
            <w:r w:rsidRPr="00DE12A3">
              <w:rPr>
                <w:rStyle w:val="Gvdemetni365pt0ptbolukbraklyor7"/>
                <w:rFonts w:eastAsia="Tahoma"/>
                <w:color w:val="auto"/>
                <w:sz w:val="24"/>
                <w:szCs w:val="24"/>
              </w:rPr>
              <w:t>Gaz</w:t>
            </w:r>
          </w:p>
        </w:tc>
        <w:tc>
          <w:tcPr>
            <w:tcW w:w="1066" w:type="dxa"/>
            <w:shd w:val="clear" w:color="auto" w:fill="auto"/>
          </w:tcPr>
          <w:p w14:paraId="04C50179" w14:textId="77777777" w:rsidR="000B4383" w:rsidRPr="00DE12A3" w:rsidRDefault="000B4383" w:rsidP="00C917D6">
            <w:pPr>
              <w:spacing w:before="120" w:after="120"/>
              <w:ind w:left="709" w:hanging="709"/>
              <w:jc w:val="both"/>
              <w:rPr>
                <w:rFonts w:cs="Times New Roman"/>
                <w:color w:val="auto"/>
              </w:rPr>
            </w:pPr>
          </w:p>
        </w:tc>
        <w:tc>
          <w:tcPr>
            <w:tcW w:w="1066" w:type="dxa"/>
            <w:shd w:val="clear" w:color="auto" w:fill="auto"/>
          </w:tcPr>
          <w:p w14:paraId="14D63908" w14:textId="77777777" w:rsidR="000B4383" w:rsidRPr="00DE12A3" w:rsidRDefault="000B4383" w:rsidP="00C917D6">
            <w:pPr>
              <w:spacing w:before="120" w:after="120"/>
              <w:ind w:left="709" w:hanging="709"/>
              <w:jc w:val="both"/>
              <w:rPr>
                <w:rFonts w:cs="Times New Roman"/>
                <w:color w:val="auto"/>
              </w:rPr>
            </w:pPr>
          </w:p>
        </w:tc>
        <w:tc>
          <w:tcPr>
            <w:tcW w:w="1094" w:type="dxa"/>
            <w:shd w:val="clear" w:color="auto" w:fill="auto"/>
          </w:tcPr>
          <w:p w14:paraId="7956929D" w14:textId="77777777" w:rsidR="000B4383" w:rsidRPr="00DE12A3" w:rsidRDefault="000B4383" w:rsidP="00C917D6">
            <w:pPr>
              <w:spacing w:before="120" w:after="120"/>
              <w:ind w:left="709" w:hanging="709"/>
              <w:jc w:val="both"/>
              <w:rPr>
                <w:rFonts w:cs="Times New Roman"/>
                <w:color w:val="auto"/>
              </w:rPr>
            </w:pPr>
          </w:p>
        </w:tc>
      </w:tr>
      <w:tr w:rsidR="00DE12A3" w:rsidRPr="00DE12A3" w14:paraId="54BC441C" w14:textId="77777777" w:rsidTr="000B4383">
        <w:trPr>
          <w:trHeight w:hRule="exact" w:val="437"/>
        </w:trPr>
        <w:tc>
          <w:tcPr>
            <w:tcW w:w="1560" w:type="dxa"/>
            <w:vMerge/>
            <w:shd w:val="clear" w:color="auto" w:fill="auto"/>
          </w:tcPr>
          <w:p w14:paraId="7D7B81AF" w14:textId="77777777" w:rsidR="000B4383" w:rsidRPr="00DE12A3" w:rsidRDefault="000B4383" w:rsidP="00C917D6">
            <w:pPr>
              <w:pStyle w:val="Gvdemetni361"/>
              <w:spacing w:before="120" w:after="120" w:line="240" w:lineRule="auto"/>
              <w:ind w:left="709" w:hanging="709"/>
              <w:rPr>
                <w:color w:val="auto"/>
                <w:sz w:val="24"/>
                <w:szCs w:val="24"/>
              </w:rPr>
            </w:pPr>
          </w:p>
        </w:tc>
        <w:tc>
          <w:tcPr>
            <w:tcW w:w="1066" w:type="dxa"/>
            <w:shd w:val="clear" w:color="auto" w:fill="auto"/>
          </w:tcPr>
          <w:p w14:paraId="062B0CAA" w14:textId="77777777" w:rsidR="000B4383" w:rsidRPr="00DE12A3" w:rsidRDefault="000B4383" w:rsidP="00C917D6">
            <w:pPr>
              <w:spacing w:before="120" w:after="120"/>
              <w:ind w:left="709" w:hanging="709"/>
              <w:jc w:val="both"/>
              <w:rPr>
                <w:rFonts w:cs="Times New Roman"/>
                <w:color w:val="auto"/>
              </w:rPr>
            </w:pPr>
          </w:p>
        </w:tc>
        <w:tc>
          <w:tcPr>
            <w:tcW w:w="1066" w:type="dxa"/>
            <w:shd w:val="clear" w:color="auto" w:fill="auto"/>
          </w:tcPr>
          <w:p w14:paraId="3C91936D" w14:textId="77777777" w:rsidR="000B4383" w:rsidRPr="00DE12A3" w:rsidRDefault="000B4383" w:rsidP="00C917D6">
            <w:pPr>
              <w:pStyle w:val="Gvdemetni361"/>
              <w:shd w:val="clear" w:color="auto" w:fill="auto"/>
              <w:spacing w:before="120" w:after="120" w:line="240" w:lineRule="auto"/>
              <w:ind w:left="709" w:hanging="709"/>
              <w:rPr>
                <w:color w:val="auto"/>
                <w:sz w:val="24"/>
                <w:szCs w:val="24"/>
              </w:rPr>
            </w:pPr>
            <w:r w:rsidRPr="00DE12A3">
              <w:rPr>
                <w:rStyle w:val="Gvdemetni367pt1"/>
                <w:color w:val="auto"/>
                <w:sz w:val="24"/>
                <w:szCs w:val="24"/>
              </w:rPr>
              <w:t>NO</w:t>
            </w:r>
            <w:r w:rsidRPr="00DE12A3">
              <w:rPr>
                <w:rStyle w:val="Gvdemetni367pt1"/>
                <w:color w:val="auto"/>
                <w:sz w:val="24"/>
                <w:szCs w:val="24"/>
                <w:vertAlign w:val="subscript"/>
              </w:rPr>
              <w:t>x</w:t>
            </w:r>
          </w:p>
        </w:tc>
        <w:tc>
          <w:tcPr>
            <w:tcW w:w="1066" w:type="dxa"/>
            <w:shd w:val="clear" w:color="auto" w:fill="auto"/>
          </w:tcPr>
          <w:p w14:paraId="37D182E2" w14:textId="77777777" w:rsidR="000B4383" w:rsidRPr="00DE12A3" w:rsidRDefault="000B4383" w:rsidP="00C917D6">
            <w:pPr>
              <w:pStyle w:val="Gvdemetni361"/>
              <w:shd w:val="clear" w:color="auto" w:fill="auto"/>
              <w:spacing w:before="120" w:after="120" w:line="240" w:lineRule="auto"/>
              <w:ind w:left="709" w:hanging="709"/>
              <w:rPr>
                <w:color w:val="auto"/>
                <w:sz w:val="24"/>
                <w:szCs w:val="24"/>
              </w:rPr>
            </w:pPr>
            <w:r w:rsidRPr="00DE12A3">
              <w:rPr>
                <w:rStyle w:val="Gvdemetni365pt0ptbolukbraklyor7"/>
                <w:rFonts w:eastAsia="Tahoma"/>
                <w:color w:val="auto"/>
                <w:sz w:val="24"/>
                <w:szCs w:val="24"/>
              </w:rPr>
              <w:t>CO</w:t>
            </w:r>
          </w:p>
        </w:tc>
        <w:tc>
          <w:tcPr>
            <w:tcW w:w="1066" w:type="dxa"/>
            <w:shd w:val="clear" w:color="auto" w:fill="auto"/>
          </w:tcPr>
          <w:p w14:paraId="7B96DA1C" w14:textId="77777777" w:rsidR="000B4383" w:rsidRPr="00DE12A3" w:rsidRDefault="000B4383" w:rsidP="00C917D6">
            <w:pPr>
              <w:pStyle w:val="Gvdemetni361"/>
              <w:shd w:val="clear" w:color="auto" w:fill="auto"/>
              <w:spacing w:before="120" w:after="120" w:line="240" w:lineRule="auto"/>
              <w:ind w:left="709" w:hanging="709"/>
              <w:rPr>
                <w:color w:val="auto"/>
                <w:sz w:val="24"/>
                <w:szCs w:val="24"/>
              </w:rPr>
            </w:pPr>
            <w:r w:rsidRPr="00DE12A3">
              <w:rPr>
                <w:rStyle w:val="Gvdemetni365pt0ptbolukbraklyor7"/>
                <w:rFonts w:eastAsia="Tahoma"/>
                <w:color w:val="auto"/>
                <w:sz w:val="24"/>
                <w:szCs w:val="24"/>
              </w:rPr>
              <w:t>HC</w:t>
            </w:r>
          </w:p>
        </w:tc>
        <w:tc>
          <w:tcPr>
            <w:tcW w:w="1066" w:type="dxa"/>
            <w:shd w:val="clear" w:color="auto" w:fill="auto"/>
          </w:tcPr>
          <w:p w14:paraId="653A6559" w14:textId="77777777" w:rsidR="000B4383" w:rsidRPr="00DE12A3" w:rsidRDefault="000B4383" w:rsidP="00C917D6">
            <w:pPr>
              <w:pStyle w:val="Gvdemetni361"/>
              <w:shd w:val="clear" w:color="auto" w:fill="auto"/>
              <w:spacing w:before="120" w:after="120" w:line="240" w:lineRule="auto"/>
              <w:ind w:left="709" w:hanging="709"/>
              <w:rPr>
                <w:color w:val="auto"/>
                <w:sz w:val="24"/>
                <w:szCs w:val="24"/>
              </w:rPr>
            </w:pPr>
            <w:r w:rsidRPr="00DE12A3">
              <w:rPr>
                <w:rStyle w:val="Gvdemetni365pt0ptbolukbraklyor7"/>
                <w:rFonts w:eastAsia="Tahoma"/>
                <w:color w:val="auto"/>
                <w:sz w:val="24"/>
                <w:szCs w:val="24"/>
              </w:rPr>
              <w:t>CO</w:t>
            </w:r>
            <w:r w:rsidRPr="00DE12A3">
              <w:rPr>
                <w:rStyle w:val="Gvdemetni365pt0ptbolukbraklyor7"/>
                <w:rFonts w:eastAsia="Tahoma"/>
                <w:color w:val="auto"/>
                <w:sz w:val="24"/>
                <w:szCs w:val="24"/>
                <w:vertAlign w:val="subscript"/>
              </w:rPr>
              <w:t>2</w:t>
            </w:r>
          </w:p>
        </w:tc>
        <w:tc>
          <w:tcPr>
            <w:tcW w:w="1066" w:type="dxa"/>
            <w:shd w:val="clear" w:color="auto" w:fill="auto"/>
          </w:tcPr>
          <w:p w14:paraId="0C4EE6DE" w14:textId="77777777" w:rsidR="000B4383" w:rsidRPr="00DE12A3" w:rsidRDefault="000B4383" w:rsidP="00C917D6">
            <w:pPr>
              <w:pStyle w:val="Gvdemetni361"/>
              <w:shd w:val="clear" w:color="auto" w:fill="auto"/>
              <w:spacing w:before="120" w:after="120" w:line="240" w:lineRule="auto"/>
              <w:ind w:left="709" w:hanging="709"/>
              <w:rPr>
                <w:color w:val="auto"/>
                <w:sz w:val="24"/>
                <w:szCs w:val="24"/>
              </w:rPr>
            </w:pPr>
            <w:r w:rsidRPr="00DE12A3">
              <w:rPr>
                <w:rStyle w:val="Gvdemetni36PalatinoLinotype55pt0ptbolukbraklyor"/>
                <w:rFonts w:ascii="Times New Roman" w:hAnsi="Times New Roman" w:cs="Times New Roman"/>
                <w:color w:val="auto"/>
                <w:sz w:val="24"/>
                <w:szCs w:val="24"/>
              </w:rPr>
              <w:t>O</w:t>
            </w:r>
            <w:r w:rsidRPr="00DE12A3">
              <w:rPr>
                <w:rStyle w:val="Gvdemetni36PalatinoLinotype55pt0ptbolukbraklyor"/>
                <w:rFonts w:ascii="Times New Roman" w:hAnsi="Times New Roman" w:cs="Times New Roman"/>
                <w:color w:val="auto"/>
                <w:sz w:val="24"/>
                <w:szCs w:val="24"/>
                <w:vertAlign w:val="subscript"/>
              </w:rPr>
              <w:t>2</w:t>
            </w:r>
          </w:p>
        </w:tc>
        <w:tc>
          <w:tcPr>
            <w:tcW w:w="1094" w:type="dxa"/>
            <w:shd w:val="clear" w:color="auto" w:fill="auto"/>
          </w:tcPr>
          <w:p w14:paraId="49FB9CD4" w14:textId="77777777" w:rsidR="000B4383" w:rsidRPr="00DE12A3" w:rsidRDefault="000B4383" w:rsidP="00C917D6">
            <w:pPr>
              <w:pStyle w:val="Gvdemetni361"/>
              <w:shd w:val="clear" w:color="auto" w:fill="auto"/>
              <w:spacing w:before="120" w:after="120" w:line="240" w:lineRule="auto"/>
              <w:ind w:left="709" w:hanging="709"/>
              <w:rPr>
                <w:color w:val="auto"/>
                <w:sz w:val="24"/>
                <w:szCs w:val="24"/>
              </w:rPr>
            </w:pPr>
            <w:r w:rsidRPr="00DE12A3">
              <w:rPr>
                <w:rStyle w:val="Gvdemetni365pt0ptbolukbraklyor7"/>
                <w:rFonts w:eastAsia="Tahoma"/>
                <w:color w:val="auto"/>
                <w:sz w:val="24"/>
                <w:szCs w:val="24"/>
              </w:rPr>
              <w:t>CH</w:t>
            </w:r>
            <w:r w:rsidRPr="00DE12A3">
              <w:rPr>
                <w:rStyle w:val="Gvdemetni365pt0ptbolukbraklyor7"/>
                <w:rFonts w:eastAsia="Tahoma"/>
                <w:color w:val="auto"/>
                <w:sz w:val="24"/>
                <w:szCs w:val="24"/>
                <w:vertAlign w:val="subscript"/>
              </w:rPr>
              <w:t>4</w:t>
            </w:r>
          </w:p>
        </w:tc>
      </w:tr>
      <w:tr w:rsidR="00DE12A3" w:rsidRPr="00DE12A3" w14:paraId="0FE6951C" w14:textId="77777777" w:rsidTr="000B4383">
        <w:trPr>
          <w:trHeight w:hRule="exact" w:val="1258"/>
        </w:trPr>
        <w:tc>
          <w:tcPr>
            <w:tcW w:w="1560" w:type="dxa"/>
            <w:vMerge/>
            <w:shd w:val="clear" w:color="auto" w:fill="auto"/>
          </w:tcPr>
          <w:p w14:paraId="558DD0DE" w14:textId="77777777" w:rsidR="000B4383" w:rsidRPr="00DE12A3" w:rsidRDefault="000B4383" w:rsidP="00C917D6">
            <w:pPr>
              <w:pStyle w:val="Gvdemetni361"/>
              <w:shd w:val="clear" w:color="auto" w:fill="auto"/>
              <w:spacing w:before="120" w:after="120" w:line="240" w:lineRule="auto"/>
              <w:ind w:left="709" w:hanging="709"/>
              <w:rPr>
                <w:color w:val="auto"/>
                <w:sz w:val="24"/>
                <w:szCs w:val="24"/>
              </w:rPr>
            </w:pPr>
          </w:p>
        </w:tc>
        <w:tc>
          <w:tcPr>
            <w:tcW w:w="1066" w:type="dxa"/>
            <w:shd w:val="clear" w:color="auto" w:fill="auto"/>
          </w:tcPr>
          <w:p w14:paraId="3C92C7AA" w14:textId="77777777" w:rsidR="000B4383" w:rsidRPr="00DE12A3" w:rsidRDefault="000B4383" w:rsidP="00C917D6">
            <w:pPr>
              <w:pStyle w:val="Gvdemetni361"/>
              <w:shd w:val="clear" w:color="auto" w:fill="auto"/>
              <w:spacing w:before="120" w:after="120" w:line="240" w:lineRule="auto"/>
              <w:ind w:left="709" w:hanging="709"/>
              <w:rPr>
                <w:color w:val="auto"/>
                <w:sz w:val="24"/>
                <w:szCs w:val="24"/>
              </w:rPr>
            </w:pPr>
            <w:r w:rsidRPr="00DE12A3">
              <w:rPr>
                <w:color w:val="auto"/>
                <w:sz w:val="24"/>
                <w:szCs w:val="24"/>
              </w:rPr>
              <w:t>ρ</w:t>
            </w:r>
            <w:r w:rsidRPr="00DE12A3">
              <w:rPr>
                <w:color w:val="auto"/>
                <w:sz w:val="24"/>
                <w:szCs w:val="24"/>
                <w:vertAlign w:val="subscript"/>
              </w:rPr>
              <w:t>e</w:t>
            </w:r>
          </w:p>
        </w:tc>
        <w:tc>
          <w:tcPr>
            <w:tcW w:w="1066" w:type="dxa"/>
            <w:shd w:val="clear" w:color="auto" w:fill="auto"/>
          </w:tcPr>
          <w:p w14:paraId="660297A0" w14:textId="77777777" w:rsidR="000B4383" w:rsidRPr="00DE12A3" w:rsidRDefault="000B4383" w:rsidP="00C917D6">
            <w:pPr>
              <w:spacing w:before="120" w:after="120"/>
              <w:ind w:left="709" w:hanging="709"/>
              <w:jc w:val="both"/>
              <w:rPr>
                <w:rFonts w:cs="Times New Roman"/>
                <w:color w:val="auto"/>
              </w:rPr>
            </w:pPr>
          </w:p>
        </w:tc>
        <w:tc>
          <w:tcPr>
            <w:tcW w:w="1066" w:type="dxa"/>
            <w:shd w:val="clear" w:color="auto" w:fill="auto"/>
          </w:tcPr>
          <w:p w14:paraId="0C7FD149" w14:textId="77777777" w:rsidR="000B4383" w:rsidRPr="00DE12A3" w:rsidRDefault="000B4383" w:rsidP="00C917D6">
            <w:pPr>
              <w:spacing w:before="120" w:after="120"/>
              <w:ind w:left="709" w:hanging="709"/>
              <w:jc w:val="both"/>
              <w:rPr>
                <w:rFonts w:cs="Times New Roman"/>
                <w:color w:val="auto"/>
              </w:rPr>
            </w:pPr>
          </w:p>
        </w:tc>
        <w:tc>
          <w:tcPr>
            <w:tcW w:w="1066" w:type="dxa"/>
            <w:shd w:val="clear" w:color="auto" w:fill="auto"/>
          </w:tcPr>
          <w:p w14:paraId="1E8C902C" w14:textId="77777777" w:rsidR="000B4383" w:rsidRPr="00DE12A3" w:rsidRDefault="000B4383" w:rsidP="00C917D6">
            <w:pPr>
              <w:pStyle w:val="Gvdemetni361"/>
              <w:shd w:val="clear" w:color="auto" w:fill="auto"/>
              <w:spacing w:before="120" w:after="120" w:line="240" w:lineRule="auto"/>
              <w:ind w:left="709" w:hanging="709"/>
              <w:jc w:val="center"/>
              <w:rPr>
                <w:color w:val="auto"/>
                <w:sz w:val="24"/>
                <w:szCs w:val="24"/>
              </w:rPr>
            </w:pPr>
            <w:r w:rsidRPr="00DE12A3">
              <w:rPr>
                <w:color w:val="auto"/>
                <w:sz w:val="24"/>
                <w:szCs w:val="24"/>
              </w:rPr>
              <w:t>ρ</w:t>
            </w:r>
            <w:r w:rsidRPr="00DE12A3">
              <w:rPr>
                <w:color w:val="auto"/>
                <w:sz w:val="24"/>
                <w:szCs w:val="24"/>
                <w:vertAlign w:val="subscript"/>
              </w:rPr>
              <w:t>gas</w:t>
            </w:r>
          </w:p>
          <w:p w14:paraId="1183B9BC" w14:textId="77777777" w:rsidR="000B4383" w:rsidRPr="00DE12A3" w:rsidRDefault="000B4383" w:rsidP="00C917D6">
            <w:pPr>
              <w:pStyle w:val="Gvdemetni361"/>
              <w:shd w:val="clear" w:color="auto" w:fill="auto"/>
              <w:spacing w:before="120" w:after="120" w:line="240" w:lineRule="auto"/>
              <w:ind w:left="709" w:hanging="709"/>
              <w:jc w:val="center"/>
              <w:rPr>
                <w:color w:val="auto"/>
                <w:sz w:val="24"/>
                <w:szCs w:val="24"/>
              </w:rPr>
            </w:pPr>
            <w:r w:rsidRPr="00DE12A3">
              <w:rPr>
                <w:color w:val="auto"/>
                <w:sz w:val="24"/>
                <w:szCs w:val="24"/>
              </w:rPr>
              <w:t>[kg/m</w:t>
            </w:r>
            <w:r w:rsidRPr="00DE12A3">
              <w:rPr>
                <w:color w:val="auto"/>
                <w:sz w:val="24"/>
                <w:szCs w:val="24"/>
                <w:vertAlign w:val="superscript"/>
              </w:rPr>
              <w:t>3</w:t>
            </w:r>
            <w:r w:rsidRPr="00DE12A3">
              <w:rPr>
                <w:color w:val="auto"/>
                <w:sz w:val="24"/>
                <w:szCs w:val="24"/>
              </w:rPr>
              <w:t>]</w:t>
            </w:r>
          </w:p>
        </w:tc>
        <w:tc>
          <w:tcPr>
            <w:tcW w:w="1066" w:type="dxa"/>
            <w:shd w:val="clear" w:color="auto" w:fill="auto"/>
          </w:tcPr>
          <w:p w14:paraId="05791B4C" w14:textId="77777777" w:rsidR="000B4383" w:rsidRPr="00DE12A3" w:rsidRDefault="000B4383" w:rsidP="00C917D6">
            <w:pPr>
              <w:spacing w:before="120" w:after="120"/>
              <w:ind w:left="709" w:hanging="709"/>
              <w:jc w:val="both"/>
              <w:rPr>
                <w:rFonts w:cs="Times New Roman"/>
                <w:color w:val="auto"/>
              </w:rPr>
            </w:pPr>
          </w:p>
        </w:tc>
        <w:tc>
          <w:tcPr>
            <w:tcW w:w="1066" w:type="dxa"/>
            <w:shd w:val="clear" w:color="auto" w:fill="auto"/>
          </w:tcPr>
          <w:p w14:paraId="1218D65A" w14:textId="77777777" w:rsidR="000B4383" w:rsidRPr="00DE12A3" w:rsidRDefault="000B4383" w:rsidP="00C917D6">
            <w:pPr>
              <w:spacing w:before="120" w:after="120"/>
              <w:ind w:left="709" w:hanging="709"/>
              <w:jc w:val="both"/>
              <w:rPr>
                <w:rFonts w:cs="Times New Roman"/>
                <w:color w:val="auto"/>
              </w:rPr>
            </w:pPr>
          </w:p>
        </w:tc>
        <w:tc>
          <w:tcPr>
            <w:tcW w:w="1094" w:type="dxa"/>
            <w:shd w:val="clear" w:color="auto" w:fill="auto"/>
          </w:tcPr>
          <w:p w14:paraId="5DE406D2" w14:textId="77777777" w:rsidR="000B4383" w:rsidRPr="00DE12A3" w:rsidRDefault="000B4383" w:rsidP="00C917D6">
            <w:pPr>
              <w:spacing w:before="120" w:after="120"/>
              <w:ind w:left="709" w:hanging="709"/>
              <w:jc w:val="both"/>
              <w:rPr>
                <w:rFonts w:cs="Times New Roman"/>
                <w:color w:val="auto"/>
              </w:rPr>
            </w:pPr>
          </w:p>
        </w:tc>
      </w:tr>
      <w:tr w:rsidR="00DE12A3" w:rsidRPr="00DE12A3" w14:paraId="03647193" w14:textId="77777777" w:rsidTr="000B4383">
        <w:trPr>
          <w:trHeight w:hRule="exact" w:val="437"/>
        </w:trPr>
        <w:tc>
          <w:tcPr>
            <w:tcW w:w="1560" w:type="dxa"/>
            <w:vMerge/>
            <w:shd w:val="clear" w:color="auto" w:fill="auto"/>
          </w:tcPr>
          <w:p w14:paraId="1BF31F74" w14:textId="77777777" w:rsidR="000B4383" w:rsidRPr="00DE12A3" w:rsidRDefault="000B4383" w:rsidP="00C917D6">
            <w:pPr>
              <w:spacing w:before="120" w:after="120"/>
              <w:ind w:left="709" w:hanging="709"/>
              <w:jc w:val="both"/>
              <w:rPr>
                <w:rFonts w:cs="Times New Roman"/>
                <w:color w:val="auto"/>
              </w:rPr>
            </w:pPr>
          </w:p>
        </w:tc>
        <w:tc>
          <w:tcPr>
            <w:tcW w:w="1066" w:type="dxa"/>
            <w:shd w:val="clear" w:color="auto" w:fill="auto"/>
          </w:tcPr>
          <w:p w14:paraId="590A552B" w14:textId="77777777" w:rsidR="000B4383" w:rsidRPr="00DE12A3" w:rsidRDefault="000B4383" w:rsidP="00C917D6">
            <w:pPr>
              <w:spacing w:before="120" w:after="120"/>
              <w:ind w:left="709" w:hanging="709"/>
              <w:jc w:val="both"/>
              <w:rPr>
                <w:rFonts w:cs="Times New Roman"/>
                <w:color w:val="auto"/>
              </w:rPr>
            </w:pPr>
          </w:p>
        </w:tc>
        <w:tc>
          <w:tcPr>
            <w:tcW w:w="1066" w:type="dxa"/>
            <w:shd w:val="clear" w:color="auto" w:fill="auto"/>
          </w:tcPr>
          <w:p w14:paraId="7C723D04" w14:textId="77777777" w:rsidR="000B4383" w:rsidRPr="00DE12A3" w:rsidRDefault="000B4383" w:rsidP="00C917D6">
            <w:pPr>
              <w:pStyle w:val="Gvdemetni361"/>
              <w:shd w:val="clear" w:color="auto" w:fill="auto"/>
              <w:spacing w:before="120" w:after="120" w:line="240" w:lineRule="auto"/>
              <w:ind w:left="709" w:hanging="709"/>
              <w:rPr>
                <w:color w:val="auto"/>
                <w:sz w:val="24"/>
                <w:szCs w:val="24"/>
              </w:rPr>
            </w:pPr>
            <w:r w:rsidRPr="00DE12A3">
              <w:rPr>
                <w:rStyle w:val="Gvdemetni365pt0ptbolukbraklyor7"/>
                <w:rFonts w:eastAsia="Tahoma"/>
                <w:color w:val="auto"/>
                <w:sz w:val="24"/>
                <w:szCs w:val="24"/>
              </w:rPr>
              <w:t>2,053</w:t>
            </w:r>
          </w:p>
        </w:tc>
        <w:tc>
          <w:tcPr>
            <w:tcW w:w="1066" w:type="dxa"/>
            <w:shd w:val="clear" w:color="auto" w:fill="auto"/>
          </w:tcPr>
          <w:p w14:paraId="459BBFF5" w14:textId="77777777" w:rsidR="000B4383" w:rsidRPr="00DE12A3" w:rsidRDefault="000B4383" w:rsidP="00C917D6">
            <w:pPr>
              <w:pStyle w:val="Gvdemetni361"/>
              <w:shd w:val="clear" w:color="auto" w:fill="auto"/>
              <w:spacing w:before="120" w:after="120" w:line="240" w:lineRule="auto"/>
              <w:ind w:left="709" w:hanging="709"/>
              <w:rPr>
                <w:color w:val="auto"/>
                <w:sz w:val="24"/>
                <w:szCs w:val="24"/>
              </w:rPr>
            </w:pPr>
            <w:r w:rsidRPr="00DE12A3">
              <w:rPr>
                <w:rStyle w:val="Gvdemetni365pt0ptbolukbraklyor7"/>
                <w:rFonts w:eastAsia="Tahoma"/>
                <w:color w:val="auto"/>
                <w:sz w:val="24"/>
                <w:szCs w:val="24"/>
              </w:rPr>
              <w:t>1,250</w:t>
            </w:r>
          </w:p>
        </w:tc>
        <w:tc>
          <w:tcPr>
            <w:tcW w:w="1066" w:type="dxa"/>
            <w:shd w:val="clear" w:color="auto" w:fill="auto"/>
          </w:tcPr>
          <w:p w14:paraId="031FFD70" w14:textId="77777777" w:rsidR="000B4383" w:rsidRPr="00DE12A3" w:rsidRDefault="000B4383" w:rsidP="00C917D6">
            <w:pPr>
              <w:pStyle w:val="Gvdemetni361"/>
              <w:shd w:val="clear" w:color="auto" w:fill="auto"/>
              <w:spacing w:before="120" w:after="120" w:line="240" w:lineRule="auto"/>
              <w:ind w:left="709" w:hanging="709"/>
              <w:rPr>
                <w:color w:val="auto"/>
                <w:sz w:val="24"/>
                <w:szCs w:val="24"/>
              </w:rPr>
            </w:pPr>
            <w:r w:rsidRPr="00DE12A3">
              <w:rPr>
                <w:rStyle w:val="Gvdemetni3655ptKaln0ptbolukbraklyor"/>
                <w:rFonts w:eastAsia="Arial Narrow"/>
                <w:color w:val="auto"/>
                <w:sz w:val="24"/>
                <w:szCs w:val="24"/>
              </w:rPr>
              <w:t>(</w:t>
            </w:r>
            <w:r w:rsidR="004541BE" w:rsidRPr="00DE12A3">
              <w:rPr>
                <w:rStyle w:val="Gvdemetni3655ptKaln0ptbolukbraklyor"/>
                <w:rFonts w:eastAsia="Arial Narrow"/>
                <w:b w:val="0"/>
                <w:bCs w:val="0"/>
                <w:color w:val="auto"/>
                <w:sz w:val="24"/>
                <w:szCs w:val="24"/>
                <w:vertAlign w:val="superscript"/>
              </w:rPr>
              <w:t>1</w:t>
            </w:r>
            <w:r w:rsidRPr="00DE12A3">
              <w:rPr>
                <w:rStyle w:val="Gvdemetni3655ptKaln0ptbolukbraklyor"/>
                <w:rFonts w:eastAsia="Arial Narrow"/>
                <w:color w:val="auto"/>
                <w:sz w:val="24"/>
                <w:szCs w:val="24"/>
              </w:rPr>
              <w:t>)</w:t>
            </w:r>
          </w:p>
        </w:tc>
        <w:tc>
          <w:tcPr>
            <w:tcW w:w="1066" w:type="dxa"/>
            <w:shd w:val="clear" w:color="auto" w:fill="auto"/>
          </w:tcPr>
          <w:p w14:paraId="7D4A6695" w14:textId="77777777" w:rsidR="000B4383" w:rsidRPr="00DE12A3" w:rsidRDefault="000B4383" w:rsidP="00C917D6">
            <w:pPr>
              <w:pStyle w:val="Gvdemetni361"/>
              <w:shd w:val="clear" w:color="auto" w:fill="auto"/>
              <w:spacing w:before="120" w:after="120" w:line="240" w:lineRule="auto"/>
              <w:ind w:left="709" w:hanging="709"/>
              <w:rPr>
                <w:color w:val="auto"/>
                <w:sz w:val="24"/>
                <w:szCs w:val="24"/>
              </w:rPr>
            </w:pPr>
            <w:r w:rsidRPr="00DE12A3">
              <w:rPr>
                <w:rStyle w:val="Gvdemetni365pt0ptbolukbraklyor7"/>
                <w:rFonts w:eastAsia="Tahoma"/>
                <w:color w:val="auto"/>
                <w:sz w:val="24"/>
                <w:szCs w:val="24"/>
              </w:rPr>
              <w:t>1,9636</w:t>
            </w:r>
          </w:p>
        </w:tc>
        <w:tc>
          <w:tcPr>
            <w:tcW w:w="1066" w:type="dxa"/>
            <w:shd w:val="clear" w:color="auto" w:fill="auto"/>
          </w:tcPr>
          <w:p w14:paraId="2A4E6B7A" w14:textId="77777777" w:rsidR="000B4383" w:rsidRPr="00DE12A3" w:rsidRDefault="000B4383" w:rsidP="00C917D6">
            <w:pPr>
              <w:pStyle w:val="Gvdemetni361"/>
              <w:shd w:val="clear" w:color="auto" w:fill="auto"/>
              <w:spacing w:before="120" w:after="120" w:line="240" w:lineRule="auto"/>
              <w:ind w:left="709" w:hanging="709"/>
              <w:rPr>
                <w:color w:val="auto"/>
                <w:sz w:val="24"/>
                <w:szCs w:val="24"/>
              </w:rPr>
            </w:pPr>
            <w:r w:rsidRPr="00DE12A3">
              <w:rPr>
                <w:rStyle w:val="Gvdemetni365pt0ptbolukbraklyor7"/>
                <w:rFonts w:eastAsia="Tahoma"/>
                <w:color w:val="auto"/>
                <w:sz w:val="24"/>
                <w:szCs w:val="24"/>
              </w:rPr>
              <w:t>1,4277</w:t>
            </w:r>
          </w:p>
        </w:tc>
        <w:tc>
          <w:tcPr>
            <w:tcW w:w="1094" w:type="dxa"/>
            <w:shd w:val="clear" w:color="auto" w:fill="auto"/>
          </w:tcPr>
          <w:p w14:paraId="1D7DEFC7" w14:textId="77777777" w:rsidR="000B4383" w:rsidRPr="00DE12A3" w:rsidRDefault="000B4383" w:rsidP="00C917D6">
            <w:pPr>
              <w:pStyle w:val="Gvdemetni361"/>
              <w:shd w:val="clear" w:color="auto" w:fill="auto"/>
              <w:spacing w:before="120" w:after="120" w:line="240" w:lineRule="auto"/>
              <w:ind w:left="709" w:hanging="709"/>
              <w:rPr>
                <w:color w:val="auto"/>
                <w:sz w:val="24"/>
                <w:szCs w:val="24"/>
              </w:rPr>
            </w:pPr>
            <w:r w:rsidRPr="00DE12A3">
              <w:rPr>
                <w:rStyle w:val="Gvdemetni365pt0ptbolukbraklyor7"/>
                <w:rFonts w:eastAsia="Tahoma"/>
                <w:color w:val="auto"/>
                <w:sz w:val="24"/>
                <w:szCs w:val="24"/>
              </w:rPr>
              <w:t>0,716</w:t>
            </w:r>
          </w:p>
        </w:tc>
      </w:tr>
      <w:tr w:rsidR="00DE12A3" w:rsidRPr="00DE12A3" w14:paraId="167CB4F8" w14:textId="77777777" w:rsidTr="000B4383">
        <w:trPr>
          <w:trHeight w:hRule="exact" w:val="432"/>
        </w:trPr>
        <w:tc>
          <w:tcPr>
            <w:tcW w:w="1560" w:type="dxa"/>
            <w:vMerge/>
            <w:shd w:val="clear" w:color="auto" w:fill="auto"/>
          </w:tcPr>
          <w:p w14:paraId="3F65C46F" w14:textId="77777777" w:rsidR="000B4383" w:rsidRPr="00DE12A3" w:rsidRDefault="000B4383" w:rsidP="00C917D6">
            <w:pPr>
              <w:spacing w:before="120" w:after="120"/>
              <w:ind w:left="709" w:hanging="709"/>
              <w:jc w:val="both"/>
              <w:rPr>
                <w:rFonts w:cs="Times New Roman"/>
                <w:color w:val="auto"/>
              </w:rPr>
            </w:pPr>
          </w:p>
        </w:tc>
        <w:tc>
          <w:tcPr>
            <w:tcW w:w="1066" w:type="dxa"/>
            <w:shd w:val="clear" w:color="auto" w:fill="auto"/>
          </w:tcPr>
          <w:p w14:paraId="3E2D9A5C" w14:textId="77777777" w:rsidR="000B4383" w:rsidRPr="00DE12A3" w:rsidRDefault="000B4383" w:rsidP="00C917D6">
            <w:pPr>
              <w:spacing w:before="120" w:after="120"/>
              <w:ind w:left="709" w:hanging="709"/>
              <w:jc w:val="both"/>
              <w:rPr>
                <w:rFonts w:cs="Times New Roman"/>
                <w:color w:val="auto"/>
              </w:rPr>
            </w:pPr>
          </w:p>
        </w:tc>
        <w:tc>
          <w:tcPr>
            <w:tcW w:w="1066" w:type="dxa"/>
            <w:shd w:val="clear" w:color="auto" w:fill="auto"/>
          </w:tcPr>
          <w:p w14:paraId="7687928F" w14:textId="77777777" w:rsidR="000B4383" w:rsidRPr="00DE12A3" w:rsidRDefault="000B4383" w:rsidP="00C917D6">
            <w:pPr>
              <w:spacing w:before="120" w:after="120"/>
              <w:ind w:left="709" w:hanging="709"/>
              <w:jc w:val="both"/>
              <w:rPr>
                <w:rFonts w:cs="Times New Roman"/>
                <w:color w:val="auto"/>
              </w:rPr>
            </w:pPr>
          </w:p>
        </w:tc>
        <w:tc>
          <w:tcPr>
            <w:tcW w:w="1066" w:type="dxa"/>
            <w:shd w:val="clear" w:color="auto" w:fill="auto"/>
          </w:tcPr>
          <w:p w14:paraId="4A0E81AB" w14:textId="77777777" w:rsidR="000B4383" w:rsidRPr="00DE12A3" w:rsidRDefault="000B4383" w:rsidP="00C917D6">
            <w:pPr>
              <w:spacing w:before="120" w:after="120"/>
              <w:ind w:left="709" w:hanging="709"/>
              <w:jc w:val="both"/>
              <w:rPr>
                <w:rFonts w:cs="Times New Roman"/>
                <w:color w:val="auto"/>
              </w:rPr>
            </w:pPr>
          </w:p>
        </w:tc>
        <w:tc>
          <w:tcPr>
            <w:tcW w:w="1066" w:type="dxa"/>
            <w:shd w:val="clear" w:color="auto" w:fill="auto"/>
          </w:tcPr>
          <w:p w14:paraId="29915191" w14:textId="77777777" w:rsidR="000B4383" w:rsidRPr="00DE12A3" w:rsidRDefault="000B4383" w:rsidP="00C917D6">
            <w:pPr>
              <w:pStyle w:val="Gvdemetni361"/>
              <w:shd w:val="clear" w:color="auto" w:fill="auto"/>
              <w:spacing w:before="120" w:after="120" w:line="240" w:lineRule="auto"/>
              <w:ind w:left="709" w:hanging="709"/>
              <w:rPr>
                <w:color w:val="auto"/>
                <w:sz w:val="24"/>
                <w:szCs w:val="24"/>
              </w:rPr>
            </w:pPr>
            <w:r w:rsidRPr="00DE12A3">
              <w:rPr>
                <w:rStyle w:val="Gvdemetni365pt0ptbolukbraklyor9"/>
                <w:i/>
                <w:color w:val="auto"/>
                <w:sz w:val="24"/>
                <w:szCs w:val="24"/>
              </w:rPr>
              <w:t>u</w:t>
            </w:r>
            <w:r w:rsidRPr="00DE12A3">
              <w:rPr>
                <w:rStyle w:val="Gvdemetni365pt0ptbolukbraklyor9"/>
                <w:color w:val="auto"/>
                <w:sz w:val="24"/>
                <w:szCs w:val="24"/>
                <w:vertAlign w:val="subscript"/>
              </w:rPr>
              <w:t>gas</w:t>
            </w:r>
            <w:r w:rsidRPr="00DE12A3">
              <w:rPr>
                <w:rStyle w:val="Gvdemetni365pt0ptbolukbraklyor9"/>
                <w:color w:val="auto"/>
                <w:sz w:val="24"/>
                <w:szCs w:val="24"/>
              </w:rPr>
              <w:t xml:space="preserve"> (</w:t>
            </w:r>
            <w:r w:rsidRPr="00DE12A3">
              <w:rPr>
                <w:rStyle w:val="Gvdemetni365pt0ptbolukbraklyor9"/>
                <w:color w:val="auto"/>
                <w:sz w:val="24"/>
                <w:szCs w:val="24"/>
                <w:vertAlign w:val="superscript"/>
              </w:rPr>
              <w:t>2</w:t>
            </w:r>
            <w:r w:rsidRPr="00DE12A3">
              <w:rPr>
                <w:rStyle w:val="Gvdemetni365pt0ptbolukbraklyor9"/>
                <w:color w:val="auto"/>
                <w:sz w:val="24"/>
                <w:szCs w:val="24"/>
              </w:rPr>
              <w:t>)</w:t>
            </w:r>
          </w:p>
        </w:tc>
        <w:tc>
          <w:tcPr>
            <w:tcW w:w="1066" w:type="dxa"/>
            <w:shd w:val="clear" w:color="auto" w:fill="auto"/>
          </w:tcPr>
          <w:p w14:paraId="46F2F65A" w14:textId="77777777" w:rsidR="000B4383" w:rsidRPr="00DE12A3" w:rsidRDefault="000B4383" w:rsidP="00C917D6">
            <w:pPr>
              <w:spacing w:before="120" w:after="120"/>
              <w:ind w:left="709" w:hanging="709"/>
              <w:jc w:val="both"/>
              <w:rPr>
                <w:rFonts w:cs="Times New Roman"/>
                <w:color w:val="auto"/>
              </w:rPr>
            </w:pPr>
          </w:p>
        </w:tc>
        <w:tc>
          <w:tcPr>
            <w:tcW w:w="1066" w:type="dxa"/>
            <w:shd w:val="clear" w:color="auto" w:fill="auto"/>
          </w:tcPr>
          <w:p w14:paraId="71E1A9E4" w14:textId="77777777" w:rsidR="000B4383" w:rsidRPr="00DE12A3" w:rsidRDefault="000B4383" w:rsidP="00C917D6">
            <w:pPr>
              <w:spacing w:before="120" w:after="120"/>
              <w:ind w:left="709" w:hanging="709"/>
              <w:jc w:val="both"/>
              <w:rPr>
                <w:rFonts w:cs="Times New Roman"/>
                <w:color w:val="auto"/>
              </w:rPr>
            </w:pPr>
          </w:p>
        </w:tc>
        <w:tc>
          <w:tcPr>
            <w:tcW w:w="1094" w:type="dxa"/>
            <w:shd w:val="clear" w:color="auto" w:fill="auto"/>
          </w:tcPr>
          <w:p w14:paraId="793F8FCD" w14:textId="77777777" w:rsidR="000B4383" w:rsidRPr="00DE12A3" w:rsidRDefault="000B4383" w:rsidP="00C917D6">
            <w:pPr>
              <w:spacing w:before="120" w:after="120"/>
              <w:ind w:left="709" w:hanging="709"/>
              <w:jc w:val="both"/>
              <w:rPr>
                <w:rFonts w:cs="Times New Roman"/>
                <w:color w:val="auto"/>
              </w:rPr>
            </w:pPr>
          </w:p>
        </w:tc>
      </w:tr>
      <w:tr w:rsidR="00DE12A3" w:rsidRPr="00DE12A3" w14:paraId="297CA4AE" w14:textId="77777777" w:rsidTr="00FE3D3B">
        <w:trPr>
          <w:trHeight w:hRule="exact" w:val="1390"/>
        </w:trPr>
        <w:tc>
          <w:tcPr>
            <w:tcW w:w="1560" w:type="dxa"/>
            <w:shd w:val="clear" w:color="auto" w:fill="auto"/>
          </w:tcPr>
          <w:p w14:paraId="49374D8F" w14:textId="77777777" w:rsidR="000B4383" w:rsidRPr="00DE12A3" w:rsidRDefault="000B4383" w:rsidP="00C917D6">
            <w:pPr>
              <w:spacing w:before="120" w:after="120"/>
              <w:ind w:left="709" w:hanging="709"/>
              <w:jc w:val="both"/>
              <w:rPr>
                <w:rFonts w:cs="Times New Roman"/>
                <w:color w:val="auto"/>
              </w:rPr>
            </w:pPr>
            <w:r w:rsidRPr="00DE12A3">
              <w:rPr>
                <w:rFonts w:cs="Times New Roman"/>
                <w:color w:val="auto"/>
              </w:rPr>
              <w:t xml:space="preserve">Dizel (karayolu dışı </w:t>
            </w:r>
            <w:r w:rsidR="00FE3D3B" w:rsidRPr="00DE12A3">
              <w:rPr>
                <w:rFonts w:cs="Times New Roman"/>
                <w:color w:val="auto"/>
              </w:rPr>
              <w:t>dizel yakıt</w:t>
            </w:r>
            <w:r w:rsidRPr="00DE12A3">
              <w:rPr>
                <w:rFonts w:cs="Times New Roman"/>
                <w:color w:val="auto"/>
              </w:rPr>
              <w:t>)</w:t>
            </w:r>
          </w:p>
        </w:tc>
        <w:tc>
          <w:tcPr>
            <w:tcW w:w="1066" w:type="dxa"/>
            <w:shd w:val="clear" w:color="auto" w:fill="auto"/>
          </w:tcPr>
          <w:p w14:paraId="69A73B04" w14:textId="77777777" w:rsidR="000B4383" w:rsidRPr="00DE12A3" w:rsidRDefault="000B4383" w:rsidP="00C917D6">
            <w:pPr>
              <w:pStyle w:val="Gvdemetni361"/>
              <w:shd w:val="clear" w:color="auto" w:fill="auto"/>
              <w:spacing w:before="120" w:after="120" w:line="240" w:lineRule="auto"/>
              <w:ind w:left="709" w:hanging="709"/>
              <w:rPr>
                <w:color w:val="auto"/>
                <w:sz w:val="24"/>
                <w:szCs w:val="24"/>
              </w:rPr>
            </w:pPr>
            <w:r w:rsidRPr="00DE12A3">
              <w:rPr>
                <w:rStyle w:val="Gvdemetni367pt0ptbolukbraklyor4"/>
                <w:rFonts w:eastAsia="Garamond"/>
                <w:color w:val="auto"/>
                <w:sz w:val="24"/>
                <w:szCs w:val="24"/>
              </w:rPr>
              <w:t>1,2943</w:t>
            </w:r>
          </w:p>
        </w:tc>
        <w:tc>
          <w:tcPr>
            <w:tcW w:w="1066" w:type="dxa"/>
            <w:shd w:val="clear" w:color="auto" w:fill="auto"/>
          </w:tcPr>
          <w:p w14:paraId="4F900103" w14:textId="77777777" w:rsidR="000B4383" w:rsidRPr="00DE12A3" w:rsidRDefault="000B4383" w:rsidP="00C917D6">
            <w:pPr>
              <w:pStyle w:val="Gvdemetni361"/>
              <w:shd w:val="clear" w:color="auto" w:fill="auto"/>
              <w:spacing w:before="120" w:after="120" w:line="240" w:lineRule="auto"/>
              <w:ind w:left="709" w:hanging="709"/>
              <w:rPr>
                <w:color w:val="auto"/>
                <w:sz w:val="24"/>
                <w:szCs w:val="24"/>
              </w:rPr>
            </w:pPr>
            <w:r w:rsidRPr="00DE12A3">
              <w:rPr>
                <w:rStyle w:val="Gvdemetni367pt0ptbolukbraklyor4"/>
                <w:rFonts w:eastAsia="Garamond"/>
                <w:color w:val="auto"/>
                <w:sz w:val="24"/>
                <w:szCs w:val="24"/>
              </w:rPr>
              <w:t>0,001586</w:t>
            </w:r>
          </w:p>
        </w:tc>
        <w:tc>
          <w:tcPr>
            <w:tcW w:w="1066" w:type="dxa"/>
            <w:shd w:val="clear" w:color="auto" w:fill="auto"/>
          </w:tcPr>
          <w:p w14:paraId="6283B3E4" w14:textId="77777777" w:rsidR="000B4383" w:rsidRPr="00DE12A3" w:rsidRDefault="000B4383" w:rsidP="00C917D6">
            <w:pPr>
              <w:pStyle w:val="Gvdemetni361"/>
              <w:shd w:val="clear" w:color="auto" w:fill="auto"/>
              <w:spacing w:before="120" w:after="120" w:line="240" w:lineRule="auto"/>
              <w:ind w:left="709" w:hanging="709"/>
              <w:rPr>
                <w:color w:val="auto"/>
                <w:sz w:val="24"/>
                <w:szCs w:val="24"/>
              </w:rPr>
            </w:pPr>
            <w:r w:rsidRPr="00DE12A3">
              <w:rPr>
                <w:rStyle w:val="Gvdemetni367pt0ptbolukbraklyor4"/>
                <w:rFonts w:eastAsia="Garamond"/>
                <w:color w:val="auto"/>
                <w:sz w:val="24"/>
                <w:szCs w:val="24"/>
              </w:rPr>
              <w:t>0,000966</w:t>
            </w:r>
          </w:p>
        </w:tc>
        <w:tc>
          <w:tcPr>
            <w:tcW w:w="1066" w:type="dxa"/>
            <w:shd w:val="clear" w:color="auto" w:fill="auto"/>
          </w:tcPr>
          <w:p w14:paraId="71992FEE" w14:textId="77777777" w:rsidR="000B4383" w:rsidRPr="00DE12A3" w:rsidRDefault="000B4383" w:rsidP="00C917D6">
            <w:pPr>
              <w:pStyle w:val="Gvdemetni361"/>
              <w:shd w:val="clear" w:color="auto" w:fill="auto"/>
              <w:spacing w:before="120" w:after="120" w:line="240" w:lineRule="auto"/>
              <w:ind w:left="709" w:hanging="709"/>
              <w:rPr>
                <w:color w:val="auto"/>
                <w:sz w:val="24"/>
                <w:szCs w:val="24"/>
              </w:rPr>
            </w:pPr>
            <w:r w:rsidRPr="00DE12A3">
              <w:rPr>
                <w:rStyle w:val="Gvdemetni367pt0ptbolukbraklyor4"/>
                <w:rFonts w:eastAsia="Garamond"/>
                <w:color w:val="auto"/>
                <w:sz w:val="24"/>
                <w:szCs w:val="24"/>
              </w:rPr>
              <w:t>0,000482</w:t>
            </w:r>
          </w:p>
        </w:tc>
        <w:tc>
          <w:tcPr>
            <w:tcW w:w="1066" w:type="dxa"/>
            <w:shd w:val="clear" w:color="auto" w:fill="auto"/>
          </w:tcPr>
          <w:p w14:paraId="1CD0B234" w14:textId="77777777" w:rsidR="000B4383" w:rsidRPr="00DE12A3" w:rsidRDefault="000B4383" w:rsidP="00C917D6">
            <w:pPr>
              <w:pStyle w:val="Gvdemetni361"/>
              <w:shd w:val="clear" w:color="auto" w:fill="auto"/>
              <w:spacing w:before="120" w:after="120" w:line="240" w:lineRule="auto"/>
              <w:ind w:left="709" w:hanging="709"/>
              <w:rPr>
                <w:color w:val="auto"/>
                <w:sz w:val="24"/>
                <w:szCs w:val="24"/>
              </w:rPr>
            </w:pPr>
            <w:r w:rsidRPr="00DE12A3">
              <w:rPr>
                <w:rStyle w:val="Gvdemetni367pt0ptbolukbraklyor4"/>
                <w:rFonts w:eastAsia="Garamond"/>
                <w:color w:val="auto"/>
                <w:sz w:val="24"/>
                <w:szCs w:val="24"/>
              </w:rPr>
              <w:t>0,001517</w:t>
            </w:r>
          </w:p>
        </w:tc>
        <w:tc>
          <w:tcPr>
            <w:tcW w:w="1066" w:type="dxa"/>
            <w:shd w:val="clear" w:color="auto" w:fill="auto"/>
          </w:tcPr>
          <w:p w14:paraId="0D51285F" w14:textId="77777777" w:rsidR="000B4383" w:rsidRPr="00DE12A3" w:rsidRDefault="000B4383" w:rsidP="00C917D6">
            <w:pPr>
              <w:pStyle w:val="Gvdemetni361"/>
              <w:shd w:val="clear" w:color="auto" w:fill="auto"/>
              <w:spacing w:before="120" w:after="120" w:line="240" w:lineRule="auto"/>
              <w:ind w:left="709" w:hanging="709"/>
              <w:rPr>
                <w:color w:val="auto"/>
                <w:sz w:val="24"/>
                <w:szCs w:val="24"/>
              </w:rPr>
            </w:pPr>
            <w:r w:rsidRPr="00DE12A3">
              <w:rPr>
                <w:rStyle w:val="Gvdemetni367pt0ptbolukbraklyor4"/>
                <w:rFonts w:eastAsia="Garamond"/>
                <w:color w:val="auto"/>
                <w:sz w:val="24"/>
                <w:szCs w:val="24"/>
              </w:rPr>
              <w:t>0,001103</w:t>
            </w:r>
          </w:p>
        </w:tc>
        <w:tc>
          <w:tcPr>
            <w:tcW w:w="1094" w:type="dxa"/>
            <w:shd w:val="clear" w:color="auto" w:fill="auto"/>
          </w:tcPr>
          <w:p w14:paraId="7D866FD1" w14:textId="77777777" w:rsidR="000B4383" w:rsidRPr="00DE12A3" w:rsidRDefault="000B4383" w:rsidP="00C917D6">
            <w:pPr>
              <w:pStyle w:val="Gvdemetni361"/>
              <w:shd w:val="clear" w:color="auto" w:fill="auto"/>
              <w:spacing w:before="120" w:after="120" w:line="240" w:lineRule="auto"/>
              <w:ind w:left="709" w:hanging="709"/>
              <w:rPr>
                <w:color w:val="auto"/>
                <w:sz w:val="24"/>
                <w:szCs w:val="24"/>
              </w:rPr>
            </w:pPr>
            <w:r w:rsidRPr="00DE12A3">
              <w:rPr>
                <w:rStyle w:val="Gvdemetni367pt0ptbolukbraklyor4"/>
                <w:rFonts w:eastAsia="Garamond"/>
                <w:color w:val="auto"/>
                <w:sz w:val="24"/>
                <w:szCs w:val="24"/>
              </w:rPr>
              <w:t>0,000553</w:t>
            </w:r>
          </w:p>
        </w:tc>
      </w:tr>
      <w:tr w:rsidR="00DE12A3" w:rsidRPr="00DE12A3" w14:paraId="7D6A889A" w14:textId="77777777" w:rsidTr="000B4383">
        <w:trPr>
          <w:trHeight w:hRule="exact" w:val="754"/>
        </w:trPr>
        <w:tc>
          <w:tcPr>
            <w:tcW w:w="1560" w:type="dxa"/>
            <w:shd w:val="clear" w:color="auto" w:fill="auto"/>
          </w:tcPr>
          <w:p w14:paraId="2DC67583" w14:textId="77777777" w:rsidR="000B4383" w:rsidRPr="00DE12A3" w:rsidRDefault="000B4383" w:rsidP="00C917D6">
            <w:pPr>
              <w:spacing w:before="120" w:after="120"/>
              <w:ind w:left="709" w:hanging="709"/>
              <w:jc w:val="both"/>
              <w:rPr>
                <w:rFonts w:cs="Times New Roman"/>
                <w:color w:val="auto"/>
              </w:rPr>
            </w:pPr>
            <w:r w:rsidRPr="00DE12A3">
              <w:rPr>
                <w:rFonts w:cs="Times New Roman"/>
                <w:color w:val="auto"/>
              </w:rPr>
              <w:t>Tahsisli sıkıştırma ateşlemeli motorlar için etanol (ED95)</w:t>
            </w:r>
          </w:p>
        </w:tc>
        <w:tc>
          <w:tcPr>
            <w:tcW w:w="1066" w:type="dxa"/>
            <w:shd w:val="clear" w:color="auto" w:fill="auto"/>
          </w:tcPr>
          <w:p w14:paraId="3196F550" w14:textId="77777777" w:rsidR="000B4383" w:rsidRPr="00DE12A3" w:rsidRDefault="000B4383" w:rsidP="00C917D6">
            <w:pPr>
              <w:pStyle w:val="Gvdemetni361"/>
              <w:shd w:val="clear" w:color="auto" w:fill="auto"/>
              <w:spacing w:before="120" w:after="120" w:line="240" w:lineRule="auto"/>
              <w:ind w:left="709" w:hanging="709"/>
              <w:rPr>
                <w:color w:val="auto"/>
                <w:sz w:val="24"/>
                <w:szCs w:val="24"/>
              </w:rPr>
            </w:pPr>
            <w:r w:rsidRPr="00DE12A3">
              <w:rPr>
                <w:rStyle w:val="Gvdemetni367pt0ptbolukbraklyor4"/>
                <w:rFonts w:eastAsia="Garamond"/>
                <w:color w:val="auto"/>
                <w:sz w:val="24"/>
                <w:szCs w:val="24"/>
              </w:rPr>
              <w:t>1,2768</w:t>
            </w:r>
          </w:p>
        </w:tc>
        <w:tc>
          <w:tcPr>
            <w:tcW w:w="1066" w:type="dxa"/>
            <w:shd w:val="clear" w:color="auto" w:fill="auto"/>
          </w:tcPr>
          <w:p w14:paraId="074DC5EC" w14:textId="77777777" w:rsidR="000B4383" w:rsidRPr="00DE12A3" w:rsidRDefault="000B4383" w:rsidP="00C917D6">
            <w:pPr>
              <w:pStyle w:val="Gvdemetni361"/>
              <w:shd w:val="clear" w:color="auto" w:fill="auto"/>
              <w:spacing w:before="120" w:after="120" w:line="240" w:lineRule="auto"/>
              <w:ind w:left="709" w:hanging="709"/>
              <w:rPr>
                <w:color w:val="auto"/>
                <w:sz w:val="24"/>
                <w:szCs w:val="24"/>
              </w:rPr>
            </w:pPr>
            <w:r w:rsidRPr="00DE12A3">
              <w:rPr>
                <w:rStyle w:val="Gvdemetni367pt0ptbolukbraklyor4"/>
                <w:rFonts w:eastAsia="Garamond"/>
                <w:color w:val="auto"/>
                <w:sz w:val="24"/>
                <w:szCs w:val="24"/>
              </w:rPr>
              <w:t>0,001609</w:t>
            </w:r>
          </w:p>
        </w:tc>
        <w:tc>
          <w:tcPr>
            <w:tcW w:w="1066" w:type="dxa"/>
            <w:shd w:val="clear" w:color="auto" w:fill="auto"/>
          </w:tcPr>
          <w:p w14:paraId="4DAEA9A1" w14:textId="77777777" w:rsidR="000B4383" w:rsidRPr="00DE12A3" w:rsidRDefault="000B4383" w:rsidP="00C917D6">
            <w:pPr>
              <w:pStyle w:val="Gvdemetni361"/>
              <w:shd w:val="clear" w:color="auto" w:fill="auto"/>
              <w:spacing w:before="120" w:after="120" w:line="240" w:lineRule="auto"/>
              <w:ind w:left="709" w:hanging="709"/>
              <w:rPr>
                <w:color w:val="auto"/>
                <w:sz w:val="24"/>
                <w:szCs w:val="24"/>
              </w:rPr>
            </w:pPr>
            <w:r w:rsidRPr="00DE12A3">
              <w:rPr>
                <w:rStyle w:val="Gvdemetni367pt0ptbolukbraklyor4"/>
                <w:rFonts w:eastAsia="Garamond"/>
                <w:color w:val="auto"/>
                <w:sz w:val="24"/>
                <w:szCs w:val="24"/>
              </w:rPr>
              <w:t>0,000980</w:t>
            </w:r>
          </w:p>
        </w:tc>
        <w:tc>
          <w:tcPr>
            <w:tcW w:w="1066" w:type="dxa"/>
            <w:shd w:val="clear" w:color="auto" w:fill="auto"/>
          </w:tcPr>
          <w:p w14:paraId="40AE567C" w14:textId="77777777" w:rsidR="000B4383" w:rsidRPr="00DE12A3" w:rsidRDefault="000B4383" w:rsidP="00C917D6">
            <w:pPr>
              <w:pStyle w:val="Gvdemetni361"/>
              <w:shd w:val="clear" w:color="auto" w:fill="auto"/>
              <w:spacing w:before="120" w:after="120" w:line="240" w:lineRule="auto"/>
              <w:ind w:left="709" w:hanging="709"/>
              <w:rPr>
                <w:color w:val="auto"/>
                <w:sz w:val="24"/>
                <w:szCs w:val="24"/>
              </w:rPr>
            </w:pPr>
            <w:r w:rsidRPr="00DE12A3">
              <w:rPr>
                <w:rStyle w:val="Gvdemetni367pt0ptbolukbraklyor4"/>
                <w:rFonts w:eastAsia="Garamond"/>
                <w:color w:val="auto"/>
                <w:sz w:val="24"/>
                <w:szCs w:val="24"/>
              </w:rPr>
              <w:t>0,000780</w:t>
            </w:r>
          </w:p>
        </w:tc>
        <w:tc>
          <w:tcPr>
            <w:tcW w:w="1066" w:type="dxa"/>
            <w:shd w:val="clear" w:color="auto" w:fill="auto"/>
          </w:tcPr>
          <w:p w14:paraId="7B38BA72" w14:textId="77777777" w:rsidR="000B4383" w:rsidRPr="00DE12A3" w:rsidRDefault="000B4383" w:rsidP="00C917D6">
            <w:pPr>
              <w:pStyle w:val="Gvdemetni361"/>
              <w:shd w:val="clear" w:color="auto" w:fill="auto"/>
              <w:spacing w:before="120" w:after="120" w:line="240" w:lineRule="auto"/>
              <w:ind w:left="709" w:hanging="709"/>
              <w:rPr>
                <w:color w:val="auto"/>
                <w:sz w:val="24"/>
                <w:szCs w:val="24"/>
              </w:rPr>
            </w:pPr>
            <w:r w:rsidRPr="00DE12A3">
              <w:rPr>
                <w:rStyle w:val="Gvdemetni367pt0ptbolukbraklyor4"/>
                <w:rFonts w:eastAsia="Garamond"/>
                <w:color w:val="auto"/>
                <w:sz w:val="24"/>
                <w:szCs w:val="24"/>
              </w:rPr>
              <w:t>0,001539</w:t>
            </w:r>
          </w:p>
        </w:tc>
        <w:tc>
          <w:tcPr>
            <w:tcW w:w="1066" w:type="dxa"/>
            <w:shd w:val="clear" w:color="auto" w:fill="auto"/>
          </w:tcPr>
          <w:p w14:paraId="4A559ABA" w14:textId="77777777" w:rsidR="000B4383" w:rsidRPr="00DE12A3" w:rsidRDefault="000B4383" w:rsidP="00C917D6">
            <w:pPr>
              <w:pStyle w:val="Gvdemetni361"/>
              <w:shd w:val="clear" w:color="auto" w:fill="auto"/>
              <w:spacing w:before="120" w:after="120" w:line="240" w:lineRule="auto"/>
              <w:ind w:left="709" w:hanging="709"/>
              <w:rPr>
                <w:color w:val="auto"/>
                <w:sz w:val="24"/>
                <w:szCs w:val="24"/>
              </w:rPr>
            </w:pPr>
            <w:r w:rsidRPr="00DE12A3">
              <w:rPr>
                <w:rStyle w:val="Gvdemetni367pt0ptbolukbraklyor4"/>
                <w:rFonts w:eastAsia="Garamond"/>
                <w:color w:val="auto"/>
                <w:sz w:val="24"/>
                <w:szCs w:val="24"/>
              </w:rPr>
              <w:t>0,001119</w:t>
            </w:r>
          </w:p>
        </w:tc>
        <w:tc>
          <w:tcPr>
            <w:tcW w:w="1094" w:type="dxa"/>
            <w:shd w:val="clear" w:color="auto" w:fill="auto"/>
          </w:tcPr>
          <w:p w14:paraId="511DC063" w14:textId="77777777" w:rsidR="000B4383" w:rsidRPr="00DE12A3" w:rsidRDefault="000B4383" w:rsidP="00C917D6">
            <w:pPr>
              <w:pStyle w:val="Gvdemetni361"/>
              <w:shd w:val="clear" w:color="auto" w:fill="auto"/>
              <w:spacing w:before="120" w:after="120" w:line="240" w:lineRule="auto"/>
              <w:ind w:left="709" w:hanging="709"/>
              <w:rPr>
                <w:color w:val="auto"/>
                <w:sz w:val="24"/>
                <w:szCs w:val="24"/>
              </w:rPr>
            </w:pPr>
            <w:r w:rsidRPr="00DE12A3">
              <w:rPr>
                <w:rStyle w:val="Gvdemetni367pt0ptbolukbraklyor4"/>
                <w:rFonts w:eastAsia="Garamond"/>
                <w:color w:val="auto"/>
                <w:sz w:val="24"/>
                <w:szCs w:val="24"/>
              </w:rPr>
              <w:t>0,000561</w:t>
            </w:r>
          </w:p>
        </w:tc>
      </w:tr>
      <w:tr w:rsidR="00DE12A3" w:rsidRPr="00DE12A3" w14:paraId="302FB11B" w14:textId="77777777" w:rsidTr="000B4383">
        <w:trPr>
          <w:trHeight w:hRule="exact" w:val="1377"/>
        </w:trPr>
        <w:tc>
          <w:tcPr>
            <w:tcW w:w="1560" w:type="dxa"/>
            <w:shd w:val="clear" w:color="auto" w:fill="auto"/>
          </w:tcPr>
          <w:p w14:paraId="7B0778B3" w14:textId="77777777" w:rsidR="000B4383" w:rsidRPr="00DE12A3" w:rsidRDefault="000B4383" w:rsidP="00C917D6">
            <w:pPr>
              <w:spacing w:before="120" w:after="120"/>
              <w:ind w:left="709" w:hanging="709"/>
              <w:jc w:val="both"/>
              <w:rPr>
                <w:rFonts w:cs="Times New Roman"/>
                <w:color w:val="auto"/>
              </w:rPr>
            </w:pPr>
            <w:r w:rsidRPr="00DE12A3">
              <w:rPr>
                <w:rFonts w:cs="Times New Roman"/>
                <w:color w:val="auto"/>
              </w:rPr>
              <w:t>Doğal gaz / biyo-metan (</w:t>
            </w:r>
            <w:r w:rsidRPr="00DE12A3">
              <w:rPr>
                <w:rFonts w:cs="Times New Roman"/>
                <w:color w:val="auto"/>
                <w:vertAlign w:val="superscript"/>
              </w:rPr>
              <w:t>3</w:t>
            </w:r>
            <w:r w:rsidRPr="00DE12A3">
              <w:rPr>
                <w:rFonts w:cs="Times New Roman"/>
                <w:color w:val="auto"/>
              </w:rPr>
              <w:t>)</w:t>
            </w:r>
          </w:p>
        </w:tc>
        <w:tc>
          <w:tcPr>
            <w:tcW w:w="1066" w:type="dxa"/>
            <w:shd w:val="clear" w:color="auto" w:fill="auto"/>
          </w:tcPr>
          <w:p w14:paraId="68AE5580" w14:textId="77777777" w:rsidR="000B4383" w:rsidRPr="00DE12A3" w:rsidRDefault="000B4383" w:rsidP="00C917D6">
            <w:pPr>
              <w:pStyle w:val="Gvdemetni361"/>
              <w:shd w:val="clear" w:color="auto" w:fill="auto"/>
              <w:spacing w:before="120" w:after="120" w:line="240" w:lineRule="auto"/>
              <w:ind w:left="709" w:hanging="709"/>
              <w:rPr>
                <w:color w:val="auto"/>
                <w:sz w:val="24"/>
                <w:szCs w:val="24"/>
              </w:rPr>
            </w:pPr>
            <w:r w:rsidRPr="00DE12A3">
              <w:rPr>
                <w:rStyle w:val="Gvdemetni367pt0ptbolukbraklyor4"/>
                <w:rFonts w:eastAsia="Garamond"/>
                <w:color w:val="auto"/>
                <w:sz w:val="24"/>
                <w:szCs w:val="24"/>
              </w:rPr>
              <w:t>1,2661</w:t>
            </w:r>
          </w:p>
        </w:tc>
        <w:tc>
          <w:tcPr>
            <w:tcW w:w="1066" w:type="dxa"/>
            <w:shd w:val="clear" w:color="auto" w:fill="auto"/>
          </w:tcPr>
          <w:p w14:paraId="0312EDB0" w14:textId="77777777" w:rsidR="000B4383" w:rsidRPr="00DE12A3" w:rsidRDefault="000B4383" w:rsidP="00C917D6">
            <w:pPr>
              <w:pStyle w:val="Gvdemetni361"/>
              <w:shd w:val="clear" w:color="auto" w:fill="auto"/>
              <w:spacing w:before="120" w:after="120" w:line="240" w:lineRule="auto"/>
              <w:ind w:left="709" w:hanging="709"/>
              <w:rPr>
                <w:color w:val="auto"/>
                <w:sz w:val="24"/>
                <w:szCs w:val="24"/>
              </w:rPr>
            </w:pPr>
            <w:r w:rsidRPr="00DE12A3">
              <w:rPr>
                <w:rStyle w:val="Gvdemetni367pt0ptbolukbraklyor4"/>
                <w:rFonts w:eastAsia="Garamond"/>
                <w:color w:val="auto"/>
                <w:sz w:val="24"/>
                <w:szCs w:val="24"/>
              </w:rPr>
              <w:t>0,001621</w:t>
            </w:r>
          </w:p>
        </w:tc>
        <w:tc>
          <w:tcPr>
            <w:tcW w:w="1066" w:type="dxa"/>
            <w:shd w:val="clear" w:color="auto" w:fill="auto"/>
          </w:tcPr>
          <w:p w14:paraId="083538C8" w14:textId="77777777" w:rsidR="000B4383" w:rsidRPr="00DE12A3" w:rsidRDefault="000B4383" w:rsidP="00C917D6">
            <w:pPr>
              <w:pStyle w:val="Gvdemetni361"/>
              <w:shd w:val="clear" w:color="auto" w:fill="auto"/>
              <w:spacing w:before="120" w:after="120" w:line="240" w:lineRule="auto"/>
              <w:ind w:left="709" w:hanging="709"/>
              <w:rPr>
                <w:color w:val="auto"/>
                <w:sz w:val="24"/>
                <w:szCs w:val="24"/>
              </w:rPr>
            </w:pPr>
            <w:r w:rsidRPr="00DE12A3">
              <w:rPr>
                <w:rStyle w:val="Gvdemetni367pt0ptbolukbraklyor4"/>
                <w:rFonts w:eastAsia="Garamond"/>
                <w:color w:val="auto"/>
                <w:sz w:val="24"/>
                <w:szCs w:val="24"/>
              </w:rPr>
              <w:t>0,000987</w:t>
            </w:r>
          </w:p>
        </w:tc>
        <w:tc>
          <w:tcPr>
            <w:tcW w:w="1066" w:type="dxa"/>
            <w:shd w:val="clear" w:color="auto" w:fill="auto"/>
          </w:tcPr>
          <w:p w14:paraId="7CCFFAD7" w14:textId="77777777" w:rsidR="000B4383" w:rsidRPr="00DE12A3" w:rsidRDefault="000B4383" w:rsidP="00C917D6">
            <w:pPr>
              <w:pStyle w:val="Gvdemetni361"/>
              <w:shd w:val="clear" w:color="auto" w:fill="auto"/>
              <w:spacing w:before="120" w:after="120" w:line="240" w:lineRule="auto"/>
              <w:ind w:left="709" w:hanging="709"/>
              <w:rPr>
                <w:color w:val="auto"/>
                <w:sz w:val="24"/>
                <w:szCs w:val="24"/>
              </w:rPr>
            </w:pPr>
            <w:r w:rsidRPr="00DE12A3">
              <w:rPr>
                <w:rStyle w:val="Gvdemetni367pt0ptbolukbraklyor4"/>
                <w:rFonts w:eastAsia="Garamond"/>
                <w:color w:val="auto"/>
                <w:sz w:val="24"/>
                <w:szCs w:val="24"/>
              </w:rPr>
              <w:t>0,000528 (</w:t>
            </w:r>
            <w:r w:rsidRPr="00DE12A3">
              <w:rPr>
                <w:rStyle w:val="Gvdemetni367pt0ptbolukbraklyor4"/>
                <w:rFonts w:eastAsia="Garamond"/>
                <w:color w:val="auto"/>
                <w:sz w:val="24"/>
                <w:szCs w:val="24"/>
                <w:vertAlign w:val="superscript"/>
              </w:rPr>
              <w:t>4</w:t>
            </w:r>
            <w:r w:rsidRPr="00DE12A3">
              <w:rPr>
                <w:rStyle w:val="Gvdemetni367pt0ptbolukbraklyor4"/>
                <w:rFonts w:eastAsia="Garamond"/>
                <w:color w:val="auto"/>
                <w:sz w:val="24"/>
                <w:szCs w:val="24"/>
              </w:rPr>
              <w:t>)</w:t>
            </w:r>
          </w:p>
        </w:tc>
        <w:tc>
          <w:tcPr>
            <w:tcW w:w="1066" w:type="dxa"/>
            <w:shd w:val="clear" w:color="auto" w:fill="auto"/>
          </w:tcPr>
          <w:p w14:paraId="51D7050D" w14:textId="77777777" w:rsidR="000B4383" w:rsidRPr="00DE12A3" w:rsidRDefault="000B4383" w:rsidP="00C917D6">
            <w:pPr>
              <w:pStyle w:val="Gvdemetni361"/>
              <w:shd w:val="clear" w:color="auto" w:fill="auto"/>
              <w:spacing w:before="120" w:after="120" w:line="240" w:lineRule="auto"/>
              <w:ind w:left="709" w:hanging="709"/>
              <w:rPr>
                <w:color w:val="auto"/>
                <w:sz w:val="24"/>
                <w:szCs w:val="24"/>
              </w:rPr>
            </w:pPr>
            <w:r w:rsidRPr="00DE12A3">
              <w:rPr>
                <w:rStyle w:val="Gvdemetni367pt0ptbolukbraklyor4"/>
                <w:rFonts w:eastAsia="Garamond"/>
                <w:color w:val="auto"/>
                <w:sz w:val="24"/>
                <w:szCs w:val="24"/>
              </w:rPr>
              <w:t>0,001551</w:t>
            </w:r>
          </w:p>
        </w:tc>
        <w:tc>
          <w:tcPr>
            <w:tcW w:w="1066" w:type="dxa"/>
            <w:shd w:val="clear" w:color="auto" w:fill="auto"/>
          </w:tcPr>
          <w:p w14:paraId="40E9B77D" w14:textId="77777777" w:rsidR="000B4383" w:rsidRPr="00DE12A3" w:rsidRDefault="000B4383" w:rsidP="00C917D6">
            <w:pPr>
              <w:pStyle w:val="Gvdemetni361"/>
              <w:shd w:val="clear" w:color="auto" w:fill="auto"/>
              <w:spacing w:before="120" w:after="120" w:line="240" w:lineRule="auto"/>
              <w:ind w:left="709" w:hanging="709"/>
              <w:rPr>
                <w:color w:val="auto"/>
                <w:sz w:val="24"/>
                <w:szCs w:val="24"/>
              </w:rPr>
            </w:pPr>
            <w:r w:rsidRPr="00DE12A3">
              <w:rPr>
                <w:rStyle w:val="Gvdemetni367pt0ptbolukbraklyor4"/>
                <w:rFonts w:eastAsia="Garamond"/>
                <w:color w:val="auto"/>
                <w:sz w:val="24"/>
                <w:szCs w:val="24"/>
              </w:rPr>
              <w:t>0,001128</w:t>
            </w:r>
          </w:p>
        </w:tc>
        <w:tc>
          <w:tcPr>
            <w:tcW w:w="1094" w:type="dxa"/>
            <w:shd w:val="clear" w:color="auto" w:fill="auto"/>
          </w:tcPr>
          <w:p w14:paraId="6131023C" w14:textId="77777777" w:rsidR="000B4383" w:rsidRPr="00DE12A3" w:rsidRDefault="000B4383" w:rsidP="00C917D6">
            <w:pPr>
              <w:pStyle w:val="Gvdemetni361"/>
              <w:shd w:val="clear" w:color="auto" w:fill="auto"/>
              <w:spacing w:before="120" w:after="120" w:line="240" w:lineRule="auto"/>
              <w:ind w:left="709" w:hanging="709"/>
              <w:rPr>
                <w:color w:val="auto"/>
                <w:sz w:val="24"/>
                <w:szCs w:val="24"/>
              </w:rPr>
            </w:pPr>
            <w:r w:rsidRPr="00DE12A3">
              <w:rPr>
                <w:rStyle w:val="Gvdemetni367pt0ptbolukbraklyor4"/>
                <w:rFonts w:eastAsia="Garamond"/>
                <w:color w:val="auto"/>
                <w:sz w:val="24"/>
                <w:szCs w:val="24"/>
              </w:rPr>
              <w:t>0,000565</w:t>
            </w:r>
          </w:p>
        </w:tc>
      </w:tr>
      <w:tr w:rsidR="00DE12A3" w:rsidRPr="00DE12A3" w14:paraId="0FADC7F2" w14:textId="77777777" w:rsidTr="000B4383">
        <w:trPr>
          <w:trHeight w:hRule="exact" w:val="370"/>
        </w:trPr>
        <w:tc>
          <w:tcPr>
            <w:tcW w:w="1560" w:type="dxa"/>
            <w:shd w:val="clear" w:color="auto" w:fill="auto"/>
          </w:tcPr>
          <w:p w14:paraId="30AA3592" w14:textId="77777777" w:rsidR="000B4383" w:rsidRPr="00DE12A3" w:rsidRDefault="000B4383" w:rsidP="00C917D6">
            <w:pPr>
              <w:spacing w:before="120" w:after="120"/>
              <w:ind w:left="709" w:hanging="709"/>
              <w:jc w:val="both"/>
              <w:rPr>
                <w:rFonts w:cs="Times New Roman"/>
                <w:color w:val="auto"/>
              </w:rPr>
            </w:pPr>
            <w:r w:rsidRPr="00DE12A3">
              <w:rPr>
                <w:rFonts w:cs="Times New Roman"/>
                <w:color w:val="auto"/>
              </w:rPr>
              <w:t>Propan</w:t>
            </w:r>
          </w:p>
        </w:tc>
        <w:tc>
          <w:tcPr>
            <w:tcW w:w="1066" w:type="dxa"/>
            <w:shd w:val="clear" w:color="auto" w:fill="auto"/>
          </w:tcPr>
          <w:p w14:paraId="0CD5F6F0" w14:textId="77777777" w:rsidR="000B4383" w:rsidRPr="00DE12A3" w:rsidRDefault="000B4383" w:rsidP="00C917D6">
            <w:pPr>
              <w:pStyle w:val="Gvdemetni361"/>
              <w:shd w:val="clear" w:color="auto" w:fill="auto"/>
              <w:spacing w:before="120" w:after="120" w:line="240" w:lineRule="auto"/>
              <w:ind w:left="709" w:hanging="709"/>
              <w:rPr>
                <w:color w:val="auto"/>
                <w:sz w:val="24"/>
                <w:szCs w:val="24"/>
              </w:rPr>
            </w:pPr>
            <w:r w:rsidRPr="00DE12A3">
              <w:rPr>
                <w:rStyle w:val="Gvdemetni367pt0ptbolukbraklyor4"/>
                <w:rFonts w:eastAsia="Garamond"/>
                <w:color w:val="auto"/>
                <w:sz w:val="24"/>
                <w:szCs w:val="24"/>
              </w:rPr>
              <w:t>1,2805</w:t>
            </w:r>
          </w:p>
        </w:tc>
        <w:tc>
          <w:tcPr>
            <w:tcW w:w="1066" w:type="dxa"/>
            <w:shd w:val="clear" w:color="auto" w:fill="auto"/>
          </w:tcPr>
          <w:p w14:paraId="076F00F3" w14:textId="77777777" w:rsidR="000B4383" w:rsidRPr="00DE12A3" w:rsidRDefault="000B4383" w:rsidP="00C917D6">
            <w:pPr>
              <w:pStyle w:val="Gvdemetni361"/>
              <w:shd w:val="clear" w:color="auto" w:fill="auto"/>
              <w:spacing w:before="120" w:after="120" w:line="240" w:lineRule="auto"/>
              <w:ind w:left="709" w:hanging="709"/>
              <w:rPr>
                <w:color w:val="auto"/>
                <w:sz w:val="24"/>
                <w:szCs w:val="24"/>
              </w:rPr>
            </w:pPr>
            <w:r w:rsidRPr="00DE12A3">
              <w:rPr>
                <w:rStyle w:val="Gvdemetni367pt0ptbolukbraklyor4"/>
                <w:rFonts w:eastAsia="Garamond"/>
                <w:color w:val="auto"/>
                <w:sz w:val="24"/>
                <w:szCs w:val="24"/>
              </w:rPr>
              <w:t>0,001603</w:t>
            </w:r>
          </w:p>
        </w:tc>
        <w:tc>
          <w:tcPr>
            <w:tcW w:w="1066" w:type="dxa"/>
            <w:shd w:val="clear" w:color="auto" w:fill="auto"/>
          </w:tcPr>
          <w:p w14:paraId="488420C0" w14:textId="77777777" w:rsidR="000B4383" w:rsidRPr="00DE12A3" w:rsidRDefault="000B4383" w:rsidP="00C917D6">
            <w:pPr>
              <w:pStyle w:val="Gvdemetni361"/>
              <w:shd w:val="clear" w:color="auto" w:fill="auto"/>
              <w:spacing w:before="120" w:after="120" w:line="240" w:lineRule="auto"/>
              <w:ind w:left="709" w:hanging="709"/>
              <w:rPr>
                <w:color w:val="auto"/>
                <w:sz w:val="24"/>
                <w:szCs w:val="24"/>
              </w:rPr>
            </w:pPr>
            <w:r w:rsidRPr="00DE12A3">
              <w:rPr>
                <w:rStyle w:val="Gvdemetni367pt0ptbolukbraklyor4"/>
                <w:rFonts w:eastAsia="Garamond"/>
                <w:color w:val="auto"/>
                <w:sz w:val="24"/>
                <w:szCs w:val="24"/>
              </w:rPr>
              <w:t>0,000976</w:t>
            </w:r>
          </w:p>
        </w:tc>
        <w:tc>
          <w:tcPr>
            <w:tcW w:w="1066" w:type="dxa"/>
            <w:shd w:val="clear" w:color="auto" w:fill="auto"/>
          </w:tcPr>
          <w:p w14:paraId="0FE9419E" w14:textId="77777777" w:rsidR="000B4383" w:rsidRPr="00DE12A3" w:rsidRDefault="000B4383" w:rsidP="00C917D6">
            <w:pPr>
              <w:pStyle w:val="Gvdemetni361"/>
              <w:shd w:val="clear" w:color="auto" w:fill="auto"/>
              <w:spacing w:before="120" w:after="120" w:line="240" w:lineRule="auto"/>
              <w:ind w:left="709" w:hanging="709"/>
              <w:rPr>
                <w:color w:val="auto"/>
                <w:sz w:val="24"/>
                <w:szCs w:val="24"/>
              </w:rPr>
            </w:pPr>
            <w:r w:rsidRPr="00DE12A3">
              <w:rPr>
                <w:rStyle w:val="Gvdemetni367pt0ptbolukbraklyor4"/>
                <w:rFonts w:eastAsia="Garamond"/>
                <w:color w:val="auto"/>
                <w:sz w:val="24"/>
                <w:szCs w:val="24"/>
              </w:rPr>
              <w:t>0,000512</w:t>
            </w:r>
          </w:p>
        </w:tc>
        <w:tc>
          <w:tcPr>
            <w:tcW w:w="1066" w:type="dxa"/>
            <w:shd w:val="clear" w:color="auto" w:fill="auto"/>
          </w:tcPr>
          <w:p w14:paraId="0286F20A" w14:textId="77777777" w:rsidR="000B4383" w:rsidRPr="00DE12A3" w:rsidRDefault="000B4383" w:rsidP="00C917D6">
            <w:pPr>
              <w:pStyle w:val="Gvdemetni361"/>
              <w:shd w:val="clear" w:color="auto" w:fill="auto"/>
              <w:spacing w:before="120" w:after="120" w:line="240" w:lineRule="auto"/>
              <w:ind w:left="709" w:hanging="709"/>
              <w:rPr>
                <w:color w:val="auto"/>
                <w:sz w:val="24"/>
                <w:szCs w:val="24"/>
              </w:rPr>
            </w:pPr>
            <w:r w:rsidRPr="00DE12A3">
              <w:rPr>
                <w:rStyle w:val="Gvdemetni367pt0ptbolukbraklyor4"/>
                <w:rFonts w:eastAsia="Garamond"/>
                <w:color w:val="auto"/>
                <w:sz w:val="24"/>
                <w:szCs w:val="24"/>
              </w:rPr>
              <w:t>0,001533</w:t>
            </w:r>
          </w:p>
        </w:tc>
        <w:tc>
          <w:tcPr>
            <w:tcW w:w="1066" w:type="dxa"/>
            <w:shd w:val="clear" w:color="auto" w:fill="auto"/>
          </w:tcPr>
          <w:p w14:paraId="0E00207C" w14:textId="77777777" w:rsidR="000B4383" w:rsidRPr="00DE12A3" w:rsidRDefault="000B4383" w:rsidP="00C917D6">
            <w:pPr>
              <w:pStyle w:val="Gvdemetni361"/>
              <w:shd w:val="clear" w:color="auto" w:fill="auto"/>
              <w:spacing w:before="120" w:after="120" w:line="240" w:lineRule="auto"/>
              <w:ind w:left="709" w:hanging="709"/>
              <w:rPr>
                <w:color w:val="auto"/>
                <w:sz w:val="24"/>
                <w:szCs w:val="24"/>
              </w:rPr>
            </w:pPr>
            <w:r w:rsidRPr="00DE12A3">
              <w:rPr>
                <w:rStyle w:val="Gvdemetni367pt0ptbolukbraklyor4"/>
                <w:rFonts w:eastAsia="Garamond"/>
                <w:color w:val="auto"/>
                <w:sz w:val="24"/>
                <w:szCs w:val="24"/>
              </w:rPr>
              <w:t>0,001115</w:t>
            </w:r>
          </w:p>
        </w:tc>
        <w:tc>
          <w:tcPr>
            <w:tcW w:w="1094" w:type="dxa"/>
            <w:shd w:val="clear" w:color="auto" w:fill="auto"/>
          </w:tcPr>
          <w:p w14:paraId="35EAE707" w14:textId="77777777" w:rsidR="000B4383" w:rsidRPr="00DE12A3" w:rsidRDefault="000B4383" w:rsidP="00C917D6">
            <w:pPr>
              <w:pStyle w:val="Gvdemetni361"/>
              <w:shd w:val="clear" w:color="auto" w:fill="auto"/>
              <w:spacing w:before="120" w:after="120" w:line="240" w:lineRule="auto"/>
              <w:ind w:left="709" w:hanging="709"/>
              <w:rPr>
                <w:color w:val="auto"/>
                <w:sz w:val="24"/>
                <w:szCs w:val="24"/>
              </w:rPr>
            </w:pPr>
            <w:r w:rsidRPr="00DE12A3">
              <w:rPr>
                <w:rStyle w:val="Gvdemetni367pt0ptbolukbraklyor4"/>
                <w:rFonts w:eastAsia="Garamond"/>
                <w:color w:val="auto"/>
                <w:sz w:val="24"/>
                <w:szCs w:val="24"/>
              </w:rPr>
              <w:t>0,000559</w:t>
            </w:r>
          </w:p>
        </w:tc>
      </w:tr>
      <w:tr w:rsidR="00DE12A3" w:rsidRPr="00DE12A3" w14:paraId="4577F4FF" w14:textId="77777777" w:rsidTr="000B4383">
        <w:trPr>
          <w:trHeight w:hRule="exact" w:val="374"/>
        </w:trPr>
        <w:tc>
          <w:tcPr>
            <w:tcW w:w="1560" w:type="dxa"/>
            <w:shd w:val="clear" w:color="auto" w:fill="auto"/>
          </w:tcPr>
          <w:p w14:paraId="18DC3E92" w14:textId="77777777" w:rsidR="000B4383" w:rsidRPr="00DE12A3" w:rsidRDefault="000B4383" w:rsidP="00C917D6">
            <w:pPr>
              <w:spacing w:before="120" w:after="120"/>
              <w:ind w:left="709" w:hanging="709"/>
              <w:jc w:val="both"/>
              <w:rPr>
                <w:rFonts w:cs="Times New Roman"/>
                <w:color w:val="auto"/>
              </w:rPr>
            </w:pPr>
            <w:r w:rsidRPr="00DE12A3">
              <w:rPr>
                <w:rFonts w:cs="Times New Roman"/>
                <w:color w:val="auto"/>
              </w:rPr>
              <w:t>Bütan</w:t>
            </w:r>
          </w:p>
        </w:tc>
        <w:tc>
          <w:tcPr>
            <w:tcW w:w="1066" w:type="dxa"/>
            <w:shd w:val="clear" w:color="auto" w:fill="auto"/>
          </w:tcPr>
          <w:p w14:paraId="54592E98" w14:textId="77777777" w:rsidR="000B4383" w:rsidRPr="00DE12A3" w:rsidRDefault="000B4383" w:rsidP="00C917D6">
            <w:pPr>
              <w:pStyle w:val="Gvdemetni361"/>
              <w:shd w:val="clear" w:color="auto" w:fill="auto"/>
              <w:spacing w:before="120" w:after="120" w:line="240" w:lineRule="auto"/>
              <w:ind w:left="709" w:hanging="709"/>
              <w:rPr>
                <w:color w:val="auto"/>
                <w:sz w:val="24"/>
                <w:szCs w:val="24"/>
              </w:rPr>
            </w:pPr>
            <w:r w:rsidRPr="00DE12A3">
              <w:rPr>
                <w:rStyle w:val="Gvdemetni367pt0ptbolukbraklyor4"/>
                <w:rFonts w:eastAsia="Garamond"/>
                <w:color w:val="auto"/>
                <w:sz w:val="24"/>
                <w:szCs w:val="24"/>
              </w:rPr>
              <w:t>1,2832</w:t>
            </w:r>
          </w:p>
        </w:tc>
        <w:tc>
          <w:tcPr>
            <w:tcW w:w="1066" w:type="dxa"/>
            <w:shd w:val="clear" w:color="auto" w:fill="auto"/>
          </w:tcPr>
          <w:p w14:paraId="7C5D68F6" w14:textId="77777777" w:rsidR="000B4383" w:rsidRPr="00DE12A3" w:rsidRDefault="000B4383" w:rsidP="00C917D6">
            <w:pPr>
              <w:pStyle w:val="Gvdemetni361"/>
              <w:shd w:val="clear" w:color="auto" w:fill="auto"/>
              <w:spacing w:before="120" w:after="120" w:line="240" w:lineRule="auto"/>
              <w:ind w:left="709" w:hanging="709"/>
              <w:rPr>
                <w:color w:val="auto"/>
                <w:sz w:val="24"/>
                <w:szCs w:val="24"/>
              </w:rPr>
            </w:pPr>
            <w:r w:rsidRPr="00DE12A3">
              <w:rPr>
                <w:rStyle w:val="Gvdemetni367pt0ptbolukbraklyor4"/>
                <w:rFonts w:eastAsia="Garamond"/>
                <w:color w:val="auto"/>
                <w:sz w:val="24"/>
                <w:szCs w:val="24"/>
              </w:rPr>
              <w:t>0,001600</w:t>
            </w:r>
          </w:p>
        </w:tc>
        <w:tc>
          <w:tcPr>
            <w:tcW w:w="1066" w:type="dxa"/>
            <w:shd w:val="clear" w:color="auto" w:fill="auto"/>
          </w:tcPr>
          <w:p w14:paraId="2690AD37" w14:textId="77777777" w:rsidR="000B4383" w:rsidRPr="00DE12A3" w:rsidRDefault="000B4383" w:rsidP="00C917D6">
            <w:pPr>
              <w:pStyle w:val="Gvdemetni361"/>
              <w:shd w:val="clear" w:color="auto" w:fill="auto"/>
              <w:spacing w:before="120" w:after="120" w:line="240" w:lineRule="auto"/>
              <w:ind w:left="709" w:hanging="709"/>
              <w:rPr>
                <w:color w:val="auto"/>
                <w:sz w:val="24"/>
                <w:szCs w:val="24"/>
              </w:rPr>
            </w:pPr>
            <w:r w:rsidRPr="00DE12A3">
              <w:rPr>
                <w:rStyle w:val="Gvdemetni367pt0ptbolukbraklyor4"/>
                <w:rFonts w:eastAsia="Garamond"/>
                <w:color w:val="auto"/>
                <w:sz w:val="24"/>
                <w:szCs w:val="24"/>
              </w:rPr>
              <w:t>0,000974</w:t>
            </w:r>
          </w:p>
        </w:tc>
        <w:tc>
          <w:tcPr>
            <w:tcW w:w="1066" w:type="dxa"/>
            <w:shd w:val="clear" w:color="auto" w:fill="auto"/>
          </w:tcPr>
          <w:p w14:paraId="1751D699" w14:textId="77777777" w:rsidR="000B4383" w:rsidRPr="00DE12A3" w:rsidRDefault="000B4383" w:rsidP="00C917D6">
            <w:pPr>
              <w:pStyle w:val="Gvdemetni361"/>
              <w:shd w:val="clear" w:color="auto" w:fill="auto"/>
              <w:spacing w:before="120" w:after="120" w:line="240" w:lineRule="auto"/>
              <w:ind w:left="709" w:hanging="709"/>
              <w:rPr>
                <w:color w:val="auto"/>
                <w:sz w:val="24"/>
                <w:szCs w:val="24"/>
              </w:rPr>
            </w:pPr>
            <w:r w:rsidRPr="00DE12A3">
              <w:rPr>
                <w:rStyle w:val="Gvdemetni367pt0ptbolukbraklyor4"/>
                <w:rFonts w:eastAsia="Garamond"/>
                <w:color w:val="auto"/>
                <w:sz w:val="24"/>
                <w:szCs w:val="24"/>
              </w:rPr>
              <w:t>0,000505</w:t>
            </w:r>
          </w:p>
        </w:tc>
        <w:tc>
          <w:tcPr>
            <w:tcW w:w="1066" w:type="dxa"/>
            <w:shd w:val="clear" w:color="auto" w:fill="auto"/>
          </w:tcPr>
          <w:p w14:paraId="39A2673A" w14:textId="77777777" w:rsidR="000B4383" w:rsidRPr="00DE12A3" w:rsidRDefault="000B4383" w:rsidP="00C917D6">
            <w:pPr>
              <w:pStyle w:val="Gvdemetni361"/>
              <w:shd w:val="clear" w:color="auto" w:fill="auto"/>
              <w:spacing w:before="120" w:after="120" w:line="240" w:lineRule="auto"/>
              <w:ind w:left="709" w:hanging="709"/>
              <w:rPr>
                <w:color w:val="auto"/>
                <w:sz w:val="24"/>
                <w:szCs w:val="24"/>
              </w:rPr>
            </w:pPr>
            <w:r w:rsidRPr="00DE12A3">
              <w:rPr>
                <w:rStyle w:val="Gvdemetni367pt0ptbolukbraklyor4"/>
                <w:rFonts w:eastAsia="Garamond"/>
                <w:color w:val="auto"/>
                <w:sz w:val="24"/>
                <w:szCs w:val="24"/>
              </w:rPr>
              <w:t>0,001530</w:t>
            </w:r>
          </w:p>
        </w:tc>
        <w:tc>
          <w:tcPr>
            <w:tcW w:w="1066" w:type="dxa"/>
            <w:shd w:val="clear" w:color="auto" w:fill="auto"/>
          </w:tcPr>
          <w:p w14:paraId="265EE607" w14:textId="77777777" w:rsidR="000B4383" w:rsidRPr="00DE12A3" w:rsidRDefault="000B4383" w:rsidP="00C917D6">
            <w:pPr>
              <w:pStyle w:val="Gvdemetni361"/>
              <w:shd w:val="clear" w:color="auto" w:fill="auto"/>
              <w:spacing w:before="120" w:after="120" w:line="240" w:lineRule="auto"/>
              <w:ind w:left="709" w:hanging="709"/>
              <w:rPr>
                <w:color w:val="auto"/>
                <w:sz w:val="24"/>
                <w:szCs w:val="24"/>
              </w:rPr>
            </w:pPr>
            <w:r w:rsidRPr="00DE12A3">
              <w:rPr>
                <w:rStyle w:val="Gvdemetni367pt0ptbolukbraklyor4"/>
                <w:rFonts w:eastAsia="Garamond"/>
                <w:color w:val="auto"/>
                <w:sz w:val="24"/>
                <w:szCs w:val="24"/>
              </w:rPr>
              <w:t>0,001113</w:t>
            </w:r>
          </w:p>
        </w:tc>
        <w:tc>
          <w:tcPr>
            <w:tcW w:w="1094" w:type="dxa"/>
            <w:shd w:val="clear" w:color="auto" w:fill="auto"/>
          </w:tcPr>
          <w:p w14:paraId="21AB58BC" w14:textId="77777777" w:rsidR="000B4383" w:rsidRPr="00DE12A3" w:rsidRDefault="000B4383" w:rsidP="00C917D6">
            <w:pPr>
              <w:pStyle w:val="Gvdemetni361"/>
              <w:shd w:val="clear" w:color="auto" w:fill="auto"/>
              <w:spacing w:before="120" w:after="120" w:line="240" w:lineRule="auto"/>
              <w:ind w:left="709" w:hanging="709"/>
              <w:rPr>
                <w:color w:val="auto"/>
                <w:sz w:val="24"/>
                <w:szCs w:val="24"/>
              </w:rPr>
            </w:pPr>
            <w:r w:rsidRPr="00DE12A3">
              <w:rPr>
                <w:rStyle w:val="Gvdemetni367pt0ptbolukbraklyor4"/>
                <w:rFonts w:eastAsia="Garamond"/>
                <w:color w:val="auto"/>
                <w:sz w:val="24"/>
                <w:szCs w:val="24"/>
              </w:rPr>
              <w:t>0,000558</w:t>
            </w:r>
          </w:p>
        </w:tc>
      </w:tr>
      <w:tr w:rsidR="00DE12A3" w:rsidRPr="00DE12A3" w14:paraId="193C9923" w14:textId="77777777" w:rsidTr="000B4383">
        <w:trPr>
          <w:trHeight w:hRule="exact" w:val="370"/>
        </w:trPr>
        <w:tc>
          <w:tcPr>
            <w:tcW w:w="1560" w:type="dxa"/>
            <w:shd w:val="clear" w:color="auto" w:fill="auto"/>
          </w:tcPr>
          <w:p w14:paraId="25FEA62B" w14:textId="77777777" w:rsidR="000B4383" w:rsidRPr="00DE12A3" w:rsidRDefault="000B4383" w:rsidP="00C917D6">
            <w:pPr>
              <w:spacing w:before="120" w:after="120"/>
              <w:ind w:left="709" w:hanging="709"/>
              <w:jc w:val="both"/>
              <w:rPr>
                <w:rFonts w:cs="Times New Roman"/>
                <w:color w:val="auto"/>
              </w:rPr>
            </w:pPr>
            <w:r w:rsidRPr="00DE12A3">
              <w:rPr>
                <w:rFonts w:cs="Times New Roman"/>
                <w:color w:val="auto"/>
              </w:rPr>
              <w:t>LPG (</w:t>
            </w:r>
            <w:r w:rsidRPr="00DE12A3">
              <w:rPr>
                <w:rFonts w:cs="Times New Roman"/>
                <w:color w:val="auto"/>
                <w:vertAlign w:val="superscript"/>
              </w:rPr>
              <w:t>5</w:t>
            </w:r>
            <w:r w:rsidRPr="00DE12A3">
              <w:rPr>
                <w:rFonts w:cs="Times New Roman"/>
                <w:color w:val="auto"/>
              </w:rPr>
              <w:t>)</w:t>
            </w:r>
          </w:p>
        </w:tc>
        <w:tc>
          <w:tcPr>
            <w:tcW w:w="1066" w:type="dxa"/>
            <w:shd w:val="clear" w:color="auto" w:fill="auto"/>
          </w:tcPr>
          <w:p w14:paraId="353976B2" w14:textId="77777777" w:rsidR="000B4383" w:rsidRPr="00DE12A3" w:rsidRDefault="000B4383" w:rsidP="00C917D6">
            <w:pPr>
              <w:pStyle w:val="Gvdemetni361"/>
              <w:shd w:val="clear" w:color="auto" w:fill="auto"/>
              <w:spacing w:before="120" w:after="120" w:line="240" w:lineRule="auto"/>
              <w:ind w:left="709" w:hanging="709"/>
              <w:rPr>
                <w:color w:val="auto"/>
                <w:sz w:val="24"/>
                <w:szCs w:val="24"/>
              </w:rPr>
            </w:pPr>
            <w:r w:rsidRPr="00DE12A3">
              <w:rPr>
                <w:rStyle w:val="Gvdemetni367pt0ptbolukbraklyor4"/>
                <w:rFonts w:eastAsia="Garamond"/>
                <w:color w:val="auto"/>
                <w:sz w:val="24"/>
                <w:szCs w:val="24"/>
              </w:rPr>
              <w:t>1,2811</w:t>
            </w:r>
          </w:p>
        </w:tc>
        <w:tc>
          <w:tcPr>
            <w:tcW w:w="1066" w:type="dxa"/>
            <w:shd w:val="clear" w:color="auto" w:fill="auto"/>
          </w:tcPr>
          <w:p w14:paraId="788B518B" w14:textId="77777777" w:rsidR="000B4383" w:rsidRPr="00DE12A3" w:rsidRDefault="000B4383" w:rsidP="00C917D6">
            <w:pPr>
              <w:pStyle w:val="Gvdemetni361"/>
              <w:shd w:val="clear" w:color="auto" w:fill="auto"/>
              <w:spacing w:before="120" w:after="120" w:line="240" w:lineRule="auto"/>
              <w:ind w:left="709" w:hanging="709"/>
              <w:rPr>
                <w:color w:val="auto"/>
                <w:sz w:val="24"/>
                <w:szCs w:val="24"/>
              </w:rPr>
            </w:pPr>
            <w:r w:rsidRPr="00DE12A3">
              <w:rPr>
                <w:rStyle w:val="Gvdemetni367pt0ptbolukbraklyor4"/>
                <w:rFonts w:eastAsia="Garamond"/>
                <w:color w:val="auto"/>
                <w:sz w:val="24"/>
                <w:szCs w:val="24"/>
              </w:rPr>
              <w:t>0,001602</w:t>
            </w:r>
          </w:p>
        </w:tc>
        <w:tc>
          <w:tcPr>
            <w:tcW w:w="1066" w:type="dxa"/>
            <w:shd w:val="clear" w:color="auto" w:fill="auto"/>
          </w:tcPr>
          <w:p w14:paraId="13C43B42" w14:textId="77777777" w:rsidR="000B4383" w:rsidRPr="00DE12A3" w:rsidRDefault="000B4383" w:rsidP="00C917D6">
            <w:pPr>
              <w:pStyle w:val="Gvdemetni361"/>
              <w:shd w:val="clear" w:color="auto" w:fill="auto"/>
              <w:spacing w:before="120" w:after="120" w:line="240" w:lineRule="auto"/>
              <w:ind w:left="709" w:hanging="709"/>
              <w:rPr>
                <w:color w:val="auto"/>
                <w:sz w:val="24"/>
                <w:szCs w:val="24"/>
              </w:rPr>
            </w:pPr>
            <w:r w:rsidRPr="00DE12A3">
              <w:rPr>
                <w:rStyle w:val="Gvdemetni367pt0ptbolukbraklyor4"/>
                <w:rFonts w:eastAsia="Garamond"/>
                <w:color w:val="auto"/>
                <w:sz w:val="24"/>
                <w:szCs w:val="24"/>
              </w:rPr>
              <w:t>0,000976</w:t>
            </w:r>
          </w:p>
        </w:tc>
        <w:tc>
          <w:tcPr>
            <w:tcW w:w="1066" w:type="dxa"/>
            <w:shd w:val="clear" w:color="auto" w:fill="auto"/>
          </w:tcPr>
          <w:p w14:paraId="6A220CE5" w14:textId="77777777" w:rsidR="000B4383" w:rsidRPr="00DE12A3" w:rsidRDefault="000B4383" w:rsidP="00C917D6">
            <w:pPr>
              <w:pStyle w:val="Gvdemetni361"/>
              <w:shd w:val="clear" w:color="auto" w:fill="auto"/>
              <w:spacing w:before="120" w:after="120" w:line="240" w:lineRule="auto"/>
              <w:ind w:left="709" w:hanging="709"/>
              <w:rPr>
                <w:color w:val="auto"/>
                <w:sz w:val="24"/>
                <w:szCs w:val="24"/>
              </w:rPr>
            </w:pPr>
            <w:r w:rsidRPr="00DE12A3">
              <w:rPr>
                <w:rStyle w:val="Gvdemetni367pt0ptbolukbraklyor4"/>
                <w:rFonts w:eastAsia="Garamond"/>
                <w:color w:val="auto"/>
                <w:sz w:val="24"/>
                <w:szCs w:val="24"/>
              </w:rPr>
              <w:t>0,000510</w:t>
            </w:r>
          </w:p>
        </w:tc>
        <w:tc>
          <w:tcPr>
            <w:tcW w:w="1066" w:type="dxa"/>
            <w:shd w:val="clear" w:color="auto" w:fill="auto"/>
          </w:tcPr>
          <w:p w14:paraId="375596B1" w14:textId="77777777" w:rsidR="000B4383" w:rsidRPr="00DE12A3" w:rsidRDefault="000B4383" w:rsidP="00C917D6">
            <w:pPr>
              <w:pStyle w:val="Gvdemetni361"/>
              <w:shd w:val="clear" w:color="auto" w:fill="auto"/>
              <w:spacing w:before="120" w:after="120" w:line="240" w:lineRule="auto"/>
              <w:ind w:left="709" w:hanging="709"/>
              <w:rPr>
                <w:color w:val="auto"/>
                <w:sz w:val="24"/>
                <w:szCs w:val="24"/>
              </w:rPr>
            </w:pPr>
            <w:r w:rsidRPr="00DE12A3">
              <w:rPr>
                <w:rStyle w:val="Gvdemetni367pt0ptbolukbraklyor4"/>
                <w:rFonts w:eastAsia="Garamond"/>
                <w:color w:val="auto"/>
                <w:sz w:val="24"/>
                <w:szCs w:val="24"/>
              </w:rPr>
              <w:t>0,001533</w:t>
            </w:r>
          </w:p>
        </w:tc>
        <w:tc>
          <w:tcPr>
            <w:tcW w:w="1066" w:type="dxa"/>
            <w:shd w:val="clear" w:color="auto" w:fill="auto"/>
          </w:tcPr>
          <w:p w14:paraId="6982D48C" w14:textId="77777777" w:rsidR="000B4383" w:rsidRPr="00DE12A3" w:rsidRDefault="000B4383" w:rsidP="00C917D6">
            <w:pPr>
              <w:pStyle w:val="Gvdemetni361"/>
              <w:shd w:val="clear" w:color="auto" w:fill="auto"/>
              <w:spacing w:before="120" w:after="120" w:line="240" w:lineRule="auto"/>
              <w:ind w:left="709" w:hanging="709"/>
              <w:rPr>
                <w:color w:val="auto"/>
                <w:sz w:val="24"/>
                <w:szCs w:val="24"/>
              </w:rPr>
            </w:pPr>
            <w:r w:rsidRPr="00DE12A3">
              <w:rPr>
                <w:rStyle w:val="Gvdemetni367pt0ptbolukbraklyor4"/>
                <w:rFonts w:eastAsia="Garamond"/>
                <w:color w:val="auto"/>
                <w:sz w:val="24"/>
                <w:szCs w:val="24"/>
              </w:rPr>
              <w:t>0,001115</w:t>
            </w:r>
          </w:p>
        </w:tc>
        <w:tc>
          <w:tcPr>
            <w:tcW w:w="1094" w:type="dxa"/>
            <w:shd w:val="clear" w:color="auto" w:fill="auto"/>
          </w:tcPr>
          <w:p w14:paraId="5B20ED4D" w14:textId="77777777" w:rsidR="000B4383" w:rsidRPr="00DE12A3" w:rsidRDefault="000B4383" w:rsidP="00C917D6">
            <w:pPr>
              <w:pStyle w:val="Gvdemetni361"/>
              <w:shd w:val="clear" w:color="auto" w:fill="auto"/>
              <w:spacing w:before="120" w:after="120" w:line="240" w:lineRule="auto"/>
              <w:ind w:left="709" w:hanging="709"/>
              <w:rPr>
                <w:color w:val="auto"/>
                <w:sz w:val="24"/>
                <w:szCs w:val="24"/>
              </w:rPr>
            </w:pPr>
            <w:r w:rsidRPr="00DE12A3">
              <w:rPr>
                <w:rStyle w:val="Gvdemetni367pt0ptbolukbraklyor4"/>
                <w:rFonts w:eastAsia="Garamond"/>
                <w:color w:val="auto"/>
                <w:sz w:val="24"/>
                <w:szCs w:val="24"/>
              </w:rPr>
              <w:t>0,000559</w:t>
            </w:r>
          </w:p>
        </w:tc>
      </w:tr>
      <w:tr w:rsidR="00DE12A3" w:rsidRPr="00DE12A3" w14:paraId="263EB1F2" w14:textId="77777777" w:rsidTr="000B4383">
        <w:trPr>
          <w:trHeight w:hRule="exact" w:val="370"/>
        </w:trPr>
        <w:tc>
          <w:tcPr>
            <w:tcW w:w="1560" w:type="dxa"/>
            <w:shd w:val="clear" w:color="auto" w:fill="auto"/>
          </w:tcPr>
          <w:p w14:paraId="44CB9859" w14:textId="77777777" w:rsidR="000B4383" w:rsidRPr="00DE12A3" w:rsidRDefault="000B4383" w:rsidP="00C917D6">
            <w:pPr>
              <w:spacing w:before="120" w:after="120"/>
              <w:ind w:left="709" w:hanging="709"/>
              <w:jc w:val="both"/>
              <w:rPr>
                <w:rFonts w:cs="Times New Roman"/>
                <w:color w:val="auto"/>
              </w:rPr>
            </w:pPr>
            <w:r w:rsidRPr="00DE12A3">
              <w:rPr>
                <w:rFonts w:cs="Times New Roman"/>
                <w:color w:val="auto"/>
              </w:rPr>
              <w:t>Benzin (E10)</w:t>
            </w:r>
          </w:p>
        </w:tc>
        <w:tc>
          <w:tcPr>
            <w:tcW w:w="1066" w:type="dxa"/>
            <w:shd w:val="clear" w:color="auto" w:fill="auto"/>
          </w:tcPr>
          <w:p w14:paraId="51A076DB" w14:textId="77777777" w:rsidR="000B4383" w:rsidRPr="00DE12A3" w:rsidRDefault="000B4383" w:rsidP="00C917D6">
            <w:pPr>
              <w:pStyle w:val="Gvdemetni361"/>
              <w:shd w:val="clear" w:color="auto" w:fill="auto"/>
              <w:spacing w:before="120" w:after="120" w:line="240" w:lineRule="auto"/>
              <w:ind w:left="709" w:hanging="709"/>
              <w:rPr>
                <w:color w:val="auto"/>
                <w:sz w:val="24"/>
                <w:szCs w:val="24"/>
              </w:rPr>
            </w:pPr>
            <w:r w:rsidRPr="00DE12A3">
              <w:rPr>
                <w:rStyle w:val="Gvdemetni367pt0ptbolukbraklyor4"/>
                <w:rFonts w:eastAsia="Garamond"/>
                <w:color w:val="auto"/>
                <w:sz w:val="24"/>
                <w:szCs w:val="24"/>
              </w:rPr>
              <w:t>1,2931</w:t>
            </w:r>
          </w:p>
        </w:tc>
        <w:tc>
          <w:tcPr>
            <w:tcW w:w="1066" w:type="dxa"/>
            <w:shd w:val="clear" w:color="auto" w:fill="auto"/>
          </w:tcPr>
          <w:p w14:paraId="13FC9850" w14:textId="77777777" w:rsidR="000B4383" w:rsidRPr="00DE12A3" w:rsidRDefault="000B4383" w:rsidP="00C917D6">
            <w:pPr>
              <w:pStyle w:val="Gvdemetni361"/>
              <w:shd w:val="clear" w:color="auto" w:fill="auto"/>
              <w:spacing w:before="120" w:after="120" w:line="240" w:lineRule="auto"/>
              <w:ind w:left="709" w:hanging="709"/>
              <w:rPr>
                <w:color w:val="auto"/>
                <w:sz w:val="24"/>
                <w:szCs w:val="24"/>
              </w:rPr>
            </w:pPr>
            <w:r w:rsidRPr="00DE12A3">
              <w:rPr>
                <w:rStyle w:val="Gvdemetni367pt0ptbolukbraklyor4"/>
                <w:rFonts w:eastAsia="Garamond"/>
                <w:color w:val="auto"/>
                <w:sz w:val="24"/>
                <w:szCs w:val="24"/>
              </w:rPr>
              <w:t>0,001587</w:t>
            </w:r>
          </w:p>
        </w:tc>
        <w:tc>
          <w:tcPr>
            <w:tcW w:w="1066" w:type="dxa"/>
            <w:shd w:val="clear" w:color="auto" w:fill="auto"/>
          </w:tcPr>
          <w:p w14:paraId="5C6BE5FD" w14:textId="77777777" w:rsidR="000B4383" w:rsidRPr="00DE12A3" w:rsidRDefault="000B4383" w:rsidP="00C917D6">
            <w:pPr>
              <w:pStyle w:val="Gvdemetni361"/>
              <w:shd w:val="clear" w:color="auto" w:fill="auto"/>
              <w:spacing w:before="120" w:after="120" w:line="240" w:lineRule="auto"/>
              <w:ind w:left="709" w:hanging="709"/>
              <w:rPr>
                <w:color w:val="auto"/>
                <w:sz w:val="24"/>
                <w:szCs w:val="24"/>
              </w:rPr>
            </w:pPr>
            <w:r w:rsidRPr="00DE12A3">
              <w:rPr>
                <w:rStyle w:val="Gvdemetni367pt0ptbolukbraklyor4"/>
                <w:rFonts w:eastAsia="Garamond"/>
                <w:color w:val="auto"/>
                <w:sz w:val="24"/>
                <w:szCs w:val="24"/>
              </w:rPr>
              <w:t>0,000966</w:t>
            </w:r>
          </w:p>
        </w:tc>
        <w:tc>
          <w:tcPr>
            <w:tcW w:w="1066" w:type="dxa"/>
            <w:shd w:val="clear" w:color="auto" w:fill="auto"/>
          </w:tcPr>
          <w:p w14:paraId="32630C34" w14:textId="77777777" w:rsidR="000B4383" w:rsidRPr="00DE12A3" w:rsidRDefault="000B4383" w:rsidP="00C917D6">
            <w:pPr>
              <w:pStyle w:val="Gvdemetni361"/>
              <w:shd w:val="clear" w:color="auto" w:fill="auto"/>
              <w:spacing w:before="120" w:after="120" w:line="240" w:lineRule="auto"/>
              <w:ind w:left="709" w:hanging="709"/>
              <w:rPr>
                <w:color w:val="auto"/>
                <w:sz w:val="24"/>
                <w:szCs w:val="24"/>
              </w:rPr>
            </w:pPr>
            <w:r w:rsidRPr="00DE12A3">
              <w:rPr>
                <w:rStyle w:val="Gvdemetni367pt0ptbolukbraklyor4"/>
                <w:rFonts w:eastAsia="Garamond"/>
                <w:color w:val="auto"/>
                <w:sz w:val="24"/>
                <w:szCs w:val="24"/>
              </w:rPr>
              <w:t>0,000499</w:t>
            </w:r>
          </w:p>
        </w:tc>
        <w:tc>
          <w:tcPr>
            <w:tcW w:w="1066" w:type="dxa"/>
            <w:shd w:val="clear" w:color="auto" w:fill="auto"/>
          </w:tcPr>
          <w:p w14:paraId="1CD7F2F2" w14:textId="77777777" w:rsidR="000B4383" w:rsidRPr="00DE12A3" w:rsidRDefault="000B4383" w:rsidP="00C917D6">
            <w:pPr>
              <w:pStyle w:val="Gvdemetni361"/>
              <w:shd w:val="clear" w:color="auto" w:fill="auto"/>
              <w:spacing w:before="120" w:after="120" w:line="240" w:lineRule="auto"/>
              <w:ind w:left="709" w:hanging="709"/>
              <w:rPr>
                <w:color w:val="auto"/>
                <w:sz w:val="24"/>
                <w:szCs w:val="24"/>
              </w:rPr>
            </w:pPr>
            <w:r w:rsidRPr="00DE12A3">
              <w:rPr>
                <w:rStyle w:val="Gvdemetni367pt0ptbolukbraklyor4"/>
                <w:rFonts w:eastAsia="Garamond"/>
                <w:color w:val="auto"/>
                <w:sz w:val="24"/>
                <w:szCs w:val="24"/>
              </w:rPr>
              <w:t>0,001518</w:t>
            </w:r>
          </w:p>
        </w:tc>
        <w:tc>
          <w:tcPr>
            <w:tcW w:w="1066" w:type="dxa"/>
            <w:shd w:val="clear" w:color="auto" w:fill="auto"/>
          </w:tcPr>
          <w:p w14:paraId="238FEF67" w14:textId="77777777" w:rsidR="000B4383" w:rsidRPr="00DE12A3" w:rsidRDefault="000B4383" w:rsidP="00C917D6">
            <w:pPr>
              <w:pStyle w:val="Gvdemetni361"/>
              <w:shd w:val="clear" w:color="auto" w:fill="auto"/>
              <w:spacing w:before="120" w:after="120" w:line="240" w:lineRule="auto"/>
              <w:ind w:left="709" w:hanging="709"/>
              <w:rPr>
                <w:color w:val="auto"/>
                <w:sz w:val="24"/>
                <w:szCs w:val="24"/>
              </w:rPr>
            </w:pPr>
            <w:r w:rsidRPr="00DE12A3">
              <w:rPr>
                <w:rStyle w:val="Gvdemetni367pt0ptbolukbraklyor4"/>
                <w:rFonts w:eastAsia="Garamond"/>
                <w:color w:val="auto"/>
                <w:sz w:val="24"/>
                <w:szCs w:val="24"/>
              </w:rPr>
              <w:t>0,001104</w:t>
            </w:r>
          </w:p>
        </w:tc>
        <w:tc>
          <w:tcPr>
            <w:tcW w:w="1094" w:type="dxa"/>
            <w:shd w:val="clear" w:color="auto" w:fill="auto"/>
          </w:tcPr>
          <w:p w14:paraId="63E012D0" w14:textId="77777777" w:rsidR="000B4383" w:rsidRPr="00DE12A3" w:rsidRDefault="000B4383" w:rsidP="00C917D6">
            <w:pPr>
              <w:pStyle w:val="Gvdemetni361"/>
              <w:shd w:val="clear" w:color="auto" w:fill="auto"/>
              <w:spacing w:before="120" w:after="120" w:line="240" w:lineRule="auto"/>
              <w:ind w:left="709" w:hanging="709"/>
              <w:rPr>
                <w:color w:val="auto"/>
                <w:sz w:val="24"/>
                <w:szCs w:val="24"/>
              </w:rPr>
            </w:pPr>
            <w:r w:rsidRPr="00DE12A3">
              <w:rPr>
                <w:rStyle w:val="Gvdemetni367pt0ptbolukbraklyor4"/>
                <w:rFonts w:eastAsia="Garamond"/>
                <w:color w:val="auto"/>
                <w:sz w:val="24"/>
                <w:szCs w:val="24"/>
              </w:rPr>
              <w:t>0,000553</w:t>
            </w:r>
          </w:p>
        </w:tc>
      </w:tr>
      <w:tr w:rsidR="00DE12A3" w:rsidRPr="00DE12A3" w14:paraId="384E9901" w14:textId="77777777" w:rsidTr="000B4383">
        <w:trPr>
          <w:trHeight w:hRule="exact" w:val="379"/>
        </w:trPr>
        <w:tc>
          <w:tcPr>
            <w:tcW w:w="1560" w:type="dxa"/>
            <w:shd w:val="clear" w:color="auto" w:fill="auto"/>
          </w:tcPr>
          <w:p w14:paraId="4E3D5878" w14:textId="77777777" w:rsidR="000B4383" w:rsidRPr="00DE12A3" w:rsidRDefault="000B4383" w:rsidP="00C917D6">
            <w:pPr>
              <w:spacing w:before="120" w:after="120"/>
              <w:ind w:left="709" w:hanging="709"/>
              <w:jc w:val="both"/>
              <w:rPr>
                <w:rFonts w:cs="Times New Roman"/>
                <w:color w:val="auto"/>
              </w:rPr>
            </w:pPr>
            <w:r w:rsidRPr="00DE12A3">
              <w:rPr>
                <w:rFonts w:cs="Times New Roman"/>
                <w:color w:val="auto"/>
              </w:rPr>
              <w:t>Etanol (E85)</w:t>
            </w:r>
          </w:p>
        </w:tc>
        <w:tc>
          <w:tcPr>
            <w:tcW w:w="1066" w:type="dxa"/>
            <w:shd w:val="clear" w:color="auto" w:fill="auto"/>
          </w:tcPr>
          <w:p w14:paraId="2277DF58" w14:textId="77777777" w:rsidR="000B4383" w:rsidRPr="00DE12A3" w:rsidRDefault="000B4383" w:rsidP="00C917D6">
            <w:pPr>
              <w:pStyle w:val="Gvdemetni361"/>
              <w:shd w:val="clear" w:color="auto" w:fill="auto"/>
              <w:spacing w:before="120" w:after="120" w:line="240" w:lineRule="auto"/>
              <w:ind w:left="709" w:hanging="709"/>
              <w:rPr>
                <w:color w:val="auto"/>
                <w:sz w:val="24"/>
                <w:szCs w:val="24"/>
              </w:rPr>
            </w:pPr>
            <w:r w:rsidRPr="00DE12A3">
              <w:rPr>
                <w:rStyle w:val="Gvdemetni367pt0ptbolukbraklyor4"/>
                <w:rFonts w:eastAsia="Garamond"/>
                <w:color w:val="auto"/>
                <w:sz w:val="24"/>
                <w:szCs w:val="24"/>
              </w:rPr>
              <w:t>1,2797</w:t>
            </w:r>
          </w:p>
        </w:tc>
        <w:tc>
          <w:tcPr>
            <w:tcW w:w="1066" w:type="dxa"/>
            <w:shd w:val="clear" w:color="auto" w:fill="auto"/>
          </w:tcPr>
          <w:p w14:paraId="6BBFEE16" w14:textId="77777777" w:rsidR="000B4383" w:rsidRPr="00DE12A3" w:rsidRDefault="000B4383" w:rsidP="00C917D6">
            <w:pPr>
              <w:pStyle w:val="Gvdemetni361"/>
              <w:shd w:val="clear" w:color="auto" w:fill="auto"/>
              <w:spacing w:before="120" w:after="120" w:line="240" w:lineRule="auto"/>
              <w:ind w:left="709" w:hanging="709"/>
              <w:rPr>
                <w:color w:val="auto"/>
                <w:sz w:val="24"/>
                <w:szCs w:val="24"/>
              </w:rPr>
            </w:pPr>
            <w:r w:rsidRPr="00DE12A3">
              <w:rPr>
                <w:rStyle w:val="Gvdemetni367pt0ptbolukbraklyor4"/>
                <w:rFonts w:eastAsia="Garamond"/>
                <w:color w:val="auto"/>
                <w:sz w:val="24"/>
                <w:szCs w:val="24"/>
              </w:rPr>
              <w:t>0,001604</w:t>
            </w:r>
          </w:p>
        </w:tc>
        <w:tc>
          <w:tcPr>
            <w:tcW w:w="1066" w:type="dxa"/>
            <w:shd w:val="clear" w:color="auto" w:fill="auto"/>
          </w:tcPr>
          <w:p w14:paraId="3D1DA7E5" w14:textId="77777777" w:rsidR="000B4383" w:rsidRPr="00DE12A3" w:rsidRDefault="000B4383" w:rsidP="00C917D6">
            <w:pPr>
              <w:pStyle w:val="Gvdemetni361"/>
              <w:shd w:val="clear" w:color="auto" w:fill="auto"/>
              <w:spacing w:before="120" w:after="120" w:line="240" w:lineRule="auto"/>
              <w:ind w:left="709" w:hanging="709"/>
              <w:rPr>
                <w:color w:val="auto"/>
                <w:sz w:val="24"/>
                <w:szCs w:val="24"/>
              </w:rPr>
            </w:pPr>
            <w:r w:rsidRPr="00DE12A3">
              <w:rPr>
                <w:rStyle w:val="Gvdemetni367pt0ptbolukbraklyor4"/>
                <w:rFonts w:eastAsia="Garamond"/>
                <w:color w:val="auto"/>
                <w:sz w:val="24"/>
                <w:szCs w:val="24"/>
              </w:rPr>
              <w:t>0,000977</w:t>
            </w:r>
          </w:p>
        </w:tc>
        <w:tc>
          <w:tcPr>
            <w:tcW w:w="1066" w:type="dxa"/>
            <w:shd w:val="clear" w:color="auto" w:fill="auto"/>
          </w:tcPr>
          <w:p w14:paraId="35BED73B" w14:textId="77777777" w:rsidR="000B4383" w:rsidRPr="00DE12A3" w:rsidRDefault="000B4383" w:rsidP="00C917D6">
            <w:pPr>
              <w:pStyle w:val="Gvdemetni361"/>
              <w:shd w:val="clear" w:color="auto" w:fill="auto"/>
              <w:spacing w:before="120" w:after="120" w:line="240" w:lineRule="auto"/>
              <w:ind w:left="709" w:hanging="709"/>
              <w:rPr>
                <w:color w:val="auto"/>
                <w:sz w:val="24"/>
                <w:szCs w:val="24"/>
              </w:rPr>
            </w:pPr>
            <w:r w:rsidRPr="00DE12A3">
              <w:rPr>
                <w:rStyle w:val="Gvdemetni367pt0ptbolukbraklyor4"/>
                <w:rFonts w:eastAsia="Garamond"/>
                <w:color w:val="auto"/>
                <w:sz w:val="24"/>
                <w:szCs w:val="24"/>
              </w:rPr>
              <w:t>0,000730</w:t>
            </w:r>
          </w:p>
        </w:tc>
        <w:tc>
          <w:tcPr>
            <w:tcW w:w="1066" w:type="dxa"/>
            <w:shd w:val="clear" w:color="auto" w:fill="auto"/>
          </w:tcPr>
          <w:p w14:paraId="7553C082" w14:textId="77777777" w:rsidR="000B4383" w:rsidRPr="00DE12A3" w:rsidRDefault="000B4383" w:rsidP="00C917D6">
            <w:pPr>
              <w:pStyle w:val="Gvdemetni361"/>
              <w:shd w:val="clear" w:color="auto" w:fill="auto"/>
              <w:spacing w:before="120" w:after="120" w:line="240" w:lineRule="auto"/>
              <w:ind w:left="709" w:hanging="709"/>
              <w:rPr>
                <w:color w:val="auto"/>
                <w:sz w:val="24"/>
                <w:szCs w:val="24"/>
              </w:rPr>
            </w:pPr>
            <w:r w:rsidRPr="00DE12A3">
              <w:rPr>
                <w:rStyle w:val="Gvdemetni367pt0ptbolukbraklyor4"/>
                <w:rFonts w:eastAsia="Garamond"/>
                <w:color w:val="auto"/>
                <w:sz w:val="24"/>
                <w:szCs w:val="24"/>
              </w:rPr>
              <w:t>0,001534</w:t>
            </w:r>
          </w:p>
        </w:tc>
        <w:tc>
          <w:tcPr>
            <w:tcW w:w="1066" w:type="dxa"/>
            <w:shd w:val="clear" w:color="auto" w:fill="auto"/>
          </w:tcPr>
          <w:p w14:paraId="290D1F68" w14:textId="77777777" w:rsidR="000B4383" w:rsidRPr="00DE12A3" w:rsidRDefault="000B4383" w:rsidP="00C917D6">
            <w:pPr>
              <w:pStyle w:val="Gvdemetni361"/>
              <w:shd w:val="clear" w:color="auto" w:fill="auto"/>
              <w:spacing w:before="120" w:after="120" w:line="240" w:lineRule="auto"/>
              <w:ind w:left="709" w:hanging="709"/>
              <w:rPr>
                <w:color w:val="auto"/>
                <w:sz w:val="24"/>
                <w:szCs w:val="24"/>
              </w:rPr>
            </w:pPr>
            <w:r w:rsidRPr="00DE12A3">
              <w:rPr>
                <w:rStyle w:val="Gvdemetni367pt0ptbolukbraklyor4"/>
                <w:rFonts w:eastAsia="Garamond"/>
                <w:color w:val="auto"/>
                <w:sz w:val="24"/>
                <w:szCs w:val="24"/>
              </w:rPr>
              <w:t>0,001116</w:t>
            </w:r>
          </w:p>
        </w:tc>
        <w:tc>
          <w:tcPr>
            <w:tcW w:w="1094" w:type="dxa"/>
            <w:shd w:val="clear" w:color="auto" w:fill="auto"/>
          </w:tcPr>
          <w:p w14:paraId="777AAD13" w14:textId="77777777" w:rsidR="000B4383" w:rsidRPr="00DE12A3" w:rsidRDefault="000B4383" w:rsidP="00C917D6">
            <w:pPr>
              <w:pStyle w:val="Gvdemetni361"/>
              <w:shd w:val="clear" w:color="auto" w:fill="auto"/>
              <w:spacing w:before="120" w:after="120" w:line="240" w:lineRule="auto"/>
              <w:ind w:left="709" w:hanging="709"/>
              <w:rPr>
                <w:color w:val="auto"/>
                <w:sz w:val="24"/>
                <w:szCs w:val="24"/>
              </w:rPr>
            </w:pPr>
            <w:r w:rsidRPr="00DE12A3">
              <w:rPr>
                <w:rStyle w:val="Gvdemetni367pt0ptbolukbraklyor4"/>
                <w:rFonts w:eastAsia="Garamond"/>
                <w:color w:val="auto"/>
                <w:sz w:val="24"/>
                <w:szCs w:val="24"/>
              </w:rPr>
              <w:t>0,000559</w:t>
            </w:r>
          </w:p>
        </w:tc>
      </w:tr>
      <w:tr w:rsidR="00DE12A3" w:rsidRPr="00DE12A3" w14:paraId="685AB553" w14:textId="77777777" w:rsidTr="000B4383">
        <w:trPr>
          <w:trHeight w:hRule="exact" w:val="2386"/>
        </w:trPr>
        <w:tc>
          <w:tcPr>
            <w:tcW w:w="9050" w:type="dxa"/>
            <w:gridSpan w:val="8"/>
            <w:shd w:val="clear" w:color="auto" w:fill="auto"/>
          </w:tcPr>
          <w:p w14:paraId="3A5092CE" w14:textId="77777777" w:rsidR="000B4383" w:rsidRPr="00DE12A3" w:rsidRDefault="000B4383" w:rsidP="00C917D6">
            <w:pPr>
              <w:pStyle w:val="Tabloyazs1"/>
              <w:shd w:val="clear" w:color="auto" w:fill="auto"/>
              <w:spacing w:before="120" w:after="120" w:line="240" w:lineRule="auto"/>
              <w:ind w:left="709" w:hanging="709"/>
              <w:jc w:val="both"/>
              <w:rPr>
                <w:color w:val="auto"/>
                <w:sz w:val="24"/>
                <w:szCs w:val="24"/>
              </w:rPr>
            </w:pPr>
            <w:r w:rsidRPr="00DE12A3">
              <w:rPr>
                <w:color w:val="auto"/>
                <w:sz w:val="24"/>
                <w:szCs w:val="24"/>
              </w:rPr>
              <w:t>(</w:t>
            </w:r>
            <w:r w:rsidRPr="00DE12A3">
              <w:rPr>
                <w:color w:val="auto"/>
                <w:sz w:val="24"/>
                <w:szCs w:val="24"/>
                <w:vertAlign w:val="superscript"/>
              </w:rPr>
              <w:t>1</w:t>
            </w:r>
            <w:r w:rsidRPr="00DE12A3">
              <w:rPr>
                <w:color w:val="auto"/>
                <w:sz w:val="24"/>
                <w:szCs w:val="24"/>
              </w:rPr>
              <w:t>)</w:t>
            </w:r>
            <w:r w:rsidRPr="00DE12A3">
              <w:rPr>
                <w:color w:val="auto"/>
                <w:sz w:val="24"/>
                <w:szCs w:val="24"/>
              </w:rPr>
              <w:tab/>
              <w:t>Yakıta bağlı olarak.</w:t>
            </w:r>
          </w:p>
          <w:p w14:paraId="401CC1B4" w14:textId="77777777" w:rsidR="000B4383" w:rsidRPr="00DE12A3" w:rsidRDefault="000B4383" w:rsidP="00C917D6">
            <w:pPr>
              <w:pStyle w:val="Tabloyazs1"/>
              <w:shd w:val="clear" w:color="auto" w:fill="auto"/>
              <w:spacing w:before="120" w:after="120" w:line="240" w:lineRule="auto"/>
              <w:ind w:left="709" w:hanging="709"/>
              <w:jc w:val="both"/>
              <w:rPr>
                <w:color w:val="auto"/>
                <w:sz w:val="24"/>
                <w:szCs w:val="24"/>
              </w:rPr>
            </w:pPr>
            <w:bookmarkStart w:id="26" w:name="_Hlk22746272"/>
            <w:r w:rsidRPr="00DE12A3">
              <w:rPr>
                <w:color w:val="auto"/>
                <w:sz w:val="24"/>
                <w:szCs w:val="24"/>
              </w:rPr>
              <w:t>(</w:t>
            </w:r>
            <w:r w:rsidRPr="00DE12A3">
              <w:rPr>
                <w:color w:val="auto"/>
                <w:sz w:val="24"/>
                <w:szCs w:val="24"/>
                <w:vertAlign w:val="superscript"/>
              </w:rPr>
              <w:t>2</w:t>
            </w:r>
            <w:r w:rsidRPr="00DE12A3">
              <w:rPr>
                <w:color w:val="auto"/>
                <w:sz w:val="24"/>
                <w:szCs w:val="24"/>
              </w:rPr>
              <w:t>)</w:t>
            </w:r>
            <w:r w:rsidRPr="00DE12A3">
              <w:rPr>
                <w:color w:val="auto"/>
                <w:sz w:val="24"/>
                <w:szCs w:val="24"/>
              </w:rPr>
              <w:tab/>
            </w:r>
            <w:bookmarkEnd w:id="26"/>
            <w:r w:rsidRPr="00DE12A3">
              <w:rPr>
                <w:color w:val="auto"/>
                <w:sz w:val="24"/>
                <w:szCs w:val="24"/>
              </w:rPr>
              <w:t>λ = 2'de, kuru hava, 273 K, 101,3 kPa</w:t>
            </w:r>
          </w:p>
          <w:p w14:paraId="2A3FDA34" w14:textId="56C6B7D3" w:rsidR="000B4383" w:rsidRPr="00DE12A3" w:rsidRDefault="000B4383" w:rsidP="00C917D6">
            <w:pPr>
              <w:pStyle w:val="Tabloyazs1"/>
              <w:shd w:val="clear" w:color="auto" w:fill="auto"/>
              <w:spacing w:before="120" w:after="120" w:line="240" w:lineRule="auto"/>
              <w:ind w:left="709" w:hanging="709"/>
              <w:jc w:val="both"/>
              <w:rPr>
                <w:color w:val="auto"/>
                <w:sz w:val="24"/>
                <w:szCs w:val="24"/>
              </w:rPr>
            </w:pPr>
            <w:r w:rsidRPr="00DE12A3">
              <w:rPr>
                <w:color w:val="auto"/>
                <w:sz w:val="24"/>
                <w:szCs w:val="24"/>
              </w:rPr>
              <w:t>(</w:t>
            </w:r>
            <w:r w:rsidRPr="00DE12A3">
              <w:rPr>
                <w:color w:val="auto"/>
                <w:sz w:val="24"/>
                <w:szCs w:val="24"/>
                <w:vertAlign w:val="superscript"/>
              </w:rPr>
              <w:t>3</w:t>
            </w:r>
            <w:r w:rsidRPr="00DE12A3">
              <w:rPr>
                <w:color w:val="auto"/>
                <w:sz w:val="24"/>
                <w:szCs w:val="24"/>
              </w:rPr>
              <w:t>)</w:t>
            </w:r>
            <w:r w:rsidRPr="00DE12A3">
              <w:rPr>
                <w:color w:val="auto"/>
                <w:sz w:val="24"/>
                <w:szCs w:val="24"/>
              </w:rPr>
              <w:tab/>
            </w:r>
            <w:r w:rsidRPr="00DE12A3">
              <w:rPr>
                <w:rStyle w:val="Tabloyazstalik"/>
                <w:color w:val="auto"/>
                <w:sz w:val="24"/>
                <w:szCs w:val="24"/>
              </w:rPr>
              <w:t xml:space="preserve">u, </w:t>
            </w:r>
            <w:r w:rsidRPr="00DE12A3">
              <w:rPr>
                <w:rStyle w:val="Tabloyazstalik"/>
                <w:i w:val="0"/>
                <w:iCs w:val="0"/>
                <w:color w:val="auto"/>
                <w:sz w:val="24"/>
                <w:szCs w:val="24"/>
              </w:rPr>
              <w:t>C = % 66 - 76; H = % 22 - 25; N = % 0 - 12 kütle bileşimi için % 0,2 aralığı içinde doğru</w:t>
            </w:r>
            <w:r w:rsidR="004976F1" w:rsidRPr="00DE12A3">
              <w:rPr>
                <w:rStyle w:val="Tabloyazstalik"/>
                <w:i w:val="0"/>
                <w:iCs w:val="0"/>
                <w:color w:val="auto"/>
                <w:sz w:val="24"/>
                <w:szCs w:val="24"/>
              </w:rPr>
              <w:t>dur</w:t>
            </w:r>
            <w:r w:rsidRPr="00DE12A3">
              <w:rPr>
                <w:rStyle w:val="Tabloyazstalik"/>
                <w:color w:val="auto"/>
                <w:sz w:val="24"/>
                <w:szCs w:val="24"/>
              </w:rPr>
              <w:t>.</w:t>
            </w:r>
          </w:p>
          <w:p w14:paraId="6EA2BF20" w14:textId="77777777" w:rsidR="000B4383" w:rsidRPr="00DE12A3" w:rsidRDefault="000B4383" w:rsidP="00C917D6">
            <w:pPr>
              <w:pStyle w:val="Tabloyazs1"/>
              <w:shd w:val="clear" w:color="auto" w:fill="auto"/>
              <w:spacing w:before="120" w:after="120" w:line="240" w:lineRule="auto"/>
              <w:ind w:left="709" w:hanging="709"/>
              <w:jc w:val="both"/>
              <w:rPr>
                <w:color w:val="auto"/>
                <w:sz w:val="24"/>
                <w:szCs w:val="24"/>
              </w:rPr>
            </w:pPr>
            <w:r w:rsidRPr="00DE12A3">
              <w:rPr>
                <w:color w:val="auto"/>
                <w:sz w:val="24"/>
                <w:szCs w:val="24"/>
              </w:rPr>
              <w:t>(</w:t>
            </w:r>
            <w:r w:rsidRPr="00DE12A3">
              <w:rPr>
                <w:color w:val="auto"/>
                <w:sz w:val="24"/>
                <w:szCs w:val="24"/>
                <w:vertAlign w:val="superscript"/>
              </w:rPr>
              <w:t>4</w:t>
            </w:r>
            <w:r w:rsidRPr="00DE12A3">
              <w:rPr>
                <w:color w:val="auto"/>
                <w:sz w:val="24"/>
                <w:szCs w:val="24"/>
              </w:rPr>
              <w:t>)</w:t>
            </w:r>
            <w:r w:rsidRPr="00DE12A3">
              <w:rPr>
                <w:color w:val="auto"/>
                <w:sz w:val="24"/>
                <w:szCs w:val="24"/>
              </w:rPr>
              <w:tab/>
              <w:t>CH2,93 bazında NMHC (toplam HC için CH4'ün ugas katsayısı kullanılır).</w:t>
            </w:r>
          </w:p>
          <w:p w14:paraId="748B1E57" w14:textId="1C2065F9" w:rsidR="000B4383" w:rsidRPr="00DE12A3" w:rsidRDefault="000B4383" w:rsidP="00C917D6">
            <w:pPr>
              <w:pStyle w:val="Tabloyazs1"/>
              <w:shd w:val="clear" w:color="auto" w:fill="auto"/>
              <w:spacing w:before="120" w:after="120" w:line="240" w:lineRule="auto"/>
              <w:ind w:left="709" w:hanging="709"/>
              <w:jc w:val="both"/>
              <w:rPr>
                <w:color w:val="auto"/>
                <w:sz w:val="24"/>
                <w:szCs w:val="24"/>
              </w:rPr>
            </w:pPr>
            <w:r w:rsidRPr="00DE12A3">
              <w:rPr>
                <w:color w:val="auto"/>
                <w:sz w:val="24"/>
                <w:szCs w:val="24"/>
              </w:rPr>
              <w:t>(</w:t>
            </w:r>
            <w:r w:rsidRPr="00DE12A3">
              <w:rPr>
                <w:color w:val="auto"/>
                <w:sz w:val="24"/>
                <w:szCs w:val="24"/>
                <w:vertAlign w:val="superscript"/>
              </w:rPr>
              <w:t>5</w:t>
            </w:r>
            <w:r w:rsidRPr="00DE12A3">
              <w:rPr>
                <w:color w:val="auto"/>
                <w:sz w:val="24"/>
                <w:szCs w:val="24"/>
              </w:rPr>
              <w:t>)</w:t>
            </w:r>
            <w:r w:rsidRPr="00DE12A3">
              <w:rPr>
                <w:color w:val="auto"/>
                <w:sz w:val="24"/>
                <w:szCs w:val="24"/>
              </w:rPr>
              <w:tab/>
            </w:r>
            <w:r w:rsidRPr="00DE12A3">
              <w:rPr>
                <w:rStyle w:val="Tabloyazstalik"/>
                <w:color w:val="auto"/>
                <w:sz w:val="24"/>
                <w:szCs w:val="24"/>
              </w:rPr>
              <w:t xml:space="preserve">u, </w:t>
            </w:r>
            <w:r w:rsidRPr="00DE12A3">
              <w:rPr>
                <w:rStyle w:val="Tabloyazstalik"/>
                <w:i w:val="0"/>
                <w:iCs w:val="0"/>
                <w:color w:val="auto"/>
                <w:sz w:val="24"/>
                <w:szCs w:val="24"/>
              </w:rPr>
              <w:t>C3 = % 70 - 90; C4 = % 10 - 30 kütle bileşimi için % 0,2 aralığı içinde doğru</w:t>
            </w:r>
            <w:r w:rsidR="004976F1" w:rsidRPr="00DE12A3">
              <w:rPr>
                <w:rStyle w:val="Tabloyazstalik"/>
                <w:i w:val="0"/>
                <w:iCs w:val="0"/>
                <w:color w:val="auto"/>
                <w:sz w:val="24"/>
                <w:szCs w:val="24"/>
              </w:rPr>
              <w:t>dur</w:t>
            </w:r>
            <w:r w:rsidRPr="00DE12A3">
              <w:rPr>
                <w:rStyle w:val="Tabloyazstalik"/>
                <w:color w:val="auto"/>
                <w:sz w:val="24"/>
                <w:szCs w:val="24"/>
              </w:rPr>
              <w:t>.</w:t>
            </w:r>
          </w:p>
          <w:p w14:paraId="1817E938" w14:textId="77777777" w:rsidR="000B4383" w:rsidRPr="00DE12A3" w:rsidRDefault="000B4383" w:rsidP="00C917D6">
            <w:pPr>
              <w:pStyle w:val="Gvdemetni361"/>
              <w:shd w:val="clear" w:color="auto" w:fill="auto"/>
              <w:spacing w:before="120" w:after="120" w:line="240" w:lineRule="auto"/>
              <w:ind w:left="709" w:hanging="709"/>
              <w:rPr>
                <w:rStyle w:val="Gvdemetni367pt0ptbolukbraklyor4"/>
                <w:rFonts w:eastAsia="Garamond"/>
                <w:color w:val="auto"/>
                <w:sz w:val="24"/>
                <w:szCs w:val="24"/>
              </w:rPr>
            </w:pPr>
          </w:p>
        </w:tc>
      </w:tr>
    </w:tbl>
    <w:p w14:paraId="7AEB22E4" w14:textId="77777777" w:rsidR="002D7B36" w:rsidRPr="00DE12A3" w:rsidRDefault="002D7B36" w:rsidP="00C917D6">
      <w:pPr>
        <w:widowControl/>
        <w:spacing w:before="120" w:after="120"/>
        <w:ind w:left="709" w:hanging="709"/>
        <w:jc w:val="both"/>
        <w:rPr>
          <w:rStyle w:val="Tabloyazs100ptbolukbraklyor11"/>
          <w:rFonts w:eastAsia="Courier New"/>
          <w:color w:val="auto"/>
          <w:sz w:val="18"/>
          <w:szCs w:val="18"/>
          <w:lang w:val="tr-TR" w:eastAsia="en-US"/>
        </w:rPr>
      </w:pPr>
    </w:p>
    <w:p w14:paraId="29A67AB1" w14:textId="77777777" w:rsidR="002D7B36" w:rsidRPr="00DE12A3" w:rsidRDefault="00242DA0" w:rsidP="00E20716">
      <w:pPr>
        <w:pStyle w:val="Gvdemetni2511"/>
        <w:numPr>
          <w:ilvl w:val="0"/>
          <w:numId w:val="401"/>
        </w:numPr>
        <w:shd w:val="clear" w:color="auto" w:fill="auto"/>
        <w:spacing w:before="120" w:after="120" w:line="240" w:lineRule="auto"/>
        <w:ind w:left="1134" w:hanging="1134"/>
        <w:rPr>
          <w:color w:val="auto"/>
          <w:sz w:val="24"/>
          <w:szCs w:val="24"/>
        </w:rPr>
      </w:pPr>
      <w:r w:rsidRPr="00DE12A3">
        <w:rPr>
          <w:color w:val="auto"/>
          <w:spacing w:val="2"/>
          <w:sz w:val="20"/>
          <w:szCs w:val="20"/>
        </w:rPr>
        <w:t xml:space="preserve">  </w:t>
      </w:r>
      <w:r w:rsidR="007C70CB" w:rsidRPr="00DE12A3">
        <w:rPr>
          <w:color w:val="auto"/>
          <w:spacing w:val="2"/>
          <w:sz w:val="20"/>
          <w:szCs w:val="20"/>
        </w:rPr>
        <w:t xml:space="preserve">     </w:t>
      </w:r>
      <w:r w:rsidRPr="00DE12A3">
        <w:rPr>
          <w:color w:val="auto"/>
          <w:spacing w:val="2"/>
          <w:sz w:val="24"/>
          <w:szCs w:val="24"/>
        </w:rPr>
        <w:t>Egzoz gazı kütle akış hesaplaması</w:t>
      </w:r>
    </w:p>
    <w:p w14:paraId="72BDA77F" w14:textId="77777777" w:rsidR="002D7B36" w:rsidRPr="00DE12A3" w:rsidRDefault="00242DA0" w:rsidP="00E20716">
      <w:pPr>
        <w:pStyle w:val="Gvdemetni2511"/>
        <w:numPr>
          <w:ilvl w:val="0"/>
          <w:numId w:val="402"/>
        </w:numPr>
        <w:shd w:val="clear" w:color="auto" w:fill="auto"/>
        <w:spacing w:before="120" w:after="120" w:line="240" w:lineRule="auto"/>
        <w:ind w:left="1134" w:hanging="1134"/>
        <w:rPr>
          <w:color w:val="auto"/>
          <w:sz w:val="24"/>
          <w:szCs w:val="24"/>
        </w:rPr>
      </w:pPr>
      <w:r w:rsidRPr="00DE12A3">
        <w:rPr>
          <w:rStyle w:val="Gvdemetni250ptbolukbraklyor2"/>
          <w:color w:val="auto"/>
          <w:sz w:val="24"/>
          <w:szCs w:val="24"/>
        </w:rPr>
        <w:t>PDP-CVS sistemi</w:t>
      </w:r>
    </w:p>
    <w:p w14:paraId="70CFB31D" w14:textId="4829B4EB" w:rsidR="002D7B36" w:rsidRPr="00DE12A3" w:rsidRDefault="007C70CB" w:rsidP="00C917D6">
      <w:pPr>
        <w:pStyle w:val="Gvdemetni2511"/>
        <w:shd w:val="clear" w:color="auto" w:fill="auto"/>
        <w:spacing w:before="120" w:after="120" w:line="240" w:lineRule="auto"/>
        <w:ind w:left="1134" w:hanging="1134"/>
        <w:rPr>
          <w:rStyle w:val="Gvdemetni250ptbolukbraklyor2"/>
          <w:color w:val="auto"/>
          <w:sz w:val="24"/>
          <w:szCs w:val="24"/>
        </w:rPr>
      </w:pPr>
      <w:r w:rsidRPr="00DE12A3">
        <w:rPr>
          <w:color w:val="auto"/>
          <w:spacing w:val="2"/>
          <w:sz w:val="24"/>
          <w:szCs w:val="24"/>
        </w:rPr>
        <w:t xml:space="preserve">                  </w:t>
      </w:r>
      <w:r w:rsidR="00242DA0" w:rsidRPr="00DE12A3">
        <w:rPr>
          <w:color w:val="auto"/>
          <w:spacing w:val="2"/>
          <w:sz w:val="24"/>
          <w:szCs w:val="24"/>
        </w:rPr>
        <w:t xml:space="preserve">Seyreltilmiş egzoz gazı sıcaklığı med'in, bir ısı eşanjörü kullanılarak </w:t>
      </w:r>
      <w:r w:rsidR="00F310B5" w:rsidRPr="00DE12A3">
        <w:rPr>
          <w:color w:val="auto"/>
          <w:spacing w:val="2"/>
          <w:sz w:val="24"/>
          <w:szCs w:val="24"/>
        </w:rPr>
        <w:t>çevrim</w:t>
      </w:r>
      <w:r w:rsidR="00242DA0" w:rsidRPr="00DE12A3">
        <w:rPr>
          <w:color w:val="auto"/>
          <w:spacing w:val="2"/>
          <w:sz w:val="24"/>
          <w:szCs w:val="24"/>
        </w:rPr>
        <w:t xml:space="preserve"> boyunca ± 6 K aralığı içinde tutulması durumunda, </w:t>
      </w:r>
      <w:r w:rsidR="00F310B5" w:rsidRPr="00DE12A3">
        <w:rPr>
          <w:color w:val="auto"/>
          <w:spacing w:val="2"/>
          <w:sz w:val="24"/>
          <w:szCs w:val="24"/>
        </w:rPr>
        <w:t>çevrim</w:t>
      </w:r>
      <w:r w:rsidR="00242DA0" w:rsidRPr="00DE12A3">
        <w:rPr>
          <w:color w:val="auto"/>
          <w:spacing w:val="2"/>
          <w:sz w:val="24"/>
          <w:szCs w:val="24"/>
        </w:rPr>
        <w:t xml:space="preserve"> boyunca seyreltilmiş egzoz gazı kütlesi </w:t>
      </w:r>
      <w:r w:rsidR="00242DA0" w:rsidRPr="00DE12A3">
        <w:rPr>
          <w:rFonts w:eastAsia="Courier New"/>
          <w:i/>
          <w:iCs/>
          <w:color w:val="auto"/>
          <w:spacing w:val="0"/>
          <w:sz w:val="24"/>
          <w:szCs w:val="24"/>
        </w:rPr>
        <w:t>m</w:t>
      </w:r>
      <w:r w:rsidR="00242DA0" w:rsidRPr="00DE12A3">
        <w:rPr>
          <w:rFonts w:eastAsia="Courier New"/>
          <w:color w:val="auto"/>
          <w:spacing w:val="0"/>
          <w:sz w:val="24"/>
          <w:szCs w:val="24"/>
          <w:vertAlign w:val="subscript"/>
        </w:rPr>
        <w:t>ed</w:t>
      </w:r>
      <w:r w:rsidR="00242DA0" w:rsidRPr="00DE12A3">
        <w:rPr>
          <w:rFonts w:eastAsia="Courier New"/>
          <w:color w:val="auto"/>
          <w:spacing w:val="0"/>
          <w:sz w:val="24"/>
          <w:szCs w:val="24"/>
        </w:rPr>
        <w:t xml:space="preserve"> </w:t>
      </w:r>
      <w:r w:rsidR="00242DA0" w:rsidRPr="00DE12A3">
        <w:rPr>
          <w:color w:val="auto"/>
          <w:spacing w:val="2"/>
          <w:sz w:val="24"/>
          <w:szCs w:val="24"/>
        </w:rPr>
        <w:t xml:space="preserve">[kg/test], (7-35) </w:t>
      </w:r>
      <w:r w:rsidR="005E1C7E" w:rsidRPr="00DE12A3">
        <w:rPr>
          <w:color w:val="auto"/>
          <w:sz w:val="24"/>
          <w:szCs w:val="24"/>
        </w:rPr>
        <w:t>numaralı</w:t>
      </w:r>
      <w:r w:rsidR="005E1C7E" w:rsidRPr="00DE12A3" w:rsidDel="005E1C7E">
        <w:rPr>
          <w:color w:val="auto"/>
          <w:spacing w:val="2"/>
          <w:sz w:val="24"/>
          <w:szCs w:val="24"/>
        </w:rPr>
        <w:t xml:space="preserve"> </w:t>
      </w:r>
      <w:r w:rsidR="00242DA0" w:rsidRPr="00DE12A3">
        <w:rPr>
          <w:color w:val="auto"/>
          <w:spacing w:val="2"/>
          <w:sz w:val="24"/>
          <w:szCs w:val="24"/>
        </w:rPr>
        <w:t>denklem ile hesaplanmalıdır</w:t>
      </w:r>
      <w:r w:rsidR="00242DA0" w:rsidRPr="00DE12A3">
        <w:rPr>
          <w:rStyle w:val="Gvdemetni250ptbolukbraklyor2"/>
          <w:color w:val="auto"/>
          <w:sz w:val="24"/>
          <w:szCs w:val="24"/>
        </w:rPr>
        <w:t>:</w:t>
      </w:r>
    </w:p>
    <w:p w14:paraId="6B1742AA" w14:textId="3A969945" w:rsidR="002D7B36" w:rsidRPr="00DE12A3" w:rsidRDefault="00242DA0" w:rsidP="00C917D6">
      <w:pPr>
        <w:pStyle w:val="Gvdemetni2511"/>
        <w:shd w:val="clear" w:color="auto" w:fill="auto"/>
        <w:spacing w:before="120" w:after="120" w:line="240" w:lineRule="auto"/>
        <w:ind w:left="1134" w:hanging="1134"/>
        <w:rPr>
          <w:rStyle w:val="Gvdemetni250ptbolukbraklyor2"/>
          <w:color w:val="auto"/>
          <w:sz w:val="24"/>
          <w:szCs w:val="24"/>
        </w:rPr>
      </w:pPr>
      <w:r w:rsidRPr="00DE12A3">
        <w:rPr>
          <w:noProof/>
          <w:color w:val="auto"/>
          <w:sz w:val="24"/>
          <w:szCs w:val="24"/>
        </w:rPr>
        <w:drawing>
          <wp:anchor distT="0" distB="0" distL="114300" distR="114300" simplePos="0" relativeHeight="251697664" behindDoc="0" locked="0" layoutInCell="1" allowOverlap="1" wp14:anchorId="29809A6B" wp14:editId="1C9B9BAB">
            <wp:simplePos x="0" y="0"/>
            <wp:positionH relativeFrom="column">
              <wp:posOffset>568960</wp:posOffset>
            </wp:positionH>
            <wp:positionV relativeFrom="paragraph">
              <wp:posOffset>71120</wp:posOffset>
            </wp:positionV>
            <wp:extent cx="4381500" cy="400050"/>
            <wp:effectExtent l="0" t="0" r="0" b="0"/>
            <wp:wrapSquare wrapText="bothSides"/>
            <wp:docPr id="8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Picture 6"/>
                    <pic:cNvPicPr>
                      <a:picLocks noChangeAspect="1"/>
                    </pic:cNvPicPr>
                  </pic:nvPicPr>
                  <pic:blipFill>
                    <a:blip r:embed="rId93"/>
                    <a:stretch>
                      <a:fillRect/>
                    </a:stretch>
                  </pic:blipFill>
                  <pic:spPr>
                    <a:xfrm>
                      <a:off x="0" y="0"/>
                      <a:ext cx="4381500" cy="400050"/>
                    </a:xfrm>
                    <a:prstGeom prst="rect">
                      <a:avLst/>
                    </a:prstGeom>
                    <a:noFill/>
                    <a:ln>
                      <a:noFill/>
                    </a:ln>
                  </pic:spPr>
                </pic:pic>
              </a:graphicData>
            </a:graphic>
          </wp:anchor>
        </w:drawing>
      </w:r>
    </w:p>
    <w:p w14:paraId="76655995" w14:textId="77777777" w:rsidR="002D7B36" w:rsidRPr="00DE12A3" w:rsidRDefault="002D7B36" w:rsidP="00C917D6">
      <w:pPr>
        <w:pStyle w:val="Gvdemetni2511"/>
        <w:shd w:val="clear" w:color="auto" w:fill="auto"/>
        <w:spacing w:before="120" w:after="120" w:line="240" w:lineRule="auto"/>
        <w:ind w:left="1134" w:hanging="1134"/>
        <w:rPr>
          <w:rStyle w:val="Gvdemetni250ptbolukbraklyor2"/>
          <w:color w:val="auto"/>
          <w:sz w:val="24"/>
          <w:szCs w:val="24"/>
        </w:rPr>
      </w:pPr>
    </w:p>
    <w:p w14:paraId="292AA3A3" w14:textId="77777777" w:rsidR="002D7B36" w:rsidRPr="00DE12A3" w:rsidRDefault="007C70CB" w:rsidP="00C917D6">
      <w:pPr>
        <w:pStyle w:val="Gvdemetni2511"/>
        <w:spacing w:before="120" w:after="120" w:line="240" w:lineRule="auto"/>
        <w:ind w:left="1134" w:rightChars="-20" w:right="-48" w:firstLine="0"/>
        <w:rPr>
          <w:color w:val="auto"/>
          <w:sz w:val="24"/>
          <w:szCs w:val="24"/>
        </w:rPr>
      </w:pPr>
      <w:r w:rsidRPr="00DE12A3">
        <w:rPr>
          <w:color w:val="auto"/>
          <w:sz w:val="24"/>
          <w:szCs w:val="24"/>
        </w:rPr>
        <w:t>B</w:t>
      </w:r>
      <w:r w:rsidR="00242DA0" w:rsidRPr="00DE12A3">
        <w:rPr>
          <w:color w:val="auto"/>
          <w:sz w:val="24"/>
          <w:szCs w:val="24"/>
        </w:rPr>
        <w:t>urada:</w:t>
      </w:r>
    </w:p>
    <w:p w14:paraId="63D47D74" w14:textId="77777777" w:rsidR="002D7B36" w:rsidRPr="00DE12A3" w:rsidRDefault="00242DA0" w:rsidP="00C917D6">
      <w:pPr>
        <w:pStyle w:val="Gvdemetni2511"/>
        <w:tabs>
          <w:tab w:val="left" w:pos="1134"/>
          <w:tab w:val="right" w:pos="1868"/>
          <w:tab w:val="left" w:pos="1875"/>
          <w:tab w:val="left" w:pos="2511"/>
          <w:tab w:val="center" w:pos="5333"/>
        </w:tabs>
        <w:spacing w:before="120" w:after="120" w:line="240" w:lineRule="auto"/>
        <w:ind w:left="1134" w:rightChars="-20" w:right="-48" w:firstLine="0"/>
        <w:rPr>
          <w:color w:val="auto"/>
          <w:sz w:val="24"/>
          <w:szCs w:val="24"/>
        </w:rPr>
      </w:pPr>
      <w:r w:rsidRPr="00DE12A3">
        <w:rPr>
          <w:rStyle w:val="Gvdemetni254pttalik1ptbolukbraklyor"/>
          <w:color w:val="auto"/>
          <w:sz w:val="24"/>
          <w:szCs w:val="24"/>
        </w:rPr>
        <w:t>V</w:t>
      </w:r>
      <w:r w:rsidRPr="00DE12A3">
        <w:rPr>
          <w:rStyle w:val="Gvdemetni254pttalik1ptbolukbraklyor"/>
          <w:color w:val="auto"/>
          <w:sz w:val="24"/>
          <w:szCs w:val="24"/>
          <w:vertAlign w:val="subscript"/>
        </w:rPr>
        <w:t>0</w:t>
      </w:r>
      <w:r w:rsidRPr="00DE12A3">
        <w:rPr>
          <w:color w:val="auto"/>
          <w:sz w:val="24"/>
          <w:szCs w:val="24"/>
        </w:rPr>
        <w:tab/>
        <w:t>=</w:t>
      </w:r>
      <w:r w:rsidRPr="00DE12A3">
        <w:rPr>
          <w:color w:val="auto"/>
          <w:sz w:val="24"/>
          <w:szCs w:val="24"/>
        </w:rPr>
        <w:tab/>
        <w:t>test koşullarında devir başına pompalanan gaz hacmi [m</w:t>
      </w:r>
      <w:r w:rsidRPr="00DE12A3">
        <w:rPr>
          <w:color w:val="auto"/>
          <w:sz w:val="24"/>
          <w:szCs w:val="24"/>
          <w:vertAlign w:val="superscript"/>
        </w:rPr>
        <w:t>3</w:t>
      </w:r>
      <w:r w:rsidRPr="00DE12A3">
        <w:rPr>
          <w:color w:val="auto"/>
          <w:sz w:val="24"/>
          <w:szCs w:val="24"/>
        </w:rPr>
        <w:t>/rev]</w:t>
      </w:r>
    </w:p>
    <w:p w14:paraId="69DDB1CA" w14:textId="77777777" w:rsidR="002D7B36" w:rsidRPr="00DE12A3" w:rsidRDefault="00242DA0" w:rsidP="00C917D6">
      <w:pPr>
        <w:pStyle w:val="Gvdemetni2511"/>
        <w:tabs>
          <w:tab w:val="left" w:pos="1134"/>
          <w:tab w:val="right" w:pos="1868"/>
          <w:tab w:val="left" w:pos="1875"/>
        </w:tabs>
        <w:spacing w:before="120" w:after="120" w:line="240" w:lineRule="auto"/>
        <w:ind w:left="1134" w:rightChars="-20" w:right="-48" w:firstLine="0"/>
        <w:rPr>
          <w:color w:val="auto"/>
          <w:sz w:val="24"/>
          <w:szCs w:val="24"/>
        </w:rPr>
      </w:pPr>
      <w:r w:rsidRPr="00DE12A3">
        <w:rPr>
          <w:rStyle w:val="Gvdemetni254pttalik1ptbolukbraklyor"/>
          <w:color w:val="auto"/>
          <w:sz w:val="24"/>
          <w:szCs w:val="24"/>
        </w:rPr>
        <w:t>n</w:t>
      </w:r>
      <w:r w:rsidRPr="00DE12A3">
        <w:rPr>
          <w:color w:val="auto"/>
          <w:sz w:val="24"/>
          <w:szCs w:val="24"/>
          <w:vertAlign w:val="subscript"/>
        </w:rPr>
        <w:t>P</w:t>
      </w:r>
      <w:r w:rsidRPr="00DE12A3">
        <w:rPr>
          <w:color w:val="auto"/>
          <w:sz w:val="24"/>
          <w:szCs w:val="24"/>
        </w:rPr>
        <w:tab/>
        <w:t>=</w:t>
      </w:r>
      <w:r w:rsidRPr="00DE12A3">
        <w:rPr>
          <w:color w:val="auto"/>
          <w:sz w:val="24"/>
          <w:szCs w:val="24"/>
        </w:rPr>
        <w:tab/>
        <w:t>test başına toplam pompa devri [dev /test]</w:t>
      </w:r>
    </w:p>
    <w:p w14:paraId="78FA8CBD" w14:textId="77777777" w:rsidR="002D7B36" w:rsidRPr="00DE12A3" w:rsidRDefault="00242DA0" w:rsidP="00C917D6">
      <w:pPr>
        <w:pStyle w:val="Gvdemetni2511"/>
        <w:tabs>
          <w:tab w:val="left" w:pos="1134"/>
          <w:tab w:val="right" w:pos="1868"/>
          <w:tab w:val="left" w:pos="1875"/>
          <w:tab w:val="left" w:pos="2511"/>
        </w:tabs>
        <w:spacing w:before="120" w:after="120" w:line="240" w:lineRule="auto"/>
        <w:ind w:left="1134" w:rightChars="-20" w:right="-48" w:firstLine="0"/>
        <w:rPr>
          <w:color w:val="auto"/>
          <w:sz w:val="24"/>
          <w:szCs w:val="24"/>
        </w:rPr>
      </w:pPr>
      <w:r w:rsidRPr="00DE12A3">
        <w:rPr>
          <w:rStyle w:val="Gvdemetni254pttalik1ptbolukbraklyor"/>
          <w:color w:val="auto"/>
          <w:sz w:val="24"/>
          <w:szCs w:val="24"/>
        </w:rPr>
        <w:t>p</w:t>
      </w:r>
      <w:r w:rsidRPr="00DE12A3">
        <w:rPr>
          <w:color w:val="auto"/>
          <w:sz w:val="24"/>
          <w:szCs w:val="24"/>
          <w:vertAlign w:val="subscript"/>
        </w:rPr>
        <w:t>p</w:t>
      </w:r>
      <w:r w:rsidRPr="00DE12A3">
        <w:rPr>
          <w:color w:val="auto"/>
          <w:sz w:val="24"/>
          <w:szCs w:val="24"/>
        </w:rPr>
        <w:tab/>
        <w:t>=</w:t>
      </w:r>
      <w:r w:rsidRPr="00DE12A3">
        <w:rPr>
          <w:color w:val="auto"/>
          <w:sz w:val="24"/>
          <w:szCs w:val="24"/>
        </w:rPr>
        <w:tab/>
        <w:t>pompa girişindeki mutlak basınç [kPa]</w:t>
      </w:r>
    </w:p>
    <w:p w14:paraId="3EF62040" w14:textId="77777777" w:rsidR="002D7B36" w:rsidRPr="00DE12A3" w:rsidRDefault="00242DA0" w:rsidP="00C917D6">
      <w:pPr>
        <w:pStyle w:val="Gvdemetni2511"/>
        <w:tabs>
          <w:tab w:val="left" w:pos="1134"/>
          <w:tab w:val="right" w:pos="1868"/>
          <w:tab w:val="left" w:pos="1870"/>
          <w:tab w:val="left" w:pos="2511"/>
          <w:tab w:val="center" w:pos="5333"/>
          <w:tab w:val="right" w:pos="5654"/>
        </w:tabs>
        <w:spacing w:before="120" w:after="120" w:line="240" w:lineRule="auto"/>
        <w:ind w:left="1134" w:rightChars="-20" w:right="-48" w:firstLine="0"/>
        <w:rPr>
          <w:color w:val="auto"/>
          <w:sz w:val="24"/>
          <w:szCs w:val="24"/>
        </w:rPr>
      </w:pPr>
      <w:r w:rsidRPr="00DE12A3">
        <w:rPr>
          <w:rStyle w:val="Gvdemetni254pttalik1ptbolukbraklyor"/>
          <w:color w:val="auto"/>
          <w:sz w:val="24"/>
          <w:szCs w:val="24"/>
        </w:rPr>
        <w:lastRenderedPageBreak/>
        <w:t>T</w:t>
      </w:r>
      <w:r w:rsidRPr="00DE12A3">
        <w:rPr>
          <w:color w:val="auto"/>
          <w:sz w:val="24"/>
          <w:szCs w:val="24"/>
        </w:rPr>
        <w:tab/>
        <w:t>=</w:t>
      </w:r>
      <w:r w:rsidRPr="00DE12A3">
        <w:rPr>
          <w:color w:val="auto"/>
          <w:sz w:val="24"/>
          <w:szCs w:val="24"/>
        </w:rPr>
        <w:tab/>
        <w:t>seyreltilmiş egzoz gazının pompa girişindeki ortalama sıcaklığı [K]</w:t>
      </w:r>
    </w:p>
    <w:p w14:paraId="03401F2E" w14:textId="77777777" w:rsidR="002D7B36" w:rsidRPr="00DE12A3" w:rsidRDefault="00242DA0" w:rsidP="00C917D6">
      <w:pPr>
        <w:pStyle w:val="Gvdemetni2511"/>
        <w:tabs>
          <w:tab w:val="left" w:pos="1217"/>
        </w:tabs>
        <w:spacing w:before="120" w:after="120" w:line="240" w:lineRule="auto"/>
        <w:ind w:left="1134" w:rightChars="-20" w:right="-48" w:firstLine="0"/>
        <w:rPr>
          <w:color w:val="auto"/>
          <w:sz w:val="24"/>
          <w:szCs w:val="24"/>
        </w:rPr>
      </w:pPr>
      <w:r w:rsidRPr="00DE12A3">
        <w:rPr>
          <w:color w:val="auto"/>
          <w:sz w:val="24"/>
          <w:szCs w:val="24"/>
        </w:rPr>
        <w:t>1,293 kg/m3 = 273,15 K ve 101,325 kPa'da hava yoğunluğu</w:t>
      </w:r>
    </w:p>
    <w:p w14:paraId="4DF8D8B7" w14:textId="030E7F68" w:rsidR="002D7B36" w:rsidRPr="00DE12A3" w:rsidRDefault="00242DA0" w:rsidP="00C917D6">
      <w:pPr>
        <w:pStyle w:val="Gvdemetni2511"/>
        <w:spacing w:before="120" w:after="120" w:line="240" w:lineRule="auto"/>
        <w:ind w:left="1134" w:rightChars="-20" w:right="-48" w:firstLine="0"/>
        <w:rPr>
          <w:color w:val="auto"/>
          <w:sz w:val="24"/>
          <w:szCs w:val="24"/>
        </w:rPr>
      </w:pPr>
      <w:r w:rsidRPr="00DE12A3">
        <w:rPr>
          <w:color w:val="auto"/>
          <w:sz w:val="24"/>
          <w:szCs w:val="24"/>
        </w:rPr>
        <w:t xml:space="preserve">Akış dengelemeli (yani ısı eşanjörsüz) bir sistem kullanılırsa, zaman aralığı sırasında seyreltilmiş egzoz gazı kütlesi </w:t>
      </w:r>
      <w:r w:rsidRPr="00DE12A3">
        <w:rPr>
          <w:i/>
          <w:iCs/>
          <w:color w:val="auto"/>
          <w:sz w:val="24"/>
          <w:szCs w:val="24"/>
        </w:rPr>
        <w:t>m</w:t>
      </w:r>
      <w:r w:rsidRPr="00DE12A3">
        <w:rPr>
          <w:color w:val="auto"/>
          <w:sz w:val="24"/>
          <w:szCs w:val="24"/>
          <w:vertAlign w:val="subscript"/>
        </w:rPr>
        <w:t>ed,i</w:t>
      </w:r>
      <w:r w:rsidRPr="00DE12A3">
        <w:rPr>
          <w:color w:val="auto"/>
          <w:sz w:val="24"/>
          <w:szCs w:val="24"/>
        </w:rPr>
        <w:t xml:space="preserve"> [kg], (7-36) </w:t>
      </w:r>
      <w:r w:rsidR="005E1C7E" w:rsidRPr="00DE12A3">
        <w:rPr>
          <w:color w:val="auto"/>
          <w:sz w:val="24"/>
          <w:szCs w:val="24"/>
        </w:rPr>
        <w:t>numaralı</w:t>
      </w:r>
      <w:r w:rsidR="005E1C7E" w:rsidRPr="00DE12A3" w:rsidDel="005E1C7E">
        <w:rPr>
          <w:color w:val="auto"/>
          <w:sz w:val="24"/>
          <w:szCs w:val="24"/>
        </w:rPr>
        <w:t xml:space="preserve"> </w:t>
      </w:r>
      <w:r w:rsidRPr="00DE12A3">
        <w:rPr>
          <w:color w:val="auto"/>
          <w:sz w:val="24"/>
          <w:szCs w:val="24"/>
        </w:rPr>
        <w:t>denklem ile hesaplanmalıdır:</w:t>
      </w:r>
    </w:p>
    <w:p w14:paraId="5E9EB661" w14:textId="57D565A1" w:rsidR="002D7B36" w:rsidRPr="00DE12A3" w:rsidRDefault="00242DA0" w:rsidP="00C917D6">
      <w:pPr>
        <w:pStyle w:val="Gvdemetni2511"/>
        <w:spacing w:before="120" w:after="120" w:line="240" w:lineRule="auto"/>
        <w:ind w:left="1134" w:rightChars="-20" w:right="-48" w:hanging="1134"/>
        <w:jc w:val="center"/>
        <w:rPr>
          <w:color w:val="auto"/>
          <w:sz w:val="24"/>
          <w:szCs w:val="24"/>
        </w:rPr>
      </w:pPr>
      <w:r w:rsidRPr="00DE12A3">
        <w:rPr>
          <w:noProof/>
          <w:color w:val="auto"/>
          <w:sz w:val="24"/>
          <w:szCs w:val="24"/>
        </w:rPr>
        <w:drawing>
          <wp:inline distT="0" distB="0" distL="114300" distR="114300" wp14:anchorId="280EA7A2" wp14:editId="18AFB914">
            <wp:extent cx="3524250" cy="342900"/>
            <wp:effectExtent l="0" t="0" r="0" b="0"/>
            <wp:docPr id="8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Picture 7"/>
                    <pic:cNvPicPr>
                      <a:picLocks noChangeAspect="1"/>
                    </pic:cNvPicPr>
                  </pic:nvPicPr>
                  <pic:blipFill>
                    <a:blip r:embed="rId94"/>
                    <a:stretch>
                      <a:fillRect/>
                    </a:stretch>
                  </pic:blipFill>
                  <pic:spPr>
                    <a:xfrm>
                      <a:off x="0" y="0"/>
                      <a:ext cx="3524250" cy="342900"/>
                    </a:xfrm>
                    <a:prstGeom prst="rect">
                      <a:avLst/>
                    </a:prstGeom>
                    <a:noFill/>
                    <a:ln>
                      <a:noFill/>
                    </a:ln>
                  </pic:spPr>
                </pic:pic>
              </a:graphicData>
            </a:graphic>
          </wp:inline>
        </w:drawing>
      </w:r>
    </w:p>
    <w:p w14:paraId="09C7862D" w14:textId="77777777" w:rsidR="002D7B36" w:rsidRPr="00DE12A3" w:rsidRDefault="007C70CB" w:rsidP="00C917D6">
      <w:pPr>
        <w:pStyle w:val="Gvdemetni2511"/>
        <w:spacing w:before="120" w:after="120" w:line="240" w:lineRule="auto"/>
        <w:ind w:left="1134" w:rightChars="-20" w:right="-48" w:firstLine="0"/>
        <w:rPr>
          <w:color w:val="auto"/>
          <w:sz w:val="24"/>
          <w:szCs w:val="24"/>
        </w:rPr>
      </w:pPr>
      <w:r w:rsidRPr="00DE12A3">
        <w:rPr>
          <w:color w:val="auto"/>
          <w:sz w:val="24"/>
          <w:szCs w:val="24"/>
        </w:rPr>
        <w:t>B</w:t>
      </w:r>
      <w:r w:rsidR="00242DA0" w:rsidRPr="00DE12A3">
        <w:rPr>
          <w:color w:val="auto"/>
          <w:sz w:val="24"/>
          <w:szCs w:val="24"/>
        </w:rPr>
        <w:t>urada:</w:t>
      </w:r>
    </w:p>
    <w:p w14:paraId="46732525" w14:textId="77777777" w:rsidR="002D7B36" w:rsidRPr="00DE12A3" w:rsidRDefault="00242DA0" w:rsidP="00C917D6">
      <w:pPr>
        <w:pStyle w:val="Gvdemetni2511"/>
        <w:tabs>
          <w:tab w:val="left" w:pos="1276"/>
          <w:tab w:val="center" w:pos="1782"/>
          <w:tab w:val="left" w:pos="1850"/>
          <w:tab w:val="right" w:pos="5654"/>
        </w:tabs>
        <w:spacing w:before="120" w:after="120" w:line="240" w:lineRule="auto"/>
        <w:ind w:left="1134" w:rightChars="-20" w:right="-48" w:firstLine="0"/>
        <w:rPr>
          <w:color w:val="auto"/>
          <w:sz w:val="24"/>
          <w:szCs w:val="24"/>
        </w:rPr>
      </w:pPr>
      <w:r w:rsidRPr="00DE12A3">
        <w:rPr>
          <w:rStyle w:val="Gvdemetni254pttalik1ptbolukbraklyor"/>
          <w:color w:val="auto"/>
          <w:sz w:val="24"/>
          <w:szCs w:val="24"/>
        </w:rPr>
        <w:t>V</w:t>
      </w:r>
      <w:r w:rsidRPr="00DE12A3">
        <w:rPr>
          <w:rStyle w:val="Gvdemetni254pttalik1ptbolukbraklyor"/>
          <w:color w:val="auto"/>
          <w:sz w:val="24"/>
          <w:szCs w:val="24"/>
          <w:vertAlign w:val="subscript"/>
        </w:rPr>
        <w:t>0</w:t>
      </w:r>
      <w:r w:rsidRPr="00DE12A3">
        <w:rPr>
          <w:color w:val="auto"/>
          <w:sz w:val="24"/>
          <w:szCs w:val="24"/>
        </w:rPr>
        <w:tab/>
        <w:t>=</w:t>
      </w:r>
      <w:r w:rsidRPr="00DE12A3">
        <w:rPr>
          <w:color w:val="auto"/>
          <w:sz w:val="24"/>
          <w:szCs w:val="24"/>
        </w:rPr>
        <w:tab/>
        <w:t>test koşullarında devir başına pompalanan gaz hacmi [m</w:t>
      </w:r>
      <w:r w:rsidRPr="00DE12A3">
        <w:rPr>
          <w:color w:val="auto"/>
          <w:sz w:val="24"/>
          <w:szCs w:val="24"/>
          <w:vertAlign w:val="superscript"/>
        </w:rPr>
        <w:t>3</w:t>
      </w:r>
      <w:r w:rsidRPr="00DE12A3">
        <w:rPr>
          <w:color w:val="auto"/>
          <w:sz w:val="24"/>
          <w:szCs w:val="24"/>
        </w:rPr>
        <w:t>/dev]</w:t>
      </w:r>
    </w:p>
    <w:p w14:paraId="4A64CA24" w14:textId="77777777" w:rsidR="002D7B36" w:rsidRPr="00DE12A3" w:rsidRDefault="00242DA0" w:rsidP="00C917D6">
      <w:pPr>
        <w:pStyle w:val="Gvdemetni2511"/>
        <w:tabs>
          <w:tab w:val="left" w:pos="1276"/>
          <w:tab w:val="center" w:pos="1782"/>
          <w:tab w:val="left" w:pos="1850"/>
          <w:tab w:val="right" w:pos="5654"/>
        </w:tabs>
        <w:spacing w:before="120" w:after="120" w:line="240" w:lineRule="auto"/>
        <w:ind w:left="1134" w:rightChars="-20" w:right="-48" w:firstLine="0"/>
        <w:rPr>
          <w:color w:val="auto"/>
          <w:sz w:val="24"/>
          <w:szCs w:val="24"/>
        </w:rPr>
      </w:pPr>
      <w:r w:rsidRPr="00DE12A3">
        <w:rPr>
          <w:rStyle w:val="Gvdemetni254pttalik1ptbolukbraklyor"/>
          <w:color w:val="auto"/>
          <w:sz w:val="24"/>
          <w:szCs w:val="24"/>
        </w:rPr>
        <w:t>p</w:t>
      </w:r>
      <w:r w:rsidRPr="00DE12A3">
        <w:rPr>
          <w:color w:val="auto"/>
          <w:sz w:val="24"/>
          <w:szCs w:val="24"/>
          <w:vertAlign w:val="subscript"/>
        </w:rPr>
        <w:t>p</w:t>
      </w:r>
      <w:r w:rsidRPr="00DE12A3">
        <w:rPr>
          <w:color w:val="auto"/>
          <w:sz w:val="24"/>
          <w:szCs w:val="24"/>
        </w:rPr>
        <w:tab/>
        <w:t>=</w:t>
      </w:r>
      <w:r w:rsidRPr="00DE12A3">
        <w:rPr>
          <w:color w:val="auto"/>
          <w:sz w:val="24"/>
          <w:szCs w:val="24"/>
        </w:rPr>
        <w:tab/>
        <w:t>pompa girişindeki mutlak basınç [kPa]</w:t>
      </w:r>
    </w:p>
    <w:p w14:paraId="17ABAEC8" w14:textId="77777777" w:rsidR="002D7B36" w:rsidRPr="00DE12A3" w:rsidRDefault="00242DA0" w:rsidP="00C917D6">
      <w:pPr>
        <w:pStyle w:val="Gvdemetni2511"/>
        <w:tabs>
          <w:tab w:val="left" w:pos="1276"/>
          <w:tab w:val="center" w:pos="1782"/>
          <w:tab w:val="left" w:pos="1850"/>
        </w:tabs>
        <w:spacing w:before="120" w:after="120" w:line="240" w:lineRule="auto"/>
        <w:ind w:left="1134" w:rightChars="-20" w:right="-48" w:firstLine="0"/>
        <w:rPr>
          <w:color w:val="auto"/>
          <w:sz w:val="24"/>
          <w:szCs w:val="24"/>
        </w:rPr>
      </w:pPr>
      <w:r w:rsidRPr="00DE12A3">
        <w:rPr>
          <w:rStyle w:val="Gvdemetni254pttalik1ptbolukbraklyor"/>
          <w:color w:val="auto"/>
          <w:sz w:val="24"/>
          <w:szCs w:val="24"/>
        </w:rPr>
        <w:t>n</w:t>
      </w:r>
      <w:r w:rsidRPr="00DE12A3">
        <w:rPr>
          <w:rStyle w:val="Gvdemetni254pttalik1ptbolukbraklyor"/>
          <w:color w:val="auto"/>
          <w:sz w:val="24"/>
          <w:szCs w:val="24"/>
          <w:vertAlign w:val="subscript"/>
        </w:rPr>
        <w:t>Pi</w:t>
      </w:r>
      <w:r w:rsidRPr="00DE12A3">
        <w:rPr>
          <w:color w:val="auto"/>
          <w:sz w:val="24"/>
          <w:szCs w:val="24"/>
        </w:rPr>
        <w:tab/>
        <w:t>=</w:t>
      </w:r>
      <w:r w:rsidRPr="00DE12A3">
        <w:rPr>
          <w:color w:val="auto"/>
          <w:sz w:val="24"/>
          <w:szCs w:val="24"/>
        </w:rPr>
        <w:tab/>
        <w:t>i zaman aralığı başına toplam pompa devri i [dev/Δt]</w:t>
      </w:r>
    </w:p>
    <w:p w14:paraId="305CF11E" w14:textId="77777777" w:rsidR="002D7B36" w:rsidRPr="00DE12A3" w:rsidRDefault="00242DA0" w:rsidP="00C917D6">
      <w:pPr>
        <w:pStyle w:val="Gvdemetni2511"/>
        <w:tabs>
          <w:tab w:val="left" w:pos="1276"/>
          <w:tab w:val="center" w:pos="1782"/>
          <w:tab w:val="left" w:pos="1850"/>
          <w:tab w:val="right" w:pos="5654"/>
        </w:tabs>
        <w:spacing w:before="120" w:after="120" w:line="240" w:lineRule="auto"/>
        <w:ind w:left="1134" w:rightChars="-20" w:right="-48" w:firstLine="0"/>
        <w:rPr>
          <w:color w:val="auto"/>
          <w:sz w:val="24"/>
          <w:szCs w:val="24"/>
        </w:rPr>
      </w:pPr>
      <w:r w:rsidRPr="00DE12A3">
        <w:rPr>
          <w:rStyle w:val="Gvdemetni254pttalik1ptbolukbraklyor"/>
          <w:color w:val="auto"/>
          <w:sz w:val="24"/>
          <w:szCs w:val="24"/>
        </w:rPr>
        <w:t>T</w:t>
      </w:r>
      <w:r w:rsidRPr="00DE12A3">
        <w:rPr>
          <w:color w:val="auto"/>
          <w:sz w:val="24"/>
          <w:szCs w:val="24"/>
        </w:rPr>
        <w:tab/>
        <w:t>=</w:t>
      </w:r>
      <w:r w:rsidRPr="00DE12A3">
        <w:rPr>
          <w:color w:val="auto"/>
          <w:sz w:val="24"/>
          <w:szCs w:val="24"/>
        </w:rPr>
        <w:tab/>
        <w:t>seyreltilmiş egzoz gazının pompa girişindeki ortalama sıcaklığı [K]</w:t>
      </w:r>
    </w:p>
    <w:p w14:paraId="789AEA28" w14:textId="77777777" w:rsidR="002D7B36" w:rsidRPr="00DE12A3" w:rsidRDefault="00242DA0" w:rsidP="00C917D6">
      <w:pPr>
        <w:pStyle w:val="Gvdemetni2511"/>
        <w:tabs>
          <w:tab w:val="left" w:pos="1217"/>
          <w:tab w:val="left" w:pos="1276"/>
        </w:tabs>
        <w:spacing w:before="120" w:after="120" w:line="240" w:lineRule="auto"/>
        <w:ind w:left="1134" w:rightChars="-20" w:right="-48" w:firstLine="0"/>
        <w:rPr>
          <w:color w:val="auto"/>
          <w:sz w:val="24"/>
          <w:szCs w:val="24"/>
        </w:rPr>
      </w:pPr>
      <w:r w:rsidRPr="00DE12A3">
        <w:rPr>
          <w:color w:val="auto"/>
          <w:sz w:val="24"/>
          <w:szCs w:val="24"/>
        </w:rPr>
        <w:t>1,293 kg/m</w:t>
      </w:r>
      <w:r w:rsidRPr="00DE12A3">
        <w:rPr>
          <w:color w:val="auto"/>
          <w:sz w:val="24"/>
          <w:szCs w:val="24"/>
          <w:vertAlign w:val="superscript"/>
        </w:rPr>
        <w:t>3</w:t>
      </w:r>
      <w:r w:rsidRPr="00DE12A3">
        <w:rPr>
          <w:color w:val="auto"/>
          <w:sz w:val="24"/>
          <w:szCs w:val="24"/>
        </w:rPr>
        <w:t xml:space="preserve"> = 273,15 K ve 101,325 kPa'da hava yoğunluğu</w:t>
      </w:r>
    </w:p>
    <w:p w14:paraId="6A15EDB3" w14:textId="77777777" w:rsidR="002D7B36" w:rsidRPr="00DE12A3" w:rsidRDefault="007C70CB" w:rsidP="00E20716">
      <w:pPr>
        <w:pStyle w:val="Gvdemetni2511"/>
        <w:numPr>
          <w:ilvl w:val="0"/>
          <w:numId w:val="403"/>
        </w:numPr>
        <w:tabs>
          <w:tab w:val="left" w:pos="768"/>
        </w:tabs>
        <w:spacing w:before="120" w:after="120" w:line="240" w:lineRule="auto"/>
        <w:ind w:left="1134" w:rightChars="-20" w:right="-48" w:hanging="1134"/>
        <w:rPr>
          <w:color w:val="auto"/>
          <w:sz w:val="24"/>
          <w:szCs w:val="24"/>
        </w:rPr>
      </w:pPr>
      <w:r w:rsidRPr="00DE12A3">
        <w:rPr>
          <w:color w:val="auto"/>
          <w:sz w:val="24"/>
          <w:szCs w:val="24"/>
        </w:rPr>
        <w:t xml:space="preserve">     </w:t>
      </w:r>
      <w:r w:rsidR="00242DA0" w:rsidRPr="00DE12A3">
        <w:rPr>
          <w:color w:val="auto"/>
          <w:sz w:val="24"/>
          <w:szCs w:val="24"/>
        </w:rPr>
        <w:t>CFV-CVS sistemi</w:t>
      </w:r>
    </w:p>
    <w:p w14:paraId="664CDEE4" w14:textId="5E3A58B3" w:rsidR="002D7B36" w:rsidRPr="00DE12A3" w:rsidRDefault="007C70CB" w:rsidP="00C917D6">
      <w:pPr>
        <w:pStyle w:val="Gvdemetni2511"/>
        <w:spacing w:before="120" w:after="120" w:line="240" w:lineRule="auto"/>
        <w:ind w:left="1134" w:rightChars="-20" w:right="-48" w:hanging="1134"/>
        <w:rPr>
          <w:color w:val="auto"/>
          <w:sz w:val="24"/>
          <w:szCs w:val="24"/>
        </w:rPr>
      </w:pPr>
      <w:r w:rsidRPr="00DE12A3">
        <w:rPr>
          <w:color w:val="auto"/>
          <w:sz w:val="24"/>
          <w:szCs w:val="24"/>
        </w:rPr>
        <w:t xml:space="preserve">                  </w:t>
      </w:r>
      <w:r w:rsidR="00242DA0" w:rsidRPr="00DE12A3">
        <w:rPr>
          <w:color w:val="auto"/>
          <w:sz w:val="24"/>
          <w:szCs w:val="24"/>
        </w:rPr>
        <w:t xml:space="preserve">Seyreltilmiş egzoz gazının sıcaklığının bir ısı eşanjörü kullanılarak </w:t>
      </w:r>
      <w:r w:rsidR="00F310B5" w:rsidRPr="00DE12A3">
        <w:rPr>
          <w:color w:val="auto"/>
          <w:sz w:val="24"/>
          <w:szCs w:val="24"/>
        </w:rPr>
        <w:t>çevrim</w:t>
      </w:r>
      <w:r w:rsidR="00242DA0" w:rsidRPr="00DE12A3">
        <w:rPr>
          <w:color w:val="auto"/>
          <w:sz w:val="24"/>
          <w:szCs w:val="24"/>
        </w:rPr>
        <w:t xml:space="preserve"> boyunca ± 11 K aralığı içinde tutulması durumunda, </w:t>
      </w:r>
      <w:r w:rsidR="00F310B5" w:rsidRPr="00DE12A3">
        <w:rPr>
          <w:color w:val="auto"/>
          <w:sz w:val="24"/>
          <w:szCs w:val="24"/>
        </w:rPr>
        <w:t>çevrim</w:t>
      </w:r>
      <w:r w:rsidR="00242DA0" w:rsidRPr="00DE12A3">
        <w:rPr>
          <w:color w:val="auto"/>
          <w:sz w:val="24"/>
          <w:szCs w:val="24"/>
        </w:rPr>
        <w:t xml:space="preserve"> boyunca kütle akışı </w:t>
      </w:r>
      <w:r w:rsidR="00242DA0" w:rsidRPr="00DE12A3">
        <w:rPr>
          <w:i/>
          <w:iCs/>
          <w:color w:val="auto"/>
          <w:sz w:val="24"/>
          <w:szCs w:val="24"/>
        </w:rPr>
        <w:t>m</w:t>
      </w:r>
      <w:r w:rsidR="00242DA0" w:rsidRPr="00DE12A3">
        <w:rPr>
          <w:color w:val="auto"/>
          <w:sz w:val="24"/>
          <w:szCs w:val="24"/>
          <w:vertAlign w:val="subscript"/>
        </w:rPr>
        <w:t>ed</w:t>
      </w:r>
      <w:r w:rsidR="00242DA0" w:rsidRPr="00DE12A3">
        <w:rPr>
          <w:color w:val="auto"/>
          <w:sz w:val="24"/>
          <w:szCs w:val="24"/>
        </w:rPr>
        <w:t xml:space="preserve"> [g/test], (7-37) </w:t>
      </w:r>
      <w:r w:rsidR="005E1C7E" w:rsidRPr="00DE12A3">
        <w:rPr>
          <w:color w:val="auto"/>
          <w:sz w:val="24"/>
          <w:szCs w:val="24"/>
        </w:rPr>
        <w:t>numaralı</w:t>
      </w:r>
      <w:r w:rsidR="005E1C7E" w:rsidRPr="00DE12A3" w:rsidDel="005E1C7E">
        <w:rPr>
          <w:color w:val="auto"/>
          <w:sz w:val="24"/>
          <w:szCs w:val="24"/>
        </w:rPr>
        <w:t xml:space="preserve"> </w:t>
      </w:r>
      <w:r w:rsidR="00242DA0" w:rsidRPr="00DE12A3">
        <w:rPr>
          <w:color w:val="auto"/>
          <w:sz w:val="24"/>
          <w:szCs w:val="24"/>
        </w:rPr>
        <w:t xml:space="preserve"> denklem ile hesaplanmalıdır:</w:t>
      </w:r>
    </w:p>
    <w:p w14:paraId="2E0FBC20" w14:textId="77777777" w:rsidR="002D7B36" w:rsidRPr="00DE12A3" w:rsidRDefault="002D7B36" w:rsidP="00C917D6">
      <w:pPr>
        <w:pStyle w:val="Gvdemetni2511"/>
        <w:spacing w:before="120" w:after="120" w:line="240" w:lineRule="auto"/>
        <w:ind w:left="1134" w:rightChars="-20" w:right="-48" w:hanging="1134"/>
        <w:rPr>
          <w:color w:val="auto"/>
          <w:sz w:val="24"/>
          <w:szCs w:val="24"/>
        </w:rPr>
      </w:pPr>
    </w:p>
    <w:p w14:paraId="2CB0F5A9" w14:textId="7FBF1EA5" w:rsidR="002D7B36" w:rsidRPr="00DE12A3" w:rsidRDefault="00242DA0" w:rsidP="00C917D6">
      <w:pPr>
        <w:widowControl/>
        <w:spacing w:before="120" w:after="120"/>
        <w:ind w:left="1134" w:hanging="1134"/>
        <w:jc w:val="center"/>
        <w:rPr>
          <w:rFonts w:cs="Times New Roman"/>
          <w:color w:val="auto"/>
        </w:rPr>
      </w:pPr>
      <w:r w:rsidRPr="00DE12A3">
        <w:rPr>
          <w:rFonts w:cs="Times New Roman"/>
          <w:noProof/>
          <w:color w:val="auto"/>
        </w:rPr>
        <w:drawing>
          <wp:inline distT="0" distB="0" distL="114300" distR="114300" wp14:anchorId="54C35E6B" wp14:editId="285BF275">
            <wp:extent cx="4029075" cy="409575"/>
            <wp:effectExtent l="0" t="0" r="9525" b="9525"/>
            <wp:docPr id="89"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Picture 8"/>
                    <pic:cNvPicPr>
                      <a:picLocks noChangeAspect="1"/>
                    </pic:cNvPicPr>
                  </pic:nvPicPr>
                  <pic:blipFill>
                    <a:blip r:embed="rId95"/>
                    <a:stretch>
                      <a:fillRect/>
                    </a:stretch>
                  </pic:blipFill>
                  <pic:spPr>
                    <a:xfrm>
                      <a:off x="0" y="0"/>
                      <a:ext cx="4029075" cy="409575"/>
                    </a:xfrm>
                    <a:prstGeom prst="rect">
                      <a:avLst/>
                    </a:prstGeom>
                    <a:noFill/>
                    <a:ln>
                      <a:noFill/>
                    </a:ln>
                  </pic:spPr>
                </pic:pic>
              </a:graphicData>
            </a:graphic>
          </wp:inline>
        </w:drawing>
      </w:r>
    </w:p>
    <w:p w14:paraId="1BCD2CAA" w14:textId="77777777" w:rsidR="002D7B36" w:rsidRPr="00DE12A3" w:rsidRDefault="00242DA0" w:rsidP="00C917D6">
      <w:pPr>
        <w:pStyle w:val="Gvdemetni2511"/>
        <w:shd w:val="clear" w:color="auto" w:fill="auto"/>
        <w:spacing w:before="120" w:after="120" w:line="240" w:lineRule="auto"/>
        <w:ind w:left="1134" w:rightChars="-20" w:right="-48" w:firstLine="0"/>
        <w:rPr>
          <w:color w:val="auto"/>
          <w:sz w:val="24"/>
          <w:szCs w:val="24"/>
        </w:rPr>
      </w:pPr>
      <w:r w:rsidRPr="00DE12A3">
        <w:rPr>
          <w:color w:val="auto"/>
          <w:sz w:val="24"/>
          <w:szCs w:val="24"/>
        </w:rPr>
        <w:t>Burada:</w:t>
      </w:r>
    </w:p>
    <w:p w14:paraId="29372830" w14:textId="77777777" w:rsidR="002D7B36" w:rsidRPr="00DE12A3" w:rsidRDefault="00242DA0" w:rsidP="00C917D6">
      <w:pPr>
        <w:pStyle w:val="Gvdemetni2511"/>
        <w:shd w:val="clear" w:color="auto" w:fill="auto"/>
        <w:tabs>
          <w:tab w:val="left" w:pos="1134"/>
          <w:tab w:val="left" w:pos="1850"/>
        </w:tabs>
        <w:spacing w:before="120" w:after="120" w:line="240" w:lineRule="auto"/>
        <w:ind w:left="1134" w:rightChars="-20" w:right="-48" w:firstLine="0"/>
        <w:rPr>
          <w:color w:val="auto"/>
          <w:sz w:val="24"/>
          <w:szCs w:val="24"/>
        </w:rPr>
      </w:pPr>
      <w:r w:rsidRPr="00DE12A3">
        <w:rPr>
          <w:rStyle w:val="Gvdemetni254pttalik1ptbolukbraklyor"/>
          <w:color w:val="auto"/>
          <w:sz w:val="24"/>
          <w:szCs w:val="24"/>
        </w:rPr>
        <w:t>t</w:t>
      </w:r>
      <w:r w:rsidRPr="00DE12A3">
        <w:rPr>
          <w:color w:val="auto"/>
          <w:sz w:val="24"/>
          <w:szCs w:val="24"/>
        </w:rPr>
        <w:tab/>
        <w:t>=</w:t>
      </w:r>
      <w:r w:rsidRPr="00DE12A3">
        <w:rPr>
          <w:color w:val="auto"/>
          <w:sz w:val="24"/>
          <w:szCs w:val="24"/>
        </w:rPr>
        <w:tab/>
      </w:r>
      <w:r w:rsidR="00F310B5" w:rsidRPr="00DE12A3">
        <w:rPr>
          <w:color w:val="auto"/>
          <w:sz w:val="24"/>
          <w:szCs w:val="24"/>
        </w:rPr>
        <w:t>çevrim</w:t>
      </w:r>
      <w:r w:rsidRPr="00DE12A3">
        <w:rPr>
          <w:color w:val="auto"/>
          <w:sz w:val="24"/>
          <w:szCs w:val="24"/>
        </w:rPr>
        <w:t xml:space="preserve"> süresi [s]</w:t>
      </w:r>
    </w:p>
    <w:p w14:paraId="440D7648" w14:textId="77777777" w:rsidR="002D7B36" w:rsidRPr="00DE12A3" w:rsidRDefault="00242DA0" w:rsidP="00C917D6">
      <w:pPr>
        <w:pStyle w:val="Gvdemetni2511"/>
        <w:shd w:val="clear" w:color="auto" w:fill="auto"/>
        <w:tabs>
          <w:tab w:val="left" w:pos="1134"/>
          <w:tab w:val="left" w:pos="1850"/>
          <w:tab w:val="right" w:pos="5654"/>
        </w:tabs>
        <w:spacing w:before="120" w:after="120" w:line="240" w:lineRule="auto"/>
        <w:ind w:left="1134" w:rightChars="-20" w:right="-48" w:firstLine="0"/>
        <w:rPr>
          <w:color w:val="auto"/>
          <w:sz w:val="24"/>
          <w:szCs w:val="24"/>
        </w:rPr>
      </w:pPr>
      <w:r w:rsidRPr="00DE12A3">
        <w:rPr>
          <w:i/>
          <w:iCs/>
          <w:color w:val="auto"/>
          <w:sz w:val="24"/>
          <w:szCs w:val="24"/>
        </w:rPr>
        <w:t>K</w:t>
      </w:r>
      <w:r w:rsidRPr="00DE12A3">
        <w:rPr>
          <w:color w:val="auto"/>
          <w:sz w:val="24"/>
          <w:szCs w:val="24"/>
          <w:vertAlign w:val="subscript"/>
        </w:rPr>
        <w:t>V</w:t>
      </w:r>
      <w:r w:rsidRPr="00DE12A3">
        <w:rPr>
          <w:color w:val="auto"/>
          <w:sz w:val="24"/>
          <w:szCs w:val="24"/>
        </w:rPr>
        <w:tab/>
        <w:t>=</w:t>
      </w:r>
      <w:r w:rsidRPr="00DE12A3">
        <w:rPr>
          <w:color w:val="auto"/>
          <w:sz w:val="24"/>
          <w:szCs w:val="24"/>
        </w:rPr>
        <w:tab/>
        <w:t>standart koşullar için kritik akış venturi kalibrasyon katsayısı [(K • m</w:t>
      </w:r>
      <w:r w:rsidRPr="00DE12A3">
        <w:rPr>
          <w:color w:val="auto"/>
          <w:sz w:val="24"/>
          <w:szCs w:val="24"/>
          <w:vertAlign w:val="superscript"/>
        </w:rPr>
        <w:t>4</w:t>
      </w:r>
      <w:r w:rsidRPr="00DE12A3">
        <w:rPr>
          <w:color w:val="auto"/>
          <w:sz w:val="24"/>
          <w:szCs w:val="24"/>
        </w:rPr>
        <w:t xml:space="preserve"> • s)/kg]</w:t>
      </w:r>
    </w:p>
    <w:p w14:paraId="537F6E83" w14:textId="77777777" w:rsidR="002D7B36" w:rsidRPr="00DE12A3" w:rsidRDefault="00242DA0" w:rsidP="00C917D6">
      <w:pPr>
        <w:pStyle w:val="Gvdemetni2511"/>
        <w:shd w:val="clear" w:color="auto" w:fill="auto"/>
        <w:tabs>
          <w:tab w:val="left" w:pos="1134"/>
          <w:tab w:val="left" w:pos="1850"/>
        </w:tabs>
        <w:spacing w:before="120" w:after="120" w:line="240" w:lineRule="auto"/>
        <w:ind w:left="1134" w:rightChars="-20" w:right="-48" w:firstLine="0"/>
        <w:rPr>
          <w:color w:val="auto"/>
          <w:sz w:val="24"/>
          <w:szCs w:val="24"/>
        </w:rPr>
      </w:pPr>
      <w:r w:rsidRPr="00DE12A3">
        <w:rPr>
          <w:rStyle w:val="Gvdemetni254pttalik1ptbolukbraklyor"/>
          <w:color w:val="auto"/>
          <w:sz w:val="24"/>
          <w:szCs w:val="24"/>
        </w:rPr>
        <w:t>p</w:t>
      </w:r>
      <w:r w:rsidRPr="00DE12A3">
        <w:rPr>
          <w:color w:val="auto"/>
          <w:sz w:val="24"/>
          <w:szCs w:val="24"/>
          <w:vertAlign w:val="subscript"/>
        </w:rPr>
        <w:t>p</w:t>
      </w:r>
      <w:r w:rsidRPr="00DE12A3">
        <w:rPr>
          <w:color w:val="auto"/>
          <w:sz w:val="24"/>
          <w:szCs w:val="24"/>
        </w:rPr>
        <w:tab/>
        <w:t>=</w:t>
      </w:r>
      <w:r w:rsidRPr="00DE12A3">
        <w:rPr>
          <w:color w:val="auto"/>
          <w:sz w:val="24"/>
          <w:szCs w:val="24"/>
        </w:rPr>
        <w:tab/>
        <w:t>venturi girişindeki mutlak basınç [kPa]</w:t>
      </w:r>
    </w:p>
    <w:p w14:paraId="5ABF86EF" w14:textId="77777777" w:rsidR="002D7B36" w:rsidRPr="00DE12A3" w:rsidRDefault="00242DA0" w:rsidP="00C917D6">
      <w:pPr>
        <w:pStyle w:val="Gvdemetni2511"/>
        <w:shd w:val="clear" w:color="auto" w:fill="auto"/>
        <w:tabs>
          <w:tab w:val="left" w:pos="1134"/>
          <w:tab w:val="left" w:pos="1850"/>
          <w:tab w:val="right" w:pos="5654"/>
        </w:tabs>
        <w:spacing w:before="120" w:after="120" w:line="240" w:lineRule="auto"/>
        <w:ind w:left="1134" w:rightChars="-20" w:right="-48" w:firstLine="0"/>
        <w:rPr>
          <w:color w:val="auto"/>
          <w:sz w:val="24"/>
          <w:szCs w:val="24"/>
        </w:rPr>
      </w:pPr>
      <w:r w:rsidRPr="00DE12A3">
        <w:rPr>
          <w:rStyle w:val="Gvdemetni254pttalik1ptbolukbraklyor"/>
          <w:color w:val="auto"/>
          <w:sz w:val="24"/>
          <w:szCs w:val="24"/>
        </w:rPr>
        <w:t>T</w:t>
      </w:r>
      <w:r w:rsidRPr="00DE12A3">
        <w:rPr>
          <w:color w:val="auto"/>
          <w:sz w:val="24"/>
          <w:szCs w:val="24"/>
        </w:rPr>
        <w:tab/>
        <w:t>=</w:t>
      </w:r>
      <w:r w:rsidRPr="00DE12A3">
        <w:rPr>
          <w:color w:val="auto"/>
          <w:sz w:val="24"/>
          <w:szCs w:val="24"/>
        </w:rPr>
        <w:tab/>
        <w:t>venturi girişindeki mutlak sıcaklık [K]</w:t>
      </w:r>
    </w:p>
    <w:p w14:paraId="00A85585" w14:textId="77777777" w:rsidR="002D7B36" w:rsidRPr="00DE12A3" w:rsidRDefault="00242DA0" w:rsidP="00C917D6">
      <w:pPr>
        <w:pStyle w:val="Gvdemetni2511"/>
        <w:shd w:val="clear" w:color="auto" w:fill="auto"/>
        <w:tabs>
          <w:tab w:val="left" w:pos="1134"/>
          <w:tab w:val="left" w:pos="1217"/>
          <w:tab w:val="left" w:pos="1850"/>
          <w:tab w:val="right" w:pos="5654"/>
        </w:tabs>
        <w:spacing w:before="120" w:after="120" w:line="240" w:lineRule="auto"/>
        <w:ind w:left="1134" w:rightChars="-20" w:right="-48" w:firstLine="0"/>
        <w:rPr>
          <w:color w:val="auto"/>
          <w:sz w:val="24"/>
          <w:szCs w:val="24"/>
        </w:rPr>
      </w:pPr>
      <w:r w:rsidRPr="00DE12A3">
        <w:rPr>
          <w:color w:val="auto"/>
          <w:sz w:val="24"/>
          <w:szCs w:val="24"/>
        </w:rPr>
        <w:t>1,293 kg/m</w:t>
      </w:r>
      <w:r w:rsidRPr="00DE12A3">
        <w:rPr>
          <w:color w:val="auto"/>
          <w:sz w:val="24"/>
          <w:szCs w:val="24"/>
          <w:vertAlign w:val="superscript"/>
        </w:rPr>
        <w:t>3</w:t>
      </w:r>
      <w:r w:rsidRPr="00DE12A3">
        <w:rPr>
          <w:color w:val="auto"/>
          <w:sz w:val="24"/>
          <w:szCs w:val="24"/>
        </w:rPr>
        <w:t xml:space="preserve"> = 273,15 K ve 101,325 kPa'da hava yoğunluğu</w:t>
      </w:r>
    </w:p>
    <w:p w14:paraId="54E588DC" w14:textId="7F69B367" w:rsidR="002D7B36" w:rsidRPr="00DE12A3" w:rsidRDefault="00242DA0" w:rsidP="00C917D6">
      <w:pPr>
        <w:pStyle w:val="Gvdemetni2511"/>
        <w:shd w:val="clear" w:color="auto" w:fill="auto"/>
        <w:spacing w:before="120" w:after="120" w:line="240" w:lineRule="auto"/>
        <w:ind w:left="1134" w:rightChars="-20" w:right="-48" w:firstLine="0"/>
        <w:rPr>
          <w:color w:val="auto"/>
          <w:sz w:val="24"/>
          <w:szCs w:val="24"/>
        </w:rPr>
      </w:pPr>
      <w:r w:rsidRPr="00DE12A3">
        <w:rPr>
          <w:color w:val="auto"/>
          <w:sz w:val="24"/>
          <w:szCs w:val="24"/>
        </w:rPr>
        <w:t xml:space="preserve">Akış dengelemeli (yani ısı eşanjörsüz) bir sistem kullanılırsa, zaman aralığı sırasında seyreltilmiş egzoz gazı kütlesi med,i [kg], (7-38) </w:t>
      </w:r>
      <w:r w:rsidR="005E1C7E" w:rsidRPr="00DE12A3">
        <w:rPr>
          <w:color w:val="auto"/>
          <w:sz w:val="24"/>
          <w:szCs w:val="24"/>
        </w:rPr>
        <w:t>numaralı</w:t>
      </w:r>
      <w:r w:rsidR="005E1C7E" w:rsidRPr="00DE12A3" w:rsidDel="005E1C7E">
        <w:rPr>
          <w:color w:val="auto"/>
          <w:sz w:val="24"/>
          <w:szCs w:val="24"/>
        </w:rPr>
        <w:t xml:space="preserve"> </w:t>
      </w:r>
      <w:r w:rsidRPr="00DE12A3">
        <w:rPr>
          <w:color w:val="auto"/>
          <w:sz w:val="24"/>
          <w:szCs w:val="24"/>
        </w:rPr>
        <w:t>denklem ile hesaplanmalıdır:</w:t>
      </w:r>
    </w:p>
    <w:p w14:paraId="04C04CF3" w14:textId="79624A77" w:rsidR="002D7B36" w:rsidRPr="00DE12A3" w:rsidRDefault="00242DA0" w:rsidP="00C917D6">
      <w:pPr>
        <w:pStyle w:val="Gvdemetni2511"/>
        <w:shd w:val="clear" w:color="auto" w:fill="auto"/>
        <w:spacing w:before="120" w:after="120" w:line="240" w:lineRule="auto"/>
        <w:ind w:left="1134" w:rightChars="-20" w:right="-48" w:hanging="1134"/>
        <w:rPr>
          <w:color w:val="auto"/>
          <w:sz w:val="24"/>
          <w:szCs w:val="24"/>
          <w:lang w:val="en-GB" w:eastAsia="en-GB"/>
        </w:rPr>
      </w:pPr>
      <w:r w:rsidRPr="00DE12A3">
        <w:rPr>
          <w:noProof/>
          <w:color w:val="auto"/>
          <w:sz w:val="24"/>
          <w:szCs w:val="24"/>
        </w:rPr>
        <w:drawing>
          <wp:anchor distT="0" distB="0" distL="114300" distR="114300" simplePos="0" relativeHeight="251701760" behindDoc="0" locked="0" layoutInCell="1" allowOverlap="1" wp14:anchorId="288FF037" wp14:editId="6A714333">
            <wp:simplePos x="0" y="0"/>
            <wp:positionH relativeFrom="column">
              <wp:posOffset>563245</wp:posOffset>
            </wp:positionH>
            <wp:positionV relativeFrom="paragraph">
              <wp:posOffset>57150</wp:posOffset>
            </wp:positionV>
            <wp:extent cx="3733800" cy="457200"/>
            <wp:effectExtent l="0" t="0" r="0" b="0"/>
            <wp:wrapSquare wrapText="bothSides"/>
            <wp:docPr id="90"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Picture 9"/>
                    <pic:cNvPicPr>
                      <a:picLocks noChangeAspect="1"/>
                    </pic:cNvPicPr>
                  </pic:nvPicPr>
                  <pic:blipFill>
                    <a:blip r:embed="rId96"/>
                    <a:stretch>
                      <a:fillRect/>
                    </a:stretch>
                  </pic:blipFill>
                  <pic:spPr>
                    <a:xfrm>
                      <a:off x="0" y="0"/>
                      <a:ext cx="3733800" cy="457200"/>
                    </a:xfrm>
                    <a:prstGeom prst="rect">
                      <a:avLst/>
                    </a:prstGeom>
                    <a:noFill/>
                    <a:ln>
                      <a:noFill/>
                    </a:ln>
                  </pic:spPr>
                </pic:pic>
              </a:graphicData>
            </a:graphic>
          </wp:anchor>
        </w:drawing>
      </w:r>
    </w:p>
    <w:p w14:paraId="6054A9DE" w14:textId="77777777" w:rsidR="002D7B36" w:rsidRPr="00DE12A3" w:rsidRDefault="002D7B36" w:rsidP="00C917D6">
      <w:pPr>
        <w:pStyle w:val="Gvdemetni2511"/>
        <w:shd w:val="clear" w:color="auto" w:fill="auto"/>
        <w:spacing w:before="120" w:after="120" w:line="240" w:lineRule="auto"/>
        <w:ind w:left="1134" w:rightChars="-20" w:right="-48" w:hanging="1134"/>
        <w:rPr>
          <w:color w:val="auto"/>
          <w:sz w:val="24"/>
          <w:szCs w:val="24"/>
          <w:lang w:val="en-GB" w:eastAsia="en-GB"/>
        </w:rPr>
      </w:pPr>
    </w:p>
    <w:p w14:paraId="2B058E34" w14:textId="77777777" w:rsidR="002D7B36" w:rsidRPr="00DE12A3" w:rsidRDefault="002D7B36" w:rsidP="00C917D6">
      <w:pPr>
        <w:pStyle w:val="Gvdemetni2511"/>
        <w:shd w:val="clear" w:color="auto" w:fill="auto"/>
        <w:spacing w:before="120" w:after="120" w:line="240" w:lineRule="auto"/>
        <w:ind w:left="1134" w:rightChars="-20" w:right="-48" w:hanging="1134"/>
        <w:rPr>
          <w:color w:val="auto"/>
          <w:sz w:val="24"/>
          <w:szCs w:val="24"/>
          <w:lang w:val="en-GB" w:eastAsia="en-GB"/>
        </w:rPr>
      </w:pPr>
    </w:p>
    <w:p w14:paraId="0F2D3197" w14:textId="77777777" w:rsidR="002D7B36" w:rsidRPr="00DE12A3" w:rsidRDefault="007C70CB" w:rsidP="00C917D6">
      <w:pPr>
        <w:pStyle w:val="Gvdemetni2511"/>
        <w:shd w:val="clear" w:color="auto" w:fill="auto"/>
        <w:spacing w:before="120" w:after="120" w:line="240" w:lineRule="auto"/>
        <w:ind w:left="1134" w:rightChars="80" w:right="192" w:firstLine="0"/>
        <w:rPr>
          <w:color w:val="auto"/>
          <w:sz w:val="24"/>
          <w:szCs w:val="24"/>
        </w:rPr>
      </w:pPr>
      <w:r w:rsidRPr="00DE12A3">
        <w:rPr>
          <w:color w:val="auto"/>
          <w:sz w:val="24"/>
          <w:szCs w:val="24"/>
        </w:rPr>
        <w:t>B</w:t>
      </w:r>
      <w:r w:rsidR="00242DA0" w:rsidRPr="00DE12A3">
        <w:rPr>
          <w:color w:val="auto"/>
          <w:sz w:val="24"/>
          <w:szCs w:val="24"/>
        </w:rPr>
        <w:t>urada:</w:t>
      </w:r>
    </w:p>
    <w:p w14:paraId="53D43962" w14:textId="77777777" w:rsidR="002D7B36" w:rsidRPr="00DE12A3" w:rsidRDefault="00242DA0" w:rsidP="00C917D6">
      <w:pPr>
        <w:pStyle w:val="Gvdemetni2511"/>
        <w:shd w:val="clear" w:color="auto" w:fill="auto"/>
        <w:tabs>
          <w:tab w:val="left" w:pos="1134"/>
        </w:tabs>
        <w:spacing w:before="120" w:after="120" w:line="240" w:lineRule="auto"/>
        <w:ind w:left="1134" w:rightChars="80" w:right="192" w:firstLine="0"/>
        <w:rPr>
          <w:color w:val="auto"/>
          <w:sz w:val="24"/>
          <w:szCs w:val="24"/>
        </w:rPr>
      </w:pPr>
      <w:r w:rsidRPr="00DE12A3">
        <w:rPr>
          <w:color w:val="auto"/>
          <w:sz w:val="24"/>
          <w:szCs w:val="24"/>
        </w:rPr>
        <w:t>Δt</w:t>
      </w:r>
      <w:r w:rsidRPr="00DE12A3">
        <w:rPr>
          <w:color w:val="auto"/>
          <w:sz w:val="24"/>
          <w:szCs w:val="24"/>
          <w:vertAlign w:val="subscript"/>
        </w:rPr>
        <w:t>i</w:t>
      </w:r>
      <w:r w:rsidRPr="00DE12A3">
        <w:rPr>
          <w:color w:val="auto"/>
          <w:sz w:val="24"/>
          <w:szCs w:val="24"/>
        </w:rPr>
        <w:tab/>
        <w:t>=</w:t>
      </w:r>
      <w:r w:rsidRPr="00DE12A3">
        <w:rPr>
          <w:color w:val="auto"/>
          <w:sz w:val="24"/>
          <w:szCs w:val="24"/>
        </w:rPr>
        <w:tab/>
        <w:t>Testin zaman aralığı [s]</w:t>
      </w:r>
    </w:p>
    <w:p w14:paraId="0FAA420A" w14:textId="77777777" w:rsidR="002D7B36" w:rsidRPr="00DE12A3" w:rsidRDefault="00242DA0" w:rsidP="00C917D6">
      <w:pPr>
        <w:pStyle w:val="Gvdemetni2511"/>
        <w:shd w:val="clear" w:color="auto" w:fill="auto"/>
        <w:tabs>
          <w:tab w:val="left" w:pos="1134"/>
        </w:tabs>
        <w:spacing w:before="120" w:after="120" w:line="240" w:lineRule="auto"/>
        <w:ind w:left="1134" w:rightChars="80" w:right="192" w:firstLine="0"/>
        <w:rPr>
          <w:color w:val="auto"/>
          <w:sz w:val="24"/>
          <w:szCs w:val="24"/>
        </w:rPr>
      </w:pPr>
      <w:r w:rsidRPr="00DE12A3">
        <w:rPr>
          <w:i/>
          <w:iCs/>
          <w:color w:val="auto"/>
          <w:sz w:val="24"/>
          <w:szCs w:val="24"/>
        </w:rPr>
        <w:t>K</w:t>
      </w:r>
      <w:r w:rsidRPr="00DE12A3">
        <w:rPr>
          <w:color w:val="auto"/>
          <w:sz w:val="24"/>
          <w:szCs w:val="24"/>
          <w:vertAlign w:val="subscript"/>
        </w:rPr>
        <w:t>V</w:t>
      </w:r>
      <w:r w:rsidRPr="00DE12A3">
        <w:rPr>
          <w:color w:val="auto"/>
          <w:sz w:val="24"/>
          <w:szCs w:val="24"/>
        </w:rPr>
        <w:tab/>
        <w:t>=</w:t>
      </w:r>
      <w:r w:rsidRPr="00DE12A3">
        <w:rPr>
          <w:color w:val="auto"/>
          <w:sz w:val="24"/>
          <w:szCs w:val="24"/>
        </w:rPr>
        <w:tab/>
        <w:t>standart koşullar için kritik akış venturi kalibrasyon katsayısı [(K • m</w:t>
      </w:r>
      <w:r w:rsidRPr="00DE12A3">
        <w:rPr>
          <w:color w:val="auto"/>
          <w:sz w:val="24"/>
          <w:szCs w:val="24"/>
          <w:vertAlign w:val="superscript"/>
        </w:rPr>
        <w:t>4</w:t>
      </w:r>
      <w:r w:rsidRPr="00DE12A3">
        <w:rPr>
          <w:color w:val="auto"/>
          <w:sz w:val="24"/>
          <w:szCs w:val="24"/>
        </w:rPr>
        <w:t xml:space="preserve"> • s)/kg]</w:t>
      </w:r>
    </w:p>
    <w:p w14:paraId="11B44085" w14:textId="77777777" w:rsidR="002D7B36" w:rsidRPr="00DE12A3" w:rsidRDefault="00242DA0" w:rsidP="00C917D6">
      <w:pPr>
        <w:pStyle w:val="Gvdemetni2511"/>
        <w:shd w:val="clear" w:color="auto" w:fill="auto"/>
        <w:tabs>
          <w:tab w:val="left" w:pos="1134"/>
        </w:tabs>
        <w:spacing w:before="120" w:after="120" w:line="240" w:lineRule="auto"/>
        <w:ind w:left="1134" w:rightChars="80" w:right="192" w:firstLine="0"/>
        <w:rPr>
          <w:color w:val="auto"/>
          <w:sz w:val="24"/>
          <w:szCs w:val="24"/>
        </w:rPr>
      </w:pPr>
      <w:r w:rsidRPr="00DE12A3">
        <w:rPr>
          <w:rStyle w:val="Gvdemetni254pttalik0ptbolukbraklyor25"/>
          <w:color w:val="auto"/>
          <w:sz w:val="24"/>
          <w:szCs w:val="24"/>
        </w:rPr>
        <w:t>p</w:t>
      </w:r>
      <w:r w:rsidRPr="00DE12A3">
        <w:rPr>
          <w:color w:val="auto"/>
          <w:sz w:val="24"/>
          <w:szCs w:val="24"/>
          <w:vertAlign w:val="subscript"/>
        </w:rPr>
        <w:t>p</w:t>
      </w:r>
      <w:r w:rsidRPr="00DE12A3">
        <w:rPr>
          <w:color w:val="auto"/>
          <w:sz w:val="24"/>
          <w:szCs w:val="24"/>
        </w:rPr>
        <w:tab/>
        <w:t>=</w:t>
      </w:r>
      <w:r w:rsidRPr="00DE12A3">
        <w:rPr>
          <w:color w:val="auto"/>
          <w:sz w:val="24"/>
          <w:szCs w:val="24"/>
        </w:rPr>
        <w:tab/>
        <w:t>venturi girişindeki mutlak basınç [kPa]</w:t>
      </w:r>
    </w:p>
    <w:p w14:paraId="4B1BDB59" w14:textId="77777777" w:rsidR="002D7B36" w:rsidRPr="00DE12A3" w:rsidRDefault="00242DA0" w:rsidP="00C917D6">
      <w:pPr>
        <w:pStyle w:val="Gvdemetni2511"/>
        <w:shd w:val="clear" w:color="auto" w:fill="auto"/>
        <w:tabs>
          <w:tab w:val="left" w:pos="1134"/>
        </w:tabs>
        <w:spacing w:before="120" w:after="120" w:line="240" w:lineRule="auto"/>
        <w:ind w:left="1134" w:rightChars="80" w:right="192" w:firstLine="0"/>
        <w:rPr>
          <w:color w:val="auto"/>
          <w:sz w:val="24"/>
          <w:szCs w:val="24"/>
        </w:rPr>
      </w:pPr>
      <w:r w:rsidRPr="00DE12A3">
        <w:rPr>
          <w:rStyle w:val="Gvdemetni254pttalik0ptbolukbraklyor25"/>
          <w:color w:val="auto"/>
          <w:sz w:val="24"/>
          <w:szCs w:val="24"/>
        </w:rPr>
        <w:t>T</w:t>
      </w:r>
      <w:r w:rsidRPr="00DE12A3">
        <w:rPr>
          <w:color w:val="auto"/>
          <w:sz w:val="24"/>
          <w:szCs w:val="24"/>
        </w:rPr>
        <w:tab/>
        <w:t>=</w:t>
      </w:r>
      <w:r w:rsidRPr="00DE12A3">
        <w:rPr>
          <w:color w:val="auto"/>
          <w:sz w:val="24"/>
          <w:szCs w:val="24"/>
        </w:rPr>
        <w:tab/>
        <w:t>venturi girişindeki mutlak sıcaklık [K]</w:t>
      </w:r>
    </w:p>
    <w:p w14:paraId="06BAC58B" w14:textId="77777777" w:rsidR="002D7B36" w:rsidRPr="00DE12A3" w:rsidRDefault="00242DA0" w:rsidP="00C917D6">
      <w:pPr>
        <w:pStyle w:val="Gvdemetni2511"/>
        <w:shd w:val="clear" w:color="auto" w:fill="auto"/>
        <w:tabs>
          <w:tab w:val="left" w:pos="1134"/>
          <w:tab w:val="left" w:pos="1230"/>
        </w:tabs>
        <w:spacing w:before="120" w:after="120" w:line="240" w:lineRule="auto"/>
        <w:ind w:left="1134" w:rightChars="80" w:right="192" w:firstLine="0"/>
        <w:rPr>
          <w:color w:val="auto"/>
          <w:sz w:val="24"/>
          <w:szCs w:val="24"/>
        </w:rPr>
      </w:pPr>
      <w:r w:rsidRPr="00DE12A3">
        <w:rPr>
          <w:color w:val="auto"/>
          <w:sz w:val="24"/>
          <w:szCs w:val="24"/>
        </w:rPr>
        <w:lastRenderedPageBreak/>
        <w:t>1,293 kg/m</w:t>
      </w:r>
      <w:r w:rsidRPr="00DE12A3">
        <w:rPr>
          <w:color w:val="auto"/>
          <w:sz w:val="24"/>
          <w:szCs w:val="24"/>
          <w:vertAlign w:val="superscript"/>
        </w:rPr>
        <w:t>3</w:t>
      </w:r>
      <w:r w:rsidRPr="00DE12A3">
        <w:rPr>
          <w:color w:val="auto"/>
          <w:sz w:val="24"/>
          <w:szCs w:val="24"/>
        </w:rPr>
        <w:t xml:space="preserve"> = 273,15 K ve 101,325 kPa'da hava yoğunluğu</w:t>
      </w:r>
    </w:p>
    <w:p w14:paraId="463921AA" w14:textId="77777777" w:rsidR="002D7B36" w:rsidRPr="00DE12A3" w:rsidRDefault="007C70CB" w:rsidP="00E20716">
      <w:pPr>
        <w:pStyle w:val="Gvdemetni2511"/>
        <w:numPr>
          <w:ilvl w:val="0"/>
          <w:numId w:val="403"/>
        </w:numPr>
        <w:shd w:val="clear" w:color="auto" w:fill="auto"/>
        <w:tabs>
          <w:tab w:val="left" w:pos="773"/>
        </w:tabs>
        <w:spacing w:before="120" w:after="120" w:line="240" w:lineRule="auto"/>
        <w:ind w:left="1134" w:rightChars="80" w:right="192" w:hanging="1134"/>
        <w:rPr>
          <w:color w:val="auto"/>
          <w:sz w:val="24"/>
          <w:szCs w:val="24"/>
        </w:rPr>
      </w:pPr>
      <w:r w:rsidRPr="00DE12A3">
        <w:rPr>
          <w:color w:val="auto"/>
          <w:sz w:val="24"/>
          <w:szCs w:val="24"/>
        </w:rPr>
        <w:t xml:space="preserve">      </w:t>
      </w:r>
      <w:r w:rsidR="00242DA0" w:rsidRPr="00DE12A3">
        <w:rPr>
          <w:color w:val="auto"/>
          <w:sz w:val="24"/>
          <w:szCs w:val="24"/>
        </w:rPr>
        <w:t>SSV-CVS sistemi</w:t>
      </w:r>
    </w:p>
    <w:p w14:paraId="18CD4B21" w14:textId="1514683D" w:rsidR="002D7B36" w:rsidRPr="00DE12A3" w:rsidRDefault="007C70CB" w:rsidP="00C917D6">
      <w:pPr>
        <w:pStyle w:val="Gvdemetni2511"/>
        <w:shd w:val="clear" w:color="auto" w:fill="auto"/>
        <w:spacing w:before="120" w:after="120" w:line="240" w:lineRule="auto"/>
        <w:ind w:left="1134" w:rightChars="80" w:right="192" w:hanging="1134"/>
        <w:rPr>
          <w:color w:val="auto"/>
          <w:sz w:val="24"/>
          <w:szCs w:val="24"/>
        </w:rPr>
      </w:pPr>
      <w:r w:rsidRPr="00DE12A3">
        <w:rPr>
          <w:color w:val="auto"/>
          <w:sz w:val="24"/>
          <w:szCs w:val="24"/>
        </w:rPr>
        <w:t xml:space="preserve">                  </w:t>
      </w:r>
      <w:r w:rsidR="00242DA0" w:rsidRPr="00DE12A3">
        <w:rPr>
          <w:color w:val="auto"/>
          <w:sz w:val="24"/>
          <w:szCs w:val="24"/>
        </w:rPr>
        <w:t xml:space="preserve">Seyreltilmiş egzoz gazının sıcaklığının bir ısı eşanjörü kullanılarak </w:t>
      </w:r>
      <w:r w:rsidR="00F310B5" w:rsidRPr="00DE12A3">
        <w:rPr>
          <w:color w:val="auto"/>
          <w:sz w:val="24"/>
          <w:szCs w:val="24"/>
        </w:rPr>
        <w:t>çevrim</w:t>
      </w:r>
      <w:r w:rsidR="00242DA0" w:rsidRPr="00DE12A3">
        <w:rPr>
          <w:color w:val="auto"/>
          <w:sz w:val="24"/>
          <w:szCs w:val="24"/>
        </w:rPr>
        <w:t xml:space="preserve"> boyunca ± 11 K aralığı içinde tutulması durumunda, </w:t>
      </w:r>
      <w:r w:rsidR="00F310B5" w:rsidRPr="00DE12A3">
        <w:rPr>
          <w:color w:val="auto"/>
          <w:sz w:val="24"/>
          <w:szCs w:val="24"/>
        </w:rPr>
        <w:t>çevrim</w:t>
      </w:r>
      <w:r w:rsidR="00242DA0" w:rsidRPr="00DE12A3">
        <w:rPr>
          <w:color w:val="auto"/>
          <w:sz w:val="24"/>
          <w:szCs w:val="24"/>
        </w:rPr>
        <w:t xml:space="preserve"> boyunca seyreltilmiş egzoz gazı kütlesi med [g/test], (7-39) </w:t>
      </w:r>
      <w:r w:rsidR="005E1C7E" w:rsidRPr="00DE12A3">
        <w:rPr>
          <w:color w:val="auto"/>
          <w:sz w:val="24"/>
          <w:szCs w:val="24"/>
        </w:rPr>
        <w:t>numaralı</w:t>
      </w:r>
      <w:r w:rsidR="005E1C7E" w:rsidRPr="00DE12A3" w:rsidDel="005E1C7E">
        <w:rPr>
          <w:color w:val="auto"/>
          <w:sz w:val="24"/>
          <w:szCs w:val="24"/>
        </w:rPr>
        <w:t xml:space="preserve"> </w:t>
      </w:r>
      <w:r w:rsidR="00242DA0" w:rsidRPr="00DE12A3">
        <w:rPr>
          <w:color w:val="auto"/>
          <w:sz w:val="24"/>
          <w:szCs w:val="24"/>
        </w:rPr>
        <w:t>denklem ile hesaplanmalıdır:</w:t>
      </w:r>
    </w:p>
    <w:p w14:paraId="16C7F8B3" w14:textId="77777777" w:rsidR="002D7B36" w:rsidRPr="00DE12A3" w:rsidRDefault="002D7B36" w:rsidP="00C917D6">
      <w:pPr>
        <w:widowControl/>
        <w:spacing w:before="120" w:after="120"/>
        <w:ind w:left="1134" w:rightChars="80" w:right="192" w:hanging="1134"/>
        <w:jc w:val="both"/>
        <w:rPr>
          <w:rFonts w:cs="Times New Roman"/>
          <w:color w:val="auto"/>
          <w:lang w:eastAsia="en-US"/>
        </w:rPr>
      </w:pPr>
    </w:p>
    <w:p w14:paraId="109C97FD" w14:textId="19CE5631" w:rsidR="002D7B36" w:rsidRPr="00DE12A3" w:rsidRDefault="00242DA0" w:rsidP="00C917D6">
      <w:pPr>
        <w:widowControl/>
        <w:spacing w:before="120" w:after="120"/>
        <w:ind w:left="1134" w:rightChars="80" w:right="192" w:hanging="1134"/>
        <w:jc w:val="center"/>
        <w:rPr>
          <w:rFonts w:cs="Times New Roman"/>
          <w:color w:val="auto"/>
        </w:rPr>
      </w:pPr>
      <w:r w:rsidRPr="00DE12A3">
        <w:rPr>
          <w:rFonts w:cs="Times New Roman"/>
          <w:noProof/>
          <w:color w:val="auto"/>
        </w:rPr>
        <w:drawing>
          <wp:inline distT="0" distB="0" distL="114300" distR="114300" wp14:anchorId="3E53CD67" wp14:editId="162BED6C">
            <wp:extent cx="3848100" cy="419100"/>
            <wp:effectExtent l="0" t="0" r="0" b="0"/>
            <wp:docPr id="96"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Picture 10"/>
                    <pic:cNvPicPr>
                      <a:picLocks noChangeAspect="1"/>
                    </pic:cNvPicPr>
                  </pic:nvPicPr>
                  <pic:blipFill>
                    <a:blip r:embed="rId97"/>
                    <a:stretch>
                      <a:fillRect/>
                    </a:stretch>
                  </pic:blipFill>
                  <pic:spPr>
                    <a:xfrm>
                      <a:off x="0" y="0"/>
                      <a:ext cx="3848100" cy="419100"/>
                    </a:xfrm>
                    <a:prstGeom prst="rect">
                      <a:avLst/>
                    </a:prstGeom>
                    <a:noFill/>
                    <a:ln>
                      <a:noFill/>
                    </a:ln>
                  </pic:spPr>
                </pic:pic>
              </a:graphicData>
            </a:graphic>
          </wp:inline>
        </w:drawing>
      </w:r>
    </w:p>
    <w:p w14:paraId="4F2340AC" w14:textId="77777777" w:rsidR="002D7B36" w:rsidRPr="00DE12A3" w:rsidRDefault="00242DA0" w:rsidP="00C917D6">
      <w:pPr>
        <w:pStyle w:val="Gvdemetni2511"/>
        <w:shd w:val="clear" w:color="auto" w:fill="auto"/>
        <w:spacing w:before="120" w:after="120" w:line="240" w:lineRule="auto"/>
        <w:ind w:left="1134" w:firstLine="0"/>
        <w:rPr>
          <w:color w:val="auto"/>
          <w:sz w:val="24"/>
          <w:szCs w:val="24"/>
        </w:rPr>
      </w:pPr>
      <w:r w:rsidRPr="00DE12A3">
        <w:rPr>
          <w:color w:val="auto"/>
          <w:sz w:val="24"/>
          <w:szCs w:val="24"/>
        </w:rPr>
        <w:t>Burada:</w:t>
      </w:r>
    </w:p>
    <w:p w14:paraId="1674DA7B" w14:textId="77777777" w:rsidR="002D7B36" w:rsidRPr="00DE12A3" w:rsidRDefault="00242DA0" w:rsidP="00C917D6">
      <w:pPr>
        <w:pStyle w:val="Gvdemetni2511"/>
        <w:shd w:val="clear" w:color="auto" w:fill="auto"/>
        <w:tabs>
          <w:tab w:val="left" w:pos="1230"/>
          <w:tab w:val="left" w:pos="1899"/>
        </w:tabs>
        <w:spacing w:before="120" w:after="120" w:line="240" w:lineRule="auto"/>
        <w:ind w:left="1134" w:firstLine="0"/>
        <w:rPr>
          <w:color w:val="auto"/>
          <w:sz w:val="24"/>
          <w:szCs w:val="24"/>
        </w:rPr>
      </w:pPr>
      <w:r w:rsidRPr="00DE12A3">
        <w:rPr>
          <w:color w:val="auto"/>
          <w:sz w:val="24"/>
          <w:szCs w:val="24"/>
        </w:rPr>
        <w:t xml:space="preserve">1,293 kg/m3 = 273,15 K ve 101,325 kPa'da hava yoğunluğu </w:t>
      </w:r>
    </w:p>
    <w:p w14:paraId="1BEE6BEA" w14:textId="77777777" w:rsidR="002D7B36" w:rsidRPr="00DE12A3" w:rsidRDefault="00242DA0" w:rsidP="00C917D6">
      <w:pPr>
        <w:pStyle w:val="Gvdemetni2511"/>
        <w:shd w:val="clear" w:color="auto" w:fill="auto"/>
        <w:tabs>
          <w:tab w:val="left" w:pos="1276"/>
          <w:tab w:val="left" w:pos="1899"/>
        </w:tabs>
        <w:spacing w:before="120" w:after="120" w:line="240" w:lineRule="auto"/>
        <w:ind w:left="1134" w:firstLine="0"/>
        <w:rPr>
          <w:color w:val="auto"/>
          <w:sz w:val="24"/>
          <w:szCs w:val="24"/>
        </w:rPr>
      </w:pPr>
      <w:r w:rsidRPr="00DE12A3">
        <w:rPr>
          <w:color w:val="auto"/>
          <w:sz w:val="24"/>
          <w:szCs w:val="24"/>
        </w:rPr>
        <w:t>Δt</w:t>
      </w:r>
      <w:r w:rsidRPr="00DE12A3">
        <w:rPr>
          <w:color w:val="auto"/>
          <w:sz w:val="24"/>
          <w:szCs w:val="24"/>
        </w:rPr>
        <w:tab/>
        <w:t>=</w:t>
      </w:r>
      <w:r w:rsidRPr="00DE12A3">
        <w:rPr>
          <w:color w:val="auto"/>
          <w:sz w:val="24"/>
          <w:szCs w:val="24"/>
        </w:rPr>
        <w:tab/>
      </w:r>
      <w:r w:rsidR="00F310B5" w:rsidRPr="00DE12A3">
        <w:rPr>
          <w:color w:val="auto"/>
          <w:sz w:val="24"/>
          <w:szCs w:val="24"/>
        </w:rPr>
        <w:t>çevrim</w:t>
      </w:r>
      <w:r w:rsidRPr="00DE12A3">
        <w:rPr>
          <w:color w:val="auto"/>
          <w:sz w:val="24"/>
          <w:szCs w:val="24"/>
        </w:rPr>
        <w:t xml:space="preserve"> süresi [s]</w:t>
      </w:r>
    </w:p>
    <w:p w14:paraId="24AEB192" w14:textId="77777777" w:rsidR="002D7B36" w:rsidRPr="00DE12A3" w:rsidRDefault="00242DA0" w:rsidP="00C917D6">
      <w:pPr>
        <w:pStyle w:val="Gvdemetni2511"/>
        <w:shd w:val="clear" w:color="auto" w:fill="auto"/>
        <w:tabs>
          <w:tab w:val="left" w:pos="1276"/>
          <w:tab w:val="right" w:pos="1832"/>
          <w:tab w:val="left" w:pos="1899"/>
        </w:tabs>
        <w:spacing w:before="120" w:after="120" w:line="240" w:lineRule="auto"/>
        <w:ind w:left="1134" w:firstLine="0"/>
        <w:rPr>
          <w:color w:val="auto"/>
          <w:sz w:val="24"/>
          <w:szCs w:val="24"/>
        </w:rPr>
      </w:pPr>
      <w:r w:rsidRPr="00DE12A3">
        <w:rPr>
          <w:i/>
          <w:iCs/>
          <w:color w:val="auto"/>
          <w:sz w:val="24"/>
          <w:szCs w:val="24"/>
        </w:rPr>
        <w:t>q</w:t>
      </w:r>
      <w:r w:rsidRPr="00DE12A3">
        <w:rPr>
          <w:color w:val="auto"/>
          <w:sz w:val="24"/>
          <w:szCs w:val="24"/>
          <w:vertAlign w:val="subscript"/>
        </w:rPr>
        <w:t>VSSV</w:t>
      </w:r>
      <w:r w:rsidRPr="00DE12A3">
        <w:rPr>
          <w:color w:val="auto"/>
          <w:sz w:val="24"/>
          <w:szCs w:val="24"/>
        </w:rPr>
        <w:tab/>
        <w:t>=</w:t>
      </w:r>
      <w:r w:rsidRPr="00DE12A3">
        <w:rPr>
          <w:color w:val="auto"/>
          <w:sz w:val="24"/>
          <w:szCs w:val="24"/>
        </w:rPr>
        <w:tab/>
        <w:t>standart koşullarda (101,325 kPa, 273,15 K) hava akış hızı [m</w:t>
      </w:r>
      <w:r w:rsidRPr="00DE12A3">
        <w:rPr>
          <w:color w:val="auto"/>
          <w:sz w:val="24"/>
          <w:szCs w:val="24"/>
          <w:vertAlign w:val="superscript"/>
        </w:rPr>
        <w:t>3</w:t>
      </w:r>
      <w:r w:rsidRPr="00DE12A3">
        <w:rPr>
          <w:color w:val="auto"/>
          <w:sz w:val="24"/>
          <w:szCs w:val="24"/>
        </w:rPr>
        <w:t>/s]</w:t>
      </w:r>
    </w:p>
    <w:p w14:paraId="5CDF0567" w14:textId="77777777" w:rsidR="002D7B36" w:rsidRPr="00DE12A3" w:rsidRDefault="00242DA0" w:rsidP="00C917D6">
      <w:pPr>
        <w:pStyle w:val="Gvdemetni2511"/>
        <w:shd w:val="clear" w:color="auto" w:fill="auto"/>
        <w:spacing w:before="120" w:after="120" w:line="240" w:lineRule="auto"/>
        <w:ind w:left="1134" w:firstLine="0"/>
        <w:rPr>
          <w:color w:val="auto"/>
          <w:sz w:val="24"/>
          <w:szCs w:val="24"/>
        </w:rPr>
      </w:pPr>
      <w:r w:rsidRPr="00DE12A3">
        <w:rPr>
          <w:color w:val="auto"/>
          <w:sz w:val="24"/>
          <w:szCs w:val="24"/>
        </w:rPr>
        <w:t>ve</w:t>
      </w:r>
    </w:p>
    <w:p w14:paraId="72DF38AD" w14:textId="77777777" w:rsidR="002D7B36" w:rsidRPr="00DE12A3" w:rsidRDefault="002D7B36" w:rsidP="00C917D6">
      <w:pPr>
        <w:widowControl/>
        <w:spacing w:before="120" w:after="120"/>
        <w:ind w:left="1134" w:rightChars="80" w:right="192" w:hanging="1134"/>
        <w:jc w:val="both"/>
        <w:rPr>
          <w:rFonts w:cs="Times New Roman"/>
          <w:color w:val="auto"/>
          <w:lang w:eastAsia="en-US"/>
        </w:rPr>
      </w:pPr>
    </w:p>
    <w:p w14:paraId="788E3324" w14:textId="11F71931" w:rsidR="002D7B36" w:rsidRPr="00DE12A3" w:rsidRDefault="00242DA0" w:rsidP="00C917D6">
      <w:pPr>
        <w:widowControl/>
        <w:spacing w:before="120" w:after="120"/>
        <w:ind w:left="1134" w:rightChars="80" w:right="192" w:hanging="1134"/>
        <w:jc w:val="both"/>
        <w:rPr>
          <w:rFonts w:cs="Times New Roman"/>
          <w:color w:val="auto"/>
        </w:rPr>
      </w:pPr>
      <w:r w:rsidRPr="00DE12A3">
        <w:rPr>
          <w:rFonts w:cs="Times New Roman"/>
          <w:noProof/>
          <w:color w:val="auto"/>
        </w:rPr>
        <w:drawing>
          <wp:inline distT="0" distB="0" distL="114300" distR="114300" wp14:anchorId="6A047C60" wp14:editId="2E3FFF4F">
            <wp:extent cx="5562600" cy="447675"/>
            <wp:effectExtent l="0" t="0" r="0" b="9525"/>
            <wp:docPr id="97"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Picture 11"/>
                    <pic:cNvPicPr>
                      <a:picLocks noChangeAspect="1"/>
                    </pic:cNvPicPr>
                  </pic:nvPicPr>
                  <pic:blipFill>
                    <a:blip r:embed="rId98"/>
                    <a:stretch>
                      <a:fillRect/>
                    </a:stretch>
                  </pic:blipFill>
                  <pic:spPr>
                    <a:xfrm>
                      <a:off x="0" y="0"/>
                      <a:ext cx="5562600" cy="447675"/>
                    </a:xfrm>
                    <a:prstGeom prst="rect">
                      <a:avLst/>
                    </a:prstGeom>
                    <a:noFill/>
                    <a:ln>
                      <a:noFill/>
                    </a:ln>
                  </pic:spPr>
                </pic:pic>
              </a:graphicData>
            </a:graphic>
          </wp:inline>
        </w:drawing>
      </w:r>
    </w:p>
    <w:p w14:paraId="024CD44F" w14:textId="77777777" w:rsidR="002D7B36" w:rsidRPr="00DE12A3" w:rsidRDefault="002D7B36" w:rsidP="00C917D6">
      <w:pPr>
        <w:widowControl/>
        <w:spacing w:before="120" w:after="120"/>
        <w:ind w:left="1134" w:rightChars="80" w:right="192" w:hanging="1134"/>
        <w:jc w:val="both"/>
        <w:rPr>
          <w:rFonts w:cs="Times New Roman"/>
          <w:color w:val="auto"/>
        </w:rPr>
      </w:pPr>
    </w:p>
    <w:p w14:paraId="58798149" w14:textId="77777777" w:rsidR="002D7B36" w:rsidRPr="00DE12A3" w:rsidRDefault="00242DA0" w:rsidP="00C917D6">
      <w:pPr>
        <w:pStyle w:val="Gvdemetni2511"/>
        <w:shd w:val="clear" w:color="auto" w:fill="auto"/>
        <w:spacing w:before="120" w:after="120" w:line="240" w:lineRule="auto"/>
        <w:ind w:left="1134" w:firstLine="0"/>
        <w:rPr>
          <w:color w:val="auto"/>
          <w:sz w:val="24"/>
          <w:szCs w:val="24"/>
        </w:rPr>
      </w:pPr>
      <w:r w:rsidRPr="00DE12A3">
        <w:rPr>
          <w:color w:val="auto"/>
          <w:sz w:val="24"/>
          <w:szCs w:val="24"/>
        </w:rPr>
        <w:t>Burada:</w:t>
      </w:r>
    </w:p>
    <w:p w14:paraId="4861BC44" w14:textId="77777777" w:rsidR="002D7B36" w:rsidRPr="00DE12A3" w:rsidRDefault="00242DA0" w:rsidP="00C917D6">
      <w:pPr>
        <w:pStyle w:val="Gvdemetni2511"/>
        <w:shd w:val="clear" w:color="auto" w:fill="auto"/>
        <w:spacing w:before="120" w:after="120" w:line="240" w:lineRule="auto"/>
        <w:ind w:left="1134" w:firstLine="0"/>
        <w:rPr>
          <w:color w:val="auto"/>
          <w:sz w:val="24"/>
          <w:szCs w:val="24"/>
        </w:rPr>
      </w:pPr>
      <w:r w:rsidRPr="00DE12A3">
        <w:rPr>
          <w:color w:val="auto"/>
          <w:sz w:val="24"/>
          <w:szCs w:val="24"/>
        </w:rPr>
        <w:t>A</w:t>
      </w:r>
      <w:r w:rsidRPr="00DE12A3">
        <w:rPr>
          <w:color w:val="auto"/>
          <w:sz w:val="24"/>
          <w:szCs w:val="24"/>
          <w:vertAlign w:val="subscript"/>
        </w:rPr>
        <w:t>0</w:t>
      </w:r>
      <w:r w:rsidRPr="00DE12A3">
        <w:rPr>
          <w:color w:val="auto"/>
          <w:sz w:val="24"/>
          <w:szCs w:val="24"/>
        </w:rPr>
        <w:t xml:space="preserve"> = sabitler ve birim dönüşümleri toplamı = 0,0056940</w:t>
      </w:r>
    </w:p>
    <w:p w14:paraId="68805903" w14:textId="25310B46" w:rsidR="002D7B36" w:rsidRPr="00DE12A3" w:rsidRDefault="00C82C1B" w:rsidP="00C917D6">
      <w:pPr>
        <w:pStyle w:val="Gvdemetni2511"/>
        <w:shd w:val="clear" w:color="auto" w:fill="auto"/>
        <w:spacing w:before="120" w:after="120" w:line="240" w:lineRule="auto"/>
        <w:ind w:left="1134" w:firstLine="0"/>
        <w:jc w:val="left"/>
        <w:rPr>
          <w:color w:val="auto"/>
          <w:sz w:val="24"/>
          <w:szCs w:val="24"/>
        </w:rPr>
      </w:pPr>
      <w:r w:rsidRPr="00DE12A3">
        <w:rPr>
          <w:noProof/>
          <w:color w:val="auto"/>
        </w:rPr>
        <w:drawing>
          <wp:inline distT="0" distB="0" distL="0" distR="0" wp14:anchorId="15AC451B" wp14:editId="68324094">
            <wp:extent cx="1992923" cy="644525"/>
            <wp:effectExtent l="0" t="0" r="7620" b="3175"/>
            <wp:docPr id="43" name="Resim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2009233" cy="649800"/>
                    </a:xfrm>
                    <a:prstGeom prst="rect">
                      <a:avLst/>
                    </a:prstGeom>
                    <a:noFill/>
                    <a:ln>
                      <a:noFill/>
                    </a:ln>
                  </pic:spPr>
                </pic:pic>
              </a:graphicData>
            </a:graphic>
          </wp:inline>
        </w:drawing>
      </w:r>
    </w:p>
    <w:p w14:paraId="1EE3BFE7" w14:textId="77777777" w:rsidR="002D7B36" w:rsidRPr="00DE12A3" w:rsidRDefault="00242DA0" w:rsidP="00C917D6">
      <w:pPr>
        <w:pStyle w:val="Gvdemetni2511"/>
        <w:shd w:val="clear" w:color="auto" w:fill="auto"/>
        <w:spacing w:before="120" w:after="120" w:line="240" w:lineRule="auto"/>
        <w:ind w:left="1134" w:firstLine="142"/>
        <w:rPr>
          <w:color w:val="auto"/>
          <w:sz w:val="24"/>
          <w:szCs w:val="24"/>
        </w:rPr>
      </w:pPr>
      <w:r w:rsidRPr="00DE12A3">
        <w:rPr>
          <w:rStyle w:val="Gvdemetni254pttalik0ptbolukbraklyor25"/>
          <w:color w:val="auto"/>
          <w:sz w:val="24"/>
          <w:szCs w:val="24"/>
        </w:rPr>
        <w:t>d</w:t>
      </w:r>
      <w:r w:rsidRPr="00DE12A3">
        <w:rPr>
          <w:rStyle w:val="Gvdemetni254pttalik0ptbolukbraklyor25"/>
          <w:color w:val="auto"/>
          <w:sz w:val="24"/>
          <w:szCs w:val="24"/>
          <w:vertAlign w:val="subscript"/>
        </w:rPr>
        <w:t>V</w:t>
      </w:r>
      <w:r w:rsidRPr="00DE12A3">
        <w:rPr>
          <w:color w:val="auto"/>
          <w:sz w:val="24"/>
          <w:szCs w:val="24"/>
        </w:rPr>
        <w:t xml:space="preserve"> = SSV boğazı çapı [mm]</w:t>
      </w:r>
    </w:p>
    <w:p w14:paraId="2245C568" w14:textId="77777777" w:rsidR="002D7B36" w:rsidRPr="00DE12A3" w:rsidRDefault="00242DA0" w:rsidP="00C917D6">
      <w:pPr>
        <w:pStyle w:val="Gvdemetni2511"/>
        <w:shd w:val="clear" w:color="auto" w:fill="auto"/>
        <w:spacing w:before="120" w:after="120" w:line="240" w:lineRule="auto"/>
        <w:ind w:left="1134" w:firstLine="142"/>
        <w:rPr>
          <w:color w:val="auto"/>
          <w:sz w:val="24"/>
          <w:szCs w:val="24"/>
        </w:rPr>
      </w:pPr>
      <w:r w:rsidRPr="00DE12A3">
        <w:rPr>
          <w:color w:val="auto"/>
          <w:sz w:val="24"/>
          <w:szCs w:val="24"/>
        </w:rPr>
        <w:t>C</w:t>
      </w:r>
      <w:r w:rsidRPr="00DE12A3">
        <w:rPr>
          <w:color w:val="auto"/>
          <w:sz w:val="24"/>
          <w:szCs w:val="24"/>
          <w:vertAlign w:val="subscript"/>
        </w:rPr>
        <w:t>d</w:t>
      </w:r>
      <w:r w:rsidRPr="00DE12A3">
        <w:rPr>
          <w:color w:val="auto"/>
          <w:sz w:val="24"/>
          <w:szCs w:val="24"/>
        </w:rPr>
        <w:t xml:space="preserve"> = SSV boşaltma katsayısı [-]</w:t>
      </w:r>
    </w:p>
    <w:p w14:paraId="69B2DB01" w14:textId="77777777" w:rsidR="002D7B36" w:rsidRPr="00DE12A3" w:rsidRDefault="00242DA0" w:rsidP="00C917D6">
      <w:pPr>
        <w:pStyle w:val="Gvdemetni2511"/>
        <w:shd w:val="clear" w:color="auto" w:fill="auto"/>
        <w:spacing w:before="120" w:after="120" w:line="240" w:lineRule="auto"/>
        <w:ind w:left="1134" w:firstLine="142"/>
        <w:rPr>
          <w:color w:val="auto"/>
          <w:sz w:val="24"/>
          <w:szCs w:val="24"/>
        </w:rPr>
      </w:pPr>
      <w:r w:rsidRPr="00DE12A3">
        <w:rPr>
          <w:i/>
          <w:iCs/>
          <w:color w:val="auto"/>
          <w:sz w:val="24"/>
          <w:szCs w:val="24"/>
        </w:rPr>
        <w:t>p</w:t>
      </w:r>
      <w:r w:rsidRPr="00DE12A3">
        <w:rPr>
          <w:color w:val="auto"/>
          <w:sz w:val="24"/>
          <w:szCs w:val="24"/>
          <w:vertAlign w:val="subscript"/>
        </w:rPr>
        <w:t>p</w:t>
      </w:r>
      <w:r w:rsidRPr="00DE12A3">
        <w:rPr>
          <w:color w:val="auto"/>
          <w:sz w:val="24"/>
          <w:szCs w:val="24"/>
        </w:rPr>
        <w:t xml:space="preserve"> = venturi girişindeki mutlak basınç [kPa]</w:t>
      </w:r>
    </w:p>
    <w:p w14:paraId="0D88A65C" w14:textId="77777777" w:rsidR="002D7B36" w:rsidRPr="00DE12A3" w:rsidRDefault="00242DA0" w:rsidP="00C917D6">
      <w:pPr>
        <w:pStyle w:val="Gvdemetni2511"/>
        <w:shd w:val="clear" w:color="auto" w:fill="auto"/>
        <w:spacing w:before="120" w:after="120" w:line="240" w:lineRule="auto"/>
        <w:ind w:left="1134" w:firstLine="142"/>
        <w:rPr>
          <w:color w:val="auto"/>
          <w:sz w:val="24"/>
          <w:szCs w:val="24"/>
        </w:rPr>
      </w:pPr>
      <w:r w:rsidRPr="00DE12A3">
        <w:rPr>
          <w:i/>
          <w:iCs/>
          <w:color w:val="auto"/>
          <w:sz w:val="24"/>
          <w:szCs w:val="24"/>
        </w:rPr>
        <w:t>T</w:t>
      </w:r>
      <w:r w:rsidRPr="00DE12A3">
        <w:rPr>
          <w:color w:val="auto"/>
          <w:sz w:val="24"/>
          <w:szCs w:val="24"/>
          <w:vertAlign w:val="subscript"/>
        </w:rPr>
        <w:t>in</w:t>
      </w:r>
      <w:r w:rsidRPr="00DE12A3">
        <w:rPr>
          <w:color w:val="auto"/>
          <w:sz w:val="24"/>
          <w:szCs w:val="24"/>
        </w:rPr>
        <w:t xml:space="preserve"> = venturi girişindeki sıcaklık [K]</w:t>
      </w:r>
    </w:p>
    <w:p w14:paraId="4E62C79A" w14:textId="4AEF9C57" w:rsidR="002D7B36" w:rsidRPr="00DE12A3" w:rsidRDefault="00242DA0" w:rsidP="00C917D6">
      <w:pPr>
        <w:pStyle w:val="Gvdemetni2511"/>
        <w:shd w:val="clear" w:color="auto" w:fill="auto"/>
        <w:spacing w:before="120" w:after="120" w:line="240" w:lineRule="auto"/>
        <w:ind w:left="1134" w:firstLine="142"/>
        <w:rPr>
          <w:color w:val="auto"/>
          <w:sz w:val="24"/>
          <w:szCs w:val="24"/>
        </w:rPr>
      </w:pPr>
      <w:r w:rsidRPr="00DE12A3">
        <w:rPr>
          <w:color w:val="auto"/>
          <w:sz w:val="24"/>
          <w:szCs w:val="24"/>
        </w:rPr>
        <w:t>r</w:t>
      </w:r>
      <w:r w:rsidRPr="00DE12A3">
        <w:rPr>
          <w:color w:val="auto"/>
          <w:sz w:val="24"/>
          <w:szCs w:val="24"/>
          <w:vertAlign w:val="subscript"/>
        </w:rPr>
        <w:t>p</w:t>
      </w:r>
      <w:r w:rsidRPr="00DE12A3">
        <w:rPr>
          <w:color w:val="auto"/>
          <w:sz w:val="24"/>
          <w:szCs w:val="24"/>
        </w:rPr>
        <w:t xml:space="preserve"> = SSV boğazı / giriş mutlak statik basıncı oranı</w:t>
      </w:r>
    </w:p>
    <w:p w14:paraId="3E9030EB" w14:textId="231C19C1" w:rsidR="002D7B36" w:rsidRPr="00DE12A3" w:rsidRDefault="00242DA0" w:rsidP="00C917D6">
      <w:pPr>
        <w:widowControl/>
        <w:spacing w:before="120" w:after="120"/>
        <w:ind w:left="1134" w:rightChars="80" w:right="192" w:hanging="1134"/>
        <w:jc w:val="center"/>
        <w:rPr>
          <w:rFonts w:cs="Times New Roman"/>
          <w:color w:val="auto"/>
        </w:rPr>
      </w:pPr>
      <w:r w:rsidRPr="00DE12A3">
        <w:rPr>
          <w:rFonts w:cs="Times New Roman"/>
          <w:noProof/>
          <w:color w:val="auto"/>
        </w:rPr>
        <w:drawing>
          <wp:inline distT="0" distB="0" distL="114300" distR="114300" wp14:anchorId="1A78352B" wp14:editId="6AE46786">
            <wp:extent cx="3524250" cy="342900"/>
            <wp:effectExtent l="0" t="0" r="0" b="0"/>
            <wp:docPr id="99"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Picture 13"/>
                    <pic:cNvPicPr>
                      <a:picLocks noChangeAspect="1"/>
                    </pic:cNvPicPr>
                  </pic:nvPicPr>
                  <pic:blipFill>
                    <a:blip r:embed="rId100"/>
                    <a:stretch>
                      <a:fillRect/>
                    </a:stretch>
                  </pic:blipFill>
                  <pic:spPr>
                    <a:xfrm>
                      <a:off x="0" y="0"/>
                      <a:ext cx="3524250" cy="342900"/>
                    </a:xfrm>
                    <a:prstGeom prst="rect">
                      <a:avLst/>
                    </a:prstGeom>
                    <a:noFill/>
                    <a:ln>
                      <a:noFill/>
                    </a:ln>
                  </pic:spPr>
                </pic:pic>
              </a:graphicData>
            </a:graphic>
          </wp:inline>
        </w:drawing>
      </w:r>
    </w:p>
    <w:p w14:paraId="3CB17645" w14:textId="77777777" w:rsidR="002D7B36" w:rsidRPr="00DE12A3" w:rsidRDefault="00242DA0" w:rsidP="00C917D6">
      <w:pPr>
        <w:pStyle w:val="Gvdemetni2511"/>
        <w:shd w:val="clear" w:color="auto" w:fill="auto"/>
        <w:spacing w:before="120" w:after="120" w:line="240" w:lineRule="auto"/>
        <w:ind w:left="1134" w:firstLine="0"/>
        <w:rPr>
          <w:color w:val="auto"/>
          <w:sz w:val="24"/>
          <w:szCs w:val="24"/>
        </w:rPr>
      </w:pPr>
      <w:r w:rsidRPr="00DE12A3">
        <w:rPr>
          <w:color w:val="auto"/>
          <w:sz w:val="24"/>
          <w:szCs w:val="24"/>
        </w:rPr>
        <w:t>r</w:t>
      </w:r>
      <w:r w:rsidRPr="00DE12A3">
        <w:rPr>
          <w:color w:val="auto"/>
          <w:sz w:val="24"/>
          <w:szCs w:val="24"/>
          <w:vertAlign w:val="subscript"/>
        </w:rPr>
        <w:t>D</w:t>
      </w:r>
      <w:r w:rsidRPr="00DE12A3">
        <w:rPr>
          <w:color w:val="auto"/>
          <w:sz w:val="24"/>
          <w:szCs w:val="24"/>
        </w:rPr>
        <w:t xml:space="preserve"> = SSV boğazı çapı / giriş borusu iç çapı oranı</w:t>
      </w:r>
    </w:p>
    <w:p w14:paraId="7F13192B" w14:textId="176E46BF" w:rsidR="002D7B36" w:rsidRPr="00DE12A3" w:rsidRDefault="00242DA0" w:rsidP="00C917D6">
      <w:pPr>
        <w:widowControl/>
        <w:spacing w:before="120" w:after="120"/>
        <w:ind w:left="1134" w:rightChars="80" w:right="192" w:hanging="1134"/>
        <w:jc w:val="center"/>
        <w:rPr>
          <w:rFonts w:cs="Times New Roman"/>
          <w:color w:val="auto"/>
        </w:rPr>
      </w:pPr>
      <w:r w:rsidRPr="00DE12A3">
        <w:rPr>
          <w:rFonts w:cs="Times New Roman"/>
          <w:noProof/>
          <w:color w:val="auto"/>
        </w:rPr>
        <w:drawing>
          <wp:inline distT="0" distB="0" distL="114300" distR="114300" wp14:anchorId="5DA9205C" wp14:editId="57645FE3">
            <wp:extent cx="3057525" cy="295275"/>
            <wp:effectExtent l="0" t="0" r="9525" b="9525"/>
            <wp:docPr id="100"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Picture 14"/>
                    <pic:cNvPicPr>
                      <a:picLocks noChangeAspect="1"/>
                    </pic:cNvPicPr>
                  </pic:nvPicPr>
                  <pic:blipFill>
                    <a:blip r:embed="rId101"/>
                    <a:stretch>
                      <a:fillRect/>
                    </a:stretch>
                  </pic:blipFill>
                  <pic:spPr>
                    <a:xfrm>
                      <a:off x="0" y="0"/>
                      <a:ext cx="3057525" cy="295275"/>
                    </a:xfrm>
                    <a:prstGeom prst="rect">
                      <a:avLst/>
                    </a:prstGeom>
                    <a:noFill/>
                    <a:ln>
                      <a:noFill/>
                    </a:ln>
                  </pic:spPr>
                </pic:pic>
              </a:graphicData>
            </a:graphic>
          </wp:inline>
        </w:drawing>
      </w:r>
    </w:p>
    <w:p w14:paraId="1AB97A3D" w14:textId="654D8793" w:rsidR="002D7B36" w:rsidRPr="00DE12A3" w:rsidRDefault="00242DA0" w:rsidP="00C917D6">
      <w:pPr>
        <w:pStyle w:val="Gvdemetni2511"/>
        <w:shd w:val="clear" w:color="auto" w:fill="auto"/>
        <w:spacing w:before="120" w:after="120" w:line="240" w:lineRule="auto"/>
        <w:ind w:left="1134" w:firstLine="0"/>
        <w:rPr>
          <w:color w:val="auto"/>
          <w:sz w:val="24"/>
          <w:szCs w:val="24"/>
        </w:rPr>
      </w:pPr>
      <w:r w:rsidRPr="00DE12A3">
        <w:rPr>
          <w:color w:val="auto"/>
          <w:sz w:val="24"/>
          <w:szCs w:val="24"/>
        </w:rPr>
        <w:t xml:space="preserve">Akış dengelemeli (yani ısı eşanjörsüz) bir sistem kullanılırsa, zaman aralığı sırasında seyreltilmiş egzoz gazı kütlesi </w:t>
      </w:r>
      <w:r w:rsidRPr="00DE12A3">
        <w:rPr>
          <w:i/>
          <w:iCs/>
          <w:color w:val="auto"/>
          <w:sz w:val="24"/>
          <w:szCs w:val="24"/>
        </w:rPr>
        <w:t>m</w:t>
      </w:r>
      <w:r w:rsidRPr="00DE12A3">
        <w:rPr>
          <w:color w:val="auto"/>
          <w:sz w:val="24"/>
          <w:szCs w:val="24"/>
          <w:vertAlign w:val="subscript"/>
        </w:rPr>
        <w:t>ed,i</w:t>
      </w:r>
      <w:r w:rsidRPr="00DE12A3">
        <w:rPr>
          <w:color w:val="auto"/>
          <w:sz w:val="24"/>
          <w:szCs w:val="24"/>
        </w:rPr>
        <w:t xml:space="preserve"> [kg], (7-41) </w:t>
      </w:r>
      <w:r w:rsidR="005E1C7E" w:rsidRPr="00DE12A3">
        <w:rPr>
          <w:color w:val="auto"/>
          <w:sz w:val="24"/>
          <w:szCs w:val="24"/>
        </w:rPr>
        <w:t>numaralı</w:t>
      </w:r>
      <w:r w:rsidR="005E1C7E" w:rsidRPr="00DE12A3" w:rsidDel="005E1C7E">
        <w:rPr>
          <w:color w:val="auto"/>
          <w:sz w:val="24"/>
          <w:szCs w:val="24"/>
        </w:rPr>
        <w:t xml:space="preserve"> </w:t>
      </w:r>
      <w:r w:rsidRPr="00DE12A3">
        <w:rPr>
          <w:color w:val="auto"/>
          <w:sz w:val="24"/>
          <w:szCs w:val="24"/>
        </w:rPr>
        <w:t>denklem ile hesaplanmalıdır:</w:t>
      </w:r>
    </w:p>
    <w:p w14:paraId="224391C8" w14:textId="04B0F69B" w:rsidR="002D7B36" w:rsidRPr="00DE12A3" w:rsidRDefault="00242DA0" w:rsidP="00C917D6">
      <w:pPr>
        <w:widowControl/>
        <w:spacing w:before="120" w:after="120"/>
        <w:ind w:left="1134" w:rightChars="80" w:right="192" w:hanging="1134"/>
        <w:jc w:val="center"/>
        <w:rPr>
          <w:rFonts w:cs="Times New Roman"/>
          <w:color w:val="auto"/>
        </w:rPr>
      </w:pPr>
      <w:r w:rsidRPr="00DE12A3">
        <w:rPr>
          <w:rFonts w:cs="Times New Roman"/>
          <w:noProof/>
          <w:color w:val="auto"/>
        </w:rPr>
        <w:drawing>
          <wp:inline distT="0" distB="0" distL="114300" distR="114300" wp14:anchorId="32A761BD" wp14:editId="40BF69FF">
            <wp:extent cx="4257675" cy="314325"/>
            <wp:effectExtent l="0" t="0" r="9525" b="9525"/>
            <wp:docPr id="101"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Picture 15"/>
                    <pic:cNvPicPr>
                      <a:picLocks noChangeAspect="1"/>
                    </pic:cNvPicPr>
                  </pic:nvPicPr>
                  <pic:blipFill>
                    <a:blip r:embed="rId102"/>
                    <a:stretch>
                      <a:fillRect/>
                    </a:stretch>
                  </pic:blipFill>
                  <pic:spPr>
                    <a:xfrm>
                      <a:off x="0" y="0"/>
                      <a:ext cx="4257675" cy="314325"/>
                    </a:xfrm>
                    <a:prstGeom prst="rect">
                      <a:avLst/>
                    </a:prstGeom>
                    <a:noFill/>
                    <a:ln>
                      <a:noFill/>
                    </a:ln>
                  </pic:spPr>
                </pic:pic>
              </a:graphicData>
            </a:graphic>
          </wp:inline>
        </w:drawing>
      </w:r>
    </w:p>
    <w:p w14:paraId="153C7D8D" w14:textId="77777777" w:rsidR="002D7B36" w:rsidRPr="00DE12A3" w:rsidRDefault="00242DA0" w:rsidP="00C917D6">
      <w:pPr>
        <w:pStyle w:val="Gvdemetni2511"/>
        <w:shd w:val="clear" w:color="auto" w:fill="auto"/>
        <w:spacing w:before="120" w:after="120" w:line="240" w:lineRule="auto"/>
        <w:ind w:left="1134" w:firstLine="0"/>
        <w:rPr>
          <w:color w:val="auto"/>
          <w:sz w:val="24"/>
          <w:szCs w:val="24"/>
        </w:rPr>
      </w:pPr>
      <w:r w:rsidRPr="00DE12A3">
        <w:rPr>
          <w:color w:val="auto"/>
          <w:sz w:val="24"/>
          <w:szCs w:val="24"/>
        </w:rPr>
        <w:t>Burada:</w:t>
      </w:r>
    </w:p>
    <w:p w14:paraId="4CA9402C" w14:textId="77777777" w:rsidR="002D7B36" w:rsidRPr="00DE12A3" w:rsidRDefault="00242DA0" w:rsidP="00C917D6">
      <w:pPr>
        <w:pStyle w:val="Gvdemetni2511"/>
        <w:shd w:val="clear" w:color="auto" w:fill="auto"/>
        <w:tabs>
          <w:tab w:val="left" w:pos="1230"/>
          <w:tab w:val="left" w:pos="1899"/>
        </w:tabs>
        <w:spacing w:before="120" w:after="120" w:line="240" w:lineRule="auto"/>
        <w:ind w:left="1134" w:firstLine="0"/>
        <w:rPr>
          <w:color w:val="auto"/>
          <w:sz w:val="24"/>
          <w:szCs w:val="24"/>
        </w:rPr>
      </w:pPr>
      <w:r w:rsidRPr="00DE12A3">
        <w:rPr>
          <w:color w:val="auto"/>
          <w:sz w:val="24"/>
          <w:szCs w:val="24"/>
        </w:rPr>
        <w:lastRenderedPageBreak/>
        <w:t>1,293 kg/m3 = 273,15 K ve 101,325 kPa'da hava yoğunluğu</w:t>
      </w:r>
    </w:p>
    <w:p w14:paraId="140FA96F" w14:textId="77777777" w:rsidR="002D7B36" w:rsidRPr="00DE12A3" w:rsidRDefault="00242DA0" w:rsidP="00C917D6">
      <w:pPr>
        <w:pStyle w:val="Gvdemetni2511"/>
        <w:shd w:val="clear" w:color="auto" w:fill="auto"/>
        <w:tabs>
          <w:tab w:val="left" w:pos="1418"/>
          <w:tab w:val="left" w:pos="1899"/>
        </w:tabs>
        <w:spacing w:before="120" w:after="120" w:line="240" w:lineRule="auto"/>
        <w:ind w:left="1134" w:firstLine="0"/>
        <w:rPr>
          <w:color w:val="auto"/>
          <w:sz w:val="24"/>
          <w:szCs w:val="24"/>
        </w:rPr>
      </w:pPr>
      <w:r w:rsidRPr="00DE12A3">
        <w:rPr>
          <w:color w:val="auto"/>
          <w:sz w:val="24"/>
          <w:szCs w:val="24"/>
        </w:rPr>
        <w:t>Δti</w:t>
      </w:r>
      <w:r w:rsidRPr="00DE12A3">
        <w:rPr>
          <w:color w:val="auto"/>
          <w:sz w:val="24"/>
          <w:szCs w:val="24"/>
        </w:rPr>
        <w:tab/>
        <w:t>=</w:t>
      </w:r>
      <w:r w:rsidRPr="00DE12A3">
        <w:rPr>
          <w:color w:val="auto"/>
          <w:sz w:val="24"/>
          <w:szCs w:val="24"/>
        </w:rPr>
        <w:tab/>
        <w:t>zaman aralığı [s]</w:t>
      </w:r>
    </w:p>
    <w:p w14:paraId="37E3CBCF" w14:textId="77777777" w:rsidR="002D7B36" w:rsidRPr="00DE12A3" w:rsidRDefault="00242DA0" w:rsidP="00C917D6">
      <w:pPr>
        <w:pStyle w:val="Gvdemetni2511"/>
        <w:shd w:val="clear" w:color="auto" w:fill="auto"/>
        <w:tabs>
          <w:tab w:val="left" w:pos="1418"/>
          <w:tab w:val="right" w:pos="1832"/>
          <w:tab w:val="left" w:pos="1899"/>
        </w:tabs>
        <w:spacing w:before="120" w:after="120" w:line="240" w:lineRule="auto"/>
        <w:ind w:left="1134" w:firstLine="0"/>
        <w:rPr>
          <w:color w:val="auto"/>
          <w:sz w:val="24"/>
          <w:szCs w:val="24"/>
        </w:rPr>
      </w:pPr>
      <w:r w:rsidRPr="00DE12A3">
        <w:rPr>
          <w:rStyle w:val="Gvdemetni254pttalik0ptbolukbraklyor25"/>
          <w:color w:val="auto"/>
          <w:sz w:val="24"/>
          <w:szCs w:val="24"/>
        </w:rPr>
        <w:t>q</w:t>
      </w:r>
      <w:r w:rsidRPr="00DE12A3">
        <w:rPr>
          <w:color w:val="auto"/>
          <w:sz w:val="24"/>
          <w:szCs w:val="24"/>
          <w:vertAlign w:val="subscript"/>
        </w:rPr>
        <w:t>VSSV</w:t>
      </w:r>
      <w:r w:rsidRPr="00DE12A3">
        <w:rPr>
          <w:color w:val="auto"/>
          <w:sz w:val="24"/>
          <w:szCs w:val="24"/>
        </w:rPr>
        <w:tab/>
        <w:t>=</w:t>
      </w:r>
      <w:r w:rsidRPr="00DE12A3">
        <w:rPr>
          <w:color w:val="auto"/>
          <w:sz w:val="24"/>
          <w:szCs w:val="24"/>
        </w:rPr>
        <w:tab/>
        <w:t>SSV'nin hacimsel akış hızı [m</w:t>
      </w:r>
      <w:r w:rsidRPr="00DE12A3">
        <w:rPr>
          <w:color w:val="auto"/>
          <w:sz w:val="24"/>
          <w:szCs w:val="24"/>
          <w:vertAlign w:val="superscript"/>
        </w:rPr>
        <w:t>3</w:t>
      </w:r>
      <w:r w:rsidRPr="00DE12A3">
        <w:rPr>
          <w:color w:val="auto"/>
          <w:sz w:val="24"/>
          <w:szCs w:val="24"/>
        </w:rPr>
        <w:t>/s]</w:t>
      </w:r>
    </w:p>
    <w:p w14:paraId="390E9ECA" w14:textId="6F9AEC94" w:rsidR="002D7B36" w:rsidRPr="00DE12A3" w:rsidRDefault="00C82C1B" w:rsidP="00E20716">
      <w:pPr>
        <w:numPr>
          <w:ilvl w:val="1"/>
          <w:numId w:val="394"/>
        </w:numPr>
        <w:spacing w:before="120" w:after="120"/>
        <w:ind w:left="1134" w:hanging="1134"/>
        <w:jc w:val="both"/>
        <w:rPr>
          <w:rFonts w:cs="Times New Roman"/>
          <w:color w:val="auto"/>
        </w:rPr>
      </w:pPr>
      <w:bookmarkStart w:id="27" w:name="_Hlk22748939"/>
      <w:r w:rsidRPr="00DE12A3">
        <w:rPr>
          <w:rFonts w:cs="Times New Roman"/>
          <w:color w:val="auto"/>
        </w:rPr>
        <w:t xml:space="preserve">      </w:t>
      </w:r>
      <w:r w:rsidR="007E2039" w:rsidRPr="00DE12A3">
        <w:rPr>
          <w:rFonts w:cs="Times New Roman"/>
          <w:color w:val="auto"/>
        </w:rPr>
        <w:t xml:space="preserve">Partikül </w:t>
      </w:r>
      <w:r w:rsidR="00242DA0" w:rsidRPr="00DE12A3">
        <w:rPr>
          <w:rFonts w:cs="Times New Roman"/>
          <w:color w:val="auto"/>
        </w:rPr>
        <w:t>emisyonunun hesaplanması</w:t>
      </w:r>
      <w:bookmarkEnd w:id="27"/>
    </w:p>
    <w:p w14:paraId="00EE7604" w14:textId="5B27E08A" w:rsidR="002D7B36" w:rsidRPr="00DE12A3" w:rsidRDefault="00C82C1B" w:rsidP="00E20716">
      <w:pPr>
        <w:numPr>
          <w:ilvl w:val="2"/>
          <w:numId w:val="394"/>
        </w:numPr>
        <w:spacing w:before="120" w:after="120"/>
        <w:ind w:left="1134" w:hanging="1134"/>
        <w:jc w:val="both"/>
        <w:rPr>
          <w:rFonts w:cs="Times New Roman"/>
          <w:color w:val="auto"/>
        </w:rPr>
      </w:pPr>
      <w:bookmarkStart w:id="28" w:name="_Hlk22748950"/>
      <w:r w:rsidRPr="00DE12A3">
        <w:rPr>
          <w:rFonts w:cs="Times New Roman"/>
          <w:color w:val="auto"/>
        </w:rPr>
        <w:t xml:space="preserve">      </w:t>
      </w:r>
      <w:r w:rsidR="00951351" w:rsidRPr="00DE12A3">
        <w:rPr>
          <w:rFonts w:cs="Times New Roman"/>
          <w:color w:val="auto"/>
        </w:rPr>
        <w:t xml:space="preserve">  </w:t>
      </w:r>
      <w:r w:rsidR="004D1FEF" w:rsidRPr="00DE12A3">
        <w:rPr>
          <w:rFonts w:cs="Times New Roman"/>
          <w:color w:val="auto"/>
        </w:rPr>
        <w:t>S</w:t>
      </w:r>
      <w:r w:rsidR="00951351" w:rsidRPr="00DE12A3">
        <w:rPr>
          <w:rFonts w:cs="Times New Roman"/>
          <w:color w:val="auto"/>
        </w:rPr>
        <w:t xml:space="preserve">üreksiz </w:t>
      </w:r>
      <w:r w:rsidR="00242DA0" w:rsidRPr="00DE12A3">
        <w:rPr>
          <w:rFonts w:cs="Times New Roman"/>
          <w:color w:val="auto"/>
        </w:rPr>
        <w:t xml:space="preserve">(NRTC ve LSI-NRTC) test </w:t>
      </w:r>
      <w:r w:rsidR="00F310B5" w:rsidRPr="00DE12A3">
        <w:rPr>
          <w:rFonts w:cs="Times New Roman"/>
          <w:color w:val="auto"/>
        </w:rPr>
        <w:t>çevrim</w:t>
      </w:r>
      <w:r w:rsidR="00242DA0" w:rsidRPr="00DE12A3">
        <w:rPr>
          <w:rFonts w:cs="Times New Roman"/>
          <w:color w:val="auto"/>
        </w:rPr>
        <w:t>leri ve RMC</w:t>
      </w:r>
      <w:bookmarkEnd w:id="28"/>
    </w:p>
    <w:p w14:paraId="573227A2" w14:textId="6A5707AA" w:rsidR="002D7B36" w:rsidRPr="00DE12A3" w:rsidRDefault="00C82C1B" w:rsidP="00C917D6">
      <w:pPr>
        <w:spacing w:before="120" w:after="120"/>
        <w:ind w:left="1134" w:hanging="1134"/>
        <w:jc w:val="both"/>
        <w:rPr>
          <w:rFonts w:cs="Times New Roman"/>
          <w:color w:val="auto"/>
        </w:rPr>
      </w:pPr>
      <w:r w:rsidRPr="00DE12A3">
        <w:rPr>
          <w:rFonts w:cs="Times New Roman"/>
          <w:color w:val="auto"/>
        </w:rPr>
        <w:t xml:space="preserve">                  </w:t>
      </w:r>
      <w:r w:rsidR="007E2039" w:rsidRPr="00DE12A3">
        <w:rPr>
          <w:rFonts w:cs="Times New Roman"/>
          <w:color w:val="auto"/>
        </w:rPr>
        <w:t xml:space="preserve">Partikül </w:t>
      </w:r>
      <w:r w:rsidR="00242DA0" w:rsidRPr="00DE12A3">
        <w:rPr>
          <w:rFonts w:cs="Times New Roman"/>
          <w:color w:val="auto"/>
        </w:rPr>
        <w:t xml:space="preserve">kütlesi, </w:t>
      </w:r>
      <w:r w:rsidR="007E2039" w:rsidRPr="00DE12A3">
        <w:rPr>
          <w:rFonts w:cs="Times New Roman"/>
          <w:color w:val="auto"/>
        </w:rPr>
        <w:t xml:space="preserve">partikül </w:t>
      </w:r>
      <w:r w:rsidR="00242DA0" w:rsidRPr="00DE12A3">
        <w:rPr>
          <w:rFonts w:cs="Times New Roman"/>
          <w:color w:val="auto"/>
        </w:rPr>
        <w:t xml:space="preserve">numune kütlesinin kaldırma kuvveti düzeltmesinden sonra </w:t>
      </w:r>
      <w:r w:rsidR="00FA0678" w:rsidRPr="00DE12A3">
        <w:rPr>
          <w:rFonts w:cs="Times New Roman"/>
          <w:color w:val="auto"/>
        </w:rPr>
        <w:t xml:space="preserve">VI’ncı </w:t>
      </w:r>
      <w:r w:rsidR="006743BC" w:rsidRPr="00DE12A3">
        <w:rPr>
          <w:rFonts w:cs="Times New Roman"/>
          <w:color w:val="auto"/>
        </w:rPr>
        <w:t>E</w:t>
      </w:r>
      <w:r w:rsidR="00FA0678" w:rsidRPr="00DE12A3">
        <w:rPr>
          <w:rFonts w:cs="Times New Roman"/>
          <w:color w:val="auto"/>
        </w:rPr>
        <w:t>k</w:t>
      </w:r>
      <w:r w:rsidR="00242DA0" w:rsidRPr="00DE12A3">
        <w:rPr>
          <w:rFonts w:cs="Times New Roman"/>
          <w:color w:val="auto"/>
        </w:rPr>
        <w:t>in 8.1.13.2.5 bendi uyarınca hesaplanmalıdır.</w:t>
      </w:r>
    </w:p>
    <w:p w14:paraId="3A2743D3" w14:textId="793CF57C" w:rsidR="002D7B36" w:rsidRPr="00DE12A3" w:rsidRDefault="00242DA0" w:rsidP="00C917D6">
      <w:pPr>
        <w:spacing w:before="120" w:after="120"/>
        <w:ind w:left="1134" w:hanging="1134"/>
        <w:jc w:val="both"/>
        <w:rPr>
          <w:rFonts w:cs="Times New Roman"/>
          <w:color w:val="auto"/>
        </w:rPr>
      </w:pPr>
      <w:bookmarkStart w:id="29" w:name="_Hlk22748969"/>
      <w:r w:rsidRPr="00DE12A3">
        <w:rPr>
          <w:rFonts w:cs="Times New Roman"/>
          <w:color w:val="auto"/>
        </w:rPr>
        <w:t xml:space="preserve">2.3.1.1.    </w:t>
      </w:r>
      <w:r w:rsidR="00C82C1B" w:rsidRPr="00DE12A3">
        <w:rPr>
          <w:rFonts w:cs="Times New Roman"/>
          <w:color w:val="auto"/>
        </w:rPr>
        <w:t xml:space="preserve"> </w:t>
      </w:r>
      <w:r w:rsidRPr="00DE12A3">
        <w:rPr>
          <w:rFonts w:cs="Times New Roman"/>
          <w:color w:val="auto"/>
        </w:rPr>
        <w:t xml:space="preserve"> </w:t>
      </w:r>
      <w:r w:rsidR="00C82C1B" w:rsidRPr="00DE12A3">
        <w:rPr>
          <w:rFonts w:cs="Times New Roman"/>
          <w:color w:val="auto"/>
        </w:rPr>
        <w:t xml:space="preserve"> </w:t>
      </w:r>
      <w:r w:rsidRPr="00DE12A3">
        <w:rPr>
          <w:rFonts w:cs="Times New Roman"/>
          <w:color w:val="auto"/>
        </w:rPr>
        <w:t>Kısmi akışlı seyreltme sistemi</w:t>
      </w:r>
      <w:bookmarkEnd w:id="29"/>
    </w:p>
    <w:p w14:paraId="0F61D005" w14:textId="2FFF5A1B" w:rsidR="002D7B36" w:rsidRPr="00DE12A3" w:rsidRDefault="00242DA0" w:rsidP="00C917D6">
      <w:pPr>
        <w:spacing w:before="120" w:after="120"/>
        <w:ind w:left="1134" w:hanging="1134"/>
        <w:jc w:val="both"/>
        <w:rPr>
          <w:rFonts w:cs="Times New Roman"/>
          <w:color w:val="auto"/>
        </w:rPr>
      </w:pPr>
      <w:bookmarkStart w:id="30" w:name="_Hlk22748979"/>
      <w:r w:rsidRPr="00DE12A3">
        <w:rPr>
          <w:rFonts w:cs="Times New Roman"/>
          <w:color w:val="auto"/>
        </w:rPr>
        <w:t xml:space="preserve">2.3.1.1.1 . </w:t>
      </w:r>
      <w:r w:rsidR="00C82C1B" w:rsidRPr="00DE12A3">
        <w:rPr>
          <w:rFonts w:cs="Times New Roman"/>
          <w:color w:val="auto"/>
        </w:rPr>
        <w:t xml:space="preserve">  </w:t>
      </w:r>
      <w:r w:rsidRPr="00DE12A3">
        <w:rPr>
          <w:rFonts w:cs="Times New Roman"/>
          <w:color w:val="auto"/>
        </w:rPr>
        <w:t>Numune oranı esasında hesaplama</w:t>
      </w:r>
      <w:bookmarkEnd w:id="30"/>
    </w:p>
    <w:p w14:paraId="3676058A" w14:textId="27CDE8DD" w:rsidR="002D7B36" w:rsidRPr="00DE12A3" w:rsidRDefault="00F310B5" w:rsidP="00C917D6">
      <w:pPr>
        <w:spacing w:before="120" w:after="120"/>
        <w:ind w:left="1134" w:firstLine="1"/>
        <w:jc w:val="both"/>
        <w:rPr>
          <w:rFonts w:cs="Times New Roman"/>
          <w:color w:val="auto"/>
        </w:rPr>
      </w:pPr>
      <w:bookmarkStart w:id="31" w:name="_Hlk22748993"/>
      <w:r w:rsidRPr="00DE12A3">
        <w:rPr>
          <w:rFonts w:cs="Times New Roman"/>
          <w:color w:val="auto"/>
        </w:rPr>
        <w:t>Çevrim</w:t>
      </w:r>
      <w:r w:rsidR="00242DA0" w:rsidRPr="00DE12A3">
        <w:rPr>
          <w:rFonts w:cs="Times New Roman"/>
          <w:color w:val="auto"/>
        </w:rPr>
        <w:t xml:space="preserve"> boyunca </w:t>
      </w:r>
      <w:r w:rsidR="007E2039" w:rsidRPr="00DE12A3">
        <w:rPr>
          <w:rFonts w:cs="Times New Roman"/>
          <w:color w:val="auto"/>
        </w:rPr>
        <w:t xml:space="preserve">partikül </w:t>
      </w:r>
      <w:r w:rsidR="00242DA0" w:rsidRPr="00DE12A3">
        <w:rPr>
          <w:rFonts w:cs="Times New Roman"/>
          <w:color w:val="auto"/>
        </w:rPr>
        <w:t>emisyonu m</w:t>
      </w:r>
      <w:r w:rsidR="00242DA0" w:rsidRPr="00DE12A3">
        <w:rPr>
          <w:rFonts w:cs="Times New Roman"/>
          <w:color w:val="auto"/>
          <w:vertAlign w:val="subscript"/>
        </w:rPr>
        <w:t>PM</w:t>
      </w:r>
      <w:r w:rsidR="00242DA0" w:rsidRPr="00DE12A3">
        <w:rPr>
          <w:rFonts w:cs="Times New Roman"/>
          <w:color w:val="auto"/>
        </w:rPr>
        <w:t xml:space="preserve"> [g], (7-42) </w:t>
      </w:r>
      <w:r w:rsidR="005E1C7E" w:rsidRPr="00DE12A3">
        <w:rPr>
          <w:color w:val="auto"/>
        </w:rPr>
        <w:t>numaralı</w:t>
      </w:r>
      <w:r w:rsidR="005E1C7E" w:rsidRPr="00DE12A3" w:rsidDel="005E1C7E">
        <w:rPr>
          <w:rFonts w:cs="Times New Roman"/>
          <w:color w:val="auto"/>
        </w:rPr>
        <w:t xml:space="preserve"> </w:t>
      </w:r>
      <w:r w:rsidR="00242DA0" w:rsidRPr="00DE12A3">
        <w:rPr>
          <w:rFonts w:cs="Times New Roman"/>
          <w:color w:val="auto"/>
        </w:rPr>
        <w:t>denklem ile hesaplanmalıdır</w:t>
      </w:r>
      <w:bookmarkEnd w:id="31"/>
      <w:r w:rsidR="00242DA0" w:rsidRPr="00DE12A3">
        <w:rPr>
          <w:rFonts w:cs="Times New Roman"/>
          <w:color w:val="auto"/>
        </w:rPr>
        <w:t>:</w:t>
      </w:r>
    </w:p>
    <w:p w14:paraId="68BF6209" w14:textId="46D43AEF" w:rsidR="002D7B36" w:rsidRPr="00DE12A3" w:rsidRDefault="00242DA0" w:rsidP="00C917D6">
      <w:pPr>
        <w:widowControl/>
        <w:spacing w:before="120" w:after="120"/>
        <w:ind w:leftChars="300" w:left="1854" w:rightChars="80" w:right="192" w:hanging="1134"/>
        <w:jc w:val="both"/>
        <w:rPr>
          <w:rFonts w:cs="Times New Roman"/>
          <w:color w:val="auto"/>
        </w:rPr>
      </w:pPr>
      <w:r w:rsidRPr="00DE12A3">
        <w:rPr>
          <w:rFonts w:cs="Times New Roman"/>
          <w:noProof/>
          <w:color w:val="auto"/>
        </w:rPr>
        <w:drawing>
          <wp:inline distT="0" distB="0" distL="114300" distR="114300" wp14:anchorId="4CFE412A" wp14:editId="0A523002">
            <wp:extent cx="5281246" cy="390525"/>
            <wp:effectExtent l="0" t="0" r="0" b="0"/>
            <wp:docPr id="102"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Picture 16"/>
                    <pic:cNvPicPr>
                      <a:picLocks noChangeAspect="1"/>
                    </pic:cNvPicPr>
                  </pic:nvPicPr>
                  <pic:blipFill>
                    <a:blip r:embed="rId103"/>
                    <a:stretch>
                      <a:fillRect/>
                    </a:stretch>
                  </pic:blipFill>
                  <pic:spPr>
                    <a:xfrm>
                      <a:off x="0" y="0"/>
                      <a:ext cx="5307572" cy="392472"/>
                    </a:xfrm>
                    <a:prstGeom prst="rect">
                      <a:avLst/>
                    </a:prstGeom>
                    <a:noFill/>
                    <a:ln>
                      <a:noFill/>
                    </a:ln>
                  </pic:spPr>
                </pic:pic>
              </a:graphicData>
            </a:graphic>
          </wp:inline>
        </w:drawing>
      </w:r>
    </w:p>
    <w:p w14:paraId="1120EA7C" w14:textId="77777777" w:rsidR="002D7B36" w:rsidRPr="00DE12A3" w:rsidRDefault="00C82C1B" w:rsidP="00C917D6">
      <w:pPr>
        <w:spacing w:before="120" w:after="120"/>
        <w:ind w:left="1134"/>
        <w:jc w:val="both"/>
        <w:rPr>
          <w:rFonts w:cs="Times New Roman"/>
          <w:color w:val="auto"/>
        </w:rPr>
      </w:pPr>
      <w:r w:rsidRPr="00DE12A3">
        <w:rPr>
          <w:rFonts w:cs="Times New Roman"/>
          <w:color w:val="auto"/>
        </w:rPr>
        <w:t>B</w:t>
      </w:r>
      <w:r w:rsidR="00242DA0" w:rsidRPr="00DE12A3">
        <w:rPr>
          <w:rFonts w:cs="Times New Roman"/>
          <w:color w:val="auto"/>
        </w:rPr>
        <w:t>urada:</w:t>
      </w:r>
    </w:p>
    <w:p w14:paraId="36D04A26" w14:textId="77777777" w:rsidR="002D7B36" w:rsidRPr="00DE12A3" w:rsidRDefault="00242DA0" w:rsidP="00C917D6">
      <w:pPr>
        <w:spacing w:before="120" w:after="120"/>
        <w:ind w:left="1134"/>
        <w:jc w:val="both"/>
        <w:rPr>
          <w:rFonts w:cs="Times New Roman"/>
          <w:color w:val="auto"/>
        </w:rPr>
      </w:pPr>
      <w:r w:rsidRPr="00DE12A3">
        <w:rPr>
          <w:rFonts w:cs="Times New Roman"/>
          <w:color w:val="auto"/>
        </w:rPr>
        <w:t>m</w:t>
      </w:r>
      <w:r w:rsidRPr="00DE12A3">
        <w:rPr>
          <w:rFonts w:cs="Times New Roman"/>
          <w:color w:val="auto"/>
          <w:vertAlign w:val="subscript"/>
        </w:rPr>
        <w:t>f</w:t>
      </w:r>
      <w:r w:rsidRPr="00DE12A3">
        <w:rPr>
          <w:rFonts w:cs="Times New Roman"/>
          <w:color w:val="auto"/>
        </w:rPr>
        <w:t xml:space="preserve"> = </w:t>
      </w:r>
      <w:r w:rsidR="00F310B5" w:rsidRPr="00DE12A3">
        <w:rPr>
          <w:rFonts w:cs="Times New Roman"/>
          <w:color w:val="auto"/>
        </w:rPr>
        <w:t>çevrim</w:t>
      </w:r>
      <w:r w:rsidRPr="00DE12A3">
        <w:rPr>
          <w:rFonts w:cs="Times New Roman"/>
          <w:color w:val="auto"/>
        </w:rPr>
        <w:t xml:space="preserve"> boyunca örneklenen </w:t>
      </w:r>
      <w:r w:rsidR="007E2039" w:rsidRPr="00DE12A3">
        <w:rPr>
          <w:rFonts w:cs="Times New Roman"/>
          <w:color w:val="auto"/>
        </w:rPr>
        <w:t xml:space="preserve">partikül </w:t>
      </w:r>
      <w:r w:rsidRPr="00DE12A3">
        <w:rPr>
          <w:rFonts w:cs="Times New Roman"/>
          <w:color w:val="auto"/>
        </w:rPr>
        <w:t>kütlesi [mg]</w:t>
      </w:r>
    </w:p>
    <w:p w14:paraId="6FB968FF" w14:textId="77777777" w:rsidR="002D7B36" w:rsidRPr="00DE12A3" w:rsidRDefault="00242DA0" w:rsidP="00C917D6">
      <w:pPr>
        <w:widowControl/>
        <w:spacing w:before="120" w:after="120"/>
        <w:ind w:left="1134" w:rightChars="80" w:right="192"/>
        <w:jc w:val="both"/>
        <w:rPr>
          <w:rFonts w:cs="Times New Roman"/>
          <w:color w:val="auto"/>
        </w:rPr>
      </w:pPr>
      <w:r w:rsidRPr="00DE12A3">
        <w:rPr>
          <w:rStyle w:val="Gvdemetni254pttalik0ptbolukbraklyor"/>
          <w:rFonts w:eastAsia="Courier New"/>
          <w:color w:val="auto"/>
          <w:sz w:val="24"/>
          <w:szCs w:val="24"/>
        </w:rPr>
        <w:t>r</w:t>
      </w:r>
      <w:r w:rsidRPr="00DE12A3">
        <w:rPr>
          <w:rStyle w:val="Gvdemetni254pttalik0ptbolukbraklyor"/>
          <w:rFonts w:eastAsia="Courier New"/>
          <w:color w:val="auto"/>
          <w:sz w:val="24"/>
          <w:szCs w:val="24"/>
          <w:vertAlign w:val="subscript"/>
        </w:rPr>
        <w:t>s</w:t>
      </w:r>
      <w:r w:rsidRPr="00DE12A3">
        <w:rPr>
          <w:rFonts w:cs="Times New Roman"/>
          <w:color w:val="auto"/>
        </w:rPr>
        <w:t xml:space="preserve"> = test </w:t>
      </w:r>
      <w:r w:rsidR="00F310B5" w:rsidRPr="00DE12A3">
        <w:rPr>
          <w:rFonts w:cs="Times New Roman"/>
          <w:color w:val="auto"/>
        </w:rPr>
        <w:t>çevrimi</w:t>
      </w:r>
      <w:r w:rsidRPr="00DE12A3">
        <w:rPr>
          <w:rFonts w:cs="Times New Roman"/>
          <w:color w:val="auto"/>
        </w:rPr>
        <w:t xml:space="preserve"> boyunca ortalama numune</w:t>
      </w:r>
    </w:p>
    <w:p w14:paraId="36FDECA2" w14:textId="77777777" w:rsidR="002D7B36" w:rsidRPr="00DE12A3" w:rsidRDefault="00242DA0" w:rsidP="00C917D6">
      <w:pPr>
        <w:widowControl/>
        <w:spacing w:before="120" w:after="120"/>
        <w:ind w:left="1134" w:rightChars="80" w:right="192"/>
        <w:jc w:val="both"/>
        <w:rPr>
          <w:rFonts w:cs="Times New Roman"/>
          <w:color w:val="auto"/>
          <w:lang w:eastAsia="en-US"/>
        </w:rPr>
      </w:pPr>
      <w:r w:rsidRPr="00DE12A3">
        <w:rPr>
          <w:rFonts w:cs="Times New Roman"/>
          <w:color w:val="auto"/>
          <w:lang w:eastAsia="en-US"/>
        </w:rPr>
        <w:t>ve</w:t>
      </w:r>
    </w:p>
    <w:p w14:paraId="466BCF34" w14:textId="3A703BAE" w:rsidR="002D7B36" w:rsidRPr="00DE12A3" w:rsidRDefault="00242DA0" w:rsidP="00C917D6">
      <w:pPr>
        <w:spacing w:before="120" w:after="120"/>
        <w:ind w:left="1134" w:hanging="1134"/>
        <w:jc w:val="center"/>
        <w:rPr>
          <w:rFonts w:cs="Times New Roman"/>
          <w:color w:val="auto"/>
        </w:rPr>
      </w:pPr>
      <w:r w:rsidRPr="00DE12A3">
        <w:rPr>
          <w:rFonts w:cs="Times New Roman"/>
          <w:noProof/>
          <w:color w:val="auto"/>
        </w:rPr>
        <w:drawing>
          <wp:inline distT="0" distB="0" distL="0" distR="0" wp14:anchorId="6F2A0162" wp14:editId="0E088470">
            <wp:extent cx="4732782" cy="629285"/>
            <wp:effectExtent l="0" t="0" r="0" b="0"/>
            <wp:docPr id="106" name="Resim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Resim 106"/>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a:xfrm>
                      <a:off x="0" y="0"/>
                      <a:ext cx="4748058" cy="631316"/>
                    </a:xfrm>
                    <a:prstGeom prst="rect">
                      <a:avLst/>
                    </a:prstGeom>
                    <a:noFill/>
                    <a:ln>
                      <a:noFill/>
                    </a:ln>
                  </pic:spPr>
                </pic:pic>
              </a:graphicData>
            </a:graphic>
          </wp:inline>
        </w:drawing>
      </w:r>
    </w:p>
    <w:p w14:paraId="30F8DB41" w14:textId="77777777" w:rsidR="002D7B36" w:rsidRPr="00DE12A3" w:rsidRDefault="00242DA0" w:rsidP="00C917D6">
      <w:pPr>
        <w:spacing w:before="120" w:after="120"/>
        <w:ind w:left="1134"/>
        <w:jc w:val="both"/>
        <w:rPr>
          <w:rFonts w:cs="Times New Roman"/>
          <w:color w:val="auto"/>
        </w:rPr>
      </w:pPr>
      <w:r w:rsidRPr="00DE12A3">
        <w:rPr>
          <w:rFonts w:cs="Times New Roman"/>
          <w:color w:val="auto"/>
        </w:rPr>
        <w:t>Burada:</w:t>
      </w:r>
    </w:p>
    <w:p w14:paraId="56000C87" w14:textId="77777777" w:rsidR="002D7B36" w:rsidRPr="00DE12A3" w:rsidRDefault="00242DA0" w:rsidP="00C917D6">
      <w:pPr>
        <w:spacing w:before="120" w:after="120"/>
        <w:ind w:left="1134"/>
        <w:jc w:val="both"/>
        <w:rPr>
          <w:rFonts w:cs="Times New Roman"/>
          <w:color w:val="auto"/>
        </w:rPr>
      </w:pPr>
      <w:r w:rsidRPr="00DE12A3">
        <w:rPr>
          <w:rFonts w:cs="Times New Roman"/>
          <w:i/>
          <w:iCs/>
          <w:color w:val="auto"/>
        </w:rPr>
        <w:t>m</w:t>
      </w:r>
      <w:r w:rsidRPr="00DE12A3">
        <w:rPr>
          <w:rFonts w:cs="Times New Roman"/>
          <w:color w:val="auto"/>
          <w:vertAlign w:val="subscript"/>
        </w:rPr>
        <w:t>se</w:t>
      </w:r>
      <w:r w:rsidRPr="00DE12A3">
        <w:rPr>
          <w:rFonts w:cs="Times New Roman"/>
          <w:color w:val="auto"/>
        </w:rPr>
        <w:t xml:space="preserve"> = </w:t>
      </w:r>
      <w:r w:rsidR="00F310B5" w:rsidRPr="00DE12A3">
        <w:rPr>
          <w:rFonts w:cs="Times New Roman"/>
          <w:color w:val="auto"/>
        </w:rPr>
        <w:t>çevrim</w:t>
      </w:r>
      <w:r w:rsidRPr="00DE12A3">
        <w:rPr>
          <w:rFonts w:cs="Times New Roman"/>
          <w:color w:val="auto"/>
        </w:rPr>
        <w:t xml:space="preserve"> boyunca ham egzoz gazı numune kütlesi [kg]</w:t>
      </w:r>
    </w:p>
    <w:p w14:paraId="5AED6E8F" w14:textId="77777777" w:rsidR="002D7B36" w:rsidRPr="00DE12A3" w:rsidRDefault="00242DA0" w:rsidP="00C917D6">
      <w:pPr>
        <w:spacing w:before="120" w:after="120"/>
        <w:ind w:left="1134"/>
        <w:jc w:val="both"/>
        <w:rPr>
          <w:rFonts w:cs="Times New Roman"/>
          <w:color w:val="auto"/>
        </w:rPr>
      </w:pPr>
      <w:r w:rsidRPr="00DE12A3">
        <w:rPr>
          <w:rFonts w:cs="Times New Roman"/>
          <w:i/>
          <w:iCs/>
          <w:color w:val="auto"/>
        </w:rPr>
        <w:t>m</w:t>
      </w:r>
      <w:r w:rsidRPr="00DE12A3">
        <w:rPr>
          <w:rFonts w:cs="Times New Roman"/>
          <w:color w:val="auto"/>
          <w:vertAlign w:val="subscript"/>
        </w:rPr>
        <w:t>ew</w:t>
      </w:r>
      <w:r w:rsidRPr="00DE12A3">
        <w:rPr>
          <w:rFonts w:cs="Times New Roman"/>
          <w:color w:val="auto"/>
        </w:rPr>
        <w:t xml:space="preserve"> = </w:t>
      </w:r>
      <w:r w:rsidR="00F310B5" w:rsidRPr="00DE12A3">
        <w:rPr>
          <w:rFonts w:cs="Times New Roman"/>
          <w:color w:val="auto"/>
        </w:rPr>
        <w:t>çevrim</w:t>
      </w:r>
      <w:r w:rsidRPr="00DE12A3">
        <w:rPr>
          <w:rFonts w:cs="Times New Roman"/>
          <w:color w:val="auto"/>
        </w:rPr>
        <w:t xml:space="preserve"> boyunca toplam ham egzoz gazı kütlesi [kg]</w:t>
      </w:r>
    </w:p>
    <w:p w14:paraId="61B743C8" w14:textId="77777777" w:rsidR="002D7B36" w:rsidRPr="00DE12A3" w:rsidRDefault="00242DA0" w:rsidP="00C917D6">
      <w:pPr>
        <w:spacing w:before="120" w:after="120"/>
        <w:ind w:left="1134"/>
        <w:jc w:val="both"/>
        <w:rPr>
          <w:rFonts w:cs="Times New Roman"/>
          <w:color w:val="auto"/>
        </w:rPr>
      </w:pPr>
      <w:r w:rsidRPr="00DE12A3">
        <w:rPr>
          <w:rFonts w:cs="Times New Roman"/>
          <w:i/>
          <w:iCs/>
          <w:color w:val="auto"/>
        </w:rPr>
        <w:t>m</w:t>
      </w:r>
      <w:r w:rsidRPr="00DE12A3">
        <w:rPr>
          <w:rFonts w:cs="Times New Roman"/>
          <w:color w:val="auto"/>
          <w:vertAlign w:val="subscript"/>
        </w:rPr>
        <w:t>sep</w:t>
      </w:r>
      <w:r w:rsidRPr="00DE12A3">
        <w:rPr>
          <w:rFonts w:cs="Times New Roman"/>
          <w:color w:val="auto"/>
        </w:rPr>
        <w:t xml:space="preserve"> = </w:t>
      </w:r>
      <w:r w:rsidR="007E2039" w:rsidRPr="00DE12A3">
        <w:rPr>
          <w:rFonts w:cs="Times New Roman"/>
          <w:color w:val="auto"/>
        </w:rPr>
        <w:t xml:space="preserve">partikül </w:t>
      </w:r>
      <w:r w:rsidRPr="00DE12A3">
        <w:rPr>
          <w:rFonts w:cs="Times New Roman"/>
          <w:color w:val="auto"/>
        </w:rPr>
        <w:t>toplama filtrelerinden geçen seyreltilmiş egzoz gazı kütlesi [kg]</w:t>
      </w:r>
    </w:p>
    <w:p w14:paraId="4EB035B5" w14:textId="77777777" w:rsidR="002D7B36" w:rsidRPr="00DE12A3" w:rsidRDefault="00242DA0" w:rsidP="00C917D6">
      <w:pPr>
        <w:spacing w:before="120" w:after="120"/>
        <w:ind w:left="1134"/>
        <w:jc w:val="both"/>
        <w:rPr>
          <w:rFonts w:cs="Times New Roman"/>
          <w:color w:val="auto"/>
        </w:rPr>
      </w:pPr>
      <w:r w:rsidRPr="00DE12A3">
        <w:rPr>
          <w:rFonts w:cs="Times New Roman"/>
          <w:i/>
          <w:iCs/>
          <w:color w:val="auto"/>
        </w:rPr>
        <w:t>m</w:t>
      </w:r>
      <w:r w:rsidRPr="00DE12A3">
        <w:rPr>
          <w:rFonts w:cs="Times New Roman"/>
          <w:color w:val="auto"/>
          <w:vertAlign w:val="subscript"/>
        </w:rPr>
        <w:t>sed</w:t>
      </w:r>
      <w:r w:rsidRPr="00DE12A3">
        <w:rPr>
          <w:rFonts w:cs="Times New Roman"/>
          <w:color w:val="auto"/>
        </w:rPr>
        <w:t xml:space="preserve"> = seyreltme tünelinden geçen</w:t>
      </w:r>
    </w:p>
    <w:p w14:paraId="590949BA" w14:textId="77777777" w:rsidR="002D7B36" w:rsidRPr="00DE12A3" w:rsidRDefault="002D7B36" w:rsidP="00C917D6">
      <w:pPr>
        <w:spacing w:before="120" w:after="120"/>
        <w:ind w:left="1134" w:hanging="1134"/>
        <w:jc w:val="both"/>
        <w:rPr>
          <w:rFonts w:cs="Times New Roman"/>
          <w:color w:val="auto"/>
        </w:rPr>
      </w:pPr>
    </w:p>
    <w:p w14:paraId="545E50C4" w14:textId="77777777" w:rsidR="002D7B36" w:rsidRPr="00DE12A3" w:rsidRDefault="00242DA0" w:rsidP="00E20716">
      <w:pPr>
        <w:pStyle w:val="ListeParagraf"/>
        <w:numPr>
          <w:ilvl w:val="4"/>
          <w:numId w:val="404"/>
        </w:numPr>
        <w:tabs>
          <w:tab w:val="left" w:pos="567"/>
          <w:tab w:val="left" w:pos="993"/>
        </w:tabs>
        <w:spacing w:before="120" w:after="120"/>
        <w:ind w:left="1134" w:hanging="1134"/>
        <w:jc w:val="both"/>
        <w:rPr>
          <w:rFonts w:cs="Times New Roman"/>
          <w:color w:val="auto"/>
        </w:rPr>
      </w:pPr>
      <w:r w:rsidRPr="00DE12A3">
        <w:rPr>
          <w:rFonts w:cs="Times New Roman"/>
          <w:color w:val="auto"/>
        </w:rPr>
        <w:t>Seyreltilmiş egzoz gazı kütlesi [kg]</w:t>
      </w:r>
    </w:p>
    <w:p w14:paraId="414D5422" w14:textId="77777777" w:rsidR="002D7B36" w:rsidRPr="00DE12A3" w:rsidRDefault="00C82C1B" w:rsidP="00C917D6">
      <w:pPr>
        <w:spacing w:before="120" w:after="120"/>
        <w:ind w:left="1134" w:hanging="1134"/>
        <w:jc w:val="both"/>
        <w:rPr>
          <w:rFonts w:cs="Times New Roman"/>
          <w:color w:val="auto"/>
        </w:rPr>
      </w:pPr>
      <w:r w:rsidRPr="00DE12A3">
        <w:rPr>
          <w:rFonts w:cs="Times New Roman"/>
          <w:color w:val="auto"/>
        </w:rPr>
        <w:t xml:space="preserve">                </w:t>
      </w:r>
      <w:r w:rsidR="00242DA0" w:rsidRPr="00DE12A3">
        <w:rPr>
          <w:rFonts w:cs="Times New Roman"/>
          <w:color w:val="auto"/>
        </w:rPr>
        <w:t>Toplu örnekleme tipi sistem durumunda, m</w:t>
      </w:r>
      <w:r w:rsidR="00242DA0" w:rsidRPr="00DE12A3">
        <w:rPr>
          <w:rFonts w:cs="Times New Roman"/>
          <w:color w:val="auto"/>
          <w:vertAlign w:val="subscript"/>
        </w:rPr>
        <w:t xml:space="preserve">sep </w:t>
      </w:r>
      <w:r w:rsidR="00242DA0" w:rsidRPr="00DE12A3">
        <w:rPr>
          <w:rFonts w:cs="Times New Roman"/>
          <w:color w:val="auto"/>
        </w:rPr>
        <w:t>ve msed aynıdır.</w:t>
      </w:r>
    </w:p>
    <w:p w14:paraId="215A3D55" w14:textId="373E6245" w:rsidR="002D7B36" w:rsidRPr="00DE12A3" w:rsidRDefault="00242DA0" w:rsidP="00C917D6">
      <w:pPr>
        <w:spacing w:before="120" w:after="120"/>
        <w:ind w:left="1134" w:hanging="1134"/>
        <w:jc w:val="center"/>
        <w:rPr>
          <w:rFonts w:cs="Times New Roman"/>
          <w:color w:val="auto"/>
        </w:rPr>
      </w:pPr>
      <w:r w:rsidRPr="00DE12A3">
        <w:rPr>
          <w:rFonts w:cs="Times New Roman"/>
          <w:noProof/>
          <w:color w:val="auto"/>
        </w:rPr>
        <w:drawing>
          <wp:inline distT="0" distB="0" distL="0" distR="0" wp14:anchorId="18B2BAC2" wp14:editId="77CD69A4">
            <wp:extent cx="4153261" cy="494030"/>
            <wp:effectExtent l="0" t="0" r="0" b="1270"/>
            <wp:docPr id="103" name="Resim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Resim 103"/>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a:xfrm>
                      <a:off x="0" y="0"/>
                      <a:ext cx="4295060" cy="510897"/>
                    </a:xfrm>
                    <a:prstGeom prst="rect">
                      <a:avLst/>
                    </a:prstGeom>
                    <a:noFill/>
                    <a:ln>
                      <a:noFill/>
                    </a:ln>
                  </pic:spPr>
                </pic:pic>
              </a:graphicData>
            </a:graphic>
          </wp:inline>
        </w:drawing>
      </w:r>
    </w:p>
    <w:p w14:paraId="0CACE04B" w14:textId="77777777" w:rsidR="002D7B36" w:rsidRPr="00DE12A3" w:rsidRDefault="00242DA0" w:rsidP="00C917D6">
      <w:pPr>
        <w:spacing w:before="120" w:after="120"/>
        <w:ind w:left="1134"/>
        <w:jc w:val="both"/>
        <w:rPr>
          <w:rFonts w:cs="Times New Roman"/>
          <w:color w:val="auto"/>
        </w:rPr>
      </w:pPr>
      <w:r w:rsidRPr="00DE12A3">
        <w:rPr>
          <w:rFonts w:cs="Times New Roman"/>
          <w:color w:val="auto"/>
        </w:rPr>
        <w:t>Burada:</w:t>
      </w:r>
    </w:p>
    <w:p w14:paraId="5F255657" w14:textId="77777777" w:rsidR="002D7B36" w:rsidRPr="00DE12A3" w:rsidRDefault="00242DA0" w:rsidP="00C917D6">
      <w:pPr>
        <w:spacing w:before="120" w:after="120"/>
        <w:ind w:left="1134"/>
        <w:jc w:val="both"/>
        <w:rPr>
          <w:rFonts w:cs="Times New Roman"/>
          <w:color w:val="auto"/>
        </w:rPr>
      </w:pPr>
      <w:r w:rsidRPr="00DE12A3">
        <w:rPr>
          <w:rFonts w:cs="Times New Roman"/>
          <w:color w:val="auto"/>
        </w:rPr>
        <w:t>m</w:t>
      </w:r>
      <w:r w:rsidRPr="00DE12A3">
        <w:rPr>
          <w:rFonts w:cs="Times New Roman"/>
          <w:color w:val="auto"/>
          <w:vertAlign w:val="subscript"/>
        </w:rPr>
        <w:t>f</w:t>
      </w:r>
      <w:r w:rsidRPr="00DE12A3">
        <w:rPr>
          <w:rFonts w:cs="Times New Roman"/>
          <w:color w:val="auto"/>
        </w:rPr>
        <w:t xml:space="preserve"> = </w:t>
      </w:r>
      <w:r w:rsidR="00F310B5" w:rsidRPr="00DE12A3">
        <w:rPr>
          <w:rFonts w:cs="Times New Roman"/>
          <w:color w:val="auto"/>
        </w:rPr>
        <w:t>çevrim</w:t>
      </w:r>
      <w:r w:rsidRPr="00DE12A3">
        <w:rPr>
          <w:rFonts w:cs="Times New Roman"/>
          <w:color w:val="auto"/>
        </w:rPr>
        <w:t xml:space="preserve"> boyunca örneklenen </w:t>
      </w:r>
      <w:r w:rsidR="007E2039" w:rsidRPr="00DE12A3">
        <w:rPr>
          <w:rFonts w:cs="Times New Roman"/>
          <w:color w:val="auto"/>
        </w:rPr>
        <w:t xml:space="preserve">partikül </w:t>
      </w:r>
      <w:r w:rsidRPr="00DE12A3">
        <w:rPr>
          <w:rFonts w:cs="Times New Roman"/>
          <w:color w:val="auto"/>
        </w:rPr>
        <w:t>kütlesi [mg]</w:t>
      </w:r>
    </w:p>
    <w:p w14:paraId="366E312E" w14:textId="77777777" w:rsidR="002D7B36" w:rsidRPr="00DE12A3" w:rsidRDefault="00242DA0" w:rsidP="00C917D6">
      <w:pPr>
        <w:spacing w:before="120" w:after="120"/>
        <w:ind w:left="1134"/>
        <w:jc w:val="both"/>
        <w:rPr>
          <w:rFonts w:cs="Times New Roman"/>
          <w:color w:val="auto"/>
        </w:rPr>
      </w:pPr>
      <w:r w:rsidRPr="00DE12A3">
        <w:rPr>
          <w:rFonts w:cs="Times New Roman"/>
          <w:color w:val="auto"/>
        </w:rPr>
        <w:t>m</w:t>
      </w:r>
      <w:r w:rsidRPr="00DE12A3">
        <w:rPr>
          <w:rFonts w:cs="Times New Roman"/>
          <w:color w:val="auto"/>
          <w:vertAlign w:val="subscript"/>
        </w:rPr>
        <w:t>sep</w:t>
      </w:r>
      <w:r w:rsidRPr="00DE12A3">
        <w:rPr>
          <w:rFonts w:cs="Times New Roman"/>
          <w:color w:val="auto"/>
        </w:rPr>
        <w:t xml:space="preserve"> = </w:t>
      </w:r>
      <w:r w:rsidR="007E2039" w:rsidRPr="00DE12A3">
        <w:rPr>
          <w:rFonts w:cs="Times New Roman"/>
          <w:color w:val="auto"/>
        </w:rPr>
        <w:t xml:space="preserve">partikül </w:t>
      </w:r>
      <w:r w:rsidRPr="00DE12A3">
        <w:rPr>
          <w:rFonts w:cs="Times New Roman"/>
          <w:color w:val="auto"/>
        </w:rPr>
        <w:t>toplama filtrelerinden geçen seyreltilmiş egzoz gazı kütlesi [kg]</w:t>
      </w:r>
    </w:p>
    <w:p w14:paraId="3C6188EE" w14:textId="77777777" w:rsidR="002D7B36" w:rsidRPr="00DE12A3" w:rsidRDefault="00242DA0" w:rsidP="00C917D6">
      <w:pPr>
        <w:spacing w:before="120" w:after="120"/>
        <w:ind w:left="1134"/>
        <w:jc w:val="both"/>
        <w:rPr>
          <w:rFonts w:cs="Times New Roman"/>
          <w:color w:val="auto"/>
        </w:rPr>
      </w:pPr>
      <w:r w:rsidRPr="00DE12A3">
        <w:rPr>
          <w:rFonts w:cs="Times New Roman"/>
          <w:color w:val="auto"/>
        </w:rPr>
        <w:t>m</w:t>
      </w:r>
      <w:r w:rsidRPr="00DE12A3">
        <w:rPr>
          <w:rFonts w:cs="Times New Roman"/>
          <w:color w:val="auto"/>
          <w:vertAlign w:val="subscript"/>
        </w:rPr>
        <w:t>edf</w:t>
      </w:r>
      <w:r w:rsidRPr="00DE12A3">
        <w:rPr>
          <w:rFonts w:cs="Times New Roman"/>
          <w:color w:val="auto"/>
        </w:rPr>
        <w:t xml:space="preserve"> = </w:t>
      </w:r>
      <w:r w:rsidR="00F310B5" w:rsidRPr="00DE12A3">
        <w:rPr>
          <w:rFonts w:cs="Times New Roman"/>
          <w:color w:val="auto"/>
        </w:rPr>
        <w:t>çevrim</w:t>
      </w:r>
      <w:r w:rsidRPr="00DE12A3">
        <w:rPr>
          <w:rFonts w:cs="Times New Roman"/>
          <w:color w:val="auto"/>
        </w:rPr>
        <w:t xml:space="preserve"> boyunca denk seyreltilmiş egzoz gazı kütlesi [kg]</w:t>
      </w:r>
    </w:p>
    <w:p w14:paraId="04CED66D" w14:textId="0959F32B" w:rsidR="002D7B36" w:rsidRPr="00DE12A3" w:rsidRDefault="00F310B5" w:rsidP="00C917D6">
      <w:pPr>
        <w:spacing w:before="120" w:after="120"/>
        <w:ind w:left="1134"/>
        <w:jc w:val="both"/>
        <w:rPr>
          <w:rFonts w:cs="Times New Roman"/>
          <w:color w:val="auto"/>
        </w:rPr>
      </w:pPr>
      <w:r w:rsidRPr="00DE12A3">
        <w:rPr>
          <w:rFonts w:cs="Times New Roman"/>
          <w:color w:val="auto"/>
        </w:rPr>
        <w:t>Çevrim</w:t>
      </w:r>
      <w:r w:rsidR="00242DA0" w:rsidRPr="00DE12A3">
        <w:rPr>
          <w:rFonts w:cs="Times New Roman"/>
          <w:color w:val="auto"/>
        </w:rPr>
        <w:t xml:space="preserve"> boyunca denk seyreltilmiş egzoz gazı kütlesinin toplam kütlesi </w:t>
      </w:r>
      <w:r w:rsidR="00242DA0" w:rsidRPr="00DE12A3">
        <w:rPr>
          <w:rFonts w:cs="Times New Roman"/>
          <w:i/>
          <w:iCs/>
          <w:color w:val="auto"/>
        </w:rPr>
        <w:t>m</w:t>
      </w:r>
      <w:r w:rsidR="00242DA0" w:rsidRPr="00DE12A3">
        <w:rPr>
          <w:rFonts w:cs="Times New Roman"/>
          <w:color w:val="auto"/>
          <w:vertAlign w:val="subscript"/>
        </w:rPr>
        <w:t>edf</w:t>
      </w:r>
      <w:r w:rsidR="00242DA0" w:rsidRPr="00DE12A3">
        <w:rPr>
          <w:rFonts w:cs="Times New Roman"/>
          <w:color w:val="auto"/>
        </w:rPr>
        <w:t xml:space="preserve"> [kg], (7-45) </w:t>
      </w:r>
      <w:r w:rsidR="005E1C7E" w:rsidRPr="00DE12A3">
        <w:rPr>
          <w:color w:val="auto"/>
        </w:rPr>
        <w:t>numaralı</w:t>
      </w:r>
      <w:r w:rsidR="005E1C7E" w:rsidRPr="00DE12A3" w:rsidDel="005E1C7E">
        <w:rPr>
          <w:rFonts w:cs="Times New Roman"/>
          <w:color w:val="auto"/>
        </w:rPr>
        <w:t xml:space="preserve"> </w:t>
      </w:r>
      <w:r w:rsidR="00242DA0" w:rsidRPr="00DE12A3">
        <w:rPr>
          <w:rFonts w:cs="Times New Roman"/>
          <w:color w:val="auto"/>
        </w:rPr>
        <w:t>denklem ile belirlenmelidir:</w:t>
      </w:r>
    </w:p>
    <w:p w14:paraId="66E32641" w14:textId="3906F666" w:rsidR="002D7B36" w:rsidRPr="00DE12A3" w:rsidRDefault="00242DA0" w:rsidP="00C917D6">
      <w:pPr>
        <w:spacing w:before="120" w:after="120"/>
        <w:ind w:left="1134" w:hanging="1134"/>
        <w:jc w:val="center"/>
        <w:rPr>
          <w:rFonts w:cs="Times New Roman"/>
          <w:color w:val="auto"/>
        </w:rPr>
      </w:pPr>
      <w:r w:rsidRPr="00DE12A3">
        <w:rPr>
          <w:rFonts w:cs="Times New Roman"/>
          <w:noProof/>
          <w:color w:val="auto"/>
        </w:rPr>
        <w:lastRenderedPageBreak/>
        <w:drawing>
          <wp:inline distT="0" distB="0" distL="0" distR="0" wp14:anchorId="4A9B194E" wp14:editId="1E5AB82F">
            <wp:extent cx="3340638" cy="649552"/>
            <wp:effectExtent l="0" t="0" r="0" b="0"/>
            <wp:docPr id="107" name="Resim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Resim 107"/>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a:xfrm>
                      <a:off x="0" y="0"/>
                      <a:ext cx="3409008" cy="662846"/>
                    </a:xfrm>
                    <a:prstGeom prst="rect">
                      <a:avLst/>
                    </a:prstGeom>
                    <a:noFill/>
                    <a:ln>
                      <a:noFill/>
                    </a:ln>
                  </pic:spPr>
                </pic:pic>
              </a:graphicData>
            </a:graphic>
          </wp:inline>
        </w:drawing>
      </w:r>
    </w:p>
    <w:p w14:paraId="27008CD1" w14:textId="5AD26248" w:rsidR="002D7B36" w:rsidRPr="00DE12A3" w:rsidRDefault="00242DA0" w:rsidP="00C917D6">
      <w:pPr>
        <w:spacing w:before="120" w:after="120"/>
        <w:ind w:left="1134" w:hanging="1134"/>
        <w:jc w:val="center"/>
        <w:rPr>
          <w:rFonts w:cs="Times New Roman"/>
          <w:color w:val="auto"/>
        </w:rPr>
      </w:pPr>
      <w:r w:rsidRPr="00DE12A3">
        <w:rPr>
          <w:rFonts w:cs="Times New Roman"/>
          <w:color w:val="auto"/>
        </w:rPr>
        <w:t>ve</w:t>
      </w:r>
    </w:p>
    <w:p w14:paraId="005C7EAB" w14:textId="4AE945FD" w:rsidR="002D7B36" w:rsidRPr="00DE12A3" w:rsidRDefault="00242DA0" w:rsidP="00C917D6">
      <w:pPr>
        <w:widowControl/>
        <w:spacing w:before="120" w:after="120"/>
        <w:ind w:left="1134" w:rightChars="80" w:right="192" w:hanging="1134"/>
        <w:jc w:val="center"/>
        <w:rPr>
          <w:rFonts w:cs="Times New Roman"/>
          <w:color w:val="auto"/>
          <w:lang w:eastAsia="en-US"/>
        </w:rPr>
      </w:pPr>
      <w:r w:rsidRPr="00DE12A3">
        <w:rPr>
          <w:rFonts w:cs="Times New Roman"/>
          <w:noProof/>
          <w:color w:val="auto"/>
        </w:rPr>
        <w:drawing>
          <wp:inline distT="0" distB="0" distL="0" distR="0" wp14:anchorId="51BE49A7" wp14:editId="1958A371">
            <wp:extent cx="3835840" cy="1323908"/>
            <wp:effectExtent l="0" t="0" r="0" b="0"/>
            <wp:docPr id="108" name="Resim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Resim 108"/>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a:xfrm>
                      <a:off x="0" y="0"/>
                      <a:ext cx="3861209" cy="1332664"/>
                    </a:xfrm>
                    <a:prstGeom prst="rect">
                      <a:avLst/>
                    </a:prstGeom>
                    <a:noFill/>
                    <a:ln>
                      <a:noFill/>
                    </a:ln>
                  </pic:spPr>
                </pic:pic>
              </a:graphicData>
            </a:graphic>
          </wp:inline>
        </w:drawing>
      </w:r>
    </w:p>
    <w:p w14:paraId="3B5D3BE3" w14:textId="77777777" w:rsidR="002D7B36" w:rsidRPr="00DE12A3" w:rsidRDefault="00242DA0" w:rsidP="00C917D6">
      <w:pPr>
        <w:pStyle w:val="Resimyazs70"/>
        <w:shd w:val="clear" w:color="auto" w:fill="auto"/>
        <w:spacing w:after="120" w:line="240" w:lineRule="auto"/>
        <w:ind w:left="1134"/>
        <w:rPr>
          <w:sz w:val="24"/>
          <w:szCs w:val="24"/>
        </w:rPr>
      </w:pPr>
      <w:r w:rsidRPr="00DE12A3">
        <w:rPr>
          <w:rStyle w:val="Resimyazs77pt0ptbolukbraklyor"/>
          <w:color w:val="auto"/>
          <w:sz w:val="24"/>
          <w:szCs w:val="24"/>
        </w:rPr>
        <w:t>Burada:</w:t>
      </w:r>
    </w:p>
    <w:p w14:paraId="02CF41EB" w14:textId="77777777" w:rsidR="002D7B36" w:rsidRPr="00DE12A3" w:rsidRDefault="00242DA0" w:rsidP="00C917D6">
      <w:pPr>
        <w:pStyle w:val="Resimyazs70"/>
        <w:shd w:val="clear" w:color="auto" w:fill="auto"/>
        <w:tabs>
          <w:tab w:val="left" w:pos="1276"/>
        </w:tabs>
        <w:spacing w:after="120" w:line="240" w:lineRule="auto"/>
        <w:ind w:left="1134"/>
        <w:rPr>
          <w:sz w:val="24"/>
          <w:szCs w:val="24"/>
        </w:rPr>
      </w:pPr>
      <w:r w:rsidRPr="00DE12A3">
        <w:rPr>
          <w:rStyle w:val="Resimyazs77pt0ptbolukbraklyor"/>
          <w:i/>
          <w:iCs/>
          <w:color w:val="auto"/>
          <w:sz w:val="24"/>
          <w:szCs w:val="24"/>
        </w:rPr>
        <w:t>q</w:t>
      </w:r>
      <w:r w:rsidRPr="00DE12A3">
        <w:rPr>
          <w:rStyle w:val="Resimyazs77pt0ptbolukbraklyor"/>
          <w:color w:val="auto"/>
          <w:sz w:val="24"/>
          <w:szCs w:val="24"/>
          <w:vertAlign w:val="subscript"/>
        </w:rPr>
        <w:t>medf,i</w:t>
      </w:r>
      <w:r w:rsidRPr="00DE12A3">
        <w:rPr>
          <w:rStyle w:val="Resimyazs77pt0ptbolukbraklyor"/>
          <w:color w:val="auto"/>
          <w:sz w:val="24"/>
          <w:szCs w:val="24"/>
          <w:vertAlign w:val="subscript"/>
        </w:rPr>
        <w:tab/>
      </w:r>
      <w:r w:rsidRPr="00DE12A3">
        <w:rPr>
          <w:rStyle w:val="Resimyazs77pt0ptbolukbraklyor"/>
          <w:color w:val="auto"/>
          <w:sz w:val="24"/>
          <w:szCs w:val="24"/>
        </w:rPr>
        <w:t>=anlık denk seyreltilmiş egzoz gazı kütle akış hızı [kg/s]</w:t>
      </w:r>
    </w:p>
    <w:p w14:paraId="64208EAA" w14:textId="77777777" w:rsidR="002D7B36" w:rsidRPr="00DE12A3" w:rsidRDefault="00242DA0" w:rsidP="00C917D6">
      <w:pPr>
        <w:pStyle w:val="Resimyazs70"/>
        <w:shd w:val="clear" w:color="auto" w:fill="auto"/>
        <w:tabs>
          <w:tab w:val="left" w:pos="1276"/>
        </w:tabs>
        <w:spacing w:after="120" w:line="240" w:lineRule="auto"/>
        <w:ind w:left="1134"/>
        <w:rPr>
          <w:sz w:val="24"/>
          <w:szCs w:val="24"/>
        </w:rPr>
      </w:pPr>
      <w:r w:rsidRPr="00DE12A3">
        <w:rPr>
          <w:rStyle w:val="Resimyazs74pttalik0ptbolukbraklyor9"/>
          <w:color w:val="auto"/>
          <w:sz w:val="24"/>
          <w:szCs w:val="24"/>
        </w:rPr>
        <w:t>q</w:t>
      </w:r>
      <w:r w:rsidRPr="00DE12A3">
        <w:rPr>
          <w:rStyle w:val="Resimyazs74pttalik0ptbolukbraklyor9"/>
          <w:color w:val="auto"/>
          <w:sz w:val="24"/>
          <w:szCs w:val="24"/>
          <w:vertAlign w:val="subscript"/>
        </w:rPr>
        <w:t>mew,i</w:t>
      </w:r>
      <w:r w:rsidRPr="00DE12A3">
        <w:rPr>
          <w:rStyle w:val="Resimyazs75pt0ptbolukbraklyor2"/>
          <w:color w:val="auto"/>
          <w:sz w:val="24"/>
          <w:szCs w:val="24"/>
        </w:rPr>
        <w:tab/>
      </w:r>
      <w:r w:rsidRPr="00DE12A3">
        <w:rPr>
          <w:rStyle w:val="Resimyazs77pt0ptbolukbraklyor"/>
          <w:color w:val="auto"/>
          <w:sz w:val="24"/>
          <w:szCs w:val="24"/>
        </w:rPr>
        <w:t>=yaş bazda anlık egzoz gazı kütle akış hızı [kg/s]</w:t>
      </w:r>
    </w:p>
    <w:p w14:paraId="500DF5BD" w14:textId="77777777" w:rsidR="002D7B36" w:rsidRPr="00DE12A3" w:rsidRDefault="00242DA0" w:rsidP="00C917D6">
      <w:pPr>
        <w:pStyle w:val="Resimyazs70"/>
        <w:shd w:val="clear" w:color="auto" w:fill="auto"/>
        <w:tabs>
          <w:tab w:val="left" w:pos="1276"/>
        </w:tabs>
        <w:spacing w:after="120" w:line="240" w:lineRule="auto"/>
        <w:ind w:left="1134"/>
        <w:rPr>
          <w:sz w:val="24"/>
          <w:szCs w:val="24"/>
        </w:rPr>
      </w:pPr>
      <w:r w:rsidRPr="00DE12A3">
        <w:rPr>
          <w:rStyle w:val="Resimyazs74pttalik0ptbolukbraklyor9"/>
          <w:color w:val="auto"/>
          <w:sz w:val="24"/>
          <w:szCs w:val="24"/>
        </w:rPr>
        <w:t>r</w:t>
      </w:r>
      <w:r w:rsidRPr="00DE12A3">
        <w:rPr>
          <w:rStyle w:val="Resimyazs74pttalik0ptbolukbraklyor9"/>
          <w:color w:val="auto"/>
          <w:sz w:val="24"/>
          <w:szCs w:val="24"/>
          <w:vertAlign w:val="subscript"/>
        </w:rPr>
        <w:t>di</w:t>
      </w:r>
      <w:r w:rsidRPr="00DE12A3">
        <w:rPr>
          <w:rStyle w:val="Resimyazs74pttalik0ptbolukbraklyor9"/>
          <w:color w:val="auto"/>
          <w:sz w:val="24"/>
          <w:szCs w:val="24"/>
          <w:vertAlign w:val="subscript"/>
        </w:rPr>
        <w:tab/>
      </w:r>
      <w:r w:rsidRPr="00DE12A3">
        <w:rPr>
          <w:rStyle w:val="Resimyazs77pt0ptbolukbraklyor"/>
          <w:color w:val="auto"/>
          <w:sz w:val="24"/>
          <w:szCs w:val="24"/>
        </w:rPr>
        <w:t>=</w:t>
      </w:r>
      <w:r w:rsidRPr="00DE12A3">
        <w:rPr>
          <w:rStyle w:val="Resimyazs77pt0ptbolukbraklyor"/>
          <w:color w:val="auto"/>
          <w:sz w:val="24"/>
          <w:szCs w:val="24"/>
        </w:rPr>
        <w:tab/>
        <w:t>anlık seyreltme oranı [-]</w:t>
      </w:r>
    </w:p>
    <w:p w14:paraId="4299264E" w14:textId="77777777" w:rsidR="002D7B36" w:rsidRPr="00DE12A3" w:rsidRDefault="00242DA0" w:rsidP="00C917D6">
      <w:pPr>
        <w:pStyle w:val="Resimyazs70"/>
        <w:shd w:val="clear" w:color="auto" w:fill="auto"/>
        <w:tabs>
          <w:tab w:val="left" w:pos="1276"/>
        </w:tabs>
        <w:spacing w:after="120" w:line="240" w:lineRule="auto"/>
        <w:ind w:left="1134"/>
        <w:rPr>
          <w:sz w:val="24"/>
          <w:szCs w:val="24"/>
        </w:rPr>
      </w:pPr>
      <w:r w:rsidRPr="00DE12A3">
        <w:rPr>
          <w:rStyle w:val="Resimyazs74pttalik0ptbolukbraklyor9"/>
          <w:color w:val="auto"/>
          <w:sz w:val="24"/>
          <w:szCs w:val="24"/>
        </w:rPr>
        <w:t>q</w:t>
      </w:r>
      <w:r w:rsidRPr="00DE12A3">
        <w:rPr>
          <w:rStyle w:val="Resimyazs74pttalik0ptbolukbraklyor9"/>
          <w:color w:val="auto"/>
          <w:sz w:val="24"/>
          <w:szCs w:val="24"/>
          <w:vertAlign w:val="subscript"/>
        </w:rPr>
        <w:t>mdew,i</w:t>
      </w:r>
      <w:r w:rsidRPr="00DE12A3">
        <w:rPr>
          <w:rStyle w:val="Resimyazs74pt0ptbolukbraklyor"/>
          <w:rFonts w:eastAsia="Segoe UI"/>
          <w:color w:val="auto"/>
          <w:sz w:val="24"/>
          <w:szCs w:val="24"/>
        </w:rPr>
        <w:tab/>
      </w:r>
      <w:r w:rsidRPr="00DE12A3">
        <w:rPr>
          <w:rStyle w:val="Resimyazs77pt0ptbolukbraklyor"/>
          <w:color w:val="auto"/>
          <w:sz w:val="24"/>
          <w:szCs w:val="24"/>
        </w:rPr>
        <w:t>=yaş bazda anlık seyreltilmiş egzoz gazı kütle akış hızı [kg/s]</w:t>
      </w:r>
    </w:p>
    <w:p w14:paraId="085F6597" w14:textId="77777777" w:rsidR="002D7B36" w:rsidRPr="00DE12A3" w:rsidRDefault="00242DA0" w:rsidP="00C917D6">
      <w:pPr>
        <w:pStyle w:val="Resimyazs70"/>
        <w:shd w:val="clear" w:color="auto" w:fill="auto"/>
        <w:tabs>
          <w:tab w:val="left" w:pos="1276"/>
          <w:tab w:val="left" w:pos="3300"/>
        </w:tabs>
        <w:spacing w:after="120" w:line="240" w:lineRule="auto"/>
        <w:ind w:left="1134"/>
        <w:rPr>
          <w:sz w:val="24"/>
          <w:szCs w:val="24"/>
        </w:rPr>
      </w:pPr>
      <w:r w:rsidRPr="00DE12A3">
        <w:rPr>
          <w:rStyle w:val="Resimyazs77pt0ptbolukbraklyor"/>
          <w:i/>
          <w:iCs/>
          <w:color w:val="auto"/>
          <w:sz w:val="24"/>
          <w:szCs w:val="24"/>
        </w:rPr>
        <w:t>q</w:t>
      </w:r>
      <w:r w:rsidRPr="00DE12A3">
        <w:rPr>
          <w:rStyle w:val="Resimyazs77pt0ptbolukbraklyor"/>
          <w:color w:val="auto"/>
          <w:sz w:val="24"/>
          <w:szCs w:val="24"/>
          <w:vertAlign w:val="subscript"/>
        </w:rPr>
        <w:t>m</w:t>
      </w:r>
      <w:r w:rsidRPr="00DE12A3">
        <w:rPr>
          <w:rStyle w:val="Resimyazs75pt0ptbolukbraklyor"/>
          <w:color w:val="auto"/>
          <w:sz w:val="24"/>
          <w:szCs w:val="24"/>
          <w:vertAlign w:val="subscript"/>
        </w:rPr>
        <w:t>dw,i</w:t>
      </w:r>
      <w:r w:rsidR="00C82C1B" w:rsidRPr="00DE12A3">
        <w:rPr>
          <w:rStyle w:val="Resimyazs75pt0ptbolukbraklyor"/>
          <w:color w:val="auto"/>
          <w:sz w:val="24"/>
          <w:szCs w:val="24"/>
          <w:vertAlign w:val="subscript"/>
        </w:rPr>
        <w:t xml:space="preserve">           </w:t>
      </w:r>
      <w:r w:rsidRPr="00DE12A3">
        <w:rPr>
          <w:rStyle w:val="Resimyazs77pt0ptbolukbraklyor"/>
          <w:color w:val="auto"/>
          <w:sz w:val="24"/>
          <w:szCs w:val="24"/>
        </w:rPr>
        <w:t>=anlık seyreltme havası kütle akış hızı [kg/s]</w:t>
      </w:r>
    </w:p>
    <w:p w14:paraId="4EC910DF" w14:textId="77777777" w:rsidR="002D7B36" w:rsidRPr="00DE12A3" w:rsidRDefault="00242DA0" w:rsidP="00C917D6">
      <w:pPr>
        <w:pStyle w:val="Resimyazs70"/>
        <w:shd w:val="clear" w:color="auto" w:fill="auto"/>
        <w:tabs>
          <w:tab w:val="left" w:pos="1276"/>
        </w:tabs>
        <w:spacing w:after="120" w:line="240" w:lineRule="auto"/>
        <w:ind w:left="1134"/>
        <w:rPr>
          <w:sz w:val="24"/>
          <w:szCs w:val="24"/>
        </w:rPr>
      </w:pPr>
      <w:r w:rsidRPr="00DE12A3">
        <w:rPr>
          <w:rStyle w:val="Resimyazs74pttalik0ptbolukbraklyor9"/>
          <w:color w:val="auto"/>
          <w:sz w:val="24"/>
          <w:szCs w:val="24"/>
        </w:rPr>
        <w:t>f</w:t>
      </w:r>
      <w:r w:rsidRPr="00DE12A3">
        <w:rPr>
          <w:rStyle w:val="Resimyazs77pt0ptbolukbraklyor"/>
          <w:color w:val="auto"/>
          <w:sz w:val="24"/>
          <w:szCs w:val="24"/>
        </w:rPr>
        <w:tab/>
      </w:r>
      <w:r w:rsidR="00C82C1B" w:rsidRPr="00DE12A3">
        <w:rPr>
          <w:rStyle w:val="Resimyazs77pt0ptbolukbraklyor"/>
          <w:color w:val="auto"/>
          <w:sz w:val="24"/>
          <w:szCs w:val="24"/>
        </w:rPr>
        <w:t xml:space="preserve">              </w:t>
      </w:r>
      <w:r w:rsidRPr="00DE12A3">
        <w:rPr>
          <w:rStyle w:val="Resimyazs77pt0ptbolukbraklyor"/>
          <w:color w:val="auto"/>
          <w:sz w:val="24"/>
          <w:szCs w:val="24"/>
        </w:rPr>
        <w:t>=veri örnekleme hızı [Hz]</w:t>
      </w:r>
    </w:p>
    <w:p w14:paraId="12990BA3" w14:textId="77777777" w:rsidR="002D7B36" w:rsidRPr="00DE12A3" w:rsidRDefault="00242DA0" w:rsidP="00C917D6">
      <w:pPr>
        <w:pStyle w:val="Resimyazs70"/>
        <w:shd w:val="clear" w:color="auto" w:fill="auto"/>
        <w:tabs>
          <w:tab w:val="left" w:pos="1276"/>
          <w:tab w:val="left" w:pos="3300"/>
        </w:tabs>
        <w:spacing w:after="120" w:line="240" w:lineRule="auto"/>
        <w:ind w:left="1134"/>
        <w:rPr>
          <w:sz w:val="24"/>
          <w:szCs w:val="24"/>
        </w:rPr>
      </w:pPr>
      <w:r w:rsidRPr="00DE12A3">
        <w:rPr>
          <w:rStyle w:val="Resimyazs77pt0ptbolukbraklyor"/>
          <w:color w:val="auto"/>
          <w:sz w:val="24"/>
          <w:szCs w:val="24"/>
        </w:rPr>
        <w:t>N</w:t>
      </w:r>
      <w:r w:rsidR="00C82C1B" w:rsidRPr="00DE12A3">
        <w:rPr>
          <w:rStyle w:val="Resimyazs77pt0ptbolukbraklyor"/>
          <w:color w:val="auto"/>
          <w:sz w:val="24"/>
          <w:szCs w:val="24"/>
        </w:rPr>
        <w:t xml:space="preserve">              </w:t>
      </w:r>
      <w:r w:rsidRPr="00DE12A3">
        <w:rPr>
          <w:rStyle w:val="Resimyazs77pt0ptbolukbraklyor"/>
          <w:color w:val="auto"/>
          <w:sz w:val="24"/>
          <w:szCs w:val="24"/>
        </w:rPr>
        <w:t>=ölçüm sayısı [-]</w:t>
      </w:r>
    </w:p>
    <w:p w14:paraId="146030C7" w14:textId="77777777" w:rsidR="002D7B36" w:rsidRPr="00DE12A3" w:rsidRDefault="002D7B36" w:rsidP="00E20716">
      <w:pPr>
        <w:pStyle w:val="ListeParagraf"/>
        <w:numPr>
          <w:ilvl w:val="0"/>
          <w:numId w:val="405"/>
        </w:numPr>
        <w:tabs>
          <w:tab w:val="left" w:pos="768"/>
          <w:tab w:val="left" w:pos="1487"/>
        </w:tabs>
        <w:spacing w:before="120" w:after="120"/>
        <w:ind w:left="1134"/>
        <w:contextualSpacing w:val="0"/>
        <w:jc w:val="both"/>
        <w:rPr>
          <w:rFonts w:eastAsia="Times New Roman" w:cs="Times New Roman"/>
          <w:vanish/>
          <w:color w:val="auto"/>
          <w:spacing w:val="3"/>
          <w:lang w:eastAsia="en-US"/>
        </w:rPr>
      </w:pPr>
    </w:p>
    <w:p w14:paraId="493BFD7C" w14:textId="6EC9610C" w:rsidR="002D7B36" w:rsidRPr="00DE12A3" w:rsidRDefault="00C82C1B" w:rsidP="00E20716">
      <w:pPr>
        <w:pStyle w:val="Resimyazs70"/>
        <w:numPr>
          <w:ilvl w:val="0"/>
          <w:numId w:val="405"/>
        </w:numPr>
        <w:shd w:val="clear" w:color="auto" w:fill="auto"/>
        <w:tabs>
          <w:tab w:val="left" w:pos="768"/>
          <w:tab w:val="left" w:pos="1487"/>
        </w:tabs>
        <w:spacing w:after="120" w:line="240" w:lineRule="auto"/>
        <w:ind w:left="1134" w:hanging="1134"/>
        <w:rPr>
          <w:sz w:val="24"/>
          <w:szCs w:val="24"/>
        </w:rPr>
      </w:pPr>
      <w:r w:rsidRPr="00DE12A3">
        <w:rPr>
          <w:spacing w:val="3"/>
          <w:sz w:val="24"/>
          <w:szCs w:val="24"/>
        </w:rPr>
        <w:t xml:space="preserve">      </w:t>
      </w:r>
      <w:r w:rsidR="00B06860" w:rsidRPr="00DE12A3">
        <w:rPr>
          <w:spacing w:val="3"/>
          <w:sz w:val="24"/>
          <w:szCs w:val="24"/>
        </w:rPr>
        <w:t>Tam akışlı</w:t>
      </w:r>
      <w:r w:rsidR="00242DA0" w:rsidRPr="00DE12A3">
        <w:rPr>
          <w:spacing w:val="3"/>
          <w:sz w:val="24"/>
          <w:szCs w:val="24"/>
        </w:rPr>
        <w:t xml:space="preserve"> seyreltme sistemi</w:t>
      </w:r>
    </w:p>
    <w:p w14:paraId="1D786AEC" w14:textId="54113DB2" w:rsidR="002D7B36" w:rsidRPr="00DE12A3" w:rsidRDefault="00242DA0" w:rsidP="00C917D6">
      <w:pPr>
        <w:pStyle w:val="Resimyazs70"/>
        <w:shd w:val="clear" w:color="auto" w:fill="auto"/>
        <w:spacing w:after="120" w:line="240" w:lineRule="auto"/>
        <w:ind w:left="1134"/>
        <w:rPr>
          <w:sz w:val="24"/>
          <w:szCs w:val="24"/>
        </w:rPr>
      </w:pPr>
      <w:r w:rsidRPr="00DE12A3">
        <w:rPr>
          <w:rStyle w:val="Resimyazs77pt0ptbolukbraklyor"/>
          <w:color w:val="auto"/>
          <w:sz w:val="24"/>
          <w:szCs w:val="24"/>
        </w:rPr>
        <w:t xml:space="preserve">Kütle emisyonu, (7-48) </w:t>
      </w:r>
      <w:r w:rsidR="005E1C7E" w:rsidRPr="00DE12A3">
        <w:rPr>
          <w:rStyle w:val="Resimyazs77pt0ptbolukbraklyor"/>
          <w:color w:val="auto"/>
          <w:sz w:val="24"/>
          <w:szCs w:val="24"/>
        </w:rPr>
        <w:t xml:space="preserve">numaralı </w:t>
      </w:r>
      <w:r w:rsidRPr="00DE12A3">
        <w:rPr>
          <w:rStyle w:val="Resimyazs77pt0ptbolukbraklyor"/>
          <w:color w:val="auto"/>
          <w:sz w:val="24"/>
          <w:szCs w:val="24"/>
        </w:rPr>
        <w:t>denklem ile hesaplanmalıdır:</w:t>
      </w:r>
    </w:p>
    <w:p w14:paraId="3D6E3555" w14:textId="7EB54F0B" w:rsidR="002D7B36" w:rsidRPr="00DE12A3" w:rsidRDefault="00242DA0" w:rsidP="00C917D6">
      <w:pPr>
        <w:widowControl/>
        <w:spacing w:before="120" w:after="120"/>
        <w:ind w:left="1134" w:rightChars="80" w:right="192" w:hanging="1134"/>
        <w:jc w:val="center"/>
        <w:rPr>
          <w:rFonts w:cs="Times New Roman"/>
          <w:color w:val="auto"/>
          <w:lang w:eastAsia="en-US"/>
        </w:rPr>
      </w:pPr>
      <w:r w:rsidRPr="00DE12A3">
        <w:rPr>
          <w:rFonts w:cs="Times New Roman"/>
          <w:noProof/>
          <w:color w:val="auto"/>
        </w:rPr>
        <w:drawing>
          <wp:inline distT="0" distB="0" distL="0" distR="0" wp14:anchorId="3735ABFF" wp14:editId="7882DAA6">
            <wp:extent cx="4054775" cy="530225"/>
            <wp:effectExtent l="0" t="0" r="3175" b="3175"/>
            <wp:docPr id="109" name="Resim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Resim 109"/>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a:xfrm>
                      <a:off x="0" y="0"/>
                      <a:ext cx="4073009" cy="532609"/>
                    </a:xfrm>
                    <a:prstGeom prst="rect">
                      <a:avLst/>
                    </a:prstGeom>
                    <a:noFill/>
                    <a:ln>
                      <a:noFill/>
                    </a:ln>
                  </pic:spPr>
                </pic:pic>
              </a:graphicData>
            </a:graphic>
          </wp:inline>
        </w:drawing>
      </w:r>
    </w:p>
    <w:p w14:paraId="4800DE89" w14:textId="77777777" w:rsidR="002D7B36" w:rsidRPr="00DE12A3" w:rsidRDefault="00C82C1B" w:rsidP="00C917D6">
      <w:pPr>
        <w:pStyle w:val="Gvdemetni251"/>
        <w:shd w:val="clear" w:color="auto" w:fill="auto"/>
        <w:spacing w:before="120" w:after="120" w:line="240" w:lineRule="auto"/>
        <w:ind w:left="1134" w:firstLine="0"/>
        <w:rPr>
          <w:color w:val="auto"/>
          <w:sz w:val="24"/>
          <w:szCs w:val="24"/>
        </w:rPr>
      </w:pPr>
      <w:r w:rsidRPr="00DE12A3">
        <w:rPr>
          <w:color w:val="auto"/>
          <w:sz w:val="24"/>
          <w:szCs w:val="24"/>
        </w:rPr>
        <w:t>B</w:t>
      </w:r>
      <w:r w:rsidR="00242DA0" w:rsidRPr="00DE12A3">
        <w:rPr>
          <w:color w:val="auto"/>
          <w:sz w:val="24"/>
          <w:szCs w:val="24"/>
        </w:rPr>
        <w:t>urada:</w:t>
      </w:r>
    </w:p>
    <w:p w14:paraId="646613BF" w14:textId="77777777" w:rsidR="002D7B36" w:rsidRPr="00DE12A3" w:rsidRDefault="00242DA0" w:rsidP="00C917D6">
      <w:pPr>
        <w:pStyle w:val="Gvdemetni251"/>
        <w:shd w:val="clear" w:color="auto" w:fill="auto"/>
        <w:tabs>
          <w:tab w:val="left" w:pos="1134"/>
        </w:tabs>
        <w:spacing w:before="120" w:after="120" w:line="240" w:lineRule="auto"/>
        <w:ind w:left="1134" w:firstLine="0"/>
        <w:rPr>
          <w:color w:val="auto"/>
          <w:sz w:val="24"/>
          <w:szCs w:val="24"/>
        </w:rPr>
      </w:pPr>
      <w:r w:rsidRPr="00DE12A3">
        <w:rPr>
          <w:rStyle w:val="Gvdemetni254pttalik0ptbolukbraklyor29"/>
          <w:rFonts w:eastAsia="MS Gothic"/>
          <w:color w:val="auto"/>
          <w:sz w:val="24"/>
          <w:szCs w:val="24"/>
        </w:rPr>
        <w:t>m</w:t>
      </w:r>
      <w:r w:rsidRPr="00DE12A3">
        <w:rPr>
          <w:rStyle w:val="Gvdemetni254pttalik0ptbolukbraklyor29"/>
          <w:rFonts w:eastAsia="MS Gothic"/>
          <w:color w:val="auto"/>
          <w:sz w:val="24"/>
          <w:szCs w:val="24"/>
          <w:vertAlign w:val="subscript"/>
        </w:rPr>
        <w:t>f</w:t>
      </w:r>
      <w:r w:rsidRPr="00DE12A3">
        <w:rPr>
          <w:i/>
          <w:iCs/>
          <w:color w:val="auto"/>
          <w:sz w:val="24"/>
          <w:szCs w:val="24"/>
        </w:rPr>
        <w:tab/>
      </w:r>
      <w:r w:rsidRPr="00DE12A3">
        <w:rPr>
          <w:color w:val="auto"/>
          <w:sz w:val="24"/>
          <w:szCs w:val="24"/>
        </w:rPr>
        <w:t>=</w:t>
      </w:r>
      <w:r w:rsidRPr="00DE12A3">
        <w:rPr>
          <w:color w:val="auto"/>
          <w:sz w:val="24"/>
          <w:szCs w:val="24"/>
        </w:rPr>
        <w:tab/>
      </w:r>
      <w:r w:rsidR="00F310B5" w:rsidRPr="00DE12A3">
        <w:rPr>
          <w:color w:val="auto"/>
          <w:sz w:val="24"/>
          <w:szCs w:val="24"/>
        </w:rPr>
        <w:t>çevrim</w:t>
      </w:r>
      <w:r w:rsidRPr="00DE12A3">
        <w:rPr>
          <w:color w:val="auto"/>
          <w:sz w:val="24"/>
          <w:szCs w:val="24"/>
        </w:rPr>
        <w:t xml:space="preserve"> boyunca örneklenen </w:t>
      </w:r>
      <w:r w:rsidR="007E2039" w:rsidRPr="00DE12A3">
        <w:rPr>
          <w:color w:val="auto"/>
          <w:sz w:val="24"/>
          <w:szCs w:val="24"/>
        </w:rPr>
        <w:t xml:space="preserve">partikül </w:t>
      </w:r>
      <w:r w:rsidRPr="00DE12A3">
        <w:rPr>
          <w:color w:val="auto"/>
          <w:sz w:val="24"/>
          <w:szCs w:val="24"/>
        </w:rPr>
        <w:t>kütlesi [mg]</w:t>
      </w:r>
    </w:p>
    <w:p w14:paraId="3B106865" w14:textId="77777777" w:rsidR="002D7B36" w:rsidRPr="00DE12A3" w:rsidRDefault="00242DA0" w:rsidP="00C917D6">
      <w:pPr>
        <w:pStyle w:val="Gvdemetni251"/>
        <w:shd w:val="clear" w:color="auto" w:fill="auto"/>
        <w:tabs>
          <w:tab w:val="left" w:pos="1134"/>
        </w:tabs>
        <w:spacing w:before="120" w:after="120" w:line="240" w:lineRule="auto"/>
        <w:ind w:left="1134" w:firstLine="0"/>
        <w:rPr>
          <w:color w:val="auto"/>
          <w:sz w:val="24"/>
          <w:szCs w:val="24"/>
        </w:rPr>
      </w:pPr>
      <w:r w:rsidRPr="00DE12A3">
        <w:rPr>
          <w:i/>
          <w:iCs/>
          <w:color w:val="auto"/>
          <w:sz w:val="24"/>
          <w:szCs w:val="24"/>
        </w:rPr>
        <w:t>m</w:t>
      </w:r>
      <w:r w:rsidRPr="00DE12A3">
        <w:rPr>
          <w:color w:val="auto"/>
          <w:sz w:val="24"/>
          <w:szCs w:val="24"/>
          <w:vertAlign w:val="subscript"/>
        </w:rPr>
        <w:t>sep</w:t>
      </w:r>
      <w:r w:rsidRPr="00DE12A3">
        <w:rPr>
          <w:color w:val="auto"/>
          <w:sz w:val="24"/>
          <w:szCs w:val="24"/>
        </w:rPr>
        <w:tab/>
        <w:t>=</w:t>
      </w:r>
      <w:r w:rsidRPr="00DE12A3">
        <w:rPr>
          <w:color w:val="auto"/>
          <w:sz w:val="24"/>
          <w:szCs w:val="24"/>
        </w:rPr>
        <w:tab/>
      </w:r>
      <w:r w:rsidR="007E2039" w:rsidRPr="00DE12A3">
        <w:rPr>
          <w:color w:val="auto"/>
          <w:sz w:val="24"/>
          <w:szCs w:val="24"/>
        </w:rPr>
        <w:t xml:space="preserve">partikül </w:t>
      </w:r>
      <w:r w:rsidRPr="00DE12A3">
        <w:rPr>
          <w:color w:val="auto"/>
          <w:sz w:val="24"/>
          <w:szCs w:val="24"/>
        </w:rPr>
        <w:t>toplama filtrelerinden geçen seyreltilmiş egzoz gazı kütlesi [kg]</w:t>
      </w:r>
    </w:p>
    <w:p w14:paraId="7F81B4A4" w14:textId="77777777" w:rsidR="002D7B36" w:rsidRPr="00DE12A3" w:rsidRDefault="00242DA0" w:rsidP="00C917D6">
      <w:pPr>
        <w:pStyle w:val="Gvdemetni251"/>
        <w:shd w:val="clear" w:color="auto" w:fill="auto"/>
        <w:tabs>
          <w:tab w:val="left" w:pos="1134"/>
        </w:tabs>
        <w:spacing w:before="120" w:after="120" w:line="240" w:lineRule="auto"/>
        <w:ind w:left="1134" w:firstLine="0"/>
        <w:rPr>
          <w:color w:val="auto"/>
          <w:sz w:val="24"/>
          <w:szCs w:val="24"/>
        </w:rPr>
      </w:pPr>
      <w:r w:rsidRPr="00DE12A3">
        <w:rPr>
          <w:i/>
          <w:iCs/>
          <w:color w:val="auto"/>
          <w:sz w:val="24"/>
          <w:szCs w:val="24"/>
        </w:rPr>
        <w:t>m</w:t>
      </w:r>
      <w:r w:rsidRPr="00DE12A3">
        <w:rPr>
          <w:color w:val="auto"/>
          <w:sz w:val="24"/>
          <w:szCs w:val="24"/>
          <w:vertAlign w:val="subscript"/>
        </w:rPr>
        <w:t>ed</w:t>
      </w:r>
      <w:r w:rsidRPr="00DE12A3">
        <w:rPr>
          <w:color w:val="auto"/>
          <w:sz w:val="24"/>
          <w:szCs w:val="24"/>
        </w:rPr>
        <w:tab/>
        <w:t>=</w:t>
      </w:r>
      <w:r w:rsidRPr="00DE12A3">
        <w:rPr>
          <w:color w:val="auto"/>
          <w:sz w:val="24"/>
          <w:szCs w:val="24"/>
        </w:rPr>
        <w:tab/>
      </w:r>
      <w:r w:rsidR="00F310B5" w:rsidRPr="00DE12A3">
        <w:rPr>
          <w:color w:val="auto"/>
          <w:sz w:val="24"/>
          <w:szCs w:val="24"/>
        </w:rPr>
        <w:t>çevrim</w:t>
      </w:r>
      <w:r w:rsidRPr="00DE12A3">
        <w:rPr>
          <w:color w:val="auto"/>
          <w:sz w:val="24"/>
          <w:szCs w:val="24"/>
        </w:rPr>
        <w:t xml:space="preserve"> boyunca seyreltilmiş egzoz gazı kütlesi [kg]</w:t>
      </w:r>
    </w:p>
    <w:p w14:paraId="2DFC027F" w14:textId="77777777" w:rsidR="002D7B36" w:rsidRPr="00DE12A3" w:rsidRDefault="00242DA0" w:rsidP="00C917D6">
      <w:pPr>
        <w:pStyle w:val="Gvdemetni251"/>
        <w:shd w:val="clear" w:color="auto" w:fill="auto"/>
        <w:spacing w:before="120" w:after="120" w:line="240" w:lineRule="auto"/>
        <w:ind w:left="1134" w:firstLine="0"/>
        <w:rPr>
          <w:color w:val="auto"/>
          <w:sz w:val="24"/>
          <w:szCs w:val="24"/>
        </w:rPr>
      </w:pPr>
      <w:r w:rsidRPr="00DE12A3">
        <w:rPr>
          <w:color w:val="auto"/>
          <w:sz w:val="24"/>
          <w:szCs w:val="24"/>
        </w:rPr>
        <w:t>ve</w:t>
      </w:r>
    </w:p>
    <w:p w14:paraId="37F892FC" w14:textId="3ED77D2A" w:rsidR="002D7B36" w:rsidRPr="00DE12A3" w:rsidRDefault="00242DA0" w:rsidP="00C917D6">
      <w:pPr>
        <w:widowControl/>
        <w:spacing w:before="120" w:after="120"/>
        <w:ind w:left="1134" w:rightChars="80" w:right="192" w:hanging="1134"/>
        <w:jc w:val="center"/>
        <w:rPr>
          <w:rFonts w:cs="Times New Roman"/>
          <w:color w:val="auto"/>
          <w:lang w:eastAsia="en-US"/>
        </w:rPr>
      </w:pPr>
      <w:r w:rsidRPr="00DE12A3">
        <w:rPr>
          <w:rFonts w:cs="Times New Roman"/>
          <w:noProof/>
          <w:color w:val="auto"/>
        </w:rPr>
        <w:drawing>
          <wp:inline distT="0" distB="0" distL="0" distR="0" wp14:anchorId="1CB0A10A" wp14:editId="4F0AFFC6">
            <wp:extent cx="3872783" cy="469900"/>
            <wp:effectExtent l="0" t="0" r="0" b="6350"/>
            <wp:docPr id="110" name="Resim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Resim 110"/>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a:xfrm>
                      <a:off x="0" y="0"/>
                      <a:ext cx="4000301" cy="485372"/>
                    </a:xfrm>
                    <a:prstGeom prst="rect">
                      <a:avLst/>
                    </a:prstGeom>
                    <a:noFill/>
                    <a:ln>
                      <a:noFill/>
                    </a:ln>
                  </pic:spPr>
                </pic:pic>
              </a:graphicData>
            </a:graphic>
          </wp:inline>
        </w:drawing>
      </w:r>
    </w:p>
    <w:p w14:paraId="562BA703" w14:textId="77777777" w:rsidR="002D7B36" w:rsidRPr="00DE12A3" w:rsidRDefault="002D7B36" w:rsidP="00C917D6">
      <w:pPr>
        <w:widowControl/>
        <w:spacing w:before="120" w:after="120"/>
        <w:ind w:left="1134" w:rightChars="80" w:right="192" w:hanging="1134"/>
        <w:jc w:val="both"/>
        <w:rPr>
          <w:rFonts w:cs="Times New Roman"/>
          <w:color w:val="auto"/>
          <w:lang w:eastAsia="en-US"/>
        </w:rPr>
      </w:pPr>
    </w:p>
    <w:p w14:paraId="63B2F348" w14:textId="77777777" w:rsidR="002D7B36" w:rsidRPr="00DE12A3" w:rsidRDefault="00242DA0" w:rsidP="00C917D6">
      <w:pPr>
        <w:pStyle w:val="Gvdemetni251"/>
        <w:spacing w:before="120" w:after="120" w:line="240" w:lineRule="auto"/>
        <w:ind w:left="1134" w:firstLine="0"/>
        <w:rPr>
          <w:color w:val="auto"/>
          <w:sz w:val="24"/>
          <w:szCs w:val="24"/>
        </w:rPr>
      </w:pPr>
      <w:r w:rsidRPr="00DE12A3">
        <w:rPr>
          <w:color w:val="auto"/>
          <w:sz w:val="24"/>
          <w:szCs w:val="24"/>
        </w:rPr>
        <w:t>Burada:</w:t>
      </w:r>
    </w:p>
    <w:p w14:paraId="632BFF26" w14:textId="77777777" w:rsidR="002D7B36" w:rsidRPr="00DE12A3" w:rsidRDefault="00242DA0" w:rsidP="00C917D6">
      <w:pPr>
        <w:pStyle w:val="Gvdemetni251"/>
        <w:spacing w:before="120" w:after="120" w:line="240" w:lineRule="auto"/>
        <w:ind w:left="1134" w:firstLine="0"/>
        <w:rPr>
          <w:color w:val="auto"/>
          <w:sz w:val="24"/>
          <w:szCs w:val="24"/>
        </w:rPr>
      </w:pPr>
      <w:r w:rsidRPr="00DE12A3">
        <w:rPr>
          <w:i/>
          <w:iCs/>
          <w:color w:val="auto"/>
          <w:sz w:val="24"/>
          <w:szCs w:val="24"/>
        </w:rPr>
        <w:t>m</w:t>
      </w:r>
      <w:r w:rsidRPr="00DE12A3">
        <w:rPr>
          <w:color w:val="auto"/>
          <w:sz w:val="24"/>
          <w:szCs w:val="24"/>
          <w:vertAlign w:val="subscript"/>
        </w:rPr>
        <w:t>set</w:t>
      </w:r>
      <w:r w:rsidRPr="00DE12A3">
        <w:rPr>
          <w:color w:val="auto"/>
          <w:sz w:val="24"/>
          <w:szCs w:val="24"/>
        </w:rPr>
        <w:t xml:space="preserve"> = </w:t>
      </w:r>
      <w:r w:rsidR="007E2039" w:rsidRPr="00DE12A3">
        <w:rPr>
          <w:color w:val="auto"/>
          <w:sz w:val="24"/>
          <w:szCs w:val="24"/>
        </w:rPr>
        <w:t xml:space="preserve">partikül </w:t>
      </w:r>
      <w:r w:rsidRPr="00DE12A3">
        <w:rPr>
          <w:color w:val="auto"/>
          <w:sz w:val="24"/>
          <w:szCs w:val="24"/>
        </w:rPr>
        <w:t>filtresinden geçen çifte seyreltilmiş egzoz gazı kütlesi [kg]</w:t>
      </w:r>
    </w:p>
    <w:p w14:paraId="29E84786" w14:textId="77777777" w:rsidR="002D7B36" w:rsidRPr="00DE12A3" w:rsidRDefault="00242DA0" w:rsidP="00C917D6">
      <w:pPr>
        <w:pStyle w:val="Gvdemetni251"/>
        <w:spacing w:before="120" w:after="120" w:line="240" w:lineRule="auto"/>
        <w:ind w:left="1134" w:firstLine="0"/>
        <w:rPr>
          <w:color w:val="auto"/>
          <w:sz w:val="24"/>
          <w:szCs w:val="24"/>
        </w:rPr>
      </w:pPr>
      <w:r w:rsidRPr="00DE12A3">
        <w:rPr>
          <w:i/>
          <w:iCs/>
          <w:color w:val="auto"/>
          <w:sz w:val="24"/>
          <w:szCs w:val="24"/>
        </w:rPr>
        <w:t>m</w:t>
      </w:r>
      <w:r w:rsidRPr="00DE12A3">
        <w:rPr>
          <w:color w:val="auto"/>
          <w:sz w:val="24"/>
          <w:szCs w:val="24"/>
          <w:vertAlign w:val="subscript"/>
        </w:rPr>
        <w:t>ssd</w:t>
      </w:r>
      <w:r w:rsidRPr="00DE12A3">
        <w:rPr>
          <w:color w:val="auto"/>
          <w:sz w:val="24"/>
          <w:szCs w:val="24"/>
        </w:rPr>
        <w:t xml:space="preserve"> = ikincil seyreltme havası kütlesi</w:t>
      </w:r>
      <w:r w:rsidRPr="00DE12A3">
        <w:rPr>
          <w:i/>
          <w:iCs/>
          <w:color w:val="auto"/>
          <w:sz w:val="24"/>
          <w:szCs w:val="24"/>
        </w:rPr>
        <w:t xml:space="preserve"> </w:t>
      </w:r>
      <w:r w:rsidRPr="00DE12A3">
        <w:rPr>
          <w:color w:val="auto"/>
          <w:sz w:val="24"/>
          <w:szCs w:val="24"/>
        </w:rPr>
        <w:t>[kg]</w:t>
      </w:r>
    </w:p>
    <w:p w14:paraId="4F0C96AD" w14:textId="77777777" w:rsidR="002D7B36" w:rsidRPr="00DE12A3" w:rsidRDefault="00242DA0" w:rsidP="00E20716">
      <w:pPr>
        <w:pStyle w:val="Gvdemetni251"/>
        <w:numPr>
          <w:ilvl w:val="0"/>
          <w:numId w:val="406"/>
        </w:numPr>
        <w:tabs>
          <w:tab w:val="left" w:pos="768"/>
        </w:tabs>
        <w:spacing w:before="120" w:after="120" w:line="240" w:lineRule="auto"/>
        <w:ind w:left="1134" w:hanging="1134"/>
        <w:rPr>
          <w:color w:val="auto"/>
          <w:sz w:val="24"/>
          <w:szCs w:val="24"/>
        </w:rPr>
      </w:pPr>
      <w:r w:rsidRPr="00DE12A3">
        <w:rPr>
          <w:color w:val="auto"/>
          <w:sz w:val="24"/>
          <w:szCs w:val="24"/>
        </w:rPr>
        <w:t>Arka plan düzeltmesi</w:t>
      </w:r>
    </w:p>
    <w:p w14:paraId="30FD5120" w14:textId="3478B1D4" w:rsidR="002D7B36" w:rsidRPr="00DE12A3" w:rsidRDefault="007E2039" w:rsidP="00C917D6">
      <w:pPr>
        <w:pStyle w:val="Gvdemetni251"/>
        <w:spacing w:before="120" w:after="120" w:line="240" w:lineRule="auto"/>
        <w:ind w:left="1134" w:firstLine="0"/>
        <w:rPr>
          <w:color w:val="auto"/>
          <w:sz w:val="24"/>
          <w:szCs w:val="24"/>
        </w:rPr>
      </w:pPr>
      <w:r w:rsidRPr="00DE12A3">
        <w:rPr>
          <w:color w:val="auto"/>
          <w:sz w:val="24"/>
          <w:szCs w:val="24"/>
        </w:rPr>
        <w:t xml:space="preserve">Partikül </w:t>
      </w:r>
      <w:r w:rsidR="00242DA0" w:rsidRPr="00DE12A3">
        <w:rPr>
          <w:color w:val="auto"/>
          <w:sz w:val="24"/>
          <w:szCs w:val="24"/>
        </w:rPr>
        <w:t xml:space="preserve">kütlesi </w:t>
      </w:r>
      <w:r w:rsidR="00242DA0" w:rsidRPr="00DE12A3">
        <w:rPr>
          <w:i/>
          <w:iCs/>
          <w:color w:val="auto"/>
          <w:sz w:val="24"/>
          <w:szCs w:val="24"/>
        </w:rPr>
        <w:t>m</w:t>
      </w:r>
      <w:r w:rsidR="00242DA0" w:rsidRPr="00DE12A3">
        <w:rPr>
          <w:color w:val="auto"/>
          <w:sz w:val="24"/>
          <w:szCs w:val="24"/>
          <w:vertAlign w:val="subscript"/>
        </w:rPr>
        <w:t>PM,c</w:t>
      </w:r>
      <w:r w:rsidR="00242DA0" w:rsidRPr="00DE12A3">
        <w:rPr>
          <w:color w:val="auto"/>
          <w:sz w:val="24"/>
          <w:szCs w:val="24"/>
        </w:rPr>
        <w:t xml:space="preserve"> [g], (7-50) </w:t>
      </w:r>
      <w:r w:rsidR="005E1C7E" w:rsidRPr="00DE12A3">
        <w:rPr>
          <w:color w:val="auto"/>
          <w:sz w:val="24"/>
          <w:szCs w:val="24"/>
        </w:rPr>
        <w:t>numaralı</w:t>
      </w:r>
      <w:r w:rsidR="005E1C7E" w:rsidRPr="00DE12A3" w:rsidDel="005E1C7E">
        <w:rPr>
          <w:color w:val="auto"/>
          <w:sz w:val="24"/>
          <w:szCs w:val="24"/>
        </w:rPr>
        <w:t xml:space="preserve"> </w:t>
      </w:r>
      <w:r w:rsidR="00242DA0" w:rsidRPr="00DE12A3">
        <w:rPr>
          <w:color w:val="auto"/>
          <w:sz w:val="24"/>
          <w:szCs w:val="24"/>
        </w:rPr>
        <w:t>denklem ile arka planda düzeltilebilir:</w:t>
      </w:r>
    </w:p>
    <w:p w14:paraId="011E1025" w14:textId="2DEB5BE9" w:rsidR="002D7B36" w:rsidRPr="00DE12A3" w:rsidRDefault="0028302C" w:rsidP="00C917D6">
      <w:pPr>
        <w:pStyle w:val="Gvdemetni251"/>
        <w:spacing w:before="120" w:after="120" w:line="240" w:lineRule="auto"/>
        <w:ind w:left="1134" w:hanging="1134"/>
        <w:rPr>
          <w:color w:val="auto"/>
          <w:sz w:val="24"/>
          <w:szCs w:val="24"/>
        </w:rPr>
      </w:pPr>
      <w:r w:rsidRPr="00DE12A3">
        <w:rPr>
          <w:noProof/>
          <w:color w:val="auto"/>
          <w:sz w:val="24"/>
          <w:szCs w:val="24"/>
        </w:rPr>
        <w:lastRenderedPageBreak/>
        <w:drawing>
          <wp:anchor distT="0" distB="0" distL="114300" distR="114300" simplePos="0" relativeHeight="251612672" behindDoc="0" locked="0" layoutInCell="1" allowOverlap="1" wp14:anchorId="1B02E98F" wp14:editId="7403374D">
            <wp:simplePos x="0" y="0"/>
            <wp:positionH relativeFrom="column">
              <wp:posOffset>1191895</wp:posOffset>
            </wp:positionH>
            <wp:positionV relativeFrom="paragraph">
              <wp:posOffset>171450</wp:posOffset>
            </wp:positionV>
            <wp:extent cx="4819015" cy="556260"/>
            <wp:effectExtent l="0" t="0" r="635" b="0"/>
            <wp:wrapSquare wrapText="bothSides"/>
            <wp:docPr id="111" name="Resim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Resim 111"/>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a:xfrm>
                      <a:off x="0" y="0"/>
                      <a:ext cx="4819015" cy="556260"/>
                    </a:xfrm>
                    <a:prstGeom prst="rect">
                      <a:avLst/>
                    </a:prstGeom>
                    <a:noFill/>
                    <a:ln>
                      <a:noFill/>
                    </a:ln>
                  </pic:spPr>
                </pic:pic>
              </a:graphicData>
            </a:graphic>
            <wp14:sizeRelH relativeFrom="margin">
              <wp14:pctWidth>0</wp14:pctWidth>
            </wp14:sizeRelH>
          </wp:anchor>
        </w:drawing>
      </w:r>
    </w:p>
    <w:p w14:paraId="795E14E9" w14:textId="77777777" w:rsidR="002D7B36" w:rsidRPr="00DE12A3" w:rsidRDefault="002D7B36" w:rsidP="00C917D6">
      <w:pPr>
        <w:pStyle w:val="Gvdemetni251"/>
        <w:spacing w:before="120" w:after="120" w:line="240" w:lineRule="auto"/>
        <w:ind w:left="1134" w:hanging="1134"/>
        <w:rPr>
          <w:color w:val="auto"/>
          <w:sz w:val="24"/>
          <w:szCs w:val="24"/>
        </w:rPr>
      </w:pPr>
    </w:p>
    <w:p w14:paraId="295514B3" w14:textId="77777777" w:rsidR="0028302C" w:rsidRPr="00DE12A3" w:rsidRDefault="0028302C" w:rsidP="00C917D6">
      <w:pPr>
        <w:pStyle w:val="Gvdemetni251"/>
        <w:shd w:val="clear" w:color="auto" w:fill="auto"/>
        <w:spacing w:before="120" w:after="120" w:line="240" w:lineRule="auto"/>
        <w:ind w:left="1134" w:firstLine="0"/>
        <w:rPr>
          <w:color w:val="auto"/>
          <w:sz w:val="24"/>
          <w:szCs w:val="24"/>
        </w:rPr>
      </w:pPr>
    </w:p>
    <w:p w14:paraId="519E0A3C" w14:textId="77777777" w:rsidR="002D7B36" w:rsidRPr="00DE12A3" w:rsidRDefault="00242DA0" w:rsidP="00C917D6">
      <w:pPr>
        <w:pStyle w:val="Gvdemetni251"/>
        <w:shd w:val="clear" w:color="auto" w:fill="auto"/>
        <w:spacing w:before="120" w:after="120" w:line="240" w:lineRule="auto"/>
        <w:ind w:left="1134" w:firstLine="0"/>
        <w:rPr>
          <w:color w:val="auto"/>
          <w:sz w:val="24"/>
          <w:szCs w:val="24"/>
        </w:rPr>
      </w:pPr>
      <w:r w:rsidRPr="00DE12A3">
        <w:rPr>
          <w:color w:val="auto"/>
          <w:sz w:val="24"/>
          <w:szCs w:val="24"/>
        </w:rPr>
        <w:t>Burada:</w:t>
      </w:r>
    </w:p>
    <w:p w14:paraId="36FB804E" w14:textId="77777777" w:rsidR="002D7B36" w:rsidRPr="00DE12A3" w:rsidRDefault="00242DA0" w:rsidP="00C917D6">
      <w:pPr>
        <w:pStyle w:val="Gvdemetni251"/>
        <w:shd w:val="clear" w:color="auto" w:fill="auto"/>
        <w:tabs>
          <w:tab w:val="left" w:pos="1134"/>
        </w:tabs>
        <w:spacing w:before="120" w:after="120" w:line="240" w:lineRule="auto"/>
        <w:ind w:left="1134" w:firstLine="0"/>
        <w:rPr>
          <w:color w:val="auto"/>
          <w:sz w:val="24"/>
          <w:szCs w:val="24"/>
        </w:rPr>
      </w:pPr>
      <w:r w:rsidRPr="00DE12A3">
        <w:rPr>
          <w:rStyle w:val="Gvdemetni254pttalik0ptbolukbraklyor29"/>
          <w:rFonts w:eastAsia="MS Gothic"/>
          <w:color w:val="auto"/>
          <w:sz w:val="24"/>
          <w:szCs w:val="24"/>
        </w:rPr>
        <w:t>m</w:t>
      </w:r>
      <w:r w:rsidRPr="00DE12A3">
        <w:rPr>
          <w:color w:val="auto"/>
          <w:sz w:val="24"/>
          <w:szCs w:val="24"/>
          <w:vertAlign w:val="subscript"/>
        </w:rPr>
        <w:t>f</w:t>
      </w:r>
      <w:r w:rsidRPr="00DE12A3">
        <w:rPr>
          <w:color w:val="auto"/>
          <w:sz w:val="24"/>
          <w:szCs w:val="24"/>
        </w:rPr>
        <w:tab/>
        <w:t>=</w:t>
      </w:r>
      <w:r w:rsidRPr="00DE12A3">
        <w:rPr>
          <w:color w:val="auto"/>
          <w:sz w:val="24"/>
          <w:szCs w:val="24"/>
        </w:rPr>
        <w:tab/>
      </w:r>
      <w:r w:rsidR="00F310B5" w:rsidRPr="00DE12A3">
        <w:rPr>
          <w:color w:val="auto"/>
          <w:sz w:val="24"/>
          <w:szCs w:val="24"/>
        </w:rPr>
        <w:t>çevrim</w:t>
      </w:r>
      <w:r w:rsidRPr="00DE12A3">
        <w:rPr>
          <w:color w:val="auto"/>
          <w:sz w:val="24"/>
          <w:szCs w:val="24"/>
        </w:rPr>
        <w:t xml:space="preserve"> boyunca örneklenen </w:t>
      </w:r>
      <w:r w:rsidR="007E2039" w:rsidRPr="00DE12A3">
        <w:rPr>
          <w:color w:val="auto"/>
          <w:sz w:val="24"/>
          <w:szCs w:val="24"/>
        </w:rPr>
        <w:t xml:space="preserve">partikül </w:t>
      </w:r>
      <w:r w:rsidRPr="00DE12A3">
        <w:rPr>
          <w:color w:val="auto"/>
          <w:sz w:val="24"/>
          <w:szCs w:val="24"/>
        </w:rPr>
        <w:t>kütlesi [mg]</w:t>
      </w:r>
    </w:p>
    <w:p w14:paraId="69760860" w14:textId="77777777" w:rsidR="002D7B36" w:rsidRPr="00DE12A3" w:rsidRDefault="00242DA0" w:rsidP="00C917D6">
      <w:pPr>
        <w:pStyle w:val="Gvdemetni251"/>
        <w:shd w:val="clear" w:color="auto" w:fill="auto"/>
        <w:tabs>
          <w:tab w:val="left" w:pos="1134"/>
        </w:tabs>
        <w:spacing w:before="120" w:after="120" w:line="240" w:lineRule="auto"/>
        <w:ind w:left="1134" w:firstLine="0"/>
        <w:rPr>
          <w:color w:val="auto"/>
          <w:sz w:val="24"/>
          <w:szCs w:val="24"/>
        </w:rPr>
      </w:pPr>
      <w:r w:rsidRPr="00DE12A3">
        <w:rPr>
          <w:rStyle w:val="Gvdemetni254pttalik0ptbolukbraklyor29"/>
          <w:rFonts w:eastAsia="MS Gothic"/>
          <w:color w:val="auto"/>
          <w:sz w:val="24"/>
          <w:szCs w:val="24"/>
        </w:rPr>
        <w:t>m</w:t>
      </w:r>
      <w:r w:rsidRPr="00DE12A3">
        <w:rPr>
          <w:color w:val="auto"/>
          <w:sz w:val="24"/>
          <w:szCs w:val="24"/>
          <w:vertAlign w:val="subscript"/>
        </w:rPr>
        <w:t>sep</w:t>
      </w:r>
      <w:r w:rsidRPr="00DE12A3">
        <w:rPr>
          <w:color w:val="auto"/>
          <w:sz w:val="24"/>
          <w:szCs w:val="24"/>
        </w:rPr>
        <w:tab/>
        <w:t>=</w:t>
      </w:r>
      <w:r w:rsidRPr="00DE12A3">
        <w:rPr>
          <w:color w:val="auto"/>
          <w:sz w:val="24"/>
          <w:szCs w:val="24"/>
        </w:rPr>
        <w:tab/>
      </w:r>
      <w:r w:rsidR="007E2039" w:rsidRPr="00DE12A3">
        <w:rPr>
          <w:color w:val="auto"/>
          <w:sz w:val="24"/>
          <w:szCs w:val="24"/>
        </w:rPr>
        <w:t xml:space="preserve">partikül </w:t>
      </w:r>
      <w:r w:rsidRPr="00DE12A3">
        <w:rPr>
          <w:color w:val="auto"/>
          <w:sz w:val="24"/>
          <w:szCs w:val="24"/>
        </w:rPr>
        <w:t>toplama filtrelerinden geçen seyreltilmiş egzoz gazı kütlesi [kg]</w:t>
      </w:r>
    </w:p>
    <w:p w14:paraId="702C351F" w14:textId="77777777" w:rsidR="002D7B36" w:rsidRPr="00DE12A3" w:rsidRDefault="00242DA0" w:rsidP="00C917D6">
      <w:pPr>
        <w:pStyle w:val="Gvdemetni251"/>
        <w:shd w:val="clear" w:color="auto" w:fill="auto"/>
        <w:tabs>
          <w:tab w:val="left" w:pos="1134"/>
        </w:tabs>
        <w:spacing w:before="120" w:after="120" w:line="240" w:lineRule="auto"/>
        <w:ind w:left="1134" w:firstLine="0"/>
        <w:rPr>
          <w:color w:val="auto"/>
          <w:sz w:val="24"/>
          <w:szCs w:val="24"/>
        </w:rPr>
      </w:pPr>
      <w:r w:rsidRPr="00DE12A3">
        <w:rPr>
          <w:rStyle w:val="Gvdemetni254pttalik0ptbolukbraklyor29"/>
          <w:rFonts w:eastAsia="MS Gothic"/>
          <w:color w:val="auto"/>
          <w:sz w:val="24"/>
          <w:szCs w:val="24"/>
        </w:rPr>
        <w:t>m</w:t>
      </w:r>
      <w:r w:rsidRPr="00DE12A3">
        <w:rPr>
          <w:color w:val="auto"/>
          <w:sz w:val="24"/>
          <w:szCs w:val="24"/>
          <w:vertAlign w:val="subscript"/>
        </w:rPr>
        <w:t>sd</w:t>
      </w:r>
      <w:r w:rsidRPr="00DE12A3">
        <w:rPr>
          <w:color w:val="auto"/>
          <w:sz w:val="24"/>
          <w:szCs w:val="24"/>
        </w:rPr>
        <w:tab/>
        <w:t>=</w:t>
      </w:r>
      <w:r w:rsidRPr="00DE12A3">
        <w:rPr>
          <w:color w:val="auto"/>
          <w:sz w:val="24"/>
          <w:szCs w:val="24"/>
        </w:rPr>
        <w:tab/>
        <w:t xml:space="preserve">arkaplan </w:t>
      </w:r>
      <w:r w:rsidR="007E2039" w:rsidRPr="00DE12A3">
        <w:rPr>
          <w:color w:val="auto"/>
          <w:sz w:val="24"/>
          <w:szCs w:val="24"/>
        </w:rPr>
        <w:t xml:space="preserve">partikül </w:t>
      </w:r>
      <w:r w:rsidRPr="00DE12A3">
        <w:rPr>
          <w:color w:val="auto"/>
          <w:sz w:val="24"/>
          <w:szCs w:val="24"/>
        </w:rPr>
        <w:t>örnekleyicisi tarafından örneklenen seyreltme havası kütlesi [kg]</w:t>
      </w:r>
    </w:p>
    <w:p w14:paraId="6AFED5D4" w14:textId="77777777" w:rsidR="002D7B36" w:rsidRPr="00DE12A3" w:rsidRDefault="00242DA0" w:rsidP="00C917D6">
      <w:pPr>
        <w:pStyle w:val="Gvdemetni251"/>
        <w:shd w:val="clear" w:color="auto" w:fill="auto"/>
        <w:tabs>
          <w:tab w:val="left" w:pos="1134"/>
        </w:tabs>
        <w:spacing w:before="120" w:after="120" w:line="240" w:lineRule="auto"/>
        <w:ind w:left="1134" w:firstLine="0"/>
        <w:rPr>
          <w:color w:val="auto"/>
          <w:sz w:val="24"/>
          <w:szCs w:val="24"/>
        </w:rPr>
      </w:pPr>
      <w:r w:rsidRPr="00DE12A3">
        <w:rPr>
          <w:rStyle w:val="Gvdemetni254pttalik0ptbolukbraklyor29"/>
          <w:rFonts w:eastAsia="MS Gothic"/>
          <w:color w:val="auto"/>
          <w:sz w:val="24"/>
          <w:szCs w:val="24"/>
        </w:rPr>
        <w:t>m</w:t>
      </w:r>
      <w:r w:rsidRPr="00DE12A3">
        <w:rPr>
          <w:color w:val="auto"/>
          <w:sz w:val="24"/>
          <w:szCs w:val="24"/>
          <w:vertAlign w:val="subscript"/>
        </w:rPr>
        <w:t>b</w:t>
      </w:r>
      <w:r w:rsidRPr="00DE12A3">
        <w:rPr>
          <w:color w:val="auto"/>
          <w:sz w:val="24"/>
          <w:szCs w:val="24"/>
        </w:rPr>
        <w:tab/>
        <w:t>=</w:t>
      </w:r>
      <w:r w:rsidRPr="00DE12A3">
        <w:rPr>
          <w:color w:val="auto"/>
          <w:sz w:val="24"/>
          <w:szCs w:val="24"/>
        </w:rPr>
        <w:tab/>
        <w:t>seyreltilmiş havanın toplanmış arka plan parçacıklarının kütlesi [mg]</w:t>
      </w:r>
    </w:p>
    <w:p w14:paraId="4D5E11B0" w14:textId="77777777" w:rsidR="002D7B36" w:rsidRPr="00DE12A3" w:rsidRDefault="00242DA0" w:rsidP="00C917D6">
      <w:pPr>
        <w:pStyle w:val="Gvdemetni251"/>
        <w:shd w:val="clear" w:color="auto" w:fill="auto"/>
        <w:tabs>
          <w:tab w:val="left" w:pos="1134"/>
        </w:tabs>
        <w:spacing w:before="120" w:after="120" w:line="240" w:lineRule="auto"/>
        <w:ind w:left="1134" w:firstLine="0"/>
        <w:rPr>
          <w:color w:val="auto"/>
          <w:sz w:val="24"/>
          <w:szCs w:val="24"/>
        </w:rPr>
      </w:pPr>
      <w:r w:rsidRPr="00DE12A3">
        <w:rPr>
          <w:rStyle w:val="Gvdemetni254pttalik0ptbolukbraklyor29"/>
          <w:rFonts w:eastAsia="MS Gothic"/>
          <w:color w:val="auto"/>
          <w:sz w:val="24"/>
          <w:szCs w:val="24"/>
        </w:rPr>
        <w:t>m</w:t>
      </w:r>
      <w:r w:rsidRPr="00DE12A3">
        <w:rPr>
          <w:color w:val="auto"/>
          <w:sz w:val="24"/>
          <w:szCs w:val="24"/>
          <w:vertAlign w:val="subscript"/>
        </w:rPr>
        <w:t>ed</w:t>
      </w:r>
      <w:r w:rsidRPr="00DE12A3">
        <w:rPr>
          <w:color w:val="auto"/>
          <w:sz w:val="24"/>
          <w:szCs w:val="24"/>
        </w:rPr>
        <w:tab/>
        <w:t>=</w:t>
      </w:r>
      <w:r w:rsidRPr="00DE12A3">
        <w:rPr>
          <w:color w:val="auto"/>
          <w:sz w:val="24"/>
          <w:szCs w:val="24"/>
        </w:rPr>
        <w:tab/>
      </w:r>
      <w:r w:rsidR="00F310B5" w:rsidRPr="00DE12A3">
        <w:rPr>
          <w:color w:val="auto"/>
          <w:sz w:val="24"/>
          <w:szCs w:val="24"/>
        </w:rPr>
        <w:t>çevrim</w:t>
      </w:r>
      <w:r w:rsidRPr="00DE12A3">
        <w:rPr>
          <w:color w:val="auto"/>
          <w:sz w:val="24"/>
          <w:szCs w:val="24"/>
        </w:rPr>
        <w:t xml:space="preserve"> boyunca seyreltilmiş egzoz gazı kütlesi [kg]</w:t>
      </w:r>
    </w:p>
    <w:p w14:paraId="2CD96787" w14:textId="154AD587" w:rsidR="002D7B36" w:rsidRPr="00DE12A3" w:rsidRDefault="00242DA0" w:rsidP="00C917D6">
      <w:pPr>
        <w:pStyle w:val="Gvdemetni251"/>
        <w:shd w:val="clear" w:color="auto" w:fill="auto"/>
        <w:tabs>
          <w:tab w:val="left" w:pos="1134"/>
        </w:tabs>
        <w:spacing w:before="120" w:after="120" w:line="240" w:lineRule="auto"/>
        <w:ind w:left="1134" w:firstLine="0"/>
        <w:rPr>
          <w:color w:val="auto"/>
          <w:sz w:val="24"/>
          <w:szCs w:val="24"/>
        </w:rPr>
      </w:pPr>
      <w:r w:rsidRPr="00DE12A3">
        <w:rPr>
          <w:rStyle w:val="Gvdemetni254pttalik0ptbolukbraklyor29"/>
          <w:rFonts w:eastAsia="MS Gothic"/>
          <w:color w:val="auto"/>
          <w:sz w:val="24"/>
          <w:szCs w:val="24"/>
        </w:rPr>
        <w:t>D</w:t>
      </w:r>
      <w:r w:rsidRPr="00DE12A3">
        <w:rPr>
          <w:color w:val="auto"/>
          <w:sz w:val="24"/>
          <w:szCs w:val="24"/>
        </w:rPr>
        <w:tab/>
        <w:t>=</w:t>
      </w:r>
      <w:r w:rsidRPr="00DE12A3">
        <w:rPr>
          <w:color w:val="auto"/>
          <w:sz w:val="24"/>
          <w:szCs w:val="24"/>
        </w:rPr>
        <w:tab/>
        <w:t xml:space="preserve">seyreltme faktörü [bkz. 2.2.2.2 bendi, (7-28) </w:t>
      </w:r>
      <w:r w:rsidR="005E1C7E" w:rsidRPr="00DE12A3">
        <w:rPr>
          <w:color w:val="auto"/>
          <w:sz w:val="24"/>
          <w:szCs w:val="24"/>
        </w:rPr>
        <w:t>numaralı</w:t>
      </w:r>
      <w:r w:rsidR="005E1C7E" w:rsidRPr="00DE12A3" w:rsidDel="005E1C7E">
        <w:rPr>
          <w:color w:val="auto"/>
          <w:sz w:val="24"/>
          <w:szCs w:val="24"/>
        </w:rPr>
        <w:t xml:space="preserve"> </w:t>
      </w:r>
      <w:r w:rsidRPr="00DE12A3">
        <w:rPr>
          <w:color w:val="auto"/>
          <w:sz w:val="24"/>
          <w:szCs w:val="24"/>
        </w:rPr>
        <w:t>denklem] [-]</w:t>
      </w:r>
    </w:p>
    <w:p w14:paraId="2B6570AC" w14:textId="77777777" w:rsidR="00B20216" w:rsidRPr="00DE12A3" w:rsidRDefault="00B20216" w:rsidP="00E20716">
      <w:pPr>
        <w:pStyle w:val="ListeParagraf"/>
        <w:numPr>
          <w:ilvl w:val="0"/>
          <w:numId w:val="407"/>
        </w:numPr>
        <w:spacing w:before="120" w:after="120"/>
        <w:ind w:left="1134" w:hanging="1134"/>
        <w:contextualSpacing w:val="0"/>
        <w:jc w:val="both"/>
        <w:rPr>
          <w:rFonts w:eastAsia="Times New Roman" w:cs="Times New Roman"/>
          <w:vanish/>
          <w:color w:val="auto"/>
          <w:spacing w:val="3"/>
          <w:lang w:eastAsia="en-US"/>
        </w:rPr>
      </w:pPr>
    </w:p>
    <w:p w14:paraId="6DA04D06" w14:textId="77777777" w:rsidR="002D7B36" w:rsidRPr="00DE12A3" w:rsidRDefault="00494945" w:rsidP="00E20716">
      <w:pPr>
        <w:pStyle w:val="Resimyazs70"/>
        <w:numPr>
          <w:ilvl w:val="0"/>
          <w:numId w:val="407"/>
        </w:numPr>
        <w:shd w:val="clear" w:color="auto" w:fill="auto"/>
        <w:spacing w:after="120" w:line="240" w:lineRule="auto"/>
        <w:ind w:left="1134" w:hanging="1134"/>
        <w:rPr>
          <w:sz w:val="24"/>
          <w:szCs w:val="24"/>
        </w:rPr>
      </w:pPr>
      <w:r w:rsidRPr="00DE12A3">
        <w:rPr>
          <w:spacing w:val="3"/>
          <w:sz w:val="24"/>
          <w:szCs w:val="24"/>
        </w:rPr>
        <w:t xml:space="preserve">       </w:t>
      </w:r>
      <w:r w:rsidR="00242DA0" w:rsidRPr="00DE12A3">
        <w:rPr>
          <w:spacing w:val="3"/>
          <w:sz w:val="24"/>
          <w:szCs w:val="24"/>
        </w:rPr>
        <w:t>Ayrık mod NRSC için hesaplama</w:t>
      </w:r>
    </w:p>
    <w:p w14:paraId="39B7D784" w14:textId="77777777" w:rsidR="002D7B36" w:rsidRPr="00DE12A3" w:rsidRDefault="00242DA0" w:rsidP="00E20716">
      <w:pPr>
        <w:pStyle w:val="Resimyazs70"/>
        <w:numPr>
          <w:ilvl w:val="0"/>
          <w:numId w:val="408"/>
        </w:numPr>
        <w:shd w:val="clear" w:color="auto" w:fill="auto"/>
        <w:spacing w:after="120" w:line="240" w:lineRule="auto"/>
        <w:ind w:left="1134" w:hanging="1134"/>
        <w:rPr>
          <w:sz w:val="24"/>
          <w:szCs w:val="24"/>
        </w:rPr>
      </w:pPr>
      <w:r w:rsidRPr="00DE12A3">
        <w:rPr>
          <w:spacing w:val="3"/>
          <w:sz w:val="24"/>
          <w:szCs w:val="24"/>
        </w:rPr>
        <w:t>Seyreltme sistemi</w:t>
      </w:r>
    </w:p>
    <w:p w14:paraId="5CD3B200" w14:textId="77777777" w:rsidR="002D7B36" w:rsidRPr="00DE12A3" w:rsidRDefault="00494945" w:rsidP="00C917D6">
      <w:pPr>
        <w:pStyle w:val="Resimyazs70"/>
        <w:shd w:val="clear" w:color="auto" w:fill="auto"/>
        <w:spacing w:after="120" w:line="240" w:lineRule="auto"/>
        <w:ind w:left="1134" w:hanging="1134"/>
        <w:rPr>
          <w:sz w:val="24"/>
          <w:szCs w:val="24"/>
        </w:rPr>
      </w:pPr>
      <w:r w:rsidRPr="00DE12A3">
        <w:rPr>
          <w:spacing w:val="3"/>
          <w:sz w:val="24"/>
          <w:szCs w:val="24"/>
        </w:rPr>
        <w:t xml:space="preserve">                  </w:t>
      </w:r>
      <w:r w:rsidR="00242DA0" w:rsidRPr="00DE12A3">
        <w:rPr>
          <w:spacing w:val="3"/>
          <w:sz w:val="24"/>
          <w:szCs w:val="24"/>
        </w:rPr>
        <w:t xml:space="preserve">Tüm hesaplamalar, örnekleme dönemi boyunca </w:t>
      </w:r>
      <w:r w:rsidR="00242DA0" w:rsidRPr="00DE12A3">
        <w:rPr>
          <w:i/>
          <w:iCs/>
          <w:spacing w:val="3"/>
          <w:sz w:val="24"/>
          <w:szCs w:val="24"/>
        </w:rPr>
        <w:t>i</w:t>
      </w:r>
      <w:r w:rsidR="00242DA0" w:rsidRPr="00DE12A3">
        <w:rPr>
          <w:spacing w:val="3"/>
          <w:sz w:val="24"/>
          <w:szCs w:val="24"/>
        </w:rPr>
        <w:t xml:space="preserve"> bağımsız modlarının ortalama değerleri esasında olmalıdır</w:t>
      </w:r>
      <w:r w:rsidR="00242DA0" w:rsidRPr="00DE12A3">
        <w:rPr>
          <w:rStyle w:val="Resimyazs77pt0ptbolukbraklyor"/>
          <w:color w:val="auto"/>
          <w:sz w:val="24"/>
          <w:szCs w:val="24"/>
        </w:rPr>
        <w:t>.</w:t>
      </w:r>
    </w:p>
    <w:p w14:paraId="40609C0B" w14:textId="337457F3" w:rsidR="00494945" w:rsidRPr="00DE12A3" w:rsidRDefault="00494945" w:rsidP="00C917D6">
      <w:pPr>
        <w:spacing w:before="120" w:after="120"/>
        <w:ind w:left="1701" w:hanging="567"/>
        <w:jc w:val="both"/>
        <w:rPr>
          <w:rFonts w:eastAsia="Times New Roman" w:cs="Times New Roman"/>
          <w:color w:val="auto"/>
          <w:spacing w:val="3"/>
        </w:rPr>
      </w:pPr>
      <w:r w:rsidRPr="00DE12A3">
        <w:rPr>
          <w:rFonts w:eastAsia="Times New Roman" w:cs="Times New Roman"/>
          <w:color w:val="auto"/>
          <w:spacing w:val="3"/>
        </w:rPr>
        <w:t>(a)</w:t>
      </w:r>
      <w:r w:rsidRPr="00DE12A3">
        <w:rPr>
          <w:rFonts w:eastAsia="Times New Roman" w:cs="Times New Roman"/>
          <w:color w:val="auto"/>
          <w:spacing w:val="3"/>
        </w:rPr>
        <w:tab/>
        <w:t>Kısmi akış seyreltme için, seyreltilmiş egzoz gazının eşdeğer kütle akışı denklem (7-51) ve akış ölçümlü sistem ile belirlenmelidir.</w:t>
      </w:r>
    </w:p>
    <w:p w14:paraId="554F1701" w14:textId="023CCE7D" w:rsidR="002D7B36" w:rsidRPr="00DE12A3" w:rsidRDefault="00E33A88" w:rsidP="00C917D6">
      <w:pPr>
        <w:pStyle w:val="Gvdemetni251"/>
        <w:spacing w:before="120" w:after="120" w:line="240" w:lineRule="auto"/>
        <w:ind w:left="1134" w:hanging="1134"/>
        <w:rPr>
          <w:color w:val="auto"/>
          <w:sz w:val="24"/>
          <w:szCs w:val="24"/>
        </w:rPr>
      </w:pPr>
      <w:r w:rsidRPr="00DE12A3">
        <w:rPr>
          <w:noProof/>
          <w:color w:val="auto"/>
        </w:rPr>
        <w:drawing>
          <wp:anchor distT="0" distB="0" distL="114300" distR="114300" simplePos="0" relativeHeight="251617792" behindDoc="0" locked="0" layoutInCell="1" allowOverlap="1" wp14:anchorId="38EAFE74" wp14:editId="3A6D8626">
            <wp:simplePos x="0" y="0"/>
            <wp:positionH relativeFrom="column">
              <wp:posOffset>851535</wp:posOffset>
            </wp:positionH>
            <wp:positionV relativeFrom="paragraph">
              <wp:posOffset>194945</wp:posOffset>
            </wp:positionV>
            <wp:extent cx="4630420" cy="1016000"/>
            <wp:effectExtent l="0" t="0" r="0" b="0"/>
            <wp:wrapSquare wrapText="bothSides"/>
            <wp:docPr id="112" name="Resim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Resim 112"/>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a:xfrm>
                      <a:off x="0" y="0"/>
                      <a:ext cx="4630420" cy="1016000"/>
                    </a:xfrm>
                    <a:prstGeom prst="rect">
                      <a:avLst/>
                    </a:prstGeom>
                    <a:noFill/>
                    <a:ln>
                      <a:noFill/>
                    </a:ln>
                  </pic:spPr>
                </pic:pic>
              </a:graphicData>
            </a:graphic>
            <wp14:sizeRelH relativeFrom="margin">
              <wp14:pctWidth>0</wp14:pctWidth>
            </wp14:sizeRelH>
          </wp:anchor>
        </w:drawing>
      </w:r>
    </w:p>
    <w:tbl>
      <w:tblPr>
        <w:tblpPr w:leftFromText="141" w:rightFromText="141" w:vertAnchor="text" w:horzAnchor="margin" w:tblpXSpec="center" w:tblpY="186"/>
        <w:tblOverlap w:val="never"/>
        <w:tblW w:w="0" w:type="auto"/>
        <w:tblLayout w:type="fixed"/>
        <w:tblCellMar>
          <w:left w:w="10" w:type="dxa"/>
          <w:right w:w="10" w:type="dxa"/>
        </w:tblCellMar>
        <w:tblLook w:val="04A0" w:firstRow="1" w:lastRow="0" w:firstColumn="1" w:lastColumn="0" w:noHBand="0" w:noVBand="1"/>
      </w:tblPr>
      <w:tblGrid>
        <w:gridCol w:w="904"/>
        <w:gridCol w:w="2661"/>
        <w:gridCol w:w="1361"/>
      </w:tblGrid>
      <w:tr w:rsidR="00DE12A3" w:rsidRPr="00DE12A3" w14:paraId="63B051D3" w14:textId="77777777" w:rsidTr="00B06860">
        <w:trPr>
          <w:trHeight w:hRule="exact" w:val="579"/>
        </w:trPr>
        <w:tc>
          <w:tcPr>
            <w:tcW w:w="904" w:type="dxa"/>
            <w:shd w:val="clear" w:color="auto" w:fill="FFFFFF"/>
          </w:tcPr>
          <w:p w14:paraId="5632665E" w14:textId="77777777" w:rsidR="00494945" w:rsidRPr="00DE12A3" w:rsidRDefault="00494945" w:rsidP="00C917D6">
            <w:pPr>
              <w:pStyle w:val="Gvdemetni361"/>
              <w:shd w:val="clear" w:color="auto" w:fill="auto"/>
              <w:spacing w:before="120" w:after="120" w:line="240" w:lineRule="auto"/>
              <w:ind w:left="1134" w:hanging="1134"/>
              <w:rPr>
                <w:color w:val="auto"/>
                <w:sz w:val="24"/>
                <w:szCs w:val="24"/>
              </w:rPr>
            </w:pPr>
            <w:r w:rsidRPr="00DE12A3">
              <w:rPr>
                <w:color w:val="auto"/>
                <w:spacing w:val="3"/>
                <w:sz w:val="24"/>
                <w:szCs w:val="24"/>
              </w:rPr>
              <w:t xml:space="preserve">Burada </w:t>
            </w:r>
            <w:r w:rsidRPr="00DE12A3">
              <w:rPr>
                <w:rStyle w:val="Gvdemetni367pt0ptbolukbraklyor"/>
                <w:color w:val="auto"/>
                <w:sz w:val="24"/>
                <w:szCs w:val="24"/>
              </w:rPr>
              <w:t>:</w:t>
            </w:r>
          </w:p>
        </w:tc>
        <w:tc>
          <w:tcPr>
            <w:tcW w:w="2661" w:type="dxa"/>
            <w:shd w:val="clear" w:color="auto" w:fill="FFFFFF"/>
          </w:tcPr>
          <w:p w14:paraId="668DF84A" w14:textId="77777777" w:rsidR="00494945" w:rsidRPr="00DE12A3" w:rsidRDefault="00494945" w:rsidP="00C917D6">
            <w:pPr>
              <w:spacing w:before="120" w:after="120"/>
              <w:ind w:left="1134" w:hanging="1134"/>
              <w:jc w:val="both"/>
              <w:rPr>
                <w:rFonts w:cs="Times New Roman"/>
                <w:color w:val="auto"/>
              </w:rPr>
            </w:pPr>
          </w:p>
        </w:tc>
        <w:tc>
          <w:tcPr>
            <w:tcW w:w="1360" w:type="dxa"/>
            <w:shd w:val="clear" w:color="auto" w:fill="FFFFFF"/>
          </w:tcPr>
          <w:p w14:paraId="6F7B2E68" w14:textId="77777777" w:rsidR="00494945" w:rsidRPr="00DE12A3" w:rsidRDefault="00494945" w:rsidP="00C917D6">
            <w:pPr>
              <w:spacing w:before="120" w:after="120"/>
              <w:ind w:left="1134" w:hanging="1134"/>
              <w:jc w:val="both"/>
              <w:rPr>
                <w:rFonts w:cs="Times New Roman"/>
                <w:color w:val="auto"/>
              </w:rPr>
            </w:pPr>
          </w:p>
        </w:tc>
      </w:tr>
      <w:tr w:rsidR="00DE12A3" w:rsidRPr="00DE12A3" w14:paraId="6436713A" w14:textId="77777777" w:rsidTr="00B06860">
        <w:trPr>
          <w:trHeight w:hRule="exact" w:val="771"/>
        </w:trPr>
        <w:tc>
          <w:tcPr>
            <w:tcW w:w="904" w:type="dxa"/>
            <w:shd w:val="clear" w:color="auto" w:fill="FFFFFF"/>
          </w:tcPr>
          <w:p w14:paraId="7E400A34" w14:textId="77777777" w:rsidR="00494945" w:rsidRPr="00DE12A3" w:rsidRDefault="00494945" w:rsidP="00C917D6">
            <w:pPr>
              <w:pStyle w:val="Gvdemetni361"/>
              <w:shd w:val="clear" w:color="auto" w:fill="auto"/>
              <w:spacing w:before="120" w:after="120" w:line="240" w:lineRule="auto"/>
              <w:ind w:left="1134" w:hanging="1134"/>
              <w:rPr>
                <w:color w:val="auto"/>
                <w:sz w:val="24"/>
                <w:szCs w:val="24"/>
              </w:rPr>
            </w:pPr>
            <w:r w:rsidRPr="00DE12A3">
              <w:rPr>
                <w:rStyle w:val="Gvdemetni365pt0ptbolukbraklyor6"/>
                <w:rFonts w:eastAsia="Segoe UI"/>
                <w:i/>
                <w:iCs/>
                <w:color w:val="auto"/>
                <w:sz w:val="24"/>
                <w:szCs w:val="24"/>
              </w:rPr>
              <w:t>q</w:t>
            </w:r>
            <w:r w:rsidRPr="00DE12A3">
              <w:rPr>
                <w:rStyle w:val="Gvdemetni365pt0ptbolukbraklyor6"/>
                <w:rFonts w:eastAsia="Segoe UI"/>
                <w:color w:val="auto"/>
                <w:sz w:val="24"/>
                <w:szCs w:val="24"/>
                <w:vertAlign w:val="subscript"/>
              </w:rPr>
              <w:t>medf</w:t>
            </w:r>
            <w:r w:rsidRPr="00DE12A3">
              <w:rPr>
                <w:rStyle w:val="Gvdemetni365pt0ptbolukbraklyor6"/>
                <w:rFonts w:eastAsia="Segoe UI"/>
                <w:color w:val="auto"/>
                <w:sz w:val="24"/>
                <w:szCs w:val="24"/>
              </w:rPr>
              <w:tab/>
              <w:t>=</w:t>
            </w:r>
          </w:p>
        </w:tc>
        <w:tc>
          <w:tcPr>
            <w:tcW w:w="4022" w:type="dxa"/>
            <w:gridSpan w:val="2"/>
            <w:shd w:val="clear" w:color="auto" w:fill="FFFFFF"/>
          </w:tcPr>
          <w:p w14:paraId="79D46513" w14:textId="77777777" w:rsidR="00494945" w:rsidRPr="00DE12A3" w:rsidRDefault="00494945" w:rsidP="00C917D6">
            <w:pPr>
              <w:pStyle w:val="Gvdemetni361"/>
              <w:shd w:val="clear" w:color="auto" w:fill="auto"/>
              <w:spacing w:before="120" w:after="120" w:line="240" w:lineRule="auto"/>
              <w:ind w:left="1134" w:hanging="1134"/>
              <w:rPr>
                <w:color w:val="auto"/>
                <w:sz w:val="24"/>
                <w:szCs w:val="24"/>
              </w:rPr>
            </w:pPr>
            <w:r w:rsidRPr="00DE12A3">
              <w:rPr>
                <w:rStyle w:val="Gvdemetni367pt0ptbolukbraklyor"/>
                <w:color w:val="auto"/>
                <w:sz w:val="24"/>
                <w:szCs w:val="24"/>
              </w:rPr>
              <w:t>denk seyreltilmiş egzoz gazı kütle akış hızı [kg/s]</w:t>
            </w:r>
          </w:p>
        </w:tc>
      </w:tr>
      <w:tr w:rsidR="00DE12A3" w:rsidRPr="00DE12A3" w14:paraId="26B26CB4" w14:textId="77777777" w:rsidTr="00B06860">
        <w:trPr>
          <w:trHeight w:hRule="exact" w:val="853"/>
        </w:trPr>
        <w:tc>
          <w:tcPr>
            <w:tcW w:w="904" w:type="dxa"/>
            <w:shd w:val="clear" w:color="auto" w:fill="FFFFFF"/>
          </w:tcPr>
          <w:p w14:paraId="17A2AA7F" w14:textId="77777777" w:rsidR="00494945" w:rsidRPr="00DE12A3" w:rsidRDefault="00494945" w:rsidP="00C917D6">
            <w:pPr>
              <w:pStyle w:val="Gvdemetni361"/>
              <w:shd w:val="clear" w:color="auto" w:fill="auto"/>
              <w:spacing w:before="120" w:after="120" w:line="240" w:lineRule="auto"/>
              <w:ind w:left="1134" w:hanging="1134"/>
              <w:rPr>
                <w:color w:val="auto"/>
                <w:sz w:val="24"/>
                <w:szCs w:val="24"/>
              </w:rPr>
            </w:pPr>
            <w:r w:rsidRPr="00DE12A3">
              <w:rPr>
                <w:rStyle w:val="Gvdemetni365pt0ptbolukbraklyor6"/>
                <w:rFonts w:eastAsia="Segoe UI"/>
                <w:i/>
                <w:color w:val="auto"/>
                <w:sz w:val="24"/>
                <w:szCs w:val="24"/>
              </w:rPr>
              <w:t>q</w:t>
            </w:r>
            <w:r w:rsidRPr="00DE12A3">
              <w:rPr>
                <w:rStyle w:val="Gvdemetni365pt0ptbolukbraklyor6"/>
                <w:rFonts w:eastAsia="Segoe UI"/>
                <w:color w:val="auto"/>
                <w:sz w:val="24"/>
                <w:szCs w:val="24"/>
                <w:vertAlign w:val="subscript"/>
              </w:rPr>
              <w:t>mew</w:t>
            </w:r>
            <w:r w:rsidRPr="00DE12A3">
              <w:rPr>
                <w:rStyle w:val="Gvdemetni365pt0ptbolukbraklyor6"/>
                <w:rFonts w:eastAsia="Segoe UI"/>
                <w:color w:val="auto"/>
                <w:sz w:val="24"/>
                <w:szCs w:val="24"/>
                <w:vertAlign w:val="subscript"/>
              </w:rPr>
              <w:tab/>
            </w:r>
            <w:r w:rsidRPr="00DE12A3">
              <w:rPr>
                <w:rStyle w:val="Gvdemetni365pt0ptbolukbraklyor6"/>
                <w:rFonts w:eastAsia="Segoe UI"/>
                <w:color w:val="auto"/>
                <w:sz w:val="24"/>
                <w:szCs w:val="24"/>
              </w:rPr>
              <w:t>=</w:t>
            </w:r>
          </w:p>
        </w:tc>
        <w:tc>
          <w:tcPr>
            <w:tcW w:w="4022" w:type="dxa"/>
            <w:gridSpan w:val="2"/>
            <w:shd w:val="clear" w:color="auto" w:fill="FFFFFF"/>
          </w:tcPr>
          <w:p w14:paraId="5673773E" w14:textId="77777777" w:rsidR="00494945" w:rsidRPr="00DE12A3" w:rsidRDefault="00494945" w:rsidP="00C917D6">
            <w:pPr>
              <w:pStyle w:val="Gvdemetni361"/>
              <w:shd w:val="clear" w:color="auto" w:fill="auto"/>
              <w:spacing w:before="120" w:after="120" w:line="240" w:lineRule="auto"/>
              <w:ind w:left="1134" w:hanging="1134"/>
              <w:rPr>
                <w:color w:val="auto"/>
                <w:sz w:val="24"/>
                <w:szCs w:val="24"/>
              </w:rPr>
            </w:pPr>
            <w:r w:rsidRPr="00DE12A3">
              <w:rPr>
                <w:rStyle w:val="Gvdemetni367pt0ptbolukbraklyor"/>
                <w:color w:val="auto"/>
                <w:sz w:val="24"/>
                <w:szCs w:val="24"/>
              </w:rPr>
              <w:t>yaş bazda egzoz gazı kütle akış hızı [kg/s]</w:t>
            </w:r>
          </w:p>
        </w:tc>
      </w:tr>
      <w:tr w:rsidR="00DE12A3" w:rsidRPr="00DE12A3" w14:paraId="6A48544D" w14:textId="77777777" w:rsidTr="00B06860">
        <w:trPr>
          <w:trHeight w:hRule="exact" w:val="554"/>
        </w:trPr>
        <w:tc>
          <w:tcPr>
            <w:tcW w:w="904" w:type="dxa"/>
            <w:shd w:val="clear" w:color="auto" w:fill="FFFFFF"/>
          </w:tcPr>
          <w:p w14:paraId="2600ED70" w14:textId="77777777" w:rsidR="00494945" w:rsidRPr="00DE12A3" w:rsidRDefault="00494945" w:rsidP="00C917D6">
            <w:pPr>
              <w:pStyle w:val="Gvdemetni361"/>
              <w:shd w:val="clear" w:color="auto" w:fill="auto"/>
              <w:spacing w:before="120" w:after="120" w:line="240" w:lineRule="auto"/>
              <w:ind w:left="1134" w:hanging="1134"/>
              <w:rPr>
                <w:color w:val="auto"/>
                <w:sz w:val="24"/>
                <w:szCs w:val="24"/>
              </w:rPr>
            </w:pPr>
            <w:r w:rsidRPr="00DE12A3">
              <w:rPr>
                <w:rStyle w:val="Gvdemetni3655pt0ptbolukbraklyor"/>
                <w:i/>
                <w:color w:val="auto"/>
                <w:sz w:val="24"/>
                <w:szCs w:val="24"/>
              </w:rPr>
              <w:t>r</w:t>
            </w:r>
            <w:r w:rsidRPr="00DE12A3">
              <w:rPr>
                <w:rStyle w:val="Gvdemetni3655pt0ptbolukbraklyor"/>
                <w:color w:val="auto"/>
                <w:sz w:val="24"/>
                <w:szCs w:val="24"/>
                <w:vertAlign w:val="subscript"/>
              </w:rPr>
              <w:t>d</w:t>
            </w:r>
            <w:r w:rsidRPr="00DE12A3">
              <w:rPr>
                <w:rStyle w:val="Gvdemetni3655pt0ptbolukbraklyor"/>
                <w:color w:val="auto"/>
                <w:sz w:val="24"/>
                <w:szCs w:val="24"/>
              </w:rPr>
              <w:tab/>
              <w:t>=</w:t>
            </w:r>
          </w:p>
        </w:tc>
        <w:tc>
          <w:tcPr>
            <w:tcW w:w="2661" w:type="dxa"/>
            <w:shd w:val="clear" w:color="auto" w:fill="FFFFFF"/>
          </w:tcPr>
          <w:p w14:paraId="0CA1B66F" w14:textId="77777777" w:rsidR="00494945" w:rsidRPr="00DE12A3" w:rsidRDefault="00494945" w:rsidP="00C917D6">
            <w:pPr>
              <w:pStyle w:val="Gvdemetni361"/>
              <w:shd w:val="clear" w:color="auto" w:fill="auto"/>
              <w:spacing w:before="120" w:after="120" w:line="240" w:lineRule="auto"/>
              <w:ind w:left="1134" w:hanging="1134"/>
              <w:rPr>
                <w:color w:val="auto"/>
                <w:sz w:val="24"/>
                <w:szCs w:val="24"/>
              </w:rPr>
            </w:pPr>
            <w:r w:rsidRPr="00DE12A3">
              <w:rPr>
                <w:rStyle w:val="Gvdemetni367pt0ptbolukbraklyor"/>
                <w:color w:val="auto"/>
                <w:sz w:val="24"/>
                <w:szCs w:val="24"/>
              </w:rPr>
              <w:t>seyreltme oranı [-]</w:t>
            </w:r>
          </w:p>
        </w:tc>
        <w:tc>
          <w:tcPr>
            <w:tcW w:w="1360" w:type="dxa"/>
            <w:shd w:val="clear" w:color="auto" w:fill="FFFFFF"/>
          </w:tcPr>
          <w:p w14:paraId="32E08483" w14:textId="77777777" w:rsidR="00494945" w:rsidRPr="00DE12A3" w:rsidRDefault="00494945" w:rsidP="00C917D6">
            <w:pPr>
              <w:spacing w:before="120" w:after="120"/>
              <w:ind w:left="1134" w:hanging="1134"/>
              <w:jc w:val="both"/>
              <w:rPr>
                <w:rFonts w:cs="Times New Roman"/>
                <w:color w:val="auto"/>
              </w:rPr>
            </w:pPr>
          </w:p>
        </w:tc>
      </w:tr>
      <w:tr w:rsidR="00DE12A3" w:rsidRPr="00DE12A3" w14:paraId="5665EF6C" w14:textId="77777777" w:rsidTr="00B06860">
        <w:trPr>
          <w:trHeight w:hRule="exact" w:val="873"/>
        </w:trPr>
        <w:tc>
          <w:tcPr>
            <w:tcW w:w="904" w:type="dxa"/>
            <w:shd w:val="clear" w:color="auto" w:fill="FFFFFF"/>
          </w:tcPr>
          <w:p w14:paraId="73D70F72" w14:textId="77777777" w:rsidR="00494945" w:rsidRPr="00DE12A3" w:rsidRDefault="00494945" w:rsidP="00C917D6">
            <w:pPr>
              <w:pStyle w:val="Gvdemetni361"/>
              <w:shd w:val="clear" w:color="auto" w:fill="auto"/>
              <w:spacing w:before="120" w:after="120" w:line="240" w:lineRule="auto"/>
              <w:ind w:left="1134" w:hanging="1134"/>
              <w:rPr>
                <w:color w:val="auto"/>
                <w:sz w:val="24"/>
                <w:szCs w:val="24"/>
              </w:rPr>
            </w:pPr>
            <w:r w:rsidRPr="00DE12A3">
              <w:rPr>
                <w:rStyle w:val="Gvdemetni365pt0ptbolukbraklyor6"/>
                <w:rFonts w:eastAsia="Segoe UI"/>
                <w:i/>
                <w:iCs/>
                <w:color w:val="auto"/>
                <w:sz w:val="24"/>
                <w:szCs w:val="24"/>
              </w:rPr>
              <w:t>q</w:t>
            </w:r>
            <w:r w:rsidRPr="00DE12A3">
              <w:rPr>
                <w:rStyle w:val="Gvdemetni365pt0ptbolukbraklyor6"/>
                <w:rFonts w:eastAsia="Segoe UI"/>
                <w:color w:val="auto"/>
                <w:sz w:val="24"/>
                <w:szCs w:val="24"/>
                <w:vertAlign w:val="subscript"/>
              </w:rPr>
              <w:t>mdew</w:t>
            </w:r>
            <w:r w:rsidRPr="00DE12A3">
              <w:rPr>
                <w:rStyle w:val="Gvdemetni365pt0ptbolukbraklyor6"/>
                <w:rFonts w:eastAsia="Segoe UI"/>
                <w:color w:val="auto"/>
                <w:sz w:val="24"/>
                <w:szCs w:val="24"/>
                <w:vertAlign w:val="subscript"/>
              </w:rPr>
              <w:tab/>
            </w:r>
            <w:r w:rsidRPr="00DE12A3">
              <w:rPr>
                <w:rStyle w:val="Gvdemetni365pt0ptbolukbraklyor6"/>
                <w:rFonts w:eastAsia="Segoe UI"/>
                <w:color w:val="auto"/>
                <w:sz w:val="24"/>
                <w:szCs w:val="24"/>
              </w:rPr>
              <w:t>=</w:t>
            </w:r>
          </w:p>
        </w:tc>
        <w:tc>
          <w:tcPr>
            <w:tcW w:w="4022" w:type="dxa"/>
            <w:gridSpan w:val="2"/>
            <w:shd w:val="clear" w:color="auto" w:fill="FFFFFF"/>
          </w:tcPr>
          <w:p w14:paraId="1C7883D3" w14:textId="77777777" w:rsidR="00494945" w:rsidRPr="00DE12A3" w:rsidRDefault="00494945" w:rsidP="00C917D6">
            <w:pPr>
              <w:pStyle w:val="Gvdemetni361"/>
              <w:shd w:val="clear" w:color="auto" w:fill="auto"/>
              <w:spacing w:before="120" w:after="120" w:line="240" w:lineRule="auto"/>
              <w:ind w:left="1134" w:hanging="1134"/>
              <w:rPr>
                <w:color w:val="auto"/>
                <w:sz w:val="24"/>
                <w:szCs w:val="24"/>
              </w:rPr>
            </w:pPr>
            <w:r w:rsidRPr="00DE12A3">
              <w:rPr>
                <w:rStyle w:val="Gvdemetni367pt0ptbolukbraklyor"/>
                <w:color w:val="auto"/>
                <w:sz w:val="24"/>
                <w:szCs w:val="24"/>
              </w:rPr>
              <w:t>yaş bazda seyreltilmiş egzoz gazı kütle akış hızı [kg/s]</w:t>
            </w:r>
          </w:p>
        </w:tc>
      </w:tr>
      <w:tr w:rsidR="00DE12A3" w:rsidRPr="00DE12A3" w14:paraId="3091B3CC" w14:textId="77777777" w:rsidTr="00B06860">
        <w:trPr>
          <w:trHeight w:hRule="exact" w:val="419"/>
        </w:trPr>
        <w:tc>
          <w:tcPr>
            <w:tcW w:w="904" w:type="dxa"/>
            <w:shd w:val="clear" w:color="auto" w:fill="FFFFFF"/>
          </w:tcPr>
          <w:p w14:paraId="1F9EDDCD" w14:textId="77777777" w:rsidR="00494945" w:rsidRPr="00DE12A3" w:rsidRDefault="00494945" w:rsidP="00C917D6">
            <w:pPr>
              <w:pStyle w:val="Gvdemetni361"/>
              <w:shd w:val="clear" w:color="auto" w:fill="auto"/>
              <w:spacing w:before="120" w:after="120" w:line="240" w:lineRule="auto"/>
              <w:ind w:left="1134" w:hanging="1134"/>
              <w:rPr>
                <w:color w:val="auto"/>
                <w:sz w:val="24"/>
                <w:szCs w:val="24"/>
              </w:rPr>
            </w:pPr>
            <w:r w:rsidRPr="00DE12A3">
              <w:rPr>
                <w:rStyle w:val="Gvdemetni365pt0ptbolukbraklyor6"/>
                <w:rFonts w:eastAsia="Segoe UI"/>
                <w:i/>
                <w:color w:val="auto"/>
                <w:sz w:val="24"/>
                <w:szCs w:val="24"/>
              </w:rPr>
              <w:t>q</w:t>
            </w:r>
            <w:r w:rsidRPr="00DE12A3">
              <w:rPr>
                <w:rStyle w:val="Gvdemetni365pt0ptbolukbraklyor6"/>
                <w:rFonts w:eastAsia="Segoe UI"/>
                <w:color w:val="auto"/>
                <w:sz w:val="24"/>
                <w:szCs w:val="24"/>
                <w:vertAlign w:val="subscript"/>
              </w:rPr>
              <w:t>mdw</w:t>
            </w:r>
            <w:r w:rsidRPr="00DE12A3">
              <w:rPr>
                <w:rStyle w:val="Gvdemetni365pt0ptbolukbraklyor6"/>
                <w:rFonts w:eastAsia="Segoe UI"/>
                <w:color w:val="auto"/>
                <w:sz w:val="24"/>
                <w:szCs w:val="24"/>
                <w:vertAlign w:val="subscript"/>
              </w:rPr>
              <w:tab/>
            </w:r>
            <w:r w:rsidRPr="00DE12A3">
              <w:rPr>
                <w:rStyle w:val="Gvdemetni365pt0ptbolukbraklyor6"/>
                <w:rFonts w:eastAsia="Segoe UI"/>
                <w:color w:val="auto"/>
                <w:sz w:val="24"/>
                <w:szCs w:val="24"/>
              </w:rPr>
              <w:t>=</w:t>
            </w:r>
          </w:p>
        </w:tc>
        <w:tc>
          <w:tcPr>
            <w:tcW w:w="4022" w:type="dxa"/>
            <w:gridSpan w:val="2"/>
            <w:shd w:val="clear" w:color="auto" w:fill="FFFFFF"/>
          </w:tcPr>
          <w:p w14:paraId="2CAFB39A" w14:textId="77777777" w:rsidR="00494945" w:rsidRPr="00DE12A3" w:rsidRDefault="00494945" w:rsidP="00C917D6">
            <w:pPr>
              <w:spacing w:before="120" w:after="120"/>
              <w:ind w:left="1134" w:hanging="1134"/>
              <w:jc w:val="both"/>
              <w:rPr>
                <w:rStyle w:val="Gvdemetni367pt0ptbolukbraklyor"/>
                <w:rFonts w:eastAsia="Courier New"/>
                <w:color w:val="auto"/>
                <w:sz w:val="24"/>
                <w:szCs w:val="24"/>
              </w:rPr>
            </w:pPr>
            <w:r w:rsidRPr="00DE12A3">
              <w:rPr>
                <w:rStyle w:val="Gvdemetni367pt0ptbolukbraklyor"/>
                <w:rFonts w:eastAsia="Courier New"/>
                <w:color w:val="auto"/>
                <w:sz w:val="24"/>
                <w:szCs w:val="24"/>
              </w:rPr>
              <w:t>seyreltme havası kütle akış hızı [kg/s]</w:t>
            </w:r>
          </w:p>
          <w:p w14:paraId="6B89E246" w14:textId="77777777" w:rsidR="00494945" w:rsidRPr="00DE12A3" w:rsidRDefault="00494945" w:rsidP="00C917D6">
            <w:pPr>
              <w:spacing w:before="120" w:after="120"/>
              <w:ind w:left="1134" w:hanging="1134"/>
              <w:jc w:val="both"/>
              <w:rPr>
                <w:rStyle w:val="Gvdemetni367pt0ptbolukbraklyor"/>
                <w:rFonts w:eastAsia="Courier New"/>
                <w:color w:val="auto"/>
                <w:sz w:val="24"/>
                <w:szCs w:val="24"/>
              </w:rPr>
            </w:pPr>
          </w:p>
          <w:p w14:paraId="23BA94A3" w14:textId="77777777" w:rsidR="00494945" w:rsidRPr="00DE12A3" w:rsidRDefault="00494945" w:rsidP="00C917D6">
            <w:pPr>
              <w:spacing w:before="120" w:after="120"/>
              <w:ind w:left="1134" w:hanging="1134"/>
              <w:jc w:val="both"/>
              <w:rPr>
                <w:rStyle w:val="Gvdemetni367pt0ptbolukbraklyor"/>
                <w:rFonts w:eastAsia="Courier New"/>
                <w:color w:val="auto"/>
                <w:sz w:val="24"/>
                <w:szCs w:val="24"/>
              </w:rPr>
            </w:pPr>
          </w:p>
          <w:p w14:paraId="47E4F8C5" w14:textId="77777777" w:rsidR="00494945" w:rsidRPr="00DE12A3" w:rsidRDefault="00494945" w:rsidP="00C917D6">
            <w:pPr>
              <w:spacing w:before="120" w:after="120"/>
              <w:ind w:left="1134" w:hanging="1134"/>
              <w:jc w:val="both"/>
              <w:rPr>
                <w:rStyle w:val="Gvdemetni367pt0ptbolukbraklyor"/>
                <w:rFonts w:eastAsia="Courier New"/>
                <w:color w:val="auto"/>
                <w:sz w:val="24"/>
                <w:szCs w:val="24"/>
              </w:rPr>
            </w:pPr>
          </w:p>
          <w:p w14:paraId="36288950" w14:textId="77777777" w:rsidR="00494945" w:rsidRPr="00DE12A3" w:rsidRDefault="00494945" w:rsidP="00C917D6">
            <w:pPr>
              <w:spacing w:before="120" w:after="120"/>
              <w:ind w:left="1134" w:hanging="1134"/>
              <w:jc w:val="both"/>
              <w:rPr>
                <w:rStyle w:val="Gvdemetni367pt0ptbolukbraklyor"/>
                <w:rFonts w:eastAsia="Courier New"/>
                <w:color w:val="auto"/>
                <w:sz w:val="24"/>
                <w:szCs w:val="24"/>
              </w:rPr>
            </w:pPr>
          </w:p>
          <w:p w14:paraId="4C28A38B" w14:textId="77777777" w:rsidR="00494945" w:rsidRPr="00DE12A3" w:rsidRDefault="00494945" w:rsidP="00C917D6">
            <w:pPr>
              <w:spacing w:before="120" w:after="120"/>
              <w:ind w:left="1134" w:hanging="1134"/>
              <w:jc w:val="both"/>
              <w:rPr>
                <w:rStyle w:val="Gvdemetni367pt0ptbolukbraklyor"/>
                <w:rFonts w:eastAsia="Courier New"/>
                <w:color w:val="auto"/>
                <w:sz w:val="24"/>
                <w:szCs w:val="24"/>
              </w:rPr>
            </w:pPr>
          </w:p>
          <w:p w14:paraId="4E16F166" w14:textId="77777777" w:rsidR="00494945" w:rsidRPr="00DE12A3" w:rsidRDefault="00494945" w:rsidP="00C917D6">
            <w:pPr>
              <w:spacing w:before="120" w:after="120"/>
              <w:ind w:left="1134" w:hanging="1134"/>
              <w:jc w:val="both"/>
              <w:rPr>
                <w:rStyle w:val="Gvdemetni367pt0ptbolukbraklyor"/>
                <w:rFonts w:eastAsia="Courier New"/>
                <w:color w:val="auto"/>
                <w:sz w:val="24"/>
                <w:szCs w:val="24"/>
              </w:rPr>
            </w:pPr>
          </w:p>
          <w:p w14:paraId="6137B117" w14:textId="77777777" w:rsidR="00494945" w:rsidRPr="00DE12A3" w:rsidRDefault="00494945" w:rsidP="00C917D6">
            <w:pPr>
              <w:spacing w:before="120" w:after="120"/>
              <w:ind w:left="1134" w:hanging="1134"/>
              <w:jc w:val="both"/>
              <w:rPr>
                <w:rFonts w:cs="Times New Roman"/>
                <w:color w:val="auto"/>
              </w:rPr>
            </w:pPr>
          </w:p>
        </w:tc>
      </w:tr>
    </w:tbl>
    <w:p w14:paraId="60AB56EC" w14:textId="77777777" w:rsidR="002D7B36" w:rsidRPr="00DE12A3" w:rsidRDefault="002D7B36" w:rsidP="00C917D6">
      <w:pPr>
        <w:widowControl/>
        <w:spacing w:before="120" w:after="120"/>
        <w:ind w:left="1134" w:rightChars="80" w:right="192" w:hanging="1134"/>
        <w:jc w:val="both"/>
        <w:rPr>
          <w:rFonts w:cs="Times New Roman"/>
          <w:color w:val="auto"/>
          <w:lang w:eastAsia="en-US"/>
        </w:rPr>
      </w:pPr>
    </w:p>
    <w:p w14:paraId="28329652" w14:textId="77777777" w:rsidR="002D7B36" w:rsidRPr="00DE12A3" w:rsidRDefault="002D7B36" w:rsidP="00C917D6">
      <w:pPr>
        <w:widowControl/>
        <w:spacing w:before="120" w:after="120"/>
        <w:ind w:left="1134" w:rightChars="80" w:right="192" w:hanging="1134"/>
        <w:jc w:val="both"/>
        <w:rPr>
          <w:rFonts w:cs="Times New Roman"/>
          <w:color w:val="auto"/>
          <w:lang w:eastAsia="en-US"/>
        </w:rPr>
      </w:pPr>
    </w:p>
    <w:p w14:paraId="37BD818F" w14:textId="77777777" w:rsidR="002D7B36" w:rsidRPr="00DE12A3" w:rsidRDefault="002D7B36" w:rsidP="00C917D6">
      <w:pPr>
        <w:widowControl/>
        <w:spacing w:before="120" w:after="120"/>
        <w:ind w:left="1134" w:rightChars="80" w:right="192" w:hanging="1134"/>
        <w:jc w:val="both"/>
        <w:rPr>
          <w:rFonts w:cs="Times New Roman"/>
          <w:color w:val="auto"/>
          <w:lang w:eastAsia="en-US"/>
        </w:rPr>
      </w:pPr>
    </w:p>
    <w:p w14:paraId="7C202682" w14:textId="77777777" w:rsidR="002D7B36" w:rsidRPr="00DE12A3" w:rsidRDefault="002D7B36" w:rsidP="00C917D6">
      <w:pPr>
        <w:widowControl/>
        <w:spacing w:before="120" w:after="120"/>
        <w:ind w:left="1134" w:rightChars="80" w:right="192" w:hanging="1134"/>
        <w:jc w:val="both"/>
        <w:rPr>
          <w:rFonts w:cs="Times New Roman"/>
          <w:color w:val="auto"/>
          <w:lang w:eastAsia="en-US"/>
        </w:rPr>
      </w:pPr>
    </w:p>
    <w:p w14:paraId="78724814" w14:textId="77777777" w:rsidR="002D7B36" w:rsidRPr="00DE12A3" w:rsidRDefault="002D7B36" w:rsidP="00C917D6">
      <w:pPr>
        <w:widowControl/>
        <w:spacing w:before="120" w:after="120"/>
        <w:ind w:left="1134" w:rightChars="80" w:right="192" w:hanging="1134"/>
        <w:jc w:val="both"/>
        <w:rPr>
          <w:rFonts w:cs="Times New Roman"/>
          <w:color w:val="auto"/>
          <w:lang w:eastAsia="en-US"/>
        </w:rPr>
      </w:pPr>
    </w:p>
    <w:p w14:paraId="53441509" w14:textId="77777777" w:rsidR="002D7B36" w:rsidRPr="00DE12A3" w:rsidRDefault="002D7B36" w:rsidP="00C917D6">
      <w:pPr>
        <w:widowControl/>
        <w:spacing w:before="120" w:after="120"/>
        <w:ind w:left="1134" w:rightChars="80" w:right="192" w:hanging="1134"/>
        <w:jc w:val="both"/>
        <w:rPr>
          <w:rFonts w:cs="Times New Roman"/>
          <w:color w:val="auto"/>
          <w:lang w:eastAsia="en-US"/>
        </w:rPr>
      </w:pPr>
    </w:p>
    <w:p w14:paraId="75E7D827" w14:textId="77777777" w:rsidR="002D7B36" w:rsidRPr="00DE12A3" w:rsidRDefault="002D7B36" w:rsidP="00C917D6">
      <w:pPr>
        <w:widowControl/>
        <w:spacing w:before="120" w:after="120"/>
        <w:ind w:left="1134" w:rightChars="80" w:right="192" w:hanging="1134"/>
        <w:jc w:val="both"/>
        <w:rPr>
          <w:rFonts w:cs="Times New Roman"/>
          <w:color w:val="auto"/>
          <w:lang w:eastAsia="en-US"/>
        </w:rPr>
      </w:pPr>
    </w:p>
    <w:p w14:paraId="5A5C40DC" w14:textId="77777777" w:rsidR="002D7B36" w:rsidRPr="00DE12A3" w:rsidRDefault="002D7B36" w:rsidP="00C917D6">
      <w:pPr>
        <w:widowControl/>
        <w:spacing w:before="120" w:after="120"/>
        <w:ind w:left="1134" w:rightChars="80" w:right="192" w:hanging="1134"/>
        <w:jc w:val="both"/>
        <w:rPr>
          <w:rFonts w:cs="Times New Roman"/>
          <w:color w:val="auto"/>
          <w:lang w:eastAsia="en-US"/>
        </w:rPr>
      </w:pPr>
    </w:p>
    <w:p w14:paraId="203118F5" w14:textId="77777777" w:rsidR="002D7B36" w:rsidRPr="00DE12A3" w:rsidRDefault="002D7B36" w:rsidP="00C917D6">
      <w:pPr>
        <w:widowControl/>
        <w:spacing w:before="120" w:after="120"/>
        <w:ind w:left="1134" w:rightChars="80" w:right="192" w:hanging="1134"/>
        <w:jc w:val="both"/>
        <w:rPr>
          <w:rFonts w:cs="Times New Roman"/>
          <w:color w:val="auto"/>
          <w:lang w:eastAsia="en-US"/>
        </w:rPr>
      </w:pPr>
    </w:p>
    <w:p w14:paraId="16972B19" w14:textId="77777777" w:rsidR="002D7B36" w:rsidRPr="00DE12A3" w:rsidRDefault="002D7B36" w:rsidP="00C917D6">
      <w:pPr>
        <w:widowControl/>
        <w:spacing w:before="120" w:after="120"/>
        <w:ind w:left="1134" w:rightChars="80" w:right="192" w:hanging="1134"/>
        <w:jc w:val="both"/>
        <w:rPr>
          <w:rFonts w:cs="Times New Roman"/>
          <w:color w:val="auto"/>
          <w:lang w:eastAsia="en-US"/>
        </w:rPr>
      </w:pPr>
    </w:p>
    <w:p w14:paraId="405D2B7C" w14:textId="77777777" w:rsidR="002D7B36" w:rsidRPr="00DE12A3" w:rsidRDefault="002D7B36" w:rsidP="00C917D6">
      <w:pPr>
        <w:widowControl/>
        <w:spacing w:before="120" w:after="120"/>
        <w:ind w:left="1134" w:rightChars="80" w:right="192" w:hanging="1134"/>
        <w:jc w:val="both"/>
        <w:rPr>
          <w:rFonts w:cs="Times New Roman"/>
          <w:color w:val="auto"/>
          <w:lang w:eastAsia="en-US"/>
        </w:rPr>
      </w:pPr>
    </w:p>
    <w:p w14:paraId="5159FFE0" w14:textId="77777777" w:rsidR="00494945" w:rsidRPr="00DE12A3" w:rsidRDefault="00494945" w:rsidP="00E20716">
      <w:pPr>
        <w:pStyle w:val="ListeParagraf"/>
        <w:numPr>
          <w:ilvl w:val="0"/>
          <w:numId w:val="409"/>
        </w:numPr>
        <w:spacing w:before="120" w:after="120"/>
        <w:ind w:left="1134" w:hanging="1134"/>
        <w:contextualSpacing w:val="0"/>
        <w:jc w:val="both"/>
        <w:rPr>
          <w:rFonts w:eastAsia="Times New Roman" w:cs="Times New Roman"/>
          <w:vanish/>
          <w:color w:val="auto"/>
          <w:spacing w:val="3"/>
        </w:rPr>
      </w:pPr>
    </w:p>
    <w:p w14:paraId="6EB5D4A2" w14:textId="77777777" w:rsidR="00B06860" w:rsidRPr="00DE12A3" w:rsidRDefault="00B06860" w:rsidP="00B06860">
      <w:pPr>
        <w:pStyle w:val="Gvdemetni251"/>
        <w:shd w:val="clear" w:color="auto" w:fill="auto"/>
        <w:spacing w:before="120" w:after="120" w:line="240" w:lineRule="auto"/>
        <w:ind w:left="1701" w:firstLine="0"/>
        <w:rPr>
          <w:color w:val="auto"/>
          <w:sz w:val="24"/>
          <w:szCs w:val="24"/>
        </w:rPr>
      </w:pPr>
    </w:p>
    <w:p w14:paraId="56C725B1" w14:textId="77777777" w:rsidR="00B06860" w:rsidRPr="00DE12A3" w:rsidRDefault="00B06860" w:rsidP="00B06860">
      <w:pPr>
        <w:pStyle w:val="Gvdemetni251"/>
        <w:shd w:val="clear" w:color="auto" w:fill="auto"/>
        <w:spacing w:before="120" w:after="120" w:line="240" w:lineRule="auto"/>
        <w:ind w:left="1701" w:firstLine="0"/>
        <w:rPr>
          <w:color w:val="auto"/>
          <w:sz w:val="24"/>
          <w:szCs w:val="24"/>
        </w:rPr>
      </w:pPr>
    </w:p>
    <w:p w14:paraId="18831341" w14:textId="77777777" w:rsidR="00B06860" w:rsidRPr="00DE12A3" w:rsidRDefault="00B06860" w:rsidP="00B06860">
      <w:pPr>
        <w:pStyle w:val="Gvdemetni251"/>
        <w:shd w:val="clear" w:color="auto" w:fill="auto"/>
        <w:spacing w:before="120" w:after="120" w:line="240" w:lineRule="auto"/>
        <w:ind w:left="1701" w:firstLine="0"/>
        <w:rPr>
          <w:color w:val="auto"/>
          <w:sz w:val="24"/>
          <w:szCs w:val="24"/>
        </w:rPr>
      </w:pPr>
    </w:p>
    <w:p w14:paraId="7BFBED56" w14:textId="77777777" w:rsidR="00B06860" w:rsidRPr="00DE12A3" w:rsidRDefault="00B06860" w:rsidP="00B06860">
      <w:pPr>
        <w:pStyle w:val="Gvdemetni251"/>
        <w:shd w:val="clear" w:color="auto" w:fill="auto"/>
        <w:spacing w:before="120" w:after="120" w:line="240" w:lineRule="auto"/>
        <w:ind w:left="1701" w:firstLine="0"/>
        <w:rPr>
          <w:color w:val="auto"/>
          <w:sz w:val="24"/>
          <w:szCs w:val="24"/>
        </w:rPr>
      </w:pPr>
    </w:p>
    <w:p w14:paraId="04BA0753" w14:textId="0ACD048A" w:rsidR="002D7B36" w:rsidRPr="00DE12A3" w:rsidRDefault="00242DA0" w:rsidP="00E20716">
      <w:pPr>
        <w:pStyle w:val="Gvdemetni251"/>
        <w:numPr>
          <w:ilvl w:val="0"/>
          <w:numId w:val="409"/>
        </w:numPr>
        <w:shd w:val="clear" w:color="auto" w:fill="auto"/>
        <w:spacing w:before="120" w:after="120" w:line="240" w:lineRule="auto"/>
        <w:ind w:left="1701" w:hanging="567"/>
        <w:rPr>
          <w:color w:val="auto"/>
          <w:sz w:val="24"/>
          <w:szCs w:val="24"/>
        </w:rPr>
      </w:pPr>
      <w:r w:rsidRPr="00DE12A3">
        <w:rPr>
          <w:color w:val="auto"/>
          <w:sz w:val="24"/>
          <w:szCs w:val="24"/>
        </w:rPr>
        <w:t xml:space="preserve">Tam akışlı seyreltme sistemleri için </w:t>
      </w:r>
      <w:r w:rsidRPr="00DE12A3">
        <w:rPr>
          <w:i/>
          <w:iCs/>
          <w:color w:val="auto"/>
          <w:sz w:val="24"/>
          <w:szCs w:val="24"/>
        </w:rPr>
        <w:t>q</w:t>
      </w:r>
      <w:r w:rsidRPr="00DE12A3">
        <w:rPr>
          <w:color w:val="auto"/>
          <w:sz w:val="24"/>
          <w:szCs w:val="24"/>
          <w:vertAlign w:val="subscript"/>
        </w:rPr>
        <w:t>mdew</w:t>
      </w:r>
      <w:r w:rsidRPr="00DE12A3">
        <w:rPr>
          <w:color w:val="auto"/>
          <w:sz w:val="24"/>
          <w:szCs w:val="24"/>
        </w:rPr>
        <w:t xml:space="preserve">, </w:t>
      </w:r>
      <w:r w:rsidRPr="00DE12A3">
        <w:rPr>
          <w:i/>
          <w:iCs/>
          <w:color w:val="auto"/>
          <w:sz w:val="24"/>
          <w:szCs w:val="24"/>
        </w:rPr>
        <w:t>q</w:t>
      </w:r>
      <w:r w:rsidRPr="00DE12A3">
        <w:rPr>
          <w:color w:val="auto"/>
          <w:sz w:val="24"/>
          <w:szCs w:val="24"/>
          <w:vertAlign w:val="subscript"/>
        </w:rPr>
        <w:t>medf</w:t>
      </w:r>
      <w:r w:rsidRPr="00DE12A3">
        <w:rPr>
          <w:color w:val="auto"/>
          <w:sz w:val="24"/>
          <w:szCs w:val="24"/>
        </w:rPr>
        <w:t xml:space="preserve"> olarak kullanılır.</w:t>
      </w:r>
    </w:p>
    <w:p w14:paraId="7633E531" w14:textId="77777777" w:rsidR="00B06860" w:rsidRPr="00DE12A3" w:rsidRDefault="00B06860" w:rsidP="00B06860">
      <w:pPr>
        <w:pStyle w:val="Gvdemetni251"/>
        <w:shd w:val="clear" w:color="auto" w:fill="auto"/>
        <w:spacing w:before="120" w:after="120" w:line="240" w:lineRule="auto"/>
        <w:ind w:left="1701" w:firstLine="0"/>
        <w:rPr>
          <w:color w:val="auto"/>
          <w:sz w:val="24"/>
          <w:szCs w:val="24"/>
        </w:rPr>
      </w:pPr>
    </w:p>
    <w:p w14:paraId="6FB7B18C" w14:textId="77777777" w:rsidR="002D7B36" w:rsidRPr="00DE12A3" w:rsidRDefault="007E2039" w:rsidP="00E20716">
      <w:pPr>
        <w:pStyle w:val="Gvdemetni251"/>
        <w:numPr>
          <w:ilvl w:val="0"/>
          <w:numId w:val="408"/>
        </w:numPr>
        <w:shd w:val="clear" w:color="auto" w:fill="auto"/>
        <w:spacing w:before="120" w:after="120" w:line="240" w:lineRule="auto"/>
        <w:ind w:left="1134" w:hanging="1134"/>
        <w:rPr>
          <w:color w:val="auto"/>
          <w:sz w:val="24"/>
          <w:szCs w:val="24"/>
        </w:rPr>
      </w:pPr>
      <w:r w:rsidRPr="00DE12A3">
        <w:rPr>
          <w:color w:val="auto"/>
          <w:sz w:val="24"/>
          <w:szCs w:val="24"/>
        </w:rPr>
        <w:t xml:space="preserve">Partikül </w:t>
      </w:r>
      <w:r w:rsidR="00242DA0" w:rsidRPr="00DE12A3">
        <w:rPr>
          <w:color w:val="auto"/>
          <w:sz w:val="24"/>
          <w:szCs w:val="24"/>
        </w:rPr>
        <w:t>kütle akış hızı hesaplaması</w:t>
      </w:r>
    </w:p>
    <w:p w14:paraId="7523431D" w14:textId="72EE68C4" w:rsidR="002D7B36" w:rsidRPr="00DE12A3" w:rsidRDefault="00494945" w:rsidP="00C917D6">
      <w:pPr>
        <w:pStyle w:val="Gvdemetni251"/>
        <w:shd w:val="clear" w:color="auto" w:fill="auto"/>
        <w:spacing w:before="120" w:after="120" w:line="240" w:lineRule="auto"/>
        <w:ind w:left="1134" w:hanging="1134"/>
        <w:rPr>
          <w:color w:val="auto"/>
          <w:sz w:val="24"/>
          <w:szCs w:val="24"/>
        </w:rPr>
      </w:pPr>
      <w:r w:rsidRPr="00DE12A3">
        <w:rPr>
          <w:color w:val="auto"/>
          <w:sz w:val="24"/>
          <w:szCs w:val="24"/>
        </w:rPr>
        <w:t xml:space="preserve">                  </w:t>
      </w:r>
      <w:r w:rsidR="00F310B5" w:rsidRPr="00DE12A3">
        <w:rPr>
          <w:color w:val="auto"/>
          <w:sz w:val="24"/>
          <w:szCs w:val="24"/>
        </w:rPr>
        <w:t>Çevrim</w:t>
      </w:r>
      <w:r w:rsidR="00242DA0" w:rsidRPr="00DE12A3">
        <w:rPr>
          <w:color w:val="auto"/>
          <w:sz w:val="24"/>
          <w:szCs w:val="24"/>
        </w:rPr>
        <w:t xml:space="preserve"> boyunca </w:t>
      </w:r>
      <w:r w:rsidR="007E2039" w:rsidRPr="00DE12A3">
        <w:rPr>
          <w:color w:val="auto"/>
          <w:sz w:val="24"/>
          <w:szCs w:val="24"/>
        </w:rPr>
        <w:t xml:space="preserve">partikül </w:t>
      </w:r>
      <w:r w:rsidR="00242DA0" w:rsidRPr="00DE12A3">
        <w:rPr>
          <w:color w:val="auto"/>
          <w:sz w:val="24"/>
          <w:szCs w:val="24"/>
        </w:rPr>
        <w:t xml:space="preserve">emisyonu akış hızı </w:t>
      </w:r>
      <w:r w:rsidR="00242DA0" w:rsidRPr="00DE12A3">
        <w:rPr>
          <w:i/>
          <w:iCs/>
          <w:color w:val="auto"/>
          <w:sz w:val="24"/>
          <w:szCs w:val="24"/>
        </w:rPr>
        <w:t>q</w:t>
      </w:r>
      <w:r w:rsidR="00242DA0" w:rsidRPr="00DE12A3">
        <w:rPr>
          <w:color w:val="auto"/>
          <w:sz w:val="24"/>
          <w:szCs w:val="24"/>
          <w:vertAlign w:val="subscript"/>
        </w:rPr>
        <w:t>mPM</w:t>
      </w:r>
      <w:r w:rsidR="00242DA0" w:rsidRPr="00DE12A3">
        <w:rPr>
          <w:color w:val="auto"/>
          <w:sz w:val="24"/>
          <w:szCs w:val="24"/>
        </w:rPr>
        <w:t xml:space="preserve"> [g/h], (7-53), (7-56), (7-57) </w:t>
      </w:r>
      <w:r w:rsidR="00242DA0" w:rsidRPr="00DE12A3">
        <w:rPr>
          <w:color w:val="auto"/>
          <w:sz w:val="24"/>
          <w:szCs w:val="24"/>
        </w:rPr>
        <w:lastRenderedPageBreak/>
        <w:t xml:space="preserve">veya (7-58) </w:t>
      </w:r>
      <w:r w:rsidR="005E1C7E" w:rsidRPr="00DE12A3">
        <w:rPr>
          <w:color w:val="auto"/>
          <w:sz w:val="24"/>
          <w:szCs w:val="24"/>
        </w:rPr>
        <w:t>numaralı</w:t>
      </w:r>
      <w:r w:rsidR="005E1C7E" w:rsidRPr="00DE12A3" w:rsidDel="005E1C7E">
        <w:rPr>
          <w:color w:val="auto"/>
          <w:sz w:val="24"/>
          <w:szCs w:val="24"/>
        </w:rPr>
        <w:t xml:space="preserve"> </w:t>
      </w:r>
      <w:r w:rsidR="00242DA0" w:rsidRPr="00DE12A3">
        <w:rPr>
          <w:color w:val="auto"/>
          <w:sz w:val="24"/>
          <w:szCs w:val="24"/>
        </w:rPr>
        <w:t>denklemler ile hesaplanmalıdır:</w:t>
      </w:r>
    </w:p>
    <w:p w14:paraId="64D2A818" w14:textId="1D449B9D" w:rsidR="002D7B36" w:rsidRPr="00DE12A3" w:rsidRDefault="00242DA0" w:rsidP="00E20716">
      <w:pPr>
        <w:pStyle w:val="ListeParagraf"/>
        <w:numPr>
          <w:ilvl w:val="0"/>
          <w:numId w:val="410"/>
        </w:numPr>
        <w:spacing w:before="120" w:after="120"/>
        <w:ind w:left="1134"/>
        <w:jc w:val="both"/>
        <w:rPr>
          <w:rFonts w:cs="Times New Roman"/>
          <w:color w:val="auto"/>
          <w:spacing w:val="3"/>
        </w:rPr>
      </w:pPr>
      <w:r w:rsidRPr="00DE12A3">
        <w:rPr>
          <w:rFonts w:cs="Times New Roman"/>
          <w:color w:val="auto"/>
        </w:rPr>
        <w:t>Tek filtre yöntemi için</w:t>
      </w:r>
      <w:r w:rsidR="004955A8" w:rsidRPr="00DE12A3">
        <w:rPr>
          <w:rFonts w:cs="Times New Roman"/>
          <w:color w:val="auto"/>
        </w:rPr>
        <w:t>;</w:t>
      </w:r>
    </w:p>
    <w:p w14:paraId="0087849A" w14:textId="77777777" w:rsidR="002D7B36" w:rsidRPr="00DE12A3" w:rsidRDefault="002D7B36" w:rsidP="00C917D6">
      <w:pPr>
        <w:widowControl/>
        <w:spacing w:before="120" w:after="120"/>
        <w:ind w:left="1134" w:rightChars="80" w:right="192" w:hanging="1134"/>
        <w:jc w:val="both"/>
        <w:rPr>
          <w:rFonts w:cs="Times New Roman"/>
          <w:color w:val="auto"/>
          <w:lang w:eastAsia="en-US"/>
        </w:rPr>
      </w:pPr>
    </w:p>
    <w:p w14:paraId="69F6C04A" w14:textId="270189A7" w:rsidR="002D7B36" w:rsidRPr="00DE12A3" w:rsidRDefault="00242DA0" w:rsidP="00C917D6">
      <w:pPr>
        <w:widowControl/>
        <w:spacing w:before="120" w:after="120"/>
        <w:ind w:left="1134" w:rightChars="80" w:right="192" w:hanging="1134"/>
        <w:jc w:val="center"/>
        <w:rPr>
          <w:rFonts w:cs="Times New Roman"/>
          <w:color w:val="auto"/>
          <w:lang w:eastAsia="en-US"/>
        </w:rPr>
      </w:pPr>
      <w:r w:rsidRPr="00DE12A3">
        <w:rPr>
          <w:rFonts w:cs="Times New Roman"/>
          <w:noProof/>
          <w:color w:val="auto"/>
        </w:rPr>
        <w:drawing>
          <wp:inline distT="0" distB="0" distL="0" distR="0" wp14:anchorId="1FC10556" wp14:editId="16C03F57">
            <wp:extent cx="3712098" cy="1758950"/>
            <wp:effectExtent l="0" t="0" r="3175" b="0"/>
            <wp:docPr id="113" name="Resim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Resim 113"/>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a:xfrm>
                      <a:off x="0" y="0"/>
                      <a:ext cx="3731978" cy="1768370"/>
                    </a:xfrm>
                    <a:prstGeom prst="rect">
                      <a:avLst/>
                    </a:prstGeom>
                    <a:noFill/>
                    <a:ln>
                      <a:noFill/>
                    </a:ln>
                  </pic:spPr>
                </pic:pic>
              </a:graphicData>
            </a:graphic>
          </wp:inline>
        </w:drawing>
      </w:r>
    </w:p>
    <w:p w14:paraId="3A3BC780" w14:textId="77777777" w:rsidR="002D7B36" w:rsidRPr="00DE12A3" w:rsidRDefault="002D7B36" w:rsidP="00C917D6">
      <w:pPr>
        <w:widowControl/>
        <w:spacing w:before="120" w:after="120"/>
        <w:ind w:left="1134" w:rightChars="80" w:right="192" w:hanging="1134"/>
        <w:jc w:val="both"/>
        <w:rPr>
          <w:rFonts w:cs="Times New Roman"/>
          <w:color w:val="auto"/>
          <w:lang w:eastAsia="en-US"/>
        </w:rPr>
      </w:pPr>
    </w:p>
    <w:p w14:paraId="22615F08" w14:textId="77777777" w:rsidR="002D7B36" w:rsidRPr="00DE12A3" w:rsidRDefault="00242DA0" w:rsidP="00C917D6">
      <w:pPr>
        <w:pStyle w:val="Gvdemetni251"/>
        <w:spacing w:before="120" w:after="120" w:line="240" w:lineRule="auto"/>
        <w:ind w:left="1134" w:firstLine="0"/>
        <w:rPr>
          <w:color w:val="auto"/>
          <w:sz w:val="24"/>
          <w:szCs w:val="24"/>
        </w:rPr>
      </w:pPr>
      <w:r w:rsidRPr="00DE12A3">
        <w:rPr>
          <w:color w:val="auto"/>
          <w:sz w:val="24"/>
          <w:szCs w:val="24"/>
        </w:rPr>
        <w:t>Burada:</w:t>
      </w:r>
    </w:p>
    <w:p w14:paraId="0C876E1B" w14:textId="77777777" w:rsidR="002D7B36" w:rsidRPr="00DE12A3" w:rsidRDefault="00242DA0" w:rsidP="00C917D6">
      <w:pPr>
        <w:pStyle w:val="Gvdemetni251"/>
        <w:tabs>
          <w:tab w:val="left" w:pos="1701"/>
        </w:tabs>
        <w:spacing w:before="120" w:after="120" w:line="240" w:lineRule="auto"/>
        <w:ind w:left="1134" w:firstLine="0"/>
        <w:rPr>
          <w:color w:val="auto"/>
          <w:sz w:val="24"/>
          <w:szCs w:val="24"/>
        </w:rPr>
      </w:pPr>
      <w:r w:rsidRPr="00DE12A3">
        <w:rPr>
          <w:i/>
          <w:iCs/>
          <w:color w:val="auto"/>
          <w:sz w:val="24"/>
          <w:szCs w:val="24"/>
        </w:rPr>
        <w:t>q</w:t>
      </w:r>
      <w:r w:rsidRPr="00DE12A3">
        <w:rPr>
          <w:color w:val="auto"/>
          <w:sz w:val="24"/>
          <w:szCs w:val="24"/>
          <w:vertAlign w:val="subscript"/>
        </w:rPr>
        <w:t>mPM</w:t>
      </w:r>
      <w:r w:rsidRPr="00DE12A3">
        <w:rPr>
          <w:color w:val="auto"/>
          <w:sz w:val="24"/>
          <w:szCs w:val="24"/>
        </w:rPr>
        <w:tab/>
        <w:t>=</w:t>
      </w:r>
      <w:r w:rsidRPr="00DE12A3">
        <w:rPr>
          <w:color w:val="auto"/>
          <w:sz w:val="24"/>
          <w:szCs w:val="24"/>
        </w:rPr>
        <w:tab/>
      </w:r>
      <w:r w:rsidR="007E2039" w:rsidRPr="00DE12A3">
        <w:rPr>
          <w:color w:val="auto"/>
          <w:sz w:val="24"/>
          <w:szCs w:val="24"/>
        </w:rPr>
        <w:t xml:space="preserve">partikül </w:t>
      </w:r>
      <w:r w:rsidRPr="00DE12A3">
        <w:rPr>
          <w:color w:val="auto"/>
          <w:sz w:val="24"/>
          <w:szCs w:val="24"/>
        </w:rPr>
        <w:t>kütle akış hızı [g/saat]</w:t>
      </w:r>
    </w:p>
    <w:p w14:paraId="4297BE20" w14:textId="77777777" w:rsidR="002D7B36" w:rsidRPr="00DE12A3" w:rsidRDefault="00242DA0" w:rsidP="00C917D6">
      <w:pPr>
        <w:pStyle w:val="Gvdemetni251"/>
        <w:tabs>
          <w:tab w:val="left" w:pos="1701"/>
          <w:tab w:val="center" w:pos="4847"/>
        </w:tabs>
        <w:spacing w:before="120" w:after="120" w:line="240" w:lineRule="auto"/>
        <w:ind w:left="1134" w:firstLine="0"/>
        <w:rPr>
          <w:color w:val="auto"/>
          <w:sz w:val="24"/>
          <w:szCs w:val="24"/>
        </w:rPr>
      </w:pPr>
      <w:r w:rsidRPr="00DE12A3">
        <w:rPr>
          <w:i/>
          <w:iCs/>
          <w:color w:val="auto"/>
          <w:sz w:val="24"/>
          <w:szCs w:val="24"/>
        </w:rPr>
        <w:t>m</w:t>
      </w:r>
      <w:r w:rsidRPr="00DE12A3">
        <w:rPr>
          <w:color w:val="auto"/>
          <w:sz w:val="24"/>
          <w:szCs w:val="24"/>
          <w:vertAlign w:val="subscript"/>
        </w:rPr>
        <w:t>f</w:t>
      </w:r>
      <w:r w:rsidRPr="00DE12A3">
        <w:rPr>
          <w:color w:val="auto"/>
          <w:sz w:val="24"/>
          <w:szCs w:val="24"/>
        </w:rPr>
        <w:tab/>
        <w:t>=</w:t>
      </w:r>
      <w:r w:rsidRPr="00DE12A3">
        <w:rPr>
          <w:color w:val="auto"/>
          <w:sz w:val="24"/>
          <w:szCs w:val="24"/>
        </w:rPr>
        <w:tab/>
      </w:r>
      <w:r w:rsidR="00F310B5" w:rsidRPr="00DE12A3">
        <w:rPr>
          <w:color w:val="auto"/>
          <w:sz w:val="24"/>
          <w:szCs w:val="24"/>
        </w:rPr>
        <w:t>çevrim</w:t>
      </w:r>
      <w:r w:rsidRPr="00DE12A3">
        <w:rPr>
          <w:color w:val="auto"/>
          <w:sz w:val="24"/>
          <w:szCs w:val="24"/>
        </w:rPr>
        <w:t xml:space="preserve"> boyunca örneklenen </w:t>
      </w:r>
      <w:r w:rsidR="007E2039" w:rsidRPr="00DE12A3">
        <w:rPr>
          <w:color w:val="auto"/>
          <w:sz w:val="24"/>
          <w:szCs w:val="24"/>
        </w:rPr>
        <w:t xml:space="preserve">partikül </w:t>
      </w:r>
      <w:r w:rsidRPr="00DE12A3">
        <w:rPr>
          <w:color w:val="auto"/>
          <w:sz w:val="24"/>
          <w:szCs w:val="24"/>
        </w:rPr>
        <w:t>kütlesi [mg]</w:t>
      </w:r>
    </w:p>
    <w:p w14:paraId="5265B3EE" w14:textId="77777777" w:rsidR="002D7B36" w:rsidRPr="00DE12A3" w:rsidRDefault="00242DA0" w:rsidP="00C917D6">
      <w:pPr>
        <w:pStyle w:val="Gvdemetni251"/>
        <w:tabs>
          <w:tab w:val="left" w:pos="1701"/>
          <w:tab w:val="center" w:pos="5289"/>
          <w:tab w:val="right" w:pos="5658"/>
        </w:tabs>
        <w:spacing w:before="120" w:after="120" w:line="240" w:lineRule="auto"/>
        <w:ind w:left="1134" w:firstLine="0"/>
        <w:rPr>
          <w:color w:val="auto"/>
          <w:sz w:val="24"/>
          <w:szCs w:val="24"/>
        </w:rPr>
      </w:pPr>
      <w:r w:rsidRPr="00DE12A3">
        <w:rPr>
          <w:i/>
          <w:iCs/>
          <w:color w:val="auto"/>
          <w:sz w:val="24"/>
          <w:szCs w:val="24"/>
        </w:rPr>
        <w:t>q</w:t>
      </w:r>
      <w:r w:rsidRPr="00DE12A3">
        <w:rPr>
          <w:color w:val="auto"/>
          <w:sz w:val="24"/>
          <w:szCs w:val="24"/>
          <w:vertAlign w:val="subscript"/>
        </w:rPr>
        <w:t>medf</w:t>
      </w:r>
      <w:r w:rsidRPr="00DE12A3">
        <w:rPr>
          <w:color w:val="auto"/>
          <w:sz w:val="24"/>
          <w:szCs w:val="24"/>
        </w:rPr>
        <w:tab/>
        <w:t>=</w:t>
      </w:r>
      <w:r w:rsidRPr="00DE12A3">
        <w:rPr>
          <w:color w:val="auto"/>
          <w:sz w:val="24"/>
          <w:szCs w:val="24"/>
        </w:rPr>
        <w:tab/>
        <w:t>yaş bazda ortalama denk seyreltilmiş egzoz gazı kütle akış hızı [kg/s]</w:t>
      </w:r>
    </w:p>
    <w:p w14:paraId="22B4974A" w14:textId="77777777" w:rsidR="002D7B36" w:rsidRPr="00DE12A3" w:rsidRDefault="00242DA0" w:rsidP="00C917D6">
      <w:pPr>
        <w:pStyle w:val="Gvdemetni251"/>
        <w:tabs>
          <w:tab w:val="left" w:pos="1701"/>
        </w:tabs>
        <w:spacing w:before="120" w:after="120" w:line="240" w:lineRule="auto"/>
        <w:ind w:left="1134" w:firstLine="0"/>
        <w:rPr>
          <w:color w:val="auto"/>
          <w:sz w:val="24"/>
          <w:szCs w:val="24"/>
        </w:rPr>
      </w:pPr>
      <w:r w:rsidRPr="00DE12A3">
        <w:rPr>
          <w:i/>
          <w:iCs/>
          <w:color w:val="auto"/>
          <w:sz w:val="24"/>
          <w:szCs w:val="24"/>
        </w:rPr>
        <w:t>q</w:t>
      </w:r>
      <w:r w:rsidRPr="00DE12A3">
        <w:rPr>
          <w:color w:val="auto"/>
          <w:sz w:val="24"/>
          <w:szCs w:val="24"/>
          <w:vertAlign w:val="subscript"/>
        </w:rPr>
        <w:t>medf</w:t>
      </w:r>
      <w:r w:rsidRPr="00DE12A3">
        <w:rPr>
          <w:i/>
          <w:iCs/>
          <w:color w:val="auto"/>
          <w:sz w:val="24"/>
          <w:szCs w:val="24"/>
          <w:vertAlign w:val="subscript"/>
        </w:rPr>
        <w:t>i</w:t>
      </w:r>
      <w:r w:rsidRPr="00DE12A3">
        <w:rPr>
          <w:color w:val="auto"/>
          <w:sz w:val="24"/>
          <w:szCs w:val="24"/>
        </w:rPr>
        <w:tab/>
        <w:t>=</w:t>
      </w:r>
      <w:r w:rsidRPr="00DE12A3">
        <w:rPr>
          <w:color w:val="auto"/>
          <w:sz w:val="24"/>
          <w:szCs w:val="24"/>
        </w:rPr>
        <w:tab/>
      </w:r>
      <w:r w:rsidRPr="00DE12A3">
        <w:rPr>
          <w:i/>
          <w:iCs/>
          <w:color w:val="auto"/>
          <w:sz w:val="24"/>
          <w:szCs w:val="24"/>
        </w:rPr>
        <w:t>i</w:t>
      </w:r>
      <w:r w:rsidRPr="00DE12A3">
        <w:rPr>
          <w:color w:val="auto"/>
          <w:sz w:val="24"/>
          <w:szCs w:val="24"/>
        </w:rPr>
        <w:t xml:space="preserve"> modunda yaş bazda denk seyreltilmiş egzoz gazı kütle akış hızı [kg/s]</w:t>
      </w:r>
    </w:p>
    <w:p w14:paraId="051CC5F5" w14:textId="77777777" w:rsidR="002D7B36" w:rsidRPr="00DE12A3" w:rsidRDefault="00242DA0" w:rsidP="00C917D6">
      <w:pPr>
        <w:pStyle w:val="Gvdemetni251"/>
        <w:tabs>
          <w:tab w:val="left" w:pos="1701"/>
        </w:tabs>
        <w:spacing w:before="120" w:after="120" w:line="240" w:lineRule="auto"/>
        <w:ind w:left="1134" w:firstLine="0"/>
        <w:rPr>
          <w:color w:val="auto"/>
          <w:sz w:val="24"/>
          <w:szCs w:val="24"/>
        </w:rPr>
      </w:pPr>
      <w:r w:rsidRPr="00DE12A3">
        <w:rPr>
          <w:rStyle w:val="Gvdemetni254pttalik0ptbolukbraklyor23"/>
          <w:color w:val="auto"/>
          <w:sz w:val="24"/>
          <w:szCs w:val="24"/>
        </w:rPr>
        <w:t>WF</w:t>
      </w:r>
      <w:r w:rsidRPr="00DE12A3">
        <w:rPr>
          <w:rStyle w:val="Gvdemetni254pttalik0ptbolukbraklyor23"/>
          <w:color w:val="auto"/>
          <w:sz w:val="24"/>
          <w:szCs w:val="24"/>
          <w:vertAlign w:val="subscript"/>
        </w:rPr>
        <w:t>i</w:t>
      </w:r>
      <w:r w:rsidRPr="00DE12A3">
        <w:rPr>
          <w:color w:val="auto"/>
          <w:sz w:val="24"/>
          <w:szCs w:val="24"/>
        </w:rPr>
        <w:tab/>
        <w:t>=</w:t>
      </w:r>
      <w:r w:rsidRPr="00DE12A3">
        <w:rPr>
          <w:color w:val="auto"/>
          <w:sz w:val="24"/>
          <w:szCs w:val="24"/>
        </w:rPr>
        <w:tab/>
      </w:r>
      <w:r w:rsidRPr="00DE12A3">
        <w:rPr>
          <w:i/>
          <w:iCs/>
          <w:color w:val="auto"/>
          <w:sz w:val="24"/>
          <w:szCs w:val="24"/>
        </w:rPr>
        <w:t>i</w:t>
      </w:r>
      <w:r w:rsidRPr="00DE12A3">
        <w:rPr>
          <w:color w:val="auto"/>
          <w:sz w:val="24"/>
          <w:szCs w:val="24"/>
        </w:rPr>
        <w:t xml:space="preserve"> modu için ağırlık faktörü [-]</w:t>
      </w:r>
    </w:p>
    <w:p w14:paraId="3BE2F3D6" w14:textId="77777777" w:rsidR="002D7B36" w:rsidRPr="00DE12A3" w:rsidRDefault="00242DA0" w:rsidP="00C917D6">
      <w:pPr>
        <w:pStyle w:val="Gvdemetni251"/>
        <w:tabs>
          <w:tab w:val="left" w:pos="1701"/>
          <w:tab w:val="center" w:pos="4847"/>
        </w:tabs>
        <w:spacing w:before="120" w:after="120" w:line="240" w:lineRule="auto"/>
        <w:ind w:left="1134" w:firstLine="0"/>
        <w:rPr>
          <w:color w:val="auto"/>
          <w:sz w:val="24"/>
          <w:szCs w:val="24"/>
        </w:rPr>
      </w:pPr>
      <w:r w:rsidRPr="00DE12A3">
        <w:rPr>
          <w:i/>
          <w:iCs/>
          <w:color w:val="auto"/>
          <w:sz w:val="24"/>
          <w:szCs w:val="24"/>
        </w:rPr>
        <w:t>m</w:t>
      </w:r>
      <w:r w:rsidRPr="00DE12A3">
        <w:rPr>
          <w:color w:val="auto"/>
          <w:sz w:val="24"/>
          <w:szCs w:val="24"/>
          <w:vertAlign w:val="subscript"/>
        </w:rPr>
        <w:t>sep</w:t>
      </w:r>
      <w:r w:rsidRPr="00DE12A3">
        <w:rPr>
          <w:color w:val="auto"/>
          <w:sz w:val="24"/>
          <w:szCs w:val="24"/>
        </w:rPr>
        <w:tab/>
        <w:t>=</w:t>
      </w:r>
      <w:r w:rsidRPr="00DE12A3">
        <w:rPr>
          <w:color w:val="auto"/>
          <w:sz w:val="24"/>
          <w:szCs w:val="24"/>
        </w:rPr>
        <w:tab/>
      </w:r>
      <w:r w:rsidR="007E2039" w:rsidRPr="00DE12A3">
        <w:rPr>
          <w:color w:val="auto"/>
          <w:sz w:val="24"/>
          <w:szCs w:val="24"/>
        </w:rPr>
        <w:t xml:space="preserve">partikül </w:t>
      </w:r>
      <w:r w:rsidRPr="00DE12A3">
        <w:rPr>
          <w:color w:val="auto"/>
          <w:sz w:val="24"/>
          <w:szCs w:val="24"/>
        </w:rPr>
        <w:t>toplama filtrelerinden geçen seyreltilmiş egzoz gazı kütlesi [kg]</w:t>
      </w:r>
    </w:p>
    <w:p w14:paraId="0CB13C8D" w14:textId="77777777" w:rsidR="002D7B36" w:rsidRPr="00DE12A3" w:rsidRDefault="00242DA0" w:rsidP="00C917D6">
      <w:pPr>
        <w:pStyle w:val="Gvdemetni251"/>
        <w:tabs>
          <w:tab w:val="left" w:pos="1701"/>
        </w:tabs>
        <w:spacing w:before="120" w:after="120" w:line="240" w:lineRule="auto"/>
        <w:ind w:left="1134" w:firstLine="0"/>
        <w:rPr>
          <w:color w:val="auto"/>
          <w:sz w:val="24"/>
          <w:szCs w:val="24"/>
        </w:rPr>
      </w:pPr>
      <w:r w:rsidRPr="00DE12A3">
        <w:rPr>
          <w:i/>
          <w:iCs/>
          <w:color w:val="auto"/>
          <w:sz w:val="24"/>
          <w:szCs w:val="24"/>
        </w:rPr>
        <w:t>m</w:t>
      </w:r>
      <w:r w:rsidRPr="00DE12A3">
        <w:rPr>
          <w:color w:val="auto"/>
          <w:sz w:val="24"/>
          <w:szCs w:val="24"/>
          <w:vertAlign w:val="subscript"/>
        </w:rPr>
        <w:t>sep</w:t>
      </w:r>
      <w:r w:rsidRPr="00DE12A3">
        <w:rPr>
          <w:i/>
          <w:iCs/>
          <w:color w:val="auto"/>
          <w:sz w:val="24"/>
          <w:szCs w:val="24"/>
          <w:vertAlign w:val="subscript"/>
        </w:rPr>
        <w:t>i</w:t>
      </w:r>
      <w:r w:rsidRPr="00DE12A3">
        <w:rPr>
          <w:color w:val="auto"/>
          <w:sz w:val="24"/>
          <w:szCs w:val="24"/>
        </w:rPr>
        <w:tab/>
        <w:t>=</w:t>
      </w:r>
      <w:r w:rsidRPr="00DE12A3">
        <w:rPr>
          <w:color w:val="auto"/>
          <w:sz w:val="24"/>
          <w:szCs w:val="24"/>
        </w:rPr>
        <w:tab/>
      </w:r>
      <w:r w:rsidRPr="00DE12A3">
        <w:rPr>
          <w:i/>
          <w:iCs/>
          <w:color w:val="auto"/>
          <w:sz w:val="24"/>
          <w:szCs w:val="24"/>
        </w:rPr>
        <w:t>i</w:t>
      </w:r>
      <w:r w:rsidRPr="00DE12A3">
        <w:rPr>
          <w:color w:val="auto"/>
          <w:sz w:val="24"/>
          <w:szCs w:val="24"/>
        </w:rPr>
        <w:t xml:space="preserve"> modunda </w:t>
      </w:r>
      <w:r w:rsidR="007E2039" w:rsidRPr="00DE12A3">
        <w:rPr>
          <w:color w:val="auto"/>
          <w:sz w:val="24"/>
          <w:szCs w:val="24"/>
        </w:rPr>
        <w:t xml:space="preserve">partikül </w:t>
      </w:r>
      <w:r w:rsidRPr="00DE12A3">
        <w:rPr>
          <w:color w:val="auto"/>
          <w:sz w:val="24"/>
          <w:szCs w:val="24"/>
        </w:rPr>
        <w:t>örnekleme filtresinden geçen seyreltik egzoz gazı numunesi kütlesi [kg]</w:t>
      </w:r>
    </w:p>
    <w:p w14:paraId="066C9E9B" w14:textId="77777777" w:rsidR="002D7B36" w:rsidRPr="00DE12A3" w:rsidRDefault="00242DA0" w:rsidP="00C917D6">
      <w:pPr>
        <w:pStyle w:val="Gvdemetni251"/>
        <w:tabs>
          <w:tab w:val="left" w:pos="1701"/>
        </w:tabs>
        <w:spacing w:before="120" w:after="120" w:line="240" w:lineRule="auto"/>
        <w:ind w:left="1134" w:firstLine="0"/>
        <w:rPr>
          <w:color w:val="auto"/>
          <w:sz w:val="24"/>
          <w:szCs w:val="24"/>
        </w:rPr>
      </w:pPr>
      <w:r w:rsidRPr="00DE12A3">
        <w:rPr>
          <w:color w:val="auto"/>
          <w:sz w:val="24"/>
          <w:szCs w:val="24"/>
        </w:rPr>
        <w:t>N</w:t>
      </w:r>
      <w:r w:rsidRPr="00DE12A3">
        <w:rPr>
          <w:color w:val="auto"/>
          <w:sz w:val="24"/>
          <w:szCs w:val="24"/>
        </w:rPr>
        <w:tab/>
        <w:t>=</w:t>
      </w:r>
      <w:r w:rsidRPr="00DE12A3">
        <w:rPr>
          <w:color w:val="auto"/>
          <w:sz w:val="24"/>
          <w:szCs w:val="24"/>
        </w:rPr>
        <w:tab/>
        <w:t>ölçüm sayısı [-]</w:t>
      </w:r>
    </w:p>
    <w:p w14:paraId="100D4853" w14:textId="6C12A562" w:rsidR="002D7B36" w:rsidRPr="00DE12A3" w:rsidRDefault="00242DA0" w:rsidP="00E20716">
      <w:pPr>
        <w:pStyle w:val="Resimyazs70"/>
        <w:numPr>
          <w:ilvl w:val="0"/>
          <w:numId w:val="411"/>
        </w:numPr>
        <w:shd w:val="clear" w:color="auto" w:fill="auto"/>
        <w:tabs>
          <w:tab w:val="left" w:pos="278"/>
        </w:tabs>
        <w:spacing w:after="120" w:line="240" w:lineRule="auto"/>
        <w:ind w:left="1134"/>
        <w:rPr>
          <w:sz w:val="24"/>
          <w:szCs w:val="24"/>
        </w:rPr>
      </w:pPr>
      <w:r w:rsidRPr="00DE12A3">
        <w:rPr>
          <w:spacing w:val="3"/>
          <w:sz w:val="24"/>
          <w:szCs w:val="24"/>
        </w:rPr>
        <w:t>Birden fazla filtre yöntemi için</w:t>
      </w:r>
      <w:r w:rsidR="004955A8" w:rsidRPr="00DE12A3">
        <w:rPr>
          <w:spacing w:val="3"/>
          <w:sz w:val="24"/>
          <w:szCs w:val="24"/>
        </w:rPr>
        <w:t>;</w:t>
      </w:r>
    </w:p>
    <w:p w14:paraId="689C4B7A" w14:textId="77777777" w:rsidR="002D7B36" w:rsidRPr="00DE12A3" w:rsidRDefault="002D7B36" w:rsidP="00C917D6">
      <w:pPr>
        <w:widowControl/>
        <w:spacing w:before="120" w:after="120"/>
        <w:ind w:left="1134" w:rightChars="80" w:right="192" w:hanging="1134"/>
        <w:jc w:val="both"/>
        <w:rPr>
          <w:rFonts w:cs="Times New Roman"/>
          <w:color w:val="auto"/>
          <w:lang w:eastAsia="en-US"/>
        </w:rPr>
      </w:pPr>
    </w:p>
    <w:p w14:paraId="4F08716B" w14:textId="0A3323CB" w:rsidR="002D7B36" w:rsidRPr="00DE12A3" w:rsidRDefault="00242DA0" w:rsidP="00C917D6">
      <w:pPr>
        <w:widowControl/>
        <w:spacing w:before="120" w:after="120"/>
        <w:ind w:left="1134" w:rightChars="80" w:right="192" w:hanging="1134"/>
        <w:jc w:val="center"/>
        <w:rPr>
          <w:rFonts w:cs="Times New Roman"/>
          <w:color w:val="auto"/>
          <w:lang w:eastAsia="en-US"/>
        </w:rPr>
      </w:pPr>
      <w:r w:rsidRPr="00DE12A3">
        <w:rPr>
          <w:rFonts w:cs="Times New Roman"/>
          <w:noProof/>
          <w:color w:val="auto"/>
        </w:rPr>
        <w:drawing>
          <wp:inline distT="0" distB="0" distL="0" distR="0" wp14:anchorId="6AD3258E" wp14:editId="684AB6C8">
            <wp:extent cx="4011479" cy="524510"/>
            <wp:effectExtent l="0" t="0" r="8255" b="8890"/>
            <wp:docPr id="114" name="Resim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Resim 114"/>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a:xfrm>
                      <a:off x="0" y="0"/>
                      <a:ext cx="4021271" cy="525790"/>
                    </a:xfrm>
                    <a:prstGeom prst="rect">
                      <a:avLst/>
                    </a:prstGeom>
                    <a:noFill/>
                    <a:ln>
                      <a:noFill/>
                    </a:ln>
                  </pic:spPr>
                </pic:pic>
              </a:graphicData>
            </a:graphic>
          </wp:inline>
        </w:drawing>
      </w:r>
    </w:p>
    <w:p w14:paraId="576ADD57" w14:textId="77777777" w:rsidR="002D7B36" w:rsidRPr="00DE12A3" w:rsidRDefault="00242DA0" w:rsidP="00C917D6">
      <w:pPr>
        <w:pStyle w:val="Resimyazs70"/>
        <w:shd w:val="clear" w:color="auto" w:fill="auto"/>
        <w:tabs>
          <w:tab w:val="left" w:pos="851"/>
        </w:tabs>
        <w:spacing w:after="120" w:line="240" w:lineRule="auto"/>
        <w:ind w:left="1134"/>
        <w:rPr>
          <w:sz w:val="24"/>
          <w:szCs w:val="24"/>
        </w:rPr>
      </w:pPr>
      <w:r w:rsidRPr="00DE12A3">
        <w:rPr>
          <w:rStyle w:val="Resimyazs77pt0ptbolukbraklyor"/>
          <w:color w:val="auto"/>
          <w:sz w:val="24"/>
          <w:szCs w:val="24"/>
        </w:rPr>
        <w:t>Burada:</w:t>
      </w:r>
    </w:p>
    <w:p w14:paraId="39BA2567" w14:textId="77777777" w:rsidR="002D7B36" w:rsidRPr="00DE12A3" w:rsidRDefault="00242DA0" w:rsidP="00C917D6">
      <w:pPr>
        <w:pStyle w:val="Resimyazs70"/>
        <w:shd w:val="clear" w:color="auto" w:fill="auto"/>
        <w:tabs>
          <w:tab w:val="left" w:pos="851"/>
          <w:tab w:val="right" w:pos="952"/>
          <w:tab w:val="left" w:pos="1005"/>
          <w:tab w:val="left" w:pos="1688"/>
        </w:tabs>
        <w:spacing w:after="120" w:line="240" w:lineRule="auto"/>
        <w:ind w:left="1134"/>
        <w:rPr>
          <w:sz w:val="24"/>
          <w:szCs w:val="24"/>
        </w:rPr>
      </w:pPr>
      <w:r w:rsidRPr="00DE12A3">
        <w:rPr>
          <w:rStyle w:val="Resimyazs74pttalik0ptbolukbraklyor7"/>
          <w:rFonts w:eastAsia="Sylfaen"/>
          <w:color w:val="auto"/>
          <w:sz w:val="24"/>
          <w:szCs w:val="24"/>
        </w:rPr>
        <w:t>q</w:t>
      </w:r>
      <w:r w:rsidRPr="00DE12A3">
        <w:rPr>
          <w:rStyle w:val="Resimyazs74pttalik0ptbolukbraklyor7"/>
          <w:rFonts w:eastAsia="Sylfaen"/>
          <w:i w:val="0"/>
          <w:iCs w:val="0"/>
          <w:color w:val="auto"/>
          <w:sz w:val="24"/>
          <w:szCs w:val="24"/>
          <w:vertAlign w:val="subscript"/>
        </w:rPr>
        <w:t>mPM</w:t>
      </w:r>
      <w:r w:rsidRPr="00DE12A3">
        <w:rPr>
          <w:rStyle w:val="Resimyazs74pttalik0ptbolukbraklyor7"/>
          <w:rFonts w:eastAsia="Sylfaen"/>
          <w:color w:val="auto"/>
          <w:sz w:val="24"/>
          <w:szCs w:val="24"/>
          <w:vertAlign w:val="subscript"/>
        </w:rPr>
        <w:t>i</w:t>
      </w:r>
      <w:r w:rsidRPr="00DE12A3">
        <w:rPr>
          <w:rStyle w:val="Resimyazs77pt0ptbolukbraklyor"/>
          <w:color w:val="auto"/>
          <w:sz w:val="24"/>
          <w:szCs w:val="24"/>
        </w:rPr>
        <w:tab/>
        <w:t>=</w:t>
      </w:r>
      <w:r w:rsidRPr="00DE12A3">
        <w:rPr>
          <w:rStyle w:val="Resimyazs77pt0ptbolukbraklyor"/>
          <w:color w:val="auto"/>
          <w:sz w:val="24"/>
          <w:szCs w:val="24"/>
        </w:rPr>
        <w:tab/>
      </w:r>
      <w:r w:rsidRPr="00DE12A3">
        <w:rPr>
          <w:rStyle w:val="Resimyazs77pt0ptbolukbraklyor"/>
          <w:i/>
          <w:iCs/>
          <w:color w:val="auto"/>
          <w:sz w:val="24"/>
          <w:szCs w:val="24"/>
        </w:rPr>
        <w:t>i</w:t>
      </w:r>
      <w:r w:rsidRPr="00DE12A3">
        <w:rPr>
          <w:rStyle w:val="Resimyazs77pt0ptbolukbraklyor"/>
          <w:color w:val="auto"/>
          <w:sz w:val="24"/>
          <w:szCs w:val="24"/>
        </w:rPr>
        <w:t xml:space="preserve"> modu için </w:t>
      </w:r>
      <w:r w:rsidR="007E2039" w:rsidRPr="00DE12A3">
        <w:rPr>
          <w:rStyle w:val="Resimyazs77pt0ptbolukbraklyor"/>
          <w:color w:val="auto"/>
          <w:sz w:val="24"/>
          <w:szCs w:val="24"/>
        </w:rPr>
        <w:t xml:space="preserve">partikül </w:t>
      </w:r>
      <w:r w:rsidRPr="00DE12A3">
        <w:rPr>
          <w:rStyle w:val="Resimyazs77pt0ptbolukbraklyor"/>
          <w:color w:val="auto"/>
          <w:sz w:val="24"/>
          <w:szCs w:val="24"/>
        </w:rPr>
        <w:t>kütle akış hızı [g/saat]</w:t>
      </w:r>
    </w:p>
    <w:p w14:paraId="3539AF3E" w14:textId="77777777" w:rsidR="002D7B36" w:rsidRPr="00DE12A3" w:rsidRDefault="00242DA0" w:rsidP="00C917D6">
      <w:pPr>
        <w:pStyle w:val="Resimyazs70"/>
        <w:shd w:val="clear" w:color="auto" w:fill="auto"/>
        <w:tabs>
          <w:tab w:val="left" w:pos="851"/>
          <w:tab w:val="right" w:pos="952"/>
          <w:tab w:val="left" w:pos="1005"/>
          <w:tab w:val="left" w:pos="1688"/>
        </w:tabs>
        <w:spacing w:after="120" w:line="240" w:lineRule="auto"/>
        <w:ind w:left="1134"/>
        <w:rPr>
          <w:sz w:val="24"/>
          <w:szCs w:val="24"/>
        </w:rPr>
      </w:pPr>
      <w:r w:rsidRPr="00DE12A3">
        <w:rPr>
          <w:rStyle w:val="Resimyazs74pttalik0ptbolukbraklyor7"/>
          <w:rFonts w:eastAsia="Sylfaen"/>
          <w:color w:val="auto"/>
          <w:sz w:val="24"/>
          <w:szCs w:val="24"/>
        </w:rPr>
        <w:t>m</w:t>
      </w:r>
      <w:r w:rsidRPr="00DE12A3">
        <w:rPr>
          <w:rStyle w:val="Resimyazs74pttalik0ptbolukbraklyor7"/>
          <w:rFonts w:eastAsia="Sylfaen"/>
          <w:i w:val="0"/>
          <w:iCs w:val="0"/>
          <w:color w:val="auto"/>
          <w:sz w:val="24"/>
          <w:szCs w:val="24"/>
          <w:vertAlign w:val="subscript"/>
        </w:rPr>
        <w:t>f</w:t>
      </w:r>
      <w:r w:rsidRPr="00DE12A3">
        <w:rPr>
          <w:rStyle w:val="Resimyazs74pttalik0ptbolukbraklyor7"/>
          <w:rFonts w:eastAsia="Sylfaen"/>
          <w:color w:val="auto"/>
          <w:sz w:val="24"/>
          <w:szCs w:val="24"/>
          <w:vertAlign w:val="subscript"/>
        </w:rPr>
        <w:t>i</w:t>
      </w:r>
      <w:r w:rsidRPr="00DE12A3">
        <w:rPr>
          <w:rStyle w:val="Resimyazs77pt0ptbolukbraklyor"/>
          <w:color w:val="auto"/>
          <w:sz w:val="24"/>
          <w:szCs w:val="24"/>
        </w:rPr>
        <w:tab/>
      </w:r>
      <w:r w:rsidR="00494945" w:rsidRPr="00DE12A3">
        <w:rPr>
          <w:rStyle w:val="Resimyazs77pt0ptbolukbraklyor"/>
          <w:color w:val="auto"/>
          <w:sz w:val="24"/>
          <w:szCs w:val="24"/>
        </w:rPr>
        <w:t xml:space="preserve">       </w:t>
      </w:r>
      <w:r w:rsidRPr="00DE12A3">
        <w:rPr>
          <w:rStyle w:val="Resimyazs77pt0ptbolukbraklyor"/>
          <w:color w:val="auto"/>
          <w:sz w:val="24"/>
          <w:szCs w:val="24"/>
        </w:rPr>
        <w:t>=</w:t>
      </w:r>
      <w:r w:rsidRPr="00DE12A3">
        <w:rPr>
          <w:rStyle w:val="Resimyazs77pt0ptbolukbraklyor"/>
          <w:color w:val="auto"/>
          <w:sz w:val="24"/>
          <w:szCs w:val="24"/>
        </w:rPr>
        <w:tab/>
      </w:r>
      <w:r w:rsidRPr="00DE12A3">
        <w:rPr>
          <w:rStyle w:val="Resimyazs77pt0ptbolukbraklyor"/>
          <w:i/>
          <w:iCs/>
          <w:color w:val="auto"/>
          <w:sz w:val="24"/>
          <w:szCs w:val="24"/>
        </w:rPr>
        <w:t>i</w:t>
      </w:r>
      <w:r w:rsidRPr="00DE12A3">
        <w:rPr>
          <w:rStyle w:val="Resimyazs77pt0ptbolukbraklyor"/>
          <w:color w:val="auto"/>
          <w:sz w:val="24"/>
          <w:szCs w:val="24"/>
        </w:rPr>
        <w:t xml:space="preserve"> modunda toplanan </w:t>
      </w:r>
      <w:r w:rsidR="007E2039" w:rsidRPr="00DE12A3">
        <w:rPr>
          <w:rStyle w:val="Resimyazs77pt0ptbolukbraklyor"/>
          <w:color w:val="auto"/>
          <w:sz w:val="24"/>
          <w:szCs w:val="24"/>
        </w:rPr>
        <w:t xml:space="preserve">partikül </w:t>
      </w:r>
      <w:r w:rsidRPr="00DE12A3">
        <w:rPr>
          <w:rStyle w:val="Resimyazs77pt0ptbolukbraklyor"/>
          <w:color w:val="auto"/>
          <w:sz w:val="24"/>
          <w:szCs w:val="24"/>
        </w:rPr>
        <w:t>numune kütlesi [mg]</w:t>
      </w:r>
    </w:p>
    <w:p w14:paraId="0104BAAA" w14:textId="77777777" w:rsidR="002D7B36" w:rsidRPr="00DE12A3" w:rsidRDefault="00242DA0" w:rsidP="00C917D6">
      <w:pPr>
        <w:pStyle w:val="Resimyazs70"/>
        <w:shd w:val="clear" w:color="auto" w:fill="auto"/>
        <w:tabs>
          <w:tab w:val="left" w:pos="851"/>
          <w:tab w:val="right" w:pos="952"/>
          <w:tab w:val="left" w:pos="1005"/>
          <w:tab w:val="left" w:pos="1688"/>
          <w:tab w:val="right" w:pos="4883"/>
        </w:tabs>
        <w:spacing w:after="120" w:line="240" w:lineRule="auto"/>
        <w:ind w:left="1134"/>
        <w:rPr>
          <w:sz w:val="24"/>
          <w:szCs w:val="24"/>
        </w:rPr>
      </w:pPr>
      <w:r w:rsidRPr="00DE12A3">
        <w:rPr>
          <w:rStyle w:val="Resimyazs77pt0ptbolukbraklyor"/>
          <w:color w:val="auto"/>
          <w:sz w:val="24"/>
          <w:szCs w:val="24"/>
        </w:rPr>
        <w:t>q</w:t>
      </w:r>
      <w:r w:rsidRPr="00DE12A3">
        <w:rPr>
          <w:rStyle w:val="Resimyazs77pt0ptbolukbraklyor"/>
          <w:color w:val="auto"/>
          <w:sz w:val="24"/>
          <w:szCs w:val="24"/>
          <w:vertAlign w:val="subscript"/>
        </w:rPr>
        <w:t>medf</w:t>
      </w:r>
      <w:r w:rsidRPr="00DE12A3">
        <w:rPr>
          <w:rStyle w:val="Resimyazs77pt0ptbolukbraklyor"/>
          <w:i/>
          <w:iCs/>
          <w:color w:val="auto"/>
          <w:sz w:val="24"/>
          <w:szCs w:val="24"/>
          <w:vertAlign w:val="subscript"/>
        </w:rPr>
        <w:t>i</w:t>
      </w:r>
      <w:r w:rsidRPr="00DE12A3">
        <w:rPr>
          <w:rStyle w:val="Resimyazs77pt0ptbolukbraklyor"/>
          <w:color w:val="auto"/>
          <w:sz w:val="24"/>
          <w:szCs w:val="24"/>
        </w:rPr>
        <w:tab/>
        <w:t>=</w:t>
      </w:r>
      <w:r w:rsidRPr="00DE12A3">
        <w:rPr>
          <w:rStyle w:val="Resimyazs77pt0ptbolukbraklyor"/>
          <w:color w:val="auto"/>
          <w:sz w:val="24"/>
          <w:szCs w:val="24"/>
        </w:rPr>
        <w:tab/>
      </w:r>
      <w:r w:rsidRPr="00DE12A3">
        <w:rPr>
          <w:rStyle w:val="Resimyazs77pt0ptbolukbraklyor"/>
          <w:i/>
          <w:iCs/>
          <w:color w:val="auto"/>
          <w:sz w:val="24"/>
          <w:szCs w:val="24"/>
        </w:rPr>
        <w:t>i</w:t>
      </w:r>
      <w:r w:rsidRPr="00DE12A3">
        <w:rPr>
          <w:rStyle w:val="Resimyazs77pt0ptbolukbraklyor"/>
          <w:color w:val="auto"/>
          <w:sz w:val="24"/>
          <w:szCs w:val="24"/>
        </w:rPr>
        <w:t xml:space="preserve"> modunda yaş bazda denk seyreltilmiş egzoz gazı kütle akış hızı [kg/s]</w:t>
      </w:r>
    </w:p>
    <w:p w14:paraId="2D79B6C5" w14:textId="77777777" w:rsidR="002D7B36" w:rsidRPr="00DE12A3" w:rsidRDefault="00242DA0" w:rsidP="00C917D6">
      <w:pPr>
        <w:pStyle w:val="Resimyazs70"/>
        <w:shd w:val="clear" w:color="auto" w:fill="auto"/>
        <w:tabs>
          <w:tab w:val="left" w:pos="851"/>
          <w:tab w:val="right" w:pos="952"/>
          <w:tab w:val="left" w:pos="1005"/>
        </w:tabs>
        <w:spacing w:after="120" w:line="240" w:lineRule="auto"/>
        <w:ind w:left="1134"/>
        <w:rPr>
          <w:sz w:val="24"/>
          <w:szCs w:val="24"/>
        </w:rPr>
      </w:pPr>
      <w:r w:rsidRPr="00DE12A3">
        <w:rPr>
          <w:rStyle w:val="Resimyazs77pt0ptbolukbraklyor"/>
          <w:color w:val="auto"/>
          <w:sz w:val="24"/>
          <w:szCs w:val="24"/>
        </w:rPr>
        <w:t>m</w:t>
      </w:r>
      <w:r w:rsidRPr="00DE12A3">
        <w:rPr>
          <w:rStyle w:val="Resimyazs77pt0ptbolukbraklyor"/>
          <w:color w:val="auto"/>
          <w:sz w:val="24"/>
          <w:szCs w:val="24"/>
          <w:vertAlign w:val="subscript"/>
        </w:rPr>
        <w:t>sep</w:t>
      </w:r>
      <w:r w:rsidRPr="00DE12A3">
        <w:rPr>
          <w:rStyle w:val="Resimyazs77pt0ptbolukbraklyor"/>
          <w:i/>
          <w:iCs/>
          <w:color w:val="auto"/>
          <w:sz w:val="24"/>
          <w:szCs w:val="24"/>
          <w:vertAlign w:val="subscript"/>
        </w:rPr>
        <w:t>i</w:t>
      </w:r>
      <w:r w:rsidRPr="00DE12A3">
        <w:rPr>
          <w:rStyle w:val="Resimyazs77pt0ptbolukbraklyor"/>
          <w:color w:val="auto"/>
          <w:sz w:val="24"/>
          <w:szCs w:val="24"/>
        </w:rPr>
        <w:tab/>
        <w:t>=</w:t>
      </w:r>
      <w:r w:rsidRPr="00DE12A3">
        <w:rPr>
          <w:rStyle w:val="Resimyazs77pt0ptbolukbraklyor"/>
          <w:color w:val="auto"/>
          <w:sz w:val="24"/>
          <w:szCs w:val="24"/>
        </w:rPr>
        <w:tab/>
      </w:r>
      <w:r w:rsidRPr="00DE12A3">
        <w:rPr>
          <w:rStyle w:val="Resimyazs77pt0ptbolukbraklyor"/>
          <w:i/>
          <w:iCs/>
          <w:color w:val="auto"/>
          <w:sz w:val="24"/>
          <w:szCs w:val="24"/>
        </w:rPr>
        <w:t xml:space="preserve">i </w:t>
      </w:r>
      <w:r w:rsidRPr="00DE12A3">
        <w:rPr>
          <w:rStyle w:val="Resimyazs77pt0ptbolukbraklyor"/>
          <w:color w:val="auto"/>
          <w:sz w:val="24"/>
          <w:szCs w:val="24"/>
        </w:rPr>
        <w:t xml:space="preserve">modunda </w:t>
      </w:r>
      <w:r w:rsidR="007E2039" w:rsidRPr="00DE12A3">
        <w:rPr>
          <w:rStyle w:val="Resimyazs77pt0ptbolukbraklyor"/>
          <w:color w:val="auto"/>
          <w:sz w:val="24"/>
          <w:szCs w:val="24"/>
        </w:rPr>
        <w:t xml:space="preserve">partikül </w:t>
      </w:r>
      <w:r w:rsidRPr="00DE12A3">
        <w:rPr>
          <w:rStyle w:val="Resimyazs77pt0ptbolukbraklyor"/>
          <w:color w:val="auto"/>
          <w:sz w:val="24"/>
          <w:szCs w:val="24"/>
        </w:rPr>
        <w:t>örnekleme filtresinden geçen seyreltik egzoz gazı numunesi kütlesi [kg]</w:t>
      </w:r>
    </w:p>
    <w:p w14:paraId="31656116" w14:textId="77777777" w:rsidR="002D7B36" w:rsidRPr="00DE12A3" w:rsidRDefault="00242DA0" w:rsidP="00C917D6">
      <w:pPr>
        <w:pStyle w:val="Resimyazs70"/>
        <w:shd w:val="clear" w:color="auto" w:fill="auto"/>
        <w:spacing w:after="120" w:line="240" w:lineRule="auto"/>
        <w:ind w:left="1134"/>
        <w:rPr>
          <w:sz w:val="24"/>
          <w:szCs w:val="24"/>
        </w:rPr>
      </w:pPr>
      <w:r w:rsidRPr="00DE12A3">
        <w:rPr>
          <w:spacing w:val="3"/>
          <w:sz w:val="24"/>
          <w:szCs w:val="24"/>
        </w:rPr>
        <w:t xml:space="preserve">PM kütlesi, örnekleme dönemi boyunca </w:t>
      </w:r>
      <w:r w:rsidRPr="00DE12A3">
        <w:rPr>
          <w:i/>
          <w:iCs/>
          <w:spacing w:val="3"/>
          <w:sz w:val="24"/>
          <w:szCs w:val="24"/>
        </w:rPr>
        <w:t>i</w:t>
      </w:r>
      <w:r w:rsidRPr="00DE12A3">
        <w:rPr>
          <w:spacing w:val="3"/>
          <w:sz w:val="24"/>
          <w:szCs w:val="24"/>
        </w:rPr>
        <w:t xml:space="preserve"> bağımsız modlarının ortalama değerlerinin toplanmasıyla test </w:t>
      </w:r>
      <w:r w:rsidR="00F310B5" w:rsidRPr="00DE12A3">
        <w:rPr>
          <w:spacing w:val="3"/>
          <w:sz w:val="24"/>
          <w:szCs w:val="24"/>
        </w:rPr>
        <w:t>çevrimi</w:t>
      </w:r>
      <w:r w:rsidRPr="00DE12A3">
        <w:rPr>
          <w:spacing w:val="3"/>
          <w:sz w:val="24"/>
          <w:szCs w:val="24"/>
        </w:rPr>
        <w:t xml:space="preserve"> boyunca belirlenir</w:t>
      </w:r>
      <w:r w:rsidRPr="00DE12A3">
        <w:rPr>
          <w:rStyle w:val="Resimyazs77pt0ptbolukbraklyor"/>
          <w:color w:val="auto"/>
          <w:sz w:val="24"/>
          <w:szCs w:val="24"/>
        </w:rPr>
        <w:t>.</w:t>
      </w:r>
    </w:p>
    <w:p w14:paraId="194A4CD8" w14:textId="3F362768" w:rsidR="002D7B36" w:rsidRPr="00DE12A3" w:rsidRDefault="007E2039" w:rsidP="00C917D6">
      <w:pPr>
        <w:pStyle w:val="Resimyazs70"/>
        <w:shd w:val="clear" w:color="auto" w:fill="auto"/>
        <w:spacing w:after="120" w:line="240" w:lineRule="auto"/>
        <w:ind w:left="1134"/>
        <w:rPr>
          <w:sz w:val="24"/>
          <w:szCs w:val="24"/>
        </w:rPr>
      </w:pPr>
      <w:r w:rsidRPr="00DE12A3">
        <w:rPr>
          <w:rStyle w:val="Resimyazs77pt0ptbolukbraklyor"/>
          <w:color w:val="auto"/>
          <w:sz w:val="24"/>
          <w:szCs w:val="24"/>
        </w:rPr>
        <w:t xml:space="preserve">Partikül </w:t>
      </w:r>
      <w:r w:rsidR="00242DA0" w:rsidRPr="00DE12A3">
        <w:rPr>
          <w:rStyle w:val="Resimyazs77pt0ptbolukbraklyor"/>
          <w:color w:val="auto"/>
          <w:sz w:val="24"/>
          <w:szCs w:val="24"/>
        </w:rPr>
        <w:t xml:space="preserve">kütle akış hızı </w:t>
      </w:r>
      <w:r w:rsidR="00242DA0" w:rsidRPr="00DE12A3">
        <w:rPr>
          <w:rStyle w:val="Resimyazs77pt0ptbolukbraklyor"/>
          <w:i/>
          <w:iCs/>
          <w:color w:val="auto"/>
          <w:sz w:val="24"/>
          <w:szCs w:val="24"/>
        </w:rPr>
        <w:t>q</w:t>
      </w:r>
      <w:r w:rsidR="00242DA0" w:rsidRPr="00DE12A3">
        <w:rPr>
          <w:rStyle w:val="Resimyazs77pt0ptbolukbraklyor"/>
          <w:color w:val="auto"/>
          <w:sz w:val="24"/>
          <w:szCs w:val="24"/>
          <w:vertAlign w:val="subscript"/>
        </w:rPr>
        <w:t>mPM</w:t>
      </w:r>
      <w:r w:rsidR="00242DA0" w:rsidRPr="00DE12A3">
        <w:rPr>
          <w:rStyle w:val="Resimyazs77pt0ptbolukbraklyor"/>
          <w:color w:val="auto"/>
          <w:sz w:val="24"/>
          <w:szCs w:val="24"/>
        </w:rPr>
        <w:t xml:space="preserve"> [g/saat] veya </w:t>
      </w:r>
      <w:r w:rsidR="00242DA0" w:rsidRPr="00DE12A3">
        <w:rPr>
          <w:rStyle w:val="Resimyazs77pt0ptbolukbraklyor"/>
          <w:i/>
          <w:iCs/>
          <w:color w:val="auto"/>
          <w:sz w:val="24"/>
          <w:szCs w:val="24"/>
        </w:rPr>
        <w:t>q</w:t>
      </w:r>
      <w:r w:rsidR="00242DA0" w:rsidRPr="00DE12A3">
        <w:rPr>
          <w:rStyle w:val="Resimyazs77pt0ptbolukbraklyor"/>
          <w:color w:val="auto"/>
          <w:sz w:val="24"/>
          <w:szCs w:val="24"/>
          <w:vertAlign w:val="subscript"/>
        </w:rPr>
        <w:t>mPM</w:t>
      </w:r>
      <w:r w:rsidR="00242DA0" w:rsidRPr="00DE12A3">
        <w:rPr>
          <w:rStyle w:val="Resimyazs77pt0ptbolukbraklyor"/>
          <w:i/>
          <w:iCs/>
          <w:color w:val="auto"/>
          <w:sz w:val="24"/>
          <w:szCs w:val="24"/>
          <w:vertAlign w:val="subscript"/>
        </w:rPr>
        <w:t>i</w:t>
      </w:r>
      <w:r w:rsidR="00242DA0" w:rsidRPr="00DE12A3">
        <w:rPr>
          <w:rStyle w:val="Resimyazs77pt0ptbolukbraklyor"/>
          <w:color w:val="auto"/>
          <w:sz w:val="24"/>
          <w:szCs w:val="24"/>
        </w:rPr>
        <w:t xml:space="preserve"> [g/saat] aşağıdaki şekilde arka planda düzeltilebilir</w:t>
      </w:r>
      <w:r w:rsidR="004955A8" w:rsidRPr="00DE12A3">
        <w:rPr>
          <w:rStyle w:val="Resimyazs77pt0ptbolukbraklyor"/>
          <w:color w:val="auto"/>
          <w:sz w:val="24"/>
          <w:szCs w:val="24"/>
        </w:rPr>
        <w:t>.</w:t>
      </w:r>
    </w:p>
    <w:p w14:paraId="5272AD02" w14:textId="77777777" w:rsidR="002D7B36" w:rsidRPr="00DE12A3" w:rsidRDefault="002D7B36" w:rsidP="00E20716">
      <w:pPr>
        <w:pStyle w:val="ListeParagraf"/>
        <w:numPr>
          <w:ilvl w:val="0"/>
          <w:numId w:val="412"/>
        </w:numPr>
        <w:tabs>
          <w:tab w:val="left" w:pos="278"/>
        </w:tabs>
        <w:spacing w:before="120" w:after="120"/>
        <w:ind w:left="1134" w:hanging="1134"/>
        <w:contextualSpacing w:val="0"/>
        <w:jc w:val="both"/>
        <w:rPr>
          <w:rFonts w:eastAsia="Times New Roman" w:cs="Times New Roman"/>
          <w:vanish/>
          <w:color w:val="auto"/>
          <w:spacing w:val="3"/>
          <w:lang w:eastAsia="en-US"/>
        </w:rPr>
      </w:pPr>
    </w:p>
    <w:p w14:paraId="14640035" w14:textId="77777777" w:rsidR="002D7B36" w:rsidRPr="00DE12A3" w:rsidRDefault="002D7B36" w:rsidP="00E20716">
      <w:pPr>
        <w:pStyle w:val="ListeParagraf"/>
        <w:numPr>
          <w:ilvl w:val="0"/>
          <w:numId w:val="412"/>
        </w:numPr>
        <w:tabs>
          <w:tab w:val="left" w:pos="278"/>
        </w:tabs>
        <w:spacing w:before="120" w:after="120"/>
        <w:ind w:left="1134" w:hanging="1134"/>
        <w:contextualSpacing w:val="0"/>
        <w:jc w:val="both"/>
        <w:rPr>
          <w:rFonts w:eastAsia="Times New Roman" w:cs="Times New Roman"/>
          <w:vanish/>
          <w:color w:val="auto"/>
          <w:spacing w:val="3"/>
          <w:lang w:eastAsia="en-US"/>
        </w:rPr>
      </w:pPr>
    </w:p>
    <w:p w14:paraId="5B689E36" w14:textId="225F93A8" w:rsidR="002D7B36" w:rsidRPr="00DE12A3" w:rsidRDefault="00242DA0" w:rsidP="00E20716">
      <w:pPr>
        <w:pStyle w:val="Resimyazs70"/>
        <w:numPr>
          <w:ilvl w:val="0"/>
          <w:numId w:val="412"/>
        </w:numPr>
        <w:shd w:val="clear" w:color="auto" w:fill="auto"/>
        <w:tabs>
          <w:tab w:val="left" w:pos="278"/>
        </w:tabs>
        <w:spacing w:after="120" w:line="240" w:lineRule="auto"/>
        <w:ind w:left="1701" w:hanging="708"/>
        <w:rPr>
          <w:sz w:val="24"/>
          <w:szCs w:val="24"/>
        </w:rPr>
      </w:pPr>
      <w:r w:rsidRPr="00DE12A3">
        <w:rPr>
          <w:spacing w:val="3"/>
          <w:sz w:val="24"/>
          <w:szCs w:val="24"/>
        </w:rPr>
        <w:t>Tek filtre yöntemi için</w:t>
      </w:r>
      <w:r w:rsidR="004955A8" w:rsidRPr="00DE12A3">
        <w:rPr>
          <w:spacing w:val="3"/>
          <w:sz w:val="24"/>
          <w:szCs w:val="24"/>
        </w:rPr>
        <w:t>;</w:t>
      </w:r>
    </w:p>
    <w:p w14:paraId="578A56DB" w14:textId="10E193EA" w:rsidR="002D7B36" w:rsidRPr="00DE12A3" w:rsidRDefault="00242DA0" w:rsidP="00C917D6">
      <w:pPr>
        <w:pStyle w:val="Resimyazs70"/>
        <w:shd w:val="clear" w:color="auto" w:fill="auto"/>
        <w:tabs>
          <w:tab w:val="left" w:pos="278"/>
        </w:tabs>
        <w:spacing w:after="120" w:line="240" w:lineRule="auto"/>
        <w:ind w:left="1134" w:hanging="1134"/>
        <w:jc w:val="center"/>
        <w:rPr>
          <w:sz w:val="24"/>
          <w:szCs w:val="24"/>
        </w:rPr>
      </w:pPr>
      <w:r w:rsidRPr="00DE12A3">
        <w:rPr>
          <w:noProof/>
          <w:sz w:val="24"/>
          <w:szCs w:val="24"/>
          <w:lang w:eastAsia="tr-TR"/>
        </w:rPr>
        <w:lastRenderedPageBreak/>
        <w:drawing>
          <wp:inline distT="0" distB="0" distL="0" distR="0" wp14:anchorId="68A121F4" wp14:editId="1553101E">
            <wp:extent cx="4200350" cy="483870"/>
            <wp:effectExtent l="0" t="0" r="0" b="0"/>
            <wp:docPr id="115" name="Resim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Resim 115"/>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a:xfrm>
                      <a:off x="0" y="0"/>
                      <a:ext cx="4215186" cy="485579"/>
                    </a:xfrm>
                    <a:prstGeom prst="rect">
                      <a:avLst/>
                    </a:prstGeom>
                    <a:noFill/>
                    <a:ln>
                      <a:noFill/>
                    </a:ln>
                  </pic:spPr>
                </pic:pic>
              </a:graphicData>
            </a:graphic>
          </wp:inline>
        </w:drawing>
      </w:r>
    </w:p>
    <w:p w14:paraId="7132F635" w14:textId="77777777" w:rsidR="002D7B36" w:rsidRPr="00DE12A3" w:rsidRDefault="00242DA0" w:rsidP="00C917D6">
      <w:pPr>
        <w:pStyle w:val="Gvdemetni251"/>
        <w:spacing w:before="120" w:after="120" w:line="240" w:lineRule="auto"/>
        <w:ind w:left="1134" w:firstLine="0"/>
        <w:rPr>
          <w:color w:val="auto"/>
          <w:sz w:val="24"/>
          <w:szCs w:val="24"/>
        </w:rPr>
      </w:pPr>
      <w:r w:rsidRPr="00DE12A3">
        <w:rPr>
          <w:color w:val="auto"/>
          <w:sz w:val="24"/>
          <w:szCs w:val="24"/>
        </w:rPr>
        <w:t>Burada:</w:t>
      </w:r>
    </w:p>
    <w:p w14:paraId="4B1C499D" w14:textId="77777777" w:rsidR="002D7B36" w:rsidRPr="00DE12A3" w:rsidRDefault="00242DA0" w:rsidP="00C917D6">
      <w:pPr>
        <w:pStyle w:val="Gvdemetni251"/>
        <w:tabs>
          <w:tab w:val="left" w:pos="851"/>
        </w:tabs>
        <w:spacing w:before="120" w:after="120" w:line="240" w:lineRule="auto"/>
        <w:ind w:left="1134" w:firstLine="0"/>
        <w:rPr>
          <w:color w:val="auto"/>
          <w:sz w:val="24"/>
          <w:szCs w:val="24"/>
        </w:rPr>
      </w:pPr>
      <w:r w:rsidRPr="00DE12A3">
        <w:rPr>
          <w:i/>
          <w:iCs/>
          <w:color w:val="auto"/>
          <w:sz w:val="24"/>
          <w:szCs w:val="24"/>
        </w:rPr>
        <w:t>q</w:t>
      </w:r>
      <w:r w:rsidRPr="00DE12A3">
        <w:rPr>
          <w:color w:val="auto"/>
          <w:sz w:val="24"/>
          <w:szCs w:val="24"/>
          <w:vertAlign w:val="subscript"/>
        </w:rPr>
        <w:t>mPM</w:t>
      </w:r>
      <w:r w:rsidRPr="00DE12A3">
        <w:rPr>
          <w:color w:val="auto"/>
          <w:sz w:val="24"/>
          <w:szCs w:val="24"/>
        </w:rPr>
        <w:tab/>
        <w:t>=</w:t>
      </w:r>
      <w:r w:rsidRPr="00DE12A3">
        <w:rPr>
          <w:color w:val="auto"/>
          <w:sz w:val="24"/>
          <w:szCs w:val="24"/>
        </w:rPr>
        <w:tab/>
      </w:r>
      <w:r w:rsidR="007E2039" w:rsidRPr="00DE12A3">
        <w:rPr>
          <w:color w:val="auto"/>
          <w:sz w:val="24"/>
          <w:szCs w:val="24"/>
        </w:rPr>
        <w:t xml:space="preserve">partikül </w:t>
      </w:r>
      <w:r w:rsidRPr="00DE12A3">
        <w:rPr>
          <w:color w:val="auto"/>
          <w:sz w:val="24"/>
          <w:szCs w:val="24"/>
        </w:rPr>
        <w:t>kütle akış hızı [g/saat]</w:t>
      </w:r>
    </w:p>
    <w:p w14:paraId="1740D757" w14:textId="53DEB6D8" w:rsidR="002D7B36" w:rsidRPr="00DE12A3" w:rsidRDefault="00242DA0" w:rsidP="00C917D6">
      <w:pPr>
        <w:pStyle w:val="Gvdemetni251"/>
        <w:tabs>
          <w:tab w:val="left" w:pos="851"/>
        </w:tabs>
        <w:spacing w:before="120" w:after="120" w:line="240" w:lineRule="auto"/>
        <w:ind w:left="1134" w:firstLine="0"/>
        <w:rPr>
          <w:color w:val="auto"/>
          <w:sz w:val="24"/>
          <w:szCs w:val="24"/>
        </w:rPr>
      </w:pPr>
      <w:r w:rsidRPr="00DE12A3">
        <w:rPr>
          <w:rStyle w:val="Gvdemetni254pttalik0ptbolukbraklyor22"/>
          <w:color w:val="auto"/>
          <w:sz w:val="24"/>
          <w:szCs w:val="24"/>
        </w:rPr>
        <w:t>m</w:t>
      </w:r>
      <w:r w:rsidRPr="00DE12A3">
        <w:rPr>
          <w:rStyle w:val="Gvdemetni254pttalik0ptbolukbraklyor22"/>
          <w:i w:val="0"/>
          <w:iCs w:val="0"/>
          <w:color w:val="auto"/>
          <w:sz w:val="24"/>
          <w:szCs w:val="24"/>
          <w:vertAlign w:val="subscript"/>
        </w:rPr>
        <w:t>f</w:t>
      </w:r>
      <w:r w:rsidRPr="00DE12A3">
        <w:rPr>
          <w:i/>
          <w:iCs/>
          <w:color w:val="auto"/>
          <w:sz w:val="24"/>
          <w:szCs w:val="24"/>
        </w:rPr>
        <w:tab/>
      </w:r>
      <w:r w:rsidR="00BD456F" w:rsidRPr="00DE12A3">
        <w:rPr>
          <w:i/>
          <w:iCs/>
          <w:color w:val="auto"/>
          <w:sz w:val="24"/>
          <w:szCs w:val="24"/>
        </w:rPr>
        <w:t xml:space="preserve">       </w:t>
      </w:r>
      <w:r w:rsidRPr="00DE12A3">
        <w:rPr>
          <w:color w:val="auto"/>
          <w:sz w:val="24"/>
          <w:szCs w:val="24"/>
        </w:rPr>
        <w:t>=</w:t>
      </w:r>
      <w:r w:rsidRPr="00DE12A3">
        <w:rPr>
          <w:color w:val="auto"/>
          <w:sz w:val="24"/>
          <w:szCs w:val="24"/>
        </w:rPr>
        <w:tab/>
        <w:t xml:space="preserve">toplanan </w:t>
      </w:r>
      <w:r w:rsidR="007E2039" w:rsidRPr="00DE12A3">
        <w:rPr>
          <w:color w:val="auto"/>
          <w:sz w:val="24"/>
          <w:szCs w:val="24"/>
        </w:rPr>
        <w:t xml:space="preserve">partikül </w:t>
      </w:r>
      <w:r w:rsidRPr="00DE12A3">
        <w:rPr>
          <w:color w:val="auto"/>
          <w:sz w:val="24"/>
          <w:szCs w:val="24"/>
        </w:rPr>
        <w:t>numune kütlesi [mg]</w:t>
      </w:r>
    </w:p>
    <w:p w14:paraId="2D91ED23" w14:textId="0729907F" w:rsidR="002D7B36" w:rsidRPr="00DE12A3" w:rsidRDefault="00242DA0" w:rsidP="00C917D6">
      <w:pPr>
        <w:pStyle w:val="Gvdemetni251"/>
        <w:tabs>
          <w:tab w:val="left" w:pos="851"/>
        </w:tabs>
        <w:spacing w:before="120" w:after="120" w:line="240" w:lineRule="auto"/>
        <w:ind w:left="1134" w:firstLine="0"/>
        <w:rPr>
          <w:color w:val="auto"/>
          <w:sz w:val="24"/>
          <w:szCs w:val="24"/>
        </w:rPr>
      </w:pPr>
      <w:r w:rsidRPr="00DE12A3">
        <w:rPr>
          <w:i/>
          <w:iCs/>
          <w:color w:val="auto"/>
          <w:sz w:val="24"/>
          <w:szCs w:val="24"/>
        </w:rPr>
        <w:t>m</w:t>
      </w:r>
      <w:r w:rsidRPr="00DE12A3">
        <w:rPr>
          <w:color w:val="auto"/>
          <w:sz w:val="24"/>
          <w:szCs w:val="24"/>
          <w:vertAlign w:val="subscript"/>
        </w:rPr>
        <w:t>sep</w:t>
      </w:r>
      <w:r w:rsidR="00BD456F" w:rsidRPr="00DE12A3">
        <w:rPr>
          <w:color w:val="auto"/>
          <w:sz w:val="24"/>
          <w:szCs w:val="24"/>
          <w:vertAlign w:val="subscript"/>
        </w:rPr>
        <w:t xml:space="preserve">        </w:t>
      </w:r>
      <w:r w:rsidRPr="00DE12A3">
        <w:rPr>
          <w:color w:val="auto"/>
          <w:sz w:val="24"/>
          <w:szCs w:val="24"/>
        </w:rPr>
        <w:t>=</w:t>
      </w:r>
      <w:r w:rsidRPr="00DE12A3">
        <w:rPr>
          <w:color w:val="auto"/>
          <w:sz w:val="24"/>
          <w:szCs w:val="24"/>
        </w:rPr>
        <w:tab/>
      </w:r>
      <w:r w:rsidR="007E2039" w:rsidRPr="00DE12A3">
        <w:rPr>
          <w:color w:val="auto"/>
          <w:sz w:val="24"/>
          <w:szCs w:val="24"/>
        </w:rPr>
        <w:t xml:space="preserve">partikül </w:t>
      </w:r>
      <w:r w:rsidRPr="00DE12A3">
        <w:rPr>
          <w:color w:val="auto"/>
          <w:sz w:val="24"/>
          <w:szCs w:val="24"/>
        </w:rPr>
        <w:t>örnekleme filtresinden geçen seyreltilmiş egzoz gazı numunesi kütlesi [kg]</w:t>
      </w:r>
    </w:p>
    <w:p w14:paraId="52432AF6" w14:textId="71E31EE9" w:rsidR="002D7B36" w:rsidRPr="00DE12A3" w:rsidRDefault="00242DA0" w:rsidP="00C917D6">
      <w:pPr>
        <w:pStyle w:val="Gvdemetni251"/>
        <w:tabs>
          <w:tab w:val="left" w:pos="851"/>
        </w:tabs>
        <w:spacing w:before="120" w:after="120" w:line="240" w:lineRule="auto"/>
        <w:ind w:left="1134" w:firstLine="0"/>
        <w:rPr>
          <w:color w:val="auto"/>
          <w:sz w:val="24"/>
          <w:szCs w:val="24"/>
        </w:rPr>
      </w:pPr>
      <w:r w:rsidRPr="00DE12A3">
        <w:rPr>
          <w:i/>
          <w:iCs/>
          <w:color w:val="auto"/>
          <w:sz w:val="24"/>
          <w:szCs w:val="24"/>
        </w:rPr>
        <w:t>m</w:t>
      </w:r>
      <w:r w:rsidRPr="00DE12A3">
        <w:rPr>
          <w:color w:val="auto"/>
          <w:sz w:val="24"/>
          <w:szCs w:val="24"/>
          <w:vertAlign w:val="subscript"/>
        </w:rPr>
        <w:t>f</w:t>
      </w:r>
      <w:r w:rsidRPr="00DE12A3">
        <w:rPr>
          <w:color w:val="auto"/>
          <w:sz w:val="24"/>
          <w:szCs w:val="24"/>
        </w:rPr>
        <w:t>,</w:t>
      </w:r>
      <w:r w:rsidRPr="00DE12A3">
        <w:rPr>
          <w:color w:val="auto"/>
          <w:sz w:val="24"/>
          <w:szCs w:val="24"/>
          <w:vertAlign w:val="subscript"/>
        </w:rPr>
        <w:t>d</w:t>
      </w:r>
      <w:r w:rsidR="00BD456F" w:rsidRPr="00DE12A3">
        <w:rPr>
          <w:color w:val="auto"/>
          <w:sz w:val="24"/>
          <w:szCs w:val="24"/>
          <w:vertAlign w:val="subscript"/>
        </w:rPr>
        <w:t xml:space="preserve">        </w:t>
      </w:r>
      <w:r w:rsidRPr="00DE12A3">
        <w:rPr>
          <w:color w:val="auto"/>
          <w:sz w:val="24"/>
          <w:szCs w:val="24"/>
        </w:rPr>
        <w:t>=</w:t>
      </w:r>
      <w:r w:rsidRPr="00DE12A3">
        <w:rPr>
          <w:color w:val="auto"/>
          <w:sz w:val="24"/>
          <w:szCs w:val="24"/>
        </w:rPr>
        <w:tab/>
        <w:t xml:space="preserve">toplanan seyreltme havasının </w:t>
      </w:r>
      <w:r w:rsidR="007E2039" w:rsidRPr="00DE12A3">
        <w:rPr>
          <w:color w:val="auto"/>
          <w:sz w:val="24"/>
          <w:szCs w:val="24"/>
        </w:rPr>
        <w:t xml:space="preserve">partikül </w:t>
      </w:r>
      <w:r w:rsidRPr="00DE12A3">
        <w:rPr>
          <w:color w:val="auto"/>
          <w:sz w:val="24"/>
          <w:szCs w:val="24"/>
        </w:rPr>
        <w:t>numune kütlesi [mg]</w:t>
      </w:r>
    </w:p>
    <w:p w14:paraId="75D3F1A3" w14:textId="40198598" w:rsidR="002D7B36" w:rsidRPr="00DE12A3" w:rsidRDefault="00242DA0" w:rsidP="00C917D6">
      <w:pPr>
        <w:pStyle w:val="Gvdemetni251"/>
        <w:tabs>
          <w:tab w:val="left" w:pos="851"/>
        </w:tabs>
        <w:spacing w:before="120" w:after="120" w:line="240" w:lineRule="auto"/>
        <w:ind w:left="1134" w:firstLine="0"/>
        <w:rPr>
          <w:color w:val="auto"/>
          <w:sz w:val="24"/>
          <w:szCs w:val="24"/>
        </w:rPr>
      </w:pPr>
      <w:r w:rsidRPr="00DE12A3">
        <w:rPr>
          <w:rStyle w:val="Gvdemetni254pttalik0ptbolukbraklyor22"/>
          <w:color w:val="auto"/>
          <w:sz w:val="24"/>
          <w:szCs w:val="24"/>
        </w:rPr>
        <w:t>m</w:t>
      </w:r>
      <w:r w:rsidRPr="00DE12A3">
        <w:rPr>
          <w:rStyle w:val="Gvdemetni254pttalik0ptbolukbraklyor22"/>
          <w:i w:val="0"/>
          <w:iCs w:val="0"/>
          <w:color w:val="auto"/>
          <w:sz w:val="24"/>
          <w:szCs w:val="24"/>
          <w:vertAlign w:val="subscript"/>
        </w:rPr>
        <w:t>d</w:t>
      </w:r>
      <w:r w:rsidRPr="00DE12A3">
        <w:rPr>
          <w:color w:val="auto"/>
          <w:sz w:val="24"/>
          <w:szCs w:val="24"/>
        </w:rPr>
        <w:tab/>
      </w:r>
      <w:r w:rsidR="00BD456F" w:rsidRPr="00DE12A3">
        <w:rPr>
          <w:color w:val="auto"/>
          <w:sz w:val="24"/>
          <w:szCs w:val="24"/>
        </w:rPr>
        <w:t xml:space="preserve">       </w:t>
      </w:r>
      <w:r w:rsidRPr="00DE12A3">
        <w:rPr>
          <w:color w:val="auto"/>
          <w:sz w:val="24"/>
          <w:szCs w:val="24"/>
        </w:rPr>
        <w:t>=</w:t>
      </w:r>
      <w:r w:rsidRPr="00DE12A3">
        <w:rPr>
          <w:color w:val="auto"/>
          <w:sz w:val="24"/>
          <w:szCs w:val="24"/>
        </w:rPr>
        <w:tab/>
      </w:r>
      <w:r w:rsidR="007E2039" w:rsidRPr="00DE12A3">
        <w:rPr>
          <w:color w:val="auto"/>
          <w:sz w:val="24"/>
          <w:szCs w:val="24"/>
        </w:rPr>
        <w:t xml:space="preserve">partikül </w:t>
      </w:r>
      <w:r w:rsidRPr="00DE12A3">
        <w:rPr>
          <w:color w:val="auto"/>
          <w:sz w:val="24"/>
          <w:szCs w:val="24"/>
        </w:rPr>
        <w:t>örnekleme filtrelerinden geçen seyreltme havası numunesi kütlesi [kg]</w:t>
      </w:r>
    </w:p>
    <w:p w14:paraId="5EE9E4FC" w14:textId="1B929288" w:rsidR="002D7B36" w:rsidRPr="00DE12A3" w:rsidRDefault="00242DA0" w:rsidP="00C917D6">
      <w:pPr>
        <w:pStyle w:val="Gvdemetni251"/>
        <w:tabs>
          <w:tab w:val="left" w:pos="851"/>
        </w:tabs>
        <w:spacing w:before="120" w:after="120" w:line="240" w:lineRule="auto"/>
        <w:ind w:left="1134" w:firstLine="0"/>
        <w:rPr>
          <w:color w:val="auto"/>
          <w:sz w:val="24"/>
          <w:szCs w:val="24"/>
        </w:rPr>
      </w:pPr>
      <w:r w:rsidRPr="00DE12A3">
        <w:rPr>
          <w:rStyle w:val="Gvdemetni254pttalik0ptbolukbraklyor22"/>
          <w:color w:val="auto"/>
          <w:sz w:val="24"/>
          <w:szCs w:val="24"/>
        </w:rPr>
        <w:t>D</w:t>
      </w:r>
      <w:r w:rsidRPr="00DE12A3">
        <w:rPr>
          <w:rStyle w:val="Gvdemetni254pttalik0ptbolukbraklyor22"/>
          <w:color w:val="auto"/>
          <w:sz w:val="24"/>
          <w:szCs w:val="24"/>
          <w:vertAlign w:val="subscript"/>
        </w:rPr>
        <w:t>i</w:t>
      </w:r>
      <w:r w:rsidRPr="00DE12A3">
        <w:rPr>
          <w:color w:val="auto"/>
          <w:sz w:val="24"/>
          <w:szCs w:val="24"/>
        </w:rPr>
        <w:tab/>
      </w:r>
      <w:r w:rsidR="00BD456F" w:rsidRPr="00DE12A3">
        <w:rPr>
          <w:color w:val="auto"/>
          <w:sz w:val="24"/>
          <w:szCs w:val="24"/>
        </w:rPr>
        <w:t xml:space="preserve">       </w:t>
      </w:r>
      <w:r w:rsidRPr="00DE12A3">
        <w:rPr>
          <w:color w:val="auto"/>
          <w:sz w:val="24"/>
          <w:szCs w:val="24"/>
        </w:rPr>
        <w:t>=</w:t>
      </w:r>
      <w:r w:rsidRPr="00DE12A3">
        <w:rPr>
          <w:color w:val="auto"/>
          <w:sz w:val="24"/>
          <w:szCs w:val="24"/>
        </w:rPr>
        <w:tab/>
      </w:r>
      <w:r w:rsidRPr="00DE12A3">
        <w:rPr>
          <w:i/>
          <w:iCs/>
          <w:color w:val="auto"/>
          <w:sz w:val="24"/>
          <w:szCs w:val="24"/>
        </w:rPr>
        <w:t>i</w:t>
      </w:r>
      <w:r w:rsidRPr="00DE12A3">
        <w:rPr>
          <w:color w:val="auto"/>
          <w:sz w:val="24"/>
          <w:szCs w:val="24"/>
        </w:rPr>
        <w:t xml:space="preserve"> modunda seyreltme faktörü [bkz. 2.2.2.2 bendi, (7-28) </w:t>
      </w:r>
      <w:r w:rsidR="005E1C7E" w:rsidRPr="00DE12A3">
        <w:rPr>
          <w:color w:val="auto"/>
          <w:sz w:val="24"/>
          <w:szCs w:val="24"/>
        </w:rPr>
        <w:t>numaralı</w:t>
      </w:r>
      <w:r w:rsidR="005E1C7E" w:rsidRPr="00DE12A3" w:rsidDel="005E1C7E">
        <w:rPr>
          <w:color w:val="auto"/>
          <w:sz w:val="24"/>
          <w:szCs w:val="24"/>
        </w:rPr>
        <w:t xml:space="preserve"> </w:t>
      </w:r>
      <w:r w:rsidRPr="00DE12A3">
        <w:rPr>
          <w:color w:val="auto"/>
          <w:sz w:val="24"/>
          <w:szCs w:val="24"/>
        </w:rPr>
        <w:t>denklem] [-]</w:t>
      </w:r>
    </w:p>
    <w:p w14:paraId="4E02919B" w14:textId="77777777" w:rsidR="002D7B36" w:rsidRPr="00DE12A3" w:rsidRDefault="00242DA0" w:rsidP="00C917D6">
      <w:pPr>
        <w:pStyle w:val="Gvdemetni251"/>
        <w:tabs>
          <w:tab w:val="left" w:pos="851"/>
        </w:tabs>
        <w:spacing w:before="120" w:after="120" w:line="240" w:lineRule="auto"/>
        <w:ind w:left="1134" w:firstLine="0"/>
        <w:rPr>
          <w:color w:val="auto"/>
          <w:sz w:val="24"/>
          <w:szCs w:val="24"/>
        </w:rPr>
      </w:pPr>
      <w:r w:rsidRPr="00DE12A3">
        <w:rPr>
          <w:rStyle w:val="Gvdemetni254pttalik0ptbolukbraklyor22"/>
          <w:color w:val="auto"/>
          <w:sz w:val="24"/>
          <w:szCs w:val="24"/>
        </w:rPr>
        <w:t>WF</w:t>
      </w:r>
      <w:r w:rsidRPr="00DE12A3">
        <w:rPr>
          <w:rStyle w:val="Gvdemetni254pttalik0ptbolukbraklyor22"/>
          <w:color w:val="auto"/>
          <w:sz w:val="24"/>
          <w:szCs w:val="24"/>
          <w:vertAlign w:val="subscript"/>
        </w:rPr>
        <w:t>i</w:t>
      </w:r>
      <w:r w:rsidRPr="00DE12A3">
        <w:rPr>
          <w:color w:val="auto"/>
          <w:sz w:val="24"/>
          <w:szCs w:val="24"/>
        </w:rPr>
        <w:tab/>
        <w:t>=</w:t>
      </w:r>
      <w:r w:rsidRPr="00DE12A3">
        <w:rPr>
          <w:color w:val="auto"/>
          <w:sz w:val="24"/>
          <w:szCs w:val="24"/>
        </w:rPr>
        <w:tab/>
      </w:r>
      <w:r w:rsidRPr="00DE12A3">
        <w:rPr>
          <w:i/>
          <w:iCs/>
          <w:color w:val="auto"/>
          <w:sz w:val="24"/>
          <w:szCs w:val="24"/>
        </w:rPr>
        <w:t>i</w:t>
      </w:r>
      <w:r w:rsidRPr="00DE12A3">
        <w:rPr>
          <w:color w:val="auto"/>
          <w:sz w:val="24"/>
          <w:szCs w:val="24"/>
        </w:rPr>
        <w:t xml:space="preserve"> modu için ağırlık faktörü [-]</w:t>
      </w:r>
    </w:p>
    <w:p w14:paraId="5398BD07" w14:textId="77777777" w:rsidR="002D7B36" w:rsidRPr="00DE12A3" w:rsidRDefault="00242DA0" w:rsidP="00C917D6">
      <w:pPr>
        <w:pStyle w:val="Gvdemetni251"/>
        <w:tabs>
          <w:tab w:val="left" w:pos="851"/>
        </w:tabs>
        <w:spacing w:before="120" w:after="120" w:line="240" w:lineRule="auto"/>
        <w:ind w:left="1134" w:firstLine="0"/>
        <w:rPr>
          <w:color w:val="auto"/>
          <w:sz w:val="24"/>
          <w:szCs w:val="24"/>
        </w:rPr>
      </w:pPr>
      <w:r w:rsidRPr="00DE12A3">
        <w:rPr>
          <w:i/>
          <w:iCs/>
          <w:color w:val="auto"/>
          <w:sz w:val="24"/>
          <w:szCs w:val="24"/>
        </w:rPr>
        <w:t>q</w:t>
      </w:r>
      <w:r w:rsidRPr="00DE12A3">
        <w:rPr>
          <w:color w:val="auto"/>
          <w:sz w:val="24"/>
          <w:szCs w:val="24"/>
          <w:vertAlign w:val="subscript"/>
        </w:rPr>
        <w:t>medf</w:t>
      </w:r>
      <w:r w:rsidRPr="00DE12A3">
        <w:rPr>
          <w:color w:val="auto"/>
          <w:sz w:val="24"/>
          <w:szCs w:val="24"/>
        </w:rPr>
        <w:tab/>
        <w:t>=</w:t>
      </w:r>
      <w:r w:rsidRPr="00DE12A3">
        <w:rPr>
          <w:color w:val="auto"/>
          <w:sz w:val="24"/>
          <w:szCs w:val="24"/>
        </w:rPr>
        <w:tab/>
        <w:t>yaş bazda ortalama denk seyreltilmiş egzoz gazı kütle akış hızı [kg/s]</w:t>
      </w:r>
    </w:p>
    <w:p w14:paraId="25988797" w14:textId="530FBCBD" w:rsidR="002D7B36" w:rsidRPr="00DE12A3" w:rsidRDefault="00242DA0" w:rsidP="00E20716">
      <w:pPr>
        <w:pStyle w:val="Gvdemetni251"/>
        <w:numPr>
          <w:ilvl w:val="0"/>
          <w:numId w:val="412"/>
        </w:numPr>
        <w:tabs>
          <w:tab w:val="left" w:pos="278"/>
        </w:tabs>
        <w:spacing w:before="120" w:after="120" w:line="240" w:lineRule="auto"/>
        <w:ind w:left="1701" w:hanging="567"/>
        <w:rPr>
          <w:color w:val="auto"/>
          <w:sz w:val="24"/>
          <w:szCs w:val="24"/>
        </w:rPr>
      </w:pPr>
      <w:r w:rsidRPr="00DE12A3">
        <w:rPr>
          <w:color w:val="auto"/>
          <w:sz w:val="24"/>
          <w:szCs w:val="24"/>
        </w:rPr>
        <w:t>Birden fazla filtre yöntemi için</w:t>
      </w:r>
      <w:r w:rsidR="004955A8" w:rsidRPr="00DE12A3">
        <w:rPr>
          <w:color w:val="auto"/>
          <w:sz w:val="24"/>
          <w:szCs w:val="24"/>
        </w:rPr>
        <w:t>;</w:t>
      </w:r>
    </w:p>
    <w:p w14:paraId="679681B9" w14:textId="77777777" w:rsidR="00E33A88" w:rsidRPr="00DE12A3" w:rsidRDefault="00E33A88" w:rsidP="00A74944">
      <w:pPr>
        <w:pStyle w:val="Gvdemetni251"/>
        <w:tabs>
          <w:tab w:val="left" w:pos="278"/>
        </w:tabs>
        <w:spacing w:before="120" w:after="120" w:line="240" w:lineRule="auto"/>
        <w:ind w:left="1701" w:firstLine="0"/>
        <w:rPr>
          <w:color w:val="auto"/>
          <w:sz w:val="24"/>
          <w:szCs w:val="24"/>
        </w:rPr>
      </w:pPr>
    </w:p>
    <w:p w14:paraId="13FB7631" w14:textId="47E5DAC7" w:rsidR="002D7B36" w:rsidRPr="00DE12A3" w:rsidRDefault="00242DA0" w:rsidP="00C917D6">
      <w:pPr>
        <w:pStyle w:val="Resimyazs70"/>
        <w:shd w:val="clear" w:color="auto" w:fill="auto"/>
        <w:tabs>
          <w:tab w:val="left" w:pos="278"/>
        </w:tabs>
        <w:spacing w:after="120" w:line="240" w:lineRule="auto"/>
        <w:ind w:left="1134" w:hanging="1134"/>
        <w:jc w:val="center"/>
        <w:rPr>
          <w:sz w:val="24"/>
          <w:szCs w:val="24"/>
        </w:rPr>
      </w:pPr>
      <w:r w:rsidRPr="00DE12A3">
        <w:rPr>
          <w:noProof/>
          <w:sz w:val="24"/>
          <w:szCs w:val="24"/>
          <w:lang w:eastAsia="tr-TR"/>
        </w:rPr>
        <w:drawing>
          <wp:inline distT="0" distB="0" distL="0" distR="0" wp14:anchorId="12040DEE" wp14:editId="2E9E133C">
            <wp:extent cx="4073525" cy="644770"/>
            <wp:effectExtent l="0" t="0" r="3175" b="3175"/>
            <wp:docPr id="116" name="Resim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Resim 116"/>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a:xfrm>
                      <a:off x="0" y="0"/>
                      <a:ext cx="4135602" cy="654596"/>
                    </a:xfrm>
                    <a:prstGeom prst="rect">
                      <a:avLst/>
                    </a:prstGeom>
                    <a:noFill/>
                    <a:ln>
                      <a:noFill/>
                    </a:ln>
                  </pic:spPr>
                </pic:pic>
              </a:graphicData>
            </a:graphic>
          </wp:inline>
        </w:drawing>
      </w:r>
    </w:p>
    <w:p w14:paraId="30F2036E" w14:textId="77777777" w:rsidR="00E33A88" w:rsidRPr="00DE12A3" w:rsidRDefault="00E33A88" w:rsidP="00C917D6">
      <w:pPr>
        <w:pStyle w:val="Gvdemetni251"/>
        <w:shd w:val="clear" w:color="auto" w:fill="auto"/>
        <w:spacing w:before="120" w:after="120" w:line="240" w:lineRule="auto"/>
        <w:ind w:left="1134" w:firstLine="0"/>
        <w:rPr>
          <w:color w:val="auto"/>
          <w:sz w:val="24"/>
          <w:szCs w:val="24"/>
        </w:rPr>
      </w:pPr>
    </w:p>
    <w:p w14:paraId="4F7A4D54" w14:textId="77777777" w:rsidR="002D7B36" w:rsidRPr="00DE12A3" w:rsidRDefault="00242DA0" w:rsidP="00C917D6">
      <w:pPr>
        <w:pStyle w:val="Gvdemetni251"/>
        <w:shd w:val="clear" w:color="auto" w:fill="auto"/>
        <w:spacing w:before="120" w:after="120" w:line="240" w:lineRule="auto"/>
        <w:ind w:left="1134" w:firstLine="0"/>
        <w:rPr>
          <w:color w:val="auto"/>
          <w:sz w:val="24"/>
          <w:szCs w:val="24"/>
        </w:rPr>
      </w:pPr>
      <w:r w:rsidRPr="00DE12A3">
        <w:rPr>
          <w:color w:val="auto"/>
          <w:sz w:val="24"/>
          <w:szCs w:val="24"/>
        </w:rPr>
        <w:t>Burada:</w:t>
      </w:r>
    </w:p>
    <w:p w14:paraId="21F57C77" w14:textId="77777777" w:rsidR="002D7B36" w:rsidRPr="00DE12A3" w:rsidRDefault="00242DA0" w:rsidP="00C917D6">
      <w:pPr>
        <w:pStyle w:val="Gvdemetni251"/>
        <w:shd w:val="clear" w:color="auto" w:fill="auto"/>
        <w:tabs>
          <w:tab w:val="left" w:pos="851"/>
        </w:tabs>
        <w:spacing w:before="120" w:after="120" w:line="240" w:lineRule="auto"/>
        <w:ind w:left="1134" w:firstLine="0"/>
        <w:rPr>
          <w:color w:val="auto"/>
          <w:sz w:val="24"/>
          <w:szCs w:val="24"/>
        </w:rPr>
      </w:pPr>
      <w:r w:rsidRPr="00DE12A3">
        <w:rPr>
          <w:i/>
          <w:iCs/>
          <w:color w:val="auto"/>
          <w:sz w:val="24"/>
          <w:szCs w:val="24"/>
        </w:rPr>
        <w:t>q</w:t>
      </w:r>
      <w:r w:rsidRPr="00DE12A3">
        <w:rPr>
          <w:color w:val="auto"/>
          <w:sz w:val="24"/>
          <w:szCs w:val="24"/>
          <w:vertAlign w:val="subscript"/>
        </w:rPr>
        <w:t>mPM</w:t>
      </w:r>
      <w:r w:rsidRPr="00DE12A3">
        <w:rPr>
          <w:i/>
          <w:iCs/>
          <w:color w:val="auto"/>
          <w:sz w:val="24"/>
          <w:szCs w:val="24"/>
          <w:vertAlign w:val="subscript"/>
        </w:rPr>
        <w:t>i</w:t>
      </w:r>
      <w:r w:rsidRPr="00DE12A3">
        <w:rPr>
          <w:color w:val="auto"/>
          <w:sz w:val="24"/>
          <w:szCs w:val="24"/>
        </w:rPr>
        <w:tab/>
        <w:t>=</w:t>
      </w:r>
      <w:r w:rsidRPr="00DE12A3">
        <w:rPr>
          <w:color w:val="auto"/>
          <w:sz w:val="24"/>
          <w:szCs w:val="24"/>
        </w:rPr>
        <w:tab/>
      </w:r>
      <w:r w:rsidRPr="00DE12A3">
        <w:rPr>
          <w:i/>
          <w:iCs/>
          <w:color w:val="auto"/>
          <w:sz w:val="24"/>
          <w:szCs w:val="24"/>
        </w:rPr>
        <w:t>i</w:t>
      </w:r>
      <w:r w:rsidRPr="00DE12A3">
        <w:rPr>
          <w:color w:val="auto"/>
          <w:sz w:val="24"/>
          <w:szCs w:val="24"/>
        </w:rPr>
        <w:t xml:space="preserve"> modunda </w:t>
      </w:r>
      <w:r w:rsidR="007E2039" w:rsidRPr="00DE12A3">
        <w:rPr>
          <w:color w:val="auto"/>
          <w:sz w:val="24"/>
          <w:szCs w:val="24"/>
        </w:rPr>
        <w:t xml:space="preserve">partikül </w:t>
      </w:r>
      <w:r w:rsidRPr="00DE12A3">
        <w:rPr>
          <w:color w:val="auto"/>
          <w:sz w:val="24"/>
          <w:szCs w:val="24"/>
        </w:rPr>
        <w:t>kütle akış hızı [g/saat]</w:t>
      </w:r>
    </w:p>
    <w:p w14:paraId="61B498C0" w14:textId="11F6DEB7" w:rsidR="002D7B36" w:rsidRPr="00DE12A3" w:rsidRDefault="00242DA0" w:rsidP="00C917D6">
      <w:pPr>
        <w:pStyle w:val="Gvdemetni251"/>
        <w:shd w:val="clear" w:color="auto" w:fill="auto"/>
        <w:tabs>
          <w:tab w:val="left" w:pos="851"/>
          <w:tab w:val="center" w:pos="4274"/>
        </w:tabs>
        <w:spacing w:before="120" w:after="120" w:line="240" w:lineRule="auto"/>
        <w:ind w:left="1134" w:firstLine="0"/>
        <w:rPr>
          <w:color w:val="auto"/>
          <w:sz w:val="24"/>
          <w:szCs w:val="24"/>
        </w:rPr>
      </w:pPr>
      <w:r w:rsidRPr="00DE12A3">
        <w:rPr>
          <w:rStyle w:val="Gvdemetni254pttalik0ptbolukbraklyor22"/>
          <w:color w:val="auto"/>
          <w:sz w:val="24"/>
          <w:szCs w:val="24"/>
        </w:rPr>
        <w:t>m</w:t>
      </w:r>
      <w:r w:rsidRPr="00DE12A3">
        <w:rPr>
          <w:rStyle w:val="Gvdemetni254pttalik0ptbolukbraklyor22"/>
          <w:i w:val="0"/>
          <w:iCs w:val="0"/>
          <w:color w:val="auto"/>
          <w:sz w:val="24"/>
          <w:szCs w:val="24"/>
          <w:vertAlign w:val="subscript"/>
        </w:rPr>
        <w:t>f</w:t>
      </w:r>
      <w:r w:rsidRPr="00DE12A3">
        <w:rPr>
          <w:rStyle w:val="Gvdemetni254pttalik0ptbolukbraklyor22"/>
          <w:color w:val="auto"/>
          <w:sz w:val="24"/>
          <w:szCs w:val="24"/>
          <w:vertAlign w:val="subscript"/>
        </w:rPr>
        <w:t>i</w:t>
      </w:r>
      <w:r w:rsidR="00EA64C0" w:rsidRPr="00DE12A3">
        <w:rPr>
          <w:rStyle w:val="Gvdemetni254pttalik0ptbolukbraklyor22"/>
          <w:color w:val="auto"/>
          <w:sz w:val="24"/>
          <w:szCs w:val="24"/>
          <w:vertAlign w:val="subscript"/>
        </w:rPr>
        <w:t xml:space="preserve">              </w:t>
      </w:r>
      <w:r w:rsidRPr="00DE12A3">
        <w:rPr>
          <w:color w:val="auto"/>
          <w:sz w:val="24"/>
          <w:szCs w:val="24"/>
        </w:rPr>
        <w:t>=</w:t>
      </w:r>
      <w:r w:rsidRPr="00DE12A3">
        <w:rPr>
          <w:color w:val="auto"/>
          <w:sz w:val="24"/>
          <w:szCs w:val="24"/>
        </w:rPr>
        <w:tab/>
      </w:r>
      <w:r w:rsidRPr="00DE12A3">
        <w:rPr>
          <w:i/>
          <w:iCs/>
          <w:color w:val="auto"/>
          <w:sz w:val="24"/>
          <w:szCs w:val="24"/>
        </w:rPr>
        <w:t xml:space="preserve">i </w:t>
      </w:r>
      <w:r w:rsidRPr="00DE12A3">
        <w:rPr>
          <w:color w:val="auto"/>
          <w:sz w:val="24"/>
          <w:szCs w:val="24"/>
        </w:rPr>
        <w:t xml:space="preserve">modunda toplanan </w:t>
      </w:r>
      <w:r w:rsidR="007E2039" w:rsidRPr="00DE12A3">
        <w:rPr>
          <w:color w:val="auto"/>
          <w:sz w:val="24"/>
          <w:szCs w:val="24"/>
        </w:rPr>
        <w:t xml:space="preserve">partikül </w:t>
      </w:r>
      <w:r w:rsidRPr="00DE12A3">
        <w:rPr>
          <w:color w:val="auto"/>
          <w:sz w:val="24"/>
          <w:szCs w:val="24"/>
        </w:rPr>
        <w:t>numune kütlesi [mg]</w:t>
      </w:r>
    </w:p>
    <w:p w14:paraId="6854EE71" w14:textId="1BFF317A" w:rsidR="002D7B36" w:rsidRPr="00DE12A3" w:rsidRDefault="00242DA0" w:rsidP="00C917D6">
      <w:pPr>
        <w:pStyle w:val="Gvdemetni251"/>
        <w:shd w:val="clear" w:color="auto" w:fill="auto"/>
        <w:tabs>
          <w:tab w:val="left" w:pos="851"/>
          <w:tab w:val="right" w:pos="4883"/>
        </w:tabs>
        <w:spacing w:before="120" w:after="120" w:line="240" w:lineRule="auto"/>
        <w:ind w:left="1134" w:firstLine="0"/>
        <w:rPr>
          <w:color w:val="auto"/>
          <w:sz w:val="24"/>
          <w:szCs w:val="24"/>
        </w:rPr>
      </w:pPr>
      <w:r w:rsidRPr="00DE12A3">
        <w:rPr>
          <w:color w:val="auto"/>
          <w:sz w:val="24"/>
          <w:szCs w:val="24"/>
        </w:rPr>
        <w:t>m</w:t>
      </w:r>
      <w:r w:rsidRPr="00DE12A3">
        <w:rPr>
          <w:color w:val="auto"/>
          <w:sz w:val="24"/>
          <w:szCs w:val="24"/>
          <w:vertAlign w:val="subscript"/>
        </w:rPr>
        <w:t>sep</w:t>
      </w:r>
      <w:r w:rsidRPr="00DE12A3">
        <w:rPr>
          <w:i/>
          <w:iCs/>
          <w:color w:val="auto"/>
          <w:sz w:val="24"/>
          <w:szCs w:val="24"/>
          <w:vertAlign w:val="subscript"/>
        </w:rPr>
        <w:t>i</w:t>
      </w:r>
      <w:r w:rsidR="00EA64C0" w:rsidRPr="00DE12A3">
        <w:rPr>
          <w:i/>
          <w:iCs/>
          <w:color w:val="auto"/>
          <w:sz w:val="24"/>
          <w:szCs w:val="24"/>
          <w:vertAlign w:val="subscript"/>
        </w:rPr>
        <w:t xml:space="preserve">           </w:t>
      </w:r>
      <w:r w:rsidRPr="00DE12A3">
        <w:rPr>
          <w:color w:val="auto"/>
          <w:sz w:val="24"/>
          <w:szCs w:val="24"/>
        </w:rPr>
        <w:t>=</w:t>
      </w:r>
      <w:r w:rsidRPr="00DE12A3">
        <w:rPr>
          <w:color w:val="auto"/>
          <w:sz w:val="24"/>
          <w:szCs w:val="24"/>
        </w:rPr>
        <w:tab/>
        <w:t xml:space="preserve">i modunda </w:t>
      </w:r>
      <w:r w:rsidR="007E2039" w:rsidRPr="00DE12A3">
        <w:rPr>
          <w:color w:val="auto"/>
          <w:sz w:val="24"/>
          <w:szCs w:val="24"/>
        </w:rPr>
        <w:t xml:space="preserve">partikül </w:t>
      </w:r>
      <w:r w:rsidRPr="00DE12A3">
        <w:rPr>
          <w:color w:val="auto"/>
          <w:sz w:val="24"/>
          <w:szCs w:val="24"/>
        </w:rPr>
        <w:t>örnekleme filtresinden geçen seyreltik egzoz gazı numunesi kütlesi [kg]</w:t>
      </w:r>
    </w:p>
    <w:p w14:paraId="1D4C4616" w14:textId="77777777" w:rsidR="002D7B36" w:rsidRPr="00DE12A3" w:rsidRDefault="00242DA0" w:rsidP="00C917D6">
      <w:pPr>
        <w:pStyle w:val="Gvdemetni251"/>
        <w:shd w:val="clear" w:color="auto" w:fill="auto"/>
        <w:tabs>
          <w:tab w:val="left" w:pos="851"/>
        </w:tabs>
        <w:spacing w:before="120" w:after="120" w:line="240" w:lineRule="auto"/>
        <w:ind w:left="1134" w:firstLine="0"/>
        <w:rPr>
          <w:color w:val="auto"/>
          <w:sz w:val="24"/>
          <w:szCs w:val="24"/>
        </w:rPr>
      </w:pPr>
      <w:r w:rsidRPr="00DE12A3">
        <w:rPr>
          <w:color w:val="auto"/>
          <w:sz w:val="24"/>
          <w:szCs w:val="24"/>
        </w:rPr>
        <w:t>m</w:t>
      </w:r>
      <w:r w:rsidRPr="00DE12A3">
        <w:rPr>
          <w:color w:val="auto"/>
          <w:sz w:val="24"/>
          <w:szCs w:val="24"/>
          <w:vertAlign w:val="subscript"/>
        </w:rPr>
        <w:t>f</w:t>
      </w:r>
      <w:r w:rsidRPr="00DE12A3">
        <w:rPr>
          <w:color w:val="auto"/>
          <w:sz w:val="24"/>
          <w:szCs w:val="24"/>
        </w:rPr>
        <w:t>,</w:t>
      </w:r>
      <w:r w:rsidRPr="00DE12A3">
        <w:rPr>
          <w:color w:val="auto"/>
          <w:sz w:val="24"/>
          <w:szCs w:val="24"/>
          <w:vertAlign w:val="subscript"/>
        </w:rPr>
        <w:t>d</w:t>
      </w:r>
      <w:r w:rsidRPr="00DE12A3">
        <w:rPr>
          <w:color w:val="auto"/>
          <w:sz w:val="24"/>
          <w:szCs w:val="24"/>
        </w:rPr>
        <w:tab/>
        <w:t xml:space="preserve">= toplanan seyreltme havasının </w:t>
      </w:r>
      <w:r w:rsidR="007E2039" w:rsidRPr="00DE12A3">
        <w:rPr>
          <w:color w:val="auto"/>
          <w:sz w:val="24"/>
          <w:szCs w:val="24"/>
        </w:rPr>
        <w:t xml:space="preserve">partikül </w:t>
      </w:r>
      <w:r w:rsidRPr="00DE12A3">
        <w:rPr>
          <w:color w:val="auto"/>
          <w:sz w:val="24"/>
          <w:szCs w:val="24"/>
        </w:rPr>
        <w:t>numune kütlesi [mg]</w:t>
      </w:r>
    </w:p>
    <w:p w14:paraId="12297616" w14:textId="4B8B3763" w:rsidR="002D7B36" w:rsidRPr="00DE12A3" w:rsidRDefault="00242DA0" w:rsidP="00C917D6">
      <w:pPr>
        <w:pStyle w:val="Gvdemetni251"/>
        <w:shd w:val="clear" w:color="auto" w:fill="auto"/>
        <w:tabs>
          <w:tab w:val="left" w:pos="851"/>
          <w:tab w:val="center" w:pos="4274"/>
          <w:tab w:val="right" w:pos="4883"/>
        </w:tabs>
        <w:spacing w:before="120" w:after="120" w:line="240" w:lineRule="auto"/>
        <w:ind w:left="1134" w:firstLine="0"/>
        <w:rPr>
          <w:color w:val="auto"/>
          <w:sz w:val="24"/>
          <w:szCs w:val="24"/>
        </w:rPr>
      </w:pPr>
      <w:r w:rsidRPr="00DE12A3">
        <w:rPr>
          <w:rStyle w:val="Gvdemetni254pttalik0ptbolukbraklyor22"/>
          <w:color w:val="auto"/>
          <w:sz w:val="24"/>
          <w:szCs w:val="24"/>
        </w:rPr>
        <w:t>m</w:t>
      </w:r>
      <w:r w:rsidRPr="00DE12A3">
        <w:rPr>
          <w:rStyle w:val="Gvdemetni254pttalik0ptbolukbraklyor22"/>
          <w:i w:val="0"/>
          <w:iCs w:val="0"/>
          <w:color w:val="auto"/>
          <w:sz w:val="24"/>
          <w:szCs w:val="24"/>
          <w:vertAlign w:val="subscript"/>
        </w:rPr>
        <w:t>d</w:t>
      </w:r>
      <w:r w:rsidR="00EA64C0" w:rsidRPr="00DE12A3">
        <w:rPr>
          <w:rStyle w:val="Gvdemetni254pttalik0ptbolukbraklyor22"/>
          <w:i w:val="0"/>
          <w:iCs w:val="0"/>
          <w:color w:val="auto"/>
          <w:sz w:val="24"/>
          <w:szCs w:val="24"/>
          <w:vertAlign w:val="subscript"/>
        </w:rPr>
        <w:t xml:space="preserve">               </w:t>
      </w:r>
      <w:r w:rsidRPr="00DE12A3">
        <w:rPr>
          <w:color w:val="auto"/>
          <w:sz w:val="24"/>
          <w:szCs w:val="24"/>
        </w:rPr>
        <w:t>=</w:t>
      </w:r>
      <w:r w:rsidR="004955A8" w:rsidRPr="00DE12A3">
        <w:rPr>
          <w:color w:val="auto"/>
          <w:sz w:val="24"/>
          <w:szCs w:val="24"/>
        </w:rPr>
        <w:t xml:space="preserve"> </w:t>
      </w:r>
      <w:r w:rsidRPr="00DE12A3">
        <w:rPr>
          <w:color w:val="auto"/>
          <w:sz w:val="24"/>
          <w:szCs w:val="24"/>
        </w:rPr>
        <w:tab/>
      </w:r>
      <w:r w:rsidR="007E2039" w:rsidRPr="00DE12A3">
        <w:rPr>
          <w:color w:val="auto"/>
          <w:sz w:val="24"/>
          <w:szCs w:val="24"/>
        </w:rPr>
        <w:t xml:space="preserve">partikül </w:t>
      </w:r>
      <w:r w:rsidRPr="00DE12A3">
        <w:rPr>
          <w:color w:val="auto"/>
          <w:sz w:val="24"/>
          <w:szCs w:val="24"/>
        </w:rPr>
        <w:t>örnekleme filtrelerinden geçen seyreltme havası numunesi kütlesi [kg]</w:t>
      </w:r>
    </w:p>
    <w:p w14:paraId="5BA3F764" w14:textId="2A03AA86" w:rsidR="002D7B36" w:rsidRPr="00DE12A3" w:rsidRDefault="00242DA0" w:rsidP="00C917D6">
      <w:pPr>
        <w:pStyle w:val="Gvdemetni251"/>
        <w:tabs>
          <w:tab w:val="left" w:pos="851"/>
        </w:tabs>
        <w:spacing w:before="120" w:after="120" w:line="240" w:lineRule="auto"/>
        <w:ind w:left="1134" w:firstLine="0"/>
        <w:rPr>
          <w:color w:val="auto"/>
          <w:sz w:val="24"/>
          <w:szCs w:val="24"/>
        </w:rPr>
      </w:pPr>
      <w:r w:rsidRPr="00DE12A3">
        <w:rPr>
          <w:rStyle w:val="Gvdemetni254pttalik0ptbolukbraklyor21"/>
          <w:color w:val="auto"/>
          <w:sz w:val="24"/>
          <w:szCs w:val="24"/>
        </w:rPr>
        <w:t>D</w:t>
      </w:r>
      <w:r w:rsidRPr="00DE12A3">
        <w:rPr>
          <w:color w:val="auto"/>
          <w:sz w:val="24"/>
          <w:szCs w:val="24"/>
        </w:rPr>
        <w:tab/>
      </w:r>
      <w:r w:rsidR="00EA64C0" w:rsidRPr="00DE12A3">
        <w:rPr>
          <w:color w:val="auto"/>
          <w:sz w:val="24"/>
          <w:szCs w:val="24"/>
        </w:rPr>
        <w:t xml:space="preserve">           </w:t>
      </w:r>
      <w:r w:rsidRPr="00DE12A3">
        <w:rPr>
          <w:color w:val="auto"/>
          <w:sz w:val="24"/>
          <w:szCs w:val="24"/>
        </w:rPr>
        <w:t>=</w:t>
      </w:r>
      <w:r w:rsidR="004955A8" w:rsidRPr="00DE12A3">
        <w:rPr>
          <w:color w:val="auto"/>
          <w:sz w:val="24"/>
          <w:szCs w:val="24"/>
        </w:rPr>
        <w:t xml:space="preserve"> </w:t>
      </w:r>
      <w:r w:rsidRPr="00DE12A3">
        <w:rPr>
          <w:color w:val="auto"/>
          <w:sz w:val="24"/>
          <w:szCs w:val="24"/>
        </w:rPr>
        <w:t xml:space="preserve">seyreltme faktörü [bkz. 2.2.2.2 bendindeki (7-28) </w:t>
      </w:r>
      <w:r w:rsidR="005E1C7E" w:rsidRPr="00DE12A3">
        <w:rPr>
          <w:color w:val="auto"/>
          <w:sz w:val="24"/>
          <w:szCs w:val="24"/>
        </w:rPr>
        <w:t>numaralı</w:t>
      </w:r>
      <w:r w:rsidR="005E1C7E" w:rsidRPr="00DE12A3" w:rsidDel="005E1C7E">
        <w:rPr>
          <w:color w:val="auto"/>
          <w:sz w:val="24"/>
          <w:szCs w:val="24"/>
        </w:rPr>
        <w:t xml:space="preserve"> </w:t>
      </w:r>
      <w:r w:rsidRPr="00DE12A3">
        <w:rPr>
          <w:color w:val="auto"/>
          <w:sz w:val="24"/>
          <w:szCs w:val="24"/>
        </w:rPr>
        <w:t>denklem] [-]</w:t>
      </w:r>
    </w:p>
    <w:p w14:paraId="3C56A985" w14:textId="69B1A2CE" w:rsidR="002D7B36" w:rsidRPr="00DE12A3" w:rsidRDefault="00242DA0" w:rsidP="00C917D6">
      <w:pPr>
        <w:pStyle w:val="Gvdemetni251"/>
        <w:tabs>
          <w:tab w:val="left" w:pos="851"/>
        </w:tabs>
        <w:spacing w:before="120" w:after="120" w:line="240" w:lineRule="auto"/>
        <w:ind w:left="1134" w:firstLine="0"/>
        <w:rPr>
          <w:color w:val="auto"/>
          <w:sz w:val="24"/>
          <w:szCs w:val="24"/>
        </w:rPr>
      </w:pPr>
      <w:r w:rsidRPr="00DE12A3">
        <w:rPr>
          <w:i/>
          <w:iCs/>
          <w:color w:val="auto"/>
          <w:sz w:val="24"/>
          <w:szCs w:val="24"/>
        </w:rPr>
        <w:t>q</w:t>
      </w:r>
      <w:r w:rsidRPr="00DE12A3">
        <w:rPr>
          <w:color w:val="auto"/>
          <w:sz w:val="24"/>
          <w:szCs w:val="24"/>
          <w:vertAlign w:val="subscript"/>
        </w:rPr>
        <w:t>medf</w:t>
      </w:r>
      <w:r w:rsidRPr="00DE12A3">
        <w:rPr>
          <w:i/>
          <w:iCs/>
          <w:color w:val="auto"/>
          <w:sz w:val="24"/>
          <w:szCs w:val="24"/>
          <w:vertAlign w:val="subscript"/>
        </w:rPr>
        <w:t>i</w:t>
      </w:r>
      <w:r w:rsidRPr="00DE12A3">
        <w:rPr>
          <w:color w:val="auto"/>
          <w:sz w:val="24"/>
          <w:szCs w:val="24"/>
        </w:rPr>
        <w:tab/>
        <w:t>=</w:t>
      </w:r>
      <w:r w:rsidR="004955A8" w:rsidRPr="00DE12A3">
        <w:rPr>
          <w:color w:val="auto"/>
          <w:sz w:val="24"/>
          <w:szCs w:val="24"/>
        </w:rPr>
        <w:t xml:space="preserve"> </w:t>
      </w:r>
      <w:r w:rsidRPr="00DE12A3">
        <w:rPr>
          <w:i/>
          <w:iCs/>
          <w:color w:val="auto"/>
          <w:sz w:val="24"/>
          <w:szCs w:val="24"/>
        </w:rPr>
        <w:t>i</w:t>
      </w:r>
      <w:r w:rsidRPr="00DE12A3">
        <w:rPr>
          <w:color w:val="auto"/>
          <w:sz w:val="24"/>
          <w:szCs w:val="24"/>
        </w:rPr>
        <w:t xml:space="preserve"> modunda yaş bazda denk seyreltilmiş egzoz gazı kütle akış hızı [kg/s]</w:t>
      </w:r>
    </w:p>
    <w:p w14:paraId="63B22643" w14:textId="77777777" w:rsidR="002D7B36" w:rsidRPr="00DE12A3" w:rsidRDefault="00242DA0" w:rsidP="00C917D6">
      <w:pPr>
        <w:pStyle w:val="Gvdemetni251"/>
        <w:spacing w:before="120" w:after="120" w:line="240" w:lineRule="auto"/>
        <w:ind w:left="1134" w:firstLine="0"/>
        <w:rPr>
          <w:i/>
          <w:iCs/>
          <w:color w:val="auto"/>
          <w:sz w:val="24"/>
          <w:szCs w:val="24"/>
        </w:rPr>
      </w:pPr>
      <w:r w:rsidRPr="00DE12A3">
        <w:rPr>
          <w:color w:val="auto"/>
          <w:sz w:val="24"/>
          <w:szCs w:val="24"/>
        </w:rPr>
        <w:t xml:space="preserve">Birden fazla ölçüm yapılırsa, </w:t>
      </w:r>
      <w:r w:rsidRPr="00DE12A3">
        <w:rPr>
          <w:rStyle w:val="Gvdemetni254pttalik0ptbolukbraklyor21"/>
          <w:color w:val="auto"/>
          <w:sz w:val="24"/>
          <w:szCs w:val="24"/>
        </w:rPr>
        <w:t>m</w:t>
      </w:r>
      <w:r w:rsidRPr="00DE12A3">
        <w:rPr>
          <w:rStyle w:val="Gvdemetni254pttalik0ptbolukbraklyor21"/>
          <w:color w:val="auto"/>
          <w:sz w:val="24"/>
          <w:szCs w:val="24"/>
          <w:vertAlign w:val="subscript"/>
        </w:rPr>
        <w:t>f d</w:t>
      </w:r>
      <w:r w:rsidRPr="00DE12A3">
        <w:rPr>
          <w:rStyle w:val="Gvdemetni254pttalik0ptbolukbraklyor21"/>
          <w:color w:val="auto"/>
          <w:sz w:val="24"/>
          <w:szCs w:val="24"/>
        </w:rPr>
        <w:t>/m</w:t>
      </w:r>
      <w:r w:rsidRPr="00DE12A3">
        <w:rPr>
          <w:rStyle w:val="Gvdemetni254pttalik0ptbolukbraklyor21"/>
          <w:color w:val="auto"/>
          <w:sz w:val="24"/>
          <w:szCs w:val="24"/>
          <w:vertAlign w:val="subscript"/>
        </w:rPr>
        <w:t>d</w:t>
      </w:r>
      <w:r w:rsidRPr="00DE12A3">
        <w:rPr>
          <w:color w:val="auto"/>
          <w:sz w:val="24"/>
          <w:szCs w:val="24"/>
        </w:rPr>
        <w:t xml:space="preserve"> yerine m</w:t>
      </w:r>
      <w:r w:rsidRPr="00DE12A3">
        <w:rPr>
          <w:color w:val="auto"/>
          <w:sz w:val="24"/>
          <w:szCs w:val="24"/>
          <w:vertAlign w:val="subscript"/>
        </w:rPr>
        <w:t>f</w:t>
      </w:r>
      <w:r w:rsidRPr="00DE12A3">
        <w:rPr>
          <w:rStyle w:val="Gvdemetni254pttalik0ptbolukbraklyor21"/>
          <w:color w:val="auto"/>
          <w:sz w:val="24"/>
          <w:szCs w:val="24"/>
          <w:vertAlign w:val="subscript"/>
        </w:rPr>
        <w:t>;d</w:t>
      </w:r>
      <w:r w:rsidRPr="00DE12A3">
        <w:rPr>
          <w:rStyle w:val="Gvdemetni254pttalik0ptbolukbraklyor21"/>
          <w:color w:val="auto"/>
          <w:sz w:val="24"/>
          <w:szCs w:val="24"/>
        </w:rPr>
        <w:t>/m</w:t>
      </w:r>
      <w:r w:rsidRPr="00DE12A3">
        <w:rPr>
          <w:rStyle w:val="Gvdemetni254pttalik0ptbolukbraklyor21"/>
          <w:i w:val="0"/>
          <w:iCs w:val="0"/>
          <w:color w:val="auto"/>
          <w:sz w:val="24"/>
          <w:szCs w:val="24"/>
          <w:vertAlign w:val="subscript"/>
        </w:rPr>
        <w:t>d</w:t>
      </w:r>
      <w:r w:rsidRPr="00DE12A3">
        <w:rPr>
          <w:rStyle w:val="Gvdemetni254pttalik0ptbolukbraklyor21"/>
          <w:color w:val="auto"/>
          <w:sz w:val="24"/>
          <w:szCs w:val="24"/>
        </w:rPr>
        <w:t xml:space="preserve"> </w:t>
      </w:r>
      <w:r w:rsidRPr="00DE12A3">
        <w:rPr>
          <w:rStyle w:val="Gvdemetni254pttalik0ptbolukbraklyor21"/>
          <w:i w:val="0"/>
          <w:iCs w:val="0"/>
          <w:color w:val="auto"/>
          <w:sz w:val="24"/>
          <w:szCs w:val="24"/>
        </w:rPr>
        <w:t>kullanılmalıdır</w:t>
      </w:r>
      <w:r w:rsidRPr="00DE12A3">
        <w:rPr>
          <w:i/>
          <w:iCs/>
          <w:color w:val="auto"/>
          <w:sz w:val="24"/>
          <w:szCs w:val="24"/>
        </w:rPr>
        <w:t>.</w:t>
      </w:r>
    </w:p>
    <w:p w14:paraId="4472B51A" w14:textId="77777777" w:rsidR="002D7B36" w:rsidRPr="00DE12A3" w:rsidRDefault="00494945" w:rsidP="00E20716">
      <w:pPr>
        <w:pStyle w:val="Gvdemetni251"/>
        <w:numPr>
          <w:ilvl w:val="1"/>
          <w:numId w:val="404"/>
        </w:numPr>
        <w:spacing w:before="120" w:after="120" w:line="240" w:lineRule="auto"/>
        <w:ind w:left="1134" w:hanging="1134"/>
        <w:rPr>
          <w:color w:val="auto"/>
          <w:sz w:val="24"/>
          <w:szCs w:val="24"/>
        </w:rPr>
      </w:pPr>
      <w:r w:rsidRPr="00DE12A3">
        <w:rPr>
          <w:color w:val="auto"/>
          <w:sz w:val="24"/>
          <w:szCs w:val="24"/>
        </w:rPr>
        <w:t xml:space="preserve">      </w:t>
      </w:r>
      <w:r w:rsidR="00F310B5" w:rsidRPr="00DE12A3">
        <w:rPr>
          <w:color w:val="auto"/>
          <w:sz w:val="24"/>
          <w:szCs w:val="24"/>
        </w:rPr>
        <w:t>Çevrim</w:t>
      </w:r>
      <w:r w:rsidR="00242DA0" w:rsidRPr="00DE12A3">
        <w:rPr>
          <w:color w:val="auto"/>
          <w:sz w:val="24"/>
          <w:szCs w:val="24"/>
        </w:rPr>
        <w:t xml:space="preserve"> çalışması ve spesifik emisyonlar</w:t>
      </w:r>
    </w:p>
    <w:p w14:paraId="7F9A7B56" w14:textId="77777777" w:rsidR="002D7B36" w:rsidRPr="00DE12A3" w:rsidRDefault="00494945" w:rsidP="00E20716">
      <w:pPr>
        <w:pStyle w:val="Gvdemetni251"/>
        <w:numPr>
          <w:ilvl w:val="2"/>
          <w:numId w:val="404"/>
        </w:numPr>
        <w:spacing w:before="120" w:after="120" w:line="240" w:lineRule="auto"/>
        <w:ind w:left="1134" w:hanging="1134"/>
        <w:rPr>
          <w:color w:val="auto"/>
          <w:sz w:val="24"/>
          <w:szCs w:val="24"/>
        </w:rPr>
      </w:pPr>
      <w:r w:rsidRPr="00DE12A3">
        <w:rPr>
          <w:color w:val="auto"/>
          <w:sz w:val="24"/>
          <w:szCs w:val="24"/>
        </w:rPr>
        <w:t xml:space="preserve">      </w:t>
      </w:r>
      <w:r w:rsidR="00242DA0" w:rsidRPr="00DE12A3">
        <w:rPr>
          <w:color w:val="auto"/>
          <w:sz w:val="24"/>
          <w:szCs w:val="24"/>
        </w:rPr>
        <w:t>Gaz halindeki emisyonlar</w:t>
      </w:r>
    </w:p>
    <w:p w14:paraId="647A8ABA" w14:textId="77777777" w:rsidR="002D7B36" w:rsidRPr="00DE12A3" w:rsidRDefault="00951351" w:rsidP="00E20716">
      <w:pPr>
        <w:pStyle w:val="Gvdemetni251"/>
        <w:numPr>
          <w:ilvl w:val="3"/>
          <w:numId w:val="404"/>
        </w:numPr>
        <w:spacing w:before="120" w:after="120" w:line="240" w:lineRule="auto"/>
        <w:ind w:left="1134" w:hanging="1134"/>
        <w:rPr>
          <w:color w:val="auto"/>
          <w:sz w:val="24"/>
          <w:szCs w:val="24"/>
        </w:rPr>
      </w:pPr>
      <w:r w:rsidRPr="00DE12A3">
        <w:rPr>
          <w:color w:val="auto"/>
          <w:sz w:val="24"/>
          <w:szCs w:val="24"/>
        </w:rPr>
        <w:t xml:space="preserve">  </w:t>
      </w:r>
      <w:r w:rsidR="004D1FEF" w:rsidRPr="00DE12A3">
        <w:rPr>
          <w:color w:val="auto"/>
          <w:sz w:val="24"/>
          <w:szCs w:val="24"/>
        </w:rPr>
        <w:t>Süreksiz</w:t>
      </w:r>
      <w:r w:rsidRPr="00DE12A3">
        <w:rPr>
          <w:color w:val="auto"/>
          <w:sz w:val="24"/>
          <w:szCs w:val="24"/>
        </w:rPr>
        <w:t xml:space="preserve"> </w:t>
      </w:r>
      <w:r w:rsidR="00242DA0" w:rsidRPr="00DE12A3">
        <w:rPr>
          <w:color w:val="auto"/>
          <w:sz w:val="24"/>
          <w:szCs w:val="24"/>
        </w:rPr>
        <w:t xml:space="preserve">(NRTC ve LSI-NRTC) test </w:t>
      </w:r>
      <w:r w:rsidR="00F310B5" w:rsidRPr="00DE12A3">
        <w:rPr>
          <w:color w:val="auto"/>
          <w:sz w:val="24"/>
          <w:szCs w:val="24"/>
        </w:rPr>
        <w:t>çevrim</w:t>
      </w:r>
      <w:r w:rsidR="00242DA0" w:rsidRPr="00DE12A3">
        <w:rPr>
          <w:color w:val="auto"/>
          <w:sz w:val="24"/>
          <w:szCs w:val="24"/>
        </w:rPr>
        <w:t>leri ve RMC</w:t>
      </w:r>
    </w:p>
    <w:p w14:paraId="4C28DE68" w14:textId="5EBFA7A7" w:rsidR="002D7B36" w:rsidRPr="00DE12A3" w:rsidRDefault="00494945" w:rsidP="00C917D6">
      <w:pPr>
        <w:pStyle w:val="Gvdemetni251"/>
        <w:spacing w:before="120" w:after="120" w:line="240" w:lineRule="auto"/>
        <w:ind w:left="1134" w:hanging="1134"/>
        <w:rPr>
          <w:color w:val="auto"/>
          <w:sz w:val="24"/>
          <w:szCs w:val="24"/>
        </w:rPr>
      </w:pPr>
      <w:r w:rsidRPr="00DE12A3">
        <w:rPr>
          <w:color w:val="auto"/>
          <w:sz w:val="24"/>
          <w:szCs w:val="24"/>
        </w:rPr>
        <w:t xml:space="preserve">                  </w:t>
      </w:r>
      <w:r w:rsidR="00242DA0" w:rsidRPr="00DE12A3">
        <w:rPr>
          <w:color w:val="auto"/>
          <w:sz w:val="24"/>
          <w:szCs w:val="24"/>
        </w:rPr>
        <w:t xml:space="preserve">Sırasıyla ham ve seyreltilmiş egzoz gazı için 2.1 ve 2.2 bentlerine atıfta bulunulmuştur. Güç P [kW] için elde edilen değerler bir test aralığı boyunca toplanmalıdır. Toplam çalışma Wact [kWh], (7-59) </w:t>
      </w:r>
      <w:r w:rsidR="005E1C7E" w:rsidRPr="00DE12A3">
        <w:rPr>
          <w:color w:val="auto"/>
          <w:sz w:val="24"/>
          <w:szCs w:val="24"/>
        </w:rPr>
        <w:t>numaralı</w:t>
      </w:r>
      <w:r w:rsidR="005E1C7E" w:rsidRPr="00DE12A3" w:rsidDel="005E1C7E">
        <w:rPr>
          <w:color w:val="auto"/>
          <w:sz w:val="24"/>
          <w:szCs w:val="24"/>
        </w:rPr>
        <w:t xml:space="preserve"> </w:t>
      </w:r>
      <w:r w:rsidR="00242DA0" w:rsidRPr="00DE12A3">
        <w:rPr>
          <w:color w:val="auto"/>
          <w:sz w:val="24"/>
          <w:szCs w:val="24"/>
        </w:rPr>
        <w:t xml:space="preserve">denklem ile </w:t>
      </w:r>
      <w:r w:rsidR="00242DA0" w:rsidRPr="00DE12A3">
        <w:rPr>
          <w:color w:val="auto"/>
          <w:sz w:val="24"/>
          <w:szCs w:val="24"/>
        </w:rPr>
        <w:lastRenderedPageBreak/>
        <w:t>hesaplanmalıdır:</w:t>
      </w:r>
    </w:p>
    <w:p w14:paraId="56E917A4" w14:textId="77777777" w:rsidR="002D7B36" w:rsidRPr="00DE12A3" w:rsidRDefault="002D7B36" w:rsidP="00C917D6">
      <w:pPr>
        <w:pStyle w:val="Gvdemetni251"/>
        <w:shd w:val="clear" w:color="auto" w:fill="auto"/>
        <w:tabs>
          <w:tab w:val="left" w:pos="851"/>
          <w:tab w:val="center" w:pos="4274"/>
          <w:tab w:val="right" w:pos="4883"/>
        </w:tabs>
        <w:spacing w:before="120" w:after="120" w:line="240" w:lineRule="auto"/>
        <w:ind w:left="1134" w:hanging="1134"/>
        <w:rPr>
          <w:color w:val="auto"/>
          <w:sz w:val="24"/>
          <w:szCs w:val="24"/>
        </w:rPr>
      </w:pPr>
    </w:p>
    <w:p w14:paraId="473CE2F1" w14:textId="4BDCA9D2" w:rsidR="002D7B36" w:rsidRPr="00DE12A3" w:rsidRDefault="00242DA0" w:rsidP="00C917D6">
      <w:pPr>
        <w:pStyle w:val="Resimyazs70"/>
        <w:shd w:val="clear" w:color="auto" w:fill="auto"/>
        <w:tabs>
          <w:tab w:val="left" w:pos="278"/>
        </w:tabs>
        <w:spacing w:after="120" w:line="240" w:lineRule="auto"/>
        <w:ind w:left="1134" w:hanging="1134"/>
        <w:jc w:val="center"/>
        <w:rPr>
          <w:sz w:val="24"/>
          <w:szCs w:val="24"/>
        </w:rPr>
      </w:pPr>
      <w:r w:rsidRPr="00DE12A3">
        <w:rPr>
          <w:noProof/>
          <w:sz w:val="24"/>
          <w:szCs w:val="24"/>
          <w:lang w:eastAsia="tr-TR"/>
        </w:rPr>
        <w:drawing>
          <wp:inline distT="0" distB="0" distL="0" distR="0" wp14:anchorId="7F212950" wp14:editId="0154B174">
            <wp:extent cx="4051874" cy="656590"/>
            <wp:effectExtent l="0" t="0" r="6350" b="0"/>
            <wp:docPr id="117" name="Resim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Resim 117"/>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a:xfrm>
                      <a:off x="0" y="0"/>
                      <a:ext cx="4064216" cy="658590"/>
                    </a:xfrm>
                    <a:prstGeom prst="rect">
                      <a:avLst/>
                    </a:prstGeom>
                    <a:noFill/>
                    <a:ln>
                      <a:noFill/>
                    </a:ln>
                  </pic:spPr>
                </pic:pic>
              </a:graphicData>
            </a:graphic>
          </wp:inline>
        </w:drawing>
      </w:r>
    </w:p>
    <w:p w14:paraId="05DB14C4" w14:textId="77777777" w:rsidR="002D7B36" w:rsidRPr="00DE12A3" w:rsidRDefault="00242DA0" w:rsidP="00C917D6">
      <w:pPr>
        <w:pStyle w:val="Gvdemetni251"/>
        <w:shd w:val="clear" w:color="auto" w:fill="auto"/>
        <w:spacing w:before="120" w:after="120" w:line="240" w:lineRule="auto"/>
        <w:ind w:left="1134" w:firstLine="0"/>
        <w:rPr>
          <w:color w:val="auto"/>
          <w:sz w:val="24"/>
          <w:szCs w:val="24"/>
        </w:rPr>
      </w:pPr>
      <w:r w:rsidRPr="00DE12A3">
        <w:rPr>
          <w:color w:val="auto"/>
          <w:sz w:val="24"/>
          <w:szCs w:val="24"/>
        </w:rPr>
        <w:t>Burada:</w:t>
      </w:r>
    </w:p>
    <w:p w14:paraId="40B8552E" w14:textId="7724CF8D" w:rsidR="002D7B36" w:rsidRPr="00DE12A3" w:rsidRDefault="00242DA0" w:rsidP="00C917D6">
      <w:pPr>
        <w:pStyle w:val="Gvdemetni251"/>
        <w:shd w:val="clear" w:color="auto" w:fill="auto"/>
        <w:tabs>
          <w:tab w:val="left" w:pos="426"/>
          <w:tab w:val="left" w:pos="709"/>
        </w:tabs>
        <w:spacing w:before="120" w:after="120" w:line="240" w:lineRule="auto"/>
        <w:ind w:left="1134" w:firstLine="0"/>
        <w:rPr>
          <w:color w:val="auto"/>
          <w:sz w:val="24"/>
          <w:szCs w:val="24"/>
        </w:rPr>
      </w:pPr>
      <w:r w:rsidRPr="00DE12A3">
        <w:rPr>
          <w:color w:val="auto"/>
          <w:sz w:val="24"/>
          <w:szCs w:val="24"/>
        </w:rPr>
        <w:t>P</w:t>
      </w:r>
      <w:r w:rsidRPr="00DE12A3">
        <w:rPr>
          <w:color w:val="auto"/>
          <w:sz w:val="24"/>
          <w:szCs w:val="24"/>
          <w:vertAlign w:val="subscript"/>
        </w:rPr>
        <w:t>i</w:t>
      </w:r>
      <w:r w:rsidRPr="00DE12A3">
        <w:rPr>
          <w:color w:val="auto"/>
          <w:sz w:val="24"/>
          <w:szCs w:val="24"/>
        </w:rPr>
        <w:tab/>
        <w:t>=</w:t>
      </w:r>
      <w:r w:rsidR="00EA64C0" w:rsidRPr="00DE12A3">
        <w:rPr>
          <w:color w:val="auto"/>
          <w:sz w:val="24"/>
          <w:szCs w:val="24"/>
        </w:rPr>
        <w:t xml:space="preserve">Anlık </w:t>
      </w:r>
      <w:r w:rsidRPr="00DE12A3">
        <w:rPr>
          <w:color w:val="auto"/>
          <w:sz w:val="24"/>
          <w:szCs w:val="24"/>
        </w:rPr>
        <w:t>motor gücü [kW]</w:t>
      </w:r>
    </w:p>
    <w:p w14:paraId="7AA8A577" w14:textId="2D207997" w:rsidR="002D7B36" w:rsidRPr="00DE12A3" w:rsidRDefault="00242DA0" w:rsidP="00C917D6">
      <w:pPr>
        <w:pStyle w:val="Gvdemetni251"/>
        <w:shd w:val="clear" w:color="auto" w:fill="auto"/>
        <w:tabs>
          <w:tab w:val="left" w:pos="426"/>
          <w:tab w:val="left" w:pos="709"/>
        </w:tabs>
        <w:spacing w:before="120" w:after="120" w:line="240" w:lineRule="auto"/>
        <w:ind w:left="1134" w:firstLine="0"/>
        <w:rPr>
          <w:color w:val="auto"/>
          <w:sz w:val="24"/>
          <w:szCs w:val="24"/>
        </w:rPr>
      </w:pPr>
      <w:r w:rsidRPr="00DE12A3">
        <w:rPr>
          <w:color w:val="auto"/>
          <w:sz w:val="24"/>
          <w:szCs w:val="24"/>
        </w:rPr>
        <w:t>n</w:t>
      </w:r>
      <w:r w:rsidRPr="00DE12A3">
        <w:rPr>
          <w:color w:val="auto"/>
          <w:sz w:val="24"/>
          <w:szCs w:val="24"/>
          <w:vertAlign w:val="subscript"/>
        </w:rPr>
        <w:t>i</w:t>
      </w:r>
      <w:r w:rsidRPr="00DE12A3">
        <w:rPr>
          <w:color w:val="auto"/>
          <w:sz w:val="24"/>
          <w:szCs w:val="24"/>
        </w:rPr>
        <w:tab/>
        <w:t>=</w:t>
      </w:r>
      <w:r w:rsidR="00EA64C0" w:rsidRPr="00DE12A3">
        <w:rPr>
          <w:color w:val="auto"/>
          <w:sz w:val="24"/>
          <w:szCs w:val="24"/>
        </w:rPr>
        <w:t xml:space="preserve">Anlık </w:t>
      </w:r>
      <w:r w:rsidRPr="00DE12A3">
        <w:rPr>
          <w:color w:val="auto"/>
          <w:sz w:val="24"/>
          <w:szCs w:val="24"/>
        </w:rPr>
        <w:t>motor devri [rpm]</w:t>
      </w:r>
    </w:p>
    <w:p w14:paraId="32E0CBAE" w14:textId="6843051F" w:rsidR="002D7B36" w:rsidRPr="00DE12A3" w:rsidRDefault="00242DA0" w:rsidP="00C917D6">
      <w:pPr>
        <w:pStyle w:val="Gvdemetni251"/>
        <w:shd w:val="clear" w:color="auto" w:fill="auto"/>
        <w:tabs>
          <w:tab w:val="left" w:pos="426"/>
          <w:tab w:val="left" w:pos="709"/>
        </w:tabs>
        <w:spacing w:before="120" w:after="120" w:line="240" w:lineRule="auto"/>
        <w:ind w:left="1134" w:firstLine="0"/>
        <w:rPr>
          <w:color w:val="auto"/>
          <w:sz w:val="24"/>
          <w:szCs w:val="24"/>
        </w:rPr>
      </w:pPr>
      <w:r w:rsidRPr="00DE12A3">
        <w:rPr>
          <w:color w:val="auto"/>
          <w:sz w:val="24"/>
          <w:szCs w:val="24"/>
        </w:rPr>
        <w:t>T</w:t>
      </w:r>
      <w:r w:rsidRPr="00DE12A3">
        <w:rPr>
          <w:color w:val="auto"/>
          <w:sz w:val="24"/>
          <w:szCs w:val="24"/>
          <w:vertAlign w:val="subscript"/>
        </w:rPr>
        <w:t>i</w:t>
      </w:r>
      <w:r w:rsidRPr="00DE12A3">
        <w:rPr>
          <w:color w:val="auto"/>
          <w:sz w:val="24"/>
          <w:szCs w:val="24"/>
        </w:rPr>
        <w:tab/>
        <w:t>=</w:t>
      </w:r>
      <w:r w:rsidR="00EA64C0" w:rsidRPr="00DE12A3">
        <w:rPr>
          <w:color w:val="auto"/>
          <w:sz w:val="24"/>
          <w:szCs w:val="24"/>
        </w:rPr>
        <w:t xml:space="preserve">Anlık </w:t>
      </w:r>
      <w:r w:rsidRPr="00DE12A3">
        <w:rPr>
          <w:color w:val="auto"/>
          <w:sz w:val="24"/>
          <w:szCs w:val="24"/>
        </w:rPr>
        <w:t>motor torku [Nm]</w:t>
      </w:r>
    </w:p>
    <w:p w14:paraId="74F29904" w14:textId="1E058B0E" w:rsidR="002D7B36" w:rsidRPr="00DE12A3" w:rsidRDefault="00242DA0" w:rsidP="00C917D6">
      <w:pPr>
        <w:pStyle w:val="Gvdemetni251"/>
        <w:shd w:val="clear" w:color="auto" w:fill="auto"/>
        <w:tabs>
          <w:tab w:val="left" w:pos="426"/>
          <w:tab w:val="left" w:pos="709"/>
        </w:tabs>
        <w:spacing w:before="120" w:after="120" w:line="240" w:lineRule="auto"/>
        <w:ind w:left="1134" w:firstLine="0"/>
        <w:rPr>
          <w:color w:val="auto"/>
          <w:sz w:val="24"/>
          <w:szCs w:val="24"/>
        </w:rPr>
      </w:pPr>
      <w:r w:rsidRPr="00DE12A3">
        <w:rPr>
          <w:color w:val="auto"/>
          <w:sz w:val="24"/>
          <w:szCs w:val="24"/>
        </w:rPr>
        <w:t>W</w:t>
      </w:r>
      <w:r w:rsidRPr="00DE12A3">
        <w:rPr>
          <w:color w:val="auto"/>
          <w:sz w:val="24"/>
          <w:szCs w:val="24"/>
          <w:vertAlign w:val="subscript"/>
        </w:rPr>
        <w:t>act</w:t>
      </w:r>
      <w:r w:rsidRPr="00DE12A3">
        <w:rPr>
          <w:color w:val="auto"/>
          <w:sz w:val="24"/>
          <w:szCs w:val="24"/>
        </w:rPr>
        <w:t>=</w:t>
      </w:r>
      <w:r w:rsidR="00EA64C0" w:rsidRPr="00DE12A3">
        <w:rPr>
          <w:color w:val="auto"/>
          <w:sz w:val="24"/>
          <w:szCs w:val="24"/>
        </w:rPr>
        <w:t xml:space="preserve">Gerçek </w:t>
      </w:r>
      <w:r w:rsidR="00F310B5" w:rsidRPr="00DE12A3">
        <w:rPr>
          <w:color w:val="auto"/>
          <w:sz w:val="24"/>
          <w:szCs w:val="24"/>
        </w:rPr>
        <w:t>çevrim</w:t>
      </w:r>
      <w:r w:rsidRPr="00DE12A3">
        <w:rPr>
          <w:color w:val="auto"/>
          <w:sz w:val="24"/>
          <w:szCs w:val="24"/>
        </w:rPr>
        <w:t xml:space="preserve"> çalışması [kWh]</w:t>
      </w:r>
    </w:p>
    <w:p w14:paraId="19E5213F" w14:textId="04ABF7FC" w:rsidR="002D7B36" w:rsidRPr="00DE12A3" w:rsidRDefault="00242DA0" w:rsidP="00C917D6">
      <w:pPr>
        <w:pStyle w:val="Gvdemetni251"/>
        <w:shd w:val="clear" w:color="auto" w:fill="auto"/>
        <w:tabs>
          <w:tab w:val="left" w:pos="426"/>
          <w:tab w:val="left" w:pos="709"/>
        </w:tabs>
        <w:spacing w:before="120" w:after="120" w:line="240" w:lineRule="auto"/>
        <w:ind w:left="1134" w:firstLine="0"/>
        <w:rPr>
          <w:color w:val="auto"/>
          <w:sz w:val="24"/>
          <w:szCs w:val="24"/>
        </w:rPr>
      </w:pPr>
      <w:r w:rsidRPr="00DE12A3">
        <w:rPr>
          <w:rStyle w:val="Gvdemetni254pttalik0ptbolukbraklyor21"/>
          <w:color w:val="auto"/>
          <w:sz w:val="24"/>
          <w:szCs w:val="24"/>
        </w:rPr>
        <w:t>f</w:t>
      </w:r>
      <w:r w:rsidRPr="00DE12A3">
        <w:rPr>
          <w:color w:val="auto"/>
          <w:sz w:val="24"/>
          <w:szCs w:val="24"/>
        </w:rPr>
        <w:tab/>
        <w:t>=</w:t>
      </w:r>
      <w:r w:rsidR="00EA64C0" w:rsidRPr="00DE12A3">
        <w:rPr>
          <w:color w:val="auto"/>
          <w:sz w:val="24"/>
          <w:szCs w:val="24"/>
        </w:rPr>
        <w:t xml:space="preserve">Veri </w:t>
      </w:r>
      <w:r w:rsidRPr="00DE12A3">
        <w:rPr>
          <w:color w:val="auto"/>
          <w:sz w:val="24"/>
          <w:szCs w:val="24"/>
        </w:rPr>
        <w:t>örnekleme hızı [Hz]</w:t>
      </w:r>
    </w:p>
    <w:p w14:paraId="06392BDB" w14:textId="61283BF9" w:rsidR="002D7B36" w:rsidRPr="00DE12A3" w:rsidRDefault="00242DA0" w:rsidP="00C917D6">
      <w:pPr>
        <w:pStyle w:val="Gvdemetni251"/>
        <w:shd w:val="clear" w:color="auto" w:fill="auto"/>
        <w:tabs>
          <w:tab w:val="left" w:pos="426"/>
          <w:tab w:val="left" w:pos="709"/>
        </w:tabs>
        <w:spacing w:before="120" w:after="120" w:line="240" w:lineRule="auto"/>
        <w:ind w:left="1134" w:firstLine="0"/>
        <w:rPr>
          <w:color w:val="auto"/>
          <w:sz w:val="24"/>
          <w:szCs w:val="24"/>
        </w:rPr>
      </w:pPr>
      <w:r w:rsidRPr="00DE12A3">
        <w:rPr>
          <w:color w:val="auto"/>
          <w:sz w:val="24"/>
          <w:szCs w:val="24"/>
        </w:rPr>
        <w:t>N</w:t>
      </w:r>
      <w:r w:rsidRPr="00DE12A3">
        <w:rPr>
          <w:color w:val="auto"/>
          <w:sz w:val="24"/>
          <w:szCs w:val="24"/>
        </w:rPr>
        <w:tab/>
        <w:t>=</w:t>
      </w:r>
      <w:r w:rsidR="00EA64C0" w:rsidRPr="00DE12A3">
        <w:rPr>
          <w:color w:val="auto"/>
          <w:sz w:val="24"/>
          <w:szCs w:val="24"/>
        </w:rPr>
        <w:t xml:space="preserve">Ölçüm </w:t>
      </w:r>
      <w:r w:rsidRPr="00DE12A3">
        <w:rPr>
          <w:color w:val="auto"/>
          <w:sz w:val="24"/>
          <w:szCs w:val="24"/>
        </w:rPr>
        <w:t>sayısı [-]</w:t>
      </w:r>
    </w:p>
    <w:p w14:paraId="5A542C5A" w14:textId="73A69CC1" w:rsidR="002D7B36" w:rsidRPr="00DE12A3" w:rsidRDefault="00242DA0" w:rsidP="00C917D6">
      <w:pPr>
        <w:pStyle w:val="Gvdemetni251"/>
        <w:shd w:val="clear" w:color="auto" w:fill="auto"/>
        <w:tabs>
          <w:tab w:val="left" w:pos="426"/>
          <w:tab w:val="left" w:pos="709"/>
        </w:tabs>
        <w:spacing w:before="120" w:after="120" w:line="240" w:lineRule="auto"/>
        <w:ind w:left="1134" w:firstLine="0"/>
        <w:rPr>
          <w:color w:val="auto"/>
          <w:sz w:val="24"/>
          <w:szCs w:val="24"/>
        </w:rPr>
      </w:pPr>
      <w:r w:rsidRPr="00DE12A3">
        <w:rPr>
          <w:rStyle w:val="Gvdemetni254pttalik0ptbolukbraklyor21"/>
          <w:i w:val="0"/>
          <w:iCs w:val="0"/>
          <w:color w:val="auto"/>
          <w:sz w:val="24"/>
          <w:szCs w:val="24"/>
        </w:rPr>
        <w:t>Δ</w:t>
      </w:r>
      <w:r w:rsidRPr="00DE12A3">
        <w:rPr>
          <w:rStyle w:val="Gvdemetni254pttalik0ptbolukbraklyor21"/>
          <w:color w:val="auto"/>
          <w:sz w:val="24"/>
          <w:szCs w:val="24"/>
        </w:rPr>
        <w:t>t</w:t>
      </w:r>
      <w:r w:rsidRPr="00DE12A3">
        <w:rPr>
          <w:rStyle w:val="Gvdemetni254pttalik0ptbolukbraklyor21"/>
          <w:color w:val="auto"/>
          <w:sz w:val="24"/>
          <w:szCs w:val="24"/>
          <w:vertAlign w:val="subscript"/>
        </w:rPr>
        <w:t>i</w:t>
      </w:r>
      <w:r w:rsidRPr="00DE12A3">
        <w:rPr>
          <w:color w:val="auto"/>
          <w:sz w:val="24"/>
          <w:szCs w:val="24"/>
        </w:rPr>
        <w:t>=</w:t>
      </w:r>
      <w:r w:rsidR="00EA64C0" w:rsidRPr="00DE12A3">
        <w:rPr>
          <w:color w:val="auto"/>
          <w:sz w:val="24"/>
          <w:szCs w:val="24"/>
        </w:rPr>
        <w:t xml:space="preserve">Ölçüm </w:t>
      </w:r>
      <w:r w:rsidRPr="00DE12A3">
        <w:rPr>
          <w:color w:val="auto"/>
          <w:sz w:val="24"/>
          <w:szCs w:val="24"/>
        </w:rPr>
        <w:t>aralığı [s]</w:t>
      </w:r>
    </w:p>
    <w:p w14:paraId="6A365095" w14:textId="7690F9D3" w:rsidR="002D7B36" w:rsidRPr="00DE12A3" w:rsidRDefault="00FA0678" w:rsidP="00C917D6">
      <w:pPr>
        <w:pStyle w:val="Gvdemetni251"/>
        <w:shd w:val="clear" w:color="auto" w:fill="auto"/>
        <w:spacing w:before="120" w:after="120" w:line="240" w:lineRule="auto"/>
        <w:ind w:left="1134" w:firstLine="0"/>
        <w:rPr>
          <w:color w:val="auto"/>
          <w:sz w:val="24"/>
          <w:szCs w:val="24"/>
        </w:rPr>
      </w:pPr>
      <w:r w:rsidRPr="00DE12A3">
        <w:rPr>
          <w:color w:val="auto"/>
          <w:sz w:val="24"/>
          <w:szCs w:val="24"/>
        </w:rPr>
        <w:t xml:space="preserve">VI’ncı </w:t>
      </w:r>
      <w:r w:rsidR="00EA64C0" w:rsidRPr="00DE12A3">
        <w:rPr>
          <w:color w:val="auto"/>
          <w:sz w:val="24"/>
          <w:szCs w:val="24"/>
        </w:rPr>
        <w:t>E</w:t>
      </w:r>
      <w:r w:rsidRPr="00DE12A3">
        <w:rPr>
          <w:color w:val="auto"/>
          <w:sz w:val="24"/>
          <w:szCs w:val="24"/>
        </w:rPr>
        <w:t>k</w:t>
      </w:r>
      <w:r w:rsidR="00242DA0" w:rsidRPr="00DE12A3">
        <w:rPr>
          <w:color w:val="auto"/>
          <w:sz w:val="24"/>
          <w:szCs w:val="24"/>
        </w:rPr>
        <w:t xml:space="preserve">in </w:t>
      </w:r>
      <w:r w:rsidRPr="00DE12A3">
        <w:rPr>
          <w:color w:val="auto"/>
          <w:sz w:val="24"/>
          <w:szCs w:val="24"/>
        </w:rPr>
        <w:t>2. Açıklayıcı Ek</w:t>
      </w:r>
      <w:r w:rsidR="00242DA0" w:rsidRPr="00DE12A3">
        <w:rPr>
          <w:color w:val="auto"/>
          <w:sz w:val="24"/>
          <w:szCs w:val="24"/>
        </w:rPr>
        <w:t xml:space="preserve">i uyarınca yardımcı cihazların takıldığı durumlarda, (7-59) </w:t>
      </w:r>
      <w:r w:rsidR="00C126AA" w:rsidRPr="00DE12A3">
        <w:rPr>
          <w:color w:val="auto"/>
          <w:sz w:val="24"/>
          <w:szCs w:val="24"/>
        </w:rPr>
        <w:t>numaralı</w:t>
      </w:r>
      <w:r w:rsidR="00C126AA" w:rsidRPr="00DE12A3" w:rsidDel="00C126AA">
        <w:rPr>
          <w:color w:val="auto"/>
          <w:sz w:val="24"/>
          <w:szCs w:val="24"/>
        </w:rPr>
        <w:t xml:space="preserve"> </w:t>
      </w:r>
      <w:r w:rsidR="00242DA0" w:rsidRPr="00DE12A3">
        <w:rPr>
          <w:color w:val="auto"/>
          <w:sz w:val="24"/>
          <w:szCs w:val="24"/>
        </w:rPr>
        <w:t xml:space="preserve">denklemdeki anlık motor torku üzerinde hiçbir ayar yapılmaz. Bu </w:t>
      </w:r>
      <w:r w:rsidR="00966EFF" w:rsidRPr="00DE12A3">
        <w:rPr>
          <w:color w:val="auto"/>
          <w:sz w:val="24"/>
          <w:szCs w:val="24"/>
        </w:rPr>
        <w:t>T</w:t>
      </w:r>
      <w:r w:rsidR="006B6346" w:rsidRPr="00DE12A3">
        <w:rPr>
          <w:color w:val="auto"/>
          <w:sz w:val="24"/>
          <w:szCs w:val="24"/>
        </w:rPr>
        <w:t>ebliğin</w:t>
      </w:r>
      <w:r w:rsidR="00242DA0" w:rsidRPr="00DE12A3">
        <w:rPr>
          <w:color w:val="auto"/>
          <w:sz w:val="24"/>
          <w:szCs w:val="24"/>
        </w:rPr>
        <w:t xml:space="preserve"> V</w:t>
      </w:r>
      <w:r w:rsidR="00EE5D5E" w:rsidRPr="00DE12A3">
        <w:rPr>
          <w:color w:val="auto"/>
          <w:sz w:val="24"/>
          <w:szCs w:val="24"/>
        </w:rPr>
        <w:t xml:space="preserve">I’inci </w:t>
      </w:r>
      <w:r w:rsidR="00EC3EF0" w:rsidRPr="00DE12A3">
        <w:rPr>
          <w:color w:val="auto"/>
          <w:sz w:val="24"/>
          <w:szCs w:val="24"/>
        </w:rPr>
        <w:t>Ekinin</w:t>
      </w:r>
      <w:r w:rsidR="00EE5D5E" w:rsidRPr="00DE12A3">
        <w:rPr>
          <w:color w:val="auto"/>
          <w:sz w:val="24"/>
          <w:szCs w:val="24"/>
        </w:rPr>
        <w:t xml:space="preserve"> </w:t>
      </w:r>
      <w:r w:rsidR="00242DA0" w:rsidRPr="00DE12A3">
        <w:rPr>
          <w:color w:val="auto"/>
          <w:sz w:val="24"/>
          <w:szCs w:val="24"/>
        </w:rPr>
        <w:t xml:space="preserve">6.3.2 veya 6.3.3 bentleri uyarınca, test için takılmış olması gereken yardımcı cihazların monte edilmemiş olması veya test için sökülmüş olması gereken yardımcı cihazların takılı olması durumunda, (7-59) </w:t>
      </w:r>
      <w:r w:rsidR="00C126AA" w:rsidRPr="00DE12A3">
        <w:rPr>
          <w:color w:val="auto"/>
          <w:sz w:val="24"/>
          <w:szCs w:val="24"/>
        </w:rPr>
        <w:t>numaralı</w:t>
      </w:r>
      <w:r w:rsidR="00C126AA" w:rsidRPr="00DE12A3" w:rsidDel="00C126AA">
        <w:rPr>
          <w:color w:val="auto"/>
          <w:sz w:val="24"/>
          <w:szCs w:val="24"/>
        </w:rPr>
        <w:t xml:space="preserve"> </w:t>
      </w:r>
      <w:r w:rsidR="00242DA0" w:rsidRPr="00DE12A3">
        <w:rPr>
          <w:color w:val="auto"/>
          <w:sz w:val="24"/>
          <w:szCs w:val="24"/>
        </w:rPr>
        <w:t xml:space="preserve">denklemde kullanılan </w:t>
      </w:r>
      <w:r w:rsidR="00242DA0" w:rsidRPr="00DE12A3">
        <w:rPr>
          <w:i/>
          <w:iCs/>
          <w:color w:val="auto"/>
          <w:sz w:val="24"/>
          <w:szCs w:val="24"/>
        </w:rPr>
        <w:t>T</w:t>
      </w:r>
      <w:r w:rsidR="00242DA0" w:rsidRPr="00DE12A3">
        <w:rPr>
          <w:color w:val="auto"/>
          <w:sz w:val="24"/>
          <w:szCs w:val="24"/>
        </w:rPr>
        <w:t xml:space="preserve">i değeri, (7-60) </w:t>
      </w:r>
      <w:r w:rsidR="00C126AA" w:rsidRPr="00DE12A3">
        <w:rPr>
          <w:color w:val="auto"/>
          <w:sz w:val="24"/>
          <w:szCs w:val="24"/>
        </w:rPr>
        <w:t>numaralı</w:t>
      </w:r>
      <w:r w:rsidR="00C126AA" w:rsidRPr="00DE12A3" w:rsidDel="00C126AA">
        <w:rPr>
          <w:color w:val="auto"/>
          <w:sz w:val="24"/>
          <w:szCs w:val="24"/>
        </w:rPr>
        <w:t xml:space="preserve"> </w:t>
      </w:r>
      <w:r w:rsidR="00242DA0" w:rsidRPr="00DE12A3">
        <w:rPr>
          <w:color w:val="auto"/>
          <w:sz w:val="24"/>
          <w:szCs w:val="24"/>
        </w:rPr>
        <w:t>denklem ile ayarlanmalıdır:</w:t>
      </w:r>
    </w:p>
    <w:p w14:paraId="40BE66CE" w14:textId="27B184CD" w:rsidR="002D7B36" w:rsidRPr="00DE12A3" w:rsidRDefault="00242DA0" w:rsidP="00C917D6">
      <w:pPr>
        <w:pStyle w:val="Resimyazs70"/>
        <w:shd w:val="clear" w:color="auto" w:fill="auto"/>
        <w:tabs>
          <w:tab w:val="left" w:pos="278"/>
        </w:tabs>
        <w:spacing w:after="120" w:line="240" w:lineRule="auto"/>
        <w:ind w:left="1134" w:hanging="1134"/>
        <w:jc w:val="center"/>
        <w:rPr>
          <w:sz w:val="24"/>
          <w:szCs w:val="24"/>
        </w:rPr>
      </w:pPr>
      <w:r w:rsidRPr="00DE12A3">
        <w:rPr>
          <w:noProof/>
          <w:sz w:val="24"/>
          <w:szCs w:val="24"/>
          <w:lang w:eastAsia="tr-TR"/>
        </w:rPr>
        <w:drawing>
          <wp:inline distT="0" distB="0" distL="0" distR="0" wp14:anchorId="0C323A97" wp14:editId="29285BA6">
            <wp:extent cx="4034970" cy="641985"/>
            <wp:effectExtent l="0" t="0" r="3810" b="5715"/>
            <wp:docPr id="118" name="Resim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Resim 118"/>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a:xfrm>
                      <a:off x="0" y="0"/>
                      <a:ext cx="4043075" cy="643275"/>
                    </a:xfrm>
                    <a:prstGeom prst="rect">
                      <a:avLst/>
                    </a:prstGeom>
                    <a:noFill/>
                    <a:ln>
                      <a:noFill/>
                    </a:ln>
                  </pic:spPr>
                </pic:pic>
              </a:graphicData>
            </a:graphic>
          </wp:inline>
        </w:drawing>
      </w:r>
    </w:p>
    <w:p w14:paraId="637ABE48" w14:textId="77777777" w:rsidR="002D7B36" w:rsidRPr="00DE12A3" w:rsidRDefault="00242DA0" w:rsidP="00C917D6">
      <w:pPr>
        <w:pStyle w:val="Gvdemetni251"/>
        <w:shd w:val="clear" w:color="auto" w:fill="auto"/>
        <w:spacing w:before="120" w:after="120" w:line="240" w:lineRule="auto"/>
        <w:ind w:left="1134" w:firstLine="0"/>
        <w:rPr>
          <w:color w:val="auto"/>
          <w:sz w:val="24"/>
          <w:szCs w:val="24"/>
        </w:rPr>
      </w:pPr>
      <w:r w:rsidRPr="00DE12A3">
        <w:rPr>
          <w:color w:val="auto"/>
          <w:sz w:val="24"/>
          <w:szCs w:val="24"/>
        </w:rPr>
        <w:t>Burada:</w:t>
      </w:r>
    </w:p>
    <w:p w14:paraId="76E2BB00" w14:textId="32CD1820" w:rsidR="002D7B36" w:rsidRPr="00DE12A3" w:rsidRDefault="00242DA0" w:rsidP="00C917D6">
      <w:pPr>
        <w:pStyle w:val="Gvdemetni251"/>
        <w:shd w:val="clear" w:color="auto" w:fill="auto"/>
        <w:tabs>
          <w:tab w:val="left" w:pos="709"/>
          <w:tab w:val="left" w:pos="993"/>
        </w:tabs>
        <w:spacing w:before="120" w:after="120" w:line="240" w:lineRule="auto"/>
        <w:ind w:left="1134" w:firstLine="0"/>
        <w:rPr>
          <w:color w:val="auto"/>
          <w:sz w:val="24"/>
          <w:szCs w:val="24"/>
        </w:rPr>
      </w:pPr>
      <w:r w:rsidRPr="00DE12A3">
        <w:rPr>
          <w:i/>
          <w:iCs/>
          <w:color w:val="auto"/>
          <w:sz w:val="24"/>
          <w:szCs w:val="24"/>
        </w:rPr>
        <w:t>T</w:t>
      </w:r>
      <w:r w:rsidRPr="00DE12A3">
        <w:rPr>
          <w:color w:val="auto"/>
          <w:sz w:val="24"/>
          <w:szCs w:val="24"/>
          <w:vertAlign w:val="subscript"/>
        </w:rPr>
        <w:t>i,meas</w:t>
      </w:r>
      <w:r w:rsidRPr="00DE12A3">
        <w:rPr>
          <w:color w:val="auto"/>
          <w:sz w:val="24"/>
          <w:szCs w:val="24"/>
        </w:rPr>
        <w:tab/>
        <w:t>=</w:t>
      </w:r>
      <w:r w:rsidR="004955A8" w:rsidRPr="00DE12A3">
        <w:rPr>
          <w:color w:val="auto"/>
          <w:sz w:val="24"/>
          <w:szCs w:val="24"/>
        </w:rPr>
        <w:t>ö</w:t>
      </w:r>
      <w:r w:rsidR="00EA64C0" w:rsidRPr="00DE12A3">
        <w:rPr>
          <w:color w:val="auto"/>
          <w:sz w:val="24"/>
          <w:szCs w:val="24"/>
        </w:rPr>
        <w:t xml:space="preserve">lçülen </w:t>
      </w:r>
      <w:r w:rsidRPr="00DE12A3">
        <w:rPr>
          <w:color w:val="auto"/>
          <w:sz w:val="24"/>
          <w:szCs w:val="24"/>
        </w:rPr>
        <w:t>anlık motor torku değeri</w:t>
      </w:r>
    </w:p>
    <w:p w14:paraId="732CEFF3" w14:textId="45946697" w:rsidR="002D7B36" w:rsidRPr="00DE12A3" w:rsidRDefault="00242DA0" w:rsidP="00C917D6">
      <w:pPr>
        <w:pStyle w:val="Gvdemetni251"/>
        <w:shd w:val="clear" w:color="auto" w:fill="auto"/>
        <w:tabs>
          <w:tab w:val="left" w:pos="709"/>
          <w:tab w:val="left" w:pos="993"/>
        </w:tabs>
        <w:spacing w:before="120" w:after="120" w:line="240" w:lineRule="auto"/>
        <w:ind w:left="1134" w:firstLine="0"/>
        <w:rPr>
          <w:color w:val="auto"/>
          <w:sz w:val="24"/>
          <w:szCs w:val="24"/>
        </w:rPr>
      </w:pPr>
      <w:r w:rsidRPr="00DE12A3">
        <w:rPr>
          <w:i/>
          <w:iCs/>
          <w:color w:val="auto"/>
          <w:sz w:val="24"/>
          <w:szCs w:val="24"/>
        </w:rPr>
        <w:t>T</w:t>
      </w:r>
      <w:r w:rsidRPr="00DE12A3">
        <w:rPr>
          <w:color w:val="auto"/>
          <w:sz w:val="24"/>
          <w:szCs w:val="24"/>
          <w:vertAlign w:val="subscript"/>
        </w:rPr>
        <w:t>i,AUX</w:t>
      </w:r>
      <w:r w:rsidRPr="00DE12A3">
        <w:rPr>
          <w:color w:val="auto"/>
          <w:sz w:val="24"/>
          <w:szCs w:val="24"/>
        </w:rPr>
        <w:tab/>
        <w:t>=</w:t>
      </w:r>
      <w:r w:rsidR="00FA0678" w:rsidRPr="00DE12A3">
        <w:rPr>
          <w:color w:val="auto"/>
          <w:sz w:val="24"/>
          <w:szCs w:val="24"/>
        </w:rPr>
        <w:t xml:space="preserve">VI’ncı </w:t>
      </w:r>
      <w:r w:rsidR="00EA64C0" w:rsidRPr="00DE12A3">
        <w:rPr>
          <w:color w:val="auto"/>
          <w:sz w:val="24"/>
          <w:szCs w:val="24"/>
        </w:rPr>
        <w:t>E</w:t>
      </w:r>
      <w:r w:rsidR="00FA0678" w:rsidRPr="00DE12A3">
        <w:rPr>
          <w:color w:val="auto"/>
          <w:sz w:val="24"/>
          <w:szCs w:val="24"/>
        </w:rPr>
        <w:t>k</w:t>
      </w:r>
      <w:r w:rsidRPr="00DE12A3">
        <w:rPr>
          <w:color w:val="auto"/>
          <w:sz w:val="24"/>
          <w:szCs w:val="24"/>
        </w:rPr>
        <w:t xml:space="preserve">teki (6-18) </w:t>
      </w:r>
      <w:r w:rsidR="00C126AA" w:rsidRPr="00DE12A3">
        <w:rPr>
          <w:color w:val="auto"/>
          <w:sz w:val="24"/>
          <w:szCs w:val="24"/>
        </w:rPr>
        <w:t>numaralı</w:t>
      </w:r>
      <w:r w:rsidR="00C126AA" w:rsidRPr="00DE12A3" w:rsidDel="00C126AA">
        <w:rPr>
          <w:color w:val="auto"/>
          <w:sz w:val="24"/>
          <w:szCs w:val="24"/>
        </w:rPr>
        <w:t xml:space="preserve"> </w:t>
      </w:r>
      <w:r w:rsidRPr="00DE12A3">
        <w:rPr>
          <w:color w:val="auto"/>
          <w:sz w:val="24"/>
          <w:szCs w:val="24"/>
        </w:rPr>
        <w:t>denklem uyarınca belirlenen yardımcı cihazların tahrik edilmesi için gereken ilgili tork değeri</w:t>
      </w:r>
    </w:p>
    <w:p w14:paraId="1DFE2E59" w14:textId="6930926F" w:rsidR="002D7B36" w:rsidRPr="00DE12A3" w:rsidRDefault="00242DA0" w:rsidP="00C917D6">
      <w:pPr>
        <w:pStyle w:val="Gvdemetni251"/>
        <w:shd w:val="clear" w:color="auto" w:fill="auto"/>
        <w:spacing w:before="120" w:after="120" w:line="240" w:lineRule="auto"/>
        <w:ind w:left="1134" w:firstLine="0"/>
        <w:rPr>
          <w:color w:val="auto"/>
          <w:sz w:val="24"/>
          <w:szCs w:val="24"/>
        </w:rPr>
      </w:pPr>
      <w:r w:rsidRPr="00DE12A3">
        <w:rPr>
          <w:color w:val="auto"/>
          <w:sz w:val="24"/>
          <w:szCs w:val="24"/>
        </w:rPr>
        <w:t xml:space="preserve">Spesifik emisyonlar </w:t>
      </w:r>
      <w:r w:rsidRPr="00DE12A3">
        <w:rPr>
          <w:i/>
          <w:iCs/>
          <w:color w:val="auto"/>
          <w:sz w:val="24"/>
          <w:szCs w:val="24"/>
        </w:rPr>
        <w:t>e</w:t>
      </w:r>
      <w:r w:rsidRPr="00DE12A3">
        <w:rPr>
          <w:color w:val="auto"/>
          <w:sz w:val="24"/>
          <w:szCs w:val="24"/>
          <w:vertAlign w:val="subscript"/>
        </w:rPr>
        <w:t>gas</w:t>
      </w:r>
      <w:r w:rsidRPr="00DE12A3">
        <w:rPr>
          <w:color w:val="auto"/>
          <w:sz w:val="24"/>
          <w:szCs w:val="24"/>
        </w:rPr>
        <w:t xml:space="preserve"> [g/kWh], test </w:t>
      </w:r>
      <w:r w:rsidR="007E2039" w:rsidRPr="00DE12A3">
        <w:rPr>
          <w:color w:val="auto"/>
          <w:sz w:val="24"/>
          <w:szCs w:val="24"/>
        </w:rPr>
        <w:t>çevrimini</w:t>
      </w:r>
      <w:r w:rsidRPr="00DE12A3">
        <w:rPr>
          <w:color w:val="auto"/>
          <w:sz w:val="24"/>
          <w:szCs w:val="24"/>
        </w:rPr>
        <w:t>n tipine bağlı olarak aşağıdaki yollarla hesaplanmalıdır</w:t>
      </w:r>
      <w:r w:rsidR="004955A8" w:rsidRPr="00DE12A3">
        <w:rPr>
          <w:color w:val="auto"/>
          <w:sz w:val="24"/>
          <w:szCs w:val="24"/>
        </w:rPr>
        <w:t>:</w:t>
      </w:r>
    </w:p>
    <w:p w14:paraId="3B44C38E" w14:textId="4A0E6EA0" w:rsidR="002D7B36" w:rsidRPr="00DE12A3" w:rsidRDefault="00242DA0" w:rsidP="00C917D6">
      <w:pPr>
        <w:pStyle w:val="Resimyazs70"/>
        <w:shd w:val="clear" w:color="auto" w:fill="auto"/>
        <w:tabs>
          <w:tab w:val="left" w:pos="278"/>
        </w:tabs>
        <w:spacing w:after="120" w:line="240" w:lineRule="auto"/>
        <w:ind w:left="1134" w:hanging="1134"/>
        <w:jc w:val="center"/>
        <w:rPr>
          <w:sz w:val="24"/>
          <w:szCs w:val="24"/>
        </w:rPr>
      </w:pPr>
      <w:r w:rsidRPr="00DE12A3">
        <w:rPr>
          <w:noProof/>
          <w:sz w:val="24"/>
          <w:szCs w:val="24"/>
          <w:lang w:eastAsia="tr-TR"/>
        </w:rPr>
        <w:drawing>
          <wp:inline distT="0" distB="0" distL="0" distR="0" wp14:anchorId="222A4DC1" wp14:editId="0C50C51A">
            <wp:extent cx="4102686" cy="728934"/>
            <wp:effectExtent l="0" t="0" r="0" b="0"/>
            <wp:docPr id="119" name="Resim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Resim 119"/>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a:xfrm>
                      <a:off x="0" y="0"/>
                      <a:ext cx="4273785" cy="759334"/>
                    </a:xfrm>
                    <a:prstGeom prst="rect">
                      <a:avLst/>
                    </a:prstGeom>
                    <a:noFill/>
                    <a:ln>
                      <a:noFill/>
                    </a:ln>
                  </pic:spPr>
                </pic:pic>
              </a:graphicData>
            </a:graphic>
          </wp:inline>
        </w:drawing>
      </w:r>
    </w:p>
    <w:p w14:paraId="580EF367" w14:textId="77777777" w:rsidR="002D7B36" w:rsidRPr="00DE12A3" w:rsidRDefault="00242DA0" w:rsidP="00C917D6">
      <w:pPr>
        <w:pStyle w:val="Gvdemetni251"/>
        <w:shd w:val="clear" w:color="auto" w:fill="auto"/>
        <w:spacing w:before="120" w:after="120" w:line="240" w:lineRule="auto"/>
        <w:ind w:left="1134" w:firstLine="0"/>
        <w:rPr>
          <w:color w:val="auto"/>
          <w:sz w:val="24"/>
          <w:szCs w:val="24"/>
        </w:rPr>
      </w:pPr>
      <w:r w:rsidRPr="00DE12A3">
        <w:rPr>
          <w:color w:val="auto"/>
          <w:sz w:val="24"/>
          <w:szCs w:val="24"/>
        </w:rPr>
        <w:t>Burada:</w:t>
      </w:r>
    </w:p>
    <w:p w14:paraId="509CA7EF" w14:textId="076EA0FE" w:rsidR="002D7B36" w:rsidRPr="00DE12A3" w:rsidRDefault="00242DA0" w:rsidP="00C917D6">
      <w:pPr>
        <w:pStyle w:val="Gvdemetni251"/>
        <w:shd w:val="clear" w:color="auto" w:fill="auto"/>
        <w:spacing w:before="120" w:after="120" w:line="240" w:lineRule="auto"/>
        <w:ind w:left="1134" w:firstLine="0"/>
        <w:rPr>
          <w:color w:val="auto"/>
          <w:sz w:val="24"/>
          <w:szCs w:val="24"/>
        </w:rPr>
      </w:pPr>
      <w:r w:rsidRPr="00DE12A3">
        <w:rPr>
          <w:color w:val="auto"/>
          <w:sz w:val="24"/>
          <w:szCs w:val="24"/>
        </w:rPr>
        <w:t>m</w:t>
      </w:r>
      <w:r w:rsidRPr="00DE12A3">
        <w:rPr>
          <w:color w:val="auto"/>
          <w:sz w:val="24"/>
          <w:szCs w:val="24"/>
          <w:vertAlign w:val="subscript"/>
        </w:rPr>
        <w:t>gas</w:t>
      </w:r>
      <w:r w:rsidRPr="00DE12A3">
        <w:rPr>
          <w:color w:val="auto"/>
          <w:sz w:val="24"/>
          <w:szCs w:val="24"/>
        </w:rPr>
        <w:t xml:space="preserve"> = </w:t>
      </w:r>
      <w:r w:rsidR="004955A8" w:rsidRPr="00DE12A3">
        <w:rPr>
          <w:color w:val="auto"/>
          <w:sz w:val="24"/>
          <w:szCs w:val="24"/>
        </w:rPr>
        <w:t>t</w:t>
      </w:r>
      <w:r w:rsidR="00EA64C0" w:rsidRPr="00DE12A3">
        <w:rPr>
          <w:color w:val="auto"/>
          <w:sz w:val="24"/>
          <w:szCs w:val="24"/>
        </w:rPr>
        <w:t xml:space="preserve">oplam </w:t>
      </w:r>
      <w:r w:rsidRPr="00DE12A3">
        <w:rPr>
          <w:color w:val="auto"/>
          <w:sz w:val="24"/>
          <w:szCs w:val="24"/>
        </w:rPr>
        <w:t>emisyon kütlesi [g/test]</w:t>
      </w:r>
    </w:p>
    <w:p w14:paraId="24E35CC9" w14:textId="3A22DCA2" w:rsidR="002D7B36" w:rsidRPr="00DE12A3" w:rsidRDefault="00242DA0" w:rsidP="00C917D6">
      <w:pPr>
        <w:pStyle w:val="Gvdemetni251"/>
        <w:shd w:val="clear" w:color="auto" w:fill="auto"/>
        <w:spacing w:before="120" w:after="120" w:line="240" w:lineRule="auto"/>
        <w:ind w:left="1134" w:firstLine="0"/>
        <w:rPr>
          <w:color w:val="auto"/>
          <w:sz w:val="24"/>
          <w:szCs w:val="24"/>
        </w:rPr>
      </w:pPr>
      <w:r w:rsidRPr="00DE12A3">
        <w:rPr>
          <w:color w:val="auto"/>
          <w:sz w:val="24"/>
          <w:szCs w:val="24"/>
        </w:rPr>
        <w:t>W</w:t>
      </w:r>
      <w:r w:rsidRPr="00DE12A3">
        <w:rPr>
          <w:color w:val="auto"/>
          <w:sz w:val="24"/>
          <w:szCs w:val="24"/>
          <w:vertAlign w:val="subscript"/>
        </w:rPr>
        <w:t>act</w:t>
      </w:r>
      <w:r w:rsidRPr="00DE12A3">
        <w:rPr>
          <w:color w:val="auto"/>
          <w:sz w:val="24"/>
          <w:szCs w:val="24"/>
        </w:rPr>
        <w:t xml:space="preserve"> = </w:t>
      </w:r>
      <w:r w:rsidR="004955A8" w:rsidRPr="00DE12A3">
        <w:rPr>
          <w:color w:val="auto"/>
          <w:sz w:val="24"/>
          <w:szCs w:val="24"/>
        </w:rPr>
        <w:t>ç</w:t>
      </w:r>
      <w:r w:rsidR="00EA64C0" w:rsidRPr="00DE12A3">
        <w:rPr>
          <w:color w:val="auto"/>
          <w:sz w:val="24"/>
          <w:szCs w:val="24"/>
        </w:rPr>
        <w:t xml:space="preserve">evrim </w:t>
      </w:r>
      <w:r w:rsidRPr="00DE12A3">
        <w:rPr>
          <w:color w:val="auto"/>
          <w:sz w:val="24"/>
          <w:szCs w:val="24"/>
        </w:rPr>
        <w:t>çalışması [kWh]</w:t>
      </w:r>
    </w:p>
    <w:p w14:paraId="416B4025" w14:textId="6676FAB5" w:rsidR="002D7B36" w:rsidRPr="00DE12A3" w:rsidRDefault="00242DA0" w:rsidP="00C917D6">
      <w:pPr>
        <w:pStyle w:val="Gvdemetni251"/>
        <w:shd w:val="clear" w:color="auto" w:fill="auto"/>
        <w:spacing w:before="120" w:after="120" w:line="240" w:lineRule="auto"/>
        <w:ind w:left="1134" w:firstLine="0"/>
        <w:rPr>
          <w:color w:val="auto"/>
          <w:sz w:val="24"/>
          <w:szCs w:val="24"/>
        </w:rPr>
      </w:pPr>
      <w:r w:rsidRPr="00DE12A3">
        <w:rPr>
          <w:color w:val="auto"/>
          <w:sz w:val="24"/>
          <w:szCs w:val="24"/>
        </w:rPr>
        <w:t>NRTC durumunda, CO</w:t>
      </w:r>
      <w:r w:rsidRPr="00DE12A3">
        <w:rPr>
          <w:color w:val="auto"/>
          <w:sz w:val="24"/>
          <w:szCs w:val="24"/>
          <w:vertAlign w:val="subscript"/>
        </w:rPr>
        <w:t>2</w:t>
      </w:r>
      <w:r w:rsidRPr="00DE12A3">
        <w:rPr>
          <w:color w:val="auto"/>
          <w:sz w:val="24"/>
          <w:szCs w:val="24"/>
        </w:rPr>
        <w:t xml:space="preserve"> dışındaki gaz emisyonları için, son test sonucu e</w:t>
      </w:r>
      <w:r w:rsidRPr="00DE12A3">
        <w:rPr>
          <w:color w:val="auto"/>
          <w:sz w:val="24"/>
          <w:szCs w:val="24"/>
          <w:vertAlign w:val="subscript"/>
        </w:rPr>
        <w:t>gas</w:t>
      </w:r>
      <w:r w:rsidRPr="00DE12A3">
        <w:rPr>
          <w:color w:val="auto"/>
          <w:sz w:val="24"/>
          <w:szCs w:val="24"/>
        </w:rPr>
        <w:t xml:space="preserve"> [g/kWh], soğuk çalıştırmalı uygulamanın ve ön ısıtmalı uygulamanın (7-62) </w:t>
      </w:r>
      <w:r w:rsidR="00C126AA" w:rsidRPr="00DE12A3">
        <w:rPr>
          <w:color w:val="auto"/>
          <w:sz w:val="24"/>
          <w:szCs w:val="24"/>
        </w:rPr>
        <w:t>numaralı</w:t>
      </w:r>
      <w:r w:rsidR="00C126AA" w:rsidRPr="00DE12A3" w:rsidDel="00C126AA">
        <w:rPr>
          <w:color w:val="auto"/>
          <w:sz w:val="24"/>
          <w:szCs w:val="24"/>
        </w:rPr>
        <w:t xml:space="preserve"> </w:t>
      </w:r>
      <w:r w:rsidRPr="00DE12A3">
        <w:rPr>
          <w:color w:val="auto"/>
          <w:sz w:val="24"/>
          <w:szCs w:val="24"/>
        </w:rPr>
        <w:t>denklemle hesaplanan ağırlıklı ortalamasıdır:</w:t>
      </w:r>
    </w:p>
    <w:p w14:paraId="4A889CF7" w14:textId="77777777" w:rsidR="00E33A88" w:rsidRPr="00DE12A3" w:rsidRDefault="00E33A88" w:rsidP="00C917D6">
      <w:pPr>
        <w:pStyle w:val="Gvdemetni251"/>
        <w:shd w:val="clear" w:color="auto" w:fill="auto"/>
        <w:spacing w:before="120" w:after="120" w:line="240" w:lineRule="auto"/>
        <w:ind w:left="1134" w:firstLine="0"/>
        <w:rPr>
          <w:color w:val="auto"/>
          <w:sz w:val="24"/>
          <w:szCs w:val="24"/>
        </w:rPr>
      </w:pPr>
    </w:p>
    <w:p w14:paraId="75FA7B2E" w14:textId="77777777" w:rsidR="00E33A88" w:rsidRPr="00DE12A3" w:rsidRDefault="00E33A88" w:rsidP="00C917D6">
      <w:pPr>
        <w:pStyle w:val="Gvdemetni251"/>
        <w:shd w:val="clear" w:color="auto" w:fill="auto"/>
        <w:spacing w:before="120" w:after="120" w:line="240" w:lineRule="auto"/>
        <w:ind w:left="1134" w:firstLine="0"/>
        <w:rPr>
          <w:color w:val="auto"/>
          <w:sz w:val="24"/>
          <w:szCs w:val="24"/>
        </w:rPr>
      </w:pPr>
    </w:p>
    <w:p w14:paraId="2554908B" w14:textId="77777777" w:rsidR="00E33A88" w:rsidRPr="00DE12A3" w:rsidRDefault="00E33A88" w:rsidP="00C917D6">
      <w:pPr>
        <w:pStyle w:val="Gvdemetni251"/>
        <w:shd w:val="clear" w:color="auto" w:fill="auto"/>
        <w:spacing w:before="120" w:after="120" w:line="240" w:lineRule="auto"/>
        <w:ind w:left="1134" w:firstLine="0"/>
        <w:rPr>
          <w:color w:val="auto"/>
          <w:sz w:val="24"/>
          <w:szCs w:val="24"/>
        </w:rPr>
      </w:pPr>
    </w:p>
    <w:p w14:paraId="3839EFA6" w14:textId="77777777" w:rsidR="00E33A88" w:rsidRPr="00DE12A3" w:rsidRDefault="00E33A88" w:rsidP="00C917D6">
      <w:pPr>
        <w:pStyle w:val="Gvdemetni251"/>
        <w:shd w:val="clear" w:color="auto" w:fill="auto"/>
        <w:spacing w:before="120" w:after="120" w:line="240" w:lineRule="auto"/>
        <w:ind w:left="1134" w:firstLine="0"/>
        <w:rPr>
          <w:color w:val="auto"/>
          <w:sz w:val="24"/>
          <w:szCs w:val="24"/>
        </w:rPr>
      </w:pPr>
    </w:p>
    <w:p w14:paraId="21AB9444" w14:textId="3F772C3B" w:rsidR="00E33A88" w:rsidRPr="00DE12A3" w:rsidRDefault="00242DA0" w:rsidP="00C917D6">
      <w:pPr>
        <w:pStyle w:val="Gvdemetni251"/>
        <w:shd w:val="clear" w:color="auto" w:fill="auto"/>
        <w:spacing w:before="120" w:after="120" w:line="240" w:lineRule="auto"/>
        <w:ind w:left="1134" w:firstLine="0"/>
        <w:rPr>
          <w:color w:val="auto"/>
          <w:sz w:val="24"/>
          <w:szCs w:val="24"/>
        </w:rPr>
      </w:pPr>
      <w:r w:rsidRPr="00DE12A3">
        <w:rPr>
          <w:noProof/>
          <w:color w:val="auto"/>
          <w:sz w:val="24"/>
          <w:szCs w:val="24"/>
        </w:rPr>
        <w:drawing>
          <wp:anchor distT="0" distB="0" distL="114300" distR="114300" simplePos="0" relativeHeight="251621888" behindDoc="0" locked="0" layoutInCell="1" allowOverlap="1" wp14:anchorId="2983D82A" wp14:editId="11A6349A">
            <wp:simplePos x="0" y="0"/>
            <wp:positionH relativeFrom="column">
              <wp:posOffset>711200</wp:posOffset>
            </wp:positionH>
            <wp:positionV relativeFrom="paragraph">
              <wp:posOffset>234315</wp:posOffset>
            </wp:positionV>
            <wp:extent cx="4384040" cy="629285"/>
            <wp:effectExtent l="0" t="0" r="0" b="0"/>
            <wp:wrapSquare wrapText="bothSides"/>
            <wp:docPr id="120" name="Resim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Resim 120"/>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a:xfrm>
                      <a:off x="0" y="0"/>
                      <a:ext cx="4384040" cy="629285"/>
                    </a:xfrm>
                    <a:prstGeom prst="rect">
                      <a:avLst/>
                    </a:prstGeom>
                    <a:noFill/>
                    <a:ln>
                      <a:noFill/>
                    </a:ln>
                  </pic:spPr>
                </pic:pic>
              </a:graphicData>
            </a:graphic>
            <wp14:sizeRelH relativeFrom="margin">
              <wp14:pctWidth>0</wp14:pctWidth>
            </wp14:sizeRelH>
          </wp:anchor>
        </w:drawing>
      </w:r>
    </w:p>
    <w:p w14:paraId="4E63A9D4" w14:textId="77777777" w:rsidR="00E33A88" w:rsidRPr="00DE12A3" w:rsidRDefault="00E33A88" w:rsidP="00C917D6">
      <w:pPr>
        <w:pStyle w:val="Gvdemetni251"/>
        <w:shd w:val="clear" w:color="auto" w:fill="auto"/>
        <w:spacing w:before="120" w:after="120" w:line="240" w:lineRule="auto"/>
        <w:ind w:left="1134" w:firstLine="0"/>
        <w:rPr>
          <w:color w:val="auto"/>
          <w:sz w:val="24"/>
          <w:szCs w:val="24"/>
        </w:rPr>
      </w:pPr>
    </w:p>
    <w:p w14:paraId="6076FB89" w14:textId="77777777" w:rsidR="00E33A88" w:rsidRPr="00DE12A3" w:rsidRDefault="00E33A88" w:rsidP="00C917D6">
      <w:pPr>
        <w:pStyle w:val="Gvdemetni251"/>
        <w:shd w:val="clear" w:color="auto" w:fill="auto"/>
        <w:spacing w:before="120" w:after="120" w:line="240" w:lineRule="auto"/>
        <w:ind w:left="1134" w:firstLine="0"/>
        <w:rPr>
          <w:color w:val="auto"/>
          <w:sz w:val="24"/>
          <w:szCs w:val="24"/>
        </w:rPr>
      </w:pPr>
    </w:p>
    <w:p w14:paraId="4F9CA896" w14:textId="77777777" w:rsidR="00E33A88" w:rsidRPr="00DE12A3" w:rsidRDefault="00E33A88" w:rsidP="00C917D6">
      <w:pPr>
        <w:pStyle w:val="Gvdemetni251"/>
        <w:shd w:val="clear" w:color="auto" w:fill="auto"/>
        <w:spacing w:before="120" w:after="120" w:line="240" w:lineRule="auto"/>
        <w:ind w:left="1134" w:firstLine="0"/>
        <w:rPr>
          <w:color w:val="auto"/>
          <w:sz w:val="24"/>
          <w:szCs w:val="24"/>
        </w:rPr>
      </w:pPr>
    </w:p>
    <w:p w14:paraId="36EDA05F" w14:textId="77777777" w:rsidR="00E33A88" w:rsidRPr="00DE12A3" w:rsidRDefault="00E33A88" w:rsidP="00C917D6">
      <w:pPr>
        <w:pStyle w:val="Gvdemetni251"/>
        <w:shd w:val="clear" w:color="auto" w:fill="auto"/>
        <w:spacing w:before="120" w:after="120" w:line="240" w:lineRule="auto"/>
        <w:ind w:left="1134" w:firstLine="0"/>
        <w:rPr>
          <w:rStyle w:val="Gvdemetni254pttalik0ptbolukbraklyor20"/>
          <w:color w:val="auto"/>
          <w:sz w:val="24"/>
          <w:szCs w:val="24"/>
        </w:rPr>
      </w:pPr>
      <w:r w:rsidRPr="00DE12A3">
        <w:rPr>
          <w:color w:val="auto"/>
          <w:sz w:val="24"/>
          <w:szCs w:val="24"/>
        </w:rPr>
        <w:t>B</w:t>
      </w:r>
      <w:r w:rsidR="00242DA0" w:rsidRPr="00DE12A3">
        <w:rPr>
          <w:color w:val="auto"/>
          <w:sz w:val="24"/>
          <w:szCs w:val="24"/>
        </w:rPr>
        <w:t>urada:</w:t>
      </w:r>
    </w:p>
    <w:p w14:paraId="552E2F88" w14:textId="7D7CD302" w:rsidR="002D7B36" w:rsidRPr="00DE12A3" w:rsidRDefault="00242DA0" w:rsidP="00C917D6">
      <w:pPr>
        <w:pStyle w:val="Gvdemetni251"/>
        <w:shd w:val="clear" w:color="auto" w:fill="auto"/>
        <w:spacing w:before="120" w:after="120" w:line="240" w:lineRule="auto"/>
        <w:ind w:left="1134" w:firstLine="0"/>
        <w:rPr>
          <w:color w:val="auto"/>
          <w:sz w:val="24"/>
          <w:szCs w:val="24"/>
        </w:rPr>
      </w:pPr>
      <w:r w:rsidRPr="00DE12A3">
        <w:rPr>
          <w:rStyle w:val="Gvdemetni254pttalik0ptbolukbraklyor20"/>
          <w:color w:val="auto"/>
          <w:sz w:val="24"/>
          <w:szCs w:val="24"/>
        </w:rPr>
        <w:t>m</w:t>
      </w:r>
      <w:r w:rsidRPr="00DE12A3">
        <w:rPr>
          <w:rStyle w:val="Gvdemetni255pt0ptbolukbraklyor3"/>
          <w:color w:val="auto"/>
          <w:sz w:val="24"/>
          <w:szCs w:val="24"/>
          <w:vertAlign w:val="subscript"/>
        </w:rPr>
        <w:t>cold</w:t>
      </w:r>
      <w:r w:rsidR="004955A8" w:rsidRPr="00DE12A3">
        <w:rPr>
          <w:rStyle w:val="Gvdemetni255pt0ptbolukbraklyor3"/>
          <w:color w:val="auto"/>
          <w:sz w:val="24"/>
          <w:szCs w:val="24"/>
        </w:rPr>
        <w:t xml:space="preserve"> = </w:t>
      </w:r>
      <w:r w:rsidRPr="00DE12A3">
        <w:rPr>
          <w:color w:val="auto"/>
          <w:sz w:val="24"/>
          <w:szCs w:val="24"/>
        </w:rPr>
        <w:t>soğuk çalıştırmalı NRTC'nin gaz kütle emisyonları [g]</w:t>
      </w:r>
    </w:p>
    <w:p w14:paraId="67E25822" w14:textId="38B7EB17" w:rsidR="002D7B36" w:rsidRPr="00DE12A3" w:rsidRDefault="00242DA0" w:rsidP="00C917D6">
      <w:pPr>
        <w:pStyle w:val="Gvdemetni251"/>
        <w:shd w:val="clear" w:color="auto" w:fill="auto"/>
        <w:spacing w:before="120" w:after="120" w:line="240" w:lineRule="auto"/>
        <w:ind w:left="1134" w:firstLine="0"/>
        <w:rPr>
          <w:color w:val="auto"/>
          <w:sz w:val="24"/>
          <w:szCs w:val="24"/>
        </w:rPr>
      </w:pPr>
      <w:r w:rsidRPr="00DE12A3">
        <w:rPr>
          <w:rStyle w:val="Gvdemetni254pttalik0ptbolukbraklyor20"/>
          <w:color w:val="auto"/>
          <w:sz w:val="24"/>
          <w:szCs w:val="24"/>
        </w:rPr>
        <w:t>W</w:t>
      </w:r>
      <w:r w:rsidRPr="00DE12A3">
        <w:rPr>
          <w:rStyle w:val="Gvdemetni255pt0ptbolukbraklyor3"/>
          <w:color w:val="auto"/>
          <w:sz w:val="24"/>
          <w:szCs w:val="24"/>
          <w:vertAlign w:val="subscript"/>
        </w:rPr>
        <w:t>act,cold</w:t>
      </w:r>
      <w:r w:rsidR="004955A8" w:rsidRPr="00DE12A3">
        <w:rPr>
          <w:rStyle w:val="Gvdemetni255pt0ptbolukbraklyor3"/>
          <w:color w:val="auto"/>
          <w:sz w:val="24"/>
          <w:szCs w:val="24"/>
        </w:rPr>
        <w:t xml:space="preserve"> =</w:t>
      </w:r>
      <w:r w:rsidRPr="00DE12A3">
        <w:rPr>
          <w:rStyle w:val="Gvdemetni255pt0ptbolukbraklyor3"/>
          <w:color w:val="auto"/>
          <w:sz w:val="24"/>
          <w:szCs w:val="24"/>
        </w:rPr>
        <w:t xml:space="preserve"> </w:t>
      </w:r>
      <w:r w:rsidRPr="00DE12A3">
        <w:rPr>
          <w:color w:val="auto"/>
          <w:sz w:val="24"/>
          <w:szCs w:val="24"/>
        </w:rPr>
        <w:t xml:space="preserve">soğuk çalıştırmalı NRTC'nin gerçek </w:t>
      </w:r>
      <w:r w:rsidR="00F310B5" w:rsidRPr="00DE12A3">
        <w:rPr>
          <w:color w:val="auto"/>
          <w:sz w:val="24"/>
          <w:szCs w:val="24"/>
        </w:rPr>
        <w:t>çevrim</w:t>
      </w:r>
      <w:r w:rsidRPr="00DE12A3">
        <w:rPr>
          <w:color w:val="auto"/>
          <w:sz w:val="24"/>
          <w:szCs w:val="24"/>
        </w:rPr>
        <w:t xml:space="preserve"> çalışması [kWh]</w:t>
      </w:r>
    </w:p>
    <w:p w14:paraId="715C077C" w14:textId="02C29279" w:rsidR="002D7B36" w:rsidRPr="00DE12A3" w:rsidRDefault="00242DA0" w:rsidP="00C917D6">
      <w:pPr>
        <w:pStyle w:val="Gvdemetni251"/>
        <w:shd w:val="clear" w:color="auto" w:fill="auto"/>
        <w:spacing w:before="120" w:after="120" w:line="240" w:lineRule="auto"/>
        <w:ind w:left="1134" w:firstLine="0"/>
        <w:rPr>
          <w:color w:val="auto"/>
          <w:sz w:val="24"/>
          <w:szCs w:val="24"/>
        </w:rPr>
      </w:pPr>
      <w:r w:rsidRPr="00DE12A3">
        <w:rPr>
          <w:rStyle w:val="Gvdemetni254pttalik0ptbolukbraklyor20"/>
          <w:color w:val="auto"/>
          <w:sz w:val="24"/>
          <w:szCs w:val="24"/>
        </w:rPr>
        <w:t>m</w:t>
      </w:r>
      <w:r w:rsidRPr="00DE12A3">
        <w:rPr>
          <w:rStyle w:val="Gvdemetni255pt0ptbolukbraklyor3"/>
          <w:color w:val="auto"/>
          <w:sz w:val="24"/>
          <w:szCs w:val="24"/>
          <w:vertAlign w:val="subscript"/>
        </w:rPr>
        <w:t>hot</w:t>
      </w:r>
      <w:r w:rsidR="004955A8" w:rsidRPr="00DE12A3">
        <w:rPr>
          <w:rStyle w:val="Gvdemetni255pt0ptbolukbraklyor3"/>
          <w:color w:val="auto"/>
          <w:sz w:val="24"/>
          <w:szCs w:val="24"/>
        </w:rPr>
        <w:t xml:space="preserve"> =</w:t>
      </w:r>
      <w:r w:rsidRPr="00DE12A3">
        <w:rPr>
          <w:rStyle w:val="Gvdemetni255pt0ptbolukbraklyor3"/>
          <w:color w:val="auto"/>
          <w:sz w:val="24"/>
          <w:szCs w:val="24"/>
        </w:rPr>
        <w:t xml:space="preserve"> </w:t>
      </w:r>
      <w:r w:rsidRPr="00DE12A3">
        <w:rPr>
          <w:color w:val="auto"/>
          <w:sz w:val="24"/>
          <w:szCs w:val="24"/>
        </w:rPr>
        <w:t>ön ısıtmalı NRTC'nin gaz kütle emisyonları [g]</w:t>
      </w:r>
    </w:p>
    <w:p w14:paraId="729818E7" w14:textId="7D79D983" w:rsidR="002D7B36" w:rsidRPr="00DE12A3" w:rsidRDefault="00242DA0" w:rsidP="00C917D6">
      <w:pPr>
        <w:pStyle w:val="Gvdemetni251"/>
        <w:shd w:val="clear" w:color="auto" w:fill="auto"/>
        <w:spacing w:before="120" w:after="120" w:line="240" w:lineRule="auto"/>
        <w:ind w:left="1134" w:firstLine="0"/>
        <w:rPr>
          <w:color w:val="auto"/>
          <w:sz w:val="24"/>
          <w:szCs w:val="24"/>
        </w:rPr>
      </w:pPr>
      <w:r w:rsidRPr="00DE12A3">
        <w:rPr>
          <w:rStyle w:val="Gvdemetni254pttalik0ptbolukbraklyor20"/>
          <w:color w:val="auto"/>
          <w:sz w:val="24"/>
          <w:szCs w:val="24"/>
        </w:rPr>
        <w:t>W</w:t>
      </w:r>
      <w:r w:rsidRPr="00DE12A3">
        <w:rPr>
          <w:rStyle w:val="Gvdemetni255pt0ptbolukbraklyor3"/>
          <w:color w:val="auto"/>
          <w:sz w:val="24"/>
          <w:szCs w:val="24"/>
          <w:vertAlign w:val="subscript"/>
        </w:rPr>
        <w:t>act,hot</w:t>
      </w:r>
      <w:r w:rsidR="004955A8" w:rsidRPr="00DE12A3">
        <w:rPr>
          <w:rStyle w:val="Gvdemetni255pt0ptbolukbraklyor3"/>
          <w:color w:val="auto"/>
          <w:sz w:val="24"/>
          <w:szCs w:val="24"/>
        </w:rPr>
        <w:t xml:space="preserve"> =</w:t>
      </w:r>
      <w:r w:rsidRPr="00DE12A3">
        <w:rPr>
          <w:rStyle w:val="Gvdemetni255pt0ptbolukbraklyor3"/>
          <w:color w:val="auto"/>
          <w:sz w:val="24"/>
          <w:szCs w:val="24"/>
        </w:rPr>
        <w:t xml:space="preserve"> </w:t>
      </w:r>
      <w:r w:rsidRPr="00DE12A3">
        <w:rPr>
          <w:color w:val="auto"/>
          <w:sz w:val="24"/>
          <w:szCs w:val="24"/>
        </w:rPr>
        <w:t xml:space="preserve">ön ısıtmalı NRTC'nin gerçek </w:t>
      </w:r>
      <w:r w:rsidR="00F310B5" w:rsidRPr="00DE12A3">
        <w:rPr>
          <w:color w:val="auto"/>
          <w:sz w:val="24"/>
          <w:szCs w:val="24"/>
        </w:rPr>
        <w:t>çevrim</w:t>
      </w:r>
      <w:r w:rsidRPr="00DE12A3">
        <w:rPr>
          <w:color w:val="auto"/>
          <w:sz w:val="24"/>
          <w:szCs w:val="24"/>
        </w:rPr>
        <w:t xml:space="preserve"> çalışması [kWh]</w:t>
      </w:r>
    </w:p>
    <w:p w14:paraId="500055AC" w14:textId="469A6137" w:rsidR="002D7B36" w:rsidRPr="00DE12A3" w:rsidRDefault="00242DA0" w:rsidP="00C917D6">
      <w:pPr>
        <w:pStyle w:val="Gvdemetni251"/>
        <w:shd w:val="clear" w:color="auto" w:fill="auto"/>
        <w:spacing w:before="120" w:after="120" w:line="240" w:lineRule="auto"/>
        <w:ind w:left="1134" w:firstLine="0"/>
        <w:rPr>
          <w:color w:val="auto"/>
          <w:sz w:val="24"/>
          <w:szCs w:val="24"/>
        </w:rPr>
      </w:pPr>
      <w:r w:rsidRPr="00DE12A3">
        <w:rPr>
          <w:color w:val="auto"/>
          <w:sz w:val="24"/>
          <w:szCs w:val="24"/>
        </w:rPr>
        <w:t>NRTC durumunda, CO</w:t>
      </w:r>
      <w:r w:rsidRPr="00DE12A3">
        <w:rPr>
          <w:color w:val="auto"/>
          <w:sz w:val="24"/>
          <w:szCs w:val="24"/>
          <w:vertAlign w:val="subscript"/>
        </w:rPr>
        <w:t>2</w:t>
      </w:r>
      <w:r w:rsidRPr="00DE12A3">
        <w:rPr>
          <w:color w:val="auto"/>
          <w:sz w:val="24"/>
          <w:szCs w:val="24"/>
        </w:rPr>
        <w:t xml:space="preserve"> için son test sonucu e</w:t>
      </w:r>
      <w:r w:rsidRPr="00DE12A3">
        <w:rPr>
          <w:color w:val="auto"/>
          <w:sz w:val="24"/>
          <w:szCs w:val="24"/>
          <w:vertAlign w:val="subscript"/>
        </w:rPr>
        <w:t>CO2</w:t>
      </w:r>
      <w:r w:rsidRPr="00DE12A3">
        <w:rPr>
          <w:color w:val="auto"/>
          <w:sz w:val="24"/>
          <w:szCs w:val="24"/>
        </w:rPr>
        <w:t xml:space="preserve"> [g/kWh], ön ısıtmalı NRTC'den (7-63) </w:t>
      </w:r>
      <w:r w:rsidR="00C126AA" w:rsidRPr="00DE12A3">
        <w:rPr>
          <w:color w:val="auto"/>
          <w:sz w:val="24"/>
          <w:szCs w:val="24"/>
        </w:rPr>
        <w:t>numaralı</w:t>
      </w:r>
      <w:r w:rsidR="00C126AA" w:rsidRPr="00DE12A3" w:rsidDel="00C126AA">
        <w:rPr>
          <w:color w:val="auto"/>
          <w:sz w:val="24"/>
          <w:szCs w:val="24"/>
        </w:rPr>
        <w:t xml:space="preserve"> </w:t>
      </w:r>
      <w:r w:rsidRPr="00DE12A3">
        <w:rPr>
          <w:color w:val="auto"/>
          <w:sz w:val="24"/>
          <w:szCs w:val="24"/>
        </w:rPr>
        <w:t>denklem ile hesaplanmalıdır:</w:t>
      </w:r>
    </w:p>
    <w:p w14:paraId="2C2A72BE" w14:textId="22EAD61B" w:rsidR="002D7B36" w:rsidRPr="00DE12A3" w:rsidRDefault="00242DA0" w:rsidP="00C917D6">
      <w:pPr>
        <w:pStyle w:val="Resimyazs70"/>
        <w:shd w:val="clear" w:color="auto" w:fill="auto"/>
        <w:tabs>
          <w:tab w:val="left" w:pos="278"/>
        </w:tabs>
        <w:spacing w:after="120" w:line="240" w:lineRule="auto"/>
        <w:ind w:left="1134" w:hanging="1134"/>
        <w:jc w:val="center"/>
        <w:rPr>
          <w:sz w:val="24"/>
          <w:szCs w:val="24"/>
        </w:rPr>
      </w:pPr>
      <w:r w:rsidRPr="00DE12A3">
        <w:rPr>
          <w:noProof/>
          <w:sz w:val="24"/>
          <w:szCs w:val="24"/>
          <w:lang w:eastAsia="tr-TR"/>
        </w:rPr>
        <w:drawing>
          <wp:inline distT="0" distB="0" distL="0" distR="0" wp14:anchorId="5DF8AB57" wp14:editId="303CB1FB">
            <wp:extent cx="3966811" cy="619760"/>
            <wp:effectExtent l="0" t="0" r="0" b="8890"/>
            <wp:docPr id="121" name="Resim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Resim 121"/>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a:xfrm>
                      <a:off x="0" y="0"/>
                      <a:ext cx="3975288" cy="621084"/>
                    </a:xfrm>
                    <a:prstGeom prst="rect">
                      <a:avLst/>
                    </a:prstGeom>
                    <a:noFill/>
                    <a:ln>
                      <a:noFill/>
                    </a:ln>
                  </pic:spPr>
                </pic:pic>
              </a:graphicData>
            </a:graphic>
          </wp:inline>
        </w:drawing>
      </w:r>
    </w:p>
    <w:p w14:paraId="7380AAE0" w14:textId="77777777" w:rsidR="002D7B36" w:rsidRPr="00DE12A3" w:rsidRDefault="00242DA0" w:rsidP="00C917D6">
      <w:pPr>
        <w:spacing w:before="120" w:after="120"/>
        <w:ind w:left="1134"/>
        <w:jc w:val="both"/>
        <w:rPr>
          <w:rFonts w:eastAsia="Times New Roman" w:cs="Times New Roman"/>
          <w:color w:val="auto"/>
          <w:spacing w:val="3"/>
        </w:rPr>
      </w:pPr>
      <w:r w:rsidRPr="00DE12A3">
        <w:rPr>
          <w:rFonts w:eastAsia="Times New Roman" w:cs="Times New Roman"/>
          <w:color w:val="auto"/>
          <w:spacing w:val="3"/>
        </w:rPr>
        <w:t>Burada:</w:t>
      </w:r>
    </w:p>
    <w:p w14:paraId="2A285AFF" w14:textId="2B9057AB" w:rsidR="002D7B36" w:rsidRPr="00DE12A3" w:rsidRDefault="00242DA0" w:rsidP="00C917D6">
      <w:pPr>
        <w:spacing w:before="120" w:after="120"/>
        <w:ind w:left="1134"/>
        <w:jc w:val="both"/>
        <w:rPr>
          <w:rFonts w:eastAsia="Times New Roman" w:cs="Times New Roman"/>
          <w:color w:val="auto"/>
          <w:spacing w:val="3"/>
        </w:rPr>
      </w:pPr>
      <w:r w:rsidRPr="00DE12A3">
        <w:rPr>
          <w:rFonts w:eastAsia="Times New Roman" w:cs="Times New Roman"/>
          <w:i/>
          <w:iCs/>
          <w:color w:val="auto"/>
          <w:spacing w:val="6"/>
        </w:rPr>
        <w:t>m</w:t>
      </w:r>
      <w:r w:rsidRPr="00DE12A3">
        <w:rPr>
          <w:rFonts w:eastAsia="Times New Roman" w:cs="Times New Roman"/>
          <w:color w:val="auto"/>
          <w:spacing w:val="3"/>
          <w:vertAlign w:val="subscript"/>
        </w:rPr>
        <w:t>CO2,hot</w:t>
      </w:r>
      <w:r w:rsidR="004955A8" w:rsidRPr="00DE12A3">
        <w:rPr>
          <w:rFonts w:eastAsia="Times New Roman" w:cs="Times New Roman"/>
          <w:color w:val="auto"/>
          <w:spacing w:val="3"/>
        </w:rPr>
        <w:t xml:space="preserve"> =</w:t>
      </w:r>
      <w:r w:rsidRPr="00DE12A3">
        <w:rPr>
          <w:rFonts w:eastAsia="Times New Roman" w:cs="Times New Roman"/>
          <w:color w:val="auto"/>
          <w:spacing w:val="3"/>
        </w:rPr>
        <w:t xml:space="preserve"> ön ısıtmalı NRTC'nin CO</w:t>
      </w:r>
      <w:r w:rsidRPr="00DE12A3">
        <w:rPr>
          <w:rFonts w:eastAsia="Times New Roman" w:cs="Times New Roman"/>
          <w:color w:val="auto"/>
          <w:spacing w:val="3"/>
          <w:vertAlign w:val="subscript"/>
        </w:rPr>
        <w:t>2</w:t>
      </w:r>
      <w:r w:rsidRPr="00DE12A3">
        <w:rPr>
          <w:rFonts w:eastAsia="Times New Roman" w:cs="Times New Roman"/>
          <w:color w:val="auto"/>
          <w:spacing w:val="3"/>
        </w:rPr>
        <w:t xml:space="preserve"> kütle emisyonları [g]</w:t>
      </w:r>
    </w:p>
    <w:p w14:paraId="6937B9C8" w14:textId="5B80090C" w:rsidR="002D7B36" w:rsidRPr="00DE12A3" w:rsidRDefault="00242DA0" w:rsidP="00C917D6">
      <w:pPr>
        <w:spacing w:before="120" w:after="120"/>
        <w:ind w:left="1134"/>
        <w:jc w:val="both"/>
        <w:rPr>
          <w:rFonts w:eastAsia="Times New Roman" w:cs="Times New Roman"/>
          <w:color w:val="auto"/>
          <w:spacing w:val="3"/>
        </w:rPr>
      </w:pPr>
      <w:r w:rsidRPr="00DE12A3">
        <w:rPr>
          <w:rFonts w:eastAsia="Times New Roman" w:cs="Times New Roman"/>
          <w:i/>
          <w:iCs/>
          <w:color w:val="auto"/>
          <w:spacing w:val="6"/>
        </w:rPr>
        <w:t>W</w:t>
      </w:r>
      <w:r w:rsidRPr="00DE12A3">
        <w:rPr>
          <w:rFonts w:eastAsia="Times New Roman" w:cs="Times New Roman"/>
          <w:color w:val="auto"/>
          <w:spacing w:val="3"/>
          <w:vertAlign w:val="subscript"/>
        </w:rPr>
        <w:t>act,hot</w:t>
      </w:r>
      <w:r w:rsidR="004955A8" w:rsidRPr="00DE12A3">
        <w:rPr>
          <w:rFonts w:eastAsia="Times New Roman" w:cs="Times New Roman"/>
          <w:color w:val="auto"/>
          <w:spacing w:val="3"/>
        </w:rPr>
        <w:t xml:space="preserve"> =</w:t>
      </w:r>
      <w:r w:rsidRPr="00DE12A3">
        <w:rPr>
          <w:rFonts w:eastAsia="Times New Roman" w:cs="Times New Roman"/>
          <w:color w:val="auto"/>
          <w:spacing w:val="3"/>
        </w:rPr>
        <w:t xml:space="preserve"> ön ısıtmalı NRTC'nin gerçek </w:t>
      </w:r>
      <w:r w:rsidR="00F310B5" w:rsidRPr="00DE12A3">
        <w:rPr>
          <w:rFonts w:eastAsia="Times New Roman" w:cs="Times New Roman"/>
          <w:color w:val="auto"/>
          <w:spacing w:val="3"/>
        </w:rPr>
        <w:t>çevrim</w:t>
      </w:r>
      <w:r w:rsidRPr="00DE12A3">
        <w:rPr>
          <w:rFonts w:eastAsia="Times New Roman" w:cs="Times New Roman"/>
          <w:color w:val="auto"/>
          <w:spacing w:val="3"/>
        </w:rPr>
        <w:t xml:space="preserve"> çalışması [kWh]</w:t>
      </w:r>
    </w:p>
    <w:p w14:paraId="19DF22FF" w14:textId="77777777" w:rsidR="002D7B36" w:rsidRPr="00DE12A3" w:rsidRDefault="00494945" w:rsidP="00E20716">
      <w:pPr>
        <w:numPr>
          <w:ilvl w:val="0"/>
          <w:numId w:val="413"/>
        </w:numPr>
        <w:tabs>
          <w:tab w:val="left" w:pos="757"/>
          <w:tab w:val="left" w:pos="768"/>
        </w:tabs>
        <w:spacing w:before="120" w:after="120"/>
        <w:ind w:left="1134" w:hanging="1134"/>
        <w:jc w:val="both"/>
        <w:rPr>
          <w:rFonts w:eastAsia="Times New Roman" w:cs="Times New Roman"/>
          <w:color w:val="auto"/>
          <w:spacing w:val="3"/>
        </w:rPr>
      </w:pPr>
      <w:r w:rsidRPr="00DE12A3">
        <w:rPr>
          <w:rFonts w:eastAsia="Times New Roman" w:cs="Times New Roman"/>
          <w:color w:val="auto"/>
          <w:spacing w:val="3"/>
        </w:rPr>
        <w:t xml:space="preserve">      </w:t>
      </w:r>
      <w:r w:rsidR="00242DA0" w:rsidRPr="00DE12A3">
        <w:rPr>
          <w:rFonts w:eastAsia="Times New Roman" w:cs="Times New Roman"/>
          <w:color w:val="auto"/>
          <w:spacing w:val="3"/>
        </w:rPr>
        <w:t>Ayrık modlu NRSC</w:t>
      </w:r>
    </w:p>
    <w:p w14:paraId="204E5559" w14:textId="59E7E79A" w:rsidR="002D7B36" w:rsidRPr="00DE12A3" w:rsidRDefault="00494945" w:rsidP="00C917D6">
      <w:pPr>
        <w:spacing w:before="120" w:after="120"/>
        <w:ind w:left="1134" w:hanging="1134"/>
        <w:jc w:val="both"/>
        <w:rPr>
          <w:rFonts w:eastAsia="Times New Roman" w:cs="Times New Roman"/>
          <w:color w:val="auto"/>
          <w:spacing w:val="3"/>
        </w:rPr>
      </w:pPr>
      <w:r w:rsidRPr="00DE12A3">
        <w:rPr>
          <w:rFonts w:eastAsia="Times New Roman" w:cs="Times New Roman"/>
          <w:color w:val="auto"/>
          <w:spacing w:val="3"/>
        </w:rPr>
        <w:t xml:space="preserve">                  </w:t>
      </w:r>
      <w:r w:rsidR="00242DA0" w:rsidRPr="00DE12A3">
        <w:rPr>
          <w:rFonts w:eastAsia="Times New Roman" w:cs="Times New Roman"/>
          <w:color w:val="auto"/>
          <w:spacing w:val="3"/>
        </w:rPr>
        <w:t xml:space="preserve">Spesifik emisyonlar </w:t>
      </w:r>
      <w:r w:rsidR="00242DA0" w:rsidRPr="00DE12A3">
        <w:rPr>
          <w:rFonts w:eastAsia="Times New Roman" w:cs="Times New Roman"/>
          <w:i/>
          <w:iCs/>
          <w:color w:val="auto"/>
          <w:spacing w:val="3"/>
        </w:rPr>
        <w:t>e</w:t>
      </w:r>
      <w:r w:rsidR="00242DA0" w:rsidRPr="00DE12A3">
        <w:rPr>
          <w:rFonts w:eastAsia="Times New Roman" w:cs="Times New Roman"/>
          <w:color w:val="auto"/>
          <w:spacing w:val="3"/>
          <w:vertAlign w:val="subscript"/>
        </w:rPr>
        <w:t>gas</w:t>
      </w:r>
      <w:r w:rsidR="00242DA0" w:rsidRPr="00DE12A3">
        <w:rPr>
          <w:rFonts w:eastAsia="Times New Roman" w:cs="Times New Roman"/>
          <w:color w:val="auto"/>
          <w:spacing w:val="3"/>
        </w:rPr>
        <w:t xml:space="preserve"> [g/kWh], (7-64) </w:t>
      </w:r>
      <w:r w:rsidR="00C126AA" w:rsidRPr="00DE12A3">
        <w:rPr>
          <w:color w:val="auto"/>
        </w:rPr>
        <w:t>numaralı</w:t>
      </w:r>
      <w:r w:rsidR="00C126AA" w:rsidRPr="00DE12A3" w:rsidDel="00C126AA">
        <w:rPr>
          <w:rFonts w:eastAsia="Times New Roman" w:cs="Times New Roman"/>
          <w:color w:val="auto"/>
          <w:spacing w:val="3"/>
        </w:rPr>
        <w:t xml:space="preserve"> </w:t>
      </w:r>
      <w:r w:rsidR="00242DA0" w:rsidRPr="00DE12A3">
        <w:rPr>
          <w:rFonts w:eastAsia="Times New Roman" w:cs="Times New Roman"/>
          <w:color w:val="auto"/>
          <w:spacing w:val="3"/>
        </w:rPr>
        <w:t>denklem ile hesaplanır:</w:t>
      </w:r>
    </w:p>
    <w:p w14:paraId="7177937E" w14:textId="24150F35" w:rsidR="002D7B36" w:rsidRPr="00DE12A3" w:rsidRDefault="00242DA0" w:rsidP="00C917D6">
      <w:pPr>
        <w:pStyle w:val="Resimyazs70"/>
        <w:shd w:val="clear" w:color="auto" w:fill="auto"/>
        <w:tabs>
          <w:tab w:val="left" w:pos="278"/>
        </w:tabs>
        <w:spacing w:after="120" w:line="240" w:lineRule="auto"/>
        <w:ind w:left="1134" w:hanging="1134"/>
        <w:jc w:val="center"/>
        <w:rPr>
          <w:sz w:val="24"/>
          <w:szCs w:val="24"/>
        </w:rPr>
      </w:pPr>
      <w:r w:rsidRPr="00DE12A3">
        <w:rPr>
          <w:noProof/>
          <w:sz w:val="24"/>
          <w:szCs w:val="24"/>
          <w:lang w:eastAsia="tr-TR"/>
        </w:rPr>
        <w:drawing>
          <wp:inline distT="0" distB="0" distL="0" distR="0" wp14:anchorId="42243983" wp14:editId="2384A498">
            <wp:extent cx="3924168" cy="1154430"/>
            <wp:effectExtent l="0" t="0" r="635" b="7620"/>
            <wp:docPr id="122" name="Resim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Resim 122"/>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a:xfrm>
                      <a:off x="0" y="0"/>
                      <a:ext cx="3931077" cy="1156462"/>
                    </a:xfrm>
                    <a:prstGeom prst="rect">
                      <a:avLst/>
                    </a:prstGeom>
                    <a:noFill/>
                    <a:ln>
                      <a:noFill/>
                    </a:ln>
                  </pic:spPr>
                </pic:pic>
              </a:graphicData>
            </a:graphic>
          </wp:inline>
        </w:drawing>
      </w:r>
    </w:p>
    <w:p w14:paraId="3C45F430" w14:textId="77777777" w:rsidR="002D7B36" w:rsidRPr="00DE12A3" w:rsidRDefault="00934589" w:rsidP="00C917D6">
      <w:pPr>
        <w:pStyle w:val="Gvdemetni251"/>
        <w:shd w:val="clear" w:color="auto" w:fill="auto"/>
        <w:spacing w:before="120" w:after="120" w:line="240" w:lineRule="auto"/>
        <w:ind w:left="1134" w:firstLine="0"/>
        <w:rPr>
          <w:color w:val="auto"/>
          <w:sz w:val="24"/>
          <w:szCs w:val="24"/>
        </w:rPr>
      </w:pPr>
      <w:r w:rsidRPr="00DE12A3">
        <w:rPr>
          <w:color w:val="auto"/>
          <w:sz w:val="24"/>
          <w:szCs w:val="24"/>
        </w:rPr>
        <w:t>B</w:t>
      </w:r>
      <w:r w:rsidR="00242DA0" w:rsidRPr="00DE12A3">
        <w:rPr>
          <w:color w:val="auto"/>
          <w:sz w:val="24"/>
          <w:szCs w:val="24"/>
        </w:rPr>
        <w:t>urada:</w:t>
      </w:r>
    </w:p>
    <w:p w14:paraId="62B5B618" w14:textId="77777777" w:rsidR="002D7B36" w:rsidRPr="00DE12A3" w:rsidRDefault="00242DA0" w:rsidP="00C917D6">
      <w:pPr>
        <w:pStyle w:val="Gvdemetni251"/>
        <w:shd w:val="clear" w:color="auto" w:fill="auto"/>
        <w:tabs>
          <w:tab w:val="left" w:pos="1418"/>
        </w:tabs>
        <w:spacing w:before="120" w:after="120" w:line="240" w:lineRule="auto"/>
        <w:ind w:left="1134" w:firstLine="0"/>
        <w:rPr>
          <w:color w:val="auto"/>
          <w:sz w:val="24"/>
          <w:szCs w:val="24"/>
        </w:rPr>
      </w:pPr>
      <w:r w:rsidRPr="00DE12A3">
        <w:rPr>
          <w:rStyle w:val="Gvdemetni254pttalik0ptbolukbraklyor20"/>
          <w:color w:val="auto"/>
          <w:sz w:val="24"/>
          <w:szCs w:val="24"/>
        </w:rPr>
        <w:t>q</w:t>
      </w:r>
      <w:r w:rsidRPr="00DE12A3">
        <w:rPr>
          <w:rStyle w:val="Gvdemetni254pttalik0ptbolukbraklyor20"/>
          <w:i w:val="0"/>
          <w:color w:val="auto"/>
          <w:sz w:val="24"/>
          <w:szCs w:val="24"/>
          <w:vertAlign w:val="subscript"/>
        </w:rPr>
        <w:t>mgas,</w:t>
      </w:r>
      <w:r w:rsidRPr="00DE12A3">
        <w:rPr>
          <w:rStyle w:val="Gvdemetni254pttalik0ptbolukbraklyor20"/>
          <w:color w:val="auto"/>
          <w:sz w:val="24"/>
          <w:szCs w:val="24"/>
          <w:vertAlign w:val="subscript"/>
        </w:rPr>
        <w:t>i</w:t>
      </w:r>
      <w:r w:rsidRPr="00DE12A3">
        <w:rPr>
          <w:rStyle w:val="Gvdemetni25MalgunGothic45pttalik0ptbolukbraklyor"/>
          <w:rFonts w:ascii="Times New Roman" w:hAnsi="Times New Roman" w:cs="Times New Roman"/>
          <w:color w:val="auto"/>
          <w:sz w:val="24"/>
          <w:szCs w:val="24"/>
          <w:vertAlign w:val="subscript"/>
        </w:rPr>
        <w:tab/>
      </w:r>
      <w:r w:rsidRPr="00DE12A3">
        <w:rPr>
          <w:color w:val="auto"/>
          <w:sz w:val="24"/>
          <w:szCs w:val="24"/>
        </w:rPr>
        <w:t>=</w:t>
      </w:r>
      <w:r w:rsidRPr="00DE12A3">
        <w:rPr>
          <w:i/>
          <w:iCs/>
          <w:color w:val="auto"/>
          <w:sz w:val="24"/>
          <w:szCs w:val="24"/>
        </w:rPr>
        <w:t>i</w:t>
      </w:r>
      <w:r w:rsidRPr="00DE12A3">
        <w:rPr>
          <w:color w:val="auto"/>
          <w:sz w:val="24"/>
          <w:szCs w:val="24"/>
        </w:rPr>
        <w:t xml:space="preserve"> modu için ortalama emisyon kütle akış hızı [g/h]</w:t>
      </w:r>
    </w:p>
    <w:p w14:paraId="70179CB2" w14:textId="726A042A" w:rsidR="002D7B36" w:rsidRPr="00DE12A3" w:rsidRDefault="00242DA0" w:rsidP="00C917D6">
      <w:pPr>
        <w:pStyle w:val="Gvdemetni251"/>
        <w:shd w:val="clear" w:color="auto" w:fill="auto"/>
        <w:tabs>
          <w:tab w:val="left" w:pos="1418"/>
          <w:tab w:val="right" w:pos="3217"/>
          <w:tab w:val="left" w:pos="3254"/>
          <w:tab w:val="right" w:pos="5634"/>
        </w:tabs>
        <w:spacing w:before="120" w:after="120" w:line="240" w:lineRule="auto"/>
        <w:ind w:left="1134" w:firstLine="0"/>
        <w:rPr>
          <w:color w:val="auto"/>
          <w:sz w:val="24"/>
          <w:szCs w:val="24"/>
        </w:rPr>
      </w:pPr>
      <w:r w:rsidRPr="00DE12A3">
        <w:rPr>
          <w:rStyle w:val="Gvdemetni254pttalik0ptbolukbraklyor20"/>
          <w:color w:val="auto"/>
          <w:sz w:val="24"/>
          <w:szCs w:val="24"/>
        </w:rPr>
        <w:t>P</w:t>
      </w:r>
      <w:r w:rsidRPr="00DE12A3">
        <w:rPr>
          <w:rStyle w:val="Gvdemetni25MalgunGothic45pttalik0ptbolukbraklyor"/>
          <w:rFonts w:ascii="Times New Roman" w:hAnsi="Times New Roman" w:cs="Times New Roman"/>
          <w:color w:val="auto"/>
          <w:sz w:val="24"/>
          <w:szCs w:val="24"/>
          <w:vertAlign w:val="subscript"/>
        </w:rPr>
        <w:t>i</w:t>
      </w:r>
      <w:r w:rsidRPr="00DE12A3">
        <w:rPr>
          <w:rStyle w:val="Gvdemetni255pt0ptbolukbraklyor2"/>
          <w:color w:val="auto"/>
          <w:sz w:val="24"/>
          <w:szCs w:val="24"/>
        </w:rPr>
        <w:tab/>
      </w:r>
      <w:r w:rsidRPr="00DE12A3">
        <w:rPr>
          <w:color w:val="auto"/>
          <w:sz w:val="24"/>
          <w:szCs w:val="24"/>
        </w:rPr>
        <w:t>=</w:t>
      </w:r>
      <w:r w:rsidRPr="00DE12A3">
        <w:rPr>
          <w:color w:val="auto"/>
          <w:sz w:val="24"/>
          <w:szCs w:val="24"/>
        </w:rPr>
        <w:tab/>
        <w:t xml:space="preserve">i modu için motor gücü [kW]; ölçülen güç Pmeas'a [kW], </w:t>
      </w:r>
      <w:r w:rsidR="00FA0678" w:rsidRPr="00DE12A3">
        <w:rPr>
          <w:color w:val="auto"/>
          <w:sz w:val="24"/>
          <w:szCs w:val="24"/>
        </w:rPr>
        <w:t xml:space="preserve">VI’ncı </w:t>
      </w:r>
      <w:r w:rsidR="004955A8" w:rsidRPr="00DE12A3">
        <w:rPr>
          <w:color w:val="auto"/>
          <w:sz w:val="24"/>
          <w:szCs w:val="24"/>
        </w:rPr>
        <w:t>E</w:t>
      </w:r>
      <w:r w:rsidR="00FA0678" w:rsidRPr="00DE12A3">
        <w:rPr>
          <w:color w:val="auto"/>
          <w:sz w:val="24"/>
          <w:szCs w:val="24"/>
        </w:rPr>
        <w:t>k</w:t>
      </w:r>
      <w:r w:rsidRPr="00DE12A3">
        <w:rPr>
          <w:color w:val="auto"/>
          <w:sz w:val="24"/>
          <w:szCs w:val="24"/>
        </w:rPr>
        <w:t xml:space="preserve">teki (6-8) </w:t>
      </w:r>
      <w:r w:rsidR="00C126AA" w:rsidRPr="00DE12A3">
        <w:rPr>
          <w:color w:val="auto"/>
          <w:sz w:val="24"/>
          <w:szCs w:val="24"/>
        </w:rPr>
        <w:t>numaralı</w:t>
      </w:r>
      <w:r w:rsidRPr="00DE12A3">
        <w:rPr>
          <w:color w:val="auto"/>
          <w:sz w:val="24"/>
          <w:szCs w:val="24"/>
        </w:rPr>
        <w:t xml:space="preserve"> denklem uyarınca belirlenen, yardımcı cihazları tahrik etmek için gereken güç P</w:t>
      </w:r>
      <w:r w:rsidRPr="00DE12A3">
        <w:rPr>
          <w:color w:val="auto"/>
          <w:sz w:val="24"/>
          <w:szCs w:val="24"/>
          <w:vertAlign w:val="subscript"/>
        </w:rPr>
        <w:t>AUX</w:t>
      </w:r>
      <w:r w:rsidRPr="00DE12A3">
        <w:rPr>
          <w:color w:val="auto"/>
          <w:sz w:val="24"/>
          <w:szCs w:val="24"/>
        </w:rPr>
        <w:t>'un [kW] eklenmesi ile hesaplanır (P</w:t>
      </w:r>
      <w:r w:rsidRPr="00DE12A3">
        <w:rPr>
          <w:color w:val="auto"/>
          <w:sz w:val="24"/>
          <w:szCs w:val="24"/>
          <w:vertAlign w:val="subscript"/>
        </w:rPr>
        <w:t>i</w:t>
      </w:r>
      <w:r w:rsidRPr="00DE12A3">
        <w:rPr>
          <w:color w:val="auto"/>
          <w:sz w:val="24"/>
          <w:szCs w:val="24"/>
        </w:rPr>
        <w:t xml:space="preserve"> = P</w:t>
      </w:r>
      <w:r w:rsidRPr="00DE12A3">
        <w:rPr>
          <w:color w:val="auto"/>
          <w:sz w:val="24"/>
          <w:szCs w:val="24"/>
          <w:vertAlign w:val="subscript"/>
        </w:rPr>
        <w:t>meas</w:t>
      </w:r>
      <w:r w:rsidRPr="00DE12A3">
        <w:rPr>
          <w:color w:val="auto"/>
          <w:sz w:val="24"/>
          <w:szCs w:val="24"/>
        </w:rPr>
        <w:t xml:space="preserve"> + P</w:t>
      </w:r>
      <w:r w:rsidRPr="00DE12A3">
        <w:rPr>
          <w:color w:val="auto"/>
          <w:sz w:val="24"/>
          <w:szCs w:val="24"/>
          <w:vertAlign w:val="subscript"/>
        </w:rPr>
        <w:t>AUX</w:t>
      </w:r>
      <w:r w:rsidRPr="00DE12A3">
        <w:rPr>
          <w:color w:val="auto"/>
          <w:sz w:val="24"/>
          <w:szCs w:val="24"/>
        </w:rPr>
        <w:t>)</w:t>
      </w:r>
      <w:r w:rsidR="004955A8" w:rsidRPr="00DE12A3">
        <w:rPr>
          <w:color w:val="auto"/>
          <w:sz w:val="24"/>
          <w:szCs w:val="24"/>
        </w:rPr>
        <w:t>.</w:t>
      </w:r>
    </w:p>
    <w:p w14:paraId="54E33AAB" w14:textId="77777777" w:rsidR="002D7B36" w:rsidRPr="00DE12A3" w:rsidRDefault="00242DA0" w:rsidP="00C917D6">
      <w:pPr>
        <w:pStyle w:val="Gvdemetni251"/>
        <w:shd w:val="clear" w:color="auto" w:fill="auto"/>
        <w:tabs>
          <w:tab w:val="left" w:pos="1418"/>
        </w:tabs>
        <w:spacing w:before="120" w:after="120" w:line="240" w:lineRule="auto"/>
        <w:ind w:left="1134" w:firstLine="0"/>
        <w:rPr>
          <w:color w:val="auto"/>
          <w:sz w:val="24"/>
          <w:szCs w:val="24"/>
        </w:rPr>
      </w:pPr>
      <w:r w:rsidRPr="00DE12A3">
        <w:rPr>
          <w:rStyle w:val="Gvdemetni254pttalik0ptbolukbraklyor20"/>
          <w:color w:val="auto"/>
          <w:sz w:val="24"/>
          <w:szCs w:val="24"/>
        </w:rPr>
        <w:t>WF</w:t>
      </w:r>
      <w:r w:rsidRPr="00DE12A3">
        <w:rPr>
          <w:rStyle w:val="Gvdemetni25MalgunGothic45pttalik0ptbolukbraklyor"/>
          <w:rFonts w:ascii="Times New Roman" w:hAnsi="Times New Roman" w:cs="Times New Roman"/>
          <w:color w:val="auto"/>
          <w:sz w:val="24"/>
          <w:szCs w:val="24"/>
          <w:vertAlign w:val="subscript"/>
        </w:rPr>
        <w:t>i</w:t>
      </w:r>
      <w:r w:rsidRPr="00DE12A3">
        <w:rPr>
          <w:rStyle w:val="Gvdemetni255pt0ptbolukbraklyor2"/>
          <w:color w:val="auto"/>
          <w:sz w:val="24"/>
          <w:szCs w:val="24"/>
        </w:rPr>
        <w:tab/>
      </w:r>
      <w:r w:rsidRPr="00DE12A3">
        <w:rPr>
          <w:color w:val="auto"/>
          <w:sz w:val="24"/>
          <w:szCs w:val="24"/>
        </w:rPr>
        <w:t>=</w:t>
      </w:r>
      <w:r w:rsidRPr="00DE12A3">
        <w:rPr>
          <w:i/>
          <w:color w:val="auto"/>
          <w:sz w:val="24"/>
          <w:szCs w:val="24"/>
        </w:rPr>
        <w:t>i</w:t>
      </w:r>
      <w:r w:rsidRPr="00DE12A3">
        <w:rPr>
          <w:color w:val="auto"/>
          <w:sz w:val="24"/>
          <w:szCs w:val="24"/>
        </w:rPr>
        <w:t xml:space="preserve"> modu için ağırlık faktörü [-]</w:t>
      </w:r>
    </w:p>
    <w:p w14:paraId="2C4EA271" w14:textId="77777777" w:rsidR="002D7B36" w:rsidRPr="00DE12A3" w:rsidRDefault="00242DA0" w:rsidP="00C917D6">
      <w:pPr>
        <w:pStyle w:val="Gvdemetni251"/>
        <w:shd w:val="clear" w:color="auto" w:fill="auto"/>
        <w:tabs>
          <w:tab w:val="left" w:pos="1418"/>
        </w:tabs>
        <w:spacing w:before="120" w:after="120" w:line="240" w:lineRule="auto"/>
        <w:ind w:left="1134" w:firstLine="0"/>
        <w:rPr>
          <w:color w:val="auto"/>
          <w:sz w:val="24"/>
          <w:szCs w:val="24"/>
        </w:rPr>
      </w:pPr>
      <w:r w:rsidRPr="00DE12A3">
        <w:rPr>
          <w:rStyle w:val="Gvdemetni254pttalik0ptbolukbraklyor20"/>
          <w:color w:val="auto"/>
          <w:sz w:val="24"/>
          <w:szCs w:val="24"/>
        </w:rPr>
        <w:t>N</w:t>
      </w:r>
      <w:r w:rsidRPr="00DE12A3">
        <w:rPr>
          <w:rStyle w:val="Gvdemetni25MalgunGothic45pttalik0ptbolukbraklyor"/>
          <w:rFonts w:ascii="Times New Roman" w:hAnsi="Times New Roman" w:cs="Times New Roman"/>
          <w:color w:val="auto"/>
          <w:sz w:val="24"/>
          <w:szCs w:val="24"/>
          <w:vertAlign w:val="subscript"/>
        </w:rPr>
        <w:t>mode</w:t>
      </w:r>
      <w:r w:rsidRPr="00DE12A3">
        <w:rPr>
          <w:rStyle w:val="Gvdemetni255pt0ptbolukbraklyor2"/>
          <w:color w:val="auto"/>
          <w:sz w:val="24"/>
          <w:szCs w:val="24"/>
        </w:rPr>
        <w:tab/>
      </w:r>
      <w:r w:rsidRPr="00DE12A3">
        <w:rPr>
          <w:color w:val="auto"/>
          <w:sz w:val="24"/>
          <w:szCs w:val="24"/>
        </w:rPr>
        <w:t>=geçerli ayrık modlu NRSC içindeki mod sayısı</w:t>
      </w:r>
    </w:p>
    <w:p w14:paraId="5FBA873D" w14:textId="77777777" w:rsidR="002D7B36" w:rsidRPr="00DE12A3" w:rsidRDefault="00934589" w:rsidP="00E20716">
      <w:pPr>
        <w:widowControl/>
        <w:numPr>
          <w:ilvl w:val="0"/>
          <w:numId w:val="414"/>
        </w:numPr>
        <w:spacing w:before="120" w:after="120"/>
        <w:ind w:left="1134" w:rightChars="80" w:right="192" w:hanging="1134"/>
        <w:jc w:val="both"/>
        <w:rPr>
          <w:rFonts w:cs="Times New Roman"/>
          <w:color w:val="auto"/>
          <w:lang w:eastAsia="en-US"/>
        </w:rPr>
      </w:pPr>
      <w:r w:rsidRPr="00DE12A3">
        <w:rPr>
          <w:rFonts w:cs="Times New Roman"/>
          <w:color w:val="auto"/>
          <w:lang w:eastAsia="en-US"/>
        </w:rPr>
        <w:t xml:space="preserve">       </w:t>
      </w:r>
      <w:r w:rsidR="007E2039" w:rsidRPr="00DE12A3">
        <w:rPr>
          <w:rFonts w:cs="Times New Roman"/>
          <w:color w:val="auto"/>
          <w:lang w:eastAsia="en-US"/>
        </w:rPr>
        <w:t xml:space="preserve">Partikül </w:t>
      </w:r>
      <w:r w:rsidR="00242DA0" w:rsidRPr="00DE12A3">
        <w:rPr>
          <w:rFonts w:cs="Times New Roman"/>
          <w:color w:val="auto"/>
          <w:lang w:eastAsia="en-US"/>
        </w:rPr>
        <w:t>emisyonları</w:t>
      </w:r>
    </w:p>
    <w:p w14:paraId="11E32639" w14:textId="77777777" w:rsidR="002D7B36" w:rsidRPr="00DE12A3" w:rsidRDefault="00934589" w:rsidP="00E20716">
      <w:pPr>
        <w:widowControl/>
        <w:numPr>
          <w:ilvl w:val="0"/>
          <w:numId w:val="415"/>
        </w:numPr>
        <w:tabs>
          <w:tab w:val="left" w:pos="768"/>
        </w:tabs>
        <w:spacing w:before="120" w:after="120"/>
        <w:ind w:left="1134" w:rightChars="80" w:right="192" w:hanging="1134"/>
        <w:jc w:val="both"/>
        <w:rPr>
          <w:rFonts w:cs="Times New Roman"/>
          <w:color w:val="auto"/>
          <w:lang w:eastAsia="en-US"/>
        </w:rPr>
      </w:pPr>
      <w:r w:rsidRPr="00DE12A3">
        <w:rPr>
          <w:rFonts w:cs="Times New Roman"/>
          <w:color w:val="auto"/>
          <w:lang w:eastAsia="en-US"/>
        </w:rPr>
        <w:t xml:space="preserve">      </w:t>
      </w:r>
      <w:r w:rsidR="00951351" w:rsidRPr="00DE12A3">
        <w:rPr>
          <w:rFonts w:cs="Times New Roman"/>
          <w:color w:val="auto"/>
          <w:lang w:eastAsia="en-US"/>
        </w:rPr>
        <w:t xml:space="preserve">  </w:t>
      </w:r>
      <w:r w:rsidR="004D1FEF" w:rsidRPr="00DE12A3">
        <w:rPr>
          <w:rFonts w:cs="Times New Roman"/>
          <w:color w:val="auto"/>
          <w:lang w:eastAsia="en-US"/>
        </w:rPr>
        <w:t>Süreksiz</w:t>
      </w:r>
      <w:r w:rsidR="00951351" w:rsidRPr="00DE12A3">
        <w:rPr>
          <w:rFonts w:cs="Times New Roman"/>
          <w:color w:val="auto"/>
          <w:lang w:eastAsia="en-US"/>
        </w:rPr>
        <w:t xml:space="preserve"> </w:t>
      </w:r>
      <w:r w:rsidR="00242DA0" w:rsidRPr="00DE12A3">
        <w:rPr>
          <w:rFonts w:cs="Times New Roman"/>
          <w:color w:val="auto"/>
          <w:lang w:eastAsia="en-US"/>
        </w:rPr>
        <w:t xml:space="preserve">(NRTC ve LSI-NRTC) test </w:t>
      </w:r>
      <w:r w:rsidR="00F310B5" w:rsidRPr="00DE12A3">
        <w:rPr>
          <w:rFonts w:cs="Times New Roman"/>
          <w:color w:val="auto"/>
          <w:lang w:eastAsia="en-US"/>
        </w:rPr>
        <w:t>çevrim</w:t>
      </w:r>
      <w:r w:rsidR="00242DA0" w:rsidRPr="00DE12A3">
        <w:rPr>
          <w:rFonts w:cs="Times New Roman"/>
          <w:color w:val="auto"/>
          <w:lang w:eastAsia="en-US"/>
        </w:rPr>
        <w:t>leri ve RMC</w:t>
      </w:r>
    </w:p>
    <w:p w14:paraId="3500EF3C" w14:textId="77777777" w:rsidR="002D7B36" w:rsidRPr="00DE12A3" w:rsidRDefault="00934589" w:rsidP="00C917D6">
      <w:pPr>
        <w:widowControl/>
        <w:tabs>
          <w:tab w:val="left" w:pos="8789"/>
        </w:tabs>
        <w:spacing w:before="120" w:after="120"/>
        <w:ind w:left="1134" w:hanging="1134"/>
        <w:jc w:val="both"/>
        <w:rPr>
          <w:rFonts w:cs="Times New Roman"/>
          <w:color w:val="auto"/>
          <w:lang w:eastAsia="en-US"/>
        </w:rPr>
      </w:pPr>
      <w:r w:rsidRPr="00DE12A3">
        <w:rPr>
          <w:rFonts w:cs="Times New Roman"/>
          <w:color w:val="auto"/>
          <w:lang w:eastAsia="en-US"/>
        </w:rPr>
        <w:t xml:space="preserve">                   </w:t>
      </w:r>
      <w:r w:rsidR="007E2039" w:rsidRPr="00DE12A3">
        <w:rPr>
          <w:rFonts w:cs="Times New Roman"/>
          <w:color w:val="auto"/>
          <w:lang w:eastAsia="en-US"/>
        </w:rPr>
        <w:t xml:space="preserve">Partikül </w:t>
      </w:r>
      <w:r w:rsidR="00242DA0" w:rsidRPr="00DE12A3">
        <w:rPr>
          <w:rFonts w:cs="Times New Roman"/>
          <w:color w:val="auto"/>
          <w:lang w:eastAsia="en-US"/>
        </w:rPr>
        <w:t xml:space="preserve">spesifik emisyonları, sırasıyla </w:t>
      </w:r>
      <w:r w:rsidR="00242DA0" w:rsidRPr="00DE12A3">
        <w:rPr>
          <w:rFonts w:cs="Times New Roman"/>
          <w:i/>
          <w:iCs/>
          <w:color w:val="auto"/>
          <w:lang w:eastAsia="en-US"/>
        </w:rPr>
        <w:t>e</w:t>
      </w:r>
      <w:r w:rsidR="00242DA0" w:rsidRPr="00DE12A3">
        <w:rPr>
          <w:rFonts w:cs="Times New Roman"/>
          <w:color w:val="auto"/>
          <w:vertAlign w:val="subscript"/>
          <w:lang w:eastAsia="en-US"/>
        </w:rPr>
        <w:t>gas</w:t>
      </w:r>
      <w:r w:rsidR="00242DA0" w:rsidRPr="00DE12A3">
        <w:rPr>
          <w:rFonts w:cs="Times New Roman"/>
          <w:color w:val="auto"/>
          <w:lang w:eastAsia="en-US"/>
        </w:rPr>
        <w:t xml:space="preserve"> [g/kWh] ve </w:t>
      </w:r>
      <w:r w:rsidR="00242DA0" w:rsidRPr="00DE12A3">
        <w:rPr>
          <w:rFonts w:cs="Times New Roman"/>
          <w:i/>
          <w:iCs/>
          <w:color w:val="auto"/>
          <w:lang w:eastAsia="en-US"/>
        </w:rPr>
        <w:t>m</w:t>
      </w:r>
      <w:r w:rsidR="00242DA0" w:rsidRPr="00DE12A3">
        <w:rPr>
          <w:rFonts w:cs="Times New Roman"/>
          <w:color w:val="auto"/>
          <w:vertAlign w:val="subscript"/>
          <w:lang w:eastAsia="en-US"/>
        </w:rPr>
        <w:t>gas</w:t>
      </w:r>
      <w:r w:rsidR="00242DA0" w:rsidRPr="00DE12A3">
        <w:rPr>
          <w:rFonts w:cs="Times New Roman"/>
          <w:color w:val="auto"/>
          <w:lang w:eastAsia="en-US"/>
        </w:rPr>
        <w:t xml:space="preserve"> [g/test] yerine, </w:t>
      </w:r>
      <w:r w:rsidR="00242DA0" w:rsidRPr="00DE12A3">
        <w:rPr>
          <w:rFonts w:cs="Times New Roman"/>
          <w:i/>
          <w:iCs/>
          <w:color w:val="auto"/>
          <w:lang w:eastAsia="en-US"/>
        </w:rPr>
        <w:t>e</w:t>
      </w:r>
      <w:r w:rsidR="00242DA0" w:rsidRPr="00DE12A3">
        <w:rPr>
          <w:rFonts w:cs="Times New Roman"/>
          <w:color w:val="auto"/>
          <w:vertAlign w:val="subscript"/>
          <w:lang w:eastAsia="en-US"/>
        </w:rPr>
        <w:t>PM</w:t>
      </w:r>
      <w:r w:rsidR="00242DA0" w:rsidRPr="00DE12A3">
        <w:rPr>
          <w:rFonts w:cs="Times New Roman"/>
          <w:color w:val="auto"/>
          <w:lang w:eastAsia="en-US"/>
        </w:rPr>
        <w:t xml:space="preserve"> [g/kWh] ve </w:t>
      </w:r>
      <w:r w:rsidR="00242DA0" w:rsidRPr="00DE12A3">
        <w:rPr>
          <w:rFonts w:cs="Times New Roman"/>
          <w:i/>
          <w:iCs/>
          <w:color w:val="auto"/>
          <w:lang w:eastAsia="en-US"/>
        </w:rPr>
        <w:t>m</w:t>
      </w:r>
      <w:r w:rsidR="00242DA0" w:rsidRPr="00DE12A3">
        <w:rPr>
          <w:rFonts w:cs="Times New Roman"/>
          <w:color w:val="auto"/>
          <w:vertAlign w:val="subscript"/>
          <w:lang w:eastAsia="en-US"/>
        </w:rPr>
        <w:t>PM</w:t>
      </w:r>
      <w:r w:rsidR="00242DA0" w:rsidRPr="00DE12A3">
        <w:rPr>
          <w:rFonts w:cs="Times New Roman"/>
          <w:color w:val="auto"/>
          <w:lang w:eastAsia="en-US"/>
        </w:rPr>
        <w:t xml:space="preserve"> [g/test] koyularak (7-61).</w:t>
      </w:r>
    </w:p>
    <w:p w14:paraId="7FE697AD" w14:textId="77777777" w:rsidR="002D7B36" w:rsidRPr="00DE12A3" w:rsidRDefault="002D7B36" w:rsidP="00C917D6">
      <w:pPr>
        <w:widowControl/>
        <w:tabs>
          <w:tab w:val="left" w:pos="8789"/>
        </w:tabs>
        <w:spacing w:before="120" w:after="120"/>
        <w:ind w:left="1134" w:hanging="1134"/>
        <w:jc w:val="both"/>
        <w:rPr>
          <w:rFonts w:cs="Times New Roman"/>
          <w:color w:val="auto"/>
          <w:lang w:eastAsia="en-US"/>
        </w:rPr>
      </w:pPr>
    </w:p>
    <w:p w14:paraId="4C55C19B" w14:textId="5F401B63" w:rsidR="002D7B36" w:rsidRPr="00DE12A3" w:rsidRDefault="00242DA0" w:rsidP="00C917D6">
      <w:pPr>
        <w:widowControl/>
        <w:tabs>
          <w:tab w:val="left" w:pos="8789"/>
        </w:tabs>
        <w:spacing w:before="120" w:after="120"/>
        <w:ind w:left="1134" w:hanging="1134"/>
        <w:jc w:val="center"/>
        <w:rPr>
          <w:rFonts w:cs="Times New Roman"/>
          <w:color w:val="auto"/>
          <w:lang w:eastAsia="en-US"/>
        </w:rPr>
      </w:pPr>
      <w:r w:rsidRPr="00DE12A3">
        <w:rPr>
          <w:rFonts w:cs="Times New Roman"/>
          <w:noProof/>
          <w:color w:val="auto"/>
        </w:rPr>
        <w:lastRenderedPageBreak/>
        <w:drawing>
          <wp:inline distT="0" distB="0" distL="0" distR="0" wp14:anchorId="7C5E35DF" wp14:editId="32AB121B">
            <wp:extent cx="4105197" cy="591820"/>
            <wp:effectExtent l="0" t="0" r="0" b="0"/>
            <wp:docPr id="123" name="Resim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Resim 123"/>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a:xfrm>
                      <a:off x="0" y="0"/>
                      <a:ext cx="4115145" cy="593254"/>
                    </a:xfrm>
                    <a:prstGeom prst="rect">
                      <a:avLst/>
                    </a:prstGeom>
                    <a:noFill/>
                    <a:ln>
                      <a:noFill/>
                    </a:ln>
                  </pic:spPr>
                </pic:pic>
              </a:graphicData>
            </a:graphic>
          </wp:inline>
        </w:drawing>
      </w:r>
    </w:p>
    <w:p w14:paraId="10F13798" w14:textId="77777777" w:rsidR="002D7B36" w:rsidRPr="00DE12A3" w:rsidRDefault="00934589" w:rsidP="00C917D6">
      <w:pPr>
        <w:pStyle w:val="Gvdemetni251"/>
        <w:shd w:val="clear" w:color="auto" w:fill="auto"/>
        <w:spacing w:before="120" w:after="120" w:line="240" w:lineRule="auto"/>
        <w:ind w:left="1134" w:firstLine="0"/>
        <w:rPr>
          <w:color w:val="auto"/>
          <w:sz w:val="24"/>
          <w:szCs w:val="24"/>
        </w:rPr>
      </w:pPr>
      <w:r w:rsidRPr="00DE12A3">
        <w:rPr>
          <w:color w:val="auto"/>
          <w:sz w:val="24"/>
          <w:szCs w:val="24"/>
        </w:rPr>
        <w:t>B</w:t>
      </w:r>
      <w:r w:rsidR="00242DA0" w:rsidRPr="00DE12A3">
        <w:rPr>
          <w:color w:val="auto"/>
          <w:sz w:val="24"/>
          <w:szCs w:val="24"/>
        </w:rPr>
        <w:t>urada:</w:t>
      </w:r>
    </w:p>
    <w:p w14:paraId="10EE855C" w14:textId="77777777" w:rsidR="002D7B36" w:rsidRPr="00DE12A3" w:rsidRDefault="00242DA0" w:rsidP="00C917D6">
      <w:pPr>
        <w:pStyle w:val="Gvdemetni251"/>
        <w:shd w:val="clear" w:color="auto" w:fill="auto"/>
        <w:spacing w:before="120" w:after="120" w:line="240" w:lineRule="auto"/>
        <w:ind w:left="1134" w:firstLine="0"/>
        <w:rPr>
          <w:color w:val="auto"/>
          <w:sz w:val="24"/>
          <w:szCs w:val="24"/>
        </w:rPr>
      </w:pPr>
      <w:r w:rsidRPr="00DE12A3">
        <w:rPr>
          <w:rStyle w:val="Gvdemetni254pttalik0ptbolukbraklyor20"/>
          <w:color w:val="auto"/>
          <w:sz w:val="24"/>
          <w:szCs w:val="24"/>
        </w:rPr>
        <w:t>m</w:t>
      </w:r>
      <w:r w:rsidRPr="00DE12A3">
        <w:rPr>
          <w:rStyle w:val="Gvdemetni254pttalik0ptbolukbraklyor20"/>
          <w:i w:val="0"/>
          <w:color w:val="auto"/>
          <w:sz w:val="24"/>
          <w:szCs w:val="24"/>
          <w:vertAlign w:val="subscript"/>
        </w:rPr>
        <w:t>PM</w:t>
      </w:r>
      <w:r w:rsidRPr="00DE12A3">
        <w:rPr>
          <w:color w:val="auto"/>
          <w:sz w:val="24"/>
          <w:szCs w:val="24"/>
        </w:rPr>
        <w:t xml:space="preserve"> = 2.3.1.1 veya 2.3.1.2 bendi uyarınca hesaplanan toplam </w:t>
      </w:r>
      <w:r w:rsidR="007E2039" w:rsidRPr="00DE12A3">
        <w:rPr>
          <w:color w:val="auto"/>
          <w:sz w:val="24"/>
          <w:szCs w:val="24"/>
        </w:rPr>
        <w:t xml:space="preserve">partikül </w:t>
      </w:r>
      <w:r w:rsidRPr="00DE12A3">
        <w:rPr>
          <w:color w:val="auto"/>
          <w:sz w:val="24"/>
          <w:szCs w:val="24"/>
        </w:rPr>
        <w:t>emisyonu kütlesi [g/test]</w:t>
      </w:r>
    </w:p>
    <w:p w14:paraId="297EC44F" w14:textId="77777777" w:rsidR="002D7B36" w:rsidRPr="00DE12A3" w:rsidRDefault="00242DA0" w:rsidP="00C917D6">
      <w:pPr>
        <w:pStyle w:val="Gvdemetni251"/>
        <w:shd w:val="clear" w:color="auto" w:fill="auto"/>
        <w:spacing w:before="120" w:after="120" w:line="240" w:lineRule="auto"/>
        <w:ind w:left="1134" w:firstLine="0"/>
        <w:rPr>
          <w:color w:val="auto"/>
          <w:sz w:val="24"/>
          <w:szCs w:val="24"/>
        </w:rPr>
      </w:pPr>
      <w:r w:rsidRPr="00DE12A3">
        <w:rPr>
          <w:i/>
          <w:color w:val="auto"/>
          <w:sz w:val="24"/>
          <w:szCs w:val="24"/>
        </w:rPr>
        <w:t>W</w:t>
      </w:r>
      <w:r w:rsidRPr="00DE12A3">
        <w:rPr>
          <w:color w:val="auto"/>
          <w:sz w:val="24"/>
          <w:szCs w:val="24"/>
          <w:vertAlign w:val="subscript"/>
        </w:rPr>
        <w:t>act</w:t>
      </w:r>
      <w:r w:rsidRPr="00DE12A3">
        <w:rPr>
          <w:color w:val="auto"/>
          <w:sz w:val="24"/>
          <w:szCs w:val="24"/>
        </w:rPr>
        <w:t xml:space="preserve"> = </w:t>
      </w:r>
      <w:r w:rsidR="00F310B5" w:rsidRPr="00DE12A3">
        <w:rPr>
          <w:color w:val="auto"/>
          <w:sz w:val="24"/>
          <w:szCs w:val="24"/>
        </w:rPr>
        <w:t>çevrim</w:t>
      </w:r>
      <w:r w:rsidRPr="00DE12A3">
        <w:rPr>
          <w:color w:val="auto"/>
          <w:sz w:val="24"/>
          <w:szCs w:val="24"/>
        </w:rPr>
        <w:t xml:space="preserve"> çalışması [kWh]</w:t>
      </w:r>
    </w:p>
    <w:p w14:paraId="7F3DD2C7" w14:textId="77777777" w:rsidR="002D7B36" w:rsidRPr="00DE12A3" w:rsidRDefault="00951351" w:rsidP="00C917D6">
      <w:pPr>
        <w:pStyle w:val="Resimyazs70"/>
        <w:shd w:val="clear" w:color="auto" w:fill="auto"/>
        <w:spacing w:after="120" w:line="240" w:lineRule="auto"/>
        <w:ind w:left="1134"/>
        <w:rPr>
          <w:sz w:val="24"/>
          <w:szCs w:val="24"/>
        </w:rPr>
      </w:pPr>
      <w:r w:rsidRPr="00DE12A3">
        <w:rPr>
          <w:spacing w:val="3"/>
          <w:sz w:val="24"/>
          <w:szCs w:val="24"/>
        </w:rPr>
        <w:t xml:space="preserve">  </w:t>
      </w:r>
      <w:r w:rsidR="004D1FEF" w:rsidRPr="00DE12A3">
        <w:rPr>
          <w:spacing w:val="3"/>
          <w:sz w:val="24"/>
          <w:szCs w:val="24"/>
        </w:rPr>
        <w:t>Süreksiz</w:t>
      </w:r>
      <w:r w:rsidRPr="00DE12A3">
        <w:rPr>
          <w:spacing w:val="3"/>
          <w:sz w:val="24"/>
          <w:szCs w:val="24"/>
        </w:rPr>
        <w:t xml:space="preserve"> </w:t>
      </w:r>
      <w:r w:rsidR="00242DA0" w:rsidRPr="00DE12A3">
        <w:rPr>
          <w:spacing w:val="3"/>
          <w:sz w:val="24"/>
          <w:szCs w:val="24"/>
        </w:rPr>
        <w:t xml:space="preserve">bileşik </w:t>
      </w:r>
      <w:r w:rsidR="00F310B5" w:rsidRPr="00DE12A3">
        <w:rPr>
          <w:spacing w:val="3"/>
          <w:sz w:val="24"/>
          <w:szCs w:val="24"/>
        </w:rPr>
        <w:t>çevrim</w:t>
      </w:r>
      <w:r w:rsidR="00242DA0" w:rsidRPr="00DE12A3">
        <w:rPr>
          <w:spacing w:val="3"/>
          <w:sz w:val="24"/>
          <w:szCs w:val="24"/>
        </w:rPr>
        <w:t xml:space="preserve"> (yani, soğuk çalıştırmalı NRTC ve ön ısıtmalı NRTC) üzerindeki emisyonlar, 2.4.1.1 bendinde gösterildiği şekilde hesaplanmalıdır</w:t>
      </w:r>
      <w:r w:rsidR="00242DA0" w:rsidRPr="00DE12A3">
        <w:rPr>
          <w:rStyle w:val="Resimyazs77pt0ptbolukbraklyor"/>
          <w:color w:val="auto"/>
          <w:sz w:val="24"/>
          <w:szCs w:val="24"/>
        </w:rPr>
        <w:t>.</w:t>
      </w:r>
    </w:p>
    <w:p w14:paraId="01CC1276" w14:textId="77777777" w:rsidR="002D7B36" w:rsidRPr="00DE12A3" w:rsidRDefault="00242DA0" w:rsidP="00E20716">
      <w:pPr>
        <w:pStyle w:val="Resimyazs70"/>
        <w:numPr>
          <w:ilvl w:val="0"/>
          <w:numId w:val="415"/>
        </w:numPr>
        <w:shd w:val="clear" w:color="auto" w:fill="auto"/>
        <w:spacing w:after="120" w:line="240" w:lineRule="auto"/>
        <w:ind w:left="1134" w:hanging="1134"/>
        <w:rPr>
          <w:sz w:val="24"/>
          <w:szCs w:val="24"/>
        </w:rPr>
      </w:pPr>
      <w:r w:rsidRPr="00DE12A3">
        <w:rPr>
          <w:spacing w:val="3"/>
          <w:sz w:val="24"/>
          <w:szCs w:val="24"/>
        </w:rPr>
        <w:t xml:space="preserve">Ayrık modlu </w:t>
      </w:r>
      <w:r w:rsidRPr="00DE12A3">
        <w:rPr>
          <w:rStyle w:val="Resimyazs77pt0ptbolukbraklyor"/>
          <w:color w:val="auto"/>
          <w:sz w:val="24"/>
          <w:szCs w:val="24"/>
        </w:rPr>
        <w:t>NRSC</w:t>
      </w:r>
    </w:p>
    <w:p w14:paraId="0CECD737" w14:textId="682EA1DC" w:rsidR="00934589" w:rsidRPr="00DE12A3" w:rsidRDefault="00934589" w:rsidP="00C917D6">
      <w:pPr>
        <w:pStyle w:val="Resimyazs70"/>
        <w:shd w:val="clear" w:color="auto" w:fill="auto"/>
        <w:spacing w:after="120" w:line="240" w:lineRule="auto"/>
        <w:ind w:left="1134" w:hanging="1134"/>
        <w:rPr>
          <w:rStyle w:val="Resimyazs77pt0ptbolukbraklyor"/>
          <w:color w:val="auto"/>
          <w:sz w:val="24"/>
          <w:szCs w:val="24"/>
        </w:rPr>
      </w:pPr>
      <w:r w:rsidRPr="00DE12A3">
        <w:rPr>
          <w:rStyle w:val="Resimyazs77pt0ptbolukbraklyor"/>
          <w:color w:val="auto"/>
          <w:sz w:val="24"/>
          <w:szCs w:val="24"/>
        </w:rPr>
        <w:t xml:space="preserve">                  </w:t>
      </w:r>
      <w:r w:rsidR="007E2039" w:rsidRPr="00DE12A3">
        <w:rPr>
          <w:rStyle w:val="Resimyazs77pt0ptbolukbraklyor"/>
          <w:color w:val="auto"/>
          <w:sz w:val="24"/>
          <w:szCs w:val="24"/>
        </w:rPr>
        <w:t xml:space="preserve">Partikül </w:t>
      </w:r>
      <w:r w:rsidRPr="00DE12A3">
        <w:rPr>
          <w:rStyle w:val="Resimyazs77pt0ptbolukbraklyor"/>
          <w:color w:val="auto"/>
          <w:sz w:val="24"/>
          <w:szCs w:val="24"/>
        </w:rPr>
        <w:t>spesifik emisyonu, sırasıyla e</w:t>
      </w:r>
      <w:r w:rsidRPr="00DE12A3">
        <w:rPr>
          <w:rStyle w:val="Resimyazs77pt0ptbolukbraklyor"/>
          <w:color w:val="auto"/>
          <w:sz w:val="24"/>
          <w:szCs w:val="24"/>
          <w:vertAlign w:val="subscript"/>
        </w:rPr>
        <w:t>PM</w:t>
      </w:r>
      <w:r w:rsidRPr="00DE12A3">
        <w:rPr>
          <w:rStyle w:val="Resimyazs77pt0ptbolukbraklyor"/>
          <w:color w:val="auto"/>
          <w:sz w:val="24"/>
          <w:szCs w:val="24"/>
        </w:rPr>
        <w:t xml:space="preserve"> [g/</w:t>
      </w:r>
      <w:r w:rsidR="00EA64C0" w:rsidRPr="00DE12A3">
        <w:rPr>
          <w:rStyle w:val="Resimyazs77pt0ptbolukbraklyor"/>
          <w:color w:val="auto"/>
          <w:sz w:val="24"/>
          <w:szCs w:val="24"/>
        </w:rPr>
        <w:t>kWh] (</w:t>
      </w:r>
      <w:r w:rsidRPr="00DE12A3">
        <w:rPr>
          <w:rStyle w:val="Resimyazs77pt0ptbolukbraklyor"/>
          <w:color w:val="auto"/>
          <w:sz w:val="24"/>
          <w:szCs w:val="24"/>
        </w:rPr>
        <w:t>7-66)</w:t>
      </w:r>
      <w:r w:rsidR="00EA64C0" w:rsidRPr="00DE12A3">
        <w:rPr>
          <w:rStyle w:val="Resimyazs77pt0ptbolukbraklyor"/>
          <w:color w:val="auto"/>
          <w:sz w:val="24"/>
          <w:szCs w:val="24"/>
        </w:rPr>
        <w:t xml:space="preserve"> </w:t>
      </w:r>
      <w:r w:rsidRPr="00DE12A3">
        <w:rPr>
          <w:rStyle w:val="Resimyazs77pt0ptbolukbraklyor"/>
          <w:color w:val="auto"/>
          <w:sz w:val="24"/>
          <w:szCs w:val="24"/>
        </w:rPr>
        <w:t xml:space="preserve">veya (7-67) </w:t>
      </w:r>
      <w:r w:rsidR="00C126AA" w:rsidRPr="00DE12A3">
        <w:rPr>
          <w:rStyle w:val="Resimyazs77pt0ptbolukbraklyor"/>
          <w:color w:val="auto"/>
          <w:sz w:val="24"/>
          <w:szCs w:val="24"/>
        </w:rPr>
        <w:t xml:space="preserve">numaralı </w:t>
      </w:r>
      <w:r w:rsidRPr="00DE12A3">
        <w:rPr>
          <w:rStyle w:val="Resimyazs77pt0ptbolukbraklyor"/>
          <w:color w:val="auto"/>
          <w:sz w:val="24"/>
          <w:szCs w:val="24"/>
        </w:rPr>
        <w:t>denklemlerle hsaplanmalıdır:</w:t>
      </w:r>
    </w:p>
    <w:p w14:paraId="7509221C" w14:textId="3CC77CC2" w:rsidR="002D7B36" w:rsidRPr="00DE12A3" w:rsidRDefault="00934589" w:rsidP="00E20716">
      <w:pPr>
        <w:pStyle w:val="Resimyazs70"/>
        <w:numPr>
          <w:ilvl w:val="0"/>
          <w:numId w:val="416"/>
        </w:numPr>
        <w:shd w:val="clear" w:color="auto" w:fill="auto"/>
        <w:spacing w:after="120" w:line="240" w:lineRule="auto"/>
        <w:ind w:left="1701" w:hanging="567"/>
        <w:rPr>
          <w:sz w:val="24"/>
          <w:szCs w:val="24"/>
        </w:rPr>
      </w:pPr>
      <w:r w:rsidRPr="00DE12A3">
        <w:rPr>
          <w:rStyle w:val="Resimyazs77pt0ptbolukbraklyor"/>
          <w:color w:val="auto"/>
          <w:sz w:val="24"/>
          <w:szCs w:val="24"/>
        </w:rPr>
        <w:t xml:space="preserve">Tek filtre </w:t>
      </w:r>
      <w:r w:rsidR="00BC0085" w:rsidRPr="00DE12A3">
        <w:rPr>
          <w:rStyle w:val="Resimyazs77pt0ptbolukbraklyor"/>
          <w:color w:val="auto"/>
          <w:sz w:val="24"/>
          <w:szCs w:val="24"/>
        </w:rPr>
        <w:t>yöntemi</w:t>
      </w:r>
      <w:r w:rsidRPr="00DE12A3">
        <w:rPr>
          <w:rStyle w:val="Resimyazs77pt0ptbolukbraklyor"/>
          <w:color w:val="auto"/>
          <w:sz w:val="24"/>
          <w:szCs w:val="24"/>
        </w:rPr>
        <w:t xml:space="preserve"> için</w:t>
      </w:r>
      <w:r w:rsidR="004955A8" w:rsidRPr="00DE12A3">
        <w:rPr>
          <w:rStyle w:val="Resimyazs77pt0ptbolukbraklyor"/>
          <w:color w:val="auto"/>
          <w:sz w:val="24"/>
          <w:szCs w:val="24"/>
        </w:rPr>
        <w:t>;</w:t>
      </w:r>
    </w:p>
    <w:p w14:paraId="7A6E87CA" w14:textId="00E36282" w:rsidR="002D7B36" w:rsidRPr="00DE12A3" w:rsidRDefault="00242DA0" w:rsidP="00C917D6">
      <w:pPr>
        <w:widowControl/>
        <w:tabs>
          <w:tab w:val="left" w:pos="8789"/>
        </w:tabs>
        <w:spacing w:before="120" w:after="120"/>
        <w:ind w:left="1134" w:hanging="1134"/>
        <w:jc w:val="center"/>
        <w:rPr>
          <w:rFonts w:cs="Times New Roman"/>
          <w:color w:val="auto"/>
          <w:lang w:eastAsia="en-US"/>
        </w:rPr>
      </w:pPr>
      <w:r w:rsidRPr="00DE12A3">
        <w:rPr>
          <w:rFonts w:cs="Times New Roman"/>
          <w:noProof/>
          <w:color w:val="auto"/>
        </w:rPr>
        <w:drawing>
          <wp:inline distT="0" distB="0" distL="0" distR="0" wp14:anchorId="1A4C00EC" wp14:editId="67E25E73">
            <wp:extent cx="3907244" cy="1021080"/>
            <wp:effectExtent l="0" t="0" r="0" b="7620"/>
            <wp:docPr id="124" name="Resim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Resim 124"/>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a:xfrm>
                      <a:off x="0" y="0"/>
                      <a:ext cx="3916378" cy="1023467"/>
                    </a:xfrm>
                    <a:prstGeom prst="rect">
                      <a:avLst/>
                    </a:prstGeom>
                    <a:noFill/>
                    <a:ln>
                      <a:noFill/>
                    </a:ln>
                  </pic:spPr>
                </pic:pic>
              </a:graphicData>
            </a:graphic>
          </wp:inline>
        </w:drawing>
      </w:r>
    </w:p>
    <w:p w14:paraId="7D5C5C92" w14:textId="77777777" w:rsidR="002D7B36" w:rsidRPr="00DE12A3" w:rsidRDefault="00934589" w:rsidP="00C917D6">
      <w:pPr>
        <w:pStyle w:val="Resimyazs70"/>
        <w:shd w:val="clear" w:color="auto" w:fill="auto"/>
        <w:spacing w:after="120" w:line="240" w:lineRule="auto"/>
        <w:ind w:left="1701" w:hanging="567"/>
        <w:rPr>
          <w:sz w:val="24"/>
          <w:szCs w:val="24"/>
        </w:rPr>
      </w:pPr>
      <w:r w:rsidRPr="00DE12A3">
        <w:rPr>
          <w:rStyle w:val="Resimyazs77pt0ptbolukbraklyor"/>
          <w:color w:val="auto"/>
          <w:sz w:val="24"/>
          <w:szCs w:val="24"/>
        </w:rPr>
        <w:t>B</w:t>
      </w:r>
      <w:r w:rsidR="00242DA0" w:rsidRPr="00DE12A3">
        <w:rPr>
          <w:rStyle w:val="Resimyazs77pt0ptbolukbraklyor"/>
          <w:color w:val="auto"/>
          <w:sz w:val="24"/>
          <w:szCs w:val="24"/>
        </w:rPr>
        <w:t>urada:</w:t>
      </w:r>
    </w:p>
    <w:p w14:paraId="5B58478C" w14:textId="242D68D0" w:rsidR="002D7B36" w:rsidRPr="00DE12A3" w:rsidRDefault="00242DA0" w:rsidP="00C917D6">
      <w:pPr>
        <w:pStyle w:val="Resimyazs70"/>
        <w:shd w:val="clear" w:color="auto" w:fill="auto"/>
        <w:tabs>
          <w:tab w:val="right" w:pos="5494"/>
        </w:tabs>
        <w:spacing w:after="120" w:line="240" w:lineRule="auto"/>
        <w:ind w:left="1701" w:hanging="567"/>
        <w:rPr>
          <w:sz w:val="24"/>
          <w:szCs w:val="24"/>
        </w:rPr>
      </w:pPr>
      <w:r w:rsidRPr="00DE12A3">
        <w:rPr>
          <w:rStyle w:val="Resimyazs74pttalik0ptbolukbraklyor6"/>
          <w:color w:val="auto"/>
          <w:sz w:val="24"/>
          <w:szCs w:val="24"/>
        </w:rPr>
        <w:t>P</w:t>
      </w:r>
      <w:r w:rsidRPr="00DE12A3">
        <w:rPr>
          <w:rStyle w:val="Resimyazs74pttalik0ptbolukbraklyor6"/>
          <w:color w:val="auto"/>
          <w:sz w:val="24"/>
          <w:szCs w:val="24"/>
          <w:vertAlign w:val="subscript"/>
        </w:rPr>
        <w:t>i</w:t>
      </w:r>
      <w:r w:rsidRPr="00DE12A3">
        <w:rPr>
          <w:rStyle w:val="Resimyazs77pt0ptbolukbraklyor"/>
          <w:color w:val="auto"/>
          <w:sz w:val="24"/>
          <w:szCs w:val="24"/>
        </w:rPr>
        <w:tab/>
        <w:t xml:space="preserve">= </w:t>
      </w:r>
      <w:r w:rsidRPr="00DE12A3">
        <w:rPr>
          <w:i/>
          <w:iCs/>
          <w:spacing w:val="3"/>
          <w:sz w:val="24"/>
          <w:szCs w:val="24"/>
        </w:rPr>
        <w:t>i</w:t>
      </w:r>
      <w:r w:rsidRPr="00DE12A3">
        <w:rPr>
          <w:iCs/>
          <w:spacing w:val="3"/>
          <w:sz w:val="24"/>
          <w:szCs w:val="24"/>
        </w:rPr>
        <w:t xml:space="preserve"> modu için motor gücü [kW]; ölçülen güç P</w:t>
      </w:r>
      <w:r w:rsidRPr="00DE12A3">
        <w:rPr>
          <w:iCs/>
          <w:spacing w:val="3"/>
          <w:sz w:val="24"/>
          <w:szCs w:val="24"/>
          <w:vertAlign w:val="subscript"/>
        </w:rPr>
        <w:t>meas</w:t>
      </w:r>
      <w:r w:rsidRPr="00DE12A3">
        <w:rPr>
          <w:iCs/>
          <w:spacing w:val="3"/>
          <w:sz w:val="24"/>
          <w:szCs w:val="24"/>
        </w:rPr>
        <w:t xml:space="preserve">'a [kW], </w:t>
      </w:r>
      <w:r w:rsidR="00FA0678" w:rsidRPr="00DE12A3">
        <w:rPr>
          <w:iCs/>
          <w:spacing w:val="3"/>
          <w:sz w:val="24"/>
          <w:szCs w:val="24"/>
        </w:rPr>
        <w:t xml:space="preserve">VI’ncı </w:t>
      </w:r>
      <w:r w:rsidR="004955A8" w:rsidRPr="00DE12A3">
        <w:rPr>
          <w:iCs/>
          <w:spacing w:val="3"/>
          <w:sz w:val="24"/>
          <w:szCs w:val="24"/>
        </w:rPr>
        <w:t>E</w:t>
      </w:r>
      <w:r w:rsidR="00FA0678" w:rsidRPr="00DE12A3">
        <w:rPr>
          <w:iCs/>
          <w:spacing w:val="3"/>
          <w:sz w:val="24"/>
          <w:szCs w:val="24"/>
        </w:rPr>
        <w:t>k</w:t>
      </w:r>
      <w:r w:rsidRPr="00DE12A3">
        <w:rPr>
          <w:iCs/>
          <w:spacing w:val="3"/>
          <w:sz w:val="24"/>
          <w:szCs w:val="24"/>
        </w:rPr>
        <w:t>te</w:t>
      </w:r>
      <w:r w:rsidR="004955A8" w:rsidRPr="00DE12A3">
        <w:rPr>
          <w:iCs/>
          <w:spacing w:val="3"/>
          <w:sz w:val="24"/>
          <w:szCs w:val="24"/>
        </w:rPr>
        <w:t xml:space="preserve"> yer alan</w:t>
      </w:r>
      <w:r w:rsidRPr="00DE12A3">
        <w:rPr>
          <w:iCs/>
          <w:spacing w:val="3"/>
          <w:sz w:val="24"/>
          <w:szCs w:val="24"/>
        </w:rPr>
        <w:t xml:space="preserve"> (6-8) </w:t>
      </w:r>
      <w:r w:rsidR="00C126AA" w:rsidRPr="00DE12A3">
        <w:rPr>
          <w:iCs/>
          <w:spacing w:val="3"/>
          <w:sz w:val="24"/>
          <w:szCs w:val="24"/>
        </w:rPr>
        <w:t>numaralı</w:t>
      </w:r>
      <w:r w:rsidRPr="00DE12A3">
        <w:rPr>
          <w:iCs/>
          <w:spacing w:val="3"/>
          <w:sz w:val="24"/>
          <w:szCs w:val="24"/>
        </w:rPr>
        <w:t xml:space="preserve"> denklem uyarınca belirlenen, yardımcı cihazları tahrik etmek için gereken güç P</w:t>
      </w:r>
      <w:r w:rsidRPr="00DE12A3">
        <w:rPr>
          <w:iCs/>
          <w:spacing w:val="3"/>
          <w:sz w:val="24"/>
          <w:szCs w:val="24"/>
          <w:vertAlign w:val="subscript"/>
        </w:rPr>
        <w:t>AUX</w:t>
      </w:r>
      <w:r w:rsidRPr="00DE12A3">
        <w:rPr>
          <w:iCs/>
          <w:spacing w:val="3"/>
          <w:sz w:val="24"/>
          <w:szCs w:val="24"/>
        </w:rPr>
        <w:t>'un [kW] eklenmesi ile hesaplanır (P</w:t>
      </w:r>
      <w:r w:rsidRPr="00DE12A3">
        <w:rPr>
          <w:iCs/>
          <w:spacing w:val="3"/>
          <w:sz w:val="24"/>
          <w:szCs w:val="24"/>
          <w:vertAlign w:val="subscript"/>
        </w:rPr>
        <w:t>i</w:t>
      </w:r>
      <w:r w:rsidRPr="00DE12A3">
        <w:rPr>
          <w:iCs/>
          <w:spacing w:val="3"/>
          <w:sz w:val="24"/>
          <w:szCs w:val="24"/>
        </w:rPr>
        <w:t xml:space="preserve"> = P</w:t>
      </w:r>
      <w:r w:rsidRPr="00DE12A3">
        <w:rPr>
          <w:iCs/>
          <w:spacing w:val="3"/>
          <w:sz w:val="24"/>
          <w:szCs w:val="24"/>
          <w:vertAlign w:val="subscript"/>
        </w:rPr>
        <w:t>meas</w:t>
      </w:r>
      <w:r w:rsidRPr="00DE12A3">
        <w:rPr>
          <w:iCs/>
          <w:spacing w:val="3"/>
          <w:sz w:val="24"/>
          <w:szCs w:val="24"/>
        </w:rPr>
        <w:t xml:space="preserve"> + P</w:t>
      </w:r>
      <w:r w:rsidRPr="00DE12A3">
        <w:rPr>
          <w:iCs/>
          <w:spacing w:val="3"/>
          <w:sz w:val="24"/>
          <w:szCs w:val="24"/>
          <w:vertAlign w:val="subscript"/>
        </w:rPr>
        <w:t>AUX</w:t>
      </w:r>
      <w:r w:rsidRPr="00DE12A3">
        <w:rPr>
          <w:iCs/>
          <w:spacing w:val="3"/>
          <w:sz w:val="24"/>
          <w:szCs w:val="24"/>
        </w:rPr>
        <w:t>)</w:t>
      </w:r>
      <w:r w:rsidR="004955A8" w:rsidRPr="00DE12A3">
        <w:rPr>
          <w:iCs/>
          <w:spacing w:val="3"/>
          <w:sz w:val="24"/>
          <w:szCs w:val="24"/>
        </w:rPr>
        <w:t>.</w:t>
      </w:r>
    </w:p>
    <w:p w14:paraId="64BD9F19" w14:textId="77777777" w:rsidR="002D7B36" w:rsidRPr="00DE12A3" w:rsidRDefault="00242DA0" w:rsidP="00C917D6">
      <w:pPr>
        <w:pStyle w:val="Resimyazs70"/>
        <w:shd w:val="clear" w:color="auto" w:fill="auto"/>
        <w:spacing w:after="120" w:line="240" w:lineRule="auto"/>
        <w:ind w:left="1701" w:hanging="567"/>
        <w:rPr>
          <w:sz w:val="24"/>
          <w:szCs w:val="24"/>
        </w:rPr>
      </w:pPr>
      <w:r w:rsidRPr="00DE12A3">
        <w:rPr>
          <w:rStyle w:val="Resimyazs74pttalik0ptbolukbraklyor6"/>
          <w:color w:val="auto"/>
          <w:sz w:val="24"/>
          <w:szCs w:val="24"/>
        </w:rPr>
        <w:t>WF</w:t>
      </w:r>
      <w:r w:rsidRPr="00DE12A3">
        <w:rPr>
          <w:rStyle w:val="Resimyazs74pttalik0ptbolukbraklyor6"/>
          <w:color w:val="auto"/>
          <w:sz w:val="24"/>
          <w:szCs w:val="24"/>
          <w:vertAlign w:val="subscript"/>
        </w:rPr>
        <w:t>i</w:t>
      </w:r>
      <w:r w:rsidRPr="00DE12A3">
        <w:rPr>
          <w:rStyle w:val="Resimyazs77pt0ptbolukbraklyor"/>
          <w:color w:val="auto"/>
          <w:sz w:val="24"/>
          <w:szCs w:val="24"/>
        </w:rPr>
        <w:t xml:space="preserve"> = </w:t>
      </w:r>
      <w:r w:rsidRPr="00DE12A3">
        <w:rPr>
          <w:i/>
          <w:iCs/>
          <w:spacing w:val="3"/>
          <w:sz w:val="24"/>
          <w:szCs w:val="24"/>
        </w:rPr>
        <w:t xml:space="preserve">i </w:t>
      </w:r>
      <w:r w:rsidRPr="00DE12A3">
        <w:rPr>
          <w:iCs/>
          <w:spacing w:val="3"/>
          <w:sz w:val="24"/>
          <w:szCs w:val="24"/>
        </w:rPr>
        <w:t>modu için ağırlık faktörü</w:t>
      </w:r>
      <w:r w:rsidRPr="00DE12A3">
        <w:rPr>
          <w:i/>
          <w:iCs/>
          <w:spacing w:val="3"/>
          <w:sz w:val="24"/>
          <w:szCs w:val="24"/>
        </w:rPr>
        <w:t xml:space="preserve"> </w:t>
      </w:r>
      <w:r w:rsidRPr="00DE12A3">
        <w:rPr>
          <w:rStyle w:val="Resimyazs77pt0ptbolukbraklyor"/>
          <w:color w:val="auto"/>
          <w:sz w:val="24"/>
          <w:szCs w:val="24"/>
        </w:rPr>
        <w:t>[-]</w:t>
      </w:r>
    </w:p>
    <w:p w14:paraId="598D68BC" w14:textId="7D1AC947" w:rsidR="002D7B36" w:rsidRPr="00DE12A3" w:rsidRDefault="00242DA0" w:rsidP="00C917D6">
      <w:pPr>
        <w:pStyle w:val="Resimyazs70"/>
        <w:shd w:val="clear" w:color="auto" w:fill="auto"/>
        <w:spacing w:after="120" w:line="240" w:lineRule="auto"/>
        <w:ind w:left="1701" w:hanging="567"/>
        <w:rPr>
          <w:sz w:val="24"/>
          <w:szCs w:val="24"/>
        </w:rPr>
      </w:pPr>
      <w:r w:rsidRPr="00DE12A3">
        <w:rPr>
          <w:rStyle w:val="Resimyazs77pt0ptbolukbraklyor"/>
          <w:i/>
          <w:iCs/>
          <w:color w:val="auto"/>
          <w:sz w:val="24"/>
          <w:szCs w:val="24"/>
        </w:rPr>
        <w:t>q</w:t>
      </w:r>
      <w:r w:rsidRPr="00DE12A3">
        <w:rPr>
          <w:rStyle w:val="Resimyazs77pt0ptbolukbraklyor"/>
          <w:color w:val="auto"/>
          <w:sz w:val="24"/>
          <w:szCs w:val="24"/>
          <w:vertAlign w:val="subscript"/>
        </w:rPr>
        <w:t>mPM</w:t>
      </w:r>
      <w:r w:rsidRPr="00DE12A3">
        <w:rPr>
          <w:rStyle w:val="Resimyazs77pt0ptbolukbraklyor"/>
          <w:color w:val="auto"/>
          <w:sz w:val="24"/>
          <w:szCs w:val="24"/>
        </w:rPr>
        <w:t xml:space="preserve"> = </w:t>
      </w:r>
      <w:r w:rsidR="004955A8" w:rsidRPr="00DE12A3">
        <w:rPr>
          <w:rStyle w:val="Resimyazs77pt0ptbolukbraklyor"/>
          <w:color w:val="auto"/>
          <w:sz w:val="24"/>
          <w:szCs w:val="24"/>
        </w:rPr>
        <w:t>p</w:t>
      </w:r>
      <w:r w:rsidR="00EA64C0" w:rsidRPr="00DE12A3">
        <w:rPr>
          <w:rStyle w:val="Resimyazs77pt0ptbolukbraklyor"/>
          <w:color w:val="auto"/>
          <w:sz w:val="24"/>
          <w:szCs w:val="24"/>
        </w:rPr>
        <w:t xml:space="preserve">artikül </w:t>
      </w:r>
      <w:r w:rsidRPr="00DE12A3">
        <w:rPr>
          <w:rStyle w:val="Resimyazs77pt0ptbolukbraklyor"/>
          <w:color w:val="auto"/>
          <w:sz w:val="24"/>
          <w:szCs w:val="24"/>
        </w:rPr>
        <w:t>kütle akış hızı [g/h]</w:t>
      </w:r>
    </w:p>
    <w:p w14:paraId="20F7C84B" w14:textId="07A8A135" w:rsidR="002D7B36" w:rsidRPr="00DE12A3" w:rsidRDefault="00242DA0" w:rsidP="00C917D6">
      <w:pPr>
        <w:pStyle w:val="Resimyazs70"/>
        <w:shd w:val="clear" w:color="auto" w:fill="auto"/>
        <w:spacing w:after="120" w:line="240" w:lineRule="auto"/>
        <w:ind w:left="1701" w:hanging="567"/>
        <w:rPr>
          <w:sz w:val="24"/>
          <w:szCs w:val="24"/>
        </w:rPr>
      </w:pPr>
      <w:r w:rsidRPr="00DE12A3">
        <w:rPr>
          <w:rStyle w:val="Resimyazs74pttalik0ptbolukbraklyor6"/>
          <w:color w:val="auto"/>
          <w:sz w:val="24"/>
          <w:szCs w:val="24"/>
        </w:rPr>
        <w:t>N</w:t>
      </w:r>
      <w:r w:rsidRPr="00DE12A3">
        <w:rPr>
          <w:rStyle w:val="Resimyazs74pttalik0ptbolukbraklyor6"/>
          <w:i w:val="0"/>
          <w:color w:val="auto"/>
          <w:sz w:val="24"/>
          <w:szCs w:val="24"/>
          <w:vertAlign w:val="subscript"/>
        </w:rPr>
        <w:t>mode</w:t>
      </w:r>
      <w:r w:rsidRPr="00DE12A3">
        <w:rPr>
          <w:rStyle w:val="Resimyazs77pt0ptbolukbraklyor"/>
          <w:color w:val="auto"/>
          <w:sz w:val="24"/>
          <w:szCs w:val="24"/>
        </w:rPr>
        <w:t xml:space="preserve"> = </w:t>
      </w:r>
      <w:r w:rsidR="004955A8" w:rsidRPr="00DE12A3">
        <w:rPr>
          <w:iCs/>
          <w:spacing w:val="3"/>
          <w:sz w:val="24"/>
          <w:szCs w:val="24"/>
        </w:rPr>
        <w:t>g</w:t>
      </w:r>
      <w:r w:rsidR="00EA64C0" w:rsidRPr="00DE12A3">
        <w:rPr>
          <w:iCs/>
          <w:spacing w:val="3"/>
          <w:sz w:val="24"/>
          <w:szCs w:val="24"/>
        </w:rPr>
        <w:t xml:space="preserve">eçerli </w:t>
      </w:r>
      <w:r w:rsidRPr="00DE12A3">
        <w:rPr>
          <w:iCs/>
          <w:spacing w:val="3"/>
          <w:sz w:val="24"/>
          <w:szCs w:val="24"/>
        </w:rPr>
        <w:t>ayrık modlu NRSC içindeki mod sayısı</w:t>
      </w:r>
    </w:p>
    <w:p w14:paraId="5CCBB079" w14:textId="195A8ED1" w:rsidR="002D7B36" w:rsidRPr="00DE12A3" w:rsidRDefault="00242DA0" w:rsidP="00E20716">
      <w:pPr>
        <w:pStyle w:val="Resimyazs70"/>
        <w:numPr>
          <w:ilvl w:val="0"/>
          <w:numId w:val="416"/>
        </w:numPr>
        <w:shd w:val="clear" w:color="auto" w:fill="auto"/>
        <w:spacing w:after="120" w:line="240" w:lineRule="auto"/>
        <w:ind w:left="1701" w:hanging="567"/>
        <w:rPr>
          <w:sz w:val="24"/>
          <w:szCs w:val="24"/>
        </w:rPr>
      </w:pPr>
      <w:r w:rsidRPr="00DE12A3">
        <w:rPr>
          <w:spacing w:val="3"/>
          <w:sz w:val="24"/>
          <w:szCs w:val="24"/>
        </w:rPr>
        <w:t>Birden fazla filtre yöntemi için</w:t>
      </w:r>
      <w:r w:rsidR="004955A8" w:rsidRPr="00DE12A3">
        <w:rPr>
          <w:spacing w:val="3"/>
          <w:sz w:val="24"/>
          <w:szCs w:val="24"/>
        </w:rPr>
        <w:t>;</w:t>
      </w:r>
    </w:p>
    <w:p w14:paraId="0D3DF9E3" w14:textId="77777777" w:rsidR="002D7B36" w:rsidRPr="00DE12A3" w:rsidRDefault="002D7B36" w:rsidP="00C917D6">
      <w:pPr>
        <w:widowControl/>
        <w:tabs>
          <w:tab w:val="left" w:pos="8789"/>
        </w:tabs>
        <w:spacing w:before="120" w:after="120"/>
        <w:ind w:left="1701" w:hanging="567"/>
        <w:jc w:val="both"/>
        <w:rPr>
          <w:rFonts w:cs="Times New Roman"/>
          <w:color w:val="auto"/>
          <w:lang w:eastAsia="en-US"/>
        </w:rPr>
      </w:pPr>
    </w:p>
    <w:p w14:paraId="1DA82A78" w14:textId="510E6842" w:rsidR="002D7B36" w:rsidRPr="00DE12A3" w:rsidRDefault="00242DA0" w:rsidP="00C917D6">
      <w:pPr>
        <w:widowControl/>
        <w:tabs>
          <w:tab w:val="left" w:pos="8789"/>
        </w:tabs>
        <w:spacing w:before="120" w:after="120"/>
        <w:ind w:left="1134" w:hanging="1134"/>
        <w:jc w:val="center"/>
        <w:rPr>
          <w:rFonts w:cs="Times New Roman"/>
          <w:color w:val="auto"/>
          <w:lang w:eastAsia="en-US"/>
        </w:rPr>
      </w:pPr>
      <w:r w:rsidRPr="00DE12A3">
        <w:rPr>
          <w:rFonts w:cs="Times New Roman"/>
          <w:noProof/>
          <w:color w:val="auto"/>
        </w:rPr>
        <w:drawing>
          <wp:inline distT="0" distB="0" distL="0" distR="0" wp14:anchorId="5F193DA9" wp14:editId="724E52A7">
            <wp:extent cx="3701130" cy="1293495"/>
            <wp:effectExtent l="0" t="0" r="0" b="1905"/>
            <wp:docPr id="125" name="Resim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Resim 125"/>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a:xfrm>
                      <a:off x="0" y="0"/>
                      <a:ext cx="3708052" cy="1295914"/>
                    </a:xfrm>
                    <a:prstGeom prst="rect">
                      <a:avLst/>
                    </a:prstGeom>
                    <a:noFill/>
                    <a:ln>
                      <a:noFill/>
                    </a:ln>
                  </pic:spPr>
                </pic:pic>
              </a:graphicData>
            </a:graphic>
          </wp:inline>
        </w:drawing>
      </w:r>
    </w:p>
    <w:p w14:paraId="57720F7D" w14:textId="77777777" w:rsidR="002D7B36" w:rsidRPr="00DE12A3" w:rsidRDefault="00242DA0" w:rsidP="00C917D6">
      <w:pPr>
        <w:pStyle w:val="Gvdemetni251"/>
        <w:shd w:val="clear" w:color="auto" w:fill="auto"/>
        <w:spacing w:before="120" w:after="120" w:line="240" w:lineRule="auto"/>
        <w:ind w:left="1134" w:firstLine="0"/>
        <w:rPr>
          <w:color w:val="auto"/>
          <w:sz w:val="24"/>
          <w:szCs w:val="24"/>
        </w:rPr>
      </w:pPr>
      <w:r w:rsidRPr="00DE12A3">
        <w:rPr>
          <w:color w:val="auto"/>
          <w:sz w:val="24"/>
          <w:szCs w:val="24"/>
        </w:rPr>
        <w:t>Burada</w:t>
      </w:r>
    </w:p>
    <w:p w14:paraId="4DC91CB4" w14:textId="22AE5B55" w:rsidR="002D7B36" w:rsidRPr="00DE12A3" w:rsidRDefault="00242DA0" w:rsidP="00C917D6">
      <w:pPr>
        <w:pStyle w:val="Gvdemetni251"/>
        <w:shd w:val="clear" w:color="auto" w:fill="auto"/>
        <w:tabs>
          <w:tab w:val="left" w:pos="1418"/>
        </w:tabs>
        <w:spacing w:before="120" w:after="120" w:line="240" w:lineRule="auto"/>
        <w:ind w:left="1134" w:firstLine="0"/>
        <w:rPr>
          <w:color w:val="auto"/>
          <w:sz w:val="24"/>
          <w:szCs w:val="24"/>
        </w:rPr>
      </w:pPr>
      <w:r w:rsidRPr="00DE12A3">
        <w:rPr>
          <w:rStyle w:val="Gvdemetni254pttalik0ptbolukbraklyor28"/>
          <w:color w:val="auto"/>
          <w:sz w:val="24"/>
          <w:szCs w:val="24"/>
        </w:rPr>
        <w:t>P</w:t>
      </w:r>
      <w:r w:rsidRPr="00DE12A3">
        <w:rPr>
          <w:rStyle w:val="Gvdemetni254pttalik0ptbolukbraklyor28"/>
          <w:color w:val="auto"/>
          <w:sz w:val="24"/>
          <w:szCs w:val="24"/>
          <w:vertAlign w:val="subscript"/>
        </w:rPr>
        <w:t>i</w:t>
      </w:r>
      <w:r w:rsidRPr="00DE12A3">
        <w:rPr>
          <w:color w:val="auto"/>
          <w:sz w:val="24"/>
          <w:szCs w:val="24"/>
        </w:rPr>
        <w:tab/>
        <w:t>=</w:t>
      </w:r>
      <w:r w:rsidRPr="00DE12A3">
        <w:rPr>
          <w:i/>
          <w:iCs/>
          <w:color w:val="auto"/>
          <w:sz w:val="24"/>
          <w:szCs w:val="24"/>
        </w:rPr>
        <w:t>i</w:t>
      </w:r>
      <w:r w:rsidRPr="00DE12A3">
        <w:rPr>
          <w:color w:val="auto"/>
          <w:sz w:val="24"/>
          <w:szCs w:val="24"/>
        </w:rPr>
        <w:t xml:space="preserve"> modu için motor gücü [kW]; ölçülen güç P</w:t>
      </w:r>
      <w:r w:rsidRPr="00DE12A3">
        <w:rPr>
          <w:color w:val="auto"/>
          <w:sz w:val="24"/>
          <w:szCs w:val="24"/>
          <w:vertAlign w:val="subscript"/>
        </w:rPr>
        <w:t>meas</w:t>
      </w:r>
      <w:r w:rsidRPr="00DE12A3">
        <w:rPr>
          <w:color w:val="auto"/>
          <w:sz w:val="24"/>
          <w:szCs w:val="24"/>
        </w:rPr>
        <w:t xml:space="preserve">'a [kW], </w:t>
      </w:r>
      <w:r w:rsidR="00FA0678" w:rsidRPr="00DE12A3">
        <w:rPr>
          <w:color w:val="auto"/>
          <w:sz w:val="24"/>
          <w:szCs w:val="24"/>
        </w:rPr>
        <w:t xml:space="preserve">VI’ncı </w:t>
      </w:r>
      <w:r w:rsidR="004955A8" w:rsidRPr="00DE12A3">
        <w:rPr>
          <w:color w:val="auto"/>
          <w:sz w:val="24"/>
          <w:szCs w:val="24"/>
        </w:rPr>
        <w:t>E</w:t>
      </w:r>
      <w:r w:rsidR="00FA0678" w:rsidRPr="00DE12A3">
        <w:rPr>
          <w:color w:val="auto"/>
          <w:sz w:val="24"/>
          <w:szCs w:val="24"/>
        </w:rPr>
        <w:t>k</w:t>
      </w:r>
      <w:r w:rsidRPr="00DE12A3">
        <w:rPr>
          <w:color w:val="auto"/>
          <w:sz w:val="24"/>
          <w:szCs w:val="24"/>
        </w:rPr>
        <w:t xml:space="preserve">teki (6-8) </w:t>
      </w:r>
      <w:r w:rsidR="00C126AA" w:rsidRPr="00DE12A3">
        <w:rPr>
          <w:color w:val="auto"/>
          <w:sz w:val="24"/>
          <w:szCs w:val="24"/>
        </w:rPr>
        <w:t>numaralı</w:t>
      </w:r>
      <w:r w:rsidR="00C126AA" w:rsidRPr="00DE12A3" w:rsidDel="00C126AA">
        <w:rPr>
          <w:color w:val="auto"/>
          <w:sz w:val="24"/>
          <w:szCs w:val="24"/>
        </w:rPr>
        <w:t xml:space="preserve"> </w:t>
      </w:r>
      <w:r w:rsidRPr="00DE12A3">
        <w:rPr>
          <w:color w:val="auto"/>
          <w:sz w:val="24"/>
          <w:szCs w:val="24"/>
        </w:rPr>
        <w:t>denklem uyarınca belirlenen, yardımcı cihazları tahrik etmek için gereken güç P</w:t>
      </w:r>
      <w:r w:rsidRPr="00DE12A3">
        <w:rPr>
          <w:color w:val="auto"/>
          <w:sz w:val="24"/>
          <w:szCs w:val="24"/>
          <w:vertAlign w:val="subscript"/>
        </w:rPr>
        <w:t>AUX</w:t>
      </w:r>
      <w:r w:rsidRPr="00DE12A3">
        <w:rPr>
          <w:color w:val="auto"/>
          <w:sz w:val="24"/>
          <w:szCs w:val="24"/>
        </w:rPr>
        <w:t>'un [kW] eklenmesi ile hesaplanır (P</w:t>
      </w:r>
      <w:r w:rsidRPr="00DE12A3">
        <w:rPr>
          <w:color w:val="auto"/>
          <w:sz w:val="24"/>
          <w:szCs w:val="24"/>
          <w:vertAlign w:val="subscript"/>
        </w:rPr>
        <w:t>i</w:t>
      </w:r>
      <w:r w:rsidRPr="00DE12A3">
        <w:rPr>
          <w:color w:val="auto"/>
          <w:sz w:val="24"/>
          <w:szCs w:val="24"/>
        </w:rPr>
        <w:t xml:space="preserve"> = P</w:t>
      </w:r>
      <w:r w:rsidRPr="00DE12A3">
        <w:rPr>
          <w:color w:val="auto"/>
          <w:sz w:val="24"/>
          <w:szCs w:val="24"/>
          <w:vertAlign w:val="subscript"/>
        </w:rPr>
        <w:t>meas</w:t>
      </w:r>
      <w:r w:rsidRPr="00DE12A3">
        <w:rPr>
          <w:color w:val="auto"/>
          <w:sz w:val="24"/>
          <w:szCs w:val="24"/>
        </w:rPr>
        <w:t xml:space="preserve"> + P</w:t>
      </w:r>
      <w:r w:rsidRPr="00DE12A3">
        <w:rPr>
          <w:color w:val="auto"/>
          <w:sz w:val="24"/>
          <w:szCs w:val="24"/>
          <w:vertAlign w:val="subscript"/>
        </w:rPr>
        <w:t>AUX</w:t>
      </w:r>
      <w:r w:rsidRPr="00DE12A3">
        <w:rPr>
          <w:color w:val="auto"/>
          <w:sz w:val="24"/>
          <w:szCs w:val="24"/>
        </w:rPr>
        <w:t>)</w:t>
      </w:r>
      <w:r w:rsidR="004955A8" w:rsidRPr="00DE12A3">
        <w:rPr>
          <w:color w:val="auto"/>
          <w:sz w:val="24"/>
          <w:szCs w:val="24"/>
        </w:rPr>
        <w:t>.</w:t>
      </w:r>
    </w:p>
    <w:p w14:paraId="375F0D9E" w14:textId="77777777" w:rsidR="002D7B36" w:rsidRPr="00DE12A3" w:rsidRDefault="00242DA0" w:rsidP="00C917D6">
      <w:pPr>
        <w:pStyle w:val="Gvdemetni251"/>
        <w:shd w:val="clear" w:color="auto" w:fill="auto"/>
        <w:tabs>
          <w:tab w:val="left" w:pos="1418"/>
          <w:tab w:val="right" w:pos="4804"/>
        </w:tabs>
        <w:spacing w:before="120" w:after="120" w:line="240" w:lineRule="auto"/>
        <w:ind w:left="1134" w:firstLine="0"/>
        <w:rPr>
          <w:color w:val="auto"/>
          <w:sz w:val="24"/>
          <w:szCs w:val="24"/>
        </w:rPr>
      </w:pPr>
      <w:r w:rsidRPr="00DE12A3">
        <w:rPr>
          <w:rStyle w:val="Gvdemetni254pttalik0ptbolukbraklyor28"/>
          <w:color w:val="auto"/>
          <w:sz w:val="24"/>
          <w:szCs w:val="24"/>
        </w:rPr>
        <w:t>WF</w:t>
      </w:r>
      <w:r w:rsidRPr="00DE12A3">
        <w:rPr>
          <w:rStyle w:val="Gvdemetni254pttalik0ptbolukbraklyor28"/>
          <w:color w:val="auto"/>
          <w:sz w:val="24"/>
          <w:szCs w:val="24"/>
          <w:vertAlign w:val="subscript"/>
        </w:rPr>
        <w:t>i</w:t>
      </w:r>
      <w:r w:rsidRPr="00DE12A3">
        <w:rPr>
          <w:color w:val="auto"/>
          <w:sz w:val="24"/>
          <w:szCs w:val="24"/>
        </w:rPr>
        <w:t>=</w:t>
      </w:r>
      <w:r w:rsidRPr="00DE12A3">
        <w:rPr>
          <w:color w:val="auto"/>
          <w:sz w:val="24"/>
          <w:szCs w:val="24"/>
        </w:rPr>
        <w:tab/>
      </w:r>
      <w:r w:rsidRPr="00DE12A3">
        <w:rPr>
          <w:i/>
          <w:iCs/>
          <w:color w:val="auto"/>
          <w:sz w:val="24"/>
          <w:szCs w:val="24"/>
        </w:rPr>
        <w:t>i</w:t>
      </w:r>
      <w:r w:rsidRPr="00DE12A3">
        <w:rPr>
          <w:color w:val="auto"/>
          <w:sz w:val="24"/>
          <w:szCs w:val="24"/>
        </w:rPr>
        <w:t xml:space="preserve"> modu için ağırlıklandırma faktörü [-]</w:t>
      </w:r>
    </w:p>
    <w:p w14:paraId="549A3346" w14:textId="77777777" w:rsidR="002D7B36" w:rsidRPr="00DE12A3" w:rsidRDefault="00242DA0" w:rsidP="00C917D6">
      <w:pPr>
        <w:pStyle w:val="Gvdemetni251"/>
        <w:shd w:val="clear" w:color="auto" w:fill="auto"/>
        <w:tabs>
          <w:tab w:val="left" w:pos="1418"/>
          <w:tab w:val="right" w:pos="4804"/>
        </w:tabs>
        <w:spacing w:before="120" w:after="120" w:line="240" w:lineRule="auto"/>
        <w:ind w:left="1134" w:firstLine="0"/>
        <w:rPr>
          <w:color w:val="auto"/>
          <w:sz w:val="24"/>
          <w:szCs w:val="24"/>
        </w:rPr>
      </w:pPr>
      <w:r w:rsidRPr="00DE12A3">
        <w:rPr>
          <w:rStyle w:val="Gvdemetni254pttalik0ptbolukbraklyor28"/>
          <w:color w:val="auto"/>
          <w:sz w:val="24"/>
          <w:szCs w:val="24"/>
        </w:rPr>
        <w:t>q</w:t>
      </w:r>
      <w:r w:rsidRPr="00DE12A3">
        <w:rPr>
          <w:rStyle w:val="Gvdemetni254pttalik0ptbolukbraklyor28"/>
          <w:i w:val="0"/>
          <w:iCs w:val="0"/>
          <w:color w:val="auto"/>
          <w:sz w:val="24"/>
          <w:szCs w:val="24"/>
          <w:vertAlign w:val="subscript"/>
        </w:rPr>
        <w:t>mPM</w:t>
      </w:r>
      <w:r w:rsidRPr="00DE12A3">
        <w:rPr>
          <w:rStyle w:val="Gvdemetni254pttalik0ptbolukbraklyor28"/>
          <w:color w:val="auto"/>
          <w:sz w:val="24"/>
          <w:szCs w:val="24"/>
          <w:vertAlign w:val="subscript"/>
        </w:rPr>
        <w:t>i</w:t>
      </w:r>
      <w:r w:rsidRPr="00DE12A3">
        <w:rPr>
          <w:color w:val="auto"/>
          <w:sz w:val="24"/>
          <w:szCs w:val="24"/>
        </w:rPr>
        <w:t>=</w:t>
      </w:r>
      <w:r w:rsidRPr="00DE12A3">
        <w:rPr>
          <w:color w:val="auto"/>
          <w:sz w:val="24"/>
          <w:szCs w:val="24"/>
        </w:rPr>
        <w:tab/>
      </w:r>
      <w:r w:rsidRPr="00DE12A3">
        <w:rPr>
          <w:i/>
          <w:iCs/>
          <w:color w:val="auto"/>
          <w:sz w:val="24"/>
          <w:szCs w:val="24"/>
        </w:rPr>
        <w:t>i</w:t>
      </w:r>
      <w:r w:rsidRPr="00DE12A3">
        <w:rPr>
          <w:color w:val="auto"/>
          <w:sz w:val="24"/>
          <w:szCs w:val="24"/>
        </w:rPr>
        <w:t xml:space="preserve"> modunda </w:t>
      </w:r>
      <w:r w:rsidR="007E2039" w:rsidRPr="00DE12A3">
        <w:rPr>
          <w:color w:val="auto"/>
          <w:sz w:val="24"/>
          <w:szCs w:val="24"/>
        </w:rPr>
        <w:t xml:space="preserve">partikül </w:t>
      </w:r>
      <w:r w:rsidRPr="00DE12A3">
        <w:rPr>
          <w:color w:val="auto"/>
          <w:sz w:val="24"/>
          <w:szCs w:val="24"/>
        </w:rPr>
        <w:t>kütle akış hızı [g/saat]</w:t>
      </w:r>
    </w:p>
    <w:p w14:paraId="3AADEC35" w14:textId="77777777" w:rsidR="002D7B36" w:rsidRPr="00DE12A3" w:rsidRDefault="00242DA0" w:rsidP="00C917D6">
      <w:pPr>
        <w:pStyle w:val="Gvdemetni251"/>
        <w:shd w:val="clear" w:color="auto" w:fill="auto"/>
        <w:tabs>
          <w:tab w:val="left" w:pos="1418"/>
          <w:tab w:val="right" w:pos="4804"/>
          <w:tab w:val="left" w:pos="4847"/>
        </w:tabs>
        <w:spacing w:before="120" w:after="120" w:line="240" w:lineRule="auto"/>
        <w:ind w:left="1134" w:firstLine="0"/>
        <w:rPr>
          <w:color w:val="auto"/>
          <w:sz w:val="24"/>
          <w:szCs w:val="24"/>
        </w:rPr>
      </w:pPr>
      <w:r w:rsidRPr="00DE12A3">
        <w:rPr>
          <w:rStyle w:val="Gvdemetni254pttalik0ptbolukbraklyor28"/>
          <w:color w:val="auto"/>
          <w:sz w:val="24"/>
          <w:szCs w:val="24"/>
        </w:rPr>
        <w:t>N</w:t>
      </w:r>
      <w:r w:rsidRPr="00DE12A3">
        <w:rPr>
          <w:rStyle w:val="Gvdemetni254pttalik0ptbolukbraklyor28"/>
          <w:color w:val="auto"/>
          <w:sz w:val="24"/>
          <w:szCs w:val="24"/>
          <w:vertAlign w:val="subscript"/>
        </w:rPr>
        <w:t>mode</w:t>
      </w:r>
      <w:r w:rsidRPr="00DE12A3">
        <w:rPr>
          <w:color w:val="auto"/>
          <w:sz w:val="24"/>
          <w:szCs w:val="24"/>
        </w:rPr>
        <w:t>=</w:t>
      </w:r>
      <w:r w:rsidRPr="00DE12A3">
        <w:rPr>
          <w:color w:val="auto"/>
          <w:sz w:val="24"/>
          <w:szCs w:val="24"/>
        </w:rPr>
        <w:tab/>
        <w:t>geçerli ayrık modlu NRSC içindeki mod sayısı</w:t>
      </w:r>
    </w:p>
    <w:p w14:paraId="3D4B76AF" w14:textId="15F29589" w:rsidR="002D7B36" w:rsidRPr="00DE12A3" w:rsidRDefault="00242DA0" w:rsidP="00C917D6">
      <w:pPr>
        <w:pStyle w:val="Gvdemetni251"/>
        <w:shd w:val="clear" w:color="auto" w:fill="auto"/>
        <w:spacing w:before="120" w:after="120" w:line="240" w:lineRule="auto"/>
        <w:ind w:left="1134" w:firstLine="0"/>
        <w:rPr>
          <w:color w:val="auto"/>
          <w:sz w:val="24"/>
          <w:szCs w:val="24"/>
        </w:rPr>
      </w:pPr>
      <w:r w:rsidRPr="00DE12A3">
        <w:rPr>
          <w:color w:val="auto"/>
          <w:sz w:val="24"/>
          <w:szCs w:val="24"/>
        </w:rPr>
        <w:lastRenderedPageBreak/>
        <w:t>Tek filtre yöntemi için, her mod için geçerli ağırlık faktörü WF</w:t>
      </w:r>
      <w:r w:rsidRPr="00DE12A3">
        <w:rPr>
          <w:color w:val="auto"/>
          <w:sz w:val="24"/>
          <w:szCs w:val="24"/>
          <w:vertAlign w:val="subscript"/>
        </w:rPr>
        <w:t>ei</w:t>
      </w:r>
      <w:r w:rsidRPr="00DE12A3">
        <w:rPr>
          <w:color w:val="auto"/>
          <w:sz w:val="24"/>
          <w:szCs w:val="24"/>
        </w:rPr>
        <w:t xml:space="preserve">, (7-68) </w:t>
      </w:r>
      <w:r w:rsidR="00962CA1" w:rsidRPr="00DE12A3">
        <w:rPr>
          <w:color w:val="auto"/>
          <w:sz w:val="24"/>
          <w:szCs w:val="24"/>
        </w:rPr>
        <w:t>numaralı</w:t>
      </w:r>
      <w:r w:rsidR="00962CA1" w:rsidRPr="00DE12A3" w:rsidDel="00962CA1">
        <w:rPr>
          <w:color w:val="auto"/>
          <w:sz w:val="24"/>
          <w:szCs w:val="24"/>
        </w:rPr>
        <w:t xml:space="preserve"> </w:t>
      </w:r>
      <w:r w:rsidRPr="00DE12A3">
        <w:rPr>
          <w:color w:val="auto"/>
          <w:sz w:val="24"/>
          <w:szCs w:val="24"/>
        </w:rPr>
        <w:t>denklem ile hesaplanmalıdır:</w:t>
      </w:r>
    </w:p>
    <w:p w14:paraId="1314F1B7" w14:textId="3CEDAD52" w:rsidR="002D7B36" w:rsidRPr="00DE12A3" w:rsidRDefault="00242DA0" w:rsidP="00C917D6">
      <w:pPr>
        <w:pStyle w:val="Gvdemetni251"/>
        <w:shd w:val="clear" w:color="auto" w:fill="auto"/>
        <w:spacing w:before="120" w:after="120" w:line="240" w:lineRule="auto"/>
        <w:ind w:left="1134" w:hanging="1134"/>
        <w:jc w:val="center"/>
        <w:rPr>
          <w:color w:val="auto"/>
          <w:sz w:val="24"/>
          <w:szCs w:val="24"/>
        </w:rPr>
      </w:pPr>
      <w:r w:rsidRPr="00DE12A3">
        <w:rPr>
          <w:noProof/>
          <w:color w:val="auto"/>
          <w:sz w:val="24"/>
          <w:szCs w:val="24"/>
        </w:rPr>
        <w:drawing>
          <wp:inline distT="0" distB="0" distL="0" distR="0" wp14:anchorId="7322C5F7" wp14:editId="41C5D657">
            <wp:extent cx="4200557" cy="585470"/>
            <wp:effectExtent l="0" t="0" r="9525" b="5080"/>
            <wp:docPr id="127" name="Resim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Resim 127"/>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a:xfrm>
                      <a:off x="0" y="0"/>
                      <a:ext cx="4207159" cy="586390"/>
                    </a:xfrm>
                    <a:prstGeom prst="rect">
                      <a:avLst/>
                    </a:prstGeom>
                    <a:noFill/>
                    <a:ln>
                      <a:noFill/>
                    </a:ln>
                  </pic:spPr>
                </pic:pic>
              </a:graphicData>
            </a:graphic>
          </wp:inline>
        </w:drawing>
      </w:r>
    </w:p>
    <w:p w14:paraId="30B102AA" w14:textId="77777777" w:rsidR="002D7B36" w:rsidRPr="00DE12A3" w:rsidRDefault="00242DA0" w:rsidP="00C917D6">
      <w:pPr>
        <w:pStyle w:val="Gvdemetni251"/>
        <w:shd w:val="clear" w:color="auto" w:fill="auto"/>
        <w:spacing w:before="120" w:after="120" w:line="240" w:lineRule="auto"/>
        <w:ind w:left="1134" w:firstLine="0"/>
        <w:rPr>
          <w:color w:val="auto"/>
          <w:sz w:val="24"/>
          <w:szCs w:val="24"/>
        </w:rPr>
      </w:pPr>
      <w:r w:rsidRPr="00DE12A3">
        <w:rPr>
          <w:color w:val="auto"/>
          <w:sz w:val="24"/>
          <w:szCs w:val="24"/>
        </w:rPr>
        <w:t>Burada:</w:t>
      </w:r>
    </w:p>
    <w:p w14:paraId="11C0037C" w14:textId="77777777" w:rsidR="002D7B36" w:rsidRPr="00DE12A3" w:rsidRDefault="00242DA0" w:rsidP="00C917D6">
      <w:pPr>
        <w:pStyle w:val="Gvdemetni251"/>
        <w:shd w:val="clear" w:color="auto" w:fill="auto"/>
        <w:tabs>
          <w:tab w:val="left" w:pos="1418"/>
        </w:tabs>
        <w:spacing w:before="120" w:after="120" w:line="240" w:lineRule="auto"/>
        <w:ind w:left="1134" w:firstLine="0"/>
        <w:rPr>
          <w:color w:val="auto"/>
          <w:sz w:val="24"/>
          <w:szCs w:val="24"/>
        </w:rPr>
      </w:pPr>
      <w:r w:rsidRPr="00DE12A3">
        <w:rPr>
          <w:i/>
          <w:iCs/>
          <w:color w:val="auto"/>
          <w:spacing w:val="4"/>
          <w:sz w:val="24"/>
          <w:szCs w:val="24"/>
        </w:rPr>
        <w:t>m</w:t>
      </w:r>
      <w:r w:rsidRPr="00DE12A3">
        <w:rPr>
          <w:iCs/>
          <w:color w:val="auto"/>
          <w:spacing w:val="4"/>
          <w:sz w:val="24"/>
          <w:szCs w:val="24"/>
          <w:vertAlign w:val="subscript"/>
        </w:rPr>
        <w:t>sep</w:t>
      </w:r>
      <w:r w:rsidRPr="00DE12A3">
        <w:rPr>
          <w:i/>
          <w:iCs/>
          <w:color w:val="auto"/>
          <w:spacing w:val="4"/>
          <w:sz w:val="24"/>
          <w:szCs w:val="24"/>
          <w:vertAlign w:val="subscript"/>
        </w:rPr>
        <w:t>i</w:t>
      </w:r>
      <w:r w:rsidRPr="00DE12A3">
        <w:rPr>
          <w:iCs/>
          <w:color w:val="auto"/>
          <w:spacing w:val="4"/>
          <w:sz w:val="24"/>
          <w:szCs w:val="24"/>
        </w:rPr>
        <w:tab/>
        <w:t>=</w:t>
      </w:r>
      <w:r w:rsidRPr="00DE12A3">
        <w:rPr>
          <w:i/>
          <w:color w:val="auto"/>
          <w:spacing w:val="4"/>
          <w:sz w:val="24"/>
          <w:szCs w:val="24"/>
        </w:rPr>
        <w:t>i</w:t>
      </w:r>
      <w:r w:rsidRPr="00DE12A3">
        <w:rPr>
          <w:iCs/>
          <w:color w:val="auto"/>
          <w:spacing w:val="4"/>
          <w:sz w:val="24"/>
          <w:szCs w:val="24"/>
        </w:rPr>
        <w:t xml:space="preserve"> modunda </w:t>
      </w:r>
      <w:r w:rsidR="007E2039" w:rsidRPr="00DE12A3">
        <w:rPr>
          <w:iCs/>
          <w:color w:val="auto"/>
          <w:spacing w:val="4"/>
          <w:sz w:val="24"/>
          <w:szCs w:val="24"/>
        </w:rPr>
        <w:t xml:space="preserve">partikül </w:t>
      </w:r>
      <w:r w:rsidRPr="00DE12A3">
        <w:rPr>
          <w:iCs/>
          <w:color w:val="auto"/>
          <w:spacing w:val="4"/>
          <w:sz w:val="24"/>
          <w:szCs w:val="24"/>
        </w:rPr>
        <w:t>örnekleme filtrelerinden geçen seyreltilmiş egzoz gazı numunesi kütlesi [kg]</w:t>
      </w:r>
    </w:p>
    <w:p w14:paraId="0E5269B7" w14:textId="77777777" w:rsidR="002D7B36" w:rsidRPr="00DE12A3" w:rsidRDefault="00242DA0" w:rsidP="00C917D6">
      <w:pPr>
        <w:pStyle w:val="Gvdemetni251"/>
        <w:shd w:val="clear" w:color="auto" w:fill="auto"/>
        <w:tabs>
          <w:tab w:val="left" w:pos="1418"/>
        </w:tabs>
        <w:spacing w:before="120" w:after="120" w:line="240" w:lineRule="auto"/>
        <w:ind w:left="1134" w:firstLine="0"/>
        <w:rPr>
          <w:color w:val="auto"/>
          <w:sz w:val="24"/>
          <w:szCs w:val="24"/>
        </w:rPr>
      </w:pPr>
      <w:r w:rsidRPr="00DE12A3">
        <w:rPr>
          <w:i/>
          <w:color w:val="auto"/>
          <w:sz w:val="24"/>
          <w:szCs w:val="24"/>
        </w:rPr>
        <w:t>q</w:t>
      </w:r>
      <w:r w:rsidRPr="00DE12A3">
        <w:rPr>
          <w:color w:val="auto"/>
          <w:sz w:val="24"/>
          <w:szCs w:val="24"/>
          <w:vertAlign w:val="subscript"/>
        </w:rPr>
        <w:t>medf</w:t>
      </w:r>
      <w:r w:rsidRPr="00DE12A3">
        <w:rPr>
          <w:color w:val="auto"/>
          <w:sz w:val="24"/>
          <w:szCs w:val="24"/>
        </w:rPr>
        <w:tab/>
        <w:t>=ortalama denk seyreltilmiş egzoz gazı kütle akış hızı [kg/s]</w:t>
      </w:r>
    </w:p>
    <w:p w14:paraId="0AAE57C4" w14:textId="77777777" w:rsidR="002D7B36" w:rsidRPr="00DE12A3" w:rsidRDefault="00242DA0" w:rsidP="00C917D6">
      <w:pPr>
        <w:pStyle w:val="Gvdemetni251"/>
        <w:shd w:val="clear" w:color="auto" w:fill="auto"/>
        <w:tabs>
          <w:tab w:val="left" w:pos="1418"/>
        </w:tabs>
        <w:spacing w:before="120" w:after="120" w:line="240" w:lineRule="auto"/>
        <w:ind w:left="1134" w:firstLine="0"/>
        <w:rPr>
          <w:color w:val="auto"/>
          <w:sz w:val="24"/>
          <w:szCs w:val="24"/>
        </w:rPr>
      </w:pPr>
      <w:r w:rsidRPr="00DE12A3">
        <w:rPr>
          <w:i/>
          <w:iCs/>
          <w:color w:val="auto"/>
          <w:sz w:val="24"/>
          <w:szCs w:val="24"/>
        </w:rPr>
        <w:t>q</w:t>
      </w:r>
      <w:r w:rsidRPr="00DE12A3">
        <w:rPr>
          <w:iCs/>
          <w:color w:val="auto"/>
          <w:sz w:val="24"/>
          <w:szCs w:val="24"/>
          <w:vertAlign w:val="subscript"/>
        </w:rPr>
        <w:t>medf</w:t>
      </w:r>
      <w:r w:rsidRPr="00DE12A3">
        <w:rPr>
          <w:i/>
          <w:iCs/>
          <w:color w:val="auto"/>
          <w:sz w:val="24"/>
          <w:szCs w:val="24"/>
          <w:vertAlign w:val="subscript"/>
        </w:rPr>
        <w:t>i</w:t>
      </w:r>
      <w:r w:rsidRPr="00DE12A3">
        <w:rPr>
          <w:iCs/>
          <w:color w:val="auto"/>
          <w:sz w:val="24"/>
          <w:szCs w:val="24"/>
        </w:rPr>
        <w:tab/>
        <w:t>=</w:t>
      </w:r>
      <w:r w:rsidRPr="00DE12A3">
        <w:rPr>
          <w:i/>
          <w:color w:val="auto"/>
          <w:sz w:val="24"/>
          <w:szCs w:val="24"/>
        </w:rPr>
        <w:t>i</w:t>
      </w:r>
      <w:r w:rsidRPr="00DE12A3">
        <w:rPr>
          <w:iCs/>
          <w:color w:val="auto"/>
          <w:sz w:val="24"/>
          <w:szCs w:val="24"/>
        </w:rPr>
        <w:t xml:space="preserve"> modunda denk seyreltilmiş egzoz gazı kütle akış hızı [kg/s]</w:t>
      </w:r>
    </w:p>
    <w:p w14:paraId="5D69BC37" w14:textId="77777777" w:rsidR="002D7B36" w:rsidRPr="00DE12A3" w:rsidRDefault="00242DA0" w:rsidP="00C917D6">
      <w:pPr>
        <w:pStyle w:val="Gvdemetni251"/>
        <w:shd w:val="clear" w:color="auto" w:fill="auto"/>
        <w:tabs>
          <w:tab w:val="left" w:pos="1418"/>
        </w:tabs>
        <w:spacing w:before="120" w:after="120" w:line="240" w:lineRule="auto"/>
        <w:ind w:left="1134" w:firstLine="0"/>
        <w:rPr>
          <w:iCs/>
          <w:color w:val="auto"/>
          <w:spacing w:val="4"/>
          <w:sz w:val="24"/>
          <w:szCs w:val="24"/>
        </w:rPr>
      </w:pPr>
      <w:r w:rsidRPr="00DE12A3">
        <w:rPr>
          <w:i/>
          <w:iCs/>
          <w:color w:val="auto"/>
          <w:spacing w:val="4"/>
          <w:sz w:val="24"/>
          <w:szCs w:val="24"/>
        </w:rPr>
        <w:t>m</w:t>
      </w:r>
      <w:r w:rsidRPr="00DE12A3">
        <w:rPr>
          <w:iCs/>
          <w:color w:val="auto"/>
          <w:spacing w:val="4"/>
          <w:sz w:val="24"/>
          <w:szCs w:val="24"/>
          <w:vertAlign w:val="subscript"/>
        </w:rPr>
        <w:t>sep</w:t>
      </w:r>
      <w:r w:rsidRPr="00DE12A3">
        <w:rPr>
          <w:iCs/>
          <w:color w:val="auto"/>
          <w:spacing w:val="4"/>
          <w:sz w:val="24"/>
          <w:szCs w:val="24"/>
        </w:rPr>
        <w:tab/>
        <w:t>=</w:t>
      </w:r>
      <w:r w:rsidR="007E2039" w:rsidRPr="00DE12A3">
        <w:rPr>
          <w:iCs/>
          <w:color w:val="auto"/>
          <w:spacing w:val="4"/>
          <w:sz w:val="24"/>
          <w:szCs w:val="24"/>
        </w:rPr>
        <w:t xml:space="preserve">partikül </w:t>
      </w:r>
      <w:r w:rsidRPr="00DE12A3">
        <w:rPr>
          <w:iCs/>
          <w:color w:val="auto"/>
          <w:spacing w:val="4"/>
          <w:sz w:val="24"/>
          <w:szCs w:val="24"/>
        </w:rPr>
        <w:t>örnekleme filtrelerinden geçen seyreltilmiş egzoz gazı numunesi kütlesi [kg]</w:t>
      </w:r>
    </w:p>
    <w:p w14:paraId="3C6664CB" w14:textId="7156808B" w:rsidR="002D7B36" w:rsidRPr="00DE12A3" w:rsidRDefault="00BC0085" w:rsidP="00C917D6">
      <w:pPr>
        <w:pStyle w:val="Gvdemetni251"/>
        <w:shd w:val="clear" w:color="auto" w:fill="auto"/>
        <w:spacing w:before="120" w:after="120" w:line="240" w:lineRule="auto"/>
        <w:ind w:left="1134" w:hanging="1134"/>
        <w:rPr>
          <w:color w:val="auto"/>
          <w:sz w:val="24"/>
          <w:szCs w:val="24"/>
        </w:rPr>
      </w:pPr>
      <w:r w:rsidRPr="00DE12A3">
        <w:rPr>
          <w:color w:val="auto"/>
          <w:sz w:val="24"/>
          <w:szCs w:val="24"/>
        </w:rPr>
        <w:t xml:space="preserve">                  </w:t>
      </w:r>
      <w:r w:rsidR="00242DA0" w:rsidRPr="00DE12A3">
        <w:rPr>
          <w:color w:val="auto"/>
          <w:sz w:val="24"/>
          <w:szCs w:val="24"/>
        </w:rPr>
        <w:t>Geçerli ağırlıklandırma faktörlerinin değeri, X</w:t>
      </w:r>
      <w:r w:rsidR="00FA0678" w:rsidRPr="00DE12A3">
        <w:rPr>
          <w:color w:val="auto"/>
          <w:sz w:val="24"/>
          <w:szCs w:val="24"/>
        </w:rPr>
        <w:t xml:space="preserve">VII’nci </w:t>
      </w:r>
      <w:r w:rsidR="00483E27" w:rsidRPr="00DE12A3">
        <w:rPr>
          <w:color w:val="auto"/>
          <w:sz w:val="24"/>
          <w:szCs w:val="24"/>
        </w:rPr>
        <w:t>E</w:t>
      </w:r>
      <w:r w:rsidR="00FA0678" w:rsidRPr="00DE12A3">
        <w:rPr>
          <w:color w:val="auto"/>
          <w:sz w:val="24"/>
          <w:szCs w:val="24"/>
        </w:rPr>
        <w:t>k</w:t>
      </w:r>
      <w:r w:rsidR="00242DA0" w:rsidRPr="00DE12A3">
        <w:rPr>
          <w:color w:val="auto"/>
          <w:sz w:val="24"/>
          <w:szCs w:val="24"/>
        </w:rPr>
        <w:t xml:space="preserve">in </w:t>
      </w:r>
      <w:r w:rsidR="00FA0678" w:rsidRPr="00DE12A3">
        <w:rPr>
          <w:color w:val="auto"/>
          <w:sz w:val="24"/>
          <w:szCs w:val="24"/>
        </w:rPr>
        <w:t>1. Açıklayıcı Ekin</w:t>
      </w:r>
      <w:r w:rsidR="00242DA0" w:rsidRPr="00DE12A3">
        <w:rPr>
          <w:color w:val="auto"/>
          <w:sz w:val="24"/>
          <w:szCs w:val="24"/>
        </w:rPr>
        <w:t>de listelenen ağırlıklandırma faktörlerinin 0,005 (mutlak değer) aralığı içinde olmalıdır.</w:t>
      </w:r>
    </w:p>
    <w:p w14:paraId="3F359F48" w14:textId="77777777" w:rsidR="002D7B36" w:rsidRPr="00DE12A3" w:rsidRDefault="00986213" w:rsidP="00E20716">
      <w:pPr>
        <w:pStyle w:val="Gvdemetni251"/>
        <w:numPr>
          <w:ilvl w:val="0"/>
          <w:numId w:val="414"/>
        </w:numPr>
        <w:shd w:val="clear" w:color="auto" w:fill="auto"/>
        <w:spacing w:before="120" w:after="120" w:line="240" w:lineRule="auto"/>
        <w:ind w:left="1134" w:hanging="1134"/>
        <w:rPr>
          <w:color w:val="auto"/>
          <w:sz w:val="24"/>
          <w:szCs w:val="24"/>
        </w:rPr>
      </w:pPr>
      <w:r w:rsidRPr="00DE12A3">
        <w:rPr>
          <w:color w:val="auto"/>
          <w:sz w:val="24"/>
          <w:szCs w:val="24"/>
        </w:rPr>
        <w:t xml:space="preserve">       </w:t>
      </w:r>
      <w:r w:rsidR="00242DA0" w:rsidRPr="00DE12A3">
        <w:rPr>
          <w:color w:val="auto"/>
          <w:sz w:val="24"/>
          <w:szCs w:val="24"/>
        </w:rPr>
        <w:t>Seyrek (periyodik) bazda yenilenen emisyon kontrollerine yönelik ayarlama</w:t>
      </w:r>
    </w:p>
    <w:p w14:paraId="072C5757" w14:textId="08EE58D4" w:rsidR="002D7B36" w:rsidRPr="00DE12A3" w:rsidRDefault="00986213" w:rsidP="00C917D6">
      <w:pPr>
        <w:pStyle w:val="Gvdemetni251"/>
        <w:shd w:val="clear" w:color="auto" w:fill="auto"/>
        <w:spacing w:before="120" w:after="120" w:line="240" w:lineRule="auto"/>
        <w:ind w:left="1134" w:hanging="1134"/>
        <w:rPr>
          <w:color w:val="auto"/>
          <w:sz w:val="24"/>
          <w:szCs w:val="24"/>
        </w:rPr>
      </w:pPr>
      <w:r w:rsidRPr="00DE12A3">
        <w:rPr>
          <w:color w:val="auto"/>
          <w:sz w:val="24"/>
          <w:szCs w:val="24"/>
        </w:rPr>
        <w:t xml:space="preserve">                  </w:t>
      </w:r>
      <w:r w:rsidR="00242DA0" w:rsidRPr="00DE12A3">
        <w:rPr>
          <w:color w:val="auto"/>
          <w:sz w:val="24"/>
          <w:szCs w:val="24"/>
        </w:rPr>
        <w:t xml:space="preserve">RLL kategorisindekiler dışındaki, seyrek (periyodik) bazda yenilenen egzoz </w:t>
      </w:r>
      <w:r w:rsidR="007E2039" w:rsidRPr="00DE12A3">
        <w:rPr>
          <w:color w:val="auto"/>
          <w:sz w:val="24"/>
          <w:szCs w:val="24"/>
        </w:rPr>
        <w:t xml:space="preserve">arıtma </w:t>
      </w:r>
      <w:r w:rsidR="00242DA0" w:rsidRPr="00DE12A3">
        <w:rPr>
          <w:color w:val="auto"/>
          <w:sz w:val="24"/>
          <w:szCs w:val="24"/>
        </w:rPr>
        <w:t xml:space="preserve">sistemleriyle donatılmış motorlar söz konusu olduğunda (bkz. </w:t>
      </w:r>
      <w:r w:rsidR="00FA0678" w:rsidRPr="00DE12A3">
        <w:rPr>
          <w:color w:val="auto"/>
          <w:sz w:val="24"/>
          <w:szCs w:val="24"/>
        </w:rPr>
        <w:t xml:space="preserve">VI’ncı </w:t>
      </w:r>
      <w:r w:rsidR="00D2738D" w:rsidRPr="00DE12A3">
        <w:rPr>
          <w:color w:val="auto"/>
          <w:sz w:val="24"/>
          <w:szCs w:val="24"/>
        </w:rPr>
        <w:t>E</w:t>
      </w:r>
      <w:r w:rsidR="00FA0678" w:rsidRPr="00DE12A3">
        <w:rPr>
          <w:color w:val="auto"/>
          <w:sz w:val="24"/>
          <w:szCs w:val="24"/>
        </w:rPr>
        <w:t>k</w:t>
      </w:r>
      <w:r w:rsidR="00242DA0" w:rsidRPr="00DE12A3">
        <w:rPr>
          <w:color w:val="auto"/>
          <w:sz w:val="24"/>
          <w:szCs w:val="24"/>
        </w:rPr>
        <w:t xml:space="preserve">, 6.6.2 bendi), 2.4.1 ve 2.4.2 bentleri uyarınca hesaplanan gaz ve </w:t>
      </w:r>
      <w:r w:rsidR="007E2039" w:rsidRPr="00DE12A3">
        <w:rPr>
          <w:color w:val="auto"/>
          <w:sz w:val="24"/>
          <w:szCs w:val="24"/>
        </w:rPr>
        <w:t xml:space="preserve">partikül </w:t>
      </w:r>
      <w:r w:rsidR="00242DA0" w:rsidRPr="00DE12A3">
        <w:rPr>
          <w:color w:val="auto"/>
          <w:sz w:val="24"/>
          <w:szCs w:val="24"/>
        </w:rPr>
        <w:t xml:space="preserve">halindeki kirleticilere ait spesifik </w:t>
      </w:r>
      <w:r w:rsidR="00D2738D" w:rsidRPr="00DE12A3">
        <w:rPr>
          <w:color w:val="auto"/>
          <w:sz w:val="24"/>
          <w:szCs w:val="24"/>
        </w:rPr>
        <w:t>emisyonlar, geçerli</w:t>
      </w:r>
      <w:r w:rsidR="00242DA0" w:rsidRPr="00DE12A3">
        <w:rPr>
          <w:color w:val="auto"/>
          <w:sz w:val="24"/>
          <w:szCs w:val="24"/>
        </w:rPr>
        <w:t xml:space="preserve"> çarpımsal ayarlama faktörleri </w:t>
      </w:r>
      <w:r w:rsidR="00B02387" w:rsidRPr="00DE12A3">
        <w:rPr>
          <w:color w:val="auto"/>
          <w:sz w:val="24"/>
          <w:szCs w:val="24"/>
        </w:rPr>
        <w:t>veya</w:t>
      </w:r>
      <w:r w:rsidR="00242DA0" w:rsidRPr="00DE12A3">
        <w:rPr>
          <w:color w:val="auto"/>
          <w:sz w:val="24"/>
          <w:szCs w:val="24"/>
        </w:rPr>
        <w:t xml:space="preserve"> geçerli ilave ayarlama faktörleri ile düzeltilmelidir. Test sırasında seyrek rejenerasyon gerçekleşmemesi durumunda, yukarı doğru faktör uygulanmalıdır (k</w:t>
      </w:r>
      <w:r w:rsidR="00242DA0" w:rsidRPr="00DE12A3">
        <w:rPr>
          <w:color w:val="auto"/>
          <w:sz w:val="24"/>
          <w:szCs w:val="24"/>
          <w:vertAlign w:val="subscript"/>
        </w:rPr>
        <w:t xml:space="preserve">ru,m </w:t>
      </w:r>
      <w:r w:rsidR="00242DA0" w:rsidRPr="00DE12A3">
        <w:rPr>
          <w:color w:val="auto"/>
          <w:sz w:val="24"/>
          <w:szCs w:val="24"/>
        </w:rPr>
        <w:t>veya k</w:t>
      </w:r>
      <w:r w:rsidR="00242DA0" w:rsidRPr="00DE12A3">
        <w:rPr>
          <w:color w:val="auto"/>
          <w:sz w:val="24"/>
          <w:szCs w:val="24"/>
          <w:vertAlign w:val="subscript"/>
        </w:rPr>
        <w:t>ru,a</w:t>
      </w:r>
      <w:r w:rsidR="00242DA0" w:rsidRPr="00DE12A3">
        <w:rPr>
          <w:color w:val="auto"/>
          <w:sz w:val="24"/>
          <w:szCs w:val="24"/>
        </w:rPr>
        <w:t>). Test sırasında seyrek rejenerasyon gerçekleşmesi durumunda, aşağı doğru faktör uygulanmalıdır (k</w:t>
      </w:r>
      <w:r w:rsidR="00242DA0" w:rsidRPr="00DE12A3">
        <w:rPr>
          <w:color w:val="auto"/>
          <w:sz w:val="24"/>
          <w:szCs w:val="24"/>
          <w:vertAlign w:val="subscript"/>
        </w:rPr>
        <w:t xml:space="preserve">rd,m </w:t>
      </w:r>
      <w:r w:rsidR="00242DA0" w:rsidRPr="00DE12A3">
        <w:rPr>
          <w:color w:val="auto"/>
          <w:sz w:val="24"/>
          <w:szCs w:val="24"/>
        </w:rPr>
        <w:t>veya k</w:t>
      </w:r>
      <w:r w:rsidR="00242DA0" w:rsidRPr="00DE12A3">
        <w:rPr>
          <w:color w:val="auto"/>
          <w:sz w:val="24"/>
          <w:szCs w:val="24"/>
          <w:vertAlign w:val="subscript"/>
        </w:rPr>
        <w:t>rd,a</w:t>
      </w:r>
      <w:r w:rsidR="00242DA0" w:rsidRPr="00DE12A3">
        <w:rPr>
          <w:color w:val="auto"/>
          <w:sz w:val="24"/>
          <w:szCs w:val="24"/>
        </w:rPr>
        <w:t>). Her mod için ayar faktörlerinin belirlendiği ayrık modlu NRSC durumunda, ağırlıklı emisyon sonucunun hesaplanması sırasında bu faktörler her moda uygulanmalıdır.</w:t>
      </w:r>
    </w:p>
    <w:p w14:paraId="4B1F5156" w14:textId="77777777" w:rsidR="002D7B36" w:rsidRPr="00DE12A3" w:rsidRDefault="00986213" w:rsidP="00E20716">
      <w:pPr>
        <w:pStyle w:val="Gvdemetni251"/>
        <w:numPr>
          <w:ilvl w:val="0"/>
          <w:numId w:val="414"/>
        </w:numPr>
        <w:shd w:val="clear" w:color="auto" w:fill="auto"/>
        <w:spacing w:before="120" w:after="120" w:line="240" w:lineRule="auto"/>
        <w:ind w:left="1134" w:hanging="1134"/>
        <w:rPr>
          <w:color w:val="auto"/>
          <w:sz w:val="24"/>
          <w:szCs w:val="24"/>
        </w:rPr>
      </w:pPr>
      <w:r w:rsidRPr="00DE12A3">
        <w:rPr>
          <w:color w:val="auto"/>
          <w:sz w:val="24"/>
          <w:szCs w:val="24"/>
        </w:rPr>
        <w:t xml:space="preserve">       </w:t>
      </w:r>
      <w:r w:rsidR="00242DA0" w:rsidRPr="00DE12A3">
        <w:rPr>
          <w:color w:val="auto"/>
          <w:sz w:val="24"/>
          <w:szCs w:val="24"/>
        </w:rPr>
        <w:t>Bozulma faktörü için ayarlama</w:t>
      </w:r>
    </w:p>
    <w:p w14:paraId="0B803AF2" w14:textId="165F7174" w:rsidR="002D7B36" w:rsidRPr="00DE12A3" w:rsidRDefault="00986213" w:rsidP="00C917D6">
      <w:pPr>
        <w:pStyle w:val="Gvdemetni251"/>
        <w:shd w:val="clear" w:color="auto" w:fill="auto"/>
        <w:spacing w:before="120" w:after="120" w:line="240" w:lineRule="auto"/>
        <w:ind w:left="1134" w:hanging="1134"/>
        <w:rPr>
          <w:color w:val="auto"/>
          <w:sz w:val="24"/>
          <w:szCs w:val="24"/>
        </w:rPr>
      </w:pPr>
      <w:r w:rsidRPr="00DE12A3">
        <w:rPr>
          <w:color w:val="auto"/>
          <w:sz w:val="24"/>
          <w:szCs w:val="24"/>
        </w:rPr>
        <w:t xml:space="preserve">                  </w:t>
      </w:r>
      <w:r w:rsidR="00242DA0" w:rsidRPr="00DE12A3">
        <w:rPr>
          <w:color w:val="auto"/>
          <w:sz w:val="24"/>
          <w:szCs w:val="24"/>
        </w:rPr>
        <w:t xml:space="preserve">2.4.3 bendi uyarınca varsa seyrek rejenerasyon ayar faktörünün dahil olduğu, 2.4.1 ve 2.4.2 bentleri uyarınca hesaplanan gaz ve </w:t>
      </w:r>
      <w:r w:rsidR="007E2039" w:rsidRPr="00DE12A3">
        <w:rPr>
          <w:color w:val="auto"/>
          <w:sz w:val="24"/>
          <w:szCs w:val="24"/>
        </w:rPr>
        <w:t xml:space="preserve">partikül </w:t>
      </w:r>
      <w:r w:rsidR="00242DA0" w:rsidRPr="00DE12A3">
        <w:rPr>
          <w:color w:val="auto"/>
          <w:sz w:val="24"/>
          <w:szCs w:val="24"/>
        </w:rPr>
        <w:t xml:space="preserve">halindeki kirleticilere ait spesifik emisyonlar, aynı zamanda </w:t>
      </w:r>
      <w:r w:rsidR="004955A8" w:rsidRPr="00DE12A3">
        <w:rPr>
          <w:color w:val="auto"/>
          <w:sz w:val="24"/>
          <w:szCs w:val="24"/>
        </w:rPr>
        <w:t xml:space="preserve">bu Tebliğin </w:t>
      </w:r>
      <w:r w:rsidR="00242DA0" w:rsidRPr="00DE12A3">
        <w:rPr>
          <w:color w:val="auto"/>
          <w:sz w:val="24"/>
          <w:szCs w:val="24"/>
        </w:rPr>
        <w:t>III</w:t>
      </w:r>
      <w:r w:rsidR="00B02387" w:rsidRPr="00DE12A3">
        <w:rPr>
          <w:color w:val="auto"/>
          <w:sz w:val="24"/>
          <w:szCs w:val="24"/>
        </w:rPr>
        <w:t>’üncü</w:t>
      </w:r>
      <w:r w:rsidR="00242DA0" w:rsidRPr="00DE12A3">
        <w:rPr>
          <w:color w:val="auto"/>
          <w:sz w:val="24"/>
          <w:szCs w:val="24"/>
        </w:rPr>
        <w:t xml:space="preserve"> </w:t>
      </w:r>
      <w:r w:rsidR="00D2738D" w:rsidRPr="00DE12A3">
        <w:rPr>
          <w:color w:val="auto"/>
          <w:sz w:val="24"/>
          <w:szCs w:val="24"/>
        </w:rPr>
        <w:t>E</w:t>
      </w:r>
      <w:r w:rsidR="00242DA0" w:rsidRPr="00DE12A3">
        <w:rPr>
          <w:color w:val="auto"/>
          <w:sz w:val="24"/>
          <w:szCs w:val="24"/>
        </w:rPr>
        <w:t>k</w:t>
      </w:r>
      <w:r w:rsidR="004955A8" w:rsidRPr="00DE12A3">
        <w:rPr>
          <w:color w:val="auto"/>
          <w:sz w:val="24"/>
          <w:szCs w:val="24"/>
        </w:rPr>
        <w:t>inde yer alan</w:t>
      </w:r>
      <w:r w:rsidR="00242DA0" w:rsidRPr="00DE12A3">
        <w:rPr>
          <w:color w:val="auto"/>
          <w:sz w:val="24"/>
          <w:szCs w:val="24"/>
        </w:rPr>
        <w:t xml:space="preserve"> şartlar uyarınca oluşturulan geçerli çarpımsal veya ilave bozulma faktörü ile ayarlanmalıdır.</w:t>
      </w:r>
    </w:p>
    <w:p w14:paraId="5161FC34" w14:textId="564095DA" w:rsidR="002D7B36" w:rsidRPr="00DE12A3" w:rsidRDefault="00986213" w:rsidP="00E20716">
      <w:pPr>
        <w:pStyle w:val="Gvdemetni251"/>
        <w:numPr>
          <w:ilvl w:val="0"/>
          <w:numId w:val="417"/>
        </w:numPr>
        <w:shd w:val="clear" w:color="auto" w:fill="auto"/>
        <w:tabs>
          <w:tab w:val="left" w:pos="768"/>
        </w:tabs>
        <w:spacing w:before="120" w:after="120" w:line="240" w:lineRule="auto"/>
        <w:ind w:left="1134" w:hanging="1134"/>
        <w:rPr>
          <w:color w:val="auto"/>
          <w:sz w:val="24"/>
          <w:szCs w:val="24"/>
        </w:rPr>
      </w:pPr>
      <w:r w:rsidRPr="00DE12A3">
        <w:rPr>
          <w:color w:val="auto"/>
          <w:sz w:val="24"/>
          <w:szCs w:val="24"/>
        </w:rPr>
        <w:t xml:space="preserve">      </w:t>
      </w:r>
      <w:r w:rsidR="00242DA0" w:rsidRPr="00DE12A3">
        <w:rPr>
          <w:color w:val="auto"/>
          <w:sz w:val="24"/>
          <w:szCs w:val="24"/>
        </w:rPr>
        <w:t xml:space="preserve">Seyreltilmiş </w:t>
      </w:r>
      <w:r w:rsidR="004955A8" w:rsidRPr="00DE12A3">
        <w:rPr>
          <w:color w:val="auto"/>
          <w:sz w:val="24"/>
          <w:szCs w:val="24"/>
        </w:rPr>
        <w:t>e</w:t>
      </w:r>
      <w:r w:rsidR="00242DA0" w:rsidRPr="00DE12A3">
        <w:rPr>
          <w:color w:val="auto"/>
          <w:sz w:val="24"/>
          <w:szCs w:val="24"/>
        </w:rPr>
        <w:t xml:space="preserve">gzoz </w:t>
      </w:r>
      <w:r w:rsidR="004955A8" w:rsidRPr="00DE12A3">
        <w:rPr>
          <w:color w:val="auto"/>
          <w:sz w:val="24"/>
          <w:szCs w:val="24"/>
        </w:rPr>
        <w:t>a</w:t>
      </w:r>
      <w:r w:rsidR="00242DA0" w:rsidRPr="00DE12A3">
        <w:rPr>
          <w:color w:val="auto"/>
          <w:sz w:val="24"/>
          <w:szCs w:val="24"/>
        </w:rPr>
        <w:t xml:space="preserve">kışı (CVS) </w:t>
      </w:r>
      <w:r w:rsidR="004955A8" w:rsidRPr="00DE12A3">
        <w:rPr>
          <w:color w:val="auto"/>
          <w:sz w:val="24"/>
          <w:szCs w:val="24"/>
        </w:rPr>
        <w:t>k</w:t>
      </w:r>
      <w:r w:rsidR="00242DA0" w:rsidRPr="00DE12A3">
        <w:rPr>
          <w:color w:val="auto"/>
          <w:sz w:val="24"/>
          <w:szCs w:val="24"/>
        </w:rPr>
        <w:t xml:space="preserve">alibrasyonu ve </w:t>
      </w:r>
      <w:r w:rsidR="004955A8" w:rsidRPr="00DE12A3">
        <w:rPr>
          <w:color w:val="auto"/>
          <w:sz w:val="24"/>
          <w:szCs w:val="24"/>
        </w:rPr>
        <w:t>i</w:t>
      </w:r>
      <w:r w:rsidR="00242DA0" w:rsidRPr="00DE12A3">
        <w:rPr>
          <w:color w:val="auto"/>
          <w:sz w:val="24"/>
          <w:szCs w:val="24"/>
        </w:rPr>
        <w:t xml:space="preserve">lgili </w:t>
      </w:r>
      <w:r w:rsidR="004955A8" w:rsidRPr="00DE12A3">
        <w:rPr>
          <w:color w:val="auto"/>
          <w:sz w:val="24"/>
          <w:szCs w:val="24"/>
        </w:rPr>
        <w:t>h</w:t>
      </w:r>
      <w:r w:rsidR="00242DA0" w:rsidRPr="00DE12A3">
        <w:rPr>
          <w:color w:val="auto"/>
          <w:sz w:val="24"/>
          <w:szCs w:val="24"/>
        </w:rPr>
        <w:t>esaplamalar</w:t>
      </w:r>
    </w:p>
    <w:p w14:paraId="371529C3" w14:textId="77777777" w:rsidR="002D7B36" w:rsidRPr="00DE12A3" w:rsidRDefault="00986213" w:rsidP="00C917D6">
      <w:pPr>
        <w:pStyle w:val="Gvdemetni251"/>
        <w:shd w:val="clear" w:color="auto" w:fill="auto"/>
        <w:spacing w:before="120" w:after="120" w:line="240" w:lineRule="auto"/>
        <w:ind w:left="1134" w:hanging="1134"/>
        <w:rPr>
          <w:color w:val="auto"/>
          <w:sz w:val="24"/>
          <w:szCs w:val="24"/>
        </w:rPr>
      </w:pPr>
      <w:r w:rsidRPr="00DE12A3">
        <w:rPr>
          <w:color w:val="auto"/>
          <w:sz w:val="24"/>
          <w:szCs w:val="24"/>
        </w:rPr>
        <w:t xml:space="preserve">                   </w:t>
      </w:r>
      <w:r w:rsidR="00242DA0" w:rsidRPr="00DE12A3">
        <w:rPr>
          <w:color w:val="auto"/>
          <w:sz w:val="24"/>
          <w:szCs w:val="24"/>
        </w:rPr>
        <w:t>CVS sistemi, doğru bir debimetre ve bir sınırlandırma cihazı kullanılarak kalibre edilmelidir. Sistemden geçen akış, farklı sınırlandırma ayarlarında ölçülmeli ve sistemin kontrol ve akışla ilgili parametreleri ölçülmelidir.</w:t>
      </w:r>
    </w:p>
    <w:p w14:paraId="41EFF3A2" w14:textId="06C1A61D" w:rsidR="002D7B36" w:rsidRPr="00DE12A3" w:rsidRDefault="00986213" w:rsidP="00C917D6">
      <w:pPr>
        <w:pStyle w:val="Gvdemetni251"/>
        <w:shd w:val="clear" w:color="auto" w:fill="auto"/>
        <w:spacing w:before="120" w:after="120" w:line="240" w:lineRule="auto"/>
        <w:ind w:left="1134" w:hanging="1134"/>
        <w:rPr>
          <w:color w:val="auto"/>
          <w:sz w:val="24"/>
          <w:szCs w:val="24"/>
        </w:rPr>
      </w:pPr>
      <w:r w:rsidRPr="00DE12A3">
        <w:rPr>
          <w:color w:val="auto"/>
          <w:sz w:val="24"/>
          <w:szCs w:val="24"/>
        </w:rPr>
        <w:t xml:space="preserve">                  </w:t>
      </w:r>
      <w:r w:rsidR="00242DA0" w:rsidRPr="00DE12A3">
        <w:rPr>
          <w:color w:val="auto"/>
          <w:sz w:val="24"/>
          <w:szCs w:val="24"/>
        </w:rPr>
        <w:t>Çeşitli debimetreler, örneğin kalibre edilmiş venturi, kalibre edilmiş laminer debimetre, kalibre edilmiş türbin sayaç kullanılabilir.</w:t>
      </w:r>
    </w:p>
    <w:p w14:paraId="2D6266DE" w14:textId="77777777" w:rsidR="002D7B36" w:rsidRPr="00DE12A3" w:rsidRDefault="00986213" w:rsidP="00E20716">
      <w:pPr>
        <w:pStyle w:val="Gvdemetni251"/>
        <w:numPr>
          <w:ilvl w:val="0"/>
          <w:numId w:val="418"/>
        </w:numPr>
        <w:shd w:val="clear" w:color="auto" w:fill="auto"/>
        <w:spacing w:before="120" w:after="120" w:line="240" w:lineRule="auto"/>
        <w:ind w:left="1134" w:hanging="1134"/>
        <w:rPr>
          <w:color w:val="auto"/>
          <w:sz w:val="24"/>
          <w:szCs w:val="24"/>
        </w:rPr>
      </w:pPr>
      <w:r w:rsidRPr="00DE12A3">
        <w:rPr>
          <w:color w:val="auto"/>
          <w:sz w:val="24"/>
          <w:szCs w:val="24"/>
        </w:rPr>
        <w:t xml:space="preserve">       </w:t>
      </w:r>
      <w:r w:rsidR="00242DA0" w:rsidRPr="00DE12A3">
        <w:rPr>
          <w:color w:val="auto"/>
          <w:sz w:val="24"/>
          <w:szCs w:val="24"/>
        </w:rPr>
        <w:t>Pozitif deplasmanlı pompa (PDP)</w:t>
      </w:r>
    </w:p>
    <w:p w14:paraId="33112465" w14:textId="77777777" w:rsidR="002D7B36" w:rsidRPr="00DE12A3" w:rsidRDefault="00986213" w:rsidP="00C917D6">
      <w:pPr>
        <w:pStyle w:val="Gvdemetni251"/>
        <w:shd w:val="clear" w:color="auto" w:fill="auto"/>
        <w:tabs>
          <w:tab w:val="left" w:pos="4030"/>
        </w:tabs>
        <w:spacing w:before="120" w:after="120" w:line="240" w:lineRule="auto"/>
        <w:ind w:left="1134" w:hanging="1134"/>
        <w:rPr>
          <w:color w:val="auto"/>
          <w:sz w:val="24"/>
          <w:szCs w:val="24"/>
        </w:rPr>
      </w:pPr>
      <w:r w:rsidRPr="00DE12A3">
        <w:rPr>
          <w:color w:val="auto"/>
          <w:sz w:val="24"/>
          <w:szCs w:val="24"/>
        </w:rPr>
        <w:t xml:space="preserve">                  </w:t>
      </w:r>
      <w:r w:rsidR="00242DA0" w:rsidRPr="00DE12A3">
        <w:rPr>
          <w:color w:val="auto"/>
          <w:sz w:val="24"/>
          <w:szCs w:val="24"/>
        </w:rPr>
        <w:t>Pompa ile ilgili tüm parametreler, pompa ile seri olarak bağlanmış bir kalibrasyon venturisi ile ilgili parametrelerle birlikte eş zamanlı olarak ölçülmelidir. Hesaplanan akış hızı (m</w:t>
      </w:r>
      <w:r w:rsidR="00242DA0" w:rsidRPr="00DE12A3">
        <w:rPr>
          <w:color w:val="auto"/>
          <w:sz w:val="24"/>
          <w:szCs w:val="24"/>
          <w:vertAlign w:val="superscript"/>
        </w:rPr>
        <w:t>3</w:t>
      </w:r>
      <w:r w:rsidR="00242DA0" w:rsidRPr="00DE12A3">
        <w:rPr>
          <w:color w:val="auto"/>
          <w:sz w:val="24"/>
          <w:szCs w:val="24"/>
        </w:rPr>
        <w:t xml:space="preserve">/s cinsinden pompa girişinde, mutlak basınçta ve sıcaklıkta), pompa parametrelerinin belirli bir birleşimine ait değer olan bir korelasyon fonksiyonuna göre çizilmelidir. Pompa akışını ve korelasyon fonksiyonunu ilişkilendiren doğrusal denklem belirlenmelidir. Bir CVS birden </w:t>
      </w:r>
      <w:r w:rsidR="00242DA0" w:rsidRPr="00DE12A3">
        <w:rPr>
          <w:color w:val="auto"/>
          <w:sz w:val="24"/>
          <w:szCs w:val="24"/>
        </w:rPr>
        <w:lastRenderedPageBreak/>
        <w:t>fazla devirli bir tahriğe sahipse, kullanılan her aralık için kalibrasyon yapılmalıdır.</w:t>
      </w:r>
    </w:p>
    <w:p w14:paraId="33AE170D" w14:textId="77777777" w:rsidR="002D7B36" w:rsidRPr="00DE12A3" w:rsidRDefault="00986213" w:rsidP="00C917D6">
      <w:pPr>
        <w:pStyle w:val="Gvdemetni251"/>
        <w:shd w:val="clear" w:color="auto" w:fill="auto"/>
        <w:spacing w:before="120" w:after="120" w:line="240" w:lineRule="auto"/>
        <w:ind w:left="1134" w:hanging="1134"/>
        <w:rPr>
          <w:color w:val="auto"/>
          <w:sz w:val="24"/>
          <w:szCs w:val="24"/>
        </w:rPr>
      </w:pPr>
      <w:r w:rsidRPr="00DE12A3">
        <w:rPr>
          <w:color w:val="auto"/>
          <w:sz w:val="24"/>
          <w:szCs w:val="24"/>
        </w:rPr>
        <w:t xml:space="preserve">                  </w:t>
      </w:r>
      <w:r w:rsidR="00242DA0" w:rsidRPr="00DE12A3">
        <w:rPr>
          <w:color w:val="auto"/>
          <w:sz w:val="24"/>
          <w:szCs w:val="24"/>
        </w:rPr>
        <w:t>Kalibrasyon sırasında sıcaklık dengesi muhafaza edilmelidir.</w:t>
      </w:r>
    </w:p>
    <w:p w14:paraId="38B717D4" w14:textId="08F204DF" w:rsidR="002D7B36" w:rsidRPr="00DE12A3" w:rsidRDefault="00986213" w:rsidP="00C917D6">
      <w:pPr>
        <w:pStyle w:val="Gvdemetni251"/>
        <w:shd w:val="clear" w:color="auto" w:fill="auto"/>
        <w:spacing w:before="120" w:after="120" w:line="240" w:lineRule="auto"/>
        <w:ind w:left="1134" w:hanging="1134"/>
        <w:rPr>
          <w:color w:val="auto"/>
          <w:sz w:val="24"/>
          <w:szCs w:val="24"/>
        </w:rPr>
      </w:pPr>
      <w:r w:rsidRPr="00DE12A3">
        <w:rPr>
          <w:color w:val="auto"/>
          <w:sz w:val="24"/>
          <w:szCs w:val="24"/>
        </w:rPr>
        <w:t xml:space="preserve">                  </w:t>
      </w:r>
      <w:r w:rsidR="00242DA0" w:rsidRPr="00DE12A3">
        <w:rPr>
          <w:color w:val="auto"/>
          <w:sz w:val="24"/>
          <w:szCs w:val="24"/>
        </w:rPr>
        <w:t xml:space="preserve">Kalibrasyon venturisi ile CVS pompası arasındaki tüm bağlantı ve kanallardaki kaçaklar, en düşük akış noktasının (en yüksek sınırlandırma ve en düşük PDP devir noktası) </w:t>
      </w:r>
      <w:r w:rsidR="00B02387" w:rsidRPr="00DE12A3">
        <w:rPr>
          <w:color w:val="auto"/>
          <w:sz w:val="24"/>
          <w:szCs w:val="24"/>
        </w:rPr>
        <w:t>%0,3</w:t>
      </w:r>
      <w:r w:rsidR="00242DA0" w:rsidRPr="00DE12A3">
        <w:rPr>
          <w:color w:val="auto"/>
          <w:sz w:val="24"/>
          <w:szCs w:val="24"/>
        </w:rPr>
        <w:t>'ünün altında tutulmalıdır.</w:t>
      </w:r>
    </w:p>
    <w:p w14:paraId="6319EC24" w14:textId="0A63D1FB" w:rsidR="002D7B36" w:rsidRPr="00DE12A3" w:rsidRDefault="00986213" w:rsidP="00C917D6">
      <w:pPr>
        <w:pStyle w:val="Gvdemetni251"/>
        <w:shd w:val="clear" w:color="auto" w:fill="auto"/>
        <w:spacing w:before="120" w:after="120" w:line="240" w:lineRule="auto"/>
        <w:ind w:left="1134" w:hanging="1134"/>
        <w:rPr>
          <w:color w:val="auto"/>
          <w:sz w:val="24"/>
          <w:szCs w:val="24"/>
        </w:rPr>
      </w:pPr>
      <w:r w:rsidRPr="00DE12A3">
        <w:rPr>
          <w:color w:val="auto"/>
          <w:sz w:val="24"/>
          <w:szCs w:val="24"/>
        </w:rPr>
        <w:t xml:space="preserve">                 </w:t>
      </w:r>
      <w:r w:rsidR="00242DA0" w:rsidRPr="00DE12A3">
        <w:rPr>
          <w:color w:val="auto"/>
          <w:sz w:val="24"/>
          <w:szCs w:val="24"/>
        </w:rPr>
        <w:t>Her sınırlandırma ayarındaki (asgari 6 ayar) hava akış hızı (</w:t>
      </w:r>
      <w:r w:rsidR="00242DA0" w:rsidRPr="00DE12A3">
        <w:rPr>
          <w:i/>
          <w:iCs/>
          <w:color w:val="auto"/>
          <w:sz w:val="24"/>
          <w:szCs w:val="24"/>
        </w:rPr>
        <w:t>q</w:t>
      </w:r>
      <w:r w:rsidR="00242DA0" w:rsidRPr="00DE12A3">
        <w:rPr>
          <w:color w:val="auto"/>
          <w:sz w:val="24"/>
          <w:szCs w:val="24"/>
          <w:vertAlign w:val="subscript"/>
        </w:rPr>
        <w:t>VCVS</w:t>
      </w:r>
      <w:r w:rsidR="00242DA0" w:rsidRPr="00DE12A3">
        <w:rPr>
          <w:color w:val="auto"/>
          <w:sz w:val="24"/>
          <w:szCs w:val="24"/>
        </w:rPr>
        <w:t xml:space="preserve">), </w:t>
      </w:r>
      <w:r w:rsidR="004955A8" w:rsidRPr="00DE12A3">
        <w:rPr>
          <w:color w:val="auto"/>
          <w:sz w:val="24"/>
          <w:szCs w:val="24"/>
        </w:rPr>
        <w:t>i</w:t>
      </w:r>
      <w:r w:rsidR="00242DA0" w:rsidRPr="00DE12A3">
        <w:rPr>
          <w:color w:val="auto"/>
          <w:sz w:val="24"/>
          <w:szCs w:val="24"/>
        </w:rPr>
        <w:t>malatçı tarafından öngörülen yöntem kullanılarak debimetre verilerinden standart m</w:t>
      </w:r>
      <w:r w:rsidR="00242DA0" w:rsidRPr="00DE12A3">
        <w:rPr>
          <w:color w:val="auto"/>
          <w:sz w:val="24"/>
          <w:szCs w:val="24"/>
          <w:vertAlign w:val="superscript"/>
        </w:rPr>
        <w:t>3</w:t>
      </w:r>
      <w:r w:rsidR="00242DA0" w:rsidRPr="00DE12A3">
        <w:rPr>
          <w:color w:val="auto"/>
          <w:sz w:val="24"/>
          <w:szCs w:val="24"/>
        </w:rPr>
        <w:t xml:space="preserve">/sn cinsinden hesaplanmalıdır. Hava akış hızı daha sonra (7-69) </w:t>
      </w:r>
      <w:r w:rsidR="00962CA1" w:rsidRPr="00DE12A3">
        <w:rPr>
          <w:color w:val="auto"/>
          <w:sz w:val="24"/>
          <w:szCs w:val="24"/>
        </w:rPr>
        <w:t>numaralı</w:t>
      </w:r>
      <w:r w:rsidR="00962CA1" w:rsidRPr="00DE12A3" w:rsidDel="00962CA1">
        <w:rPr>
          <w:color w:val="auto"/>
          <w:sz w:val="24"/>
          <w:szCs w:val="24"/>
        </w:rPr>
        <w:t xml:space="preserve"> </w:t>
      </w:r>
      <w:r w:rsidR="00242DA0" w:rsidRPr="00DE12A3">
        <w:rPr>
          <w:color w:val="auto"/>
          <w:sz w:val="24"/>
          <w:szCs w:val="24"/>
        </w:rPr>
        <w:t>denklem ile mutlak pompa giriş sıcaklığında ve basıncında m</w:t>
      </w:r>
      <w:r w:rsidR="00242DA0" w:rsidRPr="00DE12A3">
        <w:rPr>
          <w:color w:val="auto"/>
          <w:sz w:val="24"/>
          <w:szCs w:val="24"/>
          <w:vertAlign w:val="superscript"/>
        </w:rPr>
        <w:t>3</w:t>
      </w:r>
      <w:r w:rsidR="00242DA0" w:rsidRPr="00DE12A3">
        <w:rPr>
          <w:color w:val="auto"/>
          <w:sz w:val="24"/>
          <w:szCs w:val="24"/>
        </w:rPr>
        <w:t>/devir cinsinden pompa akışına (</w:t>
      </w:r>
      <w:r w:rsidR="00242DA0" w:rsidRPr="00DE12A3">
        <w:rPr>
          <w:i/>
          <w:iCs/>
          <w:color w:val="auto"/>
          <w:sz w:val="24"/>
          <w:szCs w:val="24"/>
        </w:rPr>
        <w:t>V</w:t>
      </w:r>
      <w:r w:rsidR="00242DA0" w:rsidRPr="00DE12A3">
        <w:rPr>
          <w:color w:val="auto"/>
          <w:sz w:val="24"/>
          <w:szCs w:val="24"/>
          <w:vertAlign w:val="subscript"/>
        </w:rPr>
        <w:t>0</w:t>
      </w:r>
      <w:r w:rsidR="00242DA0" w:rsidRPr="00DE12A3">
        <w:rPr>
          <w:color w:val="auto"/>
          <w:sz w:val="24"/>
          <w:szCs w:val="24"/>
        </w:rPr>
        <w:t>) dönüştürülür</w:t>
      </w:r>
      <w:r w:rsidR="004955A8" w:rsidRPr="00DE12A3">
        <w:rPr>
          <w:color w:val="auto"/>
          <w:sz w:val="24"/>
          <w:szCs w:val="24"/>
        </w:rPr>
        <w:t>.</w:t>
      </w:r>
    </w:p>
    <w:p w14:paraId="74850FE5" w14:textId="77777777" w:rsidR="002D7B36" w:rsidRPr="00DE12A3" w:rsidRDefault="002D7B36" w:rsidP="00C917D6">
      <w:pPr>
        <w:pStyle w:val="Gvdemetni251"/>
        <w:shd w:val="clear" w:color="auto" w:fill="auto"/>
        <w:tabs>
          <w:tab w:val="left" w:pos="1418"/>
        </w:tabs>
        <w:spacing w:before="120" w:after="120" w:line="240" w:lineRule="auto"/>
        <w:ind w:left="1134" w:hanging="1134"/>
        <w:rPr>
          <w:color w:val="auto"/>
          <w:sz w:val="24"/>
          <w:szCs w:val="24"/>
        </w:rPr>
      </w:pPr>
    </w:p>
    <w:p w14:paraId="2FBFB6D5" w14:textId="67FD03D4" w:rsidR="002D7B36" w:rsidRPr="00DE12A3" w:rsidRDefault="00242DA0" w:rsidP="00C917D6">
      <w:pPr>
        <w:pStyle w:val="Gvdemetni251"/>
        <w:shd w:val="clear" w:color="auto" w:fill="auto"/>
        <w:tabs>
          <w:tab w:val="left" w:pos="1418"/>
        </w:tabs>
        <w:spacing w:before="120" w:after="120" w:line="240" w:lineRule="auto"/>
        <w:ind w:left="1134" w:hanging="1134"/>
        <w:jc w:val="center"/>
        <w:rPr>
          <w:color w:val="auto"/>
          <w:sz w:val="24"/>
          <w:szCs w:val="24"/>
        </w:rPr>
      </w:pPr>
      <w:r w:rsidRPr="00DE12A3">
        <w:rPr>
          <w:noProof/>
          <w:color w:val="auto"/>
          <w:sz w:val="24"/>
          <w:szCs w:val="24"/>
        </w:rPr>
        <w:drawing>
          <wp:inline distT="0" distB="0" distL="0" distR="0" wp14:anchorId="7426F69B" wp14:editId="5DBCA33E">
            <wp:extent cx="3946428" cy="884541"/>
            <wp:effectExtent l="0" t="0" r="0" b="0"/>
            <wp:docPr id="2369" name="Resim 23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9" name="Resim 2369"/>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a:xfrm>
                      <a:off x="0" y="0"/>
                      <a:ext cx="3993441" cy="895078"/>
                    </a:xfrm>
                    <a:prstGeom prst="rect">
                      <a:avLst/>
                    </a:prstGeom>
                    <a:noFill/>
                    <a:ln>
                      <a:noFill/>
                    </a:ln>
                  </pic:spPr>
                </pic:pic>
              </a:graphicData>
            </a:graphic>
          </wp:inline>
        </w:drawing>
      </w:r>
    </w:p>
    <w:p w14:paraId="68D5DFEB" w14:textId="77777777" w:rsidR="002D7B36" w:rsidRPr="00DE12A3" w:rsidRDefault="00986213" w:rsidP="00C917D6">
      <w:pPr>
        <w:pStyle w:val="Gvdemetni251"/>
        <w:shd w:val="clear" w:color="auto" w:fill="auto"/>
        <w:tabs>
          <w:tab w:val="left" w:pos="6237"/>
        </w:tabs>
        <w:spacing w:before="120" w:after="120" w:line="240" w:lineRule="auto"/>
        <w:ind w:left="1134" w:firstLine="0"/>
        <w:rPr>
          <w:color w:val="auto"/>
          <w:sz w:val="24"/>
          <w:szCs w:val="24"/>
        </w:rPr>
      </w:pPr>
      <w:r w:rsidRPr="00DE12A3">
        <w:rPr>
          <w:color w:val="auto"/>
          <w:sz w:val="24"/>
          <w:szCs w:val="24"/>
        </w:rPr>
        <w:t>B</w:t>
      </w:r>
      <w:r w:rsidR="00242DA0" w:rsidRPr="00DE12A3">
        <w:rPr>
          <w:color w:val="auto"/>
          <w:sz w:val="24"/>
          <w:szCs w:val="24"/>
        </w:rPr>
        <w:t>urada:</w:t>
      </w:r>
    </w:p>
    <w:p w14:paraId="6FFC32B4" w14:textId="77777777" w:rsidR="002D7B36" w:rsidRPr="00DE12A3" w:rsidRDefault="00242DA0" w:rsidP="00C917D6">
      <w:pPr>
        <w:pStyle w:val="Gvdemetni251"/>
        <w:shd w:val="clear" w:color="auto" w:fill="auto"/>
        <w:tabs>
          <w:tab w:val="left" w:pos="1276"/>
          <w:tab w:val="left" w:pos="6237"/>
        </w:tabs>
        <w:spacing w:before="120" w:after="120" w:line="240" w:lineRule="auto"/>
        <w:ind w:left="1134" w:firstLine="0"/>
        <w:rPr>
          <w:color w:val="auto"/>
          <w:sz w:val="24"/>
          <w:szCs w:val="24"/>
        </w:rPr>
      </w:pPr>
      <w:r w:rsidRPr="00DE12A3">
        <w:rPr>
          <w:i/>
          <w:iCs/>
          <w:color w:val="auto"/>
          <w:sz w:val="24"/>
          <w:szCs w:val="24"/>
        </w:rPr>
        <w:t>q</w:t>
      </w:r>
      <w:r w:rsidRPr="00DE12A3">
        <w:rPr>
          <w:color w:val="auto"/>
          <w:sz w:val="24"/>
          <w:szCs w:val="24"/>
          <w:vertAlign w:val="subscript"/>
        </w:rPr>
        <w:t>VCVS</w:t>
      </w:r>
      <w:r w:rsidRPr="00DE12A3">
        <w:rPr>
          <w:color w:val="auto"/>
          <w:sz w:val="24"/>
          <w:szCs w:val="24"/>
        </w:rPr>
        <w:t>=</w:t>
      </w:r>
      <w:r w:rsidR="00986213" w:rsidRPr="00DE12A3">
        <w:rPr>
          <w:color w:val="auto"/>
          <w:sz w:val="24"/>
          <w:szCs w:val="24"/>
        </w:rPr>
        <w:t>standart şartlardaki hava akış debisi</w:t>
      </w:r>
      <w:r w:rsidRPr="00DE12A3">
        <w:rPr>
          <w:color w:val="auto"/>
          <w:sz w:val="24"/>
          <w:szCs w:val="24"/>
        </w:rPr>
        <w:t xml:space="preserve"> (101,325 kPa, 273,15 K) [m</w:t>
      </w:r>
      <w:r w:rsidRPr="00DE12A3">
        <w:rPr>
          <w:color w:val="auto"/>
          <w:sz w:val="24"/>
          <w:szCs w:val="24"/>
          <w:vertAlign w:val="superscript"/>
        </w:rPr>
        <w:t>3</w:t>
      </w:r>
      <w:r w:rsidRPr="00DE12A3">
        <w:rPr>
          <w:color w:val="auto"/>
          <w:sz w:val="24"/>
          <w:szCs w:val="24"/>
        </w:rPr>
        <w:t>/s]</w:t>
      </w:r>
    </w:p>
    <w:p w14:paraId="393218A7" w14:textId="77777777" w:rsidR="002D7B36" w:rsidRPr="00DE12A3" w:rsidRDefault="00242DA0" w:rsidP="00C917D6">
      <w:pPr>
        <w:pStyle w:val="Gvdemetni251"/>
        <w:shd w:val="clear" w:color="auto" w:fill="auto"/>
        <w:tabs>
          <w:tab w:val="left" w:pos="1276"/>
          <w:tab w:val="center" w:pos="1335"/>
          <w:tab w:val="right" w:pos="3716"/>
          <w:tab w:val="left" w:pos="6237"/>
        </w:tabs>
        <w:spacing w:before="120" w:after="120" w:line="240" w:lineRule="auto"/>
        <w:ind w:left="1134" w:firstLine="0"/>
        <w:rPr>
          <w:color w:val="auto"/>
          <w:sz w:val="24"/>
          <w:szCs w:val="24"/>
        </w:rPr>
      </w:pPr>
      <w:r w:rsidRPr="00DE12A3">
        <w:rPr>
          <w:rStyle w:val="Gvdemetni254pttalik0ptbolukbraklyor19"/>
          <w:color w:val="auto"/>
          <w:sz w:val="24"/>
          <w:szCs w:val="24"/>
        </w:rPr>
        <w:t>T</w:t>
      </w:r>
      <w:r w:rsidRPr="00DE12A3">
        <w:rPr>
          <w:color w:val="auto"/>
          <w:sz w:val="24"/>
          <w:szCs w:val="24"/>
        </w:rPr>
        <w:tab/>
        <w:t>=</w:t>
      </w:r>
      <w:r w:rsidR="00986213" w:rsidRPr="00DE12A3">
        <w:rPr>
          <w:color w:val="auto"/>
          <w:sz w:val="24"/>
          <w:szCs w:val="24"/>
        </w:rPr>
        <w:t>pompa girişindeki sıcaklık</w:t>
      </w:r>
      <w:r w:rsidRPr="00DE12A3">
        <w:rPr>
          <w:color w:val="auto"/>
          <w:sz w:val="24"/>
          <w:szCs w:val="24"/>
        </w:rPr>
        <w:t xml:space="preserve"> [K]</w:t>
      </w:r>
    </w:p>
    <w:p w14:paraId="51E8A2D9" w14:textId="77777777" w:rsidR="002D7B36" w:rsidRPr="00DE12A3" w:rsidRDefault="00242DA0" w:rsidP="00C917D6">
      <w:pPr>
        <w:pStyle w:val="Gvdemetni251"/>
        <w:shd w:val="clear" w:color="auto" w:fill="auto"/>
        <w:tabs>
          <w:tab w:val="left" w:pos="1276"/>
          <w:tab w:val="center" w:pos="1335"/>
          <w:tab w:val="right" w:pos="3716"/>
          <w:tab w:val="right" w:pos="5669"/>
          <w:tab w:val="left" w:pos="6237"/>
        </w:tabs>
        <w:spacing w:before="120" w:after="120" w:line="240" w:lineRule="auto"/>
        <w:ind w:left="1134" w:firstLine="0"/>
        <w:rPr>
          <w:color w:val="auto"/>
          <w:sz w:val="24"/>
          <w:szCs w:val="24"/>
        </w:rPr>
      </w:pPr>
      <w:r w:rsidRPr="00DE12A3">
        <w:rPr>
          <w:rStyle w:val="Gvdemetni254pttalik0ptbolukbraklyor19"/>
          <w:color w:val="auto"/>
          <w:sz w:val="24"/>
          <w:szCs w:val="24"/>
        </w:rPr>
        <w:t>p</w:t>
      </w:r>
      <w:r w:rsidRPr="00DE12A3">
        <w:rPr>
          <w:rStyle w:val="Gvdemetni254pttalik0ptbolukbraklyor19"/>
          <w:i w:val="0"/>
          <w:iCs w:val="0"/>
          <w:color w:val="auto"/>
          <w:sz w:val="24"/>
          <w:szCs w:val="24"/>
          <w:vertAlign w:val="subscript"/>
        </w:rPr>
        <w:t>p</w:t>
      </w:r>
      <w:r w:rsidRPr="00DE12A3">
        <w:rPr>
          <w:color w:val="auto"/>
          <w:sz w:val="24"/>
          <w:szCs w:val="24"/>
        </w:rPr>
        <w:t>=</w:t>
      </w:r>
      <w:r w:rsidRPr="00DE12A3">
        <w:rPr>
          <w:color w:val="auto"/>
          <w:sz w:val="24"/>
          <w:szCs w:val="24"/>
        </w:rPr>
        <w:tab/>
      </w:r>
      <w:r w:rsidR="00986213" w:rsidRPr="00DE12A3">
        <w:rPr>
          <w:color w:val="auto"/>
          <w:sz w:val="24"/>
          <w:szCs w:val="24"/>
        </w:rPr>
        <w:t>pompa girişindeki mutlak basınç</w:t>
      </w:r>
      <w:r w:rsidRPr="00DE12A3">
        <w:rPr>
          <w:color w:val="auto"/>
          <w:sz w:val="24"/>
          <w:szCs w:val="24"/>
        </w:rPr>
        <w:t xml:space="preserve"> [kPa]</w:t>
      </w:r>
    </w:p>
    <w:p w14:paraId="64BC330D" w14:textId="77777777" w:rsidR="002D7B36" w:rsidRPr="00DE12A3" w:rsidRDefault="00242DA0" w:rsidP="00C917D6">
      <w:pPr>
        <w:pStyle w:val="Gvdemetni251"/>
        <w:shd w:val="clear" w:color="auto" w:fill="auto"/>
        <w:tabs>
          <w:tab w:val="left" w:pos="1276"/>
          <w:tab w:val="center" w:pos="1335"/>
          <w:tab w:val="right" w:pos="3716"/>
          <w:tab w:val="left" w:pos="6237"/>
        </w:tabs>
        <w:spacing w:before="120" w:after="120" w:line="240" w:lineRule="auto"/>
        <w:ind w:left="1134" w:firstLine="0"/>
        <w:rPr>
          <w:color w:val="auto"/>
          <w:sz w:val="24"/>
          <w:szCs w:val="24"/>
        </w:rPr>
      </w:pPr>
      <w:r w:rsidRPr="00DE12A3">
        <w:rPr>
          <w:rStyle w:val="Gvdemetni254pttalik0ptbolukbraklyor19"/>
          <w:color w:val="auto"/>
          <w:sz w:val="24"/>
          <w:szCs w:val="24"/>
        </w:rPr>
        <w:t>n</w:t>
      </w:r>
      <w:r w:rsidRPr="00DE12A3">
        <w:rPr>
          <w:color w:val="auto"/>
          <w:sz w:val="24"/>
          <w:szCs w:val="24"/>
        </w:rPr>
        <w:tab/>
        <w:t>=</w:t>
      </w:r>
      <w:r w:rsidR="00986213" w:rsidRPr="00DE12A3">
        <w:rPr>
          <w:color w:val="auto"/>
          <w:sz w:val="24"/>
          <w:szCs w:val="24"/>
        </w:rPr>
        <w:t>pompa devri</w:t>
      </w:r>
      <w:r w:rsidRPr="00DE12A3">
        <w:rPr>
          <w:color w:val="auto"/>
          <w:sz w:val="24"/>
          <w:szCs w:val="24"/>
        </w:rPr>
        <w:t>[rev/s]</w:t>
      </w:r>
    </w:p>
    <w:p w14:paraId="22FF59DC" w14:textId="327B526A" w:rsidR="002D7B36" w:rsidRPr="00DE12A3" w:rsidRDefault="00242DA0" w:rsidP="00C917D6">
      <w:pPr>
        <w:pStyle w:val="Gvdemetni251"/>
        <w:shd w:val="clear" w:color="auto" w:fill="auto"/>
        <w:tabs>
          <w:tab w:val="left" w:pos="6237"/>
        </w:tabs>
        <w:spacing w:before="120" w:after="120" w:line="240" w:lineRule="auto"/>
        <w:ind w:left="1134" w:firstLine="0"/>
        <w:rPr>
          <w:color w:val="auto"/>
          <w:sz w:val="24"/>
          <w:szCs w:val="24"/>
        </w:rPr>
      </w:pPr>
      <w:r w:rsidRPr="00DE12A3">
        <w:rPr>
          <w:color w:val="auto"/>
          <w:sz w:val="24"/>
          <w:szCs w:val="24"/>
        </w:rPr>
        <w:t>Pompadaki basınç değişimlerinin ve pompa kayma hızının etkileşimini hesaba katmak için, pompa devri, pompa girişi ile pompa çıkışı arasındaki basınç farkı ve mutlak pompa çıkış basıncı arasındaki korelasyon fonksiyonu (X</w:t>
      </w:r>
      <w:r w:rsidRPr="00DE12A3">
        <w:rPr>
          <w:color w:val="auto"/>
          <w:sz w:val="24"/>
          <w:szCs w:val="24"/>
          <w:vertAlign w:val="subscript"/>
        </w:rPr>
        <w:t>0</w:t>
      </w:r>
      <w:r w:rsidRPr="00DE12A3">
        <w:rPr>
          <w:color w:val="auto"/>
          <w:sz w:val="24"/>
          <w:szCs w:val="24"/>
        </w:rPr>
        <w:t xml:space="preserve">) [s/dev], (7-70) </w:t>
      </w:r>
      <w:r w:rsidR="00962CA1" w:rsidRPr="00DE12A3">
        <w:rPr>
          <w:color w:val="auto"/>
          <w:sz w:val="24"/>
          <w:szCs w:val="24"/>
        </w:rPr>
        <w:t>numaralı</w:t>
      </w:r>
      <w:r w:rsidR="00962CA1" w:rsidRPr="00DE12A3" w:rsidDel="00962CA1">
        <w:rPr>
          <w:color w:val="auto"/>
          <w:sz w:val="24"/>
          <w:szCs w:val="24"/>
        </w:rPr>
        <w:t xml:space="preserve"> </w:t>
      </w:r>
      <w:r w:rsidRPr="00DE12A3">
        <w:rPr>
          <w:color w:val="auto"/>
          <w:sz w:val="24"/>
          <w:szCs w:val="24"/>
        </w:rPr>
        <w:t>denklemle hesaplanmalıdır:</w:t>
      </w:r>
    </w:p>
    <w:p w14:paraId="3927021F" w14:textId="665A19A5" w:rsidR="002D7B36" w:rsidRPr="00DE12A3" w:rsidRDefault="00242DA0" w:rsidP="00C917D6">
      <w:pPr>
        <w:pStyle w:val="Gvdemetni251"/>
        <w:shd w:val="clear" w:color="auto" w:fill="auto"/>
        <w:tabs>
          <w:tab w:val="left" w:pos="1418"/>
          <w:tab w:val="left" w:pos="6237"/>
        </w:tabs>
        <w:spacing w:before="120" w:after="120" w:line="240" w:lineRule="auto"/>
        <w:ind w:left="1134" w:hanging="1134"/>
        <w:jc w:val="center"/>
        <w:rPr>
          <w:color w:val="auto"/>
          <w:sz w:val="24"/>
          <w:szCs w:val="24"/>
        </w:rPr>
      </w:pPr>
      <w:r w:rsidRPr="00DE12A3">
        <w:rPr>
          <w:noProof/>
          <w:color w:val="auto"/>
          <w:sz w:val="24"/>
          <w:szCs w:val="24"/>
        </w:rPr>
        <w:drawing>
          <wp:inline distT="0" distB="0" distL="0" distR="0" wp14:anchorId="552C6D2A" wp14:editId="28CF60FC">
            <wp:extent cx="4252381" cy="697230"/>
            <wp:effectExtent l="0" t="0" r="0" b="7620"/>
            <wp:docPr id="2370" name="Resim 2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0" name="Resim 2370"/>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a:xfrm>
                      <a:off x="0" y="0"/>
                      <a:ext cx="4262332" cy="698862"/>
                    </a:xfrm>
                    <a:prstGeom prst="rect">
                      <a:avLst/>
                    </a:prstGeom>
                    <a:noFill/>
                    <a:ln>
                      <a:noFill/>
                    </a:ln>
                  </pic:spPr>
                </pic:pic>
              </a:graphicData>
            </a:graphic>
          </wp:inline>
        </w:drawing>
      </w:r>
    </w:p>
    <w:p w14:paraId="288937C1" w14:textId="77777777" w:rsidR="002D7B36" w:rsidRPr="00DE12A3" w:rsidRDefault="00242DA0" w:rsidP="00C917D6">
      <w:pPr>
        <w:pStyle w:val="Gvdemetni251"/>
        <w:shd w:val="clear" w:color="auto" w:fill="auto"/>
        <w:spacing w:before="120" w:after="120" w:line="240" w:lineRule="auto"/>
        <w:ind w:left="1134" w:firstLine="0"/>
        <w:rPr>
          <w:color w:val="auto"/>
          <w:sz w:val="24"/>
          <w:szCs w:val="24"/>
        </w:rPr>
      </w:pPr>
      <w:r w:rsidRPr="00DE12A3">
        <w:rPr>
          <w:color w:val="auto"/>
          <w:sz w:val="24"/>
          <w:szCs w:val="24"/>
        </w:rPr>
        <w:t>Burada:</w:t>
      </w:r>
    </w:p>
    <w:p w14:paraId="332CAE72" w14:textId="0C2230EE" w:rsidR="002D7B36" w:rsidRPr="00DE12A3" w:rsidRDefault="00242DA0" w:rsidP="00C917D6">
      <w:pPr>
        <w:pStyle w:val="Gvdemetni251"/>
        <w:shd w:val="clear" w:color="auto" w:fill="auto"/>
        <w:tabs>
          <w:tab w:val="left" w:pos="1276"/>
        </w:tabs>
        <w:spacing w:before="120" w:after="120" w:line="240" w:lineRule="auto"/>
        <w:ind w:left="1134" w:firstLine="0"/>
        <w:rPr>
          <w:i/>
          <w:iCs/>
          <w:color w:val="auto"/>
          <w:spacing w:val="4"/>
          <w:sz w:val="24"/>
          <w:szCs w:val="24"/>
        </w:rPr>
      </w:pPr>
      <w:r w:rsidRPr="00DE12A3">
        <w:rPr>
          <w:iCs/>
          <w:color w:val="auto"/>
          <w:spacing w:val="4"/>
          <w:sz w:val="24"/>
          <w:szCs w:val="24"/>
        </w:rPr>
        <w:t>Δ</w:t>
      </w:r>
      <w:r w:rsidRPr="00DE12A3">
        <w:rPr>
          <w:i/>
          <w:color w:val="auto"/>
          <w:spacing w:val="4"/>
          <w:sz w:val="24"/>
          <w:szCs w:val="24"/>
        </w:rPr>
        <w:t>p</w:t>
      </w:r>
      <w:r w:rsidRPr="00DE12A3">
        <w:rPr>
          <w:iCs/>
          <w:color w:val="auto"/>
          <w:spacing w:val="4"/>
          <w:sz w:val="24"/>
          <w:szCs w:val="24"/>
          <w:vertAlign w:val="subscript"/>
        </w:rPr>
        <w:t>p</w:t>
      </w:r>
      <w:r w:rsidRPr="00DE12A3">
        <w:rPr>
          <w:iCs/>
          <w:color w:val="auto"/>
          <w:spacing w:val="4"/>
          <w:sz w:val="24"/>
          <w:szCs w:val="24"/>
        </w:rPr>
        <w:tab/>
        <w:t>=</w:t>
      </w:r>
      <w:r w:rsidR="00EA64C0" w:rsidRPr="00DE12A3">
        <w:rPr>
          <w:iCs/>
          <w:color w:val="auto"/>
          <w:spacing w:val="4"/>
          <w:sz w:val="24"/>
          <w:szCs w:val="24"/>
        </w:rPr>
        <w:t xml:space="preserve">Pompa </w:t>
      </w:r>
      <w:r w:rsidRPr="00DE12A3">
        <w:rPr>
          <w:iCs/>
          <w:color w:val="auto"/>
          <w:spacing w:val="4"/>
          <w:sz w:val="24"/>
          <w:szCs w:val="24"/>
        </w:rPr>
        <w:t>girişi ile pompa çıkışı arasındaki basınç farkı [kPa]</w:t>
      </w:r>
    </w:p>
    <w:p w14:paraId="542D2241" w14:textId="406A843E" w:rsidR="002D7B36" w:rsidRPr="00DE12A3" w:rsidRDefault="00242DA0" w:rsidP="00C917D6">
      <w:pPr>
        <w:pStyle w:val="Gvdemetni251"/>
        <w:shd w:val="clear" w:color="auto" w:fill="auto"/>
        <w:tabs>
          <w:tab w:val="left" w:pos="1276"/>
        </w:tabs>
        <w:spacing w:before="120" w:after="120" w:line="240" w:lineRule="auto"/>
        <w:ind w:left="1134" w:firstLine="0"/>
        <w:rPr>
          <w:color w:val="auto"/>
          <w:sz w:val="24"/>
          <w:szCs w:val="24"/>
        </w:rPr>
      </w:pPr>
      <w:r w:rsidRPr="00DE12A3">
        <w:rPr>
          <w:i/>
          <w:color w:val="auto"/>
          <w:sz w:val="24"/>
          <w:szCs w:val="24"/>
        </w:rPr>
        <w:t>p</w:t>
      </w:r>
      <w:r w:rsidRPr="00DE12A3">
        <w:rPr>
          <w:color w:val="auto"/>
          <w:sz w:val="24"/>
          <w:szCs w:val="24"/>
          <w:vertAlign w:val="subscript"/>
        </w:rPr>
        <w:t>p</w:t>
      </w:r>
      <w:r w:rsidRPr="00DE12A3">
        <w:rPr>
          <w:color w:val="auto"/>
          <w:sz w:val="24"/>
          <w:szCs w:val="24"/>
        </w:rPr>
        <w:tab/>
      </w:r>
      <w:r w:rsidR="00986213" w:rsidRPr="00DE12A3">
        <w:rPr>
          <w:color w:val="auto"/>
          <w:sz w:val="24"/>
          <w:szCs w:val="24"/>
        </w:rPr>
        <w:t xml:space="preserve">           </w:t>
      </w:r>
      <w:r w:rsidRPr="00DE12A3">
        <w:rPr>
          <w:color w:val="auto"/>
          <w:sz w:val="24"/>
          <w:szCs w:val="24"/>
        </w:rPr>
        <w:t>=</w:t>
      </w:r>
      <w:r w:rsidR="00EA64C0" w:rsidRPr="00DE12A3">
        <w:rPr>
          <w:color w:val="auto"/>
          <w:sz w:val="24"/>
          <w:szCs w:val="24"/>
        </w:rPr>
        <w:t xml:space="preserve">Pompa </w:t>
      </w:r>
      <w:r w:rsidRPr="00DE12A3">
        <w:rPr>
          <w:color w:val="auto"/>
          <w:sz w:val="24"/>
          <w:szCs w:val="24"/>
        </w:rPr>
        <w:t>çıkışındaki mutlak çıkış basıncı [kPa]</w:t>
      </w:r>
    </w:p>
    <w:p w14:paraId="62880575" w14:textId="70CF7FB8" w:rsidR="002D7B36" w:rsidRPr="00DE12A3" w:rsidRDefault="00242DA0" w:rsidP="00C917D6">
      <w:pPr>
        <w:pStyle w:val="Gvdemetni251"/>
        <w:shd w:val="clear" w:color="auto" w:fill="auto"/>
        <w:tabs>
          <w:tab w:val="left" w:pos="1276"/>
        </w:tabs>
        <w:spacing w:before="120" w:after="120" w:line="240" w:lineRule="auto"/>
        <w:ind w:left="1134" w:firstLine="0"/>
        <w:rPr>
          <w:color w:val="auto"/>
          <w:sz w:val="24"/>
          <w:szCs w:val="24"/>
        </w:rPr>
      </w:pPr>
      <w:r w:rsidRPr="00DE12A3">
        <w:rPr>
          <w:rStyle w:val="Gvdemetni254pttalik0ptbolukbraklyor19"/>
          <w:color w:val="auto"/>
          <w:sz w:val="24"/>
          <w:szCs w:val="24"/>
        </w:rPr>
        <w:t>n</w:t>
      </w:r>
      <w:r w:rsidRPr="00DE12A3">
        <w:rPr>
          <w:color w:val="auto"/>
          <w:sz w:val="24"/>
          <w:szCs w:val="24"/>
        </w:rPr>
        <w:tab/>
      </w:r>
      <w:r w:rsidR="00986213" w:rsidRPr="00DE12A3">
        <w:rPr>
          <w:color w:val="auto"/>
          <w:sz w:val="24"/>
          <w:szCs w:val="24"/>
        </w:rPr>
        <w:t xml:space="preserve">              </w:t>
      </w:r>
      <w:r w:rsidRPr="00DE12A3">
        <w:rPr>
          <w:color w:val="auto"/>
          <w:sz w:val="24"/>
          <w:szCs w:val="24"/>
        </w:rPr>
        <w:t>=</w:t>
      </w:r>
      <w:r w:rsidR="00EA64C0" w:rsidRPr="00DE12A3">
        <w:rPr>
          <w:color w:val="auto"/>
          <w:sz w:val="24"/>
          <w:szCs w:val="24"/>
        </w:rPr>
        <w:t xml:space="preserve">Pompa </w:t>
      </w:r>
      <w:r w:rsidRPr="00DE12A3">
        <w:rPr>
          <w:color w:val="auto"/>
          <w:sz w:val="24"/>
          <w:szCs w:val="24"/>
        </w:rPr>
        <w:t>devri [devir/s]</w:t>
      </w:r>
    </w:p>
    <w:p w14:paraId="17463E49" w14:textId="15654F48" w:rsidR="002D7B36" w:rsidRPr="00DE12A3" w:rsidRDefault="00242DA0" w:rsidP="00C917D6">
      <w:pPr>
        <w:pStyle w:val="Gvdemetni251"/>
        <w:shd w:val="clear" w:color="auto" w:fill="auto"/>
        <w:spacing w:before="120" w:after="120" w:line="240" w:lineRule="auto"/>
        <w:ind w:left="1134" w:firstLine="0"/>
        <w:rPr>
          <w:color w:val="auto"/>
          <w:sz w:val="24"/>
          <w:szCs w:val="24"/>
        </w:rPr>
      </w:pPr>
      <w:r w:rsidRPr="00DE12A3">
        <w:rPr>
          <w:color w:val="auto"/>
          <w:sz w:val="24"/>
          <w:szCs w:val="24"/>
        </w:rPr>
        <w:t xml:space="preserve">Kalibrasyonun (7-71) </w:t>
      </w:r>
      <w:r w:rsidR="00962CA1" w:rsidRPr="00DE12A3">
        <w:rPr>
          <w:color w:val="auto"/>
          <w:sz w:val="24"/>
          <w:szCs w:val="24"/>
        </w:rPr>
        <w:t>numaralı</w:t>
      </w:r>
      <w:r w:rsidR="00962CA1" w:rsidRPr="00DE12A3" w:rsidDel="00962CA1">
        <w:rPr>
          <w:color w:val="auto"/>
          <w:sz w:val="24"/>
          <w:szCs w:val="24"/>
        </w:rPr>
        <w:t xml:space="preserve"> </w:t>
      </w:r>
      <w:r w:rsidRPr="00DE12A3">
        <w:rPr>
          <w:color w:val="auto"/>
          <w:sz w:val="24"/>
          <w:szCs w:val="24"/>
        </w:rPr>
        <w:t>denklemle yapılması için doğrusal en küçük karelerle uydurma yapılmalıdır</w:t>
      </w:r>
      <w:r w:rsidR="004955A8" w:rsidRPr="00DE12A3">
        <w:rPr>
          <w:color w:val="auto"/>
          <w:sz w:val="24"/>
          <w:szCs w:val="24"/>
        </w:rPr>
        <w:t>;</w:t>
      </w:r>
    </w:p>
    <w:p w14:paraId="7CD035C1" w14:textId="4E90EAE4" w:rsidR="002D7B36" w:rsidRPr="00DE12A3" w:rsidRDefault="00242DA0" w:rsidP="00C917D6">
      <w:pPr>
        <w:pStyle w:val="Gvdemetni251"/>
        <w:shd w:val="clear" w:color="auto" w:fill="auto"/>
        <w:spacing w:before="120" w:after="120" w:line="240" w:lineRule="auto"/>
        <w:ind w:left="1134" w:hanging="1134"/>
        <w:jc w:val="center"/>
        <w:rPr>
          <w:color w:val="auto"/>
          <w:sz w:val="24"/>
          <w:szCs w:val="24"/>
        </w:rPr>
      </w:pPr>
      <w:r w:rsidRPr="00DE12A3">
        <w:rPr>
          <w:noProof/>
          <w:color w:val="auto"/>
          <w:sz w:val="24"/>
          <w:szCs w:val="24"/>
        </w:rPr>
        <w:drawing>
          <wp:inline distT="0" distB="0" distL="0" distR="0" wp14:anchorId="4A199D05" wp14:editId="36C866C2">
            <wp:extent cx="4010374" cy="671830"/>
            <wp:effectExtent l="0" t="0" r="9525" b="0"/>
            <wp:docPr id="2371" name="Resim 2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1" name="Resim 2371"/>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a:xfrm>
                      <a:off x="0" y="0"/>
                      <a:ext cx="4022242" cy="673818"/>
                    </a:xfrm>
                    <a:prstGeom prst="rect">
                      <a:avLst/>
                    </a:prstGeom>
                    <a:noFill/>
                    <a:ln>
                      <a:noFill/>
                    </a:ln>
                  </pic:spPr>
                </pic:pic>
              </a:graphicData>
            </a:graphic>
          </wp:inline>
        </w:drawing>
      </w:r>
    </w:p>
    <w:p w14:paraId="5AAB3901" w14:textId="057272E0" w:rsidR="002D7B36" w:rsidRPr="00DE12A3" w:rsidRDefault="00B02387" w:rsidP="00C917D6">
      <w:pPr>
        <w:pStyle w:val="Gvdemetni251"/>
        <w:shd w:val="clear" w:color="auto" w:fill="auto"/>
        <w:spacing w:before="120" w:after="120" w:line="240" w:lineRule="auto"/>
        <w:ind w:left="1134" w:firstLine="0"/>
        <w:rPr>
          <w:color w:val="auto"/>
          <w:sz w:val="24"/>
          <w:szCs w:val="24"/>
        </w:rPr>
      </w:pPr>
      <w:r w:rsidRPr="00DE12A3">
        <w:rPr>
          <w:color w:val="auto"/>
          <w:sz w:val="24"/>
          <w:szCs w:val="24"/>
        </w:rPr>
        <w:t>Sırasıyla</w:t>
      </w:r>
      <w:r w:rsidR="00242DA0" w:rsidRPr="00DE12A3">
        <w:rPr>
          <w:color w:val="auto"/>
          <w:sz w:val="24"/>
          <w:szCs w:val="24"/>
        </w:rPr>
        <w:t xml:space="preserve"> kesişim ve eğim, </w:t>
      </w:r>
      <w:r w:rsidR="00242DA0" w:rsidRPr="00DE12A3">
        <w:rPr>
          <w:rStyle w:val="Gvdemetni254pttalik0ptbolukbraklyor19"/>
          <w:color w:val="auto"/>
          <w:sz w:val="24"/>
          <w:szCs w:val="24"/>
        </w:rPr>
        <w:t>D</w:t>
      </w:r>
      <w:r w:rsidR="00242DA0" w:rsidRPr="00DE12A3">
        <w:rPr>
          <w:rStyle w:val="Gvdemetni254pttalik0ptbolukbraklyor19"/>
          <w:color w:val="auto"/>
          <w:sz w:val="24"/>
          <w:szCs w:val="24"/>
          <w:vertAlign w:val="subscript"/>
        </w:rPr>
        <w:t>0</w:t>
      </w:r>
      <w:r w:rsidR="00242DA0" w:rsidRPr="00DE12A3">
        <w:rPr>
          <w:color w:val="auto"/>
          <w:sz w:val="24"/>
          <w:szCs w:val="24"/>
        </w:rPr>
        <w:t xml:space="preserve"> [m</w:t>
      </w:r>
      <w:r w:rsidR="00242DA0" w:rsidRPr="00DE12A3">
        <w:rPr>
          <w:color w:val="auto"/>
          <w:sz w:val="24"/>
          <w:szCs w:val="24"/>
          <w:vertAlign w:val="superscript"/>
        </w:rPr>
        <w:t>3</w:t>
      </w:r>
      <w:r w:rsidR="00242DA0" w:rsidRPr="00DE12A3">
        <w:rPr>
          <w:color w:val="auto"/>
          <w:sz w:val="24"/>
          <w:szCs w:val="24"/>
        </w:rPr>
        <w:t xml:space="preserve">/dev] ve </w:t>
      </w:r>
      <w:r w:rsidR="00242DA0" w:rsidRPr="00DE12A3">
        <w:rPr>
          <w:rStyle w:val="Gvdemetni254pttalik0ptbolukbraklyor19"/>
          <w:color w:val="auto"/>
          <w:sz w:val="24"/>
          <w:szCs w:val="24"/>
        </w:rPr>
        <w:t>m</w:t>
      </w:r>
      <w:r w:rsidR="00242DA0" w:rsidRPr="00DE12A3">
        <w:rPr>
          <w:color w:val="auto"/>
          <w:sz w:val="24"/>
          <w:szCs w:val="24"/>
        </w:rPr>
        <w:t xml:space="preserve"> [m</w:t>
      </w:r>
      <w:r w:rsidR="00242DA0" w:rsidRPr="00DE12A3">
        <w:rPr>
          <w:color w:val="auto"/>
          <w:sz w:val="24"/>
          <w:szCs w:val="24"/>
          <w:vertAlign w:val="superscript"/>
        </w:rPr>
        <w:t>3</w:t>
      </w:r>
      <w:r w:rsidR="00242DA0" w:rsidRPr="00DE12A3">
        <w:rPr>
          <w:color w:val="auto"/>
          <w:sz w:val="24"/>
          <w:szCs w:val="24"/>
        </w:rPr>
        <w:t>/s], regresyon çizgisini tanımlar.</w:t>
      </w:r>
    </w:p>
    <w:p w14:paraId="75B6B9FF" w14:textId="77777777" w:rsidR="002D7B36" w:rsidRPr="00DE12A3" w:rsidRDefault="00242DA0" w:rsidP="00C917D6">
      <w:pPr>
        <w:pStyle w:val="Gvdemetni251"/>
        <w:shd w:val="clear" w:color="auto" w:fill="auto"/>
        <w:spacing w:before="120" w:after="120" w:line="240" w:lineRule="auto"/>
        <w:ind w:left="1134" w:firstLine="0"/>
        <w:rPr>
          <w:color w:val="auto"/>
          <w:sz w:val="24"/>
          <w:szCs w:val="24"/>
        </w:rPr>
      </w:pPr>
      <w:r w:rsidRPr="00DE12A3">
        <w:rPr>
          <w:color w:val="auto"/>
          <w:sz w:val="24"/>
          <w:szCs w:val="24"/>
        </w:rPr>
        <w:t>Birden fazla devirli bir CVS sistemi için, farklı pompa akış aralıkları için oluşturulan kalibrasyon eğrileri yaklaşık olarak paralel olmalıdır ve pompa akış aralığı azaldıkça kesişme değerleri (</w:t>
      </w:r>
      <w:r w:rsidRPr="00DE12A3">
        <w:rPr>
          <w:i/>
          <w:color w:val="auto"/>
          <w:sz w:val="24"/>
          <w:szCs w:val="24"/>
        </w:rPr>
        <w:t>D</w:t>
      </w:r>
      <w:r w:rsidRPr="00DE12A3">
        <w:rPr>
          <w:color w:val="auto"/>
          <w:sz w:val="24"/>
          <w:szCs w:val="24"/>
          <w:vertAlign w:val="subscript"/>
        </w:rPr>
        <w:t>0</w:t>
      </w:r>
      <w:r w:rsidRPr="00DE12A3">
        <w:rPr>
          <w:color w:val="auto"/>
          <w:sz w:val="24"/>
          <w:szCs w:val="24"/>
        </w:rPr>
        <w:t>) artmalıdır.</w:t>
      </w:r>
    </w:p>
    <w:p w14:paraId="7E0A5548" w14:textId="599ACAAB" w:rsidR="002D7B36" w:rsidRPr="00DE12A3" w:rsidRDefault="00242DA0" w:rsidP="00C917D6">
      <w:pPr>
        <w:pStyle w:val="Gvdemetni251"/>
        <w:shd w:val="clear" w:color="auto" w:fill="auto"/>
        <w:spacing w:before="120" w:after="120" w:line="240" w:lineRule="auto"/>
        <w:ind w:left="1134" w:firstLine="0"/>
        <w:rPr>
          <w:color w:val="auto"/>
          <w:sz w:val="24"/>
          <w:szCs w:val="24"/>
        </w:rPr>
      </w:pPr>
      <w:r w:rsidRPr="00DE12A3">
        <w:rPr>
          <w:color w:val="auto"/>
          <w:sz w:val="24"/>
          <w:szCs w:val="24"/>
        </w:rPr>
        <w:lastRenderedPageBreak/>
        <w:t xml:space="preserve">Denklemden hesaplanan değerler, ölçülen </w:t>
      </w:r>
      <w:r w:rsidRPr="00DE12A3">
        <w:rPr>
          <w:i/>
          <w:color w:val="auto"/>
          <w:sz w:val="24"/>
          <w:szCs w:val="24"/>
        </w:rPr>
        <w:t>V</w:t>
      </w:r>
      <w:r w:rsidRPr="00DE12A3">
        <w:rPr>
          <w:color w:val="auto"/>
          <w:sz w:val="24"/>
          <w:szCs w:val="24"/>
          <w:vertAlign w:val="subscript"/>
        </w:rPr>
        <w:t>0</w:t>
      </w:r>
      <w:r w:rsidRPr="00DE12A3">
        <w:rPr>
          <w:color w:val="auto"/>
          <w:sz w:val="24"/>
          <w:szCs w:val="24"/>
        </w:rPr>
        <w:t xml:space="preserve"> değeri ± </w:t>
      </w:r>
      <w:r w:rsidR="00D2738D" w:rsidRPr="00DE12A3">
        <w:rPr>
          <w:color w:val="auto"/>
          <w:sz w:val="24"/>
          <w:szCs w:val="24"/>
        </w:rPr>
        <w:t>%0,5</w:t>
      </w:r>
      <w:r w:rsidRPr="00DE12A3">
        <w:rPr>
          <w:color w:val="auto"/>
          <w:sz w:val="24"/>
          <w:szCs w:val="24"/>
        </w:rPr>
        <w:t xml:space="preserve"> aralığı içinde olmalıdır. </w:t>
      </w:r>
      <w:r w:rsidRPr="00DE12A3">
        <w:rPr>
          <w:i/>
          <w:iCs/>
          <w:color w:val="auto"/>
          <w:sz w:val="24"/>
          <w:szCs w:val="24"/>
        </w:rPr>
        <w:t>m</w:t>
      </w:r>
      <w:r w:rsidRPr="00DE12A3">
        <w:rPr>
          <w:color w:val="auto"/>
          <w:sz w:val="24"/>
          <w:szCs w:val="24"/>
        </w:rPr>
        <w:t xml:space="preserve"> değerleri bir pompadan diğerine değişecektir. </w:t>
      </w:r>
      <w:r w:rsidR="007E2039" w:rsidRPr="00DE12A3">
        <w:rPr>
          <w:color w:val="auto"/>
          <w:sz w:val="24"/>
          <w:szCs w:val="24"/>
        </w:rPr>
        <w:t xml:space="preserve">Partikül </w:t>
      </w:r>
      <w:r w:rsidRPr="00DE12A3">
        <w:rPr>
          <w:color w:val="auto"/>
          <w:sz w:val="24"/>
          <w:szCs w:val="24"/>
        </w:rPr>
        <w:t xml:space="preserve">akışı, zaman içinde, düşük </w:t>
      </w:r>
      <w:r w:rsidRPr="00DE12A3">
        <w:rPr>
          <w:i/>
          <w:iCs/>
          <w:color w:val="auto"/>
          <w:sz w:val="24"/>
          <w:szCs w:val="24"/>
        </w:rPr>
        <w:t>m</w:t>
      </w:r>
      <w:r w:rsidRPr="00DE12A3">
        <w:rPr>
          <w:color w:val="auto"/>
          <w:sz w:val="24"/>
          <w:szCs w:val="24"/>
        </w:rPr>
        <w:t xml:space="preserve"> değerlerinin de gösterdiği gibi, pompa kaymasının azalmasına neden olacaktır. Bu nedenle kalibrasyon, pompa çalıştırıldığında, büyük bir bakım sonrasında ve toplam sistem doğrulaması kayma oranında değişim gösterirse yapılmalıdır.</w:t>
      </w:r>
    </w:p>
    <w:p w14:paraId="6D76AFDA" w14:textId="77777777" w:rsidR="002D7B36" w:rsidRPr="00DE12A3" w:rsidRDefault="00986213" w:rsidP="00E20716">
      <w:pPr>
        <w:pStyle w:val="Gvdemetni251"/>
        <w:numPr>
          <w:ilvl w:val="0"/>
          <w:numId w:val="418"/>
        </w:numPr>
        <w:shd w:val="clear" w:color="auto" w:fill="auto"/>
        <w:tabs>
          <w:tab w:val="left" w:pos="768"/>
        </w:tabs>
        <w:spacing w:before="120" w:after="120" w:line="240" w:lineRule="auto"/>
        <w:ind w:left="1134" w:hanging="1134"/>
        <w:rPr>
          <w:color w:val="auto"/>
          <w:sz w:val="24"/>
          <w:szCs w:val="24"/>
        </w:rPr>
      </w:pPr>
      <w:r w:rsidRPr="00DE12A3">
        <w:rPr>
          <w:color w:val="auto"/>
          <w:sz w:val="24"/>
          <w:szCs w:val="24"/>
        </w:rPr>
        <w:t xml:space="preserve">      </w:t>
      </w:r>
      <w:r w:rsidR="00242DA0" w:rsidRPr="00DE12A3">
        <w:rPr>
          <w:color w:val="auto"/>
          <w:sz w:val="24"/>
          <w:szCs w:val="24"/>
        </w:rPr>
        <w:t>Kritik akış venturi (CFV)</w:t>
      </w:r>
    </w:p>
    <w:p w14:paraId="7D453268" w14:textId="77777777" w:rsidR="002D7B36" w:rsidRPr="00DE12A3" w:rsidRDefault="00986213" w:rsidP="00C917D6">
      <w:pPr>
        <w:pStyle w:val="Gvdemetni251"/>
        <w:shd w:val="clear" w:color="auto" w:fill="auto"/>
        <w:spacing w:before="120" w:after="120" w:line="240" w:lineRule="auto"/>
        <w:ind w:left="1134" w:hanging="1134"/>
        <w:rPr>
          <w:color w:val="auto"/>
          <w:sz w:val="24"/>
          <w:szCs w:val="24"/>
        </w:rPr>
      </w:pPr>
      <w:r w:rsidRPr="00DE12A3">
        <w:rPr>
          <w:color w:val="auto"/>
          <w:sz w:val="24"/>
          <w:szCs w:val="24"/>
        </w:rPr>
        <w:t xml:space="preserve">                   </w:t>
      </w:r>
      <w:r w:rsidR="00242DA0" w:rsidRPr="00DE12A3">
        <w:rPr>
          <w:color w:val="auto"/>
          <w:sz w:val="24"/>
          <w:szCs w:val="24"/>
        </w:rPr>
        <w:t>CFV'nin kalibrasyonu, kritik bir venturiye ilişkin akış denklemine dayanmaktadır. Gaz akışı, venturi giriş basıncının ve sıcaklığının bir fonksiyonudur.</w:t>
      </w:r>
    </w:p>
    <w:p w14:paraId="62ABB57E" w14:textId="7A69ADE1" w:rsidR="002D7B36" w:rsidRPr="00DE12A3" w:rsidRDefault="00986213" w:rsidP="00C917D6">
      <w:pPr>
        <w:pStyle w:val="Gvdemetni251"/>
        <w:shd w:val="clear" w:color="auto" w:fill="auto"/>
        <w:spacing w:before="120" w:after="120" w:line="240" w:lineRule="auto"/>
        <w:ind w:left="1134" w:hanging="1134"/>
        <w:rPr>
          <w:color w:val="auto"/>
          <w:sz w:val="24"/>
          <w:szCs w:val="24"/>
        </w:rPr>
      </w:pPr>
      <w:r w:rsidRPr="00DE12A3">
        <w:rPr>
          <w:color w:val="auto"/>
          <w:sz w:val="24"/>
          <w:szCs w:val="24"/>
        </w:rPr>
        <w:t xml:space="preserve">                  </w:t>
      </w:r>
      <w:r w:rsidR="00242DA0" w:rsidRPr="00DE12A3">
        <w:rPr>
          <w:color w:val="auto"/>
          <w:sz w:val="24"/>
          <w:szCs w:val="24"/>
        </w:rPr>
        <w:t xml:space="preserve">Kritik akış aralığını belirlemek için, venturi giriş basıncının bir fonksiyonu olarak </w:t>
      </w:r>
      <w:r w:rsidR="00242DA0" w:rsidRPr="00DE12A3">
        <w:rPr>
          <w:i/>
          <w:iCs/>
          <w:color w:val="auto"/>
          <w:sz w:val="24"/>
          <w:szCs w:val="24"/>
        </w:rPr>
        <w:t>K</w:t>
      </w:r>
      <w:r w:rsidR="00242DA0" w:rsidRPr="00DE12A3">
        <w:rPr>
          <w:color w:val="auto"/>
          <w:sz w:val="24"/>
          <w:szCs w:val="24"/>
          <w:vertAlign w:val="subscript"/>
        </w:rPr>
        <w:t>V</w:t>
      </w:r>
      <w:r w:rsidR="00242DA0" w:rsidRPr="00DE12A3">
        <w:rPr>
          <w:color w:val="auto"/>
          <w:sz w:val="24"/>
          <w:szCs w:val="24"/>
        </w:rPr>
        <w:t xml:space="preserve"> çizilmelidir. Kritik (boğulmuş) akış için, </w:t>
      </w:r>
      <w:r w:rsidR="00242DA0" w:rsidRPr="00DE12A3">
        <w:rPr>
          <w:i/>
          <w:iCs/>
          <w:color w:val="auto"/>
          <w:sz w:val="24"/>
          <w:szCs w:val="24"/>
        </w:rPr>
        <w:t>K</w:t>
      </w:r>
      <w:r w:rsidR="00242DA0" w:rsidRPr="00DE12A3">
        <w:rPr>
          <w:color w:val="auto"/>
          <w:sz w:val="24"/>
          <w:szCs w:val="24"/>
          <w:vertAlign w:val="subscript"/>
        </w:rPr>
        <w:t>V</w:t>
      </w:r>
      <w:r w:rsidR="00242DA0" w:rsidRPr="00DE12A3">
        <w:rPr>
          <w:color w:val="auto"/>
          <w:sz w:val="24"/>
          <w:szCs w:val="24"/>
        </w:rPr>
        <w:t xml:space="preserve"> nispeten sabit bir değere sahip olacaktır. Basınç azaldıkça (vakum arttıkça) venturi boğulmamış hale gelir ve </w:t>
      </w:r>
      <w:r w:rsidR="00242DA0" w:rsidRPr="00DE12A3">
        <w:rPr>
          <w:i/>
          <w:iCs/>
          <w:color w:val="auto"/>
          <w:sz w:val="24"/>
          <w:szCs w:val="24"/>
        </w:rPr>
        <w:t>K</w:t>
      </w:r>
      <w:r w:rsidR="00242DA0" w:rsidRPr="00DE12A3">
        <w:rPr>
          <w:color w:val="auto"/>
          <w:sz w:val="24"/>
          <w:szCs w:val="24"/>
          <w:vertAlign w:val="subscript"/>
        </w:rPr>
        <w:t>V</w:t>
      </w:r>
      <w:r w:rsidR="00242DA0" w:rsidRPr="00DE12A3">
        <w:rPr>
          <w:color w:val="auto"/>
          <w:sz w:val="24"/>
          <w:szCs w:val="24"/>
        </w:rPr>
        <w:t xml:space="preserve"> azalır</w:t>
      </w:r>
      <w:r w:rsidR="004955A8" w:rsidRPr="00DE12A3">
        <w:rPr>
          <w:color w:val="auto"/>
          <w:sz w:val="24"/>
          <w:szCs w:val="24"/>
        </w:rPr>
        <w:t>.</w:t>
      </w:r>
      <w:r w:rsidR="00242DA0" w:rsidRPr="00DE12A3">
        <w:rPr>
          <w:color w:val="auto"/>
          <w:sz w:val="24"/>
          <w:szCs w:val="24"/>
        </w:rPr>
        <w:t xml:space="preserve"> </w:t>
      </w:r>
      <w:r w:rsidR="004955A8" w:rsidRPr="00DE12A3">
        <w:rPr>
          <w:color w:val="auto"/>
          <w:sz w:val="24"/>
          <w:szCs w:val="24"/>
        </w:rPr>
        <w:t>B</w:t>
      </w:r>
      <w:r w:rsidR="00242DA0" w:rsidRPr="00DE12A3">
        <w:rPr>
          <w:color w:val="auto"/>
          <w:sz w:val="24"/>
          <w:szCs w:val="24"/>
        </w:rPr>
        <w:t>u da CFV'nin izin verilen aralığın dışında çalıştırıldığını gösterir.</w:t>
      </w:r>
    </w:p>
    <w:p w14:paraId="705E8A66" w14:textId="1E36489D" w:rsidR="002D7B36" w:rsidRPr="00DE12A3" w:rsidRDefault="00986213" w:rsidP="00C917D6">
      <w:pPr>
        <w:pStyle w:val="Resimyazs70"/>
        <w:shd w:val="clear" w:color="auto" w:fill="auto"/>
        <w:spacing w:after="120" w:line="240" w:lineRule="auto"/>
        <w:ind w:left="1134" w:hanging="1134"/>
        <w:rPr>
          <w:sz w:val="24"/>
          <w:szCs w:val="24"/>
        </w:rPr>
      </w:pPr>
      <w:r w:rsidRPr="00DE12A3">
        <w:rPr>
          <w:spacing w:val="3"/>
          <w:sz w:val="24"/>
          <w:szCs w:val="24"/>
        </w:rPr>
        <w:t xml:space="preserve">                  </w:t>
      </w:r>
      <w:r w:rsidR="00242DA0" w:rsidRPr="00DE12A3">
        <w:rPr>
          <w:spacing w:val="3"/>
          <w:sz w:val="24"/>
          <w:szCs w:val="24"/>
        </w:rPr>
        <w:t>Her sınırlandırma ayarındaki (asgari 8 ayar) hava akış hızı (q</w:t>
      </w:r>
      <w:r w:rsidR="00242DA0" w:rsidRPr="00DE12A3">
        <w:rPr>
          <w:spacing w:val="3"/>
          <w:sz w:val="24"/>
          <w:szCs w:val="24"/>
          <w:vertAlign w:val="subscript"/>
        </w:rPr>
        <w:t>VCVS</w:t>
      </w:r>
      <w:r w:rsidR="00242DA0" w:rsidRPr="00DE12A3">
        <w:rPr>
          <w:spacing w:val="3"/>
          <w:sz w:val="24"/>
          <w:szCs w:val="24"/>
        </w:rPr>
        <w:t xml:space="preserve">), </w:t>
      </w:r>
      <w:r w:rsidR="004955A8" w:rsidRPr="00DE12A3">
        <w:rPr>
          <w:spacing w:val="3"/>
          <w:sz w:val="24"/>
          <w:szCs w:val="24"/>
        </w:rPr>
        <w:t>i</w:t>
      </w:r>
      <w:r w:rsidR="00242DA0" w:rsidRPr="00DE12A3">
        <w:rPr>
          <w:spacing w:val="3"/>
          <w:sz w:val="24"/>
          <w:szCs w:val="24"/>
        </w:rPr>
        <w:t>malatçı tarafından öngörülen yöntem kullanılarak debimetre verilerinden standart m</w:t>
      </w:r>
      <w:r w:rsidR="00242DA0" w:rsidRPr="00DE12A3">
        <w:rPr>
          <w:spacing w:val="3"/>
          <w:sz w:val="24"/>
          <w:szCs w:val="24"/>
          <w:vertAlign w:val="superscript"/>
        </w:rPr>
        <w:t>3</w:t>
      </w:r>
      <w:r w:rsidR="00242DA0" w:rsidRPr="00DE12A3">
        <w:rPr>
          <w:spacing w:val="3"/>
          <w:sz w:val="24"/>
          <w:szCs w:val="24"/>
        </w:rPr>
        <w:t>/sn cinsinden hesaplanmalıdır. KV [((K • m</w:t>
      </w:r>
      <w:r w:rsidR="00242DA0" w:rsidRPr="00DE12A3">
        <w:rPr>
          <w:spacing w:val="3"/>
          <w:sz w:val="24"/>
          <w:szCs w:val="24"/>
          <w:vertAlign w:val="superscript"/>
        </w:rPr>
        <w:t>4</w:t>
      </w:r>
      <w:r w:rsidR="00242DA0" w:rsidRPr="00DE12A3">
        <w:rPr>
          <w:spacing w:val="3"/>
          <w:sz w:val="24"/>
          <w:szCs w:val="24"/>
        </w:rPr>
        <w:t xml:space="preserve"> • s) / kg] kalibrasyon katsayısı, (7-72) </w:t>
      </w:r>
      <w:r w:rsidR="00962CA1" w:rsidRPr="00DE12A3">
        <w:rPr>
          <w:spacing w:val="3"/>
          <w:sz w:val="24"/>
          <w:szCs w:val="24"/>
        </w:rPr>
        <w:t xml:space="preserve">numaralı </w:t>
      </w:r>
      <w:r w:rsidR="00242DA0" w:rsidRPr="00DE12A3">
        <w:rPr>
          <w:spacing w:val="3"/>
          <w:sz w:val="24"/>
          <w:szCs w:val="24"/>
        </w:rPr>
        <w:t>denklem ile her ayar için kalibrasyon verilerinden hesaplanmalıdır:</w:t>
      </w:r>
    </w:p>
    <w:p w14:paraId="75F04CE8" w14:textId="37EA4B38" w:rsidR="002D7B36" w:rsidRPr="00DE12A3" w:rsidRDefault="00242DA0" w:rsidP="00B02387">
      <w:pPr>
        <w:widowControl/>
        <w:tabs>
          <w:tab w:val="left" w:pos="8789"/>
        </w:tabs>
        <w:spacing w:before="120" w:after="120"/>
        <w:ind w:left="1134" w:hanging="1134"/>
        <w:jc w:val="center"/>
        <w:rPr>
          <w:rFonts w:cs="Times New Roman"/>
          <w:color w:val="auto"/>
          <w:lang w:eastAsia="en-US"/>
        </w:rPr>
      </w:pPr>
      <w:r w:rsidRPr="00DE12A3">
        <w:rPr>
          <w:rFonts w:cs="Times New Roman"/>
          <w:noProof/>
          <w:color w:val="auto"/>
        </w:rPr>
        <w:drawing>
          <wp:inline distT="0" distB="0" distL="0" distR="0" wp14:anchorId="2B95D271" wp14:editId="546CD1EE">
            <wp:extent cx="4819650" cy="756235"/>
            <wp:effectExtent l="0" t="0" r="0" b="6350"/>
            <wp:docPr id="2372" name="Resim 23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2" name="Resim 2372"/>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a:xfrm>
                      <a:off x="0" y="0"/>
                      <a:ext cx="4933264" cy="774062"/>
                    </a:xfrm>
                    <a:prstGeom prst="rect">
                      <a:avLst/>
                    </a:prstGeom>
                    <a:noFill/>
                    <a:ln>
                      <a:noFill/>
                    </a:ln>
                  </pic:spPr>
                </pic:pic>
              </a:graphicData>
            </a:graphic>
          </wp:inline>
        </w:drawing>
      </w:r>
    </w:p>
    <w:p w14:paraId="1EC3692D" w14:textId="77777777" w:rsidR="002D7B36" w:rsidRPr="00DE12A3" w:rsidRDefault="00242DA0" w:rsidP="00C917D6">
      <w:pPr>
        <w:pStyle w:val="Gvdemetni251"/>
        <w:shd w:val="clear" w:color="auto" w:fill="auto"/>
        <w:spacing w:before="120" w:after="120" w:line="240" w:lineRule="auto"/>
        <w:ind w:left="1134" w:firstLine="0"/>
        <w:rPr>
          <w:color w:val="auto"/>
          <w:sz w:val="24"/>
          <w:szCs w:val="24"/>
        </w:rPr>
      </w:pPr>
      <w:r w:rsidRPr="00DE12A3">
        <w:rPr>
          <w:color w:val="auto"/>
          <w:sz w:val="24"/>
          <w:szCs w:val="24"/>
        </w:rPr>
        <w:t>Burada:</w:t>
      </w:r>
    </w:p>
    <w:p w14:paraId="49A6B7CB" w14:textId="010FB5C5" w:rsidR="002D7B36" w:rsidRPr="00DE12A3" w:rsidRDefault="00242DA0" w:rsidP="00C917D6">
      <w:pPr>
        <w:pStyle w:val="Gvdemetni251"/>
        <w:shd w:val="clear" w:color="auto" w:fill="auto"/>
        <w:spacing w:before="120" w:after="120" w:line="240" w:lineRule="auto"/>
        <w:ind w:left="1134" w:firstLine="0"/>
        <w:rPr>
          <w:color w:val="auto"/>
          <w:sz w:val="24"/>
          <w:szCs w:val="24"/>
        </w:rPr>
      </w:pPr>
      <w:r w:rsidRPr="00DE12A3">
        <w:rPr>
          <w:rStyle w:val="Gvdemetni2585pt0ptbolukbraklyor2"/>
          <w:i/>
          <w:iCs/>
          <w:color w:val="auto"/>
          <w:sz w:val="24"/>
          <w:szCs w:val="24"/>
        </w:rPr>
        <w:t>q</w:t>
      </w:r>
      <w:r w:rsidRPr="00DE12A3">
        <w:rPr>
          <w:rStyle w:val="Gvdemetni2585pt0ptbolukbraklyor2"/>
          <w:color w:val="auto"/>
          <w:sz w:val="24"/>
          <w:szCs w:val="24"/>
          <w:vertAlign w:val="subscript"/>
        </w:rPr>
        <w:t>V</w:t>
      </w:r>
      <w:r w:rsidRPr="00DE12A3">
        <w:rPr>
          <w:color w:val="auto"/>
          <w:sz w:val="24"/>
          <w:szCs w:val="24"/>
          <w:vertAlign w:val="subscript"/>
        </w:rPr>
        <w:t>SSV</w:t>
      </w:r>
      <w:r w:rsidRPr="00DE12A3">
        <w:rPr>
          <w:color w:val="auto"/>
          <w:sz w:val="24"/>
          <w:szCs w:val="24"/>
        </w:rPr>
        <w:t xml:space="preserve"> = </w:t>
      </w:r>
      <w:r w:rsidR="00EA64C0" w:rsidRPr="00DE12A3">
        <w:rPr>
          <w:color w:val="auto"/>
          <w:sz w:val="24"/>
          <w:szCs w:val="24"/>
        </w:rPr>
        <w:t xml:space="preserve">Standart </w:t>
      </w:r>
      <w:r w:rsidRPr="00DE12A3">
        <w:rPr>
          <w:color w:val="auto"/>
          <w:sz w:val="24"/>
          <w:szCs w:val="24"/>
        </w:rPr>
        <w:t>koşullarda (101,325 kPa, 273,15 K) hava akış hızı[m</w:t>
      </w:r>
      <w:r w:rsidRPr="00DE12A3">
        <w:rPr>
          <w:color w:val="auto"/>
          <w:sz w:val="24"/>
          <w:szCs w:val="24"/>
          <w:vertAlign w:val="superscript"/>
        </w:rPr>
        <w:t>3</w:t>
      </w:r>
      <w:r w:rsidRPr="00DE12A3">
        <w:rPr>
          <w:color w:val="auto"/>
          <w:sz w:val="24"/>
          <w:szCs w:val="24"/>
        </w:rPr>
        <w:t>/s]</w:t>
      </w:r>
    </w:p>
    <w:p w14:paraId="1BE5B56C" w14:textId="7BD17306" w:rsidR="002D7B36" w:rsidRPr="00DE12A3" w:rsidRDefault="00EA64C0" w:rsidP="00EA64C0">
      <w:pPr>
        <w:rPr>
          <w:color w:val="auto"/>
        </w:rPr>
      </w:pPr>
      <w:r w:rsidRPr="00DE12A3">
        <w:rPr>
          <w:rStyle w:val="Gvdemetni254pttalik0ptbolukbraklyor18"/>
          <w:rFonts w:eastAsia="Courier New"/>
          <w:color w:val="auto"/>
          <w:sz w:val="24"/>
          <w:szCs w:val="24"/>
        </w:rPr>
        <w:t xml:space="preserve">                 </w:t>
      </w:r>
      <w:r w:rsidR="00242DA0" w:rsidRPr="00DE12A3">
        <w:rPr>
          <w:rStyle w:val="Gvdemetni254pttalik0ptbolukbraklyor18"/>
          <w:rFonts w:eastAsia="Courier New"/>
          <w:color w:val="auto"/>
          <w:sz w:val="24"/>
          <w:szCs w:val="24"/>
        </w:rPr>
        <w:t>T</w:t>
      </w:r>
      <w:r w:rsidR="00242DA0" w:rsidRPr="00DE12A3">
        <w:rPr>
          <w:color w:val="auto"/>
        </w:rPr>
        <w:t xml:space="preserve"> =</w:t>
      </w:r>
      <w:r w:rsidRPr="00DE12A3">
        <w:rPr>
          <w:color w:val="auto"/>
        </w:rPr>
        <w:t xml:space="preserve">Venturi </w:t>
      </w:r>
      <w:r w:rsidR="00242DA0" w:rsidRPr="00DE12A3">
        <w:rPr>
          <w:color w:val="auto"/>
        </w:rPr>
        <w:t>girişindeki sıcaklık [K]</w:t>
      </w:r>
    </w:p>
    <w:p w14:paraId="566DBF6F" w14:textId="26E56C12" w:rsidR="002D7B36" w:rsidRPr="00DE12A3" w:rsidRDefault="00242DA0" w:rsidP="00C917D6">
      <w:pPr>
        <w:pStyle w:val="Gvdemetni251"/>
        <w:shd w:val="clear" w:color="auto" w:fill="auto"/>
        <w:tabs>
          <w:tab w:val="left" w:pos="1418"/>
        </w:tabs>
        <w:spacing w:before="120" w:after="120" w:line="240" w:lineRule="auto"/>
        <w:ind w:left="1134" w:firstLine="0"/>
        <w:rPr>
          <w:color w:val="auto"/>
          <w:sz w:val="24"/>
          <w:szCs w:val="24"/>
        </w:rPr>
      </w:pPr>
      <w:r w:rsidRPr="00DE12A3">
        <w:rPr>
          <w:rStyle w:val="Gvdemetni2585pt0ptbolukbraklyor2"/>
          <w:i/>
          <w:iCs/>
          <w:color w:val="auto"/>
          <w:sz w:val="24"/>
          <w:szCs w:val="24"/>
        </w:rPr>
        <w:t>p</w:t>
      </w:r>
      <w:r w:rsidRPr="00DE12A3">
        <w:rPr>
          <w:color w:val="auto"/>
          <w:sz w:val="24"/>
          <w:szCs w:val="24"/>
          <w:vertAlign w:val="subscript"/>
        </w:rPr>
        <w:t>p</w:t>
      </w:r>
      <w:r w:rsidRPr="00DE12A3">
        <w:rPr>
          <w:color w:val="auto"/>
          <w:sz w:val="24"/>
          <w:szCs w:val="24"/>
        </w:rPr>
        <w:t xml:space="preserve"> =</w:t>
      </w:r>
      <w:r w:rsidR="00EA64C0" w:rsidRPr="00DE12A3">
        <w:rPr>
          <w:color w:val="auto"/>
          <w:sz w:val="24"/>
          <w:szCs w:val="24"/>
        </w:rPr>
        <w:t xml:space="preserve">Venturi </w:t>
      </w:r>
      <w:r w:rsidRPr="00DE12A3">
        <w:rPr>
          <w:color w:val="auto"/>
          <w:sz w:val="24"/>
          <w:szCs w:val="24"/>
        </w:rPr>
        <w:t>girişindeki mutlak basınç [kPa]</w:t>
      </w:r>
    </w:p>
    <w:p w14:paraId="6A1C4951" w14:textId="2E271C1D" w:rsidR="00F374BC" w:rsidRPr="00DE12A3" w:rsidRDefault="00F374BC" w:rsidP="00C917D6">
      <w:pPr>
        <w:pStyle w:val="Gvdemetni251"/>
        <w:shd w:val="clear" w:color="auto" w:fill="auto"/>
        <w:spacing w:before="120" w:after="120" w:line="240" w:lineRule="auto"/>
        <w:ind w:left="1134" w:firstLine="0"/>
        <w:rPr>
          <w:color w:val="auto"/>
          <w:sz w:val="24"/>
          <w:szCs w:val="24"/>
        </w:rPr>
      </w:pPr>
      <w:r w:rsidRPr="00DE12A3">
        <w:rPr>
          <w:color w:val="auto"/>
          <w:sz w:val="24"/>
          <w:szCs w:val="24"/>
        </w:rPr>
        <w:t>Ortalama K</w:t>
      </w:r>
      <w:r w:rsidRPr="00DE12A3">
        <w:rPr>
          <w:color w:val="auto"/>
          <w:sz w:val="24"/>
          <w:szCs w:val="24"/>
          <w:vertAlign w:val="subscript"/>
        </w:rPr>
        <w:t>V</w:t>
      </w:r>
      <w:r w:rsidRPr="00DE12A3">
        <w:rPr>
          <w:color w:val="auto"/>
          <w:sz w:val="24"/>
          <w:szCs w:val="24"/>
        </w:rPr>
        <w:t xml:space="preserve"> ve standart sapma hesaplanmalıdır. Standart sapma, ortalama K</w:t>
      </w:r>
      <w:r w:rsidRPr="00DE12A3">
        <w:rPr>
          <w:color w:val="auto"/>
          <w:sz w:val="24"/>
          <w:szCs w:val="24"/>
          <w:vertAlign w:val="subscript"/>
        </w:rPr>
        <w:t>V</w:t>
      </w:r>
      <w:r w:rsidRPr="00DE12A3">
        <w:rPr>
          <w:color w:val="auto"/>
          <w:sz w:val="24"/>
          <w:szCs w:val="24"/>
        </w:rPr>
        <w:t>'nin ± %0,3'ünü aşmamalıdır.</w:t>
      </w:r>
    </w:p>
    <w:p w14:paraId="38568052" w14:textId="77777777" w:rsidR="002D7B36" w:rsidRPr="00DE12A3" w:rsidRDefault="001758A0" w:rsidP="00E20716">
      <w:pPr>
        <w:pStyle w:val="ListeParagraf"/>
        <w:numPr>
          <w:ilvl w:val="2"/>
          <w:numId w:val="451"/>
        </w:numPr>
        <w:spacing w:before="120" w:after="120"/>
        <w:ind w:left="1134" w:hanging="1276"/>
        <w:jc w:val="both"/>
        <w:rPr>
          <w:rFonts w:cs="Times New Roman"/>
          <w:color w:val="auto"/>
        </w:rPr>
      </w:pPr>
      <w:r w:rsidRPr="00DE12A3">
        <w:rPr>
          <w:rFonts w:cs="Times New Roman"/>
          <w:color w:val="auto"/>
        </w:rPr>
        <w:t xml:space="preserve">       </w:t>
      </w:r>
      <w:r w:rsidR="00242DA0" w:rsidRPr="00DE12A3">
        <w:rPr>
          <w:rFonts w:cs="Times New Roman"/>
          <w:color w:val="auto"/>
        </w:rPr>
        <w:t>Ses altı venturi (SSV)</w:t>
      </w:r>
    </w:p>
    <w:p w14:paraId="6985892D" w14:textId="238C5ED7" w:rsidR="002D7B36" w:rsidRPr="00DE12A3" w:rsidRDefault="00242DA0" w:rsidP="00C917D6">
      <w:pPr>
        <w:pStyle w:val="Gvdemetni251"/>
        <w:shd w:val="clear" w:color="auto" w:fill="auto"/>
        <w:spacing w:before="120" w:after="120" w:line="240" w:lineRule="auto"/>
        <w:ind w:left="1134" w:firstLine="0"/>
        <w:rPr>
          <w:color w:val="auto"/>
          <w:sz w:val="24"/>
          <w:szCs w:val="24"/>
        </w:rPr>
      </w:pPr>
      <w:r w:rsidRPr="00DE12A3">
        <w:rPr>
          <w:color w:val="auto"/>
          <w:sz w:val="24"/>
          <w:szCs w:val="24"/>
        </w:rPr>
        <w:t xml:space="preserve">SSV'nin kalibrasyonu, bir ses altı venturiye ilişkin akış denklemine dayanmaktadır. Gaz akışı, (7-40) </w:t>
      </w:r>
      <w:r w:rsidR="00962CA1" w:rsidRPr="00DE12A3">
        <w:rPr>
          <w:color w:val="auto"/>
          <w:sz w:val="24"/>
          <w:szCs w:val="24"/>
        </w:rPr>
        <w:t>numaralı</w:t>
      </w:r>
      <w:r w:rsidR="00962CA1" w:rsidRPr="00DE12A3" w:rsidDel="00962CA1">
        <w:rPr>
          <w:color w:val="auto"/>
          <w:sz w:val="24"/>
          <w:szCs w:val="24"/>
        </w:rPr>
        <w:t xml:space="preserve"> </w:t>
      </w:r>
      <w:r w:rsidRPr="00DE12A3">
        <w:rPr>
          <w:color w:val="auto"/>
          <w:sz w:val="24"/>
          <w:szCs w:val="24"/>
        </w:rPr>
        <w:t>denklemde gösterildiği gibi, giriş basıncının ve sıcaklığının, SSV girişi ile boğazı arasındaki basınç düşüşünün bir fonksiyonudur.</w:t>
      </w:r>
    </w:p>
    <w:p w14:paraId="42EC76D0" w14:textId="570B5816" w:rsidR="002D7B36" w:rsidRPr="00DE12A3" w:rsidRDefault="001758A0" w:rsidP="00C917D6">
      <w:pPr>
        <w:pStyle w:val="Gvdemetni251"/>
        <w:shd w:val="clear" w:color="auto" w:fill="auto"/>
        <w:spacing w:before="120" w:after="120" w:line="240" w:lineRule="auto"/>
        <w:ind w:left="1134" w:hanging="1134"/>
        <w:rPr>
          <w:color w:val="auto"/>
          <w:sz w:val="24"/>
          <w:szCs w:val="24"/>
        </w:rPr>
      </w:pPr>
      <w:r w:rsidRPr="00DE12A3">
        <w:rPr>
          <w:color w:val="auto"/>
          <w:sz w:val="24"/>
          <w:szCs w:val="24"/>
        </w:rPr>
        <w:t xml:space="preserve">                  </w:t>
      </w:r>
      <w:r w:rsidR="00242DA0" w:rsidRPr="00DE12A3">
        <w:rPr>
          <w:color w:val="auto"/>
          <w:sz w:val="24"/>
          <w:szCs w:val="24"/>
        </w:rPr>
        <w:t>Her sınırlandırma ayarındaki (asgari 16 ayar) hava akış hızı (</w:t>
      </w:r>
      <w:r w:rsidR="00242DA0" w:rsidRPr="00DE12A3">
        <w:rPr>
          <w:i/>
          <w:iCs/>
          <w:color w:val="auto"/>
          <w:sz w:val="24"/>
          <w:szCs w:val="24"/>
        </w:rPr>
        <w:t>q</w:t>
      </w:r>
      <w:r w:rsidR="00242DA0" w:rsidRPr="00DE12A3">
        <w:rPr>
          <w:color w:val="auto"/>
          <w:sz w:val="24"/>
          <w:szCs w:val="24"/>
          <w:vertAlign w:val="subscript"/>
        </w:rPr>
        <w:t>VSSV</w:t>
      </w:r>
      <w:r w:rsidR="00242DA0" w:rsidRPr="00DE12A3">
        <w:rPr>
          <w:color w:val="auto"/>
          <w:sz w:val="24"/>
          <w:szCs w:val="24"/>
        </w:rPr>
        <w:t xml:space="preserve">), </w:t>
      </w:r>
      <w:r w:rsidR="004955A8" w:rsidRPr="00DE12A3">
        <w:rPr>
          <w:color w:val="auto"/>
          <w:sz w:val="24"/>
          <w:szCs w:val="24"/>
        </w:rPr>
        <w:t>i</w:t>
      </w:r>
      <w:r w:rsidR="00242DA0" w:rsidRPr="00DE12A3">
        <w:rPr>
          <w:color w:val="auto"/>
          <w:sz w:val="24"/>
          <w:szCs w:val="24"/>
        </w:rPr>
        <w:t>malatçı tarafından öngörülen yöntem kullanılarak debimetre verilerinden standart m</w:t>
      </w:r>
      <w:r w:rsidR="00242DA0" w:rsidRPr="00DE12A3">
        <w:rPr>
          <w:color w:val="auto"/>
          <w:sz w:val="24"/>
          <w:szCs w:val="24"/>
          <w:vertAlign w:val="superscript"/>
        </w:rPr>
        <w:t>3</w:t>
      </w:r>
      <w:r w:rsidR="00242DA0" w:rsidRPr="00DE12A3">
        <w:rPr>
          <w:color w:val="auto"/>
          <w:sz w:val="24"/>
          <w:szCs w:val="24"/>
        </w:rPr>
        <w:t xml:space="preserve">/sn cinsinden hesaplanmalıdır. Boşaltma katsayısı, (7-73) </w:t>
      </w:r>
      <w:r w:rsidR="00962CA1" w:rsidRPr="00DE12A3">
        <w:rPr>
          <w:color w:val="auto"/>
          <w:sz w:val="24"/>
          <w:szCs w:val="24"/>
        </w:rPr>
        <w:t xml:space="preserve">numaralı </w:t>
      </w:r>
      <w:r w:rsidR="00242DA0" w:rsidRPr="00DE12A3">
        <w:rPr>
          <w:color w:val="auto"/>
          <w:sz w:val="24"/>
          <w:szCs w:val="24"/>
        </w:rPr>
        <w:t>denklem ile her ayar için kalibrasyon verilerinden hesaplanmalıdır:</w:t>
      </w:r>
    </w:p>
    <w:p w14:paraId="0496DFE2" w14:textId="7560A7D4" w:rsidR="002D7B36" w:rsidRPr="00DE12A3" w:rsidRDefault="00242DA0" w:rsidP="00C917D6">
      <w:pPr>
        <w:widowControl/>
        <w:tabs>
          <w:tab w:val="left" w:pos="8789"/>
        </w:tabs>
        <w:spacing w:before="120" w:after="120"/>
        <w:ind w:left="1134"/>
        <w:jc w:val="center"/>
        <w:rPr>
          <w:rFonts w:cs="Times New Roman"/>
          <w:color w:val="auto"/>
          <w:lang w:eastAsia="en-US"/>
        </w:rPr>
      </w:pPr>
      <w:r w:rsidRPr="00DE12A3">
        <w:rPr>
          <w:rFonts w:cs="Times New Roman"/>
          <w:noProof/>
          <w:color w:val="auto"/>
        </w:rPr>
        <w:drawing>
          <wp:inline distT="0" distB="0" distL="0" distR="0" wp14:anchorId="5FB65087" wp14:editId="429D2BA0">
            <wp:extent cx="5171325" cy="898525"/>
            <wp:effectExtent l="0" t="0" r="0" b="0"/>
            <wp:docPr id="2376" name="Resim 2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6" name="Resim 2376"/>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a:xfrm>
                      <a:off x="0" y="0"/>
                      <a:ext cx="5181220" cy="900244"/>
                    </a:xfrm>
                    <a:prstGeom prst="rect">
                      <a:avLst/>
                    </a:prstGeom>
                    <a:noFill/>
                    <a:ln>
                      <a:noFill/>
                    </a:ln>
                  </pic:spPr>
                </pic:pic>
              </a:graphicData>
            </a:graphic>
          </wp:inline>
        </w:drawing>
      </w:r>
    </w:p>
    <w:p w14:paraId="2B179E2B" w14:textId="77777777" w:rsidR="002D7B36" w:rsidRPr="00DE12A3" w:rsidRDefault="00242DA0" w:rsidP="00C917D6">
      <w:pPr>
        <w:pStyle w:val="Gvdemetni251"/>
        <w:shd w:val="clear" w:color="auto" w:fill="auto"/>
        <w:spacing w:before="120" w:after="120" w:line="240" w:lineRule="auto"/>
        <w:ind w:left="1134" w:firstLine="0"/>
        <w:rPr>
          <w:color w:val="auto"/>
          <w:sz w:val="24"/>
          <w:szCs w:val="24"/>
        </w:rPr>
      </w:pPr>
      <w:r w:rsidRPr="00DE12A3">
        <w:rPr>
          <w:color w:val="auto"/>
          <w:sz w:val="24"/>
          <w:szCs w:val="24"/>
        </w:rPr>
        <w:t>Burada:</w:t>
      </w:r>
    </w:p>
    <w:p w14:paraId="441BB2E2" w14:textId="3A1CC8CE" w:rsidR="002D7B36" w:rsidRPr="00DE12A3" w:rsidRDefault="00242DA0" w:rsidP="00C917D6">
      <w:pPr>
        <w:pStyle w:val="Gvdemetni251"/>
        <w:shd w:val="clear" w:color="auto" w:fill="auto"/>
        <w:tabs>
          <w:tab w:val="left" w:pos="1276"/>
        </w:tabs>
        <w:spacing w:before="120" w:after="120" w:line="240" w:lineRule="auto"/>
        <w:ind w:left="1134" w:firstLine="0"/>
        <w:rPr>
          <w:color w:val="auto"/>
          <w:sz w:val="24"/>
          <w:szCs w:val="24"/>
        </w:rPr>
      </w:pPr>
      <w:r w:rsidRPr="00DE12A3">
        <w:rPr>
          <w:color w:val="auto"/>
          <w:sz w:val="24"/>
          <w:szCs w:val="24"/>
        </w:rPr>
        <w:t>A</w:t>
      </w:r>
      <w:r w:rsidRPr="00DE12A3">
        <w:rPr>
          <w:color w:val="auto"/>
          <w:sz w:val="24"/>
          <w:szCs w:val="24"/>
          <w:vertAlign w:val="subscript"/>
        </w:rPr>
        <w:t>0</w:t>
      </w:r>
      <w:r w:rsidRPr="00DE12A3">
        <w:rPr>
          <w:color w:val="auto"/>
          <w:sz w:val="24"/>
          <w:szCs w:val="24"/>
        </w:rPr>
        <w:tab/>
        <w:t xml:space="preserve">= </w:t>
      </w:r>
      <w:r w:rsidR="00EA64C0" w:rsidRPr="00DE12A3">
        <w:rPr>
          <w:color w:val="auto"/>
          <w:sz w:val="24"/>
          <w:szCs w:val="24"/>
        </w:rPr>
        <w:t xml:space="preserve">Sabitler </w:t>
      </w:r>
      <w:r w:rsidRPr="00DE12A3">
        <w:rPr>
          <w:color w:val="auto"/>
          <w:sz w:val="24"/>
          <w:szCs w:val="24"/>
        </w:rPr>
        <w:t>ve birim dönüşümleri toplamı</w:t>
      </w:r>
    </w:p>
    <w:p w14:paraId="75AA6B14" w14:textId="70E402F3" w:rsidR="002D7B36" w:rsidRPr="00DE12A3" w:rsidRDefault="00242DA0" w:rsidP="00C917D6">
      <w:pPr>
        <w:widowControl/>
        <w:tabs>
          <w:tab w:val="left" w:pos="8789"/>
        </w:tabs>
        <w:spacing w:before="120" w:after="120"/>
        <w:ind w:left="1134"/>
        <w:jc w:val="both"/>
        <w:rPr>
          <w:rFonts w:cs="Times New Roman"/>
          <w:color w:val="auto"/>
          <w:lang w:eastAsia="en-US"/>
        </w:rPr>
      </w:pPr>
      <w:r w:rsidRPr="00DE12A3">
        <w:rPr>
          <w:rFonts w:cs="Times New Roman"/>
          <w:color w:val="auto"/>
          <w:lang w:eastAsia="en-US"/>
        </w:rPr>
        <w:lastRenderedPageBreak/>
        <w:t xml:space="preserve">         </w:t>
      </w:r>
      <w:r w:rsidRPr="00DE12A3">
        <w:rPr>
          <w:rFonts w:cs="Times New Roman"/>
          <w:noProof/>
          <w:color w:val="auto"/>
        </w:rPr>
        <w:drawing>
          <wp:inline distT="0" distB="0" distL="0" distR="0" wp14:anchorId="538CE827" wp14:editId="229F694D">
            <wp:extent cx="2404745" cy="497205"/>
            <wp:effectExtent l="0" t="0" r="0" b="0"/>
            <wp:docPr id="2377" name="Resim 2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7" name="Resim 2377"/>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a:xfrm>
                      <a:off x="0" y="0"/>
                      <a:ext cx="2447518" cy="506001"/>
                    </a:xfrm>
                    <a:prstGeom prst="rect">
                      <a:avLst/>
                    </a:prstGeom>
                    <a:noFill/>
                    <a:ln>
                      <a:noFill/>
                    </a:ln>
                  </pic:spPr>
                </pic:pic>
              </a:graphicData>
            </a:graphic>
          </wp:inline>
        </w:drawing>
      </w:r>
    </w:p>
    <w:p w14:paraId="5847D6C2" w14:textId="0C832216" w:rsidR="002D7B36" w:rsidRPr="00DE12A3" w:rsidRDefault="00242DA0" w:rsidP="00C917D6">
      <w:pPr>
        <w:pStyle w:val="Gvdemetni251"/>
        <w:shd w:val="clear" w:color="auto" w:fill="auto"/>
        <w:tabs>
          <w:tab w:val="left" w:pos="1276"/>
        </w:tabs>
        <w:spacing w:before="120" w:after="120" w:line="240" w:lineRule="auto"/>
        <w:ind w:left="1134" w:firstLine="0"/>
        <w:rPr>
          <w:color w:val="auto"/>
          <w:sz w:val="24"/>
          <w:szCs w:val="24"/>
        </w:rPr>
      </w:pPr>
      <w:r w:rsidRPr="00DE12A3">
        <w:rPr>
          <w:rStyle w:val="Gvdemetni2585pt0ptbolukbraklyor2"/>
          <w:color w:val="auto"/>
          <w:sz w:val="24"/>
          <w:szCs w:val="24"/>
        </w:rPr>
        <w:t>q</w:t>
      </w:r>
      <w:r w:rsidRPr="00DE12A3">
        <w:rPr>
          <w:rStyle w:val="Gvdemetni2585pt0ptbolukbraklyor2"/>
          <w:color w:val="auto"/>
          <w:sz w:val="24"/>
          <w:szCs w:val="24"/>
          <w:vertAlign w:val="subscript"/>
        </w:rPr>
        <w:t>VSSV</w:t>
      </w:r>
      <w:r w:rsidRPr="00DE12A3">
        <w:rPr>
          <w:rStyle w:val="Gvdemetni2585pt0ptbolukbraklyor2"/>
          <w:color w:val="auto"/>
          <w:sz w:val="24"/>
          <w:szCs w:val="24"/>
        </w:rPr>
        <w:tab/>
      </w:r>
      <w:r w:rsidRPr="00DE12A3">
        <w:rPr>
          <w:color w:val="auto"/>
          <w:sz w:val="24"/>
          <w:szCs w:val="24"/>
        </w:rPr>
        <w:t xml:space="preserve">= </w:t>
      </w:r>
      <w:r w:rsidR="00EA64C0" w:rsidRPr="00DE12A3">
        <w:rPr>
          <w:color w:val="auto"/>
          <w:sz w:val="24"/>
          <w:szCs w:val="24"/>
        </w:rPr>
        <w:t xml:space="preserve">Standart </w:t>
      </w:r>
      <w:r w:rsidRPr="00DE12A3">
        <w:rPr>
          <w:color w:val="auto"/>
          <w:sz w:val="24"/>
          <w:szCs w:val="24"/>
        </w:rPr>
        <w:t>koşullarda (101,325 kPa, 273,15 K) hava akış hızı [m</w:t>
      </w:r>
      <w:r w:rsidRPr="00DE12A3">
        <w:rPr>
          <w:rStyle w:val="Gvdemetni2585pt0ptbolukbraklyor1"/>
          <w:color w:val="auto"/>
          <w:sz w:val="24"/>
          <w:szCs w:val="24"/>
          <w:vertAlign w:val="superscript"/>
        </w:rPr>
        <w:t>3</w:t>
      </w:r>
      <w:r w:rsidRPr="00DE12A3">
        <w:rPr>
          <w:color w:val="auto"/>
          <w:sz w:val="24"/>
          <w:szCs w:val="24"/>
        </w:rPr>
        <w:t>/s]</w:t>
      </w:r>
    </w:p>
    <w:p w14:paraId="5706A60B" w14:textId="1C707609" w:rsidR="002D7B36" w:rsidRPr="00DE12A3" w:rsidRDefault="00242DA0" w:rsidP="00C917D6">
      <w:pPr>
        <w:pStyle w:val="Gvdemetni251"/>
        <w:shd w:val="clear" w:color="auto" w:fill="auto"/>
        <w:tabs>
          <w:tab w:val="center" w:pos="1318"/>
          <w:tab w:val="left" w:pos="1418"/>
        </w:tabs>
        <w:spacing w:before="120" w:after="120" w:line="240" w:lineRule="auto"/>
        <w:ind w:left="1134" w:firstLine="0"/>
        <w:rPr>
          <w:color w:val="auto"/>
          <w:sz w:val="24"/>
          <w:szCs w:val="24"/>
        </w:rPr>
      </w:pPr>
      <w:r w:rsidRPr="00DE12A3">
        <w:rPr>
          <w:rStyle w:val="Gvdemetni2585pt0ptbolukbraklyor2"/>
          <w:color w:val="auto"/>
          <w:sz w:val="24"/>
          <w:szCs w:val="24"/>
        </w:rPr>
        <w:t>T</w:t>
      </w:r>
      <w:r w:rsidRPr="00DE12A3">
        <w:rPr>
          <w:rStyle w:val="Gvdemetni2585pt0ptbolukbraklyor2"/>
          <w:color w:val="auto"/>
          <w:sz w:val="24"/>
          <w:szCs w:val="24"/>
          <w:vertAlign w:val="subscript"/>
        </w:rPr>
        <w:t>in,V</w:t>
      </w:r>
      <w:r w:rsidRPr="00DE12A3">
        <w:rPr>
          <w:rStyle w:val="Gvdemetni2585pt0ptbolukbraklyor2"/>
          <w:color w:val="auto"/>
          <w:sz w:val="24"/>
          <w:szCs w:val="24"/>
        </w:rPr>
        <w:tab/>
      </w:r>
      <w:r w:rsidRPr="00DE12A3">
        <w:rPr>
          <w:color w:val="auto"/>
          <w:sz w:val="24"/>
          <w:szCs w:val="24"/>
        </w:rPr>
        <w:t>=</w:t>
      </w:r>
      <w:r w:rsidR="00EA64C0" w:rsidRPr="00DE12A3">
        <w:rPr>
          <w:color w:val="auto"/>
          <w:sz w:val="24"/>
          <w:szCs w:val="24"/>
        </w:rPr>
        <w:t xml:space="preserve">Venturi </w:t>
      </w:r>
      <w:r w:rsidRPr="00DE12A3">
        <w:rPr>
          <w:color w:val="auto"/>
          <w:sz w:val="24"/>
          <w:szCs w:val="24"/>
        </w:rPr>
        <w:t>girişindeki sıcaklık [K]</w:t>
      </w:r>
    </w:p>
    <w:p w14:paraId="351CDE78" w14:textId="407DF1F5" w:rsidR="002D7B36" w:rsidRPr="00DE12A3" w:rsidRDefault="00242DA0" w:rsidP="00C917D6">
      <w:pPr>
        <w:pStyle w:val="Gvdemetni251"/>
        <w:shd w:val="clear" w:color="auto" w:fill="auto"/>
        <w:tabs>
          <w:tab w:val="center" w:pos="1318"/>
          <w:tab w:val="left" w:pos="1418"/>
        </w:tabs>
        <w:spacing w:before="120" w:after="120" w:line="240" w:lineRule="auto"/>
        <w:ind w:left="1134" w:firstLine="0"/>
        <w:rPr>
          <w:color w:val="auto"/>
          <w:sz w:val="24"/>
          <w:szCs w:val="24"/>
        </w:rPr>
      </w:pPr>
      <w:r w:rsidRPr="00DE12A3">
        <w:rPr>
          <w:rStyle w:val="Gvdemetni254pttalik0ptbolukbraklyor18"/>
          <w:color w:val="auto"/>
          <w:sz w:val="24"/>
          <w:szCs w:val="24"/>
        </w:rPr>
        <w:t>d</w:t>
      </w:r>
      <w:r w:rsidRPr="00DE12A3">
        <w:rPr>
          <w:rStyle w:val="Gvdemetni254pttalik0ptbolukbraklyor18"/>
          <w:i w:val="0"/>
          <w:color w:val="auto"/>
          <w:sz w:val="24"/>
          <w:szCs w:val="24"/>
          <w:vertAlign w:val="subscript"/>
        </w:rPr>
        <w:t>V</w:t>
      </w:r>
      <w:r w:rsidRPr="00DE12A3">
        <w:rPr>
          <w:color w:val="auto"/>
          <w:sz w:val="24"/>
          <w:szCs w:val="24"/>
        </w:rPr>
        <w:tab/>
      </w:r>
      <w:r w:rsidR="00EA64C0" w:rsidRPr="00DE12A3">
        <w:rPr>
          <w:color w:val="auto"/>
          <w:sz w:val="24"/>
          <w:szCs w:val="24"/>
        </w:rPr>
        <w:t xml:space="preserve">           </w:t>
      </w:r>
      <w:r w:rsidRPr="00DE12A3">
        <w:rPr>
          <w:color w:val="auto"/>
          <w:sz w:val="24"/>
          <w:szCs w:val="24"/>
        </w:rPr>
        <w:t>=SSV boğazı çapı</w:t>
      </w:r>
      <w:r w:rsidRPr="00DE12A3">
        <w:rPr>
          <w:i/>
          <w:iCs/>
          <w:color w:val="auto"/>
          <w:sz w:val="24"/>
          <w:szCs w:val="24"/>
        </w:rPr>
        <w:t xml:space="preserve"> </w:t>
      </w:r>
      <w:r w:rsidRPr="00DE12A3">
        <w:rPr>
          <w:color w:val="auto"/>
          <w:sz w:val="24"/>
          <w:szCs w:val="24"/>
        </w:rPr>
        <w:t>[mm]</w:t>
      </w:r>
    </w:p>
    <w:p w14:paraId="2F8F7FB4" w14:textId="3AB82D5B" w:rsidR="002D7B36" w:rsidRPr="00DE12A3" w:rsidRDefault="00242DA0" w:rsidP="00C917D6">
      <w:pPr>
        <w:pStyle w:val="Gvdemetni251"/>
        <w:shd w:val="clear" w:color="auto" w:fill="auto"/>
        <w:tabs>
          <w:tab w:val="center" w:pos="1318"/>
          <w:tab w:val="left" w:pos="1418"/>
          <w:tab w:val="left" w:pos="5282"/>
          <w:tab w:val="center" w:pos="5450"/>
          <w:tab w:val="right" w:pos="5659"/>
        </w:tabs>
        <w:spacing w:before="120" w:after="120" w:line="240" w:lineRule="auto"/>
        <w:ind w:left="1134" w:firstLine="0"/>
        <w:rPr>
          <w:color w:val="auto"/>
          <w:sz w:val="24"/>
          <w:szCs w:val="24"/>
        </w:rPr>
      </w:pPr>
      <w:r w:rsidRPr="00DE12A3">
        <w:rPr>
          <w:rStyle w:val="Gvdemetni254pttalik0ptbolukbraklyor18"/>
          <w:color w:val="auto"/>
          <w:sz w:val="24"/>
          <w:szCs w:val="24"/>
        </w:rPr>
        <w:t>r</w:t>
      </w:r>
      <w:r w:rsidRPr="00DE12A3">
        <w:rPr>
          <w:rStyle w:val="Gvdemetni254pttalik0ptbolukbraklyor18"/>
          <w:color w:val="auto"/>
          <w:sz w:val="24"/>
          <w:szCs w:val="24"/>
          <w:vertAlign w:val="subscript"/>
        </w:rPr>
        <w:t>p</w:t>
      </w:r>
      <w:r w:rsidRPr="00DE12A3">
        <w:rPr>
          <w:color w:val="auto"/>
          <w:sz w:val="24"/>
          <w:szCs w:val="24"/>
        </w:rPr>
        <w:tab/>
      </w:r>
      <w:r w:rsidR="00EA64C0" w:rsidRPr="00DE12A3">
        <w:rPr>
          <w:color w:val="auto"/>
          <w:sz w:val="24"/>
          <w:szCs w:val="24"/>
        </w:rPr>
        <w:t xml:space="preserve">           </w:t>
      </w:r>
      <w:r w:rsidRPr="00DE12A3">
        <w:rPr>
          <w:color w:val="auto"/>
          <w:sz w:val="24"/>
          <w:szCs w:val="24"/>
        </w:rPr>
        <w:t>=SSV boğazı / giriş mutlak statik basıncı oranı = 1 - Δ</w:t>
      </w:r>
      <w:r w:rsidRPr="00DE12A3">
        <w:rPr>
          <w:i/>
          <w:iCs/>
          <w:color w:val="auto"/>
          <w:sz w:val="24"/>
          <w:szCs w:val="24"/>
        </w:rPr>
        <w:t>p</w:t>
      </w:r>
      <w:r w:rsidRPr="00DE12A3">
        <w:rPr>
          <w:color w:val="auto"/>
          <w:sz w:val="24"/>
          <w:szCs w:val="24"/>
        </w:rPr>
        <w:t>/</w:t>
      </w:r>
      <w:r w:rsidRPr="00DE12A3">
        <w:rPr>
          <w:i/>
          <w:iCs/>
          <w:color w:val="auto"/>
          <w:sz w:val="24"/>
          <w:szCs w:val="24"/>
        </w:rPr>
        <w:t>p</w:t>
      </w:r>
      <w:r w:rsidRPr="00DE12A3">
        <w:rPr>
          <w:color w:val="auto"/>
          <w:sz w:val="24"/>
          <w:szCs w:val="24"/>
        </w:rPr>
        <w:t>p [-]</w:t>
      </w:r>
    </w:p>
    <w:p w14:paraId="2F22FBA0" w14:textId="77777777" w:rsidR="002D7B36" w:rsidRPr="00DE12A3" w:rsidRDefault="00242DA0" w:rsidP="00C917D6">
      <w:pPr>
        <w:pStyle w:val="Gvdemetni251"/>
        <w:shd w:val="clear" w:color="auto" w:fill="auto"/>
        <w:tabs>
          <w:tab w:val="center" w:pos="1318"/>
          <w:tab w:val="left" w:pos="1418"/>
          <w:tab w:val="center" w:pos="4174"/>
          <w:tab w:val="center" w:pos="4399"/>
          <w:tab w:val="center" w:pos="4716"/>
          <w:tab w:val="right" w:pos="5244"/>
          <w:tab w:val="left" w:pos="5282"/>
        </w:tabs>
        <w:spacing w:before="120" w:after="120" w:line="240" w:lineRule="auto"/>
        <w:ind w:left="1134" w:firstLine="0"/>
        <w:rPr>
          <w:color w:val="auto"/>
          <w:sz w:val="24"/>
          <w:szCs w:val="24"/>
        </w:rPr>
      </w:pPr>
      <w:r w:rsidRPr="00DE12A3">
        <w:rPr>
          <w:rStyle w:val="Gvdemetni2585pt0ptbolukbraklyor2"/>
          <w:i/>
          <w:iCs/>
          <w:color w:val="auto"/>
          <w:sz w:val="24"/>
          <w:szCs w:val="24"/>
        </w:rPr>
        <w:t>r</w:t>
      </w:r>
      <w:r w:rsidRPr="00DE12A3">
        <w:rPr>
          <w:rStyle w:val="Gvdemetni2585pt0ptbolukbraklyor2"/>
          <w:color w:val="auto"/>
          <w:sz w:val="24"/>
          <w:szCs w:val="24"/>
          <w:vertAlign w:val="subscript"/>
        </w:rPr>
        <w:t>D</w:t>
      </w:r>
      <w:r w:rsidRPr="00DE12A3">
        <w:rPr>
          <w:rStyle w:val="Gvdemetni2585pt0ptbolukbraklyor2"/>
          <w:color w:val="auto"/>
          <w:sz w:val="24"/>
          <w:szCs w:val="24"/>
        </w:rPr>
        <w:tab/>
      </w:r>
      <w:r w:rsidRPr="00DE12A3">
        <w:rPr>
          <w:color w:val="auto"/>
          <w:sz w:val="24"/>
          <w:szCs w:val="24"/>
        </w:rPr>
        <w:t>=</w:t>
      </w:r>
      <w:r w:rsidRPr="00DE12A3">
        <w:rPr>
          <w:color w:val="auto"/>
          <w:sz w:val="24"/>
          <w:szCs w:val="24"/>
        </w:rPr>
        <w:tab/>
        <w:t xml:space="preserve">SSV boğazı çapı </w:t>
      </w:r>
      <w:r w:rsidRPr="00DE12A3">
        <w:rPr>
          <w:i/>
          <w:iCs/>
          <w:color w:val="auto"/>
          <w:sz w:val="24"/>
          <w:szCs w:val="24"/>
        </w:rPr>
        <w:t>d</w:t>
      </w:r>
      <w:r w:rsidRPr="00DE12A3">
        <w:rPr>
          <w:color w:val="auto"/>
          <w:sz w:val="24"/>
          <w:szCs w:val="24"/>
          <w:vertAlign w:val="subscript"/>
        </w:rPr>
        <w:t>V</w:t>
      </w:r>
      <w:r w:rsidRPr="00DE12A3">
        <w:rPr>
          <w:color w:val="auto"/>
          <w:sz w:val="24"/>
          <w:szCs w:val="24"/>
        </w:rPr>
        <w:t xml:space="preserve"> / giriş borusu iç çapı </w:t>
      </w:r>
      <w:r w:rsidRPr="00DE12A3">
        <w:rPr>
          <w:i/>
          <w:iCs/>
          <w:color w:val="auto"/>
          <w:sz w:val="24"/>
          <w:szCs w:val="24"/>
        </w:rPr>
        <w:t>D</w:t>
      </w:r>
      <w:r w:rsidRPr="00DE12A3">
        <w:rPr>
          <w:color w:val="auto"/>
          <w:sz w:val="24"/>
          <w:szCs w:val="24"/>
        </w:rPr>
        <w:t xml:space="preserve"> oranı [-]</w:t>
      </w:r>
    </w:p>
    <w:p w14:paraId="6C1BFDCB" w14:textId="693F2639" w:rsidR="002D7B36" w:rsidRPr="00DE12A3" w:rsidRDefault="00242DA0" w:rsidP="00C917D6">
      <w:pPr>
        <w:pStyle w:val="Gvdemetni251"/>
        <w:shd w:val="clear" w:color="auto" w:fill="auto"/>
        <w:spacing w:before="120" w:after="120" w:line="240" w:lineRule="auto"/>
        <w:ind w:left="1134" w:firstLine="0"/>
        <w:rPr>
          <w:color w:val="auto"/>
          <w:sz w:val="24"/>
          <w:szCs w:val="24"/>
        </w:rPr>
      </w:pPr>
      <w:r w:rsidRPr="00DE12A3">
        <w:rPr>
          <w:color w:val="auto"/>
          <w:sz w:val="24"/>
          <w:szCs w:val="24"/>
        </w:rPr>
        <w:t xml:space="preserve">Ses altı akış aralığını belirlemek için, SSV boğazında, Reynolds sayısı </w:t>
      </w:r>
      <w:r w:rsidRPr="00DE12A3">
        <w:rPr>
          <w:i/>
          <w:iCs/>
          <w:color w:val="auto"/>
          <w:sz w:val="24"/>
          <w:szCs w:val="24"/>
        </w:rPr>
        <w:t>Re</w:t>
      </w:r>
      <w:r w:rsidRPr="00DE12A3">
        <w:rPr>
          <w:color w:val="auto"/>
          <w:sz w:val="24"/>
          <w:szCs w:val="24"/>
        </w:rPr>
        <w:t xml:space="preserve">'nin bir fonksiyonu olarak </w:t>
      </w:r>
      <w:r w:rsidRPr="00DE12A3">
        <w:rPr>
          <w:i/>
          <w:iCs/>
          <w:color w:val="auto"/>
          <w:sz w:val="24"/>
          <w:szCs w:val="24"/>
        </w:rPr>
        <w:t>C</w:t>
      </w:r>
      <w:r w:rsidRPr="00DE12A3">
        <w:rPr>
          <w:color w:val="auto"/>
          <w:sz w:val="24"/>
          <w:szCs w:val="24"/>
          <w:vertAlign w:val="subscript"/>
        </w:rPr>
        <w:t>d</w:t>
      </w:r>
      <w:r w:rsidRPr="00DE12A3">
        <w:rPr>
          <w:color w:val="auto"/>
          <w:sz w:val="24"/>
          <w:szCs w:val="24"/>
        </w:rPr>
        <w:t xml:space="preserve"> çizilmelidir. SSV boğazındaki </w:t>
      </w:r>
      <w:r w:rsidRPr="00DE12A3">
        <w:rPr>
          <w:i/>
          <w:iCs/>
          <w:color w:val="auto"/>
          <w:sz w:val="24"/>
          <w:szCs w:val="24"/>
        </w:rPr>
        <w:t>Re</w:t>
      </w:r>
      <w:r w:rsidRPr="00DE12A3">
        <w:rPr>
          <w:color w:val="auto"/>
          <w:sz w:val="24"/>
          <w:szCs w:val="24"/>
        </w:rPr>
        <w:t xml:space="preserve">, (7-74) </w:t>
      </w:r>
      <w:r w:rsidR="00962CA1" w:rsidRPr="00DE12A3">
        <w:rPr>
          <w:color w:val="auto"/>
          <w:sz w:val="24"/>
          <w:szCs w:val="24"/>
        </w:rPr>
        <w:t>numaralı</w:t>
      </w:r>
      <w:r w:rsidR="00962CA1" w:rsidRPr="00DE12A3" w:rsidDel="00962CA1">
        <w:rPr>
          <w:color w:val="auto"/>
          <w:sz w:val="24"/>
          <w:szCs w:val="24"/>
        </w:rPr>
        <w:t xml:space="preserve"> </w:t>
      </w:r>
      <w:r w:rsidRPr="00DE12A3">
        <w:rPr>
          <w:color w:val="auto"/>
          <w:sz w:val="24"/>
          <w:szCs w:val="24"/>
        </w:rPr>
        <w:t xml:space="preserve"> denklem ile hesaplanmalıdır:</w:t>
      </w:r>
    </w:p>
    <w:p w14:paraId="08E43854" w14:textId="73F16536" w:rsidR="002D7B36" w:rsidRPr="00DE12A3" w:rsidRDefault="00242DA0" w:rsidP="00C917D6">
      <w:pPr>
        <w:widowControl/>
        <w:tabs>
          <w:tab w:val="left" w:pos="8789"/>
        </w:tabs>
        <w:spacing w:before="120" w:after="120"/>
        <w:ind w:left="1134" w:hanging="1134"/>
        <w:jc w:val="center"/>
        <w:rPr>
          <w:rFonts w:cs="Times New Roman"/>
          <w:color w:val="auto"/>
          <w:lang w:eastAsia="en-US"/>
        </w:rPr>
      </w:pPr>
      <w:r w:rsidRPr="00DE12A3">
        <w:rPr>
          <w:rFonts w:cs="Times New Roman"/>
          <w:noProof/>
          <w:color w:val="auto"/>
        </w:rPr>
        <w:drawing>
          <wp:inline distT="0" distB="0" distL="0" distR="0" wp14:anchorId="72DFD15B" wp14:editId="58977016">
            <wp:extent cx="4127500" cy="644448"/>
            <wp:effectExtent l="0" t="0" r="0" b="3810"/>
            <wp:docPr id="2381" name="Resim 23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1" name="Resim 2381"/>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a:xfrm>
                      <a:off x="0" y="0"/>
                      <a:ext cx="4236071" cy="661400"/>
                    </a:xfrm>
                    <a:prstGeom prst="rect">
                      <a:avLst/>
                    </a:prstGeom>
                    <a:noFill/>
                    <a:ln>
                      <a:noFill/>
                    </a:ln>
                  </pic:spPr>
                </pic:pic>
              </a:graphicData>
            </a:graphic>
          </wp:inline>
        </w:drawing>
      </w:r>
    </w:p>
    <w:p w14:paraId="3651B16D" w14:textId="77777777" w:rsidR="002D7B36" w:rsidRPr="00DE12A3" w:rsidRDefault="00242DA0" w:rsidP="00C917D6">
      <w:pPr>
        <w:widowControl/>
        <w:tabs>
          <w:tab w:val="left" w:pos="8789"/>
        </w:tabs>
        <w:spacing w:before="120" w:after="120"/>
        <w:ind w:left="1134"/>
        <w:jc w:val="both"/>
        <w:rPr>
          <w:rFonts w:cs="Times New Roman"/>
          <w:color w:val="auto"/>
          <w:lang w:eastAsia="en-US"/>
        </w:rPr>
      </w:pPr>
      <w:r w:rsidRPr="00DE12A3">
        <w:rPr>
          <w:rFonts w:cs="Times New Roman"/>
          <w:color w:val="auto"/>
          <w:lang w:eastAsia="en-US"/>
        </w:rPr>
        <w:t xml:space="preserve">ve </w:t>
      </w:r>
    </w:p>
    <w:p w14:paraId="7710844D" w14:textId="77777777" w:rsidR="002D7B36" w:rsidRPr="00DE12A3" w:rsidRDefault="002D7B36" w:rsidP="00C917D6">
      <w:pPr>
        <w:widowControl/>
        <w:tabs>
          <w:tab w:val="left" w:pos="8789"/>
        </w:tabs>
        <w:spacing w:before="120" w:after="120"/>
        <w:ind w:left="1134" w:hanging="1134"/>
        <w:jc w:val="both"/>
        <w:rPr>
          <w:rFonts w:cs="Times New Roman"/>
          <w:color w:val="auto"/>
          <w:lang w:eastAsia="en-US"/>
        </w:rPr>
      </w:pPr>
    </w:p>
    <w:p w14:paraId="4FB078C8" w14:textId="354F22C0" w:rsidR="002D7B36" w:rsidRPr="00DE12A3" w:rsidRDefault="00242DA0" w:rsidP="00C917D6">
      <w:pPr>
        <w:widowControl/>
        <w:tabs>
          <w:tab w:val="left" w:pos="8789"/>
        </w:tabs>
        <w:spacing w:before="120" w:after="120"/>
        <w:ind w:left="1134" w:hanging="1134"/>
        <w:jc w:val="center"/>
        <w:rPr>
          <w:rFonts w:cs="Times New Roman"/>
          <w:color w:val="auto"/>
          <w:lang w:eastAsia="en-US"/>
        </w:rPr>
      </w:pPr>
      <w:r w:rsidRPr="00DE12A3">
        <w:rPr>
          <w:rFonts w:cs="Times New Roman"/>
          <w:noProof/>
          <w:color w:val="auto"/>
        </w:rPr>
        <w:drawing>
          <wp:inline distT="0" distB="0" distL="0" distR="0" wp14:anchorId="472EDE61" wp14:editId="44B3CFE9">
            <wp:extent cx="4058001" cy="922020"/>
            <wp:effectExtent l="0" t="0" r="0" b="0"/>
            <wp:docPr id="2382" name="Resim 2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2" name="Resim 2382"/>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a:xfrm>
                      <a:off x="0" y="0"/>
                      <a:ext cx="4068543" cy="924415"/>
                    </a:xfrm>
                    <a:prstGeom prst="rect">
                      <a:avLst/>
                    </a:prstGeom>
                    <a:noFill/>
                    <a:ln>
                      <a:noFill/>
                    </a:ln>
                  </pic:spPr>
                </pic:pic>
              </a:graphicData>
            </a:graphic>
          </wp:inline>
        </w:drawing>
      </w:r>
    </w:p>
    <w:p w14:paraId="40165F68" w14:textId="77777777" w:rsidR="002D7B36" w:rsidRPr="00DE12A3" w:rsidRDefault="00242DA0" w:rsidP="00C917D6">
      <w:pPr>
        <w:pStyle w:val="Gvdemetni251"/>
        <w:shd w:val="clear" w:color="auto" w:fill="auto"/>
        <w:spacing w:before="120" w:after="120" w:line="240" w:lineRule="auto"/>
        <w:ind w:left="1134" w:firstLine="0"/>
        <w:rPr>
          <w:color w:val="auto"/>
          <w:sz w:val="24"/>
          <w:szCs w:val="24"/>
        </w:rPr>
      </w:pPr>
      <w:r w:rsidRPr="00DE12A3">
        <w:rPr>
          <w:color w:val="auto"/>
          <w:sz w:val="24"/>
          <w:szCs w:val="24"/>
        </w:rPr>
        <w:t>Burada:</w:t>
      </w:r>
    </w:p>
    <w:p w14:paraId="3556EEF3" w14:textId="270CD250" w:rsidR="002D7B36" w:rsidRPr="00DE12A3" w:rsidRDefault="00242DA0" w:rsidP="00C917D6">
      <w:pPr>
        <w:pStyle w:val="Gvdemetni251"/>
        <w:shd w:val="clear" w:color="auto" w:fill="auto"/>
        <w:tabs>
          <w:tab w:val="right" w:pos="1366"/>
          <w:tab w:val="left" w:pos="1448"/>
        </w:tabs>
        <w:spacing w:before="120" w:after="120" w:line="240" w:lineRule="auto"/>
        <w:ind w:left="1134" w:firstLine="0"/>
        <w:rPr>
          <w:color w:val="auto"/>
          <w:sz w:val="24"/>
          <w:szCs w:val="24"/>
          <w:lang w:eastAsia="en-US"/>
        </w:rPr>
      </w:pPr>
      <w:r w:rsidRPr="00DE12A3">
        <w:rPr>
          <w:color w:val="auto"/>
          <w:sz w:val="24"/>
          <w:szCs w:val="24"/>
        </w:rPr>
        <w:t>A</w:t>
      </w:r>
      <w:r w:rsidRPr="00DE12A3">
        <w:rPr>
          <w:color w:val="auto"/>
          <w:sz w:val="24"/>
          <w:szCs w:val="24"/>
          <w:vertAlign w:val="subscript"/>
        </w:rPr>
        <w:t>1</w:t>
      </w:r>
      <w:r w:rsidRPr="00DE12A3">
        <w:rPr>
          <w:color w:val="auto"/>
          <w:sz w:val="24"/>
          <w:szCs w:val="24"/>
        </w:rPr>
        <w:tab/>
        <w:t>=</w:t>
      </w:r>
      <w:r w:rsidR="00EA64C0" w:rsidRPr="00DE12A3">
        <w:rPr>
          <w:color w:val="auto"/>
          <w:sz w:val="24"/>
          <w:szCs w:val="24"/>
        </w:rPr>
        <w:t xml:space="preserve">Sabitler </w:t>
      </w:r>
      <w:r w:rsidRPr="00DE12A3">
        <w:rPr>
          <w:color w:val="auto"/>
          <w:sz w:val="24"/>
          <w:szCs w:val="24"/>
        </w:rPr>
        <w:t>ve birim dönüşümleri toplamı = 27,43831</w:t>
      </w:r>
    </w:p>
    <w:p w14:paraId="6319B5C5" w14:textId="46814430" w:rsidR="002D7B36" w:rsidRPr="00DE12A3" w:rsidRDefault="00242DA0" w:rsidP="00C917D6">
      <w:pPr>
        <w:widowControl/>
        <w:tabs>
          <w:tab w:val="left" w:pos="8789"/>
        </w:tabs>
        <w:spacing w:before="120" w:after="120"/>
        <w:ind w:left="1134"/>
        <w:jc w:val="both"/>
        <w:rPr>
          <w:rFonts w:cs="Times New Roman"/>
          <w:color w:val="auto"/>
          <w:lang w:eastAsia="en-US"/>
        </w:rPr>
      </w:pPr>
      <w:r w:rsidRPr="00DE12A3">
        <w:rPr>
          <w:rFonts w:cs="Times New Roman"/>
          <w:color w:val="auto"/>
          <w:lang w:eastAsia="en-US"/>
        </w:rPr>
        <w:t xml:space="preserve">                   </w:t>
      </w:r>
      <w:r w:rsidRPr="00DE12A3">
        <w:rPr>
          <w:rFonts w:cs="Times New Roman"/>
          <w:noProof/>
          <w:color w:val="auto"/>
        </w:rPr>
        <w:drawing>
          <wp:inline distT="0" distB="0" distL="0" distR="0" wp14:anchorId="2328044B" wp14:editId="413C0845">
            <wp:extent cx="1591221" cy="492369"/>
            <wp:effectExtent l="0" t="0" r="0" b="3175"/>
            <wp:docPr id="2383" name="Resim 23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3" name="Resim 2383"/>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a:xfrm>
                      <a:off x="0" y="0"/>
                      <a:ext cx="1662378" cy="514387"/>
                    </a:xfrm>
                    <a:prstGeom prst="rect">
                      <a:avLst/>
                    </a:prstGeom>
                    <a:noFill/>
                    <a:ln>
                      <a:noFill/>
                    </a:ln>
                  </pic:spPr>
                </pic:pic>
              </a:graphicData>
            </a:graphic>
          </wp:inline>
        </w:drawing>
      </w:r>
    </w:p>
    <w:p w14:paraId="6C5F2A12" w14:textId="1B3A4F9C" w:rsidR="002D7B36" w:rsidRPr="00DE12A3" w:rsidRDefault="00242DA0" w:rsidP="00C917D6">
      <w:pPr>
        <w:pStyle w:val="Gvdemetni251"/>
        <w:shd w:val="clear" w:color="auto" w:fill="auto"/>
        <w:tabs>
          <w:tab w:val="left" w:pos="1276"/>
        </w:tabs>
        <w:spacing w:before="120" w:after="120" w:line="240" w:lineRule="auto"/>
        <w:ind w:left="1134" w:firstLine="0"/>
        <w:rPr>
          <w:color w:val="auto"/>
          <w:sz w:val="24"/>
          <w:szCs w:val="24"/>
        </w:rPr>
      </w:pPr>
      <w:r w:rsidRPr="00DE12A3">
        <w:rPr>
          <w:rStyle w:val="Gvdemetni2585pt"/>
          <w:i/>
          <w:iCs/>
          <w:color w:val="auto"/>
          <w:sz w:val="24"/>
          <w:szCs w:val="24"/>
        </w:rPr>
        <w:t>q</w:t>
      </w:r>
      <w:r w:rsidRPr="00DE12A3">
        <w:rPr>
          <w:rStyle w:val="Gvdemetni2585pt"/>
          <w:color w:val="auto"/>
          <w:sz w:val="24"/>
          <w:szCs w:val="24"/>
          <w:vertAlign w:val="subscript"/>
        </w:rPr>
        <w:t>V</w:t>
      </w:r>
      <w:r w:rsidRPr="00DE12A3">
        <w:rPr>
          <w:color w:val="auto"/>
          <w:sz w:val="24"/>
          <w:szCs w:val="24"/>
          <w:vertAlign w:val="subscript"/>
        </w:rPr>
        <w:t>SSV</w:t>
      </w:r>
      <w:r w:rsidRPr="00DE12A3">
        <w:rPr>
          <w:color w:val="auto"/>
          <w:sz w:val="24"/>
          <w:szCs w:val="24"/>
        </w:rPr>
        <w:tab/>
        <w:t>=</w:t>
      </w:r>
      <w:r w:rsidR="00EA64C0" w:rsidRPr="00DE12A3">
        <w:rPr>
          <w:color w:val="auto"/>
          <w:sz w:val="24"/>
          <w:szCs w:val="24"/>
        </w:rPr>
        <w:t xml:space="preserve">Standart </w:t>
      </w:r>
      <w:r w:rsidRPr="00DE12A3">
        <w:rPr>
          <w:color w:val="auto"/>
          <w:sz w:val="24"/>
          <w:szCs w:val="24"/>
        </w:rPr>
        <w:t>koşullarda (101,325 kPa, 273,15 K) hava akış hızı [m</w:t>
      </w:r>
      <w:r w:rsidRPr="00DE12A3">
        <w:rPr>
          <w:color w:val="auto"/>
          <w:sz w:val="24"/>
          <w:szCs w:val="24"/>
          <w:vertAlign w:val="superscript"/>
        </w:rPr>
        <w:t>3</w:t>
      </w:r>
      <w:r w:rsidRPr="00DE12A3">
        <w:rPr>
          <w:color w:val="auto"/>
          <w:sz w:val="24"/>
          <w:szCs w:val="24"/>
        </w:rPr>
        <w:t>/s]</w:t>
      </w:r>
    </w:p>
    <w:p w14:paraId="19DDD6C6" w14:textId="31ED1B35" w:rsidR="002D7B36" w:rsidRPr="00DE12A3" w:rsidRDefault="00242DA0" w:rsidP="00C917D6">
      <w:pPr>
        <w:pStyle w:val="Gvdemetni251"/>
        <w:shd w:val="clear" w:color="auto" w:fill="auto"/>
        <w:tabs>
          <w:tab w:val="left" w:pos="1276"/>
          <w:tab w:val="center" w:pos="1314"/>
          <w:tab w:val="left" w:pos="1448"/>
        </w:tabs>
        <w:spacing w:before="120" w:after="120" w:line="240" w:lineRule="auto"/>
        <w:ind w:left="1134" w:firstLine="0"/>
        <w:rPr>
          <w:color w:val="auto"/>
          <w:sz w:val="24"/>
          <w:szCs w:val="24"/>
        </w:rPr>
      </w:pPr>
      <w:r w:rsidRPr="00DE12A3">
        <w:rPr>
          <w:rStyle w:val="Gvdemetni2585pt"/>
          <w:i/>
          <w:iCs/>
          <w:color w:val="auto"/>
          <w:sz w:val="24"/>
          <w:szCs w:val="24"/>
        </w:rPr>
        <w:t>d</w:t>
      </w:r>
      <w:r w:rsidRPr="00DE12A3">
        <w:rPr>
          <w:color w:val="auto"/>
          <w:sz w:val="24"/>
          <w:szCs w:val="24"/>
          <w:vertAlign w:val="subscript"/>
        </w:rPr>
        <w:t>V</w:t>
      </w:r>
      <w:r w:rsidRPr="00DE12A3">
        <w:rPr>
          <w:color w:val="auto"/>
          <w:sz w:val="24"/>
          <w:szCs w:val="24"/>
        </w:rPr>
        <w:tab/>
        <w:t>=SSV boğazı çapı [mm]</w:t>
      </w:r>
    </w:p>
    <w:p w14:paraId="6E85227F" w14:textId="36AA3791" w:rsidR="002D7B36" w:rsidRPr="00DE12A3" w:rsidRDefault="00242DA0" w:rsidP="00C917D6">
      <w:pPr>
        <w:pStyle w:val="Gvdemetni251"/>
        <w:shd w:val="clear" w:color="auto" w:fill="auto"/>
        <w:tabs>
          <w:tab w:val="left" w:pos="1276"/>
          <w:tab w:val="center" w:pos="1314"/>
          <w:tab w:val="left" w:pos="1448"/>
          <w:tab w:val="center" w:pos="4193"/>
          <w:tab w:val="right" w:pos="5249"/>
        </w:tabs>
        <w:spacing w:before="120" w:after="120" w:line="240" w:lineRule="auto"/>
        <w:ind w:left="1134" w:firstLine="0"/>
        <w:rPr>
          <w:color w:val="auto"/>
          <w:sz w:val="24"/>
          <w:szCs w:val="24"/>
        </w:rPr>
      </w:pPr>
      <w:r w:rsidRPr="00DE12A3">
        <w:rPr>
          <w:rFonts w:eastAsia="Courier New"/>
          <w:i/>
          <w:iCs/>
          <w:color w:val="auto"/>
          <w:spacing w:val="0"/>
          <w:sz w:val="24"/>
          <w:szCs w:val="24"/>
        </w:rPr>
        <w:t>μ</w:t>
      </w:r>
      <w:r w:rsidRPr="00DE12A3">
        <w:rPr>
          <w:color w:val="auto"/>
          <w:sz w:val="24"/>
          <w:szCs w:val="24"/>
        </w:rPr>
        <w:tab/>
        <w:t>=</w:t>
      </w:r>
      <w:r w:rsidRPr="00DE12A3">
        <w:rPr>
          <w:color w:val="auto"/>
          <w:sz w:val="24"/>
          <w:szCs w:val="24"/>
        </w:rPr>
        <w:tab/>
        <w:t>gazın mutlak veya dinamik viskozitesi [kg/(m• s)]</w:t>
      </w:r>
    </w:p>
    <w:p w14:paraId="048967AA" w14:textId="77777777" w:rsidR="002D7B36" w:rsidRPr="00DE12A3" w:rsidRDefault="00242DA0" w:rsidP="00C917D6">
      <w:pPr>
        <w:pStyle w:val="Gvdemetni251"/>
        <w:shd w:val="clear" w:color="auto" w:fill="auto"/>
        <w:tabs>
          <w:tab w:val="left" w:pos="1276"/>
          <w:tab w:val="center" w:pos="1314"/>
          <w:tab w:val="left" w:pos="1448"/>
          <w:tab w:val="center" w:pos="4601"/>
          <w:tab w:val="right" w:pos="4874"/>
        </w:tabs>
        <w:spacing w:before="120" w:after="120" w:line="240" w:lineRule="auto"/>
        <w:ind w:left="1134" w:firstLine="0"/>
        <w:rPr>
          <w:color w:val="auto"/>
          <w:sz w:val="24"/>
          <w:szCs w:val="24"/>
        </w:rPr>
      </w:pPr>
      <w:r w:rsidRPr="00DE12A3">
        <w:rPr>
          <w:color w:val="auto"/>
          <w:sz w:val="24"/>
          <w:szCs w:val="24"/>
        </w:rPr>
        <w:t>b</w:t>
      </w:r>
      <w:r w:rsidRPr="00DE12A3">
        <w:rPr>
          <w:color w:val="auto"/>
          <w:sz w:val="24"/>
          <w:szCs w:val="24"/>
        </w:rPr>
        <w:tab/>
        <w:t>=</w:t>
      </w:r>
      <w:r w:rsidRPr="00DE12A3">
        <w:rPr>
          <w:color w:val="auto"/>
          <w:sz w:val="24"/>
          <w:szCs w:val="24"/>
        </w:rPr>
        <w:tab/>
        <w:t>1,458 x 10</w:t>
      </w:r>
      <w:r w:rsidRPr="00DE12A3">
        <w:rPr>
          <w:color w:val="auto"/>
          <w:sz w:val="24"/>
          <w:szCs w:val="24"/>
          <w:vertAlign w:val="superscript"/>
        </w:rPr>
        <w:t>6</w:t>
      </w:r>
      <w:r w:rsidRPr="00DE12A3">
        <w:rPr>
          <w:color w:val="auto"/>
          <w:sz w:val="24"/>
          <w:szCs w:val="24"/>
        </w:rPr>
        <w:t xml:space="preserve"> (ampirik sabit) [kg/(m • s • K</w:t>
      </w:r>
      <w:r w:rsidRPr="00DE12A3">
        <w:rPr>
          <w:color w:val="auto"/>
          <w:sz w:val="24"/>
          <w:szCs w:val="24"/>
          <w:vertAlign w:val="superscript"/>
        </w:rPr>
        <w:t>0,5</w:t>
      </w:r>
      <w:r w:rsidRPr="00DE12A3">
        <w:rPr>
          <w:color w:val="auto"/>
          <w:sz w:val="24"/>
          <w:szCs w:val="24"/>
        </w:rPr>
        <w:t>)]</w:t>
      </w:r>
    </w:p>
    <w:p w14:paraId="265A8C3F" w14:textId="77777777" w:rsidR="002D7B36" w:rsidRPr="00DE12A3" w:rsidRDefault="00242DA0" w:rsidP="00C917D6">
      <w:pPr>
        <w:pStyle w:val="Gvdemetni251"/>
        <w:shd w:val="clear" w:color="auto" w:fill="auto"/>
        <w:tabs>
          <w:tab w:val="left" w:pos="1276"/>
          <w:tab w:val="center" w:pos="1314"/>
          <w:tab w:val="left" w:pos="1448"/>
        </w:tabs>
        <w:spacing w:before="120" w:after="120" w:line="240" w:lineRule="auto"/>
        <w:ind w:left="1134" w:firstLine="0"/>
        <w:rPr>
          <w:color w:val="auto"/>
          <w:sz w:val="24"/>
          <w:szCs w:val="24"/>
        </w:rPr>
      </w:pPr>
      <w:r w:rsidRPr="00DE12A3">
        <w:rPr>
          <w:color w:val="auto"/>
          <w:sz w:val="24"/>
          <w:szCs w:val="24"/>
        </w:rPr>
        <w:t>S</w:t>
      </w:r>
      <w:r w:rsidRPr="00DE12A3">
        <w:rPr>
          <w:color w:val="auto"/>
          <w:sz w:val="24"/>
          <w:szCs w:val="24"/>
        </w:rPr>
        <w:tab/>
        <w:t>=</w:t>
      </w:r>
      <w:r w:rsidRPr="00DE12A3">
        <w:rPr>
          <w:color w:val="auto"/>
          <w:sz w:val="24"/>
          <w:szCs w:val="24"/>
        </w:rPr>
        <w:tab/>
        <w:t>110,4 (ampirik sabit) [K]</w:t>
      </w:r>
    </w:p>
    <w:p w14:paraId="7AC31C28" w14:textId="4CEAFE47" w:rsidR="002D7B36" w:rsidRPr="00DE12A3" w:rsidRDefault="00242DA0" w:rsidP="00C917D6">
      <w:pPr>
        <w:pStyle w:val="Gvdemetni251"/>
        <w:shd w:val="clear" w:color="auto" w:fill="auto"/>
        <w:spacing w:before="120" w:after="120" w:line="240" w:lineRule="auto"/>
        <w:ind w:left="1134" w:firstLine="0"/>
        <w:rPr>
          <w:color w:val="auto"/>
          <w:sz w:val="24"/>
          <w:szCs w:val="24"/>
        </w:rPr>
      </w:pPr>
      <w:r w:rsidRPr="00DE12A3">
        <w:rPr>
          <w:rStyle w:val="Gvdemetni254pttalik2"/>
          <w:color w:val="auto"/>
          <w:sz w:val="24"/>
          <w:szCs w:val="24"/>
        </w:rPr>
        <w:t>q</w:t>
      </w:r>
      <w:r w:rsidRPr="00DE12A3">
        <w:rPr>
          <w:rStyle w:val="Gvdemetni254pttalik2"/>
          <w:color w:val="auto"/>
          <w:sz w:val="24"/>
          <w:szCs w:val="24"/>
          <w:vertAlign w:val="subscript"/>
        </w:rPr>
        <w:t>VSSV</w:t>
      </w:r>
      <w:r w:rsidRPr="00DE12A3">
        <w:rPr>
          <w:color w:val="auto"/>
          <w:sz w:val="24"/>
          <w:szCs w:val="24"/>
        </w:rPr>
        <w:t xml:space="preserve">, </w:t>
      </w:r>
      <w:r w:rsidRPr="00DE12A3">
        <w:rPr>
          <w:i/>
          <w:iCs/>
          <w:color w:val="auto"/>
          <w:sz w:val="24"/>
          <w:szCs w:val="24"/>
        </w:rPr>
        <w:t>Re</w:t>
      </w:r>
      <w:r w:rsidRPr="00DE12A3">
        <w:rPr>
          <w:color w:val="auto"/>
          <w:sz w:val="24"/>
          <w:szCs w:val="24"/>
        </w:rPr>
        <w:t xml:space="preserve"> denklemi için bir girdi olduğundan, hesaplamalar, kalibrasyon venturi'sinin </w:t>
      </w:r>
      <w:r w:rsidRPr="00DE12A3">
        <w:rPr>
          <w:i/>
          <w:iCs/>
          <w:color w:val="auto"/>
          <w:sz w:val="24"/>
          <w:szCs w:val="24"/>
        </w:rPr>
        <w:t>q</w:t>
      </w:r>
      <w:r w:rsidRPr="00DE12A3">
        <w:rPr>
          <w:color w:val="auto"/>
          <w:sz w:val="24"/>
          <w:szCs w:val="24"/>
          <w:vertAlign w:val="subscript"/>
        </w:rPr>
        <w:t>VSSV</w:t>
      </w:r>
      <w:r w:rsidRPr="00DE12A3">
        <w:rPr>
          <w:color w:val="auto"/>
          <w:sz w:val="24"/>
          <w:szCs w:val="24"/>
        </w:rPr>
        <w:t xml:space="preserve">'si veya </w:t>
      </w:r>
      <w:r w:rsidRPr="00DE12A3">
        <w:rPr>
          <w:i/>
          <w:iCs/>
          <w:color w:val="auto"/>
          <w:sz w:val="24"/>
          <w:szCs w:val="24"/>
        </w:rPr>
        <w:t>C</w:t>
      </w:r>
      <w:r w:rsidRPr="00DE12A3">
        <w:rPr>
          <w:color w:val="auto"/>
          <w:sz w:val="24"/>
          <w:szCs w:val="24"/>
          <w:vertAlign w:val="subscript"/>
        </w:rPr>
        <w:t>d</w:t>
      </w:r>
      <w:r w:rsidRPr="00DE12A3">
        <w:rPr>
          <w:color w:val="auto"/>
          <w:sz w:val="24"/>
          <w:szCs w:val="24"/>
        </w:rPr>
        <w:t>'si için bir ilk tahminle başlamalı ve q</w:t>
      </w:r>
      <w:r w:rsidRPr="00DE12A3">
        <w:rPr>
          <w:color w:val="auto"/>
          <w:sz w:val="24"/>
          <w:szCs w:val="24"/>
          <w:vertAlign w:val="subscript"/>
        </w:rPr>
        <w:t>VSSV</w:t>
      </w:r>
      <w:r w:rsidRPr="00DE12A3">
        <w:rPr>
          <w:color w:val="auto"/>
          <w:sz w:val="24"/>
          <w:szCs w:val="24"/>
        </w:rPr>
        <w:t xml:space="preserve"> yakınsayıncaya kadar tekrarlanmalıdır. Yakınsama yöntemi, noktanın </w:t>
      </w:r>
      <w:r w:rsidR="000D0492" w:rsidRPr="00DE12A3">
        <w:rPr>
          <w:color w:val="auto"/>
          <w:sz w:val="24"/>
          <w:szCs w:val="24"/>
        </w:rPr>
        <w:t>%0,1</w:t>
      </w:r>
      <w:r w:rsidRPr="00DE12A3">
        <w:rPr>
          <w:color w:val="auto"/>
          <w:sz w:val="24"/>
          <w:szCs w:val="24"/>
        </w:rPr>
        <w:t>'i veya daha yüksek doğrulukta olmalıdır.</w:t>
      </w:r>
    </w:p>
    <w:p w14:paraId="2A1C317B" w14:textId="25708F23" w:rsidR="002D7B36" w:rsidRPr="00DE12A3" w:rsidRDefault="00242DA0" w:rsidP="00C917D6">
      <w:pPr>
        <w:pStyle w:val="Gvdemetni251"/>
        <w:shd w:val="clear" w:color="auto" w:fill="auto"/>
        <w:spacing w:before="120" w:after="120" w:line="240" w:lineRule="auto"/>
        <w:ind w:left="1134" w:firstLine="0"/>
        <w:rPr>
          <w:color w:val="auto"/>
          <w:sz w:val="24"/>
          <w:szCs w:val="24"/>
        </w:rPr>
      </w:pPr>
      <w:r w:rsidRPr="00DE12A3">
        <w:rPr>
          <w:color w:val="auto"/>
          <w:sz w:val="24"/>
          <w:szCs w:val="24"/>
        </w:rPr>
        <w:t xml:space="preserve">Ses altı akış bölgesindeki en az on altı nokta için, elde edilen kalibrasyon eğrisi uyum denkleminden hesaplanan </w:t>
      </w:r>
      <w:r w:rsidRPr="00DE12A3">
        <w:rPr>
          <w:i/>
          <w:iCs/>
          <w:color w:val="auto"/>
          <w:sz w:val="24"/>
          <w:szCs w:val="24"/>
        </w:rPr>
        <w:t>C</w:t>
      </w:r>
      <w:r w:rsidRPr="00DE12A3">
        <w:rPr>
          <w:color w:val="auto"/>
          <w:sz w:val="24"/>
          <w:szCs w:val="24"/>
          <w:vertAlign w:val="subscript"/>
        </w:rPr>
        <w:t>d</w:t>
      </w:r>
      <w:r w:rsidRPr="00DE12A3">
        <w:rPr>
          <w:color w:val="auto"/>
          <w:sz w:val="24"/>
          <w:szCs w:val="24"/>
        </w:rPr>
        <w:t xml:space="preserve"> değerleri, her kalibrasyon noktası için ölçülen </w:t>
      </w:r>
      <w:r w:rsidRPr="00DE12A3">
        <w:rPr>
          <w:i/>
          <w:iCs/>
          <w:color w:val="auto"/>
          <w:sz w:val="24"/>
          <w:szCs w:val="24"/>
        </w:rPr>
        <w:t>C</w:t>
      </w:r>
      <w:r w:rsidRPr="00DE12A3">
        <w:rPr>
          <w:color w:val="auto"/>
          <w:sz w:val="24"/>
          <w:szCs w:val="24"/>
          <w:vertAlign w:val="subscript"/>
        </w:rPr>
        <w:t>d</w:t>
      </w:r>
      <w:r w:rsidRPr="00DE12A3">
        <w:rPr>
          <w:color w:val="auto"/>
          <w:sz w:val="24"/>
          <w:szCs w:val="24"/>
        </w:rPr>
        <w:t xml:space="preserve"> ± </w:t>
      </w:r>
      <w:r w:rsidR="000D0492" w:rsidRPr="00DE12A3">
        <w:rPr>
          <w:color w:val="auto"/>
          <w:sz w:val="24"/>
          <w:szCs w:val="24"/>
        </w:rPr>
        <w:t>%0,5</w:t>
      </w:r>
      <w:r w:rsidRPr="00DE12A3">
        <w:rPr>
          <w:color w:val="auto"/>
          <w:sz w:val="24"/>
          <w:szCs w:val="24"/>
        </w:rPr>
        <w:t xml:space="preserve"> aralığı içinde olmalıdır.</w:t>
      </w:r>
    </w:p>
    <w:p w14:paraId="16A2F468" w14:textId="3F101D01" w:rsidR="002D7B36" w:rsidRPr="00DE12A3" w:rsidRDefault="00301668" w:rsidP="00E20716">
      <w:pPr>
        <w:pStyle w:val="Gvdemetni251"/>
        <w:numPr>
          <w:ilvl w:val="0"/>
          <w:numId w:val="417"/>
        </w:numPr>
        <w:shd w:val="clear" w:color="auto" w:fill="auto"/>
        <w:spacing w:before="120" w:after="120" w:line="240" w:lineRule="auto"/>
        <w:ind w:left="1134" w:hanging="1134"/>
        <w:rPr>
          <w:color w:val="auto"/>
          <w:sz w:val="24"/>
          <w:szCs w:val="24"/>
        </w:rPr>
      </w:pPr>
      <w:r w:rsidRPr="00DE12A3">
        <w:rPr>
          <w:color w:val="auto"/>
          <w:sz w:val="24"/>
          <w:szCs w:val="24"/>
        </w:rPr>
        <w:t xml:space="preserve">      </w:t>
      </w:r>
      <w:r w:rsidR="00093948" w:rsidRPr="00DE12A3">
        <w:rPr>
          <w:color w:val="auto"/>
          <w:sz w:val="24"/>
          <w:szCs w:val="24"/>
        </w:rPr>
        <w:t>Sapma</w:t>
      </w:r>
      <w:r w:rsidR="00242DA0" w:rsidRPr="00DE12A3">
        <w:rPr>
          <w:color w:val="auto"/>
          <w:sz w:val="24"/>
          <w:szCs w:val="24"/>
        </w:rPr>
        <w:t xml:space="preserve"> </w:t>
      </w:r>
      <w:r w:rsidR="00B02387" w:rsidRPr="00DE12A3">
        <w:rPr>
          <w:color w:val="auto"/>
          <w:sz w:val="24"/>
          <w:szCs w:val="24"/>
        </w:rPr>
        <w:t>d</w:t>
      </w:r>
      <w:r w:rsidR="00242DA0" w:rsidRPr="00DE12A3">
        <w:rPr>
          <w:color w:val="auto"/>
          <w:sz w:val="24"/>
          <w:szCs w:val="24"/>
        </w:rPr>
        <w:t>üzeltmesi</w:t>
      </w:r>
    </w:p>
    <w:p w14:paraId="04870084" w14:textId="77777777" w:rsidR="002D7B36" w:rsidRPr="00DE12A3" w:rsidRDefault="00301668" w:rsidP="00E20716">
      <w:pPr>
        <w:pStyle w:val="Gvdemetni251"/>
        <w:numPr>
          <w:ilvl w:val="0"/>
          <w:numId w:val="419"/>
        </w:numPr>
        <w:shd w:val="clear" w:color="auto" w:fill="auto"/>
        <w:spacing w:before="120" w:after="120" w:line="240" w:lineRule="auto"/>
        <w:ind w:left="1134" w:hanging="1134"/>
        <w:rPr>
          <w:color w:val="auto"/>
          <w:sz w:val="24"/>
          <w:szCs w:val="24"/>
        </w:rPr>
      </w:pPr>
      <w:r w:rsidRPr="00DE12A3">
        <w:rPr>
          <w:color w:val="auto"/>
          <w:sz w:val="24"/>
          <w:szCs w:val="24"/>
        </w:rPr>
        <w:t xml:space="preserve">       </w:t>
      </w:r>
      <w:r w:rsidR="00242DA0" w:rsidRPr="00DE12A3">
        <w:rPr>
          <w:color w:val="auto"/>
          <w:sz w:val="24"/>
          <w:szCs w:val="24"/>
        </w:rPr>
        <w:t>Genel prosedür</w:t>
      </w:r>
    </w:p>
    <w:p w14:paraId="4A2B8D69" w14:textId="37A94F79" w:rsidR="002D7B36" w:rsidRPr="00DE12A3" w:rsidRDefault="00301668" w:rsidP="00C917D6">
      <w:pPr>
        <w:pStyle w:val="Gvdemetni251"/>
        <w:shd w:val="clear" w:color="auto" w:fill="auto"/>
        <w:spacing w:before="120" w:after="120" w:line="240" w:lineRule="auto"/>
        <w:ind w:left="1134" w:hanging="1134"/>
        <w:rPr>
          <w:color w:val="auto"/>
          <w:sz w:val="24"/>
          <w:szCs w:val="24"/>
        </w:rPr>
      </w:pPr>
      <w:r w:rsidRPr="00DE12A3">
        <w:rPr>
          <w:color w:val="auto"/>
          <w:sz w:val="24"/>
          <w:szCs w:val="24"/>
        </w:rPr>
        <w:t xml:space="preserve">                  </w:t>
      </w:r>
      <w:r w:rsidR="00242DA0" w:rsidRPr="00DE12A3">
        <w:rPr>
          <w:color w:val="auto"/>
          <w:sz w:val="24"/>
          <w:szCs w:val="24"/>
        </w:rPr>
        <w:t xml:space="preserve">Bu </w:t>
      </w:r>
      <w:r w:rsidR="00A74944" w:rsidRPr="00DE12A3">
        <w:rPr>
          <w:color w:val="auto"/>
          <w:sz w:val="24"/>
          <w:szCs w:val="24"/>
        </w:rPr>
        <w:t>B</w:t>
      </w:r>
      <w:r w:rsidR="00242DA0" w:rsidRPr="00DE12A3">
        <w:rPr>
          <w:color w:val="auto"/>
          <w:sz w:val="24"/>
          <w:szCs w:val="24"/>
        </w:rPr>
        <w:t xml:space="preserve">ölümdeki hesaplamalar, gaz analiz cihazı </w:t>
      </w:r>
      <w:r w:rsidR="00093948" w:rsidRPr="00DE12A3">
        <w:rPr>
          <w:color w:val="auto"/>
          <w:sz w:val="24"/>
          <w:szCs w:val="24"/>
        </w:rPr>
        <w:t>sapmasının</w:t>
      </w:r>
      <w:r w:rsidR="00242DA0" w:rsidRPr="00DE12A3">
        <w:rPr>
          <w:color w:val="auto"/>
          <w:sz w:val="24"/>
          <w:szCs w:val="24"/>
        </w:rPr>
        <w:t xml:space="preserve"> bir test aralığının sonuçlarını geçersiz kılıp kılmayacağını belirlemek için yapılır. Eğer </w:t>
      </w:r>
      <w:r w:rsidR="00093948" w:rsidRPr="00DE12A3">
        <w:rPr>
          <w:color w:val="auto"/>
          <w:sz w:val="24"/>
          <w:szCs w:val="24"/>
        </w:rPr>
        <w:t>sapma</w:t>
      </w:r>
      <w:r w:rsidR="00242DA0" w:rsidRPr="00DE12A3">
        <w:rPr>
          <w:color w:val="auto"/>
          <w:sz w:val="24"/>
          <w:szCs w:val="24"/>
        </w:rPr>
        <w:t xml:space="preserve"> bir </w:t>
      </w:r>
      <w:r w:rsidR="00242DA0" w:rsidRPr="00DE12A3">
        <w:rPr>
          <w:color w:val="auto"/>
          <w:sz w:val="24"/>
          <w:szCs w:val="24"/>
        </w:rPr>
        <w:lastRenderedPageBreak/>
        <w:t xml:space="preserve">test aralığının sonuçlarını geçersiz kılmazsa, test aralığının gaz analiz cihazı tepkileri, 2.6.2 bendi uyarınca </w:t>
      </w:r>
      <w:r w:rsidR="00093948" w:rsidRPr="00DE12A3">
        <w:rPr>
          <w:color w:val="auto"/>
          <w:sz w:val="24"/>
          <w:szCs w:val="24"/>
        </w:rPr>
        <w:t>sapma</w:t>
      </w:r>
      <w:r w:rsidR="00242DA0" w:rsidRPr="00DE12A3">
        <w:rPr>
          <w:color w:val="auto"/>
          <w:sz w:val="24"/>
          <w:szCs w:val="24"/>
        </w:rPr>
        <w:t xml:space="preserve"> bakımından düzeltilmelidir. </w:t>
      </w:r>
      <w:r w:rsidR="00093948" w:rsidRPr="00DE12A3">
        <w:rPr>
          <w:color w:val="auto"/>
          <w:sz w:val="24"/>
          <w:szCs w:val="24"/>
        </w:rPr>
        <w:t>Sapma</w:t>
      </w:r>
      <w:r w:rsidR="00242DA0" w:rsidRPr="00DE12A3">
        <w:rPr>
          <w:color w:val="auto"/>
          <w:sz w:val="24"/>
          <w:szCs w:val="24"/>
        </w:rPr>
        <w:t xml:space="preserve">-düzeltmeli gaz analiz cihazı tepkileri, sonrasındaki tüm emisyon hesaplamalarında kullanılır. Bir test aralığı boyunca gaz analiz cihazı </w:t>
      </w:r>
      <w:r w:rsidR="00093948" w:rsidRPr="00DE12A3">
        <w:rPr>
          <w:color w:val="auto"/>
          <w:sz w:val="24"/>
          <w:szCs w:val="24"/>
        </w:rPr>
        <w:t>sapması</w:t>
      </w:r>
      <w:r w:rsidR="00242DA0" w:rsidRPr="00DE12A3">
        <w:rPr>
          <w:color w:val="auto"/>
          <w:sz w:val="24"/>
          <w:szCs w:val="24"/>
        </w:rPr>
        <w:t xml:space="preserve"> için kabul edilebilir eşik değeri, </w:t>
      </w:r>
      <w:r w:rsidR="00FA0678" w:rsidRPr="00DE12A3">
        <w:rPr>
          <w:color w:val="auto"/>
          <w:sz w:val="24"/>
          <w:szCs w:val="24"/>
        </w:rPr>
        <w:t xml:space="preserve">VI’ncı </w:t>
      </w:r>
      <w:r w:rsidR="00CE15BA" w:rsidRPr="00DE12A3">
        <w:rPr>
          <w:color w:val="auto"/>
          <w:sz w:val="24"/>
          <w:szCs w:val="24"/>
        </w:rPr>
        <w:t>E</w:t>
      </w:r>
      <w:r w:rsidR="00FA0678" w:rsidRPr="00DE12A3">
        <w:rPr>
          <w:color w:val="auto"/>
          <w:sz w:val="24"/>
          <w:szCs w:val="24"/>
        </w:rPr>
        <w:t>k</w:t>
      </w:r>
      <w:r w:rsidR="00242DA0" w:rsidRPr="00DE12A3">
        <w:rPr>
          <w:color w:val="auto"/>
          <w:sz w:val="24"/>
          <w:szCs w:val="24"/>
        </w:rPr>
        <w:t>in 8.2.2.2 bendinde belirtilmiştir</w:t>
      </w:r>
    </w:p>
    <w:p w14:paraId="03DCDD99" w14:textId="092BB803" w:rsidR="002D7B36" w:rsidRPr="00DE12A3" w:rsidRDefault="00301668" w:rsidP="00C917D6">
      <w:pPr>
        <w:pStyle w:val="Gvdemetni251"/>
        <w:shd w:val="clear" w:color="auto" w:fill="auto"/>
        <w:spacing w:before="120" w:after="120" w:line="240" w:lineRule="auto"/>
        <w:ind w:left="1134" w:hanging="1134"/>
        <w:rPr>
          <w:color w:val="auto"/>
          <w:sz w:val="24"/>
          <w:szCs w:val="24"/>
        </w:rPr>
      </w:pPr>
      <w:r w:rsidRPr="00DE12A3">
        <w:rPr>
          <w:color w:val="auto"/>
          <w:sz w:val="24"/>
          <w:szCs w:val="24"/>
        </w:rPr>
        <w:t xml:space="preserve">                  </w:t>
      </w:r>
      <w:r w:rsidR="00242DA0" w:rsidRPr="00DE12A3">
        <w:rPr>
          <w:color w:val="auto"/>
          <w:sz w:val="24"/>
          <w:szCs w:val="24"/>
        </w:rPr>
        <w:t xml:space="preserve">Genel test prosedürü, </w:t>
      </w:r>
      <w:r w:rsidR="00242DA0" w:rsidRPr="00DE12A3">
        <w:rPr>
          <w:i/>
          <w:color w:val="auto"/>
          <w:sz w:val="24"/>
          <w:szCs w:val="24"/>
        </w:rPr>
        <w:t>x</w:t>
      </w:r>
      <w:r w:rsidR="00242DA0" w:rsidRPr="00DE12A3">
        <w:rPr>
          <w:i/>
          <w:color w:val="auto"/>
          <w:sz w:val="24"/>
          <w:szCs w:val="24"/>
          <w:vertAlign w:val="subscript"/>
        </w:rPr>
        <w:t>i</w:t>
      </w:r>
      <w:r w:rsidR="00242DA0" w:rsidRPr="00DE12A3">
        <w:rPr>
          <w:color w:val="auto"/>
          <w:sz w:val="24"/>
          <w:szCs w:val="24"/>
        </w:rPr>
        <w:t xml:space="preserve"> veya </w:t>
      </w:r>
      <w:r w:rsidR="00242DA0" w:rsidRPr="00DE12A3">
        <w:rPr>
          <w:i/>
          <w:color w:val="auto"/>
          <w:sz w:val="24"/>
          <w:szCs w:val="24"/>
        </w:rPr>
        <w:t>x</w:t>
      </w:r>
      <w:r w:rsidR="00242DA0" w:rsidRPr="00DE12A3">
        <w:rPr>
          <w:color w:val="auto"/>
          <w:sz w:val="24"/>
          <w:szCs w:val="24"/>
        </w:rPr>
        <w:t xml:space="preserve"> konsantrasyonlarının yerini </w:t>
      </w:r>
      <w:r w:rsidR="00242DA0" w:rsidRPr="00DE12A3">
        <w:rPr>
          <w:i/>
          <w:color w:val="auto"/>
          <w:sz w:val="24"/>
          <w:szCs w:val="24"/>
        </w:rPr>
        <w:t>c</w:t>
      </w:r>
      <w:r w:rsidR="00242DA0" w:rsidRPr="00DE12A3">
        <w:rPr>
          <w:i/>
          <w:color w:val="auto"/>
          <w:sz w:val="24"/>
          <w:szCs w:val="24"/>
          <w:vertAlign w:val="subscript"/>
        </w:rPr>
        <w:t>i</w:t>
      </w:r>
      <w:r w:rsidR="00242DA0" w:rsidRPr="00DE12A3">
        <w:rPr>
          <w:color w:val="auto"/>
          <w:sz w:val="24"/>
          <w:szCs w:val="24"/>
        </w:rPr>
        <w:t xml:space="preserve"> veya </w:t>
      </w:r>
      <w:r w:rsidR="00242DA0" w:rsidRPr="00DE12A3">
        <w:rPr>
          <w:i/>
          <w:color w:val="auto"/>
          <w:sz w:val="24"/>
          <w:szCs w:val="24"/>
        </w:rPr>
        <w:t>c</w:t>
      </w:r>
      <w:r w:rsidR="00242DA0" w:rsidRPr="00DE12A3">
        <w:rPr>
          <w:color w:val="auto"/>
          <w:sz w:val="24"/>
          <w:szCs w:val="24"/>
        </w:rPr>
        <w:t xml:space="preserve"> konsantrasyonlarının almasıyla </w:t>
      </w:r>
      <w:r w:rsidR="00CE15BA" w:rsidRPr="00DE12A3">
        <w:rPr>
          <w:color w:val="auto"/>
          <w:sz w:val="24"/>
          <w:szCs w:val="24"/>
        </w:rPr>
        <w:t xml:space="preserve">bu Ekin </w:t>
      </w:r>
      <w:r w:rsidR="00242DA0" w:rsidRPr="00DE12A3">
        <w:rPr>
          <w:color w:val="auto"/>
          <w:sz w:val="24"/>
          <w:szCs w:val="24"/>
        </w:rPr>
        <w:t>1. Açıklayıcı Ekte belirtilen hükümleri izlemelidir.</w:t>
      </w:r>
    </w:p>
    <w:p w14:paraId="4B2DF200" w14:textId="77777777" w:rsidR="002D7B36" w:rsidRPr="00DE12A3" w:rsidRDefault="00301668" w:rsidP="00E20716">
      <w:pPr>
        <w:pStyle w:val="Gvdemetni251"/>
        <w:numPr>
          <w:ilvl w:val="0"/>
          <w:numId w:val="419"/>
        </w:numPr>
        <w:shd w:val="clear" w:color="auto" w:fill="auto"/>
        <w:spacing w:before="120" w:after="120" w:line="240" w:lineRule="auto"/>
        <w:ind w:left="1134" w:hanging="1134"/>
        <w:rPr>
          <w:color w:val="auto"/>
          <w:sz w:val="24"/>
          <w:szCs w:val="24"/>
        </w:rPr>
      </w:pPr>
      <w:r w:rsidRPr="00DE12A3">
        <w:rPr>
          <w:color w:val="auto"/>
          <w:sz w:val="24"/>
          <w:szCs w:val="24"/>
        </w:rPr>
        <w:t xml:space="preserve">      </w:t>
      </w:r>
      <w:r w:rsidR="00242DA0" w:rsidRPr="00DE12A3">
        <w:rPr>
          <w:color w:val="auto"/>
          <w:sz w:val="24"/>
          <w:szCs w:val="24"/>
        </w:rPr>
        <w:t>Hesaplama prosedürü</w:t>
      </w:r>
    </w:p>
    <w:p w14:paraId="3CA9C56A" w14:textId="755A95EB" w:rsidR="002D7B36" w:rsidRPr="00DE12A3" w:rsidRDefault="00301668" w:rsidP="00C917D6">
      <w:pPr>
        <w:pStyle w:val="Gvdemetni251"/>
        <w:shd w:val="clear" w:color="auto" w:fill="auto"/>
        <w:spacing w:before="120" w:after="120" w:line="240" w:lineRule="auto"/>
        <w:ind w:left="1134" w:hanging="1134"/>
        <w:rPr>
          <w:color w:val="auto"/>
          <w:sz w:val="24"/>
          <w:szCs w:val="24"/>
        </w:rPr>
      </w:pPr>
      <w:r w:rsidRPr="00DE12A3">
        <w:rPr>
          <w:color w:val="auto"/>
          <w:sz w:val="24"/>
          <w:szCs w:val="24"/>
        </w:rPr>
        <w:t xml:space="preserve">                 </w:t>
      </w:r>
      <w:r w:rsidR="00093948" w:rsidRPr="00DE12A3">
        <w:rPr>
          <w:color w:val="auto"/>
          <w:sz w:val="24"/>
          <w:szCs w:val="24"/>
        </w:rPr>
        <w:t>Sapma</w:t>
      </w:r>
      <w:r w:rsidR="00242DA0" w:rsidRPr="00DE12A3">
        <w:rPr>
          <w:color w:val="auto"/>
          <w:sz w:val="24"/>
          <w:szCs w:val="24"/>
        </w:rPr>
        <w:t xml:space="preserve"> düzeltmesi (7-76) </w:t>
      </w:r>
      <w:r w:rsidR="00962CA1" w:rsidRPr="00DE12A3">
        <w:rPr>
          <w:color w:val="auto"/>
          <w:sz w:val="24"/>
          <w:szCs w:val="24"/>
        </w:rPr>
        <w:t>numaralı</w:t>
      </w:r>
      <w:r w:rsidR="00962CA1" w:rsidRPr="00DE12A3" w:rsidDel="00962CA1">
        <w:rPr>
          <w:color w:val="auto"/>
          <w:sz w:val="24"/>
          <w:szCs w:val="24"/>
        </w:rPr>
        <w:t xml:space="preserve"> </w:t>
      </w:r>
      <w:r w:rsidR="00242DA0" w:rsidRPr="00DE12A3">
        <w:rPr>
          <w:color w:val="auto"/>
          <w:sz w:val="24"/>
          <w:szCs w:val="24"/>
        </w:rPr>
        <w:t>denklem ile hesaplanmalıdır:</w:t>
      </w:r>
    </w:p>
    <w:p w14:paraId="58073E0F" w14:textId="7EDFA700" w:rsidR="002D7B36" w:rsidRPr="00DE12A3" w:rsidRDefault="00242DA0" w:rsidP="00C917D6">
      <w:pPr>
        <w:widowControl/>
        <w:tabs>
          <w:tab w:val="left" w:pos="8789"/>
        </w:tabs>
        <w:spacing w:before="120" w:after="120"/>
        <w:ind w:left="1134" w:hanging="1134"/>
        <w:jc w:val="center"/>
        <w:rPr>
          <w:rFonts w:cs="Times New Roman"/>
          <w:color w:val="auto"/>
          <w:lang w:eastAsia="en-US"/>
        </w:rPr>
      </w:pPr>
      <w:r w:rsidRPr="00DE12A3">
        <w:rPr>
          <w:rFonts w:cs="Times New Roman"/>
          <w:noProof/>
          <w:color w:val="auto"/>
        </w:rPr>
        <w:drawing>
          <wp:inline distT="0" distB="0" distL="0" distR="0" wp14:anchorId="271B225B" wp14:editId="371604C0">
            <wp:extent cx="4188336" cy="441325"/>
            <wp:effectExtent l="0" t="0" r="3175" b="0"/>
            <wp:docPr id="2384" name="Resim 2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4" name="Resim 2384"/>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a:xfrm>
                      <a:off x="0" y="0"/>
                      <a:ext cx="4201353" cy="442697"/>
                    </a:xfrm>
                    <a:prstGeom prst="rect">
                      <a:avLst/>
                    </a:prstGeom>
                    <a:noFill/>
                    <a:ln>
                      <a:noFill/>
                    </a:ln>
                  </pic:spPr>
                </pic:pic>
              </a:graphicData>
            </a:graphic>
          </wp:inline>
        </w:drawing>
      </w:r>
    </w:p>
    <w:p w14:paraId="28E4BB63" w14:textId="77777777" w:rsidR="002D7B36" w:rsidRPr="00DE12A3" w:rsidRDefault="00242DA0" w:rsidP="00C917D6">
      <w:pPr>
        <w:pStyle w:val="Gvdemetni251"/>
        <w:shd w:val="clear" w:color="auto" w:fill="auto"/>
        <w:spacing w:before="120" w:after="120" w:line="240" w:lineRule="auto"/>
        <w:ind w:left="1134" w:firstLine="0"/>
        <w:rPr>
          <w:color w:val="auto"/>
          <w:sz w:val="24"/>
          <w:szCs w:val="24"/>
        </w:rPr>
      </w:pPr>
      <w:r w:rsidRPr="00DE12A3">
        <w:rPr>
          <w:color w:val="auto"/>
          <w:sz w:val="24"/>
          <w:szCs w:val="24"/>
        </w:rPr>
        <w:t>Burada:</w:t>
      </w:r>
    </w:p>
    <w:p w14:paraId="69F59B0E" w14:textId="77777777" w:rsidR="002D7B36" w:rsidRPr="00DE12A3" w:rsidRDefault="00242DA0" w:rsidP="00C917D6">
      <w:pPr>
        <w:pStyle w:val="Gvdemetni251"/>
        <w:shd w:val="clear" w:color="auto" w:fill="auto"/>
        <w:tabs>
          <w:tab w:val="left" w:pos="1560"/>
        </w:tabs>
        <w:spacing w:before="120" w:after="120" w:line="240" w:lineRule="auto"/>
        <w:ind w:left="851" w:firstLine="0"/>
        <w:rPr>
          <w:color w:val="auto"/>
          <w:sz w:val="24"/>
          <w:szCs w:val="24"/>
        </w:rPr>
      </w:pPr>
      <w:r w:rsidRPr="00DE12A3">
        <w:rPr>
          <w:rFonts w:eastAsia="Courier New"/>
          <w:i/>
          <w:iCs/>
          <w:color w:val="auto"/>
          <w:spacing w:val="0"/>
          <w:sz w:val="24"/>
          <w:szCs w:val="24"/>
        </w:rPr>
        <w:t>c</w:t>
      </w:r>
      <w:r w:rsidRPr="00DE12A3">
        <w:rPr>
          <w:rFonts w:eastAsia="Courier New"/>
          <w:i/>
          <w:iCs/>
          <w:color w:val="auto"/>
          <w:spacing w:val="0"/>
          <w:sz w:val="24"/>
          <w:szCs w:val="24"/>
          <w:vertAlign w:val="subscript"/>
        </w:rPr>
        <w:t>i</w:t>
      </w:r>
      <w:r w:rsidRPr="00DE12A3">
        <w:rPr>
          <w:rFonts w:eastAsia="Courier New"/>
          <w:color w:val="auto"/>
          <w:spacing w:val="0"/>
          <w:sz w:val="24"/>
          <w:szCs w:val="24"/>
          <w:vertAlign w:val="subscript"/>
        </w:rPr>
        <w:t>driftcor</w:t>
      </w:r>
      <w:r w:rsidRPr="00DE12A3">
        <w:rPr>
          <w:color w:val="auto"/>
          <w:sz w:val="24"/>
          <w:szCs w:val="24"/>
        </w:rPr>
        <w:t>=</w:t>
      </w:r>
      <w:r w:rsidR="00093948" w:rsidRPr="00DE12A3">
        <w:rPr>
          <w:color w:val="auto"/>
          <w:sz w:val="24"/>
          <w:szCs w:val="24"/>
        </w:rPr>
        <w:t>sapma</w:t>
      </w:r>
      <w:r w:rsidRPr="00DE12A3">
        <w:rPr>
          <w:color w:val="auto"/>
          <w:sz w:val="24"/>
          <w:szCs w:val="24"/>
        </w:rPr>
        <w:t xml:space="preserve"> bakımından düzeltilmiş konsantrasyon [ppm]</w:t>
      </w:r>
    </w:p>
    <w:p w14:paraId="0E4A5CFA" w14:textId="6D3EEED4" w:rsidR="002D7B36" w:rsidRPr="00DE12A3" w:rsidRDefault="00242DA0" w:rsidP="00C917D6">
      <w:pPr>
        <w:pStyle w:val="Gvdemetni251"/>
        <w:shd w:val="clear" w:color="auto" w:fill="auto"/>
        <w:tabs>
          <w:tab w:val="left" w:pos="1560"/>
        </w:tabs>
        <w:spacing w:before="120" w:after="120" w:line="240" w:lineRule="auto"/>
        <w:ind w:left="851" w:firstLine="0"/>
        <w:rPr>
          <w:color w:val="auto"/>
          <w:sz w:val="24"/>
          <w:szCs w:val="24"/>
        </w:rPr>
      </w:pPr>
      <w:r w:rsidRPr="00DE12A3">
        <w:rPr>
          <w:rFonts w:eastAsia="Courier New"/>
          <w:i/>
          <w:iCs/>
          <w:color w:val="auto"/>
          <w:spacing w:val="0"/>
          <w:sz w:val="24"/>
          <w:szCs w:val="24"/>
        </w:rPr>
        <w:t>c</w:t>
      </w:r>
      <w:r w:rsidRPr="00DE12A3">
        <w:rPr>
          <w:rFonts w:eastAsia="Courier New"/>
          <w:color w:val="auto"/>
          <w:spacing w:val="0"/>
          <w:sz w:val="24"/>
          <w:szCs w:val="24"/>
          <w:vertAlign w:val="subscript"/>
        </w:rPr>
        <w:t>refzero</w:t>
      </w:r>
      <w:r w:rsidRPr="00DE12A3">
        <w:rPr>
          <w:color w:val="auto"/>
          <w:sz w:val="24"/>
          <w:szCs w:val="24"/>
        </w:rPr>
        <w:t>=sıfır gazın referans konsantrasyonu, başka bir değer olduğu bilinmediği sürece genellikle sıfırdır [ppm]</w:t>
      </w:r>
      <w:r w:rsidR="00CE15BA" w:rsidRPr="00DE12A3">
        <w:rPr>
          <w:color w:val="auto"/>
          <w:sz w:val="24"/>
          <w:szCs w:val="24"/>
        </w:rPr>
        <w:t>.</w:t>
      </w:r>
    </w:p>
    <w:p w14:paraId="55DDA415" w14:textId="77777777" w:rsidR="002D7B36" w:rsidRPr="00DE12A3" w:rsidRDefault="00242DA0" w:rsidP="00C917D6">
      <w:pPr>
        <w:pStyle w:val="Gvdemetni251"/>
        <w:shd w:val="clear" w:color="auto" w:fill="auto"/>
        <w:tabs>
          <w:tab w:val="left" w:pos="1560"/>
        </w:tabs>
        <w:spacing w:before="120" w:after="120" w:line="240" w:lineRule="auto"/>
        <w:ind w:left="851" w:firstLine="0"/>
        <w:rPr>
          <w:color w:val="auto"/>
          <w:sz w:val="24"/>
          <w:szCs w:val="24"/>
        </w:rPr>
      </w:pPr>
      <w:r w:rsidRPr="00DE12A3">
        <w:rPr>
          <w:rFonts w:eastAsia="Courier New"/>
          <w:i/>
          <w:iCs/>
          <w:color w:val="auto"/>
          <w:spacing w:val="0"/>
          <w:sz w:val="24"/>
          <w:szCs w:val="24"/>
        </w:rPr>
        <w:t>c</w:t>
      </w:r>
      <w:r w:rsidRPr="00DE12A3">
        <w:rPr>
          <w:rFonts w:eastAsia="Courier New"/>
          <w:color w:val="auto"/>
          <w:spacing w:val="0"/>
          <w:sz w:val="24"/>
          <w:szCs w:val="24"/>
          <w:vertAlign w:val="subscript"/>
        </w:rPr>
        <w:t>refspan</w:t>
      </w:r>
      <w:r w:rsidRPr="00DE12A3">
        <w:rPr>
          <w:color w:val="auto"/>
          <w:sz w:val="24"/>
          <w:szCs w:val="24"/>
        </w:rPr>
        <w:t>=ayar gazının referans konsantrasyonu [ppm]</w:t>
      </w:r>
    </w:p>
    <w:p w14:paraId="32EC9B7D" w14:textId="77777777" w:rsidR="002D7B36" w:rsidRPr="00DE12A3" w:rsidRDefault="00242DA0" w:rsidP="00C917D6">
      <w:pPr>
        <w:pStyle w:val="Gvdemetni251"/>
        <w:shd w:val="clear" w:color="auto" w:fill="auto"/>
        <w:tabs>
          <w:tab w:val="left" w:pos="1560"/>
        </w:tabs>
        <w:spacing w:before="120" w:after="120" w:line="240" w:lineRule="auto"/>
        <w:ind w:left="851" w:firstLine="0"/>
        <w:rPr>
          <w:color w:val="auto"/>
          <w:sz w:val="24"/>
          <w:szCs w:val="24"/>
        </w:rPr>
      </w:pPr>
      <w:r w:rsidRPr="00DE12A3">
        <w:rPr>
          <w:rFonts w:eastAsia="Courier New"/>
          <w:i/>
          <w:iCs/>
          <w:color w:val="auto"/>
          <w:spacing w:val="0"/>
          <w:sz w:val="24"/>
          <w:szCs w:val="24"/>
        </w:rPr>
        <w:t>c</w:t>
      </w:r>
      <w:r w:rsidRPr="00DE12A3">
        <w:rPr>
          <w:rFonts w:eastAsia="Courier New"/>
          <w:color w:val="auto"/>
          <w:spacing w:val="0"/>
          <w:sz w:val="24"/>
          <w:szCs w:val="24"/>
          <w:vertAlign w:val="subscript"/>
        </w:rPr>
        <w:t>prespan</w:t>
      </w:r>
      <w:r w:rsidRPr="00DE12A3">
        <w:rPr>
          <w:color w:val="auto"/>
          <w:sz w:val="24"/>
          <w:szCs w:val="24"/>
        </w:rPr>
        <w:t>=ayar gazı konsantrasyonuna test öncesi aralığı gaz analiz cihazı tepkisi [ppm]</w:t>
      </w:r>
    </w:p>
    <w:p w14:paraId="3A15C66E" w14:textId="77777777" w:rsidR="002D7B36" w:rsidRPr="00DE12A3" w:rsidRDefault="00242DA0" w:rsidP="00C917D6">
      <w:pPr>
        <w:pStyle w:val="Gvdemetni251"/>
        <w:shd w:val="clear" w:color="auto" w:fill="auto"/>
        <w:tabs>
          <w:tab w:val="left" w:pos="1560"/>
        </w:tabs>
        <w:spacing w:before="120" w:after="120" w:line="240" w:lineRule="auto"/>
        <w:ind w:left="851" w:firstLine="0"/>
        <w:rPr>
          <w:color w:val="auto"/>
          <w:sz w:val="24"/>
          <w:szCs w:val="24"/>
        </w:rPr>
      </w:pPr>
      <w:r w:rsidRPr="00DE12A3">
        <w:rPr>
          <w:rFonts w:eastAsia="Courier New"/>
          <w:i/>
          <w:iCs/>
          <w:color w:val="auto"/>
          <w:spacing w:val="0"/>
          <w:sz w:val="24"/>
          <w:szCs w:val="24"/>
        </w:rPr>
        <w:t>c</w:t>
      </w:r>
      <w:r w:rsidRPr="00DE12A3">
        <w:rPr>
          <w:rFonts w:eastAsia="Courier New"/>
          <w:color w:val="auto"/>
          <w:spacing w:val="0"/>
          <w:sz w:val="24"/>
          <w:szCs w:val="24"/>
          <w:vertAlign w:val="subscript"/>
        </w:rPr>
        <w:t>postspan</w:t>
      </w:r>
      <w:r w:rsidRPr="00DE12A3">
        <w:rPr>
          <w:color w:val="auto"/>
          <w:sz w:val="24"/>
          <w:szCs w:val="24"/>
        </w:rPr>
        <w:t>=ayar gazı konsantrasyonuna test sonrası aralığı gaz analiz cihazı tepkisi [ppm]</w:t>
      </w:r>
    </w:p>
    <w:p w14:paraId="706A3064" w14:textId="77777777" w:rsidR="002D7B36" w:rsidRPr="00DE12A3" w:rsidRDefault="00242DA0" w:rsidP="00C917D6">
      <w:pPr>
        <w:pStyle w:val="Gvdemetni251"/>
        <w:shd w:val="clear" w:color="auto" w:fill="auto"/>
        <w:tabs>
          <w:tab w:val="left" w:pos="1701"/>
        </w:tabs>
        <w:spacing w:before="120" w:after="120" w:line="240" w:lineRule="auto"/>
        <w:ind w:left="851" w:firstLine="0"/>
        <w:rPr>
          <w:color w:val="auto"/>
          <w:sz w:val="24"/>
          <w:szCs w:val="24"/>
        </w:rPr>
      </w:pPr>
      <w:r w:rsidRPr="00DE12A3">
        <w:rPr>
          <w:rStyle w:val="Gvdemetni254pttalik0ptbolukbraklyor17"/>
          <w:color w:val="auto"/>
          <w:sz w:val="24"/>
          <w:szCs w:val="24"/>
        </w:rPr>
        <w:t>c</w:t>
      </w:r>
      <w:r w:rsidRPr="00DE12A3">
        <w:rPr>
          <w:rStyle w:val="Gvdemetni254pttalik0ptbolukbraklyor17"/>
          <w:color w:val="auto"/>
          <w:sz w:val="24"/>
          <w:szCs w:val="24"/>
          <w:vertAlign w:val="subscript"/>
        </w:rPr>
        <w:t>i</w:t>
      </w:r>
      <w:r w:rsidRPr="00DE12A3">
        <w:rPr>
          <w:rStyle w:val="Gvdemetni254pttalik0ptbolukbraklyor17"/>
          <w:color w:val="auto"/>
          <w:sz w:val="24"/>
          <w:szCs w:val="24"/>
        </w:rPr>
        <w:t xml:space="preserve"> </w:t>
      </w:r>
      <w:r w:rsidRPr="00DE12A3">
        <w:rPr>
          <w:rStyle w:val="Gvdemetni254pttalik0ptbolukbraklyor17"/>
          <w:i w:val="0"/>
          <w:iCs w:val="0"/>
          <w:color w:val="auto"/>
          <w:sz w:val="24"/>
          <w:szCs w:val="24"/>
        </w:rPr>
        <w:t>veya</w:t>
      </w:r>
      <w:r w:rsidRPr="00DE12A3">
        <w:rPr>
          <w:rStyle w:val="Gvdemetni254pttalik0ptbolukbraklyor17"/>
          <w:color w:val="auto"/>
          <w:sz w:val="24"/>
          <w:szCs w:val="24"/>
        </w:rPr>
        <w:t xml:space="preserve"> c=</w:t>
      </w:r>
      <w:r w:rsidRPr="00DE12A3">
        <w:rPr>
          <w:rStyle w:val="Gvdemetni254pttalik0ptbolukbraklyor17"/>
          <w:i w:val="0"/>
          <w:iCs w:val="0"/>
          <w:color w:val="auto"/>
          <w:sz w:val="24"/>
          <w:szCs w:val="24"/>
        </w:rPr>
        <w:t xml:space="preserve">kaydedilen konsantrasyon, yani </w:t>
      </w:r>
      <w:r w:rsidR="00093948" w:rsidRPr="00DE12A3">
        <w:rPr>
          <w:rStyle w:val="Gvdemetni254pttalik0ptbolukbraklyor17"/>
          <w:i w:val="0"/>
          <w:iCs w:val="0"/>
          <w:color w:val="auto"/>
          <w:sz w:val="24"/>
          <w:szCs w:val="24"/>
        </w:rPr>
        <w:t>sapma</w:t>
      </w:r>
      <w:r w:rsidRPr="00DE12A3">
        <w:rPr>
          <w:rStyle w:val="Gvdemetni254pttalik0ptbolukbraklyor17"/>
          <w:i w:val="0"/>
          <w:iCs w:val="0"/>
          <w:color w:val="auto"/>
          <w:sz w:val="24"/>
          <w:szCs w:val="24"/>
        </w:rPr>
        <w:t xml:space="preserve"> düzeltmesinden önce, test sırasında ölçülen</w:t>
      </w:r>
      <w:r w:rsidRPr="00DE12A3">
        <w:rPr>
          <w:color w:val="auto"/>
          <w:sz w:val="24"/>
          <w:szCs w:val="24"/>
        </w:rPr>
        <w:t xml:space="preserve"> [ppm]</w:t>
      </w:r>
    </w:p>
    <w:p w14:paraId="34CF62A4" w14:textId="77777777" w:rsidR="002D7B36" w:rsidRPr="00DE12A3" w:rsidRDefault="00242DA0" w:rsidP="00C917D6">
      <w:pPr>
        <w:pStyle w:val="Gvdemetni251"/>
        <w:shd w:val="clear" w:color="auto" w:fill="auto"/>
        <w:tabs>
          <w:tab w:val="left" w:pos="1701"/>
        </w:tabs>
        <w:spacing w:before="120" w:after="120" w:line="240" w:lineRule="auto"/>
        <w:ind w:left="851" w:firstLine="0"/>
        <w:rPr>
          <w:color w:val="auto"/>
          <w:sz w:val="24"/>
          <w:szCs w:val="24"/>
        </w:rPr>
      </w:pPr>
      <w:r w:rsidRPr="00DE12A3">
        <w:rPr>
          <w:i/>
          <w:iCs/>
          <w:color w:val="auto"/>
          <w:sz w:val="24"/>
          <w:szCs w:val="24"/>
        </w:rPr>
        <w:t>c</w:t>
      </w:r>
      <w:r w:rsidRPr="00DE12A3">
        <w:rPr>
          <w:color w:val="auto"/>
          <w:sz w:val="24"/>
          <w:szCs w:val="24"/>
          <w:vertAlign w:val="subscript"/>
        </w:rPr>
        <w:t>prezero</w:t>
      </w:r>
      <w:r w:rsidRPr="00DE12A3">
        <w:rPr>
          <w:color w:val="auto"/>
          <w:sz w:val="24"/>
          <w:szCs w:val="24"/>
        </w:rPr>
        <w:t>=sıfır gazı konsantrasyonuna test öncesi aralığı gaz analiz cihazı tepkisi [ppm]</w:t>
      </w:r>
    </w:p>
    <w:p w14:paraId="1308003A" w14:textId="77777777" w:rsidR="002D7B36" w:rsidRPr="00DE12A3" w:rsidRDefault="00242DA0" w:rsidP="00C917D6">
      <w:pPr>
        <w:pStyle w:val="Gvdemetni251"/>
        <w:shd w:val="clear" w:color="auto" w:fill="auto"/>
        <w:tabs>
          <w:tab w:val="left" w:pos="1701"/>
        </w:tabs>
        <w:spacing w:before="120" w:after="120" w:line="240" w:lineRule="auto"/>
        <w:ind w:left="851" w:firstLine="0"/>
        <w:rPr>
          <w:color w:val="auto"/>
          <w:sz w:val="24"/>
          <w:szCs w:val="24"/>
        </w:rPr>
      </w:pPr>
      <w:r w:rsidRPr="00DE12A3">
        <w:rPr>
          <w:i/>
          <w:iCs/>
          <w:color w:val="auto"/>
          <w:sz w:val="24"/>
          <w:szCs w:val="24"/>
        </w:rPr>
        <w:t>c</w:t>
      </w:r>
      <w:r w:rsidRPr="00DE12A3">
        <w:rPr>
          <w:color w:val="auto"/>
          <w:sz w:val="24"/>
          <w:szCs w:val="24"/>
          <w:vertAlign w:val="subscript"/>
        </w:rPr>
        <w:t>postzero</w:t>
      </w:r>
      <w:r w:rsidRPr="00DE12A3">
        <w:rPr>
          <w:color w:val="auto"/>
          <w:sz w:val="24"/>
          <w:szCs w:val="24"/>
        </w:rPr>
        <w:t>=sıfır gazı konsantrasyonuna test sonrası aralığı gaz analiz cihazı tepkisi [ppm]</w:t>
      </w:r>
    </w:p>
    <w:p w14:paraId="34FD71F6" w14:textId="77777777" w:rsidR="002D7B36" w:rsidRPr="00DE12A3" w:rsidRDefault="00301668" w:rsidP="00E20716">
      <w:pPr>
        <w:pStyle w:val="Balk750"/>
        <w:numPr>
          <w:ilvl w:val="0"/>
          <w:numId w:val="451"/>
        </w:numPr>
        <w:shd w:val="clear" w:color="auto" w:fill="auto"/>
        <w:spacing w:before="120" w:after="120" w:line="240" w:lineRule="auto"/>
        <w:ind w:left="1134" w:hanging="1134"/>
        <w:rPr>
          <w:b w:val="0"/>
          <w:bCs w:val="0"/>
          <w:sz w:val="24"/>
          <w:szCs w:val="24"/>
        </w:rPr>
      </w:pPr>
      <w:r w:rsidRPr="00DE12A3">
        <w:rPr>
          <w:spacing w:val="3"/>
          <w:sz w:val="24"/>
          <w:szCs w:val="24"/>
        </w:rPr>
        <w:t xml:space="preserve">       </w:t>
      </w:r>
      <w:r w:rsidR="00242DA0" w:rsidRPr="00DE12A3">
        <w:rPr>
          <w:spacing w:val="3"/>
          <w:sz w:val="24"/>
          <w:szCs w:val="24"/>
        </w:rPr>
        <w:t>Molar bazlı emisyon hesaplaması</w:t>
      </w:r>
    </w:p>
    <w:p w14:paraId="7A09A961" w14:textId="77777777" w:rsidR="008A25C6" w:rsidRPr="00DE12A3" w:rsidRDefault="00242DA0" w:rsidP="00E20716">
      <w:pPr>
        <w:pStyle w:val="Gvdemetni251"/>
        <w:numPr>
          <w:ilvl w:val="1"/>
          <w:numId w:val="420"/>
        </w:numPr>
        <w:shd w:val="clear" w:color="auto" w:fill="auto"/>
        <w:spacing w:before="120" w:after="120" w:line="240" w:lineRule="auto"/>
        <w:ind w:left="709" w:hanging="709"/>
        <w:rPr>
          <w:color w:val="auto"/>
          <w:sz w:val="18"/>
          <w:szCs w:val="18"/>
        </w:rPr>
      </w:pPr>
      <w:r w:rsidRPr="00DE12A3">
        <w:rPr>
          <w:color w:val="auto"/>
          <w:sz w:val="24"/>
          <w:szCs w:val="24"/>
        </w:rPr>
        <w:t xml:space="preserve">       Alt indisler</w:t>
      </w:r>
    </w:p>
    <w:p w14:paraId="5FB3E539" w14:textId="77777777" w:rsidR="00D4435E" w:rsidRPr="00DE12A3" w:rsidRDefault="00D4435E" w:rsidP="00C917D6">
      <w:pPr>
        <w:pStyle w:val="Gvdemetni251"/>
        <w:shd w:val="clear" w:color="auto" w:fill="auto"/>
        <w:spacing w:before="120" w:after="120" w:line="240" w:lineRule="auto"/>
        <w:ind w:firstLine="0"/>
        <w:rPr>
          <w:color w:val="auto"/>
          <w:sz w:val="18"/>
          <w:szCs w:val="1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988"/>
        <w:gridCol w:w="5451"/>
      </w:tblGrid>
      <w:tr w:rsidR="00DE12A3" w:rsidRPr="00DE12A3" w14:paraId="0471A2DF" w14:textId="77777777" w:rsidTr="0017089B">
        <w:trPr>
          <w:trHeight w:hRule="exact" w:val="491"/>
          <w:jc w:val="center"/>
        </w:trPr>
        <w:tc>
          <w:tcPr>
            <w:tcW w:w="1988" w:type="dxa"/>
            <w:shd w:val="clear" w:color="auto" w:fill="auto"/>
          </w:tcPr>
          <w:p w14:paraId="136DA6A2" w14:textId="77777777" w:rsidR="0028302C" w:rsidRPr="00DE12A3" w:rsidRDefault="0028302C" w:rsidP="0017089B">
            <w:pPr>
              <w:spacing w:before="120" w:after="120"/>
              <w:ind w:left="709" w:hanging="709"/>
              <w:jc w:val="both"/>
              <w:rPr>
                <w:rFonts w:cs="Times New Roman"/>
                <w:color w:val="auto"/>
              </w:rPr>
            </w:pPr>
          </w:p>
        </w:tc>
        <w:tc>
          <w:tcPr>
            <w:tcW w:w="5451" w:type="dxa"/>
          </w:tcPr>
          <w:p w14:paraId="709E500B" w14:textId="77777777" w:rsidR="0028302C" w:rsidRPr="00DE12A3" w:rsidRDefault="0028302C" w:rsidP="0017089B">
            <w:pPr>
              <w:spacing w:before="120" w:after="120"/>
              <w:ind w:left="709" w:hanging="709"/>
              <w:jc w:val="both"/>
              <w:rPr>
                <w:rFonts w:cs="Times New Roman"/>
                <w:color w:val="auto"/>
              </w:rPr>
            </w:pPr>
            <w:r w:rsidRPr="00DE12A3">
              <w:rPr>
                <w:rFonts w:cs="Times New Roman"/>
                <w:color w:val="auto"/>
              </w:rPr>
              <w:t>Miktar</w:t>
            </w:r>
          </w:p>
        </w:tc>
      </w:tr>
      <w:tr w:rsidR="00DE12A3" w:rsidRPr="00DE12A3" w14:paraId="6E24382C" w14:textId="77777777" w:rsidTr="0017089B">
        <w:trPr>
          <w:trHeight w:hRule="exact" w:val="418"/>
          <w:jc w:val="center"/>
        </w:trPr>
        <w:tc>
          <w:tcPr>
            <w:tcW w:w="1988" w:type="dxa"/>
            <w:shd w:val="clear" w:color="auto" w:fill="auto"/>
          </w:tcPr>
          <w:p w14:paraId="1681F5A5" w14:textId="77777777" w:rsidR="0028302C" w:rsidRPr="00DE12A3" w:rsidRDefault="0028302C" w:rsidP="0017089B">
            <w:pPr>
              <w:pStyle w:val="Gvdemetni361"/>
              <w:shd w:val="clear" w:color="auto" w:fill="auto"/>
              <w:spacing w:before="120" w:after="120" w:line="240" w:lineRule="auto"/>
              <w:ind w:left="709" w:hanging="709"/>
              <w:rPr>
                <w:color w:val="auto"/>
                <w:sz w:val="24"/>
                <w:szCs w:val="24"/>
              </w:rPr>
            </w:pPr>
            <w:r w:rsidRPr="00DE12A3">
              <w:rPr>
                <w:rStyle w:val="Gvdemetni367pt0ptbolukbraklyor"/>
                <w:color w:val="auto"/>
                <w:sz w:val="24"/>
                <w:szCs w:val="24"/>
              </w:rPr>
              <w:t>abs</w:t>
            </w:r>
          </w:p>
        </w:tc>
        <w:tc>
          <w:tcPr>
            <w:tcW w:w="5451" w:type="dxa"/>
          </w:tcPr>
          <w:p w14:paraId="12B96A00" w14:textId="77777777" w:rsidR="0028302C" w:rsidRPr="00DE12A3" w:rsidRDefault="0028302C" w:rsidP="0017089B">
            <w:pPr>
              <w:spacing w:before="120" w:after="120"/>
              <w:ind w:left="709" w:hanging="709"/>
              <w:jc w:val="both"/>
              <w:rPr>
                <w:rFonts w:cs="Times New Roman"/>
                <w:color w:val="auto"/>
              </w:rPr>
            </w:pPr>
            <w:r w:rsidRPr="00DE12A3">
              <w:rPr>
                <w:rFonts w:cs="Times New Roman"/>
                <w:color w:val="auto"/>
              </w:rPr>
              <w:t>Mutlak miktar</w:t>
            </w:r>
          </w:p>
        </w:tc>
      </w:tr>
      <w:tr w:rsidR="00DE12A3" w:rsidRPr="00DE12A3" w14:paraId="08F89E1A" w14:textId="77777777" w:rsidTr="0017089B">
        <w:trPr>
          <w:trHeight w:hRule="exact" w:val="418"/>
          <w:jc w:val="center"/>
        </w:trPr>
        <w:tc>
          <w:tcPr>
            <w:tcW w:w="1988" w:type="dxa"/>
            <w:shd w:val="clear" w:color="auto" w:fill="auto"/>
          </w:tcPr>
          <w:p w14:paraId="7E8BD655" w14:textId="77777777" w:rsidR="0028302C" w:rsidRPr="00DE12A3" w:rsidRDefault="0028302C" w:rsidP="0017089B">
            <w:pPr>
              <w:pStyle w:val="Gvdemetni361"/>
              <w:shd w:val="clear" w:color="auto" w:fill="auto"/>
              <w:spacing w:before="120" w:after="120" w:line="240" w:lineRule="auto"/>
              <w:ind w:left="709" w:hanging="709"/>
              <w:rPr>
                <w:color w:val="auto"/>
                <w:sz w:val="24"/>
                <w:szCs w:val="24"/>
              </w:rPr>
            </w:pPr>
            <w:r w:rsidRPr="00DE12A3">
              <w:rPr>
                <w:rStyle w:val="Gvdemetni367pt0ptbolukbraklyor"/>
                <w:color w:val="auto"/>
                <w:sz w:val="24"/>
                <w:szCs w:val="24"/>
              </w:rPr>
              <w:t>act</w:t>
            </w:r>
          </w:p>
        </w:tc>
        <w:tc>
          <w:tcPr>
            <w:tcW w:w="5451" w:type="dxa"/>
          </w:tcPr>
          <w:p w14:paraId="55AA7FE0" w14:textId="77777777" w:rsidR="0028302C" w:rsidRPr="00DE12A3" w:rsidRDefault="0028302C" w:rsidP="0017089B">
            <w:pPr>
              <w:spacing w:before="120" w:after="120"/>
              <w:ind w:left="709" w:hanging="709"/>
              <w:jc w:val="both"/>
              <w:rPr>
                <w:rFonts w:cs="Times New Roman"/>
                <w:color w:val="auto"/>
              </w:rPr>
            </w:pPr>
            <w:r w:rsidRPr="00DE12A3">
              <w:rPr>
                <w:rFonts w:cs="Times New Roman"/>
                <w:color w:val="auto"/>
              </w:rPr>
              <w:t>Gerçek miktar</w:t>
            </w:r>
          </w:p>
        </w:tc>
      </w:tr>
      <w:tr w:rsidR="00DE12A3" w:rsidRPr="00DE12A3" w14:paraId="38AA65A9" w14:textId="77777777" w:rsidTr="0017089B">
        <w:trPr>
          <w:trHeight w:hRule="exact" w:val="418"/>
          <w:jc w:val="center"/>
        </w:trPr>
        <w:tc>
          <w:tcPr>
            <w:tcW w:w="1988" w:type="dxa"/>
            <w:shd w:val="clear" w:color="auto" w:fill="auto"/>
          </w:tcPr>
          <w:p w14:paraId="44D60A3C" w14:textId="77777777" w:rsidR="0028302C" w:rsidRPr="00DE12A3" w:rsidRDefault="0028302C" w:rsidP="0017089B">
            <w:pPr>
              <w:pStyle w:val="Gvdemetni361"/>
              <w:shd w:val="clear" w:color="auto" w:fill="auto"/>
              <w:spacing w:before="120" w:after="120" w:line="240" w:lineRule="auto"/>
              <w:ind w:left="709" w:hanging="709"/>
              <w:rPr>
                <w:color w:val="auto"/>
                <w:sz w:val="24"/>
                <w:szCs w:val="24"/>
              </w:rPr>
            </w:pPr>
            <w:r w:rsidRPr="00DE12A3">
              <w:rPr>
                <w:rStyle w:val="Gvdemetni367pt0ptbolukbraklyor"/>
                <w:color w:val="auto"/>
                <w:sz w:val="24"/>
                <w:szCs w:val="24"/>
              </w:rPr>
              <w:t>air</w:t>
            </w:r>
          </w:p>
        </w:tc>
        <w:tc>
          <w:tcPr>
            <w:tcW w:w="5451" w:type="dxa"/>
          </w:tcPr>
          <w:p w14:paraId="625381E0" w14:textId="77777777" w:rsidR="0028302C" w:rsidRPr="00DE12A3" w:rsidRDefault="0028302C" w:rsidP="0017089B">
            <w:pPr>
              <w:spacing w:before="120" w:after="120"/>
              <w:ind w:left="709" w:hanging="709"/>
              <w:jc w:val="both"/>
              <w:rPr>
                <w:rFonts w:cs="Times New Roman"/>
                <w:color w:val="auto"/>
              </w:rPr>
            </w:pPr>
            <w:r w:rsidRPr="00DE12A3">
              <w:rPr>
                <w:rFonts w:cs="Times New Roman"/>
                <w:color w:val="auto"/>
              </w:rPr>
              <w:t>Hava, kuru</w:t>
            </w:r>
          </w:p>
        </w:tc>
      </w:tr>
      <w:tr w:rsidR="00DE12A3" w:rsidRPr="00DE12A3" w14:paraId="2367BC83" w14:textId="77777777" w:rsidTr="0017089B">
        <w:trPr>
          <w:trHeight w:hRule="exact" w:val="418"/>
          <w:jc w:val="center"/>
        </w:trPr>
        <w:tc>
          <w:tcPr>
            <w:tcW w:w="1988" w:type="dxa"/>
            <w:shd w:val="clear" w:color="auto" w:fill="auto"/>
          </w:tcPr>
          <w:p w14:paraId="7C0AE4D3" w14:textId="77777777" w:rsidR="0028302C" w:rsidRPr="00DE12A3" w:rsidRDefault="0028302C" w:rsidP="0017089B">
            <w:pPr>
              <w:pStyle w:val="Gvdemetni361"/>
              <w:shd w:val="clear" w:color="auto" w:fill="auto"/>
              <w:spacing w:before="120" w:after="120" w:line="240" w:lineRule="auto"/>
              <w:ind w:left="709" w:hanging="709"/>
              <w:rPr>
                <w:color w:val="auto"/>
                <w:sz w:val="24"/>
                <w:szCs w:val="24"/>
              </w:rPr>
            </w:pPr>
            <w:r w:rsidRPr="00DE12A3">
              <w:rPr>
                <w:rStyle w:val="Gvdemetni367pt0ptbolukbraklyor"/>
                <w:color w:val="auto"/>
                <w:sz w:val="24"/>
                <w:szCs w:val="24"/>
              </w:rPr>
              <w:t>atmos</w:t>
            </w:r>
          </w:p>
        </w:tc>
        <w:tc>
          <w:tcPr>
            <w:tcW w:w="5451" w:type="dxa"/>
          </w:tcPr>
          <w:p w14:paraId="48F96A16" w14:textId="77777777" w:rsidR="0028302C" w:rsidRPr="00DE12A3" w:rsidRDefault="0028302C" w:rsidP="0017089B">
            <w:pPr>
              <w:spacing w:before="120" w:after="120"/>
              <w:ind w:left="709" w:hanging="709"/>
              <w:jc w:val="both"/>
              <w:rPr>
                <w:rFonts w:cs="Times New Roman"/>
                <w:color w:val="auto"/>
              </w:rPr>
            </w:pPr>
            <w:r w:rsidRPr="00DE12A3">
              <w:rPr>
                <w:rFonts w:cs="Times New Roman"/>
                <w:color w:val="auto"/>
              </w:rPr>
              <w:t>Atmosferik</w:t>
            </w:r>
          </w:p>
        </w:tc>
      </w:tr>
      <w:tr w:rsidR="00DE12A3" w:rsidRPr="00DE12A3" w14:paraId="612762B9" w14:textId="77777777" w:rsidTr="0017089B">
        <w:trPr>
          <w:trHeight w:hRule="exact" w:val="423"/>
          <w:jc w:val="center"/>
        </w:trPr>
        <w:tc>
          <w:tcPr>
            <w:tcW w:w="1988" w:type="dxa"/>
            <w:shd w:val="clear" w:color="auto" w:fill="auto"/>
          </w:tcPr>
          <w:p w14:paraId="5DB7C45B" w14:textId="77777777" w:rsidR="0028302C" w:rsidRPr="00DE12A3" w:rsidRDefault="0028302C" w:rsidP="0017089B">
            <w:pPr>
              <w:pStyle w:val="Gvdemetni361"/>
              <w:shd w:val="clear" w:color="auto" w:fill="auto"/>
              <w:spacing w:before="120" w:after="120" w:line="240" w:lineRule="auto"/>
              <w:ind w:left="709" w:hanging="709"/>
              <w:rPr>
                <w:color w:val="auto"/>
                <w:sz w:val="24"/>
                <w:szCs w:val="24"/>
              </w:rPr>
            </w:pPr>
            <w:r w:rsidRPr="00DE12A3">
              <w:rPr>
                <w:rStyle w:val="Gvdemetni367pt0ptbolukbraklyor"/>
                <w:color w:val="auto"/>
                <w:sz w:val="24"/>
                <w:szCs w:val="24"/>
              </w:rPr>
              <w:t>bkgnd</w:t>
            </w:r>
          </w:p>
        </w:tc>
        <w:tc>
          <w:tcPr>
            <w:tcW w:w="5451" w:type="dxa"/>
          </w:tcPr>
          <w:p w14:paraId="6DF4BDEF" w14:textId="77777777" w:rsidR="0028302C" w:rsidRPr="00DE12A3" w:rsidRDefault="0028302C" w:rsidP="0017089B">
            <w:pPr>
              <w:spacing w:before="120" w:after="120"/>
              <w:ind w:left="709" w:hanging="709"/>
              <w:jc w:val="both"/>
              <w:rPr>
                <w:rFonts w:cs="Times New Roman"/>
                <w:color w:val="auto"/>
              </w:rPr>
            </w:pPr>
            <w:r w:rsidRPr="00DE12A3">
              <w:rPr>
                <w:rFonts w:cs="Times New Roman"/>
                <w:color w:val="auto"/>
              </w:rPr>
              <w:t>Arka plan</w:t>
            </w:r>
          </w:p>
        </w:tc>
      </w:tr>
      <w:tr w:rsidR="00DE12A3" w:rsidRPr="00DE12A3" w14:paraId="7957A6AC" w14:textId="77777777" w:rsidTr="0017089B">
        <w:trPr>
          <w:trHeight w:hRule="exact" w:val="418"/>
          <w:jc w:val="center"/>
        </w:trPr>
        <w:tc>
          <w:tcPr>
            <w:tcW w:w="1988" w:type="dxa"/>
            <w:shd w:val="clear" w:color="auto" w:fill="auto"/>
          </w:tcPr>
          <w:p w14:paraId="3F03386F" w14:textId="77777777" w:rsidR="0028302C" w:rsidRPr="00DE12A3" w:rsidRDefault="0028302C" w:rsidP="0017089B">
            <w:pPr>
              <w:pStyle w:val="Gvdemetni361"/>
              <w:shd w:val="clear" w:color="auto" w:fill="auto"/>
              <w:spacing w:before="120" w:after="120" w:line="240" w:lineRule="auto"/>
              <w:ind w:left="709" w:hanging="709"/>
              <w:rPr>
                <w:color w:val="auto"/>
                <w:sz w:val="24"/>
                <w:szCs w:val="24"/>
              </w:rPr>
            </w:pPr>
            <w:r w:rsidRPr="00DE12A3">
              <w:rPr>
                <w:rStyle w:val="Gvdemetni367pt0ptbolukbraklyor"/>
                <w:color w:val="auto"/>
                <w:sz w:val="24"/>
                <w:szCs w:val="24"/>
              </w:rPr>
              <w:t>C</w:t>
            </w:r>
          </w:p>
        </w:tc>
        <w:tc>
          <w:tcPr>
            <w:tcW w:w="5451" w:type="dxa"/>
          </w:tcPr>
          <w:p w14:paraId="7998E35F" w14:textId="77777777" w:rsidR="0028302C" w:rsidRPr="00DE12A3" w:rsidRDefault="0028302C" w:rsidP="0017089B">
            <w:pPr>
              <w:spacing w:before="120" w:after="120"/>
              <w:ind w:left="709" w:hanging="709"/>
              <w:jc w:val="both"/>
              <w:rPr>
                <w:rFonts w:cs="Times New Roman"/>
                <w:color w:val="auto"/>
              </w:rPr>
            </w:pPr>
            <w:r w:rsidRPr="00DE12A3">
              <w:rPr>
                <w:rFonts w:cs="Times New Roman"/>
                <w:color w:val="auto"/>
              </w:rPr>
              <w:t>Karbon</w:t>
            </w:r>
          </w:p>
        </w:tc>
      </w:tr>
      <w:tr w:rsidR="00DE12A3" w:rsidRPr="00DE12A3" w14:paraId="1D8A7CA8" w14:textId="77777777" w:rsidTr="0017089B">
        <w:trPr>
          <w:trHeight w:hRule="exact" w:val="418"/>
          <w:jc w:val="center"/>
        </w:trPr>
        <w:tc>
          <w:tcPr>
            <w:tcW w:w="1988" w:type="dxa"/>
            <w:shd w:val="clear" w:color="auto" w:fill="auto"/>
          </w:tcPr>
          <w:p w14:paraId="32A21BBB" w14:textId="77777777" w:rsidR="0028302C" w:rsidRPr="00DE12A3" w:rsidRDefault="0028302C" w:rsidP="0017089B">
            <w:pPr>
              <w:pStyle w:val="Gvdemetni361"/>
              <w:shd w:val="clear" w:color="auto" w:fill="auto"/>
              <w:spacing w:before="120" w:after="120" w:line="240" w:lineRule="auto"/>
              <w:ind w:left="709" w:hanging="709"/>
              <w:rPr>
                <w:color w:val="auto"/>
                <w:sz w:val="24"/>
                <w:szCs w:val="24"/>
              </w:rPr>
            </w:pPr>
            <w:r w:rsidRPr="00DE12A3">
              <w:rPr>
                <w:rStyle w:val="Gvdemetni367pt0ptbolukbraklyor"/>
                <w:color w:val="auto"/>
                <w:sz w:val="24"/>
                <w:szCs w:val="24"/>
              </w:rPr>
              <w:t>cal</w:t>
            </w:r>
          </w:p>
        </w:tc>
        <w:tc>
          <w:tcPr>
            <w:tcW w:w="5451" w:type="dxa"/>
          </w:tcPr>
          <w:p w14:paraId="100EA988" w14:textId="77777777" w:rsidR="0028302C" w:rsidRPr="00DE12A3" w:rsidRDefault="0028302C" w:rsidP="0017089B">
            <w:pPr>
              <w:spacing w:before="120" w:after="120"/>
              <w:ind w:left="709" w:hanging="709"/>
              <w:jc w:val="both"/>
              <w:rPr>
                <w:rFonts w:cs="Times New Roman"/>
                <w:color w:val="auto"/>
              </w:rPr>
            </w:pPr>
            <w:r w:rsidRPr="00DE12A3">
              <w:rPr>
                <w:rFonts w:cs="Times New Roman"/>
                <w:color w:val="auto"/>
              </w:rPr>
              <w:t>Kalibrasyon miktarı</w:t>
            </w:r>
          </w:p>
        </w:tc>
      </w:tr>
      <w:tr w:rsidR="00DE12A3" w:rsidRPr="00DE12A3" w14:paraId="2067C485" w14:textId="77777777" w:rsidTr="0017089B">
        <w:trPr>
          <w:trHeight w:hRule="exact" w:val="418"/>
          <w:jc w:val="center"/>
        </w:trPr>
        <w:tc>
          <w:tcPr>
            <w:tcW w:w="1988" w:type="dxa"/>
            <w:shd w:val="clear" w:color="auto" w:fill="auto"/>
          </w:tcPr>
          <w:p w14:paraId="64DCFFFD" w14:textId="77777777" w:rsidR="0028302C" w:rsidRPr="00DE12A3" w:rsidRDefault="0028302C" w:rsidP="0017089B">
            <w:pPr>
              <w:pStyle w:val="Gvdemetni361"/>
              <w:shd w:val="clear" w:color="auto" w:fill="auto"/>
              <w:spacing w:before="120" w:after="120" w:line="240" w:lineRule="auto"/>
              <w:ind w:left="709" w:hanging="709"/>
              <w:rPr>
                <w:color w:val="auto"/>
                <w:sz w:val="24"/>
                <w:szCs w:val="24"/>
              </w:rPr>
            </w:pPr>
            <w:r w:rsidRPr="00DE12A3">
              <w:rPr>
                <w:rStyle w:val="Gvdemetni367pt0ptbolukbraklyor"/>
                <w:color w:val="auto"/>
                <w:sz w:val="24"/>
                <w:szCs w:val="24"/>
              </w:rPr>
              <w:t>CFV</w:t>
            </w:r>
          </w:p>
        </w:tc>
        <w:tc>
          <w:tcPr>
            <w:tcW w:w="5451" w:type="dxa"/>
          </w:tcPr>
          <w:p w14:paraId="0D556747" w14:textId="77777777" w:rsidR="0028302C" w:rsidRPr="00DE12A3" w:rsidRDefault="0028302C" w:rsidP="0017089B">
            <w:pPr>
              <w:spacing w:before="120" w:after="120"/>
              <w:ind w:left="709" w:hanging="709"/>
              <w:jc w:val="both"/>
              <w:rPr>
                <w:rFonts w:cs="Times New Roman"/>
                <w:color w:val="auto"/>
              </w:rPr>
            </w:pPr>
            <w:r w:rsidRPr="00DE12A3">
              <w:rPr>
                <w:rFonts w:cs="Times New Roman"/>
                <w:color w:val="auto"/>
              </w:rPr>
              <w:t>Kritik akış venturi</w:t>
            </w:r>
          </w:p>
        </w:tc>
      </w:tr>
      <w:tr w:rsidR="00DE12A3" w:rsidRPr="00DE12A3" w14:paraId="45CA5508" w14:textId="77777777" w:rsidTr="0017089B">
        <w:trPr>
          <w:trHeight w:hRule="exact" w:val="418"/>
          <w:jc w:val="center"/>
        </w:trPr>
        <w:tc>
          <w:tcPr>
            <w:tcW w:w="1988" w:type="dxa"/>
            <w:shd w:val="clear" w:color="auto" w:fill="auto"/>
          </w:tcPr>
          <w:p w14:paraId="47EADEDC" w14:textId="77777777" w:rsidR="0028302C" w:rsidRPr="00DE12A3" w:rsidRDefault="0028302C" w:rsidP="0017089B">
            <w:pPr>
              <w:pStyle w:val="Gvdemetni361"/>
              <w:shd w:val="clear" w:color="auto" w:fill="auto"/>
              <w:spacing w:before="120" w:after="120" w:line="240" w:lineRule="auto"/>
              <w:ind w:left="709" w:hanging="709"/>
              <w:rPr>
                <w:color w:val="auto"/>
                <w:sz w:val="24"/>
                <w:szCs w:val="24"/>
              </w:rPr>
            </w:pPr>
            <w:r w:rsidRPr="00DE12A3">
              <w:rPr>
                <w:rStyle w:val="Gvdemetni367pt0ptbolukbraklyor"/>
                <w:color w:val="auto"/>
                <w:sz w:val="24"/>
                <w:szCs w:val="24"/>
              </w:rPr>
              <w:t>cor</w:t>
            </w:r>
          </w:p>
        </w:tc>
        <w:tc>
          <w:tcPr>
            <w:tcW w:w="5451" w:type="dxa"/>
          </w:tcPr>
          <w:p w14:paraId="18746EC6" w14:textId="77777777" w:rsidR="0028302C" w:rsidRPr="00DE12A3" w:rsidRDefault="0028302C" w:rsidP="0017089B">
            <w:pPr>
              <w:spacing w:before="120" w:after="120"/>
              <w:ind w:left="709" w:hanging="709"/>
              <w:jc w:val="both"/>
              <w:rPr>
                <w:rFonts w:cs="Times New Roman"/>
                <w:color w:val="auto"/>
              </w:rPr>
            </w:pPr>
            <w:r w:rsidRPr="00DE12A3">
              <w:rPr>
                <w:rFonts w:cs="Times New Roman"/>
                <w:color w:val="auto"/>
              </w:rPr>
              <w:t>Düzeltilmiş miktar</w:t>
            </w:r>
          </w:p>
        </w:tc>
      </w:tr>
      <w:tr w:rsidR="00DE12A3" w:rsidRPr="00DE12A3" w14:paraId="7A14959D" w14:textId="77777777" w:rsidTr="0017089B">
        <w:trPr>
          <w:trHeight w:hRule="exact" w:val="418"/>
          <w:jc w:val="center"/>
        </w:trPr>
        <w:tc>
          <w:tcPr>
            <w:tcW w:w="1988" w:type="dxa"/>
            <w:shd w:val="clear" w:color="auto" w:fill="auto"/>
          </w:tcPr>
          <w:p w14:paraId="7E2CE919" w14:textId="77777777" w:rsidR="0028302C" w:rsidRPr="00DE12A3" w:rsidRDefault="0028302C" w:rsidP="0017089B">
            <w:pPr>
              <w:pStyle w:val="Gvdemetni361"/>
              <w:shd w:val="clear" w:color="auto" w:fill="auto"/>
              <w:spacing w:before="120" w:after="120" w:line="240" w:lineRule="auto"/>
              <w:ind w:left="709" w:hanging="709"/>
              <w:rPr>
                <w:color w:val="auto"/>
                <w:sz w:val="24"/>
                <w:szCs w:val="24"/>
              </w:rPr>
            </w:pPr>
            <w:r w:rsidRPr="00DE12A3">
              <w:rPr>
                <w:rStyle w:val="Gvdemetni367pt0ptbolukbraklyor"/>
                <w:color w:val="auto"/>
                <w:sz w:val="24"/>
                <w:szCs w:val="24"/>
              </w:rPr>
              <w:lastRenderedPageBreak/>
              <w:t>dil</w:t>
            </w:r>
          </w:p>
        </w:tc>
        <w:tc>
          <w:tcPr>
            <w:tcW w:w="5451" w:type="dxa"/>
          </w:tcPr>
          <w:p w14:paraId="1BF75214" w14:textId="77777777" w:rsidR="0028302C" w:rsidRPr="00DE12A3" w:rsidRDefault="0028302C" w:rsidP="0017089B">
            <w:pPr>
              <w:spacing w:before="120" w:after="120"/>
              <w:ind w:left="709" w:hanging="709"/>
              <w:jc w:val="both"/>
              <w:rPr>
                <w:rFonts w:cs="Times New Roman"/>
                <w:color w:val="auto"/>
              </w:rPr>
            </w:pPr>
            <w:r w:rsidRPr="00DE12A3">
              <w:rPr>
                <w:rFonts w:cs="Times New Roman"/>
                <w:color w:val="auto"/>
              </w:rPr>
              <w:t>Seyreltme havası</w:t>
            </w:r>
          </w:p>
        </w:tc>
      </w:tr>
      <w:tr w:rsidR="00DE12A3" w:rsidRPr="00DE12A3" w14:paraId="399FDE60" w14:textId="77777777" w:rsidTr="0017089B">
        <w:trPr>
          <w:trHeight w:hRule="exact" w:val="423"/>
          <w:jc w:val="center"/>
        </w:trPr>
        <w:tc>
          <w:tcPr>
            <w:tcW w:w="1988" w:type="dxa"/>
            <w:shd w:val="clear" w:color="auto" w:fill="auto"/>
          </w:tcPr>
          <w:p w14:paraId="02BCABC3" w14:textId="77777777" w:rsidR="0028302C" w:rsidRPr="00DE12A3" w:rsidRDefault="0028302C" w:rsidP="0017089B">
            <w:pPr>
              <w:pStyle w:val="Gvdemetni361"/>
              <w:shd w:val="clear" w:color="auto" w:fill="auto"/>
              <w:spacing w:before="120" w:after="120" w:line="240" w:lineRule="auto"/>
              <w:ind w:left="709" w:hanging="709"/>
              <w:rPr>
                <w:color w:val="auto"/>
                <w:sz w:val="24"/>
                <w:szCs w:val="24"/>
              </w:rPr>
            </w:pPr>
            <w:r w:rsidRPr="00DE12A3">
              <w:rPr>
                <w:rStyle w:val="Gvdemetni367pt0ptbolukbraklyor"/>
                <w:color w:val="auto"/>
                <w:sz w:val="24"/>
                <w:szCs w:val="24"/>
              </w:rPr>
              <w:t>dexh</w:t>
            </w:r>
          </w:p>
        </w:tc>
        <w:tc>
          <w:tcPr>
            <w:tcW w:w="5451" w:type="dxa"/>
          </w:tcPr>
          <w:p w14:paraId="1B1617E8" w14:textId="77777777" w:rsidR="0028302C" w:rsidRPr="00DE12A3" w:rsidRDefault="0028302C" w:rsidP="0017089B">
            <w:pPr>
              <w:spacing w:before="120" w:after="120"/>
              <w:ind w:left="709" w:hanging="709"/>
              <w:jc w:val="both"/>
              <w:rPr>
                <w:rFonts w:cs="Times New Roman"/>
                <w:color w:val="auto"/>
              </w:rPr>
            </w:pPr>
            <w:r w:rsidRPr="00DE12A3">
              <w:rPr>
                <w:rFonts w:cs="Times New Roman"/>
                <w:color w:val="auto"/>
              </w:rPr>
              <w:t>Seyreltilmiş egzoz gazı</w:t>
            </w:r>
          </w:p>
        </w:tc>
      </w:tr>
      <w:tr w:rsidR="00DE12A3" w:rsidRPr="00DE12A3" w14:paraId="5E7F7540" w14:textId="77777777" w:rsidTr="0017089B">
        <w:trPr>
          <w:trHeight w:hRule="exact" w:val="418"/>
          <w:jc w:val="center"/>
        </w:trPr>
        <w:tc>
          <w:tcPr>
            <w:tcW w:w="1988" w:type="dxa"/>
            <w:shd w:val="clear" w:color="auto" w:fill="auto"/>
          </w:tcPr>
          <w:p w14:paraId="4522D11B" w14:textId="77777777" w:rsidR="0028302C" w:rsidRPr="00DE12A3" w:rsidRDefault="0028302C" w:rsidP="0017089B">
            <w:pPr>
              <w:pStyle w:val="Gvdemetni361"/>
              <w:shd w:val="clear" w:color="auto" w:fill="auto"/>
              <w:spacing w:before="120" w:after="120" w:line="240" w:lineRule="auto"/>
              <w:ind w:left="709" w:hanging="709"/>
              <w:rPr>
                <w:color w:val="auto"/>
                <w:sz w:val="24"/>
                <w:szCs w:val="24"/>
              </w:rPr>
            </w:pPr>
            <w:r w:rsidRPr="00DE12A3">
              <w:rPr>
                <w:rStyle w:val="Gvdemetni367pt0ptbolukbraklyor"/>
                <w:color w:val="auto"/>
                <w:sz w:val="24"/>
                <w:szCs w:val="24"/>
              </w:rPr>
              <w:t>dry</w:t>
            </w:r>
          </w:p>
        </w:tc>
        <w:tc>
          <w:tcPr>
            <w:tcW w:w="5451" w:type="dxa"/>
          </w:tcPr>
          <w:p w14:paraId="63BCD68B" w14:textId="77777777" w:rsidR="0028302C" w:rsidRPr="00DE12A3" w:rsidRDefault="0028302C" w:rsidP="0017089B">
            <w:pPr>
              <w:spacing w:before="120" w:after="120"/>
              <w:ind w:left="709" w:hanging="709"/>
              <w:jc w:val="both"/>
              <w:rPr>
                <w:rFonts w:cs="Times New Roman"/>
                <w:color w:val="auto"/>
              </w:rPr>
            </w:pPr>
            <w:r w:rsidRPr="00DE12A3">
              <w:rPr>
                <w:rFonts w:cs="Times New Roman"/>
                <w:color w:val="auto"/>
              </w:rPr>
              <w:t>Kuru miktar</w:t>
            </w:r>
          </w:p>
        </w:tc>
      </w:tr>
      <w:tr w:rsidR="00DE12A3" w:rsidRPr="00DE12A3" w14:paraId="16A8D169" w14:textId="77777777" w:rsidTr="0017089B">
        <w:trPr>
          <w:trHeight w:hRule="exact" w:val="418"/>
          <w:jc w:val="center"/>
        </w:trPr>
        <w:tc>
          <w:tcPr>
            <w:tcW w:w="1988" w:type="dxa"/>
            <w:shd w:val="clear" w:color="auto" w:fill="auto"/>
          </w:tcPr>
          <w:p w14:paraId="5AC20186" w14:textId="77777777" w:rsidR="0028302C" w:rsidRPr="00DE12A3" w:rsidRDefault="0028302C" w:rsidP="0017089B">
            <w:pPr>
              <w:pStyle w:val="Gvdemetni361"/>
              <w:shd w:val="clear" w:color="auto" w:fill="auto"/>
              <w:spacing w:before="120" w:after="120" w:line="240" w:lineRule="auto"/>
              <w:ind w:left="709" w:hanging="709"/>
              <w:rPr>
                <w:color w:val="auto"/>
                <w:sz w:val="24"/>
                <w:szCs w:val="24"/>
              </w:rPr>
            </w:pPr>
            <w:r w:rsidRPr="00DE12A3">
              <w:rPr>
                <w:rStyle w:val="Gvdemetni367pt0ptbolukbraklyor"/>
                <w:color w:val="auto"/>
                <w:sz w:val="24"/>
                <w:szCs w:val="24"/>
              </w:rPr>
              <w:t>exh</w:t>
            </w:r>
          </w:p>
        </w:tc>
        <w:tc>
          <w:tcPr>
            <w:tcW w:w="5451" w:type="dxa"/>
          </w:tcPr>
          <w:p w14:paraId="5FC15362" w14:textId="77777777" w:rsidR="0028302C" w:rsidRPr="00DE12A3" w:rsidRDefault="0028302C" w:rsidP="0017089B">
            <w:pPr>
              <w:spacing w:before="120" w:after="120"/>
              <w:ind w:left="709" w:hanging="709"/>
              <w:jc w:val="both"/>
              <w:rPr>
                <w:rFonts w:cs="Times New Roman"/>
                <w:color w:val="auto"/>
              </w:rPr>
            </w:pPr>
            <w:r w:rsidRPr="00DE12A3">
              <w:rPr>
                <w:rFonts w:cs="Times New Roman"/>
                <w:color w:val="auto"/>
              </w:rPr>
              <w:t>Ham egzoz gazı</w:t>
            </w:r>
          </w:p>
        </w:tc>
      </w:tr>
      <w:tr w:rsidR="00DE12A3" w:rsidRPr="00DE12A3" w14:paraId="759DCF05" w14:textId="77777777" w:rsidTr="0017089B">
        <w:trPr>
          <w:trHeight w:hRule="exact" w:val="418"/>
          <w:jc w:val="center"/>
        </w:trPr>
        <w:tc>
          <w:tcPr>
            <w:tcW w:w="1988" w:type="dxa"/>
            <w:shd w:val="clear" w:color="auto" w:fill="auto"/>
          </w:tcPr>
          <w:p w14:paraId="657677D1" w14:textId="77777777" w:rsidR="0028302C" w:rsidRPr="00DE12A3" w:rsidRDefault="0028302C" w:rsidP="0017089B">
            <w:pPr>
              <w:pStyle w:val="Gvdemetni361"/>
              <w:shd w:val="clear" w:color="auto" w:fill="auto"/>
              <w:spacing w:before="120" w:after="120" w:line="240" w:lineRule="auto"/>
              <w:ind w:left="709" w:hanging="709"/>
              <w:rPr>
                <w:color w:val="auto"/>
                <w:sz w:val="24"/>
                <w:szCs w:val="24"/>
              </w:rPr>
            </w:pPr>
            <w:r w:rsidRPr="00DE12A3">
              <w:rPr>
                <w:rStyle w:val="Gvdemetni367pt0ptbolukbraklyor"/>
                <w:color w:val="auto"/>
                <w:sz w:val="24"/>
                <w:szCs w:val="24"/>
              </w:rPr>
              <w:t>exp</w:t>
            </w:r>
          </w:p>
        </w:tc>
        <w:tc>
          <w:tcPr>
            <w:tcW w:w="5451" w:type="dxa"/>
          </w:tcPr>
          <w:p w14:paraId="0CDF827E" w14:textId="77777777" w:rsidR="0028302C" w:rsidRPr="00DE12A3" w:rsidRDefault="0028302C" w:rsidP="0017089B">
            <w:pPr>
              <w:spacing w:before="120" w:after="120"/>
              <w:ind w:left="709" w:hanging="709"/>
              <w:jc w:val="both"/>
              <w:rPr>
                <w:rFonts w:cs="Times New Roman"/>
                <w:color w:val="auto"/>
              </w:rPr>
            </w:pPr>
            <w:r w:rsidRPr="00DE12A3">
              <w:rPr>
                <w:rFonts w:cs="Times New Roman"/>
                <w:color w:val="auto"/>
              </w:rPr>
              <w:t>Beklenen miktar</w:t>
            </w:r>
          </w:p>
        </w:tc>
      </w:tr>
      <w:tr w:rsidR="00DE12A3" w:rsidRPr="00DE12A3" w14:paraId="340A371D" w14:textId="77777777" w:rsidTr="0017089B">
        <w:trPr>
          <w:trHeight w:hRule="exact" w:val="418"/>
          <w:jc w:val="center"/>
        </w:trPr>
        <w:tc>
          <w:tcPr>
            <w:tcW w:w="1988" w:type="dxa"/>
            <w:shd w:val="clear" w:color="auto" w:fill="auto"/>
          </w:tcPr>
          <w:p w14:paraId="421BFC4F" w14:textId="77777777" w:rsidR="0028302C" w:rsidRPr="00DE12A3" w:rsidRDefault="0028302C" w:rsidP="0017089B">
            <w:pPr>
              <w:pStyle w:val="Gvdemetni361"/>
              <w:shd w:val="clear" w:color="auto" w:fill="auto"/>
              <w:spacing w:before="120" w:after="120" w:line="240" w:lineRule="auto"/>
              <w:ind w:left="709" w:hanging="709"/>
              <w:rPr>
                <w:color w:val="auto"/>
                <w:sz w:val="24"/>
                <w:szCs w:val="24"/>
              </w:rPr>
            </w:pPr>
            <w:r w:rsidRPr="00DE12A3">
              <w:rPr>
                <w:rStyle w:val="Gvdemetni367pt0ptbolukbraklyor"/>
                <w:color w:val="auto"/>
                <w:sz w:val="24"/>
                <w:szCs w:val="24"/>
              </w:rPr>
              <w:t>eq</w:t>
            </w:r>
          </w:p>
        </w:tc>
        <w:tc>
          <w:tcPr>
            <w:tcW w:w="5451" w:type="dxa"/>
          </w:tcPr>
          <w:p w14:paraId="46AB4887" w14:textId="77777777" w:rsidR="0028302C" w:rsidRPr="00DE12A3" w:rsidRDefault="0028302C" w:rsidP="0017089B">
            <w:pPr>
              <w:spacing w:before="120" w:after="120"/>
              <w:ind w:left="709" w:hanging="709"/>
              <w:jc w:val="both"/>
              <w:rPr>
                <w:rFonts w:cs="Times New Roman"/>
                <w:color w:val="auto"/>
              </w:rPr>
            </w:pPr>
            <w:r w:rsidRPr="00DE12A3">
              <w:rPr>
                <w:rFonts w:cs="Times New Roman"/>
                <w:color w:val="auto"/>
              </w:rPr>
              <w:t>Denk miktar</w:t>
            </w:r>
          </w:p>
        </w:tc>
      </w:tr>
      <w:tr w:rsidR="00DE12A3" w:rsidRPr="00DE12A3" w14:paraId="2242DC67" w14:textId="77777777" w:rsidTr="0017089B">
        <w:trPr>
          <w:trHeight w:hRule="exact" w:val="423"/>
          <w:jc w:val="center"/>
        </w:trPr>
        <w:tc>
          <w:tcPr>
            <w:tcW w:w="1988" w:type="dxa"/>
            <w:shd w:val="clear" w:color="auto" w:fill="auto"/>
          </w:tcPr>
          <w:p w14:paraId="06F125BC" w14:textId="77777777" w:rsidR="0028302C" w:rsidRPr="00DE12A3" w:rsidRDefault="0028302C" w:rsidP="0017089B">
            <w:pPr>
              <w:pStyle w:val="Gvdemetni361"/>
              <w:shd w:val="clear" w:color="auto" w:fill="auto"/>
              <w:spacing w:before="120" w:after="120" w:line="240" w:lineRule="auto"/>
              <w:ind w:left="709" w:hanging="709"/>
              <w:rPr>
                <w:color w:val="auto"/>
                <w:sz w:val="24"/>
                <w:szCs w:val="24"/>
              </w:rPr>
            </w:pPr>
            <w:r w:rsidRPr="00DE12A3">
              <w:rPr>
                <w:rStyle w:val="Gvdemetni367pt0ptbolukbraklyor"/>
                <w:color w:val="auto"/>
                <w:sz w:val="24"/>
                <w:szCs w:val="24"/>
              </w:rPr>
              <w:t>fuel</w:t>
            </w:r>
          </w:p>
        </w:tc>
        <w:tc>
          <w:tcPr>
            <w:tcW w:w="5451" w:type="dxa"/>
          </w:tcPr>
          <w:p w14:paraId="6C415ABC" w14:textId="77777777" w:rsidR="0028302C" w:rsidRPr="00DE12A3" w:rsidRDefault="0028302C" w:rsidP="0017089B">
            <w:pPr>
              <w:spacing w:before="120" w:after="120"/>
              <w:ind w:left="709" w:hanging="709"/>
              <w:jc w:val="both"/>
              <w:rPr>
                <w:rFonts w:cs="Times New Roman"/>
                <w:color w:val="auto"/>
              </w:rPr>
            </w:pPr>
            <w:r w:rsidRPr="00DE12A3">
              <w:rPr>
                <w:rFonts w:cs="Times New Roman"/>
                <w:color w:val="auto"/>
              </w:rPr>
              <w:t>Yakıt</w:t>
            </w:r>
          </w:p>
        </w:tc>
      </w:tr>
      <w:tr w:rsidR="00DE12A3" w:rsidRPr="00DE12A3" w14:paraId="34BD3877" w14:textId="77777777" w:rsidTr="0017089B">
        <w:trPr>
          <w:trHeight w:hRule="exact" w:val="418"/>
          <w:jc w:val="center"/>
        </w:trPr>
        <w:tc>
          <w:tcPr>
            <w:tcW w:w="1988" w:type="dxa"/>
            <w:shd w:val="clear" w:color="auto" w:fill="auto"/>
          </w:tcPr>
          <w:p w14:paraId="7A0E29DD" w14:textId="77777777" w:rsidR="0028302C" w:rsidRPr="00DE12A3" w:rsidRDefault="0028302C" w:rsidP="0017089B">
            <w:pPr>
              <w:spacing w:before="120" w:after="120"/>
              <w:ind w:left="709" w:hanging="709"/>
              <w:jc w:val="both"/>
              <w:rPr>
                <w:rFonts w:cs="Times New Roman"/>
                <w:color w:val="auto"/>
              </w:rPr>
            </w:pPr>
          </w:p>
        </w:tc>
        <w:tc>
          <w:tcPr>
            <w:tcW w:w="5451" w:type="dxa"/>
          </w:tcPr>
          <w:p w14:paraId="0C690A4F" w14:textId="72E95FE2" w:rsidR="0028302C" w:rsidRPr="00DE12A3" w:rsidRDefault="0028302C" w:rsidP="0017089B">
            <w:pPr>
              <w:spacing w:before="120" w:after="120"/>
              <w:ind w:left="709" w:hanging="709"/>
              <w:jc w:val="both"/>
              <w:rPr>
                <w:rFonts w:cs="Times New Roman"/>
                <w:color w:val="auto"/>
              </w:rPr>
            </w:pPr>
            <w:r w:rsidRPr="00DE12A3">
              <w:rPr>
                <w:rFonts w:cs="Times New Roman"/>
                <w:color w:val="auto"/>
              </w:rPr>
              <w:t>Anlık ölçüm (</w:t>
            </w:r>
            <w:r w:rsidR="005B014A" w:rsidRPr="00DE12A3">
              <w:rPr>
                <w:rFonts w:cs="Times New Roman"/>
                <w:color w:val="auto"/>
              </w:rPr>
              <w:t>örneğin</w:t>
            </w:r>
            <w:r w:rsidRPr="00DE12A3">
              <w:rPr>
                <w:rFonts w:cs="Times New Roman"/>
                <w:color w:val="auto"/>
              </w:rPr>
              <w:t>: 1 Hz)</w:t>
            </w:r>
          </w:p>
        </w:tc>
      </w:tr>
      <w:tr w:rsidR="00DE12A3" w:rsidRPr="00DE12A3" w14:paraId="4A5CA1BC" w14:textId="77777777" w:rsidTr="0017089B">
        <w:trPr>
          <w:trHeight w:hRule="exact" w:val="418"/>
          <w:jc w:val="center"/>
        </w:trPr>
        <w:tc>
          <w:tcPr>
            <w:tcW w:w="1988" w:type="dxa"/>
            <w:shd w:val="clear" w:color="auto" w:fill="auto"/>
          </w:tcPr>
          <w:p w14:paraId="5A2BF6CF" w14:textId="77777777" w:rsidR="0028302C" w:rsidRPr="00DE12A3" w:rsidRDefault="0028302C" w:rsidP="0017089B">
            <w:pPr>
              <w:pStyle w:val="Gvdemetni361"/>
              <w:shd w:val="clear" w:color="auto" w:fill="auto"/>
              <w:spacing w:before="120" w:after="120" w:line="240" w:lineRule="auto"/>
              <w:ind w:left="709" w:hanging="709"/>
              <w:rPr>
                <w:color w:val="auto"/>
                <w:sz w:val="24"/>
                <w:szCs w:val="24"/>
              </w:rPr>
            </w:pPr>
            <w:r w:rsidRPr="00DE12A3">
              <w:rPr>
                <w:rStyle w:val="Gvdemetni368pttalik"/>
                <w:color w:val="auto"/>
                <w:sz w:val="24"/>
                <w:szCs w:val="24"/>
              </w:rPr>
              <w:t>i</w:t>
            </w:r>
          </w:p>
        </w:tc>
        <w:tc>
          <w:tcPr>
            <w:tcW w:w="5451" w:type="dxa"/>
          </w:tcPr>
          <w:p w14:paraId="63A84B46" w14:textId="77777777" w:rsidR="0028302C" w:rsidRPr="00DE12A3" w:rsidRDefault="0028302C" w:rsidP="0017089B">
            <w:pPr>
              <w:spacing w:before="120" w:after="120"/>
              <w:ind w:left="709" w:hanging="709"/>
              <w:jc w:val="both"/>
              <w:rPr>
                <w:rFonts w:cs="Times New Roman"/>
                <w:color w:val="auto"/>
              </w:rPr>
            </w:pPr>
            <w:r w:rsidRPr="00DE12A3">
              <w:rPr>
                <w:rFonts w:cs="Times New Roman"/>
                <w:color w:val="auto"/>
              </w:rPr>
              <w:t>Bir serinin bir adımı</w:t>
            </w:r>
          </w:p>
        </w:tc>
      </w:tr>
      <w:tr w:rsidR="00DE12A3" w:rsidRPr="00DE12A3" w14:paraId="2EDD01F9" w14:textId="77777777" w:rsidTr="0017089B">
        <w:trPr>
          <w:trHeight w:hRule="exact" w:val="418"/>
          <w:jc w:val="center"/>
        </w:trPr>
        <w:tc>
          <w:tcPr>
            <w:tcW w:w="1988" w:type="dxa"/>
            <w:shd w:val="clear" w:color="auto" w:fill="auto"/>
          </w:tcPr>
          <w:p w14:paraId="5EB572F3" w14:textId="77777777" w:rsidR="0028302C" w:rsidRPr="00DE12A3" w:rsidRDefault="00861C3B" w:rsidP="0017089B">
            <w:pPr>
              <w:pStyle w:val="Gvdemetni361"/>
              <w:shd w:val="clear" w:color="auto" w:fill="auto"/>
              <w:spacing w:before="120" w:after="120" w:line="240" w:lineRule="auto"/>
              <w:ind w:left="709" w:hanging="709"/>
              <w:rPr>
                <w:color w:val="auto"/>
                <w:sz w:val="24"/>
                <w:szCs w:val="24"/>
              </w:rPr>
            </w:pPr>
            <w:r w:rsidRPr="00DE12A3">
              <w:rPr>
                <w:rStyle w:val="Gvdemetni367pt0ptbolukbraklyor"/>
                <w:color w:val="auto"/>
                <w:sz w:val="24"/>
                <w:szCs w:val="24"/>
              </w:rPr>
              <w:t>Rölanti</w:t>
            </w:r>
          </w:p>
        </w:tc>
        <w:tc>
          <w:tcPr>
            <w:tcW w:w="5451" w:type="dxa"/>
          </w:tcPr>
          <w:p w14:paraId="7207C351" w14:textId="77777777" w:rsidR="0028302C" w:rsidRPr="00DE12A3" w:rsidRDefault="0028302C" w:rsidP="0017089B">
            <w:pPr>
              <w:spacing w:before="120" w:after="120"/>
              <w:ind w:left="709" w:hanging="709"/>
              <w:jc w:val="both"/>
              <w:rPr>
                <w:rFonts w:cs="Times New Roman"/>
                <w:color w:val="auto"/>
              </w:rPr>
            </w:pPr>
            <w:r w:rsidRPr="00DE12A3">
              <w:rPr>
                <w:rFonts w:cs="Times New Roman"/>
                <w:color w:val="auto"/>
              </w:rPr>
              <w:t>Rölanti durumu</w:t>
            </w:r>
          </w:p>
        </w:tc>
      </w:tr>
      <w:tr w:rsidR="00DE12A3" w:rsidRPr="00DE12A3" w14:paraId="347C0682" w14:textId="77777777" w:rsidTr="0017089B">
        <w:trPr>
          <w:trHeight w:hRule="exact" w:val="418"/>
          <w:jc w:val="center"/>
        </w:trPr>
        <w:tc>
          <w:tcPr>
            <w:tcW w:w="1988" w:type="dxa"/>
            <w:shd w:val="clear" w:color="auto" w:fill="auto"/>
          </w:tcPr>
          <w:p w14:paraId="6FA1778F" w14:textId="77777777" w:rsidR="0028302C" w:rsidRPr="00DE12A3" w:rsidRDefault="0028302C" w:rsidP="0017089B">
            <w:pPr>
              <w:pStyle w:val="Gvdemetni361"/>
              <w:shd w:val="clear" w:color="auto" w:fill="auto"/>
              <w:spacing w:before="120" w:after="120" w:line="240" w:lineRule="auto"/>
              <w:ind w:left="709" w:hanging="709"/>
              <w:rPr>
                <w:color w:val="auto"/>
                <w:sz w:val="24"/>
                <w:szCs w:val="24"/>
              </w:rPr>
            </w:pPr>
            <w:r w:rsidRPr="00DE12A3">
              <w:rPr>
                <w:rStyle w:val="Gvdemetni367pt0ptbolukbraklyor"/>
                <w:color w:val="auto"/>
                <w:sz w:val="24"/>
                <w:szCs w:val="24"/>
              </w:rPr>
              <w:t>in</w:t>
            </w:r>
          </w:p>
        </w:tc>
        <w:tc>
          <w:tcPr>
            <w:tcW w:w="5451" w:type="dxa"/>
          </w:tcPr>
          <w:p w14:paraId="20749B71" w14:textId="77777777" w:rsidR="0028302C" w:rsidRPr="00DE12A3" w:rsidRDefault="0028302C" w:rsidP="0017089B">
            <w:pPr>
              <w:spacing w:before="120" w:after="120"/>
              <w:ind w:left="709" w:hanging="709"/>
              <w:jc w:val="both"/>
              <w:rPr>
                <w:rFonts w:cs="Times New Roman"/>
                <w:color w:val="auto"/>
              </w:rPr>
            </w:pPr>
            <w:r w:rsidRPr="00DE12A3">
              <w:rPr>
                <w:rFonts w:cs="Times New Roman"/>
                <w:color w:val="auto"/>
              </w:rPr>
              <w:t>Giren miktar</w:t>
            </w:r>
          </w:p>
        </w:tc>
      </w:tr>
      <w:tr w:rsidR="00DE12A3" w:rsidRPr="00DE12A3" w14:paraId="33072403" w14:textId="77777777" w:rsidTr="0017089B">
        <w:trPr>
          <w:trHeight w:hRule="exact" w:val="418"/>
          <w:jc w:val="center"/>
        </w:trPr>
        <w:tc>
          <w:tcPr>
            <w:tcW w:w="1988" w:type="dxa"/>
            <w:shd w:val="clear" w:color="auto" w:fill="auto"/>
          </w:tcPr>
          <w:p w14:paraId="15127582" w14:textId="77777777" w:rsidR="0028302C" w:rsidRPr="00DE12A3" w:rsidRDefault="0028302C" w:rsidP="0017089B">
            <w:pPr>
              <w:pStyle w:val="Gvdemetni361"/>
              <w:shd w:val="clear" w:color="auto" w:fill="auto"/>
              <w:spacing w:before="120" w:after="120" w:line="240" w:lineRule="auto"/>
              <w:ind w:left="709" w:hanging="709"/>
              <w:rPr>
                <w:color w:val="auto"/>
                <w:sz w:val="24"/>
                <w:szCs w:val="24"/>
              </w:rPr>
            </w:pPr>
            <w:r w:rsidRPr="00DE12A3">
              <w:rPr>
                <w:rStyle w:val="Gvdemetni367pt0ptbolukbraklyor"/>
                <w:color w:val="auto"/>
                <w:sz w:val="24"/>
                <w:szCs w:val="24"/>
              </w:rPr>
              <w:t>init</w:t>
            </w:r>
          </w:p>
        </w:tc>
        <w:tc>
          <w:tcPr>
            <w:tcW w:w="5451" w:type="dxa"/>
          </w:tcPr>
          <w:p w14:paraId="0032AC43" w14:textId="77777777" w:rsidR="0028302C" w:rsidRPr="00DE12A3" w:rsidRDefault="0028302C" w:rsidP="0017089B">
            <w:pPr>
              <w:spacing w:before="120" w:after="120"/>
              <w:ind w:left="709" w:hanging="709"/>
              <w:jc w:val="both"/>
              <w:rPr>
                <w:rFonts w:cs="Times New Roman"/>
                <w:color w:val="auto"/>
              </w:rPr>
            </w:pPr>
            <w:r w:rsidRPr="00DE12A3">
              <w:rPr>
                <w:rFonts w:cs="Times New Roman"/>
                <w:color w:val="auto"/>
              </w:rPr>
              <w:t>İlk miktar, tipik olarak bir emisyon testinden önce</w:t>
            </w:r>
          </w:p>
        </w:tc>
      </w:tr>
      <w:tr w:rsidR="00DE12A3" w:rsidRPr="00DE12A3" w14:paraId="302860D9" w14:textId="77777777" w:rsidTr="0017089B">
        <w:trPr>
          <w:trHeight w:hRule="exact" w:val="423"/>
          <w:jc w:val="center"/>
        </w:trPr>
        <w:tc>
          <w:tcPr>
            <w:tcW w:w="1988" w:type="dxa"/>
            <w:shd w:val="clear" w:color="auto" w:fill="auto"/>
          </w:tcPr>
          <w:p w14:paraId="33FD5E3C" w14:textId="77777777" w:rsidR="0028302C" w:rsidRPr="00DE12A3" w:rsidRDefault="0028302C" w:rsidP="0017089B">
            <w:pPr>
              <w:pStyle w:val="Gvdemetni361"/>
              <w:shd w:val="clear" w:color="auto" w:fill="auto"/>
              <w:spacing w:before="120" w:after="120" w:line="240" w:lineRule="auto"/>
              <w:ind w:left="709" w:hanging="709"/>
              <w:rPr>
                <w:color w:val="auto"/>
                <w:sz w:val="24"/>
                <w:szCs w:val="24"/>
              </w:rPr>
            </w:pPr>
            <w:r w:rsidRPr="00DE12A3">
              <w:rPr>
                <w:rStyle w:val="Gvdemetni367pt0ptbolukbraklyor"/>
                <w:color w:val="auto"/>
                <w:sz w:val="24"/>
                <w:szCs w:val="24"/>
              </w:rPr>
              <w:t>max</w:t>
            </w:r>
          </w:p>
        </w:tc>
        <w:tc>
          <w:tcPr>
            <w:tcW w:w="5451" w:type="dxa"/>
          </w:tcPr>
          <w:p w14:paraId="1A14EF2D" w14:textId="77777777" w:rsidR="0028302C" w:rsidRPr="00DE12A3" w:rsidRDefault="0028302C" w:rsidP="0017089B">
            <w:pPr>
              <w:spacing w:before="120" w:after="120"/>
              <w:ind w:left="709" w:hanging="709"/>
              <w:jc w:val="both"/>
              <w:rPr>
                <w:rFonts w:cs="Times New Roman"/>
                <w:color w:val="auto"/>
              </w:rPr>
            </w:pPr>
            <w:r w:rsidRPr="00DE12A3">
              <w:rPr>
                <w:rFonts w:cs="Times New Roman"/>
                <w:color w:val="auto"/>
              </w:rPr>
              <w:t>Azami (yani tepe) değer</w:t>
            </w:r>
          </w:p>
        </w:tc>
      </w:tr>
      <w:tr w:rsidR="00DE12A3" w:rsidRPr="00DE12A3" w14:paraId="2C21978F" w14:textId="77777777" w:rsidTr="0017089B">
        <w:trPr>
          <w:trHeight w:hRule="exact" w:val="418"/>
          <w:jc w:val="center"/>
        </w:trPr>
        <w:tc>
          <w:tcPr>
            <w:tcW w:w="1988" w:type="dxa"/>
            <w:shd w:val="clear" w:color="auto" w:fill="auto"/>
          </w:tcPr>
          <w:p w14:paraId="181833F6" w14:textId="77777777" w:rsidR="0028302C" w:rsidRPr="00DE12A3" w:rsidRDefault="0028302C" w:rsidP="0017089B">
            <w:pPr>
              <w:pStyle w:val="Gvdemetni361"/>
              <w:shd w:val="clear" w:color="auto" w:fill="auto"/>
              <w:spacing w:before="120" w:after="120" w:line="240" w:lineRule="auto"/>
              <w:ind w:left="709" w:hanging="709"/>
              <w:rPr>
                <w:color w:val="auto"/>
                <w:sz w:val="24"/>
                <w:szCs w:val="24"/>
              </w:rPr>
            </w:pPr>
            <w:r w:rsidRPr="00DE12A3">
              <w:rPr>
                <w:rStyle w:val="Gvdemetni367pt0ptbolukbraklyor"/>
                <w:color w:val="auto"/>
                <w:sz w:val="24"/>
                <w:szCs w:val="24"/>
              </w:rPr>
              <w:t>meas</w:t>
            </w:r>
          </w:p>
        </w:tc>
        <w:tc>
          <w:tcPr>
            <w:tcW w:w="5451" w:type="dxa"/>
          </w:tcPr>
          <w:p w14:paraId="738E10A6" w14:textId="77777777" w:rsidR="0028302C" w:rsidRPr="00DE12A3" w:rsidRDefault="0028302C" w:rsidP="0017089B">
            <w:pPr>
              <w:spacing w:before="120" w:after="120"/>
              <w:ind w:left="709" w:hanging="709"/>
              <w:jc w:val="both"/>
              <w:rPr>
                <w:rFonts w:cs="Times New Roman"/>
                <w:color w:val="auto"/>
              </w:rPr>
            </w:pPr>
            <w:r w:rsidRPr="00DE12A3">
              <w:rPr>
                <w:rFonts w:cs="Times New Roman"/>
                <w:color w:val="auto"/>
              </w:rPr>
              <w:t>Ölçülen miktar</w:t>
            </w:r>
          </w:p>
        </w:tc>
      </w:tr>
      <w:tr w:rsidR="00DE12A3" w:rsidRPr="00DE12A3" w14:paraId="2A29BE67" w14:textId="77777777" w:rsidTr="0017089B">
        <w:trPr>
          <w:trHeight w:hRule="exact" w:val="418"/>
          <w:jc w:val="center"/>
        </w:trPr>
        <w:tc>
          <w:tcPr>
            <w:tcW w:w="1988" w:type="dxa"/>
            <w:shd w:val="clear" w:color="auto" w:fill="auto"/>
          </w:tcPr>
          <w:p w14:paraId="1FC0081E" w14:textId="77777777" w:rsidR="0028302C" w:rsidRPr="00DE12A3" w:rsidRDefault="0028302C" w:rsidP="0017089B">
            <w:pPr>
              <w:pStyle w:val="Gvdemetni361"/>
              <w:shd w:val="clear" w:color="auto" w:fill="auto"/>
              <w:spacing w:before="120" w:after="120" w:line="240" w:lineRule="auto"/>
              <w:ind w:left="709" w:hanging="709"/>
              <w:rPr>
                <w:color w:val="auto"/>
                <w:sz w:val="24"/>
                <w:szCs w:val="24"/>
              </w:rPr>
            </w:pPr>
            <w:r w:rsidRPr="00DE12A3">
              <w:rPr>
                <w:rStyle w:val="Gvdemetni367pt0ptbolukbraklyor"/>
                <w:color w:val="auto"/>
                <w:sz w:val="24"/>
                <w:szCs w:val="24"/>
              </w:rPr>
              <w:t>min</w:t>
            </w:r>
          </w:p>
        </w:tc>
        <w:tc>
          <w:tcPr>
            <w:tcW w:w="5451" w:type="dxa"/>
          </w:tcPr>
          <w:p w14:paraId="25041F19" w14:textId="77777777" w:rsidR="0028302C" w:rsidRPr="00DE12A3" w:rsidRDefault="0028302C" w:rsidP="0017089B">
            <w:pPr>
              <w:spacing w:before="120" w:after="120"/>
              <w:ind w:left="709" w:hanging="709"/>
              <w:jc w:val="both"/>
              <w:rPr>
                <w:rFonts w:cs="Times New Roman"/>
                <w:color w:val="auto"/>
              </w:rPr>
            </w:pPr>
            <w:r w:rsidRPr="00DE12A3">
              <w:rPr>
                <w:rFonts w:cs="Times New Roman"/>
                <w:color w:val="auto"/>
              </w:rPr>
              <w:t>Asgari değer</w:t>
            </w:r>
          </w:p>
        </w:tc>
      </w:tr>
      <w:tr w:rsidR="00DE12A3" w:rsidRPr="00DE12A3" w14:paraId="1CDF7752" w14:textId="77777777" w:rsidTr="0017089B">
        <w:trPr>
          <w:trHeight w:hRule="exact" w:val="418"/>
          <w:jc w:val="center"/>
        </w:trPr>
        <w:tc>
          <w:tcPr>
            <w:tcW w:w="1988" w:type="dxa"/>
            <w:shd w:val="clear" w:color="auto" w:fill="auto"/>
          </w:tcPr>
          <w:p w14:paraId="1E7A315D" w14:textId="77777777" w:rsidR="0028302C" w:rsidRPr="00DE12A3" w:rsidRDefault="0028302C" w:rsidP="0017089B">
            <w:pPr>
              <w:pStyle w:val="Gvdemetni361"/>
              <w:shd w:val="clear" w:color="auto" w:fill="auto"/>
              <w:spacing w:before="120" w:after="120" w:line="240" w:lineRule="auto"/>
              <w:ind w:left="709" w:hanging="709"/>
              <w:rPr>
                <w:color w:val="auto"/>
                <w:sz w:val="24"/>
                <w:szCs w:val="24"/>
              </w:rPr>
            </w:pPr>
            <w:r w:rsidRPr="00DE12A3">
              <w:rPr>
                <w:rStyle w:val="Gvdemetni367pt0ptbolukbraklyor"/>
                <w:color w:val="auto"/>
                <w:sz w:val="24"/>
                <w:szCs w:val="24"/>
              </w:rPr>
              <w:t>mix</w:t>
            </w:r>
          </w:p>
        </w:tc>
        <w:tc>
          <w:tcPr>
            <w:tcW w:w="5451" w:type="dxa"/>
          </w:tcPr>
          <w:p w14:paraId="50C47C40" w14:textId="77777777" w:rsidR="0028302C" w:rsidRPr="00DE12A3" w:rsidRDefault="0028302C" w:rsidP="0017089B">
            <w:pPr>
              <w:spacing w:before="120" w:after="120"/>
              <w:ind w:left="709" w:hanging="709"/>
              <w:jc w:val="both"/>
              <w:rPr>
                <w:rFonts w:cs="Times New Roman"/>
                <w:color w:val="auto"/>
              </w:rPr>
            </w:pPr>
            <w:r w:rsidRPr="00DE12A3">
              <w:rPr>
                <w:rFonts w:cs="Times New Roman"/>
                <w:color w:val="auto"/>
              </w:rPr>
              <w:t>Molar hava kütlesi</w:t>
            </w:r>
          </w:p>
        </w:tc>
      </w:tr>
      <w:tr w:rsidR="0028302C" w:rsidRPr="00DE12A3" w14:paraId="30458570" w14:textId="77777777" w:rsidTr="0017089B">
        <w:trPr>
          <w:trHeight w:hRule="exact" w:val="427"/>
          <w:jc w:val="center"/>
        </w:trPr>
        <w:tc>
          <w:tcPr>
            <w:tcW w:w="1988" w:type="dxa"/>
            <w:shd w:val="clear" w:color="auto" w:fill="auto"/>
          </w:tcPr>
          <w:p w14:paraId="43F156FC" w14:textId="77777777" w:rsidR="0028302C" w:rsidRPr="00DE12A3" w:rsidRDefault="0028302C" w:rsidP="0017089B">
            <w:pPr>
              <w:pStyle w:val="Gvdemetni361"/>
              <w:shd w:val="clear" w:color="auto" w:fill="auto"/>
              <w:spacing w:before="120" w:after="120" w:line="240" w:lineRule="auto"/>
              <w:ind w:left="709" w:hanging="709"/>
              <w:rPr>
                <w:color w:val="auto"/>
                <w:sz w:val="24"/>
                <w:szCs w:val="24"/>
              </w:rPr>
            </w:pPr>
            <w:r w:rsidRPr="00DE12A3">
              <w:rPr>
                <w:rStyle w:val="Gvdemetni367pt0ptbolukbraklyor"/>
                <w:color w:val="auto"/>
                <w:sz w:val="24"/>
                <w:szCs w:val="24"/>
              </w:rPr>
              <w:t>out</w:t>
            </w:r>
          </w:p>
        </w:tc>
        <w:tc>
          <w:tcPr>
            <w:tcW w:w="5451" w:type="dxa"/>
          </w:tcPr>
          <w:p w14:paraId="1CA2E55B" w14:textId="77777777" w:rsidR="0028302C" w:rsidRPr="00DE12A3" w:rsidRDefault="0028302C" w:rsidP="0017089B">
            <w:pPr>
              <w:spacing w:before="120" w:after="120"/>
              <w:ind w:left="709" w:hanging="709"/>
              <w:jc w:val="both"/>
              <w:rPr>
                <w:rFonts w:cs="Times New Roman"/>
                <w:color w:val="auto"/>
              </w:rPr>
            </w:pPr>
            <w:r w:rsidRPr="00DE12A3">
              <w:rPr>
                <w:rFonts w:cs="Times New Roman"/>
                <w:color w:val="auto"/>
              </w:rPr>
              <w:t>Çıkan miktar</w:t>
            </w:r>
          </w:p>
        </w:tc>
      </w:tr>
    </w:tbl>
    <w:p w14:paraId="761CE80F" w14:textId="77777777" w:rsidR="0028302C" w:rsidRPr="00DE12A3" w:rsidRDefault="0028302C" w:rsidP="00C917D6">
      <w:pPr>
        <w:widowControl/>
        <w:tabs>
          <w:tab w:val="left" w:pos="8789"/>
        </w:tabs>
        <w:spacing w:before="120" w:after="120"/>
        <w:ind w:left="709" w:hanging="709"/>
        <w:jc w:val="both"/>
        <w:rPr>
          <w:rFonts w:cs="Times New Roman"/>
          <w:color w:val="auto"/>
          <w:sz w:val="20"/>
          <w:szCs w:val="20"/>
          <w:lang w:eastAsia="en-US"/>
        </w:rPr>
      </w:pPr>
    </w:p>
    <w:p w14:paraId="4DFF8780" w14:textId="77777777" w:rsidR="00D4435E" w:rsidRPr="00DE12A3" w:rsidRDefault="00D4435E" w:rsidP="00C917D6">
      <w:pPr>
        <w:widowControl/>
        <w:tabs>
          <w:tab w:val="left" w:pos="8789"/>
        </w:tabs>
        <w:spacing w:before="120" w:after="120"/>
        <w:ind w:left="709" w:hanging="709"/>
        <w:jc w:val="both"/>
        <w:rPr>
          <w:rFonts w:cs="Times New Roman"/>
          <w:color w:val="auto"/>
          <w:sz w:val="20"/>
          <w:szCs w:val="20"/>
          <w:lang w:eastAsia="en-US"/>
        </w:rPr>
      </w:pPr>
    </w:p>
    <w:p w14:paraId="392561C4" w14:textId="77777777" w:rsidR="00907C73" w:rsidRPr="00DE12A3" w:rsidRDefault="00907C73" w:rsidP="00C917D6">
      <w:pPr>
        <w:spacing w:before="120" w:after="120"/>
        <w:ind w:left="709" w:hanging="709"/>
        <w:jc w:val="both"/>
        <w:rPr>
          <w:rFonts w:cs="Times New Roman"/>
          <w:color w:val="auto"/>
          <w:sz w:val="18"/>
          <w:szCs w:val="18"/>
        </w:rPr>
      </w:pPr>
    </w:p>
    <w:p w14:paraId="6A248074" w14:textId="77777777" w:rsidR="00907C73" w:rsidRPr="00DE12A3" w:rsidRDefault="00907C73" w:rsidP="00C917D6">
      <w:pPr>
        <w:spacing w:before="120" w:after="120"/>
        <w:ind w:left="709" w:hanging="709"/>
        <w:jc w:val="both"/>
        <w:rPr>
          <w:rFonts w:cs="Times New Roman"/>
          <w:color w:val="auto"/>
          <w:sz w:val="18"/>
          <w:szCs w:val="18"/>
        </w:rPr>
      </w:pPr>
    </w:p>
    <w:p w14:paraId="1560E3B2" w14:textId="77777777" w:rsidR="00D4435E" w:rsidRPr="00DE12A3" w:rsidRDefault="00D4435E" w:rsidP="00C917D6">
      <w:pPr>
        <w:spacing w:before="120" w:after="120"/>
        <w:ind w:left="709" w:hanging="709"/>
        <w:jc w:val="both"/>
        <w:rPr>
          <w:rFonts w:cs="Times New Roman"/>
          <w:color w:val="auto"/>
          <w:sz w:val="18"/>
          <w:szCs w:val="18"/>
        </w:rPr>
      </w:pPr>
    </w:p>
    <w:tbl>
      <w:tblPr>
        <w:tblW w:w="73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952"/>
        <w:gridCol w:w="5350"/>
      </w:tblGrid>
      <w:tr w:rsidR="00DE12A3" w:rsidRPr="00DE12A3" w14:paraId="5BCC0AF8" w14:textId="77777777" w:rsidTr="0017089B">
        <w:trPr>
          <w:trHeight w:hRule="exact" w:val="501"/>
          <w:jc w:val="center"/>
        </w:trPr>
        <w:tc>
          <w:tcPr>
            <w:tcW w:w="1952" w:type="dxa"/>
            <w:shd w:val="clear" w:color="auto" w:fill="auto"/>
          </w:tcPr>
          <w:p w14:paraId="410BD950" w14:textId="77777777" w:rsidR="00D4435E" w:rsidRPr="00DE12A3" w:rsidRDefault="00D4435E" w:rsidP="0017089B">
            <w:pPr>
              <w:spacing w:before="120" w:after="120"/>
              <w:ind w:left="709" w:hanging="709"/>
              <w:jc w:val="both"/>
              <w:rPr>
                <w:rFonts w:cs="Times New Roman"/>
                <w:color w:val="auto"/>
              </w:rPr>
            </w:pPr>
          </w:p>
        </w:tc>
        <w:tc>
          <w:tcPr>
            <w:tcW w:w="5350" w:type="dxa"/>
            <w:shd w:val="clear" w:color="auto" w:fill="auto"/>
          </w:tcPr>
          <w:p w14:paraId="7E9CADFF" w14:textId="77777777" w:rsidR="00D4435E" w:rsidRPr="00DE12A3" w:rsidRDefault="00D4435E" w:rsidP="0017089B">
            <w:pPr>
              <w:spacing w:before="120" w:after="120"/>
              <w:ind w:left="709" w:hanging="709"/>
              <w:jc w:val="both"/>
              <w:rPr>
                <w:rFonts w:cs="Times New Roman"/>
                <w:color w:val="auto"/>
              </w:rPr>
            </w:pPr>
            <w:r w:rsidRPr="00DE12A3">
              <w:rPr>
                <w:rFonts w:cs="Times New Roman"/>
                <w:color w:val="auto"/>
              </w:rPr>
              <w:t>Miktar</w:t>
            </w:r>
          </w:p>
        </w:tc>
      </w:tr>
      <w:tr w:rsidR="00DE12A3" w:rsidRPr="00DE12A3" w14:paraId="35EAF967" w14:textId="77777777" w:rsidTr="0017089B">
        <w:trPr>
          <w:trHeight w:hRule="exact" w:val="427"/>
          <w:jc w:val="center"/>
        </w:trPr>
        <w:tc>
          <w:tcPr>
            <w:tcW w:w="1952" w:type="dxa"/>
            <w:shd w:val="clear" w:color="auto" w:fill="auto"/>
          </w:tcPr>
          <w:p w14:paraId="3DCDA555" w14:textId="77777777" w:rsidR="00D4435E" w:rsidRPr="00DE12A3" w:rsidRDefault="00D4435E" w:rsidP="0017089B">
            <w:pPr>
              <w:pStyle w:val="Gvdemetni361"/>
              <w:shd w:val="clear" w:color="auto" w:fill="auto"/>
              <w:spacing w:before="120" w:after="120" w:line="240" w:lineRule="auto"/>
              <w:ind w:left="709" w:hanging="709"/>
              <w:rPr>
                <w:color w:val="auto"/>
                <w:sz w:val="24"/>
                <w:szCs w:val="24"/>
              </w:rPr>
            </w:pPr>
            <w:r w:rsidRPr="00DE12A3">
              <w:rPr>
                <w:rStyle w:val="Gvdemetni367pt0ptbolukbraklyor"/>
                <w:color w:val="auto"/>
                <w:sz w:val="24"/>
                <w:szCs w:val="24"/>
              </w:rPr>
              <w:t>part</w:t>
            </w:r>
          </w:p>
        </w:tc>
        <w:tc>
          <w:tcPr>
            <w:tcW w:w="5350" w:type="dxa"/>
            <w:shd w:val="clear" w:color="auto" w:fill="auto"/>
          </w:tcPr>
          <w:p w14:paraId="154C9489" w14:textId="77777777" w:rsidR="00D4435E" w:rsidRPr="00DE12A3" w:rsidRDefault="00D4435E" w:rsidP="0017089B">
            <w:pPr>
              <w:spacing w:before="120" w:after="120"/>
              <w:ind w:left="709" w:hanging="709"/>
              <w:jc w:val="both"/>
              <w:rPr>
                <w:rFonts w:cs="Times New Roman"/>
                <w:color w:val="auto"/>
              </w:rPr>
            </w:pPr>
            <w:r w:rsidRPr="00DE12A3">
              <w:rPr>
                <w:rFonts w:cs="Times New Roman"/>
                <w:color w:val="auto"/>
              </w:rPr>
              <w:t>Kısmi miktar</w:t>
            </w:r>
          </w:p>
        </w:tc>
      </w:tr>
      <w:tr w:rsidR="00DE12A3" w:rsidRPr="00DE12A3" w14:paraId="4EDA0004" w14:textId="77777777" w:rsidTr="0017089B">
        <w:trPr>
          <w:trHeight w:hRule="exact" w:val="382"/>
          <w:jc w:val="center"/>
        </w:trPr>
        <w:tc>
          <w:tcPr>
            <w:tcW w:w="1952" w:type="dxa"/>
            <w:shd w:val="clear" w:color="auto" w:fill="auto"/>
          </w:tcPr>
          <w:p w14:paraId="126EAFA6" w14:textId="77777777" w:rsidR="00D4435E" w:rsidRPr="00DE12A3" w:rsidRDefault="00D4435E" w:rsidP="0017089B">
            <w:pPr>
              <w:pStyle w:val="Gvdemetni361"/>
              <w:shd w:val="clear" w:color="auto" w:fill="auto"/>
              <w:spacing w:before="120" w:after="120" w:line="240" w:lineRule="auto"/>
              <w:ind w:left="709" w:hanging="709"/>
              <w:rPr>
                <w:color w:val="auto"/>
                <w:sz w:val="24"/>
                <w:szCs w:val="24"/>
              </w:rPr>
            </w:pPr>
            <w:r w:rsidRPr="00DE12A3">
              <w:rPr>
                <w:rStyle w:val="Gvdemetni367pt0ptbolukbraklyor"/>
                <w:color w:val="auto"/>
                <w:sz w:val="24"/>
                <w:szCs w:val="24"/>
              </w:rPr>
              <w:t>PDP</w:t>
            </w:r>
          </w:p>
        </w:tc>
        <w:tc>
          <w:tcPr>
            <w:tcW w:w="5350" w:type="dxa"/>
            <w:shd w:val="clear" w:color="auto" w:fill="auto"/>
          </w:tcPr>
          <w:p w14:paraId="3B5534DE" w14:textId="77777777" w:rsidR="00D4435E" w:rsidRPr="00DE12A3" w:rsidRDefault="00D4435E" w:rsidP="0017089B">
            <w:pPr>
              <w:spacing w:before="120" w:after="120"/>
              <w:ind w:left="709" w:hanging="709"/>
              <w:jc w:val="both"/>
              <w:rPr>
                <w:rFonts w:cs="Times New Roman"/>
                <w:color w:val="auto"/>
              </w:rPr>
            </w:pPr>
            <w:r w:rsidRPr="00DE12A3">
              <w:rPr>
                <w:rFonts w:cs="Times New Roman"/>
                <w:color w:val="auto"/>
              </w:rPr>
              <w:t>Pozitif deplasmanlı pompa</w:t>
            </w:r>
          </w:p>
        </w:tc>
      </w:tr>
      <w:tr w:rsidR="00DE12A3" w:rsidRPr="00DE12A3" w14:paraId="2E91995A" w14:textId="77777777" w:rsidTr="0017089B">
        <w:trPr>
          <w:trHeight w:hRule="exact" w:val="386"/>
          <w:jc w:val="center"/>
        </w:trPr>
        <w:tc>
          <w:tcPr>
            <w:tcW w:w="1952" w:type="dxa"/>
            <w:shd w:val="clear" w:color="auto" w:fill="auto"/>
          </w:tcPr>
          <w:p w14:paraId="1C3F6B5A" w14:textId="77777777" w:rsidR="00D4435E" w:rsidRPr="00DE12A3" w:rsidRDefault="00D4435E" w:rsidP="0017089B">
            <w:pPr>
              <w:pStyle w:val="Gvdemetni361"/>
              <w:shd w:val="clear" w:color="auto" w:fill="auto"/>
              <w:spacing w:before="120" w:after="120" w:line="240" w:lineRule="auto"/>
              <w:ind w:left="709" w:hanging="709"/>
              <w:rPr>
                <w:color w:val="auto"/>
                <w:sz w:val="24"/>
                <w:szCs w:val="24"/>
              </w:rPr>
            </w:pPr>
            <w:r w:rsidRPr="00DE12A3">
              <w:rPr>
                <w:rStyle w:val="Gvdemetni367pt0ptbolukbraklyor"/>
                <w:color w:val="auto"/>
                <w:sz w:val="24"/>
                <w:szCs w:val="24"/>
              </w:rPr>
              <w:t>raw</w:t>
            </w:r>
          </w:p>
        </w:tc>
        <w:tc>
          <w:tcPr>
            <w:tcW w:w="5350" w:type="dxa"/>
            <w:shd w:val="clear" w:color="auto" w:fill="auto"/>
          </w:tcPr>
          <w:p w14:paraId="480623A0" w14:textId="77777777" w:rsidR="00D4435E" w:rsidRPr="00DE12A3" w:rsidRDefault="00D4435E" w:rsidP="0017089B">
            <w:pPr>
              <w:spacing w:before="120" w:after="120"/>
              <w:ind w:left="709" w:hanging="709"/>
              <w:jc w:val="both"/>
              <w:rPr>
                <w:rFonts w:cs="Times New Roman"/>
                <w:color w:val="auto"/>
              </w:rPr>
            </w:pPr>
            <w:r w:rsidRPr="00DE12A3">
              <w:rPr>
                <w:rFonts w:cs="Times New Roman"/>
                <w:color w:val="auto"/>
              </w:rPr>
              <w:t>Ham egzoz</w:t>
            </w:r>
          </w:p>
        </w:tc>
      </w:tr>
      <w:tr w:rsidR="00DE12A3" w:rsidRPr="00DE12A3" w14:paraId="0A67115C" w14:textId="77777777" w:rsidTr="0017089B">
        <w:trPr>
          <w:trHeight w:hRule="exact" w:val="382"/>
          <w:jc w:val="center"/>
        </w:trPr>
        <w:tc>
          <w:tcPr>
            <w:tcW w:w="1952" w:type="dxa"/>
            <w:shd w:val="clear" w:color="auto" w:fill="auto"/>
          </w:tcPr>
          <w:p w14:paraId="22B4DE93" w14:textId="77777777" w:rsidR="00D4435E" w:rsidRPr="00DE12A3" w:rsidRDefault="00D4435E" w:rsidP="0017089B">
            <w:pPr>
              <w:pStyle w:val="Gvdemetni361"/>
              <w:shd w:val="clear" w:color="auto" w:fill="auto"/>
              <w:spacing w:before="120" w:after="120" w:line="240" w:lineRule="auto"/>
              <w:ind w:left="709" w:hanging="709"/>
              <w:rPr>
                <w:color w:val="auto"/>
                <w:sz w:val="24"/>
                <w:szCs w:val="24"/>
              </w:rPr>
            </w:pPr>
            <w:r w:rsidRPr="00DE12A3">
              <w:rPr>
                <w:rStyle w:val="Gvdemetni367pt0ptbolukbraklyor"/>
                <w:color w:val="auto"/>
                <w:sz w:val="24"/>
                <w:szCs w:val="24"/>
              </w:rPr>
              <w:t>ref</w:t>
            </w:r>
          </w:p>
        </w:tc>
        <w:tc>
          <w:tcPr>
            <w:tcW w:w="5350" w:type="dxa"/>
            <w:shd w:val="clear" w:color="auto" w:fill="auto"/>
          </w:tcPr>
          <w:p w14:paraId="0FCB6ED1" w14:textId="77777777" w:rsidR="00D4435E" w:rsidRPr="00DE12A3" w:rsidRDefault="00D4435E" w:rsidP="0017089B">
            <w:pPr>
              <w:spacing w:before="120" w:after="120"/>
              <w:ind w:left="709" w:hanging="709"/>
              <w:jc w:val="both"/>
              <w:rPr>
                <w:rFonts w:cs="Times New Roman"/>
                <w:color w:val="auto"/>
              </w:rPr>
            </w:pPr>
            <w:r w:rsidRPr="00DE12A3">
              <w:rPr>
                <w:rFonts w:cs="Times New Roman"/>
                <w:color w:val="auto"/>
              </w:rPr>
              <w:t>Referans miktar</w:t>
            </w:r>
          </w:p>
        </w:tc>
      </w:tr>
      <w:tr w:rsidR="00DE12A3" w:rsidRPr="00DE12A3" w14:paraId="4ED56806" w14:textId="77777777" w:rsidTr="0017089B">
        <w:trPr>
          <w:trHeight w:hRule="exact" w:val="382"/>
          <w:jc w:val="center"/>
        </w:trPr>
        <w:tc>
          <w:tcPr>
            <w:tcW w:w="1952" w:type="dxa"/>
            <w:shd w:val="clear" w:color="auto" w:fill="auto"/>
          </w:tcPr>
          <w:p w14:paraId="2F11AA33" w14:textId="77777777" w:rsidR="00D4435E" w:rsidRPr="00DE12A3" w:rsidRDefault="00D4435E" w:rsidP="0017089B">
            <w:pPr>
              <w:pStyle w:val="Gvdemetni361"/>
              <w:shd w:val="clear" w:color="auto" w:fill="auto"/>
              <w:spacing w:before="120" w:after="120" w:line="240" w:lineRule="auto"/>
              <w:ind w:left="709" w:hanging="709"/>
              <w:rPr>
                <w:color w:val="auto"/>
                <w:sz w:val="24"/>
                <w:szCs w:val="24"/>
              </w:rPr>
            </w:pPr>
            <w:r w:rsidRPr="00DE12A3">
              <w:rPr>
                <w:rStyle w:val="Gvdemetni367pt0ptbolukbraklyor"/>
                <w:color w:val="auto"/>
                <w:sz w:val="24"/>
                <w:szCs w:val="24"/>
              </w:rPr>
              <w:t>rev</w:t>
            </w:r>
          </w:p>
        </w:tc>
        <w:tc>
          <w:tcPr>
            <w:tcW w:w="5350" w:type="dxa"/>
            <w:shd w:val="clear" w:color="auto" w:fill="auto"/>
          </w:tcPr>
          <w:p w14:paraId="53BB2DB5" w14:textId="77777777" w:rsidR="00D4435E" w:rsidRPr="00DE12A3" w:rsidRDefault="00D4435E" w:rsidP="0017089B">
            <w:pPr>
              <w:spacing w:before="120" w:after="120"/>
              <w:ind w:left="709" w:hanging="709"/>
              <w:jc w:val="both"/>
              <w:rPr>
                <w:rFonts w:cs="Times New Roman"/>
                <w:color w:val="auto"/>
              </w:rPr>
            </w:pPr>
            <w:r w:rsidRPr="00DE12A3">
              <w:rPr>
                <w:rFonts w:cs="Times New Roman"/>
                <w:color w:val="auto"/>
              </w:rPr>
              <w:t>Devir</w:t>
            </w:r>
          </w:p>
        </w:tc>
      </w:tr>
      <w:tr w:rsidR="00DE12A3" w:rsidRPr="00DE12A3" w14:paraId="6B6832A2" w14:textId="77777777" w:rsidTr="0017089B">
        <w:trPr>
          <w:trHeight w:hRule="exact" w:val="386"/>
          <w:jc w:val="center"/>
        </w:trPr>
        <w:tc>
          <w:tcPr>
            <w:tcW w:w="1952" w:type="dxa"/>
            <w:shd w:val="clear" w:color="auto" w:fill="auto"/>
          </w:tcPr>
          <w:p w14:paraId="6C047DE7" w14:textId="77777777" w:rsidR="00D4435E" w:rsidRPr="00DE12A3" w:rsidRDefault="00D4435E" w:rsidP="0017089B">
            <w:pPr>
              <w:pStyle w:val="Gvdemetni361"/>
              <w:shd w:val="clear" w:color="auto" w:fill="auto"/>
              <w:spacing w:before="120" w:after="120" w:line="240" w:lineRule="auto"/>
              <w:ind w:left="709" w:hanging="709"/>
              <w:rPr>
                <w:color w:val="auto"/>
                <w:sz w:val="24"/>
                <w:szCs w:val="24"/>
              </w:rPr>
            </w:pPr>
            <w:r w:rsidRPr="00DE12A3">
              <w:rPr>
                <w:rStyle w:val="Gvdemetni367pt0ptbolukbraklyor"/>
                <w:color w:val="auto"/>
                <w:sz w:val="24"/>
                <w:szCs w:val="24"/>
              </w:rPr>
              <w:t>sat</w:t>
            </w:r>
          </w:p>
        </w:tc>
        <w:tc>
          <w:tcPr>
            <w:tcW w:w="5350" w:type="dxa"/>
            <w:shd w:val="clear" w:color="auto" w:fill="auto"/>
          </w:tcPr>
          <w:p w14:paraId="035EEAF4" w14:textId="77777777" w:rsidR="00D4435E" w:rsidRPr="00DE12A3" w:rsidRDefault="00D4435E" w:rsidP="0017089B">
            <w:pPr>
              <w:spacing w:before="120" w:after="120"/>
              <w:ind w:left="709" w:hanging="709"/>
              <w:jc w:val="both"/>
              <w:rPr>
                <w:rFonts w:cs="Times New Roman"/>
                <w:color w:val="auto"/>
              </w:rPr>
            </w:pPr>
            <w:r w:rsidRPr="00DE12A3">
              <w:rPr>
                <w:rFonts w:cs="Times New Roman"/>
                <w:color w:val="auto"/>
              </w:rPr>
              <w:t>Doymuş durum</w:t>
            </w:r>
          </w:p>
        </w:tc>
      </w:tr>
      <w:tr w:rsidR="00DE12A3" w:rsidRPr="00DE12A3" w14:paraId="3F3C5535" w14:textId="77777777" w:rsidTr="0017089B">
        <w:trPr>
          <w:trHeight w:hRule="exact" w:val="382"/>
          <w:jc w:val="center"/>
        </w:trPr>
        <w:tc>
          <w:tcPr>
            <w:tcW w:w="1952" w:type="dxa"/>
            <w:shd w:val="clear" w:color="auto" w:fill="auto"/>
          </w:tcPr>
          <w:p w14:paraId="176B6033" w14:textId="77777777" w:rsidR="00D4435E" w:rsidRPr="00DE12A3" w:rsidRDefault="00D4435E" w:rsidP="0017089B">
            <w:pPr>
              <w:pStyle w:val="Gvdemetni361"/>
              <w:shd w:val="clear" w:color="auto" w:fill="auto"/>
              <w:spacing w:before="120" w:after="120" w:line="240" w:lineRule="auto"/>
              <w:ind w:left="709" w:hanging="709"/>
              <w:rPr>
                <w:color w:val="auto"/>
                <w:sz w:val="24"/>
                <w:szCs w:val="24"/>
              </w:rPr>
            </w:pPr>
            <w:r w:rsidRPr="00DE12A3">
              <w:rPr>
                <w:rStyle w:val="Gvdemetni367pt0ptbolukbraklyor"/>
                <w:color w:val="auto"/>
                <w:sz w:val="24"/>
                <w:szCs w:val="24"/>
              </w:rPr>
              <w:t>slip</w:t>
            </w:r>
          </w:p>
        </w:tc>
        <w:tc>
          <w:tcPr>
            <w:tcW w:w="5350" w:type="dxa"/>
            <w:shd w:val="clear" w:color="auto" w:fill="auto"/>
          </w:tcPr>
          <w:p w14:paraId="0D563502" w14:textId="77777777" w:rsidR="00D4435E" w:rsidRPr="00DE12A3" w:rsidRDefault="00D4435E" w:rsidP="0017089B">
            <w:pPr>
              <w:spacing w:before="120" w:after="120"/>
              <w:ind w:left="709" w:hanging="709"/>
              <w:jc w:val="both"/>
              <w:rPr>
                <w:rFonts w:cs="Times New Roman"/>
                <w:color w:val="auto"/>
              </w:rPr>
            </w:pPr>
            <w:r w:rsidRPr="00DE12A3">
              <w:rPr>
                <w:rFonts w:cs="Times New Roman"/>
                <w:color w:val="auto"/>
              </w:rPr>
              <w:t>PDP kayma</w:t>
            </w:r>
          </w:p>
        </w:tc>
      </w:tr>
      <w:tr w:rsidR="00DE12A3" w:rsidRPr="00DE12A3" w14:paraId="43BEC7C1" w14:textId="77777777" w:rsidTr="0017089B">
        <w:trPr>
          <w:trHeight w:hRule="exact" w:val="382"/>
          <w:jc w:val="center"/>
        </w:trPr>
        <w:tc>
          <w:tcPr>
            <w:tcW w:w="1952" w:type="dxa"/>
            <w:shd w:val="clear" w:color="auto" w:fill="auto"/>
          </w:tcPr>
          <w:p w14:paraId="089DB709" w14:textId="77777777" w:rsidR="00D4435E" w:rsidRPr="00DE12A3" w:rsidRDefault="00D4435E" w:rsidP="0017089B">
            <w:pPr>
              <w:pStyle w:val="Gvdemetni361"/>
              <w:shd w:val="clear" w:color="auto" w:fill="auto"/>
              <w:spacing w:before="120" w:after="120" w:line="240" w:lineRule="auto"/>
              <w:ind w:left="709" w:hanging="709"/>
              <w:rPr>
                <w:color w:val="auto"/>
                <w:sz w:val="24"/>
                <w:szCs w:val="24"/>
              </w:rPr>
            </w:pPr>
            <w:r w:rsidRPr="00DE12A3">
              <w:rPr>
                <w:rStyle w:val="Gvdemetni367pt0ptbolukbraklyor"/>
                <w:color w:val="auto"/>
                <w:sz w:val="24"/>
                <w:szCs w:val="24"/>
              </w:rPr>
              <w:t>smpl</w:t>
            </w:r>
          </w:p>
        </w:tc>
        <w:tc>
          <w:tcPr>
            <w:tcW w:w="5350" w:type="dxa"/>
            <w:shd w:val="clear" w:color="auto" w:fill="auto"/>
          </w:tcPr>
          <w:p w14:paraId="25839383" w14:textId="77777777" w:rsidR="00D4435E" w:rsidRPr="00DE12A3" w:rsidRDefault="00D4435E" w:rsidP="0017089B">
            <w:pPr>
              <w:spacing w:before="120" w:after="120"/>
              <w:ind w:left="709" w:hanging="709"/>
              <w:jc w:val="both"/>
              <w:rPr>
                <w:rFonts w:cs="Times New Roman"/>
                <w:color w:val="auto"/>
              </w:rPr>
            </w:pPr>
            <w:r w:rsidRPr="00DE12A3">
              <w:rPr>
                <w:rFonts w:cs="Times New Roman"/>
                <w:color w:val="auto"/>
              </w:rPr>
              <w:t>Örnekleme</w:t>
            </w:r>
          </w:p>
        </w:tc>
      </w:tr>
      <w:tr w:rsidR="00DE12A3" w:rsidRPr="00DE12A3" w14:paraId="7C580F8F" w14:textId="77777777" w:rsidTr="0017089B">
        <w:trPr>
          <w:trHeight w:hRule="exact" w:val="386"/>
          <w:jc w:val="center"/>
        </w:trPr>
        <w:tc>
          <w:tcPr>
            <w:tcW w:w="1952" w:type="dxa"/>
            <w:shd w:val="clear" w:color="auto" w:fill="auto"/>
          </w:tcPr>
          <w:p w14:paraId="090215AD" w14:textId="77777777" w:rsidR="00D4435E" w:rsidRPr="00DE12A3" w:rsidRDefault="00D4435E" w:rsidP="0017089B">
            <w:pPr>
              <w:pStyle w:val="Gvdemetni361"/>
              <w:shd w:val="clear" w:color="auto" w:fill="auto"/>
              <w:spacing w:before="120" w:after="120" w:line="240" w:lineRule="auto"/>
              <w:ind w:left="709" w:hanging="709"/>
              <w:rPr>
                <w:color w:val="auto"/>
                <w:sz w:val="24"/>
                <w:szCs w:val="24"/>
              </w:rPr>
            </w:pPr>
            <w:r w:rsidRPr="00DE12A3">
              <w:rPr>
                <w:rStyle w:val="Gvdemetni367pt0ptbolukbraklyor"/>
                <w:color w:val="auto"/>
                <w:sz w:val="24"/>
                <w:szCs w:val="24"/>
              </w:rPr>
              <w:t>span</w:t>
            </w:r>
          </w:p>
        </w:tc>
        <w:tc>
          <w:tcPr>
            <w:tcW w:w="5350" w:type="dxa"/>
            <w:shd w:val="clear" w:color="auto" w:fill="auto"/>
          </w:tcPr>
          <w:p w14:paraId="30064A2B" w14:textId="77777777" w:rsidR="00D4435E" w:rsidRPr="00DE12A3" w:rsidRDefault="00D4435E" w:rsidP="0017089B">
            <w:pPr>
              <w:spacing w:before="120" w:after="120"/>
              <w:ind w:left="709" w:hanging="709"/>
              <w:jc w:val="both"/>
              <w:rPr>
                <w:rFonts w:cs="Times New Roman"/>
                <w:color w:val="auto"/>
              </w:rPr>
            </w:pPr>
            <w:r w:rsidRPr="00DE12A3">
              <w:rPr>
                <w:rFonts w:cs="Times New Roman"/>
                <w:color w:val="auto"/>
              </w:rPr>
              <w:t>Ayar miktarı</w:t>
            </w:r>
          </w:p>
        </w:tc>
      </w:tr>
      <w:tr w:rsidR="00DE12A3" w:rsidRPr="00DE12A3" w14:paraId="03BE2DE0" w14:textId="77777777" w:rsidTr="0017089B">
        <w:trPr>
          <w:trHeight w:hRule="exact" w:val="382"/>
          <w:jc w:val="center"/>
        </w:trPr>
        <w:tc>
          <w:tcPr>
            <w:tcW w:w="1952" w:type="dxa"/>
            <w:shd w:val="clear" w:color="auto" w:fill="auto"/>
          </w:tcPr>
          <w:p w14:paraId="5959ED24" w14:textId="77777777" w:rsidR="00D4435E" w:rsidRPr="00DE12A3" w:rsidRDefault="00D4435E" w:rsidP="0017089B">
            <w:pPr>
              <w:pStyle w:val="Gvdemetni361"/>
              <w:shd w:val="clear" w:color="auto" w:fill="auto"/>
              <w:spacing w:before="120" w:after="120" w:line="240" w:lineRule="auto"/>
              <w:ind w:left="709" w:hanging="709"/>
              <w:rPr>
                <w:color w:val="auto"/>
                <w:sz w:val="24"/>
                <w:szCs w:val="24"/>
              </w:rPr>
            </w:pPr>
            <w:r w:rsidRPr="00DE12A3">
              <w:rPr>
                <w:rStyle w:val="Gvdemetni367pt0ptbolukbraklyor"/>
                <w:color w:val="auto"/>
                <w:sz w:val="24"/>
                <w:szCs w:val="24"/>
              </w:rPr>
              <w:t>SSV</w:t>
            </w:r>
          </w:p>
        </w:tc>
        <w:tc>
          <w:tcPr>
            <w:tcW w:w="5350" w:type="dxa"/>
            <w:shd w:val="clear" w:color="auto" w:fill="auto"/>
          </w:tcPr>
          <w:p w14:paraId="69EB5238" w14:textId="77777777" w:rsidR="00D4435E" w:rsidRPr="00DE12A3" w:rsidRDefault="00D4435E" w:rsidP="0017089B">
            <w:pPr>
              <w:spacing w:before="120" w:after="120"/>
              <w:ind w:left="709" w:hanging="709"/>
              <w:jc w:val="both"/>
              <w:rPr>
                <w:rFonts w:cs="Times New Roman"/>
                <w:color w:val="auto"/>
              </w:rPr>
            </w:pPr>
            <w:r w:rsidRPr="00DE12A3">
              <w:rPr>
                <w:rFonts w:cs="Times New Roman"/>
                <w:color w:val="auto"/>
              </w:rPr>
              <w:t>Ses altı venturi</w:t>
            </w:r>
          </w:p>
        </w:tc>
      </w:tr>
      <w:tr w:rsidR="00DE12A3" w:rsidRPr="00DE12A3" w14:paraId="4CF6B282" w14:textId="77777777" w:rsidTr="0017089B">
        <w:trPr>
          <w:trHeight w:hRule="exact" w:val="382"/>
          <w:jc w:val="center"/>
        </w:trPr>
        <w:tc>
          <w:tcPr>
            <w:tcW w:w="1952" w:type="dxa"/>
            <w:shd w:val="clear" w:color="auto" w:fill="auto"/>
          </w:tcPr>
          <w:p w14:paraId="31F2A3B2" w14:textId="77777777" w:rsidR="00D4435E" w:rsidRPr="00DE12A3" w:rsidRDefault="00D4435E" w:rsidP="0017089B">
            <w:pPr>
              <w:pStyle w:val="Gvdemetni361"/>
              <w:shd w:val="clear" w:color="auto" w:fill="auto"/>
              <w:spacing w:before="120" w:after="120" w:line="240" w:lineRule="auto"/>
              <w:ind w:left="709" w:hanging="709"/>
              <w:rPr>
                <w:color w:val="auto"/>
                <w:sz w:val="24"/>
                <w:szCs w:val="24"/>
              </w:rPr>
            </w:pPr>
            <w:r w:rsidRPr="00DE12A3">
              <w:rPr>
                <w:rStyle w:val="Gvdemetni367pt0ptbolukbraklyor"/>
                <w:color w:val="auto"/>
                <w:sz w:val="24"/>
                <w:szCs w:val="24"/>
              </w:rPr>
              <w:t>std</w:t>
            </w:r>
          </w:p>
        </w:tc>
        <w:tc>
          <w:tcPr>
            <w:tcW w:w="5350" w:type="dxa"/>
            <w:shd w:val="clear" w:color="auto" w:fill="auto"/>
          </w:tcPr>
          <w:p w14:paraId="447EBBC8" w14:textId="77777777" w:rsidR="00D4435E" w:rsidRPr="00DE12A3" w:rsidRDefault="00D4435E" w:rsidP="0017089B">
            <w:pPr>
              <w:spacing w:before="120" w:after="120"/>
              <w:ind w:left="709" w:hanging="709"/>
              <w:jc w:val="both"/>
              <w:rPr>
                <w:rFonts w:cs="Times New Roman"/>
                <w:color w:val="auto"/>
              </w:rPr>
            </w:pPr>
            <w:r w:rsidRPr="00DE12A3">
              <w:rPr>
                <w:rFonts w:cs="Times New Roman"/>
                <w:color w:val="auto"/>
              </w:rPr>
              <w:t>Standart miktar</w:t>
            </w:r>
          </w:p>
        </w:tc>
      </w:tr>
      <w:tr w:rsidR="00DE12A3" w:rsidRPr="00DE12A3" w14:paraId="7A389286" w14:textId="77777777" w:rsidTr="0017089B">
        <w:trPr>
          <w:trHeight w:hRule="exact" w:val="386"/>
          <w:jc w:val="center"/>
        </w:trPr>
        <w:tc>
          <w:tcPr>
            <w:tcW w:w="1952" w:type="dxa"/>
            <w:shd w:val="clear" w:color="auto" w:fill="auto"/>
          </w:tcPr>
          <w:p w14:paraId="2F2B10AD" w14:textId="77777777" w:rsidR="00D4435E" w:rsidRPr="00DE12A3" w:rsidRDefault="00D4435E" w:rsidP="0017089B">
            <w:pPr>
              <w:pStyle w:val="Gvdemetni361"/>
              <w:shd w:val="clear" w:color="auto" w:fill="auto"/>
              <w:spacing w:before="120" w:after="120" w:line="240" w:lineRule="auto"/>
              <w:ind w:left="709" w:hanging="709"/>
              <w:rPr>
                <w:color w:val="auto"/>
                <w:sz w:val="24"/>
                <w:szCs w:val="24"/>
              </w:rPr>
            </w:pPr>
            <w:r w:rsidRPr="00DE12A3">
              <w:rPr>
                <w:rStyle w:val="Gvdemetni367pt0ptbolukbraklyor"/>
                <w:color w:val="auto"/>
                <w:sz w:val="24"/>
                <w:szCs w:val="24"/>
              </w:rPr>
              <w:t>test</w:t>
            </w:r>
          </w:p>
        </w:tc>
        <w:tc>
          <w:tcPr>
            <w:tcW w:w="5350" w:type="dxa"/>
            <w:shd w:val="clear" w:color="auto" w:fill="auto"/>
          </w:tcPr>
          <w:p w14:paraId="222B8275" w14:textId="77777777" w:rsidR="00D4435E" w:rsidRPr="00DE12A3" w:rsidRDefault="00D4435E" w:rsidP="0017089B">
            <w:pPr>
              <w:spacing w:before="120" w:after="120"/>
              <w:ind w:left="709" w:hanging="709"/>
              <w:jc w:val="both"/>
              <w:rPr>
                <w:rFonts w:cs="Times New Roman"/>
                <w:color w:val="auto"/>
              </w:rPr>
            </w:pPr>
            <w:r w:rsidRPr="00DE12A3">
              <w:rPr>
                <w:rFonts w:cs="Times New Roman"/>
                <w:color w:val="auto"/>
              </w:rPr>
              <w:t>Test miktarı</w:t>
            </w:r>
          </w:p>
        </w:tc>
      </w:tr>
      <w:tr w:rsidR="00DE12A3" w:rsidRPr="00DE12A3" w14:paraId="3FEADEA1" w14:textId="77777777" w:rsidTr="0017089B">
        <w:trPr>
          <w:trHeight w:hRule="exact" w:val="382"/>
          <w:jc w:val="center"/>
        </w:trPr>
        <w:tc>
          <w:tcPr>
            <w:tcW w:w="1952" w:type="dxa"/>
            <w:shd w:val="clear" w:color="auto" w:fill="auto"/>
          </w:tcPr>
          <w:p w14:paraId="675A1E95" w14:textId="77777777" w:rsidR="00D4435E" w:rsidRPr="00DE12A3" w:rsidRDefault="00D4435E" w:rsidP="0017089B">
            <w:pPr>
              <w:pStyle w:val="Gvdemetni361"/>
              <w:shd w:val="clear" w:color="auto" w:fill="auto"/>
              <w:spacing w:before="120" w:after="120" w:line="240" w:lineRule="auto"/>
              <w:ind w:left="709" w:hanging="709"/>
              <w:rPr>
                <w:color w:val="auto"/>
                <w:sz w:val="24"/>
                <w:szCs w:val="24"/>
              </w:rPr>
            </w:pPr>
            <w:r w:rsidRPr="00DE12A3">
              <w:rPr>
                <w:rStyle w:val="Gvdemetni367pt0ptbolukbraklyor"/>
                <w:color w:val="auto"/>
                <w:sz w:val="24"/>
                <w:szCs w:val="24"/>
              </w:rPr>
              <w:t>total</w:t>
            </w:r>
          </w:p>
        </w:tc>
        <w:tc>
          <w:tcPr>
            <w:tcW w:w="5350" w:type="dxa"/>
            <w:shd w:val="clear" w:color="auto" w:fill="auto"/>
          </w:tcPr>
          <w:p w14:paraId="0754165F" w14:textId="77777777" w:rsidR="00D4435E" w:rsidRPr="00DE12A3" w:rsidRDefault="00D4435E" w:rsidP="0017089B">
            <w:pPr>
              <w:spacing w:before="120" w:after="120"/>
              <w:ind w:left="709" w:hanging="709"/>
              <w:jc w:val="both"/>
              <w:rPr>
                <w:rFonts w:cs="Times New Roman"/>
                <w:color w:val="auto"/>
              </w:rPr>
            </w:pPr>
            <w:r w:rsidRPr="00DE12A3">
              <w:rPr>
                <w:rFonts w:cs="Times New Roman"/>
                <w:color w:val="auto"/>
              </w:rPr>
              <w:t>Toplam miktar</w:t>
            </w:r>
          </w:p>
        </w:tc>
      </w:tr>
      <w:tr w:rsidR="00DE12A3" w:rsidRPr="00DE12A3" w14:paraId="7F1C4FF9" w14:textId="77777777" w:rsidTr="0017089B">
        <w:trPr>
          <w:trHeight w:hRule="exact" w:val="382"/>
          <w:jc w:val="center"/>
        </w:trPr>
        <w:tc>
          <w:tcPr>
            <w:tcW w:w="1952" w:type="dxa"/>
            <w:shd w:val="clear" w:color="auto" w:fill="auto"/>
          </w:tcPr>
          <w:p w14:paraId="306B8F18" w14:textId="77777777" w:rsidR="00D4435E" w:rsidRPr="00DE12A3" w:rsidRDefault="00D4435E" w:rsidP="0017089B">
            <w:pPr>
              <w:pStyle w:val="Gvdemetni361"/>
              <w:shd w:val="clear" w:color="auto" w:fill="auto"/>
              <w:spacing w:before="120" w:after="120" w:line="240" w:lineRule="auto"/>
              <w:ind w:left="709" w:hanging="709"/>
              <w:rPr>
                <w:color w:val="auto"/>
                <w:sz w:val="24"/>
                <w:szCs w:val="24"/>
              </w:rPr>
            </w:pPr>
            <w:r w:rsidRPr="00DE12A3">
              <w:rPr>
                <w:rStyle w:val="Gvdemetni367pt0ptbolukbraklyor"/>
                <w:color w:val="auto"/>
                <w:sz w:val="24"/>
                <w:szCs w:val="24"/>
              </w:rPr>
              <w:lastRenderedPageBreak/>
              <w:t>uncor</w:t>
            </w:r>
          </w:p>
        </w:tc>
        <w:tc>
          <w:tcPr>
            <w:tcW w:w="5350" w:type="dxa"/>
            <w:shd w:val="clear" w:color="auto" w:fill="auto"/>
          </w:tcPr>
          <w:p w14:paraId="295D65EF" w14:textId="77777777" w:rsidR="00D4435E" w:rsidRPr="00DE12A3" w:rsidRDefault="00D4435E" w:rsidP="0017089B">
            <w:pPr>
              <w:spacing w:before="120" w:after="120"/>
              <w:ind w:left="709" w:hanging="709"/>
              <w:jc w:val="both"/>
              <w:rPr>
                <w:rFonts w:cs="Times New Roman"/>
                <w:color w:val="auto"/>
              </w:rPr>
            </w:pPr>
            <w:r w:rsidRPr="00DE12A3">
              <w:rPr>
                <w:rFonts w:cs="Times New Roman"/>
                <w:color w:val="auto"/>
              </w:rPr>
              <w:t>Düzeltilmemiş miktar</w:t>
            </w:r>
          </w:p>
        </w:tc>
      </w:tr>
      <w:tr w:rsidR="00DE12A3" w:rsidRPr="00DE12A3" w14:paraId="7BFAB61A" w14:textId="77777777" w:rsidTr="0017089B">
        <w:trPr>
          <w:trHeight w:hRule="exact" w:val="382"/>
          <w:jc w:val="center"/>
        </w:trPr>
        <w:tc>
          <w:tcPr>
            <w:tcW w:w="1952" w:type="dxa"/>
            <w:shd w:val="clear" w:color="auto" w:fill="auto"/>
          </w:tcPr>
          <w:p w14:paraId="7C34EE9A" w14:textId="77777777" w:rsidR="00D4435E" w:rsidRPr="00DE12A3" w:rsidRDefault="00D4435E" w:rsidP="0017089B">
            <w:pPr>
              <w:pStyle w:val="Gvdemetni361"/>
              <w:shd w:val="clear" w:color="auto" w:fill="auto"/>
              <w:spacing w:before="120" w:after="120" w:line="240" w:lineRule="auto"/>
              <w:ind w:left="709" w:hanging="709"/>
              <w:rPr>
                <w:color w:val="auto"/>
                <w:sz w:val="24"/>
                <w:szCs w:val="24"/>
              </w:rPr>
            </w:pPr>
            <w:r w:rsidRPr="00DE12A3">
              <w:rPr>
                <w:rStyle w:val="Gvdemetni367pt0ptbolukbraklyor"/>
                <w:color w:val="auto"/>
                <w:sz w:val="24"/>
                <w:szCs w:val="24"/>
              </w:rPr>
              <w:t>vac</w:t>
            </w:r>
          </w:p>
        </w:tc>
        <w:tc>
          <w:tcPr>
            <w:tcW w:w="5350" w:type="dxa"/>
            <w:shd w:val="clear" w:color="auto" w:fill="auto"/>
          </w:tcPr>
          <w:p w14:paraId="15B2808F" w14:textId="77777777" w:rsidR="00D4435E" w:rsidRPr="00DE12A3" w:rsidRDefault="00D4435E" w:rsidP="0017089B">
            <w:pPr>
              <w:spacing w:before="120" w:after="120"/>
              <w:ind w:left="709" w:hanging="709"/>
              <w:jc w:val="both"/>
              <w:rPr>
                <w:rFonts w:cs="Times New Roman"/>
                <w:color w:val="auto"/>
              </w:rPr>
            </w:pPr>
            <w:r w:rsidRPr="00DE12A3">
              <w:rPr>
                <w:rFonts w:cs="Times New Roman"/>
                <w:color w:val="auto"/>
              </w:rPr>
              <w:t>Vakum miktarı</w:t>
            </w:r>
          </w:p>
        </w:tc>
      </w:tr>
      <w:tr w:rsidR="00DE12A3" w:rsidRPr="00DE12A3" w14:paraId="4752C26F" w14:textId="77777777" w:rsidTr="0017089B">
        <w:trPr>
          <w:trHeight w:hRule="exact" w:val="382"/>
          <w:jc w:val="center"/>
        </w:trPr>
        <w:tc>
          <w:tcPr>
            <w:tcW w:w="1952" w:type="dxa"/>
            <w:shd w:val="clear" w:color="auto" w:fill="auto"/>
          </w:tcPr>
          <w:p w14:paraId="5C290093" w14:textId="77777777" w:rsidR="00D4435E" w:rsidRPr="00DE12A3" w:rsidRDefault="00D4435E" w:rsidP="0017089B">
            <w:pPr>
              <w:pStyle w:val="Gvdemetni361"/>
              <w:shd w:val="clear" w:color="auto" w:fill="auto"/>
              <w:spacing w:before="120" w:after="120" w:line="240" w:lineRule="auto"/>
              <w:ind w:left="709" w:hanging="709"/>
              <w:rPr>
                <w:color w:val="auto"/>
                <w:sz w:val="24"/>
                <w:szCs w:val="24"/>
              </w:rPr>
            </w:pPr>
            <w:r w:rsidRPr="00DE12A3">
              <w:rPr>
                <w:rStyle w:val="Gvdemetni367pt0ptbolukbraklyor"/>
                <w:color w:val="auto"/>
                <w:sz w:val="24"/>
                <w:szCs w:val="24"/>
              </w:rPr>
              <w:t>weight</w:t>
            </w:r>
          </w:p>
        </w:tc>
        <w:tc>
          <w:tcPr>
            <w:tcW w:w="5350" w:type="dxa"/>
            <w:shd w:val="clear" w:color="auto" w:fill="auto"/>
          </w:tcPr>
          <w:p w14:paraId="2C07EE6E" w14:textId="77777777" w:rsidR="00D4435E" w:rsidRPr="00DE12A3" w:rsidRDefault="00D4435E" w:rsidP="0017089B">
            <w:pPr>
              <w:spacing w:before="120" w:after="120"/>
              <w:ind w:left="709" w:hanging="709"/>
              <w:jc w:val="both"/>
              <w:rPr>
                <w:rFonts w:cs="Times New Roman"/>
                <w:color w:val="auto"/>
              </w:rPr>
            </w:pPr>
            <w:r w:rsidRPr="00DE12A3">
              <w:rPr>
                <w:rFonts w:cs="Times New Roman"/>
                <w:color w:val="auto"/>
              </w:rPr>
              <w:t>Kalibrasyon ağırlığı</w:t>
            </w:r>
          </w:p>
        </w:tc>
      </w:tr>
      <w:tr w:rsidR="00DE12A3" w:rsidRPr="00DE12A3" w14:paraId="63B73542" w14:textId="77777777" w:rsidTr="0017089B">
        <w:trPr>
          <w:trHeight w:hRule="exact" w:val="386"/>
          <w:jc w:val="center"/>
        </w:trPr>
        <w:tc>
          <w:tcPr>
            <w:tcW w:w="1952" w:type="dxa"/>
            <w:shd w:val="clear" w:color="auto" w:fill="auto"/>
          </w:tcPr>
          <w:p w14:paraId="4CF9F94F" w14:textId="77777777" w:rsidR="00D4435E" w:rsidRPr="00DE12A3" w:rsidRDefault="00D4435E" w:rsidP="0017089B">
            <w:pPr>
              <w:pStyle w:val="Gvdemetni361"/>
              <w:shd w:val="clear" w:color="auto" w:fill="auto"/>
              <w:spacing w:before="120" w:after="120" w:line="240" w:lineRule="auto"/>
              <w:ind w:left="709" w:hanging="709"/>
              <w:rPr>
                <w:color w:val="auto"/>
                <w:sz w:val="24"/>
                <w:szCs w:val="24"/>
              </w:rPr>
            </w:pPr>
            <w:r w:rsidRPr="00DE12A3">
              <w:rPr>
                <w:rStyle w:val="Gvdemetni367pt0ptbolukbraklyor"/>
                <w:color w:val="auto"/>
                <w:sz w:val="24"/>
                <w:szCs w:val="24"/>
              </w:rPr>
              <w:t>wet</w:t>
            </w:r>
          </w:p>
        </w:tc>
        <w:tc>
          <w:tcPr>
            <w:tcW w:w="5350" w:type="dxa"/>
            <w:shd w:val="clear" w:color="auto" w:fill="auto"/>
          </w:tcPr>
          <w:p w14:paraId="2CDE3580" w14:textId="77777777" w:rsidR="00D4435E" w:rsidRPr="00DE12A3" w:rsidRDefault="00D4435E" w:rsidP="0017089B">
            <w:pPr>
              <w:spacing w:before="120" w:after="120"/>
              <w:ind w:left="709" w:hanging="709"/>
              <w:jc w:val="both"/>
              <w:rPr>
                <w:rFonts w:cs="Times New Roman"/>
                <w:color w:val="auto"/>
              </w:rPr>
            </w:pPr>
            <w:r w:rsidRPr="00DE12A3">
              <w:rPr>
                <w:rFonts w:cs="Times New Roman"/>
                <w:color w:val="auto"/>
              </w:rPr>
              <w:t>Yaş miktar</w:t>
            </w:r>
          </w:p>
        </w:tc>
      </w:tr>
      <w:tr w:rsidR="00D4435E" w:rsidRPr="00DE12A3" w14:paraId="0CDEABF6" w14:textId="77777777" w:rsidTr="0017089B">
        <w:trPr>
          <w:trHeight w:hRule="exact" w:val="392"/>
          <w:jc w:val="center"/>
        </w:trPr>
        <w:tc>
          <w:tcPr>
            <w:tcW w:w="1952" w:type="dxa"/>
            <w:shd w:val="clear" w:color="auto" w:fill="auto"/>
          </w:tcPr>
          <w:p w14:paraId="068302F1" w14:textId="77777777" w:rsidR="00D4435E" w:rsidRPr="00DE12A3" w:rsidRDefault="00D4435E" w:rsidP="0017089B">
            <w:pPr>
              <w:pStyle w:val="Gvdemetni361"/>
              <w:shd w:val="clear" w:color="auto" w:fill="auto"/>
              <w:spacing w:before="120" w:after="120" w:line="240" w:lineRule="auto"/>
              <w:ind w:left="709" w:hanging="709"/>
              <w:rPr>
                <w:color w:val="auto"/>
                <w:sz w:val="24"/>
                <w:szCs w:val="24"/>
              </w:rPr>
            </w:pPr>
            <w:r w:rsidRPr="00DE12A3">
              <w:rPr>
                <w:rStyle w:val="Gvdemetni367pt0ptbolukbraklyor"/>
                <w:color w:val="auto"/>
                <w:sz w:val="24"/>
                <w:szCs w:val="24"/>
              </w:rPr>
              <w:t>zero</w:t>
            </w:r>
          </w:p>
        </w:tc>
        <w:tc>
          <w:tcPr>
            <w:tcW w:w="5350" w:type="dxa"/>
            <w:shd w:val="clear" w:color="auto" w:fill="auto"/>
          </w:tcPr>
          <w:p w14:paraId="6B14827B" w14:textId="77777777" w:rsidR="00D4435E" w:rsidRPr="00DE12A3" w:rsidRDefault="00D4435E" w:rsidP="0017089B">
            <w:pPr>
              <w:spacing w:before="120" w:after="120"/>
              <w:ind w:left="709" w:hanging="709"/>
              <w:jc w:val="both"/>
              <w:rPr>
                <w:rFonts w:cs="Times New Roman"/>
                <w:color w:val="auto"/>
              </w:rPr>
            </w:pPr>
            <w:r w:rsidRPr="00DE12A3">
              <w:rPr>
                <w:rFonts w:cs="Times New Roman"/>
                <w:color w:val="auto"/>
              </w:rPr>
              <w:t>Sıfır miktarı</w:t>
            </w:r>
          </w:p>
        </w:tc>
      </w:tr>
    </w:tbl>
    <w:p w14:paraId="5577B8D5" w14:textId="77777777" w:rsidR="008A25C6" w:rsidRPr="00DE12A3" w:rsidRDefault="008A25C6" w:rsidP="00C917D6">
      <w:pPr>
        <w:spacing w:before="120" w:after="120"/>
        <w:ind w:left="709" w:hanging="709"/>
        <w:jc w:val="both"/>
        <w:rPr>
          <w:rFonts w:cs="Times New Roman"/>
          <w:color w:val="auto"/>
          <w:sz w:val="18"/>
          <w:szCs w:val="18"/>
        </w:rPr>
      </w:pPr>
    </w:p>
    <w:p w14:paraId="791A075C" w14:textId="77777777" w:rsidR="002D7B36" w:rsidRPr="00DE12A3" w:rsidRDefault="00301668" w:rsidP="00E20716">
      <w:pPr>
        <w:pStyle w:val="ListeParagraf"/>
        <w:numPr>
          <w:ilvl w:val="1"/>
          <w:numId w:val="420"/>
        </w:numPr>
        <w:spacing w:before="120" w:after="120"/>
        <w:ind w:left="1134" w:hanging="1134"/>
        <w:jc w:val="both"/>
        <w:rPr>
          <w:rFonts w:cs="Times New Roman"/>
          <w:color w:val="auto"/>
        </w:rPr>
      </w:pPr>
      <w:r w:rsidRPr="00DE12A3">
        <w:rPr>
          <w:rFonts w:cs="Times New Roman"/>
          <w:color w:val="auto"/>
        </w:rPr>
        <w:t xml:space="preserve">        </w:t>
      </w:r>
      <w:r w:rsidR="00242DA0" w:rsidRPr="00DE12A3">
        <w:rPr>
          <w:rFonts w:cs="Times New Roman"/>
          <w:color w:val="auto"/>
        </w:rPr>
        <w:t>Kimyasal dengeye ilişkin semboller</w:t>
      </w:r>
    </w:p>
    <w:p w14:paraId="7699494F" w14:textId="77777777" w:rsidR="002D7B36" w:rsidRPr="00DE12A3" w:rsidRDefault="00242DA0" w:rsidP="00C917D6">
      <w:pPr>
        <w:pStyle w:val="Gvdemetni251"/>
        <w:shd w:val="clear" w:color="auto" w:fill="auto"/>
        <w:spacing w:before="120" w:after="120" w:line="240" w:lineRule="auto"/>
        <w:ind w:left="1134" w:firstLine="0"/>
        <w:rPr>
          <w:color w:val="auto"/>
          <w:sz w:val="24"/>
          <w:szCs w:val="24"/>
        </w:rPr>
      </w:pPr>
      <w:r w:rsidRPr="00DE12A3">
        <w:rPr>
          <w:i/>
          <w:color w:val="auto"/>
          <w:sz w:val="24"/>
          <w:szCs w:val="24"/>
        </w:rPr>
        <w:t>x</w:t>
      </w:r>
      <w:r w:rsidRPr="00DE12A3">
        <w:rPr>
          <w:color w:val="auto"/>
          <w:sz w:val="24"/>
          <w:szCs w:val="24"/>
          <w:vertAlign w:val="subscript"/>
        </w:rPr>
        <w:t xml:space="preserve">xdil/exh </w:t>
      </w:r>
      <w:r w:rsidRPr="00DE12A3">
        <w:rPr>
          <w:color w:val="auto"/>
          <w:sz w:val="24"/>
          <w:szCs w:val="24"/>
        </w:rPr>
        <w:t>= mol egzoz gazı başına seyreltme gazı veya fazla gaz miktarı</w:t>
      </w:r>
    </w:p>
    <w:p w14:paraId="719E4353" w14:textId="77777777" w:rsidR="002D7B36" w:rsidRPr="00DE12A3" w:rsidRDefault="00242DA0" w:rsidP="00C917D6">
      <w:pPr>
        <w:pStyle w:val="Gvdemetni251"/>
        <w:shd w:val="clear" w:color="auto" w:fill="auto"/>
        <w:spacing w:before="120" w:after="120" w:line="240" w:lineRule="auto"/>
        <w:ind w:left="1134" w:firstLine="0"/>
        <w:rPr>
          <w:color w:val="auto"/>
          <w:sz w:val="24"/>
          <w:szCs w:val="24"/>
        </w:rPr>
      </w:pPr>
      <w:r w:rsidRPr="00DE12A3">
        <w:rPr>
          <w:i/>
          <w:color w:val="auto"/>
          <w:sz w:val="24"/>
          <w:szCs w:val="24"/>
        </w:rPr>
        <w:t>x</w:t>
      </w:r>
      <w:r w:rsidRPr="00DE12A3">
        <w:rPr>
          <w:color w:val="auto"/>
          <w:sz w:val="24"/>
          <w:szCs w:val="24"/>
          <w:vertAlign w:val="subscript"/>
        </w:rPr>
        <w:t>H2Oexh</w:t>
      </w:r>
      <w:r w:rsidRPr="00DE12A3">
        <w:rPr>
          <w:color w:val="auto"/>
          <w:sz w:val="24"/>
          <w:szCs w:val="24"/>
        </w:rPr>
        <w:t xml:space="preserve"> = mol egzoz gazı başına egzoz içindeki su miktarı</w:t>
      </w:r>
    </w:p>
    <w:p w14:paraId="5F89A915" w14:textId="77777777" w:rsidR="002D7B36" w:rsidRPr="00DE12A3" w:rsidRDefault="00242DA0" w:rsidP="00C917D6">
      <w:pPr>
        <w:pStyle w:val="Gvdemetni251"/>
        <w:shd w:val="clear" w:color="auto" w:fill="auto"/>
        <w:spacing w:before="120" w:after="120" w:line="240" w:lineRule="auto"/>
        <w:ind w:left="1134" w:firstLine="0"/>
        <w:rPr>
          <w:color w:val="auto"/>
          <w:sz w:val="24"/>
          <w:szCs w:val="24"/>
        </w:rPr>
      </w:pPr>
      <w:r w:rsidRPr="00DE12A3">
        <w:rPr>
          <w:i/>
          <w:color w:val="auto"/>
          <w:sz w:val="24"/>
          <w:szCs w:val="24"/>
        </w:rPr>
        <w:t>x</w:t>
      </w:r>
      <w:r w:rsidRPr="00DE12A3">
        <w:rPr>
          <w:color w:val="auto"/>
          <w:sz w:val="24"/>
          <w:szCs w:val="24"/>
          <w:vertAlign w:val="subscript"/>
        </w:rPr>
        <w:t>Ccombdry</w:t>
      </w:r>
      <w:r w:rsidRPr="00DE12A3">
        <w:rPr>
          <w:color w:val="auto"/>
          <w:sz w:val="24"/>
          <w:szCs w:val="24"/>
        </w:rPr>
        <w:t xml:space="preserve"> = mol kuru egzoz gazı başına egzoz içindeki yakıttan gelen karbon miktarı</w:t>
      </w:r>
    </w:p>
    <w:p w14:paraId="3F28740E" w14:textId="77777777" w:rsidR="002D7B36" w:rsidRPr="00DE12A3" w:rsidRDefault="00242DA0" w:rsidP="00C917D6">
      <w:pPr>
        <w:pStyle w:val="Gvdemetni251"/>
        <w:shd w:val="clear" w:color="auto" w:fill="auto"/>
        <w:spacing w:before="120" w:after="120" w:line="240" w:lineRule="auto"/>
        <w:ind w:left="1134" w:firstLine="0"/>
        <w:rPr>
          <w:color w:val="auto"/>
          <w:sz w:val="24"/>
          <w:szCs w:val="24"/>
        </w:rPr>
      </w:pPr>
      <w:r w:rsidRPr="00DE12A3">
        <w:rPr>
          <w:i/>
          <w:color w:val="auto"/>
          <w:sz w:val="24"/>
          <w:szCs w:val="24"/>
        </w:rPr>
        <w:t>x</w:t>
      </w:r>
      <w:r w:rsidRPr="00DE12A3">
        <w:rPr>
          <w:color w:val="auto"/>
          <w:sz w:val="24"/>
          <w:szCs w:val="24"/>
          <w:vertAlign w:val="subscript"/>
        </w:rPr>
        <w:t>H2Oexhdry</w:t>
      </w:r>
      <w:r w:rsidRPr="00DE12A3">
        <w:rPr>
          <w:color w:val="auto"/>
          <w:sz w:val="24"/>
          <w:szCs w:val="24"/>
        </w:rPr>
        <w:t xml:space="preserve"> = mol kuru egzoz gazı başına egzoz içindeki su miktarı</w:t>
      </w:r>
    </w:p>
    <w:p w14:paraId="0DF9065F" w14:textId="77777777" w:rsidR="002D7B36" w:rsidRPr="00DE12A3" w:rsidRDefault="00242DA0" w:rsidP="00C917D6">
      <w:pPr>
        <w:pStyle w:val="Gvdemetni251"/>
        <w:shd w:val="clear" w:color="auto" w:fill="auto"/>
        <w:spacing w:before="120" w:after="120" w:line="240" w:lineRule="auto"/>
        <w:ind w:left="1134" w:firstLine="0"/>
        <w:rPr>
          <w:color w:val="auto"/>
          <w:sz w:val="24"/>
          <w:szCs w:val="24"/>
        </w:rPr>
      </w:pPr>
      <w:r w:rsidRPr="00DE12A3">
        <w:rPr>
          <w:i/>
          <w:iCs/>
          <w:color w:val="auto"/>
          <w:sz w:val="24"/>
          <w:szCs w:val="24"/>
        </w:rPr>
        <w:t>x</w:t>
      </w:r>
      <w:r w:rsidRPr="00DE12A3">
        <w:rPr>
          <w:color w:val="auto"/>
          <w:sz w:val="24"/>
          <w:szCs w:val="24"/>
          <w:vertAlign w:val="subscript"/>
        </w:rPr>
        <w:t xml:space="preserve">prod/intdry </w:t>
      </w:r>
      <w:r w:rsidRPr="00DE12A3">
        <w:rPr>
          <w:color w:val="auto"/>
          <w:sz w:val="24"/>
          <w:szCs w:val="24"/>
        </w:rPr>
        <w:t>= mol kuru emme havası başına kuru stokiyometrik ürün miktarı</w:t>
      </w:r>
    </w:p>
    <w:p w14:paraId="2576105A" w14:textId="77777777" w:rsidR="002D7B36" w:rsidRPr="00DE12A3" w:rsidRDefault="00242DA0" w:rsidP="00C917D6">
      <w:pPr>
        <w:pStyle w:val="Gvdemetni251"/>
        <w:shd w:val="clear" w:color="auto" w:fill="auto"/>
        <w:spacing w:before="120" w:after="120" w:line="240" w:lineRule="auto"/>
        <w:ind w:left="1134" w:firstLine="0"/>
        <w:rPr>
          <w:color w:val="auto"/>
          <w:sz w:val="24"/>
          <w:szCs w:val="24"/>
        </w:rPr>
      </w:pPr>
      <w:r w:rsidRPr="00DE12A3">
        <w:rPr>
          <w:i/>
          <w:color w:val="auto"/>
          <w:sz w:val="24"/>
          <w:szCs w:val="24"/>
        </w:rPr>
        <w:t>x</w:t>
      </w:r>
      <w:r w:rsidRPr="00DE12A3">
        <w:rPr>
          <w:color w:val="auto"/>
          <w:sz w:val="24"/>
          <w:szCs w:val="24"/>
          <w:vertAlign w:val="subscript"/>
        </w:rPr>
        <w:t>dil/exhdry</w:t>
      </w:r>
      <w:r w:rsidRPr="00DE12A3">
        <w:rPr>
          <w:color w:val="auto"/>
          <w:sz w:val="24"/>
          <w:szCs w:val="24"/>
        </w:rPr>
        <w:t xml:space="preserve"> = mol kuru egzoz gazı başına seyreltme gazı ve/veya fazla hava miktarı</w:t>
      </w:r>
    </w:p>
    <w:p w14:paraId="3D5E1C1F" w14:textId="77777777" w:rsidR="002D7B36" w:rsidRPr="00DE12A3" w:rsidRDefault="00242DA0" w:rsidP="00C917D6">
      <w:pPr>
        <w:pStyle w:val="Gvdemetni251"/>
        <w:shd w:val="clear" w:color="auto" w:fill="auto"/>
        <w:spacing w:before="120" w:after="120" w:line="240" w:lineRule="auto"/>
        <w:ind w:left="1134" w:firstLine="0"/>
        <w:rPr>
          <w:color w:val="auto"/>
          <w:sz w:val="24"/>
          <w:szCs w:val="24"/>
        </w:rPr>
      </w:pPr>
      <w:r w:rsidRPr="00DE12A3">
        <w:rPr>
          <w:i/>
          <w:iCs/>
          <w:color w:val="auto"/>
          <w:sz w:val="24"/>
          <w:szCs w:val="24"/>
        </w:rPr>
        <w:t>x</w:t>
      </w:r>
      <w:r w:rsidRPr="00DE12A3">
        <w:rPr>
          <w:color w:val="auto"/>
          <w:sz w:val="24"/>
          <w:szCs w:val="24"/>
          <w:vertAlign w:val="subscript"/>
        </w:rPr>
        <w:t>int/exhdry</w:t>
      </w:r>
      <w:r w:rsidRPr="00DE12A3">
        <w:rPr>
          <w:color w:val="auto"/>
          <w:sz w:val="24"/>
          <w:szCs w:val="24"/>
        </w:rPr>
        <w:t xml:space="preserve"> = mol kuru (ham veya seyreltilmiş) egzoz gazı başına gerçek yanma ürünleri üretmek için gereken emme havası miktarı</w:t>
      </w:r>
    </w:p>
    <w:p w14:paraId="5E69996B" w14:textId="77777777" w:rsidR="002D7B36" w:rsidRPr="00DE12A3" w:rsidRDefault="00242DA0" w:rsidP="00C917D6">
      <w:pPr>
        <w:pStyle w:val="Gvdemetni251"/>
        <w:shd w:val="clear" w:color="auto" w:fill="auto"/>
        <w:spacing w:before="120" w:after="120" w:line="240" w:lineRule="auto"/>
        <w:ind w:left="1134" w:firstLine="0"/>
        <w:rPr>
          <w:color w:val="auto"/>
          <w:sz w:val="24"/>
          <w:szCs w:val="24"/>
        </w:rPr>
      </w:pPr>
      <w:r w:rsidRPr="00DE12A3">
        <w:rPr>
          <w:i/>
          <w:iCs/>
          <w:color w:val="auto"/>
          <w:sz w:val="24"/>
          <w:szCs w:val="24"/>
        </w:rPr>
        <w:t>x</w:t>
      </w:r>
      <w:r w:rsidRPr="00DE12A3">
        <w:rPr>
          <w:color w:val="auto"/>
          <w:sz w:val="24"/>
          <w:szCs w:val="24"/>
          <w:vertAlign w:val="subscript"/>
        </w:rPr>
        <w:t>raw/exhdry</w:t>
      </w:r>
      <w:r w:rsidRPr="00DE12A3">
        <w:rPr>
          <w:color w:val="auto"/>
          <w:sz w:val="24"/>
          <w:szCs w:val="24"/>
        </w:rPr>
        <w:t xml:space="preserve"> = mol kuru (ham veya seyreltilmiş) egzoz gazı başına, fazla hava olmayan, seyreltilmemiş egzoz gazı miktarı</w:t>
      </w:r>
    </w:p>
    <w:p w14:paraId="142F74A4" w14:textId="77777777" w:rsidR="002D7B36" w:rsidRPr="00DE12A3" w:rsidRDefault="00242DA0" w:rsidP="00C917D6">
      <w:pPr>
        <w:pStyle w:val="Gvdemetni251"/>
        <w:shd w:val="clear" w:color="auto" w:fill="auto"/>
        <w:spacing w:before="120" w:after="120" w:line="240" w:lineRule="auto"/>
        <w:ind w:left="1134" w:firstLine="0"/>
        <w:rPr>
          <w:color w:val="auto"/>
          <w:sz w:val="24"/>
          <w:szCs w:val="24"/>
        </w:rPr>
      </w:pPr>
      <w:r w:rsidRPr="00DE12A3">
        <w:rPr>
          <w:i/>
          <w:color w:val="auto"/>
          <w:sz w:val="24"/>
          <w:szCs w:val="24"/>
        </w:rPr>
        <w:t>x</w:t>
      </w:r>
      <w:r w:rsidRPr="00DE12A3">
        <w:rPr>
          <w:color w:val="auto"/>
          <w:sz w:val="24"/>
          <w:szCs w:val="24"/>
          <w:vertAlign w:val="subscript"/>
        </w:rPr>
        <w:t>O2intdry</w:t>
      </w:r>
      <w:r w:rsidRPr="00DE12A3">
        <w:rPr>
          <w:color w:val="auto"/>
          <w:sz w:val="24"/>
          <w:szCs w:val="24"/>
        </w:rPr>
        <w:t xml:space="preserve"> = mol kuru emme havası başına emme havası O2 miktarı</w:t>
      </w:r>
    </w:p>
    <w:p w14:paraId="7B9A7817" w14:textId="77777777" w:rsidR="002D7B36" w:rsidRPr="00DE12A3" w:rsidRDefault="00242DA0" w:rsidP="00C917D6">
      <w:pPr>
        <w:pStyle w:val="Gvdemetni251"/>
        <w:shd w:val="clear" w:color="auto" w:fill="auto"/>
        <w:spacing w:before="120" w:after="120" w:line="240" w:lineRule="auto"/>
        <w:ind w:left="1134" w:firstLine="0"/>
        <w:rPr>
          <w:color w:val="auto"/>
          <w:sz w:val="24"/>
          <w:szCs w:val="24"/>
        </w:rPr>
      </w:pPr>
      <w:r w:rsidRPr="00DE12A3">
        <w:rPr>
          <w:i/>
          <w:color w:val="auto"/>
          <w:sz w:val="24"/>
          <w:szCs w:val="24"/>
        </w:rPr>
        <w:t>x</w:t>
      </w:r>
      <w:r w:rsidRPr="00DE12A3">
        <w:rPr>
          <w:color w:val="auto"/>
          <w:sz w:val="24"/>
          <w:szCs w:val="24"/>
          <w:vertAlign w:val="subscript"/>
        </w:rPr>
        <w:t>CO2intdry</w:t>
      </w:r>
      <w:r w:rsidRPr="00DE12A3">
        <w:rPr>
          <w:color w:val="auto"/>
          <w:sz w:val="24"/>
          <w:szCs w:val="24"/>
        </w:rPr>
        <w:t xml:space="preserve"> = mol kuru emme havası başına emme havası CO2 miktarı</w:t>
      </w:r>
    </w:p>
    <w:p w14:paraId="6FFDF341" w14:textId="77777777" w:rsidR="002D7B36" w:rsidRPr="00DE12A3" w:rsidRDefault="00242DA0" w:rsidP="00C917D6">
      <w:pPr>
        <w:pStyle w:val="Gvdemetni251"/>
        <w:tabs>
          <w:tab w:val="center" w:pos="3198"/>
          <w:tab w:val="left" w:pos="3674"/>
        </w:tabs>
        <w:spacing w:before="120" w:after="120" w:line="240" w:lineRule="auto"/>
        <w:ind w:left="1134" w:firstLine="0"/>
        <w:rPr>
          <w:rStyle w:val="Gvdemetni3"/>
          <w:color w:val="auto"/>
          <w:sz w:val="24"/>
          <w:szCs w:val="24"/>
        </w:rPr>
      </w:pPr>
      <w:r w:rsidRPr="00DE12A3">
        <w:rPr>
          <w:rStyle w:val="Gvdemetni140ptbolukbraklyor"/>
          <w:rFonts w:eastAsia="Constantia"/>
          <w:i/>
          <w:iCs/>
          <w:color w:val="auto"/>
          <w:sz w:val="24"/>
          <w:szCs w:val="24"/>
          <w:u w:val="none"/>
        </w:rPr>
        <w:t>x</w:t>
      </w:r>
      <w:r w:rsidRPr="00DE12A3">
        <w:rPr>
          <w:rStyle w:val="Gvdemetni140ptbolukbraklyor"/>
          <w:rFonts w:eastAsia="Constantia"/>
          <w:color w:val="auto"/>
          <w:sz w:val="24"/>
          <w:szCs w:val="24"/>
          <w:u w:val="none"/>
          <w:vertAlign w:val="subscript"/>
        </w:rPr>
        <w:t>H2Ointdry</w:t>
      </w:r>
      <w:r w:rsidRPr="00DE12A3">
        <w:rPr>
          <w:rStyle w:val="Gvdemetni140ptbolukbraklyor"/>
          <w:rFonts w:eastAsia="Constantia"/>
          <w:color w:val="auto"/>
          <w:sz w:val="24"/>
          <w:szCs w:val="24"/>
          <w:u w:val="none"/>
        </w:rPr>
        <w:t xml:space="preserve"> = mol kuru emme havası başına emme havası H</w:t>
      </w:r>
      <w:r w:rsidRPr="00DE12A3">
        <w:rPr>
          <w:rStyle w:val="Gvdemetni140ptbolukbraklyor"/>
          <w:rFonts w:eastAsia="Constantia"/>
          <w:color w:val="auto"/>
          <w:sz w:val="24"/>
          <w:szCs w:val="24"/>
          <w:u w:val="none"/>
          <w:vertAlign w:val="subscript"/>
        </w:rPr>
        <w:t>2</w:t>
      </w:r>
      <w:r w:rsidRPr="00DE12A3">
        <w:rPr>
          <w:rStyle w:val="Gvdemetni140ptbolukbraklyor"/>
          <w:rFonts w:eastAsia="Constantia"/>
          <w:color w:val="auto"/>
          <w:sz w:val="24"/>
          <w:szCs w:val="24"/>
          <w:u w:val="none"/>
        </w:rPr>
        <w:t>O miktarı</w:t>
      </w:r>
    </w:p>
    <w:p w14:paraId="7C69E9D7" w14:textId="77777777" w:rsidR="002D7B36" w:rsidRPr="00DE12A3" w:rsidRDefault="00242DA0" w:rsidP="00C917D6">
      <w:pPr>
        <w:pStyle w:val="Gvdemetni251"/>
        <w:tabs>
          <w:tab w:val="center" w:pos="3198"/>
          <w:tab w:val="left" w:pos="3674"/>
        </w:tabs>
        <w:spacing w:before="120" w:after="120" w:line="240" w:lineRule="auto"/>
        <w:ind w:left="1134" w:firstLine="0"/>
        <w:rPr>
          <w:color w:val="auto"/>
          <w:sz w:val="24"/>
          <w:szCs w:val="24"/>
        </w:rPr>
      </w:pPr>
      <w:r w:rsidRPr="00DE12A3">
        <w:rPr>
          <w:i/>
          <w:iCs/>
          <w:color w:val="auto"/>
          <w:sz w:val="24"/>
          <w:szCs w:val="24"/>
        </w:rPr>
        <w:t>x</w:t>
      </w:r>
      <w:r w:rsidRPr="00DE12A3">
        <w:rPr>
          <w:color w:val="auto"/>
          <w:sz w:val="24"/>
          <w:szCs w:val="24"/>
          <w:vertAlign w:val="subscript"/>
        </w:rPr>
        <w:t>CO2int</w:t>
      </w:r>
      <w:r w:rsidRPr="00DE12A3">
        <w:rPr>
          <w:color w:val="auto"/>
          <w:sz w:val="24"/>
          <w:szCs w:val="24"/>
        </w:rPr>
        <w:t xml:space="preserve"> = </w:t>
      </w:r>
      <w:r w:rsidRPr="00DE12A3">
        <w:rPr>
          <w:rStyle w:val="Gvdemetni140ptbolukbraklyor"/>
          <w:rFonts w:eastAsia="Constantia"/>
          <w:color w:val="auto"/>
          <w:sz w:val="24"/>
          <w:szCs w:val="24"/>
          <w:u w:val="none"/>
        </w:rPr>
        <w:t>mol emme havası başına emme havası CO</w:t>
      </w:r>
      <w:r w:rsidRPr="00DE12A3">
        <w:rPr>
          <w:rStyle w:val="Gvdemetni140ptbolukbraklyor"/>
          <w:rFonts w:eastAsia="Constantia"/>
          <w:color w:val="auto"/>
          <w:sz w:val="24"/>
          <w:szCs w:val="24"/>
          <w:u w:val="none"/>
          <w:vertAlign w:val="subscript"/>
        </w:rPr>
        <w:t>2</w:t>
      </w:r>
      <w:r w:rsidRPr="00DE12A3">
        <w:rPr>
          <w:rStyle w:val="Gvdemetni140ptbolukbraklyor"/>
          <w:rFonts w:eastAsia="Constantia"/>
          <w:color w:val="auto"/>
          <w:sz w:val="24"/>
          <w:szCs w:val="24"/>
          <w:u w:val="none"/>
        </w:rPr>
        <w:t xml:space="preserve"> miktarı</w:t>
      </w:r>
    </w:p>
    <w:p w14:paraId="063CC63C" w14:textId="77777777" w:rsidR="002D7B36" w:rsidRPr="00DE12A3" w:rsidRDefault="00242DA0" w:rsidP="00C917D6">
      <w:pPr>
        <w:pStyle w:val="Gvdemetni251"/>
        <w:spacing w:before="120" w:after="120" w:line="240" w:lineRule="auto"/>
        <w:ind w:left="1134" w:firstLine="0"/>
        <w:rPr>
          <w:color w:val="auto"/>
          <w:sz w:val="24"/>
          <w:szCs w:val="24"/>
        </w:rPr>
      </w:pPr>
      <w:r w:rsidRPr="00DE12A3">
        <w:rPr>
          <w:i/>
          <w:iCs/>
          <w:color w:val="auto"/>
          <w:sz w:val="24"/>
          <w:szCs w:val="24"/>
        </w:rPr>
        <w:t>x</w:t>
      </w:r>
      <w:r w:rsidRPr="00DE12A3">
        <w:rPr>
          <w:color w:val="auto"/>
          <w:sz w:val="24"/>
          <w:szCs w:val="24"/>
          <w:vertAlign w:val="subscript"/>
        </w:rPr>
        <w:t>CO2dil</w:t>
      </w:r>
      <w:r w:rsidRPr="00DE12A3">
        <w:rPr>
          <w:color w:val="auto"/>
          <w:sz w:val="24"/>
          <w:szCs w:val="24"/>
        </w:rPr>
        <w:t xml:space="preserve"> = </w:t>
      </w:r>
      <w:r w:rsidRPr="00DE12A3">
        <w:rPr>
          <w:rStyle w:val="Gvdemetni140ptbolukbraklyor"/>
          <w:rFonts w:eastAsia="Constantia"/>
          <w:color w:val="auto"/>
          <w:sz w:val="24"/>
          <w:szCs w:val="24"/>
          <w:u w:val="none"/>
        </w:rPr>
        <w:t>mol seyreltme gazı başına seyreltme gazı CO</w:t>
      </w:r>
      <w:r w:rsidRPr="00DE12A3">
        <w:rPr>
          <w:rStyle w:val="Gvdemetni140ptbolukbraklyor"/>
          <w:rFonts w:eastAsia="Constantia"/>
          <w:color w:val="auto"/>
          <w:sz w:val="24"/>
          <w:szCs w:val="24"/>
          <w:u w:val="none"/>
          <w:vertAlign w:val="subscript"/>
        </w:rPr>
        <w:t>2</w:t>
      </w:r>
      <w:r w:rsidRPr="00DE12A3">
        <w:rPr>
          <w:rStyle w:val="Gvdemetni140ptbolukbraklyor"/>
          <w:rFonts w:eastAsia="Constantia"/>
          <w:color w:val="auto"/>
          <w:sz w:val="24"/>
          <w:szCs w:val="24"/>
          <w:u w:val="none"/>
        </w:rPr>
        <w:t xml:space="preserve"> miktarı</w:t>
      </w:r>
    </w:p>
    <w:p w14:paraId="648D9947" w14:textId="77777777" w:rsidR="002D7B36" w:rsidRPr="00DE12A3" w:rsidRDefault="00242DA0" w:rsidP="00C917D6">
      <w:pPr>
        <w:pStyle w:val="Gvdemetni251"/>
        <w:tabs>
          <w:tab w:val="center" w:pos="3198"/>
          <w:tab w:val="right" w:pos="3635"/>
          <w:tab w:val="left" w:pos="3674"/>
          <w:tab w:val="right" w:pos="5666"/>
        </w:tabs>
        <w:spacing w:before="120" w:after="120" w:line="240" w:lineRule="auto"/>
        <w:ind w:left="1134" w:firstLine="0"/>
        <w:rPr>
          <w:color w:val="auto"/>
          <w:sz w:val="24"/>
          <w:szCs w:val="24"/>
        </w:rPr>
      </w:pPr>
      <w:r w:rsidRPr="00DE12A3">
        <w:rPr>
          <w:i/>
          <w:color w:val="auto"/>
          <w:sz w:val="24"/>
          <w:szCs w:val="24"/>
        </w:rPr>
        <w:t>x</w:t>
      </w:r>
      <w:r w:rsidRPr="00DE12A3">
        <w:rPr>
          <w:color w:val="auto"/>
          <w:sz w:val="24"/>
          <w:szCs w:val="24"/>
          <w:vertAlign w:val="subscript"/>
        </w:rPr>
        <w:t>CO2dildry</w:t>
      </w:r>
      <w:r w:rsidRPr="00DE12A3">
        <w:rPr>
          <w:color w:val="auto"/>
          <w:sz w:val="24"/>
          <w:szCs w:val="24"/>
        </w:rPr>
        <w:t xml:space="preserve"> = mol kuru seyreltme gazı başına seyreltme gazı CO</w:t>
      </w:r>
      <w:r w:rsidRPr="00DE12A3">
        <w:rPr>
          <w:color w:val="auto"/>
          <w:sz w:val="24"/>
          <w:szCs w:val="24"/>
          <w:vertAlign w:val="subscript"/>
        </w:rPr>
        <w:t>2</w:t>
      </w:r>
      <w:r w:rsidRPr="00DE12A3">
        <w:rPr>
          <w:color w:val="auto"/>
          <w:sz w:val="24"/>
          <w:szCs w:val="24"/>
        </w:rPr>
        <w:t xml:space="preserve"> miktarı</w:t>
      </w:r>
    </w:p>
    <w:p w14:paraId="273E1C73" w14:textId="77777777" w:rsidR="002D7B36" w:rsidRPr="00DE12A3" w:rsidRDefault="00242DA0" w:rsidP="00C917D6">
      <w:pPr>
        <w:pStyle w:val="Gvdemetni251"/>
        <w:tabs>
          <w:tab w:val="center" w:pos="3198"/>
          <w:tab w:val="right" w:pos="3635"/>
          <w:tab w:val="left" w:pos="3674"/>
          <w:tab w:val="right" w:pos="5666"/>
        </w:tabs>
        <w:spacing w:before="120" w:after="120" w:line="240" w:lineRule="auto"/>
        <w:ind w:left="1134" w:firstLine="0"/>
        <w:rPr>
          <w:color w:val="auto"/>
          <w:sz w:val="24"/>
          <w:szCs w:val="24"/>
        </w:rPr>
      </w:pPr>
      <w:r w:rsidRPr="00DE12A3">
        <w:rPr>
          <w:i/>
          <w:color w:val="auto"/>
          <w:sz w:val="24"/>
          <w:szCs w:val="24"/>
        </w:rPr>
        <w:t>x</w:t>
      </w:r>
      <w:r w:rsidRPr="00DE12A3">
        <w:rPr>
          <w:color w:val="auto"/>
          <w:sz w:val="24"/>
          <w:szCs w:val="24"/>
          <w:vertAlign w:val="subscript"/>
        </w:rPr>
        <w:t>H2Odildry</w:t>
      </w:r>
      <w:r w:rsidRPr="00DE12A3">
        <w:rPr>
          <w:color w:val="auto"/>
          <w:sz w:val="24"/>
          <w:szCs w:val="24"/>
        </w:rPr>
        <w:t xml:space="preserve"> = mol kuru seyreltme gazı başına seyreltme gazı H</w:t>
      </w:r>
      <w:r w:rsidRPr="00DE12A3">
        <w:rPr>
          <w:color w:val="auto"/>
          <w:sz w:val="24"/>
          <w:szCs w:val="24"/>
          <w:vertAlign w:val="subscript"/>
        </w:rPr>
        <w:t>2</w:t>
      </w:r>
      <w:r w:rsidRPr="00DE12A3">
        <w:rPr>
          <w:color w:val="auto"/>
          <w:sz w:val="24"/>
          <w:szCs w:val="24"/>
        </w:rPr>
        <w:t>O miktarı</w:t>
      </w:r>
    </w:p>
    <w:p w14:paraId="14D63196" w14:textId="77777777" w:rsidR="002D7B36" w:rsidRPr="00DE12A3" w:rsidRDefault="00242DA0" w:rsidP="00C917D6">
      <w:pPr>
        <w:pStyle w:val="Gvdemetni251"/>
        <w:spacing w:before="120" w:after="120" w:line="240" w:lineRule="auto"/>
        <w:ind w:left="1134" w:firstLine="0"/>
        <w:rPr>
          <w:color w:val="auto"/>
          <w:sz w:val="24"/>
          <w:szCs w:val="24"/>
        </w:rPr>
      </w:pPr>
      <w:r w:rsidRPr="00DE12A3">
        <w:rPr>
          <w:i/>
          <w:color w:val="auto"/>
          <w:sz w:val="24"/>
          <w:szCs w:val="24"/>
        </w:rPr>
        <w:t>x</w:t>
      </w:r>
      <w:r w:rsidRPr="00DE12A3">
        <w:rPr>
          <w:color w:val="auto"/>
          <w:sz w:val="24"/>
          <w:szCs w:val="24"/>
          <w:vertAlign w:val="subscript"/>
        </w:rPr>
        <w:t>H2Odil</w:t>
      </w:r>
      <w:r w:rsidRPr="00DE12A3">
        <w:rPr>
          <w:color w:val="auto"/>
          <w:sz w:val="24"/>
          <w:szCs w:val="24"/>
        </w:rPr>
        <w:t xml:space="preserve"> = mol seyreltme gazı başına seyreltme gazı H</w:t>
      </w:r>
      <w:r w:rsidRPr="00DE12A3">
        <w:rPr>
          <w:color w:val="auto"/>
          <w:sz w:val="24"/>
          <w:szCs w:val="24"/>
          <w:vertAlign w:val="subscript"/>
        </w:rPr>
        <w:t>2</w:t>
      </w:r>
      <w:r w:rsidRPr="00DE12A3">
        <w:rPr>
          <w:color w:val="auto"/>
          <w:sz w:val="24"/>
          <w:szCs w:val="24"/>
        </w:rPr>
        <w:t>O miktarı</w:t>
      </w:r>
    </w:p>
    <w:p w14:paraId="7838F7BE" w14:textId="77777777" w:rsidR="002D7B36" w:rsidRPr="00DE12A3" w:rsidRDefault="00242DA0" w:rsidP="00C917D6">
      <w:pPr>
        <w:pStyle w:val="Gvdemetni251"/>
        <w:spacing w:before="120" w:after="120" w:line="240" w:lineRule="auto"/>
        <w:ind w:left="1134" w:firstLine="0"/>
        <w:rPr>
          <w:color w:val="auto"/>
          <w:sz w:val="24"/>
          <w:szCs w:val="24"/>
        </w:rPr>
      </w:pPr>
      <w:r w:rsidRPr="00DE12A3">
        <w:rPr>
          <w:rStyle w:val="Gvdemetni140ptbolukbraklyor"/>
          <w:rFonts w:eastAsia="Constantia"/>
          <w:i/>
          <w:color w:val="auto"/>
          <w:sz w:val="24"/>
          <w:szCs w:val="24"/>
          <w:u w:val="none"/>
        </w:rPr>
        <w:t>x</w:t>
      </w:r>
      <w:r w:rsidRPr="00DE12A3">
        <w:rPr>
          <w:rStyle w:val="Gvdemetni140ptbolukbraklyor"/>
          <w:rFonts w:eastAsia="Constantia"/>
          <w:color w:val="auto"/>
          <w:sz w:val="24"/>
          <w:szCs w:val="24"/>
          <w:u w:val="none"/>
          <w:vertAlign w:val="subscript"/>
        </w:rPr>
        <w:t>[emission]meas</w:t>
      </w:r>
      <w:r w:rsidRPr="00DE12A3">
        <w:rPr>
          <w:rStyle w:val="Gvdemetni140ptbolukbraklyor"/>
          <w:rFonts w:eastAsia="Constantia"/>
          <w:color w:val="auto"/>
          <w:sz w:val="24"/>
          <w:szCs w:val="24"/>
          <w:u w:val="none"/>
        </w:rPr>
        <w:t xml:space="preserve"> = ilgili gaz analiz cihazında numune içinde ölçülen emisyon miktarı</w:t>
      </w:r>
    </w:p>
    <w:p w14:paraId="3C853354" w14:textId="77777777" w:rsidR="002D7B36" w:rsidRPr="00DE12A3" w:rsidRDefault="00242DA0" w:rsidP="00C917D6">
      <w:pPr>
        <w:pStyle w:val="Gvdemetni251"/>
        <w:spacing w:before="120" w:after="120" w:line="240" w:lineRule="auto"/>
        <w:ind w:left="1134" w:firstLine="0"/>
        <w:rPr>
          <w:color w:val="auto"/>
          <w:sz w:val="24"/>
          <w:szCs w:val="24"/>
        </w:rPr>
      </w:pPr>
      <w:r w:rsidRPr="00DE12A3">
        <w:rPr>
          <w:i/>
          <w:iCs/>
          <w:color w:val="auto"/>
          <w:sz w:val="24"/>
          <w:szCs w:val="24"/>
        </w:rPr>
        <w:t>x</w:t>
      </w:r>
      <w:r w:rsidRPr="00DE12A3">
        <w:rPr>
          <w:color w:val="auto"/>
          <w:sz w:val="24"/>
          <w:szCs w:val="24"/>
          <w:vertAlign w:val="subscript"/>
        </w:rPr>
        <w:t>[emission]dry</w:t>
      </w:r>
      <w:r w:rsidRPr="00DE12A3">
        <w:rPr>
          <w:color w:val="auto"/>
          <w:sz w:val="24"/>
          <w:szCs w:val="24"/>
        </w:rPr>
        <w:t xml:space="preserve"> = mol kuru numune başına emisyon miktarı</w:t>
      </w:r>
    </w:p>
    <w:p w14:paraId="5D0EE85E" w14:textId="77777777" w:rsidR="002D7B36" w:rsidRPr="00DE12A3" w:rsidRDefault="00242DA0" w:rsidP="00C917D6">
      <w:pPr>
        <w:pStyle w:val="Gvdemetni251"/>
        <w:spacing w:before="120" w:after="120" w:line="240" w:lineRule="auto"/>
        <w:ind w:left="1134" w:firstLine="0"/>
        <w:rPr>
          <w:color w:val="auto"/>
          <w:sz w:val="24"/>
          <w:szCs w:val="24"/>
        </w:rPr>
      </w:pPr>
      <w:r w:rsidRPr="00DE12A3">
        <w:rPr>
          <w:i/>
          <w:color w:val="auto"/>
          <w:sz w:val="24"/>
          <w:szCs w:val="24"/>
        </w:rPr>
        <w:t>x</w:t>
      </w:r>
      <w:r w:rsidRPr="00DE12A3">
        <w:rPr>
          <w:color w:val="auto"/>
          <w:sz w:val="24"/>
          <w:szCs w:val="24"/>
          <w:vertAlign w:val="subscript"/>
        </w:rPr>
        <w:t>H2O[emission]meas</w:t>
      </w:r>
      <w:r w:rsidRPr="00DE12A3">
        <w:rPr>
          <w:color w:val="auto"/>
          <w:sz w:val="24"/>
          <w:szCs w:val="24"/>
        </w:rPr>
        <w:t xml:space="preserve"> = emisyon belirleme konumunda numune içindeki su miktarı</w:t>
      </w:r>
    </w:p>
    <w:p w14:paraId="1FF54999" w14:textId="77777777" w:rsidR="002D7B36" w:rsidRPr="00DE12A3" w:rsidRDefault="00242DA0" w:rsidP="00C917D6">
      <w:pPr>
        <w:pStyle w:val="Gvdemetni251"/>
        <w:spacing w:before="120" w:after="120" w:line="240" w:lineRule="auto"/>
        <w:ind w:left="1134" w:firstLine="0"/>
        <w:rPr>
          <w:color w:val="auto"/>
          <w:sz w:val="24"/>
          <w:szCs w:val="24"/>
        </w:rPr>
      </w:pPr>
      <w:r w:rsidRPr="00DE12A3">
        <w:rPr>
          <w:i/>
          <w:color w:val="auto"/>
          <w:sz w:val="24"/>
          <w:szCs w:val="24"/>
        </w:rPr>
        <w:t>x</w:t>
      </w:r>
      <w:r w:rsidRPr="00DE12A3">
        <w:rPr>
          <w:color w:val="auto"/>
          <w:sz w:val="24"/>
          <w:szCs w:val="24"/>
          <w:vertAlign w:val="subscript"/>
        </w:rPr>
        <w:t>H2Oint</w:t>
      </w:r>
      <w:r w:rsidRPr="00DE12A3">
        <w:rPr>
          <w:color w:val="auto"/>
          <w:sz w:val="24"/>
          <w:szCs w:val="24"/>
        </w:rPr>
        <w:t xml:space="preserve"> = </w:t>
      </w:r>
      <w:r w:rsidRPr="00DE12A3">
        <w:rPr>
          <w:rStyle w:val="Gvdemetni140ptbolukbraklyor"/>
          <w:rFonts w:eastAsia="Constantia"/>
          <w:color w:val="auto"/>
          <w:sz w:val="24"/>
          <w:szCs w:val="24"/>
          <w:u w:val="none"/>
        </w:rPr>
        <w:t>emme havasının bir nem ölçümüne bağlı olarak, emme havası içindeki su miktarı</w:t>
      </w:r>
    </w:p>
    <w:p w14:paraId="20153831" w14:textId="77777777" w:rsidR="002D7B36" w:rsidRPr="00DE12A3" w:rsidRDefault="00301668" w:rsidP="00E20716">
      <w:pPr>
        <w:pStyle w:val="Gvdemetni251"/>
        <w:numPr>
          <w:ilvl w:val="1"/>
          <w:numId w:val="420"/>
        </w:numPr>
        <w:spacing w:before="120" w:after="120" w:line="240" w:lineRule="auto"/>
        <w:ind w:left="1134" w:hanging="1134"/>
        <w:rPr>
          <w:color w:val="auto"/>
          <w:sz w:val="24"/>
          <w:szCs w:val="24"/>
        </w:rPr>
      </w:pPr>
      <w:r w:rsidRPr="00DE12A3">
        <w:rPr>
          <w:rStyle w:val="Gvdemetni140ptbolukbraklyor"/>
          <w:rFonts w:eastAsia="Constantia"/>
          <w:color w:val="auto"/>
          <w:sz w:val="24"/>
          <w:szCs w:val="24"/>
          <w:u w:val="none"/>
        </w:rPr>
        <w:t xml:space="preserve">      </w:t>
      </w:r>
      <w:r w:rsidR="00242DA0" w:rsidRPr="00DE12A3">
        <w:rPr>
          <w:rStyle w:val="Gvdemetni140ptbolukbraklyor"/>
          <w:rFonts w:eastAsia="Constantia"/>
          <w:color w:val="auto"/>
          <w:sz w:val="24"/>
          <w:szCs w:val="24"/>
          <w:u w:val="none"/>
        </w:rPr>
        <w:t>Temel parametreler ve ilişkiler</w:t>
      </w:r>
    </w:p>
    <w:p w14:paraId="69197FD2" w14:textId="77777777" w:rsidR="002D7B36" w:rsidRPr="00DE12A3" w:rsidRDefault="00301668" w:rsidP="00E20716">
      <w:pPr>
        <w:pStyle w:val="Gvdemetni251"/>
        <w:numPr>
          <w:ilvl w:val="2"/>
          <w:numId w:val="420"/>
        </w:numPr>
        <w:spacing w:before="120" w:after="120" w:line="240" w:lineRule="auto"/>
        <w:ind w:left="1134" w:hanging="1134"/>
        <w:rPr>
          <w:color w:val="auto"/>
          <w:sz w:val="24"/>
          <w:szCs w:val="24"/>
        </w:rPr>
      </w:pPr>
      <w:r w:rsidRPr="00DE12A3">
        <w:rPr>
          <w:rStyle w:val="Gvdemetni140ptbolukbraklyor"/>
          <w:rFonts w:eastAsia="Constantia"/>
          <w:color w:val="auto"/>
          <w:sz w:val="24"/>
          <w:szCs w:val="24"/>
          <w:u w:val="none"/>
        </w:rPr>
        <w:t xml:space="preserve">       </w:t>
      </w:r>
      <w:r w:rsidR="00242DA0" w:rsidRPr="00DE12A3">
        <w:rPr>
          <w:rStyle w:val="Gvdemetni140ptbolukbraklyor"/>
          <w:rFonts w:eastAsia="Constantia"/>
          <w:color w:val="auto"/>
          <w:sz w:val="24"/>
          <w:szCs w:val="24"/>
          <w:u w:val="none"/>
        </w:rPr>
        <w:t>Kuru hava ve kimyasal türler</w:t>
      </w:r>
    </w:p>
    <w:p w14:paraId="12499B32" w14:textId="2F3644B8" w:rsidR="002D7B36" w:rsidRPr="00DE12A3" w:rsidRDefault="00242DA0" w:rsidP="00C917D6">
      <w:pPr>
        <w:pStyle w:val="Gvdemetni251"/>
        <w:spacing w:before="120" w:after="120" w:line="240" w:lineRule="auto"/>
        <w:ind w:left="1134" w:firstLine="0"/>
        <w:rPr>
          <w:color w:val="auto"/>
          <w:sz w:val="24"/>
          <w:szCs w:val="24"/>
        </w:rPr>
      </w:pPr>
      <w:r w:rsidRPr="00DE12A3">
        <w:rPr>
          <w:color w:val="auto"/>
          <w:sz w:val="24"/>
          <w:szCs w:val="24"/>
        </w:rPr>
        <w:t xml:space="preserve">Bu </w:t>
      </w:r>
      <w:r w:rsidR="00CE15BA" w:rsidRPr="00DE12A3">
        <w:rPr>
          <w:color w:val="auto"/>
          <w:sz w:val="24"/>
          <w:szCs w:val="24"/>
        </w:rPr>
        <w:t xml:space="preserve">bentte </w:t>
      </w:r>
      <w:r w:rsidRPr="00DE12A3">
        <w:rPr>
          <w:color w:val="auto"/>
          <w:sz w:val="24"/>
          <w:szCs w:val="24"/>
        </w:rPr>
        <w:t>kuru hava bileşimi için aşağıdaki değerler kullanılmaktadır:</w:t>
      </w:r>
    </w:p>
    <w:p w14:paraId="2CD382F7" w14:textId="77777777" w:rsidR="002D7B36" w:rsidRPr="00DE12A3" w:rsidRDefault="00242DA0" w:rsidP="00C917D6">
      <w:pPr>
        <w:pStyle w:val="Gvdemetni251"/>
        <w:spacing w:before="120" w:after="120" w:line="240" w:lineRule="auto"/>
        <w:ind w:left="1134" w:firstLine="0"/>
        <w:rPr>
          <w:color w:val="auto"/>
          <w:sz w:val="24"/>
          <w:szCs w:val="24"/>
        </w:rPr>
      </w:pPr>
      <w:r w:rsidRPr="00DE12A3">
        <w:rPr>
          <w:i/>
          <w:color w:val="auto"/>
          <w:sz w:val="24"/>
          <w:szCs w:val="24"/>
        </w:rPr>
        <w:t>x</w:t>
      </w:r>
      <w:r w:rsidRPr="00DE12A3">
        <w:rPr>
          <w:color w:val="auto"/>
          <w:sz w:val="24"/>
          <w:szCs w:val="24"/>
          <w:vertAlign w:val="subscript"/>
        </w:rPr>
        <w:t xml:space="preserve">O2airdry </w:t>
      </w:r>
      <w:r w:rsidRPr="00DE12A3">
        <w:rPr>
          <w:color w:val="auto"/>
          <w:sz w:val="24"/>
          <w:szCs w:val="24"/>
        </w:rPr>
        <w:t>= 0,209445 mol/mol</w:t>
      </w:r>
    </w:p>
    <w:p w14:paraId="4954013E" w14:textId="77777777" w:rsidR="002D7B36" w:rsidRPr="00DE12A3" w:rsidRDefault="00242DA0" w:rsidP="00C917D6">
      <w:pPr>
        <w:pStyle w:val="Gvdemetni251"/>
        <w:spacing w:before="120" w:after="120" w:line="240" w:lineRule="auto"/>
        <w:ind w:left="1134" w:firstLine="0"/>
        <w:rPr>
          <w:color w:val="auto"/>
          <w:sz w:val="24"/>
          <w:szCs w:val="24"/>
        </w:rPr>
      </w:pPr>
      <w:r w:rsidRPr="00DE12A3">
        <w:rPr>
          <w:i/>
          <w:color w:val="auto"/>
          <w:sz w:val="24"/>
          <w:szCs w:val="24"/>
        </w:rPr>
        <w:t>x</w:t>
      </w:r>
      <w:r w:rsidRPr="00DE12A3">
        <w:rPr>
          <w:color w:val="auto"/>
          <w:sz w:val="24"/>
          <w:szCs w:val="24"/>
          <w:vertAlign w:val="subscript"/>
        </w:rPr>
        <w:t>Arairdry</w:t>
      </w:r>
      <w:r w:rsidRPr="00DE12A3">
        <w:rPr>
          <w:color w:val="auto"/>
          <w:sz w:val="24"/>
          <w:szCs w:val="24"/>
        </w:rPr>
        <w:t xml:space="preserve"> = 0,00934 mol/mol</w:t>
      </w:r>
    </w:p>
    <w:p w14:paraId="36C07440" w14:textId="77777777" w:rsidR="002D7B36" w:rsidRPr="00DE12A3" w:rsidRDefault="00242DA0" w:rsidP="00C917D6">
      <w:pPr>
        <w:pStyle w:val="Gvdemetni251"/>
        <w:spacing w:before="120" w:after="120" w:line="240" w:lineRule="auto"/>
        <w:ind w:left="1134" w:firstLine="0"/>
        <w:rPr>
          <w:color w:val="auto"/>
          <w:sz w:val="24"/>
          <w:szCs w:val="24"/>
        </w:rPr>
      </w:pPr>
      <w:r w:rsidRPr="00DE12A3">
        <w:rPr>
          <w:i/>
          <w:color w:val="auto"/>
          <w:sz w:val="24"/>
          <w:szCs w:val="24"/>
        </w:rPr>
        <w:t>x</w:t>
      </w:r>
      <w:r w:rsidRPr="00DE12A3">
        <w:rPr>
          <w:color w:val="auto"/>
          <w:sz w:val="24"/>
          <w:szCs w:val="24"/>
          <w:vertAlign w:val="subscript"/>
        </w:rPr>
        <w:t>N</w:t>
      </w:r>
      <w:r w:rsidRPr="00DE12A3">
        <w:rPr>
          <w:rStyle w:val="Gvdemetni2555pt0ptbolukbraklyor"/>
          <w:color w:val="auto"/>
          <w:sz w:val="24"/>
          <w:szCs w:val="24"/>
          <w:vertAlign w:val="subscript"/>
        </w:rPr>
        <w:t>2airdry</w:t>
      </w:r>
      <w:r w:rsidRPr="00DE12A3">
        <w:rPr>
          <w:color w:val="auto"/>
          <w:sz w:val="24"/>
          <w:szCs w:val="24"/>
        </w:rPr>
        <w:t xml:space="preserve"> = 0,78084 mol/mol</w:t>
      </w:r>
    </w:p>
    <w:p w14:paraId="10389518" w14:textId="77777777" w:rsidR="002D7B36" w:rsidRPr="00DE12A3" w:rsidRDefault="00242DA0" w:rsidP="00C917D6">
      <w:pPr>
        <w:pStyle w:val="Gvdemetni251"/>
        <w:spacing w:before="120" w:after="120" w:line="240" w:lineRule="auto"/>
        <w:ind w:left="1134" w:firstLine="0"/>
        <w:rPr>
          <w:color w:val="auto"/>
          <w:sz w:val="24"/>
          <w:szCs w:val="24"/>
        </w:rPr>
      </w:pPr>
      <w:r w:rsidRPr="00DE12A3">
        <w:rPr>
          <w:i/>
          <w:color w:val="auto"/>
          <w:sz w:val="24"/>
          <w:szCs w:val="24"/>
        </w:rPr>
        <w:t>x</w:t>
      </w:r>
      <w:r w:rsidRPr="00DE12A3">
        <w:rPr>
          <w:color w:val="auto"/>
          <w:sz w:val="24"/>
          <w:szCs w:val="24"/>
          <w:vertAlign w:val="subscript"/>
        </w:rPr>
        <w:t>CO2airdry</w:t>
      </w:r>
      <w:r w:rsidRPr="00DE12A3">
        <w:rPr>
          <w:color w:val="auto"/>
          <w:sz w:val="24"/>
          <w:szCs w:val="24"/>
        </w:rPr>
        <w:t xml:space="preserve"> = 375 μmol/mol</w:t>
      </w:r>
    </w:p>
    <w:p w14:paraId="65BC6506" w14:textId="77777777" w:rsidR="002D7B36" w:rsidRPr="00DE12A3" w:rsidRDefault="00242DA0" w:rsidP="00C917D6">
      <w:pPr>
        <w:pStyle w:val="Gvdemetni251"/>
        <w:spacing w:before="120" w:after="120" w:line="240" w:lineRule="auto"/>
        <w:ind w:left="1134" w:firstLine="0"/>
        <w:rPr>
          <w:color w:val="auto"/>
          <w:sz w:val="24"/>
          <w:szCs w:val="24"/>
        </w:rPr>
      </w:pPr>
      <w:r w:rsidRPr="00DE12A3">
        <w:rPr>
          <w:color w:val="auto"/>
          <w:sz w:val="24"/>
          <w:szCs w:val="24"/>
        </w:rPr>
        <w:lastRenderedPageBreak/>
        <w:t>Bu bölümde aşağıdaki molar kütleler veya kimyasal türlerin etkin molar kütleleri kullanılmaktadır:</w:t>
      </w:r>
    </w:p>
    <w:p w14:paraId="077C96F0" w14:textId="77777777" w:rsidR="002D7B36" w:rsidRPr="00DE12A3" w:rsidRDefault="00242DA0" w:rsidP="00C917D6">
      <w:pPr>
        <w:pStyle w:val="Gvdemetni251"/>
        <w:spacing w:before="120" w:after="120" w:line="240" w:lineRule="auto"/>
        <w:ind w:left="1134" w:firstLine="0"/>
        <w:rPr>
          <w:color w:val="auto"/>
          <w:sz w:val="24"/>
          <w:szCs w:val="24"/>
        </w:rPr>
      </w:pPr>
      <w:r w:rsidRPr="00DE12A3">
        <w:rPr>
          <w:i/>
          <w:iCs/>
          <w:color w:val="auto"/>
          <w:sz w:val="24"/>
          <w:szCs w:val="24"/>
        </w:rPr>
        <w:t>M</w:t>
      </w:r>
      <w:r w:rsidRPr="00DE12A3">
        <w:rPr>
          <w:color w:val="auto"/>
          <w:sz w:val="24"/>
          <w:szCs w:val="24"/>
          <w:vertAlign w:val="subscript"/>
        </w:rPr>
        <w:t>air</w:t>
      </w:r>
      <w:r w:rsidRPr="00DE12A3">
        <w:rPr>
          <w:color w:val="auto"/>
          <w:sz w:val="24"/>
          <w:szCs w:val="24"/>
        </w:rPr>
        <w:t xml:space="preserve"> = 28,96559 g/mol (</w:t>
      </w:r>
      <w:r w:rsidRPr="00DE12A3">
        <w:rPr>
          <w:rStyle w:val="Gvdemetni140ptbolukbraklyor"/>
          <w:rFonts w:eastAsia="Constantia"/>
          <w:color w:val="auto"/>
          <w:sz w:val="24"/>
          <w:szCs w:val="24"/>
          <w:u w:val="none"/>
        </w:rPr>
        <w:t>kuru hava</w:t>
      </w:r>
      <w:r w:rsidRPr="00DE12A3">
        <w:rPr>
          <w:color w:val="auto"/>
          <w:sz w:val="24"/>
          <w:szCs w:val="24"/>
        </w:rPr>
        <w:t>)</w:t>
      </w:r>
    </w:p>
    <w:p w14:paraId="51B71D0C" w14:textId="77777777" w:rsidR="002D7B36" w:rsidRPr="00DE12A3" w:rsidRDefault="00242DA0" w:rsidP="00C917D6">
      <w:pPr>
        <w:pStyle w:val="Gvdemetni251"/>
        <w:spacing w:before="120" w:after="120" w:line="240" w:lineRule="auto"/>
        <w:ind w:left="1134" w:firstLine="0"/>
        <w:rPr>
          <w:color w:val="auto"/>
          <w:sz w:val="24"/>
          <w:szCs w:val="24"/>
        </w:rPr>
      </w:pPr>
      <w:r w:rsidRPr="00DE12A3">
        <w:rPr>
          <w:i/>
          <w:iCs/>
          <w:color w:val="auto"/>
          <w:sz w:val="24"/>
          <w:szCs w:val="24"/>
        </w:rPr>
        <w:t>M</w:t>
      </w:r>
      <w:r w:rsidRPr="00DE12A3">
        <w:rPr>
          <w:color w:val="auto"/>
          <w:sz w:val="24"/>
          <w:szCs w:val="24"/>
          <w:vertAlign w:val="subscript"/>
        </w:rPr>
        <w:t>Ar</w:t>
      </w:r>
      <w:r w:rsidRPr="00DE12A3">
        <w:rPr>
          <w:color w:val="auto"/>
          <w:sz w:val="24"/>
          <w:szCs w:val="24"/>
        </w:rPr>
        <w:t xml:space="preserve"> = 39,948 g/mol (argon)</w:t>
      </w:r>
    </w:p>
    <w:p w14:paraId="78E24779" w14:textId="77777777" w:rsidR="002D7B36" w:rsidRPr="00DE12A3" w:rsidRDefault="00242DA0" w:rsidP="00C917D6">
      <w:pPr>
        <w:pStyle w:val="Gvdemetni251"/>
        <w:spacing w:before="120" w:after="120" w:line="240" w:lineRule="auto"/>
        <w:ind w:left="1134" w:firstLine="0"/>
        <w:rPr>
          <w:color w:val="auto"/>
          <w:sz w:val="24"/>
          <w:szCs w:val="24"/>
        </w:rPr>
      </w:pPr>
      <w:r w:rsidRPr="00DE12A3">
        <w:rPr>
          <w:rStyle w:val="Gvdemetni254pttalik0ptbolukbraklyor16"/>
          <w:color w:val="auto"/>
          <w:sz w:val="24"/>
          <w:szCs w:val="24"/>
        </w:rPr>
        <w:t>M</w:t>
      </w:r>
      <w:r w:rsidRPr="00DE12A3">
        <w:rPr>
          <w:rStyle w:val="Gvdemetni254pttalik0ptbolukbraklyor16"/>
          <w:color w:val="auto"/>
          <w:sz w:val="24"/>
          <w:szCs w:val="24"/>
          <w:vertAlign w:val="subscript"/>
        </w:rPr>
        <w:t>C</w:t>
      </w:r>
      <w:r w:rsidRPr="00DE12A3">
        <w:rPr>
          <w:color w:val="auto"/>
          <w:sz w:val="24"/>
          <w:szCs w:val="24"/>
        </w:rPr>
        <w:t xml:space="preserve"> = 12,0107 g/mol (karbon)</w:t>
      </w:r>
    </w:p>
    <w:p w14:paraId="1BDCDF4D" w14:textId="77777777" w:rsidR="002D7B36" w:rsidRPr="00DE12A3" w:rsidRDefault="00242DA0" w:rsidP="00C917D6">
      <w:pPr>
        <w:pStyle w:val="Gvdemetni251"/>
        <w:spacing w:before="120" w:after="120" w:line="240" w:lineRule="auto"/>
        <w:ind w:left="1134" w:firstLine="0"/>
        <w:rPr>
          <w:color w:val="auto"/>
          <w:sz w:val="24"/>
          <w:szCs w:val="24"/>
        </w:rPr>
      </w:pPr>
      <w:r w:rsidRPr="00DE12A3">
        <w:rPr>
          <w:i/>
          <w:iCs/>
          <w:color w:val="auto"/>
          <w:sz w:val="24"/>
          <w:szCs w:val="24"/>
        </w:rPr>
        <w:t>M</w:t>
      </w:r>
      <w:r w:rsidRPr="00DE12A3">
        <w:rPr>
          <w:color w:val="auto"/>
          <w:sz w:val="24"/>
          <w:szCs w:val="24"/>
          <w:vertAlign w:val="subscript"/>
        </w:rPr>
        <w:t>CO</w:t>
      </w:r>
      <w:r w:rsidRPr="00DE12A3">
        <w:rPr>
          <w:color w:val="auto"/>
          <w:sz w:val="24"/>
          <w:szCs w:val="24"/>
        </w:rPr>
        <w:t xml:space="preserve"> = 28,0101 g/mol (</w:t>
      </w:r>
      <w:r w:rsidRPr="00DE12A3">
        <w:rPr>
          <w:rStyle w:val="Gvdemetni140ptbolukbraklyor"/>
          <w:rFonts w:eastAsia="Constantia"/>
          <w:color w:val="auto"/>
          <w:sz w:val="24"/>
          <w:szCs w:val="24"/>
          <w:u w:val="none"/>
        </w:rPr>
        <w:t>karbon monoksit</w:t>
      </w:r>
      <w:r w:rsidRPr="00DE12A3">
        <w:rPr>
          <w:color w:val="auto"/>
          <w:sz w:val="24"/>
          <w:szCs w:val="24"/>
        </w:rPr>
        <w:t>)</w:t>
      </w:r>
    </w:p>
    <w:p w14:paraId="036F47A5" w14:textId="77777777" w:rsidR="002D7B36" w:rsidRPr="00DE12A3" w:rsidRDefault="00242DA0" w:rsidP="00C917D6">
      <w:pPr>
        <w:pStyle w:val="Gvdemetni251"/>
        <w:spacing w:before="120" w:after="120" w:line="240" w:lineRule="auto"/>
        <w:ind w:left="1134" w:firstLine="0"/>
        <w:rPr>
          <w:color w:val="auto"/>
          <w:sz w:val="24"/>
          <w:szCs w:val="24"/>
        </w:rPr>
      </w:pPr>
      <w:r w:rsidRPr="00DE12A3">
        <w:rPr>
          <w:i/>
          <w:iCs/>
          <w:color w:val="auto"/>
          <w:sz w:val="24"/>
          <w:szCs w:val="24"/>
        </w:rPr>
        <w:t>M</w:t>
      </w:r>
      <w:r w:rsidRPr="00DE12A3">
        <w:rPr>
          <w:color w:val="auto"/>
          <w:sz w:val="24"/>
          <w:szCs w:val="24"/>
          <w:vertAlign w:val="subscript"/>
        </w:rPr>
        <w:t>CO2</w:t>
      </w:r>
      <w:r w:rsidRPr="00DE12A3">
        <w:rPr>
          <w:color w:val="auto"/>
          <w:sz w:val="24"/>
          <w:szCs w:val="24"/>
        </w:rPr>
        <w:t xml:space="preserve"> = 44,0095 g/mol (</w:t>
      </w:r>
      <w:r w:rsidRPr="00DE12A3">
        <w:rPr>
          <w:rStyle w:val="Gvdemetni140ptbolukbraklyor"/>
          <w:rFonts w:eastAsia="Constantia"/>
          <w:color w:val="auto"/>
          <w:sz w:val="24"/>
          <w:szCs w:val="24"/>
          <w:u w:val="none"/>
        </w:rPr>
        <w:t>karbon dioksit</w:t>
      </w:r>
      <w:r w:rsidRPr="00DE12A3">
        <w:rPr>
          <w:color w:val="auto"/>
          <w:sz w:val="24"/>
          <w:szCs w:val="24"/>
        </w:rPr>
        <w:t>)</w:t>
      </w:r>
    </w:p>
    <w:p w14:paraId="5F1C4108" w14:textId="77777777" w:rsidR="002D7B36" w:rsidRPr="00DE12A3" w:rsidRDefault="00242DA0" w:rsidP="00C917D6">
      <w:pPr>
        <w:pStyle w:val="Gvdemetni251"/>
        <w:spacing w:before="120" w:after="120" w:line="240" w:lineRule="auto"/>
        <w:ind w:left="1134" w:firstLine="0"/>
        <w:rPr>
          <w:color w:val="auto"/>
          <w:sz w:val="24"/>
          <w:szCs w:val="24"/>
        </w:rPr>
      </w:pPr>
      <w:r w:rsidRPr="00DE12A3">
        <w:rPr>
          <w:rStyle w:val="Gvdemetni25KkBykHarf"/>
          <w:i/>
          <w:iCs/>
          <w:color w:val="auto"/>
          <w:sz w:val="24"/>
          <w:szCs w:val="24"/>
        </w:rPr>
        <w:t>M</w:t>
      </w:r>
      <w:r w:rsidRPr="00DE12A3">
        <w:rPr>
          <w:rStyle w:val="Gvdemetni25KkBykHarf"/>
          <w:color w:val="auto"/>
          <w:sz w:val="24"/>
          <w:szCs w:val="24"/>
          <w:vertAlign w:val="subscript"/>
        </w:rPr>
        <w:t>h</w:t>
      </w:r>
      <w:r w:rsidRPr="00DE12A3">
        <w:rPr>
          <w:color w:val="auto"/>
          <w:sz w:val="24"/>
          <w:szCs w:val="24"/>
        </w:rPr>
        <w:t xml:space="preserve"> = 1,00794 g/mol (atomik </w:t>
      </w:r>
      <w:r w:rsidRPr="00DE12A3">
        <w:rPr>
          <w:rStyle w:val="Gvdemetni140ptbolukbraklyor"/>
          <w:rFonts w:eastAsia="Constantia"/>
          <w:color w:val="auto"/>
          <w:sz w:val="24"/>
          <w:szCs w:val="24"/>
          <w:u w:val="none"/>
        </w:rPr>
        <w:t>hidrojen</w:t>
      </w:r>
      <w:r w:rsidRPr="00DE12A3">
        <w:rPr>
          <w:color w:val="auto"/>
          <w:sz w:val="24"/>
          <w:szCs w:val="24"/>
        </w:rPr>
        <w:t>)</w:t>
      </w:r>
    </w:p>
    <w:p w14:paraId="59F7C3AB" w14:textId="77777777" w:rsidR="002D7B36" w:rsidRPr="00DE12A3" w:rsidRDefault="00242DA0" w:rsidP="00C917D6">
      <w:pPr>
        <w:pStyle w:val="Gvdemetni251"/>
        <w:spacing w:before="120" w:after="120" w:line="240" w:lineRule="auto"/>
        <w:ind w:left="1134" w:firstLine="0"/>
        <w:rPr>
          <w:color w:val="auto"/>
          <w:sz w:val="24"/>
          <w:szCs w:val="24"/>
        </w:rPr>
      </w:pPr>
      <w:r w:rsidRPr="00DE12A3">
        <w:rPr>
          <w:i/>
          <w:iCs/>
          <w:color w:val="auto"/>
          <w:sz w:val="24"/>
          <w:szCs w:val="24"/>
        </w:rPr>
        <w:t>M</w:t>
      </w:r>
      <w:r w:rsidRPr="00DE12A3">
        <w:rPr>
          <w:color w:val="auto"/>
          <w:sz w:val="24"/>
          <w:szCs w:val="24"/>
          <w:vertAlign w:val="subscript"/>
        </w:rPr>
        <w:t>H2</w:t>
      </w:r>
      <w:r w:rsidRPr="00DE12A3">
        <w:rPr>
          <w:color w:val="auto"/>
          <w:sz w:val="24"/>
          <w:szCs w:val="24"/>
        </w:rPr>
        <w:t xml:space="preserve"> = 2,01588 g/mol (</w:t>
      </w:r>
      <w:r w:rsidRPr="00DE12A3">
        <w:rPr>
          <w:rStyle w:val="Gvdemetni140ptbolukbraklyor"/>
          <w:rFonts w:eastAsia="Constantia"/>
          <w:color w:val="auto"/>
          <w:sz w:val="24"/>
          <w:szCs w:val="24"/>
          <w:u w:val="none"/>
        </w:rPr>
        <w:t xml:space="preserve">moleküler </w:t>
      </w:r>
      <w:bookmarkStart w:id="32" w:name="_Hlk22760797"/>
      <w:r w:rsidRPr="00DE12A3">
        <w:rPr>
          <w:rStyle w:val="Gvdemetni140ptbolukbraklyor"/>
          <w:rFonts w:eastAsia="Constantia"/>
          <w:color w:val="auto"/>
          <w:sz w:val="24"/>
          <w:szCs w:val="24"/>
          <w:u w:val="none"/>
        </w:rPr>
        <w:t>hidrojen</w:t>
      </w:r>
      <w:bookmarkEnd w:id="32"/>
      <w:r w:rsidRPr="00DE12A3">
        <w:rPr>
          <w:color w:val="auto"/>
          <w:sz w:val="24"/>
          <w:szCs w:val="24"/>
        </w:rPr>
        <w:t>)</w:t>
      </w:r>
    </w:p>
    <w:p w14:paraId="111A6951" w14:textId="77777777" w:rsidR="002D7B36" w:rsidRPr="00DE12A3" w:rsidRDefault="00242DA0" w:rsidP="00C917D6">
      <w:pPr>
        <w:pStyle w:val="Gvdemetni251"/>
        <w:spacing w:before="120" w:after="120" w:line="240" w:lineRule="auto"/>
        <w:ind w:left="1134" w:firstLine="0"/>
        <w:rPr>
          <w:color w:val="auto"/>
          <w:sz w:val="24"/>
          <w:szCs w:val="24"/>
        </w:rPr>
      </w:pPr>
      <w:r w:rsidRPr="00DE12A3">
        <w:rPr>
          <w:i/>
          <w:iCs/>
          <w:color w:val="auto"/>
          <w:sz w:val="24"/>
          <w:szCs w:val="24"/>
        </w:rPr>
        <w:t>M</w:t>
      </w:r>
      <w:r w:rsidRPr="00DE12A3">
        <w:rPr>
          <w:color w:val="auto"/>
          <w:sz w:val="24"/>
          <w:szCs w:val="24"/>
          <w:vertAlign w:val="subscript"/>
        </w:rPr>
        <w:t>H2O</w:t>
      </w:r>
      <w:r w:rsidRPr="00DE12A3">
        <w:rPr>
          <w:color w:val="auto"/>
          <w:sz w:val="24"/>
          <w:szCs w:val="24"/>
        </w:rPr>
        <w:t xml:space="preserve"> = 18,01528 g/mol (su)</w:t>
      </w:r>
    </w:p>
    <w:p w14:paraId="3D46F502" w14:textId="77777777" w:rsidR="002D7B36" w:rsidRPr="00DE12A3" w:rsidRDefault="00242DA0" w:rsidP="00C917D6">
      <w:pPr>
        <w:pStyle w:val="Gvdemetni251"/>
        <w:spacing w:before="120" w:after="120" w:line="240" w:lineRule="auto"/>
        <w:ind w:left="1134" w:firstLine="0"/>
        <w:rPr>
          <w:color w:val="auto"/>
          <w:sz w:val="24"/>
          <w:szCs w:val="24"/>
        </w:rPr>
      </w:pPr>
      <w:r w:rsidRPr="00DE12A3">
        <w:rPr>
          <w:i/>
          <w:iCs/>
          <w:color w:val="auto"/>
          <w:sz w:val="24"/>
          <w:szCs w:val="24"/>
        </w:rPr>
        <w:t>M</w:t>
      </w:r>
      <w:r w:rsidRPr="00DE12A3">
        <w:rPr>
          <w:color w:val="auto"/>
          <w:sz w:val="24"/>
          <w:szCs w:val="24"/>
          <w:vertAlign w:val="subscript"/>
        </w:rPr>
        <w:t>He</w:t>
      </w:r>
      <w:r w:rsidRPr="00DE12A3">
        <w:rPr>
          <w:color w:val="auto"/>
          <w:sz w:val="24"/>
          <w:szCs w:val="24"/>
        </w:rPr>
        <w:t xml:space="preserve"> = 4,002602 g/mol (helyum)</w:t>
      </w:r>
    </w:p>
    <w:p w14:paraId="66322A7C" w14:textId="77777777" w:rsidR="002D7B36" w:rsidRPr="00DE12A3" w:rsidRDefault="00242DA0" w:rsidP="00C917D6">
      <w:pPr>
        <w:pStyle w:val="Gvdemetni251"/>
        <w:spacing w:before="120" w:after="120" w:line="240" w:lineRule="auto"/>
        <w:ind w:left="1134" w:firstLine="0"/>
        <w:rPr>
          <w:color w:val="auto"/>
          <w:sz w:val="24"/>
          <w:szCs w:val="24"/>
        </w:rPr>
      </w:pPr>
      <w:r w:rsidRPr="00DE12A3">
        <w:rPr>
          <w:rStyle w:val="Gvdemetni25KkBykHarf"/>
          <w:i/>
          <w:iCs/>
          <w:color w:val="auto"/>
          <w:sz w:val="24"/>
          <w:szCs w:val="24"/>
        </w:rPr>
        <w:t>M</w:t>
      </w:r>
      <w:r w:rsidRPr="00DE12A3">
        <w:rPr>
          <w:rStyle w:val="Gvdemetni25KkBykHarf"/>
          <w:color w:val="auto"/>
          <w:sz w:val="24"/>
          <w:szCs w:val="24"/>
          <w:vertAlign w:val="subscript"/>
        </w:rPr>
        <w:t>n</w:t>
      </w:r>
      <w:r w:rsidRPr="00DE12A3">
        <w:rPr>
          <w:color w:val="auto"/>
          <w:sz w:val="24"/>
          <w:szCs w:val="24"/>
        </w:rPr>
        <w:t xml:space="preserve"> = 14,0067 g/mol (atomik nitrojen)</w:t>
      </w:r>
    </w:p>
    <w:p w14:paraId="2D94D24E" w14:textId="77777777" w:rsidR="002D7B36" w:rsidRPr="00DE12A3" w:rsidRDefault="00242DA0" w:rsidP="00C917D6">
      <w:pPr>
        <w:pStyle w:val="Gvdemetni251"/>
        <w:spacing w:before="120" w:after="120" w:line="240" w:lineRule="auto"/>
        <w:ind w:left="1134" w:firstLine="0"/>
        <w:rPr>
          <w:color w:val="auto"/>
          <w:sz w:val="24"/>
          <w:szCs w:val="24"/>
        </w:rPr>
      </w:pPr>
      <w:r w:rsidRPr="00DE12A3">
        <w:rPr>
          <w:i/>
          <w:iCs/>
          <w:color w:val="auto"/>
          <w:sz w:val="24"/>
          <w:szCs w:val="24"/>
        </w:rPr>
        <w:t>M</w:t>
      </w:r>
      <w:r w:rsidRPr="00DE12A3">
        <w:rPr>
          <w:color w:val="auto"/>
          <w:sz w:val="24"/>
          <w:szCs w:val="24"/>
          <w:vertAlign w:val="subscript"/>
        </w:rPr>
        <w:t>N2</w:t>
      </w:r>
      <w:r w:rsidRPr="00DE12A3">
        <w:rPr>
          <w:color w:val="auto"/>
          <w:sz w:val="24"/>
          <w:szCs w:val="24"/>
        </w:rPr>
        <w:t xml:space="preserve"> = 28,0134 g/mol (moleküler nitrojen)</w:t>
      </w:r>
    </w:p>
    <w:p w14:paraId="4154CC75" w14:textId="77777777" w:rsidR="002D7B36" w:rsidRPr="00DE12A3" w:rsidRDefault="00242DA0" w:rsidP="00C917D6">
      <w:pPr>
        <w:pStyle w:val="Gvdemetni251"/>
        <w:spacing w:before="120" w:after="120" w:line="240" w:lineRule="auto"/>
        <w:ind w:left="1134" w:firstLine="0"/>
        <w:rPr>
          <w:color w:val="auto"/>
          <w:sz w:val="24"/>
          <w:szCs w:val="24"/>
        </w:rPr>
      </w:pPr>
      <w:r w:rsidRPr="00DE12A3">
        <w:rPr>
          <w:i/>
          <w:iCs/>
          <w:color w:val="auto"/>
          <w:sz w:val="24"/>
          <w:szCs w:val="24"/>
        </w:rPr>
        <w:t>M</w:t>
      </w:r>
      <w:r w:rsidRPr="00DE12A3">
        <w:rPr>
          <w:color w:val="auto"/>
          <w:sz w:val="24"/>
          <w:szCs w:val="24"/>
          <w:vertAlign w:val="subscript"/>
        </w:rPr>
        <w:t>NOx</w:t>
      </w:r>
      <w:r w:rsidRPr="00DE12A3">
        <w:rPr>
          <w:color w:val="auto"/>
          <w:sz w:val="24"/>
          <w:szCs w:val="24"/>
        </w:rPr>
        <w:t xml:space="preserve"> = 46,0055 g/mol (</w:t>
      </w:r>
      <w:r w:rsidRPr="00DE12A3">
        <w:rPr>
          <w:rStyle w:val="Gvdemetni140ptbolukbraklyor"/>
          <w:rFonts w:eastAsia="Constantia"/>
          <w:color w:val="auto"/>
          <w:sz w:val="24"/>
          <w:szCs w:val="24"/>
          <w:u w:val="none"/>
        </w:rPr>
        <w:t xml:space="preserve">nitrojen oksitler </w:t>
      </w:r>
      <w:r w:rsidRPr="00DE12A3">
        <w:rPr>
          <w:color w:val="auto"/>
          <w:sz w:val="24"/>
          <w:szCs w:val="24"/>
        </w:rPr>
        <w:t>(*))</w:t>
      </w:r>
    </w:p>
    <w:p w14:paraId="6D348156" w14:textId="77777777" w:rsidR="002D7B36" w:rsidRPr="00DE12A3" w:rsidRDefault="00242DA0" w:rsidP="00C917D6">
      <w:pPr>
        <w:pStyle w:val="Gvdemetni251"/>
        <w:spacing w:before="120" w:after="120" w:line="240" w:lineRule="auto"/>
        <w:ind w:left="1134" w:firstLine="0"/>
        <w:rPr>
          <w:color w:val="auto"/>
          <w:sz w:val="24"/>
          <w:szCs w:val="24"/>
        </w:rPr>
      </w:pPr>
      <w:r w:rsidRPr="00DE12A3">
        <w:rPr>
          <w:i/>
          <w:iCs/>
          <w:color w:val="auto"/>
          <w:sz w:val="24"/>
          <w:szCs w:val="24"/>
        </w:rPr>
        <w:t>M</w:t>
      </w:r>
      <w:r w:rsidRPr="00DE12A3">
        <w:rPr>
          <w:color w:val="auto"/>
          <w:sz w:val="24"/>
          <w:szCs w:val="24"/>
          <w:vertAlign w:val="subscript"/>
        </w:rPr>
        <w:t>O</w:t>
      </w:r>
      <w:r w:rsidRPr="00DE12A3">
        <w:rPr>
          <w:color w:val="auto"/>
          <w:sz w:val="24"/>
          <w:szCs w:val="24"/>
        </w:rPr>
        <w:t xml:space="preserve"> = 15,9994 g/mol (</w:t>
      </w:r>
      <w:r w:rsidRPr="00DE12A3">
        <w:rPr>
          <w:rStyle w:val="Gvdemetni140ptbolukbraklyor"/>
          <w:rFonts w:eastAsia="Constantia"/>
          <w:color w:val="auto"/>
          <w:sz w:val="24"/>
          <w:szCs w:val="24"/>
          <w:u w:val="none"/>
        </w:rPr>
        <w:t>atomik oksijen</w:t>
      </w:r>
      <w:r w:rsidRPr="00DE12A3">
        <w:rPr>
          <w:color w:val="auto"/>
          <w:sz w:val="24"/>
          <w:szCs w:val="24"/>
        </w:rPr>
        <w:t>)</w:t>
      </w:r>
    </w:p>
    <w:p w14:paraId="1252C278" w14:textId="77777777" w:rsidR="002D7B36" w:rsidRPr="00DE12A3" w:rsidRDefault="00242DA0" w:rsidP="00C917D6">
      <w:pPr>
        <w:pStyle w:val="Gvdemetni251"/>
        <w:spacing w:before="120" w:after="120" w:line="240" w:lineRule="auto"/>
        <w:ind w:left="1134" w:firstLine="0"/>
        <w:rPr>
          <w:color w:val="auto"/>
          <w:sz w:val="24"/>
          <w:szCs w:val="24"/>
        </w:rPr>
      </w:pPr>
      <w:r w:rsidRPr="00DE12A3">
        <w:rPr>
          <w:i/>
          <w:iCs/>
          <w:color w:val="auto"/>
          <w:sz w:val="24"/>
          <w:szCs w:val="24"/>
        </w:rPr>
        <w:t>M</w:t>
      </w:r>
      <w:r w:rsidRPr="00DE12A3">
        <w:rPr>
          <w:color w:val="auto"/>
          <w:sz w:val="24"/>
          <w:szCs w:val="24"/>
          <w:vertAlign w:val="subscript"/>
        </w:rPr>
        <w:t>O2</w:t>
      </w:r>
      <w:r w:rsidRPr="00DE12A3">
        <w:rPr>
          <w:color w:val="auto"/>
          <w:sz w:val="24"/>
          <w:szCs w:val="24"/>
        </w:rPr>
        <w:t xml:space="preserve"> = 31,9988 g/mol (</w:t>
      </w:r>
      <w:r w:rsidRPr="00DE12A3">
        <w:rPr>
          <w:rStyle w:val="Gvdemetni140ptbolukbraklyor"/>
          <w:rFonts w:eastAsia="Constantia"/>
          <w:color w:val="auto"/>
          <w:sz w:val="24"/>
          <w:szCs w:val="24"/>
          <w:u w:val="none"/>
        </w:rPr>
        <w:t>moleküler oksijen</w:t>
      </w:r>
      <w:r w:rsidRPr="00DE12A3">
        <w:rPr>
          <w:color w:val="auto"/>
          <w:sz w:val="24"/>
          <w:szCs w:val="24"/>
        </w:rPr>
        <w:t>)</w:t>
      </w:r>
    </w:p>
    <w:p w14:paraId="0BFB43BF" w14:textId="77777777" w:rsidR="002D7B36" w:rsidRPr="00DE12A3" w:rsidRDefault="00242DA0" w:rsidP="00C917D6">
      <w:pPr>
        <w:pStyle w:val="Resimyazs70"/>
        <w:shd w:val="clear" w:color="auto" w:fill="auto"/>
        <w:spacing w:after="120" w:line="240" w:lineRule="auto"/>
        <w:ind w:left="1134"/>
        <w:rPr>
          <w:sz w:val="24"/>
          <w:szCs w:val="24"/>
        </w:rPr>
      </w:pPr>
      <w:r w:rsidRPr="00DE12A3">
        <w:rPr>
          <w:rStyle w:val="Resimyazs77pt0ptbolukbraklyor"/>
          <w:i/>
          <w:iCs/>
          <w:color w:val="auto"/>
          <w:sz w:val="24"/>
          <w:szCs w:val="24"/>
        </w:rPr>
        <w:t>M</w:t>
      </w:r>
      <w:r w:rsidRPr="00DE12A3">
        <w:rPr>
          <w:rStyle w:val="Resimyazs77pt0ptbolukbraklyor"/>
          <w:color w:val="auto"/>
          <w:sz w:val="24"/>
          <w:szCs w:val="24"/>
          <w:vertAlign w:val="subscript"/>
        </w:rPr>
        <w:t>C3H8</w:t>
      </w:r>
      <w:r w:rsidRPr="00DE12A3">
        <w:rPr>
          <w:rStyle w:val="Resimyazs77pt0ptbolukbraklyor"/>
          <w:color w:val="auto"/>
          <w:sz w:val="24"/>
          <w:szCs w:val="24"/>
        </w:rPr>
        <w:t xml:space="preserve"> = 44,09562 g/mol (propan)</w:t>
      </w:r>
    </w:p>
    <w:p w14:paraId="4162BB2C" w14:textId="77777777" w:rsidR="002D7B36" w:rsidRPr="00DE12A3" w:rsidRDefault="00242DA0" w:rsidP="00C917D6">
      <w:pPr>
        <w:pStyle w:val="Resimyazs70"/>
        <w:shd w:val="clear" w:color="auto" w:fill="auto"/>
        <w:spacing w:after="120" w:line="240" w:lineRule="auto"/>
        <w:ind w:left="1134"/>
        <w:rPr>
          <w:sz w:val="24"/>
          <w:szCs w:val="24"/>
        </w:rPr>
      </w:pPr>
      <w:r w:rsidRPr="00DE12A3">
        <w:rPr>
          <w:rStyle w:val="Resimyazs77pt0ptbolukbraklyor"/>
          <w:i/>
          <w:iCs/>
          <w:color w:val="auto"/>
          <w:sz w:val="24"/>
          <w:szCs w:val="24"/>
        </w:rPr>
        <w:t>M</w:t>
      </w:r>
      <w:r w:rsidRPr="00DE12A3">
        <w:rPr>
          <w:rStyle w:val="Resimyazs77pt0ptbolukbraklyor"/>
          <w:color w:val="auto"/>
          <w:sz w:val="24"/>
          <w:szCs w:val="24"/>
          <w:vertAlign w:val="subscript"/>
        </w:rPr>
        <w:t>S</w:t>
      </w:r>
      <w:r w:rsidRPr="00DE12A3">
        <w:rPr>
          <w:rStyle w:val="Resimyazs77pt0ptbolukbraklyor"/>
          <w:color w:val="auto"/>
          <w:sz w:val="24"/>
          <w:szCs w:val="24"/>
        </w:rPr>
        <w:t xml:space="preserve"> = 32,065 g/mol (kükürt)</w:t>
      </w:r>
    </w:p>
    <w:p w14:paraId="03B35716" w14:textId="77777777" w:rsidR="002D7B36" w:rsidRPr="00DE12A3" w:rsidRDefault="00242DA0" w:rsidP="00C917D6">
      <w:pPr>
        <w:pStyle w:val="Resimyazs70"/>
        <w:shd w:val="clear" w:color="auto" w:fill="auto"/>
        <w:spacing w:after="120" w:line="240" w:lineRule="auto"/>
        <w:ind w:left="1134"/>
        <w:rPr>
          <w:sz w:val="24"/>
          <w:szCs w:val="24"/>
        </w:rPr>
      </w:pPr>
      <w:r w:rsidRPr="00DE12A3">
        <w:rPr>
          <w:rStyle w:val="Resimyazs77ptKkBykHarf0ptbolukbraklyor"/>
          <w:i/>
          <w:iCs/>
          <w:color w:val="auto"/>
          <w:sz w:val="24"/>
          <w:szCs w:val="24"/>
        </w:rPr>
        <w:t>M</w:t>
      </w:r>
      <w:r w:rsidRPr="00DE12A3">
        <w:rPr>
          <w:rStyle w:val="Resimyazs77ptKkBykHarf0ptbolukbraklyor"/>
          <w:color w:val="auto"/>
          <w:sz w:val="24"/>
          <w:szCs w:val="24"/>
          <w:vertAlign w:val="subscript"/>
        </w:rPr>
        <w:t>hc</w:t>
      </w:r>
      <w:r w:rsidRPr="00DE12A3">
        <w:rPr>
          <w:rStyle w:val="Resimyazs77pt0ptbolukbraklyor"/>
          <w:color w:val="auto"/>
          <w:sz w:val="24"/>
          <w:szCs w:val="24"/>
        </w:rPr>
        <w:t xml:space="preserve"> = 13,875389 g/mol (toplam hidrokarbon (**))</w:t>
      </w:r>
    </w:p>
    <w:p w14:paraId="1220A124" w14:textId="2517FB11" w:rsidR="002D7B36" w:rsidRPr="00DE12A3" w:rsidRDefault="00242DA0" w:rsidP="00C917D6">
      <w:pPr>
        <w:pStyle w:val="Resimyazs70"/>
        <w:shd w:val="clear" w:color="auto" w:fill="auto"/>
        <w:spacing w:after="120" w:line="240" w:lineRule="auto"/>
        <w:ind w:left="1134" w:hanging="1134"/>
        <w:rPr>
          <w:rStyle w:val="Resimyazs77pt0ptbolukbraklyor"/>
          <w:color w:val="auto"/>
          <w:sz w:val="22"/>
          <w:szCs w:val="22"/>
        </w:rPr>
      </w:pPr>
      <w:r w:rsidRPr="00DE12A3">
        <w:rPr>
          <w:noProof/>
          <w:spacing w:val="3"/>
          <w:sz w:val="24"/>
          <w:szCs w:val="24"/>
          <w:lang w:eastAsia="tr-TR"/>
        </w:rPr>
        <mc:AlternateContent>
          <mc:Choice Requires="wps">
            <w:drawing>
              <wp:anchor distT="0" distB="0" distL="114300" distR="114300" simplePos="0" relativeHeight="251628032" behindDoc="0" locked="0" layoutInCell="1" allowOverlap="1" wp14:anchorId="7AFA5A1B" wp14:editId="62C110BD">
                <wp:simplePos x="0" y="0"/>
                <wp:positionH relativeFrom="column">
                  <wp:posOffset>577215</wp:posOffset>
                </wp:positionH>
                <wp:positionV relativeFrom="paragraph">
                  <wp:posOffset>95250</wp:posOffset>
                </wp:positionV>
                <wp:extent cx="1316355" cy="14605"/>
                <wp:effectExtent l="0" t="0" r="36830" b="23495"/>
                <wp:wrapNone/>
                <wp:docPr id="2386" name="Düz Bağlayıcı 2386"/>
                <wp:cNvGraphicFramePr/>
                <a:graphic xmlns:a="http://schemas.openxmlformats.org/drawingml/2006/main">
                  <a:graphicData uri="http://schemas.microsoft.com/office/word/2010/wordprocessingShape">
                    <wps:wsp>
                      <wps:cNvCnPr/>
                      <wps:spPr>
                        <a:xfrm>
                          <a:off x="0" y="0"/>
                          <a:ext cx="1316330" cy="14631"/>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xmlns:w16sdtdh="http://schemas.microsoft.com/office/word/2020/wordml/sdtdatahash" xmlns:w16="http://schemas.microsoft.com/office/word/2018/wordml" xmlns:w16cex="http://schemas.microsoft.com/office/word/2018/wordml/cex">
            <w:pict>
              <v:line w14:anchorId="2E8F5C39" id="Düz Bağlayıcı 2386" o:spid="_x0000_s1026" style="position:absolute;z-index:251628032;visibility:visible;mso-wrap-style:square;mso-wrap-distance-left:9pt;mso-wrap-distance-top:0;mso-wrap-distance-right:9pt;mso-wrap-distance-bottom:0;mso-position-horizontal:absolute;mso-position-horizontal-relative:text;mso-position-vertical:absolute;mso-position-vertical-relative:text" from="45.45pt,7.5pt" to="149.1pt,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" strokecolor="#4579b8 [3044]"/>
            </w:pict>
          </mc:Fallback>
        </mc:AlternateContent>
      </w:r>
    </w:p>
    <w:p w14:paraId="08D293C2" w14:textId="4FF7137F" w:rsidR="002D7B36" w:rsidRPr="00DE12A3" w:rsidRDefault="00242DA0" w:rsidP="00C917D6">
      <w:pPr>
        <w:pStyle w:val="Resimyazs70"/>
        <w:shd w:val="clear" w:color="auto" w:fill="auto"/>
        <w:spacing w:after="120" w:line="240" w:lineRule="auto"/>
        <w:ind w:left="1134" w:hanging="1134"/>
        <w:rPr>
          <w:sz w:val="22"/>
          <w:szCs w:val="22"/>
        </w:rPr>
      </w:pPr>
      <w:r w:rsidRPr="00DE12A3">
        <w:rPr>
          <w:rStyle w:val="Resimyazs77pt0ptbolukbraklyor"/>
          <w:color w:val="auto"/>
          <w:sz w:val="22"/>
          <w:szCs w:val="22"/>
        </w:rPr>
        <w:t>(**)</w:t>
      </w:r>
      <w:r w:rsidRPr="00DE12A3">
        <w:rPr>
          <w:rStyle w:val="Resimyazs77pt0ptbolukbraklyor"/>
          <w:color w:val="auto"/>
          <w:sz w:val="22"/>
          <w:szCs w:val="22"/>
        </w:rPr>
        <w:tab/>
        <w:t>HC'nin etkin molar kütlesi, 1,85 değerinde bir atomik hidrojen / karbon oranı α ile tanımlanır</w:t>
      </w:r>
      <w:r w:rsidR="00CE15BA" w:rsidRPr="00DE12A3">
        <w:rPr>
          <w:rStyle w:val="Resimyazs77pt0ptbolukbraklyor"/>
          <w:color w:val="auto"/>
          <w:sz w:val="22"/>
          <w:szCs w:val="22"/>
        </w:rPr>
        <w:t>.</w:t>
      </w:r>
    </w:p>
    <w:p w14:paraId="117B3D5D" w14:textId="77777777" w:rsidR="002D7B36" w:rsidRPr="00DE12A3" w:rsidRDefault="00242DA0" w:rsidP="00C917D6">
      <w:pPr>
        <w:pStyle w:val="Resimyazs70"/>
        <w:shd w:val="clear" w:color="auto" w:fill="auto"/>
        <w:spacing w:after="120" w:line="240" w:lineRule="auto"/>
        <w:ind w:left="1134" w:hanging="1134"/>
        <w:rPr>
          <w:sz w:val="22"/>
          <w:szCs w:val="22"/>
        </w:rPr>
      </w:pPr>
      <w:r w:rsidRPr="00DE12A3">
        <w:rPr>
          <w:rStyle w:val="Resimyazs77pt0ptbolukbraklyor"/>
          <w:color w:val="auto"/>
          <w:sz w:val="22"/>
          <w:szCs w:val="22"/>
        </w:rPr>
        <w:t>(*)</w:t>
      </w:r>
      <w:r w:rsidRPr="00DE12A3">
        <w:rPr>
          <w:rStyle w:val="Resimyazs77pt0ptbolukbraklyor"/>
          <w:color w:val="auto"/>
          <w:sz w:val="22"/>
          <w:szCs w:val="22"/>
        </w:rPr>
        <w:tab/>
        <w:t>Etkin molar NO</w:t>
      </w:r>
      <w:r w:rsidRPr="00DE12A3">
        <w:rPr>
          <w:rStyle w:val="Resimyazs77pt0ptbolukbraklyor"/>
          <w:color w:val="auto"/>
          <w:sz w:val="22"/>
          <w:szCs w:val="22"/>
          <w:vertAlign w:val="subscript"/>
        </w:rPr>
        <w:t>x</w:t>
      </w:r>
      <w:r w:rsidRPr="00DE12A3">
        <w:rPr>
          <w:rStyle w:val="Resimyazs77pt0ptbolukbraklyor"/>
          <w:color w:val="auto"/>
          <w:sz w:val="22"/>
          <w:szCs w:val="22"/>
        </w:rPr>
        <w:t xml:space="preserve"> kütlesi, azot dioksit NO</w:t>
      </w:r>
      <w:r w:rsidRPr="00DE12A3">
        <w:rPr>
          <w:rStyle w:val="Resimyazs77pt0ptbolukbraklyor"/>
          <w:color w:val="auto"/>
          <w:sz w:val="22"/>
          <w:szCs w:val="22"/>
          <w:vertAlign w:val="subscript"/>
        </w:rPr>
        <w:t>2</w:t>
      </w:r>
      <w:r w:rsidRPr="00DE12A3">
        <w:rPr>
          <w:rStyle w:val="Resimyazs77pt0ptbolukbraklyor"/>
          <w:color w:val="auto"/>
          <w:sz w:val="22"/>
          <w:szCs w:val="22"/>
        </w:rPr>
        <w:t>'nin molar kütlesi ile tanımlanır.</w:t>
      </w:r>
    </w:p>
    <w:p w14:paraId="3FEDE1FE" w14:textId="574F7355" w:rsidR="002D7B36" w:rsidRPr="00DE12A3" w:rsidRDefault="00242DA0" w:rsidP="00C917D6">
      <w:pPr>
        <w:pStyle w:val="Resimyazs70"/>
        <w:shd w:val="clear" w:color="auto" w:fill="auto"/>
        <w:spacing w:after="120" w:line="240" w:lineRule="auto"/>
        <w:ind w:left="1134"/>
        <w:rPr>
          <w:rStyle w:val="Resimyazs77pt0ptbolukbraklyor"/>
          <w:color w:val="auto"/>
          <w:sz w:val="24"/>
          <w:szCs w:val="24"/>
        </w:rPr>
      </w:pPr>
      <w:r w:rsidRPr="00DE12A3">
        <w:rPr>
          <w:rStyle w:val="Resimyazs77pt0ptbolukbraklyor"/>
          <w:color w:val="auto"/>
          <w:sz w:val="24"/>
          <w:szCs w:val="24"/>
        </w:rPr>
        <w:t xml:space="preserve">Bu </w:t>
      </w:r>
      <w:r w:rsidR="00CE15BA" w:rsidRPr="00DE12A3">
        <w:rPr>
          <w:rStyle w:val="Resimyazs77pt0ptbolukbraklyor"/>
          <w:color w:val="auto"/>
          <w:sz w:val="24"/>
          <w:szCs w:val="24"/>
        </w:rPr>
        <w:t xml:space="preserve">bentte </w:t>
      </w:r>
      <w:r w:rsidRPr="00DE12A3">
        <w:rPr>
          <w:rStyle w:val="Resimyazs77pt0ptbolukbraklyor"/>
          <w:color w:val="auto"/>
          <w:sz w:val="24"/>
          <w:szCs w:val="24"/>
        </w:rPr>
        <w:t xml:space="preserve">ideal gazlar için aşağıdaki molar gaz sabiti </w:t>
      </w:r>
      <w:r w:rsidRPr="00DE12A3">
        <w:rPr>
          <w:rStyle w:val="Resimyazs77pt0ptbolukbraklyor"/>
          <w:i/>
          <w:color w:val="auto"/>
          <w:sz w:val="24"/>
          <w:szCs w:val="24"/>
        </w:rPr>
        <w:t>R</w:t>
      </w:r>
      <w:r w:rsidRPr="00DE12A3">
        <w:rPr>
          <w:rStyle w:val="Resimyazs77pt0ptbolukbraklyor"/>
          <w:color w:val="auto"/>
          <w:sz w:val="24"/>
          <w:szCs w:val="24"/>
        </w:rPr>
        <w:t xml:space="preserve"> kullanılır</w:t>
      </w:r>
      <w:r w:rsidR="00CE15BA" w:rsidRPr="00DE12A3">
        <w:rPr>
          <w:rStyle w:val="Resimyazs77pt0ptbolukbraklyor"/>
          <w:color w:val="auto"/>
          <w:sz w:val="24"/>
          <w:szCs w:val="24"/>
        </w:rPr>
        <w:t>.</w:t>
      </w:r>
    </w:p>
    <w:p w14:paraId="24039282" w14:textId="06344C07" w:rsidR="002D7B36" w:rsidRPr="00DE12A3" w:rsidRDefault="00242DA0" w:rsidP="00C917D6">
      <w:pPr>
        <w:pStyle w:val="Resimyazs70"/>
        <w:shd w:val="clear" w:color="auto" w:fill="auto"/>
        <w:spacing w:after="120" w:line="240" w:lineRule="auto"/>
        <w:ind w:left="1134"/>
        <w:rPr>
          <w:sz w:val="24"/>
          <w:szCs w:val="24"/>
        </w:rPr>
      </w:pPr>
      <w:r w:rsidRPr="00DE12A3">
        <w:rPr>
          <w:noProof/>
          <w:sz w:val="24"/>
          <w:szCs w:val="24"/>
          <w:lang w:eastAsia="tr-TR"/>
        </w:rPr>
        <w:drawing>
          <wp:inline distT="0" distB="0" distL="0" distR="0" wp14:anchorId="7F26608F" wp14:editId="23AC1E72">
            <wp:extent cx="4288120" cy="373380"/>
            <wp:effectExtent l="0" t="0" r="0" b="7620"/>
            <wp:docPr id="2387" name="Resim 2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7" name="Resim 2387"/>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a:xfrm>
                      <a:off x="0" y="0"/>
                      <a:ext cx="4382605" cy="381607"/>
                    </a:xfrm>
                    <a:prstGeom prst="rect">
                      <a:avLst/>
                    </a:prstGeom>
                    <a:noFill/>
                    <a:ln>
                      <a:noFill/>
                    </a:ln>
                  </pic:spPr>
                </pic:pic>
              </a:graphicData>
            </a:graphic>
          </wp:inline>
        </w:drawing>
      </w:r>
    </w:p>
    <w:p w14:paraId="381858C6" w14:textId="1E0855A1" w:rsidR="002D7B36" w:rsidRPr="00DE12A3" w:rsidRDefault="00242DA0" w:rsidP="00C917D6">
      <w:pPr>
        <w:pStyle w:val="Gvdemetni251"/>
        <w:shd w:val="clear" w:color="auto" w:fill="auto"/>
        <w:spacing w:before="120" w:after="120" w:line="240" w:lineRule="auto"/>
        <w:ind w:left="1134" w:firstLine="0"/>
        <w:rPr>
          <w:color w:val="auto"/>
          <w:sz w:val="24"/>
          <w:szCs w:val="24"/>
        </w:rPr>
      </w:pPr>
      <w:r w:rsidRPr="00DE12A3">
        <w:rPr>
          <w:color w:val="auto"/>
          <w:sz w:val="24"/>
          <w:szCs w:val="24"/>
        </w:rPr>
        <w:t xml:space="preserve">Bu </w:t>
      </w:r>
      <w:r w:rsidR="00CE15BA" w:rsidRPr="00DE12A3">
        <w:rPr>
          <w:color w:val="auto"/>
          <w:sz w:val="24"/>
          <w:szCs w:val="24"/>
        </w:rPr>
        <w:t>bentte</w:t>
      </w:r>
      <w:r w:rsidRPr="00DE12A3">
        <w:rPr>
          <w:color w:val="auto"/>
          <w:sz w:val="24"/>
          <w:szCs w:val="24"/>
        </w:rPr>
        <w:t xml:space="preserve">, seyreltme havası ve seyreltilmiş egzoz için aşağıdaki özgül ısı oranları </w:t>
      </w:r>
      <w:r w:rsidRPr="00DE12A3">
        <w:rPr>
          <w:i/>
          <w:iCs/>
          <w:color w:val="auto"/>
          <w:sz w:val="24"/>
          <w:szCs w:val="24"/>
        </w:rPr>
        <w:t>γ</w:t>
      </w:r>
      <w:r w:rsidRPr="00DE12A3">
        <w:rPr>
          <w:color w:val="auto"/>
          <w:sz w:val="24"/>
          <w:szCs w:val="24"/>
        </w:rPr>
        <w:t xml:space="preserve"> [J/(kg · K)]/[J/(kg · K)] kullanılır:</w:t>
      </w:r>
    </w:p>
    <w:p w14:paraId="19126BB7" w14:textId="77777777" w:rsidR="002D7B36" w:rsidRPr="00DE12A3" w:rsidRDefault="00242DA0" w:rsidP="00C917D6">
      <w:pPr>
        <w:pStyle w:val="Gvdemetni251"/>
        <w:shd w:val="clear" w:color="auto" w:fill="auto"/>
        <w:spacing w:before="120" w:after="120" w:line="240" w:lineRule="auto"/>
        <w:ind w:left="1134" w:firstLine="0"/>
        <w:rPr>
          <w:color w:val="auto"/>
          <w:sz w:val="24"/>
          <w:szCs w:val="24"/>
        </w:rPr>
      </w:pPr>
      <w:r w:rsidRPr="00DE12A3">
        <w:rPr>
          <w:i/>
          <w:color w:val="auto"/>
          <w:sz w:val="24"/>
          <w:szCs w:val="24"/>
        </w:rPr>
        <w:t>γ</w:t>
      </w:r>
      <w:r w:rsidRPr="00DE12A3">
        <w:rPr>
          <w:color w:val="auto"/>
          <w:sz w:val="24"/>
          <w:szCs w:val="24"/>
          <w:vertAlign w:val="subscript"/>
        </w:rPr>
        <w:t>air</w:t>
      </w:r>
      <w:r w:rsidRPr="00DE12A3">
        <w:rPr>
          <w:color w:val="auto"/>
          <w:sz w:val="24"/>
          <w:szCs w:val="24"/>
        </w:rPr>
        <w:t xml:space="preserve"> = 1,399 (emme havası veya seyreltme havası için özgül ısı oranı)</w:t>
      </w:r>
    </w:p>
    <w:p w14:paraId="72BAFF67" w14:textId="77777777" w:rsidR="002D7B36" w:rsidRPr="00DE12A3" w:rsidRDefault="00242DA0" w:rsidP="00C917D6">
      <w:pPr>
        <w:pStyle w:val="Gvdemetni251"/>
        <w:shd w:val="clear" w:color="auto" w:fill="auto"/>
        <w:spacing w:before="120" w:after="120" w:line="240" w:lineRule="auto"/>
        <w:ind w:left="1134" w:firstLine="0"/>
        <w:rPr>
          <w:color w:val="auto"/>
          <w:sz w:val="24"/>
          <w:szCs w:val="24"/>
        </w:rPr>
      </w:pPr>
      <w:r w:rsidRPr="00DE12A3">
        <w:rPr>
          <w:i/>
          <w:color w:val="auto"/>
          <w:sz w:val="24"/>
          <w:szCs w:val="24"/>
        </w:rPr>
        <w:t>γ</w:t>
      </w:r>
      <w:r w:rsidRPr="00DE12A3">
        <w:rPr>
          <w:color w:val="auto"/>
          <w:sz w:val="24"/>
          <w:szCs w:val="24"/>
          <w:vertAlign w:val="subscript"/>
        </w:rPr>
        <w:t>dil</w:t>
      </w:r>
      <w:r w:rsidRPr="00DE12A3">
        <w:rPr>
          <w:color w:val="auto"/>
          <w:sz w:val="24"/>
          <w:szCs w:val="24"/>
        </w:rPr>
        <w:t xml:space="preserve"> = 1,399 (seyreltilmiş egzoz gazı için özgül ısı oranı)</w:t>
      </w:r>
    </w:p>
    <w:p w14:paraId="0AE50DE7" w14:textId="77777777" w:rsidR="002D7B36" w:rsidRPr="00DE12A3" w:rsidRDefault="00242DA0" w:rsidP="00C917D6">
      <w:pPr>
        <w:pStyle w:val="Gvdemetni251"/>
        <w:shd w:val="clear" w:color="auto" w:fill="auto"/>
        <w:spacing w:before="120" w:after="120" w:line="240" w:lineRule="auto"/>
        <w:ind w:left="1134" w:firstLine="0"/>
        <w:rPr>
          <w:color w:val="auto"/>
          <w:sz w:val="24"/>
          <w:szCs w:val="24"/>
        </w:rPr>
      </w:pPr>
      <w:r w:rsidRPr="00DE12A3">
        <w:rPr>
          <w:i/>
          <w:color w:val="auto"/>
          <w:sz w:val="24"/>
          <w:szCs w:val="24"/>
        </w:rPr>
        <w:t>γ</w:t>
      </w:r>
      <w:r w:rsidRPr="00DE12A3">
        <w:rPr>
          <w:color w:val="auto"/>
          <w:sz w:val="24"/>
          <w:szCs w:val="24"/>
          <w:vertAlign w:val="subscript"/>
        </w:rPr>
        <w:t>exh</w:t>
      </w:r>
      <w:r w:rsidRPr="00DE12A3">
        <w:rPr>
          <w:color w:val="auto"/>
          <w:sz w:val="24"/>
          <w:szCs w:val="24"/>
        </w:rPr>
        <w:t xml:space="preserve"> = 1,385 (ham egzoz gazı için özgül ısı oranı)</w:t>
      </w:r>
    </w:p>
    <w:p w14:paraId="10531796" w14:textId="77777777" w:rsidR="002D7B36" w:rsidRPr="00DE12A3" w:rsidRDefault="002D7B36" w:rsidP="00E20716">
      <w:pPr>
        <w:pStyle w:val="ListeParagraf"/>
        <w:numPr>
          <w:ilvl w:val="0"/>
          <w:numId w:val="421"/>
        </w:numPr>
        <w:spacing w:before="120" w:after="120"/>
        <w:ind w:left="1134" w:hanging="1134"/>
        <w:contextualSpacing w:val="0"/>
        <w:jc w:val="both"/>
        <w:rPr>
          <w:rFonts w:eastAsia="Times New Roman" w:cs="Times New Roman"/>
          <w:vanish/>
          <w:color w:val="auto"/>
          <w:spacing w:val="3"/>
        </w:rPr>
      </w:pPr>
    </w:p>
    <w:p w14:paraId="5EBC7F9A" w14:textId="77777777" w:rsidR="002D7B36" w:rsidRPr="00DE12A3" w:rsidRDefault="002D7B36" w:rsidP="00E20716">
      <w:pPr>
        <w:pStyle w:val="ListeParagraf"/>
        <w:numPr>
          <w:ilvl w:val="0"/>
          <w:numId w:val="421"/>
        </w:numPr>
        <w:spacing w:before="120" w:after="120"/>
        <w:ind w:left="1134" w:hanging="1134"/>
        <w:contextualSpacing w:val="0"/>
        <w:jc w:val="both"/>
        <w:rPr>
          <w:rFonts w:eastAsia="Times New Roman" w:cs="Times New Roman"/>
          <w:vanish/>
          <w:color w:val="auto"/>
          <w:spacing w:val="3"/>
        </w:rPr>
      </w:pPr>
    </w:p>
    <w:p w14:paraId="007813EF" w14:textId="77777777" w:rsidR="002D7B36" w:rsidRPr="00DE12A3" w:rsidRDefault="002D7B36" w:rsidP="00E20716">
      <w:pPr>
        <w:pStyle w:val="ListeParagraf"/>
        <w:numPr>
          <w:ilvl w:val="0"/>
          <w:numId w:val="421"/>
        </w:numPr>
        <w:spacing w:before="120" w:after="120"/>
        <w:ind w:left="1134" w:hanging="1134"/>
        <w:contextualSpacing w:val="0"/>
        <w:jc w:val="both"/>
        <w:rPr>
          <w:rFonts w:eastAsia="Times New Roman" w:cs="Times New Roman"/>
          <w:vanish/>
          <w:color w:val="auto"/>
          <w:spacing w:val="3"/>
        </w:rPr>
      </w:pPr>
    </w:p>
    <w:p w14:paraId="19A17B43" w14:textId="77777777" w:rsidR="002D7B36" w:rsidRPr="00DE12A3" w:rsidRDefault="002D7B36" w:rsidP="00E20716">
      <w:pPr>
        <w:pStyle w:val="ListeParagraf"/>
        <w:numPr>
          <w:ilvl w:val="1"/>
          <w:numId w:val="421"/>
        </w:numPr>
        <w:spacing w:before="120" w:after="120"/>
        <w:ind w:left="1134" w:hanging="1134"/>
        <w:contextualSpacing w:val="0"/>
        <w:jc w:val="both"/>
        <w:rPr>
          <w:rFonts w:eastAsia="Times New Roman" w:cs="Times New Roman"/>
          <w:vanish/>
          <w:color w:val="auto"/>
          <w:spacing w:val="3"/>
        </w:rPr>
      </w:pPr>
    </w:p>
    <w:p w14:paraId="63027F19" w14:textId="77777777" w:rsidR="002D7B36" w:rsidRPr="00DE12A3" w:rsidRDefault="002D7B36" w:rsidP="00E20716">
      <w:pPr>
        <w:pStyle w:val="ListeParagraf"/>
        <w:numPr>
          <w:ilvl w:val="1"/>
          <w:numId w:val="421"/>
        </w:numPr>
        <w:spacing w:before="120" w:after="120"/>
        <w:ind w:left="1134" w:hanging="1134"/>
        <w:contextualSpacing w:val="0"/>
        <w:jc w:val="both"/>
        <w:rPr>
          <w:rFonts w:eastAsia="Times New Roman" w:cs="Times New Roman"/>
          <w:vanish/>
          <w:color w:val="auto"/>
          <w:spacing w:val="3"/>
        </w:rPr>
      </w:pPr>
    </w:p>
    <w:p w14:paraId="71D2CB8A" w14:textId="77777777" w:rsidR="002D7B36" w:rsidRPr="00DE12A3" w:rsidRDefault="002D7B36" w:rsidP="00E20716">
      <w:pPr>
        <w:pStyle w:val="ListeParagraf"/>
        <w:numPr>
          <w:ilvl w:val="1"/>
          <w:numId w:val="421"/>
        </w:numPr>
        <w:spacing w:before="120" w:after="120"/>
        <w:ind w:left="1134" w:hanging="1134"/>
        <w:contextualSpacing w:val="0"/>
        <w:jc w:val="both"/>
        <w:rPr>
          <w:rFonts w:eastAsia="Times New Roman" w:cs="Times New Roman"/>
          <w:vanish/>
          <w:color w:val="auto"/>
          <w:spacing w:val="3"/>
        </w:rPr>
      </w:pPr>
    </w:p>
    <w:p w14:paraId="3ED77368" w14:textId="77777777" w:rsidR="002D7B36" w:rsidRPr="00DE12A3" w:rsidRDefault="002D7B36" w:rsidP="00E20716">
      <w:pPr>
        <w:pStyle w:val="ListeParagraf"/>
        <w:numPr>
          <w:ilvl w:val="2"/>
          <w:numId w:val="421"/>
        </w:numPr>
        <w:spacing w:before="120" w:after="120"/>
        <w:ind w:left="1134" w:hanging="1134"/>
        <w:contextualSpacing w:val="0"/>
        <w:jc w:val="both"/>
        <w:rPr>
          <w:rFonts w:eastAsia="Times New Roman" w:cs="Times New Roman"/>
          <w:vanish/>
          <w:color w:val="auto"/>
          <w:spacing w:val="3"/>
        </w:rPr>
      </w:pPr>
    </w:p>
    <w:p w14:paraId="6A732370" w14:textId="77777777" w:rsidR="002D7B36" w:rsidRPr="00DE12A3" w:rsidRDefault="00301668" w:rsidP="00E20716">
      <w:pPr>
        <w:pStyle w:val="Gvdemetni251"/>
        <w:numPr>
          <w:ilvl w:val="2"/>
          <w:numId w:val="421"/>
        </w:numPr>
        <w:shd w:val="clear" w:color="auto" w:fill="auto"/>
        <w:spacing w:before="120" w:after="120" w:line="240" w:lineRule="auto"/>
        <w:ind w:left="1134" w:hanging="1134"/>
        <w:rPr>
          <w:color w:val="auto"/>
          <w:sz w:val="24"/>
          <w:szCs w:val="24"/>
        </w:rPr>
      </w:pPr>
      <w:r w:rsidRPr="00DE12A3">
        <w:rPr>
          <w:color w:val="auto"/>
          <w:sz w:val="24"/>
          <w:szCs w:val="24"/>
        </w:rPr>
        <w:t xml:space="preserve">       </w:t>
      </w:r>
      <w:r w:rsidR="00242DA0" w:rsidRPr="00DE12A3">
        <w:rPr>
          <w:color w:val="auto"/>
          <w:sz w:val="24"/>
          <w:szCs w:val="24"/>
        </w:rPr>
        <w:t>Yaş hava</w:t>
      </w:r>
    </w:p>
    <w:p w14:paraId="5E23648A" w14:textId="77777777" w:rsidR="002D7B36" w:rsidRPr="00DE12A3" w:rsidRDefault="00301668" w:rsidP="00C917D6">
      <w:pPr>
        <w:pStyle w:val="Gvdemetni251"/>
        <w:shd w:val="clear" w:color="auto" w:fill="auto"/>
        <w:spacing w:before="120" w:after="120" w:line="240" w:lineRule="auto"/>
        <w:ind w:left="1134" w:hanging="1134"/>
        <w:rPr>
          <w:color w:val="auto"/>
          <w:sz w:val="24"/>
          <w:szCs w:val="24"/>
        </w:rPr>
      </w:pPr>
      <w:r w:rsidRPr="00DE12A3">
        <w:rPr>
          <w:color w:val="auto"/>
          <w:sz w:val="24"/>
          <w:szCs w:val="24"/>
        </w:rPr>
        <w:t xml:space="preserve">                    </w:t>
      </w:r>
      <w:r w:rsidR="00242DA0" w:rsidRPr="00DE12A3">
        <w:rPr>
          <w:color w:val="auto"/>
          <w:sz w:val="24"/>
          <w:szCs w:val="24"/>
        </w:rPr>
        <w:t>Bu bölümde bir ideal gaz içindeki su miktarının nasıl belirleneceği açıklanmaktadır:</w:t>
      </w:r>
    </w:p>
    <w:p w14:paraId="0ED4EEB5" w14:textId="77777777" w:rsidR="002D7B36" w:rsidRPr="00DE12A3" w:rsidRDefault="00242DA0" w:rsidP="00E20716">
      <w:pPr>
        <w:pStyle w:val="Gvdemetni251"/>
        <w:numPr>
          <w:ilvl w:val="0"/>
          <w:numId w:val="422"/>
        </w:numPr>
        <w:shd w:val="clear" w:color="auto" w:fill="auto"/>
        <w:spacing w:before="120" w:after="120" w:line="240" w:lineRule="auto"/>
        <w:ind w:left="1134" w:hanging="1134"/>
        <w:rPr>
          <w:color w:val="auto"/>
          <w:sz w:val="24"/>
          <w:szCs w:val="24"/>
        </w:rPr>
      </w:pPr>
      <w:r w:rsidRPr="00DE12A3">
        <w:rPr>
          <w:color w:val="auto"/>
          <w:sz w:val="24"/>
          <w:szCs w:val="24"/>
        </w:rPr>
        <w:t>Suyun buhar basıncı</w:t>
      </w:r>
    </w:p>
    <w:p w14:paraId="19D650CD" w14:textId="40C9BB7C" w:rsidR="002D7B36" w:rsidRPr="00DE12A3" w:rsidRDefault="00301668" w:rsidP="00C917D6">
      <w:pPr>
        <w:pStyle w:val="Gvdemetni251"/>
        <w:shd w:val="clear" w:color="auto" w:fill="auto"/>
        <w:spacing w:before="120" w:after="120" w:line="240" w:lineRule="auto"/>
        <w:ind w:left="1134" w:hanging="1134"/>
        <w:rPr>
          <w:color w:val="auto"/>
          <w:sz w:val="24"/>
          <w:szCs w:val="24"/>
        </w:rPr>
      </w:pPr>
      <w:r w:rsidRPr="00DE12A3">
        <w:rPr>
          <w:color w:val="auto"/>
          <w:sz w:val="24"/>
          <w:szCs w:val="24"/>
        </w:rPr>
        <w:t xml:space="preserve">                  </w:t>
      </w:r>
      <w:r w:rsidR="00242DA0" w:rsidRPr="00DE12A3">
        <w:rPr>
          <w:color w:val="auto"/>
          <w:sz w:val="24"/>
          <w:szCs w:val="24"/>
        </w:rPr>
        <w:t xml:space="preserve">Verilen bir doyma sıcaklığı koşulu </w:t>
      </w:r>
      <w:r w:rsidR="00242DA0" w:rsidRPr="00DE12A3">
        <w:rPr>
          <w:i/>
          <w:iCs/>
          <w:color w:val="auto"/>
          <w:sz w:val="24"/>
          <w:szCs w:val="24"/>
        </w:rPr>
        <w:t>T</w:t>
      </w:r>
      <w:r w:rsidR="00242DA0" w:rsidRPr="00DE12A3">
        <w:rPr>
          <w:color w:val="auto"/>
          <w:sz w:val="24"/>
          <w:szCs w:val="24"/>
          <w:vertAlign w:val="subscript"/>
        </w:rPr>
        <w:t>sat</w:t>
      </w:r>
      <w:r w:rsidR="00242DA0" w:rsidRPr="00DE12A3">
        <w:rPr>
          <w:color w:val="auto"/>
          <w:sz w:val="24"/>
          <w:szCs w:val="24"/>
        </w:rPr>
        <w:t xml:space="preserve"> [K] için suyun buhar basıncı </w:t>
      </w:r>
      <w:r w:rsidR="00242DA0" w:rsidRPr="00DE12A3">
        <w:rPr>
          <w:i/>
          <w:iCs/>
          <w:color w:val="auto"/>
          <w:sz w:val="24"/>
          <w:szCs w:val="24"/>
        </w:rPr>
        <w:t>p</w:t>
      </w:r>
      <w:r w:rsidR="00242DA0" w:rsidRPr="00DE12A3">
        <w:rPr>
          <w:color w:val="auto"/>
          <w:sz w:val="24"/>
          <w:szCs w:val="24"/>
          <w:vertAlign w:val="subscript"/>
        </w:rPr>
        <w:t>H2O</w:t>
      </w:r>
      <w:r w:rsidR="00242DA0" w:rsidRPr="00DE12A3">
        <w:rPr>
          <w:color w:val="auto"/>
          <w:sz w:val="24"/>
          <w:szCs w:val="24"/>
        </w:rPr>
        <w:t xml:space="preserve"> [kPa], (7-77) veya (7-78) </w:t>
      </w:r>
      <w:r w:rsidR="00962CA1" w:rsidRPr="00DE12A3">
        <w:rPr>
          <w:color w:val="auto"/>
          <w:sz w:val="24"/>
          <w:szCs w:val="24"/>
        </w:rPr>
        <w:t>numaralı</w:t>
      </w:r>
      <w:r w:rsidR="00962CA1" w:rsidRPr="00DE12A3" w:rsidDel="00962CA1">
        <w:rPr>
          <w:color w:val="auto"/>
          <w:sz w:val="24"/>
          <w:szCs w:val="24"/>
        </w:rPr>
        <w:t xml:space="preserve"> </w:t>
      </w:r>
      <w:r w:rsidR="00242DA0" w:rsidRPr="00DE12A3">
        <w:rPr>
          <w:color w:val="auto"/>
          <w:sz w:val="24"/>
          <w:szCs w:val="24"/>
        </w:rPr>
        <w:t>denklem ile hesaplanmalıdır:</w:t>
      </w:r>
    </w:p>
    <w:p w14:paraId="4DE6810B" w14:textId="162A4E27" w:rsidR="003B4438" w:rsidRPr="00DE12A3" w:rsidRDefault="003B4438" w:rsidP="00E20716">
      <w:pPr>
        <w:pStyle w:val="Gvdemetni251"/>
        <w:numPr>
          <w:ilvl w:val="0"/>
          <w:numId w:val="423"/>
        </w:numPr>
        <w:shd w:val="clear" w:color="auto" w:fill="auto"/>
        <w:spacing w:before="120" w:after="120" w:line="240" w:lineRule="auto"/>
        <w:ind w:left="1701" w:firstLine="0"/>
        <w:rPr>
          <w:color w:val="auto"/>
          <w:sz w:val="24"/>
          <w:szCs w:val="24"/>
        </w:rPr>
      </w:pPr>
      <w:r w:rsidRPr="00DE12A3">
        <w:rPr>
          <w:color w:val="auto"/>
          <w:sz w:val="24"/>
          <w:szCs w:val="24"/>
        </w:rPr>
        <w:t xml:space="preserve">     </w:t>
      </w:r>
      <w:r w:rsidR="00242DA0" w:rsidRPr="00DE12A3">
        <w:rPr>
          <w:color w:val="auto"/>
          <w:sz w:val="24"/>
          <w:szCs w:val="24"/>
        </w:rPr>
        <w:t xml:space="preserve">0 ila 100 °C arasındaki ortam sıcaklıklarında yapılan nem ölçümleri veya </w:t>
      </w:r>
      <w:r w:rsidRPr="00DE12A3">
        <w:rPr>
          <w:color w:val="auto"/>
          <w:sz w:val="24"/>
          <w:szCs w:val="24"/>
        </w:rPr>
        <w:t xml:space="preserve">   </w:t>
      </w:r>
      <w:r w:rsidR="00242DA0" w:rsidRPr="00DE12A3">
        <w:rPr>
          <w:color w:val="auto"/>
          <w:sz w:val="24"/>
          <w:szCs w:val="24"/>
        </w:rPr>
        <w:t>- 50 il</w:t>
      </w:r>
      <w:r w:rsidRPr="00DE12A3">
        <w:rPr>
          <w:color w:val="auto"/>
          <w:sz w:val="24"/>
          <w:szCs w:val="24"/>
        </w:rPr>
        <w:t xml:space="preserve">a 0 °C arasındaki ortam sıcaklıklarında süper soğutulmuş su </w:t>
      </w:r>
      <w:r w:rsidRPr="00DE12A3">
        <w:rPr>
          <w:color w:val="auto"/>
          <w:sz w:val="24"/>
          <w:szCs w:val="24"/>
        </w:rPr>
        <w:lastRenderedPageBreak/>
        <w:t>üzerinde yapılan nem ölçümleri için</w:t>
      </w:r>
      <w:r w:rsidR="00CE15BA" w:rsidRPr="00DE12A3">
        <w:rPr>
          <w:color w:val="auto"/>
          <w:sz w:val="24"/>
          <w:szCs w:val="24"/>
        </w:rPr>
        <w:t>;</w:t>
      </w:r>
    </w:p>
    <w:tbl>
      <w:tblPr>
        <w:tblW w:w="9886" w:type="dxa"/>
        <w:tblInd w:w="-318" w:type="dxa"/>
        <w:tblLayout w:type="fixed"/>
        <w:tblLook w:val="0000" w:firstRow="0" w:lastRow="0" w:firstColumn="0" w:lastColumn="0" w:noHBand="0" w:noVBand="0"/>
      </w:tblPr>
      <w:tblGrid>
        <w:gridCol w:w="8931"/>
        <w:gridCol w:w="955"/>
      </w:tblGrid>
      <w:tr w:rsidR="00DE12A3" w:rsidRPr="00DE12A3" w14:paraId="5A11CD22" w14:textId="77777777" w:rsidTr="005E5CEE">
        <w:trPr>
          <w:trHeight w:val="1313"/>
        </w:trPr>
        <w:tc>
          <w:tcPr>
            <w:tcW w:w="8931" w:type="dxa"/>
            <w:tcBorders>
              <w:top w:val="single" w:sz="2" w:space="0" w:color="auto"/>
              <w:left w:val="single" w:sz="2" w:space="0" w:color="auto"/>
              <w:bottom w:val="single" w:sz="2" w:space="0" w:color="auto"/>
              <w:right w:val="single" w:sz="2" w:space="0" w:color="auto"/>
            </w:tcBorders>
          </w:tcPr>
          <w:p w14:paraId="1EF16228" w14:textId="2C0D719F" w:rsidR="003B4438" w:rsidRPr="00DE12A3" w:rsidRDefault="003B4438" w:rsidP="003B4438">
            <w:pPr>
              <w:pStyle w:val="NormalLeft"/>
              <w:jc w:val="both"/>
            </w:pPr>
            <w:r w:rsidRPr="00DE12A3">
              <w:rPr>
                <w:noProof/>
                <w:lang w:val="tr-TR"/>
              </w:rPr>
              <w:drawing>
                <wp:inline distT="0" distB="0" distL="0" distR="0" wp14:anchorId="5E2BF16E" wp14:editId="1D18B197">
                  <wp:extent cx="5501640" cy="723900"/>
                  <wp:effectExtent l="0" t="0" r="3810" b="0"/>
                  <wp:docPr id="180" name="Resim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5501640" cy="723900"/>
                          </a:xfrm>
                          <a:prstGeom prst="rect">
                            <a:avLst/>
                          </a:prstGeom>
                          <a:noFill/>
                          <a:ln>
                            <a:noFill/>
                          </a:ln>
                        </pic:spPr>
                      </pic:pic>
                    </a:graphicData>
                  </a:graphic>
                </wp:inline>
              </w:drawing>
            </w:r>
          </w:p>
        </w:tc>
        <w:tc>
          <w:tcPr>
            <w:tcW w:w="955" w:type="dxa"/>
            <w:tcBorders>
              <w:top w:val="single" w:sz="2" w:space="0" w:color="auto"/>
              <w:left w:val="single" w:sz="2" w:space="0" w:color="auto"/>
              <w:bottom w:val="single" w:sz="2" w:space="0" w:color="auto"/>
              <w:right w:val="single" w:sz="2" w:space="0" w:color="auto"/>
            </w:tcBorders>
          </w:tcPr>
          <w:p w14:paraId="2D4F663C" w14:textId="77777777" w:rsidR="003B4438" w:rsidRPr="00DE12A3" w:rsidRDefault="003B4438" w:rsidP="003B4438">
            <w:pPr>
              <w:pStyle w:val="NormalLeft"/>
              <w:jc w:val="both"/>
            </w:pPr>
            <w:r w:rsidRPr="00DE12A3">
              <w:t>(7-77)</w:t>
            </w:r>
          </w:p>
        </w:tc>
      </w:tr>
    </w:tbl>
    <w:p w14:paraId="77F77A2C" w14:textId="77777777" w:rsidR="003B4438" w:rsidRPr="00DE12A3" w:rsidRDefault="003B4438" w:rsidP="003B4438">
      <w:pPr>
        <w:pStyle w:val="Gvdemetni251"/>
        <w:shd w:val="clear" w:color="auto" w:fill="auto"/>
        <w:spacing w:before="120" w:after="120" w:line="240" w:lineRule="auto"/>
        <w:ind w:firstLine="0"/>
        <w:rPr>
          <w:color w:val="auto"/>
          <w:sz w:val="24"/>
          <w:szCs w:val="24"/>
        </w:rPr>
      </w:pPr>
    </w:p>
    <w:p w14:paraId="6C16EE9B" w14:textId="7004FA4B" w:rsidR="003B4438" w:rsidRPr="00DE12A3" w:rsidRDefault="003B4438" w:rsidP="003B4438">
      <w:pPr>
        <w:pStyle w:val="Gvdemetni251"/>
        <w:shd w:val="clear" w:color="auto" w:fill="auto"/>
        <w:spacing w:before="120" w:after="120" w:line="240" w:lineRule="auto"/>
        <w:ind w:left="1134" w:firstLine="0"/>
        <w:rPr>
          <w:color w:val="auto"/>
          <w:sz w:val="24"/>
          <w:szCs w:val="24"/>
        </w:rPr>
      </w:pPr>
      <w:r w:rsidRPr="00DE12A3">
        <w:rPr>
          <w:color w:val="auto"/>
          <w:sz w:val="24"/>
          <w:szCs w:val="24"/>
        </w:rPr>
        <w:t>Burada</w:t>
      </w:r>
      <w:r w:rsidR="00CE15BA" w:rsidRPr="00DE12A3">
        <w:rPr>
          <w:color w:val="auto"/>
          <w:sz w:val="24"/>
          <w:szCs w:val="24"/>
        </w:rPr>
        <w:t>:</w:t>
      </w:r>
    </w:p>
    <w:tbl>
      <w:tblPr>
        <w:tblW w:w="7115" w:type="dxa"/>
        <w:jc w:val="center"/>
        <w:tblLayout w:type="fixed"/>
        <w:tblLook w:val="0000" w:firstRow="0" w:lastRow="0" w:firstColumn="0" w:lastColumn="0" w:noHBand="0" w:noVBand="0"/>
      </w:tblPr>
      <w:tblGrid>
        <w:gridCol w:w="838"/>
        <w:gridCol w:w="336"/>
        <w:gridCol w:w="5941"/>
      </w:tblGrid>
      <w:tr w:rsidR="00DE12A3" w:rsidRPr="00DE12A3" w14:paraId="71337CF3" w14:textId="77777777" w:rsidTr="00A82D7E">
        <w:trPr>
          <w:trHeight w:val="396"/>
          <w:jc w:val="center"/>
        </w:trPr>
        <w:tc>
          <w:tcPr>
            <w:tcW w:w="838" w:type="dxa"/>
            <w:tcBorders>
              <w:top w:val="single" w:sz="2" w:space="0" w:color="auto"/>
              <w:left w:val="single" w:sz="2" w:space="0" w:color="auto"/>
              <w:bottom w:val="single" w:sz="2" w:space="0" w:color="auto"/>
              <w:right w:val="single" w:sz="2" w:space="0" w:color="auto"/>
            </w:tcBorders>
          </w:tcPr>
          <w:p w14:paraId="46CC9DA1" w14:textId="77777777" w:rsidR="003B4438" w:rsidRPr="00DE12A3" w:rsidRDefault="003B4438" w:rsidP="003B4438">
            <w:pPr>
              <w:pStyle w:val="NormalLeft"/>
              <w:jc w:val="both"/>
            </w:pPr>
            <w:r w:rsidRPr="00DE12A3">
              <w:rPr>
                <w:i/>
                <w:iCs/>
              </w:rPr>
              <w:t>p</w:t>
            </w:r>
            <w:r w:rsidRPr="00DE12A3">
              <w:rPr>
                <w:vertAlign w:val="subscript"/>
              </w:rPr>
              <w:t>H2O</w:t>
            </w:r>
          </w:p>
        </w:tc>
        <w:tc>
          <w:tcPr>
            <w:tcW w:w="336" w:type="dxa"/>
            <w:tcBorders>
              <w:top w:val="single" w:sz="2" w:space="0" w:color="auto"/>
              <w:left w:val="single" w:sz="2" w:space="0" w:color="auto"/>
              <w:bottom w:val="single" w:sz="2" w:space="0" w:color="auto"/>
              <w:right w:val="single" w:sz="2" w:space="0" w:color="auto"/>
            </w:tcBorders>
          </w:tcPr>
          <w:p w14:paraId="32C803EE" w14:textId="77777777" w:rsidR="003B4438" w:rsidRPr="00DE12A3" w:rsidRDefault="003B4438" w:rsidP="003B4438">
            <w:pPr>
              <w:pStyle w:val="NormalLeft"/>
              <w:jc w:val="both"/>
            </w:pPr>
            <w:r w:rsidRPr="00DE12A3">
              <w:t>=</w:t>
            </w:r>
          </w:p>
        </w:tc>
        <w:tc>
          <w:tcPr>
            <w:tcW w:w="5941" w:type="dxa"/>
            <w:tcBorders>
              <w:top w:val="single" w:sz="2" w:space="0" w:color="auto"/>
              <w:left w:val="single" w:sz="2" w:space="0" w:color="auto"/>
              <w:bottom w:val="single" w:sz="2" w:space="0" w:color="auto"/>
              <w:right w:val="single" w:sz="2" w:space="0" w:color="auto"/>
            </w:tcBorders>
          </w:tcPr>
          <w:p w14:paraId="3E4B7E27" w14:textId="77777777" w:rsidR="003B4438" w:rsidRPr="00DE12A3" w:rsidRDefault="003B4438" w:rsidP="003B4438">
            <w:pPr>
              <w:pStyle w:val="NormalLeft"/>
              <w:jc w:val="both"/>
            </w:pPr>
            <w:r w:rsidRPr="00DE12A3">
              <w:t xml:space="preserve">Doyma sıcaklığı </w:t>
            </w:r>
            <w:r w:rsidR="0053289F" w:rsidRPr="00DE12A3">
              <w:t>gerekliliklerine</w:t>
            </w:r>
            <w:r w:rsidRPr="00DE12A3">
              <w:t>ki suyun buhar basıncı [kPa]</w:t>
            </w:r>
          </w:p>
        </w:tc>
      </w:tr>
      <w:tr w:rsidR="00DE12A3" w:rsidRPr="00DE12A3" w14:paraId="27599CB0" w14:textId="77777777" w:rsidTr="00A82D7E">
        <w:trPr>
          <w:trHeight w:val="405"/>
          <w:jc w:val="center"/>
        </w:trPr>
        <w:tc>
          <w:tcPr>
            <w:tcW w:w="838" w:type="dxa"/>
            <w:tcBorders>
              <w:top w:val="single" w:sz="2" w:space="0" w:color="auto"/>
              <w:left w:val="single" w:sz="2" w:space="0" w:color="auto"/>
              <w:bottom w:val="single" w:sz="2" w:space="0" w:color="auto"/>
              <w:right w:val="single" w:sz="2" w:space="0" w:color="auto"/>
            </w:tcBorders>
          </w:tcPr>
          <w:p w14:paraId="5F4D6DDC" w14:textId="77777777" w:rsidR="003B4438" w:rsidRPr="00DE12A3" w:rsidRDefault="003B4438" w:rsidP="003B4438">
            <w:pPr>
              <w:pStyle w:val="NormalLeft"/>
              <w:jc w:val="both"/>
            </w:pPr>
            <w:r w:rsidRPr="00DE12A3">
              <w:rPr>
                <w:i/>
                <w:iCs/>
              </w:rPr>
              <w:t>T</w:t>
            </w:r>
            <w:r w:rsidRPr="00DE12A3">
              <w:rPr>
                <w:vertAlign w:val="subscript"/>
              </w:rPr>
              <w:t>sat</w:t>
            </w:r>
          </w:p>
        </w:tc>
        <w:tc>
          <w:tcPr>
            <w:tcW w:w="336" w:type="dxa"/>
            <w:tcBorders>
              <w:top w:val="single" w:sz="2" w:space="0" w:color="auto"/>
              <w:left w:val="single" w:sz="2" w:space="0" w:color="auto"/>
              <w:bottom w:val="single" w:sz="2" w:space="0" w:color="auto"/>
              <w:right w:val="single" w:sz="2" w:space="0" w:color="auto"/>
            </w:tcBorders>
          </w:tcPr>
          <w:p w14:paraId="387C8D3B" w14:textId="77777777" w:rsidR="003B4438" w:rsidRPr="00DE12A3" w:rsidRDefault="003B4438" w:rsidP="003B4438">
            <w:pPr>
              <w:pStyle w:val="NormalLeft"/>
              <w:jc w:val="both"/>
            </w:pPr>
            <w:r w:rsidRPr="00DE12A3">
              <w:t>=</w:t>
            </w:r>
          </w:p>
        </w:tc>
        <w:tc>
          <w:tcPr>
            <w:tcW w:w="5941" w:type="dxa"/>
            <w:tcBorders>
              <w:top w:val="single" w:sz="2" w:space="0" w:color="auto"/>
              <w:left w:val="single" w:sz="2" w:space="0" w:color="auto"/>
              <w:bottom w:val="single" w:sz="2" w:space="0" w:color="auto"/>
              <w:right w:val="single" w:sz="2" w:space="0" w:color="auto"/>
            </w:tcBorders>
          </w:tcPr>
          <w:p w14:paraId="1D42D106" w14:textId="77777777" w:rsidR="003B4438" w:rsidRPr="00DE12A3" w:rsidRDefault="003B4438" w:rsidP="003B4438">
            <w:pPr>
              <w:pStyle w:val="Gvdemetni251"/>
              <w:shd w:val="clear" w:color="auto" w:fill="auto"/>
              <w:spacing w:before="120" w:after="120" w:line="240" w:lineRule="auto"/>
              <w:ind w:firstLine="0"/>
              <w:rPr>
                <w:color w:val="auto"/>
              </w:rPr>
            </w:pPr>
            <w:r w:rsidRPr="00DE12A3">
              <w:rPr>
                <w:color w:val="auto"/>
                <w:sz w:val="24"/>
                <w:szCs w:val="24"/>
              </w:rPr>
              <w:t>Ölçülen şartlardaki suyun doyma sıcaklığı [K]</w:t>
            </w:r>
          </w:p>
        </w:tc>
      </w:tr>
    </w:tbl>
    <w:p w14:paraId="33DCC6AF" w14:textId="0A02FE12" w:rsidR="002D7B36" w:rsidRPr="00DE12A3" w:rsidRDefault="003B4438" w:rsidP="00E20716">
      <w:pPr>
        <w:pStyle w:val="Gvdemetni251"/>
        <w:numPr>
          <w:ilvl w:val="0"/>
          <w:numId w:val="423"/>
        </w:numPr>
        <w:shd w:val="clear" w:color="auto" w:fill="auto"/>
        <w:spacing w:before="120" w:after="120" w:line="240" w:lineRule="auto"/>
        <w:ind w:left="1701" w:firstLine="0"/>
        <w:rPr>
          <w:color w:val="auto"/>
          <w:sz w:val="24"/>
          <w:szCs w:val="24"/>
        </w:rPr>
      </w:pPr>
      <w:r w:rsidRPr="00DE12A3">
        <w:rPr>
          <w:color w:val="auto"/>
          <w:sz w:val="24"/>
          <w:szCs w:val="24"/>
        </w:rPr>
        <w:t xml:space="preserve">(– 100 ila 0) °C </w:t>
      </w:r>
      <w:r w:rsidR="00242DA0" w:rsidRPr="00DE12A3">
        <w:rPr>
          <w:color w:val="auto"/>
          <w:sz w:val="24"/>
          <w:szCs w:val="24"/>
        </w:rPr>
        <w:t>arasındaki ortam sıcaklıklarında aşırı soğutulmuş</w:t>
      </w:r>
      <w:r w:rsidRPr="00DE12A3">
        <w:rPr>
          <w:color w:val="auto"/>
          <w:sz w:val="24"/>
          <w:szCs w:val="24"/>
        </w:rPr>
        <w:t xml:space="preserve"> (buz)</w:t>
      </w:r>
      <w:r w:rsidR="00242DA0" w:rsidRPr="00DE12A3">
        <w:rPr>
          <w:color w:val="auto"/>
          <w:sz w:val="24"/>
          <w:szCs w:val="24"/>
        </w:rPr>
        <w:t xml:space="preserve"> su üzerinde yapılan nem ölçümleri için</w:t>
      </w:r>
      <w:r w:rsidR="00CE15BA" w:rsidRPr="00DE12A3">
        <w:rPr>
          <w:color w:val="auto"/>
          <w:sz w:val="24"/>
          <w:szCs w:val="24"/>
        </w:rPr>
        <w:t>;</w:t>
      </w:r>
    </w:p>
    <w:p w14:paraId="37BEEAA3" w14:textId="77777777" w:rsidR="002D7B36" w:rsidRPr="00DE12A3" w:rsidRDefault="00242DA0" w:rsidP="00C917D6">
      <w:pPr>
        <w:pStyle w:val="Gvdemetni251"/>
        <w:shd w:val="clear" w:color="auto" w:fill="auto"/>
        <w:spacing w:before="120" w:after="120" w:line="240" w:lineRule="auto"/>
        <w:ind w:left="1134" w:firstLine="0"/>
        <w:rPr>
          <w:color w:val="auto"/>
          <w:sz w:val="24"/>
          <w:szCs w:val="24"/>
        </w:rPr>
      </w:pPr>
      <w:r w:rsidRPr="00DE12A3">
        <w:rPr>
          <w:color w:val="auto"/>
          <w:sz w:val="24"/>
          <w:szCs w:val="24"/>
        </w:rPr>
        <w:t>Burada:</w:t>
      </w:r>
    </w:p>
    <w:p w14:paraId="323C387F" w14:textId="77777777" w:rsidR="002D7B36" w:rsidRPr="00DE12A3" w:rsidRDefault="00242DA0" w:rsidP="00C917D6">
      <w:pPr>
        <w:pStyle w:val="Gvdemetni251"/>
        <w:shd w:val="clear" w:color="auto" w:fill="auto"/>
        <w:spacing w:before="120" w:after="120" w:line="240" w:lineRule="auto"/>
        <w:ind w:left="1134" w:firstLine="0"/>
        <w:rPr>
          <w:color w:val="auto"/>
          <w:sz w:val="24"/>
          <w:szCs w:val="24"/>
        </w:rPr>
      </w:pPr>
      <w:r w:rsidRPr="00DE12A3">
        <w:rPr>
          <w:i/>
          <w:iCs/>
          <w:color w:val="auto"/>
          <w:sz w:val="24"/>
          <w:szCs w:val="24"/>
        </w:rPr>
        <w:t>T</w:t>
      </w:r>
      <w:r w:rsidRPr="00DE12A3">
        <w:rPr>
          <w:color w:val="auto"/>
          <w:sz w:val="24"/>
          <w:szCs w:val="24"/>
          <w:vertAlign w:val="subscript"/>
        </w:rPr>
        <w:t>sat</w:t>
      </w:r>
      <w:r w:rsidRPr="00DE12A3">
        <w:rPr>
          <w:color w:val="auto"/>
          <w:sz w:val="24"/>
          <w:szCs w:val="24"/>
        </w:rPr>
        <w:t xml:space="preserve"> = ölçülen koşulda suyun doyma sıcaklığı [K]</w:t>
      </w:r>
    </w:p>
    <w:p w14:paraId="4B502C57" w14:textId="77777777" w:rsidR="002D7B36" w:rsidRPr="00DE12A3" w:rsidRDefault="00301668" w:rsidP="00E20716">
      <w:pPr>
        <w:pStyle w:val="Gvdemetni251"/>
        <w:numPr>
          <w:ilvl w:val="0"/>
          <w:numId w:val="422"/>
        </w:numPr>
        <w:shd w:val="clear" w:color="auto" w:fill="auto"/>
        <w:tabs>
          <w:tab w:val="left" w:pos="760"/>
        </w:tabs>
        <w:spacing w:before="120" w:after="120" w:line="240" w:lineRule="auto"/>
        <w:ind w:left="1134" w:hanging="1134"/>
        <w:rPr>
          <w:color w:val="auto"/>
          <w:sz w:val="24"/>
          <w:szCs w:val="24"/>
        </w:rPr>
      </w:pPr>
      <w:r w:rsidRPr="00DE12A3">
        <w:rPr>
          <w:color w:val="auto"/>
          <w:sz w:val="24"/>
          <w:szCs w:val="24"/>
        </w:rPr>
        <w:t xml:space="preserve">      </w:t>
      </w:r>
      <w:r w:rsidR="00242DA0" w:rsidRPr="00DE12A3">
        <w:rPr>
          <w:color w:val="auto"/>
          <w:sz w:val="24"/>
          <w:szCs w:val="24"/>
        </w:rPr>
        <w:t>Yoğuşma noktası</w:t>
      </w:r>
    </w:p>
    <w:p w14:paraId="5DC1D507" w14:textId="2FD99E87" w:rsidR="002D7B36" w:rsidRPr="00DE12A3" w:rsidRDefault="00301668" w:rsidP="00C917D6">
      <w:pPr>
        <w:pStyle w:val="Gvdemetni251"/>
        <w:shd w:val="clear" w:color="auto" w:fill="auto"/>
        <w:spacing w:before="120" w:after="120" w:line="240" w:lineRule="auto"/>
        <w:ind w:left="1134" w:hanging="1134"/>
        <w:rPr>
          <w:color w:val="auto"/>
          <w:sz w:val="24"/>
          <w:szCs w:val="24"/>
        </w:rPr>
      </w:pPr>
      <w:r w:rsidRPr="00DE12A3">
        <w:rPr>
          <w:color w:val="auto"/>
          <w:sz w:val="24"/>
          <w:szCs w:val="24"/>
        </w:rPr>
        <w:t xml:space="preserve">                   </w:t>
      </w:r>
      <w:r w:rsidR="00242DA0" w:rsidRPr="00DE12A3">
        <w:rPr>
          <w:color w:val="auto"/>
          <w:sz w:val="24"/>
          <w:szCs w:val="24"/>
        </w:rPr>
        <w:t xml:space="preserve">Nem bir yoğuşma noktası olarak ölçülürse, bir ideal gazın içindeki su miktarı </w:t>
      </w:r>
      <w:r w:rsidR="003B4438" w:rsidRPr="00DE12A3">
        <w:rPr>
          <w:i/>
          <w:iCs/>
          <w:color w:val="auto"/>
          <w:sz w:val="24"/>
          <w:szCs w:val="24"/>
        </w:rPr>
        <w:t>x</w:t>
      </w:r>
      <w:r w:rsidR="003B4438" w:rsidRPr="00DE12A3">
        <w:rPr>
          <w:color w:val="auto"/>
          <w:sz w:val="24"/>
          <w:szCs w:val="24"/>
          <w:vertAlign w:val="subscript"/>
        </w:rPr>
        <w:t>H2O</w:t>
      </w:r>
      <w:r w:rsidR="00242DA0" w:rsidRPr="00DE12A3">
        <w:rPr>
          <w:color w:val="auto"/>
          <w:sz w:val="24"/>
          <w:szCs w:val="24"/>
        </w:rPr>
        <w:t xml:space="preserve"> [mol/mol], (7-79) </w:t>
      </w:r>
      <w:r w:rsidR="00962CA1" w:rsidRPr="00DE12A3">
        <w:rPr>
          <w:color w:val="auto"/>
          <w:sz w:val="24"/>
          <w:szCs w:val="24"/>
        </w:rPr>
        <w:t>numaralı</w:t>
      </w:r>
      <w:r w:rsidR="00962CA1" w:rsidRPr="00DE12A3" w:rsidDel="00962CA1">
        <w:rPr>
          <w:color w:val="auto"/>
          <w:sz w:val="24"/>
          <w:szCs w:val="24"/>
        </w:rPr>
        <w:t xml:space="preserve"> </w:t>
      </w:r>
      <w:r w:rsidR="00242DA0" w:rsidRPr="00DE12A3">
        <w:rPr>
          <w:color w:val="auto"/>
          <w:sz w:val="24"/>
          <w:szCs w:val="24"/>
        </w:rPr>
        <w:t xml:space="preserve"> denklem ile elde edilmelidir:</w:t>
      </w:r>
    </w:p>
    <w:tbl>
      <w:tblPr>
        <w:tblW w:w="0" w:type="auto"/>
        <w:tblInd w:w="3157" w:type="dxa"/>
        <w:tblLayout w:type="fixed"/>
        <w:tblLook w:val="0000" w:firstRow="0" w:lastRow="0" w:firstColumn="0" w:lastColumn="0" w:noHBand="0" w:noVBand="0"/>
      </w:tblPr>
      <w:tblGrid>
        <w:gridCol w:w="3821"/>
        <w:gridCol w:w="1798"/>
      </w:tblGrid>
      <w:tr w:rsidR="00DE12A3" w:rsidRPr="00DE12A3" w14:paraId="5A0E1CCA" w14:textId="77777777" w:rsidTr="005E5CEE">
        <w:trPr>
          <w:trHeight w:val="771"/>
        </w:trPr>
        <w:tc>
          <w:tcPr>
            <w:tcW w:w="3821" w:type="dxa"/>
            <w:tcBorders>
              <w:top w:val="single" w:sz="2" w:space="0" w:color="auto"/>
              <w:left w:val="single" w:sz="2" w:space="0" w:color="auto"/>
              <w:bottom w:val="single" w:sz="2" w:space="0" w:color="auto"/>
              <w:right w:val="single" w:sz="2" w:space="0" w:color="auto"/>
            </w:tcBorders>
          </w:tcPr>
          <w:p w14:paraId="70165C0F" w14:textId="03FEB208" w:rsidR="005E5CEE" w:rsidRPr="00DE12A3" w:rsidRDefault="005E5CEE" w:rsidP="00AA5E93">
            <w:pPr>
              <w:pStyle w:val="NormalLeft"/>
              <w:jc w:val="both"/>
            </w:pPr>
            <w:r w:rsidRPr="00DE12A3">
              <w:rPr>
                <w:noProof/>
                <w:lang w:val="tr-TR"/>
              </w:rPr>
              <w:drawing>
                <wp:inline distT="0" distB="0" distL="0" distR="0" wp14:anchorId="00AD9AD6" wp14:editId="5761ADD8">
                  <wp:extent cx="1440180" cy="342804"/>
                  <wp:effectExtent l="0" t="0" r="0" b="635"/>
                  <wp:docPr id="178" name="Resim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1588399" cy="378084"/>
                          </a:xfrm>
                          <a:prstGeom prst="rect">
                            <a:avLst/>
                          </a:prstGeom>
                          <a:noFill/>
                          <a:ln>
                            <a:noFill/>
                          </a:ln>
                        </pic:spPr>
                      </pic:pic>
                    </a:graphicData>
                  </a:graphic>
                </wp:inline>
              </w:drawing>
            </w:r>
          </w:p>
        </w:tc>
        <w:tc>
          <w:tcPr>
            <w:tcW w:w="1798" w:type="dxa"/>
            <w:tcBorders>
              <w:top w:val="single" w:sz="2" w:space="0" w:color="auto"/>
              <w:left w:val="single" w:sz="2" w:space="0" w:color="auto"/>
              <w:bottom w:val="single" w:sz="2" w:space="0" w:color="auto"/>
              <w:right w:val="single" w:sz="2" w:space="0" w:color="auto"/>
            </w:tcBorders>
          </w:tcPr>
          <w:p w14:paraId="24D6A895" w14:textId="77777777" w:rsidR="005E5CEE" w:rsidRPr="00DE12A3" w:rsidRDefault="005E5CEE" w:rsidP="00AA5E93">
            <w:pPr>
              <w:pStyle w:val="NormalLeft"/>
              <w:jc w:val="both"/>
            </w:pPr>
            <w:r w:rsidRPr="00DE12A3">
              <w:t>(7-79)</w:t>
            </w:r>
          </w:p>
        </w:tc>
      </w:tr>
    </w:tbl>
    <w:p w14:paraId="6A736838" w14:textId="77777777" w:rsidR="002D7B36" w:rsidRPr="00DE12A3" w:rsidRDefault="00242DA0" w:rsidP="00C917D6">
      <w:pPr>
        <w:pStyle w:val="Gvdemetni251"/>
        <w:shd w:val="clear" w:color="auto" w:fill="auto"/>
        <w:spacing w:before="120" w:after="120" w:line="240" w:lineRule="auto"/>
        <w:ind w:left="1134" w:firstLine="0"/>
        <w:rPr>
          <w:color w:val="auto"/>
          <w:sz w:val="24"/>
          <w:szCs w:val="24"/>
        </w:rPr>
      </w:pPr>
      <w:r w:rsidRPr="00DE12A3">
        <w:rPr>
          <w:color w:val="auto"/>
          <w:sz w:val="24"/>
          <w:szCs w:val="24"/>
        </w:rPr>
        <w:t>Burada:</w:t>
      </w:r>
    </w:p>
    <w:p w14:paraId="68720954" w14:textId="6CBF7D8D" w:rsidR="002D7B36" w:rsidRPr="00DE12A3" w:rsidRDefault="00242DA0" w:rsidP="00C917D6">
      <w:pPr>
        <w:pStyle w:val="Gvdemetni251"/>
        <w:shd w:val="clear" w:color="auto" w:fill="auto"/>
        <w:spacing w:before="120" w:after="120" w:line="240" w:lineRule="auto"/>
        <w:ind w:left="1134" w:firstLine="0"/>
        <w:rPr>
          <w:color w:val="auto"/>
          <w:sz w:val="24"/>
          <w:szCs w:val="24"/>
        </w:rPr>
      </w:pPr>
      <w:r w:rsidRPr="00DE12A3">
        <w:rPr>
          <w:i/>
          <w:iCs/>
          <w:color w:val="auto"/>
          <w:sz w:val="24"/>
          <w:szCs w:val="24"/>
        </w:rPr>
        <w:t>x</w:t>
      </w:r>
      <w:r w:rsidRPr="00DE12A3">
        <w:rPr>
          <w:color w:val="auto"/>
          <w:sz w:val="24"/>
          <w:szCs w:val="24"/>
          <w:vertAlign w:val="subscript"/>
        </w:rPr>
        <w:t>H2O</w:t>
      </w:r>
      <w:r w:rsidRPr="00DE12A3">
        <w:rPr>
          <w:color w:val="auto"/>
          <w:sz w:val="24"/>
          <w:szCs w:val="24"/>
        </w:rPr>
        <w:t xml:space="preserve"> = </w:t>
      </w:r>
      <w:r w:rsidR="00EA64C0" w:rsidRPr="00DE12A3">
        <w:rPr>
          <w:color w:val="auto"/>
          <w:sz w:val="24"/>
          <w:szCs w:val="24"/>
        </w:rPr>
        <w:t xml:space="preserve">Bir </w:t>
      </w:r>
      <w:r w:rsidRPr="00DE12A3">
        <w:rPr>
          <w:color w:val="auto"/>
          <w:sz w:val="24"/>
          <w:szCs w:val="24"/>
        </w:rPr>
        <w:t>ideal gazın içindeki su miktarı [mol/mol]</w:t>
      </w:r>
    </w:p>
    <w:p w14:paraId="79DCC550" w14:textId="0BCC0C31" w:rsidR="002D7B36" w:rsidRPr="00DE12A3" w:rsidRDefault="00242DA0" w:rsidP="00C917D6">
      <w:pPr>
        <w:pStyle w:val="Gvdemetni251"/>
        <w:shd w:val="clear" w:color="auto" w:fill="auto"/>
        <w:spacing w:before="120" w:after="120" w:line="240" w:lineRule="auto"/>
        <w:ind w:left="1134" w:firstLine="0"/>
        <w:rPr>
          <w:color w:val="auto"/>
          <w:sz w:val="24"/>
          <w:szCs w:val="24"/>
        </w:rPr>
      </w:pPr>
      <w:r w:rsidRPr="00DE12A3">
        <w:rPr>
          <w:i/>
          <w:iCs/>
          <w:color w:val="auto"/>
          <w:sz w:val="24"/>
          <w:szCs w:val="24"/>
        </w:rPr>
        <w:t>P</w:t>
      </w:r>
      <w:r w:rsidRPr="00DE12A3">
        <w:rPr>
          <w:color w:val="auto"/>
          <w:sz w:val="24"/>
          <w:szCs w:val="24"/>
          <w:vertAlign w:val="subscript"/>
        </w:rPr>
        <w:t>H2O</w:t>
      </w:r>
      <w:r w:rsidRPr="00DE12A3">
        <w:rPr>
          <w:color w:val="auto"/>
          <w:sz w:val="24"/>
          <w:szCs w:val="24"/>
        </w:rPr>
        <w:t xml:space="preserve"> = </w:t>
      </w:r>
      <w:r w:rsidR="00EA64C0" w:rsidRPr="00DE12A3">
        <w:rPr>
          <w:color w:val="auto"/>
          <w:sz w:val="24"/>
          <w:szCs w:val="24"/>
        </w:rPr>
        <w:t xml:space="preserve">Ölçülen </w:t>
      </w:r>
      <w:r w:rsidRPr="00DE12A3">
        <w:rPr>
          <w:color w:val="auto"/>
          <w:sz w:val="24"/>
          <w:szCs w:val="24"/>
        </w:rPr>
        <w:t>yoğuşma noktasında T</w:t>
      </w:r>
      <w:r w:rsidRPr="00DE12A3">
        <w:rPr>
          <w:color w:val="auto"/>
          <w:sz w:val="24"/>
          <w:szCs w:val="24"/>
          <w:vertAlign w:val="subscript"/>
        </w:rPr>
        <w:t>sat</w:t>
      </w:r>
      <w:r w:rsidRPr="00DE12A3">
        <w:rPr>
          <w:color w:val="auto"/>
          <w:sz w:val="24"/>
          <w:szCs w:val="24"/>
        </w:rPr>
        <w:t>=T</w:t>
      </w:r>
      <w:r w:rsidRPr="00DE12A3">
        <w:rPr>
          <w:color w:val="auto"/>
          <w:sz w:val="24"/>
          <w:szCs w:val="24"/>
          <w:vertAlign w:val="subscript"/>
        </w:rPr>
        <w:t>dew</w:t>
      </w:r>
      <w:r w:rsidRPr="00DE12A3">
        <w:rPr>
          <w:color w:val="auto"/>
          <w:sz w:val="24"/>
          <w:szCs w:val="24"/>
        </w:rPr>
        <w:t xml:space="preserve"> suyun buhar basıncı [kPa]</w:t>
      </w:r>
    </w:p>
    <w:p w14:paraId="258A7A30" w14:textId="4A239D29" w:rsidR="002D7B36" w:rsidRPr="00DE12A3" w:rsidRDefault="00242DA0" w:rsidP="00C917D6">
      <w:pPr>
        <w:pStyle w:val="Gvdemetni251"/>
        <w:shd w:val="clear" w:color="auto" w:fill="auto"/>
        <w:spacing w:before="120" w:after="120" w:line="240" w:lineRule="auto"/>
        <w:ind w:left="1134" w:firstLine="0"/>
        <w:rPr>
          <w:color w:val="auto"/>
          <w:sz w:val="24"/>
          <w:szCs w:val="24"/>
        </w:rPr>
      </w:pPr>
      <w:r w:rsidRPr="00DE12A3">
        <w:rPr>
          <w:i/>
          <w:iCs/>
          <w:color w:val="auto"/>
          <w:sz w:val="24"/>
          <w:szCs w:val="24"/>
        </w:rPr>
        <w:t>P</w:t>
      </w:r>
      <w:r w:rsidRPr="00DE12A3">
        <w:rPr>
          <w:color w:val="auto"/>
          <w:sz w:val="24"/>
          <w:szCs w:val="24"/>
          <w:vertAlign w:val="subscript"/>
        </w:rPr>
        <w:t>abs</w:t>
      </w:r>
      <w:r w:rsidRPr="00DE12A3">
        <w:rPr>
          <w:color w:val="auto"/>
          <w:sz w:val="24"/>
          <w:szCs w:val="24"/>
        </w:rPr>
        <w:t xml:space="preserve"> = </w:t>
      </w:r>
      <w:r w:rsidR="00EA64C0" w:rsidRPr="00DE12A3">
        <w:rPr>
          <w:color w:val="auto"/>
          <w:sz w:val="24"/>
          <w:szCs w:val="24"/>
        </w:rPr>
        <w:t xml:space="preserve">Yoğuşma </w:t>
      </w:r>
      <w:r w:rsidRPr="00DE12A3">
        <w:rPr>
          <w:color w:val="auto"/>
          <w:sz w:val="24"/>
          <w:szCs w:val="24"/>
        </w:rPr>
        <w:t>noktası ölçüm konumunda yaş statik mutlak basınç [kPa]</w:t>
      </w:r>
    </w:p>
    <w:p w14:paraId="4C7E3B1C" w14:textId="77777777" w:rsidR="002D7B36" w:rsidRPr="00DE12A3" w:rsidRDefault="00301668" w:rsidP="00E20716">
      <w:pPr>
        <w:pStyle w:val="Gvdemetni251"/>
        <w:numPr>
          <w:ilvl w:val="0"/>
          <w:numId w:val="422"/>
        </w:numPr>
        <w:shd w:val="clear" w:color="auto" w:fill="auto"/>
        <w:tabs>
          <w:tab w:val="left" w:pos="760"/>
          <w:tab w:val="left" w:pos="763"/>
        </w:tabs>
        <w:spacing w:before="120" w:after="120" w:line="240" w:lineRule="auto"/>
        <w:ind w:left="1134" w:hanging="1134"/>
        <w:rPr>
          <w:color w:val="auto"/>
          <w:sz w:val="24"/>
          <w:szCs w:val="24"/>
        </w:rPr>
      </w:pPr>
      <w:r w:rsidRPr="00DE12A3">
        <w:rPr>
          <w:color w:val="auto"/>
          <w:sz w:val="24"/>
          <w:szCs w:val="24"/>
        </w:rPr>
        <w:t xml:space="preserve">      </w:t>
      </w:r>
      <w:r w:rsidR="00242DA0" w:rsidRPr="00DE12A3">
        <w:rPr>
          <w:color w:val="auto"/>
          <w:sz w:val="24"/>
          <w:szCs w:val="24"/>
        </w:rPr>
        <w:t>Bağıl nem</w:t>
      </w:r>
    </w:p>
    <w:p w14:paraId="21AE7971" w14:textId="4AA37E67" w:rsidR="002D7B36" w:rsidRPr="00DE12A3" w:rsidRDefault="00301668" w:rsidP="00C917D6">
      <w:pPr>
        <w:pStyle w:val="Gvdemetni251"/>
        <w:shd w:val="clear" w:color="auto" w:fill="auto"/>
        <w:spacing w:before="120" w:after="120" w:line="240" w:lineRule="auto"/>
        <w:ind w:left="1134" w:hanging="1134"/>
        <w:rPr>
          <w:color w:val="auto"/>
          <w:sz w:val="24"/>
          <w:szCs w:val="24"/>
        </w:rPr>
      </w:pPr>
      <w:r w:rsidRPr="00DE12A3">
        <w:rPr>
          <w:color w:val="auto"/>
          <w:sz w:val="24"/>
          <w:szCs w:val="24"/>
        </w:rPr>
        <w:t xml:space="preserve">                   </w:t>
      </w:r>
      <w:r w:rsidR="00242DA0" w:rsidRPr="00DE12A3">
        <w:rPr>
          <w:color w:val="auto"/>
          <w:sz w:val="24"/>
          <w:szCs w:val="24"/>
        </w:rPr>
        <w:t xml:space="preserve">Nem bir bağıl nem % RH olarak ölçülürse, bir ideal gazın içindeki su miktarı </w:t>
      </w:r>
      <w:r w:rsidR="003B4438" w:rsidRPr="00DE12A3">
        <w:rPr>
          <w:color w:val="auto"/>
          <w:sz w:val="24"/>
          <w:szCs w:val="24"/>
        </w:rPr>
        <w:t>x</w:t>
      </w:r>
      <w:r w:rsidR="003B4438" w:rsidRPr="00DE12A3">
        <w:rPr>
          <w:color w:val="auto"/>
          <w:sz w:val="24"/>
          <w:szCs w:val="24"/>
          <w:vertAlign w:val="subscript"/>
        </w:rPr>
        <w:t>H2O</w:t>
      </w:r>
      <w:r w:rsidR="003B4438" w:rsidRPr="00DE12A3">
        <w:rPr>
          <w:color w:val="auto"/>
          <w:sz w:val="24"/>
          <w:szCs w:val="24"/>
        </w:rPr>
        <w:t xml:space="preserve"> </w:t>
      </w:r>
      <w:r w:rsidR="00242DA0" w:rsidRPr="00DE12A3">
        <w:rPr>
          <w:color w:val="auto"/>
          <w:sz w:val="24"/>
          <w:szCs w:val="24"/>
        </w:rPr>
        <w:t xml:space="preserve"> [mol/mol], (7-80) </w:t>
      </w:r>
      <w:r w:rsidR="00962CA1" w:rsidRPr="00DE12A3">
        <w:rPr>
          <w:color w:val="auto"/>
          <w:sz w:val="24"/>
          <w:szCs w:val="24"/>
        </w:rPr>
        <w:t xml:space="preserve">numaralı </w:t>
      </w:r>
      <w:r w:rsidR="00242DA0" w:rsidRPr="00DE12A3">
        <w:rPr>
          <w:color w:val="auto"/>
          <w:sz w:val="24"/>
          <w:szCs w:val="24"/>
        </w:rPr>
        <w:t>denklem ile hesaplanmalıdır:</w:t>
      </w:r>
    </w:p>
    <w:p w14:paraId="3D75967A" w14:textId="77777777" w:rsidR="002D7B36" w:rsidRPr="00DE12A3" w:rsidRDefault="002D7B36" w:rsidP="00C917D6">
      <w:pPr>
        <w:pStyle w:val="Gvdemetni251"/>
        <w:shd w:val="clear" w:color="auto" w:fill="auto"/>
        <w:spacing w:before="120" w:after="120" w:line="240" w:lineRule="auto"/>
        <w:ind w:left="1134" w:hanging="1134"/>
        <w:rPr>
          <w:color w:val="auto"/>
          <w:sz w:val="24"/>
          <w:szCs w:val="24"/>
        </w:rPr>
      </w:pPr>
    </w:p>
    <w:p w14:paraId="631AA986" w14:textId="25B646B6" w:rsidR="002D7B36" w:rsidRPr="00DE12A3" w:rsidRDefault="00242DA0" w:rsidP="00C917D6">
      <w:pPr>
        <w:pStyle w:val="Resimyazs70"/>
        <w:shd w:val="clear" w:color="auto" w:fill="auto"/>
        <w:spacing w:after="120" w:line="240" w:lineRule="auto"/>
        <w:ind w:left="1134" w:hanging="1134"/>
        <w:jc w:val="center"/>
        <w:rPr>
          <w:sz w:val="24"/>
          <w:szCs w:val="24"/>
        </w:rPr>
      </w:pPr>
      <w:r w:rsidRPr="00DE12A3">
        <w:rPr>
          <w:noProof/>
          <w:sz w:val="24"/>
          <w:szCs w:val="24"/>
          <w:lang w:eastAsia="tr-TR"/>
        </w:rPr>
        <w:drawing>
          <wp:inline distT="0" distB="0" distL="0" distR="0" wp14:anchorId="3A0C6035" wp14:editId="595715F4">
            <wp:extent cx="4097558" cy="610794"/>
            <wp:effectExtent l="0" t="0" r="0" b="0"/>
            <wp:docPr id="2390" name="Resim 2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0" name="Resim 2390"/>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a:xfrm>
                      <a:off x="0" y="0"/>
                      <a:ext cx="4148838" cy="618438"/>
                    </a:xfrm>
                    <a:prstGeom prst="rect">
                      <a:avLst/>
                    </a:prstGeom>
                    <a:noFill/>
                    <a:ln>
                      <a:noFill/>
                    </a:ln>
                  </pic:spPr>
                </pic:pic>
              </a:graphicData>
            </a:graphic>
          </wp:inline>
        </w:drawing>
      </w:r>
    </w:p>
    <w:p w14:paraId="10E66667" w14:textId="77777777" w:rsidR="00301668" w:rsidRPr="00DE12A3" w:rsidRDefault="00301668" w:rsidP="00C917D6">
      <w:pPr>
        <w:pStyle w:val="Gvdemetni251"/>
        <w:shd w:val="clear" w:color="auto" w:fill="auto"/>
        <w:spacing w:before="120" w:after="120" w:line="240" w:lineRule="auto"/>
        <w:ind w:left="1134" w:hanging="1134"/>
        <w:rPr>
          <w:color w:val="auto"/>
          <w:sz w:val="24"/>
          <w:szCs w:val="24"/>
        </w:rPr>
      </w:pPr>
    </w:p>
    <w:p w14:paraId="71F34665" w14:textId="77777777" w:rsidR="002D7B36" w:rsidRPr="00DE12A3" w:rsidRDefault="00242DA0" w:rsidP="00C917D6">
      <w:pPr>
        <w:pStyle w:val="Gvdemetni251"/>
        <w:shd w:val="clear" w:color="auto" w:fill="auto"/>
        <w:spacing w:before="120" w:after="120" w:line="240" w:lineRule="auto"/>
        <w:ind w:left="1134" w:firstLine="0"/>
        <w:rPr>
          <w:color w:val="auto"/>
          <w:sz w:val="24"/>
          <w:szCs w:val="24"/>
        </w:rPr>
      </w:pPr>
      <w:r w:rsidRPr="00DE12A3">
        <w:rPr>
          <w:color w:val="auto"/>
          <w:sz w:val="24"/>
          <w:szCs w:val="24"/>
        </w:rPr>
        <w:t>Burada:</w:t>
      </w:r>
    </w:p>
    <w:p w14:paraId="1CE08DC0" w14:textId="77777777" w:rsidR="002D7B36" w:rsidRPr="00DE12A3" w:rsidRDefault="00242DA0" w:rsidP="00C917D6">
      <w:pPr>
        <w:pStyle w:val="Gvdemetni251"/>
        <w:shd w:val="clear" w:color="auto" w:fill="auto"/>
        <w:spacing w:before="120" w:after="120" w:line="240" w:lineRule="auto"/>
        <w:ind w:left="1134" w:firstLine="0"/>
        <w:rPr>
          <w:color w:val="auto"/>
          <w:sz w:val="24"/>
          <w:szCs w:val="24"/>
        </w:rPr>
      </w:pPr>
      <w:r w:rsidRPr="00DE12A3">
        <w:rPr>
          <w:rStyle w:val="Gvdemetni254pttalik0ptbolukbraklyor15"/>
          <w:color w:val="auto"/>
          <w:sz w:val="24"/>
          <w:szCs w:val="24"/>
        </w:rPr>
        <w:t>RH</w:t>
      </w:r>
      <w:r w:rsidRPr="00DE12A3">
        <w:rPr>
          <w:color w:val="auto"/>
          <w:sz w:val="24"/>
          <w:szCs w:val="24"/>
        </w:rPr>
        <w:t xml:space="preserve"> % = bağıl nem [%]</w:t>
      </w:r>
    </w:p>
    <w:p w14:paraId="6DAAB85E" w14:textId="77777777" w:rsidR="002D7B36" w:rsidRPr="00DE12A3" w:rsidRDefault="00242DA0" w:rsidP="00C917D6">
      <w:pPr>
        <w:pStyle w:val="Gvdemetni251"/>
        <w:shd w:val="clear" w:color="auto" w:fill="auto"/>
        <w:spacing w:before="120" w:after="120" w:line="240" w:lineRule="auto"/>
        <w:ind w:left="1134" w:firstLine="0"/>
        <w:rPr>
          <w:color w:val="auto"/>
          <w:sz w:val="24"/>
          <w:szCs w:val="24"/>
        </w:rPr>
      </w:pPr>
      <w:r w:rsidRPr="00DE12A3">
        <w:rPr>
          <w:i/>
          <w:iCs/>
          <w:color w:val="auto"/>
          <w:sz w:val="24"/>
          <w:szCs w:val="24"/>
        </w:rPr>
        <w:t>p</w:t>
      </w:r>
      <w:r w:rsidRPr="00DE12A3">
        <w:rPr>
          <w:color w:val="auto"/>
          <w:sz w:val="24"/>
          <w:szCs w:val="24"/>
          <w:vertAlign w:val="subscript"/>
        </w:rPr>
        <w:t>H2O</w:t>
      </w:r>
      <w:r w:rsidRPr="00DE12A3">
        <w:rPr>
          <w:color w:val="auto"/>
          <w:sz w:val="24"/>
          <w:szCs w:val="24"/>
        </w:rPr>
        <w:t xml:space="preserve"> = bağıl nem ölçüm konumunda T</w:t>
      </w:r>
      <w:r w:rsidRPr="00DE12A3">
        <w:rPr>
          <w:color w:val="auto"/>
          <w:sz w:val="24"/>
          <w:szCs w:val="24"/>
          <w:vertAlign w:val="subscript"/>
        </w:rPr>
        <w:t>sat</w:t>
      </w:r>
      <w:r w:rsidRPr="00DE12A3">
        <w:rPr>
          <w:color w:val="auto"/>
          <w:sz w:val="24"/>
          <w:szCs w:val="24"/>
        </w:rPr>
        <w:t>=T</w:t>
      </w:r>
      <w:r w:rsidRPr="00DE12A3">
        <w:rPr>
          <w:color w:val="auto"/>
          <w:sz w:val="24"/>
          <w:szCs w:val="24"/>
          <w:vertAlign w:val="subscript"/>
        </w:rPr>
        <w:t>amb</w:t>
      </w:r>
      <w:r w:rsidRPr="00DE12A3">
        <w:rPr>
          <w:color w:val="auto"/>
          <w:sz w:val="24"/>
          <w:szCs w:val="24"/>
        </w:rPr>
        <w:t>, % 100 bağıl nemde su buharı basıncı [kPa]</w:t>
      </w:r>
    </w:p>
    <w:p w14:paraId="496FE223" w14:textId="77777777" w:rsidR="002D7B36" w:rsidRPr="00DE12A3" w:rsidRDefault="00242DA0" w:rsidP="00C917D6">
      <w:pPr>
        <w:pStyle w:val="Gvdemetni251"/>
        <w:shd w:val="clear" w:color="auto" w:fill="auto"/>
        <w:spacing w:before="120" w:after="120" w:line="240" w:lineRule="auto"/>
        <w:ind w:left="1134" w:firstLine="0"/>
        <w:rPr>
          <w:color w:val="auto"/>
          <w:sz w:val="24"/>
          <w:szCs w:val="24"/>
        </w:rPr>
      </w:pPr>
      <w:r w:rsidRPr="00DE12A3">
        <w:rPr>
          <w:i/>
          <w:iCs/>
          <w:color w:val="auto"/>
          <w:sz w:val="24"/>
          <w:szCs w:val="24"/>
        </w:rPr>
        <w:t>P</w:t>
      </w:r>
      <w:r w:rsidRPr="00DE12A3">
        <w:rPr>
          <w:color w:val="auto"/>
          <w:sz w:val="24"/>
          <w:szCs w:val="24"/>
          <w:vertAlign w:val="subscript"/>
        </w:rPr>
        <w:t>abs</w:t>
      </w:r>
      <w:r w:rsidRPr="00DE12A3">
        <w:rPr>
          <w:color w:val="auto"/>
          <w:sz w:val="24"/>
          <w:szCs w:val="24"/>
        </w:rPr>
        <w:t xml:space="preserve"> = bağıl nem ölçüm konumunda yaş statik mutlak basınç [kPa]</w:t>
      </w:r>
    </w:p>
    <w:p w14:paraId="64433972" w14:textId="77777777" w:rsidR="002D7B36" w:rsidRPr="00DE12A3" w:rsidRDefault="00242DA0" w:rsidP="00E20716">
      <w:pPr>
        <w:pStyle w:val="Gvdemetni251"/>
        <w:numPr>
          <w:ilvl w:val="0"/>
          <w:numId w:val="422"/>
        </w:numPr>
        <w:shd w:val="clear" w:color="auto" w:fill="auto"/>
        <w:spacing w:before="120" w:after="120" w:line="240" w:lineRule="auto"/>
        <w:ind w:left="1134" w:firstLine="0"/>
        <w:rPr>
          <w:color w:val="auto"/>
          <w:sz w:val="24"/>
          <w:szCs w:val="24"/>
        </w:rPr>
      </w:pPr>
      <w:r w:rsidRPr="00DE12A3">
        <w:rPr>
          <w:color w:val="auto"/>
          <w:sz w:val="24"/>
          <w:szCs w:val="24"/>
        </w:rPr>
        <w:t>Bağıl nem ve kuru termometre sıcaklığı kullanılarak yoğuşma noktası belirlenmesi</w:t>
      </w:r>
    </w:p>
    <w:p w14:paraId="01FFB75D" w14:textId="7974532D" w:rsidR="002D7B36" w:rsidRPr="00DE12A3" w:rsidRDefault="00242DA0" w:rsidP="00C917D6">
      <w:pPr>
        <w:pStyle w:val="Gvdemetni251"/>
        <w:shd w:val="clear" w:color="auto" w:fill="auto"/>
        <w:spacing w:before="120" w:after="120" w:line="240" w:lineRule="auto"/>
        <w:ind w:left="1134" w:firstLine="0"/>
        <w:rPr>
          <w:color w:val="auto"/>
          <w:sz w:val="24"/>
          <w:szCs w:val="24"/>
        </w:rPr>
      </w:pPr>
      <w:r w:rsidRPr="00DE12A3">
        <w:rPr>
          <w:color w:val="auto"/>
          <w:sz w:val="24"/>
          <w:szCs w:val="24"/>
        </w:rPr>
        <w:lastRenderedPageBreak/>
        <w:t xml:space="preserve">Nem bağıl nem % RH olarak ölçülürse, yoğuşma noktası </w:t>
      </w:r>
      <w:r w:rsidRPr="00DE12A3">
        <w:rPr>
          <w:i/>
          <w:iCs/>
          <w:color w:val="auto"/>
          <w:sz w:val="24"/>
          <w:szCs w:val="24"/>
        </w:rPr>
        <w:t>T</w:t>
      </w:r>
      <w:r w:rsidRPr="00DE12A3">
        <w:rPr>
          <w:color w:val="auto"/>
          <w:sz w:val="24"/>
          <w:szCs w:val="24"/>
          <w:vertAlign w:val="subscript"/>
        </w:rPr>
        <w:t>dew</w:t>
      </w:r>
      <w:r w:rsidRPr="00DE12A3">
        <w:rPr>
          <w:color w:val="auto"/>
          <w:sz w:val="24"/>
          <w:szCs w:val="24"/>
        </w:rPr>
        <w:t xml:space="preserve">, % </w:t>
      </w:r>
      <w:r w:rsidRPr="00DE12A3">
        <w:rPr>
          <w:i/>
          <w:iCs/>
          <w:color w:val="auto"/>
          <w:sz w:val="24"/>
          <w:szCs w:val="24"/>
        </w:rPr>
        <w:t>RH</w:t>
      </w:r>
      <w:r w:rsidRPr="00DE12A3">
        <w:rPr>
          <w:color w:val="auto"/>
          <w:sz w:val="24"/>
          <w:szCs w:val="24"/>
        </w:rPr>
        <w:t xml:space="preserve"> ve kuru termometre sıcaklığı kullanılarak (7-81) </w:t>
      </w:r>
      <w:r w:rsidR="00962CA1" w:rsidRPr="00DE12A3">
        <w:rPr>
          <w:color w:val="auto"/>
          <w:sz w:val="24"/>
          <w:szCs w:val="24"/>
        </w:rPr>
        <w:t>numaralı</w:t>
      </w:r>
      <w:r w:rsidR="00962CA1" w:rsidRPr="00DE12A3" w:rsidDel="00962CA1">
        <w:rPr>
          <w:color w:val="auto"/>
          <w:sz w:val="24"/>
          <w:szCs w:val="24"/>
        </w:rPr>
        <w:t xml:space="preserve"> </w:t>
      </w:r>
      <w:r w:rsidRPr="00DE12A3">
        <w:rPr>
          <w:color w:val="auto"/>
          <w:sz w:val="24"/>
          <w:szCs w:val="24"/>
        </w:rPr>
        <w:t xml:space="preserve"> denklem ile belirlenmelidir:</w:t>
      </w:r>
    </w:p>
    <w:p w14:paraId="4A2A224F" w14:textId="636FE88A" w:rsidR="00747166" w:rsidRPr="00DE12A3" w:rsidRDefault="00747166" w:rsidP="00C917D6">
      <w:pPr>
        <w:pStyle w:val="Gvdemetni251"/>
        <w:shd w:val="clear" w:color="auto" w:fill="auto"/>
        <w:spacing w:before="120" w:after="120" w:line="240" w:lineRule="auto"/>
        <w:ind w:left="1134" w:firstLine="0"/>
        <w:rPr>
          <w:color w:val="auto"/>
          <w:sz w:val="24"/>
          <w:szCs w:val="24"/>
        </w:rPr>
      </w:pPr>
      <w:r w:rsidRPr="00DE12A3">
        <w:rPr>
          <w:noProof/>
          <w:color w:val="auto"/>
        </w:rPr>
        <w:drawing>
          <wp:anchor distT="0" distB="0" distL="114300" distR="114300" simplePos="0" relativeHeight="251705856" behindDoc="0" locked="0" layoutInCell="1" allowOverlap="1" wp14:anchorId="5A73863D" wp14:editId="7CF20D59">
            <wp:simplePos x="1706880" y="4625340"/>
            <wp:positionH relativeFrom="column">
              <wp:align>left</wp:align>
            </wp:positionH>
            <wp:positionV relativeFrom="paragraph">
              <wp:align>top</wp:align>
            </wp:positionV>
            <wp:extent cx="4366260" cy="702310"/>
            <wp:effectExtent l="0" t="0" r="0" b="2540"/>
            <wp:wrapSquare wrapText="bothSides"/>
            <wp:docPr id="176" name="Resim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4366260" cy="702310"/>
                    </a:xfrm>
                    <a:prstGeom prst="rect">
                      <a:avLst/>
                    </a:prstGeom>
                    <a:noFill/>
                    <a:ln>
                      <a:noFill/>
                    </a:ln>
                  </pic:spPr>
                </pic:pic>
              </a:graphicData>
            </a:graphic>
            <wp14:sizeRelH relativeFrom="margin">
              <wp14:pctWidth>0</wp14:pctWidth>
            </wp14:sizeRelH>
          </wp:anchor>
        </w:drawing>
      </w:r>
    </w:p>
    <w:p w14:paraId="4D72FB08" w14:textId="77777777" w:rsidR="00747166" w:rsidRPr="00DE12A3" w:rsidRDefault="00747166" w:rsidP="00C917D6">
      <w:pPr>
        <w:pStyle w:val="Gvdemetni251"/>
        <w:shd w:val="clear" w:color="auto" w:fill="auto"/>
        <w:spacing w:before="120" w:after="120" w:line="240" w:lineRule="auto"/>
        <w:ind w:left="1134" w:firstLine="0"/>
        <w:rPr>
          <w:color w:val="auto"/>
          <w:sz w:val="24"/>
          <w:szCs w:val="24"/>
        </w:rPr>
      </w:pPr>
      <w:r w:rsidRPr="00DE12A3">
        <w:rPr>
          <w:color w:val="auto"/>
          <w:sz w:val="24"/>
          <w:szCs w:val="24"/>
        </w:rPr>
        <w:t xml:space="preserve"> 7-81</w:t>
      </w:r>
    </w:p>
    <w:p w14:paraId="4F153394" w14:textId="4CBEB327" w:rsidR="002D7B36" w:rsidRPr="00DE12A3" w:rsidRDefault="00747166" w:rsidP="00C917D6">
      <w:pPr>
        <w:pStyle w:val="Gvdemetni251"/>
        <w:shd w:val="clear" w:color="auto" w:fill="auto"/>
        <w:spacing w:before="120" w:after="120" w:line="240" w:lineRule="auto"/>
        <w:ind w:left="1134" w:firstLine="0"/>
        <w:rPr>
          <w:color w:val="auto"/>
          <w:sz w:val="24"/>
          <w:szCs w:val="24"/>
        </w:rPr>
      </w:pPr>
      <w:r w:rsidRPr="00DE12A3">
        <w:rPr>
          <w:color w:val="auto"/>
          <w:sz w:val="24"/>
          <w:szCs w:val="24"/>
        </w:rPr>
        <w:br w:type="textWrapping" w:clear="all"/>
      </w:r>
      <w:r w:rsidR="00242DA0" w:rsidRPr="00DE12A3">
        <w:rPr>
          <w:color w:val="auto"/>
          <w:sz w:val="24"/>
          <w:szCs w:val="24"/>
        </w:rPr>
        <w:t>Burada</w:t>
      </w:r>
      <w:r w:rsidR="00CE15BA" w:rsidRPr="00DE12A3">
        <w:rPr>
          <w:color w:val="auto"/>
          <w:sz w:val="24"/>
          <w:szCs w:val="24"/>
        </w:rPr>
        <w:t>:</w:t>
      </w:r>
    </w:p>
    <w:p w14:paraId="7B688E27" w14:textId="77777777" w:rsidR="002D7B36" w:rsidRPr="00DE12A3" w:rsidRDefault="00242DA0" w:rsidP="00C917D6">
      <w:pPr>
        <w:pStyle w:val="Gvdemetni251"/>
        <w:shd w:val="clear" w:color="auto" w:fill="auto"/>
        <w:spacing w:before="120" w:after="120" w:line="240" w:lineRule="auto"/>
        <w:ind w:left="1134" w:firstLine="0"/>
        <w:rPr>
          <w:color w:val="auto"/>
          <w:sz w:val="24"/>
          <w:szCs w:val="24"/>
        </w:rPr>
      </w:pPr>
      <w:r w:rsidRPr="00DE12A3">
        <w:rPr>
          <w:i/>
          <w:iCs/>
          <w:color w:val="auto"/>
          <w:sz w:val="24"/>
          <w:szCs w:val="24"/>
        </w:rPr>
        <w:t>p</w:t>
      </w:r>
      <w:r w:rsidRPr="00DE12A3">
        <w:rPr>
          <w:color w:val="auto"/>
          <w:sz w:val="24"/>
          <w:szCs w:val="24"/>
          <w:vertAlign w:val="subscript"/>
        </w:rPr>
        <w:t>H2O</w:t>
      </w:r>
      <w:r w:rsidRPr="00DE12A3">
        <w:rPr>
          <w:color w:val="auto"/>
          <w:sz w:val="24"/>
          <w:szCs w:val="24"/>
        </w:rPr>
        <w:t xml:space="preserve"> = bağıl nem ölçüm konumunda </w:t>
      </w:r>
      <w:r w:rsidRPr="00DE12A3">
        <w:rPr>
          <w:i/>
          <w:iCs/>
          <w:color w:val="auto"/>
          <w:sz w:val="24"/>
          <w:szCs w:val="24"/>
        </w:rPr>
        <w:t>T</w:t>
      </w:r>
      <w:r w:rsidRPr="00DE12A3">
        <w:rPr>
          <w:color w:val="auto"/>
          <w:sz w:val="24"/>
          <w:szCs w:val="24"/>
          <w:vertAlign w:val="subscript"/>
        </w:rPr>
        <w:t>sat</w:t>
      </w:r>
      <w:r w:rsidRPr="00DE12A3">
        <w:rPr>
          <w:color w:val="auto"/>
          <w:sz w:val="24"/>
          <w:szCs w:val="24"/>
        </w:rPr>
        <w:t xml:space="preserve"> = </w:t>
      </w:r>
      <w:r w:rsidRPr="00DE12A3">
        <w:rPr>
          <w:i/>
          <w:iCs/>
          <w:color w:val="auto"/>
          <w:sz w:val="24"/>
          <w:szCs w:val="24"/>
        </w:rPr>
        <w:t>T</w:t>
      </w:r>
      <w:r w:rsidRPr="00DE12A3">
        <w:rPr>
          <w:color w:val="auto"/>
          <w:sz w:val="24"/>
          <w:szCs w:val="24"/>
          <w:vertAlign w:val="subscript"/>
        </w:rPr>
        <w:t>amb</w:t>
      </w:r>
      <w:r w:rsidRPr="00DE12A3">
        <w:rPr>
          <w:color w:val="auto"/>
          <w:sz w:val="24"/>
          <w:szCs w:val="24"/>
        </w:rPr>
        <w:t>, bağıl neme ölçeklendirilmiş su buharı basıncı</w:t>
      </w:r>
    </w:p>
    <w:p w14:paraId="752262C1" w14:textId="77777777" w:rsidR="002D7B36" w:rsidRPr="00DE12A3" w:rsidRDefault="00242DA0" w:rsidP="00C917D6">
      <w:pPr>
        <w:pStyle w:val="Gvdemetni251"/>
        <w:shd w:val="clear" w:color="auto" w:fill="auto"/>
        <w:spacing w:before="120" w:after="120" w:line="240" w:lineRule="auto"/>
        <w:ind w:left="1134" w:firstLine="0"/>
        <w:rPr>
          <w:color w:val="auto"/>
          <w:sz w:val="24"/>
          <w:szCs w:val="24"/>
        </w:rPr>
      </w:pPr>
      <w:r w:rsidRPr="00DE12A3">
        <w:rPr>
          <w:i/>
          <w:iCs/>
          <w:color w:val="auto"/>
          <w:sz w:val="24"/>
          <w:szCs w:val="24"/>
        </w:rPr>
        <w:t>T</w:t>
      </w:r>
      <w:r w:rsidRPr="00DE12A3">
        <w:rPr>
          <w:color w:val="auto"/>
          <w:sz w:val="24"/>
          <w:szCs w:val="24"/>
          <w:vertAlign w:val="subscript"/>
        </w:rPr>
        <w:t>dew</w:t>
      </w:r>
      <w:r w:rsidRPr="00DE12A3">
        <w:rPr>
          <w:color w:val="auto"/>
          <w:sz w:val="24"/>
          <w:szCs w:val="24"/>
        </w:rPr>
        <w:t xml:space="preserve"> = bağıl nem ve kuru termometre sıcaklığı ölçümleri kullanılarak belirlenen yoğuşma noktası</w:t>
      </w:r>
    </w:p>
    <w:p w14:paraId="4333783B" w14:textId="77777777" w:rsidR="002D7B36" w:rsidRPr="00DE12A3" w:rsidRDefault="00773311" w:rsidP="00E20716">
      <w:pPr>
        <w:pStyle w:val="Gvdemetni251"/>
        <w:numPr>
          <w:ilvl w:val="2"/>
          <w:numId w:val="421"/>
        </w:numPr>
        <w:shd w:val="clear" w:color="auto" w:fill="auto"/>
        <w:tabs>
          <w:tab w:val="left" w:pos="760"/>
        </w:tabs>
        <w:spacing w:before="120" w:after="120" w:line="240" w:lineRule="auto"/>
        <w:ind w:left="1134" w:hanging="1134"/>
        <w:rPr>
          <w:color w:val="auto"/>
          <w:sz w:val="24"/>
          <w:szCs w:val="24"/>
        </w:rPr>
      </w:pPr>
      <w:r w:rsidRPr="00DE12A3">
        <w:rPr>
          <w:color w:val="auto"/>
          <w:sz w:val="24"/>
          <w:szCs w:val="24"/>
        </w:rPr>
        <w:t xml:space="preserve">     </w:t>
      </w:r>
      <w:r w:rsidR="00242DA0" w:rsidRPr="00DE12A3">
        <w:rPr>
          <w:color w:val="auto"/>
          <w:sz w:val="24"/>
          <w:szCs w:val="24"/>
        </w:rPr>
        <w:t>Yakıt özellikleri</w:t>
      </w:r>
    </w:p>
    <w:p w14:paraId="4AEBC8BE" w14:textId="77777777" w:rsidR="00CE15BA" w:rsidRPr="00DE12A3" w:rsidRDefault="00773311" w:rsidP="00C917D6">
      <w:pPr>
        <w:pStyle w:val="Gvdemetni251"/>
        <w:shd w:val="clear" w:color="auto" w:fill="auto"/>
        <w:spacing w:before="120" w:after="120" w:line="240" w:lineRule="auto"/>
        <w:ind w:left="1134" w:hanging="1134"/>
        <w:rPr>
          <w:color w:val="auto"/>
          <w:sz w:val="24"/>
          <w:szCs w:val="24"/>
        </w:rPr>
      </w:pPr>
      <w:r w:rsidRPr="00DE12A3">
        <w:rPr>
          <w:color w:val="auto"/>
          <w:sz w:val="24"/>
          <w:szCs w:val="24"/>
        </w:rPr>
        <w:t xml:space="preserve">                  </w:t>
      </w:r>
      <w:r w:rsidR="00242DA0" w:rsidRPr="00DE12A3">
        <w:rPr>
          <w:color w:val="auto"/>
          <w:sz w:val="24"/>
          <w:szCs w:val="24"/>
        </w:rPr>
        <w:t xml:space="preserve">Yakıtın genel kimyasal formülü </w:t>
      </w:r>
      <w:r w:rsidR="00242DA0" w:rsidRPr="00DE12A3">
        <w:rPr>
          <w:rFonts w:eastAsia="Courier New"/>
          <w:color w:val="auto"/>
          <w:spacing w:val="0"/>
          <w:sz w:val="24"/>
          <w:szCs w:val="24"/>
        </w:rPr>
        <w:t>CH</w:t>
      </w:r>
      <w:r w:rsidR="00242DA0" w:rsidRPr="00DE12A3">
        <w:rPr>
          <w:rFonts w:eastAsia="Courier New"/>
          <w:i/>
          <w:iCs/>
          <w:color w:val="auto"/>
          <w:spacing w:val="0"/>
          <w:sz w:val="24"/>
          <w:szCs w:val="24"/>
        </w:rPr>
        <w:t>α</w:t>
      </w:r>
      <w:r w:rsidR="00242DA0" w:rsidRPr="00DE12A3">
        <w:rPr>
          <w:rFonts w:eastAsia="Courier New"/>
          <w:color w:val="auto"/>
          <w:spacing w:val="0"/>
          <w:sz w:val="24"/>
          <w:szCs w:val="24"/>
        </w:rPr>
        <w:t>O</w:t>
      </w:r>
      <w:r w:rsidR="00242DA0" w:rsidRPr="00DE12A3">
        <w:rPr>
          <w:rFonts w:eastAsia="Courier New"/>
          <w:i/>
          <w:iCs/>
          <w:color w:val="auto"/>
          <w:spacing w:val="0"/>
          <w:sz w:val="24"/>
          <w:szCs w:val="24"/>
        </w:rPr>
        <w:t>β</w:t>
      </w:r>
      <w:r w:rsidR="00242DA0" w:rsidRPr="00DE12A3">
        <w:rPr>
          <w:rFonts w:eastAsia="Courier New"/>
          <w:color w:val="auto"/>
          <w:spacing w:val="0"/>
          <w:sz w:val="24"/>
          <w:szCs w:val="24"/>
        </w:rPr>
        <w:t>S</w:t>
      </w:r>
      <w:r w:rsidR="00242DA0" w:rsidRPr="00DE12A3">
        <w:rPr>
          <w:rFonts w:eastAsia="Courier New"/>
          <w:i/>
          <w:iCs/>
          <w:color w:val="auto"/>
          <w:spacing w:val="0"/>
          <w:sz w:val="24"/>
          <w:szCs w:val="24"/>
        </w:rPr>
        <w:t>γ</w:t>
      </w:r>
      <w:r w:rsidR="00242DA0" w:rsidRPr="00DE12A3">
        <w:rPr>
          <w:rFonts w:eastAsia="Courier New"/>
          <w:color w:val="auto"/>
          <w:spacing w:val="0"/>
          <w:sz w:val="24"/>
          <w:szCs w:val="24"/>
        </w:rPr>
        <w:t>N</w:t>
      </w:r>
      <w:r w:rsidR="00242DA0" w:rsidRPr="00DE12A3">
        <w:rPr>
          <w:rFonts w:eastAsia="Courier New"/>
          <w:i/>
          <w:iCs/>
          <w:color w:val="auto"/>
          <w:spacing w:val="0"/>
          <w:sz w:val="24"/>
          <w:szCs w:val="24"/>
        </w:rPr>
        <w:t>δ</w:t>
      </w:r>
      <w:r w:rsidR="00242DA0" w:rsidRPr="00DE12A3">
        <w:rPr>
          <w:color w:val="auto"/>
          <w:sz w:val="24"/>
          <w:szCs w:val="24"/>
        </w:rPr>
        <w:t>'dır</w:t>
      </w:r>
      <w:r w:rsidR="00CE15BA" w:rsidRPr="00DE12A3">
        <w:rPr>
          <w:color w:val="auto"/>
          <w:sz w:val="24"/>
          <w:szCs w:val="24"/>
        </w:rPr>
        <w:t>.</w:t>
      </w:r>
    </w:p>
    <w:p w14:paraId="6366D2D1" w14:textId="3757D8C8" w:rsidR="00CE15BA" w:rsidRPr="00DE12A3" w:rsidRDefault="00242DA0" w:rsidP="0066751C">
      <w:pPr>
        <w:pStyle w:val="Gvdemetni251"/>
        <w:shd w:val="clear" w:color="auto" w:fill="auto"/>
        <w:spacing w:before="120" w:after="120" w:line="240" w:lineRule="auto"/>
        <w:ind w:left="1134" w:hanging="425"/>
        <w:rPr>
          <w:color w:val="auto"/>
          <w:sz w:val="24"/>
          <w:szCs w:val="24"/>
        </w:rPr>
      </w:pPr>
      <w:r w:rsidRPr="00DE12A3">
        <w:rPr>
          <w:color w:val="auto"/>
          <w:sz w:val="24"/>
          <w:szCs w:val="24"/>
        </w:rPr>
        <w:t xml:space="preserve"> </w:t>
      </w:r>
      <w:r w:rsidR="00CE15BA" w:rsidRPr="00DE12A3">
        <w:rPr>
          <w:color w:val="auto"/>
          <w:sz w:val="24"/>
          <w:szCs w:val="24"/>
        </w:rPr>
        <w:t xml:space="preserve">     B</w:t>
      </w:r>
      <w:r w:rsidRPr="00DE12A3">
        <w:rPr>
          <w:color w:val="auto"/>
          <w:sz w:val="24"/>
          <w:szCs w:val="24"/>
        </w:rPr>
        <w:t>urada</w:t>
      </w:r>
      <w:r w:rsidR="00CE15BA" w:rsidRPr="00DE12A3">
        <w:rPr>
          <w:color w:val="auto"/>
          <w:sz w:val="24"/>
          <w:szCs w:val="24"/>
        </w:rPr>
        <w:t>:</w:t>
      </w:r>
    </w:p>
    <w:p w14:paraId="2339D280" w14:textId="77777777" w:rsidR="00CE15BA" w:rsidRPr="00DE12A3" w:rsidRDefault="00242DA0" w:rsidP="0066751C">
      <w:pPr>
        <w:pStyle w:val="Gvdemetni251"/>
        <w:shd w:val="clear" w:color="auto" w:fill="auto"/>
        <w:spacing w:before="120" w:after="120" w:line="240" w:lineRule="auto"/>
        <w:ind w:left="1134" w:firstLine="0"/>
        <w:rPr>
          <w:color w:val="auto"/>
          <w:sz w:val="24"/>
          <w:szCs w:val="24"/>
        </w:rPr>
      </w:pPr>
      <w:r w:rsidRPr="00DE12A3">
        <w:rPr>
          <w:i/>
          <w:iCs/>
          <w:color w:val="auto"/>
          <w:sz w:val="24"/>
          <w:szCs w:val="24"/>
        </w:rPr>
        <w:t>α</w:t>
      </w:r>
      <w:r w:rsidRPr="00DE12A3">
        <w:rPr>
          <w:color w:val="auto"/>
          <w:sz w:val="24"/>
          <w:szCs w:val="24"/>
        </w:rPr>
        <w:t xml:space="preserve"> atomik hidrojen-karbon oranı (H/C), </w:t>
      </w:r>
      <w:r w:rsidRPr="00DE12A3">
        <w:rPr>
          <w:i/>
          <w:iCs/>
          <w:color w:val="auto"/>
          <w:sz w:val="24"/>
          <w:szCs w:val="24"/>
        </w:rPr>
        <w:t>β</w:t>
      </w:r>
      <w:r w:rsidRPr="00DE12A3">
        <w:rPr>
          <w:color w:val="auto"/>
          <w:sz w:val="24"/>
          <w:szCs w:val="24"/>
        </w:rPr>
        <w:t xml:space="preserve"> atomik oksijen-karbon oranı (O/C), </w:t>
      </w:r>
      <w:r w:rsidRPr="00DE12A3">
        <w:rPr>
          <w:i/>
          <w:iCs/>
          <w:color w:val="auto"/>
          <w:sz w:val="24"/>
          <w:szCs w:val="24"/>
        </w:rPr>
        <w:t>γ</w:t>
      </w:r>
      <w:r w:rsidRPr="00DE12A3">
        <w:rPr>
          <w:color w:val="auto"/>
          <w:sz w:val="24"/>
          <w:szCs w:val="24"/>
        </w:rPr>
        <w:t xml:space="preserve"> atomik kükürt-karbon oranı (S/C) ve </w:t>
      </w:r>
      <w:r w:rsidRPr="00DE12A3">
        <w:rPr>
          <w:i/>
          <w:iCs/>
          <w:color w:val="auto"/>
          <w:sz w:val="24"/>
          <w:szCs w:val="24"/>
        </w:rPr>
        <w:t>δ</w:t>
      </w:r>
      <w:r w:rsidRPr="00DE12A3">
        <w:rPr>
          <w:color w:val="auto"/>
          <w:sz w:val="24"/>
          <w:szCs w:val="24"/>
        </w:rPr>
        <w:t xml:space="preserve"> atomik nitrojen-karbon oranıdır (N/C). Bu formüle dayanarak, yakıtın karbon kütle oranı wC hesaplanabilir. Dizel yakıt durumunda, basit formül CHαOβ kullanılabilir.</w:t>
      </w:r>
    </w:p>
    <w:p w14:paraId="28983B7D" w14:textId="7C4D3018" w:rsidR="002D7B36" w:rsidRPr="00DE12A3" w:rsidRDefault="00242DA0" w:rsidP="0066751C">
      <w:pPr>
        <w:pStyle w:val="Gvdemetni251"/>
        <w:shd w:val="clear" w:color="auto" w:fill="auto"/>
        <w:spacing w:before="120" w:after="120" w:line="240" w:lineRule="auto"/>
        <w:ind w:left="1134" w:firstLine="0"/>
        <w:rPr>
          <w:color w:val="auto"/>
          <w:sz w:val="24"/>
          <w:szCs w:val="24"/>
        </w:rPr>
      </w:pPr>
      <w:r w:rsidRPr="00DE12A3">
        <w:rPr>
          <w:color w:val="auto"/>
          <w:sz w:val="24"/>
          <w:szCs w:val="24"/>
        </w:rPr>
        <w:t xml:space="preserve"> Yakıt bileşimi için varsayılan değerler Tablo 7.3'den elde edilebilir:</w:t>
      </w:r>
    </w:p>
    <w:p w14:paraId="732EEBE5" w14:textId="77777777" w:rsidR="00A82D7E" w:rsidRPr="00DE12A3" w:rsidRDefault="00A82D7E" w:rsidP="0017089B">
      <w:pPr>
        <w:pStyle w:val="Gvdemetni251"/>
        <w:shd w:val="clear" w:color="auto" w:fill="auto"/>
        <w:spacing w:before="120" w:after="120" w:line="240" w:lineRule="auto"/>
        <w:ind w:firstLine="0"/>
        <w:rPr>
          <w:color w:val="auto"/>
          <w:sz w:val="24"/>
          <w:szCs w:val="24"/>
        </w:rPr>
      </w:pPr>
    </w:p>
    <w:p w14:paraId="6A1CA6F3" w14:textId="77777777" w:rsidR="00A82D7E" w:rsidRPr="00DE12A3" w:rsidRDefault="00A82D7E" w:rsidP="0017089B">
      <w:pPr>
        <w:pStyle w:val="Gvdemetni251"/>
        <w:shd w:val="clear" w:color="auto" w:fill="auto"/>
        <w:spacing w:before="120" w:after="120" w:line="240" w:lineRule="auto"/>
        <w:ind w:firstLine="0"/>
        <w:rPr>
          <w:color w:val="auto"/>
          <w:sz w:val="24"/>
          <w:szCs w:val="24"/>
        </w:rPr>
      </w:pPr>
    </w:p>
    <w:p w14:paraId="51977489" w14:textId="77777777" w:rsidR="002D7B36" w:rsidRPr="00DE12A3" w:rsidRDefault="00242DA0" w:rsidP="0017089B">
      <w:pPr>
        <w:pStyle w:val="Gvdemetni1081"/>
        <w:shd w:val="clear" w:color="auto" w:fill="auto"/>
        <w:spacing w:before="120" w:line="240" w:lineRule="auto"/>
        <w:jc w:val="center"/>
        <w:rPr>
          <w:rStyle w:val="Gvdemetni1080"/>
          <w:iCs/>
          <w:color w:val="auto"/>
          <w:sz w:val="24"/>
          <w:szCs w:val="24"/>
        </w:rPr>
      </w:pPr>
      <w:r w:rsidRPr="00DE12A3">
        <w:rPr>
          <w:rStyle w:val="Gvdemetni1080"/>
          <w:iCs/>
          <w:color w:val="auto"/>
          <w:sz w:val="24"/>
          <w:szCs w:val="24"/>
        </w:rPr>
        <w:t>Tablo 7.3</w:t>
      </w:r>
    </w:p>
    <w:p w14:paraId="3A5E7E57" w14:textId="77777777" w:rsidR="00773311" w:rsidRPr="00DE12A3" w:rsidRDefault="00773311" w:rsidP="0017089B">
      <w:pPr>
        <w:pStyle w:val="Gvdemetni51"/>
        <w:shd w:val="clear" w:color="auto" w:fill="auto"/>
        <w:spacing w:before="120" w:after="120" w:line="240" w:lineRule="auto"/>
        <w:jc w:val="center"/>
        <w:rPr>
          <w:color w:val="auto"/>
          <w:sz w:val="24"/>
          <w:szCs w:val="24"/>
        </w:rPr>
      </w:pPr>
      <w:r w:rsidRPr="00DE12A3">
        <w:rPr>
          <w:color w:val="auto"/>
          <w:sz w:val="24"/>
          <w:szCs w:val="24"/>
        </w:rPr>
        <w:t xml:space="preserve">Referans yakıtlar için varsayılan atomik hidrojen-karbon oranı </w:t>
      </w:r>
      <w:r w:rsidRPr="00DE12A3">
        <w:rPr>
          <w:iCs/>
          <w:color w:val="auto"/>
          <w:sz w:val="24"/>
          <w:szCs w:val="24"/>
        </w:rPr>
        <w:t>α</w:t>
      </w:r>
      <w:r w:rsidRPr="00DE12A3">
        <w:rPr>
          <w:color w:val="auto"/>
          <w:sz w:val="24"/>
          <w:szCs w:val="24"/>
        </w:rPr>
        <w:t xml:space="preserve">, atomik oksijen-karbon oranı </w:t>
      </w:r>
      <w:r w:rsidRPr="00DE12A3">
        <w:rPr>
          <w:iCs/>
          <w:color w:val="auto"/>
          <w:sz w:val="24"/>
          <w:szCs w:val="24"/>
        </w:rPr>
        <w:t>β</w:t>
      </w:r>
      <w:r w:rsidRPr="00DE12A3">
        <w:rPr>
          <w:color w:val="auto"/>
          <w:sz w:val="24"/>
          <w:szCs w:val="24"/>
        </w:rPr>
        <w:t xml:space="preserve">, atomik kükürt-karbon oranı </w:t>
      </w:r>
      <w:r w:rsidRPr="00DE12A3">
        <w:rPr>
          <w:iCs/>
          <w:color w:val="auto"/>
          <w:sz w:val="24"/>
          <w:szCs w:val="24"/>
        </w:rPr>
        <w:t>γ</w:t>
      </w:r>
      <w:r w:rsidRPr="00DE12A3">
        <w:rPr>
          <w:color w:val="auto"/>
          <w:sz w:val="24"/>
          <w:szCs w:val="24"/>
        </w:rPr>
        <w:t xml:space="preserve">, atomik azot-karbon oranı </w:t>
      </w:r>
      <w:r w:rsidRPr="00DE12A3">
        <w:rPr>
          <w:iCs/>
          <w:color w:val="auto"/>
          <w:sz w:val="24"/>
          <w:szCs w:val="24"/>
        </w:rPr>
        <w:t>δ</w:t>
      </w:r>
      <w:r w:rsidRPr="00DE12A3">
        <w:rPr>
          <w:color w:val="auto"/>
          <w:sz w:val="24"/>
          <w:szCs w:val="24"/>
        </w:rPr>
        <w:t xml:space="preserve"> ve yakıtın karbon kütle oranı </w:t>
      </w:r>
      <w:r w:rsidRPr="00DE12A3">
        <w:rPr>
          <w:iCs/>
          <w:color w:val="auto"/>
          <w:sz w:val="24"/>
          <w:szCs w:val="24"/>
        </w:rPr>
        <w:t>w</w:t>
      </w:r>
      <w:r w:rsidRPr="00DE12A3">
        <w:rPr>
          <w:color w:val="auto"/>
          <w:sz w:val="24"/>
          <w:szCs w:val="24"/>
          <w:vertAlign w:val="subscript"/>
        </w:rPr>
        <w:t>C</w:t>
      </w:r>
      <w:r w:rsidRPr="00DE12A3">
        <w:rPr>
          <w:color w:val="auto"/>
          <w:sz w:val="24"/>
          <w:szCs w:val="24"/>
        </w:rPr>
        <w:t xml:space="preserve"> değerleri</w:t>
      </w:r>
    </w:p>
    <w:p w14:paraId="5621AFE3" w14:textId="77777777" w:rsidR="002D7B36" w:rsidRPr="00DE12A3" w:rsidRDefault="002D7B36" w:rsidP="00C917D6">
      <w:pPr>
        <w:widowControl/>
        <w:tabs>
          <w:tab w:val="left" w:pos="8789"/>
        </w:tabs>
        <w:spacing w:before="120" w:after="120"/>
        <w:ind w:left="709" w:hanging="709"/>
        <w:jc w:val="both"/>
        <w:rPr>
          <w:rFonts w:cs="Times New Roman"/>
          <w:color w:val="auto"/>
          <w:sz w:val="20"/>
          <w:szCs w:val="20"/>
          <w:lang w:eastAsia="en-US"/>
        </w:rPr>
      </w:pPr>
    </w:p>
    <w:tbl>
      <w:tblPr>
        <w:tblW w:w="653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263"/>
        <w:gridCol w:w="2694"/>
        <w:gridCol w:w="1576"/>
      </w:tblGrid>
      <w:tr w:rsidR="00DE12A3" w:rsidRPr="00DE12A3" w14:paraId="3EB25594" w14:textId="77777777" w:rsidTr="0066751C">
        <w:trPr>
          <w:trHeight w:hRule="exact" w:val="2266"/>
          <w:jc w:val="center"/>
        </w:trPr>
        <w:tc>
          <w:tcPr>
            <w:tcW w:w="2263" w:type="dxa"/>
            <w:shd w:val="clear" w:color="auto" w:fill="auto"/>
          </w:tcPr>
          <w:p w14:paraId="656580F6" w14:textId="77777777" w:rsidR="00907C73" w:rsidRPr="00DE12A3" w:rsidRDefault="00907C73" w:rsidP="00912042">
            <w:pPr>
              <w:pStyle w:val="Gvdemetni361"/>
              <w:shd w:val="clear" w:color="auto" w:fill="auto"/>
              <w:spacing w:before="120" w:after="120" w:line="240" w:lineRule="auto"/>
              <w:ind w:firstLine="0"/>
              <w:rPr>
                <w:color w:val="auto"/>
                <w:sz w:val="24"/>
                <w:szCs w:val="24"/>
              </w:rPr>
            </w:pPr>
            <w:r w:rsidRPr="00DE12A3">
              <w:rPr>
                <w:rStyle w:val="Gvdemetni365pt0ptbolukbraklyor9"/>
                <w:color w:val="auto"/>
                <w:sz w:val="24"/>
                <w:szCs w:val="24"/>
              </w:rPr>
              <w:t>Yakıt</w:t>
            </w:r>
          </w:p>
        </w:tc>
        <w:tc>
          <w:tcPr>
            <w:tcW w:w="2694" w:type="dxa"/>
            <w:shd w:val="clear" w:color="auto" w:fill="auto"/>
          </w:tcPr>
          <w:p w14:paraId="021153FC" w14:textId="77777777" w:rsidR="00907C73" w:rsidRPr="00DE12A3" w:rsidRDefault="00907C73" w:rsidP="00912042">
            <w:pPr>
              <w:pStyle w:val="Gvdemetni361"/>
              <w:shd w:val="clear" w:color="auto" w:fill="auto"/>
              <w:spacing w:before="120" w:after="120" w:line="240" w:lineRule="auto"/>
              <w:ind w:firstLine="0"/>
              <w:jc w:val="left"/>
              <w:rPr>
                <w:color w:val="auto"/>
                <w:sz w:val="24"/>
                <w:szCs w:val="24"/>
              </w:rPr>
            </w:pPr>
            <w:r w:rsidRPr="00DE12A3">
              <w:rPr>
                <w:rStyle w:val="Gvdemetni365pt0ptbolukbraklyor9"/>
                <w:color w:val="auto"/>
                <w:sz w:val="24"/>
                <w:szCs w:val="24"/>
              </w:rPr>
              <w:t>Atomik hidrojen, oksijen, kükürt ve nitrojen-karbon oranları</w:t>
            </w:r>
          </w:p>
          <w:p w14:paraId="79764D4C" w14:textId="77777777" w:rsidR="0016599D" w:rsidRPr="00DE12A3" w:rsidRDefault="0016599D" w:rsidP="0016599D">
            <w:pPr>
              <w:pStyle w:val="Gvdemetni251"/>
              <w:shd w:val="clear" w:color="auto" w:fill="auto"/>
              <w:spacing w:before="120" w:after="120" w:line="240" w:lineRule="auto"/>
              <w:ind w:firstLine="0"/>
              <w:rPr>
                <w:rStyle w:val="Gvdemetni365pt0ptbolukbraklyor9"/>
                <w:color w:val="auto"/>
                <w:sz w:val="24"/>
                <w:szCs w:val="24"/>
              </w:rPr>
            </w:pPr>
            <w:r w:rsidRPr="00DE12A3">
              <w:rPr>
                <w:rStyle w:val="Gvdemetni365pt0ptbolukbraklyor9"/>
                <w:color w:val="auto"/>
                <w:sz w:val="24"/>
                <w:szCs w:val="24"/>
              </w:rPr>
              <w:t>CHαO</w:t>
            </w:r>
            <w:r w:rsidRPr="00DE12A3">
              <w:rPr>
                <w:rStyle w:val="Gvdemetni365pt0ptbolukbraklyor9"/>
                <w:color w:val="auto"/>
                <w:sz w:val="24"/>
                <w:szCs w:val="24"/>
                <w:vertAlign w:val="subscript"/>
              </w:rPr>
              <w:t>β</w:t>
            </w:r>
            <w:r w:rsidRPr="00DE12A3">
              <w:rPr>
                <w:rStyle w:val="Gvdemetni365pt0ptbolukbraklyor9"/>
                <w:color w:val="auto"/>
                <w:sz w:val="24"/>
                <w:szCs w:val="24"/>
              </w:rPr>
              <w:t>SγN</w:t>
            </w:r>
            <w:r w:rsidRPr="00DE12A3">
              <w:rPr>
                <w:rStyle w:val="Gvdemetni365pt0ptbolukbraklyor9"/>
                <w:color w:val="auto"/>
                <w:sz w:val="24"/>
                <w:szCs w:val="24"/>
                <w:vertAlign w:val="subscript"/>
              </w:rPr>
              <w:t>δ</w:t>
            </w:r>
          </w:p>
          <w:p w14:paraId="42CC1C80" w14:textId="77777777" w:rsidR="00907C73" w:rsidRPr="00DE12A3" w:rsidRDefault="00907C73" w:rsidP="00912042">
            <w:pPr>
              <w:pStyle w:val="Gvdemetni361"/>
              <w:shd w:val="clear" w:color="auto" w:fill="auto"/>
              <w:spacing w:before="120" w:after="120" w:line="240" w:lineRule="auto"/>
              <w:ind w:left="1134" w:hanging="1134"/>
              <w:rPr>
                <w:color w:val="auto"/>
                <w:sz w:val="24"/>
                <w:szCs w:val="24"/>
              </w:rPr>
            </w:pPr>
          </w:p>
        </w:tc>
        <w:tc>
          <w:tcPr>
            <w:tcW w:w="1576" w:type="dxa"/>
            <w:shd w:val="clear" w:color="auto" w:fill="auto"/>
          </w:tcPr>
          <w:p w14:paraId="2B6E39F6" w14:textId="77777777" w:rsidR="00907C73" w:rsidRPr="00DE12A3" w:rsidRDefault="00907C73" w:rsidP="00912042">
            <w:pPr>
              <w:pStyle w:val="Gvdemetni361"/>
              <w:shd w:val="clear" w:color="auto" w:fill="auto"/>
              <w:spacing w:before="120" w:after="120" w:line="240" w:lineRule="auto"/>
              <w:ind w:left="99" w:right="539" w:hanging="43"/>
              <w:rPr>
                <w:color w:val="auto"/>
                <w:sz w:val="24"/>
                <w:szCs w:val="24"/>
              </w:rPr>
            </w:pPr>
            <w:r w:rsidRPr="00DE12A3">
              <w:rPr>
                <w:rStyle w:val="Gvdemetni365pt0ptbolukbraklyor9"/>
                <w:color w:val="auto"/>
                <w:sz w:val="24"/>
                <w:szCs w:val="24"/>
              </w:rPr>
              <w:t xml:space="preserve">Karbon kütle konsantrasyonu, </w:t>
            </w:r>
            <w:r w:rsidRPr="00DE12A3">
              <w:rPr>
                <w:rStyle w:val="Gvdemetni3665pttalik0ptbolukbraklyor2"/>
                <w:color w:val="auto"/>
                <w:sz w:val="24"/>
                <w:szCs w:val="24"/>
              </w:rPr>
              <w:t>w</w:t>
            </w:r>
            <w:r w:rsidRPr="00DE12A3">
              <w:rPr>
                <w:rStyle w:val="Gvdemetni3665pttalik0ptbolukbraklyor2"/>
                <w:color w:val="auto"/>
                <w:sz w:val="24"/>
                <w:szCs w:val="24"/>
                <w:vertAlign w:val="subscript"/>
              </w:rPr>
              <w:t>C</w:t>
            </w:r>
            <w:r w:rsidRPr="00DE12A3">
              <w:rPr>
                <w:rStyle w:val="Gvdemetni3665pttalik0ptbolukbraklyor2"/>
                <w:color w:val="auto"/>
                <w:sz w:val="24"/>
                <w:szCs w:val="24"/>
              </w:rPr>
              <w:t xml:space="preserve"> </w:t>
            </w:r>
            <w:r w:rsidRPr="00DE12A3">
              <w:rPr>
                <w:rStyle w:val="Gvdemetni365pt0ptbolukbraklyor9"/>
                <w:color w:val="auto"/>
                <w:sz w:val="24"/>
                <w:szCs w:val="24"/>
              </w:rPr>
              <w:t>[g</w:t>
            </w:r>
            <w:r w:rsidRPr="00DE12A3">
              <w:rPr>
                <w:rStyle w:val="Gvdemetni365pt0ptbolukbraklyor9"/>
                <w:color w:val="auto"/>
                <w:sz w:val="24"/>
                <w:szCs w:val="24"/>
                <w:vertAlign w:val="superscript"/>
              </w:rPr>
              <w:t>/</w:t>
            </w:r>
            <w:r w:rsidRPr="00DE12A3">
              <w:rPr>
                <w:rStyle w:val="Gvdemetni365pt0ptbolukbraklyor9"/>
                <w:color w:val="auto"/>
                <w:sz w:val="24"/>
                <w:szCs w:val="24"/>
              </w:rPr>
              <w:t>g]</w:t>
            </w:r>
          </w:p>
        </w:tc>
      </w:tr>
      <w:tr w:rsidR="00DE12A3" w:rsidRPr="00DE12A3" w14:paraId="60C5CE8E" w14:textId="77777777" w:rsidTr="0066751C">
        <w:trPr>
          <w:trHeight w:hRule="exact" w:val="1139"/>
          <w:jc w:val="center"/>
        </w:trPr>
        <w:tc>
          <w:tcPr>
            <w:tcW w:w="2263" w:type="dxa"/>
            <w:shd w:val="clear" w:color="auto" w:fill="auto"/>
          </w:tcPr>
          <w:p w14:paraId="5A89E5FB" w14:textId="77777777" w:rsidR="00907C73" w:rsidRPr="00DE12A3" w:rsidRDefault="00907C73" w:rsidP="00912042">
            <w:pPr>
              <w:spacing w:before="120" w:after="120"/>
              <w:jc w:val="both"/>
              <w:rPr>
                <w:rFonts w:cs="Times New Roman"/>
                <w:color w:val="auto"/>
              </w:rPr>
            </w:pPr>
            <w:r w:rsidRPr="00DE12A3">
              <w:rPr>
                <w:rFonts w:cs="Times New Roman"/>
                <w:color w:val="auto"/>
              </w:rPr>
              <w:t xml:space="preserve">Dizel (karayolu dışı </w:t>
            </w:r>
            <w:r w:rsidR="00FE3D3B" w:rsidRPr="00DE12A3">
              <w:rPr>
                <w:rFonts w:cs="Times New Roman"/>
                <w:color w:val="auto"/>
              </w:rPr>
              <w:t>dizel</w:t>
            </w:r>
            <w:r w:rsidRPr="00DE12A3">
              <w:rPr>
                <w:rFonts w:cs="Times New Roman"/>
                <w:color w:val="auto"/>
              </w:rPr>
              <w:t xml:space="preserve"> yakıt)</w:t>
            </w:r>
          </w:p>
        </w:tc>
        <w:tc>
          <w:tcPr>
            <w:tcW w:w="2694" w:type="dxa"/>
            <w:shd w:val="clear" w:color="auto" w:fill="auto"/>
          </w:tcPr>
          <w:p w14:paraId="60E9E7AE" w14:textId="43940DD9" w:rsidR="00907C73" w:rsidRPr="00DE12A3" w:rsidRDefault="0016599D" w:rsidP="00912042">
            <w:pPr>
              <w:pStyle w:val="Gvdemetni361"/>
              <w:shd w:val="clear" w:color="auto" w:fill="auto"/>
              <w:spacing w:before="120" w:after="120" w:line="240" w:lineRule="auto"/>
              <w:ind w:left="1134" w:hanging="1134"/>
              <w:rPr>
                <w:color w:val="auto"/>
                <w:sz w:val="24"/>
                <w:szCs w:val="24"/>
              </w:rPr>
            </w:pPr>
            <w:r w:rsidRPr="00DE12A3">
              <w:rPr>
                <w:color w:val="auto"/>
              </w:rPr>
              <w:t xml:space="preserve">  </w:t>
            </w:r>
            <w:r w:rsidRPr="00DE12A3">
              <w:rPr>
                <w:rStyle w:val="Gvdemetni365pt0ptbolukbraklyor5"/>
                <w:color w:val="auto"/>
                <w:sz w:val="24"/>
                <w:szCs w:val="24"/>
              </w:rPr>
              <w:t>CH</w:t>
            </w:r>
            <w:r w:rsidRPr="00DE12A3">
              <w:rPr>
                <w:rStyle w:val="Gvdemetni365pt0ptbolukbraklyor5"/>
                <w:color w:val="auto"/>
                <w:sz w:val="24"/>
                <w:szCs w:val="24"/>
                <w:vertAlign w:val="subscript"/>
              </w:rPr>
              <w:t>1,80</w:t>
            </w:r>
            <w:r w:rsidRPr="00DE12A3">
              <w:rPr>
                <w:rStyle w:val="Gvdemetni365pt0ptbolukbraklyor5"/>
                <w:color w:val="auto"/>
                <w:sz w:val="24"/>
                <w:szCs w:val="24"/>
              </w:rPr>
              <w:t>O</w:t>
            </w:r>
            <w:r w:rsidRPr="00DE12A3">
              <w:rPr>
                <w:rStyle w:val="Gvdemetni365pt0ptbolukbraklyor5"/>
                <w:color w:val="auto"/>
                <w:sz w:val="24"/>
                <w:szCs w:val="24"/>
                <w:vertAlign w:val="subscript"/>
              </w:rPr>
              <w:t>0</w:t>
            </w:r>
            <w:r w:rsidRPr="00DE12A3">
              <w:rPr>
                <w:rStyle w:val="Gvdemetni365pt0ptbolukbraklyor5"/>
                <w:color w:val="auto"/>
                <w:sz w:val="24"/>
                <w:szCs w:val="24"/>
              </w:rPr>
              <w:t>S</w:t>
            </w:r>
            <w:r w:rsidRPr="00DE12A3">
              <w:rPr>
                <w:rStyle w:val="Gvdemetni365pt0ptbolukbraklyor5"/>
                <w:color w:val="auto"/>
                <w:sz w:val="24"/>
                <w:szCs w:val="24"/>
                <w:vertAlign w:val="subscript"/>
              </w:rPr>
              <w:t>0</w:t>
            </w:r>
            <w:r w:rsidRPr="00DE12A3">
              <w:rPr>
                <w:rStyle w:val="Gvdemetni365pt0ptbolukbraklyor5"/>
                <w:color w:val="auto"/>
                <w:sz w:val="24"/>
                <w:szCs w:val="24"/>
              </w:rPr>
              <w:t>N</w:t>
            </w:r>
            <w:r w:rsidRPr="00DE12A3">
              <w:rPr>
                <w:rStyle w:val="Gvdemetni365pt0ptbolukbraklyor5"/>
                <w:color w:val="auto"/>
                <w:sz w:val="24"/>
                <w:szCs w:val="24"/>
                <w:vertAlign w:val="subscript"/>
              </w:rPr>
              <w:t>0</w:t>
            </w:r>
          </w:p>
        </w:tc>
        <w:tc>
          <w:tcPr>
            <w:tcW w:w="1576" w:type="dxa"/>
            <w:shd w:val="clear" w:color="auto" w:fill="auto"/>
          </w:tcPr>
          <w:p w14:paraId="0869E012" w14:textId="77777777" w:rsidR="00907C73" w:rsidRPr="00DE12A3" w:rsidRDefault="00907C73" w:rsidP="00912042">
            <w:pPr>
              <w:pStyle w:val="Gvdemetni361"/>
              <w:shd w:val="clear" w:color="auto" w:fill="auto"/>
              <w:spacing w:before="120" w:after="120" w:line="240" w:lineRule="auto"/>
              <w:ind w:left="1134" w:hanging="1134"/>
              <w:rPr>
                <w:color w:val="auto"/>
                <w:sz w:val="24"/>
                <w:szCs w:val="24"/>
              </w:rPr>
            </w:pPr>
            <w:r w:rsidRPr="00DE12A3">
              <w:rPr>
                <w:rStyle w:val="Gvdemetni367pt0ptbolukbraklyor"/>
                <w:color w:val="auto"/>
                <w:sz w:val="24"/>
                <w:szCs w:val="24"/>
              </w:rPr>
              <w:t>0,869</w:t>
            </w:r>
          </w:p>
        </w:tc>
      </w:tr>
      <w:tr w:rsidR="00DE12A3" w:rsidRPr="00DE12A3" w14:paraId="4A967C07" w14:textId="77777777" w:rsidTr="0066751C">
        <w:trPr>
          <w:trHeight w:hRule="exact" w:val="995"/>
          <w:jc w:val="center"/>
        </w:trPr>
        <w:tc>
          <w:tcPr>
            <w:tcW w:w="2263" w:type="dxa"/>
            <w:shd w:val="clear" w:color="auto" w:fill="auto"/>
          </w:tcPr>
          <w:p w14:paraId="1F920A62" w14:textId="77777777" w:rsidR="00907C73" w:rsidRPr="00DE12A3" w:rsidRDefault="00907C73" w:rsidP="00912042">
            <w:pPr>
              <w:spacing w:before="120" w:after="120"/>
              <w:jc w:val="both"/>
              <w:rPr>
                <w:rFonts w:cs="Times New Roman"/>
                <w:color w:val="auto"/>
              </w:rPr>
            </w:pPr>
            <w:r w:rsidRPr="00DE12A3">
              <w:rPr>
                <w:rFonts w:cs="Times New Roman"/>
                <w:color w:val="auto"/>
              </w:rPr>
              <w:t>Tahsisli sıkıştırma ateşlemeli motorlar için etanol (ED95)</w:t>
            </w:r>
          </w:p>
        </w:tc>
        <w:tc>
          <w:tcPr>
            <w:tcW w:w="2694" w:type="dxa"/>
            <w:shd w:val="clear" w:color="auto" w:fill="auto"/>
          </w:tcPr>
          <w:p w14:paraId="40A5218D" w14:textId="77777777" w:rsidR="00907C73" w:rsidRPr="00DE12A3" w:rsidRDefault="00907C73" w:rsidP="00912042">
            <w:pPr>
              <w:pStyle w:val="Gvdemetni361"/>
              <w:shd w:val="clear" w:color="auto" w:fill="auto"/>
              <w:spacing w:before="120" w:after="120" w:line="240" w:lineRule="auto"/>
              <w:ind w:left="1134" w:hanging="1134"/>
              <w:rPr>
                <w:color w:val="auto"/>
                <w:sz w:val="24"/>
                <w:szCs w:val="24"/>
              </w:rPr>
            </w:pPr>
            <w:r w:rsidRPr="00DE12A3">
              <w:rPr>
                <w:rStyle w:val="Gvdemetni365pt0ptbolukbraklyor5"/>
                <w:color w:val="auto"/>
                <w:sz w:val="24"/>
                <w:szCs w:val="24"/>
              </w:rPr>
              <w:t>CH</w:t>
            </w:r>
            <w:r w:rsidRPr="00DE12A3">
              <w:rPr>
                <w:rStyle w:val="Gvdemetni365pt0ptbolukbraklyor5"/>
                <w:color w:val="auto"/>
                <w:sz w:val="24"/>
                <w:szCs w:val="24"/>
                <w:vertAlign w:val="subscript"/>
              </w:rPr>
              <w:t>2,92</w:t>
            </w:r>
            <w:r w:rsidRPr="00DE12A3">
              <w:rPr>
                <w:rStyle w:val="Gvdemetni365pt0ptbolukbraklyor5"/>
                <w:color w:val="auto"/>
                <w:sz w:val="24"/>
                <w:szCs w:val="24"/>
              </w:rPr>
              <w:t>O</w:t>
            </w:r>
            <w:r w:rsidRPr="00DE12A3">
              <w:rPr>
                <w:rStyle w:val="Gvdemetni365pt0ptbolukbraklyor5"/>
                <w:color w:val="auto"/>
                <w:sz w:val="24"/>
                <w:szCs w:val="24"/>
                <w:vertAlign w:val="subscript"/>
              </w:rPr>
              <w:t>0,46</w:t>
            </w:r>
            <w:r w:rsidRPr="00DE12A3">
              <w:rPr>
                <w:rStyle w:val="Gvdemetni365pt0ptbolukbraklyor5"/>
                <w:color w:val="auto"/>
                <w:sz w:val="24"/>
                <w:szCs w:val="24"/>
              </w:rPr>
              <w:t>S</w:t>
            </w:r>
            <w:r w:rsidRPr="00DE12A3">
              <w:rPr>
                <w:rStyle w:val="Gvdemetni365pt0ptbolukbraklyor5"/>
                <w:color w:val="auto"/>
                <w:sz w:val="24"/>
                <w:szCs w:val="24"/>
                <w:vertAlign w:val="subscript"/>
              </w:rPr>
              <w:t>0</w:t>
            </w:r>
            <w:r w:rsidRPr="00DE12A3">
              <w:rPr>
                <w:rStyle w:val="Gvdemetni365pt0ptbolukbraklyor5"/>
                <w:color w:val="auto"/>
                <w:sz w:val="24"/>
                <w:szCs w:val="24"/>
              </w:rPr>
              <w:t>N</w:t>
            </w:r>
            <w:r w:rsidRPr="00DE12A3">
              <w:rPr>
                <w:rStyle w:val="Gvdemetni365pt0ptbolukbraklyor5"/>
                <w:color w:val="auto"/>
                <w:sz w:val="24"/>
                <w:szCs w:val="24"/>
                <w:vertAlign w:val="subscript"/>
              </w:rPr>
              <w:t>0</w:t>
            </w:r>
          </w:p>
        </w:tc>
        <w:tc>
          <w:tcPr>
            <w:tcW w:w="1576" w:type="dxa"/>
            <w:shd w:val="clear" w:color="auto" w:fill="auto"/>
          </w:tcPr>
          <w:p w14:paraId="1A04F0CC" w14:textId="77777777" w:rsidR="00907C73" w:rsidRPr="00DE12A3" w:rsidRDefault="00907C73" w:rsidP="00912042">
            <w:pPr>
              <w:pStyle w:val="Gvdemetni361"/>
              <w:shd w:val="clear" w:color="auto" w:fill="auto"/>
              <w:spacing w:before="120" w:after="120" w:line="240" w:lineRule="auto"/>
              <w:ind w:left="1134" w:hanging="1134"/>
              <w:rPr>
                <w:color w:val="auto"/>
                <w:sz w:val="24"/>
                <w:szCs w:val="24"/>
              </w:rPr>
            </w:pPr>
            <w:r w:rsidRPr="00DE12A3">
              <w:rPr>
                <w:rStyle w:val="Gvdemetni367pt0ptbolukbraklyor"/>
                <w:color w:val="auto"/>
                <w:sz w:val="24"/>
                <w:szCs w:val="24"/>
              </w:rPr>
              <w:t>0,538</w:t>
            </w:r>
          </w:p>
        </w:tc>
      </w:tr>
      <w:tr w:rsidR="00DE12A3" w:rsidRPr="00DE12A3" w14:paraId="564201E4" w14:textId="77777777" w:rsidTr="0066751C">
        <w:trPr>
          <w:trHeight w:hRule="exact" w:val="560"/>
          <w:jc w:val="center"/>
        </w:trPr>
        <w:tc>
          <w:tcPr>
            <w:tcW w:w="2263" w:type="dxa"/>
            <w:shd w:val="clear" w:color="auto" w:fill="auto"/>
          </w:tcPr>
          <w:p w14:paraId="0A21020C" w14:textId="77777777" w:rsidR="00907C73" w:rsidRPr="00DE12A3" w:rsidRDefault="00907C73" w:rsidP="00912042">
            <w:pPr>
              <w:spacing w:before="120" w:after="120"/>
              <w:ind w:left="1134" w:hanging="1134"/>
              <w:jc w:val="both"/>
              <w:rPr>
                <w:rFonts w:cs="Times New Roman"/>
                <w:color w:val="auto"/>
              </w:rPr>
            </w:pPr>
            <w:r w:rsidRPr="00DE12A3">
              <w:rPr>
                <w:rFonts w:cs="Times New Roman"/>
                <w:color w:val="auto"/>
              </w:rPr>
              <w:t>Petrol (E10)</w:t>
            </w:r>
          </w:p>
        </w:tc>
        <w:tc>
          <w:tcPr>
            <w:tcW w:w="2694" w:type="dxa"/>
            <w:shd w:val="clear" w:color="auto" w:fill="auto"/>
          </w:tcPr>
          <w:p w14:paraId="2F58303F" w14:textId="77777777" w:rsidR="00907C73" w:rsidRPr="00DE12A3" w:rsidRDefault="00907C73" w:rsidP="00912042">
            <w:pPr>
              <w:pStyle w:val="Gvdemetni361"/>
              <w:shd w:val="clear" w:color="auto" w:fill="auto"/>
              <w:spacing w:before="120" w:after="120" w:line="240" w:lineRule="auto"/>
              <w:ind w:left="1134" w:hanging="1134"/>
              <w:rPr>
                <w:color w:val="auto"/>
                <w:sz w:val="24"/>
                <w:szCs w:val="24"/>
              </w:rPr>
            </w:pPr>
            <w:r w:rsidRPr="00DE12A3">
              <w:rPr>
                <w:rStyle w:val="Gvdemetni365pt0ptbolukbraklyor5"/>
                <w:color w:val="auto"/>
                <w:sz w:val="24"/>
                <w:szCs w:val="24"/>
              </w:rPr>
              <w:t>CH</w:t>
            </w:r>
            <w:r w:rsidRPr="00DE12A3">
              <w:rPr>
                <w:rStyle w:val="Gvdemetni365pt0ptbolukbraklyor5"/>
                <w:color w:val="auto"/>
                <w:sz w:val="24"/>
                <w:szCs w:val="24"/>
                <w:vertAlign w:val="subscript"/>
              </w:rPr>
              <w:t>1,92</w:t>
            </w:r>
            <w:r w:rsidRPr="00DE12A3">
              <w:rPr>
                <w:rStyle w:val="Gvdemetni365pt0ptbolukbraklyor5"/>
                <w:color w:val="auto"/>
                <w:sz w:val="24"/>
                <w:szCs w:val="24"/>
              </w:rPr>
              <w:t>O</w:t>
            </w:r>
            <w:r w:rsidRPr="00DE12A3">
              <w:rPr>
                <w:rStyle w:val="Gvdemetni365pt0ptbolukbraklyor5"/>
                <w:color w:val="auto"/>
                <w:sz w:val="24"/>
                <w:szCs w:val="24"/>
                <w:vertAlign w:val="subscript"/>
              </w:rPr>
              <w:t>0,03</w:t>
            </w:r>
            <w:r w:rsidRPr="00DE12A3">
              <w:rPr>
                <w:rStyle w:val="Gvdemetni365pt0ptbolukbraklyor5"/>
                <w:color w:val="auto"/>
                <w:sz w:val="24"/>
                <w:szCs w:val="24"/>
              </w:rPr>
              <w:t>S</w:t>
            </w:r>
            <w:r w:rsidRPr="00DE12A3">
              <w:rPr>
                <w:rStyle w:val="Gvdemetni365pt0ptbolukbraklyor5"/>
                <w:color w:val="auto"/>
                <w:sz w:val="24"/>
                <w:szCs w:val="24"/>
                <w:vertAlign w:val="subscript"/>
              </w:rPr>
              <w:t>0</w:t>
            </w:r>
            <w:r w:rsidRPr="00DE12A3">
              <w:rPr>
                <w:rStyle w:val="Gvdemetni365pt0ptbolukbraklyor5"/>
                <w:color w:val="auto"/>
                <w:sz w:val="24"/>
                <w:szCs w:val="24"/>
              </w:rPr>
              <w:t>N</w:t>
            </w:r>
            <w:r w:rsidRPr="00DE12A3">
              <w:rPr>
                <w:rStyle w:val="Gvdemetni365pt0ptbolukbraklyor5"/>
                <w:color w:val="auto"/>
                <w:sz w:val="24"/>
                <w:szCs w:val="24"/>
                <w:vertAlign w:val="subscript"/>
              </w:rPr>
              <w:t>0</w:t>
            </w:r>
          </w:p>
        </w:tc>
        <w:tc>
          <w:tcPr>
            <w:tcW w:w="1576" w:type="dxa"/>
            <w:shd w:val="clear" w:color="auto" w:fill="auto"/>
          </w:tcPr>
          <w:p w14:paraId="653FA8F7" w14:textId="77777777" w:rsidR="00907C73" w:rsidRPr="00DE12A3" w:rsidRDefault="00907C73" w:rsidP="00912042">
            <w:pPr>
              <w:pStyle w:val="Gvdemetni361"/>
              <w:shd w:val="clear" w:color="auto" w:fill="auto"/>
              <w:spacing w:before="120" w:after="120" w:line="240" w:lineRule="auto"/>
              <w:ind w:left="1134" w:hanging="1134"/>
              <w:rPr>
                <w:color w:val="auto"/>
                <w:sz w:val="24"/>
                <w:szCs w:val="24"/>
              </w:rPr>
            </w:pPr>
            <w:r w:rsidRPr="00DE12A3">
              <w:rPr>
                <w:rStyle w:val="Gvdemetni367pt0ptbolukbraklyor"/>
                <w:color w:val="auto"/>
                <w:sz w:val="24"/>
                <w:szCs w:val="24"/>
              </w:rPr>
              <w:t>0,833</w:t>
            </w:r>
          </w:p>
        </w:tc>
      </w:tr>
      <w:tr w:rsidR="00DE12A3" w:rsidRPr="00DE12A3" w14:paraId="043C7A61" w14:textId="77777777" w:rsidTr="0066751C">
        <w:trPr>
          <w:trHeight w:hRule="exact" w:val="690"/>
          <w:jc w:val="center"/>
        </w:trPr>
        <w:tc>
          <w:tcPr>
            <w:tcW w:w="2263" w:type="dxa"/>
            <w:shd w:val="clear" w:color="auto" w:fill="auto"/>
          </w:tcPr>
          <w:p w14:paraId="3D4F72D4" w14:textId="77777777" w:rsidR="00907C73" w:rsidRPr="00DE12A3" w:rsidRDefault="00907C73" w:rsidP="00912042">
            <w:pPr>
              <w:spacing w:before="120" w:after="120"/>
              <w:ind w:left="1134" w:hanging="1134"/>
              <w:jc w:val="both"/>
              <w:rPr>
                <w:rFonts w:cs="Times New Roman"/>
                <w:color w:val="auto"/>
              </w:rPr>
            </w:pPr>
            <w:r w:rsidRPr="00DE12A3">
              <w:rPr>
                <w:rFonts w:cs="Times New Roman"/>
                <w:color w:val="auto"/>
              </w:rPr>
              <w:t>Petrol (E0)</w:t>
            </w:r>
          </w:p>
        </w:tc>
        <w:tc>
          <w:tcPr>
            <w:tcW w:w="2694" w:type="dxa"/>
            <w:shd w:val="clear" w:color="auto" w:fill="auto"/>
          </w:tcPr>
          <w:p w14:paraId="2BF4F12E" w14:textId="77777777" w:rsidR="00907C73" w:rsidRPr="00DE12A3" w:rsidRDefault="00907C73" w:rsidP="00912042">
            <w:pPr>
              <w:pStyle w:val="Gvdemetni254pt"/>
              <w:framePr w:hSpace="0" w:wrap="auto" w:vAnchor="margin" w:hAnchor="text" w:xAlign="left" w:yAlign="inline"/>
              <w:suppressOverlap w:val="0"/>
              <w:rPr>
                <w:color w:val="auto"/>
              </w:rPr>
            </w:pPr>
            <w:r w:rsidRPr="00DE12A3">
              <w:rPr>
                <w:color w:val="auto"/>
              </w:rPr>
              <w:t>CH</w:t>
            </w:r>
            <w:r w:rsidRPr="00DE12A3">
              <w:rPr>
                <w:rStyle w:val="Gvdemetni365pt0ptbolukbraklyor4"/>
                <w:color w:val="auto"/>
                <w:sz w:val="24"/>
                <w:szCs w:val="24"/>
                <w:vertAlign w:val="subscript"/>
              </w:rPr>
              <w:t>1,85</w:t>
            </w:r>
            <w:r w:rsidRPr="00DE12A3">
              <w:rPr>
                <w:color w:val="auto"/>
              </w:rPr>
              <w:t>O</w:t>
            </w:r>
            <w:r w:rsidRPr="00DE12A3">
              <w:rPr>
                <w:rStyle w:val="Gvdemetni365pt0ptbolukbraklyor4"/>
                <w:color w:val="auto"/>
                <w:sz w:val="24"/>
                <w:szCs w:val="24"/>
                <w:vertAlign w:val="subscript"/>
              </w:rPr>
              <w:t>0</w:t>
            </w:r>
            <w:r w:rsidRPr="00DE12A3">
              <w:rPr>
                <w:color w:val="auto"/>
              </w:rPr>
              <w:t>S</w:t>
            </w:r>
            <w:r w:rsidRPr="00DE12A3">
              <w:rPr>
                <w:rStyle w:val="Gvdemetni365pt0ptbolukbraklyor4"/>
                <w:color w:val="auto"/>
                <w:sz w:val="24"/>
                <w:szCs w:val="24"/>
                <w:vertAlign w:val="subscript"/>
              </w:rPr>
              <w:t>0</w:t>
            </w:r>
            <w:r w:rsidRPr="00DE12A3">
              <w:rPr>
                <w:color w:val="auto"/>
              </w:rPr>
              <w:t>N</w:t>
            </w:r>
            <w:r w:rsidRPr="00DE12A3">
              <w:rPr>
                <w:rStyle w:val="Gvdemetni365pt0ptbolukbraklyor4"/>
                <w:color w:val="auto"/>
                <w:sz w:val="24"/>
                <w:szCs w:val="24"/>
                <w:vertAlign w:val="subscript"/>
              </w:rPr>
              <w:t>0</w:t>
            </w:r>
          </w:p>
        </w:tc>
        <w:tc>
          <w:tcPr>
            <w:tcW w:w="1576" w:type="dxa"/>
            <w:shd w:val="clear" w:color="auto" w:fill="auto"/>
          </w:tcPr>
          <w:p w14:paraId="6ED53418" w14:textId="77777777" w:rsidR="00907C73" w:rsidRPr="00DE12A3" w:rsidRDefault="00907C73" w:rsidP="00912042">
            <w:pPr>
              <w:pStyle w:val="Gvdemetni361"/>
              <w:shd w:val="clear" w:color="auto" w:fill="auto"/>
              <w:spacing w:before="120" w:after="120" w:line="240" w:lineRule="auto"/>
              <w:ind w:left="1134" w:hanging="1134"/>
              <w:rPr>
                <w:color w:val="auto"/>
                <w:sz w:val="24"/>
                <w:szCs w:val="24"/>
              </w:rPr>
            </w:pPr>
            <w:r w:rsidRPr="00DE12A3">
              <w:rPr>
                <w:rStyle w:val="Gvdemetni3675pt3"/>
                <w:color w:val="auto"/>
                <w:sz w:val="24"/>
                <w:szCs w:val="24"/>
              </w:rPr>
              <w:t>0,866</w:t>
            </w:r>
          </w:p>
        </w:tc>
      </w:tr>
      <w:tr w:rsidR="00DE12A3" w:rsidRPr="00DE12A3" w14:paraId="4168F51A" w14:textId="77777777" w:rsidTr="0066751C">
        <w:trPr>
          <w:trHeight w:hRule="exact" w:val="699"/>
          <w:jc w:val="center"/>
        </w:trPr>
        <w:tc>
          <w:tcPr>
            <w:tcW w:w="2263" w:type="dxa"/>
            <w:shd w:val="clear" w:color="auto" w:fill="auto"/>
          </w:tcPr>
          <w:p w14:paraId="1F2F7FE1" w14:textId="77777777" w:rsidR="00907C73" w:rsidRPr="00DE12A3" w:rsidRDefault="00907C73" w:rsidP="00912042">
            <w:pPr>
              <w:spacing w:before="120" w:after="120"/>
              <w:ind w:left="1134" w:hanging="1134"/>
              <w:jc w:val="both"/>
              <w:rPr>
                <w:rFonts w:cs="Times New Roman"/>
                <w:color w:val="auto"/>
              </w:rPr>
            </w:pPr>
            <w:r w:rsidRPr="00DE12A3">
              <w:rPr>
                <w:rFonts w:cs="Times New Roman"/>
                <w:color w:val="auto"/>
              </w:rPr>
              <w:lastRenderedPageBreak/>
              <w:t>Etanol (E85)</w:t>
            </w:r>
          </w:p>
        </w:tc>
        <w:tc>
          <w:tcPr>
            <w:tcW w:w="2694" w:type="dxa"/>
            <w:shd w:val="clear" w:color="auto" w:fill="auto"/>
          </w:tcPr>
          <w:p w14:paraId="7C49ADC1" w14:textId="77777777" w:rsidR="00907C73" w:rsidRPr="00DE12A3" w:rsidRDefault="00907C73" w:rsidP="00912042">
            <w:pPr>
              <w:pStyle w:val="Gvdemetni361"/>
              <w:shd w:val="clear" w:color="auto" w:fill="auto"/>
              <w:spacing w:before="120" w:after="120" w:line="240" w:lineRule="auto"/>
              <w:ind w:left="1134" w:hanging="1134"/>
              <w:rPr>
                <w:color w:val="auto"/>
                <w:sz w:val="24"/>
                <w:szCs w:val="24"/>
              </w:rPr>
            </w:pPr>
            <w:r w:rsidRPr="00DE12A3">
              <w:rPr>
                <w:rStyle w:val="Gvdemetni365pt0ptbolukbraklyor5"/>
                <w:color w:val="auto"/>
                <w:sz w:val="24"/>
                <w:szCs w:val="24"/>
              </w:rPr>
              <w:t>CH</w:t>
            </w:r>
            <w:r w:rsidRPr="00DE12A3">
              <w:rPr>
                <w:rStyle w:val="Gvdemetni365pt0ptbolukbraklyor5"/>
                <w:color w:val="auto"/>
                <w:sz w:val="24"/>
                <w:szCs w:val="24"/>
                <w:vertAlign w:val="subscript"/>
              </w:rPr>
              <w:t>2,73</w:t>
            </w:r>
            <w:r w:rsidRPr="00DE12A3">
              <w:rPr>
                <w:rStyle w:val="Gvdemetni365pt0ptbolukbraklyor5"/>
                <w:color w:val="auto"/>
                <w:sz w:val="24"/>
                <w:szCs w:val="24"/>
              </w:rPr>
              <w:t>O</w:t>
            </w:r>
            <w:r w:rsidRPr="00DE12A3">
              <w:rPr>
                <w:rStyle w:val="Gvdemetni365pt0ptbolukbraklyor5"/>
                <w:color w:val="auto"/>
                <w:sz w:val="24"/>
                <w:szCs w:val="24"/>
                <w:vertAlign w:val="subscript"/>
              </w:rPr>
              <w:t>0,36</w:t>
            </w:r>
            <w:r w:rsidRPr="00DE12A3">
              <w:rPr>
                <w:rStyle w:val="Gvdemetni365pt0ptbolukbraklyor5"/>
                <w:color w:val="auto"/>
                <w:sz w:val="24"/>
                <w:szCs w:val="24"/>
              </w:rPr>
              <w:t>S</w:t>
            </w:r>
            <w:r w:rsidRPr="00DE12A3">
              <w:rPr>
                <w:rStyle w:val="Gvdemetni365pt0ptbolukbraklyor5"/>
                <w:color w:val="auto"/>
                <w:sz w:val="24"/>
                <w:szCs w:val="24"/>
                <w:vertAlign w:val="subscript"/>
              </w:rPr>
              <w:t>0</w:t>
            </w:r>
            <w:r w:rsidRPr="00DE12A3">
              <w:rPr>
                <w:rStyle w:val="Gvdemetni365pt0ptbolukbraklyor5"/>
                <w:color w:val="auto"/>
                <w:sz w:val="24"/>
                <w:szCs w:val="24"/>
              </w:rPr>
              <w:t>N</w:t>
            </w:r>
            <w:r w:rsidRPr="00DE12A3">
              <w:rPr>
                <w:rStyle w:val="Gvdemetni365pt0ptbolukbraklyor5"/>
                <w:color w:val="auto"/>
                <w:sz w:val="24"/>
                <w:szCs w:val="24"/>
                <w:vertAlign w:val="subscript"/>
              </w:rPr>
              <w:t>0</w:t>
            </w:r>
          </w:p>
        </w:tc>
        <w:tc>
          <w:tcPr>
            <w:tcW w:w="1576" w:type="dxa"/>
            <w:shd w:val="clear" w:color="auto" w:fill="auto"/>
          </w:tcPr>
          <w:p w14:paraId="319BCF35" w14:textId="77777777" w:rsidR="00907C73" w:rsidRPr="00DE12A3" w:rsidRDefault="00907C73" w:rsidP="00912042">
            <w:pPr>
              <w:pStyle w:val="Gvdemetni361"/>
              <w:shd w:val="clear" w:color="auto" w:fill="auto"/>
              <w:spacing w:before="120" w:after="120" w:line="240" w:lineRule="auto"/>
              <w:ind w:left="1134" w:hanging="1134"/>
              <w:rPr>
                <w:color w:val="auto"/>
                <w:sz w:val="24"/>
                <w:szCs w:val="24"/>
              </w:rPr>
            </w:pPr>
            <w:r w:rsidRPr="00DE12A3">
              <w:rPr>
                <w:rStyle w:val="Gvdemetni367pt0ptbolukbraklyor"/>
                <w:color w:val="auto"/>
                <w:sz w:val="24"/>
                <w:szCs w:val="24"/>
              </w:rPr>
              <w:t>0,576</w:t>
            </w:r>
          </w:p>
        </w:tc>
      </w:tr>
      <w:tr w:rsidR="00DE12A3" w:rsidRPr="00DE12A3" w14:paraId="38E553E2" w14:textId="77777777" w:rsidTr="0066751C">
        <w:trPr>
          <w:trHeight w:hRule="exact" w:val="690"/>
          <w:jc w:val="center"/>
        </w:trPr>
        <w:tc>
          <w:tcPr>
            <w:tcW w:w="2263" w:type="dxa"/>
            <w:shd w:val="clear" w:color="auto" w:fill="auto"/>
          </w:tcPr>
          <w:p w14:paraId="728FBFE8" w14:textId="77777777" w:rsidR="00907C73" w:rsidRPr="00DE12A3" w:rsidRDefault="00907C73" w:rsidP="00912042">
            <w:pPr>
              <w:spacing w:before="120" w:after="120"/>
              <w:ind w:left="1134" w:hanging="1134"/>
              <w:jc w:val="both"/>
              <w:rPr>
                <w:rFonts w:cs="Times New Roman"/>
                <w:color w:val="auto"/>
              </w:rPr>
            </w:pPr>
            <w:r w:rsidRPr="00DE12A3">
              <w:rPr>
                <w:rFonts w:cs="Times New Roman"/>
                <w:color w:val="auto"/>
              </w:rPr>
              <w:t>LPG</w:t>
            </w:r>
          </w:p>
        </w:tc>
        <w:tc>
          <w:tcPr>
            <w:tcW w:w="2694" w:type="dxa"/>
            <w:shd w:val="clear" w:color="auto" w:fill="auto"/>
          </w:tcPr>
          <w:p w14:paraId="0FC222D7" w14:textId="77777777" w:rsidR="00907C73" w:rsidRPr="00DE12A3" w:rsidRDefault="00907C73" w:rsidP="00912042">
            <w:pPr>
              <w:pStyle w:val="Gvdemetni254pt"/>
              <w:framePr w:hSpace="0" w:wrap="auto" w:vAnchor="margin" w:hAnchor="text" w:xAlign="left" w:yAlign="inline"/>
              <w:suppressOverlap w:val="0"/>
              <w:rPr>
                <w:color w:val="auto"/>
              </w:rPr>
            </w:pPr>
            <w:r w:rsidRPr="00DE12A3">
              <w:rPr>
                <w:color w:val="auto"/>
              </w:rPr>
              <w:t>CH</w:t>
            </w:r>
            <w:r w:rsidRPr="00DE12A3">
              <w:rPr>
                <w:rStyle w:val="Gvdemetni36FranklinGothicBook5pt0ptbolukbraklyor"/>
                <w:rFonts w:ascii="Times New Roman" w:hAnsi="Times New Roman" w:cs="Times New Roman"/>
                <w:color w:val="auto"/>
                <w:sz w:val="24"/>
                <w:szCs w:val="24"/>
                <w:vertAlign w:val="subscript"/>
              </w:rPr>
              <w:t>2,64</w:t>
            </w:r>
            <w:r w:rsidRPr="00DE12A3">
              <w:rPr>
                <w:color w:val="auto"/>
              </w:rPr>
              <w:t>O</w:t>
            </w:r>
            <w:r w:rsidRPr="00DE12A3">
              <w:rPr>
                <w:rStyle w:val="Gvdemetni36FranklinGothicBook5pt0ptbolukbraklyor"/>
                <w:rFonts w:ascii="Times New Roman" w:hAnsi="Times New Roman" w:cs="Times New Roman"/>
                <w:color w:val="auto"/>
                <w:sz w:val="24"/>
                <w:szCs w:val="24"/>
                <w:vertAlign w:val="subscript"/>
              </w:rPr>
              <w:t>0</w:t>
            </w:r>
            <w:r w:rsidRPr="00DE12A3">
              <w:rPr>
                <w:color w:val="auto"/>
              </w:rPr>
              <w:t>S</w:t>
            </w:r>
            <w:r w:rsidRPr="00DE12A3">
              <w:rPr>
                <w:rStyle w:val="Gvdemetni36FranklinGothicBook5pt0ptbolukbraklyor"/>
                <w:rFonts w:ascii="Times New Roman" w:hAnsi="Times New Roman" w:cs="Times New Roman"/>
                <w:color w:val="auto"/>
                <w:sz w:val="24"/>
                <w:szCs w:val="24"/>
                <w:vertAlign w:val="subscript"/>
              </w:rPr>
              <w:t>0</w:t>
            </w:r>
            <w:r w:rsidRPr="00DE12A3">
              <w:rPr>
                <w:color w:val="auto"/>
              </w:rPr>
              <w:t>N</w:t>
            </w:r>
            <w:r w:rsidRPr="00DE12A3">
              <w:rPr>
                <w:rStyle w:val="Gvdemetni36FranklinGothicBook5pt0ptbolukbraklyor"/>
                <w:rFonts w:ascii="Times New Roman" w:hAnsi="Times New Roman" w:cs="Times New Roman"/>
                <w:color w:val="auto"/>
                <w:sz w:val="24"/>
                <w:szCs w:val="24"/>
                <w:vertAlign w:val="subscript"/>
              </w:rPr>
              <w:t>0</w:t>
            </w:r>
          </w:p>
        </w:tc>
        <w:tc>
          <w:tcPr>
            <w:tcW w:w="1576" w:type="dxa"/>
            <w:shd w:val="clear" w:color="auto" w:fill="auto"/>
          </w:tcPr>
          <w:p w14:paraId="25BF59D0" w14:textId="77777777" w:rsidR="00907C73" w:rsidRPr="00DE12A3" w:rsidRDefault="00907C73" w:rsidP="00912042">
            <w:pPr>
              <w:pStyle w:val="Gvdemetni361"/>
              <w:shd w:val="clear" w:color="auto" w:fill="auto"/>
              <w:spacing w:before="120" w:after="120" w:line="240" w:lineRule="auto"/>
              <w:ind w:left="1134" w:hanging="1134"/>
              <w:rPr>
                <w:color w:val="auto"/>
                <w:sz w:val="24"/>
                <w:szCs w:val="24"/>
              </w:rPr>
            </w:pPr>
            <w:r w:rsidRPr="00DE12A3">
              <w:rPr>
                <w:rStyle w:val="Gvdemetni367pt0ptbolukbraklyor"/>
                <w:color w:val="auto"/>
                <w:sz w:val="24"/>
                <w:szCs w:val="24"/>
              </w:rPr>
              <w:t>0,819</w:t>
            </w:r>
          </w:p>
        </w:tc>
      </w:tr>
      <w:tr w:rsidR="00907C73" w:rsidRPr="00DE12A3" w14:paraId="42A95CAF" w14:textId="77777777" w:rsidTr="0066751C">
        <w:trPr>
          <w:trHeight w:hRule="exact" w:val="773"/>
          <w:jc w:val="center"/>
        </w:trPr>
        <w:tc>
          <w:tcPr>
            <w:tcW w:w="2263" w:type="dxa"/>
            <w:shd w:val="clear" w:color="auto" w:fill="auto"/>
          </w:tcPr>
          <w:p w14:paraId="50CFDE57" w14:textId="77777777" w:rsidR="00907C73" w:rsidRPr="00DE12A3" w:rsidRDefault="00907C73" w:rsidP="00912042">
            <w:pPr>
              <w:spacing w:before="120" w:after="120"/>
              <w:ind w:left="1134" w:hanging="1134"/>
              <w:jc w:val="both"/>
              <w:rPr>
                <w:rFonts w:cs="Times New Roman"/>
                <w:color w:val="auto"/>
              </w:rPr>
            </w:pPr>
            <w:r w:rsidRPr="00DE12A3">
              <w:rPr>
                <w:rFonts w:cs="Times New Roman"/>
                <w:color w:val="auto"/>
              </w:rPr>
              <w:t>Doğalgaz / Biyometan</w:t>
            </w:r>
          </w:p>
        </w:tc>
        <w:tc>
          <w:tcPr>
            <w:tcW w:w="2694" w:type="dxa"/>
            <w:shd w:val="clear" w:color="auto" w:fill="auto"/>
          </w:tcPr>
          <w:p w14:paraId="51919642" w14:textId="77777777" w:rsidR="00907C73" w:rsidRPr="00DE12A3" w:rsidRDefault="00907C73" w:rsidP="00912042">
            <w:pPr>
              <w:pStyle w:val="Gvdemetni361"/>
              <w:shd w:val="clear" w:color="auto" w:fill="auto"/>
              <w:spacing w:before="120" w:after="120" w:line="240" w:lineRule="auto"/>
              <w:ind w:left="1134" w:hanging="1134"/>
              <w:rPr>
                <w:color w:val="auto"/>
                <w:sz w:val="24"/>
                <w:szCs w:val="24"/>
              </w:rPr>
            </w:pPr>
            <w:r w:rsidRPr="00DE12A3">
              <w:rPr>
                <w:rStyle w:val="Gvdemetni365pt0ptbolukbraklyor5"/>
                <w:color w:val="auto"/>
                <w:sz w:val="24"/>
                <w:szCs w:val="24"/>
              </w:rPr>
              <w:t>CH</w:t>
            </w:r>
            <w:r w:rsidRPr="00DE12A3">
              <w:rPr>
                <w:rStyle w:val="Gvdemetni365pt0ptbolukbraklyor5"/>
                <w:color w:val="auto"/>
                <w:sz w:val="24"/>
                <w:szCs w:val="24"/>
                <w:vertAlign w:val="subscript"/>
              </w:rPr>
              <w:t>3,78</w:t>
            </w:r>
            <w:r w:rsidRPr="00DE12A3">
              <w:rPr>
                <w:rStyle w:val="Gvdemetni365pt0ptbolukbraklyor5"/>
                <w:color w:val="auto"/>
                <w:sz w:val="24"/>
                <w:szCs w:val="24"/>
              </w:rPr>
              <w:t>O</w:t>
            </w:r>
            <w:r w:rsidRPr="00DE12A3">
              <w:rPr>
                <w:rStyle w:val="Gvdemetni365pt0ptbolukbraklyor5"/>
                <w:color w:val="auto"/>
                <w:sz w:val="24"/>
                <w:szCs w:val="24"/>
                <w:vertAlign w:val="subscript"/>
              </w:rPr>
              <w:t>0,016</w:t>
            </w:r>
            <w:r w:rsidRPr="00DE12A3">
              <w:rPr>
                <w:rStyle w:val="Gvdemetni365pt0ptbolukbraklyor5"/>
                <w:color w:val="auto"/>
                <w:sz w:val="24"/>
                <w:szCs w:val="24"/>
              </w:rPr>
              <w:t>S</w:t>
            </w:r>
            <w:r w:rsidRPr="00DE12A3">
              <w:rPr>
                <w:rStyle w:val="Gvdemetni365pt0ptbolukbraklyor5"/>
                <w:color w:val="auto"/>
                <w:sz w:val="24"/>
                <w:szCs w:val="24"/>
                <w:vertAlign w:val="subscript"/>
              </w:rPr>
              <w:t>0</w:t>
            </w:r>
            <w:r w:rsidRPr="00DE12A3">
              <w:rPr>
                <w:rStyle w:val="Gvdemetni365pt0ptbolukbraklyor5"/>
                <w:color w:val="auto"/>
                <w:sz w:val="24"/>
                <w:szCs w:val="24"/>
              </w:rPr>
              <w:t>N</w:t>
            </w:r>
            <w:r w:rsidRPr="00DE12A3">
              <w:rPr>
                <w:rStyle w:val="Gvdemetni365pt0ptbolukbraklyor5"/>
                <w:color w:val="auto"/>
                <w:sz w:val="24"/>
                <w:szCs w:val="24"/>
                <w:vertAlign w:val="subscript"/>
              </w:rPr>
              <w:t>0</w:t>
            </w:r>
          </w:p>
        </w:tc>
        <w:tc>
          <w:tcPr>
            <w:tcW w:w="1576" w:type="dxa"/>
            <w:shd w:val="clear" w:color="auto" w:fill="auto"/>
          </w:tcPr>
          <w:p w14:paraId="593E35F8" w14:textId="77777777" w:rsidR="00907C73" w:rsidRPr="00DE12A3" w:rsidRDefault="00907C73" w:rsidP="00912042">
            <w:pPr>
              <w:pStyle w:val="Gvdemetni361"/>
              <w:shd w:val="clear" w:color="auto" w:fill="auto"/>
              <w:spacing w:before="120" w:after="120" w:line="240" w:lineRule="auto"/>
              <w:ind w:left="1134" w:hanging="1134"/>
              <w:rPr>
                <w:color w:val="auto"/>
                <w:sz w:val="24"/>
                <w:szCs w:val="24"/>
              </w:rPr>
            </w:pPr>
            <w:r w:rsidRPr="00DE12A3">
              <w:rPr>
                <w:rStyle w:val="Gvdemetni367pt0ptbolukbraklyor"/>
                <w:color w:val="auto"/>
                <w:sz w:val="24"/>
                <w:szCs w:val="24"/>
              </w:rPr>
              <w:t>0,747</w:t>
            </w:r>
          </w:p>
        </w:tc>
      </w:tr>
    </w:tbl>
    <w:p w14:paraId="635C1AE8" w14:textId="77777777" w:rsidR="00907C73" w:rsidRPr="00DE12A3" w:rsidRDefault="00907C73" w:rsidP="00912042">
      <w:pPr>
        <w:rPr>
          <w:color w:val="auto"/>
        </w:rPr>
      </w:pPr>
    </w:p>
    <w:p w14:paraId="5F8124E0" w14:textId="77777777" w:rsidR="00D4435E" w:rsidRPr="00DE12A3" w:rsidRDefault="00D4435E" w:rsidP="00912042">
      <w:pPr>
        <w:pStyle w:val="Gvdemetni251"/>
        <w:shd w:val="clear" w:color="auto" w:fill="auto"/>
        <w:spacing w:before="120" w:after="120" w:line="240" w:lineRule="auto"/>
        <w:ind w:firstLine="0"/>
        <w:rPr>
          <w:color w:val="auto"/>
          <w:sz w:val="24"/>
          <w:szCs w:val="24"/>
        </w:rPr>
      </w:pPr>
    </w:p>
    <w:p w14:paraId="7870831B" w14:textId="77777777" w:rsidR="002D7B36" w:rsidRPr="00DE12A3" w:rsidRDefault="00242DA0" w:rsidP="00E20716">
      <w:pPr>
        <w:pStyle w:val="Gvdemetni251"/>
        <w:numPr>
          <w:ilvl w:val="0"/>
          <w:numId w:val="424"/>
        </w:numPr>
        <w:shd w:val="clear" w:color="auto" w:fill="auto"/>
        <w:spacing w:before="120" w:after="120" w:line="240" w:lineRule="auto"/>
        <w:ind w:left="1134" w:hanging="1134"/>
        <w:rPr>
          <w:color w:val="auto"/>
          <w:sz w:val="24"/>
          <w:szCs w:val="24"/>
        </w:rPr>
      </w:pPr>
      <w:r w:rsidRPr="00DE12A3">
        <w:rPr>
          <w:color w:val="auto"/>
          <w:sz w:val="24"/>
          <w:szCs w:val="24"/>
        </w:rPr>
        <w:t xml:space="preserve">Karbon kütle konsantrasyonu </w:t>
      </w:r>
      <w:r w:rsidRPr="00DE12A3">
        <w:rPr>
          <w:i/>
          <w:iCs/>
          <w:color w:val="auto"/>
          <w:sz w:val="24"/>
          <w:szCs w:val="24"/>
        </w:rPr>
        <w:t>w</w:t>
      </w:r>
      <w:r w:rsidRPr="00DE12A3">
        <w:rPr>
          <w:color w:val="auto"/>
          <w:sz w:val="24"/>
          <w:szCs w:val="24"/>
          <w:vertAlign w:val="subscript"/>
        </w:rPr>
        <w:t>C</w:t>
      </w:r>
      <w:r w:rsidRPr="00DE12A3">
        <w:rPr>
          <w:color w:val="auto"/>
          <w:sz w:val="24"/>
          <w:szCs w:val="24"/>
        </w:rPr>
        <w:t xml:space="preserve">'nin hesaplanması </w:t>
      </w:r>
    </w:p>
    <w:p w14:paraId="0F62ABEE" w14:textId="587F29A5" w:rsidR="002D7B36" w:rsidRPr="00DE12A3" w:rsidRDefault="00773311" w:rsidP="00C917D6">
      <w:pPr>
        <w:pStyle w:val="Gvdemetni251"/>
        <w:shd w:val="clear" w:color="auto" w:fill="auto"/>
        <w:spacing w:before="120" w:after="120" w:line="240" w:lineRule="auto"/>
        <w:ind w:left="1134" w:hanging="567"/>
        <w:rPr>
          <w:color w:val="auto"/>
          <w:sz w:val="24"/>
          <w:szCs w:val="24"/>
        </w:rPr>
      </w:pPr>
      <w:r w:rsidRPr="00DE12A3">
        <w:rPr>
          <w:color w:val="auto"/>
          <w:sz w:val="24"/>
          <w:szCs w:val="24"/>
        </w:rPr>
        <w:t xml:space="preserve">         </w:t>
      </w:r>
      <w:r w:rsidR="00242DA0" w:rsidRPr="00DE12A3">
        <w:rPr>
          <w:color w:val="auto"/>
          <w:sz w:val="24"/>
          <w:szCs w:val="24"/>
        </w:rPr>
        <w:t xml:space="preserve">Tablo 7.3'teki varsayılan değerlere alternatif olarak veya kullanılan referans yakıt için varsayılan değerlerin verilmediği durumlarda, karbon kütle konsantrasyonu </w:t>
      </w:r>
      <w:r w:rsidR="00242DA0" w:rsidRPr="00DE12A3">
        <w:rPr>
          <w:i/>
          <w:iCs/>
          <w:color w:val="auto"/>
          <w:sz w:val="24"/>
          <w:szCs w:val="24"/>
        </w:rPr>
        <w:t>w</w:t>
      </w:r>
      <w:r w:rsidR="00242DA0" w:rsidRPr="00DE12A3">
        <w:rPr>
          <w:color w:val="auto"/>
          <w:sz w:val="24"/>
          <w:szCs w:val="24"/>
          <w:vertAlign w:val="subscript"/>
        </w:rPr>
        <w:t>C</w:t>
      </w:r>
      <w:r w:rsidR="00242DA0" w:rsidRPr="00DE12A3">
        <w:rPr>
          <w:color w:val="auto"/>
          <w:sz w:val="24"/>
          <w:szCs w:val="24"/>
        </w:rPr>
        <w:t xml:space="preserve">, ölçülen yakıt özellikleri kullanılarak (7-82) </w:t>
      </w:r>
      <w:r w:rsidR="00962CA1" w:rsidRPr="00DE12A3">
        <w:rPr>
          <w:color w:val="auto"/>
          <w:sz w:val="24"/>
          <w:szCs w:val="24"/>
        </w:rPr>
        <w:t>numaralı</w:t>
      </w:r>
      <w:r w:rsidR="00962CA1" w:rsidRPr="00DE12A3" w:rsidDel="00962CA1">
        <w:rPr>
          <w:color w:val="auto"/>
          <w:sz w:val="24"/>
          <w:szCs w:val="24"/>
        </w:rPr>
        <w:t xml:space="preserve"> </w:t>
      </w:r>
      <w:r w:rsidR="00242DA0" w:rsidRPr="00DE12A3">
        <w:rPr>
          <w:color w:val="auto"/>
          <w:sz w:val="24"/>
          <w:szCs w:val="24"/>
        </w:rPr>
        <w:t xml:space="preserve">denklem ile hesaplanabilir. Yakıt için </w:t>
      </w:r>
      <w:r w:rsidR="00242DA0" w:rsidRPr="00DE12A3">
        <w:rPr>
          <w:i/>
          <w:iCs/>
          <w:color w:val="auto"/>
          <w:sz w:val="24"/>
          <w:szCs w:val="24"/>
        </w:rPr>
        <w:t>α</w:t>
      </w:r>
      <w:r w:rsidR="00242DA0" w:rsidRPr="00DE12A3">
        <w:rPr>
          <w:color w:val="auto"/>
          <w:sz w:val="24"/>
          <w:szCs w:val="24"/>
        </w:rPr>
        <w:t xml:space="preserve"> ve </w:t>
      </w:r>
      <w:r w:rsidR="00242DA0" w:rsidRPr="00DE12A3">
        <w:rPr>
          <w:i/>
          <w:iCs/>
          <w:color w:val="auto"/>
          <w:sz w:val="24"/>
          <w:szCs w:val="24"/>
        </w:rPr>
        <w:t>β</w:t>
      </w:r>
      <w:r w:rsidR="00242DA0" w:rsidRPr="00DE12A3">
        <w:rPr>
          <w:color w:val="auto"/>
          <w:sz w:val="24"/>
          <w:szCs w:val="24"/>
        </w:rPr>
        <w:t xml:space="preserve"> değerleri belirlenmeli ve her </w:t>
      </w:r>
      <w:r w:rsidR="00EA64C0" w:rsidRPr="00DE12A3">
        <w:rPr>
          <w:color w:val="auto"/>
          <w:sz w:val="24"/>
          <w:szCs w:val="24"/>
        </w:rPr>
        <w:t>halükârda</w:t>
      </w:r>
      <w:r w:rsidR="00242DA0" w:rsidRPr="00DE12A3">
        <w:rPr>
          <w:color w:val="auto"/>
          <w:sz w:val="24"/>
          <w:szCs w:val="24"/>
        </w:rPr>
        <w:t xml:space="preserve"> denkleme yerleştirilmelidir</w:t>
      </w:r>
      <w:r w:rsidR="00092BD4" w:rsidRPr="00DE12A3">
        <w:rPr>
          <w:color w:val="auto"/>
          <w:sz w:val="24"/>
          <w:szCs w:val="24"/>
        </w:rPr>
        <w:t>.</w:t>
      </w:r>
      <w:r w:rsidR="00242DA0" w:rsidRPr="00DE12A3">
        <w:rPr>
          <w:color w:val="auto"/>
          <w:sz w:val="24"/>
          <w:szCs w:val="24"/>
        </w:rPr>
        <w:t xml:space="preserve"> </w:t>
      </w:r>
      <w:r w:rsidR="00092BD4" w:rsidRPr="00DE12A3">
        <w:rPr>
          <w:color w:val="auto"/>
          <w:sz w:val="24"/>
          <w:szCs w:val="24"/>
        </w:rPr>
        <w:t>A</w:t>
      </w:r>
      <w:r w:rsidR="00242DA0" w:rsidRPr="00DE12A3">
        <w:rPr>
          <w:color w:val="auto"/>
          <w:sz w:val="24"/>
          <w:szCs w:val="24"/>
        </w:rPr>
        <w:t xml:space="preserve">ncak </w:t>
      </w:r>
      <w:r w:rsidR="00242DA0" w:rsidRPr="00DE12A3">
        <w:rPr>
          <w:i/>
          <w:iCs/>
          <w:color w:val="auto"/>
          <w:sz w:val="24"/>
          <w:szCs w:val="24"/>
        </w:rPr>
        <w:t>γ</w:t>
      </w:r>
      <w:r w:rsidR="00242DA0" w:rsidRPr="00DE12A3">
        <w:rPr>
          <w:color w:val="auto"/>
          <w:sz w:val="24"/>
          <w:szCs w:val="24"/>
        </w:rPr>
        <w:t xml:space="preserve"> ve </w:t>
      </w:r>
      <w:r w:rsidR="00242DA0" w:rsidRPr="00DE12A3">
        <w:rPr>
          <w:i/>
          <w:iCs/>
          <w:color w:val="auto"/>
          <w:sz w:val="24"/>
          <w:szCs w:val="24"/>
        </w:rPr>
        <w:t>δ</w:t>
      </w:r>
      <w:r w:rsidR="00242DA0" w:rsidRPr="00DE12A3">
        <w:rPr>
          <w:color w:val="auto"/>
          <w:sz w:val="24"/>
          <w:szCs w:val="24"/>
        </w:rPr>
        <w:t xml:space="preserve"> Tablo 7.3'teki ilgili satırda sıfır ise, isteğe bağlı olarak sıfır alınabilir</w:t>
      </w:r>
      <w:r w:rsidR="00092BD4" w:rsidRPr="00DE12A3">
        <w:rPr>
          <w:color w:val="auto"/>
          <w:sz w:val="24"/>
          <w:szCs w:val="24"/>
        </w:rPr>
        <w:t>.</w:t>
      </w:r>
    </w:p>
    <w:p w14:paraId="576A8C85" w14:textId="1F1E54E8" w:rsidR="002D7B36" w:rsidRPr="00DE12A3" w:rsidRDefault="00242DA0" w:rsidP="00C917D6">
      <w:pPr>
        <w:pStyle w:val="Gvdemetni251"/>
        <w:shd w:val="clear" w:color="auto" w:fill="auto"/>
        <w:spacing w:before="120" w:after="120" w:line="240" w:lineRule="auto"/>
        <w:ind w:left="1134" w:hanging="567"/>
        <w:rPr>
          <w:color w:val="auto"/>
          <w:sz w:val="24"/>
          <w:szCs w:val="24"/>
        </w:rPr>
      </w:pPr>
      <w:r w:rsidRPr="00DE12A3">
        <w:rPr>
          <w:noProof/>
          <w:color w:val="auto"/>
          <w:sz w:val="24"/>
          <w:szCs w:val="24"/>
        </w:rPr>
        <w:drawing>
          <wp:anchor distT="0" distB="0" distL="114300" distR="114300" simplePos="0" relativeHeight="251634176" behindDoc="0" locked="0" layoutInCell="1" allowOverlap="1" wp14:anchorId="001AF9C3" wp14:editId="6CF71C1F">
            <wp:simplePos x="0" y="0"/>
            <wp:positionH relativeFrom="column">
              <wp:posOffset>740410</wp:posOffset>
            </wp:positionH>
            <wp:positionV relativeFrom="paragraph">
              <wp:posOffset>3810</wp:posOffset>
            </wp:positionV>
            <wp:extent cx="4001135" cy="644525"/>
            <wp:effectExtent l="0" t="0" r="0" b="3175"/>
            <wp:wrapSquare wrapText="bothSides"/>
            <wp:docPr id="2392" name="Resim 2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2" name="Resim 2392"/>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a:xfrm>
                      <a:off x="0" y="0"/>
                      <a:ext cx="4001135" cy="644525"/>
                    </a:xfrm>
                    <a:prstGeom prst="rect">
                      <a:avLst/>
                    </a:prstGeom>
                    <a:noFill/>
                    <a:ln>
                      <a:noFill/>
                    </a:ln>
                  </pic:spPr>
                </pic:pic>
              </a:graphicData>
            </a:graphic>
            <wp14:sizeRelV relativeFrom="margin">
              <wp14:pctHeight>0</wp14:pctHeight>
            </wp14:sizeRelV>
          </wp:anchor>
        </w:drawing>
      </w:r>
    </w:p>
    <w:p w14:paraId="2D9DB9F6" w14:textId="77777777" w:rsidR="002D7B36" w:rsidRPr="00DE12A3" w:rsidRDefault="002D7B36" w:rsidP="00C917D6">
      <w:pPr>
        <w:widowControl/>
        <w:tabs>
          <w:tab w:val="left" w:pos="8789"/>
        </w:tabs>
        <w:spacing w:before="120" w:after="120"/>
        <w:ind w:left="1134" w:hanging="567"/>
        <w:jc w:val="both"/>
        <w:rPr>
          <w:rFonts w:cs="Times New Roman"/>
          <w:color w:val="auto"/>
          <w:lang w:eastAsia="en-US"/>
        </w:rPr>
      </w:pPr>
    </w:p>
    <w:p w14:paraId="2C0C7985" w14:textId="77777777" w:rsidR="00092BD4" w:rsidRPr="00DE12A3" w:rsidRDefault="00092BD4" w:rsidP="0066751C">
      <w:pPr>
        <w:pStyle w:val="Gvdemetni251"/>
        <w:shd w:val="clear" w:color="auto" w:fill="auto"/>
        <w:spacing w:before="120" w:after="120" w:line="240" w:lineRule="auto"/>
        <w:ind w:firstLine="0"/>
        <w:rPr>
          <w:color w:val="auto"/>
          <w:sz w:val="24"/>
          <w:szCs w:val="24"/>
        </w:rPr>
      </w:pPr>
      <w:r w:rsidRPr="00DE12A3">
        <w:rPr>
          <w:color w:val="auto"/>
          <w:sz w:val="24"/>
          <w:szCs w:val="24"/>
        </w:rPr>
        <w:t xml:space="preserve">       </w:t>
      </w:r>
    </w:p>
    <w:p w14:paraId="16F3DE92" w14:textId="759EB1EA" w:rsidR="002D7B36" w:rsidRPr="00DE12A3" w:rsidRDefault="00773311" w:rsidP="0066751C">
      <w:pPr>
        <w:pStyle w:val="Gvdemetni251"/>
        <w:shd w:val="clear" w:color="auto" w:fill="auto"/>
        <w:spacing w:before="120" w:after="120" w:line="240" w:lineRule="auto"/>
        <w:ind w:left="425" w:firstLine="709"/>
        <w:rPr>
          <w:color w:val="auto"/>
          <w:sz w:val="24"/>
          <w:szCs w:val="24"/>
        </w:rPr>
      </w:pPr>
      <w:r w:rsidRPr="00DE12A3">
        <w:rPr>
          <w:color w:val="auto"/>
          <w:sz w:val="24"/>
          <w:szCs w:val="24"/>
        </w:rPr>
        <w:t>B</w:t>
      </w:r>
      <w:r w:rsidR="00242DA0" w:rsidRPr="00DE12A3">
        <w:rPr>
          <w:color w:val="auto"/>
          <w:sz w:val="24"/>
          <w:szCs w:val="24"/>
        </w:rPr>
        <w:t>urada:</w:t>
      </w:r>
    </w:p>
    <w:p w14:paraId="24AE5677" w14:textId="216D91E2" w:rsidR="002D7B36" w:rsidRPr="00DE12A3" w:rsidRDefault="00242DA0" w:rsidP="00C917D6">
      <w:pPr>
        <w:pStyle w:val="Gvdemetni251"/>
        <w:shd w:val="clear" w:color="auto" w:fill="auto"/>
        <w:spacing w:before="120" w:after="120" w:line="240" w:lineRule="auto"/>
        <w:ind w:left="1134" w:firstLine="0"/>
        <w:rPr>
          <w:color w:val="auto"/>
          <w:sz w:val="24"/>
          <w:szCs w:val="24"/>
        </w:rPr>
      </w:pPr>
      <w:r w:rsidRPr="00DE12A3">
        <w:rPr>
          <w:rStyle w:val="Gvdemetni254pttalik0ptbolukbraklyor14"/>
          <w:color w:val="auto"/>
          <w:sz w:val="24"/>
          <w:szCs w:val="24"/>
        </w:rPr>
        <w:t>M</w:t>
      </w:r>
      <w:r w:rsidRPr="00DE12A3">
        <w:rPr>
          <w:rStyle w:val="Gvdemetni254pttalik0ptbolukbraklyor14"/>
          <w:color w:val="auto"/>
          <w:sz w:val="24"/>
          <w:szCs w:val="24"/>
          <w:vertAlign w:val="subscript"/>
        </w:rPr>
        <w:t>C</w:t>
      </w:r>
      <w:r w:rsidRPr="00DE12A3">
        <w:rPr>
          <w:color w:val="auto"/>
          <w:sz w:val="24"/>
          <w:szCs w:val="24"/>
        </w:rPr>
        <w:t xml:space="preserve"> = </w:t>
      </w:r>
      <w:r w:rsidR="00EA64C0" w:rsidRPr="00DE12A3">
        <w:rPr>
          <w:color w:val="auto"/>
          <w:sz w:val="24"/>
          <w:szCs w:val="24"/>
        </w:rPr>
        <w:t xml:space="preserve">Molar </w:t>
      </w:r>
      <w:r w:rsidRPr="00DE12A3">
        <w:rPr>
          <w:color w:val="auto"/>
          <w:sz w:val="24"/>
          <w:szCs w:val="24"/>
        </w:rPr>
        <w:t>karbon kütlesi</w:t>
      </w:r>
    </w:p>
    <w:p w14:paraId="4F37DB63" w14:textId="03825702" w:rsidR="002D7B36" w:rsidRPr="00DE12A3" w:rsidRDefault="00242DA0" w:rsidP="00C917D6">
      <w:pPr>
        <w:pStyle w:val="Gvdemetni251"/>
        <w:shd w:val="clear" w:color="auto" w:fill="auto"/>
        <w:spacing w:before="120" w:after="120" w:line="240" w:lineRule="auto"/>
        <w:ind w:left="1134" w:firstLine="0"/>
        <w:rPr>
          <w:color w:val="auto"/>
          <w:sz w:val="24"/>
          <w:szCs w:val="24"/>
        </w:rPr>
      </w:pPr>
      <w:r w:rsidRPr="00DE12A3">
        <w:rPr>
          <w:i/>
          <w:iCs/>
          <w:color w:val="auto"/>
          <w:sz w:val="24"/>
          <w:szCs w:val="24"/>
        </w:rPr>
        <w:t>α</w:t>
      </w:r>
      <w:r w:rsidRPr="00DE12A3">
        <w:rPr>
          <w:color w:val="auto"/>
          <w:sz w:val="24"/>
          <w:szCs w:val="24"/>
        </w:rPr>
        <w:t xml:space="preserve"> = </w:t>
      </w:r>
      <w:r w:rsidR="00EA64C0" w:rsidRPr="00DE12A3">
        <w:rPr>
          <w:color w:val="auto"/>
          <w:sz w:val="24"/>
          <w:szCs w:val="24"/>
        </w:rPr>
        <w:t xml:space="preserve">Yakılan </w:t>
      </w:r>
      <w:r w:rsidRPr="00DE12A3">
        <w:rPr>
          <w:color w:val="auto"/>
          <w:sz w:val="24"/>
          <w:szCs w:val="24"/>
        </w:rPr>
        <w:t>yakıt karışımının, molar tüketim ile ağırlıklandırılmış, atomik hidrojen-karbon oranı</w:t>
      </w:r>
      <w:r w:rsidR="00092BD4" w:rsidRPr="00DE12A3">
        <w:rPr>
          <w:color w:val="auto"/>
          <w:sz w:val="24"/>
          <w:szCs w:val="24"/>
        </w:rPr>
        <w:t>.</w:t>
      </w:r>
    </w:p>
    <w:p w14:paraId="2CE83BBC" w14:textId="3A509B47" w:rsidR="002D7B36" w:rsidRPr="00DE12A3" w:rsidRDefault="00242DA0" w:rsidP="00C917D6">
      <w:pPr>
        <w:pStyle w:val="Gvdemetni251"/>
        <w:shd w:val="clear" w:color="auto" w:fill="auto"/>
        <w:spacing w:before="120" w:after="120" w:line="240" w:lineRule="auto"/>
        <w:ind w:left="1134" w:firstLine="0"/>
        <w:rPr>
          <w:color w:val="auto"/>
          <w:sz w:val="24"/>
          <w:szCs w:val="24"/>
        </w:rPr>
      </w:pPr>
      <w:r w:rsidRPr="00DE12A3">
        <w:rPr>
          <w:rStyle w:val="Gvdemetni25KkBykHarf"/>
          <w:i/>
          <w:iCs/>
          <w:color w:val="auto"/>
          <w:sz w:val="24"/>
          <w:szCs w:val="24"/>
        </w:rPr>
        <w:t>M</w:t>
      </w:r>
      <w:r w:rsidRPr="00DE12A3">
        <w:rPr>
          <w:rStyle w:val="Gvdemetni25KkBykHarf"/>
          <w:color w:val="auto"/>
          <w:sz w:val="24"/>
          <w:szCs w:val="24"/>
          <w:vertAlign w:val="subscript"/>
        </w:rPr>
        <w:t>h</w:t>
      </w:r>
      <w:r w:rsidRPr="00DE12A3">
        <w:rPr>
          <w:color w:val="auto"/>
          <w:sz w:val="24"/>
          <w:szCs w:val="24"/>
        </w:rPr>
        <w:t xml:space="preserve"> = </w:t>
      </w:r>
      <w:r w:rsidR="00EA64C0" w:rsidRPr="00DE12A3">
        <w:rPr>
          <w:color w:val="auto"/>
          <w:sz w:val="24"/>
          <w:szCs w:val="24"/>
        </w:rPr>
        <w:t xml:space="preserve">Molar </w:t>
      </w:r>
      <w:r w:rsidRPr="00DE12A3">
        <w:rPr>
          <w:color w:val="auto"/>
          <w:sz w:val="24"/>
          <w:szCs w:val="24"/>
        </w:rPr>
        <w:t>hidrojen kütlesi</w:t>
      </w:r>
    </w:p>
    <w:p w14:paraId="64485BCF" w14:textId="6C3B64E8" w:rsidR="002D7B36" w:rsidRPr="00DE12A3" w:rsidRDefault="00242DA0" w:rsidP="00C917D6">
      <w:pPr>
        <w:pStyle w:val="Gvdemetni251"/>
        <w:shd w:val="clear" w:color="auto" w:fill="auto"/>
        <w:spacing w:before="120" w:after="120" w:line="240" w:lineRule="auto"/>
        <w:ind w:left="1134" w:firstLine="0"/>
        <w:rPr>
          <w:color w:val="auto"/>
          <w:sz w:val="24"/>
          <w:szCs w:val="24"/>
        </w:rPr>
      </w:pPr>
      <w:r w:rsidRPr="00DE12A3">
        <w:rPr>
          <w:i/>
          <w:iCs/>
          <w:color w:val="auto"/>
          <w:spacing w:val="0"/>
          <w:sz w:val="24"/>
          <w:szCs w:val="24"/>
        </w:rPr>
        <w:t>β</w:t>
      </w:r>
      <w:r w:rsidRPr="00DE12A3">
        <w:rPr>
          <w:color w:val="auto"/>
          <w:sz w:val="24"/>
          <w:szCs w:val="24"/>
        </w:rPr>
        <w:t xml:space="preserve"> = </w:t>
      </w:r>
      <w:r w:rsidR="00EA64C0" w:rsidRPr="00DE12A3">
        <w:rPr>
          <w:color w:val="auto"/>
          <w:sz w:val="24"/>
          <w:szCs w:val="24"/>
        </w:rPr>
        <w:t xml:space="preserve">Yakılan </w:t>
      </w:r>
      <w:r w:rsidRPr="00DE12A3">
        <w:rPr>
          <w:color w:val="auto"/>
          <w:sz w:val="24"/>
          <w:szCs w:val="24"/>
        </w:rPr>
        <w:t>yakıt karışımının, molar tüketim ile ağırlıklandırılmış, atomik oksijen-karbon oranı.</w:t>
      </w:r>
    </w:p>
    <w:p w14:paraId="46F6FD19" w14:textId="4161CB6F" w:rsidR="002D7B36" w:rsidRPr="00DE12A3" w:rsidRDefault="00242DA0" w:rsidP="00C917D6">
      <w:pPr>
        <w:pStyle w:val="Gvdemetni251"/>
        <w:shd w:val="clear" w:color="auto" w:fill="auto"/>
        <w:spacing w:before="120" w:after="120" w:line="240" w:lineRule="auto"/>
        <w:ind w:left="1134" w:firstLine="0"/>
        <w:rPr>
          <w:color w:val="auto"/>
          <w:sz w:val="24"/>
          <w:szCs w:val="24"/>
        </w:rPr>
      </w:pPr>
      <w:r w:rsidRPr="00DE12A3">
        <w:rPr>
          <w:i/>
          <w:iCs/>
          <w:color w:val="auto"/>
          <w:sz w:val="24"/>
          <w:szCs w:val="24"/>
        </w:rPr>
        <w:t>M</w:t>
      </w:r>
      <w:r w:rsidRPr="00DE12A3">
        <w:rPr>
          <w:color w:val="auto"/>
          <w:sz w:val="24"/>
          <w:szCs w:val="24"/>
          <w:vertAlign w:val="subscript"/>
        </w:rPr>
        <w:t>O</w:t>
      </w:r>
      <w:r w:rsidRPr="00DE12A3">
        <w:rPr>
          <w:color w:val="auto"/>
          <w:sz w:val="24"/>
          <w:szCs w:val="24"/>
        </w:rPr>
        <w:t xml:space="preserve"> = </w:t>
      </w:r>
      <w:r w:rsidR="00EA64C0" w:rsidRPr="00DE12A3">
        <w:rPr>
          <w:color w:val="auto"/>
          <w:sz w:val="24"/>
          <w:szCs w:val="24"/>
        </w:rPr>
        <w:t xml:space="preserve">Molar </w:t>
      </w:r>
      <w:r w:rsidRPr="00DE12A3">
        <w:rPr>
          <w:color w:val="auto"/>
          <w:sz w:val="24"/>
          <w:szCs w:val="24"/>
        </w:rPr>
        <w:t>oksijen kütlesi</w:t>
      </w:r>
    </w:p>
    <w:p w14:paraId="0C588D50" w14:textId="5FC63697" w:rsidR="002D7B36" w:rsidRPr="00DE12A3" w:rsidRDefault="00242DA0" w:rsidP="00C917D6">
      <w:pPr>
        <w:pStyle w:val="Gvdemetni251"/>
        <w:shd w:val="clear" w:color="auto" w:fill="auto"/>
        <w:tabs>
          <w:tab w:val="left" w:pos="918"/>
        </w:tabs>
        <w:spacing w:before="120" w:after="120" w:line="240" w:lineRule="auto"/>
        <w:ind w:left="1134" w:firstLine="0"/>
        <w:rPr>
          <w:color w:val="auto"/>
          <w:sz w:val="24"/>
          <w:szCs w:val="24"/>
        </w:rPr>
      </w:pPr>
      <w:r w:rsidRPr="00DE12A3">
        <w:rPr>
          <w:i/>
          <w:iCs/>
          <w:color w:val="auto"/>
          <w:sz w:val="24"/>
          <w:szCs w:val="24"/>
        </w:rPr>
        <w:t>γ</w:t>
      </w:r>
      <w:r w:rsidRPr="00DE12A3">
        <w:rPr>
          <w:color w:val="auto"/>
          <w:sz w:val="24"/>
          <w:szCs w:val="24"/>
        </w:rPr>
        <w:t xml:space="preserve"> = </w:t>
      </w:r>
      <w:r w:rsidR="00EA64C0" w:rsidRPr="00DE12A3">
        <w:rPr>
          <w:color w:val="auto"/>
          <w:sz w:val="24"/>
          <w:szCs w:val="24"/>
        </w:rPr>
        <w:t xml:space="preserve">Yakılan </w:t>
      </w:r>
      <w:r w:rsidRPr="00DE12A3">
        <w:rPr>
          <w:color w:val="auto"/>
          <w:sz w:val="24"/>
          <w:szCs w:val="24"/>
        </w:rPr>
        <w:t>yakıt karışımının, molar tüketim ile ağırlıklandırılmış, atomik kükürt-karbon oranı</w:t>
      </w:r>
    </w:p>
    <w:p w14:paraId="3C31F8C0" w14:textId="522933D1" w:rsidR="002D7B36" w:rsidRPr="00DE12A3" w:rsidRDefault="00242DA0" w:rsidP="00C917D6">
      <w:pPr>
        <w:pStyle w:val="Gvdemetni251"/>
        <w:shd w:val="clear" w:color="auto" w:fill="auto"/>
        <w:spacing w:before="120" w:after="120" w:line="240" w:lineRule="auto"/>
        <w:ind w:left="1134" w:firstLine="0"/>
        <w:rPr>
          <w:color w:val="auto"/>
          <w:sz w:val="24"/>
          <w:szCs w:val="24"/>
        </w:rPr>
      </w:pPr>
      <w:r w:rsidRPr="00DE12A3">
        <w:rPr>
          <w:i/>
          <w:iCs/>
          <w:color w:val="auto"/>
          <w:sz w:val="24"/>
          <w:szCs w:val="24"/>
        </w:rPr>
        <w:t>M</w:t>
      </w:r>
      <w:r w:rsidRPr="00DE12A3">
        <w:rPr>
          <w:color w:val="auto"/>
          <w:sz w:val="24"/>
          <w:szCs w:val="24"/>
          <w:vertAlign w:val="subscript"/>
        </w:rPr>
        <w:t>S</w:t>
      </w:r>
      <w:r w:rsidRPr="00DE12A3">
        <w:rPr>
          <w:color w:val="auto"/>
          <w:sz w:val="24"/>
          <w:szCs w:val="24"/>
        </w:rPr>
        <w:t xml:space="preserve"> = </w:t>
      </w:r>
      <w:r w:rsidR="00EA64C0" w:rsidRPr="00DE12A3">
        <w:rPr>
          <w:color w:val="auto"/>
          <w:sz w:val="24"/>
          <w:szCs w:val="24"/>
        </w:rPr>
        <w:t xml:space="preserve">Molar </w:t>
      </w:r>
      <w:r w:rsidRPr="00DE12A3">
        <w:rPr>
          <w:color w:val="auto"/>
          <w:sz w:val="24"/>
          <w:szCs w:val="24"/>
        </w:rPr>
        <w:t>kükürt kütlesi</w:t>
      </w:r>
    </w:p>
    <w:p w14:paraId="6420AA8D" w14:textId="05B4170E" w:rsidR="002D7B36" w:rsidRPr="00DE12A3" w:rsidRDefault="00242DA0" w:rsidP="00C917D6">
      <w:pPr>
        <w:pStyle w:val="Gvdemetni251"/>
        <w:shd w:val="clear" w:color="auto" w:fill="auto"/>
        <w:spacing w:before="120" w:after="120" w:line="240" w:lineRule="auto"/>
        <w:ind w:left="1134" w:firstLine="0"/>
        <w:rPr>
          <w:color w:val="auto"/>
          <w:sz w:val="24"/>
          <w:szCs w:val="24"/>
        </w:rPr>
      </w:pPr>
      <w:r w:rsidRPr="00DE12A3">
        <w:rPr>
          <w:rStyle w:val="Gvdemetni254pttalik0ptbolukbraklyor14"/>
          <w:color w:val="auto"/>
          <w:sz w:val="24"/>
          <w:szCs w:val="24"/>
        </w:rPr>
        <w:t>δ</w:t>
      </w:r>
      <w:r w:rsidRPr="00DE12A3">
        <w:rPr>
          <w:color w:val="auto"/>
          <w:sz w:val="24"/>
          <w:szCs w:val="24"/>
        </w:rPr>
        <w:t xml:space="preserve"> = </w:t>
      </w:r>
      <w:r w:rsidR="00EA64C0" w:rsidRPr="00DE12A3">
        <w:rPr>
          <w:color w:val="auto"/>
          <w:sz w:val="24"/>
          <w:szCs w:val="24"/>
        </w:rPr>
        <w:t xml:space="preserve">Yakılan </w:t>
      </w:r>
      <w:r w:rsidRPr="00DE12A3">
        <w:rPr>
          <w:color w:val="auto"/>
          <w:sz w:val="24"/>
          <w:szCs w:val="24"/>
        </w:rPr>
        <w:t>yakıt karışımının, molar tüketim ile ağırlıklandırılmış atomik nitrojen-karbon oranı</w:t>
      </w:r>
    </w:p>
    <w:p w14:paraId="543BC407" w14:textId="68E5307A" w:rsidR="002D7B36" w:rsidRPr="00DE12A3" w:rsidRDefault="00242DA0" w:rsidP="00C917D6">
      <w:pPr>
        <w:pStyle w:val="Gvdemetni251"/>
        <w:shd w:val="clear" w:color="auto" w:fill="auto"/>
        <w:spacing w:before="120" w:after="120" w:line="240" w:lineRule="auto"/>
        <w:ind w:left="1134" w:firstLine="0"/>
        <w:rPr>
          <w:color w:val="auto"/>
          <w:sz w:val="24"/>
          <w:szCs w:val="24"/>
        </w:rPr>
      </w:pPr>
      <w:r w:rsidRPr="00DE12A3">
        <w:rPr>
          <w:rStyle w:val="Gvdemetni25KkBykHarf"/>
          <w:i/>
          <w:iCs/>
          <w:color w:val="auto"/>
          <w:sz w:val="24"/>
          <w:szCs w:val="24"/>
        </w:rPr>
        <w:t>M</w:t>
      </w:r>
      <w:r w:rsidRPr="00DE12A3">
        <w:rPr>
          <w:rStyle w:val="Gvdemetni25KkBykHarf"/>
          <w:color w:val="auto"/>
          <w:sz w:val="24"/>
          <w:szCs w:val="24"/>
          <w:vertAlign w:val="subscript"/>
        </w:rPr>
        <w:t>n</w:t>
      </w:r>
      <w:r w:rsidRPr="00DE12A3">
        <w:rPr>
          <w:color w:val="auto"/>
          <w:sz w:val="24"/>
          <w:szCs w:val="24"/>
        </w:rPr>
        <w:t xml:space="preserve"> = </w:t>
      </w:r>
      <w:r w:rsidR="00EA64C0" w:rsidRPr="00DE12A3">
        <w:rPr>
          <w:color w:val="auto"/>
          <w:sz w:val="24"/>
          <w:szCs w:val="24"/>
        </w:rPr>
        <w:t xml:space="preserve">Molar </w:t>
      </w:r>
      <w:r w:rsidRPr="00DE12A3">
        <w:rPr>
          <w:color w:val="auto"/>
          <w:sz w:val="24"/>
          <w:szCs w:val="24"/>
        </w:rPr>
        <w:t>azot kütlesi</w:t>
      </w:r>
    </w:p>
    <w:p w14:paraId="13DC3476" w14:textId="77777777" w:rsidR="002D7B36" w:rsidRPr="00DE12A3" w:rsidRDefault="00773311" w:rsidP="00E20716">
      <w:pPr>
        <w:pStyle w:val="Resimyazs70"/>
        <w:numPr>
          <w:ilvl w:val="0"/>
          <w:numId w:val="425"/>
        </w:numPr>
        <w:shd w:val="clear" w:color="auto" w:fill="auto"/>
        <w:spacing w:after="120" w:line="240" w:lineRule="auto"/>
        <w:ind w:left="1134" w:hanging="1134"/>
        <w:rPr>
          <w:sz w:val="24"/>
          <w:szCs w:val="24"/>
        </w:rPr>
      </w:pPr>
      <w:r w:rsidRPr="00DE12A3">
        <w:rPr>
          <w:spacing w:val="3"/>
          <w:sz w:val="24"/>
          <w:szCs w:val="24"/>
        </w:rPr>
        <w:t xml:space="preserve">      </w:t>
      </w:r>
      <w:r w:rsidR="00242DA0" w:rsidRPr="00DE12A3">
        <w:rPr>
          <w:spacing w:val="3"/>
          <w:sz w:val="24"/>
          <w:szCs w:val="24"/>
        </w:rPr>
        <w:t>Toplam HC (THC) konsantrasyonu ilk kirlenme düzeltmesi</w:t>
      </w:r>
    </w:p>
    <w:p w14:paraId="01D54646" w14:textId="772125EC" w:rsidR="002D7B36" w:rsidRPr="00DE12A3" w:rsidRDefault="00242DA0" w:rsidP="00C917D6">
      <w:pPr>
        <w:pStyle w:val="Resimyazs70"/>
        <w:shd w:val="clear" w:color="auto" w:fill="auto"/>
        <w:spacing w:after="120" w:line="240" w:lineRule="auto"/>
        <w:ind w:left="1134"/>
        <w:rPr>
          <w:sz w:val="24"/>
          <w:szCs w:val="24"/>
        </w:rPr>
      </w:pPr>
      <w:r w:rsidRPr="00DE12A3">
        <w:rPr>
          <w:rStyle w:val="Resimyazs77pt0ptbolukbraklyor"/>
          <w:color w:val="auto"/>
          <w:sz w:val="24"/>
          <w:szCs w:val="24"/>
        </w:rPr>
        <w:t xml:space="preserve">HC ölçümü için </w:t>
      </w:r>
      <w:r w:rsidRPr="00DE12A3">
        <w:rPr>
          <w:rStyle w:val="Resimyazs77pt0ptbolukbraklyor"/>
          <w:i/>
          <w:iCs/>
          <w:color w:val="auto"/>
          <w:sz w:val="24"/>
          <w:szCs w:val="24"/>
        </w:rPr>
        <w:t>x</w:t>
      </w:r>
      <w:r w:rsidRPr="00DE12A3">
        <w:rPr>
          <w:rStyle w:val="Resimyazs77pt0ptbolukbraklyor"/>
          <w:color w:val="auto"/>
          <w:sz w:val="24"/>
          <w:szCs w:val="24"/>
          <w:vertAlign w:val="subscript"/>
        </w:rPr>
        <w:t>THC[THC-FID]</w:t>
      </w:r>
      <w:r w:rsidRPr="00DE12A3">
        <w:rPr>
          <w:rStyle w:val="Resimyazs77pt0ptbolukbraklyor"/>
          <w:color w:val="auto"/>
          <w:sz w:val="24"/>
          <w:szCs w:val="24"/>
        </w:rPr>
        <w:t xml:space="preserve">, </w:t>
      </w:r>
      <w:r w:rsidR="00FA0678" w:rsidRPr="00DE12A3">
        <w:rPr>
          <w:rStyle w:val="Resimyazs77pt0ptbolukbraklyor"/>
          <w:color w:val="auto"/>
          <w:sz w:val="24"/>
          <w:szCs w:val="24"/>
        </w:rPr>
        <w:t xml:space="preserve">VI’ncı </w:t>
      </w:r>
      <w:r w:rsidR="00092BD4" w:rsidRPr="00DE12A3">
        <w:rPr>
          <w:rStyle w:val="Resimyazs77pt0ptbolukbraklyor"/>
          <w:color w:val="auto"/>
          <w:sz w:val="24"/>
          <w:szCs w:val="24"/>
        </w:rPr>
        <w:t>E</w:t>
      </w:r>
      <w:r w:rsidR="00FA0678" w:rsidRPr="00DE12A3">
        <w:rPr>
          <w:rStyle w:val="Resimyazs77pt0ptbolukbraklyor"/>
          <w:color w:val="auto"/>
          <w:sz w:val="24"/>
          <w:szCs w:val="24"/>
        </w:rPr>
        <w:t>k</w:t>
      </w:r>
      <w:r w:rsidRPr="00DE12A3">
        <w:rPr>
          <w:rStyle w:val="Resimyazs77pt0ptbolukbraklyor"/>
          <w:color w:val="auto"/>
          <w:sz w:val="24"/>
          <w:szCs w:val="24"/>
        </w:rPr>
        <w:t xml:space="preserve">in 7.3.1.3 bendindeki ilk THC kirlilik konsantrasyonu </w:t>
      </w:r>
      <w:r w:rsidRPr="00DE12A3">
        <w:rPr>
          <w:rStyle w:val="Resimyazs77pt0ptbolukbraklyor"/>
          <w:i/>
          <w:iCs/>
          <w:color w:val="auto"/>
          <w:sz w:val="24"/>
          <w:szCs w:val="24"/>
        </w:rPr>
        <w:t>x</w:t>
      </w:r>
      <w:r w:rsidRPr="00DE12A3">
        <w:rPr>
          <w:rStyle w:val="Resimyazs77pt0ptbolukbraklyor"/>
          <w:color w:val="auto"/>
          <w:sz w:val="24"/>
          <w:szCs w:val="24"/>
          <w:vertAlign w:val="subscript"/>
        </w:rPr>
        <w:t>THC[THC-FID]init</w:t>
      </w:r>
      <w:r w:rsidRPr="00DE12A3">
        <w:rPr>
          <w:rStyle w:val="Resimyazs77pt0ptbolukbraklyor"/>
          <w:color w:val="auto"/>
          <w:sz w:val="24"/>
          <w:szCs w:val="24"/>
        </w:rPr>
        <w:t xml:space="preserve"> kullanılarak (7-83) </w:t>
      </w:r>
      <w:r w:rsidR="00962CA1" w:rsidRPr="00DE12A3">
        <w:rPr>
          <w:rStyle w:val="Resimyazs77pt0ptbolukbraklyor"/>
          <w:color w:val="auto"/>
          <w:sz w:val="24"/>
          <w:szCs w:val="24"/>
        </w:rPr>
        <w:t xml:space="preserve">numaralı </w:t>
      </w:r>
      <w:r w:rsidRPr="00DE12A3">
        <w:rPr>
          <w:rStyle w:val="Resimyazs77pt0ptbolukbraklyor"/>
          <w:color w:val="auto"/>
          <w:sz w:val="24"/>
          <w:szCs w:val="24"/>
        </w:rPr>
        <w:t>denklem ile hesaplanmalıdır:</w:t>
      </w:r>
    </w:p>
    <w:p w14:paraId="6DF58FC4" w14:textId="3E2153A9" w:rsidR="002D7B36" w:rsidRPr="00DE12A3" w:rsidRDefault="00242DA0" w:rsidP="00C917D6">
      <w:pPr>
        <w:widowControl/>
        <w:tabs>
          <w:tab w:val="left" w:pos="8789"/>
        </w:tabs>
        <w:spacing w:before="120" w:after="120"/>
        <w:ind w:left="1134" w:hanging="567"/>
        <w:jc w:val="both"/>
        <w:rPr>
          <w:rFonts w:cs="Times New Roman"/>
          <w:color w:val="auto"/>
          <w:lang w:eastAsia="en-US"/>
        </w:rPr>
      </w:pPr>
      <w:r w:rsidRPr="00DE12A3">
        <w:rPr>
          <w:rFonts w:cs="Times New Roman"/>
          <w:color w:val="auto"/>
          <w:lang w:eastAsia="en-US"/>
        </w:rPr>
        <w:t xml:space="preserve">           </w:t>
      </w:r>
      <w:r w:rsidRPr="00DE12A3">
        <w:rPr>
          <w:rFonts w:cs="Times New Roman"/>
          <w:noProof/>
          <w:color w:val="auto"/>
        </w:rPr>
        <w:drawing>
          <wp:inline distT="0" distB="0" distL="0" distR="0" wp14:anchorId="752DD6D3" wp14:editId="7A9757E8">
            <wp:extent cx="4410710" cy="855784"/>
            <wp:effectExtent l="0" t="0" r="0" b="1905"/>
            <wp:docPr id="2393" name="Resim 2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3" name="Resim 2393"/>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a:xfrm>
                      <a:off x="0" y="0"/>
                      <a:ext cx="4471440" cy="867567"/>
                    </a:xfrm>
                    <a:prstGeom prst="rect">
                      <a:avLst/>
                    </a:prstGeom>
                    <a:noFill/>
                    <a:ln>
                      <a:noFill/>
                    </a:ln>
                  </pic:spPr>
                </pic:pic>
              </a:graphicData>
            </a:graphic>
          </wp:inline>
        </w:drawing>
      </w:r>
    </w:p>
    <w:p w14:paraId="00995615" w14:textId="77777777" w:rsidR="002D7B36" w:rsidRPr="00DE12A3" w:rsidRDefault="00242DA0" w:rsidP="00C917D6">
      <w:pPr>
        <w:pStyle w:val="Gvdemetni251"/>
        <w:spacing w:before="120" w:after="120" w:line="240" w:lineRule="auto"/>
        <w:ind w:left="1134" w:firstLine="0"/>
        <w:rPr>
          <w:color w:val="auto"/>
          <w:sz w:val="24"/>
          <w:szCs w:val="24"/>
        </w:rPr>
      </w:pPr>
      <w:r w:rsidRPr="00DE12A3">
        <w:rPr>
          <w:color w:val="auto"/>
          <w:sz w:val="24"/>
          <w:szCs w:val="24"/>
        </w:rPr>
        <w:t>Burada:</w:t>
      </w:r>
    </w:p>
    <w:p w14:paraId="15882232" w14:textId="2C659055" w:rsidR="002D7B36" w:rsidRPr="00DE12A3" w:rsidRDefault="00242DA0" w:rsidP="00C917D6">
      <w:pPr>
        <w:pStyle w:val="Gvdemetni251"/>
        <w:spacing w:before="120" w:after="120" w:line="240" w:lineRule="auto"/>
        <w:ind w:left="1134" w:firstLine="0"/>
        <w:rPr>
          <w:color w:val="auto"/>
          <w:sz w:val="24"/>
          <w:szCs w:val="24"/>
        </w:rPr>
      </w:pPr>
      <w:r w:rsidRPr="00DE12A3">
        <w:rPr>
          <w:i/>
          <w:iCs/>
          <w:color w:val="auto"/>
          <w:sz w:val="24"/>
          <w:szCs w:val="24"/>
        </w:rPr>
        <w:lastRenderedPageBreak/>
        <w:t>x</w:t>
      </w:r>
      <w:r w:rsidRPr="00DE12A3">
        <w:rPr>
          <w:color w:val="auto"/>
          <w:sz w:val="24"/>
          <w:szCs w:val="24"/>
          <w:vertAlign w:val="subscript"/>
        </w:rPr>
        <w:t>THC[THC-FID]cor</w:t>
      </w:r>
      <w:r w:rsidRPr="00DE12A3">
        <w:rPr>
          <w:color w:val="auto"/>
          <w:sz w:val="24"/>
          <w:szCs w:val="24"/>
        </w:rPr>
        <w:t xml:space="preserve"> = </w:t>
      </w:r>
      <w:r w:rsidR="00EA64C0" w:rsidRPr="00DE12A3">
        <w:rPr>
          <w:rStyle w:val="Gvdemetni95pt0ptbolukbraklyor"/>
          <w:color w:val="auto"/>
          <w:sz w:val="24"/>
          <w:szCs w:val="24"/>
        </w:rPr>
        <w:t xml:space="preserve">Kirlilik </w:t>
      </w:r>
      <w:r w:rsidRPr="00DE12A3">
        <w:rPr>
          <w:rStyle w:val="Gvdemetni95pt0ptbolukbraklyor"/>
          <w:color w:val="auto"/>
          <w:sz w:val="24"/>
          <w:szCs w:val="24"/>
        </w:rPr>
        <w:t>bakımından düzeltilmiş THC konsantrasyonu</w:t>
      </w:r>
      <w:r w:rsidRPr="00DE12A3">
        <w:rPr>
          <w:rStyle w:val="Gvdemetni3"/>
          <w:color w:val="auto"/>
          <w:sz w:val="24"/>
          <w:szCs w:val="24"/>
        </w:rPr>
        <w:t xml:space="preserve"> </w:t>
      </w:r>
      <w:r w:rsidRPr="00DE12A3">
        <w:rPr>
          <w:color w:val="auto"/>
          <w:sz w:val="24"/>
          <w:szCs w:val="24"/>
        </w:rPr>
        <w:t>[mol/mol]</w:t>
      </w:r>
    </w:p>
    <w:p w14:paraId="2294A558" w14:textId="6CA5C770" w:rsidR="002D7B36" w:rsidRPr="00DE12A3" w:rsidRDefault="00242DA0" w:rsidP="00C917D6">
      <w:pPr>
        <w:pStyle w:val="Gvdemetni251"/>
        <w:spacing w:before="120" w:after="120" w:line="240" w:lineRule="auto"/>
        <w:ind w:left="1134" w:firstLine="0"/>
        <w:rPr>
          <w:color w:val="auto"/>
          <w:sz w:val="24"/>
          <w:szCs w:val="24"/>
        </w:rPr>
      </w:pPr>
      <w:r w:rsidRPr="00DE12A3">
        <w:rPr>
          <w:i/>
          <w:iCs/>
          <w:color w:val="auto"/>
          <w:sz w:val="24"/>
          <w:szCs w:val="24"/>
        </w:rPr>
        <w:t>x</w:t>
      </w:r>
      <w:r w:rsidRPr="00DE12A3">
        <w:rPr>
          <w:color w:val="auto"/>
          <w:sz w:val="24"/>
          <w:szCs w:val="24"/>
          <w:vertAlign w:val="subscript"/>
        </w:rPr>
        <w:t xml:space="preserve">THC[THC-FID]uncorr </w:t>
      </w:r>
      <w:r w:rsidRPr="00DE12A3">
        <w:rPr>
          <w:color w:val="auto"/>
          <w:sz w:val="24"/>
          <w:szCs w:val="24"/>
        </w:rPr>
        <w:t xml:space="preserve">= </w:t>
      </w:r>
      <w:r w:rsidR="00716C4F" w:rsidRPr="00DE12A3">
        <w:rPr>
          <w:color w:val="auto"/>
          <w:sz w:val="24"/>
          <w:szCs w:val="24"/>
        </w:rPr>
        <w:t xml:space="preserve">Düzeltilmemiş </w:t>
      </w:r>
      <w:r w:rsidRPr="00DE12A3">
        <w:rPr>
          <w:color w:val="auto"/>
          <w:sz w:val="24"/>
          <w:szCs w:val="24"/>
        </w:rPr>
        <w:t>THC konsantrasyonu [mol/mol]</w:t>
      </w:r>
    </w:p>
    <w:p w14:paraId="3B97E365" w14:textId="0B57A87E" w:rsidR="002D7B36" w:rsidRPr="00DE12A3" w:rsidRDefault="00242DA0" w:rsidP="00C917D6">
      <w:pPr>
        <w:pStyle w:val="Gvdemetni251"/>
        <w:spacing w:before="120" w:after="120" w:line="240" w:lineRule="auto"/>
        <w:ind w:left="1134" w:firstLine="0"/>
        <w:rPr>
          <w:color w:val="auto"/>
          <w:sz w:val="24"/>
          <w:szCs w:val="24"/>
        </w:rPr>
      </w:pPr>
      <w:r w:rsidRPr="00DE12A3">
        <w:rPr>
          <w:i/>
          <w:iCs/>
          <w:color w:val="auto"/>
          <w:sz w:val="24"/>
          <w:szCs w:val="24"/>
        </w:rPr>
        <w:t>x</w:t>
      </w:r>
      <w:r w:rsidRPr="00DE12A3">
        <w:rPr>
          <w:color w:val="auto"/>
          <w:sz w:val="24"/>
          <w:szCs w:val="24"/>
          <w:vertAlign w:val="subscript"/>
        </w:rPr>
        <w:t>THC[THC-FID]init</w:t>
      </w:r>
      <w:r w:rsidRPr="00DE12A3">
        <w:rPr>
          <w:color w:val="auto"/>
          <w:sz w:val="24"/>
          <w:szCs w:val="24"/>
        </w:rPr>
        <w:t xml:space="preserve"> = </w:t>
      </w:r>
      <w:r w:rsidR="00716C4F" w:rsidRPr="00DE12A3">
        <w:rPr>
          <w:color w:val="auto"/>
          <w:sz w:val="24"/>
          <w:szCs w:val="24"/>
        </w:rPr>
        <w:t xml:space="preserve">İlk </w:t>
      </w:r>
      <w:r w:rsidRPr="00DE12A3">
        <w:rPr>
          <w:color w:val="auto"/>
          <w:sz w:val="24"/>
          <w:szCs w:val="24"/>
        </w:rPr>
        <w:t>THC kirlilik konsantrasyonu [mol/mol]</w:t>
      </w:r>
    </w:p>
    <w:p w14:paraId="4CFB6149" w14:textId="77777777" w:rsidR="002D7B36" w:rsidRPr="00DE12A3" w:rsidRDefault="00773311" w:rsidP="00E20716">
      <w:pPr>
        <w:pStyle w:val="Gvdemetni251"/>
        <w:numPr>
          <w:ilvl w:val="0"/>
          <w:numId w:val="426"/>
        </w:numPr>
        <w:spacing w:before="120" w:after="120" w:line="240" w:lineRule="auto"/>
        <w:ind w:left="1134" w:hanging="1134"/>
        <w:rPr>
          <w:color w:val="auto"/>
          <w:sz w:val="24"/>
          <w:szCs w:val="24"/>
        </w:rPr>
      </w:pPr>
      <w:r w:rsidRPr="00DE12A3">
        <w:rPr>
          <w:color w:val="auto"/>
          <w:sz w:val="24"/>
          <w:szCs w:val="24"/>
        </w:rPr>
        <w:t xml:space="preserve">      </w:t>
      </w:r>
      <w:r w:rsidR="00242DA0" w:rsidRPr="00DE12A3">
        <w:rPr>
          <w:color w:val="auto"/>
          <w:sz w:val="24"/>
          <w:szCs w:val="24"/>
        </w:rPr>
        <w:t>Akış ağırlıklı ortalama konsantrasyon</w:t>
      </w:r>
    </w:p>
    <w:p w14:paraId="62D00988" w14:textId="6B878E45" w:rsidR="002D7B36" w:rsidRPr="00DE12A3" w:rsidRDefault="00773311" w:rsidP="00C917D6">
      <w:pPr>
        <w:pStyle w:val="Gvdemetni251"/>
        <w:spacing w:before="120" w:after="120" w:line="240" w:lineRule="auto"/>
        <w:ind w:left="1134" w:hanging="567"/>
        <w:rPr>
          <w:color w:val="auto"/>
          <w:sz w:val="24"/>
          <w:szCs w:val="24"/>
        </w:rPr>
      </w:pPr>
      <w:r w:rsidRPr="00DE12A3">
        <w:rPr>
          <w:color w:val="auto"/>
          <w:sz w:val="24"/>
          <w:szCs w:val="24"/>
        </w:rPr>
        <w:t xml:space="preserve">         </w:t>
      </w:r>
      <w:r w:rsidR="00242DA0" w:rsidRPr="00DE12A3">
        <w:rPr>
          <w:color w:val="auto"/>
          <w:sz w:val="24"/>
          <w:szCs w:val="24"/>
        </w:rPr>
        <w:t>Bu bölümün bazı bentlerinde, belirli hükümlerin uygulanabilirliğini belirlemek için akış ağırlıklı ortalama konsantrasyonun hesaplanması gerekebilir. Akış ağırlıklı ortalama</w:t>
      </w:r>
      <w:r w:rsidR="00092BD4" w:rsidRPr="00DE12A3">
        <w:rPr>
          <w:color w:val="auto"/>
          <w:sz w:val="24"/>
          <w:szCs w:val="24"/>
        </w:rPr>
        <w:t>;</w:t>
      </w:r>
      <w:r w:rsidR="00242DA0" w:rsidRPr="00DE12A3">
        <w:rPr>
          <w:color w:val="auto"/>
          <w:sz w:val="24"/>
          <w:szCs w:val="24"/>
        </w:rPr>
        <w:t xml:space="preserve"> bir miktarın, karşılık gelen akış hızına orantılı olarak ağırlıklandırıldıktan sonraki ortalamasıdır. Örneğin, bir gaz konsantrasyonu, bir motorun ham egzoz gazından sürekli olarak ölçülürse akış ağırlıklı ortalama konsantrasyonu, kaydedilen her bir konsantrasyon ile ona karşılık gelen egzoz gazı molar akış hızının çarpımları toplamının, kaydedilmiş akış hızı değerleri toplamına bölümüdür. Başka bir örnek olarak</w:t>
      </w:r>
      <w:r w:rsidR="00092BD4" w:rsidRPr="00DE12A3">
        <w:rPr>
          <w:color w:val="auto"/>
          <w:sz w:val="24"/>
          <w:szCs w:val="24"/>
        </w:rPr>
        <w:t>;</w:t>
      </w:r>
      <w:r w:rsidR="00242DA0" w:rsidRPr="00DE12A3">
        <w:rPr>
          <w:color w:val="auto"/>
          <w:sz w:val="24"/>
          <w:szCs w:val="24"/>
        </w:rPr>
        <w:t xml:space="preserve"> bir CVS sistemindeki torba konsantrasyonu, akış ağırlıklı ortalama konsantrasyonla aynıdır</w:t>
      </w:r>
      <w:r w:rsidR="00092BD4" w:rsidRPr="00DE12A3">
        <w:rPr>
          <w:color w:val="auto"/>
          <w:sz w:val="24"/>
          <w:szCs w:val="24"/>
        </w:rPr>
        <w:t>.</w:t>
      </w:r>
      <w:r w:rsidR="00242DA0" w:rsidRPr="00DE12A3">
        <w:rPr>
          <w:color w:val="auto"/>
          <w:sz w:val="24"/>
          <w:szCs w:val="24"/>
        </w:rPr>
        <w:t xml:space="preserve"> </w:t>
      </w:r>
      <w:r w:rsidR="00092BD4" w:rsidRPr="00DE12A3">
        <w:rPr>
          <w:color w:val="auto"/>
          <w:sz w:val="24"/>
          <w:szCs w:val="24"/>
        </w:rPr>
        <w:t>Ç</w:t>
      </w:r>
      <w:r w:rsidR="00242DA0" w:rsidRPr="00DE12A3">
        <w:rPr>
          <w:color w:val="auto"/>
          <w:sz w:val="24"/>
          <w:szCs w:val="24"/>
        </w:rPr>
        <w:t>ünkü CVS sisteminin kendisi torba konsantrasyonunu akışla tartar.  Bir emisyonun, emisyon sınır değerindeki belli bir akış ağırlıklı ortalama konsantrasyonu, benzer motorlarla yapılan önceki testler veya benzer ekipman ve cihazlarla yapılan testler esasında zaten beklenen değer olabilir.</w:t>
      </w:r>
    </w:p>
    <w:p w14:paraId="620A8257" w14:textId="77777777" w:rsidR="002D7B36" w:rsidRPr="00DE12A3" w:rsidRDefault="00773311" w:rsidP="00E20716">
      <w:pPr>
        <w:pStyle w:val="Gvdemetni251"/>
        <w:numPr>
          <w:ilvl w:val="1"/>
          <w:numId w:val="421"/>
        </w:numPr>
        <w:spacing w:before="120" w:after="120" w:line="240" w:lineRule="auto"/>
        <w:ind w:left="1134" w:hanging="1134"/>
        <w:rPr>
          <w:color w:val="auto"/>
          <w:sz w:val="24"/>
          <w:szCs w:val="24"/>
        </w:rPr>
      </w:pPr>
      <w:r w:rsidRPr="00DE12A3">
        <w:rPr>
          <w:color w:val="auto"/>
          <w:sz w:val="24"/>
          <w:szCs w:val="24"/>
        </w:rPr>
        <w:t xml:space="preserve">      </w:t>
      </w:r>
      <w:r w:rsidR="00242DA0" w:rsidRPr="00DE12A3">
        <w:rPr>
          <w:color w:val="auto"/>
          <w:sz w:val="24"/>
          <w:szCs w:val="24"/>
        </w:rPr>
        <w:t>Yakıt, emme havası ve egzoz gazının kimyasal dengeleri</w:t>
      </w:r>
    </w:p>
    <w:p w14:paraId="48373EF0" w14:textId="77777777" w:rsidR="002D7B36" w:rsidRPr="00DE12A3" w:rsidRDefault="00773311" w:rsidP="00E20716">
      <w:pPr>
        <w:pStyle w:val="Gvdemetni251"/>
        <w:numPr>
          <w:ilvl w:val="2"/>
          <w:numId w:val="421"/>
        </w:numPr>
        <w:spacing w:before="120" w:after="120" w:line="240" w:lineRule="auto"/>
        <w:ind w:left="1134" w:hanging="1134"/>
        <w:rPr>
          <w:color w:val="auto"/>
          <w:sz w:val="24"/>
          <w:szCs w:val="24"/>
        </w:rPr>
      </w:pPr>
      <w:r w:rsidRPr="00DE12A3">
        <w:rPr>
          <w:color w:val="auto"/>
          <w:sz w:val="24"/>
          <w:szCs w:val="24"/>
        </w:rPr>
        <w:t xml:space="preserve">       </w:t>
      </w:r>
      <w:r w:rsidR="00242DA0" w:rsidRPr="00DE12A3">
        <w:rPr>
          <w:color w:val="auto"/>
          <w:sz w:val="24"/>
          <w:szCs w:val="24"/>
        </w:rPr>
        <w:t>Genel</w:t>
      </w:r>
    </w:p>
    <w:p w14:paraId="0A765648" w14:textId="77777777" w:rsidR="002D7B36" w:rsidRPr="00DE12A3" w:rsidRDefault="00773311" w:rsidP="00C917D6">
      <w:pPr>
        <w:pStyle w:val="Gvdemetni251"/>
        <w:spacing w:before="120" w:after="120" w:line="240" w:lineRule="auto"/>
        <w:ind w:left="1134" w:hanging="567"/>
        <w:rPr>
          <w:color w:val="auto"/>
          <w:sz w:val="24"/>
          <w:szCs w:val="24"/>
        </w:rPr>
      </w:pPr>
      <w:r w:rsidRPr="00DE12A3">
        <w:rPr>
          <w:color w:val="auto"/>
          <w:sz w:val="24"/>
          <w:szCs w:val="24"/>
        </w:rPr>
        <w:t xml:space="preserve">         </w:t>
      </w:r>
      <w:r w:rsidR="00242DA0" w:rsidRPr="00DE12A3">
        <w:rPr>
          <w:color w:val="auto"/>
          <w:sz w:val="24"/>
          <w:szCs w:val="24"/>
        </w:rPr>
        <w:t>Yakıt, emme havası ve egzoz gazının kimyasal dengeleri, bunların akışlarını, akışları içindeki su miktarını ve akışları içindeki bileşenlerin yaş konsantrasyonunu hesaplamak için kullanılabilir. Yakıt, emme havası veya egzoz gazından birinin akış hızı ile kimyasal dengeler, diğer ikisinin akışlarını belirlemek için kullanılabilir. Örneğin, ham egzoz gazı akışını belirlemek için emme havası veya yakıt akışı ile birlikte kimyasal dengeler kullanılabilir.</w:t>
      </w:r>
    </w:p>
    <w:p w14:paraId="78D8BA81" w14:textId="77777777" w:rsidR="002D7B36" w:rsidRPr="00DE12A3" w:rsidRDefault="00773311" w:rsidP="00E20716">
      <w:pPr>
        <w:pStyle w:val="Gvdemetni251"/>
        <w:numPr>
          <w:ilvl w:val="2"/>
          <w:numId w:val="421"/>
        </w:numPr>
        <w:spacing w:before="120" w:after="120" w:line="240" w:lineRule="auto"/>
        <w:ind w:left="1134" w:hanging="1134"/>
        <w:rPr>
          <w:color w:val="auto"/>
          <w:sz w:val="24"/>
          <w:szCs w:val="24"/>
        </w:rPr>
      </w:pPr>
      <w:r w:rsidRPr="00DE12A3">
        <w:rPr>
          <w:color w:val="auto"/>
          <w:sz w:val="24"/>
          <w:szCs w:val="24"/>
        </w:rPr>
        <w:t xml:space="preserve">       </w:t>
      </w:r>
      <w:r w:rsidR="00242DA0" w:rsidRPr="00DE12A3">
        <w:rPr>
          <w:color w:val="auto"/>
          <w:sz w:val="24"/>
          <w:szCs w:val="24"/>
        </w:rPr>
        <w:t>Kimyasal dengeleri gerektiren prosedürler</w:t>
      </w:r>
    </w:p>
    <w:p w14:paraId="2D77E977" w14:textId="77777777" w:rsidR="002D7B36" w:rsidRPr="00DE12A3" w:rsidRDefault="00773311" w:rsidP="00C917D6">
      <w:pPr>
        <w:pStyle w:val="Gvdemetni251"/>
        <w:spacing w:before="120" w:after="120" w:line="240" w:lineRule="auto"/>
        <w:ind w:left="1134" w:hanging="567"/>
        <w:rPr>
          <w:color w:val="auto"/>
          <w:sz w:val="24"/>
          <w:szCs w:val="24"/>
        </w:rPr>
      </w:pPr>
      <w:r w:rsidRPr="00DE12A3">
        <w:rPr>
          <w:color w:val="auto"/>
          <w:sz w:val="24"/>
          <w:szCs w:val="24"/>
        </w:rPr>
        <w:t xml:space="preserve">         </w:t>
      </w:r>
      <w:r w:rsidR="00242DA0" w:rsidRPr="00DE12A3">
        <w:rPr>
          <w:color w:val="auto"/>
          <w:sz w:val="24"/>
          <w:szCs w:val="24"/>
        </w:rPr>
        <w:t>Aşağıdakileri belirlemek için kimyasal dengeler gereklidir:</w:t>
      </w:r>
    </w:p>
    <w:p w14:paraId="6C4444C8" w14:textId="4A69CF4C" w:rsidR="002D7B36" w:rsidRPr="00DE12A3" w:rsidRDefault="00242DA0" w:rsidP="00E20716">
      <w:pPr>
        <w:pStyle w:val="Gvdemetni251"/>
        <w:numPr>
          <w:ilvl w:val="0"/>
          <w:numId w:val="427"/>
        </w:numPr>
        <w:spacing w:before="120" w:after="120" w:line="240" w:lineRule="auto"/>
        <w:ind w:left="1134" w:hanging="567"/>
        <w:rPr>
          <w:color w:val="auto"/>
          <w:sz w:val="24"/>
          <w:szCs w:val="24"/>
        </w:rPr>
      </w:pPr>
      <w:r w:rsidRPr="00DE12A3">
        <w:rPr>
          <w:color w:val="auto"/>
          <w:sz w:val="24"/>
          <w:szCs w:val="24"/>
        </w:rPr>
        <w:t xml:space="preserve">Bir örnekleme sistemi tarafından giderilen su miktarını düzeltmek için gereken su miktarı ölçülmediğinde, ham veya seyreltilmiş bir egzoz gazı akışı içindeki su miktarı </w:t>
      </w:r>
      <w:r w:rsidRPr="00DE12A3">
        <w:rPr>
          <w:i/>
          <w:iCs/>
          <w:color w:val="auto"/>
          <w:sz w:val="24"/>
          <w:szCs w:val="24"/>
        </w:rPr>
        <w:t>x</w:t>
      </w:r>
      <w:r w:rsidRPr="00DE12A3">
        <w:rPr>
          <w:color w:val="auto"/>
          <w:sz w:val="24"/>
          <w:szCs w:val="24"/>
          <w:vertAlign w:val="subscript"/>
        </w:rPr>
        <w:t>H2Oexh</w:t>
      </w:r>
      <w:r w:rsidR="00092BD4" w:rsidRPr="00DE12A3">
        <w:rPr>
          <w:color w:val="auto"/>
          <w:sz w:val="24"/>
          <w:szCs w:val="24"/>
        </w:rPr>
        <w:t>.</w:t>
      </w:r>
    </w:p>
    <w:p w14:paraId="120FA299" w14:textId="77777777" w:rsidR="002D7B36" w:rsidRPr="00DE12A3" w:rsidRDefault="00242DA0" w:rsidP="00E20716">
      <w:pPr>
        <w:pStyle w:val="Gvdemetni251"/>
        <w:numPr>
          <w:ilvl w:val="0"/>
          <w:numId w:val="427"/>
        </w:numPr>
        <w:spacing w:before="120" w:after="120" w:line="240" w:lineRule="auto"/>
        <w:ind w:left="1134" w:hanging="567"/>
        <w:rPr>
          <w:color w:val="auto"/>
          <w:sz w:val="24"/>
          <w:szCs w:val="24"/>
        </w:rPr>
      </w:pPr>
      <w:r w:rsidRPr="00DE12A3">
        <w:rPr>
          <w:color w:val="auto"/>
          <w:sz w:val="24"/>
          <w:szCs w:val="24"/>
        </w:rPr>
        <w:t xml:space="preserve">Arka plan emisyonlarını düzeltmek için seyreltme havası akışı ölçülmediğinde, seyreltilmiş egzoz gazındaki seyreltme havasının akış ağırlıklı ortalama oranı </w:t>
      </w:r>
      <w:r w:rsidRPr="00DE12A3">
        <w:rPr>
          <w:i/>
          <w:iCs/>
          <w:color w:val="auto"/>
          <w:sz w:val="24"/>
          <w:szCs w:val="24"/>
        </w:rPr>
        <w:t>x</w:t>
      </w:r>
      <w:r w:rsidRPr="00DE12A3">
        <w:rPr>
          <w:color w:val="auto"/>
          <w:sz w:val="24"/>
          <w:szCs w:val="24"/>
          <w:vertAlign w:val="subscript"/>
        </w:rPr>
        <w:t>dil/exh</w:t>
      </w:r>
      <w:r w:rsidRPr="00DE12A3">
        <w:rPr>
          <w:color w:val="auto"/>
          <w:sz w:val="24"/>
          <w:szCs w:val="24"/>
        </w:rPr>
        <w:t>. Kimyasal dengeler bu amaçla kullanılırsa, egzoz gazının, aslında olmasa bile stokiyometrik olduğunun varsayıldığı unutulmamalıdır.</w:t>
      </w:r>
    </w:p>
    <w:p w14:paraId="7CDD7775" w14:textId="77777777" w:rsidR="002D7B36" w:rsidRPr="00DE12A3" w:rsidRDefault="00773311" w:rsidP="00E20716">
      <w:pPr>
        <w:pStyle w:val="Gvdemetni251"/>
        <w:numPr>
          <w:ilvl w:val="2"/>
          <w:numId w:val="421"/>
        </w:numPr>
        <w:shd w:val="clear" w:color="auto" w:fill="auto"/>
        <w:spacing w:before="120" w:after="120" w:line="240" w:lineRule="auto"/>
        <w:ind w:left="1134" w:hanging="1134"/>
        <w:rPr>
          <w:color w:val="auto"/>
          <w:sz w:val="24"/>
          <w:szCs w:val="24"/>
        </w:rPr>
      </w:pPr>
      <w:r w:rsidRPr="00DE12A3">
        <w:rPr>
          <w:color w:val="auto"/>
          <w:sz w:val="24"/>
          <w:szCs w:val="24"/>
        </w:rPr>
        <w:t xml:space="preserve">       </w:t>
      </w:r>
      <w:r w:rsidR="00242DA0" w:rsidRPr="00DE12A3">
        <w:rPr>
          <w:color w:val="auto"/>
          <w:sz w:val="24"/>
          <w:szCs w:val="24"/>
        </w:rPr>
        <w:t>Kimyasal denge prosedürü</w:t>
      </w:r>
    </w:p>
    <w:p w14:paraId="573CC654" w14:textId="08A434A9" w:rsidR="002D7B36" w:rsidRPr="00DE12A3" w:rsidRDefault="00773311" w:rsidP="00C917D6">
      <w:pPr>
        <w:pStyle w:val="Gvdemetni251"/>
        <w:shd w:val="clear" w:color="auto" w:fill="auto"/>
        <w:spacing w:before="120" w:after="120" w:line="240" w:lineRule="auto"/>
        <w:ind w:left="1134" w:hanging="567"/>
        <w:rPr>
          <w:color w:val="auto"/>
          <w:sz w:val="24"/>
          <w:szCs w:val="24"/>
        </w:rPr>
      </w:pPr>
      <w:r w:rsidRPr="00DE12A3">
        <w:rPr>
          <w:color w:val="auto"/>
          <w:sz w:val="24"/>
          <w:szCs w:val="24"/>
        </w:rPr>
        <w:t xml:space="preserve">         </w:t>
      </w:r>
      <w:r w:rsidR="00242DA0" w:rsidRPr="00DE12A3">
        <w:rPr>
          <w:color w:val="auto"/>
          <w:sz w:val="24"/>
          <w:szCs w:val="24"/>
        </w:rPr>
        <w:t>Kimyasal denge hesaplamaları, iterasyon gerektiren bir denklemler sistemi içerir. Üç adet kadar başlangıç değeri tahmin edilmelidir</w:t>
      </w:r>
      <w:r w:rsidR="00092BD4" w:rsidRPr="00DE12A3">
        <w:rPr>
          <w:color w:val="auto"/>
          <w:sz w:val="24"/>
          <w:szCs w:val="24"/>
        </w:rPr>
        <w:t>.</w:t>
      </w:r>
      <w:r w:rsidR="00242DA0" w:rsidRPr="00DE12A3">
        <w:rPr>
          <w:color w:val="auto"/>
          <w:sz w:val="24"/>
          <w:szCs w:val="24"/>
        </w:rPr>
        <w:t xml:space="preserve"> </w:t>
      </w:r>
      <w:r w:rsidR="00092BD4" w:rsidRPr="00DE12A3">
        <w:rPr>
          <w:color w:val="auto"/>
          <w:sz w:val="24"/>
          <w:szCs w:val="24"/>
        </w:rPr>
        <w:t>Ö</w:t>
      </w:r>
      <w:r w:rsidR="00242DA0" w:rsidRPr="00DE12A3">
        <w:rPr>
          <w:color w:val="auto"/>
          <w:sz w:val="24"/>
          <w:szCs w:val="24"/>
        </w:rPr>
        <w:t xml:space="preserve">lçülen akış içindeki su miktarı </w:t>
      </w:r>
      <w:r w:rsidR="00242DA0" w:rsidRPr="00DE12A3">
        <w:rPr>
          <w:i/>
          <w:iCs/>
          <w:color w:val="auto"/>
          <w:sz w:val="24"/>
          <w:szCs w:val="24"/>
        </w:rPr>
        <w:t>x</w:t>
      </w:r>
      <w:r w:rsidR="00242DA0" w:rsidRPr="00DE12A3">
        <w:rPr>
          <w:color w:val="auto"/>
          <w:sz w:val="24"/>
          <w:szCs w:val="24"/>
          <w:vertAlign w:val="subscript"/>
        </w:rPr>
        <w:t>H2Oexh</w:t>
      </w:r>
      <w:r w:rsidR="00242DA0" w:rsidRPr="00DE12A3">
        <w:rPr>
          <w:color w:val="auto"/>
          <w:sz w:val="24"/>
          <w:szCs w:val="24"/>
        </w:rPr>
        <w:t xml:space="preserve">, seyreltilmiş egzoz gazı içindeki seyreltme havası (veya ham egzoz gazındaki fazla hava) oranı xdil/exh ve mol kuru ölçülen akış başına C1 esaslı ürünlerin miktarı </w:t>
      </w:r>
      <w:r w:rsidR="00242DA0" w:rsidRPr="00DE12A3">
        <w:rPr>
          <w:i/>
          <w:iCs/>
          <w:color w:val="auto"/>
          <w:sz w:val="24"/>
          <w:szCs w:val="24"/>
        </w:rPr>
        <w:t>x</w:t>
      </w:r>
      <w:r w:rsidR="00242DA0" w:rsidRPr="00DE12A3">
        <w:rPr>
          <w:color w:val="auto"/>
          <w:sz w:val="24"/>
          <w:szCs w:val="24"/>
          <w:vertAlign w:val="subscript"/>
        </w:rPr>
        <w:t>Ccombdry</w:t>
      </w:r>
      <w:r w:rsidR="00242DA0" w:rsidRPr="00DE12A3">
        <w:rPr>
          <w:color w:val="auto"/>
          <w:sz w:val="24"/>
          <w:szCs w:val="24"/>
        </w:rPr>
        <w:t xml:space="preserve">. Yanma havası nemi ve seyreltme havası nemi, test aralığı boyunca ilgili ortalama değerlerinin ± 0,0025 mol/mol toleransları içinde kaldığı sürece, kimyasal denge içinde yanma havası neminin ve seyreltme havası neminin zaman ağırlıklı ortalama değerleri kullanılabilir. Her emisyon konsantrasyonu </w:t>
      </w:r>
      <w:r w:rsidR="00242DA0" w:rsidRPr="00DE12A3">
        <w:rPr>
          <w:i/>
          <w:iCs/>
          <w:color w:val="auto"/>
          <w:sz w:val="24"/>
          <w:szCs w:val="24"/>
        </w:rPr>
        <w:t>x</w:t>
      </w:r>
      <w:r w:rsidR="00242DA0" w:rsidRPr="00DE12A3">
        <w:rPr>
          <w:color w:val="auto"/>
          <w:sz w:val="24"/>
          <w:szCs w:val="24"/>
        </w:rPr>
        <w:t xml:space="preserve"> ve su miktarı </w:t>
      </w:r>
      <w:r w:rsidR="00242DA0" w:rsidRPr="00DE12A3">
        <w:rPr>
          <w:i/>
          <w:iCs/>
          <w:color w:val="auto"/>
          <w:sz w:val="24"/>
          <w:szCs w:val="24"/>
        </w:rPr>
        <w:t>x</w:t>
      </w:r>
      <w:r w:rsidR="00242DA0" w:rsidRPr="00DE12A3">
        <w:rPr>
          <w:color w:val="auto"/>
          <w:sz w:val="24"/>
          <w:szCs w:val="24"/>
          <w:vertAlign w:val="subscript"/>
        </w:rPr>
        <w:t>H2O</w:t>
      </w:r>
      <w:r w:rsidR="00242DA0" w:rsidRPr="00DE12A3">
        <w:rPr>
          <w:color w:val="auto"/>
          <w:sz w:val="24"/>
          <w:szCs w:val="24"/>
        </w:rPr>
        <w:t xml:space="preserve">exh için, bunların tamamen kuru konsantrasyonları </w:t>
      </w:r>
      <w:r w:rsidR="00242DA0" w:rsidRPr="00DE12A3">
        <w:rPr>
          <w:i/>
          <w:iCs/>
          <w:color w:val="auto"/>
          <w:sz w:val="24"/>
          <w:szCs w:val="24"/>
        </w:rPr>
        <w:t>x</w:t>
      </w:r>
      <w:r w:rsidR="00242DA0" w:rsidRPr="00DE12A3">
        <w:rPr>
          <w:color w:val="auto"/>
          <w:sz w:val="24"/>
          <w:szCs w:val="24"/>
          <w:vertAlign w:val="subscript"/>
        </w:rPr>
        <w:t>dry</w:t>
      </w:r>
      <w:r w:rsidR="00242DA0" w:rsidRPr="00DE12A3">
        <w:rPr>
          <w:color w:val="auto"/>
          <w:sz w:val="24"/>
          <w:szCs w:val="24"/>
        </w:rPr>
        <w:t xml:space="preserve"> ve </w:t>
      </w:r>
      <w:r w:rsidR="00242DA0" w:rsidRPr="00DE12A3">
        <w:rPr>
          <w:i/>
          <w:iCs/>
          <w:color w:val="auto"/>
          <w:sz w:val="24"/>
          <w:szCs w:val="24"/>
        </w:rPr>
        <w:t>x</w:t>
      </w:r>
      <w:r w:rsidR="00242DA0" w:rsidRPr="00DE12A3">
        <w:rPr>
          <w:color w:val="auto"/>
          <w:sz w:val="24"/>
          <w:szCs w:val="24"/>
          <w:vertAlign w:val="subscript"/>
        </w:rPr>
        <w:t>H2Oexhdry</w:t>
      </w:r>
      <w:r w:rsidR="00242DA0" w:rsidRPr="00DE12A3">
        <w:rPr>
          <w:color w:val="auto"/>
          <w:sz w:val="24"/>
          <w:szCs w:val="24"/>
        </w:rPr>
        <w:t xml:space="preserve"> belirlenmelidir. Yakıt atomik hidrojen-karbon oranı α, oksijen-karbon oranı </w:t>
      </w:r>
      <w:r w:rsidR="00242DA0" w:rsidRPr="00DE12A3">
        <w:rPr>
          <w:i/>
          <w:iCs/>
          <w:color w:val="auto"/>
          <w:sz w:val="24"/>
          <w:szCs w:val="24"/>
        </w:rPr>
        <w:t>β</w:t>
      </w:r>
      <w:r w:rsidR="00242DA0" w:rsidRPr="00DE12A3">
        <w:rPr>
          <w:color w:val="auto"/>
          <w:sz w:val="24"/>
          <w:szCs w:val="24"/>
        </w:rPr>
        <w:t xml:space="preserve"> ve yakıtın karbon kütle oranı </w:t>
      </w:r>
      <w:r w:rsidR="00242DA0" w:rsidRPr="00DE12A3">
        <w:rPr>
          <w:i/>
          <w:iCs/>
          <w:color w:val="auto"/>
          <w:sz w:val="24"/>
          <w:szCs w:val="24"/>
        </w:rPr>
        <w:t>w</w:t>
      </w:r>
      <w:r w:rsidR="00242DA0" w:rsidRPr="00DE12A3">
        <w:rPr>
          <w:color w:val="auto"/>
          <w:sz w:val="24"/>
          <w:szCs w:val="24"/>
          <w:vertAlign w:val="subscript"/>
        </w:rPr>
        <w:t>C</w:t>
      </w:r>
      <w:r w:rsidR="00242DA0" w:rsidRPr="00DE12A3">
        <w:rPr>
          <w:color w:val="auto"/>
          <w:sz w:val="24"/>
          <w:szCs w:val="24"/>
        </w:rPr>
        <w:t xml:space="preserve"> de kullanılmalıdır. Test yakıtı için, </w:t>
      </w:r>
      <w:r w:rsidR="00242DA0" w:rsidRPr="00DE12A3">
        <w:rPr>
          <w:i/>
          <w:iCs/>
          <w:color w:val="auto"/>
          <w:sz w:val="24"/>
          <w:szCs w:val="24"/>
        </w:rPr>
        <w:t>α</w:t>
      </w:r>
      <w:r w:rsidR="00242DA0" w:rsidRPr="00DE12A3">
        <w:rPr>
          <w:color w:val="auto"/>
          <w:sz w:val="24"/>
          <w:szCs w:val="24"/>
        </w:rPr>
        <w:t xml:space="preserve"> ve </w:t>
      </w:r>
      <w:r w:rsidR="00242DA0" w:rsidRPr="00DE12A3">
        <w:rPr>
          <w:i/>
          <w:iCs/>
          <w:color w:val="auto"/>
          <w:sz w:val="24"/>
          <w:szCs w:val="24"/>
        </w:rPr>
        <w:t>β</w:t>
      </w:r>
      <w:r w:rsidR="00242DA0" w:rsidRPr="00DE12A3">
        <w:rPr>
          <w:color w:val="auto"/>
          <w:sz w:val="24"/>
          <w:szCs w:val="24"/>
        </w:rPr>
        <w:t xml:space="preserve"> veya Tablo 7.3'teki varsayılan değerler </w:t>
      </w:r>
      <w:r w:rsidR="00242DA0" w:rsidRPr="00DE12A3">
        <w:rPr>
          <w:color w:val="auto"/>
          <w:sz w:val="24"/>
          <w:szCs w:val="24"/>
        </w:rPr>
        <w:lastRenderedPageBreak/>
        <w:t>kullanılabilir.</w:t>
      </w:r>
    </w:p>
    <w:p w14:paraId="5191640C" w14:textId="77777777" w:rsidR="002D7B36" w:rsidRPr="00DE12A3" w:rsidRDefault="00773311" w:rsidP="00C917D6">
      <w:pPr>
        <w:pStyle w:val="Gvdemetni251"/>
        <w:shd w:val="clear" w:color="auto" w:fill="auto"/>
        <w:spacing w:before="120" w:after="120" w:line="240" w:lineRule="auto"/>
        <w:ind w:left="1134" w:hanging="567"/>
        <w:rPr>
          <w:color w:val="auto"/>
          <w:sz w:val="24"/>
          <w:szCs w:val="24"/>
        </w:rPr>
      </w:pPr>
      <w:r w:rsidRPr="00DE12A3">
        <w:rPr>
          <w:color w:val="auto"/>
          <w:sz w:val="24"/>
          <w:szCs w:val="24"/>
        </w:rPr>
        <w:t xml:space="preserve">         </w:t>
      </w:r>
      <w:r w:rsidR="00242DA0" w:rsidRPr="00DE12A3">
        <w:rPr>
          <w:color w:val="auto"/>
          <w:sz w:val="24"/>
          <w:szCs w:val="24"/>
        </w:rPr>
        <w:t>Bir kimyasal dengeyi tamamlamak için aşağıdaki adımları kullanın:</w:t>
      </w:r>
    </w:p>
    <w:p w14:paraId="51B810E7" w14:textId="3C6996AD" w:rsidR="002D7B36" w:rsidRPr="00DE12A3" w:rsidRDefault="00242DA0" w:rsidP="00E20716">
      <w:pPr>
        <w:pStyle w:val="Gvdemetni251"/>
        <w:numPr>
          <w:ilvl w:val="0"/>
          <w:numId w:val="428"/>
        </w:numPr>
        <w:shd w:val="clear" w:color="auto" w:fill="auto"/>
        <w:spacing w:before="120" w:after="120" w:line="240" w:lineRule="auto"/>
        <w:ind w:left="1134" w:hanging="567"/>
        <w:rPr>
          <w:color w:val="auto"/>
          <w:sz w:val="24"/>
          <w:szCs w:val="24"/>
        </w:rPr>
      </w:pPr>
      <w:r w:rsidRPr="00DE12A3">
        <w:rPr>
          <w:i/>
          <w:iCs/>
          <w:color w:val="auto"/>
          <w:sz w:val="24"/>
          <w:szCs w:val="24"/>
        </w:rPr>
        <w:t>x</w:t>
      </w:r>
      <w:r w:rsidRPr="00DE12A3">
        <w:rPr>
          <w:color w:val="auto"/>
          <w:sz w:val="24"/>
          <w:szCs w:val="24"/>
          <w:vertAlign w:val="subscript"/>
        </w:rPr>
        <w:t>CO2meas</w:t>
      </w:r>
      <w:r w:rsidRPr="00DE12A3">
        <w:rPr>
          <w:color w:val="auto"/>
          <w:sz w:val="24"/>
          <w:szCs w:val="24"/>
        </w:rPr>
        <w:t xml:space="preserve">, </w:t>
      </w:r>
      <w:r w:rsidRPr="00DE12A3">
        <w:rPr>
          <w:i/>
          <w:iCs/>
          <w:color w:val="auto"/>
          <w:sz w:val="24"/>
          <w:szCs w:val="24"/>
        </w:rPr>
        <w:t>x</w:t>
      </w:r>
      <w:r w:rsidRPr="00DE12A3">
        <w:rPr>
          <w:color w:val="auto"/>
          <w:sz w:val="24"/>
          <w:szCs w:val="24"/>
          <w:vertAlign w:val="subscript"/>
        </w:rPr>
        <w:t>NOmeas</w:t>
      </w:r>
      <w:r w:rsidRPr="00DE12A3">
        <w:rPr>
          <w:color w:val="auto"/>
          <w:sz w:val="24"/>
          <w:szCs w:val="24"/>
        </w:rPr>
        <w:t xml:space="preserve"> ve </w:t>
      </w:r>
      <w:r w:rsidRPr="00DE12A3">
        <w:rPr>
          <w:i/>
          <w:iCs/>
          <w:color w:val="auto"/>
          <w:sz w:val="24"/>
          <w:szCs w:val="24"/>
        </w:rPr>
        <w:t>x</w:t>
      </w:r>
      <w:r w:rsidRPr="00DE12A3">
        <w:rPr>
          <w:color w:val="auto"/>
          <w:sz w:val="24"/>
          <w:szCs w:val="24"/>
          <w:vertAlign w:val="subscript"/>
        </w:rPr>
        <w:t>H2Oint</w:t>
      </w:r>
      <w:r w:rsidRPr="00DE12A3">
        <w:rPr>
          <w:color w:val="auto"/>
          <w:sz w:val="24"/>
          <w:szCs w:val="24"/>
        </w:rPr>
        <w:t xml:space="preserve"> gibi ölçülen konsantrasyonlar, bir eksi ilgili ölçümleri sırasındaki mevcut su miktarı değerine bölünerek kuru konsantrasyonlara dönüştürülmelidir</w:t>
      </w:r>
      <w:r w:rsidR="00092BD4" w:rsidRPr="00DE12A3">
        <w:rPr>
          <w:color w:val="auto"/>
          <w:sz w:val="24"/>
          <w:szCs w:val="24"/>
        </w:rPr>
        <w:t>.</w:t>
      </w:r>
      <w:r w:rsidRPr="00DE12A3">
        <w:rPr>
          <w:color w:val="auto"/>
          <w:sz w:val="24"/>
          <w:szCs w:val="24"/>
        </w:rPr>
        <w:t xml:space="preserve"> </w:t>
      </w:r>
      <w:r w:rsidR="00092BD4" w:rsidRPr="00DE12A3">
        <w:rPr>
          <w:color w:val="auto"/>
          <w:sz w:val="24"/>
          <w:szCs w:val="24"/>
        </w:rPr>
        <w:t>Ö</w:t>
      </w:r>
      <w:r w:rsidRPr="00DE12A3">
        <w:rPr>
          <w:color w:val="auto"/>
          <w:sz w:val="24"/>
          <w:szCs w:val="24"/>
        </w:rPr>
        <w:t>rneğin</w:t>
      </w:r>
      <w:r w:rsidR="00092BD4" w:rsidRPr="00DE12A3">
        <w:rPr>
          <w:color w:val="auto"/>
          <w:sz w:val="24"/>
          <w:szCs w:val="24"/>
        </w:rPr>
        <w:t>;</w:t>
      </w:r>
      <w:r w:rsidRPr="00DE12A3">
        <w:rPr>
          <w:color w:val="auto"/>
          <w:sz w:val="24"/>
          <w:szCs w:val="24"/>
        </w:rPr>
        <w:t xml:space="preserve"> </w:t>
      </w:r>
      <w:r w:rsidRPr="00DE12A3">
        <w:rPr>
          <w:i/>
          <w:iCs/>
          <w:color w:val="auto"/>
          <w:sz w:val="24"/>
          <w:szCs w:val="24"/>
        </w:rPr>
        <w:t>x</w:t>
      </w:r>
      <w:r w:rsidRPr="00DE12A3">
        <w:rPr>
          <w:color w:val="auto"/>
          <w:sz w:val="24"/>
          <w:szCs w:val="24"/>
          <w:vertAlign w:val="subscript"/>
        </w:rPr>
        <w:t>H2OxCO2meas</w:t>
      </w:r>
      <w:r w:rsidRPr="00DE12A3">
        <w:rPr>
          <w:color w:val="auto"/>
          <w:sz w:val="24"/>
          <w:szCs w:val="24"/>
        </w:rPr>
        <w:t xml:space="preserve">, </w:t>
      </w:r>
      <w:r w:rsidRPr="00DE12A3">
        <w:rPr>
          <w:i/>
          <w:iCs/>
          <w:color w:val="auto"/>
          <w:sz w:val="24"/>
          <w:szCs w:val="24"/>
        </w:rPr>
        <w:t>x</w:t>
      </w:r>
      <w:r w:rsidRPr="00DE12A3">
        <w:rPr>
          <w:color w:val="auto"/>
          <w:sz w:val="24"/>
          <w:szCs w:val="24"/>
          <w:vertAlign w:val="subscript"/>
        </w:rPr>
        <w:t>H2OxNOmeas</w:t>
      </w:r>
      <w:r w:rsidRPr="00DE12A3">
        <w:rPr>
          <w:color w:val="auto"/>
          <w:sz w:val="24"/>
          <w:szCs w:val="24"/>
        </w:rPr>
        <w:t xml:space="preserve">, ve </w:t>
      </w:r>
      <w:r w:rsidRPr="00DE12A3">
        <w:rPr>
          <w:i/>
          <w:iCs/>
          <w:color w:val="auto"/>
          <w:sz w:val="24"/>
          <w:szCs w:val="24"/>
        </w:rPr>
        <w:t>x</w:t>
      </w:r>
      <w:r w:rsidRPr="00DE12A3">
        <w:rPr>
          <w:color w:val="auto"/>
          <w:sz w:val="24"/>
          <w:szCs w:val="24"/>
          <w:vertAlign w:val="subscript"/>
        </w:rPr>
        <w:t>H2Oint</w:t>
      </w:r>
      <w:r w:rsidRPr="00DE12A3">
        <w:rPr>
          <w:color w:val="auto"/>
          <w:sz w:val="24"/>
          <w:szCs w:val="24"/>
        </w:rPr>
        <w:t xml:space="preserve">. Bir “yaş” ölçüm sırasında mevcut su miktarı, egzoz gazı akışındaki bilinmeyen su miktarı </w:t>
      </w:r>
      <w:r w:rsidRPr="00DE12A3">
        <w:rPr>
          <w:i/>
          <w:iCs/>
          <w:color w:val="auto"/>
          <w:sz w:val="24"/>
          <w:szCs w:val="24"/>
        </w:rPr>
        <w:t>x</w:t>
      </w:r>
      <w:r w:rsidRPr="00DE12A3">
        <w:rPr>
          <w:color w:val="auto"/>
          <w:sz w:val="24"/>
          <w:szCs w:val="24"/>
          <w:vertAlign w:val="subscript"/>
        </w:rPr>
        <w:t>H2Oexh</w:t>
      </w:r>
      <w:r w:rsidRPr="00DE12A3">
        <w:rPr>
          <w:color w:val="auto"/>
          <w:sz w:val="24"/>
          <w:szCs w:val="24"/>
        </w:rPr>
        <w:t xml:space="preserve"> ile aynı ise, bu değer için denklemler sistemi içinde iteratif şekilde çözülmelidir. Ayrı ayrı NO ve NO</w:t>
      </w:r>
      <w:r w:rsidRPr="00DE12A3">
        <w:rPr>
          <w:color w:val="auto"/>
          <w:sz w:val="24"/>
          <w:szCs w:val="24"/>
          <w:vertAlign w:val="subscript"/>
        </w:rPr>
        <w:t>2</w:t>
      </w:r>
      <w:r w:rsidRPr="00DE12A3">
        <w:rPr>
          <w:color w:val="auto"/>
          <w:sz w:val="24"/>
          <w:szCs w:val="24"/>
        </w:rPr>
        <w:t xml:space="preserve"> değilde, sadece toplam NO</w:t>
      </w:r>
      <w:r w:rsidRPr="00DE12A3">
        <w:rPr>
          <w:color w:val="auto"/>
          <w:sz w:val="24"/>
          <w:szCs w:val="24"/>
          <w:vertAlign w:val="subscript"/>
        </w:rPr>
        <w:t>x</w:t>
      </w:r>
      <w:r w:rsidRPr="00DE12A3">
        <w:rPr>
          <w:color w:val="auto"/>
          <w:sz w:val="24"/>
          <w:szCs w:val="24"/>
        </w:rPr>
        <w:t xml:space="preserve"> ölçülürse, kimyasal dengeler için NO ve NO</w:t>
      </w:r>
      <w:r w:rsidRPr="00DE12A3">
        <w:rPr>
          <w:color w:val="auto"/>
          <w:sz w:val="24"/>
          <w:szCs w:val="24"/>
          <w:vertAlign w:val="subscript"/>
        </w:rPr>
        <w:t>2</w:t>
      </w:r>
      <w:r w:rsidRPr="00DE12A3">
        <w:rPr>
          <w:color w:val="auto"/>
          <w:sz w:val="24"/>
          <w:szCs w:val="24"/>
        </w:rPr>
        <w:t xml:space="preserve"> arasındaki toplam NO</w:t>
      </w:r>
      <w:r w:rsidRPr="00DE12A3">
        <w:rPr>
          <w:color w:val="auto"/>
          <w:sz w:val="24"/>
          <w:szCs w:val="24"/>
          <w:vertAlign w:val="subscript"/>
        </w:rPr>
        <w:t>x</w:t>
      </w:r>
      <w:r w:rsidRPr="00DE12A3">
        <w:rPr>
          <w:color w:val="auto"/>
          <w:sz w:val="24"/>
          <w:szCs w:val="24"/>
        </w:rPr>
        <w:t xml:space="preserve"> konsantrasyonundaki bir bölünmeyi tahmin etmek için iyi mühendislik kararı kullanılır. NO</w:t>
      </w:r>
      <w:r w:rsidRPr="00DE12A3">
        <w:rPr>
          <w:color w:val="auto"/>
          <w:sz w:val="24"/>
          <w:szCs w:val="24"/>
          <w:vertAlign w:val="subscript"/>
        </w:rPr>
        <w:t>x</w:t>
      </w:r>
      <w:r w:rsidRPr="00DE12A3">
        <w:rPr>
          <w:color w:val="auto"/>
          <w:sz w:val="24"/>
          <w:szCs w:val="24"/>
        </w:rPr>
        <w:t xml:space="preserve">'un molar konsantrasyonu </w:t>
      </w:r>
      <w:r w:rsidRPr="00DE12A3">
        <w:rPr>
          <w:i/>
          <w:iCs/>
          <w:color w:val="auto"/>
          <w:sz w:val="24"/>
          <w:szCs w:val="24"/>
        </w:rPr>
        <w:t>x</w:t>
      </w:r>
      <w:r w:rsidRPr="00DE12A3">
        <w:rPr>
          <w:color w:val="auto"/>
          <w:sz w:val="24"/>
          <w:szCs w:val="24"/>
          <w:vertAlign w:val="subscript"/>
        </w:rPr>
        <w:t>NOx</w:t>
      </w:r>
      <w:r w:rsidRPr="00DE12A3">
        <w:rPr>
          <w:color w:val="auto"/>
          <w:sz w:val="24"/>
          <w:szCs w:val="24"/>
        </w:rPr>
        <w:t xml:space="preserve">'un, </w:t>
      </w:r>
      <w:r w:rsidR="006D7ADF" w:rsidRPr="00DE12A3">
        <w:rPr>
          <w:color w:val="auto"/>
          <w:sz w:val="24"/>
          <w:szCs w:val="24"/>
        </w:rPr>
        <w:t>%75</w:t>
      </w:r>
      <w:r w:rsidRPr="00DE12A3">
        <w:rPr>
          <w:color w:val="auto"/>
          <w:sz w:val="24"/>
          <w:szCs w:val="24"/>
        </w:rPr>
        <w:t xml:space="preserve"> NO ve </w:t>
      </w:r>
      <w:r w:rsidR="006D7ADF" w:rsidRPr="00DE12A3">
        <w:rPr>
          <w:color w:val="auto"/>
          <w:sz w:val="24"/>
          <w:szCs w:val="24"/>
        </w:rPr>
        <w:t>%25</w:t>
      </w:r>
      <w:r w:rsidRPr="00DE12A3">
        <w:rPr>
          <w:color w:val="auto"/>
          <w:sz w:val="24"/>
          <w:szCs w:val="24"/>
        </w:rPr>
        <w:t xml:space="preserve"> NO</w:t>
      </w:r>
      <w:r w:rsidRPr="00DE12A3">
        <w:rPr>
          <w:color w:val="auto"/>
          <w:sz w:val="24"/>
          <w:szCs w:val="24"/>
          <w:vertAlign w:val="subscript"/>
        </w:rPr>
        <w:t>2</w:t>
      </w:r>
      <w:r w:rsidRPr="00DE12A3">
        <w:rPr>
          <w:color w:val="auto"/>
          <w:sz w:val="24"/>
          <w:szCs w:val="24"/>
        </w:rPr>
        <w:t xml:space="preserve"> olduğu varsayılabilir. NO</w:t>
      </w:r>
      <w:r w:rsidRPr="00DE12A3">
        <w:rPr>
          <w:color w:val="auto"/>
          <w:sz w:val="24"/>
          <w:szCs w:val="24"/>
          <w:vertAlign w:val="subscript"/>
        </w:rPr>
        <w:t>2</w:t>
      </w:r>
      <w:r w:rsidRPr="00DE12A3">
        <w:rPr>
          <w:color w:val="auto"/>
          <w:sz w:val="24"/>
          <w:szCs w:val="24"/>
        </w:rPr>
        <w:t xml:space="preserve"> depolama </w:t>
      </w:r>
      <w:r w:rsidR="007E2039" w:rsidRPr="00DE12A3">
        <w:rPr>
          <w:color w:val="auto"/>
          <w:sz w:val="24"/>
          <w:szCs w:val="24"/>
        </w:rPr>
        <w:t xml:space="preserve">arıtma </w:t>
      </w:r>
      <w:r w:rsidRPr="00DE12A3">
        <w:rPr>
          <w:color w:val="auto"/>
          <w:sz w:val="24"/>
          <w:szCs w:val="24"/>
        </w:rPr>
        <w:t xml:space="preserve">sistemlerinde </w:t>
      </w:r>
      <w:r w:rsidRPr="00DE12A3">
        <w:rPr>
          <w:i/>
          <w:iCs/>
          <w:color w:val="auto"/>
          <w:sz w:val="24"/>
          <w:szCs w:val="24"/>
        </w:rPr>
        <w:t>x</w:t>
      </w:r>
      <w:r w:rsidRPr="00DE12A3">
        <w:rPr>
          <w:color w:val="auto"/>
          <w:sz w:val="24"/>
          <w:szCs w:val="24"/>
          <w:vertAlign w:val="subscript"/>
        </w:rPr>
        <w:t>NOx</w:t>
      </w:r>
      <w:r w:rsidRPr="00DE12A3">
        <w:rPr>
          <w:color w:val="auto"/>
          <w:sz w:val="24"/>
          <w:szCs w:val="24"/>
        </w:rPr>
        <w:t xml:space="preserve">'un, </w:t>
      </w:r>
      <w:r w:rsidR="006D7ADF" w:rsidRPr="00DE12A3">
        <w:rPr>
          <w:color w:val="auto"/>
          <w:sz w:val="24"/>
          <w:szCs w:val="24"/>
        </w:rPr>
        <w:t>%25</w:t>
      </w:r>
      <w:r w:rsidRPr="00DE12A3">
        <w:rPr>
          <w:color w:val="auto"/>
          <w:sz w:val="24"/>
          <w:szCs w:val="24"/>
        </w:rPr>
        <w:t xml:space="preserve"> NO ve </w:t>
      </w:r>
      <w:r w:rsidR="006D7ADF" w:rsidRPr="00DE12A3">
        <w:rPr>
          <w:color w:val="auto"/>
          <w:sz w:val="24"/>
          <w:szCs w:val="24"/>
        </w:rPr>
        <w:t>%75</w:t>
      </w:r>
      <w:r w:rsidRPr="00DE12A3">
        <w:rPr>
          <w:color w:val="auto"/>
          <w:sz w:val="24"/>
          <w:szCs w:val="24"/>
        </w:rPr>
        <w:t xml:space="preserve"> NO</w:t>
      </w:r>
      <w:r w:rsidRPr="00DE12A3">
        <w:rPr>
          <w:color w:val="auto"/>
          <w:sz w:val="24"/>
          <w:szCs w:val="24"/>
          <w:vertAlign w:val="subscript"/>
        </w:rPr>
        <w:t>2</w:t>
      </w:r>
      <w:r w:rsidRPr="00DE12A3">
        <w:rPr>
          <w:color w:val="auto"/>
          <w:sz w:val="24"/>
          <w:szCs w:val="24"/>
        </w:rPr>
        <w:t xml:space="preserve"> olduğu varsayılabilir. NOx emisyonlarının kütlesini hesaplamak için, NO</w:t>
      </w:r>
      <w:r w:rsidRPr="00DE12A3">
        <w:rPr>
          <w:color w:val="auto"/>
          <w:sz w:val="24"/>
          <w:szCs w:val="24"/>
          <w:vertAlign w:val="subscript"/>
        </w:rPr>
        <w:t>x</w:t>
      </w:r>
      <w:r w:rsidRPr="00DE12A3">
        <w:rPr>
          <w:color w:val="auto"/>
          <w:sz w:val="24"/>
          <w:szCs w:val="24"/>
        </w:rPr>
        <w:t>'in fiili NO</w:t>
      </w:r>
      <w:r w:rsidRPr="00DE12A3">
        <w:rPr>
          <w:color w:val="auto"/>
          <w:sz w:val="24"/>
          <w:szCs w:val="24"/>
          <w:vertAlign w:val="subscript"/>
        </w:rPr>
        <w:t>2</w:t>
      </w:r>
      <w:r w:rsidRPr="00DE12A3">
        <w:rPr>
          <w:color w:val="auto"/>
          <w:sz w:val="24"/>
          <w:szCs w:val="24"/>
        </w:rPr>
        <w:t xml:space="preserve"> oranından bağımsız olarak, tüm NO</w:t>
      </w:r>
      <w:r w:rsidRPr="00DE12A3">
        <w:rPr>
          <w:color w:val="auto"/>
          <w:sz w:val="24"/>
          <w:szCs w:val="24"/>
          <w:vertAlign w:val="subscript"/>
        </w:rPr>
        <w:t>x</w:t>
      </w:r>
      <w:r w:rsidRPr="00DE12A3">
        <w:rPr>
          <w:color w:val="auto"/>
          <w:sz w:val="24"/>
          <w:szCs w:val="24"/>
        </w:rPr>
        <w:t xml:space="preserve"> türlerinin etkili molar kütlesi için NO</w:t>
      </w:r>
      <w:r w:rsidRPr="00DE12A3">
        <w:rPr>
          <w:color w:val="auto"/>
          <w:sz w:val="24"/>
          <w:szCs w:val="24"/>
          <w:vertAlign w:val="subscript"/>
        </w:rPr>
        <w:t>2</w:t>
      </w:r>
      <w:r w:rsidRPr="00DE12A3">
        <w:rPr>
          <w:color w:val="auto"/>
          <w:sz w:val="24"/>
          <w:szCs w:val="24"/>
        </w:rPr>
        <w:t>'nin molar kütlesi kullanılır;</w:t>
      </w:r>
    </w:p>
    <w:p w14:paraId="1D6D4104" w14:textId="7C5C8EFF" w:rsidR="002D7B36" w:rsidRPr="00DE12A3" w:rsidRDefault="00242DA0" w:rsidP="00E20716">
      <w:pPr>
        <w:pStyle w:val="Gvdemetni251"/>
        <w:numPr>
          <w:ilvl w:val="0"/>
          <w:numId w:val="428"/>
        </w:numPr>
        <w:shd w:val="clear" w:color="auto" w:fill="auto"/>
        <w:spacing w:before="120" w:after="120" w:line="240" w:lineRule="auto"/>
        <w:ind w:left="1134" w:hanging="567"/>
        <w:rPr>
          <w:color w:val="auto"/>
          <w:sz w:val="24"/>
          <w:szCs w:val="24"/>
        </w:rPr>
      </w:pPr>
      <w:r w:rsidRPr="00DE12A3">
        <w:rPr>
          <w:color w:val="auto"/>
          <w:sz w:val="24"/>
          <w:szCs w:val="24"/>
        </w:rPr>
        <w:t xml:space="preserve">Bu bendin (d) </w:t>
      </w:r>
      <w:r w:rsidR="00092BD4" w:rsidRPr="00DE12A3">
        <w:rPr>
          <w:color w:val="auto"/>
          <w:sz w:val="24"/>
          <w:szCs w:val="24"/>
        </w:rPr>
        <w:t xml:space="preserve">numaralı alt bendinde yer alan </w:t>
      </w:r>
      <w:r w:rsidRPr="00DE12A3">
        <w:rPr>
          <w:color w:val="auto"/>
          <w:sz w:val="24"/>
          <w:szCs w:val="24"/>
        </w:rPr>
        <w:t xml:space="preserve">(7-82) ila (7-99) </w:t>
      </w:r>
      <w:r w:rsidR="00962CA1" w:rsidRPr="00DE12A3">
        <w:rPr>
          <w:color w:val="auto"/>
          <w:sz w:val="24"/>
          <w:szCs w:val="24"/>
        </w:rPr>
        <w:t>numaralı</w:t>
      </w:r>
      <w:r w:rsidR="00962CA1" w:rsidRPr="00DE12A3" w:rsidDel="00962CA1">
        <w:rPr>
          <w:color w:val="auto"/>
          <w:sz w:val="24"/>
          <w:szCs w:val="24"/>
        </w:rPr>
        <w:t xml:space="preserve"> </w:t>
      </w:r>
      <w:r w:rsidRPr="00DE12A3">
        <w:rPr>
          <w:color w:val="auto"/>
          <w:sz w:val="24"/>
          <w:szCs w:val="24"/>
        </w:rPr>
        <w:t xml:space="preserve">denklemler, </w:t>
      </w:r>
      <w:r w:rsidRPr="00DE12A3">
        <w:rPr>
          <w:i/>
          <w:iCs/>
          <w:color w:val="auto"/>
          <w:sz w:val="24"/>
          <w:szCs w:val="24"/>
        </w:rPr>
        <w:t>x</w:t>
      </w:r>
      <w:r w:rsidRPr="00DE12A3">
        <w:rPr>
          <w:color w:val="auto"/>
          <w:sz w:val="24"/>
          <w:szCs w:val="24"/>
          <w:vertAlign w:val="subscript"/>
        </w:rPr>
        <w:t>H2Oexh</w:t>
      </w:r>
      <w:r w:rsidRPr="00DE12A3">
        <w:rPr>
          <w:color w:val="auto"/>
          <w:sz w:val="24"/>
          <w:szCs w:val="24"/>
        </w:rPr>
        <w:t xml:space="preserve">, </w:t>
      </w:r>
      <w:r w:rsidRPr="00DE12A3">
        <w:rPr>
          <w:i/>
          <w:iCs/>
          <w:color w:val="auto"/>
          <w:sz w:val="24"/>
          <w:szCs w:val="24"/>
        </w:rPr>
        <w:t>x</w:t>
      </w:r>
      <w:r w:rsidRPr="00DE12A3">
        <w:rPr>
          <w:color w:val="auto"/>
          <w:sz w:val="24"/>
          <w:szCs w:val="24"/>
          <w:vertAlign w:val="subscript"/>
        </w:rPr>
        <w:t>Ccombdry</w:t>
      </w:r>
      <w:r w:rsidRPr="00DE12A3">
        <w:rPr>
          <w:color w:val="auto"/>
          <w:sz w:val="24"/>
          <w:szCs w:val="24"/>
        </w:rPr>
        <w:t xml:space="preserve"> ve </w:t>
      </w:r>
      <w:r w:rsidRPr="00DE12A3">
        <w:rPr>
          <w:i/>
          <w:iCs/>
          <w:color w:val="auto"/>
          <w:sz w:val="24"/>
          <w:szCs w:val="24"/>
        </w:rPr>
        <w:t>x</w:t>
      </w:r>
      <w:r w:rsidRPr="00DE12A3">
        <w:rPr>
          <w:color w:val="auto"/>
          <w:sz w:val="24"/>
          <w:szCs w:val="24"/>
          <w:vertAlign w:val="subscript"/>
        </w:rPr>
        <w:t>dil/exh</w:t>
      </w:r>
      <w:r w:rsidRPr="00DE12A3">
        <w:rPr>
          <w:color w:val="auto"/>
          <w:sz w:val="24"/>
          <w:szCs w:val="24"/>
        </w:rPr>
        <w:t xml:space="preserve"> için iteratif bir şekilde çözülmek üzere bir bilgisayar programına girilmelidir. </w:t>
      </w:r>
      <w:r w:rsidRPr="00DE12A3">
        <w:rPr>
          <w:i/>
          <w:iCs/>
          <w:color w:val="auto"/>
          <w:sz w:val="24"/>
          <w:szCs w:val="24"/>
        </w:rPr>
        <w:t>x</w:t>
      </w:r>
      <w:r w:rsidRPr="00DE12A3">
        <w:rPr>
          <w:color w:val="auto"/>
          <w:sz w:val="24"/>
          <w:szCs w:val="24"/>
          <w:vertAlign w:val="subscript"/>
        </w:rPr>
        <w:t>H2Oexh</w:t>
      </w:r>
      <w:r w:rsidRPr="00DE12A3">
        <w:rPr>
          <w:color w:val="auto"/>
          <w:sz w:val="24"/>
          <w:szCs w:val="24"/>
        </w:rPr>
        <w:t xml:space="preserve">, </w:t>
      </w:r>
      <w:r w:rsidRPr="00DE12A3">
        <w:rPr>
          <w:i/>
          <w:iCs/>
          <w:color w:val="auto"/>
          <w:sz w:val="24"/>
          <w:szCs w:val="24"/>
        </w:rPr>
        <w:t>x</w:t>
      </w:r>
      <w:r w:rsidRPr="00DE12A3">
        <w:rPr>
          <w:color w:val="auto"/>
          <w:sz w:val="24"/>
          <w:szCs w:val="24"/>
          <w:vertAlign w:val="subscript"/>
        </w:rPr>
        <w:t>Ccombdry</w:t>
      </w:r>
      <w:r w:rsidRPr="00DE12A3">
        <w:rPr>
          <w:color w:val="auto"/>
          <w:sz w:val="24"/>
          <w:szCs w:val="24"/>
        </w:rPr>
        <w:t xml:space="preserve"> ve </w:t>
      </w:r>
      <w:r w:rsidRPr="00DE12A3">
        <w:rPr>
          <w:i/>
          <w:iCs/>
          <w:color w:val="auto"/>
          <w:sz w:val="24"/>
          <w:szCs w:val="24"/>
        </w:rPr>
        <w:t>x</w:t>
      </w:r>
      <w:r w:rsidRPr="00DE12A3">
        <w:rPr>
          <w:color w:val="auto"/>
          <w:sz w:val="24"/>
          <w:szCs w:val="24"/>
          <w:vertAlign w:val="subscript"/>
        </w:rPr>
        <w:t>dil/exh</w:t>
      </w:r>
      <w:r w:rsidRPr="00DE12A3">
        <w:rPr>
          <w:color w:val="auto"/>
          <w:sz w:val="24"/>
          <w:szCs w:val="24"/>
        </w:rPr>
        <w:t xml:space="preserve"> için ilk değerleri tahmin etmek için iyi mühendislik kararı kullanılmalıdır. İlk su miktarının, emme veya seyreltme havası içindeki su miktarının yaklaşık iki katı olarak varsayılması önerilir. İlk </w:t>
      </w:r>
      <w:r w:rsidRPr="00DE12A3">
        <w:rPr>
          <w:i/>
          <w:iCs/>
          <w:color w:val="auto"/>
          <w:sz w:val="24"/>
          <w:szCs w:val="24"/>
        </w:rPr>
        <w:t>x</w:t>
      </w:r>
      <w:r w:rsidRPr="00DE12A3">
        <w:rPr>
          <w:color w:val="auto"/>
          <w:sz w:val="24"/>
          <w:szCs w:val="24"/>
          <w:vertAlign w:val="subscript"/>
        </w:rPr>
        <w:t>Ccombdry</w:t>
      </w:r>
      <w:r w:rsidRPr="00DE12A3">
        <w:rPr>
          <w:color w:val="auto"/>
          <w:sz w:val="24"/>
          <w:szCs w:val="24"/>
        </w:rPr>
        <w:t xml:space="preserve"> değerinin, ölçülen CO</w:t>
      </w:r>
      <w:r w:rsidRPr="00DE12A3">
        <w:rPr>
          <w:color w:val="auto"/>
          <w:sz w:val="24"/>
          <w:szCs w:val="24"/>
          <w:vertAlign w:val="subscript"/>
        </w:rPr>
        <w:t>2</w:t>
      </w:r>
      <w:r w:rsidRPr="00DE12A3">
        <w:rPr>
          <w:color w:val="auto"/>
          <w:sz w:val="24"/>
          <w:szCs w:val="24"/>
        </w:rPr>
        <w:t xml:space="preserve">, CO ve THC değerlerinin toplamı olarak varsayılması önerilir. İlk xdil değerinin, 0,8 gibi, 0,75 ile 0,95 arasında varsayılması da önerilir. Denklemler sistemindeki değerler, en son güncellenen tahminlerin hepsi en son hesaplanan ilgili değerleri ± </w:t>
      </w:r>
      <w:r w:rsidR="00716C4F" w:rsidRPr="00DE12A3">
        <w:rPr>
          <w:color w:val="auto"/>
          <w:sz w:val="24"/>
          <w:szCs w:val="24"/>
        </w:rPr>
        <w:t>%1</w:t>
      </w:r>
      <w:r w:rsidRPr="00DE12A3">
        <w:rPr>
          <w:color w:val="auto"/>
          <w:sz w:val="24"/>
          <w:szCs w:val="24"/>
        </w:rPr>
        <w:t xml:space="preserve"> aralığı içinde olana kadar iterasyona devam edilmelidir</w:t>
      </w:r>
      <w:r w:rsidR="00092BD4" w:rsidRPr="00DE12A3">
        <w:rPr>
          <w:color w:val="auto"/>
          <w:sz w:val="24"/>
          <w:szCs w:val="24"/>
        </w:rPr>
        <w:t>.</w:t>
      </w:r>
    </w:p>
    <w:p w14:paraId="0363FACB" w14:textId="038C3793" w:rsidR="002D7B36" w:rsidRPr="00DE12A3" w:rsidRDefault="00242DA0">
      <w:pPr>
        <w:pStyle w:val="Gvdemetni251"/>
        <w:numPr>
          <w:ilvl w:val="0"/>
          <w:numId w:val="428"/>
        </w:numPr>
        <w:shd w:val="clear" w:color="auto" w:fill="auto"/>
        <w:spacing w:before="120" w:after="120" w:line="240" w:lineRule="auto"/>
        <w:ind w:left="1134" w:hanging="567"/>
        <w:rPr>
          <w:color w:val="auto"/>
          <w:sz w:val="24"/>
          <w:szCs w:val="24"/>
        </w:rPr>
      </w:pPr>
      <w:r w:rsidRPr="00DE12A3">
        <w:rPr>
          <w:color w:val="auto"/>
          <w:sz w:val="24"/>
          <w:szCs w:val="24"/>
        </w:rPr>
        <w:t xml:space="preserve">Aşağıdaki semboller ve alt indisler, </w:t>
      </w:r>
      <w:r w:rsidRPr="00DE12A3">
        <w:rPr>
          <w:i/>
          <w:iCs/>
          <w:color w:val="auto"/>
          <w:sz w:val="24"/>
          <w:szCs w:val="24"/>
        </w:rPr>
        <w:t>x</w:t>
      </w:r>
      <w:r w:rsidRPr="00DE12A3">
        <w:rPr>
          <w:color w:val="auto"/>
          <w:sz w:val="24"/>
          <w:szCs w:val="24"/>
        </w:rPr>
        <w:t xml:space="preserve"> biriminin mol/mol olduğu, bu bendin (d) </w:t>
      </w:r>
      <w:r w:rsidR="00092BD4" w:rsidRPr="00DE12A3">
        <w:rPr>
          <w:color w:val="auto"/>
          <w:sz w:val="24"/>
          <w:szCs w:val="24"/>
        </w:rPr>
        <w:t xml:space="preserve">alt bendinde yer alan </w:t>
      </w:r>
      <w:r w:rsidRPr="00DE12A3">
        <w:rPr>
          <w:color w:val="auto"/>
          <w:sz w:val="24"/>
          <w:szCs w:val="24"/>
        </w:rPr>
        <w:t>denklem sistemi içinde kullanılır</w:t>
      </w:r>
      <w:r w:rsidR="00092BD4" w:rsidRPr="00DE12A3">
        <w:rPr>
          <w:color w:val="auto"/>
          <w:sz w:val="24"/>
          <w:szCs w:val="24"/>
        </w:rPr>
        <w:t>;</w:t>
      </w:r>
    </w:p>
    <w:p w14:paraId="2D98E409" w14:textId="77777777" w:rsidR="00F91A4F" w:rsidRPr="00DE12A3" w:rsidRDefault="00F91A4F" w:rsidP="00C917D6">
      <w:pPr>
        <w:pStyle w:val="Gvdemetni251"/>
        <w:shd w:val="clear" w:color="auto" w:fill="auto"/>
        <w:spacing w:before="120" w:after="120" w:line="240" w:lineRule="auto"/>
        <w:ind w:left="709" w:hanging="709"/>
        <w:rPr>
          <w:color w:val="auto"/>
          <w:sz w:val="18"/>
          <w:szCs w:val="18"/>
        </w:rPr>
      </w:pPr>
    </w:p>
    <w:tbl>
      <w:tblPr>
        <w:tblW w:w="8044" w:type="dxa"/>
        <w:tblInd w:w="1242" w:type="dxa"/>
        <w:tblLayout w:type="fixed"/>
        <w:tblLook w:val="0000" w:firstRow="0" w:lastRow="0" w:firstColumn="0" w:lastColumn="0" w:noHBand="0" w:noVBand="0"/>
      </w:tblPr>
      <w:tblGrid>
        <w:gridCol w:w="1172"/>
        <w:gridCol w:w="6872"/>
      </w:tblGrid>
      <w:tr w:rsidR="00DE12A3" w:rsidRPr="00DE12A3" w14:paraId="70225606" w14:textId="77777777" w:rsidTr="00067050">
        <w:trPr>
          <w:trHeight w:val="418"/>
        </w:trPr>
        <w:tc>
          <w:tcPr>
            <w:tcW w:w="1172" w:type="dxa"/>
          </w:tcPr>
          <w:p w14:paraId="5D710024" w14:textId="77777777" w:rsidR="00841D10" w:rsidRPr="00DE12A3" w:rsidRDefault="00841D10" w:rsidP="0066751C">
            <w:pPr>
              <w:spacing w:before="120" w:after="120"/>
              <w:jc w:val="both"/>
              <w:rPr>
                <w:rFonts w:cs="Times New Roman"/>
                <w:color w:val="auto"/>
              </w:rPr>
            </w:pPr>
            <w:r w:rsidRPr="00DE12A3">
              <w:rPr>
                <w:rFonts w:cs="Times New Roman"/>
                <w:color w:val="auto"/>
              </w:rPr>
              <w:t>Sembol</w:t>
            </w:r>
          </w:p>
        </w:tc>
        <w:tc>
          <w:tcPr>
            <w:tcW w:w="6872" w:type="dxa"/>
          </w:tcPr>
          <w:p w14:paraId="531F3ADF" w14:textId="77777777" w:rsidR="00841D10" w:rsidRPr="00DE12A3" w:rsidRDefault="00841D10" w:rsidP="0066751C">
            <w:pPr>
              <w:spacing w:before="120" w:after="120"/>
              <w:jc w:val="both"/>
              <w:rPr>
                <w:rFonts w:cs="Times New Roman"/>
                <w:color w:val="auto"/>
              </w:rPr>
            </w:pPr>
            <w:r w:rsidRPr="00DE12A3">
              <w:rPr>
                <w:rFonts w:cs="Times New Roman"/>
                <w:color w:val="auto"/>
              </w:rPr>
              <w:t>Açıklama</w:t>
            </w:r>
          </w:p>
        </w:tc>
      </w:tr>
      <w:tr w:rsidR="00DE12A3" w:rsidRPr="00DE12A3" w14:paraId="041CAB94" w14:textId="77777777" w:rsidTr="00067050">
        <w:tc>
          <w:tcPr>
            <w:tcW w:w="1172" w:type="dxa"/>
          </w:tcPr>
          <w:p w14:paraId="704B1C4A" w14:textId="77777777" w:rsidR="00841D10" w:rsidRPr="00DE12A3" w:rsidRDefault="00841D10" w:rsidP="0066751C">
            <w:pPr>
              <w:pStyle w:val="NormalLeft"/>
              <w:jc w:val="both"/>
            </w:pPr>
            <w:r w:rsidRPr="00DE12A3">
              <w:rPr>
                <w:i/>
                <w:iCs/>
              </w:rPr>
              <w:t>x</w:t>
            </w:r>
            <w:r w:rsidRPr="00DE12A3">
              <w:rPr>
                <w:vertAlign w:val="subscript"/>
              </w:rPr>
              <w:t>dil/exh</w:t>
            </w:r>
          </w:p>
        </w:tc>
        <w:tc>
          <w:tcPr>
            <w:tcW w:w="6872" w:type="dxa"/>
          </w:tcPr>
          <w:p w14:paraId="0C892352" w14:textId="77777777" w:rsidR="00841D10" w:rsidRPr="00DE12A3" w:rsidRDefault="00841D10" w:rsidP="0066751C">
            <w:pPr>
              <w:spacing w:before="120" w:after="120"/>
              <w:jc w:val="both"/>
              <w:rPr>
                <w:rFonts w:cs="Times New Roman"/>
                <w:color w:val="auto"/>
              </w:rPr>
            </w:pPr>
            <w:r w:rsidRPr="00DE12A3">
              <w:rPr>
                <w:rFonts w:cs="Times New Roman"/>
                <w:color w:val="auto"/>
              </w:rPr>
              <w:t>Mol egzoz gazı başına seyreltme gazı veya fazla hava miktarı</w:t>
            </w:r>
          </w:p>
        </w:tc>
      </w:tr>
      <w:tr w:rsidR="00DE12A3" w:rsidRPr="00DE12A3" w14:paraId="1D098969" w14:textId="77777777" w:rsidTr="00067050">
        <w:tc>
          <w:tcPr>
            <w:tcW w:w="1172" w:type="dxa"/>
          </w:tcPr>
          <w:p w14:paraId="5AEEF560" w14:textId="77777777" w:rsidR="00841D10" w:rsidRPr="00DE12A3" w:rsidRDefault="00841D10" w:rsidP="0066751C">
            <w:pPr>
              <w:pStyle w:val="NormalLeft"/>
              <w:jc w:val="both"/>
            </w:pPr>
            <w:r w:rsidRPr="00DE12A3">
              <w:rPr>
                <w:i/>
                <w:iCs/>
              </w:rPr>
              <w:t>x</w:t>
            </w:r>
            <w:r w:rsidRPr="00DE12A3">
              <w:rPr>
                <w:vertAlign w:val="subscript"/>
              </w:rPr>
              <w:t>H2Oexh</w:t>
            </w:r>
          </w:p>
        </w:tc>
        <w:tc>
          <w:tcPr>
            <w:tcW w:w="6872" w:type="dxa"/>
          </w:tcPr>
          <w:p w14:paraId="1C484EF3" w14:textId="77777777" w:rsidR="00841D10" w:rsidRPr="00DE12A3" w:rsidRDefault="00841D10" w:rsidP="0066751C">
            <w:pPr>
              <w:spacing w:before="120" w:after="120"/>
              <w:jc w:val="both"/>
              <w:rPr>
                <w:rFonts w:cs="Times New Roman"/>
                <w:color w:val="auto"/>
              </w:rPr>
            </w:pPr>
            <w:r w:rsidRPr="00DE12A3">
              <w:rPr>
                <w:rFonts w:cs="Times New Roman"/>
                <w:color w:val="auto"/>
              </w:rPr>
              <w:t>Mol egzoz gazı başına egzoz içindeki H20 miktarı</w:t>
            </w:r>
          </w:p>
        </w:tc>
      </w:tr>
      <w:tr w:rsidR="00DE12A3" w:rsidRPr="00DE12A3" w14:paraId="7704D0F7" w14:textId="77777777" w:rsidTr="00067050">
        <w:tc>
          <w:tcPr>
            <w:tcW w:w="1172" w:type="dxa"/>
          </w:tcPr>
          <w:p w14:paraId="11E93F6A" w14:textId="77777777" w:rsidR="00841D10" w:rsidRPr="00DE12A3" w:rsidRDefault="00841D10" w:rsidP="0066751C">
            <w:pPr>
              <w:pStyle w:val="NormalLeft"/>
              <w:jc w:val="both"/>
            </w:pPr>
            <w:r w:rsidRPr="00DE12A3">
              <w:rPr>
                <w:i/>
                <w:iCs/>
              </w:rPr>
              <w:t>x</w:t>
            </w:r>
            <w:r w:rsidRPr="00DE12A3">
              <w:rPr>
                <w:vertAlign w:val="subscript"/>
              </w:rPr>
              <w:t>Ccombdry</w:t>
            </w:r>
          </w:p>
        </w:tc>
        <w:tc>
          <w:tcPr>
            <w:tcW w:w="6872" w:type="dxa"/>
          </w:tcPr>
          <w:p w14:paraId="3C3276D0" w14:textId="77777777" w:rsidR="00841D10" w:rsidRPr="00DE12A3" w:rsidRDefault="00841D10" w:rsidP="0066751C">
            <w:pPr>
              <w:spacing w:before="120" w:after="120"/>
              <w:jc w:val="both"/>
              <w:rPr>
                <w:rFonts w:cs="Times New Roman"/>
                <w:color w:val="auto"/>
              </w:rPr>
            </w:pPr>
            <w:r w:rsidRPr="00DE12A3">
              <w:rPr>
                <w:rFonts w:cs="Times New Roman"/>
                <w:color w:val="auto"/>
              </w:rPr>
              <w:t>Mol kuru egzoz gazı başına egzoz içindeki yakıttan gelen karbon miktarı</w:t>
            </w:r>
          </w:p>
        </w:tc>
      </w:tr>
      <w:tr w:rsidR="00DE12A3" w:rsidRPr="00DE12A3" w14:paraId="117E12BC" w14:textId="77777777" w:rsidTr="00067050">
        <w:tc>
          <w:tcPr>
            <w:tcW w:w="1172" w:type="dxa"/>
          </w:tcPr>
          <w:p w14:paraId="0ED197E8" w14:textId="77777777" w:rsidR="00841D10" w:rsidRPr="00DE12A3" w:rsidRDefault="00841D10" w:rsidP="0066751C">
            <w:pPr>
              <w:pStyle w:val="NormalLeft"/>
              <w:jc w:val="both"/>
            </w:pPr>
            <w:r w:rsidRPr="00DE12A3">
              <w:rPr>
                <w:i/>
                <w:iCs/>
              </w:rPr>
              <w:t>x</w:t>
            </w:r>
            <w:r w:rsidRPr="00DE12A3">
              <w:rPr>
                <w:vertAlign w:val="subscript"/>
              </w:rPr>
              <w:t>H2Oexhdry</w:t>
            </w:r>
          </w:p>
        </w:tc>
        <w:tc>
          <w:tcPr>
            <w:tcW w:w="6872" w:type="dxa"/>
          </w:tcPr>
          <w:p w14:paraId="19BD62A5" w14:textId="77777777" w:rsidR="00841D10" w:rsidRPr="00DE12A3" w:rsidRDefault="00841D10" w:rsidP="0066751C">
            <w:pPr>
              <w:spacing w:before="120" w:after="120"/>
              <w:jc w:val="both"/>
              <w:rPr>
                <w:rFonts w:cs="Times New Roman"/>
                <w:color w:val="auto"/>
              </w:rPr>
            </w:pPr>
            <w:r w:rsidRPr="00DE12A3">
              <w:rPr>
                <w:rFonts w:cs="Times New Roman"/>
                <w:color w:val="auto"/>
              </w:rPr>
              <w:t>Mol kuru egzoz gazı başına egzoz içindeki su miktarı</w:t>
            </w:r>
          </w:p>
        </w:tc>
      </w:tr>
      <w:tr w:rsidR="00DE12A3" w:rsidRPr="00DE12A3" w14:paraId="36A3474F" w14:textId="77777777" w:rsidTr="00067050">
        <w:tc>
          <w:tcPr>
            <w:tcW w:w="1172" w:type="dxa"/>
          </w:tcPr>
          <w:p w14:paraId="2CA17204" w14:textId="77777777" w:rsidR="00841D10" w:rsidRPr="00DE12A3" w:rsidRDefault="00841D10" w:rsidP="0066751C">
            <w:pPr>
              <w:pStyle w:val="NormalLeft"/>
              <w:jc w:val="both"/>
            </w:pPr>
            <w:r w:rsidRPr="00DE12A3">
              <w:rPr>
                <w:i/>
                <w:iCs/>
              </w:rPr>
              <w:t>x</w:t>
            </w:r>
            <w:r w:rsidRPr="00DE12A3">
              <w:rPr>
                <w:vertAlign w:val="subscript"/>
              </w:rPr>
              <w:t>prod/intdry</w:t>
            </w:r>
          </w:p>
        </w:tc>
        <w:tc>
          <w:tcPr>
            <w:tcW w:w="6872" w:type="dxa"/>
          </w:tcPr>
          <w:p w14:paraId="489FD460" w14:textId="77777777" w:rsidR="00841D10" w:rsidRPr="00DE12A3" w:rsidRDefault="00841D10" w:rsidP="0066751C">
            <w:pPr>
              <w:spacing w:before="120" w:after="120"/>
              <w:jc w:val="both"/>
              <w:rPr>
                <w:rFonts w:cs="Times New Roman"/>
                <w:color w:val="auto"/>
              </w:rPr>
            </w:pPr>
            <w:r w:rsidRPr="00DE12A3">
              <w:rPr>
                <w:rFonts w:cs="Times New Roman"/>
                <w:color w:val="auto"/>
              </w:rPr>
              <w:t>Mol kuru emme havası başına kuru stokiyometrik ürün miktarı</w:t>
            </w:r>
          </w:p>
        </w:tc>
      </w:tr>
      <w:tr w:rsidR="00DE12A3" w:rsidRPr="00DE12A3" w14:paraId="7EFD0904" w14:textId="77777777" w:rsidTr="00067050">
        <w:tc>
          <w:tcPr>
            <w:tcW w:w="1172" w:type="dxa"/>
          </w:tcPr>
          <w:p w14:paraId="30F372C6" w14:textId="77777777" w:rsidR="00841D10" w:rsidRPr="00DE12A3" w:rsidRDefault="00841D10" w:rsidP="0066751C">
            <w:pPr>
              <w:pStyle w:val="NormalLeft"/>
              <w:jc w:val="both"/>
            </w:pPr>
            <w:r w:rsidRPr="00DE12A3">
              <w:rPr>
                <w:i/>
                <w:iCs/>
              </w:rPr>
              <w:t>x</w:t>
            </w:r>
            <w:r w:rsidRPr="00DE12A3">
              <w:rPr>
                <w:vertAlign w:val="subscript"/>
              </w:rPr>
              <w:t>dil/exhdry</w:t>
            </w:r>
          </w:p>
        </w:tc>
        <w:tc>
          <w:tcPr>
            <w:tcW w:w="6872" w:type="dxa"/>
          </w:tcPr>
          <w:p w14:paraId="0686DDF1" w14:textId="77777777" w:rsidR="00841D10" w:rsidRPr="00DE12A3" w:rsidRDefault="00841D10" w:rsidP="0066751C">
            <w:pPr>
              <w:spacing w:before="120" w:after="120"/>
              <w:jc w:val="both"/>
              <w:rPr>
                <w:rFonts w:cs="Times New Roman"/>
                <w:color w:val="auto"/>
              </w:rPr>
            </w:pPr>
            <w:r w:rsidRPr="00DE12A3">
              <w:rPr>
                <w:rFonts w:cs="Times New Roman"/>
                <w:color w:val="auto"/>
              </w:rPr>
              <w:t>Mol kuru egzoz gazı başına seyreltme gazı ve/veya fazla hava miktarı</w:t>
            </w:r>
          </w:p>
        </w:tc>
      </w:tr>
      <w:tr w:rsidR="00DE12A3" w:rsidRPr="00DE12A3" w14:paraId="6890F794" w14:textId="77777777" w:rsidTr="00067050">
        <w:tc>
          <w:tcPr>
            <w:tcW w:w="1172" w:type="dxa"/>
          </w:tcPr>
          <w:p w14:paraId="4C4FCD92" w14:textId="77777777" w:rsidR="00841D10" w:rsidRPr="00DE12A3" w:rsidRDefault="00841D10" w:rsidP="0066751C">
            <w:pPr>
              <w:pStyle w:val="NormalLeft"/>
              <w:jc w:val="both"/>
            </w:pPr>
            <w:r w:rsidRPr="00DE12A3">
              <w:rPr>
                <w:i/>
                <w:iCs/>
              </w:rPr>
              <w:t>x</w:t>
            </w:r>
            <w:r w:rsidRPr="00DE12A3">
              <w:rPr>
                <w:vertAlign w:val="subscript"/>
              </w:rPr>
              <w:t>int/exhdry</w:t>
            </w:r>
          </w:p>
        </w:tc>
        <w:tc>
          <w:tcPr>
            <w:tcW w:w="6872" w:type="dxa"/>
          </w:tcPr>
          <w:p w14:paraId="2C8E4244" w14:textId="77777777" w:rsidR="00841D10" w:rsidRPr="00DE12A3" w:rsidRDefault="00841D10" w:rsidP="0066751C">
            <w:pPr>
              <w:spacing w:before="120" w:after="120"/>
              <w:jc w:val="both"/>
              <w:rPr>
                <w:rFonts w:cs="Times New Roman"/>
                <w:color w:val="auto"/>
              </w:rPr>
            </w:pPr>
            <w:r w:rsidRPr="00DE12A3">
              <w:rPr>
                <w:rFonts w:cs="Times New Roman"/>
                <w:color w:val="auto"/>
              </w:rPr>
              <w:t>Mol kuru (ham veya seyreltilmiş) egzoz gazı başına gerçek yanma ürünleri üretmek için gereken emme havası miktarı</w:t>
            </w:r>
          </w:p>
        </w:tc>
      </w:tr>
      <w:tr w:rsidR="00DE12A3" w:rsidRPr="00DE12A3" w14:paraId="348DB73D" w14:textId="77777777" w:rsidTr="00067050">
        <w:tc>
          <w:tcPr>
            <w:tcW w:w="1172" w:type="dxa"/>
          </w:tcPr>
          <w:p w14:paraId="1C76D08B" w14:textId="77777777" w:rsidR="00841D10" w:rsidRPr="00DE12A3" w:rsidRDefault="00841D10" w:rsidP="0066751C">
            <w:pPr>
              <w:pStyle w:val="NormalLeft"/>
              <w:jc w:val="both"/>
            </w:pPr>
            <w:r w:rsidRPr="00DE12A3">
              <w:rPr>
                <w:i/>
                <w:iCs/>
              </w:rPr>
              <w:t>x</w:t>
            </w:r>
            <w:r w:rsidRPr="00DE12A3">
              <w:rPr>
                <w:vertAlign w:val="subscript"/>
              </w:rPr>
              <w:t>raw/exhdry</w:t>
            </w:r>
          </w:p>
        </w:tc>
        <w:tc>
          <w:tcPr>
            <w:tcW w:w="6872" w:type="dxa"/>
          </w:tcPr>
          <w:p w14:paraId="152B2DEE" w14:textId="77777777" w:rsidR="00841D10" w:rsidRPr="00DE12A3" w:rsidRDefault="00841D10" w:rsidP="0066751C">
            <w:pPr>
              <w:spacing w:before="120" w:after="120"/>
              <w:jc w:val="both"/>
              <w:rPr>
                <w:rFonts w:cs="Times New Roman"/>
                <w:color w:val="auto"/>
              </w:rPr>
            </w:pPr>
            <w:r w:rsidRPr="00DE12A3">
              <w:rPr>
                <w:rFonts w:cs="Times New Roman"/>
                <w:color w:val="auto"/>
              </w:rPr>
              <w:t>Mol kuru (ham veya seyreltilmiş) egzoz gazı başına fazla hava içermeyen seyreltilmemiş egzoz gazı miktarı</w:t>
            </w:r>
          </w:p>
        </w:tc>
      </w:tr>
      <w:tr w:rsidR="00DE12A3" w:rsidRPr="00DE12A3" w14:paraId="28DE8F1A" w14:textId="77777777" w:rsidTr="00067050">
        <w:tc>
          <w:tcPr>
            <w:tcW w:w="1172" w:type="dxa"/>
          </w:tcPr>
          <w:p w14:paraId="3BBB6658" w14:textId="77777777" w:rsidR="00841D10" w:rsidRPr="00DE12A3" w:rsidRDefault="00841D10" w:rsidP="0066751C">
            <w:pPr>
              <w:pStyle w:val="NormalLeft"/>
              <w:jc w:val="both"/>
            </w:pPr>
            <w:r w:rsidRPr="00DE12A3">
              <w:rPr>
                <w:i/>
                <w:iCs/>
              </w:rPr>
              <w:t>x</w:t>
            </w:r>
            <w:r w:rsidRPr="00DE12A3">
              <w:rPr>
                <w:vertAlign w:val="subscript"/>
              </w:rPr>
              <w:t>O2intdry</w:t>
            </w:r>
          </w:p>
        </w:tc>
        <w:tc>
          <w:tcPr>
            <w:tcW w:w="6872" w:type="dxa"/>
          </w:tcPr>
          <w:p w14:paraId="1F5206E0" w14:textId="487A98AB" w:rsidR="00841D10" w:rsidRPr="00DE12A3" w:rsidRDefault="00841D10" w:rsidP="0066751C">
            <w:pPr>
              <w:spacing w:before="120" w:after="120"/>
              <w:jc w:val="both"/>
              <w:rPr>
                <w:rFonts w:cs="Times New Roman"/>
                <w:color w:val="auto"/>
              </w:rPr>
            </w:pPr>
            <w:r w:rsidRPr="00DE12A3">
              <w:rPr>
                <w:rFonts w:cs="Times New Roman"/>
                <w:color w:val="auto"/>
              </w:rPr>
              <w:t xml:space="preserve">Mol kuru emme havası başına emme havası O2 miktarı; XO2intdry = </w:t>
            </w:r>
            <w:r w:rsidRPr="00DE12A3">
              <w:rPr>
                <w:rFonts w:cs="Times New Roman"/>
                <w:color w:val="auto"/>
              </w:rPr>
              <w:lastRenderedPageBreak/>
              <w:t>0,209445 mol/mol varsayılabilir</w:t>
            </w:r>
            <w:r w:rsidR="00092BD4" w:rsidRPr="00DE12A3">
              <w:rPr>
                <w:rFonts w:cs="Times New Roman"/>
                <w:color w:val="auto"/>
              </w:rPr>
              <w:t>.</w:t>
            </w:r>
          </w:p>
        </w:tc>
      </w:tr>
      <w:tr w:rsidR="00DE12A3" w:rsidRPr="00DE12A3" w14:paraId="294FE674" w14:textId="77777777" w:rsidTr="00067050">
        <w:tc>
          <w:tcPr>
            <w:tcW w:w="1172" w:type="dxa"/>
          </w:tcPr>
          <w:p w14:paraId="7D24961C" w14:textId="77777777" w:rsidR="00841D10" w:rsidRPr="00DE12A3" w:rsidRDefault="00841D10" w:rsidP="0066751C">
            <w:pPr>
              <w:pStyle w:val="NormalLeft"/>
              <w:jc w:val="both"/>
            </w:pPr>
            <w:r w:rsidRPr="00DE12A3">
              <w:rPr>
                <w:i/>
                <w:iCs/>
              </w:rPr>
              <w:lastRenderedPageBreak/>
              <w:t>x</w:t>
            </w:r>
            <w:r w:rsidRPr="00DE12A3">
              <w:rPr>
                <w:vertAlign w:val="subscript"/>
              </w:rPr>
              <w:t>CO2intdry</w:t>
            </w:r>
          </w:p>
        </w:tc>
        <w:tc>
          <w:tcPr>
            <w:tcW w:w="6872" w:type="dxa"/>
          </w:tcPr>
          <w:p w14:paraId="7F9F9CD0" w14:textId="223FC61E" w:rsidR="00841D10" w:rsidRPr="00DE12A3" w:rsidRDefault="00841D10" w:rsidP="0066751C">
            <w:pPr>
              <w:spacing w:before="120" w:after="120"/>
              <w:jc w:val="both"/>
              <w:rPr>
                <w:rFonts w:cs="Times New Roman"/>
                <w:color w:val="auto"/>
              </w:rPr>
            </w:pPr>
            <w:r w:rsidRPr="00DE12A3">
              <w:rPr>
                <w:rFonts w:cs="Times New Roman"/>
                <w:color w:val="auto"/>
              </w:rPr>
              <w:t>Mol kuru emme havası başına emme havası CO2 miktarı. XCO2intdry = 375 μmol/mol kullanılabilir, ancak emme havası içindeki gerçek konsantrasyonun ölçülmesi önerilir</w:t>
            </w:r>
            <w:r w:rsidR="00092BD4" w:rsidRPr="00DE12A3">
              <w:rPr>
                <w:rFonts w:cs="Times New Roman"/>
                <w:color w:val="auto"/>
              </w:rPr>
              <w:t>.</w:t>
            </w:r>
          </w:p>
        </w:tc>
      </w:tr>
      <w:tr w:rsidR="00DE12A3" w:rsidRPr="00DE12A3" w14:paraId="008D6437" w14:textId="77777777" w:rsidTr="00067050">
        <w:tc>
          <w:tcPr>
            <w:tcW w:w="1172" w:type="dxa"/>
          </w:tcPr>
          <w:p w14:paraId="7948B299" w14:textId="77777777" w:rsidR="00841D10" w:rsidRPr="00DE12A3" w:rsidRDefault="00841D10" w:rsidP="0066751C">
            <w:pPr>
              <w:pStyle w:val="NormalLeft"/>
              <w:jc w:val="both"/>
            </w:pPr>
            <w:r w:rsidRPr="00DE12A3">
              <w:rPr>
                <w:i/>
                <w:iCs/>
              </w:rPr>
              <w:t>x</w:t>
            </w:r>
            <w:r w:rsidRPr="00DE12A3">
              <w:rPr>
                <w:vertAlign w:val="subscript"/>
              </w:rPr>
              <w:t>H2Ointdry</w:t>
            </w:r>
          </w:p>
        </w:tc>
        <w:tc>
          <w:tcPr>
            <w:tcW w:w="6872" w:type="dxa"/>
          </w:tcPr>
          <w:p w14:paraId="74F89C34" w14:textId="77777777" w:rsidR="00841D10" w:rsidRPr="00DE12A3" w:rsidRDefault="00841D10" w:rsidP="0066751C">
            <w:pPr>
              <w:spacing w:before="120" w:after="120"/>
              <w:jc w:val="both"/>
              <w:rPr>
                <w:rFonts w:cs="Times New Roman"/>
                <w:color w:val="auto"/>
              </w:rPr>
            </w:pPr>
            <w:r w:rsidRPr="00DE12A3">
              <w:rPr>
                <w:rFonts w:cs="Times New Roman"/>
                <w:color w:val="auto"/>
              </w:rPr>
              <w:t>Mol kuru emme havası başına emme havası H2O miktarı</w:t>
            </w:r>
          </w:p>
        </w:tc>
      </w:tr>
      <w:tr w:rsidR="00DE12A3" w:rsidRPr="00DE12A3" w14:paraId="55EAD153" w14:textId="77777777" w:rsidTr="00067050">
        <w:tc>
          <w:tcPr>
            <w:tcW w:w="1172" w:type="dxa"/>
          </w:tcPr>
          <w:p w14:paraId="4B4A460E" w14:textId="77777777" w:rsidR="00841D10" w:rsidRPr="00DE12A3" w:rsidRDefault="00841D10" w:rsidP="0066751C">
            <w:pPr>
              <w:pStyle w:val="NormalLeft"/>
              <w:jc w:val="both"/>
            </w:pPr>
            <w:r w:rsidRPr="00DE12A3">
              <w:rPr>
                <w:i/>
                <w:iCs/>
              </w:rPr>
              <w:t>x</w:t>
            </w:r>
            <w:r w:rsidRPr="00DE12A3">
              <w:rPr>
                <w:vertAlign w:val="subscript"/>
              </w:rPr>
              <w:t>CO2int</w:t>
            </w:r>
          </w:p>
        </w:tc>
        <w:tc>
          <w:tcPr>
            <w:tcW w:w="6872" w:type="dxa"/>
          </w:tcPr>
          <w:p w14:paraId="7B6E6A24" w14:textId="77777777" w:rsidR="00841D10" w:rsidRPr="00DE12A3" w:rsidRDefault="00841D10" w:rsidP="0066751C">
            <w:pPr>
              <w:spacing w:before="120" w:after="120"/>
              <w:jc w:val="both"/>
              <w:rPr>
                <w:rFonts w:cs="Times New Roman"/>
                <w:color w:val="auto"/>
              </w:rPr>
            </w:pPr>
            <w:r w:rsidRPr="00DE12A3">
              <w:rPr>
                <w:rFonts w:cs="Times New Roman"/>
                <w:color w:val="auto"/>
              </w:rPr>
              <w:t>Mol emme havası başına emme havası CO2 miktarı</w:t>
            </w:r>
          </w:p>
        </w:tc>
      </w:tr>
      <w:tr w:rsidR="00DE12A3" w:rsidRPr="00DE12A3" w14:paraId="1F010861" w14:textId="77777777" w:rsidTr="00067050">
        <w:tc>
          <w:tcPr>
            <w:tcW w:w="1172" w:type="dxa"/>
          </w:tcPr>
          <w:p w14:paraId="2C6D4CDF" w14:textId="77777777" w:rsidR="00841D10" w:rsidRPr="00DE12A3" w:rsidRDefault="00841D10" w:rsidP="0066751C">
            <w:pPr>
              <w:pStyle w:val="NormalLeft"/>
              <w:jc w:val="both"/>
            </w:pPr>
            <w:r w:rsidRPr="00DE12A3">
              <w:rPr>
                <w:i/>
                <w:iCs/>
              </w:rPr>
              <w:t>x</w:t>
            </w:r>
            <w:r w:rsidRPr="00DE12A3">
              <w:rPr>
                <w:vertAlign w:val="subscript"/>
              </w:rPr>
              <w:t>CO2dil</w:t>
            </w:r>
          </w:p>
        </w:tc>
        <w:tc>
          <w:tcPr>
            <w:tcW w:w="6872" w:type="dxa"/>
          </w:tcPr>
          <w:p w14:paraId="782ADA2E" w14:textId="77777777" w:rsidR="00841D10" w:rsidRPr="00DE12A3" w:rsidRDefault="00841D10" w:rsidP="0066751C">
            <w:pPr>
              <w:spacing w:before="120" w:after="120"/>
              <w:jc w:val="both"/>
              <w:rPr>
                <w:rFonts w:cs="Times New Roman"/>
                <w:color w:val="auto"/>
              </w:rPr>
            </w:pPr>
            <w:r w:rsidRPr="00DE12A3">
              <w:rPr>
                <w:rFonts w:cs="Times New Roman"/>
                <w:color w:val="auto"/>
              </w:rPr>
              <w:t>Mol seyreltme gazı başına seyreltme gazı CO2 miktarı</w:t>
            </w:r>
          </w:p>
        </w:tc>
      </w:tr>
      <w:tr w:rsidR="00DE12A3" w:rsidRPr="00DE12A3" w14:paraId="146920BA" w14:textId="77777777" w:rsidTr="00067050">
        <w:tc>
          <w:tcPr>
            <w:tcW w:w="1172" w:type="dxa"/>
          </w:tcPr>
          <w:p w14:paraId="05AB39D9" w14:textId="77777777" w:rsidR="00841D10" w:rsidRPr="00DE12A3" w:rsidRDefault="00841D10" w:rsidP="0066751C">
            <w:pPr>
              <w:pStyle w:val="NormalLeft"/>
              <w:jc w:val="both"/>
            </w:pPr>
            <w:r w:rsidRPr="00DE12A3">
              <w:rPr>
                <w:i/>
                <w:iCs/>
              </w:rPr>
              <w:t>x</w:t>
            </w:r>
            <w:r w:rsidRPr="00DE12A3">
              <w:rPr>
                <w:vertAlign w:val="subscript"/>
              </w:rPr>
              <w:t>CO2dildry</w:t>
            </w:r>
          </w:p>
        </w:tc>
        <w:tc>
          <w:tcPr>
            <w:tcW w:w="6872" w:type="dxa"/>
          </w:tcPr>
          <w:p w14:paraId="14D6EDAF" w14:textId="163F32E5" w:rsidR="00841D10" w:rsidRPr="00DE12A3" w:rsidRDefault="00841D10" w:rsidP="0066751C">
            <w:pPr>
              <w:spacing w:before="120" w:after="120"/>
              <w:jc w:val="both"/>
              <w:rPr>
                <w:rFonts w:cs="Times New Roman"/>
                <w:color w:val="auto"/>
              </w:rPr>
            </w:pPr>
            <w:r w:rsidRPr="00DE12A3">
              <w:rPr>
                <w:rFonts w:cs="Times New Roman"/>
                <w:color w:val="auto"/>
              </w:rPr>
              <w:t>Mol kuru seyreltme gazı başına seyreltme gazı CO2 miktarı Seyreltici olarak hava kullanılırsa, xCO2dildry = 375 μmol/mol kullanılabilir, ancak emme havası içindeki gerçek konsantrasyonun ölçülmesi önerilir</w:t>
            </w:r>
            <w:r w:rsidR="00092BD4" w:rsidRPr="00DE12A3">
              <w:rPr>
                <w:rFonts w:cs="Times New Roman"/>
                <w:color w:val="auto"/>
              </w:rPr>
              <w:t>.</w:t>
            </w:r>
          </w:p>
        </w:tc>
      </w:tr>
      <w:tr w:rsidR="00DE12A3" w:rsidRPr="00DE12A3" w14:paraId="77CB0A09" w14:textId="77777777" w:rsidTr="00067050">
        <w:tc>
          <w:tcPr>
            <w:tcW w:w="1172" w:type="dxa"/>
          </w:tcPr>
          <w:p w14:paraId="2019445B" w14:textId="77777777" w:rsidR="00841D10" w:rsidRPr="00DE12A3" w:rsidRDefault="00841D10" w:rsidP="0066751C">
            <w:pPr>
              <w:pStyle w:val="NormalLeft"/>
              <w:jc w:val="both"/>
            </w:pPr>
            <w:r w:rsidRPr="00DE12A3">
              <w:rPr>
                <w:i/>
                <w:iCs/>
              </w:rPr>
              <w:t>x</w:t>
            </w:r>
            <w:r w:rsidRPr="00DE12A3">
              <w:rPr>
                <w:vertAlign w:val="subscript"/>
              </w:rPr>
              <w:t>H2Odildry</w:t>
            </w:r>
          </w:p>
        </w:tc>
        <w:tc>
          <w:tcPr>
            <w:tcW w:w="6872" w:type="dxa"/>
          </w:tcPr>
          <w:p w14:paraId="04602729" w14:textId="77777777" w:rsidR="00841D10" w:rsidRPr="00DE12A3" w:rsidRDefault="00841D10" w:rsidP="0066751C">
            <w:pPr>
              <w:spacing w:before="120" w:after="120"/>
              <w:jc w:val="both"/>
              <w:rPr>
                <w:rFonts w:cs="Times New Roman"/>
                <w:color w:val="auto"/>
              </w:rPr>
            </w:pPr>
            <w:r w:rsidRPr="00DE12A3">
              <w:rPr>
                <w:rFonts w:cs="Times New Roman"/>
                <w:color w:val="auto"/>
              </w:rPr>
              <w:t>Mol kuru seyreltme gazı başına seyreltme gazı H2O miktarı</w:t>
            </w:r>
          </w:p>
        </w:tc>
      </w:tr>
      <w:tr w:rsidR="00DE12A3" w:rsidRPr="00DE12A3" w14:paraId="289E4660" w14:textId="77777777" w:rsidTr="00067050">
        <w:tc>
          <w:tcPr>
            <w:tcW w:w="1172" w:type="dxa"/>
          </w:tcPr>
          <w:p w14:paraId="434CF9AC" w14:textId="77777777" w:rsidR="00841D10" w:rsidRPr="00DE12A3" w:rsidRDefault="00841D10" w:rsidP="0066751C">
            <w:pPr>
              <w:pStyle w:val="NormalLeft"/>
              <w:jc w:val="both"/>
            </w:pPr>
            <w:r w:rsidRPr="00DE12A3">
              <w:rPr>
                <w:i/>
                <w:iCs/>
              </w:rPr>
              <w:t>x</w:t>
            </w:r>
            <w:r w:rsidRPr="00DE12A3">
              <w:rPr>
                <w:vertAlign w:val="subscript"/>
              </w:rPr>
              <w:t>H2Odil</w:t>
            </w:r>
          </w:p>
        </w:tc>
        <w:tc>
          <w:tcPr>
            <w:tcW w:w="6872" w:type="dxa"/>
          </w:tcPr>
          <w:p w14:paraId="7B1325CE" w14:textId="77777777" w:rsidR="00841D10" w:rsidRPr="00DE12A3" w:rsidRDefault="00841D10" w:rsidP="0066751C">
            <w:pPr>
              <w:spacing w:before="120" w:after="120"/>
              <w:jc w:val="both"/>
              <w:rPr>
                <w:rFonts w:cs="Times New Roman"/>
                <w:color w:val="auto"/>
              </w:rPr>
            </w:pPr>
            <w:r w:rsidRPr="00DE12A3">
              <w:rPr>
                <w:rFonts w:cs="Times New Roman"/>
                <w:color w:val="auto"/>
              </w:rPr>
              <w:t>Mol seyreltme gazı başına seyreltme gazı H2O miktarı</w:t>
            </w:r>
          </w:p>
        </w:tc>
      </w:tr>
      <w:tr w:rsidR="00DE12A3" w:rsidRPr="00DE12A3" w14:paraId="7323056B" w14:textId="77777777" w:rsidTr="00067050">
        <w:tc>
          <w:tcPr>
            <w:tcW w:w="1172" w:type="dxa"/>
          </w:tcPr>
          <w:p w14:paraId="5AFE9223" w14:textId="77777777" w:rsidR="00841D10" w:rsidRPr="00DE12A3" w:rsidRDefault="00841D10" w:rsidP="0066751C">
            <w:pPr>
              <w:pStyle w:val="NormalLeft"/>
              <w:jc w:val="both"/>
            </w:pPr>
            <w:r w:rsidRPr="00DE12A3">
              <w:rPr>
                <w:i/>
                <w:iCs/>
              </w:rPr>
              <w:t>x</w:t>
            </w:r>
            <w:r w:rsidRPr="00DE12A3">
              <w:rPr>
                <w:vertAlign w:val="subscript"/>
              </w:rPr>
              <w:t>[emission]meas</w:t>
            </w:r>
          </w:p>
        </w:tc>
        <w:tc>
          <w:tcPr>
            <w:tcW w:w="6872" w:type="dxa"/>
          </w:tcPr>
          <w:p w14:paraId="73392A92" w14:textId="77777777" w:rsidR="00841D10" w:rsidRPr="00DE12A3" w:rsidRDefault="00841D10" w:rsidP="0066751C">
            <w:pPr>
              <w:spacing w:before="120" w:after="120"/>
              <w:jc w:val="both"/>
              <w:rPr>
                <w:rFonts w:cs="Times New Roman"/>
                <w:color w:val="auto"/>
              </w:rPr>
            </w:pPr>
            <w:r w:rsidRPr="00DE12A3">
              <w:rPr>
                <w:rFonts w:cs="Times New Roman"/>
                <w:color w:val="auto"/>
              </w:rPr>
              <w:t>İlgili gaz analiz cihazında numune içinde ölçülen emisyon miktarı</w:t>
            </w:r>
          </w:p>
        </w:tc>
      </w:tr>
      <w:tr w:rsidR="00DE12A3" w:rsidRPr="00DE12A3" w14:paraId="4B23F4DF" w14:textId="77777777" w:rsidTr="00067050">
        <w:tc>
          <w:tcPr>
            <w:tcW w:w="1172" w:type="dxa"/>
          </w:tcPr>
          <w:p w14:paraId="2193C6BE" w14:textId="77777777" w:rsidR="00841D10" w:rsidRPr="00DE12A3" w:rsidRDefault="00841D10" w:rsidP="0066751C">
            <w:pPr>
              <w:pStyle w:val="NormalLeft"/>
              <w:jc w:val="both"/>
            </w:pPr>
            <w:r w:rsidRPr="00DE12A3">
              <w:rPr>
                <w:i/>
                <w:iCs/>
              </w:rPr>
              <w:t>x</w:t>
            </w:r>
            <w:r w:rsidRPr="00DE12A3">
              <w:rPr>
                <w:vertAlign w:val="subscript"/>
              </w:rPr>
              <w:t>[emission]dry</w:t>
            </w:r>
          </w:p>
        </w:tc>
        <w:tc>
          <w:tcPr>
            <w:tcW w:w="6872" w:type="dxa"/>
          </w:tcPr>
          <w:p w14:paraId="3D3C3E04" w14:textId="77777777" w:rsidR="00841D10" w:rsidRPr="00DE12A3" w:rsidRDefault="00841D10" w:rsidP="0066751C">
            <w:pPr>
              <w:spacing w:before="120" w:after="120"/>
              <w:jc w:val="both"/>
              <w:rPr>
                <w:rFonts w:cs="Times New Roman"/>
                <w:color w:val="auto"/>
              </w:rPr>
            </w:pPr>
            <w:r w:rsidRPr="00DE12A3">
              <w:rPr>
                <w:rFonts w:cs="Times New Roman"/>
                <w:color w:val="auto"/>
              </w:rPr>
              <w:t>Mol kuru numune başına emisyon miktarı</w:t>
            </w:r>
          </w:p>
        </w:tc>
      </w:tr>
      <w:tr w:rsidR="00DE12A3" w:rsidRPr="00DE12A3" w14:paraId="22DE361B" w14:textId="77777777" w:rsidTr="00067050">
        <w:tc>
          <w:tcPr>
            <w:tcW w:w="1172" w:type="dxa"/>
          </w:tcPr>
          <w:p w14:paraId="3D75EB8C" w14:textId="77777777" w:rsidR="00841D10" w:rsidRPr="00DE12A3" w:rsidRDefault="00841D10" w:rsidP="0066751C">
            <w:pPr>
              <w:pStyle w:val="NormalLeft"/>
              <w:jc w:val="both"/>
            </w:pPr>
            <w:r w:rsidRPr="00DE12A3">
              <w:rPr>
                <w:i/>
                <w:iCs/>
              </w:rPr>
              <w:t>x</w:t>
            </w:r>
            <w:r w:rsidRPr="00DE12A3">
              <w:rPr>
                <w:vertAlign w:val="subscript"/>
              </w:rPr>
              <w:t>H2O[emission]meas</w:t>
            </w:r>
          </w:p>
        </w:tc>
        <w:tc>
          <w:tcPr>
            <w:tcW w:w="6872" w:type="dxa"/>
          </w:tcPr>
          <w:p w14:paraId="6FDA4035" w14:textId="77777777" w:rsidR="00841D10" w:rsidRPr="00DE12A3" w:rsidRDefault="00841D10" w:rsidP="0066751C">
            <w:pPr>
              <w:spacing w:before="120" w:after="120"/>
              <w:jc w:val="both"/>
              <w:rPr>
                <w:rFonts w:cs="Times New Roman"/>
                <w:color w:val="auto"/>
              </w:rPr>
            </w:pPr>
            <w:r w:rsidRPr="00DE12A3">
              <w:rPr>
                <w:rFonts w:cs="Times New Roman"/>
                <w:color w:val="auto"/>
              </w:rPr>
              <w:t>Emisyon belirleme konumunda numune içindeki su miktarı. Bu değerler 9.3.2.3.1 bendi uyarınca ölçülmeli veya tahmin edilmelidir.</w:t>
            </w:r>
          </w:p>
        </w:tc>
      </w:tr>
      <w:tr w:rsidR="00DE12A3" w:rsidRPr="00DE12A3" w14:paraId="1558715A" w14:textId="77777777" w:rsidTr="00067050">
        <w:tc>
          <w:tcPr>
            <w:tcW w:w="1172" w:type="dxa"/>
          </w:tcPr>
          <w:p w14:paraId="41CE5F3C" w14:textId="77777777" w:rsidR="00841D10" w:rsidRPr="00DE12A3" w:rsidRDefault="00841D10" w:rsidP="0066751C">
            <w:pPr>
              <w:pStyle w:val="NormalLeft"/>
              <w:jc w:val="both"/>
            </w:pPr>
            <w:r w:rsidRPr="00DE12A3">
              <w:rPr>
                <w:i/>
                <w:iCs/>
              </w:rPr>
              <w:t>x</w:t>
            </w:r>
            <w:r w:rsidRPr="00DE12A3">
              <w:rPr>
                <w:vertAlign w:val="subscript"/>
              </w:rPr>
              <w:t>H2Oint</w:t>
            </w:r>
          </w:p>
        </w:tc>
        <w:tc>
          <w:tcPr>
            <w:tcW w:w="6872" w:type="dxa"/>
          </w:tcPr>
          <w:p w14:paraId="252847D5" w14:textId="77777777" w:rsidR="00841D10" w:rsidRPr="00DE12A3" w:rsidRDefault="00841D10" w:rsidP="0066751C">
            <w:pPr>
              <w:spacing w:before="120" w:after="120"/>
              <w:jc w:val="both"/>
              <w:rPr>
                <w:rFonts w:cs="Times New Roman"/>
                <w:color w:val="auto"/>
              </w:rPr>
            </w:pPr>
            <w:r w:rsidRPr="00DE12A3">
              <w:rPr>
                <w:rFonts w:cs="Times New Roman"/>
                <w:color w:val="auto"/>
              </w:rPr>
              <w:t>Emme havasının bir nem ölçümüne bağlı olarak, emme havası içindeki su miktarı</w:t>
            </w:r>
          </w:p>
        </w:tc>
      </w:tr>
      <w:tr w:rsidR="00DE12A3" w:rsidRPr="00DE12A3" w14:paraId="20EAB93B" w14:textId="77777777" w:rsidTr="00067050">
        <w:tc>
          <w:tcPr>
            <w:tcW w:w="1172" w:type="dxa"/>
          </w:tcPr>
          <w:p w14:paraId="7D013B4B" w14:textId="77777777" w:rsidR="00841D10" w:rsidRPr="00DE12A3" w:rsidRDefault="00841D10" w:rsidP="0066751C">
            <w:pPr>
              <w:pStyle w:val="NormalLeft"/>
              <w:jc w:val="both"/>
            </w:pPr>
            <w:r w:rsidRPr="00DE12A3">
              <w:rPr>
                <w:i/>
                <w:iCs/>
              </w:rPr>
              <w:t>K</w:t>
            </w:r>
            <w:r w:rsidRPr="00DE12A3">
              <w:rPr>
                <w:vertAlign w:val="subscript"/>
              </w:rPr>
              <w:t>H2Ogas</w:t>
            </w:r>
          </w:p>
        </w:tc>
        <w:tc>
          <w:tcPr>
            <w:tcW w:w="6872" w:type="dxa"/>
          </w:tcPr>
          <w:p w14:paraId="334CB5E4" w14:textId="77777777" w:rsidR="00841D10" w:rsidRPr="00DE12A3" w:rsidRDefault="00841D10" w:rsidP="0066751C">
            <w:pPr>
              <w:spacing w:before="120" w:after="120"/>
              <w:jc w:val="both"/>
              <w:rPr>
                <w:rFonts w:cs="Times New Roman"/>
                <w:color w:val="auto"/>
              </w:rPr>
            </w:pPr>
            <w:r w:rsidRPr="00DE12A3">
              <w:rPr>
                <w:rFonts w:cs="Times New Roman"/>
                <w:color w:val="auto"/>
              </w:rPr>
              <w:t>Su-gaz reaksiyonu denge katsayısı. İyi mühendislik kararı kullanılarak, 3,5 veya farklı bir değer hesaplanabilir.</w:t>
            </w:r>
          </w:p>
        </w:tc>
      </w:tr>
      <w:tr w:rsidR="00DE12A3" w:rsidRPr="00DE12A3" w14:paraId="31A5AE48" w14:textId="77777777" w:rsidTr="00067050">
        <w:tc>
          <w:tcPr>
            <w:tcW w:w="1172" w:type="dxa"/>
          </w:tcPr>
          <w:p w14:paraId="67D0D842" w14:textId="77777777" w:rsidR="00841D10" w:rsidRPr="00DE12A3" w:rsidRDefault="00841D10" w:rsidP="0066751C">
            <w:pPr>
              <w:pStyle w:val="NormalLeft"/>
              <w:jc w:val="both"/>
            </w:pPr>
            <w:r w:rsidRPr="00DE12A3">
              <w:rPr>
                <w:i/>
                <w:iCs/>
              </w:rPr>
              <w:t>α</w:t>
            </w:r>
          </w:p>
        </w:tc>
        <w:tc>
          <w:tcPr>
            <w:tcW w:w="6872" w:type="dxa"/>
          </w:tcPr>
          <w:p w14:paraId="52055549" w14:textId="77777777" w:rsidR="00841D10" w:rsidRPr="00DE12A3" w:rsidRDefault="00841D10" w:rsidP="0066751C">
            <w:pPr>
              <w:spacing w:before="120" w:after="120"/>
              <w:jc w:val="both"/>
              <w:rPr>
                <w:rFonts w:cs="Times New Roman"/>
                <w:color w:val="auto"/>
              </w:rPr>
            </w:pPr>
            <w:r w:rsidRPr="00DE12A3">
              <w:rPr>
                <w:rFonts w:cs="Times New Roman"/>
                <w:color w:val="auto"/>
              </w:rPr>
              <w:t>Yakılan yakıt karışımının (CHαOβ), molar tüketim ile ağırlıklandırılmış, atomik hidrojen-karbon oranı</w:t>
            </w:r>
          </w:p>
        </w:tc>
      </w:tr>
      <w:tr w:rsidR="00841D10" w:rsidRPr="00DE12A3" w14:paraId="49BDAC4E" w14:textId="77777777" w:rsidTr="00067050">
        <w:tc>
          <w:tcPr>
            <w:tcW w:w="1172" w:type="dxa"/>
          </w:tcPr>
          <w:p w14:paraId="3C1BD50D" w14:textId="77777777" w:rsidR="00841D10" w:rsidRPr="00DE12A3" w:rsidRDefault="00841D10" w:rsidP="0066751C">
            <w:pPr>
              <w:pStyle w:val="NormalLeft"/>
              <w:jc w:val="both"/>
            </w:pPr>
            <w:r w:rsidRPr="00DE12A3">
              <w:rPr>
                <w:i/>
                <w:iCs/>
              </w:rPr>
              <w:t>β</w:t>
            </w:r>
          </w:p>
        </w:tc>
        <w:tc>
          <w:tcPr>
            <w:tcW w:w="6872" w:type="dxa"/>
          </w:tcPr>
          <w:p w14:paraId="12C925D9" w14:textId="77777777" w:rsidR="00841D10" w:rsidRPr="00DE12A3" w:rsidRDefault="00841D10" w:rsidP="0066751C">
            <w:pPr>
              <w:spacing w:before="120" w:after="120"/>
              <w:jc w:val="both"/>
              <w:rPr>
                <w:rFonts w:cs="Times New Roman"/>
                <w:color w:val="auto"/>
              </w:rPr>
            </w:pPr>
            <w:r w:rsidRPr="00DE12A3">
              <w:rPr>
                <w:rFonts w:cs="Times New Roman"/>
                <w:color w:val="auto"/>
              </w:rPr>
              <w:t>Yakılan yakıt karışımının (CHαOβ), molar tüketim ile ağırlıklandırılmış, atomik oksijen-karbon oranı</w:t>
            </w:r>
          </w:p>
        </w:tc>
      </w:tr>
    </w:tbl>
    <w:p w14:paraId="0C880834" w14:textId="77777777" w:rsidR="00841D10" w:rsidRPr="00DE12A3" w:rsidRDefault="00841D10" w:rsidP="00C917D6">
      <w:pPr>
        <w:pStyle w:val="Gvdemetni1"/>
        <w:shd w:val="clear" w:color="auto" w:fill="auto"/>
        <w:tabs>
          <w:tab w:val="left" w:pos="278"/>
        </w:tabs>
        <w:spacing w:before="120" w:after="120" w:line="240" w:lineRule="auto"/>
        <w:ind w:left="1701" w:firstLine="0"/>
        <w:jc w:val="both"/>
        <w:rPr>
          <w:color w:val="auto"/>
          <w:sz w:val="24"/>
          <w:szCs w:val="24"/>
        </w:rPr>
      </w:pPr>
    </w:p>
    <w:p w14:paraId="59AF5A87" w14:textId="353CC64A" w:rsidR="002D7B36" w:rsidRPr="00DE12A3" w:rsidRDefault="00242DA0" w:rsidP="00E20716">
      <w:pPr>
        <w:pStyle w:val="Gvdemetni1"/>
        <w:numPr>
          <w:ilvl w:val="0"/>
          <w:numId w:val="428"/>
        </w:numPr>
        <w:shd w:val="clear" w:color="auto" w:fill="auto"/>
        <w:tabs>
          <w:tab w:val="left" w:pos="278"/>
        </w:tabs>
        <w:spacing w:before="120" w:after="120" w:line="240" w:lineRule="auto"/>
        <w:ind w:left="1701" w:hanging="567"/>
        <w:jc w:val="both"/>
        <w:rPr>
          <w:color w:val="auto"/>
          <w:sz w:val="24"/>
          <w:szCs w:val="24"/>
        </w:rPr>
      </w:pPr>
      <w:r w:rsidRPr="00DE12A3">
        <w:rPr>
          <w:color w:val="auto"/>
          <w:sz w:val="24"/>
          <w:szCs w:val="24"/>
        </w:rPr>
        <w:t xml:space="preserve">(7-84) ila (7-101)] </w:t>
      </w:r>
      <w:r w:rsidR="00962CA1" w:rsidRPr="00DE12A3">
        <w:rPr>
          <w:color w:val="auto"/>
          <w:sz w:val="24"/>
          <w:szCs w:val="24"/>
        </w:rPr>
        <w:t>numaralı</w:t>
      </w:r>
      <w:r w:rsidR="00962CA1" w:rsidRPr="00DE12A3" w:rsidDel="00962CA1">
        <w:rPr>
          <w:color w:val="auto"/>
          <w:sz w:val="24"/>
          <w:szCs w:val="24"/>
        </w:rPr>
        <w:t xml:space="preserve"> </w:t>
      </w:r>
      <w:r w:rsidRPr="00DE12A3">
        <w:rPr>
          <w:color w:val="auto"/>
          <w:sz w:val="24"/>
          <w:szCs w:val="24"/>
        </w:rPr>
        <w:t xml:space="preserve">denklemler, </w:t>
      </w:r>
      <w:r w:rsidRPr="00DE12A3">
        <w:rPr>
          <w:i/>
          <w:iCs/>
          <w:color w:val="auto"/>
          <w:sz w:val="24"/>
          <w:szCs w:val="24"/>
        </w:rPr>
        <w:t>x</w:t>
      </w:r>
      <w:r w:rsidRPr="00DE12A3">
        <w:rPr>
          <w:color w:val="auto"/>
          <w:sz w:val="24"/>
          <w:szCs w:val="24"/>
          <w:vertAlign w:val="subscript"/>
        </w:rPr>
        <w:t>dil/exh</w:t>
      </w:r>
      <w:r w:rsidRPr="00DE12A3">
        <w:rPr>
          <w:color w:val="auto"/>
          <w:sz w:val="24"/>
          <w:szCs w:val="24"/>
        </w:rPr>
        <w:t xml:space="preserve">, </w:t>
      </w:r>
      <w:r w:rsidRPr="00DE12A3">
        <w:rPr>
          <w:i/>
          <w:iCs/>
          <w:color w:val="auto"/>
          <w:sz w:val="24"/>
          <w:szCs w:val="24"/>
        </w:rPr>
        <w:t>x</w:t>
      </w:r>
      <w:r w:rsidRPr="00DE12A3">
        <w:rPr>
          <w:color w:val="auto"/>
          <w:sz w:val="24"/>
          <w:szCs w:val="24"/>
          <w:vertAlign w:val="subscript"/>
        </w:rPr>
        <w:t>H2Oexh</w:t>
      </w:r>
      <w:r w:rsidRPr="00DE12A3">
        <w:rPr>
          <w:color w:val="auto"/>
          <w:sz w:val="24"/>
          <w:szCs w:val="24"/>
        </w:rPr>
        <w:t xml:space="preserve"> ve </w:t>
      </w:r>
      <w:r w:rsidRPr="00DE12A3">
        <w:rPr>
          <w:i/>
          <w:iCs/>
          <w:color w:val="auto"/>
          <w:sz w:val="24"/>
          <w:szCs w:val="24"/>
        </w:rPr>
        <w:t>x</w:t>
      </w:r>
      <w:r w:rsidRPr="00DE12A3">
        <w:rPr>
          <w:color w:val="auto"/>
          <w:sz w:val="24"/>
          <w:szCs w:val="24"/>
          <w:vertAlign w:val="subscript"/>
        </w:rPr>
        <w:t>Ccombdry</w:t>
      </w:r>
      <w:r w:rsidRPr="00DE12A3">
        <w:rPr>
          <w:color w:val="auto"/>
          <w:sz w:val="24"/>
          <w:szCs w:val="24"/>
        </w:rPr>
        <w:t>'ı iteratif şekilde çözmek için</w:t>
      </w:r>
      <w:r w:rsidR="001104F2" w:rsidRPr="00DE12A3">
        <w:rPr>
          <w:color w:val="auto"/>
          <w:sz w:val="24"/>
          <w:szCs w:val="24"/>
        </w:rPr>
        <w:t xml:space="preserve"> kullanılmalıdır.</w:t>
      </w:r>
    </w:p>
    <w:p w14:paraId="3730CA41" w14:textId="77777777" w:rsidR="002D7B36" w:rsidRPr="00DE12A3" w:rsidRDefault="002D7B36" w:rsidP="00C917D6">
      <w:pPr>
        <w:widowControl/>
        <w:tabs>
          <w:tab w:val="left" w:pos="8789"/>
        </w:tabs>
        <w:spacing w:before="120" w:after="120"/>
        <w:ind w:left="709" w:hanging="709"/>
        <w:jc w:val="both"/>
        <w:rPr>
          <w:rFonts w:cs="Times New Roman"/>
          <w:color w:val="auto"/>
          <w:sz w:val="20"/>
          <w:szCs w:val="20"/>
          <w:lang w:eastAsia="en-US"/>
        </w:rPr>
      </w:pPr>
    </w:p>
    <w:tbl>
      <w:tblPr>
        <w:tblW w:w="0" w:type="auto"/>
        <w:tblInd w:w="1242" w:type="dxa"/>
        <w:tblLayout w:type="fixed"/>
        <w:tblLook w:val="0000" w:firstRow="0" w:lastRow="0" w:firstColumn="0" w:lastColumn="0" w:noHBand="0" w:noVBand="0"/>
      </w:tblPr>
      <w:tblGrid>
        <w:gridCol w:w="7023"/>
        <w:gridCol w:w="1021"/>
      </w:tblGrid>
      <w:tr w:rsidR="00DE12A3" w:rsidRPr="00DE12A3" w14:paraId="1E31C724" w14:textId="77777777" w:rsidTr="00067050">
        <w:tc>
          <w:tcPr>
            <w:tcW w:w="7023" w:type="dxa"/>
          </w:tcPr>
          <w:p w14:paraId="65CBF7F4" w14:textId="2DADA292" w:rsidR="00E33A88" w:rsidRPr="00DE12A3" w:rsidRDefault="00E33A88" w:rsidP="00C917D6">
            <w:pPr>
              <w:pStyle w:val="NormalLeft"/>
            </w:pPr>
            <w:r w:rsidRPr="00DE12A3">
              <w:rPr>
                <w:noProof/>
                <w:lang w:val="tr-TR"/>
              </w:rPr>
              <w:drawing>
                <wp:inline distT="0" distB="0" distL="0" distR="0" wp14:anchorId="1B1457D8" wp14:editId="767AB6FB">
                  <wp:extent cx="2731135" cy="339970"/>
                  <wp:effectExtent l="0" t="0" r="0" b="3175"/>
                  <wp:docPr id="2419" name="Resim 24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2791092" cy="347433"/>
                          </a:xfrm>
                          <a:prstGeom prst="rect">
                            <a:avLst/>
                          </a:prstGeom>
                          <a:noFill/>
                          <a:ln>
                            <a:noFill/>
                          </a:ln>
                        </pic:spPr>
                      </pic:pic>
                    </a:graphicData>
                  </a:graphic>
                </wp:inline>
              </w:drawing>
            </w:r>
          </w:p>
        </w:tc>
        <w:tc>
          <w:tcPr>
            <w:tcW w:w="1021" w:type="dxa"/>
          </w:tcPr>
          <w:p w14:paraId="5CF42B66" w14:textId="77777777" w:rsidR="00E33A88" w:rsidRPr="00DE12A3" w:rsidRDefault="00E33A88" w:rsidP="00C917D6">
            <w:pPr>
              <w:pStyle w:val="NormalLeft"/>
            </w:pPr>
            <w:r w:rsidRPr="00DE12A3">
              <w:t>(7-84)</w:t>
            </w:r>
          </w:p>
        </w:tc>
      </w:tr>
      <w:tr w:rsidR="00DE12A3" w:rsidRPr="00DE12A3" w14:paraId="3F3DDB57" w14:textId="77777777" w:rsidTr="00067050">
        <w:tc>
          <w:tcPr>
            <w:tcW w:w="7023" w:type="dxa"/>
          </w:tcPr>
          <w:p w14:paraId="76B176CF" w14:textId="3B4CB771" w:rsidR="00E33A88" w:rsidRPr="00DE12A3" w:rsidRDefault="00E33A88" w:rsidP="00C917D6">
            <w:pPr>
              <w:pStyle w:val="NormalLeft"/>
            </w:pPr>
            <w:r w:rsidRPr="00DE12A3">
              <w:rPr>
                <w:noProof/>
                <w:lang w:val="tr-TR"/>
              </w:rPr>
              <w:drawing>
                <wp:inline distT="0" distB="0" distL="0" distR="0" wp14:anchorId="5CCAC041" wp14:editId="693E6E3A">
                  <wp:extent cx="2483971" cy="339969"/>
                  <wp:effectExtent l="0" t="0" r="0" b="3175"/>
                  <wp:docPr id="2418" name="Resim 24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2532894" cy="346665"/>
                          </a:xfrm>
                          <a:prstGeom prst="rect">
                            <a:avLst/>
                          </a:prstGeom>
                          <a:noFill/>
                          <a:ln>
                            <a:noFill/>
                          </a:ln>
                        </pic:spPr>
                      </pic:pic>
                    </a:graphicData>
                  </a:graphic>
                </wp:inline>
              </w:drawing>
            </w:r>
          </w:p>
        </w:tc>
        <w:tc>
          <w:tcPr>
            <w:tcW w:w="1021" w:type="dxa"/>
          </w:tcPr>
          <w:p w14:paraId="1127CF06" w14:textId="77777777" w:rsidR="00E33A88" w:rsidRPr="00DE12A3" w:rsidRDefault="00E33A88" w:rsidP="00C917D6">
            <w:pPr>
              <w:pStyle w:val="NormalLeft"/>
            </w:pPr>
            <w:r w:rsidRPr="00DE12A3">
              <w:t>(7-85)</w:t>
            </w:r>
          </w:p>
        </w:tc>
      </w:tr>
      <w:tr w:rsidR="00DE12A3" w:rsidRPr="00DE12A3" w14:paraId="6F2AE29F" w14:textId="77777777" w:rsidTr="00067050">
        <w:tc>
          <w:tcPr>
            <w:tcW w:w="7023" w:type="dxa"/>
          </w:tcPr>
          <w:p w14:paraId="4314815B" w14:textId="42640876" w:rsidR="00E33A88" w:rsidRPr="00DE12A3" w:rsidRDefault="00E33A88" w:rsidP="00C917D6">
            <w:pPr>
              <w:pStyle w:val="NormalLeft"/>
            </w:pPr>
            <w:r w:rsidRPr="00DE12A3">
              <w:rPr>
                <w:noProof/>
                <w:lang w:val="tr-TR"/>
              </w:rPr>
              <w:lastRenderedPageBreak/>
              <w:drawing>
                <wp:inline distT="0" distB="0" distL="0" distR="0" wp14:anchorId="1B17A780" wp14:editId="758199B6">
                  <wp:extent cx="4220308" cy="322574"/>
                  <wp:effectExtent l="0" t="0" r="0" b="1905"/>
                  <wp:docPr id="2417" name="Resim 24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4996610" cy="381910"/>
                          </a:xfrm>
                          <a:prstGeom prst="rect">
                            <a:avLst/>
                          </a:prstGeom>
                          <a:noFill/>
                          <a:ln>
                            <a:noFill/>
                          </a:ln>
                        </pic:spPr>
                      </pic:pic>
                    </a:graphicData>
                  </a:graphic>
                </wp:inline>
              </w:drawing>
            </w:r>
          </w:p>
        </w:tc>
        <w:tc>
          <w:tcPr>
            <w:tcW w:w="1021" w:type="dxa"/>
          </w:tcPr>
          <w:p w14:paraId="04B3575B" w14:textId="77777777" w:rsidR="00E33A88" w:rsidRPr="00DE12A3" w:rsidRDefault="00E33A88" w:rsidP="00C917D6">
            <w:pPr>
              <w:pStyle w:val="NormalLeft"/>
            </w:pPr>
            <w:r w:rsidRPr="00DE12A3">
              <w:t>(7-86)</w:t>
            </w:r>
          </w:p>
        </w:tc>
      </w:tr>
      <w:tr w:rsidR="00DE12A3" w:rsidRPr="00DE12A3" w14:paraId="7E5282CB" w14:textId="77777777" w:rsidTr="00067050">
        <w:tc>
          <w:tcPr>
            <w:tcW w:w="7023" w:type="dxa"/>
          </w:tcPr>
          <w:p w14:paraId="5B44E02D" w14:textId="55D0EFE9" w:rsidR="00E33A88" w:rsidRPr="00DE12A3" w:rsidRDefault="00E33A88" w:rsidP="00C917D6">
            <w:pPr>
              <w:pStyle w:val="NormalLeft"/>
            </w:pPr>
            <w:r w:rsidRPr="00DE12A3">
              <w:rPr>
                <w:noProof/>
                <w:lang w:val="tr-TR"/>
              </w:rPr>
              <w:drawing>
                <wp:inline distT="0" distB="0" distL="0" distR="0" wp14:anchorId="07F2CE83" wp14:editId="08E92094">
                  <wp:extent cx="4248070" cy="539115"/>
                  <wp:effectExtent l="0" t="0" r="635" b="0"/>
                  <wp:docPr id="2416" name="Resim 24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4304359" cy="546259"/>
                          </a:xfrm>
                          <a:prstGeom prst="rect">
                            <a:avLst/>
                          </a:prstGeom>
                          <a:noFill/>
                          <a:ln>
                            <a:noFill/>
                          </a:ln>
                        </pic:spPr>
                      </pic:pic>
                    </a:graphicData>
                  </a:graphic>
                </wp:inline>
              </w:drawing>
            </w:r>
          </w:p>
        </w:tc>
        <w:tc>
          <w:tcPr>
            <w:tcW w:w="1021" w:type="dxa"/>
          </w:tcPr>
          <w:p w14:paraId="7C590645" w14:textId="77777777" w:rsidR="00E33A88" w:rsidRPr="00DE12A3" w:rsidRDefault="00E33A88" w:rsidP="00C917D6">
            <w:pPr>
              <w:pStyle w:val="NormalLeft"/>
            </w:pPr>
            <w:r w:rsidRPr="00DE12A3">
              <w:t>(7-87)</w:t>
            </w:r>
          </w:p>
        </w:tc>
      </w:tr>
      <w:tr w:rsidR="00DE12A3" w:rsidRPr="00DE12A3" w14:paraId="49801AE9" w14:textId="77777777" w:rsidTr="00067050">
        <w:tc>
          <w:tcPr>
            <w:tcW w:w="7023" w:type="dxa"/>
          </w:tcPr>
          <w:p w14:paraId="3E709E28" w14:textId="31792A64" w:rsidR="00E33A88" w:rsidRPr="00DE12A3" w:rsidRDefault="00E33A88" w:rsidP="00C917D6">
            <w:pPr>
              <w:pStyle w:val="NormalLeft"/>
            </w:pPr>
            <w:r w:rsidRPr="00DE12A3">
              <w:rPr>
                <w:noProof/>
                <w:lang w:val="tr-TR"/>
              </w:rPr>
              <w:drawing>
                <wp:inline distT="0" distB="0" distL="0" distR="0" wp14:anchorId="72938EF3" wp14:editId="21E00188">
                  <wp:extent cx="4319416" cy="533363"/>
                  <wp:effectExtent l="0" t="0" r="0" b="635"/>
                  <wp:docPr id="2415" name="Resim 24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4458744" cy="550567"/>
                          </a:xfrm>
                          <a:prstGeom prst="rect">
                            <a:avLst/>
                          </a:prstGeom>
                          <a:noFill/>
                          <a:ln>
                            <a:noFill/>
                          </a:ln>
                        </pic:spPr>
                      </pic:pic>
                    </a:graphicData>
                  </a:graphic>
                </wp:inline>
              </w:drawing>
            </w:r>
          </w:p>
        </w:tc>
        <w:tc>
          <w:tcPr>
            <w:tcW w:w="1021" w:type="dxa"/>
          </w:tcPr>
          <w:p w14:paraId="01703A7A" w14:textId="77777777" w:rsidR="00E33A88" w:rsidRPr="00DE12A3" w:rsidRDefault="00E33A88" w:rsidP="00C917D6">
            <w:pPr>
              <w:pStyle w:val="NormalLeft"/>
            </w:pPr>
            <w:r w:rsidRPr="00DE12A3">
              <w:t>(7-88)</w:t>
            </w:r>
          </w:p>
        </w:tc>
      </w:tr>
      <w:tr w:rsidR="00DE12A3" w:rsidRPr="00DE12A3" w14:paraId="027B8049" w14:textId="77777777" w:rsidTr="00067050">
        <w:tc>
          <w:tcPr>
            <w:tcW w:w="7023" w:type="dxa"/>
          </w:tcPr>
          <w:p w14:paraId="52952626" w14:textId="580E7CF4" w:rsidR="00E33A88" w:rsidRPr="00DE12A3" w:rsidRDefault="00E33A88" w:rsidP="00C917D6">
            <w:pPr>
              <w:pStyle w:val="NormalLeft"/>
            </w:pPr>
            <w:r w:rsidRPr="00DE12A3">
              <w:rPr>
                <w:noProof/>
                <w:lang w:val="tr-TR"/>
              </w:rPr>
              <w:drawing>
                <wp:inline distT="0" distB="0" distL="0" distR="0" wp14:anchorId="29A77E9F" wp14:editId="19B166CA">
                  <wp:extent cx="2813685" cy="422031"/>
                  <wp:effectExtent l="0" t="0" r="5715" b="0"/>
                  <wp:docPr id="62" name="Resim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2827639" cy="424124"/>
                          </a:xfrm>
                          <a:prstGeom prst="rect">
                            <a:avLst/>
                          </a:prstGeom>
                          <a:noFill/>
                          <a:ln>
                            <a:noFill/>
                          </a:ln>
                        </pic:spPr>
                      </pic:pic>
                    </a:graphicData>
                  </a:graphic>
                </wp:inline>
              </w:drawing>
            </w:r>
          </w:p>
        </w:tc>
        <w:tc>
          <w:tcPr>
            <w:tcW w:w="1021" w:type="dxa"/>
          </w:tcPr>
          <w:p w14:paraId="3EE56C60" w14:textId="77777777" w:rsidR="00E33A88" w:rsidRPr="00DE12A3" w:rsidRDefault="00E33A88" w:rsidP="00C917D6">
            <w:pPr>
              <w:pStyle w:val="NormalLeft"/>
            </w:pPr>
            <w:r w:rsidRPr="00DE12A3">
              <w:t>(7-89)</w:t>
            </w:r>
          </w:p>
        </w:tc>
      </w:tr>
      <w:tr w:rsidR="00DE12A3" w:rsidRPr="00DE12A3" w14:paraId="38D64AA8" w14:textId="77777777" w:rsidTr="00067050">
        <w:tc>
          <w:tcPr>
            <w:tcW w:w="7023" w:type="dxa"/>
          </w:tcPr>
          <w:p w14:paraId="56F52917" w14:textId="31BD220D" w:rsidR="00E33A88" w:rsidRPr="00DE12A3" w:rsidRDefault="00E33A88" w:rsidP="00C917D6">
            <w:pPr>
              <w:pStyle w:val="NormalLeft"/>
            </w:pPr>
            <w:r w:rsidRPr="00DE12A3">
              <w:rPr>
                <w:noProof/>
                <w:lang w:val="tr-TR"/>
              </w:rPr>
              <w:drawing>
                <wp:inline distT="0" distB="0" distL="0" distR="0" wp14:anchorId="45C122BB" wp14:editId="1D5E477D">
                  <wp:extent cx="4114995" cy="633089"/>
                  <wp:effectExtent l="0" t="0" r="0" b="0"/>
                  <wp:docPr id="59" name="Resim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4248850" cy="653682"/>
                          </a:xfrm>
                          <a:prstGeom prst="rect">
                            <a:avLst/>
                          </a:prstGeom>
                          <a:noFill/>
                          <a:ln>
                            <a:noFill/>
                          </a:ln>
                        </pic:spPr>
                      </pic:pic>
                    </a:graphicData>
                  </a:graphic>
                </wp:inline>
              </w:drawing>
            </w:r>
          </w:p>
        </w:tc>
        <w:tc>
          <w:tcPr>
            <w:tcW w:w="1021" w:type="dxa"/>
          </w:tcPr>
          <w:p w14:paraId="16363685" w14:textId="77777777" w:rsidR="00E33A88" w:rsidRPr="00DE12A3" w:rsidRDefault="00E33A88" w:rsidP="00C917D6">
            <w:pPr>
              <w:pStyle w:val="NormalLeft"/>
            </w:pPr>
            <w:r w:rsidRPr="00DE12A3">
              <w:t>(7-90)</w:t>
            </w:r>
          </w:p>
        </w:tc>
      </w:tr>
      <w:tr w:rsidR="00DE12A3" w:rsidRPr="00DE12A3" w14:paraId="4ABD7FF7" w14:textId="77777777" w:rsidTr="00067050">
        <w:tc>
          <w:tcPr>
            <w:tcW w:w="7023" w:type="dxa"/>
          </w:tcPr>
          <w:p w14:paraId="0FFAEDAB" w14:textId="5A40EA9B" w:rsidR="00E33A88" w:rsidRPr="00DE12A3" w:rsidRDefault="00E33A88" w:rsidP="00C917D6">
            <w:pPr>
              <w:pStyle w:val="NormalLeft"/>
            </w:pPr>
            <w:r w:rsidRPr="00DE12A3">
              <w:rPr>
                <w:noProof/>
                <w:lang w:val="tr-TR"/>
              </w:rPr>
              <w:drawing>
                <wp:inline distT="0" distB="0" distL="0" distR="0" wp14:anchorId="44E93AEF" wp14:editId="4286C954">
                  <wp:extent cx="4343449" cy="591814"/>
                  <wp:effectExtent l="0" t="0" r="0" b="0"/>
                  <wp:docPr id="58" name="Resim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4417529" cy="601908"/>
                          </a:xfrm>
                          <a:prstGeom prst="rect">
                            <a:avLst/>
                          </a:prstGeom>
                          <a:noFill/>
                          <a:ln>
                            <a:noFill/>
                          </a:ln>
                        </pic:spPr>
                      </pic:pic>
                    </a:graphicData>
                  </a:graphic>
                </wp:inline>
              </w:drawing>
            </w:r>
          </w:p>
        </w:tc>
        <w:tc>
          <w:tcPr>
            <w:tcW w:w="1021" w:type="dxa"/>
          </w:tcPr>
          <w:p w14:paraId="287C7C69" w14:textId="77777777" w:rsidR="00E33A88" w:rsidRPr="00DE12A3" w:rsidRDefault="00E33A88" w:rsidP="00C917D6">
            <w:pPr>
              <w:pStyle w:val="NormalLeft"/>
            </w:pPr>
            <w:r w:rsidRPr="00DE12A3">
              <w:t>(7-91)</w:t>
            </w:r>
          </w:p>
        </w:tc>
      </w:tr>
      <w:tr w:rsidR="00DE12A3" w:rsidRPr="00DE12A3" w14:paraId="6BCC0977" w14:textId="77777777" w:rsidTr="00067050">
        <w:tc>
          <w:tcPr>
            <w:tcW w:w="7023" w:type="dxa"/>
          </w:tcPr>
          <w:p w14:paraId="62E30CEE" w14:textId="21374283" w:rsidR="00E33A88" w:rsidRPr="00DE12A3" w:rsidRDefault="00E33A88" w:rsidP="00C917D6">
            <w:pPr>
              <w:pStyle w:val="NormalLeft"/>
            </w:pPr>
            <w:r w:rsidRPr="00DE12A3">
              <w:rPr>
                <w:noProof/>
                <w:lang w:val="tr-TR"/>
              </w:rPr>
              <w:drawing>
                <wp:inline distT="0" distB="0" distL="0" distR="0" wp14:anchorId="47E66193" wp14:editId="6C3A17DF">
                  <wp:extent cx="3939810" cy="351155"/>
                  <wp:effectExtent l="0" t="0" r="3810" b="0"/>
                  <wp:docPr id="55" name="Resim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4031698" cy="359345"/>
                          </a:xfrm>
                          <a:prstGeom prst="rect">
                            <a:avLst/>
                          </a:prstGeom>
                          <a:noFill/>
                          <a:ln>
                            <a:noFill/>
                          </a:ln>
                        </pic:spPr>
                      </pic:pic>
                    </a:graphicData>
                  </a:graphic>
                </wp:inline>
              </w:drawing>
            </w:r>
          </w:p>
        </w:tc>
        <w:tc>
          <w:tcPr>
            <w:tcW w:w="1021" w:type="dxa"/>
          </w:tcPr>
          <w:p w14:paraId="3B73FD5F" w14:textId="77777777" w:rsidR="00E33A88" w:rsidRPr="00DE12A3" w:rsidRDefault="00E33A88" w:rsidP="00C917D6">
            <w:pPr>
              <w:pStyle w:val="NormalLeft"/>
            </w:pPr>
            <w:r w:rsidRPr="00DE12A3">
              <w:t>(7-92)</w:t>
            </w:r>
          </w:p>
        </w:tc>
      </w:tr>
      <w:tr w:rsidR="00DE12A3" w:rsidRPr="00DE12A3" w14:paraId="3D16B39A" w14:textId="77777777" w:rsidTr="00067050">
        <w:tc>
          <w:tcPr>
            <w:tcW w:w="7023" w:type="dxa"/>
          </w:tcPr>
          <w:p w14:paraId="0D93FFE9" w14:textId="52DA71E3" w:rsidR="00E33A88" w:rsidRPr="00DE12A3" w:rsidRDefault="00E33A88" w:rsidP="00C917D6">
            <w:pPr>
              <w:pStyle w:val="NormalLeft"/>
            </w:pPr>
            <w:r w:rsidRPr="00DE12A3">
              <w:rPr>
                <w:noProof/>
                <w:lang w:val="tr-TR"/>
              </w:rPr>
              <w:drawing>
                <wp:inline distT="0" distB="0" distL="0" distR="0" wp14:anchorId="0BB2AD31" wp14:editId="60AAE8EC">
                  <wp:extent cx="2778125" cy="363415"/>
                  <wp:effectExtent l="0" t="0" r="3175" b="0"/>
                  <wp:docPr id="54" name="Resim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2811595" cy="367793"/>
                          </a:xfrm>
                          <a:prstGeom prst="rect">
                            <a:avLst/>
                          </a:prstGeom>
                          <a:noFill/>
                          <a:ln>
                            <a:noFill/>
                          </a:ln>
                        </pic:spPr>
                      </pic:pic>
                    </a:graphicData>
                  </a:graphic>
                </wp:inline>
              </w:drawing>
            </w:r>
          </w:p>
        </w:tc>
        <w:tc>
          <w:tcPr>
            <w:tcW w:w="1021" w:type="dxa"/>
          </w:tcPr>
          <w:p w14:paraId="01CD53DB" w14:textId="77777777" w:rsidR="00E33A88" w:rsidRPr="00DE12A3" w:rsidRDefault="00E33A88" w:rsidP="00C917D6">
            <w:pPr>
              <w:pStyle w:val="NormalLeft"/>
            </w:pPr>
            <w:r w:rsidRPr="00DE12A3">
              <w:t>(7-93)</w:t>
            </w:r>
          </w:p>
        </w:tc>
      </w:tr>
      <w:tr w:rsidR="00DE12A3" w:rsidRPr="00DE12A3" w14:paraId="45FEBC8D" w14:textId="77777777" w:rsidTr="00067050">
        <w:tc>
          <w:tcPr>
            <w:tcW w:w="7023" w:type="dxa"/>
          </w:tcPr>
          <w:p w14:paraId="2AF4F9E2" w14:textId="7820FC60" w:rsidR="00E33A88" w:rsidRPr="00DE12A3" w:rsidRDefault="00E33A88" w:rsidP="00C917D6">
            <w:pPr>
              <w:pStyle w:val="NormalLeft"/>
            </w:pPr>
            <w:r w:rsidRPr="00DE12A3">
              <w:rPr>
                <w:noProof/>
                <w:lang w:val="tr-TR"/>
              </w:rPr>
              <w:drawing>
                <wp:inline distT="0" distB="0" distL="0" distR="0" wp14:anchorId="17B68173" wp14:editId="4F90D8D7">
                  <wp:extent cx="2778125" cy="363416"/>
                  <wp:effectExtent l="0" t="0" r="3175" b="0"/>
                  <wp:docPr id="52" name="Resim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2792420" cy="365286"/>
                          </a:xfrm>
                          <a:prstGeom prst="rect">
                            <a:avLst/>
                          </a:prstGeom>
                          <a:noFill/>
                          <a:ln>
                            <a:noFill/>
                          </a:ln>
                        </pic:spPr>
                      </pic:pic>
                    </a:graphicData>
                  </a:graphic>
                </wp:inline>
              </w:drawing>
            </w:r>
          </w:p>
        </w:tc>
        <w:tc>
          <w:tcPr>
            <w:tcW w:w="1021" w:type="dxa"/>
          </w:tcPr>
          <w:p w14:paraId="132322E7" w14:textId="77777777" w:rsidR="00E33A88" w:rsidRPr="00DE12A3" w:rsidRDefault="00E33A88" w:rsidP="00C917D6">
            <w:pPr>
              <w:pStyle w:val="NormalLeft"/>
            </w:pPr>
            <w:r w:rsidRPr="00DE12A3">
              <w:t>(7-94)</w:t>
            </w:r>
          </w:p>
        </w:tc>
      </w:tr>
      <w:tr w:rsidR="00DE12A3" w:rsidRPr="00DE12A3" w14:paraId="1D903B02" w14:textId="77777777" w:rsidTr="00067050">
        <w:tc>
          <w:tcPr>
            <w:tcW w:w="7023" w:type="dxa"/>
          </w:tcPr>
          <w:p w14:paraId="589455BF" w14:textId="6A5F8466" w:rsidR="00E33A88" w:rsidRPr="00DE12A3" w:rsidRDefault="00E33A88" w:rsidP="00C917D6">
            <w:pPr>
              <w:pStyle w:val="NormalLeft"/>
            </w:pPr>
            <w:r w:rsidRPr="00DE12A3">
              <w:rPr>
                <w:noProof/>
                <w:lang w:val="tr-TR"/>
              </w:rPr>
              <w:drawing>
                <wp:inline distT="0" distB="0" distL="0" distR="0" wp14:anchorId="02DB9590" wp14:editId="3D05668A">
                  <wp:extent cx="2725420" cy="351692"/>
                  <wp:effectExtent l="0" t="0" r="0" b="0"/>
                  <wp:docPr id="51" name="Resim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2741525" cy="353770"/>
                          </a:xfrm>
                          <a:prstGeom prst="rect">
                            <a:avLst/>
                          </a:prstGeom>
                          <a:noFill/>
                          <a:ln>
                            <a:noFill/>
                          </a:ln>
                        </pic:spPr>
                      </pic:pic>
                    </a:graphicData>
                  </a:graphic>
                </wp:inline>
              </w:drawing>
            </w:r>
          </w:p>
        </w:tc>
        <w:tc>
          <w:tcPr>
            <w:tcW w:w="1021" w:type="dxa"/>
          </w:tcPr>
          <w:p w14:paraId="4DAA6923" w14:textId="77777777" w:rsidR="00E33A88" w:rsidRPr="00DE12A3" w:rsidRDefault="00E33A88" w:rsidP="00C917D6">
            <w:pPr>
              <w:pStyle w:val="NormalLeft"/>
            </w:pPr>
            <w:r w:rsidRPr="00DE12A3">
              <w:t>(7-95)</w:t>
            </w:r>
          </w:p>
        </w:tc>
      </w:tr>
      <w:tr w:rsidR="00DE12A3" w:rsidRPr="00DE12A3" w14:paraId="0DFCB87C" w14:textId="77777777" w:rsidTr="00067050">
        <w:tc>
          <w:tcPr>
            <w:tcW w:w="7023" w:type="dxa"/>
          </w:tcPr>
          <w:p w14:paraId="413486A8" w14:textId="166E20F5" w:rsidR="00E33A88" w:rsidRPr="00DE12A3" w:rsidRDefault="00E33A88" w:rsidP="00C917D6">
            <w:pPr>
              <w:pStyle w:val="NormalLeft"/>
            </w:pPr>
            <w:r w:rsidRPr="00DE12A3">
              <w:rPr>
                <w:noProof/>
                <w:lang w:val="tr-TR"/>
              </w:rPr>
              <w:drawing>
                <wp:inline distT="0" distB="0" distL="0" distR="0" wp14:anchorId="133BA2F1" wp14:editId="71E6A3C1">
                  <wp:extent cx="2725420" cy="339969"/>
                  <wp:effectExtent l="0" t="0" r="0" b="3175"/>
                  <wp:docPr id="50" name="Resim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2737365" cy="341459"/>
                          </a:xfrm>
                          <a:prstGeom prst="rect">
                            <a:avLst/>
                          </a:prstGeom>
                          <a:noFill/>
                          <a:ln>
                            <a:noFill/>
                          </a:ln>
                        </pic:spPr>
                      </pic:pic>
                    </a:graphicData>
                  </a:graphic>
                </wp:inline>
              </w:drawing>
            </w:r>
          </w:p>
        </w:tc>
        <w:tc>
          <w:tcPr>
            <w:tcW w:w="1021" w:type="dxa"/>
          </w:tcPr>
          <w:p w14:paraId="171EA716" w14:textId="77777777" w:rsidR="00E33A88" w:rsidRPr="00DE12A3" w:rsidRDefault="00E33A88" w:rsidP="00C917D6">
            <w:pPr>
              <w:pStyle w:val="NormalLeft"/>
            </w:pPr>
            <w:r w:rsidRPr="00DE12A3">
              <w:t>(7-96)</w:t>
            </w:r>
          </w:p>
        </w:tc>
      </w:tr>
      <w:tr w:rsidR="00DE12A3" w:rsidRPr="00DE12A3" w14:paraId="0AF0E5DD" w14:textId="77777777" w:rsidTr="00067050">
        <w:tc>
          <w:tcPr>
            <w:tcW w:w="7023" w:type="dxa"/>
          </w:tcPr>
          <w:p w14:paraId="333E1715" w14:textId="005323D0" w:rsidR="00E33A88" w:rsidRPr="00DE12A3" w:rsidRDefault="00E33A88" w:rsidP="00C917D6">
            <w:pPr>
              <w:pStyle w:val="NormalLeft"/>
            </w:pPr>
            <w:r w:rsidRPr="00DE12A3">
              <w:rPr>
                <w:noProof/>
                <w:lang w:val="tr-TR"/>
              </w:rPr>
              <w:drawing>
                <wp:inline distT="0" distB="0" distL="0" distR="0" wp14:anchorId="382529C3" wp14:editId="04BFE10E">
                  <wp:extent cx="2913380" cy="410308"/>
                  <wp:effectExtent l="0" t="0" r="1270" b="8890"/>
                  <wp:docPr id="49" name="Resim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2922833" cy="411639"/>
                          </a:xfrm>
                          <a:prstGeom prst="rect">
                            <a:avLst/>
                          </a:prstGeom>
                          <a:noFill/>
                          <a:ln>
                            <a:noFill/>
                          </a:ln>
                        </pic:spPr>
                      </pic:pic>
                    </a:graphicData>
                  </a:graphic>
                </wp:inline>
              </w:drawing>
            </w:r>
          </w:p>
        </w:tc>
        <w:tc>
          <w:tcPr>
            <w:tcW w:w="1021" w:type="dxa"/>
          </w:tcPr>
          <w:p w14:paraId="700856A5" w14:textId="77777777" w:rsidR="00E33A88" w:rsidRPr="00DE12A3" w:rsidRDefault="00E33A88" w:rsidP="00C917D6">
            <w:pPr>
              <w:pStyle w:val="NormalLeft"/>
            </w:pPr>
            <w:r w:rsidRPr="00DE12A3">
              <w:t>(7-97)</w:t>
            </w:r>
          </w:p>
        </w:tc>
      </w:tr>
      <w:tr w:rsidR="00DE12A3" w:rsidRPr="00DE12A3" w14:paraId="5AC7F4BD" w14:textId="77777777" w:rsidTr="00067050">
        <w:tc>
          <w:tcPr>
            <w:tcW w:w="7023" w:type="dxa"/>
          </w:tcPr>
          <w:p w14:paraId="56AF14BE" w14:textId="067ACA4C" w:rsidR="00E33A88" w:rsidRPr="00DE12A3" w:rsidRDefault="00E33A88" w:rsidP="00C917D6">
            <w:pPr>
              <w:pStyle w:val="NormalLeft"/>
            </w:pPr>
            <w:r w:rsidRPr="00DE12A3">
              <w:rPr>
                <w:noProof/>
                <w:lang w:val="tr-TR"/>
              </w:rPr>
              <w:drawing>
                <wp:inline distT="0" distB="0" distL="0" distR="0" wp14:anchorId="502986F0" wp14:editId="642A8F82">
                  <wp:extent cx="3106420" cy="457200"/>
                  <wp:effectExtent l="0" t="0" r="0" b="0"/>
                  <wp:docPr id="48" name="Resim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3168273" cy="466303"/>
                          </a:xfrm>
                          <a:prstGeom prst="rect">
                            <a:avLst/>
                          </a:prstGeom>
                          <a:noFill/>
                          <a:ln>
                            <a:noFill/>
                          </a:ln>
                        </pic:spPr>
                      </pic:pic>
                    </a:graphicData>
                  </a:graphic>
                </wp:inline>
              </w:drawing>
            </w:r>
          </w:p>
        </w:tc>
        <w:tc>
          <w:tcPr>
            <w:tcW w:w="1021" w:type="dxa"/>
          </w:tcPr>
          <w:p w14:paraId="15BBA57A" w14:textId="77777777" w:rsidR="00E33A88" w:rsidRPr="00DE12A3" w:rsidRDefault="00E33A88" w:rsidP="00C917D6">
            <w:pPr>
              <w:pStyle w:val="NormalLeft"/>
            </w:pPr>
            <w:r w:rsidRPr="00DE12A3">
              <w:t>(7-98)</w:t>
            </w:r>
          </w:p>
        </w:tc>
      </w:tr>
      <w:tr w:rsidR="00DE12A3" w:rsidRPr="00DE12A3" w14:paraId="66D17113" w14:textId="77777777" w:rsidTr="00067050">
        <w:tc>
          <w:tcPr>
            <w:tcW w:w="7023" w:type="dxa"/>
          </w:tcPr>
          <w:p w14:paraId="4404D213" w14:textId="7F6E3BD5" w:rsidR="00E33A88" w:rsidRPr="00DE12A3" w:rsidRDefault="00E33A88" w:rsidP="00C917D6">
            <w:pPr>
              <w:pStyle w:val="NormalLeft"/>
            </w:pPr>
            <w:r w:rsidRPr="00DE12A3">
              <w:rPr>
                <w:noProof/>
                <w:lang w:val="tr-TR"/>
              </w:rPr>
              <w:drawing>
                <wp:inline distT="0" distB="0" distL="0" distR="0" wp14:anchorId="4FD064C3" wp14:editId="08B67452">
                  <wp:extent cx="2913380" cy="416169"/>
                  <wp:effectExtent l="0" t="0" r="1270" b="3175"/>
                  <wp:docPr id="46" name="Resim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2950392" cy="421456"/>
                          </a:xfrm>
                          <a:prstGeom prst="rect">
                            <a:avLst/>
                          </a:prstGeom>
                          <a:noFill/>
                          <a:ln>
                            <a:noFill/>
                          </a:ln>
                        </pic:spPr>
                      </pic:pic>
                    </a:graphicData>
                  </a:graphic>
                </wp:inline>
              </w:drawing>
            </w:r>
          </w:p>
        </w:tc>
        <w:tc>
          <w:tcPr>
            <w:tcW w:w="1021" w:type="dxa"/>
          </w:tcPr>
          <w:p w14:paraId="07FBED76" w14:textId="77777777" w:rsidR="00E33A88" w:rsidRPr="00DE12A3" w:rsidRDefault="00E33A88" w:rsidP="00C917D6">
            <w:pPr>
              <w:pStyle w:val="NormalLeft"/>
            </w:pPr>
            <w:r w:rsidRPr="00DE12A3">
              <w:t>(7-99)</w:t>
            </w:r>
          </w:p>
        </w:tc>
      </w:tr>
      <w:tr w:rsidR="00DE12A3" w:rsidRPr="00DE12A3" w14:paraId="0652788B" w14:textId="77777777" w:rsidTr="00067050">
        <w:tc>
          <w:tcPr>
            <w:tcW w:w="7023" w:type="dxa"/>
          </w:tcPr>
          <w:p w14:paraId="0BEBE25D" w14:textId="733BFC51" w:rsidR="00E33A88" w:rsidRPr="00DE12A3" w:rsidRDefault="00E33A88" w:rsidP="00C917D6">
            <w:pPr>
              <w:pStyle w:val="NormalLeft"/>
            </w:pPr>
            <w:r w:rsidRPr="00DE12A3">
              <w:rPr>
                <w:noProof/>
                <w:lang w:val="tr-TR"/>
              </w:rPr>
              <w:drawing>
                <wp:inline distT="0" distB="0" distL="0" distR="0" wp14:anchorId="5A991B58" wp14:editId="3EBAE998">
                  <wp:extent cx="3118485" cy="445476"/>
                  <wp:effectExtent l="0" t="0" r="5715" b="0"/>
                  <wp:docPr id="45" name="Resim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3136952" cy="448114"/>
                          </a:xfrm>
                          <a:prstGeom prst="rect">
                            <a:avLst/>
                          </a:prstGeom>
                          <a:noFill/>
                          <a:ln>
                            <a:noFill/>
                          </a:ln>
                        </pic:spPr>
                      </pic:pic>
                    </a:graphicData>
                  </a:graphic>
                </wp:inline>
              </w:drawing>
            </w:r>
          </w:p>
        </w:tc>
        <w:tc>
          <w:tcPr>
            <w:tcW w:w="1021" w:type="dxa"/>
          </w:tcPr>
          <w:p w14:paraId="7357B1F2" w14:textId="77777777" w:rsidR="00E33A88" w:rsidRPr="00DE12A3" w:rsidRDefault="00E33A88" w:rsidP="00C917D6">
            <w:pPr>
              <w:pStyle w:val="NormalLeft"/>
            </w:pPr>
            <w:r w:rsidRPr="00DE12A3">
              <w:t>(7-100)</w:t>
            </w:r>
          </w:p>
        </w:tc>
      </w:tr>
      <w:tr w:rsidR="00E33A88" w:rsidRPr="00DE12A3" w14:paraId="2F632892" w14:textId="77777777" w:rsidTr="00067050">
        <w:tc>
          <w:tcPr>
            <w:tcW w:w="7023" w:type="dxa"/>
          </w:tcPr>
          <w:p w14:paraId="24E72811" w14:textId="0C3C665E" w:rsidR="00E33A88" w:rsidRPr="00DE12A3" w:rsidRDefault="00E33A88" w:rsidP="00C917D6">
            <w:pPr>
              <w:pStyle w:val="NormalLeft"/>
            </w:pPr>
            <w:r w:rsidRPr="00DE12A3">
              <w:rPr>
                <w:noProof/>
                <w:lang w:val="tr-TR"/>
              </w:rPr>
              <w:lastRenderedPageBreak/>
              <w:drawing>
                <wp:inline distT="0" distB="0" distL="0" distR="0" wp14:anchorId="23A031E7" wp14:editId="53A741E9">
                  <wp:extent cx="3182620" cy="480646"/>
                  <wp:effectExtent l="0" t="0" r="0" b="0"/>
                  <wp:docPr id="44" name="Resim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3192909" cy="482200"/>
                          </a:xfrm>
                          <a:prstGeom prst="rect">
                            <a:avLst/>
                          </a:prstGeom>
                          <a:noFill/>
                          <a:ln>
                            <a:noFill/>
                          </a:ln>
                        </pic:spPr>
                      </pic:pic>
                    </a:graphicData>
                  </a:graphic>
                </wp:inline>
              </w:drawing>
            </w:r>
          </w:p>
        </w:tc>
        <w:tc>
          <w:tcPr>
            <w:tcW w:w="1021" w:type="dxa"/>
          </w:tcPr>
          <w:p w14:paraId="52F8D729" w14:textId="77777777" w:rsidR="00E33A88" w:rsidRPr="00DE12A3" w:rsidRDefault="00E33A88" w:rsidP="00C917D6">
            <w:pPr>
              <w:pStyle w:val="NormalLeft"/>
            </w:pPr>
            <w:r w:rsidRPr="00DE12A3">
              <w:t>(7-101)</w:t>
            </w:r>
          </w:p>
        </w:tc>
      </w:tr>
    </w:tbl>
    <w:p w14:paraId="0A18395E" w14:textId="77777777" w:rsidR="002855B1" w:rsidRPr="00DE12A3" w:rsidRDefault="002855B1" w:rsidP="00C917D6">
      <w:pPr>
        <w:widowControl/>
        <w:tabs>
          <w:tab w:val="left" w:pos="8789"/>
        </w:tabs>
        <w:spacing w:before="120" w:after="120"/>
        <w:ind w:left="709" w:hanging="709"/>
        <w:jc w:val="both"/>
        <w:rPr>
          <w:rFonts w:cs="Times New Roman"/>
          <w:color w:val="auto"/>
          <w:sz w:val="20"/>
          <w:szCs w:val="20"/>
          <w:lang w:eastAsia="en-US"/>
        </w:rPr>
      </w:pPr>
    </w:p>
    <w:p w14:paraId="5E5D73D5" w14:textId="77777777" w:rsidR="002D7B36" w:rsidRPr="00DE12A3" w:rsidRDefault="00E33A88" w:rsidP="00C917D6">
      <w:pPr>
        <w:pStyle w:val="Gvdemetni251"/>
        <w:shd w:val="clear" w:color="auto" w:fill="auto"/>
        <w:spacing w:before="120" w:after="120" w:line="240" w:lineRule="auto"/>
        <w:ind w:left="1134" w:hanging="1134"/>
        <w:rPr>
          <w:color w:val="auto"/>
          <w:sz w:val="24"/>
          <w:szCs w:val="24"/>
        </w:rPr>
      </w:pPr>
      <w:r w:rsidRPr="00DE12A3">
        <w:rPr>
          <w:color w:val="auto"/>
          <w:sz w:val="24"/>
          <w:szCs w:val="24"/>
        </w:rPr>
        <w:t xml:space="preserve">                  </w:t>
      </w:r>
      <w:r w:rsidR="00242DA0" w:rsidRPr="00DE12A3">
        <w:rPr>
          <w:color w:val="auto"/>
          <w:sz w:val="24"/>
          <w:szCs w:val="24"/>
        </w:rPr>
        <w:t>Kimyasal dengenin sonunda, molar akış hızı, 3.5.3 ve 3.6.3 bentlerinde belirtilen şekilde hesaplanır.</w:t>
      </w:r>
    </w:p>
    <w:p w14:paraId="4231A46C" w14:textId="77777777" w:rsidR="002D7B36" w:rsidRPr="00DE12A3" w:rsidRDefault="00E33A88" w:rsidP="00E20716">
      <w:pPr>
        <w:pStyle w:val="Gvdemetni251"/>
        <w:numPr>
          <w:ilvl w:val="2"/>
          <w:numId w:val="421"/>
        </w:numPr>
        <w:shd w:val="clear" w:color="auto" w:fill="auto"/>
        <w:spacing w:before="120" w:after="120" w:line="240" w:lineRule="auto"/>
        <w:ind w:left="1134" w:hanging="1134"/>
        <w:rPr>
          <w:color w:val="auto"/>
          <w:sz w:val="24"/>
          <w:szCs w:val="24"/>
        </w:rPr>
      </w:pPr>
      <w:r w:rsidRPr="00DE12A3">
        <w:rPr>
          <w:color w:val="auto"/>
          <w:sz w:val="24"/>
          <w:szCs w:val="24"/>
        </w:rPr>
        <w:t xml:space="preserve">       </w:t>
      </w:r>
      <w:r w:rsidR="00242DA0" w:rsidRPr="00DE12A3">
        <w:rPr>
          <w:color w:val="auto"/>
          <w:sz w:val="24"/>
          <w:szCs w:val="24"/>
        </w:rPr>
        <w:t>Nem için NO</w:t>
      </w:r>
      <w:r w:rsidR="00242DA0" w:rsidRPr="00DE12A3">
        <w:rPr>
          <w:color w:val="auto"/>
          <w:sz w:val="24"/>
          <w:szCs w:val="24"/>
          <w:vertAlign w:val="subscript"/>
        </w:rPr>
        <w:t>x</w:t>
      </w:r>
      <w:r w:rsidR="00242DA0" w:rsidRPr="00DE12A3">
        <w:rPr>
          <w:color w:val="auto"/>
          <w:sz w:val="24"/>
          <w:szCs w:val="24"/>
        </w:rPr>
        <w:t xml:space="preserve"> düzeltmesi</w:t>
      </w:r>
    </w:p>
    <w:p w14:paraId="057D883F" w14:textId="778FCE16" w:rsidR="002D7B36" w:rsidRPr="00DE12A3" w:rsidRDefault="002855B1" w:rsidP="00C917D6">
      <w:pPr>
        <w:pStyle w:val="Gvdemetni251"/>
        <w:shd w:val="clear" w:color="auto" w:fill="auto"/>
        <w:spacing w:before="120" w:after="120" w:line="240" w:lineRule="auto"/>
        <w:ind w:left="1134" w:hanging="1134"/>
        <w:rPr>
          <w:color w:val="auto"/>
          <w:sz w:val="24"/>
          <w:szCs w:val="24"/>
        </w:rPr>
      </w:pPr>
      <w:r w:rsidRPr="00DE12A3">
        <w:rPr>
          <w:color w:val="auto"/>
          <w:sz w:val="24"/>
          <w:szCs w:val="24"/>
        </w:rPr>
        <w:t xml:space="preserve">                  </w:t>
      </w:r>
      <w:r w:rsidR="00242DA0" w:rsidRPr="00DE12A3">
        <w:rPr>
          <w:color w:val="auto"/>
          <w:sz w:val="24"/>
          <w:szCs w:val="24"/>
        </w:rPr>
        <w:t>Seyreltme havası arka plan konsantrasyonları dahil olmak üzere tüm NO</w:t>
      </w:r>
      <w:r w:rsidR="00242DA0" w:rsidRPr="00DE12A3">
        <w:rPr>
          <w:color w:val="auto"/>
          <w:sz w:val="24"/>
          <w:szCs w:val="24"/>
          <w:vertAlign w:val="subscript"/>
        </w:rPr>
        <w:t>x</w:t>
      </w:r>
      <w:r w:rsidR="00242DA0" w:rsidRPr="00DE12A3">
        <w:rPr>
          <w:color w:val="auto"/>
          <w:sz w:val="24"/>
          <w:szCs w:val="24"/>
        </w:rPr>
        <w:t xml:space="preserve"> konsantrasyonları, (7-102) veya (7-103) </w:t>
      </w:r>
      <w:r w:rsidR="00962CA1" w:rsidRPr="00DE12A3">
        <w:rPr>
          <w:color w:val="auto"/>
          <w:sz w:val="24"/>
          <w:szCs w:val="24"/>
        </w:rPr>
        <w:t>numaralı</w:t>
      </w:r>
      <w:r w:rsidR="00962CA1" w:rsidRPr="00DE12A3" w:rsidDel="00962CA1">
        <w:rPr>
          <w:color w:val="auto"/>
          <w:sz w:val="24"/>
          <w:szCs w:val="24"/>
        </w:rPr>
        <w:t xml:space="preserve"> </w:t>
      </w:r>
      <w:r w:rsidR="00242DA0" w:rsidRPr="00DE12A3">
        <w:rPr>
          <w:color w:val="auto"/>
          <w:sz w:val="24"/>
          <w:szCs w:val="24"/>
        </w:rPr>
        <w:t>denklem kullanılarak emme havası nemi bakımından düzeltilmelidir:</w:t>
      </w:r>
    </w:p>
    <w:p w14:paraId="3BE09787" w14:textId="441C466B" w:rsidR="002D7B36" w:rsidRPr="00DE12A3" w:rsidRDefault="002855B1" w:rsidP="00E20716">
      <w:pPr>
        <w:pStyle w:val="Gvdemetni251"/>
        <w:numPr>
          <w:ilvl w:val="0"/>
          <w:numId w:val="429"/>
        </w:numPr>
        <w:shd w:val="clear" w:color="auto" w:fill="auto"/>
        <w:spacing w:before="120" w:after="120" w:line="240" w:lineRule="auto"/>
        <w:ind w:left="1134" w:hanging="1134"/>
        <w:rPr>
          <w:color w:val="auto"/>
          <w:sz w:val="24"/>
          <w:szCs w:val="24"/>
        </w:rPr>
      </w:pPr>
      <w:r w:rsidRPr="00DE12A3">
        <w:rPr>
          <w:color w:val="auto"/>
          <w:sz w:val="24"/>
          <w:szCs w:val="24"/>
        </w:rPr>
        <w:t xml:space="preserve">       </w:t>
      </w:r>
      <w:r w:rsidR="00242DA0" w:rsidRPr="00DE12A3">
        <w:rPr>
          <w:color w:val="auto"/>
          <w:sz w:val="24"/>
          <w:szCs w:val="24"/>
        </w:rPr>
        <w:t>Sıkıştırma ateşlemeli motorlar için</w:t>
      </w:r>
      <w:r w:rsidR="00092BD4" w:rsidRPr="00DE12A3">
        <w:rPr>
          <w:color w:val="auto"/>
          <w:sz w:val="24"/>
          <w:szCs w:val="24"/>
        </w:rPr>
        <w:t>;</w:t>
      </w:r>
    </w:p>
    <w:p w14:paraId="3221EA30" w14:textId="043B4E1B" w:rsidR="002D7B36" w:rsidRPr="00DE12A3" w:rsidRDefault="00242DA0" w:rsidP="00C917D6">
      <w:pPr>
        <w:widowControl/>
        <w:tabs>
          <w:tab w:val="left" w:pos="8789"/>
        </w:tabs>
        <w:spacing w:before="120" w:after="120"/>
        <w:ind w:left="1134" w:hanging="1134"/>
        <w:jc w:val="center"/>
        <w:rPr>
          <w:rFonts w:cs="Times New Roman"/>
          <w:color w:val="auto"/>
          <w:lang w:eastAsia="en-US"/>
        </w:rPr>
      </w:pPr>
      <w:r w:rsidRPr="00DE12A3">
        <w:rPr>
          <w:rFonts w:cs="Times New Roman"/>
          <w:noProof/>
          <w:color w:val="auto"/>
        </w:rPr>
        <w:drawing>
          <wp:inline distT="0" distB="0" distL="0" distR="0" wp14:anchorId="52985D10" wp14:editId="3A370B5A">
            <wp:extent cx="4455942" cy="607060"/>
            <wp:effectExtent l="0" t="0" r="1905" b="2540"/>
            <wp:docPr id="2396" name="Resim 2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6" name="Resim 2396"/>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a:xfrm>
                      <a:off x="0" y="0"/>
                      <a:ext cx="4463843" cy="608136"/>
                    </a:xfrm>
                    <a:prstGeom prst="rect">
                      <a:avLst/>
                    </a:prstGeom>
                    <a:noFill/>
                    <a:ln>
                      <a:noFill/>
                    </a:ln>
                  </pic:spPr>
                </pic:pic>
              </a:graphicData>
            </a:graphic>
          </wp:inline>
        </w:drawing>
      </w:r>
    </w:p>
    <w:p w14:paraId="5A220C9A" w14:textId="0BC65C4A" w:rsidR="002D7B36" w:rsidRPr="00DE12A3" w:rsidRDefault="00242DA0" w:rsidP="00E20716">
      <w:pPr>
        <w:pStyle w:val="Gvdemetni251"/>
        <w:numPr>
          <w:ilvl w:val="0"/>
          <w:numId w:val="429"/>
        </w:numPr>
        <w:shd w:val="clear" w:color="auto" w:fill="auto"/>
        <w:tabs>
          <w:tab w:val="left" w:pos="1038"/>
        </w:tabs>
        <w:spacing w:before="120" w:after="120" w:line="240" w:lineRule="auto"/>
        <w:ind w:left="1134" w:hanging="1134"/>
        <w:rPr>
          <w:color w:val="auto"/>
          <w:sz w:val="24"/>
          <w:szCs w:val="24"/>
        </w:rPr>
      </w:pPr>
      <w:r w:rsidRPr="00DE12A3">
        <w:rPr>
          <w:color w:val="auto"/>
          <w:sz w:val="24"/>
          <w:szCs w:val="24"/>
        </w:rPr>
        <w:t>Kıvılcım ateşlemeli motorlar için</w:t>
      </w:r>
      <w:r w:rsidR="00092BD4" w:rsidRPr="00DE12A3">
        <w:rPr>
          <w:color w:val="auto"/>
          <w:sz w:val="24"/>
          <w:szCs w:val="24"/>
        </w:rPr>
        <w:t>;</w:t>
      </w:r>
    </w:p>
    <w:p w14:paraId="674A4FA0" w14:textId="77777777" w:rsidR="002D7B36" w:rsidRPr="00DE12A3" w:rsidRDefault="002D7B36" w:rsidP="00C917D6">
      <w:pPr>
        <w:widowControl/>
        <w:tabs>
          <w:tab w:val="left" w:pos="8789"/>
        </w:tabs>
        <w:spacing w:before="120" w:after="120"/>
        <w:ind w:left="1134" w:hanging="1134"/>
        <w:jc w:val="both"/>
        <w:rPr>
          <w:rFonts w:cs="Times New Roman"/>
          <w:color w:val="auto"/>
          <w:lang w:eastAsia="en-US"/>
        </w:rPr>
      </w:pPr>
    </w:p>
    <w:p w14:paraId="28DDAB9B" w14:textId="7F0C5F3D" w:rsidR="002D7B36" w:rsidRPr="00DE12A3" w:rsidRDefault="00242DA0" w:rsidP="00C917D6">
      <w:pPr>
        <w:widowControl/>
        <w:tabs>
          <w:tab w:val="left" w:pos="8789"/>
        </w:tabs>
        <w:spacing w:before="120" w:after="120"/>
        <w:ind w:left="1134" w:hanging="1134"/>
        <w:jc w:val="center"/>
        <w:rPr>
          <w:rFonts w:cs="Times New Roman"/>
          <w:color w:val="auto"/>
          <w:lang w:eastAsia="en-US"/>
        </w:rPr>
      </w:pPr>
      <w:r w:rsidRPr="00DE12A3">
        <w:rPr>
          <w:rFonts w:cs="Times New Roman"/>
          <w:noProof/>
          <w:color w:val="auto"/>
        </w:rPr>
        <w:drawing>
          <wp:inline distT="0" distB="0" distL="0" distR="0" wp14:anchorId="6CBB3BAF" wp14:editId="65ED870F">
            <wp:extent cx="4297680" cy="636270"/>
            <wp:effectExtent l="0" t="0" r="7620" b="0"/>
            <wp:docPr id="2397" name="Resim 23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7" name="Resim 2397"/>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a:xfrm>
                      <a:off x="0" y="0"/>
                      <a:ext cx="4303334" cy="637107"/>
                    </a:xfrm>
                    <a:prstGeom prst="rect">
                      <a:avLst/>
                    </a:prstGeom>
                    <a:noFill/>
                    <a:ln>
                      <a:noFill/>
                    </a:ln>
                  </pic:spPr>
                </pic:pic>
              </a:graphicData>
            </a:graphic>
          </wp:inline>
        </w:drawing>
      </w:r>
    </w:p>
    <w:p w14:paraId="5B0D2429" w14:textId="77777777" w:rsidR="002D7B36" w:rsidRPr="00DE12A3" w:rsidRDefault="00242DA0" w:rsidP="00C917D6">
      <w:pPr>
        <w:pStyle w:val="Gvdemetni251"/>
        <w:shd w:val="clear" w:color="auto" w:fill="auto"/>
        <w:spacing w:before="120" w:after="120" w:line="240" w:lineRule="auto"/>
        <w:ind w:left="1134" w:firstLine="0"/>
        <w:rPr>
          <w:color w:val="auto"/>
          <w:sz w:val="24"/>
          <w:szCs w:val="24"/>
        </w:rPr>
      </w:pPr>
      <w:r w:rsidRPr="00DE12A3">
        <w:rPr>
          <w:color w:val="auto"/>
          <w:sz w:val="24"/>
          <w:szCs w:val="24"/>
        </w:rPr>
        <w:t>Burada:</w:t>
      </w:r>
    </w:p>
    <w:p w14:paraId="22312458" w14:textId="3EC1B802" w:rsidR="002D7B36" w:rsidRPr="00DE12A3" w:rsidRDefault="00242DA0" w:rsidP="00C917D6">
      <w:pPr>
        <w:pStyle w:val="Gvdemetni251"/>
        <w:shd w:val="clear" w:color="auto" w:fill="auto"/>
        <w:spacing w:before="120" w:after="120" w:line="240" w:lineRule="auto"/>
        <w:ind w:left="1134" w:firstLine="0"/>
        <w:rPr>
          <w:color w:val="auto"/>
          <w:sz w:val="24"/>
          <w:szCs w:val="24"/>
        </w:rPr>
      </w:pPr>
      <w:r w:rsidRPr="00DE12A3">
        <w:rPr>
          <w:i/>
          <w:iCs/>
          <w:color w:val="auto"/>
          <w:sz w:val="24"/>
          <w:szCs w:val="24"/>
        </w:rPr>
        <w:t>x</w:t>
      </w:r>
      <w:r w:rsidRPr="00DE12A3">
        <w:rPr>
          <w:color w:val="auto"/>
          <w:sz w:val="24"/>
          <w:szCs w:val="24"/>
          <w:vertAlign w:val="subscript"/>
        </w:rPr>
        <w:t>NOxuncor</w:t>
      </w:r>
      <w:r w:rsidRPr="00DE12A3">
        <w:rPr>
          <w:color w:val="auto"/>
          <w:sz w:val="24"/>
          <w:szCs w:val="24"/>
        </w:rPr>
        <w:t xml:space="preserve"> = </w:t>
      </w:r>
      <w:r w:rsidR="00716C4F" w:rsidRPr="00DE12A3">
        <w:rPr>
          <w:color w:val="auto"/>
          <w:sz w:val="24"/>
          <w:szCs w:val="24"/>
        </w:rPr>
        <w:t xml:space="preserve">Egzoz </w:t>
      </w:r>
      <w:r w:rsidRPr="00DE12A3">
        <w:rPr>
          <w:color w:val="auto"/>
          <w:sz w:val="24"/>
          <w:szCs w:val="24"/>
        </w:rPr>
        <w:t>gazı içindeki düzeltilmemiş NOx molar konsantrasyonu [μmol/mol]</w:t>
      </w:r>
    </w:p>
    <w:p w14:paraId="524C0994" w14:textId="055CF6E4" w:rsidR="002D7B36" w:rsidRPr="00DE12A3" w:rsidRDefault="00242DA0" w:rsidP="00C917D6">
      <w:pPr>
        <w:pStyle w:val="Gvdemetni251"/>
        <w:shd w:val="clear" w:color="auto" w:fill="auto"/>
        <w:tabs>
          <w:tab w:val="right" w:pos="5086"/>
        </w:tabs>
        <w:spacing w:before="120" w:after="120" w:line="240" w:lineRule="auto"/>
        <w:ind w:left="1134" w:firstLine="0"/>
        <w:rPr>
          <w:color w:val="auto"/>
          <w:sz w:val="24"/>
          <w:szCs w:val="24"/>
        </w:rPr>
      </w:pPr>
      <w:r w:rsidRPr="00DE12A3">
        <w:rPr>
          <w:i/>
          <w:iCs/>
          <w:color w:val="auto"/>
          <w:sz w:val="24"/>
          <w:szCs w:val="24"/>
        </w:rPr>
        <w:t>x</w:t>
      </w:r>
      <w:r w:rsidRPr="00DE12A3">
        <w:rPr>
          <w:color w:val="auto"/>
          <w:sz w:val="24"/>
          <w:szCs w:val="24"/>
          <w:vertAlign w:val="subscript"/>
        </w:rPr>
        <w:t>H2O</w:t>
      </w:r>
      <w:r w:rsidRPr="00DE12A3">
        <w:rPr>
          <w:color w:val="auto"/>
          <w:sz w:val="24"/>
          <w:szCs w:val="24"/>
        </w:rPr>
        <w:tab/>
        <w:t xml:space="preserve">= </w:t>
      </w:r>
      <w:r w:rsidR="00716C4F" w:rsidRPr="00DE12A3">
        <w:rPr>
          <w:color w:val="auto"/>
          <w:sz w:val="24"/>
          <w:szCs w:val="24"/>
        </w:rPr>
        <w:t xml:space="preserve">Emme </w:t>
      </w:r>
      <w:r w:rsidRPr="00DE12A3">
        <w:rPr>
          <w:color w:val="auto"/>
          <w:sz w:val="24"/>
          <w:szCs w:val="24"/>
        </w:rPr>
        <w:t>havası içindeki su miktarı [mol/mol]</w:t>
      </w:r>
    </w:p>
    <w:p w14:paraId="4A1842CA" w14:textId="77777777" w:rsidR="002D7B36" w:rsidRPr="00DE12A3" w:rsidRDefault="002855B1" w:rsidP="00E20716">
      <w:pPr>
        <w:pStyle w:val="Gvdemetni251"/>
        <w:numPr>
          <w:ilvl w:val="1"/>
          <w:numId w:val="421"/>
        </w:numPr>
        <w:shd w:val="clear" w:color="auto" w:fill="auto"/>
        <w:spacing w:before="120" w:after="120" w:line="240" w:lineRule="auto"/>
        <w:ind w:left="1134" w:hanging="1134"/>
        <w:rPr>
          <w:color w:val="auto"/>
          <w:sz w:val="24"/>
          <w:szCs w:val="24"/>
        </w:rPr>
      </w:pPr>
      <w:r w:rsidRPr="00DE12A3">
        <w:rPr>
          <w:color w:val="auto"/>
          <w:sz w:val="24"/>
          <w:szCs w:val="24"/>
        </w:rPr>
        <w:t xml:space="preserve">       </w:t>
      </w:r>
      <w:r w:rsidR="00242DA0" w:rsidRPr="00DE12A3">
        <w:rPr>
          <w:color w:val="auto"/>
          <w:sz w:val="24"/>
          <w:szCs w:val="24"/>
        </w:rPr>
        <w:t>Ham egzoz gazındaki gaz emisyonlarının ölçümü</w:t>
      </w:r>
    </w:p>
    <w:p w14:paraId="1FC718ED" w14:textId="77777777" w:rsidR="002D7B36" w:rsidRPr="00DE12A3" w:rsidRDefault="002855B1" w:rsidP="00E20716">
      <w:pPr>
        <w:pStyle w:val="Gvdemetni251"/>
        <w:numPr>
          <w:ilvl w:val="2"/>
          <w:numId w:val="421"/>
        </w:numPr>
        <w:shd w:val="clear" w:color="auto" w:fill="auto"/>
        <w:spacing w:before="120" w:after="120" w:line="240" w:lineRule="auto"/>
        <w:ind w:left="1134" w:hanging="1134"/>
        <w:rPr>
          <w:color w:val="auto"/>
          <w:sz w:val="24"/>
          <w:szCs w:val="24"/>
        </w:rPr>
      </w:pPr>
      <w:r w:rsidRPr="00DE12A3">
        <w:rPr>
          <w:color w:val="auto"/>
          <w:sz w:val="24"/>
          <w:szCs w:val="24"/>
        </w:rPr>
        <w:t xml:space="preserve">        </w:t>
      </w:r>
      <w:r w:rsidR="00242DA0" w:rsidRPr="00DE12A3">
        <w:rPr>
          <w:color w:val="auto"/>
          <w:sz w:val="24"/>
          <w:szCs w:val="24"/>
        </w:rPr>
        <w:t>Gaz emisyonlarının kütlesi</w:t>
      </w:r>
    </w:p>
    <w:p w14:paraId="3413F1E6" w14:textId="62E20D96" w:rsidR="002D7B36" w:rsidRPr="00DE12A3" w:rsidRDefault="002855B1" w:rsidP="00C917D6">
      <w:pPr>
        <w:pStyle w:val="Gvdemetni251"/>
        <w:shd w:val="clear" w:color="auto" w:fill="auto"/>
        <w:spacing w:before="120" w:after="120" w:line="240" w:lineRule="auto"/>
        <w:ind w:left="1134" w:hanging="1134"/>
        <w:rPr>
          <w:color w:val="auto"/>
          <w:sz w:val="24"/>
          <w:szCs w:val="24"/>
        </w:rPr>
      </w:pPr>
      <w:r w:rsidRPr="00DE12A3">
        <w:rPr>
          <w:color w:val="auto"/>
          <w:sz w:val="24"/>
          <w:szCs w:val="24"/>
        </w:rPr>
        <w:t xml:space="preserve">                   </w:t>
      </w:r>
      <w:r w:rsidR="00242DA0" w:rsidRPr="00DE12A3">
        <w:rPr>
          <w:color w:val="auto"/>
          <w:sz w:val="24"/>
          <w:szCs w:val="24"/>
        </w:rPr>
        <w:t xml:space="preserve">Test başına gaz emisyonu toplam kütlesi </w:t>
      </w:r>
      <w:r w:rsidR="00242DA0" w:rsidRPr="00DE12A3">
        <w:rPr>
          <w:i/>
          <w:iCs/>
          <w:color w:val="auto"/>
          <w:sz w:val="24"/>
          <w:szCs w:val="24"/>
        </w:rPr>
        <w:t>m</w:t>
      </w:r>
      <w:r w:rsidR="00242DA0" w:rsidRPr="00DE12A3">
        <w:rPr>
          <w:color w:val="auto"/>
          <w:sz w:val="24"/>
          <w:szCs w:val="24"/>
          <w:vertAlign w:val="subscript"/>
        </w:rPr>
        <w:t>gas</w:t>
      </w:r>
      <w:r w:rsidR="00242DA0" w:rsidRPr="00DE12A3">
        <w:rPr>
          <w:color w:val="auto"/>
          <w:sz w:val="24"/>
          <w:szCs w:val="24"/>
        </w:rPr>
        <w:t xml:space="preserve">'ın [g/test] hesaplanması için, molar konsantrasyonu, ilgili molar akışı ve egzoz gazı molar kütlesi ile çarpılmalı; daha sonra test </w:t>
      </w:r>
      <w:r w:rsidR="00F310B5" w:rsidRPr="00DE12A3">
        <w:rPr>
          <w:color w:val="auto"/>
          <w:sz w:val="24"/>
          <w:szCs w:val="24"/>
        </w:rPr>
        <w:t>çevrimi</w:t>
      </w:r>
      <w:r w:rsidR="00242DA0" w:rsidRPr="00DE12A3">
        <w:rPr>
          <w:color w:val="auto"/>
          <w:sz w:val="24"/>
          <w:szCs w:val="24"/>
        </w:rPr>
        <w:t xml:space="preserve"> boyunca entegrasyon gerçekleştirilmelidir [(7-104) </w:t>
      </w:r>
      <w:r w:rsidR="00962CA1" w:rsidRPr="00DE12A3">
        <w:rPr>
          <w:color w:val="auto"/>
          <w:sz w:val="24"/>
          <w:szCs w:val="24"/>
        </w:rPr>
        <w:t>numaralı</w:t>
      </w:r>
      <w:r w:rsidR="00962CA1" w:rsidRPr="00DE12A3" w:rsidDel="00962CA1">
        <w:rPr>
          <w:color w:val="auto"/>
          <w:sz w:val="24"/>
          <w:szCs w:val="24"/>
        </w:rPr>
        <w:t xml:space="preserve"> </w:t>
      </w:r>
      <w:r w:rsidR="00242DA0" w:rsidRPr="00DE12A3">
        <w:rPr>
          <w:color w:val="auto"/>
          <w:sz w:val="24"/>
          <w:szCs w:val="24"/>
        </w:rPr>
        <w:t>denklem]:</w:t>
      </w:r>
    </w:p>
    <w:p w14:paraId="7C33C810" w14:textId="19A9D3B3" w:rsidR="00522021" w:rsidRPr="00DE12A3" w:rsidRDefault="00522021" w:rsidP="00522021">
      <w:pPr>
        <w:pStyle w:val="Gvdemetni251"/>
        <w:shd w:val="clear" w:color="auto" w:fill="auto"/>
        <w:spacing w:before="120" w:after="120" w:line="240" w:lineRule="auto"/>
        <w:ind w:left="1134" w:hanging="1134"/>
        <w:jc w:val="center"/>
        <w:rPr>
          <w:color w:val="auto"/>
          <w:sz w:val="24"/>
          <w:szCs w:val="24"/>
        </w:rPr>
      </w:pPr>
      <w:r w:rsidRPr="00DE12A3">
        <w:rPr>
          <w:noProof/>
          <w:color w:val="auto"/>
          <w:sz w:val="24"/>
          <w:szCs w:val="24"/>
        </w:rPr>
        <w:drawing>
          <wp:inline distT="0" distB="0" distL="0" distR="0" wp14:anchorId="6463263C" wp14:editId="4ABEB931">
            <wp:extent cx="3532082" cy="662940"/>
            <wp:effectExtent l="0" t="0" r="0" b="3810"/>
            <wp:docPr id="2378" name="Resim 2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3538037" cy="664058"/>
                    </a:xfrm>
                    <a:prstGeom prst="rect">
                      <a:avLst/>
                    </a:prstGeom>
                    <a:noFill/>
                    <a:ln>
                      <a:noFill/>
                    </a:ln>
                  </pic:spPr>
                </pic:pic>
              </a:graphicData>
            </a:graphic>
          </wp:inline>
        </w:drawing>
      </w:r>
    </w:p>
    <w:p w14:paraId="698F00E6" w14:textId="77777777" w:rsidR="002D7B36" w:rsidRPr="00DE12A3" w:rsidRDefault="00242DA0" w:rsidP="00C917D6">
      <w:pPr>
        <w:pStyle w:val="Gvdemetni251"/>
        <w:shd w:val="clear" w:color="auto" w:fill="auto"/>
        <w:spacing w:before="120" w:after="120" w:line="240" w:lineRule="auto"/>
        <w:ind w:left="1134" w:firstLine="142"/>
        <w:rPr>
          <w:color w:val="auto"/>
          <w:sz w:val="24"/>
          <w:szCs w:val="24"/>
        </w:rPr>
      </w:pPr>
      <w:r w:rsidRPr="00DE12A3">
        <w:rPr>
          <w:color w:val="auto"/>
          <w:sz w:val="24"/>
          <w:szCs w:val="24"/>
        </w:rPr>
        <w:t>Burada:</w:t>
      </w:r>
    </w:p>
    <w:p w14:paraId="2E2277C2" w14:textId="50A2FA09" w:rsidR="002D7B36" w:rsidRPr="00DE12A3" w:rsidRDefault="00242DA0" w:rsidP="00C917D6">
      <w:pPr>
        <w:pStyle w:val="Gvdemetni251"/>
        <w:shd w:val="clear" w:color="auto" w:fill="auto"/>
        <w:tabs>
          <w:tab w:val="left" w:pos="1134"/>
        </w:tabs>
        <w:spacing w:before="120" w:after="120" w:line="240" w:lineRule="auto"/>
        <w:ind w:left="1134" w:firstLine="142"/>
        <w:rPr>
          <w:color w:val="auto"/>
          <w:sz w:val="24"/>
          <w:szCs w:val="24"/>
        </w:rPr>
      </w:pPr>
      <w:r w:rsidRPr="00DE12A3">
        <w:rPr>
          <w:i/>
          <w:iCs/>
          <w:color w:val="auto"/>
          <w:sz w:val="24"/>
          <w:szCs w:val="24"/>
        </w:rPr>
        <w:t>M</w:t>
      </w:r>
      <w:r w:rsidRPr="00DE12A3">
        <w:rPr>
          <w:color w:val="auto"/>
          <w:sz w:val="24"/>
          <w:szCs w:val="24"/>
          <w:vertAlign w:val="subscript"/>
        </w:rPr>
        <w:t>gas</w:t>
      </w:r>
      <w:r w:rsidRPr="00DE12A3">
        <w:rPr>
          <w:color w:val="auto"/>
          <w:sz w:val="24"/>
          <w:szCs w:val="24"/>
        </w:rPr>
        <w:tab/>
        <w:t>=</w:t>
      </w:r>
      <w:r w:rsidRPr="00DE12A3">
        <w:rPr>
          <w:color w:val="auto"/>
          <w:sz w:val="24"/>
          <w:szCs w:val="24"/>
        </w:rPr>
        <w:tab/>
      </w:r>
      <w:r w:rsidR="00716C4F" w:rsidRPr="00DE12A3">
        <w:rPr>
          <w:color w:val="auto"/>
          <w:sz w:val="24"/>
          <w:szCs w:val="24"/>
        </w:rPr>
        <w:t xml:space="preserve">Genel </w:t>
      </w:r>
      <w:r w:rsidRPr="00DE12A3">
        <w:rPr>
          <w:color w:val="auto"/>
          <w:sz w:val="24"/>
          <w:szCs w:val="24"/>
        </w:rPr>
        <w:t>gaz emisyonunun molar kütlesi [g/mol]</w:t>
      </w:r>
    </w:p>
    <w:p w14:paraId="7B591F25" w14:textId="33343644" w:rsidR="002D7B36" w:rsidRPr="00DE12A3" w:rsidRDefault="00242DA0" w:rsidP="00C917D6">
      <w:pPr>
        <w:pStyle w:val="Gvdemetni251"/>
        <w:shd w:val="clear" w:color="auto" w:fill="auto"/>
        <w:tabs>
          <w:tab w:val="left" w:pos="1134"/>
        </w:tabs>
        <w:spacing w:before="120" w:after="120" w:line="240" w:lineRule="auto"/>
        <w:ind w:left="1134" w:firstLine="142"/>
        <w:rPr>
          <w:color w:val="auto"/>
          <w:sz w:val="24"/>
          <w:szCs w:val="24"/>
        </w:rPr>
      </w:pPr>
      <w:r w:rsidRPr="00DE12A3">
        <w:rPr>
          <w:i/>
          <w:iCs/>
          <w:color w:val="auto"/>
          <w:sz w:val="24"/>
          <w:szCs w:val="24"/>
        </w:rPr>
        <w:t>M</w:t>
      </w:r>
      <w:r w:rsidRPr="00DE12A3">
        <w:rPr>
          <w:color w:val="auto"/>
          <w:sz w:val="24"/>
          <w:szCs w:val="24"/>
          <w:vertAlign w:val="subscript"/>
        </w:rPr>
        <w:t>exh</w:t>
      </w:r>
      <w:r w:rsidRPr="00DE12A3">
        <w:rPr>
          <w:color w:val="auto"/>
          <w:sz w:val="24"/>
          <w:szCs w:val="24"/>
        </w:rPr>
        <w:tab/>
        <w:t>=</w:t>
      </w:r>
      <w:r w:rsidRPr="00DE12A3">
        <w:rPr>
          <w:color w:val="auto"/>
          <w:sz w:val="24"/>
          <w:szCs w:val="24"/>
        </w:rPr>
        <w:tab/>
      </w:r>
      <w:r w:rsidR="00716C4F" w:rsidRPr="00DE12A3">
        <w:rPr>
          <w:color w:val="auto"/>
          <w:sz w:val="24"/>
          <w:szCs w:val="24"/>
        </w:rPr>
        <w:t xml:space="preserve">Yaş </w:t>
      </w:r>
      <w:r w:rsidRPr="00DE12A3">
        <w:rPr>
          <w:color w:val="auto"/>
          <w:sz w:val="24"/>
          <w:szCs w:val="24"/>
        </w:rPr>
        <w:t>bazda anlık egzoz gazı molar akış hızı [mol/s]</w:t>
      </w:r>
    </w:p>
    <w:p w14:paraId="250CCE32" w14:textId="68D2C2EA" w:rsidR="002D7B36" w:rsidRPr="00DE12A3" w:rsidRDefault="00242DA0" w:rsidP="00C917D6">
      <w:pPr>
        <w:pStyle w:val="Gvdemetni251"/>
        <w:shd w:val="clear" w:color="auto" w:fill="auto"/>
        <w:tabs>
          <w:tab w:val="left" w:pos="1134"/>
        </w:tabs>
        <w:spacing w:before="120" w:after="120" w:line="240" w:lineRule="auto"/>
        <w:ind w:left="1134" w:firstLine="142"/>
        <w:rPr>
          <w:color w:val="auto"/>
          <w:sz w:val="24"/>
          <w:szCs w:val="24"/>
        </w:rPr>
      </w:pPr>
      <w:r w:rsidRPr="00DE12A3">
        <w:rPr>
          <w:i/>
          <w:iCs/>
          <w:color w:val="auto"/>
          <w:sz w:val="24"/>
          <w:szCs w:val="24"/>
        </w:rPr>
        <w:t>x</w:t>
      </w:r>
      <w:r w:rsidRPr="00DE12A3">
        <w:rPr>
          <w:color w:val="auto"/>
          <w:sz w:val="24"/>
          <w:szCs w:val="24"/>
          <w:vertAlign w:val="subscript"/>
        </w:rPr>
        <w:t>gas</w:t>
      </w:r>
      <w:r w:rsidRPr="00DE12A3">
        <w:rPr>
          <w:color w:val="auto"/>
          <w:sz w:val="24"/>
          <w:szCs w:val="24"/>
        </w:rPr>
        <w:tab/>
        <w:t>=</w:t>
      </w:r>
      <w:r w:rsidRPr="00DE12A3">
        <w:rPr>
          <w:color w:val="auto"/>
          <w:sz w:val="24"/>
          <w:szCs w:val="24"/>
        </w:rPr>
        <w:tab/>
      </w:r>
      <w:r w:rsidR="00716C4F" w:rsidRPr="00DE12A3">
        <w:rPr>
          <w:color w:val="auto"/>
          <w:sz w:val="24"/>
          <w:szCs w:val="24"/>
        </w:rPr>
        <w:t xml:space="preserve">Yaş </w:t>
      </w:r>
      <w:r w:rsidRPr="00DE12A3">
        <w:rPr>
          <w:color w:val="auto"/>
          <w:sz w:val="24"/>
          <w:szCs w:val="24"/>
        </w:rPr>
        <w:t>bazda anlık genel gaz molar konsantrasyonu [mol/mol]</w:t>
      </w:r>
    </w:p>
    <w:p w14:paraId="774F2276" w14:textId="40BA3FD4" w:rsidR="002D7B36" w:rsidRPr="00DE12A3" w:rsidRDefault="00242DA0" w:rsidP="00C917D6">
      <w:pPr>
        <w:pStyle w:val="Gvdemetni251"/>
        <w:shd w:val="clear" w:color="auto" w:fill="auto"/>
        <w:tabs>
          <w:tab w:val="left" w:pos="1134"/>
        </w:tabs>
        <w:spacing w:before="120" w:after="120" w:line="240" w:lineRule="auto"/>
        <w:ind w:left="1134" w:firstLine="142"/>
        <w:rPr>
          <w:color w:val="auto"/>
          <w:sz w:val="24"/>
          <w:szCs w:val="24"/>
        </w:rPr>
      </w:pPr>
      <w:r w:rsidRPr="00DE12A3">
        <w:rPr>
          <w:rStyle w:val="Gvdemetni254pttalik0ptbolukbraklyor35"/>
          <w:color w:val="auto"/>
          <w:sz w:val="24"/>
          <w:szCs w:val="24"/>
        </w:rPr>
        <w:t>t</w:t>
      </w:r>
      <w:r w:rsidRPr="00DE12A3">
        <w:rPr>
          <w:color w:val="auto"/>
          <w:sz w:val="24"/>
          <w:szCs w:val="24"/>
        </w:rPr>
        <w:tab/>
        <w:t>=</w:t>
      </w:r>
      <w:r w:rsidRPr="00DE12A3">
        <w:rPr>
          <w:color w:val="auto"/>
          <w:sz w:val="24"/>
          <w:szCs w:val="24"/>
        </w:rPr>
        <w:tab/>
      </w:r>
      <w:r w:rsidR="00716C4F" w:rsidRPr="00DE12A3">
        <w:rPr>
          <w:color w:val="auto"/>
          <w:sz w:val="24"/>
          <w:szCs w:val="24"/>
        </w:rPr>
        <w:t xml:space="preserve">Zaman </w:t>
      </w:r>
      <w:r w:rsidRPr="00DE12A3">
        <w:rPr>
          <w:color w:val="auto"/>
          <w:sz w:val="24"/>
          <w:szCs w:val="24"/>
        </w:rPr>
        <w:t>[s]</w:t>
      </w:r>
    </w:p>
    <w:p w14:paraId="31EA01F4" w14:textId="744A9032" w:rsidR="002D7B36" w:rsidRPr="00DE12A3" w:rsidRDefault="00242DA0" w:rsidP="00C917D6">
      <w:pPr>
        <w:pStyle w:val="Gvdemetni251"/>
        <w:shd w:val="clear" w:color="auto" w:fill="auto"/>
        <w:spacing w:before="120" w:after="120" w:line="240" w:lineRule="auto"/>
        <w:ind w:left="1134" w:firstLine="142"/>
        <w:rPr>
          <w:color w:val="auto"/>
          <w:sz w:val="24"/>
          <w:szCs w:val="24"/>
        </w:rPr>
      </w:pPr>
      <w:r w:rsidRPr="00DE12A3">
        <w:rPr>
          <w:color w:val="auto"/>
          <w:sz w:val="24"/>
          <w:szCs w:val="24"/>
        </w:rPr>
        <w:t xml:space="preserve">(7-104) </w:t>
      </w:r>
      <w:r w:rsidR="00962CA1" w:rsidRPr="00DE12A3">
        <w:rPr>
          <w:color w:val="auto"/>
          <w:sz w:val="24"/>
          <w:szCs w:val="24"/>
        </w:rPr>
        <w:t>numaralı</w:t>
      </w:r>
      <w:r w:rsidR="00962CA1" w:rsidRPr="00DE12A3" w:rsidDel="00962CA1">
        <w:rPr>
          <w:color w:val="auto"/>
          <w:sz w:val="24"/>
          <w:szCs w:val="24"/>
        </w:rPr>
        <w:t xml:space="preserve"> </w:t>
      </w:r>
      <w:r w:rsidRPr="00DE12A3">
        <w:rPr>
          <w:color w:val="auto"/>
          <w:sz w:val="24"/>
          <w:szCs w:val="24"/>
        </w:rPr>
        <w:t xml:space="preserve">denklemin sayısal entegrasyonla çözülmesi gerektiğinden, (7-105) </w:t>
      </w:r>
      <w:r w:rsidR="00962CA1" w:rsidRPr="00DE12A3">
        <w:rPr>
          <w:color w:val="auto"/>
          <w:sz w:val="24"/>
          <w:szCs w:val="24"/>
        </w:rPr>
        <w:t>numaralı</w:t>
      </w:r>
      <w:r w:rsidR="00962CA1" w:rsidRPr="00DE12A3" w:rsidDel="00962CA1">
        <w:rPr>
          <w:color w:val="auto"/>
          <w:sz w:val="24"/>
          <w:szCs w:val="24"/>
        </w:rPr>
        <w:t xml:space="preserve"> </w:t>
      </w:r>
      <w:r w:rsidRPr="00DE12A3">
        <w:rPr>
          <w:color w:val="auto"/>
          <w:sz w:val="24"/>
          <w:szCs w:val="24"/>
        </w:rPr>
        <w:t>denklemde dönüştürülür:</w:t>
      </w:r>
    </w:p>
    <w:p w14:paraId="7959B57E" w14:textId="77777777" w:rsidR="00522021" w:rsidRPr="00DE12A3" w:rsidRDefault="00522021" w:rsidP="00C917D6">
      <w:pPr>
        <w:pStyle w:val="Gvdemetni251"/>
        <w:shd w:val="clear" w:color="auto" w:fill="auto"/>
        <w:spacing w:before="120" w:after="120" w:line="240" w:lineRule="auto"/>
        <w:ind w:left="1134" w:firstLine="142"/>
        <w:rPr>
          <w:color w:val="auto"/>
          <w:sz w:val="24"/>
          <w:szCs w:val="24"/>
        </w:rPr>
      </w:pPr>
    </w:p>
    <w:p w14:paraId="0194AA66" w14:textId="6FBD71BD" w:rsidR="00522021" w:rsidRPr="00DE12A3" w:rsidRDefault="00522021" w:rsidP="00C917D6">
      <w:pPr>
        <w:pStyle w:val="Gvdemetni251"/>
        <w:shd w:val="clear" w:color="auto" w:fill="auto"/>
        <w:spacing w:before="120" w:after="120" w:line="240" w:lineRule="auto"/>
        <w:ind w:left="1134" w:firstLine="142"/>
        <w:rPr>
          <w:color w:val="auto"/>
          <w:sz w:val="24"/>
          <w:szCs w:val="24"/>
        </w:rPr>
      </w:pPr>
      <w:r w:rsidRPr="00DE12A3">
        <w:rPr>
          <w:noProof/>
          <w:color w:val="auto"/>
          <w:sz w:val="24"/>
          <w:szCs w:val="24"/>
        </w:rPr>
        <w:lastRenderedPageBreak/>
        <w:drawing>
          <wp:inline distT="0" distB="0" distL="0" distR="0" wp14:anchorId="11D36E23" wp14:editId="7734E650">
            <wp:extent cx="4716780" cy="1089025"/>
            <wp:effectExtent l="0" t="0" r="7620" b="0"/>
            <wp:docPr id="2385" name="Resim 2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4718709" cy="1089470"/>
                    </a:xfrm>
                    <a:prstGeom prst="rect">
                      <a:avLst/>
                    </a:prstGeom>
                    <a:noFill/>
                    <a:ln>
                      <a:noFill/>
                    </a:ln>
                  </pic:spPr>
                </pic:pic>
              </a:graphicData>
            </a:graphic>
          </wp:inline>
        </w:drawing>
      </w:r>
    </w:p>
    <w:p w14:paraId="6FA1C814" w14:textId="77777777" w:rsidR="002D7B36" w:rsidRPr="00DE12A3" w:rsidRDefault="00242DA0" w:rsidP="00522021">
      <w:pPr>
        <w:widowControl/>
        <w:tabs>
          <w:tab w:val="left" w:pos="8789"/>
        </w:tabs>
        <w:spacing w:before="120" w:after="120"/>
        <w:ind w:left="1134" w:hanging="1134"/>
        <w:jc w:val="both"/>
        <w:rPr>
          <w:rFonts w:cs="Times New Roman"/>
          <w:color w:val="auto"/>
        </w:rPr>
      </w:pPr>
      <w:r w:rsidRPr="00DE12A3">
        <w:rPr>
          <w:rFonts w:cs="Times New Roman"/>
          <w:color w:val="auto"/>
          <w:lang w:eastAsia="en-US"/>
        </w:rPr>
        <w:t xml:space="preserve">                      </w:t>
      </w:r>
      <w:r w:rsidRPr="00DE12A3">
        <w:rPr>
          <w:rFonts w:cs="Times New Roman"/>
          <w:color w:val="auto"/>
        </w:rPr>
        <w:t>Burada:</w:t>
      </w:r>
    </w:p>
    <w:p w14:paraId="2C859DCE" w14:textId="6AEF1EC0" w:rsidR="002D7B36" w:rsidRPr="00DE12A3" w:rsidRDefault="00242DA0" w:rsidP="00C917D6">
      <w:pPr>
        <w:pStyle w:val="Gvdemetni251"/>
        <w:tabs>
          <w:tab w:val="left" w:pos="426"/>
        </w:tabs>
        <w:spacing w:before="120" w:after="120" w:line="240" w:lineRule="auto"/>
        <w:ind w:left="1134" w:firstLine="0"/>
        <w:rPr>
          <w:color w:val="auto"/>
          <w:sz w:val="24"/>
          <w:szCs w:val="24"/>
        </w:rPr>
      </w:pPr>
      <w:r w:rsidRPr="00DE12A3">
        <w:rPr>
          <w:i/>
          <w:iCs/>
          <w:color w:val="auto"/>
          <w:sz w:val="24"/>
          <w:szCs w:val="24"/>
        </w:rPr>
        <w:t>M</w:t>
      </w:r>
      <w:r w:rsidRPr="00DE12A3">
        <w:rPr>
          <w:color w:val="auto"/>
          <w:sz w:val="24"/>
          <w:szCs w:val="24"/>
          <w:vertAlign w:val="subscript"/>
        </w:rPr>
        <w:t>gas</w:t>
      </w:r>
      <w:r w:rsidRPr="00DE12A3">
        <w:rPr>
          <w:color w:val="auto"/>
          <w:sz w:val="24"/>
          <w:szCs w:val="24"/>
          <w:vertAlign w:val="subscript"/>
        </w:rPr>
        <w:tab/>
      </w:r>
      <w:r w:rsidRPr="00DE12A3">
        <w:rPr>
          <w:color w:val="auto"/>
          <w:sz w:val="24"/>
          <w:szCs w:val="24"/>
        </w:rPr>
        <w:t>=</w:t>
      </w:r>
      <w:r w:rsidRPr="00DE12A3">
        <w:rPr>
          <w:color w:val="auto"/>
          <w:sz w:val="24"/>
          <w:szCs w:val="24"/>
        </w:rPr>
        <w:tab/>
      </w:r>
      <w:r w:rsidR="00716C4F" w:rsidRPr="00DE12A3">
        <w:rPr>
          <w:iCs/>
          <w:color w:val="auto"/>
          <w:sz w:val="24"/>
          <w:szCs w:val="24"/>
        </w:rPr>
        <w:t xml:space="preserve">Genel </w:t>
      </w:r>
      <w:r w:rsidRPr="00DE12A3">
        <w:rPr>
          <w:iCs/>
          <w:color w:val="auto"/>
          <w:sz w:val="24"/>
          <w:szCs w:val="24"/>
        </w:rPr>
        <w:t>emisyon molar kütlesi</w:t>
      </w:r>
      <w:r w:rsidRPr="00DE12A3">
        <w:rPr>
          <w:color w:val="auto"/>
          <w:sz w:val="24"/>
          <w:szCs w:val="24"/>
        </w:rPr>
        <w:t xml:space="preserve"> [g/mol]</w:t>
      </w:r>
    </w:p>
    <w:p w14:paraId="1D03A91A" w14:textId="09B4ED1A" w:rsidR="002D7B36" w:rsidRPr="00DE12A3" w:rsidRDefault="00242DA0" w:rsidP="00C917D6">
      <w:pPr>
        <w:pStyle w:val="Gvdemetni251"/>
        <w:tabs>
          <w:tab w:val="left" w:pos="426"/>
        </w:tabs>
        <w:spacing w:before="120" w:after="120" w:line="240" w:lineRule="auto"/>
        <w:ind w:left="1134" w:firstLine="0"/>
        <w:rPr>
          <w:color w:val="auto"/>
          <w:sz w:val="24"/>
          <w:szCs w:val="24"/>
        </w:rPr>
      </w:pPr>
      <w:r w:rsidRPr="00DE12A3">
        <w:rPr>
          <w:rFonts w:eastAsia="Courier New"/>
          <w:i/>
          <w:iCs/>
          <w:color w:val="auto"/>
          <w:spacing w:val="0"/>
          <w:sz w:val="24"/>
          <w:szCs w:val="24"/>
        </w:rPr>
        <w:t>ṅ</w:t>
      </w:r>
      <w:r w:rsidRPr="00DE12A3">
        <w:rPr>
          <w:rStyle w:val="Gvdemetni254pttalik0ptbolukbraklyor"/>
          <w:rFonts w:eastAsia="Malgun Gothic"/>
          <w:i w:val="0"/>
          <w:color w:val="auto"/>
          <w:sz w:val="24"/>
          <w:szCs w:val="24"/>
          <w:vertAlign w:val="subscript"/>
        </w:rPr>
        <w:t>exh</w:t>
      </w:r>
      <w:r w:rsidRPr="00DE12A3">
        <w:rPr>
          <w:rStyle w:val="Gvdemetni254pttalik0ptbolukbraklyor"/>
          <w:rFonts w:eastAsia="Malgun Gothic"/>
          <w:color w:val="auto"/>
          <w:sz w:val="24"/>
          <w:szCs w:val="24"/>
          <w:vertAlign w:val="subscript"/>
        </w:rPr>
        <w:t>i</w:t>
      </w:r>
      <w:r w:rsidRPr="00DE12A3">
        <w:rPr>
          <w:rStyle w:val="Gvdemetni254pttalik0ptbolukbraklyor"/>
          <w:rFonts w:eastAsia="Malgun Gothic"/>
          <w:color w:val="auto"/>
          <w:sz w:val="24"/>
          <w:szCs w:val="24"/>
        </w:rPr>
        <w:tab/>
      </w:r>
      <w:r w:rsidRPr="00DE12A3">
        <w:rPr>
          <w:color w:val="auto"/>
          <w:sz w:val="24"/>
          <w:szCs w:val="24"/>
        </w:rPr>
        <w:t>=</w:t>
      </w:r>
      <w:r w:rsidRPr="00DE12A3">
        <w:rPr>
          <w:color w:val="auto"/>
          <w:sz w:val="24"/>
          <w:szCs w:val="24"/>
        </w:rPr>
        <w:tab/>
      </w:r>
      <w:r w:rsidR="00716C4F" w:rsidRPr="00DE12A3">
        <w:rPr>
          <w:color w:val="auto"/>
          <w:sz w:val="24"/>
          <w:szCs w:val="24"/>
        </w:rPr>
        <w:t xml:space="preserve">Yaş </w:t>
      </w:r>
      <w:r w:rsidRPr="00DE12A3">
        <w:rPr>
          <w:color w:val="auto"/>
          <w:sz w:val="24"/>
          <w:szCs w:val="24"/>
        </w:rPr>
        <w:t>bazda anlık egzoz gazı molar akış hızı [mol/s]</w:t>
      </w:r>
    </w:p>
    <w:p w14:paraId="307B05F1" w14:textId="77777777" w:rsidR="002D7B36" w:rsidRPr="00DE12A3" w:rsidRDefault="00242DA0" w:rsidP="00C917D6">
      <w:pPr>
        <w:pStyle w:val="Gvdemetni251"/>
        <w:tabs>
          <w:tab w:val="left" w:pos="426"/>
        </w:tabs>
        <w:spacing w:before="120" w:after="120" w:line="240" w:lineRule="auto"/>
        <w:ind w:left="1134" w:firstLine="0"/>
        <w:rPr>
          <w:color w:val="auto"/>
          <w:sz w:val="24"/>
          <w:szCs w:val="24"/>
        </w:rPr>
      </w:pPr>
      <w:r w:rsidRPr="00DE12A3">
        <w:rPr>
          <w:i/>
          <w:iCs/>
          <w:color w:val="auto"/>
          <w:sz w:val="24"/>
          <w:szCs w:val="24"/>
        </w:rPr>
        <w:t>x</w:t>
      </w:r>
      <w:r w:rsidRPr="00DE12A3">
        <w:rPr>
          <w:color w:val="auto"/>
          <w:sz w:val="24"/>
          <w:szCs w:val="24"/>
          <w:vertAlign w:val="subscript"/>
        </w:rPr>
        <w:t>gas</w:t>
      </w:r>
      <w:r w:rsidRPr="00DE12A3">
        <w:rPr>
          <w:i/>
          <w:iCs/>
          <w:color w:val="auto"/>
          <w:sz w:val="24"/>
          <w:szCs w:val="24"/>
          <w:vertAlign w:val="subscript"/>
        </w:rPr>
        <w:t>i</w:t>
      </w:r>
      <w:r w:rsidRPr="00DE12A3">
        <w:rPr>
          <w:color w:val="auto"/>
          <w:sz w:val="24"/>
          <w:szCs w:val="24"/>
        </w:rPr>
        <w:t xml:space="preserve"> =</w:t>
      </w:r>
      <w:r w:rsidRPr="00DE12A3">
        <w:rPr>
          <w:color w:val="auto"/>
          <w:sz w:val="24"/>
          <w:szCs w:val="24"/>
        </w:rPr>
        <w:tab/>
        <w:t>yaş bazda anlık genel gaz molar konsantrasyonu [mol/mol]</w:t>
      </w:r>
    </w:p>
    <w:p w14:paraId="7A9FAA91" w14:textId="6E919C97" w:rsidR="002D7B36" w:rsidRPr="00DE12A3" w:rsidRDefault="00242DA0" w:rsidP="00C917D6">
      <w:pPr>
        <w:pStyle w:val="Gvdemetni251"/>
        <w:tabs>
          <w:tab w:val="left" w:pos="426"/>
          <w:tab w:val="right" w:pos="2405"/>
        </w:tabs>
        <w:spacing w:before="120" w:after="120" w:line="240" w:lineRule="auto"/>
        <w:ind w:left="1134" w:firstLine="0"/>
        <w:rPr>
          <w:color w:val="auto"/>
          <w:sz w:val="24"/>
          <w:szCs w:val="24"/>
        </w:rPr>
      </w:pPr>
      <w:r w:rsidRPr="00DE12A3">
        <w:rPr>
          <w:rStyle w:val="Gvdemetni254pttalik0ptbolukbraklyor"/>
          <w:rFonts w:eastAsia="Malgun Gothic"/>
          <w:color w:val="auto"/>
          <w:sz w:val="24"/>
          <w:szCs w:val="24"/>
        </w:rPr>
        <w:t>f</w:t>
      </w:r>
      <w:r w:rsidRPr="00DE12A3">
        <w:rPr>
          <w:color w:val="auto"/>
          <w:sz w:val="24"/>
          <w:szCs w:val="24"/>
        </w:rPr>
        <w:tab/>
        <w:t>=</w:t>
      </w:r>
      <w:r w:rsidRPr="00DE12A3">
        <w:rPr>
          <w:color w:val="auto"/>
          <w:sz w:val="24"/>
          <w:szCs w:val="24"/>
        </w:rPr>
        <w:tab/>
      </w:r>
      <w:r w:rsidR="00716C4F" w:rsidRPr="00DE12A3">
        <w:rPr>
          <w:color w:val="auto"/>
          <w:sz w:val="24"/>
          <w:szCs w:val="24"/>
        </w:rPr>
        <w:t xml:space="preserve">Veri </w:t>
      </w:r>
      <w:r w:rsidRPr="00DE12A3">
        <w:rPr>
          <w:color w:val="auto"/>
          <w:sz w:val="24"/>
          <w:szCs w:val="24"/>
        </w:rPr>
        <w:t>örnekleme hızı [Hz]</w:t>
      </w:r>
    </w:p>
    <w:p w14:paraId="5A5F6978" w14:textId="72E2272A" w:rsidR="002D7B36" w:rsidRPr="00DE12A3" w:rsidRDefault="00242DA0" w:rsidP="00C917D6">
      <w:pPr>
        <w:pStyle w:val="Gvdemetni251"/>
        <w:tabs>
          <w:tab w:val="left" w:pos="426"/>
          <w:tab w:val="right" w:pos="2405"/>
        </w:tabs>
        <w:spacing w:before="120" w:after="120" w:line="240" w:lineRule="auto"/>
        <w:ind w:left="1134" w:firstLine="0"/>
        <w:rPr>
          <w:color w:val="auto"/>
          <w:sz w:val="24"/>
          <w:szCs w:val="24"/>
        </w:rPr>
      </w:pPr>
      <w:r w:rsidRPr="00DE12A3">
        <w:rPr>
          <w:color w:val="auto"/>
          <w:sz w:val="24"/>
          <w:szCs w:val="24"/>
        </w:rPr>
        <w:t>N</w:t>
      </w:r>
      <w:r w:rsidRPr="00DE12A3">
        <w:rPr>
          <w:color w:val="auto"/>
          <w:sz w:val="24"/>
          <w:szCs w:val="24"/>
        </w:rPr>
        <w:tab/>
        <w:t>=</w:t>
      </w:r>
      <w:r w:rsidRPr="00DE12A3">
        <w:rPr>
          <w:color w:val="auto"/>
          <w:sz w:val="24"/>
          <w:szCs w:val="24"/>
        </w:rPr>
        <w:tab/>
      </w:r>
      <w:r w:rsidR="00716C4F" w:rsidRPr="00DE12A3">
        <w:rPr>
          <w:color w:val="auto"/>
          <w:sz w:val="24"/>
          <w:szCs w:val="24"/>
        </w:rPr>
        <w:t xml:space="preserve">Ölçüm </w:t>
      </w:r>
      <w:r w:rsidRPr="00DE12A3">
        <w:rPr>
          <w:color w:val="auto"/>
          <w:sz w:val="24"/>
          <w:szCs w:val="24"/>
        </w:rPr>
        <w:t>sayısı [-]</w:t>
      </w:r>
    </w:p>
    <w:p w14:paraId="195E16E9" w14:textId="77777777" w:rsidR="002D7B36" w:rsidRPr="00DE12A3" w:rsidRDefault="00242DA0" w:rsidP="00C917D6">
      <w:pPr>
        <w:pStyle w:val="Gvdemetni251"/>
        <w:spacing w:before="120" w:after="120" w:line="240" w:lineRule="auto"/>
        <w:ind w:left="1134" w:firstLine="0"/>
        <w:rPr>
          <w:color w:val="auto"/>
          <w:sz w:val="24"/>
          <w:szCs w:val="24"/>
        </w:rPr>
      </w:pPr>
      <w:r w:rsidRPr="00DE12A3">
        <w:rPr>
          <w:color w:val="auto"/>
          <w:sz w:val="24"/>
          <w:szCs w:val="24"/>
        </w:rPr>
        <w:t>Genel denklem, hangi ölçüm sisteminin kullanıldığına, toplu veya sürekli örneklemeye bağlı olarak ve sabit değil de değişken bir akış hızı örneklenirse değiştirilebilir.</w:t>
      </w:r>
    </w:p>
    <w:p w14:paraId="49A194DA" w14:textId="6B8ACED0" w:rsidR="002D7B36" w:rsidRPr="00DE12A3" w:rsidRDefault="002855B1" w:rsidP="00E20716">
      <w:pPr>
        <w:pStyle w:val="Gvdemetni251"/>
        <w:numPr>
          <w:ilvl w:val="0"/>
          <w:numId w:val="430"/>
        </w:numPr>
        <w:tabs>
          <w:tab w:val="left" w:pos="300"/>
        </w:tabs>
        <w:spacing w:before="120" w:after="120" w:line="240" w:lineRule="auto"/>
        <w:ind w:left="1701" w:hanging="567"/>
        <w:rPr>
          <w:color w:val="auto"/>
          <w:sz w:val="24"/>
          <w:szCs w:val="24"/>
        </w:rPr>
      </w:pPr>
      <w:r w:rsidRPr="00DE12A3">
        <w:rPr>
          <w:color w:val="auto"/>
          <w:sz w:val="24"/>
          <w:szCs w:val="24"/>
        </w:rPr>
        <w:t xml:space="preserve">     </w:t>
      </w:r>
      <w:r w:rsidR="00242DA0" w:rsidRPr="00DE12A3">
        <w:rPr>
          <w:color w:val="auto"/>
          <w:sz w:val="24"/>
          <w:szCs w:val="24"/>
        </w:rPr>
        <w:t xml:space="preserve">Sürekli örnekleme için, değişken akış hızı genel durumunda, gaz emisyon kütlesi </w:t>
      </w:r>
      <w:r w:rsidR="00242DA0" w:rsidRPr="00DE12A3">
        <w:rPr>
          <w:i/>
          <w:iCs/>
          <w:color w:val="auto"/>
          <w:sz w:val="24"/>
          <w:szCs w:val="24"/>
        </w:rPr>
        <w:t>m</w:t>
      </w:r>
      <w:r w:rsidR="00242DA0" w:rsidRPr="00DE12A3">
        <w:rPr>
          <w:color w:val="auto"/>
          <w:sz w:val="24"/>
          <w:szCs w:val="24"/>
          <w:vertAlign w:val="subscript"/>
        </w:rPr>
        <w:t>gas</w:t>
      </w:r>
      <w:r w:rsidR="00242DA0" w:rsidRPr="00DE12A3">
        <w:rPr>
          <w:color w:val="auto"/>
          <w:sz w:val="24"/>
          <w:szCs w:val="24"/>
        </w:rPr>
        <w:t xml:space="preserve"> [g/test], (7-106) </w:t>
      </w:r>
      <w:r w:rsidR="00962CA1" w:rsidRPr="00DE12A3">
        <w:rPr>
          <w:color w:val="auto"/>
          <w:sz w:val="24"/>
          <w:szCs w:val="24"/>
        </w:rPr>
        <w:t>numaralı</w:t>
      </w:r>
      <w:r w:rsidR="00962CA1" w:rsidRPr="00DE12A3" w:rsidDel="00962CA1">
        <w:rPr>
          <w:color w:val="auto"/>
          <w:sz w:val="24"/>
          <w:szCs w:val="24"/>
        </w:rPr>
        <w:t xml:space="preserve"> </w:t>
      </w:r>
      <w:r w:rsidR="00242DA0" w:rsidRPr="00DE12A3">
        <w:rPr>
          <w:color w:val="auto"/>
          <w:sz w:val="24"/>
          <w:szCs w:val="24"/>
        </w:rPr>
        <w:t>denklem ile hesaplanmalıdır:</w:t>
      </w:r>
    </w:p>
    <w:p w14:paraId="56D84F7A" w14:textId="353553A0" w:rsidR="00522021" w:rsidRPr="00DE12A3" w:rsidRDefault="00522021" w:rsidP="00C917D6">
      <w:pPr>
        <w:pStyle w:val="Gvdemetni251"/>
        <w:spacing w:before="120" w:after="120" w:line="240" w:lineRule="auto"/>
        <w:ind w:left="1134" w:firstLine="0"/>
        <w:rPr>
          <w:color w:val="auto"/>
          <w:sz w:val="24"/>
          <w:szCs w:val="24"/>
        </w:rPr>
      </w:pPr>
      <w:r w:rsidRPr="00DE12A3">
        <w:rPr>
          <w:noProof/>
          <w:color w:val="auto"/>
          <w:sz w:val="24"/>
          <w:szCs w:val="24"/>
        </w:rPr>
        <w:drawing>
          <wp:inline distT="0" distB="0" distL="0" distR="0" wp14:anchorId="437494B5" wp14:editId="6A79B127">
            <wp:extent cx="4732020" cy="635000"/>
            <wp:effectExtent l="0" t="0" r="0" b="0"/>
            <wp:docPr id="2401" name="Resim 2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4733333" cy="635176"/>
                    </a:xfrm>
                    <a:prstGeom prst="rect">
                      <a:avLst/>
                    </a:prstGeom>
                    <a:noFill/>
                    <a:ln>
                      <a:noFill/>
                    </a:ln>
                  </pic:spPr>
                </pic:pic>
              </a:graphicData>
            </a:graphic>
          </wp:inline>
        </w:drawing>
      </w:r>
    </w:p>
    <w:p w14:paraId="436DE4D2" w14:textId="77777777" w:rsidR="00522021" w:rsidRPr="00DE12A3" w:rsidRDefault="00522021" w:rsidP="00C917D6">
      <w:pPr>
        <w:pStyle w:val="Gvdemetni251"/>
        <w:spacing w:before="120" w:after="120" w:line="240" w:lineRule="auto"/>
        <w:ind w:left="1134" w:firstLine="0"/>
        <w:rPr>
          <w:color w:val="auto"/>
          <w:sz w:val="24"/>
          <w:szCs w:val="24"/>
        </w:rPr>
      </w:pPr>
    </w:p>
    <w:p w14:paraId="3B83A237" w14:textId="77777777" w:rsidR="002D7B36" w:rsidRPr="00DE12A3" w:rsidRDefault="00242DA0" w:rsidP="00C917D6">
      <w:pPr>
        <w:pStyle w:val="Gvdemetni251"/>
        <w:spacing w:before="120" w:after="120" w:line="240" w:lineRule="auto"/>
        <w:ind w:left="1134" w:firstLine="0"/>
        <w:rPr>
          <w:color w:val="auto"/>
          <w:sz w:val="24"/>
          <w:szCs w:val="24"/>
        </w:rPr>
      </w:pPr>
      <w:r w:rsidRPr="00DE12A3">
        <w:rPr>
          <w:color w:val="auto"/>
          <w:sz w:val="24"/>
          <w:szCs w:val="24"/>
        </w:rPr>
        <w:t>Burada:</w:t>
      </w:r>
    </w:p>
    <w:p w14:paraId="43F2E7C7" w14:textId="0D34B184" w:rsidR="002D7B36" w:rsidRPr="00DE12A3" w:rsidRDefault="00242DA0" w:rsidP="00C917D6">
      <w:pPr>
        <w:pStyle w:val="Gvdemetni251"/>
        <w:tabs>
          <w:tab w:val="left" w:pos="709"/>
        </w:tabs>
        <w:spacing w:before="120" w:after="120" w:line="240" w:lineRule="auto"/>
        <w:ind w:left="1134" w:firstLine="0"/>
        <w:rPr>
          <w:color w:val="auto"/>
          <w:sz w:val="24"/>
          <w:szCs w:val="24"/>
        </w:rPr>
      </w:pPr>
      <w:bookmarkStart w:id="33" w:name="_Hlk22813526"/>
      <w:r w:rsidRPr="00DE12A3">
        <w:rPr>
          <w:i/>
          <w:iCs/>
          <w:color w:val="auto"/>
          <w:sz w:val="24"/>
          <w:szCs w:val="24"/>
        </w:rPr>
        <w:t>M</w:t>
      </w:r>
      <w:r w:rsidRPr="00DE12A3">
        <w:rPr>
          <w:color w:val="auto"/>
          <w:sz w:val="24"/>
          <w:szCs w:val="24"/>
          <w:vertAlign w:val="subscript"/>
        </w:rPr>
        <w:t>gas</w:t>
      </w:r>
      <w:r w:rsidRPr="00DE12A3">
        <w:rPr>
          <w:color w:val="auto"/>
          <w:sz w:val="24"/>
          <w:szCs w:val="24"/>
        </w:rPr>
        <w:tab/>
        <w:t xml:space="preserve">= </w:t>
      </w:r>
      <w:r w:rsidR="00716C4F" w:rsidRPr="00DE12A3">
        <w:rPr>
          <w:color w:val="auto"/>
          <w:sz w:val="24"/>
          <w:szCs w:val="24"/>
        </w:rPr>
        <w:t xml:space="preserve">Genel </w:t>
      </w:r>
      <w:r w:rsidRPr="00DE12A3">
        <w:rPr>
          <w:color w:val="auto"/>
          <w:sz w:val="24"/>
          <w:szCs w:val="24"/>
        </w:rPr>
        <w:t>emisyon molar kütlesi [g/mol]</w:t>
      </w:r>
    </w:p>
    <w:p w14:paraId="58B2A84A" w14:textId="1F7C7000" w:rsidR="002D7B36" w:rsidRPr="00DE12A3" w:rsidRDefault="00242DA0" w:rsidP="00C917D6">
      <w:pPr>
        <w:pStyle w:val="Gvdemetni251"/>
        <w:tabs>
          <w:tab w:val="left" w:pos="709"/>
        </w:tabs>
        <w:spacing w:before="120" w:after="120" w:line="240" w:lineRule="auto"/>
        <w:ind w:left="1134" w:firstLine="0"/>
        <w:rPr>
          <w:color w:val="auto"/>
          <w:sz w:val="24"/>
          <w:szCs w:val="24"/>
        </w:rPr>
      </w:pPr>
      <w:r w:rsidRPr="00DE12A3">
        <w:rPr>
          <w:rFonts w:eastAsia="Courier New"/>
          <w:i/>
          <w:iCs/>
          <w:color w:val="auto"/>
          <w:spacing w:val="0"/>
          <w:sz w:val="24"/>
          <w:szCs w:val="24"/>
        </w:rPr>
        <w:t>ṅ</w:t>
      </w:r>
      <w:r w:rsidRPr="00DE12A3">
        <w:rPr>
          <w:rStyle w:val="Gvdemetni254pttalik0ptbolukbraklyor"/>
          <w:rFonts w:eastAsia="Malgun Gothic"/>
          <w:i w:val="0"/>
          <w:color w:val="auto"/>
          <w:sz w:val="24"/>
          <w:szCs w:val="24"/>
          <w:vertAlign w:val="subscript"/>
        </w:rPr>
        <w:t>exh</w:t>
      </w:r>
      <w:r w:rsidRPr="00DE12A3">
        <w:rPr>
          <w:rStyle w:val="Gvdemetni254pttalik0ptbolukbraklyor"/>
          <w:rFonts w:eastAsia="Malgun Gothic"/>
          <w:color w:val="auto"/>
          <w:sz w:val="24"/>
          <w:szCs w:val="24"/>
          <w:vertAlign w:val="subscript"/>
        </w:rPr>
        <w:t>i</w:t>
      </w:r>
      <w:r w:rsidRPr="00DE12A3">
        <w:rPr>
          <w:rStyle w:val="Gvdemetni254pttalik0ptbolukbraklyor"/>
          <w:rFonts w:eastAsia="Malgun Gothic"/>
          <w:color w:val="auto"/>
          <w:sz w:val="24"/>
          <w:szCs w:val="24"/>
        </w:rPr>
        <w:tab/>
      </w:r>
      <w:r w:rsidRPr="00DE12A3">
        <w:rPr>
          <w:color w:val="auto"/>
          <w:sz w:val="24"/>
          <w:szCs w:val="24"/>
        </w:rPr>
        <w:t xml:space="preserve">= </w:t>
      </w:r>
      <w:r w:rsidR="00716C4F" w:rsidRPr="00DE12A3">
        <w:rPr>
          <w:color w:val="auto"/>
          <w:sz w:val="24"/>
          <w:szCs w:val="24"/>
        </w:rPr>
        <w:t xml:space="preserve">Yaş </w:t>
      </w:r>
      <w:r w:rsidRPr="00DE12A3">
        <w:rPr>
          <w:color w:val="auto"/>
          <w:sz w:val="24"/>
          <w:szCs w:val="24"/>
        </w:rPr>
        <w:t>bazda anlık egzoz gazı molar akış hızı [mol/s]</w:t>
      </w:r>
    </w:p>
    <w:p w14:paraId="58EF0768" w14:textId="7CE240C0" w:rsidR="002D7B36" w:rsidRPr="00DE12A3" w:rsidRDefault="00242DA0" w:rsidP="00C917D6">
      <w:pPr>
        <w:pStyle w:val="Gvdemetni251"/>
        <w:tabs>
          <w:tab w:val="left" w:pos="709"/>
        </w:tabs>
        <w:spacing w:before="120" w:after="120" w:line="240" w:lineRule="auto"/>
        <w:ind w:left="1134" w:firstLine="0"/>
        <w:rPr>
          <w:color w:val="auto"/>
          <w:sz w:val="24"/>
          <w:szCs w:val="24"/>
        </w:rPr>
      </w:pPr>
      <w:r w:rsidRPr="00DE12A3">
        <w:rPr>
          <w:i/>
          <w:iCs/>
          <w:color w:val="auto"/>
          <w:sz w:val="24"/>
          <w:szCs w:val="24"/>
        </w:rPr>
        <w:t>x</w:t>
      </w:r>
      <w:r w:rsidRPr="00DE12A3">
        <w:rPr>
          <w:color w:val="auto"/>
          <w:sz w:val="24"/>
          <w:szCs w:val="24"/>
          <w:vertAlign w:val="subscript"/>
        </w:rPr>
        <w:t>gas</w:t>
      </w:r>
      <w:r w:rsidRPr="00DE12A3">
        <w:rPr>
          <w:i/>
          <w:iCs/>
          <w:color w:val="auto"/>
          <w:sz w:val="24"/>
          <w:szCs w:val="24"/>
          <w:vertAlign w:val="subscript"/>
        </w:rPr>
        <w:t>i</w:t>
      </w:r>
      <w:r w:rsidRPr="00DE12A3">
        <w:rPr>
          <w:color w:val="auto"/>
          <w:sz w:val="24"/>
          <w:szCs w:val="24"/>
        </w:rPr>
        <w:tab/>
        <w:t xml:space="preserve">= </w:t>
      </w:r>
      <w:r w:rsidR="00716C4F" w:rsidRPr="00DE12A3">
        <w:rPr>
          <w:color w:val="auto"/>
          <w:sz w:val="24"/>
          <w:szCs w:val="24"/>
        </w:rPr>
        <w:t xml:space="preserve">Yaş </w:t>
      </w:r>
      <w:r w:rsidRPr="00DE12A3">
        <w:rPr>
          <w:color w:val="auto"/>
          <w:sz w:val="24"/>
          <w:szCs w:val="24"/>
        </w:rPr>
        <w:t>bazda anlık gaz emisyonu molar oranı [mol/mol]</w:t>
      </w:r>
    </w:p>
    <w:bookmarkEnd w:id="33"/>
    <w:p w14:paraId="64FC0987" w14:textId="030A58C5" w:rsidR="002D7B36" w:rsidRPr="00DE12A3" w:rsidRDefault="00242DA0" w:rsidP="00C917D6">
      <w:pPr>
        <w:pStyle w:val="Gvdemetni251"/>
        <w:tabs>
          <w:tab w:val="left" w:pos="709"/>
          <w:tab w:val="right" w:pos="2693"/>
        </w:tabs>
        <w:spacing w:before="120" w:after="120" w:line="240" w:lineRule="auto"/>
        <w:ind w:left="1134" w:firstLine="0"/>
        <w:rPr>
          <w:color w:val="auto"/>
          <w:sz w:val="24"/>
          <w:szCs w:val="24"/>
        </w:rPr>
      </w:pPr>
      <w:r w:rsidRPr="00DE12A3">
        <w:rPr>
          <w:rStyle w:val="Gvdemetni254pttalik0ptbolukbraklyor"/>
          <w:rFonts w:eastAsia="Malgun Gothic"/>
          <w:color w:val="auto"/>
          <w:sz w:val="24"/>
          <w:szCs w:val="24"/>
        </w:rPr>
        <w:t>f</w:t>
      </w:r>
      <w:r w:rsidRPr="00DE12A3">
        <w:rPr>
          <w:color w:val="auto"/>
          <w:sz w:val="24"/>
          <w:szCs w:val="24"/>
        </w:rPr>
        <w:tab/>
        <w:t xml:space="preserve">= </w:t>
      </w:r>
      <w:r w:rsidR="00716C4F" w:rsidRPr="00DE12A3">
        <w:rPr>
          <w:color w:val="auto"/>
          <w:sz w:val="24"/>
          <w:szCs w:val="24"/>
        </w:rPr>
        <w:t xml:space="preserve">Veri </w:t>
      </w:r>
      <w:r w:rsidRPr="00DE12A3">
        <w:rPr>
          <w:color w:val="auto"/>
          <w:sz w:val="24"/>
          <w:szCs w:val="24"/>
        </w:rPr>
        <w:t>örnekleme hızı [Hz]</w:t>
      </w:r>
    </w:p>
    <w:p w14:paraId="34067DB3" w14:textId="6A8AF4D5" w:rsidR="002D7B36" w:rsidRPr="00DE12A3" w:rsidRDefault="00242DA0" w:rsidP="00C917D6">
      <w:pPr>
        <w:pStyle w:val="Gvdemetni251"/>
        <w:tabs>
          <w:tab w:val="left" w:pos="709"/>
          <w:tab w:val="right" w:pos="2693"/>
        </w:tabs>
        <w:spacing w:before="120" w:after="120" w:line="240" w:lineRule="auto"/>
        <w:ind w:left="1134" w:firstLine="0"/>
        <w:rPr>
          <w:color w:val="auto"/>
          <w:sz w:val="24"/>
          <w:szCs w:val="24"/>
        </w:rPr>
      </w:pPr>
      <w:r w:rsidRPr="00DE12A3">
        <w:rPr>
          <w:color w:val="auto"/>
          <w:sz w:val="24"/>
          <w:szCs w:val="24"/>
        </w:rPr>
        <w:t>N</w:t>
      </w:r>
      <w:r w:rsidRPr="00DE12A3">
        <w:rPr>
          <w:color w:val="auto"/>
          <w:sz w:val="24"/>
          <w:szCs w:val="24"/>
        </w:rPr>
        <w:tab/>
        <w:t xml:space="preserve">= </w:t>
      </w:r>
      <w:r w:rsidR="00716C4F" w:rsidRPr="00DE12A3">
        <w:rPr>
          <w:color w:val="auto"/>
          <w:sz w:val="24"/>
          <w:szCs w:val="24"/>
        </w:rPr>
        <w:t xml:space="preserve">Ölçüm </w:t>
      </w:r>
      <w:r w:rsidRPr="00DE12A3">
        <w:rPr>
          <w:color w:val="auto"/>
          <w:sz w:val="24"/>
          <w:szCs w:val="24"/>
        </w:rPr>
        <w:t>sayısı [-]</w:t>
      </w:r>
    </w:p>
    <w:p w14:paraId="781106F4" w14:textId="472CFD1F" w:rsidR="002D7B36" w:rsidRPr="00DE12A3" w:rsidRDefault="00242DA0" w:rsidP="00E20716">
      <w:pPr>
        <w:pStyle w:val="Gvdemetni251"/>
        <w:numPr>
          <w:ilvl w:val="0"/>
          <w:numId w:val="431"/>
        </w:numPr>
        <w:spacing w:before="120" w:after="120" w:line="240" w:lineRule="auto"/>
        <w:ind w:left="1701" w:hanging="567"/>
        <w:rPr>
          <w:color w:val="auto"/>
          <w:sz w:val="24"/>
          <w:szCs w:val="24"/>
        </w:rPr>
      </w:pPr>
      <w:r w:rsidRPr="00DE12A3">
        <w:rPr>
          <w:color w:val="auto"/>
          <w:sz w:val="24"/>
          <w:szCs w:val="24"/>
        </w:rPr>
        <w:t xml:space="preserve">Yine de sürekli örnekleme için, ancak belirli bir sabit akış hızı durumunda, gaz emisyon kütlesi mgas [g/test], (7-107) </w:t>
      </w:r>
      <w:r w:rsidR="00962CA1" w:rsidRPr="00DE12A3">
        <w:rPr>
          <w:color w:val="auto"/>
          <w:sz w:val="24"/>
          <w:szCs w:val="24"/>
        </w:rPr>
        <w:t>numaralı</w:t>
      </w:r>
      <w:r w:rsidR="00962CA1" w:rsidRPr="00DE12A3" w:rsidDel="00962CA1">
        <w:rPr>
          <w:color w:val="auto"/>
          <w:sz w:val="24"/>
          <w:szCs w:val="24"/>
        </w:rPr>
        <w:t xml:space="preserve"> </w:t>
      </w:r>
      <w:r w:rsidRPr="00DE12A3">
        <w:rPr>
          <w:color w:val="auto"/>
          <w:sz w:val="24"/>
          <w:szCs w:val="24"/>
        </w:rPr>
        <w:t>denklem ile hesaplanmalıdır:</w:t>
      </w:r>
    </w:p>
    <w:p w14:paraId="4044B10E" w14:textId="07F7E511" w:rsidR="002D7B36" w:rsidRPr="00DE12A3" w:rsidRDefault="002D7B36" w:rsidP="00C917D6">
      <w:pPr>
        <w:pStyle w:val="Gvdemetni251"/>
        <w:spacing w:before="120" w:after="120" w:line="240" w:lineRule="auto"/>
        <w:ind w:left="1701" w:hanging="567"/>
        <w:rPr>
          <w:color w:val="auto"/>
          <w:sz w:val="24"/>
          <w:szCs w:val="24"/>
        </w:rPr>
      </w:pPr>
    </w:p>
    <w:p w14:paraId="4C1B644A" w14:textId="51E33DAE" w:rsidR="00984A28" w:rsidRPr="00DE12A3" w:rsidRDefault="00984A28" w:rsidP="00C917D6">
      <w:pPr>
        <w:pStyle w:val="Gvdemetni251"/>
        <w:spacing w:before="120" w:after="120" w:line="240" w:lineRule="auto"/>
        <w:ind w:left="1701" w:hanging="567"/>
        <w:rPr>
          <w:color w:val="auto"/>
          <w:sz w:val="24"/>
          <w:szCs w:val="24"/>
        </w:rPr>
      </w:pPr>
    </w:p>
    <w:p w14:paraId="15C20B0A" w14:textId="77777777" w:rsidR="00984A28" w:rsidRPr="00DE12A3" w:rsidRDefault="00984A28" w:rsidP="00C917D6">
      <w:pPr>
        <w:pStyle w:val="Gvdemetni251"/>
        <w:spacing w:before="120" w:after="120" w:line="240" w:lineRule="auto"/>
        <w:ind w:left="1701" w:hanging="567"/>
        <w:rPr>
          <w:color w:val="auto"/>
          <w:sz w:val="24"/>
          <w:szCs w:val="24"/>
        </w:rPr>
      </w:pPr>
    </w:p>
    <w:tbl>
      <w:tblPr>
        <w:tblW w:w="0" w:type="auto"/>
        <w:tblInd w:w="2879" w:type="dxa"/>
        <w:tblLayout w:type="fixed"/>
        <w:tblLook w:val="0000" w:firstRow="0" w:lastRow="0" w:firstColumn="0" w:lastColumn="0" w:noHBand="0" w:noVBand="0"/>
      </w:tblPr>
      <w:tblGrid>
        <w:gridCol w:w="3982"/>
        <w:gridCol w:w="1627"/>
      </w:tblGrid>
      <w:tr w:rsidR="00DE12A3" w:rsidRPr="00DE12A3" w14:paraId="48127A66" w14:textId="77777777" w:rsidTr="003D2907">
        <w:trPr>
          <w:trHeight w:val="795"/>
        </w:trPr>
        <w:tc>
          <w:tcPr>
            <w:tcW w:w="3982" w:type="dxa"/>
          </w:tcPr>
          <w:p w14:paraId="26494E03" w14:textId="23F755F8" w:rsidR="00CB45D6" w:rsidRPr="00DE12A3" w:rsidRDefault="00984A28" w:rsidP="00AA5E93">
            <w:pPr>
              <w:pStyle w:val="NormalLeft"/>
              <w:jc w:val="both"/>
            </w:pPr>
            <w:r w:rsidRPr="00DE12A3">
              <w:t xml:space="preserve">m </w:t>
            </w:r>
            <w:r w:rsidRPr="00DE12A3">
              <w:rPr>
                <w:vertAlign w:val="subscript"/>
              </w:rPr>
              <w:t>gas</w:t>
            </w:r>
            <w:r w:rsidRPr="00DE12A3">
              <w:t xml:space="preserve"> = M </w:t>
            </w:r>
            <w:r w:rsidRPr="00DE12A3">
              <w:rPr>
                <w:vertAlign w:val="subscript"/>
              </w:rPr>
              <w:t>gas</w:t>
            </w:r>
            <w:r w:rsidRPr="00DE12A3">
              <w:t xml:space="preserve"> · ṅ </w:t>
            </w:r>
            <w:r w:rsidRPr="00DE12A3">
              <w:rPr>
                <w:vertAlign w:val="subscript"/>
              </w:rPr>
              <w:t>exh</w:t>
            </w:r>
            <w:r w:rsidRPr="00DE12A3">
              <w:t xml:space="preserve"> · x </w:t>
            </w:r>
            <w:r w:rsidRPr="00DE12A3">
              <w:rPr>
                <w:vertAlign w:val="subscript"/>
              </w:rPr>
              <w:t>gas</w:t>
            </w:r>
            <w:r w:rsidRPr="00DE12A3">
              <w:t xml:space="preserve"> · Δt</w:t>
            </w:r>
          </w:p>
        </w:tc>
        <w:tc>
          <w:tcPr>
            <w:tcW w:w="1627" w:type="dxa"/>
          </w:tcPr>
          <w:p w14:paraId="6542A074" w14:textId="77777777" w:rsidR="00CB45D6" w:rsidRPr="00DE12A3" w:rsidRDefault="00CB45D6" w:rsidP="00AA5E93">
            <w:pPr>
              <w:pStyle w:val="NormalLeft"/>
              <w:jc w:val="both"/>
            </w:pPr>
            <w:r w:rsidRPr="00DE12A3">
              <w:t>(7-107)</w:t>
            </w:r>
          </w:p>
        </w:tc>
      </w:tr>
    </w:tbl>
    <w:p w14:paraId="07EE895A" w14:textId="77777777" w:rsidR="002D7B36" w:rsidRPr="00DE12A3" w:rsidRDefault="00242DA0" w:rsidP="00C917D6">
      <w:pPr>
        <w:pStyle w:val="Gvdemetni251"/>
        <w:shd w:val="clear" w:color="auto" w:fill="auto"/>
        <w:spacing w:before="120" w:after="120" w:line="240" w:lineRule="auto"/>
        <w:ind w:left="1134" w:firstLine="0"/>
        <w:rPr>
          <w:color w:val="auto"/>
          <w:sz w:val="24"/>
          <w:szCs w:val="24"/>
        </w:rPr>
      </w:pPr>
      <w:r w:rsidRPr="00DE12A3">
        <w:rPr>
          <w:color w:val="auto"/>
          <w:sz w:val="24"/>
          <w:szCs w:val="24"/>
        </w:rPr>
        <w:t>Burada:</w:t>
      </w:r>
    </w:p>
    <w:p w14:paraId="6518038E" w14:textId="6EAB17C3" w:rsidR="002D7B36" w:rsidRPr="00DE12A3" w:rsidRDefault="00242DA0" w:rsidP="00C917D6">
      <w:pPr>
        <w:pStyle w:val="Gvdemetni251"/>
        <w:tabs>
          <w:tab w:val="left" w:pos="709"/>
        </w:tabs>
        <w:spacing w:before="120" w:after="120" w:line="240" w:lineRule="auto"/>
        <w:ind w:left="1134" w:firstLine="0"/>
        <w:rPr>
          <w:iCs/>
          <w:color w:val="auto"/>
          <w:sz w:val="24"/>
          <w:szCs w:val="24"/>
        </w:rPr>
      </w:pPr>
      <w:r w:rsidRPr="00DE12A3">
        <w:rPr>
          <w:i/>
          <w:iCs/>
          <w:color w:val="auto"/>
          <w:sz w:val="24"/>
          <w:szCs w:val="24"/>
        </w:rPr>
        <w:t>M</w:t>
      </w:r>
      <w:r w:rsidRPr="00DE12A3">
        <w:rPr>
          <w:iCs/>
          <w:color w:val="auto"/>
          <w:sz w:val="24"/>
          <w:szCs w:val="24"/>
          <w:vertAlign w:val="subscript"/>
        </w:rPr>
        <w:t>gas</w:t>
      </w:r>
      <w:r w:rsidRPr="00DE12A3">
        <w:rPr>
          <w:iCs/>
          <w:color w:val="auto"/>
          <w:sz w:val="24"/>
          <w:szCs w:val="24"/>
          <w:vertAlign w:val="subscript"/>
        </w:rPr>
        <w:tab/>
      </w:r>
      <w:r w:rsidRPr="00DE12A3">
        <w:rPr>
          <w:iCs/>
          <w:color w:val="auto"/>
          <w:sz w:val="24"/>
          <w:szCs w:val="24"/>
        </w:rPr>
        <w:t xml:space="preserve">= </w:t>
      </w:r>
      <w:r w:rsidR="00716C4F" w:rsidRPr="00DE12A3">
        <w:rPr>
          <w:iCs/>
          <w:color w:val="auto"/>
          <w:sz w:val="24"/>
          <w:szCs w:val="24"/>
        </w:rPr>
        <w:t xml:space="preserve">Genel </w:t>
      </w:r>
      <w:r w:rsidRPr="00DE12A3">
        <w:rPr>
          <w:iCs/>
          <w:color w:val="auto"/>
          <w:sz w:val="24"/>
          <w:szCs w:val="24"/>
        </w:rPr>
        <w:t>emisyon molar kütlesi [g/mol]</w:t>
      </w:r>
    </w:p>
    <w:p w14:paraId="654D51D3" w14:textId="5BC24868" w:rsidR="002D7B36" w:rsidRPr="00DE12A3" w:rsidRDefault="00242DA0" w:rsidP="00C917D6">
      <w:pPr>
        <w:pStyle w:val="Gvdemetni251"/>
        <w:tabs>
          <w:tab w:val="left" w:pos="709"/>
          <w:tab w:val="right" w:pos="852"/>
        </w:tabs>
        <w:spacing w:before="120" w:after="120" w:line="240" w:lineRule="auto"/>
        <w:ind w:left="1134" w:firstLine="0"/>
        <w:rPr>
          <w:iCs/>
          <w:color w:val="auto"/>
          <w:sz w:val="24"/>
          <w:szCs w:val="24"/>
        </w:rPr>
      </w:pPr>
      <w:r w:rsidRPr="00DE12A3">
        <w:rPr>
          <w:i/>
          <w:iCs/>
          <w:color w:val="auto"/>
          <w:sz w:val="24"/>
          <w:szCs w:val="24"/>
        </w:rPr>
        <w:t>ṅ</w:t>
      </w:r>
      <w:r w:rsidRPr="00DE12A3">
        <w:rPr>
          <w:iCs/>
          <w:color w:val="auto"/>
          <w:sz w:val="24"/>
          <w:szCs w:val="24"/>
          <w:vertAlign w:val="subscript"/>
        </w:rPr>
        <w:t>exh</w:t>
      </w:r>
      <w:r w:rsidRPr="00DE12A3">
        <w:rPr>
          <w:i/>
          <w:iCs/>
          <w:color w:val="auto"/>
          <w:sz w:val="24"/>
          <w:szCs w:val="24"/>
        </w:rPr>
        <w:tab/>
      </w:r>
      <w:r w:rsidRPr="00DE12A3">
        <w:rPr>
          <w:iCs/>
          <w:color w:val="auto"/>
          <w:sz w:val="24"/>
          <w:szCs w:val="24"/>
        </w:rPr>
        <w:t xml:space="preserve">= </w:t>
      </w:r>
      <w:r w:rsidR="00716C4F" w:rsidRPr="00DE12A3">
        <w:rPr>
          <w:iCs/>
          <w:color w:val="auto"/>
          <w:sz w:val="24"/>
          <w:szCs w:val="24"/>
        </w:rPr>
        <w:t xml:space="preserve">Yaş </w:t>
      </w:r>
      <w:r w:rsidRPr="00DE12A3">
        <w:rPr>
          <w:iCs/>
          <w:color w:val="auto"/>
          <w:sz w:val="24"/>
          <w:szCs w:val="24"/>
        </w:rPr>
        <w:t>bazda anlık egzoz gazı molar akış hızı [mol/s]</w:t>
      </w:r>
    </w:p>
    <w:p w14:paraId="6248F36D" w14:textId="62C1BC9C" w:rsidR="002D7B36" w:rsidRPr="00DE12A3" w:rsidRDefault="00242DA0" w:rsidP="00C917D6">
      <w:pPr>
        <w:pStyle w:val="Gvdemetni251"/>
        <w:shd w:val="clear" w:color="auto" w:fill="auto"/>
        <w:tabs>
          <w:tab w:val="left" w:pos="709"/>
          <w:tab w:val="right" w:pos="852"/>
        </w:tabs>
        <w:spacing w:before="120" w:after="120" w:line="240" w:lineRule="auto"/>
        <w:ind w:left="1134" w:firstLine="0"/>
        <w:rPr>
          <w:iCs/>
          <w:color w:val="auto"/>
          <w:sz w:val="24"/>
          <w:szCs w:val="24"/>
        </w:rPr>
      </w:pPr>
      <w:r w:rsidRPr="00DE12A3">
        <w:rPr>
          <w:i/>
          <w:iCs/>
          <w:color w:val="auto"/>
          <w:sz w:val="24"/>
          <w:szCs w:val="24"/>
        </w:rPr>
        <w:t>x</w:t>
      </w:r>
      <w:r w:rsidRPr="00DE12A3">
        <w:rPr>
          <w:iCs/>
          <w:color w:val="auto"/>
          <w:sz w:val="24"/>
          <w:szCs w:val="24"/>
          <w:vertAlign w:val="subscript"/>
        </w:rPr>
        <w:t>gas</w:t>
      </w:r>
      <w:r w:rsidRPr="00DE12A3">
        <w:rPr>
          <w:i/>
          <w:iCs/>
          <w:color w:val="auto"/>
          <w:sz w:val="24"/>
          <w:szCs w:val="24"/>
        </w:rPr>
        <w:tab/>
        <w:t xml:space="preserve">= </w:t>
      </w:r>
      <w:r w:rsidR="00716C4F" w:rsidRPr="00DE12A3">
        <w:rPr>
          <w:iCs/>
          <w:color w:val="auto"/>
          <w:sz w:val="24"/>
          <w:szCs w:val="24"/>
        </w:rPr>
        <w:t xml:space="preserve">Yaş </w:t>
      </w:r>
      <w:r w:rsidRPr="00DE12A3">
        <w:rPr>
          <w:iCs/>
          <w:color w:val="auto"/>
          <w:sz w:val="24"/>
          <w:szCs w:val="24"/>
        </w:rPr>
        <w:t>bazda ortalama gaz emisyonu molar oranı [mol/mol</w:t>
      </w:r>
    </w:p>
    <w:p w14:paraId="23AF8C65" w14:textId="77777777" w:rsidR="002D7B36" w:rsidRPr="00DE12A3" w:rsidRDefault="00242DA0" w:rsidP="00C917D6">
      <w:pPr>
        <w:pStyle w:val="Gvdemetni251"/>
        <w:shd w:val="clear" w:color="auto" w:fill="auto"/>
        <w:spacing w:before="120" w:after="120" w:line="240" w:lineRule="auto"/>
        <w:ind w:left="1134" w:firstLine="0"/>
        <w:rPr>
          <w:color w:val="auto"/>
          <w:sz w:val="24"/>
          <w:szCs w:val="24"/>
        </w:rPr>
      </w:pPr>
      <w:r w:rsidRPr="00DE12A3">
        <w:rPr>
          <w:color w:val="auto"/>
          <w:sz w:val="24"/>
          <w:szCs w:val="24"/>
        </w:rPr>
        <w:lastRenderedPageBreak/>
        <w:t>Δt</w:t>
      </w:r>
      <w:r w:rsidRPr="00DE12A3">
        <w:rPr>
          <w:color w:val="auto"/>
          <w:sz w:val="24"/>
          <w:szCs w:val="24"/>
        </w:rPr>
        <w:tab/>
        <w:t>= test aralığının süresi</w:t>
      </w:r>
    </w:p>
    <w:p w14:paraId="20A9B278" w14:textId="5F937C8C" w:rsidR="002D7B36" w:rsidRPr="00DE12A3" w:rsidRDefault="00242DA0" w:rsidP="00E20716">
      <w:pPr>
        <w:pStyle w:val="Gvdemetni251"/>
        <w:numPr>
          <w:ilvl w:val="0"/>
          <w:numId w:val="432"/>
        </w:numPr>
        <w:shd w:val="clear" w:color="auto" w:fill="auto"/>
        <w:spacing w:before="120" w:after="120" w:line="240" w:lineRule="auto"/>
        <w:ind w:left="1701" w:hanging="567"/>
        <w:rPr>
          <w:color w:val="auto"/>
          <w:sz w:val="24"/>
          <w:szCs w:val="24"/>
        </w:rPr>
      </w:pPr>
      <w:r w:rsidRPr="00DE12A3">
        <w:rPr>
          <w:color w:val="auto"/>
          <w:sz w:val="24"/>
          <w:szCs w:val="24"/>
        </w:rPr>
        <w:t xml:space="preserve">Toplu örnekleme için, akış hızının değişken veya sabit olmasına bakılmaksızın, (7-108) </w:t>
      </w:r>
      <w:r w:rsidR="00962CA1" w:rsidRPr="00DE12A3">
        <w:rPr>
          <w:color w:val="auto"/>
          <w:sz w:val="24"/>
          <w:szCs w:val="24"/>
        </w:rPr>
        <w:t>numaralı</w:t>
      </w:r>
      <w:r w:rsidR="00962CA1" w:rsidRPr="00DE12A3" w:rsidDel="00962CA1">
        <w:rPr>
          <w:color w:val="auto"/>
          <w:sz w:val="24"/>
          <w:szCs w:val="24"/>
        </w:rPr>
        <w:t xml:space="preserve"> </w:t>
      </w:r>
      <w:r w:rsidRPr="00DE12A3">
        <w:rPr>
          <w:color w:val="auto"/>
          <w:sz w:val="24"/>
          <w:szCs w:val="24"/>
        </w:rPr>
        <w:t xml:space="preserve">denklem, (7-104) </w:t>
      </w:r>
      <w:r w:rsidR="00962CA1" w:rsidRPr="00DE12A3">
        <w:rPr>
          <w:color w:val="auto"/>
          <w:sz w:val="24"/>
          <w:szCs w:val="24"/>
        </w:rPr>
        <w:t>numaralı</w:t>
      </w:r>
      <w:r w:rsidR="00962CA1" w:rsidRPr="00DE12A3" w:rsidDel="00962CA1">
        <w:rPr>
          <w:color w:val="auto"/>
          <w:sz w:val="24"/>
          <w:szCs w:val="24"/>
        </w:rPr>
        <w:t xml:space="preserve"> </w:t>
      </w:r>
      <w:r w:rsidRPr="00DE12A3">
        <w:rPr>
          <w:color w:val="auto"/>
          <w:sz w:val="24"/>
          <w:szCs w:val="24"/>
        </w:rPr>
        <w:t xml:space="preserve"> denklemle sadeleştirilebilir:</w:t>
      </w:r>
    </w:p>
    <w:p w14:paraId="29306CC7" w14:textId="021BBE19" w:rsidR="002D7B36" w:rsidRPr="00DE12A3" w:rsidRDefault="00522021" w:rsidP="00522021">
      <w:pPr>
        <w:pStyle w:val="Gvdemetni251"/>
        <w:shd w:val="clear" w:color="auto" w:fill="auto"/>
        <w:spacing w:before="120" w:after="120" w:line="240" w:lineRule="auto"/>
        <w:ind w:left="1134" w:hanging="1134"/>
        <w:jc w:val="center"/>
        <w:rPr>
          <w:color w:val="auto"/>
          <w:sz w:val="24"/>
          <w:szCs w:val="24"/>
        </w:rPr>
      </w:pPr>
      <w:r w:rsidRPr="00DE12A3">
        <w:rPr>
          <w:noProof/>
          <w:color w:val="auto"/>
          <w:sz w:val="24"/>
          <w:szCs w:val="24"/>
        </w:rPr>
        <w:drawing>
          <wp:inline distT="0" distB="0" distL="0" distR="0" wp14:anchorId="4778ADE9" wp14:editId="7BB49889">
            <wp:extent cx="3888987" cy="600075"/>
            <wp:effectExtent l="0" t="0" r="0" b="0"/>
            <wp:docPr id="128" name="Resim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3900388" cy="601834"/>
                    </a:xfrm>
                    <a:prstGeom prst="rect">
                      <a:avLst/>
                    </a:prstGeom>
                    <a:noFill/>
                    <a:ln>
                      <a:noFill/>
                    </a:ln>
                  </pic:spPr>
                </pic:pic>
              </a:graphicData>
            </a:graphic>
          </wp:inline>
        </w:drawing>
      </w:r>
    </w:p>
    <w:p w14:paraId="41C9D733" w14:textId="77777777" w:rsidR="002D7B36" w:rsidRPr="00DE12A3" w:rsidRDefault="00242DA0" w:rsidP="00C917D6">
      <w:pPr>
        <w:pStyle w:val="Gvdemetni251"/>
        <w:shd w:val="clear" w:color="auto" w:fill="auto"/>
        <w:spacing w:before="120" w:after="120" w:line="240" w:lineRule="auto"/>
        <w:ind w:left="1134" w:firstLine="0"/>
        <w:rPr>
          <w:color w:val="auto"/>
          <w:sz w:val="24"/>
          <w:szCs w:val="24"/>
        </w:rPr>
      </w:pPr>
      <w:r w:rsidRPr="00DE12A3">
        <w:rPr>
          <w:color w:val="auto"/>
          <w:sz w:val="24"/>
          <w:szCs w:val="24"/>
        </w:rPr>
        <w:t>Burada:</w:t>
      </w:r>
    </w:p>
    <w:p w14:paraId="77518F3F" w14:textId="381DE4E5" w:rsidR="002D7B36" w:rsidRPr="00DE12A3" w:rsidRDefault="00242DA0" w:rsidP="00C917D6">
      <w:pPr>
        <w:pStyle w:val="Gvdemetni251"/>
        <w:tabs>
          <w:tab w:val="left" w:pos="709"/>
        </w:tabs>
        <w:spacing w:before="120" w:after="120" w:line="240" w:lineRule="auto"/>
        <w:ind w:left="1134" w:firstLine="0"/>
        <w:rPr>
          <w:color w:val="auto"/>
          <w:sz w:val="24"/>
          <w:szCs w:val="24"/>
        </w:rPr>
      </w:pPr>
      <w:r w:rsidRPr="00DE12A3">
        <w:rPr>
          <w:i/>
          <w:iCs/>
          <w:color w:val="auto"/>
          <w:sz w:val="24"/>
          <w:szCs w:val="24"/>
        </w:rPr>
        <w:t>M</w:t>
      </w:r>
      <w:r w:rsidRPr="00DE12A3">
        <w:rPr>
          <w:color w:val="auto"/>
          <w:sz w:val="24"/>
          <w:szCs w:val="24"/>
          <w:vertAlign w:val="subscript"/>
        </w:rPr>
        <w:t>gas</w:t>
      </w:r>
      <w:r w:rsidR="00CE5167" w:rsidRPr="00DE12A3">
        <w:rPr>
          <w:color w:val="auto"/>
          <w:sz w:val="24"/>
          <w:szCs w:val="24"/>
          <w:vertAlign w:val="subscript"/>
        </w:rPr>
        <w:t xml:space="preserve"> </w:t>
      </w:r>
      <w:r w:rsidRPr="00DE12A3">
        <w:rPr>
          <w:color w:val="auto"/>
          <w:sz w:val="24"/>
          <w:szCs w:val="24"/>
        </w:rPr>
        <w:t>=</w:t>
      </w:r>
      <w:r w:rsidRPr="00DE12A3">
        <w:rPr>
          <w:color w:val="auto"/>
          <w:sz w:val="24"/>
          <w:szCs w:val="24"/>
        </w:rPr>
        <w:tab/>
      </w:r>
      <w:r w:rsidR="00716C4F" w:rsidRPr="00DE12A3">
        <w:rPr>
          <w:iCs/>
          <w:color w:val="auto"/>
          <w:sz w:val="24"/>
          <w:szCs w:val="24"/>
        </w:rPr>
        <w:t xml:space="preserve">Genel </w:t>
      </w:r>
      <w:r w:rsidRPr="00DE12A3">
        <w:rPr>
          <w:iCs/>
          <w:color w:val="auto"/>
          <w:sz w:val="24"/>
          <w:szCs w:val="24"/>
        </w:rPr>
        <w:t>emisyon molar kütlesi</w:t>
      </w:r>
      <w:r w:rsidRPr="00DE12A3">
        <w:rPr>
          <w:color w:val="auto"/>
          <w:sz w:val="24"/>
          <w:szCs w:val="24"/>
        </w:rPr>
        <w:t xml:space="preserve"> [g/mol]</w:t>
      </w:r>
    </w:p>
    <w:p w14:paraId="0EF16E48" w14:textId="6DE2FD74" w:rsidR="002D7B36" w:rsidRPr="00DE12A3" w:rsidRDefault="00242DA0" w:rsidP="00C917D6">
      <w:pPr>
        <w:pStyle w:val="Gvdemetni251"/>
        <w:tabs>
          <w:tab w:val="left" w:pos="709"/>
        </w:tabs>
        <w:spacing w:before="120" w:after="120" w:line="240" w:lineRule="auto"/>
        <w:ind w:left="1134" w:firstLine="0"/>
        <w:rPr>
          <w:color w:val="auto"/>
          <w:sz w:val="24"/>
          <w:szCs w:val="24"/>
        </w:rPr>
      </w:pPr>
      <w:r w:rsidRPr="00DE12A3">
        <w:rPr>
          <w:rFonts w:eastAsia="Courier New"/>
          <w:i/>
          <w:iCs/>
          <w:color w:val="auto"/>
          <w:spacing w:val="0"/>
          <w:sz w:val="24"/>
          <w:szCs w:val="24"/>
        </w:rPr>
        <w:t>ṅ</w:t>
      </w:r>
      <w:r w:rsidRPr="00DE12A3">
        <w:rPr>
          <w:rStyle w:val="Gvdemetni254pttalik0ptbolukbraklyor"/>
          <w:rFonts w:eastAsia="Malgun Gothic"/>
          <w:i w:val="0"/>
          <w:color w:val="auto"/>
          <w:sz w:val="24"/>
          <w:szCs w:val="24"/>
          <w:vertAlign w:val="subscript"/>
        </w:rPr>
        <w:t>exh</w:t>
      </w:r>
      <w:r w:rsidRPr="00DE12A3">
        <w:rPr>
          <w:rStyle w:val="Gvdemetni254pttalik0ptbolukbraklyor"/>
          <w:rFonts w:eastAsia="Malgun Gothic"/>
          <w:color w:val="auto"/>
          <w:sz w:val="24"/>
          <w:szCs w:val="24"/>
          <w:vertAlign w:val="subscript"/>
        </w:rPr>
        <w:t>i</w:t>
      </w:r>
      <w:r w:rsidR="00CE5167" w:rsidRPr="00DE12A3">
        <w:rPr>
          <w:rStyle w:val="Gvdemetni254pttalik0ptbolukbraklyor"/>
          <w:rFonts w:eastAsia="Malgun Gothic"/>
          <w:color w:val="auto"/>
          <w:sz w:val="24"/>
          <w:szCs w:val="24"/>
        </w:rPr>
        <w:t xml:space="preserve"> </w:t>
      </w:r>
      <w:r w:rsidRPr="00DE12A3">
        <w:rPr>
          <w:color w:val="auto"/>
          <w:sz w:val="24"/>
          <w:szCs w:val="24"/>
        </w:rPr>
        <w:t>=</w:t>
      </w:r>
      <w:r w:rsidRPr="00DE12A3">
        <w:rPr>
          <w:color w:val="auto"/>
          <w:sz w:val="24"/>
          <w:szCs w:val="24"/>
        </w:rPr>
        <w:tab/>
      </w:r>
      <w:r w:rsidR="00716C4F" w:rsidRPr="00DE12A3">
        <w:rPr>
          <w:color w:val="auto"/>
          <w:sz w:val="24"/>
          <w:szCs w:val="24"/>
        </w:rPr>
        <w:t xml:space="preserve">Yaş </w:t>
      </w:r>
      <w:r w:rsidRPr="00DE12A3">
        <w:rPr>
          <w:color w:val="auto"/>
          <w:sz w:val="24"/>
          <w:szCs w:val="24"/>
        </w:rPr>
        <w:t>bazda anlık egzoz gazı molar akış hızı [mol/s]</w:t>
      </w:r>
    </w:p>
    <w:p w14:paraId="5F208683" w14:textId="38224A4B" w:rsidR="002D7B36" w:rsidRPr="00DE12A3" w:rsidRDefault="00242DA0" w:rsidP="00C917D6">
      <w:pPr>
        <w:pStyle w:val="Gvdemetni251"/>
        <w:tabs>
          <w:tab w:val="left" w:pos="709"/>
        </w:tabs>
        <w:spacing w:before="120" w:after="120" w:line="240" w:lineRule="auto"/>
        <w:ind w:left="1134" w:firstLine="0"/>
        <w:rPr>
          <w:color w:val="auto"/>
          <w:sz w:val="24"/>
          <w:szCs w:val="24"/>
        </w:rPr>
      </w:pPr>
      <w:r w:rsidRPr="00DE12A3">
        <w:rPr>
          <w:i/>
          <w:iCs/>
          <w:color w:val="auto"/>
          <w:sz w:val="24"/>
          <w:szCs w:val="24"/>
        </w:rPr>
        <w:t>x</w:t>
      </w:r>
      <w:r w:rsidRPr="00DE12A3">
        <w:rPr>
          <w:color w:val="auto"/>
          <w:sz w:val="24"/>
          <w:szCs w:val="24"/>
          <w:vertAlign w:val="subscript"/>
        </w:rPr>
        <w:t>gas</w:t>
      </w:r>
      <w:r w:rsidR="00CE5167" w:rsidRPr="00DE12A3">
        <w:rPr>
          <w:color w:val="auto"/>
          <w:sz w:val="24"/>
          <w:szCs w:val="24"/>
        </w:rPr>
        <w:t xml:space="preserve"> </w:t>
      </w:r>
      <w:r w:rsidRPr="00DE12A3">
        <w:rPr>
          <w:color w:val="auto"/>
          <w:sz w:val="24"/>
          <w:szCs w:val="24"/>
        </w:rPr>
        <w:t>=</w:t>
      </w:r>
      <w:r w:rsidRPr="00DE12A3">
        <w:rPr>
          <w:color w:val="auto"/>
          <w:sz w:val="24"/>
          <w:szCs w:val="24"/>
        </w:rPr>
        <w:tab/>
      </w:r>
      <w:r w:rsidR="00716C4F" w:rsidRPr="00DE12A3">
        <w:rPr>
          <w:color w:val="auto"/>
          <w:sz w:val="24"/>
          <w:szCs w:val="24"/>
        </w:rPr>
        <w:t xml:space="preserve">Yaş </w:t>
      </w:r>
      <w:r w:rsidRPr="00DE12A3">
        <w:rPr>
          <w:color w:val="auto"/>
          <w:sz w:val="24"/>
          <w:szCs w:val="24"/>
        </w:rPr>
        <w:t>bazda ortalama gaz emisyonu molar oranı [mol/mol]</w:t>
      </w:r>
    </w:p>
    <w:p w14:paraId="7DD53EEE" w14:textId="16890287" w:rsidR="002D7B36" w:rsidRPr="00DE12A3" w:rsidRDefault="00242DA0" w:rsidP="00C917D6">
      <w:pPr>
        <w:pStyle w:val="Gvdemetni251"/>
        <w:tabs>
          <w:tab w:val="left" w:pos="709"/>
          <w:tab w:val="right" w:pos="2405"/>
        </w:tabs>
        <w:spacing w:before="120" w:after="120" w:line="240" w:lineRule="auto"/>
        <w:ind w:left="1134" w:firstLine="0"/>
        <w:rPr>
          <w:color w:val="auto"/>
          <w:sz w:val="24"/>
          <w:szCs w:val="24"/>
        </w:rPr>
      </w:pPr>
      <w:r w:rsidRPr="00DE12A3">
        <w:rPr>
          <w:rStyle w:val="Gvdemetni254pttalik0ptbolukbraklyor"/>
          <w:rFonts w:eastAsia="Malgun Gothic"/>
          <w:color w:val="auto"/>
          <w:sz w:val="24"/>
          <w:szCs w:val="24"/>
        </w:rPr>
        <w:t>f</w:t>
      </w:r>
      <w:r w:rsidR="00CE5167" w:rsidRPr="00DE12A3">
        <w:rPr>
          <w:color w:val="auto"/>
          <w:sz w:val="24"/>
          <w:szCs w:val="24"/>
        </w:rPr>
        <w:t xml:space="preserve"> </w:t>
      </w:r>
      <w:r w:rsidRPr="00DE12A3">
        <w:rPr>
          <w:color w:val="auto"/>
          <w:sz w:val="24"/>
          <w:szCs w:val="24"/>
        </w:rPr>
        <w:t>=</w:t>
      </w:r>
      <w:r w:rsidRPr="00DE12A3">
        <w:rPr>
          <w:color w:val="auto"/>
          <w:sz w:val="24"/>
          <w:szCs w:val="24"/>
        </w:rPr>
        <w:tab/>
      </w:r>
      <w:r w:rsidR="00716C4F" w:rsidRPr="00DE12A3">
        <w:rPr>
          <w:color w:val="auto"/>
          <w:sz w:val="24"/>
          <w:szCs w:val="24"/>
        </w:rPr>
        <w:t xml:space="preserve">Veri </w:t>
      </w:r>
      <w:r w:rsidRPr="00DE12A3">
        <w:rPr>
          <w:color w:val="auto"/>
          <w:sz w:val="24"/>
          <w:szCs w:val="24"/>
        </w:rPr>
        <w:t>örnekleme hızı [Hz]</w:t>
      </w:r>
    </w:p>
    <w:p w14:paraId="78DC2D83" w14:textId="2132C25F" w:rsidR="002D7B36" w:rsidRPr="00DE12A3" w:rsidRDefault="00242DA0" w:rsidP="00C917D6">
      <w:pPr>
        <w:pStyle w:val="Gvdemetni251"/>
        <w:shd w:val="clear" w:color="auto" w:fill="auto"/>
        <w:tabs>
          <w:tab w:val="left" w:pos="709"/>
          <w:tab w:val="right" w:pos="2693"/>
        </w:tabs>
        <w:spacing w:before="120" w:after="120" w:line="240" w:lineRule="auto"/>
        <w:ind w:left="1134" w:firstLine="0"/>
        <w:rPr>
          <w:color w:val="auto"/>
          <w:sz w:val="24"/>
          <w:szCs w:val="24"/>
        </w:rPr>
      </w:pPr>
      <w:r w:rsidRPr="00DE12A3">
        <w:rPr>
          <w:color w:val="auto"/>
          <w:sz w:val="24"/>
          <w:szCs w:val="24"/>
        </w:rPr>
        <w:t>N</w:t>
      </w:r>
      <w:r w:rsidR="00CE5167" w:rsidRPr="00DE12A3">
        <w:rPr>
          <w:color w:val="auto"/>
          <w:sz w:val="24"/>
          <w:szCs w:val="24"/>
        </w:rPr>
        <w:t xml:space="preserve"> </w:t>
      </w:r>
      <w:r w:rsidRPr="00DE12A3">
        <w:rPr>
          <w:color w:val="auto"/>
          <w:sz w:val="24"/>
          <w:szCs w:val="24"/>
        </w:rPr>
        <w:t>=</w:t>
      </w:r>
      <w:r w:rsidRPr="00DE12A3">
        <w:rPr>
          <w:color w:val="auto"/>
          <w:sz w:val="24"/>
          <w:szCs w:val="24"/>
        </w:rPr>
        <w:tab/>
      </w:r>
      <w:r w:rsidR="00716C4F" w:rsidRPr="00DE12A3">
        <w:rPr>
          <w:color w:val="auto"/>
          <w:sz w:val="24"/>
          <w:szCs w:val="24"/>
        </w:rPr>
        <w:t xml:space="preserve">Ölçüm </w:t>
      </w:r>
      <w:r w:rsidRPr="00DE12A3">
        <w:rPr>
          <w:color w:val="auto"/>
          <w:sz w:val="24"/>
          <w:szCs w:val="24"/>
        </w:rPr>
        <w:t>sayısı [-]</w:t>
      </w:r>
    </w:p>
    <w:p w14:paraId="31CB00F0" w14:textId="77777777" w:rsidR="001104F2" w:rsidRPr="00DE12A3" w:rsidRDefault="001104F2" w:rsidP="00C917D6">
      <w:pPr>
        <w:pStyle w:val="Gvdemetni251"/>
        <w:shd w:val="clear" w:color="auto" w:fill="auto"/>
        <w:tabs>
          <w:tab w:val="left" w:pos="709"/>
          <w:tab w:val="right" w:pos="2693"/>
        </w:tabs>
        <w:spacing w:before="120" w:after="120" w:line="240" w:lineRule="auto"/>
        <w:ind w:left="1134" w:hanging="1134"/>
        <w:rPr>
          <w:color w:val="auto"/>
          <w:sz w:val="24"/>
          <w:szCs w:val="24"/>
        </w:rPr>
      </w:pPr>
    </w:p>
    <w:p w14:paraId="53EFC4E3" w14:textId="77777777" w:rsidR="002D7B36" w:rsidRPr="00DE12A3" w:rsidRDefault="002855B1" w:rsidP="00E20716">
      <w:pPr>
        <w:pStyle w:val="Resimyazs70"/>
        <w:numPr>
          <w:ilvl w:val="2"/>
          <w:numId w:val="421"/>
        </w:numPr>
        <w:shd w:val="clear" w:color="auto" w:fill="auto"/>
        <w:tabs>
          <w:tab w:val="left" w:pos="763"/>
        </w:tabs>
        <w:spacing w:after="120" w:line="240" w:lineRule="auto"/>
        <w:ind w:left="1134" w:hanging="1134"/>
        <w:rPr>
          <w:sz w:val="24"/>
          <w:szCs w:val="24"/>
        </w:rPr>
      </w:pPr>
      <w:r w:rsidRPr="00DE12A3">
        <w:rPr>
          <w:spacing w:val="3"/>
          <w:sz w:val="24"/>
          <w:szCs w:val="24"/>
        </w:rPr>
        <w:t xml:space="preserve">      </w:t>
      </w:r>
      <w:r w:rsidR="00242DA0" w:rsidRPr="00DE12A3">
        <w:rPr>
          <w:spacing w:val="3"/>
          <w:sz w:val="24"/>
          <w:szCs w:val="24"/>
        </w:rPr>
        <w:t>Kuru-yaş konsantrasyon dönüşümü</w:t>
      </w:r>
    </w:p>
    <w:p w14:paraId="3061202B" w14:textId="33577B5F" w:rsidR="002D7B36" w:rsidRPr="00DE12A3" w:rsidRDefault="002855B1" w:rsidP="00C917D6">
      <w:pPr>
        <w:pStyle w:val="Resimyazs70"/>
        <w:shd w:val="clear" w:color="auto" w:fill="auto"/>
        <w:spacing w:after="120" w:line="240" w:lineRule="auto"/>
        <w:ind w:left="1134" w:hanging="1134"/>
        <w:rPr>
          <w:rStyle w:val="Resimyazs77pt0ptbolukbraklyor"/>
          <w:color w:val="auto"/>
          <w:sz w:val="24"/>
          <w:szCs w:val="24"/>
        </w:rPr>
      </w:pPr>
      <w:r w:rsidRPr="00DE12A3">
        <w:rPr>
          <w:rStyle w:val="Resimyazs77pt0ptbolukbraklyor"/>
          <w:color w:val="auto"/>
          <w:sz w:val="24"/>
          <w:szCs w:val="24"/>
        </w:rPr>
        <w:t xml:space="preserve">                  </w:t>
      </w:r>
      <w:r w:rsidR="00242DA0" w:rsidRPr="00DE12A3">
        <w:rPr>
          <w:rStyle w:val="Resimyazs77pt0ptbolukbraklyor"/>
          <w:color w:val="auto"/>
          <w:sz w:val="24"/>
          <w:szCs w:val="24"/>
        </w:rPr>
        <w:t xml:space="preserve">Bu bentteki parametreler, 3.4.3 bendinde hesaplanan kimyasal denge sonuçlarından elde edilir. Sırasıyla kuru ve ıslak bazda ifade edilen, ölçülen akış içindeki gaz molar konsantrasyonları </w:t>
      </w:r>
      <w:r w:rsidR="00242DA0" w:rsidRPr="00DE12A3">
        <w:rPr>
          <w:rStyle w:val="Resimyazs77pt0ptbolukbraklyor"/>
          <w:i/>
          <w:iCs/>
          <w:color w:val="auto"/>
          <w:sz w:val="24"/>
          <w:szCs w:val="24"/>
        </w:rPr>
        <w:t>x</w:t>
      </w:r>
      <w:r w:rsidR="00242DA0" w:rsidRPr="00DE12A3">
        <w:rPr>
          <w:rStyle w:val="Resimyazs77pt0ptbolukbraklyor"/>
          <w:color w:val="auto"/>
          <w:sz w:val="24"/>
          <w:szCs w:val="24"/>
          <w:vertAlign w:val="subscript"/>
        </w:rPr>
        <w:t>gasdry</w:t>
      </w:r>
      <w:r w:rsidR="00242DA0" w:rsidRPr="00DE12A3">
        <w:rPr>
          <w:rStyle w:val="Resimyazs77pt0ptbolukbraklyor"/>
          <w:color w:val="auto"/>
          <w:sz w:val="24"/>
          <w:szCs w:val="24"/>
        </w:rPr>
        <w:t xml:space="preserve"> ve </w:t>
      </w:r>
      <w:r w:rsidR="00242DA0" w:rsidRPr="00DE12A3">
        <w:rPr>
          <w:rStyle w:val="Resimyazs77pt0ptbolukbraklyor"/>
          <w:i/>
          <w:iCs/>
          <w:color w:val="auto"/>
          <w:sz w:val="24"/>
          <w:szCs w:val="24"/>
        </w:rPr>
        <w:t>x</w:t>
      </w:r>
      <w:r w:rsidR="00242DA0" w:rsidRPr="00DE12A3">
        <w:rPr>
          <w:rStyle w:val="Resimyazs77pt0ptbolukbraklyor"/>
          <w:color w:val="auto"/>
          <w:sz w:val="24"/>
          <w:szCs w:val="24"/>
          <w:vertAlign w:val="subscript"/>
        </w:rPr>
        <w:t>gas</w:t>
      </w:r>
      <w:r w:rsidR="00242DA0" w:rsidRPr="00DE12A3">
        <w:rPr>
          <w:rStyle w:val="Resimyazs77pt0ptbolukbraklyor"/>
          <w:color w:val="auto"/>
          <w:sz w:val="24"/>
          <w:szCs w:val="24"/>
        </w:rPr>
        <w:t xml:space="preserve"> [mol/mol] arasında aşağıdaki ilişki vardır [(7-109) ve (7-110) </w:t>
      </w:r>
      <w:r w:rsidR="00962CA1" w:rsidRPr="00DE12A3">
        <w:rPr>
          <w:rStyle w:val="Resimyazs77pt0ptbolukbraklyor"/>
          <w:color w:val="auto"/>
          <w:sz w:val="24"/>
          <w:szCs w:val="24"/>
        </w:rPr>
        <w:t xml:space="preserve">numaralı </w:t>
      </w:r>
      <w:r w:rsidR="00242DA0" w:rsidRPr="00DE12A3">
        <w:rPr>
          <w:rStyle w:val="Resimyazs77pt0ptbolukbraklyor"/>
          <w:color w:val="auto"/>
          <w:sz w:val="24"/>
          <w:szCs w:val="24"/>
        </w:rPr>
        <w:t>denklemler]:</w:t>
      </w:r>
    </w:p>
    <w:p w14:paraId="191BD416" w14:textId="77777777" w:rsidR="00522021" w:rsidRPr="00DE12A3" w:rsidRDefault="00522021" w:rsidP="00C917D6">
      <w:pPr>
        <w:pStyle w:val="Resimyazs70"/>
        <w:shd w:val="clear" w:color="auto" w:fill="auto"/>
        <w:spacing w:after="120" w:line="240" w:lineRule="auto"/>
        <w:ind w:left="1134" w:hanging="1134"/>
        <w:rPr>
          <w:rStyle w:val="Resimyazs77pt0ptbolukbraklyor"/>
          <w:color w:val="auto"/>
          <w:sz w:val="24"/>
          <w:szCs w:val="24"/>
        </w:rPr>
      </w:pPr>
    </w:p>
    <w:tbl>
      <w:tblPr>
        <w:tblW w:w="6511" w:type="dxa"/>
        <w:jc w:val="center"/>
        <w:tblLayout w:type="fixed"/>
        <w:tblLook w:val="0000" w:firstRow="0" w:lastRow="0" w:firstColumn="0" w:lastColumn="0" w:noHBand="0" w:noVBand="0"/>
      </w:tblPr>
      <w:tblGrid>
        <w:gridCol w:w="4622"/>
        <w:gridCol w:w="1889"/>
      </w:tblGrid>
      <w:tr w:rsidR="00DE12A3" w:rsidRPr="00DE12A3" w14:paraId="60B20E70" w14:textId="77777777" w:rsidTr="001A234D">
        <w:trPr>
          <w:trHeight w:val="1046"/>
          <w:jc w:val="center"/>
        </w:trPr>
        <w:tc>
          <w:tcPr>
            <w:tcW w:w="4622" w:type="dxa"/>
          </w:tcPr>
          <w:p w14:paraId="38ED45A4" w14:textId="6AC8A6B5" w:rsidR="00CB45D6" w:rsidRPr="00DE12A3" w:rsidRDefault="00CB45D6" w:rsidP="00AA5E93">
            <w:pPr>
              <w:pStyle w:val="NormalLeft"/>
              <w:jc w:val="both"/>
            </w:pPr>
            <w:r w:rsidRPr="00DE12A3">
              <w:rPr>
                <w:noProof/>
                <w:lang w:val="tr-TR"/>
              </w:rPr>
              <w:drawing>
                <wp:inline distT="0" distB="0" distL="0" distR="0" wp14:anchorId="5A4CB841" wp14:editId="4C457273">
                  <wp:extent cx="2156460" cy="571500"/>
                  <wp:effectExtent l="0" t="0" r="0" b="0"/>
                  <wp:docPr id="147" name="Resim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2156460" cy="571500"/>
                          </a:xfrm>
                          <a:prstGeom prst="rect">
                            <a:avLst/>
                          </a:prstGeom>
                          <a:noFill/>
                          <a:ln>
                            <a:noFill/>
                          </a:ln>
                        </pic:spPr>
                      </pic:pic>
                    </a:graphicData>
                  </a:graphic>
                </wp:inline>
              </w:drawing>
            </w:r>
          </w:p>
        </w:tc>
        <w:tc>
          <w:tcPr>
            <w:tcW w:w="1889" w:type="dxa"/>
          </w:tcPr>
          <w:p w14:paraId="019588E9" w14:textId="77777777" w:rsidR="00CB45D6" w:rsidRPr="00DE12A3" w:rsidRDefault="00CB45D6" w:rsidP="00AA5E93">
            <w:pPr>
              <w:pStyle w:val="NormalLeft"/>
              <w:jc w:val="both"/>
            </w:pPr>
            <w:r w:rsidRPr="00DE12A3">
              <w:t>(7-109)</w:t>
            </w:r>
          </w:p>
        </w:tc>
      </w:tr>
      <w:tr w:rsidR="00DE12A3" w:rsidRPr="00DE12A3" w14:paraId="3DCB24ED" w14:textId="77777777" w:rsidTr="001A234D">
        <w:trPr>
          <w:trHeight w:val="1112"/>
          <w:jc w:val="center"/>
        </w:trPr>
        <w:tc>
          <w:tcPr>
            <w:tcW w:w="4622" w:type="dxa"/>
          </w:tcPr>
          <w:p w14:paraId="29E0B695" w14:textId="676574F0" w:rsidR="00CB45D6" w:rsidRPr="00DE12A3" w:rsidRDefault="00CB45D6" w:rsidP="00AA5E93">
            <w:pPr>
              <w:pStyle w:val="NormalLeft"/>
              <w:jc w:val="both"/>
            </w:pPr>
            <w:r w:rsidRPr="00DE12A3">
              <w:rPr>
                <w:noProof/>
                <w:lang w:val="tr-TR"/>
              </w:rPr>
              <w:drawing>
                <wp:inline distT="0" distB="0" distL="0" distR="0" wp14:anchorId="1F4481A4" wp14:editId="222E3E95">
                  <wp:extent cx="2156460" cy="601980"/>
                  <wp:effectExtent l="0" t="0" r="0" b="7620"/>
                  <wp:docPr id="146" name="Resim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2156460" cy="601980"/>
                          </a:xfrm>
                          <a:prstGeom prst="rect">
                            <a:avLst/>
                          </a:prstGeom>
                          <a:noFill/>
                          <a:ln>
                            <a:noFill/>
                          </a:ln>
                        </pic:spPr>
                      </pic:pic>
                    </a:graphicData>
                  </a:graphic>
                </wp:inline>
              </w:drawing>
            </w:r>
          </w:p>
        </w:tc>
        <w:tc>
          <w:tcPr>
            <w:tcW w:w="1889" w:type="dxa"/>
          </w:tcPr>
          <w:p w14:paraId="2CC9338B" w14:textId="77777777" w:rsidR="00CB45D6" w:rsidRPr="00DE12A3" w:rsidRDefault="00CB45D6" w:rsidP="00AA5E93">
            <w:pPr>
              <w:pStyle w:val="NormalLeft"/>
              <w:jc w:val="both"/>
            </w:pPr>
            <w:r w:rsidRPr="00DE12A3">
              <w:t>(7-110)</w:t>
            </w:r>
          </w:p>
        </w:tc>
      </w:tr>
    </w:tbl>
    <w:p w14:paraId="3554723D" w14:textId="77777777" w:rsidR="002D7B36" w:rsidRPr="00DE12A3" w:rsidRDefault="002855B1" w:rsidP="00C917D6">
      <w:pPr>
        <w:pStyle w:val="Resimyazs70"/>
        <w:shd w:val="clear" w:color="auto" w:fill="auto"/>
        <w:spacing w:after="120" w:line="240" w:lineRule="auto"/>
        <w:ind w:left="1134"/>
        <w:rPr>
          <w:sz w:val="24"/>
          <w:szCs w:val="24"/>
        </w:rPr>
      </w:pPr>
      <w:r w:rsidRPr="00DE12A3">
        <w:rPr>
          <w:rStyle w:val="Resimyazs77pt0ptbolukbraklyor"/>
          <w:color w:val="auto"/>
          <w:sz w:val="24"/>
          <w:szCs w:val="24"/>
        </w:rPr>
        <w:t>B</w:t>
      </w:r>
      <w:r w:rsidR="00242DA0" w:rsidRPr="00DE12A3">
        <w:rPr>
          <w:rStyle w:val="Resimyazs77pt0ptbolukbraklyor"/>
          <w:color w:val="auto"/>
          <w:sz w:val="24"/>
          <w:szCs w:val="24"/>
        </w:rPr>
        <w:t>urada:</w:t>
      </w:r>
    </w:p>
    <w:p w14:paraId="03AF5559" w14:textId="017B884B" w:rsidR="002D7B36" w:rsidRPr="00DE12A3" w:rsidRDefault="00242DA0" w:rsidP="00C917D6">
      <w:pPr>
        <w:pStyle w:val="Resimyazs70"/>
        <w:shd w:val="clear" w:color="auto" w:fill="auto"/>
        <w:tabs>
          <w:tab w:val="right" w:pos="5656"/>
        </w:tabs>
        <w:spacing w:after="120" w:line="240" w:lineRule="auto"/>
        <w:ind w:left="1134"/>
        <w:rPr>
          <w:sz w:val="24"/>
          <w:szCs w:val="24"/>
        </w:rPr>
      </w:pPr>
      <w:r w:rsidRPr="00DE12A3">
        <w:rPr>
          <w:rStyle w:val="Resimyazs77pt0ptbolukbraklyor"/>
          <w:i/>
          <w:iCs/>
          <w:color w:val="auto"/>
          <w:sz w:val="24"/>
          <w:szCs w:val="24"/>
        </w:rPr>
        <w:t>x</w:t>
      </w:r>
      <w:r w:rsidRPr="00DE12A3">
        <w:rPr>
          <w:rStyle w:val="Resimyazs77pt0ptbolukbraklyor"/>
          <w:color w:val="auto"/>
          <w:sz w:val="24"/>
          <w:szCs w:val="24"/>
          <w:vertAlign w:val="subscript"/>
        </w:rPr>
        <w:t>H2O</w:t>
      </w:r>
      <w:r w:rsidRPr="00DE12A3">
        <w:rPr>
          <w:rStyle w:val="Resimyazs77pt0ptbolukbraklyor"/>
          <w:color w:val="auto"/>
          <w:sz w:val="24"/>
          <w:szCs w:val="24"/>
        </w:rPr>
        <w:tab/>
        <w:t xml:space="preserve">= </w:t>
      </w:r>
      <w:r w:rsidR="00716C4F" w:rsidRPr="00DE12A3">
        <w:rPr>
          <w:rStyle w:val="Resimyazs77pt0ptbolukbraklyor"/>
          <w:color w:val="auto"/>
          <w:sz w:val="24"/>
          <w:szCs w:val="24"/>
        </w:rPr>
        <w:t xml:space="preserve">Yaş </w:t>
      </w:r>
      <w:r w:rsidRPr="00DE12A3">
        <w:rPr>
          <w:rStyle w:val="Resimyazs77pt0ptbolukbraklyor"/>
          <w:color w:val="auto"/>
          <w:sz w:val="24"/>
          <w:szCs w:val="24"/>
        </w:rPr>
        <w:t>bazda ölçülen akış içindeki molar su oranı [mol/mol]</w:t>
      </w:r>
    </w:p>
    <w:p w14:paraId="7869D9DF" w14:textId="55118C31" w:rsidR="002D7B36" w:rsidRPr="00DE12A3" w:rsidRDefault="00242DA0" w:rsidP="00C917D6">
      <w:pPr>
        <w:pStyle w:val="Resimyazs70"/>
        <w:shd w:val="clear" w:color="auto" w:fill="auto"/>
        <w:spacing w:after="120" w:line="240" w:lineRule="auto"/>
        <w:ind w:left="1134"/>
        <w:rPr>
          <w:sz w:val="24"/>
          <w:szCs w:val="24"/>
        </w:rPr>
      </w:pPr>
      <w:r w:rsidRPr="00DE12A3">
        <w:rPr>
          <w:rStyle w:val="Resimyazs77pt0ptbolukbraklyor"/>
          <w:i/>
          <w:iCs/>
          <w:color w:val="auto"/>
          <w:sz w:val="24"/>
          <w:szCs w:val="24"/>
        </w:rPr>
        <w:t>x</w:t>
      </w:r>
      <w:r w:rsidRPr="00DE12A3">
        <w:rPr>
          <w:rStyle w:val="Resimyazs77pt0ptbolukbraklyor"/>
          <w:color w:val="auto"/>
          <w:sz w:val="24"/>
          <w:szCs w:val="24"/>
          <w:vertAlign w:val="subscript"/>
        </w:rPr>
        <w:t>H2Odry</w:t>
      </w:r>
      <w:r w:rsidRPr="00DE12A3">
        <w:rPr>
          <w:rStyle w:val="Resimyazs77pt0ptbolukbraklyor"/>
          <w:color w:val="auto"/>
          <w:sz w:val="24"/>
          <w:szCs w:val="24"/>
        </w:rPr>
        <w:t xml:space="preserve"> = </w:t>
      </w:r>
      <w:r w:rsidR="00716C4F" w:rsidRPr="00DE12A3">
        <w:rPr>
          <w:rStyle w:val="Resimyazs77pt0ptbolukbraklyor"/>
          <w:color w:val="auto"/>
          <w:sz w:val="24"/>
          <w:szCs w:val="24"/>
        </w:rPr>
        <w:t xml:space="preserve">Kuru </w:t>
      </w:r>
      <w:r w:rsidRPr="00DE12A3">
        <w:rPr>
          <w:rStyle w:val="Resimyazs77pt0ptbolukbraklyor"/>
          <w:color w:val="auto"/>
          <w:sz w:val="24"/>
          <w:szCs w:val="24"/>
        </w:rPr>
        <w:t>bazda ölçülen akış içindeki molar su oranı [mol/mol]</w:t>
      </w:r>
    </w:p>
    <w:p w14:paraId="0FD8361A" w14:textId="3E24C294" w:rsidR="002D7B36" w:rsidRPr="00DE12A3" w:rsidRDefault="00242DA0" w:rsidP="00C917D6">
      <w:pPr>
        <w:pStyle w:val="Resimyazs70"/>
        <w:shd w:val="clear" w:color="auto" w:fill="auto"/>
        <w:spacing w:after="120" w:line="240" w:lineRule="auto"/>
        <w:ind w:left="1134"/>
        <w:rPr>
          <w:sz w:val="24"/>
          <w:szCs w:val="24"/>
        </w:rPr>
      </w:pPr>
      <w:r w:rsidRPr="00DE12A3">
        <w:rPr>
          <w:rStyle w:val="Resimyazs77pt0ptbolukbraklyor"/>
          <w:color w:val="auto"/>
          <w:sz w:val="24"/>
          <w:szCs w:val="24"/>
        </w:rPr>
        <w:t xml:space="preserve">Gaz emisyonları için, (7-111) </w:t>
      </w:r>
      <w:r w:rsidR="00962CA1" w:rsidRPr="00DE12A3">
        <w:rPr>
          <w:rStyle w:val="Resimyazs77pt0ptbolukbraklyor"/>
          <w:color w:val="auto"/>
          <w:sz w:val="24"/>
          <w:szCs w:val="24"/>
        </w:rPr>
        <w:t xml:space="preserve">numaralı </w:t>
      </w:r>
      <w:r w:rsidRPr="00DE12A3">
        <w:rPr>
          <w:rStyle w:val="Resimyazs77pt0ptbolukbraklyor"/>
          <w:color w:val="auto"/>
          <w:sz w:val="24"/>
          <w:szCs w:val="24"/>
        </w:rPr>
        <w:t xml:space="preserve">denklem aracılığıyla genel konsantrasyon </w:t>
      </w:r>
      <w:r w:rsidRPr="00DE12A3">
        <w:rPr>
          <w:rStyle w:val="Resimyazs77pt0ptbolukbraklyor"/>
          <w:i/>
          <w:iCs/>
          <w:color w:val="auto"/>
          <w:sz w:val="24"/>
          <w:szCs w:val="24"/>
        </w:rPr>
        <w:t>x</w:t>
      </w:r>
      <w:r w:rsidRPr="00DE12A3">
        <w:rPr>
          <w:rStyle w:val="Resimyazs77pt0ptbolukbraklyor"/>
          <w:color w:val="auto"/>
          <w:sz w:val="24"/>
          <w:szCs w:val="24"/>
        </w:rPr>
        <w:t xml:space="preserve"> [mol/mol] için bir giderilmiş su düzeltmesi yapılmalıdır</w:t>
      </w:r>
      <w:r w:rsidR="00CE5167" w:rsidRPr="00DE12A3">
        <w:rPr>
          <w:rStyle w:val="Resimyazs77pt0ptbolukbraklyor"/>
          <w:color w:val="auto"/>
          <w:sz w:val="24"/>
          <w:szCs w:val="24"/>
        </w:rPr>
        <w:t>:</w:t>
      </w:r>
    </w:p>
    <w:p w14:paraId="74A0411C" w14:textId="77777777" w:rsidR="002D7B36" w:rsidRPr="00DE12A3" w:rsidRDefault="002D7B36" w:rsidP="00C917D6">
      <w:pPr>
        <w:pStyle w:val="Resimyazs70"/>
        <w:shd w:val="clear" w:color="auto" w:fill="auto"/>
        <w:spacing w:after="120" w:line="240" w:lineRule="auto"/>
        <w:ind w:left="1134" w:hanging="1134"/>
        <w:rPr>
          <w:sz w:val="24"/>
          <w:szCs w:val="24"/>
        </w:rPr>
      </w:pPr>
    </w:p>
    <w:tbl>
      <w:tblPr>
        <w:tblW w:w="7530" w:type="dxa"/>
        <w:jc w:val="center"/>
        <w:tblLayout w:type="fixed"/>
        <w:tblLook w:val="0000" w:firstRow="0" w:lastRow="0" w:firstColumn="0" w:lastColumn="0" w:noHBand="0" w:noVBand="0"/>
      </w:tblPr>
      <w:tblGrid>
        <w:gridCol w:w="6326"/>
        <w:gridCol w:w="1204"/>
      </w:tblGrid>
      <w:tr w:rsidR="00DE12A3" w:rsidRPr="00DE12A3" w14:paraId="5D4B0987" w14:textId="77777777" w:rsidTr="001A234D">
        <w:trPr>
          <w:trHeight w:val="1355"/>
          <w:jc w:val="center"/>
        </w:trPr>
        <w:tc>
          <w:tcPr>
            <w:tcW w:w="6326" w:type="dxa"/>
          </w:tcPr>
          <w:p w14:paraId="42EEBBD1" w14:textId="6EB75553" w:rsidR="00CB45D6" w:rsidRPr="00DE12A3" w:rsidRDefault="00CB45D6" w:rsidP="00AA5E93">
            <w:pPr>
              <w:pStyle w:val="NormalLeft"/>
              <w:jc w:val="both"/>
            </w:pPr>
            <w:r w:rsidRPr="00DE12A3">
              <w:rPr>
                <w:noProof/>
                <w:lang w:val="tr-TR"/>
              </w:rPr>
              <w:drawing>
                <wp:inline distT="0" distB="0" distL="0" distR="0" wp14:anchorId="632390F9" wp14:editId="667D9F29">
                  <wp:extent cx="3825240" cy="708660"/>
                  <wp:effectExtent l="0" t="0" r="3810" b="0"/>
                  <wp:docPr id="145" name="Resim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3825240" cy="708660"/>
                          </a:xfrm>
                          <a:prstGeom prst="rect">
                            <a:avLst/>
                          </a:prstGeom>
                          <a:noFill/>
                          <a:ln>
                            <a:noFill/>
                          </a:ln>
                        </pic:spPr>
                      </pic:pic>
                    </a:graphicData>
                  </a:graphic>
                </wp:inline>
              </w:drawing>
            </w:r>
          </w:p>
        </w:tc>
        <w:tc>
          <w:tcPr>
            <w:tcW w:w="1204" w:type="dxa"/>
          </w:tcPr>
          <w:p w14:paraId="5BA82973" w14:textId="77777777" w:rsidR="00CB45D6" w:rsidRPr="00DE12A3" w:rsidRDefault="00CB45D6" w:rsidP="00AA5E93">
            <w:pPr>
              <w:pStyle w:val="NormalLeft"/>
              <w:jc w:val="both"/>
            </w:pPr>
            <w:r w:rsidRPr="00DE12A3">
              <w:t>(7-111)</w:t>
            </w:r>
          </w:p>
        </w:tc>
      </w:tr>
    </w:tbl>
    <w:p w14:paraId="22B95756" w14:textId="77777777" w:rsidR="002D7B36" w:rsidRPr="00DE12A3" w:rsidRDefault="00242DA0" w:rsidP="00C917D6">
      <w:pPr>
        <w:pStyle w:val="Gvdemetni251"/>
        <w:shd w:val="clear" w:color="auto" w:fill="auto"/>
        <w:spacing w:before="120" w:after="120" w:line="240" w:lineRule="auto"/>
        <w:ind w:left="1134" w:firstLine="0"/>
        <w:rPr>
          <w:color w:val="auto"/>
          <w:sz w:val="24"/>
          <w:szCs w:val="24"/>
        </w:rPr>
      </w:pPr>
      <w:r w:rsidRPr="00DE12A3">
        <w:rPr>
          <w:color w:val="auto"/>
          <w:sz w:val="24"/>
          <w:szCs w:val="24"/>
        </w:rPr>
        <w:t>Burada:</w:t>
      </w:r>
    </w:p>
    <w:p w14:paraId="3B58492C" w14:textId="384D0576" w:rsidR="002D7B36" w:rsidRPr="00DE12A3" w:rsidRDefault="00716C4F" w:rsidP="00C917D6">
      <w:pPr>
        <w:pStyle w:val="Gvdemetni251"/>
        <w:shd w:val="clear" w:color="auto" w:fill="auto"/>
        <w:spacing w:before="120" w:after="120" w:line="240" w:lineRule="auto"/>
        <w:ind w:left="1134" w:firstLine="0"/>
        <w:rPr>
          <w:color w:val="auto"/>
          <w:sz w:val="24"/>
          <w:szCs w:val="24"/>
        </w:rPr>
      </w:pPr>
      <w:r w:rsidRPr="00DE12A3">
        <w:rPr>
          <w:color w:val="auto"/>
          <w:sz w:val="24"/>
          <w:szCs w:val="24"/>
        </w:rPr>
        <w:t xml:space="preserve">x </w:t>
      </w:r>
      <w:r w:rsidRPr="00DE12A3">
        <w:rPr>
          <w:color w:val="auto"/>
          <w:sz w:val="24"/>
          <w:szCs w:val="24"/>
          <w:vertAlign w:val="subscript"/>
        </w:rPr>
        <w:t>[emission]meas</w:t>
      </w:r>
      <w:r w:rsidRPr="00DE12A3">
        <w:rPr>
          <w:color w:val="auto"/>
          <w:sz w:val="24"/>
          <w:szCs w:val="24"/>
        </w:rPr>
        <w:t xml:space="preserve">    </w:t>
      </w:r>
      <w:r w:rsidR="00242DA0" w:rsidRPr="00DE12A3">
        <w:rPr>
          <w:color w:val="auto"/>
          <w:sz w:val="24"/>
          <w:szCs w:val="24"/>
        </w:rPr>
        <w:t xml:space="preserve">= </w:t>
      </w:r>
      <w:r w:rsidRPr="00DE12A3">
        <w:rPr>
          <w:color w:val="auto"/>
          <w:sz w:val="24"/>
          <w:szCs w:val="24"/>
        </w:rPr>
        <w:t xml:space="preserve">Ölçüm </w:t>
      </w:r>
      <w:r w:rsidR="00242DA0" w:rsidRPr="00DE12A3">
        <w:rPr>
          <w:color w:val="auto"/>
          <w:sz w:val="24"/>
          <w:szCs w:val="24"/>
        </w:rPr>
        <w:t>konumunda ölçülen akış içindeki molar emisyon oranı [mol/mol]</w:t>
      </w:r>
    </w:p>
    <w:p w14:paraId="44FBE909" w14:textId="45F5F054" w:rsidR="002D7B36" w:rsidRPr="00DE12A3" w:rsidRDefault="00242DA0" w:rsidP="00C917D6">
      <w:pPr>
        <w:pStyle w:val="Gvdemetni251"/>
        <w:shd w:val="clear" w:color="auto" w:fill="auto"/>
        <w:tabs>
          <w:tab w:val="left" w:pos="2127"/>
        </w:tabs>
        <w:spacing w:before="120" w:after="120" w:line="240" w:lineRule="auto"/>
        <w:ind w:left="1134" w:firstLine="0"/>
        <w:rPr>
          <w:color w:val="auto"/>
          <w:sz w:val="24"/>
          <w:szCs w:val="24"/>
        </w:rPr>
      </w:pPr>
      <w:r w:rsidRPr="00DE12A3">
        <w:rPr>
          <w:i/>
          <w:iCs/>
          <w:color w:val="auto"/>
          <w:sz w:val="24"/>
          <w:szCs w:val="24"/>
        </w:rPr>
        <w:lastRenderedPageBreak/>
        <w:t>x</w:t>
      </w:r>
      <w:r w:rsidRPr="00DE12A3">
        <w:rPr>
          <w:color w:val="auto"/>
          <w:sz w:val="24"/>
          <w:szCs w:val="24"/>
          <w:vertAlign w:val="subscript"/>
        </w:rPr>
        <w:t>H2O[emission]meas</w:t>
      </w:r>
      <w:r w:rsidRPr="00DE12A3">
        <w:rPr>
          <w:color w:val="auto"/>
          <w:sz w:val="24"/>
          <w:szCs w:val="24"/>
        </w:rPr>
        <w:tab/>
        <w:t xml:space="preserve">= </w:t>
      </w:r>
      <w:r w:rsidR="00716C4F" w:rsidRPr="00DE12A3">
        <w:rPr>
          <w:color w:val="auto"/>
          <w:sz w:val="24"/>
          <w:szCs w:val="24"/>
        </w:rPr>
        <w:t xml:space="preserve">Konsantrasyon </w:t>
      </w:r>
      <w:r w:rsidRPr="00DE12A3">
        <w:rPr>
          <w:color w:val="auto"/>
          <w:sz w:val="24"/>
          <w:szCs w:val="24"/>
        </w:rPr>
        <w:t>ölçümünde ölçülen akış içindeki su miktarı [mol/mol]</w:t>
      </w:r>
    </w:p>
    <w:p w14:paraId="0F27E620" w14:textId="56CCE04A" w:rsidR="002D7B36" w:rsidRPr="00DE12A3" w:rsidRDefault="00242DA0" w:rsidP="00C917D6">
      <w:pPr>
        <w:pStyle w:val="Gvdemetni251"/>
        <w:shd w:val="clear" w:color="auto" w:fill="auto"/>
        <w:tabs>
          <w:tab w:val="left" w:pos="2127"/>
        </w:tabs>
        <w:spacing w:before="120" w:after="120" w:line="240" w:lineRule="auto"/>
        <w:ind w:left="1134" w:firstLine="0"/>
        <w:rPr>
          <w:color w:val="auto"/>
          <w:sz w:val="24"/>
          <w:szCs w:val="24"/>
        </w:rPr>
      </w:pPr>
      <w:r w:rsidRPr="00DE12A3">
        <w:rPr>
          <w:i/>
          <w:iCs/>
          <w:color w:val="auto"/>
          <w:sz w:val="24"/>
          <w:szCs w:val="24"/>
        </w:rPr>
        <w:t>x</w:t>
      </w:r>
      <w:r w:rsidRPr="00DE12A3">
        <w:rPr>
          <w:color w:val="auto"/>
          <w:sz w:val="24"/>
          <w:szCs w:val="24"/>
          <w:vertAlign w:val="subscript"/>
        </w:rPr>
        <w:t>H2Oexh</w:t>
      </w:r>
      <w:r w:rsidRPr="00DE12A3">
        <w:rPr>
          <w:color w:val="auto"/>
          <w:sz w:val="24"/>
          <w:szCs w:val="24"/>
        </w:rPr>
        <w:tab/>
        <w:t xml:space="preserve">= </w:t>
      </w:r>
      <w:r w:rsidR="00716C4F" w:rsidRPr="00DE12A3">
        <w:rPr>
          <w:color w:val="auto"/>
          <w:sz w:val="24"/>
          <w:szCs w:val="24"/>
        </w:rPr>
        <w:t xml:space="preserve">Debimetredeki </w:t>
      </w:r>
      <w:r w:rsidRPr="00DE12A3">
        <w:rPr>
          <w:color w:val="auto"/>
          <w:sz w:val="24"/>
          <w:szCs w:val="24"/>
        </w:rPr>
        <w:t>su miktarı [mol/mol]</w:t>
      </w:r>
    </w:p>
    <w:p w14:paraId="08B403AA" w14:textId="77777777" w:rsidR="002D7B36" w:rsidRPr="00DE12A3" w:rsidRDefault="002855B1" w:rsidP="00E20716">
      <w:pPr>
        <w:pStyle w:val="Gvdemetni251"/>
        <w:numPr>
          <w:ilvl w:val="2"/>
          <w:numId w:val="421"/>
        </w:numPr>
        <w:shd w:val="clear" w:color="auto" w:fill="auto"/>
        <w:spacing w:before="120" w:after="120" w:line="240" w:lineRule="auto"/>
        <w:ind w:left="1134" w:hanging="1134"/>
        <w:rPr>
          <w:color w:val="auto"/>
          <w:sz w:val="24"/>
          <w:szCs w:val="24"/>
        </w:rPr>
      </w:pPr>
      <w:r w:rsidRPr="00DE12A3">
        <w:rPr>
          <w:color w:val="auto"/>
          <w:sz w:val="24"/>
          <w:szCs w:val="24"/>
        </w:rPr>
        <w:t xml:space="preserve">       </w:t>
      </w:r>
      <w:r w:rsidR="00242DA0" w:rsidRPr="00DE12A3">
        <w:rPr>
          <w:color w:val="auto"/>
          <w:sz w:val="24"/>
          <w:szCs w:val="24"/>
        </w:rPr>
        <w:t>Egzoz gazı molar akış hızı</w:t>
      </w:r>
    </w:p>
    <w:p w14:paraId="7CFD4069" w14:textId="565FA495" w:rsidR="002D7B36" w:rsidRPr="00DE12A3" w:rsidRDefault="00242DA0" w:rsidP="00C917D6">
      <w:pPr>
        <w:pStyle w:val="Gvdemetni251"/>
        <w:shd w:val="clear" w:color="auto" w:fill="auto"/>
        <w:spacing w:before="120" w:after="120" w:line="240" w:lineRule="auto"/>
        <w:ind w:left="1134" w:firstLine="0"/>
        <w:rPr>
          <w:color w:val="auto"/>
          <w:sz w:val="24"/>
          <w:szCs w:val="24"/>
        </w:rPr>
      </w:pPr>
      <w:r w:rsidRPr="00DE12A3">
        <w:rPr>
          <w:color w:val="auto"/>
          <w:sz w:val="24"/>
          <w:szCs w:val="24"/>
        </w:rPr>
        <w:t>Ham egzoz gazının akış hızı doğrudan ölçülebilir veya 3.4.3 bendinde</w:t>
      </w:r>
      <w:r w:rsidR="00CE5167" w:rsidRPr="00DE12A3">
        <w:rPr>
          <w:color w:val="auto"/>
          <w:sz w:val="24"/>
          <w:szCs w:val="24"/>
        </w:rPr>
        <w:t xml:space="preserve"> yer alan</w:t>
      </w:r>
      <w:r w:rsidRPr="00DE12A3">
        <w:rPr>
          <w:color w:val="auto"/>
          <w:sz w:val="24"/>
          <w:szCs w:val="24"/>
        </w:rPr>
        <w:t xml:space="preserve"> kimyasal denge esasında hesaplanabilir. Ham egzoz gazı molar akış hızının hesaplanması, ölçülen emme havası molar akış hızından veya yakıt kütle akış hızından yapılır. Ham egzoz gazı molar akış hızı; ölçülen emme havası molar akış hızı </w:t>
      </w:r>
      <w:r w:rsidRPr="00DE12A3">
        <w:rPr>
          <w:rFonts w:eastAsia="Courier New"/>
          <w:i/>
          <w:iCs/>
          <w:color w:val="auto"/>
          <w:spacing w:val="0"/>
          <w:sz w:val="24"/>
          <w:szCs w:val="24"/>
        </w:rPr>
        <w:t>ṅ</w:t>
      </w:r>
      <w:r w:rsidRPr="00DE12A3">
        <w:rPr>
          <w:i/>
          <w:color w:val="auto"/>
          <w:sz w:val="24"/>
          <w:szCs w:val="24"/>
          <w:vertAlign w:val="subscript"/>
        </w:rPr>
        <w:t>int</w:t>
      </w:r>
      <w:r w:rsidRPr="00DE12A3">
        <w:rPr>
          <w:color w:val="auto"/>
          <w:sz w:val="24"/>
          <w:szCs w:val="24"/>
        </w:rPr>
        <w:t xml:space="preserve"> veya ölçülen yakıt kütle akış hızı </w:t>
      </w:r>
      <w:r w:rsidRPr="00DE12A3">
        <w:rPr>
          <w:rFonts w:eastAsia="Courier New"/>
          <w:i/>
          <w:iCs/>
          <w:color w:val="auto"/>
          <w:spacing w:val="0"/>
          <w:sz w:val="24"/>
          <w:szCs w:val="24"/>
        </w:rPr>
        <w:t>ṁ</w:t>
      </w:r>
      <w:r w:rsidRPr="00DE12A3">
        <w:rPr>
          <w:i/>
          <w:color w:val="auto"/>
          <w:sz w:val="24"/>
          <w:szCs w:val="24"/>
          <w:vertAlign w:val="subscript"/>
        </w:rPr>
        <w:t>fuel</w:t>
      </w:r>
      <w:r w:rsidRPr="00DE12A3">
        <w:rPr>
          <w:color w:val="auto"/>
          <w:sz w:val="24"/>
          <w:szCs w:val="24"/>
        </w:rPr>
        <w:t xml:space="preserve"> ve 3.4.3 bendindeki kimyasal denge kullanılarak hesaplanan değerler esasında, örneklenen emisyonlar </w:t>
      </w:r>
      <w:r w:rsidRPr="00DE12A3">
        <w:rPr>
          <w:rFonts w:eastAsia="Courier New"/>
          <w:i/>
          <w:iCs/>
          <w:color w:val="auto"/>
          <w:spacing w:val="0"/>
          <w:sz w:val="24"/>
          <w:szCs w:val="24"/>
        </w:rPr>
        <w:t>ṅ</w:t>
      </w:r>
      <w:r w:rsidRPr="00DE12A3">
        <w:rPr>
          <w:i/>
          <w:color w:val="auto"/>
          <w:sz w:val="24"/>
          <w:szCs w:val="24"/>
          <w:vertAlign w:val="subscript"/>
        </w:rPr>
        <w:t>exh</w:t>
      </w:r>
      <w:r w:rsidRPr="00DE12A3">
        <w:rPr>
          <w:color w:val="auto"/>
          <w:sz w:val="24"/>
          <w:szCs w:val="24"/>
        </w:rPr>
        <w:t xml:space="preserve"> değerlerinden hesaplanabilir. 3.4.3 bendinde</w:t>
      </w:r>
      <w:r w:rsidR="00CE5167" w:rsidRPr="00DE12A3">
        <w:rPr>
          <w:color w:val="auto"/>
          <w:sz w:val="24"/>
          <w:szCs w:val="24"/>
        </w:rPr>
        <w:t xml:space="preserve"> yer alan</w:t>
      </w:r>
      <w:r w:rsidRPr="00DE12A3">
        <w:rPr>
          <w:color w:val="auto"/>
          <w:sz w:val="24"/>
          <w:szCs w:val="24"/>
        </w:rPr>
        <w:t xml:space="preserve"> kimyasal denge için, </w:t>
      </w:r>
      <w:r w:rsidRPr="00DE12A3">
        <w:rPr>
          <w:rFonts w:eastAsia="Courier New"/>
          <w:i/>
          <w:iCs/>
          <w:color w:val="auto"/>
          <w:spacing w:val="0"/>
          <w:sz w:val="24"/>
          <w:szCs w:val="24"/>
        </w:rPr>
        <w:t>ṅ</w:t>
      </w:r>
      <w:r w:rsidRPr="00DE12A3">
        <w:rPr>
          <w:i/>
          <w:color w:val="auto"/>
          <w:sz w:val="24"/>
          <w:szCs w:val="24"/>
          <w:vertAlign w:val="subscript"/>
        </w:rPr>
        <w:t>int</w:t>
      </w:r>
      <w:r w:rsidRPr="00DE12A3">
        <w:rPr>
          <w:color w:val="auto"/>
          <w:sz w:val="24"/>
          <w:szCs w:val="24"/>
        </w:rPr>
        <w:t xml:space="preserve"> veya </w:t>
      </w:r>
      <w:r w:rsidRPr="00DE12A3">
        <w:rPr>
          <w:rFonts w:eastAsia="Courier New"/>
          <w:i/>
          <w:iCs/>
          <w:color w:val="auto"/>
          <w:spacing w:val="0"/>
          <w:sz w:val="24"/>
          <w:szCs w:val="24"/>
        </w:rPr>
        <w:t>ṁ</w:t>
      </w:r>
      <w:r w:rsidRPr="00DE12A3">
        <w:rPr>
          <w:i/>
          <w:color w:val="auto"/>
          <w:sz w:val="24"/>
          <w:szCs w:val="24"/>
          <w:vertAlign w:val="subscript"/>
        </w:rPr>
        <w:t>fuel</w:t>
      </w:r>
      <w:r w:rsidRPr="00DE12A3">
        <w:rPr>
          <w:color w:val="auto"/>
          <w:sz w:val="24"/>
          <w:szCs w:val="24"/>
        </w:rPr>
        <w:t>'in güncellenip kaydedildiği sıklıkta çözülmelidir.</w:t>
      </w:r>
    </w:p>
    <w:p w14:paraId="1A9CEA11" w14:textId="2E39CEDB" w:rsidR="002D7B36" w:rsidRPr="00DE12A3" w:rsidRDefault="002855B1" w:rsidP="00E20716">
      <w:pPr>
        <w:pStyle w:val="Gvdemetni251"/>
        <w:numPr>
          <w:ilvl w:val="0"/>
          <w:numId w:val="433"/>
        </w:numPr>
        <w:shd w:val="clear" w:color="auto" w:fill="auto"/>
        <w:spacing w:before="120" w:after="120" w:line="240" w:lineRule="auto"/>
        <w:ind w:left="1701" w:hanging="567"/>
        <w:rPr>
          <w:color w:val="auto"/>
          <w:sz w:val="24"/>
          <w:szCs w:val="24"/>
        </w:rPr>
      </w:pPr>
      <w:r w:rsidRPr="00DE12A3">
        <w:rPr>
          <w:color w:val="auto"/>
          <w:sz w:val="24"/>
          <w:szCs w:val="24"/>
        </w:rPr>
        <w:t xml:space="preserve">     </w:t>
      </w:r>
      <w:r w:rsidR="00242DA0" w:rsidRPr="00DE12A3">
        <w:rPr>
          <w:color w:val="auto"/>
          <w:sz w:val="24"/>
          <w:szCs w:val="24"/>
        </w:rPr>
        <w:t xml:space="preserve">Karter akış hızı. Ham egzoz gazı akışı, ancak karter emisyon akış hızı ile ilgili olarak aşağıdakilerden en az biri doğruysa, </w:t>
      </w:r>
      <w:r w:rsidR="00242DA0" w:rsidRPr="00DE12A3">
        <w:rPr>
          <w:rFonts w:eastAsia="Courier New"/>
          <w:i/>
          <w:iCs/>
          <w:color w:val="auto"/>
          <w:spacing w:val="0"/>
          <w:sz w:val="24"/>
          <w:szCs w:val="24"/>
        </w:rPr>
        <w:t>ṅ</w:t>
      </w:r>
      <w:r w:rsidR="00242DA0" w:rsidRPr="00DE12A3">
        <w:rPr>
          <w:i/>
          <w:color w:val="auto"/>
          <w:sz w:val="24"/>
          <w:szCs w:val="24"/>
          <w:vertAlign w:val="subscript"/>
        </w:rPr>
        <w:t>int</w:t>
      </w:r>
      <w:r w:rsidR="00242DA0" w:rsidRPr="00DE12A3">
        <w:rPr>
          <w:color w:val="auto"/>
          <w:sz w:val="24"/>
          <w:szCs w:val="24"/>
        </w:rPr>
        <w:t xml:space="preserve"> veya </w:t>
      </w:r>
      <w:r w:rsidR="00242DA0" w:rsidRPr="00DE12A3">
        <w:rPr>
          <w:rFonts w:eastAsia="Courier New"/>
          <w:i/>
          <w:iCs/>
          <w:color w:val="auto"/>
          <w:spacing w:val="0"/>
          <w:sz w:val="24"/>
          <w:szCs w:val="24"/>
        </w:rPr>
        <w:t>ṁ</w:t>
      </w:r>
      <w:r w:rsidR="00242DA0" w:rsidRPr="00DE12A3">
        <w:rPr>
          <w:i/>
          <w:color w:val="auto"/>
          <w:sz w:val="24"/>
          <w:szCs w:val="24"/>
          <w:vertAlign w:val="subscript"/>
        </w:rPr>
        <w:t>fuel</w:t>
      </w:r>
      <w:r w:rsidR="00242DA0" w:rsidRPr="00DE12A3">
        <w:rPr>
          <w:color w:val="auto"/>
          <w:sz w:val="24"/>
          <w:szCs w:val="24"/>
        </w:rPr>
        <w:t xml:space="preserve"> esasında hesaplanabilir</w:t>
      </w:r>
      <w:r w:rsidR="00CE5167" w:rsidRPr="00DE12A3">
        <w:rPr>
          <w:color w:val="auto"/>
          <w:sz w:val="24"/>
          <w:szCs w:val="24"/>
        </w:rPr>
        <w:t>;</w:t>
      </w:r>
    </w:p>
    <w:p w14:paraId="10CC53A3" w14:textId="7AC18285" w:rsidR="002D7B36" w:rsidRPr="00DE12A3" w:rsidRDefault="002855B1" w:rsidP="00E20716">
      <w:pPr>
        <w:pStyle w:val="Gvdemetni251"/>
        <w:numPr>
          <w:ilvl w:val="0"/>
          <w:numId w:val="434"/>
        </w:numPr>
        <w:shd w:val="clear" w:color="auto" w:fill="auto"/>
        <w:spacing w:before="120" w:after="120" w:line="240" w:lineRule="auto"/>
        <w:ind w:left="2268" w:hanging="708"/>
        <w:rPr>
          <w:color w:val="auto"/>
          <w:sz w:val="24"/>
          <w:szCs w:val="24"/>
        </w:rPr>
      </w:pPr>
      <w:r w:rsidRPr="00DE12A3">
        <w:rPr>
          <w:color w:val="auto"/>
          <w:sz w:val="24"/>
          <w:szCs w:val="24"/>
        </w:rPr>
        <w:t xml:space="preserve">  </w:t>
      </w:r>
      <w:r w:rsidR="00242DA0" w:rsidRPr="00DE12A3">
        <w:rPr>
          <w:color w:val="auto"/>
          <w:sz w:val="24"/>
          <w:szCs w:val="24"/>
        </w:rPr>
        <w:t>Test motorunda, emme havası sayacının çıkış tarafında, karter akışını geri emme havasına yönlendiren bir kapalı kartere sahip bir üretim emisyon kontrol sistemi bulunur</w:t>
      </w:r>
      <w:r w:rsidR="00CE5167" w:rsidRPr="00DE12A3">
        <w:rPr>
          <w:color w:val="auto"/>
          <w:sz w:val="24"/>
          <w:szCs w:val="24"/>
        </w:rPr>
        <w:t>.</w:t>
      </w:r>
    </w:p>
    <w:p w14:paraId="09B1564E" w14:textId="1385A866" w:rsidR="002D7B36" w:rsidRPr="00DE12A3" w:rsidRDefault="002855B1" w:rsidP="00E20716">
      <w:pPr>
        <w:pStyle w:val="Gvdemetni251"/>
        <w:numPr>
          <w:ilvl w:val="0"/>
          <w:numId w:val="434"/>
        </w:numPr>
        <w:shd w:val="clear" w:color="auto" w:fill="auto"/>
        <w:spacing w:before="120" w:after="120" w:line="240" w:lineRule="auto"/>
        <w:ind w:left="2268" w:hanging="708"/>
        <w:rPr>
          <w:color w:val="auto"/>
          <w:sz w:val="24"/>
          <w:szCs w:val="24"/>
        </w:rPr>
      </w:pPr>
      <w:r w:rsidRPr="00DE12A3">
        <w:rPr>
          <w:color w:val="auto"/>
          <w:sz w:val="24"/>
          <w:szCs w:val="24"/>
        </w:rPr>
        <w:t xml:space="preserve">   </w:t>
      </w:r>
      <w:r w:rsidR="00242DA0" w:rsidRPr="00DE12A3">
        <w:rPr>
          <w:color w:val="auto"/>
          <w:sz w:val="24"/>
          <w:szCs w:val="24"/>
        </w:rPr>
        <w:t xml:space="preserve">Emisyon testi sırasında, açık karter akışı, </w:t>
      </w:r>
      <w:r w:rsidR="00FA0678" w:rsidRPr="00DE12A3">
        <w:rPr>
          <w:color w:val="auto"/>
          <w:sz w:val="24"/>
          <w:szCs w:val="24"/>
        </w:rPr>
        <w:t xml:space="preserve">VI’ncı </w:t>
      </w:r>
      <w:r w:rsidR="00CE5167" w:rsidRPr="00DE12A3">
        <w:rPr>
          <w:color w:val="auto"/>
          <w:sz w:val="24"/>
          <w:szCs w:val="24"/>
        </w:rPr>
        <w:t>E</w:t>
      </w:r>
      <w:r w:rsidR="00FA0678" w:rsidRPr="00DE12A3">
        <w:rPr>
          <w:color w:val="auto"/>
          <w:sz w:val="24"/>
          <w:szCs w:val="24"/>
        </w:rPr>
        <w:t>k</w:t>
      </w:r>
      <w:r w:rsidR="00242DA0" w:rsidRPr="00DE12A3">
        <w:rPr>
          <w:color w:val="auto"/>
          <w:sz w:val="24"/>
          <w:szCs w:val="24"/>
        </w:rPr>
        <w:t>in 6.10 bendi uyarınca egzoz gazına yönlendirilmelidir</w:t>
      </w:r>
      <w:r w:rsidR="00CE5167" w:rsidRPr="00DE12A3">
        <w:rPr>
          <w:color w:val="auto"/>
          <w:sz w:val="24"/>
          <w:szCs w:val="24"/>
        </w:rPr>
        <w:t>.</w:t>
      </w:r>
    </w:p>
    <w:p w14:paraId="7348A9C0" w14:textId="099A0595" w:rsidR="002D7B36" w:rsidRPr="00DE12A3" w:rsidRDefault="002855B1" w:rsidP="00E20716">
      <w:pPr>
        <w:pStyle w:val="Gvdemetni251"/>
        <w:numPr>
          <w:ilvl w:val="0"/>
          <w:numId w:val="434"/>
        </w:numPr>
        <w:spacing w:before="120" w:after="120" w:line="240" w:lineRule="auto"/>
        <w:ind w:left="2268" w:hanging="567"/>
        <w:rPr>
          <w:color w:val="auto"/>
          <w:sz w:val="24"/>
          <w:szCs w:val="24"/>
        </w:rPr>
      </w:pPr>
      <w:r w:rsidRPr="00DE12A3">
        <w:rPr>
          <w:color w:val="auto"/>
          <w:sz w:val="24"/>
          <w:szCs w:val="24"/>
        </w:rPr>
        <w:t xml:space="preserve">  A</w:t>
      </w:r>
      <w:r w:rsidR="00242DA0" w:rsidRPr="00DE12A3">
        <w:rPr>
          <w:color w:val="auto"/>
          <w:sz w:val="24"/>
          <w:szCs w:val="24"/>
        </w:rPr>
        <w:t>çık karter emisyonları ve akışı ölçülür ve frene özgü emisyon hesaplamaları eklenir</w:t>
      </w:r>
      <w:r w:rsidR="00CE5167" w:rsidRPr="00DE12A3">
        <w:rPr>
          <w:color w:val="auto"/>
          <w:sz w:val="24"/>
          <w:szCs w:val="24"/>
        </w:rPr>
        <w:t>.</w:t>
      </w:r>
    </w:p>
    <w:p w14:paraId="45A52C87" w14:textId="74D4E544" w:rsidR="002D7B36" w:rsidRPr="00DE12A3" w:rsidRDefault="002855B1" w:rsidP="00E20716">
      <w:pPr>
        <w:pStyle w:val="Gvdemetni251"/>
        <w:numPr>
          <w:ilvl w:val="0"/>
          <w:numId w:val="434"/>
        </w:numPr>
        <w:spacing w:before="120" w:after="120" w:line="240" w:lineRule="auto"/>
        <w:ind w:left="2268" w:hanging="567"/>
        <w:rPr>
          <w:color w:val="auto"/>
          <w:sz w:val="24"/>
          <w:szCs w:val="24"/>
        </w:rPr>
      </w:pPr>
      <w:r w:rsidRPr="00DE12A3">
        <w:rPr>
          <w:color w:val="auto"/>
          <w:sz w:val="24"/>
          <w:szCs w:val="24"/>
        </w:rPr>
        <w:t xml:space="preserve">  </w:t>
      </w:r>
      <w:r w:rsidR="00242DA0" w:rsidRPr="00DE12A3">
        <w:rPr>
          <w:color w:val="auto"/>
          <w:sz w:val="24"/>
          <w:szCs w:val="24"/>
        </w:rPr>
        <w:t>Emisyon verileri veya bir mühendislik analizi kullanılarak, açık karter emisyonlarının akış hızının ihmal edilmesinin, geçerli standartlara uyumu olumsuz yönde etkilemediği ispatlanabilir</w:t>
      </w:r>
      <w:r w:rsidR="00CE5167" w:rsidRPr="00DE12A3">
        <w:rPr>
          <w:color w:val="auto"/>
          <w:sz w:val="24"/>
          <w:szCs w:val="24"/>
        </w:rPr>
        <w:t>.</w:t>
      </w:r>
    </w:p>
    <w:p w14:paraId="6CAA0198" w14:textId="266C4E20" w:rsidR="002D7B36" w:rsidRPr="00DE12A3" w:rsidRDefault="00242DA0" w:rsidP="00E20716">
      <w:pPr>
        <w:pStyle w:val="Gvdemetni251"/>
        <w:numPr>
          <w:ilvl w:val="0"/>
          <w:numId w:val="433"/>
        </w:numPr>
        <w:spacing w:before="120" w:after="120" w:line="240" w:lineRule="auto"/>
        <w:ind w:left="1701" w:hanging="567"/>
        <w:rPr>
          <w:color w:val="auto"/>
          <w:sz w:val="24"/>
          <w:szCs w:val="24"/>
        </w:rPr>
      </w:pPr>
      <w:r w:rsidRPr="00DE12A3">
        <w:rPr>
          <w:color w:val="auto"/>
          <w:sz w:val="24"/>
          <w:szCs w:val="24"/>
        </w:rPr>
        <w:t>Emme havası esasında molar akış hızı hesaplaması</w:t>
      </w:r>
    </w:p>
    <w:p w14:paraId="510C1A28" w14:textId="23FDF52C" w:rsidR="002D7B36" w:rsidRPr="00DE12A3" w:rsidRDefault="002855B1" w:rsidP="00C917D6">
      <w:pPr>
        <w:pStyle w:val="Gvdemetni251"/>
        <w:spacing w:before="120" w:after="120" w:line="240" w:lineRule="auto"/>
        <w:ind w:left="1701" w:hanging="567"/>
        <w:rPr>
          <w:color w:val="auto"/>
          <w:sz w:val="24"/>
          <w:szCs w:val="24"/>
        </w:rPr>
      </w:pPr>
      <w:r w:rsidRPr="00DE12A3">
        <w:rPr>
          <w:rFonts w:eastAsia="Courier New"/>
          <w:i/>
          <w:iCs/>
          <w:color w:val="auto"/>
          <w:spacing w:val="0"/>
          <w:sz w:val="24"/>
          <w:szCs w:val="24"/>
        </w:rPr>
        <w:t xml:space="preserve">         </w:t>
      </w:r>
      <w:r w:rsidR="00242DA0" w:rsidRPr="00DE12A3">
        <w:rPr>
          <w:rFonts w:eastAsia="Courier New"/>
          <w:i/>
          <w:iCs/>
          <w:color w:val="auto"/>
          <w:spacing w:val="0"/>
          <w:sz w:val="24"/>
          <w:szCs w:val="24"/>
        </w:rPr>
        <w:t>ṅ</w:t>
      </w:r>
      <w:r w:rsidR="00242DA0" w:rsidRPr="00DE12A3">
        <w:rPr>
          <w:i/>
          <w:color w:val="auto"/>
          <w:sz w:val="24"/>
          <w:szCs w:val="24"/>
          <w:vertAlign w:val="subscript"/>
        </w:rPr>
        <w:t>int</w:t>
      </w:r>
      <w:r w:rsidR="00242DA0" w:rsidRPr="00DE12A3">
        <w:rPr>
          <w:rStyle w:val="Gvdemetni254pttalik0ptbolukbraklyor11"/>
          <w:rFonts w:eastAsia="Segoe UI"/>
          <w:color w:val="auto"/>
          <w:sz w:val="24"/>
          <w:szCs w:val="24"/>
        </w:rPr>
        <w:t>,</w:t>
      </w:r>
      <w:r w:rsidR="00242DA0" w:rsidRPr="00DE12A3">
        <w:rPr>
          <w:color w:val="auto"/>
          <w:sz w:val="24"/>
          <w:szCs w:val="24"/>
        </w:rPr>
        <w:t xml:space="preserve"> esasında, egzoz gazı molar akış hızı </w:t>
      </w:r>
      <w:bookmarkStart w:id="34" w:name="_Hlk22815293"/>
      <w:r w:rsidR="00242DA0" w:rsidRPr="00DE12A3">
        <w:rPr>
          <w:rFonts w:eastAsia="Courier New"/>
          <w:i/>
          <w:iCs/>
          <w:color w:val="auto"/>
          <w:spacing w:val="0"/>
          <w:sz w:val="24"/>
          <w:szCs w:val="24"/>
        </w:rPr>
        <w:t>ṅ</w:t>
      </w:r>
      <w:r w:rsidR="00242DA0" w:rsidRPr="00DE12A3">
        <w:rPr>
          <w:i/>
          <w:color w:val="auto"/>
          <w:sz w:val="24"/>
          <w:szCs w:val="24"/>
          <w:vertAlign w:val="subscript"/>
        </w:rPr>
        <w:t>exh</w:t>
      </w:r>
      <w:r w:rsidR="00242DA0" w:rsidRPr="00DE12A3">
        <w:rPr>
          <w:color w:val="auto"/>
          <w:sz w:val="24"/>
          <w:szCs w:val="24"/>
        </w:rPr>
        <w:t xml:space="preserve"> </w:t>
      </w:r>
      <w:bookmarkEnd w:id="34"/>
      <w:r w:rsidR="00242DA0" w:rsidRPr="00DE12A3">
        <w:rPr>
          <w:color w:val="auto"/>
          <w:sz w:val="24"/>
          <w:szCs w:val="24"/>
        </w:rPr>
        <w:t xml:space="preserve">[mol/s], (7-112) </w:t>
      </w:r>
      <w:r w:rsidR="00962CA1" w:rsidRPr="00DE12A3">
        <w:rPr>
          <w:color w:val="auto"/>
          <w:sz w:val="24"/>
          <w:szCs w:val="24"/>
        </w:rPr>
        <w:t>numaralı</w:t>
      </w:r>
      <w:r w:rsidR="00962CA1" w:rsidRPr="00DE12A3" w:rsidDel="00962CA1">
        <w:rPr>
          <w:color w:val="auto"/>
          <w:sz w:val="24"/>
          <w:szCs w:val="24"/>
        </w:rPr>
        <w:t xml:space="preserve"> </w:t>
      </w:r>
      <w:r w:rsidR="00242DA0" w:rsidRPr="00DE12A3">
        <w:rPr>
          <w:color w:val="auto"/>
          <w:sz w:val="24"/>
          <w:szCs w:val="24"/>
        </w:rPr>
        <w:t xml:space="preserve"> denklem ile hesaplanmalıdır:</w:t>
      </w:r>
    </w:p>
    <w:p w14:paraId="585446C6" w14:textId="7ACD3064" w:rsidR="002D7B36" w:rsidRPr="00DE12A3" w:rsidRDefault="00242DA0" w:rsidP="00C917D6">
      <w:pPr>
        <w:widowControl/>
        <w:tabs>
          <w:tab w:val="left" w:pos="8789"/>
        </w:tabs>
        <w:spacing w:before="120" w:after="120"/>
        <w:ind w:left="1134" w:hanging="1134"/>
        <w:jc w:val="center"/>
        <w:rPr>
          <w:rFonts w:cs="Times New Roman"/>
          <w:color w:val="auto"/>
          <w:lang w:eastAsia="en-US"/>
        </w:rPr>
      </w:pPr>
      <w:r w:rsidRPr="00DE12A3">
        <w:rPr>
          <w:rFonts w:cs="Times New Roman"/>
          <w:noProof/>
          <w:color w:val="auto"/>
        </w:rPr>
        <w:drawing>
          <wp:inline distT="0" distB="0" distL="0" distR="0" wp14:anchorId="7C4FC7A6" wp14:editId="1BAB30C1">
            <wp:extent cx="4591208" cy="1158240"/>
            <wp:effectExtent l="0" t="0" r="0" b="3810"/>
            <wp:docPr id="1999" name="Resim 19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9" name="Resim 1999"/>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a:xfrm>
                      <a:off x="0" y="0"/>
                      <a:ext cx="4670227" cy="1178174"/>
                    </a:xfrm>
                    <a:prstGeom prst="rect">
                      <a:avLst/>
                    </a:prstGeom>
                    <a:noFill/>
                    <a:ln>
                      <a:noFill/>
                    </a:ln>
                  </pic:spPr>
                </pic:pic>
              </a:graphicData>
            </a:graphic>
          </wp:inline>
        </w:drawing>
      </w:r>
    </w:p>
    <w:p w14:paraId="342BF664" w14:textId="77777777" w:rsidR="002D7B36" w:rsidRPr="00DE12A3" w:rsidRDefault="00242DA0" w:rsidP="00C917D6">
      <w:pPr>
        <w:pStyle w:val="Gvdemetni251"/>
        <w:spacing w:before="120" w:after="120" w:line="240" w:lineRule="auto"/>
        <w:ind w:left="1134" w:firstLine="0"/>
        <w:rPr>
          <w:color w:val="auto"/>
          <w:sz w:val="24"/>
          <w:szCs w:val="24"/>
        </w:rPr>
      </w:pPr>
      <w:r w:rsidRPr="00DE12A3">
        <w:rPr>
          <w:color w:val="auto"/>
          <w:sz w:val="24"/>
          <w:szCs w:val="24"/>
        </w:rPr>
        <w:t>Burada:</w:t>
      </w:r>
    </w:p>
    <w:p w14:paraId="159839B7" w14:textId="09BF0EFC" w:rsidR="002D7B36" w:rsidRPr="00DE12A3" w:rsidRDefault="00242DA0" w:rsidP="00C917D6">
      <w:pPr>
        <w:pStyle w:val="Gvdemetni251"/>
        <w:tabs>
          <w:tab w:val="left" w:pos="993"/>
        </w:tabs>
        <w:spacing w:before="120" w:after="120" w:line="240" w:lineRule="auto"/>
        <w:ind w:left="1134" w:firstLine="0"/>
        <w:rPr>
          <w:color w:val="auto"/>
          <w:sz w:val="24"/>
          <w:szCs w:val="24"/>
        </w:rPr>
      </w:pPr>
      <w:r w:rsidRPr="00DE12A3">
        <w:rPr>
          <w:rFonts w:eastAsia="Courier New"/>
          <w:i/>
          <w:iCs/>
          <w:color w:val="auto"/>
          <w:spacing w:val="0"/>
          <w:sz w:val="24"/>
          <w:szCs w:val="24"/>
        </w:rPr>
        <w:t>ṅ</w:t>
      </w:r>
      <w:r w:rsidRPr="00DE12A3">
        <w:rPr>
          <w:i/>
          <w:color w:val="auto"/>
          <w:sz w:val="24"/>
          <w:szCs w:val="24"/>
          <w:vertAlign w:val="subscript"/>
        </w:rPr>
        <w:t>exh</w:t>
      </w:r>
      <w:r w:rsidRPr="00DE12A3">
        <w:rPr>
          <w:color w:val="auto"/>
          <w:sz w:val="24"/>
          <w:szCs w:val="24"/>
        </w:rPr>
        <w:tab/>
        <w:t>=</w:t>
      </w:r>
      <w:r w:rsidRPr="00DE12A3">
        <w:rPr>
          <w:color w:val="auto"/>
          <w:sz w:val="24"/>
          <w:szCs w:val="24"/>
        </w:rPr>
        <w:tab/>
      </w:r>
      <w:r w:rsidR="00716C4F" w:rsidRPr="00DE12A3">
        <w:rPr>
          <w:color w:val="auto"/>
          <w:sz w:val="24"/>
          <w:szCs w:val="24"/>
        </w:rPr>
        <w:t xml:space="preserve">Emisyonların </w:t>
      </w:r>
      <w:r w:rsidRPr="00DE12A3">
        <w:rPr>
          <w:color w:val="auto"/>
          <w:sz w:val="24"/>
          <w:szCs w:val="24"/>
        </w:rPr>
        <w:t>ölçüldüğü ham egzoz gazı molar akış hızı [mol/s]</w:t>
      </w:r>
    </w:p>
    <w:p w14:paraId="0BEADDBA" w14:textId="210029DF" w:rsidR="002D7B36" w:rsidRPr="00DE12A3" w:rsidRDefault="00242DA0" w:rsidP="00C917D6">
      <w:pPr>
        <w:pStyle w:val="Gvdemetni251"/>
        <w:tabs>
          <w:tab w:val="left" w:pos="993"/>
        </w:tabs>
        <w:spacing w:before="120" w:after="120" w:line="240" w:lineRule="auto"/>
        <w:ind w:left="1134" w:firstLine="0"/>
        <w:rPr>
          <w:color w:val="auto"/>
          <w:sz w:val="24"/>
          <w:szCs w:val="24"/>
        </w:rPr>
      </w:pPr>
      <w:r w:rsidRPr="00DE12A3">
        <w:rPr>
          <w:rFonts w:eastAsia="Courier New"/>
          <w:i/>
          <w:iCs/>
          <w:color w:val="auto"/>
          <w:spacing w:val="0"/>
          <w:sz w:val="24"/>
          <w:szCs w:val="24"/>
        </w:rPr>
        <w:t>ṅ</w:t>
      </w:r>
      <w:r w:rsidRPr="00DE12A3">
        <w:rPr>
          <w:i/>
          <w:color w:val="auto"/>
          <w:sz w:val="24"/>
          <w:szCs w:val="24"/>
          <w:vertAlign w:val="subscript"/>
        </w:rPr>
        <w:t>ind</w:t>
      </w:r>
      <w:r w:rsidRPr="00DE12A3">
        <w:rPr>
          <w:color w:val="auto"/>
          <w:sz w:val="24"/>
          <w:szCs w:val="24"/>
        </w:rPr>
        <w:tab/>
        <w:t>=</w:t>
      </w:r>
      <w:r w:rsidRPr="00DE12A3">
        <w:rPr>
          <w:color w:val="auto"/>
          <w:sz w:val="24"/>
          <w:szCs w:val="24"/>
        </w:rPr>
        <w:tab/>
      </w:r>
      <w:r w:rsidR="00716C4F" w:rsidRPr="00DE12A3">
        <w:rPr>
          <w:color w:val="auto"/>
          <w:sz w:val="24"/>
          <w:szCs w:val="24"/>
        </w:rPr>
        <w:t xml:space="preserve">Emme </w:t>
      </w:r>
      <w:r w:rsidRPr="00DE12A3">
        <w:rPr>
          <w:color w:val="auto"/>
          <w:sz w:val="24"/>
          <w:szCs w:val="24"/>
        </w:rPr>
        <w:t>havasındaki nemi içeren emme havası molar akış hızı [mol/s]</w:t>
      </w:r>
    </w:p>
    <w:p w14:paraId="4C48DD8B" w14:textId="72CDAEAB" w:rsidR="002D7B36" w:rsidRPr="00DE12A3" w:rsidRDefault="00242DA0" w:rsidP="00C917D6">
      <w:pPr>
        <w:pStyle w:val="Gvdemetni251"/>
        <w:tabs>
          <w:tab w:val="left" w:pos="993"/>
        </w:tabs>
        <w:spacing w:before="120" w:after="120" w:line="240" w:lineRule="auto"/>
        <w:ind w:left="1134" w:firstLine="0"/>
        <w:rPr>
          <w:color w:val="auto"/>
          <w:sz w:val="24"/>
          <w:szCs w:val="24"/>
        </w:rPr>
      </w:pPr>
      <w:r w:rsidRPr="00DE12A3">
        <w:rPr>
          <w:i/>
          <w:color w:val="auto"/>
          <w:sz w:val="24"/>
          <w:szCs w:val="24"/>
        </w:rPr>
        <w:t>x</w:t>
      </w:r>
      <w:r w:rsidRPr="00DE12A3">
        <w:rPr>
          <w:color w:val="auto"/>
          <w:sz w:val="24"/>
          <w:szCs w:val="24"/>
          <w:vertAlign w:val="subscript"/>
        </w:rPr>
        <w:t>int/exhdry</w:t>
      </w:r>
      <w:r w:rsidRPr="00DE12A3">
        <w:rPr>
          <w:color w:val="auto"/>
          <w:sz w:val="24"/>
          <w:szCs w:val="24"/>
        </w:rPr>
        <w:tab/>
        <w:t>=</w:t>
      </w:r>
      <w:r w:rsidRPr="00DE12A3">
        <w:rPr>
          <w:color w:val="auto"/>
          <w:sz w:val="24"/>
          <w:szCs w:val="24"/>
        </w:rPr>
        <w:tab/>
      </w:r>
      <w:r w:rsidR="00716C4F" w:rsidRPr="00DE12A3">
        <w:rPr>
          <w:color w:val="auto"/>
          <w:sz w:val="24"/>
          <w:szCs w:val="24"/>
        </w:rPr>
        <w:t xml:space="preserve">Mol </w:t>
      </w:r>
      <w:r w:rsidRPr="00DE12A3">
        <w:rPr>
          <w:color w:val="auto"/>
          <w:sz w:val="24"/>
          <w:szCs w:val="24"/>
        </w:rPr>
        <w:t>kuru (ham veya seyreltilmiş) egzoz gazı başına gerçek yanma ürünleri üretmek için gereken emme havası miktarı [mol/mol]</w:t>
      </w:r>
    </w:p>
    <w:p w14:paraId="22680772" w14:textId="7F9C04F0" w:rsidR="002D7B36" w:rsidRPr="00DE12A3" w:rsidRDefault="00242DA0" w:rsidP="00C917D6">
      <w:pPr>
        <w:pStyle w:val="Gvdemetni251"/>
        <w:tabs>
          <w:tab w:val="left" w:pos="993"/>
        </w:tabs>
        <w:spacing w:before="120" w:after="120" w:line="240" w:lineRule="auto"/>
        <w:ind w:left="1134" w:firstLine="0"/>
        <w:rPr>
          <w:color w:val="auto"/>
          <w:sz w:val="24"/>
          <w:szCs w:val="24"/>
        </w:rPr>
      </w:pPr>
      <w:r w:rsidRPr="00DE12A3">
        <w:rPr>
          <w:i/>
          <w:iCs/>
          <w:color w:val="auto"/>
          <w:sz w:val="24"/>
          <w:szCs w:val="24"/>
        </w:rPr>
        <w:t>x</w:t>
      </w:r>
      <w:r w:rsidRPr="00DE12A3">
        <w:rPr>
          <w:color w:val="auto"/>
          <w:sz w:val="24"/>
          <w:szCs w:val="24"/>
          <w:vertAlign w:val="subscript"/>
        </w:rPr>
        <w:t>raw/exhdry</w:t>
      </w:r>
      <w:r w:rsidRPr="00DE12A3">
        <w:rPr>
          <w:color w:val="auto"/>
          <w:sz w:val="24"/>
          <w:szCs w:val="24"/>
        </w:rPr>
        <w:tab/>
        <w:t>=</w:t>
      </w:r>
      <w:r w:rsidRPr="00DE12A3">
        <w:rPr>
          <w:color w:val="auto"/>
          <w:sz w:val="24"/>
          <w:szCs w:val="24"/>
        </w:rPr>
        <w:tab/>
      </w:r>
      <w:r w:rsidR="00716C4F" w:rsidRPr="00DE12A3">
        <w:rPr>
          <w:color w:val="auto"/>
          <w:sz w:val="24"/>
          <w:szCs w:val="24"/>
        </w:rPr>
        <w:t xml:space="preserve">Mol </w:t>
      </w:r>
      <w:r w:rsidRPr="00DE12A3">
        <w:rPr>
          <w:color w:val="auto"/>
          <w:sz w:val="24"/>
          <w:szCs w:val="24"/>
        </w:rPr>
        <w:t>kuru (ham veya seyreltilmiş) egzoz gazı başına, fazla hava olmayan, seyreltilmemiş egzoz gazı miktarı [mol/mol]</w:t>
      </w:r>
    </w:p>
    <w:p w14:paraId="0BF2741D" w14:textId="1BF7592E" w:rsidR="002D7B36" w:rsidRPr="00DE12A3" w:rsidRDefault="00242DA0" w:rsidP="00C917D6">
      <w:pPr>
        <w:pStyle w:val="Gvdemetni251"/>
        <w:tabs>
          <w:tab w:val="left" w:pos="993"/>
        </w:tabs>
        <w:spacing w:before="120" w:after="120" w:line="240" w:lineRule="auto"/>
        <w:ind w:left="1134" w:firstLine="0"/>
        <w:rPr>
          <w:color w:val="auto"/>
          <w:sz w:val="24"/>
          <w:szCs w:val="24"/>
        </w:rPr>
      </w:pPr>
      <w:r w:rsidRPr="00DE12A3">
        <w:rPr>
          <w:i/>
          <w:iCs/>
          <w:color w:val="auto"/>
          <w:sz w:val="24"/>
          <w:szCs w:val="24"/>
        </w:rPr>
        <w:t>x</w:t>
      </w:r>
      <w:r w:rsidRPr="00DE12A3">
        <w:rPr>
          <w:color w:val="auto"/>
          <w:sz w:val="24"/>
          <w:szCs w:val="24"/>
          <w:vertAlign w:val="subscript"/>
        </w:rPr>
        <w:t>H2Oexhdry</w:t>
      </w:r>
      <w:r w:rsidRPr="00DE12A3">
        <w:rPr>
          <w:color w:val="auto"/>
          <w:sz w:val="24"/>
          <w:szCs w:val="24"/>
        </w:rPr>
        <w:tab/>
        <w:t>=</w:t>
      </w:r>
      <w:r w:rsidRPr="00DE12A3">
        <w:rPr>
          <w:color w:val="auto"/>
          <w:sz w:val="24"/>
          <w:szCs w:val="24"/>
        </w:rPr>
        <w:tab/>
      </w:r>
      <w:r w:rsidR="00716C4F" w:rsidRPr="00DE12A3">
        <w:rPr>
          <w:color w:val="auto"/>
          <w:sz w:val="24"/>
          <w:szCs w:val="24"/>
        </w:rPr>
        <w:t xml:space="preserve">Mol </w:t>
      </w:r>
      <w:r w:rsidRPr="00DE12A3">
        <w:rPr>
          <w:color w:val="auto"/>
          <w:sz w:val="24"/>
          <w:szCs w:val="24"/>
        </w:rPr>
        <w:t>kuru egzoz gazı başına egzoz gazı içindeki su miktarı [mol/mol]</w:t>
      </w:r>
    </w:p>
    <w:p w14:paraId="6F5D2BE3" w14:textId="77777777" w:rsidR="002D7B36" w:rsidRPr="00DE12A3" w:rsidRDefault="00242DA0" w:rsidP="00E20716">
      <w:pPr>
        <w:pStyle w:val="Gvdemetni251"/>
        <w:numPr>
          <w:ilvl w:val="0"/>
          <w:numId w:val="433"/>
        </w:numPr>
        <w:spacing w:before="120" w:after="120" w:line="240" w:lineRule="auto"/>
        <w:ind w:left="1701" w:hanging="567"/>
        <w:rPr>
          <w:color w:val="auto"/>
          <w:sz w:val="24"/>
          <w:szCs w:val="24"/>
        </w:rPr>
      </w:pPr>
      <w:r w:rsidRPr="00DE12A3">
        <w:rPr>
          <w:color w:val="auto"/>
          <w:sz w:val="24"/>
          <w:szCs w:val="24"/>
        </w:rPr>
        <w:lastRenderedPageBreak/>
        <w:t>Yakıt kütle akış hızı esasında molar akış hızı hesaplaması</w:t>
      </w:r>
    </w:p>
    <w:p w14:paraId="64699BDF" w14:textId="60B360C4" w:rsidR="002D7B36" w:rsidRPr="00DE12A3" w:rsidRDefault="00242DA0" w:rsidP="00C917D6">
      <w:pPr>
        <w:pStyle w:val="Gvdemetni251"/>
        <w:spacing w:before="120" w:after="120" w:line="240" w:lineRule="auto"/>
        <w:ind w:left="1701" w:hanging="567"/>
        <w:rPr>
          <w:color w:val="auto"/>
          <w:sz w:val="24"/>
          <w:szCs w:val="24"/>
        </w:rPr>
      </w:pPr>
      <w:r w:rsidRPr="00DE12A3">
        <w:rPr>
          <w:color w:val="auto"/>
          <w:sz w:val="24"/>
          <w:szCs w:val="24"/>
        </w:rPr>
        <w:t xml:space="preserve">mfuel esasında, </w:t>
      </w:r>
      <w:r w:rsidRPr="00DE12A3">
        <w:rPr>
          <w:rFonts w:eastAsia="Courier New"/>
          <w:i/>
          <w:iCs/>
          <w:color w:val="auto"/>
          <w:spacing w:val="0"/>
          <w:sz w:val="24"/>
          <w:szCs w:val="24"/>
        </w:rPr>
        <w:t>ṅ</w:t>
      </w:r>
      <w:r w:rsidRPr="00DE12A3">
        <w:rPr>
          <w:i/>
          <w:color w:val="auto"/>
          <w:sz w:val="24"/>
          <w:szCs w:val="24"/>
          <w:vertAlign w:val="subscript"/>
        </w:rPr>
        <w:t>exh</w:t>
      </w:r>
      <w:r w:rsidRPr="00DE12A3">
        <w:rPr>
          <w:color w:val="auto"/>
          <w:sz w:val="24"/>
          <w:szCs w:val="24"/>
        </w:rPr>
        <w:t xml:space="preserve"> [mol/s] aşağıdaki şekilde hesaplanır</w:t>
      </w:r>
      <w:r w:rsidR="00CE5167" w:rsidRPr="00DE12A3">
        <w:rPr>
          <w:color w:val="auto"/>
          <w:sz w:val="24"/>
          <w:szCs w:val="24"/>
        </w:rPr>
        <w:t>;</w:t>
      </w:r>
    </w:p>
    <w:p w14:paraId="428DB651" w14:textId="38A2CBE5" w:rsidR="002D7B36" w:rsidRPr="00DE12A3" w:rsidRDefault="00242DA0" w:rsidP="00C917D6">
      <w:pPr>
        <w:pStyle w:val="Gvdemetni251"/>
        <w:spacing w:before="120" w:after="120" w:line="240" w:lineRule="auto"/>
        <w:ind w:left="1701" w:hanging="567"/>
        <w:rPr>
          <w:color w:val="auto"/>
          <w:sz w:val="24"/>
          <w:szCs w:val="24"/>
        </w:rPr>
      </w:pPr>
      <w:r w:rsidRPr="00DE12A3">
        <w:rPr>
          <w:color w:val="auto"/>
          <w:sz w:val="24"/>
          <w:szCs w:val="24"/>
        </w:rPr>
        <w:t xml:space="preserve">Laboratuvar testi yaparken bu hesaplama yalnızca ayrık mod NRSC ve RMC için kullanılabilir [(7-113) </w:t>
      </w:r>
      <w:r w:rsidR="00962CA1" w:rsidRPr="00DE12A3">
        <w:rPr>
          <w:color w:val="auto"/>
          <w:sz w:val="24"/>
          <w:szCs w:val="24"/>
        </w:rPr>
        <w:t>numaralı</w:t>
      </w:r>
      <w:r w:rsidR="00962CA1" w:rsidRPr="00DE12A3" w:rsidDel="00962CA1">
        <w:rPr>
          <w:color w:val="auto"/>
          <w:sz w:val="24"/>
          <w:szCs w:val="24"/>
        </w:rPr>
        <w:t xml:space="preserve"> </w:t>
      </w:r>
      <w:r w:rsidRPr="00DE12A3">
        <w:rPr>
          <w:color w:val="auto"/>
          <w:sz w:val="24"/>
          <w:szCs w:val="24"/>
        </w:rPr>
        <w:t>denklem]</w:t>
      </w:r>
    </w:p>
    <w:p w14:paraId="51982860" w14:textId="3D8A7AEE" w:rsidR="002D7B36" w:rsidRPr="00DE12A3" w:rsidRDefault="00242DA0" w:rsidP="00C917D6">
      <w:pPr>
        <w:pStyle w:val="Gvdemetni251"/>
        <w:spacing w:before="120" w:after="120" w:line="240" w:lineRule="auto"/>
        <w:ind w:left="1134" w:hanging="1134"/>
        <w:jc w:val="center"/>
        <w:rPr>
          <w:color w:val="auto"/>
          <w:sz w:val="24"/>
          <w:szCs w:val="24"/>
        </w:rPr>
      </w:pPr>
      <w:r w:rsidRPr="00DE12A3">
        <w:rPr>
          <w:noProof/>
          <w:color w:val="auto"/>
          <w:sz w:val="24"/>
          <w:szCs w:val="24"/>
        </w:rPr>
        <w:drawing>
          <wp:inline distT="0" distB="0" distL="0" distR="0" wp14:anchorId="117A22EC" wp14:editId="159A842A">
            <wp:extent cx="3730772" cy="885190"/>
            <wp:effectExtent l="0" t="0" r="3175" b="0"/>
            <wp:docPr id="2000" name="Resim 2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0" name="Resim 2000"/>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a:xfrm>
                      <a:off x="0" y="0"/>
                      <a:ext cx="3737955" cy="886894"/>
                    </a:xfrm>
                    <a:prstGeom prst="rect">
                      <a:avLst/>
                    </a:prstGeom>
                    <a:noFill/>
                    <a:ln>
                      <a:noFill/>
                    </a:ln>
                  </pic:spPr>
                </pic:pic>
              </a:graphicData>
            </a:graphic>
          </wp:inline>
        </w:drawing>
      </w:r>
    </w:p>
    <w:p w14:paraId="5551DABE" w14:textId="77777777" w:rsidR="002D7B36" w:rsidRPr="00DE12A3" w:rsidRDefault="00242DA0" w:rsidP="00C917D6">
      <w:pPr>
        <w:pStyle w:val="Gvdemetni251"/>
        <w:spacing w:before="120" w:after="120" w:line="240" w:lineRule="auto"/>
        <w:ind w:left="1134" w:firstLine="0"/>
        <w:rPr>
          <w:color w:val="auto"/>
          <w:sz w:val="24"/>
          <w:szCs w:val="24"/>
        </w:rPr>
      </w:pPr>
      <w:r w:rsidRPr="00DE12A3">
        <w:rPr>
          <w:color w:val="auto"/>
          <w:sz w:val="24"/>
          <w:szCs w:val="24"/>
        </w:rPr>
        <w:t>Burada:</w:t>
      </w:r>
    </w:p>
    <w:p w14:paraId="40418C21" w14:textId="16F110E5" w:rsidR="002D7B36" w:rsidRPr="00DE12A3" w:rsidRDefault="00242DA0" w:rsidP="00C917D6">
      <w:pPr>
        <w:pStyle w:val="Gvdemetni251"/>
        <w:tabs>
          <w:tab w:val="left" w:pos="993"/>
          <w:tab w:val="left" w:pos="1418"/>
          <w:tab w:val="left" w:pos="1701"/>
        </w:tabs>
        <w:spacing w:before="120" w:after="120" w:line="240" w:lineRule="auto"/>
        <w:ind w:left="1134" w:firstLine="0"/>
        <w:rPr>
          <w:color w:val="auto"/>
          <w:sz w:val="24"/>
          <w:szCs w:val="24"/>
        </w:rPr>
      </w:pPr>
      <w:r w:rsidRPr="00DE12A3">
        <w:rPr>
          <w:rFonts w:eastAsia="Courier New"/>
          <w:i/>
          <w:iCs/>
          <w:color w:val="auto"/>
          <w:spacing w:val="0"/>
          <w:sz w:val="24"/>
          <w:szCs w:val="24"/>
        </w:rPr>
        <w:t>ṅ</w:t>
      </w:r>
      <w:r w:rsidRPr="00DE12A3">
        <w:rPr>
          <w:i/>
          <w:color w:val="auto"/>
          <w:sz w:val="24"/>
          <w:szCs w:val="24"/>
          <w:vertAlign w:val="subscript"/>
        </w:rPr>
        <w:t>exh</w:t>
      </w:r>
      <w:r w:rsidRPr="00DE12A3">
        <w:rPr>
          <w:color w:val="auto"/>
          <w:sz w:val="24"/>
          <w:szCs w:val="24"/>
        </w:rPr>
        <w:tab/>
        <w:t>=</w:t>
      </w:r>
      <w:r w:rsidRPr="00DE12A3">
        <w:rPr>
          <w:color w:val="auto"/>
          <w:sz w:val="24"/>
          <w:szCs w:val="24"/>
        </w:rPr>
        <w:tab/>
      </w:r>
      <w:r w:rsidR="00716C4F" w:rsidRPr="00DE12A3">
        <w:rPr>
          <w:color w:val="auto"/>
          <w:sz w:val="24"/>
          <w:szCs w:val="24"/>
        </w:rPr>
        <w:t xml:space="preserve">Emisyonların </w:t>
      </w:r>
      <w:r w:rsidRPr="00DE12A3">
        <w:rPr>
          <w:color w:val="auto"/>
          <w:sz w:val="24"/>
          <w:szCs w:val="24"/>
        </w:rPr>
        <w:t>ölçüldüğü ham egzoz gazı molar akış hızı</w:t>
      </w:r>
    </w:p>
    <w:p w14:paraId="2DA9B76A" w14:textId="648ED745" w:rsidR="002D7B36" w:rsidRPr="00DE12A3" w:rsidRDefault="00242DA0" w:rsidP="00C917D6">
      <w:pPr>
        <w:pStyle w:val="Gvdemetni251"/>
        <w:tabs>
          <w:tab w:val="left" w:pos="993"/>
          <w:tab w:val="left" w:pos="1237"/>
          <w:tab w:val="left" w:pos="1418"/>
          <w:tab w:val="left" w:pos="1560"/>
          <w:tab w:val="left" w:pos="1701"/>
        </w:tabs>
        <w:spacing w:before="120" w:after="120" w:line="240" w:lineRule="auto"/>
        <w:ind w:left="1134" w:firstLine="0"/>
        <w:rPr>
          <w:color w:val="auto"/>
          <w:sz w:val="24"/>
          <w:szCs w:val="24"/>
        </w:rPr>
      </w:pPr>
      <w:r w:rsidRPr="00DE12A3">
        <w:rPr>
          <w:rFonts w:eastAsia="Courier New"/>
          <w:i/>
          <w:iCs/>
          <w:color w:val="auto"/>
          <w:spacing w:val="0"/>
          <w:sz w:val="24"/>
          <w:szCs w:val="24"/>
        </w:rPr>
        <w:t>ṁ</w:t>
      </w:r>
      <w:r w:rsidRPr="00DE12A3">
        <w:rPr>
          <w:i/>
          <w:color w:val="auto"/>
          <w:sz w:val="24"/>
          <w:szCs w:val="24"/>
          <w:vertAlign w:val="subscript"/>
        </w:rPr>
        <w:t>fuel</w:t>
      </w:r>
      <w:r w:rsidRPr="00DE12A3">
        <w:rPr>
          <w:color w:val="auto"/>
          <w:sz w:val="24"/>
          <w:szCs w:val="24"/>
        </w:rPr>
        <w:tab/>
        <w:t>=</w:t>
      </w:r>
      <w:r w:rsidRPr="00DE12A3">
        <w:rPr>
          <w:color w:val="auto"/>
          <w:sz w:val="24"/>
          <w:szCs w:val="24"/>
        </w:rPr>
        <w:tab/>
      </w:r>
      <w:r w:rsidRPr="00DE12A3">
        <w:rPr>
          <w:color w:val="auto"/>
          <w:sz w:val="24"/>
          <w:szCs w:val="24"/>
        </w:rPr>
        <w:tab/>
      </w:r>
      <w:r w:rsidR="00716C4F" w:rsidRPr="00DE12A3">
        <w:rPr>
          <w:color w:val="auto"/>
          <w:sz w:val="24"/>
          <w:szCs w:val="24"/>
        </w:rPr>
        <w:t xml:space="preserve">Emme </w:t>
      </w:r>
      <w:r w:rsidRPr="00DE12A3">
        <w:rPr>
          <w:color w:val="auto"/>
          <w:sz w:val="24"/>
          <w:szCs w:val="24"/>
        </w:rPr>
        <w:t>havasındaki nemi içeren yakıt akış hızı [g/s]</w:t>
      </w:r>
    </w:p>
    <w:p w14:paraId="62EE26C9" w14:textId="3946EACB" w:rsidR="002D7B36" w:rsidRPr="00DE12A3" w:rsidRDefault="00242DA0" w:rsidP="00C917D6">
      <w:pPr>
        <w:pStyle w:val="Gvdemetni251"/>
        <w:tabs>
          <w:tab w:val="left" w:pos="993"/>
          <w:tab w:val="right" w:pos="1206"/>
          <w:tab w:val="left" w:pos="1237"/>
          <w:tab w:val="left" w:pos="1418"/>
          <w:tab w:val="left" w:pos="1560"/>
        </w:tabs>
        <w:spacing w:before="120" w:after="120" w:line="240" w:lineRule="auto"/>
        <w:ind w:left="1134" w:firstLine="0"/>
        <w:rPr>
          <w:color w:val="auto"/>
          <w:sz w:val="24"/>
          <w:szCs w:val="24"/>
        </w:rPr>
      </w:pPr>
      <w:r w:rsidRPr="00DE12A3">
        <w:rPr>
          <w:rStyle w:val="Gvdemetni254pttalik0ptbolukbraklyor11"/>
          <w:rFonts w:eastAsia="Segoe UI"/>
          <w:color w:val="auto"/>
          <w:sz w:val="24"/>
          <w:szCs w:val="24"/>
        </w:rPr>
        <w:t>w</w:t>
      </w:r>
      <w:r w:rsidRPr="00DE12A3">
        <w:rPr>
          <w:rStyle w:val="Gvdemetni254pttalik0ptbolukbraklyor11"/>
          <w:rFonts w:eastAsia="Segoe UI"/>
          <w:color w:val="auto"/>
          <w:sz w:val="24"/>
          <w:szCs w:val="24"/>
          <w:vertAlign w:val="subscript"/>
        </w:rPr>
        <w:t>C</w:t>
      </w:r>
      <w:r w:rsidRPr="00DE12A3">
        <w:rPr>
          <w:color w:val="auto"/>
          <w:sz w:val="24"/>
          <w:szCs w:val="24"/>
        </w:rPr>
        <w:tab/>
        <w:t>=</w:t>
      </w:r>
      <w:r w:rsidRPr="00DE12A3">
        <w:rPr>
          <w:color w:val="auto"/>
          <w:sz w:val="24"/>
          <w:szCs w:val="24"/>
        </w:rPr>
        <w:tab/>
      </w:r>
      <w:r w:rsidRPr="00DE12A3">
        <w:rPr>
          <w:color w:val="auto"/>
          <w:sz w:val="24"/>
          <w:szCs w:val="24"/>
        </w:rPr>
        <w:tab/>
      </w:r>
      <w:r w:rsidR="00716C4F" w:rsidRPr="00DE12A3">
        <w:rPr>
          <w:color w:val="auto"/>
          <w:sz w:val="24"/>
          <w:szCs w:val="24"/>
        </w:rPr>
        <w:t xml:space="preserve">İlgili </w:t>
      </w:r>
      <w:r w:rsidRPr="00DE12A3">
        <w:rPr>
          <w:color w:val="auto"/>
          <w:sz w:val="24"/>
          <w:szCs w:val="24"/>
        </w:rPr>
        <w:t>yakıt için karbon kütle oranı [g/g]</w:t>
      </w:r>
    </w:p>
    <w:p w14:paraId="6552DF95" w14:textId="4F5B193C" w:rsidR="002D7B36" w:rsidRPr="00DE12A3" w:rsidRDefault="00242DA0" w:rsidP="00C917D6">
      <w:pPr>
        <w:pStyle w:val="Gvdemetni251"/>
        <w:tabs>
          <w:tab w:val="left" w:pos="993"/>
          <w:tab w:val="left" w:pos="1237"/>
          <w:tab w:val="left" w:pos="1418"/>
          <w:tab w:val="left" w:pos="1843"/>
        </w:tabs>
        <w:spacing w:before="120" w:after="120" w:line="240" w:lineRule="auto"/>
        <w:ind w:left="1134" w:firstLine="0"/>
        <w:rPr>
          <w:color w:val="auto"/>
          <w:sz w:val="24"/>
          <w:szCs w:val="24"/>
        </w:rPr>
      </w:pPr>
      <w:r w:rsidRPr="00DE12A3">
        <w:rPr>
          <w:color w:val="auto"/>
          <w:sz w:val="24"/>
          <w:szCs w:val="24"/>
        </w:rPr>
        <w:t>x</w:t>
      </w:r>
      <w:r w:rsidRPr="00DE12A3">
        <w:rPr>
          <w:color w:val="auto"/>
          <w:sz w:val="24"/>
          <w:szCs w:val="24"/>
          <w:vertAlign w:val="subscript"/>
        </w:rPr>
        <w:t>H2Oexhdry</w:t>
      </w:r>
      <w:r w:rsidRPr="00DE12A3">
        <w:rPr>
          <w:color w:val="auto"/>
          <w:sz w:val="24"/>
          <w:szCs w:val="24"/>
        </w:rPr>
        <w:tab/>
        <w:t>=</w:t>
      </w:r>
      <w:r w:rsidRPr="00DE12A3">
        <w:rPr>
          <w:color w:val="auto"/>
          <w:sz w:val="24"/>
          <w:szCs w:val="24"/>
        </w:rPr>
        <w:tab/>
      </w:r>
      <w:r w:rsidR="00716C4F" w:rsidRPr="00DE12A3">
        <w:rPr>
          <w:color w:val="auto"/>
          <w:sz w:val="24"/>
          <w:szCs w:val="24"/>
        </w:rPr>
        <w:t xml:space="preserve">Mol </w:t>
      </w:r>
      <w:r w:rsidRPr="00DE12A3">
        <w:rPr>
          <w:color w:val="auto"/>
          <w:sz w:val="24"/>
          <w:szCs w:val="24"/>
        </w:rPr>
        <w:t>kuru ölçülen akış başına H20 miktarı [mol/mol]</w:t>
      </w:r>
    </w:p>
    <w:p w14:paraId="37584CEB" w14:textId="65508E06" w:rsidR="002D7B36" w:rsidRPr="00DE12A3" w:rsidRDefault="00242DA0" w:rsidP="00C917D6">
      <w:pPr>
        <w:pStyle w:val="Gvdemetni251"/>
        <w:tabs>
          <w:tab w:val="left" w:pos="993"/>
          <w:tab w:val="left" w:pos="1237"/>
          <w:tab w:val="left" w:pos="1418"/>
        </w:tabs>
        <w:spacing w:before="120" w:after="120" w:line="240" w:lineRule="auto"/>
        <w:ind w:left="1134" w:firstLine="0"/>
        <w:rPr>
          <w:color w:val="auto"/>
          <w:sz w:val="24"/>
          <w:szCs w:val="24"/>
        </w:rPr>
      </w:pPr>
      <w:r w:rsidRPr="00DE12A3">
        <w:rPr>
          <w:rStyle w:val="Gvdemetni254pttalik0ptbolukbraklyor11"/>
          <w:rFonts w:eastAsia="Segoe UI"/>
          <w:color w:val="auto"/>
          <w:sz w:val="24"/>
          <w:szCs w:val="24"/>
        </w:rPr>
        <w:t>M</w:t>
      </w:r>
      <w:r w:rsidRPr="00DE12A3">
        <w:rPr>
          <w:rStyle w:val="Gvdemetni254pttalik0ptbolukbraklyor11"/>
          <w:rFonts w:eastAsia="Segoe UI"/>
          <w:color w:val="auto"/>
          <w:sz w:val="24"/>
          <w:szCs w:val="24"/>
          <w:vertAlign w:val="subscript"/>
        </w:rPr>
        <w:t>C</w:t>
      </w:r>
      <w:r w:rsidRPr="00DE12A3">
        <w:rPr>
          <w:color w:val="auto"/>
          <w:sz w:val="24"/>
          <w:szCs w:val="24"/>
        </w:rPr>
        <w:tab/>
        <w:t>=</w:t>
      </w:r>
      <w:r w:rsidRPr="00DE12A3">
        <w:rPr>
          <w:color w:val="auto"/>
          <w:sz w:val="24"/>
          <w:szCs w:val="24"/>
        </w:rPr>
        <w:tab/>
      </w:r>
      <w:r w:rsidR="00716C4F" w:rsidRPr="00DE12A3">
        <w:rPr>
          <w:color w:val="auto"/>
          <w:sz w:val="24"/>
          <w:szCs w:val="24"/>
        </w:rPr>
        <w:t xml:space="preserve">Karbonun </w:t>
      </w:r>
      <w:r w:rsidRPr="00DE12A3">
        <w:rPr>
          <w:color w:val="auto"/>
          <w:sz w:val="24"/>
          <w:szCs w:val="24"/>
        </w:rPr>
        <w:t>moleküler kütlesi 12,0107 g/mol</w:t>
      </w:r>
    </w:p>
    <w:p w14:paraId="518B9B87" w14:textId="75C09483" w:rsidR="002D7B36" w:rsidRPr="00DE12A3" w:rsidRDefault="00242DA0" w:rsidP="00C917D6">
      <w:pPr>
        <w:pStyle w:val="Gvdemetni251"/>
        <w:tabs>
          <w:tab w:val="left" w:pos="993"/>
          <w:tab w:val="left" w:pos="1237"/>
          <w:tab w:val="left" w:pos="1418"/>
        </w:tabs>
        <w:spacing w:before="120" w:after="120" w:line="240" w:lineRule="auto"/>
        <w:ind w:left="1134" w:firstLine="0"/>
        <w:rPr>
          <w:color w:val="auto"/>
          <w:sz w:val="24"/>
          <w:szCs w:val="24"/>
        </w:rPr>
      </w:pPr>
      <w:r w:rsidRPr="00DE12A3">
        <w:rPr>
          <w:i/>
          <w:iCs/>
          <w:color w:val="auto"/>
          <w:sz w:val="24"/>
          <w:szCs w:val="24"/>
        </w:rPr>
        <w:t>x</w:t>
      </w:r>
      <w:r w:rsidRPr="00DE12A3">
        <w:rPr>
          <w:color w:val="auto"/>
          <w:sz w:val="24"/>
          <w:szCs w:val="24"/>
          <w:vertAlign w:val="subscript"/>
        </w:rPr>
        <w:t>Ccombdry</w:t>
      </w:r>
      <w:r w:rsidRPr="00DE12A3">
        <w:rPr>
          <w:color w:val="auto"/>
          <w:sz w:val="24"/>
          <w:szCs w:val="24"/>
        </w:rPr>
        <w:tab/>
        <w:t>=</w:t>
      </w:r>
      <w:r w:rsidRPr="00DE12A3">
        <w:rPr>
          <w:color w:val="auto"/>
          <w:sz w:val="24"/>
          <w:szCs w:val="24"/>
        </w:rPr>
        <w:tab/>
      </w:r>
      <w:r w:rsidR="00716C4F" w:rsidRPr="00DE12A3">
        <w:rPr>
          <w:color w:val="auto"/>
          <w:sz w:val="24"/>
          <w:szCs w:val="24"/>
        </w:rPr>
        <w:t xml:space="preserve">Mol </w:t>
      </w:r>
      <w:r w:rsidRPr="00DE12A3">
        <w:rPr>
          <w:color w:val="auto"/>
          <w:sz w:val="24"/>
          <w:szCs w:val="24"/>
        </w:rPr>
        <w:t>kuru egzoz gazı başına egzoz içindeki yakıttan gelen karbon miktarı [mol/mol]</w:t>
      </w:r>
    </w:p>
    <w:p w14:paraId="73DA60CF" w14:textId="77777777" w:rsidR="002D7B36" w:rsidRPr="00DE12A3" w:rsidRDefault="002D7B36" w:rsidP="00C917D6">
      <w:pPr>
        <w:pStyle w:val="Gvdemetni251"/>
        <w:tabs>
          <w:tab w:val="left" w:pos="1418"/>
        </w:tabs>
        <w:spacing w:before="120" w:after="120" w:line="240" w:lineRule="auto"/>
        <w:ind w:left="1134" w:hanging="1134"/>
        <w:rPr>
          <w:color w:val="auto"/>
          <w:sz w:val="24"/>
          <w:szCs w:val="24"/>
        </w:rPr>
      </w:pPr>
    </w:p>
    <w:p w14:paraId="1BC0CC14" w14:textId="77777777" w:rsidR="002D7B36" w:rsidRPr="00DE12A3" w:rsidRDefault="00242DA0" w:rsidP="00E20716">
      <w:pPr>
        <w:pStyle w:val="Gvdemetni251"/>
        <w:numPr>
          <w:ilvl w:val="0"/>
          <w:numId w:val="435"/>
        </w:numPr>
        <w:spacing w:before="120" w:after="120" w:line="240" w:lineRule="auto"/>
        <w:ind w:left="1701" w:hanging="567"/>
        <w:rPr>
          <w:color w:val="auto"/>
          <w:sz w:val="24"/>
          <w:szCs w:val="24"/>
        </w:rPr>
      </w:pPr>
      <w:r w:rsidRPr="00DE12A3">
        <w:rPr>
          <w:color w:val="auto"/>
          <w:sz w:val="24"/>
          <w:szCs w:val="24"/>
        </w:rPr>
        <w:t>Ölçülen emme havası molar akış hızı, seyreltilmiş egzoz gazı molar akış hızı ve seyreltik kimyasal denge esasında egzoz gazı molar akış hızı hesaplaması</w:t>
      </w:r>
    </w:p>
    <w:p w14:paraId="4E61DDE0" w14:textId="5B69AE3C" w:rsidR="002D7B36" w:rsidRPr="00DE12A3" w:rsidRDefault="002855B1" w:rsidP="00C917D6">
      <w:pPr>
        <w:pStyle w:val="Gvdemetni251"/>
        <w:spacing w:before="120" w:after="120" w:line="240" w:lineRule="auto"/>
        <w:ind w:left="1701" w:hanging="567"/>
        <w:rPr>
          <w:color w:val="auto"/>
          <w:sz w:val="24"/>
          <w:szCs w:val="24"/>
        </w:rPr>
      </w:pPr>
      <w:r w:rsidRPr="00DE12A3">
        <w:rPr>
          <w:color w:val="auto"/>
          <w:sz w:val="24"/>
          <w:szCs w:val="24"/>
        </w:rPr>
        <w:t xml:space="preserve">          </w:t>
      </w:r>
      <w:r w:rsidR="00242DA0" w:rsidRPr="00DE12A3">
        <w:rPr>
          <w:color w:val="auto"/>
          <w:sz w:val="24"/>
          <w:szCs w:val="24"/>
        </w:rPr>
        <w:t xml:space="preserve">Egzoz gazı molar akış hızı </w:t>
      </w:r>
      <w:r w:rsidR="00242DA0" w:rsidRPr="00DE12A3">
        <w:rPr>
          <w:rFonts w:eastAsia="Courier New"/>
          <w:i/>
          <w:iCs/>
          <w:color w:val="auto"/>
          <w:spacing w:val="0"/>
          <w:sz w:val="24"/>
          <w:szCs w:val="24"/>
        </w:rPr>
        <w:t>ṅ</w:t>
      </w:r>
      <w:r w:rsidR="00242DA0" w:rsidRPr="00DE12A3">
        <w:rPr>
          <w:i/>
          <w:color w:val="auto"/>
          <w:sz w:val="24"/>
          <w:szCs w:val="24"/>
          <w:vertAlign w:val="subscript"/>
        </w:rPr>
        <w:t>exh</w:t>
      </w:r>
      <w:r w:rsidR="00242DA0" w:rsidRPr="00DE12A3">
        <w:rPr>
          <w:color w:val="auto"/>
          <w:sz w:val="24"/>
          <w:szCs w:val="24"/>
        </w:rPr>
        <w:t xml:space="preserve"> [mol/s]; ölçülen emme havası molar akış hızı </w:t>
      </w:r>
      <w:bookmarkStart w:id="35" w:name="_Hlk22815939"/>
      <w:r w:rsidR="00242DA0" w:rsidRPr="00DE12A3">
        <w:rPr>
          <w:rFonts w:eastAsia="Courier New"/>
          <w:i/>
          <w:iCs/>
          <w:color w:val="auto"/>
          <w:spacing w:val="0"/>
          <w:sz w:val="24"/>
          <w:szCs w:val="24"/>
        </w:rPr>
        <w:t>ṅ</w:t>
      </w:r>
      <w:r w:rsidR="00242DA0" w:rsidRPr="00DE12A3">
        <w:rPr>
          <w:i/>
          <w:color w:val="auto"/>
          <w:sz w:val="24"/>
          <w:szCs w:val="24"/>
          <w:vertAlign w:val="subscript"/>
        </w:rPr>
        <w:t>int</w:t>
      </w:r>
      <w:bookmarkEnd w:id="35"/>
      <w:r w:rsidR="00242DA0" w:rsidRPr="00DE12A3">
        <w:rPr>
          <w:color w:val="auto"/>
          <w:sz w:val="24"/>
          <w:szCs w:val="24"/>
        </w:rPr>
        <w:t xml:space="preserve">, ölçülen seyreltilmiş egzoz gazı molar akış hızı ndexh ve 3.4.3 bendindeki kimyasal denge kullanılarak hesaplanan değerler esasında hesaplanabilir. Kimyasal dengenin seyreltilmiş egzoz gazı konsantrasyonlarına dayanması gerektiği unutulmamalıdır. Sürekli akış hesaplamaları için, 3.4.3 bendindeki kimyasal denge için, </w:t>
      </w:r>
      <w:r w:rsidR="00242DA0" w:rsidRPr="00DE12A3">
        <w:rPr>
          <w:rFonts w:eastAsia="Courier New"/>
          <w:i/>
          <w:iCs/>
          <w:color w:val="auto"/>
          <w:spacing w:val="0"/>
          <w:sz w:val="24"/>
          <w:szCs w:val="24"/>
        </w:rPr>
        <w:t>ṅ</w:t>
      </w:r>
      <w:r w:rsidR="00242DA0" w:rsidRPr="00DE12A3">
        <w:rPr>
          <w:i/>
          <w:color w:val="auto"/>
          <w:sz w:val="24"/>
          <w:szCs w:val="24"/>
          <w:vertAlign w:val="subscript"/>
        </w:rPr>
        <w:t>int</w:t>
      </w:r>
      <w:r w:rsidR="00242DA0" w:rsidRPr="00DE12A3">
        <w:rPr>
          <w:color w:val="auto"/>
          <w:sz w:val="24"/>
          <w:szCs w:val="24"/>
        </w:rPr>
        <w:t xml:space="preserve"> veya </w:t>
      </w:r>
      <w:r w:rsidR="00242DA0" w:rsidRPr="00DE12A3">
        <w:rPr>
          <w:i/>
          <w:iCs/>
          <w:color w:val="auto"/>
          <w:sz w:val="24"/>
          <w:szCs w:val="24"/>
        </w:rPr>
        <w:t>ṅ</w:t>
      </w:r>
      <w:r w:rsidR="00242DA0" w:rsidRPr="00DE12A3">
        <w:rPr>
          <w:color w:val="auto"/>
          <w:sz w:val="24"/>
          <w:szCs w:val="24"/>
          <w:vertAlign w:val="subscript"/>
        </w:rPr>
        <w:t>dexh</w:t>
      </w:r>
      <w:r w:rsidR="00242DA0" w:rsidRPr="00DE12A3">
        <w:rPr>
          <w:color w:val="auto"/>
          <w:sz w:val="24"/>
          <w:szCs w:val="24"/>
        </w:rPr>
        <w:t xml:space="preserve">'in güncellenip kaydedildiği aynı sıklıkta çözülür. Bu hesaplanan </w:t>
      </w:r>
      <w:r w:rsidR="00242DA0" w:rsidRPr="00DE12A3">
        <w:rPr>
          <w:i/>
          <w:iCs/>
          <w:color w:val="auto"/>
          <w:sz w:val="24"/>
          <w:szCs w:val="24"/>
        </w:rPr>
        <w:t>ṅ</w:t>
      </w:r>
      <w:r w:rsidR="00242DA0" w:rsidRPr="00DE12A3">
        <w:rPr>
          <w:color w:val="auto"/>
          <w:sz w:val="24"/>
          <w:szCs w:val="24"/>
          <w:vertAlign w:val="subscript"/>
        </w:rPr>
        <w:t>dexh</w:t>
      </w:r>
      <w:r w:rsidR="00242DA0" w:rsidRPr="00DE12A3">
        <w:rPr>
          <w:color w:val="auto"/>
          <w:sz w:val="24"/>
          <w:szCs w:val="24"/>
        </w:rPr>
        <w:t xml:space="preserve">, PM seyreltme oranı doğrulaması, 3.6.1 bendindeki arka plan düzeltmesinde seyreltme havası molar akış hızının hesaplanması ve </w:t>
      </w:r>
      <w:r w:rsidR="00716C4F" w:rsidRPr="00DE12A3">
        <w:rPr>
          <w:color w:val="auto"/>
          <w:sz w:val="24"/>
          <w:szCs w:val="24"/>
        </w:rPr>
        <w:t>ham egzoz</w:t>
      </w:r>
      <w:r w:rsidR="00242DA0" w:rsidRPr="00DE12A3">
        <w:rPr>
          <w:color w:val="auto"/>
          <w:sz w:val="24"/>
          <w:szCs w:val="24"/>
        </w:rPr>
        <w:t xml:space="preserve"> gazı içinde ölçülen türler için 3.5.1 bendindeki emisyonların kütlesinin hesaplanması için kullanılabilir.</w:t>
      </w:r>
    </w:p>
    <w:p w14:paraId="1B89C693" w14:textId="77777777" w:rsidR="002D7B36" w:rsidRPr="00DE12A3" w:rsidRDefault="002855B1" w:rsidP="00C917D6">
      <w:pPr>
        <w:pStyle w:val="Gvdemetni251"/>
        <w:spacing w:before="120" w:after="120" w:line="240" w:lineRule="auto"/>
        <w:ind w:left="1701" w:hanging="567"/>
        <w:rPr>
          <w:color w:val="auto"/>
          <w:sz w:val="24"/>
          <w:szCs w:val="24"/>
        </w:rPr>
      </w:pPr>
      <w:r w:rsidRPr="00DE12A3">
        <w:rPr>
          <w:color w:val="auto"/>
          <w:sz w:val="24"/>
          <w:szCs w:val="24"/>
        </w:rPr>
        <w:t xml:space="preserve">         </w:t>
      </w:r>
      <w:r w:rsidR="00242DA0" w:rsidRPr="00DE12A3">
        <w:rPr>
          <w:color w:val="auto"/>
          <w:sz w:val="24"/>
          <w:szCs w:val="24"/>
        </w:rPr>
        <w:t xml:space="preserve">Seyreltilmiş egzoz gazı ve emme havası molar akış hızı esasında, egzoz gazı molar akış hızı </w:t>
      </w:r>
      <w:r w:rsidR="00242DA0" w:rsidRPr="00DE12A3">
        <w:rPr>
          <w:rFonts w:eastAsia="Courier New"/>
          <w:i/>
          <w:iCs/>
          <w:color w:val="auto"/>
          <w:spacing w:val="0"/>
          <w:sz w:val="24"/>
          <w:szCs w:val="24"/>
        </w:rPr>
        <w:t>ṅ</w:t>
      </w:r>
      <w:r w:rsidR="00242DA0" w:rsidRPr="00DE12A3">
        <w:rPr>
          <w:i/>
          <w:color w:val="auto"/>
          <w:sz w:val="24"/>
          <w:szCs w:val="24"/>
          <w:vertAlign w:val="subscript"/>
        </w:rPr>
        <w:t>exh</w:t>
      </w:r>
      <w:r w:rsidR="00242DA0" w:rsidRPr="00DE12A3">
        <w:rPr>
          <w:color w:val="auto"/>
          <w:sz w:val="24"/>
          <w:szCs w:val="24"/>
        </w:rPr>
        <w:t xml:space="preserve"> [mol/s] aşağıdaki şekilde hesaplanmalıdır:</w:t>
      </w:r>
    </w:p>
    <w:p w14:paraId="0F93B3F9" w14:textId="77777777" w:rsidR="002D7B36" w:rsidRPr="00DE12A3" w:rsidRDefault="002D7B36" w:rsidP="00C917D6">
      <w:pPr>
        <w:pStyle w:val="Gvdemetni251"/>
        <w:spacing w:before="120" w:after="120" w:line="240" w:lineRule="auto"/>
        <w:ind w:left="1701" w:hanging="567"/>
        <w:rPr>
          <w:color w:val="auto"/>
          <w:sz w:val="24"/>
          <w:szCs w:val="24"/>
        </w:rPr>
      </w:pPr>
    </w:p>
    <w:p w14:paraId="306BFE45" w14:textId="464E3624" w:rsidR="002D7B36" w:rsidRPr="00DE12A3" w:rsidRDefault="00242DA0" w:rsidP="00C917D6">
      <w:pPr>
        <w:widowControl/>
        <w:tabs>
          <w:tab w:val="left" w:pos="8789"/>
        </w:tabs>
        <w:spacing w:before="120" w:after="120"/>
        <w:ind w:left="1134" w:hanging="1134"/>
        <w:jc w:val="center"/>
        <w:rPr>
          <w:rFonts w:cs="Times New Roman"/>
          <w:color w:val="auto"/>
          <w:lang w:eastAsia="en-US"/>
        </w:rPr>
      </w:pPr>
      <w:r w:rsidRPr="00DE12A3">
        <w:rPr>
          <w:rFonts w:cs="Times New Roman"/>
          <w:noProof/>
          <w:color w:val="auto"/>
        </w:rPr>
        <w:drawing>
          <wp:inline distT="0" distB="0" distL="0" distR="0" wp14:anchorId="63CCFD39" wp14:editId="4A1B55DD">
            <wp:extent cx="3718560" cy="548640"/>
            <wp:effectExtent l="0" t="0" r="0" b="3810"/>
            <wp:docPr id="2002" name="Resim 2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2" name="Resim 2002"/>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a:xfrm>
                      <a:off x="0" y="0"/>
                      <a:ext cx="3738290" cy="551551"/>
                    </a:xfrm>
                    <a:prstGeom prst="rect">
                      <a:avLst/>
                    </a:prstGeom>
                    <a:noFill/>
                    <a:ln>
                      <a:noFill/>
                    </a:ln>
                  </pic:spPr>
                </pic:pic>
              </a:graphicData>
            </a:graphic>
          </wp:inline>
        </w:drawing>
      </w:r>
    </w:p>
    <w:p w14:paraId="3A067A5A" w14:textId="0163715C" w:rsidR="002D7B36" w:rsidRPr="00DE12A3" w:rsidRDefault="00242DA0" w:rsidP="00C917D6">
      <w:pPr>
        <w:pStyle w:val="Gvdemetni251"/>
        <w:spacing w:before="120" w:after="120" w:line="240" w:lineRule="auto"/>
        <w:ind w:left="1134" w:firstLine="0"/>
        <w:rPr>
          <w:color w:val="auto"/>
          <w:sz w:val="24"/>
          <w:szCs w:val="24"/>
        </w:rPr>
      </w:pPr>
      <w:r w:rsidRPr="00DE12A3">
        <w:rPr>
          <w:color w:val="auto"/>
          <w:sz w:val="24"/>
          <w:szCs w:val="24"/>
        </w:rPr>
        <w:t>Burada</w:t>
      </w:r>
      <w:r w:rsidR="00CE5167" w:rsidRPr="00DE12A3">
        <w:rPr>
          <w:color w:val="auto"/>
          <w:sz w:val="24"/>
          <w:szCs w:val="24"/>
        </w:rPr>
        <w:t>:</w:t>
      </w:r>
    </w:p>
    <w:p w14:paraId="2590AE02" w14:textId="77777777" w:rsidR="002D7B36" w:rsidRPr="00DE12A3" w:rsidRDefault="002D7B36" w:rsidP="00C917D6">
      <w:pPr>
        <w:pStyle w:val="Gvdemetni251"/>
        <w:spacing w:before="120" w:after="120" w:line="240" w:lineRule="auto"/>
        <w:ind w:left="1134" w:firstLine="0"/>
        <w:rPr>
          <w:color w:val="auto"/>
          <w:sz w:val="24"/>
          <w:szCs w:val="24"/>
        </w:rPr>
      </w:pPr>
    </w:p>
    <w:p w14:paraId="3A703800" w14:textId="5874D0DA" w:rsidR="002D7B36" w:rsidRPr="00DE12A3" w:rsidRDefault="00242DA0" w:rsidP="00C917D6">
      <w:pPr>
        <w:pStyle w:val="Gvdemetni251"/>
        <w:tabs>
          <w:tab w:val="left" w:pos="1843"/>
        </w:tabs>
        <w:spacing w:before="120" w:after="120" w:line="240" w:lineRule="auto"/>
        <w:ind w:left="1134" w:firstLine="0"/>
        <w:rPr>
          <w:color w:val="auto"/>
          <w:sz w:val="24"/>
          <w:szCs w:val="24"/>
        </w:rPr>
      </w:pPr>
      <w:r w:rsidRPr="00DE12A3">
        <w:rPr>
          <w:rFonts w:eastAsia="Courier New"/>
          <w:i/>
          <w:iCs/>
          <w:color w:val="auto"/>
          <w:spacing w:val="0"/>
          <w:sz w:val="24"/>
          <w:szCs w:val="24"/>
        </w:rPr>
        <w:t>ṅ</w:t>
      </w:r>
      <w:r w:rsidRPr="00DE12A3">
        <w:rPr>
          <w:i/>
          <w:color w:val="auto"/>
          <w:sz w:val="24"/>
          <w:szCs w:val="24"/>
          <w:vertAlign w:val="subscript"/>
        </w:rPr>
        <w:t>exh</w:t>
      </w:r>
      <w:r w:rsidRPr="00DE12A3">
        <w:rPr>
          <w:color w:val="auto"/>
          <w:sz w:val="24"/>
          <w:szCs w:val="24"/>
        </w:rPr>
        <w:tab/>
        <w:t>=</w:t>
      </w:r>
      <w:r w:rsidRPr="00DE12A3">
        <w:rPr>
          <w:color w:val="auto"/>
          <w:sz w:val="24"/>
          <w:szCs w:val="24"/>
        </w:rPr>
        <w:tab/>
      </w:r>
      <w:r w:rsidR="00716C4F" w:rsidRPr="00DE12A3">
        <w:rPr>
          <w:color w:val="auto"/>
          <w:sz w:val="24"/>
          <w:szCs w:val="24"/>
        </w:rPr>
        <w:t xml:space="preserve">Emisyonların </w:t>
      </w:r>
      <w:r w:rsidRPr="00DE12A3">
        <w:rPr>
          <w:color w:val="auto"/>
          <w:sz w:val="24"/>
          <w:szCs w:val="24"/>
        </w:rPr>
        <w:t>ölçüldüğü ham egzoz gazı molar akış hızı [mol/s]</w:t>
      </w:r>
    </w:p>
    <w:p w14:paraId="7E213775" w14:textId="147D3209" w:rsidR="002D7B36" w:rsidRPr="00DE12A3" w:rsidRDefault="00242DA0" w:rsidP="00C917D6">
      <w:pPr>
        <w:pStyle w:val="Gvdemetni251"/>
        <w:tabs>
          <w:tab w:val="left" w:pos="1843"/>
        </w:tabs>
        <w:spacing w:before="120" w:after="120" w:line="240" w:lineRule="auto"/>
        <w:ind w:left="1134" w:firstLine="0"/>
        <w:rPr>
          <w:color w:val="auto"/>
          <w:sz w:val="24"/>
          <w:szCs w:val="24"/>
        </w:rPr>
      </w:pPr>
      <w:r w:rsidRPr="00DE12A3">
        <w:rPr>
          <w:i/>
          <w:iCs/>
          <w:color w:val="auto"/>
          <w:sz w:val="24"/>
          <w:szCs w:val="24"/>
        </w:rPr>
        <w:t>x</w:t>
      </w:r>
      <w:r w:rsidRPr="00DE12A3">
        <w:rPr>
          <w:color w:val="auto"/>
          <w:sz w:val="24"/>
          <w:szCs w:val="24"/>
          <w:vertAlign w:val="subscript"/>
        </w:rPr>
        <w:t>int/exhdry</w:t>
      </w:r>
      <w:r w:rsidRPr="00DE12A3">
        <w:rPr>
          <w:color w:val="auto"/>
          <w:sz w:val="24"/>
          <w:szCs w:val="24"/>
        </w:rPr>
        <w:tab/>
        <w:t>=</w:t>
      </w:r>
      <w:r w:rsidRPr="00DE12A3">
        <w:rPr>
          <w:color w:val="auto"/>
          <w:sz w:val="24"/>
          <w:szCs w:val="24"/>
        </w:rPr>
        <w:tab/>
      </w:r>
      <w:r w:rsidR="00716C4F" w:rsidRPr="00DE12A3">
        <w:rPr>
          <w:color w:val="auto"/>
          <w:sz w:val="24"/>
          <w:szCs w:val="24"/>
        </w:rPr>
        <w:t xml:space="preserve">Mol </w:t>
      </w:r>
      <w:r w:rsidRPr="00DE12A3">
        <w:rPr>
          <w:color w:val="auto"/>
          <w:sz w:val="24"/>
          <w:szCs w:val="24"/>
        </w:rPr>
        <w:t>kuru (ham veya seyreltilmiş) egzoz gazı başına gerçek yanma ürünleri üretmek için gereken emme havası miktarı [mol/mol]</w:t>
      </w:r>
    </w:p>
    <w:p w14:paraId="5B596D14" w14:textId="21F539E5" w:rsidR="002D7B36" w:rsidRPr="00DE12A3" w:rsidRDefault="00242DA0" w:rsidP="00C917D6">
      <w:pPr>
        <w:pStyle w:val="Gvdemetni251"/>
        <w:tabs>
          <w:tab w:val="left" w:pos="1843"/>
        </w:tabs>
        <w:spacing w:before="120" w:after="120" w:line="240" w:lineRule="auto"/>
        <w:ind w:left="1134" w:firstLine="0"/>
        <w:rPr>
          <w:color w:val="auto"/>
          <w:sz w:val="24"/>
          <w:szCs w:val="24"/>
        </w:rPr>
      </w:pPr>
      <w:r w:rsidRPr="00DE12A3">
        <w:rPr>
          <w:i/>
          <w:iCs/>
          <w:color w:val="auto"/>
          <w:sz w:val="24"/>
          <w:szCs w:val="24"/>
        </w:rPr>
        <w:lastRenderedPageBreak/>
        <w:t>x</w:t>
      </w:r>
      <w:r w:rsidRPr="00DE12A3">
        <w:rPr>
          <w:color w:val="auto"/>
          <w:sz w:val="24"/>
          <w:szCs w:val="24"/>
          <w:vertAlign w:val="subscript"/>
        </w:rPr>
        <w:t>raw/exhdry</w:t>
      </w:r>
      <w:r w:rsidRPr="00DE12A3">
        <w:rPr>
          <w:color w:val="auto"/>
          <w:sz w:val="24"/>
          <w:szCs w:val="24"/>
        </w:rPr>
        <w:tab/>
        <w:t>=</w:t>
      </w:r>
      <w:r w:rsidRPr="00DE12A3">
        <w:rPr>
          <w:color w:val="auto"/>
          <w:sz w:val="24"/>
          <w:szCs w:val="24"/>
        </w:rPr>
        <w:tab/>
      </w:r>
      <w:r w:rsidR="00716C4F" w:rsidRPr="00DE12A3">
        <w:rPr>
          <w:color w:val="auto"/>
          <w:sz w:val="24"/>
          <w:szCs w:val="24"/>
        </w:rPr>
        <w:t xml:space="preserve">Mol </w:t>
      </w:r>
      <w:r w:rsidRPr="00DE12A3">
        <w:rPr>
          <w:color w:val="auto"/>
          <w:sz w:val="24"/>
          <w:szCs w:val="24"/>
        </w:rPr>
        <w:t>kuru (ham veya seyreltilmiş) egzoz gazı başına, fazla hava olmayan, seyreltilmemiş egzoz gazı miktarı [mol/mol]</w:t>
      </w:r>
    </w:p>
    <w:p w14:paraId="10BA6F8F" w14:textId="57BAC9A0" w:rsidR="002D7B36" w:rsidRPr="00DE12A3" w:rsidRDefault="00242DA0" w:rsidP="00C917D6">
      <w:pPr>
        <w:pStyle w:val="Gvdemetni251"/>
        <w:tabs>
          <w:tab w:val="left" w:pos="1843"/>
        </w:tabs>
        <w:spacing w:before="120" w:after="120" w:line="240" w:lineRule="auto"/>
        <w:ind w:left="1134" w:firstLine="0"/>
        <w:rPr>
          <w:color w:val="auto"/>
          <w:sz w:val="24"/>
          <w:szCs w:val="24"/>
        </w:rPr>
      </w:pPr>
      <w:r w:rsidRPr="00DE12A3">
        <w:rPr>
          <w:i/>
          <w:iCs/>
          <w:color w:val="auto"/>
          <w:sz w:val="24"/>
          <w:szCs w:val="24"/>
        </w:rPr>
        <w:t>x</w:t>
      </w:r>
      <w:r w:rsidRPr="00DE12A3">
        <w:rPr>
          <w:color w:val="auto"/>
          <w:sz w:val="24"/>
          <w:szCs w:val="24"/>
          <w:vertAlign w:val="subscript"/>
        </w:rPr>
        <w:t>H2Oexh</w:t>
      </w:r>
      <w:r w:rsidRPr="00DE12A3">
        <w:rPr>
          <w:color w:val="auto"/>
          <w:sz w:val="24"/>
          <w:szCs w:val="24"/>
        </w:rPr>
        <w:tab/>
        <w:t>=</w:t>
      </w:r>
      <w:r w:rsidRPr="00DE12A3">
        <w:rPr>
          <w:color w:val="auto"/>
          <w:sz w:val="24"/>
          <w:szCs w:val="24"/>
        </w:rPr>
        <w:tab/>
      </w:r>
      <w:r w:rsidR="00716C4F" w:rsidRPr="00DE12A3">
        <w:rPr>
          <w:color w:val="auto"/>
          <w:sz w:val="24"/>
          <w:szCs w:val="24"/>
        </w:rPr>
        <w:t xml:space="preserve">Mol </w:t>
      </w:r>
      <w:r w:rsidRPr="00DE12A3">
        <w:rPr>
          <w:color w:val="auto"/>
          <w:sz w:val="24"/>
          <w:szCs w:val="24"/>
        </w:rPr>
        <w:t>egzoz gazı başına egzoz gazı içindeki su miktarı [mol/mol]</w:t>
      </w:r>
    </w:p>
    <w:p w14:paraId="5B568BE0" w14:textId="33D5EB3F" w:rsidR="002D7B36" w:rsidRPr="00DE12A3" w:rsidRDefault="00242DA0" w:rsidP="00C917D6">
      <w:pPr>
        <w:pStyle w:val="Gvdemetni251"/>
        <w:tabs>
          <w:tab w:val="left" w:pos="1843"/>
        </w:tabs>
        <w:spacing w:before="120" w:after="120" w:line="240" w:lineRule="auto"/>
        <w:ind w:left="1134" w:firstLine="0"/>
        <w:rPr>
          <w:color w:val="auto"/>
          <w:sz w:val="24"/>
          <w:szCs w:val="24"/>
        </w:rPr>
      </w:pPr>
      <w:r w:rsidRPr="00DE12A3">
        <w:rPr>
          <w:i/>
          <w:iCs/>
          <w:color w:val="auto"/>
          <w:sz w:val="24"/>
          <w:szCs w:val="24"/>
        </w:rPr>
        <w:t>ṅ</w:t>
      </w:r>
      <w:r w:rsidRPr="00DE12A3">
        <w:rPr>
          <w:color w:val="auto"/>
          <w:sz w:val="24"/>
          <w:szCs w:val="24"/>
          <w:vertAlign w:val="subscript"/>
        </w:rPr>
        <w:t>dexh</w:t>
      </w:r>
      <w:r w:rsidRPr="00DE12A3">
        <w:rPr>
          <w:color w:val="auto"/>
          <w:sz w:val="24"/>
          <w:szCs w:val="24"/>
        </w:rPr>
        <w:tab/>
        <w:t>=</w:t>
      </w:r>
      <w:r w:rsidRPr="00DE12A3">
        <w:rPr>
          <w:color w:val="auto"/>
          <w:sz w:val="24"/>
          <w:szCs w:val="24"/>
        </w:rPr>
        <w:tab/>
      </w:r>
      <w:r w:rsidR="00716C4F" w:rsidRPr="00DE12A3">
        <w:rPr>
          <w:color w:val="auto"/>
          <w:sz w:val="24"/>
          <w:szCs w:val="24"/>
        </w:rPr>
        <w:t xml:space="preserve">Emisyonların </w:t>
      </w:r>
      <w:r w:rsidRPr="00DE12A3">
        <w:rPr>
          <w:color w:val="auto"/>
          <w:sz w:val="24"/>
          <w:szCs w:val="24"/>
        </w:rPr>
        <w:t>ölçüldüğü seyreltilmiş egzoz gazı molar akış hızı [mol/s]</w:t>
      </w:r>
    </w:p>
    <w:p w14:paraId="224102CB" w14:textId="30AEADD9" w:rsidR="002D7B36" w:rsidRPr="00DE12A3" w:rsidRDefault="00242DA0" w:rsidP="00C917D6">
      <w:pPr>
        <w:pStyle w:val="Gvdemetni251"/>
        <w:tabs>
          <w:tab w:val="left" w:pos="1843"/>
        </w:tabs>
        <w:spacing w:before="120" w:after="120" w:line="240" w:lineRule="auto"/>
        <w:ind w:left="1134" w:firstLine="0"/>
        <w:rPr>
          <w:color w:val="auto"/>
          <w:sz w:val="24"/>
          <w:szCs w:val="24"/>
        </w:rPr>
      </w:pPr>
      <w:r w:rsidRPr="00DE12A3">
        <w:rPr>
          <w:rFonts w:eastAsia="Courier New"/>
          <w:i/>
          <w:iCs/>
          <w:color w:val="auto"/>
          <w:spacing w:val="0"/>
          <w:sz w:val="24"/>
          <w:szCs w:val="24"/>
        </w:rPr>
        <w:t>ṅ</w:t>
      </w:r>
      <w:r w:rsidRPr="00DE12A3">
        <w:rPr>
          <w:i/>
          <w:color w:val="auto"/>
          <w:sz w:val="24"/>
          <w:szCs w:val="24"/>
          <w:vertAlign w:val="subscript"/>
        </w:rPr>
        <w:t>int</w:t>
      </w:r>
      <w:r w:rsidRPr="00DE12A3">
        <w:rPr>
          <w:color w:val="auto"/>
          <w:sz w:val="24"/>
          <w:szCs w:val="24"/>
        </w:rPr>
        <w:tab/>
        <w:t>=</w:t>
      </w:r>
      <w:r w:rsidRPr="00DE12A3">
        <w:rPr>
          <w:color w:val="auto"/>
          <w:sz w:val="24"/>
          <w:szCs w:val="24"/>
        </w:rPr>
        <w:tab/>
      </w:r>
      <w:r w:rsidR="00716C4F" w:rsidRPr="00DE12A3">
        <w:rPr>
          <w:iCs/>
          <w:color w:val="auto"/>
          <w:sz w:val="24"/>
          <w:szCs w:val="24"/>
        </w:rPr>
        <w:t xml:space="preserve">Emme </w:t>
      </w:r>
      <w:r w:rsidRPr="00DE12A3">
        <w:rPr>
          <w:iCs/>
          <w:color w:val="auto"/>
          <w:sz w:val="24"/>
          <w:szCs w:val="24"/>
        </w:rPr>
        <w:t>havasındaki nemi içeren emme havası molar akış hızı</w:t>
      </w:r>
      <w:r w:rsidRPr="00DE12A3">
        <w:rPr>
          <w:i/>
          <w:iCs/>
          <w:color w:val="auto"/>
          <w:sz w:val="24"/>
          <w:szCs w:val="24"/>
        </w:rPr>
        <w:t xml:space="preserve"> </w:t>
      </w:r>
      <w:r w:rsidRPr="00DE12A3">
        <w:rPr>
          <w:color w:val="auto"/>
          <w:sz w:val="24"/>
          <w:szCs w:val="24"/>
        </w:rPr>
        <w:t>[mol/s]</w:t>
      </w:r>
    </w:p>
    <w:p w14:paraId="3314E73C" w14:textId="77777777" w:rsidR="002D7B36" w:rsidRPr="00DE12A3" w:rsidRDefault="009F4766" w:rsidP="00E20716">
      <w:pPr>
        <w:pStyle w:val="Gvdemetni251"/>
        <w:numPr>
          <w:ilvl w:val="0"/>
          <w:numId w:val="436"/>
        </w:numPr>
        <w:tabs>
          <w:tab w:val="left" w:pos="751"/>
          <w:tab w:val="left" w:pos="763"/>
        </w:tabs>
        <w:spacing w:before="120" w:after="120" w:line="240" w:lineRule="auto"/>
        <w:ind w:left="1134" w:hanging="1134"/>
        <w:rPr>
          <w:color w:val="auto"/>
          <w:sz w:val="24"/>
          <w:szCs w:val="24"/>
        </w:rPr>
      </w:pPr>
      <w:r w:rsidRPr="00DE12A3">
        <w:rPr>
          <w:color w:val="auto"/>
          <w:sz w:val="24"/>
          <w:szCs w:val="24"/>
        </w:rPr>
        <w:t xml:space="preserve">      </w:t>
      </w:r>
      <w:r w:rsidR="00242DA0" w:rsidRPr="00DE12A3">
        <w:rPr>
          <w:color w:val="auto"/>
          <w:sz w:val="24"/>
          <w:szCs w:val="24"/>
        </w:rPr>
        <w:t>Seyreltilmiş gaz emisyonları</w:t>
      </w:r>
    </w:p>
    <w:p w14:paraId="43F7B932" w14:textId="77777777" w:rsidR="002D7B36" w:rsidRPr="00DE12A3" w:rsidRDefault="009F4766" w:rsidP="00E20716">
      <w:pPr>
        <w:pStyle w:val="Gvdemetni251"/>
        <w:numPr>
          <w:ilvl w:val="0"/>
          <w:numId w:val="437"/>
        </w:numPr>
        <w:tabs>
          <w:tab w:val="left" w:pos="751"/>
          <w:tab w:val="left" w:pos="763"/>
        </w:tabs>
        <w:spacing w:before="120" w:after="120" w:line="240" w:lineRule="auto"/>
        <w:ind w:left="1134" w:hanging="1134"/>
        <w:rPr>
          <w:color w:val="auto"/>
          <w:sz w:val="24"/>
          <w:szCs w:val="24"/>
        </w:rPr>
      </w:pPr>
      <w:r w:rsidRPr="00DE12A3">
        <w:rPr>
          <w:color w:val="auto"/>
          <w:sz w:val="24"/>
          <w:szCs w:val="24"/>
        </w:rPr>
        <w:t xml:space="preserve">      </w:t>
      </w:r>
      <w:r w:rsidR="00242DA0" w:rsidRPr="00DE12A3">
        <w:rPr>
          <w:color w:val="auto"/>
          <w:sz w:val="24"/>
          <w:szCs w:val="24"/>
        </w:rPr>
        <w:t>Emisyon kütle hesabı ve arka plan düzeltmesi</w:t>
      </w:r>
    </w:p>
    <w:p w14:paraId="1188892F" w14:textId="77777777" w:rsidR="002D7B36" w:rsidRPr="00DE12A3" w:rsidRDefault="00242DA0" w:rsidP="00C917D6">
      <w:pPr>
        <w:pStyle w:val="Gvdemetni251"/>
        <w:spacing w:before="120" w:after="120" w:line="240" w:lineRule="auto"/>
        <w:ind w:left="1134" w:firstLine="0"/>
        <w:rPr>
          <w:color w:val="auto"/>
          <w:sz w:val="24"/>
          <w:szCs w:val="24"/>
        </w:rPr>
      </w:pPr>
      <w:r w:rsidRPr="00DE12A3">
        <w:rPr>
          <w:color w:val="auto"/>
          <w:sz w:val="24"/>
          <w:szCs w:val="24"/>
        </w:rPr>
        <w:t>Gaz emisyonlarının kütlesi mgas [g/test], molar emisyon akış hızlarının bir fonksiyonu olarak aşağıdaki şekilde hesaplanmalıdır:</w:t>
      </w:r>
    </w:p>
    <w:p w14:paraId="3E0397A2" w14:textId="38502F21" w:rsidR="002D7B36" w:rsidRPr="00DE12A3" w:rsidRDefault="002855B1" w:rsidP="00E20716">
      <w:pPr>
        <w:pStyle w:val="Gvdemetni251"/>
        <w:numPr>
          <w:ilvl w:val="0"/>
          <w:numId w:val="438"/>
        </w:numPr>
        <w:spacing w:before="120" w:after="120" w:line="240" w:lineRule="auto"/>
        <w:ind w:left="1701" w:hanging="567"/>
        <w:rPr>
          <w:color w:val="auto"/>
          <w:sz w:val="24"/>
          <w:szCs w:val="24"/>
        </w:rPr>
      </w:pPr>
      <w:r w:rsidRPr="00DE12A3">
        <w:rPr>
          <w:color w:val="auto"/>
          <w:sz w:val="24"/>
          <w:szCs w:val="24"/>
        </w:rPr>
        <w:t xml:space="preserve">    </w:t>
      </w:r>
      <w:r w:rsidR="00242DA0" w:rsidRPr="00DE12A3">
        <w:rPr>
          <w:color w:val="auto"/>
          <w:sz w:val="24"/>
          <w:szCs w:val="24"/>
        </w:rPr>
        <w:t xml:space="preserve">Sürekli örnekleme, değişken akış hızı, (7-106) </w:t>
      </w:r>
      <w:r w:rsidR="00962CA1" w:rsidRPr="00DE12A3">
        <w:rPr>
          <w:color w:val="auto"/>
          <w:sz w:val="24"/>
          <w:szCs w:val="24"/>
        </w:rPr>
        <w:t>numaralı</w:t>
      </w:r>
      <w:r w:rsidR="00962CA1" w:rsidRPr="00DE12A3" w:rsidDel="00962CA1">
        <w:rPr>
          <w:color w:val="auto"/>
          <w:sz w:val="24"/>
          <w:szCs w:val="24"/>
        </w:rPr>
        <w:t xml:space="preserve"> </w:t>
      </w:r>
      <w:r w:rsidR="00242DA0" w:rsidRPr="00DE12A3">
        <w:rPr>
          <w:color w:val="auto"/>
          <w:sz w:val="24"/>
          <w:szCs w:val="24"/>
        </w:rPr>
        <w:t>denklem ile hesaplanmalıdır.</w:t>
      </w:r>
    </w:p>
    <w:p w14:paraId="2ADCE73D" w14:textId="07E777BF" w:rsidR="002D7B36" w:rsidRPr="00DE12A3" w:rsidRDefault="00242DA0" w:rsidP="00C917D6">
      <w:pPr>
        <w:pStyle w:val="Gvdemetni251"/>
        <w:spacing w:before="120" w:after="120" w:line="240" w:lineRule="auto"/>
        <w:ind w:left="1134" w:hanging="1134"/>
        <w:jc w:val="center"/>
        <w:rPr>
          <w:color w:val="auto"/>
          <w:sz w:val="24"/>
          <w:szCs w:val="24"/>
        </w:rPr>
      </w:pPr>
      <w:r w:rsidRPr="00DE12A3">
        <w:rPr>
          <w:noProof/>
          <w:color w:val="auto"/>
          <w:sz w:val="24"/>
          <w:szCs w:val="24"/>
        </w:rPr>
        <w:drawing>
          <wp:inline distT="0" distB="0" distL="0" distR="0" wp14:anchorId="15B9D72E" wp14:editId="1580B5AA">
            <wp:extent cx="2065460" cy="636270"/>
            <wp:effectExtent l="0" t="0" r="0" b="0"/>
            <wp:docPr id="2004" name="Resim 2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4" name="Resim 2004"/>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a:xfrm>
                      <a:off x="0" y="0"/>
                      <a:ext cx="2074290" cy="638990"/>
                    </a:xfrm>
                    <a:prstGeom prst="rect">
                      <a:avLst/>
                    </a:prstGeom>
                    <a:noFill/>
                    <a:ln>
                      <a:noFill/>
                    </a:ln>
                  </pic:spPr>
                </pic:pic>
              </a:graphicData>
            </a:graphic>
          </wp:inline>
        </w:drawing>
      </w:r>
      <w:r w:rsidR="00984EC0" w:rsidRPr="00DE12A3">
        <w:rPr>
          <w:color w:val="auto"/>
          <w:sz w:val="24"/>
          <w:szCs w:val="24"/>
        </w:rPr>
        <w:t xml:space="preserve"> </w:t>
      </w:r>
      <w:r w:rsidR="00CE5167" w:rsidRPr="00DE12A3">
        <w:rPr>
          <w:color w:val="auto"/>
          <w:sz w:val="24"/>
          <w:szCs w:val="24"/>
        </w:rPr>
        <w:t>[bkz. (</w:t>
      </w:r>
      <w:r w:rsidR="00984EC0" w:rsidRPr="00DE12A3">
        <w:rPr>
          <w:color w:val="auto"/>
          <w:sz w:val="24"/>
          <w:szCs w:val="24"/>
        </w:rPr>
        <w:t>7-106</w:t>
      </w:r>
      <w:r w:rsidR="00962CA1" w:rsidRPr="00DE12A3">
        <w:rPr>
          <w:color w:val="auto"/>
          <w:sz w:val="24"/>
          <w:szCs w:val="24"/>
        </w:rPr>
        <w:t>) numaralı</w:t>
      </w:r>
      <w:r w:rsidR="00CE5167" w:rsidRPr="00DE12A3">
        <w:rPr>
          <w:color w:val="auto"/>
          <w:sz w:val="24"/>
          <w:szCs w:val="24"/>
        </w:rPr>
        <w:t xml:space="preserve"> denklem]</w:t>
      </w:r>
    </w:p>
    <w:p w14:paraId="779FCA47" w14:textId="77777777" w:rsidR="002D7B36" w:rsidRPr="00DE12A3" w:rsidRDefault="00242DA0" w:rsidP="00C917D6">
      <w:pPr>
        <w:pStyle w:val="Gvdemetni251"/>
        <w:shd w:val="clear" w:color="auto" w:fill="auto"/>
        <w:spacing w:before="120" w:after="120" w:line="240" w:lineRule="auto"/>
        <w:ind w:left="1134" w:firstLine="0"/>
        <w:rPr>
          <w:color w:val="auto"/>
          <w:sz w:val="24"/>
          <w:szCs w:val="24"/>
        </w:rPr>
      </w:pPr>
      <w:r w:rsidRPr="00DE12A3">
        <w:rPr>
          <w:color w:val="auto"/>
          <w:sz w:val="24"/>
          <w:szCs w:val="24"/>
        </w:rPr>
        <w:t>Burada:</w:t>
      </w:r>
    </w:p>
    <w:p w14:paraId="481FEBB2" w14:textId="4D12ADF6" w:rsidR="002D7B36" w:rsidRPr="00DE12A3" w:rsidRDefault="00242DA0" w:rsidP="00C917D6">
      <w:pPr>
        <w:pStyle w:val="Gvdemetni251"/>
        <w:shd w:val="clear" w:color="auto" w:fill="auto"/>
        <w:tabs>
          <w:tab w:val="left" w:pos="1560"/>
          <w:tab w:val="center" w:pos="3887"/>
        </w:tabs>
        <w:spacing w:before="120" w:after="120" w:line="240" w:lineRule="auto"/>
        <w:ind w:left="1134" w:firstLine="0"/>
        <w:rPr>
          <w:color w:val="auto"/>
          <w:sz w:val="24"/>
          <w:szCs w:val="24"/>
        </w:rPr>
      </w:pPr>
      <w:r w:rsidRPr="00DE12A3">
        <w:rPr>
          <w:i/>
          <w:iCs/>
          <w:color w:val="auto"/>
          <w:sz w:val="24"/>
          <w:szCs w:val="24"/>
        </w:rPr>
        <w:t>M</w:t>
      </w:r>
      <w:r w:rsidRPr="00DE12A3">
        <w:rPr>
          <w:color w:val="auto"/>
          <w:sz w:val="24"/>
          <w:szCs w:val="24"/>
          <w:vertAlign w:val="subscript"/>
        </w:rPr>
        <w:t>gas</w:t>
      </w:r>
      <w:r w:rsidRPr="00DE12A3">
        <w:rPr>
          <w:color w:val="auto"/>
          <w:sz w:val="24"/>
          <w:szCs w:val="24"/>
        </w:rPr>
        <w:tab/>
        <w:t>=</w:t>
      </w:r>
      <w:r w:rsidR="00716C4F" w:rsidRPr="00DE12A3">
        <w:rPr>
          <w:color w:val="auto"/>
          <w:sz w:val="24"/>
          <w:szCs w:val="24"/>
        </w:rPr>
        <w:t xml:space="preserve">Genel </w:t>
      </w:r>
      <w:r w:rsidRPr="00DE12A3">
        <w:rPr>
          <w:color w:val="auto"/>
          <w:sz w:val="24"/>
          <w:szCs w:val="24"/>
        </w:rPr>
        <w:t xml:space="preserve">emisyon molar kütlesi </w:t>
      </w:r>
      <w:r w:rsidRPr="00DE12A3">
        <w:rPr>
          <w:color w:val="auto"/>
          <w:sz w:val="24"/>
          <w:szCs w:val="24"/>
        </w:rPr>
        <w:tab/>
        <w:t>[g/mol]</w:t>
      </w:r>
    </w:p>
    <w:p w14:paraId="0BA1E6B5" w14:textId="3BC87FEA" w:rsidR="002D7B36" w:rsidRPr="00DE12A3" w:rsidRDefault="00242DA0" w:rsidP="00C917D6">
      <w:pPr>
        <w:pStyle w:val="Gvdemetni251"/>
        <w:shd w:val="clear" w:color="auto" w:fill="auto"/>
        <w:tabs>
          <w:tab w:val="left" w:pos="1560"/>
          <w:tab w:val="left" w:pos="3518"/>
          <w:tab w:val="right" w:pos="5649"/>
        </w:tabs>
        <w:spacing w:before="120" w:after="120" w:line="240" w:lineRule="auto"/>
        <w:ind w:left="1134" w:firstLine="0"/>
        <w:rPr>
          <w:color w:val="auto"/>
          <w:sz w:val="24"/>
          <w:szCs w:val="24"/>
        </w:rPr>
      </w:pPr>
      <w:r w:rsidRPr="00DE12A3">
        <w:rPr>
          <w:rFonts w:eastAsia="Courier New"/>
          <w:i/>
          <w:iCs/>
          <w:color w:val="auto"/>
          <w:spacing w:val="0"/>
          <w:sz w:val="24"/>
          <w:szCs w:val="24"/>
        </w:rPr>
        <w:t>ṅ</w:t>
      </w:r>
      <w:r w:rsidRPr="00DE12A3">
        <w:rPr>
          <w:i/>
          <w:color w:val="auto"/>
          <w:sz w:val="24"/>
          <w:szCs w:val="24"/>
          <w:vertAlign w:val="subscript"/>
        </w:rPr>
        <w:t>exhi</w:t>
      </w:r>
      <w:r w:rsidRPr="00DE12A3">
        <w:rPr>
          <w:color w:val="auto"/>
          <w:sz w:val="24"/>
          <w:szCs w:val="24"/>
        </w:rPr>
        <w:tab/>
        <w:t>=</w:t>
      </w:r>
      <w:r w:rsidR="00716C4F" w:rsidRPr="00DE12A3">
        <w:rPr>
          <w:color w:val="auto"/>
          <w:sz w:val="24"/>
          <w:szCs w:val="24"/>
        </w:rPr>
        <w:t xml:space="preserve">Yaş </w:t>
      </w:r>
      <w:r w:rsidRPr="00DE12A3">
        <w:rPr>
          <w:color w:val="auto"/>
          <w:sz w:val="24"/>
          <w:szCs w:val="24"/>
        </w:rPr>
        <w:t>bazda anlık egzoz gazı molar akış hızı [mol/s]</w:t>
      </w:r>
    </w:p>
    <w:p w14:paraId="5D1C5577" w14:textId="4F942E99" w:rsidR="002D7B36" w:rsidRPr="00DE12A3" w:rsidRDefault="00242DA0" w:rsidP="00C917D6">
      <w:pPr>
        <w:pStyle w:val="Gvdemetni251"/>
        <w:shd w:val="clear" w:color="auto" w:fill="auto"/>
        <w:tabs>
          <w:tab w:val="left" w:pos="1560"/>
        </w:tabs>
        <w:spacing w:before="120" w:after="120" w:line="240" w:lineRule="auto"/>
        <w:ind w:left="1134" w:firstLine="0"/>
        <w:rPr>
          <w:color w:val="auto"/>
          <w:sz w:val="24"/>
          <w:szCs w:val="24"/>
        </w:rPr>
      </w:pPr>
      <w:r w:rsidRPr="00DE12A3">
        <w:rPr>
          <w:rStyle w:val="Gvdemetni254pttalik0ptbolukbraklyor10"/>
          <w:color w:val="auto"/>
          <w:sz w:val="24"/>
          <w:szCs w:val="24"/>
        </w:rPr>
        <w:t>x</w:t>
      </w:r>
      <w:r w:rsidRPr="00DE12A3">
        <w:rPr>
          <w:rStyle w:val="Gvdemetni254pttalik0ptbolukbraklyor10"/>
          <w:color w:val="auto"/>
          <w:sz w:val="24"/>
          <w:szCs w:val="24"/>
          <w:vertAlign w:val="subscript"/>
        </w:rPr>
        <w:t>gasi</w:t>
      </w:r>
      <w:r w:rsidRPr="00DE12A3">
        <w:rPr>
          <w:color w:val="auto"/>
          <w:sz w:val="24"/>
          <w:szCs w:val="24"/>
        </w:rPr>
        <w:tab/>
        <w:t>=</w:t>
      </w:r>
      <w:r w:rsidR="00716C4F" w:rsidRPr="00DE12A3">
        <w:rPr>
          <w:color w:val="auto"/>
          <w:sz w:val="24"/>
          <w:szCs w:val="24"/>
        </w:rPr>
        <w:t xml:space="preserve">Yaş </w:t>
      </w:r>
      <w:r w:rsidRPr="00DE12A3">
        <w:rPr>
          <w:color w:val="auto"/>
          <w:sz w:val="24"/>
          <w:szCs w:val="24"/>
        </w:rPr>
        <w:t>bazda anlık genel gaz molar konsantrasyonu [mol/mol]</w:t>
      </w:r>
    </w:p>
    <w:p w14:paraId="23079A69" w14:textId="7B503A41" w:rsidR="002D7B36" w:rsidRPr="00DE12A3" w:rsidRDefault="00242DA0" w:rsidP="00C917D6">
      <w:pPr>
        <w:pStyle w:val="Gvdemetni251"/>
        <w:shd w:val="clear" w:color="auto" w:fill="auto"/>
        <w:tabs>
          <w:tab w:val="left" w:pos="1560"/>
        </w:tabs>
        <w:spacing w:before="120" w:after="120" w:line="240" w:lineRule="auto"/>
        <w:ind w:left="1134" w:firstLine="0"/>
        <w:rPr>
          <w:color w:val="auto"/>
          <w:sz w:val="24"/>
          <w:szCs w:val="24"/>
        </w:rPr>
      </w:pPr>
      <w:r w:rsidRPr="00DE12A3">
        <w:rPr>
          <w:rStyle w:val="Gvdemetni254pttalik0ptbolukbraklyor10"/>
          <w:color w:val="auto"/>
          <w:sz w:val="24"/>
          <w:szCs w:val="24"/>
        </w:rPr>
        <w:t>f</w:t>
      </w:r>
      <w:r w:rsidRPr="00DE12A3">
        <w:rPr>
          <w:color w:val="auto"/>
          <w:sz w:val="24"/>
          <w:szCs w:val="24"/>
        </w:rPr>
        <w:tab/>
        <w:t>=</w:t>
      </w:r>
      <w:r w:rsidR="00716C4F" w:rsidRPr="00DE12A3">
        <w:rPr>
          <w:color w:val="auto"/>
          <w:sz w:val="24"/>
          <w:szCs w:val="24"/>
        </w:rPr>
        <w:t xml:space="preserve">Veri </w:t>
      </w:r>
      <w:r w:rsidRPr="00DE12A3">
        <w:rPr>
          <w:color w:val="auto"/>
          <w:sz w:val="24"/>
          <w:szCs w:val="24"/>
        </w:rPr>
        <w:t>örnekleme hızı [Hz]</w:t>
      </w:r>
    </w:p>
    <w:p w14:paraId="75BB825C" w14:textId="253E0E53" w:rsidR="002D7B36" w:rsidRPr="00DE12A3" w:rsidRDefault="00242DA0" w:rsidP="00C917D6">
      <w:pPr>
        <w:pStyle w:val="Gvdemetni251"/>
        <w:shd w:val="clear" w:color="auto" w:fill="auto"/>
        <w:tabs>
          <w:tab w:val="left" w:pos="1560"/>
          <w:tab w:val="left" w:pos="3518"/>
        </w:tabs>
        <w:spacing w:before="120" w:after="120" w:line="240" w:lineRule="auto"/>
        <w:ind w:left="1134" w:firstLine="0"/>
        <w:rPr>
          <w:color w:val="auto"/>
          <w:sz w:val="24"/>
          <w:szCs w:val="24"/>
        </w:rPr>
      </w:pPr>
      <w:r w:rsidRPr="00DE12A3">
        <w:rPr>
          <w:rStyle w:val="Gvdemetni254pttalik0ptbolukbraklyor10"/>
          <w:color w:val="auto"/>
          <w:sz w:val="24"/>
          <w:szCs w:val="24"/>
        </w:rPr>
        <w:t>N</w:t>
      </w:r>
      <w:r w:rsidRPr="00DE12A3">
        <w:rPr>
          <w:color w:val="auto"/>
          <w:sz w:val="24"/>
          <w:szCs w:val="24"/>
        </w:rPr>
        <w:tab/>
        <w:t>=</w:t>
      </w:r>
      <w:r w:rsidR="00716C4F" w:rsidRPr="00DE12A3">
        <w:rPr>
          <w:color w:val="auto"/>
          <w:sz w:val="24"/>
          <w:szCs w:val="24"/>
        </w:rPr>
        <w:t xml:space="preserve">Ölçüm </w:t>
      </w:r>
      <w:r w:rsidRPr="00DE12A3">
        <w:rPr>
          <w:color w:val="auto"/>
          <w:sz w:val="24"/>
          <w:szCs w:val="24"/>
        </w:rPr>
        <w:t>sayısı [-]</w:t>
      </w:r>
    </w:p>
    <w:p w14:paraId="358509EB" w14:textId="77777777" w:rsidR="002D7B36" w:rsidRPr="00DE12A3" w:rsidRDefault="002D7B36" w:rsidP="00E20716">
      <w:pPr>
        <w:pStyle w:val="ListeParagraf"/>
        <w:numPr>
          <w:ilvl w:val="0"/>
          <w:numId w:val="439"/>
        </w:numPr>
        <w:spacing w:before="120" w:after="120"/>
        <w:ind w:left="1134" w:hanging="1134"/>
        <w:contextualSpacing w:val="0"/>
        <w:jc w:val="both"/>
        <w:rPr>
          <w:rFonts w:eastAsia="Times New Roman" w:cs="Times New Roman"/>
          <w:vanish/>
          <w:color w:val="auto"/>
          <w:spacing w:val="3"/>
          <w:lang w:eastAsia="en-US"/>
        </w:rPr>
      </w:pPr>
    </w:p>
    <w:p w14:paraId="4BDA5802" w14:textId="772CE1E5" w:rsidR="002D7B36" w:rsidRPr="00DE12A3" w:rsidRDefault="00242DA0" w:rsidP="00E20716">
      <w:pPr>
        <w:pStyle w:val="Gvdemetni250"/>
        <w:numPr>
          <w:ilvl w:val="0"/>
          <w:numId w:val="439"/>
        </w:numPr>
        <w:shd w:val="clear" w:color="auto" w:fill="auto"/>
        <w:spacing w:before="120" w:after="120" w:line="240" w:lineRule="auto"/>
        <w:ind w:left="1701" w:hanging="567"/>
        <w:rPr>
          <w:sz w:val="24"/>
          <w:szCs w:val="24"/>
        </w:rPr>
      </w:pPr>
      <w:r w:rsidRPr="00DE12A3">
        <w:rPr>
          <w:sz w:val="24"/>
          <w:szCs w:val="24"/>
        </w:rPr>
        <w:t xml:space="preserve">Sürekli örnekleme, sabit akış hızı, (7-107) </w:t>
      </w:r>
      <w:r w:rsidR="00962CA1" w:rsidRPr="00DE12A3">
        <w:rPr>
          <w:sz w:val="24"/>
          <w:szCs w:val="24"/>
        </w:rPr>
        <w:t>numaralı</w:t>
      </w:r>
      <w:r w:rsidR="00962CA1" w:rsidRPr="00DE12A3" w:rsidDel="00962CA1">
        <w:rPr>
          <w:sz w:val="24"/>
          <w:szCs w:val="24"/>
        </w:rPr>
        <w:t xml:space="preserve"> </w:t>
      </w:r>
      <w:r w:rsidRPr="00DE12A3">
        <w:rPr>
          <w:sz w:val="24"/>
          <w:szCs w:val="24"/>
        </w:rPr>
        <w:t>denklem ile hesaplanmalıdır:</w:t>
      </w:r>
    </w:p>
    <w:p w14:paraId="126F2430" w14:textId="0FE31763" w:rsidR="002D7B36" w:rsidRPr="00DE12A3" w:rsidRDefault="0039575D" w:rsidP="00C917D6">
      <w:pPr>
        <w:pStyle w:val="Gvdemetni250"/>
        <w:shd w:val="clear" w:color="auto" w:fill="auto"/>
        <w:spacing w:before="120" w:after="120" w:line="240" w:lineRule="auto"/>
        <w:ind w:left="1134" w:hanging="1134"/>
        <w:jc w:val="center"/>
        <w:rPr>
          <w:sz w:val="24"/>
          <w:szCs w:val="24"/>
        </w:rPr>
      </w:pPr>
      <w:r w:rsidRPr="00DE12A3">
        <w:rPr>
          <w:noProof/>
          <w:sz w:val="24"/>
          <w:szCs w:val="24"/>
          <w:lang w:eastAsia="tr-TR"/>
        </w:rPr>
        <w:drawing>
          <wp:inline distT="0" distB="0" distL="0" distR="0" wp14:anchorId="05C5E5D8" wp14:editId="140F53F5">
            <wp:extent cx="2054063" cy="701040"/>
            <wp:effectExtent l="0" t="0" r="3810" b="3810"/>
            <wp:docPr id="2005" name="Resim 2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5" name="Resim 2005"/>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a:xfrm>
                      <a:off x="0" y="0"/>
                      <a:ext cx="2155659" cy="735714"/>
                    </a:xfrm>
                    <a:prstGeom prst="rect">
                      <a:avLst/>
                    </a:prstGeom>
                    <a:noFill/>
                    <a:ln>
                      <a:noFill/>
                    </a:ln>
                  </pic:spPr>
                </pic:pic>
              </a:graphicData>
            </a:graphic>
          </wp:inline>
        </w:drawing>
      </w:r>
      <w:r w:rsidRPr="00DE12A3">
        <w:rPr>
          <w:sz w:val="24"/>
          <w:szCs w:val="24"/>
        </w:rPr>
        <w:t xml:space="preserve">[bkz. (7-107) </w:t>
      </w:r>
      <w:r w:rsidR="00962CA1" w:rsidRPr="00DE12A3">
        <w:rPr>
          <w:sz w:val="24"/>
          <w:szCs w:val="24"/>
        </w:rPr>
        <w:t>numaralı</w:t>
      </w:r>
      <w:r w:rsidR="00962CA1" w:rsidRPr="00DE12A3" w:rsidDel="00962CA1">
        <w:rPr>
          <w:sz w:val="24"/>
          <w:szCs w:val="24"/>
        </w:rPr>
        <w:t xml:space="preserve"> </w:t>
      </w:r>
      <w:r w:rsidRPr="00DE12A3">
        <w:rPr>
          <w:sz w:val="24"/>
          <w:szCs w:val="24"/>
        </w:rPr>
        <w:t>denklem]</w:t>
      </w:r>
    </w:p>
    <w:p w14:paraId="4CCC08A6" w14:textId="77777777" w:rsidR="002D7B36" w:rsidRPr="00DE12A3" w:rsidRDefault="00242DA0" w:rsidP="00C917D6">
      <w:pPr>
        <w:pStyle w:val="Gvdemetni250"/>
        <w:shd w:val="clear" w:color="auto" w:fill="auto"/>
        <w:spacing w:before="120" w:after="120" w:line="240" w:lineRule="auto"/>
        <w:ind w:left="1134" w:firstLine="0"/>
        <w:rPr>
          <w:sz w:val="24"/>
          <w:szCs w:val="24"/>
        </w:rPr>
      </w:pPr>
      <w:r w:rsidRPr="00DE12A3">
        <w:rPr>
          <w:sz w:val="24"/>
          <w:szCs w:val="24"/>
        </w:rPr>
        <w:t>Burada:</w:t>
      </w:r>
    </w:p>
    <w:p w14:paraId="4A749F85" w14:textId="77777777" w:rsidR="00175D18" w:rsidRPr="00DE12A3" w:rsidRDefault="00175D18" w:rsidP="00C917D6">
      <w:pPr>
        <w:pStyle w:val="Gvdemetni250"/>
        <w:shd w:val="clear" w:color="auto" w:fill="auto"/>
        <w:spacing w:before="120" w:after="120" w:line="240" w:lineRule="auto"/>
        <w:ind w:left="1134" w:firstLine="0"/>
        <w:rPr>
          <w:sz w:val="24"/>
          <w:szCs w:val="24"/>
        </w:rPr>
      </w:pPr>
    </w:p>
    <w:tbl>
      <w:tblPr>
        <w:tblW w:w="0" w:type="auto"/>
        <w:tblInd w:w="743" w:type="dxa"/>
        <w:tblLayout w:type="fixed"/>
        <w:tblLook w:val="0000" w:firstRow="0" w:lastRow="0" w:firstColumn="0" w:lastColumn="0" w:noHBand="0" w:noVBand="0"/>
      </w:tblPr>
      <w:tblGrid>
        <w:gridCol w:w="936"/>
        <w:gridCol w:w="546"/>
        <w:gridCol w:w="6318"/>
      </w:tblGrid>
      <w:tr w:rsidR="00DE12A3" w:rsidRPr="00DE12A3" w14:paraId="3DF1DFBB" w14:textId="77777777" w:rsidTr="009F4766">
        <w:tc>
          <w:tcPr>
            <w:tcW w:w="936" w:type="dxa"/>
          </w:tcPr>
          <w:p w14:paraId="77189BA3" w14:textId="77777777" w:rsidR="00175D18" w:rsidRPr="00DE12A3" w:rsidRDefault="00175D18" w:rsidP="00C917D6">
            <w:pPr>
              <w:pStyle w:val="NormalLeft"/>
            </w:pPr>
            <w:r w:rsidRPr="00DE12A3">
              <w:rPr>
                <w:i/>
                <w:iCs/>
              </w:rPr>
              <w:t>M</w:t>
            </w:r>
            <w:r w:rsidRPr="00DE12A3">
              <w:rPr>
                <w:vertAlign w:val="subscript"/>
              </w:rPr>
              <w:t>gas</w:t>
            </w:r>
          </w:p>
        </w:tc>
        <w:tc>
          <w:tcPr>
            <w:tcW w:w="546" w:type="dxa"/>
          </w:tcPr>
          <w:p w14:paraId="0617B2C1" w14:textId="77777777" w:rsidR="00175D18" w:rsidRPr="00DE12A3" w:rsidRDefault="00175D18" w:rsidP="00C917D6">
            <w:pPr>
              <w:pStyle w:val="NormalLeft"/>
            </w:pPr>
            <w:r w:rsidRPr="00DE12A3">
              <w:t>=</w:t>
            </w:r>
          </w:p>
        </w:tc>
        <w:tc>
          <w:tcPr>
            <w:tcW w:w="6318" w:type="dxa"/>
          </w:tcPr>
          <w:p w14:paraId="56315760" w14:textId="313C67FE" w:rsidR="00175D18" w:rsidRPr="00DE12A3" w:rsidRDefault="00716C4F" w:rsidP="00C917D6">
            <w:pPr>
              <w:spacing w:before="120" w:after="120"/>
              <w:rPr>
                <w:rFonts w:cs="Times New Roman"/>
                <w:color w:val="auto"/>
              </w:rPr>
            </w:pPr>
            <w:r w:rsidRPr="00DE12A3">
              <w:rPr>
                <w:rFonts w:cs="Times New Roman"/>
                <w:color w:val="auto"/>
              </w:rPr>
              <w:t xml:space="preserve">Genel </w:t>
            </w:r>
            <w:r w:rsidR="00175D18" w:rsidRPr="00DE12A3">
              <w:rPr>
                <w:rFonts w:cs="Times New Roman"/>
                <w:color w:val="auto"/>
              </w:rPr>
              <w:t>emisyon molar kütlesi [g/mol]</w:t>
            </w:r>
          </w:p>
        </w:tc>
      </w:tr>
      <w:tr w:rsidR="00DE12A3" w:rsidRPr="00DE12A3" w14:paraId="402A2796" w14:textId="77777777" w:rsidTr="009F4766">
        <w:tc>
          <w:tcPr>
            <w:tcW w:w="936" w:type="dxa"/>
          </w:tcPr>
          <w:p w14:paraId="0320EB52" w14:textId="77777777" w:rsidR="00175D18" w:rsidRPr="00DE12A3" w:rsidRDefault="00175D18" w:rsidP="00C917D6">
            <w:pPr>
              <w:pStyle w:val="NormalLeft"/>
            </w:pPr>
            <w:r w:rsidRPr="00DE12A3">
              <w:rPr>
                <w:i/>
                <w:iCs/>
              </w:rPr>
              <w:t>ṅ</w:t>
            </w:r>
            <w:r w:rsidRPr="00DE12A3">
              <w:rPr>
                <w:i/>
                <w:iCs/>
                <w:vertAlign w:val="subscript"/>
              </w:rPr>
              <w:t>exh</w:t>
            </w:r>
          </w:p>
        </w:tc>
        <w:tc>
          <w:tcPr>
            <w:tcW w:w="546" w:type="dxa"/>
          </w:tcPr>
          <w:p w14:paraId="20F048DC" w14:textId="77777777" w:rsidR="00175D18" w:rsidRPr="00DE12A3" w:rsidRDefault="00175D18" w:rsidP="00C917D6">
            <w:pPr>
              <w:pStyle w:val="NormalLeft"/>
            </w:pPr>
            <w:r w:rsidRPr="00DE12A3">
              <w:t>=</w:t>
            </w:r>
          </w:p>
        </w:tc>
        <w:tc>
          <w:tcPr>
            <w:tcW w:w="6318" w:type="dxa"/>
          </w:tcPr>
          <w:p w14:paraId="3D27EFE0" w14:textId="2556A49D" w:rsidR="00175D18" w:rsidRPr="00DE12A3" w:rsidRDefault="00716C4F" w:rsidP="00C917D6">
            <w:pPr>
              <w:spacing w:before="120" w:after="120"/>
              <w:rPr>
                <w:rFonts w:cs="Times New Roman"/>
                <w:color w:val="auto"/>
              </w:rPr>
            </w:pPr>
            <w:r w:rsidRPr="00DE12A3">
              <w:rPr>
                <w:rFonts w:cs="Times New Roman"/>
                <w:color w:val="auto"/>
              </w:rPr>
              <w:t xml:space="preserve">Yaş </w:t>
            </w:r>
            <w:r w:rsidR="00175D18" w:rsidRPr="00DE12A3">
              <w:rPr>
                <w:rFonts w:cs="Times New Roman"/>
                <w:color w:val="auto"/>
              </w:rPr>
              <w:t>bazda egzoz gazı molar akış hızı [mol/s]</w:t>
            </w:r>
          </w:p>
        </w:tc>
      </w:tr>
      <w:tr w:rsidR="00DE12A3" w:rsidRPr="00DE12A3" w14:paraId="3A7B292A" w14:textId="77777777" w:rsidTr="009F4766">
        <w:tc>
          <w:tcPr>
            <w:tcW w:w="936" w:type="dxa"/>
          </w:tcPr>
          <w:p w14:paraId="2C3D7CB6" w14:textId="3C7A1D7C" w:rsidR="00175D18" w:rsidRPr="00DE12A3" w:rsidRDefault="00175D18" w:rsidP="00C917D6">
            <w:pPr>
              <w:pStyle w:val="NormalLeft"/>
            </w:pPr>
            <w:r w:rsidRPr="00DE12A3">
              <w:rPr>
                <w:noProof/>
                <w:lang w:val="tr-TR"/>
              </w:rPr>
              <w:drawing>
                <wp:inline distT="0" distB="0" distL="0" distR="0" wp14:anchorId="2B14923B" wp14:editId="4F3AAC10">
                  <wp:extent cx="480695" cy="304800"/>
                  <wp:effectExtent l="0" t="0" r="0" b="0"/>
                  <wp:docPr id="25" name="Resim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480695" cy="304800"/>
                          </a:xfrm>
                          <a:prstGeom prst="rect">
                            <a:avLst/>
                          </a:prstGeom>
                          <a:noFill/>
                          <a:ln>
                            <a:noFill/>
                          </a:ln>
                        </pic:spPr>
                      </pic:pic>
                    </a:graphicData>
                  </a:graphic>
                </wp:inline>
              </w:drawing>
            </w:r>
          </w:p>
        </w:tc>
        <w:tc>
          <w:tcPr>
            <w:tcW w:w="546" w:type="dxa"/>
          </w:tcPr>
          <w:p w14:paraId="4DE61614" w14:textId="77777777" w:rsidR="00175D18" w:rsidRPr="00DE12A3" w:rsidRDefault="00175D18" w:rsidP="00C917D6">
            <w:pPr>
              <w:pStyle w:val="NormalLeft"/>
            </w:pPr>
            <w:r w:rsidRPr="00DE12A3">
              <w:t>=</w:t>
            </w:r>
          </w:p>
        </w:tc>
        <w:tc>
          <w:tcPr>
            <w:tcW w:w="6318" w:type="dxa"/>
          </w:tcPr>
          <w:p w14:paraId="0EE9CD71" w14:textId="7EF16760" w:rsidR="00175D18" w:rsidRPr="00DE12A3" w:rsidRDefault="00716C4F" w:rsidP="00C917D6">
            <w:pPr>
              <w:spacing w:before="120" w:after="120"/>
              <w:rPr>
                <w:rFonts w:cs="Times New Roman"/>
                <w:color w:val="auto"/>
              </w:rPr>
            </w:pPr>
            <w:r w:rsidRPr="00DE12A3">
              <w:rPr>
                <w:rFonts w:cs="Times New Roman"/>
                <w:color w:val="auto"/>
              </w:rPr>
              <w:t xml:space="preserve">Yaş </w:t>
            </w:r>
            <w:r w:rsidR="00175D18" w:rsidRPr="00DE12A3">
              <w:rPr>
                <w:rFonts w:cs="Times New Roman"/>
                <w:color w:val="auto"/>
              </w:rPr>
              <w:t>bazda ortalama gaz emisyonu molar oranı [mol/mol]</w:t>
            </w:r>
          </w:p>
        </w:tc>
      </w:tr>
      <w:tr w:rsidR="00175D18" w:rsidRPr="00DE12A3" w14:paraId="79A23611" w14:textId="77777777" w:rsidTr="009F4766">
        <w:tc>
          <w:tcPr>
            <w:tcW w:w="936" w:type="dxa"/>
          </w:tcPr>
          <w:p w14:paraId="21E7042E" w14:textId="77777777" w:rsidR="00175D18" w:rsidRPr="00DE12A3" w:rsidRDefault="00175D18" w:rsidP="00C917D6">
            <w:pPr>
              <w:pStyle w:val="NormalLeft"/>
            </w:pPr>
            <w:r w:rsidRPr="00DE12A3">
              <w:t>Δ</w:t>
            </w:r>
            <w:r w:rsidRPr="00DE12A3">
              <w:rPr>
                <w:i/>
                <w:iCs/>
              </w:rPr>
              <w:t>t</w:t>
            </w:r>
          </w:p>
        </w:tc>
        <w:tc>
          <w:tcPr>
            <w:tcW w:w="546" w:type="dxa"/>
          </w:tcPr>
          <w:p w14:paraId="36981CF9" w14:textId="77777777" w:rsidR="00175D18" w:rsidRPr="00DE12A3" w:rsidRDefault="00175D18" w:rsidP="00C917D6">
            <w:pPr>
              <w:pStyle w:val="NormalLeft"/>
            </w:pPr>
            <w:r w:rsidRPr="00DE12A3">
              <w:t>=</w:t>
            </w:r>
          </w:p>
        </w:tc>
        <w:tc>
          <w:tcPr>
            <w:tcW w:w="6318" w:type="dxa"/>
          </w:tcPr>
          <w:p w14:paraId="049C4225" w14:textId="4163B15C" w:rsidR="00175D18" w:rsidRPr="00DE12A3" w:rsidRDefault="00716C4F" w:rsidP="00C917D6">
            <w:pPr>
              <w:spacing w:before="120" w:after="120"/>
              <w:rPr>
                <w:rFonts w:cs="Times New Roman"/>
                <w:color w:val="auto"/>
              </w:rPr>
            </w:pPr>
            <w:r w:rsidRPr="00DE12A3">
              <w:rPr>
                <w:rFonts w:cs="Times New Roman"/>
                <w:color w:val="auto"/>
              </w:rPr>
              <w:t xml:space="preserve">Test </w:t>
            </w:r>
            <w:r w:rsidR="00175D18" w:rsidRPr="00DE12A3">
              <w:rPr>
                <w:rFonts w:cs="Times New Roman"/>
                <w:color w:val="auto"/>
              </w:rPr>
              <w:t>aralığının süresi</w:t>
            </w:r>
          </w:p>
        </w:tc>
      </w:tr>
    </w:tbl>
    <w:p w14:paraId="5F0125F5" w14:textId="77777777" w:rsidR="002D7B36" w:rsidRPr="00DE12A3" w:rsidRDefault="002D7B36" w:rsidP="00C917D6">
      <w:pPr>
        <w:pStyle w:val="Gvdemetni250"/>
        <w:shd w:val="clear" w:color="auto" w:fill="auto"/>
        <w:spacing w:before="120" w:after="120" w:line="240" w:lineRule="auto"/>
        <w:ind w:left="1134" w:hanging="1134"/>
        <w:rPr>
          <w:sz w:val="24"/>
          <w:szCs w:val="24"/>
        </w:rPr>
      </w:pPr>
    </w:p>
    <w:p w14:paraId="4A1A048A" w14:textId="1604FAEC" w:rsidR="002D7B36" w:rsidRPr="00DE12A3" w:rsidRDefault="00242DA0" w:rsidP="00E20716">
      <w:pPr>
        <w:pStyle w:val="Gvdemetni250"/>
        <w:numPr>
          <w:ilvl w:val="0"/>
          <w:numId w:val="439"/>
        </w:numPr>
        <w:shd w:val="clear" w:color="auto" w:fill="auto"/>
        <w:spacing w:before="120" w:after="120" w:line="240" w:lineRule="auto"/>
        <w:ind w:left="1701" w:hanging="567"/>
        <w:rPr>
          <w:sz w:val="24"/>
          <w:szCs w:val="24"/>
        </w:rPr>
      </w:pPr>
      <w:r w:rsidRPr="00DE12A3">
        <w:rPr>
          <w:sz w:val="24"/>
          <w:szCs w:val="24"/>
        </w:rPr>
        <w:t xml:space="preserve">Toplu örnekleme, akış hızının değişken veya sabit olmasına bakılmaksızın, (7-108) </w:t>
      </w:r>
      <w:r w:rsidR="00962CA1" w:rsidRPr="00DE12A3">
        <w:rPr>
          <w:sz w:val="24"/>
          <w:szCs w:val="24"/>
        </w:rPr>
        <w:t>numaralı</w:t>
      </w:r>
      <w:r w:rsidR="00962CA1" w:rsidRPr="00DE12A3" w:rsidDel="00962CA1">
        <w:rPr>
          <w:sz w:val="24"/>
          <w:szCs w:val="24"/>
        </w:rPr>
        <w:t xml:space="preserve"> </w:t>
      </w:r>
      <w:r w:rsidRPr="00DE12A3">
        <w:rPr>
          <w:sz w:val="24"/>
          <w:szCs w:val="24"/>
        </w:rPr>
        <w:t>denklem ile hesaplanmalıdır:</w:t>
      </w:r>
    </w:p>
    <w:p w14:paraId="632D087C" w14:textId="7D7F72B3" w:rsidR="002D7B36" w:rsidRPr="00DE12A3" w:rsidRDefault="00522021" w:rsidP="00522021">
      <w:pPr>
        <w:widowControl/>
        <w:tabs>
          <w:tab w:val="left" w:pos="8789"/>
        </w:tabs>
        <w:spacing w:before="120" w:after="120"/>
        <w:ind w:left="1134" w:hanging="1134"/>
        <w:jc w:val="center"/>
        <w:rPr>
          <w:rFonts w:cs="Times New Roman"/>
          <w:color w:val="auto"/>
          <w:lang w:eastAsia="en-US"/>
        </w:rPr>
      </w:pPr>
      <w:r w:rsidRPr="00DE12A3">
        <w:rPr>
          <w:noProof/>
          <w:color w:val="auto"/>
        </w:rPr>
        <w:lastRenderedPageBreak/>
        <w:drawing>
          <wp:inline distT="0" distB="0" distL="0" distR="0" wp14:anchorId="18E7B85B" wp14:editId="0C984D09">
            <wp:extent cx="3051810" cy="556260"/>
            <wp:effectExtent l="0" t="0" r="0" b="0"/>
            <wp:docPr id="129" name="Resim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6"/>
                    <a:stretch>
                      <a:fillRect/>
                    </a:stretch>
                  </pic:blipFill>
                  <pic:spPr>
                    <a:xfrm>
                      <a:off x="0" y="0"/>
                      <a:ext cx="3051810" cy="556260"/>
                    </a:xfrm>
                    <a:prstGeom prst="rect">
                      <a:avLst/>
                    </a:prstGeom>
                  </pic:spPr>
                </pic:pic>
              </a:graphicData>
            </a:graphic>
          </wp:inline>
        </w:drawing>
      </w:r>
      <w:r w:rsidR="00CE5167" w:rsidRPr="00DE12A3">
        <w:rPr>
          <w:rFonts w:cs="Times New Roman"/>
          <w:color w:val="auto"/>
          <w:lang w:eastAsia="en-US"/>
        </w:rPr>
        <w:t>[bkz. (</w:t>
      </w:r>
      <w:r w:rsidRPr="00DE12A3">
        <w:rPr>
          <w:rFonts w:cs="Times New Roman"/>
          <w:color w:val="auto"/>
          <w:lang w:eastAsia="en-US"/>
        </w:rPr>
        <w:t>7-108</w:t>
      </w:r>
      <w:r w:rsidR="00CE5167" w:rsidRPr="00DE12A3">
        <w:rPr>
          <w:rFonts w:cs="Times New Roman"/>
          <w:color w:val="auto"/>
          <w:lang w:eastAsia="en-US"/>
        </w:rPr>
        <w:t xml:space="preserve">) </w:t>
      </w:r>
      <w:r w:rsidR="00962CA1" w:rsidRPr="00DE12A3">
        <w:rPr>
          <w:color w:val="auto"/>
        </w:rPr>
        <w:t>numaralı</w:t>
      </w:r>
      <w:r w:rsidR="00962CA1" w:rsidRPr="00DE12A3">
        <w:rPr>
          <w:rFonts w:cs="Times New Roman"/>
          <w:color w:val="auto"/>
          <w:lang w:eastAsia="en-US"/>
        </w:rPr>
        <w:t xml:space="preserve"> </w:t>
      </w:r>
      <w:r w:rsidR="00CE5167" w:rsidRPr="00DE12A3">
        <w:rPr>
          <w:rFonts w:cs="Times New Roman"/>
          <w:color w:val="auto"/>
          <w:lang w:eastAsia="en-US"/>
        </w:rPr>
        <w:t>denklem]</w:t>
      </w:r>
    </w:p>
    <w:p w14:paraId="51AB5B88" w14:textId="77777777" w:rsidR="002D7B36" w:rsidRPr="00DE12A3" w:rsidRDefault="00242DA0" w:rsidP="00C917D6">
      <w:pPr>
        <w:pStyle w:val="Gvdemetni250"/>
        <w:shd w:val="clear" w:color="auto" w:fill="auto"/>
        <w:spacing w:before="120" w:after="120" w:line="240" w:lineRule="auto"/>
        <w:ind w:left="1134" w:firstLine="0"/>
        <w:rPr>
          <w:sz w:val="24"/>
          <w:szCs w:val="24"/>
        </w:rPr>
      </w:pPr>
      <w:r w:rsidRPr="00DE12A3">
        <w:rPr>
          <w:sz w:val="24"/>
          <w:szCs w:val="24"/>
        </w:rPr>
        <w:t>Burada:</w:t>
      </w:r>
    </w:p>
    <w:tbl>
      <w:tblPr>
        <w:tblW w:w="0" w:type="auto"/>
        <w:tblInd w:w="1186" w:type="dxa"/>
        <w:tblLayout w:type="fixed"/>
        <w:tblLook w:val="0000" w:firstRow="0" w:lastRow="0" w:firstColumn="0" w:lastColumn="0" w:noHBand="0" w:noVBand="0"/>
      </w:tblPr>
      <w:tblGrid>
        <w:gridCol w:w="947"/>
        <w:gridCol w:w="553"/>
        <w:gridCol w:w="6393"/>
      </w:tblGrid>
      <w:tr w:rsidR="00DE12A3" w:rsidRPr="00DE12A3" w14:paraId="6DFFBC0C" w14:textId="77777777" w:rsidTr="009F4766">
        <w:tc>
          <w:tcPr>
            <w:tcW w:w="947" w:type="dxa"/>
          </w:tcPr>
          <w:p w14:paraId="35E34C1F" w14:textId="77777777" w:rsidR="00175D18" w:rsidRPr="00DE12A3" w:rsidRDefault="00175D18" w:rsidP="00C917D6">
            <w:pPr>
              <w:pStyle w:val="NormalLeft"/>
            </w:pPr>
            <w:r w:rsidRPr="00DE12A3">
              <w:rPr>
                <w:i/>
                <w:iCs/>
              </w:rPr>
              <w:t>M</w:t>
            </w:r>
            <w:r w:rsidRPr="00DE12A3">
              <w:rPr>
                <w:vertAlign w:val="subscript"/>
              </w:rPr>
              <w:t>gas</w:t>
            </w:r>
          </w:p>
        </w:tc>
        <w:tc>
          <w:tcPr>
            <w:tcW w:w="553" w:type="dxa"/>
          </w:tcPr>
          <w:p w14:paraId="6BEC0153" w14:textId="77777777" w:rsidR="00175D18" w:rsidRPr="00DE12A3" w:rsidRDefault="00175D18" w:rsidP="00C917D6">
            <w:pPr>
              <w:pStyle w:val="NormalLeft"/>
            </w:pPr>
            <w:r w:rsidRPr="00DE12A3">
              <w:t>=</w:t>
            </w:r>
          </w:p>
        </w:tc>
        <w:tc>
          <w:tcPr>
            <w:tcW w:w="6393" w:type="dxa"/>
          </w:tcPr>
          <w:p w14:paraId="57FBB29B" w14:textId="1DBE2E77" w:rsidR="00175D18" w:rsidRPr="00DE12A3" w:rsidRDefault="001A234D" w:rsidP="00C917D6">
            <w:pPr>
              <w:spacing w:before="120" w:after="120"/>
              <w:rPr>
                <w:rFonts w:cs="Times New Roman"/>
                <w:color w:val="auto"/>
              </w:rPr>
            </w:pPr>
            <w:r w:rsidRPr="00DE12A3">
              <w:rPr>
                <w:rFonts w:cs="Times New Roman"/>
                <w:color w:val="auto"/>
              </w:rPr>
              <w:t>Genel</w:t>
            </w:r>
            <w:r w:rsidR="00175D18" w:rsidRPr="00DE12A3">
              <w:rPr>
                <w:rFonts w:cs="Times New Roman"/>
                <w:color w:val="auto"/>
              </w:rPr>
              <w:t xml:space="preserve"> emisyon molar kütlesi [g/mol]</w:t>
            </w:r>
          </w:p>
        </w:tc>
      </w:tr>
      <w:tr w:rsidR="00DE12A3" w:rsidRPr="00DE12A3" w14:paraId="5E551B2B" w14:textId="77777777" w:rsidTr="009F4766">
        <w:tc>
          <w:tcPr>
            <w:tcW w:w="947" w:type="dxa"/>
          </w:tcPr>
          <w:p w14:paraId="06DE0D1A" w14:textId="77777777" w:rsidR="00175D18" w:rsidRPr="00DE12A3" w:rsidRDefault="00175D18" w:rsidP="00C917D6">
            <w:pPr>
              <w:pStyle w:val="NormalLeft"/>
            </w:pPr>
            <w:r w:rsidRPr="00DE12A3">
              <w:rPr>
                <w:i/>
                <w:iCs/>
              </w:rPr>
              <w:t>ṅ</w:t>
            </w:r>
            <w:r w:rsidRPr="00DE12A3">
              <w:rPr>
                <w:i/>
                <w:iCs/>
                <w:vertAlign w:val="subscript"/>
              </w:rPr>
              <w:t>exhi</w:t>
            </w:r>
          </w:p>
        </w:tc>
        <w:tc>
          <w:tcPr>
            <w:tcW w:w="553" w:type="dxa"/>
          </w:tcPr>
          <w:p w14:paraId="0FA951ED" w14:textId="77777777" w:rsidR="00175D18" w:rsidRPr="00DE12A3" w:rsidRDefault="00175D18" w:rsidP="00C917D6">
            <w:pPr>
              <w:pStyle w:val="NormalLeft"/>
            </w:pPr>
            <w:r w:rsidRPr="00DE12A3">
              <w:t>=</w:t>
            </w:r>
          </w:p>
        </w:tc>
        <w:tc>
          <w:tcPr>
            <w:tcW w:w="6393" w:type="dxa"/>
          </w:tcPr>
          <w:p w14:paraId="6DB89C67" w14:textId="6FBB61AA" w:rsidR="00175D18" w:rsidRPr="00DE12A3" w:rsidRDefault="001A234D" w:rsidP="00C917D6">
            <w:pPr>
              <w:spacing w:before="120" w:after="120"/>
              <w:rPr>
                <w:rFonts w:cs="Times New Roman"/>
                <w:color w:val="auto"/>
              </w:rPr>
            </w:pPr>
            <w:r w:rsidRPr="00DE12A3">
              <w:rPr>
                <w:rFonts w:cs="Times New Roman"/>
                <w:color w:val="auto"/>
              </w:rPr>
              <w:t>Yaş</w:t>
            </w:r>
            <w:r w:rsidR="00175D18" w:rsidRPr="00DE12A3">
              <w:rPr>
                <w:rFonts w:cs="Times New Roman"/>
                <w:color w:val="auto"/>
              </w:rPr>
              <w:t xml:space="preserve"> bazda anlık egzoz gazı molar akış hızı [mol/s]</w:t>
            </w:r>
          </w:p>
        </w:tc>
      </w:tr>
      <w:tr w:rsidR="00DE12A3" w:rsidRPr="00DE12A3" w14:paraId="68D42F7F" w14:textId="77777777" w:rsidTr="009F4766">
        <w:tc>
          <w:tcPr>
            <w:tcW w:w="947" w:type="dxa"/>
          </w:tcPr>
          <w:p w14:paraId="0200354A" w14:textId="74096C0F" w:rsidR="00175D18" w:rsidRPr="00DE12A3" w:rsidRDefault="00175D18" w:rsidP="00C917D6">
            <w:pPr>
              <w:pStyle w:val="NormalLeft"/>
            </w:pPr>
            <w:r w:rsidRPr="00DE12A3">
              <w:rPr>
                <w:noProof/>
                <w:lang w:val="tr-TR"/>
              </w:rPr>
              <w:drawing>
                <wp:inline distT="0" distB="0" distL="0" distR="0" wp14:anchorId="49CFFACE" wp14:editId="4AD594F1">
                  <wp:extent cx="480695" cy="304800"/>
                  <wp:effectExtent l="0" t="0" r="0" b="0"/>
                  <wp:docPr id="35" name="Resim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480695" cy="304800"/>
                          </a:xfrm>
                          <a:prstGeom prst="rect">
                            <a:avLst/>
                          </a:prstGeom>
                          <a:noFill/>
                          <a:ln>
                            <a:noFill/>
                          </a:ln>
                        </pic:spPr>
                      </pic:pic>
                    </a:graphicData>
                  </a:graphic>
                </wp:inline>
              </w:drawing>
            </w:r>
          </w:p>
        </w:tc>
        <w:tc>
          <w:tcPr>
            <w:tcW w:w="553" w:type="dxa"/>
          </w:tcPr>
          <w:p w14:paraId="5D09043D" w14:textId="77777777" w:rsidR="00175D18" w:rsidRPr="00DE12A3" w:rsidRDefault="00175D18" w:rsidP="00C917D6">
            <w:pPr>
              <w:pStyle w:val="NormalLeft"/>
            </w:pPr>
            <w:r w:rsidRPr="00DE12A3">
              <w:t>=</w:t>
            </w:r>
          </w:p>
        </w:tc>
        <w:tc>
          <w:tcPr>
            <w:tcW w:w="6393" w:type="dxa"/>
          </w:tcPr>
          <w:p w14:paraId="3DF48662" w14:textId="2BE34A75" w:rsidR="00175D18" w:rsidRPr="00DE12A3" w:rsidRDefault="001A234D" w:rsidP="00C917D6">
            <w:pPr>
              <w:spacing w:before="120" w:after="120"/>
              <w:rPr>
                <w:rFonts w:cs="Times New Roman"/>
                <w:color w:val="auto"/>
              </w:rPr>
            </w:pPr>
            <w:r w:rsidRPr="00DE12A3">
              <w:rPr>
                <w:rFonts w:cs="Times New Roman"/>
                <w:color w:val="auto"/>
              </w:rPr>
              <w:t>Yaş</w:t>
            </w:r>
            <w:r w:rsidR="00175D18" w:rsidRPr="00DE12A3">
              <w:rPr>
                <w:rFonts w:cs="Times New Roman"/>
                <w:color w:val="auto"/>
              </w:rPr>
              <w:t xml:space="preserve"> bazda ortalama gaz emisyonu molar oranı [mol/mol]</w:t>
            </w:r>
          </w:p>
        </w:tc>
      </w:tr>
      <w:tr w:rsidR="00DE12A3" w:rsidRPr="00DE12A3" w14:paraId="17EADBD7" w14:textId="77777777" w:rsidTr="009F4766">
        <w:tc>
          <w:tcPr>
            <w:tcW w:w="947" w:type="dxa"/>
          </w:tcPr>
          <w:p w14:paraId="2F2F096F" w14:textId="77777777" w:rsidR="00175D18" w:rsidRPr="00DE12A3" w:rsidRDefault="00175D18" w:rsidP="00C917D6">
            <w:pPr>
              <w:pStyle w:val="NormalLeft"/>
            </w:pPr>
            <w:r w:rsidRPr="00DE12A3">
              <w:rPr>
                <w:i/>
                <w:iCs/>
              </w:rPr>
              <w:t>f</w:t>
            </w:r>
          </w:p>
        </w:tc>
        <w:tc>
          <w:tcPr>
            <w:tcW w:w="553" w:type="dxa"/>
          </w:tcPr>
          <w:p w14:paraId="3A89A930" w14:textId="77777777" w:rsidR="00175D18" w:rsidRPr="00DE12A3" w:rsidRDefault="00175D18" w:rsidP="00C917D6">
            <w:pPr>
              <w:pStyle w:val="NormalLeft"/>
            </w:pPr>
            <w:r w:rsidRPr="00DE12A3">
              <w:t>=</w:t>
            </w:r>
          </w:p>
        </w:tc>
        <w:tc>
          <w:tcPr>
            <w:tcW w:w="6393" w:type="dxa"/>
          </w:tcPr>
          <w:p w14:paraId="4E2C6350" w14:textId="3FFB3A10" w:rsidR="00175D18" w:rsidRPr="00DE12A3" w:rsidRDefault="001A234D" w:rsidP="00C917D6">
            <w:pPr>
              <w:spacing w:before="120" w:after="120"/>
              <w:rPr>
                <w:rFonts w:cs="Times New Roman"/>
                <w:color w:val="auto"/>
              </w:rPr>
            </w:pPr>
            <w:r w:rsidRPr="00DE12A3">
              <w:rPr>
                <w:rFonts w:cs="Times New Roman"/>
                <w:color w:val="auto"/>
              </w:rPr>
              <w:t>Veri</w:t>
            </w:r>
            <w:r w:rsidR="00175D18" w:rsidRPr="00DE12A3">
              <w:rPr>
                <w:rFonts w:cs="Times New Roman"/>
                <w:color w:val="auto"/>
              </w:rPr>
              <w:t xml:space="preserve"> örnekleme hızı [Hz]</w:t>
            </w:r>
          </w:p>
        </w:tc>
      </w:tr>
      <w:tr w:rsidR="00175D18" w:rsidRPr="00DE12A3" w14:paraId="491AD3EC" w14:textId="77777777" w:rsidTr="009F4766">
        <w:tc>
          <w:tcPr>
            <w:tcW w:w="947" w:type="dxa"/>
          </w:tcPr>
          <w:p w14:paraId="28009089" w14:textId="77777777" w:rsidR="00175D18" w:rsidRPr="00DE12A3" w:rsidRDefault="00175D18" w:rsidP="00C917D6">
            <w:pPr>
              <w:pStyle w:val="NormalLeft"/>
            </w:pPr>
            <w:r w:rsidRPr="00DE12A3">
              <w:t>N</w:t>
            </w:r>
          </w:p>
        </w:tc>
        <w:tc>
          <w:tcPr>
            <w:tcW w:w="553" w:type="dxa"/>
          </w:tcPr>
          <w:p w14:paraId="38B5B1E9" w14:textId="77777777" w:rsidR="00175D18" w:rsidRPr="00DE12A3" w:rsidRDefault="00175D18" w:rsidP="00C917D6">
            <w:pPr>
              <w:pStyle w:val="NormalLeft"/>
            </w:pPr>
            <w:r w:rsidRPr="00DE12A3">
              <w:t>=</w:t>
            </w:r>
          </w:p>
        </w:tc>
        <w:tc>
          <w:tcPr>
            <w:tcW w:w="6393" w:type="dxa"/>
          </w:tcPr>
          <w:p w14:paraId="2D76FED4" w14:textId="277B2AB9" w:rsidR="00175D18" w:rsidRPr="00DE12A3" w:rsidRDefault="001A234D" w:rsidP="00C917D6">
            <w:pPr>
              <w:spacing w:before="120" w:after="120"/>
              <w:rPr>
                <w:rFonts w:cs="Times New Roman"/>
                <w:color w:val="auto"/>
              </w:rPr>
            </w:pPr>
            <w:r w:rsidRPr="00DE12A3">
              <w:rPr>
                <w:rFonts w:cs="Times New Roman"/>
                <w:color w:val="auto"/>
              </w:rPr>
              <w:t>Ölçüm</w:t>
            </w:r>
            <w:r w:rsidR="00175D18" w:rsidRPr="00DE12A3">
              <w:rPr>
                <w:rFonts w:cs="Times New Roman"/>
                <w:color w:val="auto"/>
              </w:rPr>
              <w:t xml:space="preserve"> sayısı [-]</w:t>
            </w:r>
          </w:p>
        </w:tc>
      </w:tr>
    </w:tbl>
    <w:p w14:paraId="2540D476" w14:textId="77777777" w:rsidR="002D7B36" w:rsidRPr="00DE12A3" w:rsidRDefault="002D7B36" w:rsidP="00E20716">
      <w:pPr>
        <w:pStyle w:val="ListeParagraf"/>
        <w:numPr>
          <w:ilvl w:val="0"/>
          <w:numId w:val="440"/>
        </w:numPr>
        <w:spacing w:before="120" w:after="120"/>
        <w:ind w:left="1134" w:hanging="1134"/>
        <w:contextualSpacing w:val="0"/>
        <w:jc w:val="both"/>
        <w:rPr>
          <w:rFonts w:eastAsia="Times New Roman" w:cs="Times New Roman"/>
          <w:vanish/>
          <w:color w:val="auto"/>
          <w:spacing w:val="3"/>
          <w:lang w:eastAsia="en-US"/>
        </w:rPr>
      </w:pPr>
    </w:p>
    <w:p w14:paraId="43237089" w14:textId="77777777" w:rsidR="002D7B36" w:rsidRPr="00DE12A3" w:rsidRDefault="002D7B36" w:rsidP="00E20716">
      <w:pPr>
        <w:pStyle w:val="ListeParagraf"/>
        <w:numPr>
          <w:ilvl w:val="0"/>
          <w:numId w:val="440"/>
        </w:numPr>
        <w:spacing w:before="120" w:after="120"/>
        <w:ind w:left="1134" w:hanging="1134"/>
        <w:contextualSpacing w:val="0"/>
        <w:jc w:val="both"/>
        <w:rPr>
          <w:rFonts w:eastAsia="Times New Roman" w:cs="Times New Roman"/>
          <w:vanish/>
          <w:color w:val="auto"/>
          <w:spacing w:val="3"/>
          <w:lang w:eastAsia="en-US"/>
        </w:rPr>
      </w:pPr>
    </w:p>
    <w:p w14:paraId="41A0FE0D" w14:textId="77777777" w:rsidR="002D7B36" w:rsidRPr="00DE12A3" w:rsidRDefault="002D7B36" w:rsidP="00E20716">
      <w:pPr>
        <w:pStyle w:val="ListeParagraf"/>
        <w:numPr>
          <w:ilvl w:val="0"/>
          <w:numId w:val="440"/>
        </w:numPr>
        <w:spacing w:before="120" w:after="120"/>
        <w:ind w:left="1134" w:hanging="1134"/>
        <w:contextualSpacing w:val="0"/>
        <w:jc w:val="both"/>
        <w:rPr>
          <w:rFonts w:eastAsia="Times New Roman" w:cs="Times New Roman"/>
          <w:vanish/>
          <w:color w:val="auto"/>
          <w:spacing w:val="3"/>
          <w:lang w:eastAsia="en-US"/>
        </w:rPr>
      </w:pPr>
    </w:p>
    <w:p w14:paraId="583F2119" w14:textId="581AEDEC" w:rsidR="002D7B36" w:rsidRPr="00DE12A3" w:rsidRDefault="00242DA0" w:rsidP="00E20716">
      <w:pPr>
        <w:pStyle w:val="Gvdemetni250"/>
        <w:numPr>
          <w:ilvl w:val="0"/>
          <w:numId w:val="440"/>
        </w:numPr>
        <w:shd w:val="clear" w:color="auto" w:fill="auto"/>
        <w:spacing w:before="120" w:after="120" w:line="240" w:lineRule="auto"/>
        <w:ind w:left="1701" w:hanging="567"/>
        <w:rPr>
          <w:sz w:val="24"/>
          <w:szCs w:val="24"/>
        </w:rPr>
      </w:pPr>
      <w:r w:rsidRPr="00DE12A3">
        <w:rPr>
          <w:sz w:val="24"/>
          <w:szCs w:val="24"/>
        </w:rPr>
        <w:t>Seyreltilmiş egzoz gazı olması durumunda, kirletici madde kütlesi için hesaplanan değerler, seyreltme havası nedeniyle arka plan emisyon kütlesi çıkarılarak düzeltilmelidir</w:t>
      </w:r>
      <w:r w:rsidR="00CE5167" w:rsidRPr="00DE12A3">
        <w:rPr>
          <w:sz w:val="24"/>
          <w:szCs w:val="24"/>
        </w:rPr>
        <w:t>.</w:t>
      </w:r>
    </w:p>
    <w:p w14:paraId="08E596E6" w14:textId="77777777" w:rsidR="002D7B36" w:rsidRPr="00DE12A3" w:rsidRDefault="002D7B36" w:rsidP="00E20716">
      <w:pPr>
        <w:pStyle w:val="ListeParagraf"/>
        <w:numPr>
          <w:ilvl w:val="0"/>
          <w:numId w:val="441"/>
        </w:numPr>
        <w:spacing w:before="120" w:after="120"/>
        <w:ind w:left="1701" w:hanging="567"/>
        <w:contextualSpacing w:val="0"/>
        <w:jc w:val="both"/>
        <w:rPr>
          <w:rFonts w:eastAsia="Times New Roman" w:cs="Times New Roman"/>
          <w:vanish/>
          <w:color w:val="auto"/>
          <w:spacing w:val="3"/>
          <w:lang w:eastAsia="en-US"/>
        </w:rPr>
      </w:pPr>
    </w:p>
    <w:p w14:paraId="6ADAAEB9" w14:textId="77777777" w:rsidR="002D7B36" w:rsidRPr="00DE12A3" w:rsidRDefault="002D7B36" w:rsidP="00E20716">
      <w:pPr>
        <w:pStyle w:val="ListeParagraf"/>
        <w:numPr>
          <w:ilvl w:val="0"/>
          <w:numId w:val="441"/>
        </w:numPr>
        <w:spacing w:before="120" w:after="120"/>
        <w:ind w:left="1701" w:hanging="567"/>
        <w:contextualSpacing w:val="0"/>
        <w:jc w:val="both"/>
        <w:rPr>
          <w:rFonts w:eastAsia="Times New Roman" w:cs="Times New Roman"/>
          <w:vanish/>
          <w:color w:val="auto"/>
          <w:spacing w:val="3"/>
          <w:lang w:eastAsia="en-US"/>
        </w:rPr>
      </w:pPr>
    </w:p>
    <w:p w14:paraId="626DDFBF" w14:textId="77777777" w:rsidR="002D7B36" w:rsidRPr="00DE12A3" w:rsidRDefault="002D7B36" w:rsidP="00E20716">
      <w:pPr>
        <w:pStyle w:val="ListeParagraf"/>
        <w:numPr>
          <w:ilvl w:val="0"/>
          <w:numId w:val="441"/>
        </w:numPr>
        <w:spacing w:before="120" w:after="120"/>
        <w:ind w:left="1701" w:hanging="567"/>
        <w:contextualSpacing w:val="0"/>
        <w:jc w:val="both"/>
        <w:rPr>
          <w:rFonts w:eastAsia="Times New Roman" w:cs="Times New Roman"/>
          <w:vanish/>
          <w:color w:val="auto"/>
          <w:spacing w:val="3"/>
          <w:lang w:eastAsia="en-US"/>
        </w:rPr>
      </w:pPr>
    </w:p>
    <w:p w14:paraId="2C2D9BFF" w14:textId="77777777" w:rsidR="002D7B36" w:rsidRPr="00DE12A3" w:rsidRDefault="002D7B36" w:rsidP="00E20716">
      <w:pPr>
        <w:pStyle w:val="ListeParagraf"/>
        <w:numPr>
          <w:ilvl w:val="0"/>
          <w:numId w:val="441"/>
        </w:numPr>
        <w:spacing w:before="120" w:after="120"/>
        <w:ind w:left="1701" w:hanging="567"/>
        <w:contextualSpacing w:val="0"/>
        <w:jc w:val="both"/>
        <w:rPr>
          <w:rFonts w:eastAsia="Times New Roman" w:cs="Times New Roman"/>
          <w:vanish/>
          <w:color w:val="auto"/>
          <w:spacing w:val="3"/>
          <w:lang w:eastAsia="en-US"/>
        </w:rPr>
      </w:pPr>
    </w:p>
    <w:p w14:paraId="6CC657E8" w14:textId="77777777" w:rsidR="002D7B36" w:rsidRPr="00DE12A3" w:rsidRDefault="002D7B36" w:rsidP="00E20716">
      <w:pPr>
        <w:pStyle w:val="ListeParagraf"/>
        <w:numPr>
          <w:ilvl w:val="0"/>
          <w:numId w:val="441"/>
        </w:numPr>
        <w:spacing w:before="120" w:after="120"/>
        <w:ind w:left="1701" w:hanging="567"/>
        <w:contextualSpacing w:val="0"/>
        <w:jc w:val="both"/>
        <w:rPr>
          <w:rFonts w:eastAsia="Times New Roman" w:cs="Times New Roman"/>
          <w:vanish/>
          <w:color w:val="auto"/>
          <w:spacing w:val="3"/>
          <w:lang w:eastAsia="en-US"/>
        </w:rPr>
      </w:pPr>
    </w:p>
    <w:p w14:paraId="10274A0F" w14:textId="77777777" w:rsidR="002D7B36" w:rsidRPr="00DE12A3" w:rsidRDefault="002D7B36" w:rsidP="00E20716">
      <w:pPr>
        <w:pStyle w:val="ListeParagraf"/>
        <w:numPr>
          <w:ilvl w:val="0"/>
          <w:numId w:val="441"/>
        </w:numPr>
        <w:spacing w:before="120" w:after="120"/>
        <w:ind w:left="1701" w:hanging="567"/>
        <w:contextualSpacing w:val="0"/>
        <w:jc w:val="both"/>
        <w:rPr>
          <w:rFonts w:eastAsia="Times New Roman" w:cs="Times New Roman"/>
          <w:vanish/>
          <w:color w:val="auto"/>
          <w:spacing w:val="3"/>
          <w:lang w:eastAsia="en-US"/>
        </w:rPr>
      </w:pPr>
    </w:p>
    <w:p w14:paraId="4E50CEC8" w14:textId="77777777" w:rsidR="002D7B36" w:rsidRPr="00DE12A3" w:rsidRDefault="002D7B36" w:rsidP="00E20716">
      <w:pPr>
        <w:pStyle w:val="ListeParagraf"/>
        <w:numPr>
          <w:ilvl w:val="0"/>
          <w:numId w:val="441"/>
        </w:numPr>
        <w:spacing w:before="120" w:after="120"/>
        <w:ind w:left="1701" w:hanging="567"/>
        <w:contextualSpacing w:val="0"/>
        <w:jc w:val="both"/>
        <w:rPr>
          <w:rFonts w:eastAsia="Times New Roman" w:cs="Times New Roman"/>
          <w:vanish/>
          <w:color w:val="auto"/>
          <w:spacing w:val="3"/>
          <w:lang w:eastAsia="en-US"/>
        </w:rPr>
      </w:pPr>
    </w:p>
    <w:p w14:paraId="0D19A461" w14:textId="77777777" w:rsidR="002D7B36" w:rsidRPr="00DE12A3" w:rsidRDefault="002D7B36" w:rsidP="00E20716">
      <w:pPr>
        <w:pStyle w:val="ListeParagraf"/>
        <w:numPr>
          <w:ilvl w:val="0"/>
          <w:numId w:val="441"/>
        </w:numPr>
        <w:spacing w:before="120" w:after="120"/>
        <w:ind w:left="1701" w:hanging="567"/>
        <w:contextualSpacing w:val="0"/>
        <w:jc w:val="both"/>
        <w:rPr>
          <w:rFonts w:eastAsia="Times New Roman" w:cs="Times New Roman"/>
          <w:vanish/>
          <w:color w:val="auto"/>
          <w:spacing w:val="3"/>
          <w:lang w:eastAsia="en-US"/>
        </w:rPr>
      </w:pPr>
    </w:p>
    <w:p w14:paraId="2BC3C8EC" w14:textId="1C266DCC" w:rsidR="002D7B36" w:rsidRPr="00DE12A3" w:rsidRDefault="00175D18" w:rsidP="00E20716">
      <w:pPr>
        <w:pStyle w:val="Gvdemetni250"/>
        <w:numPr>
          <w:ilvl w:val="0"/>
          <w:numId w:val="441"/>
        </w:numPr>
        <w:shd w:val="clear" w:color="auto" w:fill="auto"/>
        <w:spacing w:before="120" w:after="120" w:line="240" w:lineRule="auto"/>
        <w:ind w:left="2268" w:hanging="567"/>
        <w:rPr>
          <w:sz w:val="24"/>
          <w:szCs w:val="24"/>
        </w:rPr>
      </w:pPr>
      <w:r w:rsidRPr="00DE12A3">
        <w:rPr>
          <w:sz w:val="24"/>
          <w:szCs w:val="24"/>
        </w:rPr>
        <w:t xml:space="preserve">  </w:t>
      </w:r>
      <w:r w:rsidR="00242DA0" w:rsidRPr="00DE12A3">
        <w:rPr>
          <w:sz w:val="24"/>
          <w:szCs w:val="24"/>
        </w:rPr>
        <w:t>İlk olarak, seyreltme havası molar akış hızı nairdil [mol/sn], test aralığı boyunca belirlenmelidir. Bu, ölçülmüş bir miktar veya seyreltilmiş egzoz gazı akışından ve seyreltilmiş egzoz gazı içindeki akışkan ağırlıklı ortalama dilüsyon oranından hesaplanan bir miktar x</w:t>
      </w:r>
      <w:r w:rsidR="00242DA0" w:rsidRPr="00DE12A3">
        <w:rPr>
          <w:sz w:val="24"/>
          <w:szCs w:val="24"/>
          <w:vertAlign w:val="subscript"/>
        </w:rPr>
        <w:t xml:space="preserve">dil/exh </w:t>
      </w:r>
      <w:r w:rsidR="00242DA0" w:rsidRPr="00DE12A3">
        <w:rPr>
          <w:sz w:val="24"/>
          <w:szCs w:val="24"/>
        </w:rPr>
        <w:t>olabilir</w:t>
      </w:r>
      <w:r w:rsidR="00CE5167" w:rsidRPr="00DE12A3">
        <w:rPr>
          <w:sz w:val="24"/>
          <w:szCs w:val="24"/>
        </w:rPr>
        <w:t>.</w:t>
      </w:r>
    </w:p>
    <w:p w14:paraId="10FFDB9B" w14:textId="77777777" w:rsidR="002D7B36" w:rsidRPr="00DE12A3" w:rsidRDefault="002D7B36" w:rsidP="00E20716">
      <w:pPr>
        <w:pStyle w:val="ListeParagraf"/>
        <w:numPr>
          <w:ilvl w:val="0"/>
          <w:numId w:val="441"/>
        </w:numPr>
        <w:spacing w:before="120" w:after="120"/>
        <w:ind w:left="2268" w:hanging="567"/>
        <w:contextualSpacing w:val="0"/>
        <w:jc w:val="both"/>
        <w:rPr>
          <w:rFonts w:eastAsia="Times New Roman" w:cs="Times New Roman"/>
          <w:vanish/>
          <w:color w:val="auto"/>
          <w:spacing w:val="3"/>
          <w:lang w:eastAsia="en-US"/>
        </w:rPr>
      </w:pPr>
    </w:p>
    <w:p w14:paraId="429882EE" w14:textId="77777777" w:rsidR="002D7B36" w:rsidRPr="00DE12A3" w:rsidRDefault="002D7B36" w:rsidP="00E20716">
      <w:pPr>
        <w:pStyle w:val="ListeParagraf"/>
        <w:numPr>
          <w:ilvl w:val="0"/>
          <w:numId w:val="441"/>
        </w:numPr>
        <w:spacing w:before="120" w:after="120"/>
        <w:ind w:left="2268" w:hanging="567"/>
        <w:contextualSpacing w:val="0"/>
        <w:jc w:val="both"/>
        <w:rPr>
          <w:rFonts w:eastAsia="Times New Roman" w:cs="Times New Roman"/>
          <w:vanish/>
          <w:color w:val="auto"/>
          <w:spacing w:val="3"/>
          <w:lang w:eastAsia="en-US"/>
        </w:rPr>
      </w:pPr>
    </w:p>
    <w:p w14:paraId="6FE3B216" w14:textId="77777777" w:rsidR="002D7B36" w:rsidRPr="00DE12A3" w:rsidRDefault="002D7B36" w:rsidP="00E20716">
      <w:pPr>
        <w:pStyle w:val="ListeParagraf"/>
        <w:numPr>
          <w:ilvl w:val="0"/>
          <w:numId w:val="441"/>
        </w:numPr>
        <w:spacing w:before="120" w:after="120"/>
        <w:ind w:left="2268" w:hanging="567"/>
        <w:contextualSpacing w:val="0"/>
        <w:jc w:val="both"/>
        <w:rPr>
          <w:rFonts w:eastAsia="Times New Roman" w:cs="Times New Roman"/>
          <w:vanish/>
          <w:color w:val="auto"/>
          <w:spacing w:val="3"/>
          <w:lang w:eastAsia="en-US"/>
        </w:rPr>
      </w:pPr>
    </w:p>
    <w:p w14:paraId="0D33D6BA" w14:textId="77777777" w:rsidR="002D7B36" w:rsidRPr="00DE12A3" w:rsidRDefault="002D7B36" w:rsidP="00E20716">
      <w:pPr>
        <w:pStyle w:val="ListeParagraf"/>
        <w:numPr>
          <w:ilvl w:val="0"/>
          <w:numId w:val="441"/>
        </w:numPr>
        <w:spacing w:before="120" w:after="120"/>
        <w:ind w:left="2268" w:hanging="567"/>
        <w:contextualSpacing w:val="0"/>
        <w:jc w:val="both"/>
        <w:rPr>
          <w:rFonts w:eastAsia="Times New Roman" w:cs="Times New Roman"/>
          <w:vanish/>
          <w:color w:val="auto"/>
          <w:spacing w:val="3"/>
          <w:lang w:eastAsia="en-US"/>
        </w:rPr>
      </w:pPr>
    </w:p>
    <w:p w14:paraId="18C1643B" w14:textId="77777777" w:rsidR="002D7B36" w:rsidRPr="00DE12A3" w:rsidRDefault="002D7B36" w:rsidP="00E20716">
      <w:pPr>
        <w:pStyle w:val="ListeParagraf"/>
        <w:numPr>
          <w:ilvl w:val="0"/>
          <w:numId w:val="441"/>
        </w:numPr>
        <w:spacing w:before="120" w:after="120"/>
        <w:ind w:left="2268" w:hanging="567"/>
        <w:contextualSpacing w:val="0"/>
        <w:jc w:val="both"/>
        <w:rPr>
          <w:rFonts w:eastAsia="Times New Roman" w:cs="Times New Roman"/>
          <w:vanish/>
          <w:color w:val="auto"/>
          <w:spacing w:val="3"/>
          <w:lang w:eastAsia="en-US"/>
        </w:rPr>
      </w:pPr>
    </w:p>
    <w:p w14:paraId="4E2EE9EC" w14:textId="77777777" w:rsidR="002D7B36" w:rsidRPr="00DE12A3" w:rsidRDefault="002D7B36" w:rsidP="00E20716">
      <w:pPr>
        <w:pStyle w:val="ListeParagraf"/>
        <w:numPr>
          <w:ilvl w:val="0"/>
          <w:numId w:val="441"/>
        </w:numPr>
        <w:spacing w:before="120" w:after="120"/>
        <w:ind w:left="2268" w:hanging="567"/>
        <w:contextualSpacing w:val="0"/>
        <w:jc w:val="both"/>
        <w:rPr>
          <w:rFonts w:eastAsia="Times New Roman" w:cs="Times New Roman"/>
          <w:vanish/>
          <w:color w:val="auto"/>
          <w:spacing w:val="3"/>
          <w:lang w:eastAsia="en-US"/>
        </w:rPr>
      </w:pPr>
    </w:p>
    <w:p w14:paraId="78D0EF4D" w14:textId="77777777" w:rsidR="002D7B36" w:rsidRPr="00DE12A3" w:rsidRDefault="002D7B36" w:rsidP="00E20716">
      <w:pPr>
        <w:pStyle w:val="ListeParagraf"/>
        <w:numPr>
          <w:ilvl w:val="0"/>
          <w:numId w:val="441"/>
        </w:numPr>
        <w:spacing w:before="120" w:after="120"/>
        <w:ind w:left="2268" w:hanging="567"/>
        <w:contextualSpacing w:val="0"/>
        <w:jc w:val="both"/>
        <w:rPr>
          <w:rFonts w:eastAsia="Times New Roman" w:cs="Times New Roman"/>
          <w:vanish/>
          <w:color w:val="auto"/>
          <w:spacing w:val="3"/>
          <w:lang w:eastAsia="en-US"/>
        </w:rPr>
      </w:pPr>
    </w:p>
    <w:p w14:paraId="027964BF" w14:textId="77777777" w:rsidR="002D7B36" w:rsidRPr="00DE12A3" w:rsidRDefault="002D7B36" w:rsidP="00E20716">
      <w:pPr>
        <w:pStyle w:val="ListeParagraf"/>
        <w:numPr>
          <w:ilvl w:val="0"/>
          <w:numId w:val="441"/>
        </w:numPr>
        <w:spacing w:before="120" w:after="120"/>
        <w:ind w:left="2268" w:hanging="567"/>
        <w:contextualSpacing w:val="0"/>
        <w:jc w:val="both"/>
        <w:rPr>
          <w:rFonts w:eastAsia="Times New Roman" w:cs="Times New Roman"/>
          <w:vanish/>
          <w:color w:val="auto"/>
          <w:spacing w:val="3"/>
          <w:lang w:eastAsia="en-US"/>
        </w:rPr>
      </w:pPr>
    </w:p>
    <w:p w14:paraId="061AABF6" w14:textId="77777777" w:rsidR="002D7B36" w:rsidRPr="00DE12A3" w:rsidRDefault="002D7B36" w:rsidP="00E20716">
      <w:pPr>
        <w:pStyle w:val="ListeParagraf"/>
        <w:numPr>
          <w:ilvl w:val="0"/>
          <w:numId w:val="441"/>
        </w:numPr>
        <w:spacing w:before="120" w:after="120"/>
        <w:ind w:left="2268" w:hanging="567"/>
        <w:contextualSpacing w:val="0"/>
        <w:jc w:val="both"/>
        <w:rPr>
          <w:rFonts w:eastAsia="Times New Roman" w:cs="Times New Roman"/>
          <w:vanish/>
          <w:color w:val="auto"/>
          <w:spacing w:val="3"/>
          <w:lang w:eastAsia="en-US"/>
        </w:rPr>
      </w:pPr>
    </w:p>
    <w:p w14:paraId="4843B52A" w14:textId="77777777" w:rsidR="002D7B36" w:rsidRPr="00DE12A3" w:rsidRDefault="002D7B36" w:rsidP="00E20716">
      <w:pPr>
        <w:pStyle w:val="ListeParagraf"/>
        <w:numPr>
          <w:ilvl w:val="0"/>
          <w:numId w:val="441"/>
        </w:numPr>
        <w:spacing w:before="120" w:after="120"/>
        <w:ind w:left="2268" w:hanging="567"/>
        <w:contextualSpacing w:val="0"/>
        <w:jc w:val="both"/>
        <w:rPr>
          <w:rFonts w:eastAsia="Times New Roman" w:cs="Times New Roman"/>
          <w:vanish/>
          <w:color w:val="auto"/>
          <w:spacing w:val="3"/>
          <w:lang w:eastAsia="en-US"/>
        </w:rPr>
      </w:pPr>
    </w:p>
    <w:p w14:paraId="6889F0F3" w14:textId="77777777" w:rsidR="002D7B36" w:rsidRPr="00DE12A3" w:rsidRDefault="002D7B36" w:rsidP="00E20716">
      <w:pPr>
        <w:pStyle w:val="ListeParagraf"/>
        <w:numPr>
          <w:ilvl w:val="0"/>
          <w:numId w:val="441"/>
        </w:numPr>
        <w:spacing w:before="120" w:after="120"/>
        <w:ind w:left="2268" w:hanging="567"/>
        <w:contextualSpacing w:val="0"/>
        <w:jc w:val="both"/>
        <w:rPr>
          <w:rFonts w:eastAsia="Times New Roman" w:cs="Times New Roman"/>
          <w:vanish/>
          <w:color w:val="auto"/>
          <w:spacing w:val="3"/>
          <w:lang w:eastAsia="en-US"/>
        </w:rPr>
      </w:pPr>
    </w:p>
    <w:p w14:paraId="0EED8FFE" w14:textId="77777777" w:rsidR="002D7B36" w:rsidRPr="00DE12A3" w:rsidRDefault="002D7B36" w:rsidP="00E20716">
      <w:pPr>
        <w:pStyle w:val="ListeParagraf"/>
        <w:numPr>
          <w:ilvl w:val="0"/>
          <w:numId w:val="441"/>
        </w:numPr>
        <w:spacing w:before="120" w:after="120"/>
        <w:ind w:left="2268" w:hanging="567"/>
        <w:contextualSpacing w:val="0"/>
        <w:jc w:val="both"/>
        <w:rPr>
          <w:rFonts w:eastAsia="Times New Roman" w:cs="Times New Roman"/>
          <w:vanish/>
          <w:color w:val="auto"/>
          <w:spacing w:val="3"/>
          <w:lang w:eastAsia="en-US"/>
        </w:rPr>
      </w:pPr>
    </w:p>
    <w:p w14:paraId="4AB9C476" w14:textId="77777777" w:rsidR="002D7B36" w:rsidRPr="00DE12A3" w:rsidRDefault="002D7B36" w:rsidP="00E20716">
      <w:pPr>
        <w:pStyle w:val="ListeParagraf"/>
        <w:numPr>
          <w:ilvl w:val="0"/>
          <w:numId w:val="441"/>
        </w:numPr>
        <w:spacing w:before="120" w:after="120"/>
        <w:ind w:left="2268" w:hanging="567"/>
        <w:contextualSpacing w:val="0"/>
        <w:jc w:val="both"/>
        <w:rPr>
          <w:rFonts w:eastAsia="Times New Roman" w:cs="Times New Roman"/>
          <w:vanish/>
          <w:color w:val="auto"/>
          <w:spacing w:val="3"/>
          <w:lang w:eastAsia="en-US"/>
        </w:rPr>
      </w:pPr>
    </w:p>
    <w:p w14:paraId="53B2BDC1" w14:textId="77777777" w:rsidR="002D7B36" w:rsidRPr="00DE12A3" w:rsidRDefault="002D7B36" w:rsidP="00E20716">
      <w:pPr>
        <w:pStyle w:val="ListeParagraf"/>
        <w:numPr>
          <w:ilvl w:val="0"/>
          <w:numId w:val="441"/>
        </w:numPr>
        <w:spacing w:before="120" w:after="120"/>
        <w:ind w:left="2268" w:hanging="567"/>
        <w:contextualSpacing w:val="0"/>
        <w:jc w:val="both"/>
        <w:rPr>
          <w:rFonts w:eastAsia="Times New Roman" w:cs="Times New Roman"/>
          <w:vanish/>
          <w:color w:val="auto"/>
          <w:spacing w:val="3"/>
          <w:lang w:eastAsia="en-US"/>
        </w:rPr>
      </w:pPr>
    </w:p>
    <w:p w14:paraId="0B267B9E" w14:textId="77777777" w:rsidR="002D7B36" w:rsidRPr="00DE12A3" w:rsidRDefault="002D7B36" w:rsidP="00E20716">
      <w:pPr>
        <w:pStyle w:val="ListeParagraf"/>
        <w:numPr>
          <w:ilvl w:val="0"/>
          <w:numId w:val="441"/>
        </w:numPr>
        <w:spacing w:before="120" w:after="120"/>
        <w:ind w:left="2268" w:hanging="567"/>
        <w:contextualSpacing w:val="0"/>
        <w:jc w:val="both"/>
        <w:rPr>
          <w:rFonts w:eastAsia="Times New Roman" w:cs="Times New Roman"/>
          <w:vanish/>
          <w:color w:val="auto"/>
          <w:spacing w:val="3"/>
          <w:lang w:eastAsia="en-US"/>
        </w:rPr>
      </w:pPr>
    </w:p>
    <w:p w14:paraId="5E612274" w14:textId="77777777" w:rsidR="002D7B36" w:rsidRPr="00DE12A3" w:rsidRDefault="002D7B36" w:rsidP="00E20716">
      <w:pPr>
        <w:pStyle w:val="ListeParagraf"/>
        <w:numPr>
          <w:ilvl w:val="0"/>
          <w:numId w:val="441"/>
        </w:numPr>
        <w:spacing w:before="120" w:after="120"/>
        <w:ind w:left="2268" w:hanging="567"/>
        <w:contextualSpacing w:val="0"/>
        <w:jc w:val="both"/>
        <w:rPr>
          <w:rFonts w:eastAsia="Times New Roman" w:cs="Times New Roman"/>
          <w:vanish/>
          <w:color w:val="auto"/>
          <w:spacing w:val="3"/>
          <w:lang w:eastAsia="en-US"/>
        </w:rPr>
      </w:pPr>
    </w:p>
    <w:p w14:paraId="4F73B5F9" w14:textId="77777777" w:rsidR="002D7B36" w:rsidRPr="00DE12A3" w:rsidRDefault="002D7B36" w:rsidP="00E20716">
      <w:pPr>
        <w:pStyle w:val="ListeParagraf"/>
        <w:numPr>
          <w:ilvl w:val="0"/>
          <w:numId w:val="441"/>
        </w:numPr>
        <w:spacing w:before="120" w:after="120"/>
        <w:ind w:left="2268" w:hanging="567"/>
        <w:contextualSpacing w:val="0"/>
        <w:jc w:val="both"/>
        <w:rPr>
          <w:rFonts w:eastAsia="Times New Roman" w:cs="Times New Roman"/>
          <w:vanish/>
          <w:color w:val="auto"/>
          <w:spacing w:val="3"/>
          <w:lang w:eastAsia="en-US"/>
        </w:rPr>
      </w:pPr>
    </w:p>
    <w:p w14:paraId="2518F8A3" w14:textId="77777777" w:rsidR="002D7B36" w:rsidRPr="00DE12A3" w:rsidRDefault="002D7B36" w:rsidP="00E20716">
      <w:pPr>
        <w:pStyle w:val="ListeParagraf"/>
        <w:numPr>
          <w:ilvl w:val="0"/>
          <w:numId w:val="441"/>
        </w:numPr>
        <w:spacing w:before="120" w:after="120"/>
        <w:ind w:left="2268" w:hanging="567"/>
        <w:contextualSpacing w:val="0"/>
        <w:jc w:val="both"/>
        <w:rPr>
          <w:rFonts w:eastAsia="Times New Roman" w:cs="Times New Roman"/>
          <w:vanish/>
          <w:color w:val="auto"/>
          <w:spacing w:val="3"/>
          <w:lang w:eastAsia="en-US"/>
        </w:rPr>
      </w:pPr>
    </w:p>
    <w:p w14:paraId="4A073D43" w14:textId="77777777" w:rsidR="002D7B36" w:rsidRPr="00DE12A3" w:rsidRDefault="002D7B36" w:rsidP="00E20716">
      <w:pPr>
        <w:pStyle w:val="ListeParagraf"/>
        <w:numPr>
          <w:ilvl w:val="0"/>
          <w:numId w:val="441"/>
        </w:numPr>
        <w:spacing w:before="120" w:after="120"/>
        <w:ind w:left="2268" w:hanging="567"/>
        <w:contextualSpacing w:val="0"/>
        <w:jc w:val="both"/>
        <w:rPr>
          <w:rFonts w:eastAsia="Times New Roman" w:cs="Times New Roman"/>
          <w:vanish/>
          <w:color w:val="auto"/>
          <w:spacing w:val="3"/>
          <w:lang w:eastAsia="en-US"/>
        </w:rPr>
      </w:pPr>
    </w:p>
    <w:p w14:paraId="12C60816" w14:textId="77777777" w:rsidR="002D7B36" w:rsidRPr="00DE12A3" w:rsidRDefault="002D7B36" w:rsidP="00E20716">
      <w:pPr>
        <w:pStyle w:val="ListeParagraf"/>
        <w:numPr>
          <w:ilvl w:val="0"/>
          <w:numId w:val="441"/>
        </w:numPr>
        <w:spacing w:before="120" w:after="120"/>
        <w:ind w:left="2268" w:hanging="567"/>
        <w:contextualSpacing w:val="0"/>
        <w:jc w:val="both"/>
        <w:rPr>
          <w:rFonts w:eastAsia="Times New Roman" w:cs="Times New Roman"/>
          <w:vanish/>
          <w:color w:val="auto"/>
          <w:spacing w:val="3"/>
          <w:lang w:eastAsia="en-US"/>
        </w:rPr>
      </w:pPr>
    </w:p>
    <w:p w14:paraId="5230F82D" w14:textId="77777777" w:rsidR="002D7B36" w:rsidRPr="00DE12A3" w:rsidRDefault="002D7B36" w:rsidP="00E20716">
      <w:pPr>
        <w:pStyle w:val="ListeParagraf"/>
        <w:numPr>
          <w:ilvl w:val="0"/>
          <w:numId w:val="441"/>
        </w:numPr>
        <w:spacing w:before="120" w:after="120"/>
        <w:ind w:left="2268" w:hanging="567"/>
        <w:contextualSpacing w:val="0"/>
        <w:jc w:val="both"/>
        <w:rPr>
          <w:rFonts w:eastAsia="Times New Roman" w:cs="Times New Roman"/>
          <w:vanish/>
          <w:color w:val="auto"/>
          <w:spacing w:val="3"/>
          <w:lang w:eastAsia="en-US"/>
        </w:rPr>
      </w:pPr>
    </w:p>
    <w:p w14:paraId="3BADBB6D" w14:textId="77777777" w:rsidR="002D7B36" w:rsidRPr="00DE12A3" w:rsidRDefault="002D7B36" w:rsidP="00E20716">
      <w:pPr>
        <w:pStyle w:val="ListeParagraf"/>
        <w:numPr>
          <w:ilvl w:val="0"/>
          <w:numId w:val="441"/>
        </w:numPr>
        <w:spacing w:before="120" w:after="120"/>
        <w:ind w:left="2268" w:hanging="567"/>
        <w:contextualSpacing w:val="0"/>
        <w:jc w:val="both"/>
        <w:rPr>
          <w:rFonts w:eastAsia="Times New Roman" w:cs="Times New Roman"/>
          <w:vanish/>
          <w:color w:val="auto"/>
          <w:spacing w:val="3"/>
          <w:lang w:eastAsia="en-US"/>
        </w:rPr>
      </w:pPr>
    </w:p>
    <w:p w14:paraId="12FC1FB7" w14:textId="77777777" w:rsidR="002D7B36" w:rsidRPr="00DE12A3" w:rsidRDefault="002D7B36" w:rsidP="00E20716">
      <w:pPr>
        <w:pStyle w:val="ListeParagraf"/>
        <w:numPr>
          <w:ilvl w:val="0"/>
          <w:numId w:val="441"/>
        </w:numPr>
        <w:spacing w:before="120" w:after="120"/>
        <w:ind w:left="2268" w:hanging="567"/>
        <w:contextualSpacing w:val="0"/>
        <w:jc w:val="both"/>
        <w:rPr>
          <w:rFonts w:eastAsia="Times New Roman" w:cs="Times New Roman"/>
          <w:vanish/>
          <w:color w:val="auto"/>
          <w:spacing w:val="3"/>
          <w:lang w:eastAsia="en-US"/>
        </w:rPr>
      </w:pPr>
    </w:p>
    <w:p w14:paraId="6D595E29" w14:textId="77777777" w:rsidR="002D7B36" w:rsidRPr="00DE12A3" w:rsidRDefault="002D7B36" w:rsidP="00E20716">
      <w:pPr>
        <w:pStyle w:val="ListeParagraf"/>
        <w:numPr>
          <w:ilvl w:val="0"/>
          <w:numId w:val="441"/>
        </w:numPr>
        <w:spacing w:before="120" w:after="120"/>
        <w:ind w:left="2268" w:hanging="567"/>
        <w:contextualSpacing w:val="0"/>
        <w:jc w:val="both"/>
        <w:rPr>
          <w:rFonts w:eastAsia="Times New Roman" w:cs="Times New Roman"/>
          <w:vanish/>
          <w:color w:val="auto"/>
          <w:spacing w:val="3"/>
          <w:lang w:eastAsia="en-US"/>
        </w:rPr>
      </w:pPr>
    </w:p>
    <w:p w14:paraId="187E2AF5" w14:textId="77777777" w:rsidR="002D7B36" w:rsidRPr="00DE12A3" w:rsidRDefault="002D7B36" w:rsidP="00E20716">
      <w:pPr>
        <w:pStyle w:val="ListeParagraf"/>
        <w:numPr>
          <w:ilvl w:val="0"/>
          <w:numId w:val="441"/>
        </w:numPr>
        <w:spacing w:before="120" w:after="120"/>
        <w:ind w:left="2268" w:hanging="567"/>
        <w:contextualSpacing w:val="0"/>
        <w:jc w:val="both"/>
        <w:rPr>
          <w:rFonts w:eastAsia="Times New Roman" w:cs="Times New Roman"/>
          <w:vanish/>
          <w:color w:val="auto"/>
          <w:spacing w:val="3"/>
          <w:lang w:eastAsia="en-US"/>
        </w:rPr>
      </w:pPr>
    </w:p>
    <w:p w14:paraId="3B42A763" w14:textId="094EF6A4" w:rsidR="002D7B36" w:rsidRPr="00DE12A3" w:rsidRDefault="00175D18" w:rsidP="00E20716">
      <w:pPr>
        <w:pStyle w:val="Gvdemetni250"/>
        <w:numPr>
          <w:ilvl w:val="0"/>
          <w:numId w:val="441"/>
        </w:numPr>
        <w:shd w:val="clear" w:color="auto" w:fill="auto"/>
        <w:spacing w:before="120" w:after="120" w:line="240" w:lineRule="auto"/>
        <w:ind w:left="2268" w:hanging="567"/>
        <w:rPr>
          <w:sz w:val="24"/>
          <w:szCs w:val="24"/>
        </w:rPr>
      </w:pPr>
      <w:r w:rsidRPr="00DE12A3">
        <w:rPr>
          <w:sz w:val="24"/>
          <w:szCs w:val="24"/>
        </w:rPr>
        <w:t xml:space="preserve">  </w:t>
      </w:r>
      <w:r w:rsidR="00242DA0" w:rsidRPr="00DE12A3">
        <w:rPr>
          <w:sz w:val="24"/>
          <w:szCs w:val="24"/>
        </w:rPr>
        <w:t>Toplam seyreltme havası akışı nairdil [mol], ortalama arka plan emisyon konsantrasyonu ile çarpılmalıdır. Bu, zaman ağırlıklı bir ortalama veya akış ağırlıklı bir ortalama (örneğin, orantılı olarak örneklenmiş bir arka plan) olabilir. n</w:t>
      </w:r>
      <w:r w:rsidR="00242DA0" w:rsidRPr="00DE12A3">
        <w:rPr>
          <w:sz w:val="24"/>
          <w:szCs w:val="24"/>
          <w:vertAlign w:val="subscript"/>
        </w:rPr>
        <w:t xml:space="preserve">airdil </w:t>
      </w:r>
      <w:r w:rsidR="00242DA0" w:rsidRPr="00DE12A3">
        <w:rPr>
          <w:sz w:val="24"/>
          <w:szCs w:val="24"/>
        </w:rPr>
        <w:t>ve ortalama arka plan emisyon konsantrasyonu, toplam arka plan emisyonu miktarıdır</w:t>
      </w:r>
      <w:r w:rsidR="00CE5167" w:rsidRPr="00DE12A3">
        <w:rPr>
          <w:sz w:val="24"/>
          <w:szCs w:val="24"/>
        </w:rPr>
        <w:t>.</w:t>
      </w:r>
    </w:p>
    <w:p w14:paraId="071C4527" w14:textId="77777777" w:rsidR="002D7B36" w:rsidRPr="00DE12A3" w:rsidRDefault="002D7B36" w:rsidP="00E20716">
      <w:pPr>
        <w:pStyle w:val="ListeParagraf"/>
        <w:numPr>
          <w:ilvl w:val="0"/>
          <w:numId w:val="441"/>
        </w:numPr>
        <w:spacing w:before="120" w:after="120"/>
        <w:ind w:left="2268" w:hanging="567"/>
        <w:contextualSpacing w:val="0"/>
        <w:jc w:val="both"/>
        <w:rPr>
          <w:rFonts w:eastAsia="Times New Roman" w:cs="Times New Roman"/>
          <w:vanish/>
          <w:color w:val="auto"/>
          <w:spacing w:val="3"/>
          <w:lang w:eastAsia="en-US"/>
        </w:rPr>
      </w:pPr>
    </w:p>
    <w:p w14:paraId="6295A7E2" w14:textId="77777777" w:rsidR="002D7B36" w:rsidRPr="00DE12A3" w:rsidRDefault="002D7B36" w:rsidP="00E20716">
      <w:pPr>
        <w:pStyle w:val="ListeParagraf"/>
        <w:numPr>
          <w:ilvl w:val="0"/>
          <w:numId w:val="441"/>
        </w:numPr>
        <w:spacing w:before="120" w:after="120"/>
        <w:ind w:left="2268" w:hanging="567"/>
        <w:contextualSpacing w:val="0"/>
        <w:jc w:val="both"/>
        <w:rPr>
          <w:rFonts w:eastAsia="Times New Roman" w:cs="Times New Roman"/>
          <w:vanish/>
          <w:color w:val="auto"/>
          <w:spacing w:val="3"/>
          <w:lang w:eastAsia="en-US"/>
        </w:rPr>
      </w:pPr>
    </w:p>
    <w:p w14:paraId="22566437" w14:textId="77777777" w:rsidR="002D7B36" w:rsidRPr="00DE12A3" w:rsidRDefault="002D7B36" w:rsidP="00E20716">
      <w:pPr>
        <w:pStyle w:val="ListeParagraf"/>
        <w:numPr>
          <w:ilvl w:val="0"/>
          <w:numId w:val="441"/>
        </w:numPr>
        <w:spacing w:before="120" w:after="120"/>
        <w:ind w:left="2268" w:hanging="567"/>
        <w:contextualSpacing w:val="0"/>
        <w:jc w:val="both"/>
        <w:rPr>
          <w:rFonts w:eastAsia="Times New Roman" w:cs="Times New Roman"/>
          <w:vanish/>
          <w:color w:val="auto"/>
          <w:spacing w:val="3"/>
          <w:lang w:eastAsia="en-US"/>
        </w:rPr>
      </w:pPr>
    </w:p>
    <w:p w14:paraId="674F6706" w14:textId="77777777" w:rsidR="002D7B36" w:rsidRPr="00DE12A3" w:rsidRDefault="002D7B36" w:rsidP="00E20716">
      <w:pPr>
        <w:pStyle w:val="ListeParagraf"/>
        <w:numPr>
          <w:ilvl w:val="0"/>
          <w:numId w:val="441"/>
        </w:numPr>
        <w:spacing w:before="120" w:after="120"/>
        <w:ind w:left="2268" w:hanging="567"/>
        <w:contextualSpacing w:val="0"/>
        <w:jc w:val="both"/>
        <w:rPr>
          <w:rFonts w:eastAsia="Times New Roman" w:cs="Times New Roman"/>
          <w:vanish/>
          <w:color w:val="auto"/>
          <w:spacing w:val="3"/>
          <w:lang w:eastAsia="en-US"/>
        </w:rPr>
      </w:pPr>
    </w:p>
    <w:p w14:paraId="6C30313C" w14:textId="77777777" w:rsidR="002D7B36" w:rsidRPr="00DE12A3" w:rsidRDefault="002D7B36" w:rsidP="00E20716">
      <w:pPr>
        <w:pStyle w:val="ListeParagraf"/>
        <w:numPr>
          <w:ilvl w:val="0"/>
          <w:numId w:val="441"/>
        </w:numPr>
        <w:spacing w:before="120" w:after="120"/>
        <w:ind w:left="2268" w:hanging="567"/>
        <w:contextualSpacing w:val="0"/>
        <w:jc w:val="both"/>
        <w:rPr>
          <w:rFonts w:eastAsia="Times New Roman" w:cs="Times New Roman"/>
          <w:vanish/>
          <w:color w:val="auto"/>
          <w:spacing w:val="3"/>
          <w:lang w:eastAsia="en-US"/>
        </w:rPr>
      </w:pPr>
    </w:p>
    <w:p w14:paraId="0FDDC5C2" w14:textId="77777777" w:rsidR="002D7B36" w:rsidRPr="00DE12A3" w:rsidRDefault="002D7B36" w:rsidP="00E20716">
      <w:pPr>
        <w:pStyle w:val="ListeParagraf"/>
        <w:numPr>
          <w:ilvl w:val="0"/>
          <w:numId w:val="441"/>
        </w:numPr>
        <w:spacing w:before="120" w:after="120"/>
        <w:ind w:left="2268" w:hanging="567"/>
        <w:contextualSpacing w:val="0"/>
        <w:jc w:val="both"/>
        <w:rPr>
          <w:rFonts w:eastAsia="Times New Roman" w:cs="Times New Roman"/>
          <w:vanish/>
          <w:color w:val="auto"/>
          <w:spacing w:val="3"/>
          <w:lang w:eastAsia="en-US"/>
        </w:rPr>
      </w:pPr>
    </w:p>
    <w:p w14:paraId="49F859CD" w14:textId="77777777" w:rsidR="002D7B36" w:rsidRPr="00DE12A3" w:rsidRDefault="002D7B36" w:rsidP="00E20716">
      <w:pPr>
        <w:pStyle w:val="ListeParagraf"/>
        <w:numPr>
          <w:ilvl w:val="0"/>
          <w:numId w:val="441"/>
        </w:numPr>
        <w:spacing w:before="120" w:after="120"/>
        <w:ind w:left="2268" w:hanging="567"/>
        <w:contextualSpacing w:val="0"/>
        <w:jc w:val="both"/>
        <w:rPr>
          <w:rFonts w:eastAsia="Times New Roman" w:cs="Times New Roman"/>
          <w:vanish/>
          <w:color w:val="auto"/>
          <w:spacing w:val="3"/>
          <w:lang w:eastAsia="en-US"/>
        </w:rPr>
      </w:pPr>
    </w:p>
    <w:p w14:paraId="5799DB66" w14:textId="77777777" w:rsidR="002D7B36" w:rsidRPr="00DE12A3" w:rsidRDefault="002D7B36" w:rsidP="00E20716">
      <w:pPr>
        <w:pStyle w:val="ListeParagraf"/>
        <w:numPr>
          <w:ilvl w:val="0"/>
          <w:numId w:val="441"/>
        </w:numPr>
        <w:spacing w:before="120" w:after="120"/>
        <w:ind w:left="2268" w:hanging="567"/>
        <w:contextualSpacing w:val="0"/>
        <w:jc w:val="both"/>
        <w:rPr>
          <w:rFonts w:eastAsia="Times New Roman" w:cs="Times New Roman"/>
          <w:vanish/>
          <w:color w:val="auto"/>
          <w:spacing w:val="3"/>
          <w:lang w:eastAsia="en-US"/>
        </w:rPr>
      </w:pPr>
    </w:p>
    <w:p w14:paraId="4482AE4C" w14:textId="77777777" w:rsidR="002D7B36" w:rsidRPr="00DE12A3" w:rsidRDefault="002D7B36" w:rsidP="00E20716">
      <w:pPr>
        <w:pStyle w:val="ListeParagraf"/>
        <w:numPr>
          <w:ilvl w:val="0"/>
          <w:numId w:val="441"/>
        </w:numPr>
        <w:spacing w:before="120" w:after="120"/>
        <w:ind w:left="2268" w:hanging="567"/>
        <w:contextualSpacing w:val="0"/>
        <w:jc w:val="both"/>
        <w:rPr>
          <w:rFonts w:eastAsia="Times New Roman" w:cs="Times New Roman"/>
          <w:vanish/>
          <w:color w:val="auto"/>
          <w:spacing w:val="3"/>
          <w:lang w:eastAsia="en-US"/>
        </w:rPr>
      </w:pPr>
    </w:p>
    <w:p w14:paraId="64657612" w14:textId="77777777" w:rsidR="002D7B36" w:rsidRPr="00DE12A3" w:rsidRDefault="002D7B36" w:rsidP="00E20716">
      <w:pPr>
        <w:pStyle w:val="ListeParagraf"/>
        <w:numPr>
          <w:ilvl w:val="0"/>
          <w:numId w:val="441"/>
        </w:numPr>
        <w:spacing w:before="120" w:after="120"/>
        <w:ind w:left="2268" w:hanging="567"/>
        <w:contextualSpacing w:val="0"/>
        <w:jc w:val="both"/>
        <w:rPr>
          <w:rFonts w:eastAsia="Times New Roman" w:cs="Times New Roman"/>
          <w:vanish/>
          <w:color w:val="auto"/>
          <w:spacing w:val="3"/>
          <w:lang w:eastAsia="en-US"/>
        </w:rPr>
      </w:pPr>
    </w:p>
    <w:p w14:paraId="236F6FED" w14:textId="77777777" w:rsidR="002D7B36" w:rsidRPr="00DE12A3" w:rsidRDefault="002D7B36" w:rsidP="00E20716">
      <w:pPr>
        <w:pStyle w:val="ListeParagraf"/>
        <w:numPr>
          <w:ilvl w:val="0"/>
          <w:numId w:val="441"/>
        </w:numPr>
        <w:spacing w:before="120" w:after="120"/>
        <w:ind w:left="2268" w:hanging="567"/>
        <w:contextualSpacing w:val="0"/>
        <w:jc w:val="both"/>
        <w:rPr>
          <w:rFonts w:eastAsia="Times New Roman" w:cs="Times New Roman"/>
          <w:vanish/>
          <w:color w:val="auto"/>
          <w:spacing w:val="3"/>
          <w:lang w:eastAsia="en-US"/>
        </w:rPr>
      </w:pPr>
    </w:p>
    <w:p w14:paraId="05259358" w14:textId="77777777" w:rsidR="002D7B36" w:rsidRPr="00DE12A3" w:rsidRDefault="002D7B36" w:rsidP="00E20716">
      <w:pPr>
        <w:pStyle w:val="ListeParagraf"/>
        <w:numPr>
          <w:ilvl w:val="0"/>
          <w:numId w:val="441"/>
        </w:numPr>
        <w:spacing w:before="120" w:after="120"/>
        <w:ind w:left="2268" w:hanging="567"/>
        <w:contextualSpacing w:val="0"/>
        <w:jc w:val="both"/>
        <w:rPr>
          <w:rFonts w:eastAsia="Times New Roman" w:cs="Times New Roman"/>
          <w:vanish/>
          <w:color w:val="auto"/>
          <w:spacing w:val="3"/>
          <w:lang w:eastAsia="en-US"/>
        </w:rPr>
      </w:pPr>
    </w:p>
    <w:p w14:paraId="0D924BF2" w14:textId="77777777" w:rsidR="002D7B36" w:rsidRPr="00DE12A3" w:rsidRDefault="002D7B36" w:rsidP="00E20716">
      <w:pPr>
        <w:pStyle w:val="ListeParagraf"/>
        <w:numPr>
          <w:ilvl w:val="0"/>
          <w:numId w:val="441"/>
        </w:numPr>
        <w:spacing w:before="120" w:after="120"/>
        <w:ind w:left="2268" w:hanging="567"/>
        <w:contextualSpacing w:val="0"/>
        <w:jc w:val="both"/>
        <w:rPr>
          <w:rFonts w:eastAsia="Times New Roman" w:cs="Times New Roman"/>
          <w:vanish/>
          <w:color w:val="auto"/>
          <w:spacing w:val="3"/>
          <w:lang w:eastAsia="en-US"/>
        </w:rPr>
      </w:pPr>
    </w:p>
    <w:p w14:paraId="40784680" w14:textId="77777777" w:rsidR="002D7B36" w:rsidRPr="00DE12A3" w:rsidRDefault="002D7B36" w:rsidP="00E20716">
      <w:pPr>
        <w:pStyle w:val="ListeParagraf"/>
        <w:numPr>
          <w:ilvl w:val="0"/>
          <w:numId w:val="441"/>
        </w:numPr>
        <w:spacing w:before="120" w:after="120"/>
        <w:ind w:left="2268" w:hanging="567"/>
        <w:contextualSpacing w:val="0"/>
        <w:jc w:val="both"/>
        <w:rPr>
          <w:rFonts w:eastAsia="Times New Roman" w:cs="Times New Roman"/>
          <w:vanish/>
          <w:color w:val="auto"/>
          <w:spacing w:val="3"/>
          <w:lang w:eastAsia="en-US"/>
        </w:rPr>
      </w:pPr>
    </w:p>
    <w:p w14:paraId="61357031" w14:textId="77777777" w:rsidR="002D7B36" w:rsidRPr="00DE12A3" w:rsidRDefault="002D7B36" w:rsidP="00E20716">
      <w:pPr>
        <w:pStyle w:val="ListeParagraf"/>
        <w:numPr>
          <w:ilvl w:val="0"/>
          <w:numId w:val="441"/>
        </w:numPr>
        <w:spacing w:before="120" w:after="120"/>
        <w:ind w:left="2268" w:hanging="567"/>
        <w:contextualSpacing w:val="0"/>
        <w:jc w:val="both"/>
        <w:rPr>
          <w:rFonts w:eastAsia="Times New Roman" w:cs="Times New Roman"/>
          <w:vanish/>
          <w:color w:val="auto"/>
          <w:spacing w:val="3"/>
          <w:lang w:eastAsia="en-US"/>
        </w:rPr>
      </w:pPr>
    </w:p>
    <w:p w14:paraId="5A1E03E1" w14:textId="77777777" w:rsidR="002D7B36" w:rsidRPr="00DE12A3" w:rsidRDefault="002D7B36" w:rsidP="00E20716">
      <w:pPr>
        <w:pStyle w:val="ListeParagraf"/>
        <w:numPr>
          <w:ilvl w:val="0"/>
          <w:numId w:val="441"/>
        </w:numPr>
        <w:spacing w:before="120" w:after="120"/>
        <w:ind w:left="2268" w:hanging="567"/>
        <w:contextualSpacing w:val="0"/>
        <w:jc w:val="both"/>
        <w:rPr>
          <w:rFonts w:eastAsia="Times New Roman" w:cs="Times New Roman"/>
          <w:vanish/>
          <w:color w:val="auto"/>
          <w:spacing w:val="3"/>
          <w:lang w:eastAsia="en-US"/>
        </w:rPr>
      </w:pPr>
    </w:p>
    <w:p w14:paraId="4C87C726" w14:textId="77777777" w:rsidR="002D7B36" w:rsidRPr="00DE12A3" w:rsidRDefault="002D7B36" w:rsidP="00E20716">
      <w:pPr>
        <w:pStyle w:val="ListeParagraf"/>
        <w:numPr>
          <w:ilvl w:val="0"/>
          <w:numId w:val="441"/>
        </w:numPr>
        <w:spacing w:before="120" w:after="120"/>
        <w:ind w:left="2268" w:hanging="567"/>
        <w:contextualSpacing w:val="0"/>
        <w:jc w:val="both"/>
        <w:rPr>
          <w:rFonts w:eastAsia="Times New Roman" w:cs="Times New Roman"/>
          <w:vanish/>
          <w:color w:val="auto"/>
          <w:spacing w:val="3"/>
          <w:lang w:eastAsia="en-US"/>
        </w:rPr>
      </w:pPr>
    </w:p>
    <w:p w14:paraId="0FEFD2AD" w14:textId="77777777" w:rsidR="002D7B36" w:rsidRPr="00DE12A3" w:rsidRDefault="002D7B36" w:rsidP="00E20716">
      <w:pPr>
        <w:pStyle w:val="ListeParagraf"/>
        <w:numPr>
          <w:ilvl w:val="0"/>
          <w:numId w:val="441"/>
        </w:numPr>
        <w:spacing w:before="120" w:after="120"/>
        <w:ind w:left="2268" w:hanging="567"/>
        <w:contextualSpacing w:val="0"/>
        <w:jc w:val="both"/>
        <w:rPr>
          <w:rFonts w:eastAsia="Times New Roman" w:cs="Times New Roman"/>
          <w:vanish/>
          <w:color w:val="auto"/>
          <w:spacing w:val="3"/>
          <w:lang w:eastAsia="en-US"/>
        </w:rPr>
      </w:pPr>
    </w:p>
    <w:p w14:paraId="7E71F077" w14:textId="77777777" w:rsidR="002D7B36" w:rsidRPr="00DE12A3" w:rsidRDefault="002D7B36" w:rsidP="00E20716">
      <w:pPr>
        <w:pStyle w:val="ListeParagraf"/>
        <w:numPr>
          <w:ilvl w:val="0"/>
          <w:numId w:val="441"/>
        </w:numPr>
        <w:spacing w:before="120" w:after="120"/>
        <w:ind w:left="2268" w:hanging="567"/>
        <w:contextualSpacing w:val="0"/>
        <w:jc w:val="both"/>
        <w:rPr>
          <w:rFonts w:eastAsia="Times New Roman" w:cs="Times New Roman"/>
          <w:vanish/>
          <w:color w:val="auto"/>
          <w:spacing w:val="3"/>
          <w:lang w:eastAsia="en-US"/>
        </w:rPr>
      </w:pPr>
    </w:p>
    <w:p w14:paraId="7422F937" w14:textId="77777777" w:rsidR="002D7B36" w:rsidRPr="00DE12A3" w:rsidRDefault="002D7B36" w:rsidP="00E20716">
      <w:pPr>
        <w:pStyle w:val="ListeParagraf"/>
        <w:numPr>
          <w:ilvl w:val="0"/>
          <w:numId w:val="441"/>
        </w:numPr>
        <w:spacing w:before="120" w:after="120"/>
        <w:ind w:left="2268" w:hanging="567"/>
        <w:contextualSpacing w:val="0"/>
        <w:jc w:val="both"/>
        <w:rPr>
          <w:rFonts w:eastAsia="Times New Roman" w:cs="Times New Roman"/>
          <w:vanish/>
          <w:color w:val="auto"/>
          <w:spacing w:val="3"/>
          <w:lang w:eastAsia="en-US"/>
        </w:rPr>
      </w:pPr>
    </w:p>
    <w:p w14:paraId="7CBFBA13" w14:textId="77777777" w:rsidR="002D7B36" w:rsidRPr="00DE12A3" w:rsidRDefault="002D7B36" w:rsidP="00E20716">
      <w:pPr>
        <w:pStyle w:val="ListeParagraf"/>
        <w:numPr>
          <w:ilvl w:val="0"/>
          <w:numId w:val="441"/>
        </w:numPr>
        <w:spacing w:before="120" w:after="120"/>
        <w:ind w:left="2268" w:hanging="567"/>
        <w:contextualSpacing w:val="0"/>
        <w:jc w:val="both"/>
        <w:rPr>
          <w:rFonts w:eastAsia="Times New Roman" w:cs="Times New Roman"/>
          <w:vanish/>
          <w:color w:val="auto"/>
          <w:spacing w:val="3"/>
          <w:lang w:eastAsia="en-US"/>
        </w:rPr>
      </w:pPr>
    </w:p>
    <w:p w14:paraId="625257EC" w14:textId="77777777" w:rsidR="002D7B36" w:rsidRPr="00DE12A3" w:rsidRDefault="002D7B36" w:rsidP="00E20716">
      <w:pPr>
        <w:pStyle w:val="ListeParagraf"/>
        <w:numPr>
          <w:ilvl w:val="0"/>
          <w:numId w:val="441"/>
        </w:numPr>
        <w:spacing w:before="120" w:after="120"/>
        <w:ind w:left="2268" w:hanging="567"/>
        <w:contextualSpacing w:val="0"/>
        <w:jc w:val="both"/>
        <w:rPr>
          <w:rFonts w:eastAsia="Times New Roman" w:cs="Times New Roman"/>
          <w:vanish/>
          <w:color w:val="auto"/>
          <w:spacing w:val="3"/>
          <w:lang w:eastAsia="en-US"/>
        </w:rPr>
      </w:pPr>
    </w:p>
    <w:p w14:paraId="0C03DDAB" w14:textId="77777777" w:rsidR="002D7B36" w:rsidRPr="00DE12A3" w:rsidRDefault="002D7B36" w:rsidP="00E20716">
      <w:pPr>
        <w:pStyle w:val="ListeParagraf"/>
        <w:numPr>
          <w:ilvl w:val="0"/>
          <w:numId w:val="441"/>
        </w:numPr>
        <w:spacing w:before="120" w:after="120"/>
        <w:ind w:left="2268" w:hanging="567"/>
        <w:contextualSpacing w:val="0"/>
        <w:jc w:val="both"/>
        <w:rPr>
          <w:rFonts w:eastAsia="Times New Roman" w:cs="Times New Roman"/>
          <w:vanish/>
          <w:color w:val="auto"/>
          <w:spacing w:val="3"/>
          <w:lang w:eastAsia="en-US"/>
        </w:rPr>
      </w:pPr>
    </w:p>
    <w:p w14:paraId="0B5B8FF0" w14:textId="77777777" w:rsidR="002D7B36" w:rsidRPr="00DE12A3" w:rsidRDefault="002D7B36" w:rsidP="00E20716">
      <w:pPr>
        <w:pStyle w:val="ListeParagraf"/>
        <w:numPr>
          <w:ilvl w:val="0"/>
          <w:numId w:val="441"/>
        </w:numPr>
        <w:spacing w:before="120" w:after="120"/>
        <w:ind w:left="2268" w:hanging="567"/>
        <w:contextualSpacing w:val="0"/>
        <w:jc w:val="both"/>
        <w:rPr>
          <w:rFonts w:eastAsia="Times New Roman" w:cs="Times New Roman"/>
          <w:vanish/>
          <w:color w:val="auto"/>
          <w:spacing w:val="3"/>
          <w:lang w:eastAsia="en-US"/>
        </w:rPr>
      </w:pPr>
    </w:p>
    <w:p w14:paraId="52ADA11C" w14:textId="77777777" w:rsidR="002D7B36" w:rsidRPr="00DE12A3" w:rsidRDefault="002D7B36" w:rsidP="00E20716">
      <w:pPr>
        <w:pStyle w:val="ListeParagraf"/>
        <w:numPr>
          <w:ilvl w:val="0"/>
          <w:numId w:val="441"/>
        </w:numPr>
        <w:spacing w:before="120" w:after="120"/>
        <w:ind w:left="2268" w:hanging="567"/>
        <w:contextualSpacing w:val="0"/>
        <w:jc w:val="both"/>
        <w:rPr>
          <w:rFonts w:eastAsia="Times New Roman" w:cs="Times New Roman"/>
          <w:vanish/>
          <w:color w:val="auto"/>
          <w:spacing w:val="3"/>
          <w:lang w:eastAsia="en-US"/>
        </w:rPr>
      </w:pPr>
    </w:p>
    <w:p w14:paraId="6A0A8E7A" w14:textId="3558A8A7" w:rsidR="002D7B36" w:rsidRPr="00DE12A3" w:rsidRDefault="00175D18" w:rsidP="00E20716">
      <w:pPr>
        <w:pStyle w:val="Gvdemetni250"/>
        <w:numPr>
          <w:ilvl w:val="0"/>
          <w:numId w:val="441"/>
        </w:numPr>
        <w:shd w:val="clear" w:color="auto" w:fill="auto"/>
        <w:spacing w:before="120" w:after="120" w:line="240" w:lineRule="auto"/>
        <w:ind w:left="2268" w:hanging="567"/>
        <w:rPr>
          <w:sz w:val="24"/>
          <w:szCs w:val="24"/>
        </w:rPr>
      </w:pPr>
      <w:r w:rsidRPr="00DE12A3">
        <w:rPr>
          <w:sz w:val="24"/>
          <w:szCs w:val="24"/>
        </w:rPr>
        <w:t xml:space="preserve">   </w:t>
      </w:r>
      <w:r w:rsidR="00242DA0" w:rsidRPr="00DE12A3">
        <w:rPr>
          <w:sz w:val="24"/>
          <w:szCs w:val="24"/>
        </w:rPr>
        <w:t>Sonuç bir molar miktar ise, emisyon molar kütlesi Mgas [g/mol] ile çarpılarak bir arka plan emisyon kütlesine, mbkgnd [g] dönüştürülmelidir</w:t>
      </w:r>
      <w:r w:rsidR="00CE5167" w:rsidRPr="00DE12A3">
        <w:rPr>
          <w:sz w:val="24"/>
          <w:szCs w:val="24"/>
        </w:rPr>
        <w:t>.</w:t>
      </w:r>
    </w:p>
    <w:p w14:paraId="3208E052" w14:textId="77777777" w:rsidR="002D7B36" w:rsidRPr="00DE12A3" w:rsidRDefault="002D7B36" w:rsidP="00E20716">
      <w:pPr>
        <w:pStyle w:val="ListeParagraf"/>
        <w:numPr>
          <w:ilvl w:val="0"/>
          <w:numId w:val="441"/>
        </w:numPr>
        <w:spacing w:before="120" w:after="120"/>
        <w:ind w:left="2268" w:hanging="567"/>
        <w:contextualSpacing w:val="0"/>
        <w:jc w:val="both"/>
        <w:rPr>
          <w:rFonts w:eastAsia="Times New Roman" w:cs="Times New Roman"/>
          <w:vanish/>
          <w:color w:val="auto"/>
          <w:spacing w:val="3"/>
          <w:lang w:eastAsia="en-US"/>
        </w:rPr>
      </w:pPr>
    </w:p>
    <w:p w14:paraId="19928940" w14:textId="77777777" w:rsidR="002D7B36" w:rsidRPr="00DE12A3" w:rsidRDefault="002D7B36" w:rsidP="00E20716">
      <w:pPr>
        <w:pStyle w:val="ListeParagraf"/>
        <w:numPr>
          <w:ilvl w:val="0"/>
          <w:numId w:val="441"/>
        </w:numPr>
        <w:spacing w:before="120" w:after="120"/>
        <w:ind w:left="2268" w:hanging="567"/>
        <w:contextualSpacing w:val="0"/>
        <w:jc w:val="both"/>
        <w:rPr>
          <w:rFonts w:eastAsia="Times New Roman" w:cs="Times New Roman"/>
          <w:vanish/>
          <w:color w:val="auto"/>
          <w:spacing w:val="3"/>
          <w:lang w:eastAsia="en-US"/>
        </w:rPr>
      </w:pPr>
    </w:p>
    <w:p w14:paraId="25A81F76" w14:textId="77777777" w:rsidR="002D7B36" w:rsidRPr="00DE12A3" w:rsidRDefault="002D7B36" w:rsidP="00E20716">
      <w:pPr>
        <w:pStyle w:val="ListeParagraf"/>
        <w:numPr>
          <w:ilvl w:val="0"/>
          <w:numId w:val="441"/>
        </w:numPr>
        <w:spacing w:before="120" w:after="120"/>
        <w:ind w:left="2268" w:hanging="567"/>
        <w:contextualSpacing w:val="0"/>
        <w:jc w:val="both"/>
        <w:rPr>
          <w:rFonts w:eastAsia="Times New Roman" w:cs="Times New Roman"/>
          <w:vanish/>
          <w:color w:val="auto"/>
          <w:spacing w:val="3"/>
          <w:lang w:eastAsia="en-US"/>
        </w:rPr>
      </w:pPr>
    </w:p>
    <w:p w14:paraId="3DCBC916" w14:textId="77777777" w:rsidR="002D7B36" w:rsidRPr="00DE12A3" w:rsidRDefault="002D7B36" w:rsidP="00E20716">
      <w:pPr>
        <w:pStyle w:val="ListeParagraf"/>
        <w:numPr>
          <w:ilvl w:val="0"/>
          <w:numId w:val="441"/>
        </w:numPr>
        <w:spacing w:before="120" w:after="120"/>
        <w:ind w:left="2268" w:hanging="567"/>
        <w:contextualSpacing w:val="0"/>
        <w:jc w:val="both"/>
        <w:rPr>
          <w:rFonts w:eastAsia="Times New Roman" w:cs="Times New Roman"/>
          <w:vanish/>
          <w:color w:val="auto"/>
          <w:spacing w:val="3"/>
          <w:lang w:eastAsia="en-US"/>
        </w:rPr>
      </w:pPr>
    </w:p>
    <w:p w14:paraId="4DEE14F4" w14:textId="77777777" w:rsidR="002D7B36" w:rsidRPr="00DE12A3" w:rsidRDefault="002D7B36" w:rsidP="00E20716">
      <w:pPr>
        <w:pStyle w:val="ListeParagraf"/>
        <w:numPr>
          <w:ilvl w:val="0"/>
          <w:numId w:val="441"/>
        </w:numPr>
        <w:spacing w:before="120" w:after="120"/>
        <w:ind w:left="2268" w:hanging="567"/>
        <w:contextualSpacing w:val="0"/>
        <w:jc w:val="both"/>
        <w:rPr>
          <w:rFonts w:eastAsia="Times New Roman" w:cs="Times New Roman"/>
          <w:vanish/>
          <w:color w:val="auto"/>
          <w:spacing w:val="3"/>
          <w:lang w:eastAsia="en-US"/>
        </w:rPr>
      </w:pPr>
    </w:p>
    <w:p w14:paraId="41A6A4D0" w14:textId="77777777" w:rsidR="002D7B36" w:rsidRPr="00DE12A3" w:rsidRDefault="002D7B36" w:rsidP="00E20716">
      <w:pPr>
        <w:pStyle w:val="ListeParagraf"/>
        <w:numPr>
          <w:ilvl w:val="0"/>
          <w:numId w:val="441"/>
        </w:numPr>
        <w:spacing w:before="120" w:after="120"/>
        <w:ind w:left="2268" w:hanging="567"/>
        <w:contextualSpacing w:val="0"/>
        <w:jc w:val="both"/>
        <w:rPr>
          <w:rFonts w:eastAsia="Times New Roman" w:cs="Times New Roman"/>
          <w:vanish/>
          <w:color w:val="auto"/>
          <w:spacing w:val="3"/>
          <w:lang w:eastAsia="en-US"/>
        </w:rPr>
      </w:pPr>
    </w:p>
    <w:p w14:paraId="310DA70A" w14:textId="77777777" w:rsidR="002D7B36" w:rsidRPr="00DE12A3" w:rsidRDefault="002D7B36" w:rsidP="00E20716">
      <w:pPr>
        <w:pStyle w:val="ListeParagraf"/>
        <w:numPr>
          <w:ilvl w:val="0"/>
          <w:numId w:val="441"/>
        </w:numPr>
        <w:spacing w:before="120" w:after="120"/>
        <w:ind w:left="2268" w:hanging="567"/>
        <w:contextualSpacing w:val="0"/>
        <w:jc w:val="both"/>
        <w:rPr>
          <w:rFonts w:eastAsia="Times New Roman" w:cs="Times New Roman"/>
          <w:vanish/>
          <w:color w:val="auto"/>
          <w:spacing w:val="3"/>
          <w:lang w:eastAsia="en-US"/>
        </w:rPr>
      </w:pPr>
    </w:p>
    <w:p w14:paraId="73CDFE8D" w14:textId="77777777" w:rsidR="002D7B36" w:rsidRPr="00DE12A3" w:rsidRDefault="002D7B36" w:rsidP="00E20716">
      <w:pPr>
        <w:pStyle w:val="ListeParagraf"/>
        <w:numPr>
          <w:ilvl w:val="0"/>
          <w:numId w:val="441"/>
        </w:numPr>
        <w:spacing w:before="120" w:after="120"/>
        <w:ind w:left="2268" w:hanging="567"/>
        <w:contextualSpacing w:val="0"/>
        <w:jc w:val="both"/>
        <w:rPr>
          <w:rFonts w:eastAsia="Times New Roman" w:cs="Times New Roman"/>
          <w:vanish/>
          <w:color w:val="auto"/>
          <w:spacing w:val="3"/>
          <w:lang w:eastAsia="en-US"/>
        </w:rPr>
      </w:pPr>
    </w:p>
    <w:p w14:paraId="40AB51D9" w14:textId="77777777" w:rsidR="002D7B36" w:rsidRPr="00DE12A3" w:rsidRDefault="002D7B36" w:rsidP="00E20716">
      <w:pPr>
        <w:pStyle w:val="ListeParagraf"/>
        <w:numPr>
          <w:ilvl w:val="0"/>
          <w:numId w:val="441"/>
        </w:numPr>
        <w:spacing w:before="120" w:after="120"/>
        <w:ind w:left="2268" w:hanging="567"/>
        <w:contextualSpacing w:val="0"/>
        <w:jc w:val="both"/>
        <w:rPr>
          <w:rFonts w:eastAsia="Times New Roman" w:cs="Times New Roman"/>
          <w:vanish/>
          <w:color w:val="auto"/>
          <w:spacing w:val="3"/>
          <w:lang w:eastAsia="en-US"/>
        </w:rPr>
      </w:pPr>
    </w:p>
    <w:p w14:paraId="076FB798" w14:textId="77777777" w:rsidR="002D7B36" w:rsidRPr="00DE12A3" w:rsidRDefault="002D7B36" w:rsidP="00E20716">
      <w:pPr>
        <w:pStyle w:val="ListeParagraf"/>
        <w:numPr>
          <w:ilvl w:val="0"/>
          <w:numId w:val="441"/>
        </w:numPr>
        <w:spacing w:before="120" w:after="120"/>
        <w:ind w:left="2268" w:hanging="567"/>
        <w:contextualSpacing w:val="0"/>
        <w:jc w:val="both"/>
        <w:rPr>
          <w:rFonts w:eastAsia="Times New Roman" w:cs="Times New Roman"/>
          <w:vanish/>
          <w:color w:val="auto"/>
          <w:spacing w:val="3"/>
          <w:lang w:eastAsia="en-US"/>
        </w:rPr>
      </w:pPr>
    </w:p>
    <w:p w14:paraId="63E2F9D0" w14:textId="77777777" w:rsidR="002D7B36" w:rsidRPr="00DE12A3" w:rsidRDefault="002D7B36" w:rsidP="00E20716">
      <w:pPr>
        <w:pStyle w:val="ListeParagraf"/>
        <w:numPr>
          <w:ilvl w:val="0"/>
          <w:numId w:val="441"/>
        </w:numPr>
        <w:spacing w:before="120" w:after="120"/>
        <w:ind w:left="2268" w:hanging="567"/>
        <w:contextualSpacing w:val="0"/>
        <w:jc w:val="both"/>
        <w:rPr>
          <w:rFonts w:eastAsia="Times New Roman" w:cs="Times New Roman"/>
          <w:vanish/>
          <w:color w:val="auto"/>
          <w:spacing w:val="3"/>
          <w:lang w:eastAsia="en-US"/>
        </w:rPr>
      </w:pPr>
    </w:p>
    <w:p w14:paraId="1596983A" w14:textId="77777777" w:rsidR="002D7B36" w:rsidRPr="00DE12A3" w:rsidRDefault="002D7B36" w:rsidP="00E20716">
      <w:pPr>
        <w:pStyle w:val="ListeParagraf"/>
        <w:numPr>
          <w:ilvl w:val="0"/>
          <w:numId w:val="441"/>
        </w:numPr>
        <w:spacing w:before="120" w:after="120"/>
        <w:ind w:left="2268" w:hanging="567"/>
        <w:contextualSpacing w:val="0"/>
        <w:jc w:val="both"/>
        <w:rPr>
          <w:rFonts w:eastAsia="Times New Roman" w:cs="Times New Roman"/>
          <w:vanish/>
          <w:color w:val="auto"/>
          <w:spacing w:val="3"/>
          <w:lang w:eastAsia="en-US"/>
        </w:rPr>
      </w:pPr>
    </w:p>
    <w:p w14:paraId="4D5A9F9E" w14:textId="77777777" w:rsidR="002D7B36" w:rsidRPr="00DE12A3" w:rsidRDefault="002D7B36" w:rsidP="00E20716">
      <w:pPr>
        <w:pStyle w:val="ListeParagraf"/>
        <w:numPr>
          <w:ilvl w:val="0"/>
          <w:numId w:val="441"/>
        </w:numPr>
        <w:spacing w:before="120" w:after="120"/>
        <w:ind w:left="2268" w:hanging="567"/>
        <w:contextualSpacing w:val="0"/>
        <w:jc w:val="both"/>
        <w:rPr>
          <w:rFonts w:eastAsia="Times New Roman" w:cs="Times New Roman"/>
          <w:vanish/>
          <w:color w:val="auto"/>
          <w:spacing w:val="3"/>
          <w:lang w:eastAsia="en-US"/>
        </w:rPr>
      </w:pPr>
    </w:p>
    <w:p w14:paraId="28AA533B" w14:textId="77777777" w:rsidR="002D7B36" w:rsidRPr="00DE12A3" w:rsidRDefault="002D7B36" w:rsidP="00E20716">
      <w:pPr>
        <w:pStyle w:val="ListeParagraf"/>
        <w:numPr>
          <w:ilvl w:val="0"/>
          <w:numId w:val="441"/>
        </w:numPr>
        <w:spacing w:before="120" w:after="120"/>
        <w:ind w:left="2268" w:hanging="567"/>
        <w:contextualSpacing w:val="0"/>
        <w:jc w:val="both"/>
        <w:rPr>
          <w:rFonts w:eastAsia="Times New Roman" w:cs="Times New Roman"/>
          <w:vanish/>
          <w:color w:val="auto"/>
          <w:spacing w:val="3"/>
          <w:lang w:eastAsia="en-US"/>
        </w:rPr>
      </w:pPr>
    </w:p>
    <w:p w14:paraId="2947C851" w14:textId="77777777" w:rsidR="002D7B36" w:rsidRPr="00DE12A3" w:rsidRDefault="002D7B36" w:rsidP="00E20716">
      <w:pPr>
        <w:pStyle w:val="ListeParagraf"/>
        <w:numPr>
          <w:ilvl w:val="0"/>
          <w:numId w:val="441"/>
        </w:numPr>
        <w:spacing w:before="120" w:after="120"/>
        <w:ind w:left="2268" w:hanging="567"/>
        <w:contextualSpacing w:val="0"/>
        <w:jc w:val="both"/>
        <w:rPr>
          <w:rFonts w:eastAsia="Times New Roman" w:cs="Times New Roman"/>
          <w:vanish/>
          <w:color w:val="auto"/>
          <w:spacing w:val="3"/>
          <w:lang w:eastAsia="en-US"/>
        </w:rPr>
      </w:pPr>
    </w:p>
    <w:p w14:paraId="41DC82A6" w14:textId="77777777" w:rsidR="002D7B36" w:rsidRPr="00DE12A3" w:rsidRDefault="002D7B36" w:rsidP="00E20716">
      <w:pPr>
        <w:pStyle w:val="ListeParagraf"/>
        <w:numPr>
          <w:ilvl w:val="0"/>
          <w:numId w:val="441"/>
        </w:numPr>
        <w:spacing w:before="120" w:after="120"/>
        <w:ind w:left="2268" w:hanging="567"/>
        <w:contextualSpacing w:val="0"/>
        <w:jc w:val="both"/>
        <w:rPr>
          <w:rFonts w:eastAsia="Times New Roman" w:cs="Times New Roman"/>
          <w:vanish/>
          <w:color w:val="auto"/>
          <w:spacing w:val="3"/>
          <w:lang w:eastAsia="en-US"/>
        </w:rPr>
      </w:pPr>
    </w:p>
    <w:p w14:paraId="438CEF20" w14:textId="77777777" w:rsidR="002D7B36" w:rsidRPr="00DE12A3" w:rsidRDefault="002D7B36" w:rsidP="00E20716">
      <w:pPr>
        <w:pStyle w:val="ListeParagraf"/>
        <w:numPr>
          <w:ilvl w:val="0"/>
          <w:numId w:val="441"/>
        </w:numPr>
        <w:spacing w:before="120" w:after="120"/>
        <w:ind w:left="2268" w:hanging="567"/>
        <w:contextualSpacing w:val="0"/>
        <w:jc w:val="both"/>
        <w:rPr>
          <w:rFonts w:eastAsia="Times New Roman" w:cs="Times New Roman"/>
          <w:vanish/>
          <w:color w:val="auto"/>
          <w:spacing w:val="3"/>
          <w:lang w:eastAsia="en-US"/>
        </w:rPr>
      </w:pPr>
    </w:p>
    <w:p w14:paraId="10BE69C8" w14:textId="77777777" w:rsidR="002D7B36" w:rsidRPr="00DE12A3" w:rsidRDefault="002D7B36" w:rsidP="00E20716">
      <w:pPr>
        <w:pStyle w:val="ListeParagraf"/>
        <w:numPr>
          <w:ilvl w:val="0"/>
          <w:numId w:val="441"/>
        </w:numPr>
        <w:spacing w:before="120" w:after="120"/>
        <w:ind w:left="2268" w:hanging="567"/>
        <w:contextualSpacing w:val="0"/>
        <w:jc w:val="both"/>
        <w:rPr>
          <w:rFonts w:eastAsia="Times New Roman" w:cs="Times New Roman"/>
          <w:vanish/>
          <w:color w:val="auto"/>
          <w:spacing w:val="3"/>
          <w:lang w:eastAsia="en-US"/>
        </w:rPr>
      </w:pPr>
    </w:p>
    <w:p w14:paraId="73ECD83F" w14:textId="77777777" w:rsidR="002D7B36" w:rsidRPr="00DE12A3" w:rsidRDefault="002D7B36" w:rsidP="00E20716">
      <w:pPr>
        <w:pStyle w:val="ListeParagraf"/>
        <w:numPr>
          <w:ilvl w:val="0"/>
          <w:numId w:val="441"/>
        </w:numPr>
        <w:spacing w:before="120" w:after="120"/>
        <w:ind w:left="2268" w:hanging="567"/>
        <w:contextualSpacing w:val="0"/>
        <w:jc w:val="both"/>
        <w:rPr>
          <w:rFonts w:eastAsia="Times New Roman" w:cs="Times New Roman"/>
          <w:vanish/>
          <w:color w:val="auto"/>
          <w:spacing w:val="3"/>
          <w:lang w:eastAsia="en-US"/>
        </w:rPr>
      </w:pPr>
    </w:p>
    <w:p w14:paraId="6030EABC" w14:textId="77777777" w:rsidR="002D7B36" w:rsidRPr="00DE12A3" w:rsidRDefault="002D7B36" w:rsidP="00E20716">
      <w:pPr>
        <w:pStyle w:val="ListeParagraf"/>
        <w:numPr>
          <w:ilvl w:val="0"/>
          <w:numId w:val="441"/>
        </w:numPr>
        <w:spacing w:before="120" w:after="120"/>
        <w:ind w:left="2268" w:hanging="567"/>
        <w:contextualSpacing w:val="0"/>
        <w:jc w:val="both"/>
        <w:rPr>
          <w:rFonts w:eastAsia="Times New Roman" w:cs="Times New Roman"/>
          <w:vanish/>
          <w:color w:val="auto"/>
          <w:spacing w:val="3"/>
          <w:lang w:eastAsia="en-US"/>
        </w:rPr>
      </w:pPr>
    </w:p>
    <w:p w14:paraId="4FAA2642" w14:textId="77777777" w:rsidR="002D7B36" w:rsidRPr="00DE12A3" w:rsidRDefault="002D7B36" w:rsidP="00E20716">
      <w:pPr>
        <w:pStyle w:val="ListeParagraf"/>
        <w:numPr>
          <w:ilvl w:val="0"/>
          <w:numId w:val="441"/>
        </w:numPr>
        <w:spacing w:before="120" w:after="120"/>
        <w:ind w:left="2268" w:hanging="567"/>
        <w:contextualSpacing w:val="0"/>
        <w:jc w:val="both"/>
        <w:rPr>
          <w:rFonts w:eastAsia="Times New Roman" w:cs="Times New Roman"/>
          <w:vanish/>
          <w:color w:val="auto"/>
          <w:spacing w:val="3"/>
          <w:lang w:eastAsia="en-US"/>
        </w:rPr>
      </w:pPr>
    </w:p>
    <w:p w14:paraId="4D8A8466" w14:textId="77777777" w:rsidR="002D7B36" w:rsidRPr="00DE12A3" w:rsidRDefault="002D7B36" w:rsidP="00E20716">
      <w:pPr>
        <w:pStyle w:val="ListeParagraf"/>
        <w:numPr>
          <w:ilvl w:val="0"/>
          <w:numId w:val="441"/>
        </w:numPr>
        <w:spacing w:before="120" w:after="120"/>
        <w:ind w:left="2268" w:hanging="567"/>
        <w:contextualSpacing w:val="0"/>
        <w:jc w:val="both"/>
        <w:rPr>
          <w:rFonts w:eastAsia="Times New Roman" w:cs="Times New Roman"/>
          <w:vanish/>
          <w:color w:val="auto"/>
          <w:spacing w:val="3"/>
          <w:lang w:eastAsia="en-US"/>
        </w:rPr>
      </w:pPr>
    </w:p>
    <w:p w14:paraId="56060F66" w14:textId="77777777" w:rsidR="002D7B36" w:rsidRPr="00DE12A3" w:rsidRDefault="002D7B36" w:rsidP="00E20716">
      <w:pPr>
        <w:pStyle w:val="ListeParagraf"/>
        <w:numPr>
          <w:ilvl w:val="0"/>
          <w:numId w:val="441"/>
        </w:numPr>
        <w:spacing w:before="120" w:after="120"/>
        <w:ind w:left="2268" w:hanging="567"/>
        <w:contextualSpacing w:val="0"/>
        <w:jc w:val="both"/>
        <w:rPr>
          <w:rFonts w:eastAsia="Times New Roman" w:cs="Times New Roman"/>
          <w:vanish/>
          <w:color w:val="auto"/>
          <w:spacing w:val="3"/>
          <w:lang w:eastAsia="en-US"/>
        </w:rPr>
      </w:pPr>
    </w:p>
    <w:p w14:paraId="4189ADCC" w14:textId="77777777" w:rsidR="002D7B36" w:rsidRPr="00DE12A3" w:rsidRDefault="002D7B36" w:rsidP="00E20716">
      <w:pPr>
        <w:pStyle w:val="ListeParagraf"/>
        <w:numPr>
          <w:ilvl w:val="0"/>
          <w:numId w:val="441"/>
        </w:numPr>
        <w:spacing w:before="120" w:after="120"/>
        <w:ind w:left="2268" w:hanging="567"/>
        <w:contextualSpacing w:val="0"/>
        <w:jc w:val="both"/>
        <w:rPr>
          <w:rFonts w:eastAsia="Times New Roman" w:cs="Times New Roman"/>
          <w:vanish/>
          <w:color w:val="auto"/>
          <w:spacing w:val="3"/>
          <w:lang w:eastAsia="en-US"/>
        </w:rPr>
      </w:pPr>
    </w:p>
    <w:p w14:paraId="59DD3A9B" w14:textId="77777777" w:rsidR="002D7B36" w:rsidRPr="00DE12A3" w:rsidRDefault="002D7B36" w:rsidP="00E20716">
      <w:pPr>
        <w:pStyle w:val="ListeParagraf"/>
        <w:numPr>
          <w:ilvl w:val="0"/>
          <w:numId w:val="441"/>
        </w:numPr>
        <w:spacing w:before="120" w:after="120"/>
        <w:ind w:left="2268" w:hanging="567"/>
        <w:contextualSpacing w:val="0"/>
        <w:jc w:val="both"/>
        <w:rPr>
          <w:rFonts w:eastAsia="Times New Roman" w:cs="Times New Roman"/>
          <w:vanish/>
          <w:color w:val="auto"/>
          <w:spacing w:val="3"/>
          <w:lang w:eastAsia="en-US"/>
        </w:rPr>
      </w:pPr>
    </w:p>
    <w:p w14:paraId="171E41CD" w14:textId="254AD58D" w:rsidR="002D7B36" w:rsidRPr="00DE12A3" w:rsidRDefault="00242DA0" w:rsidP="00C917D6">
      <w:pPr>
        <w:pStyle w:val="Gvdemetni250"/>
        <w:shd w:val="clear" w:color="auto" w:fill="auto"/>
        <w:spacing w:before="120" w:after="120" w:line="240" w:lineRule="auto"/>
        <w:ind w:left="2268" w:hanging="567"/>
        <w:rPr>
          <w:sz w:val="24"/>
          <w:szCs w:val="24"/>
        </w:rPr>
      </w:pPr>
      <w:r w:rsidRPr="00DE12A3">
        <w:rPr>
          <w:sz w:val="24"/>
          <w:szCs w:val="24"/>
        </w:rPr>
        <w:t>(iv)  Arka plan emisyonlarını düzeltmek için toplam arka plan kütlesi toplam kütleden çıkarılmalıdır</w:t>
      </w:r>
      <w:r w:rsidR="00CE5167" w:rsidRPr="00DE12A3">
        <w:rPr>
          <w:sz w:val="24"/>
          <w:szCs w:val="24"/>
        </w:rPr>
        <w:t>.</w:t>
      </w:r>
    </w:p>
    <w:p w14:paraId="7ECF01C0" w14:textId="42EF559E" w:rsidR="002D7B36" w:rsidRPr="00DE12A3" w:rsidRDefault="00242DA0" w:rsidP="00E20716">
      <w:pPr>
        <w:pStyle w:val="Gvdemetni250"/>
        <w:numPr>
          <w:ilvl w:val="0"/>
          <w:numId w:val="434"/>
        </w:numPr>
        <w:shd w:val="clear" w:color="auto" w:fill="auto"/>
        <w:spacing w:before="120" w:after="120" w:line="240" w:lineRule="auto"/>
        <w:ind w:left="2268" w:hanging="567"/>
        <w:rPr>
          <w:sz w:val="24"/>
          <w:szCs w:val="24"/>
        </w:rPr>
      </w:pPr>
      <w:r w:rsidRPr="00DE12A3">
        <w:rPr>
          <w:sz w:val="24"/>
          <w:szCs w:val="24"/>
        </w:rPr>
        <w:t xml:space="preserve"> Toplam seyreltme havası akışı, bir doğrudan akış ölçümü ile belirlenebilir. Bu durumda, toplam arka plan kütlesi nairdil, seyreltme hava akımı kullanılarak hesaplanmalıdır. Arka plan kütlesi toplam kütleden çıkarılmalıdır. Sonuç, frene özgü emisyon hesaplamalarında kullanılmalıdır</w:t>
      </w:r>
      <w:r w:rsidR="00CE5167" w:rsidRPr="00DE12A3">
        <w:rPr>
          <w:sz w:val="24"/>
          <w:szCs w:val="24"/>
        </w:rPr>
        <w:t>.</w:t>
      </w:r>
    </w:p>
    <w:p w14:paraId="6683305D" w14:textId="77777777" w:rsidR="002D7B36" w:rsidRPr="00DE12A3" w:rsidRDefault="00175D18" w:rsidP="00E20716">
      <w:pPr>
        <w:pStyle w:val="Gvdemetni250"/>
        <w:numPr>
          <w:ilvl w:val="0"/>
          <w:numId w:val="434"/>
        </w:numPr>
        <w:shd w:val="clear" w:color="auto" w:fill="auto"/>
        <w:spacing w:before="120" w:after="120" w:line="240" w:lineRule="auto"/>
        <w:ind w:left="2268" w:hanging="567"/>
        <w:rPr>
          <w:sz w:val="24"/>
          <w:szCs w:val="24"/>
        </w:rPr>
      </w:pPr>
      <w:r w:rsidRPr="00DE12A3">
        <w:rPr>
          <w:sz w:val="24"/>
          <w:szCs w:val="24"/>
        </w:rPr>
        <w:t xml:space="preserve">  </w:t>
      </w:r>
      <w:r w:rsidR="00242DA0" w:rsidRPr="00DE12A3">
        <w:rPr>
          <w:sz w:val="24"/>
          <w:szCs w:val="24"/>
        </w:rPr>
        <w:t xml:space="preserve">Toplam seyreltme havası akışı, toplam seyreltilmiş egzoz gazı akışından </w:t>
      </w:r>
      <w:r w:rsidRPr="00DE12A3">
        <w:rPr>
          <w:sz w:val="24"/>
          <w:szCs w:val="24"/>
        </w:rPr>
        <w:t xml:space="preserve">  </w:t>
      </w:r>
      <w:r w:rsidR="00242DA0" w:rsidRPr="00DE12A3">
        <w:rPr>
          <w:sz w:val="24"/>
          <w:szCs w:val="24"/>
        </w:rPr>
        <w:t>ve 3.4 bendinde belirtilen yakıt, emme havası ve egzoz gazının kimyasal dengesinden belirlenebilir. Bu durumda, toplam arka plan kütlesi, seyreltik egzoz gazının toplam akışı ndexh kullanılarak hesaplanır. Sonra bu sonuç, seyreltilmiş egzoz gazı içindeki akış ağırlıklı ortalama seyreltme havası oranı x</w:t>
      </w:r>
      <w:r w:rsidR="00242DA0" w:rsidRPr="00DE12A3">
        <w:rPr>
          <w:sz w:val="24"/>
          <w:szCs w:val="24"/>
          <w:vertAlign w:val="subscript"/>
        </w:rPr>
        <w:t xml:space="preserve">dil/exh </w:t>
      </w:r>
      <w:r w:rsidR="00242DA0" w:rsidRPr="00DE12A3">
        <w:rPr>
          <w:sz w:val="24"/>
          <w:szCs w:val="24"/>
        </w:rPr>
        <w:t>ile çarpılmalıdır.</w:t>
      </w:r>
    </w:p>
    <w:p w14:paraId="51E34550" w14:textId="72B46E9B" w:rsidR="002D7B36" w:rsidRPr="00DE12A3" w:rsidRDefault="00175D18" w:rsidP="00C917D6">
      <w:pPr>
        <w:pStyle w:val="Gvdemetni250"/>
        <w:shd w:val="clear" w:color="auto" w:fill="auto"/>
        <w:spacing w:before="120" w:after="120" w:line="240" w:lineRule="auto"/>
        <w:ind w:left="1701" w:hanging="567"/>
        <w:rPr>
          <w:sz w:val="24"/>
          <w:szCs w:val="24"/>
        </w:rPr>
      </w:pPr>
      <w:r w:rsidRPr="00DE12A3">
        <w:rPr>
          <w:sz w:val="24"/>
          <w:szCs w:val="24"/>
        </w:rPr>
        <w:t xml:space="preserve">          </w:t>
      </w:r>
      <w:r w:rsidR="00242DA0" w:rsidRPr="00DE12A3">
        <w:rPr>
          <w:sz w:val="24"/>
          <w:szCs w:val="24"/>
        </w:rPr>
        <w:t xml:space="preserve">İki durum, (v) ve (vi) </w:t>
      </w:r>
      <w:r w:rsidR="00CE5167" w:rsidRPr="00DE12A3">
        <w:rPr>
          <w:sz w:val="24"/>
          <w:szCs w:val="24"/>
        </w:rPr>
        <w:t xml:space="preserve">paragrafları </w:t>
      </w:r>
      <w:r w:rsidR="00242DA0" w:rsidRPr="00DE12A3">
        <w:rPr>
          <w:sz w:val="24"/>
          <w:szCs w:val="24"/>
        </w:rPr>
        <w:t xml:space="preserve">göz önüne alındığında, (7-115) ve (7116) </w:t>
      </w:r>
      <w:r w:rsidR="00962CA1" w:rsidRPr="00DE12A3">
        <w:rPr>
          <w:sz w:val="24"/>
          <w:szCs w:val="24"/>
        </w:rPr>
        <w:t>numaralı</w:t>
      </w:r>
      <w:r w:rsidR="00962CA1" w:rsidRPr="00DE12A3" w:rsidDel="00962CA1">
        <w:rPr>
          <w:sz w:val="24"/>
          <w:szCs w:val="24"/>
        </w:rPr>
        <w:t xml:space="preserve"> </w:t>
      </w:r>
      <w:r w:rsidR="00242DA0" w:rsidRPr="00DE12A3">
        <w:rPr>
          <w:sz w:val="24"/>
          <w:szCs w:val="24"/>
        </w:rPr>
        <w:t>denklemler kullanılmalıdır:</w:t>
      </w:r>
    </w:p>
    <w:p w14:paraId="16E6ECA0" w14:textId="5D7F7807" w:rsidR="002D7B36" w:rsidRPr="00DE12A3" w:rsidRDefault="00242DA0" w:rsidP="00C917D6">
      <w:pPr>
        <w:pStyle w:val="Gvdemetni250"/>
        <w:shd w:val="clear" w:color="auto" w:fill="auto"/>
        <w:spacing w:before="120" w:after="120" w:line="240" w:lineRule="auto"/>
        <w:ind w:left="1134" w:hanging="1134"/>
        <w:jc w:val="center"/>
        <w:rPr>
          <w:sz w:val="24"/>
          <w:szCs w:val="24"/>
        </w:rPr>
      </w:pPr>
      <w:r w:rsidRPr="00DE12A3">
        <w:rPr>
          <w:noProof/>
          <w:sz w:val="24"/>
          <w:szCs w:val="24"/>
          <w:lang w:eastAsia="tr-TR"/>
        </w:rPr>
        <w:lastRenderedPageBreak/>
        <w:drawing>
          <wp:inline distT="0" distB="0" distL="0" distR="0" wp14:anchorId="7EBFAECC" wp14:editId="1AA1D2BB">
            <wp:extent cx="3460954" cy="913667"/>
            <wp:effectExtent l="0" t="0" r="6350" b="1270"/>
            <wp:docPr id="1990" name="Resim 19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0" name="Resim 1990"/>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a:xfrm>
                      <a:off x="0" y="0"/>
                      <a:ext cx="3613207" cy="953861"/>
                    </a:xfrm>
                    <a:prstGeom prst="rect">
                      <a:avLst/>
                    </a:prstGeom>
                    <a:noFill/>
                    <a:ln>
                      <a:noFill/>
                    </a:ln>
                  </pic:spPr>
                </pic:pic>
              </a:graphicData>
            </a:graphic>
          </wp:inline>
        </w:drawing>
      </w:r>
    </w:p>
    <w:p w14:paraId="34107271" w14:textId="77777777" w:rsidR="00DE2303" w:rsidRPr="00DE12A3" w:rsidRDefault="00175D18" w:rsidP="00C917D6">
      <w:pPr>
        <w:pStyle w:val="Gvdemetni250"/>
        <w:shd w:val="clear" w:color="auto" w:fill="auto"/>
        <w:spacing w:before="120" w:after="120" w:line="240" w:lineRule="auto"/>
        <w:ind w:left="1134" w:firstLine="0"/>
        <w:rPr>
          <w:sz w:val="24"/>
          <w:szCs w:val="24"/>
        </w:rPr>
      </w:pPr>
      <w:r w:rsidRPr="00DE12A3">
        <w:rPr>
          <w:sz w:val="24"/>
          <w:szCs w:val="24"/>
        </w:rPr>
        <w:t>B</w:t>
      </w:r>
      <w:r w:rsidR="00242DA0" w:rsidRPr="00DE12A3">
        <w:rPr>
          <w:sz w:val="24"/>
          <w:szCs w:val="24"/>
        </w:rPr>
        <w:t>urada:</w:t>
      </w:r>
    </w:p>
    <w:tbl>
      <w:tblPr>
        <w:tblW w:w="0" w:type="auto"/>
        <w:tblInd w:w="1242" w:type="dxa"/>
        <w:tblLayout w:type="fixed"/>
        <w:tblLook w:val="0000" w:firstRow="0" w:lastRow="0" w:firstColumn="0" w:lastColumn="0" w:noHBand="0" w:noVBand="0"/>
      </w:tblPr>
      <w:tblGrid>
        <w:gridCol w:w="1134"/>
        <w:gridCol w:w="567"/>
        <w:gridCol w:w="6343"/>
      </w:tblGrid>
      <w:tr w:rsidR="00DE12A3" w:rsidRPr="00DE12A3" w14:paraId="3A9DA0EA" w14:textId="77777777" w:rsidTr="009F4766">
        <w:tc>
          <w:tcPr>
            <w:tcW w:w="1134" w:type="dxa"/>
          </w:tcPr>
          <w:p w14:paraId="76033B5B" w14:textId="77777777" w:rsidR="00DE2303" w:rsidRPr="00DE12A3" w:rsidRDefault="00DE2303" w:rsidP="00C917D6">
            <w:pPr>
              <w:pStyle w:val="NormalLeft"/>
            </w:pPr>
            <w:r w:rsidRPr="00DE12A3">
              <w:rPr>
                <w:i/>
                <w:iCs/>
              </w:rPr>
              <w:t>m</w:t>
            </w:r>
            <w:r w:rsidRPr="00DE12A3">
              <w:rPr>
                <w:vertAlign w:val="subscript"/>
              </w:rPr>
              <w:t>gas</w:t>
            </w:r>
          </w:p>
        </w:tc>
        <w:tc>
          <w:tcPr>
            <w:tcW w:w="567" w:type="dxa"/>
          </w:tcPr>
          <w:p w14:paraId="7508F7E2" w14:textId="77777777" w:rsidR="00DE2303" w:rsidRPr="00DE12A3" w:rsidRDefault="00DE2303" w:rsidP="00C917D6">
            <w:pPr>
              <w:pStyle w:val="NormalLeft"/>
            </w:pPr>
            <w:r w:rsidRPr="00DE12A3">
              <w:t>=</w:t>
            </w:r>
          </w:p>
        </w:tc>
        <w:tc>
          <w:tcPr>
            <w:tcW w:w="6343" w:type="dxa"/>
          </w:tcPr>
          <w:p w14:paraId="741A939B" w14:textId="12B1A32E" w:rsidR="00DE2303" w:rsidRPr="00DE12A3" w:rsidRDefault="001A234D" w:rsidP="00C917D6">
            <w:pPr>
              <w:spacing w:before="120" w:after="120"/>
              <w:rPr>
                <w:rFonts w:cs="Times New Roman"/>
                <w:color w:val="auto"/>
              </w:rPr>
            </w:pPr>
            <w:r w:rsidRPr="00DE12A3">
              <w:rPr>
                <w:rFonts w:cs="Times New Roman"/>
                <w:color w:val="auto"/>
              </w:rPr>
              <w:t>Toplam</w:t>
            </w:r>
            <w:r w:rsidR="00DE2303" w:rsidRPr="00DE12A3">
              <w:rPr>
                <w:rFonts w:cs="Times New Roman"/>
                <w:color w:val="auto"/>
              </w:rPr>
              <w:t xml:space="preserve"> gaz emisyonu kütlesi [g]</w:t>
            </w:r>
          </w:p>
        </w:tc>
      </w:tr>
      <w:tr w:rsidR="00DE12A3" w:rsidRPr="00DE12A3" w14:paraId="6F2674E5" w14:textId="77777777" w:rsidTr="009F4766">
        <w:tc>
          <w:tcPr>
            <w:tcW w:w="1134" w:type="dxa"/>
          </w:tcPr>
          <w:p w14:paraId="4C32F15F" w14:textId="77777777" w:rsidR="00DE2303" w:rsidRPr="00DE12A3" w:rsidRDefault="00DE2303" w:rsidP="00C917D6">
            <w:pPr>
              <w:pStyle w:val="NormalLeft"/>
            </w:pPr>
            <w:r w:rsidRPr="00DE12A3">
              <w:rPr>
                <w:i/>
                <w:iCs/>
              </w:rPr>
              <w:t>m</w:t>
            </w:r>
            <w:r w:rsidRPr="00DE12A3">
              <w:rPr>
                <w:vertAlign w:val="subscript"/>
              </w:rPr>
              <w:t>bkgnd</w:t>
            </w:r>
          </w:p>
        </w:tc>
        <w:tc>
          <w:tcPr>
            <w:tcW w:w="567" w:type="dxa"/>
          </w:tcPr>
          <w:p w14:paraId="5962A479" w14:textId="77777777" w:rsidR="00DE2303" w:rsidRPr="00DE12A3" w:rsidRDefault="00DE2303" w:rsidP="00C917D6">
            <w:pPr>
              <w:pStyle w:val="NormalLeft"/>
            </w:pPr>
            <w:r w:rsidRPr="00DE12A3">
              <w:t>=</w:t>
            </w:r>
          </w:p>
        </w:tc>
        <w:tc>
          <w:tcPr>
            <w:tcW w:w="6343" w:type="dxa"/>
          </w:tcPr>
          <w:p w14:paraId="384CA36E" w14:textId="4BE81B36" w:rsidR="00DE2303" w:rsidRPr="00DE12A3" w:rsidRDefault="001A234D" w:rsidP="00C917D6">
            <w:pPr>
              <w:spacing w:before="120" w:after="120"/>
              <w:rPr>
                <w:rFonts w:cs="Times New Roman"/>
                <w:color w:val="auto"/>
              </w:rPr>
            </w:pPr>
            <w:r w:rsidRPr="00DE12A3">
              <w:rPr>
                <w:rFonts w:cs="Times New Roman"/>
                <w:color w:val="auto"/>
              </w:rPr>
              <w:t>Toplam</w:t>
            </w:r>
            <w:r w:rsidR="00DE2303" w:rsidRPr="00DE12A3">
              <w:rPr>
                <w:rFonts w:cs="Times New Roman"/>
                <w:color w:val="auto"/>
              </w:rPr>
              <w:t xml:space="preserve"> arka plan kütleleri [g]</w:t>
            </w:r>
          </w:p>
        </w:tc>
      </w:tr>
      <w:tr w:rsidR="00DE12A3" w:rsidRPr="00DE12A3" w14:paraId="456DC83E" w14:textId="77777777" w:rsidTr="009F4766">
        <w:tc>
          <w:tcPr>
            <w:tcW w:w="1134" w:type="dxa"/>
          </w:tcPr>
          <w:p w14:paraId="315F6F67" w14:textId="77777777" w:rsidR="00DE2303" w:rsidRPr="00DE12A3" w:rsidRDefault="00DE2303" w:rsidP="00C917D6">
            <w:pPr>
              <w:pStyle w:val="NormalLeft"/>
            </w:pPr>
            <w:r w:rsidRPr="00DE12A3">
              <w:rPr>
                <w:i/>
                <w:iCs/>
              </w:rPr>
              <w:t>m</w:t>
            </w:r>
            <w:r w:rsidRPr="00DE12A3">
              <w:rPr>
                <w:vertAlign w:val="subscript"/>
              </w:rPr>
              <w:t>gascor</w:t>
            </w:r>
          </w:p>
        </w:tc>
        <w:tc>
          <w:tcPr>
            <w:tcW w:w="567" w:type="dxa"/>
          </w:tcPr>
          <w:p w14:paraId="35417FC9" w14:textId="77777777" w:rsidR="00DE2303" w:rsidRPr="00DE12A3" w:rsidRDefault="00DE2303" w:rsidP="00C917D6">
            <w:pPr>
              <w:pStyle w:val="NormalLeft"/>
            </w:pPr>
            <w:r w:rsidRPr="00DE12A3">
              <w:t>=</w:t>
            </w:r>
          </w:p>
        </w:tc>
        <w:tc>
          <w:tcPr>
            <w:tcW w:w="6343" w:type="dxa"/>
          </w:tcPr>
          <w:p w14:paraId="2CD012CB" w14:textId="2A65C1A3" w:rsidR="00DE2303" w:rsidRPr="00DE12A3" w:rsidRDefault="001A234D" w:rsidP="00C917D6">
            <w:pPr>
              <w:spacing w:before="120" w:after="120"/>
              <w:rPr>
                <w:rFonts w:cs="Times New Roman"/>
                <w:color w:val="auto"/>
              </w:rPr>
            </w:pPr>
            <w:r w:rsidRPr="00DE12A3">
              <w:rPr>
                <w:rFonts w:cs="Times New Roman"/>
                <w:color w:val="auto"/>
              </w:rPr>
              <w:t>Arka</w:t>
            </w:r>
            <w:r w:rsidR="00DE2303" w:rsidRPr="00DE12A3">
              <w:rPr>
                <w:rFonts w:cs="Times New Roman"/>
                <w:color w:val="auto"/>
              </w:rPr>
              <w:t xml:space="preserve"> plan emisyonları bakımından düzeltilmiş gaz kütlesi [g]</w:t>
            </w:r>
          </w:p>
        </w:tc>
      </w:tr>
      <w:tr w:rsidR="00DE12A3" w:rsidRPr="00DE12A3" w14:paraId="41ADB000" w14:textId="77777777" w:rsidTr="009F4766">
        <w:tc>
          <w:tcPr>
            <w:tcW w:w="1134" w:type="dxa"/>
          </w:tcPr>
          <w:p w14:paraId="1FA7CBD7" w14:textId="77777777" w:rsidR="00DE2303" w:rsidRPr="00DE12A3" w:rsidRDefault="00DE2303" w:rsidP="00C917D6">
            <w:pPr>
              <w:pStyle w:val="NormalLeft"/>
            </w:pPr>
            <w:r w:rsidRPr="00DE12A3">
              <w:rPr>
                <w:i/>
                <w:iCs/>
              </w:rPr>
              <w:t>M</w:t>
            </w:r>
            <w:r w:rsidRPr="00DE12A3">
              <w:rPr>
                <w:vertAlign w:val="subscript"/>
              </w:rPr>
              <w:t>gas</w:t>
            </w:r>
          </w:p>
        </w:tc>
        <w:tc>
          <w:tcPr>
            <w:tcW w:w="567" w:type="dxa"/>
          </w:tcPr>
          <w:p w14:paraId="0343BE5E" w14:textId="77777777" w:rsidR="00DE2303" w:rsidRPr="00DE12A3" w:rsidRDefault="00DE2303" w:rsidP="00C917D6">
            <w:pPr>
              <w:pStyle w:val="NormalLeft"/>
            </w:pPr>
            <w:r w:rsidRPr="00DE12A3">
              <w:t>=</w:t>
            </w:r>
          </w:p>
        </w:tc>
        <w:tc>
          <w:tcPr>
            <w:tcW w:w="6343" w:type="dxa"/>
          </w:tcPr>
          <w:p w14:paraId="58EAC5A8" w14:textId="680F640F" w:rsidR="00DE2303" w:rsidRPr="00DE12A3" w:rsidRDefault="001A234D" w:rsidP="00C917D6">
            <w:pPr>
              <w:spacing w:before="120" w:after="120"/>
              <w:rPr>
                <w:rFonts w:cs="Times New Roman"/>
                <w:color w:val="auto"/>
              </w:rPr>
            </w:pPr>
            <w:r w:rsidRPr="00DE12A3">
              <w:rPr>
                <w:rFonts w:cs="Times New Roman"/>
                <w:color w:val="auto"/>
              </w:rPr>
              <w:t>Genel</w:t>
            </w:r>
            <w:r w:rsidR="00DE2303" w:rsidRPr="00DE12A3">
              <w:rPr>
                <w:rFonts w:cs="Times New Roman"/>
                <w:color w:val="auto"/>
              </w:rPr>
              <w:t xml:space="preserve"> gaz emisyonunun moleküler kütlesi [g/mol]</w:t>
            </w:r>
          </w:p>
        </w:tc>
      </w:tr>
      <w:tr w:rsidR="00DE12A3" w:rsidRPr="00DE12A3" w14:paraId="355B17E6" w14:textId="77777777" w:rsidTr="009F4766">
        <w:tc>
          <w:tcPr>
            <w:tcW w:w="1134" w:type="dxa"/>
          </w:tcPr>
          <w:p w14:paraId="3F45C50B" w14:textId="77777777" w:rsidR="00DE2303" w:rsidRPr="00DE12A3" w:rsidRDefault="00DE2303" w:rsidP="00C917D6">
            <w:pPr>
              <w:pStyle w:val="NormalLeft"/>
            </w:pPr>
            <w:r w:rsidRPr="00DE12A3">
              <w:rPr>
                <w:i/>
                <w:iCs/>
              </w:rPr>
              <w:t>x</w:t>
            </w:r>
            <w:r w:rsidRPr="00DE12A3">
              <w:rPr>
                <w:vertAlign w:val="subscript"/>
              </w:rPr>
              <w:t>gasdil</w:t>
            </w:r>
          </w:p>
        </w:tc>
        <w:tc>
          <w:tcPr>
            <w:tcW w:w="567" w:type="dxa"/>
          </w:tcPr>
          <w:p w14:paraId="72A5170D" w14:textId="77777777" w:rsidR="00DE2303" w:rsidRPr="00DE12A3" w:rsidRDefault="00DE2303" w:rsidP="00C917D6">
            <w:pPr>
              <w:pStyle w:val="NormalLeft"/>
            </w:pPr>
            <w:r w:rsidRPr="00DE12A3">
              <w:t>=</w:t>
            </w:r>
          </w:p>
        </w:tc>
        <w:tc>
          <w:tcPr>
            <w:tcW w:w="6343" w:type="dxa"/>
          </w:tcPr>
          <w:p w14:paraId="427248AE" w14:textId="5C75478F" w:rsidR="00DE2303" w:rsidRPr="00DE12A3" w:rsidRDefault="001A234D" w:rsidP="00C917D6">
            <w:pPr>
              <w:spacing w:before="120" w:after="120"/>
              <w:rPr>
                <w:rFonts w:cs="Times New Roman"/>
                <w:color w:val="auto"/>
              </w:rPr>
            </w:pPr>
            <w:r w:rsidRPr="00DE12A3">
              <w:rPr>
                <w:rFonts w:cs="Times New Roman"/>
                <w:color w:val="auto"/>
              </w:rPr>
              <w:t>Seyreltme</w:t>
            </w:r>
            <w:r w:rsidR="00DE2303" w:rsidRPr="00DE12A3">
              <w:rPr>
                <w:rFonts w:cs="Times New Roman"/>
                <w:color w:val="auto"/>
              </w:rPr>
              <w:t xml:space="preserve"> havası içindeki gaz emisyonu konsantrasyonu [mol/mol]</w:t>
            </w:r>
          </w:p>
        </w:tc>
      </w:tr>
      <w:tr w:rsidR="00DE12A3" w:rsidRPr="00DE12A3" w14:paraId="3128C856" w14:textId="77777777" w:rsidTr="009F4766">
        <w:tc>
          <w:tcPr>
            <w:tcW w:w="1134" w:type="dxa"/>
          </w:tcPr>
          <w:p w14:paraId="02B0A07C" w14:textId="77777777" w:rsidR="00DE2303" w:rsidRPr="00DE12A3" w:rsidRDefault="00DE2303" w:rsidP="00C917D6">
            <w:pPr>
              <w:pStyle w:val="NormalLeft"/>
            </w:pPr>
            <w:r w:rsidRPr="00DE12A3">
              <w:rPr>
                <w:i/>
                <w:iCs/>
              </w:rPr>
              <w:t>n</w:t>
            </w:r>
            <w:r w:rsidRPr="00DE12A3">
              <w:rPr>
                <w:vertAlign w:val="subscript"/>
              </w:rPr>
              <w:t>airdil</w:t>
            </w:r>
          </w:p>
        </w:tc>
        <w:tc>
          <w:tcPr>
            <w:tcW w:w="567" w:type="dxa"/>
          </w:tcPr>
          <w:p w14:paraId="4D0964ED" w14:textId="77777777" w:rsidR="00DE2303" w:rsidRPr="00DE12A3" w:rsidRDefault="00DE2303" w:rsidP="00C917D6">
            <w:pPr>
              <w:pStyle w:val="NormalLeft"/>
            </w:pPr>
            <w:r w:rsidRPr="00DE12A3">
              <w:t>=</w:t>
            </w:r>
          </w:p>
        </w:tc>
        <w:tc>
          <w:tcPr>
            <w:tcW w:w="6343" w:type="dxa"/>
          </w:tcPr>
          <w:p w14:paraId="7C71B48F" w14:textId="35F026CD" w:rsidR="00DE2303" w:rsidRPr="00DE12A3" w:rsidRDefault="001A234D" w:rsidP="00C917D6">
            <w:pPr>
              <w:spacing w:before="120" w:after="120"/>
              <w:rPr>
                <w:rFonts w:cs="Times New Roman"/>
                <w:color w:val="auto"/>
              </w:rPr>
            </w:pPr>
            <w:r w:rsidRPr="00DE12A3">
              <w:rPr>
                <w:rFonts w:cs="Times New Roman"/>
                <w:color w:val="auto"/>
              </w:rPr>
              <w:t>Seyreltme</w:t>
            </w:r>
            <w:r w:rsidR="00DE2303" w:rsidRPr="00DE12A3">
              <w:rPr>
                <w:rFonts w:cs="Times New Roman"/>
                <w:color w:val="auto"/>
              </w:rPr>
              <w:t xml:space="preserve"> havası molar akışı [mol]</w:t>
            </w:r>
          </w:p>
        </w:tc>
      </w:tr>
      <w:tr w:rsidR="00DE12A3" w:rsidRPr="00DE12A3" w14:paraId="4B475C33" w14:textId="77777777" w:rsidTr="009F4766">
        <w:tc>
          <w:tcPr>
            <w:tcW w:w="1134" w:type="dxa"/>
          </w:tcPr>
          <w:p w14:paraId="049A64C9" w14:textId="2721985F" w:rsidR="00DE2303" w:rsidRPr="00DE12A3" w:rsidRDefault="00DE2303" w:rsidP="00C917D6">
            <w:pPr>
              <w:pStyle w:val="NormalLeft"/>
            </w:pPr>
            <w:r w:rsidRPr="00DE12A3">
              <w:rPr>
                <w:noProof/>
                <w:lang w:val="tr-TR"/>
              </w:rPr>
              <w:drawing>
                <wp:inline distT="0" distB="0" distL="0" distR="0" wp14:anchorId="4D1E04E8" wp14:editId="13AF223C">
                  <wp:extent cx="597877" cy="322580"/>
                  <wp:effectExtent l="0" t="0" r="0" b="1270"/>
                  <wp:docPr id="65" name="Resim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600990" cy="324259"/>
                          </a:xfrm>
                          <a:prstGeom prst="rect">
                            <a:avLst/>
                          </a:prstGeom>
                          <a:noFill/>
                          <a:ln>
                            <a:noFill/>
                          </a:ln>
                        </pic:spPr>
                      </pic:pic>
                    </a:graphicData>
                  </a:graphic>
                </wp:inline>
              </w:drawing>
            </w:r>
          </w:p>
        </w:tc>
        <w:tc>
          <w:tcPr>
            <w:tcW w:w="567" w:type="dxa"/>
          </w:tcPr>
          <w:p w14:paraId="321928D2" w14:textId="77777777" w:rsidR="00DE2303" w:rsidRPr="00DE12A3" w:rsidRDefault="00DE2303" w:rsidP="00C917D6">
            <w:pPr>
              <w:pStyle w:val="NormalLeft"/>
            </w:pPr>
            <w:r w:rsidRPr="00DE12A3">
              <w:t>=</w:t>
            </w:r>
          </w:p>
        </w:tc>
        <w:tc>
          <w:tcPr>
            <w:tcW w:w="6343" w:type="dxa"/>
          </w:tcPr>
          <w:p w14:paraId="0A3FC3CE" w14:textId="724002B4" w:rsidR="00DE2303" w:rsidRPr="00DE12A3" w:rsidRDefault="001A234D" w:rsidP="00C917D6">
            <w:pPr>
              <w:spacing w:before="120" w:after="120"/>
              <w:rPr>
                <w:rFonts w:cs="Times New Roman"/>
                <w:color w:val="auto"/>
              </w:rPr>
            </w:pPr>
            <w:r w:rsidRPr="00DE12A3">
              <w:rPr>
                <w:rFonts w:cs="Times New Roman"/>
                <w:color w:val="auto"/>
              </w:rPr>
              <w:t>Seyreltilmiş</w:t>
            </w:r>
            <w:r w:rsidR="00DE2303" w:rsidRPr="00DE12A3">
              <w:rPr>
                <w:rFonts w:cs="Times New Roman"/>
                <w:color w:val="auto"/>
              </w:rPr>
              <w:t xml:space="preserve"> egzoz gazı içindeki akış ağırlıklı ortalama seyreltme havası oranı [mol/mol]</w:t>
            </w:r>
          </w:p>
        </w:tc>
      </w:tr>
      <w:tr w:rsidR="00DE12A3" w:rsidRPr="00DE12A3" w14:paraId="1B0D3F70" w14:textId="77777777" w:rsidTr="009F4766">
        <w:tc>
          <w:tcPr>
            <w:tcW w:w="1134" w:type="dxa"/>
          </w:tcPr>
          <w:p w14:paraId="0BA8EA5F" w14:textId="5247FEE7" w:rsidR="00DE2303" w:rsidRPr="00DE12A3" w:rsidRDefault="00DE2303" w:rsidP="00C917D6">
            <w:pPr>
              <w:pStyle w:val="NormalLeft"/>
            </w:pPr>
            <w:r w:rsidRPr="00DE12A3">
              <w:rPr>
                <w:noProof/>
                <w:lang w:val="tr-TR"/>
              </w:rPr>
              <w:drawing>
                <wp:inline distT="0" distB="0" distL="0" distR="0" wp14:anchorId="40C10521" wp14:editId="47EE98B5">
                  <wp:extent cx="451338" cy="304800"/>
                  <wp:effectExtent l="0" t="0" r="6350" b="0"/>
                  <wp:docPr id="61" name="Resim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455379" cy="307529"/>
                          </a:xfrm>
                          <a:prstGeom prst="rect">
                            <a:avLst/>
                          </a:prstGeom>
                          <a:noFill/>
                          <a:ln>
                            <a:noFill/>
                          </a:ln>
                        </pic:spPr>
                      </pic:pic>
                    </a:graphicData>
                  </a:graphic>
                </wp:inline>
              </w:drawing>
            </w:r>
          </w:p>
        </w:tc>
        <w:tc>
          <w:tcPr>
            <w:tcW w:w="567" w:type="dxa"/>
          </w:tcPr>
          <w:p w14:paraId="6A33E9D1" w14:textId="77777777" w:rsidR="00DE2303" w:rsidRPr="00DE12A3" w:rsidRDefault="00DE2303" w:rsidP="00C917D6">
            <w:pPr>
              <w:pStyle w:val="NormalLeft"/>
            </w:pPr>
            <w:r w:rsidRPr="00DE12A3">
              <w:t>=</w:t>
            </w:r>
          </w:p>
        </w:tc>
        <w:tc>
          <w:tcPr>
            <w:tcW w:w="6343" w:type="dxa"/>
          </w:tcPr>
          <w:p w14:paraId="649DF6AD" w14:textId="5B57C02B" w:rsidR="00DE2303" w:rsidRPr="00DE12A3" w:rsidRDefault="001A234D" w:rsidP="00C917D6">
            <w:pPr>
              <w:spacing w:before="120" w:after="120"/>
              <w:rPr>
                <w:rFonts w:cs="Times New Roman"/>
                <w:color w:val="auto"/>
              </w:rPr>
            </w:pPr>
            <w:r w:rsidRPr="00DE12A3">
              <w:rPr>
                <w:rFonts w:cs="Times New Roman"/>
                <w:color w:val="auto"/>
              </w:rPr>
              <w:t>Arka</w:t>
            </w:r>
            <w:r w:rsidR="00DE2303" w:rsidRPr="00DE12A3">
              <w:rPr>
                <w:rFonts w:cs="Times New Roman"/>
                <w:color w:val="auto"/>
              </w:rPr>
              <w:t xml:space="preserve"> planın gaz oranı [mol/mol]</w:t>
            </w:r>
          </w:p>
        </w:tc>
      </w:tr>
      <w:tr w:rsidR="00DE2303" w:rsidRPr="00DE12A3" w14:paraId="2C1E691E" w14:textId="77777777" w:rsidTr="009F4766">
        <w:tc>
          <w:tcPr>
            <w:tcW w:w="1134" w:type="dxa"/>
          </w:tcPr>
          <w:p w14:paraId="66477770" w14:textId="77777777" w:rsidR="00DE2303" w:rsidRPr="00DE12A3" w:rsidRDefault="00DE2303" w:rsidP="00C917D6">
            <w:pPr>
              <w:pStyle w:val="NormalLeft"/>
            </w:pPr>
            <w:r w:rsidRPr="00DE12A3">
              <w:rPr>
                <w:i/>
                <w:iCs/>
              </w:rPr>
              <w:t>n</w:t>
            </w:r>
            <w:r w:rsidRPr="00DE12A3">
              <w:rPr>
                <w:vertAlign w:val="subscript"/>
              </w:rPr>
              <w:t>dexh</w:t>
            </w:r>
          </w:p>
        </w:tc>
        <w:tc>
          <w:tcPr>
            <w:tcW w:w="567" w:type="dxa"/>
          </w:tcPr>
          <w:p w14:paraId="5EBDF607" w14:textId="77777777" w:rsidR="00DE2303" w:rsidRPr="00DE12A3" w:rsidRDefault="00DE2303" w:rsidP="00C917D6">
            <w:pPr>
              <w:pStyle w:val="NormalLeft"/>
            </w:pPr>
            <w:r w:rsidRPr="00DE12A3">
              <w:t>=</w:t>
            </w:r>
          </w:p>
        </w:tc>
        <w:tc>
          <w:tcPr>
            <w:tcW w:w="6343" w:type="dxa"/>
          </w:tcPr>
          <w:p w14:paraId="38944B6D" w14:textId="118C0127" w:rsidR="00DE2303" w:rsidRPr="00DE12A3" w:rsidRDefault="001A234D" w:rsidP="00C917D6">
            <w:pPr>
              <w:spacing w:before="120" w:after="120"/>
              <w:rPr>
                <w:rFonts w:cs="Times New Roman"/>
                <w:color w:val="auto"/>
              </w:rPr>
            </w:pPr>
            <w:r w:rsidRPr="00DE12A3">
              <w:rPr>
                <w:rFonts w:cs="Times New Roman"/>
                <w:color w:val="auto"/>
              </w:rPr>
              <w:t>Toplam</w:t>
            </w:r>
            <w:r w:rsidR="00DE2303" w:rsidRPr="00DE12A3">
              <w:rPr>
                <w:rFonts w:cs="Times New Roman"/>
                <w:color w:val="auto"/>
              </w:rPr>
              <w:t xml:space="preserve"> seyreltilmiş egzoz gazı akışı [mol]</w:t>
            </w:r>
          </w:p>
        </w:tc>
      </w:tr>
    </w:tbl>
    <w:p w14:paraId="25B3798B" w14:textId="77777777" w:rsidR="002D7B36" w:rsidRPr="00DE12A3" w:rsidRDefault="002D7B36" w:rsidP="00C917D6">
      <w:pPr>
        <w:pStyle w:val="Gvdemetni250"/>
        <w:shd w:val="clear" w:color="auto" w:fill="auto"/>
        <w:spacing w:before="120" w:after="120" w:line="240" w:lineRule="auto"/>
        <w:ind w:left="1134" w:hanging="1134"/>
        <w:rPr>
          <w:sz w:val="24"/>
          <w:szCs w:val="24"/>
        </w:rPr>
      </w:pPr>
    </w:p>
    <w:p w14:paraId="714A9492" w14:textId="72E9B0C3" w:rsidR="002D7B36" w:rsidRPr="00DE12A3" w:rsidRDefault="00CE5167" w:rsidP="003D2907">
      <w:pPr>
        <w:pStyle w:val="Gvdemetni250"/>
        <w:shd w:val="clear" w:color="auto" w:fill="auto"/>
        <w:spacing w:before="120" w:after="120" w:line="240" w:lineRule="auto"/>
        <w:ind w:left="360" w:firstLine="0"/>
        <w:rPr>
          <w:sz w:val="24"/>
          <w:szCs w:val="24"/>
        </w:rPr>
      </w:pPr>
      <w:r w:rsidRPr="00DE12A3">
        <w:rPr>
          <w:sz w:val="24"/>
          <w:szCs w:val="24"/>
        </w:rPr>
        <w:t>3.6.2</w:t>
      </w:r>
      <w:r w:rsidR="00DE2303" w:rsidRPr="00DE12A3">
        <w:rPr>
          <w:sz w:val="24"/>
          <w:szCs w:val="24"/>
        </w:rPr>
        <w:t xml:space="preserve">      </w:t>
      </w:r>
      <w:r w:rsidR="00242DA0" w:rsidRPr="00DE12A3">
        <w:rPr>
          <w:sz w:val="24"/>
          <w:szCs w:val="24"/>
        </w:rPr>
        <w:t>Kuru-yaş konsantrasyon dönüşümü</w:t>
      </w:r>
    </w:p>
    <w:p w14:paraId="5532A564" w14:textId="0F0412D8" w:rsidR="002D7B36" w:rsidRPr="00DE12A3" w:rsidRDefault="00DE2303" w:rsidP="00C917D6">
      <w:pPr>
        <w:pStyle w:val="Gvdemetni250"/>
        <w:shd w:val="clear" w:color="auto" w:fill="auto"/>
        <w:spacing w:before="120" w:after="120" w:line="240" w:lineRule="auto"/>
        <w:ind w:left="1134" w:hanging="1134"/>
        <w:rPr>
          <w:sz w:val="24"/>
          <w:szCs w:val="24"/>
        </w:rPr>
      </w:pPr>
      <w:r w:rsidRPr="00DE12A3">
        <w:rPr>
          <w:sz w:val="24"/>
          <w:szCs w:val="24"/>
        </w:rPr>
        <w:t xml:space="preserve">                 </w:t>
      </w:r>
      <w:r w:rsidR="00242DA0" w:rsidRPr="00DE12A3">
        <w:rPr>
          <w:sz w:val="24"/>
          <w:szCs w:val="24"/>
        </w:rPr>
        <w:t xml:space="preserve">Seyreltilmiş numuneler üzerinde kuru-ıslak dönüşüm için, ham gazlar için olanlarla aynı ilişkiler (3.5.2 bendi) kullanılmalıdır. Seyreltme havasının, su buharı oranı xH2Odildry [mol/mol] değerini, (7-96) </w:t>
      </w:r>
      <w:r w:rsidR="00962CA1" w:rsidRPr="00DE12A3">
        <w:rPr>
          <w:sz w:val="24"/>
          <w:szCs w:val="24"/>
        </w:rPr>
        <w:t>numaralı</w:t>
      </w:r>
      <w:r w:rsidR="00962CA1" w:rsidRPr="00DE12A3" w:rsidDel="00962CA1">
        <w:rPr>
          <w:sz w:val="24"/>
          <w:szCs w:val="24"/>
        </w:rPr>
        <w:t xml:space="preserve"> </w:t>
      </w:r>
      <w:r w:rsidR="00242DA0" w:rsidRPr="00DE12A3">
        <w:rPr>
          <w:sz w:val="24"/>
          <w:szCs w:val="24"/>
        </w:rPr>
        <w:t>denklem ile hesaplamak amacıyla bir nem ölçümü yapılmalıdır:</w:t>
      </w:r>
    </w:p>
    <w:tbl>
      <w:tblPr>
        <w:tblW w:w="0" w:type="auto"/>
        <w:jc w:val="center"/>
        <w:tblLayout w:type="fixed"/>
        <w:tblLook w:val="0000" w:firstRow="0" w:lastRow="0" w:firstColumn="0" w:lastColumn="0" w:noHBand="0" w:noVBand="0"/>
      </w:tblPr>
      <w:tblGrid>
        <w:gridCol w:w="3232"/>
        <w:gridCol w:w="2340"/>
      </w:tblGrid>
      <w:tr w:rsidR="00DE12A3" w:rsidRPr="00DE12A3" w14:paraId="203BF01C" w14:textId="77777777" w:rsidTr="009F4766">
        <w:trPr>
          <w:jc w:val="center"/>
        </w:trPr>
        <w:tc>
          <w:tcPr>
            <w:tcW w:w="3232" w:type="dxa"/>
          </w:tcPr>
          <w:p w14:paraId="12FFCD04" w14:textId="78AF62BB" w:rsidR="00DE2303" w:rsidRPr="00DE12A3" w:rsidRDefault="00DE2303" w:rsidP="00C917D6">
            <w:pPr>
              <w:pStyle w:val="NormalLeft"/>
            </w:pPr>
            <w:r w:rsidRPr="00DE12A3">
              <w:rPr>
                <w:noProof/>
                <w:lang w:val="tr-TR"/>
              </w:rPr>
              <w:drawing>
                <wp:inline distT="0" distB="0" distL="0" distR="0" wp14:anchorId="276529CD" wp14:editId="6F017357">
                  <wp:extent cx="1840523" cy="574675"/>
                  <wp:effectExtent l="0" t="0" r="7620" b="0"/>
                  <wp:docPr id="94" name="Resim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1849187" cy="577380"/>
                          </a:xfrm>
                          <a:prstGeom prst="rect">
                            <a:avLst/>
                          </a:prstGeom>
                          <a:noFill/>
                          <a:ln>
                            <a:noFill/>
                          </a:ln>
                        </pic:spPr>
                      </pic:pic>
                    </a:graphicData>
                  </a:graphic>
                </wp:inline>
              </w:drawing>
            </w:r>
          </w:p>
        </w:tc>
        <w:tc>
          <w:tcPr>
            <w:tcW w:w="2340" w:type="dxa"/>
          </w:tcPr>
          <w:p w14:paraId="7A68C434" w14:textId="2A53968D" w:rsidR="00DE2303" w:rsidRPr="00DE12A3" w:rsidRDefault="00DE2303">
            <w:pPr>
              <w:pStyle w:val="NormalLeft"/>
            </w:pPr>
            <w:r w:rsidRPr="00DE12A3">
              <w:t xml:space="preserve">[bkz. (7-96) </w:t>
            </w:r>
            <w:r w:rsidR="00962CA1" w:rsidRPr="00DE12A3">
              <w:t>numaralı</w:t>
            </w:r>
            <w:r w:rsidR="00962CA1" w:rsidRPr="00DE12A3" w:rsidDel="00962CA1">
              <w:t xml:space="preserve"> </w:t>
            </w:r>
            <w:r w:rsidRPr="00DE12A3">
              <w:t>denklem]</w:t>
            </w:r>
          </w:p>
        </w:tc>
      </w:tr>
    </w:tbl>
    <w:p w14:paraId="36772755" w14:textId="77777777" w:rsidR="002D7B36" w:rsidRPr="00DE12A3" w:rsidRDefault="00242DA0" w:rsidP="00C917D6">
      <w:pPr>
        <w:pStyle w:val="Gvdemetni250"/>
        <w:shd w:val="clear" w:color="auto" w:fill="auto"/>
        <w:spacing w:before="120" w:after="120" w:line="240" w:lineRule="auto"/>
        <w:ind w:left="1134" w:firstLine="0"/>
        <w:rPr>
          <w:sz w:val="24"/>
          <w:szCs w:val="24"/>
        </w:rPr>
      </w:pPr>
      <w:r w:rsidRPr="00DE12A3">
        <w:rPr>
          <w:sz w:val="24"/>
          <w:szCs w:val="24"/>
        </w:rPr>
        <w:t>Burada:</w:t>
      </w:r>
    </w:p>
    <w:tbl>
      <w:tblPr>
        <w:tblW w:w="0" w:type="auto"/>
        <w:jc w:val="center"/>
        <w:tblLayout w:type="fixed"/>
        <w:tblLook w:val="0000" w:firstRow="0" w:lastRow="0" w:firstColumn="0" w:lastColumn="0" w:noHBand="0" w:noVBand="0"/>
      </w:tblPr>
      <w:tblGrid>
        <w:gridCol w:w="1072"/>
        <w:gridCol w:w="425"/>
        <w:gridCol w:w="3815"/>
      </w:tblGrid>
      <w:tr w:rsidR="00DE12A3" w:rsidRPr="00DE12A3" w14:paraId="3549504E" w14:textId="77777777" w:rsidTr="009F4766">
        <w:trPr>
          <w:trHeight w:val="656"/>
          <w:jc w:val="center"/>
        </w:trPr>
        <w:tc>
          <w:tcPr>
            <w:tcW w:w="1072" w:type="dxa"/>
          </w:tcPr>
          <w:p w14:paraId="142CB475" w14:textId="77777777" w:rsidR="00DE2303" w:rsidRPr="00DE12A3" w:rsidRDefault="00DE2303" w:rsidP="00C917D6">
            <w:pPr>
              <w:pStyle w:val="NormalLeft"/>
            </w:pPr>
            <w:r w:rsidRPr="00DE12A3">
              <w:rPr>
                <w:i/>
                <w:iCs/>
              </w:rPr>
              <w:t>x</w:t>
            </w:r>
            <w:r w:rsidRPr="00DE12A3">
              <w:rPr>
                <w:vertAlign w:val="subscript"/>
              </w:rPr>
              <w:t>H2Odil</w:t>
            </w:r>
          </w:p>
        </w:tc>
        <w:tc>
          <w:tcPr>
            <w:tcW w:w="425" w:type="dxa"/>
          </w:tcPr>
          <w:p w14:paraId="1213B869" w14:textId="77777777" w:rsidR="00DE2303" w:rsidRPr="00DE12A3" w:rsidRDefault="00DE2303" w:rsidP="00C917D6">
            <w:pPr>
              <w:pStyle w:val="NormalLeft"/>
            </w:pPr>
            <w:r w:rsidRPr="00DE12A3">
              <w:t>=</w:t>
            </w:r>
          </w:p>
        </w:tc>
        <w:tc>
          <w:tcPr>
            <w:tcW w:w="3815" w:type="dxa"/>
          </w:tcPr>
          <w:p w14:paraId="199647B3" w14:textId="668D3BA8" w:rsidR="00DE2303" w:rsidRPr="00DE12A3" w:rsidRDefault="00716C4F" w:rsidP="00C917D6">
            <w:pPr>
              <w:pStyle w:val="NormalLeft"/>
            </w:pPr>
            <w:r w:rsidRPr="00DE12A3">
              <w:t xml:space="preserve">Seyreltme </w:t>
            </w:r>
            <w:r w:rsidR="00A4774E" w:rsidRPr="00DE12A3">
              <w:t>hava akışı içindeki molar su oranı [mol/mol]</w:t>
            </w:r>
          </w:p>
        </w:tc>
      </w:tr>
    </w:tbl>
    <w:p w14:paraId="589A959A" w14:textId="28A3D00B" w:rsidR="00F77C77" w:rsidRPr="00DE12A3" w:rsidRDefault="00CE5167" w:rsidP="003D2907">
      <w:pPr>
        <w:widowControl/>
        <w:spacing w:before="120" w:after="120"/>
        <w:ind w:left="360"/>
        <w:jc w:val="both"/>
        <w:rPr>
          <w:rFonts w:cs="Times New Roman"/>
          <w:color w:val="auto"/>
          <w:lang w:eastAsia="en-US"/>
        </w:rPr>
      </w:pPr>
      <w:r w:rsidRPr="00DE12A3">
        <w:rPr>
          <w:rFonts w:cs="Times New Roman"/>
          <w:color w:val="auto"/>
        </w:rPr>
        <w:t>3.6.3</w:t>
      </w:r>
      <w:r w:rsidR="00A4774E" w:rsidRPr="00DE12A3">
        <w:rPr>
          <w:rFonts w:cs="Times New Roman"/>
          <w:color w:val="auto"/>
        </w:rPr>
        <w:t xml:space="preserve">         </w:t>
      </w:r>
      <w:r w:rsidR="00F77C77" w:rsidRPr="00DE12A3">
        <w:rPr>
          <w:rFonts w:cs="Times New Roman"/>
          <w:color w:val="auto"/>
        </w:rPr>
        <w:t>Egzoz gazı molar akış hızı</w:t>
      </w:r>
    </w:p>
    <w:p w14:paraId="3D6A29E9" w14:textId="77777777" w:rsidR="00F77C77" w:rsidRPr="00DE12A3" w:rsidRDefault="00F77C77" w:rsidP="00C917D6">
      <w:pPr>
        <w:widowControl/>
        <w:tabs>
          <w:tab w:val="left" w:pos="8789"/>
        </w:tabs>
        <w:spacing w:before="120" w:after="120"/>
        <w:ind w:left="1134" w:hanging="1134"/>
        <w:jc w:val="both"/>
        <w:rPr>
          <w:rFonts w:cs="Times New Roman"/>
          <w:color w:val="auto"/>
          <w:lang w:eastAsia="en-US"/>
        </w:rPr>
      </w:pPr>
    </w:p>
    <w:p w14:paraId="2CD697E0" w14:textId="63C36DE5" w:rsidR="002D7B36" w:rsidRPr="00DE12A3" w:rsidRDefault="00A4774E" w:rsidP="00E20716">
      <w:pPr>
        <w:pStyle w:val="Gvdemetni250"/>
        <w:numPr>
          <w:ilvl w:val="0"/>
          <w:numId w:val="443"/>
        </w:numPr>
        <w:spacing w:before="120" w:after="120" w:line="240" w:lineRule="auto"/>
        <w:ind w:left="1701" w:hanging="567"/>
        <w:rPr>
          <w:sz w:val="24"/>
          <w:szCs w:val="24"/>
        </w:rPr>
      </w:pPr>
      <w:r w:rsidRPr="00DE12A3">
        <w:rPr>
          <w:sz w:val="24"/>
          <w:szCs w:val="24"/>
        </w:rPr>
        <w:t xml:space="preserve">     </w:t>
      </w:r>
      <w:r w:rsidR="00242DA0" w:rsidRPr="00DE12A3">
        <w:rPr>
          <w:sz w:val="24"/>
          <w:szCs w:val="24"/>
        </w:rPr>
        <w:t>Kimyasal denge yoluyla hesaplama</w:t>
      </w:r>
    </w:p>
    <w:p w14:paraId="3F8D4A1C" w14:textId="5B5BDFC1" w:rsidR="002D7B36" w:rsidRPr="00DE12A3" w:rsidRDefault="00242DA0" w:rsidP="00C917D6">
      <w:pPr>
        <w:pStyle w:val="Gvdemetni250"/>
        <w:spacing w:before="120" w:after="120" w:line="240" w:lineRule="auto"/>
        <w:ind w:left="1701" w:firstLine="0"/>
        <w:rPr>
          <w:sz w:val="24"/>
          <w:szCs w:val="24"/>
        </w:rPr>
      </w:pPr>
      <w:r w:rsidRPr="00DE12A3">
        <w:rPr>
          <w:sz w:val="24"/>
          <w:szCs w:val="24"/>
        </w:rPr>
        <w:t>Molar akış hızı ṅ</w:t>
      </w:r>
      <w:r w:rsidRPr="00DE12A3">
        <w:rPr>
          <w:sz w:val="24"/>
          <w:szCs w:val="24"/>
          <w:vertAlign w:val="subscript"/>
        </w:rPr>
        <w:t>exh</w:t>
      </w:r>
      <w:r w:rsidRPr="00DE12A3">
        <w:rPr>
          <w:sz w:val="24"/>
          <w:szCs w:val="24"/>
        </w:rPr>
        <w:t xml:space="preserve"> [mol/s], yakıt kütle akış hızı ṁfuel esasında (7-113) </w:t>
      </w:r>
      <w:r w:rsidR="00A4774E" w:rsidRPr="00DE12A3">
        <w:rPr>
          <w:sz w:val="24"/>
          <w:szCs w:val="24"/>
        </w:rPr>
        <w:t xml:space="preserve">   </w:t>
      </w:r>
      <w:r w:rsidR="00962CA1" w:rsidRPr="00DE12A3">
        <w:rPr>
          <w:sz w:val="24"/>
          <w:szCs w:val="24"/>
        </w:rPr>
        <w:t>numaralı</w:t>
      </w:r>
      <w:r w:rsidR="00962CA1" w:rsidRPr="00DE12A3" w:rsidDel="00962CA1">
        <w:rPr>
          <w:sz w:val="24"/>
          <w:szCs w:val="24"/>
        </w:rPr>
        <w:t xml:space="preserve"> </w:t>
      </w:r>
      <w:r w:rsidRPr="00DE12A3">
        <w:rPr>
          <w:sz w:val="24"/>
          <w:szCs w:val="24"/>
        </w:rPr>
        <w:t>denklemle hesaplanabilir:</w:t>
      </w:r>
    </w:p>
    <w:tbl>
      <w:tblPr>
        <w:tblW w:w="0" w:type="auto"/>
        <w:tblInd w:w="1346" w:type="dxa"/>
        <w:tblLayout w:type="fixed"/>
        <w:tblLook w:val="0000" w:firstRow="0" w:lastRow="0" w:firstColumn="0" w:lastColumn="0" w:noHBand="0" w:noVBand="0"/>
      </w:tblPr>
      <w:tblGrid>
        <w:gridCol w:w="4417"/>
        <w:gridCol w:w="2176"/>
      </w:tblGrid>
      <w:tr w:rsidR="00DE12A3" w:rsidRPr="00DE12A3" w14:paraId="119FDD39" w14:textId="77777777" w:rsidTr="009F4766">
        <w:tc>
          <w:tcPr>
            <w:tcW w:w="4417" w:type="dxa"/>
          </w:tcPr>
          <w:p w14:paraId="2A60F6EE" w14:textId="1A76C740" w:rsidR="00A4774E" w:rsidRPr="00DE12A3" w:rsidRDefault="00A4774E" w:rsidP="00C917D6">
            <w:pPr>
              <w:pStyle w:val="NormalLeft"/>
            </w:pPr>
            <w:r w:rsidRPr="00DE12A3">
              <w:rPr>
                <w:noProof/>
                <w:lang w:val="tr-TR"/>
              </w:rPr>
              <w:lastRenderedPageBreak/>
              <w:drawing>
                <wp:inline distT="0" distB="0" distL="0" distR="0" wp14:anchorId="25B2B097" wp14:editId="532D5E8E">
                  <wp:extent cx="2368062" cy="680085"/>
                  <wp:effectExtent l="0" t="0" r="0" b="5715"/>
                  <wp:docPr id="98" name="Resim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2377604" cy="682825"/>
                          </a:xfrm>
                          <a:prstGeom prst="rect">
                            <a:avLst/>
                          </a:prstGeom>
                          <a:noFill/>
                          <a:ln>
                            <a:noFill/>
                          </a:ln>
                        </pic:spPr>
                      </pic:pic>
                    </a:graphicData>
                  </a:graphic>
                </wp:inline>
              </w:drawing>
            </w:r>
          </w:p>
        </w:tc>
        <w:tc>
          <w:tcPr>
            <w:tcW w:w="2176" w:type="dxa"/>
          </w:tcPr>
          <w:p w14:paraId="64EDCB5F" w14:textId="07023ADC" w:rsidR="00A4774E" w:rsidRPr="00DE12A3" w:rsidRDefault="00825EFD">
            <w:pPr>
              <w:pStyle w:val="NormalLeft"/>
            </w:pPr>
            <w:r w:rsidRPr="00DE12A3">
              <w:t>[</w:t>
            </w:r>
            <w:r w:rsidR="00A4774E" w:rsidRPr="00DE12A3">
              <w:t>bk</w:t>
            </w:r>
            <w:r w:rsidR="00CE5167" w:rsidRPr="00DE12A3">
              <w:t>z</w:t>
            </w:r>
            <w:r w:rsidR="00A4774E" w:rsidRPr="00DE12A3">
              <w:t xml:space="preserve">.  </w:t>
            </w:r>
            <w:r w:rsidRPr="00DE12A3">
              <w:t>(</w:t>
            </w:r>
            <w:r w:rsidR="00A4774E" w:rsidRPr="00DE12A3">
              <w:t>7-113</w:t>
            </w:r>
            <w:r w:rsidRPr="00DE12A3">
              <w:t>)</w:t>
            </w:r>
            <w:r w:rsidR="00A4774E" w:rsidRPr="00DE12A3">
              <w:t xml:space="preserve"> </w:t>
            </w:r>
            <w:r w:rsidR="00962CA1" w:rsidRPr="00DE12A3">
              <w:t>numaralı</w:t>
            </w:r>
            <w:r w:rsidR="00962CA1" w:rsidRPr="00DE12A3" w:rsidDel="00962CA1">
              <w:t xml:space="preserve"> </w:t>
            </w:r>
            <w:r w:rsidR="00A4774E" w:rsidRPr="00DE12A3">
              <w:t>denklem</w:t>
            </w:r>
            <w:r w:rsidRPr="00DE12A3">
              <w:t>]</w:t>
            </w:r>
          </w:p>
        </w:tc>
      </w:tr>
    </w:tbl>
    <w:p w14:paraId="3CF681CA" w14:textId="77777777" w:rsidR="001835A8" w:rsidRPr="00DE12A3" w:rsidRDefault="001835A8" w:rsidP="00C917D6">
      <w:pPr>
        <w:widowControl/>
        <w:tabs>
          <w:tab w:val="left" w:pos="8789"/>
        </w:tabs>
        <w:spacing w:before="120" w:after="120"/>
        <w:ind w:left="1134"/>
        <w:jc w:val="both"/>
        <w:rPr>
          <w:rFonts w:cs="Times New Roman"/>
          <w:color w:val="auto"/>
          <w:lang w:eastAsia="en-US"/>
        </w:rPr>
      </w:pPr>
      <w:r w:rsidRPr="00DE12A3">
        <w:rPr>
          <w:rFonts w:cs="Times New Roman"/>
          <w:color w:val="auto"/>
        </w:rPr>
        <w:t xml:space="preserve">Burada: </w:t>
      </w:r>
    </w:p>
    <w:tbl>
      <w:tblPr>
        <w:tblW w:w="0" w:type="auto"/>
        <w:tblInd w:w="1242" w:type="dxa"/>
        <w:tblLayout w:type="fixed"/>
        <w:tblLook w:val="0000" w:firstRow="0" w:lastRow="0" w:firstColumn="0" w:lastColumn="0" w:noHBand="0" w:noVBand="0"/>
      </w:tblPr>
      <w:tblGrid>
        <w:gridCol w:w="1134"/>
        <w:gridCol w:w="567"/>
        <w:gridCol w:w="6343"/>
      </w:tblGrid>
      <w:tr w:rsidR="00DE12A3" w:rsidRPr="00DE12A3" w14:paraId="1E200281" w14:textId="77777777" w:rsidTr="009F4766">
        <w:tc>
          <w:tcPr>
            <w:tcW w:w="1134" w:type="dxa"/>
          </w:tcPr>
          <w:p w14:paraId="57DDF10E" w14:textId="77777777" w:rsidR="00A4774E" w:rsidRPr="00DE12A3" w:rsidRDefault="00A4774E" w:rsidP="00C917D6">
            <w:pPr>
              <w:pStyle w:val="NormalLeft"/>
            </w:pPr>
            <w:r w:rsidRPr="00DE12A3">
              <w:rPr>
                <w:i/>
                <w:iCs/>
              </w:rPr>
              <w:t>ṅ</w:t>
            </w:r>
            <w:r w:rsidRPr="00DE12A3">
              <w:rPr>
                <w:vertAlign w:val="subscript"/>
              </w:rPr>
              <w:t>exh</w:t>
            </w:r>
          </w:p>
        </w:tc>
        <w:tc>
          <w:tcPr>
            <w:tcW w:w="567" w:type="dxa"/>
          </w:tcPr>
          <w:p w14:paraId="78759BA5" w14:textId="77777777" w:rsidR="00A4774E" w:rsidRPr="00DE12A3" w:rsidRDefault="00A4774E" w:rsidP="00C917D6">
            <w:pPr>
              <w:pStyle w:val="NormalLeft"/>
            </w:pPr>
            <w:r w:rsidRPr="00DE12A3">
              <w:t>=</w:t>
            </w:r>
          </w:p>
        </w:tc>
        <w:tc>
          <w:tcPr>
            <w:tcW w:w="6343" w:type="dxa"/>
          </w:tcPr>
          <w:p w14:paraId="52E108EB" w14:textId="65D47C7A" w:rsidR="00A4774E" w:rsidRPr="00DE12A3" w:rsidRDefault="001A234D" w:rsidP="00C917D6">
            <w:pPr>
              <w:spacing w:before="120" w:after="120"/>
              <w:rPr>
                <w:rFonts w:cs="Times New Roman"/>
                <w:color w:val="auto"/>
              </w:rPr>
            </w:pPr>
            <w:r w:rsidRPr="00DE12A3">
              <w:rPr>
                <w:rFonts w:cs="Times New Roman"/>
                <w:color w:val="auto"/>
              </w:rPr>
              <w:t>Emisyonların</w:t>
            </w:r>
            <w:r w:rsidR="00A4774E" w:rsidRPr="00DE12A3">
              <w:rPr>
                <w:rFonts w:cs="Times New Roman"/>
                <w:color w:val="auto"/>
              </w:rPr>
              <w:t xml:space="preserve"> ölçüldüğü ham egzoz gazı molar akış hızı</w:t>
            </w:r>
          </w:p>
        </w:tc>
      </w:tr>
      <w:tr w:rsidR="00DE12A3" w:rsidRPr="00DE12A3" w14:paraId="1D5BCF8B" w14:textId="77777777" w:rsidTr="009F4766">
        <w:tc>
          <w:tcPr>
            <w:tcW w:w="1134" w:type="dxa"/>
          </w:tcPr>
          <w:p w14:paraId="4D0CCE41" w14:textId="77777777" w:rsidR="00A4774E" w:rsidRPr="00DE12A3" w:rsidRDefault="00A4774E" w:rsidP="00C917D6">
            <w:pPr>
              <w:pStyle w:val="NormalLeft"/>
            </w:pPr>
            <w:r w:rsidRPr="00DE12A3">
              <w:rPr>
                <w:i/>
                <w:iCs/>
              </w:rPr>
              <w:t>ṁ</w:t>
            </w:r>
            <w:r w:rsidRPr="00DE12A3">
              <w:rPr>
                <w:vertAlign w:val="subscript"/>
              </w:rPr>
              <w:t>fuel</w:t>
            </w:r>
          </w:p>
        </w:tc>
        <w:tc>
          <w:tcPr>
            <w:tcW w:w="567" w:type="dxa"/>
          </w:tcPr>
          <w:p w14:paraId="7F5160B6" w14:textId="77777777" w:rsidR="00A4774E" w:rsidRPr="00DE12A3" w:rsidRDefault="00A4774E" w:rsidP="00C917D6">
            <w:pPr>
              <w:pStyle w:val="NormalLeft"/>
            </w:pPr>
            <w:r w:rsidRPr="00DE12A3">
              <w:t>=</w:t>
            </w:r>
          </w:p>
        </w:tc>
        <w:tc>
          <w:tcPr>
            <w:tcW w:w="6343" w:type="dxa"/>
          </w:tcPr>
          <w:p w14:paraId="6FF822CC" w14:textId="12B5448F" w:rsidR="00A4774E" w:rsidRPr="00DE12A3" w:rsidRDefault="001A234D" w:rsidP="00C917D6">
            <w:pPr>
              <w:spacing w:before="120" w:after="120"/>
              <w:rPr>
                <w:rFonts w:cs="Times New Roman"/>
                <w:color w:val="auto"/>
              </w:rPr>
            </w:pPr>
            <w:r w:rsidRPr="00DE12A3">
              <w:rPr>
                <w:rFonts w:cs="Times New Roman"/>
                <w:color w:val="auto"/>
              </w:rPr>
              <w:t>Emme</w:t>
            </w:r>
            <w:r w:rsidR="00A4774E" w:rsidRPr="00DE12A3">
              <w:rPr>
                <w:rFonts w:cs="Times New Roman"/>
                <w:color w:val="auto"/>
              </w:rPr>
              <w:t xml:space="preserve"> havasındaki nemi içeren yakıt akış hızı [g/s]</w:t>
            </w:r>
          </w:p>
        </w:tc>
      </w:tr>
      <w:tr w:rsidR="00DE12A3" w:rsidRPr="00DE12A3" w14:paraId="587DAE85" w14:textId="77777777" w:rsidTr="009F4766">
        <w:tc>
          <w:tcPr>
            <w:tcW w:w="1134" w:type="dxa"/>
          </w:tcPr>
          <w:p w14:paraId="6635BC78" w14:textId="77777777" w:rsidR="00A4774E" w:rsidRPr="00DE12A3" w:rsidRDefault="00A4774E" w:rsidP="00C917D6">
            <w:pPr>
              <w:pStyle w:val="NormalLeft"/>
            </w:pPr>
            <w:r w:rsidRPr="00DE12A3">
              <w:rPr>
                <w:i/>
                <w:iCs/>
              </w:rPr>
              <w:t>w</w:t>
            </w:r>
            <w:r w:rsidRPr="00DE12A3">
              <w:rPr>
                <w:vertAlign w:val="subscript"/>
              </w:rPr>
              <w:t>C</w:t>
            </w:r>
          </w:p>
        </w:tc>
        <w:tc>
          <w:tcPr>
            <w:tcW w:w="567" w:type="dxa"/>
          </w:tcPr>
          <w:p w14:paraId="368C318B" w14:textId="77777777" w:rsidR="00A4774E" w:rsidRPr="00DE12A3" w:rsidRDefault="00A4774E" w:rsidP="00C917D6">
            <w:pPr>
              <w:pStyle w:val="NormalLeft"/>
            </w:pPr>
            <w:r w:rsidRPr="00DE12A3">
              <w:t>=</w:t>
            </w:r>
          </w:p>
        </w:tc>
        <w:tc>
          <w:tcPr>
            <w:tcW w:w="6343" w:type="dxa"/>
          </w:tcPr>
          <w:p w14:paraId="3B557531" w14:textId="4748A443" w:rsidR="00A4774E" w:rsidRPr="00DE12A3" w:rsidRDefault="001A234D" w:rsidP="00C917D6">
            <w:pPr>
              <w:spacing w:before="120" w:after="120"/>
              <w:rPr>
                <w:rFonts w:cs="Times New Roman"/>
                <w:color w:val="auto"/>
              </w:rPr>
            </w:pPr>
            <w:r w:rsidRPr="00DE12A3">
              <w:rPr>
                <w:rFonts w:cs="Times New Roman"/>
                <w:color w:val="auto"/>
              </w:rPr>
              <w:t>Ilgili</w:t>
            </w:r>
            <w:r w:rsidR="00A4774E" w:rsidRPr="00DE12A3">
              <w:rPr>
                <w:rFonts w:cs="Times New Roman"/>
                <w:color w:val="auto"/>
              </w:rPr>
              <w:t xml:space="preserve"> yakıt için karbon kütle oranı [g/g]</w:t>
            </w:r>
          </w:p>
        </w:tc>
      </w:tr>
      <w:tr w:rsidR="00DE12A3" w:rsidRPr="00DE12A3" w14:paraId="0BC4DD4C" w14:textId="77777777" w:rsidTr="009F4766">
        <w:tc>
          <w:tcPr>
            <w:tcW w:w="1134" w:type="dxa"/>
          </w:tcPr>
          <w:p w14:paraId="689CF65C" w14:textId="77777777" w:rsidR="00A4774E" w:rsidRPr="00DE12A3" w:rsidRDefault="00A4774E" w:rsidP="00C917D6">
            <w:pPr>
              <w:pStyle w:val="NormalLeft"/>
            </w:pPr>
            <w:r w:rsidRPr="00DE12A3">
              <w:rPr>
                <w:i/>
                <w:iCs/>
              </w:rPr>
              <w:t>x</w:t>
            </w:r>
            <w:r w:rsidRPr="00DE12A3">
              <w:rPr>
                <w:vertAlign w:val="subscript"/>
              </w:rPr>
              <w:t>H2Oexhdry</w:t>
            </w:r>
          </w:p>
        </w:tc>
        <w:tc>
          <w:tcPr>
            <w:tcW w:w="567" w:type="dxa"/>
          </w:tcPr>
          <w:p w14:paraId="68A423A7" w14:textId="77777777" w:rsidR="00A4774E" w:rsidRPr="00DE12A3" w:rsidRDefault="00A4774E" w:rsidP="00C917D6">
            <w:pPr>
              <w:pStyle w:val="NormalLeft"/>
            </w:pPr>
            <w:r w:rsidRPr="00DE12A3">
              <w:t>=</w:t>
            </w:r>
          </w:p>
        </w:tc>
        <w:tc>
          <w:tcPr>
            <w:tcW w:w="6343" w:type="dxa"/>
          </w:tcPr>
          <w:p w14:paraId="7BF89DA6" w14:textId="4B624504" w:rsidR="00A4774E" w:rsidRPr="00DE12A3" w:rsidRDefault="001A234D" w:rsidP="00C917D6">
            <w:pPr>
              <w:spacing w:before="120" w:after="120"/>
              <w:rPr>
                <w:rFonts w:cs="Times New Roman"/>
                <w:color w:val="auto"/>
              </w:rPr>
            </w:pPr>
            <w:r w:rsidRPr="00DE12A3">
              <w:rPr>
                <w:rFonts w:cs="Times New Roman"/>
                <w:color w:val="auto"/>
              </w:rPr>
              <w:t>Mol</w:t>
            </w:r>
            <w:r w:rsidR="00A4774E" w:rsidRPr="00DE12A3">
              <w:rPr>
                <w:rFonts w:cs="Times New Roman"/>
                <w:color w:val="auto"/>
              </w:rPr>
              <w:t xml:space="preserve"> kuru ölçülen akış başına H20 miktarı [mol/mol]</w:t>
            </w:r>
          </w:p>
        </w:tc>
      </w:tr>
      <w:tr w:rsidR="00DE12A3" w:rsidRPr="00DE12A3" w14:paraId="5EE11EC2" w14:textId="77777777" w:rsidTr="009F4766">
        <w:tc>
          <w:tcPr>
            <w:tcW w:w="1134" w:type="dxa"/>
          </w:tcPr>
          <w:p w14:paraId="1A6A66FB" w14:textId="77777777" w:rsidR="00A4774E" w:rsidRPr="00DE12A3" w:rsidRDefault="00A4774E" w:rsidP="00C917D6">
            <w:pPr>
              <w:pStyle w:val="NormalLeft"/>
            </w:pPr>
            <w:r w:rsidRPr="00DE12A3">
              <w:rPr>
                <w:i/>
                <w:iCs/>
              </w:rPr>
              <w:t>M</w:t>
            </w:r>
            <w:r w:rsidRPr="00DE12A3">
              <w:rPr>
                <w:vertAlign w:val="subscript"/>
              </w:rPr>
              <w:t>C</w:t>
            </w:r>
          </w:p>
        </w:tc>
        <w:tc>
          <w:tcPr>
            <w:tcW w:w="567" w:type="dxa"/>
          </w:tcPr>
          <w:p w14:paraId="7EFD71C3" w14:textId="77777777" w:rsidR="00A4774E" w:rsidRPr="00DE12A3" w:rsidRDefault="00A4774E" w:rsidP="00C917D6">
            <w:pPr>
              <w:pStyle w:val="NormalLeft"/>
            </w:pPr>
            <w:r w:rsidRPr="00DE12A3">
              <w:t>=</w:t>
            </w:r>
          </w:p>
        </w:tc>
        <w:tc>
          <w:tcPr>
            <w:tcW w:w="6343" w:type="dxa"/>
          </w:tcPr>
          <w:p w14:paraId="5C024A16" w14:textId="24ECB104" w:rsidR="00A4774E" w:rsidRPr="00DE12A3" w:rsidRDefault="001A234D" w:rsidP="00C917D6">
            <w:pPr>
              <w:spacing w:before="120" w:after="120"/>
              <w:rPr>
                <w:rFonts w:cs="Times New Roman"/>
                <w:color w:val="auto"/>
              </w:rPr>
            </w:pPr>
            <w:r w:rsidRPr="00DE12A3">
              <w:rPr>
                <w:rFonts w:cs="Times New Roman"/>
                <w:color w:val="auto"/>
              </w:rPr>
              <w:t>Karbonun</w:t>
            </w:r>
            <w:r w:rsidR="00A4774E" w:rsidRPr="00DE12A3">
              <w:rPr>
                <w:rFonts w:cs="Times New Roman"/>
                <w:color w:val="auto"/>
              </w:rPr>
              <w:t xml:space="preserve"> moleküler kütlesi 12,0107 g/mol</w:t>
            </w:r>
          </w:p>
        </w:tc>
      </w:tr>
      <w:tr w:rsidR="00DE12A3" w:rsidRPr="00DE12A3" w14:paraId="6996B560" w14:textId="77777777" w:rsidTr="009F4766">
        <w:tc>
          <w:tcPr>
            <w:tcW w:w="1134" w:type="dxa"/>
          </w:tcPr>
          <w:p w14:paraId="7D65E079" w14:textId="77777777" w:rsidR="00A4774E" w:rsidRPr="00DE12A3" w:rsidRDefault="00A4774E" w:rsidP="00C917D6">
            <w:pPr>
              <w:pStyle w:val="NormalLeft"/>
            </w:pPr>
            <w:r w:rsidRPr="00DE12A3">
              <w:rPr>
                <w:i/>
                <w:iCs/>
              </w:rPr>
              <w:t>x</w:t>
            </w:r>
            <w:r w:rsidRPr="00DE12A3">
              <w:rPr>
                <w:vertAlign w:val="subscript"/>
              </w:rPr>
              <w:t>Ccombdry</w:t>
            </w:r>
          </w:p>
        </w:tc>
        <w:tc>
          <w:tcPr>
            <w:tcW w:w="567" w:type="dxa"/>
          </w:tcPr>
          <w:p w14:paraId="486186A8" w14:textId="77777777" w:rsidR="00A4774E" w:rsidRPr="00DE12A3" w:rsidRDefault="00A4774E" w:rsidP="00C917D6">
            <w:pPr>
              <w:pStyle w:val="NormalLeft"/>
            </w:pPr>
            <w:r w:rsidRPr="00DE12A3">
              <w:t>=</w:t>
            </w:r>
          </w:p>
        </w:tc>
        <w:tc>
          <w:tcPr>
            <w:tcW w:w="6343" w:type="dxa"/>
          </w:tcPr>
          <w:p w14:paraId="6077A8E1" w14:textId="37D342F7" w:rsidR="00A4774E" w:rsidRPr="00DE12A3" w:rsidRDefault="001A234D" w:rsidP="00C917D6">
            <w:pPr>
              <w:spacing w:before="120" w:after="120"/>
              <w:rPr>
                <w:rFonts w:cs="Times New Roman"/>
                <w:color w:val="auto"/>
              </w:rPr>
            </w:pPr>
            <w:r w:rsidRPr="00DE12A3">
              <w:rPr>
                <w:rFonts w:cs="Times New Roman"/>
                <w:color w:val="auto"/>
              </w:rPr>
              <w:t>Mol</w:t>
            </w:r>
            <w:r w:rsidR="00A4774E" w:rsidRPr="00DE12A3">
              <w:rPr>
                <w:rFonts w:cs="Times New Roman"/>
                <w:color w:val="auto"/>
              </w:rPr>
              <w:t xml:space="preserve"> kuru egzoz gazı başına egzoz içindeki yakıttan gelen karbon miktarı [mol/mol]</w:t>
            </w:r>
          </w:p>
        </w:tc>
      </w:tr>
    </w:tbl>
    <w:p w14:paraId="55B90475" w14:textId="77777777" w:rsidR="009F4766" w:rsidRPr="00DE12A3" w:rsidRDefault="009F4766" w:rsidP="00C917D6">
      <w:pPr>
        <w:pStyle w:val="Point0"/>
        <w:ind w:left="1701" w:hanging="567"/>
      </w:pPr>
      <w:r w:rsidRPr="00DE12A3">
        <w:t>(b)</w:t>
      </w:r>
      <w:r w:rsidRPr="00DE12A3">
        <w:tab/>
        <w:t>Ölçüm</w:t>
      </w:r>
    </w:p>
    <w:p w14:paraId="35ECDB84" w14:textId="7B98B7A0" w:rsidR="009F4766" w:rsidRPr="00DE12A3" w:rsidRDefault="009F4766" w:rsidP="00C917D6">
      <w:pPr>
        <w:pStyle w:val="Point0"/>
        <w:ind w:left="1701" w:hanging="567"/>
      </w:pPr>
      <w:r w:rsidRPr="00DE12A3">
        <w:t xml:space="preserve">          Egzoz gazı molar akış hızı, üç sistem aracılığıyla </w:t>
      </w:r>
      <w:r w:rsidR="001A234D" w:rsidRPr="00DE12A3">
        <w:t>ölçülebilir</w:t>
      </w:r>
      <w:r w:rsidR="00825EFD" w:rsidRPr="00DE12A3">
        <w:t> ;</w:t>
      </w:r>
    </w:p>
    <w:p w14:paraId="5AAE16B7" w14:textId="4681B674" w:rsidR="009F4766" w:rsidRPr="00DE12A3" w:rsidRDefault="009F4766" w:rsidP="00C917D6">
      <w:pPr>
        <w:pStyle w:val="Point1"/>
        <w:ind w:left="1701"/>
      </w:pPr>
      <w:r w:rsidRPr="00DE12A3">
        <w:tab/>
        <w:t>(i)</w:t>
      </w:r>
      <w:r w:rsidRPr="00DE12A3">
        <w:tab/>
        <w:t xml:space="preserve">PDP molar akış hızı. Pozitif Deplasmanlı </w:t>
      </w:r>
      <w:r w:rsidR="006D7ADF" w:rsidRPr="00DE12A3">
        <w:t xml:space="preserve">(Hacimli) </w:t>
      </w:r>
      <w:r w:rsidRPr="00DE12A3">
        <w:t xml:space="preserve">Pompanın (PDP) bir test aralığı boyunca çalıştığı devire bağlı olarak, ona karşılık gelen eğim a1 ve 3.9.2 bendinde belirtilen kalibrasyon prosedürü ile hesaplanan kesişme noktası a0 [-], molar akış oranı n'yi [mol/s] (7-117) </w:t>
      </w:r>
      <w:r w:rsidR="00962CA1" w:rsidRPr="00DE12A3">
        <w:t>numaralı</w:t>
      </w:r>
      <w:r w:rsidR="00962CA1" w:rsidRPr="00DE12A3" w:rsidDel="00962CA1">
        <w:t xml:space="preserve"> </w:t>
      </w:r>
      <w:r w:rsidRPr="00DE12A3">
        <w:t xml:space="preserve">denklem ile hesaplamak için </w:t>
      </w:r>
      <w:r w:rsidR="006D7ADF" w:rsidRPr="00DE12A3">
        <w:t>kullanılmalıdır:</w:t>
      </w:r>
      <w:r w:rsidRPr="00DE12A3">
        <w:t xml:space="preserve"> </w:t>
      </w:r>
    </w:p>
    <w:tbl>
      <w:tblPr>
        <w:tblW w:w="0" w:type="auto"/>
        <w:tblInd w:w="2925" w:type="dxa"/>
        <w:tblLayout w:type="fixed"/>
        <w:tblLook w:val="0000" w:firstRow="0" w:lastRow="0" w:firstColumn="0" w:lastColumn="0" w:noHBand="0" w:noVBand="0"/>
      </w:tblPr>
      <w:tblGrid>
        <w:gridCol w:w="2474"/>
        <w:gridCol w:w="962"/>
      </w:tblGrid>
      <w:tr w:rsidR="00DE12A3" w:rsidRPr="00DE12A3" w14:paraId="7146C100" w14:textId="77777777" w:rsidTr="009F4766">
        <w:tc>
          <w:tcPr>
            <w:tcW w:w="2474" w:type="dxa"/>
          </w:tcPr>
          <w:p w14:paraId="63AA5A6C" w14:textId="016E823B" w:rsidR="009F4766" w:rsidRPr="00DE12A3" w:rsidRDefault="009F4766" w:rsidP="00C917D6">
            <w:pPr>
              <w:pStyle w:val="NormalLeft"/>
            </w:pPr>
            <w:r w:rsidRPr="00DE12A3">
              <w:rPr>
                <w:noProof/>
                <w:lang w:val="tr-TR"/>
              </w:rPr>
              <w:drawing>
                <wp:inline distT="0" distB="0" distL="0" distR="0" wp14:anchorId="0E91554A" wp14:editId="7881BA57">
                  <wp:extent cx="1230923" cy="633095"/>
                  <wp:effectExtent l="0" t="0" r="7620" b="0"/>
                  <wp:docPr id="2493" name="Resim 24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1240297" cy="637916"/>
                          </a:xfrm>
                          <a:prstGeom prst="rect">
                            <a:avLst/>
                          </a:prstGeom>
                          <a:noFill/>
                          <a:ln>
                            <a:noFill/>
                          </a:ln>
                        </pic:spPr>
                      </pic:pic>
                    </a:graphicData>
                  </a:graphic>
                </wp:inline>
              </w:drawing>
            </w:r>
          </w:p>
        </w:tc>
        <w:tc>
          <w:tcPr>
            <w:tcW w:w="962" w:type="dxa"/>
          </w:tcPr>
          <w:p w14:paraId="195BC950" w14:textId="77777777" w:rsidR="009F4766" w:rsidRPr="00DE12A3" w:rsidRDefault="009F4766" w:rsidP="00C917D6">
            <w:pPr>
              <w:pStyle w:val="NormalLeft"/>
            </w:pPr>
            <w:r w:rsidRPr="00DE12A3">
              <w:t>(7-117)</w:t>
            </w:r>
          </w:p>
        </w:tc>
      </w:tr>
    </w:tbl>
    <w:p w14:paraId="42670D05" w14:textId="77777777" w:rsidR="009F4766" w:rsidRPr="00DE12A3" w:rsidRDefault="009F4766" w:rsidP="00C917D6">
      <w:pPr>
        <w:pStyle w:val="Point1"/>
        <w:jc w:val="center"/>
      </w:pPr>
      <w:r w:rsidRPr="00DE12A3">
        <w:t>ve</w:t>
      </w:r>
    </w:p>
    <w:tbl>
      <w:tblPr>
        <w:tblW w:w="0" w:type="auto"/>
        <w:tblInd w:w="2647" w:type="dxa"/>
        <w:tblLayout w:type="fixed"/>
        <w:tblLook w:val="0000" w:firstRow="0" w:lastRow="0" w:firstColumn="0" w:lastColumn="0" w:noHBand="0" w:noVBand="0"/>
      </w:tblPr>
      <w:tblGrid>
        <w:gridCol w:w="2995"/>
        <w:gridCol w:w="998"/>
      </w:tblGrid>
      <w:tr w:rsidR="00DE12A3" w:rsidRPr="00DE12A3" w14:paraId="58C02BB5" w14:textId="77777777" w:rsidTr="009F4766">
        <w:tc>
          <w:tcPr>
            <w:tcW w:w="2995" w:type="dxa"/>
          </w:tcPr>
          <w:p w14:paraId="066B4193" w14:textId="2DB8BCA1" w:rsidR="009F4766" w:rsidRPr="00DE12A3" w:rsidRDefault="009F4766" w:rsidP="00C917D6">
            <w:pPr>
              <w:pStyle w:val="NormalLeft"/>
            </w:pPr>
            <w:r w:rsidRPr="00DE12A3">
              <w:rPr>
                <w:noProof/>
                <w:lang w:val="tr-TR"/>
              </w:rPr>
              <w:drawing>
                <wp:inline distT="0" distB="0" distL="0" distR="0" wp14:anchorId="23D6A03B" wp14:editId="7BCDBE63">
                  <wp:extent cx="1764323" cy="803275"/>
                  <wp:effectExtent l="0" t="0" r="7620" b="0"/>
                  <wp:docPr id="2492" name="Resim 24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1770529" cy="806101"/>
                          </a:xfrm>
                          <a:prstGeom prst="rect">
                            <a:avLst/>
                          </a:prstGeom>
                          <a:noFill/>
                          <a:ln>
                            <a:noFill/>
                          </a:ln>
                        </pic:spPr>
                      </pic:pic>
                    </a:graphicData>
                  </a:graphic>
                </wp:inline>
              </w:drawing>
            </w:r>
          </w:p>
        </w:tc>
        <w:tc>
          <w:tcPr>
            <w:tcW w:w="998" w:type="dxa"/>
          </w:tcPr>
          <w:p w14:paraId="5BBF6630" w14:textId="77777777" w:rsidR="009F4766" w:rsidRPr="00DE12A3" w:rsidRDefault="009F4766" w:rsidP="00C917D6">
            <w:pPr>
              <w:pStyle w:val="NormalLeft"/>
            </w:pPr>
            <w:r w:rsidRPr="00DE12A3">
              <w:t>(7-118)</w:t>
            </w:r>
          </w:p>
        </w:tc>
      </w:tr>
    </w:tbl>
    <w:p w14:paraId="5F59AAA6" w14:textId="77777777" w:rsidR="009F4766" w:rsidRPr="00DE12A3" w:rsidRDefault="009F4766" w:rsidP="00C917D6">
      <w:pPr>
        <w:pStyle w:val="Point1"/>
      </w:pPr>
      <w:r w:rsidRPr="00DE12A3">
        <w:tab/>
        <w:t>Burada:</w:t>
      </w:r>
    </w:p>
    <w:tbl>
      <w:tblPr>
        <w:tblW w:w="0" w:type="auto"/>
        <w:tblInd w:w="2136" w:type="dxa"/>
        <w:tblLayout w:type="fixed"/>
        <w:tblLook w:val="0000" w:firstRow="0" w:lastRow="0" w:firstColumn="0" w:lastColumn="0" w:noHBand="0" w:noVBand="0"/>
      </w:tblPr>
      <w:tblGrid>
        <w:gridCol w:w="1153"/>
        <w:gridCol w:w="602"/>
        <w:gridCol w:w="3259"/>
      </w:tblGrid>
      <w:tr w:rsidR="00DE12A3" w:rsidRPr="00DE12A3" w14:paraId="6149CACB" w14:textId="77777777" w:rsidTr="009F4766">
        <w:tc>
          <w:tcPr>
            <w:tcW w:w="1153" w:type="dxa"/>
          </w:tcPr>
          <w:p w14:paraId="0DF491BA" w14:textId="77777777" w:rsidR="009F4766" w:rsidRPr="00DE12A3" w:rsidRDefault="009F4766" w:rsidP="00C917D6">
            <w:pPr>
              <w:pStyle w:val="NormalLeft"/>
            </w:pPr>
            <w:r w:rsidRPr="00DE12A3">
              <w:rPr>
                <w:i/>
                <w:iCs/>
              </w:rPr>
              <w:t>a</w:t>
            </w:r>
            <w:r w:rsidRPr="00DE12A3">
              <w:rPr>
                <w:vertAlign w:val="subscript"/>
              </w:rPr>
              <w:t>1</w:t>
            </w:r>
          </w:p>
        </w:tc>
        <w:tc>
          <w:tcPr>
            <w:tcW w:w="602" w:type="dxa"/>
          </w:tcPr>
          <w:p w14:paraId="7A8743DD" w14:textId="77777777" w:rsidR="009F4766" w:rsidRPr="00DE12A3" w:rsidRDefault="009F4766" w:rsidP="00C917D6">
            <w:pPr>
              <w:pStyle w:val="NormalLeft"/>
            </w:pPr>
            <w:r w:rsidRPr="00DE12A3">
              <w:t>=</w:t>
            </w:r>
          </w:p>
        </w:tc>
        <w:tc>
          <w:tcPr>
            <w:tcW w:w="3259" w:type="dxa"/>
          </w:tcPr>
          <w:p w14:paraId="32437770" w14:textId="7110F00A" w:rsidR="009F4766" w:rsidRPr="00DE12A3" w:rsidRDefault="001A234D" w:rsidP="00C917D6">
            <w:pPr>
              <w:spacing w:before="120" w:after="120"/>
              <w:rPr>
                <w:rFonts w:cs="Times New Roman"/>
                <w:color w:val="auto"/>
              </w:rPr>
            </w:pPr>
            <w:r w:rsidRPr="00DE12A3">
              <w:rPr>
                <w:rFonts w:cs="Times New Roman"/>
                <w:color w:val="auto"/>
              </w:rPr>
              <w:t>Kalibrasyon</w:t>
            </w:r>
            <w:r w:rsidR="009F4766" w:rsidRPr="00DE12A3">
              <w:rPr>
                <w:rFonts w:cs="Times New Roman"/>
                <w:color w:val="auto"/>
              </w:rPr>
              <w:t xml:space="preserve"> katsayısı [m3/s]</w:t>
            </w:r>
          </w:p>
        </w:tc>
      </w:tr>
      <w:tr w:rsidR="00DE12A3" w:rsidRPr="00DE12A3" w14:paraId="691128D0" w14:textId="77777777" w:rsidTr="009F4766">
        <w:tc>
          <w:tcPr>
            <w:tcW w:w="1153" w:type="dxa"/>
          </w:tcPr>
          <w:p w14:paraId="66F5B60B" w14:textId="77777777" w:rsidR="009F4766" w:rsidRPr="00DE12A3" w:rsidRDefault="009F4766" w:rsidP="00C917D6">
            <w:pPr>
              <w:pStyle w:val="NormalLeft"/>
            </w:pPr>
            <w:r w:rsidRPr="00DE12A3">
              <w:rPr>
                <w:i/>
                <w:iCs/>
              </w:rPr>
              <w:t>a</w:t>
            </w:r>
            <w:r w:rsidRPr="00DE12A3">
              <w:rPr>
                <w:vertAlign w:val="subscript"/>
              </w:rPr>
              <w:t>0</w:t>
            </w:r>
          </w:p>
        </w:tc>
        <w:tc>
          <w:tcPr>
            <w:tcW w:w="602" w:type="dxa"/>
          </w:tcPr>
          <w:p w14:paraId="7B55BE33" w14:textId="77777777" w:rsidR="009F4766" w:rsidRPr="00DE12A3" w:rsidRDefault="009F4766" w:rsidP="00C917D6">
            <w:pPr>
              <w:pStyle w:val="NormalLeft"/>
            </w:pPr>
            <w:r w:rsidRPr="00DE12A3">
              <w:t>=</w:t>
            </w:r>
          </w:p>
        </w:tc>
        <w:tc>
          <w:tcPr>
            <w:tcW w:w="3259" w:type="dxa"/>
          </w:tcPr>
          <w:p w14:paraId="236EB48C" w14:textId="6C23C95E" w:rsidR="009F4766" w:rsidRPr="00DE12A3" w:rsidRDefault="001A234D" w:rsidP="00C917D6">
            <w:pPr>
              <w:spacing w:before="120" w:after="120"/>
              <w:rPr>
                <w:rFonts w:cs="Times New Roman"/>
                <w:color w:val="auto"/>
              </w:rPr>
            </w:pPr>
            <w:r w:rsidRPr="00DE12A3">
              <w:rPr>
                <w:rFonts w:cs="Times New Roman"/>
                <w:color w:val="auto"/>
              </w:rPr>
              <w:t>Kalibrasyon</w:t>
            </w:r>
            <w:r w:rsidR="009F4766" w:rsidRPr="00DE12A3">
              <w:rPr>
                <w:rFonts w:cs="Times New Roman"/>
                <w:color w:val="auto"/>
              </w:rPr>
              <w:t xml:space="preserve"> katsayısı [m3/dev]</w:t>
            </w:r>
          </w:p>
        </w:tc>
      </w:tr>
      <w:tr w:rsidR="00DE12A3" w:rsidRPr="00DE12A3" w14:paraId="0FE1439C" w14:textId="77777777" w:rsidTr="009F4766">
        <w:tc>
          <w:tcPr>
            <w:tcW w:w="1153" w:type="dxa"/>
          </w:tcPr>
          <w:p w14:paraId="5257981E" w14:textId="77777777" w:rsidR="009F4766" w:rsidRPr="00DE12A3" w:rsidRDefault="009F4766" w:rsidP="00C917D6">
            <w:pPr>
              <w:pStyle w:val="NormalLeft"/>
            </w:pPr>
            <w:r w:rsidRPr="00DE12A3">
              <w:rPr>
                <w:i/>
                <w:iCs/>
              </w:rPr>
              <w:t>p</w:t>
            </w:r>
            <w:r w:rsidRPr="00DE12A3">
              <w:rPr>
                <w:vertAlign w:val="subscript"/>
              </w:rPr>
              <w:t>in</w:t>
            </w:r>
            <w:r w:rsidRPr="00DE12A3">
              <w:t xml:space="preserve">, </w:t>
            </w:r>
            <w:r w:rsidRPr="00DE12A3">
              <w:rPr>
                <w:i/>
                <w:iCs/>
              </w:rPr>
              <w:t>p</w:t>
            </w:r>
            <w:r w:rsidRPr="00DE12A3">
              <w:rPr>
                <w:vertAlign w:val="subscript"/>
              </w:rPr>
              <w:t>out</w:t>
            </w:r>
          </w:p>
        </w:tc>
        <w:tc>
          <w:tcPr>
            <w:tcW w:w="602" w:type="dxa"/>
          </w:tcPr>
          <w:p w14:paraId="0573879A" w14:textId="77777777" w:rsidR="009F4766" w:rsidRPr="00DE12A3" w:rsidRDefault="009F4766" w:rsidP="00C917D6">
            <w:pPr>
              <w:pStyle w:val="NormalLeft"/>
            </w:pPr>
            <w:r w:rsidRPr="00DE12A3">
              <w:t>=</w:t>
            </w:r>
          </w:p>
        </w:tc>
        <w:tc>
          <w:tcPr>
            <w:tcW w:w="3259" w:type="dxa"/>
          </w:tcPr>
          <w:p w14:paraId="3C25C41C" w14:textId="42DB8711" w:rsidR="009F4766" w:rsidRPr="00DE12A3" w:rsidRDefault="001A234D" w:rsidP="00C917D6">
            <w:pPr>
              <w:spacing w:before="120" w:after="120"/>
              <w:rPr>
                <w:rFonts w:cs="Times New Roman"/>
                <w:color w:val="auto"/>
              </w:rPr>
            </w:pPr>
            <w:r w:rsidRPr="00DE12A3">
              <w:rPr>
                <w:rFonts w:cs="Times New Roman"/>
                <w:color w:val="auto"/>
              </w:rPr>
              <w:t>Giriş</w:t>
            </w:r>
            <w:r w:rsidR="009F4766" w:rsidRPr="00DE12A3">
              <w:rPr>
                <w:rFonts w:cs="Times New Roman"/>
                <w:color w:val="auto"/>
              </w:rPr>
              <w:t>/çıkış basıncı [Pa]</w:t>
            </w:r>
          </w:p>
        </w:tc>
      </w:tr>
      <w:tr w:rsidR="00DE12A3" w:rsidRPr="00DE12A3" w14:paraId="400327DC" w14:textId="77777777" w:rsidTr="009F4766">
        <w:tc>
          <w:tcPr>
            <w:tcW w:w="1153" w:type="dxa"/>
          </w:tcPr>
          <w:p w14:paraId="4FEB7E8E" w14:textId="77777777" w:rsidR="009F4766" w:rsidRPr="00DE12A3" w:rsidRDefault="009F4766" w:rsidP="00C917D6">
            <w:pPr>
              <w:pStyle w:val="NormalLeft"/>
            </w:pPr>
            <w:r w:rsidRPr="00DE12A3">
              <w:rPr>
                <w:i/>
                <w:iCs/>
              </w:rPr>
              <w:t>R</w:t>
            </w:r>
          </w:p>
        </w:tc>
        <w:tc>
          <w:tcPr>
            <w:tcW w:w="602" w:type="dxa"/>
          </w:tcPr>
          <w:p w14:paraId="1862E0FC" w14:textId="77777777" w:rsidR="009F4766" w:rsidRPr="00DE12A3" w:rsidRDefault="009F4766" w:rsidP="00C917D6">
            <w:pPr>
              <w:pStyle w:val="NormalLeft"/>
            </w:pPr>
            <w:r w:rsidRPr="00DE12A3">
              <w:t>=</w:t>
            </w:r>
          </w:p>
        </w:tc>
        <w:tc>
          <w:tcPr>
            <w:tcW w:w="3259" w:type="dxa"/>
          </w:tcPr>
          <w:p w14:paraId="245DDD65" w14:textId="03139528" w:rsidR="009F4766" w:rsidRPr="00DE12A3" w:rsidRDefault="001A234D" w:rsidP="00C917D6">
            <w:pPr>
              <w:spacing w:before="120" w:after="120"/>
              <w:rPr>
                <w:rFonts w:cs="Times New Roman"/>
                <w:color w:val="auto"/>
              </w:rPr>
            </w:pPr>
            <w:r w:rsidRPr="00DE12A3">
              <w:rPr>
                <w:rFonts w:cs="Times New Roman"/>
                <w:color w:val="auto"/>
              </w:rPr>
              <w:t>Molar</w:t>
            </w:r>
            <w:r w:rsidR="009F4766" w:rsidRPr="00DE12A3">
              <w:rPr>
                <w:rFonts w:cs="Times New Roman"/>
                <w:color w:val="auto"/>
              </w:rPr>
              <w:t xml:space="preserve"> gaz sabiti [J/(mol • K)]</w:t>
            </w:r>
          </w:p>
        </w:tc>
      </w:tr>
      <w:tr w:rsidR="00DE12A3" w:rsidRPr="00DE12A3" w14:paraId="282CA49C" w14:textId="77777777" w:rsidTr="009F4766">
        <w:tc>
          <w:tcPr>
            <w:tcW w:w="1153" w:type="dxa"/>
          </w:tcPr>
          <w:p w14:paraId="541CF74A" w14:textId="77777777" w:rsidR="009F4766" w:rsidRPr="00DE12A3" w:rsidRDefault="009F4766" w:rsidP="00C917D6">
            <w:pPr>
              <w:pStyle w:val="NormalLeft"/>
            </w:pPr>
            <w:r w:rsidRPr="00DE12A3">
              <w:rPr>
                <w:i/>
                <w:iCs/>
              </w:rPr>
              <w:t>T</w:t>
            </w:r>
            <w:r w:rsidRPr="00DE12A3">
              <w:rPr>
                <w:vertAlign w:val="subscript"/>
              </w:rPr>
              <w:t>in</w:t>
            </w:r>
          </w:p>
        </w:tc>
        <w:tc>
          <w:tcPr>
            <w:tcW w:w="602" w:type="dxa"/>
          </w:tcPr>
          <w:p w14:paraId="7647BFF3" w14:textId="77777777" w:rsidR="009F4766" w:rsidRPr="00DE12A3" w:rsidRDefault="009F4766" w:rsidP="00C917D6">
            <w:pPr>
              <w:pStyle w:val="NormalLeft"/>
            </w:pPr>
            <w:r w:rsidRPr="00DE12A3">
              <w:t>=</w:t>
            </w:r>
          </w:p>
        </w:tc>
        <w:tc>
          <w:tcPr>
            <w:tcW w:w="3259" w:type="dxa"/>
          </w:tcPr>
          <w:p w14:paraId="399BC6F6" w14:textId="3EE1A537" w:rsidR="009F4766" w:rsidRPr="00DE12A3" w:rsidRDefault="001A234D" w:rsidP="00C917D6">
            <w:pPr>
              <w:spacing w:before="120" w:after="120"/>
              <w:rPr>
                <w:rFonts w:cs="Times New Roman"/>
                <w:color w:val="auto"/>
              </w:rPr>
            </w:pPr>
            <w:r w:rsidRPr="00DE12A3">
              <w:rPr>
                <w:rFonts w:cs="Times New Roman"/>
                <w:color w:val="auto"/>
              </w:rPr>
              <w:t>Giriş</w:t>
            </w:r>
            <w:r w:rsidR="009F4766" w:rsidRPr="00DE12A3">
              <w:rPr>
                <w:rFonts w:cs="Times New Roman"/>
                <w:color w:val="auto"/>
              </w:rPr>
              <w:t xml:space="preserve"> sıcaklığı [K]</w:t>
            </w:r>
          </w:p>
        </w:tc>
      </w:tr>
      <w:tr w:rsidR="00DE12A3" w:rsidRPr="00DE12A3" w14:paraId="6758C703" w14:textId="77777777" w:rsidTr="009F4766">
        <w:tc>
          <w:tcPr>
            <w:tcW w:w="1153" w:type="dxa"/>
          </w:tcPr>
          <w:p w14:paraId="53B3B4F6" w14:textId="77777777" w:rsidR="009F4766" w:rsidRPr="00DE12A3" w:rsidRDefault="009F4766" w:rsidP="00C917D6">
            <w:pPr>
              <w:pStyle w:val="NormalLeft"/>
            </w:pPr>
            <w:r w:rsidRPr="00DE12A3">
              <w:rPr>
                <w:i/>
                <w:iCs/>
              </w:rPr>
              <w:t>V</w:t>
            </w:r>
            <w:r w:rsidRPr="00DE12A3">
              <w:rPr>
                <w:vertAlign w:val="subscript"/>
              </w:rPr>
              <w:t>rev</w:t>
            </w:r>
          </w:p>
        </w:tc>
        <w:tc>
          <w:tcPr>
            <w:tcW w:w="602" w:type="dxa"/>
          </w:tcPr>
          <w:p w14:paraId="3032155D" w14:textId="77777777" w:rsidR="009F4766" w:rsidRPr="00DE12A3" w:rsidRDefault="009F4766" w:rsidP="00C917D6">
            <w:pPr>
              <w:pStyle w:val="NormalLeft"/>
            </w:pPr>
            <w:r w:rsidRPr="00DE12A3">
              <w:t>=</w:t>
            </w:r>
          </w:p>
        </w:tc>
        <w:tc>
          <w:tcPr>
            <w:tcW w:w="3259" w:type="dxa"/>
          </w:tcPr>
          <w:p w14:paraId="0C6A5C04" w14:textId="77777777" w:rsidR="009F4766" w:rsidRPr="00DE12A3" w:rsidRDefault="009F4766" w:rsidP="00C917D6">
            <w:pPr>
              <w:spacing w:before="120" w:after="120"/>
              <w:rPr>
                <w:rFonts w:cs="Times New Roman"/>
                <w:color w:val="auto"/>
              </w:rPr>
            </w:pPr>
            <w:r w:rsidRPr="00DE12A3">
              <w:rPr>
                <w:rFonts w:cs="Times New Roman"/>
                <w:color w:val="auto"/>
              </w:rPr>
              <w:t xml:space="preserve">PDP tarafından pompalanan </w:t>
            </w:r>
            <w:r w:rsidRPr="00DE12A3">
              <w:rPr>
                <w:rFonts w:cs="Times New Roman"/>
                <w:color w:val="auto"/>
              </w:rPr>
              <w:lastRenderedPageBreak/>
              <w:t>hacim [m3/rev]</w:t>
            </w:r>
          </w:p>
        </w:tc>
      </w:tr>
      <w:tr w:rsidR="009F4766" w:rsidRPr="00DE12A3" w14:paraId="7509345F" w14:textId="77777777" w:rsidTr="009F4766">
        <w:tc>
          <w:tcPr>
            <w:tcW w:w="1153" w:type="dxa"/>
          </w:tcPr>
          <w:p w14:paraId="53D7BBD2" w14:textId="77777777" w:rsidR="009F4766" w:rsidRPr="00DE12A3" w:rsidRDefault="009F4766" w:rsidP="00C917D6">
            <w:pPr>
              <w:pStyle w:val="NormalLeft"/>
            </w:pPr>
            <w:r w:rsidRPr="00DE12A3">
              <w:rPr>
                <w:i/>
                <w:iCs/>
              </w:rPr>
              <w:lastRenderedPageBreak/>
              <w:t>f</w:t>
            </w:r>
            <w:r w:rsidRPr="00DE12A3">
              <w:rPr>
                <w:vertAlign w:val="subscript"/>
              </w:rPr>
              <w:t>n.,PDP</w:t>
            </w:r>
          </w:p>
        </w:tc>
        <w:tc>
          <w:tcPr>
            <w:tcW w:w="602" w:type="dxa"/>
          </w:tcPr>
          <w:p w14:paraId="164D3930" w14:textId="77777777" w:rsidR="009F4766" w:rsidRPr="00DE12A3" w:rsidRDefault="009F4766" w:rsidP="00C917D6">
            <w:pPr>
              <w:pStyle w:val="NormalLeft"/>
            </w:pPr>
            <w:r w:rsidRPr="00DE12A3">
              <w:t>=</w:t>
            </w:r>
          </w:p>
        </w:tc>
        <w:tc>
          <w:tcPr>
            <w:tcW w:w="3259" w:type="dxa"/>
          </w:tcPr>
          <w:p w14:paraId="2B97AE5F" w14:textId="77777777" w:rsidR="009F4766" w:rsidRPr="00DE12A3" w:rsidRDefault="009F4766" w:rsidP="00C917D6">
            <w:pPr>
              <w:spacing w:before="120" w:after="120"/>
              <w:rPr>
                <w:rFonts w:cs="Times New Roman"/>
                <w:color w:val="auto"/>
              </w:rPr>
            </w:pPr>
            <w:r w:rsidRPr="00DE12A3">
              <w:rPr>
                <w:rFonts w:cs="Times New Roman"/>
                <w:color w:val="auto"/>
              </w:rPr>
              <w:t>PDP devri [rev/s]</w:t>
            </w:r>
          </w:p>
        </w:tc>
      </w:tr>
    </w:tbl>
    <w:p w14:paraId="7D2B13BF" w14:textId="77777777" w:rsidR="009F4766" w:rsidRPr="00DE12A3" w:rsidRDefault="009F4766" w:rsidP="00C917D6">
      <w:pPr>
        <w:spacing w:before="120" w:after="120"/>
        <w:rPr>
          <w:rFonts w:cs="Times New Roman"/>
          <w:color w:val="auto"/>
        </w:rPr>
      </w:pPr>
    </w:p>
    <w:p w14:paraId="78A194AC" w14:textId="79415ED9" w:rsidR="009F4766" w:rsidRPr="00DE12A3" w:rsidRDefault="009F4766" w:rsidP="00C917D6">
      <w:pPr>
        <w:pStyle w:val="Point1"/>
      </w:pPr>
      <w:r w:rsidRPr="00DE12A3">
        <w:tab/>
        <w:t>(ii)</w:t>
      </w:r>
      <w:r w:rsidRPr="00DE12A3">
        <w:tab/>
        <w:t xml:space="preserve">SSV molar akış hızı. 3.9.4 bendi uyarınca belirlenen Cd karşısında Re# denklemi esasında, bir emisyon testi sırasında Ses Altı Venturi (SSV) molar akış hızı ṅ [mol/s], (7-119) </w:t>
      </w:r>
      <w:r w:rsidR="00962CA1" w:rsidRPr="00DE12A3">
        <w:t>numaralı</w:t>
      </w:r>
      <w:r w:rsidR="00962CA1" w:rsidRPr="00DE12A3" w:rsidDel="00962CA1">
        <w:t xml:space="preserve"> </w:t>
      </w:r>
      <w:r w:rsidRPr="00DE12A3">
        <w:t xml:space="preserve">denklem ile hesaplanmalıdır : </w:t>
      </w:r>
    </w:p>
    <w:tbl>
      <w:tblPr>
        <w:tblW w:w="0" w:type="auto"/>
        <w:tblInd w:w="2739" w:type="dxa"/>
        <w:tblLayout w:type="fixed"/>
        <w:tblLook w:val="0000" w:firstRow="0" w:lastRow="0" w:firstColumn="0" w:lastColumn="0" w:noHBand="0" w:noVBand="0"/>
      </w:tblPr>
      <w:tblGrid>
        <w:gridCol w:w="2817"/>
        <w:gridCol w:w="990"/>
      </w:tblGrid>
      <w:tr w:rsidR="00DE12A3" w:rsidRPr="00DE12A3" w14:paraId="3F44046E" w14:textId="77777777" w:rsidTr="001A234D">
        <w:tc>
          <w:tcPr>
            <w:tcW w:w="2817" w:type="dxa"/>
          </w:tcPr>
          <w:p w14:paraId="69D18849" w14:textId="16A4EDEE" w:rsidR="009F4766" w:rsidRPr="00DE12A3" w:rsidRDefault="009F4766" w:rsidP="00C917D6">
            <w:pPr>
              <w:pStyle w:val="NormalLeft"/>
            </w:pPr>
            <w:r w:rsidRPr="00DE12A3">
              <w:rPr>
                <w:noProof/>
                <w:lang w:val="tr-TR"/>
              </w:rPr>
              <w:drawing>
                <wp:inline distT="0" distB="0" distL="0" distR="0" wp14:anchorId="1F0DDCB2" wp14:editId="71D84E89">
                  <wp:extent cx="1670539" cy="661670"/>
                  <wp:effectExtent l="0" t="0" r="6350" b="5080"/>
                  <wp:docPr id="2491" name="Resim 2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1734269" cy="686912"/>
                          </a:xfrm>
                          <a:prstGeom prst="rect">
                            <a:avLst/>
                          </a:prstGeom>
                          <a:noFill/>
                          <a:ln>
                            <a:noFill/>
                          </a:ln>
                        </pic:spPr>
                      </pic:pic>
                    </a:graphicData>
                  </a:graphic>
                </wp:inline>
              </w:drawing>
            </w:r>
          </w:p>
        </w:tc>
        <w:tc>
          <w:tcPr>
            <w:tcW w:w="990" w:type="dxa"/>
          </w:tcPr>
          <w:p w14:paraId="266657D3" w14:textId="77777777" w:rsidR="009F4766" w:rsidRPr="00DE12A3" w:rsidRDefault="009F4766" w:rsidP="00C917D6">
            <w:pPr>
              <w:pStyle w:val="NormalLeft"/>
            </w:pPr>
            <w:r w:rsidRPr="00DE12A3">
              <w:t>(7-119)</w:t>
            </w:r>
          </w:p>
        </w:tc>
      </w:tr>
    </w:tbl>
    <w:p w14:paraId="2F6AD471" w14:textId="77777777" w:rsidR="009F4766" w:rsidRPr="00DE12A3" w:rsidRDefault="009F4766" w:rsidP="00C917D6">
      <w:pPr>
        <w:pStyle w:val="Point1"/>
      </w:pPr>
      <w:r w:rsidRPr="00DE12A3">
        <w:tab/>
        <w:t>Burada:</w:t>
      </w:r>
    </w:p>
    <w:tbl>
      <w:tblPr>
        <w:tblW w:w="0" w:type="auto"/>
        <w:tblInd w:w="1625" w:type="dxa"/>
        <w:tblLayout w:type="fixed"/>
        <w:tblLook w:val="0000" w:firstRow="0" w:lastRow="0" w:firstColumn="0" w:lastColumn="0" w:noHBand="0" w:noVBand="0"/>
      </w:tblPr>
      <w:tblGrid>
        <w:gridCol w:w="1026"/>
        <w:gridCol w:w="543"/>
        <w:gridCol w:w="4467"/>
      </w:tblGrid>
      <w:tr w:rsidR="00DE12A3" w:rsidRPr="00DE12A3" w14:paraId="530C0075" w14:textId="77777777" w:rsidTr="00C872F3">
        <w:tc>
          <w:tcPr>
            <w:tcW w:w="1026" w:type="dxa"/>
          </w:tcPr>
          <w:p w14:paraId="3064BCC8" w14:textId="77777777" w:rsidR="009F4766" w:rsidRPr="00DE12A3" w:rsidRDefault="009F4766" w:rsidP="00C917D6">
            <w:pPr>
              <w:pStyle w:val="NormalLeft"/>
            </w:pPr>
            <w:r w:rsidRPr="00DE12A3">
              <w:rPr>
                <w:i/>
                <w:iCs/>
              </w:rPr>
              <w:t>p</w:t>
            </w:r>
            <w:r w:rsidRPr="00DE12A3">
              <w:rPr>
                <w:vertAlign w:val="subscript"/>
              </w:rPr>
              <w:t>in</w:t>
            </w:r>
          </w:p>
        </w:tc>
        <w:tc>
          <w:tcPr>
            <w:tcW w:w="543" w:type="dxa"/>
          </w:tcPr>
          <w:p w14:paraId="23AB144F" w14:textId="77777777" w:rsidR="009F4766" w:rsidRPr="00DE12A3" w:rsidRDefault="009F4766" w:rsidP="00C917D6">
            <w:pPr>
              <w:pStyle w:val="NormalLeft"/>
            </w:pPr>
            <w:r w:rsidRPr="00DE12A3">
              <w:t>=</w:t>
            </w:r>
          </w:p>
        </w:tc>
        <w:tc>
          <w:tcPr>
            <w:tcW w:w="4467" w:type="dxa"/>
          </w:tcPr>
          <w:p w14:paraId="7536D165" w14:textId="244F510F" w:rsidR="009F4766" w:rsidRPr="00DE12A3" w:rsidRDefault="001A234D" w:rsidP="00C917D6">
            <w:pPr>
              <w:spacing w:before="120" w:after="120"/>
              <w:rPr>
                <w:rFonts w:cs="Times New Roman"/>
                <w:color w:val="auto"/>
              </w:rPr>
            </w:pPr>
            <w:r w:rsidRPr="00DE12A3">
              <w:rPr>
                <w:rFonts w:cs="Times New Roman"/>
                <w:color w:val="auto"/>
              </w:rPr>
              <w:t>Giriş</w:t>
            </w:r>
            <w:r w:rsidR="009F4766" w:rsidRPr="00DE12A3">
              <w:rPr>
                <w:rFonts w:cs="Times New Roman"/>
                <w:color w:val="auto"/>
              </w:rPr>
              <w:t xml:space="preserve"> basıncı [Pa]</w:t>
            </w:r>
          </w:p>
        </w:tc>
      </w:tr>
      <w:tr w:rsidR="00DE12A3" w:rsidRPr="00DE12A3" w14:paraId="5C916DD8" w14:textId="77777777" w:rsidTr="00C872F3">
        <w:tc>
          <w:tcPr>
            <w:tcW w:w="1026" w:type="dxa"/>
          </w:tcPr>
          <w:p w14:paraId="0E7A7095" w14:textId="77777777" w:rsidR="009F4766" w:rsidRPr="00DE12A3" w:rsidRDefault="009F4766" w:rsidP="00C917D6">
            <w:pPr>
              <w:pStyle w:val="NormalLeft"/>
            </w:pPr>
            <w:r w:rsidRPr="00DE12A3">
              <w:rPr>
                <w:i/>
                <w:iCs/>
              </w:rPr>
              <w:t>A</w:t>
            </w:r>
            <w:r w:rsidRPr="00DE12A3">
              <w:rPr>
                <w:vertAlign w:val="subscript"/>
              </w:rPr>
              <w:t>t</w:t>
            </w:r>
          </w:p>
        </w:tc>
        <w:tc>
          <w:tcPr>
            <w:tcW w:w="543" w:type="dxa"/>
          </w:tcPr>
          <w:p w14:paraId="0A3DC313" w14:textId="77777777" w:rsidR="009F4766" w:rsidRPr="00DE12A3" w:rsidRDefault="009F4766" w:rsidP="00C917D6">
            <w:pPr>
              <w:pStyle w:val="NormalLeft"/>
            </w:pPr>
            <w:r w:rsidRPr="00DE12A3">
              <w:t>=</w:t>
            </w:r>
          </w:p>
        </w:tc>
        <w:tc>
          <w:tcPr>
            <w:tcW w:w="4467" w:type="dxa"/>
          </w:tcPr>
          <w:p w14:paraId="7E715331" w14:textId="77777777" w:rsidR="009F4766" w:rsidRPr="00DE12A3" w:rsidRDefault="009F4766" w:rsidP="00C917D6">
            <w:pPr>
              <w:spacing w:before="120" w:after="120"/>
              <w:rPr>
                <w:rFonts w:cs="Times New Roman"/>
                <w:color w:val="auto"/>
              </w:rPr>
            </w:pPr>
            <w:r w:rsidRPr="00DE12A3">
              <w:rPr>
                <w:rFonts w:cs="Times New Roman"/>
                <w:color w:val="auto"/>
              </w:rPr>
              <w:t>Venturi boğazı kesit alanı [m2]</w:t>
            </w:r>
          </w:p>
        </w:tc>
      </w:tr>
      <w:tr w:rsidR="00DE12A3" w:rsidRPr="00DE12A3" w14:paraId="4E8E5E6B" w14:textId="77777777" w:rsidTr="00C872F3">
        <w:tc>
          <w:tcPr>
            <w:tcW w:w="1026" w:type="dxa"/>
          </w:tcPr>
          <w:p w14:paraId="522FD8CD" w14:textId="77777777" w:rsidR="009F4766" w:rsidRPr="00DE12A3" w:rsidRDefault="009F4766" w:rsidP="00C917D6">
            <w:pPr>
              <w:pStyle w:val="NormalLeft"/>
            </w:pPr>
            <w:r w:rsidRPr="00DE12A3">
              <w:rPr>
                <w:i/>
                <w:iCs/>
              </w:rPr>
              <w:t>R</w:t>
            </w:r>
          </w:p>
        </w:tc>
        <w:tc>
          <w:tcPr>
            <w:tcW w:w="543" w:type="dxa"/>
          </w:tcPr>
          <w:p w14:paraId="109D0871" w14:textId="77777777" w:rsidR="009F4766" w:rsidRPr="00DE12A3" w:rsidRDefault="009F4766" w:rsidP="00C917D6">
            <w:pPr>
              <w:pStyle w:val="NormalLeft"/>
            </w:pPr>
            <w:r w:rsidRPr="00DE12A3">
              <w:t>=</w:t>
            </w:r>
          </w:p>
        </w:tc>
        <w:tc>
          <w:tcPr>
            <w:tcW w:w="4467" w:type="dxa"/>
          </w:tcPr>
          <w:p w14:paraId="735993F7" w14:textId="28FC88FE" w:rsidR="009F4766" w:rsidRPr="00DE12A3" w:rsidRDefault="001A234D" w:rsidP="00C917D6">
            <w:pPr>
              <w:spacing w:before="120" w:after="120"/>
              <w:rPr>
                <w:rFonts w:cs="Times New Roman"/>
                <w:color w:val="auto"/>
              </w:rPr>
            </w:pPr>
            <w:r w:rsidRPr="00DE12A3">
              <w:rPr>
                <w:rFonts w:cs="Times New Roman"/>
                <w:color w:val="auto"/>
              </w:rPr>
              <w:t>Molar</w:t>
            </w:r>
            <w:r w:rsidR="009F4766" w:rsidRPr="00DE12A3">
              <w:rPr>
                <w:rFonts w:cs="Times New Roman"/>
                <w:color w:val="auto"/>
              </w:rPr>
              <w:t xml:space="preserve"> gaz sabiti [J/(mol • K)]</w:t>
            </w:r>
          </w:p>
        </w:tc>
      </w:tr>
      <w:tr w:rsidR="00DE12A3" w:rsidRPr="00DE12A3" w14:paraId="7A134632" w14:textId="77777777" w:rsidTr="00C872F3">
        <w:tc>
          <w:tcPr>
            <w:tcW w:w="1026" w:type="dxa"/>
          </w:tcPr>
          <w:p w14:paraId="46C91A18" w14:textId="77777777" w:rsidR="009F4766" w:rsidRPr="00DE12A3" w:rsidRDefault="009F4766" w:rsidP="00C917D6">
            <w:pPr>
              <w:pStyle w:val="NormalLeft"/>
            </w:pPr>
            <w:r w:rsidRPr="00DE12A3">
              <w:rPr>
                <w:i/>
                <w:iCs/>
              </w:rPr>
              <w:t>T</w:t>
            </w:r>
            <w:r w:rsidRPr="00DE12A3">
              <w:rPr>
                <w:vertAlign w:val="subscript"/>
              </w:rPr>
              <w:t>in</w:t>
            </w:r>
          </w:p>
        </w:tc>
        <w:tc>
          <w:tcPr>
            <w:tcW w:w="543" w:type="dxa"/>
          </w:tcPr>
          <w:p w14:paraId="2BFAE1C9" w14:textId="77777777" w:rsidR="009F4766" w:rsidRPr="00DE12A3" w:rsidRDefault="009F4766" w:rsidP="00C917D6">
            <w:pPr>
              <w:pStyle w:val="NormalLeft"/>
            </w:pPr>
            <w:r w:rsidRPr="00DE12A3">
              <w:t>=</w:t>
            </w:r>
          </w:p>
        </w:tc>
        <w:tc>
          <w:tcPr>
            <w:tcW w:w="4467" w:type="dxa"/>
          </w:tcPr>
          <w:p w14:paraId="52B4B868" w14:textId="214E7BF8" w:rsidR="009F4766" w:rsidRPr="00DE12A3" w:rsidRDefault="001A234D" w:rsidP="00C917D6">
            <w:pPr>
              <w:spacing w:before="120" w:after="120"/>
              <w:rPr>
                <w:rFonts w:cs="Times New Roman"/>
                <w:color w:val="auto"/>
              </w:rPr>
            </w:pPr>
            <w:r w:rsidRPr="00DE12A3">
              <w:rPr>
                <w:rFonts w:cs="Times New Roman"/>
                <w:color w:val="auto"/>
              </w:rPr>
              <w:t>Giriş</w:t>
            </w:r>
            <w:r w:rsidR="009F4766" w:rsidRPr="00DE12A3">
              <w:rPr>
                <w:rFonts w:cs="Times New Roman"/>
                <w:color w:val="auto"/>
              </w:rPr>
              <w:t xml:space="preserve"> sıcaklığı [K]</w:t>
            </w:r>
          </w:p>
        </w:tc>
      </w:tr>
      <w:tr w:rsidR="00DE12A3" w:rsidRPr="00DE12A3" w14:paraId="27992E63" w14:textId="77777777" w:rsidTr="00C872F3">
        <w:tc>
          <w:tcPr>
            <w:tcW w:w="1026" w:type="dxa"/>
          </w:tcPr>
          <w:p w14:paraId="5078D2E4" w14:textId="77777777" w:rsidR="009F4766" w:rsidRPr="00DE12A3" w:rsidRDefault="009F4766" w:rsidP="00C917D6">
            <w:pPr>
              <w:pStyle w:val="NormalLeft"/>
            </w:pPr>
            <w:r w:rsidRPr="00DE12A3">
              <w:rPr>
                <w:i/>
                <w:iCs/>
              </w:rPr>
              <w:t>Z</w:t>
            </w:r>
          </w:p>
        </w:tc>
        <w:tc>
          <w:tcPr>
            <w:tcW w:w="543" w:type="dxa"/>
          </w:tcPr>
          <w:p w14:paraId="463F4FDE" w14:textId="77777777" w:rsidR="009F4766" w:rsidRPr="00DE12A3" w:rsidRDefault="009F4766" w:rsidP="00C917D6">
            <w:pPr>
              <w:pStyle w:val="NormalLeft"/>
            </w:pPr>
            <w:r w:rsidRPr="00DE12A3">
              <w:t>=</w:t>
            </w:r>
          </w:p>
        </w:tc>
        <w:tc>
          <w:tcPr>
            <w:tcW w:w="4467" w:type="dxa"/>
          </w:tcPr>
          <w:p w14:paraId="05E7C5BA" w14:textId="41FF71BE" w:rsidR="009F4766" w:rsidRPr="00DE12A3" w:rsidRDefault="001A234D" w:rsidP="00C917D6">
            <w:pPr>
              <w:spacing w:before="120" w:after="120"/>
              <w:rPr>
                <w:rFonts w:cs="Times New Roman"/>
                <w:color w:val="auto"/>
              </w:rPr>
            </w:pPr>
            <w:r w:rsidRPr="00DE12A3">
              <w:rPr>
                <w:rFonts w:cs="Times New Roman"/>
                <w:color w:val="auto"/>
              </w:rPr>
              <w:t>Sıkıştırılabilirlik</w:t>
            </w:r>
            <w:r w:rsidR="009F4766" w:rsidRPr="00DE12A3">
              <w:rPr>
                <w:rFonts w:cs="Times New Roman"/>
                <w:color w:val="auto"/>
              </w:rPr>
              <w:t xml:space="preserve"> faktörü</w:t>
            </w:r>
          </w:p>
        </w:tc>
      </w:tr>
      <w:tr w:rsidR="00DE12A3" w:rsidRPr="00DE12A3" w14:paraId="4C0FA96A" w14:textId="77777777" w:rsidTr="00C872F3">
        <w:tc>
          <w:tcPr>
            <w:tcW w:w="1026" w:type="dxa"/>
          </w:tcPr>
          <w:p w14:paraId="3A95602F" w14:textId="77777777" w:rsidR="009F4766" w:rsidRPr="00DE12A3" w:rsidRDefault="009F4766" w:rsidP="00C917D6">
            <w:pPr>
              <w:pStyle w:val="NormalLeft"/>
            </w:pPr>
            <w:r w:rsidRPr="00DE12A3">
              <w:rPr>
                <w:i/>
                <w:iCs/>
              </w:rPr>
              <w:t>M</w:t>
            </w:r>
            <w:r w:rsidRPr="00DE12A3">
              <w:rPr>
                <w:vertAlign w:val="subscript"/>
              </w:rPr>
              <w:t>mix</w:t>
            </w:r>
          </w:p>
        </w:tc>
        <w:tc>
          <w:tcPr>
            <w:tcW w:w="543" w:type="dxa"/>
          </w:tcPr>
          <w:p w14:paraId="0F97CB36" w14:textId="77777777" w:rsidR="009F4766" w:rsidRPr="00DE12A3" w:rsidRDefault="009F4766" w:rsidP="00C917D6">
            <w:pPr>
              <w:pStyle w:val="NormalLeft"/>
            </w:pPr>
            <w:r w:rsidRPr="00DE12A3">
              <w:t>=</w:t>
            </w:r>
          </w:p>
        </w:tc>
        <w:tc>
          <w:tcPr>
            <w:tcW w:w="4467" w:type="dxa"/>
          </w:tcPr>
          <w:p w14:paraId="4D5B8BD1" w14:textId="51EC37DF" w:rsidR="009F4766" w:rsidRPr="00DE12A3" w:rsidRDefault="001A234D" w:rsidP="00C917D6">
            <w:pPr>
              <w:spacing w:before="120" w:after="120"/>
              <w:rPr>
                <w:rFonts w:cs="Times New Roman"/>
                <w:color w:val="auto"/>
              </w:rPr>
            </w:pPr>
            <w:r w:rsidRPr="00DE12A3">
              <w:rPr>
                <w:rFonts w:cs="Times New Roman"/>
                <w:color w:val="auto"/>
              </w:rPr>
              <w:t>Seyreltilmiş</w:t>
            </w:r>
            <w:r w:rsidR="009F4766" w:rsidRPr="00DE12A3">
              <w:rPr>
                <w:rFonts w:cs="Times New Roman"/>
                <w:color w:val="auto"/>
              </w:rPr>
              <w:t xml:space="preserve"> egzoz gazının molar kütlesi [kg/mol]</w:t>
            </w:r>
          </w:p>
        </w:tc>
      </w:tr>
      <w:tr w:rsidR="00DE12A3" w:rsidRPr="00DE12A3" w14:paraId="2A047013" w14:textId="77777777" w:rsidTr="00C872F3">
        <w:tc>
          <w:tcPr>
            <w:tcW w:w="1026" w:type="dxa"/>
          </w:tcPr>
          <w:p w14:paraId="0FE33535" w14:textId="77777777" w:rsidR="009F4766" w:rsidRPr="00DE12A3" w:rsidRDefault="009F4766" w:rsidP="00C917D6">
            <w:pPr>
              <w:pStyle w:val="NormalLeft"/>
            </w:pPr>
            <w:r w:rsidRPr="00DE12A3">
              <w:rPr>
                <w:i/>
                <w:iCs/>
              </w:rPr>
              <w:t>C</w:t>
            </w:r>
            <w:r w:rsidRPr="00DE12A3">
              <w:rPr>
                <w:vertAlign w:val="subscript"/>
              </w:rPr>
              <w:t>d</w:t>
            </w:r>
          </w:p>
        </w:tc>
        <w:tc>
          <w:tcPr>
            <w:tcW w:w="543" w:type="dxa"/>
          </w:tcPr>
          <w:p w14:paraId="1A7CE2BC" w14:textId="77777777" w:rsidR="009F4766" w:rsidRPr="00DE12A3" w:rsidRDefault="009F4766" w:rsidP="00C917D6">
            <w:pPr>
              <w:pStyle w:val="NormalLeft"/>
            </w:pPr>
            <w:r w:rsidRPr="00DE12A3">
              <w:t>=</w:t>
            </w:r>
          </w:p>
        </w:tc>
        <w:tc>
          <w:tcPr>
            <w:tcW w:w="4467" w:type="dxa"/>
          </w:tcPr>
          <w:p w14:paraId="44130DC7" w14:textId="77777777" w:rsidR="009F4766" w:rsidRPr="00DE12A3" w:rsidRDefault="009F4766" w:rsidP="00C917D6">
            <w:pPr>
              <w:spacing w:before="120" w:after="120"/>
              <w:rPr>
                <w:rFonts w:cs="Times New Roman"/>
                <w:color w:val="auto"/>
              </w:rPr>
            </w:pPr>
            <w:r w:rsidRPr="00DE12A3">
              <w:rPr>
                <w:rFonts w:cs="Times New Roman"/>
                <w:color w:val="auto"/>
              </w:rPr>
              <w:t>SSV boşaltma katsayısı [-]</w:t>
            </w:r>
          </w:p>
        </w:tc>
      </w:tr>
      <w:tr w:rsidR="009F4766" w:rsidRPr="00DE12A3" w14:paraId="5F966154" w14:textId="77777777" w:rsidTr="00C872F3">
        <w:tc>
          <w:tcPr>
            <w:tcW w:w="1026" w:type="dxa"/>
          </w:tcPr>
          <w:p w14:paraId="074C4825" w14:textId="77777777" w:rsidR="009F4766" w:rsidRPr="00DE12A3" w:rsidRDefault="009F4766" w:rsidP="00C917D6">
            <w:pPr>
              <w:pStyle w:val="NormalLeft"/>
            </w:pPr>
            <w:r w:rsidRPr="00DE12A3">
              <w:rPr>
                <w:i/>
                <w:iCs/>
              </w:rPr>
              <w:t>C</w:t>
            </w:r>
            <w:r w:rsidRPr="00DE12A3">
              <w:rPr>
                <w:vertAlign w:val="subscript"/>
              </w:rPr>
              <w:t>f</w:t>
            </w:r>
          </w:p>
        </w:tc>
        <w:tc>
          <w:tcPr>
            <w:tcW w:w="543" w:type="dxa"/>
          </w:tcPr>
          <w:p w14:paraId="1478729C" w14:textId="77777777" w:rsidR="009F4766" w:rsidRPr="00DE12A3" w:rsidRDefault="009F4766" w:rsidP="00C917D6">
            <w:pPr>
              <w:pStyle w:val="NormalLeft"/>
            </w:pPr>
            <w:r w:rsidRPr="00DE12A3">
              <w:t>=</w:t>
            </w:r>
          </w:p>
        </w:tc>
        <w:tc>
          <w:tcPr>
            <w:tcW w:w="4467" w:type="dxa"/>
          </w:tcPr>
          <w:p w14:paraId="6BD182DE" w14:textId="77777777" w:rsidR="009F4766" w:rsidRPr="00DE12A3" w:rsidRDefault="009F4766" w:rsidP="00C917D6">
            <w:pPr>
              <w:spacing w:before="120" w:after="120"/>
              <w:rPr>
                <w:rFonts w:cs="Times New Roman"/>
                <w:color w:val="auto"/>
              </w:rPr>
            </w:pPr>
            <w:r w:rsidRPr="00DE12A3">
              <w:rPr>
                <w:rFonts w:cs="Times New Roman"/>
                <w:color w:val="auto"/>
              </w:rPr>
              <w:t>SSV akış katsayısı [-]</w:t>
            </w:r>
          </w:p>
        </w:tc>
      </w:tr>
    </w:tbl>
    <w:p w14:paraId="2720B5E6" w14:textId="77777777" w:rsidR="009F4766" w:rsidRPr="00DE12A3" w:rsidRDefault="009F4766" w:rsidP="00C917D6">
      <w:pPr>
        <w:spacing w:before="120" w:after="120"/>
        <w:rPr>
          <w:rFonts w:cs="Times New Roman"/>
          <w:color w:val="auto"/>
        </w:rPr>
      </w:pPr>
    </w:p>
    <w:p w14:paraId="2CEEFEFD" w14:textId="5BE09B73" w:rsidR="009F4766" w:rsidRPr="00DE12A3" w:rsidRDefault="00005131" w:rsidP="00005131">
      <w:pPr>
        <w:pStyle w:val="Point1"/>
        <w:ind w:left="1560" w:firstLine="0"/>
      </w:pPr>
      <w:r w:rsidRPr="00DE12A3">
        <w:t xml:space="preserve">(iii) </w:t>
      </w:r>
      <w:r w:rsidR="009F4766" w:rsidRPr="00DE12A3">
        <w:t xml:space="preserve">CFV molar akış hızı. Molar akış hızını bir venturi veya bir venturi kombinasyonu yoluyla hesaplamak için, 3.9.5 bendi uyarınca belirlenen ilgili Cd'si ve diğer sabitleri kullanılmalıdır. Bir emisyon testi sırasında molar debisi n [mol/s], (7-120) </w:t>
      </w:r>
      <w:r w:rsidR="00962CA1" w:rsidRPr="00DE12A3">
        <w:t>numaralı</w:t>
      </w:r>
      <w:r w:rsidR="00962CA1" w:rsidRPr="00DE12A3" w:rsidDel="00962CA1">
        <w:t xml:space="preserve"> </w:t>
      </w:r>
      <w:r w:rsidR="009F4766" w:rsidRPr="00DE12A3">
        <w:t xml:space="preserve">denklem ile hesaplanmalıdır : </w:t>
      </w:r>
    </w:p>
    <w:p w14:paraId="70371C96" w14:textId="2D192741" w:rsidR="00005131" w:rsidRPr="00DE12A3" w:rsidRDefault="00005131" w:rsidP="00005131">
      <w:pPr>
        <w:pStyle w:val="Point1"/>
      </w:pPr>
      <w:r w:rsidRPr="00DE12A3">
        <w:rPr>
          <w:noProof/>
          <w:lang w:val="tr-TR"/>
        </w:rPr>
        <w:drawing>
          <wp:inline distT="0" distB="0" distL="0" distR="0" wp14:anchorId="2DCEA54A" wp14:editId="0158024C">
            <wp:extent cx="3759835" cy="484505"/>
            <wp:effectExtent l="0" t="0" r="0" b="0"/>
            <wp:docPr id="60" name="Resim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3759835" cy="484505"/>
                    </a:xfrm>
                    <a:prstGeom prst="rect">
                      <a:avLst/>
                    </a:prstGeom>
                    <a:noFill/>
                    <a:ln>
                      <a:noFill/>
                    </a:ln>
                  </pic:spPr>
                </pic:pic>
              </a:graphicData>
            </a:graphic>
          </wp:inline>
        </w:drawing>
      </w:r>
    </w:p>
    <w:p w14:paraId="424F1196" w14:textId="77777777" w:rsidR="009F4766" w:rsidRPr="00DE12A3" w:rsidRDefault="009F4766" w:rsidP="00C917D6">
      <w:pPr>
        <w:pStyle w:val="Point1"/>
      </w:pPr>
      <w:r w:rsidRPr="00DE12A3">
        <w:tab/>
      </w:r>
      <w:r w:rsidR="00C872F3" w:rsidRPr="00DE12A3">
        <w:t>Burada</w:t>
      </w:r>
      <w:r w:rsidRPr="00DE12A3">
        <w:t>:</w:t>
      </w:r>
    </w:p>
    <w:tbl>
      <w:tblPr>
        <w:tblW w:w="0" w:type="auto"/>
        <w:tblInd w:w="1625" w:type="dxa"/>
        <w:tblLayout w:type="fixed"/>
        <w:tblLook w:val="0000" w:firstRow="0" w:lastRow="0" w:firstColumn="0" w:lastColumn="0" w:noHBand="0" w:noVBand="0"/>
      </w:tblPr>
      <w:tblGrid>
        <w:gridCol w:w="1026"/>
        <w:gridCol w:w="543"/>
        <w:gridCol w:w="4467"/>
      </w:tblGrid>
      <w:tr w:rsidR="00DE12A3" w:rsidRPr="00DE12A3" w14:paraId="6210D00C" w14:textId="77777777" w:rsidTr="00067050">
        <w:tc>
          <w:tcPr>
            <w:tcW w:w="1026" w:type="dxa"/>
          </w:tcPr>
          <w:p w14:paraId="6E6277BD" w14:textId="77777777" w:rsidR="00C872F3" w:rsidRPr="00DE12A3" w:rsidRDefault="00C872F3" w:rsidP="00C917D6">
            <w:pPr>
              <w:pStyle w:val="NormalLeft"/>
            </w:pPr>
            <w:r w:rsidRPr="00DE12A3">
              <w:rPr>
                <w:i/>
                <w:iCs/>
              </w:rPr>
              <w:t>p</w:t>
            </w:r>
            <w:r w:rsidRPr="00DE12A3">
              <w:rPr>
                <w:vertAlign w:val="subscript"/>
              </w:rPr>
              <w:t>in</w:t>
            </w:r>
          </w:p>
        </w:tc>
        <w:tc>
          <w:tcPr>
            <w:tcW w:w="543" w:type="dxa"/>
          </w:tcPr>
          <w:p w14:paraId="52987C1B" w14:textId="77777777" w:rsidR="00C872F3" w:rsidRPr="00DE12A3" w:rsidRDefault="00C872F3" w:rsidP="00C917D6">
            <w:pPr>
              <w:pStyle w:val="NormalLeft"/>
            </w:pPr>
            <w:r w:rsidRPr="00DE12A3">
              <w:t>=</w:t>
            </w:r>
          </w:p>
        </w:tc>
        <w:tc>
          <w:tcPr>
            <w:tcW w:w="4467" w:type="dxa"/>
          </w:tcPr>
          <w:p w14:paraId="3EDDE7C2" w14:textId="12BAF206" w:rsidR="00C872F3" w:rsidRPr="00DE12A3" w:rsidRDefault="00005131" w:rsidP="00C917D6">
            <w:pPr>
              <w:spacing w:before="120" w:after="120"/>
              <w:rPr>
                <w:rFonts w:cs="Times New Roman"/>
                <w:color w:val="auto"/>
              </w:rPr>
            </w:pPr>
            <w:r w:rsidRPr="00DE12A3">
              <w:rPr>
                <w:rFonts w:cs="Times New Roman"/>
                <w:color w:val="auto"/>
              </w:rPr>
              <w:t>Giriş</w:t>
            </w:r>
            <w:r w:rsidR="00C872F3" w:rsidRPr="00DE12A3">
              <w:rPr>
                <w:rFonts w:cs="Times New Roman"/>
                <w:color w:val="auto"/>
              </w:rPr>
              <w:t xml:space="preserve"> basıncı [Pa]</w:t>
            </w:r>
          </w:p>
        </w:tc>
      </w:tr>
      <w:tr w:rsidR="00DE12A3" w:rsidRPr="00DE12A3" w14:paraId="1E641409" w14:textId="77777777" w:rsidTr="00067050">
        <w:tc>
          <w:tcPr>
            <w:tcW w:w="1026" w:type="dxa"/>
          </w:tcPr>
          <w:p w14:paraId="3A0A3CA5" w14:textId="77777777" w:rsidR="00C872F3" w:rsidRPr="00DE12A3" w:rsidRDefault="00C872F3" w:rsidP="00C917D6">
            <w:pPr>
              <w:pStyle w:val="NormalLeft"/>
            </w:pPr>
            <w:r w:rsidRPr="00DE12A3">
              <w:rPr>
                <w:i/>
                <w:iCs/>
              </w:rPr>
              <w:t>A</w:t>
            </w:r>
            <w:r w:rsidRPr="00DE12A3">
              <w:rPr>
                <w:vertAlign w:val="subscript"/>
              </w:rPr>
              <w:t>t</w:t>
            </w:r>
          </w:p>
        </w:tc>
        <w:tc>
          <w:tcPr>
            <w:tcW w:w="543" w:type="dxa"/>
          </w:tcPr>
          <w:p w14:paraId="35C54914" w14:textId="77777777" w:rsidR="00C872F3" w:rsidRPr="00DE12A3" w:rsidRDefault="00C872F3" w:rsidP="00C917D6">
            <w:pPr>
              <w:pStyle w:val="NormalLeft"/>
            </w:pPr>
            <w:r w:rsidRPr="00DE12A3">
              <w:t>=</w:t>
            </w:r>
          </w:p>
        </w:tc>
        <w:tc>
          <w:tcPr>
            <w:tcW w:w="4467" w:type="dxa"/>
          </w:tcPr>
          <w:p w14:paraId="6C915483" w14:textId="77777777" w:rsidR="00C872F3" w:rsidRPr="00DE12A3" w:rsidRDefault="00C872F3" w:rsidP="00C917D6">
            <w:pPr>
              <w:spacing w:before="120" w:after="120"/>
              <w:rPr>
                <w:rFonts w:cs="Times New Roman"/>
                <w:color w:val="auto"/>
              </w:rPr>
            </w:pPr>
            <w:r w:rsidRPr="00DE12A3">
              <w:rPr>
                <w:rFonts w:cs="Times New Roman"/>
                <w:color w:val="auto"/>
              </w:rPr>
              <w:t>Venturi boğazı kesit alanı [m2]</w:t>
            </w:r>
          </w:p>
        </w:tc>
      </w:tr>
      <w:tr w:rsidR="00DE12A3" w:rsidRPr="00DE12A3" w14:paraId="45DD22C5" w14:textId="77777777" w:rsidTr="00067050">
        <w:tc>
          <w:tcPr>
            <w:tcW w:w="1026" w:type="dxa"/>
          </w:tcPr>
          <w:p w14:paraId="00616D39" w14:textId="77777777" w:rsidR="00C872F3" w:rsidRPr="00DE12A3" w:rsidRDefault="00C872F3" w:rsidP="00C917D6">
            <w:pPr>
              <w:pStyle w:val="NormalLeft"/>
            </w:pPr>
            <w:r w:rsidRPr="00DE12A3">
              <w:rPr>
                <w:i/>
                <w:iCs/>
              </w:rPr>
              <w:t>R</w:t>
            </w:r>
          </w:p>
        </w:tc>
        <w:tc>
          <w:tcPr>
            <w:tcW w:w="543" w:type="dxa"/>
          </w:tcPr>
          <w:p w14:paraId="34A7CFEA" w14:textId="77777777" w:rsidR="00C872F3" w:rsidRPr="00DE12A3" w:rsidRDefault="00C872F3" w:rsidP="00C917D6">
            <w:pPr>
              <w:pStyle w:val="NormalLeft"/>
            </w:pPr>
            <w:r w:rsidRPr="00DE12A3">
              <w:t>=</w:t>
            </w:r>
          </w:p>
        </w:tc>
        <w:tc>
          <w:tcPr>
            <w:tcW w:w="4467" w:type="dxa"/>
          </w:tcPr>
          <w:p w14:paraId="24E0244B" w14:textId="3E88CFD0" w:rsidR="00C872F3" w:rsidRPr="00DE12A3" w:rsidRDefault="00005131" w:rsidP="00C917D6">
            <w:pPr>
              <w:spacing w:before="120" w:after="120"/>
              <w:rPr>
                <w:rFonts w:cs="Times New Roman"/>
                <w:color w:val="auto"/>
              </w:rPr>
            </w:pPr>
            <w:r w:rsidRPr="00DE12A3">
              <w:rPr>
                <w:rFonts w:cs="Times New Roman"/>
                <w:color w:val="auto"/>
              </w:rPr>
              <w:t>Molar</w:t>
            </w:r>
            <w:r w:rsidR="00C872F3" w:rsidRPr="00DE12A3">
              <w:rPr>
                <w:rFonts w:cs="Times New Roman"/>
                <w:color w:val="auto"/>
              </w:rPr>
              <w:t xml:space="preserve"> gaz sabiti [J/(mol • K)]</w:t>
            </w:r>
          </w:p>
        </w:tc>
      </w:tr>
      <w:tr w:rsidR="00DE12A3" w:rsidRPr="00DE12A3" w14:paraId="443CF3B3" w14:textId="77777777" w:rsidTr="00067050">
        <w:tc>
          <w:tcPr>
            <w:tcW w:w="1026" w:type="dxa"/>
          </w:tcPr>
          <w:p w14:paraId="4F8BAB05" w14:textId="77777777" w:rsidR="00C872F3" w:rsidRPr="00DE12A3" w:rsidRDefault="00C872F3" w:rsidP="00C917D6">
            <w:pPr>
              <w:pStyle w:val="NormalLeft"/>
            </w:pPr>
            <w:r w:rsidRPr="00DE12A3">
              <w:rPr>
                <w:i/>
                <w:iCs/>
              </w:rPr>
              <w:t>T</w:t>
            </w:r>
            <w:r w:rsidRPr="00DE12A3">
              <w:rPr>
                <w:vertAlign w:val="subscript"/>
              </w:rPr>
              <w:t>in</w:t>
            </w:r>
          </w:p>
        </w:tc>
        <w:tc>
          <w:tcPr>
            <w:tcW w:w="543" w:type="dxa"/>
          </w:tcPr>
          <w:p w14:paraId="3C2CB549" w14:textId="77777777" w:rsidR="00C872F3" w:rsidRPr="00DE12A3" w:rsidRDefault="00C872F3" w:rsidP="00C917D6">
            <w:pPr>
              <w:pStyle w:val="NormalLeft"/>
            </w:pPr>
            <w:r w:rsidRPr="00DE12A3">
              <w:t>=</w:t>
            </w:r>
          </w:p>
        </w:tc>
        <w:tc>
          <w:tcPr>
            <w:tcW w:w="4467" w:type="dxa"/>
          </w:tcPr>
          <w:p w14:paraId="1A337C86" w14:textId="0B49D94C" w:rsidR="00C872F3" w:rsidRPr="00DE12A3" w:rsidRDefault="00005131" w:rsidP="00C917D6">
            <w:pPr>
              <w:spacing w:before="120" w:after="120"/>
              <w:rPr>
                <w:rFonts w:cs="Times New Roman"/>
                <w:color w:val="auto"/>
              </w:rPr>
            </w:pPr>
            <w:r w:rsidRPr="00DE12A3">
              <w:rPr>
                <w:rFonts w:cs="Times New Roman"/>
                <w:color w:val="auto"/>
              </w:rPr>
              <w:t>Giriş</w:t>
            </w:r>
            <w:r w:rsidR="00C872F3" w:rsidRPr="00DE12A3">
              <w:rPr>
                <w:rFonts w:cs="Times New Roman"/>
                <w:color w:val="auto"/>
              </w:rPr>
              <w:t xml:space="preserve"> sıcaklığı [K]</w:t>
            </w:r>
          </w:p>
        </w:tc>
      </w:tr>
      <w:tr w:rsidR="00DE12A3" w:rsidRPr="00DE12A3" w14:paraId="0EE18972" w14:textId="77777777" w:rsidTr="00067050">
        <w:tc>
          <w:tcPr>
            <w:tcW w:w="1026" w:type="dxa"/>
          </w:tcPr>
          <w:p w14:paraId="715DFDC1" w14:textId="77777777" w:rsidR="00C872F3" w:rsidRPr="00DE12A3" w:rsidRDefault="00C872F3" w:rsidP="00C917D6">
            <w:pPr>
              <w:pStyle w:val="NormalLeft"/>
            </w:pPr>
            <w:r w:rsidRPr="00DE12A3">
              <w:rPr>
                <w:i/>
                <w:iCs/>
              </w:rPr>
              <w:t>Z</w:t>
            </w:r>
          </w:p>
        </w:tc>
        <w:tc>
          <w:tcPr>
            <w:tcW w:w="543" w:type="dxa"/>
          </w:tcPr>
          <w:p w14:paraId="3DDCCC40" w14:textId="77777777" w:rsidR="00C872F3" w:rsidRPr="00DE12A3" w:rsidRDefault="00C872F3" w:rsidP="00C917D6">
            <w:pPr>
              <w:pStyle w:val="NormalLeft"/>
            </w:pPr>
            <w:r w:rsidRPr="00DE12A3">
              <w:t>=</w:t>
            </w:r>
          </w:p>
        </w:tc>
        <w:tc>
          <w:tcPr>
            <w:tcW w:w="4467" w:type="dxa"/>
          </w:tcPr>
          <w:p w14:paraId="5A9485E5" w14:textId="4DE6CB1F" w:rsidR="00C872F3" w:rsidRPr="00DE12A3" w:rsidRDefault="00005131" w:rsidP="00C917D6">
            <w:pPr>
              <w:spacing w:before="120" w:after="120"/>
              <w:rPr>
                <w:rFonts w:cs="Times New Roman"/>
                <w:color w:val="auto"/>
              </w:rPr>
            </w:pPr>
            <w:r w:rsidRPr="00DE12A3">
              <w:rPr>
                <w:rFonts w:cs="Times New Roman"/>
                <w:color w:val="auto"/>
              </w:rPr>
              <w:t>Sıkıştırılabilirlik</w:t>
            </w:r>
            <w:r w:rsidR="00C872F3" w:rsidRPr="00DE12A3">
              <w:rPr>
                <w:rFonts w:cs="Times New Roman"/>
                <w:color w:val="auto"/>
              </w:rPr>
              <w:t xml:space="preserve"> faktörü</w:t>
            </w:r>
          </w:p>
        </w:tc>
      </w:tr>
      <w:tr w:rsidR="00DE12A3" w:rsidRPr="00DE12A3" w14:paraId="66C86047" w14:textId="77777777" w:rsidTr="00067050">
        <w:tc>
          <w:tcPr>
            <w:tcW w:w="1026" w:type="dxa"/>
          </w:tcPr>
          <w:p w14:paraId="7D62996D" w14:textId="77777777" w:rsidR="00C872F3" w:rsidRPr="00DE12A3" w:rsidRDefault="00C872F3" w:rsidP="00C917D6">
            <w:pPr>
              <w:pStyle w:val="NormalLeft"/>
            </w:pPr>
            <w:r w:rsidRPr="00DE12A3">
              <w:rPr>
                <w:i/>
                <w:iCs/>
              </w:rPr>
              <w:lastRenderedPageBreak/>
              <w:t>M</w:t>
            </w:r>
            <w:r w:rsidRPr="00DE12A3">
              <w:rPr>
                <w:vertAlign w:val="subscript"/>
              </w:rPr>
              <w:t>mix</w:t>
            </w:r>
          </w:p>
        </w:tc>
        <w:tc>
          <w:tcPr>
            <w:tcW w:w="543" w:type="dxa"/>
          </w:tcPr>
          <w:p w14:paraId="4AA4E195" w14:textId="77777777" w:rsidR="00C872F3" w:rsidRPr="00DE12A3" w:rsidRDefault="00C872F3" w:rsidP="00C917D6">
            <w:pPr>
              <w:pStyle w:val="NormalLeft"/>
            </w:pPr>
            <w:r w:rsidRPr="00DE12A3">
              <w:t>=</w:t>
            </w:r>
          </w:p>
        </w:tc>
        <w:tc>
          <w:tcPr>
            <w:tcW w:w="4467" w:type="dxa"/>
          </w:tcPr>
          <w:p w14:paraId="326EFC0D" w14:textId="0F2BBCA9" w:rsidR="00C872F3" w:rsidRPr="00DE12A3" w:rsidRDefault="00005131" w:rsidP="00C917D6">
            <w:pPr>
              <w:spacing w:before="120" w:after="120"/>
              <w:rPr>
                <w:rFonts w:cs="Times New Roman"/>
                <w:color w:val="auto"/>
              </w:rPr>
            </w:pPr>
            <w:r w:rsidRPr="00DE12A3">
              <w:rPr>
                <w:rFonts w:cs="Times New Roman"/>
                <w:color w:val="auto"/>
              </w:rPr>
              <w:t>Seyreltilmiş</w:t>
            </w:r>
            <w:r w:rsidR="00C872F3" w:rsidRPr="00DE12A3">
              <w:rPr>
                <w:rFonts w:cs="Times New Roman"/>
                <w:color w:val="auto"/>
              </w:rPr>
              <w:t xml:space="preserve"> egzoz gazının molar kütlesi [kg/mol]</w:t>
            </w:r>
          </w:p>
        </w:tc>
      </w:tr>
      <w:tr w:rsidR="00DE12A3" w:rsidRPr="00DE12A3" w14:paraId="2A3D3345" w14:textId="77777777" w:rsidTr="00067050">
        <w:tc>
          <w:tcPr>
            <w:tcW w:w="1026" w:type="dxa"/>
          </w:tcPr>
          <w:p w14:paraId="302270AA" w14:textId="77777777" w:rsidR="00C872F3" w:rsidRPr="00DE12A3" w:rsidRDefault="00C872F3" w:rsidP="00C917D6">
            <w:pPr>
              <w:pStyle w:val="NormalLeft"/>
            </w:pPr>
            <w:r w:rsidRPr="00DE12A3">
              <w:rPr>
                <w:i/>
                <w:iCs/>
              </w:rPr>
              <w:t>C</w:t>
            </w:r>
            <w:r w:rsidRPr="00DE12A3">
              <w:rPr>
                <w:vertAlign w:val="subscript"/>
              </w:rPr>
              <w:t>d</w:t>
            </w:r>
          </w:p>
        </w:tc>
        <w:tc>
          <w:tcPr>
            <w:tcW w:w="543" w:type="dxa"/>
          </w:tcPr>
          <w:p w14:paraId="344900AD" w14:textId="77777777" w:rsidR="00C872F3" w:rsidRPr="00DE12A3" w:rsidRDefault="00C872F3" w:rsidP="00C917D6">
            <w:pPr>
              <w:pStyle w:val="NormalLeft"/>
            </w:pPr>
            <w:r w:rsidRPr="00DE12A3">
              <w:t>=</w:t>
            </w:r>
          </w:p>
        </w:tc>
        <w:tc>
          <w:tcPr>
            <w:tcW w:w="4467" w:type="dxa"/>
          </w:tcPr>
          <w:p w14:paraId="6FABBB4C" w14:textId="77777777" w:rsidR="00C872F3" w:rsidRPr="00DE12A3" w:rsidRDefault="00C872F3" w:rsidP="00C917D6">
            <w:pPr>
              <w:spacing w:before="120" w:after="120"/>
              <w:rPr>
                <w:rFonts w:cs="Times New Roman"/>
                <w:color w:val="auto"/>
              </w:rPr>
            </w:pPr>
            <w:r w:rsidRPr="00DE12A3">
              <w:rPr>
                <w:rFonts w:cs="Times New Roman"/>
                <w:color w:val="auto"/>
              </w:rPr>
              <w:t>CFV boşaltma katsayısı [-]</w:t>
            </w:r>
          </w:p>
        </w:tc>
      </w:tr>
      <w:tr w:rsidR="00C872F3" w:rsidRPr="00DE12A3" w14:paraId="2ACD0C92" w14:textId="77777777" w:rsidTr="00067050">
        <w:tc>
          <w:tcPr>
            <w:tcW w:w="1026" w:type="dxa"/>
          </w:tcPr>
          <w:p w14:paraId="08E49DD6" w14:textId="77777777" w:rsidR="00C872F3" w:rsidRPr="00DE12A3" w:rsidRDefault="00C872F3" w:rsidP="00C917D6">
            <w:pPr>
              <w:pStyle w:val="NormalLeft"/>
            </w:pPr>
            <w:r w:rsidRPr="00DE12A3">
              <w:rPr>
                <w:i/>
                <w:iCs/>
              </w:rPr>
              <w:t>C</w:t>
            </w:r>
            <w:r w:rsidRPr="00DE12A3">
              <w:rPr>
                <w:vertAlign w:val="subscript"/>
              </w:rPr>
              <w:t>f</w:t>
            </w:r>
          </w:p>
        </w:tc>
        <w:tc>
          <w:tcPr>
            <w:tcW w:w="543" w:type="dxa"/>
          </w:tcPr>
          <w:p w14:paraId="4587BDF5" w14:textId="77777777" w:rsidR="00C872F3" w:rsidRPr="00DE12A3" w:rsidRDefault="00C872F3" w:rsidP="00C917D6">
            <w:pPr>
              <w:pStyle w:val="NormalLeft"/>
            </w:pPr>
            <w:r w:rsidRPr="00DE12A3">
              <w:t>=</w:t>
            </w:r>
          </w:p>
        </w:tc>
        <w:tc>
          <w:tcPr>
            <w:tcW w:w="4467" w:type="dxa"/>
          </w:tcPr>
          <w:p w14:paraId="038F4815" w14:textId="77777777" w:rsidR="00C872F3" w:rsidRPr="00DE12A3" w:rsidRDefault="00C872F3" w:rsidP="00C917D6">
            <w:pPr>
              <w:spacing w:before="120" w:after="120"/>
              <w:rPr>
                <w:rFonts w:cs="Times New Roman"/>
                <w:color w:val="auto"/>
              </w:rPr>
            </w:pPr>
            <w:r w:rsidRPr="00DE12A3">
              <w:rPr>
                <w:rFonts w:cs="Times New Roman"/>
                <w:color w:val="auto"/>
              </w:rPr>
              <w:t>CFV akış katsayısı [-]</w:t>
            </w:r>
          </w:p>
        </w:tc>
      </w:tr>
    </w:tbl>
    <w:p w14:paraId="176806B2" w14:textId="77777777" w:rsidR="009F4766" w:rsidRPr="00DE12A3" w:rsidRDefault="009F4766" w:rsidP="00C917D6">
      <w:pPr>
        <w:spacing w:before="120" w:after="120"/>
        <w:rPr>
          <w:rFonts w:cs="Times New Roman"/>
          <w:color w:val="auto"/>
        </w:rPr>
      </w:pPr>
    </w:p>
    <w:p w14:paraId="0CD5A359" w14:textId="72144A9E" w:rsidR="00C872F3" w:rsidRPr="00DE12A3" w:rsidRDefault="00825EFD" w:rsidP="003D2907">
      <w:pPr>
        <w:pStyle w:val="ManualHeading3"/>
        <w:numPr>
          <w:ilvl w:val="0"/>
          <w:numId w:val="0"/>
        </w:numPr>
        <w:tabs>
          <w:tab w:val="clear" w:pos="1134"/>
        </w:tabs>
        <w:ind w:left="180"/>
        <w:rPr>
          <w:i w:val="0"/>
        </w:rPr>
      </w:pPr>
      <w:r w:rsidRPr="00DE12A3">
        <w:rPr>
          <w:i w:val="0"/>
        </w:rPr>
        <w:t>3.7.</w:t>
      </w:r>
      <w:r w:rsidR="00C872F3" w:rsidRPr="00DE12A3">
        <w:rPr>
          <w:i w:val="0"/>
        </w:rPr>
        <w:t xml:space="preserve">      Parçacıkların belirlenmesi</w:t>
      </w:r>
    </w:p>
    <w:p w14:paraId="7AE84826" w14:textId="485E894C" w:rsidR="00C872F3" w:rsidRPr="00DE12A3" w:rsidRDefault="00825EFD" w:rsidP="003D2907">
      <w:pPr>
        <w:pStyle w:val="ManualHeading3"/>
        <w:numPr>
          <w:ilvl w:val="0"/>
          <w:numId w:val="0"/>
        </w:numPr>
        <w:tabs>
          <w:tab w:val="clear" w:pos="1134"/>
        </w:tabs>
        <w:rPr>
          <w:i w:val="0"/>
        </w:rPr>
      </w:pPr>
      <w:r w:rsidRPr="00DE12A3">
        <w:rPr>
          <w:i w:val="0"/>
        </w:rPr>
        <w:t>3.7.1.</w:t>
      </w:r>
      <w:r w:rsidR="00C872F3" w:rsidRPr="00DE12A3">
        <w:rPr>
          <w:i w:val="0"/>
        </w:rPr>
        <w:t xml:space="preserve">      Örnekleme</w:t>
      </w:r>
    </w:p>
    <w:p w14:paraId="7F560140" w14:textId="2CFE31CE" w:rsidR="003D2907" w:rsidRPr="00DE12A3" w:rsidRDefault="0078202C" w:rsidP="003D2907">
      <w:pPr>
        <w:pStyle w:val="ManualHeading3"/>
        <w:numPr>
          <w:ilvl w:val="0"/>
          <w:numId w:val="0"/>
        </w:numPr>
        <w:tabs>
          <w:tab w:val="clear" w:pos="1134"/>
        </w:tabs>
        <w:rPr>
          <w:i w:val="0"/>
        </w:rPr>
      </w:pPr>
      <w:r w:rsidRPr="00DE12A3">
        <w:rPr>
          <w:i w:val="0"/>
        </w:rPr>
        <w:t xml:space="preserve">     </w:t>
      </w:r>
    </w:p>
    <w:p w14:paraId="008238E8" w14:textId="52B864EA" w:rsidR="003D2907" w:rsidRPr="00DE12A3" w:rsidRDefault="003D2907" w:rsidP="00E20716">
      <w:pPr>
        <w:pStyle w:val="ManualHeading3"/>
        <w:numPr>
          <w:ilvl w:val="0"/>
          <w:numId w:val="455"/>
        </w:numPr>
        <w:tabs>
          <w:tab w:val="clear" w:pos="1134"/>
        </w:tabs>
        <w:ind w:left="1701" w:hanging="567"/>
        <w:rPr>
          <w:i w:val="0"/>
        </w:rPr>
      </w:pPr>
      <w:r w:rsidRPr="00DE12A3">
        <w:rPr>
          <w:i w:val="0"/>
        </w:rPr>
        <w:t xml:space="preserve">Değişken bir akış hızından örnekleme </w:t>
      </w:r>
    </w:p>
    <w:p w14:paraId="6A6DCBAF" w14:textId="4BDFDA7E" w:rsidR="00C872F3" w:rsidRPr="00DE12A3" w:rsidRDefault="00C872F3" w:rsidP="003D2907">
      <w:pPr>
        <w:pStyle w:val="ManualHeading3"/>
        <w:numPr>
          <w:ilvl w:val="0"/>
          <w:numId w:val="0"/>
        </w:numPr>
        <w:tabs>
          <w:tab w:val="clear" w:pos="1134"/>
        </w:tabs>
        <w:ind w:left="1701"/>
        <w:rPr>
          <w:i w:val="0"/>
        </w:rPr>
      </w:pPr>
      <w:r w:rsidRPr="00DE12A3">
        <w:rPr>
          <w:i w:val="0"/>
        </w:rPr>
        <w:t xml:space="preserve">Değişen bir egzoz gazı akış hızından bir toplu numune alınırsa, değişen egzoz gazı akış hızı ile orantılı bir numune alınmalıdır. Toplam akışı belirlemek için bir test aralığı boyunca akış hızı toplanmalıdır. (7-121) </w:t>
      </w:r>
      <w:r w:rsidR="00962CA1" w:rsidRPr="00DE12A3">
        <w:t>numaralı</w:t>
      </w:r>
      <w:r w:rsidR="00962CA1" w:rsidRPr="00DE12A3" w:rsidDel="00962CA1">
        <w:rPr>
          <w:i w:val="0"/>
        </w:rPr>
        <w:t xml:space="preserve"> </w:t>
      </w:r>
      <w:r w:rsidRPr="00DE12A3">
        <w:rPr>
          <w:i w:val="0"/>
        </w:rPr>
        <w:t xml:space="preserve">denklem ile toplam PM kütlesi </w:t>
      </w:r>
      <w:r w:rsidRPr="00DE12A3">
        <w:t xml:space="preserve">PM </w:t>
      </w:r>
      <w:r w:rsidRPr="00DE12A3">
        <w:rPr>
          <w:i w:val="0"/>
          <w:iCs w:val="0"/>
        </w:rPr>
        <w:t>m</w:t>
      </w:r>
      <w:r w:rsidRPr="00DE12A3">
        <w:rPr>
          <w:vertAlign w:val="subscript"/>
        </w:rPr>
        <w:t>PM</w:t>
      </w:r>
      <w:r w:rsidRPr="00DE12A3">
        <w:t xml:space="preserve"> </w:t>
      </w:r>
      <w:r w:rsidRPr="00DE12A3">
        <w:rPr>
          <w:i w:val="0"/>
        </w:rPr>
        <w:t xml:space="preserve">'nin [g] elde edilmesi için, (halihazırda mol numune başına kütle birimleri cinsinden olan) ortalama PM konsantrasyonu </w:t>
      </w:r>
      <w:r w:rsidRPr="00DE12A3">
        <w:rPr>
          <w:noProof/>
          <w:lang w:val="tr-TR"/>
        </w:rPr>
        <w:drawing>
          <wp:inline distT="0" distB="0" distL="0" distR="0" wp14:anchorId="661E9E88" wp14:editId="3FB4B3AE">
            <wp:extent cx="615315" cy="328295"/>
            <wp:effectExtent l="0" t="0" r="0" b="0"/>
            <wp:docPr id="2495" name="Resim 24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615315" cy="328295"/>
                    </a:xfrm>
                    <a:prstGeom prst="rect">
                      <a:avLst/>
                    </a:prstGeom>
                    <a:noFill/>
                    <a:ln>
                      <a:noFill/>
                    </a:ln>
                  </pic:spPr>
                </pic:pic>
              </a:graphicData>
            </a:graphic>
          </wp:inline>
        </w:drawing>
      </w:r>
      <w:r w:rsidRPr="00DE12A3">
        <w:rPr>
          <w:i w:val="0"/>
        </w:rPr>
        <w:t xml:space="preserve">, toplam akış ile </w:t>
      </w:r>
      <w:r w:rsidR="006D7ADF" w:rsidRPr="00DE12A3">
        <w:rPr>
          <w:i w:val="0"/>
        </w:rPr>
        <w:t>çarpılmalıdır</w:t>
      </w:r>
      <w:r w:rsidR="00825EFD" w:rsidRPr="00DE12A3">
        <w:rPr>
          <w:i w:val="0"/>
        </w:rPr>
        <w:t>.</w:t>
      </w:r>
    </w:p>
    <w:p w14:paraId="112BEB84" w14:textId="77777777" w:rsidR="009F4766" w:rsidRPr="00DE12A3" w:rsidRDefault="009F4766" w:rsidP="00C917D6">
      <w:pPr>
        <w:pStyle w:val="Point0"/>
      </w:pPr>
    </w:p>
    <w:tbl>
      <w:tblPr>
        <w:tblW w:w="0" w:type="auto"/>
        <w:tblInd w:w="3018" w:type="dxa"/>
        <w:tblLayout w:type="fixed"/>
        <w:tblLook w:val="0000" w:firstRow="0" w:lastRow="0" w:firstColumn="0" w:lastColumn="0" w:noHBand="0" w:noVBand="0"/>
      </w:tblPr>
      <w:tblGrid>
        <w:gridCol w:w="2275"/>
        <w:gridCol w:w="975"/>
      </w:tblGrid>
      <w:tr w:rsidR="009F4766" w:rsidRPr="00DE12A3" w14:paraId="1EA61B99" w14:textId="77777777" w:rsidTr="00C872F3">
        <w:tc>
          <w:tcPr>
            <w:tcW w:w="2275" w:type="dxa"/>
          </w:tcPr>
          <w:p w14:paraId="5CF6F2DB" w14:textId="767C8A37" w:rsidR="009F4766" w:rsidRPr="00DE12A3" w:rsidRDefault="009F4766" w:rsidP="00C917D6">
            <w:pPr>
              <w:pStyle w:val="NormalLeft"/>
            </w:pPr>
            <w:r w:rsidRPr="00DE12A3">
              <w:rPr>
                <w:noProof/>
                <w:lang w:val="tr-TR"/>
              </w:rPr>
              <w:drawing>
                <wp:inline distT="0" distB="0" distL="0" distR="0" wp14:anchorId="125DDFBF" wp14:editId="365D6B71">
                  <wp:extent cx="1324610" cy="597914"/>
                  <wp:effectExtent l="0" t="0" r="0" b="0"/>
                  <wp:docPr id="2488" name="Resim 2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1338959" cy="604391"/>
                          </a:xfrm>
                          <a:prstGeom prst="rect">
                            <a:avLst/>
                          </a:prstGeom>
                          <a:noFill/>
                          <a:ln>
                            <a:noFill/>
                          </a:ln>
                        </pic:spPr>
                      </pic:pic>
                    </a:graphicData>
                  </a:graphic>
                </wp:inline>
              </w:drawing>
            </w:r>
          </w:p>
        </w:tc>
        <w:tc>
          <w:tcPr>
            <w:tcW w:w="975" w:type="dxa"/>
          </w:tcPr>
          <w:p w14:paraId="08CF957A" w14:textId="77777777" w:rsidR="009F4766" w:rsidRPr="00DE12A3" w:rsidRDefault="009F4766" w:rsidP="00C917D6">
            <w:pPr>
              <w:pStyle w:val="NormalLeft"/>
            </w:pPr>
            <w:r w:rsidRPr="00DE12A3">
              <w:t>(7-121)</w:t>
            </w:r>
          </w:p>
        </w:tc>
      </w:tr>
    </w:tbl>
    <w:p w14:paraId="657D91D9" w14:textId="77777777" w:rsidR="009F4766" w:rsidRPr="00DE12A3" w:rsidRDefault="009F4766" w:rsidP="00C917D6">
      <w:pPr>
        <w:spacing w:before="120" w:after="120"/>
        <w:rPr>
          <w:rFonts w:cs="Times New Roman"/>
          <w:color w:val="auto"/>
        </w:rPr>
      </w:pPr>
    </w:p>
    <w:p w14:paraId="1D5126CC" w14:textId="129B8F28" w:rsidR="009F4766" w:rsidRPr="00DE12A3" w:rsidRDefault="00C872F3" w:rsidP="00C917D6">
      <w:pPr>
        <w:pStyle w:val="Point0"/>
        <w:ind w:firstLine="0"/>
      </w:pPr>
      <w:r w:rsidRPr="00DE12A3">
        <w:t>Burada</w:t>
      </w:r>
      <w:r w:rsidR="009F4766" w:rsidRPr="00DE12A3">
        <w:t>:</w:t>
      </w:r>
    </w:p>
    <w:tbl>
      <w:tblPr>
        <w:tblW w:w="0" w:type="auto"/>
        <w:tblInd w:w="1346" w:type="dxa"/>
        <w:tblLayout w:type="fixed"/>
        <w:tblLook w:val="0000" w:firstRow="0" w:lastRow="0" w:firstColumn="0" w:lastColumn="0" w:noHBand="0" w:noVBand="0"/>
      </w:tblPr>
      <w:tblGrid>
        <w:gridCol w:w="989"/>
        <w:gridCol w:w="593"/>
        <w:gridCol w:w="5011"/>
      </w:tblGrid>
      <w:tr w:rsidR="00DE12A3" w:rsidRPr="00DE12A3" w14:paraId="762195B1" w14:textId="77777777" w:rsidTr="00067050">
        <w:tc>
          <w:tcPr>
            <w:tcW w:w="989" w:type="dxa"/>
          </w:tcPr>
          <w:p w14:paraId="4D4A2857" w14:textId="77777777" w:rsidR="00C872F3" w:rsidRPr="00DE12A3" w:rsidRDefault="00C872F3" w:rsidP="00C917D6">
            <w:pPr>
              <w:pStyle w:val="NormalLeft"/>
            </w:pPr>
            <w:r w:rsidRPr="00DE12A3">
              <w:rPr>
                <w:i/>
                <w:iCs/>
              </w:rPr>
              <w:t>ṅ</w:t>
            </w:r>
            <w:r w:rsidRPr="00DE12A3">
              <w:rPr>
                <w:i/>
                <w:iCs/>
                <w:vertAlign w:val="subscript"/>
              </w:rPr>
              <w:t>i</w:t>
            </w:r>
          </w:p>
        </w:tc>
        <w:tc>
          <w:tcPr>
            <w:tcW w:w="593" w:type="dxa"/>
          </w:tcPr>
          <w:p w14:paraId="30FA6F58" w14:textId="77777777" w:rsidR="00C872F3" w:rsidRPr="00DE12A3" w:rsidRDefault="00C872F3" w:rsidP="00C917D6">
            <w:pPr>
              <w:pStyle w:val="NormalLeft"/>
            </w:pPr>
            <w:r w:rsidRPr="00DE12A3">
              <w:t>=</w:t>
            </w:r>
          </w:p>
        </w:tc>
        <w:tc>
          <w:tcPr>
            <w:tcW w:w="5011" w:type="dxa"/>
          </w:tcPr>
          <w:p w14:paraId="128E3F5D" w14:textId="77777777" w:rsidR="00C872F3" w:rsidRPr="00DE12A3" w:rsidRDefault="00C872F3" w:rsidP="00C917D6">
            <w:pPr>
              <w:spacing w:before="120" w:after="120"/>
              <w:rPr>
                <w:rFonts w:cs="Times New Roman"/>
                <w:color w:val="auto"/>
              </w:rPr>
            </w:pPr>
            <w:r w:rsidRPr="00DE12A3">
              <w:rPr>
                <w:rFonts w:cs="Times New Roman"/>
                <w:color w:val="auto"/>
              </w:rPr>
              <w:t>anlık egzoz gazı molar akış hızı [mol/s]</w:t>
            </w:r>
          </w:p>
        </w:tc>
      </w:tr>
      <w:tr w:rsidR="00DE12A3" w:rsidRPr="00DE12A3" w14:paraId="160539EA" w14:textId="77777777" w:rsidTr="00067050">
        <w:tc>
          <w:tcPr>
            <w:tcW w:w="989" w:type="dxa"/>
          </w:tcPr>
          <w:p w14:paraId="0178AF60" w14:textId="61517B02" w:rsidR="00C872F3" w:rsidRPr="00DE12A3" w:rsidRDefault="00C872F3" w:rsidP="00C917D6">
            <w:pPr>
              <w:pStyle w:val="NormalLeft"/>
            </w:pPr>
            <w:r w:rsidRPr="00DE12A3">
              <w:rPr>
                <w:noProof/>
                <w:lang w:val="tr-TR"/>
              </w:rPr>
              <w:drawing>
                <wp:inline distT="0" distB="0" distL="0" distR="0" wp14:anchorId="38EFABB6" wp14:editId="5D9B40E7">
                  <wp:extent cx="615315" cy="328295"/>
                  <wp:effectExtent l="0" t="0" r="0" b="0"/>
                  <wp:docPr id="2487" name="Resim 24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615315" cy="328295"/>
                          </a:xfrm>
                          <a:prstGeom prst="rect">
                            <a:avLst/>
                          </a:prstGeom>
                          <a:noFill/>
                          <a:ln>
                            <a:noFill/>
                          </a:ln>
                        </pic:spPr>
                      </pic:pic>
                    </a:graphicData>
                  </a:graphic>
                </wp:inline>
              </w:drawing>
            </w:r>
          </w:p>
        </w:tc>
        <w:tc>
          <w:tcPr>
            <w:tcW w:w="593" w:type="dxa"/>
          </w:tcPr>
          <w:p w14:paraId="0DECA3F6" w14:textId="77777777" w:rsidR="00C872F3" w:rsidRPr="00DE12A3" w:rsidRDefault="00C872F3" w:rsidP="00C917D6">
            <w:pPr>
              <w:pStyle w:val="NormalLeft"/>
            </w:pPr>
            <w:r w:rsidRPr="00DE12A3">
              <w:t>=</w:t>
            </w:r>
          </w:p>
        </w:tc>
        <w:tc>
          <w:tcPr>
            <w:tcW w:w="5011" w:type="dxa"/>
          </w:tcPr>
          <w:p w14:paraId="4A5ABCAE" w14:textId="77777777" w:rsidR="00C872F3" w:rsidRPr="00DE12A3" w:rsidRDefault="00C872F3" w:rsidP="00C917D6">
            <w:pPr>
              <w:spacing w:before="120" w:after="120"/>
              <w:rPr>
                <w:rFonts w:cs="Times New Roman"/>
                <w:color w:val="auto"/>
              </w:rPr>
            </w:pPr>
            <w:r w:rsidRPr="00DE12A3">
              <w:rPr>
                <w:rFonts w:cs="Times New Roman"/>
                <w:color w:val="auto"/>
              </w:rPr>
              <w:t>ortalama PM konsantrasyonu [g/mol]</w:t>
            </w:r>
          </w:p>
        </w:tc>
      </w:tr>
      <w:tr w:rsidR="00C872F3" w:rsidRPr="00DE12A3" w14:paraId="228BF228" w14:textId="77777777" w:rsidTr="00067050">
        <w:tc>
          <w:tcPr>
            <w:tcW w:w="989" w:type="dxa"/>
          </w:tcPr>
          <w:p w14:paraId="618B87F1" w14:textId="77777777" w:rsidR="00C872F3" w:rsidRPr="00DE12A3" w:rsidRDefault="00C872F3" w:rsidP="00C917D6">
            <w:pPr>
              <w:pStyle w:val="NormalLeft"/>
            </w:pPr>
            <w:r w:rsidRPr="00DE12A3">
              <w:t>Δ</w:t>
            </w:r>
            <w:r w:rsidRPr="00DE12A3">
              <w:rPr>
                <w:i/>
                <w:iCs/>
              </w:rPr>
              <w:t>t</w:t>
            </w:r>
            <w:r w:rsidRPr="00DE12A3">
              <w:rPr>
                <w:i/>
                <w:iCs/>
                <w:vertAlign w:val="subscript"/>
              </w:rPr>
              <w:t>i</w:t>
            </w:r>
          </w:p>
        </w:tc>
        <w:tc>
          <w:tcPr>
            <w:tcW w:w="593" w:type="dxa"/>
          </w:tcPr>
          <w:p w14:paraId="40EB22C2" w14:textId="77777777" w:rsidR="00C872F3" w:rsidRPr="00DE12A3" w:rsidRDefault="00C872F3" w:rsidP="00C917D6">
            <w:pPr>
              <w:pStyle w:val="NormalLeft"/>
            </w:pPr>
            <w:r w:rsidRPr="00DE12A3">
              <w:t>=</w:t>
            </w:r>
          </w:p>
        </w:tc>
        <w:tc>
          <w:tcPr>
            <w:tcW w:w="5011" w:type="dxa"/>
          </w:tcPr>
          <w:p w14:paraId="17A15022" w14:textId="77777777" w:rsidR="00C872F3" w:rsidRPr="00DE12A3" w:rsidRDefault="00C872F3" w:rsidP="00C917D6">
            <w:pPr>
              <w:spacing w:before="120" w:after="120"/>
              <w:rPr>
                <w:rFonts w:cs="Times New Roman"/>
                <w:color w:val="auto"/>
              </w:rPr>
            </w:pPr>
            <w:r w:rsidRPr="00DE12A3">
              <w:rPr>
                <w:rFonts w:cs="Times New Roman"/>
                <w:color w:val="auto"/>
              </w:rPr>
              <w:t>örnekleme aralığı [s]</w:t>
            </w:r>
          </w:p>
        </w:tc>
      </w:tr>
    </w:tbl>
    <w:p w14:paraId="6DD5BF25" w14:textId="77777777" w:rsidR="009F4766" w:rsidRPr="00DE12A3" w:rsidRDefault="009F4766" w:rsidP="00C917D6">
      <w:pPr>
        <w:spacing w:before="120" w:after="120"/>
        <w:rPr>
          <w:rFonts w:cs="Times New Roman"/>
          <w:color w:val="auto"/>
        </w:rPr>
      </w:pPr>
    </w:p>
    <w:p w14:paraId="3C12EDBF" w14:textId="77777777" w:rsidR="0078202C" w:rsidRPr="00DE12A3" w:rsidRDefault="009F4766" w:rsidP="00C917D6">
      <w:pPr>
        <w:pStyle w:val="Point0"/>
      </w:pPr>
      <w:r w:rsidRPr="00DE12A3">
        <w:tab/>
        <w:t>(b)</w:t>
      </w:r>
      <w:r w:rsidRPr="00DE12A3">
        <w:tab/>
      </w:r>
      <w:r w:rsidR="0078202C" w:rsidRPr="00DE12A3">
        <w:t>Sabit bir akış hızından örnekleme</w:t>
      </w:r>
    </w:p>
    <w:p w14:paraId="3D37833E" w14:textId="7EF22EE6" w:rsidR="0078202C" w:rsidRPr="00DE12A3" w:rsidRDefault="0078202C" w:rsidP="00C917D6">
      <w:pPr>
        <w:pStyle w:val="Point0"/>
        <w:ind w:left="1418" w:firstLine="0"/>
      </w:pPr>
      <w:r w:rsidRPr="00DE12A3">
        <w:t xml:space="preserve">Sabit bir egzoz gazı akış hızından bir toplu numune alınırsa, numunenin    alındığı ortalama molar akış hızı belirlenmelidir. (7-122) </w:t>
      </w:r>
      <w:r w:rsidR="00962CA1" w:rsidRPr="00DE12A3">
        <w:t xml:space="preserve"> numaralı</w:t>
      </w:r>
      <w:r w:rsidR="00962CA1" w:rsidRPr="00DE12A3" w:rsidDel="00962CA1">
        <w:t xml:space="preserve"> </w:t>
      </w:r>
      <w:r w:rsidRPr="00DE12A3">
        <w:t xml:space="preserve"> denklem ile toplam PM kütlesi m</w:t>
      </w:r>
      <w:r w:rsidRPr="00DE12A3">
        <w:rPr>
          <w:vertAlign w:val="subscript"/>
        </w:rPr>
        <w:t>PM</w:t>
      </w:r>
      <w:r w:rsidRPr="00DE12A3">
        <w:t xml:space="preserve">'nin [g] elde edilmesi için, ortalama PM konsantrasyonu, toplam akış ile </w:t>
      </w:r>
      <w:r w:rsidR="006D7ADF" w:rsidRPr="00DE12A3">
        <w:t>çarpılmalıdır</w:t>
      </w:r>
      <w:r w:rsidR="00825EFD" w:rsidRPr="00DE12A3">
        <w:t>.</w:t>
      </w:r>
    </w:p>
    <w:p w14:paraId="15B2A69C" w14:textId="77777777" w:rsidR="0078202C" w:rsidRPr="00DE12A3" w:rsidRDefault="0078202C" w:rsidP="00C917D6">
      <w:pPr>
        <w:pStyle w:val="Point0"/>
      </w:pPr>
    </w:p>
    <w:tbl>
      <w:tblPr>
        <w:tblW w:w="0" w:type="auto"/>
        <w:tblInd w:w="3204" w:type="dxa"/>
        <w:tblLayout w:type="fixed"/>
        <w:tblLook w:val="0000" w:firstRow="0" w:lastRow="0" w:firstColumn="0" w:lastColumn="0" w:noHBand="0" w:noVBand="0"/>
      </w:tblPr>
      <w:tblGrid>
        <w:gridCol w:w="1842"/>
        <w:gridCol w:w="1037"/>
      </w:tblGrid>
      <w:tr w:rsidR="00DE12A3" w:rsidRPr="00DE12A3" w14:paraId="1D1FC441" w14:textId="77777777" w:rsidTr="0078202C">
        <w:tc>
          <w:tcPr>
            <w:tcW w:w="1842" w:type="dxa"/>
          </w:tcPr>
          <w:p w14:paraId="01AE7449" w14:textId="0AA83159" w:rsidR="009F4766" w:rsidRPr="00DE12A3" w:rsidRDefault="009F4766" w:rsidP="00C917D6">
            <w:pPr>
              <w:pStyle w:val="NormalLeft"/>
            </w:pPr>
            <w:r w:rsidRPr="00DE12A3">
              <w:rPr>
                <w:noProof/>
                <w:lang w:val="tr-TR"/>
              </w:rPr>
              <w:drawing>
                <wp:inline distT="0" distB="0" distL="0" distR="0" wp14:anchorId="2815CB51" wp14:editId="67259D64">
                  <wp:extent cx="1031631" cy="328295"/>
                  <wp:effectExtent l="0" t="0" r="0" b="0"/>
                  <wp:docPr id="2486" name="Resim 24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1039373" cy="330759"/>
                          </a:xfrm>
                          <a:prstGeom prst="rect">
                            <a:avLst/>
                          </a:prstGeom>
                          <a:noFill/>
                          <a:ln>
                            <a:noFill/>
                          </a:ln>
                        </pic:spPr>
                      </pic:pic>
                    </a:graphicData>
                  </a:graphic>
                </wp:inline>
              </w:drawing>
            </w:r>
          </w:p>
        </w:tc>
        <w:tc>
          <w:tcPr>
            <w:tcW w:w="1037" w:type="dxa"/>
          </w:tcPr>
          <w:p w14:paraId="1CAFBE2F" w14:textId="77777777" w:rsidR="009F4766" w:rsidRPr="00DE12A3" w:rsidRDefault="009F4766" w:rsidP="00C917D6">
            <w:pPr>
              <w:pStyle w:val="NormalLeft"/>
            </w:pPr>
            <w:r w:rsidRPr="00DE12A3">
              <w:t>(7-122)</w:t>
            </w:r>
          </w:p>
        </w:tc>
      </w:tr>
    </w:tbl>
    <w:p w14:paraId="66B8BE6A" w14:textId="574F2497" w:rsidR="009F4766" w:rsidRPr="00DE12A3" w:rsidRDefault="009F4766" w:rsidP="00C917D6">
      <w:pPr>
        <w:pStyle w:val="Point0"/>
      </w:pPr>
      <w:r w:rsidRPr="00DE12A3">
        <w:tab/>
      </w:r>
      <w:r w:rsidR="00005131" w:rsidRPr="00DE12A3">
        <w:t>Burada :</w:t>
      </w:r>
    </w:p>
    <w:tbl>
      <w:tblPr>
        <w:tblW w:w="0" w:type="auto"/>
        <w:tblInd w:w="2043" w:type="dxa"/>
        <w:tblLayout w:type="fixed"/>
        <w:tblLook w:val="0000" w:firstRow="0" w:lastRow="0" w:firstColumn="0" w:lastColumn="0" w:noHBand="0" w:noVBand="0"/>
      </w:tblPr>
      <w:tblGrid>
        <w:gridCol w:w="988"/>
        <w:gridCol w:w="520"/>
        <w:gridCol w:w="3692"/>
      </w:tblGrid>
      <w:tr w:rsidR="00DE12A3" w:rsidRPr="00DE12A3" w14:paraId="5E3BB232" w14:textId="77777777" w:rsidTr="005652E5">
        <w:tc>
          <w:tcPr>
            <w:tcW w:w="988" w:type="dxa"/>
          </w:tcPr>
          <w:p w14:paraId="586DC950" w14:textId="77777777" w:rsidR="0078202C" w:rsidRPr="00DE12A3" w:rsidRDefault="0078202C" w:rsidP="00C917D6">
            <w:pPr>
              <w:pStyle w:val="NormalLeft"/>
            </w:pPr>
            <w:r w:rsidRPr="00DE12A3">
              <w:rPr>
                <w:i/>
                <w:iCs/>
              </w:rPr>
              <w:lastRenderedPageBreak/>
              <w:t>ṅ</w:t>
            </w:r>
          </w:p>
        </w:tc>
        <w:tc>
          <w:tcPr>
            <w:tcW w:w="520" w:type="dxa"/>
          </w:tcPr>
          <w:p w14:paraId="06D0F5FB" w14:textId="77777777" w:rsidR="0078202C" w:rsidRPr="00DE12A3" w:rsidRDefault="0078202C" w:rsidP="00C917D6">
            <w:pPr>
              <w:pStyle w:val="NormalLeft"/>
            </w:pPr>
            <w:r w:rsidRPr="00DE12A3">
              <w:t>=</w:t>
            </w:r>
          </w:p>
        </w:tc>
        <w:tc>
          <w:tcPr>
            <w:tcW w:w="3692" w:type="dxa"/>
          </w:tcPr>
          <w:p w14:paraId="19795196" w14:textId="1464D73E" w:rsidR="0078202C" w:rsidRPr="00DE12A3" w:rsidRDefault="00005131" w:rsidP="00C917D6">
            <w:pPr>
              <w:spacing w:before="120" w:after="120"/>
              <w:rPr>
                <w:rFonts w:cs="Times New Roman"/>
                <w:color w:val="auto"/>
              </w:rPr>
            </w:pPr>
            <w:r w:rsidRPr="00DE12A3">
              <w:rPr>
                <w:rFonts w:cs="Times New Roman"/>
                <w:color w:val="auto"/>
              </w:rPr>
              <w:t>Egzoz</w:t>
            </w:r>
            <w:r w:rsidR="0078202C" w:rsidRPr="00DE12A3">
              <w:rPr>
                <w:rFonts w:cs="Times New Roman"/>
                <w:color w:val="auto"/>
              </w:rPr>
              <w:t xml:space="preserve"> gazı molar akış hızı [mol/s]</w:t>
            </w:r>
          </w:p>
        </w:tc>
      </w:tr>
      <w:tr w:rsidR="00DE12A3" w:rsidRPr="00DE12A3" w14:paraId="2C1C678F" w14:textId="77777777" w:rsidTr="005652E5">
        <w:tc>
          <w:tcPr>
            <w:tcW w:w="988" w:type="dxa"/>
          </w:tcPr>
          <w:p w14:paraId="333005AD" w14:textId="06F17A87" w:rsidR="0078202C" w:rsidRPr="00DE12A3" w:rsidRDefault="0078202C" w:rsidP="00C917D6">
            <w:pPr>
              <w:pStyle w:val="NormalLeft"/>
            </w:pPr>
            <w:r w:rsidRPr="00DE12A3">
              <w:rPr>
                <w:noProof/>
                <w:lang w:val="tr-TR"/>
              </w:rPr>
              <w:drawing>
                <wp:inline distT="0" distB="0" distL="0" distR="0" wp14:anchorId="291403A9" wp14:editId="7FDD274F">
                  <wp:extent cx="615315" cy="328295"/>
                  <wp:effectExtent l="0" t="0" r="0" b="0"/>
                  <wp:docPr id="2485" name="Resim 24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615315" cy="328295"/>
                          </a:xfrm>
                          <a:prstGeom prst="rect">
                            <a:avLst/>
                          </a:prstGeom>
                          <a:noFill/>
                          <a:ln>
                            <a:noFill/>
                          </a:ln>
                        </pic:spPr>
                      </pic:pic>
                    </a:graphicData>
                  </a:graphic>
                </wp:inline>
              </w:drawing>
            </w:r>
          </w:p>
        </w:tc>
        <w:tc>
          <w:tcPr>
            <w:tcW w:w="520" w:type="dxa"/>
          </w:tcPr>
          <w:p w14:paraId="54568BB2" w14:textId="77777777" w:rsidR="0078202C" w:rsidRPr="00DE12A3" w:rsidRDefault="0078202C" w:rsidP="00C917D6">
            <w:pPr>
              <w:pStyle w:val="NormalLeft"/>
            </w:pPr>
            <w:r w:rsidRPr="00DE12A3">
              <w:t>=</w:t>
            </w:r>
          </w:p>
        </w:tc>
        <w:tc>
          <w:tcPr>
            <w:tcW w:w="3692" w:type="dxa"/>
          </w:tcPr>
          <w:p w14:paraId="173A214E" w14:textId="139A92B4" w:rsidR="0078202C" w:rsidRPr="00DE12A3" w:rsidRDefault="00005131" w:rsidP="00C917D6">
            <w:pPr>
              <w:spacing w:before="120" w:after="120"/>
              <w:rPr>
                <w:rFonts w:cs="Times New Roman"/>
                <w:color w:val="auto"/>
              </w:rPr>
            </w:pPr>
            <w:r w:rsidRPr="00DE12A3">
              <w:rPr>
                <w:rFonts w:cs="Times New Roman"/>
                <w:color w:val="auto"/>
              </w:rPr>
              <w:t>Ortalama</w:t>
            </w:r>
            <w:r w:rsidR="0078202C" w:rsidRPr="00DE12A3">
              <w:rPr>
                <w:rFonts w:cs="Times New Roman"/>
                <w:color w:val="auto"/>
              </w:rPr>
              <w:t xml:space="preserve"> PM konsantrasyonu [g/mol]</w:t>
            </w:r>
          </w:p>
        </w:tc>
      </w:tr>
      <w:tr w:rsidR="0078202C" w:rsidRPr="00DE12A3" w14:paraId="64FEBFDE" w14:textId="77777777" w:rsidTr="005652E5">
        <w:tc>
          <w:tcPr>
            <w:tcW w:w="988" w:type="dxa"/>
          </w:tcPr>
          <w:p w14:paraId="58BD9198" w14:textId="77777777" w:rsidR="0078202C" w:rsidRPr="00DE12A3" w:rsidRDefault="0078202C" w:rsidP="00C917D6">
            <w:pPr>
              <w:pStyle w:val="NormalLeft"/>
            </w:pPr>
            <w:r w:rsidRPr="00DE12A3">
              <w:t>Δ</w:t>
            </w:r>
            <w:r w:rsidRPr="00DE12A3">
              <w:rPr>
                <w:i/>
                <w:iCs/>
              </w:rPr>
              <w:t>t</w:t>
            </w:r>
          </w:p>
        </w:tc>
        <w:tc>
          <w:tcPr>
            <w:tcW w:w="520" w:type="dxa"/>
          </w:tcPr>
          <w:p w14:paraId="7B875A58" w14:textId="77777777" w:rsidR="0078202C" w:rsidRPr="00DE12A3" w:rsidRDefault="0078202C" w:rsidP="00C917D6">
            <w:pPr>
              <w:pStyle w:val="NormalLeft"/>
            </w:pPr>
            <w:r w:rsidRPr="00DE12A3">
              <w:t>=</w:t>
            </w:r>
          </w:p>
        </w:tc>
        <w:tc>
          <w:tcPr>
            <w:tcW w:w="3692" w:type="dxa"/>
          </w:tcPr>
          <w:p w14:paraId="12A1D1EA" w14:textId="4C29759D" w:rsidR="0078202C" w:rsidRPr="00DE12A3" w:rsidRDefault="00005131" w:rsidP="00C917D6">
            <w:pPr>
              <w:spacing w:before="120" w:after="120"/>
              <w:rPr>
                <w:rFonts w:cs="Times New Roman"/>
                <w:color w:val="auto"/>
              </w:rPr>
            </w:pPr>
            <w:r w:rsidRPr="00DE12A3">
              <w:rPr>
                <w:rFonts w:cs="Times New Roman"/>
                <w:color w:val="auto"/>
              </w:rPr>
              <w:t>Test</w:t>
            </w:r>
            <w:r w:rsidR="0078202C" w:rsidRPr="00DE12A3">
              <w:rPr>
                <w:rFonts w:cs="Times New Roman"/>
                <w:color w:val="auto"/>
              </w:rPr>
              <w:t xml:space="preserve"> aralığının süresi [s]</w:t>
            </w:r>
          </w:p>
        </w:tc>
      </w:tr>
    </w:tbl>
    <w:p w14:paraId="1C139AE4" w14:textId="77777777" w:rsidR="009F4766" w:rsidRPr="00DE12A3" w:rsidRDefault="009F4766" w:rsidP="00C917D6">
      <w:pPr>
        <w:spacing w:before="120" w:after="120"/>
        <w:rPr>
          <w:rFonts w:cs="Times New Roman"/>
          <w:color w:val="auto"/>
        </w:rPr>
      </w:pPr>
    </w:p>
    <w:p w14:paraId="3729DE3E" w14:textId="2BFE3C4B" w:rsidR="009F4766" w:rsidRPr="00DE12A3" w:rsidRDefault="009F4766" w:rsidP="00C917D6">
      <w:pPr>
        <w:pStyle w:val="Point0"/>
      </w:pPr>
      <w:r w:rsidRPr="00DE12A3">
        <w:tab/>
      </w:r>
      <w:r w:rsidR="005652E5" w:rsidRPr="00DE12A3">
        <w:t xml:space="preserve">Sabit bir seyreltme oranı (DR) ile örnekleme için mPM [g], (7-123) </w:t>
      </w:r>
      <w:r w:rsidR="00962CA1" w:rsidRPr="00DE12A3">
        <w:t>numaralı</w:t>
      </w:r>
      <w:r w:rsidR="00962CA1" w:rsidRPr="00DE12A3" w:rsidDel="00962CA1">
        <w:t xml:space="preserve"> </w:t>
      </w:r>
      <w:r w:rsidR="005652E5" w:rsidRPr="00DE12A3">
        <w:t>denklem ile hesaplanmalıdır:</w:t>
      </w:r>
    </w:p>
    <w:tbl>
      <w:tblPr>
        <w:tblW w:w="0" w:type="auto"/>
        <w:tblInd w:w="3111" w:type="dxa"/>
        <w:tblLayout w:type="fixed"/>
        <w:tblLook w:val="0000" w:firstRow="0" w:lastRow="0" w:firstColumn="0" w:lastColumn="0" w:noHBand="0" w:noVBand="0"/>
      </w:tblPr>
      <w:tblGrid>
        <w:gridCol w:w="2053"/>
        <w:gridCol w:w="1011"/>
      </w:tblGrid>
      <w:tr w:rsidR="00DE12A3" w:rsidRPr="00DE12A3" w14:paraId="527782D6" w14:textId="77777777" w:rsidTr="001A234D">
        <w:tc>
          <w:tcPr>
            <w:tcW w:w="2053" w:type="dxa"/>
          </w:tcPr>
          <w:p w14:paraId="5C3FB9F4" w14:textId="2000E038" w:rsidR="009F4766" w:rsidRPr="00DE12A3" w:rsidRDefault="009F4766" w:rsidP="00C917D6">
            <w:pPr>
              <w:pStyle w:val="NormalLeft"/>
            </w:pPr>
            <w:r w:rsidRPr="00DE12A3">
              <w:rPr>
                <w:noProof/>
                <w:lang w:val="tr-TR"/>
              </w:rPr>
              <w:drawing>
                <wp:inline distT="0" distB="0" distL="0" distR="0" wp14:anchorId="6239F563" wp14:editId="6487C22F">
                  <wp:extent cx="1143000" cy="299085"/>
                  <wp:effectExtent l="0" t="0" r="0" b="5715"/>
                  <wp:docPr id="2484" name="Resim 2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1147869" cy="300359"/>
                          </a:xfrm>
                          <a:prstGeom prst="rect">
                            <a:avLst/>
                          </a:prstGeom>
                          <a:noFill/>
                          <a:ln>
                            <a:noFill/>
                          </a:ln>
                        </pic:spPr>
                      </pic:pic>
                    </a:graphicData>
                  </a:graphic>
                </wp:inline>
              </w:drawing>
            </w:r>
          </w:p>
        </w:tc>
        <w:tc>
          <w:tcPr>
            <w:tcW w:w="1011" w:type="dxa"/>
          </w:tcPr>
          <w:p w14:paraId="13CD9FC8" w14:textId="77777777" w:rsidR="009F4766" w:rsidRPr="00DE12A3" w:rsidRDefault="009F4766" w:rsidP="00C917D6">
            <w:pPr>
              <w:pStyle w:val="NormalLeft"/>
            </w:pPr>
            <w:r w:rsidRPr="00DE12A3">
              <w:t>(7-123)</w:t>
            </w:r>
          </w:p>
        </w:tc>
      </w:tr>
    </w:tbl>
    <w:p w14:paraId="4DE33B03" w14:textId="77777777" w:rsidR="009F4766" w:rsidRPr="00DE12A3" w:rsidRDefault="009F4766" w:rsidP="00C917D6">
      <w:pPr>
        <w:pStyle w:val="Point0"/>
      </w:pPr>
      <w:r w:rsidRPr="00DE12A3">
        <w:tab/>
      </w:r>
      <w:r w:rsidR="008B3D9F" w:rsidRPr="00DE12A3">
        <w:t>Burada</w:t>
      </w:r>
      <w:r w:rsidRPr="00DE12A3">
        <w:t>:</w:t>
      </w:r>
    </w:p>
    <w:tbl>
      <w:tblPr>
        <w:tblW w:w="0" w:type="auto"/>
        <w:tblInd w:w="959" w:type="dxa"/>
        <w:tblLayout w:type="fixed"/>
        <w:tblLook w:val="0000" w:firstRow="0" w:lastRow="0" w:firstColumn="0" w:lastColumn="0" w:noHBand="0" w:noVBand="0"/>
      </w:tblPr>
      <w:tblGrid>
        <w:gridCol w:w="1701"/>
        <w:gridCol w:w="567"/>
        <w:gridCol w:w="6059"/>
      </w:tblGrid>
      <w:tr w:rsidR="00DE12A3" w:rsidRPr="00DE12A3" w14:paraId="77B58BDF" w14:textId="77777777" w:rsidTr="00067050">
        <w:tc>
          <w:tcPr>
            <w:tcW w:w="1701" w:type="dxa"/>
          </w:tcPr>
          <w:p w14:paraId="215BB1D1" w14:textId="77777777" w:rsidR="005652E5" w:rsidRPr="00DE12A3" w:rsidRDefault="005652E5" w:rsidP="00C917D6">
            <w:pPr>
              <w:pStyle w:val="NormalLeft"/>
            </w:pPr>
            <w:r w:rsidRPr="00DE12A3">
              <w:rPr>
                <w:i/>
                <w:iCs/>
              </w:rPr>
              <w:t>m</w:t>
            </w:r>
            <w:r w:rsidRPr="00DE12A3">
              <w:rPr>
                <w:vertAlign w:val="subscript"/>
              </w:rPr>
              <w:t>PMdil</w:t>
            </w:r>
          </w:p>
        </w:tc>
        <w:tc>
          <w:tcPr>
            <w:tcW w:w="567" w:type="dxa"/>
          </w:tcPr>
          <w:p w14:paraId="55C15C97" w14:textId="77777777" w:rsidR="005652E5" w:rsidRPr="00DE12A3" w:rsidRDefault="005652E5" w:rsidP="00C917D6">
            <w:pPr>
              <w:pStyle w:val="NormalLeft"/>
            </w:pPr>
            <w:r w:rsidRPr="00DE12A3">
              <w:t>=</w:t>
            </w:r>
          </w:p>
        </w:tc>
        <w:tc>
          <w:tcPr>
            <w:tcW w:w="6059" w:type="dxa"/>
          </w:tcPr>
          <w:p w14:paraId="7609F980" w14:textId="10EF1BE9" w:rsidR="005652E5" w:rsidRPr="00DE12A3" w:rsidRDefault="00005131" w:rsidP="00C917D6">
            <w:pPr>
              <w:spacing w:before="120" w:after="120"/>
              <w:rPr>
                <w:rFonts w:cs="Times New Roman"/>
                <w:color w:val="auto"/>
              </w:rPr>
            </w:pPr>
            <w:r w:rsidRPr="00DE12A3">
              <w:rPr>
                <w:rFonts w:cs="Times New Roman"/>
                <w:color w:val="auto"/>
              </w:rPr>
              <w:t>Seyreltme</w:t>
            </w:r>
            <w:r w:rsidR="005652E5" w:rsidRPr="00DE12A3">
              <w:rPr>
                <w:rFonts w:cs="Times New Roman"/>
                <w:color w:val="auto"/>
              </w:rPr>
              <w:t xml:space="preserve"> havası içindeki PM kütlesi [g]</w:t>
            </w:r>
          </w:p>
        </w:tc>
      </w:tr>
      <w:tr w:rsidR="005652E5" w:rsidRPr="00DE12A3" w14:paraId="56C39367" w14:textId="77777777" w:rsidTr="00067050">
        <w:tc>
          <w:tcPr>
            <w:tcW w:w="1701" w:type="dxa"/>
          </w:tcPr>
          <w:p w14:paraId="0AC3EB44" w14:textId="77777777" w:rsidR="005652E5" w:rsidRPr="00DE12A3" w:rsidRDefault="005652E5" w:rsidP="00C917D6">
            <w:pPr>
              <w:pStyle w:val="NormalLeft"/>
            </w:pPr>
            <w:r w:rsidRPr="00DE12A3">
              <w:rPr>
                <w:i/>
                <w:iCs/>
              </w:rPr>
              <w:t>DR</w:t>
            </w:r>
          </w:p>
        </w:tc>
        <w:tc>
          <w:tcPr>
            <w:tcW w:w="567" w:type="dxa"/>
          </w:tcPr>
          <w:p w14:paraId="19254FEB" w14:textId="77777777" w:rsidR="005652E5" w:rsidRPr="00DE12A3" w:rsidRDefault="005652E5" w:rsidP="00C917D6">
            <w:pPr>
              <w:pStyle w:val="NormalLeft"/>
            </w:pPr>
            <w:r w:rsidRPr="00DE12A3">
              <w:t>=</w:t>
            </w:r>
          </w:p>
        </w:tc>
        <w:tc>
          <w:tcPr>
            <w:tcW w:w="6059" w:type="dxa"/>
          </w:tcPr>
          <w:p w14:paraId="4777B766" w14:textId="07AD6B35" w:rsidR="005652E5" w:rsidRPr="00DE12A3" w:rsidRDefault="00005131" w:rsidP="00C917D6">
            <w:pPr>
              <w:spacing w:before="120" w:after="120"/>
              <w:rPr>
                <w:rFonts w:cs="Times New Roman"/>
                <w:color w:val="auto"/>
              </w:rPr>
            </w:pPr>
            <w:r w:rsidRPr="00DE12A3">
              <w:rPr>
                <w:rFonts w:cs="Times New Roman"/>
                <w:color w:val="auto"/>
              </w:rPr>
              <w:t>Emisyon</w:t>
            </w:r>
            <w:r w:rsidR="005652E5" w:rsidRPr="00DE12A3">
              <w:rPr>
                <w:rFonts w:cs="Times New Roman"/>
                <w:color w:val="auto"/>
              </w:rPr>
              <w:t xml:space="preserve"> kütlesi m ile seyreltilmiş egzoz gazı kütlesi mdil/exh arasındaki oran olarak tanımlanan seyreltme oranı [-] (DR = m/mdil/exh).</w:t>
            </w:r>
          </w:p>
        </w:tc>
      </w:tr>
    </w:tbl>
    <w:p w14:paraId="27FABDF8" w14:textId="77777777" w:rsidR="009F4766" w:rsidRPr="00DE12A3" w:rsidRDefault="009F4766" w:rsidP="00C917D6">
      <w:pPr>
        <w:spacing w:before="120" w:after="120"/>
        <w:rPr>
          <w:rFonts w:cs="Times New Roman"/>
          <w:color w:val="auto"/>
        </w:rPr>
      </w:pPr>
    </w:p>
    <w:p w14:paraId="5956ADFB" w14:textId="535BE422" w:rsidR="009F4766" w:rsidRPr="00DE12A3" w:rsidRDefault="009F4766" w:rsidP="00C917D6">
      <w:pPr>
        <w:pStyle w:val="Point0"/>
      </w:pPr>
      <w:r w:rsidRPr="00DE12A3">
        <w:tab/>
      </w:r>
      <w:r w:rsidR="005652E5" w:rsidRPr="00DE12A3">
        <w:t xml:space="preserve">Seyreltme oranı DR, xdil/exh'in bir fonksiyonu olarak ifade edilebilir [(7-124) </w:t>
      </w:r>
      <w:r w:rsidR="00962CA1" w:rsidRPr="00DE12A3">
        <w:t>numaralı</w:t>
      </w:r>
      <w:r w:rsidR="00962CA1" w:rsidRPr="00DE12A3" w:rsidDel="00962CA1">
        <w:t xml:space="preserve"> </w:t>
      </w:r>
      <w:r w:rsidR="005652E5" w:rsidRPr="00DE12A3">
        <w:t xml:space="preserve"> denklem]:</w:t>
      </w:r>
    </w:p>
    <w:tbl>
      <w:tblPr>
        <w:tblW w:w="0" w:type="auto"/>
        <w:tblInd w:w="3343" w:type="dxa"/>
        <w:tblLayout w:type="fixed"/>
        <w:tblLook w:val="0000" w:firstRow="0" w:lastRow="0" w:firstColumn="0" w:lastColumn="0" w:noHBand="0" w:noVBand="0"/>
      </w:tblPr>
      <w:tblGrid>
        <w:gridCol w:w="1586"/>
        <w:gridCol w:w="1014"/>
      </w:tblGrid>
      <w:tr w:rsidR="009F4766" w:rsidRPr="00DE12A3" w14:paraId="3722B72F" w14:textId="77777777" w:rsidTr="001A234D">
        <w:tc>
          <w:tcPr>
            <w:tcW w:w="1586" w:type="dxa"/>
          </w:tcPr>
          <w:p w14:paraId="6D5D5CAF" w14:textId="44EEC206" w:rsidR="009F4766" w:rsidRPr="00DE12A3" w:rsidRDefault="009F4766" w:rsidP="00C917D6">
            <w:pPr>
              <w:pStyle w:val="NormalLeft"/>
            </w:pPr>
            <w:r w:rsidRPr="00DE12A3">
              <w:rPr>
                <w:noProof/>
                <w:lang w:val="tr-TR"/>
              </w:rPr>
              <w:drawing>
                <wp:inline distT="0" distB="0" distL="0" distR="0" wp14:anchorId="47318281" wp14:editId="51686B40">
                  <wp:extent cx="803031" cy="685800"/>
                  <wp:effectExtent l="0" t="0" r="0" b="0"/>
                  <wp:docPr id="2483" name="Resim 24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809156" cy="691031"/>
                          </a:xfrm>
                          <a:prstGeom prst="rect">
                            <a:avLst/>
                          </a:prstGeom>
                          <a:noFill/>
                          <a:ln>
                            <a:noFill/>
                          </a:ln>
                        </pic:spPr>
                      </pic:pic>
                    </a:graphicData>
                  </a:graphic>
                </wp:inline>
              </w:drawing>
            </w:r>
          </w:p>
        </w:tc>
        <w:tc>
          <w:tcPr>
            <w:tcW w:w="1014" w:type="dxa"/>
          </w:tcPr>
          <w:p w14:paraId="31B991FF" w14:textId="77777777" w:rsidR="009F4766" w:rsidRPr="00DE12A3" w:rsidRDefault="009F4766" w:rsidP="00C917D6">
            <w:pPr>
              <w:pStyle w:val="NormalLeft"/>
            </w:pPr>
            <w:r w:rsidRPr="00DE12A3">
              <w:t>(7-124)</w:t>
            </w:r>
          </w:p>
        </w:tc>
      </w:tr>
    </w:tbl>
    <w:p w14:paraId="49DA4DDB" w14:textId="77777777" w:rsidR="009F4766" w:rsidRPr="00DE12A3" w:rsidRDefault="009F4766" w:rsidP="00C917D6">
      <w:pPr>
        <w:spacing w:before="120" w:after="120"/>
        <w:rPr>
          <w:rFonts w:cs="Times New Roman"/>
          <w:color w:val="auto"/>
        </w:rPr>
      </w:pPr>
    </w:p>
    <w:p w14:paraId="56E9A4D9" w14:textId="33EB751E" w:rsidR="005652E5" w:rsidRPr="00DE12A3" w:rsidRDefault="009F4766" w:rsidP="00C917D6">
      <w:pPr>
        <w:pStyle w:val="ManualHeading4"/>
        <w:numPr>
          <w:ilvl w:val="0"/>
          <w:numId w:val="0"/>
        </w:numPr>
        <w:ind w:left="850" w:hanging="850"/>
      </w:pPr>
      <w:r w:rsidRPr="00DE12A3">
        <w:t>3.7.</w:t>
      </w:r>
      <w:r w:rsidR="003D2907" w:rsidRPr="00DE12A3">
        <w:t>2</w:t>
      </w:r>
      <w:r w:rsidRPr="00DE12A3">
        <w:t>.</w:t>
      </w:r>
      <w:r w:rsidRPr="00DE12A3">
        <w:tab/>
      </w:r>
      <w:r w:rsidR="005652E5" w:rsidRPr="00DE12A3">
        <w:t>Arka plan düzeltmesi</w:t>
      </w:r>
    </w:p>
    <w:p w14:paraId="5C65EDF3" w14:textId="02E4E19F" w:rsidR="005652E5" w:rsidRPr="00DE12A3" w:rsidRDefault="005652E5" w:rsidP="0057308A">
      <w:pPr>
        <w:spacing w:before="120" w:after="120"/>
        <w:ind w:left="1134"/>
        <w:jc w:val="both"/>
        <w:rPr>
          <w:rFonts w:cs="Times New Roman"/>
          <w:color w:val="auto"/>
        </w:rPr>
      </w:pPr>
      <w:r w:rsidRPr="00DE12A3">
        <w:rPr>
          <w:rFonts w:cs="Times New Roman"/>
          <w:color w:val="auto"/>
        </w:rPr>
        <w:t xml:space="preserve">PM kütlesinin arka plan bakımından düzeltilmesi için 3.6.1 bendindeki yaklaşımın aynısı uygulanmalıdır. MPMbkgnd'nin toplam seyreltme havası akışı ile çarpılmasıyla, PM'nin toplam arka plan kütlesi (mPMbkgnd [g]) elde edilir. Toplam arka plan kütlesi, toplam kütleden çıkarıldığında, parçacıkların arka plan düzeltilmiş kütlesi mPMcor'u [g] verir [(7-125) </w:t>
      </w:r>
      <w:r w:rsidR="00962CA1" w:rsidRPr="00DE12A3">
        <w:rPr>
          <w:color w:val="auto"/>
        </w:rPr>
        <w:t>numaralı</w:t>
      </w:r>
      <w:r w:rsidR="00962CA1" w:rsidRPr="00DE12A3" w:rsidDel="00962CA1">
        <w:rPr>
          <w:rFonts w:cs="Times New Roman"/>
          <w:color w:val="auto"/>
        </w:rPr>
        <w:t xml:space="preserve"> </w:t>
      </w:r>
      <w:r w:rsidRPr="00DE12A3">
        <w:rPr>
          <w:rFonts w:cs="Times New Roman"/>
          <w:color w:val="auto"/>
        </w:rPr>
        <w:t>denklem]</w:t>
      </w:r>
      <w:r w:rsidR="00825EFD" w:rsidRPr="00DE12A3">
        <w:rPr>
          <w:rFonts w:cs="Times New Roman"/>
          <w:color w:val="auto"/>
        </w:rPr>
        <w:t>.</w:t>
      </w:r>
    </w:p>
    <w:p w14:paraId="4D666A4E" w14:textId="77777777" w:rsidR="005652E5" w:rsidRPr="00DE12A3" w:rsidRDefault="005652E5" w:rsidP="00C917D6">
      <w:pPr>
        <w:pStyle w:val="ManualHeading4"/>
        <w:numPr>
          <w:ilvl w:val="0"/>
          <w:numId w:val="0"/>
        </w:numPr>
        <w:ind w:left="850" w:hanging="850"/>
      </w:pPr>
    </w:p>
    <w:tbl>
      <w:tblPr>
        <w:tblW w:w="0" w:type="auto"/>
        <w:tblInd w:w="2089" w:type="dxa"/>
        <w:tblLayout w:type="fixed"/>
        <w:tblLook w:val="0000" w:firstRow="0" w:lastRow="0" w:firstColumn="0" w:lastColumn="0" w:noHBand="0" w:noVBand="0"/>
      </w:tblPr>
      <w:tblGrid>
        <w:gridCol w:w="4086"/>
        <w:gridCol w:w="1021"/>
      </w:tblGrid>
      <w:tr w:rsidR="00DE12A3" w:rsidRPr="00DE12A3" w14:paraId="3E1DA0F3" w14:textId="77777777" w:rsidTr="001A234D">
        <w:tc>
          <w:tcPr>
            <w:tcW w:w="4086" w:type="dxa"/>
          </w:tcPr>
          <w:p w14:paraId="6D0902CE" w14:textId="358596E4" w:rsidR="009F4766" w:rsidRPr="00DE12A3" w:rsidRDefault="009F4766" w:rsidP="00C917D6">
            <w:pPr>
              <w:pStyle w:val="NormalLeft"/>
            </w:pPr>
            <w:r w:rsidRPr="00DE12A3">
              <w:rPr>
                <w:noProof/>
                <w:lang w:val="tr-TR"/>
              </w:rPr>
              <w:drawing>
                <wp:inline distT="0" distB="0" distL="0" distR="0" wp14:anchorId="2DE74EAB" wp14:editId="1DC1B67D">
                  <wp:extent cx="2321169" cy="363220"/>
                  <wp:effectExtent l="0" t="0" r="3175" b="0"/>
                  <wp:docPr id="2481" name="Resim 2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2332478" cy="364990"/>
                          </a:xfrm>
                          <a:prstGeom prst="rect">
                            <a:avLst/>
                          </a:prstGeom>
                          <a:noFill/>
                          <a:ln>
                            <a:noFill/>
                          </a:ln>
                        </pic:spPr>
                      </pic:pic>
                    </a:graphicData>
                  </a:graphic>
                </wp:inline>
              </w:drawing>
            </w:r>
          </w:p>
        </w:tc>
        <w:tc>
          <w:tcPr>
            <w:tcW w:w="1021" w:type="dxa"/>
          </w:tcPr>
          <w:p w14:paraId="0DBD9C30" w14:textId="77777777" w:rsidR="009F4766" w:rsidRPr="00DE12A3" w:rsidRDefault="009F4766" w:rsidP="00C917D6">
            <w:pPr>
              <w:pStyle w:val="NormalLeft"/>
            </w:pPr>
            <w:r w:rsidRPr="00DE12A3">
              <w:t>(7-125)</w:t>
            </w:r>
          </w:p>
        </w:tc>
      </w:tr>
    </w:tbl>
    <w:p w14:paraId="11B45702" w14:textId="77777777" w:rsidR="009F4766" w:rsidRPr="00DE12A3" w:rsidRDefault="008B3D9F" w:rsidP="00C917D6">
      <w:pPr>
        <w:spacing w:before="120" w:after="120"/>
        <w:rPr>
          <w:rFonts w:cs="Times New Roman"/>
          <w:color w:val="auto"/>
        </w:rPr>
      </w:pPr>
      <w:r w:rsidRPr="00DE12A3">
        <w:rPr>
          <w:rFonts w:cs="Times New Roman"/>
          <w:color w:val="auto"/>
        </w:rPr>
        <w:t>Burada</w:t>
      </w:r>
      <w:r w:rsidR="009F4766" w:rsidRPr="00DE12A3">
        <w:rPr>
          <w:rFonts w:cs="Times New Roman"/>
          <w:color w:val="auto"/>
        </w:rPr>
        <w:t>:</w:t>
      </w:r>
    </w:p>
    <w:tbl>
      <w:tblPr>
        <w:tblW w:w="0" w:type="auto"/>
        <w:tblInd w:w="1207" w:type="dxa"/>
        <w:tblLayout w:type="fixed"/>
        <w:tblLook w:val="0000" w:firstRow="0" w:lastRow="0" w:firstColumn="0" w:lastColumn="0" w:noHBand="0" w:noVBand="0"/>
      </w:tblPr>
      <w:tblGrid>
        <w:gridCol w:w="1580"/>
        <w:gridCol w:w="550"/>
        <w:gridCol w:w="4742"/>
      </w:tblGrid>
      <w:tr w:rsidR="00DE12A3" w:rsidRPr="00DE12A3" w14:paraId="03AEE39F" w14:textId="77777777" w:rsidTr="00067050">
        <w:tc>
          <w:tcPr>
            <w:tcW w:w="1580" w:type="dxa"/>
          </w:tcPr>
          <w:p w14:paraId="4E7A9B34" w14:textId="77777777" w:rsidR="005652E5" w:rsidRPr="00DE12A3" w:rsidRDefault="005652E5" w:rsidP="00C917D6">
            <w:pPr>
              <w:pStyle w:val="NormalLeft"/>
            </w:pPr>
            <w:r w:rsidRPr="00DE12A3">
              <w:rPr>
                <w:i/>
                <w:iCs/>
              </w:rPr>
              <w:t>m</w:t>
            </w:r>
            <w:r w:rsidRPr="00DE12A3">
              <w:rPr>
                <w:vertAlign w:val="subscript"/>
              </w:rPr>
              <w:t>PMuncor</w:t>
            </w:r>
          </w:p>
        </w:tc>
        <w:tc>
          <w:tcPr>
            <w:tcW w:w="550" w:type="dxa"/>
          </w:tcPr>
          <w:p w14:paraId="50A0EB90" w14:textId="77777777" w:rsidR="005652E5" w:rsidRPr="00DE12A3" w:rsidRDefault="005652E5" w:rsidP="00C917D6">
            <w:pPr>
              <w:pStyle w:val="NormalLeft"/>
            </w:pPr>
            <w:r w:rsidRPr="00DE12A3">
              <w:t>=</w:t>
            </w:r>
          </w:p>
        </w:tc>
        <w:tc>
          <w:tcPr>
            <w:tcW w:w="4742" w:type="dxa"/>
          </w:tcPr>
          <w:p w14:paraId="4879CCB4" w14:textId="68EB8ECA" w:rsidR="005652E5" w:rsidRPr="00DE12A3" w:rsidRDefault="00005131" w:rsidP="00C917D6">
            <w:pPr>
              <w:spacing w:before="120" w:after="120"/>
              <w:rPr>
                <w:rFonts w:cs="Times New Roman"/>
                <w:color w:val="auto"/>
              </w:rPr>
            </w:pPr>
            <w:r w:rsidRPr="00DE12A3">
              <w:rPr>
                <w:rFonts w:cs="Times New Roman"/>
                <w:color w:val="auto"/>
              </w:rPr>
              <w:t>Düzeltilmemiş</w:t>
            </w:r>
            <w:r w:rsidR="005652E5" w:rsidRPr="00DE12A3">
              <w:rPr>
                <w:rFonts w:cs="Times New Roman"/>
                <w:color w:val="auto"/>
              </w:rPr>
              <w:t xml:space="preserve"> PM kütlesi [g]</w:t>
            </w:r>
          </w:p>
        </w:tc>
      </w:tr>
      <w:tr w:rsidR="00DE12A3" w:rsidRPr="00DE12A3" w14:paraId="0DE3F4AD" w14:textId="77777777" w:rsidTr="00067050">
        <w:tc>
          <w:tcPr>
            <w:tcW w:w="1580" w:type="dxa"/>
          </w:tcPr>
          <w:p w14:paraId="675EF026" w14:textId="477F503A" w:rsidR="005652E5" w:rsidRPr="00DE12A3" w:rsidRDefault="005652E5" w:rsidP="00C917D6">
            <w:pPr>
              <w:pStyle w:val="NormalLeft"/>
            </w:pPr>
            <w:r w:rsidRPr="00DE12A3">
              <w:rPr>
                <w:noProof/>
                <w:lang w:val="tr-TR"/>
              </w:rPr>
              <w:drawing>
                <wp:inline distT="0" distB="0" distL="0" distR="0" wp14:anchorId="2B828E03" wp14:editId="4A8ED032">
                  <wp:extent cx="1148715" cy="363220"/>
                  <wp:effectExtent l="0" t="0" r="0" b="0"/>
                  <wp:docPr id="2480" name="Resim 2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1148715" cy="363220"/>
                          </a:xfrm>
                          <a:prstGeom prst="rect">
                            <a:avLst/>
                          </a:prstGeom>
                          <a:noFill/>
                          <a:ln>
                            <a:noFill/>
                          </a:ln>
                        </pic:spPr>
                      </pic:pic>
                    </a:graphicData>
                  </a:graphic>
                </wp:inline>
              </w:drawing>
            </w:r>
          </w:p>
        </w:tc>
        <w:tc>
          <w:tcPr>
            <w:tcW w:w="550" w:type="dxa"/>
          </w:tcPr>
          <w:p w14:paraId="402FD425" w14:textId="77777777" w:rsidR="005652E5" w:rsidRPr="00DE12A3" w:rsidRDefault="005652E5" w:rsidP="00C917D6">
            <w:pPr>
              <w:pStyle w:val="NormalLeft"/>
            </w:pPr>
            <w:r w:rsidRPr="00DE12A3">
              <w:t>=</w:t>
            </w:r>
          </w:p>
        </w:tc>
        <w:tc>
          <w:tcPr>
            <w:tcW w:w="4742" w:type="dxa"/>
          </w:tcPr>
          <w:p w14:paraId="05EA7054" w14:textId="1E5DF823" w:rsidR="005652E5" w:rsidRPr="00DE12A3" w:rsidRDefault="00005131" w:rsidP="00C917D6">
            <w:pPr>
              <w:spacing w:before="120" w:after="120"/>
              <w:rPr>
                <w:rFonts w:cs="Times New Roman"/>
                <w:color w:val="auto"/>
              </w:rPr>
            </w:pPr>
            <w:r w:rsidRPr="00DE12A3">
              <w:rPr>
                <w:rFonts w:cs="Times New Roman"/>
                <w:color w:val="auto"/>
              </w:rPr>
              <w:t>Seyreltme</w:t>
            </w:r>
            <w:r w:rsidR="005652E5" w:rsidRPr="00DE12A3">
              <w:rPr>
                <w:rFonts w:cs="Times New Roman"/>
                <w:color w:val="auto"/>
              </w:rPr>
              <w:t xml:space="preserve"> havası içindeki ortalama PM konsantrasyonu [g/mol]</w:t>
            </w:r>
          </w:p>
        </w:tc>
      </w:tr>
      <w:tr w:rsidR="005652E5" w:rsidRPr="00DE12A3" w14:paraId="69329DAE" w14:textId="77777777" w:rsidTr="00067050">
        <w:tc>
          <w:tcPr>
            <w:tcW w:w="1580" w:type="dxa"/>
          </w:tcPr>
          <w:p w14:paraId="7D2E4020" w14:textId="77777777" w:rsidR="005652E5" w:rsidRPr="00DE12A3" w:rsidRDefault="005652E5" w:rsidP="00C917D6">
            <w:pPr>
              <w:pStyle w:val="NormalLeft"/>
            </w:pPr>
            <w:r w:rsidRPr="00DE12A3">
              <w:rPr>
                <w:i/>
                <w:iCs/>
              </w:rPr>
              <w:t>n</w:t>
            </w:r>
            <w:r w:rsidRPr="00DE12A3">
              <w:rPr>
                <w:vertAlign w:val="subscript"/>
              </w:rPr>
              <w:t>airdil</w:t>
            </w:r>
          </w:p>
        </w:tc>
        <w:tc>
          <w:tcPr>
            <w:tcW w:w="550" w:type="dxa"/>
          </w:tcPr>
          <w:p w14:paraId="725EFD10" w14:textId="77777777" w:rsidR="005652E5" w:rsidRPr="00DE12A3" w:rsidRDefault="005652E5" w:rsidP="00C917D6">
            <w:pPr>
              <w:pStyle w:val="NormalLeft"/>
            </w:pPr>
            <w:r w:rsidRPr="00DE12A3">
              <w:t>=</w:t>
            </w:r>
          </w:p>
        </w:tc>
        <w:tc>
          <w:tcPr>
            <w:tcW w:w="4742" w:type="dxa"/>
          </w:tcPr>
          <w:p w14:paraId="411F4F51" w14:textId="5AAF881C" w:rsidR="005652E5" w:rsidRPr="00DE12A3" w:rsidRDefault="00005131" w:rsidP="00C917D6">
            <w:pPr>
              <w:spacing w:before="120" w:after="120"/>
              <w:rPr>
                <w:rFonts w:cs="Times New Roman"/>
                <w:color w:val="auto"/>
              </w:rPr>
            </w:pPr>
            <w:r w:rsidRPr="00DE12A3">
              <w:rPr>
                <w:rFonts w:cs="Times New Roman"/>
                <w:color w:val="auto"/>
              </w:rPr>
              <w:t>Seyreltme</w:t>
            </w:r>
            <w:r w:rsidR="005652E5" w:rsidRPr="00DE12A3">
              <w:rPr>
                <w:rFonts w:cs="Times New Roman"/>
                <w:color w:val="auto"/>
              </w:rPr>
              <w:t xml:space="preserve"> havası molar akışı [mol]</w:t>
            </w:r>
          </w:p>
        </w:tc>
      </w:tr>
    </w:tbl>
    <w:p w14:paraId="55D81272" w14:textId="77777777" w:rsidR="009F4766" w:rsidRPr="00DE12A3" w:rsidRDefault="009F4766" w:rsidP="00C917D6">
      <w:pPr>
        <w:spacing w:before="120" w:after="120"/>
        <w:rPr>
          <w:rFonts w:cs="Times New Roman"/>
          <w:color w:val="auto"/>
        </w:rPr>
      </w:pPr>
    </w:p>
    <w:p w14:paraId="5D489161" w14:textId="77777777" w:rsidR="008B3D9F" w:rsidRPr="00DE12A3" w:rsidRDefault="009F4766" w:rsidP="00C917D6">
      <w:pPr>
        <w:pStyle w:val="ManualHeading3"/>
        <w:numPr>
          <w:ilvl w:val="0"/>
          <w:numId w:val="0"/>
        </w:numPr>
        <w:ind w:left="1134" w:hanging="1134"/>
        <w:rPr>
          <w:i w:val="0"/>
        </w:rPr>
      </w:pPr>
      <w:r w:rsidRPr="00DE12A3">
        <w:rPr>
          <w:i w:val="0"/>
        </w:rPr>
        <w:t>3.8.</w:t>
      </w:r>
      <w:r w:rsidRPr="00DE12A3">
        <w:rPr>
          <w:i w:val="0"/>
        </w:rPr>
        <w:tab/>
      </w:r>
      <w:r w:rsidR="00F310B5" w:rsidRPr="00DE12A3">
        <w:rPr>
          <w:i w:val="0"/>
        </w:rPr>
        <w:t>Çevrim</w:t>
      </w:r>
      <w:r w:rsidR="008B3D9F" w:rsidRPr="00DE12A3">
        <w:rPr>
          <w:i w:val="0"/>
        </w:rPr>
        <w:t xml:space="preserve"> çalışması ve spesifik emisyonlar</w:t>
      </w:r>
    </w:p>
    <w:p w14:paraId="43FE1AA4" w14:textId="77777777" w:rsidR="008B3D9F" w:rsidRPr="00DE12A3" w:rsidRDefault="008B3D9F" w:rsidP="00E20716">
      <w:pPr>
        <w:pStyle w:val="ManualHeading3"/>
        <w:numPr>
          <w:ilvl w:val="2"/>
          <w:numId w:val="456"/>
        </w:numPr>
        <w:ind w:left="1134" w:hanging="1134"/>
        <w:rPr>
          <w:i w:val="0"/>
        </w:rPr>
      </w:pPr>
      <w:r w:rsidRPr="00DE12A3">
        <w:rPr>
          <w:i w:val="0"/>
        </w:rPr>
        <w:t xml:space="preserve">       Gaz halindeki emisyonlar</w:t>
      </w:r>
    </w:p>
    <w:p w14:paraId="0650EEB5" w14:textId="77777777" w:rsidR="008B3D9F" w:rsidRPr="00DE12A3" w:rsidRDefault="004D1FEF" w:rsidP="00E20716">
      <w:pPr>
        <w:pStyle w:val="ManualHeading3"/>
        <w:numPr>
          <w:ilvl w:val="3"/>
          <w:numId w:val="456"/>
        </w:numPr>
        <w:ind w:left="1134" w:hanging="1134"/>
        <w:rPr>
          <w:i w:val="0"/>
        </w:rPr>
      </w:pPr>
      <w:r w:rsidRPr="00DE12A3">
        <w:rPr>
          <w:i w:val="0"/>
        </w:rPr>
        <w:t>Süreksiz (</w:t>
      </w:r>
      <w:r w:rsidR="008B3D9F" w:rsidRPr="00DE12A3">
        <w:rPr>
          <w:i w:val="0"/>
        </w:rPr>
        <w:t xml:space="preserve">NRTC ve LSI-NRTC) test </w:t>
      </w:r>
      <w:r w:rsidR="00F310B5" w:rsidRPr="00DE12A3">
        <w:rPr>
          <w:i w:val="0"/>
        </w:rPr>
        <w:t>çevrim</w:t>
      </w:r>
      <w:r w:rsidR="008B3D9F" w:rsidRPr="00DE12A3">
        <w:rPr>
          <w:i w:val="0"/>
        </w:rPr>
        <w:t>leri ve RMC</w:t>
      </w:r>
    </w:p>
    <w:p w14:paraId="69E24329" w14:textId="21B03DDF" w:rsidR="008B3D9F" w:rsidRPr="00DE12A3" w:rsidRDefault="008B3D9F" w:rsidP="0057308A">
      <w:pPr>
        <w:spacing w:before="120" w:after="120"/>
        <w:ind w:left="1134"/>
        <w:jc w:val="both"/>
        <w:rPr>
          <w:rFonts w:cs="Times New Roman"/>
          <w:color w:val="auto"/>
        </w:rPr>
      </w:pPr>
      <w:r w:rsidRPr="00DE12A3">
        <w:rPr>
          <w:rFonts w:cs="Times New Roman"/>
          <w:color w:val="auto"/>
        </w:rPr>
        <w:t xml:space="preserve">Sırasıyla ham ve seyreltilmiş egzoz gazı için 3.5.1 ve 3.6.1 bentlerine atıfta bulunulmuştur. Güç Pi [kW] için elde edilen değerler bir test aralığı boyunca toplanmalıdır. Toplam çalışma Wact [kWh], (7-126) </w:t>
      </w:r>
      <w:r w:rsidR="00962CA1" w:rsidRPr="00DE12A3">
        <w:rPr>
          <w:color w:val="auto"/>
        </w:rPr>
        <w:t>numaralı</w:t>
      </w:r>
      <w:r w:rsidR="00962CA1" w:rsidRPr="00DE12A3" w:rsidDel="00962CA1">
        <w:rPr>
          <w:rFonts w:cs="Times New Roman"/>
          <w:color w:val="auto"/>
        </w:rPr>
        <w:t xml:space="preserve"> </w:t>
      </w:r>
      <w:r w:rsidRPr="00DE12A3">
        <w:rPr>
          <w:rFonts w:cs="Times New Roman"/>
          <w:color w:val="auto"/>
        </w:rPr>
        <w:t>denklem ile hesaplanmalıdır:</w:t>
      </w:r>
    </w:p>
    <w:p w14:paraId="28375895" w14:textId="77777777" w:rsidR="008B3D9F" w:rsidRPr="00DE12A3" w:rsidRDefault="008B3D9F" w:rsidP="00F40555">
      <w:pPr>
        <w:rPr>
          <w:color w:val="auto"/>
        </w:rPr>
      </w:pPr>
    </w:p>
    <w:tbl>
      <w:tblPr>
        <w:tblW w:w="0" w:type="auto"/>
        <w:tblInd w:w="2229" w:type="dxa"/>
        <w:tblLayout w:type="fixed"/>
        <w:tblLook w:val="0000" w:firstRow="0" w:lastRow="0" w:firstColumn="0" w:lastColumn="0" w:noHBand="0" w:noVBand="0"/>
      </w:tblPr>
      <w:tblGrid>
        <w:gridCol w:w="3815"/>
        <w:gridCol w:w="1014"/>
      </w:tblGrid>
      <w:tr w:rsidR="00DE12A3" w:rsidRPr="00DE12A3" w14:paraId="5184B00D" w14:textId="77777777" w:rsidTr="008B3D9F">
        <w:tc>
          <w:tcPr>
            <w:tcW w:w="3815" w:type="dxa"/>
          </w:tcPr>
          <w:p w14:paraId="6E4E1A0D" w14:textId="61B1E835" w:rsidR="009F4766" w:rsidRPr="00DE12A3" w:rsidRDefault="009F4766" w:rsidP="00C917D6">
            <w:pPr>
              <w:pStyle w:val="NormalLeft"/>
            </w:pPr>
            <w:r w:rsidRPr="00DE12A3">
              <w:rPr>
                <w:noProof/>
                <w:lang w:val="tr-TR"/>
              </w:rPr>
              <w:drawing>
                <wp:inline distT="0" distB="0" distL="0" distR="0" wp14:anchorId="63D5F676" wp14:editId="225D0714">
                  <wp:extent cx="2233100" cy="808990"/>
                  <wp:effectExtent l="0" t="0" r="0" b="0"/>
                  <wp:docPr id="2479" name="Resim 2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2245630" cy="813529"/>
                          </a:xfrm>
                          <a:prstGeom prst="rect">
                            <a:avLst/>
                          </a:prstGeom>
                          <a:noFill/>
                          <a:ln>
                            <a:noFill/>
                          </a:ln>
                        </pic:spPr>
                      </pic:pic>
                    </a:graphicData>
                  </a:graphic>
                </wp:inline>
              </w:drawing>
            </w:r>
          </w:p>
        </w:tc>
        <w:tc>
          <w:tcPr>
            <w:tcW w:w="1014" w:type="dxa"/>
          </w:tcPr>
          <w:p w14:paraId="454A6154" w14:textId="77777777" w:rsidR="009F4766" w:rsidRPr="00DE12A3" w:rsidRDefault="009F4766" w:rsidP="00C917D6">
            <w:pPr>
              <w:pStyle w:val="NormalLeft"/>
            </w:pPr>
            <w:r w:rsidRPr="00DE12A3">
              <w:t>(7-126)</w:t>
            </w:r>
          </w:p>
        </w:tc>
      </w:tr>
    </w:tbl>
    <w:p w14:paraId="6A62C913" w14:textId="77777777" w:rsidR="009F4766" w:rsidRPr="00DE12A3" w:rsidRDefault="008B3D9F" w:rsidP="00C917D6">
      <w:pPr>
        <w:spacing w:before="120" w:after="120"/>
        <w:ind w:left="1134"/>
        <w:rPr>
          <w:rFonts w:cs="Times New Roman"/>
          <w:color w:val="auto"/>
        </w:rPr>
      </w:pPr>
      <w:r w:rsidRPr="00DE12A3">
        <w:rPr>
          <w:rFonts w:cs="Times New Roman"/>
          <w:color w:val="auto"/>
        </w:rPr>
        <w:t>Burada</w:t>
      </w:r>
      <w:r w:rsidR="009F4766" w:rsidRPr="00DE12A3">
        <w:rPr>
          <w:rFonts w:cs="Times New Roman"/>
          <w:color w:val="auto"/>
        </w:rPr>
        <w:t>:</w:t>
      </w:r>
    </w:p>
    <w:p w14:paraId="6AC8BC62" w14:textId="77777777" w:rsidR="008B3D9F" w:rsidRPr="00DE12A3" w:rsidRDefault="008B3D9F" w:rsidP="00C917D6">
      <w:pPr>
        <w:spacing w:before="120" w:after="120"/>
        <w:ind w:left="1134"/>
        <w:rPr>
          <w:rFonts w:cs="Times New Roman"/>
          <w:color w:val="auto"/>
        </w:rPr>
      </w:pPr>
    </w:p>
    <w:tbl>
      <w:tblPr>
        <w:tblW w:w="0" w:type="auto"/>
        <w:tblInd w:w="2089" w:type="dxa"/>
        <w:tblLayout w:type="fixed"/>
        <w:tblLook w:val="0000" w:firstRow="0" w:lastRow="0" w:firstColumn="0" w:lastColumn="0" w:noHBand="0" w:noVBand="0"/>
      </w:tblPr>
      <w:tblGrid>
        <w:gridCol w:w="919"/>
        <w:gridCol w:w="562"/>
        <w:gridCol w:w="3626"/>
      </w:tblGrid>
      <w:tr w:rsidR="00DE12A3" w:rsidRPr="00DE12A3" w14:paraId="51D3EBB1" w14:textId="77777777" w:rsidTr="008B3D9F">
        <w:tc>
          <w:tcPr>
            <w:tcW w:w="919" w:type="dxa"/>
          </w:tcPr>
          <w:p w14:paraId="31EFFDAE" w14:textId="77777777" w:rsidR="008B3D9F" w:rsidRPr="00DE12A3" w:rsidRDefault="008B3D9F" w:rsidP="00C917D6">
            <w:pPr>
              <w:pStyle w:val="NormalLeft"/>
            </w:pPr>
            <w:r w:rsidRPr="00DE12A3">
              <w:rPr>
                <w:i/>
                <w:iCs/>
              </w:rPr>
              <w:t>P</w:t>
            </w:r>
            <w:r w:rsidRPr="00DE12A3">
              <w:rPr>
                <w:i/>
                <w:iCs/>
                <w:vertAlign w:val="subscript"/>
              </w:rPr>
              <w:t>i</w:t>
            </w:r>
          </w:p>
        </w:tc>
        <w:tc>
          <w:tcPr>
            <w:tcW w:w="562" w:type="dxa"/>
          </w:tcPr>
          <w:p w14:paraId="5EE3BC46" w14:textId="77777777" w:rsidR="008B3D9F" w:rsidRPr="00DE12A3" w:rsidRDefault="008B3D9F" w:rsidP="00C917D6">
            <w:pPr>
              <w:pStyle w:val="NormalLeft"/>
            </w:pPr>
            <w:r w:rsidRPr="00DE12A3">
              <w:t>=</w:t>
            </w:r>
          </w:p>
        </w:tc>
        <w:tc>
          <w:tcPr>
            <w:tcW w:w="3626" w:type="dxa"/>
          </w:tcPr>
          <w:p w14:paraId="61BAAEE2" w14:textId="77777777" w:rsidR="008B3D9F" w:rsidRPr="00DE12A3" w:rsidRDefault="009C444B" w:rsidP="00C917D6">
            <w:pPr>
              <w:spacing w:before="120" w:after="120"/>
              <w:rPr>
                <w:rFonts w:cs="Times New Roman"/>
                <w:color w:val="auto"/>
              </w:rPr>
            </w:pPr>
            <w:r w:rsidRPr="00DE12A3">
              <w:rPr>
                <w:rFonts w:cs="Times New Roman"/>
                <w:color w:val="auto"/>
              </w:rPr>
              <w:t>Anlık</w:t>
            </w:r>
            <w:r w:rsidR="008B3D9F" w:rsidRPr="00DE12A3">
              <w:rPr>
                <w:rFonts w:cs="Times New Roman"/>
                <w:color w:val="auto"/>
              </w:rPr>
              <w:t xml:space="preserve"> motor gücü [kW]</w:t>
            </w:r>
          </w:p>
        </w:tc>
      </w:tr>
      <w:tr w:rsidR="00DE12A3" w:rsidRPr="00DE12A3" w14:paraId="3ADC4A62" w14:textId="77777777" w:rsidTr="008B3D9F">
        <w:tc>
          <w:tcPr>
            <w:tcW w:w="919" w:type="dxa"/>
          </w:tcPr>
          <w:p w14:paraId="4A05CC1A" w14:textId="77777777" w:rsidR="008B3D9F" w:rsidRPr="00DE12A3" w:rsidRDefault="008B3D9F" w:rsidP="00C917D6">
            <w:pPr>
              <w:pStyle w:val="NormalLeft"/>
            </w:pPr>
            <w:r w:rsidRPr="00DE12A3">
              <w:rPr>
                <w:i/>
                <w:iCs/>
              </w:rPr>
              <w:t>n</w:t>
            </w:r>
            <w:r w:rsidRPr="00DE12A3">
              <w:rPr>
                <w:i/>
                <w:iCs/>
                <w:vertAlign w:val="subscript"/>
              </w:rPr>
              <w:t>i</w:t>
            </w:r>
          </w:p>
        </w:tc>
        <w:tc>
          <w:tcPr>
            <w:tcW w:w="562" w:type="dxa"/>
          </w:tcPr>
          <w:p w14:paraId="5B73E360" w14:textId="77777777" w:rsidR="008B3D9F" w:rsidRPr="00DE12A3" w:rsidRDefault="008B3D9F" w:rsidP="00C917D6">
            <w:pPr>
              <w:pStyle w:val="NormalLeft"/>
            </w:pPr>
            <w:r w:rsidRPr="00DE12A3">
              <w:t>=</w:t>
            </w:r>
          </w:p>
        </w:tc>
        <w:tc>
          <w:tcPr>
            <w:tcW w:w="3626" w:type="dxa"/>
          </w:tcPr>
          <w:p w14:paraId="07E6C33A" w14:textId="77777777" w:rsidR="008B3D9F" w:rsidRPr="00DE12A3" w:rsidRDefault="009C444B" w:rsidP="00C917D6">
            <w:pPr>
              <w:spacing w:before="120" w:after="120"/>
              <w:rPr>
                <w:rFonts w:cs="Times New Roman"/>
                <w:color w:val="auto"/>
              </w:rPr>
            </w:pPr>
            <w:r w:rsidRPr="00DE12A3">
              <w:rPr>
                <w:rFonts w:cs="Times New Roman"/>
                <w:color w:val="auto"/>
              </w:rPr>
              <w:t xml:space="preserve">Anlık </w:t>
            </w:r>
            <w:r w:rsidR="008B3D9F" w:rsidRPr="00DE12A3">
              <w:rPr>
                <w:rFonts w:cs="Times New Roman"/>
                <w:color w:val="auto"/>
              </w:rPr>
              <w:t>motor devri [rpm]</w:t>
            </w:r>
          </w:p>
        </w:tc>
      </w:tr>
      <w:tr w:rsidR="00DE12A3" w:rsidRPr="00DE12A3" w14:paraId="41FCD30E" w14:textId="77777777" w:rsidTr="008B3D9F">
        <w:tc>
          <w:tcPr>
            <w:tcW w:w="919" w:type="dxa"/>
          </w:tcPr>
          <w:p w14:paraId="301E61ED" w14:textId="77777777" w:rsidR="008B3D9F" w:rsidRPr="00DE12A3" w:rsidRDefault="008B3D9F" w:rsidP="00C917D6">
            <w:pPr>
              <w:pStyle w:val="NormalLeft"/>
            </w:pPr>
            <w:r w:rsidRPr="00DE12A3">
              <w:rPr>
                <w:i/>
                <w:iCs/>
              </w:rPr>
              <w:t>T</w:t>
            </w:r>
            <w:r w:rsidRPr="00DE12A3">
              <w:rPr>
                <w:i/>
                <w:iCs/>
                <w:vertAlign w:val="subscript"/>
              </w:rPr>
              <w:t>i</w:t>
            </w:r>
          </w:p>
        </w:tc>
        <w:tc>
          <w:tcPr>
            <w:tcW w:w="562" w:type="dxa"/>
          </w:tcPr>
          <w:p w14:paraId="189F9026" w14:textId="77777777" w:rsidR="008B3D9F" w:rsidRPr="00DE12A3" w:rsidRDefault="008B3D9F" w:rsidP="00C917D6">
            <w:pPr>
              <w:pStyle w:val="NormalLeft"/>
            </w:pPr>
            <w:r w:rsidRPr="00DE12A3">
              <w:t>=</w:t>
            </w:r>
          </w:p>
        </w:tc>
        <w:tc>
          <w:tcPr>
            <w:tcW w:w="3626" w:type="dxa"/>
          </w:tcPr>
          <w:p w14:paraId="3C69CD7C" w14:textId="77777777" w:rsidR="008B3D9F" w:rsidRPr="00DE12A3" w:rsidRDefault="009C444B" w:rsidP="00C917D6">
            <w:pPr>
              <w:spacing w:before="120" w:after="120"/>
              <w:rPr>
                <w:rFonts w:cs="Times New Roman"/>
                <w:color w:val="auto"/>
              </w:rPr>
            </w:pPr>
            <w:r w:rsidRPr="00DE12A3">
              <w:rPr>
                <w:rFonts w:cs="Times New Roman"/>
                <w:color w:val="auto"/>
              </w:rPr>
              <w:t>Anlık</w:t>
            </w:r>
            <w:r w:rsidR="008B3D9F" w:rsidRPr="00DE12A3">
              <w:rPr>
                <w:rFonts w:cs="Times New Roman"/>
                <w:color w:val="auto"/>
              </w:rPr>
              <w:t xml:space="preserve"> motor torku [Nm]</w:t>
            </w:r>
          </w:p>
        </w:tc>
      </w:tr>
      <w:tr w:rsidR="00DE12A3" w:rsidRPr="00DE12A3" w14:paraId="44501371" w14:textId="77777777" w:rsidTr="008B3D9F">
        <w:tc>
          <w:tcPr>
            <w:tcW w:w="919" w:type="dxa"/>
          </w:tcPr>
          <w:p w14:paraId="1B39A518" w14:textId="77777777" w:rsidR="008B3D9F" w:rsidRPr="00DE12A3" w:rsidRDefault="008B3D9F" w:rsidP="00C917D6">
            <w:pPr>
              <w:pStyle w:val="NormalLeft"/>
            </w:pPr>
            <w:r w:rsidRPr="00DE12A3">
              <w:rPr>
                <w:i/>
                <w:iCs/>
              </w:rPr>
              <w:t>W</w:t>
            </w:r>
            <w:r w:rsidRPr="00DE12A3">
              <w:rPr>
                <w:vertAlign w:val="subscript"/>
              </w:rPr>
              <w:t>act</w:t>
            </w:r>
          </w:p>
        </w:tc>
        <w:tc>
          <w:tcPr>
            <w:tcW w:w="562" w:type="dxa"/>
          </w:tcPr>
          <w:p w14:paraId="0D7F3781" w14:textId="77777777" w:rsidR="008B3D9F" w:rsidRPr="00DE12A3" w:rsidRDefault="008B3D9F" w:rsidP="00C917D6">
            <w:pPr>
              <w:pStyle w:val="NormalLeft"/>
            </w:pPr>
            <w:r w:rsidRPr="00DE12A3">
              <w:t>=</w:t>
            </w:r>
          </w:p>
        </w:tc>
        <w:tc>
          <w:tcPr>
            <w:tcW w:w="3626" w:type="dxa"/>
          </w:tcPr>
          <w:p w14:paraId="648102AA" w14:textId="77777777" w:rsidR="008B3D9F" w:rsidRPr="00DE12A3" w:rsidRDefault="009C444B" w:rsidP="00C917D6">
            <w:pPr>
              <w:spacing w:before="120" w:after="120"/>
              <w:rPr>
                <w:rFonts w:cs="Times New Roman"/>
                <w:color w:val="auto"/>
              </w:rPr>
            </w:pPr>
            <w:r w:rsidRPr="00DE12A3">
              <w:rPr>
                <w:rFonts w:cs="Times New Roman"/>
                <w:color w:val="auto"/>
              </w:rPr>
              <w:t xml:space="preserve">Gerçek </w:t>
            </w:r>
            <w:r w:rsidR="00F310B5" w:rsidRPr="00DE12A3">
              <w:rPr>
                <w:rFonts w:cs="Times New Roman"/>
                <w:color w:val="auto"/>
              </w:rPr>
              <w:t>çevrim</w:t>
            </w:r>
            <w:r w:rsidR="008B3D9F" w:rsidRPr="00DE12A3">
              <w:rPr>
                <w:rFonts w:cs="Times New Roman"/>
                <w:color w:val="auto"/>
              </w:rPr>
              <w:t xml:space="preserve"> çalışması [kWh]</w:t>
            </w:r>
          </w:p>
        </w:tc>
      </w:tr>
      <w:tr w:rsidR="00DE12A3" w:rsidRPr="00DE12A3" w14:paraId="77C99663" w14:textId="77777777" w:rsidTr="008B3D9F">
        <w:tc>
          <w:tcPr>
            <w:tcW w:w="919" w:type="dxa"/>
          </w:tcPr>
          <w:p w14:paraId="4F06AE2A" w14:textId="77777777" w:rsidR="008B3D9F" w:rsidRPr="00DE12A3" w:rsidRDefault="008B3D9F" w:rsidP="00C917D6">
            <w:pPr>
              <w:pStyle w:val="NormalLeft"/>
            </w:pPr>
            <w:r w:rsidRPr="00DE12A3">
              <w:rPr>
                <w:i/>
                <w:iCs/>
              </w:rPr>
              <w:t>ƒ</w:t>
            </w:r>
          </w:p>
        </w:tc>
        <w:tc>
          <w:tcPr>
            <w:tcW w:w="562" w:type="dxa"/>
          </w:tcPr>
          <w:p w14:paraId="4E547279" w14:textId="77777777" w:rsidR="008B3D9F" w:rsidRPr="00DE12A3" w:rsidRDefault="008B3D9F" w:rsidP="00C917D6">
            <w:pPr>
              <w:pStyle w:val="NormalLeft"/>
            </w:pPr>
            <w:r w:rsidRPr="00DE12A3">
              <w:t>=</w:t>
            </w:r>
          </w:p>
        </w:tc>
        <w:tc>
          <w:tcPr>
            <w:tcW w:w="3626" w:type="dxa"/>
          </w:tcPr>
          <w:p w14:paraId="18B87768" w14:textId="77777777" w:rsidR="008B3D9F" w:rsidRPr="00DE12A3" w:rsidRDefault="009C444B" w:rsidP="00C917D6">
            <w:pPr>
              <w:spacing w:before="120" w:after="120"/>
              <w:rPr>
                <w:rFonts w:cs="Times New Roman"/>
                <w:color w:val="auto"/>
              </w:rPr>
            </w:pPr>
            <w:r w:rsidRPr="00DE12A3">
              <w:rPr>
                <w:rFonts w:cs="Times New Roman"/>
                <w:color w:val="auto"/>
              </w:rPr>
              <w:t>Veri</w:t>
            </w:r>
            <w:r w:rsidR="008B3D9F" w:rsidRPr="00DE12A3">
              <w:rPr>
                <w:rFonts w:cs="Times New Roman"/>
                <w:color w:val="auto"/>
              </w:rPr>
              <w:t xml:space="preserve"> örnekleme hızı [Hz]</w:t>
            </w:r>
          </w:p>
        </w:tc>
      </w:tr>
      <w:tr w:rsidR="00DE12A3" w:rsidRPr="00DE12A3" w14:paraId="1D5B6DE1" w14:textId="77777777" w:rsidTr="008B3D9F">
        <w:tc>
          <w:tcPr>
            <w:tcW w:w="919" w:type="dxa"/>
          </w:tcPr>
          <w:p w14:paraId="0B9B4A5B" w14:textId="77777777" w:rsidR="008B3D9F" w:rsidRPr="00DE12A3" w:rsidRDefault="008B3D9F" w:rsidP="00C917D6">
            <w:pPr>
              <w:pStyle w:val="NormalLeft"/>
            </w:pPr>
            <w:r w:rsidRPr="00DE12A3">
              <w:t>N</w:t>
            </w:r>
          </w:p>
        </w:tc>
        <w:tc>
          <w:tcPr>
            <w:tcW w:w="562" w:type="dxa"/>
          </w:tcPr>
          <w:p w14:paraId="5F80383C" w14:textId="77777777" w:rsidR="008B3D9F" w:rsidRPr="00DE12A3" w:rsidRDefault="008B3D9F" w:rsidP="00C917D6">
            <w:pPr>
              <w:pStyle w:val="NormalLeft"/>
            </w:pPr>
            <w:r w:rsidRPr="00DE12A3">
              <w:t>=</w:t>
            </w:r>
          </w:p>
        </w:tc>
        <w:tc>
          <w:tcPr>
            <w:tcW w:w="3626" w:type="dxa"/>
          </w:tcPr>
          <w:p w14:paraId="54FA31F5" w14:textId="77777777" w:rsidR="008B3D9F" w:rsidRPr="00DE12A3" w:rsidRDefault="009C444B" w:rsidP="00C917D6">
            <w:pPr>
              <w:spacing w:before="120" w:after="120"/>
              <w:rPr>
                <w:rFonts w:cs="Times New Roman"/>
                <w:color w:val="auto"/>
              </w:rPr>
            </w:pPr>
            <w:r w:rsidRPr="00DE12A3">
              <w:rPr>
                <w:rFonts w:cs="Times New Roman"/>
                <w:color w:val="auto"/>
              </w:rPr>
              <w:t xml:space="preserve">Ölçüm </w:t>
            </w:r>
            <w:r w:rsidR="008B3D9F" w:rsidRPr="00DE12A3">
              <w:rPr>
                <w:rFonts w:cs="Times New Roman"/>
                <w:color w:val="auto"/>
              </w:rPr>
              <w:t>sayısı [-]</w:t>
            </w:r>
          </w:p>
        </w:tc>
      </w:tr>
      <w:tr w:rsidR="00DE12A3" w:rsidRPr="00DE12A3" w14:paraId="4C21DD02" w14:textId="77777777" w:rsidTr="008B3D9F">
        <w:tc>
          <w:tcPr>
            <w:tcW w:w="919" w:type="dxa"/>
          </w:tcPr>
          <w:p w14:paraId="57931D77" w14:textId="77777777" w:rsidR="008B3D9F" w:rsidRPr="00DE12A3" w:rsidRDefault="008B3D9F" w:rsidP="00C917D6">
            <w:pPr>
              <w:pStyle w:val="NormalLeft"/>
            </w:pPr>
            <w:r w:rsidRPr="00DE12A3">
              <w:t>Δ</w:t>
            </w:r>
            <w:r w:rsidRPr="00DE12A3">
              <w:rPr>
                <w:i/>
                <w:iCs/>
              </w:rPr>
              <w:t>t</w:t>
            </w:r>
            <w:r w:rsidRPr="00DE12A3">
              <w:rPr>
                <w:i/>
                <w:iCs/>
                <w:vertAlign w:val="subscript"/>
              </w:rPr>
              <w:t>i</w:t>
            </w:r>
            <w:r w:rsidRPr="00DE12A3">
              <w:t xml:space="preserve">  </w:t>
            </w:r>
          </w:p>
        </w:tc>
        <w:tc>
          <w:tcPr>
            <w:tcW w:w="562" w:type="dxa"/>
          </w:tcPr>
          <w:p w14:paraId="41DE3812" w14:textId="77777777" w:rsidR="008B3D9F" w:rsidRPr="00DE12A3" w:rsidRDefault="008B3D9F" w:rsidP="00C917D6">
            <w:pPr>
              <w:pStyle w:val="NormalLeft"/>
            </w:pPr>
            <w:r w:rsidRPr="00DE12A3">
              <w:t xml:space="preserve"> =  </w:t>
            </w:r>
          </w:p>
        </w:tc>
        <w:tc>
          <w:tcPr>
            <w:tcW w:w="3626" w:type="dxa"/>
          </w:tcPr>
          <w:p w14:paraId="0519DC37" w14:textId="77777777" w:rsidR="008B3D9F" w:rsidRPr="00DE12A3" w:rsidRDefault="009C444B" w:rsidP="00C917D6">
            <w:pPr>
              <w:spacing w:before="120" w:after="120"/>
              <w:rPr>
                <w:rFonts w:cs="Times New Roman"/>
                <w:color w:val="auto"/>
              </w:rPr>
            </w:pPr>
            <w:r w:rsidRPr="00DE12A3">
              <w:rPr>
                <w:rFonts w:cs="Times New Roman"/>
                <w:color w:val="auto"/>
              </w:rPr>
              <w:t xml:space="preserve">Ölçüm </w:t>
            </w:r>
            <w:r w:rsidR="008B3D9F" w:rsidRPr="00DE12A3">
              <w:rPr>
                <w:rFonts w:cs="Times New Roman"/>
                <w:color w:val="auto"/>
              </w:rPr>
              <w:t>aralığı [s]</w:t>
            </w:r>
          </w:p>
        </w:tc>
      </w:tr>
    </w:tbl>
    <w:p w14:paraId="4A2863F4" w14:textId="3A4004B4" w:rsidR="009F4766" w:rsidRPr="00DE12A3" w:rsidRDefault="00FA0678" w:rsidP="00C917D6">
      <w:pPr>
        <w:spacing w:before="120" w:after="120"/>
        <w:ind w:left="1134"/>
        <w:jc w:val="both"/>
        <w:rPr>
          <w:rFonts w:cs="Times New Roman"/>
          <w:color w:val="auto"/>
        </w:rPr>
      </w:pPr>
      <w:r w:rsidRPr="00DE12A3">
        <w:rPr>
          <w:rFonts w:cs="Times New Roman"/>
          <w:color w:val="auto"/>
        </w:rPr>
        <w:t xml:space="preserve">VI’ncı </w:t>
      </w:r>
      <w:r w:rsidR="00825EFD" w:rsidRPr="00DE12A3">
        <w:rPr>
          <w:rFonts w:cs="Times New Roman"/>
          <w:color w:val="auto"/>
        </w:rPr>
        <w:t>E</w:t>
      </w:r>
      <w:r w:rsidRPr="00DE12A3">
        <w:rPr>
          <w:rFonts w:cs="Times New Roman"/>
          <w:color w:val="auto"/>
        </w:rPr>
        <w:t>k</w:t>
      </w:r>
      <w:r w:rsidR="008B3D9F" w:rsidRPr="00DE12A3">
        <w:rPr>
          <w:rFonts w:cs="Times New Roman"/>
          <w:color w:val="auto"/>
        </w:rPr>
        <w:t xml:space="preserve">in </w:t>
      </w:r>
      <w:r w:rsidRPr="00DE12A3">
        <w:rPr>
          <w:rFonts w:cs="Times New Roman"/>
          <w:color w:val="auto"/>
        </w:rPr>
        <w:t>2. Açıklayıcı Ek</w:t>
      </w:r>
      <w:r w:rsidR="008B3D9F" w:rsidRPr="00DE12A3">
        <w:rPr>
          <w:rFonts w:cs="Times New Roman"/>
          <w:color w:val="auto"/>
        </w:rPr>
        <w:t xml:space="preserve">i uyarınca yardımcı cihazların takıldığı durumlarda, (7-126) </w:t>
      </w:r>
      <w:r w:rsidR="00962CA1" w:rsidRPr="00DE12A3">
        <w:rPr>
          <w:color w:val="auto"/>
        </w:rPr>
        <w:t>numaralı</w:t>
      </w:r>
      <w:r w:rsidR="00962CA1" w:rsidRPr="00DE12A3" w:rsidDel="00962CA1">
        <w:rPr>
          <w:rFonts w:cs="Times New Roman"/>
          <w:color w:val="auto"/>
        </w:rPr>
        <w:t xml:space="preserve"> </w:t>
      </w:r>
      <w:r w:rsidR="008B3D9F" w:rsidRPr="00DE12A3">
        <w:rPr>
          <w:rFonts w:cs="Times New Roman"/>
          <w:color w:val="auto"/>
        </w:rPr>
        <w:t>denklemdeki anlık motor torku üzerinde hiçbir ayar yapılmaz. Bu Tebliğin V</w:t>
      </w:r>
      <w:r w:rsidR="00EE5D5E" w:rsidRPr="00DE12A3">
        <w:rPr>
          <w:rFonts w:cs="Times New Roman"/>
          <w:color w:val="auto"/>
        </w:rPr>
        <w:t>I’nc</w:t>
      </w:r>
      <w:r w:rsidR="00825EFD" w:rsidRPr="00DE12A3">
        <w:rPr>
          <w:rFonts w:cs="Times New Roman"/>
          <w:color w:val="auto"/>
        </w:rPr>
        <w:t>ı</w:t>
      </w:r>
      <w:r w:rsidR="00EE5D5E" w:rsidRPr="00DE12A3">
        <w:rPr>
          <w:rFonts w:cs="Times New Roman"/>
          <w:color w:val="auto"/>
        </w:rPr>
        <w:t xml:space="preserve"> </w:t>
      </w:r>
      <w:r w:rsidR="00EC3EF0" w:rsidRPr="00DE12A3">
        <w:rPr>
          <w:rFonts w:cs="Times New Roman"/>
          <w:color w:val="auto"/>
        </w:rPr>
        <w:t>Ekinin</w:t>
      </w:r>
      <w:r w:rsidR="00EE5D5E" w:rsidRPr="00DE12A3">
        <w:rPr>
          <w:rFonts w:cs="Times New Roman"/>
          <w:color w:val="auto"/>
        </w:rPr>
        <w:t xml:space="preserve"> </w:t>
      </w:r>
      <w:r w:rsidR="008B3D9F" w:rsidRPr="00DE12A3">
        <w:rPr>
          <w:rFonts w:cs="Times New Roman"/>
          <w:color w:val="auto"/>
        </w:rPr>
        <w:t xml:space="preserve">6.3.2 veya 6.3.3 bentleri uyarınca, test için takılmış olması gereken yardımcı cihazların monte edilmemiş olması veya test için sökülmüş olması gereken yardımcı cihazların takılı olması durumunda, (7-126) </w:t>
      </w:r>
      <w:r w:rsidR="00962CA1" w:rsidRPr="00DE12A3">
        <w:rPr>
          <w:color w:val="auto"/>
        </w:rPr>
        <w:t>numaralı</w:t>
      </w:r>
      <w:r w:rsidR="00962CA1" w:rsidRPr="00DE12A3" w:rsidDel="00962CA1">
        <w:rPr>
          <w:rFonts w:cs="Times New Roman"/>
          <w:color w:val="auto"/>
        </w:rPr>
        <w:t xml:space="preserve"> </w:t>
      </w:r>
      <w:r w:rsidR="008B3D9F" w:rsidRPr="00DE12A3">
        <w:rPr>
          <w:rFonts w:cs="Times New Roman"/>
          <w:color w:val="auto"/>
        </w:rPr>
        <w:t xml:space="preserve">denklemde kullanılan Ti değeri, (7-127) </w:t>
      </w:r>
      <w:r w:rsidR="00962CA1" w:rsidRPr="00DE12A3">
        <w:rPr>
          <w:color w:val="auto"/>
        </w:rPr>
        <w:t>numaralı</w:t>
      </w:r>
      <w:r w:rsidR="00962CA1" w:rsidRPr="00DE12A3" w:rsidDel="00962CA1">
        <w:rPr>
          <w:rFonts w:cs="Times New Roman"/>
          <w:color w:val="auto"/>
        </w:rPr>
        <w:t xml:space="preserve"> </w:t>
      </w:r>
      <w:r w:rsidR="008B3D9F" w:rsidRPr="00DE12A3">
        <w:rPr>
          <w:rFonts w:cs="Times New Roman"/>
          <w:color w:val="auto"/>
        </w:rPr>
        <w:t xml:space="preserve"> denklem ile ayarlanmalıdır:</w:t>
      </w:r>
    </w:p>
    <w:p w14:paraId="0A8F5366" w14:textId="77777777" w:rsidR="008B3D9F" w:rsidRPr="00DE12A3" w:rsidRDefault="008B3D9F" w:rsidP="00C917D6">
      <w:pPr>
        <w:spacing w:before="120" w:after="120"/>
        <w:jc w:val="both"/>
        <w:rPr>
          <w:rFonts w:cs="Times New Roman"/>
          <w:color w:val="auto"/>
        </w:rPr>
      </w:pPr>
    </w:p>
    <w:tbl>
      <w:tblPr>
        <w:tblW w:w="0" w:type="auto"/>
        <w:tblInd w:w="2925" w:type="dxa"/>
        <w:tblLayout w:type="fixed"/>
        <w:tblLook w:val="0000" w:firstRow="0" w:lastRow="0" w:firstColumn="0" w:lastColumn="0" w:noHBand="0" w:noVBand="0"/>
      </w:tblPr>
      <w:tblGrid>
        <w:gridCol w:w="2405"/>
        <w:gridCol w:w="1031"/>
      </w:tblGrid>
      <w:tr w:rsidR="00DE12A3" w:rsidRPr="00DE12A3" w14:paraId="3F7854E2" w14:textId="77777777" w:rsidTr="008B3D9F">
        <w:tc>
          <w:tcPr>
            <w:tcW w:w="2405" w:type="dxa"/>
          </w:tcPr>
          <w:p w14:paraId="377F15AB" w14:textId="77777777" w:rsidR="009F4766" w:rsidRPr="00DE12A3" w:rsidRDefault="009F4766" w:rsidP="00C917D6">
            <w:pPr>
              <w:pStyle w:val="NormalLeft"/>
            </w:pPr>
            <w:r w:rsidRPr="00DE12A3">
              <w:rPr>
                <w:i/>
                <w:iCs/>
              </w:rPr>
              <w:t>T</w:t>
            </w:r>
            <w:r w:rsidRPr="00DE12A3">
              <w:rPr>
                <w:i/>
                <w:iCs/>
                <w:vertAlign w:val="subscript"/>
              </w:rPr>
              <w:t>i</w:t>
            </w:r>
            <w:r w:rsidRPr="00DE12A3">
              <w:t xml:space="preserve"> = </w:t>
            </w:r>
            <w:r w:rsidRPr="00DE12A3">
              <w:rPr>
                <w:i/>
                <w:iCs/>
              </w:rPr>
              <w:t>T</w:t>
            </w:r>
            <w:r w:rsidRPr="00DE12A3">
              <w:rPr>
                <w:i/>
                <w:iCs/>
                <w:vertAlign w:val="subscript"/>
              </w:rPr>
              <w:t>i</w:t>
            </w:r>
            <w:r w:rsidRPr="00DE12A3">
              <w:rPr>
                <w:vertAlign w:val="subscript"/>
              </w:rPr>
              <w:t>,meas</w:t>
            </w:r>
            <w:r w:rsidRPr="00DE12A3">
              <w:t xml:space="preserve"> + </w:t>
            </w:r>
            <w:r w:rsidRPr="00DE12A3">
              <w:rPr>
                <w:i/>
                <w:iCs/>
              </w:rPr>
              <w:t>T</w:t>
            </w:r>
            <w:r w:rsidRPr="00DE12A3">
              <w:rPr>
                <w:i/>
                <w:iCs/>
                <w:vertAlign w:val="subscript"/>
              </w:rPr>
              <w:t>i</w:t>
            </w:r>
            <w:r w:rsidRPr="00DE12A3">
              <w:rPr>
                <w:vertAlign w:val="subscript"/>
              </w:rPr>
              <w:t>,AUX</w:t>
            </w:r>
          </w:p>
        </w:tc>
        <w:tc>
          <w:tcPr>
            <w:tcW w:w="1031" w:type="dxa"/>
          </w:tcPr>
          <w:p w14:paraId="216F2201" w14:textId="77777777" w:rsidR="009F4766" w:rsidRPr="00DE12A3" w:rsidRDefault="009F4766" w:rsidP="00C917D6">
            <w:pPr>
              <w:pStyle w:val="NormalLeft"/>
            </w:pPr>
            <w:r w:rsidRPr="00DE12A3">
              <w:t>(7-127)</w:t>
            </w:r>
          </w:p>
        </w:tc>
      </w:tr>
    </w:tbl>
    <w:p w14:paraId="065D37C0" w14:textId="77777777" w:rsidR="009F4766" w:rsidRPr="00DE12A3" w:rsidRDefault="008B3D9F" w:rsidP="00C917D6">
      <w:pPr>
        <w:spacing w:before="120" w:after="120"/>
        <w:ind w:left="1134"/>
        <w:rPr>
          <w:rFonts w:cs="Times New Roman"/>
          <w:color w:val="auto"/>
        </w:rPr>
      </w:pPr>
      <w:r w:rsidRPr="00DE12A3">
        <w:rPr>
          <w:rFonts w:cs="Times New Roman"/>
          <w:color w:val="auto"/>
        </w:rPr>
        <w:t>Burada</w:t>
      </w:r>
      <w:r w:rsidR="009F4766" w:rsidRPr="00DE12A3">
        <w:rPr>
          <w:rFonts w:cs="Times New Roman"/>
          <w:color w:val="auto"/>
        </w:rPr>
        <w:t>:</w:t>
      </w:r>
    </w:p>
    <w:tbl>
      <w:tblPr>
        <w:tblW w:w="0" w:type="auto"/>
        <w:tblInd w:w="1242" w:type="dxa"/>
        <w:tblLayout w:type="fixed"/>
        <w:tblLook w:val="0000" w:firstRow="0" w:lastRow="0" w:firstColumn="0" w:lastColumn="0" w:noHBand="0" w:noVBand="0"/>
      </w:tblPr>
      <w:tblGrid>
        <w:gridCol w:w="2268"/>
        <w:gridCol w:w="284"/>
        <w:gridCol w:w="5492"/>
      </w:tblGrid>
      <w:tr w:rsidR="00DE12A3" w:rsidRPr="00DE12A3" w14:paraId="710118C9" w14:textId="77777777" w:rsidTr="009C444B">
        <w:tc>
          <w:tcPr>
            <w:tcW w:w="2268" w:type="dxa"/>
          </w:tcPr>
          <w:p w14:paraId="41306577" w14:textId="77777777" w:rsidR="008B3D9F" w:rsidRPr="00DE12A3" w:rsidRDefault="008B3D9F" w:rsidP="00C917D6">
            <w:pPr>
              <w:pStyle w:val="NormalLeft"/>
            </w:pPr>
            <w:r w:rsidRPr="00DE12A3">
              <w:rPr>
                <w:i/>
                <w:iCs/>
              </w:rPr>
              <w:t>T</w:t>
            </w:r>
            <w:r w:rsidRPr="00DE12A3">
              <w:rPr>
                <w:vertAlign w:val="subscript"/>
              </w:rPr>
              <w:t>i,meas</w:t>
            </w:r>
          </w:p>
        </w:tc>
        <w:tc>
          <w:tcPr>
            <w:tcW w:w="284" w:type="dxa"/>
          </w:tcPr>
          <w:p w14:paraId="78B16037" w14:textId="77777777" w:rsidR="008B3D9F" w:rsidRPr="00DE12A3" w:rsidRDefault="008B3D9F" w:rsidP="00C917D6">
            <w:pPr>
              <w:pStyle w:val="NormalLeft"/>
            </w:pPr>
          </w:p>
        </w:tc>
        <w:tc>
          <w:tcPr>
            <w:tcW w:w="5492" w:type="dxa"/>
          </w:tcPr>
          <w:p w14:paraId="47C523F4" w14:textId="77777777" w:rsidR="008B3D9F" w:rsidRPr="00DE12A3" w:rsidRDefault="009C444B" w:rsidP="00C917D6">
            <w:pPr>
              <w:spacing w:before="120" w:after="120"/>
              <w:rPr>
                <w:rFonts w:cs="Times New Roman"/>
                <w:color w:val="auto"/>
              </w:rPr>
            </w:pPr>
            <w:r w:rsidRPr="00DE12A3">
              <w:rPr>
                <w:rFonts w:cs="Times New Roman"/>
                <w:color w:val="auto"/>
              </w:rPr>
              <w:t>Öl</w:t>
            </w:r>
            <w:r w:rsidR="008B3D9F" w:rsidRPr="00DE12A3">
              <w:rPr>
                <w:rFonts w:cs="Times New Roman"/>
                <w:color w:val="auto"/>
              </w:rPr>
              <w:t>çülen anlık motor torku değeridir.</w:t>
            </w:r>
          </w:p>
        </w:tc>
      </w:tr>
      <w:tr w:rsidR="00DE12A3" w:rsidRPr="00DE12A3" w14:paraId="27445E18" w14:textId="77777777" w:rsidTr="009C444B">
        <w:tc>
          <w:tcPr>
            <w:tcW w:w="2268" w:type="dxa"/>
          </w:tcPr>
          <w:p w14:paraId="5220CC5B" w14:textId="77777777" w:rsidR="008B3D9F" w:rsidRPr="00DE12A3" w:rsidRDefault="008B3D9F" w:rsidP="00C917D6">
            <w:pPr>
              <w:pStyle w:val="NormalLeft"/>
            </w:pPr>
            <w:r w:rsidRPr="00DE12A3">
              <w:rPr>
                <w:i/>
                <w:iCs/>
              </w:rPr>
              <w:t>T</w:t>
            </w:r>
            <w:r w:rsidRPr="00DE12A3">
              <w:rPr>
                <w:vertAlign w:val="subscript"/>
              </w:rPr>
              <w:t>i,AUX</w:t>
            </w:r>
          </w:p>
        </w:tc>
        <w:tc>
          <w:tcPr>
            <w:tcW w:w="284" w:type="dxa"/>
          </w:tcPr>
          <w:p w14:paraId="4F4CAA48" w14:textId="77777777" w:rsidR="008B3D9F" w:rsidRPr="00DE12A3" w:rsidRDefault="008B3D9F" w:rsidP="00C917D6">
            <w:pPr>
              <w:pStyle w:val="NormalLeft"/>
            </w:pPr>
          </w:p>
        </w:tc>
        <w:tc>
          <w:tcPr>
            <w:tcW w:w="5492" w:type="dxa"/>
          </w:tcPr>
          <w:p w14:paraId="4B2D6339" w14:textId="5B1F6ABC" w:rsidR="008B3D9F" w:rsidRPr="00DE12A3" w:rsidRDefault="00FA0678" w:rsidP="003D2907">
            <w:pPr>
              <w:spacing w:before="120" w:after="120"/>
              <w:jc w:val="both"/>
              <w:rPr>
                <w:rFonts w:cs="Times New Roman"/>
                <w:color w:val="auto"/>
              </w:rPr>
            </w:pPr>
            <w:r w:rsidRPr="00DE12A3">
              <w:rPr>
                <w:rFonts w:cs="Times New Roman"/>
                <w:color w:val="auto"/>
              </w:rPr>
              <w:t xml:space="preserve">VI’ncı </w:t>
            </w:r>
            <w:r w:rsidR="00825EFD" w:rsidRPr="00DE12A3">
              <w:rPr>
                <w:rFonts w:cs="Times New Roman"/>
                <w:color w:val="auto"/>
              </w:rPr>
              <w:t>E</w:t>
            </w:r>
            <w:r w:rsidRPr="00DE12A3">
              <w:rPr>
                <w:rFonts w:cs="Times New Roman"/>
                <w:color w:val="auto"/>
              </w:rPr>
              <w:t>k</w:t>
            </w:r>
            <w:r w:rsidR="008B3D9F" w:rsidRPr="00DE12A3">
              <w:rPr>
                <w:rFonts w:cs="Times New Roman"/>
                <w:color w:val="auto"/>
              </w:rPr>
              <w:t>in 7.7.2.3</w:t>
            </w:r>
            <w:r w:rsidR="00825EFD" w:rsidRPr="00DE12A3">
              <w:rPr>
                <w:rFonts w:cs="Times New Roman"/>
                <w:color w:val="auto"/>
              </w:rPr>
              <w:t xml:space="preserve"> bendinin </w:t>
            </w:r>
            <w:r w:rsidR="008B3D9F" w:rsidRPr="00DE12A3">
              <w:rPr>
                <w:rFonts w:cs="Times New Roman"/>
                <w:color w:val="auto"/>
              </w:rPr>
              <w:t xml:space="preserve">(b) </w:t>
            </w:r>
            <w:r w:rsidR="00825EFD" w:rsidRPr="00DE12A3">
              <w:rPr>
                <w:rFonts w:cs="Times New Roman"/>
                <w:color w:val="auto"/>
              </w:rPr>
              <w:t xml:space="preserve">numaralı alt bendi </w:t>
            </w:r>
            <w:r w:rsidR="008B3D9F" w:rsidRPr="00DE12A3">
              <w:rPr>
                <w:rFonts w:cs="Times New Roman"/>
                <w:color w:val="auto"/>
              </w:rPr>
              <w:t>uyarınca belirlenen yardımcı cihazların tahrik edilmesi için gereken ilgili tork değeridir.</w:t>
            </w:r>
          </w:p>
        </w:tc>
      </w:tr>
    </w:tbl>
    <w:p w14:paraId="04DA9723" w14:textId="5F4EA655" w:rsidR="009F4766" w:rsidRPr="00DE12A3" w:rsidRDefault="008B3D9F" w:rsidP="00C917D6">
      <w:pPr>
        <w:spacing w:before="120" w:after="120"/>
        <w:ind w:left="1134"/>
        <w:rPr>
          <w:rFonts w:cs="Times New Roman"/>
          <w:color w:val="auto"/>
        </w:rPr>
      </w:pPr>
      <w:r w:rsidRPr="00DE12A3">
        <w:rPr>
          <w:rFonts w:cs="Times New Roman"/>
          <w:color w:val="auto"/>
        </w:rPr>
        <w:t>Spesifik emisyonlar e</w:t>
      </w:r>
      <w:r w:rsidRPr="00DE12A3">
        <w:rPr>
          <w:rFonts w:cs="Times New Roman"/>
          <w:color w:val="auto"/>
          <w:vertAlign w:val="subscript"/>
        </w:rPr>
        <w:t>gas</w:t>
      </w:r>
      <w:r w:rsidRPr="00DE12A3">
        <w:rPr>
          <w:rFonts w:cs="Times New Roman"/>
          <w:color w:val="auto"/>
        </w:rPr>
        <w:t xml:space="preserve"> [g/kWh], test </w:t>
      </w:r>
      <w:r w:rsidR="007E2039" w:rsidRPr="00DE12A3">
        <w:rPr>
          <w:rFonts w:cs="Times New Roman"/>
          <w:color w:val="auto"/>
        </w:rPr>
        <w:t>çevrimini</w:t>
      </w:r>
      <w:r w:rsidRPr="00DE12A3">
        <w:rPr>
          <w:rFonts w:cs="Times New Roman"/>
          <w:color w:val="auto"/>
        </w:rPr>
        <w:t xml:space="preserve">n tipine bağlı olarak aşağıdaki </w:t>
      </w:r>
      <w:r w:rsidRPr="00DE12A3">
        <w:rPr>
          <w:rFonts w:cs="Times New Roman"/>
          <w:color w:val="auto"/>
        </w:rPr>
        <w:lastRenderedPageBreak/>
        <w:t>yollarla hesaplanmalıdır</w:t>
      </w:r>
      <w:r w:rsidR="00825EFD" w:rsidRPr="00DE12A3">
        <w:rPr>
          <w:rFonts w:cs="Times New Roman"/>
          <w:color w:val="auto"/>
        </w:rPr>
        <w:t>;</w:t>
      </w:r>
    </w:p>
    <w:tbl>
      <w:tblPr>
        <w:tblW w:w="0" w:type="auto"/>
        <w:tblInd w:w="3250" w:type="dxa"/>
        <w:tblLayout w:type="fixed"/>
        <w:tblLook w:val="0000" w:firstRow="0" w:lastRow="0" w:firstColumn="0" w:lastColumn="0" w:noHBand="0" w:noVBand="0"/>
      </w:tblPr>
      <w:tblGrid>
        <w:gridCol w:w="1783"/>
        <w:gridCol w:w="1003"/>
      </w:tblGrid>
      <w:tr w:rsidR="00DE12A3" w:rsidRPr="00DE12A3" w14:paraId="68D4FA8A" w14:textId="77777777" w:rsidTr="008B3D9F">
        <w:tc>
          <w:tcPr>
            <w:tcW w:w="1783" w:type="dxa"/>
          </w:tcPr>
          <w:p w14:paraId="50E4DA14" w14:textId="6AA5055B" w:rsidR="009F4766" w:rsidRPr="00DE12A3" w:rsidRDefault="009F4766" w:rsidP="00C917D6">
            <w:pPr>
              <w:pStyle w:val="NormalLeft"/>
            </w:pPr>
            <w:r w:rsidRPr="00DE12A3">
              <w:rPr>
                <w:noProof/>
                <w:lang w:val="tr-TR"/>
              </w:rPr>
              <w:drawing>
                <wp:inline distT="0" distB="0" distL="0" distR="0" wp14:anchorId="65E5478E" wp14:editId="27F702C1">
                  <wp:extent cx="908539" cy="580390"/>
                  <wp:effectExtent l="0" t="0" r="6350" b="0"/>
                  <wp:docPr id="2478" name="Resim 24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93">
                            <a:extLst>
                              <a:ext uri="{28A0092B-C50C-407E-A947-70E740481C1C}">
                                <a14:useLocalDpi xmlns:a14="http://schemas.microsoft.com/office/drawing/2010/main" val="0"/>
                              </a:ext>
                            </a:extLst>
                          </a:blip>
                          <a:srcRect/>
                          <a:stretch>
                            <a:fillRect/>
                          </a:stretch>
                        </pic:blipFill>
                        <pic:spPr bwMode="auto">
                          <a:xfrm>
                            <a:off x="0" y="0"/>
                            <a:ext cx="911079" cy="582013"/>
                          </a:xfrm>
                          <a:prstGeom prst="rect">
                            <a:avLst/>
                          </a:prstGeom>
                          <a:noFill/>
                          <a:ln>
                            <a:noFill/>
                          </a:ln>
                        </pic:spPr>
                      </pic:pic>
                    </a:graphicData>
                  </a:graphic>
                </wp:inline>
              </w:drawing>
            </w:r>
          </w:p>
        </w:tc>
        <w:tc>
          <w:tcPr>
            <w:tcW w:w="1003" w:type="dxa"/>
          </w:tcPr>
          <w:p w14:paraId="768F0C3A" w14:textId="77777777" w:rsidR="009F4766" w:rsidRPr="00DE12A3" w:rsidRDefault="009F4766" w:rsidP="00C917D6">
            <w:pPr>
              <w:pStyle w:val="NormalLeft"/>
            </w:pPr>
            <w:r w:rsidRPr="00DE12A3">
              <w:t>(7-128)</w:t>
            </w:r>
          </w:p>
        </w:tc>
      </w:tr>
    </w:tbl>
    <w:p w14:paraId="4D9C6882" w14:textId="77777777" w:rsidR="009F4766" w:rsidRPr="00DE12A3" w:rsidRDefault="008B3D9F" w:rsidP="00C917D6">
      <w:pPr>
        <w:spacing w:before="120" w:after="120"/>
        <w:ind w:left="1134"/>
        <w:rPr>
          <w:rFonts w:cs="Times New Roman"/>
          <w:color w:val="auto"/>
        </w:rPr>
      </w:pPr>
      <w:r w:rsidRPr="00DE12A3">
        <w:rPr>
          <w:rFonts w:cs="Times New Roman"/>
          <w:color w:val="auto"/>
        </w:rPr>
        <w:t>Burada</w:t>
      </w:r>
      <w:r w:rsidR="009F4766" w:rsidRPr="00DE12A3">
        <w:rPr>
          <w:rFonts w:cs="Times New Roman"/>
          <w:color w:val="auto"/>
        </w:rPr>
        <w:t>:</w:t>
      </w:r>
    </w:p>
    <w:tbl>
      <w:tblPr>
        <w:tblW w:w="0" w:type="auto"/>
        <w:tblInd w:w="2322" w:type="dxa"/>
        <w:tblLayout w:type="fixed"/>
        <w:tblLook w:val="0000" w:firstRow="0" w:lastRow="0" w:firstColumn="0" w:lastColumn="0" w:noHBand="0" w:noVBand="0"/>
      </w:tblPr>
      <w:tblGrid>
        <w:gridCol w:w="941"/>
        <w:gridCol w:w="564"/>
        <w:gridCol w:w="3200"/>
      </w:tblGrid>
      <w:tr w:rsidR="00DE12A3" w:rsidRPr="00DE12A3" w14:paraId="7EB02791" w14:textId="77777777" w:rsidTr="005B5FC2">
        <w:trPr>
          <w:trHeight w:val="539"/>
        </w:trPr>
        <w:tc>
          <w:tcPr>
            <w:tcW w:w="941" w:type="dxa"/>
          </w:tcPr>
          <w:p w14:paraId="04621E0B" w14:textId="77777777" w:rsidR="008B3D9F" w:rsidRPr="00DE12A3" w:rsidRDefault="008B3D9F" w:rsidP="00C917D6">
            <w:pPr>
              <w:pStyle w:val="NormalLeft"/>
            </w:pPr>
            <w:r w:rsidRPr="00DE12A3">
              <w:rPr>
                <w:i/>
                <w:iCs/>
              </w:rPr>
              <w:t>m</w:t>
            </w:r>
            <w:r w:rsidRPr="00DE12A3">
              <w:rPr>
                <w:vertAlign w:val="subscript"/>
              </w:rPr>
              <w:t>gas</w:t>
            </w:r>
          </w:p>
        </w:tc>
        <w:tc>
          <w:tcPr>
            <w:tcW w:w="564" w:type="dxa"/>
          </w:tcPr>
          <w:p w14:paraId="4327452B" w14:textId="77777777" w:rsidR="008B3D9F" w:rsidRPr="00DE12A3" w:rsidRDefault="008B3D9F" w:rsidP="00C917D6">
            <w:pPr>
              <w:pStyle w:val="NormalLeft"/>
            </w:pPr>
            <w:r w:rsidRPr="00DE12A3">
              <w:t>=</w:t>
            </w:r>
          </w:p>
        </w:tc>
        <w:tc>
          <w:tcPr>
            <w:tcW w:w="3200" w:type="dxa"/>
          </w:tcPr>
          <w:p w14:paraId="54954CCD" w14:textId="77777777" w:rsidR="008B3D9F" w:rsidRPr="00DE12A3" w:rsidRDefault="005B5FC2" w:rsidP="00C917D6">
            <w:pPr>
              <w:spacing w:before="120" w:after="120"/>
              <w:rPr>
                <w:rFonts w:cs="Times New Roman"/>
                <w:color w:val="auto"/>
              </w:rPr>
            </w:pPr>
            <w:r w:rsidRPr="00DE12A3">
              <w:rPr>
                <w:rFonts w:cs="Times New Roman"/>
                <w:color w:val="auto"/>
              </w:rPr>
              <w:t xml:space="preserve">Toplam </w:t>
            </w:r>
            <w:r w:rsidR="008B3D9F" w:rsidRPr="00DE12A3">
              <w:rPr>
                <w:rFonts w:cs="Times New Roman"/>
                <w:color w:val="auto"/>
              </w:rPr>
              <w:t>emisyon kütlesi [g/test]</w:t>
            </w:r>
          </w:p>
        </w:tc>
      </w:tr>
      <w:tr w:rsidR="008B3D9F" w:rsidRPr="00DE12A3" w14:paraId="0E4096CE" w14:textId="77777777" w:rsidTr="005B5FC2">
        <w:trPr>
          <w:trHeight w:val="512"/>
        </w:trPr>
        <w:tc>
          <w:tcPr>
            <w:tcW w:w="941" w:type="dxa"/>
          </w:tcPr>
          <w:p w14:paraId="46EAD060" w14:textId="77777777" w:rsidR="008B3D9F" w:rsidRPr="00DE12A3" w:rsidRDefault="008B3D9F" w:rsidP="00C917D6">
            <w:pPr>
              <w:pStyle w:val="NormalLeft"/>
            </w:pPr>
            <w:r w:rsidRPr="00DE12A3">
              <w:rPr>
                <w:i/>
                <w:iCs/>
              </w:rPr>
              <w:t>W</w:t>
            </w:r>
            <w:r w:rsidRPr="00DE12A3">
              <w:rPr>
                <w:vertAlign w:val="subscript"/>
              </w:rPr>
              <w:t>act</w:t>
            </w:r>
          </w:p>
        </w:tc>
        <w:tc>
          <w:tcPr>
            <w:tcW w:w="564" w:type="dxa"/>
          </w:tcPr>
          <w:p w14:paraId="3948BF87" w14:textId="77777777" w:rsidR="008B3D9F" w:rsidRPr="00DE12A3" w:rsidRDefault="008B3D9F" w:rsidP="00C917D6">
            <w:pPr>
              <w:pStyle w:val="NormalLeft"/>
            </w:pPr>
            <w:r w:rsidRPr="00DE12A3">
              <w:t>=</w:t>
            </w:r>
          </w:p>
        </w:tc>
        <w:tc>
          <w:tcPr>
            <w:tcW w:w="3200" w:type="dxa"/>
          </w:tcPr>
          <w:p w14:paraId="36E870EA" w14:textId="77777777" w:rsidR="008B3D9F" w:rsidRPr="00DE12A3" w:rsidRDefault="00F310B5" w:rsidP="00C917D6">
            <w:pPr>
              <w:spacing w:before="120" w:after="120"/>
              <w:rPr>
                <w:rFonts w:cs="Times New Roman"/>
                <w:color w:val="auto"/>
              </w:rPr>
            </w:pPr>
            <w:r w:rsidRPr="00DE12A3">
              <w:rPr>
                <w:rFonts w:cs="Times New Roman"/>
                <w:color w:val="auto"/>
              </w:rPr>
              <w:t>Çevrim</w:t>
            </w:r>
            <w:r w:rsidR="008B3D9F" w:rsidRPr="00DE12A3">
              <w:rPr>
                <w:rFonts w:cs="Times New Roman"/>
                <w:color w:val="auto"/>
              </w:rPr>
              <w:t xml:space="preserve"> çalışması [kWh]</w:t>
            </w:r>
          </w:p>
        </w:tc>
      </w:tr>
    </w:tbl>
    <w:p w14:paraId="5EE60F7C" w14:textId="77777777" w:rsidR="009F4766" w:rsidRPr="00DE12A3" w:rsidRDefault="009F4766" w:rsidP="00C917D6">
      <w:pPr>
        <w:spacing w:before="120" w:after="120"/>
        <w:rPr>
          <w:rFonts w:cs="Times New Roman"/>
          <w:color w:val="auto"/>
        </w:rPr>
      </w:pPr>
    </w:p>
    <w:p w14:paraId="3AED0028" w14:textId="7EF4F94A" w:rsidR="009F4766" w:rsidRPr="00DE12A3" w:rsidRDefault="008B3D9F" w:rsidP="00C917D6">
      <w:pPr>
        <w:spacing w:before="120" w:after="120"/>
        <w:ind w:left="1134"/>
        <w:jc w:val="both"/>
        <w:rPr>
          <w:rFonts w:cs="Times New Roman"/>
          <w:color w:val="auto"/>
        </w:rPr>
      </w:pPr>
      <w:r w:rsidRPr="00DE12A3">
        <w:rPr>
          <w:rFonts w:cs="Times New Roman"/>
          <w:color w:val="auto"/>
        </w:rPr>
        <w:t>NRTC durumunda, CO</w:t>
      </w:r>
      <w:r w:rsidRPr="00DE12A3">
        <w:rPr>
          <w:rFonts w:cs="Times New Roman"/>
          <w:color w:val="auto"/>
          <w:vertAlign w:val="subscript"/>
        </w:rPr>
        <w:t>2</w:t>
      </w:r>
      <w:r w:rsidRPr="00DE12A3">
        <w:rPr>
          <w:rFonts w:cs="Times New Roman"/>
          <w:color w:val="auto"/>
        </w:rPr>
        <w:t xml:space="preserve"> dışındaki gaz emisyonları için, son test sonucu e</w:t>
      </w:r>
      <w:r w:rsidRPr="00DE12A3">
        <w:rPr>
          <w:rFonts w:cs="Times New Roman"/>
          <w:color w:val="auto"/>
          <w:vertAlign w:val="subscript"/>
        </w:rPr>
        <w:t xml:space="preserve">gas </w:t>
      </w:r>
      <w:r w:rsidRPr="00DE12A3">
        <w:rPr>
          <w:rFonts w:cs="Times New Roman"/>
          <w:color w:val="auto"/>
        </w:rPr>
        <w:t xml:space="preserve">[g/kWh], soğuk çalıştırmalı uygulamanın ve ön ısıtmalı uygulamanın (7-129) </w:t>
      </w:r>
      <w:r w:rsidR="00962CA1" w:rsidRPr="00DE12A3">
        <w:rPr>
          <w:color w:val="auto"/>
        </w:rPr>
        <w:t>numaralı</w:t>
      </w:r>
      <w:r w:rsidR="00962CA1" w:rsidRPr="00DE12A3" w:rsidDel="00962CA1">
        <w:rPr>
          <w:rFonts w:cs="Times New Roman"/>
          <w:color w:val="auto"/>
        </w:rPr>
        <w:t xml:space="preserve"> </w:t>
      </w:r>
      <w:r w:rsidRPr="00DE12A3">
        <w:rPr>
          <w:rFonts w:cs="Times New Roman"/>
          <w:color w:val="auto"/>
        </w:rPr>
        <w:t>denklemle hesaplanan ağırlıklı ortalamasıdır</w:t>
      </w:r>
      <w:r w:rsidR="00825EFD" w:rsidRPr="00DE12A3">
        <w:rPr>
          <w:rFonts w:cs="Times New Roman"/>
          <w:color w:val="auto"/>
        </w:rPr>
        <w:t>.</w:t>
      </w:r>
    </w:p>
    <w:p w14:paraId="312BDEE4" w14:textId="77777777" w:rsidR="008B3D9F" w:rsidRPr="00DE12A3" w:rsidRDefault="008B3D9F" w:rsidP="00C917D6">
      <w:pPr>
        <w:spacing w:before="120" w:after="120"/>
        <w:ind w:left="1134"/>
        <w:jc w:val="both"/>
        <w:rPr>
          <w:rFonts w:cs="Times New Roman"/>
          <w:color w:val="auto"/>
        </w:rPr>
      </w:pPr>
    </w:p>
    <w:p w14:paraId="7B129AEE" w14:textId="77777777" w:rsidR="008B3D9F" w:rsidRPr="00DE12A3" w:rsidRDefault="008B3D9F" w:rsidP="00C917D6">
      <w:pPr>
        <w:spacing w:before="120" w:after="120"/>
        <w:rPr>
          <w:rFonts w:cs="Times New Roman"/>
          <w:color w:val="auto"/>
        </w:rPr>
      </w:pPr>
    </w:p>
    <w:tbl>
      <w:tblPr>
        <w:tblW w:w="0" w:type="auto"/>
        <w:tblInd w:w="1904" w:type="dxa"/>
        <w:tblLayout w:type="fixed"/>
        <w:tblLook w:val="0000" w:firstRow="0" w:lastRow="0" w:firstColumn="0" w:lastColumn="0" w:noHBand="0" w:noVBand="0"/>
      </w:tblPr>
      <w:tblGrid>
        <w:gridCol w:w="4438"/>
        <w:gridCol w:w="1041"/>
      </w:tblGrid>
      <w:tr w:rsidR="009F4766" w:rsidRPr="00DE12A3" w14:paraId="4D375E5C" w14:textId="77777777" w:rsidTr="005B5FC2">
        <w:tc>
          <w:tcPr>
            <w:tcW w:w="4438" w:type="dxa"/>
          </w:tcPr>
          <w:p w14:paraId="13CE8EF4" w14:textId="1B821B63" w:rsidR="009F4766" w:rsidRPr="00DE12A3" w:rsidRDefault="009F4766" w:rsidP="00C917D6">
            <w:pPr>
              <w:pStyle w:val="NormalLeft"/>
            </w:pPr>
            <w:r w:rsidRPr="00DE12A3">
              <w:rPr>
                <w:noProof/>
                <w:lang w:val="tr-TR"/>
              </w:rPr>
              <w:drawing>
                <wp:inline distT="0" distB="0" distL="0" distR="0" wp14:anchorId="4A317CBB" wp14:editId="678AEADF">
                  <wp:extent cx="2573215" cy="668020"/>
                  <wp:effectExtent l="0" t="0" r="0" b="0"/>
                  <wp:docPr id="2477" name="Resim 24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94">
                            <a:extLst>
                              <a:ext uri="{28A0092B-C50C-407E-A947-70E740481C1C}">
                                <a14:useLocalDpi xmlns:a14="http://schemas.microsoft.com/office/drawing/2010/main" val="0"/>
                              </a:ext>
                            </a:extLst>
                          </a:blip>
                          <a:srcRect/>
                          <a:stretch>
                            <a:fillRect/>
                          </a:stretch>
                        </pic:blipFill>
                        <pic:spPr bwMode="auto">
                          <a:xfrm>
                            <a:off x="0" y="0"/>
                            <a:ext cx="2582217" cy="670357"/>
                          </a:xfrm>
                          <a:prstGeom prst="rect">
                            <a:avLst/>
                          </a:prstGeom>
                          <a:noFill/>
                          <a:ln>
                            <a:noFill/>
                          </a:ln>
                        </pic:spPr>
                      </pic:pic>
                    </a:graphicData>
                  </a:graphic>
                </wp:inline>
              </w:drawing>
            </w:r>
          </w:p>
        </w:tc>
        <w:tc>
          <w:tcPr>
            <w:tcW w:w="1041" w:type="dxa"/>
          </w:tcPr>
          <w:p w14:paraId="764EEF18" w14:textId="77777777" w:rsidR="009F4766" w:rsidRPr="00DE12A3" w:rsidRDefault="009F4766" w:rsidP="00C917D6">
            <w:pPr>
              <w:pStyle w:val="NormalLeft"/>
            </w:pPr>
            <w:r w:rsidRPr="00DE12A3">
              <w:t>(7-129)</w:t>
            </w:r>
          </w:p>
        </w:tc>
      </w:tr>
    </w:tbl>
    <w:p w14:paraId="602BC5F6" w14:textId="77777777" w:rsidR="009F4766" w:rsidRPr="00DE12A3" w:rsidRDefault="009F4766" w:rsidP="00C917D6">
      <w:pPr>
        <w:spacing w:before="120" w:after="120"/>
        <w:rPr>
          <w:rFonts w:cs="Times New Roman"/>
          <w:color w:val="auto"/>
        </w:rPr>
      </w:pPr>
    </w:p>
    <w:p w14:paraId="0A5666B5" w14:textId="77777777" w:rsidR="009F4766" w:rsidRPr="00DE12A3" w:rsidRDefault="008B3D9F" w:rsidP="00C917D6">
      <w:pPr>
        <w:spacing w:before="120" w:after="120"/>
        <w:ind w:left="1134"/>
        <w:rPr>
          <w:rFonts w:cs="Times New Roman"/>
          <w:color w:val="auto"/>
        </w:rPr>
      </w:pPr>
      <w:r w:rsidRPr="00DE12A3">
        <w:rPr>
          <w:rFonts w:cs="Times New Roman"/>
          <w:color w:val="auto"/>
        </w:rPr>
        <w:t>Burada</w:t>
      </w:r>
      <w:r w:rsidR="009F4766" w:rsidRPr="00DE12A3">
        <w:rPr>
          <w:rFonts w:cs="Times New Roman"/>
          <w:color w:val="auto"/>
        </w:rPr>
        <w:t>:</w:t>
      </w:r>
    </w:p>
    <w:p w14:paraId="2FAED64B" w14:textId="77777777" w:rsidR="00190507" w:rsidRPr="00DE12A3" w:rsidRDefault="00190507" w:rsidP="00C917D6">
      <w:pPr>
        <w:spacing w:before="120" w:after="120"/>
        <w:ind w:left="1134"/>
        <w:rPr>
          <w:rFonts w:cs="Times New Roman"/>
          <w:color w:val="auto"/>
        </w:rPr>
      </w:pPr>
    </w:p>
    <w:p w14:paraId="615FB8FC" w14:textId="70BE82CB" w:rsidR="00190507" w:rsidRPr="00DE12A3" w:rsidRDefault="00190507" w:rsidP="00C917D6">
      <w:pPr>
        <w:spacing w:before="120" w:after="120"/>
        <w:ind w:left="1134"/>
        <w:rPr>
          <w:rFonts w:cs="Times New Roman"/>
          <w:iCs/>
          <w:color w:val="auto"/>
        </w:rPr>
      </w:pPr>
      <w:r w:rsidRPr="00DE12A3">
        <w:rPr>
          <w:rFonts w:cs="Times New Roman"/>
          <w:iCs/>
          <w:color w:val="auto"/>
        </w:rPr>
        <w:t>m</w:t>
      </w:r>
      <w:r w:rsidRPr="00DE12A3">
        <w:rPr>
          <w:rFonts w:cs="Times New Roman"/>
          <w:iCs/>
          <w:color w:val="auto"/>
          <w:vertAlign w:val="subscript"/>
        </w:rPr>
        <w:t>cold</w:t>
      </w:r>
      <w:r w:rsidRPr="00DE12A3">
        <w:rPr>
          <w:rFonts w:cs="Times New Roman"/>
          <w:iCs/>
          <w:color w:val="auto"/>
        </w:rPr>
        <w:t xml:space="preserve"> </w:t>
      </w:r>
      <w:r w:rsidR="00825EFD" w:rsidRPr="00DE12A3">
        <w:rPr>
          <w:rFonts w:cs="Times New Roman"/>
          <w:iCs/>
          <w:color w:val="auto"/>
        </w:rPr>
        <w:t xml:space="preserve">= </w:t>
      </w:r>
      <w:r w:rsidRPr="00DE12A3">
        <w:rPr>
          <w:rFonts w:cs="Times New Roman"/>
          <w:iCs/>
          <w:color w:val="auto"/>
        </w:rPr>
        <w:t>soğuk çalıştırmalı NRTC'nin gaz kütle emisyonları [g]</w:t>
      </w:r>
    </w:p>
    <w:p w14:paraId="30488F2A" w14:textId="77777777" w:rsidR="00190507" w:rsidRPr="00DE12A3" w:rsidRDefault="00190507" w:rsidP="00C917D6">
      <w:pPr>
        <w:spacing w:before="120" w:after="120"/>
        <w:ind w:left="1134"/>
        <w:rPr>
          <w:rFonts w:cs="Times New Roman"/>
          <w:iCs/>
          <w:color w:val="auto"/>
        </w:rPr>
      </w:pPr>
    </w:p>
    <w:p w14:paraId="6AA8FC25" w14:textId="170C7E00" w:rsidR="00190507" w:rsidRPr="00DE12A3" w:rsidRDefault="00190507" w:rsidP="00C917D6">
      <w:pPr>
        <w:spacing w:before="120" w:after="120"/>
        <w:ind w:left="1134"/>
        <w:rPr>
          <w:rFonts w:cs="Times New Roman"/>
          <w:iCs/>
          <w:color w:val="auto"/>
        </w:rPr>
      </w:pPr>
      <w:r w:rsidRPr="00DE12A3">
        <w:rPr>
          <w:rFonts w:cs="Times New Roman"/>
          <w:iCs/>
          <w:color w:val="auto"/>
        </w:rPr>
        <w:t>Wact</w:t>
      </w:r>
      <w:r w:rsidR="00825EFD" w:rsidRPr="00DE12A3">
        <w:rPr>
          <w:rFonts w:cs="Times New Roman"/>
          <w:iCs/>
          <w:color w:val="auto"/>
        </w:rPr>
        <w:t xml:space="preserve"> = </w:t>
      </w:r>
      <w:r w:rsidRPr="00DE12A3">
        <w:rPr>
          <w:rFonts w:cs="Times New Roman"/>
          <w:iCs/>
          <w:color w:val="auto"/>
        </w:rPr>
        <w:t xml:space="preserve">cold soğuk çalıştırmalı NRTC'nin gerçek </w:t>
      </w:r>
      <w:r w:rsidR="00F310B5" w:rsidRPr="00DE12A3">
        <w:rPr>
          <w:rFonts w:cs="Times New Roman"/>
          <w:iCs/>
          <w:color w:val="auto"/>
        </w:rPr>
        <w:t>çevrim</w:t>
      </w:r>
      <w:r w:rsidRPr="00DE12A3">
        <w:rPr>
          <w:rFonts w:cs="Times New Roman"/>
          <w:iCs/>
          <w:color w:val="auto"/>
        </w:rPr>
        <w:t xml:space="preserve"> çalışması [kWh]</w:t>
      </w:r>
    </w:p>
    <w:p w14:paraId="6FDE18FD" w14:textId="77777777" w:rsidR="00190507" w:rsidRPr="00DE12A3" w:rsidRDefault="00190507" w:rsidP="00C917D6">
      <w:pPr>
        <w:spacing w:before="120" w:after="120"/>
        <w:ind w:left="1134"/>
        <w:rPr>
          <w:rFonts w:cs="Times New Roman"/>
          <w:iCs/>
          <w:color w:val="auto"/>
        </w:rPr>
      </w:pPr>
    </w:p>
    <w:p w14:paraId="3671A449" w14:textId="15392F19" w:rsidR="00190507" w:rsidRPr="00DE12A3" w:rsidRDefault="00190507" w:rsidP="00C917D6">
      <w:pPr>
        <w:spacing w:before="120" w:after="120"/>
        <w:ind w:left="1134"/>
        <w:rPr>
          <w:rFonts w:cs="Times New Roman"/>
          <w:iCs/>
          <w:color w:val="auto"/>
        </w:rPr>
      </w:pPr>
      <w:r w:rsidRPr="00DE12A3">
        <w:rPr>
          <w:rFonts w:cs="Times New Roman"/>
          <w:iCs/>
          <w:color w:val="auto"/>
        </w:rPr>
        <w:t>m</w:t>
      </w:r>
      <w:r w:rsidRPr="00DE12A3">
        <w:rPr>
          <w:rFonts w:cs="Times New Roman"/>
          <w:iCs/>
          <w:color w:val="auto"/>
          <w:vertAlign w:val="subscript"/>
        </w:rPr>
        <w:t>hot</w:t>
      </w:r>
      <w:r w:rsidRPr="00DE12A3">
        <w:rPr>
          <w:rFonts w:cs="Times New Roman"/>
          <w:iCs/>
          <w:color w:val="auto"/>
        </w:rPr>
        <w:t xml:space="preserve"> </w:t>
      </w:r>
      <w:r w:rsidR="00825EFD" w:rsidRPr="00DE12A3">
        <w:rPr>
          <w:rFonts w:cs="Times New Roman"/>
          <w:iCs/>
          <w:color w:val="auto"/>
        </w:rPr>
        <w:t xml:space="preserve">= </w:t>
      </w:r>
      <w:r w:rsidRPr="00DE12A3">
        <w:rPr>
          <w:rFonts w:cs="Times New Roman"/>
          <w:iCs/>
          <w:color w:val="auto"/>
        </w:rPr>
        <w:t>ön ısıtmalı NRTC'nin gaz kütle emisyonları [g]</w:t>
      </w:r>
    </w:p>
    <w:p w14:paraId="40B86075" w14:textId="77777777" w:rsidR="00190507" w:rsidRPr="00DE12A3" w:rsidRDefault="00190507" w:rsidP="00C917D6">
      <w:pPr>
        <w:spacing w:before="120" w:after="120"/>
        <w:ind w:left="1134"/>
        <w:rPr>
          <w:rFonts w:cs="Times New Roman"/>
          <w:iCs/>
          <w:color w:val="auto"/>
        </w:rPr>
      </w:pPr>
    </w:p>
    <w:p w14:paraId="7C593D78" w14:textId="554A920D" w:rsidR="00190507" w:rsidRPr="00DE12A3" w:rsidRDefault="00190507" w:rsidP="00C917D6">
      <w:pPr>
        <w:spacing w:before="120" w:after="120"/>
        <w:ind w:left="1134"/>
        <w:rPr>
          <w:rFonts w:cs="Times New Roman"/>
          <w:iCs/>
          <w:color w:val="auto"/>
        </w:rPr>
      </w:pPr>
      <w:r w:rsidRPr="00DE12A3">
        <w:rPr>
          <w:rFonts w:cs="Times New Roman"/>
          <w:iCs/>
          <w:color w:val="auto"/>
        </w:rPr>
        <w:t>Wact</w:t>
      </w:r>
      <w:r w:rsidR="00825EFD" w:rsidRPr="00DE12A3">
        <w:rPr>
          <w:rFonts w:cs="Times New Roman"/>
          <w:iCs/>
          <w:color w:val="auto"/>
        </w:rPr>
        <w:t xml:space="preserve"> =</w:t>
      </w:r>
      <w:r w:rsidRPr="00DE12A3">
        <w:rPr>
          <w:rFonts w:cs="Times New Roman"/>
          <w:iCs/>
          <w:color w:val="auto"/>
        </w:rPr>
        <w:t xml:space="preserve"> hot ön ısıtmalı NRTC'nin gerçek </w:t>
      </w:r>
      <w:r w:rsidR="00F310B5" w:rsidRPr="00DE12A3">
        <w:rPr>
          <w:rFonts w:cs="Times New Roman"/>
          <w:iCs/>
          <w:color w:val="auto"/>
        </w:rPr>
        <w:t>çevrim</w:t>
      </w:r>
      <w:r w:rsidRPr="00DE12A3">
        <w:rPr>
          <w:rFonts w:cs="Times New Roman"/>
          <w:iCs/>
          <w:color w:val="auto"/>
        </w:rPr>
        <w:t xml:space="preserve"> çalışması [kWh]</w:t>
      </w:r>
    </w:p>
    <w:p w14:paraId="0698240D" w14:textId="77777777" w:rsidR="00190507" w:rsidRPr="00DE12A3" w:rsidRDefault="00190507" w:rsidP="00C917D6">
      <w:pPr>
        <w:spacing w:before="120" w:after="120"/>
        <w:ind w:left="1134"/>
        <w:rPr>
          <w:rFonts w:cs="Times New Roman"/>
          <w:color w:val="auto"/>
        </w:rPr>
      </w:pPr>
    </w:p>
    <w:p w14:paraId="15ABB927" w14:textId="28D1E493" w:rsidR="00190507" w:rsidRPr="00DE12A3" w:rsidRDefault="00190507" w:rsidP="00C917D6">
      <w:pPr>
        <w:spacing w:before="120" w:after="120"/>
        <w:ind w:left="1134"/>
        <w:rPr>
          <w:rFonts w:cs="Times New Roman"/>
          <w:color w:val="auto"/>
        </w:rPr>
      </w:pPr>
      <w:r w:rsidRPr="00DE12A3">
        <w:rPr>
          <w:rFonts w:cs="Times New Roman"/>
          <w:color w:val="auto"/>
        </w:rPr>
        <w:t>NRTC durumunda, CO</w:t>
      </w:r>
      <w:r w:rsidRPr="00DE12A3">
        <w:rPr>
          <w:rFonts w:cs="Times New Roman"/>
          <w:color w:val="auto"/>
          <w:vertAlign w:val="subscript"/>
        </w:rPr>
        <w:t>2</w:t>
      </w:r>
      <w:r w:rsidRPr="00DE12A3">
        <w:rPr>
          <w:rFonts w:cs="Times New Roman"/>
          <w:color w:val="auto"/>
        </w:rPr>
        <w:t xml:space="preserve"> için son test sonucu e</w:t>
      </w:r>
      <w:r w:rsidRPr="00DE12A3">
        <w:rPr>
          <w:rFonts w:cs="Times New Roman"/>
          <w:color w:val="auto"/>
          <w:vertAlign w:val="subscript"/>
        </w:rPr>
        <w:t>CO2</w:t>
      </w:r>
      <w:r w:rsidRPr="00DE12A3">
        <w:rPr>
          <w:rFonts w:cs="Times New Roman"/>
          <w:color w:val="auto"/>
        </w:rPr>
        <w:t xml:space="preserve"> [g/kWh], ön ısıtmalı NRTC'den (7-130) </w:t>
      </w:r>
      <w:r w:rsidR="00962CA1" w:rsidRPr="00DE12A3">
        <w:rPr>
          <w:color w:val="auto"/>
        </w:rPr>
        <w:t>numaralı</w:t>
      </w:r>
      <w:r w:rsidR="00962CA1" w:rsidRPr="00DE12A3" w:rsidDel="00962CA1">
        <w:rPr>
          <w:rFonts w:cs="Times New Roman"/>
          <w:color w:val="auto"/>
        </w:rPr>
        <w:t xml:space="preserve"> </w:t>
      </w:r>
      <w:r w:rsidRPr="00DE12A3">
        <w:rPr>
          <w:rFonts w:cs="Times New Roman"/>
          <w:color w:val="auto"/>
        </w:rPr>
        <w:t>denklem ile hesaplanmalıdır:</w:t>
      </w:r>
    </w:p>
    <w:p w14:paraId="77EACA02" w14:textId="77777777" w:rsidR="00190507" w:rsidRPr="00DE12A3" w:rsidRDefault="00190507" w:rsidP="00C917D6">
      <w:pPr>
        <w:spacing w:before="120" w:after="120"/>
        <w:ind w:left="1134"/>
        <w:rPr>
          <w:rFonts w:cs="Times New Roman"/>
          <w:color w:val="auto"/>
        </w:rPr>
      </w:pPr>
    </w:p>
    <w:tbl>
      <w:tblPr>
        <w:tblW w:w="0" w:type="auto"/>
        <w:tblInd w:w="2600" w:type="dxa"/>
        <w:tblLayout w:type="fixed"/>
        <w:tblLook w:val="0000" w:firstRow="0" w:lastRow="0" w:firstColumn="0" w:lastColumn="0" w:noHBand="0" w:noVBand="0"/>
      </w:tblPr>
      <w:tblGrid>
        <w:gridCol w:w="3064"/>
        <w:gridCol w:w="1022"/>
      </w:tblGrid>
      <w:tr w:rsidR="00DE12A3" w:rsidRPr="00DE12A3" w14:paraId="3488F00A" w14:textId="77777777" w:rsidTr="005B5FC2">
        <w:tc>
          <w:tcPr>
            <w:tcW w:w="3064" w:type="dxa"/>
          </w:tcPr>
          <w:p w14:paraId="05549B74" w14:textId="19097E1B" w:rsidR="009F4766" w:rsidRPr="00DE12A3" w:rsidRDefault="009F4766" w:rsidP="00C917D6">
            <w:pPr>
              <w:pStyle w:val="NormalLeft"/>
            </w:pPr>
            <w:r w:rsidRPr="00DE12A3">
              <w:rPr>
                <w:noProof/>
                <w:lang w:val="tr-TR"/>
              </w:rPr>
              <w:drawing>
                <wp:inline distT="0" distB="0" distL="0" distR="0" wp14:anchorId="57615E27" wp14:editId="4D65E2A5">
                  <wp:extent cx="1740877" cy="609600"/>
                  <wp:effectExtent l="0" t="0" r="0" b="0"/>
                  <wp:docPr id="2476" name="Resim 24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95">
                            <a:extLst>
                              <a:ext uri="{28A0092B-C50C-407E-A947-70E740481C1C}">
                                <a14:useLocalDpi xmlns:a14="http://schemas.microsoft.com/office/drawing/2010/main" val="0"/>
                              </a:ext>
                            </a:extLst>
                          </a:blip>
                          <a:srcRect/>
                          <a:stretch>
                            <a:fillRect/>
                          </a:stretch>
                        </pic:blipFill>
                        <pic:spPr bwMode="auto">
                          <a:xfrm>
                            <a:off x="0" y="0"/>
                            <a:ext cx="1742993" cy="610341"/>
                          </a:xfrm>
                          <a:prstGeom prst="rect">
                            <a:avLst/>
                          </a:prstGeom>
                          <a:noFill/>
                          <a:ln>
                            <a:noFill/>
                          </a:ln>
                        </pic:spPr>
                      </pic:pic>
                    </a:graphicData>
                  </a:graphic>
                </wp:inline>
              </w:drawing>
            </w:r>
          </w:p>
        </w:tc>
        <w:tc>
          <w:tcPr>
            <w:tcW w:w="1022" w:type="dxa"/>
          </w:tcPr>
          <w:p w14:paraId="19DC53D6" w14:textId="77777777" w:rsidR="009F4766" w:rsidRPr="00DE12A3" w:rsidRDefault="009F4766" w:rsidP="00C917D6">
            <w:pPr>
              <w:pStyle w:val="NormalLeft"/>
            </w:pPr>
            <w:r w:rsidRPr="00DE12A3">
              <w:t>(7-130)</w:t>
            </w:r>
          </w:p>
        </w:tc>
      </w:tr>
    </w:tbl>
    <w:p w14:paraId="046D8B6D" w14:textId="77777777" w:rsidR="009F4766" w:rsidRPr="00DE12A3" w:rsidRDefault="008B3D9F" w:rsidP="00C917D6">
      <w:pPr>
        <w:spacing w:before="120" w:after="120"/>
        <w:ind w:left="1134"/>
        <w:rPr>
          <w:rFonts w:cs="Times New Roman"/>
          <w:color w:val="auto"/>
        </w:rPr>
      </w:pPr>
      <w:r w:rsidRPr="00DE12A3">
        <w:rPr>
          <w:rFonts w:cs="Times New Roman"/>
          <w:color w:val="auto"/>
        </w:rPr>
        <w:t>Burada</w:t>
      </w:r>
      <w:r w:rsidR="009F4766" w:rsidRPr="00DE12A3">
        <w:rPr>
          <w:rFonts w:cs="Times New Roman"/>
          <w:color w:val="auto"/>
        </w:rPr>
        <w:t>:</w:t>
      </w:r>
    </w:p>
    <w:p w14:paraId="798A7543" w14:textId="77777777" w:rsidR="00190507" w:rsidRPr="00DE12A3" w:rsidRDefault="00190507" w:rsidP="00C917D6">
      <w:pPr>
        <w:spacing w:before="120" w:after="120"/>
        <w:ind w:left="1134"/>
        <w:rPr>
          <w:rFonts w:cs="Times New Roman"/>
          <w:color w:val="auto"/>
        </w:rPr>
      </w:pPr>
    </w:p>
    <w:p w14:paraId="4FC19309" w14:textId="173AABCE" w:rsidR="00190507" w:rsidRPr="00DE12A3" w:rsidRDefault="00190507" w:rsidP="00C917D6">
      <w:pPr>
        <w:spacing w:before="120" w:after="120"/>
        <w:ind w:left="1134"/>
        <w:rPr>
          <w:rFonts w:cs="Times New Roman"/>
          <w:color w:val="auto"/>
        </w:rPr>
      </w:pPr>
      <w:r w:rsidRPr="00DE12A3">
        <w:rPr>
          <w:rFonts w:cs="Times New Roman"/>
          <w:color w:val="auto"/>
        </w:rPr>
        <w:lastRenderedPageBreak/>
        <w:t>m</w:t>
      </w:r>
      <w:r w:rsidRPr="00DE12A3">
        <w:rPr>
          <w:rFonts w:cs="Times New Roman"/>
          <w:color w:val="auto"/>
          <w:vertAlign w:val="subscript"/>
        </w:rPr>
        <w:t>CO2</w:t>
      </w:r>
      <w:r w:rsidR="00825EFD" w:rsidRPr="00DE12A3">
        <w:rPr>
          <w:rFonts w:cs="Times New Roman"/>
          <w:color w:val="auto"/>
        </w:rPr>
        <w:t xml:space="preserve"> =</w:t>
      </w:r>
      <w:r w:rsidRPr="00DE12A3">
        <w:rPr>
          <w:rFonts w:cs="Times New Roman"/>
          <w:color w:val="auto"/>
        </w:rPr>
        <w:t xml:space="preserve"> hot ön ısıtmalı NRTC'nin CO</w:t>
      </w:r>
      <w:r w:rsidRPr="00DE12A3">
        <w:rPr>
          <w:rFonts w:cs="Times New Roman"/>
          <w:color w:val="auto"/>
          <w:vertAlign w:val="subscript"/>
        </w:rPr>
        <w:t>2</w:t>
      </w:r>
      <w:r w:rsidRPr="00DE12A3">
        <w:rPr>
          <w:rFonts w:cs="Times New Roman"/>
          <w:color w:val="auto"/>
        </w:rPr>
        <w:t xml:space="preserve"> kütle emisyonları [g]</w:t>
      </w:r>
    </w:p>
    <w:p w14:paraId="5032984F" w14:textId="40DDAD7E" w:rsidR="00190507" w:rsidRPr="00DE12A3" w:rsidRDefault="00190507" w:rsidP="00C917D6">
      <w:pPr>
        <w:spacing w:before="120" w:after="120"/>
        <w:ind w:left="1134"/>
        <w:rPr>
          <w:rFonts w:cs="Times New Roman"/>
          <w:color w:val="auto"/>
        </w:rPr>
      </w:pPr>
      <w:r w:rsidRPr="00DE12A3">
        <w:rPr>
          <w:rFonts w:cs="Times New Roman"/>
          <w:color w:val="auto"/>
        </w:rPr>
        <w:t>Wact</w:t>
      </w:r>
      <w:r w:rsidR="00825EFD" w:rsidRPr="00DE12A3">
        <w:rPr>
          <w:rFonts w:cs="Times New Roman"/>
          <w:color w:val="auto"/>
        </w:rPr>
        <w:t xml:space="preserve"> =</w:t>
      </w:r>
      <w:r w:rsidRPr="00DE12A3">
        <w:rPr>
          <w:rFonts w:cs="Times New Roman"/>
          <w:color w:val="auto"/>
        </w:rPr>
        <w:t xml:space="preserve"> hot ön ısıtmalı NRTC'nin gerçek </w:t>
      </w:r>
      <w:r w:rsidR="00F310B5" w:rsidRPr="00DE12A3">
        <w:rPr>
          <w:rFonts w:cs="Times New Roman"/>
          <w:color w:val="auto"/>
        </w:rPr>
        <w:t>çevrim</w:t>
      </w:r>
      <w:r w:rsidRPr="00DE12A3">
        <w:rPr>
          <w:rFonts w:cs="Times New Roman"/>
          <w:color w:val="auto"/>
        </w:rPr>
        <w:t xml:space="preserve"> çalışması [kWh]</w:t>
      </w:r>
    </w:p>
    <w:p w14:paraId="4009F8F3" w14:textId="77777777" w:rsidR="00190507" w:rsidRPr="00DE12A3" w:rsidRDefault="009F4766" w:rsidP="00C917D6">
      <w:pPr>
        <w:pStyle w:val="ManualHeading4"/>
        <w:numPr>
          <w:ilvl w:val="0"/>
          <w:numId w:val="0"/>
        </w:numPr>
        <w:ind w:left="1134" w:hanging="1134"/>
      </w:pPr>
      <w:r w:rsidRPr="00DE12A3">
        <w:t>3.8.1.2.</w:t>
      </w:r>
      <w:r w:rsidRPr="00DE12A3">
        <w:tab/>
      </w:r>
      <w:r w:rsidR="00190507" w:rsidRPr="00DE12A3">
        <w:t>Ayrık modlu NRSC</w:t>
      </w:r>
    </w:p>
    <w:p w14:paraId="59A04B7B" w14:textId="13558255" w:rsidR="00190507" w:rsidRPr="00DE12A3" w:rsidRDefault="00190507" w:rsidP="00C917D6">
      <w:pPr>
        <w:pStyle w:val="ManualHeading4"/>
        <w:numPr>
          <w:ilvl w:val="0"/>
          <w:numId w:val="0"/>
        </w:numPr>
        <w:ind w:left="1134"/>
      </w:pPr>
      <w:r w:rsidRPr="00DE12A3">
        <w:t xml:space="preserve">Spesifik emisyonlar egas [g/kWh], (7-131) </w:t>
      </w:r>
      <w:r w:rsidR="00962CA1" w:rsidRPr="00DE12A3">
        <w:t>numaralı</w:t>
      </w:r>
      <w:r w:rsidR="00962CA1" w:rsidRPr="00DE12A3" w:rsidDel="00962CA1">
        <w:t xml:space="preserve"> </w:t>
      </w:r>
      <w:r w:rsidRPr="00DE12A3">
        <w:t>denklem ile hesaplanır:</w:t>
      </w:r>
    </w:p>
    <w:p w14:paraId="757C9947" w14:textId="77777777" w:rsidR="00190507" w:rsidRPr="00DE12A3" w:rsidRDefault="00190507" w:rsidP="00C917D6">
      <w:pPr>
        <w:spacing w:before="120" w:after="120"/>
        <w:rPr>
          <w:rFonts w:cs="Times New Roman"/>
          <w:color w:val="auto"/>
        </w:rPr>
      </w:pPr>
    </w:p>
    <w:tbl>
      <w:tblPr>
        <w:tblW w:w="0" w:type="auto"/>
        <w:tblInd w:w="2182" w:type="dxa"/>
        <w:tblLayout w:type="fixed"/>
        <w:tblLook w:val="0000" w:firstRow="0" w:lastRow="0" w:firstColumn="0" w:lastColumn="0" w:noHBand="0" w:noVBand="0"/>
      </w:tblPr>
      <w:tblGrid>
        <w:gridCol w:w="3937"/>
        <w:gridCol w:w="985"/>
      </w:tblGrid>
      <w:tr w:rsidR="00DE12A3" w:rsidRPr="00DE12A3" w14:paraId="7497B124" w14:textId="77777777" w:rsidTr="00AE42F5">
        <w:tc>
          <w:tcPr>
            <w:tcW w:w="3937" w:type="dxa"/>
          </w:tcPr>
          <w:p w14:paraId="481132B3" w14:textId="1935EE62" w:rsidR="009F4766" w:rsidRPr="00DE12A3" w:rsidRDefault="009F4766" w:rsidP="00C917D6">
            <w:pPr>
              <w:pStyle w:val="NormalLeft"/>
            </w:pPr>
            <w:r w:rsidRPr="00DE12A3">
              <w:rPr>
                <w:noProof/>
                <w:lang w:val="tr-TR"/>
              </w:rPr>
              <w:drawing>
                <wp:inline distT="0" distB="0" distL="0" distR="0" wp14:anchorId="58B4C408" wp14:editId="29D15CEC">
                  <wp:extent cx="2104292" cy="791210"/>
                  <wp:effectExtent l="0" t="0" r="0" b="8890"/>
                  <wp:docPr id="2475" name="Resim 24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96">
                            <a:extLst>
                              <a:ext uri="{28A0092B-C50C-407E-A947-70E740481C1C}">
                                <a14:useLocalDpi xmlns:a14="http://schemas.microsoft.com/office/drawing/2010/main" val="0"/>
                              </a:ext>
                            </a:extLst>
                          </a:blip>
                          <a:srcRect/>
                          <a:stretch>
                            <a:fillRect/>
                          </a:stretch>
                        </pic:blipFill>
                        <pic:spPr bwMode="auto">
                          <a:xfrm>
                            <a:off x="0" y="0"/>
                            <a:ext cx="2117662" cy="796237"/>
                          </a:xfrm>
                          <a:prstGeom prst="rect">
                            <a:avLst/>
                          </a:prstGeom>
                          <a:noFill/>
                          <a:ln>
                            <a:noFill/>
                          </a:ln>
                        </pic:spPr>
                      </pic:pic>
                    </a:graphicData>
                  </a:graphic>
                </wp:inline>
              </w:drawing>
            </w:r>
          </w:p>
        </w:tc>
        <w:tc>
          <w:tcPr>
            <w:tcW w:w="985" w:type="dxa"/>
          </w:tcPr>
          <w:p w14:paraId="56D2EB3F" w14:textId="77777777" w:rsidR="009F4766" w:rsidRPr="00DE12A3" w:rsidRDefault="009F4766" w:rsidP="00C917D6">
            <w:pPr>
              <w:pStyle w:val="NormalLeft"/>
            </w:pPr>
            <w:r w:rsidRPr="00DE12A3">
              <w:t>(7-131)</w:t>
            </w:r>
          </w:p>
        </w:tc>
      </w:tr>
    </w:tbl>
    <w:p w14:paraId="7A73A970" w14:textId="77777777" w:rsidR="009F4766" w:rsidRPr="00DE12A3" w:rsidRDefault="008B3D9F" w:rsidP="00C917D6">
      <w:pPr>
        <w:spacing w:before="120" w:after="120"/>
        <w:ind w:left="1134"/>
        <w:rPr>
          <w:rFonts w:cs="Times New Roman"/>
          <w:color w:val="auto"/>
        </w:rPr>
      </w:pPr>
      <w:r w:rsidRPr="00DE12A3">
        <w:rPr>
          <w:rFonts w:cs="Times New Roman"/>
          <w:color w:val="auto"/>
        </w:rPr>
        <w:t>Burada</w:t>
      </w:r>
      <w:r w:rsidR="009F4766" w:rsidRPr="00DE12A3">
        <w:rPr>
          <w:rFonts w:cs="Times New Roman"/>
          <w:color w:val="auto"/>
        </w:rPr>
        <w:t>:</w:t>
      </w:r>
    </w:p>
    <w:tbl>
      <w:tblPr>
        <w:tblW w:w="0" w:type="auto"/>
        <w:tblInd w:w="1242" w:type="dxa"/>
        <w:tblLayout w:type="fixed"/>
        <w:tblLook w:val="0000" w:firstRow="0" w:lastRow="0" w:firstColumn="0" w:lastColumn="0" w:noHBand="0" w:noVBand="0"/>
      </w:tblPr>
      <w:tblGrid>
        <w:gridCol w:w="1985"/>
        <w:gridCol w:w="567"/>
        <w:gridCol w:w="5492"/>
      </w:tblGrid>
      <w:tr w:rsidR="00DE12A3" w:rsidRPr="00DE12A3" w14:paraId="35F34808" w14:textId="77777777" w:rsidTr="00AE42F5">
        <w:tc>
          <w:tcPr>
            <w:tcW w:w="1985" w:type="dxa"/>
          </w:tcPr>
          <w:p w14:paraId="4238152A" w14:textId="77777777" w:rsidR="00AE42F5" w:rsidRPr="00DE12A3" w:rsidRDefault="00AE42F5" w:rsidP="00C917D6">
            <w:pPr>
              <w:pStyle w:val="NormalLeft"/>
              <w:ind w:left="75"/>
            </w:pPr>
            <w:r w:rsidRPr="00DE12A3">
              <w:rPr>
                <w:i/>
                <w:iCs/>
              </w:rPr>
              <w:t>ṁ</w:t>
            </w:r>
            <w:r w:rsidRPr="00DE12A3">
              <w:rPr>
                <w:vertAlign w:val="subscript"/>
              </w:rPr>
              <w:t>gas,</w:t>
            </w:r>
            <w:r w:rsidRPr="00DE12A3">
              <w:rPr>
                <w:i/>
                <w:iCs/>
                <w:vertAlign w:val="subscript"/>
              </w:rPr>
              <w:t>i</w:t>
            </w:r>
          </w:p>
        </w:tc>
        <w:tc>
          <w:tcPr>
            <w:tcW w:w="567" w:type="dxa"/>
          </w:tcPr>
          <w:p w14:paraId="7C90C040" w14:textId="77777777" w:rsidR="00AE42F5" w:rsidRPr="00DE12A3" w:rsidRDefault="00AE42F5" w:rsidP="00C917D6">
            <w:pPr>
              <w:pStyle w:val="NormalLeft"/>
            </w:pPr>
            <w:r w:rsidRPr="00DE12A3">
              <w:t>=</w:t>
            </w:r>
          </w:p>
        </w:tc>
        <w:tc>
          <w:tcPr>
            <w:tcW w:w="5492" w:type="dxa"/>
          </w:tcPr>
          <w:p w14:paraId="582C48D7" w14:textId="77777777" w:rsidR="00AE42F5" w:rsidRPr="00DE12A3" w:rsidRDefault="00AE42F5" w:rsidP="00C917D6">
            <w:pPr>
              <w:spacing w:before="120" w:after="120"/>
              <w:rPr>
                <w:rFonts w:cs="Times New Roman"/>
                <w:color w:val="auto"/>
              </w:rPr>
            </w:pPr>
            <w:r w:rsidRPr="00DE12A3">
              <w:rPr>
                <w:rFonts w:cs="Times New Roman"/>
                <w:color w:val="auto"/>
              </w:rPr>
              <w:t>i modu için ortalama emisyon kütle akış hızı [g/h]</w:t>
            </w:r>
          </w:p>
        </w:tc>
      </w:tr>
      <w:tr w:rsidR="00DE12A3" w:rsidRPr="00DE12A3" w14:paraId="4D9524A4" w14:textId="77777777" w:rsidTr="00AE42F5">
        <w:tc>
          <w:tcPr>
            <w:tcW w:w="1985" w:type="dxa"/>
          </w:tcPr>
          <w:p w14:paraId="511F3246" w14:textId="77777777" w:rsidR="00AE42F5" w:rsidRPr="00DE12A3" w:rsidRDefault="00AE42F5" w:rsidP="00C917D6">
            <w:pPr>
              <w:pStyle w:val="NormalLeft"/>
              <w:ind w:left="75"/>
            </w:pPr>
            <w:r w:rsidRPr="00DE12A3">
              <w:rPr>
                <w:i/>
                <w:iCs/>
              </w:rPr>
              <w:t>P</w:t>
            </w:r>
            <w:r w:rsidRPr="00DE12A3">
              <w:rPr>
                <w:i/>
                <w:iCs/>
                <w:vertAlign w:val="subscript"/>
              </w:rPr>
              <w:t>i</w:t>
            </w:r>
            <w:r w:rsidRPr="00DE12A3">
              <w:t xml:space="preserve">  </w:t>
            </w:r>
          </w:p>
        </w:tc>
        <w:tc>
          <w:tcPr>
            <w:tcW w:w="567" w:type="dxa"/>
          </w:tcPr>
          <w:p w14:paraId="34D87954" w14:textId="77777777" w:rsidR="00AE42F5" w:rsidRPr="00DE12A3" w:rsidRDefault="00AE42F5" w:rsidP="00C917D6">
            <w:pPr>
              <w:pStyle w:val="NormalLeft"/>
            </w:pPr>
            <w:r w:rsidRPr="00DE12A3">
              <w:t xml:space="preserve"> =  </w:t>
            </w:r>
          </w:p>
        </w:tc>
        <w:tc>
          <w:tcPr>
            <w:tcW w:w="5492" w:type="dxa"/>
          </w:tcPr>
          <w:p w14:paraId="6FB35372" w14:textId="09C437D3" w:rsidR="00AE42F5" w:rsidRPr="00DE12A3" w:rsidRDefault="00AE42F5">
            <w:pPr>
              <w:spacing w:before="120" w:after="120"/>
              <w:rPr>
                <w:rFonts w:cs="Times New Roman"/>
                <w:color w:val="auto"/>
              </w:rPr>
            </w:pPr>
            <w:r w:rsidRPr="00DE12A3">
              <w:rPr>
                <w:rFonts w:cs="Times New Roman"/>
                <w:color w:val="auto"/>
              </w:rPr>
              <w:t xml:space="preserve">i modu için motor gücü [kW]; ölçülen güç Pmeas'a [kW], </w:t>
            </w:r>
            <w:r w:rsidR="00FA0678" w:rsidRPr="00DE12A3">
              <w:rPr>
                <w:rFonts w:cs="Times New Roman"/>
                <w:color w:val="auto"/>
              </w:rPr>
              <w:t xml:space="preserve">VI’ncı </w:t>
            </w:r>
            <w:r w:rsidR="00825EFD" w:rsidRPr="00DE12A3">
              <w:rPr>
                <w:rFonts w:cs="Times New Roman"/>
                <w:color w:val="auto"/>
              </w:rPr>
              <w:t>E</w:t>
            </w:r>
            <w:r w:rsidR="00FA0678" w:rsidRPr="00DE12A3">
              <w:rPr>
                <w:rFonts w:cs="Times New Roman"/>
                <w:color w:val="auto"/>
              </w:rPr>
              <w:t>k</w:t>
            </w:r>
            <w:r w:rsidRPr="00DE12A3">
              <w:rPr>
                <w:rFonts w:cs="Times New Roman"/>
                <w:color w:val="auto"/>
              </w:rPr>
              <w:t xml:space="preserve">teki (6-8) </w:t>
            </w:r>
            <w:r w:rsidR="00962CA1" w:rsidRPr="00DE12A3">
              <w:rPr>
                <w:color w:val="auto"/>
              </w:rPr>
              <w:t>numaralı</w:t>
            </w:r>
            <w:r w:rsidR="00962CA1" w:rsidRPr="00DE12A3" w:rsidDel="00962CA1">
              <w:rPr>
                <w:rFonts w:cs="Times New Roman"/>
                <w:color w:val="auto"/>
              </w:rPr>
              <w:t xml:space="preserve"> </w:t>
            </w:r>
            <w:r w:rsidRPr="00DE12A3">
              <w:rPr>
                <w:rFonts w:cs="Times New Roman"/>
                <w:color w:val="auto"/>
              </w:rPr>
              <w:t>denklem uyarınca belirlenen, yardımcı cihazları tahrik etmek için gereken güç PAUX'un [kW] eklenmesi ile hesaplanır (Pi = Pmeas + PAUX)</w:t>
            </w:r>
            <w:r w:rsidR="00825EFD" w:rsidRPr="00DE12A3">
              <w:rPr>
                <w:rFonts w:cs="Times New Roman"/>
                <w:color w:val="auto"/>
              </w:rPr>
              <w:t>.</w:t>
            </w:r>
          </w:p>
        </w:tc>
      </w:tr>
      <w:tr w:rsidR="00DE12A3" w:rsidRPr="00DE12A3" w14:paraId="6F93378E" w14:textId="77777777" w:rsidTr="00AE42F5">
        <w:tc>
          <w:tcPr>
            <w:tcW w:w="1985" w:type="dxa"/>
          </w:tcPr>
          <w:p w14:paraId="6DAB7487" w14:textId="77777777" w:rsidR="00AE42F5" w:rsidRPr="00DE12A3" w:rsidRDefault="00AE42F5" w:rsidP="00C917D6">
            <w:pPr>
              <w:pStyle w:val="NormalLeft"/>
              <w:ind w:left="75"/>
            </w:pPr>
            <w:r w:rsidRPr="00DE12A3">
              <w:rPr>
                <w:i/>
                <w:iCs/>
              </w:rPr>
              <w:t>WF</w:t>
            </w:r>
            <w:r w:rsidRPr="00DE12A3">
              <w:rPr>
                <w:i/>
                <w:iCs/>
                <w:vertAlign w:val="subscript"/>
              </w:rPr>
              <w:t>i</w:t>
            </w:r>
          </w:p>
        </w:tc>
        <w:tc>
          <w:tcPr>
            <w:tcW w:w="567" w:type="dxa"/>
          </w:tcPr>
          <w:p w14:paraId="65A24DC9" w14:textId="77777777" w:rsidR="00AE42F5" w:rsidRPr="00DE12A3" w:rsidRDefault="00AE42F5" w:rsidP="00C917D6">
            <w:pPr>
              <w:pStyle w:val="NormalLeft"/>
            </w:pPr>
            <w:r w:rsidRPr="00DE12A3">
              <w:t>=</w:t>
            </w:r>
          </w:p>
        </w:tc>
        <w:tc>
          <w:tcPr>
            <w:tcW w:w="5492" w:type="dxa"/>
          </w:tcPr>
          <w:p w14:paraId="1E8F03D8" w14:textId="77777777" w:rsidR="00AE42F5" w:rsidRPr="00DE12A3" w:rsidRDefault="00AE42F5" w:rsidP="00C917D6">
            <w:pPr>
              <w:spacing w:before="120" w:after="120"/>
              <w:rPr>
                <w:rFonts w:cs="Times New Roman"/>
                <w:color w:val="auto"/>
              </w:rPr>
            </w:pPr>
            <w:r w:rsidRPr="00DE12A3">
              <w:rPr>
                <w:rFonts w:cs="Times New Roman"/>
                <w:color w:val="auto"/>
              </w:rPr>
              <w:t>i modu için ağırlık faktörü [-]</w:t>
            </w:r>
          </w:p>
        </w:tc>
      </w:tr>
      <w:tr w:rsidR="00DE12A3" w:rsidRPr="00DE12A3" w14:paraId="2EFF70FC" w14:textId="77777777" w:rsidTr="00AE42F5">
        <w:tc>
          <w:tcPr>
            <w:tcW w:w="1985" w:type="dxa"/>
          </w:tcPr>
          <w:p w14:paraId="7DC7245D" w14:textId="77777777" w:rsidR="00AE42F5" w:rsidRPr="00DE12A3" w:rsidRDefault="00AE42F5" w:rsidP="00C917D6">
            <w:pPr>
              <w:pStyle w:val="NormalLeft"/>
              <w:ind w:left="75"/>
            </w:pPr>
            <w:r w:rsidRPr="00DE12A3">
              <w:rPr>
                <w:i/>
                <w:iCs/>
              </w:rPr>
              <w:t>N</w:t>
            </w:r>
            <w:r w:rsidRPr="00DE12A3">
              <w:rPr>
                <w:i/>
                <w:iCs/>
                <w:vertAlign w:val="subscript"/>
              </w:rPr>
              <w:t>mode</w:t>
            </w:r>
            <w:r w:rsidRPr="00DE12A3">
              <w:t xml:space="preserve">  </w:t>
            </w:r>
          </w:p>
        </w:tc>
        <w:tc>
          <w:tcPr>
            <w:tcW w:w="567" w:type="dxa"/>
          </w:tcPr>
          <w:p w14:paraId="5BCB05A2" w14:textId="77777777" w:rsidR="00AE42F5" w:rsidRPr="00DE12A3" w:rsidRDefault="00AE42F5" w:rsidP="00C917D6">
            <w:pPr>
              <w:pStyle w:val="NormalLeft"/>
            </w:pPr>
            <w:r w:rsidRPr="00DE12A3">
              <w:t xml:space="preserve"> =  </w:t>
            </w:r>
          </w:p>
        </w:tc>
        <w:tc>
          <w:tcPr>
            <w:tcW w:w="5492" w:type="dxa"/>
          </w:tcPr>
          <w:p w14:paraId="16A40FD1" w14:textId="3C5FDBD4" w:rsidR="00AE42F5" w:rsidRPr="00DE12A3" w:rsidRDefault="00005131" w:rsidP="00C917D6">
            <w:pPr>
              <w:spacing w:before="120" w:after="120"/>
              <w:rPr>
                <w:rFonts w:cs="Times New Roman"/>
                <w:color w:val="auto"/>
              </w:rPr>
            </w:pPr>
            <w:r w:rsidRPr="00DE12A3">
              <w:rPr>
                <w:rFonts w:cs="Times New Roman"/>
                <w:color w:val="auto"/>
              </w:rPr>
              <w:t>Geçerli</w:t>
            </w:r>
            <w:r w:rsidR="00AE42F5" w:rsidRPr="00DE12A3">
              <w:rPr>
                <w:rFonts w:cs="Times New Roman"/>
                <w:color w:val="auto"/>
              </w:rPr>
              <w:t xml:space="preserve"> ayrık modlu NRSC içindeki mod sayısı</w:t>
            </w:r>
          </w:p>
        </w:tc>
      </w:tr>
    </w:tbl>
    <w:p w14:paraId="189E45E5" w14:textId="77777777" w:rsidR="00AE42F5" w:rsidRPr="00DE12A3" w:rsidRDefault="009F4766" w:rsidP="00C917D6">
      <w:pPr>
        <w:pStyle w:val="ManualHeading4"/>
        <w:numPr>
          <w:ilvl w:val="0"/>
          <w:numId w:val="0"/>
        </w:numPr>
        <w:ind w:left="1134" w:hanging="1134"/>
      </w:pPr>
      <w:r w:rsidRPr="00DE12A3">
        <w:t>3.8.2.</w:t>
      </w:r>
      <w:r w:rsidRPr="00DE12A3">
        <w:tab/>
      </w:r>
      <w:r w:rsidR="007E2039" w:rsidRPr="00DE12A3">
        <w:t xml:space="preserve">Partikül </w:t>
      </w:r>
      <w:r w:rsidR="00AE42F5" w:rsidRPr="00DE12A3">
        <w:t>emisyonlar</w:t>
      </w:r>
    </w:p>
    <w:p w14:paraId="0AEC2D93" w14:textId="77777777" w:rsidR="00AE42F5" w:rsidRPr="00DE12A3" w:rsidRDefault="009F4766" w:rsidP="00C917D6">
      <w:pPr>
        <w:spacing w:before="120" w:after="120"/>
        <w:ind w:left="1134" w:hanging="1134"/>
        <w:rPr>
          <w:rFonts w:eastAsia="Times New Roman" w:cs="Times New Roman"/>
          <w:color w:val="auto"/>
          <w:lang w:val="fr-FR"/>
        </w:rPr>
      </w:pPr>
      <w:r w:rsidRPr="00DE12A3">
        <w:rPr>
          <w:rFonts w:cs="Times New Roman"/>
          <w:color w:val="auto"/>
        </w:rPr>
        <w:t>3.8.2.1.</w:t>
      </w:r>
      <w:r w:rsidRPr="00DE12A3">
        <w:rPr>
          <w:rFonts w:cs="Times New Roman"/>
          <w:color w:val="auto"/>
        </w:rPr>
        <w:tab/>
      </w:r>
      <w:r w:rsidR="00AE42F5" w:rsidRPr="00DE12A3">
        <w:rPr>
          <w:rFonts w:eastAsia="Times New Roman" w:cs="Times New Roman"/>
          <w:color w:val="auto"/>
          <w:lang w:val="fr-FR"/>
        </w:rPr>
        <w:t xml:space="preserve">Süreksiz (NRTC ve LSI-NRTC) test </w:t>
      </w:r>
      <w:r w:rsidR="00F310B5" w:rsidRPr="00DE12A3">
        <w:rPr>
          <w:rFonts w:eastAsia="Times New Roman" w:cs="Times New Roman"/>
          <w:color w:val="auto"/>
          <w:lang w:val="fr-FR"/>
        </w:rPr>
        <w:t>çevrim</w:t>
      </w:r>
      <w:r w:rsidR="00AE42F5" w:rsidRPr="00DE12A3">
        <w:rPr>
          <w:rFonts w:eastAsia="Times New Roman" w:cs="Times New Roman"/>
          <w:color w:val="auto"/>
          <w:lang w:val="fr-FR"/>
        </w:rPr>
        <w:t>leri ve RMC</w:t>
      </w:r>
    </w:p>
    <w:p w14:paraId="219D098A" w14:textId="7AF8112D" w:rsidR="009F4766" w:rsidRPr="00DE12A3" w:rsidRDefault="00AE42F5" w:rsidP="003D2907">
      <w:pPr>
        <w:spacing w:before="120" w:after="120"/>
        <w:ind w:left="1134" w:hanging="1134"/>
        <w:jc w:val="both"/>
        <w:rPr>
          <w:rFonts w:eastAsia="Times New Roman" w:cs="Times New Roman"/>
          <w:color w:val="auto"/>
          <w:lang w:val="fr-FR"/>
        </w:rPr>
      </w:pPr>
      <w:r w:rsidRPr="00DE12A3">
        <w:rPr>
          <w:rFonts w:eastAsia="Times New Roman" w:cs="Times New Roman"/>
          <w:color w:val="auto"/>
          <w:lang w:val="fr-FR"/>
        </w:rPr>
        <w:t xml:space="preserve">                   </w:t>
      </w:r>
      <w:r w:rsidR="007E2039" w:rsidRPr="00DE12A3">
        <w:rPr>
          <w:rFonts w:eastAsia="Times New Roman" w:cs="Times New Roman"/>
          <w:color w:val="auto"/>
          <w:lang w:val="fr-FR"/>
        </w:rPr>
        <w:t xml:space="preserve">Partikül </w:t>
      </w:r>
      <w:r w:rsidRPr="00DE12A3">
        <w:rPr>
          <w:rFonts w:eastAsia="Times New Roman" w:cs="Times New Roman"/>
          <w:color w:val="auto"/>
          <w:lang w:val="fr-FR"/>
        </w:rPr>
        <w:t xml:space="preserve">spesifik emisyonları, (7-128) </w:t>
      </w:r>
      <w:r w:rsidR="00962CA1" w:rsidRPr="00DE12A3">
        <w:rPr>
          <w:color w:val="auto"/>
        </w:rPr>
        <w:t>numaralı</w:t>
      </w:r>
      <w:r w:rsidR="00962CA1" w:rsidRPr="00DE12A3" w:rsidDel="00962CA1">
        <w:rPr>
          <w:rFonts w:eastAsia="Times New Roman" w:cs="Times New Roman"/>
          <w:color w:val="auto"/>
          <w:lang w:val="fr-FR"/>
        </w:rPr>
        <w:t xml:space="preserve"> </w:t>
      </w:r>
      <w:r w:rsidRPr="00DE12A3">
        <w:rPr>
          <w:rFonts w:eastAsia="Times New Roman" w:cs="Times New Roman"/>
          <w:color w:val="auto"/>
          <w:lang w:val="fr-FR"/>
        </w:rPr>
        <w:t xml:space="preserve">denklem, (7-132) </w:t>
      </w:r>
      <w:r w:rsidR="00962CA1" w:rsidRPr="00DE12A3">
        <w:rPr>
          <w:color w:val="auto"/>
        </w:rPr>
        <w:t>numaralı</w:t>
      </w:r>
      <w:r w:rsidR="00962CA1" w:rsidRPr="00DE12A3" w:rsidDel="00962CA1">
        <w:rPr>
          <w:rFonts w:eastAsia="Times New Roman" w:cs="Times New Roman"/>
          <w:color w:val="auto"/>
          <w:lang w:val="fr-FR"/>
        </w:rPr>
        <w:t xml:space="preserve"> </w:t>
      </w:r>
      <w:r w:rsidRPr="00DE12A3">
        <w:rPr>
          <w:rFonts w:eastAsia="Times New Roman" w:cs="Times New Roman"/>
          <w:color w:val="auto"/>
          <w:lang w:val="fr-FR"/>
        </w:rPr>
        <w:t>denkleme dönüştürülüp, sırasıyla egas [g/kWh] ve mgas [g/test] yerine, ePM [g/kWh] ve mPM [g/test] koyularak hesaplanmalıdır</w:t>
      </w:r>
      <w:r w:rsidR="00825EFD" w:rsidRPr="00DE12A3">
        <w:rPr>
          <w:rFonts w:eastAsia="Times New Roman" w:cs="Times New Roman"/>
          <w:color w:val="auto"/>
          <w:lang w:val="fr-FR"/>
        </w:rPr>
        <w:t>.</w:t>
      </w:r>
    </w:p>
    <w:tbl>
      <w:tblPr>
        <w:tblW w:w="0" w:type="auto"/>
        <w:tblInd w:w="3204" w:type="dxa"/>
        <w:tblLayout w:type="fixed"/>
        <w:tblLook w:val="0000" w:firstRow="0" w:lastRow="0" w:firstColumn="0" w:lastColumn="0" w:noHBand="0" w:noVBand="0"/>
      </w:tblPr>
      <w:tblGrid>
        <w:gridCol w:w="1871"/>
        <w:gridCol w:w="1008"/>
      </w:tblGrid>
      <w:tr w:rsidR="00DE12A3" w:rsidRPr="00DE12A3" w14:paraId="5D162B03" w14:textId="77777777" w:rsidTr="00AE42F5">
        <w:tc>
          <w:tcPr>
            <w:tcW w:w="1871" w:type="dxa"/>
          </w:tcPr>
          <w:p w14:paraId="2083C242" w14:textId="6CA3A756" w:rsidR="009F4766" w:rsidRPr="00DE12A3" w:rsidRDefault="009F4766" w:rsidP="00C917D6">
            <w:pPr>
              <w:pStyle w:val="NormalLeft"/>
            </w:pPr>
            <w:r w:rsidRPr="00DE12A3">
              <w:rPr>
                <w:noProof/>
                <w:lang w:val="tr-TR"/>
              </w:rPr>
              <w:drawing>
                <wp:inline distT="0" distB="0" distL="0" distR="0" wp14:anchorId="5FE6806E" wp14:editId="28D9ECBB">
                  <wp:extent cx="1037492" cy="580390"/>
                  <wp:effectExtent l="0" t="0" r="0" b="0"/>
                  <wp:docPr id="2474" name="Resim 24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97">
                            <a:extLst>
                              <a:ext uri="{28A0092B-C50C-407E-A947-70E740481C1C}">
                                <a14:useLocalDpi xmlns:a14="http://schemas.microsoft.com/office/drawing/2010/main" val="0"/>
                              </a:ext>
                            </a:extLst>
                          </a:blip>
                          <a:srcRect/>
                          <a:stretch>
                            <a:fillRect/>
                          </a:stretch>
                        </pic:blipFill>
                        <pic:spPr bwMode="auto">
                          <a:xfrm>
                            <a:off x="0" y="0"/>
                            <a:ext cx="1044804" cy="584480"/>
                          </a:xfrm>
                          <a:prstGeom prst="rect">
                            <a:avLst/>
                          </a:prstGeom>
                          <a:noFill/>
                          <a:ln>
                            <a:noFill/>
                          </a:ln>
                        </pic:spPr>
                      </pic:pic>
                    </a:graphicData>
                  </a:graphic>
                </wp:inline>
              </w:drawing>
            </w:r>
          </w:p>
        </w:tc>
        <w:tc>
          <w:tcPr>
            <w:tcW w:w="1008" w:type="dxa"/>
          </w:tcPr>
          <w:p w14:paraId="79C0309F" w14:textId="77777777" w:rsidR="009F4766" w:rsidRPr="00DE12A3" w:rsidRDefault="009F4766" w:rsidP="00C917D6">
            <w:pPr>
              <w:pStyle w:val="NormalLeft"/>
            </w:pPr>
            <w:r w:rsidRPr="00DE12A3">
              <w:t>(7-132)</w:t>
            </w:r>
          </w:p>
        </w:tc>
      </w:tr>
    </w:tbl>
    <w:p w14:paraId="367CF79E" w14:textId="77777777" w:rsidR="009F4766" w:rsidRPr="00DE12A3" w:rsidRDefault="008B3D9F" w:rsidP="00C917D6">
      <w:pPr>
        <w:spacing w:before="120" w:after="120"/>
        <w:ind w:left="708" w:firstLine="708"/>
        <w:rPr>
          <w:rFonts w:cs="Times New Roman"/>
          <w:color w:val="auto"/>
        </w:rPr>
      </w:pPr>
      <w:r w:rsidRPr="00DE12A3">
        <w:rPr>
          <w:rFonts w:cs="Times New Roman"/>
          <w:color w:val="auto"/>
        </w:rPr>
        <w:t>Burada</w:t>
      </w:r>
      <w:r w:rsidR="009F4766" w:rsidRPr="00DE12A3">
        <w:rPr>
          <w:rFonts w:cs="Times New Roman"/>
          <w:color w:val="auto"/>
        </w:rPr>
        <w:t>:</w:t>
      </w:r>
    </w:p>
    <w:p w14:paraId="733446F5" w14:textId="77777777" w:rsidR="00AE42F5" w:rsidRPr="00DE12A3" w:rsidRDefault="00AE42F5" w:rsidP="00C917D6">
      <w:pPr>
        <w:spacing w:before="120" w:after="120"/>
        <w:ind w:left="1134"/>
        <w:rPr>
          <w:rFonts w:cs="Times New Roman"/>
          <w:color w:val="auto"/>
        </w:rPr>
      </w:pPr>
    </w:p>
    <w:tbl>
      <w:tblPr>
        <w:tblW w:w="0" w:type="auto"/>
        <w:tblInd w:w="1669" w:type="dxa"/>
        <w:tblLayout w:type="fixed"/>
        <w:tblLook w:val="0000" w:firstRow="0" w:lastRow="0" w:firstColumn="0" w:lastColumn="0" w:noHBand="0" w:noVBand="0"/>
      </w:tblPr>
      <w:tblGrid>
        <w:gridCol w:w="850"/>
        <w:gridCol w:w="425"/>
        <w:gridCol w:w="4457"/>
      </w:tblGrid>
      <w:tr w:rsidR="00DE12A3" w:rsidRPr="00DE12A3" w14:paraId="62A057A2" w14:textId="77777777" w:rsidTr="00DC7DDF">
        <w:tc>
          <w:tcPr>
            <w:tcW w:w="850" w:type="dxa"/>
          </w:tcPr>
          <w:p w14:paraId="379307AF" w14:textId="77777777" w:rsidR="00AE42F5" w:rsidRPr="00DE12A3" w:rsidRDefault="00AE42F5" w:rsidP="00C917D6">
            <w:pPr>
              <w:pStyle w:val="NormalLeft"/>
            </w:pPr>
            <w:r w:rsidRPr="00DE12A3">
              <w:rPr>
                <w:i/>
                <w:iCs/>
              </w:rPr>
              <w:t>m</w:t>
            </w:r>
            <w:r w:rsidRPr="00DE12A3">
              <w:rPr>
                <w:vertAlign w:val="subscript"/>
              </w:rPr>
              <w:t>PM</w:t>
            </w:r>
          </w:p>
        </w:tc>
        <w:tc>
          <w:tcPr>
            <w:tcW w:w="425" w:type="dxa"/>
          </w:tcPr>
          <w:p w14:paraId="1E9AA6F5" w14:textId="77777777" w:rsidR="00AE42F5" w:rsidRPr="00DE12A3" w:rsidRDefault="00AE42F5" w:rsidP="00C917D6">
            <w:pPr>
              <w:pStyle w:val="NormalLeft"/>
            </w:pPr>
            <w:r w:rsidRPr="00DE12A3">
              <w:t>=</w:t>
            </w:r>
          </w:p>
        </w:tc>
        <w:tc>
          <w:tcPr>
            <w:tcW w:w="4457" w:type="dxa"/>
          </w:tcPr>
          <w:p w14:paraId="2E03CB70" w14:textId="77777777" w:rsidR="00AE42F5" w:rsidRPr="00DE12A3" w:rsidRDefault="00AE42F5" w:rsidP="00C917D6">
            <w:pPr>
              <w:spacing w:before="120" w:after="120"/>
              <w:rPr>
                <w:rFonts w:cs="Times New Roman"/>
                <w:color w:val="auto"/>
              </w:rPr>
            </w:pPr>
            <w:r w:rsidRPr="00DE12A3">
              <w:rPr>
                <w:rFonts w:cs="Times New Roman"/>
                <w:color w:val="auto"/>
              </w:rPr>
              <w:t xml:space="preserve">3.7.1 bendi uyarınca hesaplanan toplam </w:t>
            </w:r>
            <w:r w:rsidR="007E2039" w:rsidRPr="00DE12A3">
              <w:rPr>
                <w:rFonts w:cs="Times New Roman"/>
                <w:color w:val="auto"/>
              </w:rPr>
              <w:t xml:space="preserve">partikül </w:t>
            </w:r>
            <w:r w:rsidRPr="00DE12A3">
              <w:rPr>
                <w:rFonts w:cs="Times New Roman"/>
                <w:color w:val="auto"/>
              </w:rPr>
              <w:t>emisyonu kütlesi [g/test]</w:t>
            </w:r>
          </w:p>
        </w:tc>
      </w:tr>
      <w:tr w:rsidR="00AE42F5" w:rsidRPr="00DE12A3" w14:paraId="5DF23234" w14:textId="77777777" w:rsidTr="00DC7DDF">
        <w:tc>
          <w:tcPr>
            <w:tcW w:w="850" w:type="dxa"/>
          </w:tcPr>
          <w:p w14:paraId="3C4EDAC9" w14:textId="77777777" w:rsidR="00AE42F5" w:rsidRPr="00DE12A3" w:rsidRDefault="00AE42F5" w:rsidP="00C917D6">
            <w:pPr>
              <w:pStyle w:val="NormalLeft"/>
            </w:pPr>
            <w:r w:rsidRPr="00DE12A3">
              <w:rPr>
                <w:i/>
                <w:iCs/>
              </w:rPr>
              <w:t>W</w:t>
            </w:r>
            <w:r w:rsidRPr="00DE12A3">
              <w:rPr>
                <w:vertAlign w:val="subscript"/>
              </w:rPr>
              <w:t>act</w:t>
            </w:r>
          </w:p>
        </w:tc>
        <w:tc>
          <w:tcPr>
            <w:tcW w:w="425" w:type="dxa"/>
          </w:tcPr>
          <w:p w14:paraId="382C314E" w14:textId="77777777" w:rsidR="00AE42F5" w:rsidRPr="00DE12A3" w:rsidRDefault="00AE42F5" w:rsidP="00C917D6">
            <w:pPr>
              <w:pStyle w:val="NormalLeft"/>
            </w:pPr>
            <w:r w:rsidRPr="00DE12A3">
              <w:t>=</w:t>
            </w:r>
          </w:p>
        </w:tc>
        <w:tc>
          <w:tcPr>
            <w:tcW w:w="4457" w:type="dxa"/>
          </w:tcPr>
          <w:p w14:paraId="126C407A" w14:textId="2C332BF0" w:rsidR="00AE42F5" w:rsidRPr="00DE12A3" w:rsidRDefault="00005131" w:rsidP="00C917D6">
            <w:pPr>
              <w:spacing w:before="120" w:after="120"/>
              <w:rPr>
                <w:rFonts w:cs="Times New Roman"/>
                <w:color w:val="auto"/>
              </w:rPr>
            </w:pPr>
            <w:r w:rsidRPr="00DE12A3">
              <w:rPr>
                <w:rFonts w:cs="Times New Roman"/>
                <w:color w:val="auto"/>
              </w:rPr>
              <w:t>Çevrim</w:t>
            </w:r>
            <w:r w:rsidR="00AE42F5" w:rsidRPr="00DE12A3">
              <w:rPr>
                <w:rFonts w:cs="Times New Roman"/>
                <w:color w:val="auto"/>
              </w:rPr>
              <w:t xml:space="preserve"> çalışması [kWh]</w:t>
            </w:r>
          </w:p>
        </w:tc>
      </w:tr>
    </w:tbl>
    <w:p w14:paraId="2F7CE356" w14:textId="77777777" w:rsidR="009F4766" w:rsidRPr="00DE12A3" w:rsidRDefault="009F4766" w:rsidP="00C917D6">
      <w:pPr>
        <w:spacing w:before="120" w:after="120"/>
        <w:rPr>
          <w:rFonts w:cs="Times New Roman"/>
          <w:color w:val="auto"/>
        </w:rPr>
      </w:pPr>
    </w:p>
    <w:p w14:paraId="652A2A0A" w14:textId="77777777" w:rsidR="00DC7DDF" w:rsidRPr="00DE12A3" w:rsidRDefault="009C444B" w:rsidP="00C917D6">
      <w:pPr>
        <w:spacing w:before="120" w:after="120"/>
        <w:ind w:left="1134"/>
        <w:rPr>
          <w:rFonts w:cs="Times New Roman"/>
          <w:color w:val="auto"/>
        </w:rPr>
      </w:pPr>
      <w:r w:rsidRPr="00DE12A3">
        <w:rPr>
          <w:rFonts w:cs="Times New Roman"/>
          <w:color w:val="auto"/>
        </w:rPr>
        <w:t>Süreksiz bileşik</w:t>
      </w:r>
      <w:r w:rsidR="00DC7DDF" w:rsidRPr="00DE12A3">
        <w:rPr>
          <w:rFonts w:cs="Times New Roman"/>
          <w:color w:val="auto"/>
        </w:rPr>
        <w:t xml:space="preserve"> </w:t>
      </w:r>
      <w:r w:rsidR="00F310B5" w:rsidRPr="00DE12A3">
        <w:rPr>
          <w:rFonts w:cs="Times New Roman"/>
          <w:color w:val="auto"/>
        </w:rPr>
        <w:t>çevrim</w:t>
      </w:r>
      <w:r w:rsidR="00DC7DDF" w:rsidRPr="00DE12A3">
        <w:rPr>
          <w:rFonts w:cs="Times New Roman"/>
          <w:color w:val="auto"/>
        </w:rPr>
        <w:t xml:space="preserve"> (yani, soğuk çalıştırmalı NRTC ve ön ısıtmalı NRTC) üzerindeki emisyonlar, 3.8.1.1 bendinde gösterildiği şekilde hesaplanmalıdır.</w:t>
      </w:r>
    </w:p>
    <w:p w14:paraId="1D9BACA2" w14:textId="77777777" w:rsidR="00DC7DDF" w:rsidRPr="00DE12A3" w:rsidRDefault="009F4766" w:rsidP="00C917D6">
      <w:pPr>
        <w:pStyle w:val="ManualHeading4"/>
        <w:numPr>
          <w:ilvl w:val="0"/>
          <w:numId w:val="0"/>
        </w:numPr>
        <w:ind w:left="1134" w:hanging="1134"/>
      </w:pPr>
      <w:r w:rsidRPr="00DE12A3">
        <w:lastRenderedPageBreak/>
        <w:t>3.8.2.2.</w:t>
      </w:r>
      <w:r w:rsidRPr="00DE12A3">
        <w:tab/>
      </w:r>
      <w:r w:rsidR="00DC7DDF" w:rsidRPr="00DE12A3">
        <w:t>Ayrık modlu NRSC</w:t>
      </w:r>
    </w:p>
    <w:p w14:paraId="783A8503" w14:textId="19B7F5E5" w:rsidR="00DC7DDF" w:rsidRPr="00DE12A3" w:rsidRDefault="007E2039" w:rsidP="00C917D6">
      <w:pPr>
        <w:pStyle w:val="ManualHeading4"/>
        <w:numPr>
          <w:ilvl w:val="0"/>
          <w:numId w:val="0"/>
        </w:numPr>
        <w:ind w:left="1134"/>
      </w:pPr>
      <w:r w:rsidRPr="00DE12A3">
        <w:t xml:space="preserve">Partikül </w:t>
      </w:r>
      <w:r w:rsidR="00DC7DDF" w:rsidRPr="00DE12A3">
        <w:t>spesifik emisyonu ePM [g/kWh], aşağıdaki şekilde hesaplanmalıdır</w:t>
      </w:r>
      <w:r w:rsidR="00825EFD" w:rsidRPr="00DE12A3">
        <w:t>.</w:t>
      </w:r>
    </w:p>
    <w:p w14:paraId="780DACD6" w14:textId="4161001F" w:rsidR="00DC7DDF" w:rsidRPr="00DE12A3" w:rsidRDefault="009F4766" w:rsidP="00C917D6">
      <w:pPr>
        <w:spacing w:before="120" w:after="120"/>
        <w:ind w:left="1134" w:hanging="1134"/>
        <w:rPr>
          <w:rFonts w:cs="Times New Roman"/>
          <w:color w:val="auto"/>
        </w:rPr>
      </w:pPr>
      <w:r w:rsidRPr="00DE12A3">
        <w:rPr>
          <w:rFonts w:cs="Times New Roman"/>
          <w:color w:val="auto"/>
        </w:rPr>
        <w:t>3.8.2.2.1.</w:t>
      </w:r>
      <w:r w:rsidRPr="00DE12A3">
        <w:rPr>
          <w:rFonts w:cs="Times New Roman"/>
          <w:color w:val="auto"/>
        </w:rPr>
        <w:tab/>
      </w:r>
      <w:r w:rsidR="00DC7DDF" w:rsidRPr="00DE12A3">
        <w:rPr>
          <w:rFonts w:cs="Times New Roman"/>
          <w:color w:val="auto"/>
        </w:rPr>
        <w:t xml:space="preserve">Tek filtre yöntemi için (7-133) </w:t>
      </w:r>
      <w:r w:rsidR="00962CA1" w:rsidRPr="00DE12A3">
        <w:rPr>
          <w:color w:val="auto"/>
        </w:rPr>
        <w:t>numaralı</w:t>
      </w:r>
      <w:r w:rsidR="00962CA1" w:rsidRPr="00DE12A3" w:rsidDel="00962CA1">
        <w:rPr>
          <w:rFonts w:cs="Times New Roman"/>
          <w:color w:val="auto"/>
        </w:rPr>
        <w:t xml:space="preserve"> </w:t>
      </w:r>
      <w:r w:rsidR="00DC7DDF" w:rsidRPr="00DE12A3">
        <w:rPr>
          <w:rFonts w:cs="Times New Roman"/>
          <w:color w:val="auto"/>
        </w:rPr>
        <w:t>denklem ile:</w:t>
      </w:r>
    </w:p>
    <w:tbl>
      <w:tblPr>
        <w:tblW w:w="0" w:type="auto"/>
        <w:tblInd w:w="2786" w:type="dxa"/>
        <w:tblLayout w:type="fixed"/>
        <w:tblLook w:val="0000" w:firstRow="0" w:lastRow="0" w:firstColumn="0" w:lastColumn="0" w:noHBand="0" w:noVBand="0"/>
      </w:tblPr>
      <w:tblGrid>
        <w:gridCol w:w="2712"/>
        <w:gridCol w:w="1002"/>
      </w:tblGrid>
      <w:tr w:rsidR="00DE12A3" w:rsidRPr="00DE12A3" w14:paraId="11DF4D41" w14:textId="77777777" w:rsidTr="00DC7DDF">
        <w:tc>
          <w:tcPr>
            <w:tcW w:w="2712" w:type="dxa"/>
          </w:tcPr>
          <w:p w14:paraId="3FAC8B8C" w14:textId="796C50E0" w:rsidR="009F4766" w:rsidRPr="00DE12A3" w:rsidRDefault="009F4766" w:rsidP="00C917D6">
            <w:pPr>
              <w:pStyle w:val="NormalLeft"/>
            </w:pPr>
            <w:r w:rsidRPr="00DE12A3">
              <w:rPr>
                <w:noProof/>
                <w:lang w:val="tr-TR"/>
              </w:rPr>
              <w:drawing>
                <wp:inline distT="0" distB="0" distL="0" distR="0" wp14:anchorId="4B5B8392" wp14:editId="10D35661">
                  <wp:extent cx="1541585" cy="627380"/>
                  <wp:effectExtent l="0" t="0" r="1905" b="1270"/>
                  <wp:docPr id="2473" name="Resim 24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1549987" cy="630800"/>
                          </a:xfrm>
                          <a:prstGeom prst="rect">
                            <a:avLst/>
                          </a:prstGeom>
                          <a:noFill/>
                          <a:ln>
                            <a:noFill/>
                          </a:ln>
                        </pic:spPr>
                      </pic:pic>
                    </a:graphicData>
                  </a:graphic>
                </wp:inline>
              </w:drawing>
            </w:r>
          </w:p>
        </w:tc>
        <w:tc>
          <w:tcPr>
            <w:tcW w:w="1002" w:type="dxa"/>
          </w:tcPr>
          <w:p w14:paraId="597252CC" w14:textId="77777777" w:rsidR="009F4766" w:rsidRPr="00DE12A3" w:rsidRDefault="009F4766" w:rsidP="00C917D6">
            <w:pPr>
              <w:pStyle w:val="NormalLeft"/>
            </w:pPr>
            <w:r w:rsidRPr="00DE12A3">
              <w:t>(7-133)</w:t>
            </w:r>
          </w:p>
        </w:tc>
      </w:tr>
    </w:tbl>
    <w:p w14:paraId="3EA374BB" w14:textId="77777777" w:rsidR="009F4766" w:rsidRPr="00DE12A3" w:rsidRDefault="008B3D9F" w:rsidP="00C917D6">
      <w:pPr>
        <w:spacing w:before="120" w:after="120"/>
        <w:ind w:left="1134"/>
        <w:rPr>
          <w:rFonts w:cs="Times New Roman"/>
          <w:color w:val="auto"/>
        </w:rPr>
      </w:pPr>
      <w:r w:rsidRPr="00DE12A3">
        <w:rPr>
          <w:rFonts w:cs="Times New Roman"/>
          <w:color w:val="auto"/>
        </w:rPr>
        <w:t>Burada</w:t>
      </w:r>
      <w:r w:rsidR="009F4766" w:rsidRPr="00DE12A3">
        <w:rPr>
          <w:rFonts w:cs="Times New Roman"/>
          <w:color w:val="auto"/>
        </w:rPr>
        <w:t>:</w:t>
      </w:r>
    </w:p>
    <w:tbl>
      <w:tblPr>
        <w:tblW w:w="0" w:type="auto"/>
        <w:tblInd w:w="1242" w:type="dxa"/>
        <w:tblLayout w:type="fixed"/>
        <w:tblLook w:val="0000" w:firstRow="0" w:lastRow="0" w:firstColumn="0" w:lastColumn="0" w:noHBand="0" w:noVBand="0"/>
      </w:tblPr>
      <w:tblGrid>
        <w:gridCol w:w="1418"/>
        <w:gridCol w:w="567"/>
        <w:gridCol w:w="6059"/>
      </w:tblGrid>
      <w:tr w:rsidR="00DE12A3" w:rsidRPr="00DE12A3" w14:paraId="2704A306" w14:textId="77777777" w:rsidTr="00DC7DDF">
        <w:tc>
          <w:tcPr>
            <w:tcW w:w="1418" w:type="dxa"/>
          </w:tcPr>
          <w:p w14:paraId="1FC1F3AA" w14:textId="77777777" w:rsidR="00DC7DDF" w:rsidRPr="00DE12A3" w:rsidRDefault="00DC7DDF" w:rsidP="00C917D6">
            <w:pPr>
              <w:pStyle w:val="NormalLeft"/>
            </w:pPr>
            <w:r w:rsidRPr="00DE12A3">
              <w:rPr>
                <w:i/>
                <w:iCs/>
              </w:rPr>
              <w:t>P</w:t>
            </w:r>
            <w:r w:rsidRPr="00DE12A3">
              <w:rPr>
                <w:i/>
                <w:iCs/>
                <w:vertAlign w:val="subscript"/>
              </w:rPr>
              <w:t>i</w:t>
            </w:r>
            <w:r w:rsidRPr="00DE12A3">
              <w:t xml:space="preserve">  </w:t>
            </w:r>
          </w:p>
        </w:tc>
        <w:tc>
          <w:tcPr>
            <w:tcW w:w="567" w:type="dxa"/>
          </w:tcPr>
          <w:p w14:paraId="6EAD9067" w14:textId="77777777" w:rsidR="00DC7DDF" w:rsidRPr="00DE12A3" w:rsidRDefault="00DC7DDF" w:rsidP="00C917D6">
            <w:pPr>
              <w:pStyle w:val="NormalLeft"/>
            </w:pPr>
            <w:r w:rsidRPr="00DE12A3">
              <w:t xml:space="preserve">=  </w:t>
            </w:r>
          </w:p>
        </w:tc>
        <w:tc>
          <w:tcPr>
            <w:tcW w:w="6059" w:type="dxa"/>
          </w:tcPr>
          <w:p w14:paraId="1389C2D8" w14:textId="7D6BA339" w:rsidR="00DC7DDF" w:rsidRPr="00DE12A3" w:rsidRDefault="00DC7DDF">
            <w:pPr>
              <w:spacing w:before="120" w:after="120"/>
              <w:rPr>
                <w:rFonts w:cs="Times New Roman"/>
                <w:color w:val="auto"/>
              </w:rPr>
            </w:pPr>
            <w:r w:rsidRPr="00DE12A3">
              <w:rPr>
                <w:rFonts w:cs="Times New Roman"/>
                <w:color w:val="auto"/>
              </w:rPr>
              <w:t xml:space="preserve">i modu için motor gücü [kW]; ölçülen güç Pmeas'a [kW], </w:t>
            </w:r>
            <w:r w:rsidR="00FA0678" w:rsidRPr="00DE12A3">
              <w:rPr>
                <w:rFonts w:cs="Times New Roman"/>
                <w:color w:val="auto"/>
              </w:rPr>
              <w:t xml:space="preserve">VI’ncı </w:t>
            </w:r>
            <w:r w:rsidR="00825EFD" w:rsidRPr="00DE12A3">
              <w:rPr>
                <w:rFonts w:cs="Times New Roman"/>
                <w:color w:val="auto"/>
              </w:rPr>
              <w:t>E</w:t>
            </w:r>
            <w:r w:rsidR="00FA0678" w:rsidRPr="00DE12A3">
              <w:rPr>
                <w:rFonts w:cs="Times New Roman"/>
                <w:color w:val="auto"/>
              </w:rPr>
              <w:t>k</w:t>
            </w:r>
            <w:r w:rsidRPr="00DE12A3">
              <w:rPr>
                <w:rFonts w:cs="Times New Roman"/>
                <w:color w:val="auto"/>
              </w:rPr>
              <w:t xml:space="preserve">teki (6-8) </w:t>
            </w:r>
            <w:r w:rsidR="00962CA1" w:rsidRPr="00DE12A3">
              <w:rPr>
                <w:color w:val="auto"/>
              </w:rPr>
              <w:t>numaralı</w:t>
            </w:r>
            <w:r w:rsidR="00962CA1" w:rsidRPr="00DE12A3" w:rsidDel="00962CA1">
              <w:rPr>
                <w:rFonts w:cs="Times New Roman"/>
                <w:color w:val="auto"/>
              </w:rPr>
              <w:t xml:space="preserve"> </w:t>
            </w:r>
            <w:r w:rsidRPr="00DE12A3">
              <w:rPr>
                <w:rFonts w:cs="Times New Roman"/>
                <w:color w:val="auto"/>
              </w:rPr>
              <w:t>denklem uyarınca belirlenen, yardımcı cihazları tahrik etmek için gereken güç PAUX'un [kW] eklenmesi ile hesaplanır (Pi = Pmeas + PAUX)</w:t>
            </w:r>
            <w:r w:rsidR="00825EFD" w:rsidRPr="00DE12A3">
              <w:rPr>
                <w:rFonts w:cs="Times New Roman"/>
                <w:color w:val="auto"/>
              </w:rPr>
              <w:t>.</w:t>
            </w:r>
          </w:p>
        </w:tc>
      </w:tr>
      <w:tr w:rsidR="00DE12A3" w:rsidRPr="00DE12A3" w14:paraId="701EEAC9" w14:textId="77777777" w:rsidTr="00DC7DDF">
        <w:tc>
          <w:tcPr>
            <w:tcW w:w="1418" w:type="dxa"/>
          </w:tcPr>
          <w:p w14:paraId="77EEECC0" w14:textId="77777777" w:rsidR="00DC7DDF" w:rsidRPr="00DE12A3" w:rsidRDefault="00DC7DDF" w:rsidP="00C917D6">
            <w:pPr>
              <w:pStyle w:val="NormalLeft"/>
            </w:pPr>
            <w:r w:rsidRPr="00DE12A3">
              <w:rPr>
                <w:i/>
                <w:iCs/>
              </w:rPr>
              <w:t>WF</w:t>
            </w:r>
            <w:r w:rsidRPr="00DE12A3">
              <w:rPr>
                <w:i/>
                <w:iCs/>
                <w:vertAlign w:val="subscript"/>
              </w:rPr>
              <w:t>i</w:t>
            </w:r>
          </w:p>
        </w:tc>
        <w:tc>
          <w:tcPr>
            <w:tcW w:w="567" w:type="dxa"/>
          </w:tcPr>
          <w:p w14:paraId="23FD7E35" w14:textId="77777777" w:rsidR="00DC7DDF" w:rsidRPr="00DE12A3" w:rsidRDefault="00DC7DDF" w:rsidP="00C917D6">
            <w:pPr>
              <w:pStyle w:val="NormalLeft"/>
            </w:pPr>
            <w:r w:rsidRPr="00DE12A3">
              <w:t>=</w:t>
            </w:r>
          </w:p>
        </w:tc>
        <w:tc>
          <w:tcPr>
            <w:tcW w:w="6059" w:type="dxa"/>
          </w:tcPr>
          <w:p w14:paraId="4EDF85DA" w14:textId="77777777" w:rsidR="00DC7DDF" w:rsidRPr="00DE12A3" w:rsidRDefault="00DC7DDF" w:rsidP="00C917D6">
            <w:pPr>
              <w:spacing w:before="120" w:after="120"/>
              <w:rPr>
                <w:rFonts w:cs="Times New Roman"/>
                <w:color w:val="auto"/>
              </w:rPr>
            </w:pPr>
            <w:r w:rsidRPr="00DE12A3">
              <w:rPr>
                <w:rFonts w:cs="Times New Roman"/>
                <w:color w:val="auto"/>
              </w:rPr>
              <w:t>i modu için ağırlık faktörü [-]</w:t>
            </w:r>
          </w:p>
        </w:tc>
      </w:tr>
      <w:tr w:rsidR="00DE12A3" w:rsidRPr="00DE12A3" w14:paraId="4990FE05" w14:textId="77777777" w:rsidTr="00DC7DDF">
        <w:tc>
          <w:tcPr>
            <w:tcW w:w="1418" w:type="dxa"/>
          </w:tcPr>
          <w:p w14:paraId="6D22251E" w14:textId="77777777" w:rsidR="00DC7DDF" w:rsidRPr="00DE12A3" w:rsidRDefault="00DC7DDF" w:rsidP="00C917D6">
            <w:pPr>
              <w:pStyle w:val="NormalLeft"/>
            </w:pPr>
            <w:r w:rsidRPr="00DE12A3">
              <w:rPr>
                <w:i/>
                <w:iCs/>
              </w:rPr>
              <w:t>ṁ</w:t>
            </w:r>
            <w:r w:rsidRPr="00DE12A3">
              <w:rPr>
                <w:vertAlign w:val="subscript"/>
              </w:rPr>
              <w:t>PM</w:t>
            </w:r>
          </w:p>
        </w:tc>
        <w:tc>
          <w:tcPr>
            <w:tcW w:w="567" w:type="dxa"/>
          </w:tcPr>
          <w:p w14:paraId="51F6D2BA" w14:textId="77777777" w:rsidR="00DC7DDF" w:rsidRPr="00DE12A3" w:rsidRDefault="00DC7DDF" w:rsidP="00C917D6">
            <w:pPr>
              <w:pStyle w:val="NormalLeft"/>
            </w:pPr>
            <w:r w:rsidRPr="00DE12A3">
              <w:t>=</w:t>
            </w:r>
          </w:p>
        </w:tc>
        <w:tc>
          <w:tcPr>
            <w:tcW w:w="6059" w:type="dxa"/>
          </w:tcPr>
          <w:p w14:paraId="04FF19E4" w14:textId="461047FE" w:rsidR="00DC7DDF" w:rsidRPr="00DE12A3" w:rsidRDefault="006D7ADF" w:rsidP="00C917D6">
            <w:pPr>
              <w:spacing w:before="120" w:after="120"/>
              <w:rPr>
                <w:rFonts w:cs="Times New Roman"/>
                <w:color w:val="auto"/>
              </w:rPr>
            </w:pPr>
            <w:r w:rsidRPr="00DE12A3">
              <w:rPr>
                <w:rFonts w:cs="Times New Roman"/>
                <w:color w:val="auto"/>
              </w:rPr>
              <w:t>Partikül</w:t>
            </w:r>
            <w:r w:rsidR="007E2039" w:rsidRPr="00DE12A3">
              <w:rPr>
                <w:rFonts w:cs="Times New Roman"/>
                <w:color w:val="auto"/>
              </w:rPr>
              <w:t xml:space="preserve"> </w:t>
            </w:r>
            <w:r w:rsidR="00DC7DDF" w:rsidRPr="00DE12A3">
              <w:rPr>
                <w:rFonts w:cs="Times New Roman"/>
                <w:color w:val="auto"/>
              </w:rPr>
              <w:t>kütle akış hızı [g/h]</w:t>
            </w:r>
          </w:p>
        </w:tc>
      </w:tr>
      <w:tr w:rsidR="00DC7DDF" w:rsidRPr="00DE12A3" w14:paraId="1627A126" w14:textId="77777777" w:rsidTr="00DC7DDF">
        <w:tc>
          <w:tcPr>
            <w:tcW w:w="1418" w:type="dxa"/>
          </w:tcPr>
          <w:p w14:paraId="5A6DD683" w14:textId="77777777" w:rsidR="00DC7DDF" w:rsidRPr="00DE12A3" w:rsidRDefault="00DC7DDF" w:rsidP="00C917D6">
            <w:pPr>
              <w:pStyle w:val="NormalLeft"/>
            </w:pPr>
            <w:r w:rsidRPr="00DE12A3">
              <w:rPr>
                <w:i/>
                <w:iCs/>
              </w:rPr>
              <w:t>N</w:t>
            </w:r>
            <w:r w:rsidRPr="00DE12A3">
              <w:rPr>
                <w:i/>
                <w:iCs/>
                <w:vertAlign w:val="subscript"/>
              </w:rPr>
              <w:t>mode</w:t>
            </w:r>
            <w:r w:rsidRPr="00DE12A3">
              <w:t xml:space="preserve">  </w:t>
            </w:r>
          </w:p>
        </w:tc>
        <w:tc>
          <w:tcPr>
            <w:tcW w:w="567" w:type="dxa"/>
          </w:tcPr>
          <w:p w14:paraId="42CB517B" w14:textId="77777777" w:rsidR="00DC7DDF" w:rsidRPr="00DE12A3" w:rsidRDefault="00DC7DDF" w:rsidP="00C917D6">
            <w:pPr>
              <w:pStyle w:val="NormalLeft"/>
            </w:pPr>
            <w:r w:rsidRPr="00DE12A3">
              <w:t xml:space="preserve"> = </w:t>
            </w:r>
          </w:p>
        </w:tc>
        <w:tc>
          <w:tcPr>
            <w:tcW w:w="6059" w:type="dxa"/>
          </w:tcPr>
          <w:p w14:paraId="0D01B91F" w14:textId="0D08B97E" w:rsidR="00DC7DDF" w:rsidRPr="00DE12A3" w:rsidRDefault="006D7ADF" w:rsidP="00C917D6">
            <w:pPr>
              <w:spacing w:before="120" w:after="120"/>
              <w:rPr>
                <w:rFonts w:cs="Times New Roman"/>
                <w:color w:val="auto"/>
              </w:rPr>
            </w:pPr>
            <w:r w:rsidRPr="00DE12A3">
              <w:rPr>
                <w:rFonts w:cs="Times New Roman"/>
                <w:color w:val="auto"/>
              </w:rPr>
              <w:t>Geçerli</w:t>
            </w:r>
            <w:r w:rsidR="00DC7DDF" w:rsidRPr="00DE12A3">
              <w:rPr>
                <w:rFonts w:cs="Times New Roman"/>
                <w:color w:val="auto"/>
              </w:rPr>
              <w:t xml:space="preserve"> ayrık modlu NRSC içindeki mod sayısı</w:t>
            </w:r>
          </w:p>
        </w:tc>
      </w:tr>
    </w:tbl>
    <w:p w14:paraId="095DDBD7" w14:textId="77777777" w:rsidR="009F4766" w:rsidRPr="00DE12A3" w:rsidRDefault="009F4766" w:rsidP="00C917D6">
      <w:pPr>
        <w:spacing w:before="120" w:after="120"/>
        <w:rPr>
          <w:rFonts w:cs="Times New Roman"/>
          <w:color w:val="auto"/>
        </w:rPr>
      </w:pPr>
    </w:p>
    <w:p w14:paraId="70C780F3" w14:textId="2561C0F0" w:rsidR="009F4766" w:rsidRPr="00DE12A3" w:rsidRDefault="009F4766" w:rsidP="00C917D6">
      <w:pPr>
        <w:spacing w:before="120" w:after="120"/>
        <w:ind w:left="1134" w:hanging="1134"/>
        <w:rPr>
          <w:rFonts w:cs="Times New Roman"/>
          <w:color w:val="auto"/>
        </w:rPr>
      </w:pPr>
      <w:r w:rsidRPr="00DE12A3">
        <w:rPr>
          <w:rFonts w:cs="Times New Roman"/>
          <w:color w:val="auto"/>
        </w:rPr>
        <w:t>3.8.2.2.2.</w:t>
      </w:r>
      <w:r w:rsidRPr="00DE12A3">
        <w:rPr>
          <w:rFonts w:cs="Times New Roman"/>
          <w:color w:val="auto"/>
        </w:rPr>
        <w:tab/>
      </w:r>
      <w:r w:rsidR="00DC7DDF" w:rsidRPr="00DE12A3">
        <w:rPr>
          <w:rFonts w:cs="Times New Roman"/>
          <w:color w:val="auto"/>
        </w:rPr>
        <w:t xml:space="preserve">Birden fazla filtre yöntemi için (7-134) </w:t>
      </w:r>
      <w:r w:rsidR="00962CA1" w:rsidRPr="00DE12A3">
        <w:rPr>
          <w:color w:val="auto"/>
        </w:rPr>
        <w:t>numaralı</w:t>
      </w:r>
      <w:r w:rsidR="00962CA1" w:rsidRPr="00DE12A3" w:rsidDel="00962CA1">
        <w:rPr>
          <w:rFonts w:cs="Times New Roman"/>
          <w:color w:val="auto"/>
        </w:rPr>
        <w:t xml:space="preserve"> </w:t>
      </w:r>
      <w:r w:rsidR="00DC7DDF" w:rsidRPr="00DE12A3">
        <w:rPr>
          <w:rFonts w:cs="Times New Roman"/>
          <w:color w:val="auto"/>
        </w:rPr>
        <w:t>denklem ile:</w:t>
      </w:r>
    </w:p>
    <w:p w14:paraId="30AACCCF" w14:textId="77777777" w:rsidR="00DC7DDF" w:rsidRPr="00DE12A3" w:rsidRDefault="00DC7DDF" w:rsidP="00C917D6">
      <w:pPr>
        <w:spacing w:before="120" w:after="120"/>
        <w:rPr>
          <w:rFonts w:cs="Times New Roman"/>
          <w:color w:val="auto"/>
        </w:rPr>
      </w:pPr>
    </w:p>
    <w:tbl>
      <w:tblPr>
        <w:tblW w:w="0" w:type="auto"/>
        <w:tblInd w:w="2136" w:type="dxa"/>
        <w:tblLayout w:type="fixed"/>
        <w:tblLook w:val="0000" w:firstRow="0" w:lastRow="0" w:firstColumn="0" w:lastColumn="0" w:noHBand="0" w:noVBand="0"/>
      </w:tblPr>
      <w:tblGrid>
        <w:gridCol w:w="4012"/>
        <w:gridCol w:w="1002"/>
      </w:tblGrid>
      <w:tr w:rsidR="009F4766" w:rsidRPr="00DE12A3" w14:paraId="2C4F4199" w14:textId="77777777" w:rsidTr="00DC7DDF">
        <w:tc>
          <w:tcPr>
            <w:tcW w:w="4012" w:type="dxa"/>
          </w:tcPr>
          <w:p w14:paraId="237FF5A5" w14:textId="1FF3103E" w:rsidR="009F4766" w:rsidRPr="00DE12A3" w:rsidRDefault="009F4766" w:rsidP="00C917D6">
            <w:pPr>
              <w:pStyle w:val="NormalLeft"/>
            </w:pPr>
            <w:r w:rsidRPr="00DE12A3">
              <w:rPr>
                <w:noProof/>
                <w:lang w:val="tr-TR"/>
              </w:rPr>
              <w:drawing>
                <wp:inline distT="0" distB="0" distL="0" distR="0" wp14:anchorId="16A56EA7" wp14:editId="6392C4F9">
                  <wp:extent cx="2250831" cy="791210"/>
                  <wp:effectExtent l="0" t="0" r="0" b="8890"/>
                  <wp:docPr id="2472" name="Resim 2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99">
                            <a:extLst>
                              <a:ext uri="{28A0092B-C50C-407E-A947-70E740481C1C}">
                                <a14:useLocalDpi xmlns:a14="http://schemas.microsoft.com/office/drawing/2010/main" val="0"/>
                              </a:ext>
                            </a:extLst>
                          </a:blip>
                          <a:srcRect/>
                          <a:stretch>
                            <a:fillRect/>
                          </a:stretch>
                        </pic:blipFill>
                        <pic:spPr bwMode="auto">
                          <a:xfrm>
                            <a:off x="0" y="0"/>
                            <a:ext cx="2255290" cy="792777"/>
                          </a:xfrm>
                          <a:prstGeom prst="rect">
                            <a:avLst/>
                          </a:prstGeom>
                          <a:noFill/>
                          <a:ln>
                            <a:noFill/>
                          </a:ln>
                        </pic:spPr>
                      </pic:pic>
                    </a:graphicData>
                  </a:graphic>
                </wp:inline>
              </w:drawing>
            </w:r>
          </w:p>
        </w:tc>
        <w:tc>
          <w:tcPr>
            <w:tcW w:w="1002" w:type="dxa"/>
          </w:tcPr>
          <w:p w14:paraId="7EFF899D" w14:textId="77777777" w:rsidR="009F4766" w:rsidRPr="00DE12A3" w:rsidRDefault="009F4766" w:rsidP="00C917D6">
            <w:pPr>
              <w:pStyle w:val="NormalLeft"/>
            </w:pPr>
            <w:r w:rsidRPr="00DE12A3">
              <w:t>(7-134)</w:t>
            </w:r>
          </w:p>
        </w:tc>
      </w:tr>
    </w:tbl>
    <w:p w14:paraId="77946445" w14:textId="77777777" w:rsidR="009F4766" w:rsidRPr="00DE12A3" w:rsidRDefault="009F4766" w:rsidP="00C917D6">
      <w:pPr>
        <w:spacing w:before="120" w:after="120"/>
        <w:rPr>
          <w:rFonts w:cs="Times New Roman"/>
          <w:color w:val="auto"/>
        </w:rPr>
      </w:pPr>
    </w:p>
    <w:p w14:paraId="12D7952B" w14:textId="77777777" w:rsidR="009F4766" w:rsidRPr="00DE12A3" w:rsidRDefault="008B3D9F" w:rsidP="00C917D6">
      <w:pPr>
        <w:spacing w:before="120" w:after="120"/>
        <w:ind w:left="1134"/>
        <w:rPr>
          <w:rFonts w:cs="Times New Roman"/>
          <w:color w:val="auto"/>
        </w:rPr>
      </w:pPr>
      <w:r w:rsidRPr="00DE12A3">
        <w:rPr>
          <w:rFonts w:cs="Times New Roman"/>
          <w:color w:val="auto"/>
        </w:rPr>
        <w:t>Burada</w:t>
      </w:r>
      <w:r w:rsidR="009F4766" w:rsidRPr="00DE12A3">
        <w:rPr>
          <w:rFonts w:cs="Times New Roman"/>
          <w:color w:val="auto"/>
        </w:rPr>
        <w:t>:</w:t>
      </w:r>
    </w:p>
    <w:tbl>
      <w:tblPr>
        <w:tblW w:w="0" w:type="auto"/>
        <w:tblInd w:w="1242" w:type="dxa"/>
        <w:tblLayout w:type="fixed"/>
        <w:tblLook w:val="0000" w:firstRow="0" w:lastRow="0" w:firstColumn="0" w:lastColumn="0" w:noHBand="0" w:noVBand="0"/>
      </w:tblPr>
      <w:tblGrid>
        <w:gridCol w:w="1985"/>
        <w:gridCol w:w="567"/>
        <w:gridCol w:w="5492"/>
      </w:tblGrid>
      <w:tr w:rsidR="00DE12A3" w:rsidRPr="00DE12A3" w14:paraId="281D76EB" w14:textId="77777777" w:rsidTr="00DC7DDF">
        <w:tc>
          <w:tcPr>
            <w:tcW w:w="1985" w:type="dxa"/>
          </w:tcPr>
          <w:p w14:paraId="73824DE3" w14:textId="77777777" w:rsidR="00DC7DDF" w:rsidRPr="00DE12A3" w:rsidRDefault="00DC7DDF" w:rsidP="00C917D6">
            <w:pPr>
              <w:pStyle w:val="NormalLeft"/>
            </w:pPr>
            <w:r w:rsidRPr="00DE12A3">
              <w:rPr>
                <w:lang w:val="en-US"/>
              </w:rPr>
              <w:t> </w:t>
            </w:r>
            <w:r w:rsidRPr="00DE12A3">
              <w:rPr>
                <w:i/>
                <w:iCs/>
              </w:rPr>
              <w:t>P</w:t>
            </w:r>
            <w:r w:rsidRPr="00DE12A3">
              <w:rPr>
                <w:i/>
                <w:iCs/>
                <w:vertAlign w:val="subscript"/>
              </w:rPr>
              <w:t>i</w:t>
            </w:r>
            <w:r w:rsidRPr="00DE12A3">
              <w:t xml:space="preserve">  </w:t>
            </w:r>
          </w:p>
        </w:tc>
        <w:tc>
          <w:tcPr>
            <w:tcW w:w="567" w:type="dxa"/>
          </w:tcPr>
          <w:p w14:paraId="68F2F14D" w14:textId="77777777" w:rsidR="00DC7DDF" w:rsidRPr="00DE12A3" w:rsidRDefault="00DC7DDF" w:rsidP="00C917D6">
            <w:pPr>
              <w:pStyle w:val="NormalLeft"/>
            </w:pPr>
            <w:r w:rsidRPr="00DE12A3">
              <w:t xml:space="preserve">=  </w:t>
            </w:r>
          </w:p>
        </w:tc>
        <w:tc>
          <w:tcPr>
            <w:tcW w:w="5492" w:type="dxa"/>
          </w:tcPr>
          <w:p w14:paraId="4B201048" w14:textId="7C0830FA" w:rsidR="00DC7DDF" w:rsidRPr="00DE12A3" w:rsidRDefault="00DC7DDF" w:rsidP="003D2907">
            <w:pPr>
              <w:spacing w:before="120" w:after="120"/>
              <w:jc w:val="both"/>
              <w:rPr>
                <w:rFonts w:cs="Times New Roman"/>
                <w:color w:val="auto"/>
              </w:rPr>
            </w:pPr>
            <w:r w:rsidRPr="00DE12A3">
              <w:rPr>
                <w:rFonts w:cs="Times New Roman"/>
                <w:color w:val="auto"/>
              </w:rPr>
              <w:t xml:space="preserve">i modu için motor gücü [kW]; ölçülen güç Pmeas'a [kW], </w:t>
            </w:r>
            <w:r w:rsidR="00FA0678" w:rsidRPr="00DE12A3">
              <w:rPr>
                <w:rFonts w:cs="Times New Roman"/>
                <w:color w:val="auto"/>
              </w:rPr>
              <w:t xml:space="preserve">VI’ncı </w:t>
            </w:r>
            <w:r w:rsidR="00825EFD" w:rsidRPr="00DE12A3">
              <w:rPr>
                <w:rFonts w:cs="Times New Roman"/>
                <w:color w:val="auto"/>
              </w:rPr>
              <w:t>E</w:t>
            </w:r>
            <w:r w:rsidR="00FA0678" w:rsidRPr="00DE12A3">
              <w:rPr>
                <w:rFonts w:cs="Times New Roman"/>
                <w:color w:val="auto"/>
              </w:rPr>
              <w:t>k</w:t>
            </w:r>
            <w:r w:rsidRPr="00DE12A3">
              <w:rPr>
                <w:rFonts w:cs="Times New Roman"/>
                <w:color w:val="auto"/>
              </w:rPr>
              <w:t xml:space="preserve">teki (6-8) </w:t>
            </w:r>
            <w:r w:rsidR="00962CA1" w:rsidRPr="00DE12A3">
              <w:rPr>
                <w:color w:val="auto"/>
              </w:rPr>
              <w:t>numaralı</w:t>
            </w:r>
            <w:r w:rsidR="00962CA1" w:rsidRPr="00DE12A3" w:rsidDel="00962CA1">
              <w:rPr>
                <w:rFonts w:cs="Times New Roman"/>
                <w:color w:val="auto"/>
              </w:rPr>
              <w:t xml:space="preserve"> </w:t>
            </w:r>
            <w:r w:rsidRPr="00DE12A3">
              <w:rPr>
                <w:rFonts w:cs="Times New Roman"/>
                <w:color w:val="auto"/>
              </w:rPr>
              <w:t xml:space="preserve"> denklem uyarınca belirlenen, yardımcı cihazları tahrik etmek için gereken güç PAUX'un [kW] eklenmesi ile hesaplanır (Pi = Pmeas + PAUX)</w:t>
            </w:r>
            <w:r w:rsidR="00825EFD" w:rsidRPr="00DE12A3">
              <w:rPr>
                <w:rFonts w:cs="Times New Roman"/>
                <w:color w:val="auto"/>
              </w:rPr>
              <w:t>.</w:t>
            </w:r>
          </w:p>
        </w:tc>
      </w:tr>
      <w:tr w:rsidR="00DE12A3" w:rsidRPr="00DE12A3" w14:paraId="23EC6A46" w14:textId="77777777" w:rsidTr="00DC7DDF">
        <w:tc>
          <w:tcPr>
            <w:tcW w:w="1985" w:type="dxa"/>
          </w:tcPr>
          <w:p w14:paraId="0D67EA45" w14:textId="77777777" w:rsidR="00DC7DDF" w:rsidRPr="00DE12A3" w:rsidRDefault="00DC7DDF" w:rsidP="00C917D6">
            <w:pPr>
              <w:pStyle w:val="NormalLeft"/>
            </w:pPr>
            <w:r w:rsidRPr="00DE12A3">
              <w:rPr>
                <w:i/>
                <w:iCs/>
              </w:rPr>
              <w:t>WF</w:t>
            </w:r>
            <w:r w:rsidRPr="00DE12A3">
              <w:rPr>
                <w:i/>
                <w:iCs/>
                <w:vertAlign w:val="subscript"/>
              </w:rPr>
              <w:t>i</w:t>
            </w:r>
          </w:p>
        </w:tc>
        <w:tc>
          <w:tcPr>
            <w:tcW w:w="567" w:type="dxa"/>
          </w:tcPr>
          <w:p w14:paraId="669304D3" w14:textId="77777777" w:rsidR="00DC7DDF" w:rsidRPr="00DE12A3" w:rsidRDefault="00DC7DDF" w:rsidP="00C917D6">
            <w:pPr>
              <w:pStyle w:val="NormalLeft"/>
            </w:pPr>
            <w:r w:rsidRPr="00DE12A3">
              <w:t>=</w:t>
            </w:r>
          </w:p>
        </w:tc>
        <w:tc>
          <w:tcPr>
            <w:tcW w:w="5492" w:type="dxa"/>
          </w:tcPr>
          <w:p w14:paraId="312CEF7D" w14:textId="77777777" w:rsidR="00DC7DDF" w:rsidRPr="00DE12A3" w:rsidRDefault="00DC7DDF" w:rsidP="00C917D6">
            <w:pPr>
              <w:spacing w:before="120" w:after="120"/>
              <w:rPr>
                <w:rFonts w:cs="Times New Roman"/>
                <w:color w:val="auto"/>
              </w:rPr>
            </w:pPr>
            <w:r w:rsidRPr="00DE12A3">
              <w:rPr>
                <w:rFonts w:cs="Times New Roman"/>
                <w:color w:val="auto"/>
              </w:rPr>
              <w:t>i modu için ağırlık faktörü [-]</w:t>
            </w:r>
          </w:p>
        </w:tc>
      </w:tr>
      <w:tr w:rsidR="00DE12A3" w:rsidRPr="00DE12A3" w14:paraId="6D3DE1E9" w14:textId="77777777" w:rsidTr="00DC7DDF">
        <w:tc>
          <w:tcPr>
            <w:tcW w:w="1985" w:type="dxa"/>
          </w:tcPr>
          <w:p w14:paraId="3FB5CD6E" w14:textId="77777777" w:rsidR="00DC7DDF" w:rsidRPr="00DE12A3" w:rsidRDefault="00DC7DDF" w:rsidP="00C917D6">
            <w:pPr>
              <w:pStyle w:val="NormalLeft"/>
            </w:pPr>
            <w:r w:rsidRPr="00DE12A3">
              <w:rPr>
                <w:i/>
                <w:iCs/>
              </w:rPr>
              <w:t>ṁ</w:t>
            </w:r>
            <w:r w:rsidRPr="00DE12A3">
              <w:rPr>
                <w:vertAlign w:val="subscript"/>
              </w:rPr>
              <w:t>PM</w:t>
            </w:r>
            <w:r w:rsidRPr="00DE12A3">
              <w:rPr>
                <w:i/>
                <w:iCs/>
                <w:vertAlign w:val="subscript"/>
              </w:rPr>
              <w:t>i</w:t>
            </w:r>
          </w:p>
        </w:tc>
        <w:tc>
          <w:tcPr>
            <w:tcW w:w="567" w:type="dxa"/>
          </w:tcPr>
          <w:p w14:paraId="3C96D22C" w14:textId="77777777" w:rsidR="00DC7DDF" w:rsidRPr="00DE12A3" w:rsidRDefault="00DC7DDF" w:rsidP="00C917D6">
            <w:pPr>
              <w:pStyle w:val="NormalLeft"/>
            </w:pPr>
            <w:r w:rsidRPr="00DE12A3">
              <w:t>=</w:t>
            </w:r>
          </w:p>
        </w:tc>
        <w:tc>
          <w:tcPr>
            <w:tcW w:w="5492" w:type="dxa"/>
          </w:tcPr>
          <w:p w14:paraId="0109BA54" w14:textId="77777777" w:rsidR="00DC7DDF" w:rsidRPr="00DE12A3" w:rsidRDefault="00DC7DDF" w:rsidP="00C917D6">
            <w:pPr>
              <w:spacing w:before="120" w:after="120"/>
              <w:rPr>
                <w:rFonts w:cs="Times New Roman"/>
                <w:color w:val="auto"/>
              </w:rPr>
            </w:pPr>
            <w:r w:rsidRPr="00DE12A3">
              <w:rPr>
                <w:rFonts w:cs="Times New Roman"/>
                <w:color w:val="auto"/>
              </w:rPr>
              <w:t xml:space="preserve">i modunda </w:t>
            </w:r>
            <w:r w:rsidR="007E2039" w:rsidRPr="00DE12A3">
              <w:rPr>
                <w:rFonts w:cs="Times New Roman"/>
                <w:color w:val="auto"/>
              </w:rPr>
              <w:t xml:space="preserve">partikül </w:t>
            </w:r>
            <w:r w:rsidRPr="00DE12A3">
              <w:rPr>
                <w:rFonts w:cs="Times New Roman"/>
                <w:color w:val="auto"/>
              </w:rPr>
              <w:t>kütle akış hızı [g/saat]</w:t>
            </w:r>
          </w:p>
        </w:tc>
      </w:tr>
      <w:tr w:rsidR="00DC7DDF" w:rsidRPr="00DE12A3" w14:paraId="525F8E23" w14:textId="77777777" w:rsidTr="00DC7DDF">
        <w:tc>
          <w:tcPr>
            <w:tcW w:w="1985" w:type="dxa"/>
          </w:tcPr>
          <w:p w14:paraId="7A1086BA" w14:textId="77777777" w:rsidR="00DC7DDF" w:rsidRPr="00DE12A3" w:rsidRDefault="00DC7DDF" w:rsidP="00C917D6">
            <w:pPr>
              <w:pStyle w:val="NormalLeft"/>
            </w:pPr>
            <w:r w:rsidRPr="00DE12A3">
              <w:rPr>
                <w:i/>
                <w:iCs/>
              </w:rPr>
              <w:t>N</w:t>
            </w:r>
            <w:r w:rsidRPr="00DE12A3">
              <w:rPr>
                <w:i/>
                <w:iCs/>
                <w:vertAlign w:val="subscript"/>
              </w:rPr>
              <w:t>mode</w:t>
            </w:r>
            <w:r w:rsidRPr="00DE12A3">
              <w:t xml:space="preserve">  </w:t>
            </w:r>
          </w:p>
        </w:tc>
        <w:tc>
          <w:tcPr>
            <w:tcW w:w="567" w:type="dxa"/>
          </w:tcPr>
          <w:p w14:paraId="670D8647" w14:textId="77777777" w:rsidR="00DC7DDF" w:rsidRPr="00DE12A3" w:rsidRDefault="00DC7DDF" w:rsidP="00C917D6">
            <w:pPr>
              <w:pStyle w:val="NormalLeft"/>
            </w:pPr>
            <w:r w:rsidRPr="00DE12A3">
              <w:t xml:space="preserve">=  </w:t>
            </w:r>
          </w:p>
        </w:tc>
        <w:tc>
          <w:tcPr>
            <w:tcW w:w="5492" w:type="dxa"/>
          </w:tcPr>
          <w:p w14:paraId="0CE5439D" w14:textId="7B47DBFB" w:rsidR="00DC7DDF" w:rsidRPr="00DE12A3" w:rsidRDefault="00005131" w:rsidP="00C917D6">
            <w:pPr>
              <w:spacing w:before="120" w:after="120"/>
              <w:rPr>
                <w:rFonts w:cs="Times New Roman"/>
                <w:color w:val="auto"/>
              </w:rPr>
            </w:pPr>
            <w:r w:rsidRPr="00DE12A3">
              <w:rPr>
                <w:rFonts w:cs="Times New Roman"/>
                <w:color w:val="auto"/>
              </w:rPr>
              <w:t>Geçerli</w:t>
            </w:r>
            <w:r w:rsidR="00DC7DDF" w:rsidRPr="00DE12A3">
              <w:rPr>
                <w:rFonts w:cs="Times New Roman"/>
                <w:color w:val="auto"/>
              </w:rPr>
              <w:t xml:space="preserve"> ayrık modlu NRSC içindeki mod sayısı</w:t>
            </w:r>
          </w:p>
        </w:tc>
      </w:tr>
    </w:tbl>
    <w:p w14:paraId="36DCC615" w14:textId="77777777" w:rsidR="009F4766" w:rsidRPr="00DE12A3" w:rsidRDefault="009F4766" w:rsidP="00C917D6">
      <w:pPr>
        <w:spacing w:before="120" w:after="120"/>
        <w:rPr>
          <w:rFonts w:cs="Times New Roman"/>
          <w:color w:val="auto"/>
        </w:rPr>
      </w:pPr>
    </w:p>
    <w:p w14:paraId="4EA7E6A6" w14:textId="77777777" w:rsidR="00DC7DDF" w:rsidRPr="00DE12A3" w:rsidRDefault="00DC7DDF" w:rsidP="00C917D6">
      <w:pPr>
        <w:spacing w:before="120" w:after="120"/>
        <w:rPr>
          <w:rFonts w:cs="Times New Roman"/>
          <w:color w:val="auto"/>
        </w:rPr>
      </w:pPr>
    </w:p>
    <w:p w14:paraId="1A485209" w14:textId="18B4BE8A" w:rsidR="00DC7DDF" w:rsidRPr="00DE12A3" w:rsidRDefault="00DC7DDF" w:rsidP="00C917D6">
      <w:pPr>
        <w:spacing w:before="120" w:after="120"/>
        <w:ind w:left="1134"/>
        <w:rPr>
          <w:rFonts w:cs="Times New Roman"/>
          <w:color w:val="auto"/>
        </w:rPr>
      </w:pPr>
      <w:r w:rsidRPr="00DE12A3">
        <w:rPr>
          <w:rFonts w:cs="Times New Roman"/>
          <w:color w:val="auto"/>
        </w:rPr>
        <w:t>Tek filtre yöntemi için, her mod için geçerli ağırlık faktörü WFeffi, (7-</w:t>
      </w:r>
      <w:r w:rsidR="00984A28" w:rsidRPr="00DE12A3">
        <w:rPr>
          <w:rFonts w:cs="Times New Roman"/>
          <w:color w:val="auto"/>
        </w:rPr>
        <w:t>135</w:t>
      </w:r>
      <w:r w:rsidRPr="00DE12A3">
        <w:rPr>
          <w:rFonts w:cs="Times New Roman"/>
          <w:color w:val="auto"/>
        </w:rPr>
        <w:t xml:space="preserve">) </w:t>
      </w:r>
      <w:r w:rsidR="00962CA1" w:rsidRPr="00DE12A3">
        <w:rPr>
          <w:color w:val="auto"/>
        </w:rPr>
        <w:t xml:space="preserve"> numaralı</w:t>
      </w:r>
      <w:r w:rsidR="00962CA1" w:rsidRPr="00DE12A3" w:rsidDel="00962CA1">
        <w:rPr>
          <w:rFonts w:cs="Times New Roman"/>
          <w:color w:val="auto"/>
        </w:rPr>
        <w:t xml:space="preserve"> </w:t>
      </w:r>
      <w:r w:rsidRPr="00DE12A3">
        <w:rPr>
          <w:rFonts w:cs="Times New Roman"/>
          <w:color w:val="auto"/>
        </w:rPr>
        <w:t xml:space="preserve"> denklem ile hesaplanmalıdır</w:t>
      </w:r>
      <w:r w:rsidR="00825EFD" w:rsidRPr="00DE12A3">
        <w:rPr>
          <w:rFonts w:cs="Times New Roman"/>
          <w:color w:val="auto"/>
        </w:rPr>
        <w:t>.</w:t>
      </w:r>
    </w:p>
    <w:p w14:paraId="637FF40A" w14:textId="77777777" w:rsidR="00DC7DDF" w:rsidRPr="00DE12A3" w:rsidRDefault="00DC7DDF" w:rsidP="00C917D6">
      <w:pPr>
        <w:spacing w:before="120" w:after="120"/>
        <w:ind w:left="1134"/>
        <w:rPr>
          <w:rFonts w:cs="Times New Roman"/>
          <w:color w:val="auto"/>
        </w:rPr>
      </w:pPr>
    </w:p>
    <w:tbl>
      <w:tblPr>
        <w:tblW w:w="0" w:type="auto"/>
        <w:tblInd w:w="1346" w:type="dxa"/>
        <w:tblLayout w:type="fixed"/>
        <w:tblLook w:val="0000" w:firstRow="0" w:lastRow="0" w:firstColumn="0" w:lastColumn="0" w:noHBand="0" w:noVBand="0"/>
      </w:tblPr>
      <w:tblGrid>
        <w:gridCol w:w="5604"/>
        <w:gridCol w:w="989"/>
      </w:tblGrid>
      <w:tr w:rsidR="00DE12A3" w:rsidRPr="00DE12A3" w14:paraId="246D249D" w14:textId="77777777" w:rsidTr="00DC7DDF">
        <w:tc>
          <w:tcPr>
            <w:tcW w:w="5604" w:type="dxa"/>
          </w:tcPr>
          <w:p w14:paraId="3EC21C7E" w14:textId="2BCA2612" w:rsidR="009F4766" w:rsidRPr="00DE12A3" w:rsidRDefault="009F4766" w:rsidP="00C917D6">
            <w:pPr>
              <w:pStyle w:val="NormalLeft"/>
            </w:pPr>
            <w:r w:rsidRPr="00DE12A3">
              <w:rPr>
                <w:noProof/>
                <w:lang w:val="tr-TR"/>
              </w:rPr>
              <w:drawing>
                <wp:inline distT="0" distB="0" distL="0" distR="0" wp14:anchorId="109B692A" wp14:editId="351E2888">
                  <wp:extent cx="3394075" cy="615315"/>
                  <wp:effectExtent l="0" t="0" r="0" b="0"/>
                  <wp:docPr id="2471" name="Resim 24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200">
                            <a:extLst>
                              <a:ext uri="{28A0092B-C50C-407E-A947-70E740481C1C}">
                                <a14:useLocalDpi xmlns:a14="http://schemas.microsoft.com/office/drawing/2010/main" val="0"/>
                              </a:ext>
                            </a:extLst>
                          </a:blip>
                          <a:srcRect/>
                          <a:stretch>
                            <a:fillRect/>
                          </a:stretch>
                        </pic:blipFill>
                        <pic:spPr bwMode="auto">
                          <a:xfrm>
                            <a:off x="0" y="0"/>
                            <a:ext cx="3394075" cy="615315"/>
                          </a:xfrm>
                          <a:prstGeom prst="rect">
                            <a:avLst/>
                          </a:prstGeom>
                          <a:noFill/>
                          <a:ln>
                            <a:noFill/>
                          </a:ln>
                        </pic:spPr>
                      </pic:pic>
                    </a:graphicData>
                  </a:graphic>
                </wp:inline>
              </w:drawing>
            </w:r>
          </w:p>
        </w:tc>
        <w:tc>
          <w:tcPr>
            <w:tcW w:w="989" w:type="dxa"/>
          </w:tcPr>
          <w:p w14:paraId="37CBE717" w14:textId="77777777" w:rsidR="009F4766" w:rsidRPr="00DE12A3" w:rsidRDefault="009F4766" w:rsidP="00C917D6">
            <w:pPr>
              <w:pStyle w:val="NormalLeft"/>
            </w:pPr>
            <w:r w:rsidRPr="00DE12A3">
              <w:t>(7-135)</w:t>
            </w:r>
          </w:p>
        </w:tc>
      </w:tr>
    </w:tbl>
    <w:p w14:paraId="0A226AEA" w14:textId="77777777" w:rsidR="009F4766" w:rsidRPr="00DE12A3" w:rsidRDefault="008B3D9F" w:rsidP="00C917D6">
      <w:pPr>
        <w:spacing w:before="120" w:after="120"/>
        <w:ind w:left="1134"/>
        <w:rPr>
          <w:rFonts w:cs="Times New Roman"/>
          <w:color w:val="auto"/>
        </w:rPr>
      </w:pPr>
      <w:r w:rsidRPr="00DE12A3">
        <w:rPr>
          <w:rFonts w:cs="Times New Roman"/>
          <w:color w:val="auto"/>
        </w:rPr>
        <w:t>Burada</w:t>
      </w:r>
      <w:r w:rsidR="009F4766" w:rsidRPr="00DE12A3">
        <w:rPr>
          <w:rFonts w:cs="Times New Roman"/>
          <w:color w:val="auto"/>
        </w:rPr>
        <w:t>:</w:t>
      </w:r>
    </w:p>
    <w:tbl>
      <w:tblPr>
        <w:tblW w:w="0" w:type="auto"/>
        <w:tblInd w:w="1242" w:type="dxa"/>
        <w:tblLayout w:type="fixed"/>
        <w:tblLook w:val="0000" w:firstRow="0" w:lastRow="0" w:firstColumn="0" w:lastColumn="0" w:noHBand="0" w:noVBand="0"/>
      </w:tblPr>
      <w:tblGrid>
        <w:gridCol w:w="1418"/>
        <w:gridCol w:w="567"/>
        <w:gridCol w:w="6059"/>
      </w:tblGrid>
      <w:tr w:rsidR="00DE12A3" w:rsidRPr="00DE12A3" w14:paraId="5DEBF57F" w14:textId="77777777" w:rsidTr="00DC7DDF">
        <w:tc>
          <w:tcPr>
            <w:tcW w:w="1418" w:type="dxa"/>
          </w:tcPr>
          <w:p w14:paraId="656C383F" w14:textId="77777777" w:rsidR="00DC7DDF" w:rsidRPr="00DE12A3" w:rsidRDefault="00DC7DDF" w:rsidP="00C917D6">
            <w:pPr>
              <w:pStyle w:val="NormalLeft"/>
            </w:pPr>
            <w:r w:rsidRPr="00DE12A3">
              <w:rPr>
                <w:i/>
                <w:iCs/>
              </w:rPr>
              <w:t>m</w:t>
            </w:r>
            <w:r w:rsidRPr="00DE12A3">
              <w:rPr>
                <w:vertAlign w:val="subscript"/>
              </w:rPr>
              <w:t>smpldexh</w:t>
            </w:r>
            <w:r w:rsidRPr="00DE12A3">
              <w:rPr>
                <w:i/>
                <w:iCs/>
                <w:vertAlign w:val="subscript"/>
              </w:rPr>
              <w:t>i</w:t>
            </w:r>
          </w:p>
        </w:tc>
        <w:tc>
          <w:tcPr>
            <w:tcW w:w="567" w:type="dxa"/>
          </w:tcPr>
          <w:p w14:paraId="03B6AD4B" w14:textId="77777777" w:rsidR="00DC7DDF" w:rsidRPr="00DE12A3" w:rsidRDefault="00DC7DDF" w:rsidP="00C917D6">
            <w:pPr>
              <w:pStyle w:val="NormalLeft"/>
            </w:pPr>
            <w:r w:rsidRPr="00DE12A3">
              <w:t>=</w:t>
            </w:r>
          </w:p>
        </w:tc>
        <w:tc>
          <w:tcPr>
            <w:tcW w:w="6059" w:type="dxa"/>
          </w:tcPr>
          <w:p w14:paraId="1222D903" w14:textId="77777777" w:rsidR="00DC7DDF" w:rsidRPr="00DE12A3" w:rsidRDefault="00DC7DDF" w:rsidP="00C917D6">
            <w:pPr>
              <w:spacing w:before="120" w:after="120"/>
              <w:rPr>
                <w:rFonts w:cs="Times New Roman"/>
                <w:color w:val="auto"/>
              </w:rPr>
            </w:pPr>
            <w:r w:rsidRPr="00DE12A3">
              <w:rPr>
                <w:rFonts w:cs="Times New Roman"/>
                <w:color w:val="auto"/>
              </w:rPr>
              <w:t xml:space="preserve">i modunda </w:t>
            </w:r>
            <w:r w:rsidR="007E2039" w:rsidRPr="00DE12A3">
              <w:rPr>
                <w:rFonts w:cs="Times New Roman"/>
                <w:color w:val="auto"/>
              </w:rPr>
              <w:t xml:space="preserve">partikül </w:t>
            </w:r>
            <w:r w:rsidRPr="00DE12A3">
              <w:rPr>
                <w:rFonts w:cs="Times New Roman"/>
                <w:color w:val="auto"/>
              </w:rPr>
              <w:t>örnekleme filtrelerinden geçen seyreltilmiş egzoz gazı numunesi kütlesi [kg]</w:t>
            </w:r>
          </w:p>
        </w:tc>
      </w:tr>
      <w:tr w:rsidR="00DE12A3" w:rsidRPr="00DE12A3" w14:paraId="79EFE243" w14:textId="77777777" w:rsidTr="00DC7DDF">
        <w:tc>
          <w:tcPr>
            <w:tcW w:w="1418" w:type="dxa"/>
          </w:tcPr>
          <w:p w14:paraId="4035E5D3" w14:textId="77777777" w:rsidR="00DC7DDF" w:rsidRPr="00DE12A3" w:rsidRDefault="00DC7DDF" w:rsidP="00C917D6">
            <w:pPr>
              <w:pStyle w:val="NormalLeft"/>
            </w:pPr>
            <w:r w:rsidRPr="00DE12A3">
              <w:rPr>
                <w:i/>
                <w:iCs/>
              </w:rPr>
              <w:t>m</w:t>
            </w:r>
            <w:r w:rsidRPr="00DE12A3">
              <w:rPr>
                <w:vertAlign w:val="subscript"/>
              </w:rPr>
              <w:t>smpldexh</w:t>
            </w:r>
          </w:p>
        </w:tc>
        <w:tc>
          <w:tcPr>
            <w:tcW w:w="567" w:type="dxa"/>
          </w:tcPr>
          <w:p w14:paraId="6EBE9D93" w14:textId="77777777" w:rsidR="00DC7DDF" w:rsidRPr="00DE12A3" w:rsidRDefault="00DC7DDF" w:rsidP="00C917D6">
            <w:pPr>
              <w:pStyle w:val="NormalLeft"/>
            </w:pPr>
            <w:r w:rsidRPr="00DE12A3">
              <w:t>=</w:t>
            </w:r>
          </w:p>
        </w:tc>
        <w:tc>
          <w:tcPr>
            <w:tcW w:w="6059" w:type="dxa"/>
          </w:tcPr>
          <w:p w14:paraId="21B00D03" w14:textId="38C265D9" w:rsidR="00DC7DDF" w:rsidRPr="00DE12A3" w:rsidRDefault="006D7ADF" w:rsidP="00C917D6">
            <w:pPr>
              <w:spacing w:before="120" w:after="120"/>
              <w:rPr>
                <w:rFonts w:cs="Times New Roman"/>
                <w:color w:val="auto"/>
              </w:rPr>
            </w:pPr>
            <w:r w:rsidRPr="00DE12A3">
              <w:rPr>
                <w:rFonts w:cs="Times New Roman"/>
                <w:color w:val="auto"/>
              </w:rPr>
              <w:t>Partikül</w:t>
            </w:r>
            <w:r w:rsidR="007E2039" w:rsidRPr="00DE12A3">
              <w:rPr>
                <w:rFonts w:cs="Times New Roman"/>
                <w:color w:val="auto"/>
              </w:rPr>
              <w:t xml:space="preserve"> </w:t>
            </w:r>
            <w:r w:rsidR="00DC7DDF" w:rsidRPr="00DE12A3">
              <w:rPr>
                <w:rFonts w:cs="Times New Roman"/>
                <w:color w:val="auto"/>
              </w:rPr>
              <w:t>örnekleme filtrelerinden geçen seyreltilmiş egzoz gazı numunesi kütlesi [kg]</w:t>
            </w:r>
          </w:p>
        </w:tc>
      </w:tr>
      <w:tr w:rsidR="00DE12A3" w:rsidRPr="00DE12A3" w14:paraId="4DE85F25" w14:textId="77777777" w:rsidTr="00DC7DDF">
        <w:tc>
          <w:tcPr>
            <w:tcW w:w="1418" w:type="dxa"/>
          </w:tcPr>
          <w:p w14:paraId="02C80AB2" w14:textId="77777777" w:rsidR="00DC7DDF" w:rsidRPr="00DE12A3" w:rsidRDefault="00DC7DDF" w:rsidP="00C917D6">
            <w:pPr>
              <w:pStyle w:val="NormalLeft"/>
            </w:pPr>
            <w:r w:rsidRPr="00DE12A3">
              <w:rPr>
                <w:i/>
                <w:iCs/>
              </w:rPr>
              <w:t>ṁ</w:t>
            </w:r>
            <w:r w:rsidRPr="00DE12A3">
              <w:rPr>
                <w:vertAlign w:val="subscript"/>
              </w:rPr>
              <w:t>eqdexhwet</w:t>
            </w:r>
            <w:r w:rsidRPr="00DE12A3">
              <w:rPr>
                <w:i/>
                <w:iCs/>
                <w:vertAlign w:val="subscript"/>
              </w:rPr>
              <w:t>i</w:t>
            </w:r>
          </w:p>
        </w:tc>
        <w:tc>
          <w:tcPr>
            <w:tcW w:w="567" w:type="dxa"/>
          </w:tcPr>
          <w:p w14:paraId="4F4F06EF" w14:textId="77777777" w:rsidR="00DC7DDF" w:rsidRPr="00DE12A3" w:rsidRDefault="00DC7DDF" w:rsidP="00C917D6">
            <w:pPr>
              <w:pStyle w:val="NormalLeft"/>
            </w:pPr>
            <w:r w:rsidRPr="00DE12A3">
              <w:t>=</w:t>
            </w:r>
          </w:p>
        </w:tc>
        <w:tc>
          <w:tcPr>
            <w:tcW w:w="6059" w:type="dxa"/>
          </w:tcPr>
          <w:p w14:paraId="25C9E87A" w14:textId="77777777" w:rsidR="00DC7DDF" w:rsidRPr="00DE12A3" w:rsidRDefault="00DC7DDF" w:rsidP="00C917D6">
            <w:pPr>
              <w:spacing w:before="120" w:after="120"/>
              <w:rPr>
                <w:rFonts w:cs="Times New Roman"/>
                <w:color w:val="auto"/>
              </w:rPr>
            </w:pPr>
            <w:r w:rsidRPr="00DE12A3">
              <w:rPr>
                <w:rFonts w:cs="Times New Roman"/>
                <w:color w:val="auto"/>
              </w:rPr>
              <w:t>i modunda eşdeğer seyreltilmiş egzoz gazı kütle akış hızı [kg/s]</w:t>
            </w:r>
          </w:p>
        </w:tc>
      </w:tr>
      <w:tr w:rsidR="00DC7DDF" w:rsidRPr="00DE12A3" w14:paraId="210DCDEE" w14:textId="77777777" w:rsidTr="00DC7DDF">
        <w:tc>
          <w:tcPr>
            <w:tcW w:w="1418" w:type="dxa"/>
          </w:tcPr>
          <w:p w14:paraId="6696EB93" w14:textId="26CEA378" w:rsidR="00DC7DDF" w:rsidRPr="00DE12A3" w:rsidRDefault="00DC7DDF" w:rsidP="00C917D6">
            <w:pPr>
              <w:pStyle w:val="NormalLeft"/>
            </w:pPr>
            <w:r w:rsidRPr="00DE12A3">
              <w:rPr>
                <w:noProof/>
                <w:lang w:val="tr-TR"/>
              </w:rPr>
              <w:drawing>
                <wp:inline distT="0" distB="0" distL="0" distR="0" wp14:anchorId="6105ACB1" wp14:editId="31BEE07D">
                  <wp:extent cx="785446" cy="281305"/>
                  <wp:effectExtent l="0" t="0" r="0" b="4445"/>
                  <wp:docPr id="2470" name="Resim 24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201">
                            <a:extLst>
                              <a:ext uri="{28A0092B-C50C-407E-A947-70E740481C1C}">
                                <a14:useLocalDpi xmlns:a14="http://schemas.microsoft.com/office/drawing/2010/main" val="0"/>
                              </a:ext>
                            </a:extLst>
                          </a:blip>
                          <a:srcRect/>
                          <a:stretch>
                            <a:fillRect/>
                          </a:stretch>
                        </pic:blipFill>
                        <pic:spPr bwMode="auto">
                          <a:xfrm>
                            <a:off x="0" y="0"/>
                            <a:ext cx="788268" cy="282316"/>
                          </a:xfrm>
                          <a:prstGeom prst="rect">
                            <a:avLst/>
                          </a:prstGeom>
                          <a:noFill/>
                          <a:ln>
                            <a:noFill/>
                          </a:ln>
                        </pic:spPr>
                      </pic:pic>
                    </a:graphicData>
                  </a:graphic>
                </wp:inline>
              </w:drawing>
            </w:r>
          </w:p>
        </w:tc>
        <w:tc>
          <w:tcPr>
            <w:tcW w:w="567" w:type="dxa"/>
          </w:tcPr>
          <w:p w14:paraId="46D85E23" w14:textId="77777777" w:rsidR="00DC7DDF" w:rsidRPr="00DE12A3" w:rsidRDefault="00DC7DDF" w:rsidP="00C917D6">
            <w:pPr>
              <w:pStyle w:val="NormalLeft"/>
            </w:pPr>
            <w:r w:rsidRPr="00DE12A3">
              <w:t>=</w:t>
            </w:r>
          </w:p>
        </w:tc>
        <w:tc>
          <w:tcPr>
            <w:tcW w:w="6059" w:type="dxa"/>
          </w:tcPr>
          <w:p w14:paraId="75A04897" w14:textId="17AD3CCF" w:rsidR="00DC7DDF" w:rsidRPr="00DE12A3" w:rsidRDefault="006D7ADF" w:rsidP="00C917D6">
            <w:pPr>
              <w:spacing w:before="120" w:after="120"/>
              <w:rPr>
                <w:rFonts w:cs="Times New Roman"/>
                <w:color w:val="auto"/>
              </w:rPr>
            </w:pPr>
            <w:r w:rsidRPr="00DE12A3">
              <w:rPr>
                <w:rFonts w:cs="Times New Roman"/>
                <w:color w:val="auto"/>
              </w:rPr>
              <w:t>Ortalama</w:t>
            </w:r>
            <w:r w:rsidR="00DC7DDF" w:rsidRPr="00DE12A3">
              <w:rPr>
                <w:rFonts w:cs="Times New Roman"/>
                <w:color w:val="auto"/>
              </w:rPr>
              <w:t xml:space="preserve"> eşdeğer seyreltilmiş egzoz gazı kütle akış hızı [kg/s]</w:t>
            </w:r>
          </w:p>
        </w:tc>
      </w:tr>
    </w:tbl>
    <w:p w14:paraId="29A1EDB7" w14:textId="77777777" w:rsidR="009F4766" w:rsidRPr="00DE12A3" w:rsidRDefault="009F4766" w:rsidP="00C917D6">
      <w:pPr>
        <w:spacing w:before="120" w:after="120"/>
        <w:rPr>
          <w:rFonts w:cs="Times New Roman"/>
          <w:color w:val="auto"/>
        </w:rPr>
      </w:pPr>
    </w:p>
    <w:p w14:paraId="44295F8B" w14:textId="30BD24EA" w:rsidR="00DC7DDF" w:rsidRPr="00DE12A3" w:rsidRDefault="00DC7DDF" w:rsidP="00C917D6">
      <w:pPr>
        <w:pStyle w:val="ManualHeading4"/>
        <w:numPr>
          <w:ilvl w:val="0"/>
          <w:numId w:val="0"/>
        </w:numPr>
        <w:ind w:left="1134"/>
        <w:rPr>
          <w:rFonts w:eastAsia="Courier New"/>
          <w:lang w:val="en-US"/>
        </w:rPr>
      </w:pPr>
      <w:r w:rsidRPr="00DE12A3">
        <w:rPr>
          <w:rFonts w:eastAsia="Courier New"/>
          <w:lang w:val="en-US"/>
        </w:rPr>
        <w:t>Geçerli ağırlıklandırma faktörlerinin değeri, X</w:t>
      </w:r>
      <w:r w:rsidR="00FA0678" w:rsidRPr="00DE12A3">
        <w:rPr>
          <w:rFonts w:eastAsia="Courier New"/>
          <w:lang w:val="en-US"/>
        </w:rPr>
        <w:t xml:space="preserve">VII’nci </w:t>
      </w:r>
      <w:r w:rsidR="00483E27" w:rsidRPr="00DE12A3">
        <w:rPr>
          <w:rFonts w:eastAsia="Courier New"/>
          <w:lang w:val="en-US"/>
        </w:rPr>
        <w:t>E</w:t>
      </w:r>
      <w:r w:rsidR="00FA0678" w:rsidRPr="00DE12A3">
        <w:rPr>
          <w:rFonts w:eastAsia="Courier New"/>
          <w:lang w:val="en-US"/>
        </w:rPr>
        <w:t>k</w:t>
      </w:r>
      <w:r w:rsidRPr="00DE12A3">
        <w:rPr>
          <w:rFonts w:eastAsia="Courier New"/>
          <w:lang w:val="en-US"/>
        </w:rPr>
        <w:t xml:space="preserve">in </w:t>
      </w:r>
      <w:r w:rsidR="00FA0678" w:rsidRPr="00DE12A3">
        <w:rPr>
          <w:rFonts w:eastAsia="Courier New"/>
          <w:lang w:val="en-US"/>
        </w:rPr>
        <w:t>1. Açıklayıcı Ekin</w:t>
      </w:r>
      <w:r w:rsidRPr="00DE12A3">
        <w:rPr>
          <w:rFonts w:eastAsia="Courier New"/>
          <w:lang w:val="en-US"/>
        </w:rPr>
        <w:t>de listelenen ağırlıklandırma faktörlerinin 0,005 (mutlak değer) aralığı içinde olmalıdır.</w:t>
      </w:r>
    </w:p>
    <w:p w14:paraId="02433E14" w14:textId="77777777" w:rsidR="005B5FC2" w:rsidRPr="00DE12A3" w:rsidRDefault="005B5FC2" w:rsidP="00E20716">
      <w:pPr>
        <w:pStyle w:val="ListeParagraf"/>
        <w:keepNext/>
        <w:widowControl/>
        <w:numPr>
          <w:ilvl w:val="2"/>
          <w:numId w:val="456"/>
        </w:numPr>
        <w:autoSpaceDE w:val="0"/>
        <w:autoSpaceDN w:val="0"/>
        <w:spacing w:before="120" w:after="120"/>
        <w:contextualSpacing w:val="0"/>
        <w:jc w:val="both"/>
        <w:outlineLvl w:val="3"/>
        <w:rPr>
          <w:rFonts w:eastAsia="Times New Roman" w:cs="Times New Roman"/>
          <w:vanish/>
          <w:color w:val="auto"/>
          <w:lang w:val="fr-FR"/>
        </w:rPr>
      </w:pPr>
    </w:p>
    <w:p w14:paraId="68B12BED" w14:textId="77777777" w:rsidR="00DC7DDF" w:rsidRPr="00DE12A3" w:rsidRDefault="00DC7DDF" w:rsidP="00E20716">
      <w:pPr>
        <w:pStyle w:val="ManualHeading4"/>
        <w:numPr>
          <w:ilvl w:val="2"/>
          <w:numId w:val="456"/>
        </w:numPr>
      </w:pPr>
      <w:r w:rsidRPr="00DE12A3">
        <w:t>Seyrek (periyodik) bazda yenilenen emisyon kontrollerine yönelik ayarlama</w:t>
      </w:r>
    </w:p>
    <w:p w14:paraId="6FEF18CF" w14:textId="3CB00618" w:rsidR="005B5FC2" w:rsidRPr="00DE12A3" w:rsidRDefault="005B5FC2" w:rsidP="00C917D6">
      <w:pPr>
        <w:spacing w:before="120" w:after="120"/>
        <w:ind w:left="1134"/>
        <w:jc w:val="both"/>
        <w:rPr>
          <w:rFonts w:cs="Times New Roman"/>
          <w:color w:val="auto"/>
        </w:rPr>
      </w:pPr>
      <w:r w:rsidRPr="00DE12A3">
        <w:rPr>
          <w:rFonts w:cs="Times New Roman"/>
          <w:color w:val="auto"/>
        </w:rPr>
        <w:t xml:space="preserve">RLL kategorisindekiler dışındaki, seyrek (periyodik) bazda yenilenen egzoz </w:t>
      </w:r>
      <w:r w:rsidR="007E2039" w:rsidRPr="00DE12A3">
        <w:rPr>
          <w:rFonts w:cs="Times New Roman"/>
          <w:color w:val="auto"/>
        </w:rPr>
        <w:t xml:space="preserve">arıtma </w:t>
      </w:r>
      <w:r w:rsidRPr="00DE12A3">
        <w:rPr>
          <w:rFonts w:cs="Times New Roman"/>
          <w:color w:val="auto"/>
        </w:rPr>
        <w:t xml:space="preserve">sistemleriyle donatılmış motorlar söz konusu olduğunda (bkz. </w:t>
      </w:r>
      <w:r w:rsidR="00FA0678" w:rsidRPr="00DE12A3">
        <w:rPr>
          <w:rFonts w:cs="Times New Roman"/>
          <w:color w:val="auto"/>
        </w:rPr>
        <w:t xml:space="preserve">VI’ncı </w:t>
      </w:r>
      <w:r w:rsidR="00005131" w:rsidRPr="00DE12A3">
        <w:rPr>
          <w:rFonts w:cs="Times New Roman"/>
          <w:color w:val="auto"/>
        </w:rPr>
        <w:t>E</w:t>
      </w:r>
      <w:r w:rsidR="00FA0678" w:rsidRPr="00DE12A3">
        <w:rPr>
          <w:rFonts w:cs="Times New Roman"/>
          <w:color w:val="auto"/>
        </w:rPr>
        <w:t>k</w:t>
      </w:r>
      <w:r w:rsidRPr="00DE12A3">
        <w:rPr>
          <w:rFonts w:cs="Times New Roman"/>
          <w:color w:val="auto"/>
        </w:rPr>
        <w:t xml:space="preserve">, 6.6.2 bendi), 3.8.1 ve 3.8.2 bentleri uyarınca hesaplanan gaz ve </w:t>
      </w:r>
      <w:r w:rsidR="007E2039" w:rsidRPr="00DE12A3">
        <w:rPr>
          <w:rFonts w:cs="Times New Roman"/>
          <w:color w:val="auto"/>
        </w:rPr>
        <w:t xml:space="preserve">partikül </w:t>
      </w:r>
      <w:r w:rsidRPr="00DE12A3">
        <w:rPr>
          <w:rFonts w:cs="Times New Roman"/>
          <w:color w:val="auto"/>
        </w:rPr>
        <w:t xml:space="preserve">halindeki kirleticilere ait spesifik </w:t>
      </w:r>
      <w:r w:rsidR="006D7ADF" w:rsidRPr="00DE12A3">
        <w:rPr>
          <w:rFonts w:cs="Times New Roman"/>
          <w:color w:val="auto"/>
        </w:rPr>
        <w:t>emisyonlar</w:t>
      </w:r>
      <w:r w:rsidRPr="00DE12A3">
        <w:rPr>
          <w:rFonts w:cs="Times New Roman"/>
          <w:color w:val="auto"/>
        </w:rPr>
        <w:t xml:space="preserve"> ya geçerli çarpımsal ayarlama faktörleri ya da geçerli ilave ayarlama faktörleri ile düzeltilmelidir. Test sırasında seyrek rejenerasyon gerçekleşmemesi durumunda, yukarı doğru faktör uygulanmalıdır (k</w:t>
      </w:r>
      <w:r w:rsidRPr="00DE12A3">
        <w:rPr>
          <w:rFonts w:cs="Times New Roman"/>
          <w:color w:val="auto"/>
          <w:vertAlign w:val="subscript"/>
        </w:rPr>
        <w:t xml:space="preserve">ru,m </w:t>
      </w:r>
      <w:r w:rsidRPr="00DE12A3">
        <w:rPr>
          <w:rFonts w:cs="Times New Roman"/>
          <w:color w:val="auto"/>
        </w:rPr>
        <w:t>veya k</w:t>
      </w:r>
      <w:r w:rsidRPr="00DE12A3">
        <w:rPr>
          <w:rFonts w:cs="Times New Roman"/>
          <w:color w:val="auto"/>
          <w:vertAlign w:val="subscript"/>
        </w:rPr>
        <w:t>ru,a</w:t>
      </w:r>
      <w:r w:rsidRPr="00DE12A3">
        <w:rPr>
          <w:rFonts w:cs="Times New Roman"/>
          <w:color w:val="auto"/>
        </w:rPr>
        <w:t>). Test sırasında seyrek rejenerasyon gerçekleşmesi durumunda, aşağı doğru faktör uygulanmalıdır (k</w:t>
      </w:r>
      <w:r w:rsidRPr="00DE12A3">
        <w:rPr>
          <w:rFonts w:cs="Times New Roman"/>
          <w:color w:val="auto"/>
          <w:vertAlign w:val="subscript"/>
        </w:rPr>
        <w:t xml:space="preserve">rd,m </w:t>
      </w:r>
      <w:r w:rsidRPr="00DE12A3">
        <w:rPr>
          <w:rFonts w:cs="Times New Roman"/>
          <w:color w:val="auto"/>
        </w:rPr>
        <w:t>veya k</w:t>
      </w:r>
      <w:r w:rsidRPr="00DE12A3">
        <w:rPr>
          <w:rFonts w:cs="Times New Roman"/>
          <w:color w:val="auto"/>
          <w:vertAlign w:val="subscript"/>
        </w:rPr>
        <w:t>rd,a</w:t>
      </w:r>
      <w:r w:rsidRPr="00DE12A3">
        <w:rPr>
          <w:rFonts w:cs="Times New Roman"/>
          <w:color w:val="auto"/>
        </w:rPr>
        <w:t>). Her mod için ayar faktörlerinin belirlendiği ayrık modlu NRSC durumunda, ağırlıklı emisyon sonucunun hesaplanması sırasında bu faktörler her moda uygulanmalıdır.</w:t>
      </w:r>
    </w:p>
    <w:p w14:paraId="00F659A7" w14:textId="77777777" w:rsidR="008242BF" w:rsidRPr="00DE12A3" w:rsidRDefault="008242BF" w:rsidP="00C917D6">
      <w:pPr>
        <w:spacing w:before="120" w:after="120"/>
        <w:ind w:left="1134"/>
        <w:jc w:val="both"/>
        <w:rPr>
          <w:rFonts w:cs="Times New Roman"/>
          <w:color w:val="auto"/>
        </w:rPr>
      </w:pPr>
    </w:p>
    <w:p w14:paraId="4297BBC1" w14:textId="77777777" w:rsidR="005B5FC2" w:rsidRPr="00DE12A3" w:rsidRDefault="009F4766" w:rsidP="00C917D6">
      <w:pPr>
        <w:pStyle w:val="ManualHeading4"/>
        <w:numPr>
          <w:ilvl w:val="0"/>
          <w:numId w:val="0"/>
        </w:numPr>
        <w:ind w:left="1134" w:hanging="1134"/>
      </w:pPr>
      <w:r w:rsidRPr="00DE12A3">
        <w:t>3.8.4.</w:t>
      </w:r>
      <w:r w:rsidRPr="00DE12A3">
        <w:tab/>
      </w:r>
      <w:r w:rsidR="005B5FC2" w:rsidRPr="00DE12A3">
        <w:t>Bozulma faktörü için ayarlama</w:t>
      </w:r>
    </w:p>
    <w:p w14:paraId="520AAD02" w14:textId="04F60509" w:rsidR="005B5FC2" w:rsidRPr="00DE12A3" w:rsidRDefault="005B5FC2" w:rsidP="0057308A">
      <w:pPr>
        <w:spacing w:before="120" w:after="120"/>
        <w:ind w:left="1134"/>
        <w:jc w:val="both"/>
        <w:rPr>
          <w:rFonts w:cs="Times New Roman"/>
          <w:color w:val="auto"/>
        </w:rPr>
      </w:pPr>
      <w:r w:rsidRPr="00DE12A3">
        <w:rPr>
          <w:rFonts w:cs="Times New Roman"/>
          <w:color w:val="auto"/>
        </w:rPr>
        <w:t xml:space="preserve">3.8.3 bendi uyarınca varsa seyrek rejenerasyon ayar faktörünün dahil olduğu, 3.8.1 ve 3.8.2 bentleri uyarınca hesaplanan gaz ve </w:t>
      </w:r>
      <w:r w:rsidR="007E2039" w:rsidRPr="00DE12A3">
        <w:rPr>
          <w:rFonts w:cs="Times New Roman"/>
          <w:color w:val="auto"/>
        </w:rPr>
        <w:t xml:space="preserve">partikül </w:t>
      </w:r>
      <w:r w:rsidRPr="00DE12A3">
        <w:rPr>
          <w:rFonts w:cs="Times New Roman"/>
          <w:color w:val="auto"/>
        </w:rPr>
        <w:t xml:space="preserve">halindeki kirleticilere ait spesifik emisyonlar, aynı zamanda </w:t>
      </w:r>
      <w:r w:rsidR="00825EFD" w:rsidRPr="00DE12A3">
        <w:rPr>
          <w:rFonts w:cs="Times New Roman"/>
          <w:color w:val="auto"/>
        </w:rPr>
        <w:t xml:space="preserve">bu Tebliğin </w:t>
      </w:r>
      <w:r w:rsidRPr="00DE12A3">
        <w:rPr>
          <w:rFonts w:cs="Times New Roman"/>
          <w:color w:val="auto"/>
        </w:rPr>
        <w:t>III</w:t>
      </w:r>
      <w:r w:rsidR="00825EFD" w:rsidRPr="00DE12A3">
        <w:rPr>
          <w:rFonts w:cs="Times New Roman"/>
          <w:color w:val="auto"/>
        </w:rPr>
        <w:t>’üncü</w:t>
      </w:r>
      <w:r w:rsidRPr="00DE12A3">
        <w:rPr>
          <w:rFonts w:cs="Times New Roman"/>
          <w:color w:val="auto"/>
        </w:rPr>
        <w:t xml:space="preserve"> Ek</w:t>
      </w:r>
      <w:r w:rsidR="00825EFD" w:rsidRPr="00DE12A3">
        <w:rPr>
          <w:rFonts w:cs="Times New Roman"/>
          <w:color w:val="auto"/>
        </w:rPr>
        <w:t>ind</w:t>
      </w:r>
      <w:r w:rsidRPr="00DE12A3">
        <w:rPr>
          <w:rFonts w:cs="Times New Roman"/>
          <w:color w:val="auto"/>
        </w:rPr>
        <w:t>eki şartlar uyarınca oluşturulan geçerli çarpımsal veya ilave bozulma faktörü ile ayarlanmalıdır.</w:t>
      </w:r>
    </w:p>
    <w:p w14:paraId="7E9C1404" w14:textId="282303AB" w:rsidR="005B5FC2" w:rsidRPr="00DE12A3" w:rsidRDefault="009F4766" w:rsidP="00C917D6">
      <w:pPr>
        <w:pStyle w:val="ManualHeading3"/>
        <w:numPr>
          <w:ilvl w:val="0"/>
          <w:numId w:val="0"/>
        </w:numPr>
        <w:ind w:left="1134" w:hanging="1134"/>
        <w:rPr>
          <w:i w:val="0"/>
        </w:rPr>
      </w:pPr>
      <w:r w:rsidRPr="00DE12A3">
        <w:rPr>
          <w:i w:val="0"/>
        </w:rPr>
        <w:t>3.9.</w:t>
      </w:r>
      <w:r w:rsidRPr="00DE12A3">
        <w:tab/>
      </w:r>
      <w:r w:rsidR="005B5FC2" w:rsidRPr="00DE12A3">
        <w:rPr>
          <w:i w:val="0"/>
        </w:rPr>
        <w:t xml:space="preserve">Seyreltilmiş </w:t>
      </w:r>
      <w:r w:rsidR="00825EFD" w:rsidRPr="00DE12A3">
        <w:rPr>
          <w:i w:val="0"/>
        </w:rPr>
        <w:t>e</w:t>
      </w:r>
      <w:r w:rsidR="005B5FC2" w:rsidRPr="00DE12A3">
        <w:rPr>
          <w:i w:val="0"/>
        </w:rPr>
        <w:t xml:space="preserve">gzoz </w:t>
      </w:r>
      <w:r w:rsidR="00825EFD" w:rsidRPr="00DE12A3">
        <w:rPr>
          <w:i w:val="0"/>
        </w:rPr>
        <w:t>a</w:t>
      </w:r>
      <w:r w:rsidR="005B5FC2" w:rsidRPr="00DE12A3">
        <w:rPr>
          <w:i w:val="0"/>
        </w:rPr>
        <w:t xml:space="preserve">kışı (CVS) </w:t>
      </w:r>
      <w:r w:rsidR="00825EFD" w:rsidRPr="00DE12A3">
        <w:rPr>
          <w:i w:val="0"/>
        </w:rPr>
        <w:t>k</w:t>
      </w:r>
      <w:r w:rsidR="005B5FC2" w:rsidRPr="00DE12A3">
        <w:rPr>
          <w:i w:val="0"/>
        </w:rPr>
        <w:t xml:space="preserve">alibrasyonu ve </w:t>
      </w:r>
      <w:r w:rsidR="00825EFD" w:rsidRPr="00DE12A3">
        <w:rPr>
          <w:i w:val="0"/>
        </w:rPr>
        <w:t>i</w:t>
      </w:r>
      <w:r w:rsidR="005B5FC2" w:rsidRPr="00DE12A3">
        <w:rPr>
          <w:i w:val="0"/>
        </w:rPr>
        <w:t xml:space="preserve">lgili </w:t>
      </w:r>
      <w:r w:rsidR="00825EFD" w:rsidRPr="00DE12A3">
        <w:rPr>
          <w:i w:val="0"/>
        </w:rPr>
        <w:t>h</w:t>
      </w:r>
      <w:r w:rsidR="005B5FC2" w:rsidRPr="00DE12A3">
        <w:rPr>
          <w:i w:val="0"/>
        </w:rPr>
        <w:t>esaplamalar</w:t>
      </w:r>
    </w:p>
    <w:p w14:paraId="44B8EC0B" w14:textId="62508E7C" w:rsidR="005B5FC2" w:rsidRPr="00DE12A3" w:rsidRDefault="005B5FC2" w:rsidP="0057308A">
      <w:pPr>
        <w:spacing w:before="120" w:after="120"/>
        <w:ind w:left="1134"/>
        <w:jc w:val="both"/>
        <w:rPr>
          <w:rFonts w:cs="Times New Roman"/>
          <w:color w:val="auto"/>
        </w:rPr>
      </w:pPr>
      <w:r w:rsidRPr="00DE12A3">
        <w:rPr>
          <w:rFonts w:cs="Times New Roman"/>
          <w:color w:val="auto"/>
        </w:rPr>
        <w:t xml:space="preserve">Bu </w:t>
      </w:r>
      <w:r w:rsidR="00825EFD" w:rsidRPr="00DE12A3">
        <w:rPr>
          <w:rFonts w:cs="Times New Roman"/>
          <w:color w:val="auto"/>
        </w:rPr>
        <w:t xml:space="preserve">bentteki </w:t>
      </w:r>
      <w:r w:rsidRPr="00DE12A3">
        <w:rPr>
          <w:rFonts w:cs="Times New Roman"/>
          <w:color w:val="auto"/>
        </w:rPr>
        <w:t>çeşitli debimetrelerin kalibrasyonu için hesaplamalar açıklanmaktadır. 3.9.1 bendinde, ilk olarak kalibrasyon denklemlerinde kullanılmak üzere molar bazda gösterilen referans debimetre çıktılarının nasıl dönüştürüleceğini açıklanmaktadır. Kalan bentlerde, belirli tipte debimetrelere özgü kalibrasyon hesapları tarif edilmektedir.</w:t>
      </w:r>
    </w:p>
    <w:p w14:paraId="05442EF4" w14:textId="77777777" w:rsidR="005B5FC2" w:rsidRPr="00DE12A3" w:rsidRDefault="009F4766" w:rsidP="00C917D6">
      <w:pPr>
        <w:pStyle w:val="ManualHeading4"/>
        <w:numPr>
          <w:ilvl w:val="0"/>
          <w:numId w:val="0"/>
        </w:numPr>
        <w:ind w:left="1134" w:hanging="1134"/>
      </w:pPr>
      <w:r w:rsidRPr="00DE12A3">
        <w:lastRenderedPageBreak/>
        <w:t>3.9.1.</w:t>
      </w:r>
      <w:r w:rsidR="005B5FC2" w:rsidRPr="00DE12A3">
        <w:t xml:space="preserve">      </w:t>
      </w:r>
      <w:r w:rsidR="00907C73" w:rsidRPr="00DE12A3">
        <w:t xml:space="preserve">    </w:t>
      </w:r>
      <w:r w:rsidR="005B5FC2" w:rsidRPr="00DE12A3">
        <w:t>Referans sayaç dönüşümleri</w:t>
      </w:r>
    </w:p>
    <w:p w14:paraId="23C9E8A9" w14:textId="409255A1" w:rsidR="005B5FC2" w:rsidRPr="00DE12A3" w:rsidRDefault="005B5FC2" w:rsidP="00C917D6">
      <w:pPr>
        <w:pStyle w:val="ManualHeading4"/>
        <w:numPr>
          <w:ilvl w:val="0"/>
          <w:numId w:val="0"/>
        </w:numPr>
        <w:ind w:left="1134" w:firstLine="1"/>
      </w:pPr>
      <w:r w:rsidRPr="00DE12A3">
        <w:t xml:space="preserve">Bu bölümdeki kalibrasyon denklemleri referans miktar olarak molar akış hızı </w:t>
      </w:r>
      <w:r w:rsidR="00907C73" w:rsidRPr="00DE12A3">
        <w:t xml:space="preserve">    </w:t>
      </w:r>
      <w:r w:rsidRPr="00DE12A3">
        <w:t>ṅ</w:t>
      </w:r>
      <w:r w:rsidRPr="00DE12A3">
        <w:rPr>
          <w:vertAlign w:val="subscript"/>
        </w:rPr>
        <w:t>ref</w:t>
      </w:r>
      <w:r w:rsidRPr="00DE12A3">
        <w:t xml:space="preserve">'i kullanır. Kabul edilen referans sayaç, standart hacim oranı Vstdref, gerçek hacim oranı Vactdref veya kütle oranı ṁref gibi farklı miktarda bir akış hızı verirse; referans sayaç çıktısı, hacim oranı, kütle oranı, basınç, sıcaklık ve molar kütle değerlerinin bir emisyon testi sırasında değişebileceği, debimetre kalibrasyonu sırasındaki her ayar noktası için mümkün olduğunca sabit tutulması gerektiği dikkate alınarak (7-136), (7-137) ve (7-138) </w:t>
      </w:r>
      <w:r w:rsidR="00962CA1" w:rsidRPr="00DE12A3">
        <w:t>numaralı</w:t>
      </w:r>
      <w:r w:rsidR="00962CA1" w:rsidRPr="00DE12A3" w:rsidDel="00962CA1">
        <w:t xml:space="preserve"> </w:t>
      </w:r>
      <w:r w:rsidRPr="00DE12A3">
        <w:t>denklemler ile bir molar akış hızına dönüştürülmelidir:</w:t>
      </w:r>
    </w:p>
    <w:p w14:paraId="13EF60B5" w14:textId="77777777" w:rsidR="005B5FC2" w:rsidRPr="00DE12A3" w:rsidRDefault="005B5FC2" w:rsidP="00C917D6">
      <w:pPr>
        <w:pStyle w:val="ManualHeading4"/>
        <w:numPr>
          <w:ilvl w:val="0"/>
          <w:numId w:val="0"/>
        </w:numPr>
        <w:ind w:left="850" w:firstLine="1"/>
      </w:pPr>
    </w:p>
    <w:tbl>
      <w:tblPr>
        <w:tblW w:w="0" w:type="auto"/>
        <w:tblInd w:w="1579" w:type="dxa"/>
        <w:tblLayout w:type="fixed"/>
        <w:tblLook w:val="0000" w:firstRow="0" w:lastRow="0" w:firstColumn="0" w:lastColumn="0" w:noHBand="0" w:noVBand="0"/>
      </w:tblPr>
      <w:tblGrid>
        <w:gridCol w:w="5148"/>
        <w:gridCol w:w="981"/>
      </w:tblGrid>
      <w:tr w:rsidR="00DE12A3" w:rsidRPr="00DE12A3" w14:paraId="36378E37" w14:textId="77777777" w:rsidTr="00674442">
        <w:tc>
          <w:tcPr>
            <w:tcW w:w="5148" w:type="dxa"/>
          </w:tcPr>
          <w:p w14:paraId="615DB3E7" w14:textId="7C8EB541" w:rsidR="009F4766" w:rsidRPr="00DE12A3" w:rsidRDefault="009F4766" w:rsidP="00C917D6">
            <w:pPr>
              <w:pStyle w:val="NormalLeft"/>
            </w:pPr>
            <w:r w:rsidRPr="00DE12A3">
              <w:rPr>
                <w:noProof/>
                <w:lang w:val="tr-TR"/>
              </w:rPr>
              <w:drawing>
                <wp:inline distT="0" distB="0" distL="0" distR="0" wp14:anchorId="02B6DB41" wp14:editId="3C05F6CC">
                  <wp:extent cx="3071446" cy="644525"/>
                  <wp:effectExtent l="0" t="0" r="0" b="3175"/>
                  <wp:docPr id="2469" name="Resim 24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202">
                            <a:extLst>
                              <a:ext uri="{28A0092B-C50C-407E-A947-70E740481C1C}">
                                <a14:useLocalDpi xmlns:a14="http://schemas.microsoft.com/office/drawing/2010/main" val="0"/>
                              </a:ext>
                            </a:extLst>
                          </a:blip>
                          <a:srcRect/>
                          <a:stretch>
                            <a:fillRect/>
                          </a:stretch>
                        </pic:blipFill>
                        <pic:spPr bwMode="auto">
                          <a:xfrm>
                            <a:off x="0" y="0"/>
                            <a:ext cx="3081840" cy="646706"/>
                          </a:xfrm>
                          <a:prstGeom prst="rect">
                            <a:avLst/>
                          </a:prstGeom>
                          <a:noFill/>
                          <a:ln>
                            <a:noFill/>
                          </a:ln>
                        </pic:spPr>
                      </pic:pic>
                    </a:graphicData>
                  </a:graphic>
                </wp:inline>
              </w:drawing>
            </w:r>
          </w:p>
        </w:tc>
        <w:tc>
          <w:tcPr>
            <w:tcW w:w="981" w:type="dxa"/>
          </w:tcPr>
          <w:p w14:paraId="62CB8EF1" w14:textId="77777777" w:rsidR="009F4766" w:rsidRPr="00DE12A3" w:rsidRDefault="009F4766" w:rsidP="00C917D6">
            <w:pPr>
              <w:pStyle w:val="NormalLeft"/>
            </w:pPr>
            <w:r w:rsidRPr="00DE12A3">
              <w:t>(7-136)</w:t>
            </w:r>
          </w:p>
        </w:tc>
      </w:tr>
    </w:tbl>
    <w:p w14:paraId="0C57A595" w14:textId="77777777" w:rsidR="009F4766" w:rsidRPr="00DE12A3" w:rsidRDefault="008B3D9F" w:rsidP="00C917D6">
      <w:pPr>
        <w:spacing w:before="120" w:after="120"/>
        <w:rPr>
          <w:rFonts w:cs="Times New Roman"/>
          <w:color w:val="auto"/>
        </w:rPr>
      </w:pPr>
      <w:r w:rsidRPr="00DE12A3">
        <w:rPr>
          <w:rFonts w:cs="Times New Roman"/>
          <w:color w:val="auto"/>
        </w:rPr>
        <w:t>Burada</w:t>
      </w:r>
      <w:r w:rsidR="009F4766" w:rsidRPr="00DE12A3">
        <w:rPr>
          <w:rFonts w:cs="Times New Roman"/>
          <w:color w:val="auto"/>
        </w:rPr>
        <w:t>:</w:t>
      </w:r>
    </w:p>
    <w:tbl>
      <w:tblPr>
        <w:tblW w:w="0" w:type="auto"/>
        <w:tblLayout w:type="fixed"/>
        <w:tblLook w:val="0000" w:firstRow="0" w:lastRow="0" w:firstColumn="0" w:lastColumn="0" w:noHBand="0" w:noVBand="0"/>
      </w:tblPr>
      <w:tblGrid>
        <w:gridCol w:w="1300"/>
        <w:gridCol w:w="557"/>
        <w:gridCol w:w="7429"/>
      </w:tblGrid>
      <w:tr w:rsidR="00DE12A3" w:rsidRPr="00DE12A3" w14:paraId="74FC2A8D" w14:textId="77777777" w:rsidTr="006D7ADF">
        <w:tc>
          <w:tcPr>
            <w:tcW w:w="1300" w:type="dxa"/>
          </w:tcPr>
          <w:p w14:paraId="1977F130" w14:textId="77777777" w:rsidR="00674442" w:rsidRPr="00DE12A3" w:rsidRDefault="00674442" w:rsidP="00C917D6">
            <w:pPr>
              <w:pStyle w:val="NormalLeft"/>
            </w:pPr>
            <w:r w:rsidRPr="00DE12A3">
              <w:rPr>
                <w:i/>
                <w:iCs/>
              </w:rPr>
              <w:t>ṅ</w:t>
            </w:r>
            <w:r w:rsidRPr="00DE12A3">
              <w:rPr>
                <w:vertAlign w:val="subscript"/>
              </w:rPr>
              <w:t>ref</w:t>
            </w:r>
          </w:p>
        </w:tc>
        <w:tc>
          <w:tcPr>
            <w:tcW w:w="557" w:type="dxa"/>
          </w:tcPr>
          <w:p w14:paraId="296C90C9" w14:textId="77777777" w:rsidR="00674442" w:rsidRPr="00DE12A3" w:rsidRDefault="00674442" w:rsidP="00C917D6">
            <w:pPr>
              <w:pStyle w:val="NormalLeft"/>
            </w:pPr>
            <w:r w:rsidRPr="00DE12A3">
              <w:t>=</w:t>
            </w:r>
          </w:p>
        </w:tc>
        <w:tc>
          <w:tcPr>
            <w:tcW w:w="7429" w:type="dxa"/>
          </w:tcPr>
          <w:p w14:paraId="44FB3A66" w14:textId="75D57DAE" w:rsidR="00674442" w:rsidRPr="00DE12A3" w:rsidRDefault="00005131" w:rsidP="00C917D6">
            <w:pPr>
              <w:spacing w:before="120" w:after="120"/>
              <w:rPr>
                <w:rFonts w:cs="Times New Roman"/>
                <w:color w:val="auto"/>
              </w:rPr>
            </w:pPr>
            <w:r w:rsidRPr="00DE12A3">
              <w:rPr>
                <w:rFonts w:cs="Times New Roman"/>
                <w:color w:val="auto"/>
              </w:rPr>
              <w:t>Referans</w:t>
            </w:r>
            <w:r w:rsidR="00674442" w:rsidRPr="00DE12A3">
              <w:rPr>
                <w:rFonts w:cs="Times New Roman"/>
                <w:color w:val="auto"/>
              </w:rPr>
              <w:t xml:space="preserve"> molar akış hızı [mol/s]</w:t>
            </w:r>
          </w:p>
        </w:tc>
      </w:tr>
      <w:tr w:rsidR="00DE12A3" w:rsidRPr="00DE12A3" w14:paraId="0FEF87BD" w14:textId="77777777" w:rsidTr="006D7ADF">
        <w:tc>
          <w:tcPr>
            <w:tcW w:w="1300" w:type="dxa"/>
          </w:tcPr>
          <w:p w14:paraId="08F958B7" w14:textId="77777777" w:rsidR="00674442" w:rsidRPr="00DE12A3" w:rsidRDefault="00674442" w:rsidP="00C917D6">
            <w:pPr>
              <w:pStyle w:val="NormalLeft"/>
            </w:pPr>
            <w:r w:rsidRPr="00DE12A3">
              <w:rPr>
                <w:i/>
                <w:iCs/>
              </w:rPr>
              <w:t>V̇</w:t>
            </w:r>
            <w:r w:rsidRPr="00DE12A3">
              <w:rPr>
                <w:vertAlign w:val="subscript"/>
              </w:rPr>
              <w:t>stdref</w:t>
            </w:r>
          </w:p>
        </w:tc>
        <w:tc>
          <w:tcPr>
            <w:tcW w:w="557" w:type="dxa"/>
          </w:tcPr>
          <w:p w14:paraId="60CD10C3" w14:textId="77777777" w:rsidR="00674442" w:rsidRPr="00DE12A3" w:rsidRDefault="00674442" w:rsidP="00C917D6">
            <w:pPr>
              <w:pStyle w:val="NormalLeft"/>
            </w:pPr>
            <w:r w:rsidRPr="00DE12A3">
              <w:t>=</w:t>
            </w:r>
          </w:p>
        </w:tc>
        <w:tc>
          <w:tcPr>
            <w:tcW w:w="7429" w:type="dxa"/>
          </w:tcPr>
          <w:p w14:paraId="3608F018" w14:textId="2673C970" w:rsidR="00674442" w:rsidRPr="00DE12A3" w:rsidRDefault="00005131" w:rsidP="00C917D6">
            <w:pPr>
              <w:spacing w:before="120" w:after="120"/>
              <w:rPr>
                <w:rFonts w:cs="Times New Roman"/>
                <w:color w:val="auto"/>
              </w:rPr>
            </w:pPr>
            <w:r w:rsidRPr="00DE12A3">
              <w:rPr>
                <w:rFonts w:cs="Times New Roman"/>
                <w:color w:val="auto"/>
              </w:rPr>
              <w:t>Standart</w:t>
            </w:r>
            <w:r w:rsidR="00674442" w:rsidRPr="00DE12A3">
              <w:rPr>
                <w:rFonts w:cs="Times New Roman"/>
                <w:color w:val="auto"/>
              </w:rPr>
              <w:t xml:space="preserve"> bir basınca ve standart bir sıcaklığa göre düzeltilmiş referans hacim akış hızı [m3/s]</w:t>
            </w:r>
          </w:p>
        </w:tc>
      </w:tr>
      <w:tr w:rsidR="00DE12A3" w:rsidRPr="00DE12A3" w14:paraId="49D54037" w14:textId="77777777" w:rsidTr="006D7ADF">
        <w:tc>
          <w:tcPr>
            <w:tcW w:w="1300" w:type="dxa"/>
          </w:tcPr>
          <w:p w14:paraId="733707EB" w14:textId="77777777" w:rsidR="00674442" w:rsidRPr="00DE12A3" w:rsidRDefault="00674442" w:rsidP="00C917D6">
            <w:pPr>
              <w:pStyle w:val="NormalLeft"/>
            </w:pPr>
            <w:r w:rsidRPr="00DE12A3">
              <w:rPr>
                <w:i/>
                <w:iCs/>
              </w:rPr>
              <w:t>V̇</w:t>
            </w:r>
            <w:r w:rsidRPr="00DE12A3">
              <w:rPr>
                <w:vertAlign w:val="subscript"/>
              </w:rPr>
              <w:t>actref</w:t>
            </w:r>
          </w:p>
        </w:tc>
        <w:tc>
          <w:tcPr>
            <w:tcW w:w="557" w:type="dxa"/>
          </w:tcPr>
          <w:p w14:paraId="2137AD4C" w14:textId="77777777" w:rsidR="00674442" w:rsidRPr="00DE12A3" w:rsidRDefault="00674442" w:rsidP="00C917D6">
            <w:pPr>
              <w:pStyle w:val="NormalLeft"/>
            </w:pPr>
            <w:r w:rsidRPr="00DE12A3">
              <w:t>=</w:t>
            </w:r>
          </w:p>
        </w:tc>
        <w:tc>
          <w:tcPr>
            <w:tcW w:w="7429" w:type="dxa"/>
          </w:tcPr>
          <w:p w14:paraId="6FFFF7E0" w14:textId="79F788FC" w:rsidR="00674442" w:rsidRPr="00DE12A3" w:rsidRDefault="00005131" w:rsidP="00C917D6">
            <w:pPr>
              <w:spacing w:before="120" w:after="120"/>
              <w:rPr>
                <w:rFonts w:cs="Times New Roman"/>
                <w:color w:val="auto"/>
              </w:rPr>
            </w:pPr>
            <w:r w:rsidRPr="00DE12A3">
              <w:rPr>
                <w:rFonts w:cs="Times New Roman"/>
                <w:color w:val="auto"/>
              </w:rPr>
              <w:t>Gerçek</w:t>
            </w:r>
            <w:r w:rsidR="00674442" w:rsidRPr="00DE12A3">
              <w:rPr>
                <w:rFonts w:cs="Times New Roman"/>
                <w:color w:val="auto"/>
              </w:rPr>
              <w:t xml:space="preserve"> basınç ve sıcaklıkta referans hacim akış hızı [m3/s]</w:t>
            </w:r>
          </w:p>
        </w:tc>
      </w:tr>
      <w:tr w:rsidR="00DE12A3" w:rsidRPr="00DE12A3" w14:paraId="36B5300C" w14:textId="77777777" w:rsidTr="006D7ADF">
        <w:tc>
          <w:tcPr>
            <w:tcW w:w="1300" w:type="dxa"/>
          </w:tcPr>
          <w:p w14:paraId="150D50EE" w14:textId="77777777" w:rsidR="00674442" w:rsidRPr="00DE12A3" w:rsidRDefault="00674442" w:rsidP="00C917D6">
            <w:pPr>
              <w:pStyle w:val="NormalLeft"/>
            </w:pPr>
            <w:r w:rsidRPr="00DE12A3">
              <w:rPr>
                <w:i/>
                <w:iCs/>
              </w:rPr>
              <w:t>ṁ</w:t>
            </w:r>
            <w:r w:rsidRPr="00DE12A3">
              <w:rPr>
                <w:vertAlign w:val="subscript"/>
              </w:rPr>
              <w:t>ref</w:t>
            </w:r>
          </w:p>
        </w:tc>
        <w:tc>
          <w:tcPr>
            <w:tcW w:w="557" w:type="dxa"/>
          </w:tcPr>
          <w:p w14:paraId="3AE670DC" w14:textId="77777777" w:rsidR="00674442" w:rsidRPr="00DE12A3" w:rsidRDefault="00674442" w:rsidP="00C917D6">
            <w:pPr>
              <w:pStyle w:val="NormalLeft"/>
            </w:pPr>
            <w:r w:rsidRPr="00DE12A3">
              <w:t>=</w:t>
            </w:r>
          </w:p>
        </w:tc>
        <w:tc>
          <w:tcPr>
            <w:tcW w:w="7429" w:type="dxa"/>
          </w:tcPr>
          <w:p w14:paraId="35847CD1" w14:textId="7FD29BFB" w:rsidR="00674442" w:rsidRPr="00DE12A3" w:rsidRDefault="00005131" w:rsidP="00C917D6">
            <w:pPr>
              <w:spacing w:before="120" w:after="120"/>
              <w:rPr>
                <w:rFonts w:cs="Times New Roman"/>
                <w:color w:val="auto"/>
              </w:rPr>
            </w:pPr>
            <w:r w:rsidRPr="00DE12A3">
              <w:rPr>
                <w:rFonts w:cs="Times New Roman"/>
                <w:color w:val="auto"/>
              </w:rPr>
              <w:t>Referans</w:t>
            </w:r>
            <w:r w:rsidR="00674442" w:rsidRPr="00DE12A3">
              <w:rPr>
                <w:rFonts w:cs="Times New Roman"/>
                <w:color w:val="auto"/>
              </w:rPr>
              <w:t xml:space="preserve"> kütle akışı [g/s]</w:t>
            </w:r>
          </w:p>
        </w:tc>
      </w:tr>
      <w:tr w:rsidR="00DE12A3" w:rsidRPr="00DE12A3" w14:paraId="43800AB5" w14:textId="77777777" w:rsidTr="006D7ADF">
        <w:tc>
          <w:tcPr>
            <w:tcW w:w="1300" w:type="dxa"/>
          </w:tcPr>
          <w:p w14:paraId="60011932" w14:textId="77777777" w:rsidR="00674442" w:rsidRPr="00DE12A3" w:rsidRDefault="00674442" w:rsidP="00C917D6">
            <w:pPr>
              <w:pStyle w:val="NormalLeft"/>
            </w:pPr>
            <w:r w:rsidRPr="00DE12A3">
              <w:rPr>
                <w:i/>
                <w:iCs/>
              </w:rPr>
              <w:t>p</w:t>
            </w:r>
            <w:r w:rsidRPr="00DE12A3">
              <w:rPr>
                <w:vertAlign w:val="subscript"/>
              </w:rPr>
              <w:t>std</w:t>
            </w:r>
          </w:p>
        </w:tc>
        <w:tc>
          <w:tcPr>
            <w:tcW w:w="557" w:type="dxa"/>
          </w:tcPr>
          <w:p w14:paraId="25306F07" w14:textId="77777777" w:rsidR="00674442" w:rsidRPr="00DE12A3" w:rsidRDefault="00674442" w:rsidP="00C917D6">
            <w:pPr>
              <w:pStyle w:val="NormalLeft"/>
            </w:pPr>
            <w:r w:rsidRPr="00DE12A3">
              <w:t>=</w:t>
            </w:r>
          </w:p>
        </w:tc>
        <w:tc>
          <w:tcPr>
            <w:tcW w:w="7429" w:type="dxa"/>
          </w:tcPr>
          <w:p w14:paraId="4E202D8B" w14:textId="7B559DC7" w:rsidR="00674442" w:rsidRPr="00DE12A3" w:rsidRDefault="00005131" w:rsidP="00C917D6">
            <w:pPr>
              <w:spacing w:before="120" w:after="120"/>
              <w:rPr>
                <w:rFonts w:cs="Times New Roman"/>
                <w:color w:val="auto"/>
              </w:rPr>
            </w:pPr>
            <w:r w:rsidRPr="00DE12A3">
              <w:rPr>
                <w:rFonts w:cs="Times New Roman"/>
                <w:color w:val="auto"/>
              </w:rPr>
              <w:t>Standart</w:t>
            </w:r>
            <w:r w:rsidR="00674442" w:rsidRPr="00DE12A3">
              <w:rPr>
                <w:rFonts w:cs="Times New Roman"/>
                <w:color w:val="auto"/>
              </w:rPr>
              <w:t xml:space="preserve"> basınç [Pa]</w:t>
            </w:r>
          </w:p>
        </w:tc>
      </w:tr>
      <w:tr w:rsidR="00DE12A3" w:rsidRPr="00DE12A3" w14:paraId="0ED3C184" w14:textId="77777777" w:rsidTr="006D7ADF">
        <w:tc>
          <w:tcPr>
            <w:tcW w:w="1300" w:type="dxa"/>
          </w:tcPr>
          <w:p w14:paraId="22279A19" w14:textId="77777777" w:rsidR="00674442" w:rsidRPr="00DE12A3" w:rsidRDefault="00674442" w:rsidP="00C917D6">
            <w:pPr>
              <w:pStyle w:val="NormalLeft"/>
            </w:pPr>
            <w:r w:rsidRPr="00DE12A3">
              <w:rPr>
                <w:i/>
                <w:iCs/>
              </w:rPr>
              <w:t>p</w:t>
            </w:r>
            <w:r w:rsidRPr="00DE12A3">
              <w:rPr>
                <w:vertAlign w:val="subscript"/>
              </w:rPr>
              <w:t>act</w:t>
            </w:r>
          </w:p>
        </w:tc>
        <w:tc>
          <w:tcPr>
            <w:tcW w:w="557" w:type="dxa"/>
          </w:tcPr>
          <w:p w14:paraId="644F6A7A" w14:textId="77777777" w:rsidR="00674442" w:rsidRPr="00DE12A3" w:rsidRDefault="00674442" w:rsidP="00C917D6">
            <w:pPr>
              <w:pStyle w:val="NormalLeft"/>
            </w:pPr>
            <w:r w:rsidRPr="00DE12A3">
              <w:t>=</w:t>
            </w:r>
          </w:p>
        </w:tc>
        <w:tc>
          <w:tcPr>
            <w:tcW w:w="7429" w:type="dxa"/>
          </w:tcPr>
          <w:p w14:paraId="55B4A967" w14:textId="02A80CB7" w:rsidR="00674442" w:rsidRPr="00DE12A3" w:rsidRDefault="00005131" w:rsidP="00C917D6">
            <w:pPr>
              <w:spacing w:before="120" w:after="120"/>
              <w:rPr>
                <w:rFonts w:cs="Times New Roman"/>
                <w:color w:val="auto"/>
              </w:rPr>
            </w:pPr>
            <w:r w:rsidRPr="00DE12A3">
              <w:rPr>
                <w:rFonts w:cs="Times New Roman"/>
                <w:color w:val="auto"/>
              </w:rPr>
              <w:t>Gazın</w:t>
            </w:r>
            <w:r w:rsidR="00674442" w:rsidRPr="00DE12A3">
              <w:rPr>
                <w:rFonts w:cs="Times New Roman"/>
                <w:color w:val="auto"/>
              </w:rPr>
              <w:t xml:space="preserve"> gerçek basıncı [Pa]</w:t>
            </w:r>
          </w:p>
        </w:tc>
      </w:tr>
      <w:tr w:rsidR="00DE12A3" w:rsidRPr="00DE12A3" w14:paraId="27001628" w14:textId="77777777" w:rsidTr="006D7ADF">
        <w:tc>
          <w:tcPr>
            <w:tcW w:w="1300" w:type="dxa"/>
          </w:tcPr>
          <w:p w14:paraId="6CB3AA69" w14:textId="77777777" w:rsidR="00674442" w:rsidRPr="00DE12A3" w:rsidRDefault="00674442" w:rsidP="00C917D6">
            <w:pPr>
              <w:pStyle w:val="NormalLeft"/>
            </w:pPr>
            <w:r w:rsidRPr="00DE12A3">
              <w:rPr>
                <w:i/>
                <w:iCs/>
              </w:rPr>
              <w:t>T</w:t>
            </w:r>
            <w:r w:rsidRPr="00DE12A3">
              <w:rPr>
                <w:vertAlign w:val="subscript"/>
              </w:rPr>
              <w:t>std</w:t>
            </w:r>
          </w:p>
        </w:tc>
        <w:tc>
          <w:tcPr>
            <w:tcW w:w="557" w:type="dxa"/>
          </w:tcPr>
          <w:p w14:paraId="439D6698" w14:textId="77777777" w:rsidR="00674442" w:rsidRPr="00DE12A3" w:rsidRDefault="00674442" w:rsidP="00C917D6">
            <w:pPr>
              <w:pStyle w:val="NormalLeft"/>
            </w:pPr>
            <w:r w:rsidRPr="00DE12A3">
              <w:t>=</w:t>
            </w:r>
          </w:p>
        </w:tc>
        <w:tc>
          <w:tcPr>
            <w:tcW w:w="7429" w:type="dxa"/>
          </w:tcPr>
          <w:p w14:paraId="0875B727" w14:textId="051B7AFD" w:rsidR="00674442" w:rsidRPr="00DE12A3" w:rsidRDefault="00005131" w:rsidP="00C917D6">
            <w:pPr>
              <w:spacing w:before="120" w:after="120"/>
              <w:rPr>
                <w:rFonts w:cs="Times New Roman"/>
                <w:color w:val="auto"/>
              </w:rPr>
            </w:pPr>
            <w:r w:rsidRPr="00DE12A3">
              <w:rPr>
                <w:rFonts w:cs="Times New Roman"/>
                <w:color w:val="auto"/>
              </w:rPr>
              <w:t>Standart</w:t>
            </w:r>
            <w:r w:rsidR="00674442" w:rsidRPr="00DE12A3">
              <w:rPr>
                <w:rFonts w:cs="Times New Roman"/>
                <w:color w:val="auto"/>
              </w:rPr>
              <w:t xml:space="preserve"> sıcaklık [K]</w:t>
            </w:r>
          </w:p>
        </w:tc>
      </w:tr>
      <w:tr w:rsidR="00DE12A3" w:rsidRPr="00DE12A3" w14:paraId="753443C9" w14:textId="77777777" w:rsidTr="006D7ADF">
        <w:tc>
          <w:tcPr>
            <w:tcW w:w="1300" w:type="dxa"/>
          </w:tcPr>
          <w:p w14:paraId="495EBED8" w14:textId="77777777" w:rsidR="00674442" w:rsidRPr="00DE12A3" w:rsidRDefault="00674442" w:rsidP="00C917D6">
            <w:pPr>
              <w:pStyle w:val="NormalLeft"/>
            </w:pPr>
            <w:r w:rsidRPr="00DE12A3">
              <w:rPr>
                <w:i/>
                <w:iCs/>
              </w:rPr>
              <w:t>T</w:t>
            </w:r>
            <w:r w:rsidRPr="00DE12A3">
              <w:rPr>
                <w:vertAlign w:val="subscript"/>
              </w:rPr>
              <w:t>act</w:t>
            </w:r>
          </w:p>
        </w:tc>
        <w:tc>
          <w:tcPr>
            <w:tcW w:w="557" w:type="dxa"/>
          </w:tcPr>
          <w:p w14:paraId="52CC34CB" w14:textId="77777777" w:rsidR="00674442" w:rsidRPr="00DE12A3" w:rsidRDefault="00674442" w:rsidP="00C917D6">
            <w:pPr>
              <w:pStyle w:val="NormalLeft"/>
            </w:pPr>
            <w:r w:rsidRPr="00DE12A3">
              <w:t>=</w:t>
            </w:r>
          </w:p>
        </w:tc>
        <w:tc>
          <w:tcPr>
            <w:tcW w:w="7429" w:type="dxa"/>
          </w:tcPr>
          <w:p w14:paraId="7F121ECB" w14:textId="0797982F" w:rsidR="00674442" w:rsidRPr="00DE12A3" w:rsidRDefault="00005131" w:rsidP="00C917D6">
            <w:pPr>
              <w:spacing w:before="120" w:after="120"/>
              <w:rPr>
                <w:rFonts w:cs="Times New Roman"/>
                <w:color w:val="auto"/>
              </w:rPr>
            </w:pPr>
            <w:r w:rsidRPr="00DE12A3">
              <w:rPr>
                <w:rFonts w:cs="Times New Roman"/>
                <w:color w:val="auto"/>
              </w:rPr>
              <w:t>Gazın</w:t>
            </w:r>
            <w:r w:rsidR="00674442" w:rsidRPr="00DE12A3">
              <w:rPr>
                <w:rFonts w:cs="Times New Roman"/>
                <w:color w:val="auto"/>
              </w:rPr>
              <w:t xml:space="preserve"> gerçek sıcaklığı [K]</w:t>
            </w:r>
          </w:p>
        </w:tc>
      </w:tr>
      <w:tr w:rsidR="00DE12A3" w:rsidRPr="00DE12A3" w14:paraId="6D06E495" w14:textId="77777777" w:rsidTr="006D7ADF">
        <w:tc>
          <w:tcPr>
            <w:tcW w:w="1300" w:type="dxa"/>
          </w:tcPr>
          <w:p w14:paraId="7119618A" w14:textId="77777777" w:rsidR="00674442" w:rsidRPr="00DE12A3" w:rsidRDefault="00674442" w:rsidP="00C917D6">
            <w:pPr>
              <w:pStyle w:val="NormalLeft"/>
            </w:pPr>
            <w:r w:rsidRPr="00DE12A3">
              <w:rPr>
                <w:i/>
                <w:iCs/>
              </w:rPr>
              <w:t>R</w:t>
            </w:r>
          </w:p>
        </w:tc>
        <w:tc>
          <w:tcPr>
            <w:tcW w:w="557" w:type="dxa"/>
          </w:tcPr>
          <w:p w14:paraId="75BFDE25" w14:textId="77777777" w:rsidR="00674442" w:rsidRPr="00DE12A3" w:rsidRDefault="00674442" w:rsidP="00C917D6">
            <w:pPr>
              <w:pStyle w:val="NormalLeft"/>
            </w:pPr>
            <w:r w:rsidRPr="00DE12A3">
              <w:t>=</w:t>
            </w:r>
          </w:p>
        </w:tc>
        <w:tc>
          <w:tcPr>
            <w:tcW w:w="7429" w:type="dxa"/>
          </w:tcPr>
          <w:p w14:paraId="5CBA2AC0" w14:textId="2767606A" w:rsidR="00674442" w:rsidRPr="00DE12A3" w:rsidRDefault="00005131" w:rsidP="00C917D6">
            <w:pPr>
              <w:spacing w:before="120" w:after="120"/>
              <w:rPr>
                <w:rFonts w:cs="Times New Roman"/>
                <w:color w:val="auto"/>
              </w:rPr>
            </w:pPr>
            <w:r w:rsidRPr="00DE12A3">
              <w:rPr>
                <w:rFonts w:cs="Times New Roman"/>
                <w:color w:val="auto"/>
              </w:rPr>
              <w:t>Molar</w:t>
            </w:r>
            <w:r w:rsidR="00674442" w:rsidRPr="00DE12A3">
              <w:rPr>
                <w:rFonts w:cs="Times New Roman"/>
                <w:color w:val="auto"/>
              </w:rPr>
              <w:t xml:space="preserve"> gaz sabiti [J/(mol • K)]</w:t>
            </w:r>
          </w:p>
        </w:tc>
      </w:tr>
      <w:tr w:rsidR="00674442" w:rsidRPr="00DE12A3" w14:paraId="73C4B684" w14:textId="77777777" w:rsidTr="006D7ADF">
        <w:tc>
          <w:tcPr>
            <w:tcW w:w="1300" w:type="dxa"/>
          </w:tcPr>
          <w:p w14:paraId="3C7C2A5B" w14:textId="77777777" w:rsidR="00674442" w:rsidRPr="00DE12A3" w:rsidRDefault="00674442" w:rsidP="00C917D6">
            <w:pPr>
              <w:pStyle w:val="NormalLeft"/>
            </w:pPr>
            <w:r w:rsidRPr="00DE12A3">
              <w:rPr>
                <w:i/>
                <w:iCs/>
              </w:rPr>
              <w:t>M</w:t>
            </w:r>
            <w:r w:rsidRPr="00DE12A3">
              <w:rPr>
                <w:vertAlign w:val="subscript"/>
              </w:rPr>
              <w:t>mix</w:t>
            </w:r>
          </w:p>
        </w:tc>
        <w:tc>
          <w:tcPr>
            <w:tcW w:w="557" w:type="dxa"/>
          </w:tcPr>
          <w:p w14:paraId="0271B336" w14:textId="77777777" w:rsidR="00674442" w:rsidRPr="00DE12A3" w:rsidRDefault="00674442" w:rsidP="00C917D6">
            <w:pPr>
              <w:pStyle w:val="NormalLeft"/>
            </w:pPr>
            <w:r w:rsidRPr="00DE12A3">
              <w:t>=</w:t>
            </w:r>
          </w:p>
        </w:tc>
        <w:tc>
          <w:tcPr>
            <w:tcW w:w="7429" w:type="dxa"/>
          </w:tcPr>
          <w:p w14:paraId="5EF4E366" w14:textId="19CA9C06" w:rsidR="00674442" w:rsidRPr="00DE12A3" w:rsidRDefault="00005131" w:rsidP="00C917D6">
            <w:pPr>
              <w:spacing w:before="120" w:after="120"/>
              <w:rPr>
                <w:rFonts w:cs="Times New Roman"/>
                <w:color w:val="auto"/>
              </w:rPr>
            </w:pPr>
            <w:r w:rsidRPr="00DE12A3">
              <w:rPr>
                <w:rFonts w:cs="Times New Roman"/>
                <w:color w:val="auto"/>
              </w:rPr>
              <w:t>Gazın</w:t>
            </w:r>
            <w:r w:rsidR="00674442" w:rsidRPr="00DE12A3">
              <w:rPr>
                <w:rFonts w:cs="Times New Roman"/>
                <w:color w:val="auto"/>
              </w:rPr>
              <w:t xml:space="preserve"> molar kütlesi [g/mol]</w:t>
            </w:r>
          </w:p>
        </w:tc>
      </w:tr>
    </w:tbl>
    <w:p w14:paraId="5C9ADD76" w14:textId="77777777" w:rsidR="009F4766" w:rsidRPr="00DE12A3" w:rsidRDefault="009F4766" w:rsidP="00C917D6">
      <w:pPr>
        <w:spacing w:before="120" w:after="120"/>
        <w:rPr>
          <w:rFonts w:cs="Times New Roman"/>
          <w:color w:val="auto"/>
        </w:rPr>
      </w:pPr>
    </w:p>
    <w:p w14:paraId="3C2EED48" w14:textId="77777777" w:rsidR="00674442" w:rsidRPr="00DE12A3" w:rsidRDefault="009F4766" w:rsidP="00C917D6">
      <w:pPr>
        <w:pStyle w:val="ManualHeading4"/>
        <w:numPr>
          <w:ilvl w:val="0"/>
          <w:numId w:val="0"/>
        </w:numPr>
        <w:ind w:left="1134" w:hanging="1134"/>
      </w:pPr>
      <w:r w:rsidRPr="00DE12A3">
        <w:t>3.9.2.</w:t>
      </w:r>
      <w:r w:rsidR="00674442" w:rsidRPr="00DE12A3">
        <w:t xml:space="preserve">          PDP kalibrasyon hesaplamaları</w:t>
      </w:r>
    </w:p>
    <w:p w14:paraId="6F51AED5" w14:textId="1D71DE5C" w:rsidR="00674442" w:rsidRPr="00DE12A3" w:rsidRDefault="00674442" w:rsidP="00C917D6">
      <w:pPr>
        <w:pStyle w:val="Point0"/>
        <w:ind w:left="1134" w:firstLine="0"/>
      </w:pPr>
      <w:r w:rsidRPr="00DE12A3">
        <w:t xml:space="preserve">Her kısıtlayıcı pozisyonu için, aşağıdaki değerler, </w:t>
      </w:r>
      <w:r w:rsidR="00FA0678" w:rsidRPr="00DE12A3">
        <w:t xml:space="preserve">VI’ncı </w:t>
      </w:r>
      <w:r w:rsidR="00825EFD" w:rsidRPr="00DE12A3">
        <w:t>E</w:t>
      </w:r>
      <w:r w:rsidR="00FA0678" w:rsidRPr="00DE12A3">
        <w:t>k</w:t>
      </w:r>
      <w:r w:rsidRPr="00DE12A3">
        <w:t>in 8.1.8.4 bendinde belirtilen ortalama değerler kullanılarak aşağıdaki şekilde hesaplanır</w:t>
      </w:r>
      <w:r w:rsidR="00825EFD" w:rsidRPr="00DE12A3">
        <w:t>.</w:t>
      </w:r>
    </w:p>
    <w:p w14:paraId="2BAD0CC1" w14:textId="346C30D6" w:rsidR="00674442" w:rsidRPr="00DE12A3" w:rsidRDefault="00674442" w:rsidP="00E20716">
      <w:pPr>
        <w:pStyle w:val="Point0"/>
        <w:numPr>
          <w:ilvl w:val="0"/>
          <w:numId w:val="457"/>
        </w:numPr>
        <w:ind w:left="1701" w:hanging="567"/>
      </w:pPr>
      <w:r w:rsidRPr="00DE12A3">
        <w:t>Devir başına pompalanan PDP hacmi, Vrev (m3/dev)</w:t>
      </w:r>
      <w:r w:rsidR="00825EFD" w:rsidRPr="00DE12A3">
        <w:t> ;</w:t>
      </w:r>
    </w:p>
    <w:p w14:paraId="28CF06D4" w14:textId="77777777" w:rsidR="00674442" w:rsidRPr="00DE12A3" w:rsidRDefault="00674442" w:rsidP="00C917D6">
      <w:pPr>
        <w:pStyle w:val="Point0"/>
        <w:ind w:left="1701" w:hanging="567"/>
      </w:pPr>
    </w:p>
    <w:tbl>
      <w:tblPr>
        <w:tblW w:w="0" w:type="auto"/>
        <w:tblInd w:w="2786" w:type="dxa"/>
        <w:tblLayout w:type="fixed"/>
        <w:tblLook w:val="0000" w:firstRow="0" w:lastRow="0" w:firstColumn="0" w:lastColumn="0" w:noHBand="0" w:noVBand="0"/>
      </w:tblPr>
      <w:tblGrid>
        <w:gridCol w:w="2712"/>
        <w:gridCol w:w="1002"/>
      </w:tblGrid>
      <w:tr w:rsidR="00DE12A3" w:rsidRPr="00DE12A3" w14:paraId="36F21BF7" w14:textId="77777777" w:rsidTr="00674442">
        <w:tc>
          <w:tcPr>
            <w:tcW w:w="2712" w:type="dxa"/>
          </w:tcPr>
          <w:p w14:paraId="2945CE21" w14:textId="27C28B73" w:rsidR="009F4766" w:rsidRPr="00DE12A3" w:rsidRDefault="009F4766" w:rsidP="00C917D6">
            <w:pPr>
              <w:pStyle w:val="NormalLeft"/>
            </w:pPr>
            <w:r w:rsidRPr="00DE12A3">
              <w:rPr>
                <w:noProof/>
                <w:lang w:val="tr-TR"/>
              </w:rPr>
              <w:drawing>
                <wp:inline distT="0" distB="0" distL="0" distR="0" wp14:anchorId="4BD9D411" wp14:editId="7EA9667D">
                  <wp:extent cx="1465384" cy="691515"/>
                  <wp:effectExtent l="0" t="0" r="1905" b="0"/>
                  <wp:docPr id="2468" name="Resim 24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203">
                            <a:extLst>
                              <a:ext uri="{28A0092B-C50C-407E-A947-70E740481C1C}">
                                <a14:useLocalDpi xmlns:a14="http://schemas.microsoft.com/office/drawing/2010/main" val="0"/>
                              </a:ext>
                            </a:extLst>
                          </a:blip>
                          <a:srcRect/>
                          <a:stretch>
                            <a:fillRect/>
                          </a:stretch>
                        </pic:blipFill>
                        <pic:spPr bwMode="auto">
                          <a:xfrm>
                            <a:off x="0" y="0"/>
                            <a:ext cx="1475741" cy="696403"/>
                          </a:xfrm>
                          <a:prstGeom prst="rect">
                            <a:avLst/>
                          </a:prstGeom>
                          <a:noFill/>
                          <a:ln>
                            <a:noFill/>
                          </a:ln>
                        </pic:spPr>
                      </pic:pic>
                    </a:graphicData>
                  </a:graphic>
                </wp:inline>
              </w:drawing>
            </w:r>
          </w:p>
        </w:tc>
        <w:tc>
          <w:tcPr>
            <w:tcW w:w="1002" w:type="dxa"/>
          </w:tcPr>
          <w:p w14:paraId="76019D07" w14:textId="77777777" w:rsidR="009F4766" w:rsidRPr="00DE12A3" w:rsidRDefault="009F4766" w:rsidP="00C917D6">
            <w:pPr>
              <w:pStyle w:val="NormalLeft"/>
            </w:pPr>
            <w:r w:rsidRPr="00DE12A3">
              <w:t>(7-137)</w:t>
            </w:r>
          </w:p>
        </w:tc>
      </w:tr>
    </w:tbl>
    <w:p w14:paraId="0127A77B" w14:textId="77777777" w:rsidR="009F4766" w:rsidRPr="00DE12A3" w:rsidRDefault="009F4766" w:rsidP="00C917D6">
      <w:pPr>
        <w:pStyle w:val="Point0"/>
        <w:ind w:left="1134" w:firstLine="0"/>
      </w:pPr>
      <w:r w:rsidRPr="00DE12A3">
        <w:tab/>
      </w:r>
      <w:r w:rsidR="008B3D9F" w:rsidRPr="00DE12A3">
        <w:t>Burada</w:t>
      </w:r>
      <w:r w:rsidRPr="00DE12A3">
        <w:t>:</w:t>
      </w:r>
    </w:p>
    <w:tbl>
      <w:tblPr>
        <w:tblW w:w="0" w:type="auto"/>
        <w:tblInd w:w="1439" w:type="dxa"/>
        <w:tblLayout w:type="fixed"/>
        <w:tblLook w:val="0000" w:firstRow="0" w:lastRow="0" w:firstColumn="0" w:lastColumn="0" w:noHBand="0" w:noVBand="0"/>
      </w:tblPr>
      <w:tblGrid>
        <w:gridCol w:w="961"/>
        <w:gridCol w:w="577"/>
        <w:gridCol w:w="4869"/>
      </w:tblGrid>
      <w:tr w:rsidR="00DE12A3" w:rsidRPr="00DE12A3" w14:paraId="52658704" w14:textId="77777777" w:rsidTr="006D7ADF">
        <w:tc>
          <w:tcPr>
            <w:tcW w:w="961" w:type="dxa"/>
          </w:tcPr>
          <w:p w14:paraId="6950B781" w14:textId="445CCE52" w:rsidR="0094646F" w:rsidRPr="00DE12A3" w:rsidRDefault="0094646F" w:rsidP="00C917D6">
            <w:pPr>
              <w:pStyle w:val="NormalLeft"/>
            </w:pPr>
            <w:r w:rsidRPr="00DE12A3">
              <w:rPr>
                <w:noProof/>
                <w:lang w:val="tr-TR"/>
              </w:rPr>
              <w:lastRenderedPageBreak/>
              <w:drawing>
                <wp:inline distT="0" distB="0" distL="0" distR="0" wp14:anchorId="43CDD334" wp14:editId="4A2C4D3A">
                  <wp:extent cx="310515" cy="205105"/>
                  <wp:effectExtent l="0" t="0" r="0" b="4445"/>
                  <wp:docPr id="2467" name="Resim 2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204">
                            <a:extLst>
                              <a:ext uri="{28A0092B-C50C-407E-A947-70E740481C1C}">
                                <a14:useLocalDpi xmlns:a14="http://schemas.microsoft.com/office/drawing/2010/main" val="0"/>
                              </a:ext>
                            </a:extLst>
                          </a:blip>
                          <a:srcRect/>
                          <a:stretch>
                            <a:fillRect/>
                          </a:stretch>
                        </pic:blipFill>
                        <pic:spPr bwMode="auto">
                          <a:xfrm>
                            <a:off x="0" y="0"/>
                            <a:ext cx="310515" cy="205105"/>
                          </a:xfrm>
                          <a:prstGeom prst="rect">
                            <a:avLst/>
                          </a:prstGeom>
                          <a:noFill/>
                          <a:ln>
                            <a:noFill/>
                          </a:ln>
                        </pic:spPr>
                      </pic:pic>
                    </a:graphicData>
                  </a:graphic>
                </wp:inline>
              </w:drawing>
            </w:r>
          </w:p>
        </w:tc>
        <w:tc>
          <w:tcPr>
            <w:tcW w:w="577" w:type="dxa"/>
          </w:tcPr>
          <w:p w14:paraId="589CB4F1" w14:textId="77777777" w:rsidR="0094646F" w:rsidRPr="00DE12A3" w:rsidRDefault="0094646F" w:rsidP="00C917D6">
            <w:pPr>
              <w:pStyle w:val="NormalLeft"/>
            </w:pPr>
            <w:r w:rsidRPr="00DE12A3">
              <w:t>=</w:t>
            </w:r>
          </w:p>
        </w:tc>
        <w:tc>
          <w:tcPr>
            <w:tcW w:w="4869" w:type="dxa"/>
          </w:tcPr>
          <w:p w14:paraId="0ED66822" w14:textId="23AEAEDA" w:rsidR="0094646F" w:rsidRPr="00DE12A3" w:rsidRDefault="006D7ADF" w:rsidP="00C917D6">
            <w:pPr>
              <w:spacing w:before="120" w:after="120"/>
              <w:rPr>
                <w:rFonts w:cs="Times New Roman"/>
                <w:color w:val="auto"/>
              </w:rPr>
            </w:pPr>
            <w:r w:rsidRPr="00DE12A3">
              <w:rPr>
                <w:rFonts w:cs="Times New Roman"/>
                <w:color w:val="auto"/>
              </w:rPr>
              <w:t>Ortalama</w:t>
            </w:r>
            <w:r w:rsidR="0094646F" w:rsidRPr="00DE12A3">
              <w:rPr>
                <w:rFonts w:cs="Times New Roman"/>
                <w:color w:val="auto"/>
              </w:rPr>
              <w:t xml:space="preserve"> referans molar akış hızı değeri [mol/s]</w:t>
            </w:r>
          </w:p>
        </w:tc>
      </w:tr>
      <w:tr w:rsidR="00DE12A3" w:rsidRPr="00DE12A3" w14:paraId="1ACC6EAE" w14:textId="77777777" w:rsidTr="006D7ADF">
        <w:tc>
          <w:tcPr>
            <w:tcW w:w="961" w:type="dxa"/>
          </w:tcPr>
          <w:p w14:paraId="1BF973CE" w14:textId="77777777" w:rsidR="0094646F" w:rsidRPr="00DE12A3" w:rsidRDefault="0094646F" w:rsidP="00C917D6">
            <w:pPr>
              <w:pStyle w:val="NormalLeft"/>
            </w:pPr>
            <w:r w:rsidRPr="00DE12A3">
              <w:rPr>
                <w:i/>
                <w:iCs/>
              </w:rPr>
              <w:t>R</w:t>
            </w:r>
          </w:p>
        </w:tc>
        <w:tc>
          <w:tcPr>
            <w:tcW w:w="577" w:type="dxa"/>
          </w:tcPr>
          <w:p w14:paraId="4BDC6706" w14:textId="77777777" w:rsidR="0094646F" w:rsidRPr="00DE12A3" w:rsidRDefault="0094646F" w:rsidP="00C917D6">
            <w:pPr>
              <w:pStyle w:val="NormalLeft"/>
            </w:pPr>
            <w:r w:rsidRPr="00DE12A3">
              <w:t>=</w:t>
            </w:r>
          </w:p>
        </w:tc>
        <w:tc>
          <w:tcPr>
            <w:tcW w:w="4869" w:type="dxa"/>
          </w:tcPr>
          <w:p w14:paraId="61692C11" w14:textId="06DB7200" w:rsidR="0094646F" w:rsidRPr="00DE12A3" w:rsidRDefault="006D7ADF" w:rsidP="00C917D6">
            <w:pPr>
              <w:spacing w:before="120" w:after="120"/>
              <w:rPr>
                <w:rFonts w:cs="Times New Roman"/>
                <w:color w:val="auto"/>
              </w:rPr>
            </w:pPr>
            <w:r w:rsidRPr="00DE12A3">
              <w:rPr>
                <w:rFonts w:cs="Times New Roman"/>
                <w:color w:val="auto"/>
              </w:rPr>
              <w:t>Molar</w:t>
            </w:r>
            <w:r w:rsidR="0094646F" w:rsidRPr="00DE12A3">
              <w:rPr>
                <w:rFonts w:cs="Times New Roman"/>
                <w:color w:val="auto"/>
              </w:rPr>
              <w:t xml:space="preserve"> gaz sabiti [J/(mol • K)]</w:t>
            </w:r>
          </w:p>
        </w:tc>
      </w:tr>
      <w:tr w:rsidR="00DE12A3" w:rsidRPr="00DE12A3" w14:paraId="3F4E1D53" w14:textId="77777777" w:rsidTr="006D7ADF">
        <w:tc>
          <w:tcPr>
            <w:tcW w:w="961" w:type="dxa"/>
          </w:tcPr>
          <w:p w14:paraId="2FBECF45" w14:textId="05735712" w:rsidR="0094646F" w:rsidRPr="00DE12A3" w:rsidRDefault="0094646F" w:rsidP="00C917D6">
            <w:pPr>
              <w:pStyle w:val="NormalLeft"/>
            </w:pPr>
            <w:r w:rsidRPr="00DE12A3">
              <w:rPr>
                <w:noProof/>
                <w:lang w:val="tr-TR"/>
              </w:rPr>
              <w:drawing>
                <wp:inline distT="0" distB="0" distL="0" distR="0" wp14:anchorId="209B9405" wp14:editId="0B8A5784">
                  <wp:extent cx="422275" cy="328295"/>
                  <wp:effectExtent l="0" t="0" r="0" b="0"/>
                  <wp:docPr id="2466" name="Resim 2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205">
                            <a:extLst>
                              <a:ext uri="{28A0092B-C50C-407E-A947-70E740481C1C}">
                                <a14:useLocalDpi xmlns:a14="http://schemas.microsoft.com/office/drawing/2010/main" val="0"/>
                              </a:ext>
                            </a:extLst>
                          </a:blip>
                          <a:srcRect/>
                          <a:stretch>
                            <a:fillRect/>
                          </a:stretch>
                        </pic:blipFill>
                        <pic:spPr bwMode="auto">
                          <a:xfrm>
                            <a:off x="0" y="0"/>
                            <a:ext cx="422275" cy="328295"/>
                          </a:xfrm>
                          <a:prstGeom prst="rect">
                            <a:avLst/>
                          </a:prstGeom>
                          <a:noFill/>
                          <a:ln>
                            <a:noFill/>
                          </a:ln>
                        </pic:spPr>
                      </pic:pic>
                    </a:graphicData>
                  </a:graphic>
                </wp:inline>
              </w:drawing>
            </w:r>
          </w:p>
        </w:tc>
        <w:tc>
          <w:tcPr>
            <w:tcW w:w="577" w:type="dxa"/>
          </w:tcPr>
          <w:p w14:paraId="46225D89" w14:textId="77777777" w:rsidR="0094646F" w:rsidRPr="00DE12A3" w:rsidRDefault="0094646F" w:rsidP="00C917D6">
            <w:pPr>
              <w:pStyle w:val="NormalLeft"/>
            </w:pPr>
            <w:r w:rsidRPr="00DE12A3">
              <w:t>=</w:t>
            </w:r>
          </w:p>
        </w:tc>
        <w:tc>
          <w:tcPr>
            <w:tcW w:w="4869" w:type="dxa"/>
          </w:tcPr>
          <w:p w14:paraId="2F6B37F2" w14:textId="4496A510" w:rsidR="0094646F" w:rsidRPr="00DE12A3" w:rsidRDefault="006D7ADF" w:rsidP="00C917D6">
            <w:pPr>
              <w:spacing w:before="120" w:after="120"/>
              <w:rPr>
                <w:rFonts w:cs="Times New Roman"/>
                <w:color w:val="auto"/>
              </w:rPr>
            </w:pPr>
            <w:r w:rsidRPr="00DE12A3">
              <w:rPr>
                <w:rFonts w:cs="Times New Roman"/>
                <w:color w:val="auto"/>
              </w:rPr>
              <w:t>Ortalama</w:t>
            </w:r>
            <w:r w:rsidR="0094646F" w:rsidRPr="00DE12A3">
              <w:rPr>
                <w:rFonts w:cs="Times New Roman"/>
                <w:color w:val="auto"/>
              </w:rPr>
              <w:t xml:space="preserve"> giriş sıcaklığı [K]</w:t>
            </w:r>
          </w:p>
        </w:tc>
      </w:tr>
      <w:tr w:rsidR="00DE12A3" w:rsidRPr="00DE12A3" w14:paraId="5FFF7CC5" w14:textId="77777777" w:rsidTr="006D7ADF">
        <w:tc>
          <w:tcPr>
            <w:tcW w:w="961" w:type="dxa"/>
          </w:tcPr>
          <w:p w14:paraId="32C7CDE6" w14:textId="5EE54C5F" w:rsidR="0094646F" w:rsidRPr="00DE12A3" w:rsidRDefault="0094646F" w:rsidP="00C917D6">
            <w:pPr>
              <w:pStyle w:val="NormalLeft"/>
            </w:pPr>
            <w:r w:rsidRPr="00DE12A3">
              <w:rPr>
                <w:noProof/>
                <w:lang w:val="tr-TR"/>
              </w:rPr>
              <w:drawing>
                <wp:inline distT="0" distB="0" distL="0" distR="0" wp14:anchorId="554C124F" wp14:editId="626732BE">
                  <wp:extent cx="422275" cy="328295"/>
                  <wp:effectExtent l="0" t="0" r="0" b="0"/>
                  <wp:docPr id="2465" name="Resim 24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206">
                            <a:extLst>
                              <a:ext uri="{28A0092B-C50C-407E-A947-70E740481C1C}">
                                <a14:useLocalDpi xmlns:a14="http://schemas.microsoft.com/office/drawing/2010/main" val="0"/>
                              </a:ext>
                            </a:extLst>
                          </a:blip>
                          <a:srcRect/>
                          <a:stretch>
                            <a:fillRect/>
                          </a:stretch>
                        </pic:blipFill>
                        <pic:spPr bwMode="auto">
                          <a:xfrm>
                            <a:off x="0" y="0"/>
                            <a:ext cx="422275" cy="328295"/>
                          </a:xfrm>
                          <a:prstGeom prst="rect">
                            <a:avLst/>
                          </a:prstGeom>
                          <a:noFill/>
                          <a:ln>
                            <a:noFill/>
                          </a:ln>
                        </pic:spPr>
                      </pic:pic>
                    </a:graphicData>
                  </a:graphic>
                </wp:inline>
              </w:drawing>
            </w:r>
          </w:p>
        </w:tc>
        <w:tc>
          <w:tcPr>
            <w:tcW w:w="577" w:type="dxa"/>
          </w:tcPr>
          <w:p w14:paraId="3632B4BE" w14:textId="77777777" w:rsidR="0094646F" w:rsidRPr="00DE12A3" w:rsidRDefault="0094646F" w:rsidP="00C917D6">
            <w:pPr>
              <w:pStyle w:val="NormalLeft"/>
            </w:pPr>
            <w:r w:rsidRPr="00DE12A3">
              <w:t>=</w:t>
            </w:r>
          </w:p>
        </w:tc>
        <w:tc>
          <w:tcPr>
            <w:tcW w:w="4869" w:type="dxa"/>
          </w:tcPr>
          <w:p w14:paraId="524C9BBD" w14:textId="5E731BBD" w:rsidR="0094646F" w:rsidRPr="00DE12A3" w:rsidRDefault="006D7ADF" w:rsidP="00C917D6">
            <w:pPr>
              <w:spacing w:before="120" w:after="120"/>
              <w:rPr>
                <w:rFonts w:cs="Times New Roman"/>
                <w:color w:val="auto"/>
              </w:rPr>
            </w:pPr>
            <w:r w:rsidRPr="00DE12A3">
              <w:rPr>
                <w:rFonts w:cs="Times New Roman"/>
                <w:color w:val="auto"/>
              </w:rPr>
              <w:t>Ortalama</w:t>
            </w:r>
            <w:r w:rsidR="0094646F" w:rsidRPr="00DE12A3">
              <w:rPr>
                <w:rFonts w:cs="Times New Roman"/>
                <w:color w:val="auto"/>
              </w:rPr>
              <w:t xml:space="preserve"> giriş basıncı [Pa]</w:t>
            </w:r>
          </w:p>
        </w:tc>
      </w:tr>
      <w:tr w:rsidR="0094646F" w:rsidRPr="00DE12A3" w14:paraId="6B46EF78" w14:textId="77777777" w:rsidTr="006D7ADF">
        <w:tc>
          <w:tcPr>
            <w:tcW w:w="961" w:type="dxa"/>
          </w:tcPr>
          <w:p w14:paraId="67628CF9" w14:textId="1A376AF5" w:rsidR="0094646F" w:rsidRPr="00DE12A3" w:rsidRDefault="0094646F" w:rsidP="00C917D6">
            <w:pPr>
              <w:pStyle w:val="NormalLeft"/>
            </w:pPr>
            <w:r w:rsidRPr="00DE12A3">
              <w:rPr>
                <w:noProof/>
                <w:lang w:val="tr-TR"/>
              </w:rPr>
              <w:drawing>
                <wp:inline distT="0" distB="0" distL="0" distR="0" wp14:anchorId="2C129F42" wp14:editId="61746098">
                  <wp:extent cx="756285" cy="351790"/>
                  <wp:effectExtent l="0" t="0" r="5715" b="0"/>
                  <wp:docPr id="2464" name="Resim 2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207">
                            <a:extLst>
                              <a:ext uri="{28A0092B-C50C-407E-A947-70E740481C1C}">
                                <a14:useLocalDpi xmlns:a14="http://schemas.microsoft.com/office/drawing/2010/main" val="0"/>
                              </a:ext>
                            </a:extLst>
                          </a:blip>
                          <a:srcRect/>
                          <a:stretch>
                            <a:fillRect/>
                          </a:stretch>
                        </pic:blipFill>
                        <pic:spPr bwMode="auto">
                          <a:xfrm>
                            <a:off x="0" y="0"/>
                            <a:ext cx="756285" cy="351790"/>
                          </a:xfrm>
                          <a:prstGeom prst="rect">
                            <a:avLst/>
                          </a:prstGeom>
                          <a:noFill/>
                          <a:ln>
                            <a:noFill/>
                          </a:ln>
                        </pic:spPr>
                      </pic:pic>
                    </a:graphicData>
                  </a:graphic>
                </wp:inline>
              </w:drawing>
            </w:r>
          </w:p>
        </w:tc>
        <w:tc>
          <w:tcPr>
            <w:tcW w:w="577" w:type="dxa"/>
          </w:tcPr>
          <w:p w14:paraId="4AC70C84" w14:textId="77777777" w:rsidR="0094646F" w:rsidRPr="00DE12A3" w:rsidRDefault="0094646F" w:rsidP="00C917D6">
            <w:pPr>
              <w:pStyle w:val="NormalLeft"/>
            </w:pPr>
            <w:r w:rsidRPr="00DE12A3">
              <w:t>=</w:t>
            </w:r>
          </w:p>
        </w:tc>
        <w:tc>
          <w:tcPr>
            <w:tcW w:w="4869" w:type="dxa"/>
          </w:tcPr>
          <w:p w14:paraId="5137F88C" w14:textId="5E81A872" w:rsidR="0094646F" w:rsidRPr="00DE12A3" w:rsidRDefault="006D7ADF" w:rsidP="00C917D6">
            <w:pPr>
              <w:spacing w:before="120" w:after="120"/>
              <w:rPr>
                <w:rFonts w:cs="Times New Roman"/>
                <w:color w:val="auto"/>
              </w:rPr>
            </w:pPr>
            <w:r w:rsidRPr="00DE12A3">
              <w:rPr>
                <w:rFonts w:cs="Times New Roman"/>
                <w:color w:val="auto"/>
              </w:rPr>
              <w:t>Ortalama</w:t>
            </w:r>
            <w:r w:rsidR="0094646F" w:rsidRPr="00DE12A3">
              <w:rPr>
                <w:rFonts w:cs="Times New Roman"/>
                <w:color w:val="auto"/>
              </w:rPr>
              <w:t xml:space="preserve"> devir [rev/s]</w:t>
            </w:r>
          </w:p>
        </w:tc>
      </w:tr>
    </w:tbl>
    <w:p w14:paraId="1B5DBBEB" w14:textId="77777777" w:rsidR="009F4766" w:rsidRPr="00DE12A3" w:rsidRDefault="009F4766" w:rsidP="00C917D6">
      <w:pPr>
        <w:spacing w:before="120" w:after="120"/>
        <w:rPr>
          <w:rFonts w:cs="Times New Roman"/>
          <w:color w:val="auto"/>
        </w:rPr>
      </w:pPr>
    </w:p>
    <w:p w14:paraId="75FEDA71" w14:textId="359A4B2C" w:rsidR="009F4766" w:rsidRPr="00DE12A3" w:rsidRDefault="009F4766" w:rsidP="00C917D6">
      <w:pPr>
        <w:pStyle w:val="Point0"/>
      </w:pPr>
      <w:r w:rsidRPr="00DE12A3">
        <w:tab/>
        <w:t>(b)</w:t>
      </w:r>
      <w:r w:rsidRPr="00DE12A3">
        <w:tab/>
      </w:r>
      <w:r w:rsidR="0094646F" w:rsidRPr="00DE12A3">
        <w:t>PDP kayma düzeltme faktörü, Ks [s/dev]</w:t>
      </w:r>
      <w:r w:rsidR="00825EFD" w:rsidRPr="00DE12A3">
        <w:t> ;</w:t>
      </w:r>
    </w:p>
    <w:tbl>
      <w:tblPr>
        <w:tblW w:w="0" w:type="auto"/>
        <w:tblInd w:w="2879" w:type="dxa"/>
        <w:tblLayout w:type="fixed"/>
        <w:tblLook w:val="0000" w:firstRow="0" w:lastRow="0" w:firstColumn="0" w:lastColumn="0" w:noHBand="0" w:noVBand="0"/>
      </w:tblPr>
      <w:tblGrid>
        <w:gridCol w:w="2541"/>
        <w:gridCol w:w="988"/>
      </w:tblGrid>
      <w:tr w:rsidR="00DE12A3" w:rsidRPr="00DE12A3" w14:paraId="129C4634" w14:textId="77777777" w:rsidTr="006D7ADF">
        <w:tc>
          <w:tcPr>
            <w:tcW w:w="2541" w:type="dxa"/>
          </w:tcPr>
          <w:p w14:paraId="4D0F2A78" w14:textId="09EA6023" w:rsidR="009F4766" w:rsidRPr="00DE12A3" w:rsidRDefault="009F4766" w:rsidP="00C917D6">
            <w:pPr>
              <w:pStyle w:val="NormalLeft"/>
            </w:pPr>
            <w:r w:rsidRPr="00DE12A3">
              <w:rPr>
                <w:noProof/>
                <w:lang w:val="tr-TR"/>
              </w:rPr>
              <w:drawing>
                <wp:inline distT="0" distB="0" distL="0" distR="0" wp14:anchorId="48AA9B35" wp14:editId="541120FC">
                  <wp:extent cx="1424354" cy="855980"/>
                  <wp:effectExtent l="0" t="0" r="4445" b="1270"/>
                  <wp:docPr id="2463" name="Resim 24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208">
                            <a:extLst>
                              <a:ext uri="{28A0092B-C50C-407E-A947-70E740481C1C}">
                                <a14:useLocalDpi xmlns:a14="http://schemas.microsoft.com/office/drawing/2010/main" val="0"/>
                              </a:ext>
                            </a:extLst>
                          </a:blip>
                          <a:srcRect/>
                          <a:stretch>
                            <a:fillRect/>
                          </a:stretch>
                        </pic:blipFill>
                        <pic:spPr bwMode="auto">
                          <a:xfrm>
                            <a:off x="0" y="0"/>
                            <a:ext cx="1436448" cy="863248"/>
                          </a:xfrm>
                          <a:prstGeom prst="rect">
                            <a:avLst/>
                          </a:prstGeom>
                          <a:noFill/>
                          <a:ln>
                            <a:noFill/>
                          </a:ln>
                        </pic:spPr>
                      </pic:pic>
                    </a:graphicData>
                  </a:graphic>
                </wp:inline>
              </w:drawing>
            </w:r>
          </w:p>
        </w:tc>
        <w:tc>
          <w:tcPr>
            <w:tcW w:w="988" w:type="dxa"/>
          </w:tcPr>
          <w:p w14:paraId="59DD1C87" w14:textId="77777777" w:rsidR="009F4766" w:rsidRPr="00DE12A3" w:rsidRDefault="009F4766" w:rsidP="00C917D6">
            <w:pPr>
              <w:pStyle w:val="NormalLeft"/>
            </w:pPr>
            <w:r w:rsidRPr="00DE12A3">
              <w:t>(7-138)</w:t>
            </w:r>
          </w:p>
        </w:tc>
      </w:tr>
    </w:tbl>
    <w:p w14:paraId="103E0698" w14:textId="77777777" w:rsidR="009F4766" w:rsidRPr="00DE12A3" w:rsidRDefault="009F4766" w:rsidP="00C917D6">
      <w:pPr>
        <w:pStyle w:val="Point0"/>
      </w:pPr>
      <w:r w:rsidRPr="00DE12A3">
        <w:tab/>
      </w:r>
      <w:r w:rsidR="008B3D9F" w:rsidRPr="00DE12A3">
        <w:t>Burada</w:t>
      </w:r>
      <w:r w:rsidRPr="00DE12A3">
        <w:t>:</w:t>
      </w:r>
    </w:p>
    <w:tbl>
      <w:tblPr>
        <w:tblW w:w="0" w:type="auto"/>
        <w:tblInd w:w="1857" w:type="dxa"/>
        <w:tblLayout w:type="fixed"/>
        <w:tblLook w:val="0000" w:firstRow="0" w:lastRow="0" w:firstColumn="0" w:lastColumn="0" w:noHBand="0" w:noVBand="0"/>
      </w:tblPr>
      <w:tblGrid>
        <w:gridCol w:w="947"/>
        <w:gridCol w:w="557"/>
        <w:gridCol w:w="4068"/>
      </w:tblGrid>
      <w:tr w:rsidR="00DE12A3" w:rsidRPr="00DE12A3" w14:paraId="67A28C96" w14:textId="77777777" w:rsidTr="006D7ADF">
        <w:tc>
          <w:tcPr>
            <w:tcW w:w="947" w:type="dxa"/>
          </w:tcPr>
          <w:p w14:paraId="368FB68F" w14:textId="07886A17" w:rsidR="009F4766" w:rsidRPr="00DE12A3" w:rsidRDefault="009F4766" w:rsidP="00C917D6">
            <w:pPr>
              <w:pStyle w:val="NormalLeft"/>
            </w:pPr>
            <w:r w:rsidRPr="00DE12A3">
              <w:rPr>
                <w:noProof/>
                <w:lang w:val="tr-TR"/>
              </w:rPr>
              <w:drawing>
                <wp:inline distT="0" distB="0" distL="0" distR="0" wp14:anchorId="302B507E" wp14:editId="08BBCFAA">
                  <wp:extent cx="310515" cy="205105"/>
                  <wp:effectExtent l="0" t="0" r="0" b="4445"/>
                  <wp:docPr id="2462" name="Resim 2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204">
                            <a:extLst>
                              <a:ext uri="{28A0092B-C50C-407E-A947-70E740481C1C}">
                                <a14:useLocalDpi xmlns:a14="http://schemas.microsoft.com/office/drawing/2010/main" val="0"/>
                              </a:ext>
                            </a:extLst>
                          </a:blip>
                          <a:srcRect/>
                          <a:stretch>
                            <a:fillRect/>
                          </a:stretch>
                        </pic:blipFill>
                        <pic:spPr bwMode="auto">
                          <a:xfrm>
                            <a:off x="0" y="0"/>
                            <a:ext cx="310515" cy="205105"/>
                          </a:xfrm>
                          <a:prstGeom prst="rect">
                            <a:avLst/>
                          </a:prstGeom>
                          <a:noFill/>
                          <a:ln>
                            <a:noFill/>
                          </a:ln>
                        </pic:spPr>
                      </pic:pic>
                    </a:graphicData>
                  </a:graphic>
                </wp:inline>
              </w:drawing>
            </w:r>
          </w:p>
        </w:tc>
        <w:tc>
          <w:tcPr>
            <w:tcW w:w="557" w:type="dxa"/>
          </w:tcPr>
          <w:p w14:paraId="425B4E69" w14:textId="77777777" w:rsidR="009F4766" w:rsidRPr="00DE12A3" w:rsidRDefault="009F4766" w:rsidP="00C917D6">
            <w:pPr>
              <w:pStyle w:val="NormalLeft"/>
            </w:pPr>
            <w:r w:rsidRPr="00DE12A3">
              <w:t>=</w:t>
            </w:r>
          </w:p>
        </w:tc>
        <w:tc>
          <w:tcPr>
            <w:tcW w:w="4068" w:type="dxa"/>
          </w:tcPr>
          <w:p w14:paraId="43DBF068" w14:textId="2D957B1C" w:rsidR="009F4766" w:rsidRPr="00DE12A3" w:rsidRDefault="006D7ADF" w:rsidP="00C917D6">
            <w:pPr>
              <w:pStyle w:val="NormalLeft"/>
            </w:pPr>
            <w:r w:rsidRPr="00DE12A3">
              <w:t>Ortalama</w:t>
            </w:r>
            <w:r w:rsidR="0094646F" w:rsidRPr="00DE12A3">
              <w:t xml:space="preserve"> referans molar akış hızı [mol/s]</w:t>
            </w:r>
          </w:p>
        </w:tc>
      </w:tr>
      <w:tr w:rsidR="00DE12A3" w:rsidRPr="00DE12A3" w14:paraId="421BE8C8" w14:textId="77777777" w:rsidTr="006D7ADF">
        <w:tc>
          <w:tcPr>
            <w:tcW w:w="947" w:type="dxa"/>
          </w:tcPr>
          <w:p w14:paraId="61F84948" w14:textId="7BEBBF24" w:rsidR="0094646F" w:rsidRPr="00DE12A3" w:rsidRDefault="0094646F" w:rsidP="00C917D6">
            <w:pPr>
              <w:pStyle w:val="NormalLeft"/>
            </w:pPr>
            <w:r w:rsidRPr="00DE12A3">
              <w:rPr>
                <w:noProof/>
                <w:lang w:val="tr-TR"/>
              </w:rPr>
              <w:drawing>
                <wp:inline distT="0" distB="0" distL="0" distR="0" wp14:anchorId="281A50BA" wp14:editId="1497AA3E">
                  <wp:extent cx="422275" cy="328295"/>
                  <wp:effectExtent l="0" t="0" r="0" b="0"/>
                  <wp:docPr id="2461" name="Resim 24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205">
                            <a:extLst>
                              <a:ext uri="{28A0092B-C50C-407E-A947-70E740481C1C}">
                                <a14:useLocalDpi xmlns:a14="http://schemas.microsoft.com/office/drawing/2010/main" val="0"/>
                              </a:ext>
                            </a:extLst>
                          </a:blip>
                          <a:srcRect/>
                          <a:stretch>
                            <a:fillRect/>
                          </a:stretch>
                        </pic:blipFill>
                        <pic:spPr bwMode="auto">
                          <a:xfrm>
                            <a:off x="0" y="0"/>
                            <a:ext cx="422275" cy="328295"/>
                          </a:xfrm>
                          <a:prstGeom prst="rect">
                            <a:avLst/>
                          </a:prstGeom>
                          <a:noFill/>
                          <a:ln>
                            <a:noFill/>
                          </a:ln>
                        </pic:spPr>
                      </pic:pic>
                    </a:graphicData>
                  </a:graphic>
                </wp:inline>
              </w:drawing>
            </w:r>
          </w:p>
        </w:tc>
        <w:tc>
          <w:tcPr>
            <w:tcW w:w="557" w:type="dxa"/>
          </w:tcPr>
          <w:p w14:paraId="0D20337D" w14:textId="77777777" w:rsidR="0094646F" w:rsidRPr="00DE12A3" w:rsidRDefault="0094646F" w:rsidP="00C917D6">
            <w:pPr>
              <w:pStyle w:val="NormalLeft"/>
            </w:pPr>
            <w:r w:rsidRPr="00DE12A3">
              <w:t>=</w:t>
            </w:r>
          </w:p>
        </w:tc>
        <w:tc>
          <w:tcPr>
            <w:tcW w:w="4068" w:type="dxa"/>
          </w:tcPr>
          <w:p w14:paraId="2763FE34" w14:textId="6130AAE9" w:rsidR="0094646F" w:rsidRPr="00DE12A3" w:rsidRDefault="006D7ADF" w:rsidP="00C917D6">
            <w:pPr>
              <w:spacing w:before="120" w:after="120"/>
              <w:rPr>
                <w:rFonts w:cs="Times New Roman"/>
                <w:color w:val="auto"/>
              </w:rPr>
            </w:pPr>
            <w:r w:rsidRPr="00DE12A3">
              <w:rPr>
                <w:rFonts w:cs="Times New Roman"/>
                <w:color w:val="auto"/>
              </w:rPr>
              <w:t>Ortalama</w:t>
            </w:r>
            <w:r w:rsidR="0094646F" w:rsidRPr="00DE12A3">
              <w:rPr>
                <w:rFonts w:cs="Times New Roman"/>
                <w:color w:val="auto"/>
              </w:rPr>
              <w:t xml:space="preserve"> giriş sıcaklığı [K]</w:t>
            </w:r>
          </w:p>
        </w:tc>
      </w:tr>
      <w:tr w:rsidR="00DE12A3" w:rsidRPr="00DE12A3" w14:paraId="651A4EEB" w14:textId="77777777" w:rsidTr="006D7ADF">
        <w:tc>
          <w:tcPr>
            <w:tcW w:w="947" w:type="dxa"/>
          </w:tcPr>
          <w:p w14:paraId="43BE1CF8" w14:textId="0E187E3C" w:rsidR="0094646F" w:rsidRPr="00DE12A3" w:rsidRDefault="0094646F" w:rsidP="00C917D6">
            <w:pPr>
              <w:pStyle w:val="NormalLeft"/>
            </w:pPr>
            <w:r w:rsidRPr="00DE12A3">
              <w:rPr>
                <w:noProof/>
                <w:lang w:val="tr-TR"/>
              </w:rPr>
              <w:drawing>
                <wp:inline distT="0" distB="0" distL="0" distR="0" wp14:anchorId="196AC89E" wp14:editId="309F22CD">
                  <wp:extent cx="422275" cy="328295"/>
                  <wp:effectExtent l="0" t="0" r="0" b="0"/>
                  <wp:docPr id="2460" name="Resim 24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206">
                            <a:extLst>
                              <a:ext uri="{28A0092B-C50C-407E-A947-70E740481C1C}">
                                <a14:useLocalDpi xmlns:a14="http://schemas.microsoft.com/office/drawing/2010/main" val="0"/>
                              </a:ext>
                            </a:extLst>
                          </a:blip>
                          <a:srcRect/>
                          <a:stretch>
                            <a:fillRect/>
                          </a:stretch>
                        </pic:blipFill>
                        <pic:spPr bwMode="auto">
                          <a:xfrm>
                            <a:off x="0" y="0"/>
                            <a:ext cx="422275" cy="328295"/>
                          </a:xfrm>
                          <a:prstGeom prst="rect">
                            <a:avLst/>
                          </a:prstGeom>
                          <a:noFill/>
                          <a:ln>
                            <a:noFill/>
                          </a:ln>
                        </pic:spPr>
                      </pic:pic>
                    </a:graphicData>
                  </a:graphic>
                </wp:inline>
              </w:drawing>
            </w:r>
          </w:p>
        </w:tc>
        <w:tc>
          <w:tcPr>
            <w:tcW w:w="557" w:type="dxa"/>
          </w:tcPr>
          <w:p w14:paraId="6F6A278A" w14:textId="77777777" w:rsidR="0094646F" w:rsidRPr="00DE12A3" w:rsidRDefault="0094646F" w:rsidP="00C917D6">
            <w:pPr>
              <w:pStyle w:val="NormalLeft"/>
            </w:pPr>
            <w:r w:rsidRPr="00DE12A3">
              <w:t>=</w:t>
            </w:r>
          </w:p>
        </w:tc>
        <w:tc>
          <w:tcPr>
            <w:tcW w:w="4068" w:type="dxa"/>
          </w:tcPr>
          <w:p w14:paraId="567BC3FB" w14:textId="2688265E" w:rsidR="0094646F" w:rsidRPr="00DE12A3" w:rsidRDefault="006D7ADF" w:rsidP="00C917D6">
            <w:pPr>
              <w:spacing w:before="120" w:after="120"/>
              <w:rPr>
                <w:rFonts w:cs="Times New Roman"/>
                <w:color w:val="auto"/>
              </w:rPr>
            </w:pPr>
            <w:r w:rsidRPr="00DE12A3">
              <w:rPr>
                <w:rFonts w:cs="Times New Roman"/>
                <w:color w:val="auto"/>
              </w:rPr>
              <w:t>Ortalama</w:t>
            </w:r>
            <w:r w:rsidR="0094646F" w:rsidRPr="00DE12A3">
              <w:rPr>
                <w:rFonts w:cs="Times New Roman"/>
                <w:color w:val="auto"/>
              </w:rPr>
              <w:t xml:space="preserve"> giriş basıncı [Pa]</w:t>
            </w:r>
          </w:p>
        </w:tc>
      </w:tr>
      <w:tr w:rsidR="00DE12A3" w:rsidRPr="00DE12A3" w14:paraId="637C8406" w14:textId="77777777" w:rsidTr="006D7ADF">
        <w:tc>
          <w:tcPr>
            <w:tcW w:w="947" w:type="dxa"/>
          </w:tcPr>
          <w:p w14:paraId="3D528C4D" w14:textId="21C94159" w:rsidR="0094646F" w:rsidRPr="00DE12A3" w:rsidRDefault="0094646F" w:rsidP="00C917D6">
            <w:pPr>
              <w:pStyle w:val="NormalLeft"/>
            </w:pPr>
            <w:r w:rsidRPr="00DE12A3">
              <w:rPr>
                <w:noProof/>
                <w:lang w:val="tr-TR"/>
              </w:rPr>
              <w:drawing>
                <wp:inline distT="0" distB="0" distL="0" distR="0" wp14:anchorId="6406DE4C" wp14:editId="768B02EA">
                  <wp:extent cx="533400" cy="339725"/>
                  <wp:effectExtent l="0" t="0" r="0" b="3175"/>
                  <wp:docPr id="2459" name="Resim 2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209">
                            <a:extLst>
                              <a:ext uri="{28A0092B-C50C-407E-A947-70E740481C1C}">
                                <a14:useLocalDpi xmlns:a14="http://schemas.microsoft.com/office/drawing/2010/main" val="0"/>
                              </a:ext>
                            </a:extLst>
                          </a:blip>
                          <a:srcRect/>
                          <a:stretch>
                            <a:fillRect/>
                          </a:stretch>
                        </pic:blipFill>
                        <pic:spPr bwMode="auto">
                          <a:xfrm>
                            <a:off x="0" y="0"/>
                            <a:ext cx="533400" cy="339725"/>
                          </a:xfrm>
                          <a:prstGeom prst="rect">
                            <a:avLst/>
                          </a:prstGeom>
                          <a:noFill/>
                          <a:ln>
                            <a:noFill/>
                          </a:ln>
                        </pic:spPr>
                      </pic:pic>
                    </a:graphicData>
                  </a:graphic>
                </wp:inline>
              </w:drawing>
            </w:r>
          </w:p>
        </w:tc>
        <w:tc>
          <w:tcPr>
            <w:tcW w:w="557" w:type="dxa"/>
          </w:tcPr>
          <w:p w14:paraId="22DD3446" w14:textId="77777777" w:rsidR="0094646F" w:rsidRPr="00DE12A3" w:rsidRDefault="0094646F" w:rsidP="00C917D6">
            <w:pPr>
              <w:pStyle w:val="NormalLeft"/>
            </w:pPr>
            <w:r w:rsidRPr="00DE12A3">
              <w:t>=</w:t>
            </w:r>
          </w:p>
        </w:tc>
        <w:tc>
          <w:tcPr>
            <w:tcW w:w="4068" w:type="dxa"/>
          </w:tcPr>
          <w:p w14:paraId="1B2B3427" w14:textId="0D088288" w:rsidR="0094646F" w:rsidRPr="00DE12A3" w:rsidRDefault="006D7ADF" w:rsidP="00C917D6">
            <w:pPr>
              <w:spacing w:before="120" w:after="120"/>
              <w:rPr>
                <w:rFonts w:cs="Times New Roman"/>
                <w:color w:val="auto"/>
              </w:rPr>
            </w:pPr>
            <w:r w:rsidRPr="00DE12A3">
              <w:rPr>
                <w:rFonts w:cs="Times New Roman"/>
                <w:color w:val="auto"/>
              </w:rPr>
              <w:t>Ortalama</w:t>
            </w:r>
            <w:r w:rsidR="0094646F" w:rsidRPr="00DE12A3">
              <w:rPr>
                <w:rFonts w:cs="Times New Roman"/>
                <w:color w:val="auto"/>
              </w:rPr>
              <w:t xml:space="preserve"> çıkış basıncı [Pa]</w:t>
            </w:r>
          </w:p>
        </w:tc>
      </w:tr>
      <w:tr w:rsidR="00DE12A3" w:rsidRPr="00DE12A3" w14:paraId="33DBABC6" w14:textId="77777777" w:rsidTr="006D7ADF">
        <w:tc>
          <w:tcPr>
            <w:tcW w:w="947" w:type="dxa"/>
          </w:tcPr>
          <w:p w14:paraId="3AE1BB70" w14:textId="0D164D8B" w:rsidR="0094646F" w:rsidRPr="00DE12A3" w:rsidRDefault="0094646F" w:rsidP="00C917D6">
            <w:pPr>
              <w:pStyle w:val="NormalLeft"/>
            </w:pPr>
            <w:r w:rsidRPr="00DE12A3">
              <w:rPr>
                <w:noProof/>
                <w:lang w:val="tr-TR"/>
              </w:rPr>
              <w:drawing>
                <wp:inline distT="0" distB="0" distL="0" distR="0" wp14:anchorId="4DFBCE22" wp14:editId="501FC365">
                  <wp:extent cx="756285" cy="351790"/>
                  <wp:effectExtent l="0" t="0" r="5715" b="0"/>
                  <wp:docPr id="2458" name="Resim 2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207">
                            <a:extLst>
                              <a:ext uri="{28A0092B-C50C-407E-A947-70E740481C1C}">
                                <a14:useLocalDpi xmlns:a14="http://schemas.microsoft.com/office/drawing/2010/main" val="0"/>
                              </a:ext>
                            </a:extLst>
                          </a:blip>
                          <a:srcRect/>
                          <a:stretch>
                            <a:fillRect/>
                          </a:stretch>
                        </pic:blipFill>
                        <pic:spPr bwMode="auto">
                          <a:xfrm>
                            <a:off x="0" y="0"/>
                            <a:ext cx="756285" cy="351790"/>
                          </a:xfrm>
                          <a:prstGeom prst="rect">
                            <a:avLst/>
                          </a:prstGeom>
                          <a:noFill/>
                          <a:ln>
                            <a:noFill/>
                          </a:ln>
                        </pic:spPr>
                      </pic:pic>
                    </a:graphicData>
                  </a:graphic>
                </wp:inline>
              </w:drawing>
            </w:r>
          </w:p>
        </w:tc>
        <w:tc>
          <w:tcPr>
            <w:tcW w:w="557" w:type="dxa"/>
          </w:tcPr>
          <w:p w14:paraId="00E088B0" w14:textId="77777777" w:rsidR="0094646F" w:rsidRPr="00DE12A3" w:rsidRDefault="0094646F" w:rsidP="00C917D6">
            <w:pPr>
              <w:pStyle w:val="NormalLeft"/>
            </w:pPr>
            <w:r w:rsidRPr="00DE12A3">
              <w:t>=</w:t>
            </w:r>
          </w:p>
        </w:tc>
        <w:tc>
          <w:tcPr>
            <w:tcW w:w="4068" w:type="dxa"/>
          </w:tcPr>
          <w:p w14:paraId="40E888FA" w14:textId="635F886A" w:rsidR="0094646F" w:rsidRPr="00DE12A3" w:rsidRDefault="006D7ADF" w:rsidP="00C917D6">
            <w:pPr>
              <w:spacing w:before="120" w:after="120"/>
              <w:rPr>
                <w:rFonts w:cs="Times New Roman"/>
                <w:color w:val="auto"/>
              </w:rPr>
            </w:pPr>
            <w:r w:rsidRPr="00DE12A3">
              <w:rPr>
                <w:rFonts w:cs="Times New Roman"/>
                <w:color w:val="auto"/>
              </w:rPr>
              <w:t>Ortalama</w:t>
            </w:r>
            <w:r w:rsidR="0094646F" w:rsidRPr="00DE12A3">
              <w:rPr>
                <w:rFonts w:cs="Times New Roman"/>
                <w:color w:val="auto"/>
              </w:rPr>
              <w:t xml:space="preserve"> PDP devri [dev/s]</w:t>
            </w:r>
          </w:p>
        </w:tc>
      </w:tr>
      <w:tr w:rsidR="0094646F" w:rsidRPr="00DE12A3" w14:paraId="242D4B3A" w14:textId="77777777" w:rsidTr="006D7ADF">
        <w:tc>
          <w:tcPr>
            <w:tcW w:w="947" w:type="dxa"/>
          </w:tcPr>
          <w:p w14:paraId="0D599EC7" w14:textId="77777777" w:rsidR="0094646F" w:rsidRPr="00DE12A3" w:rsidRDefault="0094646F" w:rsidP="00C917D6">
            <w:pPr>
              <w:pStyle w:val="NormalLeft"/>
            </w:pPr>
            <w:r w:rsidRPr="00DE12A3">
              <w:rPr>
                <w:i/>
                <w:iCs/>
              </w:rPr>
              <w:t>R</w:t>
            </w:r>
          </w:p>
        </w:tc>
        <w:tc>
          <w:tcPr>
            <w:tcW w:w="557" w:type="dxa"/>
          </w:tcPr>
          <w:p w14:paraId="422CF596" w14:textId="77777777" w:rsidR="0094646F" w:rsidRPr="00DE12A3" w:rsidRDefault="0094646F" w:rsidP="00C917D6">
            <w:pPr>
              <w:pStyle w:val="NormalLeft"/>
            </w:pPr>
            <w:r w:rsidRPr="00DE12A3">
              <w:t>=</w:t>
            </w:r>
          </w:p>
        </w:tc>
        <w:tc>
          <w:tcPr>
            <w:tcW w:w="4068" w:type="dxa"/>
          </w:tcPr>
          <w:p w14:paraId="51D6454C" w14:textId="4154740B" w:rsidR="0094646F" w:rsidRPr="00DE12A3" w:rsidRDefault="006D7ADF" w:rsidP="00C917D6">
            <w:pPr>
              <w:spacing w:before="120" w:after="120"/>
              <w:rPr>
                <w:rFonts w:cs="Times New Roman"/>
                <w:color w:val="auto"/>
              </w:rPr>
            </w:pPr>
            <w:r w:rsidRPr="00DE12A3">
              <w:rPr>
                <w:rFonts w:cs="Times New Roman"/>
                <w:color w:val="auto"/>
              </w:rPr>
              <w:t>Molar</w:t>
            </w:r>
            <w:r w:rsidR="0094646F" w:rsidRPr="00DE12A3">
              <w:rPr>
                <w:rFonts w:cs="Times New Roman"/>
                <w:color w:val="auto"/>
              </w:rPr>
              <w:t xml:space="preserve"> gaz sabiti [J/(mol • K)]</w:t>
            </w:r>
          </w:p>
        </w:tc>
      </w:tr>
    </w:tbl>
    <w:p w14:paraId="78ABC902" w14:textId="77777777" w:rsidR="0094646F" w:rsidRPr="00DE12A3" w:rsidRDefault="0094646F" w:rsidP="00C917D6">
      <w:pPr>
        <w:spacing w:before="120" w:after="120"/>
        <w:rPr>
          <w:rFonts w:cs="Times New Roman"/>
          <w:color w:val="auto"/>
        </w:rPr>
      </w:pPr>
    </w:p>
    <w:p w14:paraId="714B42DE" w14:textId="77777777" w:rsidR="0094646F" w:rsidRPr="00DE12A3" w:rsidRDefault="0094646F" w:rsidP="00E20716">
      <w:pPr>
        <w:pStyle w:val="ListeParagraf"/>
        <w:numPr>
          <w:ilvl w:val="1"/>
          <w:numId w:val="443"/>
        </w:numPr>
        <w:spacing w:before="120" w:after="120"/>
        <w:rPr>
          <w:rFonts w:cs="Times New Roman"/>
          <w:vanish/>
          <w:color w:val="auto"/>
        </w:rPr>
      </w:pPr>
    </w:p>
    <w:p w14:paraId="6F512346" w14:textId="77777777" w:rsidR="0094646F" w:rsidRPr="00DE12A3" w:rsidRDefault="0094646F" w:rsidP="00E20716">
      <w:pPr>
        <w:pStyle w:val="ListeParagraf"/>
        <w:numPr>
          <w:ilvl w:val="1"/>
          <w:numId w:val="443"/>
        </w:numPr>
        <w:spacing w:before="120" w:after="120"/>
        <w:rPr>
          <w:rFonts w:cs="Times New Roman"/>
          <w:vanish/>
          <w:color w:val="auto"/>
        </w:rPr>
      </w:pPr>
    </w:p>
    <w:p w14:paraId="16C33289" w14:textId="7B42B11F" w:rsidR="0094646F" w:rsidRPr="00DE12A3" w:rsidRDefault="0094646F" w:rsidP="00E20716">
      <w:pPr>
        <w:pStyle w:val="ListeParagraf"/>
        <w:numPr>
          <w:ilvl w:val="1"/>
          <w:numId w:val="443"/>
        </w:numPr>
        <w:spacing w:before="120" w:after="120"/>
        <w:jc w:val="both"/>
        <w:rPr>
          <w:rFonts w:cs="Times New Roman"/>
          <w:color w:val="auto"/>
        </w:rPr>
      </w:pPr>
      <w:r w:rsidRPr="00DE12A3">
        <w:rPr>
          <w:rFonts w:cs="Times New Roman"/>
          <w:color w:val="auto"/>
        </w:rPr>
        <w:t>PDP kayma düzeltme faktörü Ks'ye göre devir başına pompalanan PDP hacminin en küçük kareler regresyonu V</w:t>
      </w:r>
      <w:r w:rsidRPr="00DE12A3">
        <w:rPr>
          <w:rFonts w:cs="Times New Roman"/>
          <w:color w:val="auto"/>
          <w:vertAlign w:val="subscript"/>
        </w:rPr>
        <w:t>rev</w:t>
      </w:r>
      <w:r w:rsidRPr="00DE12A3">
        <w:rPr>
          <w:rFonts w:cs="Times New Roman"/>
          <w:color w:val="auto"/>
        </w:rPr>
        <w:t xml:space="preserve">, </w:t>
      </w:r>
      <w:r w:rsidR="00117673" w:rsidRPr="00DE12A3">
        <w:rPr>
          <w:rFonts w:cs="Times New Roman"/>
          <w:color w:val="auto"/>
        </w:rPr>
        <w:t xml:space="preserve">bu Ekin </w:t>
      </w:r>
      <w:r w:rsidR="00CD23C3" w:rsidRPr="00DE12A3">
        <w:rPr>
          <w:rFonts w:cs="Times New Roman"/>
          <w:color w:val="auto"/>
        </w:rPr>
        <w:t>4. Açıklayıcı Ek</w:t>
      </w:r>
      <w:r w:rsidR="00117673" w:rsidRPr="00DE12A3">
        <w:rPr>
          <w:rFonts w:cs="Times New Roman"/>
          <w:color w:val="auto"/>
        </w:rPr>
        <w:t>ind</w:t>
      </w:r>
      <w:r w:rsidRPr="00DE12A3">
        <w:rPr>
          <w:rFonts w:cs="Times New Roman"/>
          <w:color w:val="auto"/>
        </w:rPr>
        <w:t>e açıklanan eğim a</w:t>
      </w:r>
      <w:r w:rsidRPr="00DE12A3">
        <w:rPr>
          <w:rFonts w:cs="Times New Roman"/>
          <w:color w:val="auto"/>
          <w:vertAlign w:val="subscript"/>
        </w:rPr>
        <w:t>1</w:t>
      </w:r>
      <w:r w:rsidRPr="00DE12A3">
        <w:rPr>
          <w:rFonts w:cs="Times New Roman"/>
          <w:color w:val="auto"/>
        </w:rPr>
        <w:t xml:space="preserve"> ve kesişme a</w:t>
      </w:r>
      <w:r w:rsidRPr="00DE12A3">
        <w:rPr>
          <w:rFonts w:cs="Times New Roman"/>
          <w:color w:val="auto"/>
          <w:vertAlign w:val="subscript"/>
        </w:rPr>
        <w:t>0</w:t>
      </w:r>
      <w:r w:rsidRPr="00DE12A3">
        <w:rPr>
          <w:rFonts w:cs="Times New Roman"/>
          <w:color w:val="auto"/>
        </w:rPr>
        <w:t xml:space="preserve"> hesaplanarak yapılır;</w:t>
      </w:r>
    </w:p>
    <w:p w14:paraId="59768038" w14:textId="4891DFCF" w:rsidR="0094646F" w:rsidRPr="00DE12A3" w:rsidRDefault="0094646F" w:rsidP="00E20716">
      <w:pPr>
        <w:pStyle w:val="ListeParagraf"/>
        <w:numPr>
          <w:ilvl w:val="1"/>
          <w:numId w:val="443"/>
        </w:numPr>
        <w:spacing w:before="120" w:after="120"/>
        <w:jc w:val="both"/>
        <w:rPr>
          <w:rFonts w:cs="Times New Roman"/>
          <w:color w:val="auto"/>
        </w:rPr>
      </w:pPr>
      <w:r w:rsidRPr="00DE12A3">
        <w:rPr>
          <w:rFonts w:cs="Times New Roman"/>
          <w:color w:val="auto"/>
        </w:rPr>
        <w:t>Bu bendin (a) ila (c) alt paragraflarındaki prosedür, PDP'nin çalıştırdığı her devir için tekrarlanmalıdır</w:t>
      </w:r>
      <w:r w:rsidR="00117673" w:rsidRPr="00DE12A3">
        <w:rPr>
          <w:rFonts w:cs="Times New Roman"/>
          <w:color w:val="auto"/>
        </w:rPr>
        <w:t>.</w:t>
      </w:r>
    </w:p>
    <w:p w14:paraId="3221C501" w14:textId="1F43D142" w:rsidR="0094646F" w:rsidRPr="00DE12A3" w:rsidRDefault="0094646F" w:rsidP="00E20716">
      <w:pPr>
        <w:pStyle w:val="ListeParagraf"/>
        <w:numPr>
          <w:ilvl w:val="1"/>
          <w:numId w:val="443"/>
        </w:numPr>
        <w:spacing w:before="120" w:after="120"/>
        <w:jc w:val="both"/>
        <w:rPr>
          <w:rFonts w:cs="Times New Roman"/>
          <w:color w:val="auto"/>
        </w:rPr>
      </w:pPr>
      <w:r w:rsidRPr="00DE12A3">
        <w:rPr>
          <w:rFonts w:cs="Times New Roman"/>
          <w:color w:val="auto"/>
        </w:rPr>
        <w:t xml:space="preserve">Tablo 7.4'te, farklı </w:t>
      </w:r>
      <w:r w:rsidRPr="00DE12A3">
        <w:rPr>
          <w:rFonts w:cs="Times New Roman"/>
          <w:noProof/>
          <w:color w:val="auto"/>
        </w:rPr>
        <w:drawing>
          <wp:inline distT="0" distB="0" distL="0" distR="0" wp14:anchorId="6D97D9BF" wp14:editId="75896F57">
            <wp:extent cx="608347" cy="134815"/>
            <wp:effectExtent l="0" t="0" r="1270" b="0"/>
            <wp:docPr id="13" name="Resim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210">
                      <a:extLst>
                        <a:ext uri="{28A0092B-C50C-407E-A947-70E740481C1C}">
                          <a14:useLocalDpi xmlns:a14="http://schemas.microsoft.com/office/drawing/2010/main" val="0"/>
                        </a:ext>
                      </a:extLst>
                    </a:blip>
                    <a:srcRect/>
                    <a:stretch>
                      <a:fillRect/>
                    </a:stretch>
                  </pic:blipFill>
                  <pic:spPr bwMode="auto">
                    <a:xfrm>
                      <a:off x="0" y="0"/>
                      <a:ext cx="648643" cy="143745"/>
                    </a:xfrm>
                    <a:prstGeom prst="rect">
                      <a:avLst/>
                    </a:prstGeom>
                    <a:noFill/>
                    <a:ln>
                      <a:noFill/>
                    </a:ln>
                  </pic:spPr>
                </pic:pic>
              </a:graphicData>
            </a:graphic>
          </wp:inline>
        </w:drawing>
      </w:r>
      <w:r w:rsidRPr="00DE12A3">
        <w:rPr>
          <w:rFonts w:cs="Times New Roman"/>
          <w:color w:val="auto"/>
        </w:rPr>
        <w:t>değerleri için bu hesaplamalar gösterilmektedir</w:t>
      </w:r>
      <w:r w:rsidR="00117673" w:rsidRPr="00DE12A3">
        <w:rPr>
          <w:rFonts w:cs="Times New Roman"/>
          <w:color w:val="auto"/>
        </w:rPr>
        <w:t>.</w:t>
      </w:r>
    </w:p>
    <w:p w14:paraId="548F76FA" w14:textId="01F2C0B9" w:rsidR="0094646F" w:rsidRPr="00DE12A3" w:rsidRDefault="0094646F" w:rsidP="00C917D6">
      <w:pPr>
        <w:pStyle w:val="Point0"/>
      </w:pPr>
    </w:p>
    <w:p w14:paraId="58D82437" w14:textId="5591D815" w:rsidR="008242BF" w:rsidRPr="00DE12A3" w:rsidRDefault="008242BF" w:rsidP="008242BF">
      <w:pPr>
        <w:pStyle w:val="Point0"/>
        <w:jc w:val="center"/>
        <w:rPr>
          <w:b/>
          <w:bCs/>
          <w:iCs/>
        </w:rPr>
      </w:pPr>
      <w:r w:rsidRPr="00DE12A3">
        <w:rPr>
          <w:b/>
          <w:bCs/>
          <w:iCs/>
        </w:rPr>
        <w:t>Tablo 7.4</w:t>
      </w:r>
    </w:p>
    <w:p w14:paraId="571B869A" w14:textId="3C7F53F2" w:rsidR="008242BF" w:rsidRPr="00DE12A3" w:rsidRDefault="008242BF" w:rsidP="008242BF">
      <w:pPr>
        <w:pStyle w:val="Point0"/>
        <w:jc w:val="center"/>
      </w:pPr>
      <w:r w:rsidRPr="00DE12A3">
        <w:rPr>
          <w:b/>
          <w:iCs/>
        </w:rPr>
        <w:t>PDP kalibrasyon verileri örneği</w:t>
      </w:r>
    </w:p>
    <w:tbl>
      <w:tblPr>
        <w:tblW w:w="0" w:type="auto"/>
        <w:tblInd w:w="836" w:type="dxa"/>
        <w:tblLayout w:type="fixed"/>
        <w:tblLook w:val="0000" w:firstRow="0" w:lastRow="0" w:firstColumn="0" w:lastColumn="0" w:noHBand="0" w:noVBand="0"/>
      </w:tblPr>
      <w:tblGrid>
        <w:gridCol w:w="1980"/>
        <w:gridCol w:w="1599"/>
        <w:gridCol w:w="1447"/>
        <w:gridCol w:w="1142"/>
        <w:gridCol w:w="1447"/>
      </w:tblGrid>
      <w:tr w:rsidR="00DE12A3" w:rsidRPr="00DE12A3" w14:paraId="2052D538" w14:textId="77777777" w:rsidTr="009F4766">
        <w:tc>
          <w:tcPr>
            <w:tcW w:w="1980" w:type="dxa"/>
            <w:tcBorders>
              <w:top w:val="single" w:sz="2" w:space="0" w:color="auto"/>
              <w:left w:val="single" w:sz="2" w:space="0" w:color="auto"/>
              <w:bottom w:val="single" w:sz="2" w:space="0" w:color="auto"/>
              <w:right w:val="single" w:sz="2" w:space="0" w:color="auto"/>
            </w:tcBorders>
          </w:tcPr>
          <w:p w14:paraId="7E7018E3" w14:textId="77777777" w:rsidR="009F4766" w:rsidRPr="00DE12A3" w:rsidRDefault="009F4766" w:rsidP="00C917D6">
            <w:pPr>
              <w:pStyle w:val="NormalCentered"/>
            </w:pPr>
            <w:r w:rsidRPr="00DE12A3">
              <w:rPr>
                <w:noProof/>
                <w:lang w:val="tr-TR"/>
              </w:rPr>
              <w:lastRenderedPageBreak/>
              <w:drawing>
                <wp:inline distT="0" distB="0" distL="0" distR="0" wp14:anchorId="34815FA8" wp14:editId="623F7E08">
                  <wp:extent cx="591820" cy="193675"/>
                  <wp:effectExtent l="0" t="0" r="0" b="0"/>
                  <wp:docPr id="2456" name="Resim 2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211">
                            <a:extLst>
                              <a:ext uri="{28A0092B-C50C-407E-A947-70E740481C1C}">
                                <a14:useLocalDpi xmlns:a14="http://schemas.microsoft.com/office/drawing/2010/main" val="0"/>
                              </a:ext>
                            </a:extLst>
                          </a:blip>
                          <a:srcRect/>
                          <a:stretch>
                            <a:fillRect/>
                          </a:stretch>
                        </pic:blipFill>
                        <pic:spPr bwMode="auto">
                          <a:xfrm>
                            <a:off x="0" y="0"/>
                            <a:ext cx="591820" cy="193675"/>
                          </a:xfrm>
                          <a:prstGeom prst="rect">
                            <a:avLst/>
                          </a:prstGeom>
                          <a:noFill/>
                          <a:ln>
                            <a:noFill/>
                          </a:ln>
                        </pic:spPr>
                      </pic:pic>
                    </a:graphicData>
                  </a:graphic>
                </wp:inline>
              </w:drawing>
            </w:r>
            <w:r w:rsidRPr="00DE12A3">
              <w:t>[rev/min]</w:t>
            </w:r>
          </w:p>
        </w:tc>
        <w:tc>
          <w:tcPr>
            <w:tcW w:w="1599" w:type="dxa"/>
            <w:tcBorders>
              <w:top w:val="single" w:sz="2" w:space="0" w:color="auto"/>
              <w:left w:val="single" w:sz="2" w:space="0" w:color="auto"/>
              <w:bottom w:val="single" w:sz="2" w:space="0" w:color="auto"/>
              <w:right w:val="single" w:sz="2" w:space="0" w:color="auto"/>
            </w:tcBorders>
          </w:tcPr>
          <w:p w14:paraId="2D77C044" w14:textId="77777777" w:rsidR="009F4766" w:rsidRPr="00DE12A3" w:rsidRDefault="009F4766" w:rsidP="00C917D6">
            <w:pPr>
              <w:pStyle w:val="NormalCentered"/>
            </w:pPr>
            <w:r w:rsidRPr="00DE12A3">
              <w:rPr>
                <w:noProof/>
                <w:lang w:val="tr-TR"/>
              </w:rPr>
              <w:drawing>
                <wp:inline distT="0" distB="0" distL="0" distR="0" wp14:anchorId="38D2D61E" wp14:editId="0B6D153E">
                  <wp:extent cx="591820" cy="193675"/>
                  <wp:effectExtent l="0" t="0" r="0" b="0"/>
                  <wp:docPr id="2455" name="Resim 2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211">
                            <a:extLst>
                              <a:ext uri="{28A0092B-C50C-407E-A947-70E740481C1C}">
                                <a14:useLocalDpi xmlns:a14="http://schemas.microsoft.com/office/drawing/2010/main" val="0"/>
                              </a:ext>
                            </a:extLst>
                          </a:blip>
                          <a:srcRect/>
                          <a:stretch>
                            <a:fillRect/>
                          </a:stretch>
                        </pic:blipFill>
                        <pic:spPr bwMode="auto">
                          <a:xfrm>
                            <a:off x="0" y="0"/>
                            <a:ext cx="591820" cy="193675"/>
                          </a:xfrm>
                          <a:prstGeom prst="rect">
                            <a:avLst/>
                          </a:prstGeom>
                          <a:noFill/>
                          <a:ln>
                            <a:noFill/>
                          </a:ln>
                        </pic:spPr>
                      </pic:pic>
                    </a:graphicData>
                  </a:graphic>
                </wp:inline>
              </w:drawing>
            </w:r>
            <w:r w:rsidRPr="00DE12A3">
              <w:t>[rev/s]</w:t>
            </w:r>
          </w:p>
        </w:tc>
        <w:tc>
          <w:tcPr>
            <w:tcW w:w="1447" w:type="dxa"/>
            <w:tcBorders>
              <w:top w:val="single" w:sz="2" w:space="0" w:color="auto"/>
              <w:left w:val="single" w:sz="2" w:space="0" w:color="auto"/>
              <w:bottom w:val="single" w:sz="2" w:space="0" w:color="auto"/>
              <w:right w:val="single" w:sz="2" w:space="0" w:color="auto"/>
            </w:tcBorders>
          </w:tcPr>
          <w:p w14:paraId="6617B7A9" w14:textId="77777777" w:rsidR="009F4766" w:rsidRPr="00DE12A3" w:rsidRDefault="009F4766" w:rsidP="00C917D6">
            <w:pPr>
              <w:pStyle w:val="NormalCentered"/>
            </w:pPr>
            <w:r w:rsidRPr="00DE12A3">
              <w:rPr>
                <w:i/>
                <w:iCs/>
              </w:rPr>
              <w:t>a</w:t>
            </w:r>
            <w:r w:rsidRPr="00DE12A3">
              <w:rPr>
                <w:vertAlign w:val="subscript"/>
              </w:rPr>
              <w:t>1</w:t>
            </w:r>
            <w:r w:rsidRPr="00DE12A3">
              <w:t xml:space="preserve"> [m</w:t>
            </w:r>
            <w:r w:rsidRPr="00DE12A3">
              <w:rPr>
                <w:vertAlign w:val="superscript"/>
              </w:rPr>
              <w:t>3</w:t>
            </w:r>
            <w:r w:rsidRPr="00DE12A3">
              <w:t>/min]</w:t>
            </w:r>
          </w:p>
        </w:tc>
        <w:tc>
          <w:tcPr>
            <w:tcW w:w="1142" w:type="dxa"/>
            <w:tcBorders>
              <w:top w:val="single" w:sz="2" w:space="0" w:color="auto"/>
              <w:left w:val="single" w:sz="2" w:space="0" w:color="auto"/>
              <w:bottom w:val="single" w:sz="2" w:space="0" w:color="auto"/>
              <w:right w:val="single" w:sz="2" w:space="0" w:color="auto"/>
            </w:tcBorders>
          </w:tcPr>
          <w:p w14:paraId="36EDA8C2" w14:textId="77777777" w:rsidR="009F4766" w:rsidRPr="00DE12A3" w:rsidRDefault="009F4766" w:rsidP="00C917D6">
            <w:pPr>
              <w:pStyle w:val="NormalCentered"/>
            </w:pPr>
            <w:r w:rsidRPr="00DE12A3">
              <w:rPr>
                <w:i/>
                <w:iCs/>
              </w:rPr>
              <w:t>a</w:t>
            </w:r>
            <w:r w:rsidRPr="00DE12A3">
              <w:rPr>
                <w:vertAlign w:val="subscript"/>
              </w:rPr>
              <w:t>1</w:t>
            </w:r>
            <w:r w:rsidRPr="00DE12A3">
              <w:t xml:space="preserve"> [m</w:t>
            </w:r>
            <w:r w:rsidRPr="00DE12A3">
              <w:rPr>
                <w:vertAlign w:val="superscript"/>
              </w:rPr>
              <w:t>3</w:t>
            </w:r>
            <w:r w:rsidRPr="00DE12A3">
              <w:t>/s]</w:t>
            </w:r>
          </w:p>
        </w:tc>
        <w:tc>
          <w:tcPr>
            <w:tcW w:w="1447" w:type="dxa"/>
            <w:tcBorders>
              <w:top w:val="single" w:sz="2" w:space="0" w:color="auto"/>
              <w:left w:val="single" w:sz="2" w:space="0" w:color="auto"/>
              <w:bottom w:val="single" w:sz="2" w:space="0" w:color="auto"/>
              <w:right w:val="single" w:sz="2" w:space="0" w:color="auto"/>
            </w:tcBorders>
          </w:tcPr>
          <w:p w14:paraId="566FF690" w14:textId="77777777" w:rsidR="009F4766" w:rsidRPr="00DE12A3" w:rsidRDefault="009F4766" w:rsidP="00C917D6">
            <w:pPr>
              <w:pStyle w:val="NormalCentered"/>
            </w:pPr>
            <w:r w:rsidRPr="00DE12A3">
              <w:rPr>
                <w:i/>
                <w:iCs/>
              </w:rPr>
              <w:t>a</w:t>
            </w:r>
            <w:r w:rsidRPr="00DE12A3">
              <w:rPr>
                <w:vertAlign w:val="subscript"/>
              </w:rPr>
              <w:t>0</w:t>
            </w:r>
            <w:r w:rsidRPr="00DE12A3">
              <w:t xml:space="preserve"> [m</w:t>
            </w:r>
            <w:r w:rsidRPr="00DE12A3">
              <w:rPr>
                <w:vertAlign w:val="superscript"/>
              </w:rPr>
              <w:t>3</w:t>
            </w:r>
            <w:r w:rsidRPr="00DE12A3">
              <w:t>/rev]</w:t>
            </w:r>
          </w:p>
        </w:tc>
      </w:tr>
      <w:tr w:rsidR="00DE12A3" w:rsidRPr="00DE12A3" w14:paraId="6ADA7ABE" w14:textId="77777777" w:rsidTr="009F4766">
        <w:tc>
          <w:tcPr>
            <w:tcW w:w="1980" w:type="dxa"/>
            <w:tcBorders>
              <w:top w:val="single" w:sz="2" w:space="0" w:color="auto"/>
              <w:left w:val="single" w:sz="2" w:space="0" w:color="auto"/>
              <w:bottom w:val="single" w:sz="2" w:space="0" w:color="auto"/>
              <w:right w:val="single" w:sz="2" w:space="0" w:color="auto"/>
            </w:tcBorders>
          </w:tcPr>
          <w:p w14:paraId="24CA9632" w14:textId="77777777" w:rsidR="009F4766" w:rsidRPr="00DE12A3" w:rsidRDefault="009F4766" w:rsidP="00C917D6">
            <w:pPr>
              <w:pStyle w:val="NormalLeft"/>
            </w:pPr>
            <w:r w:rsidRPr="00DE12A3">
              <w:t>755,0</w:t>
            </w:r>
          </w:p>
        </w:tc>
        <w:tc>
          <w:tcPr>
            <w:tcW w:w="1599" w:type="dxa"/>
            <w:tcBorders>
              <w:top w:val="single" w:sz="2" w:space="0" w:color="auto"/>
              <w:left w:val="single" w:sz="2" w:space="0" w:color="auto"/>
              <w:bottom w:val="single" w:sz="2" w:space="0" w:color="auto"/>
              <w:right w:val="single" w:sz="2" w:space="0" w:color="auto"/>
            </w:tcBorders>
          </w:tcPr>
          <w:p w14:paraId="0AF0AF45" w14:textId="77777777" w:rsidR="009F4766" w:rsidRPr="00DE12A3" w:rsidRDefault="009F4766" w:rsidP="00C917D6">
            <w:pPr>
              <w:pStyle w:val="NormalLeft"/>
            </w:pPr>
            <w:r w:rsidRPr="00DE12A3">
              <w:t>12,58</w:t>
            </w:r>
          </w:p>
        </w:tc>
        <w:tc>
          <w:tcPr>
            <w:tcW w:w="1447" w:type="dxa"/>
            <w:tcBorders>
              <w:top w:val="single" w:sz="2" w:space="0" w:color="auto"/>
              <w:left w:val="single" w:sz="2" w:space="0" w:color="auto"/>
              <w:bottom w:val="single" w:sz="2" w:space="0" w:color="auto"/>
              <w:right w:val="single" w:sz="2" w:space="0" w:color="auto"/>
            </w:tcBorders>
          </w:tcPr>
          <w:p w14:paraId="4E8098E5" w14:textId="77777777" w:rsidR="009F4766" w:rsidRPr="00DE12A3" w:rsidRDefault="009F4766" w:rsidP="00C917D6">
            <w:pPr>
              <w:pStyle w:val="NormalLeft"/>
            </w:pPr>
            <w:r w:rsidRPr="00DE12A3">
              <w:t>50,43</w:t>
            </w:r>
          </w:p>
        </w:tc>
        <w:tc>
          <w:tcPr>
            <w:tcW w:w="1142" w:type="dxa"/>
            <w:tcBorders>
              <w:top w:val="single" w:sz="2" w:space="0" w:color="auto"/>
              <w:left w:val="single" w:sz="2" w:space="0" w:color="auto"/>
              <w:bottom w:val="single" w:sz="2" w:space="0" w:color="auto"/>
              <w:right w:val="single" w:sz="2" w:space="0" w:color="auto"/>
            </w:tcBorders>
          </w:tcPr>
          <w:p w14:paraId="36767730" w14:textId="77777777" w:rsidR="009F4766" w:rsidRPr="00DE12A3" w:rsidRDefault="009F4766" w:rsidP="00C917D6">
            <w:pPr>
              <w:pStyle w:val="NormalLeft"/>
            </w:pPr>
            <w:r w:rsidRPr="00DE12A3">
              <w:t>0,8405</w:t>
            </w:r>
          </w:p>
        </w:tc>
        <w:tc>
          <w:tcPr>
            <w:tcW w:w="1447" w:type="dxa"/>
            <w:tcBorders>
              <w:top w:val="single" w:sz="2" w:space="0" w:color="auto"/>
              <w:left w:val="single" w:sz="2" w:space="0" w:color="auto"/>
              <w:bottom w:val="single" w:sz="2" w:space="0" w:color="auto"/>
              <w:right w:val="single" w:sz="2" w:space="0" w:color="auto"/>
            </w:tcBorders>
          </w:tcPr>
          <w:p w14:paraId="79C738C9" w14:textId="77777777" w:rsidR="009F4766" w:rsidRPr="00DE12A3" w:rsidRDefault="009F4766" w:rsidP="00C917D6">
            <w:pPr>
              <w:pStyle w:val="NormalLeft"/>
            </w:pPr>
            <w:r w:rsidRPr="00DE12A3">
              <w:t>0,056</w:t>
            </w:r>
          </w:p>
        </w:tc>
      </w:tr>
      <w:tr w:rsidR="00DE12A3" w:rsidRPr="00DE12A3" w14:paraId="28E0ACB8" w14:textId="77777777" w:rsidTr="009F4766">
        <w:tc>
          <w:tcPr>
            <w:tcW w:w="1980" w:type="dxa"/>
            <w:tcBorders>
              <w:top w:val="single" w:sz="2" w:space="0" w:color="auto"/>
              <w:left w:val="single" w:sz="2" w:space="0" w:color="auto"/>
              <w:bottom w:val="single" w:sz="2" w:space="0" w:color="auto"/>
              <w:right w:val="single" w:sz="2" w:space="0" w:color="auto"/>
            </w:tcBorders>
          </w:tcPr>
          <w:p w14:paraId="5AA3B173" w14:textId="77777777" w:rsidR="009F4766" w:rsidRPr="00DE12A3" w:rsidRDefault="009F4766" w:rsidP="00C917D6">
            <w:pPr>
              <w:pStyle w:val="NormalLeft"/>
            </w:pPr>
            <w:r w:rsidRPr="00DE12A3">
              <w:t>987,6</w:t>
            </w:r>
          </w:p>
        </w:tc>
        <w:tc>
          <w:tcPr>
            <w:tcW w:w="1599" w:type="dxa"/>
            <w:tcBorders>
              <w:top w:val="single" w:sz="2" w:space="0" w:color="auto"/>
              <w:left w:val="single" w:sz="2" w:space="0" w:color="auto"/>
              <w:bottom w:val="single" w:sz="2" w:space="0" w:color="auto"/>
              <w:right w:val="single" w:sz="2" w:space="0" w:color="auto"/>
            </w:tcBorders>
          </w:tcPr>
          <w:p w14:paraId="54DB6E4E" w14:textId="77777777" w:rsidR="009F4766" w:rsidRPr="00DE12A3" w:rsidRDefault="009F4766" w:rsidP="00C917D6">
            <w:pPr>
              <w:pStyle w:val="NormalLeft"/>
            </w:pPr>
            <w:r w:rsidRPr="00DE12A3">
              <w:t>16,46</w:t>
            </w:r>
          </w:p>
        </w:tc>
        <w:tc>
          <w:tcPr>
            <w:tcW w:w="1447" w:type="dxa"/>
            <w:tcBorders>
              <w:top w:val="single" w:sz="2" w:space="0" w:color="auto"/>
              <w:left w:val="single" w:sz="2" w:space="0" w:color="auto"/>
              <w:bottom w:val="single" w:sz="2" w:space="0" w:color="auto"/>
              <w:right w:val="single" w:sz="2" w:space="0" w:color="auto"/>
            </w:tcBorders>
          </w:tcPr>
          <w:p w14:paraId="012384E6" w14:textId="77777777" w:rsidR="009F4766" w:rsidRPr="00DE12A3" w:rsidRDefault="009F4766" w:rsidP="00C917D6">
            <w:pPr>
              <w:pStyle w:val="NormalLeft"/>
            </w:pPr>
            <w:r w:rsidRPr="00DE12A3">
              <w:t>49,86</w:t>
            </w:r>
          </w:p>
        </w:tc>
        <w:tc>
          <w:tcPr>
            <w:tcW w:w="1142" w:type="dxa"/>
            <w:tcBorders>
              <w:top w:val="single" w:sz="2" w:space="0" w:color="auto"/>
              <w:left w:val="single" w:sz="2" w:space="0" w:color="auto"/>
              <w:bottom w:val="single" w:sz="2" w:space="0" w:color="auto"/>
              <w:right w:val="single" w:sz="2" w:space="0" w:color="auto"/>
            </w:tcBorders>
          </w:tcPr>
          <w:p w14:paraId="4AAE27DF" w14:textId="77777777" w:rsidR="009F4766" w:rsidRPr="00DE12A3" w:rsidRDefault="009F4766" w:rsidP="00C917D6">
            <w:pPr>
              <w:pStyle w:val="NormalLeft"/>
            </w:pPr>
            <w:r w:rsidRPr="00DE12A3">
              <w:t>0,831</w:t>
            </w:r>
          </w:p>
        </w:tc>
        <w:tc>
          <w:tcPr>
            <w:tcW w:w="1447" w:type="dxa"/>
            <w:tcBorders>
              <w:top w:val="single" w:sz="2" w:space="0" w:color="auto"/>
              <w:left w:val="single" w:sz="2" w:space="0" w:color="auto"/>
              <w:bottom w:val="single" w:sz="2" w:space="0" w:color="auto"/>
              <w:right w:val="single" w:sz="2" w:space="0" w:color="auto"/>
            </w:tcBorders>
          </w:tcPr>
          <w:p w14:paraId="163C7852" w14:textId="77777777" w:rsidR="009F4766" w:rsidRPr="00DE12A3" w:rsidRDefault="009F4766" w:rsidP="00C917D6">
            <w:pPr>
              <w:pStyle w:val="NormalLeft"/>
            </w:pPr>
            <w:r w:rsidRPr="00DE12A3">
              <w:t>– 0,013</w:t>
            </w:r>
          </w:p>
        </w:tc>
      </w:tr>
      <w:tr w:rsidR="00DE12A3" w:rsidRPr="00DE12A3" w14:paraId="5BBBCC3B" w14:textId="77777777" w:rsidTr="009F4766">
        <w:tc>
          <w:tcPr>
            <w:tcW w:w="1980" w:type="dxa"/>
            <w:tcBorders>
              <w:top w:val="single" w:sz="2" w:space="0" w:color="auto"/>
              <w:left w:val="single" w:sz="2" w:space="0" w:color="auto"/>
              <w:bottom w:val="single" w:sz="2" w:space="0" w:color="auto"/>
              <w:right w:val="single" w:sz="2" w:space="0" w:color="auto"/>
            </w:tcBorders>
          </w:tcPr>
          <w:p w14:paraId="4E4EDAE5" w14:textId="77777777" w:rsidR="009F4766" w:rsidRPr="00DE12A3" w:rsidRDefault="009F4766" w:rsidP="00C917D6">
            <w:pPr>
              <w:pStyle w:val="NormalLeft"/>
            </w:pPr>
            <w:r w:rsidRPr="00DE12A3">
              <w:t>1254,5</w:t>
            </w:r>
          </w:p>
        </w:tc>
        <w:tc>
          <w:tcPr>
            <w:tcW w:w="1599" w:type="dxa"/>
            <w:tcBorders>
              <w:top w:val="single" w:sz="2" w:space="0" w:color="auto"/>
              <w:left w:val="single" w:sz="2" w:space="0" w:color="auto"/>
              <w:bottom w:val="single" w:sz="2" w:space="0" w:color="auto"/>
              <w:right w:val="single" w:sz="2" w:space="0" w:color="auto"/>
            </w:tcBorders>
          </w:tcPr>
          <w:p w14:paraId="42306B0B" w14:textId="77777777" w:rsidR="009F4766" w:rsidRPr="00DE12A3" w:rsidRDefault="009F4766" w:rsidP="00C917D6">
            <w:pPr>
              <w:pStyle w:val="NormalLeft"/>
            </w:pPr>
            <w:r w:rsidRPr="00DE12A3">
              <w:t>20,9</w:t>
            </w:r>
          </w:p>
        </w:tc>
        <w:tc>
          <w:tcPr>
            <w:tcW w:w="1447" w:type="dxa"/>
            <w:tcBorders>
              <w:top w:val="single" w:sz="2" w:space="0" w:color="auto"/>
              <w:left w:val="single" w:sz="2" w:space="0" w:color="auto"/>
              <w:bottom w:val="single" w:sz="2" w:space="0" w:color="auto"/>
              <w:right w:val="single" w:sz="2" w:space="0" w:color="auto"/>
            </w:tcBorders>
          </w:tcPr>
          <w:p w14:paraId="56875565" w14:textId="77777777" w:rsidR="009F4766" w:rsidRPr="00DE12A3" w:rsidRDefault="009F4766" w:rsidP="00C917D6">
            <w:pPr>
              <w:pStyle w:val="NormalLeft"/>
            </w:pPr>
            <w:r w:rsidRPr="00DE12A3">
              <w:t>48,54</w:t>
            </w:r>
          </w:p>
        </w:tc>
        <w:tc>
          <w:tcPr>
            <w:tcW w:w="1142" w:type="dxa"/>
            <w:tcBorders>
              <w:top w:val="single" w:sz="2" w:space="0" w:color="auto"/>
              <w:left w:val="single" w:sz="2" w:space="0" w:color="auto"/>
              <w:bottom w:val="single" w:sz="2" w:space="0" w:color="auto"/>
              <w:right w:val="single" w:sz="2" w:space="0" w:color="auto"/>
            </w:tcBorders>
          </w:tcPr>
          <w:p w14:paraId="20E3D9B6" w14:textId="77777777" w:rsidR="009F4766" w:rsidRPr="00DE12A3" w:rsidRDefault="009F4766" w:rsidP="00C917D6">
            <w:pPr>
              <w:pStyle w:val="NormalLeft"/>
            </w:pPr>
            <w:r w:rsidRPr="00DE12A3">
              <w:t>0,809</w:t>
            </w:r>
          </w:p>
        </w:tc>
        <w:tc>
          <w:tcPr>
            <w:tcW w:w="1447" w:type="dxa"/>
            <w:tcBorders>
              <w:top w:val="single" w:sz="2" w:space="0" w:color="auto"/>
              <w:left w:val="single" w:sz="2" w:space="0" w:color="auto"/>
              <w:bottom w:val="single" w:sz="2" w:space="0" w:color="auto"/>
              <w:right w:val="single" w:sz="2" w:space="0" w:color="auto"/>
            </w:tcBorders>
          </w:tcPr>
          <w:p w14:paraId="6023E2AC" w14:textId="77777777" w:rsidR="009F4766" w:rsidRPr="00DE12A3" w:rsidRDefault="009F4766" w:rsidP="00C917D6">
            <w:pPr>
              <w:pStyle w:val="NormalLeft"/>
            </w:pPr>
            <w:r w:rsidRPr="00DE12A3">
              <w:t>0,028</w:t>
            </w:r>
          </w:p>
        </w:tc>
      </w:tr>
      <w:tr w:rsidR="009F4766" w:rsidRPr="00DE12A3" w14:paraId="020A0F58" w14:textId="77777777" w:rsidTr="009F4766">
        <w:tc>
          <w:tcPr>
            <w:tcW w:w="1980" w:type="dxa"/>
            <w:tcBorders>
              <w:top w:val="single" w:sz="2" w:space="0" w:color="auto"/>
              <w:left w:val="single" w:sz="2" w:space="0" w:color="auto"/>
              <w:bottom w:val="single" w:sz="2" w:space="0" w:color="auto"/>
              <w:right w:val="single" w:sz="2" w:space="0" w:color="auto"/>
            </w:tcBorders>
          </w:tcPr>
          <w:p w14:paraId="4E96D4EA" w14:textId="77777777" w:rsidR="009F4766" w:rsidRPr="00DE12A3" w:rsidRDefault="009F4766" w:rsidP="00C917D6">
            <w:pPr>
              <w:pStyle w:val="NormalLeft"/>
            </w:pPr>
            <w:r w:rsidRPr="00DE12A3">
              <w:t>1401,3</w:t>
            </w:r>
          </w:p>
        </w:tc>
        <w:tc>
          <w:tcPr>
            <w:tcW w:w="1599" w:type="dxa"/>
            <w:tcBorders>
              <w:top w:val="single" w:sz="2" w:space="0" w:color="auto"/>
              <w:left w:val="single" w:sz="2" w:space="0" w:color="auto"/>
              <w:bottom w:val="single" w:sz="2" w:space="0" w:color="auto"/>
              <w:right w:val="single" w:sz="2" w:space="0" w:color="auto"/>
            </w:tcBorders>
          </w:tcPr>
          <w:p w14:paraId="0B72FAEA" w14:textId="77777777" w:rsidR="009F4766" w:rsidRPr="00DE12A3" w:rsidRDefault="009F4766" w:rsidP="00C917D6">
            <w:pPr>
              <w:pStyle w:val="NormalLeft"/>
            </w:pPr>
            <w:r w:rsidRPr="00DE12A3">
              <w:t>23,355</w:t>
            </w:r>
          </w:p>
        </w:tc>
        <w:tc>
          <w:tcPr>
            <w:tcW w:w="1447" w:type="dxa"/>
            <w:tcBorders>
              <w:top w:val="single" w:sz="2" w:space="0" w:color="auto"/>
              <w:left w:val="single" w:sz="2" w:space="0" w:color="auto"/>
              <w:bottom w:val="single" w:sz="2" w:space="0" w:color="auto"/>
              <w:right w:val="single" w:sz="2" w:space="0" w:color="auto"/>
            </w:tcBorders>
          </w:tcPr>
          <w:p w14:paraId="551097AE" w14:textId="77777777" w:rsidR="009F4766" w:rsidRPr="00DE12A3" w:rsidRDefault="009F4766" w:rsidP="00C917D6">
            <w:pPr>
              <w:pStyle w:val="NormalLeft"/>
            </w:pPr>
            <w:r w:rsidRPr="00DE12A3">
              <w:t>47,30</w:t>
            </w:r>
          </w:p>
        </w:tc>
        <w:tc>
          <w:tcPr>
            <w:tcW w:w="1142" w:type="dxa"/>
            <w:tcBorders>
              <w:top w:val="single" w:sz="2" w:space="0" w:color="auto"/>
              <w:left w:val="single" w:sz="2" w:space="0" w:color="auto"/>
              <w:bottom w:val="single" w:sz="2" w:space="0" w:color="auto"/>
              <w:right w:val="single" w:sz="2" w:space="0" w:color="auto"/>
            </w:tcBorders>
          </w:tcPr>
          <w:p w14:paraId="7897E2A5" w14:textId="77777777" w:rsidR="009F4766" w:rsidRPr="00DE12A3" w:rsidRDefault="009F4766" w:rsidP="00C917D6">
            <w:pPr>
              <w:pStyle w:val="NormalLeft"/>
            </w:pPr>
            <w:r w:rsidRPr="00DE12A3">
              <w:t>0,7883</w:t>
            </w:r>
          </w:p>
        </w:tc>
        <w:tc>
          <w:tcPr>
            <w:tcW w:w="1447" w:type="dxa"/>
            <w:tcBorders>
              <w:top w:val="single" w:sz="2" w:space="0" w:color="auto"/>
              <w:left w:val="single" w:sz="2" w:space="0" w:color="auto"/>
              <w:bottom w:val="single" w:sz="2" w:space="0" w:color="auto"/>
              <w:right w:val="single" w:sz="2" w:space="0" w:color="auto"/>
            </w:tcBorders>
          </w:tcPr>
          <w:p w14:paraId="75DEDE7B" w14:textId="77777777" w:rsidR="009F4766" w:rsidRPr="00DE12A3" w:rsidRDefault="009F4766" w:rsidP="00C917D6">
            <w:pPr>
              <w:pStyle w:val="NormalLeft"/>
            </w:pPr>
            <w:r w:rsidRPr="00DE12A3">
              <w:t>– 0,061</w:t>
            </w:r>
          </w:p>
        </w:tc>
      </w:tr>
    </w:tbl>
    <w:p w14:paraId="56FB63C8" w14:textId="77777777" w:rsidR="009F4766" w:rsidRPr="00DE12A3" w:rsidRDefault="009F4766" w:rsidP="00C917D6">
      <w:pPr>
        <w:spacing w:before="120" w:after="120"/>
        <w:rPr>
          <w:rFonts w:cs="Times New Roman"/>
          <w:color w:val="auto"/>
        </w:rPr>
      </w:pPr>
    </w:p>
    <w:p w14:paraId="052FCE12" w14:textId="26988BEF" w:rsidR="00A004E5" w:rsidRPr="00DE12A3" w:rsidRDefault="009F4766" w:rsidP="00C917D6">
      <w:pPr>
        <w:pStyle w:val="Point0"/>
      </w:pPr>
      <w:r w:rsidRPr="00DE12A3">
        <w:tab/>
        <w:t>(f)</w:t>
      </w:r>
      <w:r w:rsidRPr="00DE12A3">
        <w:tab/>
      </w:r>
      <w:r w:rsidR="00A004E5" w:rsidRPr="00DE12A3">
        <w:t>PDP'nin kullanıldığı her devir için, 3.6.3</w:t>
      </w:r>
      <w:r w:rsidR="007B1175" w:rsidRPr="00DE12A3">
        <w:t xml:space="preserve"> bendinin </w:t>
      </w:r>
      <w:r w:rsidR="00A004E5" w:rsidRPr="00DE12A3">
        <w:t xml:space="preserve">(b) </w:t>
      </w:r>
      <w:r w:rsidR="007B1175" w:rsidRPr="00DE12A3">
        <w:t xml:space="preserve">alt </w:t>
      </w:r>
      <w:r w:rsidR="00A004E5" w:rsidRPr="00DE12A3">
        <w:t>bendinde açıklanan emisyon testi sırasında akış hızını hesaplamak için, karşılık gelen eğim a</w:t>
      </w:r>
      <w:r w:rsidR="00A004E5" w:rsidRPr="00DE12A3">
        <w:rPr>
          <w:vertAlign w:val="subscript"/>
        </w:rPr>
        <w:t>1</w:t>
      </w:r>
      <w:r w:rsidR="00A004E5" w:rsidRPr="00DE12A3">
        <w:t xml:space="preserve"> ve kesişim a</w:t>
      </w:r>
      <w:r w:rsidR="00A004E5" w:rsidRPr="00DE12A3">
        <w:rPr>
          <w:vertAlign w:val="subscript"/>
        </w:rPr>
        <w:t>0</w:t>
      </w:r>
      <w:r w:rsidR="00A004E5" w:rsidRPr="00DE12A3">
        <w:t xml:space="preserve"> kullanılmalıdır.</w:t>
      </w:r>
    </w:p>
    <w:p w14:paraId="16014DED" w14:textId="77777777" w:rsidR="00A004E5" w:rsidRPr="00DE12A3" w:rsidRDefault="009F4766" w:rsidP="00C917D6">
      <w:pPr>
        <w:spacing w:before="120" w:after="120"/>
        <w:ind w:left="1134" w:hanging="1134"/>
        <w:rPr>
          <w:rFonts w:eastAsia="Times New Roman" w:cs="Times New Roman"/>
          <w:color w:val="auto"/>
          <w:lang w:val="fr-FR"/>
        </w:rPr>
      </w:pPr>
      <w:r w:rsidRPr="00DE12A3">
        <w:rPr>
          <w:rFonts w:cs="Times New Roman"/>
          <w:color w:val="auto"/>
        </w:rPr>
        <w:t>3.9.3.</w:t>
      </w:r>
      <w:r w:rsidRPr="00DE12A3">
        <w:rPr>
          <w:rFonts w:cs="Times New Roman"/>
          <w:color w:val="auto"/>
        </w:rPr>
        <w:tab/>
      </w:r>
      <w:r w:rsidR="00A004E5" w:rsidRPr="00DE12A3">
        <w:rPr>
          <w:rFonts w:eastAsia="Times New Roman" w:cs="Times New Roman"/>
          <w:color w:val="auto"/>
          <w:lang w:val="fr-FR"/>
        </w:rPr>
        <w:t>Venturi yönetim denklemleri ve izin verilen varsayımlar</w:t>
      </w:r>
    </w:p>
    <w:p w14:paraId="4B173837" w14:textId="59DBC137" w:rsidR="009F4766" w:rsidRPr="00DE12A3" w:rsidRDefault="00A004E5" w:rsidP="00C917D6">
      <w:pPr>
        <w:spacing w:before="120" w:after="120"/>
        <w:ind w:left="1134"/>
        <w:jc w:val="both"/>
        <w:rPr>
          <w:rFonts w:eastAsia="Times New Roman" w:cs="Times New Roman"/>
          <w:color w:val="auto"/>
          <w:lang w:val="fr-FR"/>
        </w:rPr>
      </w:pPr>
      <w:r w:rsidRPr="00DE12A3">
        <w:rPr>
          <w:rFonts w:eastAsia="Times New Roman" w:cs="Times New Roman"/>
          <w:color w:val="auto"/>
          <w:lang w:val="fr-FR"/>
        </w:rPr>
        <w:t xml:space="preserve">Bu </w:t>
      </w:r>
      <w:r w:rsidR="00117673" w:rsidRPr="00DE12A3">
        <w:rPr>
          <w:rFonts w:eastAsia="Times New Roman" w:cs="Times New Roman"/>
          <w:color w:val="auto"/>
          <w:lang w:val="fr-FR"/>
        </w:rPr>
        <w:t>bentt</w:t>
      </w:r>
      <w:r w:rsidRPr="00DE12A3">
        <w:rPr>
          <w:rFonts w:eastAsia="Times New Roman" w:cs="Times New Roman"/>
          <w:color w:val="auto"/>
          <w:lang w:val="fr-FR"/>
        </w:rPr>
        <w:t>e bir venturiyi kalibre etmek ve bir venturi kullanarak akışı hesaplamak için geçerli denklemler ve izin verilen varsayımlar açıklanmaktadır. Bir ses altı venturinin (SSV) ve bir kritik akışlı venturinin (CFV) her ikisi de benzer şekilde çalıştığından, basınç oranı r'yi (yani, rSSV'ye göre rCFV) tarif eden denklem hariç, geçerli denklemler hemen hemen aynıdır. Bu geçerli denklemler, bir ideal gazın tek boyutlu izentropik vizkoz olmayan sıkıştırılabilir akışını varsayar. 3.9.3</w:t>
      </w:r>
      <w:r w:rsidR="00117673" w:rsidRPr="00DE12A3">
        <w:rPr>
          <w:rFonts w:eastAsia="Times New Roman" w:cs="Times New Roman"/>
          <w:color w:val="auto"/>
          <w:lang w:val="fr-FR"/>
        </w:rPr>
        <w:t xml:space="preserve"> bendinin </w:t>
      </w:r>
      <w:r w:rsidRPr="00DE12A3">
        <w:rPr>
          <w:rFonts w:eastAsia="Times New Roman" w:cs="Times New Roman"/>
          <w:color w:val="auto"/>
          <w:lang w:val="fr-FR"/>
        </w:rPr>
        <w:t xml:space="preserve">(d) </w:t>
      </w:r>
      <w:r w:rsidR="00117673" w:rsidRPr="00DE12A3">
        <w:rPr>
          <w:rFonts w:eastAsia="Times New Roman" w:cs="Times New Roman"/>
          <w:color w:val="auto"/>
          <w:lang w:val="fr-FR"/>
        </w:rPr>
        <w:t xml:space="preserve">numaralı alt </w:t>
      </w:r>
      <w:r w:rsidRPr="00DE12A3">
        <w:rPr>
          <w:rFonts w:eastAsia="Times New Roman" w:cs="Times New Roman"/>
          <w:color w:val="auto"/>
          <w:lang w:val="fr-FR"/>
        </w:rPr>
        <w:t xml:space="preserve">bendinde yapılabilecek diğer varsayımlar açıklanmıştır. Ölçülen akış için bir ideal gaz varsayımına izin verilmiyorsa, geçerli denklemler bir gerçek gaz davranışı için birinci derece bir düzeltme, yani sıkıştırılabilirlik faktörü Z'yi içerir. İyi mühendislik kararı, Z = 1 dışında bir değer kullanılmasını gerektirirse, Z değerlerini ölçülen basınçların ve sıcaklıkların bir fonksiyonu olarak belirlemek için uygun bir durum denklemi kullanılabilir veya iyi mühendislik kararı esasında özel kalibrasyon denklemleri geliştirilebilir. Akış katsayısı Cf için olan denklemin, izentropik üssü γ'nin, özgül ısılar oranı cp/cV'ye eşit olduğu ideal gaz varsayımına dayandığı belirtilmelidir. İyi mühendislik kararı bir gerçek gaz izentropik üssü kullanılmasını gerektirirse, γ değerlerini ölçülen basınçların ve sıcaklıkların bir fonksiyonu olarak belirlemek için uygun bir durum denklemi kullanılabilir veya özel kalibrasyon denklemleri geliştirilebilir. Molar akış hızı n [mol/s], (7-139) </w:t>
      </w:r>
      <w:r w:rsidR="00962CA1" w:rsidRPr="00DE12A3">
        <w:rPr>
          <w:color w:val="auto"/>
        </w:rPr>
        <w:t>numaralı</w:t>
      </w:r>
      <w:r w:rsidR="00962CA1" w:rsidRPr="00DE12A3" w:rsidDel="00962CA1">
        <w:rPr>
          <w:rFonts w:eastAsia="Times New Roman" w:cs="Times New Roman"/>
          <w:color w:val="auto"/>
          <w:lang w:val="fr-FR"/>
        </w:rPr>
        <w:t xml:space="preserve"> </w:t>
      </w:r>
      <w:r w:rsidRPr="00DE12A3">
        <w:rPr>
          <w:rFonts w:eastAsia="Times New Roman" w:cs="Times New Roman"/>
          <w:color w:val="auto"/>
          <w:lang w:val="fr-FR"/>
        </w:rPr>
        <w:t>denklem ile hesaplanmalıdır:</w:t>
      </w:r>
    </w:p>
    <w:p w14:paraId="54D47BE2" w14:textId="77777777" w:rsidR="00A004E5" w:rsidRPr="00DE12A3" w:rsidRDefault="00A004E5" w:rsidP="00C917D6">
      <w:pPr>
        <w:spacing w:before="120" w:after="120"/>
        <w:ind w:left="1134"/>
        <w:jc w:val="both"/>
        <w:rPr>
          <w:rFonts w:cs="Times New Roman"/>
          <w:color w:val="auto"/>
        </w:rPr>
      </w:pPr>
    </w:p>
    <w:tbl>
      <w:tblPr>
        <w:tblW w:w="0" w:type="auto"/>
        <w:tblInd w:w="2739" w:type="dxa"/>
        <w:tblLayout w:type="fixed"/>
        <w:tblLook w:val="0000" w:firstRow="0" w:lastRow="0" w:firstColumn="0" w:lastColumn="0" w:noHBand="0" w:noVBand="0"/>
      </w:tblPr>
      <w:tblGrid>
        <w:gridCol w:w="2817"/>
        <w:gridCol w:w="990"/>
      </w:tblGrid>
      <w:tr w:rsidR="009F4766" w:rsidRPr="00DE12A3" w14:paraId="0AC3EB80" w14:textId="77777777" w:rsidTr="001A234D">
        <w:tc>
          <w:tcPr>
            <w:tcW w:w="2817" w:type="dxa"/>
          </w:tcPr>
          <w:p w14:paraId="76A16823" w14:textId="2B66CE22" w:rsidR="009F4766" w:rsidRPr="00DE12A3" w:rsidRDefault="009F4766" w:rsidP="00C917D6">
            <w:pPr>
              <w:pStyle w:val="NormalLeft"/>
            </w:pPr>
            <w:r w:rsidRPr="00DE12A3">
              <w:rPr>
                <w:noProof/>
                <w:lang w:val="tr-TR"/>
              </w:rPr>
              <w:drawing>
                <wp:inline distT="0" distB="0" distL="0" distR="0" wp14:anchorId="72D4A4EA" wp14:editId="62C7AA74">
                  <wp:extent cx="1623646" cy="662305"/>
                  <wp:effectExtent l="0" t="0" r="0" b="4445"/>
                  <wp:docPr id="2454" name="Resim 24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1634787" cy="666850"/>
                          </a:xfrm>
                          <a:prstGeom prst="rect">
                            <a:avLst/>
                          </a:prstGeom>
                          <a:noFill/>
                          <a:ln>
                            <a:noFill/>
                          </a:ln>
                        </pic:spPr>
                      </pic:pic>
                    </a:graphicData>
                  </a:graphic>
                </wp:inline>
              </w:drawing>
            </w:r>
          </w:p>
        </w:tc>
        <w:tc>
          <w:tcPr>
            <w:tcW w:w="990" w:type="dxa"/>
          </w:tcPr>
          <w:p w14:paraId="2924FB28" w14:textId="77777777" w:rsidR="009F4766" w:rsidRPr="00DE12A3" w:rsidRDefault="009F4766" w:rsidP="00C917D6">
            <w:pPr>
              <w:pStyle w:val="NormalLeft"/>
            </w:pPr>
            <w:r w:rsidRPr="00DE12A3">
              <w:t>(7-139)</w:t>
            </w:r>
          </w:p>
        </w:tc>
      </w:tr>
    </w:tbl>
    <w:p w14:paraId="192E494C" w14:textId="77777777" w:rsidR="009F4766" w:rsidRPr="00DE12A3" w:rsidRDefault="009F4766" w:rsidP="00C917D6">
      <w:pPr>
        <w:spacing w:before="120" w:after="120"/>
        <w:rPr>
          <w:rFonts w:cs="Times New Roman"/>
          <w:color w:val="auto"/>
        </w:rPr>
      </w:pPr>
    </w:p>
    <w:p w14:paraId="1FBE9A24" w14:textId="77777777" w:rsidR="009F4766" w:rsidRPr="00DE12A3" w:rsidRDefault="008B3D9F" w:rsidP="00C917D6">
      <w:pPr>
        <w:spacing w:before="120" w:after="120"/>
        <w:ind w:left="1134"/>
        <w:rPr>
          <w:rFonts w:cs="Times New Roman"/>
          <w:color w:val="auto"/>
        </w:rPr>
      </w:pPr>
      <w:r w:rsidRPr="00DE12A3">
        <w:rPr>
          <w:rFonts w:cs="Times New Roman"/>
          <w:color w:val="auto"/>
        </w:rPr>
        <w:t>Burada</w:t>
      </w:r>
      <w:r w:rsidR="009F4766" w:rsidRPr="00DE12A3">
        <w:rPr>
          <w:rFonts w:cs="Times New Roman"/>
          <w:color w:val="auto"/>
        </w:rPr>
        <w:t>:</w:t>
      </w:r>
    </w:p>
    <w:tbl>
      <w:tblPr>
        <w:tblW w:w="0" w:type="auto"/>
        <w:tblInd w:w="1242" w:type="dxa"/>
        <w:tblLayout w:type="fixed"/>
        <w:tblLook w:val="0000" w:firstRow="0" w:lastRow="0" w:firstColumn="0" w:lastColumn="0" w:noHBand="0" w:noVBand="0"/>
      </w:tblPr>
      <w:tblGrid>
        <w:gridCol w:w="1843"/>
        <w:gridCol w:w="567"/>
        <w:gridCol w:w="4519"/>
      </w:tblGrid>
      <w:tr w:rsidR="00DE12A3" w:rsidRPr="00DE12A3" w14:paraId="2D2B96F0" w14:textId="77777777" w:rsidTr="006D7ADF">
        <w:tc>
          <w:tcPr>
            <w:tcW w:w="1843" w:type="dxa"/>
          </w:tcPr>
          <w:p w14:paraId="6E2C0D06" w14:textId="77777777" w:rsidR="00A004E5" w:rsidRPr="00DE12A3" w:rsidRDefault="00A004E5" w:rsidP="00C917D6">
            <w:pPr>
              <w:pStyle w:val="NormalLeft"/>
            </w:pPr>
            <w:r w:rsidRPr="00DE12A3">
              <w:rPr>
                <w:i/>
                <w:iCs/>
              </w:rPr>
              <w:t>C</w:t>
            </w:r>
            <w:r w:rsidRPr="00DE12A3">
              <w:rPr>
                <w:vertAlign w:val="subscript"/>
              </w:rPr>
              <w:t>d</w:t>
            </w:r>
          </w:p>
        </w:tc>
        <w:tc>
          <w:tcPr>
            <w:tcW w:w="567" w:type="dxa"/>
          </w:tcPr>
          <w:p w14:paraId="2AFC96FE" w14:textId="77777777" w:rsidR="00A004E5" w:rsidRPr="00DE12A3" w:rsidRDefault="00A004E5" w:rsidP="00C917D6">
            <w:pPr>
              <w:pStyle w:val="NormalLeft"/>
            </w:pPr>
            <w:r w:rsidRPr="00DE12A3">
              <w:t>=</w:t>
            </w:r>
          </w:p>
        </w:tc>
        <w:tc>
          <w:tcPr>
            <w:tcW w:w="4519" w:type="dxa"/>
          </w:tcPr>
          <w:p w14:paraId="373952D5" w14:textId="2548EE2D" w:rsidR="00A004E5" w:rsidRPr="00DE12A3" w:rsidRDefault="00A004E5" w:rsidP="00C917D6">
            <w:pPr>
              <w:spacing w:before="120" w:after="120"/>
              <w:rPr>
                <w:rFonts w:cs="Times New Roman"/>
                <w:color w:val="auto"/>
              </w:rPr>
            </w:pPr>
            <w:r w:rsidRPr="00DE12A3">
              <w:rPr>
                <w:rFonts w:cs="Times New Roman"/>
                <w:color w:val="auto"/>
              </w:rPr>
              <w:t>3.9.3</w:t>
            </w:r>
            <w:r w:rsidR="00117673" w:rsidRPr="00DE12A3">
              <w:rPr>
                <w:rFonts w:cs="Times New Roman"/>
                <w:color w:val="auto"/>
              </w:rPr>
              <w:t xml:space="preserve"> bendinin </w:t>
            </w:r>
            <w:r w:rsidRPr="00DE12A3">
              <w:rPr>
                <w:rFonts w:cs="Times New Roman"/>
                <w:color w:val="auto"/>
              </w:rPr>
              <w:t xml:space="preserve">(a) </w:t>
            </w:r>
            <w:r w:rsidR="00117673" w:rsidRPr="00DE12A3">
              <w:rPr>
                <w:rFonts w:cs="Times New Roman"/>
                <w:color w:val="auto"/>
              </w:rPr>
              <w:t xml:space="preserve">numaralı alt </w:t>
            </w:r>
            <w:r w:rsidRPr="00DE12A3">
              <w:rPr>
                <w:rFonts w:cs="Times New Roman"/>
                <w:color w:val="auto"/>
              </w:rPr>
              <w:t>bendinde belirlenen boşaltma katsayısı [-]</w:t>
            </w:r>
          </w:p>
        </w:tc>
      </w:tr>
      <w:tr w:rsidR="00DE12A3" w:rsidRPr="00DE12A3" w14:paraId="753A6A6C" w14:textId="77777777" w:rsidTr="006D7ADF">
        <w:tc>
          <w:tcPr>
            <w:tcW w:w="1843" w:type="dxa"/>
          </w:tcPr>
          <w:p w14:paraId="7C4A3BB1" w14:textId="77777777" w:rsidR="00A004E5" w:rsidRPr="00DE12A3" w:rsidRDefault="00A004E5" w:rsidP="00C917D6">
            <w:pPr>
              <w:pStyle w:val="NormalLeft"/>
            </w:pPr>
            <w:r w:rsidRPr="00DE12A3">
              <w:rPr>
                <w:i/>
                <w:iCs/>
              </w:rPr>
              <w:t>C</w:t>
            </w:r>
            <w:r w:rsidRPr="00DE12A3">
              <w:rPr>
                <w:vertAlign w:val="subscript"/>
              </w:rPr>
              <w:t>f</w:t>
            </w:r>
          </w:p>
        </w:tc>
        <w:tc>
          <w:tcPr>
            <w:tcW w:w="567" w:type="dxa"/>
          </w:tcPr>
          <w:p w14:paraId="46E0F295" w14:textId="77777777" w:rsidR="00A004E5" w:rsidRPr="00DE12A3" w:rsidRDefault="00A004E5" w:rsidP="00C917D6">
            <w:pPr>
              <w:pStyle w:val="NormalLeft"/>
            </w:pPr>
            <w:r w:rsidRPr="00DE12A3">
              <w:t>=</w:t>
            </w:r>
          </w:p>
        </w:tc>
        <w:tc>
          <w:tcPr>
            <w:tcW w:w="4519" w:type="dxa"/>
          </w:tcPr>
          <w:p w14:paraId="3EC70C94" w14:textId="04DE711D" w:rsidR="00A004E5" w:rsidRPr="00DE12A3" w:rsidRDefault="00A004E5" w:rsidP="00C917D6">
            <w:pPr>
              <w:spacing w:before="120" w:after="120"/>
              <w:rPr>
                <w:rFonts w:cs="Times New Roman"/>
                <w:color w:val="auto"/>
              </w:rPr>
            </w:pPr>
            <w:r w:rsidRPr="00DE12A3">
              <w:rPr>
                <w:rFonts w:cs="Times New Roman"/>
                <w:color w:val="auto"/>
              </w:rPr>
              <w:t>3.9.3</w:t>
            </w:r>
            <w:r w:rsidR="00117673" w:rsidRPr="00DE12A3">
              <w:rPr>
                <w:rFonts w:cs="Times New Roman"/>
                <w:color w:val="auto"/>
              </w:rPr>
              <w:t xml:space="preserve"> bendinin </w:t>
            </w:r>
            <w:r w:rsidRPr="00DE12A3">
              <w:rPr>
                <w:rFonts w:cs="Times New Roman"/>
                <w:color w:val="auto"/>
              </w:rPr>
              <w:t xml:space="preserve">(b) </w:t>
            </w:r>
            <w:r w:rsidR="00117673" w:rsidRPr="00DE12A3">
              <w:rPr>
                <w:rFonts w:cs="Times New Roman"/>
                <w:color w:val="auto"/>
              </w:rPr>
              <w:t xml:space="preserve">numaralı alt bendinde </w:t>
            </w:r>
            <w:r w:rsidRPr="00DE12A3">
              <w:rPr>
                <w:rFonts w:cs="Times New Roman"/>
                <w:color w:val="auto"/>
              </w:rPr>
              <w:t>belirlenen akış katsayısı [-]</w:t>
            </w:r>
          </w:p>
        </w:tc>
      </w:tr>
      <w:tr w:rsidR="00DE12A3" w:rsidRPr="00DE12A3" w14:paraId="6565F5B5" w14:textId="77777777" w:rsidTr="006D7ADF">
        <w:tc>
          <w:tcPr>
            <w:tcW w:w="1843" w:type="dxa"/>
          </w:tcPr>
          <w:p w14:paraId="5D119736" w14:textId="77777777" w:rsidR="00A004E5" w:rsidRPr="00DE12A3" w:rsidRDefault="00A004E5" w:rsidP="00C917D6">
            <w:pPr>
              <w:pStyle w:val="NormalLeft"/>
            </w:pPr>
            <w:r w:rsidRPr="00DE12A3">
              <w:rPr>
                <w:i/>
                <w:iCs/>
              </w:rPr>
              <w:lastRenderedPageBreak/>
              <w:t>A</w:t>
            </w:r>
            <w:r w:rsidRPr="00DE12A3">
              <w:rPr>
                <w:vertAlign w:val="subscript"/>
              </w:rPr>
              <w:t>t</w:t>
            </w:r>
          </w:p>
        </w:tc>
        <w:tc>
          <w:tcPr>
            <w:tcW w:w="567" w:type="dxa"/>
          </w:tcPr>
          <w:p w14:paraId="06E2D4B4" w14:textId="77777777" w:rsidR="00A004E5" w:rsidRPr="00DE12A3" w:rsidRDefault="00A004E5" w:rsidP="00C917D6">
            <w:pPr>
              <w:pStyle w:val="NormalLeft"/>
            </w:pPr>
            <w:r w:rsidRPr="00DE12A3">
              <w:t>=</w:t>
            </w:r>
          </w:p>
        </w:tc>
        <w:tc>
          <w:tcPr>
            <w:tcW w:w="4519" w:type="dxa"/>
          </w:tcPr>
          <w:p w14:paraId="4706A7F3" w14:textId="77777777" w:rsidR="00A004E5" w:rsidRPr="00DE12A3" w:rsidRDefault="00A004E5" w:rsidP="00C917D6">
            <w:pPr>
              <w:spacing w:before="120" w:after="120"/>
              <w:rPr>
                <w:rFonts w:cs="Times New Roman"/>
                <w:color w:val="auto"/>
              </w:rPr>
            </w:pPr>
            <w:r w:rsidRPr="00DE12A3">
              <w:rPr>
                <w:rFonts w:cs="Times New Roman"/>
                <w:color w:val="auto"/>
              </w:rPr>
              <w:t>Venturi boğazı kesit alanı [m2]</w:t>
            </w:r>
          </w:p>
        </w:tc>
      </w:tr>
      <w:tr w:rsidR="00DE12A3" w:rsidRPr="00DE12A3" w14:paraId="75CBA0A9" w14:textId="77777777" w:rsidTr="006D7ADF">
        <w:tc>
          <w:tcPr>
            <w:tcW w:w="1843" w:type="dxa"/>
          </w:tcPr>
          <w:p w14:paraId="13901831" w14:textId="77777777" w:rsidR="00A004E5" w:rsidRPr="00DE12A3" w:rsidRDefault="00A004E5" w:rsidP="00C917D6">
            <w:pPr>
              <w:pStyle w:val="NormalLeft"/>
            </w:pPr>
            <w:r w:rsidRPr="00DE12A3">
              <w:rPr>
                <w:i/>
                <w:iCs/>
              </w:rPr>
              <w:t>p</w:t>
            </w:r>
            <w:r w:rsidRPr="00DE12A3">
              <w:rPr>
                <w:vertAlign w:val="subscript"/>
              </w:rPr>
              <w:t>in</w:t>
            </w:r>
          </w:p>
        </w:tc>
        <w:tc>
          <w:tcPr>
            <w:tcW w:w="567" w:type="dxa"/>
          </w:tcPr>
          <w:p w14:paraId="19FCD7CF" w14:textId="77777777" w:rsidR="00A004E5" w:rsidRPr="00DE12A3" w:rsidRDefault="00A004E5" w:rsidP="00C917D6">
            <w:pPr>
              <w:pStyle w:val="NormalLeft"/>
            </w:pPr>
            <w:r w:rsidRPr="00DE12A3">
              <w:t>=</w:t>
            </w:r>
          </w:p>
        </w:tc>
        <w:tc>
          <w:tcPr>
            <w:tcW w:w="4519" w:type="dxa"/>
          </w:tcPr>
          <w:p w14:paraId="13EFE908" w14:textId="77777777" w:rsidR="00A004E5" w:rsidRPr="00DE12A3" w:rsidRDefault="00A004E5" w:rsidP="00C917D6">
            <w:pPr>
              <w:spacing w:before="120" w:after="120"/>
              <w:rPr>
                <w:rFonts w:cs="Times New Roman"/>
                <w:color w:val="auto"/>
              </w:rPr>
            </w:pPr>
            <w:r w:rsidRPr="00DE12A3">
              <w:rPr>
                <w:rFonts w:cs="Times New Roman"/>
                <w:color w:val="auto"/>
              </w:rPr>
              <w:t>Venturi girişi mutlak statik basıncı [Pa]</w:t>
            </w:r>
          </w:p>
        </w:tc>
      </w:tr>
      <w:tr w:rsidR="00DE12A3" w:rsidRPr="00DE12A3" w14:paraId="34D14848" w14:textId="77777777" w:rsidTr="006D7ADF">
        <w:tc>
          <w:tcPr>
            <w:tcW w:w="1843" w:type="dxa"/>
          </w:tcPr>
          <w:p w14:paraId="1FDF5B8C" w14:textId="77777777" w:rsidR="00A004E5" w:rsidRPr="00DE12A3" w:rsidRDefault="00A004E5" w:rsidP="00C917D6">
            <w:pPr>
              <w:pStyle w:val="NormalLeft"/>
            </w:pPr>
            <w:r w:rsidRPr="00DE12A3">
              <w:rPr>
                <w:i/>
                <w:iCs/>
              </w:rPr>
              <w:t>Z</w:t>
            </w:r>
          </w:p>
        </w:tc>
        <w:tc>
          <w:tcPr>
            <w:tcW w:w="567" w:type="dxa"/>
          </w:tcPr>
          <w:p w14:paraId="56C7CFEB" w14:textId="77777777" w:rsidR="00A004E5" w:rsidRPr="00DE12A3" w:rsidRDefault="00A004E5" w:rsidP="00C917D6">
            <w:pPr>
              <w:pStyle w:val="NormalLeft"/>
            </w:pPr>
            <w:r w:rsidRPr="00DE12A3">
              <w:t>=</w:t>
            </w:r>
          </w:p>
        </w:tc>
        <w:tc>
          <w:tcPr>
            <w:tcW w:w="4519" w:type="dxa"/>
          </w:tcPr>
          <w:p w14:paraId="4A803DD7" w14:textId="77777777" w:rsidR="00A004E5" w:rsidRPr="00DE12A3" w:rsidRDefault="00A004E5" w:rsidP="00C917D6">
            <w:pPr>
              <w:spacing w:before="120" w:after="120"/>
              <w:rPr>
                <w:rFonts w:cs="Times New Roman"/>
                <w:color w:val="auto"/>
              </w:rPr>
            </w:pPr>
            <w:r w:rsidRPr="00DE12A3">
              <w:rPr>
                <w:rFonts w:cs="Times New Roman"/>
                <w:color w:val="auto"/>
              </w:rPr>
              <w:t>Sıkıştırılabilirlik faktörü [-]</w:t>
            </w:r>
          </w:p>
        </w:tc>
      </w:tr>
      <w:tr w:rsidR="00DE12A3" w:rsidRPr="00DE12A3" w14:paraId="10F28BF4" w14:textId="77777777" w:rsidTr="006D7ADF">
        <w:tc>
          <w:tcPr>
            <w:tcW w:w="1843" w:type="dxa"/>
          </w:tcPr>
          <w:p w14:paraId="5BCED091" w14:textId="77777777" w:rsidR="00A004E5" w:rsidRPr="00DE12A3" w:rsidRDefault="00A004E5" w:rsidP="00C917D6">
            <w:pPr>
              <w:pStyle w:val="NormalLeft"/>
            </w:pPr>
            <w:r w:rsidRPr="00DE12A3">
              <w:rPr>
                <w:i/>
                <w:iCs/>
              </w:rPr>
              <w:t>M</w:t>
            </w:r>
            <w:r w:rsidRPr="00DE12A3">
              <w:rPr>
                <w:vertAlign w:val="subscript"/>
              </w:rPr>
              <w:t>mix</w:t>
            </w:r>
          </w:p>
        </w:tc>
        <w:tc>
          <w:tcPr>
            <w:tcW w:w="567" w:type="dxa"/>
          </w:tcPr>
          <w:p w14:paraId="28241F6C" w14:textId="77777777" w:rsidR="00A004E5" w:rsidRPr="00DE12A3" w:rsidRDefault="00A004E5" w:rsidP="00C917D6">
            <w:pPr>
              <w:pStyle w:val="NormalLeft"/>
            </w:pPr>
            <w:r w:rsidRPr="00DE12A3">
              <w:t>=</w:t>
            </w:r>
          </w:p>
        </w:tc>
        <w:tc>
          <w:tcPr>
            <w:tcW w:w="4519" w:type="dxa"/>
          </w:tcPr>
          <w:p w14:paraId="0CD6366C" w14:textId="77777777" w:rsidR="00A004E5" w:rsidRPr="00DE12A3" w:rsidRDefault="00A004E5" w:rsidP="00C917D6">
            <w:pPr>
              <w:spacing w:before="120" w:after="120"/>
              <w:rPr>
                <w:rFonts w:cs="Times New Roman"/>
                <w:color w:val="auto"/>
              </w:rPr>
            </w:pPr>
            <w:r w:rsidRPr="00DE12A3">
              <w:rPr>
                <w:rFonts w:cs="Times New Roman"/>
                <w:color w:val="auto"/>
              </w:rPr>
              <w:t>Molar gaz karışımı kütlesi [kg/mol]</w:t>
            </w:r>
          </w:p>
        </w:tc>
      </w:tr>
      <w:tr w:rsidR="00DE12A3" w:rsidRPr="00DE12A3" w14:paraId="6C16CEA1" w14:textId="77777777" w:rsidTr="006D7ADF">
        <w:tc>
          <w:tcPr>
            <w:tcW w:w="1843" w:type="dxa"/>
          </w:tcPr>
          <w:p w14:paraId="43EFC464" w14:textId="77777777" w:rsidR="00A004E5" w:rsidRPr="00DE12A3" w:rsidRDefault="00A004E5" w:rsidP="00C917D6">
            <w:pPr>
              <w:pStyle w:val="NormalLeft"/>
            </w:pPr>
            <w:r w:rsidRPr="00DE12A3">
              <w:rPr>
                <w:i/>
                <w:iCs/>
              </w:rPr>
              <w:t>R</w:t>
            </w:r>
          </w:p>
        </w:tc>
        <w:tc>
          <w:tcPr>
            <w:tcW w:w="567" w:type="dxa"/>
          </w:tcPr>
          <w:p w14:paraId="604E055F" w14:textId="77777777" w:rsidR="00A004E5" w:rsidRPr="00DE12A3" w:rsidRDefault="00A004E5" w:rsidP="00C917D6">
            <w:pPr>
              <w:pStyle w:val="NormalLeft"/>
            </w:pPr>
            <w:r w:rsidRPr="00DE12A3">
              <w:t>=</w:t>
            </w:r>
          </w:p>
        </w:tc>
        <w:tc>
          <w:tcPr>
            <w:tcW w:w="4519" w:type="dxa"/>
          </w:tcPr>
          <w:p w14:paraId="2C30ED92" w14:textId="77777777" w:rsidR="00A004E5" w:rsidRPr="00DE12A3" w:rsidRDefault="00A004E5" w:rsidP="00C917D6">
            <w:pPr>
              <w:spacing w:before="120" w:after="120"/>
              <w:rPr>
                <w:rFonts w:cs="Times New Roman"/>
                <w:color w:val="auto"/>
              </w:rPr>
            </w:pPr>
            <w:r w:rsidRPr="00DE12A3">
              <w:rPr>
                <w:rFonts w:cs="Times New Roman"/>
                <w:color w:val="auto"/>
              </w:rPr>
              <w:t>Molar gaz sabiti [J/(mol • K)]</w:t>
            </w:r>
          </w:p>
        </w:tc>
      </w:tr>
      <w:tr w:rsidR="00A004E5" w:rsidRPr="00DE12A3" w14:paraId="42DBEC8F" w14:textId="77777777" w:rsidTr="006D7ADF">
        <w:tc>
          <w:tcPr>
            <w:tcW w:w="1843" w:type="dxa"/>
          </w:tcPr>
          <w:p w14:paraId="4201F977" w14:textId="77777777" w:rsidR="00A004E5" w:rsidRPr="00DE12A3" w:rsidRDefault="00A004E5" w:rsidP="00C917D6">
            <w:pPr>
              <w:pStyle w:val="NormalLeft"/>
            </w:pPr>
            <w:r w:rsidRPr="00DE12A3">
              <w:rPr>
                <w:i/>
                <w:iCs/>
              </w:rPr>
              <w:t>T</w:t>
            </w:r>
            <w:r w:rsidRPr="00DE12A3">
              <w:rPr>
                <w:vertAlign w:val="subscript"/>
              </w:rPr>
              <w:t>in</w:t>
            </w:r>
          </w:p>
        </w:tc>
        <w:tc>
          <w:tcPr>
            <w:tcW w:w="567" w:type="dxa"/>
          </w:tcPr>
          <w:p w14:paraId="60CC1130" w14:textId="77777777" w:rsidR="00A004E5" w:rsidRPr="00DE12A3" w:rsidRDefault="00A004E5" w:rsidP="00C917D6">
            <w:pPr>
              <w:pStyle w:val="NormalLeft"/>
            </w:pPr>
            <w:r w:rsidRPr="00DE12A3">
              <w:t>=</w:t>
            </w:r>
          </w:p>
        </w:tc>
        <w:tc>
          <w:tcPr>
            <w:tcW w:w="4519" w:type="dxa"/>
          </w:tcPr>
          <w:p w14:paraId="0FBC38CE" w14:textId="77777777" w:rsidR="00A004E5" w:rsidRPr="00DE12A3" w:rsidRDefault="00A004E5" w:rsidP="00C917D6">
            <w:pPr>
              <w:spacing w:before="120" w:after="120"/>
              <w:rPr>
                <w:rFonts w:cs="Times New Roman"/>
                <w:color w:val="auto"/>
              </w:rPr>
            </w:pPr>
            <w:r w:rsidRPr="00DE12A3">
              <w:rPr>
                <w:rFonts w:cs="Times New Roman"/>
                <w:color w:val="auto"/>
              </w:rPr>
              <w:t>Venturi girişi mutlak sıcaklığı [K]</w:t>
            </w:r>
          </w:p>
        </w:tc>
      </w:tr>
    </w:tbl>
    <w:p w14:paraId="0A0F0CDC" w14:textId="77777777" w:rsidR="009F4766" w:rsidRPr="00DE12A3" w:rsidRDefault="009F4766" w:rsidP="00C917D6">
      <w:pPr>
        <w:spacing w:before="120" w:after="120"/>
        <w:rPr>
          <w:rFonts w:cs="Times New Roman"/>
          <w:color w:val="auto"/>
        </w:rPr>
      </w:pPr>
    </w:p>
    <w:p w14:paraId="7E6CFE67" w14:textId="77777777" w:rsidR="00A004E5" w:rsidRPr="00DE12A3" w:rsidRDefault="00A004E5" w:rsidP="00C917D6">
      <w:pPr>
        <w:spacing w:before="120" w:after="120"/>
        <w:rPr>
          <w:rFonts w:cs="Times New Roman"/>
          <w:color w:val="auto"/>
        </w:rPr>
      </w:pPr>
    </w:p>
    <w:p w14:paraId="3668B53F" w14:textId="5E904860" w:rsidR="00A004E5" w:rsidRPr="00DE12A3" w:rsidRDefault="00A004E5" w:rsidP="00E20716">
      <w:pPr>
        <w:pStyle w:val="ListeParagraf"/>
        <w:numPr>
          <w:ilvl w:val="4"/>
          <w:numId w:val="443"/>
        </w:numPr>
        <w:spacing w:before="120" w:after="120"/>
        <w:ind w:left="1701" w:hanging="567"/>
        <w:rPr>
          <w:rFonts w:cs="Times New Roman"/>
          <w:color w:val="auto"/>
        </w:rPr>
      </w:pPr>
      <w:r w:rsidRPr="00DE12A3">
        <w:rPr>
          <w:rFonts w:cs="Times New Roman"/>
          <w:color w:val="auto"/>
        </w:rPr>
        <w:t xml:space="preserve">     C</w:t>
      </w:r>
      <w:r w:rsidRPr="00DE12A3">
        <w:rPr>
          <w:rFonts w:cs="Times New Roman"/>
          <w:color w:val="auto"/>
          <w:vertAlign w:val="subscript"/>
        </w:rPr>
        <w:t>d</w:t>
      </w:r>
      <w:r w:rsidRPr="00DE12A3">
        <w:rPr>
          <w:rFonts w:cs="Times New Roman"/>
          <w:color w:val="auto"/>
        </w:rPr>
        <w:t xml:space="preserve">, </w:t>
      </w:r>
      <w:r w:rsidR="00FA0678" w:rsidRPr="00DE12A3">
        <w:rPr>
          <w:rFonts w:cs="Times New Roman"/>
          <w:color w:val="auto"/>
        </w:rPr>
        <w:t xml:space="preserve">VI’ncı </w:t>
      </w:r>
      <w:r w:rsidR="00005131" w:rsidRPr="00DE12A3">
        <w:rPr>
          <w:rFonts w:cs="Times New Roman"/>
          <w:color w:val="auto"/>
        </w:rPr>
        <w:t>E</w:t>
      </w:r>
      <w:r w:rsidR="00FA0678" w:rsidRPr="00DE12A3">
        <w:rPr>
          <w:rFonts w:cs="Times New Roman"/>
          <w:color w:val="auto"/>
        </w:rPr>
        <w:t>k</w:t>
      </w:r>
      <w:r w:rsidRPr="00DE12A3">
        <w:rPr>
          <w:rFonts w:cs="Times New Roman"/>
          <w:color w:val="auto"/>
        </w:rPr>
        <w:t xml:space="preserve">in 8.1.8.4 bendinde toplanan veriler kullanılarak, (7-140) </w:t>
      </w:r>
      <w:r w:rsidR="00962CA1" w:rsidRPr="00DE12A3">
        <w:rPr>
          <w:color w:val="auto"/>
        </w:rPr>
        <w:t>numaralı</w:t>
      </w:r>
      <w:r w:rsidR="00962CA1" w:rsidRPr="00DE12A3" w:rsidDel="00962CA1">
        <w:rPr>
          <w:rFonts w:cs="Times New Roman"/>
          <w:color w:val="auto"/>
        </w:rPr>
        <w:t xml:space="preserve"> </w:t>
      </w:r>
      <w:r w:rsidRPr="00DE12A3">
        <w:rPr>
          <w:rFonts w:cs="Times New Roman"/>
          <w:color w:val="auto"/>
        </w:rPr>
        <w:t>denklem ile hesaplanır:</w:t>
      </w:r>
    </w:p>
    <w:p w14:paraId="69FE073A" w14:textId="77777777" w:rsidR="00A004E5" w:rsidRPr="00DE12A3" w:rsidRDefault="00A004E5" w:rsidP="00984EC0">
      <w:pPr>
        <w:pStyle w:val="ListeParagraf"/>
        <w:spacing w:before="120" w:after="120"/>
        <w:ind w:left="1701"/>
        <w:rPr>
          <w:rFonts w:cs="Times New Roman"/>
          <w:color w:val="auto"/>
        </w:rPr>
      </w:pPr>
    </w:p>
    <w:tbl>
      <w:tblPr>
        <w:tblW w:w="0" w:type="auto"/>
        <w:tblInd w:w="2600" w:type="dxa"/>
        <w:tblLayout w:type="fixed"/>
        <w:tblLook w:val="0000" w:firstRow="0" w:lastRow="0" w:firstColumn="0" w:lastColumn="0" w:noHBand="0" w:noVBand="0"/>
      </w:tblPr>
      <w:tblGrid>
        <w:gridCol w:w="3064"/>
        <w:gridCol w:w="1022"/>
      </w:tblGrid>
      <w:tr w:rsidR="00DE12A3" w:rsidRPr="00DE12A3" w14:paraId="7DB7FA10" w14:textId="77777777" w:rsidTr="006D7ADF">
        <w:tc>
          <w:tcPr>
            <w:tcW w:w="3064" w:type="dxa"/>
          </w:tcPr>
          <w:p w14:paraId="51683800" w14:textId="3AE1B0C8" w:rsidR="009F4766" w:rsidRPr="00DE12A3" w:rsidRDefault="009F4766" w:rsidP="00C917D6">
            <w:pPr>
              <w:pStyle w:val="NormalLeft"/>
            </w:pPr>
            <w:r w:rsidRPr="00DE12A3">
              <w:rPr>
                <w:noProof/>
                <w:lang w:val="tr-TR"/>
              </w:rPr>
              <w:drawing>
                <wp:inline distT="0" distB="0" distL="0" distR="0" wp14:anchorId="20E31150" wp14:editId="421BF67D">
                  <wp:extent cx="1699846" cy="685800"/>
                  <wp:effectExtent l="0" t="0" r="0" b="0"/>
                  <wp:docPr id="2453" name="Resim 2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212">
                            <a:extLst>
                              <a:ext uri="{28A0092B-C50C-407E-A947-70E740481C1C}">
                                <a14:useLocalDpi xmlns:a14="http://schemas.microsoft.com/office/drawing/2010/main" val="0"/>
                              </a:ext>
                            </a:extLst>
                          </a:blip>
                          <a:srcRect/>
                          <a:stretch>
                            <a:fillRect/>
                          </a:stretch>
                        </pic:blipFill>
                        <pic:spPr bwMode="auto">
                          <a:xfrm>
                            <a:off x="0" y="0"/>
                            <a:ext cx="1707782" cy="689002"/>
                          </a:xfrm>
                          <a:prstGeom prst="rect">
                            <a:avLst/>
                          </a:prstGeom>
                          <a:noFill/>
                          <a:ln>
                            <a:noFill/>
                          </a:ln>
                        </pic:spPr>
                      </pic:pic>
                    </a:graphicData>
                  </a:graphic>
                </wp:inline>
              </w:drawing>
            </w:r>
          </w:p>
        </w:tc>
        <w:tc>
          <w:tcPr>
            <w:tcW w:w="1022" w:type="dxa"/>
          </w:tcPr>
          <w:p w14:paraId="2639427A" w14:textId="77777777" w:rsidR="009F4766" w:rsidRPr="00DE12A3" w:rsidRDefault="009F4766" w:rsidP="00C917D6">
            <w:pPr>
              <w:pStyle w:val="NormalLeft"/>
            </w:pPr>
            <w:r w:rsidRPr="00DE12A3">
              <w:t>(7-140)</w:t>
            </w:r>
          </w:p>
        </w:tc>
      </w:tr>
    </w:tbl>
    <w:p w14:paraId="16013D6A" w14:textId="77777777" w:rsidR="009F4766" w:rsidRPr="00DE12A3" w:rsidRDefault="009F4766" w:rsidP="00C917D6">
      <w:pPr>
        <w:pStyle w:val="Point0"/>
      </w:pPr>
      <w:r w:rsidRPr="00DE12A3">
        <w:tab/>
      </w:r>
      <w:r w:rsidR="008B3D9F" w:rsidRPr="00DE12A3">
        <w:t>Burada</w:t>
      </w:r>
      <w:r w:rsidRPr="00DE12A3">
        <w:t>:</w:t>
      </w:r>
    </w:p>
    <w:tbl>
      <w:tblPr>
        <w:tblW w:w="0" w:type="auto"/>
        <w:tblInd w:w="2229" w:type="dxa"/>
        <w:tblLayout w:type="fixed"/>
        <w:tblLook w:val="0000" w:firstRow="0" w:lastRow="0" w:firstColumn="0" w:lastColumn="0" w:noHBand="0" w:noVBand="0"/>
      </w:tblPr>
      <w:tblGrid>
        <w:gridCol w:w="821"/>
        <w:gridCol w:w="531"/>
        <w:gridCol w:w="3477"/>
      </w:tblGrid>
      <w:tr w:rsidR="009F4766" w:rsidRPr="00DE12A3" w14:paraId="57E588BC" w14:textId="77777777" w:rsidTr="006D7ADF">
        <w:tc>
          <w:tcPr>
            <w:tcW w:w="821" w:type="dxa"/>
          </w:tcPr>
          <w:p w14:paraId="489DB9E3" w14:textId="77777777" w:rsidR="009F4766" w:rsidRPr="00DE12A3" w:rsidRDefault="009F4766" w:rsidP="00C917D6">
            <w:pPr>
              <w:pStyle w:val="NormalLeft"/>
            </w:pPr>
            <w:r w:rsidRPr="00DE12A3">
              <w:rPr>
                <w:i/>
                <w:iCs/>
              </w:rPr>
              <w:t>ṅ</w:t>
            </w:r>
            <w:r w:rsidRPr="00DE12A3">
              <w:rPr>
                <w:vertAlign w:val="subscript"/>
              </w:rPr>
              <w:t>ref</w:t>
            </w:r>
          </w:p>
        </w:tc>
        <w:tc>
          <w:tcPr>
            <w:tcW w:w="531" w:type="dxa"/>
          </w:tcPr>
          <w:p w14:paraId="65F12403" w14:textId="77777777" w:rsidR="009F4766" w:rsidRPr="00DE12A3" w:rsidRDefault="009F4766" w:rsidP="00C917D6">
            <w:pPr>
              <w:pStyle w:val="NormalLeft"/>
            </w:pPr>
            <w:r w:rsidRPr="00DE12A3">
              <w:t>=</w:t>
            </w:r>
          </w:p>
        </w:tc>
        <w:tc>
          <w:tcPr>
            <w:tcW w:w="3477" w:type="dxa"/>
          </w:tcPr>
          <w:p w14:paraId="6EFF6C2A" w14:textId="767F86A7" w:rsidR="009F4766" w:rsidRPr="00DE12A3" w:rsidRDefault="006D7ADF" w:rsidP="00C917D6">
            <w:pPr>
              <w:pStyle w:val="NormalLeft"/>
            </w:pPr>
            <w:r w:rsidRPr="00DE12A3">
              <w:t>Referans</w:t>
            </w:r>
            <w:r w:rsidR="00A004E5" w:rsidRPr="00DE12A3">
              <w:t xml:space="preserve"> molar akış hızı [mol/s]</w:t>
            </w:r>
          </w:p>
        </w:tc>
      </w:tr>
    </w:tbl>
    <w:p w14:paraId="1BBB6958" w14:textId="77777777" w:rsidR="009F4766" w:rsidRPr="00DE12A3" w:rsidRDefault="009F4766" w:rsidP="00C917D6">
      <w:pPr>
        <w:spacing w:before="120" w:after="120"/>
        <w:rPr>
          <w:rFonts w:cs="Times New Roman"/>
          <w:color w:val="auto"/>
        </w:rPr>
      </w:pPr>
    </w:p>
    <w:p w14:paraId="7FC50EA9" w14:textId="60356C35" w:rsidR="00A004E5" w:rsidRPr="00DE12A3" w:rsidRDefault="009F4766" w:rsidP="00C917D6">
      <w:pPr>
        <w:pStyle w:val="Point0"/>
      </w:pPr>
      <w:r w:rsidRPr="00DE12A3">
        <w:tab/>
      </w:r>
      <w:r w:rsidR="00A004E5" w:rsidRPr="00DE12A3">
        <w:t xml:space="preserve">Diğer semboller (7-139) </w:t>
      </w:r>
      <w:r w:rsidR="00962CA1" w:rsidRPr="00DE12A3">
        <w:t>numaralı</w:t>
      </w:r>
      <w:r w:rsidR="00962CA1" w:rsidRPr="00DE12A3" w:rsidDel="00962CA1">
        <w:t xml:space="preserve"> </w:t>
      </w:r>
      <w:r w:rsidR="00A004E5" w:rsidRPr="00DE12A3">
        <w:t>denklem uyarınca.</w:t>
      </w:r>
    </w:p>
    <w:p w14:paraId="45D0645A" w14:textId="7C850537" w:rsidR="00A004E5" w:rsidRPr="00DE12A3" w:rsidRDefault="00A004E5" w:rsidP="00E20716">
      <w:pPr>
        <w:pStyle w:val="Point0"/>
        <w:numPr>
          <w:ilvl w:val="0"/>
          <w:numId w:val="455"/>
        </w:numPr>
        <w:ind w:left="1701" w:hanging="567"/>
      </w:pPr>
      <w:r w:rsidRPr="00DE12A3">
        <w:t xml:space="preserve">      C</w:t>
      </w:r>
      <w:r w:rsidRPr="00DE12A3">
        <w:rPr>
          <w:vertAlign w:val="subscript"/>
        </w:rPr>
        <w:t xml:space="preserve">f </w:t>
      </w:r>
      <w:r w:rsidR="00117673" w:rsidRPr="00DE12A3">
        <w:rPr>
          <w:vertAlign w:val="subscript"/>
        </w:rPr>
        <w:t xml:space="preserve"> </w:t>
      </w:r>
      <w:r w:rsidRPr="00DE12A3">
        <w:t>aşağıdaki yöntemlerden biri kullanılarak belirlenir</w:t>
      </w:r>
      <w:r w:rsidR="00117673" w:rsidRPr="00DE12A3">
        <w:t> ;</w:t>
      </w:r>
    </w:p>
    <w:p w14:paraId="66A6AD61" w14:textId="4E8B7F86" w:rsidR="00A004E5" w:rsidRPr="00DE12A3" w:rsidRDefault="00A004E5" w:rsidP="00E20716">
      <w:pPr>
        <w:pStyle w:val="Point0"/>
        <w:numPr>
          <w:ilvl w:val="0"/>
          <w:numId w:val="458"/>
        </w:numPr>
        <w:ind w:left="2268" w:hanging="567"/>
      </w:pPr>
      <w:r w:rsidRPr="00DE12A3">
        <w:t xml:space="preserve">   Sadece CFV debimetreler için C</w:t>
      </w:r>
      <w:r w:rsidRPr="00DE12A3">
        <w:rPr>
          <w:vertAlign w:val="subscript"/>
        </w:rPr>
        <w:t>fCFV</w:t>
      </w:r>
      <w:r w:rsidRPr="00DE12A3">
        <w:t xml:space="preserve">, ara değerleri bulmak için doğrusal enterpolasyon kullanılarak </w:t>
      </w:r>
      <w:r w:rsidRPr="00DE12A3">
        <w:rPr>
          <w:i/>
        </w:rPr>
        <w:t>β</w:t>
      </w:r>
      <w:r w:rsidRPr="00DE12A3">
        <w:t xml:space="preserve"> (venturi boğazının giriş çaplarına oranı) ve </w:t>
      </w:r>
      <w:r w:rsidRPr="00DE12A3">
        <w:rPr>
          <w:i/>
        </w:rPr>
        <w:t>γ</w:t>
      </w:r>
      <w:r w:rsidRPr="00DE12A3">
        <w:t xml:space="preserve"> (gaz karışımının özgül ısılarının oranı) değerlerine göre Tablo 7.5'den türetilir</w:t>
      </w:r>
      <w:r w:rsidR="00117673" w:rsidRPr="00DE12A3">
        <w:t>.</w:t>
      </w:r>
    </w:p>
    <w:p w14:paraId="23565687" w14:textId="77777777" w:rsidR="00A004E5" w:rsidRPr="00DE12A3" w:rsidRDefault="00A004E5" w:rsidP="00C917D6">
      <w:pPr>
        <w:pStyle w:val="Point0"/>
      </w:pPr>
    </w:p>
    <w:p w14:paraId="42424F49" w14:textId="4C328ABF" w:rsidR="00A004E5" w:rsidRPr="00DE12A3" w:rsidRDefault="004E09D1" w:rsidP="004E09D1">
      <w:pPr>
        <w:pStyle w:val="Point1"/>
        <w:ind w:left="0" w:firstLine="0"/>
        <w:jc w:val="center"/>
        <w:rPr>
          <w:b/>
          <w:bCs/>
          <w:iCs/>
        </w:rPr>
      </w:pPr>
      <w:r w:rsidRPr="00DE12A3">
        <w:rPr>
          <w:b/>
          <w:bCs/>
          <w:iCs/>
        </w:rPr>
        <w:t>Tablo 7.5</w:t>
      </w:r>
    </w:p>
    <w:p w14:paraId="4A01B0BB" w14:textId="4911B5CA" w:rsidR="004E09D1" w:rsidRPr="00DE12A3" w:rsidRDefault="004E09D1" w:rsidP="004E09D1">
      <w:pPr>
        <w:pStyle w:val="Point1"/>
        <w:ind w:left="0" w:firstLine="0"/>
        <w:jc w:val="center"/>
      </w:pPr>
      <w:r w:rsidRPr="00DE12A3">
        <w:rPr>
          <w:b/>
          <w:iCs/>
        </w:rPr>
        <w:t>CFV debimetreler için β ve γ'ye göre C</w:t>
      </w:r>
      <w:r w:rsidRPr="00DE12A3">
        <w:rPr>
          <w:b/>
          <w:iCs/>
          <w:vertAlign w:val="subscript"/>
        </w:rPr>
        <w:t>fCFV</w:t>
      </w:r>
    </w:p>
    <w:tbl>
      <w:tblPr>
        <w:tblW w:w="0" w:type="auto"/>
        <w:tblInd w:w="2136" w:type="dxa"/>
        <w:tblLayout w:type="fixed"/>
        <w:tblLook w:val="0000" w:firstRow="0" w:lastRow="0" w:firstColumn="0" w:lastColumn="0" w:noHBand="0" w:noVBand="0"/>
      </w:tblPr>
      <w:tblGrid>
        <w:gridCol w:w="1454"/>
        <w:gridCol w:w="1454"/>
        <w:gridCol w:w="2106"/>
      </w:tblGrid>
      <w:tr w:rsidR="00DE12A3" w:rsidRPr="00DE12A3" w14:paraId="1B2AB8E8" w14:textId="77777777" w:rsidTr="009F4766">
        <w:tc>
          <w:tcPr>
            <w:tcW w:w="5014" w:type="dxa"/>
            <w:gridSpan w:val="3"/>
            <w:tcBorders>
              <w:top w:val="single" w:sz="2" w:space="0" w:color="auto"/>
              <w:left w:val="single" w:sz="2" w:space="0" w:color="auto"/>
              <w:bottom w:val="single" w:sz="2" w:space="0" w:color="auto"/>
              <w:right w:val="single" w:sz="2" w:space="0" w:color="auto"/>
            </w:tcBorders>
          </w:tcPr>
          <w:p w14:paraId="0E101CBA" w14:textId="77777777" w:rsidR="009F4766" w:rsidRPr="00DE12A3" w:rsidRDefault="009F4766" w:rsidP="00C917D6">
            <w:pPr>
              <w:pStyle w:val="NormalCentered"/>
            </w:pPr>
            <w:r w:rsidRPr="00DE12A3">
              <w:rPr>
                <w:i/>
                <w:iCs/>
              </w:rPr>
              <w:t>C</w:t>
            </w:r>
            <w:r w:rsidRPr="00DE12A3">
              <w:rPr>
                <w:vertAlign w:val="subscript"/>
              </w:rPr>
              <w:t>fCFV</w:t>
            </w:r>
          </w:p>
        </w:tc>
      </w:tr>
      <w:tr w:rsidR="00DE12A3" w:rsidRPr="00DE12A3" w14:paraId="69131F3C" w14:textId="77777777" w:rsidTr="009F4766">
        <w:tc>
          <w:tcPr>
            <w:tcW w:w="1454" w:type="dxa"/>
            <w:tcBorders>
              <w:top w:val="single" w:sz="2" w:space="0" w:color="auto"/>
              <w:left w:val="single" w:sz="2" w:space="0" w:color="auto"/>
              <w:bottom w:val="single" w:sz="2" w:space="0" w:color="auto"/>
              <w:right w:val="single" w:sz="2" w:space="0" w:color="auto"/>
            </w:tcBorders>
          </w:tcPr>
          <w:p w14:paraId="51044BA3" w14:textId="77777777" w:rsidR="009F4766" w:rsidRPr="00DE12A3" w:rsidRDefault="009F4766" w:rsidP="00C917D6">
            <w:pPr>
              <w:pStyle w:val="NormalCentered"/>
            </w:pPr>
            <w:r w:rsidRPr="00DE12A3">
              <w:rPr>
                <w:i/>
                <w:iCs/>
              </w:rPr>
              <w:t>β</w:t>
            </w:r>
          </w:p>
        </w:tc>
        <w:tc>
          <w:tcPr>
            <w:tcW w:w="1454" w:type="dxa"/>
            <w:tcBorders>
              <w:top w:val="single" w:sz="2" w:space="0" w:color="auto"/>
              <w:left w:val="single" w:sz="2" w:space="0" w:color="auto"/>
              <w:bottom w:val="single" w:sz="2" w:space="0" w:color="auto"/>
              <w:right w:val="single" w:sz="2" w:space="0" w:color="auto"/>
            </w:tcBorders>
          </w:tcPr>
          <w:p w14:paraId="2CD67E43" w14:textId="77777777" w:rsidR="009F4766" w:rsidRPr="00DE12A3" w:rsidRDefault="009F4766" w:rsidP="00C917D6">
            <w:pPr>
              <w:pStyle w:val="NormalCentered"/>
            </w:pPr>
            <w:r w:rsidRPr="00DE12A3">
              <w:rPr>
                <w:i/>
                <w:iCs/>
              </w:rPr>
              <w:t>γ</w:t>
            </w:r>
            <w:r w:rsidRPr="00DE12A3">
              <w:rPr>
                <w:vertAlign w:val="subscript"/>
              </w:rPr>
              <w:t>exh</w:t>
            </w:r>
            <w:r w:rsidRPr="00DE12A3">
              <w:t xml:space="preserve"> = 1,385</w:t>
            </w:r>
          </w:p>
        </w:tc>
        <w:tc>
          <w:tcPr>
            <w:tcW w:w="2106" w:type="dxa"/>
            <w:tcBorders>
              <w:top w:val="single" w:sz="2" w:space="0" w:color="auto"/>
              <w:left w:val="single" w:sz="2" w:space="0" w:color="auto"/>
              <w:bottom w:val="single" w:sz="2" w:space="0" w:color="auto"/>
              <w:right w:val="single" w:sz="2" w:space="0" w:color="auto"/>
            </w:tcBorders>
          </w:tcPr>
          <w:p w14:paraId="3BB6A635" w14:textId="77777777" w:rsidR="009F4766" w:rsidRPr="00DE12A3" w:rsidRDefault="009F4766" w:rsidP="00C917D6">
            <w:pPr>
              <w:pStyle w:val="NormalCentered"/>
            </w:pPr>
            <w:r w:rsidRPr="00DE12A3">
              <w:rPr>
                <w:i/>
                <w:iCs/>
              </w:rPr>
              <w:t>γ</w:t>
            </w:r>
            <w:r w:rsidRPr="00DE12A3">
              <w:rPr>
                <w:vertAlign w:val="subscript"/>
              </w:rPr>
              <w:t>dexh</w:t>
            </w:r>
            <w:r w:rsidRPr="00DE12A3">
              <w:t xml:space="preserve"> = </w:t>
            </w:r>
            <w:r w:rsidRPr="00DE12A3">
              <w:rPr>
                <w:i/>
                <w:iCs/>
              </w:rPr>
              <w:t>γ</w:t>
            </w:r>
            <w:r w:rsidRPr="00DE12A3">
              <w:rPr>
                <w:vertAlign w:val="subscript"/>
              </w:rPr>
              <w:t>air</w:t>
            </w:r>
            <w:r w:rsidRPr="00DE12A3">
              <w:t xml:space="preserve"> = 1,399</w:t>
            </w:r>
          </w:p>
        </w:tc>
      </w:tr>
      <w:tr w:rsidR="00DE12A3" w:rsidRPr="00DE12A3" w14:paraId="26896FB3" w14:textId="77777777" w:rsidTr="009F4766">
        <w:tc>
          <w:tcPr>
            <w:tcW w:w="1454" w:type="dxa"/>
            <w:tcBorders>
              <w:top w:val="single" w:sz="2" w:space="0" w:color="auto"/>
              <w:left w:val="single" w:sz="2" w:space="0" w:color="auto"/>
              <w:bottom w:val="single" w:sz="2" w:space="0" w:color="auto"/>
              <w:right w:val="single" w:sz="2" w:space="0" w:color="auto"/>
            </w:tcBorders>
          </w:tcPr>
          <w:p w14:paraId="1DA234CA" w14:textId="77777777" w:rsidR="009F4766" w:rsidRPr="00DE12A3" w:rsidRDefault="009F4766" w:rsidP="00C917D6">
            <w:pPr>
              <w:pStyle w:val="NormalLeft"/>
            </w:pPr>
            <w:r w:rsidRPr="00DE12A3">
              <w:t>0,000</w:t>
            </w:r>
          </w:p>
        </w:tc>
        <w:tc>
          <w:tcPr>
            <w:tcW w:w="1454" w:type="dxa"/>
            <w:tcBorders>
              <w:top w:val="single" w:sz="2" w:space="0" w:color="auto"/>
              <w:left w:val="single" w:sz="2" w:space="0" w:color="auto"/>
              <w:bottom w:val="single" w:sz="2" w:space="0" w:color="auto"/>
              <w:right w:val="single" w:sz="2" w:space="0" w:color="auto"/>
            </w:tcBorders>
          </w:tcPr>
          <w:p w14:paraId="72CFE3C0" w14:textId="77777777" w:rsidR="009F4766" w:rsidRPr="00DE12A3" w:rsidRDefault="009F4766" w:rsidP="00C917D6">
            <w:pPr>
              <w:pStyle w:val="NormalLeft"/>
            </w:pPr>
            <w:r w:rsidRPr="00DE12A3">
              <w:t>0,6822</w:t>
            </w:r>
          </w:p>
        </w:tc>
        <w:tc>
          <w:tcPr>
            <w:tcW w:w="2106" w:type="dxa"/>
            <w:tcBorders>
              <w:top w:val="single" w:sz="2" w:space="0" w:color="auto"/>
              <w:left w:val="single" w:sz="2" w:space="0" w:color="auto"/>
              <w:bottom w:val="single" w:sz="2" w:space="0" w:color="auto"/>
              <w:right w:val="single" w:sz="2" w:space="0" w:color="auto"/>
            </w:tcBorders>
          </w:tcPr>
          <w:p w14:paraId="2C6129B3" w14:textId="77777777" w:rsidR="009F4766" w:rsidRPr="00DE12A3" w:rsidRDefault="009F4766" w:rsidP="00C917D6">
            <w:pPr>
              <w:pStyle w:val="NormalLeft"/>
            </w:pPr>
            <w:r w:rsidRPr="00DE12A3">
              <w:t>0,6846</w:t>
            </w:r>
          </w:p>
        </w:tc>
      </w:tr>
      <w:tr w:rsidR="00DE12A3" w:rsidRPr="00DE12A3" w14:paraId="1C952225" w14:textId="77777777" w:rsidTr="009F4766">
        <w:tc>
          <w:tcPr>
            <w:tcW w:w="1454" w:type="dxa"/>
            <w:tcBorders>
              <w:top w:val="single" w:sz="2" w:space="0" w:color="auto"/>
              <w:left w:val="single" w:sz="2" w:space="0" w:color="auto"/>
              <w:bottom w:val="single" w:sz="2" w:space="0" w:color="auto"/>
              <w:right w:val="single" w:sz="2" w:space="0" w:color="auto"/>
            </w:tcBorders>
          </w:tcPr>
          <w:p w14:paraId="018EFE4C" w14:textId="77777777" w:rsidR="009F4766" w:rsidRPr="00DE12A3" w:rsidRDefault="009F4766" w:rsidP="00C917D6">
            <w:pPr>
              <w:pStyle w:val="NormalLeft"/>
            </w:pPr>
            <w:r w:rsidRPr="00DE12A3">
              <w:t>0,400</w:t>
            </w:r>
          </w:p>
        </w:tc>
        <w:tc>
          <w:tcPr>
            <w:tcW w:w="1454" w:type="dxa"/>
            <w:tcBorders>
              <w:top w:val="single" w:sz="2" w:space="0" w:color="auto"/>
              <w:left w:val="single" w:sz="2" w:space="0" w:color="auto"/>
              <w:bottom w:val="single" w:sz="2" w:space="0" w:color="auto"/>
              <w:right w:val="single" w:sz="2" w:space="0" w:color="auto"/>
            </w:tcBorders>
          </w:tcPr>
          <w:p w14:paraId="65BE5C09" w14:textId="77777777" w:rsidR="009F4766" w:rsidRPr="00DE12A3" w:rsidRDefault="009F4766" w:rsidP="00C917D6">
            <w:pPr>
              <w:pStyle w:val="NormalLeft"/>
            </w:pPr>
            <w:r w:rsidRPr="00DE12A3">
              <w:t>0,6857</w:t>
            </w:r>
          </w:p>
        </w:tc>
        <w:tc>
          <w:tcPr>
            <w:tcW w:w="2106" w:type="dxa"/>
            <w:tcBorders>
              <w:top w:val="single" w:sz="2" w:space="0" w:color="auto"/>
              <w:left w:val="single" w:sz="2" w:space="0" w:color="auto"/>
              <w:bottom w:val="single" w:sz="2" w:space="0" w:color="auto"/>
              <w:right w:val="single" w:sz="2" w:space="0" w:color="auto"/>
            </w:tcBorders>
          </w:tcPr>
          <w:p w14:paraId="52DDA87A" w14:textId="77777777" w:rsidR="009F4766" w:rsidRPr="00DE12A3" w:rsidRDefault="009F4766" w:rsidP="00C917D6">
            <w:pPr>
              <w:pStyle w:val="NormalLeft"/>
            </w:pPr>
            <w:r w:rsidRPr="00DE12A3">
              <w:t>0,6881</w:t>
            </w:r>
          </w:p>
        </w:tc>
      </w:tr>
      <w:tr w:rsidR="00DE12A3" w:rsidRPr="00DE12A3" w14:paraId="667834B0" w14:textId="77777777" w:rsidTr="009F4766">
        <w:tc>
          <w:tcPr>
            <w:tcW w:w="1454" w:type="dxa"/>
            <w:tcBorders>
              <w:top w:val="single" w:sz="2" w:space="0" w:color="auto"/>
              <w:left w:val="single" w:sz="2" w:space="0" w:color="auto"/>
              <w:bottom w:val="single" w:sz="2" w:space="0" w:color="auto"/>
              <w:right w:val="single" w:sz="2" w:space="0" w:color="auto"/>
            </w:tcBorders>
          </w:tcPr>
          <w:p w14:paraId="204BA668" w14:textId="77777777" w:rsidR="009F4766" w:rsidRPr="00DE12A3" w:rsidRDefault="009F4766" w:rsidP="00C917D6">
            <w:pPr>
              <w:pStyle w:val="NormalLeft"/>
            </w:pPr>
            <w:r w:rsidRPr="00DE12A3">
              <w:t>0,500</w:t>
            </w:r>
          </w:p>
        </w:tc>
        <w:tc>
          <w:tcPr>
            <w:tcW w:w="1454" w:type="dxa"/>
            <w:tcBorders>
              <w:top w:val="single" w:sz="2" w:space="0" w:color="auto"/>
              <w:left w:val="single" w:sz="2" w:space="0" w:color="auto"/>
              <w:bottom w:val="single" w:sz="2" w:space="0" w:color="auto"/>
              <w:right w:val="single" w:sz="2" w:space="0" w:color="auto"/>
            </w:tcBorders>
          </w:tcPr>
          <w:p w14:paraId="113BA9C4" w14:textId="77777777" w:rsidR="009F4766" w:rsidRPr="00DE12A3" w:rsidRDefault="009F4766" w:rsidP="00C917D6">
            <w:pPr>
              <w:pStyle w:val="NormalLeft"/>
            </w:pPr>
            <w:r w:rsidRPr="00DE12A3">
              <w:t>0,6910</w:t>
            </w:r>
          </w:p>
        </w:tc>
        <w:tc>
          <w:tcPr>
            <w:tcW w:w="2106" w:type="dxa"/>
            <w:tcBorders>
              <w:top w:val="single" w:sz="2" w:space="0" w:color="auto"/>
              <w:left w:val="single" w:sz="2" w:space="0" w:color="auto"/>
              <w:bottom w:val="single" w:sz="2" w:space="0" w:color="auto"/>
              <w:right w:val="single" w:sz="2" w:space="0" w:color="auto"/>
            </w:tcBorders>
          </w:tcPr>
          <w:p w14:paraId="38EC90B5" w14:textId="77777777" w:rsidR="009F4766" w:rsidRPr="00DE12A3" w:rsidRDefault="009F4766" w:rsidP="00C917D6">
            <w:pPr>
              <w:pStyle w:val="NormalLeft"/>
            </w:pPr>
            <w:r w:rsidRPr="00DE12A3">
              <w:t>0,6934</w:t>
            </w:r>
          </w:p>
        </w:tc>
      </w:tr>
      <w:tr w:rsidR="00DE12A3" w:rsidRPr="00DE12A3" w14:paraId="33D9D3D8" w14:textId="77777777" w:rsidTr="009F4766">
        <w:tc>
          <w:tcPr>
            <w:tcW w:w="1454" w:type="dxa"/>
            <w:tcBorders>
              <w:top w:val="single" w:sz="2" w:space="0" w:color="auto"/>
              <w:left w:val="single" w:sz="2" w:space="0" w:color="auto"/>
              <w:bottom w:val="single" w:sz="2" w:space="0" w:color="auto"/>
              <w:right w:val="single" w:sz="2" w:space="0" w:color="auto"/>
            </w:tcBorders>
          </w:tcPr>
          <w:p w14:paraId="2C8A21F9" w14:textId="77777777" w:rsidR="009F4766" w:rsidRPr="00DE12A3" w:rsidRDefault="009F4766" w:rsidP="00C917D6">
            <w:pPr>
              <w:pStyle w:val="NormalLeft"/>
            </w:pPr>
            <w:r w:rsidRPr="00DE12A3">
              <w:t>0,550</w:t>
            </w:r>
          </w:p>
        </w:tc>
        <w:tc>
          <w:tcPr>
            <w:tcW w:w="1454" w:type="dxa"/>
            <w:tcBorders>
              <w:top w:val="single" w:sz="2" w:space="0" w:color="auto"/>
              <w:left w:val="single" w:sz="2" w:space="0" w:color="auto"/>
              <w:bottom w:val="single" w:sz="2" w:space="0" w:color="auto"/>
              <w:right w:val="single" w:sz="2" w:space="0" w:color="auto"/>
            </w:tcBorders>
          </w:tcPr>
          <w:p w14:paraId="4A4625B9" w14:textId="77777777" w:rsidR="009F4766" w:rsidRPr="00DE12A3" w:rsidRDefault="009F4766" w:rsidP="00C917D6">
            <w:pPr>
              <w:pStyle w:val="NormalLeft"/>
            </w:pPr>
            <w:r w:rsidRPr="00DE12A3">
              <w:t>0,6953</w:t>
            </w:r>
          </w:p>
        </w:tc>
        <w:tc>
          <w:tcPr>
            <w:tcW w:w="2106" w:type="dxa"/>
            <w:tcBorders>
              <w:top w:val="single" w:sz="2" w:space="0" w:color="auto"/>
              <w:left w:val="single" w:sz="2" w:space="0" w:color="auto"/>
              <w:bottom w:val="single" w:sz="2" w:space="0" w:color="auto"/>
              <w:right w:val="single" w:sz="2" w:space="0" w:color="auto"/>
            </w:tcBorders>
          </w:tcPr>
          <w:p w14:paraId="00220300" w14:textId="77777777" w:rsidR="009F4766" w:rsidRPr="00DE12A3" w:rsidRDefault="009F4766" w:rsidP="00C917D6">
            <w:pPr>
              <w:pStyle w:val="NormalLeft"/>
            </w:pPr>
            <w:r w:rsidRPr="00DE12A3">
              <w:t>0,6977</w:t>
            </w:r>
          </w:p>
        </w:tc>
      </w:tr>
      <w:tr w:rsidR="00DE12A3" w:rsidRPr="00DE12A3" w14:paraId="0332466F" w14:textId="77777777" w:rsidTr="009F4766">
        <w:tc>
          <w:tcPr>
            <w:tcW w:w="1454" w:type="dxa"/>
            <w:tcBorders>
              <w:top w:val="single" w:sz="2" w:space="0" w:color="auto"/>
              <w:left w:val="single" w:sz="2" w:space="0" w:color="auto"/>
              <w:bottom w:val="single" w:sz="2" w:space="0" w:color="auto"/>
              <w:right w:val="single" w:sz="2" w:space="0" w:color="auto"/>
            </w:tcBorders>
          </w:tcPr>
          <w:p w14:paraId="46A0CBD4" w14:textId="77777777" w:rsidR="009F4766" w:rsidRPr="00DE12A3" w:rsidRDefault="009F4766" w:rsidP="00C917D6">
            <w:pPr>
              <w:pStyle w:val="NormalLeft"/>
            </w:pPr>
            <w:r w:rsidRPr="00DE12A3">
              <w:lastRenderedPageBreak/>
              <w:t>0,600</w:t>
            </w:r>
          </w:p>
        </w:tc>
        <w:tc>
          <w:tcPr>
            <w:tcW w:w="1454" w:type="dxa"/>
            <w:tcBorders>
              <w:top w:val="single" w:sz="2" w:space="0" w:color="auto"/>
              <w:left w:val="single" w:sz="2" w:space="0" w:color="auto"/>
              <w:bottom w:val="single" w:sz="2" w:space="0" w:color="auto"/>
              <w:right w:val="single" w:sz="2" w:space="0" w:color="auto"/>
            </w:tcBorders>
          </w:tcPr>
          <w:p w14:paraId="21B85B62" w14:textId="77777777" w:rsidR="009F4766" w:rsidRPr="00DE12A3" w:rsidRDefault="009F4766" w:rsidP="00C917D6">
            <w:pPr>
              <w:pStyle w:val="NormalLeft"/>
            </w:pPr>
            <w:r w:rsidRPr="00DE12A3">
              <w:t>0,7011</w:t>
            </w:r>
          </w:p>
        </w:tc>
        <w:tc>
          <w:tcPr>
            <w:tcW w:w="2106" w:type="dxa"/>
            <w:tcBorders>
              <w:top w:val="single" w:sz="2" w:space="0" w:color="auto"/>
              <w:left w:val="single" w:sz="2" w:space="0" w:color="auto"/>
              <w:bottom w:val="single" w:sz="2" w:space="0" w:color="auto"/>
              <w:right w:val="single" w:sz="2" w:space="0" w:color="auto"/>
            </w:tcBorders>
          </w:tcPr>
          <w:p w14:paraId="38969080" w14:textId="77777777" w:rsidR="009F4766" w:rsidRPr="00DE12A3" w:rsidRDefault="009F4766" w:rsidP="00C917D6">
            <w:pPr>
              <w:pStyle w:val="NormalLeft"/>
            </w:pPr>
            <w:r w:rsidRPr="00DE12A3">
              <w:t>0,7036</w:t>
            </w:r>
          </w:p>
        </w:tc>
      </w:tr>
      <w:tr w:rsidR="00DE12A3" w:rsidRPr="00DE12A3" w14:paraId="2FA2D5D5" w14:textId="77777777" w:rsidTr="009F4766">
        <w:tc>
          <w:tcPr>
            <w:tcW w:w="1454" w:type="dxa"/>
            <w:tcBorders>
              <w:top w:val="single" w:sz="2" w:space="0" w:color="auto"/>
              <w:left w:val="single" w:sz="2" w:space="0" w:color="auto"/>
              <w:bottom w:val="single" w:sz="2" w:space="0" w:color="auto"/>
              <w:right w:val="single" w:sz="2" w:space="0" w:color="auto"/>
            </w:tcBorders>
          </w:tcPr>
          <w:p w14:paraId="3AC4D230" w14:textId="77777777" w:rsidR="009F4766" w:rsidRPr="00DE12A3" w:rsidRDefault="009F4766" w:rsidP="00C917D6">
            <w:pPr>
              <w:pStyle w:val="NormalLeft"/>
            </w:pPr>
            <w:r w:rsidRPr="00DE12A3">
              <w:t>0,625</w:t>
            </w:r>
          </w:p>
        </w:tc>
        <w:tc>
          <w:tcPr>
            <w:tcW w:w="1454" w:type="dxa"/>
            <w:tcBorders>
              <w:top w:val="single" w:sz="2" w:space="0" w:color="auto"/>
              <w:left w:val="single" w:sz="2" w:space="0" w:color="auto"/>
              <w:bottom w:val="single" w:sz="2" w:space="0" w:color="auto"/>
              <w:right w:val="single" w:sz="2" w:space="0" w:color="auto"/>
            </w:tcBorders>
          </w:tcPr>
          <w:p w14:paraId="2BC04851" w14:textId="77777777" w:rsidR="009F4766" w:rsidRPr="00DE12A3" w:rsidRDefault="009F4766" w:rsidP="00C917D6">
            <w:pPr>
              <w:pStyle w:val="NormalLeft"/>
            </w:pPr>
            <w:r w:rsidRPr="00DE12A3">
              <w:t>0,7047</w:t>
            </w:r>
          </w:p>
        </w:tc>
        <w:tc>
          <w:tcPr>
            <w:tcW w:w="2106" w:type="dxa"/>
            <w:tcBorders>
              <w:top w:val="single" w:sz="2" w:space="0" w:color="auto"/>
              <w:left w:val="single" w:sz="2" w:space="0" w:color="auto"/>
              <w:bottom w:val="single" w:sz="2" w:space="0" w:color="auto"/>
              <w:right w:val="single" w:sz="2" w:space="0" w:color="auto"/>
            </w:tcBorders>
          </w:tcPr>
          <w:p w14:paraId="0AA323D8" w14:textId="77777777" w:rsidR="009F4766" w:rsidRPr="00DE12A3" w:rsidRDefault="009F4766" w:rsidP="00C917D6">
            <w:pPr>
              <w:pStyle w:val="NormalLeft"/>
            </w:pPr>
            <w:r w:rsidRPr="00DE12A3">
              <w:t>0,7072</w:t>
            </w:r>
          </w:p>
        </w:tc>
      </w:tr>
      <w:tr w:rsidR="00DE12A3" w:rsidRPr="00DE12A3" w14:paraId="3E646DBC" w14:textId="77777777" w:rsidTr="009F4766">
        <w:tc>
          <w:tcPr>
            <w:tcW w:w="1454" w:type="dxa"/>
            <w:tcBorders>
              <w:top w:val="single" w:sz="2" w:space="0" w:color="auto"/>
              <w:left w:val="single" w:sz="2" w:space="0" w:color="auto"/>
              <w:bottom w:val="single" w:sz="2" w:space="0" w:color="auto"/>
              <w:right w:val="single" w:sz="2" w:space="0" w:color="auto"/>
            </w:tcBorders>
          </w:tcPr>
          <w:p w14:paraId="14F22758" w14:textId="77777777" w:rsidR="009F4766" w:rsidRPr="00DE12A3" w:rsidRDefault="009F4766" w:rsidP="00C917D6">
            <w:pPr>
              <w:pStyle w:val="NormalLeft"/>
            </w:pPr>
            <w:r w:rsidRPr="00DE12A3">
              <w:t>0,650</w:t>
            </w:r>
          </w:p>
        </w:tc>
        <w:tc>
          <w:tcPr>
            <w:tcW w:w="1454" w:type="dxa"/>
            <w:tcBorders>
              <w:top w:val="single" w:sz="2" w:space="0" w:color="auto"/>
              <w:left w:val="single" w:sz="2" w:space="0" w:color="auto"/>
              <w:bottom w:val="single" w:sz="2" w:space="0" w:color="auto"/>
              <w:right w:val="single" w:sz="2" w:space="0" w:color="auto"/>
            </w:tcBorders>
          </w:tcPr>
          <w:p w14:paraId="28DC2214" w14:textId="77777777" w:rsidR="009F4766" w:rsidRPr="00DE12A3" w:rsidRDefault="009F4766" w:rsidP="00C917D6">
            <w:pPr>
              <w:pStyle w:val="NormalLeft"/>
            </w:pPr>
            <w:r w:rsidRPr="00DE12A3">
              <w:t>0,7089</w:t>
            </w:r>
          </w:p>
        </w:tc>
        <w:tc>
          <w:tcPr>
            <w:tcW w:w="2106" w:type="dxa"/>
            <w:tcBorders>
              <w:top w:val="single" w:sz="2" w:space="0" w:color="auto"/>
              <w:left w:val="single" w:sz="2" w:space="0" w:color="auto"/>
              <w:bottom w:val="single" w:sz="2" w:space="0" w:color="auto"/>
              <w:right w:val="single" w:sz="2" w:space="0" w:color="auto"/>
            </w:tcBorders>
          </w:tcPr>
          <w:p w14:paraId="20141B34" w14:textId="77777777" w:rsidR="009F4766" w:rsidRPr="00DE12A3" w:rsidRDefault="009F4766" w:rsidP="00C917D6">
            <w:pPr>
              <w:pStyle w:val="NormalLeft"/>
            </w:pPr>
            <w:r w:rsidRPr="00DE12A3">
              <w:t>0,7114</w:t>
            </w:r>
          </w:p>
        </w:tc>
      </w:tr>
      <w:tr w:rsidR="00DE12A3" w:rsidRPr="00DE12A3" w14:paraId="4583B9D9" w14:textId="77777777" w:rsidTr="009F4766">
        <w:tc>
          <w:tcPr>
            <w:tcW w:w="1454" w:type="dxa"/>
            <w:tcBorders>
              <w:top w:val="single" w:sz="2" w:space="0" w:color="auto"/>
              <w:left w:val="single" w:sz="2" w:space="0" w:color="auto"/>
              <w:bottom w:val="single" w:sz="2" w:space="0" w:color="auto"/>
              <w:right w:val="single" w:sz="2" w:space="0" w:color="auto"/>
            </w:tcBorders>
          </w:tcPr>
          <w:p w14:paraId="2DD2A8F4" w14:textId="77777777" w:rsidR="009F4766" w:rsidRPr="00DE12A3" w:rsidRDefault="009F4766" w:rsidP="00C917D6">
            <w:pPr>
              <w:pStyle w:val="NormalLeft"/>
            </w:pPr>
            <w:r w:rsidRPr="00DE12A3">
              <w:t>0,675</w:t>
            </w:r>
          </w:p>
        </w:tc>
        <w:tc>
          <w:tcPr>
            <w:tcW w:w="1454" w:type="dxa"/>
            <w:tcBorders>
              <w:top w:val="single" w:sz="2" w:space="0" w:color="auto"/>
              <w:left w:val="single" w:sz="2" w:space="0" w:color="auto"/>
              <w:bottom w:val="single" w:sz="2" w:space="0" w:color="auto"/>
              <w:right w:val="single" w:sz="2" w:space="0" w:color="auto"/>
            </w:tcBorders>
          </w:tcPr>
          <w:p w14:paraId="05A86273" w14:textId="77777777" w:rsidR="009F4766" w:rsidRPr="00DE12A3" w:rsidRDefault="009F4766" w:rsidP="00C917D6">
            <w:pPr>
              <w:pStyle w:val="NormalLeft"/>
            </w:pPr>
            <w:r w:rsidRPr="00DE12A3">
              <w:t>0,7137</w:t>
            </w:r>
          </w:p>
        </w:tc>
        <w:tc>
          <w:tcPr>
            <w:tcW w:w="2106" w:type="dxa"/>
            <w:tcBorders>
              <w:top w:val="single" w:sz="2" w:space="0" w:color="auto"/>
              <w:left w:val="single" w:sz="2" w:space="0" w:color="auto"/>
              <w:bottom w:val="single" w:sz="2" w:space="0" w:color="auto"/>
              <w:right w:val="single" w:sz="2" w:space="0" w:color="auto"/>
            </w:tcBorders>
          </w:tcPr>
          <w:p w14:paraId="27D58608" w14:textId="77777777" w:rsidR="009F4766" w:rsidRPr="00DE12A3" w:rsidRDefault="009F4766" w:rsidP="00C917D6">
            <w:pPr>
              <w:pStyle w:val="NormalLeft"/>
            </w:pPr>
            <w:r w:rsidRPr="00DE12A3">
              <w:t>0,7163</w:t>
            </w:r>
          </w:p>
        </w:tc>
      </w:tr>
      <w:tr w:rsidR="00DE12A3" w:rsidRPr="00DE12A3" w14:paraId="30D88534" w14:textId="77777777" w:rsidTr="009F4766">
        <w:tc>
          <w:tcPr>
            <w:tcW w:w="1454" w:type="dxa"/>
            <w:tcBorders>
              <w:top w:val="single" w:sz="2" w:space="0" w:color="auto"/>
              <w:left w:val="single" w:sz="2" w:space="0" w:color="auto"/>
              <w:bottom w:val="single" w:sz="2" w:space="0" w:color="auto"/>
              <w:right w:val="single" w:sz="2" w:space="0" w:color="auto"/>
            </w:tcBorders>
          </w:tcPr>
          <w:p w14:paraId="697D849C" w14:textId="77777777" w:rsidR="009F4766" w:rsidRPr="00DE12A3" w:rsidRDefault="009F4766" w:rsidP="00C917D6">
            <w:pPr>
              <w:pStyle w:val="NormalLeft"/>
            </w:pPr>
            <w:r w:rsidRPr="00DE12A3">
              <w:t>0,700</w:t>
            </w:r>
          </w:p>
        </w:tc>
        <w:tc>
          <w:tcPr>
            <w:tcW w:w="1454" w:type="dxa"/>
            <w:tcBorders>
              <w:top w:val="single" w:sz="2" w:space="0" w:color="auto"/>
              <w:left w:val="single" w:sz="2" w:space="0" w:color="auto"/>
              <w:bottom w:val="single" w:sz="2" w:space="0" w:color="auto"/>
              <w:right w:val="single" w:sz="2" w:space="0" w:color="auto"/>
            </w:tcBorders>
          </w:tcPr>
          <w:p w14:paraId="0F553927" w14:textId="77777777" w:rsidR="009F4766" w:rsidRPr="00DE12A3" w:rsidRDefault="009F4766" w:rsidP="00C917D6">
            <w:pPr>
              <w:pStyle w:val="NormalLeft"/>
            </w:pPr>
            <w:r w:rsidRPr="00DE12A3">
              <w:t>0,7193</w:t>
            </w:r>
          </w:p>
        </w:tc>
        <w:tc>
          <w:tcPr>
            <w:tcW w:w="2106" w:type="dxa"/>
            <w:tcBorders>
              <w:top w:val="single" w:sz="2" w:space="0" w:color="auto"/>
              <w:left w:val="single" w:sz="2" w:space="0" w:color="auto"/>
              <w:bottom w:val="single" w:sz="2" w:space="0" w:color="auto"/>
              <w:right w:val="single" w:sz="2" w:space="0" w:color="auto"/>
            </w:tcBorders>
          </w:tcPr>
          <w:p w14:paraId="537E56E6" w14:textId="77777777" w:rsidR="009F4766" w:rsidRPr="00DE12A3" w:rsidRDefault="009F4766" w:rsidP="00C917D6">
            <w:pPr>
              <w:pStyle w:val="NormalLeft"/>
            </w:pPr>
            <w:r w:rsidRPr="00DE12A3">
              <w:t>0,7219</w:t>
            </w:r>
          </w:p>
        </w:tc>
      </w:tr>
      <w:tr w:rsidR="00DE12A3" w:rsidRPr="00DE12A3" w14:paraId="348378EB" w14:textId="77777777" w:rsidTr="009F4766">
        <w:tc>
          <w:tcPr>
            <w:tcW w:w="1454" w:type="dxa"/>
            <w:tcBorders>
              <w:top w:val="single" w:sz="2" w:space="0" w:color="auto"/>
              <w:left w:val="single" w:sz="2" w:space="0" w:color="auto"/>
              <w:bottom w:val="single" w:sz="2" w:space="0" w:color="auto"/>
              <w:right w:val="single" w:sz="2" w:space="0" w:color="auto"/>
            </w:tcBorders>
          </w:tcPr>
          <w:p w14:paraId="7D7AF8F3" w14:textId="77777777" w:rsidR="009F4766" w:rsidRPr="00DE12A3" w:rsidRDefault="009F4766" w:rsidP="00C917D6">
            <w:pPr>
              <w:pStyle w:val="NormalLeft"/>
            </w:pPr>
            <w:r w:rsidRPr="00DE12A3">
              <w:t>0,720</w:t>
            </w:r>
          </w:p>
        </w:tc>
        <w:tc>
          <w:tcPr>
            <w:tcW w:w="1454" w:type="dxa"/>
            <w:tcBorders>
              <w:top w:val="single" w:sz="2" w:space="0" w:color="auto"/>
              <w:left w:val="single" w:sz="2" w:space="0" w:color="auto"/>
              <w:bottom w:val="single" w:sz="2" w:space="0" w:color="auto"/>
              <w:right w:val="single" w:sz="2" w:space="0" w:color="auto"/>
            </w:tcBorders>
          </w:tcPr>
          <w:p w14:paraId="71AD730B" w14:textId="77777777" w:rsidR="009F4766" w:rsidRPr="00DE12A3" w:rsidRDefault="009F4766" w:rsidP="00C917D6">
            <w:pPr>
              <w:pStyle w:val="NormalLeft"/>
            </w:pPr>
            <w:r w:rsidRPr="00DE12A3">
              <w:t>0,7245</w:t>
            </w:r>
          </w:p>
        </w:tc>
        <w:tc>
          <w:tcPr>
            <w:tcW w:w="2106" w:type="dxa"/>
            <w:tcBorders>
              <w:top w:val="single" w:sz="2" w:space="0" w:color="auto"/>
              <w:left w:val="single" w:sz="2" w:space="0" w:color="auto"/>
              <w:bottom w:val="single" w:sz="2" w:space="0" w:color="auto"/>
              <w:right w:val="single" w:sz="2" w:space="0" w:color="auto"/>
            </w:tcBorders>
          </w:tcPr>
          <w:p w14:paraId="26235513" w14:textId="77777777" w:rsidR="009F4766" w:rsidRPr="00DE12A3" w:rsidRDefault="009F4766" w:rsidP="00C917D6">
            <w:pPr>
              <w:pStyle w:val="NormalLeft"/>
            </w:pPr>
            <w:r w:rsidRPr="00DE12A3">
              <w:t>0,7271</w:t>
            </w:r>
          </w:p>
        </w:tc>
      </w:tr>
      <w:tr w:rsidR="00DE12A3" w:rsidRPr="00DE12A3" w14:paraId="520430DD" w14:textId="77777777" w:rsidTr="009F4766">
        <w:tc>
          <w:tcPr>
            <w:tcW w:w="1454" w:type="dxa"/>
            <w:tcBorders>
              <w:top w:val="single" w:sz="2" w:space="0" w:color="auto"/>
              <w:left w:val="single" w:sz="2" w:space="0" w:color="auto"/>
              <w:bottom w:val="single" w:sz="2" w:space="0" w:color="auto"/>
              <w:right w:val="single" w:sz="2" w:space="0" w:color="auto"/>
            </w:tcBorders>
          </w:tcPr>
          <w:p w14:paraId="32C29FFF" w14:textId="77777777" w:rsidR="009F4766" w:rsidRPr="00DE12A3" w:rsidRDefault="009F4766" w:rsidP="00C917D6">
            <w:pPr>
              <w:pStyle w:val="NormalLeft"/>
            </w:pPr>
            <w:r w:rsidRPr="00DE12A3">
              <w:t>0,740</w:t>
            </w:r>
          </w:p>
        </w:tc>
        <w:tc>
          <w:tcPr>
            <w:tcW w:w="1454" w:type="dxa"/>
            <w:tcBorders>
              <w:top w:val="single" w:sz="2" w:space="0" w:color="auto"/>
              <w:left w:val="single" w:sz="2" w:space="0" w:color="auto"/>
              <w:bottom w:val="single" w:sz="2" w:space="0" w:color="auto"/>
              <w:right w:val="single" w:sz="2" w:space="0" w:color="auto"/>
            </w:tcBorders>
          </w:tcPr>
          <w:p w14:paraId="6F80BE32" w14:textId="77777777" w:rsidR="009F4766" w:rsidRPr="00DE12A3" w:rsidRDefault="009F4766" w:rsidP="00C917D6">
            <w:pPr>
              <w:pStyle w:val="NormalLeft"/>
            </w:pPr>
            <w:r w:rsidRPr="00DE12A3">
              <w:t>0,7303</w:t>
            </w:r>
          </w:p>
        </w:tc>
        <w:tc>
          <w:tcPr>
            <w:tcW w:w="2106" w:type="dxa"/>
            <w:tcBorders>
              <w:top w:val="single" w:sz="2" w:space="0" w:color="auto"/>
              <w:left w:val="single" w:sz="2" w:space="0" w:color="auto"/>
              <w:bottom w:val="single" w:sz="2" w:space="0" w:color="auto"/>
              <w:right w:val="single" w:sz="2" w:space="0" w:color="auto"/>
            </w:tcBorders>
          </w:tcPr>
          <w:p w14:paraId="390D65B9" w14:textId="77777777" w:rsidR="009F4766" w:rsidRPr="00DE12A3" w:rsidRDefault="009F4766" w:rsidP="00C917D6">
            <w:pPr>
              <w:pStyle w:val="NormalLeft"/>
            </w:pPr>
            <w:r w:rsidRPr="00DE12A3">
              <w:t>0,7329</w:t>
            </w:r>
          </w:p>
        </w:tc>
      </w:tr>
      <w:tr w:rsidR="00DE12A3" w:rsidRPr="00DE12A3" w14:paraId="53D95208" w14:textId="77777777" w:rsidTr="009F4766">
        <w:tc>
          <w:tcPr>
            <w:tcW w:w="1454" w:type="dxa"/>
            <w:tcBorders>
              <w:top w:val="single" w:sz="2" w:space="0" w:color="auto"/>
              <w:left w:val="single" w:sz="2" w:space="0" w:color="auto"/>
              <w:bottom w:val="single" w:sz="2" w:space="0" w:color="auto"/>
              <w:right w:val="single" w:sz="2" w:space="0" w:color="auto"/>
            </w:tcBorders>
          </w:tcPr>
          <w:p w14:paraId="05D37324" w14:textId="77777777" w:rsidR="009F4766" w:rsidRPr="00DE12A3" w:rsidRDefault="009F4766" w:rsidP="00C917D6">
            <w:pPr>
              <w:pStyle w:val="NormalLeft"/>
            </w:pPr>
            <w:r w:rsidRPr="00DE12A3">
              <w:t>0,760</w:t>
            </w:r>
          </w:p>
        </w:tc>
        <w:tc>
          <w:tcPr>
            <w:tcW w:w="1454" w:type="dxa"/>
            <w:tcBorders>
              <w:top w:val="single" w:sz="2" w:space="0" w:color="auto"/>
              <w:left w:val="single" w:sz="2" w:space="0" w:color="auto"/>
              <w:bottom w:val="single" w:sz="2" w:space="0" w:color="auto"/>
              <w:right w:val="single" w:sz="2" w:space="0" w:color="auto"/>
            </w:tcBorders>
          </w:tcPr>
          <w:p w14:paraId="1BF4F24A" w14:textId="77777777" w:rsidR="009F4766" w:rsidRPr="00DE12A3" w:rsidRDefault="009F4766" w:rsidP="00C917D6">
            <w:pPr>
              <w:pStyle w:val="NormalLeft"/>
            </w:pPr>
            <w:r w:rsidRPr="00DE12A3">
              <w:t>0,7368</w:t>
            </w:r>
          </w:p>
        </w:tc>
        <w:tc>
          <w:tcPr>
            <w:tcW w:w="2106" w:type="dxa"/>
            <w:tcBorders>
              <w:top w:val="single" w:sz="2" w:space="0" w:color="auto"/>
              <w:left w:val="single" w:sz="2" w:space="0" w:color="auto"/>
              <w:bottom w:val="single" w:sz="2" w:space="0" w:color="auto"/>
              <w:right w:val="single" w:sz="2" w:space="0" w:color="auto"/>
            </w:tcBorders>
          </w:tcPr>
          <w:p w14:paraId="1EFFBBEE" w14:textId="77777777" w:rsidR="009F4766" w:rsidRPr="00DE12A3" w:rsidRDefault="009F4766" w:rsidP="00C917D6">
            <w:pPr>
              <w:pStyle w:val="NormalLeft"/>
            </w:pPr>
            <w:r w:rsidRPr="00DE12A3">
              <w:t>0,7395</w:t>
            </w:r>
          </w:p>
        </w:tc>
      </w:tr>
      <w:tr w:rsidR="00DE12A3" w:rsidRPr="00DE12A3" w14:paraId="5B69E3BA" w14:textId="77777777" w:rsidTr="009F4766">
        <w:tc>
          <w:tcPr>
            <w:tcW w:w="1454" w:type="dxa"/>
            <w:tcBorders>
              <w:top w:val="single" w:sz="2" w:space="0" w:color="auto"/>
              <w:left w:val="single" w:sz="2" w:space="0" w:color="auto"/>
              <w:bottom w:val="single" w:sz="2" w:space="0" w:color="auto"/>
              <w:right w:val="single" w:sz="2" w:space="0" w:color="auto"/>
            </w:tcBorders>
          </w:tcPr>
          <w:p w14:paraId="532CDC10" w14:textId="77777777" w:rsidR="009F4766" w:rsidRPr="00DE12A3" w:rsidRDefault="009F4766" w:rsidP="00C917D6">
            <w:pPr>
              <w:pStyle w:val="NormalLeft"/>
            </w:pPr>
            <w:r w:rsidRPr="00DE12A3">
              <w:t>0,770</w:t>
            </w:r>
          </w:p>
        </w:tc>
        <w:tc>
          <w:tcPr>
            <w:tcW w:w="1454" w:type="dxa"/>
            <w:tcBorders>
              <w:top w:val="single" w:sz="2" w:space="0" w:color="auto"/>
              <w:left w:val="single" w:sz="2" w:space="0" w:color="auto"/>
              <w:bottom w:val="single" w:sz="2" w:space="0" w:color="auto"/>
              <w:right w:val="single" w:sz="2" w:space="0" w:color="auto"/>
            </w:tcBorders>
          </w:tcPr>
          <w:p w14:paraId="7B0345E0" w14:textId="77777777" w:rsidR="009F4766" w:rsidRPr="00DE12A3" w:rsidRDefault="009F4766" w:rsidP="00C917D6">
            <w:pPr>
              <w:pStyle w:val="NormalLeft"/>
            </w:pPr>
            <w:r w:rsidRPr="00DE12A3">
              <w:t>0,7404</w:t>
            </w:r>
          </w:p>
        </w:tc>
        <w:tc>
          <w:tcPr>
            <w:tcW w:w="2106" w:type="dxa"/>
            <w:tcBorders>
              <w:top w:val="single" w:sz="2" w:space="0" w:color="auto"/>
              <w:left w:val="single" w:sz="2" w:space="0" w:color="auto"/>
              <w:bottom w:val="single" w:sz="2" w:space="0" w:color="auto"/>
              <w:right w:val="single" w:sz="2" w:space="0" w:color="auto"/>
            </w:tcBorders>
          </w:tcPr>
          <w:p w14:paraId="479C8A13" w14:textId="77777777" w:rsidR="009F4766" w:rsidRPr="00DE12A3" w:rsidRDefault="009F4766" w:rsidP="00C917D6">
            <w:pPr>
              <w:pStyle w:val="NormalLeft"/>
            </w:pPr>
            <w:r w:rsidRPr="00DE12A3">
              <w:t>0,7431</w:t>
            </w:r>
          </w:p>
        </w:tc>
      </w:tr>
      <w:tr w:rsidR="00DE12A3" w:rsidRPr="00DE12A3" w14:paraId="4ABBB19D" w14:textId="77777777" w:rsidTr="009F4766">
        <w:tc>
          <w:tcPr>
            <w:tcW w:w="1454" w:type="dxa"/>
            <w:tcBorders>
              <w:top w:val="single" w:sz="2" w:space="0" w:color="auto"/>
              <w:left w:val="single" w:sz="2" w:space="0" w:color="auto"/>
              <w:bottom w:val="single" w:sz="2" w:space="0" w:color="auto"/>
              <w:right w:val="single" w:sz="2" w:space="0" w:color="auto"/>
            </w:tcBorders>
          </w:tcPr>
          <w:p w14:paraId="085234D5" w14:textId="77777777" w:rsidR="009F4766" w:rsidRPr="00DE12A3" w:rsidRDefault="009F4766" w:rsidP="00C917D6">
            <w:pPr>
              <w:pStyle w:val="NormalLeft"/>
            </w:pPr>
            <w:r w:rsidRPr="00DE12A3">
              <w:t>0,780</w:t>
            </w:r>
          </w:p>
        </w:tc>
        <w:tc>
          <w:tcPr>
            <w:tcW w:w="1454" w:type="dxa"/>
            <w:tcBorders>
              <w:top w:val="single" w:sz="2" w:space="0" w:color="auto"/>
              <w:left w:val="single" w:sz="2" w:space="0" w:color="auto"/>
              <w:bottom w:val="single" w:sz="2" w:space="0" w:color="auto"/>
              <w:right w:val="single" w:sz="2" w:space="0" w:color="auto"/>
            </w:tcBorders>
          </w:tcPr>
          <w:p w14:paraId="54C1962F" w14:textId="77777777" w:rsidR="009F4766" w:rsidRPr="00DE12A3" w:rsidRDefault="009F4766" w:rsidP="00C917D6">
            <w:pPr>
              <w:pStyle w:val="NormalLeft"/>
            </w:pPr>
            <w:r w:rsidRPr="00DE12A3">
              <w:t>0,7442</w:t>
            </w:r>
          </w:p>
        </w:tc>
        <w:tc>
          <w:tcPr>
            <w:tcW w:w="2106" w:type="dxa"/>
            <w:tcBorders>
              <w:top w:val="single" w:sz="2" w:space="0" w:color="auto"/>
              <w:left w:val="single" w:sz="2" w:space="0" w:color="auto"/>
              <w:bottom w:val="single" w:sz="2" w:space="0" w:color="auto"/>
              <w:right w:val="single" w:sz="2" w:space="0" w:color="auto"/>
            </w:tcBorders>
          </w:tcPr>
          <w:p w14:paraId="21AB7BDE" w14:textId="77777777" w:rsidR="009F4766" w:rsidRPr="00DE12A3" w:rsidRDefault="009F4766" w:rsidP="00C917D6">
            <w:pPr>
              <w:pStyle w:val="NormalLeft"/>
            </w:pPr>
            <w:r w:rsidRPr="00DE12A3">
              <w:t>0,7470</w:t>
            </w:r>
          </w:p>
        </w:tc>
      </w:tr>
      <w:tr w:rsidR="00DE12A3" w:rsidRPr="00DE12A3" w14:paraId="37BB677C" w14:textId="77777777" w:rsidTr="009F4766">
        <w:tc>
          <w:tcPr>
            <w:tcW w:w="1454" w:type="dxa"/>
            <w:tcBorders>
              <w:top w:val="single" w:sz="2" w:space="0" w:color="auto"/>
              <w:left w:val="single" w:sz="2" w:space="0" w:color="auto"/>
              <w:bottom w:val="single" w:sz="2" w:space="0" w:color="auto"/>
              <w:right w:val="single" w:sz="2" w:space="0" w:color="auto"/>
            </w:tcBorders>
          </w:tcPr>
          <w:p w14:paraId="1D99B632" w14:textId="77777777" w:rsidR="009F4766" w:rsidRPr="00DE12A3" w:rsidRDefault="009F4766" w:rsidP="00C917D6">
            <w:pPr>
              <w:pStyle w:val="NormalLeft"/>
            </w:pPr>
            <w:r w:rsidRPr="00DE12A3">
              <w:t>0,790</w:t>
            </w:r>
          </w:p>
        </w:tc>
        <w:tc>
          <w:tcPr>
            <w:tcW w:w="1454" w:type="dxa"/>
            <w:tcBorders>
              <w:top w:val="single" w:sz="2" w:space="0" w:color="auto"/>
              <w:left w:val="single" w:sz="2" w:space="0" w:color="auto"/>
              <w:bottom w:val="single" w:sz="2" w:space="0" w:color="auto"/>
              <w:right w:val="single" w:sz="2" w:space="0" w:color="auto"/>
            </w:tcBorders>
          </w:tcPr>
          <w:p w14:paraId="2CEF4DB1" w14:textId="77777777" w:rsidR="009F4766" w:rsidRPr="00DE12A3" w:rsidRDefault="009F4766" w:rsidP="00C917D6">
            <w:pPr>
              <w:pStyle w:val="NormalLeft"/>
            </w:pPr>
            <w:r w:rsidRPr="00DE12A3">
              <w:t>0,7483</w:t>
            </w:r>
          </w:p>
        </w:tc>
        <w:tc>
          <w:tcPr>
            <w:tcW w:w="2106" w:type="dxa"/>
            <w:tcBorders>
              <w:top w:val="single" w:sz="2" w:space="0" w:color="auto"/>
              <w:left w:val="single" w:sz="2" w:space="0" w:color="auto"/>
              <w:bottom w:val="single" w:sz="2" w:space="0" w:color="auto"/>
              <w:right w:val="single" w:sz="2" w:space="0" w:color="auto"/>
            </w:tcBorders>
          </w:tcPr>
          <w:p w14:paraId="73845B9C" w14:textId="77777777" w:rsidR="009F4766" w:rsidRPr="00DE12A3" w:rsidRDefault="009F4766" w:rsidP="00C917D6">
            <w:pPr>
              <w:pStyle w:val="NormalLeft"/>
            </w:pPr>
            <w:r w:rsidRPr="00DE12A3">
              <w:t>0,7511</w:t>
            </w:r>
          </w:p>
        </w:tc>
      </w:tr>
      <w:tr w:rsidR="00DE12A3" w:rsidRPr="00DE12A3" w14:paraId="134BDB73" w14:textId="77777777" w:rsidTr="009F4766">
        <w:tc>
          <w:tcPr>
            <w:tcW w:w="1454" w:type="dxa"/>
            <w:tcBorders>
              <w:top w:val="single" w:sz="2" w:space="0" w:color="auto"/>
              <w:left w:val="single" w:sz="2" w:space="0" w:color="auto"/>
              <w:bottom w:val="single" w:sz="2" w:space="0" w:color="auto"/>
              <w:right w:val="single" w:sz="2" w:space="0" w:color="auto"/>
            </w:tcBorders>
          </w:tcPr>
          <w:p w14:paraId="2B7DC49C" w14:textId="77777777" w:rsidR="009F4766" w:rsidRPr="00DE12A3" w:rsidRDefault="009F4766" w:rsidP="00C917D6">
            <w:pPr>
              <w:pStyle w:val="NormalLeft"/>
            </w:pPr>
            <w:r w:rsidRPr="00DE12A3">
              <w:t>0,800</w:t>
            </w:r>
          </w:p>
        </w:tc>
        <w:tc>
          <w:tcPr>
            <w:tcW w:w="1454" w:type="dxa"/>
            <w:tcBorders>
              <w:top w:val="single" w:sz="2" w:space="0" w:color="auto"/>
              <w:left w:val="single" w:sz="2" w:space="0" w:color="auto"/>
              <w:bottom w:val="single" w:sz="2" w:space="0" w:color="auto"/>
              <w:right w:val="single" w:sz="2" w:space="0" w:color="auto"/>
            </w:tcBorders>
          </w:tcPr>
          <w:p w14:paraId="12EC4FDE" w14:textId="77777777" w:rsidR="009F4766" w:rsidRPr="00DE12A3" w:rsidRDefault="009F4766" w:rsidP="00C917D6">
            <w:pPr>
              <w:pStyle w:val="NormalLeft"/>
            </w:pPr>
            <w:r w:rsidRPr="00DE12A3">
              <w:t>0,7527</w:t>
            </w:r>
          </w:p>
        </w:tc>
        <w:tc>
          <w:tcPr>
            <w:tcW w:w="2106" w:type="dxa"/>
            <w:tcBorders>
              <w:top w:val="single" w:sz="2" w:space="0" w:color="auto"/>
              <w:left w:val="single" w:sz="2" w:space="0" w:color="auto"/>
              <w:bottom w:val="single" w:sz="2" w:space="0" w:color="auto"/>
              <w:right w:val="single" w:sz="2" w:space="0" w:color="auto"/>
            </w:tcBorders>
          </w:tcPr>
          <w:p w14:paraId="0EC0BE29" w14:textId="77777777" w:rsidR="009F4766" w:rsidRPr="00DE12A3" w:rsidRDefault="009F4766" w:rsidP="00C917D6">
            <w:pPr>
              <w:pStyle w:val="NormalLeft"/>
            </w:pPr>
            <w:r w:rsidRPr="00DE12A3">
              <w:t>0,7555</w:t>
            </w:r>
          </w:p>
        </w:tc>
      </w:tr>
      <w:tr w:rsidR="00DE12A3" w:rsidRPr="00DE12A3" w14:paraId="489C43F1" w14:textId="77777777" w:rsidTr="009F4766">
        <w:tc>
          <w:tcPr>
            <w:tcW w:w="1454" w:type="dxa"/>
            <w:tcBorders>
              <w:top w:val="single" w:sz="2" w:space="0" w:color="auto"/>
              <w:left w:val="single" w:sz="2" w:space="0" w:color="auto"/>
              <w:bottom w:val="single" w:sz="2" w:space="0" w:color="auto"/>
              <w:right w:val="single" w:sz="2" w:space="0" w:color="auto"/>
            </w:tcBorders>
          </w:tcPr>
          <w:p w14:paraId="602E993A" w14:textId="77777777" w:rsidR="009F4766" w:rsidRPr="00DE12A3" w:rsidRDefault="009F4766" w:rsidP="00C917D6">
            <w:pPr>
              <w:pStyle w:val="NormalLeft"/>
            </w:pPr>
            <w:r w:rsidRPr="00DE12A3">
              <w:t>0,810</w:t>
            </w:r>
          </w:p>
        </w:tc>
        <w:tc>
          <w:tcPr>
            <w:tcW w:w="1454" w:type="dxa"/>
            <w:tcBorders>
              <w:top w:val="single" w:sz="2" w:space="0" w:color="auto"/>
              <w:left w:val="single" w:sz="2" w:space="0" w:color="auto"/>
              <w:bottom w:val="single" w:sz="2" w:space="0" w:color="auto"/>
              <w:right w:val="single" w:sz="2" w:space="0" w:color="auto"/>
            </w:tcBorders>
          </w:tcPr>
          <w:p w14:paraId="76B926BA" w14:textId="77777777" w:rsidR="009F4766" w:rsidRPr="00DE12A3" w:rsidRDefault="009F4766" w:rsidP="00C917D6">
            <w:pPr>
              <w:pStyle w:val="NormalLeft"/>
            </w:pPr>
            <w:r w:rsidRPr="00DE12A3">
              <w:t>0,7573</w:t>
            </w:r>
          </w:p>
        </w:tc>
        <w:tc>
          <w:tcPr>
            <w:tcW w:w="2106" w:type="dxa"/>
            <w:tcBorders>
              <w:top w:val="single" w:sz="2" w:space="0" w:color="auto"/>
              <w:left w:val="single" w:sz="2" w:space="0" w:color="auto"/>
              <w:bottom w:val="single" w:sz="2" w:space="0" w:color="auto"/>
              <w:right w:val="single" w:sz="2" w:space="0" w:color="auto"/>
            </w:tcBorders>
          </w:tcPr>
          <w:p w14:paraId="380F938C" w14:textId="77777777" w:rsidR="009F4766" w:rsidRPr="00DE12A3" w:rsidRDefault="009F4766" w:rsidP="00C917D6">
            <w:pPr>
              <w:pStyle w:val="NormalLeft"/>
            </w:pPr>
            <w:r w:rsidRPr="00DE12A3">
              <w:t>0,7602</w:t>
            </w:r>
          </w:p>
        </w:tc>
      </w:tr>
      <w:tr w:rsidR="00DE12A3" w:rsidRPr="00DE12A3" w14:paraId="34E29B6D" w14:textId="77777777" w:rsidTr="009F4766">
        <w:tc>
          <w:tcPr>
            <w:tcW w:w="1454" w:type="dxa"/>
            <w:tcBorders>
              <w:top w:val="single" w:sz="2" w:space="0" w:color="auto"/>
              <w:left w:val="single" w:sz="2" w:space="0" w:color="auto"/>
              <w:bottom w:val="single" w:sz="2" w:space="0" w:color="auto"/>
              <w:right w:val="single" w:sz="2" w:space="0" w:color="auto"/>
            </w:tcBorders>
          </w:tcPr>
          <w:p w14:paraId="2DE7457A" w14:textId="77777777" w:rsidR="009F4766" w:rsidRPr="00DE12A3" w:rsidRDefault="009F4766" w:rsidP="00C917D6">
            <w:pPr>
              <w:pStyle w:val="NormalLeft"/>
            </w:pPr>
            <w:r w:rsidRPr="00DE12A3">
              <w:t>0,820</w:t>
            </w:r>
          </w:p>
        </w:tc>
        <w:tc>
          <w:tcPr>
            <w:tcW w:w="1454" w:type="dxa"/>
            <w:tcBorders>
              <w:top w:val="single" w:sz="2" w:space="0" w:color="auto"/>
              <w:left w:val="single" w:sz="2" w:space="0" w:color="auto"/>
              <w:bottom w:val="single" w:sz="2" w:space="0" w:color="auto"/>
              <w:right w:val="single" w:sz="2" w:space="0" w:color="auto"/>
            </w:tcBorders>
          </w:tcPr>
          <w:p w14:paraId="1C611364" w14:textId="77777777" w:rsidR="009F4766" w:rsidRPr="00DE12A3" w:rsidRDefault="009F4766" w:rsidP="00C917D6">
            <w:pPr>
              <w:pStyle w:val="NormalLeft"/>
            </w:pPr>
            <w:r w:rsidRPr="00DE12A3">
              <w:t>0,7624</w:t>
            </w:r>
          </w:p>
        </w:tc>
        <w:tc>
          <w:tcPr>
            <w:tcW w:w="2106" w:type="dxa"/>
            <w:tcBorders>
              <w:top w:val="single" w:sz="2" w:space="0" w:color="auto"/>
              <w:left w:val="single" w:sz="2" w:space="0" w:color="auto"/>
              <w:bottom w:val="single" w:sz="2" w:space="0" w:color="auto"/>
              <w:right w:val="single" w:sz="2" w:space="0" w:color="auto"/>
            </w:tcBorders>
          </w:tcPr>
          <w:p w14:paraId="5331B466" w14:textId="77777777" w:rsidR="009F4766" w:rsidRPr="00DE12A3" w:rsidRDefault="009F4766" w:rsidP="00C917D6">
            <w:pPr>
              <w:pStyle w:val="NormalLeft"/>
            </w:pPr>
            <w:r w:rsidRPr="00DE12A3">
              <w:t>0,7652</w:t>
            </w:r>
          </w:p>
        </w:tc>
      </w:tr>
      <w:tr w:rsidR="00DE12A3" w:rsidRPr="00DE12A3" w14:paraId="50D3F5A1" w14:textId="77777777" w:rsidTr="009F4766">
        <w:tc>
          <w:tcPr>
            <w:tcW w:w="1454" w:type="dxa"/>
            <w:tcBorders>
              <w:top w:val="single" w:sz="2" w:space="0" w:color="auto"/>
              <w:left w:val="single" w:sz="2" w:space="0" w:color="auto"/>
              <w:bottom w:val="single" w:sz="2" w:space="0" w:color="auto"/>
              <w:right w:val="single" w:sz="2" w:space="0" w:color="auto"/>
            </w:tcBorders>
          </w:tcPr>
          <w:p w14:paraId="74716D6D" w14:textId="77777777" w:rsidR="009F4766" w:rsidRPr="00DE12A3" w:rsidRDefault="009F4766" w:rsidP="00C917D6">
            <w:pPr>
              <w:pStyle w:val="NormalLeft"/>
            </w:pPr>
            <w:r w:rsidRPr="00DE12A3">
              <w:t>0,830</w:t>
            </w:r>
          </w:p>
        </w:tc>
        <w:tc>
          <w:tcPr>
            <w:tcW w:w="1454" w:type="dxa"/>
            <w:tcBorders>
              <w:top w:val="single" w:sz="2" w:space="0" w:color="auto"/>
              <w:left w:val="single" w:sz="2" w:space="0" w:color="auto"/>
              <w:bottom w:val="single" w:sz="2" w:space="0" w:color="auto"/>
              <w:right w:val="single" w:sz="2" w:space="0" w:color="auto"/>
            </w:tcBorders>
          </w:tcPr>
          <w:p w14:paraId="3E7FDDB7" w14:textId="77777777" w:rsidR="009F4766" w:rsidRPr="00DE12A3" w:rsidRDefault="009F4766" w:rsidP="00C917D6">
            <w:pPr>
              <w:pStyle w:val="NormalLeft"/>
            </w:pPr>
            <w:r w:rsidRPr="00DE12A3">
              <w:t>0,7677</w:t>
            </w:r>
          </w:p>
        </w:tc>
        <w:tc>
          <w:tcPr>
            <w:tcW w:w="2106" w:type="dxa"/>
            <w:tcBorders>
              <w:top w:val="single" w:sz="2" w:space="0" w:color="auto"/>
              <w:left w:val="single" w:sz="2" w:space="0" w:color="auto"/>
              <w:bottom w:val="single" w:sz="2" w:space="0" w:color="auto"/>
              <w:right w:val="single" w:sz="2" w:space="0" w:color="auto"/>
            </w:tcBorders>
          </w:tcPr>
          <w:p w14:paraId="4A699DB5" w14:textId="77777777" w:rsidR="009F4766" w:rsidRPr="00DE12A3" w:rsidRDefault="009F4766" w:rsidP="00C917D6">
            <w:pPr>
              <w:pStyle w:val="NormalLeft"/>
            </w:pPr>
            <w:r w:rsidRPr="00DE12A3">
              <w:t>0,7707</w:t>
            </w:r>
          </w:p>
        </w:tc>
      </w:tr>
      <w:tr w:rsidR="00DE12A3" w:rsidRPr="00DE12A3" w14:paraId="4EC409F4" w14:textId="77777777" w:rsidTr="009F4766">
        <w:tc>
          <w:tcPr>
            <w:tcW w:w="1454" w:type="dxa"/>
            <w:tcBorders>
              <w:top w:val="single" w:sz="2" w:space="0" w:color="auto"/>
              <w:left w:val="single" w:sz="2" w:space="0" w:color="auto"/>
              <w:bottom w:val="single" w:sz="2" w:space="0" w:color="auto"/>
              <w:right w:val="single" w:sz="2" w:space="0" w:color="auto"/>
            </w:tcBorders>
          </w:tcPr>
          <w:p w14:paraId="6E830943" w14:textId="77777777" w:rsidR="009F4766" w:rsidRPr="00DE12A3" w:rsidRDefault="009F4766" w:rsidP="00C917D6">
            <w:pPr>
              <w:pStyle w:val="NormalLeft"/>
            </w:pPr>
            <w:r w:rsidRPr="00DE12A3">
              <w:t>0,840</w:t>
            </w:r>
          </w:p>
        </w:tc>
        <w:tc>
          <w:tcPr>
            <w:tcW w:w="1454" w:type="dxa"/>
            <w:tcBorders>
              <w:top w:val="single" w:sz="2" w:space="0" w:color="auto"/>
              <w:left w:val="single" w:sz="2" w:space="0" w:color="auto"/>
              <w:bottom w:val="single" w:sz="2" w:space="0" w:color="auto"/>
              <w:right w:val="single" w:sz="2" w:space="0" w:color="auto"/>
            </w:tcBorders>
          </w:tcPr>
          <w:p w14:paraId="34073F22" w14:textId="77777777" w:rsidR="009F4766" w:rsidRPr="00DE12A3" w:rsidRDefault="009F4766" w:rsidP="00C917D6">
            <w:pPr>
              <w:pStyle w:val="NormalLeft"/>
            </w:pPr>
            <w:r w:rsidRPr="00DE12A3">
              <w:t>0,7735</w:t>
            </w:r>
          </w:p>
        </w:tc>
        <w:tc>
          <w:tcPr>
            <w:tcW w:w="2106" w:type="dxa"/>
            <w:tcBorders>
              <w:top w:val="single" w:sz="2" w:space="0" w:color="auto"/>
              <w:left w:val="single" w:sz="2" w:space="0" w:color="auto"/>
              <w:bottom w:val="single" w:sz="2" w:space="0" w:color="auto"/>
              <w:right w:val="single" w:sz="2" w:space="0" w:color="auto"/>
            </w:tcBorders>
          </w:tcPr>
          <w:p w14:paraId="150DD57E" w14:textId="77777777" w:rsidR="009F4766" w:rsidRPr="00DE12A3" w:rsidRDefault="009F4766" w:rsidP="00C917D6">
            <w:pPr>
              <w:pStyle w:val="NormalLeft"/>
            </w:pPr>
            <w:r w:rsidRPr="00DE12A3">
              <w:t>0,7765</w:t>
            </w:r>
          </w:p>
        </w:tc>
      </w:tr>
      <w:tr w:rsidR="00DE12A3" w:rsidRPr="00DE12A3" w14:paraId="7DA15AFE" w14:textId="77777777" w:rsidTr="009F4766">
        <w:tc>
          <w:tcPr>
            <w:tcW w:w="1454" w:type="dxa"/>
            <w:tcBorders>
              <w:top w:val="single" w:sz="2" w:space="0" w:color="auto"/>
              <w:left w:val="single" w:sz="2" w:space="0" w:color="auto"/>
              <w:bottom w:val="single" w:sz="2" w:space="0" w:color="auto"/>
              <w:right w:val="single" w:sz="2" w:space="0" w:color="auto"/>
            </w:tcBorders>
          </w:tcPr>
          <w:p w14:paraId="51BEC4E9" w14:textId="77777777" w:rsidR="009F4766" w:rsidRPr="00DE12A3" w:rsidRDefault="009F4766" w:rsidP="00C917D6">
            <w:pPr>
              <w:pStyle w:val="NormalLeft"/>
            </w:pPr>
            <w:r w:rsidRPr="00DE12A3">
              <w:t>0,850</w:t>
            </w:r>
          </w:p>
        </w:tc>
        <w:tc>
          <w:tcPr>
            <w:tcW w:w="1454" w:type="dxa"/>
            <w:tcBorders>
              <w:top w:val="single" w:sz="2" w:space="0" w:color="auto"/>
              <w:left w:val="single" w:sz="2" w:space="0" w:color="auto"/>
              <w:bottom w:val="single" w:sz="2" w:space="0" w:color="auto"/>
              <w:right w:val="single" w:sz="2" w:space="0" w:color="auto"/>
            </w:tcBorders>
          </w:tcPr>
          <w:p w14:paraId="1E94EE5F" w14:textId="77777777" w:rsidR="009F4766" w:rsidRPr="00DE12A3" w:rsidRDefault="009F4766" w:rsidP="00C917D6">
            <w:pPr>
              <w:pStyle w:val="NormalLeft"/>
            </w:pPr>
            <w:r w:rsidRPr="00DE12A3">
              <w:t>0,7798</w:t>
            </w:r>
          </w:p>
        </w:tc>
        <w:tc>
          <w:tcPr>
            <w:tcW w:w="2106" w:type="dxa"/>
            <w:tcBorders>
              <w:top w:val="single" w:sz="2" w:space="0" w:color="auto"/>
              <w:left w:val="single" w:sz="2" w:space="0" w:color="auto"/>
              <w:bottom w:val="single" w:sz="2" w:space="0" w:color="auto"/>
              <w:right w:val="single" w:sz="2" w:space="0" w:color="auto"/>
            </w:tcBorders>
          </w:tcPr>
          <w:p w14:paraId="5289702D" w14:textId="77777777" w:rsidR="009F4766" w:rsidRPr="00DE12A3" w:rsidRDefault="009F4766" w:rsidP="00C917D6">
            <w:pPr>
              <w:pStyle w:val="NormalLeft"/>
            </w:pPr>
            <w:r w:rsidRPr="00DE12A3">
              <w:t>0,7828</w:t>
            </w:r>
          </w:p>
        </w:tc>
      </w:tr>
    </w:tbl>
    <w:p w14:paraId="322CAAA6" w14:textId="77777777" w:rsidR="00765379" w:rsidRPr="00DE12A3" w:rsidRDefault="009F4766" w:rsidP="00C917D6">
      <w:pPr>
        <w:pStyle w:val="Point1"/>
      </w:pPr>
      <w:r w:rsidRPr="00DE12A3">
        <w:tab/>
      </w:r>
    </w:p>
    <w:p w14:paraId="769B7D31" w14:textId="58A829DF" w:rsidR="00765379" w:rsidRPr="00DE12A3" w:rsidRDefault="00765379" w:rsidP="00C917D6">
      <w:pPr>
        <w:pStyle w:val="Point1"/>
        <w:ind w:left="2268"/>
      </w:pPr>
      <w:r w:rsidRPr="00DE12A3">
        <w:t>(ii)</w:t>
      </w:r>
      <w:r w:rsidRPr="00DE12A3">
        <w:tab/>
        <w:t>Her CFV veya SSV debimetre için, C</w:t>
      </w:r>
      <w:r w:rsidRPr="00DE12A3">
        <w:rPr>
          <w:vertAlign w:val="subscript"/>
        </w:rPr>
        <w:t>f</w:t>
      </w:r>
      <w:r w:rsidRPr="00DE12A3">
        <w:t xml:space="preserve">'yi hesaplamak için (7-141) </w:t>
      </w:r>
      <w:r w:rsidR="00962CA1" w:rsidRPr="00DE12A3">
        <w:t>numaralı</w:t>
      </w:r>
      <w:r w:rsidR="00962CA1" w:rsidRPr="00DE12A3" w:rsidDel="00962CA1">
        <w:t xml:space="preserve"> </w:t>
      </w:r>
      <w:r w:rsidRPr="00DE12A3">
        <w:t xml:space="preserve">denklem </w:t>
      </w:r>
      <w:r w:rsidR="006D7ADF" w:rsidRPr="00DE12A3">
        <w:t>kullanılabilir :</w:t>
      </w:r>
    </w:p>
    <w:tbl>
      <w:tblPr>
        <w:tblW w:w="0" w:type="auto"/>
        <w:tblInd w:w="3064" w:type="dxa"/>
        <w:tblLayout w:type="fixed"/>
        <w:tblLook w:val="0000" w:firstRow="0" w:lastRow="0" w:firstColumn="0" w:lastColumn="0" w:noHBand="0" w:noVBand="0"/>
      </w:tblPr>
      <w:tblGrid>
        <w:gridCol w:w="3246"/>
        <w:gridCol w:w="1459"/>
      </w:tblGrid>
      <w:tr w:rsidR="009F4766" w:rsidRPr="00DE12A3" w14:paraId="5CDEF329" w14:textId="77777777" w:rsidTr="001A234D">
        <w:trPr>
          <w:trHeight w:val="1308"/>
        </w:trPr>
        <w:tc>
          <w:tcPr>
            <w:tcW w:w="3246" w:type="dxa"/>
          </w:tcPr>
          <w:p w14:paraId="461EA74D" w14:textId="179025FA" w:rsidR="009F4766" w:rsidRPr="00DE12A3" w:rsidRDefault="009F4766" w:rsidP="00C917D6">
            <w:pPr>
              <w:pStyle w:val="NormalLeft"/>
            </w:pPr>
            <w:r w:rsidRPr="00DE12A3">
              <w:rPr>
                <w:noProof/>
                <w:lang w:val="tr-TR"/>
              </w:rPr>
              <w:drawing>
                <wp:inline distT="0" distB="0" distL="0" distR="0" wp14:anchorId="45CBFDBD" wp14:editId="3DD21DD1">
                  <wp:extent cx="1769745" cy="709246"/>
                  <wp:effectExtent l="0" t="0" r="1905" b="0"/>
                  <wp:docPr id="2452" name="Resim 2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213">
                            <a:extLst>
                              <a:ext uri="{28A0092B-C50C-407E-A947-70E740481C1C}">
                                <a14:useLocalDpi xmlns:a14="http://schemas.microsoft.com/office/drawing/2010/main" val="0"/>
                              </a:ext>
                            </a:extLst>
                          </a:blip>
                          <a:srcRect/>
                          <a:stretch>
                            <a:fillRect/>
                          </a:stretch>
                        </pic:blipFill>
                        <pic:spPr bwMode="auto">
                          <a:xfrm>
                            <a:off x="0" y="0"/>
                            <a:ext cx="1825340" cy="731526"/>
                          </a:xfrm>
                          <a:prstGeom prst="rect">
                            <a:avLst/>
                          </a:prstGeom>
                          <a:noFill/>
                          <a:ln>
                            <a:noFill/>
                          </a:ln>
                        </pic:spPr>
                      </pic:pic>
                    </a:graphicData>
                  </a:graphic>
                </wp:inline>
              </w:drawing>
            </w:r>
          </w:p>
        </w:tc>
        <w:tc>
          <w:tcPr>
            <w:tcW w:w="1459" w:type="dxa"/>
          </w:tcPr>
          <w:p w14:paraId="21052165" w14:textId="77777777" w:rsidR="009F4766" w:rsidRPr="00DE12A3" w:rsidRDefault="009F4766" w:rsidP="00C917D6">
            <w:pPr>
              <w:pStyle w:val="NormalLeft"/>
            </w:pPr>
            <w:r w:rsidRPr="00DE12A3">
              <w:t>(7-141)</w:t>
            </w:r>
          </w:p>
        </w:tc>
      </w:tr>
    </w:tbl>
    <w:p w14:paraId="70235311" w14:textId="77777777" w:rsidR="009F4766" w:rsidRPr="00DE12A3" w:rsidRDefault="009F4766" w:rsidP="00C917D6">
      <w:pPr>
        <w:spacing w:before="120" w:after="120"/>
        <w:rPr>
          <w:rFonts w:cs="Times New Roman"/>
          <w:color w:val="auto"/>
        </w:rPr>
      </w:pPr>
    </w:p>
    <w:p w14:paraId="1636B7F4" w14:textId="77777777" w:rsidR="009F4766" w:rsidRPr="00DE12A3" w:rsidRDefault="009F4766" w:rsidP="00C917D6">
      <w:pPr>
        <w:pStyle w:val="Point1"/>
        <w:ind w:left="1134" w:firstLine="0"/>
      </w:pPr>
      <w:r w:rsidRPr="00DE12A3">
        <w:tab/>
      </w:r>
      <w:r w:rsidR="008B3D9F" w:rsidRPr="00DE12A3">
        <w:t>Burada</w:t>
      </w:r>
      <w:r w:rsidRPr="00DE12A3">
        <w:t>:</w:t>
      </w:r>
    </w:p>
    <w:tbl>
      <w:tblPr>
        <w:tblW w:w="7760" w:type="dxa"/>
        <w:tblInd w:w="1526" w:type="dxa"/>
        <w:tblLayout w:type="fixed"/>
        <w:tblLook w:val="0000" w:firstRow="0" w:lastRow="0" w:firstColumn="0" w:lastColumn="0" w:noHBand="0" w:noVBand="0"/>
      </w:tblPr>
      <w:tblGrid>
        <w:gridCol w:w="1134"/>
        <w:gridCol w:w="425"/>
        <w:gridCol w:w="6201"/>
      </w:tblGrid>
      <w:tr w:rsidR="00DE12A3" w:rsidRPr="00DE12A3" w14:paraId="0E1C1967" w14:textId="77777777" w:rsidTr="006D7ADF">
        <w:tc>
          <w:tcPr>
            <w:tcW w:w="1134" w:type="dxa"/>
          </w:tcPr>
          <w:p w14:paraId="4C3BBA05" w14:textId="77777777" w:rsidR="00FC1DDE" w:rsidRPr="00DE12A3" w:rsidRDefault="00FC1DDE" w:rsidP="00C917D6">
            <w:pPr>
              <w:pStyle w:val="NormalLeft"/>
            </w:pPr>
            <w:r w:rsidRPr="00DE12A3">
              <w:rPr>
                <w:i/>
                <w:iCs/>
              </w:rPr>
              <w:t>γ</w:t>
            </w:r>
          </w:p>
        </w:tc>
        <w:tc>
          <w:tcPr>
            <w:tcW w:w="425" w:type="dxa"/>
          </w:tcPr>
          <w:p w14:paraId="2A5C3C5E" w14:textId="77777777" w:rsidR="00FC1DDE" w:rsidRPr="00DE12A3" w:rsidRDefault="00FC1DDE" w:rsidP="00C917D6">
            <w:pPr>
              <w:pStyle w:val="NormalLeft"/>
            </w:pPr>
            <w:r w:rsidRPr="00DE12A3">
              <w:t>=</w:t>
            </w:r>
          </w:p>
        </w:tc>
        <w:tc>
          <w:tcPr>
            <w:tcW w:w="6201" w:type="dxa"/>
          </w:tcPr>
          <w:p w14:paraId="2F84A0DD" w14:textId="58390632" w:rsidR="00FC1DDE" w:rsidRPr="00DE12A3" w:rsidRDefault="006D7ADF" w:rsidP="00C917D6">
            <w:pPr>
              <w:spacing w:before="120" w:after="120"/>
              <w:rPr>
                <w:rFonts w:cs="Times New Roman"/>
                <w:color w:val="auto"/>
              </w:rPr>
            </w:pPr>
            <w:r w:rsidRPr="00DE12A3">
              <w:rPr>
                <w:rFonts w:cs="Times New Roman"/>
                <w:color w:val="auto"/>
              </w:rPr>
              <w:t>Izentropik</w:t>
            </w:r>
            <w:r w:rsidR="00FC1DDE" w:rsidRPr="00DE12A3">
              <w:rPr>
                <w:rFonts w:cs="Times New Roman"/>
                <w:color w:val="auto"/>
              </w:rPr>
              <w:t xml:space="preserve"> üs [-]. Bir ideal gaz için bu, gaz karışımının özgül ısıları oranı, cp/cV</w:t>
            </w:r>
          </w:p>
        </w:tc>
      </w:tr>
      <w:tr w:rsidR="00DE12A3" w:rsidRPr="00DE12A3" w14:paraId="77A72E18" w14:textId="77777777" w:rsidTr="006D7ADF">
        <w:tc>
          <w:tcPr>
            <w:tcW w:w="1134" w:type="dxa"/>
          </w:tcPr>
          <w:p w14:paraId="67073319" w14:textId="77777777" w:rsidR="00FC1DDE" w:rsidRPr="00DE12A3" w:rsidRDefault="00FC1DDE" w:rsidP="00C917D6">
            <w:pPr>
              <w:pStyle w:val="NormalLeft"/>
            </w:pPr>
            <w:r w:rsidRPr="00DE12A3">
              <w:rPr>
                <w:i/>
                <w:iCs/>
              </w:rPr>
              <w:t>r</w:t>
            </w:r>
          </w:p>
        </w:tc>
        <w:tc>
          <w:tcPr>
            <w:tcW w:w="425" w:type="dxa"/>
          </w:tcPr>
          <w:p w14:paraId="1A402625" w14:textId="77777777" w:rsidR="00FC1DDE" w:rsidRPr="00DE12A3" w:rsidRDefault="00FC1DDE" w:rsidP="00C917D6">
            <w:pPr>
              <w:pStyle w:val="NormalLeft"/>
            </w:pPr>
            <w:r w:rsidRPr="00DE12A3">
              <w:t>=</w:t>
            </w:r>
          </w:p>
        </w:tc>
        <w:tc>
          <w:tcPr>
            <w:tcW w:w="6201" w:type="dxa"/>
          </w:tcPr>
          <w:p w14:paraId="2A0407AD" w14:textId="44921BF9" w:rsidR="00FC1DDE" w:rsidRPr="00DE12A3" w:rsidRDefault="006D7ADF" w:rsidP="00C917D6">
            <w:pPr>
              <w:spacing w:before="120" w:after="120"/>
              <w:rPr>
                <w:rFonts w:cs="Times New Roman"/>
                <w:color w:val="auto"/>
              </w:rPr>
            </w:pPr>
            <w:r w:rsidRPr="00DE12A3">
              <w:rPr>
                <w:rFonts w:cs="Times New Roman"/>
                <w:color w:val="auto"/>
              </w:rPr>
              <w:t>Bu</w:t>
            </w:r>
            <w:r w:rsidR="00FC1DDE" w:rsidRPr="00DE12A3">
              <w:rPr>
                <w:rFonts w:cs="Times New Roman"/>
                <w:color w:val="auto"/>
              </w:rPr>
              <w:t xml:space="preserve"> bendin (c)(3) paragrafında belirlenen basınç oranı</w:t>
            </w:r>
          </w:p>
        </w:tc>
      </w:tr>
      <w:tr w:rsidR="00FC1DDE" w:rsidRPr="00DE12A3" w14:paraId="51A29D01" w14:textId="77777777" w:rsidTr="006D7ADF">
        <w:tc>
          <w:tcPr>
            <w:tcW w:w="1134" w:type="dxa"/>
          </w:tcPr>
          <w:p w14:paraId="63A03C0A" w14:textId="77777777" w:rsidR="00FC1DDE" w:rsidRPr="00DE12A3" w:rsidRDefault="00FC1DDE" w:rsidP="00C917D6">
            <w:pPr>
              <w:pStyle w:val="NormalLeft"/>
            </w:pPr>
            <w:r w:rsidRPr="00DE12A3">
              <w:rPr>
                <w:i/>
                <w:iCs/>
              </w:rPr>
              <w:t>β</w:t>
            </w:r>
          </w:p>
        </w:tc>
        <w:tc>
          <w:tcPr>
            <w:tcW w:w="425" w:type="dxa"/>
          </w:tcPr>
          <w:p w14:paraId="152C2613" w14:textId="77777777" w:rsidR="00FC1DDE" w:rsidRPr="00DE12A3" w:rsidRDefault="00FC1DDE" w:rsidP="00C917D6">
            <w:pPr>
              <w:pStyle w:val="NormalLeft"/>
            </w:pPr>
            <w:r w:rsidRPr="00DE12A3">
              <w:t>=</w:t>
            </w:r>
          </w:p>
        </w:tc>
        <w:tc>
          <w:tcPr>
            <w:tcW w:w="6201" w:type="dxa"/>
          </w:tcPr>
          <w:p w14:paraId="59BD6398" w14:textId="4636E12C" w:rsidR="00FC1DDE" w:rsidRPr="00DE12A3" w:rsidRDefault="006D7ADF" w:rsidP="00C917D6">
            <w:pPr>
              <w:spacing w:before="120" w:after="120"/>
              <w:rPr>
                <w:rFonts w:cs="Times New Roman"/>
                <w:color w:val="auto"/>
              </w:rPr>
            </w:pPr>
            <w:r w:rsidRPr="00DE12A3">
              <w:rPr>
                <w:rFonts w:cs="Times New Roman"/>
                <w:color w:val="auto"/>
              </w:rPr>
              <w:t>Venturi</w:t>
            </w:r>
            <w:r w:rsidR="00FC1DDE" w:rsidRPr="00DE12A3">
              <w:rPr>
                <w:rFonts w:cs="Times New Roman"/>
                <w:color w:val="auto"/>
              </w:rPr>
              <w:t xml:space="preserve"> boğazının giriş çaplarına oranı</w:t>
            </w:r>
          </w:p>
        </w:tc>
      </w:tr>
    </w:tbl>
    <w:p w14:paraId="666E0095" w14:textId="77777777" w:rsidR="009F4766" w:rsidRPr="00DE12A3" w:rsidRDefault="009F4766" w:rsidP="00C917D6">
      <w:pPr>
        <w:spacing w:before="120" w:after="120"/>
        <w:rPr>
          <w:rFonts w:cs="Times New Roman"/>
          <w:color w:val="auto"/>
        </w:rPr>
      </w:pPr>
    </w:p>
    <w:p w14:paraId="25195070" w14:textId="77777777" w:rsidR="00FC1DDE" w:rsidRPr="00DE12A3" w:rsidRDefault="00FC1DDE" w:rsidP="00E20716">
      <w:pPr>
        <w:pStyle w:val="ListeParagraf"/>
        <w:widowControl/>
        <w:numPr>
          <w:ilvl w:val="0"/>
          <w:numId w:val="459"/>
        </w:numPr>
        <w:autoSpaceDE w:val="0"/>
        <w:autoSpaceDN w:val="0"/>
        <w:spacing w:before="120" w:after="120"/>
        <w:contextualSpacing w:val="0"/>
        <w:jc w:val="both"/>
        <w:rPr>
          <w:rFonts w:eastAsia="Times New Roman" w:cs="Times New Roman"/>
          <w:vanish/>
          <w:color w:val="auto"/>
          <w:lang w:val="fr-FR"/>
        </w:rPr>
      </w:pPr>
    </w:p>
    <w:p w14:paraId="572F9946" w14:textId="77777777" w:rsidR="00FC1DDE" w:rsidRPr="00DE12A3" w:rsidRDefault="00FC1DDE" w:rsidP="00E20716">
      <w:pPr>
        <w:pStyle w:val="ListeParagraf"/>
        <w:widowControl/>
        <w:numPr>
          <w:ilvl w:val="1"/>
          <w:numId w:val="459"/>
        </w:numPr>
        <w:autoSpaceDE w:val="0"/>
        <w:autoSpaceDN w:val="0"/>
        <w:spacing w:before="120" w:after="120"/>
        <w:contextualSpacing w:val="0"/>
        <w:jc w:val="both"/>
        <w:rPr>
          <w:rFonts w:eastAsia="Times New Roman" w:cs="Times New Roman"/>
          <w:vanish/>
          <w:color w:val="auto"/>
          <w:lang w:val="fr-FR"/>
        </w:rPr>
      </w:pPr>
    </w:p>
    <w:p w14:paraId="5818024C" w14:textId="77777777" w:rsidR="00FC1DDE" w:rsidRPr="00DE12A3" w:rsidRDefault="00FC1DDE" w:rsidP="00E20716">
      <w:pPr>
        <w:pStyle w:val="ListeParagraf"/>
        <w:widowControl/>
        <w:numPr>
          <w:ilvl w:val="1"/>
          <w:numId w:val="459"/>
        </w:numPr>
        <w:autoSpaceDE w:val="0"/>
        <w:autoSpaceDN w:val="0"/>
        <w:spacing w:before="120" w:after="120"/>
        <w:contextualSpacing w:val="0"/>
        <w:jc w:val="both"/>
        <w:rPr>
          <w:rFonts w:eastAsia="Times New Roman" w:cs="Times New Roman"/>
          <w:vanish/>
          <w:color w:val="auto"/>
          <w:lang w:val="fr-FR"/>
        </w:rPr>
      </w:pPr>
    </w:p>
    <w:p w14:paraId="2C1CFEB8" w14:textId="3AB52163" w:rsidR="00FC1DDE" w:rsidRPr="00DE12A3" w:rsidRDefault="00FC1DDE" w:rsidP="00E20716">
      <w:pPr>
        <w:pStyle w:val="Point0"/>
        <w:numPr>
          <w:ilvl w:val="1"/>
          <w:numId w:val="459"/>
        </w:numPr>
        <w:ind w:left="1701" w:hanging="567"/>
      </w:pPr>
      <w:r w:rsidRPr="00DE12A3">
        <w:t xml:space="preserve">     Basınç oranı </w:t>
      </w:r>
      <w:r w:rsidRPr="00DE12A3">
        <w:rPr>
          <w:i/>
        </w:rPr>
        <w:t xml:space="preserve">r </w:t>
      </w:r>
      <w:r w:rsidRPr="00DE12A3">
        <w:t xml:space="preserve">aşağıdaki şekilde </w:t>
      </w:r>
      <w:r w:rsidR="006D7ADF" w:rsidRPr="00DE12A3">
        <w:t>hesaplanır :</w:t>
      </w:r>
    </w:p>
    <w:p w14:paraId="6F649BE7" w14:textId="465B22F5" w:rsidR="00FC1DDE" w:rsidRPr="00DE12A3" w:rsidRDefault="00FC1DDE" w:rsidP="00C917D6">
      <w:pPr>
        <w:pStyle w:val="Point0"/>
        <w:ind w:left="2268" w:hanging="567"/>
      </w:pPr>
      <w:r w:rsidRPr="00DE12A3">
        <w:t>(i)</w:t>
      </w:r>
      <w:r w:rsidRPr="00DE12A3">
        <w:tab/>
        <w:t>Sadece SSV sistemlerinde r</w:t>
      </w:r>
      <w:r w:rsidRPr="00DE12A3">
        <w:rPr>
          <w:vertAlign w:val="subscript"/>
        </w:rPr>
        <w:t>SSV</w:t>
      </w:r>
      <w:r w:rsidRPr="00DE12A3">
        <w:t xml:space="preserve">, (7-142) </w:t>
      </w:r>
      <w:r w:rsidR="00962CA1" w:rsidRPr="00DE12A3">
        <w:t>numaralı</w:t>
      </w:r>
      <w:r w:rsidR="00962CA1" w:rsidRPr="00DE12A3" w:rsidDel="00962CA1">
        <w:t xml:space="preserve"> </w:t>
      </w:r>
      <w:r w:rsidRPr="00DE12A3">
        <w:t xml:space="preserve">denklem ile </w:t>
      </w:r>
      <w:r w:rsidR="006D7ADF" w:rsidRPr="00DE12A3">
        <w:t>hesaplanmalıdır :</w:t>
      </w:r>
    </w:p>
    <w:p w14:paraId="01BDDC91" w14:textId="77777777" w:rsidR="009F4766" w:rsidRPr="00DE12A3" w:rsidRDefault="009F4766" w:rsidP="00C917D6">
      <w:pPr>
        <w:pStyle w:val="Point1"/>
      </w:pPr>
    </w:p>
    <w:tbl>
      <w:tblPr>
        <w:tblW w:w="0" w:type="auto"/>
        <w:tblInd w:w="3157" w:type="dxa"/>
        <w:tblLayout w:type="fixed"/>
        <w:tblLook w:val="0000" w:firstRow="0" w:lastRow="0" w:firstColumn="0" w:lastColumn="0" w:noHBand="0" w:noVBand="0"/>
      </w:tblPr>
      <w:tblGrid>
        <w:gridCol w:w="3010"/>
        <w:gridCol w:w="1622"/>
      </w:tblGrid>
      <w:tr w:rsidR="009F4766" w:rsidRPr="00DE12A3" w14:paraId="285BC341" w14:textId="77777777" w:rsidTr="001A234D">
        <w:trPr>
          <w:trHeight w:val="782"/>
        </w:trPr>
        <w:tc>
          <w:tcPr>
            <w:tcW w:w="3010" w:type="dxa"/>
          </w:tcPr>
          <w:p w14:paraId="6BC34CA9" w14:textId="5AD834B3" w:rsidR="009F4766" w:rsidRPr="00DE12A3" w:rsidRDefault="009F4766" w:rsidP="00C917D6">
            <w:pPr>
              <w:pStyle w:val="NormalLeft"/>
            </w:pPr>
            <w:r w:rsidRPr="00DE12A3">
              <w:rPr>
                <w:noProof/>
                <w:lang w:val="tr-TR"/>
              </w:rPr>
              <w:drawing>
                <wp:inline distT="0" distB="0" distL="0" distR="0" wp14:anchorId="40CEB2D1" wp14:editId="54AED83D">
                  <wp:extent cx="1576039" cy="486507"/>
                  <wp:effectExtent l="0" t="0" r="5715" b="8890"/>
                  <wp:docPr id="2451" name="Resim 2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214">
                            <a:extLst>
                              <a:ext uri="{28A0092B-C50C-407E-A947-70E740481C1C}">
                                <a14:useLocalDpi xmlns:a14="http://schemas.microsoft.com/office/drawing/2010/main" val="0"/>
                              </a:ext>
                            </a:extLst>
                          </a:blip>
                          <a:srcRect/>
                          <a:stretch>
                            <a:fillRect/>
                          </a:stretch>
                        </pic:blipFill>
                        <pic:spPr bwMode="auto">
                          <a:xfrm>
                            <a:off x="0" y="0"/>
                            <a:ext cx="1636201" cy="505078"/>
                          </a:xfrm>
                          <a:prstGeom prst="rect">
                            <a:avLst/>
                          </a:prstGeom>
                          <a:noFill/>
                          <a:ln>
                            <a:noFill/>
                          </a:ln>
                        </pic:spPr>
                      </pic:pic>
                    </a:graphicData>
                  </a:graphic>
                </wp:inline>
              </w:drawing>
            </w:r>
          </w:p>
        </w:tc>
        <w:tc>
          <w:tcPr>
            <w:tcW w:w="1622" w:type="dxa"/>
          </w:tcPr>
          <w:p w14:paraId="3E60F31F" w14:textId="77777777" w:rsidR="009F4766" w:rsidRPr="00DE12A3" w:rsidRDefault="009F4766" w:rsidP="00C917D6">
            <w:pPr>
              <w:pStyle w:val="NormalLeft"/>
            </w:pPr>
            <w:r w:rsidRPr="00DE12A3">
              <w:t>(7-142)</w:t>
            </w:r>
          </w:p>
        </w:tc>
      </w:tr>
    </w:tbl>
    <w:p w14:paraId="635E6A08" w14:textId="77777777" w:rsidR="009F4766" w:rsidRPr="00DE12A3" w:rsidRDefault="009F4766" w:rsidP="00C917D6">
      <w:pPr>
        <w:spacing w:before="120" w:after="120"/>
        <w:rPr>
          <w:rFonts w:cs="Times New Roman"/>
          <w:color w:val="auto"/>
        </w:rPr>
      </w:pPr>
    </w:p>
    <w:p w14:paraId="38169172" w14:textId="77777777" w:rsidR="009F4766" w:rsidRPr="00DE12A3" w:rsidRDefault="009F4766" w:rsidP="00C917D6">
      <w:pPr>
        <w:pStyle w:val="Point1"/>
        <w:ind w:left="1134" w:firstLine="0"/>
      </w:pPr>
      <w:r w:rsidRPr="00DE12A3">
        <w:tab/>
      </w:r>
      <w:r w:rsidR="008B3D9F" w:rsidRPr="00DE12A3">
        <w:t>Burada</w:t>
      </w:r>
      <w:r w:rsidRPr="00DE12A3">
        <w:t>:</w:t>
      </w:r>
    </w:p>
    <w:tbl>
      <w:tblPr>
        <w:tblW w:w="0" w:type="auto"/>
        <w:tblInd w:w="1526" w:type="dxa"/>
        <w:tblLayout w:type="fixed"/>
        <w:tblLook w:val="0000" w:firstRow="0" w:lastRow="0" w:firstColumn="0" w:lastColumn="0" w:noHBand="0" w:noVBand="0"/>
      </w:tblPr>
      <w:tblGrid>
        <w:gridCol w:w="1134"/>
        <w:gridCol w:w="425"/>
        <w:gridCol w:w="5551"/>
      </w:tblGrid>
      <w:tr w:rsidR="009F4766" w:rsidRPr="00DE12A3" w14:paraId="0C2BFAEB" w14:textId="77777777" w:rsidTr="006D7ADF">
        <w:tc>
          <w:tcPr>
            <w:tcW w:w="1134" w:type="dxa"/>
          </w:tcPr>
          <w:p w14:paraId="54D68267" w14:textId="77777777" w:rsidR="009F4766" w:rsidRPr="00DE12A3" w:rsidRDefault="009F4766" w:rsidP="00C917D6">
            <w:pPr>
              <w:pStyle w:val="NormalLeft"/>
            </w:pPr>
            <w:r w:rsidRPr="00DE12A3">
              <w:t>Δ</w:t>
            </w:r>
            <w:r w:rsidRPr="00DE12A3">
              <w:rPr>
                <w:i/>
                <w:iCs/>
              </w:rPr>
              <w:t>p</w:t>
            </w:r>
            <w:r w:rsidRPr="00DE12A3">
              <w:rPr>
                <w:vertAlign w:val="subscript"/>
              </w:rPr>
              <w:t>ssv</w:t>
            </w:r>
          </w:p>
        </w:tc>
        <w:tc>
          <w:tcPr>
            <w:tcW w:w="425" w:type="dxa"/>
          </w:tcPr>
          <w:p w14:paraId="445587E7" w14:textId="77777777" w:rsidR="009F4766" w:rsidRPr="00DE12A3" w:rsidRDefault="009F4766" w:rsidP="00C917D6">
            <w:pPr>
              <w:pStyle w:val="NormalLeft"/>
            </w:pPr>
            <w:r w:rsidRPr="00DE12A3">
              <w:t>=</w:t>
            </w:r>
          </w:p>
        </w:tc>
        <w:tc>
          <w:tcPr>
            <w:tcW w:w="5551" w:type="dxa"/>
          </w:tcPr>
          <w:p w14:paraId="204B84A2" w14:textId="09AF7D9C" w:rsidR="009F4766" w:rsidRPr="00DE12A3" w:rsidRDefault="006D7ADF" w:rsidP="00C917D6">
            <w:pPr>
              <w:pStyle w:val="NormalLeft"/>
            </w:pPr>
            <w:r w:rsidRPr="00DE12A3">
              <w:t>Statik</w:t>
            </w:r>
            <w:r w:rsidR="00FC1DDE" w:rsidRPr="00DE12A3">
              <w:t xml:space="preserve"> fark </w:t>
            </w:r>
            <w:r w:rsidR="002F5BBD" w:rsidRPr="00DE12A3">
              <w:t>basıncı ;</w:t>
            </w:r>
            <w:r w:rsidR="00FC1DDE" w:rsidRPr="00DE12A3">
              <w:t xml:space="preserve"> venturi girişi eksi venturi boğazı [Pa]</w:t>
            </w:r>
          </w:p>
        </w:tc>
      </w:tr>
    </w:tbl>
    <w:p w14:paraId="0E45C877" w14:textId="77777777" w:rsidR="009F4766" w:rsidRPr="00DE12A3" w:rsidRDefault="009F4766" w:rsidP="00C917D6">
      <w:pPr>
        <w:spacing w:before="120" w:after="120"/>
        <w:rPr>
          <w:rFonts w:cs="Times New Roman"/>
          <w:color w:val="auto"/>
        </w:rPr>
      </w:pPr>
    </w:p>
    <w:p w14:paraId="26282E76" w14:textId="3158EDC4" w:rsidR="00FC1DDE" w:rsidRPr="00DE12A3" w:rsidRDefault="009F4766" w:rsidP="00C917D6">
      <w:pPr>
        <w:pStyle w:val="Point1"/>
        <w:ind w:left="1701" w:firstLine="0"/>
      </w:pPr>
      <w:r w:rsidRPr="00DE12A3">
        <w:tab/>
      </w:r>
      <w:r w:rsidR="00FC1DDE" w:rsidRPr="00DE12A3">
        <w:t>(ii)</w:t>
      </w:r>
      <w:r w:rsidR="00FC1DDE" w:rsidRPr="00DE12A3">
        <w:tab/>
        <w:t>Sadece CFV sistemlerinde, r</w:t>
      </w:r>
      <w:r w:rsidR="00FC1DDE" w:rsidRPr="00DE12A3">
        <w:rPr>
          <w:vertAlign w:val="subscript"/>
        </w:rPr>
        <w:t>CFV</w:t>
      </w:r>
      <w:r w:rsidR="00FC1DDE" w:rsidRPr="00DE12A3">
        <w:t xml:space="preserve"> iteratif olarak (7-143) </w:t>
      </w:r>
      <w:r w:rsidR="00962CA1" w:rsidRPr="00DE12A3">
        <w:t>numaralı</w:t>
      </w:r>
      <w:r w:rsidR="00962CA1" w:rsidRPr="00DE12A3" w:rsidDel="00962CA1">
        <w:t xml:space="preserve"> </w:t>
      </w:r>
      <w:r w:rsidR="00FC1DDE" w:rsidRPr="00DE12A3">
        <w:t xml:space="preserve">denklem ile </w:t>
      </w:r>
      <w:r w:rsidR="006D7ADF" w:rsidRPr="00DE12A3">
        <w:t>hesaplanmalıdır :</w:t>
      </w:r>
    </w:p>
    <w:p w14:paraId="6E8B254E" w14:textId="77777777" w:rsidR="00FC1DDE" w:rsidRPr="00DE12A3" w:rsidRDefault="00FC1DDE" w:rsidP="00C917D6">
      <w:pPr>
        <w:pStyle w:val="Point1"/>
      </w:pPr>
    </w:p>
    <w:tbl>
      <w:tblPr>
        <w:tblW w:w="0" w:type="auto"/>
        <w:tblInd w:w="2739" w:type="dxa"/>
        <w:tblLayout w:type="fixed"/>
        <w:tblLook w:val="0000" w:firstRow="0" w:lastRow="0" w:firstColumn="0" w:lastColumn="0" w:noHBand="0" w:noVBand="0"/>
      </w:tblPr>
      <w:tblGrid>
        <w:gridCol w:w="4248"/>
        <w:gridCol w:w="1571"/>
      </w:tblGrid>
      <w:tr w:rsidR="009F4766" w:rsidRPr="00DE12A3" w14:paraId="15068859" w14:textId="77777777" w:rsidTr="001A234D">
        <w:trPr>
          <w:trHeight w:val="1265"/>
        </w:trPr>
        <w:tc>
          <w:tcPr>
            <w:tcW w:w="4248" w:type="dxa"/>
          </w:tcPr>
          <w:p w14:paraId="6B230344" w14:textId="2136AC15" w:rsidR="009F4766" w:rsidRPr="00DE12A3" w:rsidRDefault="009F4766" w:rsidP="00C917D6">
            <w:pPr>
              <w:pStyle w:val="NormalLeft"/>
            </w:pPr>
            <w:r w:rsidRPr="00DE12A3">
              <w:rPr>
                <w:noProof/>
                <w:lang w:val="tr-TR"/>
              </w:rPr>
              <w:drawing>
                <wp:inline distT="0" distB="0" distL="0" distR="0" wp14:anchorId="52AA6D9B" wp14:editId="6F3BBE27">
                  <wp:extent cx="2467708" cy="679882"/>
                  <wp:effectExtent l="0" t="0" r="0" b="6350"/>
                  <wp:docPr id="2450" name="Resim 2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215">
                            <a:extLst>
                              <a:ext uri="{28A0092B-C50C-407E-A947-70E740481C1C}">
                                <a14:useLocalDpi xmlns:a14="http://schemas.microsoft.com/office/drawing/2010/main" val="0"/>
                              </a:ext>
                            </a:extLst>
                          </a:blip>
                          <a:srcRect/>
                          <a:stretch>
                            <a:fillRect/>
                          </a:stretch>
                        </pic:blipFill>
                        <pic:spPr bwMode="auto">
                          <a:xfrm>
                            <a:off x="0" y="0"/>
                            <a:ext cx="2519289" cy="694093"/>
                          </a:xfrm>
                          <a:prstGeom prst="rect">
                            <a:avLst/>
                          </a:prstGeom>
                          <a:noFill/>
                          <a:ln>
                            <a:noFill/>
                          </a:ln>
                        </pic:spPr>
                      </pic:pic>
                    </a:graphicData>
                  </a:graphic>
                </wp:inline>
              </w:drawing>
            </w:r>
          </w:p>
        </w:tc>
        <w:tc>
          <w:tcPr>
            <w:tcW w:w="1571" w:type="dxa"/>
          </w:tcPr>
          <w:p w14:paraId="39413121" w14:textId="77777777" w:rsidR="009F4766" w:rsidRPr="00DE12A3" w:rsidRDefault="009F4766" w:rsidP="00C917D6">
            <w:pPr>
              <w:pStyle w:val="NormalLeft"/>
            </w:pPr>
            <w:r w:rsidRPr="00DE12A3">
              <w:t>(7-143)</w:t>
            </w:r>
          </w:p>
        </w:tc>
      </w:tr>
    </w:tbl>
    <w:p w14:paraId="36A96B24" w14:textId="618A2970" w:rsidR="00FC1DDE" w:rsidRPr="00DE12A3" w:rsidRDefault="00FC1DDE" w:rsidP="00C917D6">
      <w:pPr>
        <w:pStyle w:val="Point0"/>
      </w:pPr>
    </w:p>
    <w:p w14:paraId="1C800F62" w14:textId="77777777" w:rsidR="00FC1DDE" w:rsidRPr="00DE12A3" w:rsidRDefault="00FC1DDE" w:rsidP="00E20716">
      <w:pPr>
        <w:pStyle w:val="ListeParagraf"/>
        <w:widowControl/>
        <w:numPr>
          <w:ilvl w:val="0"/>
          <w:numId w:val="460"/>
        </w:numPr>
        <w:autoSpaceDE w:val="0"/>
        <w:autoSpaceDN w:val="0"/>
        <w:spacing w:before="120" w:after="120"/>
        <w:contextualSpacing w:val="0"/>
        <w:jc w:val="both"/>
        <w:rPr>
          <w:rFonts w:eastAsia="Times New Roman" w:cs="Times New Roman"/>
          <w:vanish/>
          <w:color w:val="auto"/>
          <w:lang w:val="fr-FR"/>
        </w:rPr>
      </w:pPr>
    </w:p>
    <w:p w14:paraId="77DAEB21" w14:textId="77777777" w:rsidR="00FC1DDE" w:rsidRPr="00DE12A3" w:rsidRDefault="00FC1DDE" w:rsidP="00E20716">
      <w:pPr>
        <w:pStyle w:val="ListeParagraf"/>
        <w:widowControl/>
        <w:numPr>
          <w:ilvl w:val="0"/>
          <w:numId w:val="460"/>
        </w:numPr>
        <w:autoSpaceDE w:val="0"/>
        <w:autoSpaceDN w:val="0"/>
        <w:spacing w:before="120" w:after="120"/>
        <w:contextualSpacing w:val="0"/>
        <w:jc w:val="both"/>
        <w:rPr>
          <w:rFonts w:eastAsia="Times New Roman" w:cs="Times New Roman"/>
          <w:vanish/>
          <w:color w:val="auto"/>
          <w:lang w:val="fr-FR"/>
        </w:rPr>
      </w:pPr>
    </w:p>
    <w:p w14:paraId="247B4A99" w14:textId="77777777" w:rsidR="00FC1DDE" w:rsidRPr="00DE12A3" w:rsidRDefault="00FC1DDE" w:rsidP="00E20716">
      <w:pPr>
        <w:pStyle w:val="ListeParagraf"/>
        <w:widowControl/>
        <w:numPr>
          <w:ilvl w:val="0"/>
          <w:numId w:val="460"/>
        </w:numPr>
        <w:autoSpaceDE w:val="0"/>
        <w:autoSpaceDN w:val="0"/>
        <w:spacing w:before="120" w:after="120"/>
        <w:contextualSpacing w:val="0"/>
        <w:jc w:val="both"/>
        <w:rPr>
          <w:rFonts w:eastAsia="Times New Roman" w:cs="Times New Roman"/>
          <w:vanish/>
          <w:color w:val="auto"/>
          <w:lang w:val="fr-FR"/>
        </w:rPr>
      </w:pPr>
    </w:p>
    <w:p w14:paraId="28E9A1EE" w14:textId="3BA64D19" w:rsidR="00FC1DDE" w:rsidRPr="00DE12A3" w:rsidRDefault="00FC1DDE" w:rsidP="00E20716">
      <w:pPr>
        <w:pStyle w:val="Point0"/>
        <w:numPr>
          <w:ilvl w:val="0"/>
          <w:numId w:val="460"/>
        </w:numPr>
        <w:ind w:left="1701" w:hanging="567"/>
      </w:pPr>
      <w:r w:rsidRPr="00DE12A3">
        <w:t xml:space="preserve">    Geçerli denklemlere ilişkin aşağıdaki basitleştirici varsayımlarından herhangi biri yapılabilir veya test için daha uygun değerler geliştirmek için iyi mühendislik kararı </w:t>
      </w:r>
      <w:r w:rsidR="002654C8" w:rsidRPr="00DE12A3">
        <w:t>kullanılabilir</w:t>
      </w:r>
      <w:r w:rsidR="00117673" w:rsidRPr="00DE12A3">
        <w:t>.</w:t>
      </w:r>
    </w:p>
    <w:p w14:paraId="25F5F2D7" w14:textId="75E88A33" w:rsidR="00FC1DDE" w:rsidRPr="00DE12A3" w:rsidRDefault="00FC1DDE" w:rsidP="00C917D6">
      <w:pPr>
        <w:pStyle w:val="Point0"/>
        <w:ind w:left="2268" w:hanging="850"/>
      </w:pPr>
      <w:r w:rsidRPr="00DE12A3">
        <w:t>(i)</w:t>
      </w:r>
      <w:r w:rsidRPr="00DE12A3">
        <w:tab/>
        <w:t xml:space="preserve">Tüm ham egzoz gazı, seyreltilmiş egzoz gazı ve seyreltme havası aralıkları boyunca emisyon testi için, gaz karışımının bir ideal gaz gibi davrandığı </w:t>
      </w:r>
      <w:r w:rsidR="002654C8" w:rsidRPr="00DE12A3">
        <w:t>varsayılabilir :</w:t>
      </w:r>
      <w:r w:rsidRPr="00DE12A3">
        <w:t xml:space="preserve"> Z = 1</w:t>
      </w:r>
      <w:r w:rsidR="00117673" w:rsidRPr="00DE12A3">
        <w:t>.</w:t>
      </w:r>
    </w:p>
    <w:p w14:paraId="6771F19A" w14:textId="750AC9B9" w:rsidR="00FC1DDE" w:rsidRPr="00DE12A3" w:rsidRDefault="00876360" w:rsidP="00E20716">
      <w:pPr>
        <w:pStyle w:val="Point0"/>
        <w:numPr>
          <w:ilvl w:val="0"/>
          <w:numId w:val="458"/>
        </w:numPr>
        <w:ind w:left="2268" w:hanging="567"/>
      </w:pPr>
      <w:r w:rsidRPr="00DE12A3">
        <w:t xml:space="preserve">  </w:t>
      </w:r>
      <w:r w:rsidR="00FC1DDE" w:rsidRPr="00DE12A3">
        <w:t xml:space="preserve">Tüm ham egzoz gazı aralığı için, sabit bir özgül ısılar oranı γ = 1,385 </w:t>
      </w:r>
      <w:r w:rsidR="002654C8" w:rsidRPr="00DE12A3">
        <w:t>varsayılabilir</w:t>
      </w:r>
      <w:r w:rsidR="00117673" w:rsidRPr="00DE12A3">
        <w:t>.</w:t>
      </w:r>
    </w:p>
    <w:p w14:paraId="194E9670" w14:textId="39E9C082" w:rsidR="00FC1DDE" w:rsidRPr="00DE12A3" w:rsidRDefault="00876360" w:rsidP="00E20716">
      <w:pPr>
        <w:pStyle w:val="Point0"/>
        <w:numPr>
          <w:ilvl w:val="0"/>
          <w:numId w:val="458"/>
        </w:numPr>
        <w:ind w:left="2268" w:hanging="567"/>
      </w:pPr>
      <w:r w:rsidRPr="00DE12A3">
        <w:t xml:space="preserve">  </w:t>
      </w:r>
      <w:r w:rsidR="00FC1DDE" w:rsidRPr="00DE12A3">
        <w:t xml:space="preserve">Tüm seyreltilmiş egzoz gazı ve hava (örneğin kalibrasyon havası veya seyreltme havası) aralığı için, sabit bir özgül ısılar oranı γ = 1,399 </w:t>
      </w:r>
      <w:r w:rsidR="002654C8" w:rsidRPr="00DE12A3">
        <w:t>varsayılabilir</w:t>
      </w:r>
      <w:r w:rsidR="00117673" w:rsidRPr="00DE12A3">
        <w:t>.</w:t>
      </w:r>
    </w:p>
    <w:p w14:paraId="76EDF2F8" w14:textId="0CFC0721" w:rsidR="00FC1DDE" w:rsidRPr="00DE12A3" w:rsidRDefault="00876360" w:rsidP="00E20716">
      <w:pPr>
        <w:pStyle w:val="Point0"/>
        <w:numPr>
          <w:ilvl w:val="0"/>
          <w:numId w:val="458"/>
        </w:numPr>
        <w:ind w:left="2268" w:hanging="567"/>
      </w:pPr>
      <w:r w:rsidRPr="00DE12A3">
        <w:t xml:space="preserve">  </w:t>
      </w:r>
      <w:r w:rsidR="00FC1DDE" w:rsidRPr="00DE12A3">
        <w:t>Tüm seyreltilmiş egzoz gazı ve hava aralıkları için, karışımın molar kütlesi M</w:t>
      </w:r>
      <w:r w:rsidR="00FC1DDE" w:rsidRPr="00DE12A3">
        <w:rPr>
          <w:vertAlign w:val="subscript"/>
        </w:rPr>
        <w:t>mix</w:t>
      </w:r>
      <w:r w:rsidR="00FC1DDE" w:rsidRPr="00DE12A3">
        <w:t xml:space="preserve"> [g/mol], sadece 3.3.2 bendinde tarif edilen seyreltme havası veya kalibrasyon havası içindeki su miktarı x</w:t>
      </w:r>
      <w:r w:rsidR="00FC1DDE" w:rsidRPr="00DE12A3">
        <w:rPr>
          <w:vertAlign w:val="subscript"/>
        </w:rPr>
        <w:t>H2O</w:t>
      </w:r>
      <w:r w:rsidR="00FC1DDE" w:rsidRPr="00DE12A3">
        <w:t xml:space="preserve">'nun bir fonksiyonu olarak kabul edilebilir ve (7-144) </w:t>
      </w:r>
      <w:r w:rsidR="00962CA1" w:rsidRPr="00DE12A3">
        <w:t>numaralı</w:t>
      </w:r>
      <w:r w:rsidR="00962CA1" w:rsidRPr="00DE12A3" w:rsidDel="00962CA1">
        <w:t xml:space="preserve"> </w:t>
      </w:r>
      <w:r w:rsidR="00FC1DDE" w:rsidRPr="00DE12A3">
        <w:t xml:space="preserve">denklem ile </w:t>
      </w:r>
      <w:r w:rsidR="002654C8" w:rsidRPr="00DE12A3">
        <w:t>hesaplanmalıdır</w:t>
      </w:r>
      <w:r w:rsidR="00117673" w:rsidRPr="00DE12A3">
        <w:t>.</w:t>
      </w:r>
    </w:p>
    <w:p w14:paraId="218EFB59" w14:textId="77777777" w:rsidR="00FC1DDE" w:rsidRPr="00DE12A3" w:rsidRDefault="00FC1DDE" w:rsidP="00C917D6">
      <w:pPr>
        <w:pStyle w:val="Point1"/>
      </w:pPr>
    </w:p>
    <w:tbl>
      <w:tblPr>
        <w:tblW w:w="0" w:type="auto"/>
        <w:tblInd w:w="1996" w:type="dxa"/>
        <w:tblLayout w:type="fixed"/>
        <w:tblLook w:val="0000" w:firstRow="0" w:lastRow="0" w:firstColumn="0" w:lastColumn="0" w:noHBand="0" w:noVBand="0"/>
      </w:tblPr>
      <w:tblGrid>
        <w:gridCol w:w="4287"/>
        <w:gridCol w:w="1006"/>
      </w:tblGrid>
      <w:tr w:rsidR="009F4766" w:rsidRPr="00DE12A3" w14:paraId="22C08159" w14:textId="77777777" w:rsidTr="001A234D">
        <w:tc>
          <w:tcPr>
            <w:tcW w:w="4287" w:type="dxa"/>
          </w:tcPr>
          <w:p w14:paraId="054D4480" w14:textId="77777777" w:rsidR="009F4766" w:rsidRPr="00DE12A3" w:rsidRDefault="009F4766" w:rsidP="00C917D6">
            <w:pPr>
              <w:pStyle w:val="NormalLeft"/>
            </w:pPr>
            <w:r w:rsidRPr="00DE12A3">
              <w:rPr>
                <w:i/>
                <w:iCs/>
              </w:rPr>
              <w:t>M</w:t>
            </w:r>
            <w:r w:rsidRPr="00DE12A3">
              <w:rPr>
                <w:vertAlign w:val="subscript"/>
              </w:rPr>
              <w:t>mix</w:t>
            </w:r>
            <w:r w:rsidRPr="00DE12A3">
              <w:t xml:space="preserve"> = </w:t>
            </w:r>
            <w:r w:rsidRPr="00DE12A3">
              <w:rPr>
                <w:i/>
                <w:iCs/>
              </w:rPr>
              <w:t>M</w:t>
            </w:r>
            <w:r w:rsidRPr="00DE12A3">
              <w:rPr>
                <w:vertAlign w:val="subscript"/>
              </w:rPr>
              <w:t>air</w:t>
            </w:r>
            <w:r w:rsidRPr="00DE12A3">
              <w:t>· (1 –</w:t>
            </w:r>
            <w:r w:rsidRPr="00DE12A3">
              <w:rPr>
                <w:i/>
                <w:iCs/>
              </w:rPr>
              <w:t>x</w:t>
            </w:r>
            <w:r w:rsidRPr="00DE12A3">
              <w:rPr>
                <w:vertAlign w:val="subscript"/>
              </w:rPr>
              <w:t>H2O</w:t>
            </w:r>
            <w:r w:rsidRPr="00DE12A3">
              <w:t>) +</w:t>
            </w:r>
            <w:r w:rsidRPr="00DE12A3">
              <w:rPr>
                <w:i/>
                <w:iCs/>
              </w:rPr>
              <w:t>M</w:t>
            </w:r>
            <w:r w:rsidRPr="00DE12A3">
              <w:rPr>
                <w:vertAlign w:val="subscript"/>
              </w:rPr>
              <w:t>H2O</w:t>
            </w:r>
            <w:r w:rsidRPr="00DE12A3">
              <w:t>· (</w:t>
            </w:r>
            <w:r w:rsidRPr="00DE12A3">
              <w:rPr>
                <w:i/>
                <w:iCs/>
              </w:rPr>
              <w:t>x</w:t>
            </w:r>
            <w:r w:rsidRPr="00DE12A3">
              <w:rPr>
                <w:vertAlign w:val="subscript"/>
              </w:rPr>
              <w:t>H2O</w:t>
            </w:r>
            <w:r w:rsidRPr="00DE12A3">
              <w:t>)</w:t>
            </w:r>
          </w:p>
        </w:tc>
        <w:tc>
          <w:tcPr>
            <w:tcW w:w="1006" w:type="dxa"/>
          </w:tcPr>
          <w:p w14:paraId="00499AB3" w14:textId="77777777" w:rsidR="009F4766" w:rsidRPr="00DE12A3" w:rsidRDefault="009F4766" w:rsidP="00C917D6">
            <w:pPr>
              <w:pStyle w:val="NormalLeft"/>
            </w:pPr>
            <w:r w:rsidRPr="00DE12A3">
              <w:t>(7-144)</w:t>
            </w:r>
          </w:p>
        </w:tc>
      </w:tr>
    </w:tbl>
    <w:p w14:paraId="4E2EEF47" w14:textId="77777777" w:rsidR="009F4766" w:rsidRPr="00DE12A3" w:rsidRDefault="009F4766" w:rsidP="00C917D6">
      <w:pPr>
        <w:spacing w:before="120" w:after="120"/>
        <w:rPr>
          <w:rFonts w:cs="Times New Roman"/>
          <w:color w:val="auto"/>
        </w:rPr>
      </w:pPr>
    </w:p>
    <w:p w14:paraId="799E44A4" w14:textId="77777777" w:rsidR="009F4766" w:rsidRPr="00DE12A3" w:rsidRDefault="009F4766" w:rsidP="00C917D6">
      <w:pPr>
        <w:pStyle w:val="Point1"/>
        <w:ind w:left="1134" w:firstLine="0"/>
      </w:pPr>
      <w:r w:rsidRPr="00DE12A3">
        <w:tab/>
      </w:r>
      <w:r w:rsidR="008B3D9F" w:rsidRPr="00DE12A3">
        <w:t>Burada</w:t>
      </w:r>
      <w:r w:rsidRPr="00DE12A3">
        <w:t>:</w:t>
      </w:r>
    </w:p>
    <w:tbl>
      <w:tblPr>
        <w:tblW w:w="0" w:type="auto"/>
        <w:tblInd w:w="1526" w:type="dxa"/>
        <w:tblLayout w:type="fixed"/>
        <w:tblLook w:val="0000" w:firstRow="0" w:lastRow="0" w:firstColumn="0" w:lastColumn="0" w:noHBand="0" w:noVBand="0"/>
      </w:tblPr>
      <w:tblGrid>
        <w:gridCol w:w="1701"/>
        <w:gridCol w:w="283"/>
        <w:gridCol w:w="4941"/>
      </w:tblGrid>
      <w:tr w:rsidR="00DE12A3" w:rsidRPr="00DE12A3" w14:paraId="6A4B89B2" w14:textId="77777777" w:rsidTr="006D7ADF">
        <w:tc>
          <w:tcPr>
            <w:tcW w:w="1701" w:type="dxa"/>
          </w:tcPr>
          <w:p w14:paraId="47BC3D37" w14:textId="77777777" w:rsidR="009F4766" w:rsidRPr="00DE12A3" w:rsidRDefault="009F4766" w:rsidP="00C917D6">
            <w:pPr>
              <w:pStyle w:val="NormalLeft"/>
            </w:pPr>
            <w:r w:rsidRPr="00DE12A3">
              <w:rPr>
                <w:i/>
                <w:iCs/>
              </w:rPr>
              <w:lastRenderedPageBreak/>
              <w:t>M</w:t>
            </w:r>
            <w:r w:rsidRPr="00DE12A3">
              <w:rPr>
                <w:vertAlign w:val="subscript"/>
              </w:rPr>
              <w:t>air</w:t>
            </w:r>
          </w:p>
        </w:tc>
        <w:tc>
          <w:tcPr>
            <w:tcW w:w="283" w:type="dxa"/>
          </w:tcPr>
          <w:p w14:paraId="1B8547B7" w14:textId="77777777" w:rsidR="009F4766" w:rsidRPr="00DE12A3" w:rsidRDefault="009F4766" w:rsidP="00C917D6">
            <w:pPr>
              <w:pStyle w:val="NormalLeft"/>
            </w:pPr>
            <w:r w:rsidRPr="00DE12A3">
              <w:t>=</w:t>
            </w:r>
          </w:p>
        </w:tc>
        <w:tc>
          <w:tcPr>
            <w:tcW w:w="4941" w:type="dxa"/>
          </w:tcPr>
          <w:p w14:paraId="631CFE10" w14:textId="77777777" w:rsidR="009F4766" w:rsidRPr="00DE12A3" w:rsidRDefault="009F4766" w:rsidP="00C917D6">
            <w:pPr>
              <w:pStyle w:val="NormalLeft"/>
            </w:pPr>
            <w:r w:rsidRPr="00DE12A3">
              <w:t>28,96559 g/mol</w:t>
            </w:r>
          </w:p>
        </w:tc>
      </w:tr>
      <w:tr w:rsidR="00DE12A3" w:rsidRPr="00DE12A3" w14:paraId="6112EAD5" w14:textId="77777777" w:rsidTr="006D7ADF">
        <w:tc>
          <w:tcPr>
            <w:tcW w:w="1701" w:type="dxa"/>
          </w:tcPr>
          <w:p w14:paraId="6EEE625B" w14:textId="77777777" w:rsidR="009F4766" w:rsidRPr="00DE12A3" w:rsidRDefault="009F4766" w:rsidP="00C917D6">
            <w:pPr>
              <w:pStyle w:val="NormalLeft"/>
            </w:pPr>
            <w:r w:rsidRPr="00DE12A3">
              <w:rPr>
                <w:i/>
                <w:iCs/>
              </w:rPr>
              <w:t>M</w:t>
            </w:r>
            <w:r w:rsidRPr="00DE12A3">
              <w:rPr>
                <w:vertAlign w:val="subscript"/>
              </w:rPr>
              <w:t>H2O</w:t>
            </w:r>
          </w:p>
        </w:tc>
        <w:tc>
          <w:tcPr>
            <w:tcW w:w="283" w:type="dxa"/>
          </w:tcPr>
          <w:p w14:paraId="4A401E17" w14:textId="77777777" w:rsidR="009F4766" w:rsidRPr="00DE12A3" w:rsidRDefault="009F4766" w:rsidP="00C917D6">
            <w:pPr>
              <w:pStyle w:val="NormalLeft"/>
            </w:pPr>
            <w:r w:rsidRPr="00DE12A3">
              <w:t>=</w:t>
            </w:r>
          </w:p>
        </w:tc>
        <w:tc>
          <w:tcPr>
            <w:tcW w:w="4941" w:type="dxa"/>
          </w:tcPr>
          <w:p w14:paraId="18CF3AE4" w14:textId="77777777" w:rsidR="009F4766" w:rsidRPr="00DE12A3" w:rsidRDefault="009F4766" w:rsidP="00C917D6">
            <w:pPr>
              <w:pStyle w:val="NormalLeft"/>
            </w:pPr>
            <w:r w:rsidRPr="00DE12A3">
              <w:t>18,01528 g/mol</w:t>
            </w:r>
          </w:p>
        </w:tc>
      </w:tr>
      <w:tr w:rsidR="009F4766" w:rsidRPr="00DE12A3" w14:paraId="1C5C7671" w14:textId="77777777" w:rsidTr="006D7ADF">
        <w:tc>
          <w:tcPr>
            <w:tcW w:w="1701" w:type="dxa"/>
          </w:tcPr>
          <w:p w14:paraId="2DC7DB73" w14:textId="77777777" w:rsidR="009F4766" w:rsidRPr="00DE12A3" w:rsidRDefault="009F4766" w:rsidP="00C917D6">
            <w:pPr>
              <w:pStyle w:val="NormalLeft"/>
            </w:pPr>
            <w:r w:rsidRPr="00DE12A3">
              <w:rPr>
                <w:i/>
                <w:iCs/>
              </w:rPr>
              <w:t>x</w:t>
            </w:r>
            <w:r w:rsidRPr="00DE12A3">
              <w:rPr>
                <w:vertAlign w:val="subscript"/>
              </w:rPr>
              <w:t>H2O</w:t>
            </w:r>
          </w:p>
        </w:tc>
        <w:tc>
          <w:tcPr>
            <w:tcW w:w="283" w:type="dxa"/>
          </w:tcPr>
          <w:p w14:paraId="673A9E18" w14:textId="77777777" w:rsidR="009F4766" w:rsidRPr="00DE12A3" w:rsidRDefault="009F4766" w:rsidP="00C917D6">
            <w:pPr>
              <w:pStyle w:val="NormalLeft"/>
            </w:pPr>
            <w:r w:rsidRPr="00DE12A3">
              <w:t>=</w:t>
            </w:r>
          </w:p>
        </w:tc>
        <w:tc>
          <w:tcPr>
            <w:tcW w:w="4941" w:type="dxa"/>
          </w:tcPr>
          <w:p w14:paraId="4ECFFE52" w14:textId="4CBDCC0C" w:rsidR="009F4766" w:rsidRPr="00DE12A3" w:rsidRDefault="002654C8" w:rsidP="00C917D6">
            <w:pPr>
              <w:pStyle w:val="NormalLeft"/>
            </w:pPr>
            <w:r w:rsidRPr="00DE12A3">
              <w:t>Seyreltme</w:t>
            </w:r>
            <w:r w:rsidR="00876360" w:rsidRPr="00DE12A3">
              <w:t xml:space="preserve"> veya kalibrasyon havası içindeki su miktarı [mol/mol]</w:t>
            </w:r>
          </w:p>
        </w:tc>
      </w:tr>
    </w:tbl>
    <w:p w14:paraId="2238A10C" w14:textId="77777777" w:rsidR="009F4766" w:rsidRPr="00DE12A3" w:rsidRDefault="009F4766" w:rsidP="00C917D6">
      <w:pPr>
        <w:spacing w:before="120" w:after="120"/>
        <w:rPr>
          <w:rFonts w:cs="Times New Roman"/>
          <w:color w:val="auto"/>
        </w:rPr>
      </w:pPr>
    </w:p>
    <w:p w14:paraId="71871496" w14:textId="3BAA2B38" w:rsidR="00876360" w:rsidRPr="00DE12A3" w:rsidRDefault="009F4766" w:rsidP="00C917D6">
      <w:pPr>
        <w:pStyle w:val="Point1"/>
        <w:ind w:left="2268"/>
      </w:pPr>
      <w:r w:rsidRPr="00DE12A3">
        <w:t>(v)</w:t>
      </w:r>
      <w:r w:rsidRPr="00DE12A3">
        <w:tab/>
      </w:r>
      <w:r w:rsidR="00876360" w:rsidRPr="00DE12A3">
        <w:t>Tüm seyreltilmiş egzoz gazı ve hava aralıkları için, varsayılan molar kütle tahmini, kalibrasyon ve test sırasında asgari ve azami molar kütleden en çok ± % 1 farklılık gösterdiği sürece tüm kalibrasyonlar ve tüm testler için bir sabit molar karışım kütlesi M</w:t>
      </w:r>
      <w:r w:rsidR="00876360" w:rsidRPr="00DE12A3">
        <w:rPr>
          <w:vertAlign w:val="subscript"/>
        </w:rPr>
        <w:t xml:space="preserve">mix </w:t>
      </w:r>
      <w:r w:rsidR="00876360" w:rsidRPr="00DE12A3">
        <w:t xml:space="preserve">varsayılabilir. Bu varsayım, kalibrasyon havası ve seyreltme havası içindeki su miktarının yeterli şekilde kontrol edilmesi sağlanırsa veya hem kalibrasyon havasından hem de seyreltme havasından yeterli miktarda su giderilirse yapılabilir. Tablo 7.6'da, kalibrasyon havası yoğuşma noktasına göre izin verilen seyreltme havası yoğuşma noktası aralıklarına örnekler </w:t>
      </w:r>
      <w:r w:rsidR="003C2689" w:rsidRPr="00DE12A3">
        <w:t>sağlamaktadır</w:t>
      </w:r>
      <w:r w:rsidR="00117673" w:rsidRPr="00DE12A3">
        <w:t>.</w:t>
      </w:r>
    </w:p>
    <w:p w14:paraId="662DA66A" w14:textId="2C7275E2" w:rsidR="009F4766" w:rsidRPr="00DE12A3" w:rsidRDefault="009F4766" w:rsidP="00C917D6">
      <w:pPr>
        <w:pStyle w:val="Point1"/>
      </w:pPr>
    </w:p>
    <w:p w14:paraId="3E211906" w14:textId="77777777" w:rsidR="002F5BBD" w:rsidRPr="00DE12A3" w:rsidRDefault="002F5BBD" w:rsidP="00C917D6">
      <w:pPr>
        <w:pStyle w:val="Point1"/>
      </w:pPr>
    </w:p>
    <w:p w14:paraId="61A687DB" w14:textId="5ED97A32" w:rsidR="008242BF" w:rsidRPr="00DE12A3" w:rsidRDefault="008242BF" w:rsidP="008242BF">
      <w:pPr>
        <w:pStyle w:val="Point1"/>
        <w:jc w:val="center"/>
        <w:rPr>
          <w:b/>
          <w:bCs/>
          <w:iCs/>
        </w:rPr>
      </w:pPr>
      <w:r w:rsidRPr="00DE12A3">
        <w:rPr>
          <w:b/>
          <w:bCs/>
          <w:iCs/>
        </w:rPr>
        <w:t>Tablo 7.6</w:t>
      </w:r>
    </w:p>
    <w:p w14:paraId="5831C55A" w14:textId="0745DF1D" w:rsidR="008242BF" w:rsidRPr="00DE12A3" w:rsidRDefault="008242BF" w:rsidP="008242BF">
      <w:pPr>
        <w:pStyle w:val="Point1"/>
        <w:jc w:val="center"/>
      </w:pPr>
      <w:r w:rsidRPr="00DE12A3">
        <w:rPr>
          <w:b/>
          <w:iCs/>
        </w:rPr>
        <w:t>Sabit bir Mmix varsayılabilecek seyreltme havası ve kalibrasyon havası yoğuşma noktalarına örnekler</w:t>
      </w:r>
    </w:p>
    <w:tbl>
      <w:tblPr>
        <w:tblW w:w="7902" w:type="dxa"/>
        <w:tblInd w:w="1384" w:type="dxa"/>
        <w:tblLayout w:type="fixed"/>
        <w:tblLook w:val="0000" w:firstRow="0" w:lastRow="0" w:firstColumn="0" w:lastColumn="0" w:noHBand="0" w:noVBand="0"/>
      </w:tblPr>
      <w:tblGrid>
        <w:gridCol w:w="1843"/>
        <w:gridCol w:w="2345"/>
        <w:gridCol w:w="3714"/>
      </w:tblGrid>
      <w:tr w:rsidR="00DE12A3" w:rsidRPr="00DE12A3" w14:paraId="36764E22" w14:textId="77777777" w:rsidTr="00984EC0">
        <w:trPr>
          <w:trHeight w:val="881"/>
        </w:trPr>
        <w:tc>
          <w:tcPr>
            <w:tcW w:w="1843" w:type="dxa"/>
            <w:tcBorders>
              <w:top w:val="single" w:sz="2" w:space="0" w:color="auto"/>
              <w:left w:val="single" w:sz="2" w:space="0" w:color="auto"/>
              <w:bottom w:val="single" w:sz="2" w:space="0" w:color="auto"/>
              <w:right w:val="single" w:sz="2" w:space="0" w:color="auto"/>
            </w:tcBorders>
          </w:tcPr>
          <w:p w14:paraId="4417BEB4" w14:textId="77777777" w:rsidR="009F4766" w:rsidRPr="00DE12A3" w:rsidRDefault="00876360" w:rsidP="00C917D6">
            <w:pPr>
              <w:pStyle w:val="NormalCentered"/>
            </w:pPr>
            <w:r w:rsidRPr="00DE12A3">
              <w:t>Kalibrasyon T</w:t>
            </w:r>
            <w:r w:rsidRPr="00DE12A3">
              <w:rPr>
                <w:vertAlign w:val="subscript"/>
              </w:rPr>
              <w:t>dew</w:t>
            </w:r>
            <w:r w:rsidRPr="00DE12A3">
              <w:t>’i (°C)...</w:t>
            </w:r>
          </w:p>
        </w:tc>
        <w:tc>
          <w:tcPr>
            <w:tcW w:w="2345" w:type="dxa"/>
            <w:tcBorders>
              <w:top w:val="single" w:sz="2" w:space="0" w:color="auto"/>
              <w:left w:val="single" w:sz="2" w:space="0" w:color="auto"/>
              <w:bottom w:val="single" w:sz="2" w:space="0" w:color="auto"/>
              <w:right w:val="single" w:sz="2" w:space="0" w:color="auto"/>
            </w:tcBorders>
          </w:tcPr>
          <w:p w14:paraId="5DFBD1BC" w14:textId="77777777" w:rsidR="009F4766" w:rsidRPr="00DE12A3" w:rsidRDefault="00876360" w:rsidP="00C917D6">
            <w:pPr>
              <w:pStyle w:val="NormalCentered"/>
            </w:pPr>
            <w:r w:rsidRPr="00DE12A3">
              <w:t>Aşağıdaki sabit M</w:t>
            </w:r>
            <w:r w:rsidRPr="00DE12A3">
              <w:rPr>
                <w:vertAlign w:val="subscript"/>
              </w:rPr>
              <w:t xml:space="preserve">mix </w:t>
            </w:r>
            <w:r w:rsidRPr="00DE12A3">
              <w:t>(g/mol) varsayılır</w:t>
            </w:r>
          </w:p>
        </w:tc>
        <w:tc>
          <w:tcPr>
            <w:tcW w:w="3714" w:type="dxa"/>
            <w:tcBorders>
              <w:top w:val="single" w:sz="2" w:space="0" w:color="auto"/>
              <w:left w:val="single" w:sz="2" w:space="0" w:color="auto"/>
              <w:bottom w:val="single" w:sz="2" w:space="0" w:color="auto"/>
              <w:right w:val="single" w:sz="2" w:space="0" w:color="auto"/>
            </w:tcBorders>
          </w:tcPr>
          <w:p w14:paraId="20AA0B0A" w14:textId="77777777" w:rsidR="009F4766" w:rsidRPr="00DE12A3" w:rsidRDefault="00A6083D" w:rsidP="00C917D6">
            <w:pPr>
              <w:pStyle w:val="NormalCentered"/>
            </w:pPr>
            <w:r w:rsidRPr="00DE12A3">
              <w:t>E</w:t>
            </w:r>
            <w:r w:rsidR="00876360" w:rsidRPr="00DE12A3">
              <w:t>misyon testleri sırasında aşağıdaki T</w:t>
            </w:r>
            <w:r w:rsidR="00876360" w:rsidRPr="00DE12A3">
              <w:rPr>
                <w:vertAlign w:val="subscript"/>
              </w:rPr>
              <w:t>dew</w:t>
            </w:r>
            <w:r w:rsidR="00876360" w:rsidRPr="00DE12A3">
              <w:t xml:space="preserve"> (°C) aralıkları için </w:t>
            </w:r>
            <w:r w:rsidR="00876360" w:rsidRPr="00DE12A3">
              <w:rPr>
                <w:vertAlign w:val="superscript"/>
              </w:rPr>
              <w:t>(a)</w:t>
            </w:r>
          </w:p>
        </w:tc>
      </w:tr>
      <w:tr w:rsidR="00DE12A3" w:rsidRPr="00DE12A3" w14:paraId="4579FF6F" w14:textId="77777777" w:rsidTr="00196FB6">
        <w:tc>
          <w:tcPr>
            <w:tcW w:w="1843" w:type="dxa"/>
            <w:tcBorders>
              <w:top w:val="single" w:sz="2" w:space="0" w:color="auto"/>
              <w:left w:val="single" w:sz="2" w:space="0" w:color="auto"/>
              <w:bottom w:val="single" w:sz="2" w:space="0" w:color="auto"/>
              <w:right w:val="single" w:sz="2" w:space="0" w:color="auto"/>
            </w:tcBorders>
          </w:tcPr>
          <w:p w14:paraId="73A03D79" w14:textId="77777777" w:rsidR="00771776" w:rsidRPr="00DE12A3" w:rsidRDefault="00196FB6" w:rsidP="00C917D6">
            <w:pPr>
              <w:pStyle w:val="NormalLeft"/>
            </w:pPr>
            <w:r w:rsidRPr="00DE12A3">
              <w:t>Kuru</w:t>
            </w:r>
          </w:p>
        </w:tc>
        <w:tc>
          <w:tcPr>
            <w:tcW w:w="2345" w:type="dxa"/>
            <w:tcBorders>
              <w:top w:val="single" w:sz="2" w:space="0" w:color="auto"/>
              <w:left w:val="single" w:sz="2" w:space="0" w:color="auto"/>
              <w:bottom w:val="single" w:sz="2" w:space="0" w:color="auto"/>
              <w:right w:val="single" w:sz="2" w:space="0" w:color="auto"/>
            </w:tcBorders>
          </w:tcPr>
          <w:p w14:paraId="656343F7" w14:textId="77777777" w:rsidR="00771776" w:rsidRPr="00DE12A3" w:rsidRDefault="00771776" w:rsidP="00C917D6">
            <w:pPr>
              <w:pStyle w:val="NormalLeft"/>
            </w:pPr>
            <w:r w:rsidRPr="00DE12A3">
              <w:t>28,96559</w:t>
            </w:r>
          </w:p>
        </w:tc>
        <w:tc>
          <w:tcPr>
            <w:tcW w:w="3714" w:type="dxa"/>
            <w:tcBorders>
              <w:top w:val="single" w:sz="2" w:space="0" w:color="auto"/>
              <w:left w:val="single" w:sz="2" w:space="0" w:color="auto"/>
              <w:bottom w:val="single" w:sz="2" w:space="0" w:color="auto"/>
              <w:right w:val="single" w:sz="2" w:space="0" w:color="auto"/>
            </w:tcBorders>
          </w:tcPr>
          <w:p w14:paraId="2C33420F" w14:textId="77777777" w:rsidR="00771776" w:rsidRPr="00DE12A3" w:rsidRDefault="00771776" w:rsidP="00C917D6">
            <w:pPr>
              <w:spacing w:before="120" w:after="120"/>
              <w:rPr>
                <w:rFonts w:cs="Times New Roman"/>
                <w:color w:val="auto"/>
              </w:rPr>
            </w:pPr>
            <w:r w:rsidRPr="00DE12A3">
              <w:rPr>
                <w:rFonts w:cs="Times New Roman"/>
                <w:color w:val="auto"/>
              </w:rPr>
              <w:t>kuru ila 18</w:t>
            </w:r>
          </w:p>
        </w:tc>
      </w:tr>
      <w:tr w:rsidR="00DE12A3" w:rsidRPr="00DE12A3" w14:paraId="1881E355" w14:textId="77777777" w:rsidTr="00196FB6">
        <w:tc>
          <w:tcPr>
            <w:tcW w:w="1843" w:type="dxa"/>
            <w:tcBorders>
              <w:top w:val="single" w:sz="2" w:space="0" w:color="auto"/>
              <w:left w:val="single" w:sz="2" w:space="0" w:color="auto"/>
              <w:bottom w:val="single" w:sz="2" w:space="0" w:color="auto"/>
              <w:right w:val="single" w:sz="2" w:space="0" w:color="auto"/>
            </w:tcBorders>
          </w:tcPr>
          <w:p w14:paraId="744911D3" w14:textId="77777777" w:rsidR="00771776" w:rsidRPr="00DE12A3" w:rsidRDefault="00771776" w:rsidP="00C917D6">
            <w:pPr>
              <w:pStyle w:val="NormalLeft"/>
            </w:pPr>
            <w:r w:rsidRPr="00DE12A3">
              <w:t>0</w:t>
            </w:r>
          </w:p>
        </w:tc>
        <w:tc>
          <w:tcPr>
            <w:tcW w:w="2345" w:type="dxa"/>
            <w:tcBorders>
              <w:top w:val="single" w:sz="2" w:space="0" w:color="auto"/>
              <w:left w:val="single" w:sz="2" w:space="0" w:color="auto"/>
              <w:bottom w:val="single" w:sz="2" w:space="0" w:color="auto"/>
              <w:right w:val="single" w:sz="2" w:space="0" w:color="auto"/>
            </w:tcBorders>
          </w:tcPr>
          <w:p w14:paraId="323DB6F3" w14:textId="77777777" w:rsidR="00771776" w:rsidRPr="00DE12A3" w:rsidRDefault="00771776" w:rsidP="00C917D6">
            <w:pPr>
              <w:pStyle w:val="NormalLeft"/>
            </w:pPr>
            <w:r w:rsidRPr="00DE12A3">
              <w:t>28,89263</w:t>
            </w:r>
          </w:p>
        </w:tc>
        <w:tc>
          <w:tcPr>
            <w:tcW w:w="3714" w:type="dxa"/>
            <w:tcBorders>
              <w:top w:val="single" w:sz="2" w:space="0" w:color="auto"/>
              <w:left w:val="single" w:sz="2" w:space="0" w:color="auto"/>
              <w:bottom w:val="single" w:sz="2" w:space="0" w:color="auto"/>
              <w:right w:val="single" w:sz="2" w:space="0" w:color="auto"/>
            </w:tcBorders>
          </w:tcPr>
          <w:p w14:paraId="04A06651" w14:textId="77777777" w:rsidR="00771776" w:rsidRPr="00DE12A3" w:rsidRDefault="00771776" w:rsidP="00C917D6">
            <w:pPr>
              <w:spacing w:before="120" w:after="120"/>
              <w:rPr>
                <w:rFonts w:cs="Times New Roman"/>
                <w:color w:val="auto"/>
              </w:rPr>
            </w:pPr>
            <w:r w:rsidRPr="00DE12A3">
              <w:rPr>
                <w:rFonts w:cs="Times New Roman"/>
                <w:color w:val="auto"/>
              </w:rPr>
              <w:t>kuru ila 21</w:t>
            </w:r>
          </w:p>
        </w:tc>
      </w:tr>
      <w:tr w:rsidR="00DE12A3" w:rsidRPr="00DE12A3" w14:paraId="12A7758B" w14:textId="77777777" w:rsidTr="00196FB6">
        <w:tc>
          <w:tcPr>
            <w:tcW w:w="1843" w:type="dxa"/>
            <w:tcBorders>
              <w:top w:val="single" w:sz="2" w:space="0" w:color="auto"/>
              <w:left w:val="single" w:sz="2" w:space="0" w:color="auto"/>
              <w:bottom w:val="single" w:sz="2" w:space="0" w:color="auto"/>
              <w:right w:val="single" w:sz="2" w:space="0" w:color="auto"/>
            </w:tcBorders>
          </w:tcPr>
          <w:p w14:paraId="49FAE64E" w14:textId="77777777" w:rsidR="00771776" w:rsidRPr="00DE12A3" w:rsidRDefault="00771776" w:rsidP="00C917D6">
            <w:pPr>
              <w:pStyle w:val="NormalLeft"/>
            </w:pPr>
            <w:r w:rsidRPr="00DE12A3">
              <w:t>5</w:t>
            </w:r>
          </w:p>
        </w:tc>
        <w:tc>
          <w:tcPr>
            <w:tcW w:w="2345" w:type="dxa"/>
            <w:tcBorders>
              <w:top w:val="single" w:sz="2" w:space="0" w:color="auto"/>
              <w:left w:val="single" w:sz="2" w:space="0" w:color="auto"/>
              <w:bottom w:val="single" w:sz="2" w:space="0" w:color="auto"/>
              <w:right w:val="single" w:sz="2" w:space="0" w:color="auto"/>
            </w:tcBorders>
          </w:tcPr>
          <w:p w14:paraId="3962218B" w14:textId="77777777" w:rsidR="00771776" w:rsidRPr="00DE12A3" w:rsidRDefault="00771776" w:rsidP="00C917D6">
            <w:pPr>
              <w:pStyle w:val="NormalLeft"/>
            </w:pPr>
            <w:r w:rsidRPr="00DE12A3">
              <w:t>28,86148</w:t>
            </w:r>
          </w:p>
        </w:tc>
        <w:tc>
          <w:tcPr>
            <w:tcW w:w="3714" w:type="dxa"/>
            <w:tcBorders>
              <w:top w:val="single" w:sz="2" w:space="0" w:color="auto"/>
              <w:left w:val="single" w:sz="2" w:space="0" w:color="auto"/>
              <w:bottom w:val="single" w:sz="2" w:space="0" w:color="auto"/>
              <w:right w:val="single" w:sz="2" w:space="0" w:color="auto"/>
            </w:tcBorders>
          </w:tcPr>
          <w:p w14:paraId="04AD97DC" w14:textId="77777777" w:rsidR="00771776" w:rsidRPr="00DE12A3" w:rsidRDefault="00771776" w:rsidP="00C917D6">
            <w:pPr>
              <w:spacing w:before="120" w:after="120"/>
              <w:rPr>
                <w:rFonts w:cs="Times New Roman"/>
                <w:color w:val="auto"/>
              </w:rPr>
            </w:pPr>
            <w:r w:rsidRPr="00DE12A3">
              <w:rPr>
                <w:rFonts w:cs="Times New Roman"/>
                <w:color w:val="auto"/>
              </w:rPr>
              <w:t>kuru ila 22</w:t>
            </w:r>
          </w:p>
        </w:tc>
      </w:tr>
      <w:tr w:rsidR="00DE12A3" w:rsidRPr="00DE12A3" w14:paraId="7E8EC7F2" w14:textId="77777777" w:rsidTr="00196FB6">
        <w:tc>
          <w:tcPr>
            <w:tcW w:w="1843" w:type="dxa"/>
            <w:tcBorders>
              <w:top w:val="single" w:sz="2" w:space="0" w:color="auto"/>
              <w:left w:val="single" w:sz="2" w:space="0" w:color="auto"/>
              <w:bottom w:val="single" w:sz="2" w:space="0" w:color="auto"/>
              <w:right w:val="single" w:sz="2" w:space="0" w:color="auto"/>
            </w:tcBorders>
          </w:tcPr>
          <w:p w14:paraId="3D5505D3" w14:textId="77777777" w:rsidR="00771776" w:rsidRPr="00DE12A3" w:rsidRDefault="00771776" w:rsidP="00C917D6">
            <w:pPr>
              <w:pStyle w:val="NormalLeft"/>
            </w:pPr>
            <w:r w:rsidRPr="00DE12A3">
              <w:t>10</w:t>
            </w:r>
          </w:p>
        </w:tc>
        <w:tc>
          <w:tcPr>
            <w:tcW w:w="2345" w:type="dxa"/>
            <w:tcBorders>
              <w:top w:val="single" w:sz="2" w:space="0" w:color="auto"/>
              <w:left w:val="single" w:sz="2" w:space="0" w:color="auto"/>
              <w:bottom w:val="single" w:sz="2" w:space="0" w:color="auto"/>
              <w:right w:val="single" w:sz="2" w:space="0" w:color="auto"/>
            </w:tcBorders>
          </w:tcPr>
          <w:p w14:paraId="01CD4F91" w14:textId="77777777" w:rsidR="00771776" w:rsidRPr="00DE12A3" w:rsidRDefault="00771776" w:rsidP="00C917D6">
            <w:pPr>
              <w:pStyle w:val="NormalLeft"/>
            </w:pPr>
            <w:r w:rsidRPr="00DE12A3">
              <w:t>28,81911</w:t>
            </w:r>
          </w:p>
        </w:tc>
        <w:tc>
          <w:tcPr>
            <w:tcW w:w="3714" w:type="dxa"/>
            <w:tcBorders>
              <w:top w:val="single" w:sz="2" w:space="0" w:color="auto"/>
              <w:left w:val="single" w:sz="2" w:space="0" w:color="auto"/>
              <w:bottom w:val="single" w:sz="2" w:space="0" w:color="auto"/>
              <w:right w:val="single" w:sz="2" w:space="0" w:color="auto"/>
            </w:tcBorders>
          </w:tcPr>
          <w:p w14:paraId="3C720DF8" w14:textId="77777777" w:rsidR="00771776" w:rsidRPr="00DE12A3" w:rsidRDefault="00771776" w:rsidP="00C917D6">
            <w:pPr>
              <w:spacing w:before="120" w:after="120"/>
              <w:rPr>
                <w:rFonts w:cs="Times New Roman"/>
                <w:color w:val="auto"/>
              </w:rPr>
            </w:pPr>
            <w:r w:rsidRPr="00DE12A3">
              <w:rPr>
                <w:rFonts w:cs="Times New Roman"/>
                <w:color w:val="auto"/>
              </w:rPr>
              <w:t>kuru ila 24</w:t>
            </w:r>
          </w:p>
        </w:tc>
      </w:tr>
      <w:tr w:rsidR="00DE12A3" w:rsidRPr="00DE12A3" w14:paraId="21209050" w14:textId="77777777" w:rsidTr="00196FB6">
        <w:tc>
          <w:tcPr>
            <w:tcW w:w="1843" w:type="dxa"/>
            <w:tcBorders>
              <w:top w:val="single" w:sz="2" w:space="0" w:color="auto"/>
              <w:left w:val="single" w:sz="2" w:space="0" w:color="auto"/>
              <w:bottom w:val="single" w:sz="2" w:space="0" w:color="auto"/>
              <w:right w:val="single" w:sz="2" w:space="0" w:color="auto"/>
            </w:tcBorders>
          </w:tcPr>
          <w:p w14:paraId="4699927D" w14:textId="77777777" w:rsidR="00771776" w:rsidRPr="00DE12A3" w:rsidRDefault="00771776" w:rsidP="00C917D6">
            <w:pPr>
              <w:pStyle w:val="NormalLeft"/>
            </w:pPr>
            <w:r w:rsidRPr="00DE12A3">
              <w:t>15</w:t>
            </w:r>
          </w:p>
        </w:tc>
        <w:tc>
          <w:tcPr>
            <w:tcW w:w="2345" w:type="dxa"/>
            <w:tcBorders>
              <w:top w:val="single" w:sz="2" w:space="0" w:color="auto"/>
              <w:left w:val="single" w:sz="2" w:space="0" w:color="auto"/>
              <w:bottom w:val="single" w:sz="2" w:space="0" w:color="auto"/>
              <w:right w:val="single" w:sz="2" w:space="0" w:color="auto"/>
            </w:tcBorders>
          </w:tcPr>
          <w:p w14:paraId="0C959DC1" w14:textId="77777777" w:rsidR="00771776" w:rsidRPr="00DE12A3" w:rsidRDefault="00771776" w:rsidP="00C917D6">
            <w:pPr>
              <w:pStyle w:val="NormalLeft"/>
            </w:pPr>
            <w:r w:rsidRPr="00DE12A3">
              <w:t>28,76224</w:t>
            </w:r>
          </w:p>
        </w:tc>
        <w:tc>
          <w:tcPr>
            <w:tcW w:w="3714" w:type="dxa"/>
            <w:tcBorders>
              <w:top w:val="single" w:sz="2" w:space="0" w:color="auto"/>
              <w:left w:val="single" w:sz="2" w:space="0" w:color="auto"/>
              <w:bottom w:val="single" w:sz="2" w:space="0" w:color="auto"/>
              <w:right w:val="single" w:sz="2" w:space="0" w:color="auto"/>
            </w:tcBorders>
          </w:tcPr>
          <w:p w14:paraId="62D1AE82" w14:textId="77777777" w:rsidR="00771776" w:rsidRPr="00DE12A3" w:rsidRDefault="00771776" w:rsidP="00C917D6">
            <w:pPr>
              <w:spacing w:before="120" w:after="120"/>
              <w:rPr>
                <w:rFonts w:cs="Times New Roman"/>
                <w:color w:val="auto"/>
              </w:rPr>
            </w:pPr>
            <w:r w:rsidRPr="00DE12A3">
              <w:rPr>
                <w:rFonts w:cs="Times New Roman"/>
                <w:color w:val="auto"/>
              </w:rPr>
              <w:t>kuru ila 26</w:t>
            </w:r>
          </w:p>
        </w:tc>
      </w:tr>
      <w:tr w:rsidR="00DE12A3" w:rsidRPr="00DE12A3" w14:paraId="16777248" w14:textId="77777777" w:rsidTr="00196FB6">
        <w:tc>
          <w:tcPr>
            <w:tcW w:w="1843" w:type="dxa"/>
            <w:tcBorders>
              <w:top w:val="single" w:sz="2" w:space="0" w:color="auto"/>
              <w:left w:val="single" w:sz="2" w:space="0" w:color="auto"/>
              <w:bottom w:val="single" w:sz="2" w:space="0" w:color="auto"/>
              <w:right w:val="single" w:sz="2" w:space="0" w:color="auto"/>
            </w:tcBorders>
          </w:tcPr>
          <w:p w14:paraId="794D13CB" w14:textId="77777777" w:rsidR="00771776" w:rsidRPr="00DE12A3" w:rsidRDefault="00771776" w:rsidP="00C917D6">
            <w:pPr>
              <w:pStyle w:val="NormalLeft"/>
            </w:pPr>
            <w:r w:rsidRPr="00DE12A3">
              <w:t>20</w:t>
            </w:r>
          </w:p>
        </w:tc>
        <w:tc>
          <w:tcPr>
            <w:tcW w:w="2345" w:type="dxa"/>
            <w:tcBorders>
              <w:top w:val="single" w:sz="2" w:space="0" w:color="auto"/>
              <w:left w:val="single" w:sz="2" w:space="0" w:color="auto"/>
              <w:bottom w:val="single" w:sz="2" w:space="0" w:color="auto"/>
              <w:right w:val="single" w:sz="2" w:space="0" w:color="auto"/>
            </w:tcBorders>
          </w:tcPr>
          <w:p w14:paraId="1CFD3E92" w14:textId="77777777" w:rsidR="00771776" w:rsidRPr="00DE12A3" w:rsidRDefault="00771776" w:rsidP="00C917D6">
            <w:pPr>
              <w:pStyle w:val="NormalLeft"/>
            </w:pPr>
            <w:r w:rsidRPr="00DE12A3">
              <w:t>28,68685</w:t>
            </w:r>
          </w:p>
        </w:tc>
        <w:tc>
          <w:tcPr>
            <w:tcW w:w="3714" w:type="dxa"/>
            <w:tcBorders>
              <w:top w:val="single" w:sz="2" w:space="0" w:color="auto"/>
              <w:left w:val="single" w:sz="2" w:space="0" w:color="auto"/>
              <w:bottom w:val="single" w:sz="2" w:space="0" w:color="auto"/>
              <w:right w:val="single" w:sz="2" w:space="0" w:color="auto"/>
            </w:tcBorders>
          </w:tcPr>
          <w:p w14:paraId="3A562934" w14:textId="77777777" w:rsidR="00771776" w:rsidRPr="00DE12A3" w:rsidRDefault="00771776" w:rsidP="00C917D6">
            <w:pPr>
              <w:spacing w:before="120" w:after="120"/>
              <w:rPr>
                <w:rFonts w:cs="Times New Roman"/>
                <w:color w:val="auto"/>
              </w:rPr>
            </w:pPr>
            <w:r w:rsidRPr="00DE12A3">
              <w:rPr>
                <w:rFonts w:cs="Times New Roman"/>
                <w:color w:val="auto"/>
              </w:rPr>
              <w:t>-8 ila 28</w:t>
            </w:r>
          </w:p>
        </w:tc>
      </w:tr>
      <w:tr w:rsidR="00DE12A3" w:rsidRPr="00DE12A3" w14:paraId="128EAAE0" w14:textId="77777777" w:rsidTr="00196FB6">
        <w:tc>
          <w:tcPr>
            <w:tcW w:w="1843" w:type="dxa"/>
            <w:tcBorders>
              <w:top w:val="single" w:sz="2" w:space="0" w:color="auto"/>
              <w:left w:val="single" w:sz="2" w:space="0" w:color="auto"/>
              <w:bottom w:val="single" w:sz="2" w:space="0" w:color="auto"/>
              <w:right w:val="single" w:sz="2" w:space="0" w:color="auto"/>
            </w:tcBorders>
          </w:tcPr>
          <w:p w14:paraId="7F67E515" w14:textId="77777777" w:rsidR="00771776" w:rsidRPr="00DE12A3" w:rsidRDefault="00771776" w:rsidP="00C917D6">
            <w:pPr>
              <w:pStyle w:val="NormalLeft"/>
            </w:pPr>
            <w:r w:rsidRPr="00DE12A3">
              <w:t>25</w:t>
            </w:r>
          </w:p>
        </w:tc>
        <w:tc>
          <w:tcPr>
            <w:tcW w:w="2345" w:type="dxa"/>
            <w:tcBorders>
              <w:top w:val="single" w:sz="2" w:space="0" w:color="auto"/>
              <w:left w:val="single" w:sz="2" w:space="0" w:color="auto"/>
              <w:bottom w:val="single" w:sz="2" w:space="0" w:color="auto"/>
              <w:right w:val="single" w:sz="2" w:space="0" w:color="auto"/>
            </w:tcBorders>
          </w:tcPr>
          <w:p w14:paraId="4FCC47EB" w14:textId="77777777" w:rsidR="00771776" w:rsidRPr="00DE12A3" w:rsidRDefault="00771776" w:rsidP="00C917D6">
            <w:pPr>
              <w:pStyle w:val="NormalLeft"/>
            </w:pPr>
            <w:r w:rsidRPr="00DE12A3">
              <w:t>28,58806</w:t>
            </w:r>
          </w:p>
        </w:tc>
        <w:tc>
          <w:tcPr>
            <w:tcW w:w="3714" w:type="dxa"/>
            <w:tcBorders>
              <w:top w:val="single" w:sz="2" w:space="0" w:color="auto"/>
              <w:left w:val="single" w:sz="2" w:space="0" w:color="auto"/>
              <w:bottom w:val="single" w:sz="2" w:space="0" w:color="auto"/>
              <w:right w:val="single" w:sz="2" w:space="0" w:color="auto"/>
            </w:tcBorders>
          </w:tcPr>
          <w:p w14:paraId="6AEFF4C9" w14:textId="77777777" w:rsidR="00771776" w:rsidRPr="00DE12A3" w:rsidRDefault="00771776" w:rsidP="00C917D6">
            <w:pPr>
              <w:spacing w:before="120" w:after="120"/>
              <w:rPr>
                <w:rFonts w:cs="Times New Roman"/>
                <w:color w:val="auto"/>
              </w:rPr>
            </w:pPr>
            <w:r w:rsidRPr="00DE12A3">
              <w:rPr>
                <w:rFonts w:cs="Times New Roman"/>
                <w:color w:val="auto"/>
              </w:rPr>
              <w:t>12 ila 31</w:t>
            </w:r>
          </w:p>
        </w:tc>
      </w:tr>
      <w:tr w:rsidR="00DE12A3" w:rsidRPr="00DE12A3" w14:paraId="2F74D4B7" w14:textId="77777777" w:rsidTr="00196FB6">
        <w:tc>
          <w:tcPr>
            <w:tcW w:w="1843" w:type="dxa"/>
            <w:tcBorders>
              <w:top w:val="single" w:sz="2" w:space="0" w:color="auto"/>
              <w:left w:val="single" w:sz="2" w:space="0" w:color="auto"/>
              <w:bottom w:val="single" w:sz="2" w:space="0" w:color="auto"/>
              <w:right w:val="single" w:sz="2" w:space="0" w:color="auto"/>
            </w:tcBorders>
          </w:tcPr>
          <w:p w14:paraId="063DFD90" w14:textId="77777777" w:rsidR="00771776" w:rsidRPr="00DE12A3" w:rsidRDefault="00771776" w:rsidP="00C917D6">
            <w:pPr>
              <w:pStyle w:val="NormalLeft"/>
            </w:pPr>
            <w:r w:rsidRPr="00DE12A3">
              <w:t>30</w:t>
            </w:r>
          </w:p>
        </w:tc>
        <w:tc>
          <w:tcPr>
            <w:tcW w:w="2345" w:type="dxa"/>
            <w:tcBorders>
              <w:top w:val="single" w:sz="2" w:space="0" w:color="auto"/>
              <w:left w:val="single" w:sz="2" w:space="0" w:color="auto"/>
              <w:bottom w:val="single" w:sz="2" w:space="0" w:color="auto"/>
              <w:right w:val="single" w:sz="2" w:space="0" w:color="auto"/>
            </w:tcBorders>
          </w:tcPr>
          <w:p w14:paraId="13353AE8" w14:textId="77777777" w:rsidR="00771776" w:rsidRPr="00DE12A3" w:rsidRDefault="00771776" w:rsidP="00C917D6">
            <w:pPr>
              <w:pStyle w:val="NormalLeft"/>
            </w:pPr>
            <w:r w:rsidRPr="00DE12A3">
              <w:t>28,46005</w:t>
            </w:r>
          </w:p>
        </w:tc>
        <w:tc>
          <w:tcPr>
            <w:tcW w:w="3714" w:type="dxa"/>
            <w:tcBorders>
              <w:top w:val="single" w:sz="2" w:space="0" w:color="auto"/>
              <w:left w:val="single" w:sz="2" w:space="0" w:color="auto"/>
              <w:bottom w:val="single" w:sz="2" w:space="0" w:color="auto"/>
              <w:right w:val="single" w:sz="2" w:space="0" w:color="auto"/>
            </w:tcBorders>
          </w:tcPr>
          <w:p w14:paraId="7C219598" w14:textId="77777777" w:rsidR="00771776" w:rsidRPr="00DE12A3" w:rsidRDefault="00771776" w:rsidP="00C917D6">
            <w:pPr>
              <w:spacing w:before="120" w:after="120"/>
              <w:rPr>
                <w:rFonts w:cs="Times New Roman"/>
                <w:color w:val="auto"/>
              </w:rPr>
            </w:pPr>
            <w:r w:rsidRPr="00DE12A3">
              <w:rPr>
                <w:rFonts w:cs="Times New Roman"/>
                <w:color w:val="auto"/>
              </w:rPr>
              <w:t>23 ila 34</w:t>
            </w:r>
          </w:p>
        </w:tc>
      </w:tr>
    </w:tbl>
    <w:p w14:paraId="30114AEC" w14:textId="77777777" w:rsidR="009F4766" w:rsidRPr="00DE12A3" w:rsidRDefault="00876360" w:rsidP="00C917D6">
      <w:pPr>
        <w:spacing w:before="120" w:after="120"/>
        <w:jc w:val="both"/>
        <w:rPr>
          <w:rFonts w:cs="Times New Roman"/>
          <w:color w:val="auto"/>
          <w:sz w:val="20"/>
          <w:szCs w:val="20"/>
        </w:rPr>
      </w:pPr>
      <w:r w:rsidRPr="00DE12A3">
        <w:rPr>
          <w:rFonts w:cs="Times New Roman"/>
          <w:color w:val="auto"/>
          <w:vertAlign w:val="superscript"/>
        </w:rPr>
        <w:t>(a)</w:t>
      </w:r>
      <w:r w:rsidRPr="00DE12A3">
        <w:rPr>
          <w:rFonts w:cs="Times New Roman"/>
          <w:color w:val="auto"/>
        </w:rPr>
        <w:t xml:space="preserve"> </w:t>
      </w:r>
      <w:r w:rsidRPr="00DE12A3">
        <w:rPr>
          <w:rFonts w:cs="Times New Roman"/>
          <w:color w:val="auto"/>
          <w:sz w:val="20"/>
          <w:szCs w:val="20"/>
        </w:rPr>
        <w:t>Atmosferik basınç aralığı (80.000 ila 103.325) kPa üzerindeki tüm kalibrasyon ve emisyon testleri için geçerli aralık.</w:t>
      </w:r>
    </w:p>
    <w:p w14:paraId="2273FC6E" w14:textId="77777777" w:rsidR="00196FB6" w:rsidRPr="00DE12A3" w:rsidRDefault="009F4766" w:rsidP="00C917D6">
      <w:pPr>
        <w:pStyle w:val="ManualHeading4"/>
        <w:numPr>
          <w:ilvl w:val="0"/>
          <w:numId w:val="0"/>
        </w:numPr>
        <w:ind w:left="1134" w:hanging="1134"/>
      </w:pPr>
      <w:r w:rsidRPr="00DE12A3">
        <w:t>3.9.4.</w:t>
      </w:r>
      <w:r w:rsidR="00196FB6" w:rsidRPr="00DE12A3">
        <w:t xml:space="preserve">          SSV kalibrasyonu</w:t>
      </w:r>
    </w:p>
    <w:p w14:paraId="56A7C062" w14:textId="0A48DFF5" w:rsidR="00196FB6" w:rsidRPr="00DE12A3" w:rsidRDefault="00196FB6" w:rsidP="00C917D6">
      <w:pPr>
        <w:pStyle w:val="ManualHeading4"/>
        <w:numPr>
          <w:ilvl w:val="0"/>
          <w:numId w:val="0"/>
        </w:numPr>
        <w:ind w:left="1701" w:hanging="567"/>
      </w:pPr>
      <w:r w:rsidRPr="00DE12A3">
        <w:t>(a)</w:t>
      </w:r>
      <w:r w:rsidRPr="00DE12A3">
        <w:tab/>
        <w:t>Molar bazlı yaklaşım. Bir SSV debimetreyi kalibre etmek için aşağıdaki adımlar uygulanmalıdır</w:t>
      </w:r>
      <w:r w:rsidR="00117673" w:rsidRPr="00DE12A3">
        <w:t> ;</w:t>
      </w:r>
    </w:p>
    <w:p w14:paraId="7C8C40D2" w14:textId="716DEBB8" w:rsidR="00196FB6" w:rsidRPr="00DE12A3" w:rsidRDefault="00196FB6" w:rsidP="00C917D6">
      <w:pPr>
        <w:pStyle w:val="ManualHeading4"/>
        <w:numPr>
          <w:ilvl w:val="0"/>
          <w:numId w:val="0"/>
        </w:numPr>
        <w:ind w:left="2268" w:hanging="567"/>
      </w:pPr>
      <w:r w:rsidRPr="00DE12A3">
        <w:t>(i)</w:t>
      </w:r>
      <w:r w:rsidRPr="00DE12A3">
        <w:tab/>
        <w:t xml:space="preserve">Her referans molar akış hızı için Reynolds sayısı </w:t>
      </w:r>
      <w:r w:rsidRPr="00DE12A3">
        <w:rPr>
          <w:i/>
          <w:iCs/>
        </w:rPr>
        <w:t>Re</w:t>
      </w:r>
      <w:r w:rsidRPr="00DE12A3">
        <w:rPr>
          <w:vertAlign w:val="superscript"/>
        </w:rPr>
        <w:t>#</w:t>
      </w:r>
      <w:r w:rsidRPr="00DE12A3">
        <w:t xml:space="preserve">, venturi boğazı çapı dt kullanılarak hesaplanmalıdır [(7-145) </w:t>
      </w:r>
      <w:r w:rsidR="00962CA1" w:rsidRPr="00DE12A3">
        <w:t>numaralı</w:t>
      </w:r>
      <w:r w:rsidR="00962CA1" w:rsidRPr="00DE12A3" w:rsidDel="00962CA1">
        <w:t xml:space="preserve"> </w:t>
      </w:r>
      <w:r w:rsidRPr="00DE12A3">
        <w:t xml:space="preserve">denklem]. </w:t>
      </w:r>
      <w:r w:rsidRPr="00DE12A3">
        <w:rPr>
          <w:i/>
          <w:iCs/>
        </w:rPr>
        <w:t>Re</w:t>
      </w:r>
      <w:r w:rsidRPr="00DE12A3">
        <w:rPr>
          <w:i/>
          <w:iCs/>
          <w:vertAlign w:val="superscript"/>
        </w:rPr>
        <w:t>#</w:t>
      </w:r>
      <w:r w:rsidRPr="00DE12A3">
        <w:t xml:space="preserve"> </w:t>
      </w:r>
      <w:r w:rsidRPr="00DE12A3">
        <w:lastRenderedPageBreak/>
        <w:t xml:space="preserve">'yi hesaplamak için dinamik viskozite </w:t>
      </w:r>
      <w:r w:rsidRPr="00DE12A3">
        <w:rPr>
          <w:i/>
          <w:iCs/>
        </w:rPr>
        <w:t>μ</w:t>
      </w:r>
      <w:r w:rsidRPr="00DE12A3">
        <w:t xml:space="preserve"> gerektiğinden, iyi mühendislik kararı kullanılarak kalibrasyon gazı (genellikle hava) için μ'nin belirlenmesi için özel bir viskozite modeli kullanılabilir [(7-146) </w:t>
      </w:r>
      <w:r w:rsidR="00962CA1" w:rsidRPr="00DE12A3">
        <w:t>numaralı</w:t>
      </w:r>
      <w:r w:rsidR="00962CA1" w:rsidRPr="00DE12A3" w:rsidDel="00962CA1">
        <w:t xml:space="preserve"> </w:t>
      </w:r>
      <w:r w:rsidRPr="00DE12A3">
        <w:t>denklem]. Alternatif olarak, yaklaşık μ için Sutherland üç-katsayılı viskozite modeli kullanılabilir (bkz. Tablo 7.7)</w:t>
      </w:r>
      <w:r w:rsidR="00117673" w:rsidRPr="00DE12A3">
        <w:t>.</w:t>
      </w:r>
    </w:p>
    <w:p w14:paraId="2B9FB499" w14:textId="77777777" w:rsidR="009F4766" w:rsidRPr="00DE12A3" w:rsidRDefault="009F4766" w:rsidP="00C917D6">
      <w:pPr>
        <w:pStyle w:val="Point0"/>
      </w:pPr>
    </w:p>
    <w:tbl>
      <w:tblPr>
        <w:tblW w:w="0" w:type="auto"/>
        <w:tblInd w:w="2972" w:type="dxa"/>
        <w:tblLayout w:type="fixed"/>
        <w:tblLook w:val="0000" w:firstRow="0" w:lastRow="0" w:firstColumn="0" w:lastColumn="0" w:noHBand="0" w:noVBand="0"/>
      </w:tblPr>
      <w:tblGrid>
        <w:gridCol w:w="4032"/>
        <w:gridCol w:w="1811"/>
      </w:tblGrid>
      <w:tr w:rsidR="00196FB6" w:rsidRPr="00DE12A3" w14:paraId="330E6569" w14:textId="77777777" w:rsidTr="001A234D">
        <w:trPr>
          <w:trHeight w:val="799"/>
        </w:trPr>
        <w:tc>
          <w:tcPr>
            <w:tcW w:w="4032" w:type="dxa"/>
          </w:tcPr>
          <w:p w14:paraId="28E0123F" w14:textId="50EE1E19" w:rsidR="009F4766" w:rsidRPr="00DE12A3" w:rsidRDefault="009F4766" w:rsidP="00C917D6">
            <w:pPr>
              <w:pStyle w:val="NormalLeft"/>
            </w:pPr>
            <w:r w:rsidRPr="00DE12A3">
              <w:rPr>
                <w:noProof/>
                <w:lang w:val="tr-TR"/>
              </w:rPr>
              <w:drawing>
                <wp:inline distT="0" distB="0" distL="0" distR="0" wp14:anchorId="61FADF1E" wp14:editId="704E72F6">
                  <wp:extent cx="2491105" cy="404446"/>
                  <wp:effectExtent l="0" t="0" r="4445" b="0"/>
                  <wp:docPr id="2449" name="Resim 24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216">
                            <a:extLst>
                              <a:ext uri="{28A0092B-C50C-407E-A947-70E740481C1C}">
                                <a14:useLocalDpi xmlns:a14="http://schemas.microsoft.com/office/drawing/2010/main" val="0"/>
                              </a:ext>
                            </a:extLst>
                          </a:blip>
                          <a:srcRect/>
                          <a:stretch>
                            <a:fillRect/>
                          </a:stretch>
                        </pic:blipFill>
                        <pic:spPr bwMode="auto">
                          <a:xfrm>
                            <a:off x="0" y="0"/>
                            <a:ext cx="2526671" cy="410220"/>
                          </a:xfrm>
                          <a:prstGeom prst="rect">
                            <a:avLst/>
                          </a:prstGeom>
                          <a:noFill/>
                          <a:ln>
                            <a:noFill/>
                          </a:ln>
                        </pic:spPr>
                      </pic:pic>
                    </a:graphicData>
                  </a:graphic>
                </wp:inline>
              </w:drawing>
            </w:r>
          </w:p>
        </w:tc>
        <w:tc>
          <w:tcPr>
            <w:tcW w:w="1811" w:type="dxa"/>
          </w:tcPr>
          <w:p w14:paraId="3728CB5C" w14:textId="77777777" w:rsidR="009F4766" w:rsidRPr="00DE12A3" w:rsidRDefault="009F4766" w:rsidP="00C917D6">
            <w:pPr>
              <w:pStyle w:val="NormalLeft"/>
            </w:pPr>
            <w:r w:rsidRPr="00DE12A3">
              <w:t>(7-145)</w:t>
            </w:r>
          </w:p>
        </w:tc>
      </w:tr>
    </w:tbl>
    <w:p w14:paraId="4A553094" w14:textId="77777777" w:rsidR="009F4766" w:rsidRPr="00DE12A3" w:rsidRDefault="009F4766" w:rsidP="00C917D6">
      <w:pPr>
        <w:spacing w:before="120" w:after="120"/>
        <w:rPr>
          <w:rFonts w:cs="Times New Roman"/>
          <w:color w:val="auto"/>
        </w:rPr>
      </w:pPr>
    </w:p>
    <w:p w14:paraId="413589E3" w14:textId="77777777" w:rsidR="009F4766" w:rsidRPr="00DE12A3" w:rsidRDefault="009F4766" w:rsidP="00C917D6">
      <w:pPr>
        <w:pStyle w:val="Point0"/>
      </w:pPr>
      <w:r w:rsidRPr="00DE12A3">
        <w:tab/>
      </w:r>
      <w:r w:rsidR="008B3D9F" w:rsidRPr="00DE12A3">
        <w:t>Burada</w:t>
      </w:r>
      <w:r w:rsidRPr="00DE12A3">
        <w:t>:</w:t>
      </w:r>
    </w:p>
    <w:tbl>
      <w:tblPr>
        <w:tblW w:w="0" w:type="auto"/>
        <w:tblInd w:w="2089" w:type="dxa"/>
        <w:tblLayout w:type="fixed"/>
        <w:tblLook w:val="0000" w:firstRow="0" w:lastRow="0" w:firstColumn="0" w:lastColumn="0" w:noHBand="0" w:noVBand="0"/>
      </w:tblPr>
      <w:tblGrid>
        <w:gridCol w:w="1021"/>
        <w:gridCol w:w="562"/>
        <w:gridCol w:w="3524"/>
      </w:tblGrid>
      <w:tr w:rsidR="00DE12A3" w:rsidRPr="00DE12A3" w14:paraId="7A479746" w14:textId="77777777" w:rsidTr="006D7ADF">
        <w:tc>
          <w:tcPr>
            <w:tcW w:w="1021" w:type="dxa"/>
          </w:tcPr>
          <w:p w14:paraId="3DF7A76D" w14:textId="77777777" w:rsidR="00196FB6" w:rsidRPr="00DE12A3" w:rsidRDefault="00196FB6" w:rsidP="00C917D6">
            <w:pPr>
              <w:pStyle w:val="NormalLeft"/>
            </w:pPr>
            <w:r w:rsidRPr="00DE12A3">
              <w:rPr>
                <w:i/>
                <w:iCs/>
              </w:rPr>
              <w:t>d</w:t>
            </w:r>
            <w:r w:rsidRPr="00DE12A3">
              <w:rPr>
                <w:vertAlign w:val="subscript"/>
              </w:rPr>
              <w:t>t</w:t>
            </w:r>
          </w:p>
        </w:tc>
        <w:tc>
          <w:tcPr>
            <w:tcW w:w="562" w:type="dxa"/>
          </w:tcPr>
          <w:p w14:paraId="60DED1E5" w14:textId="77777777" w:rsidR="00196FB6" w:rsidRPr="00DE12A3" w:rsidRDefault="00196FB6" w:rsidP="00C917D6">
            <w:pPr>
              <w:pStyle w:val="NormalLeft"/>
            </w:pPr>
            <w:r w:rsidRPr="00DE12A3">
              <w:t>=</w:t>
            </w:r>
          </w:p>
        </w:tc>
        <w:tc>
          <w:tcPr>
            <w:tcW w:w="3524" w:type="dxa"/>
          </w:tcPr>
          <w:p w14:paraId="5F271B1A" w14:textId="77777777" w:rsidR="00196FB6" w:rsidRPr="00DE12A3" w:rsidRDefault="00196FB6" w:rsidP="00C917D6">
            <w:pPr>
              <w:spacing w:before="120" w:after="120"/>
              <w:rPr>
                <w:rFonts w:cs="Times New Roman"/>
                <w:color w:val="auto"/>
              </w:rPr>
            </w:pPr>
            <w:r w:rsidRPr="00DE12A3">
              <w:rPr>
                <w:rFonts w:cs="Times New Roman"/>
                <w:color w:val="auto"/>
              </w:rPr>
              <w:t>SSV boğazı çapı [m]</w:t>
            </w:r>
          </w:p>
        </w:tc>
      </w:tr>
      <w:tr w:rsidR="00DE12A3" w:rsidRPr="00DE12A3" w14:paraId="7C909F81" w14:textId="77777777" w:rsidTr="006D7ADF">
        <w:tc>
          <w:tcPr>
            <w:tcW w:w="1021" w:type="dxa"/>
          </w:tcPr>
          <w:p w14:paraId="278348AD" w14:textId="77777777" w:rsidR="00196FB6" w:rsidRPr="00DE12A3" w:rsidRDefault="00196FB6" w:rsidP="00C917D6">
            <w:pPr>
              <w:pStyle w:val="NormalLeft"/>
            </w:pPr>
            <w:r w:rsidRPr="00DE12A3">
              <w:rPr>
                <w:i/>
                <w:iCs/>
              </w:rPr>
              <w:t>M</w:t>
            </w:r>
            <w:r w:rsidRPr="00DE12A3">
              <w:rPr>
                <w:vertAlign w:val="subscript"/>
              </w:rPr>
              <w:t>mix</w:t>
            </w:r>
          </w:p>
        </w:tc>
        <w:tc>
          <w:tcPr>
            <w:tcW w:w="562" w:type="dxa"/>
          </w:tcPr>
          <w:p w14:paraId="7287CC38" w14:textId="77777777" w:rsidR="00196FB6" w:rsidRPr="00DE12A3" w:rsidRDefault="00196FB6" w:rsidP="00C917D6">
            <w:pPr>
              <w:pStyle w:val="NormalLeft"/>
            </w:pPr>
            <w:r w:rsidRPr="00DE12A3">
              <w:t>=</w:t>
            </w:r>
          </w:p>
        </w:tc>
        <w:tc>
          <w:tcPr>
            <w:tcW w:w="3524" w:type="dxa"/>
          </w:tcPr>
          <w:p w14:paraId="5EB26319" w14:textId="5496F9AC" w:rsidR="00196FB6" w:rsidRPr="00DE12A3" w:rsidRDefault="002F5BBD" w:rsidP="00C917D6">
            <w:pPr>
              <w:spacing w:before="120" w:after="120"/>
              <w:rPr>
                <w:rFonts w:cs="Times New Roman"/>
                <w:color w:val="auto"/>
              </w:rPr>
            </w:pPr>
            <w:r w:rsidRPr="00DE12A3">
              <w:rPr>
                <w:rFonts w:cs="Times New Roman"/>
                <w:color w:val="auto"/>
              </w:rPr>
              <w:t>Molar</w:t>
            </w:r>
            <w:r w:rsidR="00196FB6" w:rsidRPr="00DE12A3">
              <w:rPr>
                <w:rFonts w:cs="Times New Roman"/>
                <w:color w:val="auto"/>
              </w:rPr>
              <w:t xml:space="preserve"> karışım kütlesi [kg/mol]</w:t>
            </w:r>
          </w:p>
        </w:tc>
      </w:tr>
      <w:tr w:rsidR="00196FB6" w:rsidRPr="00DE12A3" w14:paraId="4EFD930D" w14:textId="77777777" w:rsidTr="006D7ADF">
        <w:tc>
          <w:tcPr>
            <w:tcW w:w="1021" w:type="dxa"/>
          </w:tcPr>
          <w:p w14:paraId="53440781" w14:textId="77777777" w:rsidR="00196FB6" w:rsidRPr="00DE12A3" w:rsidRDefault="00196FB6" w:rsidP="00C917D6">
            <w:pPr>
              <w:pStyle w:val="NormalLeft"/>
            </w:pPr>
            <w:r w:rsidRPr="00DE12A3">
              <w:rPr>
                <w:i/>
                <w:iCs/>
              </w:rPr>
              <w:t>ṅ</w:t>
            </w:r>
            <w:r w:rsidRPr="00DE12A3">
              <w:rPr>
                <w:vertAlign w:val="subscript"/>
              </w:rPr>
              <w:t>ref</w:t>
            </w:r>
          </w:p>
        </w:tc>
        <w:tc>
          <w:tcPr>
            <w:tcW w:w="562" w:type="dxa"/>
          </w:tcPr>
          <w:p w14:paraId="73E0D293" w14:textId="77777777" w:rsidR="00196FB6" w:rsidRPr="00DE12A3" w:rsidRDefault="00196FB6" w:rsidP="00C917D6">
            <w:pPr>
              <w:pStyle w:val="NormalLeft"/>
            </w:pPr>
            <w:r w:rsidRPr="00DE12A3">
              <w:t>=</w:t>
            </w:r>
          </w:p>
        </w:tc>
        <w:tc>
          <w:tcPr>
            <w:tcW w:w="3524" w:type="dxa"/>
          </w:tcPr>
          <w:p w14:paraId="12FB5521" w14:textId="5E565F42" w:rsidR="00196FB6" w:rsidRPr="00DE12A3" w:rsidRDefault="002F5BBD" w:rsidP="00C917D6">
            <w:pPr>
              <w:spacing w:before="120" w:after="120"/>
              <w:rPr>
                <w:rFonts w:cs="Times New Roman"/>
                <w:color w:val="auto"/>
              </w:rPr>
            </w:pPr>
            <w:r w:rsidRPr="00DE12A3">
              <w:rPr>
                <w:rFonts w:cs="Times New Roman"/>
                <w:color w:val="auto"/>
              </w:rPr>
              <w:t>Referans</w:t>
            </w:r>
            <w:r w:rsidR="00196FB6" w:rsidRPr="00DE12A3">
              <w:rPr>
                <w:rFonts w:cs="Times New Roman"/>
                <w:color w:val="auto"/>
              </w:rPr>
              <w:t xml:space="preserve"> molar akış hızı [mol/s]</w:t>
            </w:r>
          </w:p>
        </w:tc>
      </w:tr>
    </w:tbl>
    <w:p w14:paraId="70FF3F2C" w14:textId="77777777" w:rsidR="009F4766" w:rsidRPr="00DE12A3" w:rsidRDefault="009F4766" w:rsidP="00C917D6">
      <w:pPr>
        <w:spacing w:before="120" w:after="120"/>
        <w:rPr>
          <w:rFonts w:cs="Times New Roman"/>
          <w:color w:val="auto"/>
        </w:rPr>
      </w:pPr>
    </w:p>
    <w:p w14:paraId="0B2778F1" w14:textId="77777777" w:rsidR="009F4766" w:rsidRPr="00DE12A3" w:rsidRDefault="009F4766" w:rsidP="00C917D6">
      <w:pPr>
        <w:pStyle w:val="Point0"/>
      </w:pPr>
      <w:r w:rsidRPr="00DE12A3">
        <w:tab/>
      </w:r>
      <w:r w:rsidR="00196FB6" w:rsidRPr="00DE12A3">
        <w:t>ve Sutherland üç katsayılı viskozite modelini kullanılarak:</w:t>
      </w:r>
    </w:p>
    <w:tbl>
      <w:tblPr>
        <w:tblW w:w="6323" w:type="dxa"/>
        <w:jc w:val="center"/>
        <w:tblLayout w:type="fixed"/>
        <w:tblLook w:val="0000" w:firstRow="0" w:lastRow="0" w:firstColumn="0" w:lastColumn="0" w:noHBand="0" w:noVBand="0"/>
      </w:tblPr>
      <w:tblGrid>
        <w:gridCol w:w="4426"/>
        <w:gridCol w:w="1897"/>
      </w:tblGrid>
      <w:tr w:rsidR="009F4766" w:rsidRPr="00DE12A3" w14:paraId="3A152759" w14:textId="77777777" w:rsidTr="001A234D">
        <w:trPr>
          <w:trHeight w:val="1162"/>
          <w:jc w:val="center"/>
        </w:trPr>
        <w:tc>
          <w:tcPr>
            <w:tcW w:w="4426" w:type="dxa"/>
          </w:tcPr>
          <w:p w14:paraId="04577611" w14:textId="529D5F68" w:rsidR="009F4766" w:rsidRPr="00DE12A3" w:rsidRDefault="009F4766" w:rsidP="00C917D6">
            <w:pPr>
              <w:pStyle w:val="NormalLeft"/>
            </w:pPr>
            <w:r w:rsidRPr="00DE12A3">
              <w:rPr>
                <w:noProof/>
                <w:lang w:val="tr-TR"/>
              </w:rPr>
              <w:drawing>
                <wp:inline distT="0" distB="0" distL="0" distR="0" wp14:anchorId="0C9D4B3F" wp14:editId="095C5761">
                  <wp:extent cx="2520315" cy="603739"/>
                  <wp:effectExtent l="0" t="0" r="0" b="6350"/>
                  <wp:docPr id="2448" name="Resim 2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217">
                            <a:extLst>
                              <a:ext uri="{28A0092B-C50C-407E-A947-70E740481C1C}">
                                <a14:useLocalDpi xmlns:a14="http://schemas.microsoft.com/office/drawing/2010/main" val="0"/>
                              </a:ext>
                            </a:extLst>
                          </a:blip>
                          <a:srcRect/>
                          <a:stretch>
                            <a:fillRect/>
                          </a:stretch>
                        </pic:blipFill>
                        <pic:spPr bwMode="auto">
                          <a:xfrm>
                            <a:off x="0" y="0"/>
                            <a:ext cx="2541635" cy="608846"/>
                          </a:xfrm>
                          <a:prstGeom prst="rect">
                            <a:avLst/>
                          </a:prstGeom>
                          <a:noFill/>
                          <a:ln>
                            <a:noFill/>
                          </a:ln>
                        </pic:spPr>
                      </pic:pic>
                    </a:graphicData>
                  </a:graphic>
                </wp:inline>
              </w:drawing>
            </w:r>
          </w:p>
        </w:tc>
        <w:tc>
          <w:tcPr>
            <w:tcW w:w="1897" w:type="dxa"/>
          </w:tcPr>
          <w:p w14:paraId="2A592CB7" w14:textId="77777777" w:rsidR="009F4766" w:rsidRPr="00DE12A3" w:rsidRDefault="009F4766" w:rsidP="00C917D6">
            <w:pPr>
              <w:pStyle w:val="NormalLeft"/>
            </w:pPr>
            <w:r w:rsidRPr="00DE12A3">
              <w:t>(7-146)</w:t>
            </w:r>
          </w:p>
        </w:tc>
      </w:tr>
    </w:tbl>
    <w:p w14:paraId="58934404" w14:textId="77777777" w:rsidR="009F4766" w:rsidRPr="00DE12A3" w:rsidRDefault="009F4766" w:rsidP="00C917D6">
      <w:pPr>
        <w:spacing w:before="120" w:after="120"/>
        <w:rPr>
          <w:rFonts w:cs="Times New Roman"/>
          <w:color w:val="auto"/>
        </w:rPr>
      </w:pPr>
    </w:p>
    <w:p w14:paraId="24A5409F" w14:textId="77777777" w:rsidR="009F4766" w:rsidRPr="00DE12A3" w:rsidRDefault="009F4766" w:rsidP="00C917D6">
      <w:pPr>
        <w:pStyle w:val="Point0"/>
        <w:ind w:left="1134" w:firstLine="0"/>
      </w:pPr>
      <w:r w:rsidRPr="00DE12A3">
        <w:tab/>
      </w:r>
      <w:r w:rsidR="008B3D9F" w:rsidRPr="00DE12A3">
        <w:t>Burada</w:t>
      </w:r>
      <w:r w:rsidRPr="00DE12A3">
        <w:t>:</w:t>
      </w:r>
    </w:p>
    <w:tbl>
      <w:tblPr>
        <w:tblW w:w="0" w:type="auto"/>
        <w:tblInd w:w="1532" w:type="dxa"/>
        <w:tblLayout w:type="fixed"/>
        <w:tblLook w:val="0000" w:firstRow="0" w:lastRow="0" w:firstColumn="0" w:lastColumn="0" w:noHBand="0" w:noVBand="0"/>
      </w:tblPr>
      <w:tblGrid>
        <w:gridCol w:w="747"/>
        <w:gridCol w:w="560"/>
        <w:gridCol w:w="4915"/>
      </w:tblGrid>
      <w:tr w:rsidR="00DE12A3" w:rsidRPr="00DE12A3" w14:paraId="5537CA85" w14:textId="77777777" w:rsidTr="006D7ADF">
        <w:tc>
          <w:tcPr>
            <w:tcW w:w="747" w:type="dxa"/>
          </w:tcPr>
          <w:p w14:paraId="72ACCE34" w14:textId="77777777" w:rsidR="00196FB6" w:rsidRPr="00DE12A3" w:rsidRDefault="00196FB6" w:rsidP="00C917D6">
            <w:pPr>
              <w:pStyle w:val="NormalLeft"/>
            </w:pPr>
            <w:r w:rsidRPr="00DE12A3">
              <w:rPr>
                <w:i/>
                <w:iCs/>
              </w:rPr>
              <w:t>μ</w:t>
            </w:r>
          </w:p>
        </w:tc>
        <w:tc>
          <w:tcPr>
            <w:tcW w:w="560" w:type="dxa"/>
          </w:tcPr>
          <w:p w14:paraId="6A6F94CD" w14:textId="77777777" w:rsidR="00196FB6" w:rsidRPr="00DE12A3" w:rsidRDefault="00196FB6" w:rsidP="00C917D6">
            <w:pPr>
              <w:pStyle w:val="NormalLeft"/>
            </w:pPr>
            <w:r w:rsidRPr="00DE12A3">
              <w:t>=</w:t>
            </w:r>
          </w:p>
        </w:tc>
        <w:tc>
          <w:tcPr>
            <w:tcW w:w="4915" w:type="dxa"/>
          </w:tcPr>
          <w:p w14:paraId="55AC7CAD" w14:textId="77777777" w:rsidR="00196FB6" w:rsidRPr="00DE12A3" w:rsidRDefault="00196FB6" w:rsidP="00C917D6">
            <w:pPr>
              <w:spacing w:before="120" w:after="120"/>
              <w:rPr>
                <w:rFonts w:cs="Times New Roman"/>
                <w:color w:val="auto"/>
              </w:rPr>
            </w:pPr>
            <w:r w:rsidRPr="00DE12A3">
              <w:rPr>
                <w:rFonts w:cs="Times New Roman"/>
                <w:color w:val="auto"/>
              </w:rPr>
              <w:t>Kalibrasyon gazının dinamik viskozitesi [kg /(m • s)]</w:t>
            </w:r>
          </w:p>
        </w:tc>
      </w:tr>
      <w:tr w:rsidR="00DE12A3" w:rsidRPr="00DE12A3" w14:paraId="04306D2B" w14:textId="77777777" w:rsidTr="006D7ADF">
        <w:tc>
          <w:tcPr>
            <w:tcW w:w="747" w:type="dxa"/>
          </w:tcPr>
          <w:p w14:paraId="586129B4" w14:textId="77777777" w:rsidR="00196FB6" w:rsidRPr="00DE12A3" w:rsidRDefault="00196FB6" w:rsidP="00C917D6">
            <w:pPr>
              <w:pStyle w:val="NormalLeft"/>
            </w:pPr>
            <w:r w:rsidRPr="00DE12A3">
              <w:rPr>
                <w:i/>
                <w:iCs/>
              </w:rPr>
              <w:t>μ</w:t>
            </w:r>
            <w:r w:rsidRPr="00DE12A3">
              <w:rPr>
                <w:vertAlign w:val="subscript"/>
              </w:rPr>
              <w:t>0</w:t>
            </w:r>
          </w:p>
        </w:tc>
        <w:tc>
          <w:tcPr>
            <w:tcW w:w="560" w:type="dxa"/>
          </w:tcPr>
          <w:p w14:paraId="2289D2FB" w14:textId="77777777" w:rsidR="00196FB6" w:rsidRPr="00DE12A3" w:rsidRDefault="00196FB6" w:rsidP="00C917D6">
            <w:pPr>
              <w:pStyle w:val="NormalLeft"/>
            </w:pPr>
            <w:r w:rsidRPr="00DE12A3">
              <w:t>=</w:t>
            </w:r>
          </w:p>
        </w:tc>
        <w:tc>
          <w:tcPr>
            <w:tcW w:w="4915" w:type="dxa"/>
          </w:tcPr>
          <w:p w14:paraId="1C6FB2F0" w14:textId="77777777" w:rsidR="00196FB6" w:rsidRPr="00DE12A3" w:rsidRDefault="00196FB6" w:rsidP="00C917D6">
            <w:pPr>
              <w:spacing w:before="120" w:after="120"/>
              <w:rPr>
                <w:rFonts w:cs="Times New Roman"/>
                <w:color w:val="auto"/>
              </w:rPr>
            </w:pPr>
            <w:r w:rsidRPr="00DE12A3">
              <w:rPr>
                <w:rFonts w:cs="Times New Roman"/>
                <w:color w:val="auto"/>
              </w:rPr>
              <w:t xml:space="preserve">Sutherland referans viskozitesi </w:t>
            </w:r>
          </w:p>
        </w:tc>
      </w:tr>
      <w:tr w:rsidR="00DE12A3" w:rsidRPr="00DE12A3" w14:paraId="4F8CED26" w14:textId="77777777" w:rsidTr="006D7ADF">
        <w:tc>
          <w:tcPr>
            <w:tcW w:w="747" w:type="dxa"/>
          </w:tcPr>
          <w:p w14:paraId="50D8C524" w14:textId="77777777" w:rsidR="00196FB6" w:rsidRPr="00DE12A3" w:rsidRDefault="00196FB6" w:rsidP="00C917D6">
            <w:pPr>
              <w:pStyle w:val="NormalLeft"/>
            </w:pPr>
            <w:r w:rsidRPr="00DE12A3">
              <w:rPr>
                <w:i/>
                <w:iCs/>
              </w:rPr>
              <w:t>S</w:t>
            </w:r>
          </w:p>
        </w:tc>
        <w:tc>
          <w:tcPr>
            <w:tcW w:w="560" w:type="dxa"/>
          </w:tcPr>
          <w:p w14:paraId="270FCA99" w14:textId="77777777" w:rsidR="00196FB6" w:rsidRPr="00DE12A3" w:rsidRDefault="00196FB6" w:rsidP="00C917D6">
            <w:pPr>
              <w:pStyle w:val="NormalLeft"/>
            </w:pPr>
            <w:r w:rsidRPr="00DE12A3">
              <w:t>=</w:t>
            </w:r>
          </w:p>
        </w:tc>
        <w:tc>
          <w:tcPr>
            <w:tcW w:w="4915" w:type="dxa"/>
          </w:tcPr>
          <w:p w14:paraId="23DC253A" w14:textId="77777777" w:rsidR="00196FB6" w:rsidRPr="00DE12A3" w:rsidRDefault="00196FB6" w:rsidP="00C917D6">
            <w:pPr>
              <w:spacing w:before="120" w:after="120"/>
              <w:rPr>
                <w:rFonts w:cs="Times New Roman"/>
                <w:color w:val="auto"/>
              </w:rPr>
            </w:pPr>
            <w:r w:rsidRPr="00DE12A3">
              <w:rPr>
                <w:rFonts w:cs="Times New Roman"/>
                <w:color w:val="auto"/>
              </w:rPr>
              <w:t>[kg /(m • s)]</w:t>
            </w:r>
          </w:p>
        </w:tc>
      </w:tr>
      <w:tr w:rsidR="00DE12A3" w:rsidRPr="00DE12A3" w14:paraId="7BA2FB3A" w14:textId="77777777" w:rsidTr="006D7ADF">
        <w:tc>
          <w:tcPr>
            <w:tcW w:w="747" w:type="dxa"/>
          </w:tcPr>
          <w:p w14:paraId="6C72A4CB" w14:textId="77777777" w:rsidR="00196FB6" w:rsidRPr="00DE12A3" w:rsidRDefault="00196FB6" w:rsidP="00C917D6">
            <w:pPr>
              <w:pStyle w:val="NormalLeft"/>
            </w:pPr>
            <w:r w:rsidRPr="00DE12A3">
              <w:rPr>
                <w:i/>
                <w:iCs/>
              </w:rPr>
              <w:t>T</w:t>
            </w:r>
            <w:r w:rsidRPr="00DE12A3">
              <w:rPr>
                <w:vertAlign w:val="subscript"/>
              </w:rPr>
              <w:t>0</w:t>
            </w:r>
          </w:p>
        </w:tc>
        <w:tc>
          <w:tcPr>
            <w:tcW w:w="560" w:type="dxa"/>
          </w:tcPr>
          <w:p w14:paraId="0528DF5C" w14:textId="77777777" w:rsidR="00196FB6" w:rsidRPr="00DE12A3" w:rsidRDefault="00196FB6" w:rsidP="00C917D6">
            <w:pPr>
              <w:pStyle w:val="NormalLeft"/>
            </w:pPr>
            <w:r w:rsidRPr="00DE12A3">
              <w:t>=</w:t>
            </w:r>
          </w:p>
        </w:tc>
        <w:tc>
          <w:tcPr>
            <w:tcW w:w="4915" w:type="dxa"/>
          </w:tcPr>
          <w:p w14:paraId="0C0D7736" w14:textId="77777777" w:rsidR="00196FB6" w:rsidRPr="00DE12A3" w:rsidRDefault="00196FB6" w:rsidP="00C917D6">
            <w:pPr>
              <w:spacing w:before="120" w:after="120"/>
              <w:rPr>
                <w:rFonts w:cs="Times New Roman"/>
                <w:color w:val="auto"/>
              </w:rPr>
            </w:pPr>
            <w:r w:rsidRPr="00DE12A3">
              <w:rPr>
                <w:rFonts w:cs="Times New Roman"/>
                <w:color w:val="auto"/>
              </w:rPr>
              <w:t>Sutherland sabiti [K]</w:t>
            </w:r>
          </w:p>
        </w:tc>
      </w:tr>
      <w:tr w:rsidR="00196FB6" w:rsidRPr="00DE12A3" w14:paraId="640C5DAD" w14:textId="77777777" w:rsidTr="006D7ADF">
        <w:tc>
          <w:tcPr>
            <w:tcW w:w="747" w:type="dxa"/>
          </w:tcPr>
          <w:p w14:paraId="368CCB25" w14:textId="77777777" w:rsidR="00196FB6" w:rsidRPr="00DE12A3" w:rsidRDefault="00196FB6" w:rsidP="00C917D6">
            <w:pPr>
              <w:pStyle w:val="NormalLeft"/>
            </w:pPr>
            <w:r w:rsidRPr="00DE12A3">
              <w:rPr>
                <w:i/>
                <w:iCs/>
              </w:rPr>
              <w:t>T</w:t>
            </w:r>
            <w:r w:rsidRPr="00DE12A3">
              <w:rPr>
                <w:vertAlign w:val="subscript"/>
              </w:rPr>
              <w:t>in</w:t>
            </w:r>
          </w:p>
        </w:tc>
        <w:tc>
          <w:tcPr>
            <w:tcW w:w="560" w:type="dxa"/>
          </w:tcPr>
          <w:p w14:paraId="525A13A5" w14:textId="77777777" w:rsidR="00196FB6" w:rsidRPr="00DE12A3" w:rsidRDefault="00196FB6" w:rsidP="00C917D6">
            <w:pPr>
              <w:pStyle w:val="NormalLeft"/>
            </w:pPr>
            <w:r w:rsidRPr="00DE12A3">
              <w:t>=</w:t>
            </w:r>
          </w:p>
        </w:tc>
        <w:tc>
          <w:tcPr>
            <w:tcW w:w="4915" w:type="dxa"/>
          </w:tcPr>
          <w:p w14:paraId="64B08C89" w14:textId="77777777" w:rsidR="00196FB6" w:rsidRPr="00DE12A3" w:rsidRDefault="00196FB6" w:rsidP="00C917D6">
            <w:pPr>
              <w:spacing w:before="120" w:after="120"/>
              <w:rPr>
                <w:rFonts w:cs="Times New Roman"/>
                <w:color w:val="auto"/>
              </w:rPr>
            </w:pPr>
            <w:r w:rsidRPr="00DE12A3">
              <w:rPr>
                <w:rFonts w:cs="Times New Roman"/>
                <w:color w:val="auto"/>
              </w:rPr>
              <w:t>Sutherland referans sıcaklığı [K]</w:t>
            </w:r>
          </w:p>
        </w:tc>
      </w:tr>
    </w:tbl>
    <w:p w14:paraId="4972A3FE" w14:textId="40FDB5DF" w:rsidR="003C2689" w:rsidRPr="00DE12A3" w:rsidRDefault="003C2689" w:rsidP="00C917D6">
      <w:pPr>
        <w:spacing w:before="120" w:after="120"/>
        <w:rPr>
          <w:rFonts w:cs="Times New Roman"/>
          <w:color w:val="auto"/>
        </w:rPr>
      </w:pPr>
    </w:p>
    <w:p w14:paraId="60370CF8" w14:textId="20B4D928" w:rsidR="004E09D1" w:rsidRPr="00DE12A3" w:rsidRDefault="004E09D1" w:rsidP="004E09D1">
      <w:pPr>
        <w:spacing w:before="120" w:after="120"/>
        <w:jc w:val="center"/>
        <w:rPr>
          <w:b/>
          <w:bCs/>
          <w:iCs/>
          <w:color w:val="auto"/>
        </w:rPr>
      </w:pPr>
      <w:r w:rsidRPr="00DE12A3">
        <w:rPr>
          <w:b/>
          <w:bCs/>
          <w:iCs/>
          <w:color w:val="auto"/>
        </w:rPr>
        <w:t>Tablo 7.7</w:t>
      </w:r>
    </w:p>
    <w:p w14:paraId="528B1411" w14:textId="30AF6122" w:rsidR="004E09D1" w:rsidRPr="00DE12A3" w:rsidRDefault="004E09D1" w:rsidP="004E09D1">
      <w:pPr>
        <w:spacing w:before="120" w:after="120"/>
        <w:jc w:val="center"/>
        <w:rPr>
          <w:rFonts w:cs="Times New Roman"/>
          <w:color w:val="auto"/>
        </w:rPr>
      </w:pPr>
      <w:r w:rsidRPr="00DE12A3">
        <w:rPr>
          <w:b/>
          <w:iCs/>
          <w:color w:val="auto"/>
        </w:rPr>
        <w:t>Sutherland üç katsayılı viskozite modeli parametreleri</w:t>
      </w:r>
    </w:p>
    <w:tbl>
      <w:tblPr>
        <w:tblW w:w="9286" w:type="dxa"/>
        <w:tblLayout w:type="fixed"/>
        <w:tblLook w:val="0000" w:firstRow="0" w:lastRow="0" w:firstColumn="0" w:lastColumn="0" w:noHBand="0" w:noVBand="0"/>
      </w:tblPr>
      <w:tblGrid>
        <w:gridCol w:w="929"/>
        <w:gridCol w:w="1485"/>
        <w:gridCol w:w="929"/>
        <w:gridCol w:w="929"/>
        <w:gridCol w:w="3343"/>
        <w:gridCol w:w="1671"/>
      </w:tblGrid>
      <w:tr w:rsidR="00DE12A3" w:rsidRPr="00DE12A3" w14:paraId="1D654C10" w14:textId="77777777" w:rsidTr="00140710">
        <w:tc>
          <w:tcPr>
            <w:tcW w:w="929" w:type="dxa"/>
            <w:vMerge w:val="restart"/>
            <w:tcBorders>
              <w:top w:val="single" w:sz="2" w:space="0" w:color="auto"/>
              <w:left w:val="single" w:sz="2" w:space="0" w:color="auto"/>
              <w:bottom w:val="single" w:sz="2" w:space="0" w:color="auto"/>
              <w:right w:val="single" w:sz="2" w:space="0" w:color="auto"/>
            </w:tcBorders>
          </w:tcPr>
          <w:p w14:paraId="29D81AA3" w14:textId="77777777" w:rsidR="009F4766" w:rsidRPr="00DE12A3" w:rsidRDefault="009F4766" w:rsidP="00C917D6">
            <w:pPr>
              <w:pStyle w:val="NormalCentered"/>
            </w:pPr>
            <w:r w:rsidRPr="00DE12A3">
              <w:t>Ga</w:t>
            </w:r>
            <w:r w:rsidR="00140710" w:rsidRPr="00DE12A3">
              <w:t>z</w:t>
            </w:r>
            <w:r w:rsidR="00140710" w:rsidRPr="00DE12A3">
              <w:rPr>
                <w:vertAlign w:val="superscript"/>
              </w:rPr>
              <w:t>a</w:t>
            </w:r>
          </w:p>
        </w:tc>
        <w:tc>
          <w:tcPr>
            <w:tcW w:w="1485" w:type="dxa"/>
            <w:tcBorders>
              <w:top w:val="single" w:sz="2" w:space="0" w:color="auto"/>
              <w:left w:val="single" w:sz="2" w:space="0" w:color="auto"/>
              <w:bottom w:val="single" w:sz="2" w:space="0" w:color="auto"/>
              <w:right w:val="single" w:sz="2" w:space="0" w:color="auto"/>
            </w:tcBorders>
          </w:tcPr>
          <w:p w14:paraId="6282B8FA" w14:textId="77777777" w:rsidR="009F4766" w:rsidRPr="00DE12A3" w:rsidRDefault="009F4766" w:rsidP="00C917D6">
            <w:pPr>
              <w:pStyle w:val="NormalCentered"/>
            </w:pPr>
            <w:r w:rsidRPr="00DE12A3">
              <w:rPr>
                <w:i/>
                <w:iCs/>
              </w:rPr>
              <w:t>μ</w:t>
            </w:r>
            <w:r w:rsidRPr="00DE12A3">
              <w:rPr>
                <w:vertAlign w:val="subscript"/>
              </w:rPr>
              <w:t>0</w:t>
            </w:r>
          </w:p>
        </w:tc>
        <w:tc>
          <w:tcPr>
            <w:tcW w:w="929" w:type="dxa"/>
            <w:tcBorders>
              <w:top w:val="single" w:sz="2" w:space="0" w:color="auto"/>
              <w:left w:val="single" w:sz="2" w:space="0" w:color="auto"/>
              <w:bottom w:val="single" w:sz="2" w:space="0" w:color="auto"/>
              <w:right w:val="single" w:sz="2" w:space="0" w:color="auto"/>
            </w:tcBorders>
          </w:tcPr>
          <w:p w14:paraId="4BFF3FE3" w14:textId="77777777" w:rsidR="009F4766" w:rsidRPr="00DE12A3" w:rsidRDefault="009F4766" w:rsidP="00C917D6">
            <w:pPr>
              <w:pStyle w:val="NormalCentered"/>
            </w:pPr>
            <w:r w:rsidRPr="00DE12A3">
              <w:rPr>
                <w:i/>
                <w:iCs/>
              </w:rPr>
              <w:t>T</w:t>
            </w:r>
            <w:r w:rsidRPr="00DE12A3">
              <w:rPr>
                <w:i/>
                <w:iCs/>
                <w:vertAlign w:val="subscript"/>
              </w:rPr>
              <w:t>0</w:t>
            </w:r>
          </w:p>
        </w:tc>
        <w:tc>
          <w:tcPr>
            <w:tcW w:w="929" w:type="dxa"/>
            <w:tcBorders>
              <w:top w:val="single" w:sz="2" w:space="0" w:color="auto"/>
              <w:left w:val="single" w:sz="2" w:space="0" w:color="auto"/>
              <w:bottom w:val="single" w:sz="2" w:space="0" w:color="auto"/>
              <w:right w:val="single" w:sz="2" w:space="0" w:color="auto"/>
            </w:tcBorders>
          </w:tcPr>
          <w:p w14:paraId="1A42C4FA" w14:textId="77777777" w:rsidR="009F4766" w:rsidRPr="00DE12A3" w:rsidRDefault="009F4766" w:rsidP="00C917D6">
            <w:pPr>
              <w:pStyle w:val="NormalCentered"/>
            </w:pPr>
            <w:r w:rsidRPr="00DE12A3">
              <w:t>S</w:t>
            </w:r>
          </w:p>
        </w:tc>
        <w:tc>
          <w:tcPr>
            <w:tcW w:w="3343" w:type="dxa"/>
            <w:tcBorders>
              <w:top w:val="single" w:sz="2" w:space="0" w:color="auto"/>
              <w:left w:val="single" w:sz="2" w:space="0" w:color="auto"/>
              <w:bottom w:val="single" w:sz="2" w:space="0" w:color="auto"/>
              <w:right w:val="single" w:sz="2" w:space="0" w:color="auto"/>
            </w:tcBorders>
          </w:tcPr>
          <w:p w14:paraId="0E8B78AD" w14:textId="77777777" w:rsidR="009F4766" w:rsidRPr="00DE12A3" w:rsidRDefault="00196FB6" w:rsidP="00C917D6">
            <w:pPr>
              <w:pStyle w:val="NormalCentered"/>
            </w:pPr>
            <w:r w:rsidRPr="00DE12A3">
              <w:t>± % 2 hata dahilinde sıcaklık aralığı</w:t>
            </w:r>
          </w:p>
        </w:tc>
        <w:tc>
          <w:tcPr>
            <w:tcW w:w="1671" w:type="dxa"/>
            <w:tcBorders>
              <w:top w:val="single" w:sz="2" w:space="0" w:color="auto"/>
              <w:left w:val="single" w:sz="2" w:space="0" w:color="auto"/>
              <w:bottom w:val="single" w:sz="2" w:space="0" w:color="auto"/>
              <w:right w:val="single" w:sz="2" w:space="0" w:color="auto"/>
            </w:tcBorders>
          </w:tcPr>
          <w:p w14:paraId="17A12DC3" w14:textId="77777777" w:rsidR="009F4766" w:rsidRPr="00DE12A3" w:rsidRDefault="00196FB6" w:rsidP="00C917D6">
            <w:pPr>
              <w:pStyle w:val="NormalCentered"/>
            </w:pPr>
            <w:r w:rsidRPr="00DE12A3">
              <w:t>Basınç sınırı</w:t>
            </w:r>
          </w:p>
        </w:tc>
      </w:tr>
      <w:tr w:rsidR="00DE12A3" w:rsidRPr="00DE12A3" w14:paraId="08A5A722" w14:textId="77777777" w:rsidTr="00140710">
        <w:tc>
          <w:tcPr>
            <w:tcW w:w="929" w:type="dxa"/>
            <w:vMerge/>
            <w:tcBorders>
              <w:top w:val="single" w:sz="2" w:space="0" w:color="auto"/>
              <w:left w:val="single" w:sz="2" w:space="0" w:color="auto"/>
              <w:bottom w:val="single" w:sz="2" w:space="0" w:color="auto"/>
              <w:right w:val="single" w:sz="2" w:space="0" w:color="auto"/>
            </w:tcBorders>
          </w:tcPr>
          <w:p w14:paraId="5223BA75" w14:textId="77777777" w:rsidR="009F4766" w:rsidRPr="00DE12A3" w:rsidRDefault="009F4766" w:rsidP="00C917D6">
            <w:pPr>
              <w:adjustRightInd w:val="0"/>
              <w:spacing w:before="120" w:after="120"/>
              <w:rPr>
                <w:rFonts w:cs="Times New Roman"/>
                <w:color w:val="auto"/>
              </w:rPr>
            </w:pPr>
          </w:p>
        </w:tc>
        <w:tc>
          <w:tcPr>
            <w:tcW w:w="1485" w:type="dxa"/>
            <w:tcBorders>
              <w:top w:val="single" w:sz="2" w:space="0" w:color="auto"/>
              <w:left w:val="single" w:sz="2" w:space="0" w:color="auto"/>
              <w:bottom w:val="single" w:sz="2" w:space="0" w:color="auto"/>
              <w:right w:val="single" w:sz="2" w:space="0" w:color="auto"/>
            </w:tcBorders>
          </w:tcPr>
          <w:p w14:paraId="3FB500A2" w14:textId="77777777" w:rsidR="009F4766" w:rsidRPr="00DE12A3" w:rsidRDefault="009F4766" w:rsidP="00C917D6">
            <w:pPr>
              <w:pStyle w:val="NormalCentered"/>
            </w:pPr>
            <w:r w:rsidRPr="00DE12A3">
              <w:t>kg /(m · s)</w:t>
            </w:r>
          </w:p>
        </w:tc>
        <w:tc>
          <w:tcPr>
            <w:tcW w:w="929" w:type="dxa"/>
            <w:tcBorders>
              <w:top w:val="single" w:sz="2" w:space="0" w:color="auto"/>
              <w:left w:val="single" w:sz="2" w:space="0" w:color="auto"/>
              <w:bottom w:val="single" w:sz="2" w:space="0" w:color="auto"/>
              <w:right w:val="single" w:sz="2" w:space="0" w:color="auto"/>
            </w:tcBorders>
          </w:tcPr>
          <w:p w14:paraId="1DE6106F" w14:textId="77777777" w:rsidR="009F4766" w:rsidRPr="00DE12A3" w:rsidRDefault="009F4766" w:rsidP="00C917D6">
            <w:pPr>
              <w:pStyle w:val="NormalCentered"/>
            </w:pPr>
            <w:r w:rsidRPr="00DE12A3">
              <w:t>K</w:t>
            </w:r>
          </w:p>
        </w:tc>
        <w:tc>
          <w:tcPr>
            <w:tcW w:w="929" w:type="dxa"/>
            <w:tcBorders>
              <w:top w:val="single" w:sz="2" w:space="0" w:color="auto"/>
              <w:left w:val="single" w:sz="2" w:space="0" w:color="auto"/>
              <w:bottom w:val="single" w:sz="2" w:space="0" w:color="auto"/>
              <w:right w:val="single" w:sz="2" w:space="0" w:color="auto"/>
            </w:tcBorders>
          </w:tcPr>
          <w:p w14:paraId="1E11340A" w14:textId="77777777" w:rsidR="009F4766" w:rsidRPr="00DE12A3" w:rsidRDefault="009F4766" w:rsidP="00C917D6">
            <w:pPr>
              <w:pStyle w:val="NormalCentered"/>
            </w:pPr>
            <w:r w:rsidRPr="00DE12A3">
              <w:t>K</w:t>
            </w:r>
          </w:p>
        </w:tc>
        <w:tc>
          <w:tcPr>
            <w:tcW w:w="3343" w:type="dxa"/>
            <w:tcBorders>
              <w:top w:val="single" w:sz="2" w:space="0" w:color="auto"/>
              <w:left w:val="single" w:sz="2" w:space="0" w:color="auto"/>
              <w:bottom w:val="single" w:sz="2" w:space="0" w:color="auto"/>
              <w:right w:val="single" w:sz="2" w:space="0" w:color="auto"/>
            </w:tcBorders>
          </w:tcPr>
          <w:p w14:paraId="15062293" w14:textId="77777777" w:rsidR="009F4766" w:rsidRPr="00DE12A3" w:rsidRDefault="009F4766" w:rsidP="00C917D6">
            <w:pPr>
              <w:pStyle w:val="NormalCentered"/>
            </w:pPr>
            <w:r w:rsidRPr="00DE12A3">
              <w:t>K</w:t>
            </w:r>
          </w:p>
        </w:tc>
        <w:tc>
          <w:tcPr>
            <w:tcW w:w="1671" w:type="dxa"/>
            <w:tcBorders>
              <w:top w:val="single" w:sz="2" w:space="0" w:color="auto"/>
              <w:left w:val="single" w:sz="2" w:space="0" w:color="auto"/>
              <w:bottom w:val="single" w:sz="2" w:space="0" w:color="auto"/>
              <w:right w:val="single" w:sz="2" w:space="0" w:color="auto"/>
            </w:tcBorders>
          </w:tcPr>
          <w:p w14:paraId="27692B0F" w14:textId="77777777" w:rsidR="009F4766" w:rsidRPr="00DE12A3" w:rsidRDefault="009F4766" w:rsidP="00C917D6">
            <w:pPr>
              <w:pStyle w:val="NormalCentered"/>
            </w:pPr>
            <w:r w:rsidRPr="00DE12A3">
              <w:t>kPa</w:t>
            </w:r>
          </w:p>
        </w:tc>
      </w:tr>
      <w:tr w:rsidR="00DE12A3" w:rsidRPr="00DE12A3" w14:paraId="0D617217" w14:textId="77777777" w:rsidTr="00140710">
        <w:tc>
          <w:tcPr>
            <w:tcW w:w="929" w:type="dxa"/>
            <w:tcBorders>
              <w:top w:val="single" w:sz="2" w:space="0" w:color="auto"/>
              <w:left w:val="single" w:sz="2" w:space="0" w:color="auto"/>
              <w:bottom w:val="single" w:sz="2" w:space="0" w:color="auto"/>
              <w:right w:val="single" w:sz="2" w:space="0" w:color="auto"/>
            </w:tcBorders>
          </w:tcPr>
          <w:p w14:paraId="56097E2B" w14:textId="77777777" w:rsidR="009F4766" w:rsidRPr="00DE12A3" w:rsidRDefault="00140710" w:rsidP="00C917D6">
            <w:pPr>
              <w:pStyle w:val="NormalLeft"/>
            </w:pPr>
            <w:r w:rsidRPr="00DE12A3">
              <w:t>Hava</w:t>
            </w:r>
          </w:p>
        </w:tc>
        <w:tc>
          <w:tcPr>
            <w:tcW w:w="1485" w:type="dxa"/>
            <w:tcBorders>
              <w:top w:val="single" w:sz="2" w:space="0" w:color="auto"/>
              <w:left w:val="single" w:sz="2" w:space="0" w:color="auto"/>
              <w:bottom w:val="single" w:sz="2" w:space="0" w:color="auto"/>
              <w:right w:val="single" w:sz="2" w:space="0" w:color="auto"/>
            </w:tcBorders>
          </w:tcPr>
          <w:p w14:paraId="453A2803" w14:textId="77777777" w:rsidR="009F4766" w:rsidRPr="00DE12A3" w:rsidRDefault="009F4766" w:rsidP="00C917D6">
            <w:pPr>
              <w:pStyle w:val="NormalLeft"/>
            </w:pPr>
            <w:r w:rsidRPr="00DE12A3">
              <w:t>1,716 × 10</w:t>
            </w:r>
            <w:r w:rsidRPr="00DE12A3">
              <w:rPr>
                <w:vertAlign w:val="superscript"/>
              </w:rPr>
              <w:t>– 5</w:t>
            </w:r>
          </w:p>
        </w:tc>
        <w:tc>
          <w:tcPr>
            <w:tcW w:w="929" w:type="dxa"/>
            <w:tcBorders>
              <w:top w:val="single" w:sz="2" w:space="0" w:color="auto"/>
              <w:left w:val="single" w:sz="2" w:space="0" w:color="auto"/>
              <w:bottom w:val="single" w:sz="2" w:space="0" w:color="auto"/>
              <w:right w:val="single" w:sz="2" w:space="0" w:color="auto"/>
            </w:tcBorders>
          </w:tcPr>
          <w:p w14:paraId="631DE69C" w14:textId="77777777" w:rsidR="009F4766" w:rsidRPr="00DE12A3" w:rsidRDefault="009F4766" w:rsidP="00C917D6">
            <w:pPr>
              <w:pStyle w:val="NormalLeft"/>
            </w:pPr>
            <w:r w:rsidRPr="00DE12A3">
              <w:t>273</w:t>
            </w:r>
          </w:p>
        </w:tc>
        <w:tc>
          <w:tcPr>
            <w:tcW w:w="929" w:type="dxa"/>
            <w:tcBorders>
              <w:top w:val="single" w:sz="2" w:space="0" w:color="auto"/>
              <w:left w:val="single" w:sz="2" w:space="0" w:color="auto"/>
              <w:bottom w:val="single" w:sz="2" w:space="0" w:color="auto"/>
              <w:right w:val="single" w:sz="2" w:space="0" w:color="auto"/>
            </w:tcBorders>
          </w:tcPr>
          <w:p w14:paraId="0D24E19E" w14:textId="77777777" w:rsidR="009F4766" w:rsidRPr="00DE12A3" w:rsidRDefault="009F4766" w:rsidP="00C917D6">
            <w:pPr>
              <w:pStyle w:val="NormalLeft"/>
            </w:pPr>
            <w:r w:rsidRPr="00DE12A3">
              <w:t>111</w:t>
            </w:r>
          </w:p>
        </w:tc>
        <w:tc>
          <w:tcPr>
            <w:tcW w:w="3343" w:type="dxa"/>
            <w:tcBorders>
              <w:top w:val="single" w:sz="2" w:space="0" w:color="auto"/>
              <w:left w:val="single" w:sz="2" w:space="0" w:color="auto"/>
              <w:bottom w:val="single" w:sz="2" w:space="0" w:color="auto"/>
              <w:right w:val="single" w:sz="2" w:space="0" w:color="auto"/>
            </w:tcBorders>
          </w:tcPr>
          <w:p w14:paraId="5AF00FF0" w14:textId="77777777" w:rsidR="009F4766" w:rsidRPr="00DE12A3" w:rsidRDefault="009F4766" w:rsidP="00C917D6">
            <w:pPr>
              <w:pStyle w:val="NormalLeft"/>
            </w:pPr>
            <w:r w:rsidRPr="00DE12A3">
              <w:t>170 to 1900</w:t>
            </w:r>
          </w:p>
        </w:tc>
        <w:tc>
          <w:tcPr>
            <w:tcW w:w="1671" w:type="dxa"/>
            <w:tcBorders>
              <w:top w:val="single" w:sz="2" w:space="0" w:color="auto"/>
              <w:left w:val="single" w:sz="2" w:space="0" w:color="auto"/>
              <w:bottom w:val="single" w:sz="2" w:space="0" w:color="auto"/>
              <w:right w:val="single" w:sz="2" w:space="0" w:color="auto"/>
            </w:tcBorders>
          </w:tcPr>
          <w:p w14:paraId="46A0441A" w14:textId="77777777" w:rsidR="009F4766" w:rsidRPr="00DE12A3" w:rsidRDefault="009F4766" w:rsidP="00C917D6">
            <w:pPr>
              <w:pStyle w:val="NormalLeft"/>
            </w:pPr>
            <w:r w:rsidRPr="00DE12A3">
              <w:t>≤ 1800</w:t>
            </w:r>
          </w:p>
        </w:tc>
      </w:tr>
      <w:tr w:rsidR="00DE12A3" w:rsidRPr="00DE12A3" w14:paraId="30A831FF" w14:textId="77777777" w:rsidTr="00140710">
        <w:tc>
          <w:tcPr>
            <w:tcW w:w="929" w:type="dxa"/>
            <w:tcBorders>
              <w:top w:val="single" w:sz="2" w:space="0" w:color="auto"/>
              <w:left w:val="single" w:sz="2" w:space="0" w:color="auto"/>
              <w:bottom w:val="single" w:sz="2" w:space="0" w:color="auto"/>
              <w:right w:val="single" w:sz="2" w:space="0" w:color="auto"/>
            </w:tcBorders>
          </w:tcPr>
          <w:p w14:paraId="6E628B42" w14:textId="77777777" w:rsidR="009F4766" w:rsidRPr="00DE12A3" w:rsidRDefault="009F4766" w:rsidP="00C917D6">
            <w:pPr>
              <w:pStyle w:val="NormalLeft"/>
            </w:pPr>
            <w:r w:rsidRPr="00DE12A3">
              <w:lastRenderedPageBreak/>
              <w:t>CO</w:t>
            </w:r>
            <w:r w:rsidRPr="00DE12A3">
              <w:rPr>
                <w:vertAlign w:val="subscript"/>
              </w:rPr>
              <w:t>2</w:t>
            </w:r>
          </w:p>
        </w:tc>
        <w:tc>
          <w:tcPr>
            <w:tcW w:w="1485" w:type="dxa"/>
            <w:tcBorders>
              <w:top w:val="single" w:sz="2" w:space="0" w:color="auto"/>
              <w:left w:val="single" w:sz="2" w:space="0" w:color="auto"/>
              <w:bottom w:val="single" w:sz="2" w:space="0" w:color="auto"/>
              <w:right w:val="single" w:sz="2" w:space="0" w:color="auto"/>
            </w:tcBorders>
          </w:tcPr>
          <w:p w14:paraId="558557F0" w14:textId="77777777" w:rsidR="009F4766" w:rsidRPr="00DE12A3" w:rsidRDefault="009F4766" w:rsidP="00C917D6">
            <w:pPr>
              <w:pStyle w:val="NormalLeft"/>
            </w:pPr>
            <w:r w:rsidRPr="00DE12A3">
              <w:t>1,370 × 10</w:t>
            </w:r>
            <w:r w:rsidRPr="00DE12A3">
              <w:rPr>
                <w:vertAlign w:val="superscript"/>
              </w:rPr>
              <w:t>– 5</w:t>
            </w:r>
          </w:p>
        </w:tc>
        <w:tc>
          <w:tcPr>
            <w:tcW w:w="929" w:type="dxa"/>
            <w:tcBorders>
              <w:top w:val="single" w:sz="2" w:space="0" w:color="auto"/>
              <w:left w:val="single" w:sz="2" w:space="0" w:color="auto"/>
              <w:bottom w:val="single" w:sz="2" w:space="0" w:color="auto"/>
              <w:right w:val="single" w:sz="2" w:space="0" w:color="auto"/>
            </w:tcBorders>
          </w:tcPr>
          <w:p w14:paraId="778B80DB" w14:textId="77777777" w:rsidR="009F4766" w:rsidRPr="00DE12A3" w:rsidRDefault="009F4766" w:rsidP="00C917D6">
            <w:pPr>
              <w:pStyle w:val="NormalLeft"/>
            </w:pPr>
            <w:r w:rsidRPr="00DE12A3">
              <w:t>273</w:t>
            </w:r>
          </w:p>
        </w:tc>
        <w:tc>
          <w:tcPr>
            <w:tcW w:w="929" w:type="dxa"/>
            <w:tcBorders>
              <w:top w:val="single" w:sz="2" w:space="0" w:color="auto"/>
              <w:left w:val="single" w:sz="2" w:space="0" w:color="auto"/>
              <w:bottom w:val="single" w:sz="2" w:space="0" w:color="auto"/>
              <w:right w:val="single" w:sz="2" w:space="0" w:color="auto"/>
            </w:tcBorders>
          </w:tcPr>
          <w:p w14:paraId="3DDB3643" w14:textId="77777777" w:rsidR="009F4766" w:rsidRPr="00DE12A3" w:rsidRDefault="009F4766" w:rsidP="00C917D6">
            <w:pPr>
              <w:pStyle w:val="NormalLeft"/>
            </w:pPr>
            <w:r w:rsidRPr="00DE12A3">
              <w:t>222</w:t>
            </w:r>
          </w:p>
        </w:tc>
        <w:tc>
          <w:tcPr>
            <w:tcW w:w="3343" w:type="dxa"/>
            <w:tcBorders>
              <w:top w:val="single" w:sz="2" w:space="0" w:color="auto"/>
              <w:left w:val="single" w:sz="2" w:space="0" w:color="auto"/>
              <w:bottom w:val="single" w:sz="2" w:space="0" w:color="auto"/>
              <w:right w:val="single" w:sz="2" w:space="0" w:color="auto"/>
            </w:tcBorders>
          </w:tcPr>
          <w:p w14:paraId="1DBD86FA" w14:textId="77777777" w:rsidR="009F4766" w:rsidRPr="00DE12A3" w:rsidRDefault="009F4766" w:rsidP="00C917D6">
            <w:pPr>
              <w:pStyle w:val="NormalLeft"/>
            </w:pPr>
            <w:r w:rsidRPr="00DE12A3">
              <w:t>190 to 1700</w:t>
            </w:r>
          </w:p>
        </w:tc>
        <w:tc>
          <w:tcPr>
            <w:tcW w:w="1671" w:type="dxa"/>
            <w:tcBorders>
              <w:top w:val="single" w:sz="2" w:space="0" w:color="auto"/>
              <w:left w:val="single" w:sz="2" w:space="0" w:color="auto"/>
              <w:bottom w:val="single" w:sz="2" w:space="0" w:color="auto"/>
              <w:right w:val="single" w:sz="2" w:space="0" w:color="auto"/>
            </w:tcBorders>
          </w:tcPr>
          <w:p w14:paraId="0AEFE81C" w14:textId="77777777" w:rsidR="009F4766" w:rsidRPr="00DE12A3" w:rsidRDefault="009F4766" w:rsidP="00C917D6">
            <w:pPr>
              <w:pStyle w:val="NormalLeft"/>
            </w:pPr>
            <w:r w:rsidRPr="00DE12A3">
              <w:t>≤ 3600</w:t>
            </w:r>
          </w:p>
        </w:tc>
      </w:tr>
      <w:tr w:rsidR="00DE12A3" w:rsidRPr="00DE12A3" w14:paraId="2EF7F40B" w14:textId="77777777" w:rsidTr="00140710">
        <w:tc>
          <w:tcPr>
            <w:tcW w:w="929" w:type="dxa"/>
            <w:tcBorders>
              <w:top w:val="single" w:sz="2" w:space="0" w:color="auto"/>
              <w:left w:val="single" w:sz="2" w:space="0" w:color="auto"/>
              <w:bottom w:val="single" w:sz="2" w:space="0" w:color="auto"/>
              <w:right w:val="single" w:sz="2" w:space="0" w:color="auto"/>
            </w:tcBorders>
          </w:tcPr>
          <w:p w14:paraId="3F92C37A" w14:textId="77777777" w:rsidR="009F4766" w:rsidRPr="00DE12A3" w:rsidRDefault="009F4766" w:rsidP="00C917D6">
            <w:pPr>
              <w:pStyle w:val="NormalLeft"/>
            </w:pPr>
            <w:r w:rsidRPr="00DE12A3">
              <w:t>H</w:t>
            </w:r>
            <w:r w:rsidRPr="00DE12A3">
              <w:rPr>
                <w:vertAlign w:val="subscript"/>
              </w:rPr>
              <w:t>2</w:t>
            </w:r>
            <w:r w:rsidRPr="00DE12A3">
              <w:t>O</w:t>
            </w:r>
          </w:p>
        </w:tc>
        <w:tc>
          <w:tcPr>
            <w:tcW w:w="1485" w:type="dxa"/>
            <w:tcBorders>
              <w:top w:val="single" w:sz="2" w:space="0" w:color="auto"/>
              <w:left w:val="single" w:sz="2" w:space="0" w:color="auto"/>
              <w:bottom w:val="single" w:sz="2" w:space="0" w:color="auto"/>
              <w:right w:val="single" w:sz="2" w:space="0" w:color="auto"/>
            </w:tcBorders>
          </w:tcPr>
          <w:p w14:paraId="7C61EFDD" w14:textId="77777777" w:rsidR="009F4766" w:rsidRPr="00DE12A3" w:rsidRDefault="009F4766" w:rsidP="00C917D6">
            <w:pPr>
              <w:pStyle w:val="NormalLeft"/>
            </w:pPr>
            <w:r w:rsidRPr="00DE12A3">
              <w:t>1,12 × 10</w:t>
            </w:r>
            <w:r w:rsidRPr="00DE12A3">
              <w:rPr>
                <w:vertAlign w:val="superscript"/>
              </w:rPr>
              <w:t>– 5</w:t>
            </w:r>
          </w:p>
        </w:tc>
        <w:tc>
          <w:tcPr>
            <w:tcW w:w="929" w:type="dxa"/>
            <w:tcBorders>
              <w:top w:val="single" w:sz="2" w:space="0" w:color="auto"/>
              <w:left w:val="single" w:sz="2" w:space="0" w:color="auto"/>
              <w:bottom w:val="single" w:sz="2" w:space="0" w:color="auto"/>
              <w:right w:val="single" w:sz="2" w:space="0" w:color="auto"/>
            </w:tcBorders>
          </w:tcPr>
          <w:p w14:paraId="543BFB9A" w14:textId="77777777" w:rsidR="009F4766" w:rsidRPr="00DE12A3" w:rsidRDefault="009F4766" w:rsidP="00C917D6">
            <w:pPr>
              <w:pStyle w:val="NormalLeft"/>
            </w:pPr>
            <w:r w:rsidRPr="00DE12A3">
              <w:t>350</w:t>
            </w:r>
          </w:p>
        </w:tc>
        <w:tc>
          <w:tcPr>
            <w:tcW w:w="929" w:type="dxa"/>
            <w:tcBorders>
              <w:top w:val="single" w:sz="2" w:space="0" w:color="auto"/>
              <w:left w:val="single" w:sz="2" w:space="0" w:color="auto"/>
              <w:bottom w:val="single" w:sz="2" w:space="0" w:color="auto"/>
              <w:right w:val="single" w:sz="2" w:space="0" w:color="auto"/>
            </w:tcBorders>
          </w:tcPr>
          <w:p w14:paraId="1C3028C6" w14:textId="77777777" w:rsidR="009F4766" w:rsidRPr="00DE12A3" w:rsidRDefault="009F4766" w:rsidP="00C917D6">
            <w:pPr>
              <w:pStyle w:val="NormalLeft"/>
            </w:pPr>
            <w:r w:rsidRPr="00DE12A3">
              <w:t>1,064</w:t>
            </w:r>
          </w:p>
        </w:tc>
        <w:tc>
          <w:tcPr>
            <w:tcW w:w="3343" w:type="dxa"/>
            <w:tcBorders>
              <w:top w:val="single" w:sz="2" w:space="0" w:color="auto"/>
              <w:left w:val="single" w:sz="2" w:space="0" w:color="auto"/>
              <w:bottom w:val="single" w:sz="2" w:space="0" w:color="auto"/>
              <w:right w:val="single" w:sz="2" w:space="0" w:color="auto"/>
            </w:tcBorders>
          </w:tcPr>
          <w:p w14:paraId="7E9907FF" w14:textId="77777777" w:rsidR="009F4766" w:rsidRPr="00DE12A3" w:rsidRDefault="009F4766" w:rsidP="00C917D6">
            <w:pPr>
              <w:pStyle w:val="NormalLeft"/>
            </w:pPr>
            <w:r w:rsidRPr="00DE12A3">
              <w:t>360 to 1500</w:t>
            </w:r>
          </w:p>
        </w:tc>
        <w:tc>
          <w:tcPr>
            <w:tcW w:w="1671" w:type="dxa"/>
            <w:tcBorders>
              <w:top w:val="single" w:sz="2" w:space="0" w:color="auto"/>
              <w:left w:val="single" w:sz="2" w:space="0" w:color="auto"/>
              <w:bottom w:val="single" w:sz="2" w:space="0" w:color="auto"/>
              <w:right w:val="single" w:sz="2" w:space="0" w:color="auto"/>
            </w:tcBorders>
          </w:tcPr>
          <w:p w14:paraId="4FD4BA32" w14:textId="77777777" w:rsidR="009F4766" w:rsidRPr="00DE12A3" w:rsidRDefault="009F4766" w:rsidP="00C917D6">
            <w:pPr>
              <w:pStyle w:val="NormalLeft"/>
            </w:pPr>
            <w:r w:rsidRPr="00DE12A3">
              <w:t>≤ 10000</w:t>
            </w:r>
          </w:p>
        </w:tc>
      </w:tr>
      <w:tr w:rsidR="00DE12A3" w:rsidRPr="00DE12A3" w14:paraId="2FD2098E" w14:textId="77777777" w:rsidTr="00140710">
        <w:tc>
          <w:tcPr>
            <w:tcW w:w="929" w:type="dxa"/>
            <w:tcBorders>
              <w:top w:val="single" w:sz="2" w:space="0" w:color="auto"/>
              <w:left w:val="single" w:sz="2" w:space="0" w:color="auto"/>
              <w:bottom w:val="single" w:sz="2" w:space="0" w:color="auto"/>
              <w:right w:val="single" w:sz="2" w:space="0" w:color="auto"/>
            </w:tcBorders>
          </w:tcPr>
          <w:p w14:paraId="795A28B4" w14:textId="77777777" w:rsidR="009F4766" w:rsidRPr="00DE12A3" w:rsidRDefault="009F4766" w:rsidP="00C917D6">
            <w:pPr>
              <w:pStyle w:val="NormalLeft"/>
            </w:pPr>
            <w:r w:rsidRPr="00DE12A3">
              <w:t>O</w:t>
            </w:r>
            <w:r w:rsidRPr="00DE12A3">
              <w:rPr>
                <w:vertAlign w:val="subscript"/>
              </w:rPr>
              <w:t>2</w:t>
            </w:r>
          </w:p>
        </w:tc>
        <w:tc>
          <w:tcPr>
            <w:tcW w:w="1485" w:type="dxa"/>
            <w:tcBorders>
              <w:top w:val="single" w:sz="2" w:space="0" w:color="auto"/>
              <w:left w:val="single" w:sz="2" w:space="0" w:color="auto"/>
              <w:bottom w:val="single" w:sz="2" w:space="0" w:color="auto"/>
              <w:right w:val="single" w:sz="2" w:space="0" w:color="auto"/>
            </w:tcBorders>
          </w:tcPr>
          <w:p w14:paraId="12D87203" w14:textId="77777777" w:rsidR="009F4766" w:rsidRPr="00DE12A3" w:rsidRDefault="009F4766" w:rsidP="00C917D6">
            <w:pPr>
              <w:pStyle w:val="NormalLeft"/>
            </w:pPr>
            <w:r w:rsidRPr="00DE12A3">
              <w:t>1,919 × 10</w:t>
            </w:r>
            <w:r w:rsidRPr="00DE12A3">
              <w:rPr>
                <w:vertAlign w:val="superscript"/>
              </w:rPr>
              <w:t>– 5</w:t>
            </w:r>
          </w:p>
        </w:tc>
        <w:tc>
          <w:tcPr>
            <w:tcW w:w="929" w:type="dxa"/>
            <w:tcBorders>
              <w:top w:val="single" w:sz="2" w:space="0" w:color="auto"/>
              <w:left w:val="single" w:sz="2" w:space="0" w:color="auto"/>
              <w:bottom w:val="single" w:sz="2" w:space="0" w:color="auto"/>
              <w:right w:val="single" w:sz="2" w:space="0" w:color="auto"/>
            </w:tcBorders>
          </w:tcPr>
          <w:p w14:paraId="149A90DE" w14:textId="77777777" w:rsidR="009F4766" w:rsidRPr="00DE12A3" w:rsidRDefault="009F4766" w:rsidP="00C917D6">
            <w:pPr>
              <w:pStyle w:val="NormalLeft"/>
            </w:pPr>
            <w:r w:rsidRPr="00DE12A3">
              <w:t>273</w:t>
            </w:r>
          </w:p>
        </w:tc>
        <w:tc>
          <w:tcPr>
            <w:tcW w:w="929" w:type="dxa"/>
            <w:tcBorders>
              <w:top w:val="single" w:sz="2" w:space="0" w:color="auto"/>
              <w:left w:val="single" w:sz="2" w:space="0" w:color="auto"/>
              <w:bottom w:val="single" w:sz="2" w:space="0" w:color="auto"/>
              <w:right w:val="single" w:sz="2" w:space="0" w:color="auto"/>
            </w:tcBorders>
          </w:tcPr>
          <w:p w14:paraId="08B45BD6" w14:textId="77777777" w:rsidR="009F4766" w:rsidRPr="00DE12A3" w:rsidRDefault="009F4766" w:rsidP="00C917D6">
            <w:pPr>
              <w:pStyle w:val="NormalLeft"/>
            </w:pPr>
            <w:r w:rsidRPr="00DE12A3">
              <w:t>139</w:t>
            </w:r>
          </w:p>
        </w:tc>
        <w:tc>
          <w:tcPr>
            <w:tcW w:w="3343" w:type="dxa"/>
            <w:tcBorders>
              <w:top w:val="single" w:sz="2" w:space="0" w:color="auto"/>
              <w:left w:val="single" w:sz="2" w:space="0" w:color="auto"/>
              <w:bottom w:val="single" w:sz="2" w:space="0" w:color="auto"/>
              <w:right w:val="single" w:sz="2" w:space="0" w:color="auto"/>
            </w:tcBorders>
          </w:tcPr>
          <w:p w14:paraId="0A33C34A" w14:textId="77777777" w:rsidR="009F4766" w:rsidRPr="00DE12A3" w:rsidRDefault="009F4766" w:rsidP="00C917D6">
            <w:pPr>
              <w:pStyle w:val="NormalLeft"/>
            </w:pPr>
            <w:r w:rsidRPr="00DE12A3">
              <w:t>190 to 2000</w:t>
            </w:r>
          </w:p>
        </w:tc>
        <w:tc>
          <w:tcPr>
            <w:tcW w:w="1671" w:type="dxa"/>
            <w:tcBorders>
              <w:top w:val="single" w:sz="2" w:space="0" w:color="auto"/>
              <w:left w:val="single" w:sz="2" w:space="0" w:color="auto"/>
              <w:bottom w:val="single" w:sz="2" w:space="0" w:color="auto"/>
              <w:right w:val="single" w:sz="2" w:space="0" w:color="auto"/>
            </w:tcBorders>
          </w:tcPr>
          <w:p w14:paraId="7ED7973D" w14:textId="77777777" w:rsidR="009F4766" w:rsidRPr="00DE12A3" w:rsidRDefault="009F4766" w:rsidP="00C917D6">
            <w:pPr>
              <w:pStyle w:val="NormalLeft"/>
            </w:pPr>
            <w:r w:rsidRPr="00DE12A3">
              <w:t>≤ 2500</w:t>
            </w:r>
          </w:p>
        </w:tc>
      </w:tr>
      <w:tr w:rsidR="00DE12A3" w:rsidRPr="00DE12A3" w14:paraId="02E070BC" w14:textId="77777777" w:rsidTr="00140710">
        <w:tc>
          <w:tcPr>
            <w:tcW w:w="929" w:type="dxa"/>
            <w:tcBorders>
              <w:top w:val="single" w:sz="2" w:space="0" w:color="auto"/>
              <w:left w:val="single" w:sz="2" w:space="0" w:color="auto"/>
              <w:bottom w:val="single" w:sz="2" w:space="0" w:color="auto"/>
              <w:right w:val="single" w:sz="2" w:space="0" w:color="auto"/>
            </w:tcBorders>
          </w:tcPr>
          <w:p w14:paraId="27C552F2" w14:textId="77777777" w:rsidR="009F4766" w:rsidRPr="00DE12A3" w:rsidRDefault="009F4766" w:rsidP="00C917D6">
            <w:pPr>
              <w:pStyle w:val="NormalLeft"/>
            </w:pPr>
            <w:r w:rsidRPr="00DE12A3">
              <w:t>N</w:t>
            </w:r>
            <w:r w:rsidRPr="00DE12A3">
              <w:rPr>
                <w:vertAlign w:val="subscript"/>
              </w:rPr>
              <w:t>2</w:t>
            </w:r>
          </w:p>
        </w:tc>
        <w:tc>
          <w:tcPr>
            <w:tcW w:w="1485" w:type="dxa"/>
            <w:tcBorders>
              <w:top w:val="single" w:sz="2" w:space="0" w:color="auto"/>
              <w:left w:val="single" w:sz="2" w:space="0" w:color="auto"/>
              <w:bottom w:val="single" w:sz="2" w:space="0" w:color="auto"/>
              <w:right w:val="single" w:sz="2" w:space="0" w:color="auto"/>
            </w:tcBorders>
          </w:tcPr>
          <w:p w14:paraId="580BD6E5" w14:textId="77777777" w:rsidR="009F4766" w:rsidRPr="00DE12A3" w:rsidRDefault="009F4766" w:rsidP="00C917D6">
            <w:pPr>
              <w:pStyle w:val="NormalLeft"/>
            </w:pPr>
            <w:r w:rsidRPr="00DE12A3">
              <w:t>1,663 × 10</w:t>
            </w:r>
            <w:r w:rsidRPr="00DE12A3">
              <w:rPr>
                <w:vertAlign w:val="superscript"/>
              </w:rPr>
              <w:t>– 5</w:t>
            </w:r>
          </w:p>
        </w:tc>
        <w:tc>
          <w:tcPr>
            <w:tcW w:w="929" w:type="dxa"/>
            <w:tcBorders>
              <w:top w:val="single" w:sz="2" w:space="0" w:color="auto"/>
              <w:left w:val="single" w:sz="2" w:space="0" w:color="auto"/>
              <w:bottom w:val="single" w:sz="2" w:space="0" w:color="auto"/>
              <w:right w:val="single" w:sz="2" w:space="0" w:color="auto"/>
            </w:tcBorders>
          </w:tcPr>
          <w:p w14:paraId="593FE5E2" w14:textId="77777777" w:rsidR="009F4766" w:rsidRPr="00DE12A3" w:rsidRDefault="009F4766" w:rsidP="00C917D6">
            <w:pPr>
              <w:pStyle w:val="NormalLeft"/>
            </w:pPr>
            <w:r w:rsidRPr="00DE12A3">
              <w:t>273</w:t>
            </w:r>
          </w:p>
        </w:tc>
        <w:tc>
          <w:tcPr>
            <w:tcW w:w="929" w:type="dxa"/>
            <w:tcBorders>
              <w:top w:val="single" w:sz="2" w:space="0" w:color="auto"/>
              <w:left w:val="single" w:sz="2" w:space="0" w:color="auto"/>
              <w:bottom w:val="single" w:sz="2" w:space="0" w:color="auto"/>
              <w:right w:val="single" w:sz="2" w:space="0" w:color="auto"/>
            </w:tcBorders>
          </w:tcPr>
          <w:p w14:paraId="0362EF04" w14:textId="77777777" w:rsidR="009F4766" w:rsidRPr="00DE12A3" w:rsidRDefault="009F4766" w:rsidP="00C917D6">
            <w:pPr>
              <w:pStyle w:val="NormalLeft"/>
            </w:pPr>
            <w:r w:rsidRPr="00DE12A3">
              <w:t>107</w:t>
            </w:r>
          </w:p>
        </w:tc>
        <w:tc>
          <w:tcPr>
            <w:tcW w:w="3343" w:type="dxa"/>
            <w:tcBorders>
              <w:top w:val="single" w:sz="2" w:space="0" w:color="auto"/>
              <w:left w:val="single" w:sz="2" w:space="0" w:color="auto"/>
              <w:bottom w:val="single" w:sz="2" w:space="0" w:color="auto"/>
              <w:right w:val="single" w:sz="2" w:space="0" w:color="auto"/>
            </w:tcBorders>
          </w:tcPr>
          <w:p w14:paraId="05780CC0" w14:textId="77777777" w:rsidR="009F4766" w:rsidRPr="00DE12A3" w:rsidRDefault="009F4766" w:rsidP="00C917D6">
            <w:pPr>
              <w:pStyle w:val="NormalLeft"/>
            </w:pPr>
            <w:r w:rsidRPr="00DE12A3">
              <w:t>100 to 1500</w:t>
            </w:r>
          </w:p>
        </w:tc>
        <w:tc>
          <w:tcPr>
            <w:tcW w:w="1671" w:type="dxa"/>
            <w:tcBorders>
              <w:top w:val="single" w:sz="2" w:space="0" w:color="auto"/>
              <w:left w:val="single" w:sz="2" w:space="0" w:color="auto"/>
              <w:bottom w:val="single" w:sz="2" w:space="0" w:color="auto"/>
              <w:right w:val="single" w:sz="2" w:space="0" w:color="auto"/>
            </w:tcBorders>
          </w:tcPr>
          <w:p w14:paraId="698DE03D" w14:textId="77777777" w:rsidR="009F4766" w:rsidRPr="00DE12A3" w:rsidRDefault="009F4766" w:rsidP="00C917D6">
            <w:pPr>
              <w:pStyle w:val="NormalLeft"/>
            </w:pPr>
            <w:r w:rsidRPr="00DE12A3">
              <w:t>≤ 1600</w:t>
            </w:r>
          </w:p>
        </w:tc>
      </w:tr>
    </w:tbl>
    <w:p w14:paraId="77519756" w14:textId="77777777" w:rsidR="009F4766" w:rsidRPr="00DE12A3" w:rsidRDefault="00140710" w:rsidP="00E20716">
      <w:pPr>
        <w:pStyle w:val="ListeParagraf"/>
        <w:numPr>
          <w:ilvl w:val="0"/>
          <w:numId w:val="461"/>
        </w:numPr>
        <w:spacing w:before="120" w:after="120"/>
        <w:rPr>
          <w:rFonts w:cs="Times New Roman"/>
          <w:color w:val="auto"/>
        </w:rPr>
      </w:pPr>
      <w:r w:rsidRPr="00DE12A3">
        <w:rPr>
          <w:rFonts w:cs="Times New Roman"/>
          <w:color w:val="auto"/>
        </w:rPr>
        <w:t xml:space="preserve">      Listelenen saf gazlar için tablodaki parametreler kullanılır. Gaz karışımlarının viskozitelerini hesaplamak için parametreler birleştirilmemelidir.</w:t>
      </w:r>
    </w:p>
    <w:p w14:paraId="7BD7D73E" w14:textId="77777777" w:rsidR="00984EC0" w:rsidRPr="00DE12A3" w:rsidRDefault="00984EC0" w:rsidP="00C917D6">
      <w:pPr>
        <w:spacing w:before="120" w:after="120"/>
        <w:rPr>
          <w:rFonts w:cs="Times New Roman"/>
          <w:color w:val="auto"/>
        </w:rPr>
      </w:pPr>
    </w:p>
    <w:p w14:paraId="22694E0D" w14:textId="6A882764" w:rsidR="00140710" w:rsidRPr="00DE12A3" w:rsidRDefault="00140710" w:rsidP="00C917D6">
      <w:pPr>
        <w:spacing w:before="120" w:after="120"/>
        <w:ind w:left="2268" w:hanging="567"/>
        <w:jc w:val="both"/>
        <w:rPr>
          <w:rFonts w:cs="Times New Roman"/>
          <w:color w:val="auto"/>
        </w:rPr>
      </w:pPr>
      <w:r w:rsidRPr="00DE12A3">
        <w:rPr>
          <w:rFonts w:cs="Times New Roman"/>
          <w:color w:val="auto"/>
        </w:rPr>
        <w:t>(ii)</w:t>
      </w:r>
      <w:r w:rsidRPr="00DE12A3">
        <w:rPr>
          <w:rFonts w:cs="Times New Roman"/>
          <w:color w:val="auto"/>
        </w:rPr>
        <w:tab/>
        <w:t>(</w:t>
      </w:r>
      <w:r w:rsidRPr="00DE12A3">
        <w:rPr>
          <w:rFonts w:cs="Times New Roman"/>
          <w:i/>
          <w:color w:val="auto"/>
        </w:rPr>
        <w:t>Re</w:t>
      </w:r>
      <w:r w:rsidRPr="00DE12A3">
        <w:rPr>
          <w:rFonts w:cs="Times New Roman"/>
          <w:i/>
          <w:color w:val="auto"/>
          <w:vertAlign w:val="superscript"/>
        </w:rPr>
        <w:t>#</w:t>
      </w:r>
      <w:r w:rsidRPr="00DE12A3">
        <w:rPr>
          <w:rFonts w:cs="Times New Roman"/>
          <w:color w:val="auto"/>
        </w:rPr>
        <w:t>, C</w:t>
      </w:r>
      <w:r w:rsidRPr="00DE12A3">
        <w:rPr>
          <w:rFonts w:cs="Times New Roman"/>
          <w:color w:val="auto"/>
          <w:vertAlign w:val="subscript"/>
        </w:rPr>
        <w:t>d</w:t>
      </w:r>
      <w:r w:rsidRPr="00DE12A3">
        <w:rPr>
          <w:rFonts w:cs="Times New Roman"/>
          <w:color w:val="auto"/>
        </w:rPr>
        <w:t>) eşleştirilmiş değerleri kullanılarak C</w:t>
      </w:r>
      <w:r w:rsidRPr="00DE12A3">
        <w:rPr>
          <w:rFonts w:cs="Times New Roman"/>
          <w:color w:val="auto"/>
          <w:vertAlign w:val="subscript"/>
        </w:rPr>
        <w:t>d</w:t>
      </w:r>
      <w:r w:rsidRPr="00DE12A3">
        <w:rPr>
          <w:rFonts w:cs="Times New Roman"/>
          <w:color w:val="auto"/>
        </w:rPr>
        <w:t xml:space="preserve"> ile </w:t>
      </w:r>
      <w:r w:rsidRPr="00DE12A3">
        <w:rPr>
          <w:rFonts w:cs="Times New Roman"/>
          <w:i/>
          <w:iCs/>
          <w:color w:val="auto"/>
        </w:rPr>
        <w:t>Re</w:t>
      </w:r>
      <w:r w:rsidRPr="00DE12A3">
        <w:rPr>
          <w:rFonts w:cs="Times New Roman"/>
          <w:i/>
          <w:iCs/>
          <w:color w:val="auto"/>
          <w:vertAlign w:val="superscript"/>
        </w:rPr>
        <w:t>#</w:t>
      </w:r>
      <w:r w:rsidRPr="00DE12A3">
        <w:rPr>
          <w:rFonts w:cs="Times New Roman"/>
          <w:color w:val="auto"/>
        </w:rPr>
        <w:t xml:space="preserve"> arasında bir denklem oluşturulmalıdır. C</w:t>
      </w:r>
      <w:r w:rsidRPr="00DE12A3">
        <w:rPr>
          <w:rFonts w:cs="Times New Roman"/>
          <w:color w:val="auto"/>
          <w:vertAlign w:val="subscript"/>
        </w:rPr>
        <w:t>d</w:t>
      </w:r>
      <w:r w:rsidRPr="00DE12A3">
        <w:rPr>
          <w:rFonts w:cs="Times New Roman"/>
          <w:color w:val="auto"/>
        </w:rPr>
        <w:t xml:space="preserve">, (7-140) </w:t>
      </w:r>
      <w:r w:rsidR="00962CA1" w:rsidRPr="00DE12A3">
        <w:rPr>
          <w:color w:val="auto"/>
        </w:rPr>
        <w:t>numaralı</w:t>
      </w:r>
      <w:r w:rsidR="00962CA1" w:rsidRPr="00DE12A3" w:rsidDel="00962CA1">
        <w:rPr>
          <w:rFonts w:cs="Times New Roman"/>
          <w:color w:val="auto"/>
        </w:rPr>
        <w:t xml:space="preserve"> </w:t>
      </w:r>
      <w:r w:rsidRPr="00DE12A3">
        <w:rPr>
          <w:rFonts w:cs="Times New Roman"/>
          <w:color w:val="auto"/>
        </w:rPr>
        <w:t xml:space="preserve">denkleme göre, (7-141) </w:t>
      </w:r>
      <w:r w:rsidR="00962CA1" w:rsidRPr="00DE12A3">
        <w:rPr>
          <w:color w:val="auto"/>
        </w:rPr>
        <w:t>numaralı</w:t>
      </w:r>
      <w:r w:rsidR="00962CA1" w:rsidRPr="00DE12A3" w:rsidDel="00962CA1">
        <w:rPr>
          <w:rFonts w:cs="Times New Roman"/>
          <w:color w:val="auto"/>
        </w:rPr>
        <w:t xml:space="preserve"> </w:t>
      </w:r>
      <w:r w:rsidRPr="00DE12A3">
        <w:rPr>
          <w:rFonts w:cs="Times New Roman"/>
          <w:color w:val="auto"/>
        </w:rPr>
        <w:t>denklemden elde edilen C</w:t>
      </w:r>
      <w:r w:rsidRPr="00DE12A3">
        <w:rPr>
          <w:rFonts w:cs="Times New Roman"/>
          <w:color w:val="auto"/>
          <w:vertAlign w:val="subscript"/>
        </w:rPr>
        <w:t xml:space="preserve">f </w:t>
      </w:r>
      <w:r w:rsidRPr="00DE12A3">
        <w:rPr>
          <w:rFonts w:cs="Times New Roman"/>
          <w:color w:val="auto"/>
        </w:rPr>
        <w:t xml:space="preserve">veya </w:t>
      </w:r>
      <w:r w:rsidR="00966EFF" w:rsidRPr="00DE12A3">
        <w:rPr>
          <w:rFonts w:cs="Times New Roman"/>
          <w:color w:val="auto"/>
        </w:rPr>
        <w:t>birçok</w:t>
      </w:r>
      <w:r w:rsidRPr="00DE12A3">
        <w:rPr>
          <w:rFonts w:cs="Times New Roman"/>
          <w:color w:val="auto"/>
        </w:rPr>
        <w:t xml:space="preserve"> terimli seri veya bir kuvvet serisi de dahil olmak üzere herhangi bir matematiksel ifade ile hesaplanır. (7-147) </w:t>
      </w:r>
      <w:r w:rsidR="005C6D9F" w:rsidRPr="00DE12A3">
        <w:rPr>
          <w:color w:val="auto"/>
        </w:rPr>
        <w:t>numaralı</w:t>
      </w:r>
      <w:r w:rsidR="005C6D9F" w:rsidRPr="00DE12A3" w:rsidDel="005C6D9F">
        <w:rPr>
          <w:rFonts w:cs="Times New Roman"/>
          <w:color w:val="auto"/>
        </w:rPr>
        <w:t xml:space="preserve"> </w:t>
      </w:r>
      <w:r w:rsidRPr="00DE12A3">
        <w:rPr>
          <w:rFonts w:cs="Times New Roman"/>
          <w:color w:val="auto"/>
        </w:rPr>
        <w:t>denklem, C</w:t>
      </w:r>
      <w:r w:rsidRPr="00DE12A3">
        <w:rPr>
          <w:rFonts w:cs="Times New Roman"/>
          <w:color w:val="auto"/>
          <w:vertAlign w:val="subscript"/>
        </w:rPr>
        <w:t>d</w:t>
      </w:r>
      <w:r w:rsidRPr="00DE12A3">
        <w:rPr>
          <w:rFonts w:cs="Times New Roman"/>
          <w:color w:val="auto"/>
        </w:rPr>
        <w:t xml:space="preserve"> ve </w:t>
      </w:r>
      <w:r w:rsidRPr="00DE12A3">
        <w:rPr>
          <w:rFonts w:cs="Times New Roman"/>
          <w:i/>
          <w:iCs/>
          <w:color w:val="auto"/>
        </w:rPr>
        <w:t>Re</w:t>
      </w:r>
      <w:r w:rsidRPr="00DE12A3">
        <w:rPr>
          <w:rFonts w:cs="Times New Roman"/>
          <w:i/>
          <w:iCs/>
          <w:color w:val="auto"/>
          <w:vertAlign w:val="superscript"/>
        </w:rPr>
        <w:t>#</w:t>
      </w:r>
      <w:r w:rsidRPr="00DE12A3">
        <w:rPr>
          <w:rFonts w:cs="Times New Roman"/>
          <w:color w:val="auto"/>
        </w:rPr>
        <w:t xml:space="preserve"> ile ilişkili olarak yaygın olarak kullanılan bir matematiksel ifadenin bir örneğidir</w:t>
      </w:r>
      <w:r w:rsidR="00117673" w:rsidRPr="00DE12A3">
        <w:rPr>
          <w:rFonts w:cs="Times New Roman"/>
          <w:color w:val="auto"/>
        </w:rPr>
        <w:t>.</w:t>
      </w:r>
    </w:p>
    <w:p w14:paraId="3CE40B2F" w14:textId="77777777" w:rsidR="009F4766" w:rsidRPr="00DE12A3" w:rsidRDefault="009F4766" w:rsidP="00C917D6">
      <w:pPr>
        <w:pStyle w:val="Point0"/>
      </w:pPr>
      <w:r w:rsidRPr="00DE12A3">
        <w:tab/>
      </w:r>
    </w:p>
    <w:tbl>
      <w:tblPr>
        <w:tblW w:w="0" w:type="auto"/>
        <w:jc w:val="center"/>
        <w:tblLayout w:type="fixed"/>
        <w:tblLook w:val="0000" w:firstRow="0" w:lastRow="0" w:firstColumn="0" w:lastColumn="0" w:noHBand="0" w:noVBand="0"/>
      </w:tblPr>
      <w:tblGrid>
        <w:gridCol w:w="3067"/>
        <w:gridCol w:w="1802"/>
      </w:tblGrid>
      <w:tr w:rsidR="00DE12A3" w:rsidRPr="00DE12A3" w14:paraId="7950A925" w14:textId="77777777" w:rsidTr="001A234D">
        <w:trPr>
          <w:trHeight w:val="1270"/>
          <w:jc w:val="center"/>
        </w:trPr>
        <w:tc>
          <w:tcPr>
            <w:tcW w:w="3067" w:type="dxa"/>
          </w:tcPr>
          <w:p w14:paraId="138DE856" w14:textId="53F23E0B" w:rsidR="009F4766" w:rsidRPr="00DE12A3" w:rsidRDefault="009F4766" w:rsidP="00C917D6">
            <w:pPr>
              <w:pStyle w:val="NormalLeft"/>
            </w:pPr>
            <w:r w:rsidRPr="00DE12A3">
              <w:rPr>
                <w:noProof/>
                <w:lang w:val="tr-TR"/>
              </w:rPr>
              <w:drawing>
                <wp:inline distT="0" distB="0" distL="0" distR="0" wp14:anchorId="3690CD26" wp14:editId="6C1B0B63">
                  <wp:extent cx="1735015" cy="685800"/>
                  <wp:effectExtent l="0" t="0" r="0" b="0"/>
                  <wp:docPr id="2447" name="Resim 24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218">
                            <a:extLst>
                              <a:ext uri="{28A0092B-C50C-407E-A947-70E740481C1C}">
                                <a14:useLocalDpi xmlns:a14="http://schemas.microsoft.com/office/drawing/2010/main" val="0"/>
                              </a:ext>
                            </a:extLst>
                          </a:blip>
                          <a:srcRect/>
                          <a:stretch>
                            <a:fillRect/>
                          </a:stretch>
                        </pic:blipFill>
                        <pic:spPr bwMode="auto">
                          <a:xfrm>
                            <a:off x="0" y="0"/>
                            <a:ext cx="1752249" cy="692612"/>
                          </a:xfrm>
                          <a:prstGeom prst="rect">
                            <a:avLst/>
                          </a:prstGeom>
                          <a:noFill/>
                          <a:ln>
                            <a:noFill/>
                          </a:ln>
                        </pic:spPr>
                      </pic:pic>
                    </a:graphicData>
                  </a:graphic>
                </wp:inline>
              </w:drawing>
            </w:r>
          </w:p>
        </w:tc>
        <w:tc>
          <w:tcPr>
            <w:tcW w:w="1802" w:type="dxa"/>
          </w:tcPr>
          <w:p w14:paraId="4616F20D" w14:textId="77777777" w:rsidR="009F4766" w:rsidRPr="00DE12A3" w:rsidRDefault="009F4766" w:rsidP="00C917D6">
            <w:pPr>
              <w:pStyle w:val="NormalLeft"/>
            </w:pPr>
            <w:r w:rsidRPr="00DE12A3">
              <w:t>(7-147)</w:t>
            </w:r>
          </w:p>
        </w:tc>
      </w:tr>
    </w:tbl>
    <w:p w14:paraId="2675FB23" w14:textId="77777777" w:rsidR="00140710" w:rsidRPr="00DE12A3" w:rsidRDefault="009F4766" w:rsidP="00C917D6">
      <w:pPr>
        <w:pStyle w:val="Point0"/>
      </w:pPr>
      <w:r w:rsidRPr="00DE12A3">
        <w:tab/>
      </w:r>
    </w:p>
    <w:p w14:paraId="17302996" w14:textId="4DA1CD21" w:rsidR="00140710" w:rsidRPr="00DE12A3" w:rsidRDefault="00140710" w:rsidP="00C917D6">
      <w:pPr>
        <w:pStyle w:val="Point0"/>
        <w:ind w:left="2268" w:hanging="567"/>
      </w:pPr>
      <w:r w:rsidRPr="00DE12A3">
        <w:t>(iii)</w:t>
      </w:r>
      <w:r w:rsidRPr="00DE12A3">
        <w:tab/>
        <w:t>Denkleme en uygun katsayıları belirlemek ve denklemin regresyon istatistiklerini, standart tahmin hatası SEE'yi ve belirleme katsayısını r</w:t>
      </w:r>
      <w:r w:rsidRPr="00DE12A3">
        <w:rPr>
          <w:vertAlign w:val="superscript"/>
        </w:rPr>
        <w:t>2</w:t>
      </w:r>
      <w:r w:rsidRPr="00DE12A3">
        <w:t xml:space="preserve">'yi </w:t>
      </w:r>
      <w:r w:rsidR="00117673" w:rsidRPr="00DE12A3">
        <w:t xml:space="preserve">bu Ekin </w:t>
      </w:r>
      <w:r w:rsidR="0007544E" w:rsidRPr="00DE12A3">
        <w:t>3. Açıklayıcı Ek</w:t>
      </w:r>
      <w:r w:rsidR="00117673" w:rsidRPr="00DE12A3">
        <w:t xml:space="preserve">i </w:t>
      </w:r>
      <w:r w:rsidRPr="00DE12A3">
        <w:t xml:space="preserve">uyarınca hesaplamak için en küçük kareler regresyon analizi </w:t>
      </w:r>
      <w:r w:rsidR="001A234D" w:rsidRPr="00DE12A3">
        <w:t>yapılmalıdır ;</w:t>
      </w:r>
    </w:p>
    <w:p w14:paraId="2DB817FD" w14:textId="045C1A6C" w:rsidR="00140710" w:rsidRPr="00DE12A3" w:rsidRDefault="00140710" w:rsidP="00C917D6">
      <w:pPr>
        <w:pStyle w:val="Point0"/>
        <w:ind w:left="2268" w:hanging="567"/>
      </w:pPr>
      <w:r w:rsidRPr="00DE12A3">
        <w:t>(iv)</w:t>
      </w:r>
      <w:r w:rsidRPr="00DE12A3">
        <w:tab/>
        <w:t>Denklem, SEE &lt; % 0,5 nref max (veya ṁrefmax) ve r</w:t>
      </w:r>
      <w:r w:rsidRPr="00DE12A3">
        <w:rPr>
          <w:vertAlign w:val="superscript"/>
        </w:rPr>
        <w:t>2</w:t>
      </w:r>
      <w:r w:rsidRPr="00DE12A3">
        <w:t xml:space="preserve"> </w:t>
      </w:r>
      <w:r w:rsidR="001A234D" w:rsidRPr="00DE12A3">
        <w:t>≥ 0,995</w:t>
      </w:r>
      <w:r w:rsidRPr="00DE12A3">
        <w:t xml:space="preserve"> kriterlerini sağlıyorsa, 3.6.3(b) bendinde açıklanan emisyon testleri için C</w:t>
      </w:r>
      <w:r w:rsidRPr="00DE12A3">
        <w:rPr>
          <w:vertAlign w:val="subscript"/>
        </w:rPr>
        <w:t>d</w:t>
      </w:r>
      <w:r w:rsidRPr="00DE12A3">
        <w:t xml:space="preserve">'yi belirlemek için bu denklem </w:t>
      </w:r>
      <w:r w:rsidR="001A234D" w:rsidRPr="00DE12A3">
        <w:t>kullanılabilir</w:t>
      </w:r>
      <w:r w:rsidR="00117673" w:rsidRPr="00DE12A3">
        <w:t>.</w:t>
      </w:r>
    </w:p>
    <w:p w14:paraId="0A7D1D1B" w14:textId="5C6E54B5" w:rsidR="00140710" w:rsidRPr="00DE12A3" w:rsidRDefault="00140710" w:rsidP="00C917D6">
      <w:pPr>
        <w:pStyle w:val="Point0"/>
        <w:ind w:left="2268" w:hanging="567"/>
      </w:pPr>
      <w:r w:rsidRPr="00DE12A3">
        <w:t>(v)</w:t>
      </w:r>
      <w:r w:rsidRPr="00DE12A3">
        <w:tab/>
        <w:t>SEE ve r</w:t>
      </w:r>
      <w:r w:rsidRPr="00DE12A3">
        <w:rPr>
          <w:vertAlign w:val="superscript"/>
        </w:rPr>
        <w:t>2</w:t>
      </w:r>
      <w:r w:rsidRPr="00DE12A3">
        <w:t xml:space="preserve"> kriterleri sağlanmazsa, regresyon istatistiklerini sağlamak amacıyla kalibrasyon veri noktalarını gözardı etmek için iyi mühendislik kararı kullanılabilir. Kriterleri karşılamak için en az yedi kalibrasyon veri noktası kullanılmalıdır</w:t>
      </w:r>
      <w:r w:rsidR="00117673" w:rsidRPr="00DE12A3">
        <w:t>.</w:t>
      </w:r>
    </w:p>
    <w:p w14:paraId="7CD24043" w14:textId="0FB49BCB" w:rsidR="00140710" w:rsidRPr="00DE12A3" w:rsidRDefault="00140710" w:rsidP="00C917D6">
      <w:pPr>
        <w:pStyle w:val="Point0"/>
        <w:ind w:left="2268" w:hanging="567"/>
      </w:pPr>
      <w:r w:rsidRPr="00DE12A3">
        <w:t>(vi)</w:t>
      </w:r>
      <w:r w:rsidRPr="00DE12A3">
        <w:tab/>
        <w:t>Noktaların gözardı edilmesi aykırı noktaları çözmezse, düzeltici adım atılmalıdır. Örneğin, Cd'ye karşı Re</w:t>
      </w:r>
      <w:r w:rsidRPr="00DE12A3">
        <w:rPr>
          <w:vertAlign w:val="superscript"/>
        </w:rPr>
        <w:t>#</w:t>
      </w:r>
      <w:r w:rsidRPr="00DE12A3">
        <w:t xml:space="preserve"> denklemi için başka bir matematiksel ifade seçilmeli, kaçaklar kontrol edilmeli veya kalibrasyon işlemi tekrarlanmalıdır. Eğer işlem tekrarlanırsa, ölçümlere daha sıkı toleranslar uygulanmalı ve akışların dengelenmesi için daha fazla zaman tanınmalıdır</w:t>
      </w:r>
      <w:r w:rsidR="00117673" w:rsidRPr="00DE12A3">
        <w:t>.</w:t>
      </w:r>
    </w:p>
    <w:p w14:paraId="28F85808" w14:textId="77777777" w:rsidR="00140710" w:rsidRPr="00DE12A3" w:rsidRDefault="00140710" w:rsidP="00C917D6">
      <w:pPr>
        <w:pStyle w:val="Point0"/>
        <w:ind w:left="2268" w:hanging="567"/>
      </w:pPr>
      <w:r w:rsidRPr="00DE12A3">
        <w:t>(vii)</w:t>
      </w:r>
      <w:r w:rsidRPr="00DE12A3">
        <w:tab/>
        <w:t>Denklem regresyon kriterlerini sağladığında, bu denklem sadece, C</w:t>
      </w:r>
      <w:r w:rsidRPr="00DE12A3">
        <w:rPr>
          <w:vertAlign w:val="subscript"/>
        </w:rPr>
        <w:t>d</w:t>
      </w:r>
      <w:r w:rsidRPr="00DE12A3">
        <w:t xml:space="preserve"> ile Re</w:t>
      </w:r>
      <w:r w:rsidRPr="00DE12A3">
        <w:rPr>
          <w:vertAlign w:val="superscript"/>
        </w:rPr>
        <w:t>#</w:t>
      </w:r>
      <w:r w:rsidRPr="00DE12A3">
        <w:t xml:space="preserve"> arasındaki denkleminin regresyon kriterlerini sağlamak için kullanılan referans akış hızları aralığı içinde olan akış hızlarını belirlemek için kullanılabilir.</w:t>
      </w:r>
    </w:p>
    <w:p w14:paraId="5A55F0F7" w14:textId="77777777" w:rsidR="00140710" w:rsidRPr="00DE12A3" w:rsidRDefault="00140710" w:rsidP="00C917D6">
      <w:pPr>
        <w:pStyle w:val="Point0"/>
        <w:ind w:left="1134" w:hanging="1134"/>
      </w:pPr>
      <w:r w:rsidRPr="00DE12A3">
        <w:t xml:space="preserve">3.9.5. </w:t>
      </w:r>
      <w:r w:rsidR="007B28DB" w:rsidRPr="00DE12A3">
        <w:t xml:space="preserve">        </w:t>
      </w:r>
      <w:r w:rsidRPr="00DE12A3">
        <w:t>CFV kalibrasyonu</w:t>
      </w:r>
    </w:p>
    <w:p w14:paraId="2E0A0734" w14:textId="1EC96DC6" w:rsidR="00140710" w:rsidRPr="00DE12A3" w:rsidRDefault="007B28DB" w:rsidP="00C917D6">
      <w:pPr>
        <w:pStyle w:val="Point0"/>
        <w:ind w:left="1134" w:hanging="1134"/>
      </w:pPr>
      <w:r w:rsidRPr="00DE12A3">
        <w:lastRenderedPageBreak/>
        <w:t xml:space="preserve">                  </w:t>
      </w:r>
      <w:r w:rsidR="00140710" w:rsidRPr="00DE12A3">
        <w:t>Bazı CFV debimetreler bir tek venturi'den, bazıları ise farklı debileri ölçmek için farklı venturi kombinasyonlarının kullanıldığı birden fazla venturiden oluşur. Birden fazla venturi içeren CFV debimetreler için, ya her venturi için ayrı bir boşaltma katsayısı C</w:t>
      </w:r>
      <w:r w:rsidR="00140710" w:rsidRPr="00DE12A3">
        <w:rPr>
          <w:vertAlign w:val="subscript"/>
        </w:rPr>
        <w:t>d</w:t>
      </w:r>
      <w:r w:rsidR="00140710" w:rsidRPr="00DE12A3">
        <w:t xml:space="preserve"> belirlemek üzere her venturinin bağımsız olarak kalibrasyonu, veya her kombine venturinin bir venturi olarak kalibrasyonu gerçekleştirilebilir. Bir venturi kombinasyonunun kalibre edilmesi durumunda, aktif venturi boğazı alanlarının toplamı At olarak, aktif venturi boğaz çaplarının karelerinin toplamının karekökü dt olarak kullanılır ve venturi boğazın giriş çaplarına oranı, aktif venturi boğazı çapları toplamının karekökünün (d</w:t>
      </w:r>
      <w:r w:rsidR="00140710" w:rsidRPr="00DE12A3">
        <w:rPr>
          <w:vertAlign w:val="subscript"/>
        </w:rPr>
        <w:t>t</w:t>
      </w:r>
      <w:r w:rsidR="00140710" w:rsidRPr="00DE12A3">
        <w:t>), tüm venturilerin ortak giriş çapına (D) oranıdır. Tek bir venturi veya tek bir venturi kombinasyonunun C</w:t>
      </w:r>
      <w:r w:rsidR="00140710" w:rsidRPr="00DE12A3">
        <w:rPr>
          <w:vertAlign w:val="subscript"/>
        </w:rPr>
        <w:t>d</w:t>
      </w:r>
      <w:r w:rsidR="00140710" w:rsidRPr="00DE12A3">
        <w:t xml:space="preserve">'sini belirlemek için aşağıdaki adımlar </w:t>
      </w:r>
      <w:r w:rsidR="001A234D" w:rsidRPr="00DE12A3">
        <w:t>uygulanmalıdır :</w:t>
      </w:r>
    </w:p>
    <w:p w14:paraId="51C316B4" w14:textId="7C3CB148" w:rsidR="007B28DB" w:rsidRPr="00DE12A3" w:rsidRDefault="007B28DB" w:rsidP="00C917D6">
      <w:pPr>
        <w:pStyle w:val="Point0"/>
        <w:ind w:left="1701" w:hanging="567"/>
      </w:pPr>
      <w:r w:rsidRPr="00DE12A3">
        <w:t>(a)</w:t>
      </w:r>
      <w:r w:rsidRPr="00DE12A3">
        <w:tab/>
        <w:t xml:space="preserve">Her kalibrasyon ayar noktasında toplanan verilerle, (7-140) </w:t>
      </w:r>
      <w:r w:rsidR="005C6D9F" w:rsidRPr="00DE12A3">
        <w:t>numaralı</w:t>
      </w:r>
      <w:r w:rsidR="005C6D9F" w:rsidRPr="00DE12A3" w:rsidDel="005C6D9F">
        <w:t xml:space="preserve"> </w:t>
      </w:r>
      <w:r w:rsidRPr="00DE12A3">
        <w:t>denklem kullanılarak her nokta için ayrı bir C</w:t>
      </w:r>
      <w:r w:rsidRPr="00DE12A3">
        <w:rPr>
          <w:vertAlign w:val="subscript"/>
        </w:rPr>
        <w:t>d</w:t>
      </w:r>
      <w:r w:rsidRPr="00DE12A3">
        <w:t xml:space="preserve"> </w:t>
      </w:r>
      <w:r w:rsidR="001A234D" w:rsidRPr="00DE12A3">
        <w:t>hesaplanmalıdır</w:t>
      </w:r>
      <w:r w:rsidR="00117673" w:rsidRPr="00DE12A3">
        <w:t>.</w:t>
      </w:r>
    </w:p>
    <w:p w14:paraId="444AD5CD" w14:textId="61FB2E2B" w:rsidR="007B28DB" w:rsidRPr="00DE12A3" w:rsidRDefault="007B28DB" w:rsidP="00C917D6">
      <w:pPr>
        <w:pStyle w:val="Point0"/>
        <w:ind w:left="1701" w:hanging="567"/>
      </w:pPr>
      <w:r w:rsidRPr="00DE12A3">
        <w:t>(b)</w:t>
      </w:r>
      <w:r w:rsidRPr="00DE12A3">
        <w:tab/>
        <w:t>Tüm C</w:t>
      </w:r>
      <w:r w:rsidRPr="00DE12A3">
        <w:rPr>
          <w:vertAlign w:val="subscript"/>
        </w:rPr>
        <w:t>d</w:t>
      </w:r>
      <w:r w:rsidRPr="00DE12A3">
        <w:t xml:space="preserve"> değerlerinin ortalama ve standart sapması (7-155) ve (7-156) </w:t>
      </w:r>
      <w:r w:rsidR="005C6D9F" w:rsidRPr="00DE12A3">
        <w:t>numaralı</w:t>
      </w:r>
      <w:r w:rsidR="005C6D9F" w:rsidRPr="00DE12A3" w:rsidDel="005C6D9F">
        <w:t xml:space="preserve"> </w:t>
      </w:r>
      <w:r w:rsidRPr="00DE12A3">
        <w:t xml:space="preserve"> denklemler uyarınca </w:t>
      </w:r>
      <w:r w:rsidR="001A234D" w:rsidRPr="00DE12A3">
        <w:t>hesaplanmalıdır</w:t>
      </w:r>
      <w:r w:rsidR="00117673" w:rsidRPr="00DE12A3">
        <w:t>.</w:t>
      </w:r>
    </w:p>
    <w:p w14:paraId="05F8EE38" w14:textId="00BA6EAC" w:rsidR="007B28DB" w:rsidRPr="00DE12A3" w:rsidRDefault="007B28DB" w:rsidP="00C917D6">
      <w:pPr>
        <w:pStyle w:val="Point0"/>
        <w:ind w:left="1701" w:hanging="567"/>
      </w:pPr>
      <w:r w:rsidRPr="00DE12A3">
        <w:t>(c)</w:t>
      </w:r>
      <w:r w:rsidRPr="00DE12A3">
        <w:tab/>
        <w:t>Tüm C</w:t>
      </w:r>
      <w:r w:rsidRPr="00DE12A3">
        <w:rPr>
          <w:vertAlign w:val="subscript"/>
        </w:rPr>
        <w:t>d</w:t>
      </w:r>
      <w:r w:rsidRPr="00DE12A3">
        <w:t xml:space="preserve"> değerlerinin standart sapması ortalama C</w:t>
      </w:r>
      <w:r w:rsidRPr="00DE12A3">
        <w:rPr>
          <w:vertAlign w:val="subscript"/>
        </w:rPr>
        <w:t>d</w:t>
      </w:r>
      <w:r w:rsidRPr="00DE12A3">
        <w:t>'nin % 0,3'ünden küçük veya eşitse, o zaman ortalama C</w:t>
      </w:r>
      <w:r w:rsidRPr="00DE12A3">
        <w:rPr>
          <w:vertAlign w:val="subscript"/>
        </w:rPr>
        <w:t>d</w:t>
      </w:r>
      <w:r w:rsidRPr="00DE12A3">
        <w:t xml:space="preserve"> (7-120) </w:t>
      </w:r>
      <w:r w:rsidR="005C6D9F" w:rsidRPr="00DE12A3">
        <w:t>numaralı</w:t>
      </w:r>
      <w:r w:rsidR="005C6D9F" w:rsidRPr="00DE12A3" w:rsidDel="005C6D9F">
        <w:t xml:space="preserve"> </w:t>
      </w:r>
      <w:r w:rsidRPr="00DE12A3">
        <w:t>denklemde kullanılmalı ve CFV sadece kalibrasyon sırasında ölçülen en düşük r değerine kadar kullanılmalıdır</w:t>
      </w:r>
      <w:r w:rsidR="00117673" w:rsidRPr="00DE12A3">
        <w:t>.</w:t>
      </w:r>
    </w:p>
    <w:p w14:paraId="39D79E87" w14:textId="77777777" w:rsidR="00984EC0" w:rsidRPr="00DE12A3" w:rsidRDefault="00984EC0" w:rsidP="00C917D6">
      <w:pPr>
        <w:pStyle w:val="Point0"/>
        <w:ind w:left="1701" w:hanging="567"/>
      </w:pPr>
    </w:p>
    <w:tbl>
      <w:tblPr>
        <w:tblW w:w="0" w:type="auto"/>
        <w:tblInd w:w="3250" w:type="dxa"/>
        <w:tblLayout w:type="fixed"/>
        <w:tblLook w:val="0000" w:firstRow="0" w:lastRow="0" w:firstColumn="0" w:lastColumn="0" w:noHBand="0" w:noVBand="0"/>
      </w:tblPr>
      <w:tblGrid>
        <w:gridCol w:w="3143"/>
        <w:gridCol w:w="1846"/>
      </w:tblGrid>
      <w:tr w:rsidR="009F4766" w:rsidRPr="00DE12A3" w14:paraId="79BEEDEA" w14:textId="77777777" w:rsidTr="001A234D">
        <w:trPr>
          <w:trHeight w:val="499"/>
        </w:trPr>
        <w:tc>
          <w:tcPr>
            <w:tcW w:w="3143" w:type="dxa"/>
          </w:tcPr>
          <w:p w14:paraId="1FE98620" w14:textId="77777777" w:rsidR="009F4766" w:rsidRPr="00DE12A3" w:rsidRDefault="009F4766" w:rsidP="00C917D6">
            <w:pPr>
              <w:pStyle w:val="NormalLeft"/>
            </w:pPr>
            <w:r w:rsidRPr="00DE12A3">
              <w:rPr>
                <w:i/>
                <w:iCs/>
              </w:rPr>
              <w:t>r</w:t>
            </w:r>
            <w:r w:rsidRPr="00DE12A3">
              <w:t xml:space="preserve"> = 1 – (Δ</w:t>
            </w:r>
            <w:r w:rsidRPr="00DE12A3">
              <w:rPr>
                <w:i/>
                <w:iCs/>
              </w:rPr>
              <w:t>p</w:t>
            </w:r>
            <w:r w:rsidRPr="00DE12A3">
              <w:t>/</w:t>
            </w:r>
            <w:r w:rsidRPr="00DE12A3">
              <w:rPr>
                <w:i/>
                <w:iCs/>
              </w:rPr>
              <w:t>p</w:t>
            </w:r>
            <w:r w:rsidRPr="00DE12A3">
              <w:rPr>
                <w:i/>
                <w:iCs/>
                <w:vertAlign w:val="subscript"/>
              </w:rPr>
              <w:t>in</w:t>
            </w:r>
            <w:r w:rsidRPr="00DE12A3">
              <w:t>)</w:t>
            </w:r>
          </w:p>
        </w:tc>
        <w:tc>
          <w:tcPr>
            <w:tcW w:w="1846" w:type="dxa"/>
          </w:tcPr>
          <w:p w14:paraId="5CCB2E60" w14:textId="77777777" w:rsidR="009F4766" w:rsidRPr="00DE12A3" w:rsidRDefault="009F4766" w:rsidP="00C917D6">
            <w:pPr>
              <w:pStyle w:val="NormalLeft"/>
            </w:pPr>
            <w:r w:rsidRPr="00DE12A3">
              <w:t>(7-148)</w:t>
            </w:r>
          </w:p>
        </w:tc>
      </w:tr>
    </w:tbl>
    <w:p w14:paraId="2CBA306E" w14:textId="77777777" w:rsidR="009F4766" w:rsidRPr="00DE12A3" w:rsidRDefault="009F4766" w:rsidP="00C917D6">
      <w:pPr>
        <w:spacing w:before="120" w:after="120"/>
        <w:rPr>
          <w:rFonts w:cs="Times New Roman"/>
          <w:color w:val="auto"/>
        </w:rPr>
      </w:pPr>
    </w:p>
    <w:p w14:paraId="7DE0C0B4" w14:textId="0B346207" w:rsidR="007B28DB" w:rsidRPr="00DE12A3" w:rsidRDefault="007B28DB" w:rsidP="00C917D6">
      <w:pPr>
        <w:pStyle w:val="Point0"/>
        <w:ind w:left="1701" w:hanging="567"/>
      </w:pPr>
      <w:r w:rsidRPr="00DE12A3">
        <w:t>(d)</w:t>
      </w:r>
      <w:r w:rsidRPr="00DE12A3">
        <w:tab/>
        <w:t>Tüm C</w:t>
      </w:r>
      <w:r w:rsidRPr="00DE12A3">
        <w:rPr>
          <w:vertAlign w:val="subscript"/>
        </w:rPr>
        <w:t>d</w:t>
      </w:r>
      <w:r w:rsidRPr="00DE12A3">
        <w:t xml:space="preserve"> değerlerinin standart sapması, ortalama C</w:t>
      </w:r>
      <w:r w:rsidRPr="00DE12A3">
        <w:rPr>
          <w:vertAlign w:val="subscript"/>
        </w:rPr>
        <w:t>d</w:t>
      </w:r>
      <w:r w:rsidRPr="00DE12A3">
        <w:t>'nin % 0,3'ünü aşarsa, kalibrasyon sırasında ölçülen en düşük r değerinde toplanan veri noktasına karşılık gelen C</w:t>
      </w:r>
      <w:r w:rsidRPr="00DE12A3">
        <w:rPr>
          <w:vertAlign w:val="subscript"/>
        </w:rPr>
        <w:t xml:space="preserve">d </w:t>
      </w:r>
      <w:r w:rsidRPr="00DE12A3">
        <w:t>değerleri gözardı edilmelidir</w:t>
      </w:r>
      <w:r w:rsidR="00117673" w:rsidRPr="00DE12A3">
        <w:t>.</w:t>
      </w:r>
    </w:p>
    <w:p w14:paraId="324DA3F1" w14:textId="73A15A18" w:rsidR="007B28DB" w:rsidRPr="00DE12A3" w:rsidRDefault="007B28DB" w:rsidP="00C917D6">
      <w:pPr>
        <w:pStyle w:val="Point0"/>
        <w:ind w:left="1701" w:hanging="567"/>
      </w:pPr>
      <w:r w:rsidRPr="00DE12A3">
        <w:t>(e)</w:t>
      </w:r>
      <w:r w:rsidRPr="00DE12A3">
        <w:tab/>
        <w:t>Kalan veri noktalarının sayısı yediden az ise, kalibrasyon verilerini kontrol ederek veya kalibrasyon işlemini tekrarlayarak düzeltici adım atılmalıdır. Kalibrasyon işlemi tekrarlanırsa, kaçak kontrolü, ölçümlere daha sıkı toleranslar uygulanması ve akışların dengelenmesi için daha fazla zaman tanınması önerilir</w:t>
      </w:r>
      <w:r w:rsidR="00117673" w:rsidRPr="00DE12A3">
        <w:t>.</w:t>
      </w:r>
    </w:p>
    <w:p w14:paraId="6797136A" w14:textId="100A2EDD" w:rsidR="007B28DB" w:rsidRPr="00DE12A3" w:rsidRDefault="007B28DB" w:rsidP="00C917D6">
      <w:pPr>
        <w:pStyle w:val="Point0"/>
        <w:ind w:left="1701" w:hanging="567"/>
      </w:pPr>
      <w:r w:rsidRPr="00DE12A3">
        <w:t>(f)</w:t>
      </w:r>
      <w:r w:rsidRPr="00DE12A3">
        <w:tab/>
        <w:t>Kalan C</w:t>
      </w:r>
      <w:r w:rsidRPr="00DE12A3">
        <w:rPr>
          <w:vertAlign w:val="subscript"/>
        </w:rPr>
        <w:t>d</w:t>
      </w:r>
      <w:r w:rsidRPr="00DE12A3">
        <w:t xml:space="preserve"> değerlerinin sayısı yedi veya daha fazlaysa, kalan C</w:t>
      </w:r>
      <w:r w:rsidRPr="00DE12A3">
        <w:rPr>
          <w:vertAlign w:val="subscript"/>
        </w:rPr>
        <w:t>d</w:t>
      </w:r>
      <w:r w:rsidRPr="00DE12A3">
        <w:t xml:space="preserve"> değerlerinin ortalama ve standart sapması yeniden hesaplanmalıdır</w:t>
      </w:r>
      <w:r w:rsidR="00117673" w:rsidRPr="00DE12A3">
        <w:t>.</w:t>
      </w:r>
    </w:p>
    <w:p w14:paraId="29D0B28F" w14:textId="375003ED" w:rsidR="007B28DB" w:rsidRPr="00DE12A3" w:rsidRDefault="007B28DB" w:rsidP="00C917D6">
      <w:pPr>
        <w:pStyle w:val="Point0"/>
        <w:ind w:left="1701" w:hanging="567"/>
      </w:pPr>
      <w:r w:rsidRPr="00DE12A3">
        <w:t>(g)</w:t>
      </w:r>
      <w:r w:rsidRPr="00DE12A3">
        <w:tab/>
        <w:t>Kalan C</w:t>
      </w:r>
      <w:r w:rsidRPr="00DE12A3">
        <w:rPr>
          <w:vertAlign w:val="subscript"/>
        </w:rPr>
        <w:t xml:space="preserve">d </w:t>
      </w:r>
      <w:r w:rsidRPr="00DE12A3">
        <w:t>değerlerinin standart sapması, kalan C</w:t>
      </w:r>
      <w:r w:rsidRPr="00DE12A3">
        <w:rPr>
          <w:vertAlign w:val="subscript"/>
        </w:rPr>
        <w:t>d</w:t>
      </w:r>
      <w:r w:rsidRPr="00DE12A3">
        <w:t xml:space="preserve"> ortalamasının % 0,3'ünden küçük veya eşitse, bu ortalama C</w:t>
      </w:r>
      <w:r w:rsidRPr="00DE12A3">
        <w:rPr>
          <w:vertAlign w:val="subscript"/>
        </w:rPr>
        <w:t>d</w:t>
      </w:r>
      <w:r w:rsidRPr="00DE12A3">
        <w:t xml:space="preserve"> (7-120) </w:t>
      </w:r>
      <w:r w:rsidR="005C6D9F" w:rsidRPr="00DE12A3">
        <w:t>numaralı</w:t>
      </w:r>
      <w:r w:rsidR="005C6D9F" w:rsidRPr="00DE12A3" w:rsidDel="005C6D9F">
        <w:t xml:space="preserve"> </w:t>
      </w:r>
      <w:r w:rsidRPr="00DE12A3">
        <w:t>denklemde kullanılmalıdır ve CFV değerleri sadece kalan C</w:t>
      </w:r>
      <w:r w:rsidRPr="00DE12A3">
        <w:rPr>
          <w:vertAlign w:val="subscript"/>
        </w:rPr>
        <w:t>d</w:t>
      </w:r>
      <w:r w:rsidRPr="00DE12A3">
        <w:t xml:space="preserve"> ile ilişkili en düşük r değerine kadar kullanılmalıdır</w:t>
      </w:r>
      <w:r w:rsidR="00117673" w:rsidRPr="00DE12A3">
        <w:t>.</w:t>
      </w:r>
    </w:p>
    <w:p w14:paraId="465EE4C0" w14:textId="4C6E0CB0" w:rsidR="007B28DB" w:rsidRPr="00DE12A3" w:rsidRDefault="007B28DB" w:rsidP="00C917D6">
      <w:pPr>
        <w:pStyle w:val="Point0"/>
        <w:ind w:left="1701" w:hanging="567"/>
      </w:pPr>
      <w:r w:rsidRPr="00DE12A3">
        <w:t>(h)</w:t>
      </w:r>
      <w:r w:rsidRPr="00DE12A3">
        <w:tab/>
        <w:t>Kalan C</w:t>
      </w:r>
      <w:r w:rsidRPr="00DE12A3">
        <w:rPr>
          <w:vertAlign w:val="subscript"/>
        </w:rPr>
        <w:t>d</w:t>
      </w:r>
      <w:r w:rsidRPr="00DE12A3">
        <w:t>'nin standart sapması hala kalan C</w:t>
      </w:r>
      <w:r w:rsidRPr="00DE12A3">
        <w:rPr>
          <w:vertAlign w:val="subscript"/>
        </w:rPr>
        <w:t xml:space="preserve">d </w:t>
      </w:r>
      <w:r w:rsidRPr="00DE12A3">
        <w:t xml:space="preserve">değerleri ortalamasının % 0,3'ünü aşıyorsa, (d) ila (g) </w:t>
      </w:r>
      <w:r w:rsidR="00117673" w:rsidRPr="00DE12A3">
        <w:t xml:space="preserve">numaralı alt </w:t>
      </w:r>
      <w:r w:rsidRPr="00DE12A3">
        <w:t>bentlerinde belirtilen adımlar tekrarlanmalıdır.</w:t>
      </w:r>
    </w:p>
    <w:p w14:paraId="417A7A8F" w14:textId="77777777" w:rsidR="007B28DB" w:rsidRPr="00DE12A3" w:rsidRDefault="007B28DB" w:rsidP="00C917D6">
      <w:pPr>
        <w:pStyle w:val="Point0"/>
        <w:ind w:left="1701" w:hanging="567"/>
      </w:pPr>
    </w:p>
    <w:p w14:paraId="668D4143" w14:textId="13B35D43" w:rsidR="004E09D1" w:rsidRPr="00DE12A3" w:rsidRDefault="004E09D1">
      <w:pPr>
        <w:widowControl/>
        <w:rPr>
          <w:rFonts w:cs="Times New Roman"/>
          <w:color w:val="auto"/>
        </w:rPr>
      </w:pPr>
    </w:p>
    <w:p w14:paraId="6D4EE5A3" w14:textId="77777777" w:rsidR="00A76407" w:rsidRPr="00DE12A3" w:rsidRDefault="00A76407" w:rsidP="004E09D1">
      <w:pPr>
        <w:pStyle w:val="Balk2"/>
        <w:rPr>
          <w:i/>
          <w:color w:val="auto"/>
        </w:rPr>
      </w:pPr>
    </w:p>
    <w:p w14:paraId="06CC9DBF" w14:textId="77777777" w:rsidR="00A76407" w:rsidRPr="00DE12A3" w:rsidRDefault="00A76407" w:rsidP="004E09D1">
      <w:pPr>
        <w:pStyle w:val="Balk2"/>
        <w:rPr>
          <w:i/>
          <w:color w:val="auto"/>
        </w:rPr>
      </w:pPr>
    </w:p>
    <w:p w14:paraId="72CC61DB" w14:textId="77777777" w:rsidR="00A76407" w:rsidRPr="00DE12A3" w:rsidRDefault="00A76407" w:rsidP="004E09D1">
      <w:pPr>
        <w:pStyle w:val="Balk2"/>
        <w:rPr>
          <w:i/>
          <w:color w:val="auto"/>
        </w:rPr>
      </w:pPr>
    </w:p>
    <w:p w14:paraId="540D9868" w14:textId="77777777" w:rsidR="001E7C83" w:rsidRPr="00DE12A3" w:rsidRDefault="001E7C83" w:rsidP="004E09D1">
      <w:pPr>
        <w:pStyle w:val="Balk2"/>
        <w:rPr>
          <w:color w:val="auto"/>
        </w:rPr>
      </w:pPr>
      <w:r w:rsidRPr="00DE12A3">
        <w:rPr>
          <w:color w:val="auto"/>
        </w:rPr>
        <w:lastRenderedPageBreak/>
        <w:t>1. Açıklayıcı Ek</w:t>
      </w:r>
    </w:p>
    <w:p w14:paraId="289CAB4B" w14:textId="77777777" w:rsidR="001E7C83" w:rsidRPr="00DE12A3" w:rsidRDefault="00093948" w:rsidP="00C917D6">
      <w:pPr>
        <w:pStyle w:val="Annexetitreacte"/>
        <w:rPr>
          <w:u w:val="none"/>
        </w:rPr>
      </w:pPr>
      <w:r w:rsidRPr="00DE12A3">
        <w:rPr>
          <w:u w:val="none"/>
        </w:rPr>
        <w:t>Sapma</w:t>
      </w:r>
      <w:r w:rsidR="001E7C83" w:rsidRPr="00DE12A3">
        <w:rPr>
          <w:u w:val="none"/>
        </w:rPr>
        <w:t xml:space="preserve"> Düzeltmesi</w:t>
      </w:r>
    </w:p>
    <w:p w14:paraId="1D642A19" w14:textId="7DCFB2CF" w:rsidR="001E7C83" w:rsidRPr="00DE12A3" w:rsidRDefault="001E7C83" w:rsidP="005512D7">
      <w:pPr>
        <w:pStyle w:val="Annexetitreacte"/>
        <w:jc w:val="both"/>
        <w:rPr>
          <w:u w:val="none"/>
        </w:rPr>
      </w:pPr>
      <w:r w:rsidRPr="00DE12A3">
        <w:rPr>
          <w:bCs w:val="0"/>
          <w:u w:val="none"/>
        </w:rPr>
        <w:t>1.</w:t>
      </w:r>
      <w:r w:rsidR="008242BF" w:rsidRPr="00DE12A3">
        <w:rPr>
          <w:bCs w:val="0"/>
          <w:u w:val="none"/>
        </w:rPr>
        <w:t xml:space="preserve"> </w:t>
      </w:r>
      <w:r w:rsidRPr="00DE12A3">
        <w:rPr>
          <w:u w:val="none"/>
        </w:rPr>
        <w:t>Kapsam ve sıklık</w:t>
      </w:r>
    </w:p>
    <w:p w14:paraId="26AFD05C" w14:textId="630D95B9" w:rsidR="001E7C83" w:rsidRPr="00DE12A3" w:rsidRDefault="001E7C83" w:rsidP="005512D7">
      <w:pPr>
        <w:pStyle w:val="Annexetitreacte"/>
        <w:jc w:val="both"/>
        <w:rPr>
          <w:b w:val="0"/>
          <w:u w:val="none"/>
        </w:rPr>
      </w:pPr>
      <w:r w:rsidRPr="00DE12A3">
        <w:rPr>
          <w:b w:val="0"/>
          <w:u w:val="none"/>
        </w:rPr>
        <w:t xml:space="preserve">Bu Açıklayıcı Ek içindeki hesaplamalar, gaz analiz cihazı </w:t>
      </w:r>
      <w:r w:rsidR="00093948" w:rsidRPr="00DE12A3">
        <w:rPr>
          <w:b w:val="0"/>
          <w:u w:val="none"/>
        </w:rPr>
        <w:t>sapmasının</w:t>
      </w:r>
      <w:r w:rsidRPr="00DE12A3">
        <w:rPr>
          <w:b w:val="0"/>
          <w:u w:val="none"/>
        </w:rPr>
        <w:t xml:space="preserve"> bir test aralığının sonuçlarını geçersiz kılıp kılmayacağını belirlemek için yapılır. Eğer </w:t>
      </w:r>
      <w:r w:rsidR="00093948" w:rsidRPr="00DE12A3">
        <w:rPr>
          <w:b w:val="0"/>
          <w:u w:val="none"/>
        </w:rPr>
        <w:t>sapma</w:t>
      </w:r>
      <w:r w:rsidRPr="00DE12A3">
        <w:rPr>
          <w:b w:val="0"/>
          <w:u w:val="none"/>
        </w:rPr>
        <w:t xml:space="preserve"> bir test aralığının sonuçlarını geçersiz kılmazsa, test aralığının gaz analiz cihazı tepkileri, bu Açıklayıcı Ek uyarınca </w:t>
      </w:r>
      <w:r w:rsidR="00093948" w:rsidRPr="00DE12A3">
        <w:rPr>
          <w:b w:val="0"/>
          <w:u w:val="none"/>
        </w:rPr>
        <w:t>sapma</w:t>
      </w:r>
      <w:r w:rsidRPr="00DE12A3">
        <w:rPr>
          <w:b w:val="0"/>
          <w:u w:val="none"/>
        </w:rPr>
        <w:t xml:space="preserve"> bakımından düzeltilmelidir. </w:t>
      </w:r>
      <w:r w:rsidR="00093948" w:rsidRPr="00DE12A3">
        <w:rPr>
          <w:b w:val="0"/>
          <w:u w:val="none"/>
        </w:rPr>
        <w:t>Sapma</w:t>
      </w:r>
      <w:r w:rsidRPr="00DE12A3">
        <w:rPr>
          <w:b w:val="0"/>
          <w:u w:val="none"/>
        </w:rPr>
        <w:t xml:space="preserve">-düzeltmeli gaz analiz cihazı tepkileri, sonrasındaki tüm emisyon hesaplamalarında kullanılır. Bir test aralığı boyunca gaz analiz cihazı </w:t>
      </w:r>
      <w:r w:rsidR="00093948" w:rsidRPr="00DE12A3">
        <w:rPr>
          <w:b w:val="0"/>
          <w:u w:val="none"/>
        </w:rPr>
        <w:t>sapması</w:t>
      </w:r>
      <w:r w:rsidRPr="00DE12A3">
        <w:rPr>
          <w:b w:val="0"/>
          <w:u w:val="none"/>
        </w:rPr>
        <w:t xml:space="preserve"> için kabul edilebilir eşik değeri, </w:t>
      </w:r>
      <w:r w:rsidR="00FA0678" w:rsidRPr="00DE12A3">
        <w:rPr>
          <w:b w:val="0"/>
          <w:u w:val="none"/>
        </w:rPr>
        <w:t xml:space="preserve">VI’ncı </w:t>
      </w:r>
      <w:r w:rsidR="00117673" w:rsidRPr="00DE12A3">
        <w:rPr>
          <w:b w:val="0"/>
          <w:u w:val="none"/>
        </w:rPr>
        <w:t>E</w:t>
      </w:r>
      <w:r w:rsidR="00FA0678" w:rsidRPr="00DE12A3">
        <w:rPr>
          <w:b w:val="0"/>
          <w:u w:val="none"/>
        </w:rPr>
        <w:t>k</w:t>
      </w:r>
      <w:r w:rsidRPr="00DE12A3">
        <w:rPr>
          <w:b w:val="0"/>
          <w:u w:val="none"/>
        </w:rPr>
        <w:t>in 8.2.2.2 bendinde belirtilmiştir.</w:t>
      </w:r>
    </w:p>
    <w:p w14:paraId="41D913A4" w14:textId="46F0179E" w:rsidR="001E7C83" w:rsidRPr="00DE12A3" w:rsidRDefault="001E7C83" w:rsidP="005512D7">
      <w:pPr>
        <w:pStyle w:val="Annexetitreacte"/>
        <w:jc w:val="both"/>
        <w:rPr>
          <w:u w:val="none"/>
        </w:rPr>
      </w:pPr>
      <w:r w:rsidRPr="00DE12A3">
        <w:rPr>
          <w:bCs w:val="0"/>
          <w:u w:val="none"/>
        </w:rPr>
        <w:t>2.</w:t>
      </w:r>
      <w:r w:rsidR="008242BF" w:rsidRPr="00DE12A3">
        <w:rPr>
          <w:b w:val="0"/>
          <w:u w:val="none"/>
        </w:rPr>
        <w:t xml:space="preserve"> </w:t>
      </w:r>
      <w:r w:rsidRPr="00DE12A3">
        <w:rPr>
          <w:u w:val="none"/>
        </w:rPr>
        <w:t>Düzeltme ilkeleri</w:t>
      </w:r>
    </w:p>
    <w:p w14:paraId="3FD35996" w14:textId="1B35D7DD" w:rsidR="001E7C83" w:rsidRPr="00DE12A3" w:rsidRDefault="001E7C83" w:rsidP="005512D7">
      <w:pPr>
        <w:pStyle w:val="Annexetitreacte"/>
        <w:jc w:val="both"/>
        <w:rPr>
          <w:b w:val="0"/>
          <w:u w:val="none"/>
        </w:rPr>
      </w:pPr>
      <w:r w:rsidRPr="00DE12A3">
        <w:rPr>
          <w:b w:val="0"/>
          <w:u w:val="none"/>
        </w:rPr>
        <w:t xml:space="preserve">Bu Açıklayıcı Ek içindeki hesaplamalar, bir gaz analiz cihazının bir test aralığından önce ve sonra belirlenen analitik gazlara ait referans sıfır ve ayar konsantrasyonlarına karşı tepkilerini kullanır. Hesaplamalar, gaz analiz cihazının bir test aralığı boyunca kaydedilen tepkilerini düzeltir. Düzeltme, analiz cihazının referans sıfır ve ayar gazlarına verdiği ortalama tepkilere ve sıfır ve ayar gazlarının kendilerinin referans konsantrasyonlarına dayanır. </w:t>
      </w:r>
      <w:r w:rsidR="00093948" w:rsidRPr="00DE12A3">
        <w:rPr>
          <w:b w:val="0"/>
          <w:u w:val="none"/>
        </w:rPr>
        <w:t>Sapma</w:t>
      </w:r>
      <w:r w:rsidRPr="00DE12A3">
        <w:rPr>
          <w:b w:val="0"/>
          <w:u w:val="none"/>
        </w:rPr>
        <w:t xml:space="preserve"> için doğrulama ve düzeltme aşağıdaki şekilde yapılmalıdır</w:t>
      </w:r>
      <w:r w:rsidR="00117673" w:rsidRPr="00DE12A3">
        <w:rPr>
          <w:b w:val="0"/>
          <w:u w:val="none"/>
        </w:rPr>
        <w:t>.</w:t>
      </w:r>
    </w:p>
    <w:p w14:paraId="2A20B59F" w14:textId="27BE89DE" w:rsidR="001E7C83" w:rsidRPr="00DE12A3" w:rsidRDefault="001E7C83" w:rsidP="005512D7">
      <w:pPr>
        <w:pStyle w:val="Annexetitreacte"/>
        <w:jc w:val="both"/>
        <w:rPr>
          <w:u w:val="none"/>
        </w:rPr>
      </w:pPr>
      <w:r w:rsidRPr="00DE12A3">
        <w:rPr>
          <w:bCs w:val="0"/>
          <w:u w:val="none"/>
        </w:rPr>
        <w:t>3.</w:t>
      </w:r>
      <w:r w:rsidR="008242BF" w:rsidRPr="00DE12A3">
        <w:rPr>
          <w:bCs w:val="0"/>
          <w:u w:val="none"/>
        </w:rPr>
        <w:t xml:space="preserve"> </w:t>
      </w:r>
      <w:r w:rsidR="00093948" w:rsidRPr="00DE12A3">
        <w:rPr>
          <w:u w:val="none"/>
        </w:rPr>
        <w:t>Sapma</w:t>
      </w:r>
      <w:r w:rsidRPr="00DE12A3">
        <w:rPr>
          <w:u w:val="none"/>
        </w:rPr>
        <w:t xml:space="preserve"> doğrulaması</w:t>
      </w:r>
    </w:p>
    <w:p w14:paraId="43E45E57" w14:textId="7BA70436" w:rsidR="001E7C83" w:rsidRPr="00DE12A3" w:rsidRDefault="001E7C83" w:rsidP="005512D7">
      <w:pPr>
        <w:pStyle w:val="Annexetitreacte"/>
        <w:jc w:val="both"/>
        <w:rPr>
          <w:b w:val="0"/>
          <w:u w:val="none"/>
        </w:rPr>
      </w:pPr>
      <w:r w:rsidRPr="00DE12A3">
        <w:rPr>
          <w:b w:val="0"/>
          <w:u w:val="none"/>
        </w:rPr>
        <w:t xml:space="preserve">Tüm gaz analiz cihazı sinyallerine </w:t>
      </w:r>
      <w:r w:rsidR="00093948" w:rsidRPr="00DE12A3">
        <w:rPr>
          <w:b w:val="0"/>
          <w:u w:val="none"/>
        </w:rPr>
        <w:t>sapma</w:t>
      </w:r>
      <w:r w:rsidRPr="00DE12A3">
        <w:rPr>
          <w:b w:val="0"/>
          <w:u w:val="none"/>
        </w:rPr>
        <w:t xml:space="preserve"> düzeltmesi hariç diğer tüm düzeltmeler uygulandıktan sonra, frene özgü emisyonlar </w:t>
      </w:r>
      <w:r w:rsidR="00117673" w:rsidRPr="00DE12A3">
        <w:rPr>
          <w:b w:val="0"/>
          <w:u w:val="none"/>
        </w:rPr>
        <w:t xml:space="preserve">bu Ekin </w:t>
      </w:r>
      <w:r w:rsidRPr="00DE12A3">
        <w:rPr>
          <w:b w:val="0"/>
          <w:u w:val="none"/>
        </w:rPr>
        <w:t xml:space="preserve">3.8 bendi uyarınca hesaplanmalıdır. Daha sonra, tüm gaz analiz cihazı sinyalleri, bu Açıklayıcı Ek uyarınca </w:t>
      </w:r>
      <w:r w:rsidR="00093948" w:rsidRPr="00DE12A3">
        <w:rPr>
          <w:b w:val="0"/>
          <w:u w:val="none"/>
        </w:rPr>
        <w:t>sapma</w:t>
      </w:r>
      <w:r w:rsidRPr="00DE12A3">
        <w:rPr>
          <w:b w:val="0"/>
          <w:u w:val="none"/>
        </w:rPr>
        <w:t xml:space="preserve"> bakımından düzeltilmelidir. Frene özgü emisyonlar, </w:t>
      </w:r>
      <w:r w:rsidR="00093948" w:rsidRPr="00DE12A3">
        <w:rPr>
          <w:b w:val="0"/>
          <w:u w:val="none"/>
        </w:rPr>
        <w:t>sapması</w:t>
      </w:r>
      <w:r w:rsidRPr="00DE12A3">
        <w:rPr>
          <w:b w:val="0"/>
          <w:u w:val="none"/>
        </w:rPr>
        <w:t xml:space="preserve"> düzeltilmiş gaz analiz cihazı sinyallerinin tümü kullanılarak yeniden hesaplanmalıdır. Frene özgü emisyon sonuçları </w:t>
      </w:r>
      <w:r w:rsidR="00FA0678" w:rsidRPr="00DE12A3">
        <w:rPr>
          <w:b w:val="0"/>
          <w:u w:val="none"/>
        </w:rPr>
        <w:t xml:space="preserve">VI’ncı </w:t>
      </w:r>
      <w:r w:rsidR="00117673" w:rsidRPr="00DE12A3">
        <w:rPr>
          <w:b w:val="0"/>
          <w:u w:val="none"/>
        </w:rPr>
        <w:t>E</w:t>
      </w:r>
      <w:r w:rsidR="00FA0678" w:rsidRPr="00DE12A3">
        <w:rPr>
          <w:b w:val="0"/>
          <w:u w:val="none"/>
        </w:rPr>
        <w:t>k</w:t>
      </w:r>
      <w:r w:rsidRPr="00DE12A3">
        <w:rPr>
          <w:b w:val="0"/>
          <w:u w:val="none"/>
        </w:rPr>
        <w:t xml:space="preserve">in 8.2.2.2 bendi uyarınca </w:t>
      </w:r>
      <w:r w:rsidR="00093948" w:rsidRPr="00DE12A3">
        <w:rPr>
          <w:b w:val="0"/>
          <w:u w:val="none"/>
        </w:rPr>
        <w:t>sapma</w:t>
      </w:r>
      <w:r w:rsidRPr="00DE12A3">
        <w:rPr>
          <w:b w:val="0"/>
          <w:u w:val="none"/>
        </w:rPr>
        <w:t xml:space="preserve"> düzeltmesi öncesinde ve sonrasında doğrulanmalı ve raporlanmalıdır.</w:t>
      </w:r>
    </w:p>
    <w:p w14:paraId="2B0417AF" w14:textId="35F5898F" w:rsidR="001E7C83" w:rsidRPr="00DE12A3" w:rsidRDefault="001E7C83" w:rsidP="005512D7">
      <w:pPr>
        <w:pStyle w:val="Annexetitreacte"/>
        <w:jc w:val="both"/>
        <w:rPr>
          <w:u w:val="none"/>
        </w:rPr>
      </w:pPr>
      <w:r w:rsidRPr="00DE12A3">
        <w:rPr>
          <w:bCs w:val="0"/>
          <w:u w:val="none"/>
        </w:rPr>
        <w:t>4.</w:t>
      </w:r>
      <w:r w:rsidR="008242BF" w:rsidRPr="00DE12A3">
        <w:rPr>
          <w:bCs w:val="0"/>
          <w:u w:val="none"/>
        </w:rPr>
        <w:t xml:space="preserve"> </w:t>
      </w:r>
      <w:r w:rsidR="00093948" w:rsidRPr="00DE12A3">
        <w:rPr>
          <w:u w:val="none"/>
        </w:rPr>
        <w:t>Sapma</w:t>
      </w:r>
      <w:r w:rsidRPr="00DE12A3">
        <w:rPr>
          <w:u w:val="none"/>
        </w:rPr>
        <w:t xml:space="preserve"> düzeltmesi</w:t>
      </w:r>
    </w:p>
    <w:p w14:paraId="570D5383" w14:textId="12EB8766" w:rsidR="001E7C83" w:rsidRPr="00DE12A3" w:rsidRDefault="001E7C83" w:rsidP="005512D7">
      <w:pPr>
        <w:pStyle w:val="Annexetitreacte"/>
        <w:jc w:val="both"/>
        <w:rPr>
          <w:b w:val="0"/>
          <w:u w:val="none"/>
        </w:rPr>
      </w:pPr>
      <w:r w:rsidRPr="00DE12A3">
        <w:rPr>
          <w:b w:val="0"/>
          <w:u w:val="none"/>
        </w:rPr>
        <w:t>Tüm gaz analiz cihazı sinyalleri aşağıdaki şekilde düzeltilmelidir :</w:t>
      </w:r>
    </w:p>
    <w:p w14:paraId="3549B89C" w14:textId="51597E08" w:rsidR="001E7C83" w:rsidRPr="00DE12A3" w:rsidRDefault="001E7C83" w:rsidP="005512D7">
      <w:pPr>
        <w:pStyle w:val="Annexetitreacte"/>
        <w:jc w:val="both"/>
        <w:rPr>
          <w:b w:val="0"/>
          <w:u w:val="none"/>
        </w:rPr>
      </w:pPr>
      <w:r w:rsidRPr="00DE12A3">
        <w:rPr>
          <w:b w:val="0"/>
          <w:u w:val="none"/>
        </w:rPr>
        <w:t>(a)</w:t>
      </w:r>
      <w:r w:rsidR="005512D7" w:rsidRPr="00DE12A3">
        <w:rPr>
          <w:b w:val="0"/>
          <w:u w:val="none"/>
        </w:rPr>
        <w:t xml:space="preserve"> </w:t>
      </w:r>
      <w:r w:rsidRPr="00DE12A3">
        <w:rPr>
          <w:b w:val="0"/>
          <w:u w:val="none"/>
        </w:rPr>
        <w:t xml:space="preserve">Kaydedilen her konsantrasyon değeri xi, sürekli örnekleme veya toplu örnekleme için düzeltilmelidir, </w:t>
      </w:r>
      <w:r w:rsidRPr="00DE12A3">
        <w:rPr>
          <w:noProof/>
          <w:lang w:val="tr-TR"/>
        </w:rPr>
        <w:drawing>
          <wp:inline distT="0" distB="0" distL="0" distR="0" wp14:anchorId="6490B3F9" wp14:editId="1E553D96">
            <wp:extent cx="193675" cy="222885"/>
            <wp:effectExtent l="0" t="0" r="0" b="5715"/>
            <wp:docPr id="41" name="Resim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193675" cy="222885"/>
                    </a:xfrm>
                    <a:prstGeom prst="rect">
                      <a:avLst/>
                    </a:prstGeom>
                    <a:noFill/>
                    <a:ln>
                      <a:noFill/>
                    </a:ln>
                  </pic:spPr>
                </pic:pic>
              </a:graphicData>
            </a:graphic>
          </wp:inline>
        </w:drawing>
      </w:r>
      <w:r w:rsidR="00117673" w:rsidRPr="00DE12A3">
        <w:rPr>
          <w:b w:val="0"/>
          <w:u w:val="none"/>
        </w:rPr>
        <w:t>.</w:t>
      </w:r>
    </w:p>
    <w:p w14:paraId="683C015A" w14:textId="7A7222BE" w:rsidR="009F4766" w:rsidRPr="00DE12A3" w:rsidRDefault="001E7C83" w:rsidP="005512D7">
      <w:pPr>
        <w:pStyle w:val="Annexetitreacte"/>
        <w:jc w:val="both"/>
        <w:rPr>
          <w:b w:val="0"/>
          <w:u w:val="none"/>
        </w:rPr>
      </w:pPr>
      <w:r w:rsidRPr="00DE12A3">
        <w:rPr>
          <w:b w:val="0"/>
          <w:u w:val="none"/>
        </w:rPr>
        <w:t>(b)</w:t>
      </w:r>
      <w:r w:rsidR="005512D7" w:rsidRPr="00DE12A3">
        <w:rPr>
          <w:b w:val="0"/>
          <w:u w:val="none"/>
        </w:rPr>
        <w:t xml:space="preserve"> </w:t>
      </w:r>
      <w:r w:rsidR="00093948" w:rsidRPr="00DE12A3">
        <w:rPr>
          <w:b w:val="0"/>
          <w:u w:val="none"/>
        </w:rPr>
        <w:t>Sapma</w:t>
      </w:r>
      <w:r w:rsidRPr="00DE12A3">
        <w:rPr>
          <w:b w:val="0"/>
          <w:u w:val="none"/>
        </w:rPr>
        <w:t xml:space="preserve"> düzeltmesi, (7-149) </w:t>
      </w:r>
      <w:r w:rsidR="005C6D9F" w:rsidRPr="00DE12A3">
        <w:rPr>
          <w:b w:val="0"/>
          <w:u w:val="none"/>
        </w:rPr>
        <w:t>numaralı</w:t>
      </w:r>
      <w:r w:rsidR="005C6D9F" w:rsidRPr="00DE12A3" w:rsidDel="005C6D9F">
        <w:rPr>
          <w:b w:val="0"/>
          <w:u w:val="none"/>
        </w:rPr>
        <w:t xml:space="preserve"> </w:t>
      </w:r>
      <w:r w:rsidRPr="00DE12A3">
        <w:rPr>
          <w:b w:val="0"/>
          <w:u w:val="none"/>
        </w:rPr>
        <w:t>denklem ile hesaplanmalıdır</w:t>
      </w:r>
      <w:r w:rsidR="00117673" w:rsidRPr="00DE12A3">
        <w:rPr>
          <w:b w:val="0"/>
          <w:u w:val="none"/>
        </w:rPr>
        <w:t>.</w:t>
      </w:r>
    </w:p>
    <w:p w14:paraId="610CBAE0" w14:textId="77777777" w:rsidR="003C2689" w:rsidRPr="00DE12A3" w:rsidRDefault="003C2689" w:rsidP="00C917D6">
      <w:pPr>
        <w:spacing w:before="120" w:after="120"/>
        <w:rPr>
          <w:rFonts w:cs="Times New Roman"/>
          <w:color w:val="auto"/>
          <w:lang w:val="fr-FR"/>
        </w:rPr>
      </w:pPr>
    </w:p>
    <w:tbl>
      <w:tblPr>
        <w:tblW w:w="0" w:type="auto"/>
        <w:tblLayout w:type="fixed"/>
        <w:tblLook w:val="0000" w:firstRow="0" w:lastRow="0" w:firstColumn="0" w:lastColumn="0" w:noHBand="0" w:noVBand="0"/>
      </w:tblPr>
      <w:tblGrid>
        <w:gridCol w:w="8265"/>
        <w:gridCol w:w="1021"/>
      </w:tblGrid>
      <w:tr w:rsidR="009F4766" w:rsidRPr="00DE12A3" w14:paraId="50D17925" w14:textId="77777777" w:rsidTr="001A234D">
        <w:tc>
          <w:tcPr>
            <w:tcW w:w="8265" w:type="dxa"/>
          </w:tcPr>
          <w:p w14:paraId="406A13C5" w14:textId="55F0C668" w:rsidR="009F4766" w:rsidRPr="00DE12A3" w:rsidRDefault="009F4766" w:rsidP="00C917D6">
            <w:pPr>
              <w:pStyle w:val="NormalLeft"/>
            </w:pPr>
            <w:r w:rsidRPr="00DE12A3">
              <w:rPr>
                <w:noProof/>
                <w:lang w:val="tr-TR"/>
              </w:rPr>
              <w:drawing>
                <wp:inline distT="0" distB="0" distL="0" distR="0" wp14:anchorId="47286D12" wp14:editId="74ED339D">
                  <wp:extent cx="5082149" cy="680085"/>
                  <wp:effectExtent l="0" t="0" r="4445" b="5715"/>
                  <wp:docPr id="2445" name="Resim 24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219">
                            <a:extLst>
                              <a:ext uri="{28A0092B-C50C-407E-A947-70E740481C1C}">
                                <a14:useLocalDpi xmlns:a14="http://schemas.microsoft.com/office/drawing/2010/main" val="0"/>
                              </a:ext>
                            </a:extLst>
                          </a:blip>
                          <a:srcRect/>
                          <a:stretch>
                            <a:fillRect/>
                          </a:stretch>
                        </pic:blipFill>
                        <pic:spPr bwMode="auto">
                          <a:xfrm>
                            <a:off x="0" y="0"/>
                            <a:ext cx="5092661" cy="681492"/>
                          </a:xfrm>
                          <a:prstGeom prst="rect">
                            <a:avLst/>
                          </a:prstGeom>
                          <a:noFill/>
                          <a:ln>
                            <a:noFill/>
                          </a:ln>
                        </pic:spPr>
                      </pic:pic>
                    </a:graphicData>
                  </a:graphic>
                </wp:inline>
              </w:drawing>
            </w:r>
          </w:p>
        </w:tc>
        <w:tc>
          <w:tcPr>
            <w:tcW w:w="1021" w:type="dxa"/>
          </w:tcPr>
          <w:p w14:paraId="408531BA" w14:textId="77777777" w:rsidR="009F4766" w:rsidRPr="00DE12A3" w:rsidRDefault="009F4766" w:rsidP="00C917D6">
            <w:pPr>
              <w:pStyle w:val="NormalLeft"/>
            </w:pPr>
            <w:r w:rsidRPr="00DE12A3">
              <w:t>(7-149)</w:t>
            </w:r>
          </w:p>
        </w:tc>
      </w:tr>
    </w:tbl>
    <w:p w14:paraId="0F2172B6" w14:textId="77777777" w:rsidR="009F4766" w:rsidRPr="00DE12A3" w:rsidRDefault="009F4766" w:rsidP="00C917D6">
      <w:pPr>
        <w:spacing w:before="120" w:after="120"/>
        <w:rPr>
          <w:rFonts w:cs="Times New Roman"/>
          <w:color w:val="auto"/>
        </w:rPr>
      </w:pPr>
    </w:p>
    <w:p w14:paraId="247F023F" w14:textId="77777777" w:rsidR="009F4766" w:rsidRPr="00DE12A3" w:rsidRDefault="008B3D9F" w:rsidP="005512D7">
      <w:pPr>
        <w:pStyle w:val="Point0"/>
      </w:pPr>
      <w:r w:rsidRPr="00DE12A3">
        <w:t>Burada</w:t>
      </w:r>
      <w:r w:rsidR="009F4766" w:rsidRPr="00DE12A3">
        <w:t>:</w:t>
      </w:r>
    </w:p>
    <w:tbl>
      <w:tblPr>
        <w:tblW w:w="0" w:type="auto"/>
        <w:tblInd w:w="1242" w:type="dxa"/>
        <w:tblLayout w:type="fixed"/>
        <w:tblLook w:val="0000" w:firstRow="0" w:lastRow="0" w:firstColumn="0" w:lastColumn="0" w:noHBand="0" w:noVBand="0"/>
      </w:tblPr>
      <w:tblGrid>
        <w:gridCol w:w="1560"/>
        <w:gridCol w:w="708"/>
        <w:gridCol w:w="5776"/>
      </w:tblGrid>
      <w:tr w:rsidR="00DE12A3" w:rsidRPr="00DE12A3" w14:paraId="4B92C530" w14:textId="77777777" w:rsidTr="006D7ADF">
        <w:tc>
          <w:tcPr>
            <w:tcW w:w="1560" w:type="dxa"/>
          </w:tcPr>
          <w:p w14:paraId="3785EDCC" w14:textId="77777777" w:rsidR="001E7C83" w:rsidRPr="00DE12A3" w:rsidRDefault="001E7C83" w:rsidP="00C917D6">
            <w:pPr>
              <w:pStyle w:val="NormalLeft"/>
            </w:pPr>
            <w:r w:rsidRPr="00DE12A3">
              <w:rPr>
                <w:i/>
                <w:iCs/>
              </w:rPr>
              <w:t>x</w:t>
            </w:r>
            <w:r w:rsidRPr="00DE12A3">
              <w:rPr>
                <w:i/>
                <w:iCs/>
                <w:vertAlign w:val="subscript"/>
              </w:rPr>
              <w:t>i</w:t>
            </w:r>
            <w:r w:rsidRPr="00DE12A3">
              <w:rPr>
                <w:vertAlign w:val="subscript"/>
              </w:rPr>
              <w:t>driftcor</w:t>
            </w:r>
          </w:p>
        </w:tc>
        <w:tc>
          <w:tcPr>
            <w:tcW w:w="708" w:type="dxa"/>
          </w:tcPr>
          <w:p w14:paraId="28008CD1" w14:textId="77777777" w:rsidR="001E7C83" w:rsidRPr="00DE12A3" w:rsidRDefault="001E7C83" w:rsidP="00C917D6">
            <w:pPr>
              <w:pStyle w:val="NormalLeft"/>
            </w:pPr>
            <w:r w:rsidRPr="00DE12A3">
              <w:t>=</w:t>
            </w:r>
          </w:p>
        </w:tc>
        <w:tc>
          <w:tcPr>
            <w:tcW w:w="5776" w:type="dxa"/>
          </w:tcPr>
          <w:p w14:paraId="3827025F" w14:textId="0C02A5FC" w:rsidR="001E7C83" w:rsidRPr="00DE12A3" w:rsidRDefault="002F5BBD" w:rsidP="00C917D6">
            <w:pPr>
              <w:spacing w:before="120" w:after="120"/>
              <w:rPr>
                <w:rFonts w:cs="Times New Roman"/>
                <w:color w:val="auto"/>
              </w:rPr>
            </w:pPr>
            <w:r w:rsidRPr="00DE12A3">
              <w:rPr>
                <w:rFonts w:cs="Times New Roman"/>
                <w:color w:val="auto"/>
              </w:rPr>
              <w:t>Sapma</w:t>
            </w:r>
            <w:r w:rsidR="001E7C83" w:rsidRPr="00DE12A3">
              <w:rPr>
                <w:rFonts w:cs="Times New Roman"/>
                <w:color w:val="auto"/>
              </w:rPr>
              <w:t xml:space="preserve"> bakımından düzeltilmiş konsantrasyon [μmol/mol]</w:t>
            </w:r>
          </w:p>
        </w:tc>
      </w:tr>
      <w:tr w:rsidR="00DE12A3" w:rsidRPr="00DE12A3" w14:paraId="31A74432" w14:textId="77777777" w:rsidTr="006D7ADF">
        <w:tc>
          <w:tcPr>
            <w:tcW w:w="1560" w:type="dxa"/>
          </w:tcPr>
          <w:p w14:paraId="58A391A3" w14:textId="77777777" w:rsidR="001E7C83" w:rsidRPr="00DE12A3" w:rsidRDefault="001E7C83" w:rsidP="00C917D6">
            <w:pPr>
              <w:pStyle w:val="NormalLeft"/>
            </w:pPr>
            <w:r w:rsidRPr="00DE12A3">
              <w:rPr>
                <w:i/>
                <w:iCs/>
              </w:rPr>
              <w:t>x</w:t>
            </w:r>
            <w:r w:rsidRPr="00DE12A3">
              <w:rPr>
                <w:vertAlign w:val="subscript"/>
              </w:rPr>
              <w:t>refzero</w:t>
            </w:r>
          </w:p>
        </w:tc>
        <w:tc>
          <w:tcPr>
            <w:tcW w:w="708" w:type="dxa"/>
          </w:tcPr>
          <w:p w14:paraId="1616F3D5" w14:textId="77777777" w:rsidR="001E7C83" w:rsidRPr="00DE12A3" w:rsidRDefault="001E7C83" w:rsidP="00C917D6">
            <w:pPr>
              <w:pStyle w:val="NormalLeft"/>
            </w:pPr>
            <w:r w:rsidRPr="00DE12A3">
              <w:t>=</w:t>
            </w:r>
          </w:p>
        </w:tc>
        <w:tc>
          <w:tcPr>
            <w:tcW w:w="5776" w:type="dxa"/>
          </w:tcPr>
          <w:p w14:paraId="0994EF26" w14:textId="792D861D" w:rsidR="001E7C83" w:rsidRPr="00DE12A3" w:rsidRDefault="002F5BBD" w:rsidP="00C917D6">
            <w:pPr>
              <w:spacing w:before="120" w:after="120"/>
              <w:rPr>
                <w:rFonts w:cs="Times New Roman"/>
                <w:color w:val="auto"/>
              </w:rPr>
            </w:pPr>
            <w:r w:rsidRPr="00DE12A3">
              <w:rPr>
                <w:rFonts w:cs="Times New Roman"/>
                <w:color w:val="auto"/>
              </w:rPr>
              <w:t>Sıfır</w:t>
            </w:r>
            <w:r w:rsidR="001E7C83" w:rsidRPr="00DE12A3">
              <w:rPr>
                <w:rFonts w:cs="Times New Roman"/>
                <w:color w:val="auto"/>
              </w:rPr>
              <w:t xml:space="preserve"> gazın referans konsantrasyonu, başka bir değer olduğu bilinmediği sürece genellikle sıfırdır [μmol/mol]</w:t>
            </w:r>
          </w:p>
        </w:tc>
      </w:tr>
      <w:tr w:rsidR="00DE12A3" w:rsidRPr="00DE12A3" w14:paraId="7C63FD25" w14:textId="77777777" w:rsidTr="006D7ADF">
        <w:tc>
          <w:tcPr>
            <w:tcW w:w="1560" w:type="dxa"/>
          </w:tcPr>
          <w:p w14:paraId="78EFFF43" w14:textId="77777777" w:rsidR="001E7C83" w:rsidRPr="00DE12A3" w:rsidRDefault="001E7C83" w:rsidP="00C917D6">
            <w:pPr>
              <w:pStyle w:val="NormalLeft"/>
            </w:pPr>
            <w:r w:rsidRPr="00DE12A3">
              <w:rPr>
                <w:i/>
                <w:iCs/>
              </w:rPr>
              <w:t>x</w:t>
            </w:r>
            <w:r w:rsidRPr="00DE12A3">
              <w:rPr>
                <w:vertAlign w:val="subscript"/>
              </w:rPr>
              <w:t>refspan</w:t>
            </w:r>
          </w:p>
        </w:tc>
        <w:tc>
          <w:tcPr>
            <w:tcW w:w="708" w:type="dxa"/>
          </w:tcPr>
          <w:p w14:paraId="2A20AA06" w14:textId="77777777" w:rsidR="001E7C83" w:rsidRPr="00DE12A3" w:rsidRDefault="001E7C83" w:rsidP="00C917D6">
            <w:pPr>
              <w:pStyle w:val="NormalLeft"/>
            </w:pPr>
            <w:r w:rsidRPr="00DE12A3">
              <w:t>=</w:t>
            </w:r>
          </w:p>
        </w:tc>
        <w:tc>
          <w:tcPr>
            <w:tcW w:w="5776" w:type="dxa"/>
          </w:tcPr>
          <w:p w14:paraId="4227653F" w14:textId="3BF64C12" w:rsidR="001E7C83" w:rsidRPr="00DE12A3" w:rsidRDefault="002F5BBD" w:rsidP="00C917D6">
            <w:pPr>
              <w:spacing w:before="120" w:after="120"/>
              <w:rPr>
                <w:rFonts w:cs="Times New Roman"/>
                <w:color w:val="auto"/>
              </w:rPr>
            </w:pPr>
            <w:r w:rsidRPr="00DE12A3">
              <w:rPr>
                <w:rFonts w:cs="Times New Roman"/>
                <w:color w:val="auto"/>
              </w:rPr>
              <w:t>Ayar</w:t>
            </w:r>
            <w:r w:rsidR="001E7C83" w:rsidRPr="00DE12A3">
              <w:rPr>
                <w:rFonts w:cs="Times New Roman"/>
                <w:color w:val="auto"/>
              </w:rPr>
              <w:t xml:space="preserve"> gazının referans konsantrasyonu [μmol/mol]</w:t>
            </w:r>
          </w:p>
        </w:tc>
      </w:tr>
      <w:tr w:rsidR="00DE12A3" w:rsidRPr="00DE12A3" w14:paraId="18B30D74" w14:textId="77777777" w:rsidTr="006D7ADF">
        <w:tc>
          <w:tcPr>
            <w:tcW w:w="1560" w:type="dxa"/>
          </w:tcPr>
          <w:p w14:paraId="22F37DC9" w14:textId="77777777" w:rsidR="001E7C83" w:rsidRPr="00DE12A3" w:rsidRDefault="001E7C83" w:rsidP="00C917D6">
            <w:pPr>
              <w:pStyle w:val="NormalLeft"/>
            </w:pPr>
            <w:r w:rsidRPr="00DE12A3">
              <w:rPr>
                <w:i/>
                <w:iCs/>
              </w:rPr>
              <w:t>x</w:t>
            </w:r>
            <w:r w:rsidRPr="00DE12A3">
              <w:rPr>
                <w:vertAlign w:val="subscript"/>
              </w:rPr>
              <w:t>prespan</w:t>
            </w:r>
          </w:p>
        </w:tc>
        <w:tc>
          <w:tcPr>
            <w:tcW w:w="708" w:type="dxa"/>
          </w:tcPr>
          <w:p w14:paraId="722D5FE8" w14:textId="77777777" w:rsidR="001E7C83" w:rsidRPr="00DE12A3" w:rsidRDefault="001E7C83" w:rsidP="00C917D6">
            <w:pPr>
              <w:pStyle w:val="NormalLeft"/>
            </w:pPr>
            <w:r w:rsidRPr="00DE12A3">
              <w:t>=</w:t>
            </w:r>
          </w:p>
        </w:tc>
        <w:tc>
          <w:tcPr>
            <w:tcW w:w="5776" w:type="dxa"/>
          </w:tcPr>
          <w:p w14:paraId="51C549F5" w14:textId="5960ACF1" w:rsidR="001E7C83" w:rsidRPr="00DE12A3" w:rsidRDefault="002F5BBD" w:rsidP="00C917D6">
            <w:pPr>
              <w:spacing w:before="120" w:after="120"/>
              <w:rPr>
                <w:rFonts w:cs="Times New Roman"/>
                <w:color w:val="auto"/>
              </w:rPr>
            </w:pPr>
            <w:r w:rsidRPr="00DE12A3">
              <w:rPr>
                <w:rFonts w:cs="Times New Roman"/>
                <w:color w:val="auto"/>
              </w:rPr>
              <w:t>Ayar</w:t>
            </w:r>
            <w:r w:rsidR="001E7C83" w:rsidRPr="00DE12A3">
              <w:rPr>
                <w:rFonts w:cs="Times New Roman"/>
                <w:color w:val="auto"/>
              </w:rPr>
              <w:t xml:space="preserve"> gazı konsantrasyonuna test öncesi aralığı gaz analiz </w:t>
            </w:r>
            <w:r w:rsidR="001E7C83" w:rsidRPr="00DE12A3">
              <w:rPr>
                <w:rFonts w:cs="Times New Roman"/>
                <w:color w:val="auto"/>
              </w:rPr>
              <w:lastRenderedPageBreak/>
              <w:t>cihazı tepkisi [μmol/mol]</w:t>
            </w:r>
          </w:p>
        </w:tc>
      </w:tr>
      <w:tr w:rsidR="00DE12A3" w:rsidRPr="00DE12A3" w14:paraId="58F4D2B6" w14:textId="77777777" w:rsidTr="006D7ADF">
        <w:tc>
          <w:tcPr>
            <w:tcW w:w="1560" w:type="dxa"/>
          </w:tcPr>
          <w:p w14:paraId="2817DFA0" w14:textId="77777777" w:rsidR="001E7C83" w:rsidRPr="00DE12A3" w:rsidRDefault="001E7C83" w:rsidP="00C917D6">
            <w:pPr>
              <w:pStyle w:val="NormalLeft"/>
            </w:pPr>
            <w:r w:rsidRPr="00DE12A3">
              <w:rPr>
                <w:i/>
                <w:iCs/>
              </w:rPr>
              <w:lastRenderedPageBreak/>
              <w:t>x</w:t>
            </w:r>
            <w:r w:rsidRPr="00DE12A3">
              <w:rPr>
                <w:vertAlign w:val="subscript"/>
              </w:rPr>
              <w:t>postspan</w:t>
            </w:r>
          </w:p>
        </w:tc>
        <w:tc>
          <w:tcPr>
            <w:tcW w:w="708" w:type="dxa"/>
          </w:tcPr>
          <w:p w14:paraId="36EAD7B7" w14:textId="77777777" w:rsidR="001E7C83" w:rsidRPr="00DE12A3" w:rsidRDefault="001E7C83" w:rsidP="00C917D6">
            <w:pPr>
              <w:pStyle w:val="NormalLeft"/>
            </w:pPr>
            <w:r w:rsidRPr="00DE12A3">
              <w:t>=</w:t>
            </w:r>
          </w:p>
        </w:tc>
        <w:tc>
          <w:tcPr>
            <w:tcW w:w="5776" w:type="dxa"/>
          </w:tcPr>
          <w:p w14:paraId="6A62521B" w14:textId="1FE2DB78" w:rsidR="001E7C83" w:rsidRPr="00DE12A3" w:rsidRDefault="002F5BBD" w:rsidP="00C917D6">
            <w:pPr>
              <w:spacing w:before="120" w:after="120"/>
              <w:rPr>
                <w:rFonts w:cs="Times New Roman"/>
                <w:color w:val="auto"/>
              </w:rPr>
            </w:pPr>
            <w:r w:rsidRPr="00DE12A3">
              <w:rPr>
                <w:rFonts w:cs="Times New Roman"/>
                <w:color w:val="auto"/>
              </w:rPr>
              <w:t>Ayar</w:t>
            </w:r>
            <w:r w:rsidR="001E7C83" w:rsidRPr="00DE12A3">
              <w:rPr>
                <w:rFonts w:cs="Times New Roman"/>
                <w:color w:val="auto"/>
              </w:rPr>
              <w:t xml:space="preserve"> gazı konsantrasyonuna test sonrası aralığı gaz analiz cihazı tepkisi [μmol/mol]</w:t>
            </w:r>
          </w:p>
        </w:tc>
      </w:tr>
      <w:tr w:rsidR="00DE12A3" w:rsidRPr="00DE12A3" w14:paraId="288D37EA" w14:textId="77777777" w:rsidTr="006D7ADF">
        <w:tc>
          <w:tcPr>
            <w:tcW w:w="1560" w:type="dxa"/>
          </w:tcPr>
          <w:p w14:paraId="43448874" w14:textId="60406234" w:rsidR="001E7C83" w:rsidRPr="00DE12A3" w:rsidRDefault="001E7C83" w:rsidP="00C917D6">
            <w:pPr>
              <w:pStyle w:val="NormalLeft"/>
            </w:pPr>
            <w:r w:rsidRPr="00DE12A3">
              <w:rPr>
                <w:i/>
                <w:iCs/>
              </w:rPr>
              <w:t>x</w:t>
            </w:r>
            <w:r w:rsidRPr="00DE12A3">
              <w:rPr>
                <w:i/>
                <w:iCs/>
                <w:vertAlign w:val="subscript"/>
              </w:rPr>
              <w:t>i</w:t>
            </w:r>
            <w:r w:rsidRPr="00DE12A3">
              <w:t xml:space="preserve"> or </w:t>
            </w:r>
            <w:r w:rsidRPr="00DE12A3">
              <w:rPr>
                <w:noProof/>
                <w:lang w:val="tr-TR"/>
              </w:rPr>
              <w:drawing>
                <wp:inline distT="0" distB="0" distL="0" distR="0" wp14:anchorId="4AE1F356" wp14:editId="59411A42">
                  <wp:extent cx="193675" cy="222885"/>
                  <wp:effectExtent l="0" t="0" r="0" b="5715"/>
                  <wp:docPr id="2444" name="Resim 24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193675" cy="222885"/>
                          </a:xfrm>
                          <a:prstGeom prst="rect">
                            <a:avLst/>
                          </a:prstGeom>
                          <a:noFill/>
                          <a:ln>
                            <a:noFill/>
                          </a:ln>
                        </pic:spPr>
                      </pic:pic>
                    </a:graphicData>
                  </a:graphic>
                </wp:inline>
              </w:drawing>
            </w:r>
          </w:p>
        </w:tc>
        <w:tc>
          <w:tcPr>
            <w:tcW w:w="708" w:type="dxa"/>
          </w:tcPr>
          <w:p w14:paraId="3733990A" w14:textId="77777777" w:rsidR="001E7C83" w:rsidRPr="00DE12A3" w:rsidRDefault="001E7C83" w:rsidP="00C917D6">
            <w:pPr>
              <w:pStyle w:val="NormalLeft"/>
            </w:pPr>
            <w:r w:rsidRPr="00DE12A3">
              <w:t>=</w:t>
            </w:r>
          </w:p>
        </w:tc>
        <w:tc>
          <w:tcPr>
            <w:tcW w:w="5776" w:type="dxa"/>
          </w:tcPr>
          <w:p w14:paraId="5182F8BC" w14:textId="6F0CF26A" w:rsidR="001E7C83" w:rsidRPr="00DE12A3" w:rsidRDefault="002F5BBD" w:rsidP="00C917D6">
            <w:pPr>
              <w:spacing w:before="120" w:after="120"/>
              <w:rPr>
                <w:rFonts w:cs="Times New Roman"/>
                <w:color w:val="auto"/>
              </w:rPr>
            </w:pPr>
            <w:r w:rsidRPr="00DE12A3">
              <w:rPr>
                <w:rFonts w:cs="Times New Roman"/>
                <w:color w:val="auto"/>
              </w:rPr>
              <w:t>Kaydedilen</w:t>
            </w:r>
            <w:r w:rsidR="001E7C83" w:rsidRPr="00DE12A3">
              <w:rPr>
                <w:rFonts w:cs="Times New Roman"/>
                <w:color w:val="auto"/>
              </w:rPr>
              <w:t xml:space="preserve"> konsantrasyon, yani </w:t>
            </w:r>
            <w:r w:rsidR="00093948" w:rsidRPr="00DE12A3">
              <w:rPr>
                <w:rFonts w:cs="Times New Roman"/>
                <w:color w:val="auto"/>
              </w:rPr>
              <w:t>sapma</w:t>
            </w:r>
            <w:r w:rsidR="001E7C83" w:rsidRPr="00DE12A3">
              <w:rPr>
                <w:rFonts w:cs="Times New Roman"/>
                <w:color w:val="auto"/>
              </w:rPr>
              <w:t xml:space="preserve"> düzeltmesinden önce, test sırasında ölçülen [μmol/mol]</w:t>
            </w:r>
          </w:p>
        </w:tc>
      </w:tr>
      <w:tr w:rsidR="00DE12A3" w:rsidRPr="00DE12A3" w14:paraId="08AB6536" w14:textId="77777777" w:rsidTr="006D7ADF">
        <w:tc>
          <w:tcPr>
            <w:tcW w:w="1560" w:type="dxa"/>
          </w:tcPr>
          <w:p w14:paraId="4CA6C9E6" w14:textId="77777777" w:rsidR="009F4766" w:rsidRPr="00DE12A3" w:rsidRDefault="009F4766" w:rsidP="00C917D6">
            <w:pPr>
              <w:pStyle w:val="NormalLeft"/>
            </w:pPr>
            <w:r w:rsidRPr="00DE12A3">
              <w:rPr>
                <w:i/>
                <w:iCs/>
              </w:rPr>
              <w:t>x</w:t>
            </w:r>
            <w:r w:rsidRPr="00DE12A3">
              <w:rPr>
                <w:vertAlign w:val="subscript"/>
              </w:rPr>
              <w:t>prezero</w:t>
            </w:r>
          </w:p>
        </w:tc>
        <w:tc>
          <w:tcPr>
            <w:tcW w:w="708" w:type="dxa"/>
          </w:tcPr>
          <w:p w14:paraId="359C57BE" w14:textId="77777777" w:rsidR="009F4766" w:rsidRPr="00DE12A3" w:rsidRDefault="009F4766" w:rsidP="00C917D6">
            <w:pPr>
              <w:pStyle w:val="NormalLeft"/>
            </w:pPr>
            <w:r w:rsidRPr="00DE12A3">
              <w:t>=</w:t>
            </w:r>
          </w:p>
        </w:tc>
        <w:tc>
          <w:tcPr>
            <w:tcW w:w="5776" w:type="dxa"/>
          </w:tcPr>
          <w:p w14:paraId="49DEF009" w14:textId="078E2757" w:rsidR="009F4766" w:rsidRPr="00DE12A3" w:rsidRDefault="002F5BBD" w:rsidP="00C917D6">
            <w:pPr>
              <w:pStyle w:val="NormalLeft"/>
            </w:pPr>
            <w:r w:rsidRPr="00DE12A3">
              <w:t>Sıfır</w:t>
            </w:r>
            <w:r w:rsidR="001E7C83" w:rsidRPr="00DE12A3">
              <w:t xml:space="preserve"> gazı konsantrasyonuna test öncesi aralığı gaz analiz cihazı tepkisi [μmol/mol]</w:t>
            </w:r>
          </w:p>
        </w:tc>
      </w:tr>
      <w:tr w:rsidR="009F4766" w:rsidRPr="00DE12A3" w14:paraId="74380AE3" w14:textId="77777777" w:rsidTr="006D7ADF">
        <w:tc>
          <w:tcPr>
            <w:tcW w:w="1560" w:type="dxa"/>
          </w:tcPr>
          <w:p w14:paraId="32567739" w14:textId="77777777" w:rsidR="009F4766" w:rsidRPr="00DE12A3" w:rsidRDefault="009F4766" w:rsidP="00C917D6">
            <w:pPr>
              <w:pStyle w:val="NormalLeft"/>
            </w:pPr>
            <w:r w:rsidRPr="00DE12A3">
              <w:rPr>
                <w:i/>
                <w:iCs/>
              </w:rPr>
              <w:t>x</w:t>
            </w:r>
            <w:r w:rsidRPr="00DE12A3">
              <w:rPr>
                <w:vertAlign w:val="subscript"/>
              </w:rPr>
              <w:t>postzero</w:t>
            </w:r>
          </w:p>
        </w:tc>
        <w:tc>
          <w:tcPr>
            <w:tcW w:w="708" w:type="dxa"/>
          </w:tcPr>
          <w:p w14:paraId="3A289ECC" w14:textId="77777777" w:rsidR="009F4766" w:rsidRPr="00DE12A3" w:rsidRDefault="009F4766" w:rsidP="00C917D6">
            <w:pPr>
              <w:pStyle w:val="NormalLeft"/>
            </w:pPr>
            <w:r w:rsidRPr="00DE12A3">
              <w:t>=</w:t>
            </w:r>
          </w:p>
        </w:tc>
        <w:tc>
          <w:tcPr>
            <w:tcW w:w="5776" w:type="dxa"/>
          </w:tcPr>
          <w:p w14:paraId="4360D0D3" w14:textId="3F6F2458" w:rsidR="009F4766" w:rsidRPr="00DE12A3" w:rsidRDefault="002F5BBD" w:rsidP="00C917D6">
            <w:pPr>
              <w:pStyle w:val="NormalLeft"/>
            </w:pPr>
            <w:r w:rsidRPr="00DE12A3">
              <w:t>Sıfır</w:t>
            </w:r>
            <w:r w:rsidR="001E7C83" w:rsidRPr="00DE12A3">
              <w:t xml:space="preserve"> gazı konsantrasyonuna test öncesi aralığı gaz analiz cihazı tepkisi [μmol/mol]</w:t>
            </w:r>
          </w:p>
        </w:tc>
      </w:tr>
    </w:tbl>
    <w:p w14:paraId="2506974F" w14:textId="77777777" w:rsidR="009F4766" w:rsidRPr="00DE12A3" w:rsidRDefault="009F4766" w:rsidP="005512D7">
      <w:pPr>
        <w:spacing w:before="120" w:after="120"/>
        <w:rPr>
          <w:rFonts w:cs="Times New Roman"/>
          <w:color w:val="auto"/>
        </w:rPr>
      </w:pPr>
    </w:p>
    <w:p w14:paraId="33519C4B" w14:textId="07ABCB70" w:rsidR="00314050" w:rsidRPr="00DE12A3" w:rsidRDefault="00314050" w:rsidP="005512D7">
      <w:pPr>
        <w:pStyle w:val="Point0"/>
        <w:ind w:left="0" w:firstLine="0"/>
      </w:pPr>
      <w:r w:rsidRPr="00DE12A3">
        <w:t>(c)</w:t>
      </w:r>
      <w:r w:rsidR="005512D7" w:rsidRPr="00DE12A3">
        <w:t xml:space="preserve"> </w:t>
      </w:r>
      <w:r w:rsidRPr="00DE12A3">
        <w:t>Herhangi bir test öncesi aralık konsantrasyonunda, test aralığından önce en son belirlenen konsantrasyonlar kullanılmalıdır. Bazı test aralıkları için, en son sıfır öncesi veya ön ayar süresi, önceki bir veya daha çok test aralığından önce olabilir</w:t>
      </w:r>
      <w:r w:rsidR="00117673" w:rsidRPr="00DE12A3">
        <w:t>.</w:t>
      </w:r>
    </w:p>
    <w:p w14:paraId="5CE5AF27" w14:textId="64A83744" w:rsidR="00314050" w:rsidRPr="00DE12A3" w:rsidRDefault="00314050" w:rsidP="005512D7">
      <w:pPr>
        <w:pStyle w:val="Point0"/>
        <w:ind w:left="0" w:firstLine="0"/>
      </w:pPr>
      <w:r w:rsidRPr="00DE12A3">
        <w:t>(d)</w:t>
      </w:r>
      <w:r w:rsidR="005512D7" w:rsidRPr="00DE12A3">
        <w:t xml:space="preserve"> </w:t>
      </w:r>
      <w:r w:rsidRPr="00DE12A3">
        <w:t xml:space="preserve">Herhangi bir test sonrası aralık konsantrasyonda, test aralığından sonra en son belirlenen konsantrasyonlar kullanılmalıdır. Bazı test aralıkları için, en son sıfır sonrasındaki veya sonrasındaki yayılma, sonraki bir veya daha fazla test aralığından sonra </w:t>
      </w:r>
      <w:r w:rsidR="002F5BBD" w:rsidRPr="00DE12A3">
        <w:t>olabilir</w:t>
      </w:r>
      <w:r w:rsidR="00117673" w:rsidRPr="00DE12A3">
        <w:t>.</w:t>
      </w:r>
    </w:p>
    <w:p w14:paraId="727D5710" w14:textId="21A1808A" w:rsidR="00314050" w:rsidRPr="00DE12A3" w:rsidRDefault="00314050" w:rsidP="005512D7">
      <w:pPr>
        <w:pStyle w:val="Point0"/>
        <w:ind w:left="0" w:firstLine="0"/>
      </w:pPr>
      <w:r w:rsidRPr="00DE12A3">
        <w:t>(e)</w:t>
      </w:r>
      <w:r w:rsidR="005512D7" w:rsidRPr="00DE12A3">
        <w:t xml:space="preserve"> </w:t>
      </w:r>
      <w:r w:rsidRPr="00DE12A3">
        <w:t>Herhangi bir ön test aralığı analiz cihazının ayar gazı konsantrasyonuna tepkisi x</w:t>
      </w:r>
      <w:r w:rsidRPr="00DE12A3">
        <w:rPr>
          <w:vertAlign w:val="subscript"/>
        </w:rPr>
        <w:t>prespan</w:t>
      </w:r>
      <w:r w:rsidRPr="00DE12A3">
        <w:t xml:space="preserve"> kaydedilmezse, xprespan referans ayar gazı konsantrasyonuna eşit olarak ayarlanmalıdır</w:t>
      </w:r>
      <w:r w:rsidR="00117673" w:rsidRPr="00DE12A3">
        <w:t> ;</w:t>
      </w:r>
      <w:r w:rsidRPr="00DE12A3">
        <w:t>x</w:t>
      </w:r>
      <w:r w:rsidRPr="00DE12A3">
        <w:rPr>
          <w:vertAlign w:val="subscript"/>
        </w:rPr>
        <w:t>prespan</w:t>
      </w:r>
      <w:r w:rsidRPr="00DE12A3">
        <w:t xml:space="preserve"> = x</w:t>
      </w:r>
      <w:r w:rsidRPr="00DE12A3">
        <w:rPr>
          <w:vertAlign w:val="subscript"/>
        </w:rPr>
        <w:t>refspan</w:t>
      </w:r>
      <w:r w:rsidRPr="00DE12A3">
        <w:t xml:space="preserve"> </w:t>
      </w:r>
    </w:p>
    <w:p w14:paraId="4D81F03B" w14:textId="0F0EC2CD" w:rsidR="00314050" w:rsidRPr="00DE12A3" w:rsidRDefault="00314050" w:rsidP="005512D7">
      <w:pPr>
        <w:pStyle w:val="Point0"/>
        <w:ind w:left="0" w:firstLine="0"/>
      </w:pPr>
      <w:r w:rsidRPr="00DE12A3">
        <w:t>(f)</w:t>
      </w:r>
      <w:r w:rsidR="005512D7" w:rsidRPr="00DE12A3">
        <w:t xml:space="preserve"> </w:t>
      </w:r>
      <w:r w:rsidRPr="00DE12A3">
        <w:t>Herhangi bir ön test aralığı analiz cihazının sıfır gazı konsantrasyonuna tepkisi xprezero kaydedilmezse, xprezero referans sıfır gazı konsantrasyonuna eşit olarak ayarlanmalıdır</w:t>
      </w:r>
      <w:r w:rsidR="00592B0C" w:rsidRPr="00DE12A3">
        <w:t> ;</w:t>
      </w:r>
      <w:r w:rsidRPr="00DE12A3">
        <w:t xml:space="preserve"> x</w:t>
      </w:r>
      <w:r w:rsidRPr="00DE12A3">
        <w:rPr>
          <w:vertAlign w:val="subscript"/>
        </w:rPr>
        <w:t>prezero</w:t>
      </w:r>
      <w:r w:rsidRPr="00DE12A3">
        <w:t xml:space="preserve"> = x</w:t>
      </w:r>
      <w:r w:rsidRPr="00DE12A3">
        <w:rPr>
          <w:vertAlign w:val="subscript"/>
        </w:rPr>
        <w:t>refzero</w:t>
      </w:r>
      <w:r w:rsidRPr="00DE12A3">
        <w:t xml:space="preserve"> </w:t>
      </w:r>
    </w:p>
    <w:p w14:paraId="0CE9E52C" w14:textId="4453FBC1" w:rsidR="00314050" w:rsidRPr="00DE12A3" w:rsidRDefault="00314050" w:rsidP="005512D7">
      <w:pPr>
        <w:pStyle w:val="Point0"/>
        <w:ind w:left="0" w:firstLine="0"/>
      </w:pPr>
      <w:r w:rsidRPr="00DE12A3">
        <w:t>(g)</w:t>
      </w:r>
      <w:r w:rsidR="005512D7" w:rsidRPr="00DE12A3">
        <w:t xml:space="preserve"> </w:t>
      </w:r>
      <w:r w:rsidRPr="00DE12A3">
        <w:t>Genellikle sıfır gazın referans konsantrasyonu xrefzero sıfırdır</w:t>
      </w:r>
      <w:r w:rsidR="00592B0C" w:rsidRPr="00DE12A3">
        <w:t> ;</w:t>
      </w:r>
      <w:r w:rsidRPr="00DE12A3">
        <w:t xml:space="preserve"> x</w:t>
      </w:r>
      <w:r w:rsidRPr="00DE12A3">
        <w:rPr>
          <w:vertAlign w:val="subscript"/>
        </w:rPr>
        <w:t xml:space="preserve">refzero </w:t>
      </w:r>
      <w:r w:rsidRPr="00DE12A3">
        <w:t>= 0 μmol/mol. Bununla birlikte, bazı durumlarda xrefzero'nun sıfır olmayan bir konsantrasyonu olduğu bilinebilir. Örneğin, bir CO</w:t>
      </w:r>
      <w:r w:rsidRPr="00DE12A3">
        <w:rPr>
          <w:vertAlign w:val="subscript"/>
        </w:rPr>
        <w:t>2</w:t>
      </w:r>
      <w:r w:rsidRPr="00DE12A3">
        <w:t xml:space="preserve"> analiz cihazı ortam havası kullanılarak sıfırlanırsa, 375 μmol/mol olan varsayılan ortam havası CO</w:t>
      </w:r>
      <w:r w:rsidRPr="00DE12A3">
        <w:rPr>
          <w:vertAlign w:val="subscript"/>
        </w:rPr>
        <w:t>2</w:t>
      </w:r>
      <w:r w:rsidRPr="00DE12A3">
        <w:t xml:space="preserve"> konsantrasyonu kullanılabilir. Bu durumda, x</w:t>
      </w:r>
      <w:r w:rsidRPr="00DE12A3">
        <w:rPr>
          <w:vertAlign w:val="subscript"/>
        </w:rPr>
        <w:t xml:space="preserve">refzero </w:t>
      </w:r>
      <w:r w:rsidRPr="00DE12A3">
        <w:t>= 375 μmol/mol. Bir analiz cihazı sıfır olmayan bir xrefzero kullanılarak sıfırlandığında, analiz cihazı gerçek x</w:t>
      </w:r>
      <w:r w:rsidRPr="00DE12A3">
        <w:rPr>
          <w:vertAlign w:val="subscript"/>
        </w:rPr>
        <w:t>refzero</w:t>
      </w:r>
      <w:r w:rsidRPr="00DE12A3">
        <w:t xml:space="preserve"> konsantrasyonunu verecek şekilde ayarlanmalıdır. Örneğin, eğer x</w:t>
      </w:r>
      <w:r w:rsidRPr="00DE12A3">
        <w:rPr>
          <w:vertAlign w:val="subscript"/>
        </w:rPr>
        <w:t>refzero</w:t>
      </w:r>
      <w:r w:rsidRPr="00DE12A3">
        <w:t xml:space="preserve"> = 375 μmol/mol ise, analiz cihazına sıfır gaz akarken analiz cihazı 375 μmol/mol değerini verecek şekilde ayarlanmalıdır.</w:t>
      </w:r>
    </w:p>
    <w:p w14:paraId="04098561" w14:textId="036651E0" w:rsidR="005512D7" w:rsidRPr="00DE12A3" w:rsidRDefault="005512D7">
      <w:pPr>
        <w:widowControl/>
        <w:rPr>
          <w:rFonts w:eastAsia="Times New Roman" w:cs="Times New Roman"/>
          <w:color w:val="auto"/>
          <w:lang w:val="fr-FR"/>
        </w:rPr>
      </w:pPr>
      <w:r w:rsidRPr="00DE12A3">
        <w:rPr>
          <w:color w:val="auto"/>
        </w:rPr>
        <w:br w:type="page"/>
      </w:r>
    </w:p>
    <w:p w14:paraId="7C4E9D25" w14:textId="77777777" w:rsidR="00314050" w:rsidRPr="00DE12A3" w:rsidRDefault="00314050" w:rsidP="004E09D1">
      <w:pPr>
        <w:pStyle w:val="Balk2"/>
        <w:rPr>
          <w:i/>
          <w:color w:val="auto"/>
        </w:rPr>
      </w:pPr>
      <w:r w:rsidRPr="00DE12A3">
        <w:rPr>
          <w:i/>
          <w:color w:val="auto"/>
        </w:rPr>
        <w:lastRenderedPageBreak/>
        <w:t>2. Açıklayıcı Ek</w:t>
      </w:r>
    </w:p>
    <w:p w14:paraId="6EEF9C82" w14:textId="77777777" w:rsidR="00314050" w:rsidRPr="00DE12A3" w:rsidRDefault="00314050" w:rsidP="00C917D6">
      <w:pPr>
        <w:adjustRightInd w:val="0"/>
        <w:spacing w:before="120" w:after="120"/>
        <w:ind w:left="1134" w:hanging="1134"/>
        <w:jc w:val="center"/>
        <w:rPr>
          <w:rFonts w:cs="Times New Roman"/>
          <w:b/>
          <w:color w:val="auto"/>
        </w:rPr>
      </w:pPr>
      <w:r w:rsidRPr="00DE12A3">
        <w:rPr>
          <w:rFonts w:cs="Times New Roman"/>
          <w:b/>
          <w:color w:val="auto"/>
        </w:rPr>
        <w:t>Karbon Akış Kontrolü</w:t>
      </w:r>
    </w:p>
    <w:p w14:paraId="79542208" w14:textId="49CDDA27" w:rsidR="00314050" w:rsidRPr="00DE12A3" w:rsidRDefault="00314050" w:rsidP="00C917D6">
      <w:pPr>
        <w:adjustRightInd w:val="0"/>
        <w:spacing w:before="120" w:after="120"/>
        <w:ind w:left="1134" w:hanging="1134"/>
        <w:rPr>
          <w:rFonts w:cs="Times New Roman"/>
          <w:b/>
          <w:color w:val="auto"/>
        </w:rPr>
      </w:pPr>
      <w:r w:rsidRPr="00DE12A3">
        <w:rPr>
          <w:rFonts w:cs="Times New Roman"/>
          <w:b/>
          <w:bCs/>
          <w:color w:val="auto"/>
        </w:rPr>
        <w:t>1.</w:t>
      </w:r>
      <w:r w:rsidR="005512D7" w:rsidRPr="00DE12A3">
        <w:rPr>
          <w:rFonts w:cs="Times New Roman"/>
          <w:b/>
          <w:bCs/>
          <w:color w:val="auto"/>
        </w:rPr>
        <w:t xml:space="preserve"> </w:t>
      </w:r>
      <w:r w:rsidRPr="00DE12A3">
        <w:rPr>
          <w:rFonts w:cs="Times New Roman"/>
          <w:b/>
          <w:color w:val="auto"/>
        </w:rPr>
        <w:t>Giriş</w:t>
      </w:r>
    </w:p>
    <w:p w14:paraId="2BAA8205" w14:textId="2F72EA33" w:rsidR="00314050" w:rsidRPr="00DE12A3" w:rsidRDefault="00314050" w:rsidP="005512D7">
      <w:pPr>
        <w:adjustRightInd w:val="0"/>
        <w:spacing w:before="120" w:after="120"/>
        <w:jc w:val="both"/>
        <w:rPr>
          <w:rFonts w:cs="Times New Roman"/>
          <w:color w:val="auto"/>
        </w:rPr>
      </w:pPr>
      <w:r w:rsidRPr="00DE12A3">
        <w:rPr>
          <w:rFonts w:cs="Times New Roman"/>
          <w:color w:val="auto"/>
        </w:rPr>
        <w:t>Egzoz gazı içindeki karbonun küçük bir kısmı hariç tümü yakıttan gelir ve bunun çok küçük bir kısmı hariç tümü egzoz gazı içinde CO</w:t>
      </w:r>
      <w:r w:rsidRPr="00DE12A3">
        <w:rPr>
          <w:rFonts w:cs="Times New Roman"/>
          <w:color w:val="auto"/>
          <w:vertAlign w:val="subscript"/>
        </w:rPr>
        <w:t>2</w:t>
      </w:r>
      <w:r w:rsidRPr="00DE12A3">
        <w:rPr>
          <w:rFonts w:cs="Times New Roman"/>
          <w:color w:val="auto"/>
        </w:rPr>
        <w:t xml:space="preserve"> olarak görülür. Bu, CO</w:t>
      </w:r>
      <w:r w:rsidRPr="00DE12A3">
        <w:rPr>
          <w:rFonts w:cs="Times New Roman"/>
          <w:color w:val="auto"/>
          <w:vertAlign w:val="subscript"/>
        </w:rPr>
        <w:t>2</w:t>
      </w:r>
      <w:r w:rsidRPr="00DE12A3">
        <w:rPr>
          <w:rFonts w:cs="Times New Roman"/>
          <w:color w:val="auto"/>
        </w:rPr>
        <w:t xml:space="preserve"> ölçümlerine dayanan bir sistem doğrulama kontrolünün temelidir. Aşırı hava oranı λ kontrolü olmayan SI motorlarda veya 0,97 ≤ λ ≤ 1,03 aralığında çalışan SI motorlarda, prosedür ek olarak HC ve CO ölçümünü de içermelidir.</w:t>
      </w:r>
    </w:p>
    <w:p w14:paraId="474AD00F" w14:textId="668F7C78" w:rsidR="00314050" w:rsidRPr="00DE12A3" w:rsidRDefault="00314050" w:rsidP="005512D7">
      <w:pPr>
        <w:adjustRightInd w:val="0"/>
        <w:spacing w:before="120" w:after="120"/>
        <w:jc w:val="both"/>
        <w:rPr>
          <w:rFonts w:cs="Times New Roman"/>
          <w:color w:val="auto"/>
        </w:rPr>
      </w:pPr>
      <w:r w:rsidRPr="00DE12A3">
        <w:rPr>
          <w:rFonts w:cs="Times New Roman"/>
          <w:color w:val="auto"/>
        </w:rPr>
        <w:t xml:space="preserve">Egzoz gazı ölçüm sistemleri içine karbon akışı, yakıt akış hızından belirlenir. Emisyonlar ve </w:t>
      </w:r>
      <w:r w:rsidR="007E2039" w:rsidRPr="00DE12A3">
        <w:rPr>
          <w:rFonts w:cs="Times New Roman"/>
          <w:color w:val="auto"/>
        </w:rPr>
        <w:t xml:space="preserve">partikül </w:t>
      </w:r>
      <w:r w:rsidRPr="00DE12A3">
        <w:rPr>
          <w:rFonts w:cs="Times New Roman"/>
          <w:color w:val="auto"/>
        </w:rPr>
        <w:t>örnekleme sistemleri içindeki çeşitli örnekleme noktalarında karbon akışı, bu noktalardaki CO</w:t>
      </w:r>
      <w:r w:rsidRPr="00DE12A3">
        <w:rPr>
          <w:rFonts w:cs="Times New Roman"/>
          <w:color w:val="auto"/>
          <w:vertAlign w:val="subscript"/>
        </w:rPr>
        <w:t>2</w:t>
      </w:r>
      <w:r w:rsidRPr="00DE12A3">
        <w:rPr>
          <w:rFonts w:cs="Times New Roman"/>
          <w:color w:val="auto"/>
        </w:rPr>
        <w:t xml:space="preserve"> (veya CO</w:t>
      </w:r>
      <w:r w:rsidRPr="00DE12A3">
        <w:rPr>
          <w:rFonts w:cs="Times New Roman"/>
          <w:color w:val="auto"/>
          <w:vertAlign w:val="subscript"/>
        </w:rPr>
        <w:t>2</w:t>
      </w:r>
      <w:r w:rsidRPr="00DE12A3">
        <w:rPr>
          <w:rFonts w:cs="Times New Roman"/>
          <w:color w:val="auto"/>
        </w:rPr>
        <w:t>, HC ve CO) konsantrasyonlarından ve gaz akış hızlarından belirlenir.</w:t>
      </w:r>
    </w:p>
    <w:p w14:paraId="1C1CABEA" w14:textId="29A6EE8C" w:rsidR="00314050" w:rsidRPr="00DE12A3" w:rsidRDefault="00314050" w:rsidP="005512D7">
      <w:pPr>
        <w:adjustRightInd w:val="0"/>
        <w:spacing w:before="120" w:after="120"/>
        <w:jc w:val="both"/>
        <w:rPr>
          <w:rFonts w:cs="Times New Roman"/>
          <w:color w:val="auto"/>
        </w:rPr>
      </w:pPr>
      <w:r w:rsidRPr="00DE12A3">
        <w:rPr>
          <w:rFonts w:cs="Times New Roman"/>
          <w:color w:val="auto"/>
        </w:rPr>
        <w:t>Bu anlamda, motor bilinen bir karbon akışı kaynağı sağlar ve egzoz borusunda ve kısmi akış PM örnekleme sisteminin çıkışında aynı karbon akışını gözlemlemek, kaçak bütünlüğünü ve akış ölçüm hassasiyetini doğrular. Bu kontrol, bileşenlerin gerçek motor sıcaklığı ve akışı test koşulları altında çalışması avantajına sahiptir.</w:t>
      </w:r>
    </w:p>
    <w:p w14:paraId="12FBE908" w14:textId="041A3A5E" w:rsidR="00314050" w:rsidRPr="00DE12A3" w:rsidRDefault="00314050" w:rsidP="005512D7">
      <w:pPr>
        <w:adjustRightInd w:val="0"/>
        <w:spacing w:before="120" w:after="120"/>
        <w:jc w:val="both"/>
        <w:rPr>
          <w:rFonts w:cs="Times New Roman"/>
          <w:color w:val="auto"/>
        </w:rPr>
      </w:pPr>
      <w:r w:rsidRPr="00DE12A3">
        <w:rPr>
          <w:rFonts w:cs="Times New Roman"/>
          <w:color w:val="auto"/>
        </w:rPr>
        <w:t>Şekil 7.1, karbon akışının kontrol edileceği örnekleme noktalarını göstermektedir. Örnekleme noktalarından her birindeki karbon akışına özgü denklemler aşağıdaki bentlerde verilmiştir.</w:t>
      </w:r>
    </w:p>
    <w:p w14:paraId="65279426" w14:textId="77777777" w:rsidR="009F4766" w:rsidRPr="00DE12A3" w:rsidRDefault="00314050" w:rsidP="00C917D6">
      <w:pPr>
        <w:adjustRightInd w:val="0"/>
        <w:spacing w:before="120" w:after="120"/>
        <w:ind w:left="1134" w:hanging="1134"/>
        <w:jc w:val="center"/>
        <w:rPr>
          <w:rFonts w:cs="Times New Roman"/>
          <w:b/>
          <w:bCs/>
          <w:color w:val="auto"/>
        </w:rPr>
      </w:pPr>
      <w:r w:rsidRPr="00DE12A3">
        <w:rPr>
          <w:rFonts w:cs="Times New Roman"/>
          <w:b/>
          <w:bCs/>
          <w:color w:val="auto"/>
        </w:rPr>
        <w:t>Şekil</w:t>
      </w:r>
      <w:r w:rsidR="009F4766" w:rsidRPr="00DE12A3">
        <w:rPr>
          <w:rFonts w:cs="Times New Roman"/>
          <w:b/>
          <w:bCs/>
          <w:color w:val="auto"/>
        </w:rPr>
        <w:t xml:space="preserve"> 7.1</w:t>
      </w:r>
    </w:p>
    <w:p w14:paraId="3A6B5125" w14:textId="77777777" w:rsidR="00314050" w:rsidRPr="00DE12A3" w:rsidRDefault="00314050" w:rsidP="00C917D6">
      <w:pPr>
        <w:pStyle w:val="Text4"/>
        <w:jc w:val="center"/>
        <w:rPr>
          <w:b/>
          <w:bCs/>
        </w:rPr>
      </w:pPr>
      <w:r w:rsidRPr="00DE12A3">
        <w:rPr>
          <w:b/>
          <w:bCs/>
        </w:rPr>
        <w:t>Karbon akış kontrolü için ölçüm noktaları</w:t>
      </w:r>
    </w:p>
    <w:p w14:paraId="4214BC07" w14:textId="77777777" w:rsidR="00314050" w:rsidRPr="00DE12A3" w:rsidRDefault="00314050" w:rsidP="00C917D6">
      <w:pPr>
        <w:pStyle w:val="Text4"/>
      </w:pPr>
    </w:p>
    <w:p w14:paraId="307E2C3D" w14:textId="215FC7A3" w:rsidR="00314050" w:rsidRPr="00DE12A3" w:rsidRDefault="00196F2E" w:rsidP="00C917D6">
      <w:pPr>
        <w:pStyle w:val="Text4"/>
      </w:pPr>
      <w:r w:rsidRPr="00DE12A3">
        <w:rPr>
          <w:noProof/>
          <w:lang w:val="tr-TR"/>
        </w:rPr>
        <w:drawing>
          <wp:inline distT="0" distB="0" distL="0" distR="0" wp14:anchorId="31994506" wp14:editId="5FF9B1FF">
            <wp:extent cx="5759450" cy="4028398"/>
            <wp:effectExtent l="0" t="0" r="0" b="0"/>
            <wp:docPr id="57" name="Resim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0">
                      <a:extLst>
                        <a:ext uri="{28A0092B-C50C-407E-A947-70E740481C1C}">
                          <a14:useLocalDpi xmlns:a14="http://schemas.microsoft.com/office/drawing/2010/main" val="0"/>
                        </a:ext>
                      </a:extLst>
                    </a:blip>
                    <a:srcRect/>
                    <a:stretch>
                      <a:fillRect/>
                    </a:stretch>
                  </pic:blipFill>
                  <pic:spPr bwMode="auto">
                    <a:xfrm>
                      <a:off x="0" y="0"/>
                      <a:ext cx="5759450" cy="4028398"/>
                    </a:xfrm>
                    <a:prstGeom prst="rect">
                      <a:avLst/>
                    </a:prstGeom>
                    <a:noFill/>
                    <a:ln>
                      <a:noFill/>
                    </a:ln>
                  </pic:spPr>
                </pic:pic>
              </a:graphicData>
            </a:graphic>
          </wp:inline>
        </w:drawing>
      </w:r>
    </w:p>
    <w:p w14:paraId="7373F5E0" w14:textId="21C3ADEC" w:rsidR="00196F2E" w:rsidRPr="00DE12A3" w:rsidRDefault="009F4766" w:rsidP="00C917D6">
      <w:pPr>
        <w:spacing w:before="120" w:after="120"/>
        <w:ind w:left="1134" w:hanging="1134"/>
        <w:rPr>
          <w:rFonts w:eastAsia="Times New Roman" w:cs="Times New Roman"/>
          <w:b/>
          <w:bCs/>
          <w:iCs/>
          <w:color w:val="auto"/>
          <w:lang w:val="fr-FR"/>
        </w:rPr>
      </w:pPr>
      <w:r w:rsidRPr="00DE12A3">
        <w:rPr>
          <w:rFonts w:cs="Times New Roman"/>
          <w:b/>
          <w:bCs/>
          <w:color w:val="auto"/>
        </w:rPr>
        <w:t>2.</w:t>
      </w:r>
      <w:r w:rsidR="005512D7" w:rsidRPr="00DE12A3">
        <w:rPr>
          <w:rFonts w:eastAsia="Times New Roman" w:cs="Times New Roman"/>
          <w:b/>
          <w:bCs/>
          <w:i/>
          <w:iCs/>
          <w:color w:val="auto"/>
          <w:lang w:val="fr-FR"/>
        </w:rPr>
        <w:t xml:space="preserve"> </w:t>
      </w:r>
      <w:r w:rsidR="00196F2E" w:rsidRPr="00DE12A3">
        <w:rPr>
          <w:rFonts w:eastAsia="Times New Roman" w:cs="Times New Roman"/>
          <w:b/>
          <w:bCs/>
          <w:iCs/>
          <w:color w:val="auto"/>
          <w:lang w:val="fr-FR"/>
        </w:rPr>
        <w:t>Motorun içine karbon akış hızı (konum 1)</w:t>
      </w:r>
    </w:p>
    <w:p w14:paraId="42AC8AC9" w14:textId="15CFDDDA" w:rsidR="009F4766" w:rsidRPr="00DE12A3" w:rsidRDefault="00196F2E" w:rsidP="002F5BBD">
      <w:pPr>
        <w:spacing w:before="120" w:after="120"/>
        <w:jc w:val="both"/>
        <w:rPr>
          <w:rFonts w:eastAsia="Times New Roman" w:cs="Times New Roman"/>
          <w:bCs/>
          <w:iCs/>
          <w:color w:val="auto"/>
          <w:lang w:val="fr-FR"/>
        </w:rPr>
      </w:pPr>
      <w:r w:rsidRPr="00DE12A3">
        <w:rPr>
          <w:rFonts w:eastAsia="Times New Roman" w:cs="Times New Roman"/>
          <w:bCs/>
          <w:iCs/>
          <w:color w:val="auto"/>
          <w:lang w:val="fr-FR"/>
        </w:rPr>
        <w:t xml:space="preserve">Bir yakıt CHαOε için motorun içine karbon kütle akış hızı qmCF [kg/s], (7-150) </w:t>
      </w:r>
      <w:r w:rsidR="005C6D9F" w:rsidRPr="00DE12A3">
        <w:rPr>
          <w:color w:val="auto"/>
        </w:rPr>
        <w:t>numaralı</w:t>
      </w:r>
      <w:r w:rsidR="005C6D9F" w:rsidRPr="00DE12A3" w:rsidDel="005C6D9F">
        <w:rPr>
          <w:rFonts w:eastAsia="Times New Roman" w:cs="Times New Roman"/>
          <w:bCs/>
          <w:iCs/>
          <w:color w:val="auto"/>
          <w:lang w:val="fr-FR"/>
        </w:rPr>
        <w:t xml:space="preserve"> </w:t>
      </w:r>
      <w:r w:rsidRPr="00DE12A3">
        <w:rPr>
          <w:rFonts w:eastAsia="Times New Roman" w:cs="Times New Roman"/>
          <w:bCs/>
          <w:iCs/>
          <w:color w:val="auto"/>
          <w:lang w:val="fr-FR"/>
        </w:rPr>
        <w:t xml:space="preserve">denklem ile </w:t>
      </w:r>
      <w:r w:rsidR="00D34B44" w:rsidRPr="00DE12A3">
        <w:rPr>
          <w:rFonts w:eastAsia="Times New Roman" w:cs="Times New Roman"/>
          <w:bCs/>
          <w:iCs/>
          <w:color w:val="auto"/>
          <w:lang w:val="fr-FR"/>
        </w:rPr>
        <w:t>hesaplanmalıdır :</w:t>
      </w:r>
    </w:p>
    <w:p w14:paraId="705516F6" w14:textId="77777777" w:rsidR="00196F2E" w:rsidRPr="00DE12A3" w:rsidRDefault="00196F2E" w:rsidP="00C917D6">
      <w:pPr>
        <w:spacing w:before="120" w:after="120"/>
        <w:ind w:left="1134" w:hanging="1134"/>
        <w:rPr>
          <w:rFonts w:cs="Times New Roman"/>
          <w:color w:val="auto"/>
        </w:rPr>
      </w:pPr>
    </w:p>
    <w:tbl>
      <w:tblPr>
        <w:tblW w:w="0" w:type="auto"/>
        <w:tblInd w:w="2554" w:type="dxa"/>
        <w:tblLayout w:type="fixed"/>
        <w:tblLook w:val="0000" w:firstRow="0" w:lastRow="0" w:firstColumn="0" w:lastColumn="0" w:noHBand="0" w:noVBand="0"/>
      </w:tblPr>
      <w:tblGrid>
        <w:gridCol w:w="5054"/>
        <w:gridCol w:w="1596"/>
      </w:tblGrid>
      <w:tr w:rsidR="009F4766" w:rsidRPr="00DE12A3" w14:paraId="4CAC1718" w14:textId="77777777" w:rsidTr="001A234D">
        <w:trPr>
          <w:trHeight w:val="1282"/>
        </w:trPr>
        <w:tc>
          <w:tcPr>
            <w:tcW w:w="5054" w:type="dxa"/>
          </w:tcPr>
          <w:p w14:paraId="0B5EC252" w14:textId="46407206" w:rsidR="009F4766" w:rsidRPr="00DE12A3" w:rsidRDefault="009F4766" w:rsidP="00C917D6">
            <w:pPr>
              <w:pStyle w:val="NormalLeft"/>
            </w:pPr>
            <w:r w:rsidRPr="00DE12A3">
              <w:rPr>
                <w:noProof/>
                <w:lang w:val="tr-TR"/>
              </w:rPr>
              <w:drawing>
                <wp:inline distT="0" distB="0" distL="0" distR="0" wp14:anchorId="092E7408" wp14:editId="56261C10">
                  <wp:extent cx="2924907" cy="644525"/>
                  <wp:effectExtent l="0" t="0" r="8890" b="3175"/>
                  <wp:docPr id="2443" name="Resim 24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221">
                            <a:extLst>
                              <a:ext uri="{28A0092B-C50C-407E-A947-70E740481C1C}">
                                <a14:useLocalDpi xmlns:a14="http://schemas.microsoft.com/office/drawing/2010/main" val="0"/>
                              </a:ext>
                            </a:extLst>
                          </a:blip>
                          <a:srcRect/>
                          <a:stretch>
                            <a:fillRect/>
                          </a:stretch>
                        </pic:blipFill>
                        <pic:spPr bwMode="auto">
                          <a:xfrm>
                            <a:off x="0" y="0"/>
                            <a:ext cx="2933818" cy="646489"/>
                          </a:xfrm>
                          <a:prstGeom prst="rect">
                            <a:avLst/>
                          </a:prstGeom>
                          <a:noFill/>
                          <a:ln>
                            <a:noFill/>
                          </a:ln>
                        </pic:spPr>
                      </pic:pic>
                    </a:graphicData>
                  </a:graphic>
                </wp:inline>
              </w:drawing>
            </w:r>
          </w:p>
        </w:tc>
        <w:tc>
          <w:tcPr>
            <w:tcW w:w="1596" w:type="dxa"/>
          </w:tcPr>
          <w:p w14:paraId="4D518D71" w14:textId="77777777" w:rsidR="009F4766" w:rsidRPr="00DE12A3" w:rsidRDefault="009F4766" w:rsidP="00C917D6">
            <w:pPr>
              <w:pStyle w:val="NormalLeft"/>
            </w:pPr>
            <w:r w:rsidRPr="00DE12A3">
              <w:t>(7-150)</w:t>
            </w:r>
          </w:p>
        </w:tc>
      </w:tr>
    </w:tbl>
    <w:p w14:paraId="00FED4E8" w14:textId="77777777" w:rsidR="009F4766" w:rsidRPr="00DE12A3" w:rsidRDefault="009F4766" w:rsidP="00C917D6">
      <w:pPr>
        <w:spacing w:before="120" w:after="120"/>
        <w:rPr>
          <w:rFonts w:cs="Times New Roman"/>
          <w:color w:val="auto"/>
        </w:rPr>
      </w:pPr>
    </w:p>
    <w:p w14:paraId="4B3A6BF2" w14:textId="77777777" w:rsidR="009F4766" w:rsidRPr="00DE12A3" w:rsidRDefault="008B3D9F" w:rsidP="00C917D6">
      <w:pPr>
        <w:spacing w:before="120" w:after="120"/>
        <w:rPr>
          <w:rFonts w:cs="Times New Roman"/>
          <w:color w:val="auto"/>
        </w:rPr>
      </w:pPr>
      <w:r w:rsidRPr="00DE12A3">
        <w:rPr>
          <w:rFonts w:cs="Times New Roman"/>
          <w:color w:val="auto"/>
        </w:rPr>
        <w:t>Burada</w:t>
      </w:r>
      <w:r w:rsidR="009F4766" w:rsidRPr="00DE12A3">
        <w:rPr>
          <w:rFonts w:cs="Times New Roman"/>
          <w:color w:val="auto"/>
        </w:rPr>
        <w:t>:</w:t>
      </w:r>
    </w:p>
    <w:tbl>
      <w:tblPr>
        <w:tblW w:w="0" w:type="auto"/>
        <w:tblInd w:w="2554" w:type="dxa"/>
        <w:tblLayout w:type="fixed"/>
        <w:tblLook w:val="0000" w:firstRow="0" w:lastRow="0" w:firstColumn="0" w:lastColumn="0" w:noHBand="0" w:noVBand="0"/>
      </w:tblPr>
      <w:tblGrid>
        <w:gridCol w:w="836"/>
        <w:gridCol w:w="543"/>
        <w:gridCol w:w="2800"/>
      </w:tblGrid>
      <w:tr w:rsidR="009F4766" w:rsidRPr="00DE12A3" w14:paraId="0DA22C7F" w14:textId="77777777" w:rsidTr="001A234D">
        <w:tc>
          <w:tcPr>
            <w:tcW w:w="836" w:type="dxa"/>
          </w:tcPr>
          <w:p w14:paraId="1B4C0E71" w14:textId="77777777" w:rsidR="009F4766" w:rsidRPr="00DE12A3" w:rsidRDefault="009F4766" w:rsidP="00C917D6">
            <w:pPr>
              <w:pStyle w:val="NormalLeft"/>
            </w:pPr>
            <w:r w:rsidRPr="00DE12A3">
              <w:rPr>
                <w:i/>
                <w:iCs/>
              </w:rPr>
              <w:t>q</w:t>
            </w:r>
            <w:r w:rsidRPr="00DE12A3">
              <w:rPr>
                <w:i/>
                <w:iCs/>
                <w:vertAlign w:val="subscript"/>
              </w:rPr>
              <w:t>m</w:t>
            </w:r>
            <w:r w:rsidRPr="00DE12A3">
              <w:rPr>
                <w:vertAlign w:val="subscript"/>
              </w:rPr>
              <w:t>f</w:t>
            </w:r>
          </w:p>
        </w:tc>
        <w:tc>
          <w:tcPr>
            <w:tcW w:w="543" w:type="dxa"/>
          </w:tcPr>
          <w:p w14:paraId="4FD2B6BA" w14:textId="77777777" w:rsidR="009F4766" w:rsidRPr="00DE12A3" w:rsidRDefault="009F4766" w:rsidP="00C917D6">
            <w:pPr>
              <w:pStyle w:val="NormalLeft"/>
            </w:pPr>
            <w:r w:rsidRPr="00DE12A3">
              <w:t>=</w:t>
            </w:r>
          </w:p>
        </w:tc>
        <w:tc>
          <w:tcPr>
            <w:tcW w:w="2800" w:type="dxa"/>
          </w:tcPr>
          <w:p w14:paraId="61B8E7D1" w14:textId="5C406247" w:rsidR="009F4766" w:rsidRPr="00DE12A3" w:rsidRDefault="002F5BBD" w:rsidP="00C917D6">
            <w:pPr>
              <w:pStyle w:val="NormalLeft"/>
            </w:pPr>
            <w:r w:rsidRPr="00DE12A3">
              <w:t>Yakıt</w:t>
            </w:r>
            <w:r w:rsidR="00196F2E" w:rsidRPr="00DE12A3">
              <w:t xml:space="preserve"> kütle akış hızı [kg/s]</w:t>
            </w:r>
          </w:p>
        </w:tc>
      </w:tr>
    </w:tbl>
    <w:p w14:paraId="2191C95F" w14:textId="77777777" w:rsidR="009F4766" w:rsidRPr="00DE12A3" w:rsidRDefault="009F4766" w:rsidP="00C917D6">
      <w:pPr>
        <w:spacing w:before="120" w:after="120"/>
        <w:rPr>
          <w:rFonts w:cs="Times New Roman"/>
          <w:color w:val="auto"/>
        </w:rPr>
      </w:pPr>
    </w:p>
    <w:p w14:paraId="70E7150E" w14:textId="4A225D1A" w:rsidR="00196F2E" w:rsidRPr="00DE12A3" w:rsidRDefault="009F4766" w:rsidP="00C917D6">
      <w:pPr>
        <w:spacing w:before="120" w:after="120"/>
        <w:ind w:left="1134" w:hanging="1134"/>
        <w:rPr>
          <w:rFonts w:eastAsia="Times New Roman" w:cs="Times New Roman"/>
          <w:b/>
          <w:bCs/>
          <w:iCs/>
          <w:color w:val="auto"/>
          <w:lang w:val="fr-FR"/>
        </w:rPr>
      </w:pPr>
      <w:r w:rsidRPr="00DE12A3">
        <w:rPr>
          <w:rFonts w:cs="Times New Roman"/>
          <w:b/>
          <w:bCs/>
          <w:color w:val="auto"/>
        </w:rPr>
        <w:t>3.</w:t>
      </w:r>
      <w:r w:rsidR="00196F2E" w:rsidRPr="00DE12A3">
        <w:rPr>
          <w:rFonts w:cs="Times New Roman"/>
          <w:b/>
          <w:bCs/>
          <w:color w:val="auto"/>
        </w:rPr>
        <w:t xml:space="preserve"> </w:t>
      </w:r>
      <w:r w:rsidR="00196F2E" w:rsidRPr="00DE12A3">
        <w:rPr>
          <w:rFonts w:eastAsia="Times New Roman" w:cs="Times New Roman"/>
          <w:b/>
          <w:bCs/>
          <w:iCs/>
          <w:color w:val="auto"/>
          <w:lang w:val="fr-FR"/>
        </w:rPr>
        <w:t>Ham egzoz gazı içindeki karbon akış hızı (konum 2)</w:t>
      </w:r>
    </w:p>
    <w:p w14:paraId="6C1FA83A" w14:textId="657E2F6B" w:rsidR="00196F2E" w:rsidRPr="00DE12A3" w:rsidRDefault="00196F2E" w:rsidP="00C917D6">
      <w:pPr>
        <w:spacing w:before="120" w:after="120"/>
        <w:ind w:left="1134" w:hanging="1134"/>
        <w:rPr>
          <w:rFonts w:eastAsia="Times New Roman" w:cs="Times New Roman"/>
          <w:b/>
          <w:iCs/>
          <w:color w:val="auto"/>
          <w:lang w:val="fr-FR"/>
        </w:rPr>
      </w:pPr>
      <w:r w:rsidRPr="00DE12A3">
        <w:rPr>
          <w:rFonts w:eastAsia="Times New Roman" w:cs="Times New Roman"/>
          <w:b/>
          <w:iCs/>
          <w:color w:val="auto"/>
          <w:lang w:val="fr-FR"/>
        </w:rPr>
        <w:t>3.1.</w:t>
      </w:r>
      <w:r w:rsidR="005512D7" w:rsidRPr="00DE12A3">
        <w:rPr>
          <w:rFonts w:eastAsia="Times New Roman" w:cs="Times New Roman"/>
          <w:b/>
          <w:iCs/>
          <w:color w:val="auto"/>
          <w:lang w:val="fr-FR"/>
        </w:rPr>
        <w:t xml:space="preserve"> </w:t>
      </w:r>
      <w:r w:rsidRPr="00DE12A3">
        <w:rPr>
          <w:rFonts w:eastAsia="Times New Roman" w:cs="Times New Roman"/>
          <w:iCs/>
          <w:color w:val="auto"/>
          <w:lang w:val="fr-FR"/>
        </w:rPr>
        <w:t>CO</w:t>
      </w:r>
      <w:r w:rsidRPr="00DE12A3">
        <w:rPr>
          <w:rFonts w:eastAsia="Times New Roman" w:cs="Times New Roman"/>
          <w:iCs/>
          <w:color w:val="auto"/>
          <w:vertAlign w:val="subscript"/>
          <w:lang w:val="fr-FR"/>
        </w:rPr>
        <w:t>2</w:t>
      </w:r>
      <w:r w:rsidRPr="00DE12A3">
        <w:rPr>
          <w:rFonts w:eastAsia="Times New Roman" w:cs="Times New Roman"/>
          <w:iCs/>
          <w:color w:val="auto"/>
          <w:lang w:val="fr-FR"/>
        </w:rPr>
        <w:t xml:space="preserve"> esasında</w:t>
      </w:r>
    </w:p>
    <w:p w14:paraId="1585B9E0" w14:textId="627EBC59" w:rsidR="009F4766" w:rsidRPr="00DE12A3" w:rsidRDefault="00196F2E" w:rsidP="005512D7">
      <w:pPr>
        <w:spacing w:before="120" w:after="120"/>
        <w:jc w:val="both"/>
        <w:rPr>
          <w:rFonts w:eastAsia="Times New Roman" w:cs="Times New Roman"/>
          <w:bCs/>
          <w:iCs/>
          <w:color w:val="auto"/>
          <w:lang w:val="fr-FR"/>
        </w:rPr>
      </w:pPr>
      <w:r w:rsidRPr="00DE12A3">
        <w:rPr>
          <w:rFonts w:eastAsia="Times New Roman" w:cs="Times New Roman"/>
          <w:bCs/>
          <w:iCs/>
          <w:color w:val="auto"/>
          <w:lang w:val="fr-FR"/>
        </w:rPr>
        <w:t>Motorun egzoz borusu içindeki karbon kütle akış hızı q</w:t>
      </w:r>
      <w:r w:rsidRPr="00DE12A3">
        <w:rPr>
          <w:rFonts w:eastAsia="Times New Roman" w:cs="Times New Roman"/>
          <w:bCs/>
          <w:iCs/>
          <w:color w:val="auto"/>
          <w:vertAlign w:val="subscript"/>
          <w:lang w:val="fr-FR"/>
        </w:rPr>
        <w:t>mCe</w:t>
      </w:r>
      <w:r w:rsidRPr="00DE12A3">
        <w:rPr>
          <w:rFonts w:eastAsia="Times New Roman" w:cs="Times New Roman"/>
          <w:bCs/>
          <w:iCs/>
          <w:color w:val="auto"/>
          <w:lang w:val="fr-FR"/>
        </w:rPr>
        <w:t xml:space="preserve"> [kg/s], ham CO</w:t>
      </w:r>
      <w:r w:rsidRPr="00DE12A3">
        <w:rPr>
          <w:rFonts w:eastAsia="Times New Roman" w:cs="Times New Roman"/>
          <w:bCs/>
          <w:iCs/>
          <w:color w:val="auto"/>
          <w:vertAlign w:val="subscript"/>
          <w:lang w:val="fr-FR"/>
        </w:rPr>
        <w:t>2</w:t>
      </w:r>
      <w:r w:rsidRPr="00DE12A3">
        <w:rPr>
          <w:rFonts w:eastAsia="Times New Roman" w:cs="Times New Roman"/>
          <w:bCs/>
          <w:iCs/>
          <w:color w:val="auto"/>
          <w:lang w:val="fr-FR"/>
        </w:rPr>
        <w:t xml:space="preserve"> konsantrasyonu ve egzoz gazı kütle akış hızı kullanılarak, (7-151) </w:t>
      </w:r>
      <w:r w:rsidR="005C6D9F" w:rsidRPr="00DE12A3">
        <w:rPr>
          <w:color w:val="auto"/>
        </w:rPr>
        <w:t>numaralı</w:t>
      </w:r>
      <w:r w:rsidR="005C6D9F" w:rsidRPr="00DE12A3" w:rsidDel="005C6D9F">
        <w:rPr>
          <w:rFonts w:eastAsia="Times New Roman" w:cs="Times New Roman"/>
          <w:bCs/>
          <w:iCs/>
          <w:color w:val="auto"/>
          <w:lang w:val="fr-FR"/>
        </w:rPr>
        <w:t xml:space="preserve"> </w:t>
      </w:r>
      <w:r w:rsidRPr="00DE12A3">
        <w:rPr>
          <w:rFonts w:eastAsia="Times New Roman" w:cs="Times New Roman"/>
          <w:bCs/>
          <w:iCs/>
          <w:color w:val="auto"/>
          <w:lang w:val="fr-FR"/>
        </w:rPr>
        <w:t>denklem ile belirlenmelidir :</w:t>
      </w:r>
    </w:p>
    <w:p w14:paraId="46388324" w14:textId="77777777" w:rsidR="00196F2E" w:rsidRPr="00DE12A3" w:rsidRDefault="00196F2E" w:rsidP="005512D7">
      <w:pPr>
        <w:spacing w:before="120" w:after="120"/>
        <w:jc w:val="both"/>
        <w:rPr>
          <w:rFonts w:cs="Times New Roman"/>
          <w:color w:val="auto"/>
        </w:rPr>
      </w:pPr>
    </w:p>
    <w:p w14:paraId="010BE1D6" w14:textId="77777777" w:rsidR="00196F2E" w:rsidRPr="00DE12A3" w:rsidRDefault="00196F2E" w:rsidP="005512D7">
      <w:pPr>
        <w:spacing w:before="120" w:after="120"/>
        <w:jc w:val="both"/>
        <w:rPr>
          <w:rFonts w:cs="Times New Roman"/>
          <w:color w:val="auto"/>
        </w:rPr>
      </w:pPr>
    </w:p>
    <w:tbl>
      <w:tblPr>
        <w:tblW w:w="7229" w:type="dxa"/>
        <w:tblInd w:w="2182" w:type="dxa"/>
        <w:tblLayout w:type="fixed"/>
        <w:tblLook w:val="0000" w:firstRow="0" w:lastRow="0" w:firstColumn="0" w:lastColumn="0" w:noHBand="0" w:noVBand="0"/>
      </w:tblPr>
      <w:tblGrid>
        <w:gridCol w:w="5783"/>
        <w:gridCol w:w="1446"/>
      </w:tblGrid>
      <w:tr w:rsidR="009F4766" w:rsidRPr="00DE12A3" w14:paraId="7B9EDCE4" w14:textId="77777777" w:rsidTr="001A234D">
        <w:trPr>
          <w:trHeight w:val="1347"/>
        </w:trPr>
        <w:tc>
          <w:tcPr>
            <w:tcW w:w="5783" w:type="dxa"/>
          </w:tcPr>
          <w:p w14:paraId="3FE3757B" w14:textId="2AC2C668" w:rsidR="009F4766" w:rsidRPr="00DE12A3" w:rsidRDefault="009F4766" w:rsidP="00C917D6">
            <w:pPr>
              <w:pStyle w:val="NormalLeft"/>
            </w:pPr>
            <w:r w:rsidRPr="00DE12A3">
              <w:rPr>
                <w:noProof/>
                <w:lang w:val="tr-TR"/>
              </w:rPr>
              <w:drawing>
                <wp:inline distT="0" distB="0" distL="0" distR="0" wp14:anchorId="0F0F84C1" wp14:editId="6164AC04">
                  <wp:extent cx="3352800" cy="680085"/>
                  <wp:effectExtent l="0" t="0" r="0" b="5715"/>
                  <wp:docPr id="2442" name="Resim 24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222">
                            <a:extLst>
                              <a:ext uri="{28A0092B-C50C-407E-A947-70E740481C1C}">
                                <a14:useLocalDpi xmlns:a14="http://schemas.microsoft.com/office/drawing/2010/main" val="0"/>
                              </a:ext>
                            </a:extLst>
                          </a:blip>
                          <a:srcRect/>
                          <a:stretch>
                            <a:fillRect/>
                          </a:stretch>
                        </pic:blipFill>
                        <pic:spPr bwMode="auto">
                          <a:xfrm>
                            <a:off x="0" y="0"/>
                            <a:ext cx="3365159" cy="682592"/>
                          </a:xfrm>
                          <a:prstGeom prst="rect">
                            <a:avLst/>
                          </a:prstGeom>
                          <a:noFill/>
                          <a:ln>
                            <a:noFill/>
                          </a:ln>
                        </pic:spPr>
                      </pic:pic>
                    </a:graphicData>
                  </a:graphic>
                </wp:inline>
              </w:drawing>
            </w:r>
          </w:p>
        </w:tc>
        <w:tc>
          <w:tcPr>
            <w:tcW w:w="1446" w:type="dxa"/>
          </w:tcPr>
          <w:p w14:paraId="141EC601" w14:textId="77777777" w:rsidR="009F4766" w:rsidRPr="00DE12A3" w:rsidRDefault="009F4766" w:rsidP="00C917D6">
            <w:pPr>
              <w:pStyle w:val="NormalLeft"/>
            </w:pPr>
            <w:r w:rsidRPr="00DE12A3">
              <w:t>(7-151)</w:t>
            </w:r>
          </w:p>
        </w:tc>
      </w:tr>
    </w:tbl>
    <w:p w14:paraId="188D1071" w14:textId="77777777" w:rsidR="009F4766" w:rsidRPr="00DE12A3" w:rsidRDefault="009F4766" w:rsidP="00C917D6">
      <w:pPr>
        <w:spacing w:before="120" w:after="120"/>
        <w:rPr>
          <w:rFonts w:cs="Times New Roman"/>
          <w:color w:val="auto"/>
        </w:rPr>
      </w:pPr>
    </w:p>
    <w:p w14:paraId="76BC6B08" w14:textId="77777777" w:rsidR="009F4766" w:rsidRPr="00DE12A3" w:rsidRDefault="008B3D9F" w:rsidP="00C917D6">
      <w:pPr>
        <w:spacing w:before="120" w:after="120"/>
        <w:rPr>
          <w:rFonts w:cs="Times New Roman"/>
          <w:color w:val="auto"/>
        </w:rPr>
      </w:pPr>
      <w:r w:rsidRPr="00DE12A3">
        <w:rPr>
          <w:rFonts w:cs="Times New Roman"/>
          <w:color w:val="auto"/>
        </w:rPr>
        <w:t>Burada</w:t>
      </w:r>
      <w:r w:rsidR="009F4766" w:rsidRPr="00DE12A3">
        <w:rPr>
          <w:rFonts w:cs="Times New Roman"/>
          <w:color w:val="auto"/>
        </w:rPr>
        <w:t>:</w:t>
      </w:r>
    </w:p>
    <w:tbl>
      <w:tblPr>
        <w:tblW w:w="0" w:type="auto"/>
        <w:tblInd w:w="1300" w:type="dxa"/>
        <w:tblLayout w:type="fixed"/>
        <w:tblLook w:val="0000" w:firstRow="0" w:lastRow="0" w:firstColumn="0" w:lastColumn="0" w:noHBand="0" w:noVBand="0"/>
      </w:tblPr>
      <w:tblGrid>
        <w:gridCol w:w="1070"/>
        <w:gridCol w:w="601"/>
        <w:gridCol w:w="5015"/>
      </w:tblGrid>
      <w:tr w:rsidR="00DE12A3" w:rsidRPr="00DE12A3" w14:paraId="645AD2CB" w14:textId="77777777" w:rsidTr="006D7ADF">
        <w:tc>
          <w:tcPr>
            <w:tcW w:w="1070" w:type="dxa"/>
          </w:tcPr>
          <w:p w14:paraId="356303A6" w14:textId="77777777" w:rsidR="00196F2E" w:rsidRPr="00DE12A3" w:rsidRDefault="00196F2E" w:rsidP="00C917D6">
            <w:pPr>
              <w:pStyle w:val="NormalLeft"/>
            </w:pPr>
            <w:r w:rsidRPr="00DE12A3">
              <w:rPr>
                <w:i/>
                <w:iCs/>
              </w:rPr>
              <w:t>c</w:t>
            </w:r>
            <w:r w:rsidRPr="00DE12A3">
              <w:rPr>
                <w:vertAlign w:val="subscript"/>
              </w:rPr>
              <w:t>CO2,r</w:t>
            </w:r>
          </w:p>
        </w:tc>
        <w:tc>
          <w:tcPr>
            <w:tcW w:w="601" w:type="dxa"/>
          </w:tcPr>
          <w:p w14:paraId="328FC6F4" w14:textId="77777777" w:rsidR="00196F2E" w:rsidRPr="00DE12A3" w:rsidRDefault="00196F2E" w:rsidP="00C917D6">
            <w:pPr>
              <w:pStyle w:val="NormalLeft"/>
            </w:pPr>
            <w:r w:rsidRPr="00DE12A3">
              <w:t>=</w:t>
            </w:r>
          </w:p>
        </w:tc>
        <w:tc>
          <w:tcPr>
            <w:tcW w:w="5015" w:type="dxa"/>
          </w:tcPr>
          <w:p w14:paraId="50D05BB3" w14:textId="307F6C86" w:rsidR="00196F2E" w:rsidRPr="00DE12A3" w:rsidRDefault="006D7ADF" w:rsidP="00C917D6">
            <w:pPr>
              <w:spacing w:before="120" w:after="120"/>
              <w:rPr>
                <w:rFonts w:cs="Times New Roman"/>
                <w:color w:val="auto"/>
              </w:rPr>
            </w:pPr>
            <w:r w:rsidRPr="00DE12A3">
              <w:rPr>
                <w:rFonts w:cs="Times New Roman"/>
                <w:color w:val="auto"/>
              </w:rPr>
              <w:t>Ham</w:t>
            </w:r>
            <w:r w:rsidR="00196F2E" w:rsidRPr="00DE12A3">
              <w:rPr>
                <w:rFonts w:cs="Times New Roman"/>
                <w:color w:val="auto"/>
              </w:rPr>
              <w:t xml:space="preserve"> egzoz gazı içindeki yaş CO2 konsantrasyonu [%]</w:t>
            </w:r>
          </w:p>
        </w:tc>
      </w:tr>
      <w:tr w:rsidR="00DE12A3" w:rsidRPr="00DE12A3" w14:paraId="36FF7001" w14:textId="77777777" w:rsidTr="006D7ADF">
        <w:tc>
          <w:tcPr>
            <w:tcW w:w="1070" w:type="dxa"/>
          </w:tcPr>
          <w:p w14:paraId="0B559DC0" w14:textId="77777777" w:rsidR="00196F2E" w:rsidRPr="00DE12A3" w:rsidRDefault="00196F2E" w:rsidP="00C917D6">
            <w:pPr>
              <w:pStyle w:val="NormalLeft"/>
            </w:pPr>
            <w:r w:rsidRPr="00DE12A3">
              <w:rPr>
                <w:i/>
                <w:iCs/>
              </w:rPr>
              <w:t>c</w:t>
            </w:r>
            <w:r w:rsidRPr="00DE12A3">
              <w:rPr>
                <w:vertAlign w:val="subscript"/>
              </w:rPr>
              <w:t>CO2,a</w:t>
            </w:r>
          </w:p>
        </w:tc>
        <w:tc>
          <w:tcPr>
            <w:tcW w:w="601" w:type="dxa"/>
          </w:tcPr>
          <w:p w14:paraId="6E9186B8" w14:textId="77777777" w:rsidR="00196F2E" w:rsidRPr="00DE12A3" w:rsidRDefault="00196F2E" w:rsidP="00C917D6">
            <w:pPr>
              <w:pStyle w:val="NormalLeft"/>
            </w:pPr>
            <w:r w:rsidRPr="00DE12A3">
              <w:t>=</w:t>
            </w:r>
          </w:p>
        </w:tc>
        <w:tc>
          <w:tcPr>
            <w:tcW w:w="5015" w:type="dxa"/>
          </w:tcPr>
          <w:p w14:paraId="5FEA34FB" w14:textId="13F0E4F7" w:rsidR="00196F2E" w:rsidRPr="00DE12A3" w:rsidRDefault="006D7ADF" w:rsidP="00C917D6">
            <w:pPr>
              <w:spacing w:before="120" w:after="120"/>
              <w:rPr>
                <w:rFonts w:cs="Times New Roman"/>
                <w:color w:val="auto"/>
              </w:rPr>
            </w:pPr>
            <w:r w:rsidRPr="00DE12A3">
              <w:rPr>
                <w:rFonts w:cs="Times New Roman"/>
                <w:color w:val="auto"/>
              </w:rPr>
              <w:t>Ortam</w:t>
            </w:r>
            <w:r w:rsidR="00196F2E" w:rsidRPr="00DE12A3">
              <w:rPr>
                <w:rFonts w:cs="Times New Roman"/>
                <w:color w:val="auto"/>
              </w:rPr>
              <w:t xml:space="preserve"> havası içindeki yaş CO2 konsantrasyonu [%]</w:t>
            </w:r>
          </w:p>
        </w:tc>
      </w:tr>
      <w:tr w:rsidR="00DE12A3" w:rsidRPr="00DE12A3" w14:paraId="7818A36A" w14:textId="77777777" w:rsidTr="006D7ADF">
        <w:tc>
          <w:tcPr>
            <w:tcW w:w="1070" w:type="dxa"/>
          </w:tcPr>
          <w:p w14:paraId="0078A2A5" w14:textId="77777777" w:rsidR="00196F2E" w:rsidRPr="00DE12A3" w:rsidRDefault="00196F2E" w:rsidP="00C917D6">
            <w:pPr>
              <w:pStyle w:val="NormalLeft"/>
            </w:pPr>
            <w:r w:rsidRPr="00DE12A3">
              <w:rPr>
                <w:i/>
                <w:iCs/>
              </w:rPr>
              <w:t>q</w:t>
            </w:r>
            <w:r w:rsidRPr="00DE12A3">
              <w:rPr>
                <w:i/>
                <w:iCs/>
                <w:vertAlign w:val="subscript"/>
              </w:rPr>
              <w:t>m</w:t>
            </w:r>
            <w:r w:rsidRPr="00DE12A3">
              <w:rPr>
                <w:vertAlign w:val="subscript"/>
              </w:rPr>
              <w:t>ew</w:t>
            </w:r>
          </w:p>
        </w:tc>
        <w:tc>
          <w:tcPr>
            <w:tcW w:w="601" w:type="dxa"/>
          </w:tcPr>
          <w:p w14:paraId="2F0443F9" w14:textId="77777777" w:rsidR="00196F2E" w:rsidRPr="00DE12A3" w:rsidRDefault="00196F2E" w:rsidP="00C917D6">
            <w:pPr>
              <w:pStyle w:val="NormalLeft"/>
            </w:pPr>
            <w:r w:rsidRPr="00DE12A3">
              <w:t>=</w:t>
            </w:r>
          </w:p>
        </w:tc>
        <w:tc>
          <w:tcPr>
            <w:tcW w:w="5015" w:type="dxa"/>
          </w:tcPr>
          <w:p w14:paraId="51B06B7E" w14:textId="7C68C388" w:rsidR="00196F2E" w:rsidRPr="00DE12A3" w:rsidRDefault="006D7ADF" w:rsidP="00C917D6">
            <w:pPr>
              <w:spacing w:before="120" w:after="120"/>
              <w:rPr>
                <w:rFonts w:cs="Times New Roman"/>
                <w:color w:val="auto"/>
              </w:rPr>
            </w:pPr>
            <w:r w:rsidRPr="00DE12A3">
              <w:rPr>
                <w:rFonts w:cs="Times New Roman"/>
                <w:color w:val="auto"/>
              </w:rPr>
              <w:t>Yaş</w:t>
            </w:r>
            <w:r w:rsidR="00196F2E" w:rsidRPr="00DE12A3">
              <w:rPr>
                <w:rFonts w:cs="Times New Roman"/>
                <w:color w:val="auto"/>
              </w:rPr>
              <w:t xml:space="preserve"> bazda egzoz gazı kütle akış hızı [kg/s]</w:t>
            </w:r>
          </w:p>
        </w:tc>
      </w:tr>
      <w:tr w:rsidR="00196F2E" w:rsidRPr="00DE12A3" w14:paraId="15C5899E" w14:textId="77777777" w:rsidTr="006D7ADF">
        <w:tc>
          <w:tcPr>
            <w:tcW w:w="1070" w:type="dxa"/>
          </w:tcPr>
          <w:p w14:paraId="64420B8C" w14:textId="77777777" w:rsidR="00196F2E" w:rsidRPr="00DE12A3" w:rsidRDefault="00196F2E" w:rsidP="00C917D6">
            <w:pPr>
              <w:pStyle w:val="NormalLeft"/>
            </w:pPr>
            <w:r w:rsidRPr="00DE12A3">
              <w:rPr>
                <w:i/>
                <w:iCs/>
              </w:rPr>
              <w:t>M</w:t>
            </w:r>
            <w:r w:rsidRPr="00DE12A3">
              <w:rPr>
                <w:vertAlign w:val="subscript"/>
              </w:rPr>
              <w:t>e</w:t>
            </w:r>
          </w:p>
        </w:tc>
        <w:tc>
          <w:tcPr>
            <w:tcW w:w="601" w:type="dxa"/>
          </w:tcPr>
          <w:p w14:paraId="54C1E561" w14:textId="77777777" w:rsidR="00196F2E" w:rsidRPr="00DE12A3" w:rsidRDefault="00196F2E" w:rsidP="00C917D6">
            <w:pPr>
              <w:pStyle w:val="NormalLeft"/>
            </w:pPr>
            <w:r w:rsidRPr="00DE12A3">
              <w:t>=</w:t>
            </w:r>
          </w:p>
        </w:tc>
        <w:tc>
          <w:tcPr>
            <w:tcW w:w="5015" w:type="dxa"/>
          </w:tcPr>
          <w:p w14:paraId="2D89AD2E" w14:textId="6C69FB48" w:rsidR="00196F2E" w:rsidRPr="00DE12A3" w:rsidRDefault="006D7ADF" w:rsidP="00C917D6">
            <w:pPr>
              <w:spacing w:before="120" w:after="120"/>
              <w:rPr>
                <w:rFonts w:cs="Times New Roman"/>
                <w:color w:val="auto"/>
              </w:rPr>
            </w:pPr>
            <w:r w:rsidRPr="00DE12A3">
              <w:rPr>
                <w:rFonts w:cs="Times New Roman"/>
                <w:color w:val="auto"/>
              </w:rPr>
              <w:t>Egzoz</w:t>
            </w:r>
            <w:r w:rsidR="00196F2E" w:rsidRPr="00DE12A3">
              <w:rPr>
                <w:rFonts w:cs="Times New Roman"/>
                <w:color w:val="auto"/>
              </w:rPr>
              <w:t xml:space="preserve"> gazının molar kütlesi [g/mol]</w:t>
            </w:r>
          </w:p>
        </w:tc>
      </w:tr>
    </w:tbl>
    <w:p w14:paraId="563D25F3" w14:textId="77777777" w:rsidR="009F4766" w:rsidRPr="00DE12A3" w:rsidRDefault="009F4766" w:rsidP="00C917D6">
      <w:pPr>
        <w:spacing w:before="120" w:after="120"/>
        <w:rPr>
          <w:rFonts w:cs="Times New Roman"/>
          <w:color w:val="auto"/>
        </w:rPr>
      </w:pPr>
    </w:p>
    <w:p w14:paraId="02E5B3EC" w14:textId="04CF5570" w:rsidR="00196F2E" w:rsidRPr="00DE12A3" w:rsidRDefault="00196F2E" w:rsidP="007B1175">
      <w:pPr>
        <w:jc w:val="both"/>
        <w:rPr>
          <w:i/>
          <w:iCs/>
          <w:color w:val="auto"/>
          <w:lang w:val="en-US"/>
        </w:rPr>
      </w:pPr>
      <w:r w:rsidRPr="00DE12A3">
        <w:rPr>
          <w:color w:val="auto"/>
          <w:lang w:val="en-US"/>
        </w:rPr>
        <w:t>CO</w:t>
      </w:r>
      <w:r w:rsidRPr="00DE12A3">
        <w:rPr>
          <w:color w:val="auto"/>
          <w:vertAlign w:val="subscript"/>
          <w:lang w:val="en-US"/>
        </w:rPr>
        <w:t>2</w:t>
      </w:r>
      <w:r w:rsidRPr="00DE12A3">
        <w:rPr>
          <w:color w:val="auto"/>
          <w:lang w:val="en-US"/>
        </w:rPr>
        <w:t xml:space="preserve"> kuru bazda ölçülürse, </w:t>
      </w:r>
      <w:r w:rsidR="00592B0C" w:rsidRPr="00DE12A3">
        <w:rPr>
          <w:color w:val="auto"/>
          <w:lang w:val="en-US"/>
        </w:rPr>
        <w:t xml:space="preserve">bu Ekin </w:t>
      </w:r>
      <w:r w:rsidRPr="00DE12A3">
        <w:rPr>
          <w:color w:val="auto"/>
          <w:lang w:val="en-US"/>
        </w:rPr>
        <w:t>2.1.3 bendi veya 3.5.2 bendi uyarınca yaş baza dönüştürülmelidir.</w:t>
      </w:r>
    </w:p>
    <w:p w14:paraId="413413A4" w14:textId="77777777" w:rsidR="00196F2E" w:rsidRPr="00DE12A3" w:rsidRDefault="00196F2E" w:rsidP="004940FF">
      <w:pPr>
        <w:rPr>
          <w:color w:val="auto"/>
        </w:rPr>
      </w:pPr>
    </w:p>
    <w:p w14:paraId="05E2492F" w14:textId="622115B6" w:rsidR="00196F2E" w:rsidRPr="00DE12A3" w:rsidRDefault="00196F2E" w:rsidP="005512D7">
      <w:pPr>
        <w:rPr>
          <w:bCs/>
          <w:i/>
          <w:color w:val="auto"/>
        </w:rPr>
      </w:pPr>
      <w:r w:rsidRPr="00DE12A3">
        <w:rPr>
          <w:bCs/>
          <w:color w:val="auto"/>
        </w:rPr>
        <w:t>3.2.</w:t>
      </w:r>
      <w:r w:rsidR="005512D7" w:rsidRPr="00DE12A3">
        <w:rPr>
          <w:bCs/>
          <w:color w:val="auto"/>
        </w:rPr>
        <w:t xml:space="preserve"> </w:t>
      </w:r>
      <w:r w:rsidRPr="00DE12A3">
        <w:rPr>
          <w:bCs/>
          <w:color w:val="auto"/>
        </w:rPr>
        <w:t>CO</w:t>
      </w:r>
      <w:r w:rsidRPr="00DE12A3">
        <w:rPr>
          <w:bCs/>
          <w:color w:val="auto"/>
          <w:vertAlign w:val="subscript"/>
        </w:rPr>
        <w:t>2</w:t>
      </w:r>
      <w:r w:rsidRPr="00DE12A3">
        <w:rPr>
          <w:bCs/>
          <w:color w:val="auto"/>
        </w:rPr>
        <w:t>, HC ve CO esasında</w:t>
      </w:r>
    </w:p>
    <w:p w14:paraId="5AFEC0D1" w14:textId="77777777" w:rsidR="005512D7" w:rsidRPr="00DE12A3" w:rsidRDefault="005512D7" w:rsidP="005512D7">
      <w:pPr>
        <w:jc w:val="both"/>
        <w:rPr>
          <w:color w:val="auto"/>
        </w:rPr>
      </w:pPr>
    </w:p>
    <w:p w14:paraId="551E48F2" w14:textId="330C9F77" w:rsidR="00196F2E" w:rsidRPr="00DE12A3" w:rsidRDefault="00196F2E" w:rsidP="005512D7">
      <w:pPr>
        <w:jc w:val="both"/>
        <w:rPr>
          <w:i/>
          <w:color w:val="auto"/>
        </w:rPr>
      </w:pPr>
      <w:r w:rsidRPr="00DE12A3">
        <w:rPr>
          <w:color w:val="auto"/>
        </w:rPr>
        <w:t>Sadece 3.1 bendindeki CO</w:t>
      </w:r>
      <w:r w:rsidRPr="00DE12A3">
        <w:rPr>
          <w:color w:val="auto"/>
          <w:vertAlign w:val="subscript"/>
        </w:rPr>
        <w:t>2</w:t>
      </w:r>
      <w:r w:rsidRPr="00DE12A3">
        <w:rPr>
          <w:color w:val="auto"/>
        </w:rPr>
        <w:t xml:space="preserve"> esaslı hesaplamanın yapılmasına bir alternatif olarak, motorun egzoz borusu içindeki karbon kütle akış hızı q</w:t>
      </w:r>
      <w:r w:rsidRPr="00DE12A3">
        <w:rPr>
          <w:color w:val="auto"/>
          <w:vertAlign w:val="subscript"/>
        </w:rPr>
        <w:t>mCe</w:t>
      </w:r>
      <w:r w:rsidRPr="00DE12A3">
        <w:rPr>
          <w:color w:val="auto"/>
        </w:rPr>
        <w:t xml:space="preserve"> [kg/s], ham CO</w:t>
      </w:r>
      <w:r w:rsidRPr="00DE12A3">
        <w:rPr>
          <w:color w:val="auto"/>
          <w:vertAlign w:val="subscript"/>
        </w:rPr>
        <w:t xml:space="preserve">2 </w:t>
      </w:r>
      <w:r w:rsidRPr="00DE12A3">
        <w:rPr>
          <w:color w:val="auto"/>
        </w:rPr>
        <w:t xml:space="preserve">konsantrasyonu ve egzoz gazı kütle akış hızı kullanılarak, (7-152) </w:t>
      </w:r>
      <w:r w:rsidR="005C6D9F" w:rsidRPr="00DE12A3">
        <w:rPr>
          <w:color w:val="auto"/>
        </w:rPr>
        <w:t>numaralı</w:t>
      </w:r>
      <w:r w:rsidR="005C6D9F" w:rsidRPr="00DE12A3" w:rsidDel="005C6D9F">
        <w:rPr>
          <w:color w:val="auto"/>
        </w:rPr>
        <w:t xml:space="preserve"> </w:t>
      </w:r>
      <w:r w:rsidRPr="00DE12A3">
        <w:rPr>
          <w:color w:val="auto"/>
        </w:rPr>
        <w:t>denklem ile belirlenmelidir:</w:t>
      </w:r>
    </w:p>
    <w:p w14:paraId="05E14096" w14:textId="77777777" w:rsidR="00196F2E" w:rsidRPr="00DE12A3" w:rsidRDefault="00196F2E" w:rsidP="00C917D6">
      <w:pPr>
        <w:spacing w:before="120" w:after="120"/>
        <w:rPr>
          <w:rFonts w:cs="Times New Roman"/>
          <w:color w:val="auto"/>
        </w:rPr>
      </w:pPr>
    </w:p>
    <w:tbl>
      <w:tblPr>
        <w:tblW w:w="9242" w:type="dxa"/>
        <w:tblInd w:w="464" w:type="dxa"/>
        <w:tblLayout w:type="fixed"/>
        <w:tblLook w:val="0000" w:firstRow="0" w:lastRow="0" w:firstColumn="0" w:lastColumn="0" w:noHBand="0" w:noVBand="0"/>
      </w:tblPr>
      <w:tblGrid>
        <w:gridCol w:w="8134"/>
        <w:gridCol w:w="1108"/>
      </w:tblGrid>
      <w:tr w:rsidR="009F4766" w:rsidRPr="00DE12A3" w14:paraId="1893C262" w14:textId="77777777" w:rsidTr="001A234D">
        <w:trPr>
          <w:trHeight w:val="1384"/>
        </w:trPr>
        <w:tc>
          <w:tcPr>
            <w:tcW w:w="8134" w:type="dxa"/>
          </w:tcPr>
          <w:p w14:paraId="2D7777B6" w14:textId="0443E26F" w:rsidR="009F4766" w:rsidRPr="00DE12A3" w:rsidRDefault="009F4766" w:rsidP="00C917D6">
            <w:pPr>
              <w:pStyle w:val="NormalLeft"/>
            </w:pPr>
            <w:r w:rsidRPr="00DE12A3">
              <w:rPr>
                <w:noProof/>
                <w:lang w:val="tr-TR"/>
              </w:rPr>
              <w:lastRenderedPageBreak/>
              <w:drawing>
                <wp:inline distT="0" distB="0" distL="0" distR="0" wp14:anchorId="6E27EF5D" wp14:editId="0D16C1CB">
                  <wp:extent cx="4771488" cy="680085"/>
                  <wp:effectExtent l="0" t="0" r="0" b="5715"/>
                  <wp:docPr id="2441" name="Resim 24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223">
                            <a:extLst>
                              <a:ext uri="{28A0092B-C50C-407E-A947-70E740481C1C}">
                                <a14:useLocalDpi xmlns:a14="http://schemas.microsoft.com/office/drawing/2010/main" val="0"/>
                              </a:ext>
                            </a:extLst>
                          </a:blip>
                          <a:srcRect/>
                          <a:stretch>
                            <a:fillRect/>
                          </a:stretch>
                        </pic:blipFill>
                        <pic:spPr bwMode="auto">
                          <a:xfrm>
                            <a:off x="0" y="0"/>
                            <a:ext cx="4792586" cy="683092"/>
                          </a:xfrm>
                          <a:prstGeom prst="rect">
                            <a:avLst/>
                          </a:prstGeom>
                          <a:noFill/>
                          <a:ln>
                            <a:noFill/>
                          </a:ln>
                        </pic:spPr>
                      </pic:pic>
                    </a:graphicData>
                  </a:graphic>
                </wp:inline>
              </w:drawing>
            </w:r>
          </w:p>
        </w:tc>
        <w:tc>
          <w:tcPr>
            <w:tcW w:w="1108" w:type="dxa"/>
          </w:tcPr>
          <w:p w14:paraId="5B3843F4" w14:textId="77777777" w:rsidR="009F4766" w:rsidRPr="00DE12A3" w:rsidRDefault="009F4766" w:rsidP="00C917D6">
            <w:pPr>
              <w:pStyle w:val="NormalLeft"/>
            </w:pPr>
            <w:r w:rsidRPr="00DE12A3">
              <w:t>(7-152)</w:t>
            </w:r>
          </w:p>
        </w:tc>
      </w:tr>
    </w:tbl>
    <w:p w14:paraId="7794DBCD" w14:textId="77777777" w:rsidR="00196F2E" w:rsidRPr="00DE12A3" w:rsidRDefault="00196F2E" w:rsidP="00C917D6">
      <w:pPr>
        <w:spacing w:before="120" w:after="120"/>
        <w:rPr>
          <w:rFonts w:cs="Times New Roman"/>
          <w:color w:val="auto"/>
        </w:rPr>
      </w:pPr>
    </w:p>
    <w:p w14:paraId="24C13C23" w14:textId="77777777" w:rsidR="009F4766" w:rsidRPr="00DE12A3" w:rsidRDefault="008B3D9F" w:rsidP="00C917D6">
      <w:pPr>
        <w:spacing w:before="120" w:after="120"/>
        <w:ind w:left="1134"/>
        <w:rPr>
          <w:rFonts w:cs="Times New Roman"/>
          <w:color w:val="auto"/>
        </w:rPr>
      </w:pPr>
      <w:r w:rsidRPr="00DE12A3">
        <w:rPr>
          <w:rFonts w:cs="Times New Roman"/>
          <w:color w:val="auto"/>
        </w:rPr>
        <w:t>Burada</w:t>
      </w:r>
      <w:r w:rsidR="009F4766" w:rsidRPr="00DE12A3">
        <w:rPr>
          <w:rFonts w:cs="Times New Roman"/>
          <w:color w:val="auto"/>
        </w:rPr>
        <w:t>:</w:t>
      </w:r>
    </w:p>
    <w:tbl>
      <w:tblPr>
        <w:tblW w:w="0" w:type="auto"/>
        <w:tblInd w:w="1242" w:type="dxa"/>
        <w:tblLayout w:type="fixed"/>
        <w:tblLook w:val="0000" w:firstRow="0" w:lastRow="0" w:firstColumn="0" w:lastColumn="0" w:noHBand="0" w:noVBand="0"/>
      </w:tblPr>
      <w:tblGrid>
        <w:gridCol w:w="1328"/>
        <w:gridCol w:w="572"/>
        <w:gridCol w:w="5076"/>
      </w:tblGrid>
      <w:tr w:rsidR="00DE12A3" w:rsidRPr="00DE12A3" w14:paraId="70A12F50" w14:textId="77777777" w:rsidTr="006D7ADF">
        <w:tc>
          <w:tcPr>
            <w:tcW w:w="1328" w:type="dxa"/>
          </w:tcPr>
          <w:p w14:paraId="242CDD83" w14:textId="77777777" w:rsidR="009F4766" w:rsidRPr="00DE12A3" w:rsidRDefault="009F4766" w:rsidP="00C917D6">
            <w:pPr>
              <w:pStyle w:val="NormalLeft"/>
            </w:pPr>
            <w:r w:rsidRPr="00DE12A3">
              <w:rPr>
                <w:i/>
                <w:iCs/>
              </w:rPr>
              <w:t>c</w:t>
            </w:r>
            <w:r w:rsidRPr="00DE12A3">
              <w:rPr>
                <w:vertAlign w:val="subscript"/>
              </w:rPr>
              <w:t>CO2,r</w:t>
            </w:r>
          </w:p>
        </w:tc>
        <w:tc>
          <w:tcPr>
            <w:tcW w:w="572" w:type="dxa"/>
          </w:tcPr>
          <w:p w14:paraId="683AB96A" w14:textId="77777777" w:rsidR="009F4766" w:rsidRPr="00DE12A3" w:rsidRDefault="009F4766" w:rsidP="00C917D6">
            <w:pPr>
              <w:pStyle w:val="NormalLeft"/>
            </w:pPr>
            <w:r w:rsidRPr="00DE12A3">
              <w:t>=</w:t>
            </w:r>
          </w:p>
        </w:tc>
        <w:tc>
          <w:tcPr>
            <w:tcW w:w="5076" w:type="dxa"/>
          </w:tcPr>
          <w:p w14:paraId="2FE7F4A5" w14:textId="073EAFB4" w:rsidR="009F4766" w:rsidRPr="00DE12A3" w:rsidRDefault="002F5BBD" w:rsidP="00C917D6">
            <w:pPr>
              <w:pStyle w:val="NormalLeft"/>
            </w:pPr>
            <w:r w:rsidRPr="00DE12A3">
              <w:t>Ham</w:t>
            </w:r>
            <w:r w:rsidR="002E059F" w:rsidRPr="00DE12A3">
              <w:t xml:space="preserve"> egzoz gazı içindeki yaş CO2 konsantrasyonu [%]</w:t>
            </w:r>
          </w:p>
        </w:tc>
      </w:tr>
      <w:tr w:rsidR="00DE12A3" w:rsidRPr="00DE12A3" w14:paraId="0FAE8A0C" w14:textId="77777777" w:rsidTr="006D7ADF">
        <w:tc>
          <w:tcPr>
            <w:tcW w:w="1328" w:type="dxa"/>
          </w:tcPr>
          <w:p w14:paraId="72A0F3F0" w14:textId="77777777" w:rsidR="009F4766" w:rsidRPr="00DE12A3" w:rsidRDefault="009F4766" w:rsidP="00C917D6">
            <w:pPr>
              <w:pStyle w:val="NormalLeft"/>
            </w:pPr>
            <w:r w:rsidRPr="00DE12A3">
              <w:rPr>
                <w:i/>
                <w:iCs/>
              </w:rPr>
              <w:t>c</w:t>
            </w:r>
            <w:r w:rsidRPr="00DE12A3">
              <w:rPr>
                <w:vertAlign w:val="subscript"/>
              </w:rPr>
              <w:t>CO2,a</w:t>
            </w:r>
          </w:p>
        </w:tc>
        <w:tc>
          <w:tcPr>
            <w:tcW w:w="572" w:type="dxa"/>
          </w:tcPr>
          <w:p w14:paraId="23BB4356" w14:textId="77777777" w:rsidR="009F4766" w:rsidRPr="00DE12A3" w:rsidRDefault="009F4766" w:rsidP="00C917D6">
            <w:pPr>
              <w:pStyle w:val="NormalLeft"/>
            </w:pPr>
            <w:r w:rsidRPr="00DE12A3">
              <w:t>=</w:t>
            </w:r>
          </w:p>
        </w:tc>
        <w:tc>
          <w:tcPr>
            <w:tcW w:w="5076" w:type="dxa"/>
          </w:tcPr>
          <w:p w14:paraId="62130B8A" w14:textId="65E009EE" w:rsidR="009F4766" w:rsidRPr="00DE12A3" w:rsidRDefault="002F5BBD" w:rsidP="00C917D6">
            <w:pPr>
              <w:pStyle w:val="NormalLeft"/>
            </w:pPr>
            <w:r w:rsidRPr="00DE12A3">
              <w:t>Ortam</w:t>
            </w:r>
            <w:r w:rsidR="002E059F" w:rsidRPr="00DE12A3">
              <w:t xml:space="preserve"> havası içindeki yaş CO2 konsantrasyonu [%]</w:t>
            </w:r>
          </w:p>
        </w:tc>
      </w:tr>
      <w:tr w:rsidR="00DE12A3" w:rsidRPr="00DE12A3" w14:paraId="69812D1C" w14:textId="77777777" w:rsidTr="006D7ADF">
        <w:tc>
          <w:tcPr>
            <w:tcW w:w="1328" w:type="dxa"/>
          </w:tcPr>
          <w:p w14:paraId="35F2AAD4" w14:textId="77777777" w:rsidR="009F4766" w:rsidRPr="00DE12A3" w:rsidRDefault="009F4766" w:rsidP="00C917D6">
            <w:pPr>
              <w:pStyle w:val="NormalLeft"/>
            </w:pPr>
            <w:r w:rsidRPr="00DE12A3">
              <w:rPr>
                <w:i/>
                <w:iCs/>
              </w:rPr>
              <w:t>c</w:t>
            </w:r>
            <w:r w:rsidRPr="00DE12A3">
              <w:rPr>
                <w:vertAlign w:val="subscript"/>
              </w:rPr>
              <w:t>THC(C1),r</w:t>
            </w:r>
          </w:p>
        </w:tc>
        <w:tc>
          <w:tcPr>
            <w:tcW w:w="572" w:type="dxa"/>
          </w:tcPr>
          <w:p w14:paraId="399050E5" w14:textId="77777777" w:rsidR="009F4766" w:rsidRPr="00DE12A3" w:rsidRDefault="009F4766" w:rsidP="00C917D6">
            <w:pPr>
              <w:pStyle w:val="NormalLeft"/>
            </w:pPr>
            <w:r w:rsidRPr="00DE12A3">
              <w:t>=</w:t>
            </w:r>
          </w:p>
        </w:tc>
        <w:tc>
          <w:tcPr>
            <w:tcW w:w="5076" w:type="dxa"/>
          </w:tcPr>
          <w:p w14:paraId="707C3EC6" w14:textId="4B0A3311" w:rsidR="009F4766" w:rsidRPr="00DE12A3" w:rsidRDefault="002F5BBD" w:rsidP="00C917D6">
            <w:pPr>
              <w:pStyle w:val="NormalLeft"/>
            </w:pPr>
            <w:r w:rsidRPr="00DE12A3">
              <w:t>Ham</w:t>
            </w:r>
            <w:r w:rsidR="002E059F" w:rsidRPr="00DE12A3">
              <w:t xml:space="preserve"> egzoz gazı içindeki THC(C1) konsantrasyonu [%]</w:t>
            </w:r>
          </w:p>
        </w:tc>
      </w:tr>
      <w:tr w:rsidR="00DE12A3" w:rsidRPr="00DE12A3" w14:paraId="07218CBD" w14:textId="77777777" w:rsidTr="006D7ADF">
        <w:tc>
          <w:tcPr>
            <w:tcW w:w="1328" w:type="dxa"/>
          </w:tcPr>
          <w:p w14:paraId="1BAC7CB1" w14:textId="77777777" w:rsidR="009F4766" w:rsidRPr="00DE12A3" w:rsidRDefault="009F4766" w:rsidP="00C917D6">
            <w:pPr>
              <w:pStyle w:val="NormalLeft"/>
            </w:pPr>
            <w:r w:rsidRPr="00DE12A3">
              <w:rPr>
                <w:i/>
                <w:iCs/>
              </w:rPr>
              <w:t>c</w:t>
            </w:r>
            <w:r w:rsidRPr="00DE12A3">
              <w:rPr>
                <w:vertAlign w:val="subscript"/>
              </w:rPr>
              <w:t>THC(C1),a</w:t>
            </w:r>
          </w:p>
        </w:tc>
        <w:tc>
          <w:tcPr>
            <w:tcW w:w="572" w:type="dxa"/>
          </w:tcPr>
          <w:p w14:paraId="43384CE5" w14:textId="77777777" w:rsidR="009F4766" w:rsidRPr="00DE12A3" w:rsidRDefault="009F4766" w:rsidP="00C917D6">
            <w:pPr>
              <w:pStyle w:val="NormalLeft"/>
            </w:pPr>
            <w:r w:rsidRPr="00DE12A3">
              <w:t>=</w:t>
            </w:r>
          </w:p>
        </w:tc>
        <w:tc>
          <w:tcPr>
            <w:tcW w:w="5076" w:type="dxa"/>
          </w:tcPr>
          <w:p w14:paraId="61EAC8AD" w14:textId="36C63765" w:rsidR="009F4766" w:rsidRPr="00DE12A3" w:rsidRDefault="002F5BBD" w:rsidP="00C917D6">
            <w:pPr>
              <w:pStyle w:val="NormalLeft"/>
            </w:pPr>
            <w:r w:rsidRPr="00DE12A3">
              <w:t>Ortam</w:t>
            </w:r>
            <w:r w:rsidR="002E059F" w:rsidRPr="00DE12A3">
              <w:t xml:space="preserve"> havası içindeki THC(C1) konsantrasyonu [%]</w:t>
            </w:r>
          </w:p>
        </w:tc>
      </w:tr>
      <w:tr w:rsidR="00DE12A3" w:rsidRPr="00DE12A3" w14:paraId="7619D759" w14:textId="77777777" w:rsidTr="006D7ADF">
        <w:tc>
          <w:tcPr>
            <w:tcW w:w="1328" w:type="dxa"/>
          </w:tcPr>
          <w:p w14:paraId="2D20D3C0" w14:textId="77777777" w:rsidR="009F4766" w:rsidRPr="00DE12A3" w:rsidRDefault="009F4766" w:rsidP="00C917D6">
            <w:pPr>
              <w:pStyle w:val="NormalLeft"/>
            </w:pPr>
            <w:r w:rsidRPr="00DE12A3">
              <w:rPr>
                <w:i/>
                <w:iCs/>
              </w:rPr>
              <w:t>c</w:t>
            </w:r>
            <w:r w:rsidRPr="00DE12A3">
              <w:rPr>
                <w:vertAlign w:val="subscript"/>
              </w:rPr>
              <w:t>CO,r</w:t>
            </w:r>
          </w:p>
        </w:tc>
        <w:tc>
          <w:tcPr>
            <w:tcW w:w="572" w:type="dxa"/>
          </w:tcPr>
          <w:p w14:paraId="5F684337" w14:textId="77777777" w:rsidR="009F4766" w:rsidRPr="00DE12A3" w:rsidRDefault="009F4766" w:rsidP="00C917D6">
            <w:pPr>
              <w:pStyle w:val="NormalLeft"/>
            </w:pPr>
            <w:r w:rsidRPr="00DE12A3">
              <w:t>=</w:t>
            </w:r>
          </w:p>
        </w:tc>
        <w:tc>
          <w:tcPr>
            <w:tcW w:w="5076" w:type="dxa"/>
          </w:tcPr>
          <w:p w14:paraId="3DE78659" w14:textId="7CE74E76" w:rsidR="009F4766" w:rsidRPr="00DE12A3" w:rsidRDefault="002F5BBD" w:rsidP="00C917D6">
            <w:pPr>
              <w:pStyle w:val="NormalLeft"/>
            </w:pPr>
            <w:r w:rsidRPr="00DE12A3">
              <w:t>Ham</w:t>
            </w:r>
            <w:r w:rsidR="002E059F" w:rsidRPr="00DE12A3">
              <w:t xml:space="preserve"> egzoz gazı içindeki yaş CO konsantrasyonu [%]</w:t>
            </w:r>
          </w:p>
        </w:tc>
      </w:tr>
      <w:tr w:rsidR="00DE12A3" w:rsidRPr="00DE12A3" w14:paraId="02703FF0" w14:textId="77777777" w:rsidTr="006D7ADF">
        <w:tc>
          <w:tcPr>
            <w:tcW w:w="1328" w:type="dxa"/>
          </w:tcPr>
          <w:p w14:paraId="58677B6C" w14:textId="77777777" w:rsidR="009F4766" w:rsidRPr="00DE12A3" w:rsidRDefault="009F4766" w:rsidP="00C917D6">
            <w:pPr>
              <w:pStyle w:val="NormalLeft"/>
            </w:pPr>
            <w:r w:rsidRPr="00DE12A3">
              <w:rPr>
                <w:i/>
                <w:iCs/>
              </w:rPr>
              <w:t>c</w:t>
            </w:r>
            <w:r w:rsidRPr="00DE12A3">
              <w:rPr>
                <w:vertAlign w:val="subscript"/>
              </w:rPr>
              <w:t>CO,a</w:t>
            </w:r>
          </w:p>
        </w:tc>
        <w:tc>
          <w:tcPr>
            <w:tcW w:w="572" w:type="dxa"/>
          </w:tcPr>
          <w:p w14:paraId="14F6D573" w14:textId="77777777" w:rsidR="009F4766" w:rsidRPr="00DE12A3" w:rsidRDefault="009F4766" w:rsidP="00C917D6">
            <w:pPr>
              <w:pStyle w:val="NormalLeft"/>
            </w:pPr>
            <w:r w:rsidRPr="00DE12A3">
              <w:t>=</w:t>
            </w:r>
          </w:p>
        </w:tc>
        <w:tc>
          <w:tcPr>
            <w:tcW w:w="5076" w:type="dxa"/>
          </w:tcPr>
          <w:p w14:paraId="5C674FE1" w14:textId="0D2D4099" w:rsidR="009F4766" w:rsidRPr="00DE12A3" w:rsidRDefault="002F5BBD" w:rsidP="00C917D6">
            <w:pPr>
              <w:pStyle w:val="NormalLeft"/>
            </w:pPr>
            <w:r w:rsidRPr="00DE12A3">
              <w:t>Ortam</w:t>
            </w:r>
            <w:r w:rsidR="002E059F" w:rsidRPr="00DE12A3">
              <w:t xml:space="preserve"> havası içindeki yaş CO2 konsantrasyonu [%]</w:t>
            </w:r>
          </w:p>
        </w:tc>
      </w:tr>
      <w:tr w:rsidR="00DE12A3" w:rsidRPr="00DE12A3" w14:paraId="6E922705" w14:textId="77777777" w:rsidTr="006D7ADF">
        <w:tc>
          <w:tcPr>
            <w:tcW w:w="1328" w:type="dxa"/>
          </w:tcPr>
          <w:p w14:paraId="27517B75" w14:textId="77777777" w:rsidR="009F4766" w:rsidRPr="00DE12A3" w:rsidRDefault="009F4766" w:rsidP="00C917D6">
            <w:pPr>
              <w:pStyle w:val="NormalLeft"/>
            </w:pPr>
            <w:r w:rsidRPr="00DE12A3">
              <w:rPr>
                <w:i/>
                <w:iCs/>
              </w:rPr>
              <w:t>q</w:t>
            </w:r>
            <w:r w:rsidRPr="00DE12A3">
              <w:rPr>
                <w:i/>
                <w:iCs/>
                <w:vertAlign w:val="subscript"/>
              </w:rPr>
              <w:t>m</w:t>
            </w:r>
            <w:r w:rsidRPr="00DE12A3">
              <w:rPr>
                <w:vertAlign w:val="subscript"/>
              </w:rPr>
              <w:t>ew</w:t>
            </w:r>
          </w:p>
        </w:tc>
        <w:tc>
          <w:tcPr>
            <w:tcW w:w="572" w:type="dxa"/>
          </w:tcPr>
          <w:p w14:paraId="7BFA03DB" w14:textId="77777777" w:rsidR="009F4766" w:rsidRPr="00DE12A3" w:rsidRDefault="009F4766" w:rsidP="00C917D6">
            <w:pPr>
              <w:pStyle w:val="NormalLeft"/>
            </w:pPr>
            <w:r w:rsidRPr="00DE12A3">
              <w:t>=</w:t>
            </w:r>
          </w:p>
        </w:tc>
        <w:tc>
          <w:tcPr>
            <w:tcW w:w="5076" w:type="dxa"/>
          </w:tcPr>
          <w:p w14:paraId="4172DCEC" w14:textId="4193EF49" w:rsidR="009F4766" w:rsidRPr="00DE12A3" w:rsidRDefault="002F5BBD" w:rsidP="00C917D6">
            <w:pPr>
              <w:pStyle w:val="NormalLeft"/>
            </w:pPr>
            <w:r w:rsidRPr="00DE12A3">
              <w:t>Yaş</w:t>
            </w:r>
            <w:r w:rsidR="002E059F" w:rsidRPr="00DE12A3">
              <w:t xml:space="preserve"> bazda egzoz gazı kütle akış hızı [kg/s]</w:t>
            </w:r>
          </w:p>
        </w:tc>
      </w:tr>
      <w:tr w:rsidR="009F4766" w:rsidRPr="00DE12A3" w14:paraId="66BD118D" w14:textId="77777777" w:rsidTr="006D7ADF">
        <w:tc>
          <w:tcPr>
            <w:tcW w:w="1328" w:type="dxa"/>
          </w:tcPr>
          <w:p w14:paraId="77EFCA1F" w14:textId="77777777" w:rsidR="009F4766" w:rsidRPr="00DE12A3" w:rsidRDefault="009F4766" w:rsidP="00C917D6">
            <w:pPr>
              <w:pStyle w:val="NormalLeft"/>
            </w:pPr>
            <w:r w:rsidRPr="00DE12A3">
              <w:rPr>
                <w:i/>
                <w:iCs/>
              </w:rPr>
              <w:t>M</w:t>
            </w:r>
            <w:r w:rsidRPr="00DE12A3">
              <w:rPr>
                <w:vertAlign w:val="subscript"/>
              </w:rPr>
              <w:t>e</w:t>
            </w:r>
          </w:p>
        </w:tc>
        <w:tc>
          <w:tcPr>
            <w:tcW w:w="572" w:type="dxa"/>
          </w:tcPr>
          <w:p w14:paraId="452A0943" w14:textId="77777777" w:rsidR="009F4766" w:rsidRPr="00DE12A3" w:rsidRDefault="009F4766" w:rsidP="00C917D6">
            <w:pPr>
              <w:pStyle w:val="NormalLeft"/>
            </w:pPr>
            <w:r w:rsidRPr="00DE12A3">
              <w:t>=</w:t>
            </w:r>
          </w:p>
        </w:tc>
        <w:tc>
          <w:tcPr>
            <w:tcW w:w="5076" w:type="dxa"/>
          </w:tcPr>
          <w:p w14:paraId="78B22EDF" w14:textId="00128713" w:rsidR="009F4766" w:rsidRPr="00DE12A3" w:rsidRDefault="002F5BBD" w:rsidP="00C917D6">
            <w:pPr>
              <w:pStyle w:val="NormalLeft"/>
            </w:pPr>
            <w:r w:rsidRPr="00DE12A3">
              <w:t>Egzoz</w:t>
            </w:r>
            <w:r w:rsidR="002E059F" w:rsidRPr="00DE12A3">
              <w:t xml:space="preserve"> gazının molar kütlesi [g/mol]</w:t>
            </w:r>
          </w:p>
        </w:tc>
      </w:tr>
    </w:tbl>
    <w:p w14:paraId="501A1BD4" w14:textId="77777777" w:rsidR="005512D7" w:rsidRPr="00DE12A3" w:rsidRDefault="005512D7" w:rsidP="005512D7">
      <w:pPr>
        <w:jc w:val="both"/>
        <w:rPr>
          <w:color w:val="auto"/>
        </w:rPr>
      </w:pPr>
    </w:p>
    <w:p w14:paraId="756B88A6" w14:textId="210D64F5" w:rsidR="002E059F" w:rsidRPr="00DE12A3" w:rsidRDefault="002E059F" w:rsidP="005512D7">
      <w:pPr>
        <w:jc w:val="both"/>
        <w:rPr>
          <w:color w:val="auto"/>
        </w:rPr>
      </w:pPr>
      <w:r w:rsidRPr="00DE12A3">
        <w:rPr>
          <w:color w:val="auto"/>
        </w:rPr>
        <w:t>CO</w:t>
      </w:r>
      <w:r w:rsidRPr="00DE12A3">
        <w:rPr>
          <w:color w:val="auto"/>
          <w:vertAlign w:val="subscript"/>
        </w:rPr>
        <w:t>2</w:t>
      </w:r>
      <w:r w:rsidRPr="00DE12A3">
        <w:rPr>
          <w:color w:val="auto"/>
        </w:rPr>
        <w:t xml:space="preserve"> or CO kuru bazda ölçülürse, </w:t>
      </w:r>
      <w:r w:rsidR="00592B0C" w:rsidRPr="00DE12A3">
        <w:rPr>
          <w:color w:val="auto"/>
        </w:rPr>
        <w:t xml:space="preserve">bu Ekin </w:t>
      </w:r>
      <w:r w:rsidRPr="00DE12A3">
        <w:rPr>
          <w:color w:val="auto"/>
        </w:rPr>
        <w:t>2.1.3 bendi veya 3.5.2 bendi uyarınca yaş baza dönüştürülmelidir.</w:t>
      </w:r>
    </w:p>
    <w:p w14:paraId="3966333A" w14:textId="6B3965BA" w:rsidR="002E059F" w:rsidRPr="00DE12A3" w:rsidRDefault="002E059F" w:rsidP="00C917D6">
      <w:pPr>
        <w:pStyle w:val="Text2"/>
        <w:ind w:left="1134" w:hanging="1134"/>
        <w:rPr>
          <w:rFonts w:eastAsia="Courier New"/>
          <w:b/>
          <w:lang w:val="en-US"/>
        </w:rPr>
      </w:pPr>
      <w:r w:rsidRPr="00DE12A3">
        <w:rPr>
          <w:rFonts w:eastAsia="Courier New"/>
          <w:b/>
          <w:bCs/>
          <w:lang w:val="en-US"/>
        </w:rPr>
        <w:t>4.</w:t>
      </w:r>
      <w:r w:rsidR="005512D7" w:rsidRPr="00DE12A3">
        <w:rPr>
          <w:rFonts w:eastAsia="Courier New"/>
          <w:b/>
          <w:bCs/>
          <w:lang w:val="en-US"/>
        </w:rPr>
        <w:t xml:space="preserve"> </w:t>
      </w:r>
      <w:r w:rsidRPr="00DE12A3">
        <w:rPr>
          <w:rFonts w:eastAsia="Courier New"/>
          <w:b/>
          <w:lang w:val="en-US"/>
        </w:rPr>
        <w:t>Seyreltme sistemi içindeki karbon akış hızı (konum 3)</w:t>
      </w:r>
    </w:p>
    <w:p w14:paraId="20C819B4" w14:textId="70B3FC3B" w:rsidR="002E059F" w:rsidRPr="00DE12A3" w:rsidRDefault="002E059F" w:rsidP="00C917D6">
      <w:pPr>
        <w:pStyle w:val="Text2"/>
        <w:ind w:left="1134" w:hanging="1134"/>
        <w:rPr>
          <w:rFonts w:eastAsia="Courier New"/>
          <w:bCs/>
          <w:lang w:val="en-US"/>
        </w:rPr>
      </w:pPr>
      <w:r w:rsidRPr="00DE12A3">
        <w:rPr>
          <w:rFonts w:eastAsia="Courier New"/>
          <w:bCs/>
          <w:lang w:val="en-US"/>
        </w:rPr>
        <w:t>4.1.</w:t>
      </w:r>
      <w:r w:rsidR="005512D7" w:rsidRPr="00DE12A3">
        <w:rPr>
          <w:rFonts w:eastAsia="Courier New"/>
          <w:bCs/>
          <w:lang w:val="en-US"/>
        </w:rPr>
        <w:t xml:space="preserve"> </w:t>
      </w:r>
      <w:r w:rsidRPr="00DE12A3">
        <w:rPr>
          <w:rFonts w:eastAsia="Courier New"/>
          <w:bCs/>
          <w:lang w:val="en-US"/>
        </w:rPr>
        <w:t>CO</w:t>
      </w:r>
      <w:r w:rsidRPr="00DE12A3">
        <w:rPr>
          <w:rFonts w:eastAsia="Courier New"/>
          <w:bCs/>
          <w:vertAlign w:val="subscript"/>
          <w:lang w:val="en-US"/>
        </w:rPr>
        <w:t>2</w:t>
      </w:r>
      <w:r w:rsidRPr="00DE12A3">
        <w:rPr>
          <w:rFonts w:eastAsia="Courier New"/>
          <w:bCs/>
          <w:lang w:val="en-US"/>
        </w:rPr>
        <w:t xml:space="preserve"> esasında</w:t>
      </w:r>
    </w:p>
    <w:p w14:paraId="378EDBDE" w14:textId="06AF59ED" w:rsidR="002E059F" w:rsidRPr="00DE12A3" w:rsidRDefault="002E059F" w:rsidP="005512D7">
      <w:pPr>
        <w:pStyle w:val="Text2"/>
        <w:ind w:left="0"/>
        <w:rPr>
          <w:rFonts w:eastAsia="Courier New"/>
          <w:lang w:val="en-US"/>
        </w:rPr>
      </w:pPr>
      <w:r w:rsidRPr="00DE12A3">
        <w:rPr>
          <w:rFonts w:eastAsia="Courier New"/>
          <w:lang w:val="en-US"/>
        </w:rPr>
        <w:t>Kısmi akışlı seyreltme sistemi için, ayrılma oranının da dikkate alınması gerekir. Denk bir seyreltme sistemi içindeki karbon akış hızı q</w:t>
      </w:r>
      <w:r w:rsidRPr="00DE12A3">
        <w:rPr>
          <w:rFonts w:eastAsia="Courier New"/>
          <w:vertAlign w:val="subscript"/>
          <w:lang w:val="en-US"/>
        </w:rPr>
        <w:t xml:space="preserve">mCp </w:t>
      </w:r>
      <w:r w:rsidRPr="00DE12A3">
        <w:rPr>
          <w:rFonts w:eastAsia="Courier New"/>
          <w:lang w:val="en-US"/>
        </w:rPr>
        <w:t>[kg/s] (denk ifadesinin, toplam akışın seyreltildiği bir tam akışlı sisteme denk anlamına geldiği), seyreltik CO</w:t>
      </w:r>
      <w:r w:rsidRPr="00DE12A3">
        <w:rPr>
          <w:rFonts w:eastAsia="Courier New"/>
          <w:vertAlign w:val="subscript"/>
          <w:lang w:val="en-US"/>
        </w:rPr>
        <w:t>2</w:t>
      </w:r>
      <w:r w:rsidRPr="00DE12A3">
        <w:rPr>
          <w:rFonts w:eastAsia="Courier New"/>
          <w:lang w:val="en-US"/>
        </w:rPr>
        <w:t xml:space="preserve"> konsantrasyonu, egzoz gazı kütle akış hızı ve numune akış hızı kullanılarak belirlenmelidir</w:t>
      </w:r>
      <w:r w:rsidR="00592B0C" w:rsidRPr="00DE12A3">
        <w:rPr>
          <w:rFonts w:eastAsia="Courier New"/>
          <w:lang w:val="en-US"/>
        </w:rPr>
        <w:t>.</w:t>
      </w:r>
      <w:r w:rsidRPr="00DE12A3">
        <w:rPr>
          <w:rFonts w:eastAsia="Courier New"/>
          <w:lang w:val="en-US"/>
        </w:rPr>
        <w:t xml:space="preserve"> (7-153) sayılı yeni denklem, (7-151) </w:t>
      </w:r>
      <w:r w:rsidR="005C6D9F" w:rsidRPr="00DE12A3">
        <w:t>numaralı</w:t>
      </w:r>
      <w:r w:rsidR="005C6D9F" w:rsidRPr="00DE12A3" w:rsidDel="005C6D9F">
        <w:rPr>
          <w:rFonts w:eastAsia="Courier New"/>
          <w:lang w:val="en-US"/>
        </w:rPr>
        <w:t xml:space="preserve"> </w:t>
      </w:r>
      <w:r w:rsidRPr="00DE12A3">
        <w:rPr>
          <w:rFonts w:eastAsia="Courier New"/>
          <w:lang w:val="en-US"/>
        </w:rPr>
        <w:t xml:space="preserve"> denklemin sadece seyreltme faktörü q</w:t>
      </w:r>
      <w:r w:rsidRPr="00DE12A3">
        <w:rPr>
          <w:rFonts w:eastAsia="Courier New"/>
          <w:vertAlign w:val="subscript"/>
          <w:lang w:val="en-US"/>
        </w:rPr>
        <w:t xml:space="preserve">mdew/qmp </w:t>
      </w:r>
      <w:r w:rsidRPr="00DE12A3">
        <w:rPr>
          <w:rFonts w:eastAsia="Courier New"/>
          <w:lang w:val="en-US"/>
        </w:rPr>
        <w:t>eklenmiş halidir.</w:t>
      </w:r>
    </w:p>
    <w:p w14:paraId="7E95A671" w14:textId="77777777" w:rsidR="009F4766" w:rsidRPr="00DE12A3" w:rsidRDefault="009F4766" w:rsidP="005512D7">
      <w:pPr>
        <w:spacing w:before="120" w:after="120"/>
        <w:rPr>
          <w:rFonts w:cs="Times New Roman"/>
          <w:color w:val="auto"/>
        </w:rPr>
      </w:pPr>
    </w:p>
    <w:tbl>
      <w:tblPr>
        <w:tblW w:w="7601" w:type="dxa"/>
        <w:tblInd w:w="1579" w:type="dxa"/>
        <w:tblLayout w:type="fixed"/>
        <w:tblLook w:val="0000" w:firstRow="0" w:lastRow="0" w:firstColumn="0" w:lastColumn="0" w:noHBand="0" w:noVBand="0"/>
      </w:tblPr>
      <w:tblGrid>
        <w:gridCol w:w="6467"/>
        <w:gridCol w:w="1134"/>
      </w:tblGrid>
      <w:tr w:rsidR="009F4766" w:rsidRPr="00DE12A3" w14:paraId="62A4D3FB" w14:textId="77777777" w:rsidTr="006D7ADF">
        <w:trPr>
          <w:trHeight w:val="1402"/>
        </w:trPr>
        <w:tc>
          <w:tcPr>
            <w:tcW w:w="6467" w:type="dxa"/>
          </w:tcPr>
          <w:p w14:paraId="4E1F323D" w14:textId="2FABCABF" w:rsidR="009F4766" w:rsidRPr="00DE12A3" w:rsidRDefault="009F4766" w:rsidP="00C917D6">
            <w:pPr>
              <w:pStyle w:val="NormalLeft"/>
            </w:pPr>
            <w:r w:rsidRPr="00DE12A3">
              <w:rPr>
                <w:noProof/>
                <w:lang w:val="tr-TR"/>
              </w:rPr>
              <w:drawing>
                <wp:inline distT="0" distB="0" distL="0" distR="0" wp14:anchorId="3D1537BA" wp14:editId="7207B023">
                  <wp:extent cx="3757246" cy="709211"/>
                  <wp:effectExtent l="0" t="0" r="0" b="0"/>
                  <wp:docPr id="2440" name="Resim 24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224">
                            <a:extLst>
                              <a:ext uri="{28A0092B-C50C-407E-A947-70E740481C1C}">
                                <a14:useLocalDpi xmlns:a14="http://schemas.microsoft.com/office/drawing/2010/main" val="0"/>
                              </a:ext>
                            </a:extLst>
                          </a:blip>
                          <a:srcRect/>
                          <a:stretch>
                            <a:fillRect/>
                          </a:stretch>
                        </pic:blipFill>
                        <pic:spPr bwMode="auto">
                          <a:xfrm>
                            <a:off x="0" y="0"/>
                            <a:ext cx="3803712" cy="717982"/>
                          </a:xfrm>
                          <a:prstGeom prst="rect">
                            <a:avLst/>
                          </a:prstGeom>
                          <a:noFill/>
                          <a:ln>
                            <a:noFill/>
                          </a:ln>
                        </pic:spPr>
                      </pic:pic>
                    </a:graphicData>
                  </a:graphic>
                </wp:inline>
              </w:drawing>
            </w:r>
          </w:p>
        </w:tc>
        <w:tc>
          <w:tcPr>
            <w:tcW w:w="1134" w:type="dxa"/>
          </w:tcPr>
          <w:p w14:paraId="1DD72B4C" w14:textId="77777777" w:rsidR="009F4766" w:rsidRPr="00DE12A3" w:rsidRDefault="009F4766" w:rsidP="00C917D6">
            <w:pPr>
              <w:pStyle w:val="NormalLeft"/>
            </w:pPr>
            <w:r w:rsidRPr="00DE12A3">
              <w:t>(7-153)</w:t>
            </w:r>
          </w:p>
        </w:tc>
      </w:tr>
    </w:tbl>
    <w:p w14:paraId="68652810" w14:textId="77777777" w:rsidR="002E059F" w:rsidRPr="00DE12A3" w:rsidRDefault="002E059F" w:rsidP="00C917D6">
      <w:pPr>
        <w:spacing w:before="120" w:after="120"/>
        <w:rPr>
          <w:rFonts w:cs="Times New Roman"/>
          <w:color w:val="auto"/>
        </w:rPr>
      </w:pPr>
    </w:p>
    <w:p w14:paraId="0BBECC86" w14:textId="77777777" w:rsidR="009F4766" w:rsidRPr="00DE12A3" w:rsidRDefault="008B3D9F" w:rsidP="005512D7">
      <w:pPr>
        <w:spacing w:before="120" w:after="120"/>
        <w:rPr>
          <w:rFonts w:cs="Times New Roman"/>
          <w:color w:val="auto"/>
        </w:rPr>
      </w:pPr>
      <w:r w:rsidRPr="00DE12A3">
        <w:rPr>
          <w:rFonts w:cs="Times New Roman"/>
          <w:color w:val="auto"/>
        </w:rPr>
        <w:t>Burada</w:t>
      </w:r>
      <w:r w:rsidR="009F4766" w:rsidRPr="00DE12A3">
        <w:rPr>
          <w:rFonts w:cs="Times New Roman"/>
          <w:color w:val="auto"/>
        </w:rPr>
        <w:t>:</w:t>
      </w:r>
    </w:p>
    <w:tbl>
      <w:tblPr>
        <w:tblW w:w="0" w:type="auto"/>
        <w:tblInd w:w="1242" w:type="dxa"/>
        <w:tblLayout w:type="fixed"/>
        <w:tblLook w:val="0000" w:firstRow="0" w:lastRow="0" w:firstColumn="0" w:lastColumn="0" w:noHBand="0" w:noVBand="0"/>
      </w:tblPr>
      <w:tblGrid>
        <w:gridCol w:w="1276"/>
        <w:gridCol w:w="567"/>
        <w:gridCol w:w="6201"/>
      </w:tblGrid>
      <w:tr w:rsidR="00DE12A3" w:rsidRPr="00DE12A3" w14:paraId="18A02E06" w14:textId="77777777" w:rsidTr="006D7ADF">
        <w:tc>
          <w:tcPr>
            <w:tcW w:w="1276" w:type="dxa"/>
          </w:tcPr>
          <w:p w14:paraId="31B8FAEF" w14:textId="77777777" w:rsidR="002E059F" w:rsidRPr="00DE12A3" w:rsidRDefault="002E059F" w:rsidP="00C917D6">
            <w:pPr>
              <w:pStyle w:val="NormalLeft"/>
            </w:pPr>
            <w:r w:rsidRPr="00DE12A3">
              <w:rPr>
                <w:i/>
                <w:iCs/>
              </w:rPr>
              <w:t>c</w:t>
            </w:r>
            <w:r w:rsidRPr="00DE12A3">
              <w:rPr>
                <w:vertAlign w:val="subscript"/>
              </w:rPr>
              <w:t>CO2,d</w:t>
            </w:r>
          </w:p>
        </w:tc>
        <w:tc>
          <w:tcPr>
            <w:tcW w:w="567" w:type="dxa"/>
          </w:tcPr>
          <w:p w14:paraId="207F7CE4" w14:textId="77777777" w:rsidR="002E059F" w:rsidRPr="00DE12A3" w:rsidRDefault="002E059F" w:rsidP="00C917D6">
            <w:pPr>
              <w:pStyle w:val="NormalLeft"/>
            </w:pPr>
            <w:r w:rsidRPr="00DE12A3">
              <w:t>=</w:t>
            </w:r>
          </w:p>
        </w:tc>
        <w:tc>
          <w:tcPr>
            <w:tcW w:w="6201" w:type="dxa"/>
          </w:tcPr>
          <w:p w14:paraId="55E6F70A" w14:textId="5C1E1C5D" w:rsidR="002E059F" w:rsidRPr="00DE12A3" w:rsidRDefault="006D7ADF" w:rsidP="00C917D6">
            <w:pPr>
              <w:spacing w:before="120" w:after="120"/>
              <w:rPr>
                <w:rFonts w:cs="Times New Roman"/>
                <w:color w:val="auto"/>
              </w:rPr>
            </w:pPr>
            <w:r w:rsidRPr="00DE12A3">
              <w:rPr>
                <w:rFonts w:cs="Times New Roman"/>
                <w:color w:val="auto"/>
              </w:rPr>
              <w:t>Seyreltme</w:t>
            </w:r>
            <w:r w:rsidR="002E059F" w:rsidRPr="00DE12A3">
              <w:rPr>
                <w:rFonts w:cs="Times New Roman"/>
                <w:color w:val="auto"/>
              </w:rPr>
              <w:t xml:space="preserve"> tünelinin çıkışındaki seyreltilmiş egzoz gazı </w:t>
            </w:r>
            <w:r w:rsidR="002E059F" w:rsidRPr="00DE12A3">
              <w:rPr>
                <w:rFonts w:cs="Times New Roman"/>
                <w:color w:val="auto"/>
              </w:rPr>
              <w:lastRenderedPageBreak/>
              <w:t>içindeki yaş CO2 konsantrasyonu [ %]</w:t>
            </w:r>
          </w:p>
        </w:tc>
      </w:tr>
      <w:tr w:rsidR="00DE12A3" w:rsidRPr="00DE12A3" w14:paraId="1B209550" w14:textId="77777777" w:rsidTr="006D7ADF">
        <w:tc>
          <w:tcPr>
            <w:tcW w:w="1276" w:type="dxa"/>
          </w:tcPr>
          <w:p w14:paraId="54126B87" w14:textId="77777777" w:rsidR="002E059F" w:rsidRPr="00DE12A3" w:rsidRDefault="002E059F" w:rsidP="00C917D6">
            <w:pPr>
              <w:pStyle w:val="NormalLeft"/>
            </w:pPr>
            <w:r w:rsidRPr="00DE12A3">
              <w:rPr>
                <w:i/>
                <w:iCs/>
              </w:rPr>
              <w:lastRenderedPageBreak/>
              <w:t>c</w:t>
            </w:r>
            <w:r w:rsidRPr="00DE12A3">
              <w:rPr>
                <w:vertAlign w:val="subscript"/>
              </w:rPr>
              <w:t>CO2,a</w:t>
            </w:r>
          </w:p>
        </w:tc>
        <w:tc>
          <w:tcPr>
            <w:tcW w:w="567" w:type="dxa"/>
          </w:tcPr>
          <w:p w14:paraId="61B40198" w14:textId="77777777" w:rsidR="002E059F" w:rsidRPr="00DE12A3" w:rsidRDefault="002E059F" w:rsidP="00C917D6">
            <w:pPr>
              <w:pStyle w:val="NormalLeft"/>
            </w:pPr>
            <w:r w:rsidRPr="00DE12A3">
              <w:t>=</w:t>
            </w:r>
          </w:p>
        </w:tc>
        <w:tc>
          <w:tcPr>
            <w:tcW w:w="6201" w:type="dxa"/>
          </w:tcPr>
          <w:p w14:paraId="51ADFF1B" w14:textId="1D992C3D" w:rsidR="002E059F" w:rsidRPr="00DE12A3" w:rsidRDefault="006D7ADF" w:rsidP="00C917D6">
            <w:pPr>
              <w:spacing w:before="120" w:after="120"/>
              <w:rPr>
                <w:rFonts w:cs="Times New Roman"/>
                <w:color w:val="auto"/>
              </w:rPr>
            </w:pPr>
            <w:r w:rsidRPr="00DE12A3">
              <w:rPr>
                <w:rFonts w:cs="Times New Roman"/>
                <w:color w:val="auto"/>
              </w:rPr>
              <w:t>Ortam</w:t>
            </w:r>
            <w:r w:rsidR="002E059F" w:rsidRPr="00DE12A3">
              <w:rPr>
                <w:rFonts w:cs="Times New Roman"/>
                <w:color w:val="auto"/>
              </w:rPr>
              <w:t xml:space="preserve"> havası içindeki yaş CO2 konsantrasyonu [ %]</w:t>
            </w:r>
          </w:p>
        </w:tc>
      </w:tr>
      <w:tr w:rsidR="00DE12A3" w:rsidRPr="00DE12A3" w14:paraId="34CCD595" w14:textId="77777777" w:rsidTr="006D7ADF">
        <w:tc>
          <w:tcPr>
            <w:tcW w:w="1276" w:type="dxa"/>
          </w:tcPr>
          <w:p w14:paraId="4C0CE41F" w14:textId="77777777" w:rsidR="002E059F" w:rsidRPr="00DE12A3" w:rsidRDefault="002E059F" w:rsidP="00C917D6">
            <w:pPr>
              <w:pStyle w:val="NormalLeft"/>
            </w:pPr>
            <w:r w:rsidRPr="00DE12A3">
              <w:rPr>
                <w:i/>
                <w:iCs/>
              </w:rPr>
              <w:t>q</w:t>
            </w:r>
            <w:r w:rsidRPr="00DE12A3">
              <w:rPr>
                <w:i/>
                <w:iCs/>
                <w:vertAlign w:val="subscript"/>
              </w:rPr>
              <w:t>m</w:t>
            </w:r>
            <w:r w:rsidRPr="00DE12A3">
              <w:rPr>
                <w:vertAlign w:val="subscript"/>
              </w:rPr>
              <w:t>dew</w:t>
            </w:r>
          </w:p>
        </w:tc>
        <w:tc>
          <w:tcPr>
            <w:tcW w:w="567" w:type="dxa"/>
          </w:tcPr>
          <w:p w14:paraId="25984CBC" w14:textId="77777777" w:rsidR="002E059F" w:rsidRPr="00DE12A3" w:rsidRDefault="002E059F" w:rsidP="00C917D6">
            <w:pPr>
              <w:pStyle w:val="NormalLeft"/>
            </w:pPr>
            <w:r w:rsidRPr="00DE12A3">
              <w:t>=</w:t>
            </w:r>
          </w:p>
        </w:tc>
        <w:tc>
          <w:tcPr>
            <w:tcW w:w="6201" w:type="dxa"/>
          </w:tcPr>
          <w:p w14:paraId="5EC4891C" w14:textId="56DD8477" w:rsidR="002E059F" w:rsidRPr="00DE12A3" w:rsidRDefault="006D7ADF" w:rsidP="00C917D6">
            <w:pPr>
              <w:spacing w:before="120" w:after="120"/>
              <w:rPr>
                <w:rFonts w:cs="Times New Roman"/>
                <w:color w:val="auto"/>
              </w:rPr>
            </w:pPr>
            <w:r w:rsidRPr="00DE12A3">
              <w:rPr>
                <w:rFonts w:cs="Times New Roman"/>
                <w:color w:val="auto"/>
              </w:rPr>
              <w:t>Kısmi</w:t>
            </w:r>
            <w:r w:rsidR="002E059F" w:rsidRPr="00DE12A3">
              <w:rPr>
                <w:rFonts w:cs="Times New Roman"/>
                <w:color w:val="auto"/>
              </w:rPr>
              <w:t xml:space="preserve"> akışlı seyreltme sistemi içindeki seyreltilmiş numune akışı [kg/s]</w:t>
            </w:r>
          </w:p>
        </w:tc>
      </w:tr>
      <w:tr w:rsidR="00DE12A3" w:rsidRPr="00DE12A3" w14:paraId="21D678A8" w14:textId="77777777" w:rsidTr="006D7ADF">
        <w:tc>
          <w:tcPr>
            <w:tcW w:w="1276" w:type="dxa"/>
          </w:tcPr>
          <w:p w14:paraId="312A89E0" w14:textId="77777777" w:rsidR="002E059F" w:rsidRPr="00DE12A3" w:rsidRDefault="002E059F" w:rsidP="00C917D6">
            <w:pPr>
              <w:pStyle w:val="NormalLeft"/>
            </w:pPr>
            <w:r w:rsidRPr="00DE12A3">
              <w:rPr>
                <w:i/>
                <w:iCs/>
              </w:rPr>
              <w:t>q</w:t>
            </w:r>
            <w:r w:rsidRPr="00DE12A3">
              <w:rPr>
                <w:i/>
                <w:iCs/>
                <w:vertAlign w:val="subscript"/>
              </w:rPr>
              <w:t>m</w:t>
            </w:r>
            <w:r w:rsidRPr="00DE12A3">
              <w:rPr>
                <w:vertAlign w:val="subscript"/>
              </w:rPr>
              <w:t>ew</w:t>
            </w:r>
          </w:p>
        </w:tc>
        <w:tc>
          <w:tcPr>
            <w:tcW w:w="567" w:type="dxa"/>
          </w:tcPr>
          <w:p w14:paraId="47F81A8F" w14:textId="77777777" w:rsidR="002E059F" w:rsidRPr="00DE12A3" w:rsidRDefault="002E059F" w:rsidP="00C917D6">
            <w:pPr>
              <w:pStyle w:val="NormalLeft"/>
            </w:pPr>
            <w:r w:rsidRPr="00DE12A3">
              <w:t>=</w:t>
            </w:r>
          </w:p>
        </w:tc>
        <w:tc>
          <w:tcPr>
            <w:tcW w:w="6201" w:type="dxa"/>
          </w:tcPr>
          <w:p w14:paraId="141FC508" w14:textId="3C732804" w:rsidR="002E059F" w:rsidRPr="00DE12A3" w:rsidRDefault="006D7ADF" w:rsidP="00C917D6">
            <w:pPr>
              <w:spacing w:before="120" w:after="120"/>
              <w:rPr>
                <w:rFonts w:cs="Times New Roman"/>
                <w:color w:val="auto"/>
              </w:rPr>
            </w:pPr>
            <w:r w:rsidRPr="00DE12A3">
              <w:rPr>
                <w:rFonts w:cs="Times New Roman"/>
                <w:color w:val="auto"/>
              </w:rPr>
              <w:t>Yaş</w:t>
            </w:r>
            <w:r w:rsidR="002E059F" w:rsidRPr="00DE12A3">
              <w:rPr>
                <w:rFonts w:cs="Times New Roman"/>
                <w:color w:val="auto"/>
              </w:rPr>
              <w:t xml:space="preserve"> bazda egzoz gazı kütle akış hızı [kg/s]</w:t>
            </w:r>
          </w:p>
        </w:tc>
      </w:tr>
      <w:tr w:rsidR="00DE12A3" w:rsidRPr="00DE12A3" w14:paraId="486280FA" w14:textId="77777777" w:rsidTr="006D7ADF">
        <w:tc>
          <w:tcPr>
            <w:tcW w:w="1276" w:type="dxa"/>
          </w:tcPr>
          <w:p w14:paraId="3BDF9A13" w14:textId="77777777" w:rsidR="002E059F" w:rsidRPr="00DE12A3" w:rsidRDefault="002E059F" w:rsidP="00C917D6">
            <w:pPr>
              <w:pStyle w:val="NormalLeft"/>
            </w:pPr>
            <w:r w:rsidRPr="00DE12A3">
              <w:rPr>
                <w:i/>
                <w:iCs/>
              </w:rPr>
              <w:t>q</w:t>
            </w:r>
            <w:r w:rsidRPr="00DE12A3">
              <w:rPr>
                <w:i/>
                <w:iCs/>
                <w:vertAlign w:val="subscript"/>
              </w:rPr>
              <w:t>m</w:t>
            </w:r>
            <w:r w:rsidRPr="00DE12A3">
              <w:rPr>
                <w:vertAlign w:val="subscript"/>
              </w:rPr>
              <w:t>p</w:t>
            </w:r>
          </w:p>
        </w:tc>
        <w:tc>
          <w:tcPr>
            <w:tcW w:w="567" w:type="dxa"/>
          </w:tcPr>
          <w:p w14:paraId="0C26AAF7" w14:textId="77777777" w:rsidR="002E059F" w:rsidRPr="00DE12A3" w:rsidRDefault="002E059F" w:rsidP="00C917D6">
            <w:pPr>
              <w:pStyle w:val="NormalLeft"/>
            </w:pPr>
            <w:r w:rsidRPr="00DE12A3">
              <w:t>=</w:t>
            </w:r>
          </w:p>
        </w:tc>
        <w:tc>
          <w:tcPr>
            <w:tcW w:w="6201" w:type="dxa"/>
          </w:tcPr>
          <w:p w14:paraId="427973F6" w14:textId="3ED476E1" w:rsidR="002E059F" w:rsidRPr="00DE12A3" w:rsidRDefault="006D7ADF" w:rsidP="00C917D6">
            <w:pPr>
              <w:spacing w:before="120" w:after="120"/>
              <w:rPr>
                <w:rFonts w:cs="Times New Roman"/>
                <w:color w:val="auto"/>
              </w:rPr>
            </w:pPr>
            <w:r w:rsidRPr="00DE12A3">
              <w:rPr>
                <w:rFonts w:cs="Times New Roman"/>
                <w:color w:val="auto"/>
              </w:rPr>
              <w:t>Kısmi</w:t>
            </w:r>
            <w:r w:rsidR="002E059F" w:rsidRPr="00DE12A3">
              <w:rPr>
                <w:rFonts w:cs="Times New Roman"/>
                <w:color w:val="auto"/>
              </w:rPr>
              <w:t xml:space="preserve"> akışlı seyreltme sistemi içine egzoz gazı numune akışı [kg/s]</w:t>
            </w:r>
          </w:p>
        </w:tc>
      </w:tr>
      <w:tr w:rsidR="002E059F" w:rsidRPr="00DE12A3" w14:paraId="27E3CB9F" w14:textId="77777777" w:rsidTr="006D7ADF">
        <w:tc>
          <w:tcPr>
            <w:tcW w:w="1276" w:type="dxa"/>
          </w:tcPr>
          <w:p w14:paraId="05FAE425" w14:textId="77777777" w:rsidR="002E059F" w:rsidRPr="00DE12A3" w:rsidRDefault="002E059F" w:rsidP="00C917D6">
            <w:pPr>
              <w:pStyle w:val="NormalLeft"/>
            </w:pPr>
            <w:r w:rsidRPr="00DE12A3">
              <w:rPr>
                <w:i/>
                <w:iCs/>
              </w:rPr>
              <w:t>M</w:t>
            </w:r>
            <w:r w:rsidRPr="00DE12A3">
              <w:rPr>
                <w:vertAlign w:val="subscript"/>
              </w:rPr>
              <w:t>e</w:t>
            </w:r>
          </w:p>
        </w:tc>
        <w:tc>
          <w:tcPr>
            <w:tcW w:w="567" w:type="dxa"/>
          </w:tcPr>
          <w:p w14:paraId="050F1372" w14:textId="77777777" w:rsidR="002E059F" w:rsidRPr="00DE12A3" w:rsidRDefault="002E059F" w:rsidP="00C917D6">
            <w:pPr>
              <w:pStyle w:val="NormalLeft"/>
            </w:pPr>
            <w:r w:rsidRPr="00DE12A3">
              <w:t>=</w:t>
            </w:r>
          </w:p>
        </w:tc>
        <w:tc>
          <w:tcPr>
            <w:tcW w:w="6201" w:type="dxa"/>
          </w:tcPr>
          <w:p w14:paraId="2E69B224" w14:textId="1CE744EF" w:rsidR="002E059F" w:rsidRPr="00DE12A3" w:rsidRDefault="006D7ADF" w:rsidP="00C917D6">
            <w:pPr>
              <w:spacing w:before="120" w:after="120"/>
              <w:rPr>
                <w:rFonts w:cs="Times New Roman"/>
                <w:color w:val="auto"/>
              </w:rPr>
            </w:pPr>
            <w:r w:rsidRPr="00DE12A3">
              <w:rPr>
                <w:rFonts w:cs="Times New Roman"/>
                <w:color w:val="auto"/>
              </w:rPr>
              <w:t>Egzoz</w:t>
            </w:r>
            <w:r w:rsidR="002E059F" w:rsidRPr="00DE12A3">
              <w:rPr>
                <w:rFonts w:cs="Times New Roman"/>
                <w:color w:val="auto"/>
              </w:rPr>
              <w:t xml:space="preserve"> gazının molar kütlesi [g/mol]</w:t>
            </w:r>
          </w:p>
        </w:tc>
      </w:tr>
    </w:tbl>
    <w:p w14:paraId="6907639B" w14:textId="77777777" w:rsidR="009F4766" w:rsidRPr="00DE12A3" w:rsidRDefault="009F4766" w:rsidP="00C917D6">
      <w:pPr>
        <w:spacing w:before="120" w:after="120"/>
        <w:rPr>
          <w:rFonts w:cs="Times New Roman"/>
          <w:color w:val="auto"/>
        </w:rPr>
      </w:pPr>
    </w:p>
    <w:p w14:paraId="5B853123" w14:textId="480BB97B" w:rsidR="002E059F" w:rsidRPr="00DE12A3" w:rsidRDefault="002E059F" w:rsidP="007B1175">
      <w:pPr>
        <w:jc w:val="both"/>
        <w:rPr>
          <w:color w:val="auto"/>
          <w:lang w:val="en-US"/>
        </w:rPr>
      </w:pPr>
      <w:r w:rsidRPr="00DE12A3">
        <w:rPr>
          <w:color w:val="auto"/>
          <w:lang w:val="en-US"/>
        </w:rPr>
        <w:t>CO</w:t>
      </w:r>
      <w:r w:rsidRPr="00DE12A3">
        <w:rPr>
          <w:color w:val="auto"/>
          <w:vertAlign w:val="subscript"/>
          <w:lang w:val="en-US"/>
        </w:rPr>
        <w:t>2</w:t>
      </w:r>
      <w:r w:rsidRPr="00DE12A3">
        <w:rPr>
          <w:color w:val="auto"/>
          <w:lang w:val="en-US"/>
        </w:rPr>
        <w:t xml:space="preserve"> kuru bazda ölçülürse, </w:t>
      </w:r>
      <w:r w:rsidR="00592B0C" w:rsidRPr="00DE12A3">
        <w:rPr>
          <w:color w:val="auto"/>
          <w:lang w:val="en-US"/>
        </w:rPr>
        <w:t xml:space="preserve">bu Ekin </w:t>
      </w:r>
      <w:r w:rsidRPr="00DE12A3">
        <w:rPr>
          <w:color w:val="auto"/>
          <w:lang w:val="en-US"/>
        </w:rPr>
        <w:t>2.1.3 bendi veya 3.5.2 bendi uyarınca yaş baza dönüştürülmelidir.</w:t>
      </w:r>
    </w:p>
    <w:p w14:paraId="6BED5D73" w14:textId="77777777" w:rsidR="005512D7" w:rsidRPr="00DE12A3" w:rsidRDefault="005512D7" w:rsidP="005512D7">
      <w:pPr>
        <w:rPr>
          <w:i/>
          <w:iCs/>
          <w:color w:val="auto"/>
          <w:lang w:val="en-US"/>
        </w:rPr>
      </w:pPr>
    </w:p>
    <w:p w14:paraId="1FBAE0E9" w14:textId="0C186EBB" w:rsidR="002E059F" w:rsidRPr="00DE12A3" w:rsidRDefault="005512D7" w:rsidP="005512D7">
      <w:pPr>
        <w:rPr>
          <w:bCs/>
          <w:iCs/>
          <w:color w:val="auto"/>
        </w:rPr>
      </w:pPr>
      <w:r w:rsidRPr="00DE12A3">
        <w:rPr>
          <w:bCs/>
          <w:iCs/>
          <w:color w:val="auto"/>
        </w:rPr>
        <w:t xml:space="preserve">4.2. </w:t>
      </w:r>
      <w:r w:rsidR="002E059F" w:rsidRPr="00DE12A3">
        <w:rPr>
          <w:bCs/>
          <w:iCs/>
          <w:color w:val="auto"/>
        </w:rPr>
        <w:t>CO</w:t>
      </w:r>
      <w:r w:rsidR="002E059F" w:rsidRPr="00DE12A3">
        <w:rPr>
          <w:bCs/>
          <w:iCs/>
          <w:color w:val="auto"/>
          <w:vertAlign w:val="subscript"/>
        </w:rPr>
        <w:t>2</w:t>
      </w:r>
      <w:r w:rsidR="002E059F" w:rsidRPr="00DE12A3">
        <w:rPr>
          <w:bCs/>
          <w:iCs/>
          <w:color w:val="auto"/>
        </w:rPr>
        <w:t>, HC ve CO esasında</w:t>
      </w:r>
    </w:p>
    <w:p w14:paraId="5F531246" w14:textId="40E7A16B" w:rsidR="002E059F" w:rsidRPr="00DE12A3" w:rsidRDefault="002E059F" w:rsidP="005512D7">
      <w:pPr>
        <w:jc w:val="both"/>
        <w:rPr>
          <w:i/>
          <w:color w:val="auto"/>
        </w:rPr>
      </w:pPr>
      <w:r w:rsidRPr="00DE12A3">
        <w:rPr>
          <w:color w:val="auto"/>
        </w:rPr>
        <w:t xml:space="preserve">Kısmi akışlı seyreltme sistemi için, ayrılma oranının da dikkate alınması gerekir. Sadece </w:t>
      </w:r>
      <w:r w:rsidR="00592B0C" w:rsidRPr="00DE12A3">
        <w:rPr>
          <w:color w:val="auto"/>
        </w:rPr>
        <w:t xml:space="preserve">bu Açıklayıcı Ekin </w:t>
      </w:r>
      <w:r w:rsidRPr="00DE12A3">
        <w:rPr>
          <w:color w:val="auto"/>
        </w:rPr>
        <w:t>4.1 bendindeki CO</w:t>
      </w:r>
      <w:r w:rsidRPr="00DE12A3">
        <w:rPr>
          <w:color w:val="auto"/>
          <w:vertAlign w:val="subscript"/>
        </w:rPr>
        <w:t>2</w:t>
      </w:r>
      <w:r w:rsidRPr="00DE12A3">
        <w:rPr>
          <w:color w:val="auto"/>
        </w:rPr>
        <w:t xml:space="preserve"> esaslı hesaplamanın yapılmasına bir alternatif olarak, denk bir seyreltme sistemi içindeki karbon akış hızı q</w:t>
      </w:r>
      <w:r w:rsidRPr="00DE12A3">
        <w:rPr>
          <w:color w:val="auto"/>
          <w:vertAlign w:val="subscript"/>
        </w:rPr>
        <w:t>mCp</w:t>
      </w:r>
      <w:r w:rsidRPr="00DE12A3">
        <w:rPr>
          <w:color w:val="auto"/>
        </w:rPr>
        <w:t xml:space="preserve"> [kg/s] (denk ifadesinin, toplam akışın seyreltildiği bir tam akışlı sisteme denk anlamına geldiği), seyreltik CO</w:t>
      </w:r>
      <w:r w:rsidRPr="00DE12A3">
        <w:rPr>
          <w:color w:val="auto"/>
          <w:vertAlign w:val="subscript"/>
        </w:rPr>
        <w:t>2</w:t>
      </w:r>
      <w:r w:rsidRPr="00DE12A3">
        <w:rPr>
          <w:color w:val="auto"/>
        </w:rPr>
        <w:t xml:space="preserve">, HC ve CO konsantrasyonları, egzoz gazı kütle akış hızı ve numune akış hızı kullanılarak </w:t>
      </w:r>
      <w:r w:rsidR="00697681" w:rsidRPr="00DE12A3">
        <w:rPr>
          <w:color w:val="auto"/>
        </w:rPr>
        <w:t>belirlenmelidir</w:t>
      </w:r>
      <w:r w:rsidR="00592B0C" w:rsidRPr="00DE12A3">
        <w:rPr>
          <w:color w:val="auto"/>
        </w:rPr>
        <w:t>.</w:t>
      </w:r>
      <w:r w:rsidRPr="00DE12A3">
        <w:rPr>
          <w:color w:val="auto"/>
        </w:rPr>
        <w:t xml:space="preserve"> (7-154) sayılı yeni denklem, (7-152) </w:t>
      </w:r>
      <w:r w:rsidR="005C6D9F" w:rsidRPr="00DE12A3">
        <w:rPr>
          <w:color w:val="auto"/>
        </w:rPr>
        <w:t>numaralı</w:t>
      </w:r>
      <w:r w:rsidR="005C6D9F" w:rsidRPr="00DE12A3" w:rsidDel="005C6D9F">
        <w:rPr>
          <w:color w:val="auto"/>
        </w:rPr>
        <w:t xml:space="preserve"> </w:t>
      </w:r>
      <w:r w:rsidRPr="00DE12A3">
        <w:rPr>
          <w:color w:val="auto"/>
        </w:rPr>
        <w:t>denklemin sadece seyreltme faktörü q</w:t>
      </w:r>
      <w:r w:rsidRPr="00DE12A3">
        <w:rPr>
          <w:color w:val="auto"/>
          <w:vertAlign w:val="subscript"/>
        </w:rPr>
        <w:t xml:space="preserve">mdew/qmp </w:t>
      </w:r>
      <w:r w:rsidRPr="00DE12A3">
        <w:rPr>
          <w:color w:val="auto"/>
        </w:rPr>
        <w:t>eklenmiş halidir.</w:t>
      </w:r>
    </w:p>
    <w:p w14:paraId="10F0FA26" w14:textId="77777777" w:rsidR="002E059F" w:rsidRPr="00DE12A3" w:rsidRDefault="002E059F" w:rsidP="00C917D6">
      <w:pPr>
        <w:spacing w:before="120" w:after="120"/>
        <w:rPr>
          <w:rFonts w:cs="Times New Roman"/>
          <w:color w:val="auto"/>
        </w:rPr>
      </w:pPr>
    </w:p>
    <w:tbl>
      <w:tblPr>
        <w:tblW w:w="0" w:type="auto"/>
        <w:tblInd w:w="1242" w:type="dxa"/>
        <w:tblLayout w:type="fixed"/>
        <w:tblLook w:val="0000" w:firstRow="0" w:lastRow="0" w:firstColumn="0" w:lastColumn="0" w:noHBand="0" w:noVBand="0"/>
      </w:tblPr>
      <w:tblGrid>
        <w:gridCol w:w="7023"/>
        <w:gridCol w:w="1021"/>
      </w:tblGrid>
      <w:tr w:rsidR="009F4766" w:rsidRPr="00DE12A3" w14:paraId="09B68D45" w14:textId="77777777" w:rsidTr="001A234D">
        <w:tc>
          <w:tcPr>
            <w:tcW w:w="7023" w:type="dxa"/>
          </w:tcPr>
          <w:p w14:paraId="07B93ACE" w14:textId="24497D68" w:rsidR="009F4766" w:rsidRPr="00DE12A3" w:rsidRDefault="009F4766" w:rsidP="00C917D6">
            <w:pPr>
              <w:pStyle w:val="NormalLeft"/>
            </w:pPr>
            <w:r w:rsidRPr="00DE12A3">
              <w:rPr>
                <w:noProof/>
                <w:lang w:val="tr-TR"/>
              </w:rPr>
              <w:drawing>
                <wp:inline distT="0" distB="0" distL="0" distR="0" wp14:anchorId="2BFD1931" wp14:editId="27BC24A0">
                  <wp:extent cx="4290646" cy="709240"/>
                  <wp:effectExtent l="0" t="0" r="0" b="0"/>
                  <wp:docPr id="2439" name="Resim 24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225">
                            <a:extLst>
                              <a:ext uri="{28A0092B-C50C-407E-A947-70E740481C1C}">
                                <a14:useLocalDpi xmlns:a14="http://schemas.microsoft.com/office/drawing/2010/main" val="0"/>
                              </a:ext>
                            </a:extLst>
                          </a:blip>
                          <a:srcRect/>
                          <a:stretch>
                            <a:fillRect/>
                          </a:stretch>
                        </pic:blipFill>
                        <pic:spPr bwMode="auto">
                          <a:xfrm>
                            <a:off x="0" y="0"/>
                            <a:ext cx="4369895" cy="722340"/>
                          </a:xfrm>
                          <a:prstGeom prst="rect">
                            <a:avLst/>
                          </a:prstGeom>
                          <a:noFill/>
                          <a:ln>
                            <a:noFill/>
                          </a:ln>
                        </pic:spPr>
                      </pic:pic>
                    </a:graphicData>
                  </a:graphic>
                </wp:inline>
              </w:drawing>
            </w:r>
          </w:p>
        </w:tc>
        <w:tc>
          <w:tcPr>
            <w:tcW w:w="1021" w:type="dxa"/>
          </w:tcPr>
          <w:p w14:paraId="6811B0BF" w14:textId="77777777" w:rsidR="009F4766" w:rsidRPr="00DE12A3" w:rsidRDefault="009F4766" w:rsidP="00C917D6">
            <w:pPr>
              <w:pStyle w:val="NormalLeft"/>
            </w:pPr>
            <w:r w:rsidRPr="00DE12A3">
              <w:t>(7-154)</w:t>
            </w:r>
          </w:p>
        </w:tc>
      </w:tr>
    </w:tbl>
    <w:p w14:paraId="3B564989" w14:textId="77777777" w:rsidR="009F4766" w:rsidRPr="00DE12A3" w:rsidRDefault="009F4766" w:rsidP="00C917D6">
      <w:pPr>
        <w:spacing w:before="120" w:after="120"/>
        <w:rPr>
          <w:rFonts w:cs="Times New Roman"/>
          <w:color w:val="auto"/>
        </w:rPr>
      </w:pPr>
    </w:p>
    <w:p w14:paraId="18148D92" w14:textId="77777777" w:rsidR="009F4766" w:rsidRPr="00DE12A3" w:rsidRDefault="008B3D9F" w:rsidP="005512D7">
      <w:pPr>
        <w:spacing w:before="120" w:after="120"/>
        <w:rPr>
          <w:rFonts w:cs="Times New Roman"/>
          <w:color w:val="auto"/>
        </w:rPr>
      </w:pPr>
      <w:r w:rsidRPr="00DE12A3">
        <w:rPr>
          <w:rFonts w:cs="Times New Roman"/>
          <w:color w:val="auto"/>
        </w:rPr>
        <w:t>Burada</w:t>
      </w:r>
      <w:r w:rsidR="009F4766" w:rsidRPr="00DE12A3">
        <w:rPr>
          <w:rFonts w:cs="Times New Roman"/>
          <w:color w:val="auto"/>
        </w:rPr>
        <w:t>:</w:t>
      </w:r>
    </w:p>
    <w:tbl>
      <w:tblPr>
        <w:tblW w:w="0" w:type="auto"/>
        <w:tblInd w:w="1242" w:type="dxa"/>
        <w:tblLayout w:type="fixed"/>
        <w:tblLook w:val="0000" w:firstRow="0" w:lastRow="0" w:firstColumn="0" w:lastColumn="0" w:noHBand="0" w:noVBand="0"/>
      </w:tblPr>
      <w:tblGrid>
        <w:gridCol w:w="1560"/>
        <w:gridCol w:w="567"/>
        <w:gridCol w:w="5917"/>
      </w:tblGrid>
      <w:tr w:rsidR="00DE12A3" w:rsidRPr="00DE12A3" w14:paraId="3E099993" w14:textId="77777777" w:rsidTr="006D7ADF">
        <w:tc>
          <w:tcPr>
            <w:tcW w:w="1560" w:type="dxa"/>
          </w:tcPr>
          <w:p w14:paraId="6787E318" w14:textId="77777777" w:rsidR="00697681" w:rsidRPr="00DE12A3" w:rsidRDefault="00697681" w:rsidP="00C917D6">
            <w:pPr>
              <w:pStyle w:val="NormalLeft"/>
            </w:pPr>
            <w:r w:rsidRPr="00DE12A3">
              <w:rPr>
                <w:i/>
                <w:iCs/>
              </w:rPr>
              <w:t>c</w:t>
            </w:r>
            <w:r w:rsidRPr="00DE12A3">
              <w:rPr>
                <w:vertAlign w:val="subscript"/>
              </w:rPr>
              <w:t>CO2,d</w:t>
            </w:r>
          </w:p>
        </w:tc>
        <w:tc>
          <w:tcPr>
            <w:tcW w:w="567" w:type="dxa"/>
          </w:tcPr>
          <w:p w14:paraId="631FED61" w14:textId="77777777" w:rsidR="00697681" w:rsidRPr="00DE12A3" w:rsidRDefault="00697681" w:rsidP="00C917D6">
            <w:pPr>
              <w:pStyle w:val="NormalLeft"/>
            </w:pPr>
            <w:r w:rsidRPr="00DE12A3">
              <w:t>=</w:t>
            </w:r>
          </w:p>
        </w:tc>
        <w:tc>
          <w:tcPr>
            <w:tcW w:w="5917" w:type="dxa"/>
          </w:tcPr>
          <w:p w14:paraId="5AE27E06" w14:textId="63CBA157" w:rsidR="00697681" w:rsidRPr="00DE12A3" w:rsidRDefault="006D7ADF" w:rsidP="00C917D6">
            <w:pPr>
              <w:spacing w:before="120" w:after="120"/>
              <w:rPr>
                <w:rFonts w:cs="Times New Roman"/>
                <w:color w:val="auto"/>
              </w:rPr>
            </w:pPr>
            <w:r w:rsidRPr="00DE12A3">
              <w:rPr>
                <w:rFonts w:cs="Times New Roman"/>
                <w:color w:val="auto"/>
              </w:rPr>
              <w:t>Seyreltme</w:t>
            </w:r>
            <w:r w:rsidR="00697681" w:rsidRPr="00DE12A3">
              <w:rPr>
                <w:rFonts w:cs="Times New Roman"/>
                <w:color w:val="auto"/>
              </w:rPr>
              <w:t xml:space="preserve"> tünelinin çıkışındaki seyreltilmiş egzoz gazı içindeki yaş CO2 konsantrasyonu [%]</w:t>
            </w:r>
          </w:p>
        </w:tc>
      </w:tr>
      <w:tr w:rsidR="00DE12A3" w:rsidRPr="00DE12A3" w14:paraId="18224F17" w14:textId="77777777" w:rsidTr="006D7ADF">
        <w:tc>
          <w:tcPr>
            <w:tcW w:w="1560" w:type="dxa"/>
          </w:tcPr>
          <w:p w14:paraId="11557DBD" w14:textId="77777777" w:rsidR="00697681" w:rsidRPr="00DE12A3" w:rsidRDefault="00697681" w:rsidP="00C917D6">
            <w:pPr>
              <w:pStyle w:val="NormalLeft"/>
            </w:pPr>
            <w:r w:rsidRPr="00DE12A3">
              <w:rPr>
                <w:i/>
                <w:iCs/>
              </w:rPr>
              <w:t>c</w:t>
            </w:r>
            <w:r w:rsidRPr="00DE12A3">
              <w:rPr>
                <w:vertAlign w:val="subscript"/>
              </w:rPr>
              <w:t>CO2,a</w:t>
            </w:r>
          </w:p>
        </w:tc>
        <w:tc>
          <w:tcPr>
            <w:tcW w:w="567" w:type="dxa"/>
          </w:tcPr>
          <w:p w14:paraId="17C56D44" w14:textId="77777777" w:rsidR="00697681" w:rsidRPr="00DE12A3" w:rsidRDefault="00697681" w:rsidP="00C917D6">
            <w:pPr>
              <w:pStyle w:val="NormalLeft"/>
            </w:pPr>
            <w:r w:rsidRPr="00DE12A3">
              <w:t>=</w:t>
            </w:r>
          </w:p>
        </w:tc>
        <w:tc>
          <w:tcPr>
            <w:tcW w:w="5917" w:type="dxa"/>
          </w:tcPr>
          <w:p w14:paraId="0BFD86A0" w14:textId="201A4BDB" w:rsidR="00697681" w:rsidRPr="00DE12A3" w:rsidRDefault="006D7ADF" w:rsidP="00C917D6">
            <w:pPr>
              <w:spacing w:before="120" w:after="120"/>
              <w:rPr>
                <w:rFonts w:cs="Times New Roman"/>
                <w:color w:val="auto"/>
              </w:rPr>
            </w:pPr>
            <w:r w:rsidRPr="00DE12A3">
              <w:rPr>
                <w:rFonts w:cs="Times New Roman"/>
                <w:color w:val="auto"/>
              </w:rPr>
              <w:t>Ortam</w:t>
            </w:r>
            <w:r w:rsidR="00697681" w:rsidRPr="00DE12A3">
              <w:rPr>
                <w:rFonts w:cs="Times New Roman"/>
                <w:color w:val="auto"/>
              </w:rPr>
              <w:t xml:space="preserve"> havası içindeki yaş CO2 konsantrasyonu [%]</w:t>
            </w:r>
          </w:p>
        </w:tc>
      </w:tr>
      <w:tr w:rsidR="00DE12A3" w:rsidRPr="00DE12A3" w14:paraId="04954E8C" w14:textId="77777777" w:rsidTr="006D7ADF">
        <w:tc>
          <w:tcPr>
            <w:tcW w:w="1560" w:type="dxa"/>
          </w:tcPr>
          <w:p w14:paraId="7740EA36" w14:textId="77777777" w:rsidR="00697681" w:rsidRPr="00DE12A3" w:rsidRDefault="00697681" w:rsidP="00C917D6">
            <w:pPr>
              <w:pStyle w:val="NormalLeft"/>
            </w:pPr>
            <w:r w:rsidRPr="00DE12A3">
              <w:rPr>
                <w:i/>
                <w:iCs/>
              </w:rPr>
              <w:t>c</w:t>
            </w:r>
            <w:r w:rsidRPr="00DE12A3">
              <w:rPr>
                <w:vertAlign w:val="subscript"/>
              </w:rPr>
              <w:t>THC(C1),d</w:t>
            </w:r>
          </w:p>
        </w:tc>
        <w:tc>
          <w:tcPr>
            <w:tcW w:w="567" w:type="dxa"/>
          </w:tcPr>
          <w:p w14:paraId="1066170D" w14:textId="77777777" w:rsidR="00697681" w:rsidRPr="00DE12A3" w:rsidRDefault="00697681" w:rsidP="00C917D6">
            <w:pPr>
              <w:pStyle w:val="NormalLeft"/>
            </w:pPr>
            <w:r w:rsidRPr="00DE12A3">
              <w:t>=</w:t>
            </w:r>
          </w:p>
        </w:tc>
        <w:tc>
          <w:tcPr>
            <w:tcW w:w="5917" w:type="dxa"/>
          </w:tcPr>
          <w:p w14:paraId="378F03E6" w14:textId="53E2AAB1" w:rsidR="00697681" w:rsidRPr="00DE12A3" w:rsidRDefault="006D7ADF" w:rsidP="00C917D6">
            <w:pPr>
              <w:spacing w:before="120" w:after="120"/>
              <w:rPr>
                <w:rFonts w:cs="Times New Roman"/>
                <w:color w:val="auto"/>
              </w:rPr>
            </w:pPr>
            <w:r w:rsidRPr="00DE12A3">
              <w:rPr>
                <w:rFonts w:cs="Times New Roman"/>
                <w:color w:val="auto"/>
              </w:rPr>
              <w:t>Seyreltme</w:t>
            </w:r>
            <w:r w:rsidR="00697681" w:rsidRPr="00DE12A3">
              <w:rPr>
                <w:rFonts w:cs="Times New Roman"/>
                <w:color w:val="auto"/>
              </w:rPr>
              <w:t xml:space="preserve"> tünelinin çıkışındaki seyreltilmiş egzoz gazı içindeki THC(C1) konsantrasyonu [%]</w:t>
            </w:r>
          </w:p>
        </w:tc>
      </w:tr>
      <w:tr w:rsidR="00DE12A3" w:rsidRPr="00DE12A3" w14:paraId="43ACEDED" w14:textId="77777777" w:rsidTr="006D7ADF">
        <w:tc>
          <w:tcPr>
            <w:tcW w:w="1560" w:type="dxa"/>
          </w:tcPr>
          <w:p w14:paraId="6EF308FA" w14:textId="77777777" w:rsidR="00697681" w:rsidRPr="00DE12A3" w:rsidRDefault="00697681" w:rsidP="00C917D6">
            <w:pPr>
              <w:pStyle w:val="NormalLeft"/>
            </w:pPr>
            <w:r w:rsidRPr="00DE12A3">
              <w:rPr>
                <w:i/>
                <w:iCs/>
              </w:rPr>
              <w:t>c</w:t>
            </w:r>
            <w:r w:rsidRPr="00DE12A3">
              <w:rPr>
                <w:vertAlign w:val="subscript"/>
              </w:rPr>
              <w:t>THC(C1),a</w:t>
            </w:r>
          </w:p>
        </w:tc>
        <w:tc>
          <w:tcPr>
            <w:tcW w:w="567" w:type="dxa"/>
          </w:tcPr>
          <w:p w14:paraId="7CAC60E4" w14:textId="77777777" w:rsidR="00697681" w:rsidRPr="00DE12A3" w:rsidRDefault="00697681" w:rsidP="00C917D6">
            <w:pPr>
              <w:pStyle w:val="NormalLeft"/>
            </w:pPr>
            <w:r w:rsidRPr="00DE12A3">
              <w:t>=</w:t>
            </w:r>
          </w:p>
        </w:tc>
        <w:tc>
          <w:tcPr>
            <w:tcW w:w="5917" w:type="dxa"/>
          </w:tcPr>
          <w:p w14:paraId="7C0E179D" w14:textId="77777777" w:rsidR="00697681" w:rsidRPr="00DE12A3" w:rsidRDefault="00697681" w:rsidP="00C917D6">
            <w:pPr>
              <w:spacing w:before="120" w:after="120"/>
              <w:rPr>
                <w:rFonts w:cs="Times New Roman"/>
                <w:color w:val="auto"/>
              </w:rPr>
            </w:pPr>
            <w:r w:rsidRPr="00DE12A3">
              <w:rPr>
                <w:rFonts w:cs="Times New Roman"/>
                <w:color w:val="auto"/>
              </w:rPr>
              <w:t>Ortam havası içindeki THC(C1) konsantrasyonu [%]</w:t>
            </w:r>
          </w:p>
        </w:tc>
      </w:tr>
      <w:tr w:rsidR="00DE12A3" w:rsidRPr="00DE12A3" w14:paraId="1AEF1B44" w14:textId="77777777" w:rsidTr="006D7ADF">
        <w:tc>
          <w:tcPr>
            <w:tcW w:w="1560" w:type="dxa"/>
          </w:tcPr>
          <w:p w14:paraId="5C307BBB" w14:textId="77777777" w:rsidR="00697681" w:rsidRPr="00DE12A3" w:rsidRDefault="00697681" w:rsidP="00C917D6">
            <w:pPr>
              <w:pStyle w:val="NormalLeft"/>
            </w:pPr>
            <w:r w:rsidRPr="00DE12A3">
              <w:rPr>
                <w:i/>
                <w:iCs/>
              </w:rPr>
              <w:t>c</w:t>
            </w:r>
            <w:r w:rsidRPr="00DE12A3">
              <w:rPr>
                <w:vertAlign w:val="subscript"/>
              </w:rPr>
              <w:t>CO,d</w:t>
            </w:r>
          </w:p>
        </w:tc>
        <w:tc>
          <w:tcPr>
            <w:tcW w:w="567" w:type="dxa"/>
          </w:tcPr>
          <w:p w14:paraId="4B079E95" w14:textId="77777777" w:rsidR="00697681" w:rsidRPr="00DE12A3" w:rsidRDefault="00697681" w:rsidP="00C917D6">
            <w:pPr>
              <w:pStyle w:val="NormalLeft"/>
            </w:pPr>
            <w:r w:rsidRPr="00DE12A3">
              <w:t>=</w:t>
            </w:r>
          </w:p>
        </w:tc>
        <w:tc>
          <w:tcPr>
            <w:tcW w:w="5917" w:type="dxa"/>
          </w:tcPr>
          <w:p w14:paraId="7E5B984F" w14:textId="5E7DA9B1" w:rsidR="00697681" w:rsidRPr="00DE12A3" w:rsidRDefault="006D7ADF" w:rsidP="00C917D6">
            <w:pPr>
              <w:spacing w:before="120" w:after="120"/>
              <w:rPr>
                <w:rFonts w:cs="Times New Roman"/>
                <w:color w:val="auto"/>
              </w:rPr>
            </w:pPr>
            <w:r w:rsidRPr="00DE12A3">
              <w:rPr>
                <w:rFonts w:cs="Times New Roman"/>
                <w:color w:val="auto"/>
              </w:rPr>
              <w:t>Seyreltme</w:t>
            </w:r>
            <w:r w:rsidR="00697681" w:rsidRPr="00DE12A3">
              <w:rPr>
                <w:rFonts w:cs="Times New Roman"/>
                <w:color w:val="auto"/>
              </w:rPr>
              <w:t xml:space="preserve"> tünelinin çıkışındaki seyreltilmiş egzoz gazı içindeki yaş CO konsantrasyonu [%]</w:t>
            </w:r>
          </w:p>
        </w:tc>
      </w:tr>
      <w:tr w:rsidR="00DE12A3" w:rsidRPr="00DE12A3" w14:paraId="0A893A2D" w14:textId="77777777" w:rsidTr="006D7ADF">
        <w:tc>
          <w:tcPr>
            <w:tcW w:w="1560" w:type="dxa"/>
          </w:tcPr>
          <w:p w14:paraId="61F5D040" w14:textId="77777777" w:rsidR="00697681" w:rsidRPr="00DE12A3" w:rsidRDefault="00697681" w:rsidP="00C917D6">
            <w:pPr>
              <w:pStyle w:val="NormalLeft"/>
            </w:pPr>
            <w:r w:rsidRPr="00DE12A3">
              <w:rPr>
                <w:i/>
                <w:iCs/>
              </w:rPr>
              <w:t>c</w:t>
            </w:r>
            <w:r w:rsidRPr="00DE12A3">
              <w:rPr>
                <w:vertAlign w:val="subscript"/>
              </w:rPr>
              <w:t>CO,a</w:t>
            </w:r>
          </w:p>
        </w:tc>
        <w:tc>
          <w:tcPr>
            <w:tcW w:w="567" w:type="dxa"/>
          </w:tcPr>
          <w:p w14:paraId="2E430B35" w14:textId="77777777" w:rsidR="00697681" w:rsidRPr="00DE12A3" w:rsidRDefault="00697681" w:rsidP="00C917D6">
            <w:pPr>
              <w:pStyle w:val="NormalLeft"/>
            </w:pPr>
            <w:r w:rsidRPr="00DE12A3">
              <w:t>=</w:t>
            </w:r>
          </w:p>
        </w:tc>
        <w:tc>
          <w:tcPr>
            <w:tcW w:w="5917" w:type="dxa"/>
          </w:tcPr>
          <w:p w14:paraId="5D11AF91" w14:textId="6133A389" w:rsidR="00697681" w:rsidRPr="00DE12A3" w:rsidRDefault="006D7ADF" w:rsidP="00C917D6">
            <w:pPr>
              <w:spacing w:before="120" w:after="120"/>
              <w:rPr>
                <w:rFonts w:cs="Times New Roman"/>
                <w:color w:val="auto"/>
              </w:rPr>
            </w:pPr>
            <w:r w:rsidRPr="00DE12A3">
              <w:rPr>
                <w:rFonts w:cs="Times New Roman"/>
                <w:color w:val="auto"/>
              </w:rPr>
              <w:t>Ortam</w:t>
            </w:r>
            <w:r w:rsidR="00697681" w:rsidRPr="00DE12A3">
              <w:rPr>
                <w:rFonts w:cs="Times New Roman"/>
                <w:color w:val="auto"/>
              </w:rPr>
              <w:t xml:space="preserve"> havası içindeki yaş CO konsantrasyonu [%]</w:t>
            </w:r>
          </w:p>
        </w:tc>
      </w:tr>
      <w:tr w:rsidR="00DE12A3" w:rsidRPr="00DE12A3" w14:paraId="6E252857" w14:textId="77777777" w:rsidTr="006D7ADF">
        <w:tc>
          <w:tcPr>
            <w:tcW w:w="1560" w:type="dxa"/>
          </w:tcPr>
          <w:p w14:paraId="4D89846C" w14:textId="77777777" w:rsidR="00697681" w:rsidRPr="00DE12A3" w:rsidRDefault="00697681" w:rsidP="00C917D6">
            <w:pPr>
              <w:pStyle w:val="NormalLeft"/>
            </w:pPr>
            <w:r w:rsidRPr="00DE12A3">
              <w:rPr>
                <w:i/>
                <w:iCs/>
              </w:rPr>
              <w:t>q</w:t>
            </w:r>
            <w:r w:rsidRPr="00DE12A3">
              <w:rPr>
                <w:i/>
                <w:iCs/>
                <w:vertAlign w:val="subscript"/>
              </w:rPr>
              <w:t>m</w:t>
            </w:r>
            <w:r w:rsidRPr="00DE12A3">
              <w:rPr>
                <w:vertAlign w:val="subscript"/>
              </w:rPr>
              <w:t>dew</w:t>
            </w:r>
          </w:p>
        </w:tc>
        <w:tc>
          <w:tcPr>
            <w:tcW w:w="567" w:type="dxa"/>
          </w:tcPr>
          <w:p w14:paraId="2FAA064A" w14:textId="77777777" w:rsidR="00697681" w:rsidRPr="00DE12A3" w:rsidRDefault="00697681" w:rsidP="00C917D6">
            <w:pPr>
              <w:pStyle w:val="NormalLeft"/>
            </w:pPr>
            <w:r w:rsidRPr="00DE12A3">
              <w:t>=</w:t>
            </w:r>
          </w:p>
        </w:tc>
        <w:tc>
          <w:tcPr>
            <w:tcW w:w="5917" w:type="dxa"/>
          </w:tcPr>
          <w:p w14:paraId="28C023AB" w14:textId="7DC7EE13" w:rsidR="00697681" w:rsidRPr="00DE12A3" w:rsidRDefault="006D7ADF" w:rsidP="00C917D6">
            <w:pPr>
              <w:spacing w:before="120" w:after="120"/>
              <w:rPr>
                <w:rFonts w:cs="Times New Roman"/>
                <w:color w:val="auto"/>
              </w:rPr>
            </w:pPr>
            <w:r w:rsidRPr="00DE12A3">
              <w:rPr>
                <w:rFonts w:cs="Times New Roman"/>
                <w:color w:val="auto"/>
              </w:rPr>
              <w:t>Kısmi</w:t>
            </w:r>
            <w:r w:rsidR="00697681" w:rsidRPr="00DE12A3">
              <w:rPr>
                <w:rFonts w:cs="Times New Roman"/>
                <w:color w:val="auto"/>
              </w:rPr>
              <w:t xml:space="preserve"> akışlı seyreltme sistemi içindeki seyreltilmiş </w:t>
            </w:r>
            <w:r w:rsidR="00697681" w:rsidRPr="00DE12A3">
              <w:rPr>
                <w:rFonts w:cs="Times New Roman"/>
                <w:color w:val="auto"/>
              </w:rPr>
              <w:lastRenderedPageBreak/>
              <w:t>numune akışı [kg/s]</w:t>
            </w:r>
          </w:p>
        </w:tc>
      </w:tr>
      <w:tr w:rsidR="00DE12A3" w:rsidRPr="00DE12A3" w14:paraId="2129EBFE" w14:textId="77777777" w:rsidTr="006D7ADF">
        <w:tc>
          <w:tcPr>
            <w:tcW w:w="1560" w:type="dxa"/>
          </w:tcPr>
          <w:p w14:paraId="22898DEA" w14:textId="77777777" w:rsidR="00697681" w:rsidRPr="00DE12A3" w:rsidRDefault="00697681" w:rsidP="00C917D6">
            <w:pPr>
              <w:pStyle w:val="NormalLeft"/>
            </w:pPr>
            <w:r w:rsidRPr="00DE12A3">
              <w:rPr>
                <w:i/>
                <w:iCs/>
              </w:rPr>
              <w:lastRenderedPageBreak/>
              <w:t>q</w:t>
            </w:r>
            <w:r w:rsidRPr="00DE12A3">
              <w:rPr>
                <w:i/>
                <w:iCs/>
                <w:vertAlign w:val="subscript"/>
              </w:rPr>
              <w:t>m</w:t>
            </w:r>
            <w:r w:rsidRPr="00DE12A3">
              <w:rPr>
                <w:vertAlign w:val="subscript"/>
              </w:rPr>
              <w:t>ew</w:t>
            </w:r>
          </w:p>
        </w:tc>
        <w:tc>
          <w:tcPr>
            <w:tcW w:w="567" w:type="dxa"/>
          </w:tcPr>
          <w:p w14:paraId="12160AAD" w14:textId="77777777" w:rsidR="00697681" w:rsidRPr="00DE12A3" w:rsidRDefault="00697681" w:rsidP="00C917D6">
            <w:pPr>
              <w:pStyle w:val="NormalLeft"/>
            </w:pPr>
            <w:r w:rsidRPr="00DE12A3">
              <w:t>=</w:t>
            </w:r>
          </w:p>
        </w:tc>
        <w:tc>
          <w:tcPr>
            <w:tcW w:w="5917" w:type="dxa"/>
          </w:tcPr>
          <w:p w14:paraId="72A438F4" w14:textId="38511536" w:rsidR="00697681" w:rsidRPr="00DE12A3" w:rsidRDefault="006D7ADF" w:rsidP="00C917D6">
            <w:pPr>
              <w:spacing w:before="120" w:after="120"/>
              <w:rPr>
                <w:rFonts w:cs="Times New Roman"/>
                <w:color w:val="auto"/>
              </w:rPr>
            </w:pPr>
            <w:r w:rsidRPr="00DE12A3">
              <w:rPr>
                <w:rFonts w:cs="Times New Roman"/>
                <w:color w:val="auto"/>
              </w:rPr>
              <w:t>Yaş</w:t>
            </w:r>
            <w:r w:rsidR="00697681" w:rsidRPr="00DE12A3">
              <w:rPr>
                <w:rFonts w:cs="Times New Roman"/>
                <w:color w:val="auto"/>
              </w:rPr>
              <w:t xml:space="preserve"> bazda egzoz gazı kütle akış hızı [kg/s]</w:t>
            </w:r>
          </w:p>
        </w:tc>
      </w:tr>
      <w:tr w:rsidR="00DE12A3" w:rsidRPr="00DE12A3" w14:paraId="70E9F4BD" w14:textId="77777777" w:rsidTr="006D7ADF">
        <w:tc>
          <w:tcPr>
            <w:tcW w:w="1560" w:type="dxa"/>
          </w:tcPr>
          <w:p w14:paraId="604F32C8" w14:textId="77777777" w:rsidR="00697681" w:rsidRPr="00DE12A3" w:rsidRDefault="00697681" w:rsidP="00C917D6">
            <w:pPr>
              <w:pStyle w:val="NormalLeft"/>
            </w:pPr>
            <w:r w:rsidRPr="00DE12A3">
              <w:rPr>
                <w:i/>
                <w:iCs/>
              </w:rPr>
              <w:t>q</w:t>
            </w:r>
            <w:r w:rsidRPr="00DE12A3">
              <w:rPr>
                <w:i/>
                <w:iCs/>
                <w:vertAlign w:val="subscript"/>
              </w:rPr>
              <w:t>m</w:t>
            </w:r>
            <w:r w:rsidRPr="00DE12A3">
              <w:rPr>
                <w:vertAlign w:val="subscript"/>
              </w:rPr>
              <w:t>p</w:t>
            </w:r>
          </w:p>
        </w:tc>
        <w:tc>
          <w:tcPr>
            <w:tcW w:w="567" w:type="dxa"/>
          </w:tcPr>
          <w:p w14:paraId="595C15BF" w14:textId="77777777" w:rsidR="00697681" w:rsidRPr="00DE12A3" w:rsidRDefault="00697681" w:rsidP="00C917D6">
            <w:pPr>
              <w:pStyle w:val="NormalLeft"/>
            </w:pPr>
            <w:r w:rsidRPr="00DE12A3">
              <w:t>=</w:t>
            </w:r>
          </w:p>
        </w:tc>
        <w:tc>
          <w:tcPr>
            <w:tcW w:w="5917" w:type="dxa"/>
          </w:tcPr>
          <w:p w14:paraId="3CBB1A3A" w14:textId="4CE3E197" w:rsidR="00697681" w:rsidRPr="00DE12A3" w:rsidRDefault="006D7ADF" w:rsidP="00C917D6">
            <w:pPr>
              <w:spacing w:before="120" w:after="120"/>
              <w:rPr>
                <w:rFonts w:cs="Times New Roman"/>
                <w:color w:val="auto"/>
              </w:rPr>
            </w:pPr>
            <w:r w:rsidRPr="00DE12A3">
              <w:rPr>
                <w:rFonts w:cs="Times New Roman"/>
                <w:color w:val="auto"/>
              </w:rPr>
              <w:t>Kısmi</w:t>
            </w:r>
            <w:r w:rsidR="00697681" w:rsidRPr="00DE12A3">
              <w:rPr>
                <w:rFonts w:cs="Times New Roman"/>
                <w:color w:val="auto"/>
              </w:rPr>
              <w:t xml:space="preserve"> akışlı seyreltme sistemi içine egzoz gazı numune akışı [kg/s]</w:t>
            </w:r>
          </w:p>
        </w:tc>
      </w:tr>
      <w:tr w:rsidR="00697681" w:rsidRPr="00DE12A3" w14:paraId="79883E96" w14:textId="77777777" w:rsidTr="006D7ADF">
        <w:tc>
          <w:tcPr>
            <w:tcW w:w="1560" w:type="dxa"/>
          </w:tcPr>
          <w:p w14:paraId="5A5EF669" w14:textId="77777777" w:rsidR="00697681" w:rsidRPr="00DE12A3" w:rsidRDefault="00697681" w:rsidP="00C917D6">
            <w:pPr>
              <w:pStyle w:val="NormalLeft"/>
            </w:pPr>
            <w:r w:rsidRPr="00DE12A3">
              <w:rPr>
                <w:i/>
                <w:iCs/>
              </w:rPr>
              <w:t>M</w:t>
            </w:r>
            <w:r w:rsidRPr="00DE12A3">
              <w:rPr>
                <w:vertAlign w:val="subscript"/>
              </w:rPr>
              <w:t>e</w:t>
            </w:r>
          </w:p>
        </w:tc>
        <w:tc>
          <w:tcPr>
            <w:tcW w:w="567" w:type="dxa"/>
          </w:tcPr>
          <w:p w14:paraId="08200ED0" w14:textId="77777777" w:rsidR="00697681" w:rsidRPr="00DE12A3" w:rsidRDefault="00697681" w:rsidP="00C917D6">
            <w:pPr>
              <w:pStyle w:val="NormalLeft"/>
            </w:pPr>
            <w:r w:rsidRPr="00DE12A3">
              <w:t>=</w:t>
            </w:r>
          </w:p>
        </w:tc>
        <w:tc>
          <w:tcPr>
            <w:tcW w:w="5917" w:type="dxa"/>
          </w:tcPr>
          <w:p w14:paraId="50E4EDEB" w14:textId="3543C3F1" w:rsidR="00697681" w:rsidRPr="00DE12A3" w:rsidRDefault="006D7ADF" w:rsidP="00C917D6">
            <w:pPr>
              <w:spacing w:before="120" w:after="120"/>
              <w:rPr>
                <w:rFonts w:cs="Times New Roman"/>
                <w:color w:val="auto"/>
              </w:rPr>
            </w:pPr>
            <w:r w:rsidRPr="00DE12A3">
              <w:rPr>
                <w:rFonts w:cs="Times New Roman"/>
                <w:color w:val="auto"/>
              </w:rPr>
              <w:t>Egzoz</w:t>
            </w:r>
            <w:r w:rsidR="00697681" w:rsidRPr="00DE12A3">
              <w:rPr>
                <w:rFonts w:cs="Times New Roman"/>
                <w:color w:val="auto"/>
              </w:rPr>
              <w:t xml:space="preserve"> gazının molar kütlesi [g/mol]</w:t>
            </w:r>
          </w:p>
        </w:tc>
      </w:tr>
    </w:tbl>
    <w:p w14:paraId="7AD6081C" w14:textId="77777777" w:rsidR="009F4766" w:rsidRPr="00DE12A3" w:rsidRDefault="009F4766" w:rsidP="00C917D6">
      <w:pPr>
        <w:spacing w:before="120" w:after="120"/>
        <w:rPr>
          <w:rFonts w:cs="Times New Roman"/>
          <w:color w:val="auto"/>
        </w:rPr>
      </w:pPr>
    </w:p>
    <w:p w14:paraId="000211B0" w14:textId="77777777" w:rsidR="00697681" w:rsidRPr="00DE12A3" w:rsidRDefault="00697681" w:rsidP="005512D7">
      <w:pPr>
        <w:spacing w:before="120" w:after="120"/>
        <w:jc w:val="both"/>
        <w:rPr>
          <w:rFonts w:cs="Times New Roman"/>
          <w:color w:val="auto"/>
        </w:rPr>
      </w:pPr>
      <w:r w:rsidRPr="00DE12A3">
        <w:rPr>
          <w:rFonts w:cs="Times New Roman"/>
          <w:color w:val="auto"/>
        </w:rPr>
        <w:t>CO</w:t>
      </w:r>
      <w:r w:rsidRPr="00DE12A3">
        <w:rPr>
          <w:rFonts w:cs="Times New Roman"/>
          <w:color w:val="auto"/>
          <w:vertAlign w:val="subscript"/>
        </w:rPr>
        <w:t>2</w:t>
      </w:r>
      <w:r w:rsidRPr="00DE12A3">
        <w:rPr>
          <w:rFonts w:cs="Times New Roman"/>
          <w:color w:val="auto"/>
        </w:rPr>
        <w:t xml:space="preserve"> veya CO kuru bazda ölçülürse, bu Ekin 2.1.3 bendi veya 3.5.2 bendi uyarınca yaş baza dönüştürülmelidir.</w:t>
      </w:r>
    </w:p>
    <w:p w14:paraId="6A6D359F" w14:textId="3624D73F" w:rsidR="00697681" w:rsidRPr="00DE12A3" w:rsidRDefault="00697681" w:rsidP="00C917D6">
      <w:pPr>
        <w:spacing w:before="120" w:after="120"/>
        <w:ind w:left="1134" w:hanging="1134"/>
        <w:rPr>
          <w:rFonts w:cs="Times New Roman"/>
          <w:color w:val="auto"/>
        </w:rPr>
      </w:pPr>
      <w:r w:rsidRPr="00DE12A3">
        <w:rPr>
          <w:rFonts w:cs="Times New Roman"/>
          <w:b/>
          <w:bCs/>
          <w:color w:val="auto"/>
        </w:rPr>
        <w:t>5.</w:t>
      </w:r>
      <w:r w:rsidR="005512D7" w:rsidRPr="00DE12A3">
        <w:rPr>
          <w:rFonts w:cs="Times New Roman"/>
          <w:b/>
          <w:bCs/>
          <w:color w:val="auto"/>
        </w:rPr>
        <w:t xml:space="preserve"> </w:t>
      </w:r>
      <w:r w:rsidRPr="00DE12A3">
        <w:rPr>
          <w:rFonts w:cs="Times New Roman"/>
          <w:b/>
          <w:color w:val="auto"/>
        </w:rPr>
        <w:t>Egzoz gazının molar kütlesinin hesaplanması</w:t>
      </w:r>
    </w:p>
    <w:p w14:paraId="7AAF06CD" w14:textId="112852AD" w:rsidR="00697681" w:rsidRPr="00DE12A3" w:rsidRDefault="00697681" w:rsidP="005512D7">
      <w:pPr>
        <w:spacing w:before="120" w:after="120"/>
        <w:jc w:val="both"/>
        <w:rPr>
          <w:rFonts w:cs="Times New Roman"/>
          <w:color w:val="auto"/>
        </w:rPr>
      </w:pPr>
      <w:r w:rsidRPr="00DE12A3">
        <w:rPr>
          <w:rFonts w:cs="Times New Roman"/>
          <w:color w:val="auto"/>
        </w:rPr>
        <w:t xml:space="preserve">Egzoz gazının molar kütlesi, (7-13) </w:t>
      </w:r>
      <w:r w:rsidR="005C6D9F" w:rsidRPr="00DE12A3">
        <w:rPr>
          <w:color w:val="auto"/>
        </w:rPr>
        <w:t>numaralı</w:t>
      </w:r>
      <w:r w:rsidR="005C6D9F" w:rsidRPr="00DE12A3" w:rsidDel="005C6D9F">
        <w:rPr>
          <w:rFonts w:cs="Times New Roman"/>
          <w:color w:val="auto"/>
        </w:rPr>
        <w:t xml:space="preserve"> </w:t>
      </w:r>
      <w:r w:rsidRPr="00DE12A3">
        <w:rPr>
          <w:rFonts w:cs="Times New Roman"/>
          <w:color w:val="auto"/>
        </w:rPr>
        <w:t>denklem ile hesaplanmalıdır (bkz. bu Ekin 2.1.5.2 bendi).</w:t>
      </w:r>
    </w:p>
    <w:p w14:paraId="27A4DFB5" w14:textId="77777777" w:rsidR="00697681" w:rsidRPr="00DE12A3" w:rsidRDefault="00697681" w:rsidP="005512D7">
      <w:pPr>
        <w:spacing w:before="120" w:after="120"/>
        <w:jc w:val="both"/>
        <w:rPr>
          <w:rFonts w:cs="Times New Roman"/>
          <w:color w:val="auto"/>
        </w:rPr>
      </w:pPr>
      <w:r w:rsidRPr="00DE12A3">
        <w:rPr>
          <w:rFonts w:cs="Times New Roman"/>
          <w:color w:val="auto"/>
        </w:rPr>
        <w:t>Alternatif olarak, aşağıdaki egzoz gazı molar kütleleri kullanılabilir:</w:t>
      </w:r>
    </w:p>
    <w:p w14:paraId="7B26F8B2" w14:textId="77777777" w:rsidR="00697681" w:rsidRPr="00DE12A3" w:rsidRDefault="00697681" w:rsidP="005512D7">
      <w:pPr>
        <w:spacing w:before="120" w:after="120"/>
        <w:jc w:val="both"/>
        <w:rPr>
          <w:rFonts w:cs="Times New Roman"/>
          <w:color w:val="auto"/>
        </w:rPr>
      </w:pPr>
      <w:r w:rsidRPr="00DE12A3">
        <w:rPr>
          <w:rFonts w:cs="Times New Roman"/>
          <w:color w:val="auto"/>
        </w:rPr>
        <w:t>M</w:t>
      </w:r>
      <w:r w:rsidRPr="00DE12A3">
        <w:rPr>
          <w:rFonts w:cs="Times New Roman"/>
          <w:color w:val="auto"/>
          <w:vertAlign w:val="subscript"/>
        </w:rPr>
        <w:t>e</w:t>
      </w:r>
      <w:r w:rsidRPr="00DE12A3">
        <w:rPr>
          <w:rFonts w:cs="Times New Roman"/>
          <w:color w:val="auto"/>
        </w:rPr>
        <w:t xml:space="preserve"> (dizel) = 28,9 g/mol</w:t>
      </w:r>
    </w:p>
    <w:p w14:paraId="211FAB9E" w14:textId="77777777" w:rsidR="00697681" w:rsidRPr="00DE12A3" w:rsidRDefault="00697681" w:rsidP="005512D7">
      <w:pPr>
        <w:spacing w:before="120" w:after="120"/>
        <w:jc w:val="both"/>
        <w:rPr>
          <w:rFonts w:cs="Times New Roman"/>
          <w:color w:val="auto"/>
        </w:rPr>
      </w:pPr>
      <w:r w:rsidRPr="00DE12A3">
        <w:rPr>
          <w:rFonts w:cs="Times New Roman"/>
          <w:color w:val="auto"/>
        </w:rPr>
        <w:t>M</w:t>
      </w:r>
      <w:r w:rsidRPr="00DE12A3">
        <w:rPr>
          <w:rFonts w:cs="Times New Roman"/>
          <w:color w:val="auto"/>
          <w:vertAlign w:val="subscript"/>
        </w:rPr>
        <w:t>e</w:t>
      </w:r>
      <w:r w:rsidRPr="00DE12A3">
        <w:rPr>
          <w:rFonts w:cs="Times New Roman"/>
          <w:color w:val="auto"/>
        </w:rPr>
        <w:t xml:space="preserve"> (LPG) = 28,6 g/mol</w:t>
      </w:r>
    </w:p>
    <w:p w14:paraId="5707960D" w14:textId="77777777" w:rsidR="00697681" w:rsidRPr="00DE12A3" w:rsidRDefault="00697681" w:rsidP="005512D7">
      <w:pPr>
        <w:spacing w:before="120" w:after="120"/>
        <w:jc w:val="both"/>
        <w:rPr>
          <w:rFonts w:cs="Times New Roman"/>
          <w:color w:val="auto"/>
        </w:rPr>
      </w:pPr>
      <w:r w:rsidRPr="00DE12A3">
        <w:rPr>
          <w:rFonts w:cs="Times New Roman"/>
          <w:color w:val="auto"/>
        </w:rPr>
        <w:t>M</w:t>
      </w:r>
      <w:r w:rsidRPr="00DE12A3">
        <w:rPr>
          <w:rFonts w:cs="Times New Roman"/>
          <w:color w:val="auto"/>
          <w:vertAlign w:val="subscript"/>
        </w:rPr>
        <w:t>e</w:t>
      </w:r>
      <w:r w:rsidRPr="00DE12A3">
        <w:rPr>
          <w:rFonts w:cs="Times New Roman"/>
          <w:color w:val="auto"/>
        </w:rPr>
        <w:t xml:space="preserve"> (Doğal gaz/biyometan) = 28,3 g/mol</w:t>
      </w:r>
    </w:p>
    <w:p w14:paraId="59145FC4" w14:textId="77777777" w:rsidR="00697681" w:rsidRPr="00DE12A3" w:rsidRDefault="00697681" w:rsidP="005512D7">
      <w:pPr>
        <w:spacing w:before="120" w:after="120"/>
        <w:jc w:val="both"/>
        <w:rPr>
          <w:rFonts w:cs="Times New Roman"/>
          <w:color w:val="auto"/>
        </w:rPr>
      </w:pPr>
      <w:r w:rsidRPr="00DE12A3">
        <w:rPr>
          <w:rFonts w:cs="Times New Roman"/>
          <w:color w:val="auto"/>
        </w:rPr>
        <w:t>M</w:t>
      </w:r>
      <w:r w:rsidRPr="00DE12A3">
        <w:rPr>
          <w:rFonts w:cs="Times New Roman"/>
          <w:color w:val="auto"/>
          <w:vertAlign w:val="subscript"/>
        </w:rPr>
        <w:t>e</w:t>
      </w:r>
      <w:r w:rsidRPr="00DE12A3">
        <w:rPr>
          <w:rFonts w:cs="Times New Roman"/>
          <w:color w:val="auto"/>
        </w:rPr>
        <w:t xml:space="preserve"> (Benzin) = 29,0 g/mol</w:t>
      </w:r>
    </w:p>
    <w:p w14:paraId="47DFD9CC" w14:textId="77777777" w:rsidR="00697681" w:rsidRPr="00DE12A3" w:rsidRDefault="00697681" w:rsidP="00C917D6">
      <w:pPr>
        <w:spacing w:before="120" w:after="120"/>
        <w:rPr>
          <w:rFonts w:cs="Times New Roman"/>
          <w:color w:val="auto"/>
        </w:rPr>
      </w:pPr>
    </w:p>
    <w:p w14:paraId="71B333AF" w14:textId="4CCCECE0" w:rsidR="004E09D1" w:rsidRPr="00DE12A3" w:rsidRDefault="004E09D1">
      <w:pPr>
        <w:widowControl/>
        <w:rPr>
          <w:rFonts w:cs="Times New Roman"/>
          <w:color w:val="auto"/>
        </w:rPr>
      </w:pPr>
      <w:r w:rsidRPr="00DE12A3">
        <w:rPr>
          <w:rFonts w:cs="Times New Roman"/>
          <w:color w:val="auto"/>
        </w:rPr>
        <w:br w:type="page"/>
      </w:r>
    </w:p>
    <w:p w14:paraId="6823BC18" w14:textId="77777777" w:rsidR="00E63CD3" w:rsidRPr="00DE12A3" w:rsidRDefault="00E63CD3" w:rsidP="004E09D1">
      <w:pPr>
        <w:pStyle w:val="Balk2"/>
        <w:rPr>
          <w:color w:val="auto"/>
        </w:rPr>
      </w:pPr>
      <w:r w:rsidRPr="00DE12A3">
        <w:rPr>
          <w:color w:val="auto"/>
        </w:rPr>
        <w:lastRenderedPageBreak/>
        <w:t>3. Açıklayıcı Ek</w:t>
      </w:r>
    </w:p>
    <w:p w14:paraId="3DF3C454" w14:textId="77777777" w:rsidR="00E63CD3" w:rsidRPr="00DE12A3" w:rsidRDefault="00E63CD3" w:rsidP="00C917D6">
      <w:pPr>
        <w:pStyle w:val="Annexetitreacte"/>
        <w:rPr>
          <w:u w:val="none"/>
        </w:rPr>
      </w:pPr>
      <w:r w:rsidRPr="00DE12A3">
        <w:rPr>
          <w:u w:val="none"/>
        </w:rPr>
        <w:t>İstatistik</w:t>
      </w:r>
    </w:p>
    <w:p w14:paraId="4BBFB2AA" w14:textId="15B341DD" w:rsidR="00E63CD3" w:rsidRPr="00DE12A3" w:rsidRDefault="00E63CD3" w:rsidP="00C917D6">
      <w:pPr>
        <w:pStyle w:val="Annexetitreacte"/>
        <w:ind w:left="1134" w:hanging="1134"/>
        <w:jc w:val="left"/>
        <w:rPr>
          <w:u w:val="none"/>
        </w:rPr>
      </w:pPr>
      <w:r w:rsidRPr="00DE12A3">
        <w:rPr>
          <w:bCs w:val="0"/>
          <w:u w:val="none"/>
        </w:rPr>
        <w:t>1.</w:t>
      </w:r>
      <w:r w:rsidR="005512D7" w:rsidRPr="00DE12A3">
        <w:rPr>
          <w:bCs w:val="0"/>
          <w:u w:val="none"/>
        </w:rPr>
        <w:t xml:space="preserve"> </w:t>
      </w:r>
      <w:r w:rsidRPr="00DE12A3">
        <w:rPr>
          <w:u w:val="none"/>
        </w:rPr>
        <w:t>Aritmetik ortalama</w:t>
      </w:r>
    </w:p>
    <w:p w14:paraId="14361008" w14:textId="52F8714A" w:rsidR="00E63CD3" w:rsidRPr="00DE12A3" w:rsidRDefault="00E63CD3" w:rsidP="00C917D6">
      <w:pPr>
        <w:pStyle w:val="Annexetitreacte"/>
        <w:ind w:left="1134"/>
        <w:jc w:val="left"/>
        <w:rPr>
          <w:b w:val="0"/>
          <w:u w:val="none"/>
        </w:rPr>
      </w:pPr>
      <w:r w:rsidRPr="00DE12A3">
        <w:rPr>
          <w:b w:val="0"/>
          <w:u w:val="none"/>
        </w:rPr>
        <w:t xml:space="preserve">Aritmetik ortalama </w:t>
      </w:r>
      <w:r w:rsidRPr="00DE12A3">
        <w:rPr>
          <w:noProof/>
          <w:lang w:val="tr-TR"/>
        </w:rPr>
        <w:drawing>
          <wp:inline distT="0" distB="0" distL="0" distR="0" wp14:anchorId="77D5CDF6" wp14:editId="604B4D47">
            <wp:extent cx="193675" cy="269875"/>
            <wp:effectExtent l="0" t="0" r="0" b="0"/>
            <wp:docPr id="69" name="Resim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93675" cy="269875"/>
                    </a:xfrm>
                    <a:prstGeom prst="rect">
                      <a:avLst/>
                    </a:prstGeom>
                    <a:noFill/>
                    <a:ln>
                      <a:noFill/>
                    </a:ln>
                  </pic:spPr>
                </pic:pic>
              </a:graphicData>
            </a:graphic>
          </wp:inline>
        </w:drawing>
      </w:r>
      <w:r w:rsidRPr="00DE12A3">
        <w:rPr>
          <w:b w:val="0"/>
          <w:u w:val="none"/>
        </w:rPr>
        <w:t xml:space="preserve">, (7-155) </w:t>
      </w:r>
      <w:r w:rsidR="005C6D9F" w:rsidRPr="00DE12A3">
        <w:rPr>
          <w:b w:val="0"/>
          <w:u w:val="none"/>
        </w:rPr>
        <w:t>numaralı</w:t>
      </w:r>
      <w:r w:rsidR="005C6D9F" w:rsidRPr="00DE12A3" w:rsidDel="005C6D9F">
        <w:rPr>
          <w:b w:val="0"/>
          <w:u w:val="none"/>
        </w:rPr>
        <w:t xml:space="preserve"> </w:t>
      </w:r>
      <w:r w:rsidRPr="00DE12A3">
        <w:rPr>
          <w:b w:val="0"/>
          <w:u w:val="none"/>
        </w:rPr>
        <w:t xml:space="preserve"> denklem ile </w:t>
      </w:r>
      <w:r w:rsidR="002654C8" w:rsidRPr="00DE12A3">
        <w:rPr>
          <w:b w:val="0"/>
          <w:u w:val="none"/>
        </w:rPr>
        <w:t>hesaplanır :</w:t>
      </w:r>
    </w:p>
    <w:p w14:paraId="7911C870" w14:textId="77777777" w:rsidR="00E63CD3" w:rsidRPr="00DE12A3" w:rsidRDefault="00E63CD3" w:rsidP="005512D7">
      <w:pPr>
        <w:pStyle w:val="Annexetitreacte"/>
        <w:jc w:val="left"/>
      </w:pPr>
    </w:p>
    <w:tbl>
      <w:tblPr>
        <w:tblW w:w="0" w:type="auto"/>
        <w:tblInd w:w="3529" w:type="dxa"/>
        <w:tblLayout w:type="fixed"/>
        <w:tblLook w:val="0000" w:firstRow="0" w:lastRow="0" w:firstColumn="0" w:lastColumn="0" w:noHBand="0" w:noVBand="0"/>
      </w:tblPr>
      <w:tblGrid>
        <w:gridCol w:w="3096"/>
        <w:gridCol w:w="2533"/>
      </w:tblGrid>
      <w:tr w:rsidR="00E63CD3" w:rsidRPr="00DE12A3" w14:paraId="0FA2BC41" w14:textId="77777777" w:rsidTr="001A234D">
        <w:trPr>
          <w:trHeight w:val="953"/>
        </w:trPr>
        <w:tc>
          <w:tcPr>
            <w:tcW w:w="3096" w:type="dxa"/>
          </w:tcPr>
          <w:p w14:paraId="3A43601B" w14:textId="00956776" w:rsidR="009F4766" w:rsidRPr="00DE12A3" w:rsidRDefault="009F4766" w:rsidP="00C917D6">
            <w:pPr>
              <w:pStyle w:val="NormalLeft"/>
            </w:pPr>
            <w:r w:rsidRPr="00DE12A3">
              <w:rPr>
                <w:noProof/>
                <w:lang w:val="tr-TR"/>
              </w:rPr>
              <w:drawing>
                <wp:inline distT="0" distB="0" distL="0" distR="0" wp14:anchorId="43E080D3" wp14:editId="16BAE4F0">
                  <wp:extent cx="1764030" cy="375138"/>
                  <wp:effectExtent l="0" t="0" r="0" b="6350"/>
                  <wp:docPr id="2437" name="Resim 24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226">
                            <a:extLst>
                              <a:ext uri="{28A0092B-C50C-407E-A947-70E740481C1C}">
                                <a14:useLocalDpi xmlns:a14="http://schemas.microsoft.com/office/drawing/2010/main" val="0"/>
                              </a:ext>
                            </a:extLst>
                          </a:blip>
                          <a:srcRect/>
                          <a:stretch>
                            <a:fillRect/>
                          </a:stretch>
                        </pic:blipFill>
                        <pic:spPr bwMode="auto">
                          <a:xfrm>
                            <a:off x="0" y="0"/>
                            <a:ext cx="1798548" cy="382479"/>
                          </a:xfrm>
                          <a:prstGeom prst="rect">
                            <a:avLst/>
                          </a:prstGeom>
                          <a:noFill/>
                          <a:ln>
                            <a:noFill/>
                          </a:ln>
                        </pic:spPr>
                      </pic:pic>
                    </a:graphicData>
                  </a:graphic>
                </wp:inline>
              </w:drawing>
            </w:r>
          </w:p>
        </w:tc>
        <w:tc>
          <w:tcPr>
            <w:tcW w:w="2533" w:type="dxa"/>
          </w:tcPr>
          <w:p w14:paraId="45CAC98B" w14:textId="77777777" w:rsidR="009F4766" w:rsidRPr="00DE12A3" w:rsidRDefault="009F4766" w:rsidP="00C917D6">
            <w:pPr>
              <w:pStyle w:val="NormalLeft"/>
            </w:pPr>
            <w:r w:rsidRPr="00DE12A3">
              <w:t>(7-155)</w:t>
            </w:r>
          </w:p>
        </w:tc>
      </w:tr>
    </w:tbl>
    <w:p w14:paraId="711CCC86" w14:textId="77777777" w:rsidR="009F4766" w:rsidRPr="00DE12A3" w:rsidRDefault="009F4766" w:rsidP="00C917D6">
      <w:pPr>
        <w:spacing w:before="120" w:after="120"/>
        <w:rPr>
          <w:rFonts w:cs="Times New Roman"/>
          <w:color w:val="auto"/>
        </w:rPr>
      </w:pPr>
    </w:p>
    <w:p w14:paraId="78DF1262" w14:textId="619CDDDB" w:rsidR="00E63CD3" w:rsidRPr="00DE12A3" w:rsidRDefault="009F4766" w:rsidP="005512D7">
      <w:pPr>
        <w:rPr>
          <w:b/>
          <w:bCs/>
          <w:color w:val="auto"/>
        </w:rPr>
      </w:pPr>
      <w:r w:rsidRPr="00DE12A3">
        <w:rPr>
          <w:b/>
          <w:bCs/>
          <w:color w:val="auto"/>
        </w:rPr>
        <w:t>2.</w:t>
      </w:r>
      <w:r w:rsidR="005512D7" w:rsidRPr="00DE12A3">
        <w:rPr>
          <w:b/>
          <w:bCs/>
          <w:color w:val="auto"/>
        </w:rPr>
        <w:t xml:space="preserve"> </w:t>
      </w:r>
      <w:r w:rsidR="00E63CD3" w:rsidRPr="00DE12A3">
        <w:rPr>
          <w:b/>
          <w:bCs/>
          <w:color w:val="auto"/>
        </w:rPr>
        <w:t>Standart sapma</w:t>
      </w:r>
    </w:p>
    <w:p w14:paraId="20D13469" w14:textId="201F17CD" w:rsidR="00E63CD3" w:rsidRPr="00DE12A3" w:rsidRDefault="00E63CD3" w:rsidP="00051047">
      <w:pPr>
        <w:rPr>
          <w:color w:val="auto"/>
        </w:rPr>
      </w:pPr>
      <w:r w:rsidRPr="00DE12A3">
        <w:rPr>
          <w:color w:val="auto"/>
        </w:rPr>
        <w:t>Yansız (</w:t>
      </w:r>
      <w:r w:rsidR="005B014A" w:rsidRPr="00DE12A3">
        <w:rPr>
          <w:color w:val="auto"/>
        </w:rPr>
        <w:t>örneğin</w:t>
      </w:r>
      <w:r w:rsidRPr="00DE12A3">
        <w:rPr>
          <w:color w:val="auto"/>
        </w:rPr>
        <w:t xml:space="preserve"> N-1) bir numune için standart sapma σ , (7-156) </w:t>
      </w:r>
      <w:r w:rsidR="005C6D9F" w:rsidRPr="00DE12A3">
        <w:rPr>
          <w:color w:val="auto"/>
        </w:rPr>
        <w:t>numaralı</w:t>
      </w:r>
      <w:r w:rsidR="005C6D9F" w:rsidRPr="00DE12A3" w:rsidDel="005C6D9F">
        <w:rPr>
          <w:color w:val="auto"/>
        </w:rPr>
        <w:t xml:space="preserve"> </w:t>
      </w:r>
      <w:r w:rsidRPr="00DE12A3">
        <w:rPr>
          <w:color w:val="auto"/>
        </w:rPr>
        <w:t>denklem ile hesaplanır:</w:t>
      </w:r>
    </w:p>
    <w:p w14:paraId="14D46EE6" w14:textId="77777777" w:rsidR="00E63CD3" w:rsidRPr="00DE12A3" w:rsidRDefault="00E63CD3" w:rsidP="00051047">
      <w:pPr>
        <w:rPr>
          <w:color w:val="auto"/>
        </w:rPr>
      </w:pPr>
    </w:p>
    <w:tbl>
      <w:tblPr>
        <w:tblW w:w="0" w:type="auto"/>
        <w:tblInd w:w="3297" w:type="dxa"/>
        <w:tblLayout w:type="fixed"/>
        <w:tblLook w:val="0000" w:firstRow="0" w:lastRow="0" w:firstColumn="0" w:lastColumn="0" w:noHBand="0" w:noVBand="0"/>
      </w:tblPr>
      <w:tblGrid>
        <w:gridCol w:w="3683"/>
        <w:gridCol w:w="2256"/>
      </w:tblGrid>
      <w:tr w:rsidR="009F4766" w:rsidRPr="00DE12A3" w14:paraId="2763C6D3" w14:textId="77777777" w:rsidTr="001A234D">
        <w:trPr>
          <w:trHeight w:val="1102"/>
        </w:trPr>
        <w:tc>
          <w:tcPr>
            <w:tcW w:w="3683" w:type="dxa"/>
          </w:tcPr>
          <w:p w14:paraId="3D0627EA" w14:textId="0A8270D9" w:rsidR="009F4766" w:rsidRPr="00DE12A3" w:rsidRDefault="009F4766" w:rsidP="00C917D6">
            <w:pPr>
              <w:pStyle w:val="NormalLeft"/>
            </w:pPr>
            <w:r w:rsidRPr="00DE12A3">
              <w:rPr>
                <w:noProof/>
                <w:lang w:val="tr-TR"/>
              </w:rPr>
              <w:drawing>
                <wp:inline distT="0" distB="0" distL="0" distR="0" wp14:anchorId="1AED8D34" wp14:editId="264EB858">
                  <wp:extent cx="2121535" cy="545123"/>
                  <wp:effectExtent l="0" t="0" r="0" b="7620"/>
                  <wp:docPr id="2436" name="Resim 24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227">
                            <a:extLst>
                              <a:ext uri="{28A0092B-C50C-407E-A947-70E740481C1C}">
                                <a14:useLocalDpi xmlns:a14="http://schemas.microsoft.com/office/drawing/2010/main" val="0"/>
                              </a:ext>
                            </a:extLst>
                          </a:blip>
                          <a:srcRect/>
                          <a:stretch>
                            <a:fillRect/>
                          </a:stretch>
                        </pic:blipFill>
                        <pic:spPr bwMode="auto">
                          <a:xfrm>
                            <a:off x="0" y="0"/>
                            <a:ext cx="2143766" cy="550835"/>
                          </a:xfrm>
                          <a:prstGeom prst="rect">
                            <a:avLst/>
                          </a:prstGeom>
                          <a:noFill/>
                          <a:ln>
                            <a:noFill/>
                          </a:ln>
                        </pic:spPr>
                      </pic:pic>
                    </a:graphicData>
                  </a:graphic>
                </wp:inline>
              </w:drawing>
            </w:r>
          </w:p>
        </w:tc>
        <w:tc>
          <w:tcPr>
            <w:tcW w:w="2256" w:type="dxa"/>
          </w:tcPr>
          <w:p w14:paraId="30361F84" w14:textId="77777777" w:rsidR="009F4766" w:rsidRPr="00DE12A3" w:rsidRDefault="009F4766" w:rsidP="00C917D6">
            <w:pPr>
              <w:pStyle w:val="NormalLeft"/>
            </w:pPr>
            <w:r w:rsidRPr="00DE12A3">
              <w:t>(7-156)</w:t>
            </w:r>
          </w:p>
        </w:tc>
      </w:tr>
    </w:tbl>
    <w:p w14:paraId="39CF4526" w14:textId="77777777" w:rsidR="009F4766" w:rsidRPr="00DE12A3" w:rsidRDefault="009F4766" w:rsidP="00C917D6">
      <w:pPr>
        <w:spacing w:before="120" w:after="120"/>
        <w:rPr>
          <w:rFonts w:cs="Times New Roman"/>
          <w:color w:val="auto"/>
        </w:rPr>
      </w:pPr>
    </w:p>
    <w:p w14:paraId="5F9C9AFE" w14:textId="1A3E09F9" w:rsidR="00E63CD3" w:rsidRPr="00DE12A3" w:rsidRDefault="00E63CD3" w:rsidP="005512D7">
      <w:pPr>
        <w:rPr>
          <w:b/>
          <w:bCs/>
          <w:color w:val="auto"/>
        </w:rPr>
      </w:pPr>
      <w:r w:rsidRPr="00DE12A3">
        <w:rPr>
          <w:b/>
          <w:bCs/>
          <w:color w:val="auto"/>
        </w:rPr>
        <w:t>3.</w:t>
      </w:r>
      <w:r w:rsidR="005512D7" w:rsidRPr="00DE12A3">
        <w:rPr>
          <w:b/>
          <w:bCs/>
          <w:color w:val="auto"/>
        </w:rPr>
        <w:t xml:space="preserve"> </w:t>
      </w:r>
      <w:r w:rsidRPr="00DE12A3">
        <w:rPr>
          <w:b/>
          <w:bCs/>
          <w:color w:val="auto"/>
        </w:rPr>
        <w:t>Kök ortalama kare</w:t>
      </w:r>
    </w:p>
    <w:p w14:paraId="15F2FA76" w14:textId="63E0C6DF" w:rsidR="00E63CD3" w:rsidRPr="00DE12A3" w:rsidRDefault="00E63CD3" w:rsidP="005512D7">
      <w:pPr>
        <w:rPr>
          <w:color w:val="auto"/>
        </w:rPr>
      </w:pPr>
      <w:r w:rsidRPr="00DE12A3">
        <w:rPr>
          <w:color w:val="auto"/>
        </w:rPr>
        <w:t xml:space="preserve">Kök ortalama kare, rmsy, (7-157) </w:t>
      </w:r>
      <w:r w:rsidR="005C6D9F" w:rsidRPr="00DE12A3">
        <w:rPr>
          <w:color w:val="auto"/>
        </w:rPr>
        <w:t>numaralı</w:t>
      </w:r>
      <w:r w:rsidR="005C6D9F" w:rsidRPr="00DE12A3" w:rsidDel="005C6D9F">
        <w:rPr>
          <w:color w:val="auto"/>
        </w:rPr>
        <w:t xml:space="preserve"> </w:t>
      </w:r>
      <w:r w:rsidRPr="00DE12A3">
        <w:rPr>
          <w:color w:val="auto"/>
        </w:rPr>
        <w:t>denklem ile hesaplanır:</w:t>
      </w:r>
    </w:p>
    <w:p w14:paraId="257F41D5" w14:textId="77777777" w:rsidR="009F4766" w:rsidRPr="00DE12A3" w:rsidRDefault="009F4766" w:rsidP="00C917D6">
      <w:pPr>
        <w:spacing w:before="120" w:after="120"/>
        <w:rPr>
          <w:rFonts w:cs="Times New Roman"/>
          <w:color w:val="auto"/>
        </w:rPr>
      </w:pPr>
    </w:p>
    <w:tbl>
      <w:tblPr>
        <w:tblW w:w="6467" w:type="dxa"/>
        <w:tblInd w:w="3250" w:type="dxa"/>
        <w:tblLayout w:type="fixed"/>
        <w:tblLook w:val="0000" w:firstRow="0" w:lastRow="0" w:firstColumn="0" w:lastColumn="0" w:noHBand="0" w:noVBand="0"/>
      </w:tblPr>
      <w:tblGrid>
        <w:gridCol w:w="4074"/>
        <w:gridCol w:w="2393"/>
      </w:tblGrid>
      <w:tr w:rsidR="009F4766" w:rsidRPr="00DE12A3" w14:paraId="08BE65D2" w14:textId="77777777" w:rsidTr="001A234D">
        <w:trPr>
          <w:trHeight w:val="1194"/>
        </w:trPr>
        <w:tc>
          <w:tcPr>
            <w:tcW w:w="4074" w:type="dxa"/>
          </w:tcPr>
          <w:p w14:paraId="1E0D4E5D" w14:textId="11ED93B9" w:rsidR="009F4766" w:rsidRPr="00DE12A3" w:rsidRDefault="009F4766" w:rsidP="00C917D6">
            <w:pPr>
              <w:pStyle w:val="NormalLeft"/>
            </w:pPr>
            <w:r w:rsidRPr="00DE12A3">
              <w:rPr>
                <w:noProof/>
                <w:lang w:val="tr-TR"/>
              </w:rPr>
              <w:drawing>
                <wp:inline distT="0" distB="0" distL="0" distR="0" wp14:anchorId="3502C124" wp14:editId="45B84C42">
                  <wp:extent cx="2151380" cy="650631"/>
                  <wp:effectExtent l="0" t="0" r="1270" b="0"/>
                  <wp:docPr id="2435" name="Resim 24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228">
                            <a:extLst>
                              <a:ext uri="{28A0092B-C50C-407E-A947-70E740481C1C}">
                                <a14:useLocalDpi xmlns:a14="http://schemas.microsoft.com/office/drawing/2010/main" val="0"/>
                              </a:ext>
                            </a:extLst>
                          </a:blip>
                          <a:srcRect/>
                          <a:stretch>
                            <a:fillRect/>
                          </a:stretch>
                        </pic:blipFill>
                        <pic:spPr bwMode="auto">
                          <a:xfrm>
                            <a:off x="0" y="0"/>
                            <a:ext cx="2164985" cy="654745"/>
                          </a:xfrm>
                          <a:prstGeom prst="rect">
                            <a:avLst/>
                          </a:prstGeom>
                          <a:noFill/>
                          <a:ln>
                            <a:noFill/>
                          </a:ln>
                        </pic:spPr>
                      </pic:pic>
                    </a:graphicData>
                  </a:graphic>
                </wp:inline>
              </w:drawing>
            </w:r>
          </w:p>
        </w:tc>
        <w:tc>
          <w:tcPr>
            <w:tcW w:w="2393" w:type="dxa"/>
          </w:tcPr>
          <w:p w14:paraId="7F841249" w14:textId="77777777" w:rsidR="009F4766" w:rsidRPr="00DE12A3" w:rsidRDefault="009F4766" w:rsidP="00C917D6">
            <w:pPr>
              <w:pStyle w:val="NormalLeft"/>
            </w:pPr>
            <w:r w:rsidRPr="00DE12A3">
              <w:t>(7-157)</w:t>
            </w:r>
          </w:p>
        </w:tc>
      </w:tr>
    </w:tbl>
    <w:p w14:paraId="524715A2" w14:textId="77777777" w:rsidR="00E63CD3" w:rsidRPr="00DE12A3" w:rsidRDefault="00E63CD3" w:rsidP="00C917D6">
      <w:pPr>
        <w:spacing w:before="120" w:after="120"/>
        <w:rPr>
          <w:rFonts w:cs="Times New Roman"/>
          <w:color w:val="auto"/>
        </w:rPr>
      </w:pPr>
    </w:p>
    <w:p w14:paraId="0C15C0A5" w14:textId="571B7ADC" w:rsidR="00E63CD3" w:rsidRPr="00DE12A3" w:rsidRDefault="00E63CD3" w:rsidP="00C917D6">
      <w:pPr>
        <w:spacing w:before="120" w:after="120"/>
        <w:rPr>
          <w:rFonts w:cs="Times New Roman"/>
          <w:b/>
          <w:color w:val="auto"/>
        </w:rPr>
      </w:pPr>
      <w:r w:rsidRPr="00DE12A3">
        <w:rPr>
          <w:rFonts w:cs="Times New Roman"/>
          <w:b/>
          <w:bCs/>
          <w:color w:val="auto"/>
        </w:rPr>
        <w:t>4.</w:t>
      </w:r>
      <w:r w:rsidR="005512D7" w:rsidRPr="00DE12A3">
        <w:rPr>
          <w:rFonts w:cs="Times New Roman"/>
          <w:b/>
          <w:bCs/>
          <w:color w:val="auto"/>
        </w:rPr>
        <w:t xml:space="preserve"> </w:t>
      </w:r>
      <w:r w:rsidRPr="00DE12A3">
        <w:rPr>
          <w:rFonts w:cs="Times New Roman"/>
          <w:b/>
          <w:color w:val="auto"/>
        </w:rPr>
        <w:t>t-testi</w:t>
      </w:r>
    </w:p>
    <w:p w14:paraId="398C36C9" w14:textId="413A4A14" w:rsidR="00E63CD3" w:rsidRPr="00DE12A3" w:rsidRDefault="00E63CD3" w:rsidP="005512D7">
      <w:pPr>
        <w:spacing w:before="120" w:after="120"/>
        <w:jc w:val="both"/>
        <w:rPr>
          <w:rFonts w:cs="Times New Roman"/>
          <w:color w:val="auto"/>
        </w:rPr>
      </w:pPr>
      <w:r w:rsidRPr="00DE12A3">
        <w:rPr>
          <w:rFonts w:cs="Times New Roman"/>
          <w:color w:val="auto"/>
        </w:rPr>
        <w:t>Aşağıdaki denklemler ve Tablo 7.8 aracılığı ile verilerin bir t-testinden geçip geçmediği belirlenir</w:t>
      </w:r>
    </w:p>
    <w:p w14:paraId="531E8360" w14:textId="7438BEC6" w:rsidR="00E63CD3" w:rsidRPr="00DE12A3" w:rsidRDefault="00E63CD3" w:rsidP="005512D7">
      <w:pPr>
        <w:spacing w:before="120" w:after="120"/>
        <w:jc w:val="both"/>
        <w:rPr>
          <w:rFonts w:cs="Times New Roman"/>
          <w:color w:val="auto"/>
        </w:rPr>
      </w:pPr>
      <w:r w:rsidRPr="00DE12A3">
        <w:rPr>
          <w:rFonts w:cs="Times New Roman"/>
          <w:color w:val="auto"/>
        </w:rPr>
        <w:t>(a)</w:t>
      </w:r>
      <w:r w:rsidR="005512D7" w:rsidRPr="00DE12A3">
        <w:rPr>
          <w:rFonts w:cs="Times New Roman"/>
          <w:color w:val="auto"/>
        </w:rPr>
        <w:t xml:space="preserve"> </w:t>
      </w:r>
      <w:r w:rsidRPr="00DE12A3">
        <w:rPr>
          <w:rFonts w:cs="Times New Roman"/>
          <w:color w:val="auto"/>
        </w:rPr>
        <w:t>Bir bağımsız örneklem t-testi için, t istatistiği ve serbestlik derecesi v, (7-158) ve (7-159)</w:t>
      </w:r>
      <w:r w:rsidR="005C6D9F" w:rsidRPr="00DE12A3">
        <w:rPr>
          <w:rFonts w:cs="Times New Roman"/>
          <w:color w:val="auto"/>
        </w:rPr>
        <w:t xml:space="preserve"> </w:t>
      </w:r>
      <w:r w:rsidR="005C6D9F" w:rsidRPr="00DE12A3">
        <w:rPr>
          <w:color w:val="auto"/>
        </w:rPr>
        <w:t xml:space="preserve">numaralı </w:t>
      </w:r>
      <w:r w:rsidRPr="00DE12A3">
        <w:rPr>
          <w:rFonts w:cs="Times New Roman"/>
          <w:color w:val="auto"/>
        </w:rPr>
        <w:t>denklemler ile hesaplan</w:t>
      </w:r>
      <w:r w:rsidR="005512D7" w:rsidRPr="00DE12A3">
        <w:rPr>
          <w:rFonts w:cs="Times New Roman"/>
          <w:color w:val="auto"/>
        </w:rPr>
        <w:t>ır</w:t>
      </w:r>
      <w:r w:rsidRPr="00DE12A3">
        <w:rPr>
          <w:rFonts w:cs="Times New Roman"/>
          <w:color w:val="auto"/>
        </w:rPr>
        <w:t>:</w:t>
      </w:r>
    </w:p>
    <w:p w14:paraId="54A2E938" w14:textId="77777777" w:rsidR="009F4766" w:rsidRPr="00DE12A3" w:rsidRDefault="009F4766" w:rsidP="00C917D6">
      <w:pPr>
        <w:pStyle w:val="Point0"/>
      </w:pPr>
    </w:p>
    <w:tbl>
      <w:tblPr>
        <w:tblW w:w="0" w:type="auto"/>
        <w:tblInd w:w="1764" w:type="dxa"/>
        <w:tblLayout w:type="fixed"/>
        <w:tblLook w:val="0000" w:firstRow="0" w:lastRow="0" w:firstColumn="0" w:lastColumn="0" w:noHBand="0" w:noVBand="0"/>
      </w:tblPr>
      <w:tblGrid>
        <w:gridCol w:w="6097"/>
        <w:gridCol w:w="1338"/>
      </w:tblGrid>
      <w:tr w:rsidR="00DE12A3" w:rsidRPr="00DE12A3" w14:paraId="7925405D" w14:textId="77777777" w:rsidTr="001A234D">
        <w:trPr>
          <w:trHeight w:val="1028"/>
        </w:trPr>
        <w:tc>
          <w:tcPr>
            <w:tcW w:w="6097" w:type="dxa"/>
          </w:tcPr>
          <w:p w14:paraId="08D9E00A" w14:textId="63DF3488" w:rsidR="009F4766" w:rsidRPr="00DE12A3" w:rsidRDefault="009F4766" w:rsidP="00C917D6">
            <w:pPr>
              <w:pStyle w:val="NormalLeft"/>
            </w:pPr>
            <w:r w:rsidRPr="00DE12A3">
              <w:rPr>
                <w:noProof/>
                <w:lang w:val="tr-TR"/>
              </w:rPr>
              <w:drawing>
                <wp:inline distT="0" distB="0" distL="0" distR="0" wp14:anchorId="4A525312" wp14:editId="5349C43C">
                  <wp:extent cx="1805305" cy="533400"/>
                  <wp:effectExtent l="0" t="0" r="4445" b="0"/>
                  <wp:docPr id="2434" name="Resim 2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229">
                            <a:extLst>
                              <a:ext uri="{28A0092B-C50C-407E-A947-70E740481C1C}">
                                <a14:useLocalDpi xmlns:a14="http://schemas.microsoft.com/office/drawing/2010/main" val="0"/>
                              </a:ext>
                            </a:extLst>
                          </a:blip>
                          <a:srcRect/>
                          <a:stretch>
                            <a:fillRect/>
                          </a:stretch>
                        </pic:blipFill>
                        <pic:spPr bwMode="auto">
                          <a:xfrm>
                            <a:off x="0" y="0"/>
                            <a:ext cx="1829496" cy="540548"/>
                          </a:xfrm>
                          <a:prstGeom prst="rect">
                            <a:avLst/>
                          </a:prstGeom>
                          <a:noFill/>
                          <a:ln>
                            <a:noFill/>
                          </a:ln>
                        </pic:spPr>
                      </pic:pic>
                    </a:graphicData>
                  </a:graphic>
                </wp:inline>
              </w:drawing>
            </w:r>
          </w:p>
        </w:tc>
        <w:tc>
          <w:tcPr>
            <w:tcW w:w="1338" w:type="dxa"/>
          </w:tcPr>
          <w:p w14:paraId="2974992E" w14:textId="77777777" w:rsidR="009F4766" w:rsidRPr="00DE12A3" w:rsidRDefault="009F4766" w:rsidP="00C917D6">
            <w:pPr>
              <w:pStyle w:val="NormalLeft"/>
            </w:pPr>
            <w:r w:rsidRPr="00DE12A3">
              <w:t>(7-158)</w:t>
            </w:r>
          </w:p>
        </w:tc>
      </w:tr>
      <w:tr w:rsidR="009F4766" w:rsidRPr="00DE12A3" w14:paraId="0A1A9131" w14:textId="77777777" w:rsidTr="001A234D">
        <w:trPr>
          <w:trHeight w:val="1958"/>
        </w:trPr>
        <w:tc>
          <w:tcPr>
            <w:tcW w:w="6097" w:type="dxa"/>
          </w:tcPr>
          <w:p w14:paraId="25233B01" w14:textId="18A931A8" w:rsidR="009F4766" w:rsidRPr="00DE12A3" w:rsidRDefault="009F4766" w:rsidP="00C917D6">
            <w:pPr>
              <w:pStyle w:val="NormalLeft"/>
            </w:pPr>
            <w:r w:rsidRPr="00DE12A3">
              <w:rPr>
                <w:noProof/>
                <w:lang w:val="tr-TR"/>
              </w:rPr>
              <w:drawing>
                <wp:inline distT="0" distB="0" distL="0" distR="0" wp14:anchorId="4FFA24D0" wp14:editId="4A63126F">
                  <wp:extent cx="2860675" cy="873369"/>
                  <wp:effectExtent l="0" t="0" r="0" b="3175"/>
                  <wp:docPr id="2433" name="Resim 24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230">
                            <a:extLst>
                              <a:ext uri="{28A0092B-C50C-407E-A947-70E740481C1C}">
                                <a14:useLocalDpi xmlns:a14="http://schemas.microsoft.com/office/drawing/2010/main" val="0"/>
                              </a:ext>
                            </a:extLst>
                          </a:blip>
                          <a:srcRect/>
                          <a:stretch>
                            <a:fillRect/>
                          </a:stretch>
                        </pic:blipFill>
                        <pic:spPr bwMode="auto">
                          <a:xfrm>
                            <a:off x="0" y="0"/>
                            <a:ext cx="2879625" cy="879155"/>
                          </a:xfrm>
                          <a:prstGeom prst="rect">
                            <a:avLst/>
                          </a:prstGeom>
                          <a:noFill/>
                          <a:ln>
                            <a:noFill/>
                          </a:ln>
                        </pic:spPr>
                      </pic:pic>
                    </a:graphicData>
                  </a:graphic>
                </wp:inline>
              </w:drawing>
            </w:r>
          </w:p>
        </w:tc>
        <w:tc>
          <w:tcPr>
            <w:tcW w:w="1338" w:type="dxa"/>
          </w:tcPr>
          <w:p w14:paraId="539B5BB8" w14:textId="77777777" w:rsidR="009F4766" w:rsidRPr="00DE12A3" w:rsidRDefault="009F4766" w:rsidP="00C917D6">
            <w:pPr>
              <w:pStyle w:val="NormalLeft"/>
            </w:pPr>
            <w:r w:rsidRPr="00DE12A3">
              <w:t>(7-159)</w:t>
            </w:r>
          </w:p>
        </w:tc>
      </w:tr>
    </w:tbl>
    <w:p w14:paraId="3840B521" w14:textId="77777777" w:rsidR="009F4766" w:rsidRPr="00DE12A3" w:rsidRDefault="009F4766" w:rsidP="00C917D6">
      <w:pPr>
        <w:spacing w:before="120" w:after="120"/>
        <w:rPr>
          <w:rFonts w:cs="Times New Roman"/>
          <w:color w:val="auto"/>
        </w:rPr>
      </w:pPr>
    </w:p>
    <w:p w14:paraId="257192E6" w14:textId="3FFBA625" w:rsidR="00E63CD3" w:rsidRPr="00DE12A3" w:rsidRDefault="00E63CD3" w:rsidP="005512D7">
      <w:pPr>
        <w:pStyle w:val="Point0"/>
        <w:ind w:left="0" w:firstLine="0"/>
      </w:pPr>
      <w:r w:rsidRPr="00DE12A3">
        <w:t>(b)</w:t>
      </w:r>
      <w:r w:rsidR="005512D7" w:rsidRPr="00DE12A3">
        <w:t xml:space="preserve"> </w:t>
      </w:r>
      <w:r w:rsidRPr="00DE12A3">
        <w:t xml:space="preserve">Bir bağımlı örneklem t-testi için, t istatistiği ve serbestlik derecesi </w:t>
      </w:r>
      <w:r w:rsidRPr="00DE12A3">
        <w:rPr>
          <w:i/>
          <w:iCs/>
        </w:rPr>
        <w:t>v</w:t>
      </w:r>
      <w:r w:rsidRPr="00DE12A3">
        <w:t xml:space="preserve"> , ε</w:t>
      </w:r>
      <w:r w:rsidRPr="00DE12A3">
        <w:rPr>
          <w:i/>
          <w:iCs/>
          <w:vertAlign w:val="subscript"/>
        </w:rPr>
        <w:t>i</w:t>
      </w:r>
      <w:r w:rsidRPr="00DE12A3">
        <w:t xml:space="preserve">'nin her </w:t>
      </w:r>
      <w:r w:rsidRPr="00DE12A3">
        <w:rPr>
          <w:i/>
          <w:iCs/>
        </w:rPr>
        <w:t>y</w:t>
      </w:r>
      <w:r w:rsidRPr="00DE12A3">
        <w:rPr>
          <w:vertAlign w:val="subscript"/>
        </w:rPr>
        <w:t>ref</w:t>
      </w:r>
      <w:r w:rsidRPr="00DE12A3">
        <w:rPr>
          <w:i/>
          <w:iCs/>
          <w:vertAlign w:val="subscript"/>
        </w:rPr>
        <w:t>i</w:t>
      </w:r>
      <w:r w:rsidRPr="00DE12A3">
        <w:t xml:space="preserve">  ve </w:t>
      </w:r>
      <w:r w:rsidRPr="00DE12A3">
        <w:rPr>
          <w:i/>
          <w:iCs/>
        </w:rPr>
        <w:t>y</w:t>
      </w:r>
      <w:r w:rsidRPr="00DE12A3">
        <w:rPr>
          <w:i/>
          <w:iCs/>
          <w:vertAlign w:val="subscript"/>
        </w:rPr>
        <w:t>i</w:t>
      </w:r>
      <w:r w:rsidRPr="00DE12A3">
        <w:t xml:space="preserve">  çifti arasındaki hatalar (</w:t>
      </w:r>
      <w:r w:rsidR="005B014A" w:rsidRPr="00DE12A3">
        <w:t>örneğin</w:t>
      </w:r>
      <w:r w:rsidRPr="00DE12A3">
        <w:t xml:space="preserve"> farklar) olduğuna dikkat ederek (7-160) </w:t>
      </w:r>
      <w:r w:rsidR="005C6D9F" w:rsidRPr="00DE12A3">
        <w:t>numaralı</w:t>
      </w:r>
      <w:r w:rsidR="005C6D9F" w:rsidRPr="00DE12A3" w:rsidDel="005C6D9F">
        <w:t xml:space="preserve"> </w:t>
      </w:r>
      <w:r w:rsidRPr="00DE12A3">
        <w:t>denklem ile hesaplanmalıdır:</w:t>
      </w:r>
    </w:p>
    <w:p w14:paraId="111D4837" w14:textId="77777777" w:rsidR="00E63CD3" w:rsidRPr="00DE12A3" w:rsidRDefault="00E63CD3" w:rsidP="00C917D6">
      <w:pPr>
        <w:pStyle w:val="Point0"/>
      </w:pPr>
    </w:p>
    <w:tbl>
      <w:tblPr>
        <w:tblW w:w="6479" w:type="dxa"/>
        <w:tblInd w:w="3018" w:type="dxa"/>
        <w:tblLayout w:type="fixed"/>
        <w:tblLook w:val="0000" w:firstRow="0" w:lastRow="0" w:firstColumn="0" w:lastColumn="0" w:noHBand="0" w:noVBand="0"/>
      </w:tblPr>
      <w:tblGrid>
        <w:gridCol w:w="2619"/>
        <w:gridCol w:w="1787"/>
        <w:gridCol w:w="2073"/>
      </w:tblGrid>
      <w:tr w:rsidR="009F4766" w:rsidRPr="00DE12A3" w14:paraId="220AD576" w14:textId="77777777" w:rsidTr="001A234D">
        <w:trPr>
          <w:trHeight w:val="943"/>
        </w:trPr>
        <w:tc>
          <w:tcPr>
            <w:tcW w:w="2619" w:type="dxa"/>
          </w:tcPr>
          <w:p w14:paraId="554BFC2A" w14:textId="2901B164" w:rsidR="009F4766" w:rsidRPr="00DE12A3" w:rsidRDefault="009F4766" w:rsidP="00C917D6">
            <w:pPr>
              <w:pStyle w:val="NormalLeft"/>
            </w:pPr>
            <w:r w:rsidRPr="00DE12A3">
              <w:rPr>
                <w:noProof/>
                <w:lang w:val="tr-TR"/>
              </w:rPr>
              <w:drawing>
                <wp:inline distT="0" distB="0" distL="0" distR="0" wp14:anchorId="55C7021E" wp14:editId="4EA911EA">
                  <wp:extent cx="1113692" cy="685800"/>
                  <wp:effectExtent l="0" t="0" r="0" b="0"/>
                  <wp:docPr id="2432" name="Resim 2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231">
                            <a:extLst>
                              <a:ext uri="{28A0092B-C50C-407E-A947-70E740481C1C}">
                                <a14:useLocalDpi xmlns:a14="http://schemas.microsoft.com/office/drawing/2010/main" val="0"/>
                              </a:ext>
                            </a:extLst>
                          </a:blip>
                          <a:srcRect/>
                          <a:stretch>
                            <a:fillRect/>
                          </a:stretch>
                        </pic:blipFill>
                        <pic:spPr bwMode="auto">
                          <a:xfrm>
                            <a:off x="0" y="0"/>
                            <a:ext cx="1118798" cy="688945"/>
                          </a:xfrm>
                          <a:prstGeom prst="rect">
                            <a:avLst/>
                          </a:prstGeom>
                          <a:noFill/>
                          <a:ln>
                            <a:noFill/>
                          </a:ln>
                        </pic:spPr>
                      </pic:pic>
                    </a:graphicData>
                  </a:graphic>
                </wp:inline>
              </w:drawing>
            </w:r>
          </w:p>
        </w:tc>
        <w:tc>
          <w:tcPr>
            <w:tcW w:w="1787" w:type="dxa"/>
          </w:tcPr>
          <w:p w14:paraId="5F15B8AA" w14:textId="77777777" w:rsidR="009F4766" w:rsidRPr="00DE12A3" w:rsidRDefault="009F4766" w:rsidP="00C917D6">
            <w:pPr>
              <w:pStyle w:val="NormalLeft"/>
            </w:pPr>
            <w:r w:rsidRPr="00DE12A3">
              <w:rPr>
                <w:i/>
                <w:iCs/>
              </w:rPr>
              <w:t>v</w:t>
            </w:r>
            <w:r w:rsidRPr="00DE12A3">
              <w:t>= N – 1</w:t>
            </w:r>
          </w:p>
        </w:tc>
        <w:tc>
          <w:tcPr>
            <w:tcW w:w="2073" w:type="dxa"/>
          </w:tcPr>
          <w:p w14:paraId="5F5A30B1" w14:textId="77777777" w:rsidR="009F4766" w:rsidRPr="00DE12A3" w:rsidRDefault="009F4766" w:rsidP="00C917D6">
            <w:pPr>
              <w:pStyle w:val="NormalLeft"/>
            </w:pPr>
            <w:r w:rsidRPr="00DE12A3">
              <w:t>(7-160)</w:t>
            </w:r>
          </w:p>
        </w:tc>
      </w:tr>
    </w:tbl>
    <w:p w14:paraId="14ABDD92" w14:textId="77777777" w:rsidR="009F4766" w:rsidRPr="00DE12A3" w:rsidRDefault="009F4766" w:rsidP="00C917D6">
      <w:pPr>
        <w:spacing w:before="120" w:after="120"/>
        <w:rPr>
          <w:rFonts w:cs="Times New Roman"/>
          <w:color w:val="auto"/>
        </w:rPr>
      </w:pPr>
    </w:p>
    <w:p w14:paraId="205FEB61" w14:textId="4CA3B943" w:rsidR="000373C7" w:rsidRPr="00DE12A3" w:rsidRDefault="000373C7" w:rsidP="005512D7">
      <w:pPr>
        <w:pStyle w:val="Point0"/>
        <w:ind w:left="0" w:firstLine="0"/>
      </w:pPr>
      <w:r w:rsidRPr="00DE12A3">
        <w:t>(c)</w:t>
      </w:r>
      <w:r w:rsidR="005512D7" w:rsidRPr="00DE12A3">
        <w:t xml:space="preserve"> </w:t>
      </w:r>
      <w:r w:rsidRPr="00DE12A3">
        <w:t xml:space="preserve">Tablo 7.8, serbestlik derecesine göre tablolanan </w:t>
      </w:r>
      <w:r w:rsidR="00B9288F" w:rsidRPr="00DE12A3">
        <w:t xml:space="preserve">t ile </w:t>
      </w:r>
      <w:r w:rsidRPr="00DE12A3">
        <w:t>t</w:t>
      </w:r>
      <w:r w:rsidRPr="00DE12A3">
        <w:rPr>
          <w:vertAlign w:val="subscript"/>
        </w:rPr>
        <w:t>c</w:t>
      </w:r>
      <w:r w:rsidR="00D82B45" w:rsidRPr="00DE12A3">
        <w:rPr>
          <w:vertAlign w:val="subscript"/>
        </w:rPr>
        <w:t>r</w:t>
      </w:r>
      <w:r w:rsidRPr="00DE12A3">
        <w:rPr>
          <w:vertAlign w:val="subscript"/>
        </w:rPr>
        <w:t>it</w:t>
      </w:r>
      <w:r w:rsidRPr="00DE12A3">
        <w:t xml:space="preserve"> değerlerini karşılaştırmak için kullanılmalıdır. t, </w:t>
      </w:r>
      <w:r w:rsidRPr="00DE12A3">
        <w:rPr>
          <w:i/>
          <w:iCs/>
        </w:rPr>
        <w:t>t</w:t>
      </w:r>
      <w:r w:rsidRPr="00DE12A3">
        <w:rPr>
          <w:vertAlign w:val="subscript"/>
        </w:rPr>
        <w:t>crit</w:t>
      </w:r>
      <w:r w:rsidRPr="00DE12A3">
        <w:t xml:space="preserve"> 'den azsa, t-testini geçer.</w:t>
      </w:r>
    </w:p>
    <w:p w14:paraId="1AD5AAB4" w14:textId="77777777" w:rsidR="000373C7" w:rsidRPr="00DE12A3" w:rsidRDefault="000373C7" w:rsidP="00C917D6">
      <w:pPr>
        <w:pStyle w:val="Point0"/>
      </w:pPr>
    </w:p>
    <w:p w14:paraId="1202734A" w14:textId="45796420" w:rsidR="000373C7" w:rsidRPr="00DE12A3" w:rsidRDefault="004E09D1" w:rsidP="004E09D1">
      <w:pPr>
        <w:pStyle w:val="Point0"/>
        <w:jc w:val="center"/>
        <w:rPr>
          <w:iCs/>
        </w:rPr>
      </w:pPr>
      <w:r w:rsidRPr="00DE12A3">
        <w:rPr>
          <w:iCs/>
        </w:rPr>
        <w:t>Tablo 7.8</w:t>
      </w:r>
    </w:p>
    <w:p w14:paraId="51F51B42" w14:textId="79A8EFF7" w:rsidR="004E09D1" w:rsidRPr="00DE12A3" w:rsidRDefault="004E09D1" w:rsidP="004E09D1">
      <w:pPr>
        <w:pStyle w:val="Point0"/>
        <w:jc w:val="center"/>
      </w:pPr>
      <w:r w:rsidRPr="00DE12A3">
        <w:rPr>
          <w:b/>
          <w:iCs/>
        </w:rPr>
        <w:t>Kritik t değerlerine karşı serbestlik derecesi sayısı, v</w:t>
      </w:r>
    </w:p>
    <w:tbl>
      <w:tblPr>
        <w:tblW w:w="0" w:type="auto"/>
        <w:tblInd w:w="1904" w:type="dxa"/>
        <w:tblLayout w:type="fixed"/>
        <w:tblLook w:val="0000" w:firstRow="0" w:lastRow="0" w:firstColumn="0" w:lastColumn="0" w:noHBand="0" w:noVBand="0"/>
      </w:tblPr>
      <w:tblGrid>
        <w:gridCol w:w="1808"/>
        <w:gridCol w:w="1863"/>
        <w:gridCol w:w="1808"/>
      </w:tblGrid>
      <w:tr w:rsidR="00DE12A3" w:rsidRPr="00DE12A3" w14:paraId="527AD054" w14:textId="77777777" w:rsidTr="009F4766">
        <w:tc>
          <w:tcPr>
            <w:tcW w:w="1808" w:type="dxa"/>
            <w:tcBorders>
              <w:top w:val="single" w:sz="2" w:space="0" w:color="auto"/>
              <w:left w:val="single" w:sz="2" w:space="0" w:color="auto"/>
              <w:bottom w:val="single" w:sz="2" w:space="0" w:color="auto"/>
              <w:right w:val="single" w:sz="2" w:space="0" w:color="auto"/>
            </w:tcBorders>
          </w:tcPr>
          <w:p w14:paraId="3EEF844E" w14:textId="77777777" w:rsidR="009F4766" w:rsidRPr="00DE12A3" w:rsidRDefault="009F4766" w:rsidP="00C917D6">
            <w:pPr>
              <w:pStyle w:val="NormalCentered"/>
            </w:pPr>
            <w:r w:rsidRPr="00DE12A3">
              <w:rPr>
                <w:i/>
                <w:iCs/>
              </w:rPr>
              <w:t>v</w:t>
            </w:r>
          </w:p>
        </w:tc>
        <w:tc>
          <w:tcPr>
            <w:tcW w:w="3671" w:type="dxa"/>
            <w:gridSpan w:val="2"/>
            <w:tcBorders>
              <w:top w:val="single" w:sz="2" w:space="0" w:color="auto"/>
              <w:left w:val="single" w:sz="2" w:space="0" w:color="auto"/>
              <w:bottom w:val="single" w:sz="2" w:space="0" w:color="auto"/>
              <w:right w:val="single" w:sz="2" w:space="0" w:color="auto"/>
            </w:tcBorders>
          </w:tcPr>
          <w:p w14:paraId="05B3817A" w14:textId="77777777" w:rsidR="009F4766" w:rsidRPr="00DE12A3" w:rsidRDefault="00B9288F" w:rsidP="00C917D6">
            <w:pPr>
              <w:pStyle w:val="NormalCentered"/>
            </w:pPr>
            <w:r w:rsidRPr="00DE12A3">
              <w:t>Güven aralığı</w:t>
            </w:r>
          </w:p>
        </w:tc>
      </w:tr>
      <w:tr w:rsidR="00DE12A3" w:rsidRPr="00DE12A3" w14:paraId="165A508D" w14:textId="77777777" w:rsidTr="009F4766">
        <w:tc>
          <w:tcPr>
            <w:tcW w:w="1808" w:type="dxa"/>
            <w:tcBorders>
              <w:top w:val="single" w:sz="2" w:space="0" w:color="auto"/>
              <w:left w:val="single" w:sz="2" w:space="0" w:color="auto"/>
              <w:bottom w:val="single" w:sz="2" w:space="0" w:color="auto"/>
              <w:right w:val="single" w:sz="2" w:space="0" w:color="auto"/>
            </w:tcBorders>
          </w:tcPr>
          <w:p w14:paraId="4C970A65" w14:textId="77777777" w:rsidR="009F4766" w:rsidRPr="00DE12A3" w:rsidRDefault="009F4766" w:rsidP="00C917D6">
            <w:pPr>
              <w:adjustRightInd w:val="0"/>
              <w:spacing w:before="120" w:after="120"/>
              <w:rPr>
                <w:rFonts w:cs="Times New Roman"/>
                <w:color w:val="auto"/>
              </w:rPr>
            </w:pPr>
          </w:p>
        </w:tc>
        <w:tc>
          <w:tcPr>
            <w:tcW w:w="1863" w:type="dxa"/>
            <w:tcBorders>
              <w:top w:val="single" w:sz="2" w:space="0" w:color="auto"/>
              <w:left w:val="single" w:sz="2" w:space="0" w:color="auto"/>
              <w:bottom w:val="single" w:sz="2" w:space="0" w:color="auto"/>
              <w:right w:val="single" w:sz="2" w:space="0" w:color="auto"/>
            </w:tcBorders>
          </w:tcPr>
          <w:p w14:paraId="5976A366" w14:textId="77777777" w:rsidR="009F4766" w:rsidRPr="00DE12A3" w:rsidRDefault="009F4766" w:rsidP="00C917D6">
            <w:pPr>
              <w:pStyle w:val="NormalLeft"/>
            </w:pPr>
            <w:r w:rsidRPr="00DE12A3">
              <w:t>90 %</w:t>
            </w:r>
          </w:p>
        </w:tc>
        <w:tc>
          <w:tcPr>
            <w:tcW w:w="1808" w:type="dxa"/>
            <w:tcBorders>
              <w:top w:val="single" w:sz="2" w:space="0" w:color="auto"/>
              <w:left w:val="single" w:sz="2" w:space="0" w:color="auto"/>
              <w:bottom w:val="single" w:sz="2" w:space="0" w:color="auto"/>
              <w:right w:val="single" w:sz="2" w:space="0" w:color="auto"/>
            </w:tcBorders>
          </w:tcPr>
          <w:p w14:paraId="376770AC" w14:textId="77777777" w:rsidR="009F4766" w:rsidRPr="00DE12A3" w:rsidRDefault="009F4766" w:rsidP="00C917D6">
            <w:pPr>
              <w:pStyle w:val="NormalLeft"/>
            </w:pPr>
            <w:r w:rsidRPr="00DE12A3">
              <w:t>95 %</w:t>
            </w:r>
          </w:p>
        </w:tc>
      </w:tr>
      <w:tr w:rsidR="00DE12A3" w:rsidRPr="00DE12A3" w14:paraId="4623CD91" w14:textId="77777777" w:rsidTr="009F4766">
        <w:tc>
          <w:tcPr>
            <w:tcW w:w="1808" w:type="dxa"/>
            <w:tcBorders>
              <w:top w:val="single" w:sz="2" w:space="0" w:color="auto"/>
              <w:left w:val="single" w:sz="2" w:space="0" w:color="auto"/>
              <w:bottom w:val="single" w:sz="2" w:space="0" w:color="auto"/>
              <w:right w:val="single" w:sz="2" w:space="0" w:color="auto"/>
            </w:tcBorders>
          </w:tcPr>
          <w:p w14:paraId="21D0F170" w14:textId="77777777" w:rsidR="009F4766" w:rsidRPr="00DE12A3" w:rsidRDefault="009F4766" w:rsidP="00C917D6">
            <w:pPr>
              <w:pStyle w:val="NormalLeft"/>
            </w:pPr>
            <w:r w:rsidRPr="00DE12A3">
              <w:t>1</w:t>
            </w:r>
          </w:p>
        </w:tc>
        <w:tc>
          <w:tcPr>
            <w:tcW w:w="1863" w:type="dxa"/>
            <w:tcBorders>
              <w:top w:val="single" w:sz="2" w:space="0" w:color="auto"/>
              <w:left w:val="single" w:sz="2" w:space="0" w:color="auto"/>
              <w:bottom w:val="single" w:sz="2" w:space="0" w:color="auto"/>
              <w:right w:val="single" w:sz="2" w:space="0" w:color="auto"/>
            </w:tcBorders>
          </w:tcPr>
          <w:p w14:paraId="67CB22B6" w14:textId="77777777" w:rsidR="009F4766" w:rsidRPr="00DE12A3" w:rsidRDefault="009F4766" w:rsidP="00C917D6">
            <w:pPr>
              <w:pStyle w:val="NormalLeft"/>
            </w:pPr>
            <w:r w:rsidRPr="00DE12A3">
              <w:t>6,314</w:t>
            </w:r>
          </w:p>
        </w:tc>
        <w:tc>
          <w:tcPr>
            <w:tcW w:w="1808" w:type="dxa"/>
            <w:tcBorders>
              <w:top w:val="single" w:sz="2" w:space="0" w:color="auto"/>
              <w:left w:val="single" w:sz="2" w:space="0" w:color="auto"/>
              <w:bottom w:val="single" w:sz="2" w:space="0" w:color="auto"/>
              <w:right w:val="single" w:sz="2" w:space="0" w:color="auto"/>
            </w:tcBorders>
          </w:tcPr>
          <w:p w14:paraId="76FF95D4" w14:textId="77777777" w:rsidR="009F4766" w:rsidRPr="00DE12A3" w:rsidRDefault="009F4766" w:rsidP="00C917D6">
            <w:pPr>
              <w:pStyle w:val="NormalLeft"/>
            </w:pPr>
            <w:r w:rsidRPr="00DE12A3">
              <w:t>12,706</w:t>
            </w:r>
          </w:p>
        </w:tc>
      </w:tr>
      <w:tr w:rsidR="00DE12A3" w:rsidRPr="00DE12A3" w14:paraId="7A27A26B" w14:textId="77777777" w:rsidTr="009F4766">
        <w:tc>
          <w:tcPr>
            <w:tcW w:w="1808" w:type="dxa"/>
            <w:tcBorders>
              <w:top w:val="single" w:sz="2" w:space="0" w:color="auto"/>
              <w:left w:val="single" w:sz="2" w:space="0" w:color="auto"/>
              <w:bottom w:val="single" w:sz="2" w:space="0" w:color="auto"/>
              <w:right w:val="single" w:sz="2" w:space="0" w:color="auto"/>
            </w:tcBorders>
          </w:tcPr>
          <w:p w14:paraId="66920EB6" w14:textId="77777777" w:rsidR="009F4766" w:rsidRPr="00DE12A3" w:rsidRDefault="009F4766" w:rsidP="00C917D6">
            <w:pPr>
              <w:pStyle w:val="NormalLeft"/>
            </w:pPr>
            <w:r w:rsidRPr="00DE12A3">
              <w:t>2</w:t>
            </w:r>
          </w:p>
        </w:tc>
        <w:tc>
          <w:tcPr>
            <w:tcW w:w="1863" w:type="dxa"/>
            <w:tcBorders>
              <w:top w:val="single" w:sz="2" w:space="0" w:color="auto"/>
              <w:left w:val="single" w:sz="2" w:space="0" w:color="auto"/>
              <w:bottom w:val="single" w:sz="2" w:space="0" w:color="auto"/>
              <w:right w:val="single" w:sz="2" w:space="0" w:color="auto"/>
            </w:tcBorders>
          </w:tcPr>
          <w:p w14:paraId="0C4B508F" w14:textId="77777777" w:rsidR="009F4766" w:rsidRPr="00DE12A3" w:rsidRDefault="009F4766" w:rsidP="00C917D6">
            <w:pPr>
              <w:pStyle w:val="NormalLeft"/>
            </w:pPr>
            <w:r w:rsidRPr="00DE12A3">
              <w:t>2,920</w:t>
            </w:r>
          </w:p>
        </w:tc>
        <w:tc>
          <w:tcPr>
            <w:tcW w:w="1808" w:type="dxa"/>
            <w:tcBorders>
              <w:top w:val="single" w:sz="2" w:space="0" w:color="auto"/>
              <w:left w:val="single" w:sz="2" w:space="0" w:color="auto"/>
              <w:bottom w:val="single" w:sz="2" w:space="0" w:color="auto"/>
              <w:right w:val="single" w:sz="2" w:space="0" w:color="auto"/>
            </w:tcBorders>
          </w:tcPr>
          <w:p w14:paraId="405E3BC4" w14:textId="77777777" w:rsidR="009F4766" w:rsidRPr="00DE12A3" w:rsidRDefault="009F4766" w:rsidP="00C917D6">
            <w:pPr>
              <w:pStyle w:val="NormalLeft"/>
            </w:pPr>
            <w:r w:rsidRPr="00DE12A3">
              <w:t>4,303</w:t>
            </w:r>
          </w:p>
        </w:tc>
      </w:tr>
      <w:tr w:rsidR="00DE12A3" w:rsidRPr="00DE12A3" w14:paraId="5B583DE5" w14:textId="77777777" w:rsidTr="009F4766">
        <w:tc>
          <w:tcPr>
            <w:tcW w:w="1808" w:type="dxa"/>
            <w:tcBorders>
              <w:top w:val="single" w:sz="2" w:space="0" w:color="auto"/>
              <w:left w:val="single" w:sz="2" w:space="0" w:color="auto"/>
              <w:bottom w:val="single" w:sz="2" w:space="0" w:color="auto"/>
              <w:right w:val="single" w:sz="2" w:space="0" w:color="auto"/>
            </w:tcBorders>
          </w:tcPr>
          <w:p w14:paraId="5D8EE95E" w14:textId="77777777" w:rsidR="009F4766" w:rsidRPr="00DE12A3" w:rsidRDefault="009F4766" w:rsidP="00C917D6">
            <w:pPr>
              <w:pStyle w:val="NormalLeft"/>
            </w:pPr>
            <w:r w:rsidRPr="00DE12A3">
              <w:t>3</w:t>
            </w:r>
          </w:p>
        </w:tc>
        <w:tc>
          <w:tcPr>
            <w:tcW w:w="1863" w:type="dxa"/>
            <w:tcBorders>
              <w:top w:val="single" w:sz="2" w:space="0" w:color="auto"/>
              <w:left w:val="single" w:sz="2" w:space="0" w:color="auto"/>
              <w:bottom w:val="single" w:sz="2" w:space="0" w:color="auto"/>
              <w:right w:val="single" w:sz="2" w:space="0" w:color="auto"/>
            </w:tcBorders>
          </w:tcPr>
          <w:p w14:paraId="4E9B96C9" w14:textId="77777777" w:rsidR="009F4766" w:rsidRPr="00DE12A3" w:rsidRDefault="009F4766" w:rsidP="00C917D6">
            <w:pPr>
              <w:pStyle w:val="NormalLeft"/>
            </w:pPr>
            <w:r w:rsidRPr="00DE12A3">
              <w:t>2,353</w:t>
            </w:r>
          </w:p>
        </w:tc>
        <w:tc>
          <w:tcPr>
            <w:tcW w:w="1808" w:type="dxa"/>
            <w:tcBorders>
              <w:top w:val="single" w:sz="2" w:space="0" w:color="auto"/>
              <w:left w:val="single" w:sz="2" w:space="0" w:color="auto"/>
              <w:bottom w:val="single" w:sz="2" w:space="0" w:color="auto"/>
              <w:right w:val="single" w:sz="2" w:space="0" w:color="auto"/>
            </w:tcBorders>
          </w:tcPr>
          <w:p w14:paraId="41F47C7A" w14:textId="77777777" w:rsidR="009F4766" w:rsidRPr="00DE12A3" w:rsidRDefault="009F4766" w:rsidP="00C917D6">
            <w:pPr>
              <w:pStyle w:val="NormalLeft"/>
            </w:pPr>
            <w:r w:rsidRPr="00DE12A3">
              <w:t>3,182</w:t>
            </w:r>
          </w:p>
        </w:tc>
      </w:tr>
      <w:tr w:rsidR="00DE12A3" w:rsidRPr="00DE12A3" w14:paraId="4F7528A9" w14:textId="77777777" w:rsidTr="009F4766">
        <w:tc>
          <w:tcPr>
            <w:tcW w:w="1808" w:type="dxa"/>
            <w:tcBorders>
              <w:top w:val="single" w:sz="2" w:space="0" w:color="auto"/>
              <w:left w:val="single" w:sz="2" w:space="0" w:color="auto"/>
              <w:bottom w:val="single" w:sz="2" w:space="0" w:color="auto"/>
              <w:right w:val="single" w:sz="2" w:space="0" w:color="auto"/>
            </w:tcBorders>
          </w:tcPr>
          <w:p w14:paraId="634B5168" w14:textId="77777777" w:rsidR="009F4766" w:rsidRPr="00DE12A3" w:rsidRDefault="009F4766" w:rsidP="00C917D6">
            <w:pPr>
              <w:pStyle w:val="NormalLeft"/>
            </w:pPr>
            <w:r w:rsidRPr="00DE12A3">
              <w:t>4</w:t>
            </w:r>
          </w:p>
        </w:tc>
        <w:tc>
          <w:tcPr>
            <w:tcW w:w="1863" w:type="dxa"/>
            <w:tcBorders>
              <w:top w:val="single" w:sz="2" w:space="0" w:color="auto"/>
              <w:left w:val="single" w:sz="2" w:space="0" w:color="auto"/>
              <w:bottom w:val="single" w:sz="2" w:space="0" w:color="auto"/>
              <w:right w:val="single" w:sz="2" w:space="0" w:color="auto"/>
            </w:tcBorders>
          </w:tcPr>
          <w:p w14:paraId="5B7EED1A" w14:textId="77777777" w:rsidR="009F4766" w:rsidRPr="00DE12A3" w:rsidRDefault="009F4766" w:rsidP="00C917D6">
            <w:pPr>
              <w:pStyle w:val="NormalLeft"/>
            </w:pPr>
            <w:r w:rsidRPr="00DE12A3">
              <w:t>2,132</w:t>
            </w:r>
          </w:p>
        </w:tc>
        <w:tc>
          <w:tcPr>
            <w:tcW w:w="1808" w:type="dxa"/>
            <w:tcBorders>
              <w:top w:val="single" w:sz="2" w:space="0" w:color="auto"/>
              <w:left w:val="single" w:sz="2" w:space="0" w:color="auto"/>
              <w:bottom w:val="single" w:sz="2" w:space="0" w:color="auto"/>
              <w:right w:val="single" w:sz="2" w:space="0" w:color="auto"/>
            </w:tcBorders>
          </w:tcPr>
          <w:p w14:paraId="2F5AF4FC" w14:textId="77777777" w:rsidR="009F4766" w:rsidRPr="00DE12A3" w:rsidRDefault="009F4766" w:rsidP="00C917D6">
            <w:pPr>
              <w:pStyle w:val="NormalLeft"/>
            </w:pPr>
            <w:r w:rsidRPr="00DE12A3">
              <w:t>2,776</w:t>
            </w:r>
          </w:p>
        </w:tc>
      </w:tr>
      <w:tr w:rsidR="00DE12A3" w:rsidRPr="00DE12A3" w14:paraId="46E7E5C1" w14:textId="77777777" w:rsidTr="009F4766">
        <w:tc>
          <w:tcPr>
            <w:tcW w:w="1808" w:type="dxa"/>
            <w:tcBorders>
              <w:top w:val="single" w:sz="2" w:space="0" w:color="auto"/>
              <w:left w:val="single" w:sz="2" w:space="0" w:color="auto"/>
              <w:bottom w:val="single" w:sz="2" w:space="0" w:color="auto"/>
              <w:right w:val="single" w:sz="2" w:space="0" w:color="auto"/>
            </w:tcBorders>
          </w:tcPr>
          <w:p w14:paraId="5CA5AF50" w14:textId="77777777" w:rsidR="009F4766" w:rsidRPr="00DE12A3" w:rsidRDefault="009F4766" w:rsidP="00C917D6">
            <w:pPr>
              <w:pStyle w:val="NormalLeft"/>
            </w:pPr>
            <w:r w:rsidRPr="00DE12A3">
              <w:t>5</w:t>
            </w:r>
          </w:p>
        </w:tc>
        <w:tc>
          <w:tcPr>
            <w:tcW w:w="1863" w:type="dxa"/>
            <w:tcBorders>
              <w:top w:val="single" w:sz="2" w:space="0" w:color="auto"/>
              <w:left w:val="single" w:sz="2" w:space="0" w:color="auto"/>
              <w:bottom w:val="single" w:sz="2" w:space="0" w:color="auto"/>
              <w:right w:val="single" w:sz="2" w:space="0" w:color="auto"/>
            </w:tcBorders>
          </w:tcPr>
          <w:p w14:paraId="5B437AAF" w14:textId="77777777" w:rsidR="009F4766" w:rsidRPr="00DE12A3" w:rsidRDefault="009F4766" w:rsidP="00C917D6">
            <w:pPr>
              <w:pStyle w:val="NormalLeft"/>
            </w:pPr>
            <w:r w:rsidRPr="00DE12A3">
              <w:t>2,015</w:t>
            </w:r>
          </w:p>
        </w:tc>
        <w:tc>
          <w:tcPr>
            <w:tcW w:w="1808" w:type="dxa"/>
            <w:tcBorders>
              <w:top w:val="single" w:sz="2" w:space="0" w:color="auto"/>
              <w:left w:val="single" w:sz="2" w:space="0" w:color="auto"/>
              <w:bottom w:val="single" w:sz="2" w:space="0" w:color="auto"/>
              <w:right w:val="single" w:sz="2" w:space="0" w:color="auto"/>
            </w:tcBorders>
          </w:tcPr>
          <w:p w14:paraId="46C6779F" w14:textId="77777777" w:rsidR="009F4766" w:rsidRPr="00DE12A3" w:rsidRDefault="009F4766" w:rsidP="00C917D6">
            <w:pPr>
              <w:pStyle w:val="NormalLeft"/>
            </w:pPr>
            <w:r w:rsidRPr="00DE12A3">
              <w:t>2,571</w:t>
            </w:r>
          </w:p>
        </w:tc>
      </w:tr>
      <w:tr w:rsidR="00DE12A3" w:rsidRPr="00DE12A3" w14:paraId="269F3268" w14:textId="77777777" w:rsidTr="009F4766">
        <w:tc>
          <w:tcPr>
            <w:tcW w:w="1808" w:type="dxa"/>
            <w:tcBorders>
              <w:top w:val="single" w:sz="2" w:space="0" w:color="auto"/>
              <w:left w:val="single" w:sz="2" w:space="0" w:color="auto"/>
              <w:bottom w:val="single" w:sz="2" w:space="0" w:color="auto"/>
              <w:right w:val="single" w:sz="2" w:space="0" w:color="auto"/>
            </w:tcBorders>
          </w:tcPr>
          <w:p w14:paraId="4965F288" w14:textId="77777777" w:rsidR="009F4766" w:rsidRPr="00DE12A3" w:rsidRDefault="009F4766" w:rsidP="00C917D6">
            <w:pPr>
              <w:pStyle w:val="NormalLeft"/>
            </w:pPr>
            <w:r w:rsidRPr="00DE12A3">
              <w:t>6</w:t>
            </w:r>
          </w:p>
        </w:tc>
        <w:tc>
          <w:tcPr>
            <w:tcW w:w="1863" w:type="dxa"/>
            <w:tcBorders>
              <w:top w:val="single" w:sz="2" w:space="0" w:color="auto"/>
              <w:left w:val="single" w:sz="2" w:space="0" w:color="auto"/>
              <w:bottom w:val="single" w:sz="2" w:space="0" w:color="auto"/>
              <w:right w:val="single" w:sz="2" w:space="0" w:color="auto"/>
            </w:tcBorders>
          </w:tcPr>
          <w:p w14:paraId="671627F1" w14:textId="77777777" w:rsidR="009F4766" w:rsidRPr="00DE12A3" w:rsidRDefault="009F4766" w:rsidP="00C917D6">
            <w:pPr>
              <w:pStyle w:val="NormalLeft"/>
            </w:pPr>
            <w:r w:rsidRPr="00DE12A3">
              <w:t>1,943</w:t>
            </w:r>
          </w:p>
        </w:tc>
        <w:tc>
          <w:tcPr>
            <w:tcW w:w="1808" w:type="dxa"/>
            <w:tcBorders>
              <w:top w:val="single" w:sz="2" w:space="0" w:color="auto"/>
              <w:left w:val="single" w:sz="2" w:space="0" w:color="auto"/>
              <w:bottom w:val="single" w:sz="2" w:space="0" w:color="auto"/>
              <w:right w:val="single" w:sz="2" w:space="0" w:color="auto"/>
            </w:tcBorders>
          </w:tcPr>
          <w:p w14:paraId="58072EE7" w14:textId="77777777" w:rsidR="009F4766" w:rsidRPr="00DE12A3" w:rsidRDefault="009F4766" w:rsidP="00C917D6">
            <w:pPr>
              <w:pStyle w:val="NormalLeft"/>
            </w:pPr>
            <w:r w:rsidRPr="00DE12A3">
              <w:t>2,447</w:t>
            </w:r>
          </w:p>
        </w:tc>
      </w:tr>
      <w:tr w:rsidR="00DE12A3" w:rsidRPr="00DE12A3" w14:paraId="17E5E0F6" w14:textId="77777777" w:rsidTr="009F4766">
        <w:tc>
          <w:tcPr>
            <w:tcW w:w="1808" w:type="dxa"/>
            <w:tcBorders>
              <w:top w:val="single" w:sz="2" w:space="0" w:color="auto"/>
              <w:left w:val="single" w:sz="2" w:space="0" w:color="auto"/>
              <w:bottom w:val="single" w:sz="2" w:space="0" w:color="auto"/>
              <w:right w:val="single" w:sz="2" w:space="0" w:color="auto"/>
            </w:tcBorders>
          </w:tcPr>
          <w:p w14:paraId="445D7521" w14:textId="77777777" w:rsidR="009F4766" w:rsidRPr="00DE12A3" w:rsidRDefault="009F4766" w:rsidP="00C917D6">
            <w:pPr>
              <w:pStyle w:val="NormalLeft"/>
            </w:pPr>
            <w:r w:rsidRPr="00DE12A3">
              <w:t>7</w:t>
            </w:r>
          </w:p>
        </w:tc>
        <w:tc>
          <w:tcPr>
            <w:tcW w:w="1863" w:type="dxa"/>
            <w:tcBorders>
              <w:top w:val="single" w:sz="2" w:space="0" w:color="auto"/>
              <w:left w:val="single" w:sz="2" w:space="0" w:color="auto"/>
              <w:bottom w:val="single" w:sz="2" w:space="0" w:color="auto"/>
              <w:right w:val="single" w:sz="2" w:space="0" w:color="auto"/>
            </w:tcBorders>
          </w:tcPr>
          <w:p w14:paraId="5063596A" w14:textId="77777777" w:rsidR="009F4766" w:rsidRPr="00DE12A3" w:rsidRDefault="009F4766" w:rsidP="00C917D6">
            <w:pPr>
              <w:pStyle w:val="NormalLeft"/>
            </w:pPr>
            <w:r w:rsidRPr="00DE12A3">
              <w:t>1,895</w:t>
            </w:r>
          </w:p>
        </w:tc>
        <w:tc>
          <w:tcPr>
            <w:tcW w:w="1808" w:type="dxa"/>
            <w:tcBorders>
              <w:top w:val="single" w:sz="2" w:space="0" w:color="auto"/>
              <w:left w:val="single" w:sz="2" w:space="0" w:color="auto"/>
              <w:bottom w:val="single" w:sz="2" w:space="0" w:color="auto"/>
              <w:right w:val="single" w:sz="2" w:space="0" w:color="auto"/>
            </w:tcBorders>
          </w:tcPr>
          <w:p w14:paraId="0E6A1CF7" w14:textId="77777777" w:rsidR="009F4766" w:rsidRPr="00DE12A3" w:rsidRDefault="009F4766" w:rsidP="00C917D6">
            <w:pPr>
              <w:pStyle w:val="NormalLeft"/>
            </w:pPr>
            <w:r w:rsidRPr="00DE12A3">
              <w:t>2,365</w:t>
            </w:r>
          </w:p>
        </w:tc>
      </w:tr>
      <w:tr w:rsidR="00DE12A3" w:rsidRPr="00DE12A3" w14:paraId="53B3E30C" w14:textId="77777777" w:rsidTr="009F4766">
        <w:tc>
          <w:tcPr>
            <w:tcW w:w="1808" w:type="dxa"/>
            <w:tcBorders>
              <w:top w:val="single" w:sz="2" w:space="0" w:color="auto"/>
              <w:left w:val="single" w:sz="2" w:space="0" w:color="auto"/>
              <w:bottom w:val="single" w:sz="2" w:space="0" w:color="auto"/>
              <w:right w:val="single" w:sz="2" w:space="0" w:color="auto"/>
            </w:tcBorders>
          </w:tcPr>
          <w:p w14:paraId="68F3FDCE" w14:textId="77777777" w:rsidR="009F4766" w:rsidRPr="00DE12A3" w:rsidRDefault="009F4766" w:rsidP="00C917D6">
            <w:pPr>
              <w:pStyle w:val="NormalLeft"/>
            </w:pPr>
            <w:r w:rsidRPr="00DE12A3">
              <w:t>8</w:t>
            </w:r>
          </w:p>
        </w:tc>
        <w:tc>
          <w:tcPr>
            <w:tcW w:w="1863" w:type="dxa"/>
            <w:tcBorders>
              <w:top w:val="single" w:sz="2" w:space="0" w:color="auto"/>
              <w:left w:val="single" w:sz="2" w:space="0" w:color="auto"/>
              <w:bottom w:val="single" w:sz="2" w:space="0" w:color="auto"/>
              <w:right w:val="single" w:sz="2" w:space="0" w:color="auto"/>
            </w:tcBorders>
          </w:tcPr>
          <w:p w14:paraId="735CA9C4" w14:textId="77777777" w:rsidR="009F4766" w:rsidRPr="00DE12A3" w:rsidRDefault="009F4766" w:rsidP="00C917D6">
            <w:pPr>
              <w:pStyle w:val="NormalLeft"/>
            </w:pPr>
            <w:r w:rsidRPr="00DE12A3">
              <w:t>1,860</w:t>
            </w:r>
          </w:p>
        </w:tc>
        <w:tc>
          <w:tcPr>
            <w:tcW w:w="1808" w:type="dxa"/>
            <w:tcBorders>
              <w:top w:val="single" w:sz="2" w:space="0" w:color="auto"/>
              <w:left w:val="single" w:sz="2" w:space="0" w:color="auto"/>
              <w:bottom w:val="single" w:sz="2" w:space="0" w:color="auto"/>
              <w:right w:val="single" w:sz="2" w:space="0" w:color="auto"/>
            </w:tcBorders>
          </w:tcPr>
          <w:p w14:paraId="44E9AD8D" w14:textId="77777777" w:rsidR="009F4766" w:rsidRPr="00DE12A3" w:rsidRDefault="009F4766" w:rsidP="00C917D6">
            <w:pPr>
              <w:pStyle w:val="NormalLeft"/>
            </w:pPr>
            <w:r w:rsidRPr="00DE12A3">
              <w:t>2,306</w:t>
            </w:r>
          </w:p>
        </w:tc>
      </w:tr>
      <w:tr w:rsidR="00DE12A3" w:rsidRPr="00DE12A3" w14:paraId="081F2190" w14:textId="77777777" w:rsidTr="009F4766">
        <w:tc>
          <w:tcPr>
            <w:tcW w:w="1808" w:type="dxa"/>
            <w:tcBorders>
              <w:top w:val="single" w:sz="2" w:space="0" w:color="auto"/>
              <w:left w:val="single" w:sz="2" w:space="0" w:color="auto"/>
              <w:bottom w:val="single" w:sz="2" w:space="0" w:color="auto"/>
              <w:right w:val="single" w:sz="2" w:space="0" w:color="auto"/>
            </w:tcBorders>
          </w:tcPr>
          <w:p w14:paraId="371A219F" w14:textId="77777777" w:rsidR="009F4766" w:rsidRPr="00DE12A3" w:rsidRDefault="009F4766" w:rsidP="00C917D6">
            <w:pPr>
              <w:pStyle w:val="NormalLeft"/>
            </w:pPr>
            <w:r w:rsidRPr="00DE12A3">
              <w:t>9</w:t>
            </w:r>
          </w:p>
        </w:tc>
        <w:tc>
          <w:tcPr>
            <w:tcW w:w="1863" w:type="dxa"/>
            <w:tcBorders>
              <w:top w:val="single" w:sz="2" w:space="0" w:color="auto"/>
              <w:left w:val="single" w:sz="2" w:space="0" w:color="auto"/>
              <w:bottom w:val="single" w:sz="2" w:space="0" w:color="auto"/>
              <w:right w:val="single" w:sz="2" w:space="0" w:color="auto"/>
            </w:tcBorders>
          </w:tcPr>
          <w:p w14:paraId="00889793" w14:textId="77777777" w:rsidR="009F4766" w:rsidRPr="00DE12A3" w:rsidRDefault="009F4766" w:rsidP="00C917D6">
            <w:pPr>
              <w:pStyle w:val="NormalLeft"/>
            </w:pPr>
            <w:r w:rsidRPr="00DE12A3">
              <w:t>1,833</w:t>
            </w:r>
          </w:p>
        </w:tc>
        <w:tc>
          <w:tcPr>
            <w:tcW w:w="1808" w:type="dxa"/>
            <w:tcBorders>
              <w:top w:val="single" w:sz="2" w:space="0" w:color="auto"/>
              <w:left w:val="single" w:sz="2" w:space="0" w:color="auto"/>
              <w:bottom w:val="single" w:sz="2" w:space="0" w:color="auto"/>
              <w:right w:val="single" w:sz="2" w:space="0" w:color="auto"/>
            </w:tcBorders>
          </w:tcPr>
          <w:p w14:paraId="132B8878" w14:textId="77777777" w:rsidR="009F4766" w:rsidRPr="00DE12A3" w:rsidRDefault="009F4766" w:rsidP="00C917D6">
            <w:pPr>
              <w:pStyle w:val="NormalLeft"/>
            </w:pPr>
            <w:r w:rsidRPr="00DE12A3">
              <w:t>2,262</w:t>
            </w:r>
          </w:p>
        </w:tc>
      </w:tr>
      <w:tr w:rsidR="00DE12A3" w:rsidRPr="00DE12A3" w14:paraId="3976412E" w14:textId="77777777" w:rsidTr="009F4766">
        <w:tc>
          <w:tcPr>
            <w:tcW w:w="1808" w:type="dxa"/>
            <w:tcBorders>
              <w:top w:val="single" w:sz="2" w:space="0" w:color="auto"/>
              <w:left w:val="single" w:sz="2" w:space="0" w:color="auto"/>
              <w:bottom w:val="single" w:sz="2" w:space="0" w:color="auto"/>
              <w:right w:val="single" w:sz="2" w:space="0" w:color="auto"/>
            </w:tcBorders>
          </w:tcPr>
          <w:p w14:paraId="2D57589C" w14:textId="77777777" w:rsidR="009F4766" w:rsidRPr="00DE12A3" w:rsidRDefault="009F4766" w:rsidP="00C917D6">
            <w:pPr>
              <w:pStyle w:val="NormalLeft"/>
            </w:pPr>
            <w:r w:rsidRPr="00DE12A3">
              <w:t>10</w:t>
            </w:r>
          </w:p>
        </w:tc>
        <w:tc>
          <w:tcPr>
            <w:tcW w:w="1863" w:type="dxa"/>
            <w:tcBorders>
              <w:top w:val="single" w:sz="2" w:space="0" w:color="auto"/>
              <w:left w:val="single" w:sz="2" w:space="0" w:color="auto"/>
              <w:bottom w:val="single" w:sz="2" w:space="0" w:color="auto"/>
              <w:right w:val="single" w:sz="2" w:space="0" w:color="auto"/>
            </w:tcBorders>
          </w:tcPr>
          <w:p w14:paraId="0AEF18DA" w14:textId="77777777" w:rsidR="009F4766" w:rsidRPr="00DE12A3" w:rsidRDefault="009F4766" w:rsidP="00C917D6">
            <w:pPr>
              <w:pStyle w:val="NormalLeft"/>
            </w:pPr>
            <w:r w:rsidRPr="00DE12A3">
              <w:t>1,812</w:t>
            </w:r>
          </w:p>
        </w:tc>
        <w:tc>
          <w:tcPr>
            <w:tcW w:w="1808" w:type="dxa"/>
            <w:tcBorders>
              <w:top w:val="single" w:sz="2" w:space="0" w:color="auto"/>
              <w:left w:val="single" w:sz="2" w:space="0" w:color="auto"/>
              <w:bottom w:val="single" w:sz="2" w:space="0" w:color="auto"/>
              <w:right w:val="single" w:sz="2" w:space="0" w:color="auto"/>
            </w:tcBorders>
          </w:tcPr>
          <w:p w14:paraId="1199198F" w14:textId="77777777" w:rsidR="009F4766" w:rsidRPr="00DE12A3" w:rsidRDefault="009F4766" w:rsidP="00C917D6">
            <w:pPr>
              <w:pStyle w:val="NormalLeft"/>
            </w:pPr>
            <w:r w:rsidRPr="00DE12A3">
              <w:t>2,228</w:t>
            </w:r>
          </w:p>
        </w:tc>
      </w:tr>
      <w:tr w:rsidR="00DE12A3" w:rsidRPr="00DE12A3" w14:paraId="55E21D31" w14:textId="77777777" w:rsidTr="009F4766">
        <w:tc>
          <w:tcPr>
            <w:tcW w:w="1808" w:type="dxa"/>
            <w:tcBorders>
              <w:top w:val="single" w:sz="2" w:space="0" w:color="auto"/>
              <w:left w:val="single" w:sz="2" w:space="0" w:color="auto"/>
              <w:bottom w:val="single" w:sz="2" w:space="0" w:color="auto"/>
              <w:right w:val="single" w:sz="2" w:space="0" w:color="auto"/>
            </w:tcBorders>
          </w:tcPr>
          <w:p w14:paraId="08AF42B7" w14:textId="77777777" w:rsidR="009F4766" w:rsidRPr="00DE12A3" w:rsidRDefault="009F4766" w:rsidP="00C917D6">
            <w:pPr>
              <w:pStyle w:val="NormalLeft"/>
            </w:pPr>
            <w:r w:rsidRPr="00DE12A3">
              <w:t>11</w:t>
            </w:r>
          </w:p>
        </w:tc>
        <w:tc>
          <w:tcPr>
            <w:tcW w:w="1863" w:type="dxa"/>
            <w:tcBorders>
              <w:top w:val="single" w:sz="2" w:space="0" w:color="auto"/>
              <w:left w:val="single" w:sz="2" w:space="0" w:color="auto"/>
              <w:bottom w:val="single" w:sz="2" w:space="0" w:color="auto"/>
              <w:right w:val="single" w:sz="2" w:space="0" w:color="auto"/>
            </w:tcBorders>
          </w:tcPr>
          <w:p w14:paraId="469F1CBA" w14:textId="77777777" w:rsidR="009F4766" w:rsidRPr="00DE12A3" w:rsidRDefault="009F4766" w:rsidP="00C917D6">
            <w:pPr>
              <w:pStyle w:val="NormalLeft"/>
            </w:pPr>
            <w:r w:rsidRPr="00DE12A3">
              <w:t>1,796</w:t>
            </w:r>
          </w:p>
        </w:tc>
        <w:tc>
          <w:tcPr>
            <w:tcW w:w="1808" w:type="dxa"/>
            <w:tcBorders>
              <w:top w:val="single" w:sz="2" w:space="0" w:color="auto"/>
              <w:left w:val="single" w:sz="2" w:space="0" w:color="auto"/>
              <w:bottom w:val="single" w:sz="2" w:space="0" w:color="auto"/>
              <w:right w:val="single" w:sz="2" w:space="0" w:color="auto"/>
            </w:tcBorders>
          </w:tcPr>
          <w:p w14:paraId="611DF8E4" w14:textId="77777777" w:rsidR="009F4766" w:rsidRPr="00DE12A3" w:rsidRDefault="009F4766" w:rsidP="00C917D6">
            <w:pPr>
              <w:pStyle w:val="NormalLeft"/>
            </w:pPr>
            <w:r w:rsidRPr="00DE12A3">
              <w:t>2,201</w:t>
            </w:r>
          </w:p>
        </w:tc>
      </w:tr>
      <w:tr w:rsidR="00DE12A3" w:rsidRPr="00DE12A3" w14:paraId="58BC66F6" w14:textId="77777777" w:rsidTr="009F4766">
        <w:tc>
          <w:tcPr>
            <w:tcW w:w="1808" w:type="dxa"/>
            <w:tcBorders>
              <w:top w:val="single" w:sz="2" w:space="0" w:color="auto"/>
              <w:left w:val="single" w:sz="2" w:space="0" w:color="auto"/>
              <w:bottom w:val="single" w:sz="2" w:space="0" w:color="auto"/>
              <w:right w:val="single" w:sz="2" w:space="0" w:color="auto"/>
            </w:tcBorders>
          </w:tcPr>
          <w:p w14:paraId="5E86BCE3" w14:textId="77777777" w:rsidR="009F4766" w:rsidRPr="00DE12A3" w:rsidRDefault="009F4766" w:rsidP="00C917D6">
            <w:pPr>
              <w:pStyle w:val="NormalLeft"/>
            </w:pPr>
            <w:r w:rsidRPr="00DE12A3">
              <w:t>12</w:t>
            </w:r>
          </w:p>
        </w:tc>
        <w:tc>
          <w:tcPr>
            <w:tcW w:w="1863" w:type="dxa"/>
            <w:tcBorders>
              <w:top w:val="single" w:sz="2" w:space="0" w:color="auto"/>
              <w:left w:val="single" w:sz="2" w:space="0" w:color="auto"/>
              <w:bottom w:val="single" w:sz="2" w:space="0" w:color="auto"/>
              <w:right w:val="single" w:sz="2" w:space="0" w:color="auto"/>
            </w:tcBorders>
          </w:tcPr>
          <w:p w14:paraId="7209335E" w14:textId="77777777" w:rsidR="009F4766" w:rsidRPr="00DE12A3" w:rsidRDefault="009F4766" w:rsidP="00C917D6">
            <w:pPr>
              <w:pStyle w:val="NormalLeft"/>
            </w:pPr>
            <w:r w:rsidRPr="00DE12A3">
              <w:t>1,782</w:t>
            </w:r>
          </w:p>
        </w:tc>
        <w:tc>
          <w:tcPr>
            <w:tcW w:w="1808" w:type="dxa"/>
            <w:tcBorders>
              <w:top w:val="single" w:sz="2" w:space="0" w:color="auto"/>
              <w:left w:val="single" w:sz="2" w:space="0" w:color="auto"/>
              <w:bottom w:val="single" w:sz="2" w:space="0" w:color="auto"/>
              <w:right w:val="single" w:sz="2" w:space="0" w:color="auto"/>
            </w:tcBorders>
          </w:tcPr>
          <w:p w14:paraId="6604945B" w14:textId="77777777" w:rsidR="009F4766" w:rsidRPr="00DE12A3" w:rsidRDefault="009F4766" w:rsidP="00C917D6">
            <w:pPr>
              <w:pStyle w:val="NormalLeft"/>
            </w:pPr>
            <w:r w:rsidRPr="00DE12A3">
              <w:t>2,179</w:t>
            </w:r>
          </w:p>
        </w:tc>
      </w:tr>
      <w:tr w:rsidR="00DE12A3" w:rsidRPr="00DE12A3" w14:paraId="170D33ED" w14:textId="77777777" w:rsidTr="009F4766">
        <w:tc>
          <w:tcPr>
            <w:tcW w:w="1808" w:type="dxa"/>
            <w:tcBorders>
              <w:top w:val="single" w:sz="2" w:space="0" w:color="auto"/>
              <w:left w:val="single" w:sz="2" w:space="0" w:color="auto"/>
              <w:bottom w:val="single" w:sz="2" w:space="0" w:color="auto"/>
              <w:right w:val="single" w:sz="2" w:space="0" w:color="auto"/>
            </w:tcBorders>
          </w:tcPr>
          <w:p w14:paraId="4EC6C787" w14:textId="77777777" w:rsidR="009F4766" w:rsidRPr="00DE12A3" w:rsidRDefault="009F4766" w:rsidP="00C917D6">
            <w:pPr>
              <w:pStyle w:val="NormalLeft"/>
            </w:pPr>
            <w:r w:rsidRPr="00DE12A3">
              <w:t>13</w:t>
            </w:r>
          </w:p>
        </w:tc>
        <w:tc>
          <w:tcPr>
            <w:tcW w:w="1863" w:type="dxa"/>
            <w:tcBorders>
              <w:top w:val="single" w:sz="2" w:space="0" w:color="auto"/>
              <w:left w:val="single" w:sz="2" w:space="0" w:color="auto"/>
              <w:bottom w:val="single" w:sz="2" w:space="0" w:color="auto"/>
              <w:right w:val="single" w:sz="2" w:space="0" w:color="auto"/>
            </w:tcBorders>
          </w:tcPr>
          <w:p w14:paraId="3AE16FEB" w14:textId="77777777" w:rsidR="009F4766" w:rsidRPr="00DE12A3" w:rsidRDefault="009F4766" w:rsidP="00C917D6">
            <w:pPr>
              <w:pStyle w:val="NormalLeft"/>
            </w:pPr>
            <w:r w:rsidRPr="00DE12A3">
              <w:t>1,771</w:t>
            </w:r>
          </w:p>
        </w:tc>
        <w:tc>
          <w:tcPr>
            <w:tcW w:w="1808" w:type="dxa"/>
            <w:tcBorders>
              <w:top w:val="single" w:sz="2" w:space="0" w:color="auto"/>
              <w:left w:val="single" w:sz="2" w:space="0" w:color="auto"/>
              <w:bottom w:val="single" w:sz="2" w:space="0" w:color="auto"/>
              <w:right w:val="single" w:sz="2" w:space="0" w:color="auto"/>
            </w:tcBorders>
          </w:tcPr>
          <w:p w14:paraId="758F5718" w14:textId="77777777" w:rsidR="009F4766" w:rsidRPr="00DE12A3" w:rsidRDefault="009F4766" w:rsidP="00C917D6">
            <w:pPr>
              <w:pStyle w:val="NormalLeft"/>
            </w:pPr>
            <w:r w:rsidRPr="00DE12A3">
              <w:t>2,160</w:t>
            </w:r>
          </w:p>
        </w:tc>
      </w:tr>
      <w:tr w:rsidR="00DE12A3" w:rsidRPr="00DE12A3" w14:paraId="58D1B650" w14:textId="77777777" w:rsidTr="009F4766">
        <w:tc>
          <w:tcPr>
            <w:tcW w:w="1808" w:type="dxa"/>
            <w:tcBorders>
              <w:top w:val="single" w:sz="2" w:space="0" w:color="auto"/>
              <w:left w:val="single" w:sz="2" w:space="0" w:color="auto"/>
              <w:bottom w:val="single" w:sz="2" w:space="0" w:color="auto"/>
              <w:right w:val="single" w:sz="2" w:space="0" w:color="auto"/>
            </w:tcBorders>
          </w:tcPr>
          <w:p w14:paraId="708DB67A" w14:textId="77777777" w:rsidR="009F4766" w:rsidRPr="00DE12A3" w:rsidRDefault="009F4766" w:rsidP="00C917D6">
            <w:pPr>
              <w:pStyle w:val="NormalLeft"/>
            </w:pPr>
            <w:r w:rsidRPr="00DE12A3">
              <w:t>14</w:t>
            </w:r>
          </w:p>
        </w:tc>
        <w:tc>
          <w:tcPr>
            <w:tcW w:w="1863" w:type="dxa"/>
            <w:tcBorders>
              <w:top w:val="single" w:sz="2" w:space="0" w:color="auto"/>
              <w:left w:val="single" w:sz="2" w:space="0" w:color="auto"/>
              <w:bottom w:val="single" w:sz="2" w:space="0" w:color="auto"/>
              <w:right w:val="single" w:sz="2" w:space="0" w:color="auto"/>
            </w:tcBorders>
          </w:tcPr>
          <w:p w14:paraId="079E6D0C" w14:textId="77777777" w:rsidR="009F4766" w:rsidRPr="00DE12A3" w:rsidRDefault="009F4766" w:rsidP="00C917D6">
            <w:pPr>
              <w:pStyle w:val="NormalLeft"/>
            </w:pPr>
            <w:r w:rsidRPr="00DE12A3">
              <w:t>1,761</w:t>
            </w:r>
          </w:p>
        </w:tc>
        <w:tc>
          <w:tcPr>
            <w:tcW w:w="1808" w:type="dxa"/>
            <w:tcBorders>
              <w:top w:val="single" w:sz="2" w:space="0" w:color="auto"/>
              <w:left w:val="single" w:sz="2" w:space="0" w:color="auto"/>
              <w:bottom w:val="single" w:sz="2" w:space="0" w:color="auto"/>
              <w:right w:val="single" w:sz="2" w:space="0" w:color="auto"/>
            </w:tcBorders>
          </w:tcPr>
          <w:p w14:paraId="63CA0940" w14:textId="77777777" w:rsidR="009F4766" w:rsidRPr="00DE12A3" w:rsidRDefault="009F4766" w:rsidP="00C917D6">
            <w:pPr>
              <w:pStyle w:val="NormalLeft"/>
            </w:pPr>
            <w:r w:rsidRPr="00DE12A3">
              <w:t>2,145</w:t>
            </w:r>
          </w:p>
        </w:tc>
      </w:tr>
      <w:tr w:rsidR="00DE12A3" w:rsidRPr="00DE12A3" w14:paraId="0E0FCD0C" w14:textId="77777777" w:rsidTr="009F4766">
        <w:tc>
          <w:tcPr>
            <w:tcW w:w="1808" w:type="dxa"/>
            <w:tcBorders>
              <w:top w:val="single" w:sz="2" w:space="0" w:color="auto"/>
              <w:left w:val="single" w:sz="2" w:space="0" w:color="auto"/>
              <w:bottom w:val="single" w:sz="2" w:space="0" w:color="auto"/>
              <w:right w:val="single" w:sz="2" w:space="0" w:color="auto"/>
            </w:tcBorders>
          </w:tcPr>
          <w:p w14:paraId="004C01A5" w14:textId="77777777" w:rsidR="009F4766" w:rsidRPr="00DE12A3" w:rsidRDefault="009F4766" w:rsidP="00C917D6">
            <w:pPr>
              <w:pStyle w:val="NormalLeft"/>
            </w:pPr>
            <w:r w:rsidRPr="00DE12A3">
              <w:t>15</w:t>
            </w:r>
          </w:p>
        </w:tc>
        <w:tc>
          <w:tcPr>
            <w:tcW w:w="1863" w:type="dxa"/>
            <w:tcBorders>
              <w:top w:val="single" w:sz="2" w:space="0" w:color="auto"/>
              <w:left w:val="single" w:sz="2" w:space="0" w:color="auto"/>
              <w:bottom w:val="single" w:sz="2" w:space="0" w:color="auto"/>
              <w:right w:val="single" w:sz="2" w:space="0" w:color="auto"/>
            </w:tcBorders>
          </w:tcPr>
          <w:p w14:paraId="7EE7BD9A" w14:textId="77777777" w:rsidR="009F4766" w:rsidRPr="00DE12A3" w:rsidRDefault="009F4766" w:rsidP="00C917D6">
            <w:pPr>
              <w:pStyle w:val="NormalLeft"/>
            </w:pPr>
            <w:r w:rsidRPr="00DE12A3">
              <w:t>1,753</w:t>
            </w:r>
          </w:p>
        </w:tc>
        <w:tc>
          <w:tcPr>
            <w:tcW w:w="1808" w:type="dxa"/>
            <w:tcBorders>
              <w:top w:val="single" w:sz="2" w:space="0" w:color="auto"/>
              <w:left w:val="single" w:sz="2" w:space="0" w:color="auto"/>
              <w:bottom w:val="single" w:sz="2" w:space="0" w:color="auto"/>
              <w:right w:val="single" w:sz="2" w:space="0" w:color="auto"/>
            </w:tcBorders>
          </w:tcPr>
          <w:p w14:paraId="1B61B2A9" w14:textId="77777777" w:rsidR="009F4766" w:rsidRPr="00DE12A3" w:rsidRDefault="009F4766" w:rsidP="00C917D6">
            <w:pPr>
              <w:pStyle w:val="NormalLeft"/>
            </w:pPr>
            <w:r w:rsidRPr="00DE12A3">
              <w:t>2,131</w:t>
            </w:r>
          </w:p>
        </w:tc>
      </w:tr>
      <w:tr w:rsidR="00DE12A3" w:rsidRPr="00DE12A3" w14:paraId="1AE9C080" w14:textId="77777777" w:rsidTr="009F4766">
        <w:tc>
          <w:tcPr>
            <w:tcW w:w="1808" w:type="dxa"/>
            <w:tcBorders>
              <w:top w:val="single" w:sz="2" w:space="0" w:color="auto"/>
              <w:left w:val="single" w:sz="2" w:space="0" w:color="auto"/>
              <w:bottom w:val="single" w:sz="2" w:space="0" w:color="auto"/>
              <w:right w:val="single" w:sz="2" w:space="0" w:color="auto"/>
            </w:tcBorders>
          </w:tcPr>
          <w:p w14:paraId="0F39FC0F" w14:textId="77777777" w:rsidR="009F4766" w:rsidRPr="00DE12A3" w:rsidRDefault="009F4766" w:rsidP="00C917D6">
            <w:pPr>
              <w:pStyle w:val="NormalLeft"/>
            </w:pPr>
            <w:r w:rsidRPr="00DE12A3">
              <w:lastRenderedPageBreak/>
              <w:t>16</w:t>
            </w:r>
          </w:p>
        </w:tc>
        <w:tc>
          <w:tcPr>
            <w:tcW w:w="1863" w:type="dxa"/>
            <w:tcBorders>
              <w:top w:val="single" w:sz="2" w:space="0" w:color="auto"/>
              <w:left w:val="single" w:sz="2" w:space="0" w:color="auto"/>
              <w:bottom w:val="single" w:sz="2" w:space="0" w:color="auto"/>
              <w:right w:val="single" w:sz="2" w:space="0" w:color="auto"/>
            </w:tcBorders>
          </w:tcPr>
          <w:p w14:paraId="3E8795DA" w14:textId="77777777" w:rsidR="009F4766" w:rsidRPr="00DE12A3" w:rsidRDefault="009F4766" w:rsidP="00C917D6">
            <w:pPr>
              <w:pStyle w:val="NormalLeft"/>
            </w:pPr>
            <w:r w:rsidRPr="00DE12A3">
              <w:t>1,746</w:t>
            </w:r>
          </w:p>
        </w:tc>
        <w:tc>
          <w:tcPr>
            <w:tcW w:w="1808" w:type="dxa"/>
            <w:tcBorders>
              <w:top w:val="single" w:sz="2" w:space="0" w:color="auto"/>
              <w:left w:val="single" w:sz="2" w:space="0" w:color="auto"/>
              <w:bottom w:val="single" w:sz="2" w:space="0" w:color="auto"/>
              <w:right w:val="single" w:sz="2" w:space="0" w:color="auto"/>
            </w:tcBorders>
          </w:tcPr>
          <w:p w14:paraId="728CB431" w14:textId="77777777" w:rsidR="009F4766" w:rsidRPr="00DE12A3" w:rsidRDefault="009F4766" w:rsidP="00C917D6">
            <w:pPr>
              <w:pStyle w:val="NormalLeft"/>
            </w:pPr>
            <w:r w:rsidRPr="00DE12A3">
              <w:t>2,120</w:t>
            </w:r>
          </w:p>
        </w:tc>
      </w:tr>
      <w:tr w:rsidR="00DE12A3" w:rsidRPr="00DE12A3" w14:paraId="4D69FCDB" w14:textId="77777777" w:rsidTr="009F4766">
        <w:tc>
          <w:tcPr>
            <w:tcW w:w="1808" w:type="dxa"/>
            <w:tcBorders>
              <w:top w:val="single" w:sz="2" w:space="0" w:color="auto"/>
              <w:left w:val="single" w:sz="2" w:space="0" w:color="auto"/>
              <w:bottom w:val="single" w:sz="2" w:space="0" w:color="auto"/>
              <w:right w:val="single" w:sz="2" w:space="0" w:color="auto"/>
            </w:tcBorders>
          </w:tcPr>
          <w:p w14:paraId="148ABC5A" w14:textId="77777777" w:rsidR="009F4766" w:rsidRPr="00DE12A3" w:rsidRDefault="009F4766" w:rsidP="00C917D6">
            <w:pPr>
              <w:pStyle w:val="NormalLeft"/>
            </w:pPr>
            <w:r w:rsidRPr="00DE12A3">
              <w:t>18</w:t>
            </w:r>
          </w:p>
        </w:tc>
        <w:tc>
          <w:tcPr>
            <w:tcW w:w="1863" w:type="dxa"/>
            <w:tcBorders>
              <w:top w:val="single" w:sz="2" w:space="0" w:color="auto"/>
              <w:left w:val="single" w:sz="2" w:space="0" w:color="auto"/>
              <w:bottom w:val="single" w:sz="2" w:space="0" w:color="auto"/>
              <w:right w:val="single" w:sz="2" w:space="0" w:color="auto"/>
            </w:tcBorders>
          </w:tcPr>
          <w:p w14:paraId="296897F9" w14:textId="77777777" w:rsidR="009F4766" w:rsidRPr="00DE12A3" w:rsidRDefault="009F4766" w:rsidP="00C917D6">
            <w:pPr>
              <w:pStyle w:val="NormalLeft"/>
            </w:pPr>
            <w:r w:rsidRPr="00DE12A3">
              <w:t>1,734</w:t>
            </w:r>
          </w:p>
        </w:tc>
        <w:tc>
          <w:tcPr>
            <w:tcW w:w="1808" w:type="dxa"/>
            <w:tcBorders>
              <w:top w:val="single" w:sz="2" w:space="0" w:color="auto"/>
              <w:left w:val="single" w:sz="2" w:space="0" w:color="auto"/>
              <w:bottom w:val="single" w:sz="2" w:space="0" w:color="auto"/>
              <w:right w:val="single" w:sz="2" w:space="0" w:color="auto"/>
            </w:tcBorders>
          </w:tcPr>
          <w:p w14:paraId="2C9AE5AE" w14:textId="77777777" w:rsidR="009F4766" w:rsidRPr="00DE12A3" w:rsidRDefault="009F4766" w:rsidP="00C917D6">
            <w:pPr>
              <w:pStyle w:val="NormalLeft"/>
            </w:pPr>
            <w:r w:rsidRPr="00DE12A3">
              <w:t>2,101</w:t>
            </w:r>
          </w:p>
        </w:tc>
      </w:tr>
      <w:tr w:rsidR="00DE12A3" w:rsidRPr="00DE12A3" w14:paraId="0DDF2197" w14:textId="77777777" w:rsidTr="009F4766">
        <w:tc>
          <w:tcPr>
            <w:tcW w:w="1808" w:type="dxa"/>
            <w:tcBorders>
              <w:top w:val="single" w:sz="2" w:space="0" w:color="auto"/>
              <w:left w:val="single" w:sz="2" w:space="0" w:color="auto"/>
              <w:bottom w:val="single" w:sz="2" w:space="0" w:color="auto"/>
              <w:right w:val="single" w:sz="2" w:space="0" w:color="auto"/>
            </w:tcBorders>
          </w:tcPr>
          <w:p w14:paraId="761643AF" w14:textId="77777777" w:rsidR="009F4766" w:rsidRPr="00DE12A3" w:rsidRDefault="009F4766" w:rsidP="00C917D6">
            <w:pPr>
              <w:pStyle w:val="NormalLeft"/>
            </w:pPr>
            <w:r w:rsidRPr="00DE12A3">
              <w:t>20</w:t>
            </w:r>
          </w:p>
        </w:tc>
        <w:tc>
          <w:tcPr>
            <w:tcW w:w="1863" w:type="dxa"/>
            <w:tcBorders>
              <w:top w:val="single" w:sz="2" w:space="0" w:color="auto"/>
              <w:left w:val="single" w:sz="2" w:space="0" w:color="auto"/>
              <w:bottom w:val="single" w:sz="2" w:space="0" w:color="auto"/>
              <w:right w:val="single" w:sz="2" w:space="0" w:color="auto"/>
            </w:tcBorders>
          </w:tcPr>
          <w:p w14:paraId="4F2F8084" w14:textId="77777777" w:rsidR="009F4766" w:rsidRPr="00DE12A3" w:rsidRDefault="009F4766" w:rsidP="00C917D6">
            <w:pPr>
              <w:pStyle w:val="NormalLeft"/>
            </w:pPr>
            <w:r w:rsidRPr="00DE12A3">
              <w:t>1,725</w:t>
            </w:r>
          </w:p>
        </w:tc>
        <w:tc>
          <w:tcPr>
            <w:tcW w:w="1808" w:type="dxa"/>
            <w:tcBorders>
              <w:top w:val="single" w:sz="2" w:space="0" w:color="auto"/>
              <w:left w:val="single" w:sz="2" w:space="0" w:color="auto"/>
              <w:bottom w:val="single" w:sz="2" w:space="0" w:color="auto"/>
              <w:right w:val="single" w:sz="2" w:space="0" w:color="auto"/>
            </w:tcBorders>
          </w:tcPr>
          <w:p w14:paraId="6C62302D" w14:textId="77777777" w:rsidR="009F4766" w:rsidRPr="00DE12A3" w:rsidRDefault="009F4766" w:rsidP="00C917D6">
            <w:pPr>
              <w:pStyle w:val="NormalLeft"/>
            </w:pPr>
            <w:r w:rsidRPr="00DE12A3">
              <w:t>2,086</w:t>
            </w:r>
          </w:p>
        </w:tc>
      </w:tr>
      <w:tr w:rsidR="00DE12A3" w:rsidRPr="00DE12A3" w14:paraId="1B4B2075" w14:textId="77777777" w:rsidTr="009F4766">
        <w:tc>
          <w:tcPr>
            <w:tcW w:w="1808" w:type="dxa"/>
            <w:tcBorders>
              <w:top w:val="single" w:sz="2" w:space="0" w:color="auto"/>
              <w:left w:val="single" w:sz="2" w:space="0" w:color="auto"/>
              <w:bottom w:val="single" w:sz="2" w:space="0" w:color="auto"/>
              <w:right w:val="single" w:sz="2" w:space="0" w:color="auto"/>
            </w:tcBorders>
          </w:tcPr>
          <w:p w14:paraId="44185F6B" w14:textId="77777777" w:rsidR="009F4766" w:rsidRPr="00DE12A3" w:rsidRDefault="009F4766" w:rsidP="00C917D6">
            <w:pPr>
              <w:pStyle w:val="NormalLeft"/>
            </w:pPr>
            <w:r w:rsidRPr="00DE12A3">
              <w:t>22</w:t>
            </w:r>
          </w:p>
        </w:tc>
        <w:tc>
          <w:tcPr>
            <w:tcW w:w="1863" w:type="dxa"/>
            <w:tcBorders>
              <w:top w:val="single" w:sz="2" w:space="0" w:color="auto"/>
              <w:left w:val="single" w:sz="2" w:space="0" w:color="auto"/>
              <w:bottom w:val="single" w:sz="2" w:space="0" w:color="auto"/>
              <w:right w:val="single" w:sz="2" w:space="0" w:color="auto"/>
            </w:tcBorders>
          </w:tcPr>
          <w:p w14:paraId="7611633C" w14:textId="77777777" w:rsidR="009F4766" w:rsidRPr="00DE12A3" w:rsidRDefault="009F4766" w:rsidP="00C917D6">
            <w:pPr>
              <w:pStyle w:val="NormalLeft"/>
            </w:pPr>
            <w:r w:rsidRPr="00DE12A3">
              <w:t>1,717</w:t>
            </w:r>
          </w:p>
        </w:tc>
        <w:tc>
          <w:tcPr>
            <w:tcW w:w="1808" w:type="dxa"/>
            <w:tcBorders>
              <w:top w:val="single" w:sz="2" w:space="0" w:color="auto"/>
              <w:left w:val="single" w:sz="2" w:space="0" w:color="auto"/>
              <w:bottom w:val="single" w:sz="2" w:space="0" w:color="auto"/>
              <w:right w:val="single" w:sz="2" w:space="0" w:color="auto"/>
            </w:tcBorders>
          </w:tcPr>
          <w:p w14:paraId="1418ED0F" w14:textId="77777777" w:rsidR="009F4766" w:rsidRPr="00DE12A3" w:rsidRDefault="009F4766" w:rsidP="00C917D6">
            <w:pPr>
              <w:pStyle w:val="NormalLeft"/>
            </w:pPr>
            <w:r w:rsidRPr="00DE12A3">
              <w:t>2,074</w:t>
            </w:r>
          </w:p>
        </w:tc>
      </w:tr>
      <w:tr w:rsidR="00DE12A3" w:rsidRPr="00DE12A3" w14:paraId="5EABE94A" w14:textId="77777777" w:rsidTr="009F4766">
        <w:tc>
          <w:tcPr>
            <w:tcW w:w="1808" w:type="dxa"/>
            <w:tcBorders>
              <w:top w:val="single" w:sz="2" w:space="0" w:color="auto"/>
              <w:left w:val="single" w:sz="2" w:space="0" w:color="auto"/>
              <w:bottom w:val="single" w:sz="2" w:space="0" w:color="auto"/>
              <w:right w:val="single" w:sz="2" w:space="0" w:color="auto"/>
            </w:tcBorders>
          </w:tcPr>
          <w:p w14:paraId="2C28F156" w14:textId="77777777" w:rsidR="009F4766" w:rsidRPr="00DE12A3" w:rsidRDefault="009F4766" w:rsidP="00C917D6">
            <w:pPr>
              <w:pStyle w:val="NormalLeft"/>
            </w:pPr>
            <w:r w:rsidRPr="00DE12A3">
              <w:t>24</w:t>
            </w:r>
          </w:p>
        </w:tc>
        <w:tc>
          <w:tcPr>
            <w:tcW w:w="1863" w:type="dxa"/>
            <w:tcBorders>
              <w:top w:val="single" w:sz="2" w:space="0" w:color="auto"/>
              <w:left w:val="single" w:sz="2" w:space="0" w:color="auto"/>
              <w:bottom w:val="single" w:sz="2" w:space="0" w:color="auto"/>
              <w:right w:val="single" w:sz="2" w:space="0" w:color="auto"/>
            </w:tcBorders>
          </w:tcPr>
          <w:p w14:paraId="39BF3900" w14:textId="77777777" w:rsidR="009F4766" w:rsidRPr="00DE12A3" w:rsidRDefault="009F4766" w:rsidP="00C917D6">
            <w:pPr>
              <w:pStyle w:val="NormalLeft"/>
            </w:pPr>
            <w:r w:rsidRPr="00DE12A3">
              <w:t>1,711</w:t>
            </w:r>
          </w:p>
        </w:tc>
        <w:tc>
          <w:tcPr>
            <w:tcW w:w="1808" w:type="dxa"/>
            <w:tcBorders>
              <w:top w:val="single" w:sz="2" w:space="0" w:color="auto"/>
              <w:left w:val="single" w:sz="2" w:space="0" w:color="auto"/>
              <w:bottom w:val="single" w:sz="2" w:space="0" w:color="auto"/>
              <w:right w:val="single" w:sz="2" w:space="0" w:color="auto"/>
            </w:tcBorders>
          </w:tcPr>
          <w:p w14:paraId="77FA76C9" w14:textId="77777777" w:rsidR="009F4766" w:rsidRPr="00DE12A3" w:rsidRDefault="009F4766" w:rsidP="00C917D6">
            <w:pPr>
              <w:pStyle w:val="NormalLeft"/>
            </w:pPr>
            <w:r w:rsidRPr="00DE12A3">
              <w:t>2,064</w:t>
            </w:r>
          </w:p>
        </w:tc>
      </w:tr>
      <w:tr w:rsidR="00DE12A3" w:rsidRPr="00DE12A3" w14:paraId="596C8148" w14:textId="77777777" w:rsidTr="009F4766">
        <w:tc>
          <w:tcPr>
            <w:tcW w:w="1808" w:type="dxa"/>
            <w:tcBorders>
              <w:top w:val="single" w:sz="2" w:space="0" w:color="auto"/>
              <w:left w:val="single" w:sz="2" w:space="0" w:color="auto"/>
              <w:bottom w:val="single" w:sz="2" w:space="0" w:color="auto"/>
              <w:right w:val="single" w:sz="2" w:space="0" w:color="auto"/>
            </w:tcBorders>
          </w:tcPr>
          <w:p w14:paraId="0421A7DC" w14:textId="77777777" w:rsidR="009F4766" w:rsidRPr="00DE12A3" w:rsidRDefault="009F4766" w:rsidP="00C917D6">
            <w:pPr>
              <w:pStyle w:val="NormalLeft"/>
            </w:pPr>
            <w:r w:rsidRPr="00DE12A3">
              <w:t>26</w:t>
            </w:r>
          </w:p>
        </w:tc>
        <w:tc>
          <w:tcPr>
            <w:tcW w:w="1863" w:type="dxa"/>
            <w:tcBorders>
              <w:top w:val="single" w:sz="2" w:space="0" w:color="auto"/>
              <w:left w:val="single" w:sz="2" w:space="0" w:color="auto"/>
              <w:bottom w:val="single" w:sz="2" w:space="0" w:color="auto"/>
              <w:right w:val="single" w:sz="2" w:space="0" w:color="auto"/>
            </w:tcBorders>
          </w:tcPr>
          <w:p w14:paraId="1A314C96" w14:textId="77777777" w:rsidR="009F4766" w:rsidRPr="00DE12A3" w:rsidRDefault="009F4766" w:rsidP="00C917D6">
            <w:pPr>
              <w:pStyle w:val="NormalLeft"/>
            </w:pPr>
            <w:r w:rsidRPr="00DE12A3">
              <w:t>1,706</w:t>
            </w:r>
          </w:p>
        </w:tc>
        <w:tc>
          <w:tcPr>
            <w:tcW w:w="1808" w:type="dxa"/>
            <w:tcBorders>
              <w:top w:val="single" w:sz="2" w:space="0" w:color="auto"/>
              <w:left w:val="single" w:sz="2" w:space="0" w:color="auto"/>
              <w:bottom w:val="single" w:sz="2" w:space="0" w:color="auto"/>
              <w:right w:val="single" w:sz="2" w:space="0" w:color="auto"/>
            </w:tcBorders>
          </w:tcPr>
          <w:p w14:paraId="7053C9AA" w14:textId="77777777" w:rsidR="009F4766" w:rsidRPr="00DE12A3" w:rsidRDefault="009F4766" w:rsidP="00C917D6">
            <w:pPr>
              <w:pStyle w:val="NormalLeft"/>
            </w:pPr>
            <w:r w:rsidRPr="00DE12A3">
              <w:t>2,056</w:t>
            </w:r>
          </w:p>
        </w:tc>
      </w:tr>
      <w:tr w:rsidR="00DE12A3" w:rsidRPr="00DE12A3" w14:paraId="06CFA462" w14:textId="77777777" w:rsidTr="009F4766">
        <w:tc>
          <w:tcPr>
            <w:tcW w:w="1808" w:type="dxa"/>
            <w:tcBorders>
              <w:top w:val="single" w:sz="2" w:space="0" w:color="auto"/>
              <w:left w:val="single" w:sz="2" w:space="0" w:color="auto"/>
              <w:bottom w:val="single" w:sz="2" w:space="0" w:color="auto"/>
              <w:right w:val="single" w:sz="2" w:space="0" w:color="auto"/>
            </w:tcBorders>
          </w:tcPr>
          <w:p w14:paraId="32A8912E" w14:textId="77777777" w:rsidR="009F4766" w:rsidRPr="00DE12A3" w:rsidRDefault="009F4766" w:rsidP="00C917D6">
            <w:pPr>
              <w:pStyle w:val="NormalLeft"/>
            </w:pPr>
            <w:r w:rsidRPr="00DE12A3">
              <w:t>28</w:t>
            </w:r>
          </w:p>
        </w:tc>
        <w:tc>
          <w:tcPr>
            <w:tcW w:w="1863" w:type="dxa"/>
            <w:tcBorders>
              <w:top w:val="single" w:sz="2" w:space="0" w:color="auto"/>
              <w:left w:val="single" w:sz="2" w:space="0" w:color="auto"/>
              <w:bottom w:val="single" w:sz="2" w:space="0" w:color="auto"/>
              <w:right w:val="single" w:sz="2" w:space="0" w:color="auto"/>
            </w:tcBorders>
          </w:tcPr>
          <w:p w14:paraId="07D66C61" w14:textId="77777777" w:rsidR="009F4766" w:rsidRPr="00DE12A3" w:rsidRDefault="009F4766" w:rsidP="00C917D6">
            <w:pPr>
              <w:pStyle w:val="NormalLeft"/>
            </w:pPr>
            <w:r w:rsidRPr="00DE12A3">
              <w:t>1,701</w:t>
            </w:r>
          </w:p>
        </w:tc>
        <w:tc>
          <w:tcPr>
            <w:tcW w:w="1808" w:type="dxa"/>
            <w:tcBorders>
              <w:top w:val="single" w:sz="2" w:space="0" w:color="auto"/>
              <w:left w:val="single" w:sz="2" w:space="0" w:color="auto"/>
              <w:bottom w:val="single" w:sz="2" w:space="0" w:color="auto"/>
              <w:right w:val="single" w:sz="2" w:space="0" w:color="auto"/>
            </w:tcBorders>
          </w:tcPr>
          <w:p w14:paraId="48087079" w14:textId="77777777" w:rsidR="009F4766" w:rsidRPr="00DE12A3" w:rsidRDefault="009F4766" w:rsidP="00C917D6">
            <w:pPr>
              <w:pStyle w:val="NormalLeft"/>
            </w:pPr>
            <w:r w:rsidRPr="00DE12A3">
              <w:t>2,048</w:t>
            </w:r>
          </w:p>
        </w:tc>
      </w:tr>
      <w:tr w:rsidR="00DE12A3" w:rsidRPr="00DE12A3" w14:paraId="2D4B5AB7" w14:textId="77777777" w:rsidTr="009F4766">
        <w:tc>
          <w:tcPr>
            <w:tcW w:w="1808" w:type="dxa"/>
            <w:tcBorders>
              <w:top w:val="single" w:sz="2" w:space="0" w:color="auto"/>
              <w:left w:val="single" w:sz="2" w:space="0" w:color="auto"/>
              <w:bottom w:val="single" w:sz="2" w:space="0" w:color="auto"/>
              <w:right w:val="single" w:sz="2" w:space="0" w:color="auto"/>
            </w:tcBorders>
          </w:tcPr>
          <w:p w14:paraId="66E1EF95" w14:textId="77777777" w:rsidR="009F4766" w:rsidRPr="00DE12A3" w:rsidRDefault="009F4766" w:rsidP="00C917D6">
            <w:pPr>
              <w:pStyle w:val="NormalLeft"/>
            </w:pPr>
            <w:r w:rsidRPr="00DE12A3">
              <w:t>30</w:t>
            </w:r>
          </w:p>
        </w:tc>
        <w:tc>
          <w:tcPr>
            <w:tcW w:w="1863" w:type="dxa"/>
            <w:tcBorders>
              <w:top w:val="single" w:sz="2" w:space="0" w:color="auto"/>
              <w:left w:val="single" w:sz="2" w:space="0" w:color="auto"/>
              <w:bottom w:val="single" w:sz="2" w:space="0" w:color="auto"/>
              <w:right w:val="single" w:sz="2" w:space="0" w:color="auto"/>
            </w:tcBorders>
          </w:tcPr>
          <w:p w14:paraId="04B118E0" w14:textId="77777777" w:rsidR="009F4766" w:rsidRPr="00DE12A3" w:rsidRDefault="009F4766" w:rsidP="00C917D6">
            <w:pPr>
              <w:pStyle w:val="NormalLeft"/>
            </w:pPr>
            <w:r w:rsidRPr="00DE12A3">
              <w:t>1,697</w:t>
            </w:r>
          </w:p>
        </w:tc>
        <w:tc>
          <w:tcPr>
            <w:tcW w:w="1808" w:type="dxa"/>
            <w:tcBorders>
              <w:top w:val="single" w:sz="2" w:space="0" w:color="auto"/>
              <w:left w:val="single" w:sz="2" w:space="0" w:color="auto"/>
              <w:bottom w:val="single" w:sz="2" w:space="0" w:color="auto"/>
              <w:right w:val="single" w:sz="2" w:space="0" w:color="auto"/>
            </w:tcBorders>
          </w:tcPr>
          <w:p w14:paraId="1913F283" w14:textId="77777777" w:rsidR="009F4766" w:rsidRPr="00DE12A3" w:rsidRDefault="009F4766" w:rsidP="00C917D6">
            <w:pPr>
              <w:pStyle w:val="NormalLeft"/>
            </w:pPr>
            <w:r w:rsidRPr="00DE12A3">
              <w:t>2,042</w:t>
            </w:r>
          </w:p>
        </w:tc>
      </w:tr>
      <w:tr w:rsidR="00DE12A3" w:rsidRPr="00DE12A3" w14:paraId="719911BC" w14:textId="77777777" w:rsidTr="009F4766">
        <w:tc>
          <w:tcPr>
            <w:tcW w:w="1808" w:type="dxa"/>
            <w:tcBorders>
              <w:top w:val="single" w:sz="2" w:space="0" w:color="auto"/>
              <w:left w:val="single" w:sz="2" w:space="0" w:color="auto"/>
              <w:bottom w:val="single" w:sz="2" w:space="0" w:color="auto"/>
              <w:right w:val="single" w:sz="2" w:space="0" w:color="auto"/>
            </w:tcBorders>
          </w:tcPr>
          <w:p w14:paraId="3EE3F120" w14:textId="77777777" w:rsidR="009F4766" w:rsidRPr="00DE12A3" w:rsidRDefault="009F4766" w:rsidP="00C917D6">
            <w:pPr>
              <w:pStyle w:val="NormalLeft"/>
            </w:pPr>
            <w:r w:rsidRPr="00DE12A3">
              <w:t>35</w:t>
            </w:r>
          </w:p>
        </w:tc>
        <w:tc>
          <w:tcPr>
            <w:tcW w:w="1863" w:type="dxa"/>
            <w:tcBorders>
              <w:top w:val="single" w:sz="2" w:space="0" w:color="auto"/>
              <w:left w:val="single" w:sz="2" w:space="0" w:color="auto"/>
              <w:bottom w:val="single" w:sz="2" w:space="0" w:color="auto"/>
              <w:right w:val="single" w:sz="2" w:space="0" w:color="auto"/>
            </w:tcBorders>
          </w:tcPr>
          <w:p w14:paraId="49A63FE0" w14:textId="77777777" w:rsidR="009F4766" w:rsidRPr="00DE12A3" w:rsidRDefault="009F4766" w:rsidP="00C917D6">
            <w:pPr>
              <w:pStyle w:val="NormalLeft"/>
            </w:pPr>
            <w:r w:rsidRPr="00DE12A3">
              <w:t>1,690</w:t>
            </w:r>
          </w:p>
        </w:tc>
        <w:tc>
          <w:tcPr>
            <w:tcW w:w="1808" w:type="dxa"/>
            <w:tcBorders>
              <w:top w:val="single" w:sz="2" w:space="0" w:color="auto"/>
              <w:left w:val="single" w:sz="2" w:space="0" w:color="auto"/>
              <w:bottom w:val="single" w:sz="2" w:space="0" w:color="auto"/>
              <w:right w:val="single" w:sz="2" w:space="0" w:color="auto"/>
            </w:tcBorders>
          </w:tcPr>
          <w:p w14:paraId="09ED59C2" w14:textId="77777777" w:rsidR="009F4766" w:rsidRPr="00DE12A3" w:rsidRDefault="009F4766" w:rsidP="00C917D6">
            <w:pPr>
              <w:pStyle w:val="NormalLeft"/>
            </w:pPr>
            <w:r w:rsidRPr="00DE12A3">
              <w:t>2,030</w:t>
            </w:r>
          </w:p>
        </w:tc>
      </w:tr>
      <w:tr w:rsidR="00DE12A3" w:rsidRPr="00DE12A3" w14:paraId="6FAA6B8D" w14:textId="77777777" w:rsidTr="009F4766">
        <w:tc>
          <w:tcPr>
            <w:tcW w:w="1808" w:type="dxa"/>
            <w:tcBorders>
              <w:top w:val="single" w:sz="2" w:space="0" w:color="auto"/>
              <w:left w:val="single" w:sz="2" w:space="0" w:color="auto"/>
              <w:bottom w:val="single" w:sz="2" w:space="0" w:color="auto"/>
              <w:right w:val="single" w:sz="2" w:space="0" w:color="auto"/>
            </w:tcBorders>
          </w:tcPr>
          <w:p w14:paraId="184A4439" w14:textId="77777777" w:rsidR="009F4766" w:rsidRPr="00DE12A3" w:rsidRDefault="009F4766" w:rsidP="00C917D6">
            <w:pPr>
              <w:pStyle w:val="NormalLeft"/>
            </w:pPr>
            <w:r w:rsidRPr="00DE12A3">
              <w:t>40</w:t>
            </w:r>
          </w:p>
        </w:tc>
        <w:tc>
          <w:tcPr>
            <w:tcW w:w="1863" w:type="dxa"/>
            <w:tcBorders>
              <w:top w:val="single" w:sz="2" w:space="0" w:color="auto"/>
              <w:left w:val="single" w:sz="2" w:space="0" w:color="auto"/>
              <w:bottom w:val="single" w:sz="2" w:space="0" w:color="auto"/>
              <w:right w:val="single" w:sz="2" w:space="0" w:color="auto"/>
            </w:tcBorders>
          </w:tcPr>
          <w:p w14:paraId="7427F9F9" w14:textId="77777777" w:rsidR="009F4766" w:rsidRPr="00DE12A3" w:rsidRDefault="009F4766" w:rsidP="00C917D6">
            <w:pPr>
              <w:pStyle w:val="NormalLeft"/>
            </w:pPr>
            <w:r w:rsidRPr="00DE12A3">
              <w:t>1,684</w:t>
            </w:r>
          </w:p>
        </w:tc>
        <w:tc>
          <w:tcPr>
            <w:tcW w:w="1808" w:type="dxa"/>
            <w:tcBorders>
              <w:top w:val="single" w:sz="2" w:space="0" w:color="auto"/>
              <w:left w:val="single" w:sz="2" w:space="0" w:color="auto"/>
              <w:bottom w:val="single" w:sz="2" w:space="0" w:color="auto"/>
              <w:right w:val="single" w:sz="2" w:space="0" w:color="auto"/>
            </w:tcBorders>
          </w:tcPr>
          <w:p w14:paraId="3CADB94C" w14:textId="77777777" w:rsidR="009F4766" w:rsidRPr="00DE12A3" w:rsidRDefault="009F4766" w:rsidP="00C917D6">
            <w:pPr>
              <w:pStyle w:val="NormalLeft"/>
            </w:pPr>
            <w:r w:rsidRPr="00DE12A3">
              <w:t>2,021</w:t>
            </w:r>
          </w:p>
        </w:tc>
      </w:tr>
      <w:tr w:rsidR="00DE12A3" w:rsidRPr="00DE12A3" w14:paraId="292A514A" w14:textId="77777777" w:rsidTr="009F4766">
        <w:tc>
          <w:tcPr>
            <w:tcW w:w="1808" w:type="dxa"/>
            <w:tcBorders>
              <w:top w:val="single" w:sz="2" w:space="0" w:color="auto"/>
              <w:left w:val="single" w:sz="2" w:space="0" w:color="auto"/>
              <w:bottom w:val="single" w:sz="2" w:space="0" w:color="auto"/>
              <w:right w:val="single" w:sz="2" w:space="0" w:color="auto"/>
            </w:tcBorders>
          </w:tcPr>
          <w:p w14:paraId="77ED0358" w14:textId="77777777" w:rsidR="009F4766" w:rsidRPr="00DE12A3" w:rsidRDefault="009F4766" w:rsidP="00C917D6">
            <w:pPr>
              <w:pStyle w:val="NormalLeft"/>
            </w:pPr>
            <w:r w:rsidRPr="00DE12A3">
              <w:t>50</w:t>
            </w:r>
          </w:p>
        </w:tc>
        <w:tc>
          <w:tcPr>
            <w:tcW w:w="1863" w:type="dxa"/>
            <w:tcBorders>
              <w:top w:val="single" w:sz="2" w:space="0" w:color="auto"/>
              <w:left w:val="single" w:sz="2" w:space="0" w:color="auto"/>
              <w:bottom w:val="single" w:sz="2" w:space="0" w:color="auto"/>
              <w:right w:val="single" w:sz="2" w:space="0" w:color="auto"/>
            </w:tcBorders>
          </w:tcPr>
          <w:p w14:paraId="5AA64260" w14:textId="77777777" w:rsidR="009F4766" w:rsidRPr="00DE12A3" w:rsidRDefault="009F4766" w:rsidP="00C917D6">
            <w:pPr>
              <w:pStyle w:val="NormalLeft"/>
            </w:pPr>
            <w:r w:rsidRPr="00DE12A3">
              <w:t>1,676</w:t>
            </w:r>
          </w:p>
        </w:tc>
        <w:tc>
          <w:tcPr>
            <w:tcW w:w="1808" w:type="dxa"/>
            <w:tcBorders>
              <w:top w:val="single" w:sz="2" w:space="0" w:color="auto"/>
              <w:left w:val="single" w:sz="2" w:space="0" w:color="auto"/>
              <w:bottom w:val="single" w:sz="2" w:space="0" w:color="auto"/>
              <w:right w:val="single" w:sz="2" w:space="0" w:color="auto"/>
            </w:tcBorders>
          </w:tcPr>
          <w:p w14:paraId="374D3D02" w14:textId="77777777" w:rsidR="009F4766" w:rsidRPr="00DE12A3" w:rsidRDefault="009F4766" w:rsidP="00C917D6">
            <w:pPr>
              <w:pStyle w:val="NormalLeft"/>
            </w:pPr>
            <w:r w:rsidRPr="00DE12A3">
              <w:t>2,009</w:t>
            </w:r>
          </w:p>
        </w:tc>
      </w:tr>
      <w:tr w:rsidR="00DE12A3" w:rsidRPr="00DE12A3" w14:paraId="2CF5F4A4" w14:textId="77777777" w:rsidTr="009F4766">
        <w:tc>
          <w:tcPr>
            <w:tcW w:w="1808" w:type="dxa"/>
            <w:tcBorders>
              <w:top w:val="single" w:sz="2" w:space="0" w:color="auto"/>
              <w:left w:val="single" w:sz="2" w:space="0" w:color="auto"/>
              <w:bottom w:val="single" w:sz="2" w:space="0" w:color="auto"/>
              <w:right w:val="single" w:sz="2" w:space="0" w:color="auto"/>
            </w:tcBorders>
          </w:tcPr>
          <w:p w14:paraId="577D5C5F" w14:textId="77777777" w:rsidR="009F4766" w:rsidRPr="00DE12A3" w:rsidRDefault="009F4766" w:rsidP="00C917D6">
            <w:pPr>
              <w:pStyle w:val="NormalLeft"/>
            </w:pPr>
            <w:r w:rsidRPr="00DE12A3">
              <w:t>70</w:t>
            </w:r>
          </w:p>
        </w:tc>
        <w:tc>
          <w:tcPr>
            <w:tcW w:w="1863" w:type="dxa"/>
            <w:tcBorders>
              <w:top w:val="single" w:sz="2" w:space="0" w:color="auto"/>
              <w:left w:val="single" w:sz="2" w:space="0" w:color="auto"/>
              <w:bottom w:val="single" w:sz="2" w:space="0" w:color="auto"/>
              <w:right w:val="single" w:sz="2" w:space="0" w:color="auto"/>
            </w:tcBorders>
          </w:tcPr>
          <w:p w14:paraId="7F4D9634" w14:textId="77777777" w:rsidR="009F4766" w:rsidRPr="00DE12A3" w:rsidRDefault="009F4766" w:rsidP="00C917D6">
            <w:pPr>
              <w:pStyle w:val="NormalLeft"/>
            </w:pPr>
            <w:r w:rsidRPr="00DE12A3">
              <w:t>1,667</w:t>
            </w:r>
          </w:p>
        </w:tc>
        <w:tc>
          <w:tcPr>
            <w:tcW w:w="1808" w:type="dxa"/>
            <w:tcBorders>
              <w:top w:val="single" w:sz="2" w:space="0" w:color="auto"/>
              <w:left w:val="single" w:sz="2" w:space="0" w:color="auto"/>
              <w:bottom w:val="single" w:sz="2" w:space="0" w:color="auto"/>
              <w:right w:val="single" w:sz="2" w:space="0" w:color="auto"/>
            </w:tcBorders>
          </w:tcPr>
          <w:p w14:paraId="5E884618" w14:textId="77777777" w:rsidR="009F4766" w:rsidRPr="00DE12A3" w:rsidRDefault="009F4766" w:rsidP="00C917D6">
            <w:pPr>
              <w:pStyle w:val="NormalLeft"/>
            </w:pPr>
            <w:r w:rsidRPr="00DE12A3">
              <w:t>1,994</w:t>
            </w:r>
          </w:p>
        </w:tc>
      </w:tr>
      <w:tr w:rsidR="00DE12A3" w:rsidRPr="00DE12A3" w14:paraId="742E8347" w14:textId="77777777" w:rsidTr="009F4766">
        <w:tc>
          <w:tcPr>
            <w:tcW w:w="1808" w:type="dxa"/>
            <w:tcBorders>
              <w:top w:val="single" w:sz="2" w:space="0" w:color="auto"/>
              <w:left w:val="single" w:sz="2" w:space="0" w:color="auto"/>
              <w:bottom w:val="single" w:sz="2" w:space="0" w:color="auto"/>
              <w:right w:val="single" w:sz="2" w:space="0" w:color="auto"/>
            </w:tcBorders>
          </w:tcPr>
          <w:p w14:paraId="72B6FCF5" w14:textId="77777777" w:rsidR="009F4766" w:rsidRPr="00DE12A3" w:rsidRDefault="009F4766" w:rsidP="00C917D6">
            <w:pPr>
              <w:pStyle w:val="NormalLeft"/>
            </w:pPr>
            <w:r w:rsidRPr="00DE12A3">
              <w:t>100</w:t>
            </w:r>
          </w:p>
        </w:tc>
        <w:tc>
          <w:tcPr>
            <w:tcW w:w="1863" w:type="dxa"/>
            <w:tcBorders>
              <w:top w:val="single" w:sz="2" w:space="0" w:color="auto"/>
              <w:left w:val="single" w:sz="2" w:space="0" w:color="auto"/>
              <w:bottom w:val="single" w:sz="2" w:space="0" w:color="auto"/>
              <w:right w:val="single" w:sz="2" w:space="0" w:color="auto"/>
            </w:tcBorders>
          </w:tcPr>
          <w:p w14:paraId="71134AD9" w14:textId="77777777" w:rsidR="009F4766" w:rsidRPr="00DE12A3" w:rsidRDefault="009F4766" w:rsidP="00C917D6">
            <w:pPr>
              <w:pStyle w:val="NormalLeft"/>
            </w:pPr>
            <w:r w:rsidRPr="00DE12A3">
              <w:t>1,660</w:t>
            </w:r>
          </w:p>
        </w:tc>
        <w:tc>
          <w:tcPr>
            <w:tcW w:w="1808" w:type="dxa"/>
            <w:tcBorders>
              <w:top w:val="single" w:sz="2" w:space="0" w:color="auto"/>
              <w:left w:val="single" w:sz="2" w:space="0" w:color="auto"/>
              <w:bottom w:val="single" w:sz="2" w:space="0" w:color="auto"/>
              <w:right w:val="single" w:sz="2" w:space="0" w:color="auto"/>
            </w:tcBorders>
          </w:tcPr>
          <w:p w14:paraId="0C2B4CD0" w14:textId="77777777" w:rsidR="009F4766" w:rsidRPr="00DE12A3" w:rsidRDefault="009F4766" w:rsidP="00C917D6">
            <w:pPr>
              <w:pStyle w:val="NormalLeft"/>
            </w:pPr>
            <w:r w:rsidRPr="00DE12A3">
              <w:t>1,984</w:t>
            </w:r>
          </w:p>
        </w:tc>
      </w:tr>
      <w:tr w:rsidR="009F4766" w:rsidRPr="00DE12A3" w14:paraId="5D245273" w14:textId="77777777" w:rsidTr="009F4766">
        <w:tc>
          <w:tcPr>
            <w:tcW w:w="1808" w:type="dxa"/>
            <w:tcBorders>
              <w:top w:val="single" w:sz="2" w:space="0" w:color="auto"/>
              <w:left w:val="single" w:sz="2" w:space="0" w:color="auto"/>
              <w:bottom w:val="single" w:sz="2" w:space="0" w:color="auto"/>
              <w:right w:val="single" w:sz="2" w:space="0" w:color="auto"/>
            </w:tcBorders>
          </w:tcPr>
          <w:p w14:paraId="376F3214" w14:textId="77777777" w:rsidR="009F4766" w:rsidRPr="00DE12A3" w:rsidRDefault="009F4766" w:rsidP="00C917D6">
            <w:pPr>
              <w:pStyle w:val="NormalLeft"/>
            </w:pPr>
            <w:r w:rsidRPr="00DE12A3">
              <w:t>1000+</w:t>
            </w:r>
          </w:p>
        </w:tc>
        <w:tc>
          <w:tcPr>
            <w:tcW w:w="1863" w:type="dxa"/>
            <w:tcBorders>
              <w:top w:val="single" w:sz="2" w:space="0" w:color="auto"/>
              <w:left w:val="single" w:sz="2" w:space="0" w:color="auto"/>
              <w:bottom w:val="single" w:sz="2" w:space="0" w:color="auto"/>
              <w:right w:val="single" w:sz="2" w:space="0" w:color="auto"/>
            </w:tcBorders>
          </w:tcPr>
          <w:p w14:paraId="3FE109B3" w14:textId="77777777" w:rsidR="009F4766" w:rsidRPr="00DE12A3" w:rsidRDefault="009F4766" w:rsidP="00C917D6">
            <w:pPr>
              <w:pStyle w:val="NormalLeft"/>
            </w:pPr>
            <w:r w:rsidRPr="00DE12A3">
              <w:t>1,645</w:t>
            </w:r>
          </w:p>
        </w:tc>
        <w:tc>
          <w:tcPr>
            <w:tcW w:w="1808" w:type="dxa"/>
            <w:tcBorders>
              <w:top w:val="single" w:sz="2" w:space="0" w:color="auto"/>
              <w:left w:val="single" w:sz="2" w:space="0" w:color="auto"/>
              <w:bottom w:val="single" w:sz="2" w:space="0" w:color="auto"/>
              <w:right w:val="single" w:sz="2" w:space="0" w:color="auto"/>
            </w:tcBorders>
          </w:tcPr>
          <w:p w14:paraId="373DE91A" w14:textId="77777777" w:rsidR="009F4766" w:rsidRPr="00DE12A3" w:rsidRDefault="009F4766" w:rsidP="00C917D6">
            <w:pPr>
              <w:pStyle w:val="NormalLeft"/>
            </w:pPr>
            <w:r w:rsidRPr="00DE12A3">
              <w:t>1,960</w:t>
            </w:r>
          </w:p>
        </w:tc>
      </w:tr>
    </w:tbl>
    <w:p w14:paraId="557BF4F8" w14:textId="77777777" w:rsidR="009F4766" w:rsidRPr="00DE12A3" w:rsidRDefault="009F4766" w:rsidP="00C917D6">
      <w:pPr>
        <w:spacing w:before="120" w:after="120"/>
        <w:rPr>
          <w:rFonts w:cs="Times New Roman"/>
          <w:color w:val="auto"/>
        </w:rPr>
      </w:pPr>
    </w:p>
    <w:p w14:paraId="0F71BD37" w14:textId="77777777" w:rsidR="00B9288F" w:rsidRPr="00DE12A3" w:rsidRDefault="00B9288F" w:rsidP="0004697B">
      <w:pPr>
        <w:spacing w:before="120" w:after="120"/>
        <w:rPr>
          <w:rFonts w:cs="Times New Roman"/>
          <w:color w:val="auto"/>
        </w:rPr>
      </w:pPr>
      <w:r w:rsidRPr="00DE12A3">
        <w:rPr>
          <w:rFonts w:cs="Times New Roman"/>
          <w:color w:val="auto"/>
        </w:rPr>
        <w:t>Burada gösterilmeyen değerleri belirlemek için doğrusal enterpolasyon kullanılır.</w:t>
      </w:r>
    </w:p>
    <w:p w14:paraId="1974A8C5" w14:textId="77777777" w:rsidR="00B9288F" w:rsidRPr="00DE12A3" w:rsidRDefault="00B9288F" w:rsidP="0004697B">
      <w:pPr>
        <w:spacing w:before="120" w:after="120"/>
        <w:rPr>
          <w:rFonts w:cs="Times New Roman"/>
          <w:color w:val="auto"/>
        </w:rPr>
      </w:pPr>
    </w:p>
    <w:p w14:paraId="2B7B537A" w14:textId="753CAE8F" w:rsidR="00B9288F" w:rsidRPr="00DE12A3" w:rsidRDefault="0004697B" w:rsidP="0004697B">
      <w:pPr>
        <w:spacing w:before="120" w:after="120"/>
        <w:rPr>
          <w:rFonts w:cs="Times New Roman"/>
          <w:b/>
          <w:color w:val="auto"/>
        </w:rPr>
      </w:pPr>
      <w:r w:rsidRPr="00DE12A3">
        <w:rPr>
          <w:rFonts w:cs="Times New Roman"/>
          <w:b/>
          <w:color w:val="auto"/>
        </w:rPr>
        <w:t>5.</w:t>
      </w:r>
      <w:r w:rsidR="00B9288F" w:rsidRPr="00DE12A3">
        <w:rPr>
          <w:rFonts w:cs="Times New Roman"/>
          <w:b/>
          <w:color w:val="auto"/>
        </w:rPr>
        <w:t xml:space="preserve"> F-testi</w:t>
      </w:r>
    </w:p>
    <w:p w14:paraId="353E34DB" w14:textId="77777777" w:rsidR="00B9288F" w:rsidRPr="00DE12A3" w:rsidRDefault="00B9288F" w:rsidP="00C917D6">
      <w:pPr>
        <w:pStyle w:val="ListeParagraf"/>
        <w:spacing w:before="120" w:after="120"/>
        <w:ind w:left="1134" w:hanging="1134"/>
        <w:rPr>
          <w:rFonts w:cs="Times New Roman"/>
          <w:b/>
          <w:color w:val="auto"/>
        </w:rPr>
      </w:pPr>
    </w:p>
    <w:p w14:paraId="2E7E7E9D" w14:textId="3421A8CB" w:rsidR="00B9288F" w:rsidRPr="00DE12A3" w:rsidRDefault="00B9288F" w:rsidP="0004697B">
      <w:pPr>
        <w:spacing w:before="120" w:after="120"/>
        <w:rPr>
          <w:rFonts w:cs="Times New Roman"/>
          <w:color w:val="auto"/>
        </w:rPr>
      </w:pPr>
      <w:r w:rsidRPr="00DE12A3">
        <w:rPr>
          <w:rFonts w:cs="Times New Roman"/>
          <w:color w:val="auto"/>
        </w:rPr>
        <w:t xml:space="preserve">F istatistiği, (7-161) </w:t>
      </w:r>
      <w:r w:rsidR="005C6D9F" w:rsidRPr="00DE12A3">
        <w:rPr>
          <w:color w:val="auto"/>
        </w:rPr>
        <w:t>numaralı</w:t>
      </w:r>
      <w:r w:rsidR="005C6D9F" w:rsidRPr="00DE12A3" w:rsidDel="005C6D9F">
        <w:rPr>
          <w:rFonts w:cs="Times New Roman"/>
          <w:color w:val="auto"/>
        </w:rPr>
        <w:t xml:space="preserve"> </w:t>
      </w:r>
      <w:r w:rsidRPr="00DE12A3">
        <w:rPr>
          <w:rFonts w:cs="Times New Roman"/>
          <w:color w:val="auto"/>
        </w:rPr>
        <w:t>denklem ile hesaplanır:</w:t>
      </w:r>
    </w:p>
    <w:p w14:paraId="45CC2AB2" w14:textId="77777777" w:rsidR="00B9288F" w:rsidRPr="00DE12A3" w:rsidRDefault="00B9288F" w:rsidP="0004697B">
      <w:pPr>
        <w:spacing w:before="120" w:after="120"/>
        <w:rPr>
          <w:rFonts w:cs="Times New Roman"/>
          <w:color w:val="auto"/>
        </w:rPr>
      </w:pPr>
    </w:p>
    <w:tbl>
      <w:tblPr>
        <w:tblW w:w="0" w:type="auto"/>
        <w:jc w:val="center"/>
        <w:tblLayout w:type="fixed"/>
        <w:tblLook w:val="0000" w:firstRow="0" w:lastRow="0" w:firstColumn="0" w:lastColumn="0" w:noHBand="0" w:noVBand="0"/>
      </w:tblPr>
      <w:tblGrid>
        <w:gridCol w:w="3557"/>
        <w:gridCol w:w="2275"/>
      </w:tblGrid>
      <w:tr w:rsidR="009F4766" w:rsidRPr="00DE12A3" w14:paraId="645CF850" w14:textId="77777777" w:rsidTr="001A234D">
        <w:trPr>
          <w:trHeight w:val="636"/>
          <w:jc w:val="center"/>
        </w:trPr>
        <w:tc>
          <w:tcPr>
            <w:tcW w:w="3557" w:type="dxa"/>
          </w:tcPr>
          <w:p w14:paraId="448ECA74" w14:textId="25C4014F" w:rsidR="009F4766" w:rsidRPr="00DE12A3" w:rsidRDefault="009F4766" w:rsidP="00C917D6">
            <w:pPr>
              <w:pStyle w:val="NormalLeft"/>
            </w:pPr>
            <w:r w:rsidRPr="00DE12A3">
              <w:rPr>
                <w:noProof/>
                <w:lang w:val="tr-TR"/>
              </w:rPr>
              <w:drawing>
                <wp:inline distT="0" distB="0" distL="0" distR="0" wp14:anchorId="47210FC1" wp14:editId="5A663F78">
                  <wp:extent cx="1200729" cy="533400"/>
                  <wp:effectExtent l="0" t="0" r="0" b="0"/>
                  <wp:docPr id="2047" name="Resim 20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232">
                            <a:extLst>
                              <a:ext uri="{28A0092B-C50C-407E-A947-70E740481C1C}">
                                <a14:useLocalDpi xmlns:a14="http://schemas.microsoft.com/office/drawing/2010/main" val="0"/>
                              </a:ext>
                            </a:extLst>
                          </a:blip>
                          <a:srcRect/>
                          <a:stretch>
                            <a:fillRect/>
                          </a:stretch>
                        </pic:blipFill>
                        <pic:spPr bwMode="auto">
                          <a:xfrm>
                            <a:off x="0" y="0"/>
                            <a:ext cx="1230021" cy="546412"/>
                          </a:xfrm>
                          <a:prstGeom prst="rect">
                            <a:avLst/>
                          </a:prstGeom>
                          <a:noFill/>
                          <a:ln>
                            <a:noFill/>
                          </a:ln>
                        </pic:spPr>
                      </pic:pic>
                    </a:graphicData>
                  </a:graphic>
                </wp:inline>
              </w:drawing>
            </w:r>
          </w:p>
        </w:tc>
        <w:tc>
          <w:tcPr>
            <w:tcW w:w="2275" w:type="dxa"/>
          </w:tcPr>
          <w:p w14:paraId="34F98B2C" w14:textId="77777777" w:rsidR="009F4766" w:rsidRPr="00DE12A3" w:rsidRDefault="009F4766" w:rsidP="00C917D6">
            <w:pPr>
              <w:pStyle w:val="NormalLeft"/>
            </w:pPr>
            <w:r w:rsidRPr="00DE12A3">
              <w:t>(7-161)</w:t>
            </w:r>
          </w:p>
        </w:tc>
      </w:tr>
    </w:tbl>
    <w:p w14:paraId="5DAF1364" w14:textId="77777777" w:rsidR="009F4766" w:rsidRPr="00DE12A3" w:rsidRDefault="009F4766" w:rsidP="00C917D6">
      <w:pPr>
        <w:spacing w:before="120" w:after="120"/>
        <w:rPr>
          <w:rFonts w:cs="Times New Roman"/>
          <w:color w:val="auto"/>
        </w:rPr>
      </w:pPr>
    </w:p>
    <w:p w14:paraId="2087C69C" w14:textId="0A5534F0" w:rsidR="00B9288F" w:rsidRPr="00DE12A3" w:rsidRDefault="00B9288F" w:rsidP="0004697B">
      <w:pPr>
        <w:pStyle w:val="Point0"/>
        <w:ind w:left="0" w:firstLine="0"/>
      </w:pPr>
      <w:r w:rsidRPr="00DE12A3">
        <w:t>(a)</w:t>
      </w:r>
      <w:r w:rsidR="0004697B" w:rsidRPr="00DE12A3">
        <w:t xml:space="preserve"> </w:t>
      </w:r>
      <w:r w:rsidRPr="00DE12A3">
        <w:t>% 90 güvene sahip bir F-testi için, F'yi, (N-1) ve (Nref-1)'e karşı tablo halinde verilen F</w:t>
      </w:r>
      <w:r w:rsidRPr="00DE12A3">
        <w:rPr>
          <w:vertAlign w:val="subscript"/>
        </w:rPr>
        <w:t>crit90</w:t>
      </w:r>
      <w:r w:rsidRPr="00DE12A3">
        <w:t xml:space="preserve"> değerleriyle karşılaştırmak üzere Tablo 7.9 kullanılır. F, F</w:t>
      </w:r>
      <w:r w:rsidRPr="00DE12A3">
        <w:rPr>
          <w:vertAlign w:val="subscript"/>
        </w:rPr>
        <w:t>crit90</w:t>
      </w:r>
      <w:r w:rsidRPr="00DE12A3">
        <w:t xml:space="preserve">'dan küçükse, F-testini % 90 güvenle </w:t>
      </w:r>
      <w:r w:rsidR="002F5BBD" w:rsidRPr="00DE12A3">
        <w:t>geçer</w:t>
      </w:r>
      <w:r w:rsidR="00592B0C" w:rsidRPr="00DE12A3">
        <w:t>.</w:t>
      </w:r>
    </w:p>
    <w:p w14:paraId="13DB1C00" w14:textId="21CBCAA1" w:rsidR="00B9288F" w:rsidRPr="00DE12A3" w:rsidRDefault="00B9288F" w:rsidP="0004697B">
      <w:pPr>
        <w:pStyle w:val="Point0"/>
        <w:ind w:left="0" w:firstLine="0"/>
      </w:pPr>
      <w:r w:rsidRPr="00DE12A3">
        <w:t>(b)</w:t>
      </w:r>
      <w:r w:rsidR="0004697B" w:rsidRPr="00DE12A3">
        <w:t xml:space="preserve"> </w:t>
      </w:r>
      <w:r w:rsidRPr="00DE12A3">
        <w:t>% 95 güvene sahip bir F-testi için, F'yi, (N-1) ve (Nref-1)'e karşı tablo halinde verilen F</w:t>
      </w:r>
      <w:r w:rsidRPr="00DE12A3">
        <w:rPr>
          <w:vertAlign w:val="subscript"/>
        </w:rPr>
        <w:t>crit95</w:t>
      </w:r>
      <w:r w:rsidRPr="00DE12A3">
        <w:t xml:space="preserve"> değerleriyle karşılaştırmak üzere Tablo 7.10 kullanılır. F, F</w:t>
      </w:r>
      <w:r w:rsidRPr="00DE12A3">
        <w:rPr>
          <w:vertAlign w:val="subscript"/>
        </w:rPr>
        <w:t>crit95</w:t>
      </w:r>
      <w:r w:rsidRPr="00DE12A3">
        <w:t>'ten küçükse, F-testini % 95 güvenle geçer.</w:t>
      </w:r>
    </w:p>
    <w:p w14:paraId="57CDF0DC" w14:textId="77777777" w:rsidR="00B9288F" w:rsidRPr="00DE12A3" w:rsidRDefault="00B9288F" w:rsidP="0004697B">
      <w:pPr>
        <w:pStyle w:val="Point0"/>
      </w:pPr>
    </w:p>
    <w:p w14:paraId="55DE5447" w14:textId="77777777" w:rsidR="001A234D" w:rsidRPr="00DE12A3" w:rsidRDefault="001A234D" w:rsidP="004E09D1">
      <w:pPr>
        <w:pStyle w:val="Point0"/>
        <w:jc w:val="center"/>
        <w:rPr>
          <w:iCs/>
        </w:rPr>
      </w:pPr>
    </w:p>
    <w:p w14:paraId="298AAF9A" w14:textId="77777777" w:rsidR="001A234D" w:rsidRPr="00DE12A3" w:rsidRDefault="001A234D" w:rsidP="004E09D1">
      <w:pPr>
        <w:pStyle w:val="Point0"/>
        <w:jc w:val="center"/>
        <w:rPr>
          <w:iCs/>
        </w:rPr>
      </w:pPr>
    </w:p>
    <w:p w14:paraId="129DFEFE" w14:textId="4D53F92A" w:rsidR="00B9288F" w:rsidRPr="00DE12A3" w:rsidRDefault="004E09D1" w:rsidP="004E09D1">
      <w:pPr>
        <w:pStyle w:val="Point0"/>
        <w:jc w:val="center"/>
      </w:pPr>
      <w:r w:rsidRPr="00DE12A3">
        <w:rPr>
          <w:iCs/>
        </w:rPr>
        <w:t>Tablo 7.9</w:t>
      </w:r>
    </w:p>
    <w:p w14:paraId="524C0C4C" w14:textId="42F4D8BD" w:rsidR="00B9288F" w:rsidRPr="00DE12A3" w:rsidRDefault="004E09D1" w:rsidP="004E09D1">
      <w:pPr>
        <w:pStyle w:val="Point0"/>
        <w:jc w:val="center"/>
      </w:pPr>
      <w:r w:rsidRPr="00DE12A3">
        <w:rPr>
          <w:b/>
          <w:iCs/>
        </w:rPr>
        <w:t>Yüzde 90 güven aralığında, N - 1 ve N</w:t>
      </w:r>
      <w:r w:rsidRPr="00DE12A3">
        <w:rPr>
          <w:b/>
          <w:iCs/>
          <w:vertAlign w:val="subscript"/>
        </w:rPr>
        <w:t>ref –</w:t>
      </w:r>
      <w:r w:rsidRPr="00DE12A3">
        <w:rPr>
          <w:b/>
          <w:iCs/>
        </w:rPr>
        <w:t xml:space="preserve"> </w:t>
      </w:r>
      <w:r w:rsidRPr="00DE12A3">
        <w:rPr>
          <w:b/>
          <w:iCs/>
          <w:vertAlign w:val="subscript"/>
        </w:rPr>
        <w:t>1</w:t>
      </w:r>
      <w:r w:rsidRPr="00DE12A3">
        <w:rPr>
          <w:b/>
          <w:iCs/>
        </w:rPr>
        <w:t>’e göre kritik F değerleri, F</w:t>
      </w:r>
      <w:r w:rsidRPr="00DE12A3">
        <w:rPr>
          <w:b/>
          <w:iCs/>
          <w:vertAlign w:val="subscript"/>
        </w:rPr>
        <w:t>crit90</w:t>
      </w:r>
    </w:p>
    <w:tbl>
      <w:tblPr>
        <w:tblW w:w="0" w:type="auto"/>
        <w:tblLayout w:type="fixed"/>
        <w:tblLook w:val="0000" w:firstRow="0" w:lastRow="0" w:firstColumn="0" w:lastColumn="0" w:noHBand="0" w:noVBand="0"/>
      </w:tblPr>
      <w:tblGrid>
        <w:gridCol w:w="464"/>
        <w:gridCol w:w="465"/>
        <w:gridCol w:w="464"/>
        <w:gridCol w:w="464"/>
        <w:gridCol w:w="465"/>
        <w:gridCol w:w="464"/>
        <w:gridCol w:w="464"/>
        <w:gridCol w:w="464"/>
        <w:gridCol w:w="465"/>
        <w:gridCol w:w="464"/>
        <w:gridCol w:w="464"/>
        <w:gridCol w:w="465"/>
        <w:gridCol w:w="464"/>
        <w:gridCol w:w="464"/>
        <w:gridCol w:w="465"/>
        <w:gridCol w:w="464"/>
        <w:gridCol w:w="464"/>
        <w:gridCol w:w="464"/>
        <w:gridCol w:w="465"/>
        <w:gridCol w:w="464"/>
      </w:tblGrid>
      <w:tr w:rsidR="00DE12A3" w:rsidRPr="00DE12A3" w14:paraId="3417BA1E" w14:textId="77777777" w:rsidTr="009F4766">
        <w:tc>
          <w:tcPr>
            <w:tcW w:w="464" w:type="dxa"/>
            <w:tcBorders>
              <w:top w:val="single" w:sz="2" w:space="0" w:color="auto"/>
              <w:left w:val="single" w:sz="2" w:space="0" w:color="auto"/>
              <w:bottom w:val="single" w:sz="2" w:space="0" w:color="auto"/>
              <w:right w:val="single" w:sz="2" w:space="0" w:color="auto"/>
            </w:tcBorders>
          </w:tcPr>
          <w:p w14:paraId="62FEDE92" w14:textId="77777777" w:rsidR="009F4766" w:rsidRPr="00DE12A3" w:rsidRDefault="009F4766" w:rsidP="00C917D6">
            <w:pPr>
              <w:pStyle w:val="NormalCentered"/>
              <w:rPr>
                <w:sz w:val="14"/>
                <w:szCs w:val="14"/>
              </w:rPr>
            </w:pPr>
            <w:r w:rsidRPr="00DE12A3">
              <w:rPr>
                <w:i/>
                <w:iCs/>
                <w:sz w:val="14"/>
                <w:szCs w:val="14"/>
              </w:rPr>
              <w:t>N</w:t>
            </w:r>
            <w:r w:rsidRPr="00DE12A3">
              <w:rPr>
                <w:sz w:val="14"/>
                <w:szCs w:val="14"/>
              </w:rPr>
              <w:t xml:space="preserve"> – 1</w:t>
            </w:r>
          </w:p>
        </w:tc>
        <w:tc>
          <w:tcPr>
            <w:tcW w:w="465" w:type="dxa"/>
            <w:tcBorders>
              <w:top w:val="single" w:sz="2" w:space="0" w:color="auto"/>
              <w:left w:val="single" w:sz="2" w:space="0" w:color="auto"/>
              <w:bottom w:val="single" w:sz="2" w:space="0" w:color="auto"/>
              <w:right w:val="single" w:sz="2" w:space="0" w:color="auto"/>
            </w:tcBorders>
          </w:tcPr>
          <w:p w14:paraId="66AD813F" w14:textId="77777777" w:rsidR="009F4766" w:rsidRPr="00DE12A3" w:rsidRDefault="009F4766" w:rsidP="00C917D6">
            <w:pPr>
              <w:pStyle w:val="NormalCentered"/>
              <w:rPr>
                <w:sz w:val="14"/>
                <w:szCs w:val="14"/>
              </w:rPr>
            </w:pPr>
            <w:r w:rsidRPr="00DE12A3">
              <w:rPr>
                <w:sz w:val="14"/>
                <w:szCs w:val="14"/>
              </w:rPr>
              <w:t>1</w:t>
            </w:r>
          </w:p>
        </w:tc>
        <w:tc>
          <w:tcPr>
            <w:tcW w:w="464" w:type="dxa"/>
            <w:tcBorders>
              <w:top w:val="single" w:sz="2" w:space="0" w:color="auto"/>
              <w:left w:val="single" w:sz="2" w:space="0" w:color="auto"/>
              <w:bottom w:val="single" w:sz="2" w:space="0" w:color="auto"/>
              <w:right w:val="single" w:sz="2" w:space="0" w:color="auto"/>
            </w:tcBorders>
          </w:tcPr>
          <w:p w14:paraId="2944318B" w14:textId="77777777" w:rsidR="009F4766" w:rsidRPr="00DE12A3" w:rsidRDefault="009F4766" w:rsidP="00C917D6">
            <w:pPr>
              <w:pStyle w:val="NormalCentered"/>
              <w:rPr>
                <w:sz w:val="14"/>
                <w:szCs w:val="14"/>
              </w:rPr>
            </w:pPr>
            <w:r w:rsidRPr="00DE12A3">
              <w:rPr>
                <w:sz w:val="14"/>
                <w:szCs w:val="14"/>
              </w:rPr>
              <w:t>2</w:t>
            </w:r>
          </w:p>
        </w:tc>
        <w:tc>
          <w:tcPr>
            <w:tcW w:w="464" w:type="dxa"/>
            <w:tcBorders>
              <w:top w:val="single" w:sz="2" w:space="0" w:color="auto"/>
              <w:left w:val="single" w:sz="2" w:space="0" w:color="auto"/>
              <w:bottom w:val="single" w:sz="2" w:space="0" w:color="auto"/>
              <w:right w:val="single" w:sz="2" w:space="0" w:color="auto"/>
            </w:tcBorders>
          </w:tcPr>
          <w:p w14:paraId="382D6B4D" w14:textId="77777777" w:rsidR="009F4766" w:rsidRPr="00DE12A3" w:rsidRDefault="009F4766" w:rsidP="00C917D6">
            <w:pPr>
              <w:pStyle w:val="NormalCentered"/>
              <w:rPr>
                <w:sz w:val="14"/>
                <w:szCs w:val="14"/>
              </w:rPr>
            </w:pPr>
            <w:r w:rsidRPr="00DE12A3">
              <w:rPr>
                <w:sz w:val="14"/>
                <w:szCs w:val="14"/>
              </w:rPr>
              <w:t>3</w:t>
            </w:r>
          </w:p>
        </w:tc>
        <w:tc>
          <w:tcPr>
            <w:tcW w:w="465" w:type="dxa"/>
            <w:tcBorders>
              <w:top w:val="single" w:sz="2" w:space="0" w:color="auto"/>
              <w:left w:val="single" w:sz="2" w:space="0" w:color="auto"/>
              <w:bottom w:val="single" w:sz="2" w:space="0" w:color="auto"/>
              <w:right w:val="single" w:sz="2" w:space="0" w:color="auto"/>
            </w:tcBorders>
          </w:tcPr>
          <w:p w14:paraId="417A3F97" w14:textId="77777777" w:rsidR="009F4766" w:rsidRPr="00DE12A3" w:rsidRDefault="009F4766" w:rsidP="00C917D6">
            <w:pPr>
              <w:pStyle w:val="NormalCentered"/>
              <w:rPr>
                <w:sz w:val="14"/>
                <w:szCs w:val="14"/>
              </w:rPr>
            </w:pPr>
            <w:r w:rsidRPr="00DE12A3">
              <w:rPr>
                <w:sz w:val="14"/>
                <w:szCs w:val="14"/>
              </w:rPr>
              <w:t>4</w:t>
            </w:r>
          </w:p>
        </w:tc>
        <w:tc>
          <w:tcPr>
            <w:tcW w:w="464" w:type="dxa"/>
            <w:tcBorders>
              <w:top w:val="single" w:sz="2" w:space="0" w:color="auto"/>
              <w:left w:val="single" w:sz="2" w:space="0" w:color="auto"/>
              <w:bottom w:val="single" w:sz="2" w:space="0" w:color="auto"/>
              <w:right w:val="single" w:sz="2" w:space="0" w:color="auto"/>
            </w:tcBorders>
          </w:tcPr>
          <w:p w14:paraId="09E65CCD" w14:textId="77777777" w:rsidR="009F4766" w:rsidRPr="00DE12A3" w:rsidRDefault="009F4766" w:rsidP="00C917D6">
            <w:pPr>
              <w:pStyle w:val="NormalCentered"/>
              <w:rPr>
                <w:sz w:val="14"/>
                <w:szCs w:val="14"/>
              </w:rPr>
            </w:pPr>
            <w:r w:rsidRPr="00DE12A3">
              <w:rPr>
                <w:sz w:val="14"/>
                <w:szCs w:val="14"/>
              </w:rPr>
              <w:t>5</w:t>
            </w:r>
          </w:p>
        </w:tc>
        <w:tc>
          <w:tcPr>
            <w:tcW w:w="464" w:type="dxa"/>
            <w:tcBorders>
              <w:top w:val="single" w:sz="2" w:space="0" w:color="auto"/>
              <w:left w:val="single" w:sz="2" w:space="0" w:color="auto"/>
              <w:bottom w:val="single" w:sz="2" w:space="0" w:color="auto"/>
              <w:right w:val="single" w:sz="2" w:space="0" w:color="auto"/>
            </w:tcBorders>
          </w:tcPr>
          <w:p w14:paraId="6582C8E3" w14:textId="77777777" w:rsidR="009F4766" w:rsidRPr="00DE12A3" w:rsidRDefault="009F4766" w:rsidP="00C917D6">
            <w:pPr>
              <w:pStyle w:val="NormalCentered"/>
              <w:rPr>
                <w:sz w:val="14"/>
                <w:szCs w:val="14"/>
              </w:rPr>
            </w:pPr>
            <w:r w:rsidRPr="00DE12A3">
              <w:rPr>
                <w:sz w:val="14"/>
                <w:szCs w:val="14"/>
              </w:rPr>
              <w:t>6</w:t>
            </w:r>
          </w:p>
        </w:tc>
        <w:tc>
          <w:tcPr>
            <w:tcW w:w="464" w:type="dxa"/>
            <w:tcBorders>
              <w:top w:val="single" w:sz="2" w:space="0" w:color="auto"/>
              <w:left w:val="single" w:sz="2" w:space="0" w:color="auto"/>
              <w:bottom w:val="single" w:sz="2" w:space="0" w:color="auto"/>
              <w:right w:val="single" w:sz="2" w:space="0" w:color="auto"/>
            </w:tcBorders>
          </w:tcPr>
          <w:p w14:paraId="656190F1" w14:textId="77777777" w:rsidR="009F4766" w:rsidRPr="00DE12A3" w:rsidRDefault="009F4766" w:rsidP="00C917D6">
            <w:pPr>
              <w:pStyle w:val="NormalCentered"/>
              <w:rPr>
                <w:sz w:val="14"/>
                <w:szCs w:val="14"/>
              </w:rPr>
            </w:pPr>
            <w:r w:rsidRPr="00DE12A3">
              <w:rPr>
                <w:sz w:val="14"/>
                <w:szCs w:val="14"/>
              </w:rPr>
              <w:t>7</w:t>
            </w:r>
          </w:p>
        </w:tc>
        <w:tc>
          <w:tcPr>
            <w:tcW w:w="465" w:type="dxa"/>
            <w:tcBorders>
              <w:top w:val="single" w:sz="2" w:space="0" w:color="auto"/>
              <w:left w:val="single" w:sz="2" w:space="0" w:color="auto"/>
              <w:bottom w:val="single" w:sz="2" w:space="0" w:color="auto"/>
              <w:right w:val="single" w:sz="2" w:space="0" w:color="auto"/>
            </w:tcBorders>
          </w:tcPr>
          <w:p w14:paraId="6B025DA4" w14:textId="77777777" w:rsidR="009F4766" w:rsidRPr="00DE12A3" w:rsidRDefault="009F4766" w:rsidP="00C917D6">
            <w:pPr>
              <w:pStyle w:val="NormalCentered"/>
              <w:rPr>
                <w:sz w:val="14"/>
                <w:szCs w:val="14"/>
              </w:rPr>
            </w:pPr>
            <w:r w:rsidRPr="00DE12A3">
              <w:rPr>
                <w:sz w:val="14"/>
                <w:szCs w:val="14"/>
              </w:rPr>
              <w:t>8</w:t>
            </w:r>
          </w:p>
        </w:tc>
        <w:tc>
          <w:tcPr>
            <w:tcW w:w="464" w:type="dxa"/>
            <w:tcBorders>
              <w:top w:val="single" w:sz="2" w:space="0" w:color="auto"/>
              <w:left w:val="single" w:sz="2" w:space="0" w:color="auto"/>
              <w:bottom w:val="single" w:sz="2" w:space="0" w:color="auto"/>
              <w:right w:val="single" w:sz="2" w:space="0" w:color="auto"/>
            </w:tcBorders>
          </w:tcPr>
          <w:p w14:paraId="54CF5297" w14:textId="77777777" w:rsidR="009F4766" w:rsidRPr="00DE12A3" w:rsidRDefault="009F4766" w:rsidP="00C917D6">
            <w:pPr>
              <w:pStyle w:val="NormalCentered"/>
              <w:rPr>
                <w:sz w:val="14"/>
                <w:szCs w:val="14"/>
              </w:rPr>
            </w:pPr>
            <w:r w:rsidRPr="00DE12A3">
              <w:rPr>
                <w:sz w:val="14"/>
                <w:szCs w:val="14"/>
              </w:rPr>
              <w:t>9</w:t>
            </w:r>
          </w:p>
        </w:tc>
        <w:tc>
          <w:tcPr>
            <w:tcW w:w="464" w:type="dxa"/>
            <w:tcBorders>
              <w:top w:val="single" w:sz="2" w:space="0" w:color="auto"/>
              <w:left w:val="single" w:sz="2" w:space="0" w:color="auto"/>
              <w:bottom w:val="single" w:sz="2" w:space="0" w:color="auto"/>
              <w:right w:val="single" w:sz="2" w:space="0" w:color="auto"/>
            </w:tcBorders>
          </w:tcPr>
          <w:p w14:paraId="30A047FE" w14:textId="77777777" w:rsidR="009F4766" w:rsidRPr="00DE12A3" w:rsidRDefault="009F4766" w:rsidP="00C917D6">
            <w:pPr>
              <w:pStyle w:val="NormalCentered"/>
              <w:rPr>
                <w:sz w:val="14"/>
                <w:szCs w:val="14"/>
              </w:rPr>
            </w:pPr>
            <w:r w:rsidRPr="00DE12A3">
              <w:rPr>
                <w:sz w:val="14"/>
                <w:szCs w:val="14"/>
              </w:rPr>
              <w:t>10</w:t>
            </w:r>
          </w:p>
        </w:tc>
        <w:tc>
          <w:tcPr>
            <w:tcW w:w="465" w:type="dxa"/>
            <w:tcBorders>
              <w:top w:val="single" w:sz="2" w:space="0" w:color="auto"/>
              <w:left w:val="single" w:sz="2" w:space="0" w:color="auto"/>
              <w:bottom w:val="single" w:sz="2" w:space="0" w:color="auto"/>
              <w:right w:val="single" w:sz="2" w:space="0" w:color="auto"/>
            </w:tcBorders>
          </w:tcPr>
          <w:p w14:paraId="0FF6ACA6" w14:textId="77777777" w:rsidR="009F4766" w:rsidRPr="00DE12A3" w:rsidRDefault="009F4766" w:rsidP="00C917D6">
            <w:pPr>
              <w:pStyle w:val="NormalCentered"/>
              <w:rPr>
                <w:sz w:val="14"/>
                <w:szCs w:val="14"/>
              </w:rPr>
            </w:pPr>
            <w:r w:rsidRPr="00DE12A3">
              <w:rPr>
                <w:sz w:val="14"/>
                <w:szCs w:val="14"/>
              </w:rPr>
              <w:t>12</w:t>
            </w:r>
          </w:p>
        </w:tc>
        <w:tc>
          <w:tcPr>
            <w:tcW w:w="464" w:type="dxa"/>
            <w:tcBorders>
              <w:top w:val="single" w:sz="2" w:space="0" w:color="auto"/>
              <w:left w:val="single" w:sz="2" w:space="0" w:color="auto"/>
              <w:bottom w:val="single" w:sz="2" w:space="0" w:color="auto"/>
              <w:right w:val="single" w:sz="2" w:space="0" w:color="auto"/>
            </w:tcBorders>
          </w:tcPr>
          <w:p w14:paraId="054A19D3" w14:textId="77777777" w:rsidR="009F4766" w:rsidRPr="00DE12A3" w:rsidRDefault="009F4766" w:rsidP="00C917D6">
            <w:pPr>
              <w:pStyle w:val="NormalCentered"/>
              <w:rPr>
                <w:sz w:val="14"/>
                <w:szCs w:val="14"/>
              </w:rPr>
            </w:pPr>
            <w:r w:rsidRPr="00DE12A3">
              <w:rPr>
                <w:sz w:val="14"/>
                <w:szCs w:val="14"/>
              </w:rPr>
              <w:t>15</w:t>
            </w:r>
          </w:p>
        </w:tc>
        <w:tc>
          <w:tcPr>
            <w:tcW w:w="464" w:type="dxa"/>
            <w:tcBorders>
              <w:top w:val="single" w:sz="2" w:space="0" w:color="auto"/>
              <w:left w:val="single" w:sz="2" w:space="0" w:color="auto"/>
              <w:bottom w:val="single" w:sz="2" w:space="0" w:color="auto"/>
              <w:right w:val="single" w:sz="2" w:space="0" w:color="auto"/>
            </w:tcBorders>
          </w:tcPr>
          <w:p w14:paraId="06CD6C01" w14:textId="77777777" w:rsidR="009F4766" w:rsidRPr="00DE12A3" w:rsidRDefault="009F4766" w:rsidP="00C917D6">
            <w:pPr>
              <w:pStyle w:val="NormalCentered"/>
              <w:rPr>
                <w:sz w:val="14"/>
                <w:szCs w:val="14"/>
              </w:rPr>
            </w:pPr>
            <w:r w:rsidRPr="00DE12A3">
              <w:rPr>
                <w:sz w:val="14"/>
                <w:szCs w:val="14"/>
              </w:rPr>
              <w:t>20</w:t>
            </w:r>
          </w:p>
        </w:tc>
        <w:tc>
          <w:tcPr>
            <w:tcW w:w="465" w:type="dxa"/>
            <w:tcBorders>
              <w:top w:val="single" w:sz="2" w:space="0" w:color="auto"/>
              <w:left w:val="single" w:sz="2" w:space="0" w:color="auto"/>
              <w:bottom w:val="single" w:sz="2" w:space="0" w:color="auto"/>
              <w:right w:val="single" w:sz="2" w:space="0" w:color="auto"/>
            </w:tcBorders>
          </w:tcPr>
          <w:p w14:paraId="11B50642" w14:textId="77777777" w:rsidR="009F4766" w:rsidRPr="00DE12A3" w:rsidRDefault="009F4766" w:rsidP="00C917D6">
            <w:pPr>
              <w:pStyle w:val="NormalCentered"/>
              <w:rPr>
                <w:sz w:val="14"/>
                <w:szCs w:val="14"/>
              </w:rPr>
            </w:pPr>
            <w:r w:rsidRPr="00DE12A3">
              <w:rPr>
                <w:sz w:val="14"/>
                <w:szCs w:val="14"/>
              </w:rPr>
              <w:t>24</w:t>
            </w:r>
          </w:p>
        </w:tc>
        <w:tc>
          <w:tcPr>
            <w:tcW w:w="464" w:type="dxa"/>
            <w:tcBorders>
              <w:top w:val="single" w:sz="2" w:space="0" w:color="auto"/>
              <w:left w:val="single" w:sz="2" w:space="0" w:color="auto"/>
              <w:bottom w:val="single" w:sz="2" w:space="0" w:color="auto"/>
              <w:right w:val="single" w:sz="2" w:space="0" w:color="auto"/>
            </w:tcBorders>
          </w:tcPr>
          <w:p w14:paraId="68BDC5AD" w14:textId="77777777" w:rsidR="009F4766" w:rsidRPr="00DE12A3" w:rsidRDefault="009F4766" w:rsidP="00C917D6">
            <w:pPr>
              <w:pStyle w:val="NormalCentered"/>
              <w:rPr>
                <w:sz w:val="14"/>
                <w:szCs w:val="14"/>
              </w:rPr>
            </w:pPr>
            <w:r w:rsidRPr="00DE12A3">
              <w:rPr>
                <w:sz w:val="14"/>
                <w:szCs w:val="14"/>
              </w:rPr>
              <w:t>30</w:t>
            </w:r>
          </w:p>
        </w:tc>
        <w:tc>
          <w:tcPr>
            <w:tcW w:w="464" w:type="dxa"/>
            <w:tcBorders>
              <w:top w:val="single" w:sz="2" w:space="0" w:color="auto"/>
              <w:left w:val="single" w:sz="2" w:space="0" w:color="auto"/>
              <w:bottom w:val="single" w:sz="2" w:space="0" w:color="auto"/>
              <w:right w:val="single" w:sz="2" w:space="0" w:color="auto"/>
            </w:tcBorders>
          </w:tcPr>
          <w:p w14:paraId="5355646C" w14:textId="77777777" w:rsidR="009F4766" w:rsidRPr="00DE12A3" w:rsidRDefault="009F4766" w:rsidP="00C917D6">
            <w:pPr>
              <w:pStyle w:val="NormalCentered"/>
              <w:rPr>
                <w:sz w:val="14"/>
                <w:szCs w:val="14"/>
              </w:rPr>
            </w:pPr>
            <w:r w:rsidRPr="00DE12A3">
              <w:rPr>
                <w:sz w:val="14"/>
                <w:szCs w:val="14"/>
              </w:rPr>
              <w:t>40</w:t>
            </w:r>
          </w:p>
        </w:tc>
        <w:tc>
          <w:tcPr>
            <w:tcW w:w="464" w:type="dxa"/>
            <w:tcBorders>
              <w:top w:val="single" w:sz="2" w:space="0" w:color="auto"/>
              <w:left w:val="single" w:sz="2" w:space="0" w:color="auto"/>
              <w:bottom w:val="single" w:sz="2" w:space="0" w:color="auto"/>
              <w:right w:val="single" w:sz="2" w:space="0" w:color="auto"/>
            </w:tcBorders>
          </w:tcPr>
          <w:p w14:paraId="0DFA76A1" w14:textId="77777777" w:rsidR="009F4766" w:rsidRPr="00DE12A3" w:rsidRDefault="009F4766" w:rsidP="00C917D6">
            <w:pPr>
              <w:pStyle w:val="NormalCentered"/>
              <w:rPr>
                <w:sz w:val="14"/>
                <w:szCs w:val="14"/>
              </w:rPr>
            </w:pPr>
            <w:r w:rsidRPr="00DE12A3">
              <w:rPr>
                <w:sz w:val="14"/>
                <w:szCs w:val="14"/>
              </w:rPr>
              <w:t>60</w:t>
            </w:r>
          </w:p>
        </w:tc>
        <w:tc>
          <w:tcPr>
            <w:tcW w:w="465" w:type="dxa"/>
            <w:tcBorders>
              <w:top w:val="single" w:sz="2" w:space="0" w:color="auto"/>
              <w:left w:val="single" w:sz="2" w:space="0" w:color="auto"/>
              <w:bottom w:val="single" w:sz="2" w:space="0" w:color="auto"/>
              <w:right w:val="single" w:sz="2" w:space="0" w:color="auto"/>
            </w:tcBorders>
          </w:tcPr>
          <w:p w14:paraId="5CA5A779" w14:textId="77777777" w:rsidR="009F4766" w:rsidRPr="00DE12A3" w:rsidRDefault="009F4766" w:rsidP="00C917D6">
            <w:pPr>
              <w:pStyle w:val="NormalCentered"/>
              <w:rPr>
                <w:sz w:val="14"/>
                <w:szCs w:val="14"/>
              </w:rPr>
            </w:pPr>
            <w:r w:rsidRPr="00DE12A3">
              <w:rPr>
                <w:sz w:val="14"/>
                <w:szCs w:val="14"/>
              </w:rPr>
              <w:t>120</w:t>
            </w:r>
          </w:p>
        </w:tc>
        <w:tc>
          <w:tcPr>
            <w:tcW w:w="464" w:type="dxa"/>
            <w:tcBorders>
              <w:top w:val="single" w:sz="2" w:space="0" w:color="auto"/>
              <w:left w:val="single" w:sz="2" w:space="0" w:color="auto"/>
              <w:bottom w:val="single" w:sz="2" w:space="0" w:color="auto"/>
              <w:right w:val="single" w:sz="2" w:space="0" w:color="auto"/>
            </w:tcBorders>
          </w:tcPr>
          <w:p w14:paraId="5A16B482" w14:textId="77777777" w:rsidR="009F4766" w:rsidRPr="00DE12A3" w:rsidRDefault="009F4766" w:rsidP="00C917D6">
            <w:pPr>
              <w:pStyle w:val="NormalCentered"/>
              <w:rPr>
                <w:sz w:val="14"/>
                <w:szCs w:val="14"/>
              </w:rPr>
            </w:pPr>
            <w:r w:rsidRPr="00DE12A3">
              <w:rPr>
                <w:sz w:val="14"/>
                <w:szCs w:val="14"/>
              </w:rPr>
              <w:t>1000+</w:t>
            </w:r>
          </w:p>
        </w:tc>
      </w:tr>
      <w:tr w:rsidR="00DE12A3" w:rsidRPr="00DE12A3" w14:paraId="7D421488" w14:textId="77777777" w:rsidTr="009F4766">
        <w:tc>
          <w:tcPr>
            <w:tcW w:w="464" w:type="dxa"/>
            <w:tcBorders>
              <w:top w:val="single" w:sz="2" w:space="0" w:color="auto"/>
              <w:left w:val="single" w:sz="2" w:space="0" w:color="auto"/>
              <w:bottom w:val="single" w:sz="2" w:space="0" w:color="auto"/>
              <w:right w:val="single" w:sz="2" w:space="0" w:color="auto"/>
            </w:tcBorders>
          </w:tcPr>
          <w:p w14:paraId="0D4BD10A" w14:textId="77777777" w:rsidR="009F4766" w:rsidRPr="00DE12A3" w:rsidRDefault="009F4766" w:rsidP="00C917D6">
            <w:pPr>
              <w:pStyle w:val="NormalLeft"/>
              <w:rPr>
                <w:sz w:val="14"/>
                <w:szCs w:val="14"/>
              </w:rPr>
            </w:pPr>
            <w:r w:rsidRPr="00DE12A3">
              <w:rPr>
                <w:i/>
                <w:iCs/>
                <w:sz w:val="14"/>
                <w:szCs w:val="14"/>
              </w:rPr>
              <w:t>N</w:t>
            </w:r>
            <w:r w:rsidRPr="00DE12A3">
              <w:rPr>
                <w:sz w:val="14"/>
                <w:szCs w:val="14"/>
                <w:vertAlign w:val="subscript"/>
              </w:rPr>
              <w:t>ref</w:t>
            </w:r>
            <w:r w:rsidRPr="00DE12A3">
              <w:rPr>
                <w:sz w:val="14"/>
                <w:szCs w:val="14"/>
              </w:rPr>
              <w:t xml:space="preserve"> – 1</w:t>
            </w:r>
          </w:p>
        </w:tc>
        <w:tc>
          <w:tcPr>
            <w:tcW w:w="465" w:type="dxa"/>
            <w:tcBorders>
              <w:top w:val="single" w:sz="2" w:space="0" w:color="auto"/>
              <w:left w:val="single" w:sz="2" w:space="0" w:color="auto"/>
              <w:bottom w:val="single" w:sz="2" w:space="0" w:color="auto"/>
              <w:right w:val="single" w:sz="2" w:space="0" w:color="auto"/>
            </w:tcBorders>
          </w:tcPr>
          <w:p w14:paraId="309F32B1" w14:textId="77777777" w:rsidR="009F4766" w:rsidRPr="00DE12A3" w:rsidRDefault="009F4766" w:rsidP="00C917D6">
            <w:pPr>
              <w:pStyle w:val="NormalLeft"/>
              <w:rPr>
                <w:sz w:val="14"/>
                <w:szCs w:val="14"/>
              </w:rPr>
            </w:pPr>
          </w:p>
        </w:tc>
        <w:tc>
          <w:tcPr>
            <w:tcW w:w="464" w:type="dxa"/>
            <w:tcBorders>
              <w:top w:val="single" w:sz="2" w:space="0" w:color="auto"/>
              <w:left w:val="single" w:sz="2" w:space="0" w:color="auto"/>
              <w:bottom w:val="single" w:sz="2" w:space="0" w:color="auto"/>
              <w:right w:val="single" w:sz="2" w:space="0" w:color="auto"/>
            </w:tcBorders>
          </w:tcPr>
          <w:p w14:paraId="666883C5" w14:textId="77777777" w:rsidR="009F4766" w:rsidRPr="00DE12A3" w:rsidRDefault="009F4766" w:rsidP="00C917D6">
            <w:pPr>
              <w:pStyle w:val="NormalLeft"/>
              <w:rPr>
                <w:sz w:val="14"/>
                <w:szCs w:val="14"/>
              </w:rPr>
            </w:pPr>
          </w:p>
        </w:tc>
        <w:tc>
          <w:tcPr>
            <w:tcW w:w="464" w:type="dxa"/>
            <w:tcBorders>
              <w:top w:val="single" w:sz="2" w:space="0" w:color="auto"/>
              <w:left w:val="single" w:sz="2" w:space="0" w:color="auto"/>
              <w:bottom w:val="single" w:sz="2" w:space="0" w:color="auto"/>
              <w:right w:val="single" w:sz="2" w:space="0" w:color="auto"/>
            </w:tcBorders>
          </w:tcPr>
          <w:p w14:paraId="529403BE" w14:textId="77777777" w:rsidR="009F4766" w:rsidRPr="00DE12A3" w:rsidRDefault="009F4766" w:rsidP="00C917D6">
            <w:pPr>
              <w:pStyle w:val="NormalLeft"/>
              <w:rPr>
                <w:sz w:val="14"/>
                <w:szCs w:val="14"/>
              </w:rPr>
            </w:pPr>
          </w:p>
        </w:tc>
        <w:tc>
          <w:tcPr>
            <w:tcW w:w="465" w:type="dxa"/>
            <w:tcBorders>
              <w:top w:val="single" w:sz="2" w:space="0" w:color="auto"/>
              <w:left w:val="single" w:sz="2" w:space="0" w:color="auto"/>
              <w:bottom w:val="single" w:sz="2" w:space="0" w:color="auto"/>
              <w:right w:val="single" w:sz="2" w:space="0" w:color="auto"/>
            </w:tcBorders>
          </w:tcPr>
          <w:p w14:paraId="13606E70" w14:textId="77777777" w:rsidR="009F4766" w:rsidRPr="00DE12A3" w:rsidRDefault="009F4766" w:rsidP="00C917D6">
            <w:pPr>
              <w:pStyle w:val="NormalLeft"/>
              <w:rPr>
                <w:sz w:val="14"/>
                <w:szCs w:val="14"/>
              </w:rPr>
            </w:pPr>
          </w:p>
        </w:tc>
        <w:tc>
          <w:tcPr>
            <w:tcW w:w="464" w:type="dxa"/>
            <w:tcBorders>
              <w:top w:val="single" w:sz="2" w:space="0" w:color="auto"/>
              <w:left w:val="single" w:sz="2" w:space="0" w:color="auto"/>
              <w:bottom w:val="single" w:sz="2" w:space="0" w:color="auto"/>
              <w:right w:val="single" w:sz="2" w:space="0" w:color="auto"/>
            </w:tcBorders>
          </w:tcPr>
          <w:p w14:paraId="75796D11" w14:textId="77777777" w:rsidR="009F4766" w:rsidRPr="00DE12A3" w:rsidRDefault="009F4766" w:rsidP="00C917D6">
            <w:pPr>
              <w:pStyle w:val="NormalLeft"/>
              <w:rPr>
                <w:sz w:val="14"/>
                <w:szCs w:val="14"/>
              </w:rPr>
            </w:pPr>
          </w:p>
        </w:tc>
        <w:tc>
          <w:tcPr>
            <w:tcW w:w="464" w:type="dxa"/>
            <w:tcBorders>
              <w:top w:val="single" w:sz="2" w:space="0" w:color="auto"/>
              <w:left w:val="single" w:sz="2" w:space="0" w:color="auto"/>
              <w:bottom w:val="single" w:sz="2" w:space="0" w:color="auto"/>
              <w:right w:val="single" w:sz="2" w:space="0" w:color="auto"/>
            </w:tcBorders>
          </w:tcPr>
          <w:p w14:paraId="4E5A0FB9" w14:textId="77777777" w:rsidR="009F4766" w:rsidRPr="00DE12A3" w:rsidRDefault="009F4766" w:rsidP="00C917D6">
            <w:pPr>
              <w:pStyle w:val="NormalLeft"/>
              <w:rPr>
                <w:sz w:val="14"/>
                <w:szCs w:val="14"/>
              </w:rPr>
            </w:pPr>
          </w:p>
        </w:tc>
        <w:tc>
          <w:tcPr>
            <w:tcW w:w="464" w:type="dxa"/>
            <w:tcBorders>
              <w:top w:val="single" w:sz="2" w:space="0" w:color="auto"/>
              <w:left w:val="single" w:sz="2" w:space="0" w:color="auto"/>
              <w:bottom w:val="single" w:sz="2" w:space="0" w:color="auto"/>
              <w:right w:val="single" w:sz="2" w:space="0" w:color="auto"/>
            </w:tcBorders>
          </w:tcPr>
          <w:p w14:paraId="701A116F" w14:textId="77777777" w:rsidR="009F4766" w:rsidRPr="00DE12A3" w:rsidRDefault="009F4766" w:rsidP="00C917D6">
            <w:pPr>
              <w:pStyle w:val="NormalLeft"/>
              <w:rPr>
                <w:sz w:val="14"/>
                <w:szCs w:val="14"/>
              </w:rPr>
            </w:pPr>
          </w:p>
        </w:tc>
        <w:tc>
          <w:tcPr>
            <w:tcW w:w="465" w:type="dxa"/>
            <w:tcBorders>
              <w:top w:val="single" w:sz="2" w:space="0" w:color="auto"/>
              <w:left w:val="single" w:sz="2" w:space="0" w:color="auto"/>
              <w:bottom w:val="single" w:sz="2" w:space="0" w:color="auto"/>
              <w:right w:val="single" w:sz="2" w:space="0" w:color="auto"/>
            </w:tcBorders>
          </w:tcPr>
          <w:p w14:paraId="331BB860" w14:textId="77777777" w:rsidR="009F4766" w:rsidRPr="00DE12A3" w:rsidRDefault="009F4766" w:rsidP="00C917D6">
            <w:pPr>
              <w:pStyle w:val="NormalLeft"/>
              <w:rPr>
                <w:sz w:val="14"/>
                <w:szCs w:val="14"/>
              </w:rPr>
            </w:pPr>
          </w:p>
        </w:tc>
        <w:tc>
          <w:tcPr>
            <w:tcW w:w="464" w:type="dxa"/>
            <w:tcBorders>
              <w:top w:val="single" w:sz="2" w:space="0" w:color="auto"/>
              <w:left w:val="single" w:sz="2" w:space="0" w:color="auto"/>
              <w:bottom w:val="single" w:sz="2" w:space="0" w:color="auto"/>
              <w:right w:val="single" w:sz="2" w:space="0" w:color="auto"/>
            </w:tcBorders>
          </w:tcPr>
          <w:p w14:paraId="497D07D3" w14:textId="77777777" w:rsidR="009F4766" w:rsidRPr="00DE12A3" w:rsidRDefault="009F4766" w:rsidP="00C917D6">
            <w:pPr>
              <w:pStyle w:val="NormalLeft"/>
              <w:rPr>
                <w:sz w:val="14"/>
                <w:szCs w:val="14"/>
              </w:rPr>
            </w:pPr>
          </w:p>
        </w:tc>
        <w:tc>
          <w:tcPr>
            <w:tcW w:w="464" w:type="dxa"/>
            <w:tcBorders>
              <w:top w:val="single" w:sz="2" w:space="0" w:color="auto"/>
              <w:left w:val="single" w:sz="2" w:space="0" w:color="auto"/>
              <w:bottom w:val="single" w:sz="2" w:space="0" w:color="auto"/>
              <w:right w:val="single" w:sz="2" w:space="0" w:color="auto"/>
            </w:tcBorders>
          </w:tcPr>
          <w:p w14:paraId="5CA21865" w14:textId="77777777" w:rsidR="009F4766" w:rsidRPr="00DE12A3" w:rsidRDefault="009F4766" w:rsidP="00C917D6">
            <w:pPr>
              <w:pStyle w:val="NormalLeft"/>
              <w:rPr>
                <w:sz w:val="14"/>
                <w:szCs w:val="14"/>
              </w:rPr>
            </w:pPr>
          </w:p>
        </w:tc>
        <w:tc>
          <w:tcPr>
            <w:tcW w:w="465" w:type="dxa"/>
            <w:tcBorders>
              <w:top w:val="single" w:sz="2" w:space="0" w:color="auto"/>
              <w:left w:val="single" w:sz="2" w:space="0" w:color="auto"/>
              <w:bottom w:val="single" w:sz="2" w:space="0" w:color="auto"/>
              <w:right w:val="single" w:sz="2" w:space="0" w:color="auto"/>
            </w:tcBorders>
          </w:tcPr>
          <w:p w14:paraId="518EC65D" w14:textId="77777777" w:rsidR="009F4766" w:rsidRPr="00DE12A3" w:rsidRDefault="009F4766" w:rsidP="00C917D6">
            <w:pPr>
              <w:pStyle w:val="NormalLeft"/>
              <w:rPr>
                <w:sz w:val="14"/>
                <w:szCs w:val="14"/>
              </w:rPr>
            </w:pPr>
          </w:p>
        </w:tc>
        <w:tc>
          <w:tcPr>
            <w:tcW w:w="464" w:type="dxa"/>
            <w:tcBorders>
              <w:top w:val="single" w:sz="2" w:space="0" w:color="auto"/>
              <w:left w:val="single" w:sz="2" w:space="0" w:color="auto"/>
              <w:bottom w:val="single" w:sz="2" w:space="0" w:color="auto"/>
              <w:right w:val="single" w:sz="2" w:space="0" w:color="auto"/>
            </w:tcBorders>
          </w:tcPr>
          <w:p w14:paraId="6D5CB84C" w14:textId="77777777" w:rsidR="009F4766" w:rsidRPr="00DE12A3" w:rsidRDefault="009F4766" w:rsidP="00C917D6">
            <w:pPr>
              <w:pStyle w:val="NormalLeft"/>
              <w:rPr>
                <w:sz w:val="14"/>
                <w:szCs w:val="14"/>
              </w:rPr>
            </w:pPr>
          </w:p>
        </w:tc>
        <w:tc>
          <w:tcPr>
            <w:tcW w:w="464" w:type="dxa"/>
            <w:tcBorders>
              <w:top w:val="single" w:sz="2" w:space="0" w:color="auto"/>
              <w:left w:val="single" w:sz="2" w:space="0" w:color="auto"/>
              <w:bottom w:val="single" w:sz="2" w:space="0" w:color="auto"/>
              <w:right w:val="single" w:sz="2" w:space="0" w:color="auto"/>
            </w:tcBorders>
          </w:tcPr>
          <w:p w14:paraId="191725A3" w14:textId="77777777" w:rsidR="009F4766" w:rsidRPr="00DE12A3" w:rsidRDefault="009F4766" w:rsidP="00C917D6">
            <w:pPr>
              <w:pStyle w:val="NormalLeft"/>
              <w:rPr>
                <w:sz w:val="14"/>
                <w:szCs w:val="14"/>
              </w:rPr>
            </w:pPr>
          </w:p>
        </w:tc>
        <w:tc>
          <w:tcPr>
            <w:tcW w:w="465" w:type="dxa"/>
            <w:tcBorders>
              <w:top w:val="single" w:sz="2" w:space="0" w:color="auto"/>
              <w:left w:val="single" w:sz="2" w:space="0" w:color="auto"/>
              <w:bottom w:val="single" w:sz="2" w:space="0" w:color="auto"/>
              <w:right w:val="single" w:sz="2" w:space="0" w:color="auto"/>
            </w:tcBorders>
          </w:tcPr>
          <w:p w14:paraId="280B9297" w14:textId="77777777" w:rsidR="009F4766" w:rsidRPr="00DE12A3" w:rsidRDefault="009F4766" w:rsidP="00C917D6">
            <w:pPr>
              <w:pStyle w:val="NormalLeft"/>
              <w:rPr>
                <w:sz w:val="14"/>
                <w:szCs w:val="14"/>
              </w:rPr>
            </w:pPr>
          </w:p>
        </w:tc>
        <w:tc>
          <w:tcPr>
            <w:tcW w:w="464" w:type="dxa"/>
            <w:tcBorders>
              <w:top w:val="single" w:sz="2" w:space="0" w:color="auto"/>
              <w:left w:val="single" w:sz="2" w:space="0" w:color="auto"/>
              <w:bottom w:val="single" w:sz="2" w:space="0" w:color="auto"/>
              <w:right w:val="single" w:sz="2" w:space="0" w:color="auto"/>
            </w:tcBorders>
          </w:tcPr>
          <w:p w14:paraId="5F03836B" w14:textId="77777777" w:rsidR="009F4766" w:rsidRPr="00DE12A3" w:rsidRDefault="009F4766" w:rsidP="00C917D6">
            <w:pPr>
              <w:pStyle w:val="NormalLeft"/>
              <w:rPr>
                <w:sz w:val="14"/>
                <w:szCs w:val="14"/>
              </w:rPr>
            </w:pPr>
          </w:p>
        </w:tc>
        <w:tc>
          <w:tcPr>
            <w:tcW w:w="464" w:type="dxa"/>
            <w:tcBorders>
              <w:top w:val="single" w:sz="2" w:space="0" w:color="auto"/>
              <w:left w:val="single" w:sz="2" w:space="0" w:color="auto"/>
              <w:bottom w:val="single" w:sz="2" w:space="0" w:color="auto"/>
              <w:right w:val="single" w:sz="2" w:space="0" w:color="auto"/>
            </w:tcBorders>
          </w:tcPr>
          <w:p w14:paraId="24D59489" w14:textId="77777777" w:rsidR="009F4766" w:rsidRPr="00DE12A3" w:rsidRDefault="009F4766" w:rsidP="00C917D6">
            <w:pPr>
              <w:pStyle w:val="NormalLeft"/>
              <w:rPr>
                <w:sz w:val="14"/>
                <w:szCs w:val="14"/>
              </w:rPr>
            </w:pPr>
          </w:p>
        </w:tc>
        <w:tc>
          <w:tcPr>
            <w:tcW w:w="464" w:type="dxa"/>
            <w:tcBorders>
              <w:top w:val="single" w:sz="2" w:space="0" w:color="auto"/>
              <w:left w:val="single" w:sz="2" w:space="0" w:color="auto"/>
              <w:bottom w:val="single" w:sz="2" w:space="0" w:color="auto"/>
              <w:right w:val="single" w:sz="2" w:space="0" w:color="auto"/>
            </w:tcBorders>
          </w:tcPr>
          <w:p w14:paraId="30B01E7E" w14:textId="77777777" w:rsidR="009F4766" w:rsidRPr="00DE12A3" w:rsidRDefault="009F4766" w:rsidP="00C917D6">
            <w:pPr>
              <w:pStyle w:val="NormalLeft"/>
              <w:rPr>
                <w:sz w:val="14"/>
                <w:szCs w:val="14"/>
              </w:rPr>
            </w:pPr>
          </w:p>
        </w:tc>
        <w:tc>
          <w:tcPr>
            <w:tcW w:w="465" w:type="dxa"/>
            <w:tcBorders>
              <w:top w:val="single" w:sz="2" w:space="0" w:color="auto"/>
              <w:left w:val="single" w:sz="2" w:space="0" w:color="auto"/>
              <w:bottom w:val="single" w:sz="2" w:space="0" w:color="auto"/>
              <w:right w:val="single" w:sz="2" w:space="0" w:color="auto"/>
            </w:tcBorders>
          </w:tcPr>
          <w:p w14:paraId="6F8E8FA1" w14:textId="77777777" w:rsidR="009F4766" w:rsidRPr="00DE12A3" w:rsidRDefault="009F4766" w:rsidP="00C917D6">
            <w:pPr>
              <w:pStyle w:val="NormalLeft"/>
              <w:rPr>
                <w:sz w:val="14"/>
                <w:szCs w:val="14"/>
              </w:rPr>
            </w:pPr>
          </w:p>
        </w:tc>
        <w:tc>
          <w:tcPr>
            <w:tcW w:w="464" w:type="dxa"/>
            <w:tcBorders>
              <w:top w:val="single" w:sz="2" w:space="0" w:color="auto"/>
              <w:left w:val="single" w:sz="2" w:space="0" w:color="auto"/>
              <w:bottom w:val="single" w:sz="2" w:space="0" w:color="auto"/>
              <w:right w:val="single" w:sz="2" w:space="0" w:color="auto"/>
            </w:tcBorders>
          </w:tcPr>
          <w:p w14:paraId="4B28F4BF" w14:textId="77777777" w:rsidR="009F4766" w:rsidRPr="00DE12A3" w:rsidRDefault="009F4766" w:rsidP="00C917D6">
            <w:pPr>
              <w:pStyle w:val="NormalLeft"/>
              <w:rPr>
                <w:sz w:val="14"/>
                <w:szCs w:val="14"/>
              </w:rPr>
            </w:pPr>
          </w:p>
        </w:tc>
      </w:tr>
      <w:tr w:rsidR="00DE12A3" w:rsidRPr="00DE12A3" w14:paraId="69FF12DA" w14:textId="77777777" w:rsidTr="009F4766">
        <w:tc>
          <w:tcPr>
            <w:tcW w:w="464" w:type="dxa"/>
            <w:tcBorders>
              <w:top w:val="single" w:sz="2" w:space="0" w:color="auto"/>
              <w:left w:val="single" w:sz="2" w:space="0" w:color="auto"/>
              <w:bottom w:val="single" w:sz="2" w:space="0" w:color="auto"/>
              <w:right w:val="single" w:sz="2" w:space="0" w:color="auto"/>
            </w:tcBorders>
          </w:tcPr>
          <w:p w14:paraId="6B1A9ABE" w14:textId="77777777" w:rsidR="009F4766" w:rsidRPr="00DE12A3" w:rsidRDefault="009F4766" w:rsidP="00C917D6">
            <w:pPr>
              <w:pStyle w:val="NormalLeft"/>
              <w:rPr>
                <w:sz w:val="14"/>
                <w:szCs w:val="14"/>
              </w:rPr>
            </w:pPr>
            <w:r w:rsidRPr="00DE12A3">
              <w:rPr>
                <w:sz w:val="14"/>
                <w:szCs w:val="14"/>
              </w:rPr>
              <w:t>1</w:t>
            </w:r>
          </w:p>
        </w:tc>
        <w:tc>
          <w:tcPr>
            <w:tcW w:w="465" w:type="dxa"/>
            <w:tcBorders>
              <w:top w:val="single" w:sz="2" w:space="0" w:color="auto"/>
              <w:left w:val="single" w:sz="2" w:space="0" w:color="auto"/>
              <w:bottom w:val="single" w:sz="2" w:space="0" w:color="auto"/>
              <w:right w:val="single" w:sz="2" w:space="0" w:color="auto"/>
            </w:tcBorders>
          </w:tcPr>
          <w:p w14:paraId="76AF563E" w14:textId="77777777" w:rsidR="009F4766" w:rsidRPr="00DE12A3" w:rsidRDefault="009F4766" w:rsidP="00C917D6">
            <w:pPr>
              <w:pStyle w:val="NormalLeft"/>
              <w:rPr>
                <w:sz w:val="14"/>
                <w:szCs w:val="14"/>
              </w:rPr>
            </w:pPr>
            <w:r w:rsidRPr="00DE12A3">
              <w:rPr>
                <w:sz w:val="14"/>
                <w:szCs w:val="14"/>
              </w:rPr>
              <w:t>39,86</w:t>
            </w:r>
          </w:p>
        </w:tc>
        <w:tc>
          <w:tcPr>
            <w:tcW w:w="464" w:type="dxa"/>
            <w:tcBorders>
              <w:top w:val="single" w:sz="2" w:space="0" w:color="auto"/>
              <w:left w:val="single" w:sz="2" w:space="0" w:color="auto"/>
              <w:bottom w:val="single" w:sz="2" w:space="0" w:color="auto"/>
              <w:right w:val="single" w:sz="2" w:space="0" w:color="auto"/>
            </w:tcBorders>
          </w:tcPr>
          <w:p w14:paraId="3F8C8607" w14:textId="77777777" w:rsidR="009F4766" w:rsidRPr="00DE12A3" w:rsidRDefault="009F4766" w:rsidP="00C917D6">
            <w:pPr>
              <w:pStyle w:val="NormalLeft"/>
              <w:rPr>
                <w:sz w:val="14"/>
                <w:szCs w:val="14"/>
              </w:rPr>
            </w:pPr>
            <w:r w:rsidRPr="00DE12A3">
              <w:rPr>
                <w:sz w:val="14"/>
                <w:szCs w:val="14"/>
              </w:rPr>
              <w:t>49,50</w:t>
            </w:r>
          </w:p>
        </w:tc>
        <w:tc>
          <w:tcPr>
            <w:tcW w:w="464" w:type="dxa"/>
            <w:tcBorders>
              <w:top w:val="single" w:sz="2" w:space="0" w:color="auto"/>
              <w:left w:val="single" w:sz="2" w:space="0" w:color="auto"/>
              <w:bottom w:val="single" w:sz="2" w:space="0" w:color="auto"/>
              <w:right w:val="single" w:sz="2" w:space="0" w:color="auto"/>
            </w:tcBorders>
          </w:tcPr>
          <w:p w14:paraId="0CFE9DFA" w14:textId="77777777" w:rsidR="009F4766" w:rsidRPr="00DE12A3" w:rsidRDefault="009F4766" w:rsidP="00C917D6">
            <w:pPr>
              <w:pStyle w:val="NormalLeft"/>
              <w:rPr>
                <w:sz w:val="14"/>
                <w:szCs w:val="14"/>
              </w:rPr>
            </w:pPr>
            <w:r w:rsidRPr="00DE12A3">
              <w:rPr>
                <w:sz w:val="14"/>
                <w:szCs w:val="14"/>
              </w:rPr>
              <w:t>53,59</w:t>
            </w:r>
          </w:p>
        </w:tc>
        <w:tc>
          <w:tcPr>
            <w:tcW w:w="465" w:type="dxa"/>
            <w:tcBorders>
              <w:top w:val="single" w:sz="2" w:space="0" w:color="auto"/>
              <w:left w:val="single" w:sz="2" w:space="0" w:color="auto"/>
              <w:bottom w:val="single" w:sz="2" w:space="0" w:color="auto"/>
              <w:right w:val="single" w:sz="2" w:space="0" w:color="auto"/>
            </w:tcBorders>
          </w:tcPr>
          <w:p w14:paraId="1EFF34B9" w14:textId="77777777" w:rsidR="009F4766" w:rsidRPr="00DE12A3" w:rsidRDefault="009F4766" w:rsidP="00C917D6">
            <w:pPr>
              <w:pStyle w:val="NormalLeft"/>
              <w:rPr>
                <w:sz w:val="14"/>
                <w:szCs w:val="14"/>
              </w:rPr>
            </w:pPr>
            <w:r w:rsidRPr="00DE12A3">
              <w:rPr>
                <w:sz w:val="14"/>
                <w:szCs w:val="14"/>
              </w:rPr>
              <w:t>55,83</w:t>
            </w:r>
          </w:p>
        </w:tc>
        <w:tc>
          <w:tcPr>
            <w:tcW w:w="464" w:type="dxa"/>
            <w:tcBorders>
              <w:top w:val="single" w:sz="2" w:space="0" w:color="auto"/>
              <w:left w:val="single" w:sz="2" w:space="0" w:color="auto"/>
              <w:bottom w:val="single" w:sz="2" w:space="0" w:color="auto"/>
              <w:right w:val="single" w:sz="2" w:space="0" w:color="auto"/>
            </w:tcBorders>
          </w:tcPr>
          <w:p w14:paraId="3F9659D3" w14:textId="77777777" w:rsidR="009F4766" w:rsidRPr="00DE12A3" w:rsidRDefault="009F4766" w:rsidP="00C917D6">
            <w:pPr>
              <w:pStyle w:val="NormalLeft"/>
              <w:rPr>
                <w:sz w:val="14"/>
                <w:szCs w:val="14"/>
              </w:rPr>
            </w:pPr>
            <w:r w:rsidRPr="00DE12A3">
              <w:rPr>
                <w:sz w:val="14"/>
                <w:szCs w:val="14"/>
              </w:rPr>
              <w:t>57,24</w:t>
            </w:r>
          </w:p>
        </w:tc>
        <w:tc>
          <w:tcPr>
            <w:tcW w:w="464" w:type="dxa"/>
            <w:tcBorders>
              <w:top w:val="single" w:sz="2" w:space="0" w:color="auto"/>
              <w:left w:val="single" w:sz="2" w:space="0" w:color="auto"/>
              <w:bottom w:val="single" w:sz="2" w:space="0" w:color="auto"/>
              <w:right w:val="single" w:sz="2" w:space="0" w:color="auto"/>
            </w:tcBorders>
          </w:tcPr>
          <w:p w14:paraId="0600CB79" w14:textId="77777777" w:rsidR="009F4766" w:rsidRPr="00DE12A3" w:rsidRDefault="009F4766" w:rsidP="00C917D6">
            <w:pPr>
              <w:pStyle w:val="NormalLeft"/>
              <w:rPr>
                <w:sz w:val="14"/>
                <w:szCs w:val="14"/>
              </w:rPr>
            </w:pPr>
            <w:r w:rsidRPr="00DE12A3">
              <w:rPr>
                <w:sz w:val="14"/>
                <w:szCs w:val="14"/>
              </w:rPr>
              <w:t>58,20</w:t>
            </w:r>
          </w:p>
        </w:tc>
        <w:tc>
          <w:tcPr>
            <w:tcW w:w="464" w:type="dxa"/>
            <w:tcBorders>
              <w:top w:val="single" w:sz="2" w:space="0" w:color="auto"/>
              <w:left w:val="single" w:sz="2" w:space="0" w:color="auto"/>
              <w:bottom w:val="single" w:sz="2" w:space="0" w:color="auto"/>
              <w:right w:val="single" w:sz="2" w:space="0" w:color="auto"/>
            </w:tcBorders>
          </w:tcPr>
          <w:p w14:paraId="678A8FEF" w14:textId="77777777" w:rsidR="009F4766" w:rsidRPr="00DE12A3" w:rsidRDefault="009F4766" w:rsidP="00C917D6">
            <w:pPr>
              <w:pStyle w:val="NormalLeft"/>
              <w:rPr>
                <w:sz w:val="14"/>
                <w:szCs w:val="14"/>
              </w:rPr>
            </w:pPr>
            <w:r w:rsidRPr="00DE12A3">
              <w:rPr>
                <w:sz w:val="14"/>
                <w:szCs w:val="14"/>
              </w:rPr>
              <w:t>58,90</w:t>
            </w:r>
          </w:p>
        </w:tc>
        <w:tc>
          <w:tcPr>
            <w:tcW w:w="465" w:type="dxa"/>
            <w:tcBorders>
              <w:top w:val="single" w:sz="2" w:space="0" w:color="auto"/>
              <w:left w:val="single" w:sz="2" w:space="0" w:color="auto"/>
              <w:bottom w:val="single" w:sz="2" w:space="0" w:color="auto"/>
              <w:right w:val="single" w:sz="2" w:space="0" w:color="auto"/>
            </w:tcBorders>
          </w:tcPr>
          <w:p w14:paraId="49C0BFC1" w14:textId="77777777" w:rsidR="009F4766" w:rsidRPr="00DE12A3" w:rsidRDefault="009F4766" w:rsidP="00C917D6">
            <w:pPr>
              <w:pStyle w:val="NormalLeft"/>
              <w:rPr>
                <w:sz w:val="14"/>
                <w:szCs w:val="14"/>
              </w:rPr>
            </w:pPr>
            <w:r w:rsidRPr="00DE12A3">
              <w:rPr>
                <w:sz w:val="14"/>
                <w:szCs w:val="14"/>
              </w:rPr>
              <w:t>59,43</w:t>
            </w:r>
          </w:p>
        </w:tc>
        <w:tc>
          <w:tcPr>
            <w:tcW w:w="464" w:type="dxa"/>
            <w:tcBorders>
              <w:top w:val="single" w:sz="2" w:space="0" w:color="auto"/>
              <w:left w:val="single" w:sz="2" w:space="0" w:color="auto"/>
              <w:bottom w:val="single" w:sz="2" w:space="0" w:color="auto"/>
              <w:right w:val="single" w:sz="2" w:space="0" w:color="auto"/>
            </w:tcBorders>
          </w:tcPr>
          <w:p w14:paraId="02893997" w14:textId="77777777" w:rsidR="009F4766" w:rsidRPr="00DE12A3" w:rsidRDefault="009F4766" w:rsidP="00C917D6">
            <w:pPr>
              <w:pStyle w:val="NormalLeft"/>
              <w:rPr>
                <w:sz w:val="14"/>
                <w:szCs w:val="14"/>
              </w:rPr>
            </w:pPr>
            <w:r w:rsidRPr="00DE12A3">
              <w:rPr>
                <w:sz w:val="14"/>
                <w:szCs w:val="14"/>
              </w:rPr>
              <w:t>59,85</w:t>
            </w:r>
          </w:p>
        </w:tc>
        <w:tc>
          <w:tcPr>
            <w:tcW w:w="464" w:type="dxa"/>
            <w:tcBorders>
              <w:top w:val="single" w:sz="2" w:space="0" w:color="auto"/>
              <w:left w:val="single" w:sz="2" w:space="0" w:color="auto"/>
              <w:bottom w:val="single" w:sz="2" w:space="0" w:color="auto"/>
              <w:right w:val="single" w:sz="2" w:space="0" w:color="auto"/>
            </w:tcBorders>
          </w:tcPr>
          <w:p w14:paraId="65730D9A" w14:textId="77777777" w:rsidR="009F4766" w:rsidRPr="00DE12A3" w:rsidRDefault="009F4766" w:rsidP="00C917D6">
            <w:pPr>
              <w:pStyle w:val="NormalLeft"/>
              <w:rPr>
                <w:sz w:val="14"/>
                <w:szCs w:val="14"/>
              </w:rPr>
            </w:pPr>
            <w:r w:rsidRPr="00DE12A3">
              <w:rPr>
                <w:sz w:val="14"/>
                <w:szCs w:val="14"/>
              </w:rPr>
              <w:t>60,19</w:t>
            </w:r>
          </w:p>
        </w:tc>
        <w:tc>
          <w:tcPr>
            <w:tcW w:w="465" w:type="dxa"/>
            <w:tcBorders>
              <w:top w:val="single" w:sz="2" w:space="0" w:color="auto"/>
              <w:left w:val="single" w:sz="2" w:space="0" w:color="auto"/>
              <w:bottom w:val="single" w:sz="2" w:space="0" w:color="auto"/>
              <w:right w:val="single" w:sz="2" w:space="0" w:color="auto"/>
            </w:tcBorders>
          </w:tcPr>
          <w:p w14:paraId="09DDAC2F" w14:textId="77777777" w:rsidR="009F4766" w:rsidRPr="00DE12A3" w:rsidRDefault="009F4766" w:rsidP="00C917D6">
            <w:pPr>
              <w:pStyle w:val="NormalLeft"/>
              <w:rPr>
                <w:sz w:val="14"/>
                <w:szCs w:val="14"/>
              </w:rPr>
            </w:pPr>
            <w:r w:rsidRPr="00DE12A3">
              <w:rPr>
                <w:sz w:val="14"/>
                <w:szCs w:val="14"/>
              </w:rPr>
              <w:t>60,70</w:t>
            </w:r>
          </w:p>
        </w:tc>
        <w:tc>
          <w:tcPr>
            <w:tcW w:w="464" w:type="dxa"/>
            <w:tcBorders>
              <w:top w:val="single" w:sz="2" w:space="0" w:color="auto"/>
              <w:left w:val="single" w:sz="2" w:space="0" w:color="auto"/>
              <w:bottom w:val="single" w:sz="2" w:space="0" w:color="auto"/>
              <w:right w:val="single" w:sz="2" w:space="0" w:color="auto"/>
            </w:tcBorders>
          </w:tcPr>
          <w:p w14:paraId="18234C63" w14:textId="77777777" w:rsidR="009F4766" w:rsidRPr="00DE12A3" w:rsidRDefault="009F4766" w:rsidP="00C917D6">
            <w:pPr>
              <w:pStyle w:val="NormalLeft"/>
              <w:rPr>
                <w:sz w:val="14"/>
                <w:szCs w:val="14"/>
              </w:rPr>
            </w:pPr>
            <w:r w:rsidRPr="00DE12A3">
              <w:rPr>
                <w:sz w:val="14"/>
                <w:szCs w:val="14"/>
              </w:rPr>
              <w:t>61,22</w:t>
            </w:r>
          </w:p>
        </w:tc>
        <w:tc>
          <w:tcPr>
            <w:tcW w:w="464" w:type="dxa"/>
            <w:tcBorders>
              <w:top w:val="single" w:sz="2" w:space="0" w:color="auto"/>
              <w:left w:val="single" w:sz="2" w:space="0" w:color="auto"/>
              <w:bottom w:val="single" w:sz="2" w:space="0" w:color="auto"/>
              <w:right w:val="single" w:sz="2" w:space="0" w:color="auto"/>
            </w:tcBorders>
          </w:tcPr>
          <w:p w14:paraId="1D36261E" w14:textId="77777777" w:rsidR="009F4766" w:rsidRPr="00DE12A3" w:rsidRDefault="009F4766" w:rsidP="00C917D6">
            <w:pPr>
              <w:pStyle w:val="NormalLeft"/>
              <w:rPr>
                <w:sz w:val="14"/>
                <w:szCs w:val="14"/>
              </w:rPr>
            </w:pPr>
            <w:r w:rsidRPr="00DE12A3">
              <w:rPr>
                <w:sz w:val="14"/>
                <w:szCs w:val="14"/>
              </w:rPr>
              <w:t>61,74</w:t>
            </w:r>
          </w:p>
        </w:tc>
        <w:tc>
          <w:tcPr>
            <w:tcW w:w="465" w:type="dxa"/>
            <w:tcBorders>
              <w:top w:val="single" w:sz="2" w:space="0" w:color="auto"/>
              <w:left w:val="single" w:sz="2" w:space="0" w:color="auto"/>
              <w:bottom w:val="single" w:sz="2" w:space="0" w:color="auto"/>
              <w:right w:val="single" w:sz="2" w:space="0" w:color="auto"/>
            </w:tcBorders>
          </w:tcPr>
          <w:p w14:paraId="4161108F" w14:textId="77777777" w:rsidR="009F4766" w:rsidRPr="00DE12A3" w:rsidRDefault="009F4766" w:rsidP="00C917D6">
            <w:pPr>
              <w:pStyle w:val="NormalLeft"/>
              <w:rPr>
                <w:sz w:val="14"/>
                <w:szCs w:val="14"/>
              </w:rPr>
            </w:pPr>
            <w:r w:rsidRPr="00DE12A3">
              <w:rPr>
                <w:sz w:val="14"/>
                <w:szCs w:val="14"/>
              </w:rPr>
              <w:t>62,00</w:t>
            </w:r>
          </w:p>
        </w:tc>
        <w:tc>
          <w:tcPr>
            <w:tcW w:w="464" w:type="dxa"/>
            <w:tcBorders>
              <w:top w:val="single" w:sz="2" w:space="0" w:color="auto"/>
              <w:left w:val="single" w:sz="2" w:space="0" w:color="auto"/>
              <w:bottom w:val="single" w:sz="2" w:space="0" w:color="auto"/>
              <w:right w:val="single" w:sz="2" w:space="0" w:color="auto"/>
            </w:tcBorders>
          </w:tcPr>
          <w:p w14:paraId="43C5189D" w14:textId="77777777" w:rsidR="009F4766" w:rsidRPr="00DE12A3" w:rsidRDefault="009F4766" w:rsidP="00C917D6">
            <w:pPr>
              <w:pStyle w:val="NormalLeft"/>
              <w:rPr>
                <w:sz w:val="14"/>
                <w:szCs w:val="14"/>
              </w:rPr>
            </w:pPr>
            <w:r w:rsidRPr="00DE12A3">
              <w:rPr>
                <w:sz w:val="14"/>
                <w:szCs w:val="14"/>
              </w:rPr>
              <w:t>62,26</w:t>
            </w:r>
          </w:p>
        </w:tc>
        <w:tc>
          <w:tcPr>
            <w:tcW w:w="464" w:type="dxa"/>
            <w:tcBorders>
              <w:top w:val="single" w:sz="2" w:space="0" w:color="auto"/>
              <w:left w:val="single" w:sz="2" w:space="0" w:color="auto"/>
              <w:bottom w:val="single" w:sz="2" w:space="0" w:color="auto"/>
              <w:right w:val="single" w:sz="2" w:space="0" w:color="auto"/>
            </w:tcBorders>
          </w:tcPr>
          <w:p w14:paraId="7B4E10A1" w14:textId="77777777" w:rsidR="009F4766" w:rsidRPr="00DE12A3" w:rsidRDefault="009F4766" w:rsidP="00C917D6">
            <w:pPr>
              <w:pStyle w:val="NormalLeft"/>
              <w:rPr>
                <w:sz w:val="14"/>
                <w:szCs w:val="14"/>
              </w:rPr>
            </w:pPr>
            <w:r w:rsidRPr="00DE12A3">
              <w:rPr>
                <w:sz w:val="14"/>
                <w:szCs w:val="14"/>
              </w:rPr>
              <w:t>62,52</w:t>
            </w:r>
          </w:p>
        </w:tc>
        <w:tc>
          <w:tcPr>
            <w:tcW w:w="464" w:type="dxa"/>
            <w:tcBorders>
              <w:top w:val="single" w:sz="2" w:space="0" w:color="auto"/>
              <w:left w:val="single" w:sz="2" w:space="0" w:color="auto"/>
              <w:bottom w:val="single" w:sz="2" w:space="0" w:color="auto"/>
              <w:right w:val="single" w:sz="2" w:space="0" w:color="auto"/>
            </w:tcBorders>
          </w:tcPr>
          <w:p w14:paraId="7CE0E945" w14:textId="77777777" w:rsidR="009F4766" w:rsidRPr="00DE12A3" w:rsidRDefault="009F4766" w:rsidP="00C917D6">
            <w:pPr>
              <w:pStyle w:val="NormalLeft"/>
              <w:rPr>
                <w:sz w:val="14"/>
                <w:szCs w:val="14"/>
              </w:rPr>
            </w:pPr>
            <w:r w:rsidRPr="00DE12A3">
              <w:rPr>
                <w:sz w:val="14"/>
                <w:szCs w:val="14"/>
              </w:rPr>
              <w:t>62,79</w:t>
            </w:r>
          </w:p>
        </w:tc>
        <w:tc>
          <w:tcPr>
            <w:tcW w:w="465" w:type="dxa"/>
            <w:tcBorders>
              <w:top w:val="single" w:sz="2" w:space="0" w:color="auto"/>
              <w:left w:val="single" w:sz="2" w:space="0" w:color="auto"/>
              <w:bottom w:val="single" w:sz="2" w:space="0" w:color="auto"/>
              <w:right w:val="single" w:sz="2" w:space="0" w:color="auto"/>
            </w:tcBorders>
          </w:tcPr>
          <w:p w14:paraId="5B61F4C6" w14:textId="77777777" w:rsidR="009F4766" w:rsidRPr="00DE12A3" w:rsidRDefault="009F4766" w:rsidP="00C917D6">
            <w:pPr>
              <w:pStyle w:val="NormalLeft"/>
              <w:rPr>
                <w:sz w:val="14"/>
                <w:szCs w:val="14"/>
              </w:rPr>
            </w:pPr>
            <w:r w:rsidRPr="00DE12A3">
              <w:rPr>
                <w:sz w:val="14"/>
                <w:szCs w:val="14"/>
              </w:rPr>
              <w:t>63,06</w:t>
            </w:r>
          </w:p>
        </w:tc>
        <w:tc>
          <w:tcPr>
            <w:tcW w:w="464" w:type="dxa"/>
            <w:tcBorders>
              <w:top w:val="single" w:sz="2" w:space="0" w:color="auto"/>
              <w:left w:val="single" w:sz="2" w:space="0" w:color="auto"/>
              <w:bottom w:val="single" w:sz="2" w:space="0" w:color="auto"/>
              <w:right w:val="single" w:sz="2" w:space="0" w:color="auto"/>
            </w:tcBorders>
          </w:tcPr>
          <w:p w14:paraId="57F841BF" w14:textId="77777777" w:rsidR="009F4766" w:rsidRPr="00DE12A3" w:rsidRDefault="009F4766" w:rsidP="00C917D6">
            <w:pPr>
              <w:pStyle w:val="NormalLeft"/>
              <w:rPr>
                <w:sz w:val="14"/>
                <w:szCs w:val="14"/>
              </w:rPr>
            </w:pPr>
            <w:r w:rsidRPr="00DE12A3">
              <w:rPr>
                <w:sz w:val="14"/>
                <w:szCs w:val="14"/>
              </w:rPr>
              <w:t>63,32</w:t>
            </w:r>
          </w:p>
        </w:tc>
      </w:tr>
      <w:tr w:rsidR="00DE12A3" w:rsidRPr="00DE12A3" w14:paraId="53F3B34F" w14:textId="77777777" w:rsidTr="009F4766">
        <w:tc>
          <w:tcPr>
            <w:tcW w:w="464" w:type="dxa"/>
            <w:tcBorders>
              <w:top w:val="single" w:sz="2" w:space="0" w:color="auto"/>
              <w:left w:val="single" w:sz="2" w:space="0" w:color="auto"/>
              <w:bottom w:val="single" w:sz="2" w:space="0" w:color="auto"/>
              <w:right w:val="single" w:sz="2" w:space="0" w:color="auto"/>
            </w:tcBorders>
          </w:tcPr>
          <w:p w14:paraId="7983268F" w14:textId="77777777" w:rsidR="009F4766" w:rsidRPr="00DE12A3" w:rsidRDefault="009F4766" w:rsidP="00C917D6">
            <w:pPr>
              <w:pStyle w:val="NormalLeft"/>
              <w:rPr>
                <w:sz w:val="14"/>
                <w:szCs w:val="14"/>
              </w:rPr>
            </w:pPr>
            <w:r w:rsidRPr="00DE12A3">
              <w:rPr>
                <w:sz w:val="14"/>
                <w:szCs w:val="14"/>
              </w:rPr>
              <w:t>2</w:t>
            </w:r>
          </w:p>
        </w:tc>
        <w:tc>
          <w:tcPr>
            <w:tcW w:w="465" w:type="dxa"/>
            <w:tcBorders>
              <w:top w:val="single" w:sz="2" w:space="0" w:color="auto"/>
              <w:left w:val="single" w:sz="2" w:space="0" w:color="auto"/>
              <w:bottom w:val="single" w:sz="2" w:space="0" w:color="auto"/>
              <w:right w:val="single" w:sz="2" w:space="0" w:color="auto"/>
            </w:tcBorders>
          </w:tcPr>
          <w:p w14:paraId="376B3555" w14:textId="77777777" w:rsidR="009F4766" w:rsidRPr="00DE12A3" w:rsidRDefault="009F4766" w:rsidP="00C917D6">
            <w:pPr>
              <w:pStyle w:val="NormalLeft"/>
              <w:rPr>
                <w:sz w:val="14"/>
                <w:szCs w:val="14"/>
              </w:rPr>
            </w:pPr>
            <w:r w:rsidRPr="00DE12A3">
              <w:rPr>
                <w:sz w:val="14"/>
                <w:szCs w:val="14"/>
              </w:rPr>
              <w:t>8,526</w:t>
            </w:r>
          </w:p>
        </w:tc>
        <w:tc>
          <w:tcPr>
            <w:tcW w:w="464" w:type="dxa"/>
            <w:tcBorders>
              <w:top w:val="single" w:sz="2" w:space="0" w:color="auto"/>
              <w:left w:val="single" w:sz="2" w:space="0" w:color="auto"/>
              <w:bottom w:val="single" w:sz="2" w:space="0" w:color="auto"/>
              <w:right w:val="single" w:sz="2" w:space="0" w:color="auto"/>
            </w:tcBorders>
          </w:tcPr>
          <w:p w14:paraId="26E9E19C" w14:textId="77777777" w:rsidR="009F4766" w:rsidRPr="00DE12A3" w:rsidRDefault="009F4766" w:rsidP="00C917D6">
            <w:pPr>
              <w:pStyle w:val="NormalLeft"/>
              <w:rPr>
                <w:sz w:val="14"/>
                <w:szCs w:val="14"/>
              </w:rPr>
            </w:pPr>
            <w:r w:rsidRPr="00DE12A3">
              <w:rPr>
                <w:sz w:val="14"/>
                <w:szCs w:val="14"/>
              </w:rPr>
              <w:t>9,000</w:t>
            </w:r>
          </w:p>
        </w:tc>
        <w:tc>
          <w:tcPr>
            <w:tcW w:w="464" w:type="dxa"/>
            <w:tcBorders>
              <w:top w:val="single" w:sz="2" w:space="0" w:color="auto"/>
              <w:left w:val="single" w:sz="2" w:space="0" w:color="auto"/>
              <w:bottom w:val="single" w:sz="2" w:space="0" w:color="auto"/>
              <w:right w:val="single" w:sz="2" w:space="0" w:color="auto"/>
            </w:tcBorders>
          </w:tcPr>
          <w:p w14:paraId="7580EE71" w14:textId="77777777" w:rsidR="009F4766" w:rsidRPr="00DE12A3" w:rsidRDefault="009F4766" w:rsidP="00C917D6">
            <w:pPr>
              <w:pStyle w:val="NormalLeft"/>
              <w:rPr>
                <w:sz w:val="14"/>
                <w:szCs w:val="14"/>
              </w:rPr>
            </w:pPr>
            <w:r w:rsidRPr="00DE12A3">
              <w:rPr>
                <w:sz w:val="14"/>
                <w:szCs w:val="14"/>
              </w:rPr>
              <w:t>9,162</w:t>
            </w:r>
          </w:p>
        </w:tc>
        <w:tc>
          <w:tcPr>
            <w:tcW w:w="465" w:type="dxa"/>
            <w:tcBorders>
              <w:top w:val="single" w:sz="2" w:space="0" w:color="auto"/>
              <w:left w:val="single" w:sz="2" w:space="0" w:color="auto"/>
              <w:bottom w:val="single" w:sz="2" w:space="0" w:color="auto"/>
              <w:right w:val="single" w:sz="2" w:space="0" w:color="auto"/>
            </w:tcBorders>
          </w:tcPr>
          <w:p w14:paraId="6E485DE8" w14:textId="77777777" w:rsidR="009F4766" w:rsidRPr="00DE12A3" w:rsidRDefault="009F4766" w:rsidP="00C917D6">
            <w:pPr>
              <w:pStyle w:val="NormalLeft"/>
              <w:rPr>
                <w:sz w:val="14"/>
                <w:szCs w:val="14"/>
              </w:rPr>
            </w:pPr>
            <w:r w:rsidRPr="00DE12A3">
              <w:rPr>
                <w:sz w:val="14"/>
                <w:szCs w:val="14"/>
              </w:rPr>
              <w:t>9,243</w:t>
            </w:r>
          </w:p>
        </w:tc>
        <w:tc>
          <w:tcPr>
            <w:tcW w:w="464" w:type="dxa"/>
            <w:tcBorders>
              <w:top w:val="single" w:sz="2" w:space="0" w:color="auto"/>
              <w:left w:val="single" w:sz="2" w:space="0" w:color="auto"/>
              <w:bottom w:val="single" w:sz="2" w:space="0" w:color="auto"/>
              <w:right w:val="single" w:sz="2" w:space="0" w:color="auto"/>
            </w:tcBorders>
          </w:tcPr>
          <w:p w14:paraId="69478D08" w14:textId="77777777" w:rsidR="009F4766" w:rsidRPr="00DE12A3" w:rsidRDefault="009F4766" w:rsidP="00C917D6">
            <w:pPr>
              <w:pStyle w:val="NormalLeft"/>
              <w:rPr>
                <w:sz w:val="14"/>
                <w:szCs w:val="14"/>
              </w:rPr>
            </w:pPr>
            <w:r w:rsidRPr="00DE12A3">
              <w:rPr>
                <w:sz w:val="14"/>
                <w:szCs w:val="14"/>
              </w:rPr>
              <w:t>9,293</w:t>
            </w:r>
          </w:p>
        </w:tc>
        <w:tc>
          <w:tcPr>
            <w:tcW w:w="464" w:type="dxa"/>
            <w:tcBorders>
              <w:top w:val="single" w:sz="2" w:space="0" w:color="auto"/>
              <w:left w:val="single" w:sz="2" w:space="0" w:color="auto"/>
              <w:bottom w:val="single" w:sz="2" w:space="0" w:color="auto"/>
              <w:right w:val="single" w:sz="2" w:space="0" w:color="auto"/>
            </w:tcBorders>
          </w:tcPr>
          <w:p w14:paraId="78FA6091" w14:textId="77777777" w:rsidR="009F4766" w:rsidRPr="00DE12A3" w:rsidRDefault="009F4766" w:rsidP="00C917D6">
            <w:pPr>
              <w:pStyle w:val="NormalLeft"/>
              <w:rPr>
                <w:sz w:val="14"/>
                <w:szCs w:val="14"/>
              </w:rPr>
            </w:pPr>
            <w:r w:rsidRPr="00DE12A3">
              <w:rPr>
                <w:sz w:val="14"/>
                <w:szCs w:val="14"/>
              </w:rPr>
              <w:t>9,326</w:t>
            </w:r>
          </w:p>
        </w:tc>
        <w:tc>
          <w:tcPr>
            <w:tcW w:w="464" w:type="dxa"/>
            <w:tcBorders>
              <w:top w:val="single" w:sz="2" w:space="0" w:color="auto"/>
              <w:left w:val="single" w:sz="2" w:space="0" w:color="auto"/>
              <w:bottom w:val="single" w:sz="2" w:space="0" w:color="auto"/>
              <w:right w:val="single" w:sz="2" w:space="0" w:color="auto"/>
            </w:tcBorders>
          </w:tcPr>
          <w:p w14:paraId="385793C3" w14:textId="77777777" w:rsidR="009F4766" w:rsidRPr="00DE12A3" w:rsidRDefault="009F4766" w:rsidP="00C917D6">
            <w:pPr>
              <w:pStyle w:val="NormalLeft"/>
              <w:rPr>
                <w:sz w:val="14"/>
                <w:szCs w:val="14"/>
              </w:rPr>
            </w:pPr>
            <w:r w:rsidRPr="00DE12A3">
              <w:rPr>
                <w:sz w:val="14"/>
                <w:szCs w:val="14"/>
              </w:rPr>
              <w:t>9,349</w:t>
            </w:r>
          </w:p>
        </w:tc>
        <w:tc>
          <w:tcPr>
            <w:tcW w:w="465" w:type="dxa"/>
            <w:tcBorders>
              <w:top w:val="single" w:sz="2" w:space="0" w:color="auto"/>
              <w:left w:val="single" w:sz="2" w:space="0" w:color="auto"/>
              <w:bottom w:val="single" w:sz="2" w:space="0" w:color="auto"/>
              <w:right w:val="single" w:sz="2" w:space="0" w:color="auto"/>
            </w:tcBorders>
          </w:tcPr>
          <w:p w14:paraId="12CC67B3" w14:textId="77777777" w:rsidR="009F4766" w:rsidRPr="00DE12A3" w:rsidRDefault="009F4766" w:rsidP="00C917D6">
            <w:pPr>
              <w:pStyle w:val="NormalLeft"/>
              <w:rPr>
                <w:sz w:val="14"/>
                <w:szCs w:val="14"/>
              </w:rPr>
            </w:pPr>
            <w:r w:rsidRPr="00DE12A3">
              <w:rPr>
                <w:sz w:val="14"/>
                <w:szCs w:val="14"/>
              </w:rPr>
              <w:t>9,367</w:t>
            </w:r>
          </w:p>
        </w:tc>
        <w:tc>
          <w:tcPr>
            <w:tcW w:w="464" w:type="dxa"/>
            <w:tcBorders>
              <w:top w:val="single" w:sz="2" w:space="0" w:color="auto"/>
              <w:left w:val="single" w:sz="2" w:space="0" w:color="auto"/>
              <w:bottom w:val="single" w:sz="2" w:space="0" w:color="auto"/>
              <w:right w:val="single" w:sz="2" w:space="0" w:color="auto"/>
            </w:tcBorders>
          </w:tcPr>
          <w:p w14:paraId="46B2F8EC" w14:textId="77777777" w:rsidR="009F4766" w:rsidRPr="00DE12A3" w:rsidRDefault="009F4766" w:rsidP="00C917D6">
            <w:pPr>
              <w:pStyle w:val="NormalLeft"/>
              <w:rPr>
                <w:sz w:val="14"/>
                <w:szCs w:val="14"/>
              </w:rPr>
            </w:pPr>
            <w:r w:rsidRPr="00DE12A3">
              <w:rPr>
                <w:sz w:val="14"/>
                <w:szCs w:val="14"/>
              </w:rPr>
              <w:t>9,381</w:t>
            </w:r>
          </w:p>
        </w:tc>
        <w:tc>
          <w:tcPr>
            <w:tcW w:w="464" w:type="dxa"/>
            <w:tcBorders>
              <w:top w:val="single" w:sz="2" w:space="0" w:color="auto"/>
              <w:left w:val="single" w:sz="2" w:space="0" w:color="auto"/>
              <w:bottom w:val="single" w:sz="2" w:space="0" w:color="auto"/>
              <w:right w:val="single" w:sz="2" w:space="0" w:color="auto"/>
            </w:tcBorders>
          </w:tcPr>
          <w:p w14:paraId="5B0446BB" w14:textId="77777777" w:rsidR="009F4766" w:rsidRPr="00DE12A3" w:rsidRDefault="009F4766" w:rsidP="00C917D6">
            <w:pPr>
              <w:pStyle w:val="NormalLeft"/>
              <w:rPr>
                <w:sz w:val="14"/>
                <w:szCs w:val="14"/>
              </w:rPr>
            </w:pPr>
            <w:r w:rsidRPr="00DE12A3">
              <w:rPr>
                <w:sz w:val="14"/>
                <w:szCs w:val="14"/>
              </w:rPr>
              <w:t>9,392</w:t>
            </w:r>
          </w:p>
        </w:tc>
        <w:tc>
          <w:tcPr>
            <w:tcW w:w="465" w:type="dxa"/>
            <w:tcBorders>
              <w:top w:val="single" w:sz="2" w:space="0" w:color="auto"/>
              <w:left w:val="single" w:sz="2" w:space="0" w:color="auto"/>
              <w:bottom w:val="single" w:sz="2" w:space="0" w:color="auto"/>
              <w:right w:val="single" w:sz="2" w:space="0" w:color="auto"/>
            </w:tcBorders>
          </w:tcPr>
          <w:p w14:paraId="4E1A5B56" w14:textId="77777777" w:rsidR="009F4766" w:rsidRPr="00DE12A3" w:rsidRDefault="009F4766" w:rsidP="00C917D6">
            <w:pPr>
              <w:pStyle w:val="NormalLeft"/>
              <w:rPr>
                <w:sz w:val="14"/>
                <w:szCs w:val="14"/>
              </w:rPr>
            </w:pPr>
            <w:r w:rsidRPr="00DE12A3">
              <w:rPr>
                <w:sz w:val="14"/>
                <w:szCs w:val="14"/>
              </w:rPr>
              <w:t>9,408</w:t>
            </w:r>
          </w:p>
        </w:tc>
        <w:tc>
          <w:tcPr>
            <w:tcW w:w="464" w:type="dxa"/>
            <w:tcBorders>
              <w:top w:val="single" w:sz="2" w:space="0" w:color="auto"/>
              <w:left w:val="single" w:sz="2" w:space="0" w:color="auto"/>
              <w:bottom w:val="single" w:sz="2" w:space="0" w:color="auto"/>
              <w:right w:val="single" w:sz="2" w:space="0" w:color="auto"/>
            </w:tcBorders>
          </w:tcPr>
          <w:p w14:paraId="642EBF31" w14:textId="77777777" w:rsidR="009F4766" w:rsidRPr="00DE12A3" w:rsidRDefault="009F4766" w:rsidP="00C917D6">
            <w:pPr>
              <w:pStyle w:val="NormalLeft"/>
              <w:rPr>
                <w:sz w:val="14"/>
                <w:szCs w:val="14"/>
              </w:rPr>
            </w:pPr>
            <w:r w:rsidRPr="00DE12A3">
              <w:rPr>
                <w:sz w:val="14"/>
                <w:szCs w:val="14"/>
              </w:rPr>
              <w:t>9,425</w:t>
            </w:r>
          </w:p>
        </w:tc>
        <w:tc>
          <w:tcPr>
            <w:tcW w:w="464" w:type="dxa"/>
            <w:tcBorders>
              <w:top w:val="single" w:sz="2" w:space="0" w:color="auto"/>
              <w:left w:val="single" w:sz="2" w:space="0" w:color="auto"/>
              <w:bottom w:val="single" w:sz="2" w:space="0" w:color="auto"/>
              <w:right w:val="single" w:sz="2" w:space="0" w:color="auto"/>
            </w:tcBorders>
          </w:tcPr>
          <w:p w14:paraId="7069A98B" w14:textId="77777777" w:rsidR="009F4766" w:rsidRPr="00DE12A3" w:rsidRDefault="009F4766" w:rsidP="00C917D6">
            <w:pPr>
              <w:pStyle w:val="NormalLeft"/>
              <w:rPr>
                <w:sz w:val="14"/>
                <w:szCs w:val="14"/>
              </w:rPr>
            </w:pPr>
            <w:r w:rsidRPr="00DE12A3">
              <w:rPr>
                <w:sz w:val="14"/>
                <w:szCs w:val="14"/>
              </w:rPr>
              <w:t>9,441</w:t>
            </w:r>
          </w:p>
        </w:tc>
        <w:tc>
          <w:tcPr>
            <w:tcW w:w="465" w:type="dxa"/>
            <w:tcBorders>
              <w:top w:val="single" w:sz="2" w:space="0" w:color="auto"/>
              <w:left w:val="single" w:sz="2" w:space="0" w:color="auto"/>
              <w:bottom w:val="single" w:sz="2" w:space="0" w:color="auto"/>
              <w:right w:val="single" w:sz="2" w:space="0" w:color="auto"/>
            </w:tcBorders>
          </w:tcPr>
          <w:p w14:paraId="209A252C" w14:textId="77777777" w:rsidR="009F4766" w:rsidRPr="00DE12A3" w:rsidRDefault="009F4766" w:rsidP="00C917D6">
            <w:pPr>
              <w:pStyle w:val="NormalLeft"/>
              <w:rPr>
                <w:sz w:val="14"/>
                <w:szCs w:val="14"/>
              </w:rPr>
            </w:pPr>
            <w:r w:rsidRPr="00DE12A3">
              <w:rPr>
                <w:sz w:val="14"/>
                <w:szCs w:val="14"/>
              </w:rPr>
              <w:t>9,450</w:t>
            </w:r>
          </w:p>
        </w:tc>
        <w:tc>
          <w:tcPr>
            <w:tcW w:w="464" w:type="dxa"/>
            <w:tcBorders>
              <w:top w:val="single" w:sz="2" w:space="0" w:color="auto"/>
              <w:left w:val="single" w:sz="2" w:space="0" w:color="auto"/>
              <w:bottom w:val="single" w:sz="2" w:space="0" w:color="auto"/>
              <w:right w:val="single" w:sz="2" w:space="0" w:color="auto"/>
            </w:tcBorders>
          </w:tcPr>
          <w:p w14:paraId="5490BD35" w14:textId="77777777" w:rsidR="009F4766" w:rsidRPr="00DE12A3" w:rsidRDefault="009F4766" w:rsidP="00C917D6">
            <w:pPr>
              <w:pStyle w:val="NormalLeft"/>
              <w:rPr>
                <w:sz w:val="14"/>
                <w:szCs w:val="14"/>
              </w:rPr>
            </w:pPr>
            <w:r w:rsidRPr="00DE12A3">
              <w:rPr>
                <w:sz w:val="14"/>
                <w:szCs w:val="14"/>
              </w:rPr>
              <w:t>9,458</w:t>
            </w:r>
          </w:p>
        </w:tc>
        <w:tc>
          <w:tcPr>
            <w:tcW w:w="464" w:type="dxa"/>
            <w:tcBorders>
              <w:top w:val="single" w:sz="2" w:space="0" w:color="auto"/>
              <w:left w:val="single" w:sz="2" w:space="0" w:color="auto"/>
              <w:bottom w:val="single" w:sz="2" w:space="0" w:color="auto"/>
              <w:right w:val="single" w:sz="2" w:space="0" w:color="auto"/>
            </w:tcBorders>
          </w:tcPr>
          <w:p w14:paraId="4FB78B3F" w14:textId="77777777" w:rsidR="009F4766" w:rsidRPr="00DE12A3" w:rsidRDefault="009F4766" w:rsidP="00C917D6">
            <w:pPr>
              <w:pStyle w:val="NormalLeft"/>
              <w:rPr>
                <w:sz w:val="14"/>
                <w:szCs w:val="14"/>
              </w:rPr>
            </w:pPr>
            <w:r w:rsidRPr="00DE12A3">
              <w:rPr>
                <w:sz w:val="14"/>
                <w:szCs w:val="14"/>
              </w:rPr>
              <w:t>9,466</w:t>
            </w:r>
          </w:p>
        </w:tc>
        <w:tc>
          <w:tcPr>
            <w:tcW w:w="464" w:type="dxa"/>
            <w:tcBorders>
              <w:top w:val="single" w:sz="2" w:space="0" w:color="auto"/>
              <w:left w:val="single" w:sz="2" w:space="0" w:color="auto"/>
              <w:bottom w:val="single" w:sz="2" w:space="0" w:color="auto"/>
              <w:right w:val="single" w:sz="2" w:space="0" w:color="auto"/>
            </w:tcBorders>
          </w:tcPr>
          <w:p w14:paraId="4F65C66E" w14:textId="77777777" w:rsidR="009F4766" w:rsidRPr="00DE12A3" w:rsidRDefault="009F4766" w:rsidP="00C917D6">
            <w:pPr>
              <w:pStyle w:val="NormalLeft"/>
              <w:rPr>
                <w:sz w:val="14"/>
                <w:szCs w:val="14"/>
              </w:rPr>
            </w:pPr>
            <w:r w:rsidRPr="00DE12A3">
              <w:rPr>
                <w:sz w:val="14"/>
                <w:szCs w:val="14"/>
              </w:rPr>
              <w:t>9,475</w:t>
            </w:r>
          </w:p>
        </w:tc>
        <w:tc>
          <w:tcPr>
            <w:tcW w:w="465" w:type="dxa"/>
            <w:tcBorders>
              <w:top w:val="single" w:sz="2" w:space="0" w:color="auto"/>
              <w:left w:val="single" w:sz="2" w:space="0" w:color="auto"/>
              <w:bottom w:val="single" w:sz="2" w:space="0" w:color="auto"/>
              <w:right w:val="single" w:sz="2" w:space="0" w:color="auto"/>
            </w:tcBorders>
          </w:tcPr>
          <w:p w14:paraId="0E7A3BF0" w14:textId="77777777" w:rsidR="009F4766" w:rsidRPr="00DE12A3" w:rsidRDefault="009F4766" w:rsidP="00C917D6">
            <w:pPr>
              <w:pStyle w:val="NormalLeft"/>
              <w:rPr>
                <w:sz w:val="14"/>
                <w:szCs w:val="14"/>
              </w:rPr>
            </w:pPr>
            <w:r w:rsidRPr="00DE12A3">
              <w:rPr>
                <w:sz w:val="14"/>
                <w:szCs w:val="14"/>
              </w:rPr>
              <w:t>9,483</w:t>
            </w:r>
          </w:p>
        </w:tc>
        <w:tc>
          <w:tcPr>
            <w:tcW w:w="464" w:type="dxa"/>
            <w:tcBorders>
              <w:top w:val="single" w:sz="2" w:space="0" w:color="auto"/>
              <w:left w:val="single" w:sz="2" w:space="0" w:color="auto"/>
              <w:bottom w:val="single" w:sz="2" w:space="0" w:color="auto"/>
              <w:right w:val="single" w:sz="2" w:space="0" w:color="auto"/>
            </w:tcBorders>
          </w:tcPr>
          <w:p w14:paraId="025A0EBA" w14:textId="77777777" w:rsidR="009F4766" w:rsidRPr="00DE12A3" w:rsidRDefault="009F4766" w:rsidP="00C917D6">
            <w:pPr>
              <w:pStyle w:val="NormalLeft"/>
              <w:rPr>
                <w:sz w:val="14"/>
                <w:szCs w:val="14"/>
              </w:rPr>
            </w:pPr>
            <w:r w:rsidRPr="00DE12A3">
              <w:rPr>
                <w:sz w:val="14"/>
                <w:szCs w:val="14"/>
              </w:rPr>
              <w:t>9,491</w:t>
            </w:r>
          </w:p>
        </w:tc>
      </w:tr>
      <w:tr w:rsidR="00DE12A3" w:rsidRPr="00DE12A3" w14:paraId="0E64D252" w14:textId="77777777" w:rsidTr="009F4766">
        <w:tc>
          <w:tcPr>
            <w:tcW w:w="464" w:type="dxa"/>
            <w:tcBorders>
              <w:top w:val="single" w:sz="2" w:space="0" w:color="auto"/>
              <w:left w:val="single" w:sz="2" w:space="0" w:color="auto"/>
              <w:bottom w:val="single" w:sz="2" w:space="0" w:color="auto"/>
              <w:right w:val="single" w:sz="2" w:space="0" w:color="auto"/>
            </w:tcBorders>
          </w:tcPr>
          <w:p w14:paraId="4732D151" w14:textId="77777777" w:rsidR="009F4766" w:rsidRPr="00DE12A3" w:rsidRDefault="009F4766" w:rsidP="00C917D6">
            <w:pPr>
              <w:pStyle w:val="NormalLeft"/>
              <w:rPr>
                <w:sz w:val="14"/>
                <w:szCs w:val="14"/>
              </w:rPr>
            </w:pPr>
            <w:r w:rsidRPr="00DE12A3">
              <w:rPr>
                <w:sz w:val="14"/>
                <w:szCs w:val="14"/>
              </w:rPr>
              <w:t>3</w:t>
            </w:r>
          </w:p>
        </w:tc>
        <w:tc>
          <w:tcPr>
            <w:tcW w:w="465" w:type="dxa"/>
            <w:tcBorders>
              <w:top w:val="single" w:sz="2" w:space="0" w:color="auto"/>
              <w:left w:val="single" w:sz="2" w:space="0" w:color="auto"/>
              <w:bottom w:val="single" w:sz="2" w:space="0" w:color="auto"/>
              <w:right w:val="single" w:sz="2" w:space="0" w:color="auto"/>
            </w:tcBorders>
          </w:tcPr>
          <w:p w14:paraId="0394E553" w14:textId="77777777" w:rsidR="009F4766" w:rsidRPr="00DE12A3" w:rsidRDefault="009F4766" w:rsidP="00C917D6">
            <w:pPr>
              <w:pStyle w:val="NormalLeft"/>
              <w:rPr>
                <w:sz w:val="14"/>
                <w:szCs w:val="14"/>
              </w:rPr>
            </w:pPr>
            <w:r w:rsidRPr="00DE12A3">
              <w:rPr>
                <w:sz w:val="14"/>
                <w:szCs w:val="14"/>
              </w:rPr>
              <w:t>5,538</w:t>
            </w:r>
          </w:p>
        </w:tc>
        <w:tc>
          <w:tcPr>
            <w:tcW w:w="464" w:type="dxa"/>
            <w:tcBorders>
              <w:top w:val="single" w:sz="2" w:space="0" w:color="auto"/>
              <w:left w:val="single" w:sz="2" w:space="0" w:color="auto"/>
              <w:bottom w:val="single" w:sz="2" w:space="0" w:color="auto"/>
              <w:right w:val="single" w:sz="2" w:space="0" w:color="auto"/>
            </w:tcBorders>
          </w:tcPr>
          <w:p w14:paraId="022E4CEA" w14:textId="77777777" w:rsidR="009F4766" w:rsidRPr="00DE12A3" w:rsidRDefault="009F4766" w:rsidP="00C917D6">
            <w:pPr>
              <w:pStyle w:val="NormalLeft"/>
              <w:rPr>
                <w:sz w:val="14"/>
                <w:szCs w:val="14"/>
              </w:rPr>
            </w:pPr>
            <w:r w:rsidRPr="00DE12A3">
              <w:rPr>
                <w:sz w:val="14"/>
                <w:szCs w:val="14"/>
              </w:rPr>
              <w:t>5,462</w:t>
            </w:r>
          </w:p>
        </w:tc>
        <w:tc>
          <w:tcPr>
            <w:tcW w:w="464" w:type="dxa"/>
            <w:tcBorders>
              <w:top w:val="single" w:sz="2" w:space="0" w:color="auto"/>
              <w:left w:val="single" w:sz="2" w:space="0" w:color="auto"/>
              <w:bottom w:val="single" w:sz="2" w:space="0" w:color="auto"/>
              <w:right w:val="single" w:sz="2" w:space="0" w:color="auto"/>
            </w:tcBorders>
          </w:tcPr>
          <w:p w14:paraId="4549637B" w14:textId="77777777" w:rsidR="009F4766" w:rsidRPr="00DE12A3" w:rsidRDefault="009F4766" w:rsidP="00C917D6">
            <w:pPr>
              <w:pStyle w:val="NormalLeft"/>
              <w:rPr>
                <w:sz w:val="14"/>
                <w:szCs w:val="14"/>
              </w:rPr>
            </w:pPr>
            <w:r w:rsidRPr="00DE12A3">
              <w:rPr>
                <w:sz w:val="14"/>
                <w:szCs w:val="14"/>
              </w:rPr>
              <w:t>5,391</w:t>
            </w:r>
          </w:p>
        </w:tc>
        <w:tc>
          <w:tcPr>
            <w:tcW w:w="465" w:type="dxa"/>
            <w:tcBorders>
              <w:top w:val="single" w:sz="2" w:space="0" w:color="auto"/>
              <w:left w:val="single" w:sz="2" w:space="0" w:color="auto"/>
              <w:bottom w:val="single" w:sz="2" w:space="0" w:color="auto"/>
              <w:right w:val="single" w:sz="2" w:space="0" w:color="auto"/>
            </w:tcBorders>
          </w:tcPr>
          <w:p w14:paraId="2B7A418D" w14:textId="77777777" w:rsidR="009F4766" w:rsidRPr="00DE12A3" w:rsidRDefault="009F4766" w:rsidP="00C917D6">
            <w:pPr>
              <w:pStyle w:val="NormalLeft"/>
              <w:rPr>
                <w:sz w:val="14"/>
                <w:szCs w:val="14"/>
              </w:rPr>
            </w:pPr>
            <w:r w:rsidRPr="00DE12A3">
              <w:rPr>
                <w:sz w:val="14"/>
                <w:szCs w:val="14"/>
              </w:rPr>
              <w:t>5,343</w:t>
            </w:r>
          </w:p>
        </w:tc>
        <w:tc>
          <w:tcPr>
            <w:tcW w:w="464" w:type="dxa"/>
            <w:tcBorders>
              <w:top w:val="single" w:sz="2" w:space="0" w:color="auto"/>
              <w:left w:val="single" w:sz="2" w:space="0" w:color="auto"/>
              <w:bottom w:val="single" w:sz="2" w:space="0" w:color="auto"/>
              <w:right w:val="single" w:sz="2" w:space="0" w:color="auto"/>
            </w:tcBorders>
          </w:tcPr>
          <w:p w14:paraId="0C317CDE" w14:textId="77777777" w:rsidR="009F4766" w:rsidRPr="00DE12A3" w:rsidRDefault="009F4766" w:rsidP="00C917D6">
            <w:pPr>
              <w:pStyle w:val="NormalLeft"/>
              <w:rPr>
                <w:sz w:val="14"/>
                <w:szCs w:val="14"/>
              </w:rPr>
            </w:pPr>
            <w:r w:rsidRPr="00DE12A3">
              <w:rPr>
                <w:sz w:val="14"/>
                <w:szCs w:val="14"/>
              </w:rPr>
              <w:t>5,309</w:t>
            </w:r>
          </w:p>
        </w:tc>
        <w:tc>
          <w:tcPr>
            <w:tcW w:w="464" w:type="dxa"/>
            <w:tcBorders>
              <w:top w:val="single" w:sz="2" w:space="0" w:color="auto"/>
              <w:left w:val="single" w:sz="2" w:space="0" w:color="auto"/>
              <w:bottom w:val="single" w:sz="2" w:space="0" w:color="auto"/>
              <w:right w:val="single" w:sz="2" w:space="0" w:color="auto"/>
            </w:tcBorders>
          </w:tcPr>
          <w:p w14:paraId="618FFE6E" w14:textId="77777777" w:rsidR="009F4766" w:rsidRPr="00DE12A3" w:rsidRDefault="009F4766" w:rsidP="00C917D6">
            <w:pPr>
              <w:pStyle w:val="NormalLeft"/>
              <w:rPr>
                <w:sz w:val="14"/>
                <w:szCs w:val="14"/>
              </w:rPr>
            </w:pPr>
            <w:r w:rsidRPr="00DE12A3">
              <w:rPr>
                <w:sz w:val="14"/>
                <w:szCs w:val="14"/>
              </w:rPr>
              <w:t>5,285</w:t>
            </w:r>
          </w:p>
        </w:tc>
        <w:tc>
          <w:tcPr>
            <w:tcW w:w="464" w:type="dxa"/>
            <w:tcBorders>
              <w:top w:val="single" w:sz="2" w:space="0" w:color="auto"/>
              <w:left w:val="single" w:sz="2" w:space="0" w:color="auto"/>
              <w:bottom w:val="single" w:sz="2" w:space="0" w:color="auto"/>
              <w:right w:val="single" w:sz="2" w:space="0" w:color="auto"/>
            </w:tcBorders>
          </w:tcPr>
          <w:p w14:paraId="6C209B20" w14:textId="77777777" w:rsidR="009F4766" w:rsidRPr="00DE12A3" w:rsidRDefault="009F4766" w:rsidP="00C917D6">
            <w:pPr>
              <w:pStyle w:val="NormalLeft"/>
              <w:rPr>
                <w:sz w:val="14"/>
                <w:szCs w:val="14"/>
              </w:rPr>
            </w:pPr>
            <w:r w:rsidRPr="00DE12A3">
              <w:rPr>
                <w:sz w:val="14"/>
                <w:szCs w:val="14"/>
              </w:rPr>
              <w:t>5,266</w:t>
            </w:r>
          </w:p>
        </w:tc>
        <w:tc>
          <w:tcPr>
            <w:tcW w:w="465" w:type="dxa"/>
            <w:tcBorders>
              <w:top w:val="single" w:sz="2" w:space="0" w:color="auto"/>
              <w:left w:val="single" w:sz="2" w:space="0" w:color="auto"/>
              <w:bottom w:val="single" w:sz="2" w:space="0" w:color="auto"/>
              <w:right w:val="single" w:sz="2" w:space="0" w:color="auto"/>
            </w:tcBorders>
          </w:tcPr>
          <w:p w14:paraId="39EBFA4F" w14:textId="77777777" w:rsidR="009F4766" w:rsidRPr="00DE12A3" w:rsidRDefault="009F4766" w:rsidP="00C917D6">
            <w:pPr>
              <w:pStyle w:val="NormalLeft"/>
              <w:rPr>
                <w:sz w:val="14"/>
                <w:szCs w:val="14"/>
              </w:rPr>
            </w:pPr>
            <w:r w:rsidRPr="00DE12A3">
              <w:rPr>
                <w:sz w:val="14"/>
                <w:szCs w:val="14"/>
              </w:rPr>
              <w:t>5,252</w:t>
            </w:r>
          </w:p>
        </w:tc>
        <w:tc>
          <w:tcPr>
            <w:tcW w:w="464" w:type="dxa"/>
            <w:tcBorders>
              <w:top w:val="single" w:sz="2" w:space="0" w:color="auto"/>
              <w:left w:val="single" w:sz="2" w:space="0" w:color="auto"/>
              <w:bottom w:val="single" w:sz="2" w:space="0" w:color="auto"/>
              <w:right w:val="single" w:sz="2" w:space="0" w:color="auto"/>
            </w:tcBorders>
          </w:tcPr>
          <w:p w14:paraId="2CEE80E4" w14:textId="77777777" w:rsidR="009F4766" w:rsidRPr="00DE12A3" w:rsidRDefault="009F4766" w:rsidP="00C917D6">
            <w:pPr>
              <w:pStyle w:val="NormalLeft"/>
              <w:rPr>
                <w:sz w:val="14"/>
                <w:szCs w:val="14"/>
              </w:rPr>
            </w:pPr>
            <w:r w:rsidRPr="00DE12A3">
              <w:rPr>
                <w:sz w:val="14"/>
                <w:szCs w:val="14"/>
              </w:rPr>
              <w:t>5,240</w:t>
            </w:r>
          </w:p>
        </w:tc>
        <w:tc>
          <w:tcPr>
            <w:tcW w:w="464" w:type="dxa"/>
            <w:tcBorders>
              <w:top w:val="single" w:sz="2" w:space="0" w:color="auto"/>
              <w:left w:val="single" w:sz="2" w:space="0" w:color="auto"/>
              <w:bottom w:val="single" w:sz="2" w:space="0" w:color="auto"/>
              <w:right w:val="single" w:sz="2" w:space="0" w:color="auto"/>
            </w:tcBorders>
          </w:tcPr>
          <w:p w14:paraId="54D37CA6" w14:textId="77777777" w:rsidR="009F4766" w:rsidRPr="00DE12A3" w:rsidRDefault="009F4766" w:rsidP="00C917D6">
            <w:pPr>
              <w:pStyle w:val="NormalLeft"/>
              <w:rPr>
                <w:sz w:val="14"/>
                <w:szCs w:val="14"/>
              </w:rPr>
            </w:pPr>
            <w:r w:rsidRPr="00DE12A3">
              <w:rPr>
                <w:sz w:val="14"/>
                <w:szCs w:val="14"/>
              </w:rPr>
              <w:t>5,230</w:t>
            </w:r>
          </w:p>
        </w:tc>
        <w:tc>
          <w:tcPr>
            <w:tcW w:w="465" w:type="dxa"/>
            <w:tcBorders>
              <w:top w:val="single" w:sz="2" w:space="0" w:color="auto"/>
              <w:left w:val="single" w:sz="2" w:space="0" w:color="auto"/>
              <w:bottom w:val="single" w:sz="2" w:space="0" w:color="auto"/>
              <w:right w:val="single" w:sz="2" w:space="0" w:color="auto"/>
            </w:tcBorders>
          </w:tcPr>
          <w:p w14:paraId="5061D3A1" w14:textId="77777777" w:rsidR="009F4766" w:rsidRPr="00DE12A3" w:rsidRDefault="009F4766" w:rsidP="00C917D6">
            <w:pPr>
              <w:pStyle w:val="NormalLeft"/>
              <w:rPr>
                <w:sz w:val="14"/>
                <w:szCs w:val="14"/>
              </w:rPr>
            </w:pPr>
            <w:r w:rsidRPr="00DE12A3">
              <w:rPr>
                <w:sz w:val="14"/>
                <w:szCs w:val="14"/>
              </w:rPr>
              <w:t>5,216</w:t>
            </w:r>
          </w:p>
        </w:tc>
        <w:tc>
          <w:tcPr>
            <w:tcW w:w="464" w:type="dxa"/>
            <w:tcBorders>
              <w:top w:val="single" w:sz="2" w:space="0" w:color="auto"/>
              <w:left w:val="single" w:sz="2" w:space="0" w:color="auto"/>
              <w:bottom w:val="single" w:sz="2" w:space="0" w:color="auto"/>
              <w:right w:val="single" w:sz="2" w:space="0" w:color="auto"/>
            </w:tcBorders>
          </w:tcPr>
          <w:p w14:paraId="5400B3D5" w14:textId="77777777" w:rsidR="009F4766" w:rsidRPr="00DE12A3" w:rsidRDefault="009F4766" w:rsidP="00C917D6">
            <w:pPr>
              <w:pStyle w:val="NormalLeft"/>
              <w:rPr>
                <w:sz w:val="14"/>
                <w:szCs w:val="14"/>
              </w:rPr>
            </w:pPr>
            <w:r w:rsidRPr="00DE12A3">
              <w:rPr>
                <w:sz w:val="14"/>
                <w:szCs w:val="14"/>
              </w:rPr>
              <w:t>5,200</w:t>
            </w:r>
          </w:p>
        </w:tc>
        <w:tc>
          <w:tcPr>
            <w:tcW w:w="464" w:type="dxa"/>
            <w:tcBorders>
              <w:top w:val="single" w:sz="2" w:space="0" w:color="auto"/>
              <w:left w:val="single" w:sz="2" w:space="0" w:color="auto"/>
              <w:bottom w:val="single" w:sz="2" w:space="0" w:color="auto"/>
              <w:right w:val="single" w:sz="2" w:space="0" w:color="auto"/>
            </w:tcBorders>
          </w:tcPr>
          <w:p w14:paraId="39FFE53F" w14:textId="77777777" w:rsidR="009F4766" w:rsidRPr="00DE12A3" w:rsidRDefault="009F4766" w:rsidP="00C917D6">
            <w:pPr>
              <w:pStyle w:val="NormalLeft"/>
              <w:rPr>
                <w:sz w:val="14"/>
                <w:szCs w:val="14"/>
              </w:rPr>
            </w:pPr>
            <w:r w:rsidRPr="00DE12A3">
              <w:rPr>
                <w:sz w:val="14"/>
                <w:szCs w:val="14"/>
              </w:rPr>
              <w:t>5,184</w:t>
            </w:r>
          </w:p>
        </w:tc>
        <w:tc>
          <w:tcPr>
            <w:tcW w:w="465" w:type="dxa"/>
            <w:tcBorders>
              <w:top w:val="single" w:sz="2" w:space="0" w:color="auto"/>
              <w:left w:val="single" w:sz="2" w:space="0" w:color="auto"/>
              <w:bottom w:val="single" w:sz="2" w:space="0" w:color="auto"/>
              <w:right w:val="single" w:sz="2" w:space="0" w:color="auto"/>
            </w:tcBorders>
          </w:tcPr>
          <w:p w14:paraId="290A66D3" w14:textId="77777777" w:rsidR="009F4766" w:rsidRPr="00DE12A3" w:rsidRDefault="009F4766" w:rsidP="00C917D6">
            <w:pPr>
              <w:pStyle w:val="NormalLeft"/>
              <w:rPr>
                <w:sz w:val="14"/>
                <w:szCs w:val="14"/>
              </w:rPr>
            </w:pPr>
            <w:r w:rsidRPr="00DE12A3">
              <w:rPr>
                <w:sz w:val="14"/>
                <w:szCs w:val="14"/>
              </w:rPr>
              <w:t>5,176</w:t>
            </w:r>
          </w:p>
        </w:tc>
        <w:tc>
          <w:tcPr>
            <w:tcW w:w="464" w:type="dxa"/>
            <w:tcBorders>
              <w:top w:val="single" w:sz="2" w:space="0" w:color="auto"/>
              <w:left w:val="single" w:sz="2" w:space="0" w:color="auto"/>
              <w:bottom w:val="single" w:sz="2" w:space="0" w:color="auto"/>
              <w:right w:val="single" w:sz="2" w:space="0" w:color="auto"/>
            </w:tcBorders>
          </w:tcPr>
          <w:p w14:paraId="0F176454" w14:textId="77777777" w:rsidR="009F4766" w:rsidRPr="00DE12A3" w:rsidRDefault="009F4766" w:rsidP="00C917D6">
            <w:pPr>
              <w:pStyle w:val="NormalLeft"/>
              <w:rPr>
                <w:sz w:val="14"/>
                <w:szCs w:val="14"/>
              </w:rPr>
            </w:pPr>
            <w:r w:rsidRPr="00DE12A3">
              <w:rPr>
                <w:sz w:val="14"/>
                <w:szCs w:val="14"/>
              </w:rPr>
              <w:t>5,168</w:t>
            </w:r>
          </w:p>
        </w:tc>
        <w:tc>
          <w:tcPr>
            <w:tcW w:w="464" w:type="dxa"/>
            <w:tcBorders>
              <w:top w:val="single" w:sz="2" w:space="0" w:color="auto"/>
              <w:left w:val="single" w:sz="2" w:space="0" w:color="auto"/>
              <w:bottom w:val="single" w:sz="2" w:space="0" w:color="auto"/>
              <w:right w:val="single" w:sz="2" w:space="0" w:color="auto"/>
            </w:tcBorders>
          </w:tcPr>
          <w:p w14:paraId="0F709C6C" w14:textId="77777777" w:rsidR="009F4766" w:rsidRPr="00DE12A3" w:rsidRDefault="009F4766" w:rsidP="00C917D6">
            <w:pPr>
              <w:pStyle w:val="NormalLeft"/>
              <w:rPr>
                <w:sz w:val="14"/>
                <w:szCs w:val="14"/>
              </w:rPr>
            </w:pPr>
            <w:r w:rsidRPr="00DE12A3">
              <w:rPr>
                <w:sz w:val="14"/>
                <w:szCs w:val="14"/>
              </w:rPr>
              <w:t>5,160</w:t>
            </w:r>
          </w:p>
        </w:tc>
        <w:tc>
          <w:tcPr>
            <w:tcW w:w="464" w:type="dxa"/>
            <w:tcBorders>
              <w:top w:val="single" w:sz="2" w:space="0" w:color="auto"/>
              <w:left w:val="single" w:sz="2" w:space="0" w:color="auto"/>
              <w:bottom w:val="single" w:sz="2" w:space="0" w:color="auto"/>
              <w:right w:val="single" w:sz="2" w:space="0" w:color="auto"/>
            </w:tcBorders>
          </w:tcPr>
          <w:p w14:paraId="6E2D8DA9" w14:textId="77777777" w:rsidR="009F4766" w:rsidRPr="00DE12A3" w:rsidRDefault="009F4766" w:rsidP="00C917D6">
            <w:pPr>
              <w:pStyle w:val="NormalLeft"/>
              <w:rPr>
                <w:sz w:val="14"/>
                <w:szCs w:val="14"/>
              </w:rPr>
            </w:pPr>
            <w:r w:rsidRPr="00DE12A3">
              <w:rPr>
                <w:sz w:val="14"/>
                <w:szCs w:val="14"/>
              </w:rPr>
              <w:t>5,151</w:t>
            </w:r>
          </w:p>
        </w:tc>
        <w:tc>
          <w:tcPr>
            <w:tcW w:w="465" w:type="dxa"/>
            <w:tcBorders>
              <w:top w:val="single" w:sz="2" w:space="0" w:color="auto"/>
              <w:left w:val="single" w:sz="2" w:space="0" w:color="auto"/>
              <w:bottom w:val="single" w:sz="2" w:space="0" w:color="auto"/>
              <w:right w:val="single" w:sz="2" w:space="0" w:color="auto"/>
            </w:tcBorders>
          </w:tcPr>
          <w:p w14:paraId="64A06F99" w14:textId="77777777" w:rsidR="009F4766" w:rsidRPr="00DE12A3" w:rsidRDefault="009F4766" w:rsidP="00C917D6">
            <w:pPr>
              <w:pStyle w:val="NormalLeft"/>
              <w:rPr>
                <w:sz w:val="14"/>
                <w:szCs w:val="14"/>
              </w:rPr>
            </w:pPr>
            <w:r w:rsidRPr="00DE12A3">
              <w:rPr>
                <w:sz w:val="14"/>
                <w:szCs w:val="14"/>
              </w:rPr>
              <w:t>5,143</w:t>
            </w:r>
          </w:p>
        </w:tc>
        <w:tc>
          <w:tcPr>
            <w:tcW w:w="464" w:type="dxa"/>
            <w:tcBorders>
              <w:top w:val="single" w:sz="2" w:space="0" w:color="auto"/>
              <w:left w:val="single" w:sz="2" w:space="0" w:color="auto"/>
              <w:bottom w:val="single" w:sz="2" w:space="0" w:color="auto"/>
              <w:right w:val="single" w:sz="2" w:space="0" w:color="auto"/>
            </w:tcBorders>
          </w:tcPr>
          <w:p w14:paraId="79E62D4D" w14:textId="77777777" w:rsidR="009F4766" w:rsidRPr="00DE12A3" w:rsidRDefault="009F4766" w:rsidP="00C917D6">
            <w:pPr>
              <w:pStyle w:val="NormalLeft"/>
              <w:rPr>
                <w:sz w:val="14"/>
                <w:szCs w:val="14"/>
              </w:rPr>
            </w:pPr>
            <w:r w:rsidRPr="00DE12A3">
              <w:rPr>
                <w:sz w:val="14"/>
                <w:szCs w:val="14"/>
              </w:rPr>
              <w:t>5,134</w:t>
            </w:r>
          </w:p>
        </w:tc>
      </w:tr>
      <w:tr w:rsidR="00DE12A3" w:rsidRPr="00DE12A3" w14:paraId="6C4EB945" w14:textId="77777777" w:rsidTr="009F4766">
        <w:tc>
          <w:tcPr>
            <w:tcW w:w="464" w:type="dxa"/>
            <w:tcBorders>
              <w:top w:val="single" w:sz="2" w:space="0" w:color="auto"/>
              <w:left w:val="single" w:sz="2" w:space="0" w:color="auto"/>
              <w:bottom w:val="single" w:sz="2" w:space="0" w:color="auto"/>
              <w:right w:val="single" w:sz="2" w:space="0" w:color="auto"/>
            </w:tcBorders>
          </w:tcPr>
          <w:p w14:paraId="4CE54444" w14:textId="77777777" w:rsidR="009F4766" w:rsidRPr="00DE12A3" w:rsidRDefault="009F4766" w:rsidP="00C917D6">
            <w:pPr>
              <w:pStyle w:val="NormalLeft"/>
              <w:rPr>
                <w:sz w:val="14"/>
                <w:szCs w:val="14"/>
              </w:rPr>
            </w:pPr>
            <w:r w:rsidRPr="00DE12A3">
              <w:rPr>
                <w:sz w:val="14"/>
                <w:szCs w:val="14"/>
              </w:rPr>
              <w:t>4</w:t>
            </w:r>
          </w:p>
        </w:tc>
        <w:tc>
          <w:tcPr>
            <w:tcW w:w="465" w:type="dxa"/>
            <w:tcBorders>
              <w:top w:val="single" w:sz="2" w:space="0" w:color="auto"/>
              <w:left w:val="single" w:sz="2" w:space="0" w:color="auto"/>
              <w:bottom w:val="single" w:sz="2" w:space="0" w:color="auto"/>
              <w:right w:val="single" w:sz="2" w:space="0" w:color="auto"/>
            </w:tcBorders>
          </w:tcPr>
          <w:p w14:paraId="1278D28D" w14:textId="77777777" w:rsidR="009F4766" w:rsidRPr="00DE12A3" w:rsidRDefault="009F4766" w:rsidP="00C917D6">
            <w:pPr>
              <w:pStyle w:val="NormalLeft"/>
              <w:rPr>
                <w:sz w:val="14"/>
                <w:szCs w:val="14"/>
              </w:rPr>
            </w:pPr>
            <w:r w:rsidRPr="00DE12A3">
              <w:rPr>
                <w:sz w:val="14"/>
                <w:szCs w:val="14"/>
              </w:rPr>
              <w:t>4,545</w:t>
            </w:r>
          </w:p>
        </w:tc>
        <w:tc>
          <w:tcPr>
            <w:tcW w:w="464" w:type="dxa"/>
            <w:tcBorders>
              <w:top w:val="single" w:sz="2" w:space="0" w:color="auto"/>
              <w:left w:val="single" w:sz="2" w:space="0" w:color="auto"/>
              <w:bottom w:val="single" w:sz="2" w:space="0" w:color="auto"/>
              <w:right w:val="single" w:sz="2" w:space="0" w:color="auto"/>
            </w:tcBorders>
          </w:tcPr>
          <w:p w14:paraId="403229A3" w14:textId="77777777" w:rsidR="009F4766" w:rsidRPr="00DE12A3" w:rsidRDefault="009F4766" w:rsidP="00C917D6">
            <w:pPr>
              <w:pStyle w:val="NormalLeft"/>
              <w:rPr>
                <w:sz w:val="14"/>
                <w:szCs w:val="14"/>
              </w:rPr>
            </w:pPr>
            <w:r w:rsidRPr="00DE12A3">
              <w:rPr>
                <w:sz w:val="14"/>
                <w:szCs w:val="14"/>
              </w:rPr>
              <w:t>4,325</w:t>
            </w:r>
          </w:p>
        </w:tc>
        <w:tc>
          <w:tcPr>
            <w:tcW w:w="464" w:type="dxa"/>
            <w:tcBorders>
              <w:top w:val="single" w:sz="2" w:space="0" w:color="auto"/>
              <w:left w:val="single" w:sz="2" w:space="0" w:color="auto"/>
              <w:bottom w:val="single" w:sz="2" w:space="0" w:color="auto"/>
              <w:right w:val="single" w:sz="2" w:space="0" w:color="auto"/>
            </w:tcBorders>
          </w:tcPr>
          <w:p w14:paraId="5F7437D1" w14:textId="77777777" w:rsidR="009F4766" w:rsidRPr="00DE12A3" w:rsidRDefault="009F4766" w:rsidP="00C917D6">
            <w:pPr>
              <w:pStyle w:val="NormalLeft"/>
              <w:rPr>
                <w:sz w:val="14"/>
                <w:szCs w:val="14"/>
              </w:rPr>
            </w:pPr>
            <w:r w:rsidRPr="00DE12A3">
              <w:rPr>
                <w:sz w:val="14"/>
                <w:szCs w:val="14"/>
              </w:rPr>
              <w:t>4,191</w:t>
            </w:r>
          </w:p>
        </w:tc>
        <w:tc>
          <w:tcPr>
            <w:tcW w:w="465" w:type="dxa"/>
            <w:tcBorders>
              <w:top w:val="single" w:sz="2" w:space="0" w:color="auto"/>
              <w:left w:val="single" w:sz="2" w:space="0" w:color="auto"/>
              <w:bottom w:val="single" w:sz="2" w:space="0" w:color="auto"/>
              <w:right w:val="single" w:sz="2" w:space="0" w:color="auto"/>
            </w:tcBorders>
          </w:tcPr>
          <w:p w14:paraId="088E3275" w14:textId="77777777" w:rsidR="009F4766" w:rsidRPr="00DE12A3" w:rsidRDefault="009F4766" w:rsidP="00C917D6">
            <w:pPr>
              <w:pStyle w:val="NormalLeft"/>
              <w:rPr>
                <w:sz w:val="14"/>
                <w:szCs w:val="14"/>
              </w:rPr>
            </w:pPr>
            <w:r w:rsidRPr="00DE12A3">
              <w:rPr>
                <w:sz w:val="14"/>
                <w:szCs w:val="14"/>
              </w:rPr>
              <w:t>4,107</w:t>
            </w:r>
          </w:p>
        </w:tc>
        <w:tc>
          <w:tcPr>
            <w:tcW w:w="464" w:type="dxa"/>
            <w:tcBorders>
              <w:top w:val="single" w:sz="2" w:space="0" w:color="auto"/>
              <w:left w:val="single" w:sz="2" w:space="0" w:color="auto"/>
              <w:bottom w:val="single" w:sz="2" w:space="0" w:color="auto"/>
              <w:right w:val="single" w:sz="2" w:space="0" w:color="auto"/>
            </w:tcBorders>
          </w:tcPr>
          <w:p w14:paraId="52326AB3" w14:textId="77777777" w:rsidR="009F4766" w:rsidRPr="00DE12A3" w:rsidRDefault="009F4766" w:rsidP="00C917D6">
            <w:pPr>
              <w:pStyle w:val="NormalLeft"/>
              <w:rPr>
                <w:sz w:val="14"/>
                <w:szCs w:val="14"/>
              </w:rPr>
            </w:pPr>
            <w:r w:rsidRPr="00DE12A3">
              <w:rPr>
                <w:sz w:val="14"/>
                <w:szCs w:val="14"/>
              </w:rPr>
              <w:t>4,051</w:t>
            </w:r>
          </w:p>
        </w:tc>
        <w:tc>
          <w:tcPr>
            <w:tcW w:w="464" w:type="dxa"/>
            <w:tcBorders>
              <w:top w:val="single" w:sz="2" w:space="0" w:color="auto"/>
              <w:left w:val="single" w:sz="2" w:space="0" w:color="auto"/>
              <w:bottom w:val="single" w:sz="2" w:space="0" w:color="auto"/>
              <w:right w:val="single" w:sz="2" w:space="0" w:color="auto"/>
            </w:tcBorders>
          </w:tcPr>
          <w:p w14:paraId="733437B5" w14:textId="77777777" w:rsidR="009F4766" w:rsidRPr="00DE12A3" w:rsidRDefault="009F4766" w:rsidP="00C917D6">
            <w:pPr>
              <w:pStyle w:val="NormalLeft"/>
              <w:rPr>
                <w:sz w:val="14"/>
                <w:szCs w:val="14"/>
              </w:rPr>
            </w:pPr>
            <w:r w:rsidRPr="00DE12A3">
              <w:rPr>
                <w:sz w:val="14"/>
                <w:szCs w:val="14"/>
              </w:rPr>
              <w:t>4,010</w:t>
            </w:r>
          </w:p>
        </w:tc>
        <w:tc>
          <w:tcPr>
            <w:tcW w:w="464" w:type="dxa"/>
            <w:tcBorders>
              <w:top w:val="single" w:sz="2" w:space="0" w:color="auto"/>
              <w:left w:val="single" w:sz="2" w:space="0" w:color="auto"/>
              <w:bottom w:val="single" w:sz="2" w:space="0" w:color="auto"/>
              <w:right w:val="single" w:sz="2" w:space="0" w:color="auto"/>
            </w:tcBorders>
          </w:tcPr>
          <w:p w14:paraId="3549FD10" w14:textId="77777777" w:rsidR="009F4766" w:rsidRPr="00DE12A3" w:rsidRDefault="009F4766" w:rsidP="00C917D6">
            <w:pPr>
              <w:pStyle w:val="NormalLeft"/>
              <w:rPr>
                <w:sz w:val="14"/>
                <w:szCs w:val="14"/>
              </w:rPr>
            </w:pPr>
            <w:r w:rsidRPr="00DE12A3">
              <w:rPr>
                <w:sz w:val="14"/>
                <w:szCs w:val="14"/>
              </w:rPr>
              <w:t>3,979</w:t>
            </w:r>
          </w:p>
        </w:tc>
        <w:tc>
          <w:tcPr>
            <w:tcW w:w="465" w:type="dxa"/>
            <w:tcBorders>
              <w:top w:val="single" w:sz="2" w:space="0" w:color="auto"/>
              <w:left w:val="single" w:sz="2" w:space="0" w:color="auto"/>
              <w:bottom w:val="single" w:sz="2" w:space="0" w:color="auto"/>
              <w:right w:val="single" w:sz="2" w:space="0" w:color="auto"/>
            </w:tcBorders>
          </w:tcPr>
          <w:p w14:paraId="727E0E46" w14:textId="77777777" w:rsidR="009F4766" w:rsidRPr="00DE12A3" w:rsidRDefault="009F4766" w:rsidP="00C917D6">
            <w:pPr>
              <w:pStyle w:val="NormalLeft"/>
              <w:rPr>
                <w:sz w:val="14"/>
                <w:szCs w:val="14"/>
              </w:rPr>
            </w:pPr>
            <w:r w:rsidRPr="00DE12A3">
              <w:rPr>
                <w:sz w:val="14"/>
                <w:szCs w:val="14"/>
              </w:rPr>
              <w:t>3,955</w:t>
            </w:r>
          </w:p>
        </w:tc>
        <w:tc>
          <w:tcPr>
            <w:tcW w:w="464" w:type="dxa"/>
            <w:tcBorders>
              <w:top w:val="single" w:sz="2" w:space="0" w:color="auto"/>
              <w:left w:val="single" w:sz="2" w:space="0" w:color="auto"/>
              <w:bottom w:val="single" w:sz="2" w:space="0" w:color="auto"/>
              <w:right w:val="single" w:sz="2" w:space="0" w:color="auto"/>
            </w:tcBorders>
          </w:tcPr>
          <w:p w14:paraId="68F68DDC" w14:textId="77777777" w:rsidR="009F4766" w:rsidRPr="00DE12A3" w:rsidRDefault="009F4766" w:rsidP="00C917D6">
            <w:pPr>
              <w:pStyle w:val="NormalLeft"/>
              <w:rPr>
                <w:sz w:val="14"/>
                <w:szCs w:val="14"/>
              </w:rPr>
            </w:pPr>
            <w:r w:rsidRPr="00DE12A3">
              <w:rPr>
                <w:sz w:val="14"/>
                <w:szCs w:val="14"/>
              </w:rPr>
              <w:t>3,936</w:t>
            </w:r>
          </w:p>
        </w:tc>
        <w:tc>
          <w:tcPr>
            <w:tcW w:w="464" w:type="dxa"/>
            <w:tcBorders>
              <w:top w:val="single" w:sz="2" w:space="0" w:color="auto"/>
              <w:left w:val="single" w:sz="2" w:space="0" w:color="auto"/>
              <w:bottom w:val="single" w:sz="2" w:space="0" w:color="auto"/>
              <w:right w:val="single" w:sz="2" w:space="0" w:color="auto"/>
            </w:tcBorders>
          </w:tcPr>
          <w:p w14:paraId="55AD29A1" w14:textId="77777777" w:rsidR="009F4766" w:rsidRPr="00DE12A3" w:rsidRDefault="009F4766" w:rsidP="00C917D6">
            <w:pPr>
              <w:pStyle w:val="NormalLeft"/>
              <w:rPr>
                <w:sz w:val="14"/>
                <w:szCs w:val="14"/>
              </w:rPr>
            </w:pPr>
            <w:r w:rsidRPr="00DE12A3">
              <w:rPr>
                <w:sz w:val="14"/>
                <w:szCs w:val="14"/>
              </w:rPr>
              <w:t>3,920</w:t>
            </w:r>
          </w:p>
        </w:tc>
        <w:tc>
          <w:tcPr>
            <w:tcW w:w="465" w:type="dxa"/>
            <w:tcBorders>
              <w:top w:val="single" w:sz="2" w:space="0" w:color="auto"/>
              <w:left w:val="single" w:sz="2" w:space="0" w:color="auto"/>
              <w:bottom w:val="single" w:sz="2" w:space="0" w:color="auto"/>
              <w:right w:val="single" w:sz="2" w:space="0" w:color="auto"/>
            </w:tcBorders>
          </w:tcPr>
          <w:p w14:paraId="6F22F73A" w14:textId="77777777" w:rsidR="009F4766" w:rsidRPr="00DE12A3" w:rsidRDefault="009F4766" w:rsidP="00C917D6">
            <w:pPr>
              <w:pStyle w:val="NormalLeft"/>
              <w:rPr>
                <w:sz w:val="14"/>
                <w:szCs w:val="14"/>
              </w:rPr>
            </w:pPr>
            <w:r w:rsidRPr="00DE12A3">
              <w:rPr>
                <w:sz w:val="14"/>
                <w:szCs w:val="14"/>
              </w:rPr>
              <w:t>3,896</w:t>
            </w:r>
          </w:p>
        </w:tc>
        <w:tc>
          <w:tcPr>
            <w:tcW w:w="464" w:type="dxa"/>
            <w:tcBorders>
              <w:top w:val="single" w:sz="2" w:space="0" w:color="auto"/>
              <w:left w:val="single" w:sz="2" w:space="0" w:color="auto"/>
              <w:bottom w:val="single" w:sz="2" w:space="0" w:color="auto"/>
              <w:right w:val="single" w:sz="2" w:space="0" w:color="auto"/>
            </w:tcBorders>
          </w:tcPr>
          <w:p w14:paraId="2B7361EF" w14:textId="77777777" w:rsidR="009F4766" w:rsidRPr="00DE12A3" w:rsidRDefault="009F4766" w:rsidP="00C917D6">
            <w:pPr>
              <w:pStyle w:val="NormalLeft"/>
              <w:rPr>
                <w:sz w:val="14"/>
                <w:szCs w:val="14"/>
              </w:rPr>
            </w:pPr>
            <w:r w:rsidRPr="00DE12A3">
              <w:rPr>
                <w:sz w:val="14"/>
                <w:szCs w:val="14"/>
              </w:rPr>
              <w:t>3,870</w:t>
            </w:r>
          </w:p>
        </w:tc>
        <w:tc>
          <w:tcPr>
            <w:tcW w:w="464" w:type="dxa"/>
            <w:tcBorders>
              <w:top w:val="single" w:sz="2" w:space="0" w:color="auto"/>
              <w:left w:val="single" w:sz="2" w:space="0" w:color="auto"/>
              <w:bottom w:val="single" w:sz="2" w:space="0" w:color="auto"/>
              <w:right w:val="single" w:sz="2" w:space="0" w:color="auto"/>
            </w:tcBorders>
          </w:tcPr>
          <w:p w14:paraId="0480DD07" w14:textId="77777777" w:rsidR="009F4766" w:rsidRPr="00DE12A3" w:rsidRDefault="009F4766" w:rsidP="00C917D6">
            <w:pPr>
              <w:pStyle w:val="NormalLeft"/>
              <w:rPr>
                <w:sz w:val="14"/>
                <w:szCs w:val="14"/>
              </w:rPr>
            </w:pPr>
            <w:r w:rsidRPr="00DE12A3">
              <w:rPr>
                <w:sz w:val="14"/>
                <w:szCs w:val="14"/>
              </w:rPr>
              <w:t>3,844</w:t>
            </w:r>
          </w:p>
        </w:tc>
        <w:tc>
          <w:tcPr>
            <w:tcW w:w="465" w:type="dxa"/>
            <w:tcBorders>
              <w:top w:val="single" w:sz="2" w:space="0" w:color="auto"/>
              <w:left w:val="single" w:sz="2" w:space="0" w:color="auto"/>
              <w:bottom w:val="single" w:sz="2" w:space="0" w:color="auto"/>
              <w:right w:val="single" w:sz="2" w:space="0" w:color="auto"/>
            </w:tcBorders>
          </w:tcPr>
          <w:p w14:paraId="5EAC08CB" w14:textId="77777777" w:rsidR="009F4766" w:rsidRPr="00DE12A3" w:rsidRDefault="009F4766" w:rsidP="00C917D6">
            <w:pPr>
              <w:pStyle w:val="NormalLeft"/>
              <w:rPr>
                <w:sz w:val="14"/>
                <w:szCs w:val="14"/>
              </w:rPr>
            </w:pPr>
            <w:r w:rsidRPr="00DE12A3">
              <w:rPr>
                <w:sz w:val="14"/>
                <w:szCs w:val="14"/>
              </w:rPr>
              <w:t>3,831</w:t>
            </w:r>
          </w:p>
        </w:tc>
        <w:tc>
          <w:tcPr>
            <w:tcW w:w="464" w:type="dxa"/>
            <w:tcBorders>
              <w:top w:val="single" w:sz="2" w:space="0" w:color="auto"/>
              <w:left w:val="single" w:sz="2" w:space="0" w:color="auto"/>
              <w:bottom w:val="single" w:sz="2" w:space="0" w:color="auto"/>
              <w:right w:val="single" w:sz="2" w:space="0" w:color="auto"/>
            </w:tcBorders>
          </w:tcPr>
          <w:p w14:paraId="08DA36E1" w14:textId="77777777" w:rsidR="009F4766" w:rsidRPr="00DE12A3" w:rsidRDefault="009F4766" w:rsidP="00C917D6">
            <w:pPr>
              <w:pStyle w:val="NormalLeft"/>
              <w:rPr>
                <w:sz w:val="14"/>
                <w:szCs w:val="14"/>
              </w:rPr>
            </w:pPr>
            <w:r w:rsidRPr="00DE12A3">
              <w:rPr>
                <w:sz w:val="14"/>
                <w:szCs w:val="14"/>
              </w:rPr>
              <w:t>3,817</w:t>
            </w:r>
          </w:p>
        </w:tc>
        <w:tc>
          <w:tcPr>
            <w:tcW w:w="464" w:type="dxa"/>
            <w:tcBorders>
              <w:top w:val="single" w:sz="2" w:space="0" w:color="auto"/>
              <w:left w:val="single" w:sz="2" w:space="0" w:color="auto"/>
              <w:bottom w:val="single" w:sz="2" w:space="0" w:color="auto"/>
              <w:right w:val="single" w:sz="2" w:space="0" w:color="auto"/>
            </w:tcBorders>
          </w:tcPr>
          <w:p w14:paraId="36781521" w14:textId="77777777" w:rsidR="009F4766" w:rsidRPr="00DE12A3" w:rsidRDefault="009F4766" w:rsidP="00C917D6">
            <w:pPr>
              <w:pStyle w:val="NormalLeft"/>
              <w:rPr>
                <w:sz w:val="14"/>
                <w:szCs w:val="14"/>
              </w:rPr>
            </w:pPr>
            <w:r w:rsidRPr="00DE12A3">
              <w:rPr>
                <w:sz w:val="14"/>
                <w:szCs w:val="14"/>
              </w:rPr>
              <w:t>3,804</w:t>
            </w:r>
          </w:p>
        </w:tc>
        <w:tc>
          <w:tcPr>
            <w:tcW w:w="464" w:type="dxa"/>
            <w:tcBorders>
              <w:top w:val="single" w:sz="2" w:space="0" w:color="auto"/>
              <w:left w:val="single" w:sz="2" w:space="0" w:color="auto"/>
              <w:bottom w:val="single" w:sz="2" w:space="0" w:color="auto"/>
              <w:right w:val="single" w:sz="2" w:space="0" w:color="auto"/>
            </w:tcBorders>
          </w:tcPr>
          <w:p w14:paraId="37CF6017" w14:textId="77777777" w:rsidR="009F4766" w:rsidRPr="00DE12A3" w:rsidRDefault="009F4766" w:rsidP="00C917D6">
            <w:pPr>
              <w:pStyle w:val="NormalLeft"/>
              <w:rPr>
                <w:sz w:val="14"/>
                <w:szCs w:val="14"/>
              </w:rPr>
            </w:pPr>
            <w:r w:rsidRPr="00DE12A3">
              <w:rPr>
                <w:sz w:val="14"/>
                <w:szCs w:val="14"/>
              </w:rPr>
              <w:t>3,790</w:t>
            </w:r>
          </w:p>
        </w:tc>
        <w:tc>
          <w:tcPr>
            <w:tcW w:w="465" w:type="dxa"/>
            <w:tcBorders>
              <w:top w:val="single" w:sz="2" w:space="0" w:color="auto"/>
              <w:left w:val="single" w:sz="2" w:space="0" w:color="auto"/>
              <w:bottom w:val="single" w:sz="2" w:space="0" w:color="auto"/>
              <w:right w:val="single" w:sz="2" w:space="0" w:color="auto"/>
            </w:tcBorders>
          </w:tcPr>
          <w:p w14:paraId="29A628AD" w14:textId="77777777" w:rsidR="009F4766" w:rsidRPr="00DE12A3" w:rsidRDefault="009F4766" w:rsidP="00C917D6">
            <w:pPr>
              <w:pStyle w:val="NormalLeft"/>
              <w:rPr>
                <w:sz w:val="14"/>
                <w:szCs w:val="14"/>
              </w:rPr>
            </w:pPr>
            <w:r w:rsidRPr="00DE12A3">
              <w:rPr>
                <w:sz w:val="14"/>
                <w:szCs w:val="14"/>
              </w:rPr>
              <w:t>3,775</w:t>
            </w:r>
          </w:p>
        </w:tc>
        <w:tc>
          <w:tcPr>
            <w:tcW w:w="464" w:type="dxa"/>
            <w:tcBorders>
              <w:top w:val="single" w:sz="2" w:space="0" w:color="auto"/>
              <w:left w:val="single" w:sz="2" w:space="0" w:color="auto"/>
              <w:bottom w:val="single" w:sz="2" w:space="0" w:color="auto"/>
              <w:right w:val="single" w:sz="2" w:space="0" w:color="auto"/>
            </w:tcBorders>
          </w:tcPr>
          <w:p w14:paraId="667331EA" w14:textId="77777777" w:rsidR="009F4766" w:rsidRPr="00DE12A3" w:rsidRDefault="009F4766" w:rsidP="00C917D6">
            <w:pPr>
              <w:pStyle w:val="NormalLeft"/>
              <w:rPr>
                <w:sz w:val="14"/>
                <w:szCs w:val="14"/>
              </w:rPr>
            </w:pPr>
            <w:r w:rsidRPr="00DE12A3">
              <w:rPr>
                <w:sz w:val="14"/>
                <w:szCs w:val="14"/>
              </w:rPr>
              <w:t>3,761</w:t>
            </w:r>
          </w:p>
        </w:tc>
      </w:tr>
      <w:tr w:rsidR="00DE12A3" w:rsidRPr="00DE12A3" w14:paraId="5A5CEC48" w14:textId="77777777" w:rsidTr="009F4766">
        <w:tc>
          <w:tcPr>
            <w:tcW w:w="464" w:type="dxa"/>
            <w:tcBorders>
              <w:top w:val="single" w:sz="2" w:space="0" w:color="auto"/>
              <w:left w:val="single" w:sz="2" w:space="0" w:color="auto"/>
              <w:bottom w:val="single" w:sz="2" w:space="0" w:color="auto"/>
              <w:right w:val="single" w:sz="2" w:space="0" w:color="auto"/>
            </w:tcBorders>
          </w:tcPr>
          <w:p w14:paraId="23266F0C" w14:textId="77777777" w:rsidR="009F4766" w:rsidRPr="00DE12A3" w:rsidRDefault="009F4766" w:rsidP="00C917D6">
            <w:pPr>
              <w:pStyle w:val="NormalLeft"/>
              <w:rPr>
                <w:sz w:val="14"/>
                <w:szCs w:val="14"/>
              </w:rPr>
            </w:pPr>
            <w:r w:rsidRPr="00DE12A3">
              <w:rPr>
                <w:sz w:val="14"/>
                <w:szCs w:val="14"/>
              </w:rPr>
              <w:t>5</w:t>
            </w:r>
          </w:p>
        </w:tc>
        <w:tc>
          <w:tcPr>
            <w:tcW w:w="465" w:type="dxa"/>
            <w:tcBorders>
              <w:top w:val="single" w:sz="2" w:space="0" w:color="auto"/>
              <w:left w:val="single" w:sz="2" w:space="0" w:color="auto"/>
              <w:bottom w:val="single" w:sz="2" w:space="0" w:color="auto"/>
              <w:right w:val="single" w:sz="2" w:space="0" w:color="auto"/>
            </w:tcBorders>
          </w:tcPr>
          <w:p w14:paraId="147EF741" w14:textId="77777777" w:rsidR="009F4766" w:rsidRPr="00DE12A3" w:rsidRDefault="009F4766" w:rsidP="00C917D6">
            <w:pPr>
              <w:pStyle w:val="NormalLeft"/>
              <w:rPr>
                <w:sz w:val="14"/>
                <w:szCs w:val="14"/>
              </w:rPr>
            </w:pPr>
            <w:r w:rsidRPr="00DE12A3">
              <w:rPr>
                <w:sz w:val="14"/>
                <w:szCs w:val="14"/>
              </w:rPr>
              <w:t>4,060</w:t>
            </w:r>
          </w:p>
        </w:tc>
        <w:tc>
          <w:tcPr>
            <w:tcW w:w="464" w:type="dxa"/>
            <w:tcBorders>
              <w:top w:val="single" w:sz="2" w:space="0" w:color="auto"/>
              <w:left w:val="single" w:sz="2" w:space="0" w:color="auto"/>
              <w:bottom w:val="single" w:sz="2" w:space="0" w:color="auto"/>
              <w:right w:val="single" w:sz="2" w:space="0" w:color="auto"/>
            </w:tcBorders>
          </w:tcPr>
          <w:p w14:paraId="65E02E8F" w14:textId="77777777" w:rsidR="009F4766" w:rsidRPr="00DE12A3" w:rsidRDefault="009F4766" w:rsidP="00C917D6">
            <w:pPr>
              <w:pStyle w:val="NormalLeft"/>
              <w:rPr>
                <w:sz w:val="14"/>
                <w:szCs w:val="14"/>
              </w:rPr>
            </w:pPr>
            <w:r w:rsidRPr="00DE12A3">
              <w:rPr>
                <w:sz w:val="14"/>
                <w:szCs w:val="14"/>
              </w:rPr>
              <w:t>3,780</w:t>
            </w:r>
          </w:p>
        </w:tc>
        <w:tc>
          <w:tcPr>
            <w:tcW w:w="464" w:type="dxa"/>
            <w:tcBorders>
              <w:top w:val="single" w:sz="2" w:space="0" w:color="auto"/>
              <w:left w:val="single" w:sz="2" w:space="0" w:color="auto"/>
              <w:bottom w:val="single" w:sz="2" w:space="0" w:color="auto"/>
              <w:right w:val="single" w:sz="2" w:space="0" w:color="auto"/>
            </w:tcBorders>
          </w:tcPr>
          <w:p w14:paraId="64671BC2" w14:textId="77777777" w:rsidR="009F4766" w:rsidRPr="00DE12A3" w:rsidRDefault="009F4766" w:rsidP="00C917D6">
            <w:pPr>
              <w:pStyle w:val="NormalLeft"/>
              <w:rPr>
                <w:sz w:val="14"/>
                <w:szCs w:val="14"/>
              </w:rPr>
            </w:pPr>
            <w:r w:rsidRPr="00DE12A3">
              <w:rPr>
                <w:sz w:val="14"/>
                <w:szCs w:val="14"/>
              </w:rPr>
              <w:t>3,619</w:t>
            </w:r>
          </w:p>
        </w:tc>
        <w:tc>
          <w:tcPr>
            <w:tcW w:w="465" w:type="dxa"/>
            <w:tcBorders>
              <w:top w:val="single" w:sz="2" w:space="0" w:color="auto"/>
              <w:left w:val="single" w:sz="2" w:space="0" w:color="auto"/>
              <w:bottom w:val="single" w:sz="2" w:space="0" w:color="auto"/>
              <w:right w:val="single" w:sz="2" w:space="0" w:color="auto"/>
            </w:tcBorders>
          </w:tcPr>
          <w:p w14:paraId="62A0CC53" w14:textId="77777777" w:rsidR="009F4766" w:rsidRPr="00DE12A3" w:rsidRDefault="009F4766" w:rsidP="00C917D6">
            <w:pPr>
              <w:pStyle w:val="NormalLeft"/>
              <w:rPr>
                <w:sz w:val="14"/>
                <w:szCs w:val="14"/>
              </w:rPr>
            </w:pPr>
            <w:r w:rsidRPr="00DE12A3">
              <w:rPr>
                <w:sz w:val="14"/>
                <w:szCs w:val="14"/>
              </w:rPr>
              <w:t>3,520</w:t>
            </w:r>
          </w:p>
        </w:tc>
        <w:tc>
          <w:tcPr>
            <w:tcW w:w="464" w:type="dxa"/>
            <w:tcBorders>
              <w:top w:val="single" w:sz="2" w:space="0" w:color="auto"/>
              <w:left w:val="single" w:sz="2" w:space="0" w:color="auto"/>
              <w:bottom w:val="single" w:sz="2" w:space="0" w:color="auto"/>
              <w:right w:val="single" w:sz="2" w:space="0" w:color="auto"/>
            </w:tcBorders>
          </w:tcPr>
          <w:p w14:paraId="4DCB66BD" w14:textId="77777777" w:rsidR="009F4766" w:rsidRPr="00DE12A3" w:rsidRDefault="009F4766" w:rsidP="00C917D6">
            <w:pPr>
              <w:pStyle w:val="NormalLeft"/>
              <w:rPr>
                <w:sz w:val="14"/>
                <w:szCs w:val="14"/>
              </w:rPr>
            </w:pPr>
            <w:r w:rsidRPr="00DE12A3">
              <w:rPr>
                <w:sz w:val="14"/>
                <w:szCs w:val="14"/>
              </w:rPr>
              <w:t>3,453</w:t>
            </w:r>
          </w:p>
        </w:tc>
        <w:tc>
          <w:tcPr>
            <w:tcW w:w="464" w:type="dxa"/>
            <w:tcBorders>
              <w:top w:val="single" w:sz="2" w:space="0" w:color="auto"/>
              <w:left w:val="single" w:sz="2" w:space="0" w:color="auto"/>
              <w:bottom w:val="single" w:sz="2" w:space="0" w:color="auto"/>
              <w:right w:val="single" w:sz="2" w:space="0" w:color="auto"/>
            </w:tcBorders>
          </w:tcPr>
          <w:p w14:paraId="0F3151A8" w14:textId="77777777" w:rsidR="009F4766" w:rsidRPr="00DE12A3" w:rsidRDefault="009F4766" w:rsidP="00C917D6">
            <w:pPr>
              <w:pStyle w:val="NormalLeft"/>
              <w:rPr>
                <w:sz w:val="14"/>
                <w:szCs w:val="14"/>
              </w:rPr>
            </w:pPr>
            <w:r w:rsidRPr="00DE12A3">
              <w:rPr>
                <w:sz w:val="14"/>
                <w:szCs w:val="14"/>
              </w:rPr>
              <w:t>3,405</w:t>
            </w:r>
          </w:p>
        </w:tc>
        <w:tc>
          <w:tcPr>
            <w:tcW w:w="464" w:type="dxa"/>
            <w:tcBorders>
              <w:top w:val="single" w:sz="2" w:space="0" w:color="auto"/>
              <w:left w:val="single" w:sz="2" w:space="0" w:color="auto"/>
              <w:bottom w:val="single" w:sz="2" w:space="0" w:color="auto"/>
              <w:right w:val="single" w:sz="2" w:space="0" w:color="auto"/>
            </w:tcBorders>
          </w:tcPr>
          <w:p w14:paraId="72164A35" w14:textId="77777777" w:rsidR="009F4766" w:rsidRPr="00DE12A3" w:rsidRDefault="009F4766" w:rsidP="00C917D6">
            <w:pPr>
              <w:pStyle w:val="NormalLeft"/>
              <w:rPr>
                <w:sz w:val="14"/>
                <w:szCs w:val="14"/>
              </w:rPr>
            </w:pPr>
            <w:r w:rsidRPr="00DE12A3">
              <w:rPr>
                <w:sz w:val="14"/>
                <w:szCs w:val="14"/>
              </w:rPr>
              <w:t>3,368</w:t>
            </w:r>
          </w:p>
        </w:tc>
        <w:tc>
          <w:tcPr>
            <w:tcW w:w="465" w:type="dxa"/>
            <w:tcBorders>
              <w:top w:val="single" w:sz="2" w:space="0" w:color="auto"/>
              <w:left w:val="single" w:sz="2" w:space="0" w:color="auto"/>
              <w:bottom w:val="single" w:sz="2" w:space="0" w:color="auto"/>
              <w:right w:val="single" w:sz="2" w:space="0" w:color="auto"/>
            </w:tcBorders>
          </w:tcPr>
          <w:p w14:paraId="5C29CB96" w14:textId="77777777" w:rsidR="009F4766" w:rsidRPr="00DE12A3" w:rsidRDefault="009F4766" w:rsidP="00C917D6">
            <w:pPr>
              <w:pStyle w:val="NormalLeft"/>
              <w:rPr>
                <w:sz w:val="14"/>
                <w:szCs w:val="14"/>
              </w:rPr>
            </w:pPr>
            <w:r w:rsidRPr="00DE12A3">
              <w:rPr>
                <w:sz w:val="14"/>
                <w:szCs w:val="14"/>
              </w:rPr>
              <w:t>3,339</w:t>
            </w:r>
          </w:p>
        </w:tc>
        <w:tc>
          <w:tcPr>
            <w:tcW w:w="464" w:type="dxa"/>
            <w:tcBorders>
              <w:top w:val="single" w:sz="2" w:space="0" w:color="auto"/>
              <w:left w:val="single" w:sz="2" w:space="0" w:color="auto"/>
              <w:bottom w:val="single" w:sz="2" w:space="0" w:color="auto"/>
              <w:right w:val="single" w:sz="2" w:space="0" w:color="auto"/>
            </w:tcBorders>
          </w:tcPr>
          <w:p w14:paraId="4A742EE8" w14:textId="77777777" w:rsidR="009F4766" w:rsidRPr="00DE12A3" w:rsidRDefault="009F4766" w:rsidP="00C917D6">
            <w:pPr>
              <w:pStyle w:val="NormalLeft"/>
              <w:rPr>
                <w:sz w:val="14"/>
                <w:szCs w:val="14"/>
              </w:rPr>
            </w:pPr>
            <w:r w:rsidRPr="00DE12A3">
              <w:rPr>
                <w:sz w:val="14"/>
                <w:szCs w:val="14"/>
              </w:rPr>
              <w:t>3,316</w:t>
            </w:r>
          </w:p>
        </w:tc>
        <w:tc>
          <w:tcPr>
            <w:tcW w:w="464" w:type="dxa"/>
            <w:tcBorders>
              <w:top w:val="single" w:sz="2" w:space="0" w:color="auto"/>
              <w:left w:val="single" w:sz="2" w:space="0" w:color="auto"/>
              <w:bottom w:val="single" w:sz="2" w:space="0" w:color="auto"/>
              <w:right w:val="single" w:sz="2" w:space="0" w:color="auto"/>
            </w:tcBorders>
          </w:tcPr>
          <w:p w14:paraId="663845F5" w14:textId="77777777" w:rsidR="009F4766" w:rsidRPr="00DE12A3" w:rsidRDefault="009F4766" w:rsidP="00C917D6">
            <w:pPr>
              <w:pStyle w:val="NormalLeft"/>
              <w:rPr>
                <w:sz w:val="14"/>
                <w:szCs w:val="14"/>
              </w:rPr>
            </w:pPr>
            <w:r w:rsidRPr="00DE12A3">
              <w:rPr>
                <w:sz w:val="14"/>
                <w:szCs w:val="14"/>
              </w:rPr>
              <w:t>3,297</w:t>
            </w:r>
          </w:p>
        </w:tc>
        <w:tc>
          <w:tcPr>
            <w:tcW w:w="465" w:type="dxa"/>
            <w:tcBorders>
              <w:top w:val="single" w:sz="2" w:space="0" w:color="auto"/>
              <w:left w:val="single" w:sz="2" w:space="0" w:color="auto"/>
              <w:bottom w:val="single" w:sz="2" w:space="0" w:color="auto"/>
              <w:right w:val="single" w:sz="2" w:space="0" w:color="auto"/>
            </w:tcBorders>
          </w:tcPr>
          <w:p w14:paraId="17E0B361" w14:textId="77777777" w:rsidR="009F4766" w:rsidRPr="00DE12A3" w:rsidRDefault="009F4766" w:rsidP="00C917D6">
            <w:pPr>
              <w:pStyle w:val="NormalLeft"/>
              <w:rPr>
                <w:sz w:val="14"/>
                <w:szCs w:val="14"/>
              </w:rPr>
            </w:pPr>
            <w:r w:rsidRPr="00DE12A3">
              <w:rPr>
                <w:sz w:val="14"/>
                <w:szCs w:val="14"/>
              </w:rPr>
              <w:t>3,268</w:t>
            </w:r>
          </w:p>
        </w:tc>
        <w:tc>
          <w:tcPr>
            <w:tcW w:w="464" w:type="dxa"/>
            <w:tcBorders>
              <w:top w:val="single" w:sz="2" w:space="0" w:color="auto"/>
              <w:left w:val="single" w:sz="2" w:space="0" w:color="auto"/>
              <w:bottom w:val="single" w:sz="2" w:space="0" w:color="auto"/>
              <w:right w:val="single" w:sz="2" w:space="0" w:color="auto"/>
            </w:tcBorders>
          </w:tcPr>
          <w:p w14:paraId="224E4EE1" w14:textId="77777777" w:rsidR="009F4766" w:rsidRPr="00DE12A3" w:rsidRDefault="009F4766" w:rsidP="00C917D6">
            <w:pPr>
              <w:pStyle w:val="NormalLeft"/>
              <w:rPr>
                <w:sz w:val="14"/>
                <w:szCs w:val="14"/>
              </w:rPr>
            </w:pPr>
            <w:r w:rsidRPr="00DE12A3">
              <w:rPr>
                <w:sz w:val="14"/>
                <w:szCs w:val="14"/>
              </w:rPr>
              <w:t>3,238</w:t>
            </w:r>
          </w:p>
        </w:tc>
        <w:tc>
          <w:tcPr>
            <w:tcW w:w="464" w:type="dxa"/>
            <w:tcBorders>
              <w:top w:val="single" w:sz="2" w:space="0" w:color="auto"/>
              <w:left w:val="single" w:sz="2" w:space="0" w:color="auto"/>
              <w:bottom w:val="single" w:sz="2" w:space="0" w:color="auto"/>
              <w:right w:val="single" w:sz="2" w:space="0" w:color="auto"/>
            </w:tcBorders>
          </w:tcPr>
          <w:p w14:paraId="3134E1E2" w14:textId="77777777" w:rsidR="009F4766" w:rsidRPr="00DE12A3" w:rsidRDefault="009F4766" w:rsidP="00C917D6">
            <w:pPr>
              <w:pStyle w:val="NormalLeft"/>
              <w:rPr>
                <w:sz w:val="14"/>
                <w:szCs w:val="14"/>
              </w:rPr>
            </w:pPr>
            <w:r w:rsidRPr="00DE12A3">
              <w:rPr>
                <w:sz w:val="14"/>
                <w:szCs w:val="14"/>
              </w:rPr>
              <w:t>3,207</w:t>
            </w:r>
          </w:p>
        </w:tc>
        <w:tc>
          <w:tcPr>
            <w:tcW w:w="465" w:type="dxa"/>
            <w:tcBorders>
              <w:top w:val="single" w:sz="2" w:space="0" w:color="auto"/>
              <w:left w:val="single" w:sz="2" w:space="0" w:color="auto"/>
              <w:bottom w:val="single" w:sz="2" w:space="0" w:color="auto"/>
              <w:right w:val="single" w:sz="2" w:space="0" w:color="auto"/>
            </w:tcBorders>
          </w:tcPr>
          <w:p w14:paraId="54CA7444" w14:textId="77777777" w:rsidR="009F4766" w:rsidRPr="00DE12A3" w:rsidRDefault="009F4766" w:rsidP="00C917D6">
            <w:pPr>
              <w:pStyle w:val="NormalLeft"/>
              <w:rPr>
                <w:sz w:val="14"/>
                <w:szCs w:val="14"/>
              </w:rPr>
            </w:pPr>
            <w:r w:rsidRPr="00DE12A3">
              <w:rPr>
                <w:sz w:val="14"/>
                <w:szCs w:val="14"/>
              </w:rPr>
              <w:t>3,191</w:t>
            </w:r>
          </w:p>
        </w:tc>
        <w:tc>
          <w:tcPr>
            <w:tcW w:w="464" w:type="dxa"/>
            <w:tcBorders>
              <w:top w:val="single" w:sz="2" w:space="0" w:color="auto"/>
              <w:left w:val="single" w:sz="2" w:space="0" w:color="auto"/>
              <w:bottom w:val="single" w:sz="2" w:space="0" w:color="auto"/>
              <w:right w:val="single" w:sz="2" w:space="0" w:color="auto"/>
            </w:tcBorders>
          </w:tcPr>
          <w:p w14:paraId="75DB3462" w14:textId="77777777" w:rsidR="009F4766" w:rsidRPr="00DE12A3" w:rsidRDefault="009F4766" w:rsidP="00C917D6">
            <w:pPr>
              <w:pStyle w:val="NormalLeft"/>
              <w:rPr>
                <w:sz w:val="14"/>
                <w:szCs w:val="14"/>
              </w:rPr>
            </w:pPr>
            <w:r w:rsidRPr="00DE12A3">
              <w:rPr>
                <w:sz w:val="14"/>
                <w:szCs w:val="14"/>
              </w:rPr>
              <w:t>3,174</w:t>
            </w:r>
          </w:p>
        </w:tc>
        <w:tc>
          <w:tcPr>
            <w:tcW w:w="464" w:type="dxa"/>
            <w:tcBorders>
              <w:top w:val="single" w:sz="2" w:space="0" w:color="auto"/>
              <w:left w:val="single" w:sz="2" w:space="0" w:color="auto"/>
              <w:bottom w:val="single" w:sz="2" w:space="0" w:color="auto"/>
              <w:right w:val="single" w:sz="2" w:space="0" w:color="auto"/>
            </w:tcBorders>
          </w:tcPr>
          <w:p w14:paraId="75759214" w14:textId="77777777" w:rsidR="009F4766" w:rsidRPr="00DE12A3" w:rsidRDefault="009F4766" w:rsidP="00C917D6">
            <w:pPr>
              <w:pStyle w:val="NormalLeft"/>
              <w:rPr>
                <w:sz w:val="14"/>
                <w:szCs w:val="14"/>
              </w:rPr>
            </w:pPr>
            <w:r w:rsidRPr="00DE12A3">
              <w:rPr>
                <w:sz w:val="14"/>
                <w:szCs w:val="14"/>
              </w:rPr>
              <w:t>3,157</w:t>
            </w:r>
          </w:p>
        </w:tc>
        <w:tc>
          <w:tcPr>
            <w:tcW w:w="464" w:type="dxa"/>
            <w:tcBorders>
              <w:top w:val="single" w:sz="2" w:space="0" w:color="auto"/>
              <w:left w:val="single" w:sz="2" w:space="0" w:color="auto"/>
              <w:bottom w:val="single" w:sz="2" w:space="0" w:color="auto"/>
              <w:right w:val="single" w:sz="2" w:space="0" w:color="auto"/>
            </w:tcBorders>
          </w:tcPr>
          <w:p w14:paraId="3A71FA7C" w14:textId="77777777" w:rsidR="009F4766" w:rsidRPr="00DE12A3" w:rsidRDefault="009F4766" w:rsidP="00C917D6">
            <w:pPr>
              <w:pStyle w:val="NormalLeft"/>
              <w:rPr>
                <w:sz w:val="14"/>
                <w:szCs w:val="14"/>
              </w:rPr>
            </w:pPr>
            <w:r w:rsidRPr="00DE12A3">
              <w:rPr>
                <w:sz w:val="14"/>
                <w:szCs w:val="14"/>
              </w:rPr>
              <w:t>3,140</w:t>
            </w:r>
          </w:p>
        </w:tc>
        <w:tc>
          <w:tcPr>
            <w:tcW w:w="465" w:type="dxa"/>
            <w:tcBorders>
              <w:top w:val="single" w:sz="2" w:space="0" w:color="auto"/>
              <w:left w:val="single" w:sz="2" w:space="0" w:color="auto"/>
              <w:bottom w:val="single" w:sz="2" w:space="0" w:color="auto"/>
              <w:right w:val="single" w:sz="2" w:space="0" w:color="auto"/>
            </w:tcBorders>
          </w:tcPr>
          <w:p w14:paraId="41A32C35" w14:textId="77777777" w:rsidR="009F4766" w:rsidRPr="00DE12A3" w:rsidRDefault="009F4766" w:rsidP="00C917D6">
            <w:pPr>
              <w:pStyle w:val="NormalLeft"/>
              <w:rPr>
                <w:sz w:val="14"/>
                <w:szCs w:val="14"/>
              </w:rPr>
            </w:pPr>
            <w:r w:rsidRPr="00DE12A3">
              <w:rPr>
                <w:sz w:val="14"/>
                <w:szCs w:val="14"/>
              </w:rPr>
              <w:t>3,123</w:t>
            </w:r>
          </w:p>
        </w:tc>
        <w:tc>
          <w:tcPr>
            <w:tcW w:w="464" w:type="dxa"/>
            <w:tcBorders>
              <w:top w:val="single" w:sz="2" w:space="0" w:color="auto"/>
              <w:left w:val="single" w:sz="2" w:space="0" w:color="auto"/>
              <w:bottom w:val="single" w:sz="2" w:space="0" w:color="auto"/>
              <w:right w:val="single" w:sz="2" w:space="0" w:color="auto"/>
            </w:tcBorders>
          </w:tcPr>
          <w:p w14:paraId="2BE3B9D5" w14:textId="77777777" w:rsidR="009F4766" w:rsidRPr="00DE12A3" w:rsidRDefault="009F4766" w:rsidP="00C917D6">
            <w:pPr>
              <w:pStyle w:val="NormalLeft"/>
              <w:rPr>
                <w:sz w:val="14"/>
                <w:szCs w:val="14"/>
              </w:rPr>
            </w:pPr>
            <w:r w:rsidRPr="00DE12A3">
              <w:rPr>
                <w:sz w:val="14"/>
                <w:szCs w:val="14"/>
              </w:rPr>
              <w:t>3,105</w:t>
            </w:r>
          </w:p>
        </w:tc>
      </w:tr>
      <w:tr w:rsidR="00DE12A3" w:rsidRPr="00DE12A3" w14:paraId="745017FE" w14:textId="77777777" w:rsidTr="009F4766">
        <w:tc>
          <w:tcPr>
            <w:tcW w:w="464" w:type="dxa"/>
            <w:tcBorders>
              <w:top w:val="single" w:sz="2" w:space="0" w:color="auto"/>
              <w:left w:val="single" w:sz="2" w:space="0" w:color="auto"/>
              <w:bottom w:val="single" w:sz="2" w:space="0" w:color="auto"/>
              <w:right w:val="single" w:sz="2" w:space="0" w:color="auto"/>
            </w:tcBorders>
          </w:tcPr>
          <w:p w14:paraId="39E16012" w14:textId="77777777" w:rsidR="009F4766" w:rsidRPr="00DE12A3" w:rsidRDefault="009F4766" w:rsidP="00C917D6">
            <w:pPr>
              <w:pStyle w:val="NormalLeft"/>
              <w:rPr>
                <w:sz w:val="14"/>
                <w:szCs w:val="14"/>
              </w:rPr>
            </w:pPr>
            <w:r w:rsidRPr="00DE12A3">
              <w:rPr>
                <w:sz w:val="14"/>
                <w:szCs w:val="14"/>
              </w:rPr>
              <w:t>6</w:t>
            </w:r>
          </w:p>
        </w:tc>
        <w:tc>
          <w:tcPr>
            <w:tcW w:w="465" w:type="dxa"/>
            <w:tcBorders>
              <w:top w:val="single" w:sz="2" w:space="0" w:color="auto"/>
              <w:left w:val="single" w:sz="2" w:space="0" w:color="auto"/>
              <w:bottom w:val="single" w:sz="2" w:space="0" w:color="auto"/>
              <w:right w:val="single" w:sz="2" w:space="0" w:color="auto"/>
            </w:tcBorders>
          </w:tcPr>
          <w:p w14:paraId="162F6B2F" w14:textId="77777777" w:rsidR="009F4766" w:rsidRPr="00DE12A3" w:rsidRDefault="009F4766" w:rsidP="00C917D6">
            <w:pPr>
              <w:pStyle w:val="NormalLeft"/>
              <w:rPr>
                <w:sz w:val="14"/>
                <w:szCs w:val="14"/>
              </w:rPr>
            </w:pPr>
            <w:r w:rsidRPr="00DE12A3">
              <w:rPr>
                <w:sz w:val="14"/>
                <w:szCs w:val="14"/>
              </w:rPr>
              <w:t>3,776</w:t>
            </w:r>
          </w:p>
        </w:tc>
        <w:tc>
          <w:tcPr>
            <w:tcW w:w="464" w:type="dxa"/>
            <w:tcBorders>
              <w:top w:val="single" w:sz="2" w:space="0" w:color="auto"/>
              <w:left w:val="single" w:sz="2" w:space="0" w:color="auto"/>
              <w:bottom w:val="single" w:sz="2" w:space="0" w:color="auto"/>
              <w:right w:val="single" w:sz="2" w:space="0" w:color="auto"/>
            </w:tcBorders>
          </w:tcPr>
          <w:p w14:paraId="342F98FB" w14:textId="77777777" w:rsidR="009F4766" w:rsidRPr="00DE12A3" w:rsidRDefault="009F4766" w:rsidP="00C917D6">
            <w:pPr>
              <w:pStyle w:val="NormalLeft"/>
              <w:rPr>
                <w:sz w:val="14"/>
                <w:szCs w:val="14"/>
              </w:rPr>
            </w:pPr>
            <w:r w:rsidRPr="00DE12A3">
              <w:rPr>
                <w:sz w:val="14"/>
                <w:szCs w:val="14"/>
              </w:rPr>
              <w:t>3,463</w:t>
            </w:r>
          </w:p>
        </w:tc>
        <w:tc>
          <w:tcPr>
            <w:tcW w:w="464" w:type="dxa"/>
            <w:tcBorders>
              <w:top w:val="single" w:sz="2" w:space="0" w:color="auto"/>
              <w:left w:val="single" w:sz="2" w:space="0" w:color="auto"/>
              <w:bottom w:val="single" w:sz="2" w:space="0" w:color="auto"/>
              <w:right w:val="single" w:sz="2" w:space="0" w:color="auto"/>
            </w:tcBorders>
          </w:tcPr>
          <w:p w14:paraId="210CA3C9" w14:textId="77777777" w:rsidR="009F4766" w:rsidRPr="00DE12A3" w:rsidRDefault="009F4766" w:rsidP="00C917D6">
            <w:pPr>
              <w:pStyle w:val="NormalLeft"/>
              <w:rPr>
                <w:sz w:val="14"/>
                <w:szCs w:val="14"/>
              </w:rPr>
            </w:pPr>
            <w:r w:rsidRPr="00DE12A3">
              <w:rPr>
                <w:sz w:val="14"/>
                <w:szCs w:val="14"/>
              </w:rPr>
              <w:t>3,289</w:t>
            </w:r>
          </w:p>
        </w:tc>
        <w:tc>
          <w:tcPr>
            <w:tcW w:w="465" w:type="dxa"/>
            <w:tcBorders>
              <w:top w:val="single" w:sz="2" w:space="0" w:color="auto"/>
              <w:left w:val="single" w:sz="2" w:space="0" w:color="auto"/>
              <w:bottom w:val="single" w:sz="2" w:space="0" w:color="auto"/>
              <w:right w:val="single" w:sz="2" w:space="0" w:color="auto"/>
            </w:tcBorders>
          </w:tcPr>
          <w:p w14:paraId="7CF41E3F" w14:textId="77777777" w:rsidR="009F4766" w:rsidRPr="00DE12A3" w:rsidRDefault="009F4766" w:rsidP="00C917D6">
            <w:pPr>
              <w:pStyle w:val="NormalLeft"/>
              <w:rPr>
                <w:sz w:val="14"/>
                <w:szCs w:val="14"/>
              </w:rPr>
            </w:pPr>
            <w:r w:rsidRPr="00DE12A3">
              <w:rPr>
                <w:sz w:val="14"/>
                <w:szCs w:val="14"/>
              </w:rPr>
              <w:t>3,181</w:t>
            </w:r>
          </w:p>
        </w:tc>
        <w:tc>
          <w:tcPr>
            <w:tcW w:w="464" w:type="dxa"/>
            <w:tcBorders>
              <w:top w:val="single" w:sz="2" w:space="0" w:color="auto"/>
              <w:left w:val="single" w:sz="2" w:space="0" w:color="auto"/>
              <w:bottom w:val="single" w:sz="2" w:space="0" w:color="auto"/>
              <w:right w:val="single" w:sz="2" w:space="0" w:color="auto"/>
            </w:tcBorders>
          </w:tcPr>
          <w:p w14:paraId="3C395AFC" w14:textId="77777777" w:rsidR="009F4766" w:rsidRPr="00DE12A3" w:rsidRDefault="009F4766" w:rsidP="00C917D6">
            <w:pPr>
              <w:pStyle w:val="NormalLeft"/>
              <w:rPr>
                <w:sz w:val="14"/>
                <w:szCs w:val="14"/>
              </w:rPr>
            </w:pPr>
            <w:r w:rsidRPr="00DE12A3">
              <w:rPr>
                <w:sz w:val="14"/>
                <w:szCs w:val="14"/>
              </w:rPr>
              <w:t>3,108</w:t>
            </w:r>
          </w:p>
        </w:tc>
        <w:tc>
          <w:tcPr>
            <w:tcW w:w="464" w:type="dxa"/>
            <w:tcBorders>
              <w:top w:val="single" w:sz="2" w:space="0" w:color="auto"/>
              <w:left w:val="single" w:sz="2" w:space="0" w:color="auto"/>
              <w:bottom w:val="single" w:sz="2" w:space="0" w:color="auto"/>
              <w:right w:val="single" w:sz="2" w:space="0" w:color="auto"/>
            </w:tcBorders>
          </w:tcPr>
          <w:p w14:paraId="7F645860" w14:textId="77777777" w:rsidR="009F4766" w:rsidRPr="00DE12A3" w:rsidRDefault="009F4766" w:rsidP="00C917D6">
            <w:pPr>
              <w:pStyle w:val="NormalLeft"/>
              <w:rPr>
                <w:sz w:val="14"/>
                <w:szCs w:val="14"/>
              </w:rPr>
            </w:pPr>
            <w:r w:rsidRPr="00DE12A3">
              <w:rPr>
                <w:sz w:val="14"/>
                <w:szCs w:val="14"/>
              </w:rPr>
              <w:t>3,055</w:t>
            </w:r>
          </w:p>
        </w:tc>
        <w:tc>
          <w:tcPr>
            <w:tcW w:w="464" w:type="dxa"/>
            <w:tcBorders>
              <w:top w:val="single" w:sz="2" w:space="0" w:color="auto"/>
              <w:left w:val="single" w:sz="2" w:space="0" w:color="auto"/>
              <w:bottom w:val="single" w:sz="2" w:space="0" w:color="auto"/>
              <w:right w:val="single" w:sz="2" w:space="0" w:color="auto"/>
            </w:tcBorders>
          </w:tcPr>
          <w:p w14:paraId="479F4B1E" w14:textId="77777777" w:rsidR="009F4766" w:rsidRPr="00DE12A3" w:rsidRDefault="009F4766" w:rsidP="00C917D6">
            <w:pPr>
              <w:pStyle w:val="NormalLeft"/>
              <w:rPr>
                <w:sz w:val="14"/>
                <w:szCs w:val="14"/>
              </w:rPr>
            </w:pPr>
            <w:r w:rsidRPr="00DE12A3">
              <w:rPr>
                <w:sz w:val="14"/>
                <w:szCs w:val="14"/>
              </w:rPr>
              <w:t>3,014</w:t>
            </w:r>
          </w:p>
        </w:tc>
        <w:tc>
          <w:tcPr>
            <w:tcW w:w="465" w:type="dxa"/>
            <w:tcBorders>
              <w:top w:val="single" w:sz="2" w:space="0" w:color="auto"/>
              <w:left w:val="single" w:sz="2" w:space="0" w:color="auto"/>
              <w:bottom w:val="single" w:sz="2" w:space="0" w:color="auto"/>
              <w:right w:val="single" w:sz="2" w:space="0" w:color="auto"/>
            </w:tcBorders>
          </w:tcPr>
          <w:p w14:paraId="45119BA2" w14:textId="77777777" w:rsidR="009F4766" w:rsidRPr="00DE12A3" w:rsidRDefault="009F4766" w:rsidP="00C917D6">
            <w:pPr>
              <w:pStyle w:val="NormalLeft"/>
              <w:rPr>
                <w:sz w:val="14"/>
                <w:szCs w:val="14"/>
              </w:rPr>
            </w:pPr>
            <w:r w:rsidRPr="00DE12A3">
              <w:rPr>
                <w:sz w:val="14"/>
                <w:szCs w:val="14"/>
              </w:rPr>
              <w:t>2,983</w:t>
            </w:r>
          </w:p>
        </w:tc>
        <w:tc>
          <w:tcPr>
            <w:tcW w:w="464" w:type="dxa"/>
            <w:tcBorders>
              <w:top w:val="single" w:sz="2" w:space="0" w:color="auto"/>
              <w:left w:val="single" w:sz="2" w:space="0" w:color="auto"/>
              <w:bottom w:val="single" w:sz="2" w:space="0" w:color="auto"/>
              <w:right w:val="single" w:sz="2" w:space="0" w:color="auto"/>
            </w:tcBorders>
          </w:tcPr>
          <w:p w14:paraId="4F8C789B" w14:textId="77777777" w:rsidR="009F4766" w:rsidRPr="00DE12A3" w:rsidRDefault="009F4766" w:rsidP="00C917D6">
            <w:pPr>
              <w:pStyle w:val="NormalLeft"/>
              <w:rPr>
                <w:sz w:val="14"/>
                <w:szCs w:val="14"/>
              </w:rPr>
            </w:pPr>
            <w:r w:rsidRPr="00DE12A3">
              <w:rPr>
                <w:sz w:val="14"/>
                <w:szCs w:val="14"/>
              </w:rPr>
              <w:t>2,958</w:t>
            </w:r>
          </w:p>
        </w:tc>
        <w:tc>
          <w:tcPr>
            <w:tcW w:w="464" w:type="dxa"/>
            <w:tcBorders>
              <w:top w:val="single" w:sz="2" w:space="0" w:color="auto"/>
              <w:left w:val="single" w:sz="2" w:space="0" w:color="auto"/>
              <w:bottom w:val="single" w:sz="2" w:space="0" w:color="auto"/>
              <w:right w:val="single" w:sz="2" w:space="0" w:color="auto"/>
            </w:tcBorders>
          </w:tcPr>
          <w:p w14:paraId="5AFBBB95" w14:textId="77777777" w:rsidR="009F4766" w:rsidRPr="00DE12A3" w:rsidRDefault="009F4766" w:rsidP="00C917D6">
            <w:pPr>
              <w:pStyle w:val="NormalLeft"/>
              <w:rPr>
                <w:sz w:val="14"/>
                <w:szCs w:val="14"/>
              </w:rPr>
            </w:pPr>
            <w:r w:rsidRPr="00DE12A3">
              <w:rPr>
                <w:sz w:val="14"/>
                <w:szCs w:val="14"/>
              </w:rPr>
              <w:t>2,937</w:t>
            </w:r>
          </w:p>
        </w:tc>
        <w:tc>
          <w:tcPr>
            <w:tcW w:w="465" w:type="dxa"/>
            <w:tcBorders>
              <w:top w:val="single" w:sz="2" w:space="0" w:color="auto"/>
              <w:left w:val="single" w:sz="2" w:space="0" w:color="auto"/>
              <w:bottom w:val="single" w:sz="2" w:space="0" w:color="auto"/>
              <w:right w:val="single" w:sz="2" w:space="0" w:color="auto"/>
            </w:tcBorders>
          </w:tcPr>
          <w:p w14:paraId="065824D7" w14:textId="77777777" w:rsidR="009F4766" w:rsidRPr="00DE12A3" w:rsidRDefault="009F4766" w:rsidP="00C917D6">
            <w:pPr>
              <w:pStyle w:val="NormalLeft"/>
              <w:rPr>
                <w:sz w:val="14"/>
                <w:szCs w:val="14"/>
              </w:rPr>
            </w:pPr>
            <w:r w:rsidRPr="00DE12A3">
              <w:rPr>
                <w:sz w:val="14"/>
                <w:szCs w:val="14"/>
              </w:rPr>
              <w:t>2,905</w:t>
            </w:r>
          </w:p>
        </w:tc>
        <w:tc>
          <w:tcPr>
            <w:tcW w:w="464" w:type="dxa"/>
            <w:tcBorders>
              <w:top w:val="single" w:sz="2" w:space="0" w:color="auto"/>
              <w:left w:val="single" w:sz="2" w:space="0" w:color="auto"/>
              <w:bottom w:val="single" w:sz="2" w:space="0" w:color="auto"/>
              <w:right w:val="single" w:sz="2" w:space="0" w:color="auto"/>
            </w:tcBorders>
          </w:tcPr>
          <w:p w14:paraId="7E89FA2F" w14:textId="77777777" w:rsidR="009F4766" w:rsidRPr="00DE12A3" w:rsidRDefault="009F4766" w:rsidP="00C917D6">
            <w:pPr>
              <w:pStyle w:val="NormalLeft"/>
              <w:rPr>
                <w:sz w:val="14"/>
                <w:szCs w:val="14"/>
              </w:rPr>
            </w:pPr>
            <w:r w:rsidRPr="00DE12A3">
              <w:rPr>
                <w:sz w:val="14"/>
                <w:szCs w:val="14"/>
              </w:rPr>
              <w:t>2,871</w:t>
            </w:r>
          </w:p>
        </w:tc>
        <w:tc>
          <w:tcPr>
            <w:tcW w:w="464" w:type="dxa"/>
            <w:tcBorders>
              <w:top w:val="single" w:sz="2" w:space="0" w:color="auto"/>
              <w:left w:val="single" w:sz="2" w:space="0" w:color="auto"/>
              <w:bottom w:val="single" w:sz="2" w:space="0" w:color="auto"/>
              <w:right w:val="single" w:sz="2" w:space="0" w:color="auto"/>
            </w:tcBorders>
          </w:tcPr>
          <w:p w14:paraId="0E4FD21E" w14:textId="77777777" w:rsidR="009F4766" w:rsidRPr="00DE12A3" w:rsidRDefault="009F4766" w:rsidP="00C917D6">
            <w:pPr>
              <w:pStyle w:val="NormalLeft"/>
              <w:rPr>
                <w:sz w:val="14"/>
                <w:szCs w:val="14"/>
              </w:rPr>
            </w:pPr>
            <w:r w:rsidRPr="00DE12A3">
              <w:rPr>
                <w:sz w:val="14"/>
                <w:szCs w:val="14"/>
              </w:rPr>
              <w:t>2,836</w:t>
            </w:r>
          </w:p>
        </w:tc>
        <w:tc>
          <w:tcPr>
            <w:tcW w:w="465" w:type="dxa"/>
            <w:tcBorders>
              <w:top w:val="single" w:sz="2" w:space="0" w:color="auto"/>
              <w:left w:val="single" w:sz="2" w:space="0" w:color="auto"/>
              <w:bottom w:val="single" w:sz="2" w:space="0" w:color="auto"/>
              <w:right w:val="single" w:sz="2" w:space="0" w:color="auto"/>
            </w:tcBorders>
          </w:tcPr>
          <w:p w14:paraId="273C71E3" w14:textId="77777777" w:rsidR="009F4766" w:rsidRPr="00DE12A3" w:rsidRDefault="009F4766" w:rsidP="00C917D6">
            <w:pPr>
              <w:pStyle w:val="NormalLeft"/>
              <w:rPr>
                <w:sz w:val="14"/>
                <w:szCs w:val="14"/>
              </w:rPr>
            </w:pPr>
            <w:r w:rsidRPr="00DE12A3">
              <w:rPr>
                <w:sz w:val="14"/>
                <w:szCs w:val="14"/>
              </w:rPr>
              <w:t>2,818</w:t>
            </w:r>
          </w:p>
        </w:tc>
        <w:tc>
          <w:tcPr>
            <w:tcW w:w="464" w:type="dxa"/>
            <w:tcBorders>
              <w:top w:val="single" w:sz="2" w:space="0" w:color="auto"/>
              <w:left w:val="single" w:sz="2" w:space="0" w:color="auto"/>
              <w:bottom w:val="single" w:sz="2" w:space="0" w:color="auto"/>
              <w:right w:val="single" w:sz="2" w:space="0" w:color="auto"/>
            </w:tcBorders>
          </w:tcPr>
          <w:p w14:paraId="54E9D2A7" w14:textId="77777777" w:rsidR="009F4766" w:rsidRPr="00DE12A3" w:rsidRDefault="009F4766" w:rsidP="00C917D6">
            <w:pPr>
              <w:pStyle w:val="NormalLeft"/>
              <w:rPr>
                <w:sz w:val="14"/>
                <w:szCs w:val="14"/>
              </w:rPr>
            </w:pPr>
            <w:r w:rsidRPr="00DE12A3">
              <w:rPr>
                <w:sz w:val="14"/>
                <w:szCs w:val="14"/>
              </w:rPr>
              <w:t>2,800</w:t>
            </w:r>
          </w:p>
        </w:tc>
        <w:tc>
          <w:tcPr>
            <w:tcW w:w="464" w:type="dxa"/>
            <w:tcBorders>
              <w:top w:val="single" w:sz="2" w:space="0" w:color="auto"/>
              <w:left w:val="single" w:sz="2" w:space="0" w:color="auto"/>
              <w:bottom w:val="single" w:sz="2" w:space="0" w:color="auto"/>
              <w:right w:val="single" w:sz="2" w:space="0" w:color="auto"/>
            </w:tcBorders>
          </w:tcPr>
          <w:p w14:paraId="29432B8F" w14:textId="77777777" w:rsidR="009F4766" w:rsidRPr="00DE12A3" w:rsidRDefault="009F4766" w:rsidP="00C917D6">
            <w:pPr>
              <w:pStyle w:val="NormalLeft"/>
              <w:rPr>
                <w:sz w:val="14"/>
                <w:szCs w:val="14"/>
              </w:rPr>
            </w:pPr>
            <w:r w:rsidRPr="00DE12A3">
              <w:rPr>
                <w:sz w:val="14"/>
                <w:szCs w:val="14"/>
              </w:rPr>
              <w:t>2,781</w:t>
            </w:r>
          </w:p>
        </w:tc>
        <w:tc>
          <w:tcPr>
            <w:tcW w:w="464" w:type="dxa"/>
            <w:tcBorders>
              <w:top w:val="single" w:sz="2" w:space="0" w:color="auto"/>
              <w:left w:val="single" w:sz="2" w:space="0" w:color="auto"/>
              <w:bottom w:val="single" w:sz="2" w:space="0" w:color="auto"/>
              <w:right w:val="single" w:sz="2" w:space="0" w:color="auto"/>
            </w:tcBorders>
          </w:tcPr>
          <w:p w14:paraId="10EACD17" w14:textId="77777777" w:rsidR="009F4766" w:rsidRPr="00DE12A3" w:rsidRDefault="009F4766" w:rsidP="00C917D6">
            <w:pPr>
              <w:pStyle w:val="NormalLeft"/>
              <w:rPr>
                <w:sz w:val="14"/>
                <w:szCs w:val="14"/>
              </w:rPr>
            </w:pPr>
            <w:r w:rsidRPr="00DE12A3">
              <w:rPr>
                <w:sz w:val="14"/>
                <w:szCs w:val="14"/>
              </w:rPr>
              <w:t>2,762</w:t>
            </w:r>
          </w:p>
        </w:tc>
        <w:tc>
          <w:tcPr>
            <w:tcW w:w="465" w:type="dxa"/>
            <w:tcBorders>
              <w:top w:val="single" w:sz="2" w:space="0" w:color="auto"/>
              <w:left w:val="single" w:sz="2" w:space="0" w:color="auto"/>
              <w:bottom w:val="single" w:sz="2" w:space="0" w:color="auto"/>
              <w:right w:val="single" w:sz="2" w:space="0" w:color="auto"/>
            </w:tcBorders>
          </w:tcPr>
          <w:p w14:paraId="1ACAB16B" w14:textId="77777777" w:rsidR="009F4766" w:rsidRPr="00DE12A3" w:rsidRDefault="009F4766" w:rsidP="00C917D6">
            <w:pPr>
              <w:pStyle w:val="NormalLeft"/>
              <w:rPr>
                <w:sz w:val="14"/>
                <w:szCs w:val="14"/>
              </w:rPr>
            </w:pPr>
            <w:r w:rsidRPr="00DE12A3">
              <w:rPr>
                <w:sz w:val="14"/>
                <w:szCs w:val="14"/>
              </w:rPr>
              <w:t>2,742</w:t>
            </w:r>
          </w:p>
        </w:tc>
        <w:tc>
          <w:tcPr>
            <w:tcW w:w="464" w:type="dxa"/>
            <w:tcBorders>
              <w:top w:val="single" w:sz="2" w:space="0" w:color="auto"/>
              <w:left w:val="single" w:sz="2" w:space="0" w:color="auto"/>
              <w:bottom w:val="single" w:sz="2" w:space="0" w:color="auto"/>
              <w:right w:val="single" w:sz="2" w:space="0" w:color="auto"/>
            </w:tcBorders>
          </w:tcPr>
          <w:p w14:paraId="6D0502FA" w14:textId="77777777" w:rsidR="009F4766" w:rsidRPr="00DE12A3" w:rsidRDefault="009F4766" w:rsidP="00C917D6">
            <w:pPr>
              <w:pStyle w:val="NormalLeft"/>
              <w:rPr>
                <w:sz w:val="14"/>
                <w:szCs w:val="14"/>
              </w:rPr>
            </w:pPr>
            <w:r w:rsidRPr="00DE12A3">
              <w:rPr>
                <w:sz w:val="14"/>
                <w:szCs w:val="14"/>
              </w:rPr>
              <w:t>2,722</w:t>
            </w:r>
          </w:p>
        </w:tc>
      </w:tr>
      <w:tr w:rsidR="00DE12A3" w:rsidRPr="00DE12A3" w14:paraId="5E89BC56" w14:textId="77777777" w:rsidTr="009F4766">
        <w:tc>
          <w:tcPr>
            <w:tcW w:w="464" w:type="dxa"/>
            <w:tcBorders>
              <w:top w:val="single" w:sz="2" w:space="0" w:color="auto"/>
              <w:left w:val="single" w:sz="2" w:space="0" w:color="auto"/>
              <w:bottom w:val="single" w:sz="2" w:space="0" w:color="auto"/>
              <w:right w:val="single" w:sz="2" w:space="0" w:color="auto"/>
            </w:tcBorders>
          </w:tcPr>
          <w:p w14:paraId="3FB5701F" w14:textId="77777777" w:rsidR="009F4766" w:rsidRPr="00DE12A3" w:rsidRDefault="009F4766" w:rsidP="00C917D6">
            <w:pPr>
              <w:pStyle w:val="NormalLeft"/>
              <w:rPr>
                <w:sz w:val="14"/>
                <w:szCs w:val="14"/>
              </w:rPr>
            </w:pPr>
            <w:r w:rsidRPr="00DE12A3">
              <w:rPr>
                <w:sz w:val="14"/>
                <w:szCs w:val="14"/>
              </w:rPr>
              <w:t>7</w:t>
            </w:r>
          </w:p>
        </w:tc>
        <w:tc>
          <w:tcPr>
            <w:tcW w:w="465" w:type="dxa"/>
            <w:tcBorders>
              <w:top w:val="single" w:sz="2" w:space="0" w:color="auto"/>
              <w:left w:val="single" w:sz="2" w:space="0" w:color="auto"/>
              <w:bottom w:val="single" w:sz="2" w:space="0" w:color="auto"/>
              <w:right w:val="single" w:sz="2" w:space="0" w:color="auto"/>
            </w:tcBorders>
          </w:tcPr>
          <w:p w14:paraId="2E9B310D" w14:textId="77777777" w:rsidR="009F4766" w:rsidRPr="00DE12A3" w:rsidRDefault="009F4766" w:rsidP="00C917D6">
            <w:pPr>
              <w:pStyle w:val="NormalLeft"/>
              <w:rPr>
                <w:sz w:val="14"/>
                <w:szCs w:val="14"/>
              </w:rPr>
            </w:pPr>
            <w:r w:rsidRPr="00DE12A3">
              <w:rPr>
                <w:sz w:val="14"/>
                <w:szCs w:val="14"/>
              </w:rPr>
              <w:t>3,589</w:t>
            </w:r>
          </w:p>
        </w:tc>
        <w:tc>
          <w:tcPr>
            <w:tcW w:w="464" w:type="dxa"/>
            <w:tcBorders>
              <w:top w:val="single" w:sz="2" w:space="0" w:color="auto"/>
              <w:left w:val="single" w:sz="2" w:space="0" w:color="auto"/>
              <w:bottom w:val="single" w:sz="2" w:space="0" w:color="auto"/>
              <w:right w:val="single" w:sz="2" w:space="0" w:color="auto"/>
            </w:tcBorders>
          </w:tcPr>
          <w:p w14:paraId="12B586C2" w14:textId="77777777" w:rsidR="009F4766" w:rsidRPr="00DE12A3" w:rsidRDefault="009F4766" w:rsidP="00C917D6">
            <w:pPr>
              <w:pStyle w:val="NormalLeft"/>
              <w:rPr>
                <w:sz w:val="14"/>
                <w:szCs w:val="14"/>
              </w:rPr>
            </w:pPr>
            <w:r w:rsidRPr="00DE12A3">
              <w:rPr>
                <w:sz w:val="14"/>
                <w:szCs w:val="14"/>
              </w:rPr>
              <w:t>3,257</w:t>
            </w:r>
          </w:p>
        </w:tc>
        <w:tc>
          <w:tcPr>
            <w:tcW w:w="464" w:type="dxa"/>
            <w:tcBorders>
              <w:top w:val="single" w:sz="2" w:space="0" w:color="auto"/>
              <w:left w:val="single" w:sz="2" w:space="0" w:color="auto"/>
              <w:bottom w:val="single" w:sz="2" w:space="0" w:color="auto"/>
              <w:right w:val="single" w:sz="2" w:space="0" w:color="auto"/>
            </w:tcBorders>
          </w:tcPr>
          <w:p w14:paraId="58FF7B72" w14:textId="77777777" w:rsidR="009F4766" w:rsidRPr="00DE12A3" w:rsidRDefault="009F4766" w:rsidP="00C917D6">
            <w:pPr>
              <w:pStyle w:val="NormalLeft"/>
              <w:rPr>
                <w:sz w:val="14"/>
                <w:szCs w:val="14"/>
              </w:rPr>
            </w:pPr>
            <w:r w:rsidRPr="00DE12A3">
              <w:rPr>
                <w:sz w:val="14"/>
                <w:szCs w:val="14"/>
              </w:rPr>
              <w:t>3,074</w:t>
            </w:r>
          </w:p>
        </w:tc>
        <w:tc>
          <w:tcPr>
            <w:tcW w:w="465" w:type="dxa"/>
            <w:tcBorders>
              <w:top w:val="single" w:sz="2" w:space="0" w:color="auto"/>
              <w:left w:val="single" w:sz="2" w:space="0" w:color="auto"/>
              <w:bottom w:val="single" w:sz="2" w:space="0" w:color="auto"/>
              <w:right w:val="single" w:sz="2" w:space="0" w:color="auto"/>
            </w:tcBorders>
          </w:tcPr>
          <w:p w14:paraId="5C2F9C61" w14:textId="77777777" w:rsidR="009F4766" w:rsidRPr="00DE12A3" w:rsidRDefault="009F4766" w:rsidP="00C917D6">
            <w:pPr>
              <w:pStyle w:val="NormalLeft"/>
              <w:rPr>
                <w:sz w:val="14"/>
                <w:szCs w:val="14"/>
              </w:rPr>
            </w:pPr>
            <w:r w:rsidRPr="00DE12A3">
              <w:rPr>
                <w:sz w:val="14"/>
                <w:szCs w:val="14"/>
              </w:rPr>
              <w:t>2,961</w:t>
            </w:r>
          </w:p>
        </w:tc>
        <w:tc>
          <w:tcPr>
            <w:tcW w:w="464" w:type="dxa"/>
            <w:tcBorders>
              <w:top w:val="single" w:sz="2" w:space="0" w:color="auto"/>
              <w:left w:val="single" w:sz="2" w:space="0" w:color="auto"/>
              <w:bottom w:val="single" w:sz="2" w:space="0" w:color="auto"/>
              <w:right w:val="single" w:sz="2" w:space="0" w:color="auto"/>
            </w:tcBorders>
          </w:tcPr>
          <w:p w14:paraId="298F1885" w14:textId="77777777" w:rsidR="009F4766" w:rsidRPr="00DE12A3" w:rsidRDefault="009F4766" w:rsidP="00C917D6">
            <w:pPr>
              <w:pStyle w:val="NormalLeft"/>
              <w:rPr>
                <w:sz w:val="14"/>
                <w:szCs w:val="14"/>
              </w:rPr>
            </w:pPr>
            <w:r w:rsidRPr="00DE12A3">
              <w:rPr>
                <w:sz w:val="14"/>
                <w:szCs w:val="14"/>
              </w:rPr>
              <w:t>2,883</w:t>
            </w:r>
          </w:p>
        </w:tc>
        <w:tc>
          <w:tcPr>
            <w:tcW w:w="464" w:type="dxa"/>
            <w:tcBorders>
              <w:top w:val="single" w:sz="2" w:space="0" w:color="auto"/>
              <w:left w:val="single" w:sz="2" w:space="0" w:color="auto"/>
              <w:bottom w:val="single" w:sz="2" w:space="0" w:color="auto"/>
              <w:right w:val="single" w:sz="2" w:space="0" w:color="auto"/>
            </w:tcBorders>
          </w:tcPr>
          <w:p w14:paraId="71AC73A4" w14:textId="77777777" w:rsidR="009F4766" w:rsidRPr="00DE12A3" w:rsidRDefault="009F4766" w:rsidP="00C917D6">
            <w:pPr>
              <w:pStyle w:val="NormalLeft"/>
              <w:rPr>
                <w:sz w:val="14"/>
                <w:szCs w:val="14"/>
              </w:rPr>
            </w:pPr>
            <w:r w:rsidRPr="00DE12A3">
              <w:rPr>
                <w:sz w:val="14"/>
                <w:szCs w:val="14"/>
              </w:rPr>
              <w:t>2,827</w:t>
            </w:r>
          </w:p>
        </w:tc>
        <w:tc>
          <w:tcPr>
            <w:tcW w:w="464" w:type="dxa"/>
            <w:tcBorders>
              <w:top w:val="single" w:sz="2" w:space="0" w:color="auto"/>
              <w:left w:val="single" w:sz="2" w:space="0" w:color="auto"/>
              <w:bottom w:val="single" w:sz="2" w:space="0" w:color="auto"/>
              <w:right w:val="single" w:sz="2" w:space="0" w:color="auto"/>
            </w:tcBorders>
          </w:tcPr>
          <w:p w14:paraId="7FDD45CC" w14:textId="77777777" w:rsidR="009F4766" w:rsidRPr="00DE12A3" w:rsidRDefault="009F4766" w:rsidP="00C917D6">
            <w:pPr>
              <w:pStyle w:val="NormalLeft"/>
              <w:rPr>
                <w:sz w:val="14"/>
                <w:szCs w:val="14"/>
              </w:rPr>
            </w:pPr>
            <w:r w:rsidRPr="00DE12A3">
              <w:rPr>
                <w:sz w:val="14"/>
                <w:szCs w:val="14"/>
              </w:rPr>
              <w:t>2,785</w:t>
            </w:r>
          </w:p>
        </w:tc>
        <w:tc>
          <w:tcPr>
            <w:tcW w:w="465" w:type="dxa"/>
            <w:tcBorders>
              <w:top w:val="single" w:sz="2" w:space="0" w:color="auto"/>
              <w:left w:val="single" w:sz="2" w:space="0" w:color="auto"/>
              <w:bottom w:val="single" w:sz="2" w:space="0" w:color="auto"/>
              <w:right w:val="single" w:sz="2" w:space="0" w:color="auto"/>
            </w:tcBorders>
          </w:tcPr>
          <w:p w14:paraId="66CBA09D" w14:textId="77777777" w:rsidR="009F4766" w:rsidRPr="00DE12A3" w:rsidRDefault="009F4766" w:rsidP="00C917D6">
            <w:pPr>
              <w:pStyle w:val="NormalLeft"/>
              <w:rPr>
                <w:sz w:val="14"/>
                <w:szCs w:val="14"/>
              </w:rPr>
            </w:pPr>
            <w:r w:rsidRPr="00DE12A3">
              <w:rPr>
                <w:sz w:val="14"/>
                <w:szCs w:val="14"/>
              </w:rPr>
              <w:t>2,752</w:t>
            </w:r>
          </w:p>
        </w:tc>
        <w:tc>
          <w:tcPr>
            <w:tcW w:w="464" w:type="dxa"/>
            <w:tcBorders>
              <w:top w:val="single" w:sz="2" w:space="0" w:color="auto"/>
              <w:left w:val="single" w:sz="2" w:space="0" w:color="auto"/>
              <w:bottom w:val="single" w:sz="2" w:space="0" w:color="auto"/>
              <w:right w:val="single" w:sz="2" w:space="0" w:color="auto"/>
            </w:tcBorders>
          </w:tcPr>
          <w:p w14:paraId="2CDD8A77" w14:textId="77777777" w:rsidR="009F4766" w:rsidRPr="00DE12A3" w:rsidRDefault="009F4766" w:rsidP="00C917D6">
            <w:pPr>
              <w:pStyle w:val="NormalLeft"/>
              <w:rPr>
                <w:sz w:val="14"/>
                <w:szCs w:val="14"/>
              </w:rPr>
            </w:pPr>
            <w:r w:rsidRPr="00DE12A3">
              <w:rPr>
                <w:sz w:val="14"/>
                <w:szCs w:val="14"/>
              </w:rPr>
              <w:t>2,725</w:t>
            </w:r>
          </w:p>
        </w:tc>
        <w:tc>
          <w:tcPr>
            <w:tcW w:w="464" w:type="dxa"/>
            <w:tcBorders>
              <w:top w:val="single" w:sz="2" w:space="0" w:color="auto"/>
              <w:left w:val="single" w:sz="2" w:space="0" w:color="auto"/>
              <w:bottom w:val="single" w:sz="2" w:space="0" w:color="auto"/>
              <w:right w:val="single" w:sz="2" w:space="0" w:color="auto"/>
            </w:tcBorders>
          </w:tcPr>
          <w:p w14:paraId="4A15D27E" w14:textId="77777777" w:rsidR="009F4766" w:rsidRPr="00DE12A3" w:rsidRDefault="009F4766" w:rsidP="00C917D6">
            <w:pPr>
              <w:pStyle w:val="NormalLeft"/>
              <w:rPr>
                <w:sz w:val="14"/>
                <w:szCs w:val="14"/>
              </w:rPr>
            </w:pPr>
            <w:r w:rsidRPr="00DE12A3">
              <w:rPr>
                <w:sz w:val="14"/>
                <w:szCs w:val="14"/>
              </w:rPr>
              <w:t>2,703</w:t>
            </w:r>
          </w:p>
        </w:tc>
        <w:tc>
          <w:tcPr>
            <w:tcW w:w="465" w:type="dxa"/>
            <w:tcBorders>
              <w:top w:val="single" w:sz="2" w:space="0" w:color="auto"/>
              <w:left w:val="single" w:sz="2" w:space="0" w:color="auto"/>
              <w:bottom w:val="single" w:sz="2" w:space="0" w:color="auto"/>
              <w:right w:val="single" w:sz="2" w:space="0" w:color="auto"/>
            </w:tcBorders>
          </w:tcPr>
          <w:p w14:paraId="42390EC1" w14:textId="77777777" w:rsidR="009F4766" w:rsidRPr="00DE12A3" w:rsidRDefault="009F4766" w:rsidP="00C917D6">
            <w:pPr>
              <w:pStyle w:val="NormalLeft"/>
              <w:rPr>
                <w:sz w:val="14"/>
                <w:szCs w:val="14"/>
              </w:rPr>
            </w:pPr>
            <w:r w:rsidRPr="00DE12A3">
              <w:rPr>
                <w:sz w:val="14"/>
                <w:szCs w:val="14"/>
              </w:rPr>
              <w:t>2,668</w:t>
            </w:r>
          </w:p>
        </w:tc>
        <w:tc>
          <w:tcPr>
            <w:tcW w:w="464" w:type="dxa"/>
            <w:tcBorders>
              <w:top w:val="single" w:sz="2" w:space="0" w:color="auto"/>
              <w:left w:val="single" w:sz="2" w:space="0" w:color="auto"/>
              <w:bottom w:val="single" w:sz="2" w:space="0" w:color="auto"/>
              <w:right w:val="single" w:sz="2" w:space="0" w:color="auto"/>
            </w:tcBorders>
          </w:tcPr>
          <w:p w14:paraId="21F7D9EE" w14:textId="77777777" w:rsidR="009F4766" w:rsidRPr="00DE12A3" w:rsidRDefault="009F4766" w:rsidP="00C917D6">
            <w:pPr>
              <w:pStyle w:val="NormalLeft"/>
              <w:rPr>
                <w:sz w:val="14"/>
                <w:szCs w:val="14"/>
              </w:rPr>
            </w:pPr>
            <w:r w:rsidRPr="00DE12A3">
              <w:rPr>
                <w:sz w:val="14"/>
                <w:szCs w:val="14"/>
              </w:rPr>
              <w:t>2,632</w:t>
            </w:r>
          </w:p>
        </w:tc>
        <w:tc>
          <w:tcPr>
            <w:tcW w:w="464" w:type="dxa"/>
            <w:tcBorders>
              <w:top w:val="single" w:sz="2" w:space="0" w:color="auto"/>
              <w:left w:val="single" w:sz="2" w:space="0" w:color="auto"/>
              <w:bottom w:val="single" w:sz="2" w:space="0" w:color="auto"/>
              <w:right w:val="single" w:sz="2" w:space="0" w:color="auto"/>
            </w:tcBorders>
          </w:tcPr>
          <w:p w14:paraId="3C7054CE" w14:textId="77777777" w:rsidR="009F4766" w:rsidRPr="00DE12A3" w:rsidRDefault="009F4766" w:rsidP="00C917D6">
            <w:pPr>
              <w:pStyle w:val="NormalLeft"/>
              <w:rPr>
                <w:sz w:val="14"/>
                <w:szCs w:val="14"/>
              </w:rPr>
            </w:pPr>
            <w:r w:rsidRPr="00DE12A3">
              <w:rPr>
                <w:sz w:val="14"/>
                <w:szCs w:val="14"/>
              </w:rPr>
              <w:t>2,595</w:t>
            </w:r>
          </w:p>
        </w:tc>
        <w:tc>
          <w:tcPr>
            <w:tcW w:w="465" w:type="dxa"/>
            <w:tcBorders>
              <w:top w:val="single" w:sz="2" w:space="0" w:color="auto"/>
              <w:left w:val="single" w:sz="2" w:space="0" w:color="auto"/>
              <w:bottom w:val="single" w:sz="2" w:space="0" w:color="auto"/>
              <w:right w:val="single" w:sz="2" w:space="0" w:color="auto"/>
            </w:tcBorders>
          </w:tcPr>
          <w:p w14:paraId="3C723868" w14:textId="77777777" w:rsidR="009F4766" w:rsidRPr="00DE12A3" w:rsidRDefault="009F4766" w:rsidP="00C917D6">
            <w:pPr>
              <w:pStyle w:val="NormalLeft"/>
              <w:rPr>
                <w:sz w:val="14"/>
                <w:szCs w:val="14"/>
              </w:rPr>
            </w:pPr>
            <w:r w:rsidRPr="00DE12A3">
              <w:rPr>
                <w:sz w:val="14"/>
                <w:szCs w:val="14"/>
              </w:rPr>
              <w:t>2,575</w:t>
            </w:r>
          </w:p>
        </w:tc>
        <w:tc>
          <w:tcPr>
            <w:tcW w:w="464" w:type="dxa"/>
            <w:tcBorders>
              <w:top w:val="single" w:sz="2" w:space="0" w:color="auto"/>
              <w:left w:val="single" w:sz="2" w:space="0" w:color="auto"/>
              <w:bottom w:val="single" w:sz="2" w:space="0" w:color="auto"/>
              <w:right w:val="single" w:sz="2" w:space="0" w:color="auto"/>
            </w:tcBorders>
          </w:tcPr>
          <w:p w14:paraId="04EAB1E5" w14:textId="77777777" w:rsidR="009F4766" w:rsidRPr="00DE12A3" w:rsidRDefault="009F4766" w:rsidP="00C917D6">
            <w:pPr>
              <w:pStyle w:val="NormalLeft"/>
              <w:rPr>
                <w:sz w:val="14"/>
                <w:szCs w:val="14"/>
              </w:rPr>
            </w:pPr>
            <w:r w:rsidRPr="00DE12A3">
              <w:rPr>
                <w:sz w:val="14"/>
                <w:szCs w:val="14"/>
              </w:rPr>
              <w:t>2,555</w:t>
            </w:r>
          </w:p>
        </w:tc>
        <w:tc>
          <w:tcPr>
            <w:tcW w:w="464" w:type="dxa"/>
            <w:tcBorders>
              <w:top w:val="single" w:sz="2" w:space="0" w:color="auto"/>
              <w:left w:val="single" w:sz="2" w:space="0" w:color="auto"/>
              <w:bottom w:val="single" w:sz="2" w:space="0" w:color="auto"/>
              <w:right w:val="single" w:sz="2" w:space="0" w:color="auto"/>
            </w:tcBorders>
          </w:tcPr>
          <w:p w14:paraId="3AB755F0" w14:textId="77777777" w:rsidR="009F4766" w:rsidRPr="00DE12A3" w:rsidRDefault="009F4766" w:rsidP="00C917D6">
            <w:pPr>
              <w:pStyle w:val="NormalLeft"/>
              <w:rPr>
                <w:sz w:val="14"/>
                <w:szCs w:val="14"/>
              </w:rPr>
            </w:pPr>
            <w:r w:rsidRPr="00DE12A3">
              <w:rPr>
                <w:sz w:val="14"/>
                <w:szCs w:val="14"/>
              </w:rPr>
              <w:t>2,535</w:t>
            </w:r>
          </w:p>
        </w:tc>
        <w:tc>
          <w:tcPr>
            <w:tcW w:w="464" w:type="dxa"/>
            <w:tcBorders>
              <w:top w:val="single" w:sz="2" w:space="0" w:color="auto"/>
              <w:left w:val="single" w:sz="2" w:space="0" w:color="auto"/>
              <w:bottom w:val="single" w:sz="2" w:space="0" w:color="auto"/>
              <w:right w:val="single" w:sz="2" w:space="0" w:color="auto"/>
            </w:tcBorders>
          </w:tcPr>
          <w:p w14:paraId="2668B76C" w14:textId="77777777" w:rsidR="009F4766" w:rsidRPr="00DE12A3" w:rsidRDefault="009F4766" w:rsidP="00C917D6">
            <w:pPr>
              <w:pStyle w:val="NormalLeft"/>
              <w:rPr>
                <w:sz w:val="14"/>
                <w:szCs w:val="14"/>
              </w:rPr>
            </w:pPr>
            <w:r w:rsidRPr="00DE12A3">
              <w:rPr>
                <w:sz w:val="14"/>
                <w:szCs w:val="14"/>
              </w:rPr>
              <w:t>2,514</w:t>
            </w:r>
          </w:p>
        </w:tc>
        <w:tc>
          <w:tcPr>
            <w:tcW w:w="465" w:type="dxa"/>
            <w:tcBorders>
              <w:top w:val="single" w:sz="2" w:space="0" w:color="auto"/>
              <w:left w:val="single" w:sz="2" w:space="0" w:color="auto"/>
              <w:bottom w:val="single" w:sz="2" w:space="0" w:color="auto"/>
              <w:right w:val="single" w:sz="2" w:space="0" w:color="auto"/>
            </w:tcBorders>
          </w:tcPr>
          <w:p w14:paraId="1A517EE8" w14:textId="77777777" w:rsidR="009F4766" w:rsidRPr="00DE12A3" w:rsidRDefault="009F4766" w:rsidP="00C917D6">
            <w:pPr>
              <w:pStyle w:val="NormalLeft"/>
              <w:rPr>
                <w:sz w:val="14"/>
                <w:szCs w:val="14"/>
              </w:rPr>
            </w:pPr>
            <w:r w:rsidRPr="00DE12A3">
              <w:rPr>
                <w:sz w:val="14"/>
                <w:szCs w:val="14"/>
              </w:rPr>
              <w:t>2,493</w:t>
            </w:r>
          </w:p>
        </w:tc>
        <w:tc>
          <w:tcPr>
            <w:tcW w:w="464" w:type="dxa"/>
            <w:tcBorders>
              <w:top w:val="single" w:sz="2" w:space="0" w:color="auto"/>
              <w:left w:val="single" w:sz="2" w:space="0" w:color="auto"/>
              <w:bottom w:val="single" w:sz="2" w:space="0" w:color="auto"/>
              <w:right w:val="single" w:sz="2" w:space="0" w:color="auto"/>
            </w:tcBorders>
          </w:tcPr>
          <w:p w14:paraId="437E477F" w14:textId="77777777" w:rsidR="009F4766" w:rsidRPr="00DE12A3" w:rsidRDefault="009F4766" w:rsidP="00C917D6">
            <w:pPr>
              <w:pStyle w:val="NormalLeft"/>
              <w:rPr>
                <w:sz w:val="14"/>
                <w:szCs w:val="14"/>
              </w:rPr>
            </w:pPr>
            <w:r w:rsidRPr="00DE12A3">
              <w:rPr>
                <w:sz w:val="14"/>
                <w:szCs w:val="14"/>
              </w:rPr>
              <w:t>2,471</w:t>
            </w:r>
          </w:p>
        </w:tc>
      </w:tr>
      <w:tr w:rsidR="00DE12A3" w:rsidRPr="00DE12A3" w14:paraId="645DF354" w14:textId="77777777" w:rsidTr="009F4766">
        <w:tc>
          <w:tcPr>
            <w:tcW w:w="464" w:type="dxa"/>
            <w:tcBorders>
              <w:top w:val="single" w:sz="2" w:space="0" w:color="auto"/>
              <w:left w:val="single" w:sz="2" w:space="0" w:color="auto"/>
              <w:bottom w:val="single" w:sz="2" w:space="0" w:color="auto"/>
              <w:right w:val="single" w:sz="2" w:space="0" w:color="auto"/>
            </w:tcBorders>
          </w:tcPr>
          <w:p w14:paraId="650B09FA" w14:textId="77777777" w:rsidR="009F4766" w:rsidRPr="00DE12A3" w:rsidRDefault="009F4766" w:rsidP="00C917D6">
            <w:pPr>
              <w:pStyle w:val="NormalLeft"/>
              <w:rPr>
                <w:sz w:val="14"/>
                <w:szCs w:val="14"/>
              </w:rPr>
            </w:pPr>
            <w:r w:rsidRPr="00DE12A3">
              <w:rPr>
                <w:sz w:val="14"/>
                <w:szCs w:val="14"/>
              </w:rPr>
              <w:t>8</w:t>
            </w:r>
          </w:p>
        </w:tc>
        <w:tc>
          <w:tcPr>
            <w:tcW w:w="465" w:type="dxa"/>
            <w:tcBorders>
              <w:top w:val="single" w:sz="2" w:space="0" w:color="auto"/>
              <w:left w:val="single" w:sz="2" w:space="0" w:color="auto"/>
              <w:bottom w:val="single" w:sz="2" w:space="0" w:color="auto"/>
              <w:right w:val="single" w:sz="2" w:space="0" w:color="auto"/>
            </w:tcBorders>
          </w:tcPr>
          <w:p w14:paraId="738ABABF" w14:textId="77777777" w:rsidR="009F4766" w:rsidRPr="00DE12A3" w:rsidRDefault="009F4766" w:rsidP="00C917D6">
            <w:pPr>
              <w:pStyle w:val="NormalLeft"/>
              <w:rPr>
                <w:sz w:val="14"/>
                <w:szCs w:val="14"/>
              </w:rPr>
            </w:pPr>
            <w:r w:rsidRPr="00DE12A3">
              <w:rPr>
                <w:sz w:val="14"/>
                <w:szCs w:val="14"/>
              </w:rPr>
              <w:t>3,458</w:t>
            </w:r>
          </w:p>
        </w:tc>
        <w:tc>
          <w:tcPr>
            <w:tcW w:w="464" w:type="dxa"/>
            <w:tcBorders>
              <w:top w:val="single" w:sz="2" w:space="0" w:color="auto"/>
              <w:left w:val="single" w:sz="2" w:space="0" w:color="auto"/>
              <w:bottom w:val="single" w:sz="2" w:space="0" w:color="auto"/>
              <w:right w:val="single" w:sz="2" w:space="0" w:color="auto"/>
            </w:tcBorders>
          </w:tcPr>
          <w:p w14:paraId="2C2B260D" w14:textId="77777777" w:rsidR="009F4766" w:rsidRPr="00DE12A3" w:rsidRDefault="009F4766" w:rsidP="00C917D6">
            <w:pPr>
              <w:pStyle w:val="NormalLeft"/>
              <w:rPr>
                <w:sz w:val="14"/>
                <w:szCs w:val="14"/>
              </w:rPr>
            </w:pPr>
            <w:r w:rsidRPr="00DE12A3">
              <w:rPr>
                <w:sz w:val="14"/>
                <w:szCs w:val="14"/>
              </w:rPr>
              <w:t>3,113</w:t>
            </w:r>
          </w:p>
        </w:tc>
        <w:tc>
          <w:tcPr>
            <w:tcW w:w="464" w:type="dxa"/>
            <w:tcBorders>
              <w:top w:val="single" w:sz="2" w:space="0" w:color="auto"/>
              <w:left w:val="single" w:sz="2" w:space="0" w:color="auto"/>
              <w:bottom w:val="single" w:sz="2" w:space="0" w:color="auto"/>
              <w:right w:val="single" w:sz="2" w:space="0" w:color="auto"/>
            </w:tcBorders>
          </w:tcPr>
          <w:p w14:paraId="0E5F9386" w14:textId="77777777" w:rsidR="009F4766" w:rsidRPr="00DE12A3" w:rsidRDefault="009F4766" w:rsidP="00C917D6">
            <w:pPr>
              <w:pStyle w:val="NormalLeft"/>
              <w:rPr>
                <w:sz w:val="14"/>
                <w:szCs w:val="14"/>
              </w:rPr>
            </w:pPr>
            <w:r w:rsidRPr="00DE12A3">
              <w:rPr>
                <w:sz w:val="14"/>
                <w:szCs w:val="14"/>
              </w:rPr>
              <w:t>2,924</w:t>
            </w:r>
          </w:p>
        </w:tc>
        <w:tc>
          <w:tcPr>
            <w:tcW w:w="465" w:type="dxa"/>
            <w:tcBorders>
              <w:top w:val="single" w:sz="2" w:space="0" w:color="auto"/>
              <w:left w:val="single" w:sz="2" w:space="0" w:color="auto"/>
              <w:bottom w:val="single" w:sz="2" w:space="0" w:color="auto"/>
              <w:right w:val="single" w:sz="2" w:space="0" w:color="auto"/>
            </w:tcBorders>
          </w:tcPr>
          <w:p w14:paraId="03AB2425" w14:textId="77777777" w:rsidR="009F4766" w:rsidRPr="00DE12A3" w:rsidRDefault="009F4766" w:rsidP="00C917D6">
            <w:pPr>
              <w:pStyle w:val="NormalLeft"/>
              <w:rPr>
                <w:sz w:val="14"/>
                <w:szCs w:val="14"/>
              </w:rPr>
            </w:pPr>
            <w:r w:rsidRPr="00DE12A3">
              <w:rPr>
                <w:sz w:val="14"/>
                <w:szCs w:val="14"/>
              </w:rPr>
              <w:t>2,806</w:t>
            </w:r>
          </w:p>
        </w:tc>
        <w:tc>
          <w:tcPr>
            <w:tcW w:w="464" w:type="dxa"/>
            <w:tcBorders>
              <w:top w:val="single" w:sz="2" w:space="0" w:color="auto"/>
              <w:left w:val="single" w:sz="2" w:space="0" w:color="auto"/>
              <w:bottom w:val="single" w:sz="2" w:space="0" w:color="auto"/>
              <w:right w:val="single" w:sz="2" w:space="0" w:color="auto"/>
            </w:tcBorders>
          </w:tcPr>
          <w:p w14:paraId="57965636" w14:textId="77777777" w:rsidR="009F4766" w:rsidRPr="00DE12A3" w:rsidRDefault="009F4766" w:rsidP="00C917D6">
            <w:pPr>
              <w:pStyle w:val="NormalLeft"/>
              <w:rPr>
                <w:sz w:val="14"/>
                <w:szCs w:val="14"/>
              </w:rPr>
            </w:pPr>
            <w:r w:rsidRPr="00DE12A3">
              <w:rPr>
                <w:sz w:val="14"/>
                <w:szCs w:val="14"/>
              </w:rPr>
              <w:t>2,726</w:t>
            </w:r>
          </w:p>
        </w:tc>
        <w:tc>
          <w:tcPr>
            <w:tcW w:w="464" w:type="dxa"/>
            <w:tcBorders>
              <w:top w:val="single" w:sz="2" w:space="0" w:color="auto"/>
              <w:left w:val="single" w:sz="2" w:space="0" w:color="auto"/>
              <w:bottom w:val="single" w:sz="2" w:space="0" w:color="auto"/>
              <w:right w:val="single" w:sz="2" w:space="0" w:color="auto"/>
            </w:tcBorders>
          </w:tcPr>
          <w:p w14:paraId="3D764D5A" w14:textId="77777777" w:rsidR="009F4766" w:rsidRPr="00DE12A3" w:rsidRDefault="009F4766" w:rsidP="00C917D6">
            <w:pPr>
              <w:pStyle w:val="NormalLeft"/>
              <w:rPr>
                <w:sz w:val="14"/>
                <w:szCs w:val="14"/>
              </w:rPr>
            </w:pPr>
            <w:r w:rsidRPr="00DE12A3">
              <w:rPr>
                <w:sz w:val="14"/>
                <w:szCs w:val="14"/>
              </w:rPr>
              <w:t>2,668</w:t>
            </w:r>
          </w:p>
        </w:tc>
        <w:tc>
          <w:tcPr>
            <w:tcW w:w="464" w:type="dxa"/>
            <w:tcBorders>
              <w:top w:val="single" w:sz="2" w:space="0" w:color="auto"/>
              <w:left w:val="single" w:sz="2" w:space="0" w:color="auto"/>
              <w:bottom w:val="single" w:sz="2" w:space="0" w:color="auto"/>
              <w:right w:val="single" w:sz="2" w:space="0" w:color="auto"/>
            </w:tcBorders>
          </w:tcPr>
          <w:p w14:paraId="7E825992" w14:textId="77777777" w:rsidR="009F4766" w:rsidRPr="00DE12A3" w:rsidRDefault="009F4766" w:rsidP="00C917D6">
            <w:pPr>
              <w:pStyle w:val="NormalLeft"/>
              <w:rPr>
                <w:sz w:val="14"/>
                <w:szCs w:val="14"/>
              </w:rPr>
            </w:pPr>
            <w:r w:rsidRPr="00DE12A3">
              <w:rPr>
                <w:sz w:val="14"/>
                <w:szCs w:val="14"/>
              </w:rPr>
              <w:t>2,624</w:t>
            </w:r>
          </w:p>
        </w:tc>
        <w:tc>
          <w:tcPr>
            <w:tcW w:w="465" w:type="dxa"/>
            <w:tcBorders>
              <w:top w:val="single" w:sz="2" w:space="0" w:color="auto"/>
              <w:left w:val="single" w:sz="2" w:space="0" w:color="auto"/>
              <w:bottom w:val="single" w:sz="2" w:space="0" w:color="auto"/>
              <w:right w:val="single" w:sz="2" w:space="0" w:color="auto"/>
            </w:tcBorders>
          </w:tcPr>
          <w:p w14:paraId="69B33B1C" w14:textId="77777777" w:rsidR="009F4766" w:rsidRPr="00DE12A3" w:rsidRDefault="009F4766" w:rsidP="00C917D6">
            <w:pPr>
              <w:pStyle w:val="NormalLeft"/>
              <w:rPr>
                <w:sz w:val="14"/>
                <w:szCs w:val="14"/>
              </w:rPr>
            </w:pPr>
            <w:r w:rsidRPr="00DE12A3">
              <w:rPr>
                <w:sz w:val="14"/>
                <w:szCs w:val="14"/>
              </w:rPr>
              <w:t>2,589</w:t>
            </w:r>
          </w:p>
        </w:tc>
        <w:tc>
          <w:tcPr>
            <w:tcW w:w="464" w:type="dxa"/>
            <w:tcBorders>
              <w:top w:val="single" w:sz="2" w:space="0" w:color="auto"/>
              <w:left w:val="single" w:sz="2" w:space="0" w:color="auto"/>
              <w:bottom w:val="single" w:sz="2" w:space="0" w:color="auto"/>
              <w:right w:val="single" w:sz="2" w:space="0" w:color="auto"/>
            </w:tcBorders>
          </w:tcPr>
          <w:p w14:paraId="1BEF91CB" w14:textId="77777777" w:rsidR="009F4766" w:rsidRPr="00DE12A3" w:rsidRDefault="009F4766" w:rsidP="00C917D6">
            <w:pPr>
              <w:pStyle w:val="NormalLeft"/>
              <w:rPr>
                <w:sz w:val="14"/>
                <w:szCs w:val="14"/>
              </w:rPr>
            </w:pPr>
            <w:r w:rsidRPr="00DE12A3">
              <w:rPr>
                <w:sz w:val="14"/>
                <w:szCs w:val="14"/>
              </w:rPr>
              <w:t>2,561</w:t>
            </w:r>
          </w:p>
        </w:tc>
        <w:tc>
          <w:tcPr>
            <w:tcW w:w="464" w:type="dxa"/>
            <w:tcBorders>
              <w:top w:val="single" w:sz="2" w:space="0" w:color="auto"/>
              <w:left w:val="single" w:sz="2" w:space="0" w:color="auto"/>
              <w:bottom w:val="single" w:sz="2" w:space="0" w:color="auto"/>
              <w:right w:val="single" w:sz="2" w:space="0" w:color="auto"/>
            </w:tcBorders>
          </w:tcPr>
          <w:p w14:paraId="50B8CC72" w14:textId="77777777" w:rsidR="009F4766" w:rsidRPr="00DE12A3" w:rsidRDefault="009F4766" w:rsidP="00C917D6">
            <w:pPr>
              <w:pStyle w:val="NormalLeft"/>
              <w:rPr>
                <w:sz w:val="14"/>
                <w:szCs w:val="14"/>
              </w:rPr>
            </w:pPr>
            <w:r w:rsidRPr="00DE12A3">
              <w:rPr>
                <w:sz w:val="14"/>
                <w:szCs w:val="14"/>
              </w:rPr>
              <w:t>2,538</w:t>
            </w:r>
          </w:p>
        </w:tc>
        <w:tc>
          <w:tcPr>
            <w:tcW w:w="465" w:type="dxa"/>
            <w:tcBorders>
              <w:top w:val="single" w:sz="2" w:space="0" w:color="auto"/>
              <w:left w:val="single" w:sz="2" w:space="0" w:color="auto"/>
              <w:bottom w:val="single" w:sz="2" w:space="0" w:color="auto"/>
              <w:right w:val="single" w:sz="2" w:space="0" w:color="auto"/>
            </w:tcBorders>
          </w:tcPr>
          <w:p w14:paraId="5C8817FD" w14:textId="77777777" w:rsidR="009F4766" w:rsidRPr="00DE12A3" w:rsidRDefault="009F4766" w:rsidP="00C917D6">
            <w:pPr>
              <w:pStyle w:val="NormalLeft"/>
              <w:rPr>
                <w:sz w:val="14"/>
                <w:szCs w:val="14"/>
              </w:rPr>
            </w:pPr>
            <w:r w:rsidRPr="00DE12A3">
              <w:rPr>
                <w:sz w:val="14"/>
                <w:szCs w:val="14"/>
              </w:rPr>
              <w:t>2,502</w:t>
            </w:r>
          </w:p>
        </w:tc>
        <w:tc>
          <w:tcPr>
            <w:tcW w:w="464" w:type="dxa"/>
            <w:tcBorders>
              <w:top w:val="single" w:sz="2" w:space="0" w:color="auto"/>
              <w:left w:val="single" w:sz="2" w:space="0" w:color="auto"/>
              <w:bottom w:val="single" w:sz="2" w:space="0" w:color="auto"/>
              <w:right w:val="single" w:sz="2" w:space="0" w:color="auto"/>
            </w:tcBorders>
          </w:tcPr>
          <w:p w14:paraId="6C0D384C" w14:textId="77777777" w:rsidR="009F4766" w:rsidRPr="00DE12A3" w:rsidRDefault="009F4766" w:rsidP="00C917D6">
            <w:pPr>
              <w:pStyle w:val="NormalLeft"/>
              <w:rPr>
                <w:sz w:val="14"/>
                <w:szCs w:val="14"/>
              </w:rPr>
            </w:pPr>
            <w:r w:rsidRPr="00DE12A3">
              <w:rPr>
                <w:sz w:val="14"/>
                <w:szCs w:val="14"/>
              </w:rPr>
              <w:t>2,464</w:t>
            </w:r>
          </w:p>
        </w:tc>
        <w:tc>
          <w:tcPr>
            <w:tcW w:w="464" w:type="dxa"/>
            <w:tcBorders>
              <w:top w:val="single" w:sz="2" w:space="0" w:color="auto"/>
              <w:left w:val="single" w:sz="2" w:space="0" w:color="auto"/>
              <w:bottom w:val="single" w:sz="2" w:space="0" w:color="auto"/>
              <w:right w:val="single" w:sz="2" w:space="0" w:color="auto"/>
            </w:tcBorders>
          </w:tcPr>
          <w:p w14:paraId="5235B152" w14:textId="77777777" w:rsidR="009F4766" w:rsidRPr="00DE12A3" w:rsidRDefault="009F4766" w:rsidP="00C917D6">
            <w:pPr>
              <w:pStyle w:val="NormalLeft"/>
              <w:rPr>
                <w:sz w:val="14"/>
                <w:szCs w:val="14"/>
              </w:rPr>
            </w:pPr>
            <w:r w:rsidRPr="00DE12A3">
              <w:rPr>
                <w:sz w:val="14"/>
                <w:szCs w:val="14"/>
              </w:rPr>
              <w:t>2,425</w:t>
            </w:r>
          </w:p>
        </w:tc>
        <w:tc>
          <w:tcPr>
            <w:tcW w:w="465" w:type="dxa"/>
            <w:tcBorders>
              <w:top w:val="single" w:sz="2" w:space="0" w:color="auto"/>
              <w:left w:val="single" w:sz="2" w:space="0" w:color="auto"/>
              <w:bottom w:val="single" w:sz="2" w:space="0" w:color="auto"/>
              <w:right w:val="single" w:sz="2" w:space="0" w:color="auto"/>
            </w:tcBorders>
          </w:tcPr>
          <w:p w14:paraId="70E07E6A" w14:textId="77777777" w:rsidR="009F4766" w:rsidRPr="00DE12A3" w:rsidRDefault="009F4766" w:rsidP="00C917D6">
            <w:pPr>
              <w:pStyle w:val="NormalLeft"/>
              <w:rPr>
                <w:sz w:val="14"/>
                <w:szCs w:val="14"/>
              </w:rPr>
            </w:pPr>
            <w:r w:rsidRPr="00DE12A3">
              <w:rPr>
                <w:sz w:val="14"/>
                <w:szCs w:val="14"/>
              </w:rPr>
              <w:t>2,404</w:t>
            </w:r>
          </w:p>
        </w:tc>
        <w:tc>
          <w:tcPr>
            <w:tcW w:w="464" w:type="dxa"/>
            <w:tcBorders>
              <w:top w:val="single" w:sz="2" w:space="0" w:color="auto"/>
              <w:left w:val="single" w:sz="2" w:space="0" w:color="auto"/>
              <w:bottom w:val="single" w:sz="2" w:space="0" w:color="auto"/>
              <w:right w:val="single" w:sz="2" w:space="0" w:color="auto"/>
            </w:tcBorders>
          </w:tcPr>
          <w:p w14:paraId="6F5E8A5D" w14:textId="77777777" w:rsidR="009F4766" w:rsidRPr="00DE12A3" w:rsidRDefault="009F4766" w:rsidP="00C917D6">
            <w:pPr>
              <w:pStyle w:val="NormalLeft"/>
              <w:rPr>
                <w:sz w:val="14"/>
                <w:szCs w:val="14"/>
              </w:rPr>
            </w:pPr>
            <w:r w:rsidRPr="00DE12A3">
              <w:rPr>
                <w:sz w:val="14"/>
                <w:szCs w:val="14"/>
              </w:rPr>
              <w:t>2,383</w:t>
            </w:r>
          </w:p>
        </w:tc>
        <w:tc>
          <w:tcPr>
            <w:tcW w:w="464" w:type="dxa"/>
            <w:tcBorders>
              <w:top w:val="single" w:sz="2" w:space="0" w:color="auto"/>
              <w:left w:val="single" w:sz="2" w:space="0" w:color="auto"/>
              <w:bottom w:val="single" w:sz="2" w:space="0" w:color="auto"/>
              <w:right w:val="single" w:sz="2" w:space="0" w:color="auto"/>
            </w:tcBorders>
          </w:tcPr>
          <w:p w14:paraId="18EEF452" w14:textId="77777777" w:rsidR="009F4766" w:rsidRPr="00DE12A3" w:rsidRDefault="009F4766" w:rsidP="00C917D6">
            <w:pPr>
              <w:pStyle w:val="NormalLeft"/>
              <w:rPr>
                <w:sz w:val="14"/>
                <w:szCs w:val="14"/>
              </w:rPr>
            </w:pPr>
            <w:r w:rsidRPr="00DE12A3">
              <w:rPr>
                <w:sz w:val="14"/>
                <w:szCs w:val="14"/>
              </w:rPr>
              <w:t>2,361</w:t>
            </w:r>
          </w:p>
        </w:tc>
        <w:tc>
          <w:tcPr>
            <w:tcW w:w="464" w:type="dxa"/>
            <w:tcBorders>
              <w:top w:val="single" w:sz="2" w:space="0" w:color="auto"/>
              <w:left w:val="single" w:sz="2" w:space="0" w:color="auto"/>
              <w:bottom w:val="single" w:sz="2" w:space="0" w:color="auto"/>
              <w:right w:val="single" w:sz="2" w:space="0" w:color="auto"/>
            </w:tcBorders>
          </w:tcPr>
          <w:p w14:paraId="221F9BDF" w14:textId="77777777" w:rsidR="009F4766" w:rsidRPr="00DE12A3" w:rsidRDefault="009F4766" w:rsidP="00C917D6">
            <w:pPr>
              <w:pStyle w:val="NormalLeft"/>
              <w:rPr>
                <w:sz w:val="14"/>
                <w:szCs w:val="14"/>
              </w:rPr>
            </w:pPr>
            <w:r w:rsidRPr="00DE12A3">
              <w:rPr>
                <w:sz w:val="14"/>
                <w:szCs w:val="14"/>
              </w:rPr>
              <w:t>2,339</w:t>
            </w:r>
          </w:p>
        </w:tc>
        <w:tc>
          <w:tcPr>
            <w:tcW w:w="465" w:type="dxa"/>
            <w:tcBorders>
              <w:top w:val="single" w:sz="2" w:space="0" w:color="auto"/>
              <w:left w:val="single" w:sz="2" w:space="0" w:color="auto"/>
              <w:bottom w:val="single" w:sz="2" w:space="0" w:color="auto"/>
              <w:right w:val="single" w:sz="2" w:space="0" w:color="auto"/>
            </w:tcBorders>
          </w:tcPr>
          <w:p w14:paraId="31AB88B0" w14:textId="77777777" w:rsidR="009F4766" w:rsidRPr="00DE12A3" w:rsidRDefault="009F4766" w:rsidP="00C917D6">
            <w:pPr>
              <w:pStyle w:val="NormalLeft"/>
              <w:rPr>
                <w:sz w:val="14"/>
                <w:szCs w:val="14"/>
              </w:rPr>
            </w:pPr>
            <w:r w:rsidRPr="00DE12A3">
              <w:rPr>
                <w:sz w:val="14"/>
                <w:szCs w:val="14"/>
              </w:rPr>
              <w:t>2,316</w:t>
            </w:r>
          </w:p>
        </w:tc>
        <w:tc>
          <w:tcPr>
            <w:tcW w:w="464" w:type="dxa"/>
            <w:tcBorders>
              <w:top w:val="single" w:sz="2" w:space="0" w:color="auto"/>
              <w:left w:val="single" w:sz="2" w:space="0" w:color="auto"/>
              <w:bottom w:val="single" w:sz="2" w:space="0" w:color="auto"/>
              <w:right w:val="single" w:sz="2" w:space="0" w:color="auto"/>
            </w:tcBorders>
          </w:tcPr>
          <w:p w14:paraId="1CA79724" w14:textId="77777777" w:rsidR="009F4766" w:rsidRPr="00DE12A3" w:rsidRDefault="009F4766" w:rsidP="00C917D6">
            <w:pPr>
              <w:pStyle w:val="NormalLeft"/>
              <w:rPr>
                <w:sz w:val="14"/>
                <w:szCs w:val="14"/>
              </w:rPr>
            </w:pPr>
            <w:r w:rsidRPr="00DE12A3">
              <w:rPr>
                <w:sz w:val="14"/>
                <w:szCs w:val="14"/>
              </w:rPr>
              <w:t>2,293</w:t>
            </w:r>
          </w:p>
        </w:tc>
      </w:tr>
      <w:tr w:rsidR="00DE12A3" w:rsidRPr="00DE12A3" w14:paraId="4C8C7761" w14:textId="77777777" w:rsidTr="009F4766">
        <w:tc>
          <w:tcPr>
            <w:tcW w:w="464" w:type="dxa"/>
            <w:tcBorders>
              <w:top w:val="single" w:sz="2" w:space="0" w:color="auto"/>
              <w:left w:val="single" w:sz="2" w:space="0" w:color="auto"/>
              <w:bottom w:val="single" w:sz="2" w:space="0" w:color="auto"/>
              <w:right w:val="single" w:sz="2" w:space="0" w:color="auto"/>
            </w:tcBorders>
          </w:tcPr>
          <w:p w14:paraId="034CC0A6" w14:textId="77777777" w:rsidR="009F4766" w:rsidRPr="00DE12A3" w:rsidRDefault="009F4766" w:rsidP="00C917D6">
            <w:pPr>
              <w:pStyle w:val="NormalLeft"/>
              <w:rPr>
                <w:sz w:val="14"/>
                <w:szCs w:val="14"/>
              </w:rPr>
            </w:pPr>
            <w:r w:rsidRPr="00DE12A3">
              <w:rPr>
                <w:sz w:val="14"/>
                <w:szCs w:val="14"/>
              </w:rPr>
              <w:t>9</w:t>
            </w:r>
          </w:p>
        </w:tc>
        <w:tc>
          <w:tcPr>
            <w:tcW w:w="465" w:type="dxa"/>
            <w:tcBorders>
              <w:top w:val="single" w:sz="2" w:space="0" w:color="auto"/>
              <w:left w:val="single" w:sz="2" w:space="0" w:color="auto"/>
              <w:bottom w:val="single" w:sz="2" w:space="0" w:color="auto"/>
              <w:right w:val="single" w:sz="2" w:space="0" w:color="auto"/>
            </w:tcBorders>
          </w:tcPr>
          <w:p w14:paraId="32875FB2" w14:textId="77777777" w:rsidR="009F4766" w:rsidRPr="00DE12A3" w:rsidRDefault="009F4766" w:rsidP="00C917D6">
            <w:pPr>
              <w:pStyle w:val="NormalLeft"/>
              <w:rPr>
                <w:sz w:val="14"/>
                <w:szCs w:val="14"/>
              </w:rPr>
            </w:pPr>
            <w:r w:rsidRPr="00DE12A3">
              <w:rPr>
                <w:sz w:val="14"/>
                <w:szCs w:val="14"/>
              </w:rPr>
              <w:t>3,360</w:t>
            </w:r>
          </w:p>
        </w:tc>
        <w:tc>
          <w:tcPr>
            <w:tcW w:w="464" w:type="dxa"/>
            <w:tcBorders>
              <w:top w:val="single" w:sz="2" w:space="0" w:color="auto"/>
              <w:left w:val="single" w:sz="2" w:space="0" w:color="auto"/>
              <w:bottom w:val="single" w:sz="2" w:space="0" w:color="auto"/>
              <w:right w:val="single" w:sz="2" w:space="0" w:color="auto"/>
            </w:tcBorders>
          </w:tcPr>
          <w:p w14:paraId="0E6EFCC5" w14:textId="77777777" w:rsidR="009F4766" w:rsidRPr="00DE12A3" w:rsidRDefault="009F4766" w:rsidP="00C917D6">
            <w:pPr>
              <w:pStyle w:val="NormalLeft"/>
              <w:rPr>
                <w:sz w:val="14"/>
                <w:szCs w:val="14"/>
              </w:rPr>
            </w:pPr>
            <w:r w:rsidRPr="00DE12A3">
              <w:rPr>
                <w:sz w:val="14"/>
                <w:szCs w:val="14"/>
              </w:rPr>
              <w:t>3,006</w:t>
            </w:r>
          </w:p>
        </w:tc>
        <w:tc>
          <w:tcPr>
            <w:tcW w:w="464" w:type="dxa"/>
            <w:tcBorders>
              <w:top w:val="single" w:sz="2" w:space="0" w:color="auto"/>
              <w:left w:val="single" w:sz="2" w:space="0" w:color="auto"/>
              <w:bottom w:val="single" w:sz="2" w:space="0" w:color="auto"/>
              <w:right w:val="single" w:sz="2" w:space="0" w:color="auto"/>
            </w:tcBorders>
          </w:tcPr>
          <w:p w14:paraId="52E3D886" w14:textId="77777777" w:rsidR="009F4766" w:rsidRPr="00DE12A3" w:rsidRDefault="009F4766" w:rsidP="00C917D6">
            <w:pPr>
              <w:pStyle w:val="NormalLeft"/>
              <w:rPr>
                <w:sz w:val="14"/>
                <w:szCs w:val="14"/>
              </w:rPr>
            </w:pPr>
            <w:r w:rsidRPr="00DE12A3">
              <w:rPr>
                <w:sz w:val="14"/>
                <w:szCs w:val="14"/>
              </w:rPr>
              <w:t>2,813</w:t>
            </w:r>
          </w:p>
        </w:tc>
        <w:tc>
          <w:tcPr>
            <w:tcW w:w="465" w:type="dxa"/>
            <w:tcBorders>
              <w:top w:val="single" w:sz="2" w:space="0" w:color="auto"/>
              <w:left w:val="single" w:sz="2" w:space="0" w:color="auto"/>
              <w:bottom w:val="single" w:sz="2" w:space="0" w:color="auto"/>
              <w:right w:val="single" w:sz="2" w:space="0" w:color="auto"/>
            </w:tcBorders>
          </w:tcPr>
          <w:p w14:paraId="09F6670C" w14:textId="77777777" w:rsidR="009F4766" w:rsidRPr="00DE12A3" w:rsidRDefault="009F4766" w:rsidP="00C917D6">
            <w:pPr>
              <w:pStyle w:val="NormalLeft"/>
              <w:rPr>
                <w:sz w:val="14"/>
                <w:szCs w:val="14"/>
              </w:rPr>
            </w:pPr>
            <w:r w:rsidRPr="00DE12A3">
              <w:rPr>
                <w:sz w:val="14"/>
                <w:szCs w:val="14"/>
              </w:rPr>
              <w:t>2,693</w:t>
            </w:r>
          </w:p>
        </w:tc>
        <w:tc>
          <w:tcPr>
            <w:tcW w:w="464" w:type="dxa"/>
            <w:tcBorders>
              <w:top w:val="single" w:sz="2" w:space="0" w:color="auto"/>
              <w:left w:val="single" w:sz="2" w:space="0" w:color="auto"/>
              <w:bottom w:val="single" w:sz="2" w:space="0" w:color="auto"/>
              <w:right w:val="single" w:sz="2" w:space="0" w:color="auto"/>
            </w:tcBorders>
          </w:tcPr>
          <w:p w14:paraId="4CDBED15" w14:textId="77777777" w:rsidR="009F4766" w:rsidRPr="00DE12A3" w:rsidRDefault="009F4766" w:rsidP="00C917D6">
            <w:pPr>
              <w:pStyle w:val="NormalLeft"/>
              <w:rPr>
                <w:sz w:val="14"/>
                <w:szCs w:val="14"/>
              </w:rPr>
            </w:pPr>
            <w:r w:rsidRPr="00DE12A3">
              <w:rPr>
                <w:sz w:val="14"/>
                <w:szCs w:val="14"/>
              </w:rPr>
              <w:t>2,611</w:t>
            </w:r>
          </w:p>
        </w:tc>
        <w:tc>
          <w:tcPr>
            <w:tcW w:w="464" w:type="dxa"/>
            <w:tcBorders>
              <w:top w:val="single" w:sz="2" w:space="0" w:color="auto"/>
              <w:left w:val="single" w:sz="2" w:space="0" w:color="auto"/>
              <w:bottom w:val="single" w:sz="2" w:space="0" w:color="auto"/>
              <w:right w:val="single" w:sz="2" w:space="0" w:color="auto"/>
            </w:tcBorders>
          </w:tcPr>
          <w:p w14:paraId="2C232189" w14:textId="77777777" w:rsidR="009F4766" w:rsidRPr="00DE12A3" w:rsidRDefault="009F4766" w:rsidP="00C917D6">
            <w:pPr>
              <w:pStyle w:val="NormalLeft"/>
              <w:rPr>
                <w:sz w:val="14"/>
                <w:szCs w:val="14"/>
              </w:rPr>
            </w:pPr>
            <w:r w:rsidRPr="00DE12A3">
              <w:rPr>
                <w:sz w:val="14"/>
                <w:szCs w:val="14"/>
              </w:rPr>
              <w:t>2,551</w:t>
            </w:r>
          </w:p>
        </w:tc>
        <w:tc>
          <w:tcPr>
            <w:tcW w:w="464" w:type="dxa"/>
            <w:tcBorders>
              <w:top w:val="single" w:sz="2" w:space="0" w:color="auto"/>
              <w:left w:val="single" w:sz="2" w:space="0" w:color="auto"/>
              <w:bottom w:val="single" w:sz="2" w:space="0" w:color="auto"/>
              <w:right w:val="single" w:sz="2" w:space="0" w:color="auto"/>
            </w:tcBorders>
          </w:tcPr>
          <w:p w14:paraId="5ACA559E" w14:textId="77777777" w:rsidR="009F4766" w:rsidRPr="00DE12A3" w:rsidRDefault="009F4766" w:rsidP="00C917D6">
            <w:pPr>
              <w:pStyle w:val="NormalLeft"/>
              <w:rPr>
                <w:sz w:val="14"/>
                <w:szCs w:val="14"/>
              </w:rPr>
            </w:pPr>
            <w:r w:rsidRPr="00DE12A3">
              <w:rPr>
                <w:sz w:val="14"/>
                <w:szCs w:val="14"/>
              </w:rPr>
              <w:t>2,505</w:t>
            </w:r>
          </w:p>
        </w:tc>
        <w:tc>
          <w:tcPr>
            <w:tcW w:w="465" w:type="dxa"/>
            <w:tcBorders>
              <w:top w:val="single" w:sz="2" w:space="0" w:color="auto"/>
              <w:left w:val="single" w:sz="2" w:space="0" w:color="auto"/>
              <w:bottom w:val="single" w:sz="2" w:space="0" w:color="auto"/>
              <w:right w:val="single" w:sz="2" w:space="0" w:color="auto"/>
            </w:tcBorders>
          </w:tcPr>
          <w:p w14:paraId="1F4367DD" w14:textId="77777777" w:rsidR="009F4766" w:rsidRPr="00DE12A3" w:rsidRDefault="009F4766" w:rsidP="00C917D6">
            <w:pPr>
              <w:pStyle w:val="NormalLeft"/>
              <w:rPr>
                <w:sz w:val="14"/>
                <w:szCs w:val="14"/>
              </w:rPr>
            </w:pPr>
            <w:r w:rsidRPr="00DE12A3">
              <w:rPr>
                <w:sz w:val="14"/>
                <w:szCs w:val="14"/>
              </w:rPr>
              <w:t>2,469</w:t>
            </w:r>
          </w:p>
        </w:tc>
        <w:tc>
          <w:tcPr>
            <w:tcW w:w="464" w:type="dxa"/>
            <w:tcBorders>
              <w:top w:val="single" w:sz="2" w:space="0" w:color="auto"/>
              <w:left w:val="single" w:sz="2" w:space="0" w:color="auto"/>
              <w:bottom w:val="single" w:sz="2" w:space="0" w:color="auto"/>
              <w:right w:val="single" w:sz="2" w:space="0" w:color="auto"/>
            </w:tcBorders>
          </w:tcPr>
          <w:p w14:paraId="77F45E7A" w14:textId="77777777" w:rsidR="009F4766" w:rsidRPr="00DE12A3" w:rsidRDefault="009F4766" w:rsidP="00C917D6">
            <w:pPr>
              <w:pStyle w:val="NormalLeft"/>
              <w:rPr>
                <w:sz w:val="14"/>
                <w:szCs w:val="14"/>
              </w:rPr>
            </w:pPr>
            <w:r w:rsidRPr="00DE12A3">
              <w:rPr>
                <w:sz w:val="14"/>
                <w:szCs w:val="14"/>
              </w:rPr>
              <w:t>2,440</w:t>
            </w:r>
          </w:p>
        </w:tc>
        <w:tc>
          <w:tcPr>
            <w:tcW w:w="464" w:type="dxa"/>
            <w:tcBorders>
              <w:top w:val="single" w:sz="2" w:space="0" w:color="auto"/>
              <w:left w:val="single" w:sz="2" w:space="0" w:color="auto"/>
              <w:bottom w:val="single" w:sz="2" w:space="0" w:color="auto"/>
              <w:right w:val="single" w:sz="2" w:space="0" w:color="auto"/>
            </w:tcBorders>
          </w:tcPr>
          <w:p w14:paraId="74D95C50" w14:textId="77777777" w:rsidR="009F4766" w:rsidRPr="00DE12A3" w:rsidRDefault="009F4766" w:rsidP="00C917D6">
            <w:pPr>
              <w:pStyle w:val="NormalLeft"/>
              <w:rPr>
                <w:sz w:val="14"/>
                <w:szCs w:val="14"/>
              </w:rPr>
            </w:pPr>
            <w:r w:rsidRPr="00DE12A3">
              <w:rPr>
                <w:sz w:val="14"/>
                <w:szCs w:val="14"/>
              </w:rPr>
              <w:t>2,416</w:t>
            </w:r>
          </w:p>
        </w:tc>
        <w:tc>
          <w:tcPr>
            <w:tcW w:w="465" w:type="dxa"/>
            <w:tcBorders>
              <w:top w:val="single" w:sz="2" w:space="0" w:color="auto"/>
              <w:left w:val="single" w:sz="2" w:space="0" w:color="auto"/>
              <w:bottom w:val="single" w:sz="2" w:space="0" w:color="auto"/>
              <w:right w:val="single" w:sz="2" w:space="0" w:color="auto"/>
            </w:tcBorders>
          </w:tcPr>
          <w:p w14:paraId="51B75BC7" w14:textId="77777777" w:rsidR="009F4766" w:rsidRPr="00DE12A3" w:rsidRDefault="009F4766" w:rsidP="00C917D6">
            <w:pPr>
              <w:pStyle w:val="NormalLeft"/>
              <w:rPr>
                <w:sz w:val="14"/>
                <w:szCs w:val="14"/>
              </w:rPr>
            </w:pPr>
            <w:r w:rsidRPr="00DE12A3">
              <w:rPr>
                <w:sz w:val="14"/>
                <w:szCs w:val="14"/>
              </w:rPr>
              <w:t>2,379</w:t>
            </w:r>
          </w:p>
        </w:tc>
        <w:tc>
          <w:tcPr>
            <w:tcW w:w="464" w:type="dxa"/>
            <w:tcBorders>
              <w:top w:val="single" w:sz="2" w:space="0" w:color="auto"/>
              <w:left w:val="single" w:sz="2" w:space="0" w:color="auto"/>
              <w:bottom w:val="single" w:sz="2" w:space="0" w:color="auto"/>
              <w:right w:val="single" w:sz="2" w:space="0" w:color="auto"/>
            </w:tcBorders>
          </w:tcPr>
          <w:p w14:paraId="0248BEBC" w14:textId="77777777" w:rsidR="009F4766" w:rsidRPr="00DE12A3" w:rsidRDefault="009F4766" w:rsidP="00C917D6">
            <w:pPr>
              <w:pStyle w:val="NormalLeft"/>
              <w:rPr>
                <w:sz w:val="14"/>
                <w:szCs w:val="14"/>
              </w:rPr>
            </w:pPr>
            <w:r w:rsidRPr="00DE12A3">
              <w:rPr>
                <w:sz w:val="14"/>
                <w:szCs w:val="14"/>
              </w:rPr>
              <w:t>2,340</w:t>
            </w:r>
          </w:p>
        </w:tc>
        <w:tc>
          <w:tcPr>
            <w:tcW w:w="464" w:type="dxa"/>
            <w:tcBorders>
              <w:top w:val="single" w:sz="2" w:space="0" w:color="auto"/>
              <w:left w:val="single" w:sz="2" w:space="0" w:color="auto"/>
              <w:bottom w:val="single" w:sz="2" w:space="0" w:color="auto"/>
              <w:right w:val="single" w:sz="2" w:space="0" w:color="auto"/>
            </w:tcBorders>
          </w:tcPr>
          <w:p w14:paraId="3BC9D2D1" w14:textId="77777777" w:rsidR="009F4766" w:rsidRPr="00DE12A3" w:rsidRDefault="009F4766" w:rsidP="00C917D6">
            <w:pPr>
              <w:pStyle w:val="NormalLeft"/>
              <w:rPr>
                <w:sz w:val="14"/>
                <w:szCs w:val="14"/>
              </w:rPr>
            </w:pPr>
            <w:r w:rsidRPr="00DE12A3">
              <w:rPr>
                <w:sz w:val="14"/>
                <w:szCs w:val="14"/>
              </w:rPr>
              <w:t>2,298</w:t>
            </w:r>
          </w:p>
        </w:tc>
        <w:tc>
          <w:tcPr>
            <w:tcW w:w="465" w:type="dxa"/>
            <w:tcBorders>
              <w:top w:val="single" w:sz="2" w:space="0" w:color="auto"/>
              <w:left w:val="single" w:sz="2" w:space="0" w:color="auto"/>
              <w:bottom w:val="single" w:sz="2" w:space="0" w:color="auto"/>
              <w:right w:val="single" w:sz="2" w:space="0" w:color="auto"/>
            </w:tcBorders>
          </w:tcPr>
          <w:p w14:paraId="48A96F53" w14:textId="77777777" w:rsidR="009F4766" w:rsidRPr="00DE12A3" w:rsidRDefault="009F4766" w:rsidP="00C917D6">
            <w:pPr>
              <w:pStyle w:val="NormalLeft"/>
              <w:rPr>
                <w:sz w:val="14"/>
                <w:szCs w:val="14"/>
              </w:rPr>
            </w:pPr>
            <w:r w:rsidRPr="00DE12A3">
              <w:rPr>
                <w:sz w:val="14"/>
                <w:szCs w:val="14"/>
              </w:rPr>
              <w:t>2,277</w:t>
            </w:r>
          </w:p>
        </w:tc>
        <w:tc>
          <w:tcPr>
            <w:tcW w:w="464" w:type="dxa"/>
            <w:tcBorders>
              <w:top w:val="single" w:sz="2" w:space="0" w:color="auto"/>
              <w:left w:val="single" w:sz="2" w:space="0" w:color="auto"/>
              <w:bottom w:val="single" w:sz="2" w:space="0" w:color="auto"/>
              <w:right w:val="single" w:sz="2" w:space="0" w:color="auto"/>
            </w:tcBorders>
          </w:tcPr>
          <w:p w14:paraId="27209400" w14:textId="77777777" w:rsidR="009F4766" w:rsidRPr="00DE12A3" w:rsidRDefault="009F4766" w:rsidP="00C917D6">
            <w:pPr>
              <w:pStyle w:val="NormalLeft"/>
              <w:rPr>
                <w:sz w:val="14"/>
                <w:szCs w:val="14"/>
              </w:rPr>
            </w:pPr>
            <w:r w:rsidRPr="00DE12A3">
              <w:rPr>
                <w:sz w:val="14"/>
                <w:szCs w:val="14"/>
              </w:rPr>
              <w:t>2,255</w:t>
            </w:r>
          </w:p>
        </w:tc>
        <w:tc>
          <w:tcPr>
            <w:tcW w:w="464" w:type="dxa"/>
            <w:tcBorders>
              <w:top w:val="single" w:sz="2" w:space="0" w:color="auto"/>
              <w:left w:val="single" w:sz="2" w:space="0" w:color="auto"/>
              <w:bottom w:val="single" w:sz="2" w:space="0" w:color="auto"/>
              <w:right w:val="single" w:sz="2" w:space="0" w:color="auto"/>
            </w:tcBorders>
          </w:tcPr>
          <w:p w14:paraId="27DA9D77" w14:textId="77777777" w:rsidR="009F4766" w:rsidRPr="00DE12A3" w:rsidRDefault="009F4766" w:rsidP="00C917D6">
            <w:pPr>
              <w:pStyle w:val="NormalLeft"/>
              <w:rPr>
                <w:sz w:val="14"/>
                <w:szCs w:val="14"/>
              </w:rPr>
            </w:pPr>
            <w:r w:rsidRPr="00DE12A3">
              <w:rPr>
                <w:sz w:val="14"/>
                <w:szCs w:val="14"/>
              </w:rPr>
              <w:t>2,232</w:t>
            </w:r>
          </w:p>
        </w:tc>
        <w:tc>
          <w:tcPr>
            <w:tcW w:w="464" w:type="dxa"/>
            <w:tcBorders>
              <w:top w:val="single" w:sz="2" w:space="0" w:color="auto"/>
              <w:left w:val="single" w:sz="2" w:space="0" w:color="auto"/>
              <w:bottom w:val="single" w:sz="2" w:space="0" w:color="auto"/>
              <w:right w:val="single" w:sz="2" w:space="0" w:color="auto"/>
            </w:tcBorders>
          </w:tcPr>
          <w:p w14:paraId="08D7B36D" w14:textId="77777777" w:rsidR="009F4766" w:rsidRPr="00DE12A3" w:rsidRDefault="009F4766" w:rsidP="00C917D6">
            <w:pPr>
              <w:pStyle w:val="NormalLeft"/>
              <w:rPr>
                <w:sz w:val="14"/>
                <w:szCs w:val="14"/>
              </w:rPr>
            </w:pPr>
            <w:r w:rsidRPr="00DE12A3">
              <w:rPr>
                <w:sz w:val="14"/>
                <w:szCs w:val="14"/>
              </w:rPr>
              <w:t>2,208</w:t>
            </w:r>
          </w:p>
        </w:tc>
        <w:tc>
          <w:tcPr>
            <w:tcW w:w="465" w:type="dxa"/>
            <w:tcBorders>
              <w:top w:val="single" w:sz="2" w:space="0" w:color="auto"/>
              <w:left w:val="single" w:sz="2" w:space="0" w:color="auto"/>
              <w:bottom w:val="single" w:sz="2" w:space="0" w:color="auto"/>
              <w:right w:val="single" w:sz="2" w:space="0" w:color="auto"/>
            </w:tcBorders>
          </w:tcPr>
          <w:p w14:paraId="560B243A" w14:textId="77777777" w:rsidR="009F4766" w:rsidRPr="00DE12A3" w:rsidRDefault="009F4766" w:rsidP="00C917D6">
            <w:pPr>
              <w:pStyle w:val="NormalLeft"/>
              <w:rPr>
                <w:sz w:val="14"/>
                <w:szCs w:val="14"/>
              </w:rPr>
            </w:pPr>
            <w:r w:rsidRPr="00DE12A3">
              <w:rPr>
                <w:sz w:val="14"/>
                <w:szCs w:val="14"/>
              </w:rPr>
              <w:t>2,184</w:t>
            </w:r>
          </w:p>
        </w:tc>
        <w:tc>
          <w:tcPr>
            <w:tcW w:w="464" w:type="dxa"/>
            <w:tcBorders>
              <w:top w:val="single" w:sz="2" w:space="0" w:color="auto"/>
              <w:left w:val="single" w:sz="2" w:space="0" w:color="auto"/>
              <w:bottom w:val="single" w:sz="2" w:space="0" w:color="auto"/>
              <w:right w:val="single" w:sz="2" w:space="0" w:color="auto"/>
            </w:tcBorders>
          </w:tcPr>
          <w:p w14:paraId="0479B7CA" w14:textId="77777777" w:rsidR="009F4766" w:rsidRPr="00DE12A3" w:rsidRDefault="009F4766" w:rsidP="00C917D6">
            <w:pPr>
              <w:pStyle w:val="NormalLeft"/>
              <w:rPr>
                <w:sz w:val="14"/>
                <w:szCs w:val="14"/>
              </w:rPr>
            </w:pPr>
            <w:r w:rsidRPr="00DE12A3">
              <w:rPr>
                <w:sz w:val="14"/>
                <w:szCs w:val="14"/>
              </w:rPr>
              <w:t>2,159</w:t>
            </w:r>
          </w:p>
        </w:tc>
      </w:tr>
      <w:tr w:rsidR="00DE12A3" w:rsidRPr="00DE12A3" w14:paraId="0AC258C2" w14:textId="77777777" w:rsidTr="009F4766">
        <w:tc>
          <w:tcPr>
            <w:tcW w:w="464" w:type="dxa"/>
            <w:tcBorders>
              <w:top w:val="single" w:sz="2" w:space="0" w:color="auto"/>
              <w:left w:val="single" w:sz="2" w:space="0" w:color="auto"/>
              <w:bottom w:val="single" w:sz="2" w:space="0" w:color="auto"/>
              <w:right w:val="single" w:sz="2" w:space="0" w:color="auto"/>
            </w:tcBorders>
          </w:tcPr>
          <w:p w14:paraId="43CCAA84" w14:textId="77777777" w:rsidR="009F4766" w:rsidRPr="00DE12A3" w:rsidRDefault="009F4766" w:rsidP="00C917D6">
            <w:pPr>
              <w:pStyle w:val="NormalLeft"/>
              <w:rPr>
                <w:sz w:val="14"/>
                <w:szCs w:val="14"/>
              </w:rPr>
            </w:pPr>
            <w:r w:rsidRPr="00DE12A3">
              <w:rPr>
                <w:sz w:val="14"/>
                <w:szCs w:val="14"/>
              </w:rPr>
              <w:t>10</w:t>
            </w:r>
          </w:p>
        </w:tc>
        <w:tc>
          <w:tcPr>
            <w:tcW w:w="465" w:type="dxa"/>
            <w:tcBorders>
              <w:top w:val="single" w:sz="2" w:space="0" w:color="auto"/>
              <w:left w:val="single" w:sz="2" w:space="0" w:color="auto"/>
              <w:bottom w:val="single" w:sz="2" w:space="0" w:color="auto"/>
              <w:right w:val="single" w:sz="2" w:space="0" w:color="auto"/>
            </w:tcBorders>
          </w:tcPr>
          <w:p w14:paraId="1DB66179" w14:textId="77777777" w:rsidR="009F4766" w:rsidRPr="00DE12A3" w:rsidRDefault="009F4766" w:rsidP="00C917D6">
            <w:pPr>
              <w:pStyle w:val="NormalLeft"/>
              <w:rPr>
                <w:sz w:val="14"/>
                <w:szCs w:val="14"/>
              </w:rPr>
            </w:pPr>
            <w:r w:rsidRPr="00DE12A3">
              <w:rPr>
                <w:sz w:val="14"/>
                <w:szCs w:val="14"/>
              </w:rPr>
              <w:t>3,285</w:t>
            </w:r>
          </w:p>
        </w:tc>
        <w:tc>
          <w:tcPr>
            <w:tcW w:w="464" w:type="dxa"/>
            <w:tcBorders>
              <w:top w:val="single" w:sz="2" w:space="0" w:color="auto"/>
              <w:left w:val="single" w:sz="2" w:space="0" w:color="auto"/>
              <w:bottom w:val="single" w:sz="2" w:space="0" w:color="auto"/>
              <w:right w:val="single" w:sz="2" w:space="0" w:color="auto"/>
            </w:tcBorders>
          </w:tcPr>
          <w:p w14:paraId="78C6186D" w14:textId="77777777" w:rsidR="009F4766" w:rsidRPr="00DE12A3" w:rsidRDefault="009F4766" w:rsidP="00C917D6">
            <w:pPr>
              <w:pStyle w:val="NormalLeft"/>
              <w:rPr>
                <w:sz w:val="14"/>
                <w:szCs w:val="14"/>
              </w:rPr>
            </w:pPr>
            <w:r w:rsidRPr="00DE12A3">
              <w:rPr>
                <w:sz w:val="14"/>
                <w:szCs w:val="14"/>
              </w:rPr>
              <w:t>2,924</w:t>
            </w:r>
          </w:p>
        </w:tc>
        <w:tc>
          <w:tcPr>
            <w:tcW w:w="464" w:type="dxa"/>
            <w:tcBorders>
              <w:top w:val="single" w:sz="2" w:space="0" w:color="auto"/>
              <w:left w:val="single" w:sz="2" w:space="0" w:color="auto"/>
              <w:bottom w:val="single" w:sz="2" w:space="0" w:color="auto"/>
              <w:right w:val="single" w:sz="2" w:space="0" w:color="auto"/>
            </w:tcBorders>
          </w:tcPr>
          <w:p w14:paraId="62A3F3A6" w14:textId="77777777" w:rsidR="009F4766" w:rsidRPr="00DE12A3" w:rsidRDefault="009F4766" w:rsidP="00C917D6">
            <w:pPr>
              <w:pStyle w:val="NormalLeft"/>
              <w:rPr>
                <w:sz w:val="14"/>
                <w:szCs w:val="14"/>
              </w:rPr>
            </w:pPr>
            <w:r w:rsidRPr="00DE12A3">
              <w:rPr>
                <w:sz w:val="14"/>
                <w:szCs w:val="14"/>
              </w:rPr>
              <w:t>2,728</w:t>
            </w:r>
          </w:p>
        </w:tc>
        <w:tc>
          <w:tcPr>
            <w:tcW w:w="465" w:type="dxa"/>
            <w:tcBorders>
              <w:top w:val="single" w:sz="2" w:space="0" w:color="auto"/>
              <w:left w:val="single" w:sz="2" w:space="0" w:color="auto"/>
              <w:bottom w:val="single" w:sz="2" w:space="0" w:color="auto"/>
              <w:right w:val="single" w:sz="2" w:space="0" w:color="auto"/>
            </w:tcBorders>
          </w:tcPr>
          <w:p w14:paraId="46C7106E" w14:textId="77777777" w:rsidR="009F4766" w:rsidRPr="00DE12A3" w:rsidRDefault="009F4766" w:rsidP="00C917D6">
            <w:pPr>
              <w:pStyle w:val="NormalLeft"/>
              <w:rPr>
                <w:sz w:val="14"/>
                <w:szCs w:val="14"/>
              </w:rPr>
            </w:pPr>
            <w:r w:rsidRPr="00DE12A3">
              <w:rPr>
                <w:sz w:val="14"/>
                <w:szCs w:val="14"/>
              </w:rPr>
              <w:t>2,605</w:t>
            </w:r>
          </w:p>
        </w:tc>
        <w:tc>
          <w:tcPr>
            <w:tcW w:w="464" w:type="dxa"/>
            <w:tcBorders>
              <w:top w:val="single" w:sz="2" w:space="0" w:color="auto"/>
              <w:left w:val="single" w:sz="2" w:space="0" w:color="auto"/>
              <w:bottom w:val="single" w:sz="2" w:space="0" w:color="auto"/>
              <w:right w:val="single" w:sz="2" w:space="0" w:color="auto"/>
            </w:tcBorders>
          </w:tcPr>
          <w:p w14:paraId="5DCE1FBB" w14:textId="77777777" w:rsidR="009F4766" w:rsidRPr="00DE12A3" w:rsidRDefault="009F4766" w:rsidP="00C917D6">
            <w:pPr>
              <w:pStyle w:val="NormalLeft"/>
              <w:rPr>
                <w:sz w:val="14"/>
                <w:szCs w:val="14"/>
              </w:rPr>
            </w:pPr>
            <w:r w:rsidRPr="00DE12A3">
              <w:rPr>
                <w:sz w:val="14"/>
                <w:szCs w:val="14"/>
              </w:rPr>
              <w:t>2,522</w:t>
            </w:r>
          </w:p>
        </w:tc>
        <w:tc>
          <w:tcPr>
            <w:tcW w:w="464" w:type="dxa"/>
            <w:tcBorders>
              <w:top w:val="single" w:sz="2" w:space="0" w:color="auto"/>
              <w:left w:val="single" w:sz="2" w:space="0" w:color="auto"/>
              <w:bottom w:val="single" w:sz="2" w:space="0" w:color="auto"/>
              <w:right w:val="single" w:sz="2" w:space="0" w:color="auto"/>
            </w:tcBorders>
          </w:tcPr>
          <w:p w14:paraId="47A4259F" w14:textId="77777777" w:rsidR="009F4766" w:rsidRPr="00DE12A3" w:rsidRDefault="009F4766" w:rsidP="00C917D6">
            <w:pPr>
              <w:pStyle w:val="NormalLeft"/>
              <w:rPr>
                <w:sz w:val="14"/>
                <w:szCs w:val="14"/>
              </w:rPr>
            </w:pPr>
            <w:r w:rsidRPr="00DE12A3">
              <w:rPr>
                <w:sz w:val="14"/>
                <w:szCs w:val="14"/>
              </w:rPr>
              <w:t>2,461</w:t>
            </w:r>
          </w:p>
        </w:tc>
        <w:tc>
          <w:tcPr>
            <w:tcW w:w="464" w:type="dxa"/>
            <w:tcBorders>
              <w:top w:val="single" w:sz="2" w:space="0" w:color="auto"/>
              <w:left w:val="single" w:sz="2" w:space="0" w:color="auto"/>
              <w:bottom w:val="single" w:sz="2" w:space="0" w:color="auto"/>
              <w:right w:val="single" w:sz="2" w:space="0" w:color="auto"/>
            </w:tcBorders>
          </w:tcPr>
          <w:p w14:paraId="7F4412AF" w14:textId="77777777" w:rsidR="009F4766" w:rsidRPr="00DE12A3" w:rsidRDefault="009F4766" w:rsidP="00C917D6">
            <w:pPr>
              <w:pStyle w:val="NormalLeft"/>
              <w:rPr>
                <w:sz w:val="14"/>
                <w:szCs w:val="14"/>
              </w:rPr>
            </w:pPr>
            <w:r w:rsidRPr="00DE12A3">
              <w:rPr>
                <w:sz w:val="14"/>
                <w:szCs w:val="14"/>
              </w:rPr>
              <w:t>2,414</w:t>
            </w:r>
          </w:p>
        </w:tc>
        <w:tc>
          <w:tcPr>
            <w:tcW w:w="465" w:type="dxa"/>
            <w:tcBorders>
              <w:top w:val="single" w:sz="2" w:space="0" w:color="auto"/>
              <w:left w:val="single" w:sz="2" w:space="0" w:color="auto"/>
              <w:bottom w:val="single" w:sz="2" w:space="0" w:color="auto"/>
              <w:right w:val="single" w:sz="2" w:space="0" w:color="auto"/>
            </w:tcBorders>
          </w:tcPr>
          <w:p w14:paraId="718DC02D" w14:textId="77777777" w:rsidR="009F4766" w:rsidRPr="00DE12A3" w:rsidRDefault="009F4766" w:rsidP="00C917D6">
            <w:pPr>
              <w:pStyle w:val="NormalLeft"/>
              <w:rPr>
                <w:sz w:val="14"/>
                <w:szCs w:val="14"/>
              </w:rPr>
            </w:pPr>
            <w:r w:rsidRPr="00DE12A3">
              <w:rPr>
                <w:sz w:val="14"/>
                <w:szCs w:val="14"/>
              </w:rPr>
              <w:t>2,377</w:t>
            </w:r>
          </w:p>
        </w:tc>
        <w:tc>
          <w:tcPr>
            <w:tcW w:w="464" w:type="dxa"/>
            <w:tcBorders>
              <w:top w:val="single" w:sz="2" w:space="0" w:color="auto"/>
              <w:left w:val="single" w:sz="2" w:space="0" w:color="auto"/>
              <w:bottom w:val="single" w:sz="2" w:space="0" w:color="auto"/>
              <w:right w:val="single" w:sz="2" w:space="0" w:color="auto"/>
            </w:tcBorders>
          </w:tcPr>
          <w:p w14:paraId="6612813F" w14:textId="77777777" w:rsidR="009F4766" w:rsidRPr="00DE12A3" w:rsidRDefault="009F4766" w:rsidP="00C917D6">
            <w:pPr>
              <w:pStyle w:val="NormalLeft"/>
              <w:rPr>
                <w:sz w:val="14"/>
                <w:szCs w:val="14"/>
              </w:rPr>
            </w:pPr>
            <w:r w:rsidRPr="00DE12A3">
              <w:rPr>
                <w:sz w:val="14"/>
                <w:szCs w:val="14"/>
              </w:rPr>
              <w:t>2,347</w:t>
            </w:r>
          </w:p>
        </w:tc>
        <w:tc>
          <w:tcPr>
            <w:tcW w:w="464" w:type="dxa"/>
            <w:tcBorders>
              <w:top w:val="single" w:sz="2" w:space="0" w:color="auto"/>
              <w:left w:val="single" w:sz="2" w:space="0" w:color="auto"/>
              <w:bottom w:val="single" w:sz="2" w:space="0" w:color="auto"/>
              <w:right w:val="single" w:sz="2" w:space="0" w:color="auto"/>
            </w:tcBorders>
          </w:tcPr>
          <w:p w14:paraId="6EF53450" w14:textId="77777777" w:rsidR="009F4766" w:rsidRPr="00DE12A3" w:rsidRDefault="009F4766" w:rsidP="00C917D6">
            <w:pPr>
              <w:pStyle w:val="NormalLeft"/>
              <w:rPr>
                <w:sz w:val="14"/>
                <w:szCs w:val="14"/>
              </w:rPr>
            </w:pPr>
            <w:r w:rsidRPr="00DE12A3">
              <w:rPr>
                <w:sz w:val="14"/>
                <w:szCs w:val="14"/>
              </w:rPr>
              <w:t>2,323</w:t>
            </w:r>
          </w:p>
        </w:tc>
        <w:tc>
          <w:tcPr>
            <w:tcW w:w="465" w:type="dxa"/>
            <w:tcBorders>
              <w:top w:val="single" w:sz="2" w:space="0" w:color="auto"/>
              <w:left w:val="single" w:sz="2" w:space="0" w:color="auto"/>
              <w:bottom w:val="single" w:sz="2" w:space="0" w:color="auto"/>
              <w:right w:val="single" w:sz="2" w:space="0" w:color="auto"/>
            </w:tcBorders>
          </w:tcPr>
          <w:p w14:paraId="4FE4C684" w14:textId="77777777" w:rsidR="009F4766" w:rsidRPr="00DE12A3" w:rsidRDefault="009F4766" w:rsidP="00C917D6">
            <w:pPr>
              <w:pStyle w:val="NormalLeft"/>
              <w:rPr>
                <w:sz w:val="14"/>
                <w:szCs w:val="14"/>
              </w:rPr>
            </w:pPr>
            <w:r w:rsidRPr="00DE12A3">
              <w:rPr>
                <w:sz w:val="14"/>
                <w:szCs w:val="14"/>
              </w:rPr>
              <w:t>2,284</w:t>
            </w:r>
          </w:p>
        </w:tc>
        <w:tc>
          <w:tcPr>
            <w:tcW w:w="464" w:type="dxa"/>
            <w:tcBorders>
              <w:top w:val="single" w:sz="2" w:space="0" w:color="auto"/>
              <w:left w:val="single" w:sz="2" w:space="0" w:color="auto"/>
              <w:bottom w:val="single" w:sz="2" w:space="0" w:color="auto"/>
              <w:right w:val="single" w:sz="2" w:space="0" w:color="auto"/>
            </w:tcBorders>
          </w:tcPr>
          <w:p w14:paraId="16A08DB2" w14:textId="77777777" w:rsidR="009F4766" w:rsidRPr="00DE12A3" w:rsidRDefault="009F4766" w:rsidP="00C917D6">
            <w:pPr>
              <w:pStyle w:val="NormalLeft"/>
              <w:rPr>
                <w:sz w:val="14"/>
                <w:szCs w:val="14"/>
              </w:rPr>
            </w:pPr>
            <w:r w:rsidRPr="00DE12A3">
              <w:rPr>
                <w:sz w:val="14"/>
                <w:szCs w:val="14"/>
              </w:rPr>
              <w:t>2,244</w:t>
            </w:r>
          </w:p>
        </w:tc>
        <w:tc>
          <w:tcPr>
            <w:tcW w:w="464" w:type="dxa"/>
            <w:tcBorders>
              <w:top w:val="single" w:sz="2" w:space="0" w:color="auto"/>
              <w:left w:val="single" w:sz="2" w:space="0" w:color="auto"/>
              <w:bottom w:val="single" w:sz="2" w:space="0" w:color="auto"/>
              <w:right w:val="single" w:sz="2" w:space="0" w:color="auto"/>
            </w:tcBorders>
          </w:tcPr>
          <w:p w14:paraId="2868B40A" w14:textId="77777777" w:rsidR="009F4766" w:rsidRPr="00DE12A3" w:rsidRDefault="009F4766" w:rsidP="00C917D6">
            <w:pPr>
              <w:pStyle w:val="NormalLeft"/>
              <w:rPr>
                <w:sz w:val="14"/>
                <w:szCs w:val="14"/>
              </w:rPr>
            </w:pPr>
            <w:r w:rsidRPr="00DE12A3">
              <w:rPr>
                <w:sz w:val="14"/>
                <w:szCs w:val="14"/>
              </w:rPr>
              <w:t>2,201</w:t>
            </w:r>
          </w:p>
        </w:tc>
        <w:tc>
          <w:tcPr>
            <w:tcW w:w="465" w:type="dxa"/>
            <w:tcBorders>
              <w:top w:val="single" w:sz="2" w:space="0" w:color="auto"/>
              <w:left w:val="single" w:sz="2" w:space="0" w:color="auto"/>
              <w:bottom w:val="single" w:sz="2" w:space="0" w:color="auto"/>
              <w:right w:val="single" w:sz="2" w:space="0" w:color="auto"/>
            </w:tcBorders>
          </w:tcPr>
          <w:p w14:paraId="53CFBD52" w14:textId="77777777" w:rsidR="009F4766" w:rsidRPr="00DE12A3" w:rsidRDefault="009F4766" w:rsidP="00C917D6">
            <w:pPr>
              <w:pStyle w:val="NormalLeft"/>
              <w:rPr>
                <w:sz w:val="14"/>
                <w:szCs w:val="14"/>
              </w:rPr>
            </w:pPr>
            <w:r w:rsidRPr="00DE12A3">
              <w:rPr>
                <w:sz w:val="14"/>
                <w:szCs w:val="14"/>
              </w:rPr>
              <w:t>2,178</w:t>
            </w:r>
          </w:p>
        </w:tc>
        <w:tc>
          <w:tcPr>
            <w:tcW w:w="464" w:type="dxa"/>
            <w:tcBorders>
              <w:top w:val="single" w:sz="2" w:space="0" w:color="auto"/>
              <w:left w:val="single" w:sz="2" w:space="0" w:color="auto"/>
              <w:bottom w:val="single" w:sz="2" w:space="0" w:color="auto"/>
              <w:right w:val="single" w:sz="2" w:space="0" w:color="auto"/>
            </w:tcBorders>
          </w:tcPr>
          <w:p w14:paraId="639EDCE3" w14:textId="77777777" w:rsidR="009F4766" w:rsidRPr="00DE12A3" w:rsidRDefault="009F4766" w:rsidP="00C917D6">
            <w:pPr>
              <w:pStyle w:val="NormalLeft"/>
              <w:rPr>
                <w:sz w:val="14"/>
                <w:szCs w:val="14"/>
              </w:rPr>
            </w:pPr>
            <w:r w:rsidRPr="00DE12A3">
              <w:rPr>
                <w:sz w:val="14"/>
                <w:szCs w:val="14"/>
              </w:rPr>
              <w:t>2,155</w:t>
            </w:r>
          </w:p>
        </w:tc>
        <w:tc>
          <w:tcPr>
            <w:tcW w:w="464" w:type="dxa"/>
            <w:tcBorders>
              <w:top w:val="single" w:sz="2" w:space="0" w:color="auto"/>
              <w:left w:val="single" w:sz="2" w:space="0" w:color="auto"/>
              <w:bottom w:val="single" w:sz="2" w:space="0" w:color="auto"/>
              <w:right w:val="single" w:sz="2" w:space="0" w:color="auto"/>
            </w:tcBorders>
          </w:tcPr>
          <w:p w14:paraId="608CD218" w14:textId="77777777" w:rsidR="009F4766" w:rsidRPr="00DE12A3" w:rsidRDefault="009F4766" w:rsidP="00C917D6">
            <w:pPr>
              <w:pStyle w:val="NormalLeft"/>
              <w:rPr>
                <w:sz w:val="14"/>
                <w:szCs w:val="14"/>
              </w:rPr>
            </w:pPr>
            <w:r w:rsidRPr="00DE12A3">
              <w:rPr>
                <w:sz w:val="14"/>
                <w:szCs w:val="14"/>
              </w:rPr>
              <w:t>2,132</w:t>
            </w:r>
          </w:p>
        </w:tc>
        <w:tc>
          <w:tcPr>
            <w:tcW w:w="464" w:type="dxa"/>
            <w:tcBorders>
              <w:top w:val="single" w:sz="2" w:space="0" w:color="auto"/>
              <w:left w:val="single" w:sz="2" w:space="0" w:color="auto"/>
              <w:bottom w:val="single" w:sz="2" w:space="0" w:color="auto"/>
              <w:right w:val="single" w:sz="2" w:space="0" w:color="auto"/>
            </w:tcBorders>
          </w:tcPr>
          <w:p w14:paraId="1564D690" w14:textId="77777777" w:rsidR="009F4766" w:rsidRPr="00DE12A3" w:rsidRDefault="009F4766" w:rsidP="00C917D6">
            <w:pPr>
              <w:pStyle w:val="NormalLeft"/>
              <w:rPr>
                <w:sz w:val="14"/>
                <w:szCs w:val="14"/>
              </w:rPr>
            </w:pPr>
            <w:r w:rsidRPr="00DE12A3">
              <w:rPr>
                <w:sz w:val="14"/>
                <w:szCs w:val="14"/>
              </w:rPr>
              <w:t>2,107</w:t>
            </w:r>
          </w:p>
        </w:tc>
        <w:tc>
          <w:tcPr>
            <w:tcW w:w="465" w:type="dxa"/>
            <w:tcBorders>
              <w:top w:val="single" w:sz="2" w:space="0" w:color="auto"/>
              <w:left w:val="single" w:sz="2" w:space="0" w:color="auto"/>
              <w:bottom w:val="single" w:sz="2" w:space="0" w:color="auto"/>
              <w:right w:val="single" w:sz="2" w:space="0" w:color="auto"/>
            </w:tcBorders>
          </w:tcPr>
          <w:p w14:paraId="5887FEBE" w14:textId="77777777" w:rsidR="009F4766" w:rsidRPr="00DE12A3" w:rsidRDefault="009F4766" w:rsidP="00C917D6">
            <w:pPr>
              <w:pStyle w:val="NormalLeft"/>
              <w:rPr>
                <w:sz w:val="14"/>
                <w:szCs w:val="14"/>
              </w:rPr>
            </w:pPr>
            <w:r w:rsidRPr="00DE12A3">
              <w:rPr>
                <w:sz w:val="14"/>
                <w:szCs w:val="14"/>
              </w:rPr>
              <w:t>2,082</w:t>
            </w:r>
          </w:p>
        </w:tc>
        <w:tc>
          <w:tcPr>
            <w:tcW w:w="464" w:type="dxa"/>
            <w:tcBorders>
              <w:top w:val="single" w:sz="2" w:space="0" w:color="auto"/>
              <w:left w:val="single" w:sz="2" w:space="0" w:color="auto"/>
              <w:bottom w:val="single" w:sz="2" w:space="0" w:color="auto"/>
              <w:right w:val="single" w:sz="2" w:space="0" w:color="auto"/>
            </w:tcBorders>
          </w:tcPr>
          <w:p w14:paraId="7444B435" w14:textId="77777777" w:rsidR="009F4766" w:rsidRPr="00DE12A3" w:rsidRDefault="009F4766" w:rsidP="00C917D6">
            <w:pPr>
              <w:pStyle w:val="NormalLeft"/>
              <w:rPr>
                <w:sz w:val="14"/>
                <w:szCs w:val="14"/>
              </w:rPr>
            </w:pPr>
            <w:r w:rsidRPr="00DE12A3">
              <w:rPr>
                <w:sz w:val="14"/>
                <w:szCs w:val="14"/>
              </w:rPr>
              <w:t>2,055</w:t>
            </w:r>
          </w:p>
        </w:tc>
      </w:tr>
      <w:tr w:rsidR="00DE12A3" w:rsidRPr="00DE12A3" w14:paraId="32F5B361" w14:textId="77777777" w:rsidTr="009F4766">
        <w:tc>
          <w:tcPr>
            <w:tcW w:w="464" w:type="dxa"/>
            <w:tcBorders>
              <w:top w:val="single" w:sz="2" w:space="0" w:color="auto"/>
              <w:left w:val="single" w:sz="2" w:space="0" w:color="auto"/>
              <w:bottom w:val="single" w:sz="2" w:space="0" w:color="auto"/>
              <w:right w:val="single" w:sz="2" w:space="0" w:color="auto"/>
            </w:tcBorders>
          </w:tcPr>
          <w:p w14:paraId="5CD3B58F" w14:textId="77777777" w:rsidR="009F4766" w:rsidRPr="00DE12A3" w:rsidRDefault="009F4766" w:rsidP="00C917D6">
            <w:pPr>
              <w:pStyle w:val="NormalLeft"/>
              <w:rPr>
                <w:sz w:val="14"/>
                <w:szCs w:val="14"/>
              </w:rPr>
            </w:pPr>
            <w:r w:rsidRPr="00DE12A3">
              <w:rPr>
                <w:sz w:val="14"/>
                <w:szCs w:val="14"/>
              </w:rPr>
              <w:t>11</w:t>
            </w:r>
          </w:p>
        </w:tc>
        <w:tc>
          <w:tcPr>
            <w:tcW w:w="465" w:type="dxa"/>
            <w:tcBorders>
              <w:top w:val="single" w:sz="2" w:space="0" w:color="auto"/>
              <w:left w:val="single" w:sz="2" w:space="0" w:color="auto"/>
              <w:bottom w:val="single" w:sz="2" w:space="0" w:color="auto"/>
              <w:right w:val="single" w:sz="2" w:space="0" w:color="auto"/>
            </w:tcBorders>
          </w:tcPr>
          <w:p w14:paraId="40E919CC" w14:textId="77777777" w:rsidR="009F4766" w:rsidRPr="00DE12A3" w:rsidRDefault="009F4766" w:rsidP="00C917D6">
            <w:pPr>
              <w:pStyle w:val="NormalLeft"/>
              <w:rPr>
                <w:sz w:val="14"/>
                <w:szCs w:val="14"/>
              </w:rPr>
            </w:pPr>
            <w:r w:rsidRPr="00DE12A3">
              <w:rPr>
                <w:sz w:val="14"/>
                <w:szCs w:val="14"/>
              </w:rPr>
              <w:t>3,225</w:t>
            </w:r>
          </w:p>
        </w:tc>
        <w:tc>
          <w:tcPr>
            <w:tcW w:w="464" w:type="dxa"/>
            <w:tcBorders>
              <w:top w:val="single" w:sz="2" w:space="0" w:color="auto"/>
              <w:left w:val="single" w:sz="2" w:space="0" w:color="auto"/>
              <w:bottom w:val="single" w:sz="2" w:space="0" w:color="auto"/>
              <w:right w:val="single" w:sz="2" w:space="0" w:color="auto"/>
            </w:tcBorders>
          </w:tcPr>
          <w:p w14:paraId="498F81B3" w14:textId="77777777" w:rsidR="009F4766" w:rsidRPr="00DE12A3" w:rsidRDefault="009F4766" w:rsidP="00C917D6">
            <w:pPr>
              <w:pStyle w:val="NormalLeft"/>
              <w:rPr>
                <w:sz w:val="14"/>
                <w:szCs w:val="14"/>
              </w:rPr>
            </w:pPr>
            <w:r w:rsidRPr="00DE12A3">
              <w:rPr>
                <w:sz w:val="14"/>
                <w:szCs w:val="14"/>
              </w:rPr>
              <w:t>2,860</w:t>
            </w:r>
          </w:p>
        </w:tc>
        <w:tc>
          <w:tcPr>
            <w:tcW w:w="464" w:type="dxa"/>
            <w:tcBorders>
              <w:top w:val="single" w:sz="2" w:space="0" w:color="auto"/>
              <w:left w:val="single" w:sz="2" w:space="0" w:color="auto"/>
              <w:bottom w:val="single" w:sz="2" w:space="0" w:color="auto"/>
              <w:right w:val="single" w:sz="2" w:space="0" w:color="auto"/>
            </w:tcBorders>
          </w:tcPr>
          <w:p w14:paraId="216F7AA8" w14:textId="77777777" w:rsidR="009F4766" w:rsidRPr="00DE12A3" w:rsidRDefault="009F4766" w:rsidP="00C917D6">
            <w:pPr>
              <w:pStyle w:val="NormalLeft"/>
              <w:rPr>
                <w:sz w:val="14"/>
                <w:szCs w:val="14"/>
              </w:rPr>
            </w:pPr>
            <w:r w:rsidRPr="00DE12A3">
              <w:rPr>
                <w:sz w:val="14"/>
                <w:szCs w:val="14"/>
              </w:rPr>
              <w:t>2,660</w:t>
            </w:r>
          </w:p>
        </w:tc>
        <w:tc>
          <w:tcPr>
            <w:tcW w:w="465" w:type="dxa"/>
            <w:tcBorders>
              <w:top w:val="single" w:sz="2" w:space="0" w:color="auto"/>
              <w:left w:val="single" w:sz="2" w:space="0" w:color="auto"/>
              <w:bottom w:val="single" w:sz="2" w:space="0" w:color="auto"/>
              <w:right w:val="single" w:sz="2" w:space="0" w:color="auto"/>
            </w:tcBorders>
          </w:tcPr>
          <w:p w14:paraId="4CC15593" w14:textId="77777777" w:rsidR="009F4766" w:rsidRPr="00DE12A3" w:rsidRDefault="009F4766" w:rsidP="00C917D6">
            <w:pPr>
              <w:pStyle w:val="NormalLeft"/>
              <w:rPr>
                <w:sz w:val="14"/>
                <w:szCs w:val="14"/>
              </w:rPr>
            </w:pPr>
            <w:r w:rsidRPr="00DE12A3">
              <w:rPr>
                <w:sz w:val="14"/>
                <w:szCs w:val="14"/>
              </w:rPr>
              <w:t>2,536</w:t>
            </w:r>
          </w:p>
        </w:tc>
        <w:tc>
          <w:tcPr>
            <w:tcW w:w="464" w:type="dxa"/>
            <w:tcBorders>
              <w:top w:val="single" w:sz="2" w:space="0" w:color="auto"/>
              <w:left w:val="single" w:sz="2" w:space="0" w:color="auto"/>
              <w:bottom w:val="single" w:sz="2" w:space="0" w:color="auto"/>
              <w:right w:val="single" w:sz="2" w:space="0" w:color="auto"/>
            </w:tcBorders>
          </w:tcPr>
          <w:p w14:paraId="2FFCBA60" w14:textId="77777777" w:rsidR="009F4766" w:rsidRPr="00DE12A3" w:rsidRDefault="009F4766" w:rsidP="00C917D6">
            <w:pPr>
              <w:pStyle w:val="NormalLeft"/>
              <w:rPr>
                <w:sz w:val="14"/>
                <w:szCs w:val="14"/>
              </w:rPr>
            </w:pPr>
            <w:r w:rsidRPr="00DE12A3">
              <w:rPr>
                <w:sz w:val="14"/>
                <w:szCs w:val="14"/>
              </w:rPr>
              <w:t>2,451</w:t>
            </w:r>
          </w:p>
        </w:tc>
        <w:tc>
          <w:tcPr>
            <w:tcW w:w="464" w:type="dxa"/>
            <w:tcBorders>
              <w:top w:val="single" w:sz="2" w:space="0" w:color="auto"/>
              <w:left w:val="single" w:sz="2" w:space="0" w:color="auto"/>
              <w:bottom w:val="single" w:sz="2" w:space="0" w:color="auto"/>
              <w:right w:val="single" w:sz="2" w:space="0" w:color="auto"/>
            </w:tcBorders>
          </w:tcPr>
          <w:p w14:paraId="0D86C3C7" w14:textId="77777777" w:rsidR="009F4766" w:rsidRPr="00DE12A3" w:rsidRDefault="009F4766" w:rsidP="00C917D6">
            <w:pPr>
              <w:pStyle w:val="NormalLeft"/>
              <w:rPr>
                <w:sz w:val="14"/>
                <w:szCs w:val="14"/>
              </w:rPr>
            </w:pPr>
            <w:r w:rsidRPr="00DE12A3">
              <w:rPr>
                <w:sz w:val="14"/>
                <w:szCs w:val="14"/>
              </w:rPr>
              <w:t>2,389</w:t>
            </w:r>
          </w:p>
        </w:tc>
        <w:tc>
          <w:tcPr>
            <w:tcW w:w="464" w:type="dxa"/>
            <w:tcBorders>
              <w:top w:val="single" w:sz="2" w:space="0" w:color="auto"/>
              <w:left w:val="single" w:sz="2" w:space="0" w:color="auto"/>
              <w:bottom w:val="single" w:sz="2" w:space="0" w:color="auto"/>
              <w:right w:val="single" w:sz="2" w:space="0" w:color="auto"/>
            </w:tcBorders>
          </w:tcPr>
          <w:p w14:paraId="0611670A" w14:textId="77777777" w:rsidR="009F4766" w:rsidRPr="00DE12A3" w:rsidRDefault="009F4766" w:rsidP="00C917D6">
            <w:pPr>
              <w:pStyle w:val="NormalLeft"/>
              <w:rPr>
                <w:sz w:val="14"/>
                <w:szCs w:val="14"/>
              </w:rPr>
            </w:pPr>
            <w:r w:rsidRPr="00DE12A3">
              <w:rPr>
                <w:sz w:val="14"/>
                <w:szCs w:val="14"/>
              </w:rPr>
              <w:t>2,342</w:t>
            </w:r>
          </w:p>
        </w:tc>
        <w:tc>
          <w:tcPr>
            <w:tcW w:w="465" w:type="dxa"/>
            <w:tcBorders>
              <w:top w:val="single" w:sz="2" w:space="0" w:color="auto"/>
              <w:left w:val="single" w:sz="2" w:space="0" w:color="auto"/>
              <w:bottom w:val="single" w:sz="2" w:space="0" w:color="auto"/>
              <w:right w:val="single" w:sz="2" w:space="0" w:color="auto"/>
            </w:tcBorders>
          </w:tcPr>
          <w:p w14:paraId="64AA9185" w14:textId="77777777" w:rsidR="009F4766" w:rsidRPr="00DE12A3" w:rsidRDefault="009F4766" w:rsidP="00C917D6">
            <w:pPr>
              <w:pStyle w:val="NormalLeft"/>
              <w:rPr>
                <w:sz w:val="14"/>
                <w:szCs w:val="14"/>
              </w:rPr>
            </w:pPr>
            <w:r w:rsidRPr="00DE12A3">
              <w:rPr>
                <w:sz w:val="14"/>
                <w:szCs w:val="14"/>
              </w:rPr>
              <w:t>2,304</w:t>
            </w:r>
          </w:p>
        </w:tc>
        <w:tc>
          <w:tcPr>
            <w:tcW w:w="464" w:type="dxa"/>
            <w:tcBorders>
              <w:top w:val="single" w:sz="2" w:space="0" w:color="auto"/>
              <w:left w:val="single" w:sz="2" w:space="0" w:color="auto"/>
              <w:bottom w:val="single" w:sz="2" w:space="0" w:color="auto"/>
              <w:right w:val="single" w:sz="2" w:space="0" w:color="auto"/>
            </w:tcBorders>
          </w:tcPr>
          <w:p w14:paraId="7E9D7F91" w14:textId="77777777" w:rsidR="009F4766" w:rsidRPr="00DE12A3" w:rsidRDefault="009F4766" w:rsidP="00C917D6">
            <w:pPr>
              <w:pStyle w:val="NormalLeft"/>
              <w:rPr>
                <w:sz w:val="14"/>
                <w:szCs w:val="14"/>
              </w:rPr>
            </w:pPr>
            <w:r w:rsidRPr="00DE12A3">
              <w:rPr>
                <w:sz w:val="14"/>
                <w:szCs w:val="14"/>
              </w:rPr>
              <w:t>2,274</w:t>
            </w:r>
          </w:p>
        </w:tc>
        <w:tc>
          <w:tcPr>
            <w:tcW w:w="464" w:type="dxa"/>
            <w:tcBorders>
              <w:top w:val="single" w:sz="2" w:space="0" w:color="auto"/>
              <w:left w:val="single" w:sz="2" w:space="0" w:color="auto"/>
              <w:bottom w:val="single" w:sz="2" w:space="0" w:color="auto"/>
              <w:right w:val="single" w:sz="2" w:space="0" w:color="auto"/>
            </w:tcBorders>
          </w:tcPr>
          <w:p w14:paraId="7B33DF39" w14:textId="77777777" w:rsidR="009F4766" w:rsidRPr="00DE12A3" w:rsidRDefault="009F4766" w:rsidP="00C917D6">
            <w:pPr>
              <w:pStyle w:val="NormalLeft"/>
              <w:rPr>
                <w:sz w:val="14"/>
                <w:szCs w:val="14"/>
              </w:rPr>
            </w:pPr>
            <w:r w:rsidRPr="00DE12A3">
              <w:rPr>
                <w:sz w:val="14"/>
                <w:szCs w:val="14"/>
              </w:rPr>
              <w:t>2,248</w:t>
            </w:r>
          </w:p>
        </w:tc>
        <w:tc>
          <w:tcPr>
            <w:tcW w:w="465" w:type="dxa"/>
            <w:tcBorders>
              <w:top w:val="single" w:sz="2" w:space="0" w:color="auto"/>
              <w:left w:val="single" w:sz="2" w:space="0" w:color="auto"/>
              <w:bottom w:val="single" w:sz="2" w:space="0" w:color="auto"/>
              <w:right w:val="single" w:sz="2" w:space="0" w:color="auto"/>
            </w:tcBorders>
          </w:tcPr>
          <w:p w14:paraId="10079029" w14:textId="77777777" w:rsidR="009F4766" w:rsidRPr="00DE12A3" w:rsidRDefault="009F4766" w:rsidP="00C917D6">
            <w:pPr>
              <w:pStyle w:val="NormalLeft"/>
              <w:rPr>
                <w:sz w:val="14"/>
                <w:szCs w:val="14"/>
              </w:rPr>
            </w:pPr>
            <w:r w:rsidRPr="00DE12A3">
              <w:rPr>
                <w:sz w:val="14"/>
                <w:szCs w:val="14"/>
              </w:rPr>
              <w:t>2,209</w:t>
            </w:r>
          </w:p>
        </w:tc>
        <w:tc>
          <w:tcPr>
            <w:tcW w:w="464" w:type="dxa"/>
            <w:tcBorders>
              <w:top w:val="single" w:sz="2" w:space="0" w:color="auto"/>
              <w:left w:val="single" w:sz="2" w:space="0" w:color="auto"/>
              <w:bottom w:val="single" w:sz="2" w:space="0" w:color="auto"/>
              <w:right w:val="single" w:sz="2" w:space="0" w:color="auto"/>
            </w:tcBorders>
          </w:tcPr>
          <w:p w14:paraId="0D323184" w14:textId="77777777" w:rsidR="009F4766" w:rsidRPr="00DE12A3" w:rsidRDefault="009F4766" w:rsidP="00C917D6">
            <w:pPr>
              <w:pStyle w:val="NormalLeft"/>
              <w:rPr>
                <w:sz w:val="14"/>
                <w:szCs w:val="14"/>
              </w:rPr>
            </w:pPr>
            <w:r w:rsidRPr="00DE12A3">
              <w:rPr>
                <w:sz w:val="14"/>
                <w:szCs w:val="14"/>
              </w:rPr>
              <w:t>2,167</w:t>
            </w:r>
          </w:p>
        </w:tc>
        <w:tc>
          <w:tcPr>
            <w:tcW w:w="464" w:type="dxa"/>
            <w:tcBorders>
              <w:top w:val="single" w:sz="2" w:space="0" w:color="auto"/>
              <w:left w:val="single" w:sz="2" w:space="0" w:color="auto"/>
              <w:bottom w:val="single" w:sz="2" w:space="0" w:color="auto"/>
              <w:right w:val="single" w:sz="2" w:space="0" w:color="auto"/>
            </w:tcBorders>
          </w:tcPr>
          <w:p w14:paraId="59A24668" w14:textId="77777777" w:rsidR="009F4766" w:rsidRPr="00DE12A3" w:rsidRDefault="009F4766" w:rsidP="00C917D6">
            <w:pPr>
              <w:pStyle w:val="NormalLeft"/>
              <w:rPr>
                <w:sz w:val="14"/>
                <w:szCs w:val="14"/>
              </w:rPr>
            </w:pPr>
            <w:r w:rsidRPr="00DE12A3">
              <w:rPr>
                <w:sz w:val="14"/>
                <w:szCs w:val="14"/>
              </w:rPr>
              <w:t>2,123</w:t>
            </w:r>
          </w:p>
        </w:tc>
        <w:tc>
          <w:tcPr>
            <w:tcW w:w="465" w:type="dxa"/>
            <w:tcBorders>
              <w:top w:val="single" w:sz="2" w:space="0" w:color="auto"/>
              <w:left w:val="single" w:sz="2" w:space="0" w:color="auto"/>
              <w:bottom w:val="single" w:sz="2" w:space="0" w:color="auto"/>
              <w:right w:val="single" w:sz="2" w:space="0" w:color="auto"/>
            </w:tcBorders>
          </w:tcPr>
          <w:p w14:paraId="4173D920" w14:textId="77777777" w:rsidR="009F4766" w:rsidRPr="00DE12A3" w:rsidRDefault="009F4766" w:rsidP="00C917D6">
            <w:pPr>
              <w:pStyle w:val="NormalLeft"/>
              <w:rPr>
                <w:sz w:val="14"/>
                <w:szCs w:val="14"/>
              </w:rPr>
            </w:pPr>
            <w:r w:rsidRPr="00DE12A3">
              <w:rPr>
                <w:sz w:val="14"/>
                <w:szCs w:val="14"/>
              </w:rPr>
              <w:t>2,100</w:t>
            </w:r>
          </w:p>
        </w:tc>
        <w:tc>
          <w:tcPr>
            <w:tcW w:w="464" w:type="dxa"/>
            <w:tcBorders>
              <w:top w:val="single" w:sz="2" w:space="0" w:color="auto"/>
              <w:left w:val="single" w:sz="2" w:space="0" w:color="auto"/>
              <w:bottom w:val="single" w:sz="2" w:space="0" w:color="auto"/>
              <w:right w:val="single" w:sz="2" w:space="0" w:color="auto"/>
            </w:tcBorders>
          </w:tcPr>
          <w:p w14:paraId="145D7632" w14:textId="77777777" w:rsidR="009F4766" w:rsidRPr="00DE12A3" w:rsidRDefault="009F4766" w:rsidP="00C917D6">
            <w:pPr>
              <w:pStyle w:val="NormalLeft"/>
              <w:rPr>
                <w:sz w:val="14"/>
                <w:szCs w:val="14"/>
              </w:rPr>
            </w:pPr>
            <w:r w:rsidRPr="00DE12A3">
              <w:rPr>
                <w:sz w:val="14"/>
                <w:szCs w:val="14"/>
              </w:rPr>
              <w:t>2,076</w:t>
            </w:r>
          </w:p>
        </w:tc>
        <w:tc>
          <w:tcPr>
            <w:tcW w:w="464" w:type="dxa"/>
            <w:tcBorders>
              <w:top w:val="single" w:sz="2" w:space="0" w:color="auto"/>
              <w:left w:val="single" w:sz="2" w:space="0" w:color="auto"/>
              <w:bottom w:val="single" w:sz="2" w:space="0" w:color="auto"/>
              <w:right w:val="single" w:sz="2" w:space="0" w:color="auto"/>
            </w:tcBorders>
          </w:tcPr>
          <w:p w14:paraId="608C2046" w14:textId="77777777" w:rsidR="009F4766" w:rsidRPr="00DE12A3" w:rsidRDefault="009F4766" w:rsidP="00C917D6">
            <w:pPr>
              <w:pStyle w:val="NormalLeft"/>
              <w:rPr>
                <w:sz w:val="14"/>
                <w:szCs w:val="14"/>
              </w:rPr>
            </w:pPr>
            <w:r w:rsidRPr="00DE12A3">
              <w:rPr>
                <w:sz w:val="14"/>
                <w:szCs w:val="14"/>
              </w:rPr>
              <w:t>2,052</w:t>
            </w:r>
          </w:p>
        </w:tc>
        <w:tc>
          <w:tcPr>
            <w:tcW w:w="464" w:type="dxa"/>
            <w:tcBorders>
              <w:top w:val="single" w:sz="2" w:space="0" w:color="auto"/>
              <w:left w:val="single" w:sz="2" w:space="0" w:color="auto"/>
              <w:bottom w:val="single" w:sz="2" w:space="0" w:color="auto"/>
              <w:right w:val="single" w:sz="2" w:space="0" w:color="auto"/>
            </w:tcBorders>
          </w:tcPr>
          <w:p w14:paraId="7ABEFB89" w14:textId="77777777" w:rsidR="009F4766" w:rsidRPr="00DE12A3" w:rsidRDefault="009F4766" w:rsidP="00C917D6">
            <w:pPr>
              <w:pStyle w:val="NormalLeft"/>
              <w:rPr>
                <w:sz w:val="14"/>
                <w:szCs w:val="14"/>
              </w:rPr>
            </w:pPr>
            <w:r w:rsidRPr="00DE12A3">
              <w:rPr>
                <w:sz w:val="14"/>
                <w:szCs w:val="14"/>
              </w:rPr>
              <w:t>2,026</w:t>
            </w:r>
          </w:p>
        </w:tc>
        <w:tc>
          <w:tcPr>
            <w:tcW w:w="465" w:type="dxa"/>
            <w:tcBorders>
              <w:top w:val="single" w:sz="2" w:space="0" w:color="auto"/>
              <w:left w:val="single" w:sz="2" w:space="0" w:color="auto"/>
              <w:bottom w:val="single" w:sz="2" w:space="0" w:color="auto"/>
              <w:right w:val="single" w:sz="2" w:space="0" w:color="auto"/>
            </w:tcBorders>
          </w:tcPr>
          <w:p w14:paraId="0BC4BC5F" w14:textId="77777777" w:rsidR="009F4766" w:rsidRPr="00DE12A3" w:rsidRDefault="009F4766" w:rsidP="00C917D6">
            <w:pPr>
              <w:pStyle w:val="NormalLeft"/>
              <w:rPr>
                <w:sz w:val="14"/>
                <w:szCs w:val="14"/>
              </w:rPr>
            </w:pPr>
            <w:r w:rsidRPr="00DE12A3">
              <w:rPr>
                <w:sz w:val="14"/>
                <w:szCs w:val="14"/>
              </w:rPr>
              <w:t>2,000</w:t>
            </w:r>
          </w:p>
        </w:tc>
        <w:tc>
          <w:tcPr>
            <w:tcW w:w="464" w:type="dxa"/>
            <w:tcBorders>
              <w:top w:val="single" w:sz="2" w:space="0" w:color="auto"/>
              <w:left w:val="single" w:sz="2" w:space="0" w:color="auto"/>
              <w:bottom w:val="single" w:sz="2" w:space="0" w:color="auto"/>
              <w:right w:val="single" w:sz="2" w:space="0" w:color="auto"/>
            </w:tcBorders>
          </w:tcPr>
          <w:p w14:paraId="157B36E5" w14:textId="77777777" w:rsidR="009F4766" w:rsidRPr="00DE12A3" w:rsidRDefault="009F4766" w:rsidP="00C917D6">
            <w:pPr>
              <w:pStyle w:val="NormalLeft"/>
              <w:rPr>
                <w:sz w:val="14"/>
                <w:szCs w:val="14"/>
              </w:rPr>
            </w:pPr>
            <w:r w:rsidRPr="00DE12A3">
              <w:rPr>
                <w:sz w:val="14"/>
                <w:szCs w:val="14"/>
              </w:rPr>
              <w:t>1,972</w:t>
            </w:r>
          </w:p>
        </w:tc>
      </w:tr>
      <w:tr w:rsidR="00DE12A3" w:rsidRPr="00DE12A3" w14:paraId="3B8C8B27" w14:textId="77777777" w:rsidTr="009F4766">
        <w:tc>
          <w:tcPr>
            <w:tcW w:w="464" w:type="dxa"/>
            <w:tcBorders>
              <w:top w:val="single" w:sz="2" w:space="0" w:color="auto"/>
              <w:left w:val="single" w:sz="2" w:space="0" w:color="auto"/>
              <w:bottom w:val="single" w:sz="2" w:space="0" w:color="auto"/>
              <w:right w:val="single" w:sz="2" w:space="0" w:color="auto"/>
            </w:tcBorders>
          </w:tcPr>
          <w:p w14:paraId="16EF4EF5" w14:textId="77777777" w:rsidR="009F4766" w:rsidRPr="00DE12A3" w:rsidRDefault="009F4766" w:rsidP="00C917D6">
            <w:pPr>
              <w:pStyle w:val="NormalLeft"/>
              <w:rPr>
                <w:sz w:val="14"/>
                <w:szCs w:val="14"/>
              </w:rPr>
            </w:pPr>
            <w:r w:rsidRPr="00DE12A3">
              <w:rPr>
                <w:sz w:val="14"/>
                <w:szCs w:val="14"/>
              </w:rPr>
              <w:t>12</w:t>
            </w:r>
          </w:p>
        </w:tc>
        <w:tc>
          <w:tcPr>
            <w:tcW w:w="465" w:type="dxa"/>
            <w:tcBorders>
              <w:top w:val="single" w:sz="2" w:space="0" w:color="auto"/>
              <w:left w:val="single" w:sz="2" w:space="0" w:color="auto"/>
              <w:bottom w:val="single" w:sz="2" w:space="0" w:color="auto"/>
              <w:right w:val="single" w:sz="2" w:space="0" w:color="auto"/>
            </w:tcBorders>
          </w:tcPr>
          <w:p w14:paraId="75B4C1C0" w14:textId="77777777" w:rsidR="009F4766" w:rsidRPr="00DE12A3" w:rsidRDefault="009F4766" w:rsidP="00C917D6">
            <w:pPr>
              <w:pStyle w:val="NormalLeft"/>
              <w:rPr>
                <w:sz w:val="14"/>
                <w:szCs w:val="14"/>
              </w:rPr>
            </w:pPr>
            <w:r w:rsidRPr="00DE12A3">
              <w:rPr>
                <w:sz w:val="14"/>
                <w:szCs w:val="14"/>
              </w:rPr>
              <w:t>3,177</w:t>
            </w:r>
          </w:p>
        </w:tc>
        <w:tc>
          <w:tcPr>
            <w:tcW w:w="464" w:type="dxa"/>
            <w:tcBorders>
              <w:top w:val="single" w:sz="2" w:space="0" w:color="auto"/>
              <w:left w:val="single" w:sz="2" w:space="0" w:color="auto"/>
              <w:bottom w:val="single" w:sz="2" w:space="0" w:color="auto"/>
              <w:right w:val="single" w:sz="2" w:space="0" w:color="auto"/>
            </w:tcBorders>
          </w:tcPr>
          <w:p w14:paraId="3279DE28" w14:textId="77777777" w:rsidR="009F4766" w:rsidRPr="00DE12A3" w:rsidRDefault="009F4766" w:rsidP="00C917D6">
            <w:pPr>
              <w:pStyle w:val="NormalLeft"/>
              <w:rPr>
                <w:sz w:val="14"/>
                <w:szCs w:val="14"/>
              </w:rPr>
            </w:pPr>
            <w:r w:rsidRPr="00DE12A3">
              <w:rPr>
                <w:sz w:val="14"/>
                <w:szCs w:val="14"/>
              </w:rPr>
              <w:t>2,807</w:t>
            </w:r>
          </w:p>
        </w:tc>
        <w:tc>
          <w:tcPr>
            <w:tcW w:w="464" w:type="dxa"/>
            <w:tcBorders>
              <w:top w:val="single" w:sz="2" w:space="0" w:color="auto"/>
              <w:left w:val="single" w:sz="2" w:space="0" w:color="auto"/>
              <w:bottom w:val="single" w:sz="2" w:space="0" w:color="auto"/>
              <w:right w:val="single" w:sz="2" w:space="0" w:color="auto"/>
            </w:tcBorders>
          </w:tcPr>
          <w:p w14:paraId="084C84AB" w14:textId="77777777" w:rsidR="009F4766" w:rsidRPr="00DE12A3" w:rsidRDefault="009F4766" w:rsidP="00C917D6">
            <w:pPr>
              <w:pStyle w:val="NormalLeft"/>
              <w:rPr>
                <w:sz w:val="14"/>
                <w:szCs w:val="14"/>
              </w:rPr>
            </w:pPr>
            <w:r w:rsidRPr="00DE12A3">
              <w:rPr>
                <w:sz w:val="14"/>
                <w:szCs w:val="14"/>
              </w:rPr>
              <w:t>2,606</w:t>
            </w:r>
          </w:p>
        </w:tc>
        <w:tc>
          <w:tcPr>
            <w:tcW w:w="465" w:type="dxa"/>
            <w:tcBorders>
              <w:top w:val="single" w:sz="2" w:space="0" w:color="auto"/>
              <w:left w:val="single" w:sz="2" w:space="0" w:color="auto"/>
              <w:bottom w:val="single" w:sz="2" w:space="0" w:color="auto"/>
              <w:right w:val="single" w:sz="2" w:space="0" w:color="auto"/>
            </w:tcBorders>
          </w:tcPr>
          <w:p w14:paraId="7A8A4951" w14:textId="77777777" w:rsidR="009F4766" w:rsidRPr="00DE12A3" w:rsidRDefault="009F4766" w:rsidP="00C917D6">
            <w:pPr>
              <w:pStyle w:val="NormalLeft"/>
              <w:rPr>
                <w:sz w:val="14"/>
                <w:szCs w:val="14"/>
              </w:rPr>
            </w:pPr>
            <w:r w:rsidRPr="00DE12A3">
              <w:rPr>
                <w:sz w:val="14"/>
                <w:szCs w:val="14"/>
              </w:rPr>
              <w:t>2,480</w:t>
            </w:r>
          </w:p>
        </w:tc>
        <w:tc>
          <w:tcPr>
            <w:tcW w:w="464" w:type="dxa"/>
            <w:tcBorders>
              <w:top w:val="single" w:sz="2" w:space="0" w:color="auto"/>
              <w:left w:val="single" w:sz="2" w:space="0" w:color="auto"/>
              <w:bottom w:val="single" w:sz="2" w:space="0" w:color="auto"/>
              <w:right w:val="single" w:sz="2" w:space="0" w:color="auto"/>
            </w:tcBorders>
          </w:tcPr>
          <w:p w14:paraId="262BA748" w14:textId="77777777" w:rsidR="009F4766" w:rsidRPr="00DE12A3" w:rsidRDefault="009F4766" w:rsidP="00C917D6">
            <w:pPr>
              <w:pStyle w:val="NormalLeft"/>
              <w:rPr>
                <w:sz w:val="14"/>
                <w:szCs w:val="14"/>
              </w:rPr>
            </w:pPr>
            <w:r w:rsidRPr="00DE12A3">
              <w:rPr>
                <w:sz w:val="14"/>
                <w:szCs w:val="14"/>
              </w:rPr>
              <w:t>2,394</w:t>
            </w:r>
          </w:p>
        </w:tc>
        <w:tc>
          <w:tcPr>
            <w:tcW w:w="464" w:type="dxa"/>
            <w:tcBorders>
              <w:top w:val="single" w:sz="2" w:space="0" w:color="auto"/>
              <w:left w:val="single" w:sz="2" w:space="0" w:color="auto"/>
              <w:bottom w:val="single" w:sz="2" w:space="0" w:color="auto"/>
              <w:right w:val="single" w:sz="2" w:space="0" w:color="auto"/>
            </w:tcBorders>
          </w:tcPr>
          <w:p w14:paraId="73BD3C8F" w14:textId="77777777" w:rsidR="009F4766" w:rsidRPr="00DE12A3" w:rsidRDefault="009F4766" w:rsidP="00C917D6">
            <w:pPr>
              <w:pStyle w:val="NormalLeft"/>
              <w:rPr>
                <w:sz w:val="14"/>
                <w:szCs w:val="14"/>
              </w:rPr>
            </w:pPr>
            <w:r w:rsidRPr="00DE12A3">
              <w:rPr>
                <w:sz w:val="14"/>
                <w:szCs w:val="14"/>
              </w:rPr>
              <w:t>2,331</w:t>
            </w:r>
          </w:p>
        </w:tc>
        <w:tc>
          <w:tcPr>
            <w:tcW w:w="464" w:type="dxa"/>
            <w:tcBorders>
              <w:top w:val="single" w:sz="2" w:space="0" w:color="auto"/>
              <w:left w:val="single" w:sz="2" w:space="0" w:color="auto"/>
              <w:bottom w:val="single" w:sz="2" w:space="0" w:color="auto"/>
              <w:right w:val="single" w:sz="2" w:space="0" w:color="auto"/>
            </w:tcBorders>
          </w:tcPr>
          <w:p w14:paraId="3DC93E20" w14:textId="77777777" w:rsidR="009F4766" w:rsidRPr="00DE12A3" w:rsidRDefault="009F4766" w:rsidP="00C917D6">
            <w:pPr>
              <w:pStyle w:val="NormalLeft"/>
              <w:rPr>
                <w:sz w:val="14"/>
                <w:szCs w:val="14"/>
              </w:rPr>
            </w:pPr>
            <w:r w:rsidRPr="00DE12A3">
              <w:rPr>
                <w:sz w:val="14"/>
                <w:szCs w:val="14"/>
              </w:rPr>
              <w:t>2,283</w:t>
            </w:r>
          </w:p>
        </w:tc>
        <w:tc>
          <w:tcPr>
            <w:tcW w:w="465" w:type="dxa"/>
            <w:tcBorders>
              <w:top w:val="single" w:sz="2" w:space="0" w:color="auto"/>
              <w:left w:val="single" w:sz="2" w:space="0" w:color="auto"/>
              <w:bottom w:val="single" w:sz="2" w:space="0" w:color="auto"/>
              <w:right w:val="single" w:sz="2" w:space="0" w:color="auto"/>
            </w:tcBorders>
          </w:tcPr>
          <w:p w14:paraId="6C6114FC" w14:textId="77777777" w:rsidR="009F4766" w:rsidRPr="00DE12A3" w:rsidRDefault="009F4766" w:rsidP="00C917D6">
            <w:pPr>
              <w:pStyle w:val="NormalLeft"/>
              <w:rPr>
                <w:sz w:val="14"/>
                <w:szCs w:val="14"/>
              </w:rPr>
            </w:pPr>
            <w:r w:rsidRPr="00DE12A3">
              <w:rPr>
                <w:sz w:val="14"/>
                <w:szCs w:val="14"/>
              </w:rPr>
              <w:t>2,245</w:t>
            </w:r>
          </w:p>
        </w:tc>
        <w:tc>
          <w:tcPr>
            <w:tcW w:w="464" w:type="dxa"/>
            <w:tcBorders>
              <w:top w:val="single" w:sz="2" w:space="0" w:color="auto"/>
              <w:left w:val="single" w:sz="2" w:space="0" w:color="auto"/>
              <w:bottom w:val="single" w:sz="2" w:space="0" w:color="auto"/>
              <w:right w:val="single" w:sz="2" w:space="0" w:color="auto"/>
            </w:tcBorders>
          </w:tcPr>
          <w:p w14:paraId="636EECB3" w14:textId="77777777" w:rsidR="009F4766" w:rsidRPr="00DE12A3" w:rsidRDefault="009F4766" w:rsidP="00C917D6">
            <w:pPr>
              <w:pStyle w:val="NormalLeft"/>
              <w:rPr>
                <w:sz w:val="14"/>
                <w:szCs w:val="14"/>
              </w:rPr>
            </w:pPr>
            <w:r w:rsidRPr="00DE12A3">
              <w:rPr>
                <w:sz w:val="14"/>
                <w:szCs w:val="14"/>
              </w:rPr>
              <w:t>2,214</w:t>
            </w:r>
          </w:p>
        </w:tc>
        <w:tc>
          <w:tcPr>
            <w:tcW w:w="464" w:type="dxa"/>
            <w:tcBorders>
              <w:top w:val="single" w:sz="2" w:space="0" w:color="auto"/>
              <w:left w:val="single" w:sz="2" w:space="0" w:color="auto"/>
              <w:bottom w:val="single" w:sz="2" w:space="0" w:color="auto"/>
              <w:right w:val="single" w:sz="2" w:space="0" w:color="auto"/>
            </w:tcBorders>
          </w:tcPr>
          <w:p w14:paraId="317B7142" w14:textId="77777777" w:rsidR="009F4766" w:rsidRPr="00DE12A3" w:rsidRDefault="009F4766" w:rsidP="00C917D6">
            <w:pPr>
              <w:pStyle w:val="NormalLeft"/>
              <w:rPr>
                <w:sz w:val="14"/>
                <w:szCs w:val="14"/>
              </w:rPr>
            </w:pPr>
            <w:r w:rsidRPr="00DE12A3">
              <w:rPr>
                <w:sz w:val="14"/>
                <w:szCs w:val="14"/>
              </w:rPr>
              <w:t>2,188</w:t>
            </w:r>
          </w:p>
        </w:tc>
        <w:tc>
          <w:tcPr>
            <w:tcW w:w="465" w:type="dxa"/>
            <w:tcBorders>
              <w:top w:val="single" w:sz="2" w:space="0" w:color="auto"/>
              <w:left w:val="single" w:sz="2" w:space="0" w:color="auto"/>
              <w:bottom w:val="single" w:sz="2" w:space="0" w:color="auto"/>
              <w:right w:val="single" w:sz="2" w:space="0" w:color="auto"/>
            </w:tcBorders>
          </w:tcPr>
          <w:p w14:paraId="67B4CFD5" w14:textId="77777777" w:rsidR="009F4766" w:rsidRPr="00DE12A3" w:rsidRDefault="009F4766" w:rsidP="00C917D6">
            <w:pPr>
              <w:pStyle w:val="NormalLeft"/>
              <w:rPr>
                <w:sz w:val="14"/>
                <w:szCs w:val="14"/>
              </w:rPr>
            </w:pPr>
            <w:r w:rsidRPr="00DE12A3">
              <w:rPr>
                <w:sz w:val="14"/>
                <w:szCs w:val="14"/>
              </w:rPr>
              <w:t>2,147</w:t>
            </w:r>
          </w:p>
        </w:tc>
        <w:tc>
          <w:tcPr>
            <w:tcW w:w="464" w:type="dxa"/>
            <w:tcBorders>
              <w:top w:val="single" w:sz="2" w:space="0" w:color="auto"/>
              <w:left w:val="single" w:sz="2" w:space="0" w:color="auto"/>
              <w:bottom w:val="single" w:sz="2" w:space="0" w:color="auto"/>
              <w:right w:val="single" w:sz="2" w:space="0" w:color="auto"/>
            </w:tcBorders>
          </w:tcPr>
          <w:p w14:paraId="1E961CEF" w14:textId="77777777" w:rsidR="009F4766" w:rsidRPr="00DE12A3" w:rsidRDefault="009F4766" w:rsidP="00C917D6">
            <w:pPr>
              <w:pStyle w:val="NormalLeft"/>
              <w:rPr>
                <w:sz w:val="14"/>
                <w:szCs w:val="14"/>
              </w:rPr>
            </w:pPr>
            <w:r w:rsidRPr="00DE12A3">
              <w:rPr>
                <w:sz w:val="14"/>
                <w:szCs w:val="14"/>
              </w:rPr>
              <w:t>2,105</w:t>
            </w:r>
          </w:p>
        </w:tc>
        <w:tc>
          <w:tcPr>
            <w:tcW w:w="464" w:type="dxa"/>
            <w:tcBorders>
              <w:top w:val="single" w:sz="2" w:space="0" w:color="auto"/>
              <w:left w:val="single" w:sz="2" w:space="0" w:color="auto"/>
              <w:bottom w:val="single" w:sz="2" w:space="0" w:color="auto"/>
              <w:right w:val="single" w:sz="2" w:space="0" w:color="auto"/>
            </w:tcBorders>
          </w:tcPr>
          <w:p w14:paraId="7FE0CEA4" w14:textId="77777777" w:rsidR="009F4766" w:rsidRPr="00DE12A3" w:rsidRDefault="009F4766" w:rsidP="00C917D6">
            <w:pPr>
              <w:pStyle w:val="NormalLeft"/>
              <w:rPr>
                <w:sz w:val="14"/>
                <w:szCs w:val="14"/>
              </w:rPr>
            </w:pPr>
            <w:r w:rsidRPr="00DE12A3">
              <w:rPr>
                <w:sz w:val="14"/>
                <w:szCs w:val="14"/>
              </w:rPr>
              <w:t>2,060</w:t>
            </w:r>
          </w:p>
        </w:tc>
        <w:tc>
          <w:tcPr>
            <w:tcW w:w="465" w:type="dxa"/>
            <w:tcBorders>
              <w:top w:val="single" w:sz="2" w:space="0" w:color="auto"/>
              <w:left w:val="single" w:sz="2" w:space="0" w:color="auto"/>
              <w:bottom w:val="single" w:sz="2" w:space="0" w:color="auto"/>
              <w:right w:val="single" w:sz="2" w:space="0" w:color="auto"/>
            </w:tcBorders>
          </w:tcPr>
          <w:p w14:paraId="6E647744" w14:textId="77777777" w:rsidR="009F4766" w:rsidRPr="00DE12A3" w:rsidRDefault="009F4766" w:rsidP="00C917D6">
            <w:pPr>
              <w:pStyle w:val="NormalLeft"/>
              <w:rPr>
                <w:sz w:val="14"/>
                <w:szCs w:val="14"/>
              </w:rPr>
            </w:pPr>
            <w:r w:rsidRPr="00DE12A3">
              <w:rPr>
                <w:sz w:val="14"/>
                <w:szCs w:val="14"/>
              </w:rPr>
              <w:t>2,036</w:t>
            </w:r>
          </w:p>
        </w:tc>
        <w:tc>
          <w:tcPr>
            <w:tcW w:w="464" w:type="dxa"/>
            <w:tcBorders>
              <w:top w:val="single" w:sz="2" w:space="0" w:color="auto"/>
              <w:left w:val="single" w:sz="2" w:space="0" w:color="auto"/>
              <w:bottom w:val="single" w:sz="2" w:space="0" w:color="auto"/>
              <w:right w:val="single" w:sz="2" w:space="0" w:color="auto"/>
            </w:tcBorders>
          </w:tcPr>
          <w:p w14:paraId="1F405820" w14:textId="77777777" w:rsidR="009F4766" w:rsidRPr="00DE12A3" w:rsidRDefault="009F4766" w:rsidP="00C917D6">
            <w:pPr>
              <w:pStyle w:val="NormalLeft"/>
              <w:rPr>
                <w:sz w:val="14"/>
                <w:szCs w:val="14"/>
              </w:rPr>
            </w:pPr>
            <w:r w:rsidRPr="00DE12A3">
              <w:rPr>
                <w:sz w:val="14"/>
                <w:szCs w:val="14"/>
              </w:rPr>
              <w:t>2,011</w:t>
            </w:r>
          </w:p>
        </w:tc>
        <w:tc>
          <w:tcPr>
            <w:tcW w:w="464" w:type="dxa"/>
            <w:tcBorders>
              <w:top w:val="single" w:sz="2" w:space="0" w:color="auto"/>
              <w:left w:val="single" w:sz="2" w:space="0" w:color="auto"/>
              <w:bottom w:val="single" w:sz="2" w:space="0" w:color="auto"/>
              <w:right w:val="single" w:sz="2" w:space="0" w:color="auto"/>
            </w:tcBorders>
          </w:tcPr>
          <w:p w14:paraId="0281972D" w14:textId="77777777" w:rsidR="009F4766" w:rsidRPr="00DE12A3" w:rsidRDefault="009F4766" w:rsidP="00C917D6">
            <w:pPr>
              <w:pStyle w:val="NormalLeft"/>
              <w:rPr>
                <w:sz w:val="14"/>
                <w:szCs w:val="14"/>
              </w:rPr>
            </w:pPr>
            <w:r w:rsidRPr="00DE12A3">
              <w:rPr>
                <w:sz w:val="14"/>
                <w:szCs w:val="14"/>
              </w:rPr>
              <w:t>1,986</w:t>
            </w:r>
          </w:p>
        </w:tc>
        <w:tc>
          <w:tcPr>
            <w:tcW w:w="464" w:type="dxa"/>
            <w:tcBorders>
              <w:top w:val="single" w:sz="2" w:space="0" w:color="auto"/>
              <w:left w:val="single" w:sz="2" w:space="0" w:color="auto"/>
              <w:bottom w:val="single" w:sz="2" w:space="0" w:color="auto"/>
              <w:right w:val="single" w:sz="2" w:space="0" w:color="auto"/>
            </w:tcBorders>
          </w:tcPr>
          <w:p w14:paraId="40913AC4" w14:textId="77777777" w:rsidR="009F4766" w:rsidRPr="00DE12A3" w:rsidRDefault="009F4766" w:rsidP="00C917D6">
            <w:pPr>
              <w:pStyle w:val="NormalLeft"/>
              <w:rPr>
                <w:sz w:val="14"/>
                <w:szCs w:val="14"/>
              </w:rPr>
            </w:pPr>
            <w:r w:rsidRPr="00DE12A3">
              <w:rPr>
                <w:sz w:val="14"/>
                <w:szCs w:val="14"/>
              </w:rPr>
              <w:t>1,960</w:t>
            </w:r>
          </w:p>
        </w:tc>
        <w:tc>
          <w:tcPr>
            <w:tcW w:w="465" w:type="dxa"/>
            <w:tcBorders>
              <w:top w:val="single" w:sz="2" w:space="0" w:color="auto"/>
              <w:left w:val="single" w:sz="2" w:space="0" w:color="auto"/>
              <w:bottom w:val="single" w:sz="2" w:space="0" w:color="auto"/>
              <w:right w:val="single" w:sz="2" w:space="0" w:color="auto"/>
            </w:tcBorders>
          </w:tcPr>
          <w:p w14:paraId="1E884B7F" w14:textId="77777777" w:rsidR="009F4766" w:rsidRPr="00DE12A3" w:rsidRDefault="009F4766" w:rsidP="00C917D6">
            <w:pPr>
              <w:pStyle w:val="NormalLeft"/>
              <w:rPr>
                <w:sz w:val="14"/>
                <w:szCs w:val="14"/>
              </w:rPr>
            </w:pPr>
            <w:r w:rsidRPr="00DE12A3">
              <w:rPr>
                <w:sz w:val="14"/>
                <w:szCs w:val="14"/>
              </w:rPr>
              <w:t>1,932</w:t>
            </w:r>
          </w:p>
        </w:tc>
        <w:tc>
          <w:tcPr>
            <w:tcW w:w="464" w:type="dxa"/>
            <w:tcBorders>
              <w:top w:val="single" w:sz="2" w:space="0" w:color="auto"/>
              <w:left w:val="single" w:sz="2" w:space="0" w:color="auto"/>
              <w:bottom w:val="single" w:sz="2" w:space="0" w:color="auto"/>
              <w:right w:val="single" w:sz="2" w:space="0" w:color="auto"/>
            </w:tcBorders>
          </w:tcPr>
          <w:p w14:paraId="6DC50CE4" w14:textId="77777777" w:rsidR="009F4766" w:rsidRPr="00DE12A3" w:rsidRDefault="009F4766" w:rsidP="00C917D6">
            <w:pPr>
              <w:pStyle w:val="NormalLeft"/>
              <w:rPr>
                <w:sz w:val="14"/>
                <w:szCs w:val="14"/>
              </w:rPr>
            </w:pPr>
            <w:r w:rsidRPr="00DE12A3">
              <w:rPr>
                <w:sz w:val="14"/>
                <w:szCs w:val="14"/>
              </w:rPr>
              <w:t>1,904</w:t>
            </w:r>
          </w:p>
        </w:tc>
      </w:tr>
      <w:tr w:rsidR="00DE12A3" w:rsidRPr="00DE12A3" w14:paraId="41583565" w14:textId="77777777" w:rsidTr="009F4766">
        <w:tc>
          <w:tcPr>
            <w:tcW w:w="464" w:type="dxa"/>
            <w:tcBorders>
              <w:top w:val="single" w:sz="2" w:space="0" w:color="auto"/>
              <w:left w:val="single" w:sz="2" w:space="0" w:color="auto"/>
              <w:bottom w:val="single" w:sz="2" w:space="0" w:color="auto"/>
              <w:right w:val="single" w:sz="2" w:space="0" w:color="auto"/>
            </w:tcBorders>
          </w:tcPr>
          <w:p w14:paraId="19C3289E" w14:textId="77777777" w:rsidR="009F4766" w:rsidRPr="00DE12A3" w:rsidRDefault="009F4766" w:rsidP="00C917D6">
            <w:pPr>
              <w:pStyle w:val="NormalLeft"/>
              <w:rPr>
                <w:sz w:val="14"/>
                <w:szCs w:val="14"/>
              </w:rPr>
            </w:pPr>
            <w:r w:rsidRPr="00DE12A3">
              <w:rPr>
                <w:sz w:val="14"/>
                <w:szCs w:val="14"/>
              </w:rPr>
              <w:t>13</w:t>
            </w:r>
          </w:p>
        </w:tc>
        <w:tc>
          <w:tcPr>
            <w:tcW w:w="465" w:type="dxa"/>
            <w:tcBorders>
              <w:top w:val="single" w:sz="2" w:space="0" w:color="auto"/>
              <w:left w:val="single" w:sz="2" w:space="0" w:color="auto"/>
              <w:bottom w:val="single" w:sz="2" w:space="0" w:color="auto"/>
              <w:right w:val="single" w:sz="2" w:space="0" w:color="auto"/>
            </w:tcBorders>
          </w:tcPr>
          <w:p w14:paraId="6EF9F9E1" w14:textId="77777777" w:rsidR="009F4766" w:rsidRPr="00DE12A3" w:rsidRDefault="009F4766" w:rsidP="00C917D6">
            <w:pPr>
              <w:pStyle w:val="NormalLeft"/>
              <w:rPr>
                <w:sz w:val="14"/>
                <w:szCs w:val="14"/>
              </w:rPr>
            </w:pPr>
            <w:r w:rsidRPr="00DE12A3">
              <w:rPr>
                <w:sz w:val="14"/>
                <w:szCs w:val="14"/>
              </w:rPr>
              <w:t>3,136</w:t>
            </w:r>
          </w:p>
        </w:tc>
        <w:tc>
          <w:tcPr>
            <w:tcW w:w="464" w:type="dxa"/>
            <w:tcBorders>
              <w:top w:val="single" w:sz="2" w:space="0" w:color="auto"/>
              <w:left w:val="single" w:sz="2" w:space="0" w:color="auto"/>
              <w:bottom w:val="single" w:sz="2" w:space="0" w:color="auto"/>
              <w:right w:val="single" w:sz="2" w:space="0" w:color="auto"/>
            </w:tcBorders>
          </w:tcPr>
          <w:p w14:paraId="06F42DB2" w14:textId="77777777" w:rsidR="009F4766" w:rsidRPr="00DE12A3" w:rsidRDefault="009F4766" w:rsidP="00C917D6">
            <w:pPr>
              <w:pStyle w:val="NormalLeft"/>
              <w:rPr>
                <w:sz w:val="14"/>
                <w:szCs w:val="14"/>
              </w:rPr>
            </w:pPr>
            <w:r w:rsidRPr="00DE12A3">
              <w:rPr>
                <w:sz w:val="14"/>
                <w:szCs w:val="14"/>
              </w:rPr>
              <w:t>2,763</w:t>
            </w:r>
          </w:p>
        </w:tc>
        <w:tc>
          <w:tcPr>
            <w:tcW w:w="464" w:type="dxa"/>
            <w:tcBorders>
              <w:top w:val="single" w:sz="2" w:space="0" w:color="auto"/>
              <w:left w:val="single" w:sz="2" w:space="0" w:color="auto"/>
              <w:bottom w:val="single" w:sz="2" w:space="0" w:color="auto"/>
              <w:right w:val="single" w:sz="2" w:space="0" w:color="auto"/>
            </w:tcBorders>
          </w:tcPr>
          <w:p w14:paraId="6089AA01" w14:textId="77777777" w:rsidR="009F4766" w:rsidRPr="00DE12A3" w:rsidRDefault="009F4766" w:rsidP="00C917D6">
            <w:pPr>
              <w:pStyle w:val="NormalLeft"/>
              <w:rPr>
                <w:sz w:val="14"/>
                <w:szCs w:val="14"/>
              </w:rPr>
            </w:pPr>
            <w:r w:rsidRPr="00DE12A3">
              <w:rPr>
                <w:sz w:val="14"/>
                <w:szCs w:val="14"/>
              </w:rPr>
              <w:t>2,560</w:t>
            </w:r>
          </w:p>
        </w:tc>
        <w:tc>
          <w:tcPr>
            <w:tcW w:w="465" w:type="dxa"/>
            <w:tcBorders>
              <w:top w:val="single" w:sz="2" w:space="0" w:color="auto"/>
              <w:left w:val="single" w:sz="2" w:space="0" w:color="auto"/>
              <w:bottom w:val="single" w:sz="2" w:space="0" w:color="auto"/>
              <w:right w:val="single" w:sz="2" w:space="0" w:color="auto"/>
            </w:tcBorders>
          </w:tcPr>
          <w:p w14:paraId="1C4BC5E0" w14:textId="77777777" w:rsidR="009F4766" w:rsidRPr="00DE12A3" w:rsidRDefault="009F4766" w:rsidP="00C917D6">
            <w:pPr>
              <w:pStyle w:val="NormalLeft"/>
              <w:rPr>
                <w:sz w:val="14"/>
                <w:szCs w:val="14"/>
              </w:rPr>
            </w:pPr>
            <w:r w:rsidRPr="00DE12A3">
              <w:rPr>
                <w:sz w:val="14"/>
                <w:szCs w:val="14"/>
              </w:rPr>
              <w:t>2,434</w:t>
            </w:r>
          </w:p>
        </w:tc>
        <w:tc>
          <w:tcPr>
            <w:tcW w:w="464" w:type="dxa"/>
            <w:tcBorders>
              <w:top w:val="single" w:sz="2" w:space="0" w:color="auto"/>
              <w:left w:val="single" w:sz="2" w:space="0" w:color="auto"/>
              <w:bottom w:val="single" w:sz="2" w:space="0" w:color="auto"/>
              <w:right w:val="single" w:sz="2" w:space="0" w:color="auto"/>
            </w:tcBorders>
          </w:tcPr>
          <w:p w14:paraId="21F2F03A" w14:textId="77777777" w:rsidR="009F4766" w:rsidRPr="00DE12A3" w:rsidRDefault="009F4766" w:rsidP="00C917D6">
            <w:pPr>
              <w:pStyle w:val="NormalLeft"/>
              <w:rPr>
                <w:sz w:val="14"/>
                <w:szCs w:val="14"/>
              </w:rPr>
            </w:pPr>
            <w:r w:rsidRPr="00DE12A3">
              <w:rPr>
                <w:sz w:val="14"/>
                <w:szCs w:val="14"/>
              </w:rPr>
              <w:t>2,347</w:t>
            </w:r>
          </w:p>
        </w:tc>
        <w:tc>
          <w:tcPr>
            <w:tcW w:w="464" w:type="dxa"/>
            <w:tcBorders>
              <w:top w:val="single" w:sz="2" w:space="0" w:color="auto"/>
              <w:left w:val="single" w:sz="2" w:space="0" w:color="auto"/>
              <w:bottom w:val="single" w:sz="2" w:space="0" w:color="auto"/>
              <w:right w:val="single" w:sz="2" w:space="0" w:color="auto"/>
            </w:tcBorders>
          </w:tcPr>
          <w:p w14:paraId="7FF6B057" w14:textId="77777777" w:rsidR="009F4766" w:rsidRPr="00DE12A3" w:rsidRDefault="009F4766" w:rsidP="00C917D6">
            <w:pPr>
              <w:pStyle w:val="NormalLeft"/>
              <w:rPr>
                <w:sz w:val="14"/>
                <w:szCs w:val="14"/>
              </w:rPr>
            </w:pPr>
            <w:r w:rsidRPr="00DE12A3">
              <w:rPr>
                <w:sz w:val="14"/>
                <w:szCs w:val="14"/>
              </w:rPr>
              <w:t>2,283</w:t>
            </w:r>
          </w:p>
        </w:tc>
        <w:tc>
          <w:tcPr>
            <w:tcW w:w="464" w:type="dxa"/>
            <w:tcBorders>
              <w:top w:val="single" w:sz="2" w:space="0" w:color="auto"/>
              <w:left w:val="single" w:sz="2" w:space="0" w:color="auto"/>
              <w:bottom w:val="single" w:sz="2" w:space="0" w:color="auto"/>
              <w:right w:val="single" w:sz="2" w:space="0" w:color="auto"/>
            </w:tcBorders>
          </w:tcPr>
          <w:p w14:paraId="35D8008D" w14:textId="77777777" w:rsidR="009F4766" w:rsidRPr="00DE12A3" w:rsidRDefault="009F4766" w:rsidP="00C917D6">
            <w:pPr>
              <w:pStyle w:val="NormalLeft"/>
              <w:rPr>
                <w:sz w:val="14"/>
                <w:szCs w:val="14"/>
              </w:rPr>
            </w:pPr>
            <w:r w:rsidRPr="00DE12A3">
              <w:rPr>
                <w:sz w:val="14"/>
                <w:szCs w:val="14"/>
              </w:rPr>
              <w:t>2,234</w:t>
            </w:r>
          </w:p>
        </w:tc>
        <w:tc>
          <w:tcPr>
            <w:tcW w:w="465" w:type="dxa"/>
            <w:tcBorders>
              <w:top w:val="single" w:sz="2" w:space="0" w:color="auto"/>
              <w:left w:val="single" w:sz="2" w:space="0" w:color="auto"/>
              <w:bottom w:val="single" w:sz="2" w:space="0" w:color="auto"/>
              <w:right w:val="single" w:sz="2" w:space="0" w:color="auto"/>
            </w:tcBorders>
          </w:tcPr>
          <w:p w14:paraId="3A9A004F" w14:textId="77777777" w:rsidR="009F4766" w:rsidRPr="00DE12A3" w:rsidRDefault="009F4766" w:rsidP="00C917D6">
            <w:pPr>
              <w:pStyle w:val="NormalLeft"/>
              <w:rPr>
                <w:sz w:val="14"/>
                <w:szCs w:val="14"/>
              </w:rPr>
            </w:pPr>
            <w:r w:rsidRPr="00DE12A3">
              <w:rPr>
                <w:sz w:val="14"/>
                <w:szCs w:val="14"/>
              </w:rPr>
              <w:t>2,195</w:t>
            </w:r>
          </w:p>
        </w:tc>
        <w:tc>
          <w:tcPr>
            <w:tcW w:w="464" w:type="dxa"/>
            <w:tcBorders>
              <w:top w:val="single" w:sz="2" w:space="0" w:color="auto"/>
              <w:left w:val="single" w:sz="2" w:space="0" w:color="auto"/>
              <w:bottom w:val="single" w:sz="2" w:space="0" w:color="auto"/>
              <w:right w:val="single" w:sz="2" w:space="0" w:color="auto"/>
            </w:tcBorders>
          </w:tcPr>
          <w:p w14:paraId="410A9D6F" w14:textId="77777777" w:rsidR="009F4766" w:rsidRPr="00DE12A3" w:rsidRDefault="009F4766" w:rsidP="00C917D6">
            <w:pPr>
              <w:pStyle w:val="NormalLeft"/>
              <w:rPr>
                <w:sz w:val="14"/>
                <w:szCs w:val="14"/>
              </w:rPr>
            </w:pPr>
            <w:r w:rsidRPr="00DE12A3">
              <w:rPr>
                <w:sz w:val="14"/>
                <w:szCs w:val="14"/>
              </w:rPr>
              <w:t>2,164</w:t>
            </w:r>
          </w:p>
        </w:tc>
        <w:tc>
          <w:tcPr>
            <w:tcW w:w="464" w:type="dxa"/>
            <w:tcBorders>
              <w:top w:val="single" w:sz="2" w:space="0" w:color="auto"/>
              <w:left w:val="single" w:sz="2" w:space="0" w:color="auto"/>
              <w:bottom w:val="single" w:sz="2" w:space="0" w:color="auto"/>
              <w:right w:val="single" w:sz="2" w:space="0" w:color="auto"/>
            </w:tcBorders>
          </w:tcPr>
          <w:p w14:paraId="4F4670C8" w14:textId="77777777" w:rsidR="009F4766" w:rsidRPr="00DE12A3" w:rsidRDefault="009F4766" w:rsidP="00C917D6">
            <w:pPr>
              <w:pStyle w:val="NormalLeft"/>
              <w:rPr>
                <w:sz w:val="14"/>
                <w:szCs w:val="14"/>
              </w:rPr>
            </w:pPr>
            <w:r w:rsidRPr="00DE12A3">
              <w:rPr>
                <w:sz w:val="14"/>
                <w:szCs w:val="14"/>
              </w:rPr>
              <w:t>2,138</w:t>
            </w:r>
          </w:p>
        </w:tc>
        <w:tc>
          <w:tcPr>
            <w:tcW w:w="465" w:type="dxa"/>
            <w:tcBorders>
              <w:top w:val="single" w:sz="2" w:space="0" w:color="auto"/>
              <w:left w:val="single" w:sz="2" w:space="0" w:color="auto"/>
              <w:bottom w:val="single" w:sz="2" w:space="0" w:color="auto"/>
              <w:right w:val="single" w:sz="2" w:space="0" w:color="auto"/>
            </w:tcBorders>
          </w:tcPr>
          <w:p w14:paraId="5C61911B" w14:textId="77777777" w:rsidR="009F4766" w:rsidRPr="00DE12A3" w:rsidRDefault="009F4766" w:rsidP="00C917D6">
            <w:pPr>
              <w:pStyle w:val="NormalLeft"/>
              <w:rPr>
                <w:sz w:val="14"/>
                <w:szCs w:val="14"/>
              </w:rPr>
            </w:pPr>
            <w:r w:rsidRPr="00DE12A3">
              <w:rPr>
                <w:sz w:val="14"/>
                <w:szCs w:val="14"/>
              </w:rPr>
              <w:t>2,097</w:t>
            </w:r>
          </w:p>
        </w:tc>
        <w:tc>
          <w:tcPr>
            <w:tcW w:w="464" w:type="dxa"/>
            <w:tcBorders>
              <w:top w:val="single" w:sz="2" w:space="0" w:color="auto"/>
              <w:left w:val="single" w:sz="2" w:space="0" w:color="auto"/>
              <w:bottom w:val="single" w:sz="2" w:space="0" w:color="auto"/>
              <w:right w:val="single" w:sz="2" w:space="0" w:color="auto"/>
            </w:tcBorders>
          </w:tcPr>
          <w:p w14:paraId="26089A98" w14:textId="77777777" w:rsidR="009F4766" w:rsidRPr="00DE12A3" w:rsidRDefault="009F4766" w:rsidP="00C917D6">
            <w:pPr>
              <w:pStyle w:val="NormalLeft"/>
              <w:rPr>
                <w:sz w:val="14"/>
                <w:szCs w:val="14"/>
              </w:rPr>
            </w:pPr>
            <w:r w:rsidRPr="00DE12A3">
              <w:rPr>
                <w:sz w:val="14"/>
                <w:szCs w:val="14"/>
              </w:rPr>
              <w:t>2,053</w:t>
            </w:r>
          </w:p>
        </w:tc>
        <w:tc>
          <w:tcPr>
            <w:tcW w:w="464" w:type="dxa"/>
            <w:tcBorders>
              <w:top w:val="single" w:sz="2" w:space="0" w:color="auto"/>
              <w:left w:val="single" w:sz="2" w:space="0" w:color="auto"/>
              <w:bottom w:val="single" w:sz="2" w:space="0" w:color="auto"/>
              <w:right w:val="single" w:sz="2" w:space="0" w:color="auto"/>
            </w:tcBorders>
          </w:tcPr>
          <w:p w14:paraId="331F6E45" w14:textId="77777777" w:rsidR="009F4766" w:rsidRPr="00DE12A3" w:rsidRDefault="009F4766" w:rsidP="00C917D6">
            <w:pPr>
              <w:pStyle w:val="NormalLeft"/>
              <w:rPr>
                <w:sz w:val="14"/>
                <w:szCs w:val="14"/>
              </w:rPr>
            </w:pPr>
            <w:r w:rsidRPr="00DE12A3">
              <w:rPr>
                <w:sz w:val="14"/>
                <w:szCs w:val="14"/>
              </w:rPr>
              <w:t>2,007</w:t>
            </w:r>
          </w:p>
        </w:tc>
        <w:tc>
          <w:tcPr>
            <w:tcW w:w="465" w:type="dxa"/>
            <w:tcBorders>
              <w:top w:val="single" w:sz="2" w:space="0" w:color="auto"/>
              <w:left w:val="single" w:sz="2" w:space="0" w:color="auto"/>
              <w:bottom w:val="single" w:sz="2" w:space="0" w:color="auto"/>
              <w:right w:val="single" w:sz="2" w:space="0" w:color="auto"/>
            </w:tcBorders>
          </w:tcPr>
          <w:p w14:paraId="57D6179E" w14:textId="77777777" w:rsidR="009F4766" w:rsidRPr="00DE12A3" w:rsidRDefault="009F4766" w:rsidP="00C917D6">
            <w:pPr>
              <w:pStyle w:val="NormalLeft"/>
              <w:rPr>
                <w:sz w:val="14"/>
                <w:szCs w:val="14"/>
              </w:rPr>
            </w:pPr>
            <w:r w:rsidRPr="00DE12A3">
              <w:rPr>
                <w:sz w:val="14"/>
                <w:szCs w:val="14"/>
              </w:rPr>
              <w:t>1,983</w:t>
            </w:r>
          </w:p>
        </w:tc>
        <w:tc>
          <w:tcPr>
            <w:tcW w:w="464" w:type="dxa"/>
            <w:tcBorders>
              <w:top w:val="single" w:sz="2" w:space="0" w:color="auto"/>
              <w:left w:val="single" w:sz="2" w:space="0" w:color="auto"/>
              <w:bottom w:val="single" w:sz="2" w:space="0" w:color="auto"/>
              <w:right w:val="single" w:sz="2" w:space="0" w:color="auto"/>
            </w:tcBorders>
          </w:tcPr>
          <w:p w14:paraId="4B54FE56" w14:textId="77777777" w:rsidR="009F4766" w:rsidRPr="00DE12A3" w:rsidRDefault="009F4766" w:rsidP="00C917D6">
            <w:pPr>
              <w:pStyle w:val="NormalLeft"/>
              <w:rPr>
                <w:sz w:val="14"/>
                <w:szCs w:val="14"/>
              </w:rPr>
            </w:pPr>
            <w:r w:rsidRPr="00DE12A3">
              <w:rPr>
                <w:sz w:val="14"/>
                <w:szCs w:val="14"/>
              </w:rPr>
              <w:t>1,958</w:t>
            </w:r>
          </w:p>
        </w:tc>
        <w:tc>
          <w:tcPr>
            <w:tcW w:w="464" w:type="dxa"/>
            <w:tcBorders>
              <w:top w:val="single" w:sz="2" w:space="0" w:color="auto"/>
              <w:left w:val="single" w:sz="2" w:space="0" w:color="auto"/>
              <w:bottom w:val="single" w:sz="2" w:space="0" w:color="auto"/>
              <w:right w:val="single" w:sz="2" w:space="0" w:color="auto"/>
            </w:tcBorders>
          </w:tcPr>
          <w:p w14:paraId="16ADFF56" w14:textId="77777777" w:rsidR="009F4766" w:rsidRPr="00DE12A3" w:rsidRDefault="009F4766" w:rsidP="00C917D6">
            <w:pPr>
              <w:pStyle w:val="NormalLeft"/>
              <w:rPr>
                <w:sz w:val="14"/>
                <w:szCs w:val="14"/>
              </w:rPr>
            </w:pPr>
            <w:r w:rsidRPr="00DE12A3">
              <w:rPr>
                <w:sz w:val="14"/>
                <w:szCs w:val="14"/>
              </w:rPr>
              <w:t>1,931</w:t>
            </w:r>
          </w:p>
        </w:tc>
        <w:tc>
          <w:tcPr>
            <w:tcW w:w="464" w:type="dxa"/>
            <w:tcBorders>
              <w:top w:val="single" w:sz="2" w:space="0" w:color="auto"/>
              <w:left w:val="single" w:sz="2" w:space="0" w:color="auto"/>
              <w:bottom w:val="single" w:sz="2" w:space="0" w:color="auto"/>
              <w:right w:val="single" w:sz="2" w:space="0" w:color="auto"/>
            </w:tcBorders>
          </w:tcPr>
          <w:p w14:paraId="2C2954C5" w14:textId="77777777" w:rsidR="009F4766" w:rsidRPr="00DE12A3" w:rsidRDefault="009F4766" w:rsidP="00C917D6">
            <w:pPr>
              <w:pStyle w:val="NormalLeft"/>
              <w:rPr>
                <w:sz w:val="14"/>
                <w:szCs w:val="14"/>
              </w:rPr>
            </w:pPr>
            <w:r w:rsidRPr="00DE12A3">
              <w:rPr>
                <w:sz w:val="14"/>
                <w:szCs w:val="14"/>
              </w:rPr>
              <w:t>1,904</w:t>
            </w:r>
          </w:p>
        </w:tc>
        <w:tc>
          <w:tcPr>
            <w:tcW w:w="465" w:type="dxa"/>
            <w:tcBorders>
              <w:top w:val="single" w:sz="2" w:space="0" w:color="auto"/>
              <w:left w:val="single" w:sz="2" w:space="0" w:color="auto"/>
              <w:bottom w:val="single" w:sz="2" w:space="0" w:color="auto"/>
              <w:right w:val="single" w:sz="2" w:space="0" w:color="auto"/>
            </w:tcBorders>
          </w:tcPr>
          <w:p w14:paraId="48A5CAD4" w14:textId="77777777" w:rsidR="009F4766" w:rsidRPr="00DE12A3" w:rsidRDefault="009F4766" w:rsidP="00C917D6">
            <w:pPr>
              <w:pStyle w:val="NormalLeft"/>
              <w:rPr>
                <w:sz w:val="14"/>
                <w:szCs w:val="14"/>
              </w:rPr>
            </w:pPr>
            <w:r w:rsidRPr="00DE12A3">
              <w:rPr>
                <w:sz w:val="14"/>
                <w:szCs w:val="14"/>
              </w:rPr>
              <w:t>1,876</w:t>
            </w:r>
          </w:p>
        </w:tc>
        <w:tc>
          <w:tcPr>
            <w:tcW w:w="464" w:type="dxa"/>
            <w:tcBorders>
              <w:top w:val="single" w:sz="2" w:space="0" w:color="auto"/>
              <w:left w:val="single" w:sz="2" w:space="0" w:color="auto"/>
              <w:bottom w:val="single" w:sz="2" w:space="0" w:color="auto"/>
              <w:right w:val="single" w:sz="2" w:space="0" w:color="auto"/>
            </w:tcBorders>
          </w:tcPr>
          <w:p w14:paraId="1B6308E0" w14:textId="77777777" w:rsidR="009F4766" w:rsidRPr="00DE12A3" w:rsidRDefault="009F4766" w:rsidP="00C917D6">
            <w:pPr>
              <w:pStyle w:val="NormalLeft"/>
              <w:rPr>
                <w:sz w:val="14"/>
                <w:szCs w:val="14"/>
              </w:rPr>
            </w:pPr>
            <w:r w:rsidRPr="00DE12A3">
              <w:rPr>
                <w:sz w:val="14"/>
                <w:szCs w:val="14"/>
              </w:rPr>
              <w:t>1,846</w:t>
            </w:r>
          </w:p>
        </w:tc>
      </w:tr>
      <w:tr w:rsidR="00DE12A3" w:rsidRPr="00DE12A3" w14:paraId="5491AD0E" w14:textId="77777777" w:rsidTr="009F4766">
        <w:tc>
          <w:tcPr>
            <w:tcW w:w="464" w:type="dxa"/>
            <w:tcBorders>
              <w:top w:val="single" w:sz="2" w:space="0" w:color="auto"/>
              <w:left w:val="single" w:sz="2" w:space="0" w:color="auto"/>
              <w:bottom w:val="single" w:sz="2" w:space="0" w:color="auto"/>
              <w:right w:val="single" w:sz="2" w:space="0" w:color="auto"/>
            </w:tcBorders>
          </w:tcPr>
          <w:p w14:paraId="70052A1F" w14:textId="77777777" w:rsidR="009F4766" w:rsidRPr="00DE12A3" w:rsidRDefault="009F4766" w:rsidP="00C917D6">
            <w:pPr>
              <w:pStyle w:val="NormalLeft"/>
              <w:rPr>
                <w:sz w:val="14"/>
                <w:szCs w:val="14"/>
              </w:rPr>
            </w:pPr>
            <w:r w:rsidRPr="00DE12A3">
              <w:rPr>
                <w:sz w:val="14"/>
                <w:szCs w:val="14"/>
              </w:rPr>
              <w:t>14</w:t>
            </w:r>
          </w:p>
        </w:tc>
        <w:tc>
          <w:tcPr>
            <w:tcW w:w="465" w:type="dxa"/>
            <w:tcBorders>
              <w:top w:val="single" w:sz="2" w:space="0" w:color="auto"/>
              <w:left w:val="single" w:sz="2" w:space="0" w:color="auto"/>
              <w:bottom w:val="single" w:sz="2" w:space="0" w:color="auto"/>
              <w:right w:val="single" w:sz="2" w:space="0" w:color="auto"/>
            </w:tcBorders>
          </w:tcPr>
          <w:p w14:paraId="112DDD94" w14:textId="77777777" w:rsidR="009F4766" w:rsidRPr="00DE12A3" w:rsidRDefault="009F4766" w:rsidP="00C917D6">
            <w:pPr>
              <w:pStyle w:val="NormalLeft"/>
              <w:rPr>
                <w:sz w:val="14"/>
                <w:szCs w:val="14"/>
              </w:rPr>
            </w:pPr>
            <w:r w:rsidRPr="00DE12A3">
              <w:rPr>
                <w:sz w:val="14"/>
                <w:szCs w:val="14"/>
              </w:rPr>
              <w:t>3,102</w:t>
            </w:r>
          </w:p>
        </w:tc>
        <w:tc>
          <w:tcPr>
            <w:tcW w:w="464" w:type="dxa"/>
            <w:tcBorders>
              <w:top w:val="single" w:sz="2" w:space="0" w:color="auto"/>
              <w:left w:val="single" w:sz="2" w:space="0" w:color="auto"/>
              <w:bottom w:val="single" w:sz="2" w:space="0" w:color="auto"/>
              <w:right w:val="single" w:sz="2" w:space="0" w:color="auto"/>
            </w:tcBorders>
          </w:tcPr>
          <w:p w14:paraId="279A230D" w14:textId="77777777" w:rsidR="009F4766" w:rsidRPr="00DE12A3" w:rsidRDefault="009F4766" w:rsidP="00C917D6">
            <w:pPr>
              <w:pStyle w:val="NormalLeft"/>
              <w:rPr>
                <w:sz w:val="14"/>
                <w:szCs w:val="14"/>
              </w:rPr>
            </w:pPr>
            <w:r w:rsidRPr="00DE12A3">
              <w:rPr>
                <w:sz w:val="14"/>
                <w:szCs w:val="14"/>
              </w:rPr>
              <w:t>2,726</w:t>
            </w:r>
          </w:p>
        </w:tc>
        <w:tc>
          <w:tcPr>
            <w:tcW w:w="464" w:type="dxa"/>
            <w:tcBorders>
              <w:top w:val="single" w:sz="2" w:space="0" w:color="auto"/>
              <w:left w:val="single" w:sz="2" w:space="0" w:color="auto"/>
              <w:bottom w:val="single" w:sz="2" w:space="0" w:color="auto"/>
              <w:right w:val="single" w:sz="2" w:space="0" w:color="auto"/>
            </w:tcBorders>
          </w:tcPr>
          <w:p w14:paraId="5F3F6A9C" w14:textId="77777777" w:rsidR="009F4766" w:rsidRPr="00DE12A3" w:rsidRDefault="009F4766" w:rsidP="00C917D6">
            <w:pPr>
              <w:pStyle w:val="NormalLeft"/>
              <w:rPr>
                <w:sz w:val="14"/>
                <w:szCs w:val="14"/>
              </w:rPr>
            </w:pPr>
            <w:r w:rsidRPr="00DE12A3">
              <w:rPr>
                <w:sz w:val="14"/>
                <w:szCs w:val="14"/>
              </w:rPr>
              <w:t>2,522</w:t>
            </w:r>
          </w:p>
        </w:tc>
        <w:tc>
          <w:tcPr>
            <w:tcW w:w="465" w:type="dxa"/>
            <w:tcBorders>
              <w:top w:val="single" w:sz="2" w:space="0" w:color="auto"/>
              <w:left w:val="single" w:sz="2" w:space="0" w:color="auto"/>
              <w:bottom w:val="single" w:sz="2" w:space="0" w:color="auto"/>
              <w:right w:val="single" w:sz="2" w:space="0" w:color="auto"/>
            </w:tcBorders>
          </w:tcPr>
          <w:p w14:paraId="1EE9C80D" w14:textId="77777777" w:rsidR="009F4766" w:rsidRPr="00DE12A3" w:rsidRDefault="009F4766" w:rsidP="00C917D6">
            <w:pPr>
              <w:pStyle w:val="NormalLeft"/>
              <w:rPr>
                <w:sz w:val="14"/>
                <w:szCs w:val="14"/>
              </w:rPr>
            </w:pPr>
            <w:r w:rsidRPr="00DE12A3">
              <w:rPr>
                <w:sz w:val="14"/>
                <w:szCs w:val="14"/>
              </w:rPr>
              <w:t>2,395</w:t>
            </w:r>
          </w:p>
        </w:tc>
        <w:tc>
          <w:tcPr>
            <w:tcW w:w="464" w:type="dxa"/>
            <w:tcBorders>
              <w:top w:val="single" w:sz="2" w:space="0" w:color="auto"/>
              <w:left w:val="single" w:sz="2" w:space="0" w:color="auto"/>
              <w:bottom w:val="single" w:sz="2" w:space="0" w:color="auto"/>
              <w:right w:val="single" w:sz="2" w:space="0" w:color="auto"/>
            </w:tcBorders>
          </w:tcPr>
          <w:p w14:paraId="09AC6B59" w14:textId="77777777" w:rsidR="009F4766" w:rsidRPr="00DE12A3" w:rsidRDefault="009F4766" w:rsidP="00C917D6">
            <w:pPr>
              <w:pStyle w:val="NormalLeft"/>
              <w:rPr>
                <w:sz w:val="14"/>
                <w:szCs w:val="14"/>
              </w:rPr>
            </w:pPr>
            <w:r w:rsidRPr="00DE12A3">
              <w:rPr>
                <w:sz w:val="14"/>
                <w:szCs w:val="14"/>
              </w:rPr>
              <w:t>2,307</w:t>
            </w:r>
          </w:p>
        </w:tc>
        <w:tc>
          <w:tcPr>
            <w:tcW w:w="464" w:type="dxa"/>
            <w:tcBorders>
              <w:top w:val="single" w:sz="2" w:space="0" w:color="auto"/>
              <w:left w:val="single" w:sz="2" w:space="0" w:color="auto"/>
              <w:bottom w:val="single" w:sz="2" w:space="0" w:color="auto"/>
              <w:right w:val="single" w:sz="2" w:space="0" w:color="auto"/>
            </w:tcBorders>
          </w:tcPr>
          <w:p w14:paraId="369EF9E4" w14:textId="77777777" w:rsidR="009F4766" w:rsidRPr="00DE12A3" w:rsidRDefault="009F4766" w:rsidP="00C917D6">
            <w:pPr>
              <w:pStyle w:val="NormalLeft"/>
              <w:rPr>
                <w:sz w:val="14"/>
                <w:szCs w:val="14"/>
              </w:rPr>
            </w:pPr>
            <w:r w:rsidRPr="00DE12A3">
              <w:rPr>
                <w:sz w:val="14"/>
                <w:szCs w:val="14"/>
              </w:rPr>
              <w:t>2,243</w:t>
            </w:r>
          </w:p>
        </w:tc>
        <w:tc>
          <w:tcPr>
            <w:tcW w:w="464" w:type="dxa"/>
            <w:tcBorders>
              <w:top w:val="single" w:sz="2" w:space="0" w:color="auto"/>
              <w:left w:val="single" w:sz="2" w:space="0" w:color="auto"/>
              <w:bottom w:val="single" w:sz="2" w:space="0" w:color="auto"/>
              <w:right w:val="single" w:sz="2" w:space="0" w:color="auto"/>
            </w:tcBorders>
          </w:tcPr>
          <w:p w14:paraId="0BE58163" w14:textId="77777777" w:rsidR="009F4766" w:rsidRPr="00DE12A3" w:rsidRDefault="009F4766" w:rsidP="00C917D6">
            <w:pPr>
              <w:pStyle w:val="NormalLeft"/>
              <w:rPr>
                <w:sz w:val="14"/>
                <w:szCs w:val="14"/>
              </w:rPr>
            </w:pPr>
            <w:r w:rsidRPr="00DE12A3">
              <w:rPr>
                <w:sz w:val="14"/>
                <w:szCs w:val="14"/>
              </w:rPr>
              <w:t>2,193</w:t>
            </w:r>
          </w:p>
        </w:tc>
        <w:tc>
          <w:tcPr>
            <w:tcW w:w="465" w:type="dxa"/>
            <w:tcBorders>
              <w:top w:val="single" w:sz="2" w:space="0" w:color="auto"/>
              <w:left w:val="single" w:sz="2" w:space="0" w:color="auto"/>
              <w:bottom w:val="single" w:sz="2" w:space="0" w:color="auto"/>
              <w:right w:val="single" w:sz="2" w:space="0" w:color="auto"/>
            </w:tcBorders>
          </w:tcPr>
          <w:p w14:paraId="7EA17978" w14:textId="77777777" w:rsidR="009F4766" w:rsidRPr="00DE12A3" w:rsidRDefault="009F4766" w:rsidP="00C917D6">
            <w:pPr>
              <w:pStyle w:val="NormalLeft"/>
              <w:rPr>
                <w:sz w:val="14"/>
                <w:szCs w:val="14"/>
              </w:rPr>
            </w:pPr>
            <w:r w:rsidRPr="00DE12A3">
              <w:rPr>
                <w:sz w:val="14"/>
                <w:szCs w:val="14"/>
              </w:rPr>
              <w:t>2,154</w:t>
            </w:r>
          </w:p>
        </w:tc>
        <w:tc>
          <w:tcPr>
            <w:tcW w:w="464" w:type="dxa"/>
            <w:tcBorders>
              <w:top w:val="single" w:sz="2" w:space="0" w:color="auto"/>
              <w:left w:val="single" w:sz="2" w:space="0" w:color="auto"/>
              <w:bottom w:val="single" w:sz="2" w:space="0" w:color="auto"/>
              <w:right w:val="single" w:sz="2" w:space="0" w:color="auto"/>
            </w:tcBorders>
          </w:tcPr>
          <w:p w14:paraId="13BDEDE0" w14:textId="77777777" w:rsidR="009F4766" w:rsidRPr="00DE12A3" w:rsidRDefault="009F4766" w:rsidP="00C917D6">
            <w:pPr>
              <w:pStyle w:val="NormalLeft"/>
              <w:rPr>
                <w:sz w:val="14"/>
                <w:szCs w:val="14"/>
              </w:rPr>
            </w:pPr>
            <w:r w:rsidRPr="00DE12A3">
              <w:rPr>
                <w:sz w:val="14"/>
                <w:szCs w:val="14"/>
              </w:rPr>
              <w:t>2,122</w:t>
            </w:r>
          </w:p>
        </w:tc>
        <w:tc>
          <w:tcPr>
            <w:tcW w:w="464" w:type="dxa"/>
            <w:tcBorders>
              <w:top w:val="single" w:sz="2" w:space="0" w:color="auto"/>
              <w:left w:val="single" w:sz="2" w:space="0" w:color="auto"/>
              <w:bottom w:val="single" w:sz="2" w:space="0" w:color="auto"/>
              <w:right w:val="single" w:sz="2" w:space="0" w:color="auto"/>
            </w:tcBorders>
          </w:tcPr>
          <w:p w14:paraId="785B78D2" w14:textId="77777777" w:rsidR="009F4766" w:rsidRPr="00DE12A3" w:rsidRDefault="009F4766" w:rsidP="00C917D6">
            <w:pPr>
              <w:pStyle w:val="NormalLeft"/>
              <w:rPr>
                <w:sz w:val="14"/>
                <w:szCs w:val="14"/>
              </w:rPr>
            </w:pPr>
            <w:r w:rsidRPr="00DE12A3">
              <w:rPr>
                <w:sz w:val="14"/>
                <w:szCs w:val="14"/>
              </w:rPr>
              <w:t>2,095</w:t>
            </w:r>
          </w:p>
        </w:tc>
        <w:tc>
          <w:tcPr>
            <w:tcW w:w="465" w:type="dxa"/>
            <w:tcBorders>
              <w:top w:val="single" w:sz="2" w:space="0" w:color="auto"/>
              <w:left w:val="single" w:sz="2" w:space="0" w:color="auto"/>
              <w:bottom w:val="single" w:sz="2" w:space="0" w:color="auto"/>
              <w:right w:val="single" w:sz="2" w:space="0" w:color="auto"/>
            </w:tcBorders>
          </w:tcPr>
          <w:p w14:paraId="6837174F" w14:textId="77777777" w:rsidR="009F4766" w:rsidRPr="00DE12A3" w:rsidRDefault="009F4766" w:rsidP="00C917D6">
            <w:pPr>
              <w:pStyle w:val="NormalLeft"/>
              <w:rPr>
                <w:sz w:val="14"/>
                <w:szCs w:val="14"/>
              </w:rPr>
            </w:pPr>
            <w:r w:rsidRPr="00DE12A3">
              <w:rPr>
                <w:sz w:val="14"/>
                <w:szCs w:val="14"/>
              </w:rPr>
              <w:t>2,054</w:t>
            </w:r>
          </w:p>
        </w:tc>
        <w:tc>
          <w:tcPr>
            <w:tcW w:w="464" w:type="dxa"/>
            <w:tcBorders>
              <w:top w:val="single" w:sz="2" w:space="0" w:color="auto"/>
              <w:left w:val="single" w:sz="2" w:space="0" w:color="auto"/>
              <w:bottom w:val="single" w:sz="2" w:space="0" w:color="auto"/>
              <w:right w:val="single" w:sz="2" w:space="0" w:color="auto"/>
            </w:tcBorders>
          </w:tcPr>
          <w:p w14:paraId="248617D4" w14:textId="77777777" w:rsidR="009F4766" w:rsidRPr="00DE12A3" w:rsidRDefault="009F4766" w:rsidP="00C917D6">
            <w:pPr>
              <w:pStyle w:val="NormalLeft"/>
              <w:rPr>
                <w:sz w:val="14"/>
                <w:szCs w:val="14"/>
              </w:rPr>
            </w:pPr>
            <w:r w:rsidRPr="00DE12A3">
              <w:rPr>
                <w:sz w:val="14"/>
                <w:szCs w:val="14"/>
              </w:rPr>
              <w:t>2,010</w:t>
            </w:r>
          </w:p>
        </w:tc>
        <w:tc>
          <w:tcPr>
            <w:tcW w:w="464" w:type="dxa"/>
            <w:tcBorders>
              <w:top w:val="single" w:sz="2" w:space="0" w:color="auto"/>
              <w:left w:val="single" w:sz="2" w:space="0" w:color="auto"/>
              <w:bottom w:val="single" w:sz="2" w:space="0" w:color="auto"/>
              <w:right w:val="single" w:sz="2" w:space="0" w:color="auto"/>
            </w:tcBorders>
          </w:tcPr>
          <w:p w14:paraId="474CE998" w14:textId="77777777" w:rsidR="009F4766" w:rsidRPr="00DE12A3" w:rsidRDefault="009F4766" w:rsidP="00C917D6">
            <w:pPr>
              <w:pStyle w:val="NormalLeft"/>
              <w:rPr>
                <w:sz w:val="14"/>
                <w:szCs w:val="14"/>
              </w:rPr>
            </w:pPr>
            <w:r w:rsidRPr="00DE12A3">
              <w:rPr>
                <w:sz w:val="14"/>
                <w:szCs w:val="14"/>
              </w:rPr>
              <w:t>1,962</w:t>
            </w:r>
          </w:p>
        </w:tc>
        <w:tc>
          <w:tcPr>
            <w:tcW w:w="465" w:type="dxa"/>
            <w:tcBorders>
              <w:top w:val="single" w:sz="2" w:space="0" w:color="auto"/>
              <w:left w:val="single" w:sz="2" w:space="0" w:color="auto"/>
              <w:bottom w:val="single" w:sz="2" w:space="0" w:color="auto"/>
              <w:right w:val="single" w:sz="2" w:space="0" w:color="auto"/>
            </w:tcBorders>
          </w:tcPr>
          <w:p w14:paraId="6CAA544B" w14:textId="77777777" w:rsidR="009F4766" w:rsidRPr="00DE12A3" w:rsidRDefault="009F4766" w:rsidP="00C917D6">
            <w:pPr>
              <w:pStyle w:val="NormalLeft"/>
              <w:rPr>
                <w:sz w:val="14"/>
                <w:szCs w:val="14"/>
              </w:rPr>
            </w:pPr>
            <w:r w:rsidRPr="00DE12A3">
              <w:rPr>
                <w:sz w:val="14"/>
                <w:szCs w:val="14"/>
              </w:rPr>
              <w:t>1,938</w:t>
            </w:r>
          </w:p>
        </w:tc>
        <w:tc>
          <w:tcPr>
            <w:tcW w:w="464" w:type="dxa"/>
            <w:tcBorders>
              <w:top w:val="single" w:sz="2" w:space="0" w:color="auto"/>
              <w:left w:val="single" w:sz="2" w:space="0" w:color="auto"/>
              <w:bottom w:val="single" w:sz="2" w:space="0" w:color="auto"/>
              <w:right w:val="single" w:sz="2" w:space="0" w:color="auto"/>
            </w:tcBorders>
          </w:tcPr>
          <w:p w14:paraId="5D70A68C" w14:textId="77777777" w:rsidR="009F4766" w:rsidRPr="00DE12A3" w:rsidRDefault="009F4766" w:rsidP="00C917D6">
            <w:pPr>
              <w:pStyle w:val="NormalLeft"/>
              <w:rPr>
                <w:sz w:val="14"/>
                <w:szCs w:val="14"/>
              </w:rPr>
            </w:pPr>
            <w:r w:rsidRPr="00DE12A3">
              <w:rPr>
                <w:sz w:val="14"/>
                <w:szCs w:val="14"/>
              </w:rPr>
              <w:t>1,912</w:t>
            </w:r>
          </w:p>
        </w:tc>
        <w:tc>
          <w:tcPr>
            <w:tcW w:w="464" w:type="dxa"/>
            <w:tcBorders>
              <w:top w:val="single" w:sz="2" w:space="0" w:color="auto"/>
              <w:left w:val="single" w:sz="2" w:space="0" w:color="auto"/>
              <w:bottom w:val="single" w:sz="2" w:space="0" w:color="auto"/>
              <w:right w:val="single" w:sz="2" w:space="0" w:color="auto"/>
            </w:tcBorders>
          </w:tcPr>
          <w:p w14:paraId="45B238E1" w14:textId="77777777" w:rsidR="009F4766" w:rsidRPr="00DE12A3" w:rsidRDefault="009F4766" w:rsidP="00C917D6">
            <w:pPr>
              <w:pStyle w:val="NormalLeft"/>
              <w:rPr>
                <w:sz w:val="14"/>
                <w:szCs w:val="14"/>
              </w:rPr>
            </w:pPr>
            <w:r w:rsidRPr="00DE12A3">
              <w:rPr>
                <w:sz w:val="14"/>
                <w:szCs w:val="14"/>
              </w:rPr>
              <w:t>1,885</w:t>
            </w:r>
          </w:p>
        </w:tc>
        <w:tc>
          <w:tcPr>
            <w:tcW w:w="464" w:type="dxa"/>
            <w:tcBorders>
              <w:top w:val="single" w:sz="2" w:space="0" w:color="auto"/>
              <w:left w:val="single" w:sz="2" w:space="0" w:color="auto"/>
              <w:bottom w:val="single" w:sz="2" w:space="0" w:color="auto"/>
              <w:right w:val="single" w:sz="2" w:space="0" w:color="auto"/>
            </w:tcBorders>
          </w:tcPr>
          <w:p w14:paraId="613CD86B" w14:textId="77777777" w:rsidR="009F4766" w:rsidRPr="00DE12A3" w:rsidRDefault="009F4766" w:rsidP="00C917D6">
            <w:pPr>
              <w:pStyle w:val="NormalLeft"/>
              <w:rPr>
                <w:sz w:val="14"/>
                <w:szCs w:val="14"/>
              </w:rPr>
            </w:pPr>
            <w:r w:rsidRPr="00DE12A3">
              <w:rPr>
                <w:sz w:val="14"/>
                <w:szCs w:val="14"/>
              </w:rPr>
              <w:t>1,857</w:t>
            </w:r>
          </w:p>
        </w:tc>
        <w:tc>
          <w:tcPr>
            <w:tcW w:w="465" w:type="dxa"/>
            <w:tcBorders>
              <w:top w:val="single" w:sz="2" w:space="0" w:color="auto"/>
              <w:left w:val="single" w:sz="2" w:space="0" w:color="auto"/>
              <w:bottom w:val="single" w:sz="2" w:space="0" w:color="auto"/>
              <w:right w:val="single" w:sz="2" w:space="0" w:color="auto"/>
            </w:tcBorders>
          </w:tcPr>
          <w:p w14:paraId="7647620D" w14:textId="77777777" w:rsidR="009F4766" w:rsidRPr="00DE12A3" w:rsidRDefault="009F4766" w:rsidP="00C917D6">
            <w:pPr>
              <w:pStyle w:val="NormalLeft"/>
              <w:rPr>
                <w:sz w:val="14"/>
                <w:szCs w:val="14"/>
              </w:rPr>
            </w:pPr>
            <w:r w:rsidRPr="00DE12A3">
              <w:rPr>
                <w:sz w:val="14"/>
                <w:szCs w:val="14"/>
              </w:rPr>
              <w:t>1,828</w:t>
            </w:r>
          </w:p>
        </w:tc>
        <w:tc>
          <w:tcPr>
            <w:tcW w:w="464" w:type="dxa"/>
            <w:tcBorders>
              <w:top w:val="single" w:sz="2" w:space="0" w:color="auto"/>
              <w:left w:val="single" w:sz="2" w:space="0" w:color="auto"/>
              <w:bottom w:val="single" w:sz="2" w:space="0" w:color="auto"/>
              <w:right w:val="single" w:sz="2" w:space="0" w:color="auto"/>
            </w:tcBorders>
          </w:tcPr>
          <w:p w14:paraId="2B897D1E" w14:textId="77777777" w:rsidR="009F4766" w:rsidRPr="00DE12A3" w:rsidRDefault="009F4766" w:rsidP="00C917D6">
            <w:pPr>
              <w:pStyle w:val="NormalLeft"/>
              <w:rPr>
                <w:sz w:val="14"/>
                <w:szCs w:val="14"/>
              </w:rPr>
            </w:pPr>
            <w:r w:rsidRPr="00DE12A3">
              <w:rPr>
                <w:sz w:val="14"/>
                <w:szCs w:val="14"/>
              </w:rPr>
              <w:t>1,797</w:t>
            </w:r>
          </w:p>
        </w:tc>
      </w:tr>
      <w:tr w:rsidR="00DE12A3" w:rsidRPr="00DE12A3" w14:paraId="72FF6413" w14:textId="77777777" w:rsidTr="009F4766">
        <w:tc>
          <w:tcPr>
            <w:tcW w:w="464" w:type="dxa"/>
            <w:tcBorders>
              <w:top w:val="single" w:sz="2" w:space="0" w:color="auto"/>
              <w:left w:val="single" w:sz="2" w:space="0" w:color="auto"/>
              <w:bottom w:val="single" w:sz="2" w:space="0" w:color="auto"/>
              <w:right w:val="single" w:sz="2" w:space="0" w:color="auto"/>
            </w:tcBorders>
          </w:tcPr>
          <w:p w14:paraId="73A8E506" w14:textId="77777777" w:rsidR="009F4766" w:rsidRPr="00DE12A3" w:rsidRDefault="009F4766" w:rsidP="00C917D6">
            <w:pPr>
              <w:pStyle w:val="NormalLeft"/>
              <w:rPr>
                <w:sz w:val="14"/>
                <w:szCs w:val="14"/>
              </w:rPr>
            </w:pPr>
            <w:r w:rsidRPr="00DE12A3">
              <w:rPr>
                <w:sz w:val="14"/>
                <w:szCs w:val="14"/>
              </w:rPr>
              <w:t>15</w:t>
            </w:r>
          </w:p>
        </w:tc>
        <w:tc>
          <w:tcPr>
            <w:tcW w:w="465" w:type="dxa"/>
            <w:tcBorders>
              <w:top w:val="single" w:sz="2" w:space="0" w:color="auto"/>
              <w:left w:val="single" w:sz="2" w:space="0" w:color="auto"/>
              <w:bottom w:val="single" w:sz="2" w:space="0" w:color="auto"/>
              <w:right w:val="single" w:sz="2" w:space="0" w:color="auto"/>
            </w:tcBorders>
          </w:tcPr>
          <w:p w14:paraId="31670972" w14:textId="77777777" w:rsidR="009F4766" w:rsidRPr="00DE12A3" w:rsidRDefault="009F4766" w:rsidP="00C917D6">
            <w:pPr>
              <w:pStyle w:val="NormalLeft"/>
              <w:rPr>
                <w:sz w:val="14"/>
                <w:szCs w:val="14"/>
              </w:rPr>
            </w:pPr>
            <w:r w:rsidRPr="00DE12A3">
              <w:rPr>
                <w:sz w:val="14"/>
                <w:szCs w:val="14"/>
              </w:rPr>
              <w:t>3,073</w:t>
            </w:r>
          </w:p>
        </w:tc>
        <w:tc>
          <w:tcPr>
            <w:tcW w:w="464" w:type="dxa"/>
            <w:tcBorders>
              <w:top w:val="single" w:sz="2" w:space="0" w:color="auto"/>
              <w:left w:val="single" w:sz="2" w:space="0" w:color="auto"/>
              <w:bottom w:val="single" w:sz="2" w:space="0" w:color="auto"/>
              <w:right w:val="single" w:sz="2" w:space="0" w:color="auto"/>
            </w:tcBorders>
          </w:tcPr>
          <w:p w14:paraId="58E23467" w14:textId="77777777" w:rsidR="009F4766" w:rsidRPr="00DE12A3" w:rsidRDefault="009F4766" w:rsidP="00C917D6">
            <w:pPr>
              <w:pStyle w:val="NormalLeft"/>
              <w:rPr>
                <w:sz w:val="14"/>
                <w:szCs w:val="14"/>
              </w:rPr>
            </w:pPr>
            <w:r w:rsidRPr="00DE12A3">
              <w:rPr>
                <w:sz w:val="14"/>
                <w:szCs w:val="14"/>
              </w:rPr>
              <w:t>2,695</w:t>
            </w:r>
          </w:p>
        </w:tc>
        <w:tc>
          <w:tcPr>
            <w:tcW w:w="464" w:type="dxa"/>
            <w:tcBorders>
              <w:top w:val="single" w:sz="2" w:space="0" w:color="auto"/>
              <w:left w:val="single" w:sz="2" w:space="0" w:color="auto"/>
              <w:bottom w:val="single" w:sz="2" w:space="0" w:color="auto"/>
              <w:right w:val="single" w:sz="2" w:space="0" w:color="auto"/>
            </w:tcBorders>
          </w:tcPr>
          <w:p w14:paraId="79013306" w14:textId="77777777" w:rsidR="009F4766" w:rsidRPr="00DE12A3" w:rsidRDefault="009F4766" w:rsidP="00C917D6">
            <w:pPr>
              <w:pStyle w:val="NormalLeft"/>
              <w:rPr>
                <w:sz w:val="14"/>
                <w:szCs w:val="14"/>
              </w:rPr>
            </w:pPr>
            <w:r w:rsidRPr="00DE12A3">
              <w:rPr>
                <w:sz w:val="14"/>
                <w:szCs w:val="14"/>
              </w:rPr>
              <w:t>2,490</w:t>
            </w:r>
          </w:p>
        </w:tc>
        <w:tc>
          <w:tcPr>
            <w:tcW w:w="465" w:type="dxa"/>
            <w:tcBorders>
              <w:top w:val="single" w:sz="2" w:space="0" w:color="auto"/>
              <w:left w:val="single" w:sz="2" w:space="0" w:color="auto"/>
              <w:bottom w:val="single" w:sz="2" w:space="0" w:color="auto"/>
              <w:right w:val="single" w:sz="2" w:space="0" w:color="auto"/>
            </w:tcBorders>
          </w:tcPr>
          <w:p w14:paraId="3E0F64B1" w14:textId="77777777" w:rsidR="009F4766" w:rsidRPr="00DE12A3" w:rsidRDefault="009F4766" w:rsidP="00C917D6">
            <w:pPr>
              <w:pStyle w:val="NormalLeft"/>
              <w:rPr>
                <w:sz w:val="14"/>
                <w:szCs w:val="14"/>
              </w:rPr>
            </w:pPr>
            <w:r w:rsidRPr="00DE12A3">
              <w:rPr>
                <w:sz w:val="14"/>
                <w:szCs w:val="14"/>
              </w:rPr>
              <w:t>2,361</w:t>
            </w:r>
          </w:p>
        </w:tc>
        <w:tc>
          <w:tcPr>
            <w:tcW w:w="464" w:type="dxa"/>
            <w:tcBorders>
              <w:top w:val="single" w:sz="2" w:space="0" w:color="auto"/>
              <w:left w:val="single" w:sz="2" w:space="0" w:color="auto"/>
              <w:bottom w:val="single" w:sz="2" w:space="0" w:color="auto"/>
              <w:right w:val="single" w:sz="2" w:space="0" w:color="auto"/>
            </w:tcBorders>
          </w:tcPr>
          <w:p w14:paraId="6F96A959" w14:textId="77777777" w:rsidR="009F4766" w:rsidRPr="00DE12A3" w:rsidRDefault="009F4766" w:rsidP="00C917D6">
            <w:pPr>
              <w:pStyle w:val="NormalLeft"/>
              <w:rPr>
                <w:sz w:val="14"/>
                <w:szCs w:val="14"/>
              </w:rPr>
            </w:pPr>
            <w:r w:rsidRPr="00DE12A3">
              <w:rPr>
                <w:sz w:val="14"/>
                <w:szCs w:val="14"/>
              </w:rPr>
              <w:t>2,273</w:t>
            </w:r>
          </w:p>
        </w:tc>
        <w:tc>
          <w:tcPr>
            <w:tcW w:w="464" w:type="dxa"/>
            <w:tcBorders>
              <w:top w:val="single" w:sz="2" w:space="0" w:color="auto"/>
              <w:left w:val="single" w:sz="2" w:space="0" w:color="auto"/>
              <w:bottom w:val="single" w:sz="2" w:space="0" w:color="auto"/>
              <w:right w:val="single" w:sz="2" w:space="0" w:color="auto"/>
            </w:tcBorders>
          </w:tcPr>
          <w:p w14:paraId="01EBAD61" w14:textId="77777777" w:rsidR="009F4766" w:rsidRPr="00DE12A3" w:rsidRDefault="009F4766" w:rsidP="00C917D6">
            <w:pPr>
              <w:pStyle w:val="NormalLeft"/>
              <w:rPr>
                <w:sz w:val="14"/>
                <w:szCs w:val="14"/>
              </w:rPr>
            </w:pPr>
            <w:r w:rsidRPr="00DE12A3">
              <w:rPr>
                <w:sz w:val="14"/>
                <w:szCs w:val="14"/>
              </w:rPr>
              <w:t>2,208</w:t>
            </w:r>
          </w:p>
        </w:tc>
        <w:tc>
          <w:tcPr>
            <w:tcW w:w="464" w:type="dxa"/>
            <w:tcBorders>
              <w:top w:val="single" w:sz="2" w:space="0" w:color="auto"/>
              <w:left w:val="single" w:sz="2" w:space="0" w:color="auto"/>
              <w:bottom w:val="single" w:sz="2" w:space="0" w:color="auto"/>
              <w:right w:val="single" w:sz="2" w:space="0" w:color="auto"/>
            </w:tcBorders>
          </w:tcPr>
          <w:p w14:paraId="49670109" w14:textId="77777777" w:rsidR="009F4766" w:rsidRPr="00DE12A3" w:rsidRDefault="009F4766" w:rsidP="00C917D6">
            <w:pPr>
              <w:pStyle w:val="NormalLeft"/>
              <w:rPr>
                <w:sz w:val="14"/>
                <w:szCs w:val="14"/>
              </w:rPr>
            </w:pPr>
            <w:r w:rsidRPr="00DE12A3">
              <w:rPr>
                <w:sz w:val="14"/>
                <w:szCs w:val="14"/>
              </w:rPr>
              <w:t>2,158</w:t>
            </w:r>
          </w:p>
        </w:tc>
        <w:tc>
          <w:tcPr>
            <w:tcW w:w="465" w:type="dxa"/>
            <w:tcBorders>
              <w:top w:val="single" w:sz="2" w:space="0" w:color="auto"/>
              <w:left w:val="single" w:sz="2" w:space="0" w:color="auto"/>
              <w:bottom w:val="single" w:sz="2" w:space="0" w:color="auto"/>
              <w:right w:val="single" w:sz="2" w:space="0" w:color="auto"/>
            </w:tcBorders>
          </w:tcPr>
          <w:p w14:paraId="0F9F82DA" w14:textId="77777777" w:rsidR="009F4766" w:rsidRPr="00DE12A3" w:rsidRDefault="009F4766" w:rsidP="00C917D6">
            <w:pPr>
              <w:pStyle w:val="NormalLeft"/>
              <w:rPr>
                <w:sz w:val="14"/>
                <w:szCs w:val="14"/>
              </w:rPr>
            </w:pPr>
            <w:r w:rsidRPr="00DE12A3">
              <w:rPr>
                <w:sz w:val="14"/>
                <w:szCs w:val="14"/>
              </w:rPr>
              <w:t>2,119</w:t>
            </w:r>
          </w:p>
        </w:tc>
        <w:tc>
          <w:tcPr>
            <w:tcW w:w="464" w:type="dxa"/>
            <w:tcBorders>
              <w:top w:val="single" w:sz="2" w:space="0" w:color="auto"/>
              <w:left w:val="single" w:sz="2" w:space="0" w:color="auto"/>
              <w:bottom w:val="single" w:sz="2" w:space="0" w:color="auto"/>
              <w:right w:val="single" w:sz="2" w:space="0" w:color="auto"/>
            </w:tcBorders>
          </w:tcPr>
          <w:p w14:paraId="756BA1BC" w14:textId="77777777" w:rsidR="009F4766" w:rsidRPr="00DE12A3" w:rsidRDefault="009F4766" w:rsidP="00C917D6">
            <w:pPr>
              <w:pStyle w:val="NormalLeft"/>
              <w:rPr>
                <w:sz w:val="14"/>
                <w:szCs w:val="14"/>
              </w:rPr>
            </w:pPr>
            <w:r w:rsidRPr="00DE12A3">
              <w:rPr>
                <w:sz w:val="14"/>
                <w:szCs w:val="14"/>
              </w:rPr>
              <w:t>2,086</w:t>
            </w:r>
          </w:p>
        </w:tc>
        <w:tc>
          <w:tcPr>
            <w:tcW w:w="464" w:type="dxa"/>
            <w:tcBorders>
              <w:top w:val="single" w:sz="2" w:space="0" w:color="auto"/>
              <w:left w:val="single" w:sz="2" w:space="0" w:color="auto"/>
              <w:bottom w:val="single" w:sz="2" w:space="0" w:color="auto"/>
              <w:right w:val="single" w:sz="2" w:space="0" w:color="auto"/>
            </w:tcBorders>
          </w:tcPr>
          <w:p w14:paraId="3D28A082" w14:textId="77777777" w:rsidR="009F4766" w:rsidRPr="00DE12A3" w:rsidRDefault="009F4766" w:rsidP="00C917D6">
            <w:pPr>
              <w:pStyle w:val="NormalLeft"/>
              <w:rPr>
                <w:sz w:val="14"/>
                <w:szCs w:val="14"/>
              </w:rPr>
            </w:pPr>
            <w:r w:rsidRPr="00DE12A3">
              <w:rPr>
                <w:sz w:val="14"/>
                <w:szCs w:val="14"/>
              </w:rPr>
              <w:t>2,059</w:t>
            </w:r>
          </w:p>
        </w:tc>
        <w:tc>
          <w:tcPr>
            <w:tcW w:w="465" w:type="dxa"/>
            <w:tcBorders>
              <w:top w:val="single" w:sz="2" w:space="0" w:color="auto"/>
              <w:left w:val="single" w:sz="2" w:space="0" w:color="auto"/>
              <w:bottom w:val="single" w:sz="2" w:space="0" w:color="auto"/>
              <w:right w:val="single" w:sz="2" w:space="0" w:color="auto"/>
            </w:tcBorders>
          </w:tcPr>
          <w:p w14:paraId="5AA274C4" w14:textId="77777777" w:rsidR="009F4766" w:rsidRPr="00DE12A3" w:rsidRDefault="009F4766" w:rsidP="00C917D6">
            <w:pPr>
              <w:pStyle w:val="NormalLeft"/>
              <w:rPr>
                <w:sz w:val="14"/>
                <w:szCs w:val="14"/>
              </w:rPr>
            </w:pPr>
            <w:r w:rsidRPr="00DE12A3">
              <w:rPr>
                <w:sz w:val="14"/>
                <w:szCs w:val="14"/>
              </w:rPr>
              <w:t>2,017</w:t>
            </w:r>
          </w:p>
        </w:tc>
        <w:tc>
          <w:tcPr>
            <w:tcW w:w="464" w:type="dxa"/>
            <w:tcBorders>
              <w:top w:val="single" w:sz="2" w:space="0" w:color="auto"/>
              <w:left w:val="single" w:sz="2" w:space="0" w:color="auto"/>
              <w:bottom w:val="single" w:sz="2" w:space="0" w:color="auto"/>
              <w:right w:val="single" w:sz="2" w:space="0" w:color="auto"/>
            </w:tcBorders>
          </w:tcPr>
          <w:p w14:paraId="25665F5E" w14:textId="77777777" w:rsidR="009F4766" w:rsidRPr="00DE12A3" w:rsidRDefault="009F4766" w:rsidP="00C917D6">
            <w:pPr>
              <w:pStyle w:val="NormalLeft"/>
              <w:rPr>
                <w:sz w:val="14"/>
                <w:szCs w:val="14"/>
              </w:rPr>
            </w:pPr>
            <w:r w:rsidRPr="00DE12A3">
              <w:rPr>
                <w:sz w:val="14"/>
                <w:szCs w:val="14"/>
              </w:rPr>
              <w:t>1,972</w:t>
            </w:r>
          </w:p>
        </w:tc>
        <w:tc>
          <w:tcPr>
            <w:tcW w:w="464" w:type="dxa"/>
            <w:tcBorders>
              <w:top w:val="single" w:sz="2" w:space="0" w:color="auto"/>
              <w:left w:val="single" w:sz="2" w:space="0" w:color="auto"/>
              <w:bottom w:val="single" w:sz="2" w:space="0" w:color="auto"/>
              <w:right w:val="single" w:sz="2" w:space="0" w:color="auto"/>
            </w:tcBorders>
          </w:tcPr>
          <w:p w14:paraId="63655CA8" w14:textId="77777777" w:rsidR="009F4766" w:rsidRPr="00DE12A3" w:rsidRDefault="009F4766" w:rsidP="00C917D6">
            <w:pPr>
              <w:pStyle w:val="NormalLeft"/>
              <w:rPr>
                <w:sz w:val="14"/>
                <w:szCs w:val="14"/>
              </w:rPr>
            </w:pPr>
            <w:r w:rsidRPr="00DE12A3">
              <w:rPr>
                <w:sz w:val="14"/>
                <w:szCs w:val="14"/>
              </w:rPr>
              <w:t>1,924</w:t>
            </w:r>
          </w:p>
        </w:tc>
        <w:tc>
          <w:tcPr>
            <w:tcW w:w="465" w:type="dxa"/>
            <w:tcBorders>
              <w:top w:val="single" w:sz="2" w:space="0" w:color="auto"/>
              <w:left w:val="single" w:sz="2" w:space="0" w:color="auto"/>
              <w:bottom w:val="single" w:sz="2" w:space="0" w:color="auto"/>
              <w:right w:val="single" w:sz="2" w:space="0" w:color="auto"/>
            </w:tcBorders>
          </w:tcPr>
          <w:p w14:paraId="42A08C1F" w14:textId="77777777" w:rsidR="009F4766" w:rsidRPr="00DE12A3" w:rsidRDefault="009F4766" w:rsidP="00C917D6">
            <w:pPr>
              <w:pStyle w:val="NormalLeft"/>
              <w:rPr>
                <w:sz w:val="14"/>
                <w:szCs w:val="14"/>
              </w:rPr>
            </w:pPr>
            <w:r w:rsidRPr="00DE12A3">
              <w:rPr>
                <w:sz w:val="14"/>
                <w:szCs w:val="14"/>
              </w:rPr>
              <w:t>1,899</w:t>
            </w:r>
          </w:p>
        </w:tc>
        <w:tc>
          <w:tcPr>
            <w:tcW w:w="464" w:type="dxa"/>
            <w:tcBorders>
              <w:top w:val="single" w:sz="2" w:space="0" w:color="auto"/>
              <w:left w:val="single" w:sz="2" w:space="0" w:color="auto"/>
              <w:bottom w:val="single" w:sz="2" w:space="0" w:color="auto"/>
              <w:right w:val="single" w:sz="2" w:space="0" w:color="auto"/>
            </w:tcBorders>
          </w:tcPr>
          <w:p w14:paraId="242C5B1A" w14:textId="77777777" w:rsidR="009F4766" w:rsidRPr="00DE12A3" w:rsidRDefault="009F4766" w:rsidP="00C917D6">
            <w:pPr>
              <w:pStyle w:val="NormalLeft"/>
              <w:rPr>
                <w:sz w:val="14"/>
                <w:szCs w:val="14"/>
              </w:rPr>
            </w:pPr>
            <w:r w:rsidRPr="00DE12A3">
              <w:rPr>
                <w:sz w:val="14"/>
                <w:szCs w:val="14"/>
              </w:rPr>
              <w:t>1,873</w:t>
            </w:r>
          </w:p>
        </w:tc>
        <w:tc>
          <w:tcPr>
            <w:tcW w:w="464" w:type="dxa"/>
            <w:tcBorders>
              <w:top w:val="single" w:sz="2" w:space="0" w:color="auto"/>
              <w:left w:val="single" w:sz="2" w:space="0" w:color="auto"/>
              <w:bottom w:val="single" w:sz="2" w:space="0" w:color="auto"/>
              <w:right w:val="single" w:sz="2" w:space="0" w:color="auto"/>
            </w:tcBorders>
          </w:tcPr>
          <w:p w14:paraId="54AFC61E" w14:textId="77777777" w:rsidR="009F4766" w:rsidRPr="00DE12A3" w:rsidRDefault="009F4766" w:rsidP="00C917D6">
            <w:pPr>
              <w:pStyle w:val="NormalLeft"/>
              <w:rPr>
                <w:sz w:val="14"/>
                <w:szCs w:val="14"/>
              </w:rPr>
            </w:pPr>
            <w:r w:rsidRPr="00DE12A3">
              <w:rPr>
                <w:sz w:val="14"/>
                <w:szCs w:val="14"/>
              </w:rPr>
              <w:t>1,845</w:t>
            </w:r>
          </w:p>
        </w:tc>
        <w:tc>
          <w:tcPr>
            <w:tcW w:w="464" w:type="dxa"/>
            <w:tcBorders>
              <w:top w:val="single" w:sz="2" w:space="0" w:color="auto"/>
              <w:left w:val="single" w:sz="2" w:space="0" w:color="auto"/>
              <w:bottom w:val="single" w:sz="2" w:space="0" w:color="auto"/>
              <w:right w:val="single" w:sz="2" w:space="0" w:color="auto"/>
            </w:tcBorders>
          </w:tcPr>
          <w:p w14:paraId="76504649" w14:textId="77777777" w:rsidR="009F4766" w:rsidRPr="00DE12A3" w:rsidRDefault="009F4766" w:rsidP="00C917D6">
            <w:pPr>
              <w:pStyle w:val="NormalLeft"/>
              <w:rPr>
                <w:sz w:val="14"/>
                <w:szCs w:val="14"/>
              </w:rPr>
            </w:pPr>
            <w:r w:rsidRPr="00DE12A3">
              <w:rPr>
                <w:sz w:val="14"/>
                <w:szCs w:val="14"/>
              </w:rPr>
              <w:t>1,817</w:t>
            </w:r>
          </w:p>
        </w:tc>
        <w:tc>
          <w:tcPr>
            <w:tcW w:w="465" w:type="dxa"/>
            <w:tcBorders>
              <w:top w:val="single" w:sz="2" w:space="0" w:color="auto"/>
              <w:left w:val="single" w:sz="2" w:space="0" w:color="auto"/>
              <w:bottom w:val="single" w:sz="2" w:space="0" w:color="auto"/>
              <w:right w:val="single" w:sz="2" w:space="0" w:color="auto"/>
            </w:tcBorders>
          </w:tcPr>
          <w:p w14:paraId="00A5531D" w14:textId="77777777" w:rsidR="009F4766" w:rsidRPr="00DE12A3" w:rsidRDefault="009F4766" w:rsidP="00C917D6">
            <w:pPr>
              <w:pStyle w:val="NormalLeft"/>
              <w:rPr>
                <w:sz w:val="14"/>
                <w:szCs w:val="14"/>
              </w:rPr>
            </w:pPr>
            <w:r w:rsidRPr="00DE12A3">
              <w:rPr>
                <w:sz w:val="14"/>
                <w:szCs w:val="14"/>
              </w:rPr>
              <w:t>1,787</w:t>
            </w:r>
          </w:p>
        </w:tc>
        <w:tc>
          <w:tcPr>
            <w:tcW w:w="464" w:type="dxa"/>
            <w:tcBorders>
              <w:top w:val="single" w:sz="2" w:space="0" w:color="auto"/>
              <w:left w:val="single" w:sz="2" w:space="0" w:color="auto"/>
              <w:bottom w:val="single" w:sz="2" w:space="0" w:color="auto"/>
              <w:right w:val="single" w:sz="2" w:space="0" w:color="auto"/>
            </w:tcBorders>
          </w:tcPr>
          <w:p w14:paraId="617224EC" w14:textId="77777777" w:rsidR="009F4766" w:rsidRPr="00DE12A3" w:rsidRDefault="009F4766" w:rsidP="00C917D6">
            <w:pPr>
              <w:pStyle w:val="NormalLeft"/>
              <w:rPr>
                <w:sz w:val="14"/>
                <w:szCs w:val="14"/>
              </w:rPr>
            </w:pPr>
            <w:r w:rsidRPr="00DE12A3">
              <w:rPr>
                <w:sz w:val="14"/>
                <w:szCs w:val="14"/>
              </w:rPr>
              <w:t>1,755</w:t>
            </w:r>
          </w:p>
        </w:tc>
      </w:tr>
      <w:tr w:rsidR="00DE12A3" w:rsidRPr="00DE12A3" w14:paraId="2D25E48C" w14:textId="77777777" w:rsidTr="009F4766">
        <w:tc>
          <w:tcPr>
            <w:tcW w:w="464" w:type="dxa"/>
            <w:tcBorders>
              <w:top w:val="single" w:sz="2" w:space="0" w:color="auto"/>
              <w:left w:val="single" w:sz="2" w:space="0" w:color="auto"/>
              <w:bottom w:val="single" w:sz="2" w:space="0" w:color="auto"/>
              <w:right w:val="single" w:sz="2" w:space="0" w:color="auto"/>
            </w:tcBorders>
          </w:tcPr>
          <w:p w14:paraId="4AAF1940" w14:textId="77777777" w:rsidR="009F4766" w:rsidRPr="00DE12A3" w:rsidRDefault="009F4766" w:rsidP="00C917D6">
            <w:pPr>
              <w:pStyle w:val="NormalLeft"/>
              <w:rPr>
                <w:sz w:val="14"/>
                <w:szCs w:val="14"/>
              </w:rPr>
            </w:pPr>
            <w:r w:rsidRPr="00DE12A3">
              <w:rPr>
                <w:sz w:val="14"/>
                <w:szCs w:val="14"/>
              </w:rPr>
              <w:t>16</w:t>
            </w:r>
          </w:p>
        </w:tc>
        <w:tc>
          <w:tcPr>
            <w:tcW w:w="465" w:type="dxa"/>
            <w:tcBorders>
              <w:top w:val="single" w:sz="2" w:space="0" w:color="auto"/>
              <w:left w:val="single" w:sz="2" w:space="0" w:color="auto"/>
              <w:bottom w:val="single" w:sz="2" w:space="0" w:color="auto"/>
              <w:right w:val="single" w:sz="2" w:space="0" w:color="auto"/>
            </w:tcBorders>
          </w:tcPr>
          <w:p w14:paraId="3A6878E7" w14:textId="77777777" w:rsidR="009F4766" w:rsidRPr="00DE12A3" w:rsidRDefault="009F4766" w:rsidP="00C917D6">
            <w:pPr>
              <w:pStyle w:val="NormalLeft"/>
              <w:rPr>
                <w:sz w:val="14"/>
                <w:szCs w:val="14"/>
              </w:rPr>
            </w:pPr>
            <w:r w:rsidRPr="00DE12A3">
              <w:rPr>
                <w:sz w:val="14"/>
                <w:szCs w:val="14"/>
              </w:rPr>
              <w:t>3,048</w:t>
            </w:r>
          </w:p>
        </w:tc>
        <w:tc>
          <w:tcPr>
            <w:tcW w:w="464" w:type="dxa"/>
            <w:tcBorders>
              <w:top w:val="single" w:sz="2" w:space="0" w:color="auto"/>
              <w:left w:val="single" w:sz="2" w:space="0" w:color="auto"/>
              <w:bottom w:val="single" w:sz="2" w:space="0" w:color="auto"/>
              <w:right w:val="single" w:sz="2" w:space="0" w:color="auto"/>
            </w:tcBorders>
          </w:tcPr>
          <w:p w14:paraId="54F308CA" w14:textId="77777777" w:rsidR="009F4766" w:rsidRPr="00DE12A3" w:rsidRDefault="009F4766" w:rsidP="00C917D6">
            <w:pPr>
              <w:pStyle w:val="NormalLeft"/>
              <w:rPr>
                <w:sz w:val="14"/>
                <w:szCs w:val="14"/>
              </w:rPr>
            </w:pPr>
            <w:r w:rsidRPr="00DE12A3">
              <w:rPr>
                <w:sz w:val="14"/>
                <w:szCs w:val="14"/>
              </w:rPr>
              <w:t>2,668</w:t>
            </w:r>
          </w:p>
        </w:tc>
        <w:tc>
          <w:tcPr>
            <w:tcW w:w="464" w:type="dxa"/>
            <w:tcBorders>
              <w:top w:val="single" w:sz="2" w:space="0" w:color="auto"/>
              <w:left w:val="single" w:sz="2" w:space="0" w:color="auto"/>
              <w:bottom w:val="single" w:sz="2" w:space="0" w:color="auto"/>
              <w:right w:val="single" w:sz="2" w:space="0" w:color="auto"/>
            </w:tcBorders>
          </w:tcPr>
          <w:p w14:paraId="0AA5032E" w14:textId="77777777" w:rsidR="009F4766" w:rsidRPr="00DE12A3" w:rsidRDefault="009F4766" w:rsidP="00C917D6">
            <w:pPr>
              <w:pStyle w:val="NormalLeft"/>
              <w:rPr>
                <w:sz w:val="14"/>
                <w:szCs w:val="14"/>
              </w:rPr>
            </w:pPr>
            <w:r w:rsidRPr="00DE12A3">
              <w:rPr>
                <w:sz w:val="14"/>
                <w:szCs w:val="14"/>
              </w:rPr>
              <w:t>2,462</w:t>
            </w:r>
          </w:p>
        </w:tc>
        <w:tc>
          <w:tcPr>
            <w:tcW w:w="465" w:type="dxa"/>
            <w:tcBorders>
              <w:top w:val="single" w:sz="2" w:space="0" w:color="auto"/>
              <w:left w:val="single" w:sz="2" w:space="0" w:color="auto"/>
              <w:bottom w:val="single" w:sz="2" w:space="0" w:color="auto"/>
              <w:right w:val="single" w:sz="2" w:space="0" w:color="auto"/>
            </w:tcBorders>
          </w:tcPr>
          <w:p w14:paraId="7777AE5C" w14:textId="77777777" w:rsidR="009F4766" w:rsidRPr="00DE12A3" w:rsidRDefault="009F4766" w:rsidP="00C917D6">
            <w:pPr>
              <w:pStyle w:val="NormalLeft"/>
              <w:rPr>
                <w:sz w:val="14"/>
                <w:szCs w:val="14"/>
              </w:rPr>
            </w:pPr>
            <w:r w:rsidRPr="00DE12A3">
              <w:rPr>
                <w:sz w:val="14"/>
                <w:szCs w:val="14"/>
              </w:rPr>
              <w:t>2,333</w:t>
            </w:r>
          </w:p>
        </w:tc>
        <w:tc>
          <w:tcPr>
            <w:tcW w:w="464" w:type="dxa"/>
            <w:tcBorders>
              <w:top w:val="single" w:sz="2" w:space="0" w:color="auto"/>
              <w:left w:val="single" w:sz="2" w:space="0" w:color="auto"/>
              <w:bottom w:val="single" w:sz="2" w:space="0" w:color="auto"/>
              <w:right w:val="single" w:sz="2" w:space="0" w:color="auto"/>
            </w:tcBorders>
          </w:tcPr>
          <w:p w14:paraId="4568F788" w14:textId="77777777" w:rsidR="009F4766" w:rsidRPr="00DE12A3" w:rsidRDefault="009F4766" w:rsidP="00C917D6">
            <w:pPr>
              <w:pStyle w:val="NormalLeft"/>
              <w:rPr>
                <w:sz w:val="14"/>
                <w:szCs w:val="14"/>
              </w:rPr>
            </w:pPr>
            <w:r w:rsidRPr="00DE12A3">
              <w:rPr>
                <w:sz w:val="14"/>
                <w:szCs w:val="14"/>
              </w:rPr>
              <w:t>2,244</w:t>
            </w:r>
          </w:p>
        </w:tc>
        <w:tc>
          <w:tcPr>
            <w:tcW w:w="464" w:type="dxa"/>
            <w:tcBorders>
              <w:top w:val="single" w:sz="2" w:space="0" w:color="auto"/>
              <w:left w:val="single" w:sz="2" w:space="0" w:color="auto"/>
              <w:bottom w:val="single" w:sz="2" w:space="0" w:color="auto"/>
              <w:right w:val="single" w:sz="2" w:space="0" w:color="auto"/>
            </w:tcBorders>
          </w:tcPr>
          <w:p w14:paraId="66ECFCD6" w14:textId="77777777" w:rsidR="009F4766" w:rsidRPr="00DE12A3" w:rsidRDefault="009F4766" w:rsidP="00C917D6">
            <w:pPr>
              <w:pStyle w:val="NormalLeft"/>
              <w:rPr>
                <w:sz w:val="14"/>
                <w:szCs w:val="14"/>
              </w:rPr>
            </w:pPr>
            <w:r w:rsidRPr="00DE12A3">
              <w:rPr>
                <w:sz w:val="14"/>
                <w:szCs w:val="14"/>
              </w:rPr>
              <w:t>2,178</w:t>
            </w:r>
          </w:p>
        </w:tc>
        <w:tc>
          <w:tcPr>
            <w:tcW w:w="464" w:type="dxa"/>
            <w:tcBorders>
              <w:top w:val="single" w:sz="2" w:space="0" w:color="auto"/>
              <w:left w:val="single" w:sz="2" w:space="0" w:color="auto"/>
              <w:bottom w:val="single" w:sz="2" w:space="0" w:color="auto"/>
              <w:right w:val="single" w:sz="2" w:space="0" w:color="auto"/>
            </w:tcBorders>
          </w:tcPr>
          <w:p w14:paraId="2CAC952E" w14:textId="77777777" w:rsidR="009F4766" w:rsidRPr="00DE12A3" w:rsidRDefault="009F4766" w:rsidP="00C917D6">
            <w:pPr>
              <w:pStyle w:val="NormalLeft"/>
              <w:rPr>
                <w:sz w:val="14"/>
                <w:szCs w:val="14"/>
              </w:rPr>
            </w:pPr>
            <w:r w:rsidRPr="00DE12A3">
              <w:rPr>
                <w:sz w:val="14"/>
                <w:szCs w:val="14"/>
              </w:rPr>
              <w:t>2,128</w:t>
            </w:r>
          </w:p>
        </w:tc>
        <w:tc>
          <w:tcPr>
            <w:tcW w:w="465" w:type="dxa"/>
            <w:tcBorders>
              <w:top w:val="single" w:sz="2" w:space="0" w:color="auto"/>
              <w:left w:val="single" w:sz="2" w:space="0" w:color="auto"/>
              <w:bottom w:val="single" w:sz="2" w:space="0" w:color="auto"/>
              <w:right w:val="single" w:sz="2" w:space="0" w:color="auto"/>
            </w:tcBorders>
          </w:tcPr>
          <w:p w14:paraId="73E3CDB7" w14:textId="77777777" w:rsidR="009F4766" w:rsidRPr="00DE12A3" w:rsidRDefault="009F4766" w:rsidP="00C917D6">
            <w:pPr>
              <w:pStyle w:val="NormalLeft"/>
              <w:rPr>
                <w:sz w:val="14"/>
                <w:szCs w:val="14"/>
              </w:rPr>
            </w:pPr>
            <w:r w:rsidRPr="00DE12A3">
              <w:rPr>
                <w:sz w:val="14"/>
                <w:szCs w:val="14"/>
              </w:rPr>
              <w:t>2,088</w:t>
            </w:r>
          </w:p>
        </w:tc>
        <w:tc>
          <w:tcPr>
            <w:tcW w:w="464" w:type="dxa"/>
            <w:tcBorders>
              <w:top w:val="single" w:sz="2" w:space="0" w:color="auto"/>
              <w:left w:val="single" w:sz="2" w:space="0" w:color="auto"/>
              <w:bottom w:val="single" w:sz="2" w:space="0" w:color="auto"/>
              <w:right w:val="single" w:sz="2" w:space="0" w:color="auto"/>
            </w:tcBorders>
          </w:tcPr>
          <w:p w14:paraId="0557D4AE" w14:textId="77777777" w:rsidR="009F4766" w:rsidRPr="00DE12A3" w:rsidRDefault="009F4766" w:rsidP="00C917D6">
            <w:pPr>
              <w:pStyle w:val="NormalLeft"/>
              <w:rPr>
                <w:sz w:val="14"/>
                <w:szCs w:val="14"/>
              </w:rPr>
            </w:pPr>
            <w:r w:rsidRPr="00DE12A3">
              <w:rPr>
                <w:sz w:val="14"/>
                <w:szCs w:val="14"/>
              </w:rPr>
              <w:t>2,055</w:t>
            </w:r>
          </w:p>
        </w:tc>
        <w:tc>
          <w:tcPr>
            <w:tcW w:w="464" w:type="dxa"/>
            <w:tcBorders>
              <w:top w:val="single" w:sz="2" w:space="0" w:color="auto"/>
              <w:left w:val="single" w:sz="2" w:space="0" w:color="auto"/>
              <w:bottom w:val="single" w:sz="2" w:space="0" w:color="auto"/>
              <w:right w:val="single" w:sz="2" w:space="0" w:color="auto"/>
            </w:tcBorders>
          </w:tcPr>
          <w:p w14:paraId="1586B99B" w14:textId="77777777" w:rsidR="009F4766" w:rsidRPr="00DE12A3" w:rsidRDefault="009F4766" w:rsidP="00C917D6">
            <w:pPr>
              <w:pStyle w:val="NormalLeft"/>
              <w:rPr>
                <w:sz w:val="14"/>
                <w:szCs w:val="14"/>
              </w:rPr>
            </w:pPr>
            <w:r w:rsidRPr="00DE12A3">
              <w:rPr>
                <w:sz w:val="14"/>
                <w:szCs w:val="14"/>
              </w:rPr>
              <w:t>2,028</w:t>
            </w:r>
          </w:p>
        </w:tc>
        <w:tc>
          <w:tcPr>
            <w:tcW w:w="465" w:type="dxa"/>
            <w:tcBorders>
              <w:top w:val="single" w:sz="2" w:space="0" w:color="auto"/>
              <w:left w:val="single" w:sz="2" w:space="0" w:color="auto"/>
              <w:bottom w:val="single" w:sz="2" w:space="0" w:color="auto"/>
              <w:right w:val="single" w:sz="2" w:space="0" w:color="auto"/>
            </w:tcBorders>
          </w:tcPr>
          <w:p w14:paraId="6C8B3118" w14:textId="77777777" w:rsidR="009F4766" w:rsidRPr="00DE12A3" w:rsidRDefault="009F4766" w:rsidP="00C917D6">
            <w:pPr>
              <w:pStyle w:val="NormalLeft"/>
              <w:rPr>
                <w:sz w:val="14"/>
                <w:szCs w:val="14"/>
              </w:rPr>
            </w:pPr>
            <w:r w:rsidRPr="00DE12A3">
              <w:rPr>
                <w:sz w:val="14"/>
                <w:szCs w:val="14"/>
              </w:rPr>
              <w:t>1,985</w:t>
            </w:r>
          </w:p>
        </w:tc>
        <w:tc>
          <w:tcPr>
            <w:tcW w:w="464" w:type="dxa"/>
            <w:tcBorders>
              <w:top w:val="single" w:sz="2" w:space="0" w:color="auto"/>
              <w:left w:val="single" w:sz="2" w:space="0" w:color="auto"/>
              <w:bottom w:val="single" w:sz="2" w:space="0" w:color="auto"/>
              <w:right w:val="single" w:sz="2" w:space="0" w:color="auto"/>
            </w:tcBorders>
          </w:tcPr>
          <w:p w14:paraId="32E751FE" w14:textId="77777777" w:rsidR="009F4766" w:rsidRPr="00DE12A3" w:rsidRDefault="009F4766" w:rsidP="00C917D6">
            <w:pPr>
              <w:pStyle w:val="NormalLeft"/>
              <w:rPr>
                <w:sz w:val="14"/>
                <w:szCs w:val="14"/>
              </w:rPr>
            </w:pPr>
            <w:r w:rsidRPr="00DE12A3">
              <w:rPr>
                <w:sz w:val="14"/>
                <w:szCs w:val="14"/>
              </w:rPr>
              <w:t>1,940</w:t>
            </w:r>
          </w:p>
        </w:tc>
        <w:tc>
          <w:tcPr>
            <w:tcW w:w="464" w:type="dxa"/>
            <w:tcBorders>
              <w:top w:val="single" w:sz="2" w:space="0" w:color="auto"/>
              <w:left w:val="single" w:sz="2" w:space="0" w:color="auto"/>
              <w:bottom w:val="single" w:sz="2" w:space="0" w:color="auto"/>
              <w:right w:val="single" w:sz="2" w:space="0" w:color="auto"/>
            </w:tcBorders>
          </w:tcPr>
          <w:p w14:paraId="6F4142E1" w14:textId="77777777" w:rsidR="009F4766" w:rsidRPr="00DE12A3" w:rsidRDefault="009F4766" w:rsidP="00C917D6">
            <w:pPr>
              <w:pStyle w:val="NormalLeft"/>
              <w:rPr>
                <w:sz w:val="14"/>
                <w:szCs w:val="14"/>
              </w:rPr>
            </w:pPr>
            <w:r w:rsidRPr="00DE12A3">
              <w:rPr>
                <w:sz w:val="14"/>
                <w:szCs w:val="14"/>
              </w:rPr>
              <w:t>1,891</w:t>
            </w:r>
          </w:p>
        </w:tc>
        <w:tc>
          <w:tcPr>
            <w:tcW w:w="465" w:type="dxa"/>
            <w:tcBorders>
              <w:top w:val="single" w:sz="2" w:space="0" w:color="auto"/>
              <w:left w:val="single" w:sz="2" w:space="0" w:color="auto"/>
              <w:bottom w:val="single" w:sz="2" w:space="0" w:color="auto"/>
              <w:right w:val="single" w:sz="2" w:space="0" w:color="auto"/>
            </w:tcBorders>
          </w:tcPr>
          <w:p w14:paraId="35AFA820" w14:textId="77777777" w:rsidR="009F4766" w:rsidRPr="00DE12A3" w:rsidRDefault="009F4766" w:rsidP="00C917D6">
            <w:pPr>
              <w:pStyle w:val="NormalLeft"/>
              <w:rPr>
                <w:sz w:val="14"/>
                <w:szCs w:val="14"/>
              </w:rPr>
            </w:pPr>
            <w:r w:rsidRPr="00DE12A3">
              <w:rPr>
                <w:sz w:val="14"/>
                <w:szCs w:val="14"/>
              </w:rPr>
              <w:t>1,866</w:t>
            </w:r>
          </w:p>
        </w:tc>
        <w:tc>
          <w:tcPr>
            <w:tcW w:w="464" w:type="dxa"/>
            <w:tcBorders>
              <w:top w:val="single" w:sz="2" w:space="0" w:color="auto"/>
              <w:left w:val="single" w:sz="2" w:space="0" w:color="auto"/>
              <w:bottom w:val="single" w:sz="2" w:space="0" w:color="auto"/>
              <w:right w:val="single" w:sz="2" w:space="0" w:color="auto"/>
            </w:tcBorders>
          </w:tcPr>
          <w:p w14:paraId="2ED1AD2A" w14:textId="77777777" w:rsidR="009F4766" w:rsidRPr="00DE12A3" w:rsidRDefault="009F4766" w:rsidP="00C917D6">
            <w:pPr>
              <w:pStyle w:val="NormalLeft"/>
              <w:rPr>
                <w:sz w:val="14"/>
                <w:szCs w:val="14"/>
              </w:rPr>
            </w:pPr>
            <w:r w:rsidRPr="00DE12A3">
              <w:rPr>
                <w:sz w:val="14"/>
                <w:szCs w:val="14"/>
              </w:rPr>
              <w:t>1,839</w:t>
            </w:r>
          </w:p>
        </w:tc>
        <w:tc>
          <w:tcPr>
            <w:tcW w:w="464" w:type="dxa"/>
            <w:tcBorders>
              <w:top w:val="single" w:sz="2" w:space="0" w:color="auto"/>
              <w:left w:val="single" w:sz="2" w:space="0" w:color="auto"/>
              <w:bottom w:val="single" w:sz="2" w:space="0" w:color="auto"/>
              <w:right w:val="single" w:sz="2" w:space="0" w:color="auto"/>
            </w:tcBorders>
          </w:tcPr>
          <w:p w14:paraId="3CED006C" w14:textId="77777777" w:rsidR="009F4766" w:rsidRPr="00DE12A3" w:rsidRDefault="009F4766" w:rsidP="00C917D6">
            <w:pPr>
              <w:pStyle w:val="NormalLeft"/>
              <w:rPr>
                <w:sz w:val="14"/>
                <w:szCs w:val="14"/>
              </w:rPr>
            </w:pPr>
            <w:r w:rsidRPr="00DE12A3">
              <w:rPr>
                <w:sz w:val="14"/>
                <w:szCs w:val="14"/>
              </w:rPr>
              <w:t>1,811</w:t>
            </w:r>
          </w:p>
        </w:tc>
        <w:tc>
          <w:tcPr>
            <w:tcW w:w="464" w:type="dxa"/>
            <w:tcBorders>
              <w:top w:val="single" w:sz="2" w:space="0" w:color="auto"/>
              <w:left w:val="single" w:sz="2" w:space="0" w:color="auto"/>
              <w:bottom w:val="single" w:sz="2" w:space="0" w:color="auto"/>
              <w:right w:val="single" w:sz="2" w:space="0" w:color="auto"/>
            </w:tcBorders>
          </w:tcPr>
          <w:p w14:paraId="6B35F2BE" w14:textId="77777777" w:rsidR="009F4766" w:rsidRPr="00DE12A3" w:rsidRDefault="009F4766" w:rsidP="00C917D6">
            <w:pPr>
              <w:pStyle w:val="NormalLeft"/>
              <w:rPr>
                <w:sz w:val="14"/>
                <w:szCs w:val="14"/>
              </w:rPr>
            </w:pPr>
            <w:r w:rsidRPr="00DE12A3">
              <w:rPr>
                <w:sz w:val="14"/>
                <w:szCs w:val="14"/>
              </w:rPr>
              <w:t>1,782</w:t>
            </w:r>
          </w:p>
        </w:tc>
        <w:tc>
          <w:tcPr>
            <w:tcW w:w="465" w:type="dxa"/>
            <w:tcBorders>
              <w:top w:val="single" w:sz="2" w:space="0" w:color="auto"/>
              <w:left w:val="single" w:sz="2" w:space="0" w:color="auto"/>
              <w:bottom w:val="single" w:sz="2" w:space="0" w:color="auto"/>
              <w:right w:val="single" w:sz="2" w:space="0" w:color="auto"/>
            </w:tcBorders>
          </w:tcPr>
          <w:p w14:paraId="0FAE561E" w14:textId="77777777" w:rsidR="009F4766" w:rsidRPr="00DE12A3" w:rsidRDefault="009F4766" w:rsidP="00C917D6">
            <w:pPr>
              <w:pStyle w:val="NormalLeft"/>
              <w:rPr>
                <w:sz w:val="14"/>
                <w:szCs w:val="14"/>
              </w:rPr>
            </w:pPr>
            <w:r w:rsidRPr="00DE12A3">
              <w:rPr>
                <w:sz w:val="14"/>
                <w:szCs w:val="14"/>
              </w:rPr>
              <w:t>1,751</w:t>
            </w:r>
          </w:p>
        </w:tc>
        <w:tc>
          <w:tcPr>
            <w:tcW w:w="464" w:type="dxa"/>
            <w:tcBorders>
              <w:top w:val="single" w:sz="2" w:space="0" w:color="auto"/>
              <w:left w:val="single" w:sz="2" w:space="0" w:color="auto"/>
              <w:bottom w:val="single" w:sz="2" w:space="0" w:color="auto"/>
              <w:right w:val="single" w:sz="2" w:space="0" w:color="auto"/>
            </w:tcBorders>
          </w:tcPr>
          <w:p w14:paraId="2E2A7060" w14:textId="77777777" w:rsidR="009F4766" w:rsidRPr="00DE12A3" w:rsidRDefault="009F4766" w:rsidP="00C917D6">
            <w:pPr>
              <w:pStyle w:val="NormalLeft"/>
              <w:rPr>
                <w:sz w:val="14"/>
                <w:szCs w:val="14"/>
              </w:rPr>
            </w:pPr>
            <w:r w:rsidRPr="00DE12A3">
              <w:rPr>
                <w:sz w:val="14"/>
                <w:szCs w:val="14"/>
              </w:rPr>
              <w:t>1,718</w:t>
            </w:r>
          </w:p>
        </w:tc>
      </w:tr>
      <w:tr w:rsidR="00DE12A3" w:rsidRPr="00DE12A3" w14:paraId="4C0B4B50" w14:textId="77777777" w:rsidTr="009F4766">
        <w:tc>
          <w:tcPr>
            <w:tcW w:w="464" w:type="dxa"/>
            <w:tcBorders>
              <w:top w:val="single" w:sz="2" w:space="0" w:color="auto"/>
              <w:left w:val="single" w:sz="2" w:space="0" w:color="auto"/>
              <w:bottom w:val="single" w:sz="2" w:space="0" w:color="auto"/>
              <w:right w:val="single" w:sz="2" w:space="0" w:color="auto"/>
            </w:tcBorders>
          </w:tcPr>
          <w:p w14:paraId="21BDA840" w14:textId="77777777" w:rsidR="009F4766" w:rsidRPr="00DE12A3" w:rsidRDefault="009F4766" w:rsidP="00C917D6">
            <w:pPr>
              <w:pStyle w:val="NormalLeft"/>
              <w:rPr>
                <w:sz w:val="14"/>
                <w:szCs w:val="14"/>
              </w:rPr>
            </w:pPr>
            <w:r w:rsidRPr="00DE12A3">
              <w:rPr>
                <w:sz w:val="14"/>
                <w:szCs w:val="14"/>
              </w:rPr>
              <w:t>17</w:t>
            </w:r>
          </w:p>
        </w:tc>
        <w:tc>
          <w:tcPr>
            <w:tcW w:w="465" w:type="dxa"/>
            <w:tcBorders>
              <w:top w:val="single" w:sz="2" w:space="0" w:color="auto"/>
              <w:left w:val="single" w:sz="2" w:space="0" w:color="auto"/>
              <w:bottom w:val="single" w:sz="2" w:space="0" w:color="auto"/>
              <w:right w:val="single" w:sz="2" w:space="0" w:color="auto"/>
            </w:tcBorders>
          </w:tcPr>
          <w:p w14:paraId="03EC6D7B" w14:textId="77777777" w:rsidR="009F4766" w:rsidRPr="00DE12A3" w:rsidRDefault="009F4766" w:rsidP="00C917D6">
            <w:pPr>
              <w:pStyle w:val="NormalLeft"/>
              <w:rPr>
                <w:sz w:val="14"/>
                <w:szCs w:val="14"/>
              </w:rPr>
            </w:pPr>
            <w:r w:rsidRPr="00DE12A3">
              <w:rPr>
                <w:sz w:val="14"/>
                <w:szCs w:val="14"/>
              </w:rPr>
              <w:t>3,026</w:t>
            </w:r>
          </w:p>
        </w:tc>
        <w:tc>
          <w:tcPr>
            <w:tcW w:w="464" w:type="dxa"/>
            <w:tcBorders>
              <w:top w:val="single" w:sz="2" w:space="0" w:color="auto"/>
              <w:left w:val="single" w:sz="2" w:space="0" w:color="auto"/>
              <w:bottom w:val="single" w:sz="2" w:space="0" w:color="auto"/>
              <w:right w:val="single" w:sz="2" w:space="0" w:color="auto"/>
            </w:tcBorders>
          </w:tcPr>
          <w:p w14:paraId="2030AD13" w14:textId="77777777" w:rsidR="009F4766" w:rsidRPr="00DE12A3" w:rsidRDefault="009F4766" w:rsidP="00C917D6">
            <w:pPr>
              <w:pStyle w:val="NormalLeft"/>
              <w:rPr>
                <w:sz w:val="14"/>
                <w:szCs w:val="14"/>
              </w:rPr>
            </w:pPr>
            <w:r w:rsidRPr="00DE12A3">
              <w:rPr>
                <w:sz w:val="14"/>
                <w:szCs w:val="14"/>
              </w:rPr>
              <w:t>2,645</w:t>
            </w:r>
          </w:p>
        </w:tc>
        <w:tc>
          <w:tcPr>
            <w:tcW w:w="464" w:type="dxa"/>
            <w:tcBorders>
              <w:top w:val="single" w:sz="2" w:space="0" w:color="auto"/>
              <w:left w:val="single" w:sz="2" w:space="0" w:color="auto"/>
              <w:bottom w:val="single" w:sz="2" w:space="0" w:color="auto"/>
              <w:right w:val="single" w:sz="2" w:space="0" w:color="auto"/>
            </w:tcBorders>
          </w:tcPr>
          <w:p w14:paraId="066C7DE2" w14:textId="77777777" w:rsidR="009F4766" w:rsidRPr="00DE12A3" w:rsidRDefault="009F4766" w:rsidP="00C917D6">
            <w:pPr>
              <w:pStyle w:val="NormalLeft"/>
              <w:rPr>
                <w:sz w:val="14"/>
                <w:szCs w:val="14"/>
              </w:rPr>
            </w:pPr>
            <w:r w:rsidRPr="00DE12A3">
              <w:rPr>
                <w:sz w:val="14"/>
                <w:szCs w:val="14"/>
              </w:rPr>
              <w:t>2,437</w:t>
            </w:r>
          </w:p>
        </w:tc>
        <w:tc>
          <w:tcPr>
            <w:tcW w:w="465" w:type="dxa"/>
            <w:tcBorders>
              <w:top w:val="single" w:sz="2" w:space="0" w:color="auto"/>
              <w:left w:val="single" w:sz="2" w:space="0" w:color="auto"/>
              <w:bottom w:val="single" w:sz="2" w:space="0" w:color="auto"/>
              <w:right w:val="single" w:sz="2" w:space="0" w:color="auto"/>
            </w:tcBorders>
          </w:tcPr>
          <w:p w14:paraId="0B2601A0" w14:textId="77777777" w:rsidR="009F4766" w:rsidRPr="00DE12A3" w:rsidRDefault="009F4766" w:rsidP="00C917D6">
            <w:pPr>
              <w:pStyle w:val="NormalLeft"/>
              <w:rPr>
                <w:sz w:val="14"/>
                <w:szCs w:val="14"/>
              </w:rPr>
            </w:pPr>
            <w:r w:rsidRPr="00DE12A3">
              <w:rPr>
                <w:sz w:val="14"/>
                <w:szCs w:val="14"/>
              </w:rPr>
              <w:t>2,308</w:t>
            </w:r>
          </w:p>
        </w:tc>
        <w:tc>
          <w:tcPr>
            <w:tcW w:w="464" w:type="dxa"/>
            <w:tcBorders>
              <w:top w:val="single" w:sz="2" w:space="0" w:color="auto"/>
              <w:left w:val="single" w:sz="2" w:space="0" w:color="auto"/>
              <w:bottom w:val="single" w:sz="2" w:space="0" w:color="auto"/>
              <w:right w:val="single" w:sz="2" w:space="0" w:color="auto"/>
            </w:tcBorders>
          </w:tcPr>
          <w:p w14:paraId="4C190548" w14:textId="77777777" w:rsidR="009F4766" w:rsidRPr="00DE12A3" w:rsidRDefault="009F4766" w:rsidP="00C917D6">
            <w:pPr>
              <w:pStyle w:val="NormalLeft"/>
              <w:rPr>
                <w:sz w:val="14"/>
                <w:szCs w:val="14"/>
              </w:rPr>
            </w:pPr>
            <w:r w:rsidRPr="00DE12A3">
              <w:rPr>
                <w:sz w:val="14"/>
                <w:szCs w:val="14"/>
              </w:rPr>
              <w:t>2,218</w:t>
            </w:r>
          </w:p>
        </w:tc>
        <w:tc>
          <w:tcPr>
            <w:tcW w:w="464" w:type="dxa"/>
            <w:tcBorders>
              <w:top w:val="single" w:sz="2" w:space="0" w:color="auto"/>
              <w:left w:val="single" w:sz="2" w:space="0" w:color="auto"/>
              <w:bottom w:val="single" w:sz="2" w:space="0" w:color="auto"/>
              <w:right w:val="single" w:sz="2" w:space="0" w:color="auto"/>
            </w:tcBorders>
          </w:tcPr>
          <w:p w14:paraId="76EC70CC" w14:textId="77777777" w:rsidR="009F4766" w:rsidRPr="00DE12A3" w:rsidRDefault="009F4766" w:rsidP="00C917D6">
            <w:pPr>
              <w:pStyle w:val="NormalLeft"/>
              <w:rPr>
                <w:sz w:val="14"/>
                <w:szCs w:val="14"/>
              </w:rPr>
            </w:pPr>
            <w:r w:rsidRPr="00DE12A3">
              <w:rPr>
                <w:sz w:val="14"/>
                <w:szCs w:val="14"/>
              </w:rPr>
              <w:t>2,152</w:t>
            </w:r>
          </w:p>
        </w:tc>
        <w:tc>
          <w:tcPr>
            <w:tcW w:w="464" w:type="dxa"/>
            <w:tcBorders>
              <w:top w:val="single" w:sz="2" w:space="0" w:color="auto"/>
              <w:left w:val="single" w:sz="2" w:space="0" w:color="auto"/>
              <w:bottom w:val="single" w:sz="2" w:space="0" w:color="auto"/>
              <w:right w:val="single" w:sz="2" w:space="0" w:color="auto"/>
            </w:tcBorders>
          </w:tcPr>
          <w:p w14:paraId="67B0338C" w14:textId="77777777" w:rsidR="009F4766" w:rsidRPr="00DE12A3" w:rsidRDefault="009F4766" w:rsidP="00C917D6">
            <w:pPr>
              <w:pStyle w:val="NormalLeft"/>
              <w:rPr>
                <w:sz w:val="14"/>
                <w:szCs w:val="14"/>
              </w:rPr>
            </w:pPr>
            <w:r w:rsidRPr="00DE12A3">
              <w:rPr>
                <w:sz w:val="14"/>
                <w:szCs w:val="14"/>
              </w:rPr>
              <w:t>2,102</w:t>
            </w:r>
          </w:p>
        </w:tc>
        <w:tc>
          <w:tcPr>
            <w:tcW w:w="465" w:type="dxa"/>
            <w:tcBorders>
              <w:top w:val="single" w:sz="2" w:space="0" w:color="auto"/>
              <w:left w:val="single" w:sz="2" w:space="0" w:color="auto"/>
              <w:bottom w:val="single" w:sz="2" w:space="0" w:color="auto"/>
              <w:right w:val="single" w:sz="2" w:space="0" w:color="auto"/>
            </w:tcBorders>
          </w:tcPr>
          <w:p w14:paraId="6DB6825C" w14:textId="77777777" w:rsidR="009F4766" w:rsidRPr="00DE12A3" w:rsidRDefault="009F4766" w:rsidP="00C917D6">
            <w:pPr>
              <w:pStyle w:val="NormalLeft"/>
              <w:rPr>
                <w:sz w:val="14"/>
                <w:szCs w:val="14"/>
              </w:rPr>
            </w:pPr>
            <w:r w:rsidRPr="00DE12A3">
              <w:rPr>
                <w:sz w:val="14"/>
                <w:szCs w:val="14"/>
              </w:rPr>
              <w:t>2,061</w:t>
            </w:r>
          </w:p>
        </w:tc>
        <w:tc>
          <w:tcPr>
            <w:tcW w:w="464" w:type="dxa"/>
            <w:tcBorders>
              <w:top w:val="single" w:sz="2" w:space="0" w:color="auto"/>
              <w:left w:val="single" w:sz="2" w:space="0" w:color="auto"/>
              <w:bottom w:val="single" w:sz="2" w:space="0" w:color="auto"/>
              <w:right w:val="single" w:sz="2" w:space="0" w:color="auto"/>
            </w:tcBorders>
          </w:tcPr>
          <w:p w14:paraId="0DB3F0F8" w14:textId="77777777" w:rsidR="009F4766" w:rsidRPr="00DE12A3" w:rsidRDefault="009F4766" w:rsidP="00C917D6">
            <w:pPr>
              <w:pStyle w:val="NormalLeft"/>
              <w:rPr>
                <w:sz w:val="14"/>
                <w:szCs w:val="14"/>
              </w:rPr>
            </w:pPr>
            <w:r w:rsidRPr="00DE12A3">
              <w:rPr>
                <w:sz w:val="14"/>
                <w:szCs w:val="14"/>
              </w:rPr>
              <w:t>2,028</w:t>
            </w:r>
          </w:p>
        </w:tc>
        <w:tc>
          <w:tcPr>
            <w:tcW w:w="464" w:type="dxa"/>
            <w:tcBorders>
              <w:top w:val="single" w:sz="2" w:space="0" w:color="auto"/>
              <w:left w:val="single" w:sz="2" w:space="0" w:color="auto"/>
              <w:bottom w:val="single" w:sz="2" w:space="0" w:color="auto"/>
              <w:right w:val="single" w:sz="2" w:space="0" w:color="auto"/>
            </w:tcBorders>
          </w:tcPr>
          <w:p w14:paraId="4B302326" w14:textId="77777777" w:rsidR="009F4766" w:rsidRPr="00DE12A3" w:rsidRDefault="009F4766" w:rsidP="00C917D6">
            <w:pPr>
              <w:pStyle w:val="NormalLeft"/>
              <w:rPr>
                <w:sz w:val="14"/>
                <w:szCs w:val="14"/>
              </w:rPr>
            </w:pPr>
            <w:r w:rsidRPr="00DE12A3">
              <w:rPr>
                <w:sz w:val="14"/>
                <w:szCs w:val="14"/>
              </w:rPr>
              <w:t>2,001</w:t>
            </w:r>
          </w:p>
        </w:tc>
        <w:tc>
          <w:tcPr>
            <w:tcW w:w="465" w:type="dxa"/>
            <w:tcBorders>
              <w:top w:val="single" w:sz="2" w:space="0" w:color="auto"/>
              <w:left w:val="single" w:sz="2" w:space="0" w:color="auto"/>
              <w:bottom w:val="single" w:sz="2" w:space="0" w:color="auto"/>
              <w:right w:val="single" w:sz="2" w:space="0" w:color="auto"/>
            </w:tcBorders>
          </w:tcPr>
          <w:p w14:paraId="10C14678" w14:textId="77777777" w:rsidR="009F4766" w:rsidRPr="00DE12A3" w:rsidRDefault="009F4766" w:rsidP="00C917D6">
            <w:pPr>
              <w:pStyle w:val="NormalLeft"/>
              <w:rPr>
                <w:sz w:val="14"/>
                <w:szCs w:val="14"/>
              </w:rPr>
            </w:pPr>
            <w:r w:rsidRPr="00DE12A3">
              <w:rPr>
                <w:sz w:val="14"/>
                <w:szCs w:val="14"/>
              </w:rPr>
              <w:t>1,958</w:t>
            </w:r>
          </w:p>
        </w:tc>
        <w:tc>
          <w:tcPr>
            <w:tcW w:w="464" w:type="dxa"/>
            <w:tcBorders>
              <w:top w:val="single" w:sz="2" w:space="0" w:color="auto"/>
              <w:left w:val="single" w:sz="2" w:space="0" w:color="auto"/>
              <w:bottom w:val="single" w:sz="2" w:space="0" w:color="auto"/>
              <w:right w:val="single" w:sz="2" w:space="0" w:color="auto"/>
            </w:tcBorders>
          </w:tcPr>
          <w:p w14:paraId="61B91F04" w14:textId="77777777" w:rsidR="009F4766" w:rsidRPr="00DE12A3" w:rsidRDefault="009F4766" w:rsidP="00C917D6">
            <w:pPr>
              <w:pStyle w:val="NormalLeft"/>
              <w:rPr>
                <w:sz w:val="14"/>
                <w:szCs w:val="14"/>
              </w:rPr>
            </w:pPr>
            <w:r w:rsidRPr="00DE12A3">
              <w:rPr>
                <w:sz w:val="14"/>
                <w:szCs w:val="14"/>
              </w:rPr>
              <w:t>1,912</w:t>
            </w:r>
          </w:p>
        </w:tc>
        <w:tc>
          <w:tcPr>
            <w:tcW w:w="464" w:type="dxa"/>
            <w:tcBorders>
              <w:top w:val="single" w:sz="2" w:space="0" w:color="auto"/>
              <w:left w:val="single" w:sz="2" w:space="0" w:color="auto"/>
              <w:bottom w:val="single" w:sz="2" w:space="0" w:color="auto"/>
              <w:right w:val="single" w:sz="2" w:space="0" w:color="auto"/>
            </w:tcBorders>
          </w:tcPr>
          <w:p w14:paraId="15E7C9DA" w14:textId="77777777" w:rsidR="009F4766" w:rsidRPr="00DE12A3" w:rsidRDefault="009F4766" w:rsidP="00C917D6">
            <w:pPr>
              <w:pStyle w:val="NormalLeft"/>
              <w:rPr>
                <w:sz w:val="14"/>
                <w:szCs w:val="14"/>
              </w:rPr>
            </w:pPr>
            <w:r w:rsidRPr="00DE12A3">
              <w:rPr>
                <w:sz w:val="14"/>
                <w:szCs w:val="14"/>
              </w:rPr>
              <w:t>1,862</w:t>
            </w:r>
          </w:p>
        </w:tc>
        <w:tc>
          <w:tcPr>
            <w:tcW w:w="465" w:type="dxa"/>
            <w:tcBorders>
              <w:top w:val="single" w:sz="2" w:space="0" w:color="auto"/>
              <w:left w:val="single" w:sz="2" w:space="0" w:color="auto"/>
              <w:bottom w:val="single" w:sz="2" w:space="0" w:color="auto"/>
              <w:right w:val="single" w:sz="2" w:space="0" w:color="auto"/>
            </w:tcBorders>
          </w:tcPr>
          <w:p w14:paraId="78376B29" w14:textId="77777777" w:rsidR="009F4766" w:rsidRPr="00DE12A3" w:rsidRDefault="009F4766" w:rsidP="00C917D6">
            <w:pPr>
              <w:pStyle w:val="NormalLeft"/>
              <w:rPr>
                <w:sz w:val="14"/>
                <w:szCs w:val="14"/>
              </w:rPr>
            </w:pPr>
            <w:r w:rsidRPr="00DE12A3">
              <w:rPr>
                <w:sz w:val="14"/>
                <w:szCs w:val="14"/>
              </w:rPr>
              <w:t>1,836</w:t>
            </w:r>
          </w:p>
        </w:tc>
        <w:tc>
          <w:tcPr>
            <w:tcW w:w="464" w:type="dxa"/>
            <w:tcBorders>
              <w:top w:val="single" w:sz="2" w:space="0" w:color="auto"/>
              <w:left w:val="single" w:sz="2" w:space="0" w:color="auto"/>
              <w:bottom w:val="single" w:sz="2" w:space="0" w:color="auto"/>
              <w:right w:val="single" w:sz="2" w:space="0" w:color="auto"/>
            </w:tcBorders>
          </w:tcPr>
          <w:p w14:paraId="0117023A" w14:textId="77777777" w:rsidR="009F4766" w:rsidRPr="00DE12A3" w:rsidRDefault="009F4766" w:rsidP="00C917D6">
            <w:pPr>
              <w:pStyle w:val="NormalLeft"/>
              <w:rPr>
                <w:sz w:val="14"/>
                <w:szCs w:val="14"/>
              </w:rPr>
            </w:pPr>
            <w:r w:rsidRPr="00DE12A3">
              <w:rPr>
                <w:sz w:val="14"/>
                <w:szCs w:val="14"/>
              </w:rPr>
              <w:t>1,809</w:t>
            </w:r>
          </w:p>
        </w:tc>
        <w:tc>
          <w:tcPr>
            <w:tcW w:w="464" w:type="dxa"/>
            <w:tcBorders>
              <w:top w:val="single" w:sz="2" w:space="0" w:color="auto"/>
              <w:left w:val="single" w:sz="2" w:space="0" w:color="auto"/>
              <w:bottom w:val="single" w:sz="2" w:space="0" w:color="auto"/>
              <w:right w:val="single" w:sz="2" w:space="0" w:color="auto"/>
            </w:tcBorders>
          </w:tcPr>
          <w:p w14:paraId="6ABD2822" w14:textId="77777777" w:rsidR="009F4766" w:rsidRPr="00DE12A3" w:rsidRDefault="009F4766" w:rsidP="00C917D6">
            <w:pPr>
              <w:pStyle w:val="NormalLeft"/>
              <w:rPr>
                <w:sz w:val="14"/>
                <w:szCs w:val="14"/>
              </w:rPr>
            </w:pPr>
            <w:r w:rsidRPr="00DE12A3">
              <w:rPr>
                <w:sz w:val="14"/>
                <w:szCs w:val="14"/>
              </w:rPr>
              <w:t>1,781</w:t>
            </w:r>
          </w:p>
        </w:tc>
        <w:tc>
          <w:tcPr>
            <w:tcW w:w="464" w:type="dxa"/>
            <w:tcBorders>
              <w:top w:val="single" w:sz="2" w:space="0" w:color="auto"/>
              <w:left w:val="single" w:sz="2" w:space="0" w:color="auto"/>
              <w:bottom w:val="single" w:sz="2" w:space="0" w:color="auto"/>
              <w:right w:val="single" w:sz="2" w:space="0" w:color="auto"/>
            </w:tcBorders>
          </w:tcPr>
          <w:p w14:paraId="75B9A1FA" w14:textId="77777777" w:rsidR="009F4766" w:rsidRPr="00DE12A3" w:rsidRDefault="009F4766" w:rsidP="00C917D6">
            <w:pPr>
              <w:pStyle w:val="NormalLeft"/>
              <w:rPr>
                <w:sz w:val="14"/>
                <w:szCs w:val="14"/>
              </w:rPr>
            </w:pPr>
            <w:r w:rsidRPr="00DE12A3">
              <w:rPr>
                <w:sz w:val="14"/>
                <w:szCs w:val="14"/>
              </w:rPr>
              <w:t>1,751</w:t>
            </w:r>
          </w:p>
        </w:tc>
        <w:tc>
          <w:tcPr>
            <w:tcW w:w="465" w:type="dxa"/>
            <w:tcBorders>
              <w:top w:val="single" w:sz="2" w:space="0" w:color="auto"/>
              <w:left w:val="single" w:sz="2" w:space="0" w:color="auto"/>
              <w:bottom w:val="single" w:sz="2" w:space="0" w:color="auto"/>
              <w:right w:val="single" w:sz="2" w:space="0" w:color="auto"/>
            </w:tcBorders>
          </w:tcPr>
          <w:p w14:paraId="6D87E243" w14:textId="77777777" w:rsidR="009F4766" w:rsidRPr="00DE12A3" w:rsidRDefault="009F4766" w:rsidP="00C917D6">
            <w:pPr>
              <w:pStyle w:val="NormalLeft"/>
              <w:rPr>
                <w:sz w:val="14"/>
                <w:szCs w:val="14"/>
              </w:rPr>
            </w:pPr>
            <w:r w:rsidRPr="00DE12A3">
              <w:rPr>
                <w:sz w:val="14"/>
                <w:szCs w:val="14"/>
              </w:rPr>
              <w:t>1,719</w:t>
            </w:r>
          </w:p>
        </w:tc>
        <w:tc>
          <w:tcPr>
            <w:tcW w:w="464" w:type="dxa"/>
            <w:tcBorders>
              <w:top w:val="single" w:sz="2" w:space="0" w:color="auto"/>
              <w:left w:val="single" w:sz="2" w:space="0" w:color="auto"/>
              <w:bottom w:val="single" w:sz="2" w:space="0" w:color="auto"/>
              <w:right w:val="single" w:sz="2" w:space="0" w:color="auto"/>
            </w:tcBorders>
          </w:tcPr>
          <w:p w14:paraId="11001AA8" w14:textId="77777777" w:rsidR="009F4766" w:rsidRPr="00DE12A3" w:rsidRDefault="009F4766" w:rsidP="00C917D6">
            <w:pPr>
              <w:pStyle w:val="NormalLeft"/>
              <w:rPr>
                <w:sz w:val="14"/>
                <w:szCs w:val="14"/>
              </w:rPr>
            </w:pPr>
            <w:r w:rsidRPr="00DE12A3">
              <w:rPr>
                <w:sz w:val="14"/>
                <w:szCs w:val="14"/>
              </w:rPr>
              <w:t>1,686</w:t>
            </w:r>
          </w:p>
        </w:tc>
      </w:tr>
      <w:tr w:rsidR="00DE12A3" w:rsidRPr="00DE12A3" w14:paraId="789A19A4" w14:textId="77777777" w:rsidTr="009F4766">
        <w:tc>
          <w:tcPr>
            <w:tcW w:w="464" w:type="dxa"/>
            <w:tcBorders>
              <w:top w:val="single" w:sz="2" w:space="0" w:color="auto"/>
              <w:left w:val="single" w:sz="2" w:space="0" w:color="auto"/>
              <w:bottom w:val="single" w:sz="2" w:space="0" w:color="auto"/>
              <w:right w:val="single" w:sz="2" w:space="0" w:color="auto"/>
            </w:tcBorders>
          </w:tcPr>
          <w:p w14:paraId="68552350" w14:textId="77777777" w:rsidR="009F4766" w:rsidRPr="00DE12A3" w:rsidRDefault="009F4766" w:rsidP="00C917D6">
            <w:pPr>
              <w:pStyle w:val="NormalLeft"/>
              <w:rPr>
                <w:sz w:val="14"/>
                <w:szCs w:val="14"/>
              </w:rPr>
            </w:pPr>
            <w:r w:rsidRPr="00DE12A3">
              <w:rPr>
                <w:sz w:val="14"/>
                <w:szCs w:val="14"/>
              </w:rPr>
              <w:t>18</w:t>
            </w:r>
          </w:p>
        </w:tc>
        <w:tc>
          <w:tcPr>
            <w:tcW w:w="465" w:type="dxa"/>
            <w:tcBorders>
              <w:top w:val="single" w:sz="2" w:space="0" w:color="auto"/>
              <w:left w:val="single" w:sz="2" w:space="0" w:color="auto"/>
              <w:bottom w:val="single" w:sz="2" w:space="0" w:color="auto"/>
              <w:right w:val="single" w:sz="2" w:space="0" w:color="auto"/>
            </w:tcBorders>
          </w:tcPr>
          <w:p w14:paraId="25389971" w14:textId="77777777" w:rsidR="009F4766" w:rsidRPr="00DE12A3" w:rsidRDefault="009F4766" w:rsidP="00C917D6">
            <w:pPr>
              <w:pStyle w:val="NormalLeft"/>
              <w:rPr>
                <w:sz w:val="14"/>
                <w:szCs w:val="14"/>
              </w:rPr>
            </w:pPr>
            <w:r w:rsidRPr="00DE12A3">
              <w:rPr>
                <w:sz w:val="14"/>
                <w:szCs w:val="14"/>
              </w:rPr>
              <w:t>3,007</w:t>
            </w:r>
          </w:p>
        </w:tc>
        <w:tc>
          <w:tcPr>
            <w:tcW w:w="464" w:type="dxa"/>
            <w:tcBorders>
              <w:top w:val="single" w:sz="2" w:space="0" w:color="auto"/>
              <w:left w:val="single" w:sz="2" w:space="0" w:color="auto"/>
              <w:bottom w:val="single" w:sz="2" w:space="0" w:color="auto"/>
              <w:right w:val="single" w:sz="2" w:space="0" w:color="auto"/>
            </w:tcBorders>
          </w:tcPr>
          <w:p w14:paraId="076354AD" w14:textId="77777777" w:rsidR="009F4766" w:rsidRPr="00DE12A3" w:rsidRDefault="009F4766" w:rsidP="00C917D6">
            <w:pPr>
              <w:pStyle w:val="NormalLeft"/>
              <w:rPr>
                <w:sz w:val="14"/>
                <w:szCs w:val="14"/>
              </w:rPr>
            </w:pPr>
            <w:r w:rsidRPr="00DE12A3">
              <w:rPr>
                <w:sz w:val="14"/>
                <w:szCs w:val="14"/>
              </w:rPr>
              <w:t>2,624</w:t>
            </w:r>
          </w:p>
        </w:tc>
        <w:tc>
          <w:tcPr>
            <w:tcW w:w="464" w:type="dxa"/>
            <w:tcBorders>
              <w:top w:val="single" w:sz="2" w:space="0" w:color="auto"/>
              <w:left w:val="single" w:sz="2" w:space="0" w:color="auto"/>
              <w:bottom w:val="single" w:sz="2" w:space="0" w:color="auto"/>
              <w:right w:val="single" w:sz="2" w:space="0" w:color="auto"/>
            </w:tcBorders>
          </w:tcPr>
          <w:p w14:paraId="08B43569" w14:textId="77777777" w:rsidR="009F4766" w:rsidRPr="00DE12A3" w:rsidRDefault="009F4766" w:rsidP="00C917D6">
            <w:pPr>
              <w:pStyle w:val="NormalLeft"/>
              <w:rPr>
                <w:sz w:val="14"/>
                <w:szCs w:val="14"/>
              </w:rPr>
            </w:pPr>
            <w:r w:rsidRPr="00DE12A3">
              <w:rPr>
                <w:sz w:val="14"/>
                <w:szCs w:val="14"/>
              </w:rPr>
              <w:t>2,416</w:t>
            </w:r>
          </w:p>
        </w:tc>
        <w:tc>
          <w:tcPr>
            <w:tcW w:w="465" w:type="dxa"/>
            <w:tcBorders>
              <w:top w:val="single" w:sz="2" w:space="0" w:color="auto"/>
              <w:left w:val="single" w:sz="2" w:space="0" w:color="auto"/>
              <w:bottom w:val="single" w:sz="2" w:space="0" w:color="auto"/>
              <w:right w:val="single" w:sz="2" w:space="0" w:color="auto"/>
            </w:tcBorders>
          </w:tcPr>
          <w:p w14:paraId="0471B858" w14:textId="77777777" w:rsidR="009F4766" w:rsidRPr="00DE12A3" w:rsidRDefault="009F4766" w:rsidP="00C917D6">
            <w:pPr>
              <w:pStyle w:val="NormalLeft"/>
              <w:rPr>
                <w:sz w:val="14"/>
                <w:szCs w:val="14"/>
              </w:rPr>
            </w:pPr>
            <w:r w:rsidRPr="00DE12A3">
              <w:rPr>
                <w:sz w:val="14"/>
                <w:szCs w:val="14"/>
              </w:rPr>
              <w:t>2,286</w:t>
            </w:r>
          </w:p>
        </w:tc>
        <w:tc>
          <w:tcPr>
            <w:tcW w:w="464" w:type="dxa"/>
            <w:tcBorders>
              <w:top w:val="single" w:sz="2" w:space="0" w:color="auto"/>
              <w:left w:val="single" w:sz="2" w:space="0" w:color="auto"/>
              <w:bottom w:val="single" w:sz="2" w:space="0" w:color="auto"/>
              <w:right w:val="single" w:sz="2" w:space="0" w:color="auto"/>
            </w:tcBorders>
          </w:tcPr>
          <w:p w14:paraId="19B9A81E" w14:textId="77777777" w:rsidR="009F4766" w:rsidRPr="00DE12A3" w:rsidRDefault="009F4766" w:rsidP="00C917D6">
            <w:pPr>
              <w:pStyle w:val="NormalLeft"/>
              <w:rPr>
                <w:sz w:val="14"/>
                <w:szCs w:val="14"/>
              </w:rPr>
            </w:pPr>
            <w:r w:rsidRPr="00DE12A3">
              <w:rPr>
                <w:sz w:val="14"/>
                <w:szCs w:val="14"/>
              </w:rPr>
              <w:t>2,196</w:t>
            </w:r>
          </w:p>
        </w:tc>
        <w:tc>
          <w:tcPr>
            <w:tcW w:w="464" w:type="dxa"/>
            <w:tcBorders>
              <w:top w:val="single" w:sz="2" w:space="0" w:color="auto"/>
              <w:left w:val="single" w:sz="2" w:space="0" w:color="auto"/>
              <w:bottom w:val="single" w:sz="2" w:space="0" w:color="auto"/>
              <w:right w:val="single" w:sz="2" w:space="0" w:color="auto"/>
            </w:tcBorders>
          </w:tcPr>
          <w:p w14:paraId="02733775" w14:textId="77777777" w:rsidR="009F4766" w:rsidRPr="00DE12A3" w:rsidRDefault="009F4766" w:rsidP="00C917D6">
            <w:pPr>
              <w:pStyle w:val="NormalLeft"/>
              <w:rPr>
                <w:sz w:val="14"/>
                <w:szCs w:val="14"/>
              </w:rPr>
            </w:pPr>
            <w:r w:rsidRPr="00DE12A3">
              <w:rPr>
                <w:sz w:val="14"/>
                <w:szCs w:val="14"/>
              </w:rPr>
              <w:t>2,130</w:t>
            </w:r>
          </w:p>
        </w:tc>
        <w:tc>
          <w:tcPr>
            <w:tcW w:w="464" w:type="dxa"/>
            <w:tcBorders>
              <w:top w:val="single" w:sz="2" w:space="0" w:color="auto"/>
              <w:left w:val="single" w:sz="2" w:space="0" w:color="auto"/>
              <w:bottom w:val="single" w:sz="2" w:space="0" w:color="auto"/>
              <w:right w:val="single" w:sz="2" w:space="0" w:color="auto"/>
            </w:tcBorders>
          </w:tcPr>
          <w:p w14:paraId="19232B98" w14:textId="77777777" w:rsidR="009F4766" w:rsidRPr="00DE12A3" w:rsidRDefault="009F4766" w:rsidP="00C917D6">
            <w:pPr>
              <w:pStyle w:val="NormalLeft"/>
              <w:rPr>
                <w:sz w:val="14"/>
                <w:szCs w:val="14"/>
              </w:rPr>
            </w:pPr>
            <w:r w:rsidRPr="00DE12A3">
              <w:rPr>
                <w:sz w:val="14"/>
                <w:szCs w:val="14"/>
              </w:rPr>
              <w:t>2,079</w:t>
            </w:r>
          </w:p>
        </w:tc>
        <w:tc>
          <w:tcPr>
            <w:tcW w:w="465" w:type="dxa"/>
            <w:tcBorders>
              <w:top w:val="single" w:sz="2" w:space="0" w:color="auto"/>
              <w:left w:val="single" w:sz="2" w:space="0" w:color="auto"/>
              <w:bottom w:val="single" w:sz="2" w:space="0" w:color="auto"/>
              <w:right w:val="single" w:sz="2" w:space="0" w:color="auto"/>
            </w:tcBorders>
          </w:tcPr>
          <w:p w14:paraId="754C2083" w14:textId="77777777" w:rsidR="009F4766" w:rsidRPr="00DE12A3" w:rsidRDefault="009F4766" w:rsidP="00C917D6">
            <w:pPr>
              <w:pStyle w:val="NormalLeft"/>
              <w:rPr>
                <w:sz w:val="14"/>
                <w:szCs w:val="14"/>
              </w:rPr>
            </w:pPr>
            <w:r w:rsidRPr="00DE12A3">
              <w:rPr>
                <w:sz w:val="14"/>
                <w:szCs w:val="14"/>
              </w:rPr>
              <w:t>2,038</w:t>
            </w:r>
          </w:p>
        </w:tc>
        <w:tc>
          <w:tcPr>
            <w:tcW w:w="464" w:type="dxa"/>
            <w:tcBorders>
              <w:top w:val="single" w:sz="2" w:space="0" w:color="auto"/>
              <w:left w:val="single" w:sz="2" w:space="0" w:color="auto"/>
              <w:bottom w:val="single" w:sz="2" w:space="0" w:color="auto"/>
              <w:right w:val="single" w:sz="2" w:space="0" w:color="auto"/>
            </w:tcBorders>
          </w:tcPr>
          <w:p w14:paraId="04883E93" w14:textId="77777777" w:rsidR="009F4766" w:rsidRPr="00DE12A3" w:rsidRDefault="009F4766" w:rsidP="00C917D6">
            <w:pPr>
              <w:pStyle w:val="NormalLeft"/>
              <w:rPr>
                <w:sz w:val="14"/>
                <w:szCs w:val="14"/>
              </w:rPr>
            </w:pPr>
            <w:r w:rsidRPr="00DE12A3">
              <w:rPr>
                <w:sz w:val="14"/>
                <w:szCs w:val="14"/>
              </w:rPr>
              <w:t>2,005</w:t>
            </w:r>
          </w:p>
        </w:tc>
        <w:tc>
          <w:tcPr>
            <w:tcW w:w="464" w:type="dxa"/>
            <w:tcBorders>
              <w:top w:val="single" w:sz="2" w:space="0" w:color="auto"/>
              <w:left w:val="single" w:sz="2" w:space="0" w:color="auto"/>
              <w:bottom w:val="single" w:sz="2" w:space="0" w:color="auto"/>
              <w:right w:val="single" w:sz="2" w:space="0" w:color="auto"/>
            </w:tcBorders>
          </w:tcPr>
          <w:p w14:paraId="79D53FFA" w14:textId="77777777" w:rsidR="009F4766" w:rsidRPr="00DE12A3" w:rsidRDefault="009F4766" w:rsidP="00C917D6">
            <w:pPr>
              <w:pStyle w:val="NormalLeft"/>
              <w:rPr>
                <w:sz w:val="14"/>
                <w:szCs w:val="14"/>
              </w:rPr>
            </w:pPr>
            <w:r w:rsidRPr="00DE12A3">
              <w:rPr>
                <w:sz w:val="14"/>
                <w:szCs w:val="14"/>
              </w:rPr>
              <w:t>1,977</w:t>
            </w:r>
          </w:p>
        </w:tc>
        <w:tc>
          <w:tcPr>
            <w:tcW w:w="465" w:type="dxa"/>
            <w:tcBorders>
              <w:top w:val="single" w:sz="2" w:space="0" w:color="auto"/>
              <w:left w:val="single" w:sz="2" w:space="0" w:color="auto"/>
              <w:bottom w:val="single" w:sz="2" w:space="0" w:color="auto"/>
              <w:right w:val="single" w:sz="2" w:space="0" w:color="auto"/>
            </w:tcBorders>
          </w:tcPr>
          <w:p w14:paraId="05044AF7" w14:textId="77777777" w:rsidR="009F4766" w:rsidRPr="00DE12A3" w:rsidRDefault="009F4766" w:rsidP="00C917D6">
            <w:pPr>
              <w:pStyle w:val="NormalLeft"/>
              <w:rPr>
                <w:sz w:val="14"/>
                <w:szCs w:val="14"/>
              </w:rPr>
            </w:pPr>
            <w:r w:rsidRPr="00DE12A3">
              <w:rPr>
                <w:sz w:val="14"/>
                <w:szCs w:val="14"/>
              </w:rPr>
              <w:t>1,933</w:t>
            </w:r>
          </w:p>
        </w:tc>
        <w:tc>
          <w:tcPr>
            <w:tcW w:w="464" w:type="dxa"/>
            <w:tcBorders>
              <w:top w:val="single" w:sz="2" w:space="0" w:color="auto"/>
              <w:left w:val="single" w:sz="2" w:space="0" w:color="auto"/>
              <w:bottom w:val="single" w:sz="2" w:space="0" w:color="auto"/>
              <w:right w:val="single" w:sz="2" w:space="0" w:color="auto"/>
            </w:tcBorders>
          </w:tcPr>
          <w:p w14:paraId="10BCA400" w14:textId="77777777" w:rsidR="009F4766" w:rsidRPr="00DE12A3" w:rsidRDefault="009F4766" w:rsidP="00C917D6">
            <w:pPr>
              <w:pStyle w:val="NormalLeft"/>
              <w:rPr>
                <w:sz w:val="14"/>
                <w:szCs w:val="14"/>
              </w:rPr>
            </w:pPr>
            <w:r w:rsidRPr="00DE12A3">
              <w:rPr>
                <w:sz w:val="14"/>
                <w:szCs w:val="14"/>
              </w:rPr>
              <w:t>1,887</w:t>
            </w:r>
          </w:p>
        </w:tc>
        <w:tc>
          <w:tcPr>
            <w:tcW w:w="464" w:type="dxa"/>
            <w:tcBorders>
              <w:top w:val="single" w:sz="2" w:space="0" w:color="auto"/>
              <w:left w:val="single" w:sz="2" w:space="0" w:color="auto"/>
              <w:bottom w:val="single" w:sz="2" w:space="0" w:color="auto"/>
              <w:right w:val="single" w:sz="2" w:space="0" w:color="auto"/>
            </w:tcBorders>
          </w:tcPr>
          <w:p w14:paraId="2FEC454E" w14:textId="77777777" w:rsidR="009F4766" w:rsidRPr="00DE12A3" w:rsidRDefault="009F4766" w:rsidP="00C917D6">
            <w:pPr>
              <w:pStyle w:val="NormalLeft"/>
              <w:rPr>
                <w:sz w:val="14"/>
                <w:szCs w:val="14"/>
              </w:rPr>
            </w:pPr>
            <w:r w:rsidRPr="00DE12A3">
              <w:rPr>
                <w:sz w:val="14"/>
                <w:szCs w:val="14"/>
              </w:rPr>
              <w:t>1,837</w:t>
            </w:r>
          </w:p>
        </w:tc>
        <w:tc>
          <w:tcPr>
            <w:tcW w:w="465" w:type="dxa"/>
            <w:tcBorders>
              <w:top w:val="single" w:sz="2" w:space="0" w:color="auto"/>
              <w:left w:val="single" w:sz="2" w:space="0" w:color="auto"/>
              <w:bottom w:val="single" w:sz="2" w:space="0" w:color="auto"/>
              <w:right w:val="single" w:sz="2" w:space="0" w:color="auto"/>
            </w:tcBorders>
          </w:tcPr>
          <w:p w14:paraId="162B88BF" w14:textId="77777777" w:rsidR="009F4766" w:rsidRPr="00DE12A3" w:rsidRDefault="009F4766" w:rsidP="00C917D6">
            <w:pPr>
              <w:pStyle w:val="NormalLeft"/>
              <w:rPr>
                <w:sz w:val="14"/>
                <w:szCs w:val="14"/>
              </w:rPr>
            </w:pPr>
            <w:r w:rsidRPr="00DE12A3">
              <w:rPr>
                <w:sz w:val="14"/>
                <w:szCs w:val="14"/>
              </w:rPr>
              <w:t>1,810</w:t>
            </w:r>
          </w:p>
        </w:tc>
        <w:tc>
          <w:tcPr>
            <w:tcW w:w="464" w:type="dxa"/>
            <w:tcBorders>
              <w:top w:val="single" w:sz="2" w:space="0" w:color="auto"/>
              <w:left w:val="single" w:sz="2" w:space="0" w:color="auto"/>
              <w:bottom w:val="single" w:sz="2" w:space="0" w:color="auto"/>
              <w:right w:val="single" w:sz="2" w:space="0" w:color="auto"/>
            </w:tcBorders>
          </w:tcPr>
          <w:p w14:paraId="1F29BED6" w14:textId="77777777" w:rsidR="009F4766" w:rsidRPr="00DE12A3" w:rsidRDefault="009F4766" w:rsidP="00C917D6">
            <w:pPr>
              <w:pStyle w:val="NormalLeft"/>
              <w:rPr>
                <w:sz w:val="14"/>
                <w:szCs w:val="14"/>
              </w:rPr>
            </w:pPr>
            <w:r w:rsidRPr="00DE12A3">
              <w:rPr>
                <w:sz w:val="14"/>
                <w:szCs w:val="14"/>
              </w:rPr>
              <w:t>1,783</w:t>
            </w:r>
          </w:p>
        </w:tc>
        <w:tc>
          <w:tcPr>
            <w:tcW w:w="464" w:type="dxa"/>
            <w:tcBorders>
              <w:top w:val="single" w:sz="2" w:space="0" w:color="auto"/>
              <w:left w:val="single" w:sz="2" w:space="0" w:color="auto"/>
              <w:bottom w:val="single" w:sz="2" w:space="0" w:color="auto"/>
              <w:right w:val="single" w:sz="2" w:space="0" w:color="auto"/>
            </w:tcBorders>
          </w:tcPr>
          <w:p w14:paraId="1F8ADB1B" w14:textId="77777777" w:rsidR="009F4766" w:rsidRPr="00DE12A3" w:rsidRDefault="009F4766" w:rsidP="00C917D6">
            <w:pPr>
              <w:pStyle w:val="NormalLeft"/>
              <w:rPr>
                <w:sz w:val="14"/>
                <w:szCs w:val="14"/>
              </w:rPr>
            </w:pPr>
            <w:r w:rsidRPr="00DE12A3">
              <w:rPr>
                <w:sz w:val="14"/>
                <w:szCs w:val="14"/>
              </w:rPr>
              <w:t>1,754</w:t>
            </w:r>
          </w:p>
        </w:tc>
        <w:tc>
          <w:tcPr>
            <w:tcW w:w="464" w:type="dxa"/>
            <w:tcBorders>
              <w:top w:val="single" w:sz="2" w:space="0" w:color="auto"/>
              <w:left w:val="single" w:sz="2" w:space="0" w:color="auto"/>
              <w:bottom w:val="single" w:sz="2" w:space="0" w:color="auto"/>
              <w:right w:val="single" w:sz="2" w:space="0" w:color="auto"/>
            </w:tcBorders>
          </w:tcPr>
          <w:p w14:paraId="2D04599A" w14:textId="77777777" w:rsidR="009F4766" w:rsidRPr="00DE12A3" w:rsidRDefault="009F4766" w:rsidP="00C917D6">
            <w:pPr>
              <w:pStyle w:val="NormalLeft"/>
              <w:rPr>
                <w:sz w:val="14"/>
                <w:szCs w:val="14"/>
              </w:rPr>
            </w:pPr>
            <w:r w:rsidRPr="00DE12A3">
              <w:rPr>
                <w:sz w:val="14"/>
                <w:szCs w:val="14"/>
              </w:rPr>
              <w:t>1,723</w:t>
            </w:r>
          </w:p>
        </w:tc>
        <w:tc>
          <w:tcPr>
            <w:tcW w:w="465" w:type="dxa"/>
            <w:tcBorders>
              <w:top w:val="single" w:sz="2" w:space="0" w:color="auto"/>
              <w:left w:val="single" w:sz="2" w:space="0" w:color="auto"/>
              <w:bottom w:val="single" w:sz="2" w:space="0" w:color="auto"/>
              <w:right w:val="single" w:sz="2" w:space="0" w:color="auto"/>
            </w:tcBorders>
          </w:tcPr>
          <w:p w14:paraId="1AEE24AA" w14:textId="77777777" w:rsidR="009F4766" w:rsidRPr="00DE12A3" w:rsidRDefault="009F4766" w:rsidP="00C917D6">
            <w:pPr>
              <w:pStyle w:val="NormalLeft"/>
              <w:rPr>
                <w:sz w:val="14"/>
                <w:szCs w:val="14"/>
              </w:rPr>
            </w:pPr>
            <w:r w:rsidRPr="00DE12A3">
              <w:rPr>
                <w:sz w:val="14"/>
                <w:szCs w:val="14"/>
              </w:rPr>
              <w:t>1,691</w:t>
            </w:r>
          </w:p>
        </w:tc>
        <w:tc>
          <w:tcPr>
            <w:tcW w:w="464" w:type="dxa"/>
            <w:tcBorders>
              <w:top w:val="single" w:sz="2" w:space="0" w:color="auto"/>
              <w:left w:val="single" w:sz="2" w:space="0" w:color="auto"/>
              <w:bottom w:val="single" w:sz="2" w:space="0" w:color="auto"/>
              <w:right w:val="single" w:sz="2" w:space="0" w:color="auto"/>
            </w:tcBorders>
          </w:tcPr>
          <w:p w14:paraId="3D015EAE" w14:textId="77777777" w:rsidR="009F4766" w:rsidRPr="00DE12A3" w:rsidRDefault="009F4766" w:rsidP="00C917D6">
            <w:pPr>
              <w:pStyle w:val="NormalLeft"/>
              <w:rPr>
                <w:sz w:val="14"/>
                <w:szCs w:val="14"/>
              </w:rPr>
            </w:pPr>
            <w:r w:rsidRPr="00DE12A3">
              <w:rPr>
                <w:sz w:val="14"/>
                <w:szCs w:val="14"/>
              </w:rPr>
              <w:t>1,657</w:t>
            </w:r>
          </w:p>
        </w:tc>
      </w:tr>
      <w:tr w:rsidR="00DE12A3" w:rsidRPr="00DE12A3" w14:paraId="0F54F4EB" w14:textId="77777777" w:rsidTr="009F4766">
        <w:tc>
          <w:tcPr>
            <w:tcW w:w="464" w:type="dxa"/>
            <w:tcBorders>
              <w:top w:val="single" w:sz="2" w:space="0" w:color="auto"/>
              <w:left w:val="single" w:sz="2" w:space="0" w:color="auto"/>
              <w:bottom w:val="single" w:sz="2" w:space="0" w:color="auto"/>
              <w:right w:val="single" w:sz="2" w:space="0" w:color="auto"/>
            </w:tcBorders>
          </w:tcPr>
          <w:p w14:paraId="4AD6A003" w14:textId="77777777" w:rsidR="009F4766" w:rsidRPr="00DE12A3" w:rsidRDefault="009F4766" w:rsidP="00C917D6">
            <w:pPr>
              <w:pStyle w:val="NormalLeft"/>
              <w:rPr>
                <w:sz w:val="14"/>
                <w:szCs w:val="14"/>
              </w:rPr>
            </w:pPr>
            <w:r w:rsidRPr="00DE12A3">
              <w:rPr>
                <w:sz w:val="14"/>
                <w:szCs w:val="14"/>
              </w:rPr>
              <w:t>19</w:t>
            </w:r>
          </w:p>
        </w:tc>
        <w:tc>
          <w:tcPr>
            <w:tcW w:w="465" w:type="dxa"/>
            <w:tcBorders>
              <w:top w:val="single" w:sz="2" w:space="0" w:color="auto"/>
              <w:left w:val="single" w:sz="2" w:space="0" w:color="auto"/>
              <w:bottom w:val="single" w:sz="2" w:space="0" w:color="auto"/>
              <w:right w:val="single" w:sz="2" w:space="0" w:color="auto"/>
            </w:tcBorders>
          </w:tcPr>
          <w:p w14:paraId="26C5819C" w14:textId="77777777" w:rsidR="009F4766" w:rsidRPr="00DE12A3" w:rsidRDefault="009F4766" w:rsidP="00C917D6">
            <w:pPr>
              <w:pStyle w:val="NormalLeft"/>
              <w:rPr>
                <w:sz w:val="14"/>
                <w:szCs w:val="14"/>
              </w:rPr>
            </w:pPr>
            <w:r w:rsidRPr="00DE12A3">
              <w:rPr>
                <w:sz w:val="14"/>
                <w:szCs w:val="14"/>
              </w:rPr>
              <w:t>2,990</w:t>
            </w:r>
          </w:p>
        </w:tc>
        <w:tc>
          <w:tcPr>
            <w:tcW w:w="464" w:type="dxa"/>
            <w:tcBorders>
              <w:top w:val="single" w:sz="2" w:space="0" w:color="auto"/>
              <w:left w:val="single" w:sz="2" w:space="0" w:color="auto"/>
              <w:bottom w:val="single" w:sz="2" w:space="0" w:color="auto"/>
              <w:right w:val="single" w:sz="2" w:space="0" w:color="auto"/>
            </w:tcBorders>
          </w:tcPr>
          <w:p w14:paraId="020A1471" w14:textId="77777777" w:rsidR="009F4766" w:rsidRPr="00DE12A3" w:rsidRDefault="009F4766" w:rsidP="00C917D6">
            <w:pPr>
              <w:pStyle w:val="NormalLeft"/>
              <w:rPr>
                <w:sz w:val="14"/>
                <w:szCs w:val="14"/>
              </w:rPr>
            </w:pPr>
            <w:r w:rsidRPr="00DE12A3">
              <w:rPr>
                <w:sz w:val="14"/>
                <w:szCs w:val="14"/>
              </w:rPr>
              <w:t>2,606</w:t>
            </w:r>
          </w:p>
        </w:tc>
        <w:tc>
          <w:tcPr>
            <w:tcW w:w="464" w:type="dxa"/>
            <w:tcBorders>
              <w:top w:val="single" w:sz="2" w:space="0" w:color="auto"/>
              <w:left w:val="single" w:sz="2" w:space="0" w:color="auto"/>
              <w:bottom w:val="single" w:sz="2" w:space="0" w:color="auto"/>
              <w:right w:val="single" w:sz="2" w:space="0" w:color="auto"/>
            </w:tcBorders>
          </w:tcPr>
          <w:p w14:paraId="57BEF390" w14:textId="77777777" w:rsidR="009F4766" w:rsidRPr="00DE12A3" w:rsidRDefault="009F4766" w:rsidP="00C917D6">
            <w:pPr>
              <w:pStyle w:val="NormalLeft"/>
              <w:rPr>
                <w:sz w:val="14"/>
                <w:szCs w:val="14"/>
              </w:rPr>
            </w:pPr>
            <w:r w:rsidRPr="00DE12A3">
              <w:rPr>
                <w:sz w:val="14"/>
                <w:szCs w:val="14"/>
              </w:rPr>
              <w:t>2,397</w:t>
            </w:r>
          </w:p>
        </w:tc>
        <w:tc>
          <w:tcPr>
            <w:tcW w:w="465" w:type="dxa"/>
            <w:tcBorders>
              <w:top w:val="single" w:sz="2" w:space="0" w:color="auto"/>
              <w:left w:val="single" w:sz="2" w:space="0" w:color="auto"/>
              <w:bottom w:val="single" w:sz="2" w:space="0" w:color="auto"/>
              <w:right w:val="single" w:sz="2" w:space="0" w:color="auto"/>
            </w:tcBorders>
          </w:tcPr>
          <w:p w14:paraId="5392C437" w14:textId="77777777" w:rsidR="009F4766" w:rsidRPr="00DE12A3" w:rsidRDefault="009F4766" w:rsidP="00C917D6">
            <w:pPr>
              <w:pStyle w:val="NormalLeft"/>
              <w:rPr>
                <w:sz w:val="14"/>
                <w:szCs w:val="14"/>
              </w:rPr>
            </w:pPr>
            <w:r w:rsidRPr="00DE12A3">
              <w:rPr>
                <w:sz w:val="14"/>
                <w:szCs w:val="14"/>
              </w:rPr>
              <w:t>2,266</w:t>
            </w:r>
          </w:p>
        </w:tc>
        <w:tc>
          <w:tcPr>
            <w:tcW w:w="464" w:type="dxa"/>
            <w:tcBorders>
              <w:top w:val="single" w:sz="2" w:space="0" w:color="auto"/>
              <w:left w:val="single" w:sz="2" w:space="0" w:color="auto"/>
              <w:bottom w:val="single" w:sz="2" w:space="0" w:color="auto"/>
              <w:right w:val="single" w:sz="2" w:space="0" w:color="auto"/>
            </w:tcBorders>
          </w:tcPr>
          <w:p w14:paraId="407E47D9" w14:textId="77777777" w:rsidR="009F4766" w:rsidRPr="00DE12A3" w:rsidRDefault="009F4766" w:rsidP="00C917D6">
            <w:pPr>
              <w:pStyle w:val="NormalLeft"/>
              <w:rPr>
                <w:sz w:val="14"/>
                <w:szCs w:val="14"/>
              </w:rPr>
            </w:pPr>
            <w:r w:rsidRPr="00DE12A3">
              <w:rPr>
                <w:sz w:val="14"/>
                <w:szCs w:val="14"/>
              </w:rPr>
              <w:t>2,176</w:t>
            </w:r>
          </w:p>
        </w:tc>
        <w:tc>
          <w:tcPr>
            <w:tcW w:w="464" w:type="dxa"/>
            <w:tcBorders>
              <w:top w:val="single" w:sz="2" w:space="0" w:color="auto"/>
              <w:left w:val="single" w:sz="2" w:space="0" w:color="auto"/>
              <w:bottom w:val="single" w:sz="2" w:space="0" w:color="auto"/>
              <w:right w:val="single" w:sz="2" w:space="0" w:color="auto"/>
            </w:tcBorders>
          </w:tcPr>
          <w:p w14:paraId="47972FD1" w14:textId="77777777" w:rsidR="009F4766" w:rsidRPr="00DE12A3" w:rsidRDefault="009F4766" w:rsidP="00C917D6">
            <w:pPr>
              <w:pStyle w:val="NormalLeft"/>
              <w:rPr>
                <w:sz w:val="14"/>
                <w:szCs w:val="14"/>
              </w:rPr>
            </w:pPr>
            <w:r w:rsidRPr="00DE12A3">
              <w:rPr>
                <w:sz w:val="14"/>
                <w:szCs w:val="14"/>
              </w:rPr>
              <w:t>2,109</w:t>
            </w:r>
          </w:p>
        </w:tc>
        <w:tc>
          <w:tcPr>
            <w:tcW w:w="464" w:type="dxa"/>
            <w:tcBorders>
              <w:top w:val="single" w:sz="2" w:space="0" w:color="auto"/>
              <w:left w:val="single" w:sz="2" w:space="0" w:color="auto"/>
              <w:bottom w:val="single" w:sz="2" w:space="0" w:color="auto"/>
              <w:right w:val="single" w:sz="2" w:space="0" w:color="auto"/>
            </w:tcBorders>
          </w:tcPr>
          <w:p w14:paraId="0E12328E" w14:textId="77777777" w:rsidR="009F4766" w:rsidRPr="00DE12A3" w:rsidRDefault="009F4766" w:rsidP="00C917D6">
            <w:pPr>
              <w:pStyle w:val="NormalLeft"/>
              <w:rPr>
                <w:sz w:val="14"/>
                <w:szCs w:val="14"/>
              </w:rPr>
            </w:pPr>
            <w:r w:rsidRPr="00DE12A3">
              <w:rPr>
                <w:sz w:val="14"/>
                <w:szCs w:val="14"/>
              </w:rPr>
              <w:t>2,058</w:t>
            </w:r>
          </w:p>
        </w:tc>
        <w:tc>
          <w:tcPr>
            <w:tcW w:w="465" w:type="dxa"/>
            <w:tcBorders>
              <w:top w:val="single" w:sz="2" w:space="0" w:color="auto"/>
              <w:left w:val="single" w:sz="2" w:space="0" w:color="auto"/>
              <w:bottom w:val="single" w:sz="2" w:space="0" w:color="auto"/>
              <w:right w:val="single" w:sz="2" w:space="0" w:color="auto"/>
            </w:tcBorders>
          </w:tcPr>
          <w:p w14:paraId="6B2A2BF4" w14:textId="77777777" w:rsidR="009F4766" w:rsidRPr="00DE12A3" w:rsidRDefault="009F4766" w:rsidP="00C917D6">
            <w:pPr>
              <w:pStyle w:val="NormalLeft"/>
              <w:rPr>
                <w:sz w:val="14"/>
                <w:szCs w:val="14"/>
              </w:rPr>
            </w:pPr>
            <w:r w:rsidRPr="00DE12A3">
              <w:rPr>
                <w:sz w:val="14"/>
                <w:szCs w:val="14"/>
              </w:rPr>
              <w:t>2,017</w:t>
            </w:r>
          </w:p>
        </w:tc>
        <w:tc>
          <w:tcPr>
            <w:tcW w:w="464" w:type="dxa"/>
            <w:tcBorders>
              <w:top w:val="single" w:sz="2" w:space="0" w:color="auto"/>
              <w:left w:val="single" w:sz="2" w:space="0" w:color="auto"/>
              <w:bottom w:val="single" w:sz="2" w:space="0" w:color="auto"/>
              <w:right w:val="single" w:sz="2" w:space="0" w:color="auto"/>
            </w:tcBorders>
          </w:tcPr>
          <w:p w14:paraId="4BE51C96" w14:textId="77777777" w:rsidR="009F4766" w:rsidRPr="00DE12A3" w:rsidRDefault="009F4766" w:rsidP="00C917D6">
            <w:pPr>
              <w:pStyle w:val="NormalLeft"/>
              <w:rPr>
                <w:sz w:val="14"/>
                <w:szCs w:val="14"/>
              </w:rPr>
            </w:pPr>
            <w:r w:rsidRPr="00DE12A3">
              <w:rPr>
                <w:sz w:val="14"/>
                <w:szCs w:val="14"/>
              </w:rPr>
              <w:t>1,984</w:t>
            </w:r>
          </w:p>
        </w:tc>
        <w:tc>
          <w:tcPr>
            <w:tcW w:w="464" w:type="dxa"/>
            <w:tcBorders>
              <w:top w:val="single" w:sz="2" w:space="0" w:color="auto"/>
              <w:left w:val="single" w:sz="2" w:space="0" w:color="auto"/>
              <w:bottom w:val="single" w:sz="2" w:space="0" w:color="auto"/>
              <w:right w:val="single" w:sz="2" w:space="0" w:color="auto"/>
            </w:tcBorders>
          </w:tcPr>
          <w:p w14:paraId="2F868487" w14:textId="77777777" w:rsidR="009F4766" w:rsidRPr="00DE12A3" w:rsidRDefault="009F4766" w:rsidP="00C917D6">
            <w:pPr>
              <w:pStyle w:val="NormalLeft"/>
              <w:rPr>
                <w:sz w:val="14"/>
                <w:szCs w:val="14"/>
              </w:rPr>
            </w:pPr>
            <w:r w:rsidRPr="00DE12A3">
              <w:rPr>
                <w:sz w:val="14"/>
                <w:szCs w:val="14"/>
              </w:rPr>
              <w:t>1,956</w:t>
            </w:r>
          </w:p>
        </w:tc>
        <w:tc>
          <w:tcPr>
            <w:tcW w:w="465" w:type="dxa"/>
            <w:tcBorders>
              <w:top w:val="single" w:sz="2" w:space="0" w:color="auto"/>
              <w:left w:val="single" w:sz="2" w:space="0" w:color="auto"/>
              <w:bottom w:val="single" w:sz="2" w:space="0" w:color="auto"/>
              <w:right w:val="single" w:sz="2" w:space="0" w:color="auto"/>
            </w:tcBorders>
          </w:tcPr>
          <w:p w14:paraId="5697074F" w14:textId="77777777" w:rsidR="009F4766" w:rsidRPr="00DE12A3" w:rsidRDefault="009F4766" w:rsidP="00C917D6">
            <w:pPr>
              <w:pStyle w:val="NormalLeft"/>
              <w:rPr>
                <w:sz w:val="14"/>
                <w:szCs w:val="14"/>
              </w:rPr>
            </w:pPr>
            <w:r w:rsidRPr="00DE12A3">
              <w:rPr>
                <w:sz w:val="14"/>
                <w:szCs w:val="14"/>
              </w:rPr>
              <w:t>1,912</w:t>
            </w:r>
          </w:p>
        </w:tc>
        <w:tc>
          <w:tcPr>
            <w:tcW w:w="464" w:type="dxa"/>
            <w:tcBorders>
              <w:top w:val="single" w:sz="2" w:space="0" w:color="auto"/>
              <w:left w:val="single" w:sz="2" w:space="0" w:color="auto"/>
              <w:bottom w:val="single" w:sz="2" w:space="0" w:color="auto"/>
              <w:right w:val="single" w:sz="2" w:space="0" w:color="auto"/>
            </w:tcBorders>
          </w:tcPr>
          <w:p w14:paraId="7B003A7C" w14:textId="77777777" w:rsidR="009F4766" w:rsidRPr="00DE12A3" w:rsidRDefault="009F4766" w:rsidP="00C917D6">
            <w:pPr>
              <w:pStyle w:val="NormalLeft"/>
              <w:rPr>
                <w:sz w:val="14"/>
                <w:szCs w:val="14"/>
              </w:rPr>
            </w:pPr>
            <w:r w:rsidRPr="00DE12A3">
              <w:rPr>
                <w:sz w:val="14"/>
                <w:szCs w:val="14"/>
              </w:rPr>
              <w:t>1,865</w:t>
            </w:r>
          </w:p>
        </w:tc>
        <w:tc>
          <w:tcPr>
            <w:tcW w:w="464" w:type="dxa"/>
            <w:tcBorders>
              <w:top w:val="single" w:sz="2" w:space="0" w:color="auto"/>
              <w:left w:val="single" w:sz="2" w:space="0" w:color="auto"/>
              <w:bottom w:val="single" w:sz="2" w:space="0" w:color="auto"/>
              <w:right w:val="single" w:sz="2" w:space="0" w:color="auto"/>
            </w:tcBorders>
          </w:tcPr>
          <w:p w14:paraId="52D0B09D" w14:textId="77777777" w:rsidR="009F4766" w:rsidRPr="00DE12A3" w:rsidRDefault="009F4766" w:rsidP="00C917D6">
            <w:pPr>
              <w:pStyle w:val="NormalLeft"/>
              <w:rPr>
                <w:sz w:val="14"/>
                <w:szCs w:val="14"/>
              </w:rPr>
            </w:pPr>
            <w:r w:rsidRPr="00DE12A3">
              <w:rPr>
                <w:sz w:val="14"/>
                <w:szCs w:val="14"/>
              </w:rPr>
              <w:t>1,814</w:t>
            </w:r>
          </w:p>
        </w:tc>
        <w:tc>
          <w:tcPr>
            <w:tcW w:w="465" w:type="dxa"/>
            <w:tcBorders>
              <w:top w:val="single" w:sz="2" w:space="0" w:color="auto"/>
              <w:left w:val="single" w:sz="2" w:space="0" w:color="auto"/>
              <w:bottom w:val="single" w:sz="2" w:space="0" w:color="auto"/>
              <w:right w:val="single" w:sz="2" w:space="0" w:color="auto"/>
            </w:tcBorders>
          </w:tcPr>
          <w:p w14:paraId="2B1463C2" w14:textId="77777777" w:rsidR="009F4766" w:rsidRPr="00DE12A3" w:rsidRDefault="009F4766" w:rsidP="00C917D6">
            <w:pPr>
              <w:pStyle w:val="NormalLeft"/>
              <w:rPr>
                <w:sz w:val="14"/>
                <w:szCs w:val="14"/>
              </w:rPr>
            </w:pPr>
            <w:r w:rsidRPr="00DE12A3">
              <w:rPr>
                <w:sz w:val="14"/>
                <w:szCs w:val="14"/>
              </w:rPr>
              <w:t>1,787</w:t>
            </w:r>
          </w:p>
        </w:tc>
        <w:tc>
          <w:tcPr>
            <w:tcW w:w="464" w:type="dxa"/>
            <w:tcBorders>
              <w:top w:val="single" w:sz="2" w:space="0" w:color="auto"/>
              <w:left w:val="single" w:sz="2" w:space="0" w:color="auto"/>
              <w:bottom w:val="single" w:sz="2" w:space="0" w:color="auto"/>
              <w:right w:val="single" w:sz="2" w:space="0" w:color="auto"/>
            </w:tcBorders>
          </w:tcPr>
          <w:p w14:paraId="4843D275" w14:textId="77777777" w:rsidR="009F4766" w:rsidRPr="00DE12A3" w:rsidRDefault="009F4766" w:rsidP="00C917D6">
            <w:pPr>
              <w:pStyle w:val="NormalLeft"/>
              <w:rPr>
                <w:sz w:val="14"/>
                <w:szCs w:val="14"/>
              </w:rPr>
            </w:pPr>
            <w:r w:rsidRPr="00DE12A3">
              <w:rPr>
                <w:sz w:val="14"/>
                <w:szCs w:val="14"/>
              </w:rPr>
              <w:t>1,759</w:t>
            </w:r>
          </w:p>
        </w:tc>
        <w:tc>
          <w:tcPr>
            <w:tcW w:w="464" w:type="dxa"/>
            <w:tcBorders>
              <w:top w:val="single" w:sz="2" w:space="0" w:color="auto"/>
              <w:left w:val="single" w:sz="2" w:space="0" w:color="auto"/>
              <w:bottom w:val="single" w:sz="2" w:space="0" w:color="auto"/>
              <w:right w:val="single" w:sz="2" w:space="0" w:color="auto"/>
            </w:tcBorders>
          </w:tcPr>
          <w:p w14:paraId="6CEDA932" w14:textId="77777777" w:rsidR="009F4766" w:rsidRPr="00DE12A3" w:rsidRDefault="009F4766" w:rsidP="00C917D6">
            <w:pPr>
              <w:pStyle w:val="NormalLeft"/>
              <w:rPr>
                <w:sz w:val="14"/>
                <w:szCs w:val="14"/>
              </w:rPr>
            </w:pPr>
            <w:r w:rsidRPr="00DE12A3">
              <w:rPr>
                <w:sz w:val="14"/>
                <w:szCs w:val="14"/>
              </w:rPr>
              <w:t>1,730</w:t>
            </w:r>
          </w:p>
        </w:tc>
        <w:tc>
          <w:tcPr>
            <w:tcW w:w="464" w:type="dxa"/>
            <w:tcBorders>
              <w:top w:val="single" w:sz="2" w:space="0" w:color="auto"/>
              <w:left w:val="single" w:sz="2" w:space="0" w:color="auto"/>
              <w:bottom w:val="single" w:sz="2" w:space="0" w:color="auto"/>
              <w:right w:val="single" w:sz="2" w:space="0" w:color="auto"/>
            </w:tcBorders>
          </w:tcPr>
          <w:p w14:paraId="7480C312" w14:textId="77777777" w:rsidR="009F4766" w:rsidRPr="00DE12A3" w:rsidRDefault="009F4766" w:rsidP="00C917D6">
            <w:pPr>
              <w:pStyle w:val="NormalLeft"/>
              <w:rPr>
                <w:sz w:val="14"/>
                <w:szCs w:val="14"/>
              </w:rPr>
            </w:pPr>
            <w:r w:rsidRPr="00DE12A3">
              <w:rPr>
                <w:sz w:val="14"/>
                <w:szCs w:val="14"/>
              </w:rPr>
              <w:t>1,699</w:t>
            </w:r>
          </w:p>
        </w:tc>
        <w:tc>
          <w:tcPr>
            <w:tcW w:w="465" w:type="dxa"/>
            <w:tcBorders>
              <w:top w:val="single" w:sz="2" w:space="0" w:color="auto"/>
              <w:left w:val="single" w:sz="2" w:space="0" w:color="auto"/>
              <w:bottom w:val="single" w:sz="2" w:space="0" w:color="auto"/>
              <w:right w:val="single" w:sz="2" w:space="0" w:color="auto"/>
            </w:tcBorders>
          </w:tcPr>
          <w:p w14:paraId="0AC87690" w14:textId="77777777" w:rsidR="009F4766" w:rsidRPr="00DE12A3" w:rsidRDefault="009F4766" w:rsidP="00C917D6">
            <w:pPr>
              <w:pStyle w:val="NormalLeft"/>
              <w:rPr>
                <w:sz w:val="14"/>
                <w:szCs w:val="14"/>
              </w:rPr>
            </w:pPr>
            <w:r w:rsidRPr="00DE12A3">
              <w:rPr>
                <w:sz w:val="14"/>
                <w:szCs w:val="14"/>
              </w:rPr>
              <w:t>1,666</w:t>
            </w:r>
          </w:p>
        </w:tc>
        <w:tc>
          <w:tcPr>
            <w:tcW w:w="464" w:type="dxa"/>
            <w:tcBorders>
              <w:top w:val="single" w:sz="2" w:space="0" w:color="auto"/>
              <w:left w:val="single" w:sz="2" w:space="0" w:color="auto"/>
              <w:bottom w:val="single" w:sz="2" w:space="0" w:color="auto"/>
              <w:right w:val="single" w:sz="2" w:space="0" w:color="auto"/>
            </w:tcBorders>
          </w:tcPr>
          <w:p w14:paraId="477930E1" w14:textId="77777777" w:rsidR="009F4766" w:rsidRPr="00DE12A3" w:rsidRDefault="009F4766" w:rsidP="00C917D6">
            <w:pPr>
              <w:pStyle w:val="NormalLeft"/>
              <w:rPr>
                <w:sz w:val="14"/>
                <w:szCs w:val="14"/>
              </w:rPr>
            </w:pPr>
            <w:r w:rsidRPr="00DE12A3">
              <w:rPr>
                <w:sz w:val="14"/>
                <w:szCs w:val="14"/>
              </w:rPr>
              <w:t>1,631</w:t>
            </w:r>
          </w:p>
        </w:tc>
      </w:tr>
      <w:tr w:rsidR="00DE12A3" w:rsidRPr="00DE12A3" w14:paraId="6785DAB1" w14:textId="77777777" w:rsidTr="009F4766">
        <w:tc>
          <w:tcPr>
            <w:tcW w:w="464" w:type="dxa"/>
            <w:tcBorders>
              <w:top w:val="single" w:sz="2" w:space="0" w:color="auto"/>
              <w:left w:val="single" w:sz="2" w:space="0" w:color="auto"/>
              <w:bottom w:val="single" w:sz="2" w:space="0" w:color="auto"/>
              <w:right w:val="single" w:sz="2" w:space="0" w:color="auto"/>
            </w:tcBorders>
          </w:tcPr>
          <w:p w14:paraId="4944924B" w14:textId="77777777" w:rsidR="009F4766" w:rsidRPr="00DE12A3" w:rsidRDefault="009F4766" w:rsidP="00C917D6">
            <w:pPr>
              <w:pStyle w:val="NormalLeft"/>
              <w:rPr>
                <w:sz w:val="14"/>
                <w:szCs w:val="14"/>
              </w:rPr>
            </w:pPr>
            <w:r w:rsidRPr="00DE12A3">
              <w:rPr>
                <w:sz w:val="14"/>
                <w:szCs w:val="14"/>
              </w:rPr>
              <w:t>20</w:t>
            </w:r>
          </w:p>
        </w:tc>
        <w:tc>
          <w:tcPr>
            <w:tcW w:w="465" w:type="dxa"/>
            <w:tcBorders>
              <w:top w:val="single" w:sz="2" w:space="0" w:color="auto"/>
              <w:left w:val="single" w:sz="2" w:space="0" w:color="auto"/>
              <w:bottom w:val="single" w:sz="2" w:space="0" w:color="auto"/>
              <w:right w:val="single" w:sz="2" w:space="0" w:color="auto"/>
            </w:tcBorders>
          </w:tcPr>
          <w:p w14:paraId="66AD268E" w14:textId="77777777" w:rsidR="009F4766" w:rsidRPr="00DE12A3" w:rsidRDefault="009F4766" w:rsidP="00C917D6">
            <w:pPr>
              <w:pStyle w:val="NormalLeft"/>
              <w:rPr>
                <w:sz w:val="14"/>
                <w:szCs w:val="14"/>
              </w:rPr>
            </w:pPr>
            <w:r w:rsidRPr="00DE12A3">
              <w:rPr>
                <w:sz w:val="14"/>
                <w:szCs w:val="14"/>
              </w:rPr>
              <w:t>2,975</w:t>
            </w:r>
          </w:p>
        </w:tc>
        <w:tc>
          <w:tcPr>
            <w:tcW w:w="464" w:type="dxa"/>
            <w:tcBorders>
              <w:top w:val="single" w:sz="2" w:space="0" w:color="auto"/>
              <w:left w:val="single" w:sz="2" w:space="0" w:color="auto"/>
              <w:bottom w:val="single" w:sz="2" w:space="0" w:color="auto"/>
              <w:right w:val="single" w:sz="2" w:space="0" w:color="auto"/>
            </w:tcBorders>
          </w:tcPr>
          <w:p w14:paraId="1BACF13A" w14:textId="77777777" w:rsidR="009F4766" w:rsidRPr="00DE12A3" w:rsidRDefault="009F4766" w:rsidP="00C917D6">
            <w:pPr>
              <w:pStyle w:val="NormalLeft"/>
              <w:rPr>
                <w:sz w:val="14"/>
                <w:szCs w:val="14"/>
              </w:rPr>
            </w:pPr>
            <w:r w:rsidRPr="00DE12A3">
              <w:rPr>
                <w:sz w:val="14"/>
                <w:szCs w:val="14"/>
              </w:rPr>
              <w:t>2,589</w:t>
            </w:r>
          </w:p>
        </w:tc>
        <w:tc>
          <w:tcPr>
            <w:tcW w:w="464" w:type="dxa"/>
            <w:tcBorders>
              <w:top w:val="single" w:sz="2" w:space="0" w:color="auto"/>
              <w:left w:val="single" w:sz="2" w:space="0" w:color="auto"/>
              <w:bottom w:val="single" w:sz="2" w:space="0" w:color="auto"/>
              <w:right w:val="single" w:sz="2" w:space="0" w:color="auto"/>
            </w:tcBorders>
          </w:tcPr>
          <w:p w14:paraId="54AEF72A" w14:textId="77777777" w:rsidR="009F4766" w:rsidRPr="00DE12A3" w:rsidRDefault="009F4766" w:rsidP="00C917D6">
            <w:pPr>
              <w:pStyle w:val="NormalLeft"/>
              <w:rPr>
                <w:sz w:val="14"/>
                <w:szCs w:val="14"/>
              </w:rPr>
            </w:pPr>
            <w:r w:rsidRPr="00DE12A3">
              <w:rPr>
                <w:sz w:val="14"/>
                <w:szCs w:val="14"/>
              </w:rPr>
              <w:t>2,380</w:t>
            </w:r>
          </w:p>
        </w:tc>
        <w:tc>
          <w:tcPr>
            <w:tcW w:w="465" w:type="dxa"/>
            <w:tcBorders>
              <w:top w:val="single" w:sz="2" w:space="0" w:color="auto"/>
              <w:left w:val="single" w:sz="2" w:space="0" w:color="auto"/>
              <w:bottom w:val="single" w:sz="2" w:space="0" w:color="auto"/>
              <w:right w:val="single" w:sz="2" w:space="0" w:color="auto"/>
            </w:tcBorders>
          </w:tcPr>
          <w:p w14:paraId="574CEFD5" w14:textId="77777777" w:rsidR="009F4766" w:rsidRPr="00DE12A3" w:rsidRDefault="009F4766" w:rsidP="00C917D6">
            <w:pPr>
              <w:pStyle w:val="NormalLeft"/>
              <w:rPr>
                <w:sz w:val="14"/>
                <w:szCs w:val="14"/>
              </w:rPr>
            </w:pPr>
            <w:r w:rsidRPr="00DE12A3">
              <w:rPr>
                <w:sz w:val="14"/>
                <w:szCs w:val="14"/>
              </w:rPr>
              <w:t>2,249</w:t>
            </w:r>
          </w:p>
        </w:tc>
        <w:tc>
          <w:tcPr>
            <w:tcW w:w="464" w:type="dxa"/>
            <w:tcBorders>
              <w:top w:val="single" w:sz="2" w:space="0" w:color="auto"/>
              <w:left w:val="single" w:sz="2" w:space="0" w:color="auto"/>
              <w:bottom w:val="single" w:sz="2" w:space="0" w:color="auto"/>
              <w:right w:val="single" w:sz="2" w:space="0" w:color="auto"/>
            </w:tcBorders>
          </w:tcPr>
          <w:p w14:paraId="3D999599" w14:textId="77777777" w:rsidR="009F4766" w:rsidRPr="00DE12A3" w:rsidRDefault="009F4766" w:rsidP="00C917D6">
            <w:pPr>
              <w:pStyle w:val="NormalLeft"/>
              <w:rPr>
                <w:sz w:val="14"/>
                <w:szCs w:val="14"/>
              </w:rPr>
            </w:pPr>
            <w:r w:rsidRPr="00DE12A3">
              <w:rPr>
                <w:sz w:val="14"/>
                <w:szCs w:val="14"/>
              </w:rPr>
              <w:t>2,158</w:t>
            </w:r>
          </w:p>
        </w:tc>
        <w:tc>
          <w:tcPr>
            <w:tcW w:w="464" w:type="dxa"/>
            <w:tcBorders>
              <w:top w:val="single" w:sz="2" w:space="0" w:color="auto"/>
              <w:left w:val="single" w:sz="2" w:space="0" w:color="auto"/>
              <w:bottom w:val="single" w:sz="2" w:space="0" w:color="auto"/>
              <w:right w:val="single" w:sz="2" w:space="0" w:color="auto"/>
            </w:tcBorders>
          </w:tcPr>
          <w:p w14:paraId="480CD28B" w14:textId="77777777" w:rsidR="009F4766" w:rsidRPr="00DE12A3" w:rsidRDefault="009F4766" w:rsidP="00C917D6">
            <w:pPr>
              <w:pStyle w:val="NormalLeft"/>
              <w:rPr>
                <w:sz w:val="14"/>
                <w:szCs w:val="14"/>
              </w:rPr>
            </w:pPr>
            <w:r w:rsidRPr="00DE12A3">
              <w:rPr>
                <w:sz w:val="14"/>
                <w:szCs w:val="14"/>
              </w:rPr>
              <w:t>2,091</w:t>
            </w:r>
          </w:p>
        </w:tc>
        <w:tc>
          <w:tcPr>
            <w:tcW w:w="464" w:type="dxa"/>
            <w:tcBorders>
              <w:top w:val="single" w:sz="2" w:space="0" w:color="auto"/>
              <w:left w:val="single" w:sz="2" w:space="0" w:color="auto"/>
              <w:bottom w:val="single" w:sz="2" w:space="0" w:color="auto"/>
              <w:right w:val="single" w:sz="2" w:space="0" w:color="auto"/>
            </w:tcBorders>
          </w:tcPr>
          <w:p w14:paraId="2EF5EEAC" w14:textId="77777777" w:rsidR="009F4766" w:rsidRPr="00DE12A3" w:rsidRDefault="009F4766" w:rsidP="00C917D6">
            <w:pPr>
              <w:pStyle w:val="NormalLeft"/>
              <w:rPr>
                <w:sz w:val="14"/>
                <w:szCs w:val="14"/>
              </w:rPr>
            </w:pPr>
            <w:r w:rsidRPr="00DE12A3">
              <w:rPr>
                <w:sz w:val="14"/>
                <w:szCs w:val="14"/>
              </w:rPr>
              <w:t>2,040</w:t>
            </w:r>
          </w:p>
        </w:tc>
        <w:tc>
          <w:tcPr>
            <w:tcW w:w="465" w:type="dxa"/>
            <w:tcBorders>
              <w:top w:val="single" w:sz="2" w:space="0" w:color="auto"/>
              <w:left w:val="single" w:sz="2" w:space="0" w:color="auto"/>
              <w:bottom w:val="single" w:sz="2" w:space="0" w:color="auto"/>
              <w:right w:val="single" w:sz="2" w:space="0" w:color="auto"/>
            </w:tcBorders>
          </w:tcPr>
          <w:p w14:paraId="2BD1FD99" w14:textId="77777777" w:rsidR="009F4766" w:rsidRPr="00DE12A3" w:rsidRDefault="009F4766" w:rsidP="00C917D6">
            <w:pPr>
              <w:pStyle w:val="NormalLeft"/>
              <w:rPr>
                <w:sz w:val="14"/>
                <w:szCs w:val="14"/>
              </w:rPr>
            </w:pPr>
            <w:r w:rsidRPr="00DE12A3">
              <w:rPr>
                <w:sz w:val="14"/>
                <w:szCs w:val="14"/>
              </w:rPr>
              <w:t>1,999</w:t>
            </w:r>
          </w:p>
        </w:tc>
        <w:tc>
          <w:tcPr>
            <w:tcW w:w="464" w:type="dxa"/>
            <w:tcBorders>
              <w:top w:val="single" w:sz="2" w:space="0" w:color="auto"/>
              <w:left w:val="single" w:sz="2" w:space="0" w:color="auto"/>
              <w:bottom w:val="single" w:sz="2" w:space="0" w:color="auto"/>
              <w:right w:val="single" w:sz="2" w:space="0" w:color="auto"/>
            </w:tcBorders>
          </w:tcPr>
          <w:p w14:paraId="31FAAA81" w14:textId="77777777" w:rsidR="009F4766" w:rsidRPr="00DE12A3" w:rsidRDefault="009F4766" w:rsidP="00C917D6">
            <w:pPr>
              <w:pStyle w:val="NormalLeft"/>
              <w:rPr>
                <w:sz w:val="14"/>
                <w:szCs w:val="14"/>
              </w:rPr>
            </w:pPr>
            <w:r w:rsidRPr="00DE12A3">
              <w:rPr>
                <w:sz w:val="14"/>
                <w:szCs w:val="14"/>
              </w:rPr>
              <w:t>1,965</w:t>
            </w:r>
          </w:p>
        </w:tc>
        <w:tc>
          <w:tcPr>
            <w:tcW w:w="464" w:type="dxa"/>
            <w:tcBorders>
              <w:top w:val="single" w:sz="2" w:space="0" w:color="auto"/>
              <w:left w:val="single" w:sz="2" w:space="0" w:color="auto"/>
              <w:bottom w:val="single" w:sz="2" w:space="0" w:color="auto"/>
              <w:right w:val="single" w:sz="2" w:space="0" w:color="auto"/>
            </w:tcBorders>
          </w:tcPr>
          <w:p w14:paraId="786BDB1F" w14:textId="77777777" w:rsidR="009F4766" w:rsidRPr="00DE12A3" w:rsidRDefault="009F4766" w:rsidP="00C917D6">
            <w:pPr>
              <w:pStyle w:val="NormalLeft"/>
              <w:rPr>
                <w:sz w:val="14"/>
                <w:szCs w:val="14"/>
              </w:rPr>
            </w:pPr>
            <w:r w:rsidRPr="00DE12A3">
              <w:rPr>
                <w:sz w:val="14"/>
                <w:szCs w:val="14"/>
              </w:rPr>
              <w:t>1,937</w:t>
            </w:r>
          </w:p>
        </w:tc>
        <w:tc>
          <w:tcPr>
            <w:tcW w:w="465" w:type="dxa"/>
            <w:tcBorders>
              <w:top w:val="single" w:sz="2" w:space="0" w:color="auto"/>
              <w:left w:val="single" w:sz="2" w:space="0" w:color="auto"/>
              <w:bottom w:val="single" w:sz="2" w:space="0" w:color="auto"/>
              <w:right w:val="single" w:sz="2" w:space="0" w:color="auto"/>
            </w:tcBorders>
          </w:tcPr>
          <w:p w14:paraId="5CC2204F" w14:textId="77777777" w:rsidR="009F4766" w:rsidRPr="00DE12A3" w:rsidRDefault="009F4766" w:rsidP="00C917D6">
            <w:pPr>
              <w:pStyle w:val="NormalLeft"/>
              <w:rPr>
                <w:sz w:val="14"/>
                <w:szCs w:val="14"/>
              </w:rPr>
            </w:pPr>
            <w:r w:rsidRPr="00DE12A3">
              <w:rPr>
                <w:sz w:val="14"/>
                <w:szCs w:val="14"/>
              </w:rPr>
              <w:t>1,892</w:t>
            </w:r>
          </w:p>
        </w:tc>
        <w:tc>
          <w:tcPr>
            <w:tcW w:w="464" w:type="dxa"/>
            <w:tcBorders>
              <w:top w:val="single" w:sz="2" w:space="0" w:color="auto"/>
              <w:left w:val="single" w:sz="2" w:space="0" w:color="auto"/>
              <w:bottom w:val="single" w:sz="2" w:space="0" w:color="auto"/>
              <w:right w:val="single" w:sz="2" w:space="0" w:color="auto"/>
            </w:tcBorders>
          </w:tcPr>
          <w:p w14:paraId="1E5E4DD8" w14:textId="77777777" w:rsidR="009F4766" w:rsidRPr="00DE12A3" w:rsidRDefault="009F4766" w:rsidP="00C917D6">
            <w:pPr>
              <w:pStyle w:val="NormalLeft"/>
              <w:rPr>
                <w:sz w:val="14"/>
                <w:szCs w:val="14"/>
              </w:rPr>
            </w:pPr>
            <w:r w:rsidRPr="00DE12A3">
              <w:rPr>
                <w:sz w:val="14"/>
                <w:szCs w:val="14"/>
              </w:rPr>
              <w:t>1,845</w:t>
            </w:r>
          </w:p>
        </w:tc>
        <w:tc>
          <w:tcPr>
            <w:tcW w:w="464" w:type="dxa"/>
            <w:tcBorders>
              <w:top w:val="single" w:sz="2" w:space="0" w:color="auto"/>
              <w:left w:val="single" w:sz="2" w:space="0" w:color="auto"/>
              <w:bottom w:val="single" w:sz="2" w:space="0" w:color="auto"/>
              <w:right w:val="single" w:sz="2" w:space="0" w:color="auto"/>
            </w:tcBorders>
          </w:tcPr>
          <w:p w14:paraId="22DD1476" w14:textId="77777777" w:rsidR="009F4766" w:rsidRPr="00DE12A3" w:rsidRDefault="009F4766" w:rsidP="00C917D6">
            <w:pPr>
              <w:pStyle w:val="NormalLeft"/>
              <w:rPr>
                <w:sz w:val="14"/>
                <w:szCs w:val="14"/>
              </w:rPr>
            </w:pPr>
            <w:r w:rsidRPr="00DE12A3">
              <w:rPr>
                <w:sz w:val="14"/>
                <w:szCs w:val="14"/>
              </w:rPr>
              <w:t>1,794</w:t>
            </w:r>
          </w:p>
        </w:tc>
        <w:tc>
          <w:tcPr>
            <w:tcW w:w="465" w:type="dxa"/>
            <w:tcBorders>
              <w:top w:val="single" w:sz="2" w:space="0" w:color="auto"/>
              <w:left w:val="single" w:sz="2" w:space="0" w:color="auto"/>
              <w:bottom w:val="single" w:sz="2" w:space="0" w:color="auto"/>
              <w:right w:val="single" w:sz="2" w:space="0" w:color="auto"/>
            </w:tcBorders>
          </w:tcPr>
          <w:p w14:paraId="1666C72A" w14:textId="77777777" w:rsidR="009F4766" w:rsidRPr="00DE12A3" w:rsidRDefault="009F4766" w:rsidP="00C917D6">
            <w:pPr>
              <w:pStyle w:val="NormalLeft"/>
              <w:rPr>
                <w:sz w:val="14"/>
                <w:szCs w:val="14"/>
              </w:rPr>
            </w:pPr>
            <w:r w:rsidRPr="00DE12A3">
              <w:rPr>
                <w:sz w:val="14"/>
                <w:szCs w:val="14"/>
              </w:rPr>
              <w:t>1,767</w:t>
            </w:r>
          </w:p>
        </w:tc>
        <w:tc>
          <w:tcPr>
            <w:tcW w:w="464" w:type="dxa"/>
            <w:tcBorders>
              <w:top w:val="single" w:sz="2" w:space="0" w:color="auto"/>
              <w:left w:val="single" w:sz="2" w:space="0" w:color="auto"/>
              <w:bottom w:val="single" w:sz="2" w:space="0" w:color="auto"/>
              <w:right w:val="single" w:sz="2" w:space="0" w:color="auto"/>
            </w:tcBorders>
          </w:tcPr>
          <w:p w14:paraId="7FF356FE" w14:textId="77777777" w:rsidR="009F4766" w:rsidRPr="00DE12A3" w:rsidRDefault="009F4766" w:rsidP="00C917D6">
            <w:pPr>
              <w:pStyle w:val="NormalLeft"/>
              <w:rPr>
                <w:sz w:val="14"/>
                <w:szCs w:val="14"/>
              </w:rPr>
            </w:pPr>
            <w:r w:rsidRPr="00DE12A3">
              <w:rPr>
                <w:sz w:val="14"/>
                <w:szCs w:val="14"/>
              </w:rPr>
              <w:t>1,738</w:t>
            </w:r>
          </w:p>
        </w:tc>
        <w:tc>
          <w:tcPr>
            <w:tcW w:w="464" w:type="dxa"/>
            <w:tcBorders>
              <w:top w:val="single" w:sz="2" w:space="0" w:color="auto"/>
              <w:left w:val="single" w:sz="2" w:space="0" w:color="auto"/>
              <w:bottom w:val="single" w:sz="2" w:space="0" w:color="auto"/>
              <w:right w:val="single" w:sz="2" w:space="0" w:color="auto"/>
            </w:tcBorders>
          </w:tcPr>
          <w:p w14:paraId="355D4C14" w14:textId="77777777" w:rsidR="009F4766" w:rsidRPr="00DE12A3" w:rsidRDefault="009F4766" w:rsidP="00C917D6">
            <w:pPr>
              <w:pStyle w:val="NormalLeft"/>
              <w:rPr>
                <w:sz w:val="14"/>
                <w:szCs w:val="14"/>
              </w:rPr>
            </w:pPr>
            <w:r w:rsidRPr="00DE12A3">
              <w:rPr>
                <w:sz w:val="14"/>
                <w:szCs w:val="14"/>
              </w:rPr>
              <w:t>1,708</w:t>
            </w:r>
          </w:p>
        </w:tc>
        <w:tc>
          <w:tcPr>
            <w:tcW w:w="464" w:type="dxa"/>
            <w:tcBorders>
              <w:top w:val="single" w:sz="2" w:space="0" w:color="auto"/>
              <w:left w:val="single" w:sz="2" w:space="0" w:color="auto"/>
              <w:bottom w:val="single" w:sz="2" w:space="0" w:color="auto"/>
              <w:right w:val="single" w:sz="2" w:space="0" w:color="auto"/>
            </w:tcBorders>
          </w:tcPr>
          <w:p w14:paraId="573C7434" w14:textId="77777777" w:rsidR="009F4766" w:rsidRPr="00DE12A3" w:rsidRDefault="009F4766" w:rsidP="00C917D6">
            <w:pPr>
              <w:pStyle w:val="NormalLeft"/>
              <w:rPr>
                <w:sz w:val="14"/>
                <w:szCs w:val="14"/>
              </w:rPr>
            </w:pPr>
            <w:r w:rsidRPr="00DE12A3">
              <w:rPr>
                <w:sz w:val="14"/>
                <w:szCs w:val="14"/>
              </w:rPr>
              <w:t>1,677</w:t>
            </w:r>
          </w:p>
        </w:tc>
        <w:tc>
          <w:tcPr>
            <w:tcW w:w="465" w:type="dxa"/>
            <w:tcBorders>
              <w:top w:val="single" w:sz="2" w:space="0" w:color="auto"/>
              <w:left w:val="single" w:sz="2" w:space="0" w:color="auto"/>
              <w:bottom w:val="single" w:sz="2" w:space="0" w:color="auto"/>
              <w:right w:val="single" w:sz="2" w:space="0" w:color="auto"/>
            </w:tcBorders>
          </w:tcPr>
          <w:p w14:paraId="4542E008" w14:textId="77777777" w:rsidR="009F4766" w:rsidRPr="00DE12A3" w:rsidRDefault="009F4766" w:rsidP="00C917D6">
            <w:pPr>
              <w:pStyle w:val="NormalLeft"/>
              <w:rPr>
                <w:sz w:val="14"/>
                <w:szCs w:val="14"/>
              </w:rPr>
            </w:pPr>
            <w:r w:rsidRPr="00DE12A3">
              <w:rPr>
                <w:sz w:val="14"/>
                <w:szCs w:val="14"/>
              </w:rPr>
              <w:t>1,643</w:t>
            </w:r>
          </w:p>
        </w:tc>
        <w:tc>
          <w:tcPr>
            <w:tcW w:w="464" w:type="dxa"/>
            <w:tcBorders>
              <w:top w:val="single" w:sz="2" w:space="0" w:color="auto"/>
              <w:left w:val="single" w:sz="2" w:space="0" w:color="auto"/>
              <w:bottom w:val="single" w:sz="2" w:space="0" w:color="auto"/>
              <w:right w:val="single" w:sz="2" w:space="0" w:color="auto"/>
            </w:tcBorders>
          </w:tcPr>
          <w:p w14:paraId="31997763" w14:textId="77777777" w:rsidR="009F4766" w:rsidRPr="00DE12A3" w:rsidRDefault="009F4766" w:rsidP="00C917D6">
            <w:pPr>
              <w:pStyle w:val="NormalLeft"/>
              <w:rPr>
                <w:sz w:val="14"/>
                <w:szCs w:val="14"/>
              </w:rPr>
            </w:pPr>
            <w:r w:rsidRPr="00DE12A3">
              <w:rPr>
                <w:sz w:val="14"/>
                <w:szCs w:val="14"/>
              </w:rPr>
              <w:t>1,607</w:t>
            </w:r>
          </w:p>
        </w:tc>
      </w:tr>
      <w:tr w:rsidR="00DE12A3" w:rsidRPr="00DE12A3" w14:paraId="23FF38AB" w14:textId="77777777" w:rsidTr="009F4766">
        <w:tc>
          <w:tcPr>
            <w:tcW w:w="464" w:type="dxa"/>
            <w:tcBorders>
              <w:top w:val="single" w:sz="2" w:space="0" w:color="auto"/>
              <w:left w:val="single" w:sz="2" w:space="0" w:color="auto"/>
              <w:bottom w:val="single" w:sz="2" w:space="0" w:color="auto"/>
              <w:right w:val="single" w:sz="2" w:space="0" w:color="auto"/>
            </w:tcBorders>
          </w:tcPr>
          <w:p w14:paraId="1523AE51" w14:textId="77777777" w:rsidR="009F4766" w:rsidRPr="00DE12A3" w:rsidRDefault="009F4766" w:rsidP="00C917D6">
            <w:pPr>
              <w:pStyle w:val="NormalLeft"/>
              <w:rPr>
                <w:sz w:val="14"/>
                <w:szCs w:val="14"/>
              </w:rPr>
            </w:pPr>
            <w:r w:rsidRPr="00DE12A3">
              <w:rPr>
                <w:sz w:val="14"/>
                <w:szCs w:val="14"/>
              </w:rPr>
              <w:t>21</w:t>
            </w:r>
          </w:p>
        </w:tc>
        <w:tc>
          <w:tcPr>
            <w:tcW w:w="465" w:type="dxa"/>
            <w:tcBorders>
              <w:top w:val="single" w:sz="2" w:space="0" w:color="auto"/>
              <w:left w:val="single" w:sz="2" w:space="0" w:color="auto"/>
              <w:bottom w:val="single" w:sz="2" w:space="0" w:color="auto"/>
              <w:right w:val="single" w:sz="2" w:space="0" w:color="auto"/>
            </w:tcBorders>
          </w:tcPr>
          <w:p w14:paraId="14E31020" w14:textId="77777777" w:rsidR="009F4766" w:rsidRPr="00DE12A3" w:rsidRDefault="009F4766" w:rsidP="00C917D6">
            <w:pPr>
              <w:pStyle w:val="NormalLeft"/>
              <w:rPr>
                <w:sz w:val="14"/>
                <w:szCs w:val="14"/>
              </w:rPr>
            </w:pPr>
            <w:r w:rsidRPr="00DE12A3">
              <w:rPr>
                <w:sz w:val="14"/>
                <w:szCs w:val="14"/>
              </w:rPr>
              <w:t>2,961</w:t>
            </w:r>
          </w:p>
        </w:tc>
        <w:tc>
          <w:tcPr>
            <w:tcW w:w="464" w:type="dxa"/>
            <w:tcBorders>
              <w:top w:val="single" w:sz="2" w:space="0" w:color="auto"/>
              <w:left w:val="single" w:sz="2" w:space="0" w:color="auto"/>
              <w:bottom w:val="single" w:sz="2" w:space="0" w:color="auto"/>
              <w:right w:val="single" w:sz="2" w:space="0" w:color="auto"/>
            </w:tcBorders>
          </w:tcPr>
          <w:p w14:paraId="65EE6607" w14:textId="77777777" w:rsidR="009F4766" w:rsidRPr="00DE12A3" w:rsidRDefault="009F4766" w:rsidP="00C917D6">
            <w:pPr>
              <w:pStyle w:val="NormalLeft"/>
              <w:rPr>
                <w:sz w:val="14"/>
                <w:szCs w:val="14"/>
              </w:rPr>
            </w:pPr>
            <w:r w:rsidRPr="00DE12A3">
              <w:rPr>
                <w:sz w:val="14"/>
                <w:szCs w:val="14"/>
              </w:rPr>
              <w:t>2,575</w:t>
            </w:r>
          </w:p>
        </w:tc>
        <w:tc>
          <w:tcPr>
            <w:tcW w:w="464" w:type="dxa"/>
            <w:tcBorders>
              <w:top w:val="single" w:sz="2" w:space="0" w:color="auto"/>
              <w:left w:val="single" w:sz="2" w:space="0" w:color="auto"/>
              <w:bottom w:val="single" w:sz="2" w:space="0" w:color="auto"/>
              <w:right w:val="single" w:sz="2" w:space="0" w:color="auto"/>
            </w:tcBorders>
          </w:tcPr>
          <w:p w14:paraId="05CD028C" w14:textId="77777777" w:rsidR="009F4766" w:rsidRPr="00DE12A3" w:rsidRDefault="009F4766" w:rsidP="00C917D6">
            <w:pPr>
              <w:pStyle w:val="NormalLeft"/>
              <w:rPr>
                <w:sz w:val="14"/>
                <w:szCs w:val="14"/>
              </w:rPr>
            </w:pPr>
            <w:r w:rsidRPr="00DE12A3">
              <w:rPr>
                <w:sz w:val="14"/>
                <w:szCs w:val="14"/>
              </w:rPr>
              <w:t>2,365</w:t>
            </w:r>
          </w:p>
        </w:tc>
        <w:tc>
          <w:tcPr>
            <w:tcW w:w="465" w:type="dxa"/>
            <w:tcBorders>
              <w:top w:val="single" w:sz="2" w:space="0" w:color="auto"/>
              <w:left w:val="single" w:sz="2" w:space="0" w:color="auto"/>
              <w:bottom w:val="single" w:sz="2" w:space="0" w:color="auto"/>
              <w:right w:val="single" w:sz="2" w:space="0" w:color="auto"/>
            </w:tcBorders>
          </w:tcPr>
          <w:p w14:paraId="24E76CD5" w14:textId="77777777" w:rsidR="009F4766" w:rsidRPr="00DE12A3" w:rsidRDefault="009F4766" w:rsidP="00C917D6">
            <w:pPr>
              <w:pStyle w:val="NormalLeft"/>
              <w:rPr>
                <w:sz w:val="14"/>
                <w:szCs w:val="14"/>
              </w:rPr>
            </w:pPr>
            <w:r w:rsidRPr="00DE12A3">
              <w:rPr>
                <w:sz w:val="14"/>
                <w:szCs w:val="14"/>
              </w:rPr>
              <w:t>2,233</w:t>
            </w:r>
          </w:p>
        </w:tc>
        <w:tc>
          <w:tcPr>
            <w:tcW w:w="464" w:type="dxa"/>
            <w:tcBorders>
              <w:top w:val="single" w:sz="2" w:space="0" w:color="auto"/>
              <w:left w:val="single" w:sz="2" w:space="0" w:color="auto"/>
              <w:bottom w:val="single" w:sz="2" w:space="0" w:color="auto"/>
              <w:right w:val="single" w:sz="2" w:space="0" w:color="auto"/>
            </w:tcBorders>
          </w:tcPr>
          <w:p w14:paraId="5D46F527" w14:textId="77777777" w:rsidR="009F4766" w:rsidRPr="00DE12A3" w:rsidRDefault="009F4766" w:rsidP="00C917D6">
            <w:pPr>
              <w:pStyle w:val="NormalLeft"/>
              <w:rPr>
                <w:sz w:val="14"/>
                <w:szCs w:val="14"/>
              </w:rPr>
            </w:pPr>
            <w:r w:rsidRPr="00DE12A3">
              <w:rPr>
                <w:sz w:val="14"/>
                <w:szCs w:val="14"/>
              </w:rPr>
              <w:t>2,142</w:t>
            </w:r>
          </w:p>
        </w:tc>
        <w:tc>
          <w:tcPr>
            <w:tcW w:w="464" w:type="dxa"/>
            <w:tcBorders>
              <w:top w:val="single" w:sz="2" w:space="0" w:color="auto"/>
              <w:left w:val="single" w:sz="2" w:space="0" w:color="auto"/>
              <w:bottom w:val="single" w:sz="2" w:space="0" w:color="auto"/>
              <w:right w:val="single" w:sz="2" w:space="0" w:color="auto"/>
            </w:tcBorders>
          </w:tcPr>
          <w:p w14:paraId="0637C7D7" w14:textId="77777777" w:rsidR="009F4766" w:rsidRPr="00DE12A3" w:rsidRDefault="009F4766" w:rsidP="00C917D6">
            <w:pPr>
              <w:pStyle w:val="NormalLeft"/>
              <w:rPr>
                <w:sz w:val="14"/>
                <w:szCs w:val="14"/>
              </w:rPr>
            </w:pPr>
            <w:r w:rsidRPr="00DE12A3">
              <w:rPr>
                <w:sz w:val="14"/>
                <w:szCs w:val="14"/>
              </w:rPr>
              <w:t>2,075</w:t>
            </w:r>
          </w:p>
        </w:tc>
        <w:tc>
          <w:tcPr>
            <w:tcW w:w="464" w:type="dxa"/>
            <w:tcBorders>
              <w:top w:val="single" w:sz="2" w:space="0" w:color="auto"/>
              <w:left w:val="single" w:sz="2" w:space="0" w:color="auto"/>
              <w:bottom w:val="single" w:sz="2" w:space="0" w:color="auto"/>
              <w:right w:val="single" w:sz="2" w:space="0" w:color="auto"/>
            </w:tcBorders>
          </w:tcPr>
          <w:p w14:paraId="24FA4173" w14:textId="77777777" w:rsidR="009F4766" w:rsidRPr="00DE12A3" w:rsidRDefault="009F4766" w:rsidP="00C917D6">
            <w:pPr>
              <w:pStyle w:val="NormalLeft"/>
              <w:rPr>
                <w:sz w:val="14"/>
                <w:szCs w:val="14"/>
              </w:rPr>
            </w:pPr>
            <w:r w:rsidRPr="00DE12A3">
              <w:rPr>
                <w:sz w:val="14"/>
                <w:szCs w:val="14"/>
              </w:rPr>
              <w:t>2,023</w:t>
            </w:r>
          </w:p>
        </w:tc>
        <w:tc>
          <w:tcPr>
            <w:tcW w:w="465" w:type="dxa"/>
            <w:tcBorders>
              <w:top w:val="single" w:sz="2" w:space="0" w:color="auto"/>
              <w:left w:val="single" w:sz="2" w:space="0" w:color="auto"/>
              <w:bottom w:val="single" w:sz="2" w:space="0" w:color="auto"/>
              <w:right w:val="single" w:sz="2" w:space="0" w:color="auto"/>
            </w:tcBorders>
          </w:tcPr>
          <w:p w14:paraId="2FAD910D" w14:textId="77777777" w:rsidR="009F4766" w:rsidRPr="00DE12A3" w:rsidRDefault="009F4766" w:rsidP="00C917D6">
            <w:pPr>
              <w:pStyle w:val="NormalLeft"/>
              <w:rPr>
                <w:sz w:val="14"/>
                <w:szCs w:val="14"/>
              </w:rPr>
            </w:pPr>
            <w:r w:rsidRPr="00DE12A3">
              <w:rPr>
                <w:sz w:val="14"/>
                <w:szCs w:val="14"/>
              </w:rPr>
              <w:t>1,982</w:t>
            </w:r>
          </w:p>
        </w:tc>
        <w:tc>
          <w:tcPr>
            <w:tcW w:w="464" w:type="dxa"/>
            <w:tcBorders>
              <w:top w:val="single" w:sz="2" w:space="0" w:color="auto"/>
              <w:left w:val="single" w:sz="2" w:space="0" w:color="auto"/>
              <w:bottom w:val="single" w:sz="2" w:space="0" w:color="auto"/>
              <w:right w:val="single" w:sz="2" w:space="0" w:color="auto"/>
            </w:tcBorders>
          </w:tcPr>
          <w:p w14:paraId="30A26302" w14:textId="77777777" w:rsidR="009F4766" w:rsidRPr="00DE12A3" w:rsidRDefault="009F4766" w:rsidP="00C917D6">
            <w:pPr>
              <w:pStyle w:val="NormalLeft"/>
              <w:rPr>
                <w:sz w:val="14"/>
                <w:szCs w:val="14"/>
              </w:rPr>
            </w:pPr>
            <w:r w:rsidRPr="00DE12A3">
              <w:rPr>
                <w:sz w:val="14"/>
                <w:szCs w:val="14"/>
              </w:rPr>
              <w:t>1,948</w:t>
            </w:r>
          </w:p>
        </w:tc>
        <w:tc>
          <w:tcPr>
            <w:tcW w:w="464" w:type="dxa"/>
            <w:tcBorders>
              <w:top w:val="single" w:sz="2" w:space="0" w:color="auto"/>
              <w:left w:val="single" w:sz="2" w:space="0" w:color="auto"/>
              <w:bottom w:val="single" w:sz="2" w:space="0" w:color="auto"/>
              <w:right w:val="single" w:sz="2" w:space="0" w:color="auto"/>
            </w:tcBorders>
          </w:tcPr>
          <w:p w14:paraId="60BD21E9" w14:textId="77777777" w:rsidR="009F4766" w:rsidRPr="00DE12A3" w:rsidRDefault="009F4766" w:rsidP="00C917D6">
            <w:pPr>
              <w:pStyle w:val="NormalLeft"/>
              <w:rPr>
                <w:sz w:val="14"/>
                <w:szCs w:val="14"/>
              </w:rPr>
            </w:pPr>
            <w:r w:rsidRPr="00DE12A3">
              <w:rPr>
                <w:sz w:val="14"/>
                <w:szCs w:val="14"/>
              </w:rPr>
              <w:t>1,920</w:t>
            </w:r>
          </w:p>
        </w:tc>
        <w:tc>
          <w:tcPr>
            <w:tcW w:w="465" w:type="dxa"/>
            <w:tcBorders>
              <w:top w:val="single" w:sz="2" w:space="0" w:color="auto"/>
              <w:left w:val="single" w:sz="2" w:space="0" w:color="auto"/>
              <w:bottom w:val="single" w:sz="2" w:space="0" w:color="auto"/>
              <w:right w:val="single" w:sz="2" w:space="0" w:color="auto"/>
            </w:tcBorders>
          </w:tcPr>
          <w:p w14:paraId="52CACDD9" w14:textId="77777777" w:rsidR="009F4766" w:rsidRPr="00DE12A3" w:rsidRDefault="009F4766" w:rsidP="00C917D6">
            <w:pPr>
              <w:pStyle w:val="NormalLeft"/>
              <w:rPr>
                <w:sz w:val="14"/>
                <w:szCs w:val="14"/>
              </w:rPr>
            </w:pPr>
            <w:r w:rsidRPr="00DE12A3">
              <w:rPr>
                <w:sz w:val="14"/>
                <w:szCs w:val="14"/>
              </w:rPr>
              <w:t>1,875</w:t>
            </w:r>
          </w:p>
        </w:tc>
        <w:tc>
          <w:tcPr>
            <w:tcW w:w="464" w:type="dxa"/>
            <w:tcBorders>
              <w:top w:val="single" w:sz="2" w:space="0" w:color="auto"/>
              <w:left w:val="single" w:sz="2" w:space="0" w:color="auto"/>
              <w:bottom w:val="single" w:sz="2" w:space="0" w:color="auto"/>
              <w:right w:val="single" w:sz="2" w:space="0" w:color="auto"/>
            </w:tcBorders>
          </w:tcPr>
          <w:p w14:paraId="4947CE61" w14:textId="77777777" w:rsidR="009F4766" w:rsidRPr="00DE12A3" w:rsidRDefault="009F4766" w:rsidP="00C917D6">
            <w:pPr>
              <w:pStyle w:val="NormalLeft"/>
              <w:rPr>
                <w:sz w:val="14"/>
                <w:szCs w:val="14"/>
              </w:rPr>
            </w:pPr>
            <w:r w:rsidRPr="00DE12A3">
              <w:rPr>
                <w:sz w:val="14"/>
                <w:szCs w:val="14"/>
              </w:rPr>
              <w:t>1,827</w:t>
            </w:r>
          </w:p>
        </w:tc>
        <w:tc>
          <w:tcPr>
            <w:tcW w:w="464" w:type="dxa"/>
            <w:tcBorders>
              <w:top w:val="single" w:sz="2" w:space="0" w:color="auto"/>
              <w:left w:val="single" w:sz="2" w:space="0" w:color="auto"/>
              <w:bottom w:val="single" w:sz="2" w:space="0" w:color="auto"/>
              <w:right w:val="single" w:sz="2" w:space="0" w:color="auto"/>
            </w:tcBorders>
          </w:tcPr>
          <w:p w14:paraId="62C54331" w14:textId="77777777" w:rsidR="009F4766" w:rsidRPr="00DE12A3" w:rsidRDefault="009F4766" w:rsidP="00C917D6">
            <w:pPr>
              <w:pStyle w:val="NormalLeft"/>
              <w:rPr>
                <w:sz w:val="14"/>
                <w:szCs w:val="14"/>
              </w:rPr>
            </w:pPr>
            <w:r w:rsidRPr="00DE12A3">
              <w:rPr>
                <w:sz w:val="14"/>
                <w:szCs w:val="14"/>
              </w:rPr>
              <w:t>1,776</w:t>
            </w:r>
          </w:p>
        </w:tc>
        <w:tc>
          <w:tcPr>
            <w:tcW w:w="465" w:type="dxa"/>
            <w:tcBorders>
              <w:top w:val="single" w:sz="2" w:space="0" w:color="auto"/>
              <w:left w:val="single" w:sz="2" w:space="0" w:color="auto"/>
              <w:bottom w:val="single" w:sz="2" w:space="0" w:color="auto"/>
              <w:right w:val="single" w:sz="2" w:space="0" w:color="auto"/>
            </w:tcBorders>
          </w:tcPr>
          <w:p w14:paraId="44AF947A" w14:textId="77777777" w:rsidR="009F4766" w:rsidRPr="00DE12A3" w:rsidRDefault="009F4766" w:rsidP="00C917D6">
            <w:pPr>
              <w:pStyle w:val="NormalLeft"/>
              <w:rPr>
                <w:sz w:val="14"/>
                <w:szCs w:val="14"/>
              </w:rPr>
            </w:pPr>
            <w:r w:rsidRPr="00DE12A3">
              <w:rPr>
                <w:sz w:val="14"/>
                <w:szCs w:val="14"/>
              </w:rPr>
              <w:t>1,748</w:t>
            </w:r>
          </w:p>
        </w:tc>
        <w:tc>
          <w:tcPr>
            <w:tcW w:w="464" w:type="dxa"/>
            <w:tcBorders>
              <w:top w:val="single" w:sz="2" w:space="0" w:color="auto"/>
              <w:left w:val="single" w:sz="2" w:space="0" w:color="auto"/>
              <w:bottom w:val="single" w:sz="2" w:space="0" w:color="auto"/>
              <w:right w:val="single" w:sz="2" w:space="0" w:color="auto"/>
            </w:tcBorders>
          </w:tcPr>
          <w:p w14:paraId="1EDFF8D2" w14:textId="77777777" w:rsidR="009F4766" w:rsidRPr="00DE12A3" w:rsidRDefault="009F4766" w:rsidP="00C917D6">
            <w:pPr>
              <w:pStyle w:val="NormalLeft"/>
              <w:rPr>
                <w:sz w:val="14"/>
                <w:szCs w:val="14"/>
              </w:rPr>
            </w:pPr>
            <w:r w:rsidRPr="00DE12A3">
              <w:rPr>
                <w:sz w:val="14"/>
                <w:szCs w:val="14"/>
              </w:rPr>
              <w:t>1,719</w:t>
            </w:r>
          </w:p>
        </w:tc>
        <w:tc>
          <w:tcPr>
            <w:tcW w:w="464" w:type="dxa"/>
            <w:tcBorders>
              <w:top w:val="single" w:sz="2" w:space="0" w:color="auto"/>
              <w:left w:val="single" w:sz="2" w:space="0" w:color="auto"/>
              <w:bottom w:val="single" w:sz="2" w:space="0" w:color="auto"/>
              <w:right w:val="single" w:sz="2" w:space="0" w:color="auto"/>
            </w:tcBorders>
          </w:tcPr>
          <w:p w14:paraId="1159445E" w14:textId="77777777" w:rsidR="009F4766" w:rsidRPr="00DE12A3" w:rsidRDefault="009F4766" w:rsidP="00C917D6">
            <w:pPr>
              <w:pStyle w:val="NormalLeft"/>
              <w:rPr>
                <w:sz w:val="14"/>
                <w:szCs w:val="14"/>
              </w:rPr>
            </w:pPr>
            <w:r w:rsidRPr="00DE12A3">
              <w:rPr>
                <w:sz w:val="14"/>
                <w:szCs w:val="14"/>
              </w:rPr>
              <w:t>1,689</w:t>
            </w:r>
          </w:p>
        </w:tc>
        <w:tc>
          <w:tcPr>
            <w:tcW w:w="464" w:type="dxa"/>
            <w:tcBorders>
              <w:top w:val="single" w:sz="2" w:space="0" w:color="auto"/>
              <w:left w:val="single" w:sz="2" w:space="0" w:color="auto"/>
              <w:bottom w:val="single" w:sz="2" w:space="0" w:color="auto"/>
              <w:right w:val="single" w:sz="2" w:space="0" w:color="auto"/>
            </w:tcBorders>
          </w:tcPr>
          <w:p w14:paraId="28A086D8" w14:textId="77777777" w:rsidR="009F4766" w:rsidRPr="00DE12A3" w:rsidRDefault="009F4766" w:rsidP="00C917D6">
            <w:pPr>
              <w:pStyle w:val="NormalLeft"/>
              <w:rPr>
                <w:sz w:val="14"/>
                <w:szCs w:val="14"/>
              </w:rPr>
            </w:pPr>
            <w:r w:rsidRPr="00DE12A3">
              <w:rPr>
                <w:sz w:val="14"/>
                <w:szCs w:val="14"/>
              </w:rPr>
              <w:t>1,657</w:t>
            </w:r>
          </w:p>
        </w:tc>
        <w:tc>
          <w:tcPr>
            <w:tcW w:w="465" w:type="dxa"/>
            <w:tcBorders>
              <w:top w:val="single" w:sz="2" w:space="0" w:color="auto"/>
              <w:left w:val="single" w:sz="2" w:space="0" w:color="auto"/>
              <w:bottom w:val="single" w:sz="2" w:space="0" w:color="auto"/>
              <w:right w:val="single" w:sz="2" w:space="0" w:color="auto"/>
            </w:tcBorders>
          </w:tcPr>
          <w:p w14:paraId="3161C4E4" w14:textId="77777777" w:rsidR="009F4766" w:rsidRPr="00DE12A3" w:rsidRDefault="009F4766" w:rsidP="00C917D6">
            <w:pPr>
              <w:pStyle w:val="NormalLeft"/>
              <w:rPr>
                <w:sz w:val="14"/>
                <w:szCs w:val="14"/>
              </w:rPr>
            </w:pPr>
            <w:r w:rsidRPr="00DE12A3">
              <w:rPr>
                <w:sz w:val="14"/>
                <w:szCs w:val="14"/>
              </w:rPr>
              <w:t>1,623</w:t>
            </w:r>
          </w:p>
        </w:tc>
        <w:tc>
          <w:tcPr>
            <w:tcW w:w="464" w:type="dxa"/>
            <w:tcBorders>
              <w:top w:val="single" w:sz="2" w:space="0" w:color="auto"/>
              <w:left w:val="single" w:sz="2" w:space="0" w:color="auto"/>
              <w:bottom w:val="single" w:sz="2" w:space="0" w:color="auto"/>
              <w:right w:val="single" w:sz="2" w:space="0" w:color="auto"/>
            </w:tcBorders>
          </w:tcPr>
          <w:p w14:paraId="0ECB300E" w14:textId="77777777" w:rsidR="009F4766" w:rsidRPr="00DE12A3" w:rsidRDefault="009F4766" w:rsidP="00C917D6">
            <w:pPr>
              <w:pStyle w:val="NormalLeft"/>
              <w:rPr>
                <w:sz w:val="14"/>
                <w:szCs w:val="14"/>
              </w:rPr>
            </w:pPr>
            <w:r w:rsidRPr="00DE12A3">
              <w:rPr>
                <w:sz w:val="14"/>
                <w:szCs w:val="14"/>
              </w:rPr>
              <w:t>1,586</w:t>
            </w:r>
          </w:p>
        </w:tc>
      </w:tr>
      <w:tr w:rsidR="00DE12A3" w:rsidRPr="00DE12A3" w14:paraId="229DDBF2" w14:textId="77777777" w:rsidTr="009F4766">
        <w:tc>
          <w:tcPr>
            <w:tcW w:w="464" w:type="dxa"/>
            <w:tcBorders>
              <w:top w:val="single" w:sz="2" w:space="0" w:color="auto"/>
              <w:left w:val="single" w:sz="2" w:space="0" w:color="auto"/>
              <w:bottom w:val="single" w:sz="2" w:space="0" w:color="auto"/>
              <w:right w:val="single" w:sz="2" w:space="0" w:color="auto"/>
            </w:tcBorders>
          </w:tcPr>
          <w:p w14:paraId="112DB8B6" w14:textId="01DC8FB7" w:rsidR="009F4766" w:rsidRPr="00DE12A3" w:rsidRDefault="009F4766" w:rsidP="00C917D6">
            <w:pPr>
              <w:pStyle w:val="NormalLeft"/>
              <w:rPr>
                <w:sz w:val="14"/>
                <w:szCs w:val="14"/>
              </w:rPr>
            </w:pPr>
            <w:r w:rsidRPr="00DE12A3">
              <w:rPr>
                <w:sz w:val="14"/>
                <w:szCs w:val="14"/>
              </w:rPr>
              <w:lastRenderedPageBreak/>
              <w:t>2</w:t>
            </w:r>
            <w:r w:rsidR="00BA27F7" w:rsidRPr="00DE12A3">
              <w:rPr>
                <w:sz w:val="14"/>
                <w:szCs w:val="14"/>
              </w:rPr>
              <w:t>2</w:t>
            </w:r>
          </w:p>
        </w:tc>
        <w:tc>
          <w:tcPr>
            <w:tcW w:w="465" w:type="dxa"/>
            <w:tcBorders>
              <w:top w:val="single" w:sz="2" w:space="0" w:color="auto"/>
              <w:left w:val="single" w:sz="2" w:space="0" w:color="auto"/>
              <w:bottom w:val="single" w:sz="2" w:space="0" w:color="auto"/>
              <w:right w:val="single" w:sz="2" w:space="0" w:color="auto"/>
            </w:tcBorders>
          </w:tcPr>
          <w:p w14:paraId="2213E7A0" w14:textId="77777777" w:rsidR="009F4766" w:rsidRPr="00DE12A3" w:rsidRDefault="009F4766" w:rsidP="00C917D6">
            <w:pPr>
              <w:pStyle w:val="NormalLeft"/>
              <w:rPr>
                <w:sz w:val="14"/>
                <w:szCs w:val="14"/>
              </w:rPr>
            </w:pPr>
            <w:r w:rsidRPr="00DE12A3">
              <w:rPr>
                <w:sz w:val="14"/>
                <w:szCs w:val="14"/>
              </w:rPr>
              <w:t>2,949</w:t>
            </w:r>
          </w:p>
        </w:tc>
        <w:tc>
          <w:tcPr>
            <w:tcW w:w="464" w:type="dxa"/>
            <w:tcBorders>
              <w:top w:val="single" w:sz="2" w:space="0" w:color="auto"/>
              <w:left w:val="single" w:sz="2" w:space="0" w:color="auto"/>
              <w:bottom w:val="single" w:sz="2" w:space="0" w:color="auto"/>
              <w:right w:val="single" w:sz="2" w:space="0" w:color="auto"/>
            </w:tcBorders>
          </w:tcPr>
          <w:p w14:paraId="70A99FDE" w14:textId="77777777" w:rsidR="009F4766" w:rsidRPr="00DE12A3" w:rsidRDefault="009F4766" w:rsidP="00C917D6">
            <w:pPr>
              <w:pStyle w:val="NormalLeft"/>
              <w:rPr>
                <w:sz w:val="14"/>
                <w:szCs w:val="14"/>
              </w:rPr>
            </w:pPr>
            <w:r w:rsidRPr="00DE12A3">
              <w:rPr>
                <w:sz w:val="14"/>
                <w:szCs w:val="14"/>
              </w:rPr>
              <w:t>2,561</w:t>
            </w:r>
          </w:p>
        </w:tc>
        <w:tc>
          <w:tcPr>
            <w:tcW w:w="464" w:type="dxa"/>
            <w:tcBorders>
              <w:top w:val="single" w:sz="2" w:space="0" w:color="auto"/>
              <w:left w:val="single" w:sz="2" w:space="0" w:color="auto"/>
              <w:bottom w:val="single" w:sz="2" w:space="0" w:color="auto"/>
              <w:right w:val="single" w:sz="2" w:space="0" w:color="auto"/>
            </w:tcBorders>
          </w:tcPr>
          <w:p w14:paraId="3666F113" w14:textId="77777777" w:rsidR="009F4766" w:rsidRPr="00DE12A3" w:rsidRDefault="009F4766" w:rsidP="00C917D6">
            <w:pPr>
              <w:pStyle w:val="NormalLeft"/>
              <w:rPr>
                <w:sz w:val="14"/>
                <w:szCs w:val="14"/>
              </w:rPr>
            </w:pPr>
            <w:r w:rsidRPr="00DE12A3">
              <w:rPr>
                <w:sz w:val="14"/>
                <w:szCs w:val="14"/>
              </w:rPr>
              <w:t>2,351</w:t>
            </w:r>
          </w:p>
        </w:tc>
        <w:tc>
          <w:tcPr>
            <w:tcW w:w="465" w:type="dxa"/>
            <w:tcBorders>
              <w:top w:val="single" w:sz="2" w:space="0" w:color="auto"/>
              <w:left w:val="single" w:sz="2" w:space="0" w:color="auto"/>
              <w:bottom w:val="single" w:sz="2" w:space="0" w:color="auto"/>
              <w:right w:val="single" w:sz="2" w:space="0" w:color="auto"/>
            </w:tcBorders>
          </w:tcPr>
          <w:p w14:paraId="263B2F42" w14:textId="77777777" w:rsidR="009F4766" w:rsidRPr="00DE12A3" w:rsidRDefault="009F4766" w:rsidP="00C917D6">
            <w:pPr>
              <w:pStyle w:val="NormalLeft"/>
              <w:rPr>
                <w:sz w:val="14"/>
                <w:szCs w:val="14"/>
              </w:rPr>
            </w:pPr>
            <w:r w:rsidRPr="00DE12A3">
              <w:rPr>
                <w:sz w:val="14"/>
                <w:szCs w:val="14"/>
              </w:rPr>
              <w:t>2,219</w:t>
            </w:r>
          </w:p>
        </w:tc>
        <w:tc>
          <w:tcPr>
            <w:tcW w:w="464" w:type="dxa"/>
            <w:tcBorders>
              <w:top w:val="single" w:sz="2" w:space="0" w:color="auto"/>
              <w:left w:val="single" w:sz="2" w:space="0" w:color="auto"/>
              <w:bottom w:val="single" w:sz="2" w:space="0" w:color="auto"/>
              <w:right w:val="single" w:sz="2" w:space="0" w:color="auto"/>
            </w:tcBorders>
          </w:tcPr>
          <w:p w14:paraId="4790CA26" w14:textId="77777777" w:rsidR="009F4766" w:rsidRPr="00DE12A3" w:rsidRDefault="009F4766" w:rsidP="00C917D6">
            <w:pPr>
              <w:pStyle w:val="NormalLeft"/>
              <w:rPr>
                <w:sz w:val="14"/>
                <w:szCs w:val="14"/>
              </w:rPr>
            </w:pPr>
            <w:r w:rsidRPr="00DE12A3">
              <w:rPr>
                <w:sz w:val="14"/>
                <w:szCs w:val="14"/>
              </w:rPr>
              <w:t>2,128</w:t>
            </w:r>
          </w:p>
        </w:tc>
        <w:tc>
          <w:tcPr>
            <w:tcW w:w="464" w:type="dxa"/>
            <w:tcBorders>
              <w:top w:val="single" w:sz="2" w:space="0" w:color="auto"/>
              <w:left w:val="single" w:sz="2" w:space="0" w:color="auto"/>
              <w:bottom w:val="single" w:sz="2" w:space="0" w:color="auto"/>
              <w:right w:val="single" w:sz="2" w:space="0" w:color="auto"/>
            </w:tcBorders>
          </w:tcPr>
          <w:p w14:paraId="18A7DF1C" w14:textId="77777777" w:rsidR="009F4766" w:rsidRPr="00DE12A3" w:rsidRDefault="009F4766" w:rsidP="00C917D6">
            <w:pPr>
              <w:pStyle w:val="NormalLeft"/>
              <w:rPr>
                <w:sz w:val="14"/>
                <w:szCs w:val="14"/>
              </w:rPr>
            </w:pPr>
            <w:r w:rsidRPr="00DE12A3">
              <w:rPr>
                <w:sz w:val="14"/>
                <w:szCs w:val="14"/>
              </w:rPr>
              <w:t>2,061</w:t>
            </w:r>
          </w:p>
        </w:tc>
        <w:tc>
          <w:tcPr>
            <w:tcW w:w="464" w:type="dxa"/>
            <w:tcBorders>
              <w:top w:val="single" w:sz="2" w:space="0" w:color="auto"/>
              <w:left w:val="single" w:sz="2" w:space="0" w:color="auto"/>
              <w:bottom w:val="single" w:sz="2" w:space="0" w:color="auto"/>
              <w:right w:val="single" w:sz="2" w:space="0" w:color="auto"/>
            </w:tcBorders>
          </w:tcPr>
          <w:p w14:paraId="7B26FDB3" w14:textId="77777777" w:rsidR="009F4766" w:rsidRPr="00DE12A3" w:rsidRDefault="009F4766" w:rsidP="00C917D6">
            <w:pPr>
              <w:pStyle w:val="NormalLeft"/>
              <w:rPr>
                <w:sz w:val="14"/>
                <w:szCs w:val="14"/>
              </w:rPr>
            </w:pPr>
            <w:r w:rsidRPr="00DE12A3">
              <w:rPr>
                <w:sz w:val="14"/>
                <w:szCs w:val="14"/>
              </w:rPr>
              <w:t>2,008</w:t>
            </w:r>
          </w:p>
        </w:tc>
        <w:tc>
          <w:tcPr>
            <w:tcW w:w="465" w:type="dxa"/>
            <w:tcBorders>
              <w:top w:val="single" w:sz="2" w:space="0" w:color="auto"/>
              <w:left w:val="single" w:sz="2" w:space="0" w:color="auto"/>
              <w:bottom w:val="single" w:sz="2" w:space="0" w:color="auto"/>
              <w:right w:val="single" w:sz="2" w:space="0" w:color="auto"/>
            </w:tcBorders>
          </w:tcPr>
          <w:p w14:paraId="21DFB5A3" w14:textId="77777777" w:rsidR="009F4766" w:rsidRPr="00DE12A3" w:rsidRDefault="009F4766" w:rsidP="00C917D6">
            <w:pPr>
              <w:pStyle w:val="NormalLeft"/>
              <w:rPr>
                <w:sz w:val="14"/>
                <w:szCs w:val="14"/>
              </w:rPr>
            </w:pPr>
            <w:r w:rsidRPr="00DE12A3">
              <w:rPr>
                <w:sz w:val="14"/>
                <w:szCs w:val="14"/>
              </w:rPr>
              <w:t>1,967</w:t>
            </w:r>
          </w:p>
        </w:tc>
        <w:tc>
          <w:tcPr>
            <w:tcW w:w="464" w:type="dxa"/>
            <w:tcBorders>
              <w:top w:val="single" w:sz="2" w:space="0" w:color="auto"/>
              <w:left w:val="single" w:sz="2" w:space="0" w:color="auto"/>
              <w:bottom w:val="single" w:sz="2" w:space="0" w:color="auto"/>
              <w:right w:val="single" w:sz="2" w:space="0" w:color="auto"/>
            </w:tcBorders>
          </w:tcPr>
          <w:p w14:paraId="1E480090" w14:textId="77777777" w:rsidR="009F4766" w:rsidRPr="00DE12A3" w:rsidRDefault="009F4766" w:rsidP="00C917D6">
            <w:pPr>
              <w:pStyle w:val="NormalLeft"/>
              <w:rPr>
                <w:sz w:val="14"/>
                <w:szCs w:val="14"/>
              </w:rPr>
            </w:pPr>
            <w:r w:rsidRPr="00DE12A3">
              <w:rPr>
                <w:sz w:val="14"/>
                <w:szCs w:val="14"/>
              </w:rPr>
              <w:t>1,933</w:t>
            </w:r>
          </w:p>
        </w:tc>
        <w:tc>
          <w:tcPr>
            <w:tcW w:w="464" w:type="dxa"/>
            <w:tcBorders>
              <w:top w:val="single" w:sz="2" w:space="0" w:color="auto"/>
              <w:left w:val="single" w:sz="2" w:space="0" w:color="auto"/>
              <w:bottom w:val="single" w:sz="2" w:space="0" w:color="auto"/>
              <w:right w:val="single" w:sz="2" w:space="0" w:color="auto"/>
            </w:tcBorders>
          </w:tcPr>
          <w:p w14:paraId="4B4A5FB1" w14:textId="77777777" w:rsidR="009F4766" w:rsidRPr="00DE12A3" w:rsidRDefault="009F4766" w:rsidP="00C917D6">
            <w:pPr>
              <w:pStyle w:val="NormalLeft"/>
              <w:rPr>
                <w:sz w:val="14"/>
                <w:szCs w:val="14"/>
              </w:rPr>
            </w:pPr>
            <w:r w:rsidRPr="00DE12A3">
              <w:rPr>
                <w:sz w:val="14"/>
                <w:szCs w:val="14"/>
              </w:rPr>
              <w:t>1,904</w:t>
            </w:r>
          </w:p>
        </w:tc>
        <w:tc>
          <w:tcPr>
            <w:tcW w:w="465" w:type="dxa"/>
            <w:tcBorders>
              <w:top w:val="single" w:sz="2" w:space="0" w:color="auto"/>
              <w:left w:val="single" w:sz="2" w:space="0" w:color="auto"/>
              <w:bottom w:val="single" w:sz="2" w:space="0" w:color="auto"/>
              <w:right w:val="single" w:sz="2" w:space="0" w:color="auto"/>
            </w:tcBorders>
          </w:tcPr>
          <w:p w14:paraId="7F45D8CC" w14:textId="77777777" w:rsidR="009F4766" w:rsidRPr="00DE12A3" w:rsidRDefault="009F4766" w:rsidP="00C917D6">
            <w:pPr>
              <w:pStyle w:val="NormalLeft"/>
              <w:rPr>
                <w:sz w:val="14"/>
                <w:szCs w:val="14"/>
              </w:rPr>
            </w:pPr>
            <w:r w:rsidRPr="00DE12A3">
              <w:rPr>
                <w:sz w:val="14"/>
                <w:szCs w:val="14"/>
              </w:rPr>
              <w:t>1,859</w:t>
            </w:r>
          </w:p>
        </w:tc>
        <w:tc>
          <w:tcPr>
            <w:tcW w:w="464" w:type="dxa"/>
            <w:tcBorders>
              <w:top w:val="single" w:sz="2" w:space="0" w:color="auto"/>
              <w:left w:val="single" w:sz="2" w:space="0" w:color="auto"/>
              <w:bottom w:val="single" w:sz="2" w:space="0" w:color="auto"/>
              <w:right w:val="single" w:sz="2" w:space="0" w:color="auto"/>
            </w:tcBorders>
          </w:tcPr>
          <w:p w14:paraId="359AFF99" w14:textId="77777777" w:rsidR="009F4766" w:rsidRPr="00DE12A3" w:rsidRDefault="009F4766" w:rsidP="00C917D6">
            <w:pPr>
              <w:pStyle w:val="NormalLeft"/>
              <w:rPr>
                <w:sz w:val="14"/>
                <w:szCs w:val="14"/>
              </w:rPr>
            </w:pPr>
            <w:r w:rsidRPr="00DE12A3">
              <w:rPr>
                <w:sz w:val="14"/>
                <w:szCs w:val="14"/>
              </w:rPr>
              <w:t>1,811</w:t>
            </w:r>
          </w:p>
        </w:tc>
        <w:tc>
          <w:tcPr>
            <w:tcW w:w="464" w:type="dxa"/>
            <w:tcBorders>
              <w:top w:val="single" w:sz="2" w:space="0" w:color="auto"/>
              <w:left w:val="single" w:sz="2" w:space="0" w:color="auto"/>
              <w:bottom w:val="single" w:sz="2" w:space="0" w:color="auto"/>
              <w:right w:val="single" w:sz="2" w:space="0" w:color="auto"/>
            </w:tcBorders>
          </w:tcPr>
          <w:p w14:paraId="164C633B" w14:textId="77777777" w:rsidR="009F4766" w:rsidRPr="00DE12A3" w:rsidRDefault="009F4766" w:rsidP="00C917D6">
            <w:pPr>
              <w:pStyle w:val="NormalLeft"/>
              <w:rPr>
                <w:sz w:val="14"/>
                <w:szCs w:val="14"/>
              </w:rPr>
            </w:pPr>
            <w:r w:rsidRPr="00DE12A3">
              <w:rPr>
                <w:sz w:val="14"/>
                <w:szCs w:val="14"/>
              </w:rPr>
              <w:t>1,759</w:t>
            </w:r>
          </w:p>
        </w:tc>
        <w:tc>
          <w:tcPr>
            <w:tcW w:w="465" w:type="dxa"/>
            <w:tcBorders>
              <w:top w:val="single" w:sz="2" w:space="0" w:color="auto"/>
              <w:left w:val="single" w:sz="2" w:space="0" w:color="auto"/>
              <w:bottom w:val="single" w:sz="2" w:space="0" w:color="auto"/>
              <w:right w:val="single" w:sz="2" w:space="0" w:color="auto"/>
            </w:tcBorders>
          </w:tcPr>
          <w:p w14:paraId="0B878F53" w14:textId="77777777" w:rsidR="009F4766" w:rsidRPr="00DE12A3" w:rsidRDefault="009F4766" w:rsidP="00C917D6">
            <w:pPr>
              <w:pStyle w:val="NormalLeft"/>
              <w:rPr>
                <w:sz w:val="14"/>
                <w:szCs w:val="14"/>
              </w:rPr>
            </w:pPr>
            <w:r w:rsidRPr="00DE12A3">
              <w:rPr>
                <w:sz w:val="14"/>
                <w:szCs w:val="14"/>
              </w:rPr>
              <w:t>1,731</w:t>
            </w:r>
          </w:p>
        </w:tc>
        <w:tc>
          <w:tcPr>
            <w:tcW w:w="464" w:type="dxa"/>
            <w:tcBorders>
              <w:top w:val="single" w:sz="2" w:space="0" w:color="auto"/>
              <w:left w:val="single" w:sz="2" w:space="0" w:color="auto"/>
              <w:bottom w:val="single" w:sz="2" w:space="0" w:color="auto"/>
              <w:right w:val="single" w:sz="2" w:space="0" w:color="auto"/>
            </w:tcBorders>
          </w:tcPr>
          <w:p w14:paraId="6A92222A" w14:textId="77777777" w:rsidR="009F4766" w:rsidRPr="00DE12A3" w:rsidRDefault="009F4766" w:rsidP="00C917D6">
            <w:pPr>
              <w:pStyle w:val="NormalLeft"/>
              <w:rPr>
                <w:sz w:val="14"/>
                <w:szCs w:val="14"/>
              </w:rPr>
            </w:pPr>
            <w:r w:rsidRPr="00DE12A3">
              <w:rPr>
                <w:sz w:val="14"/>
                <w:szCs w:val="14"/>
              </w:rPr>
              <w:t>1,702</w:t>
            </w:r>
          </w:p>
        </w:tc>
        <w:tc>
          <w:tcPr>
            <w:tcW w:w="464" w:type="dxa"/>
            <w:tcBorders>
              <w:top w:val="single" w:sz="2" w:space="0" w:color="auto"/>
              <w:left w:val="single" w:sz="2" w:space="0" w:color="auto"/>
              <w:bottom w:val="single" w:sz="2" w:space="0" w:color="auto"/>
              <w:right w:val="single" w:sz="2" w:space="0" w:color="auto"/>
            </w:tcBorders>
          </w:tcPr>
          <w:p w14:paraId="03359C3F" w14:textId="77777777" w:rsidR="009F4766" w:rsidRPr="00DE12A3" w:rsidRDefault="009F4766" w:rsidP="00C917D6">
            <w:pPr>
              <w:pStyle w:val="NormalLeft"/>
              <w:rPr>
                <w:sz w:val="14"/>
                <w:szCs w:val="14"/>
              </w:rPr>
            </w:pPr>
            <w:r w:rsidRPr="00DE12A3">
              <w:rPr>
                <w:sz w:val="14"/>
                <w:szCs w:val="14"/>
              </w:rPr>
              <w:t>1,671</w:t>
            </w:r>
          </w:p>
        </w:tc>
        <w:tc>
          <w:tcPr>
            <w:tcW w:w="464" w:type="dxa"/>
            <w:tcBorders>
              <w:top w:val="single" w:sz="2" w:space="0" w:color="auto"/>
              <w:left w:val="single" w:sz="2" w:space="0" w:color="auto"/>
              <w:bottom w:val="single" w:sz="2" w:space="0" w:color="auto"/>
              <w:right w:val="single" w:sz="2" w:space="0" w:color="auto"/>
            </w:tcBorders>
          </w:tcPr>
          <w:p w14:paraId="3AB7E172" w14:textId="77777777" w:rsidR="009F4766" w:rsidRPr="00DE12A3" w:rsidRDefault="009F4766" w:rsidP="00C917D6">
            <w:pPr>
              <w:pStyle w:val="NormalLeft"/>
              <w:rPr>
                <w:sz w:val="14"/>
                <w:szCs w:val="14"/>
              </w:rPr>
            </w:pPr>
            <w:r w:rsidRPr="00DE12A3">
              <w:rPr>
                <w:sz w:val="14"/>
                <w:szCs w:val="14"/>
              </w:rPr>
              <w:t>1,639</w:t>
            </w:r>
          </w:p>
        </w:tc>
        <w:tc>
          <w:tcPr>
            <w:tcW w:w="465" w:type="dxa"/>
            <w:tcBorders>
              <w:top w:val="single" w:sz="2" w:space="0" w:color="auto"/>
              <w:left w:val="single" w:sz="2" w:space="0" w:color="auto"/>
              <w:bottom w:val="single" w:sz="2" w:space="0" w:color="auto"/>
              <w:right w:val="single" w:sz="2" w:space="0" w:color="auto"/>
            </w:tcBorders>
          </w:tcPr>
          <w:p w14:paraId="3B50B3F9" w14:textId="77777777" w:rsidR="009F4766" w:rsidRPr="00DE12A3" w:rsidRDefault="009F4766" w:rsidP="00C917D6">
            <w:pPr>
              <w:pStyle w:val="NormalLeft"/>
              <w:rPr>
                <w:sz w:val="14"/>
                <w:szCs w:val="14"/>
              </w:rPr>
            </w:pPr>
            <w:r w:rsidRPr="00DE12A3">
              <w:rPr>
                <w:sz w:val="14"/>
                <w:szCs w:val="14"/>
              </w:rPr>
              <w:t>1,604</w:t>
            </w:r>
          </w:p>
        </w:tc>
        <w:tc>
          <w:tcPr>
            <w:tcW w:w="464" w:type="dxa"/>
            <w:tcBorders>
              <w:top w:val="single" w:sz="2" w:space="0" w:color="auto"/>
              <w:left w:val="single" w:sz="2" w:space="0" w:color="auto"/>
              <w:bottom w:val="single" w:sz="2" w:space="0" w:color="auto"/>
              <w:right w:val="single" w:sz="2" w:space="0" w:color="auto"/>
            </w:tcBorders>
          </w:tcPr>
          <w:p w14:paraId="221534F8" w14:textId="77777777" w:rsidR="009F4766" w:rsidRPr="00DE12A3" w:rsidRDefault="009F4766" w:rsidP="00C917D6">
            <w:pPr>
              <w:pStyle w:val="NormalLeft"/>
              <w:rPr>
                <w:sz w:val="14"/>
                <w:szCs w:val="14"/>
              </w:rPr>
            </w:pPr>
            <w:r w:rsidRPr="00DE12A3">
              <w:rPr>
                <w:sz w:val="14"/>
                <w:szCs w:val="14"/>
              </w:rPr>
              <w:t>1,567</w:t>
            </w:r>
          </w:p>
        </w:tc>
      </w:tr>
      <w:tr w:rsidR="00DE12A3" w:rsidRPr="00DE12A3" w14:paraId="373241B5" w14:textId="77777777" w:rsidTr="009F4766">
        <w:tc>
          <w:tcPr>
            <w:tcW w:w="464" w:type="dxa"/>
            <w:tcBorders>
              <w:top w:val="single" w:sz="2" w:space="0" w:color="auto"/>
              <w:left w:val="single" w:sz="2" w:space="0" w:color="auto"/>
              <w:bottom w:val="single" w:sz="2" w:space="0" w:color="auto"/>
              <w:right w:val="single" w:sz="2" w:space="0" w:color="auto"/>
            </w:tcBorders>
          </w:tcPr>
          <w:p w14:paraId="1D0BA231" w14:textId="77777777" w:rsidR="009F4766" w:rsidRPr="00DE12A3" w:rsidRDefault="009F4766" w:rsidP="00C917D6">
            <w:pPr>
              <w:pStyle w:val="NormalLeft"/>
              <w:rPr>
                <w:sz w:val="14"/>
                <w:szCs w:val="14"/>
              </w:rPr>
            </w:pPr>
            <w:r w:rsidRPr="00DE12A3">
              <w:rPr>
                <w:sz w:val="14"/>
                <w:szCs w:val="14"/>
              </w:rPr>
              <w:t>23</w:t>
            </w:r>
          </w:p>
        </w:tc>
        <w:tc>
          <w:tcPr>
            <w:tcW w:w="465" w:type="dxa"/>
            <w:tcBorders>
              <w:top w:val="single" w:sz="2" w:space="0" w:color="auto"/>
              <w:left w:val="single" w:sz="2" w:space="0" w:color="auto"/>
              <w:bottom w:val="single" w:sz="2" w:space="0" w:color="auto"/>
              <w:right w:val="single" w:sz="2" w:space="0" w:color="auto"/>
            </w:tcBorders>
          </w:tcPr>
          <w:p w14:paraId="6259EC05" w14:textId="77777777" w:rsidR="009F4766" w:rsidRPr="00DE12A3" w:rsidRDefault="009F4766" w:rsidP="00C917D6">
            <w:pPr>
              <w:pStyle w:val="NormalLeft"/>
              <w:rPr>
                <w:sz w:val="14"/>
                <w:szCs w:val="14"/>
              </w:rPr>
            </w:pPr>
            <w:r w:rsidRPr="00DE12A3">
              <w:rPr>
                <w:sz w:val="14"/>
                <w:szCs w:val="14"/>
              </w:rPr>
              <w:t>2,937</w:t>
            </w:r>
          </w:p>
        </w:tc>
        <w:tc>
          <w:tcPr>
            <w:tcW w:w="464" w:type="dxa"/>
            <w:tcBorders>
              <w:top w:val="single" w:sz="2" w:space="0" w:color="auto"/>
              <w:left w:val="single" w:sz="2" w:space="0" w:color="auto"/>
              <w:bottom w:val="single" w:sz="2" w:space="0" w:color="auto"/>
              <w:right w:val="single" w:sz="2" w:space="0" w:color="auto"/>
            </w:tcBorders>
          </w:tcPr>
          <w:p w14:paraId="2EC05AD4" w14:textId="77777777" w:rsidR="009F4766" w:rsidRPr="00DE12A3" w:rsidRDefault="009F4766" w:rsidP="00C917D6">
            <w:pPr>
              <w:pStyle w:val="NormalLeft"/>
              <w:rPr>
                <w:sz w:val="14"/>
                <w:szCs w:val="14"/>
              </w:rPr>
            </w:pPr>
            <w:r w:rsidRPr="00DE12A3">
              <w:rPr>
                <w:sz w:val="14"/>
                <w:szCs w:val="14"/>
              </w:rPr>
              <w:t>2,549</w:t>
            </w:r>
          </w:p>
        </w:tc>
        <w:tc>
          <w:tcPr>
            <w:tcW w:w="464" w:type="dxa"/>
            <w:tcBorders>
              <w:top w:val="single" w:sz="2" w:space="0" w:color="auto"/>
              <w:left w:val="single" w:sz="2" w:space="0" w:color="auto"/>
              <w:bottom w:val="single" w:sz="2" w:space="0" w:color="auto"/>
              <w:right w:val="single" w:sz="2" w:space="0" w:color="auto"/>
            </w:tcBorders>
          </w:tcPr>
          <w:p w14:paraId="246936C8" w14:textId="77777777" w:rsidR="009F4766" w:rsidRPr="00DE12A3" w:rsidRDefault="009F4766" w:rsidP="00C917D6">
            <w:pPr>
              <w:pStyle w:val="NormalLeft"/>
              <w:rPr>
                <w:sz w:val="14"/>
                <w:szCs w:val="14"/>
              </w:rPr>
            </w:pPr>
            <w:r w:rsidRPr="00DE12A3">
              <w:rPr>
                <w:sz w:val="14"/>
                <w:szCs w:val="14"/>
              </w:rPr>
              <w:t>2,339</w:t>
            </w:r>
          </w:p>
        </w:tc>
        <w:tc>
          <w:tcPr>
            <w:tcW w:w="465" w:type="dxa"/>
            <w:tcBorders>
              <w:top w:val="single" w:sz="2" w:space="0" w:color="auto"/>
              <w:left w:val="single" w:sz="2" w:space="0" w:color="auto"/>
              <w:bottom w:val="single" w:sz="2" w:space="0" w:color="auto"/>
              <w:right w:val="single" w:sz="2" w:space="0" w:color="auto"/>
            </w:tcBorders>
          </w:tcPr>
          <w:p w14:paraId="7367603C" w14:textId="77777777" w:rsidR="009F4766" w:rsidRPr="00DE12A3" w:rsidRDefault="009F4766" w:rsidP="00C917D6">
            <w:pPr>
              <w:pStyle w:val="NormalLeft"/>
              <w:rPr>
                <w:sz w:val="14"/>
                <w:szCs w:val="14"/>
              </w:rPr>
            </w:pPr>
            <w:r w:rsidRPr="00DE12A3">
              <w:rPr>
                <w:sz w:val="14"/>
                <w:szCs w:val="14"/>
              </w:rPr>
              <w:t>2,207</w:t>
            </w:r>
          </w:p>
        </w:tc>
        <w:tc>
          <w:tcPr>
            <w:tcW w:w="464" w:type="dxa"/>
            <w:tcBorders>
              <w:top w:val="single" w:sz="2" w:space="0" w:color="auto"/>
              <w:left w:val="single" w:sz="2" w:space="0" w:color="auto"/>
              <w:bottom w:val="single" w:sz="2" w:space="0" w:color="auto"/>
              <w:right w:val="single" w:sz="2" w:space="0" w:color="auto"/>
            </w:tcBorders>
          </w:tcPr>
          <w:p w14:paraId="5FE3C5DF" w14:textId="77777777" w:rsidR="009F4766" w:rsidRPr="00DE12A3" w:rsidRDefault="009F4766" w:rsidP="00C917D6">
            <w:pPr>
              <w:pStyle w:val="NormalLeft"/>
              <w:rPr>
                <w:sz w:val="14"/>
                <w:szCs w:val="14"/>
              </w:rPr>
            </w:pPr>
            <w:r w:rsidRPr="00DE12A3">
              <w:rPr>
                <w:sz w:val="14"/>
                <w:szCs w:val="14"/>
              </w:rPr>
              <w:t>2,115</w:t>
            </w:r>
          </w:p>
        </w:tc>
        <w:tc>
          <w:tcPr>
            <w:tcW w:w="464" w:type="dxa"/>
            <w:tcBorders>
              <w:top w:val="single" w:sz="2" w:space="0" w:color="auto"/>
              <w:left w:val="single" w:sz="2" w:space="0" w:color="auto"/>
              <w:bottom w:val="single" w:sz="2" w:space="0" w:color="auto"/>
              <w:right w:val="single" w:sz="2" w:space="0" w:color="auto"/>
            </w:tcBorders>
          </w:tcPr>
          <w:p w14:paraId="402AE164" w14:textId="77777777" w:rsidR="009F4766" w:rsidRPr="00DE12A3" w:rsidRDefault="009F4766" w:rsidP="00C917D6">
            <w:pPr>
              <w:pStyle w:val="NormalLeft"/>
              <w:rPr>
                <w:sz w:val="14"/>
                <w:szCs w:val="14"/>
              </w:rPr>
            </w:pPr>
            <w:r w:rsidRPr="00DE12A3">
              <w:rPr>
                <w:sz w:val="14"/>
                <w:szCs w:val="14"/>
              </w:rPr>
              <w:t>2,047</w:t>
            </w:r>
          </w:p>
        </w:tc>
        <w:tc>
          <w:tcPr>
            <w:tcW w:w="464" w:type="dxa"/>
            <w:tcBorders>
              <w:top w:val="single" w:sz="2" w:space="0" w:color="auto"/>
              <w:left w:val="single" w:sz="2" w:space="0" w:color="auto"/>
              <w:bottom w:val="single" w:sz="2" w:space="0" w:color="auto"/>
              <w:right w:val="single" w:sz="2" w:space="0" w:color="auto"/>
            </w:tcBorders>
          </w:tcPr>
          <w:p w14:paraId="481589F3" w14:textId="77777777" w:rsidR="009F4766" w:rsidRPr="00DE12A3" w:rsidRDefault="009F4766" w:rsidP="00C917D6">
            <w:pPr>
              <w:pStyle w:val="NormalLeft"/>
              <w:rPr>
                <w:sz w:val="14"/>
                <w:szCs w:val="14"/>
              </w:rPr>
            </w:pPr>
            <w:r w:rsidRPr="00DE12A3">
              <w:rPr>
                <w:sz w:val="14"/>
                <w:szCs w:val="14"/>
              </w:rPr>
              <w:t>1,995</w:t>
            </w:r>
          </w:p>
        </w:tc>
        <w:tc>
          <w:tcPr>
            <w:tcW w:w="465" w:type="dxa"/>
            <w:tcBorders>
              <w:top w:val="single" w:sz="2" w:space="0" w:color="auto"/>
              <w:left w:val="single" w:sz="2" w:space="0" w:color="auto"/>
              <w:bottom w:val="single" w:sz="2" w:space="0" w:color="auto"/>
              <w:right w:val="single" w:sz="2" w:space="0" w:color="auto"/>
            </w:tcBorders>
          </w:tcPr>
          <w:p w14:paraId="7D5A1A32" w14:textId="77777777" w:rsidR="009F4766" w:rsidRPr="00DE12A3" w:rsidRDefault="009F4766" w:rsidP="00C917D6">
            <w:pPr>
              <w:pStyle w:val="NormalLeft"/>
              <w:rPr>
                <w:sz w:val="14"/>
                <w:szCs w:val="14"/>
              </w:rPr>
            </w:pPr>
            <w:r w:rsidRPr="00DE12A3">
              <w:rPr>
                <w:sz w:val="14"/>
                <w:szCs w:val="14"/>
              </w:rPr>
              <w:t>1,953</w:t>
            </w:r>
          </w:p>
        </w:tc>
        <w:tc>
          <w:tcPr>
            <w:tcW w:w="464" w:type="dxa"/>
            <w:tcBorders>
              <w:top w:val="single" w:sz="2" w:space="0" w:color="auto"/>
              <w:left w:val="single" w:sz="2" w:space="0" w:color="auto"/>
              <w:bottom w:val="single" w:sz="2" w:space="0" w:color="auto"/>
              <w:right w:val="single" w:sz="2" w:space="0" w:color="auto"/>
            </w:tcBorders>
          </w:tcPr>
          <w:p w14:paraId="04ABF817" w14:textId="77777777" w:rsidR="009F4766" w:rsidRPr="00DE12A3" w:rsidRDefault="009F4766" w:rsidP="00C917D6">
            <w:pPr>
              <w:pStyle w:val="NormalLeft"/>
              <w:rPr>
                <w:sz w:val="14"/>
                <w:szCs w:val="14"/>
              </w:rPr>
            </w:pPr>
            <w:r w:rsidRPr="00DE12A3">
              <w:rPr>
                <w:sz w:val="14"/>
                <w:szCs w:val="14"/>
              </w:rPr>
              <w:t>1,919</w:t>
            </w:r>
          </w:p>
        </w:tc>
        <w:tc>
          <w:tcPr>
            <w:tcW w:w="464" w:type="dxa"/>
            <w:tcBorders>
              <w:top w:val="single" w:sz="2" w:space="0" w:color="auto"/>
              <w:left w:val="single" w:sz="2" w:space="0" w:color="auto"/>
              <w:bottom w:val="single" w:sz="2" w:space="0" w:color="auto"/>
              <w:right w:val="single" w:sz="2" w:space="0" w:color="auto"/>
            </w:tcBorders>
          </w:tcPr>
          <w:p w14:paraId="54592AA6" w14:textId="77777777" w:rsidR="009F4766" w:rsidRPr="00DE12A3" w:rsidRDefault="009F4766" w:rsidP="00C917D6">
            <w:pPr>
              <w:pStyle w:val="NormalLeft"/>
              <w:rPr>
                <w:sz w:val="14"/>
                <w:szCs w:val="14"/>
              </w:rPr>
            </w:pPr>
            <w:r w:rsidRPr="00DE12A3">
              <w:rPr>
                <w:sz w:val="14"/>
                <w:szCs w:val="14"/>
              </w:rPr>
              <w:t>1,890</w:t>
            </w:r>
          </w:p>
        </w:tc>
        <w:tc>
          <w:tcPr>
            <w:tcW w:w="465" w:type="dxa"/>
            <w:tcBorders>
              <w:top w:val="single" w:sz="2" w:space="0" w:color="auto"/>
              <w:left w:val="single" w:sz="2" w:space="0" w:color="auto"/>
              <w:bottom w:val="single" w:sz="2" w:space="0" w:color="auto"/>
              <w:right w:val="single" w:sz="2" w:space="0" w:color="auto"/>
            </w:tcBorders>
          </w:tcPr>
          <w:p w14:paraId="7BC60728" w14:textId="77777777" w:rsidR="009F4766" w:rsidRPr="00DE12A3" w:rsidRDefault="009F4766" w:rsidP="00C917D6">
            <w:pPr>
              <w:pStyle w:val="NormalLeft"/>
              <w:rPr>
                <w:sz w:val="14"/>
                <w:szCs w:val="14"/>
              </w:rPr>
            </w:pPr>
            <w:r w:rsidRPr="00DE12A3">
              <w:rPr>
                <w:sz w:val="14"/>
                <w:szCs w:val="14"/>
              </w:rPr>
              <w:t>1,845</w:t>
            </w:r>
          </w:p>
        </w:tc>
        <w:tc>
          <w:tcPr>
            <w:tcW w:w="464" w:type="dxa"/>
            <w:tcBorders>
              <w:top w:val="single" w:sz="2" w:space="0" w:color="auto"/>
              <w:left w:val="single" w:sz="2" w:space="0" w:color="auto"/>
              <w:bottom w:val="single" w:sz="2" w:space="0" w:color="auto"/>
              <w:right w:val="single" w:sz="2" w:space="0" w:color="auto"/>
            </w:tcBorders>
          </w:tcPr>
          <w:p w14:paraId="770D7619" w14:textId="77777777" w:rsidR="009F4766" w:rsidRPr="00DE12A3" w:rsidRDefault="009F4766" w:rsidP="00C917D6">
            <w:pPr>
              <w:pStyle w:val="NormalLeft"/>
              <w:rPr>
                <w:sz w:val="14"/>
                <w:szCs w:val="14"/>
              </w:rPr>
            </w:pPr>
            <w:r w:rsidRPr="00DE12A3">
              <w:rPr>
                <w:sz w:val="14"/>
                <w:szCs w:val="14"/>
              </w:rPr>
              <w:t>1,796</w:t>
            </w:r>
          </w:p>
        </w:tc>
        <w:tc>
          <w:tcPr>
            <w:tcW w:w="464" w:type="dxa"/>
            <w:tcBorders>
              <w:top w:val="single" w:sz="2" w:space="0" w:color="auto"/>
              <w:left w:val="single" w:sz="2" w:space="0" w:color="auto"/>
              <w:bottom w:val="single" w:sz="2" w:space="0" w:color="auto"/>
              <w:right w:val="single" w:sz="2" w:space="0" w:color="auto"/>
            </w:tcBorders>
          </w:tcPr>
          <w:p w14:paraId="5A78A4ED" w14:textId="77777777" w:rsidR="009F4766" w:rsidRPr="00DE12A3" w:rsidRDefault="009F4766" w:rsidP="00C917D6">
            <w:pPr>
              <w:pStyle w:val="NormalLeft"/>
              <w:rPr>
                <w:sz w:val="14"/>
                <w:szCs w:val="14"/>
              </w:rPr>
            </w:pPr>
            <w:r w:rsidRPr="00DE12A3">
              <w:rPr>
                <w:sz w:val="14"/>
                <w:szCs w:val="14"/>
              </w:rPr>
              <w:t>1,744</w:t>
            </w:r>
          </w:p>
        </w:tc>
        <w:tc>
          <w:tcPr>
            <w:tcW w:w="465" w:type="dxa"/>
            <w:tcBorders>
              <w:top w:val="single" w:sz="2" w:space="0" w:color="auto"/>
              <w:left w:val="single" w:sz="2" w:space="0" w:color="auto"/>
              <w:bottom w:val="single" w:sz="2" w:space="0" w:color="auto"/>
              <w:right w:val="single" w:sz="2" w:space="0" w:color="auto"/>
            </w:tcBorders>
          </w:tcPr>
          <w:p w14:paraId="615BFE13" w14:textId="77777777" w:rsidR="009F4766" w:rsidRPr="00DE12A3" w:rsidRDefault="009F4766" w:rsidP="00C917D6">
            <w:pPr>
              <w:pStyle w:val="NormalLeft"/>
              <w:rPr>
                <w:sz w:val="14"/>
                <w:szCs w:val="14"/>
              </w:rPr>
            </w:pPr>
            <w:r w:rsidRPr="00DE12A3">
              <w:rPr>
                <w:sz w:val="14"/>
                <w:szCs w:val="14"/>
              </w:rPr>
              <w:t>1,716</w:t>
            </w:r>
          </w:p>
        </w:tc>
        <w:tc>
          <w:tcPr>
            <w:tcW w:w="464" w:type="dxa"/>
            <w:tcBorders>
              <w:top w:val="single" w:sz="2" w:space="0" w:color="auto"/>
              <w:left w:val="single" w:sz="2" w:space="0" w:color="auto"/>
              <w:bottom w:val="single" w:sz="2" w:space="0" w:color="auto"/>
              <w:right w:val="single" w:sz="2" w:space="0" w:color="auto"/>
            </w:tcBorders>
          </w:tcPr>
          <w:p w14:paraId="212F00E9" w14:textId="77777777" w:rsidR="009F4766" w:rsidRPr="00DE12A3" w:rsidRDefault="009F4766" w:rsidP="00C917D6">
            <w:pPr>
              <w:pStyle w:val="NormalLeft"/>
              <w:rPr>
                <w:sz w:val="14"/>
                <w:szCs w:val="14"/>
              </w:rPr>
            </w:pPr>
            <w:r w:rsidRPr="00DE12A3">
              <w:rPr>
                <w:sz w:val="14"/>
                <w:szCs w:val="14"/>
              </w:rPr>
              <w:t>1,686</w:t>
            </w:r>
          </w:p>
        </w:tc>
        <w:tc>
          <w:tcPr>
            <w:tcW w:w="464" w:type="dxa"/>
            <w:tcBorders>
              <w:top w:val="single" w:sz="2" w:space="0" w:color="auto"/>
              <w:left w:val="single" w:sz="2" w:space="0" w:color="auto"/>
              <w:bottom w:val="single" w:sz="2" w:space="0" w:color="auto"/>
              <w:right w:val="single" w:sz="2" w:space="0" w:color="auto"/>
            </w:tcBorders>
          </w:tcPr>
          <w:p w14:paraId="2342B49A" w14:textId="77777777" w:rsidR="009F4766" w:rsidRPr="00DE12A3" w:rsidRDefault="009F4766" w:rsidP="00C917D6">
            <w:pPr>
              <w:pStyle w:val="NormalLeft"/>
              <w:rPr>
                <w:sz w:val="14"/>
                <w:szCs w:val="14"/>
              </w:rPr>
            </w:pPr>
            <w:r w:rsidRPr="00DE12A3">
              <w:rPr>
                <w:sz w:val="14"/>
                <w:szCs w:val="14"/>
              </w:rPr>
              <w:t>1,655</w:t>
            </w:r>
          </w:p>
        </w:tc>
        <w:tc>
          <w:tcPr>
            <w:tcW w:w="464" w:type="dxa"/>
            <w:tcBorders>
              <w:top w:val="single" w:sz="2" w:space="0" w:color="auto"/>
              <w:left w:val="single" w:sz="2" w:space="0" w:color="auto"/>
              <w:bottom w:val="single" w:sz="2" w:space="0" w:color="auto"/>
              <w:right w:val="single" w:sz="2" w:space="0" w:color="auto"/>
            </w:tcBorders>
          </w:tcPr>
          <w:p w14:paraId="51173623" w14:textId="77777777" w:rsidR="009F4766" w:rsidRPr="00DE12A3" w:rsidRDefault="009F4766" w:rsidP="00C917D6">
            <w:pPr>
              <w:pStyle w:val="NormalLeft"/>
              <w:rPr>
                <w:sz w:val="14"/>
                <w:szCs w:val="14"/>
              </w:rPr>
            </w:pPr>
            <w:r w:rsidRPr="00DE12A3">
              <w:rPr>
                <w:sz w:val="14"/>
                <w:szCs w:val="14"/>
              </w:rPr>
              <w:t>1,622</w:t>
            </w:r>
          </w:p>
        </w:tc>
        <w:tc>
          <w:tcPr>
            <w:tcW w:w="465" w:type="dxa"/>
            <w:tcBorders>
              <w:top w:val="single" w:sz="2" w:space="0" w:color="auto"/>
              <w:left w:val="single" w:sz="2" w:space="0" w:color="auto"/>
              <w:bottom w:val="single" w:sz="2" w:space="0" w:color="auto"/>
              <w:right w:val="single" w:sz="2" w:space="0" w:color="auto"/>
            </w:tcBorders>
          </w:tcPr>
          <w:p w14:paraId="0284AD6B" w14:textId="77777777" w:rsidR="009F4766" w:rsidRPr="00DE12A3" w:rsidRDefault="009F4766" w:rsidP="00C917D6">
            <w:pPr>
              <w:pStyle w:val="NormalLeft"/>
              <w:rPr>
                <w:sz w:val="14"/>
                <w:szCs w:val="14"/>
              </w:rPr>
            </w:pPr>
            <w:r w:rsidRPr="00DE12A3">
              <w:rPr>
                <w:sz w:val="14"/>
                <w:szCs w:val="14"/>
              </w:rPr>
              <w:t>1,587</w:t>
            </w:r>
          </w:p>
        </w:tc>
        <w:tc>
          <w:tcPr>
            <w:tcW w:w="464" w:type="dxa"/>
            <w:tcBorders>
              <w:top w:val="single" w:sz="2" w:space="0" w:color="auto"/>
              <w:left w:val="single" w:sz="2" w:space="0" w:color="auto"/>
              <w:bottom w:val="single" w:sz="2" w:space="0" w:color="auto"/>
              <w:right w:val="single" w:sz="2" w:space="0" w:color="auto"/>
            </w:tcBorders>
          </w:tcPr>
          <w:p w14:paraId="36FD8709" w14:textId="77777777" w:rsidR="009F4766" w:rsidRPr="00DE12A3" w:rsidRDefault="009F4766" w:rsidP="00C917D6">
            <w:pPr>
              <w:pStyle w:val="NormalLeft"/>
              <w:rPr>
                <w:sz w:val="14"/>
                <w:szCs w:val="14"/>
              </w:rPr>
            </w:pPr>
            <w:r w:rsidRPr="00DE12A3">
              <w:rPr>
                <w:sz w:val="14"/>
                <w:szCs w:val="14"/>
              </w:rPr>
              <w:t>1,549</w:t>
            </w:r>
          </w:p>
        </w:tc>
      </w:tr>
      <w:tr w:rsidR="00DE12A3" w:rsidRPr="00DE12A3" w14:paraId="0B422BB4" w14:textId="77777777" w:rsidTr="009F4766">
        <w:tc>
          <w:tcPr>
            <w:tcW w:w="464" w:type="dxa"/>
            <w:tcBorders>
              <w:top w:val="single" w:sz="2" w:space="0" w:color="auto"/>
              <w:left w:val="single" w:sz="2" w:space="0" w:color="auto"/>
              <w:bottom w:val="single" w:sz="2" w:space="0" w:color="auto"/>
              <w:right w:val="single" w:sz="2" w:space="0" w:color="auto"/>
            </w:tcBorders>
          </w:tcPr>
          <w:p w14:paraId="1E0F9AA4" w14:textId="77777777" w:rsidR="009F4766" w:rsidRPr="00DE12A3" w:rsidRDefault="009F4766" w:rsidP="00C917D6">
            <w:pPr>
              <w:pStyle w:val="NormalLeft"/>
              <w:rPr>
                <w:sz w:val="14"/>
                <w:szCs w:val="14"/>
              </w:rPr>
            </w:pPr>
            <w:r w:rsidRPr="00DE12A3">
              <w:rPr>
                <w:sz w:val="14"/>
                <w:szCs w:val="14"/>
              </w:rPr>
              <w:t>24</w:t>
            </w:r>
          </w:p>
        </w:tc>
        <w:tc>
          <w:tcPr>
            <w:tcW w:w="465" w:type="dxa"/>
            <w:tcBorders>
              <w:top w:val="single" w:sz="2" w:space="0" w:color="auto"/>
              <w:left w:val="single" w:sz="2" w:space="0" w:color="auto"/>
              <w:bottom w:val="single" w:sz="2" w:space="0" w:color="auto"/>
              <w:right w:val="single" w:sz="2" w:space="0" w:color="auto"/>
            </w:tcBorders>
          </w:tcPr>
          <w:p w14:paraId="57AC4FE8" w14:textId="77777777" w:rsidR="009F4766" w:rsidRPr="00DE12A3" w:rsidRDefault="009F4766" w:rsidP="00C917D6">
            <w:pPr>
              <w:pStyle w:val="NormalLeft"/>
              <w:rPr>
                <w:sz w:val="14"/>
                <w:szCs w:val="14"/>
              </w:rPr>
            </w:pPr>
            <w:r w:rsidRPr="00DE12A3">
              <w:rPr>
                <w:sz w:val="14"/>
                <w:szCs w:val="14"/>
              </w:rPr>
              <w:t>2,927</w:t>
            </w:r>
          </w:p>
        </w:tc>
        <w:tc>
          <w:tcPr>
            <w:tcW w:w="464" w:type="dxa"/>
            <w:tcBorders>
              <w:top w:val="single" w:sz="2" w:space="0" w:color="auto"/>
              <w:left w:val="single" w:sz="2" w:space="0" w:color="auto"/>
              <w:bottom w:val="single" w:sz="2" w:space="0" w:color="auto"/>
              <w:right w:val="single" w:sz="2" w:space="0" w:color="auto"/>
            </w:tcBorders>
          </w:tcPr>
          <w:p w14:paraId="08825851" w14:textId="77777777" w:rsidR="009F4766" w:rsidRPr="00DE12A3" w:rsidRDefault="009F4766" w:rsidP="00C917D6">
            <w:pPr>
              <w:pStyle w:val="NormalLeft"/>
              <w:rPr>
                <w:sz w:val="14"/>
                <w:szCs w:val="14"/>
              </w:rPr>
            </w:pPr>
            <w:r w:rsidRPr="00DE12A3">
              <w:rPr>
                <w:sz w:val="14"/>
                <w:szCs w:val="14"/>
              </w:rPr>
              <w:t>2,538</w:t>
            </w:r>
          </w:p>
        </w:tc>
        <w:tc>
          <w:tcPr>
            <w:tcW w:w="464" w:type="dxa"/>
            <w:tcBorders>
              <w:top w:val="single" w:sz="2" w:space="0" w:color="auto"/>
              <w:left w:val="single" w:sz="2" w:space="0" w:color="auto"/>
              <w:bottom w:val="single" w:sz="2" w:space="0" w:color="auto"/>
              <w:right w:val="single" w:sz="2" w:space="0" w:color="auto"/>
            </w:tcBorders>
          </w:tcPr>
          <w:p w14:paraId="0B82D786" w14:textId="77777777" w:rsidR="009F4766" w:rsidRPr="00DE12A3" w:rsidRDefault="009F4766" w:rsidP="00C917D6">
            <w:pPr>
              <w:pStyle w:val="NormalLeft"/>
              <w:rPr>
                <w:sz w:val="14"/>
                <w:szCs w:val="14"/>
              </w:rPr>
            </w:pPr>
            <w:r w:rsidRPr="00DE12A3">
              <w:rPr>
                <w:sz w:val="14"/>
                <w:szCs w:val="14"/>
              </w:rPr>
              <w:t>2,327</w:t>
            </w:r>
          </w:p>
        </w:tc>
        <w:tc>
          <w:tcPr>
            <w:tcW w:w="465" w:type="dxa"/>
            <w:tcBorders>
              <w:top w:val="single" w:sz="2" w:space="0" w:color="auto"/>
              <w:left w:val="single" w:sz="2" w:space="0" w:color="auto"/>
              <w:bottom w:val="single" w:sz="2" w:space="0" w:color="auto"/>
              <w:right w:val="single" w:sz="2" w:space="0" w:color="auto"/>
            </w:tcBorders>
          </w:tcPr>
          <w:p w14:paraId="3592D6B8" w14:textId="77777777" w:rsidR="009F4766" w:rsidRPr="00DE12A3" w:rsidRDefault="009F4766" w:rsidP="00C917D6">
            <w:pPr>
              <w:pStyle w:val="NormalLeft"/>
              <w:rPr>
                <w:sz w:val="14"/>
                <w:szCs w:val="14"/>
              </w:rPr>
            </w:pPr>
            <w:r w:rsidRPr="00DE12A3">
              <w:rPr>
                <w:sz w:val="14"/>
                <w:szCs w:val="14"/>
              </w:rPr>
              <w:t>2,195</w:t>
            </w:r>
          </w:p>
        </w:tc>
        <w:tc>
          <w:tcPr>
            <w:tcW w:w="464" w:type="dxa"/>
            <w:tcBorders>
              <w:top w:val="single" w:sz="2" w:space="0" w:color="auto"/>
              <w:left w:val="single" w:sz="2" w:space="0" w:color="auto"/>
              <w:bottom w:val="single" w:sz="2" w:space="0" w:color="auto"/>
              <w:right w:val="single" w:sz="2" w:space="0" w:color="auto"/>
            </w:tcBorders>
          </w:tcPr>
          <w:p w14:paraId="5D441CAB" w14:textId="77777777" w:rsidR="009F4766" w:rsidRPr="00DE12A3" w:rsidRDefault="009F4766" w:rsidP="00C917D6">
            <w:pPr>
              <w:pStyle w:val="NormalLeft"/>
              <w:rPr>
                <w:sz w:val="14"/>
                <w:szCs w:val="14"/>
              </w:rPr>
            </w:pPr>
            <w:r w:rsidRPr="00DE12A3">
              <w:rPr>
                <w:sz w:val="14"/>
                <w:szCs w:val="14"/>
              </w:rPr>
              <w:t>2,103</w:t>
            </w:r>
          </w:p>
        </w:tc>
        <w:tc>
          <w:tcPr>
            <w:tcW w:w="464" w:type="dxa"/>
            <w:tcBorders>
              <w:top w:val="single" w:sz="2" w:space="0" w:color="auto"/>
              <w:left w:val="single" w:sz="2" w:space="0" w:color="auto"/>
              <w:bottom w:val="single" w:sz="2" w:space="0" w:color="auto"/>
              <w:right w:val="single" w:sz="2" w:space="0" w:color="auto"/>
            </w:tcBorders>
          </w:tcPr>
          <w:p w14:paraId="190CC56F" w14:textId="77777777" w:rsidR="009F4766" w:rsidRPr="00DE12A3" w:rsidRDefault="009F4766" w:rsidP="00C917D6">
            <w:pPr>
              <w:pStyle w:val="NormalLeft"/>
              <w:rPr>
                <w:sz w:val="14"/>
                <w:szCs w:val="14"/>
              </w:rPr>
            </w:pPr>
            <w:r w:rsidRPr="00DE12A3">
              <w:rPr>
                <w:sz w:val="14"/>
                <w:szCs w:val="14"/>
              </w:rPr>
              <w:t>2,035</w:t>
            </w:r>
          </w:p>
        </w:tc>
        <w:tc>
          <w:tcPr>
            <w:tcW w:w="464" w:type="dxa"/>
            <w:tcBorders>
              <w:top w:val="single" w:sz="2" w:space="0" w:color="auto"/>
              <w:left w:val="single" w:sz="2" w:space="0" w:color="auto"/>
              <w:bottom w:val="single" w:sz="2" w:space="0" w:color="auto"/>
              <w:right w:val="single" w:sz="2" w:space="0" w:color="auto"/>
            </w:tcBorders>
          </w:tcPr>
          <w:p w14:paraId="19FEE9BA" w14:textId="77777777" w:rsidR="009F4766" w:rsidRPr="00DE12A3" w:rsidRDefault="009F4766" w:rsidP="00C917D6">
            <w:pPr>
              <w:pStyle w:val="NormalLeft"/>
              <w:rPr>
                <w:sz w:val="14"/>
                <w:szCs w:val="14"/>
              </w:rPr>
            </w:pPr>
            <w:r w:rsidRPr="00DE12A3">
              <w:rPr>
                <w:sz w:val="14"/>
                <w:szCs w:val="14"/>
              </w:rPr>
              <w:t>1,983</w:t>
            </w:r>
          </w:p>
        </w:tc>
        <w:tc>
          <w:tcPr>
            <w:tcW w:w="465" w:type="dxa"/>
            <w:tcBorders>
              <w:top w:val="single" w:sz="2" w:space="0" w:color="auto"/>
              <w:left w:val="single" w:sz="2" w:space="0" w:color="auto"/>
              <w:bottom w:val="single" w:sz="2" w:space="0" w:color="auto"/>
              <w:right w:val="single" w:sz="2" w:space="0" w:color="auto"/>
            </w:tcBorders>
          </w:tcPr>
          <w:p w14:paraId="63593319" w14:textId="77777777" w:rsidR="009F4766" w:rsidRPr="00DE12A3" w:rsidRDefault="009F4766" w:rsidP="00C917D6">
            <w:pPr>
              <w:pStyle w:val="NormalLeft"/>
              <w:rPr>
                <w:sz w:val="14"/>
                <w:szCs w:val="14"/>
              </w:rPr>
            </w:pPr>
            <w:r w:rsidRPr="00DE12A3">
              <w:rPr>
                <w:sz w:val="14"/>
                <w:szCs w:val="14"/>
              </w:rPr>
              <w:t>1,941</w:t>
            </w:r>
          </w:p>
        </w:tc>
        <w:tc>
          <w:tcPr>
            <w:tcW w:w="464" w:type="dxa"/>
            <w:tcBorders>
              <w:top w:val="single" w:sz="2" w:space="0" w:color="auto"/>
              <w:left w:val="single" w:sz="2" w:space="0" w:color="auto"/>
              <w:bottom w:val="single" w:sz="2" w:space="0" w:color="auto"/>
              <w:right w:val="single" w:sz="2" w:space="0" w:color="auto"/>
            </w:tcBorders>
          </w:tcPr>
          <w:p w14:paraId="700A3E90" w14:textId="77777777" w:rsidR="009F4766" w:rsidRPr="00DE12A3" w:rsidRDefault="009F4766" w:rsidP="00C917D6">
            <w:pPr>
              <w:pStyle w:val="NormalLeft"/>
              <w:rPr>
                <w:sz w:val="14"/>
                <w:szCs w:val="14"/>
              </w:rPr>
            </w:pPr>
            <w:r w:rsidRPr="00DE12A3">
              <w:rPr>
                <w:sz w:val="14"/>
                <w:szCs w:val="14"/>
              </w:rPr>
              <w:t>1,906</w:t>
            </w:r>
          </w:p>
        </w:tc>
        <w:tc>
          <w:tcPr>
            <w:tcW w:w="464" w:type="dxa"/>
            <w:tcBorders>
              <w:top w:val="single" w:sz="2" w:space="0" w:color="auto"/>
              <w:left w:val="single" w:sz="2" w:space="0" w:color="auto"/>
              <w:bottom w:val="single" w:sz="2" w:space="0" w:color="auto"/>
              <w:right w:val="single" w:sz="2" w:space="0" w:color="auto"/>
            </w:tcBorders>
          </w:tcPr>
          <w:p w14:paraId="540F1D83" w14:textId="77777777" w:rsidR="009F4766" w:rsidRPr="00DE12A3" w:rsidRDefault="009F4766" w:rsidP="00C917D6">
            <w:pPr>
              <w:pStyle w:val="NormalLeft"/>
              <w:rPr>
                <w:sz w:val="14"/>
                <w:szCs w:val="14"/>
              </w:rPr>
            </w:pPr>
            <w:r w:rsidRPr="00DE12A3">
              <w:rPr>
                <w:sz w:val="14"/>
                <w:szCs w:val="14"/>
              </w:rPr>
              <w:t>1,877</w:t>
            </w:r>
          </w:p>
        </w:tc>
        <w:tc>
          <w:tcPr>
            <w:tcW w:w="465" w:type="dxa"/>
            <w:tcBorders>
              <w:top w:val="single" w:sz="2" w:space="0" w:color="auto"/>
              <w:left w:val="single" w:sz="2" w:space="0" w:color="auto"/>
              <w:bottom w:val="single" w:sz="2" w:space="0" w:color="auto"/>
              <w:right w:val="single" w:sz="2" w:space="0" w:color="auto"/>
            </w:tcBorders>
          </w:tcPr>
          <w:p w14:paraId="62EC0686" w14:textId="77777777" w:rsidR="009F4766" w:rsidRPr="00DE12A3" w:rsidRDefault="009F4766" w:rsidP="00C917D6">
            <w:pPr>
              <w:pStyle w:val="NormalLeft"/>
              <w:rPr>
                <w:sz w:val="14"/>
                <w:szCs w:val="14"/>
              </w:rPr>
            </w:pPr>
            <w:r w:rsidRPr="00DE12A3">
              <w:rPr>
                <w:sz w:val="14"/>
                <w:szCs w:val="14"/>
              </w:rPr>
              <w:t>1,832</w:t>
            </w:r>
          </w:p>
        </w:tc>
        <w:tc>
          <w:tcPr>
            <w:tcW w:w="464" w:type="dxa"/>
            <w:tcBorders>
              <w:top w:val="single" w:sz="2" w:space="0" w:color="auto"/>
              <w:left w:val="single" w:sz="2" w:space="0" w:color="auto"/>
              <w:bottom w:val="single" w:sz="2" w:space="0" w:color="auto"/>
              <w:right w:val="single" w:sz="2" w:space="0" w:color="auto"/>
            </w:tcBorders>
          </w:tcPr>
          <w:p w14:paraId="13C33E04" w14:textId="77777777" w:rsidR="009F4766" w:rsidRPr="00DE12A3" w:rsidRDefault="009F4766" w:rsidP="00C917D6">
            <w:pPr>
              <w:pStyle w:val="NormalLeft"/>
              <w:rPr>
                <w:sz w:val="14"/>
                <w:szCs w:val="14"/>
              </w:rPr>
            </w:pPr>
            <w:r w:rsidRPr="00DE12A3">
              <w:rPr>
                <w:sz w:val="14"/>
                <w:szCs w:val="14"/>
              </w:rPr>
              <w:t>1,783</w:t>
            </w:r>
          </w:p>
        </w:tc>
        <w:tc>
          <w:tcPr>
            <w:tcW w:w="464" w:type="dxa"/>
            <w:tcBorders>
              <w:top w:val="single" w:sz="2" w:space="0" w:color="auto"/>
              <w:left w:val="single" w:sz="2" w:space="0" w:color="auto"/>
              <w:bottom w:val="single" w:sz="2" w:space="0" w:color="auto"/>
              <w:right w:val="single" w:sz="2" w:space="0" w:color="auto"/>
            </w:tcBorders>
          </w:tcPr>
          <w:p w14:paraId="442ED22E" w14:textId="77777777" w:rsidR="009F4766" w:rsidRPr="00DE12A3" w:rsidRDefault="009F4766" w:rsidP="00C917D6">
            <w:pPr>
              <w:pStyle w:val="NormalLeft"/>
              <w:rPr>
                <w:sz w:val="14"/>
                <w:szCs w:val="14"/>
              </w:rPr>
            </w:pPr>
            <w:r w:rsidRPr="00DE12A3">
              <w:rPr>
                <w:sz w:val="14"/>
                <w:szCs w:val="14"/>
              </w:rPr>
              <w:t>1,730</w:t>
            </w:r>
          </w:p>
        </w:tc>
        <w:tc>
          <w:tcPr>
            <w:tcW w:w="465" w:type="dxa"/>
            <w:tcBorders>
              <w:top w:val="single" w:sz="2" w:space="0" w:color="auto"/>
              <w:left w:val="single" w:sz="2" w:space="0" w:color="auto"/>
              <w:bottom w:val="single" w:sz="2" w:space="0" w:color="auto"/>
              <w:right w:val="single" w:sz="2" w:space="0" w:color="auto"/>
            </w:tcBorders>
          </w:tcPr>
          <w:p w14:paraId="5342076D" w14:textId="77777777" w:rsidR="009F4766" w:rsidRPr="00DE12A3" w:rsidRDefault="009F4766" w:rsidP="00C917D6">
            <w:pPr>
              <w:pStyle w:val="NormalLeft"/>
              <w:rPr>
                <w:sz w:val="14"/>
                <w:szCs w:val="14"/>
              </w:rPr>
            </w:pPr>
            <w:r w:rsidRPr="00DE12A3">
              <w:rPr>
                <w:sz w:val="14"/>
                <w:szCs w:val="14"/>
              </w:rPr>
              <w:t>1,702</w:t>
            </w:r>
          </w:p>
        </w:tc>
        <w:tc>
          <w:tcPr>
            <w:tcW w:w="464" w:type="dxa"/>
            <w:tcBorders>
              <w:top w:val="single" w:sz="2" w:space="0" w:color="auto"/>
              <w:left w:val="single" w:sz="2" w:space="0" w:color="auto"/>
              <w:bottom w:val="single" w:sz="2" w:space="0" w:color="auto"/>
              <w:right w:val="single" w:sz="2" w:space="0" w:color="auto"/>
            </w:tcBorders>
          </w:tcPr>
          <w:p w14:paraId="2723BCD6" w14:textId="77777777" w:rsidR="009F4766" w:rsidRPr="00DE12A3" w:rsidRDefault="009F4766" w:rsidP="00C917D6">
            <w:pPr>
              <w:pStyle w:val="NormalLeft"/>
              <w:rPr>
                <w:sz w:val="14"/>
                <w:szCs w:val="14"/>
              </w:rPr>
            </w:pPr>
            <w:r w:rsidRPr="00DE12A3">
              <w:rPr>
                <w:sz w:val="14"/>
                <w:szCs w:val="14"/>
              </w:rPr>
              <w:t>1,672</w:t>
            </w:r>
          </w:p>
        </w:tc>
        <w:tc>
          <w:tcPr>
            <w:tcW w:w="464" w:type="dxa"/>
            <w:tcBorders>
              <w:top w:val="single" w:sz="2" w:space="0" w:color="auto"/>
              <w:left w:val="single" w:sz="2" w:space="0" w:color="auto"/>
              <w:bottom w:val="single" w:sz="2" w:space="0" w:color="auto"/>
              <w:right w:val="single" w:sz="2" w:space="0" w:color="auto"/>
            </w:tcBorders>
          </w:tcPr>
          <w:p w14:paraId="21102839" w14:textId="77777777" w:rsidR="009F4766" w:rsidRPr="00DE12A3" w:rsidRDefault="009F4766" w:rsidP="00C917D6">
            <w:pPr>
              <w:pStyle w:val="NormalLeft"/>
              <w:rPr>
                <w:sz w:val="14"/>
                <w:szCs w:val="14"/>
              </w:rPr>
            </w:pPr>
            <w:r w:rsidRPr="00DE12A3">
              <w:rPr>
                <w:sz w:val="14"/>
                <w:szCs w:val="14"/>
              </w:rPr>
              <w:t>1,641</w:t>
            </w:r>
          </w:p>
        </w:tc>
        <w:tc>
          <w:tcPr>
            <w:tcW w:w="464" w:type="dxa"/>
            <w:tcBorders>
              <w:top w:val="single" w:sz="2" w:space="0" w:color="auto"/>
              <w:left w:val="single" w:sz="2" w:space="0" w:color="auto"/>
              <w:bottom w:val="single" w:sz="2" w:space="0" w:color="auto"/>
              <w:right w:val="single" w:sz="2" w:space="0" w:color="auto"/>
            </w:tcBorders>
          </w:tcPr>
          <w:p w14:paraId="03E3DB51" w14:textId="77777777" w:rsidR="009F4766" w:rsidRPr="00DE12A3" w:rsidRDefault="009F4766" w:rsidP="00C917D6">
            <w:pPr>
              <w:pStyle w:val="NormalLeft"/>
              <w:rPr>
                <w:sz w:val="14"/>
                <w:szCs w:val="14"/>
              </w:rPr>
            </w:pPr>
            <w:r w:rsidRPr="00DE12A3">
              <w:rPr>
                <w:sz w:val="14"/>
                <w:szCs w:val="14"/>
              </w:rPr>
              <w:t>1,607</w:t>
            </w:r>
          </w:p>
        </w:tc>
        <w:tc>
          <w:tcPr>
            <w:tcW w:w="465" w:type="dxa"/>
            <w:tcBorders>
              <w:top w:val="single" w:sz="2" w:space="0" w:color="auto"/>
              <w:left w:val="single" w:sz="2" w:space="0" w:color="auto"/>
              <w:bottom w:val="single" w:sz="2" w:space="0" w:color="auto"/>
              <w:right w:val="single" w:sz="2" w:space="0" w:color="auto"/>
            </w:tcBorders>
          </w:tcPr>
          <w:p w14:paraId="57616646" w14:textId="77777777" w:rsidR="009F4766" w:rsidRPr="00DE12A3" w:rsidRDefault="009F4766" w:rsidP="00C917D6">
            <w:pPr>
              <w:pStyle w:val="NormalLeft"/>
              <w:rPr>
                <w:sz w:val="14"/>
                <w:szCs w:val="14"/>
              </w:rPr>
            </w:pPr>
            <w:r w:rsidRPr="00DE12A3">
              <w:rPr>
                <w:sz w:val="14"/>
                <w:szCs w:val="14"/>
              </w:rPr>
              <w:t>1,571</w:t>
            </w:r>
          </w:p>
        </w:tc>
        <w:tc>
          <w:tcPr>
            <w:tcW w:w="464" w:type="dxa"/>
            <w:tcBorders>
              <w:top w:val="single" w:sz="2" w:space="0" w:color="auto"/>
              <w:left w:val="single" w:sz="2" w:space="0" w:color="auto"/>
              <w:bottom w:val="single" w:sz="2" w:space="0" w:color="auto"/>
              <w:right w:val="single" w:sz="2" w:space="0" w:color="auto"/>
            </w:tcBorders>
          </w:tcPr>
          <w:p w14:paraId="4E9D7FF1" w14:textId="77777777" w:rsidR="009F4766" w:rsidRPr="00DE12A3" w:rsidRDefault="009F4766" w:rsidP="00C917D6">
            <w:pPr>
              <w:pStyle w:val="NormalLeft"/>
              <w:rPr>
                <w:sz w:val="14"/>
                <w:szCs w:val="14"/>
              </w:rPr>
            </w:pPr>
            <w:r w:rsidRPr="00DE12A3">
              <w:rPr>
                <w:sz w:val="14"/>
                <w:szCs w:val="14"/>
              </w:rPr>
              <w:t>1,533</w:t>
            </w:r>
          </w:p>
        </w:tc>
      </w:tr>
      <w:tr w:rsidR="00DE12A3" w:rsidRPr="00DE12A3" w14:paraId="31BB81FD" w14:textId="77777777" w:rsidTr="009F4766">
        <w:tc>
          <w:tcPr>
            <w:tcW w:w="464" w:type="dxa"/>
            <w:tcBorders>
              <w:top w:val="single" w:sz="2" w:space="0" w:color="auto"/>
              <w:left w:val="single" w:sz="2" w:space="0" w:color="auto"/>
              <w:bottom w:val="single" w:sz="2" w:space="0" w:color="auto"/>
              <w:right w:val="single" w:sz="2" w:space="0" w:color="auto"/>
            </w:tcBorders>
          </w:tcPr>
          <w:p w14:paraId="04934221" w14:textId="77777777" w:rsidR="009F4766" w:rsidRPr="00DE12A3" w:rsidRDefault="009F4766" w:rsidP="00C917D6">
            <w:pPr>
              <w:pStyle w:val="NormalLeft"/>
              <w:rPr>
                <w:sz w:val="14"/>
                <w:szCs w:val="14"/>
              </w:rPr>
            </w:pPr>
            <w:r w:rsidRPr="00DE12A3">
              <w:rPr>
                <w:sz w:val="14"/>
                <w:szCs w:val="14"/>
              </w:rPr>
              <w:t>25</w:t>
            </w:r>
          </w:p>
        </w:tc>
        <w:tc>
          <w:tcPr>
            <w:tcW w:w="465" w:type="dxa"/>
            <w:tcBorders>
              <w:top w:val="single" w:sz="2" w:space="0" w:color="auto"/>
              <w:left w:val="single" w:sz="2" w:space="0" w:color="auto"/>
              <w:bottom w:val="single" w:sz="2" w:space="0" w:color="auto"/>
              <w:right w:val="single" w:sz="2" w:space="0" w:color="auto"/>
            </w:tcBorders>
          </w:tcPr>
          <w:p w14:paraId="205CA623" w14:textId="77777777" w:rsidR="009F4766" w:rsidRPr="00DE12A3" w:rsidRDefault="009F4766" w:rsidP="00C917D6">
            <w:pPr>
              <w:pStyle w:val="NormalLeft"/>
              <w:rPr>
                <w:sz w:val="14"/>
                <w:szCs w:val="14"/>
              </w:rPr>
            </w:pPr>
            <w:r w:rsidRPr="00DE12A3">
              <w:rPr>
                <w:sz w:val="14"/>
                <w:szCs w:val="14"/>
              </w:rPr>
              <w:t>2,918</w:t>
            </w:r>
          </w:p>
        </w:tc>
        <w:tc>
          <w:tcPr>
            <w:tcW w:w="464" w:type="dxa"/>
            <w:tcBorders>
              <w:top w:val="single" w:sz="2" w:space="0" w:color="auto"/>
              <w:left w:val="single" w:sz="2" w:space="0" w:color="auto"/>
              <w:bottom w:val="single" w:sz="2" w:space="0" w:color="auto"/>
              <w:right w:val="single" w:sz="2" w:space="0" w:color="auto"/>
            </w:tcBorders>
          </w:tcPr>
          <w:p w14:paraId="1D5E3E65" w14:textId="77777777" w:rsidR="009F4766" w:rsidRPr="00DE12A3" w:rsidRDefault="009F4766" w:rsidP="00C917D6">
            <w:pPr>
              <w:pStyle w:val="NormalLeft"/>
              <w:rPr>
                <w:sz w:val="14"/>
                <w:szCs w:val="14"/>
              </w:rPr>
            </w:pPr>
            <w:r w:rsidRPr="00DE12A3">
              <w:rPr>
                <w:sz w:val="14"/>
                <w:szCs w:val="14"/>
              </w:rPr>
              <w:t>2,528</w:t>
            </w:r>
          </w:p>
        </w:tc>
        <w:tc>
          <w:tcPr>
            <w:tcW w:w="464" w:type="dxa"/>
            <w:tcBorders>
              <w:top w:val="single" w:sz="2" w:space="0" w:color="auto"/>
              <w:left w:val="single" w:sz="2" w:space="0" w:color="auto"/>
              <w:bottom w:val="single" w:sz="2" w:space="0" w:color="auto"/>
              <w:right w:val="single" w:sz="2" w:space="0" w:color="auto"/>
            </w:tcBorders>
          </w:tcPr>
          <w:p w14:paraId="438C6C94" w14:textId="77777777" w:rsidR="009F4766" w:rsidRPr="00DE12A3" w:rsidRDefault="009F4766" w:rsidP="00C917D6">
            <w:pPr>
              <w:pStyle w:val="NormalLeft"/>
              <w:rPr>
                <w:sz w:val="14"/>
                <w:szCs w:val="14"/>
              </w:rPr>
            </w:pPr>
            <w:r w:rsidRPr="00DE12A3">
              <w:rPr>
                <w:sz w:val="14"/>
                <w:szCs w:val="14"/>
              </w:rPr>
              <w:t>2,317</w:t>
            </w:r>
          </w:p>
        </w:tc>
        <w:tc>
          <w:tcPr>
            <w:tcW w:w="465" w:type="dxa"/>
            <w:tcBorders>
              <w:top w:val="single" w:sz="2" w:space="0" w:color="auto"/>
              <w:left w:val="single" w:sz="2" w:space="0" w:color="auto"/>
              <w:bottom w:val="single" w:sz="2" w:space="0" w:color="auto"/>
              <w:right w:val="single" w:sz="2" w:space="0" w:color="auto"/>
            </w:tcBorders>
          </w:tcPr>
          <w:p w14:paraId="7D2E32F8" w14:textId="77777777" w:rsidR="009F4766" w:rsidRPr="00DE12A3" w:rsidRDefault="009F4766" w:rsidP="00C917D6">
            <w:pPr>
              <w:pStyle w:val="NormalLeft"/>
              <w:rPr>
                <w:sz w:val="14"/>
                <w:szCs w:val="14"/>
              </w:rPr>
            </w:pPr>
            <w:r w:rsidRPr="00DE12A3">
              <w:rPr>
                <w:sz w:val="14"/>
                <w:szCs w:val="14"/>
              </w:rPr>
              <w:t>2,184</w:t>
            </w:r>
          </w:p>
        </w:tc>
        <w:tc>
          <w:tcPr>
            <w:tcW w:w="464" w:type="dxa"/>
            <w:tcBorders>
              <w:top w:val="single" w:sz="2" w:space="0" w:color="auto"/>
              <w:left w:val="single" w:sz="2" w:space="0" w:color="auto"/>
              <w:bottom w:val="single" w:sz="2" w:space="0" w:color="auto"/>
              <w:right w:val="single" w:sz="2" w:space="0" w:color="auto"/>
            </w:tcBorders>
          </w:tcPr>
          <w:p w14:paraId="70663FB0" w14:textId="77777777" w:rsidR="009F4766" w:rsidRPr="00DE12A3" w:rsidRDefault="009F4766" w:rsidP="00C917D6">
            <w:pPr>
              <w:pStyle w:val="NormalLeft"/>
              <w:rPr>
                <w:sz w:val="14"/>
                <w:szCs w:val="14"/>
              </w:rPr>
            </w:pPr>
            <w:r w:rsidRPr="00DE12A3">
              <w:rPr>
                <w:sz w:val="14"/>
                <w:szCs w:val="14"/>
              </w:rPr>
              <w:t>2,092</w:t>
            </w:r>
          </w:p>
        </w:tc>
        <w:tc>
          <w:tcPr>
            <w:tcW w:w="464" w:type="dxa"/>
            <w:tcBorders>
              <w:top w:val="single" w:sz="2" w:space="0" w:color="auto"/>
              <w:left w:val="single" w:sz="2" w:space="0" w:color="auto"/>
              <w:bottom w:val="single" w:sz="2" w:space="0" w:color="auto"/>
              <w:right w:val="single" w:sz="2" w:space="0" w:color="auto"/>
            </w:tcBorders>
          </w:tcPr>
          <w:p w14:paraId="1DA63CD9" w14:textId="77777777" w:rsidR="009F4766" w:rsidRPr="00DE12A3" w:rsidRDefault="009F4766" w:rsidP="00C917D6">
            <w:pPr>
              <w:pStyle w:val="NormalLeft"/>
              <w:rPr>
                <w:sz w:val="14"/>
                <w:szCs w:val="14"/>
              </w:rPr>
            </w:pPr>
            <w:r w:rsidRPr="00DE12A3">
              <w:rPr>
                <w:sz w:val="14"/>
                <w:szCs w:val="14"/>
              </w:rPr>
              <w:t>2,024</w:t>
            </w:r>
          </w:p>
        </w:tc>
        <w:tc>
          <w:tcPr>
            <w:tcW w:w="464" w:type="dxa"/>
            <w:tcBorders>
              <w:top w:val="single" w:sz="2" w:space="0" w:color="auto"/>
              <w:left w:val="single" w:sz="2" w:space="0" w:color="auto"/>
              <w:bottom w:val="single" w:sz="2" w:space="0" w:color="auto"/>
              <w:right w:val="single" w:sz="2" w:space="0" w:color="auto"/>
            </w:tcBorders>
          </w:tcPr>
          <w:p w14:paraId="0D7918B1" w14:textId="77777777" w:rsidR="009F4766" w:rsidRPr="00DE12A3" w:rsidRDefault="009F4766" w:rsidP="00C917D6">
            <w:pPr>
              <w:pStyle w:val="NormalLeft"/>
              <w:rPr>
                <w:sz w:val="14"/>
                <w:szCs w:val="14"/>
              </w:rPr>
            </w:pPr>
            <w:r w:rsidRPr="00DE12A3">
              <w:rPr>
                <w:sz w:val="14"/>
                <w:szCs w:val="14"/>
              </w:rPr>
              <w:t>1,971</w:t>
            </w:r>
          </w:p>
        </w:tc>
        <w:tc>
          <w:tcPr>
            <w:tcW w:w="465" w:type="dxa"/>
            <w:tcBorders>
              <w:top w:val="single" w:sz="2" w:space="0" w:color="auto"/>
              <w:left w:val="single" w:sz="2" w:space="0" w:color="auto"/>
              <w:bottom w:val="single" w:sz="2" w:space="0" w:color="auto"/>
              <w:right w:val="single" w:sz="2" w:space="0" w:color="auto"/>
            </w:tcBorders>
          </w:tcPr>
          <w:p w14:paraId="79B4F931" w14:textId="77777777" w:rsidR="009F4766" w:rsidRPr="00DE12A3" w:rsidRDefault="009F4766" w:rsidP="00C917D6">
            <w:pPr>
              <w:pStyle w:val="NormalLeft"/>
              <w:rPr>
                <w:sz w:val="14"/>
                <w:szCs w:val="14"/>
              </w:rPr>
            </w:pPr>
            <w:r w:rsidRPr="00DE12A3">
              <w:rPr>
                <w:sz w:val="14"/>
                <w:szCs w:val="14"/>
              </w:rPr>
              <w:t>1,929</w:t>
            </w:r>
          </w:p>
        </w:tc>
        <w:tc>
          <w:tcPr>
            <w:tcW w:w="464" w:type="dxa"/>
            <w:tcBorders>
              <w:top w:val="single" w:sz="2" w:space="0" w:color="auto"/>
              <w:left w:val="single" w:sz="2" w:space="0" w:color="auto"/>
              <w:bottom w:val="single" w:sz="2" w:space="0" w:color="auto"/>
              <w:right w:val="single" w:sz="2" w:space="0" w:color="auto"/>
            </w:tcBorders>
          </w:tcPr>
          <w:p w14:paraId="2EC8C42A" w14:textId="77777777" w:rsidR="009F4766" w:rsidRPr="00DE12A3" w:rsidRDefault="009F4766" w:rsidP="00C917D6">
            <w:pPr>
              <w:pStyle w:val="NormalLeft"/>
              <w:rPr>
                <w:sz w:val="14"/>
                <w:szCs w:val="14"/>
              </w:rPr>
            </w:pPr>
            <w:r w:rsidRPr="00DE12A3">
              <w:rPr>
                <w:sz w:val="14"/>
                <w:szCs w:val="14"/>
              </w:rPr>
              <w:t>1,895</w:t>
            </w:r>
          </w:p>
        </w:tc>
        <w:tc>
          <w:tcPr>
            <w:tcW w:w="464" w:type="dxa"/>
            <w:tcBorders>
              <w:top w:val="single" w:sz="2" w:space="0" w:color="auto"/>
              <w:left w:val="single" w:sz="2" w:space="0" w:color="auto"/>
              <w:bottom w:val="single" w:sz="2" w:space="0" w:color="auto"/>
              <w:right w:val="single" w:sz="2" w:space="0" w:color="auto"/>
            </w:tcBorders>
          </w:tcPr>
          <w:p w14:paraId="671A405E" w14:textId="77777777" w:rsidR="009F4766" w:rsidRPr="00DE12A3" w:rsidRDefault="009F4766" w:rsidP="00C917D6">
            <w:pPr>
              <w:pStyle w:val="NormalLeft"/>
              <w:rPr>
                <w:sz w:val="14"/>
                <w:szCs w:val="14"/>
              </w:rPr>
            </w:pPr>
            <w:r w:rsidRPr="00DE12A3">
              <w:rPr>
                <w:sz w:val="14"/>
                <w:szCs w:val="14"/>
              </w:rPr>
              <w:t>1,866</w:t>
            </w:r>
          </w:p>
        </w:tc>
        <w:tc>
          <w:tcPr>
            <w:tcW w:w="465" w:type="dxa"/>
            <w:tcBorders>
              <w:top w:val="single" w:sz="2" w:space="0" w:color="auto"/>
              <w:left w:val="single" w:sz="2" w:space="0" w:color="auto"/>
              <w:bottom w:val="single" w:sz="2" w:space="0" w:color="auto"/>
              <w:right w:val="single" w:sz="2" w:space="0" w:color="auto"/>
            </w:tcBorders>
          </w:tcPr>
          <w:p w14:paraId="7524506E" w14:textId="77777777" w:rsidR="009F4766" w:rsidRPr="00DE12A3" w:rsidRDefault="009F4766" w:rsidP="00C917D6">
            <w:pPr>
              <w:pStyle w:val="NormalLeft"/>
              <w:rPr>
                <w:sz w:val="14"/>
                <w:szCs w:val="14"/>
              </w:rPr>
            </w:pPr>
            <w:r w:rsidRPr="00DE12A3">
              <w:rPr>
                <w:sz w:val="14"/>
                <w:szCs w:val="14"/>
              </w:rPr>
              <w:t>1,820</w:t>
            </w:r>
          </w:p>
        </w:tc>
        <w:tc>
          <w:tcPr>
            <w:tcW w:w="464" w:type="dxa"/>
            <w:tcBorders>
              <w:top w:val="single" w:sz="2" w:space="0" w:color="auto"/>
              <w:left w:val="single" w:sz="2" w:space="0" w:color="auto"/>
              <w:bottom w:val="single" w:sz="2" w:space="0" w:color="auto"/>
              <w:right w:val="single" w:sz="2" w:space="0" w:color="auto"/>
            </w:tcBorders>
          </w:tcPr>
          <w:p w14:paraId="0D2E7696" w14:textId="77777777" w:rsidR="009F4766" w:rsidRPr="00DE12A3" w:rsidRDefault="009F4766" w:rsidP="00C917D6">
            <w:pPr>
              <w:pStyle w:val="NormalLeft"/>
              <w:rPr>
                <w:sz w:val="14"/>
                <w:szCs w:val="14"/>
              </w:rPr>
            </w:pPr>
            <w:r w:rsidRPr="00DE12A3">
              <w:rPr>
                <w:sz w:val="14"/>
                <w:szCs w:val="14"/>
              </w:rPr>
              <w:t>1,771</w:t>
            </w:r>
          </w:p>
        </w:tc>
        <w:tc>
          <w:tcPr>
            <w:tcW w:w="464" w:type="dxa"/>
            <w:tcBorders>
              <w:top w:val="single" w:sz="2" w:space="0" w:color="auto"/>
              <w:left w:val="single" w:sz="2" w:space="0" w:color="auto"/>
              <w:bottom w:val="single" w:sz="2" w:space="0" w:color="auto"/>
              <w:right w:val="single" w:sz="2" w:space="0" w:color="auto"/>
            </w:tcBorders>
          </w:tcPr>
          <w:p w14:paraId="4A881E40" w14:textId="77777777" w:rsidR="009F4766" w:rsidRPr="00DE12A3" w:rsidRDefault="009F4766" w:rsidP="00C917D6">
            <w:pPr>
              <w:pStyle w:val="NormalLeft"/>
              <w:rPr>
                <w:sz w:val="14"/>
                <w:szCs w:val="14"/>
              </w:rPr>
            </w:pPr>
            <w:r w:rsidRPr="00DE12A3">
              <w:rPr>
                <w:sz w:val="14"/>
                <w:szCs w:val="14"/>
              </w:rPr>
              <w:t>1,718</w:t>
            </w:r>
          </w:p>
        </w:tc>
        <w:tc>
          <w:tcPr>
            <w:tcW w:w="465" w:type="dxa"/>
            <w:tcBorders>
              <w:top w:val="single" w:sz="2" w:space="0" w:color="auto"/>
              <w:left w:val="single" w:sz="2" w:space="0" w:color="auto"/>
              <w:bottom w:val="single" w:sz="2" w:space="0" w:color="auto"/>
              <w:right w:val="single" w:sz="2" w:space="0" w:color="auto"/>
            </w:tcBorders>
          </w:tcPr>
          <w:p w14:paraId="62FD5B35" w14:textId="77777777" w:rsidR="009F4766" w:rsidRPr="00DE12A3" w:rsidRDefault="009F4766" w:rsidP="00C917D6">
            <w:pPr>
              <w:pStyle w:val="NormalLeft"/>
              <w:rPr>
                <w:sz w:val="14"/>
                <w:szCs w:val="14"/>
              </w:rPr>
            </w:pPr>
            <w:r w:rsidRPr="00DE12A3">
              <w:rPr>
                <w:sz w:val="14"/>
                <w:szCs w:val="14"/>
              </w:rPr>
              <w:t>1,689</w:t>
            </w:r>
          </w:p>
        </w:tc>
        <w:tc>
          <w:tcPr>
            <w:tcW w:w="464" w:type="dxa"/>
            <w:tcBorders>
              <w:top w:val="single" w:sz="2" w:space="0" w:color="auto"/>
              <w:left w:val="single" w:sz="2" w:space="0" w:color="auto"/>
              <w:bottom w:val="single" w:sz="2" w:space="0" w:color="auto"/>
              <w:right w:val="single" w:sz="2" w:space="0" w:color="auto"/>
            </w:tcBorders>
          </w:tcPr>
          <w:p w14:paraId="2CA0F7EA" w14:textId="77777777" w:rsidR="009F4766" w:rsidRPr="00DE12A3" w:rsidRDefault="009F4766" w:rsidP="00C917D6">
            <w:pPr>
              <w:pStyle w:val="NormalLeft"/>
              <w:rPr>
                <w:sz w:val="14"/>
                <w:szCs w:val="14"/>
              </w:rPr>
            </w:pPr>
            <w:r w:rsidRPr="00DE12A3">
              <w:rPr>
                <w:sz w:val="14"/>
                <w:szCs w:val="14"/>
              </w:rPr>
              <w:t>1,659</w:t>
            </w:r>
          </w:p>
        </w:tc>
        <w:tc>
          <w:tcPr>
            <w:tcW w:w="464" w:type="dxa"/>
            <w:tcBorders>
              <w:top w:val="single" w:sz="2" w:space="0" w:color="auto"/>
              <w:left w:val="single" w:sz="2" w:space="0" w:color="auto"/>
              <w:bottom w:val="single" w:sz="2" w:space="0" w:color="auto"/>
              <w:right w:val="single" w:sz="2" w:space="0" w:color="auto"/>
            </w:tcBorders>
          </w:tcPr>
          <w:p w14:paraId="3653A8EB" w14:textId="77777777" w:rsidR="009F4766" w:rsidRPr="00DE12A3" w:rsidRDefault="009F4766" w:rsidP="00C917D6">
            <w:pPr>
              <w:pStyle w:val="NormalLeft"/>
              <w:rPr>
                <w:sz w:val="14"/>
                <w:szCs w:val="14"/>
              </w:rPr>
            </w:pPr>
            <w:r w:rsidRPr="00DE12A3">
              <w:rPr>
                <w:sz w:val="14"/>
                <w:szCs w:val="14"/>
              </w:rPr>
              <w:t>1,627</w:t>
            </w:r>
          </w:p>
        </w:tc>
        <w:tc>
          <w:tcPr>
            <w:tcW w:w="464" w:type="dxa"/>
            <w:tcBorders>
              <w:top w:val="single" w:sz="2" w:space="0" w:color="auto"/>
              <w:left w:val="single" w:sz="2" w:space="0" w:color="auto"/>
              <w:bottom w:val="single" w:sz="2" w:space="0" w:color="auto"/>
              <w:right w:val="single" w:sz="2" w:space="0" w:color="auto"/>
            </w:tcBorders>
          </w:tcPr>
          <w:p w14:paraId="42842234" w14:textId="77777777" w:rsidR="009F4766" w:rsidRPr="00DE12A3" w:rsidRDefault="009F4766" w:rsidP="00C917D6">
            <w:pPr>
              <w:pStyle w:val="NormalLeft"/>
              <w:rPr>
                <w:sz w:val="14"/>
                <w:szCs w:val="14"/>
              </w:rPr>
            </w:pPr>
            <w:r w:rsidRPr="00DE12A3">
              <w:rPr>
                <w:sz w:val="14"/>
                <w:szCs w:val="14"/>
              </w:rPr>
              <w:t>1,593</w:t>
            </w:r>
          </w:p>
        </w:tc>
        <w:tc>
          <w:tcPr>
            <w:tcW w:w="465" w:type="dxa"/>
            <w:tcBorders>
              <w:top w:val="single" w:sz="2" w:space="0" w:color="auto"/>
              <w:left w:val="single" w:sz="2" w:space="0" w:color="auto"/>
              <w:bottom w:val="single" w:sz="2" w:space="0" w:color="auto"/>
              <w:right w:val="single" w:sz="2" w:space="0" w:color="auto"/>
            </w:tcBorders>
          </w:tcPr>
          <w:p w14:paraId="6220EEC5" w14:textId="77777777" w:rsidR="009F4766" w:rsidRPr="00DE12A3" w:rsidRDefault="009F4766" w:rsidP="00C917D6">
            <w:pPr>
              <w:pStyle w:val="NormalLeft"/>
              <w:rPr>
                <w:sz w:val="14"/>
                <w:szCs w:val="14"/>
              </w:rPr>
            </w:pPr>
            <w:r w:rsidRPr="00DE12A3">
              <w:rPr>
                <w:sz w:val="14"/>
                <w:szCs w:val="14"/>
              </w:rPr>
              <w:t>1,557</w:t>
            </w:r>
          </w:p>
        </w:tc>
        <w:tc>
          <w:tcPr>
            <w:tcW w:w="464" w:type="dxa"/>
            <w:tcBorders>
              <w:top w:val="single" w:sz="2" w:space="0" w:color="auto"/>
              <w:left w:val="single" w:sz="2" w:space="0" w:color="auto"/>
              <w:bottom w:val="single" w:sz="2" w:space="0" w:color="auto"/>
              <w:right w:val="single" w:sz="2" w:space="0" w:color="auto"/>
            </w:tcBorders>
          </w:tcPr>
          <w:p w14:paraId="2474D927" w14:textId="77777777" w:rsidR="009F4766" w:rsidRPr="00DE12A3" w:rsidRDefault="009F4766" w:rsidP="00C917D6">
            <w:pPr>
              <w:pStyle w:val="NormalLeft"/>
              <w:rPr>
                <w:sz w:val="14"/>
                <w:szCs w:val="14"/>
              </w:rPr>
            </w:pPr>
            <w:r w:rsidRPr="00DE12A3">
              <w:rPr>
                <w:sz w:val="14"/>
                <w:szCs w:val="14"/>
              </w:rPr>
              <w:t>1,518</w:t>
            </w:r>
          </w:p>
        </w:tc>
      </w:tr>
      <w:tr w:rsidR="00DE12A3" w:rsidRPr="00DE12A3" w14:paraId="6FDAB76B" w14:textId="77777777" w:rsidTr="009F4766">
        <w:tc>
          <w:tcPr>
            <w:tcW w:w="464" w:type="dxa"/>
            <w:tcBorders>
              <w:top w:val="single" w:sz="2" w:space="0" w:color="auto"/>
              <w:left w:val="single" w:sz="2" w:space="0" w:color="auto"/>
              <w:bottom w:val="single" w:sz="2" w:space="0" w:color="auto"/>
              <w:right w:val="single" w:sz="2" w:space="0" w:color="auto"/>
            </w:tcBorders>
          </w:tcPr>
          <w:p w14:paraId="01769211" w14:textId="77777777" w:rsidR="009F4766" w:rsidRPr="00DE12A3" w:rsidRDefault="009F4766" w:rsidP="00C917D6">
            <w:pPr>
              <w:pStyle w:val="NormalLeft"/>
              <w:rPr>
                <w:sz w:val="14"/>
                <w:szCs w:val="14"/>
              </w:rPr>
            </w:pPr>
            <w:r w:rsidRPr="00DE12A3">
              <w:rPr>
                <w:sz w:val="14"/>
                <w:szCs w:val="14"/>
              </w:rPr>
              <w:t>26</w:t>
            </w:r>
          </w:p>
        </w:tc>
        <w:tc>
          <w:tcPr>
            <w:tcW w:w="465" w:type="dxa"/>
            <w:tcBorders>
              <w:top w:val="single" w:sz="2" w:space="0" w:color="auto"/>
              <w:left w:val="single" w:sz="2" w:space="0" w:color="auto"/>
              <w:bottom w:val="single" w:sz="2" w:space="0" w:color="auto"/>
              <w:right w:val="single" w:sz="2" w:space="0" w:color="auto"/>
            </w:tcBorders>
          </w:tcPr>
          <w:p w14:paraId="3CCE50C5" w14:textId="77777777" w:rsidR="009F4766" w:rsidRPr="00DE12A3" w:rsidRDefault="009F4766" w:rsidP="00C917D6">
            <w:pPr>
              <w:pStyle w:val="NormalLeft"/>
              <w:rPr>
                <w:sz w:val="14"/>
                <w:szCs w:val="14"/>
              </w:rPr>
            </w:pPr>
            <w:r w:rsidRPr="00DE12A3">
              <w:rPr>
                <w:sz w:val="14"/>
                <w:szCs w:val="14"/>
              </w:rPr>
              <w:t>2,909</w:t>
            </w:r>
          </w:p>
        </w:tc>
        <w:tc>
          <w:tcPr>
            <w:tcW w:w="464" w:type="dxa"/>
            <w:tcBorders>
              <w:top w:val="single" w:sz="2" w:space="0" w:color="auto"/>
              <w:left w:val="single" w:sz="2" w:space="0" w:color="auto"/>
              <w:bottom w:val="single" w:sz="2" w:space="0" w:color="auto"/>
              <w:right w:val="single" w:sz="2" w:space="0" w:color="auto"/>
            </w:tcBorders>
          </w:tcPr>
          <w:p w14:paraId="51FD710E" w14:textId="77777777" w:rsidR="009F4766" w:rsidRPr="00DE12A3" w:rsidRDefault="009F4766" w:rsidP="00C917D6">
            <w:pPr>
              <w:pStyle w:val="NormalLeft"/>
              <w:rPr>
                <w:sz w:val="14"/>
                <w:szCs w:val="14"/>
              </w:rPr>
            </w:pPr>
            <w:r w:rsidRPr="00DE12A3">
              <w:rPr>
                <w:sz w:val="14"/>
                <w:szCs w:val="14"/>
              </w:rPr>
              <w:t>2,519</w:t>
            </w:r>
          </w:p>
        </w:tc>
        <w:tc>
          <w:tcPr>
            <w:tcW w:w="464" w:type="dxa"/>
            <w:tcBorders>
              <w:top w:val="single" w:sz="2" w:space="0" w:color="auto"/>
              <w:left w:val="single" w:sz="2" w:space="0" w:color="auto"/>
              <w:bottom w:val="single" w:sz="2" w:space="0" w:color="auto"/>
              <w:right w:val="single" w:sz="2" w:space="0" w:color="auto"/>
            </w:tcBorders>
          </w:tcPr>
          <w:p w14:paraId="02E70313" w14:textId="77777777" w:rsidR="009F4766" w:rsidRPr="00DE12A3" w:rsidRDefault="009F4766" w:rsidP="00C917D6">
            <w:pPr>
              <w:pStyle w:val="NormalLeft"/>
              <w:rPr>
                <w:sz w:val="14"/>
                <w:szCs w:val="14"/>
              </w:rPr>
            </w:pPr>
            <w:r w:rsidRPr="00DE12A3">
              <w:rPr>
                <w:sz w:val="14"/>
                <w:szCs w:val="14"/>
              </w:rPr>
              <w:t>2,307</w:t>
            </w:r>
          </w:p>
        </w:tc>
        <w:tc>
          <w:tcPr>
            <w:tcW w:w="465" w:type="dxa"/>
            <w:tcBorders>
              <w:top w:val="single" w:sz="2" w:space="0" w:color="auto"/>
              <w:left w:val="single" w:sz="2" w:space="0" w:color="auto"/>
              <w:bottom w:val="single" w:sz="2" w:space="0" w:color="auto"/>
              <w:right w:val="single" w:sz="2" w:space="0" w:color="auto"/>
            </w:tcBorders>
          </w:tcPr>
          <w:p w14:paraId="736DB356" w14:textId="77777777" w:rsidR="009F4766" w:rsidRPr="00DE12A3" w:rsidRDefault="009F4766" w:rsidP="00C917D6">
            <w:pPr>
              <w:pStyle w:val="NormalLeft"/>
              <w:rPr>
                <w:sz w:val="14"/>
                <w:szCs w:val="14"/>
              </w:rPr>
            </w:pPr>
            <w:r w:rsidRPr="00DE12A3">
              <w:rPr>
                <w:sz w:val="14"/>
                <w:szCs w:val="14"/>
              </w:rPr>
              <w:t>2,174</w:t>
            </w:r>
          </w:p>
        </w:tc>
        <w:tc>
          <w:tcPr>
            <w:tcW w:w="464" w:type="dxa"/>
            <w:tcBorders>
              <w:top w:val="single" w:sz="2" w:space="0" w:color="auto"/>
              <w:left w:val="single" w:sz="2" w:space="0" w:color="auto"/>
              <w:bottom w:val="single" w:sz="2" w:space="0" w:color="auto"/>
              <w:right w:val="single" w:sz="2" w:space="0" w:color="auto"/>
            </w:tcBorders>
          </w:tcPr>
          <w:p w14:paraId="5285D65E" w14:textId="77777777" w:rsidR="009F4766" w:rsidRPr="00DE12A3" w:rsidRDefault="009F4766" w:rsidP="00C917D6">
            <w:pPr>
              <w:pStyle w:val="NormalLeft"/>
              <w:rPr>
                <w:sz w:val="14"/>
                <w:szCs w:val="14"/>
              </w:rPr>
            </w:pPr>
            <w:r w:rsidRPr="00DE12A3">
              <w:rPr>
                <w:sz w:val="14"/>
                <w:szCs w:val="14"/>
              </w:rPr>
              <w:t>2,082</w:t>
            </w:r>
          </w:p>
        </w:tc>
        <w:tc>
          <w:tcPr>
            <w:tcW w:w="464" w:type="dxa"/>
            <w:tcBorders>
              <w:top w:val="single" w:sz="2" w:space="0" w:color="auto"/>
              <w:left w:val="single" w:sz="2" w:space="0" w:color="auto"/>
              <w:bottom w:val="single" w:sz="2" w:space="0" w:color="auto"/>
              <w:right w:val="single" w:sz="2" w:space="0" w:color="auto"/>
            </w:tcBorders>
          </w:tcPr>
          <w:p w14:paraId="737DA2BF" w14:textId="77777777" w:rsidR="009F4766" w:rsidRPr="00DE12A3" w:rsidRDefault="009F4766" w:rsidP="00C917D6">
            <w:pPr>
              <w:pStyle w:val="NormalLeft"/>
              <w:rPr>
                <w:sz w:val="14"/>
                <w:szCs w:val="14"/>
              </w:rPr>
            </w:pPr>
            <w:r w:rsidRPr="00DE12A3">
              <w:rPr>
                <w:sz w:val="14"/>
                <w:szCs w:val="14"/>
              </w:rPr>
              <w:t>2,014</w:t>
            </w:r>
          </w:p>
        </w:tc>
        <w:tc>
          <w:tcPr>
            <w:tcW w:w="464" w:type="dxa"/>
            <w:tcBorders>
              <w:top w:val="single" w:sz="2" w:space="0" w:color="auto"/>
              <w:left w:val="single" w:sz="2" w:space="0" w:color="auto"/>
              <w:bottom w:val="single" w:sz="2" w:space="0" w:color="auto"/>
              <w:right w:val="single" w:sz="2" w:space="0" w:color="auto"/>
            </w:tcBorders>
          </w:tcPr>
          <w:p w14:paraId="35D967FB" w14:textId="77777777" w:rsidR="009F4766" w:rsidRPr="00DE12A3" w:rsidRDefault="009F4766" w:rsidP="00C917D6">
            <w:pPr>
              <w:pStyle w:val="NormalLeft"/>
              <w:rPr>
                <w:sz w:val="14"/>
                <w:szCs w:val="14"/>
              </w:rPr>
            </w:pPr>
            <w:r w:rsidRPr="00DE12A3">
              <w:rPr>
                <w:sz w:val="14"/>
                <w:szCs w:val="14"/>
              </w:rPr>
              <w:t>1,961</w:t>
            </w:r>
          </w:p>
        </w:tc>
        <w:tc>
          <w:tcPr>
            <w:tcW w:w="465" w:type="dxa"/>
            <w:tcBorders>
              <w:top w:val="single" w:sz="2" w:space="0" w:color="auto"/>
              <w:left w:val="single" w:sz="2" w:space="0" w:color="auto"/>
              <w:bottom w:val="single" w:sz="2" w:space="0" w:color="auto"/>
              <w:right w:val="single" w:sz="2" w:space="0" w:color="auto"/>
            </w:tcBorders>
          </w:tcPr>
          <w:p w14:paraId="7076E5EB" w14:textId="77777777" w:rsidR="009F4766" w:rsidRPr="00DE12A3" w:rsidRDefault="009F4766" w:rsidP="00C917D6">
            <w:pPr>
              <w:pStyle w:val="NormalLeft"/>
              <w:rPr>
                <w:sz w:val="14"/>
                <w:szCs w:val="14"/>
              </w:rPr>
            </w:pPr>
            <w:r w:rsidRPr="00DE12A3">
              <w:rPr>
                <w:sz w:val="14"/>
                <w:szCs w:val="14"/>
              </w:rPr>
              <w:t>1,919</w:t>
            </w:r>
          </w:p>
        </w:tc>
        <w:tc>
          <w:tcPr>
            <w:tcW w:w="464" w:type="dxa"/>
            <w:tcBorders>
              <w:top w:val="single" w:sz="2" w:space="0" w:color="auto"/>
              <w:left w:val="single" w:sz="2" w:space="0" w:color="auto"/>
              <w:bottom w:val="single" w:sz="2" w:space="0" w:color="auto"/>
              <w:right w:val="single" w:sz="2" w:space="0" w:color="auto"/>
            </w:tcBorders>
          </w:tcPr>
          <w:p w14:paraId="1C5F4B21" w14:textId="77777777" w:rsidR="009F4766" w:rsidRPr="00DE12A3" w:rsidRDefault="009F4766" w:rsidP="00C917D6">
            <w:pPr>
              <w:pStyle w:val="NormalLeft"/>
              <w:rPr>
                <w:sz w:val="14"/>
                <w:szCs w:val="14"/>
              </w:rPr>
            </w:pPr>
            <w:r w:rsidRPr="00DE12A3">
              <w:rPr>
                <w:sz w:val="14"/>
                <w:szCs w:val="14"/>
              </w:rPr>
              <w:t>1,884</w:t>
            </w:r>
          </w:p>
        </w:tc>
        <w:tc>
          <w:tcPr>
            <w:tcW w:w="464" w:type="dxa"/>
            <w:tcBorders>
              <w:top w:val="single" w:sz="2" w:space="0" w:color="auto"/>
              <w:left w:val="single" w:sz="2" w:space="0" w:color="auto"/>
              <w:bottom w:val="single" w:sz="2" w:space="0" w:color="auto"/>
              <w:right w:val="single" w:sz="2" w:space="0" w:color="auto"/>
            </w:tcBorders>
          </w:tcPr>
          <w:p w14:paraId="0ED1F40D" w14:textId="77777777" w:rsidR="009F4766" w:rsidRPr="00DE12A3" w:rsidRDefault="009F4766" w:rsidP="00C917D6">
            <w:pPr>
              <w:pStyle w:val="NormalLeft"/>
              <w:rPr>
                <w:sz w:val="14"/>
                <w:szCs w:val="14"/>
              </w:rPr>
            </w:pPr>
            <w:r w:rsidRPr="00DE12A3">
              <w:rPr>
                <w:sz w:val="14"/>
                <w:szCs w:val="14"/>
              </w:rPr>
              <w:t>1,855</w:t>
            </w:r>
          </w:p>
        </w:tc>
        <w:tc>
          <w:tcPr>
            <w:tcW w:w="465" w:type="dxa"/>
            <w:tcBorders>
              <w:top w:val="single" w:sz="2" w:space="0" w:color="auto"/>
              <w:left w:val="single" w:sz="2" w:space="0" w:color="auto"/>
              <w:bottom w:val="single" w:sz="2" w:space="0" w:color="auto"/>
              <w:right w:val="single" w:sz="2" w:space="0" w:color="auto"/>
            </w:tcBorders>
          </w:tcPr>
          <w:p w14:paraId="278C6001" w14:textId="77777777" w:rsidR="009F4766" w:rsidRPr="00DE12A3" w:rsidRDefault="009F4766" w:rsidP="00C917D6">
            <w:pPr>
              <w:pStyle w:val="NormalLeft"/>
              <w:rPr>
                <w:sz w:val="14"/>
                <w:szCs w:val="14"/>
              </w:rPr>
            </w:pPr>
            <w:r w:rsidRPr="00DE12A3">
              <w:rPr>
                <w:sz w:val="14"/>
                <w:szCs w:val="14"/>
              </w:rPr>
              <w:t>1,809</w:t>
            </w:r>
          </w:p>
        </w:tc>
        <w:tc>
          <w:tcPr>
            <w:tcW w:w="464" w:type="dxa"/>
            <w:tcBorders>
              <w:top w:val="single" w:sz="2" w:space="0" w:color="auto"/>
              <w:left w:val="single" w:sz="2" w:space="0" w:color="auto"/>
              <w:bottom w:val="single" w:sz="2" w:space="0" w:color="auto"/>
              <w:right w:val="single" w:sz="2" w:space="0" w:color="auto"/>
            </w:tcBorders>
          </w:tcPr>
          <w:p w14:paraId="4F4BD291" w14:textId="77777777" w:rsidR="009F4766" w:rsidRPr="00DE12A3" w:rsidRDefault="009F4766" w:rsidP="00C917D6">
            <w:pPr>
              <w:pStyle w:val="NormalLeft"/>
              <w:rPr>
                <w:sz w:val="14"/>
                <w:szCs w:val="14"/>
              </w:rPr>
            </w:pPr>
            <w:r w:rsidRPr="00DE12A3">
              <w:rPr>
                <w:sz w:val="14"/>
                <w:szCs w:val="14"/>
              </w:rPr>
              <w:t>1,760</w:t>
            </w:r>
          </w:p>
        </w:tc>
        <w:tc>
          <w:tcPr>
            <w:tcW w:w="464" w:type="dxa"/>
            <w:tcBorders>
              <w:top w:val="single" w:sz="2" w:space="0" w:color="auto"/>
              <w:left w:val="single" w:sz="2" w:space="0" w:color="auto"/>
              <w:bottom w:val="single" w:sz="2" w:space="0" w:color="auto"/>
              <w:right w:val="single" w:sz="2" w:space="0" w:color="auto"/>
            </w:tcBorders>
          </w:tcPr>
          <w:p w14:paraId="2AD9D41A" w14:textId="77777777" w:rsidR="009F4766" w:rsidRPr="00DE12A3" w:rsidRDefault="009F4766" w:rsidP="00C917D6">
            <w:pPr>
              <w:pStyle w:val="NormalLeft"/>
              <w:rPr>
                <w:sz w:val="14"/>
                <w:szCs w:val="14"/>
              </w:rPr>
            </w:pPr>
            <w:r w:rsidRPr="00DE12A3">
              <w:rPr>
                <w:sz w:val="14"/>
                <w:szCs w:val="14"/>
              </w:rPr>
              <w:t>1,706</w:t>
            </w:r>
          </w:p>
        </w:tc>
        <w:tc>
          <w:tcPr>
            <w:tcW w:w="465" w:type="dxa"/>
            <w:tcBorders>
              <w:top w:val="single" w:sz="2" w:space="0" w:color="auto"/>
              <w:left w:val="single" w:sz="2" w:space="0" w:color="auto"/>
              <w:bottom w:val="single" w:sz="2" w:space="0" w:color="auto"/>
              <w:right w:val="single" w:sz="2" w:space="0" w:color="auto"/>
            </w:tcBorders>
          </w:tcPr>
          <w:p w14:paraId="01AAB19B" w14:textId="77777777" w:rsidR="009F4766" w:rsidRPr="00DE12A3" w:rsidRDefault="009F4766" w:rsidP="00C917D6">
            <w:pPr>
              <w:pStyle w:val="NormalLeft"/>
              <w:rPr>
                <w:sz w:val="14"/>
                <w:szCs w:val="14"/>
              </w:rPr>
            </w:pPr>
            <w:r w:rsidRPr="00DE12A3">
              <w:rPr>
                <w:sz w:val="14"/>
                <w:szCs w:val="14"/>
              </w:rPr>
              <w:t>1,677</w:t>
            </w:r>
          </w:p>
        </w:tc>
        <w:tc>
          <w:tcPr>
            <w:tcW w:w="464" w:type="dxa"/>
            <w:tcBorders>
              <w:top w:val="single" w:sz="2" w:space="0" w:color="auto"/>
              <w:left w:val="single" w:sz="2" w:space="0" w:color="auto"/>
              <w:bottom w:val="single" w:sz="2" w:space="0" w:color="auto"/>
              <w:right w:val="single" w:sz="2" w:space="0" w:color="auto"/>
            </w:tcBorders>
          </w:tcPr>
          <w:p w14:paraId="0C6C37B7" w14:textId="77777777" w:rsidR="009F4766" w:rsidRPr="00DE12A3" w:rsidRDefault="009F4766" w:rsidP="00C917D6">
            <w:pPr>
              <w:pStyle w:val="NormalLeft"/>
              <w:rPr>
                <w:sz w:val="14"/>
                <w:szCs w:val="14"/>
              </w:rPr>
            </w:pPr>
            <w:r w:rsidRPr="00DE12A3">
              <w:rPr>
                <w:sz w:val="14"/>
                <w:szCs w:val="14"/>
              </w:rPr>
              <w:t>1,647</w:t>
            </w:r>
          </w:p>
        </w:tc>
        <w:tc>
          <w:tcPr>
            <w:tcW w:w="464" w:type="dxa"/>
            <w:tcBorders>
              <w:top w:val="single" w:sz="2" w:space="0" w:color="auto"/>
              <w:left w:val="single" w:sz="2" w:space="0" w:color="auto"/>
              <w:bottom w:val="single" w:sz="2" w:space="0" w:color="auto"/>
              <w:right w:val="single" w:sz="2" w:space="0" w:color="auto"/>
            </w:tcBorders>
          </w:tcPr>
          <w:p w14:paraId="2EA227FF" w14:textId="77777777" w:rsidR="009F4766" w:rsidRPr="00DE12A3" w:rsidRDefault="009F4766" w:rsidP="00C917D6">
            <w:pPr>
              <w:pStyle w:val="NormalLeft"/>
              <w:rPr>
                <w:sz w:val="14"/>
                <w:szCs w:val="14"/>
              </w:rPr>
            </w:pPr>
            <w:r w:rsidRPr="00DE12A3">
              <w:rPr>
                <w:sz w:val="14"/>
                <w:szCs w:val="14"/>
              </w:rPr>
              <w:t>1,615</w:t>
            </w:r>
          </w:p>
        </w:tc>
        <w:tc>
          <w:tcPr>
            <w:tcW w:w="464" w:type="dxa"/>
            <w:tcBorders>
              <w:top w:val="single" w:sz="2" w:space="0" w:color="auto"/>
              <w:left w:val="single" w:sz="2" w:space="0" w:color="auto"/>
              <w:bottom w:val="single" w:sz="2" w:space="0" w:color="auto"/>
              <w:right w:val="single" w:sz="2" w:space="0" w:color="auto"/>
            </w:tcBorders>
          </w:tcPr>
          <w:p w14:paraId="1DE53B2B" w14:textId="77777777" w:rsidR="009F4766" w:rsidRPr="00DE12A3" w:rsidRDefault="009F4766" w:rsidP="00C917D6">
            <w:pPr>
              <w:pStyle w:val="NormalLeft"/>
              <w:rPr>
                <w:sz w:val="14"/>
                <w:szCs w:val="14"/>
              </w:rPr>
            </w:pPr>
            <w:r w:rsidRPr="00DE12A3">
              <w:rPr>
                <w:sz w:val="14"/>
                <w:szCs w:val="14"/>
              </w:rPr>
              <w:t>1,581</w:t>
            </w:r>
          </w:p>
        </w:tc>
        <w:tc>
          <w:tcPr>
            <w:tcW w:w="465" w:type="dxa"/>
            <w:tcBorders>
              <w:top w:val="single" w:sz="2" w:space="0" w:color="auto"/>
              <w:left w:val="single" w:sz="2" w:space="0" w:color="auto"/>
              <w:bottom w:val="single" w:sz="2" w:space="0" w:color="auto"/>
              <w:right w:val="single" w:sz="2" w:space="0" w:color="auto"/>
            </w:tcBorders>
          </w:tcPr>
          <w:p w14:paraId="7E1BAD88" w14:textId="77777777" w:rsidR="009F4766" w:rsidRPr="00DE12A3" w:rsidRDefault="009F4766" w:rsidP="00C917D6">
            <w:pPr>
              <w:pStyle w:val="NormalLeft"/>
              <w:rPr>
                <w:sz w:val="14"/>
                <w:szCs w:val="14"/>
              </w:rPr>
            </w:pPr>
            <w:r w:rsidRPr="00DE12A3">
              <w:rPr>
                <w:sz w:val="14"/>
                <w:szCs w:val="14"/>
              </w:rPr>
              <w:t>1,544</w:t>
            </w:r>
          </w:p>
        </w:tc>
        <w:tc>
          <w:tcPr>
            <w:tcW w:w="464" w:type="dxa"/>
            <w:tcBorders>
              <w:top w:val="single" w:sz="2" w:space="0" w:color="auto"/>
              <w:left w:val="single" w:sz="2" w:space="0" w:color="auto"/>
              <w:bottom w:val="single" w:sz="2" w:space="0" w:color="auto"/>
              <w:right w:val="single" w:sz="2" w:space="0" w:color="auto"/>
            </w:tcBorders>
          </w:tcPr>
          <w:p w14:paraId="06DD38DA" w14:textId="77777777" w:rsidR="009F4766" w:rsidRPr="00DE12A3" w:rsidRDefault="009F4766" w:rsidP="00C917D6">
            <w:pPr>
              <w:pStyle w:val="NormalLeft"/>
              <w:rPr>
                <w:sz w:val="14"/>
                <w:szCs w:val="14"/>
              </w:rPr>
            </w:pPr>
            <w:r w:rsidRPr="00DE12A3">
              <w:rPr>
                <w:sz w:val="14"/>
                <w:szCs w:val="14"/>
              </w:rPr>
              <w:t>1,504</w:t>
            </w:r>
          </w:p>
        </w:tc>
      </w:tr>
      <w:tr w:rsidR="00DE12A3" w:rsidRPr="00DE12A3" w14:paraId="2EF258FD" w14:textId="77777777" w:rsidTr="009F4766">
        <w:tc>
          <w:tcPr>
            <w:tcW w:w="464" w:type="dxa"/>
            <w:tcBorders>
              <w:top w:val="single" w:sz="2" w:space="0" w:color="auto"/>
              <w:left w:val="single" w:sz="2" w:space="0" w:color="auto"/>
              <w:bottom w:val="single" w:sz="2" w:space="0" w:color="auto"/>
              <w:right w:val="single" w:sz="2" w:space="0" w:color="auto"/>
            </w:tcBorders>
          </w:tcPr>
          <w:p w14:paraId="34BB74DD" w14:textId="77777777" w:rsidR="009F4766" w:rsidRPr="00DE12A3" w:rsidRDefault="009F4766" w:rsidP="00C917D6">
            <w:pPr>
              <w:pStyle w:val="NormalLeft"/>
              <w:rPr>
                <w:sz w:val="14"/>
                <w:szCs w:val="14"/>
              </w:rPr>
            </w:pPr>
            <w:r w:rsidRPr="00DE12A3">
              <w:rPr>
                <w:sz w:val="14"/>
                <w:szCs w:val="14"/>
              </w:rPr>
              <w:t>27</w:t>
            </w:r>
          </w:p>
        </w:tc>
        <w:tc>
          <w:tcPr>
            <w:tcW w:w="465" w:type="dxa"/>
            <w:tcBorders>
              <w:top w:val="single" w:sz="2" w:space="0" w:color="auto"/>
              <w:left w:val="single" w:sz="2" w:space="0" w:color="auto"/>
              <w:bottom w:val="single" w:sz="2" w:space="0" w:color="auto"/>
              <w:right w:val="single" w:sz="2" w:space="0" w:color="auto"/>
            </w:tcBorders>
          </w:tcPr>
          <w:p w14:paraId="167F18D5" w14:textId="77777777" w:rsidR="009F4766" w:rsidRPr="00DE12A3" w:rsidRDefault="009F4766" w:rsidP="00C917D6">
            <w:pPr>
              <w:pStyle w:val="NormalLeft"/>
              <w:rPr>
                <w:sz w:val="14"/>
                <w:szCs w:val="14"/>
              </w:rPr>
            </w:pPr>
            <w:r w:rsidRPr="00DE12A3">
              <w:rPr>
                <w:sz w:val="14"/>
                <w:szCs w:val="14"/>
              </w:rPr>
              <w:t>2,901</w:t>
            </w:r>
          </w:p>
        </w:tc>
        <w:tc>
          <w:tcPr>
            <w:tcW w:w="464" w:type="dxa"/>
            <w:tcBorders>
              <w:top w:val="single" w:sz="2" w:space="0" w:color="auto"/>
              <w:left w:val="single" w:sz="2" w:space="0" w:color="auto"/>
              <w:bottom w:val="single" w:sz="2" w:space="0" w:color="auto"/>
              <w:right w:val="single" w:sz="2" w:space="0" w:color="auto"/>
            </w:tcBorders>
          </w:tcPr>
          <w:p w14:paraId="24E84EFD" w14:textId="77777777" w:rsidR="009F4766" w:rsidRPr="00DE12A3" w:rsidRDefault="009F4766" w:rsidP="00C917D6">
            <w:pPr>
              <w:pStyle w:val="NormalLeft"/>
              <w:rPr>
                <w:sz w:val="14"/>
                <w:szCs w:val="14"/>
              </w:rPr>
            </w:pPr>
            <w:r w:rsidRPr="00DE12A3">
              <w:rPr>
                <w:sz w:val="14"/>
                <w:szCs w:val="14"/>
              </w:rPr>
              <w:t>2,511</w:t>
            </w:r>
          </w:p>
        </w:tc>
        <w:tc>
          <w:tcPr>
            <w:tcW w:w="464" w:type="dxa"/>
            <w:tcBorders>
              <w:top w:val="single" w:sz="2" w:space="0" w:color="auto"/>
              <w:left w:val="single" w:sz="2" w:space="0" w:color="auto"/>
              <w:bottom w:val="single" w:sz="2" w:space="0" w:color="auto"/>
              <w:right w:val="single" w:sz="2" w:space="0" w:color="auto"/>
            </w:tcBorders>
          </w:tcPr>
          <w:p w14:paraId="7F2B0ECE" w14:textId="77777777" w:rsidR="009F4766" w:rsidRPr="00DE12A3" w:rsidRDefault="009F4766" w:rsidP="00C917D6">
            <w:pPr>
              <w:pStyle w:val="NormalLeft"/>
              <w:rPr>
                <w:sz w:val="14"/>
                <w:szCs w:val="14"/>
              </w:rPr>
            </w:pPr>
            <w:r w:rsidRPr="00DE12A3">
              <w:rPr>
                <w:sz w:val="14"/>
                <w:szCs w:val="14"/>
              </w:rPr>
              <w:t>2,299</w:t>
            </w:r>
          </w:p>
        </w:tc>
        <w:tc>
          <w:tcPr>
            <w:tcW w:w="465" w:type="dxa"/>
            <w:tcBorders>
              <w:top w:val="single" w:sz="2" w:space="0" w:color="auto"/>
              <w:left w:val="single" w:sz="2" w:space="0" w:color="auto"/>
              <w:bottom w:val="single" w:sz="2" w:space="0" w:color="auto"/>
              <w:right w:val="single" w:sz="2" w:space="0" w:color="auto"/>
            </w:tcBorders>
          </w:tcPr>
          <w:p w14:paraId="31E3FF4E" w14:textId="77777777" w:rsidR="009F4766" w:rsidRPr="00DE12A3" w:rsidRDefault="009F4766" w:rsidP="00C917D6">
            <w:pPr>
              <w:pStyle w:val="NormalLeft"/>
              <w:rPr>
                <w:sz w:val="14"/>
                <w:szCs w:val="14"/>
              </w:rPr>
            </w:pPr>
            <w:r w:rsidRPr="00DE12A3">
              <w:rPr>
                <w:sz w:val="14"/>
                <w:szCs w:val="14"/>
              </w:rPr>
              <w:t>2,165</w:t>
            </w:r>
          </w:p>
        </w:tc>
        <w:tc>
          <w:tcPr>
            <w:tcW w:w="464" w:type="dxa"/>
            <w:tcBorders>
              <w:top w:val="single" w:sz="2" w:space="0" w:color="auto"/>
              <w:left w:val="single" w:sz="2" w:space="0" w:color="auto"/>
              <w:bottom w:val="single" w:sz="2" w:space="0" w:color="auto"/>
              <w:right w:val="single" w:sz="2" w:space="0" w:color="auto"/>
            </w:tcBorders>
          </w:tcPr>
          <w:p w14:paraId="12C62097" w14:textId="77777777" w:rsidR="009F4766" w:rsidRPr="00DE12A3" w:rsidRDefault="009F4766" w:rsidP="00C917D6">
            <w:pPr>
              <w:pStyle w:val="NormalLeft"/>
              <w:rPr>
                <w:sz w:val="14"/>
                <w:szCs w:val="14"/>
              </w:rPr>
            </w:pPr>
            <w:r w:rsidRPr="00DE12A3">
              <w:rPr>
                <w:sz w:val="14"/>
                <w:szCs w:val="14"/>
              </w:rPr>
              <w:t>2,073</w:t>
            </w:r>
          </w:p>
        </w:tc>
        <w:tc>
          <w:tcPr>
            <w:tcW w:w="464" w:type="dxa"/>
            <w:tcBorders>
              <w:top w:val="single" w:sz="2" w:space="0" w:color="auto"/>
              <w:left w:val="single" w:sz="2" w:space="0" w:color="auto"/>
              <w:bottom w:val="single" w:sz="2" w:space="0" w:color="auto"/>
              <w:right w:val="single" w:sz="2" w:space="0" w:color="auto"/>
            </w:tcBorders>
          </w:tcPr>
          <w:p w14:paraId="55DCFEBF" w14:textId="77777777" w:rsidR="009F4766" w:rsidRPr="00DE12A3" w:rsidRDefault="009F4766" w:rsidP="00C917D6">
            <w:pPr>
              <w:pStyle w:val="NormalLeft"/>
              <w:rPr>
                <w:sz w:val="14"/>
                <w:szCs w:val="14"/>
              </w:rPr>
            </w:pPr>
            <w:r w:rsidRPr="00DE12A3">
              <w:rPr>
                <w:sz w:val="14"/>
                <w:szCs w:val="14"/>
              </w:rPr>
              <w:t>2,005</w:t>
            </w:r>
          </w:p>
        </w:tc>
        <w:tc>
          <w:tcPr>
            <w:tcW w:w="464" w:type="dxa"/>
            <w:tcBorders>
              <w:top w:val="single" w:sz="2" w:space="0" w:color="auto"/>
              <w:left w:val="single" w:sz="2" w:space="0" w:color="auto"/>
              <w:bottom w:val="single" w:sz="2" w:space="0" w:color="auto"/>
              <w:right w:val="single" w:sz="2" w:space="0" w:color="auto"/>
            </w:tcBorders>
          </w:tcPr>
          <w:p w14:paraId="1A25C094" w14:textId="77777777" w:rsidR="009F4766" w:rsidRPr="00DE12A3" w:rsidRDefault="009F4766" w:rsidP="00C917D6">
            <w:pPr>
              <w:pStyle w:val="NormalLeft"/>
              <w:rPr>
                <w:sz w:val="14"/>
                <w:szCs w:val="14"/>
              </w:rPr>
            </w:pPr>
            <w:r w:rsidRPr="00DE12A3">
              <w:rPr>
                <w:sz w:val="14"/>
                <w:szCs w:val="14"/>
              </w:rPr>
              <w:t>1,952</w:t>
            </w:r>
          </w:p>
        </w:tc>
        <w:tc>
          <w:tcPr>
            <w:tcW w:w="465" w:type="dxa"/>
            <w:tcBorders>
              <w:top w:val="single" w:sz="2" w:space="0" w:color="auto"/>
              <w:left w:val="single" w:sz="2" w:space="0" w:color="auto"/>
              <w:bottom w:val="single" w:sz="2" w:space="0" w:color="auto"/>
              <w:right w:val="single" w:sz="2" w:space="0" w:color="auto"/>
            </w:tcBorders>
          </w:tcPr>
          <w:p w14:paraId="3559A36A" w14:textId="77777777" w:rsidR="009F4766" w:rsidRPr="00DE12A3" w:rsidRDefault="009F4766" w:rsidP="00C917D6">
            <w:pPr>
              <w:pStyle w:val="NormalLeft"/>
              <w:rPr>
                <w:sz w:val="14"/>
                <w:szCs w:val="14"/>
              </w:rPr>
            </w:pPr>
            <w:r w:rsidRPr="00DE12A3">
              <w:rPr>
                <w:sz w:val="14"/>
                <w:szCs w:val="14"/>
              </w:rPr>
              <w:t>1,909</w:t>
            </w:r>
          </w:p>
        </w:tc>
        <w:tc>
          <w:tcPr>
            <w:tcW w:w="464" w:type="dxa"/>
            <w:tcBorders>
              <w:top w:val="single" w:sz="2" w:space="0" w:color="auto"/>
              <w:left w:val="single" w:sz="2" w:space="0" w:color="auto"/>
              <w:bottom w:val="single" w:sz="2" w:space="0" w:color="auto"/>
              <w:right w:val="single" w:sz="2" w:space="0" w:color="auto"/>
            </w:tcBorders>
          </w:tcPr>
          <w:p w14:paraId="4ADEF572" w14:textId="77777777" w:rsidR="009F4766" w:rsidRPr="00DE12A3" w:rsidRDefault="009F4766" w:rsidP="00C917D6">
            <w:pPr>
              <w:pStyle w:val="NormalLeft"/>
              <w:rPr>
                <w:sz w:val="14"/>
                <w:szCs w:val="14"/>
              </w:rPr>
            </w:pPr>
            <w:r w:rsidRPr="00DE12A3">
              <w:rPr>
                <w:sz w:val="14"/>
                <w:szCs w:val="14"/>
              </w:rPr>
              <w:t>1,874</w:t>
            </w:r>
          </w:p>
        </w:tc>
        <w:tc>
          <w:tcPr>
            <w:tcW w:w="464" w:type="dxa"/>
            <w:tcBorders>
              <w:top w:val="single" w:sz="2" w:space="0" w:color="auto"/>
              <w:left w:val="single" w:sz="2" w:space="0" w:color="auto"/>
              <w:bottom w:val="single" w:sz="2" w:space="0" w:color="auto"/>
              <w:right w:val="single" w:sz="2" w:space="0" w:color="auto"/>
            </w:tcBorders>
          </w:tcPr>
          <w:p w14:paraId="667AEB61" w14:textId="77777777" w:rsidR="009F4766" w:rsidRPr="00DE12A3" w:rsidRDefault="009F4766" w:rsidP="00C917D6">
            <w:pPr>
              <w:pStyle w:val="NormalLeft"/>
              <w:rPr>
                <w:sz w:val="14"/>
                <w:szCs w:val="14"/>
              </w:rPr>
            </w:pPr>
            <w:r w:rsidRPr="00DE12A3">
              <w:rPr>
                <w:sz w:val="14"/>
                <w:szCs w:val="14"/>
              </w:rPr>
              <w:t>1,845</w:t>
            </w:r>
          </w:p>
        </w:tc>
        <w:tc>
          <w:tcPr>
            <w:tcW w:w="465" w:type="dxa"/>
            <w:tcBorders>
              <w:top w:val="single" w:sz="2" w:space="0" w:color="auto"/>
              <w:left w:val="single" w:sz="2" w:space="0" w:color="auto"/>
              <w:bottom w:val="single" w:sz="2" w:space="0" w:color="auto"/>
              <w:right w:val="single" w:sz="2" w:space="0" w:color="auto"/>
            </w:tcBorders>
          </w:tcPr>
          <w:p w14:paraId="14A4E7B2" w14:textId="77777777" w:rsidR="009F4766" w:rsidRPr="00DE12A3" w:rsidRDefault="009F4766" w:rsidP="00C917D6">
            <w:pPr>
              <w:pStyle w:val="NormalLeft"/>
              <w:rPr>
                <w:sz w:val="14"/>
                <w:szCs w:val="14"/>
              </w:rPr>
            </w:pPr>
            <w:r w:rsidRPr="00DE12A3">
              <w:rPr>
                <w:sz w:val="14"/>
                <w:szCs w:val="14"/>
              </w:rPr>
              <w:t>1,799</w:t>
            </w:r>
          </w:p>
        </w:tc>
        <w:tc>
          <w:tcPr>
            <w:tcW w:w="464" w:type="dxa"/>
            <w:tcBorders>
              <w:top w:val="single" w:sz="2" w:space="0" w:color="auto"/>
              <w:left w:val="single" w:sz="2" w:space="0" w:color="auto"/>
              <w:bottom w:val="single" w:sz="2" w:space="0" w:color="auto"/>
              <w:right w:val="single" w:sz="2" w:space="0" w:color="auto"/>
            </w:tcBorders>
          </w:tcPr>
          <w:p w14:paraId="15594A05" w14:textId="77777777" w:rsidR="009F4766" w:rsidRPr="00DE12A3" w:rsidRDefault="009F4766" w:rsidP="00C917D6">
            <w:pPr>
              <w:pStyle w:val="NormalLeft"/>
              <w:rPr>
                <w:sz w:val="14"/>
                <w:szCs w:val="14"/>
              </w:rPr>
            </w:pPr>
            <w:r w:rsidRPr="00DE12A3">
              <w:rPr>
                <w:sz w:val="14"/>
                <w:szCs w:val="14"/>
              </w:rPr>
              <w:t>1,749</w:t>
            </w:r>
          </w:p>
        </w:tc>
        <w:tc>
          <w:tcPr>
            <w:tcW w:w="464" w:type="dxa"/>
            <w:tcBorders>
              <w:top w:val="single" w:sz="2" w:space="0" w:color="auto"/>
              <w:left w:val="single" w:sz="2" w:space="0" w:color="auto"/>
              <w:bottom w:val="single" w:sz="2" w:space="0" w:color="auto"/>
              <w:right w:val="single" w:sz="2" w:space="0" w:color="auto"/>
            </w:tcBorders>
          </w:tcPr>
          <w:p w14:paraId="1D7957B1" w14:textId="77777777" w:rsidR="009F4766" w:rsidRPr="00DE12A3" w:rsidRDefault="009F4766" w:rsidP="00C917D6">
            <w:pPr>
              <w:pStyle w:val="NormalLeft"/>
              <w:rPr>
                <w:sz w:val="14"/>
                <w:szCs w:val="14"/>
              </w:rPr>
            </w:pPr>
            <w:r w:rsidRPr="00DE12A3">
              <w:rPr>
                <w:sz w:val="14"/>
                <w:szCs w:val="14"/>
              </w:rPr>
              <w:t>1,695</w:t>
            </w:r>
          </w:p>
        </w:tc>
        <w:tc>
          <w:tcPr>
            <w:tcW w:w="465" w:type="dxa"/>
            <w:tcBorders>
              <w:top w:val="single" w:sz="2" w:space="0" w:color="auto"/>
              <w:left w:val="single" w:sz="2" w:space="0" w:color="auto"/>
              <w:bottom w:val="single" w:sz="2" w:space="0" w:color="auto"/>
              <w:right w:val="single" w:sz="2" w:space="0" w:color="auto"/>
            </w:tcBorders>
          </w:tcPr>
          <w:p w14:paraId="5325EBC7" w14:textId="77777777" w:rsidR="009F4766" w:rsidRPr="00DE12A3" w:rsidRDefault="009F4766" w:rsidP="00C917D6">
            <w:pPr>
              <w:pStyle w:val="NormalLeft"/>
              <w:rPr>
                <w:sz w:val="14"/>
                <w:szCs w:val="14"/>
              </w:rPr>
            </w:pPr>
            <w:r w:rsidRPr="00DE12A3">
              <w:rPr>
                <w:sz w:val="14"/>
                <w:szCs w:val="14"/>
              </w:rPr>
              <w:t>1,666</w:t>
            </w:r>
          </w:p>
        </w:tc>
        <w:tc>
          <w:tcPr>
            <w:tcW w:w="464" w:type="dxa"/>
            <w:tcBorders>
              <w:top w:val="single" w:sz="2" w:space="0" w:color="auto"/>
              <w:left w:val="single" w:sz="2" w:space="0" w:color="auto"/>
              <w:bottom w:val="single" w:sz="2" w:space="0" w:color="auto"/>
              <w:right w:val="single" w:sz="2" w:space="0" w:color="auto"/>
            </w:tcBorders>
          </w:tcPr>
          <w:p w14:paraId="70D32042" w14:textId="77777777" w:rsidR="009F4766" w:rsidRPr="00DE12A3" w:rsidRDefault="009F4766" w:rsidP="00C917D6">
            <w:pPr>
              <w:pStyle w:val="NormalLeft"/>
              <w:rPr>
                <w:sz w:val="14"/>
                <w:szCs w:val="14"/>
              </w:rPr>
            </w:pPr>
            <w:r w:rsidRPr="00DE12A3">
              <w:rPr>
                <w:sz w:val="14"/>
                <w:szCs w:val="14"/>
              </w:rPr>
              <w:t>1,636</w:t>
            </w:r>
          </w:p>
        </w:tc>
        <w:tc>
          <w:tcPr>
            <w:tcW w:w="464" w:type="dxa"/>
            <w:tcBorders>
              <w:top w:val="single" w:sz="2" w:space="0" w:color="auto"/>
              <w:left w:val="single" w:sz="2" w:space="0" w:color="auto"/>
              <w:bottom w:val="single" w:sz="2" w:space="0" w:color="auto"/>
              <w:right w:val="single" w:sz="2" w:space="0" w:color="auto"/>
            </w:tcBorders>
          </w:tcPr>
          <w:p w14:paraId="6E89848D" w14:textId="77777777" w:rsidR="009F4766" w:rsidRPr="00DE12A3" w:rsidRDefault="009F4766" w:rsidP="00C917D6">
            <w:pPr>
              <w:pStyle w:val="NormalLeft"/>
              <w:rPr>
                <w:sz w:val="14"/>
                <w:szCs w:val="14"/>
              </w:rPr>
            </w:pPr>
            <w:r w:rsidRPr="00DE12A3">
              <w:rPr>
                <w:sz w:val="14"/>
                <w:szCs w:val="14"/>
              </w:rPr>
              <w:t>1,603</w:t>
            </w:r>
          </w:p>
        </w:tc>
        <w:tc>
          <w:tcPr>
            <w:tcW w:w="464" w:type="dxa"/>
            <w:tcBorders>
              <w:top w:val="single" w:sz="2" w:space="0" w:color="auto"/>
              <w:left w:val="single" w:sz="2" w:space="0" w:color="auto"/>
              <w:bottom w:val="single" w:sz="2" w:space="0" w:color="auto"/>
              <w:right w:val="single" w:sz="2" w:space="0" w:color="auto"/>
            </w:tcBorders>
          </w:tcPr>
          <w:p w14:paraId="2CAF09BD" w14:textId="77777777" w:rsidR="009F4766" w:rsidRPr="00DE12A3" w:rsidRDefault="009F4766" w:rsidP="00C917D6">
            <w:pPr>
              <w:pStyle w:val="NormalLeft"/>
              <w:rPr>
                <w:sz w:val="14"/>
                <w:szCs w:val="14"/>
              </w:rPr>
            </w:pPr>
            <w:r w:rsidRPr="00DE12A3">
              <w:rPr>
                <w:sz w:val="14"/>
                <w:szCs w:val="14"/>
              </w:rPr>
              <w:t>1,569</w:t>
            </w:r>
          </w:p>
        </w:tc>
        <w:tc>
          <w:tcPr>
            <w:tcW w:w="465" w:type="dxa"/>
            <w:tcBorders>
              <w:top w:val="single" w:sz="2" w:space="0" w:color="auto"/>
              <w:left w:val="single" w:sz="2" w:space="0" w:color="auto"/>
              <w:bottom w:val="single" w:sz="2" w:space="0" w:color="auto"/>
              <w:right w:val="single" w:sz="2" w:space="0" w:color="auto"/>
            </w:tcBorders>
          </w:tcPr>
          <w:p w14:paraId="52155C85" w14:textId="77777777" w:rsidR="009F4766" w:rsidRPr="00DE12A3" w:rsidRDefault="009F4766" w:rsidP="00C917D6">
            <w:pPr>
              <w:pStyle w:val="NormalLeft"/>
              <w:rPr>
                <w:sz w:val="14"/>
                <w:szCs w:val="14"/>
              </w:rPr>
            </w:pPr>
            <w:r w:rsidRPr="00DE12A3">
              <w:rPr>
                <w:sz w:val="14"/>
                <w:szCs w:val="14"/>
              </w:rPr>
              <w:t>1,531</w:t>
            </w:r>
          </w:p>
        </w:tc>
        <w:tc>
          <w:tcPr>
            <w:tcW w:w="464" w:type="dxa"/>
            <w:tcBorders>
              <w:top w:val="single" w:sz="2" w:space="0" w:color="auto"/>
              <w:left w:val="single" w:sz="2" w:space="0" w:color="auto"/>
              <w:bottom w:val="single" w:sz="2" w:space="0" w:color="auto"/>
              <w:right w:val="single" w:sz="2" w:space="0" w:color="auto"/>
            </w:tcBorders>
          </w:tcPr>
          <w:p w14:paraId="188B3163" w14:textId="77777777" w:rsidR="009F4766" w:rsidRPr="00DE12A3" w:rsidRDefault="009F4766" w:rsidP="00C917D6">
            <w:pPr>
              <w:pStyle w:val="NormalLeft"/>
              <w:rPr>
                <w:sz w:val="14"/>
                <w:szCs w:val="14"/>
              </w:rPr>
            </w:pPr>
            <w:r w:rsidRPr="00DE12A3">
              <w:rPr>
                <w:sz w:val="14"/>
                <w:szCs w:val="14"/>
              </w:rPr>
              <w:t>1,491</w:t>
            </w:r>
          </w:p>
        </w:tc>
      </w:tr>
      <w:tr w:rsidR="00DE12A3" w:rsidRPr="00DE12A3" w14:paraId="609FA617" w14:textId="77777777" w:rsidTr="009F4766">
        <w:tc>
          <w:tcPr>
            <w:tcW w:w="464" w:type="dxa"/>
            <w:tcBorders>
              <w:top w:val="single" w:sz="2" w:space="0" w:color="auto"/>
              <w:left w:val="single" w:sz="2" w:space="0" w:color="auto"/>
              <w:bottom w:val="single" w:sz="2" w:space="0" w:color="auto"/>
              <w:right w:val="single" w:sz="2" w:space="0" w:color="auto"/>
            </w:tcBorders>
          </w:tcPr>
          <w:p w14:paraId="224CBA54" w14:textId="77777777" w:rsidR="009F4766" w:rsidRPr="00DE12A3" w:rsidRDefault="009F4766" w:rsidP="00C917D6">
            <w:pPr>
              <w:pStyle w:val="NormalLeft"/>
              <w:rPr>
                <w:sz w:val="14"/>
                <w:szCs w:val="14"/>
              </w:rPr>
            </w:pPr>
            <w:r w:rsidRPr="00DE12A3">
              <w:rPr>
                <w:sz w:val="14"/>
                <w:szCs w:val="14"/>
              </w:rPr>
              <w:t>28</w:t>
            </w:r>
          </w:p>
        </w:tc>
        <w:tc>
          <w:tcPr>
            <w:tcW w:w="465" w:type="dxa"/>
            <w:tcBorders>
              <w:top w:val="single" w:sz="2" w:space="0" w:color="auto"/>
              <w:left w:val="single" w:sz="2" w:space="0" w:color="auto"/>
              <w:bottom w:val="single" w:sz="2" w:space="0" w:color="auto"/>
              <w:right w:val="single" w:sz="2" w:space="0" w:color="auto"/>
            </w:tcBorders>
          </w:tcPr>
          <w:p w14:paraId="7494E8E0" w14:textId="77777777" w:rsidR="009F4766" w:rsidRPr="00DE12A3" w:rsidRDefault="009F4766" w:rsidP="00C917D6">
            <w:pPr>
              <w:pStyle w:val="NormalLeft"/>
              <w:rPr>
                <w:sz w:val="14"/>
                <w:szCs w:val="14"/>
              </w:rPr>
            </w:pPr>
            <w:r w:rsidRPr="00DE12A3">
              <w:rPr>
                <w:sz w:val="14"/>
                <w:szCs w:val="14"/>
              </w:rPr>
              <w:t>2,894</w:t>
            </w:r>
          </w:p>
        </w:tc>
        <w:tc>
          <w:tcPr>
            <w:tcW w:w="464" w:type="dxa"/>
            <w:tcBorders>
              <w:top w:val="single" w:sz="2" w:space="0" w:color="auto"/>
              <w:left w:val="single" w:sz="2" w:space="0" w:color="auto"/>
              <w:bottom w:val="single" w:sz="2" w:space="0" w:color="auto"/>
              <w:right w:val="single" w:sz="2" w:space="0" w:color="auto"/>
            </w:tcBorders>
          </w:tcPr>
          <w:p w14:paraId="0FB6DAB4" w14:textId="77777777" w:rsidR="009F4766" w:rsidRPr="00DE12A3" w:rsidRDefault="009F4766" w:rsidP="00C917D6">
            <w:pPr>
              <w:pStyle w:val="NormalLeft"/>
              <w:rPr>
                <w:sz w:val="14"/>
                <w:szCs w:val="14"/>
              </w:rPr>
            </w:pPr>
            <w:r w:rsidRPr="00DE12A3">
              <w:rPr>
                <w:sz w:val="14"/>
                <w:szCs w:val="14"/>
              </w:rPr>
              <w:t>2,503</w:t>
            </w:r>
          </w:p>
        </w:tc>
        <w:tc>
          <w:tcPr>
            <w:tcW w:w="464" w:type="dxa"/>
            <w:tcBorders>
              <w:top w:val="single" w:sz="2" w:space="0" w:color="auto"/>
              <w:left w:val="single" w:sz="2" w:space="0" w:color="auto"/>
              <w:bottom w:val="single" w:sz="2" w:space="0" w:color="auto"/>
              <w:right w:val="single" w:sz="2" w:space="0" w:color="auto"/>
            </w:tcBorders>
          </w:tcPr>
          <w:p w14:paraId="74F0F2A5" w14:textId="77777777" w:rsidR="009F4766" w:rsidRPr="00DE12A3" w:rsidRDefault="009F4766" w:rsidP="00C917D6">
            <w:pPr>
              <w:pStyle w:val="NormalLeft"/>
              <w:rPr>
                <w:sz w:val="14"/>
                <w:szCs w:val="14"/>
              </w:rPr>
            </w:pPr>
            <w:r w:rsidRPr="00DE12A3">
              <w:rPr>
                <w:sz w:val="14"/>
                <w:szCs w:val="14"/>
              </w:rPr>
              <w:t>2,291</w:t>
            </w:r>
          </w:p>
        </w:tc>
        <w:tc>
          <w:tcPr>
            <w:tcW w:w="465" w:type="dxa"/>
            <w:tcBorders>
              <w:top w:val="single" w:sz="2" w:space="0" w:color="auto"/>
              <w:left w:val="single" w:sz="2" w:space="0" w:color="auto"/>
              <w:bottom w:val="single" w:sz="2" w:space="0" w:color="auto"/>
              <w:right w:val="single" w:sz="2" w:space="0" w:color="auto"/>
            </w:tcBorders>
          </w:tcPr>
          <w:p w14:paraId="5A999A2D" w14:textId="77777777" w:rsidR="009F4766" w:rsidRPr="00DE12A3" w:rsidRDefault="009F4766" w:rsidP="00C917D6">
            <w:pPr>
              <w:pStyle w:val="NormalLeft"/>
              <w:rPr>
                <w:sz w:val="14"/>
                <w:szCs w:val="14"/>
              </w:rPr>
            </w:pPr>
            <w:r w:rsidRPr="00DE12A3">
              <w:rPr>
                <w:sz w:val="14"/>
                <w:szCs w:val="14"/>
              </w:rPr>
              <w:t>2,157</w:t>
            </w:r>
          </w:p>
        </w:tc>
        <w:tc>
          <w:tcPr>
            <w:tcW w:w="464" w:type="dxa"/>
            <w:tcBorders>
              <w:top w:val="single" w:sz="2" w:space="0" w:color="auto"/>
              <w:left w:val="single" w:sz="2" w:space="0" w:color="auto"/>
              <w:bottom w:val="single" w:sz="2" w:space="0" w:color="auto"/>
              <w:right w:val="single" w:sz="2" w:space="0" w:color="auto"/>
            </w:tcBorders>
          </w:tcPr>
          <w:p w14:paraId="51BCA276" w14:textId="77777777" w:rsidR="009F4766" w:rsidRPr="00DE12A3" w:rsidRDefault="009F4766" w:rsidP="00C917D6">
            <w:pPr>
              <w:pStyle w:val="NormalLeft"/>
              <w:rPr>
                <w:sz w:val="14"/>
                <w:szCs w:val="14"/>
              </w:rPr>
            </w:pPr>
            <w:r w:rsidRPr="00DE12A3">
              <w:rPr>
                <w:sz w:val="14"/>
                <w:szCs w:val="14"/>
              </w:rPr>
              <w:t>2,064</w:t>
            </w:r>
          </w:p>
        </w:tc>
        <w:tc>
          <w:tcPr>
            <w:tcW w:w="464" w:type="dxa"/>
            <w:tcBorders>
              <w:top w:val="single" w:sz="2" w:space="0" w:color="auto"/>
              <w:left w:val="single" w:sz="2" w:space="0" w:color="auto"/>
              <w:bottom w:val="single" w:sz="2" w:space="0" w:color="auto"/>
              <w:right w:val="single" w:sz="2" w:space="0" w:color="auto"/>
            </w:tcBorders>
          </w:tcPr>
          <w:p w14:paraId="4CB17B35" w14:textId="77777777" w:rsidR="009F4766" w:rsidRPr="00DE12A3" w:rsidRDefault="009F4766" w:rsidP="00C917D6">
            <w:pPr>
              <w:pStyle w:val="NormalLeft"/>
              <w:rPr>
                <w:sz w:val="14"/>
                <w:szCs w:val="14"/>
              </w:rPr>
            </w:pPr>
            <w:r w:rsidRPr="00DE12A3">
              <w:rPr>
                <w:sz w:val="14"/>
                <w:szCs w:val="14"/>
              </w:rPr>
              <w:t>1,996</w:t>
            </w:r>
          </w:p>
        </w:tc>
        <w:tc>
          <w:tcPr>
            <w:tcW w:w="464" w:type="dxa"/>
            <w:tcBorders>
              <w:top w:val="single" w:sz="2" w:space="0" w:color="auto"/>
              <w:left w:val="single" w:sz="2" w:space="0" w:color="auto"/>
              <w:bottom w:val="single" w:sz="2" w:space="0" w:color="auto"/>
              <w:right w:val="single" w:sz="2" w:space="0" w:color="auto"/>
            </w:tcBorders>
          </w:tcPr>
          <w:p w14:paraId="4FD08123" w14:textId="77777777" w:rsidR="009F4766" w:rsidRPr="00DE12A3" w:rsidRDefault="009F4766" w:rsidP="00C917D6">
            <w:pPr>
              <w:pStyle w:val="NormalLeft"/>
              <w:rPr>
                <w:sz w:val="14"/>
                <w:szCs w:val="14"/>
              </w:rPr>
            </w:pPr>
            <w:r w:rsidRPr="00DE12A3">
              <w:rPr>
                <w:sz w:val="14"/>
                <w:szCs w:val="14"/>
              </w:rPr>
              <w:t>1,943</w:t>
            </w:r>
          </w:p>
        </w:tc>
        <w:tc>
          <w:tcPr>
            <w:tcW w:w="465" w:type="dxa"/>
            <w:tcBorders>
              <w:top w:val="single" w:sz="2" w:space="0" w:color="auto"/>
              <w:left w:val="single" w:sz="2" w:space="0" w:color="auto"/>
              <w:bottom w:val="single" w:sz="2" w:space="0" w:color="auto"/>
              <w:right w:val="single" w:sz="2" w:space="0" w:color="auto"/>
            </w:tcBorders>
          </w:tcPr>
          <w:p w14:paraId="0CF6F03D" w14:textId="77777777" w:rsidR="009F4766" w:rsidRPr="00DE12A3" w:rsidRDefault="009F4766" w:rsidP="00C917D6">
            <w:pPr>
              <w:pStyle w:val="NormalLeft"/>
              <w:rPr>
                <w:sz w:val="14"/>
                <w:szCs w:val="14"/>
              </w:rPr>
            </w:pPr>
            <w:r w:rsidRPr="00DE12A3">
              <w:rPr>
                <w:sz w:val="14"/>
                <w:szCs w:val="14"/>
              </w:rPr>
              <w:t>1,900</w:t>
            </w:r>
          </w:p>
        </w:tc>
        <w:tc>
          <w:tcPr>
            <w:tcW w:w="464" w:type="dxa"/>
            <w:tcBorders>
              <w:top w:val="single" w:sz="2" w:space="0" w:color="auto"/>
              <w:left w:val="single" w:sz="2" w:space="0" w:color="auto"/>
              <w:bottom w:val="single" w:sz="2" w:space="0" w:color="auto"/>
              <w:right w:val="single" w:sz="2" w:space="0" w:color="auto"/>
            </w:tcBorders>
          </w:tcPr>
          <w:p w14:paraId="786B0370" w14:textId="77777777" w:rsidR="009F4766" w:rsidRPr="00DE12A3" w:rsidRDefault="009F4766" w:rsidP="00C917D6">
            <w:pPr>
              <w:pStyle w:val="NormalLeft"/>
              <w:rPr>
                <w:sz w:val="14"/>
                <w:szCs w:val="14"/>
              </w:rPr>
            </w:pPr>
            <w:r w:rsidRPr="00DE12A3">
              <w:rPr>
                <w:sz w:val="14"/>
                <w:szCs w:val="14"/>
              </w:rPr>
              <w:t>1,865</w:t>
            </w:r>
          </w:p>
        </w:tc>
        <w:tc>
          <w:tcPr>
            <w:tcW w:w="464" w:type="dxa"/>
            <w:tcBorders>
              <w:top w:val="single" w:sz="2" w:space="0" w:color="auto"/>
              <w:left w:val="single" w:sz="2" w:space="0" w:color="auto"/>
              <w:bottom w:val="single" w:sz="2" w:space="0" w:color="auto"/>
              <w:right w:val="single" w:sz="2" w:space="0" w:color="auto"/>
            </w:tcBorders>
          </w:tcPr>
          <w:p w14:paraId="3C6FD121" w14:textId="77777777" w:rsidR="009F4766" w:rsidRPr="00DE12A3" w:rsidRDefault="009F4766" w:rsidP="00C917D6">
            <w:pPr>
              <w:pStyle w:val="NormalLeft"/>
              <w:rPr>
                <w:sz w:val="14"/>
                <w:szCs w:val="14"/>
              </w:rPr>
            </w:pPr>
            <w:r w:rsidRPr="00DE12A3">
              <w:rPr>
                <w:sz w:val="14"/>
                <w:szCs w:val="14"/>
              </w:rPr>
              <w:t>1,836</w:t>
            </w:r>
          </w:p>
        </w:tc>
        <w:tc>
          <w:tcPr>
            <w:tcW w:w="465" w:type="dxa"/>
            <w:tcBorders>
              <w:top w:val="single" w:sz="2" w:space="0" w:color="auto"/>
              <w:left w:val="single" w:sz="2" w:space="0" w:color="auto"/>
              <w:bottom w:val="single" w:sz="2" w:space="0" w:color="auto"/>
              <w:right w:val="single" w:sz="2" w:space="0" w:color="auto"/>
            </w:tcBorders>
          </w:tcPr>
          <w:p w14:paraId="28B6B921" w14:textId="77777777" w:rsidR="009F4766" w:rsidRPr="00DE12A3" w:rsidRDefault="009F4766" w:rsidP="00C917D6">
            <w:pPr>
              <w:pStyle w:val="NormalLeft"/>
              <w:rPr>
                <w:sz w:val="14"/>
                <w:szCs w:val="14"/>
              </w:rPr>
            </w:pPr>
            <w:r w:rsidRPr="00DE12A3">
              <w:rPr>
                <w:sz w:val="14"/>
                <w:szCs w:val="14"/>
              </w:rPr>
              <w:t>1,790</w:t>
            </w:r>
          </w:p>
        </w:tc>
        <w:tc>
          <w:tcPr>
            <w:tcW w:w="464" w:type="dxa"/>
            <w:tcBorders>
              <w:top w:val="single" w:sz="2" w:space="0" w:color="auto"/>
              <w:left w:val="single" w:sz="2" w:space="0" w:color="auto"/>
              <w:bottom w:val="single" w:sz="2" w:space="0" w:color="auto"/>
              <w:right w:val="single" w:sz="2" w:space="0" w:color="auto"/>
            </w:tcBorders>
          </w:tcPr>
          <w:p w14:paraId="04E8EE2D" w14:textId="77777777" w:rsidR="009F4766" w:rsidRPr="00DE12A3" w:rsidRDefault="009F4766" w:rsidP="00C917D6">
            <w:pPr>
              <w:pStyle w:val="NormalLeft"/>
              <w:rPr>
                <w:sz w:val="14"/>
                <w:szCs w:val="14"/>
              </w:rPr>
            </w:pPr>
            <w:r w:rsidRPr="00DE12A3">
              <w:rPr>
                <w:sz w:val="14"/>
                <w:szCs w:val="14"/>
              </w:rPr>
              <w:t>1,740</w:t>
            </w:r>
          </w:p>
        </w:tc>
        <w:tc>
          <w:tcPr>
            <w:tcW w:w="464" w:type="dxa"/>
            <w:tcBorders>
              <w:top w:val="single" w:sz="2" w:space="0" w:color="auto"/>
              <w:left w:val="single" w:sz="2" w:space="0" w:color="auto"/>
              <w:bottom w:val="single" w:sz="2" w:space="0" w:color="auto"/>
              <w:right w:val="single" w:sz="2" w:space="0" w:color="auto"/>
            </w:tcBorders>
          </w:tcPr>
          <w:p w14:paraId="7705D6E3" w14:textId="77777777" w:rsidR="009F4766" w:rsidRPr="00DE12A3" w:rsidRDefault="009F4766" w:rsidP="00C917D6">
            <w:pPr>
              <w:pStyle w:val="NormalLeft"/>
              <w:rPr>
                <w:sz w:val="14"/>
                <w:szCs w:val="14"/>
              </w:rPr>
            </w:pPr>
            <w:r w:rsidRPr="00DE12A3">
              <w:rPr>
                <w:sz w:val="14"/>
                <w:szCs w:val="14"/>
              </w:rPr>
              <w:t>1,685</w:t>
            </w:r>
          </w:p>
        </w:tc>
        <w:tc>
          <w:tcPr>
            <w:tcW w:w="465" w:type="dxa"/>
            <w:tcBorders>
              <w:top w:val="single" w:sz="2" w:space="0" w:color="auto"/>
              <w:left w:val="single" w:sz="2" w:space="0" w:color="auto"/>
              <w:bottom w:val="single" w:sz="2" w:space="0" w:color="auto"/>
              <w:right w:val="single" w:sz="2" w:space="0" w:color="auto"/>
            </w:tcBorders>
          </w:tcPr>
          <w:p w14:paraId="3611B88E" w14:textId="77777777" w:rsidR="009F4766" w:rsidRPr="00DE12A3" w:rsidRDefault="009F4766" w:rsidP="00C917D6">
            <w:pPr>
              <w:pStyle w:val="NormalLeft"/>
              <w:rPr>
                <w:sz w:val="14"/>
                <w:szCs w:val="14"/>
              </w:rPr>
            </w:pPr>
            <w:r w:rsidRPr="00DE12A3">
              <w:rPr>
                <w:sz w:val="14"/>
                <w:szCs w:val="14"/>
              </w:rPr>
              <w:t>1,656</w:t>
            </w:r>
          </w:p>
        </w:tc>
        <w:tc>
          <w:tcPr>
            <w:tcW w:w="464" w:type="dxa"/>
            <w:tcBorders>
              <w:top w:val="single" w:sz="2" w:space="0" w:color="auto"/>
              <w:left w:val="single" w:sz="2" w:space="0" w:color="auto"/>
              <w:bottom w:val="single" w:sz="2" w:space="0" w:color="auto"/>
              <w:right w:val="single" w:sz="2" w:space="0" w:color="auto"/>
            </w:tcBorders>
          </w:tcPr>
          <w:p w14:paraId="60E1DD40" w14:textId="77777777" w:rsidR="009F4766" w:rsidRPr="00DE12A3" w:rsidRDefault="009F4766" w:rsidP="00C917D6">
            <w:pPr>
              <w:pStyle w:val="NormalLeft"/>
              <w:rPr>
                <w:sz w:val="14"/>
                <w:szCs w:val="14"/>
              </w:rPr>
            </w:pPr>
            <w:r w:rsidRPr="00DE12A3">
              <w:rPr>
                <w:sz w:val="14"/>
                <w:szCs w:val="14"/>
              </w:rPr>
              <w:t>1,625</w:t>
            </w:r>
          </w:p>
        </w:tc>
        <w:tc>
          <w:tcPr>
            <w:tcW w:w="464" w:type="dxa"/>
            <w:tcBorders>
              <w:top w:val="single" w:sz="2" w:space="0" w:color="auto"/>
              <w:left w:val="single" w:sz="2" w:space="0" w:color="auto"/>
              <w:bottom w:val="single" w:sz="2" w:space="0" w:color="auto"/>
              <w:right w:val="single" w:sz="2" w:space="0" w:color="auto"/>
            </w:tcBorders>
          </w:tcPr>
          <w:p w14:paraId="53F1CCE5" w14:textId="77777777" w:rsidR="009F4766" w:rsidRPr="00DE12A3" w:rsidRDefault="009F4766" w:rsidP="00C917D6">
            <w:pPr>
              <w:pStyle w:val="NormalLeft"/>
              <w:rPr>
                <w:sz w:val="14"/>
                <w:szCs w:val="14"/>
              </w:rPr>
            </w:pPr>
            <w:r w:rsidRPr="00DE12A3">
              <w:rPr>
                <w:sz w:val="14"/>
                <w:szCs w:val="14"/>
              </w:rPr>
              <w:t>1,593</w:t>
            </w:r>
          </w:p>
        </w:tc>
        <w:tc>
          <w:tcPr>
            <w:tcW w:w="464" w:type="dxa"/>
            <w:tcBorders>
              <w:top w:val="single" w:sz="2" w:space="0" w:color="auto"/>
              <w:left w:val="single" w:sz="2" w:space="0" w:color="auto"/>
              <w:bottom w:val="single" w:sz="2" w:space="0" w:color="auto"/>
              <w:right w:val="single" w:sz="2" w:space="0" w:color="auto"/>
            </w:tcBorders>
          </w:tcPr>
          <w:p w14:paraId="7E4E5590" w14:textId="77777777" w:rsidR="009F4766" w:rsidRPr="00DE12A3" w:rsidRDefault="009F4766" w:rsidP="00C917D6">
            <w:pPr>
              <w:pStyle w:val="NormalLeft"/>
              <w:rPr>
                <w:sz w:val="14"/>
                <w:szCs w:val="14"/>
              </w:rPr>
            </w:pPr>
            <w:r w:rsidRPr="00DE12A3">
              <w:rPr>
                <w:sz w:val="14"/>
                <w:szCs w:val="14"/>
              </w:rPr>
              <w:t>1,558</w:t>
            </w:r>
          </w:p>
        </w:tc>
        <w:tc>
          <w:tcPr>
            <w:tcW w:w="465" w:type="dxa"/>
            <w:tcBorders>
              <w:top w:val="single" w:sz="2" w:space="0" w:color="auto"/>
              <w:left w:val="single" w:sz="2" w:space="0" w:color="auto"/>
              <w:bottom w:val="single" w:sz="2" w:space="0" w:color="auto"/>
              <w:right w:val="single" w:sz="2" w:space="0" w:color="auto"/>
            </w:tcBorders>
          </w:tcPr>
          <w:p w14:paraId="1E35767E" w14:textId="77777777" w:rsidR="009F4766" w:rsidRPr="00DE12A3" w:rsidRDefault="009F4766" w:rsidP="00C917D6">
            <w:pPr>
              <w:pStyle w:val="NormalLeft"/>
              <w:rPr>
                <w:sz w:val="14"/>
                <w:szCs w:val="14"/>
              </w:rPr>
            </w:pPr>
            <w:r w:rsidRPr="00DE12A3">
              <w:rPr>
                <w:sz w:val="14"/>
                <w:szCs w:val="14"/>
              </w:rPr>
              <w:t>1,520</w:t>
            </w:r>
          </w:p>
        </w:tc>
        <w:tc>
          <w:tcPr>
            <w:tcW w:w="464" w:type="dxa"/>
            <w:tcBorders>
              <w:top w:val="single" w:sz="2" w:space="0" w:color="auto"/>
              <w:left w:val="single" w:sz="2" w:space="0" w:color="auto"/>
              <w:bottom w:val="single" w:sz="2" w:space="0" w:color="auto"/>
              <w:right w:val="single" w:sz="2" w:space="0" w:color="auto"/>
            </w:tcBorders>
          </w:tcPr>
          <w:p w14:paraId="040F78F3" w14:textId="77777777" w:rsidR="009F4766" w:rsidRPr="00DE12A3" w:rsidRDefault="009F4766" w:rsidP="00C917D6">
            <w:pPr>
              <w:pStyle w:val="NormalLeft"/>
              <w:rPr>
                <w:sz w:val="14"/>
                <w:szCs w:val="14"/>
              </w:rPr>
            </w:pPr>
            <w:r w:rsidRPr="00DE12A3">
              <w:rPr>
                <w:sz w:val="14"/>
                <w:szCs w:val="14"/>
              </w:rPr>
              <w:t>1,478</w:t>
            </w:r>
          </w:p>
        </w:tc>
      </w:tr>
      <w:tr w:rsidR="00DE12A3" w:rsidRPr="00DE12A3" w14:paraId="23BA9362" w14:textId="77777777" w:rsidTr="009F4766">
        <w:tc>
          <w:tcPr>
            <w:tcW w:w="464" w:type="dxa"/>
            <w:tcBorders>
              <w:top w:val="single" w:sz="2" w:space="0" w:color="auto"/>
              <w:left w:val="single" w:sz="2" w:space="0" w:color="auto"/>
              <w:bottom w:val="single" w:sz="2" w:space="0" w:color="auto"/>
              <w:right w:val="single" w:sz="2" w:space="0" w:color="auto"/>
            </w:tcBorders>
          </w:tcPr>
          <w:p w14:paraId="67B3B9D0" w14:textId="77777777" w:rsidR="009F4766" w:rsidRPr="00DE12A3" w:rsidRDefault="009F4766" w:rsidP="00C917D6">
            <w:pPr>
              <w:pStyle w:val="NormalLeft"/>
              <w:rPr>
                <w:sz w:val="14"/>
                <w:szCs w:val="14"/>
              </w:rPr>
            </w:pPr>
            <w:r w:rsidRPr="00DE12A3">
              <w:rPr>
                <w:sz w:val="14"/>
                <w:szCs w:val="14"/>
              </w:rPr>
              <w:t>29</w:t>
            </w:r>
          </w:p>
        </w:tc>
        <w:tc>
          <w:tcPr>
            <w:tcW w:w="465" w:type="dxa"/>
            <w:tcBorders>
              <w:top w:val="single" w:sz="2" w:space="0" w:color="auto"/>
              <w:left w:val="single" w:sz="2" w:space="0" w:color="auto"/>
              <w:bottom w:val="single" w:sz="2" w:space="0" w:color="auto"/>
              <w:right w:val="single" w:sz="2" w:space="0" w:color="auto"/>
            </w:tcBorders>
          </w:tcPr>
          <w:p w14:paraId="74EC4B42" w14:textId="77777777" w:rsidR="009F4766" w:rsidRPr="00DE12A3" w:rsidRDefault="009F4766" w:rsidP="00C917D6">
            <w:pPr>
              <w:pStyle w:val="NormalLeft"/>
              <w:rPr>
                <w:sz w:val="14"/>
                <w:szCs w:val="14"/>
              </w:rPr>
            </w:pPr>
            <w:r w:rsidRPr="00DE12A3">
              <w:rPr>
                <w:sz w:val="14"/>
                <w:szCs w:val="14"/>
              </w:rPr>
              <w:t>2,887</w:t>
            </w:r>
          </w:p>
        </w:tc>
        <w:tc>
          <w:tcPr>
            <w:tcW w:w="464" w:type="dxa"/>
            <w:tcBorders>
              <w:top w:val="single" w:sz="2" w:space="0" w:color="auto"/>
              <w:left w:val="single" w:sz="2" w:space="0" w:color="auto"/>
              <w:bottom w:val="single" w:sz="2" w:space="0" w:color="auto"/>
              <w:right w:val="single" w:sz="2" w:space="0" w:color="auto"/>
            </w:tcBorders>
          </w:tcPr>
          <w:p w14:paraId="281015FE" w14:textId="77777777" w:rsidR="009F4766" w:rsidRPr="00DE12A3" w:rsidRDefault="009F4766" w:rsidP="00C917D6">
            <w:pPr>
              <w:pStyle w:val="NormalLeft"/>
              <w:rPr>
                <w:sz w:val="14"/>
                <w:szCs w:val="14"/>
              </w:rPr>
            </w:pPr>
            <w:r w:rsidRPr="00DE12A3">
              <w:rPr>
                <w:sz w:val="14"/>
                <w:szCs w:val="14"/>
              </w:rPr>
              <w:t>2,495</w:t>
            </w:r>
          </w:p>
        </w:tc>
        <w:tc>
          <w:tcPr>
            <w:tcW w:w="464" w:type="dxa"/>
            <w:tcBorders>
              <w:top w:val="single" w:sz="2" w:space="0" w:color="auto"/>
              <w:left w:val="single" w:sz="2" w:space="0" w:color="auto"/>
              <w:bottom w:val="single" w:sz="2" w:space="0" w:color="auto"/>
              <w:right w:val="single" w:sz="2" w:space="0" w:color="auto"/>
            </w:tcBorders>
          </w:tcPr>
          <w:p w14:paraId="0C288439" w14:textId="77777777" w:rsidR="009F4766" w:rsidRPr="00DE12A3" w:rsidRDefault="009F4766" w:rsidP="00C917D6">
            <w:pPr>
              <w:pStyle w:val="NormalLeft"/>
              <w:rPr>
                <w:sz w:val="14"/>
                <w:szCs w:val="14"/>
              </w:rPr>
            </w:pPr>
            <w:r w:rsidRPr="00DE12A3">
              <w:rPr>
                <w:sz w:val="14"/>
                <w:szCs w:val="14"/>
              </w:rPr>
              <w:t>2,283</w:t>
            </w:r>
          </w:p>
        </w:tc>
        <w:tc>
          <w:tcPr>
            <w:tcW w:w="465" w:type="dxa"/>
            <w:tcBorders>
              <w:top w:val="single" w:sz="2" w:space="0" w:color="auto"/>
              <w:left w:val="single" w:sz="2" w:space="0" w:color="auto"/>
              <w:bottom w:val="single" w:sz="2" w:space="0" w:color="auto"/>
              <w:right w:val="single" w:sz="2" w:space="0" w:color="auto"/>
            </w:tcBorders>
          </w:tcPr>
          <w:p w14:paraId="0965351C" w14:textId="77777777" w:rsidR="009F4766" w:rsidRPr="00DE12A3" w:rsidRDefault="009F4766" w:rsidP="00C917D6">
            <w:pPr>
              <w:pStyle w:val="NormalLeft"/>
              <w:rPr>
                <w:sz w:val="14"/>
                <w:szCs w:val="14"/>
              </w:rPr>
            </w:pPr>
            <w:r w:rsidRPr="00DE12A3">
              <w:rPr>
                <w:sz w:val="14"/>
                <w:szCs w:val="14"/>
              </w:rPr>
              <w:t>2,149</w:t>
            </w:r>
          </w:p>
        </w:tc>
        <w:tc>
          <w:tcPr>
            <w:tcW w:w="464" w:type="dxa"/>
            <w:tcBorders>
              <w:top w:val="single" w:sz="2" w:space="0" w:color="auto"/>
              <w:left w:val="single" w:sz="2" w:space="0" w:color="auto"/>
              <w:bottom w:val="single" w:sz="2" w:space="0" w:color="auto"/>
              <w:right w:val="single" w:sz="2" w:space="0" w:color="auto"/>
            </w:tcBorders>
          </w:tcPr>
          <w:p w14:paraId="0AB321B5" w14:textId="77777777" w:rsidR="009F4766" w:rsidRPr="00DE12A3" w:rsidRDefault="009F4766" w:rsidP="00C917D6">
            <w:pPr>
              <w:pStyle w:val="NormalLeft"/>
              <w:rPr>
                <w:sz w:val="14"/>
                <w:szCs w:val="14"/>
              </w:rPr>
            </w:pPr>
            <w:r w:rsidRPr="00DE12A3">
              <w:rPr>
                <w:sz w:val="14"/>
                <w:szCs w:val="14"/>
              </w:rPr>
              <w:t>2,057</w:t>
            </w:r>
          </w:p>
        </w:tc>
        <w:tc>
          <w:tcPr>
            <w:tcW w:w="464" w:type="dxa"/>
            <w:tcBorders>
              <w:top w:val="single" w:sz="2" w:space="0" w:color="auto"/>
              <w:left w:val="single" w:sz="2" w:space="0" w:color="auto"/>
              <w:bottom w:val="single" w:sz="2" w:space="0" w:color="auto"/>
              <w:right w:val="single" w:sz="2" w:space="0" w:color="auto"/>
            </w:tcBorders>
          </w:tcPr>
          <w:p w14:paraId="1520C884" w14:textId="77777777" w:rsidR="009F4766" w:rsidRPr="00DE12A3" w:rsidRDefault="009F4766" w:rsidP="00C917D6">
            <w:pPr>
              <w:pStyle w:val="NormalLeft"/>
              <w:rPr>
                <w:sz w:val="14"/>
                <w:szCs w:val="14"/>
              </w:rPr>
            </w:pPr>
            <w:r w:rsidRPr="00DE12A3">
              <w:rPr>
                <w:sz w:val="14"/>
                <w:szCs w:val="14"/>
              </w:rPr>
              <w:t>1,988</w:t>
            </w:r>
          </w:p>
        </w:tc>
        <w:tc>
          <w:tcPr>
            <w:tcW w:w="464" w:type="dxa"/>
            <w:tcBorders>
              <w:top w:val="single" w:sz="2" w:space="0" w:color="auto"/>
              <w:left w:val="single" w:sz="2" w:space="0" w:color="auto"/>
              <w:bottom w:val="single" w:sz="2" w:space="0" w:color="auto"/>
              <w:right w:val="single" w:sz="2" w:space="0" w:color="auto"/>
            </w:tcBorders>
          </w:tcPr>
          <w:p w14:paraId="25B9266E" w14:textId="77777777" w:rsidR="009F4766" w:rsidRPr="00DE12A3" w:rsidRDefault="009F4766" w:rsidP="00C917D6">
            <w:pPr>
              <w:pStyle w:val="NormalLeft"/>
              <w:rPr>
                <w:sz w:val="14"/>
                <w:szCs w:val="14"/>
              </w:rPr>
            </w:pPr>
            <w:r w:rsidRPr="00DE12A3">
              <w:rPr>
                <w:sz w:val="14"/>
                <w:szCs w:val="14"/>
              </w:rPr>
              <w:t>1,935</w:t>
            </w:r>
          </w:p>
        </w:tc>
        <w:tc>
          <w:tcPr>
            <w:tcW w:w="465" w:type="dxa"/>
            <w:tcBorders>
              <w:top w:val="single" w:sz="2" w:space="0" w:color="auto"/>
              <w:left w:val="single" w:sz="2" w:space="0" w:color="auto"/>
              <w:bottom w:val="single" w:sz="2" w:space="0" w:color="auto"/>
              <w:right w:val="single" w:sz="2" w:space="0" w:color="auto"/>
            </w:tcBorders>
          </w:tcPr>
          <w:p w14:paraId="4B03FF76" w14:textId="77777777" w:rsidR="009F4766" w:rsidRPr="00DE12A3" w:rsidRDefault="009F4766" w:rsidP="00C917D6">
            <w:pPr>
              <w:pStyle w:val="NormalLeft"/>
              <w:rPr>
                <w:sz w:val="14"/>
                <w:szCs w:val="14"/>
              </w:rPr>
            </w:pPr>
            <w:r w:rsidRPr="00DE12A3">
              <w:rPr>
                <w:sz w:val="14"/>
                <w:szCs w:val="14"/>
              </w:rPr>
              <w:t>1,892</w:t>
            </w:r>
          </w:p>
        </w:tc>
        <w:tc>
          <w:tcPr>
            <w:tcW w:w="464" w:type="dxa"/>
            <w:tcBorders>
              <w:top w:val="single" w:sz="2" w:space="0" w:color="auto"/>
              <w:left w:val="single" w:sz="2" w:space="0" w:color="auto"/>
              <w:bottom w:val="single" w:sz="2" w:space="0" w:color="auto"/>
              <w:right w:val="single" w:sz="2" w:space="0" w:color="auto"/>
            </w:tcBorders>
          </w:tcPr>
          <w:p w14:paraId="736C1FDD" w14:textId="77777777" w:rsidR="009F4766" w:rsidRPr="00DE12A3" w:rsidRDefault="009F4766" w:rsidP="00C917D6">
            <w:pPr>
              <w:pStyle w:val="NormalLeft"/>
              <w:rPr>
                <w:sz w:val="14"/>
                <w:szCs w:val="14"/>
              </w:rPr>
            </w:pPr>
            <w:r w:rsidRPr="00DE12A3">
              <w:rPr>
                <w:sz w:val="14"/>
                <w:szCs w:val="14"/>
              </w:rPr>
              <w:t>1,857</w:t>
            </w:r>
          </w:p>
        </w:tc>
        <w:tc>
          <w:tcPr>
            <w:tcW w:w="464" w:type="dxa"/>
            <w:tcBorders>
              <w:top w:val="single" w:sz="2" w:space="0" w:color="auto"/>
              <w:left w:val="single" w:sz="2" w:space="0" w:color="auto"/>
              <w:bottom w:val="single" w:sz="2" w:space="0" w:color="auto"/>
              <w:right w:val="single" w:sz="2" w:space="0" w:color="auto"/>
            </w:tcBorders>
          </w:tcPr>
          <w:p w14:paraId="160F64DD" w14:textId="77777777" w:rsidR="009F4766" w:rsidRPr="00DE12A3" w:rsidRDefault="009F4766" w:rsidP="00C917D6">
            <w:pPr>
              <w:pStyle w:val="NormalLeft"/>
              <w:rPr>
                <w:sz w:val="14"/>
                <w:szCs w:val="14"/>
              </w:rPr>
            </w:pPr>
            <w:r w:rsidRPr="00DE12A3">
              <w:rPr>
                <w:sz w:val="14"/>
                <w:szCs w:val="14"/>
              </w:rPr>
              <w:t>1,827</w:t>
            </w:r>
          </w:p>
        </w:tc>
        <w:tc>
          <w:tcPr>
            <w:tcW w:w="465" w:type="dxa"/>
            <w:tcBorders>
              <w:top w:val="single" w:sz="2" w:space="0" w:color="auto"/>
              <w:left w:val="single" w:sz="2" w:space="0" w:color="auto"/>
              <w:bottom w:val="single" w:sz="2" w:space="0" w:color="auto"/>
              <w:right w:val="single" w:sz="2" w:space="0" w:color="auto"/>
            </w:tcBorders>
          </w:tcPr>
          <w:p w14:paraId="679D2443" w14:textId="77777777" w:rsidR="009F4766" w:rsidRPr="00DE12A3" w:rsidRDefault="009F4766" w:rsidP="00C917D6">
            <w:pPr>
              <w:pStyle w:val="NormalLeft"/>
              <w:rPr>
                <w:sz w:val="14"/>
                <w:szCs w:val="14"/>
              </w:rPr>
            </w:pPr>
            <w:r w:rsidRPr="00DE12A3">
              <w:rPr>
                <w:sz w:val="14"/>
                <w:szCs w:val="14"/>
              </w:rPr>
              <w:t>1,781</w:t>
            </w:r>
          </w:p>
        </w:tc>
        <w:tc>
          <w:tcPr>
            <w:tcW w:w="464" w:type="dxa"/>
            <w:tcBorders>
              <w:top w:val="single" w:sz="2" w:space="0" w:color="auto"/>
              <w:left w:val="single" w:sz="2" w:space="0" w:color="auto"/>
              <w:bottom w:val="single" w:sz="2" w:space="0" w:color="auto"/>
              <w:right w:val="single" w:sz="2" w:space="0" w:color="auto"/>
            </w:tcBorders>
          </w:tcPr>
          <w:p w14:paraId="1284FE1A" w14:textId="77777777" w:rsidR="009F4766" w:rsidRPr="00DE12A3" w:rsidRDefault="009F4766" w:rsidP="00C917D6">
            <w:pPr>
              <w:pStyle w:val="NormalLeft"/>
              <w:rPr>
                <w:sz w:val="14"/>
                <w:szCs w:val="14"/>
              </w:rPr>
            </w:pPr>
            <w:r w:rsidRPr="00DE12A3">
              <w:rPr>
                <w:sz w:val="14"/>
                <w:szCs w:val="14"/>
              </w:rPr>
              <w:t>1,731</w:t>
            </w:r>
          </w:p>
        </w:tc>
        <w:tc>
          <w:tcPr>
            <w:tcW w:w="464" w:type="dxa"/>
            <w:tcBorders>
              <w:top w:val="single" w:sz="2" w:space="0" w:color="auto"/>
              <w:left w:val="single" w:sz="2" w:space="0" w:color="auto"/>
              <w:bottom w:val="single" w:sz="2" w:space="0" w:color="auto"/>
              <w:right w:val="single" w:sz="2" w:space="0" w:color="auto"/>
            </w:tcBorders>
          </w:tcPr>
          <w:p w14:paraId="1314E42B" w14:textId="77777777" w:rsidR="009F4766" w:rsidRPr="00DE12A3" w:rsidRDefault="009F4766" w:rsidP="00C917D6">
            <w:pPr>
              <w:pStyle w:val="NormalLeft"/>
              <w:rPr>
                <w:sz w:val="14"/>
                <w:szCs w:val="14"/>
              </w:rPr>
            </w:pPr>
            <w:r w:rsidRPr="00DE12A3">
              <w:rPr>
                <w:sz w:val="14"/>
                <w:szCs w:val="14"/>
              </w:rPr>
              <w:t>1,676</w:t>
            </w:r>
          </w:p>
        </w:tc>
        <w:tc>
          <w:tcPr>
            <w:tcW w:w="465" w:type="dxa"/>
            <w:tcBorders>
              <w:top w:val="single" w:sz="2" w:space="0" w:color="auto"/>
              <w:left w:val="single" w:sz="2" w:space="0" w:color="auto"/>
              <w:bottom w:val="single" w:sz="2" w:space="0" w:color="auto"/>
              <w:right w:val="single" w:sz="2" w:space="0" w:color="auto"/>
            </w:tcBorders>
          </w:tcPr>
          <w:p w14:paraId="23820C5B" w14:textId="77777777" w:rsidR="009F4766" w:rsidRPr="00DE12A3" w:rsidRDefault="009F4766" w:rsidP="00C917D6">
            <w:pPr>
              <w:pStyle w:val="NormalLeft"/>
              <w:rPr>
                <w:sz w:val="14"/>
                <w:szCs w:val="14"/>
              </w:rPr>
            </w:pPr>
            <w:r w:rsidRPr="00DE12A3">
              <w:rPr>
                <w:sz w:val="14"/>
                <w:szCs w:val="14"/>
              </w:rPr>
              <w:t>1,647</w:t>
            </w:r>
          </w:p>
        </w:tc>
        <w:tc>
          <w:tcPr>
            <w:tcW w:w="464" w:type="dxa"/>
            <w:tcBorders>
              <w:top w:val="single" w:sz="2" w:space="0" w:color="auto"/>
              <w:left w:val="single" w:sz="2" w:space="0" w:color="auto"/>
              <w:bottom w:val="single" w:sz="2" w:space="0" w:color="auto"/>
              <w:right w:val="single" w:sz="2" w:space="0" w:color="auto"/>
            </w:tcBorders>
          </w:tcPr>
          <w:p w14:paraId="4F20C484" w14:textId="77777777" w:rsidR="009F4766" w:rsidRPr="00DE12A3" w:rsidRDefault="009F4766" w:rsidP="00C917D6">
            <w:pPr>
              <w:pStyle w:val="NormalLeft"/>
              <w:rPr>
                <w:sz w:val="14"/>
                <w:szCs w:val="14"/>
              </w:rPr>
            </w:pPr>
            <w:r w:rsidRPr="00DE12A3">
              <w:rPr>
                <w:sz w:val="14"/>
                <w:szCs w:val="14"/>
              </w:rPr>
              <w:t>1,616</w:t>
            </w:r>
          </w:p>
        </w:tc>
        <w:tc>
          <w:tcPr>
            <w:tcW w:w="464" w:type="dxa"/>
            <w:tcBorders>
              <w:top w:val="single" w:sz="2" w:space="0" w:color="auto"/>
              <w:left w:val="single" w:sz="2" w:space="0" w:color="auto"/>
              <w:bottom w:val="single" w:sz="2" w:space="0" w:color="auto"/>
              <w:right w:val="single" w:sz="2" w:space="0" w:color="auto"/>
            </w:tcBorders>
          </w:tcPr>
          <w:p w14:paraId="371FE467" w14:textId="77777777" w:rsidR="009F4766" w:rsidRPr="00DE12A3" w:rsidRDefault="009F4766" w:rsidP="00C917D6">
            <w:pPr>
              <w:pStyle w:val="NormalLeft"/>
              <w:rPr>
                <w:sz w:val="14"/>
                <w:szCs w:val="14"/>
              </w:rPr>
            </w:pPr>
            <w:r w:rsidRPr="00DE12A3">
              <w:rPr>
                <w:sz w:val="14"/>
                <w:szCs w:val="14"/>
              </w:rPr>
              <w:t>1,583</w:t>
            </w:r>
          </w:p>
        </w:tc>
        <w:tc>
          <w:tcPr>
            <w:tcW w:w="464" w:type="dxa"/>
            <w:tcBorders>
              <w:top w:val="single" w:sz="2" w:space="0" w:color="auto"/>
              <w:left w:val="single" w:sz="2" w:space="0" w:color="auto"/>
              <w:bottom w:val="single" w:sz="2" w:space="0" w:color="auto"/>
              <w:right w:val="single" w:sz="2" w:space="0" w:color="auto"/>
            </w:tcBorders>
          </w:tcPr>
          <w:p w14:paraId="5D8A2533" w14:textId="77777777" w:rsidR="009F4766" w:rsidRPr="00DE12A3" w:rsidRDefault="009F4766" w:rsidP="00C917D6">
            <w:pPr>
              <w:pStyle w:val="NormalLeft"/>
              <w:rPr>
                <w:sz w:val="14"/>
                <w:szCs w:val="14"/>
              </w:rPr>
            </w:pPr>
            <w:r w:rsidRPr="00DE12A3">
              <w:rPr>
                <w:sz w:val="14"/>
                <w:szCs w:val="14"/>
              </w:rPr>
              <w:t>1,547</w:t>
            </w:r>
          </w:p>
        </w:tc>
        <w:tc>
          <w:tcPr>
            <w:tcW w:w="465" w:type="dxa"/>
            <w:tcBorders>
              <w:top w:val="single" w:sz="2" w:space="0" w:color="auto"/>
              <w:left w:val="single" w:sz="2" w:space="0" w:color="auto"/>
              <w:bottom w:val="single" w:sz="2" w:space="0" w:color="auto"/>
              <w:right w:val="single" w:sz="2" w:space="0" w:color="auto"/>
            </w:tcBorders>
          </w:tcPr>
          <w:p w14:paraId="17C1F0F1" w14:textId="77777777" w:rsidR="009F4766" w:rsidRPr="00DE12A3" w:rsidRDefault="009F4766" w:rsidP="00C917D6">
            <w:pPr>
              <w:pStyle w:val="NormalLeft"/>
              <w:rPr>
                <w:sz w:val="14"/>
                <w:szCs w:val="14"/>
              </w:rPr>
            </w:pPr>
            <w:r w:rsidRPr="00DE12A3">
              <w:rPr>
                <w:sz w:val="14"/>
                <w:szCs w:val="14"/>
              </w:rPr>
              <w:t>1,509</w:t>
            </w:r>
          </w:p>
        </w:tc>
        <w:tc>
          <w:tcPr>
            <w:tcW w:w="464" w:type="dxa"/>
            <w:tcBorders>
              <w:top w:val="single" w:sz="2" w:space="0" w:color="auto"/>
              <w:left w:val="single" w:sz="2" w:space="0" w:color="auto"/>
              <w:bottom w:val="single" w:sz="2" w:space="0" w:color="auto"/>
              <w:right w:val="single" w:sz="2" w:space="0" w:color="auto"/>
            </w:tcBorders>
          </w:tcPr>
          <w:p w14:paraId="0645181C" w14:textId="77777777" w:rsidR="009F4766" w:rsidRPr="00DE12A3" w:rsidRDefault="009F4766" w:rsidP="00C917D6">
            <w:pPr>
              <w:pStyle w:val="NormalLeft"/>
              <w:rPr>
                <w:sz w:val="14"/>
                <w:szCs w:val="14"/>
              </w:rPr>
            </w:pPr>
            <w:r w:rsidRPr="00DE12A3">
              <w:rPr>
                <w:sz w:val="14"/>
                <w:szCs w:val="14"/>
              </w:rPr>
              <w:t>1,467</w:t>
            </w:r>
          </w:p>
        </w:tc>
      </w:tr>
      <w:tr w:rsidR="00DE12A3" w:rsidRPr="00DE12A3" w14:paraId="61536FAC" w14:textId="77777777" w:rsidTr="009F4766">
        <w:tc>
          <w:tcPr>
            <w:tcW w:w="464" w:type="dxa"/>
            <w:tcBorders>
              <w:top w:val="single" w:sz="2" w:space="0" w:color="auto"/>
              <w:left w:val="single" w:sz="2" w:space="0" w:color="auto"/>
              <w:bottom w:val="single" w:sz="2" w:space="0" w:color="auto"/>
              <w:right w:val="single" w:sz="2" w:space="0" w:color="auto"/>
            </w:tcBorders>
          </w:tcPr>
          <w:p w14:paraId="47B4ECB2" w14:textId="77777777" w:rsidR="009F4766" w:rsidRPr="00DE12A3" w:rsidRDefault="009F4766" w:rsidP="00C917D6">
            <w:pPr>
              <w:pStyle w:val="NormalLeft"/>
              <w:rPr>
                <w:sz w:val="14"/>
                <w:szCs w:val="14"/>
              </w:rPr>
            </w:pPr>
            <w:r w:rsidRPr="00DE12A3">
              <w:rPr>
                <w:sz w:val="14"/>
                <w:szCs w:val="14"/>
              </w:rPr>
              <w:t>30</w:t>
            </w:r>
          </w:p>
        </w:tc>
        <w:tc>
          <w:tcPr>
            <w:tcW w:w="465" w:type="dxa"/>
            <w:tcBorders>
              <w:top w:val="single" w:sz="2" w:space="0" w:color="auto"/>
              <w:left w:val="single" w:sz="2" w:space="0" w:color="auto"/>
              <w:bottom w:val="single" w:sz="2" w:space="0" w:color="auto"/>
              <w:right w:val="single" w:sz="2" w:space="0" w:color="auto"/>
            </w:tcBorders>
          </w:tcPr>
          <w:p w14:paraId="02E93731" w14:textId="77777777" w:rsidR="009F4766" w:rsidRPr="00DE12A3" w:rsidRDefault="009F4766" w:rsidP="00C917D6">
            <w:pPr>
              <w:pStyle w:val="NormalLeft"/>
              <w:rPr>
                <w:sz w:val="14"/>
                <w:szCs w:val="14"/>
              </w:rPr>
            </w:pPr>
            <w:r w:rsidRPr="00DE12A3">
              <w:rPr>
                <w:sz w:val="14"/>
                <w:szCs w:val="14"/>
              </w:rPr>
              <w:t>2,881</w:t>
            </w:r>
          </w:p>
        </w:tc>
        <w:tc>
          <w:tcPr>
            <w:tcW w:w="464" w:type="dxa"/>
            <w:tcBorders>
              <w:top w:val="single" w:sz="2" w:space="0" w:color="auto"/>
              <w:left w:val="single" w:sz="2" w:space="0" w:color="auto"/>
              <w:bottom w:val="single" w:sz="2" w:space="0" w:color="auto"/>
              <w:right w:val="single" w:sz="2" w:space="0" w:color="auto"/>
            </w:tcBorders>
          </w:tcPr>
          <w:p w14:paraId="47F71410" w14:textId="77777777" w:rsidR="009F4766" w:rsidRPr="00DE12A3" w:rsidRDefault="009F4766" w:rsidP="00C917D6">
            <w:pPr>
              <w:pStyle w:val="NormalLeft"/>
              <w:rPr>
                <w:sz w:val="14"/>
                <w:szCs w:val="14"/>
              </w:rPr>
            </w:pPr>
            <w:r w:rsidRPr="00DE12A3">
              <w:rPr>
                <w:sz w:val="14"/>
                <w:szCs w:val="14"/>
              </w:rPr>
              <w:t>2,489</w:t>
            </w:r>
          </w:p>
        </w:tc>
        <w:tc>
          <w:tcPr>
            <w:tcW w:w="464" w:type="dxa"/>
            <w:tcBorders>
              <w:top w:val="single" w:sz="2" w:space="0" w:color="auto"/>
              <w:left w:val="single" w:sz="2" w:space="0" w:color="auto"/>
              <w:bottom w:val="single" w:sz="2" w:space="0" w:color="auto"/>
              <w:right w:val="single" w:sz="2" w:space="0" w:color="auto"/>
            </w:tcBorders>
          </w:tcPr>
          <w:p w14:paraId="6CC98BAB" w14:textId="77777777" w:rsidR="009F4766" w:rsidRPr="00DE12A3" w:rsidRDefault="009F4766" w:rsidP="00C917D6">
            <w:pPr>
              <w:pStyle w:val="NormalLeft"/>
              <w:rPr>
                <w:sz w:val="14"/>
                <w:szCs w:val="14"/>
              </w:rPr>
            </w:pPr>
            <w:r w:rsidRPr="00DE12A3">
              <w:rPr>
                <w:sz w:val="14"/>
                <w:szCs w:val="14"/>
              </w:rPr>
              <w:t>2,276</w:t>
            </w:r>
          </w:p>
        </w:tc>
        <w:tc>
          <w:tcPr>
            <w:tcW w:w="465" w:type="dxa"/>
            <w:tcBorders>
              <w:top w:val="single" w:sz="2" w:space="0" w:color="auto"/>
              <w:left w:val="single" w:sz="2" w:space="0" w:color="auto"/>
              <w:bottom w:val="single" w:sz="2" w:space="0" w:color="auto"/>
              <w:right w:val="single" w:sz="2" w:space="0" w:color="auto"/>
            </w:tcBorders>
          </w:tcPr>
          <w:p w14:paraId="0B001882" w14:textId="77777777" w:rsidR="009F4766" w:rsidRPr="00DE12A3" w:rsidRDefault="009F4766" w:rsidP="00C917D6">
            <w:pPr>
              <w:pStyle w:val="NormalLeft"/>
              <w:rPr>
                <w:sz w:val="14"/>
                <w:szCs w:val="14"/>
              </w:rPr>
            </w:pPr>
            <w:r w:rsidRPr="00DE12A3">
              <w:rPr>
                <w:sz w:val="14"/>
                <w:szCs w:val="14"/>
              </w:rPr>
              <w:t>2,142</w:t>
            </w:r>
          </w:p>
        </w:tc>
        <w:tc>
          <w:tcPr>
            <w:tcW w:w="464" w:type="dxa"/>
            <w:tcBorders>
              <w:top w:val="single" w:sz="2" w:space="0" w:color="auto"/>
              <w:left w:val="single" w:sz="2" w:space="0" w:color="auto"/>
              <w:bottom w:val="single" w:sz="2" w:space="0" w:color="auto"/>
              <w:right w:val="single" w:sz="2" w:space="0" w:color="auto"/>
            </w:tcBorders>
          </w:tcPr>
          <w:p w14:paraId="1DB8F098" w14:textId="77777777" w:rsidR="009F4766" w:rsidRPr="00DE12A3" w:rsidRDefault="009F4766" w:rsidP="00C917D6">
            <w:pPr>
              <w:pStyle w:val="NormalLeft"/>
              <w:rPr>
                <w:sz w:val="14"/>
                <w:szCs w:val="14"/>
              </w:rPr>
            </w:pPr>
            <w:r w:rsidRPr="00DE12A3">
              <w:rPr>
                <w:sz w:val="14"/>
                <w:szCs w:val="14"/>
              </w:rPr>
              <w:t>2,049</w:t>
            </w:r>
          </w:p>
        </w:tc>
        <w:tc>
          <w:tcPr>
            <w:tcW w:w="464" w:type="dxa"/>
            <w:tcBorders>
              <w:top w:val="single" w:sz="2" w:space="0" w:color="auto"/>
              <w:left w:val="single" w:sz="2" w:space="0" w:color="auto"/>
              <w:bottom w:val="single" w:sz="2" w:space="0" w:color="auto"/>
              <w:right w:val="single" w:sz="2" w:space="0" w:color="auto"/>
            </w:tcBorders>
          </w:tcPr>
          <w:p w14:paraId="5AF2C7FD" w14:textId="77777777" w:rsidR="009F4766" w:rsidRPr="00DE12A3" w:rsidRDefault="009F4766" w:rsidP="00C917D6">
            <w:pPr>
              <w:pStyle w:val="NormalLeft"/>
              <w:rPr>
                <w:sz w:val="14"/>
                <w:szCs w:val="14"/>
              </w:rPr>
            </w:pPr>
            <w:r w:rsidRPr="00DE12A3">
              <w:rPr>
                <w:sz w:val="14"/>
                <w:szCs w:val="14"/>
              </w:rPr>
              <w:t>1,980</w:t>
            </w:r>
          </w:p>
        </w:tc>
        <w:tc>
          <w:tcPr>
            <w:tcW w:w="464" w:type="dxa"/>
            <w:tcBorders>
              <w:top w:val="single" w:sz="2" w:space="0" w:color="auto"/>
              <w:left w:val="single" w:sz="2" w:space="0" w:color="auto"/>
              <w:bottom w:val="single" w:sz="2" w:space="0" w:color="auto"/>
              <w:right w:val="single" w:sz="2" w:space="0" w:color="auto"/>
            </w:tcBorders>
          </w:tcPr>
          <w:p w14:paraId="2EEF2DC5" w14:textId="77777777" w:rsidR="009F4766" w:rsidRPr="00DE12A3" w:rsidRDefault="009F4766" w:rsidP="00C917D6">
            <w:pPr>
              <w:pStyle w:val="NormalLeft"/>
              <w:rPr>
                <w:sz w:val="14"/>
                <w:szCs w:val="14"/>
              </w:rPr>
            </w:pPr>
            <w:r w:rsidRPr="00DE12A3">
              <w:rPr>
                <w:sz w:val="14"/>
                <w:szCs w:val="14"/>
              </w:rPr>
              <w:t>1,927</w:t>
            </w:r>
          </w:p>
        </w:tc>
        <w:tc>
          <w:tcPr>
            <w:tcW w:w="465" w:type="dxa"/>
            <w:tcBorders>
              <w:top w:val="single" w:sz="2" w:space="0" w:color="auto"/>
              <w:left w:val="single" w:sz="2" w:space="0" w:color="auto"/>
              <w:bottom w:val="single" w:sz="2" w:space="0" w:color="auto"/>
              <w:right w:val="single" w:sz="2" w:space="0" w:color="auto"/>
            </w:tcBorders>
          </w:tcPr>
          <w:p w14:paraId="28BBB7E2" w14:textId="77777777" w:rsidR="009F4766" w:rsidRPr="00DE12A3" w:rsidRDefault="009F4766" w:rsidP="00C917D6">
            <w:pPr>
              <w:pStyle w:val="NormalLeft"/>
              <w:rPr>
                <w:sz w:val="14"/>
                <w:szCs w:val="14"/>
              </w:rPr>
            </w:pPr>
            <w:r w:rsidRPr="00DE12A3">
              <w:rPr>
                <w:sz w:val="14"/>
                <w:szCs w:val="14"/>
              </w:rPr>
              <w:t>1,884</w:t>
            </w:r>
          </w:p>
        </w:tc>
        <w:tc>
          <w:tcPr>
            <w:tcW w:w="464" w:type="dxa"/>
            <w:tcBorders>
              <w:top w:val="single" w:sz="2" w:space="0" w:color="auto"/>
              <w:left w:val="single" w:sz="2" w:space="0" w:color="auto"/>
              <w:bottom w:val="single" w:sz="2" w:space="0" w:color="auto"/>
              <w:right w:val="single" w:sz="2" w:space="0" w:color="auto"/>
            </w:tcBorders>
          </w:tcPr>
          <w:p w14:paraId="448A205C" w14:textId="77777777" w:rsidR="009F4766" w:rsidRPr="00DE12A3" w:rsidRDefault="009F4766" w:rsidP="00C917D6">
            <w:pPr>
              <w:pStyle w:val="NormalLeft"/>
              <w:rPr>
                <w:sz w:val="14"/>
                <w:szCs w:val="14"/>
              </w:rPr>
            </w:pPr>
            <w:r w:rsidRPr="00DE12A3">
              <w:rPr>
                <w:sz w:val="14"/>
                <w:szCs w:val="14"/>
              </w:rPr>
              <w:t>1,849</w:t>
            </w:r>
          </w:p>
        </w:tc>
        <w:tc>
          <w:tcPr>
            <w:tcW w:w="464" w:type="dxa"/>
            <w:tcBorders>
              <w:top w:val="single" w:sz="2" w:space="0" w:color="auto"/>
              <w:left w:val="single" w:sz="2" w:space="0" w:color="auto"/>
              <w:bottom w:val="single" w:sz="2" w:space="0" w:color="auto"/>
              <w:right w:val="single" w:sz="2" w:space="0" w:color="auto"/>
            </w:tcBorders>
          </w:tcPr>
          <w:p w14:paraId="0208394D" w14:textId="77777777" w:rsidR="009F4766" w:rsidRPr="00DE12A3" w:rsidRDefault="009F4766" w:rsidP="00C917D6">
            <w:pPr>
              <w:pStyle w:val="NormalLeft"/>
              <w:rPr>
                <w:sz w:val="14"/>
                <w:szCs w:val="14"/>
              </w:rPr>
            </w:pPr>
            <w:r w:rsidRPr="00DE12A3">
              <w:rPr>
                <w:sz w:val="14"/>
                <w:szCs w:val="14"/>
              </w:rPr>
              <w:t>1,819</w:t>
            </w:r>
          </w:p>
        </w:tc>
        <w:tc>
          <w:tcPr>
            <w:tcW w:w="465" w:type="dxa"/>
            <w:tcBorders>
              <w:top w:val="single" w:sz="2" w:space="0" w:color="auto"/>
              <w:left w:val="single" w:sz="2" w:space="0" w:color="auto"/>
              <w:bottom w:val="single" w:sz="2" w:space="0" w:color="auto"/>
              <w:right w:val="single" w:sz="2" w:space="0" w:color="auto"/>
            </w:tcBorders>
          </w:tcPr>
          <w:p w14:paraId="108AE437" w14:textId="77777777" w:rsidR="009F4766" w:rsidRPr="00DE12A3" w:rsidRDefault="009F4766" w:rsidP="00C917D6">
            <w:pPr>
              <w:pStyle w:val="NormalLeft"/>
              <w:rPr>
                <w:sz w:val="14"/>
                <w:szCs w:val="14"/>
              </w:rPr>
            </w:pPr>
            <w:r w:rsidRPr="00DE12A3">
              <w:rPr>
                <w:sz w:val="14"/>
                <w:szCs w:val="14"/>
              </w:rPr>
              <w:t>1,773</w:t>
            </w:r>
          </w:p>
        </w:tc>
        <w:tc>
          <w:tcPr>
            <w:tcW w:w="464" w:type="dxa"/>
            <w:tcBorders>
              <w:top w:val="single" w:sz="2" w:space="0" w:color="auto"/>
              <w:left w:val="single" w:sz="2" w:space="0" w:color="auto"/>
              <w:bottom w:val="single" w:sz="2" w:space="0" w:color="auto"/>
              <w:right w:val="single" w:sz="2" w:space="0" w:color="auto"/>
            </w:tcBorders>
          </w:tcPr>
          <w:p w14:paraId="3B61D006" w14:textId="77777777" w:rsidR="009F4766" w:rsidRPr="00DE12A3" w:rsidRDefault="009F4766" w:rsidP="00C917D6">
            <w:pPr>
              <w:pStyle w:val="NormalLeft"/>
              <w:rPr>
                <w:sz w:val="14"/>
                <w:szCs w:val="14"/>
              </w:rPr>
            </w:pPr>
            <w:r w:rsidRPr="00DE12A3">
              <w:rPr>
                <w:sz w:val="14"/>
                <w:szCs w:val="14"/>
              </w:rPr>
              <w:t>1,722</w:t>
            </w:r>
          </w:p>
        </w:tc>
        <w:tc>
          <w:tcPr>
            <w:tcW w:w="464" w:type="dxa"/>
            <w:tcBorders>
              <w:top w:val="single" w:sz="2" w:space="0" w:color="auto"/>
              <w:left w:val="single" w:sz="2" w:space="0" w:color="auto"/>
              <w:bottom w:val="single" w:sz="2" w:space="0" w:color="auto"/>
              <w:right w:val="single" w:sz="2" w:space="0" w:color="auto"/>
            </w:tcBorders>
          </w:tcPr>
          <w:p w14:paraId="32764FF2" w14:textId="77777777" w:rsidR="009F4766" w:rsidRPr="00DE12A3" w:rsidRDefault="009F4766" w:rsidP="00C917D6">
            <w:pPr>
              <w:pStyle w:val="NormalLeft"/>
              <w:rPr>
                <w:sz w:val="14"/>
                <w:szCs w:val="14"/>
              </w:rPr>
            </w:pPr>
            <w:r w:rsidRPr="00DE12A3">
              <w:rPr>
                <w:sz w:val="14"/>
                <w:szCs w:val="14"/>
              </w:rPr>
              <w:t>1,667</w:t>
            </w:r>
          </w:p>
        </w:tc>
        <w:tc>
          <w:tcPr>
            <w:tcW w:w="465" w:type="dxa"/>
            <w:tcBorders>
              <w:top w:val="single" w:sz="2" w:space="0" w:color="auto"/>
              <w:left w:val="single" w:sz="2" w:space="0" w:color="auto"/>
              <w:bottom w:val="single" w:sz="2" w:space="0" w:color="auto"/>
              <w:right w:val="single" w:sz="2" w:space="0" w:color="auto"/>
            </w:tcBorders>
          </w:tcPr>
          <w:p w14:paraId="7FE5C19D" w14:textId="77777777" w:rsidR="009F4766" w:rsidRPr="00DE12A3" w:rsidRDefault="009F4766" w:rsidP="00C917D6">
            <w:pPr>
              <w:pStyle w:val="NormalLeft"/>
              <w:rPr>
                <w:sz w:val="14"/>
                <w:szCs w:val="14"/>
              </w:rPr>
            </w:pPr>
            <w:r w:rsidRPr="00DE12A3">
              <w:rPr>
                <w:sz w:val="14"/>
                <w:szCs w:val="14"/>
              </w:rPr>
              <w:t>1,638</w:t>
            </w:r>
          </w:p>
        </w:tc>
        <w:tc>
          <w:tcPr>
            <w:tcW w:w="464" w:type="dxa"/>
            <w:tcBorders>
              <w:top w:val="single" w:sz="2" w:space="0" w:color="auto"/>
              <w:left w:val="single" w:sz="2" w:space="0" w:color="auto"/>
              <w:bottom w:val="single" w:sz="2" w:space="0" w:color="auto"/>
              <w:right w:val="single" w:sz="2" w:space="0" w:color="auto"/>
            </w:tcBorders>
          </w:tcPr>
          <w:p w14:paraId="2C41A7E9" w14:textId="77777777" w:rsidR="009F4766" w:rsidRPr="00DE12A3" w:rsidRDefault="009F4766" w:rsidP="00C917D6">
            <w:pPr>
              <w:pStyle w:val="NormalLeft"/>
              <w:rPr>
                <w:sz w:val="14"/>
                <w:szCs w:val="14"/>
              </w:rPr>
            </w:pPr>
            <w:r w:rsidRPr="00DE12A3">
              <w:rPr>
                <w:sz w:val="14"/>
                <w:szCs w:val="14"/>
              </w:rPr>
              <w:t>1,606</w:t>
            </w:r>
          </w:p>
        </w:tc>
        <w:tc>
          <w:tcPr>
            <w:tcW w:w="464" w:type="dxa"/>
            <w:tcBorders>
              <w:top w:val="single" w:sz="2" w:space="0" w:color="auto"/>
              <w:left w:val="single" w:sz="2" w:space="0" w:color="auto"/>
              <w:bottom w:val="single" w:sz="2" w:space="0" w:color="auto"/>
              <w:right w:val="single" w:sz="2" w:space="0" w:color="auto"/>
            </w:tcBorders>
          </w:tcPr>
          <w:p w14:paraId="6DD3637E" w14:textId="77777777" w:rsidR="009F4766" w:rsidRPr="00DE12A3" w:rsidRDefault="009F4766" w:rsidP="00C917D6">
            <w:pPr>
              <w:pStyle w:val="NormalLeft"/>
              <w:rPr>
                <w:sz w:val="14"/>
                <w:szCs w:val="14"/>
              </w:rPr>
            </w:pPr>
            <w:r w:rsidRPr="00DE12A3">
              <w:rPr>
                <w:sz w:val="14"/>
                <w:szCs w:val="14"/>
              </w:rPr>
              <w:t>1,573</w:t>
            </w:r>
          </w:p>
        </w:tc>
        <w:tc>
          <w:tcPr>
            <w:tcW w:w="464" w:type="dxa"/>
            <w:tcBorders>
              <w:top w:val="single" w:sz="2" w:space="0" w:color="auto"/>
              <w:left w:val="single" w:sz="2" w:space="0" w:color="auto"/>
              <w:bottom w:val="single" w:sz="2" w:space="0" w:color="auto"/>
              <w:right w:val="single" w:sz="2" w:space="0" w:color="auto"/>
            </w:tcBorders>
          </w:tcPr>
          <w:p w14:paraId="619CCE69" w14:textId="77777777" w:rsidR="009F4766" w:rsidRPr="00DE12A3" w:rsidRDefault="009F4766" w:rsidP="00C917D6">
            <w:pPr>
              <w:pStyle w:val="NormalLeft"/>
              <w:rPr>
                <w:sz w:val="14"/>
                <w:szCs w:val="14"/>
              </w:rPr>
            </w:pPr>
            <w:r w:rsidRPr="00DE12A3">
              <w:rPr>
                <w:sz w:val="14"/>
                <w:szCs w:val="14"/>
              </w:rPr>
              <w:t>1,538</w:t>
            </w:r>
          </w:p>
        </w:tc>
        <w:tc>
          <w:tcPr>
            <w:tcW w:w="465" w:type="dxa"/>
            <w:tcBorders>
              <w:top w:val="single" w:sz="2" w:space="0" w:color="auto"/>
              <w:left w:val="single" w:sz="2" w:space="0" w:color="auto"/>
              <w:bottom w:val="single" w:sz="2" w:space="0" w:color="auto"/>
              <w:right w:val="single" w:sz="2" w:space="0" w:color="auto"/>
            </w:tcBorders>
          </w:tcPr>
          <w:p w14:paraId="57A772E0" w14:textId="77777777" w:rsidR="009F4766" w:rsidRPr="00DE12A3" w:rsidRDefault="009F4766" w:rsidP="00C917D6">
            <w:pPr>
              <w:pStyle w:val="NormalLeft"/>
              <w:rPr>
                <w:sz w:val="14"/>
                <w:szCs w:val="14"/>
              </w:rPr>
            </w:pPr>
            <w:r w:rsidRPr="00DE12A3">
              <w:rPr>
                <w:sz w:val="14"/>
                <w:szCs w:val="14"/>
              </w:rPr>
              <w:t>1,499</w:t>
            </w:r>
          </w:p>
        </w:tc>
        <w:tc>
          <w:tcPr>
            <w:tcW w:w="464" w:type="dxa"/>
            <w:tcBorders>
              <w:top w:val="single" w:sz="2" w:space="0" w:color="auto"/>
              <w:left w:val="single" w:sz="2" w:space="0" w:color="auto"/>
              <w:bottom w:val="single" w:sz="2" w:space="0" w:color="auto"/>
              <w:right w:val="single" w:sz="2" w:space="0" w:color="auto"/>
            </w:tcBorders>
          </w:tcPr>
          <w:p w14:paraId="4DEEE852" w14:textId="77777777" w:rsidR="009F4766" w:rsidRPr="00DE12A3" w:rsidRDefault="009F4766" w:rsidP="00C917D6">
            <w:pPr>
              <w:pStyle w:val="NormalLeft"/>
              <w:rPr>
                <w:sz w:val="14"/>
                <w:szCs w:val="14"/>
              </w:rPr>
            </w:pPr>
            <w:r w:rsidRPr="00DE12A3">
              <w:rPr>
                <w:sz w:val="14"/>
                <w:szCs w:val="14"/>
              </w:rPr>
              <w:t>1,456</w:t>
            </w:r>
          </w:p>
        </w:tc>
      </w:tr>
      <w:tr w:rsidR="00DE12A3" w:rsidRPr="00DE12A3" w14:paraId="6278031D" w14:textId="77777777" w:rsidTr="009F4766">
        <w:tc>
          <w:tcPr>
            <w:tcW w:w="464" w:type="dxa"/>
            <w:tcBorders>
              <w:top w:val="single" w:sz="2" w:space="0" w:color="auto"/>
              <w:left w:val="single" w:sz="2" w:space="0" w:color="auto"/>
              <w:bottom w:val="single" w:sz="2" w:space="0" w:color="auto"/>
              <w:right w:val="single" w:sz="2" w:space="0" w:color="auto"/>
            </w:tcBorders>
          </w:tcPr>
          <w:p w14:paraId="58F00A2D" w14:textId="77777777" w:rsidR="009F4766" w:rsidRPr="00DE12A3" w:rsidRDefault="009F4766" w:rsidP="00C917D6">
            <w:pPr>
              <w:pStyle w:val="NormalLeft"/>
              <w:rPr>
                <w:sz w:val="14"/>
                <w:szCs w:val="14"/>
              </w:rPr>
            </w:pPr>
            <w:r w:rsidRPr="00DE12A3">
              <w:rPr>
                <w:sz w:val="14"/>
                <w:szCs w:val="14"/>
              </w:rPr>
              <w:t>40</w:t>
            </w:r>
          </w:p>
        </w:tc>
        <w:tc>
          <w:tcPr>
            <w:tcW w:w="465" w:type="dxa"/>
            <w:tcBorders>
              <w:top w:val="single" w:sz="2" w:space="0" w:color="auto"/>
              <w:left w:val="single" w:sz="2" w:space="0" w:color="auto"/>
              <w:bottom w:val="single" w:sz="2" w:space="0" w:color="auto"/>
              <w:right w:val="single" w:sz="2" w:space="0" w:color="auto"/>
            </w:tcBorders>
          </w:tcPr>
          <w:p w14:paraId="0BC34162" w14:textId="77777777" w:rsidR="009F4766" w:rsidRPr="00DE12A3" w:rsidRDefault="009F4766" w:rsidP="00C917D6">
            <w:pPr>
              <w:pStyle w:val="NormalLeft"/>
              <w:rPr>
                <w:sz w:val="14"/>
                <w:szCs w:val="14"/>
              </w:rPr>
            </w:pPr>
            <w:r w:rsidRPr="00DE12A3">
              <w:rPr>
                <w:sz w:val="14"/>
                <w:szCs w:val="14"/>
              </w:rPr>
              <w:t>2,835</w:t>
            </w:r>
          </w:p>
        </w:tc>
        <w:tc>
          <w:tcPr>
            <w:tcW w:w="464" w:type="dxa"/>
            <w:tcBorders>
              <w:top w:val="single" w:sz="2" w:space="0" w:color="auto"/>
              <w:left w:val="single" w:sz="2" w:space="0" w:color="auto"/>
              <w:bottom w:val="single" w:sz="2" w:space="0" w:color="auto"/>
              <w:right w:val="single" w:sz="2" w:space="0" w:color="auto"/>
            </w:tcBorders>
          </w:tcPr>
          <w:p w14:paraId="5CB008B1" w14:textId="77777777" w:rsidR="009F4766" w:rsidRPr="00DE12A3" w:rsidRDefault="009F4766" w:rsidP="00C917D6">
            <w:pPr>
              <w:pStyle w:val="NormalLeft"/>
              <w:rPr>
                <w:sz w:val="14"/>
                <w:szCs w:val="14"/>
              </w:rPr>
            </w:pPr>
            <w:r w:rsidRPr="00DE12A3">
              <w:rPr>
                <w:sz w:val="14"/>
                <w:szCs w:val="14"/>
              </w:rPr>
              <w:t>2,440</w:t>
            </w:r>
          </w:p>
        </w:tc>
        <w:tc>
          <w:tcPr>
            <w:tcW w:w="464" w:type="dxa"/>
            <w:tcBorders>
              <w:top w:val="single" w:sz="2" w:space="0" w:color="auto"/>
              <w:left w:val="single" w:sz="2" w:space="0" w:color="auto"/>
              <w:bottom w:val="single" w:sz="2" w:space="0" w:color="auto"/>
              <w:right w:val="single" w:sz="2" w:space="0" w:color="auto"/>
            </w:tcBorders>
          </w:tcPr>
          <w:p w14:paraId="684A6210" w14:textId="77777777" w:rsidR="009F4766" w:rsidRPr="00DE12A3" w:rsidRDefault="009F4766" w:rsidP="00C917D6">
            <w:pPr>
              <w:pStyle w:val="NormalLeft"/>
              <w:rPr>
                <w:sz w:val="14"/>
                <w:szCs w:val="14"/>
              </w:rPr>
            </w:pPr>
            <w:r w:rsidRPr="00DE12A3">
              <w:rPr>
                <w:sz w:val="14"/>
                <w:szCs w:val="14"/>
              </w:rPr>
              <w:t>2,226</w:t>
            </w:r>
          </w:p>
        </w:tc>
        <w:tc>
          <w:tcPr>
            <w:tcW w:w="465" w:type="dxa"/>
            <w:tcBorders>
              <w:top w:val="single" w:sz="2" w:space="0" w:color="auto"/>
              <w:left w:val="single" w:sz="2" w:space="0" w:color="auto"/>
              <w:bottom w:val="single" w:sz="2" w:space="0" w:color="auto"/>
              <w:right w:val="single" w:sz="2" w:space="0" w:color="auto"/>
            </w:tcBorders>
          </w:tcPr>
          <w:p w14:paraId="08A0F202" w14:textId="77777777" w:rsidR="009F4766" w:rsidRPr="00DE12A3" w:rsidRDefault="009F4766" w:rsidP="00C917D6">
            <w:pPr>
              <w:pStyle w:val="NormalLeft"/>
              <w:rPr>
                <w:sz w:val="14"/>
                <w:szCs w:val="14"/>
              </w:rPr>
            </w:pPr>
            <w:r w:rsidRPr="00DE12A3">
              <w:rPr>
                <w:sz w:val="14"/>
                <w:szCs w:val="14"/>
              </w:rPr>
              <w:t>2,091</w:t>
            </w:r>
          </w:p>
        </w:tc>
        <w:tc>
          <w:tcPr>
            <w:tcW w:w="464" w:type="dxa"/>
            <w:tcBorders>
              <w:top w:val="single" w:sz="2" w:space="0" w:color="auto"/>
              <w:left w:val="single" w:sz="2" w:space="0" w:color="auto"/>
              <w:bottom w:val="single" w:sz="2" w:space="0" w:color="auto"/>
              <w:right w:val="single" w:sz="2" w:space="0" w:color="auto"/>
            </w:tcBorders>
          </w:tcPr>
          <w:p w14:paraId="2170E350" w14:textId="77777777" w:rsidR="009F4766" w:rsidRPr="00DE12A3" w:rsidRDefault="009F4766" w:rsidP="00C917D6">
            <w:pPr>
              <w:pStyle w:val="NormalLeft"/>
              <w:rPr>
                <w:sz w:val="14"/>
                <w:szCs w:val="14"/>
              </w:rPr>
            </w:pPr>
            <w:r w:rsidRPr="00DE12A3">
              <w:rPr>
                <w:sz w:val="14"/>
                <w:szCs w:val="14"/>
              </w:rPr>
              <w:t>1,997</w:t>
            </w:r>
          </w:p>
        </w:tc>
        <w:tc>
          <w:tcPr>
            <w:tcW w:w="464" w:type="dxa"/>
            <w:tcBorders>
              <w:top w:val="single" w:sz="2" w:space="0" w:color="auto"/>
              <w:left w:val="single" w:sz="2" w:space="0" w:color="auto"/>
              <w:bottom w:val="single" w:sz="2" w:space="0" w:color="auto"/>
              <w:right w:val="single" w:sz="2" w:space="0" w:color="auto"/>
            </w:tcBorders>
          </w:tcPr>
          <w:p w14:paraId="02CD2A77" w14:textId="77777777" w:rsidR="009F4766" w:rsidRPr="00DE12A3" w:rsidRDefault="009F4766" w:rsidP="00C917D6">
            <w:pPr>
              <w:pStyle w:val="NormalLeft"/>
              <w:rPr>
                <w:sz w:val="14"/>
                <w:szCs w:val="14"/>
              </w:rPr>
            </w:pPr>
            <w:r w:rsidRPr="00DE12A3">
              <w:rPr>
                <w:sz w:val="14"/>
                <w:szCs w:val="14"/>
              </w:rPr>
              <w:t>1,927</w:t>
            </w:r>
          </w:p>
        </w:tc>
        <w:tc>
          <w:tcPr>
            <w:tcW w:w="464" w:type="dxa"/>
            <w:tcBorders>
              <w:top w:val="single" w:sz="2" w:space="0" w:color="auto"/>
              <w:left w:val="single" w:sz="2" w:space="0" w:color="auto"/>
              <w:bottom w:val="single" w:sz="2" w:space="0" w:color="auto"/>
              <w:right w:val="single" w:sz="2" w:space="0" w:color="auto"/>
            </w:tcBorders>
          </w:tcPr>
          <w:p w14:paraId="13E2C5C4" w14:textId="77777777" w:rsidR="009F4766" w:rsidRPr="00DE12A3" w:rsidRDefault="009F4766" w:rsidP="00C917D6">
            <w:pPr>
              <w:pStyle w:val="NormalLeft"/>
              <w:rPr>
                <w:sz w:val="14"/>
                <w:szCs w:val="14"/>
              </w:rPr>
            </w:pPr>
            <w:r w:rsidRPr="00DE12A3">
              <w:rPr>
                <w:sz w:val="14"/>
                <w:szCs w:val="14"/>
              </w:rPr>
              <w:t>1,873</w:t>
            </w:r>
          </w:p>
        </w:tc>
        <w:tc>
          <w:tcPr>
            <w:tcW w:w="465" w:type="dxa"/>
            <w:tcBorders>
              <w:top w:val="single" w:sz="2" w:space="0" w:color="auto"/>
              <w:left w:val="single" w:sz="2" w:space="0" w:color="auto"/>
              <w:bottom w:val="single" w:sz="2" w:space="0" w:color="auto"/>
              <w:right w:val="single" w:sz="2" w:space="0" w:color="auto"/>
            </w:tcBorders>
          </w:tcPr>
          <w:p w14:paraId="7DC99BF6" w14:textId="77777777" w:rsidR="009F4766" w:rsidRPr="00DE12A3" w:rsidRDefault="009F4766" w:rsidP="00C917D6">
            <w:pPr>
              <w:pStyle w:val="NormalLeft"/>
              <w:rPr>
                <w:sz w:val="14"/>
                <w:szCs w:val="14"/>
              </w:rPr>
            </w:pPr>
            <w:r w:rsidRPr="00DE12A3">
              <w:rPr>
                <w:sz w:val="14"/>
                <w:szCs w:val="14"/>
              </w:rPr>
              <w:t>1,829</w:t>
            </w:r>
          </w:p>
        </w:tc>
        <w:tc>
          <w:tcPr>
            <w:tcW w:w="464" w:type="dxa"/>
            <w:tcBorders>
              <w:top w:val="single" w:sz="2" w:space="0" w:color="auto"/>
              <w:left w:val="single" w:sz="2" w:space="0" w:color="auto"/>
              <w:bottom w:val="single" w:sz="2" w:space="0" w:color="auto"/>
              <w:right w:val="single" w:sz="2" w:space="0" w:color="auto"/>
            </w:tcBorders>
          </w:tcPr>
          <w:p w14:paraId="3A712035" w14:textId="77777777" w:rsidR="009F4766" w:rsidRPr="00DE12A3" w:rsidRDefault="009F4766" w:rsidP="00C917D6">
            <w:pPr>
              <w:pStyle w:val="NormalLeft"/>
              <w:rPr>
                <w:sz w:val="14"/>
                <w:szCs w:val="14"/>
              </w:rPr>
            </w:pPr>
            <w:r w:rsidRPr="00DE12A3">
              <w:rPr>
                <w:sz w:val="14"/>
                <w:szCs w:val="14"/>
              </w:rPr>
              <w:t>1,793</w:t>
            </w:r>
          </w:p>
        </w:tc>
        <w:tc>
          <w:tcPr>
            <w:tcW w:w="464" w:type="dxa"/>
            <w:tcBorders>
              <w:top w:val="single" w:sz="2" w:space="0" w:color="auto"/>
              <w:left w:val="single" w:sz="2" w:space="0" w:color="auto"/>
              <w:bottom w:val="single" w:sz="2" w:space="0" w:color="auto"/>
              <w:right w:val="single" w:sz="2" w:space="0" w:color="auto"/>
            </w:tcBorders>
          </w:tcPr>
          <w:p w14:paraId="20ED6434" w14:textId="77777777" w:rsidR="009F4766" w:rsidRPr="00DE12A3" w:rsidRDefault="009F4766" w:rsidP="00C917D6">
            <w:pPr>
              <w:pStyle w:val="NormalLeft"/>
              <w:rPr>
                <w:sz w:val="14"/>
                <w:szCs w:val="14"/>
              </w:rPr>
            </w:pPr>
            <w:r w:rsidRPr="00DE12A3">
              <w:rPr>
                <w:sz w:val="14"/>
                <w:szCs w:val="14"/>
              </w:rPr>
              <w:t>1,763</w:t>
            </w:r>
          </w:p>
        </w:tc>
        <w:tc>
          <w:tcPr>
            <w:tcW w:w="465" w:type="dxa"/>
            <w:tcBorders>
              <w:top w:val="single" w:sz="2" w:space="0" w:color="auto"/>
              <w:left w:val="single" w:sz="2" w:space="0" w:color="auto"/>
              <w:bottom w:val="single" w:sz="2" w:space="0" w:color="auto"/>
              <w:right w:val="single" w:sz="2" w:space="0" w:color="auto"/>
            </w:tcBorders>
          </w:tcPr>
          <w:p w14:paraId="4E29D54A" w14:textId="77777777" w:rsidR="009F4766" w:rsidRPr="00DE12A3" w:rsidRDefault="009F4766" w:rsidP="00C917D6">
            <w:pPr>
              <w:pStyle w:val="NormalLeft"/>
              <w:rPr>
                <w:sz w:val="14"/>
                <w:szCs w:val="14"/>
              </w:rPr>
            </w:pPr>
            <w:r w:rsidRPr="00DE12A3">
              <w:rPr>
                <w:sz w:val="14"/>
                <w:szCs w:val="14"/>
              </w:rPr>
              <w:t>1,715</w:t>
            </w:r>
          </w:p>
        </w:tc>
        <w:tc>
          <w:tcPr>
            <w:tcW w:w="464" w:type="dxa"/>
            <w:tcBorders>
              <w:top w:val="single" w:sz="2" w:space="0" w:color="auto"/>
              <w:left w:val="single" w:sz="2" w:space="0" w:color="auto"/>
              <w:bottom w:val="single" w:sz="2" w:space="0" w:color="auto"/>
              <w:right w:val="single" w:sz="2" w:space="0" w:color="auto"/>
            </w:tcBorders>
          </w:tcPr>
          <w:p w14:paraId="35E84CC7" w14:textId="77777777" w:rsidR="009F4766" w:rsidRPr="00DE12A3" w:rsidRDefault="009F4766" w:rsidP="00C917D6">
            <w:pPr>
              <w:pStyle w:val="NormalLeft"/>
              <w:rPr>
                <w:sz w:val="14"/>
                <w:szCs w:val="14"/>
              </w:rPr>
            </w:pPr>
            <w:r w:rsidRPr="00DE12A3">
              <w:rPr>
                <w:sz w:val="14"/>
                <w:szCs w:val="14"/>
              </w:rPr>
              <w:t>1,662</w:t>
            </w:r>
          </w:p>
        </w:tc>
        <w:tc>
          <w:tcPr>
            <w:tcW w:w="464" w:type="dxa"/>
            <w:tcBorders>
              <w:top w:val="single" w:sz="2" w:space="0" w:color="auto"/>
              <w:left w:val="single" w:sz="2" w:space="0" w:color="auto"/>
              <w:bottom w:val="single" w:sz="2" w:space="0" w:color="auto"/>
              <w:right w:val="single" w:sz="2" w:space="0" w:color="auto"/>
            </w:tcBorders>
          </w:tcPr>
          <w:p w14:paraId="2BD6406A" w14:textId="77777777" w:rsidR="009F4766" w:rsidRPr="00DE12A3" w:rsidRDefault="009F4766" w:rsidP="00C917D6">
            <w:pPr>
              <w:pStyle w:val="NormalLeft"/>
              <w:rPr>
                <w:sz w:val="14"/>
                <w:szCs w:val="14"/>
              </w:rPr>
            </w:pPr>
            <w:r w:rsidRPr="00DE12A3">
              <w:rPr>
                <w:sz w:val="14"/>
                <w:szCs w:val="14"/>
              </w:rPr>
              <w:t>1,605</w:t>
            </w:r>
          </w:p>
        </w:tc>
        <w:tc>
          <w:tcPr>
            <w:tcW w:w="465" w:type="dxa"/>
            <w:tcBorders>
              <w:top w:val="single" w:sz="2" w:space="0" w:color="auto"/>
              <w:left w:val="single" w:sz="2" w:space="0" w:color="auto"/>
              <w:bottom w:val="single" w:sz="2" w:space="0" w:color="auto"/>
              <w:right w:val="single" w:sz="2" w:space="0" w:color="auto"/>
            </w:tcBorders>
          </w:tcPr>
          <w:p w14:paraId="5571FF58" w14:textId="77777777" w:rsidR="009F4766" w:rsidRPr="00DE12A3" w:rsidRDefault="009F4766" w:rsidP="00C917D6">
            <w:pPr>
              <w:pStyle w:val="NormalLeft"/>
              <w:rPr>
                <w:sz w:val="14"/>
                <w:szCs w:val="14"/>
              </w:rPr>
            </w:pPr>
            <w:r w:rsidRPr="00DE12A3">
              <w:rPr>
                <w:sz w:val="14"/>
                <w:szCs w:val="14"/>
              </w:rPr>
              <w:t>1,574</w:t>
            </w:r>
          </w:p>
        </w:tc>
        <w:tc>
          <w:tcPr>
            <w:tcW w:w="464" w:type="dxa"/>
            <w:tcBorders>
              <w:top w:val="single" w:sz="2" w:space="0" w:color="auto"/>
              <w:left w:val="single" w:sz="2" w:space="0" w:color="auto"/>
              <w:bottom w:val="single" w:sz="2" w:space="0" w:color="auto"/>
              <w:right w:val="single" w:sz="2" w:space="0" w:color="auto"/>
            </w:tcBorders>
          </w:tcPr>
          <w:p w14:paraId="115DAED6" w14:textId="77777777" w:rsidR="009F4766" w:rsidRPr="00DE12A3" w:rsidRDefault="009F4766" w:rsidP="00C917D6">
            <w:pPr>
              <w:pStyle w:val="NormalLeft"/>
              <w:rPr>
                <w:sz w:val="14"/>
                <w:szCs w:val="14"/>
              </w:rPr>
            </w:pPr>
            <w:r w:rsidRPr="00DE12A3">
              <w:rPr>
                <w:sz w:val="14"/>
                <w:szCs w:val="14"/>
              </w:rPr>
              <w:t>1,541</w:t>
            </w:r>
          </w:p>
        </w:tc>
        <w:tc>
          <w:tcPr>
            <w:tcW w:w="464" w:type="dxa"/>
            <w:tcBorders>
              <w:top w:val="single" w:sz="2" w:space="0" w:color="auto"/>
              <w:left w:val="single" w:sz="2" w:space="0" w:color="auto"/>
              <w:bottom w:val="single" w:sz="2" w:space="0" w:color="auto"/>
              <w:right w:val="single" w:sz="2" w:space="0" w:color="auto"/>
            </w:tcBorders>
          </w:tcPr>
          <w:p w14:paraId="5208EF61" w14:textId="77777777" w:rsidR="009F4766" w:rsidRPr="00DE12A3" w:rsidRDefault="009F4766" w:rsidP="00C917D6">
            <w:pPr>
              <w:pStyle w:val="NormalLeft"/>
              <w:rPr>
                <w:sz w:val="14"/>
                <w:szCs w:val="14"/>
              </w:rPr>
            </w:pPr>
            <w:r w:rsidRPr="00DE12A3">
              <w:rPr>
                <w:sz w:val="14"/>
                <w:szCs w:val="14"/>
              </w:rPr>
              <w:t>1,506</w:t>
            </w:r>
          </w:p>
        </w:tc>
        <w:tc>
          <w:tcPr>
            <w:tcW w:w="464" w:type="dxa"/>
            <w:tcBorders>
              <w:top w:val="single" w:sz="2" w:space="0" w:color="auto"/>
              <w:left w:val="single" w:sz="2" w:space="0" w:color="auto"/>
              <w:bottom w:val="single" w:sz="2" w:space="0" w:color="auto"/>
              <w:right w:val="single" w:sz="2" w:space="0" w:color="auto"/>
            </w:tcBorders>
          </w:tcPr>
          <w:p w14:paraId="3BD43973" w14:textId="77777777" w:rsidR="009F4766" w:rsidRPr="00DE12A3" w:rsidRDefault="009F4766" w:rsidP="00C917D6">
            <w:pPr>
              <w:pStyle w:val="NormalLeft"/>
              <w:rPr>
                <w:sz w:val="14"/>
                <w:szCs w:val="14"/>
              </w:rPr>
            </w:pPr>
            <w:r w:rsidRPr="00DE12A3">
              <w:rPr>
                <w:sz w:val="14"/>
                <w:szCs w:val="14"/>
              </w:rPr>
              <w:t>1,467</w:t>
            </w:r>
          </w:p>
        </w:tc>
        <w:tc>
          <w:tcPr>
            <w:tcW w:w="465" w:type="dxa"/>
            <w:tcBorders>
              <w:top w:val="single" w:sz="2" w:space="0" w:color="auto"/>
              <w:left w:val="single" w:sz="2" w:space="0" w:color="auto"/>
              <w:bottom w:val="single" w:sz="2" w:space="0" w:color="auto"/>
              <w:right w:val="single" w:sz="2" w:space="0" w:color="auto"/>
            </w:tcBorders>
          </w:tcPr>
          <w:p w14:paraId="57ACC91E" w14:textId="77777777" w:rsidR="009F4766" w:rsidRPr="00DE12A3" w:rsidRDefault="009F4766" w:rsidP="00C917D6">
            <w:pPr>
              <w:pStyle w:val="NormalLeft"/>
              <w:rPr>
                <w:sz w:val="14"/>
                <w:szCs w:val="14"/>
              </w:rPr>
            </w:pPr>
            <w:r w:rsidRPr="00DE12A3">
              <w:rPr>
                <w:sz w:val="14"/>
                <w:szCs w:val="14"/>
              </w:rPr>
              <w:t>1,425</w:t>
            </w:r>
          </w:p>
        </w:tc>
        <w:tc>
          <w:tcPr>
            <w:tcW w:w="464" w:type="dxa"/>
            <w:tcBorders>
              <w:top w:val="single" w:sz="2" w:space="0" w:color="auto"/>
              <w:left w:val="single" w:sz="2" w:space="0" w:color="auto"/>
              <w:bottom w:val="single" w:sz="2" w:space="0" w:color="auto"/>
              <w:right w:val="single" w:sz="2" w:space="0" w:color="auto"/>
            </w:tcBorders>
          </w:tcPr>
          <w:p w14:paraId="1AAC63A9" w14:textId="77777777" w:rsidR="009F4766" w:rsidRPr="00DE12A3" w:rsidRDefault="009F4766" w:rsidP="00C917D6">
            <w:pPr>
              <w:pStyle w:val="NormalLeft"/>
              <w:rPr>
                <w:sz w:val="14"/>
                <w:szCs w:val="14"/>
              </w:rPr>
            </w:pPr>
            <w:r w:rsidRPr="00DE12A3">
              <w:rPr>
                <w:sz w:val="14"/>
                <w:szCs w:val="14"/>
              </w:rPr>
              <w:t>1,377</w:t>
            </w:r>
          </w:p>
        </w:tc>
      </w:tr>
      <w:tr w:rsidR="00DE12A3" w:rsidRPr="00DE12A3" w14:paraId="6B8B36EE" w14:textId="77777777" w:rsidTr="009F4766">
        <w:tc>
          <w:tcPr>
            <w:tcW w:w="464" w:type="dxa"/>
            <w:tcBorders>
              <w:top w:val="single" w:sz="2" w:space="0" w:color="auto"/>
              <w:left w:val="single" w:sz="2" w:space="0" w:color="auto"/>
              <w:bottom w:val="single" w:sz="2" w:space="0" w:color="auto"/>
              <w:right w:val="single" w:sz="2" w:space="0" w:color="auto"/>
            </w:tcBorders>
          </w:tcPr>
          <w:p w14:paraId="311C5CA2" w14:textId="77777777" w:rsidR="009F4766" w:rsidRPr="00DE12A3" w:rsidRDefault="009F4766" w:rsidP="00C917D6">
            <w:pPr>
              <w:pStyle w:val="NormalLeft"/>
              <w:rPr>
                <w:sz w:val="14"/>
                <w:szCs w:val="14"/>
              </w:rPr>
            </w:pPr>
            <w:r w:rsidRPr="00DE12A3">
              <w:rPr>
                <w:sz w:val="14"/>
                <w:szCs w:val="14"/>
              </w:rPr>
              <w:t>60</w:t>
            </w:r>
          </w:p>
        </w:tc>
        <w:tc>
          <w:tcPr>
            <w:tcW w:w="465" w:type="dxa"/>
            <w:tcBorders>
              <w:top w:val="single" w:sz="2" w:space="0" w:color="auto"/>
              <w:left w:val="single" w:sz="2" w:space="0" w:color="auto"/>
              <w:bottom w:val="single" w:sz="2" w:space="0" w:color="auto"/>
              <w:right w:val="single" w:sz="2" w:space="0" w:color="auto"/>
            </w:tcBorders>
          </w:tcPr>
          <w:p w14:paraId="281A7850" w14:textId="77777777" w:rsidR="009F4766" w:rsidRPr="00DE12A3" w:rsidRDefault="009F4766" w:rsidP="00C917D6">
            <w:pPr>
              <w:pStyle w:val="NormalLeft"/>
              <w:rPr>
                <w:sz w:val="14"/>
                <w:szCs w:val="14"/>
              </w:rPr>
            </w:pPr>
            <w:r w:rsidRPr="00DE12A3">
              <w:rPr>
                <w:sz w:val="14"/>
                <w:szCs w:val="14"/>
              </w:rPr>
              <w:t>2,791</w:t>
            </w:r>
          </w:p>
        </w:tc>
        <w:tc>
          <w:tcPr>
            <w:tcW w:w="464" w:type="dxa"/>
            <w:tcBorders>
              <w:top w:val="single" w:sz="2" w:space="0" w:color="auto"/>
              <w:left w:val="single" w:sz="2" w:space="0" w:color="auto"/>
              <w:bottom w:val="single" w:sz="2" w:space="0" w:color="auto"/>
              <w:right w:val="single" w:sz="2" w:space="0" w:color="auto"/>
            </w:tcBorders>
          </w:tcPr>
          <w:p w14:paraId="1A865727" w14:textId="77777777" w:rsidR="009F4766" w:rsidRPr="00DE12A3" w:rsidRDefault="009F4766" w:rsidP="00C917D6">
            <w:pPr>
              <w:pStyle w:val="NormalLeft"/>
              <w:rPr>
                <w:sz w:val="14"/>
                <w:szCs w:val="14"/>
              </w:rPr>
            </w:pPr>
            <w:r w:rsidRPr="00DE12A3">
              <w:rPr>
                <w:sz w:val="14"/>
                <w:szCs w:val="14"/>
              </w:rPr>
              <w:t>2,393</w:t>
            </w:r>
          </w:p>
        </w:tc>
        <w:tc>
          <w:tcPr>
            <w:tcW w:w="464" w:type="dxa"/>
            <w:tcBorders>
              <w:top w:val="single" w:sz="2" w:space="0" w:color="auto"/>
              <w:left w:val="single" w:sz="2" w:space="0" w:color="auto"/>
              <w:bottom w:val="single" w:sz="2" w:space="0" w:color="auto"/>
              <w:right w:val="single" w:sz="2" w:space="0" w:color="auto"/>
            </w:tcBorders>
          </w:tcPr>
          <w:p w14:paraId="2ECA2E96" w14:textId="77777777" w:rsidR="009F4766" w:rsidRPr="00DE12A3" w:rsidRDefault="009F4766" w:rsidP="00C917D6">
            <w:pPr>
              <w:pStyle w:val="NormalLeft"/>
              <w:rPr>
                <w:sz w:val="14"/>
                <w:szCs w:val="14"/>
              </w:rPr>
            </w:pPr>
            <w:r w:rsidRPr="00DE12A3">
              <w:rPr>
                <w:sz w:val="14"/>
                <w:szCs w:val="14"/>
              </w:rPr>
              <w:t>2,177</w:t>
            </w:r>
          </w:p>
        </w:tc>
        <w:tc>
          <w:tcPr>
            <w:tcW w:w="465" w:type="dxa"/>
            <w:tcBorders>
              <w:top w:val="single" w:sz="2" w:space="0" w:color="auto"/>
              <w:left w:val="single" w:sz="2" w:space="0" w:color="auto"/>
              <w:bottom w:val="single" w:sz="2" w:space="0" w:color="auto"/>
              <w:right w:val="single" w:sz="2" w:space="0" w:color="auto"/>
            </w:tcBorders>
          </w:tcPr>
          <w:p w14:paraId="1D6A0BE8" w14:textId="77777777" w:rsidR="009F4766" w:rsidRPr="00DE12A3" w:rsidRDefault="009F4766" w:rsidP="00C917D6">
            <w:pPr>
              <w:pStyle w:val="NormalLeft"/>
              <w:rPr>
                <w:sz w:val="14"/>
                <w:szCs w:val="14"/>
              </w:rPr>
            </w:pPr>
            <w:r w:rsidRPr="00DE12A3">
              <w:rPr>
                <w:sz w:val="14"/>
                <w:szCs w:val="14"/>
              </w:rPr>
              <w:t>2,041</w:t>
            </w:r>
          </w:p>
        </w:tc>
        <w:tc>
          <w:tcPr>
            <w:tcW w:w="464" w:type="dxa"/>
            <w:tcBorders>
              <w:top w:val="single" w:sz="2" w:space="0" w:color="auto"/>
              <w:left w:val="single" w:sz="2" w:space="0" w:color="auto"/>
              <w:bottom w:val="single" w:sz="2" w:space="0" w:color="auto"/>
              <w:right w:val="single" w:sz="2" w:space="0" w:color="auto"/>
            </w:tcBorders>
          </w:tcPr>
          <w:p w14:paraId="08578DD7" w14:textId="77777777" w:rsidR="009F4766" w:rsidRPr="00DE12A3" w:rsidRDefault="009F4766" w:rsidP="00C917D6">
            <w:pPr>
              <w:pStyle w:val="NormalLeft"/>
              <w:rPr>
                <w:sz w:val="14"/>
                <w:szCs w:val="14"/>
              </w:rPr>
            </w:pPr>
            <w:r w:rsidRPr="00DE12A3">
              <w:rPr>
                <w:sz w:val="14"/>
                <w:szCs w:val="14"/>
              </w:rPr>
              <w:t>1,946</w:t>
            </w:r>
          </w:p>
        </w:tc>
        <w:tc>
          <w:tcPr>
            <w:tcW w:w="464" w:type="dxa"/>
            <w:tcBorders>
              <w:top w:val="single" w:sz="2" w:space="0" w:color="auto"/>
              <w:left w:val="single" w:sz="2" w:space="0" w:color="auto"/>
              <w:bottom w:val="single" w:sz="2" w:space="0" w:color="auto"/>
              <w:right w:val="single" w:sz="2" w:space="0" w:color="auto"/>
            </w:tcBorders>
          </w:tcPr>
          <w:p w14:paraId="21E91A51" w14:textId="77777777" w:rsidR="009F4766" w:rsidRPr="00DE12A3" w:rsidRDefault="009F4766" w:rsidP="00C917D6">
            <w:pPr>
              <w:pStyle w:val="NormalLeft"/>
              <w:rPr>
                <w:sz w:val="14"/>
                <w:szCs w:val="14"/>
              </w:rPr>
            </w:pPr>
            <w:r w:rsidRPr="00DE12A3">
              <w:rPr>
                <w:sz w:val="14"/>
                <w:szCs w:val="14"/>
              </w:rPr>
              <w:t>1,875</w:t>
            </w:r>
          </w:p>
        </w:tc>
        <w:tc>
          <w:tcPr>
            <w:tcW w:w="464" w:type="dxa"/>
            <w:tcBorders>
              <w:top w:val="single" w:sz="2" w:space="0" w:color="auto"/>
              <w:left w:val="single" w:sz="2" w:space="0" w:color="auto"/>
              <w:bottom w:val="single" w:sz="2" w:space="0" w:color="auto"/>
              <w:right w:val="single" w:sz="2" w:space="0" w:color="auto"/>
            </w:tcBorders>
          </w:tcPr>
          <w:p w14:paraId="06A36B86" w14:textId="77777777" w:rsidR="009F4766" w:rsidRPr="00DE12A3" w:rsidRDefault="009F4766" w:rsidP="00C917D6">
            <w:pPr>
              <w:pStyle w:val="NormalLeft"/>
              <w:rPr>
                <w:sz w:val="14"/>
                <w:szCs w:val="14"/>
              </w:rPr>
            </w:pPr>
            <w:r w:rsidRPr="00DE12A3">
              <w:rPr>
                <w:sz w:val="14"/>
                <w:szCs w:val="14"/>
              </w:rPr>
              <w:t>1,819</w:t>
            </w:r>
          </w:p>
        </w:tc>
        <w:tc>
          <w:tcPr>
            <w:tcW w:w="465" w:type="dxa"/>
            <w:tcBorders>
              <w:top w:val="single" w:sz="2" w:space="0" w:color="auto"/>
              <w:left w:val="single" w:sz="2" w:space="0" w:color="auto"/>
              <w:bottom w:val="single" w:sz="2" w:space="0" w:color="auto"/>
              <w:right w:val="single" w:sz="2" w:space="0" w:color="auto"/>
            </w:tcBorders>
          </w:tcPr>
          <w:p w14:paraId="46609BD7" w14:textId="77777777" w:rsidR="009F4766" w:rsidRPr="00DE12A3" w:rsidRDefault="009F4766" w:rsidP="00C917D6">
            <w:pPr>
              <w:pStyle w:val="NormalLeft"/>
              <w:rPr>
                <w:sz w:val="14"/>
                <w:szCs w:val="14"/>
              </w:rPr>
            </w:pPr>
            <w:r w:rsidRPr="00DE12A3">
              <w:rPr>
                <w:sz w:val="14"/>
                <w:szCs w:val="14"/>
              </w:rPr>
              <w:t>1,775</w:t>
            </w:r>
          </w:p>
        </w:tc>
        <w:tc>
          <w:tcPr>
            <w:tcW w:w="464" w:type="dxa"/>
            <w:tcBorders>
              <w:top w:val="single" w:sz="2" w:space="0" w:color="auto"/>
              <w:left w:val="single" w:sz="2" w:space="0" w:color="auto"/>
              <w:bottom w:val="single" w:sz="2" w:space="0" w:color="auto"/>
              <w:right w:val="single" w:sz="2" w:space="0" w:color="auto"/>
            </w:tcBorders>
          </w:tcPr>
          <w:p w14:paraId="03476EBC" w14:textId="77777777" w:rsidR="009F4766" w:rsidRPr="00DE12A3" w:rsidRDefault="009F4766" w:rsidP="00C917D6">
            <w:pPr>
              <w:pStyle w:val="NormalLeft"/>
              <w:rPr>
                <w:sz w:val="14"/>
                <w:szCs w:val="14"/>
              </w:rPr>
            </w:pPr>
            <w:r w:rsidRPr="00DE12A3">
              <w:rPr>
                <w:sz w:val="14"/>
                <w:szCs w:val="14"/>
              </w:rPr>
              <w:t>1,738</w:t>
            </w:r>
          </w:p>
        </w:tc>
        <w:tc>
          <w:tcPr>
            <w:tcW w:w="464" w:type="dxa"/>
            <w:tcBorders>
              <w:top w:val="single" w:sz="2" w:space="0" w:color="auto"/>
              <w:left w:val="single" w:sz="2" w:space="0" w:color="auto"/>
              <w:bottom w:val="single" w:sz="2" w:space="0" w:color="auto"/>
              <w:right w:val="single" w:sz="2" w:space="0" w:color="auto"/>
            </w:tcBorders>
          </w:tcPr>
          <w:p w14:paraId="666FDDCA" w14:textId="77777777" w:rsidR="009F4766" w:rsidRPr="00DE12A3" w:rsidRDefault="009F4766" w:rsidP="00C917D6">
            <w:pPr>
              <w:pStyle w:val="NormalLeft"/>
              <w:rPr>
                <w:sz w:val="14"/>
                <w:szCs w:val="14"/>
              </w:rPr>
            </w:pPr>
            <w:r w:rsidRPr="00DE12A3">
              <w:rPr>
                <w:sz w:val="14"/>
                <w:szCs w:val="14"/>
              </w:rPr>
              <w:t>1,707</w:t>
            </w:r>
          </w:p>
        </w:tc>
        <w:tc>
          <w:tcPr>
            <w:tcW w:w="465" w:type="dxa"/>
            <w:tcBorders>
              <w:top w:val="single" w:sz="2" w:space="0" w:color="auto"/>
              <w:left w:val="single" w:sz="2" w:space="0" w:color="auto"/>
              <w:bottom w:val="single" w:sz="2" w:space="0" w:color="auto"/>
              <w:right w:val="single" w:sz="2" w:space="0" w:color="auto"/>
            </w:tcBorders>
          </w:tcPr>
          <w:p w14:paraId="6C9C70C3" w14:textId="77777777" w:rsidR="009F4766" w:rsidRPr="00DE12A3" w:rsidRDefault="009F4766" w:rsidP="00C917D6">
            <w:pPr>
              <w:pStyle w:val="NormalLeft"/>
              <w:rPr>
                <w:sz w:val="14"/>
                <w:szCs w:val="14"/>
              </w:rPr>
            </w:pPr>
            <w:r w:rsidRPr="00DE12A3">
              <w:rPr>
                <w:sz w:val="14"/>
                <w:szCs w:val="14"/>
              </w:rPr>
              <w:t>1,657</w:t>
            </w:r>
          </w:p>
        </w:tc>
        <w:tc>
          <w:tcPr>
            <w:tcW w:w="464" w:type="dxa"/>
            <w:tcBorders>
              <w:top w:val="single" w:sz="2" w:space="0" w:color="auto"/>
              <w:left w:val="single" w:sz="2" w:space="0" w:color="auto"/>
              <w:bottom w:val="single" w:sz="2" w:space="0" w:color="auto"/>
              <w:right w:val="single" w:sz="2" w:space="0" w:color="auto"/>
            </w:tcBorders>
          </w:tcPr>
          <w:p w14:paraId="489EECA3" w14:textId="77777777" w:rsidR="009F4766" w:rsidRPr="00DE12A3" w:rsidRDefault="009F4766" w:rsidP="00C917D6">
            <w:pPr>
              <w:pStyle w:val="NormalLeft"/>
              <w:rPr>
                <w:sz w:val="14"/>
                <w:szCs w:val="14"/>
              </w:rPr>
            </w:pPr>
            <w:r w:rsidRPr="00DE12A3">
              <w:rPr>
                <w:sz w:val="14"/>
                <w:szCs w:val="14"/>
              </w:rPr>
              <w:t>1,603</w:t>
            </w:r>
          </w:p>
        </w:tc>
        <w:tc>
          <w:tcPr>
            <w:tcW w:w="464" w:type="dxa"/>
            <w:tcBorders>
              <w:top w:val="single" w:sz="2" w:space="0" w:color="auto"/>
              <w:left w:val="single" w:sz="2" w:space="0" w:color="auto"/>
              <w:bottom w:val="single" w:sz="2" w:space="0" w:color="auto"/>
              <w:right w:val="single" w:sz="2" w:space="0" w:color="auto"/>
            </w:tcBorders>
          </w:tcPr>
          <w:p w14:paraId="13E9168A" w14:textId="77777777" w:rsidR="009F4766" w:rsidRPr="00DE12A3" w:rsidRDefault="009F4766" w:rsidP="00C917D6">
            <w:pPr>
              <w:pStyle w:val="NormalLeft"/>
              <w:rPr>
                <w:sz w:val="14"/>
                <w:szCs w:val="14"/>
              </w:rPr>
            </w:pPr>
            <w:r w:rsidRPr="00DE12A3">
              <w:rPr>
                <w:sz w:val="14"/>
                <w:szCs w:val="14"/>
              </w:rPr>
              <w:t>1,543</w:t>
            </w:r>
          </w:p>
        </w:tc>
        <w:tc>
          <w:tcPr>
            <w:tcW w:w="465" w:type="dxa"/>
            <w:tcBorders>
              <w:top w:val="single" w:sz="2" w:space="0" w:color="auto"/>
              <w:left w:val="single" w:sz="2" w:space="0" w:color="auto"/>
              <w:bottom w:val="single" w:sz="2" w:space="0" w:color="auto"/>
              <w:right w:val="single" w:sz="2" w:space="0" w:color="auto"/>
            </w:tcBorders>
          </w:tcPr>
          <w:p w14:paraId="70126021" w14:textId="77777777" w:rsidR="009F4766" w:rsidRPr="00DE12A3" w:rsidRDefault="009F4766" w:rsidP="00C917D6">
            <w:pPr>
              <w:pStyle w:val="NormalLeft"/>
              <w:rPr>
                <w:sz w:val="14"/>
                <w:szCs w:val="14"/>
              </w:rPr>
            </w:pPr>
            <w:r w:rsidRPr="00DE12A3">
              <w:rPr>
                <w:sz w:val="14"/>
                <w:szCs w:val="14"/>
              </w:rPr>
              <w:t>1,511</w:t>
            </w:r>
          </w:p>
        </w:tc>
        <w:tc>
          <w:tcPr>
            <w:tcW w:w="464" w:type="dxa"/>
            <w:tcBorders>
              <w:top w:val="single" w:sz="2" w:space="0" w:color="auto"/>
              <w:left w:val="single" w:sz="2" w:space="0" w:color="auto"/>
              <w:bottom w:val="single" w:sz="2" w:space="0" w:color="auto"/>
              <w:right w:val="single" w:sz="2" w:space="0" w:color="auto"/>
            </w:tcBorders>
          </w:tcPr>
          <w:p w14:paraId="0BFED471" w14:textId="77777777" w:rsidR="009F4766" w:rsidRPr="00DE12A3" w:rsidRDefault="009F4766" w:rsidP="00C917D6">
            <w:pPr>
              <w:pStyle w:val="NormalLeft"/>
              <w:rPr>
                <w:sz w:val="14"/>
                <w:szCs w:val="14"/>
              </w:rPr>
            </w:pPr>
            <w:r w:rsidRPr="00DE12A3">
              <w:rPr>
                <w:sz w:val="14"/>
                <w:szCs w:val="14"/>
              </w:rPr>
              <w:t>1,476</w:t>
            </w:r>
          </w:p>
        </w:tc>
        <w:tc>
          <w:tcPr>
            <w:tcW w:w="464" w:type="dxa"/>
            <w:tcBorders>
              <w:top w:val="single" w:sz="2" w:space="0" w:color="auto"/>
              <w:left w:val="single" w:sz="2" w:space="0" w:color="auto"/>
              <w:bottom w:val="single" w:sz="2" w:space="0" w:color="auto"/>
              <w:right w:val="single" w:sz="2" w:space="0" w:color="auto"/>
            </w:tcBorders>
          </w:tcPr>
          <w:p w14:paraId="4A28AFAB" w14:textId="77777777" w:rsidR="009F4766" w:rsidRPr="00DE12A3" w:rsidRDefault="009F4766" w:rsidP="00C917D6">
            <w:pPr>
              <w:pStyle w:val="NormalLeft"/>
              <w:rPr>
                <w:sz w:val="14"/>
                <w:szCs w:val="14"/>
              </w:rPr>
            </w:pPr>
            <w:r w:rsidRPr="00DE12A3">
              <w:rPr>
                <w:sz w:val="14"/>
                <w:szCs w:val="14"/>
              </w:rPr>
              <w:t>1,437</w:t>
            </w:r>
          </w:p>
        </w:tc>
        <w:tc>
          <w:tcPr>
            <w:tcW w:w="464" w:type="dxa"/>
            <w:tcBorders>
              <w:top w:val="single" w:sz="2" w:space="0" w:color="auto"/>
              <w:left w:val="single" w:sz="2" w:space="0" w:color="auto"/>
              <w:bottom w:val="single" w:sz="2" w:space="0" w:color="auto"/>
              <w:right w:val="single" w:sz="2" w:space="0" w:color="auto"/>
            </w:tcBorders>
          </w:tcPr>
          <w:p w14:paraId="15E80AF1" w14:textId="77777777" w:rsidR="009F4766" w:rsidRPr="00DE12A3" w:rsidRDefault="009F4766" w:rsidP="00C917D6">
            <w:pPr>
              <w:pStyle w:val="NormalLeft"/>
              <w:rPr>
                <w:sz w:val="14"/>
                <w:szCs w:val="14"/>
              </w:rPr>
            </w:pPr>
            <w:r w:rsidRPr="00DE12A3">
              <w:rPr>
                <w:sz w:val="14"/>
                <w:szCs w:val="14"/>
              </w:rPr>
              <w:t>1,395</w:t>
            </w:r>
          </w:p>
        </w:tc>
        <w:tc>
          <w:tcPr>
            <w:tcW w:w="465" w:type="dxa"/>
            <w:tcBorders>
              <w:top w:val="single" w:sz="2" w:space="0" w:color="auto"/>
              <w:left w:val="single" w:sz="2" w:space="0" w:color="auto"/>
              <w:bottom w:val="single" w:sz="2" w:space="0" w:color="auto"/>
              <w:right w:val="single" w:sz="2" w:space="0" w:color="auto"/>
            </w:tcBorders>
          </w:tcPr>
          <w:p w14:paraId="01F86E89" w14:textId="77777777" w:rsidR="009F4766" w:rsidRPr="00DE12A3" w:rsidRDefault="009F4766" w:rsidP="00C917D6">
            <w:pPr>
              <w:pStyle w:val="NormalLeft"/>
              <w:rPr>
                <w:sz w:val="14"/>
                <w:szCs w:val="14"/>
              </w:rPr>
            </w:pPr>
            <w:r w:rsidRPr="00DE12A3">
              <w:rPr>
                <w:sz w:val="14"/>
                <w:szCs w:val="14"/>
              </w:rPr>
              <w:t>1,348</w:t>
            </w:r>
          </w:p>
        </w:tc>
        <w:tc>
          <w:tcPr>
            <w:tcW w:w="464" w:type="dxa"/>
            <w:tcBorders>
              <w:top w:val="single" w:sz="2" w:space="0" w:color="auto"/>
              <w:left w:val="single" w:sz="2" w:space="0" w:color="auto"/>
              <w:bottom w:val="single" w:sz="2" w:space="0" w:color="auto"/>
              <w:right w:val="single" w:sz="2" w:space="0" w:color="auto"/>
            </w:tcBorders>
          </w:tcPr>
          <w:p w14:paraId="32B52CFA" w14:textId="77777777" w:rsidR="009F4766" w:rsidRPr="00DE12A3" w:rsidRDefault="009F4766" w:rsidP="00C917D6">
            <w:pPr>
              <w:pStyle w:val="NormalLeft"/>
              <w:rPr>
                <w:sz w:val="14"/>
                <w:szCs w:val="14"/>
              </w:rPr>
            </w:pPr>
            <w:r w:rsidRPr="00DE12A3">
              <w:rPr>
                <w:sz w:val="14"/>
                <w:szCs w:val="14"/>
              </w:rPr>
              <w:t>1,291</w:t>
            </w:r>
          </w:p>
        </w:tc>
      </w:tr>
      <w:tr w:rsidR="00DE12A3" w:rsidRPr="00DE12A3" w14:paraId="1CD76F6B" w14:textId="77777777" w:rsidTr="009F4766">
        <w:tc>
          <w:tcPr>
            <w:tcW w:w="464" w:type="dxa"/>
            <w:tcBorders>
              <w:top w:val="single" w:sz="2" w:space="0" w:color="auto"/>
              <w:left w:val="single" w:sz="2" w:space="0" w:color="auto"/>
              <w:bottom w:val="single" w:sz="2" w:space="0" w:color="auto"/>
              <w:right w:val="single" w:sz="2" w:space="0" w:color="auto"/>
            </w:tcBorders>
          </w:tcPr>
          <w:p w14:paraId="56C73D93" w14:textId="77777777" w:rsidR="009F4766" w:rsidRPr="00DE12A3" w:rsidRDefault="009F4766" w:rsidP="00C917D6">
            <w:pPr>
              <w:pStyle w:val="NormalLeft"/>
              <w:rPr>
                <w:sz w:val="14"/>
                <w:szCs w:val="14"/>
              </w:rPr>
            </w:pPr>
            <w:r w:rsidRPr="00DE12A3">
              <w:rPr>
                <w:sz w:val="14"/>
                <w:szCs w:val="14"/>
              </w:rPr>
              <w:t>120</w:t>
            </w:r>
          </w:p>
        </w:tc>
        <w:tc>
          <w:tcPr>
            <w:tcW w:w="465" w:type="dxa"/>
            <w:tcBorders>
              <w:top w:val="single" w:sz="2" w:space="0" w:color="auto"/>
              <w:left w:val="single" w:sz="2" w:space="0" w:color="auto"/>
              <w:bottom w:val="single" w:sz="2" w:space="0" w:color="auto"/>
              <w:right w:val="single" w:sz="2" w:space="0" w:color="auto"/>
            </w:tcBorders>
          </w:tcPr>
          <w:p w14:paraId="349206A5" w14:textId="77777777" w:rsidR="009F4766" w:rsidRPr="00DE12A3" w:rsidRDefault="009F4766" w:rsidP="00C917D6">
            <w:pPr>
              <w:pStyle w:val="NormalLeft"/>
              <w:rPr>
                <w:sz w:val="14"/>
                <w:szCs w:val="14"/>
              </w:rPr>
            </w:pPr>
            <w:r w:rsidRPr="00DE12A3">
              <w:rPr>
                <w:sz w:val="14"/>
                <w:szCs w:val="14"/>
              </w:rPr>
              <w:t>2,748</w:t>
            </w:r>
          </w:p>
        </w:tc>
        <w:tc>
          <w:tcPr>
            <w:tcW w:w="464" w:type="dxa"/>
            <w:tcBorders>
              <w:top w:val="single" w:sz="2" w:space="0" w:color="auto"/>
              <w:left w:val="single" w:sz="2" w:space="0" w:color="auto"/>
              <w:bottom w:val="single" w:sz="2" w:space="0" w:color="auto"/>
              <w:right w:val="single" w:sz="2" w:space="0" w:color="auto"/>
            </w:tcBorders>
          </w:tcPr>
          <w:p w14:paraId="6115C467" w14:textId="77777777" w:rsidR="009F4766" w:rsidRPr="00DE12A3" w:rsidRDefault="009F4766" w:rsidP="00C917D6">
            <w:pPr>
              <w:pStyle w:val="NormalLeft"/>
              <w:rPr>
                <w:sz w:val="14"/>
                <w:szCs w:val="14"/>
              </w:rPr>
            </w:pPr>
            <w:r w:rsidRPr="00DE12A3">
              <w:rPr>
                <w:sz w:val="14"/>
                <w:szCs w:val="14"/>
              </w:rPr>
              <w:t>2,347</w:t>
            </w:r>
          </w:p>
        </w:tc>
        <w:tc>
          <w:tcPr>
            <w:tcW w:w="464" w:type="dxa"/>
            <w:tcBorders>
              <w:top w:val="single" w:sz="2" w:space="0" w:color="auto"/>
              <w:left w:val="single" w:sz="2" w:space="0" w:color="auto"/>
              <w:bottom w:val="single" w:sz="2" w:space="0" w:color="auto"/>
              <w:right w:val="single" w:sz="2" w:space="0" w:color="auto"/>
            </w:tcBorders>
          </w:tcPr>
          <w:p w14:paraId="1B1C82CE" w14:textId="77777777" w:rsidR="009F4766" w:rsidRPr="00DE12A3" w:rsidRDefault="009F4766" w:rsidP="00C917D6">
            <w:pPr>
              <w:pStyle w:val="NormalLeft"/>
              <w:rPr>
                <w:sz w:val="14"/>
                <w:szCs w:val="14"/>
              </w:rPr>
            </w:pPr>
            <w:r w:rsidRPr="00DE12A3">
              <w:rPr>
                <w:sz w:val="14"/>
                <w:szCs w:val="14"/>
              </w:rPr>
              <w:t>2,130</w:t>
            </w:r>
          </w:p>
        </w:tc>
        <w:tc>
          <w:tcPr>
            <w:tcW w:w="465" w:type="dxa"/>
            <w:tcBorders>
              <w:top w:val="single" w:sz="2" w:space="0" w:color="auto"/>
              <w:left w:val="single" w:sz="2" w:space="0" w:color="auto"/>
              <w:bottom w:val="single" w:sz="2" w:space="0" w:color="auto"/>
              <w:right w:val="single" w:sz="2" w:space="0" w:color="auto"/>
            </w:tcBorders>
          </w:tcPr>
          <w:p w14:paraId="2FD2D514" w14:textId="77777777" w:rsidR="009F4766" w:rsidRPr="00DE12A3" w:rsidRDefault="009F4766" w:rsidP="00C917D6">
            <w:pPr>
              <w:pStyle w:val="NormalLeft"/>
              <w:rPr>
                <w:sz w:val="14"/>
                <w:szCs w:val="14"/>
              </w:rPr>
            </w:pPr>
            <w:r w:rsidRPr="00DE12A3">
              <w:rPr>
                <w:sz w:val="14"/>
                <w:szCs w:val="14"/>
              </w:rPr>
              <w:t>1,992</w:t>
            </w:r>
          </w:p>
        </w:tc>
        <w:tc>
          <w:tcPr>
            <w:tcW w:w="464" w:type="dxa"/>
            <w:tcBorders>
              <w:top w:val="single" w:sz="2" w:space="0" w:color="auto"/>
              <w:left w:val="single" w:sz="2" w:space="0" w:color="auto"/>
              <w:bottom w:val="single" w:sz="2" w:space="0" w:color="auto"/>
              <w:right w:val="single" w:sz="2" w:space="0" w:color="auto"/>
            </w:tcBorders>
          </w:tcPr>
          <w:p w14:paraId="46453B9A" w14:textId="77777777" w:rsidR="009F4766" w:rsidRPr="00DE12A3" w:rsidRDefault="009F4766" w:rsidP="00C917D6">
            <w:pPr>
              <w:pStyle w:val="NormalLeft"/>
              <w:rPr>
                <w:sz w:val="14"/>
                <w:szCs w:val="14"/>
              </w:rPr>
            </w:pPr>
            <w:r w:rsidRPr="00DE12A3">
              <w:rPr>
                <w:sz w:val="14"/>
                <w:szCs w:val="14"/>
              </w:rPr>
              <w:t>1,896</w:t>
            </w:r>
          </w:p>
        </w:tc>
        <w:tc>
          <w:tcPr>
            <w:tcW w:w="464" w:type="dxa"/>
            <w:tcBorders>
              <w:top w:val="single" w:sz="2" w:space="0" w:color="auto"/>
              <w:left w:val="single" w:sz="2" w:space="0" w:color="auto"/>
              <w:bottom w:val="single" w:sz="2" w:space="0" w:color="auto"/>
              <w:right w:val="single" w:sz="2" w:space="0" w:color="auto"/>
            </w:tcBorders>
          </w:tcPr>
          <w:p w14:paraId="690C6CE4" w14:textId="77777777" w:rsidR="009F4766" w:rsidRPr="00DE12A3" w:rsidRDefault="009F4766" w:rsidP="00C917D6">
            <w:pPr>
              <w:pStyle w:val="NormalLeft"/>
              <w:rPr>
                <w:sz w:val="14"/>
                <w:szCs w:val="14"/>
              </w:rPr>
            </w:pPr>
            <w:r w:rsidRPr="00DE12A3">
              <w:rPr>
                <w:sz w:val="14"/>
                <w:szCs w:val="14"/>
              </w:rPr>
              <w:t>1,824</w:t>
            </w:r>
          </w:p>
        </w:tc>
        <w:tc>
          <w:tcPr>
            <w:tcW w:w="464" w:type="dxa"/>
            <w:tcBorders>
              <w:top w:val="single" w:sz="2" w:space="0" w:color="auto"/>
              <w:left w:val="single" w:sz="2" w:space="0" w:color="auto"/>
              <w:bottom w:val="single" w:sz="2" w:space="0" w:color="auto"/>
              <w:right w:val="single" w:sz="2" w:space="0" w:color="auto"/>
            </w:tcBorders>
          </w:tcPr>
          <w:p w14:paraId="1CBA60E4" w14:textId="77777777" w:rsidR="009F4766" w:rsidRPr="00DE12A3" w:rsidRDefault="009F4766" w:rsidP="00C917D6">
            <w:pPr>
              <w:pStyle w:val="NormalLeft"/>
              <w:rPr>
                <w:sz w:val="14"/>
                <w:szCs w:val="14"/>
              </w:rPr>
            </w:pPr>
            <w:r w:rsidRPr="00DE12A3">
              <w:rPr>
                <w:sz w:val="14"/>
                <w:szCs w:val="14"/>
              </w:rPr>
              <w:t>1,767</w:t>
            </w:r>
          </w:p>
        </w:tc>
        <w:tc>
          <w:tcPr>
            <w:tcW w:w="465" w:type="dxa"/>
            <w:tcBorders>
              <w:top w:val="single" w:sz="2" w:space="0" w:color="auto"/>
              <w:left w:val="single" w:sz="2" w:space="0" w:color="auto"/>
              <w:bottom w:val="single" w:sz="2" w:space="0" w:color="auto"/>
              <w:right w:val="single" w:sz="2" w:space="0" w:color="auto"/>
            </w:tcBorders>
          </w:tcPr>
          <w:p w14:paraId="3523BA2F" w14:textId="77777777" w:rsidR="009F4766" w:rsidRPr="00DE12A3" w:rsidRDefault="009F4766" w:rsidP="00C917D6">
            <w:pPr>
              <w:pStyle w:val="NormalLeft"/>
              <w:rPr>
                <w:sz w:val="14"/>
                <w:szCs w:val="14"/>
              </w:rPr>
            </w:pPr>
            <w:r w:rsidRPr="00DE12A3">
              <w:rPr>
                <w:sz w:val="14"/>
                <w:szCs w:val="14"/>
              </w:rPr>
              <w:t>1,722</w:t>
            </w:r>
          </w:p>
        </w:tc>
        <w:tc>
          <w:tcPr>
            <w:tcW w:w="464" w:type="dxa"/>
            <w:tcBorders>
              <w:top w:val="single" w:sz="2" w:space="0" w:color="auto"/>
              <w:left w:val="single" w:sz="2" w:space="0" w:color="auto"/>
              <w:bottom w:val="single" w:sz="2" w:space="0" w:color="auto"/>
              <w:right w:val="single" w:sz="2" w:space="0" w:color="auto"/>
            </w:tcBorders>
          </w:tcPr>
          <w:p w14:paraId="36AA6F1F" w14:textId="77777777" w:rsidR="009F4766" w:rsidRPr="00DE12A3" w:rsidRDefault="009F4766" w:rsidP="00C917D6">
            <w:pPr>
              <w:pStyle w:val="NormalLeft"/>
              <w:rPr>
                <w:sz w:val="14"/>
                <w:szCs w:val="14"/>
              </w:rPr>
            </w:pPr>
            <w:r w:rsidRPr="00DE12A3">
              <w:rPr>
                <w:sz w:val="14"/>
                <w:szCs w:val="14"/>
              </w:rPr>
              <w:t>1,684</w:t>
            </w:r>
          </w:p>
        </w:tc>
        <w:tc>
          <w:tcPr>
            <w:tcW w:w="464" w:type="dxa"/>
            <w:tcBorders>
              <w:top w:val="single" w:sz="2" w:space="0" w:color="auto"/>
              <w:left w:val="single" w:sz="2" w:space="0" w:color="auto"/>
              <w:bottom w:val="single" w:sz="2" w:space="0" w:color="auto"/>
              <w:right w:val="single" w:sz="2" w:space="0" w:color="auto"/>
            </w:tcBorders>
          </w:tcPr>
          <w:p w14:paraId="4375CE21" w14:textId="77777777" w:rsidR="009F4766" w:rsidRPr="00DE12A3" w:rsidRDefault="009F4766" w:rsidP="00C917D6">
            <w:pPr>
              <w:pStyle w:val="NormalLeft"/>
              <w:rPr>
                <w:sz w:val="14"/>
                <w:szCs w:val="14"/>
              </w:rPr>
            </w:pPr>
            <w:r w:rsidRPr="00DE12A3">
              <w:rPr>
                <w:sz w:val="14"/>
                <w:szCs w:val="14"/>
              </w:rPr>
              <w:t>1,652</w:t>
            </w:r>
          </w:p>
        </w:tc>
        <w:tc>
          <w:tcPr>
            <w:tcW w:w="465" w:type="dxa"/>
            <w:tcBorders>
              <w:top w:val="single" w:sz="2" w:space="0" w:color="auto"/>
              <w:left w:val="single" w:sz="2" w:space="0" w:color="auto"/>
              <w:bottom w:val="single" w:sz="2" w:space="0" w:color="auto"/>
              <w:right w:val="single" w:sz="2" w:space="0" w:color="auto"/>
            </w:tcBorders>
          </w:tcPr>
          <w:p w14:paraId="1971A7F9" w14:textId="77777777" w:rsidR="009F4766" w:rsidRPr="00DE12A3" w:rsidRDefault="009F4766" w:rsidP="00C917D6">
            <w:pPr>
              <w:pStyle w:val="NormalLeft"/>
              <w:rPr>
                <w:sz w:val="14"/>
                <w:szCs w:val="14"/>
              </w:rPr>
            </w:pPr>
            <w:r w:rsidRPr="00DE12A3">
              <w:rPr>
                <w:sz w:val="14"/>
                <w:szCs w:val="14"/>
              </w:rPr>
              <w:t>1,601</w:t>
            </w:r>
          </w:p>
        </w:tc>
        <w:tc>
          <w:tcPr>
            <w:tcW w:w="464" w:type="dxa"/>
            <w:tcBorders>
              <w:top w:val="single" w:sz="2" w:space="0" w:color="auto"/>
              <w:left w:val="single" w:sz="2" w:space="0" w:color="auto"/>
              <w:bottom w:val="single" w:sz="2" w:space="0" w:color="auto"/>
              <w:right w:val="single" w:sz="2" w:space="0" w:color="auto"/>
            </w:tcBorders>
          </w:tcPr>
          <w:p w14:paraId="3845C915" w14:textId="77777777" w:rsidR="009F4766" w:rsidRPr="00DE12A3" w:rsidRDefault="009F4766" w:rsidP="00C917D6">
            <w:pPr>
              <w:pStyle w:val="NormalLeft"/>
              <w:rPr>
                <w:sz w:val="14"/>
                <w:szCs w:val="14"/>
              </w:rPr>
            </w:pPr>
            <w:r w:rsidRPr="00DE12A3">
              <w:rPr>
                <w:sz w:val="14"/>
                <w:szCs w:val="14"/>
              </w:rPr>
              <w:t>1,545</w:t>
            </w:r>
          </w:p>
        </w:tc>
        <w:tc>
          <w:tcPr>
            <w:tcW w:w="464" w:type="dxa"/>
            <w:tcBorders>
              <w:top w:val="single" w:sz="2" w:space="0" w:color="auto"/>
              <w:left w:val="single" w:sz="2" w:space="0" w:color="auto"/>
              <w:bottom w:val="single" w:sz="2" w:space="0" w:color="auto"/>
              <w:right w:val="single" w:sz="2" w:space="0" w:color="auto"/>
            </w:tcBorders>
          </w:tcPr>
          <w:p w14:paraId="68400B5C" w14:textId="77777777" w:rsidR="009F4766" w:rsidRPr="00DE12A3" w:rsidRDefault="009F4766" w:rsidP="00C917D6">
            <w:pPr>
              <w:pStyle w:val="NormalLeft"/>
              <w:rPr>
                <w:sz w:val="14"/>
                <w:szCs w:val="14"/>
              </w:rPr>
            </w:pPr>
            <w:r w:rsidRPr="00DE12A3">
              <w:rPr>
                <w:sz w:val="14"/>
                <w:szCs w:val="14"/>
              </w:rPr>
              <w:t>1,482</w:t>
            </w:r>
          </w:p>
        </w:tc>
        <w:tc>
          <w:tcPr>
            <w:tcW w:w="465" w:type="dxa"/>
            <w:tcBorders>
              <w:top w:val="single" w:sz="2" w:space="0" w:color="auto"/>
              <w:left w:val="single" w:sz="2" w:space="0" w:color="auto"/>
              <w:bottom w:val="single" w:sz="2" w:space="0" w:color="auto"/>
              <w:right w:val="single" w:sz="2" w:space="0" w:color="auto"/>
            </w:tcBorders>
          </w:tcPr>
          <w:p w14:paraId="7C00B55D" w14:textId="77777777" w:rsidR="009F4766" w:rsidRPr="00DE12A3" w:rsidRDefault="009F4766" w:rsidP="00C917D6">
            <w:pPr>
              <w:pStyle w:val="NormalLeft"/>
              <w:rPr>
                <w:sz w:val="14"/>
                <w:szCs w:val="14"/>
              </w:rPr>
            </w:pPr>
            <w:r w:rsidRPr="00DE12A3">
              <w:rPr>
                <w:sz w:val="14"/>
                <w:szCs w:val="14"/>
              </w:rPr>
              <w:t>1,447</w:t>
            </w:r>
          </w:p>
        </w:tc>
        <w:tc>
          <w:tcPr>
            <w:tcW w:w="464" w:type="dxa"/>
            <w:tcBorders>
              <w:top w:val="single" w:sz="2" w:space="0" w:color="auto"/>
              <w:left w:val="single" w:sz="2" w:space="0" w:color="auto"/>
              <w:bottom w:val="single" w:sz="2" w:space="0" w:color="auto"/>
              <w:right w:val="single" w:sz="2" w:space="0" w:color="auto"/>
            </w:tcBorders>
          </w:tcPr>
          <w:p w14:paraId="423AB509" w14:textId="77777777" w:rsidR="009F4766" w:rsidRPr="00DE12A3" w:rsidRDefault="009F4766" w:rsidP="00C917D6">
            <w:pPr>
              <w:pStyle w:val="NormalLeft"/>
              <w:rPr>
                <w:sz w:val="14"/>
                <w:szCs w:val="14"/>
              </w:rPr>
            </w:pPr>
            <w:r w:rsidRPr="00DE12A3">
              <w:rPr>
                <w:sz w:val="14"/>
                <w:szCs w:val="14"/>
              </w:rPr>
              <w:t>1,409</w:t>
            </w:r>
          </w:p>
        </w:tc>
        <w:tc>
          <w:tcPr>
            <w:tcW w:w="464" w:type="dxa"/>
            <w:tcBorders>
              <w:top w:val="single" w:sz="2" w:space="0" w:color="auto"/>
              <w:left w:val="single" w:sz="2" w:space="0" w:color="auto"/>
              <w:bottom w:val="single" w:sz="2" w:space="0" w:color="auto"/>
              <w:right w:val="single" w:sz="2" w:space="0" w:color="auto"/>
            </w:tcBorders>
          </w:tcPr>
          <w:p w14:paraId="613FE4AC" w14:textId="77777777" w:rsidR="009F4766" w:rsidRPr="00DE12A3" w:rsidRDefault="009F4766" w:rsidP="00C917D6">
            <w:pPr>
              <w:pStyle w:val="NormalLeft"/>
              <w:rPr>
                <w:sz w:val="14"/>
                <w:szCs w:val="14"/>
              </w:rPr>
            </w:pPr>
            <w:r w:rsidRPr="00DE12A3">
              <w:rPr>
                <w:sz w:val="14"/>
                <w:szCs w:val="14"/>
              </w:rPr>
              <w:t>1,368</w:t>
            </w:r>
          </w:p>
        </w:tc>
        <w:tc>
          <w:tcPr>
            <w:tcW w:w="464" w:type="dxa"/>
            <w:tcBorders>
              <w:top w:val="single" w:sz="2" w:space="0" w:color="auto"/>
              <w:left w:val="single" w:sz="2" w:space="0" w:color="auto"/>
              <w:bottom w:val="single" w:sz="2" w:space="0" w:color="auto"/>
              <w:right w:val="single" w:sz="2" w:space="0" w:color="auto"/>
            </w:tcBorders>
          </w:tcPr>
          <w:p w14:paraId="6B34827C" w14:textId="77777777" w:rsidR="009F4766" w:rsidRPr="00DE12A3" w:rsidRDefault="009F4766" w:rsidP="00C917D6">
            <w:pPr>
              <w:pStyle w:val="NormalLeft"/>
              <w:rPr>
                <w:sz w:val="14"/>
                <w:szCs w:val="14"/>
              </w:rPr>
            </w:pPr>
            <w:r w:rsidRPr="00DE12A3">
              <w:rPr>
                <w:sz w:val="14"/>
                <w:szCs w:val="14"/>
              </w:rPr>
              <w:t>1,320</w:t>
            </w:r>
          </w:p>
        </w:tc>
        <w:tc>
          <w:tcPr>
            <w:tcW w:w="465" w:type="dxa"/>
            <w:tcBorders>
              <w:top w:val="single" w:sz="2" w:space="0" w:color="auto"/>
              <w:left w:val="single" w:sz="2" w:space="0" w:color="auto"/>
              <w:bottom w:val="single" w:sz="2" w:space="0" w:color="auto"/>
              <w:right w:val="single" w:sz="2" w:space="0" w:color="auto"/>
            </w:tcBorders>
          </w:tcPr>
          <w:p w14:paraId="587EAD61" w14:textId="77777777" w:rsidR="009F4766" w:rsidRPr="00DE12A3" w:rsidRDefault="009F4766" w:rsidP="00C917D6">
            <w:pPr>
              <w:pStyle w:val="NormalLeft"/>
              <w:rPr>
                <w:sz w:val="14"/>
                <w:szCs w:val="14"/>
              </w:rPr>
            </w:pPr>
            <w:r w:rsidRPr="00DE12A3">
              <w:rPr>
                <w:sz w:val="14"/>
                <w:szCs w:val="14"/>
              </w:rPr>
              <w:t>1,265</w:t>
            </w:r>
          </w:p>
        </w:tc>
        <w:tc>
          <w:tcPr>
            <w:tcW w:w="464" w:type="dxa"/>
            <w:tcBorders>
              <w:top w:val="single" w:sz="2" w:space="0" w:color="auto"/>
              <w:left w:val="single" w:sz="2" w:space="0" w:color="auto"/>
              <w:bottom w:val="single" w:sz="2" w:space="0" w:color="auto"/>
              <w:right w:val="single" w:sz="2" w:space="0" w:color="auto"/>
            </w:tcBorders>
          </w:tcPr>
          <w:p w14:paraId="0ECE5675" w14:textId="77777777" w:rsidR="009F4766" w:rsidRPr="00DE12A3" w:rsidRDefault="009F4766" w:rsidP="00C917D6">
            <w:pPr>
              <w:pStyle w:val="NormalLeft"/>
              <w:rPr>
                <w:sz w:val="14"/>
                <w:szCs w:val="14"/>
              </w:rPr>
            </w:pPr>
            <w:r w:rsidRPr="00DE12A3">
              <w:rPr>
                <w:sz w:val="14"/>
                <w:szCs w:val="14"/>
              </w:rPr>
              <w:t>1,193</w:t>
            </w:r>
          </w:p>
        </w:tc>
      </w:tr>
      <w:tr w:rsidR="009F4766" w:rsidRPr="00DE12A3" w14:paraId="59453F68" w14:textId="77777777" w:rsidTr="009F4766">
        <w:tc>
          <w:tcPr>
            <w:tcW w:w="464" w:type="dxa"/>
            <w:tcBorders>
              <w:top w:val="single" w:sz="2" w:space="0" w:color="auto"/>
              <w:left w:val="single" w:sz="2" w:space="0" w:color="auto"/>
              <w:bottom w:val="single" w:sz="2" w:space="0" w:color="auto"/>
              <w:right w:val="single" w:sz="2" w:space="0" w:color="auto"/>
            </w:tcBorders>
          </w:tcPr>
          <w:p w14:paraId="0FDA1618" w14:textId="77777777" w:rsidR="009F4766" w:rsidRPr="00DE12A3" w:rsidRDefault="009F4766" w:rsidP="00C917D6">
            <w:pPr>
              <w:pStyle w:val="NormalLeft"/>
              <w:rPr>
                <w:sz w:val="14"/>
                <w:szCs w:val="14"/>
              </w:rPr>
            </w:pPr>
            <w:r w:rsidRPr="00DE12A3">
              <w:rPr>
                <w:sz w:val="14"/>
                <w:szCs w:val="14"/>
              </w:rPr>
              <w:t>1000+</w:t>
            </w:r>
          </w:p>
        </w:tc>
        <w:tc>
          <w:tcPr>
            <w:tcW w:w="465" w:type="dxa"/>
            <w:tcBorders>
              <w:top w:val="single" w:sz="2" w:space="0" w:color="auto"/>
              <w:left w:val="single" w:sz="2" w:space="0" w:color="auto"/>
              <w:bottom w:val="single" w:sz="2" w:space="0" w:color="auto"/>
              <w:right w:val="single" w:sz="2" w:space="0" w:color="auto"/>
            </w:tcBorders>
          </w:tcPr>
          <w:p w14:paraId="3C8E4F5D" w14:textId="77777777" w:rsidR="009F4766" w:rsidRPr="00DE12A3" w:rsidRDefault="009F4766" w:rsidP="00C917D6">
            <w:pPr>
              <w:pStyle w:val="NormalLeft"/>
              <w:rPr>
                <w:sz w:val="14"/>
                <w:szCs w:val="14"/>
              </w:rPr>
            </w:pPr>
            <w:r w:rsidRPr="00DE12A3">
              <w:rPr>
                <w:sz w:val="14"/>
                <w:szCs w:val="14"/>
              </w:rPr>
              <w:t>2,706</w:t>
            </w:r>
          </w:p>
        </w:tc>
        <w:tc>
          <w:tcPr>
            <w:tcW w:w="464" w:type="dxa"/>
            <w:tcBorders>
              <w:top w:val="single" w:sz="2" w:space="0" w:color="auto"/>
              <w:left w:val="single" w:sz="2" w:space="0" w:color="auto"/>
              <w:bottom w:val="single" w:sz="2" w:space="0" w:color="auto"/>
              <w:right w:val="single" w:sz="2" w:space="0" w:color="auto"/>
            </w:tcBorders>
          </w:tcPr>
          <w:p w14:paraId="3A8788EA" w14:textId="77777777" w:rsidR="009F4766" w:rsidRPr="00DE12A3" w:rsidRDefault="009F4766" w:rsidP="00C917D6">
            <w:pPr>
              <w:pStyle w:val="NormalLeft"/>
              <w:rPr>
                <w:sz w:val="14"/>
                <w:szCs w:val="14"/>
              </w:rPr>
            </w:pPr>
            <w:r w:rsidRPr="00DE12A3">
              <w:rPr>
                <w:sz w:val="14"/>
                <w:szCs w:val="14"/>
              </w:rPr>
              <w:t>2,303</w:t>
            </w:r>
          </w:p>
        </w:tc>
        <w:tc>
          <w:tcPr>
            <w:tcW w:w="464" w:type="dxa"/>
            <w:tcBorders>
              <w:top w:val="single" w:sz="2" w:space="0" w:color="auto"/>
              <w:left w:val="single" w:sz="2" w:space="0" w:color="auto"/>
              <w:bottom w:val="single" w:sz="2" w:space="0" w:color="auto"/>
              <w:right w:val="single" w:sz="2" w:space="0" w:color="auto"/>
            </w:tcBorders>
          </w:tcPr>
          <w:p w14:paraId="7C9C4296" w14:textId="77777777" w:rsidR="009F4766" w:rsidRPr="00DE12A3" w:rsidRDefault="009F4766" w:rsidP="00C917D6">
            <w:pPr>
              <w:pStyle w:val="NormalLeft"/>
              <w:rPr>
                <w:sz w:val="14"/>
                <w:szCs w:val="14"/>
              </w:rPr>
            </w:pPr>
            <w:r w:rsidRPr="00DE12A3">
              <w:rPr>
                <w:sz w:val="14"/>
                <w:szCs w:val="14"/>
              </w:rPr>
              <w:t>2,084</w:t>
            </w:r>
          </w:p>
        </w:tc>
        <w:tc>
          <w:tcPr>
            <w:tcW w:w="465" w:type="dxa"/>
            <w:tcBorders>
              <w:top w:val="single" w:sz="2" w:space="0" w:color="auto"/>
              <w:left w:val="single" w:sz="2" w:space="0" w:color="auto"/>
              <w:bottom w:val="single" w:sz="2" w:space="0" w:color="auto"/>
              <w:right w:val="single" w:sz="2" w:space="0" w:color="auto"/>
            </w:tcBorders>
          </w:tcPr>
          <w:p w14:paraId="11B35C92" w14:textId="77777777" w:rsidR="009F4766" w:rsidRPr="00DE12A3" w:rsidRDefault="009F4766" w:rsidP="00C917D6">
            <w:pPr>
              <w:pStyle w:val="NormalLeft"/>
              <w:rPr>
                <w:sz w:val="14"/>
                <w:szCs w:val="14"/>
              </w:rPr>
            </w:pPr>
            <w:r w:rsidRPr="00DE12A3">
              <w:rPr>
                <w:sz w:val="14"/>
                <w:szCs w:val="14"/>
              </w:rPr>
              <w:t>1,945</w:t>
            </w:r>
          </w:p>
        </w:tc>
        <w:tc>
          <w:tcPr>
            <w:tcW w:w="464" w:type="dxa"/>
            <w:tcBorders>
              <w:top w:val="single" w:sz="2" w:space="0" w:color="auto"/>
              <w:left w:val="single" w:sz="2" w:space="0" w:color="auto"/>
              <w:bottom w:val="single" w:sz="2" w:space="0" w:color="auto"/>
              <w:right w:val="single" w:sz="2" w:space="0" w:color="auto"/>
            </w:tcBorders>
          </w:tcPr>
          <w:p w14:paraId="28F30C0E" w14:textId="77777777" w:rsidR="009F4766" w:rsidRPr="00DE12A3" w:rsidRDefault="009F4766" w:rsidP="00C917D6">
            <w:pPr>
              <w:pStyle w:val="NormalLeft"/>
              <w:rPr>
                <w:sz w:val="14"/>
                <w:szCs w:val="14"/>
              </w:rPr>
            </w:pPr>
            <w:r w:rsidRPr="00DE12A3">
              <w:rPr>
                <w:sz w:val="14"/>
                <w:szCs w:val="14"/>
              </w:rPr>
              <w:t>1,847</w:t>
            </w:r>
          </w:p>
        </w:tc>
        <w:tc>
          <w:tcPr>
            <w:tcW w:w="464" w:type="dxa"/>
            <w:tcBorders>
              <w:top w:val="single" w:sz="2" w:space="0" w:color="auto"/>
              <w:left w:val="single" w:sz="2" w:space="0" w:color="auto"/>
              <w:bottom w:val="single" w:sz="2" w:space="0" w:color="auto"/>
              <w:right w:val="single" w:sz="2" w:space="0" w:color="auto"/>
            </w:tcBorders>
          </w:tcPr>
          <w:p w14:paraId="0F2245B6" w14:textId="77777777" w:rsidR="009F4766" w:rsidRPr="00DE12A3" w:rsidRDefault="009F4766" w:rsidP="00C917D6">
            <w:pPr>
              <w:pStyle w:val="NormalLeft"/>
              <w:rPr>
                <w:sz w:val="14"/>
                <w:szCs w:val="14"/>
              </w:rPr>
            </w:pPr>
            <w:r w:rsidRPr="00DE12A3">
              <w:rPr>
                <w:sz w:val="14"/>
                <w:szCs w:val="14"/>
              </w:rPr>
              <w:t>1,774</w:t>
            </w:r>
          </w:p>
        </w:tc>
        <w:tc>
          <w:tcPr>
            <w:tcW w:w="464" w:type="dxa"/>
            <w:tcBorders>
              <w:top w:val="single" w:sz="2" w:space="0" w:color="auto"/>
              <w:left w:val="single" w:sz="2" w:space="0" w:color="auto"/>
              <w:bottom w:val="single" w:sz="2" w:space="0" w:color="auto"/>
              <w:right w:val="single" w:sz="2" w:space="0" w:color="auto"/>
            </w:tcBorders>
          </w:tcPr>
          <w:p w14:paraId="30D91BAE" w14:textId="77777777" w:rsidR="009F4766" w:rsidRPr="00DE12A3" w:rsidRDefault="009F4766" w:rsidP="00C917D6">
            <w:pPr>
              <w:pStyle w:val="NormalLeft"/>
              <w:rPr>
                <w:sz w:val="14"/>
                <w:szCs w:val="14"/>
              </w:rPr>
            </w:pPr>
            <w:r w:rsidRPr="00DE12A3">
              <w:rPr>
                <w:sz w:val="14"/>
                <w:szCs w:val="14"/>
              </w:rPr>
              <w:t>1,717</w:t>
            </w:r>
          </w:p>
        </w:tc>
        <w:tc>
          <w:tcPr>
            <w:tcW w:w="465" w:type="dxa"/>
            <w:tcBorders>
              <w:top w:val="single" w:sz="2" w:space="0" w:color="auto"/>
              <w:left w:val="single" w:sz="2" w:space="0" w:color="auto"/>
              <w:bottom w:val="single" w:sz="2" w:space="0" w:color="auto"/>
              <w:right w:val="single" w:sz="2" w:space="0" w:color="auto"/>
            </w:tcBorders>
          </w:tcPr>
          <w:p w14:paraId="14079D68" w14:textId="77777777" w:rsidR="009F4766" w:rsidRPr="00DE12A3" w:rsidRDefault="009F4766" w:rsidP="00C917D6">
            <w:pPr>
              <w:pStyle w:val="NormalLeft"/>
              <w:rPr>
                <w:sz w:val="14"/>
                <w:szCs w:val="14"/>
              </w:rPr>
            </w:pPr>
            <w:r w:rsidRPr="00DE12A3">
              <w:rPr>
                <w:sz w:val="14"/>
                <w:szCs w:val="14"/>
              </w:rPr>
              <w:t>1,670</w:t>
            </w:r>
          </w:p>
        </w:tc>
        <w:tc>
          <w:tcPr>
            <w:tcW w:w="464" w:type="dxa"/>
            <w:tcBorders>
              <w:top w:val="single" w:sz="2" w:space="0" w:color="auto"/>
              <w:left w:val="single" w:sz="2" w:space="0" w:color="auto"/>
              <w:bottom w:val="single" w:sz="2" w:space="0" w:color="auto"/>
              <w:right w:val="single" w:sz="2" w:space="0" w:color="auto"/>
            </w:tcBorders>
          </w:tcPr>
          <w:p w14:paraId="032E654B" w14:textId="77777777" w:rsidR="009F4766" w:rsidRPr="00DE12A3" w:rsidRDefault="009F4766" w:rsidP="00C917D6">
            <w:pPr>
              <w:pStyle w:val="NormalLeft"/>
              <w:rPr>
                <w:sz w:val="14"/>
                <w:szCs w:val="14"/>
              </w:rPr>
            </w:pPr>
            <w:r w:rsidRPr="00DE12A3">
              <w:rPr>
                <w:sz w:val="14"/>
                <w:szCs w:val="14"/>
              </w:rPr>
              <w:t>1,632</w:t>
            </w:r>
          </w:p>
        </w:tc>
        <w:tc>
          <w:tcPr>
            <w:tcW w:w="464" w:type="dxa"/>
            <w:tcBorders>
              <w:top w:val="single" w:sz="2" w:space="0" w:color="auto"/>
              <w:left w:val="single" w:sz="2" w:space="0" w:color="auto"/>
              <w:bottom w:val="single" w:sz="2" w:space="0" w:color="auto"/>
              <w:right w:val="single" w:sz="2" w:space="0" w:color="auto"/>
            </w:tcBorders>
          </w:tcPr>
          <w:p w14:paraId="25F09ECD" w14:textId="77777777" w:rsidR="009F4766" w:rsidRPr="00DE12A3" w:rsidRDefault="009F4766" w:rsidP="00C917D6">
            <w:pPr>
              <w:pStyle w:val="NormalLeft"/>
              <w:rPr>
                <w:sz w:val="14"/>
                <w:szCs w:val="14"/>
              </w:rPr>
            </w:pPr>
            <w:r w:rsidRPr="00DE12A3">
              <w:rPr>
                <w:sz w:val="14"/>
                <w:szCs w:val="14"/>
              </w:rPr>
              <w:t>1,599</w:t>
            </w:r>
          </w:p>
        </w:tc>
        <w:tc>
          <w:tcPr>
            <w:tcW w:w="465" w:type="dxa"/>
            <w:tcBorders>
              <w:top w:val="single" w:sz="2" w:space="0" w:color="auto"/>
              <w:left w:val="single" w:sz="2" w:space="0" w:color="auto"/>
              <w:bottom w:val="single" w:sz="2" w:space="0" w:color="auto"/>
              <w:right w:val="single" w:sz="2" w:space="0" w:color="auto"/>
            </w:tcBorders>
          </w:tcPr>
          <w:p w14:paraId="1B08ECED" w14:textId="77777777" w:rsidR="009F4766" w:rsidRPr="00DE12A3" w:rsidRDefault="009F4766" w:rsidP="00C917D6">
            <w:pPr>
              <w:pStyle w:val="NormalLeft"/>
              <w:rPr>
                <w:sz w:val="14"/>
                <w:szCs w:val="14"/>
              </w:rPr>
            </w:pPr>
            <w:r w:rsidRPr="00DE12A3">
              <w:rPr>
                <w:sz w:val="14"/>
                <w:szCs w:val="14"/>
              </w:rPr>
              <w:t>1,546</w:t>
            </w:r>
          </w:p>
        </w:tc>
        <w:tc>
          <w:tcPr>
            <w:tcW w:w="464" w:type="dxa"/>
            <w:tcBorders>
              <w:top w:val="single" w:sz="2" w:space="0" w:color="auto"/>
              <w:left w:val="single" w:sz="2" w:space="0" w:color="auto"/>
              <w:bottom w:val="single" w:sz="2" w:space="0" w:color="auto"/>
              <w:right w:val="single" w:sz="2" w:space="0" w:color="auto"/>
            </w:tcBorders>
          </w:tcPr>
          <w:p w14:paraId="40761165" w14:textId="77777777" w:rsidR="009F4766" w:rsidRPr="00DE12A3" w:rsidRDefault="009F4766" w:rsidP="00C917D6">
            <w:pPr>
              <w:pStyle w:val="NormalLeft"/>
              <w:rPr>
                <w:sz w:val="14"/>
                <w:szCs w:val="14"/>
              </w:rPr>
            </w:pPr>
            <w:r w:rsidRPr="00DE12A3">
              <w:rPr>
                <w:sz w:val="14"/>
                <w:szCs w:val="14"/>
              </w:rPr>
              <w:t>1,487</w:t>
            </w:r>
          </w:p>
        </w:tc>
        <w:tc>
          <w:tcPr>
            <w:tcW w:w="464" w:type="dxa"/>
            <w:tcBorders>
              <w:top w:val="single" w:sz="2" w:space="0" w:color="auto"/>
              <w:left w:val="single" w:sz="2" w:space="0" w:color="auto"/>
              <w:bottom w:val="single" w:sz="2" w:space="0" w:color="auto"/>
              <w:right w:val="single" w:sz="2" w:space="0" w:color="auto"/>
            </w:tcBorders>
          </w:tcPr>
          <w:p w14:paraId="0C862C9B" w14:textId="77777777" w:rsidR="009F4766" w:rsidRPr="00DE12A3" w:rsidRDefault="009F4766" w:rsidP="00C917D6">
            <w:pPr>
              <w:pStyle w:val="NormalLeft"/>
              <w:rPr>
                <w:sz w:val="14"/>
                <w:szCs w:val="14"/>
              </w:rPr>
            </w:pPr>
            <w:r w:rsidRPr="00DE12A3">
              <w:rPr>
                <w:sz w:val="14"/>
                <w:szCs w:val="14"/>
              </w:rPr>
              <w:t>1,421</w:t>
            </w:r>
          </w:p>
        </w:tc>
        <w:tc>
          <w:tcPr>
            <w:tcW w:w="465" w:type="dxa"/>
            <w:tcBorders>
              <w:top w:val="single" w:sz="2" w:space="0" w:color="auto"/>
              <w:left w:val="single" w:sz="2" w:space="0" w:color="auto"/>
              <w:bottom w:val="single" w:sz="2" w:space="0" w:color="auto"/>
              <w:right w:val="single" w:sz="2" w:space="0" w:color="auto"/>
            </w:tcBorders>
          </w:tcPr>
          <w:p w14:paraId="1269F2C7" w14:textId="77777777" w:rsidR="009F4766" w:rsidRPr="00DE12A3" w:rsidRDefault="009F4766" w:rsidP="00C917D6">
            <w:pPr>
              <w:pStyle w:val="NormalLeft"/>
              <w:rPr>
                <w:sz w:val="14"/>
                <w:szCs w:val="14"/>
              </w:rPr>
            </w:pPr>
            <w:r w:rsidRPr="00DE12A3">
              <w:rPr>
                <w:sz w:val="14"/>
                <w:szCs w:val="14"/>
              </w:rPr>
              <w:t>1,383</w:t>
            </w:r>
          </w:p>
        </w:tc>
        <w:tc>
          <w:tcPr>
            <w:tcW w:w="464" w:type="dxa"/>
            <w:tcBorders>
              <w:top w:val="single" w:sz="2" w:space="0" w:color="auto"/>
              <w:left w:val="single" w:sz="2" w:space="0" w:color="auto"/>
              <w:bottom w:val="single" w:sz="2" w:space="0" w:color="auto"/>
              <w:right w:val="single" w:sz="2" w:space="0" w:color="auto"/>
            </w:tcBorders>
          </w:tcPr>
          <w:p w14:paraId="0593862D" w14:textId="77777777" w:rsidR="009F4766" w:rsidRPr="00DE12A3" w:rsidRDefault="009F4766" w:rsidP="00C917D6">
            <w:pPr>
              <w:pStyle w:val="NormalLeft"/>
              <w:rPr>
                <w:sz w:val="14"/>
                <w:szCs w:val="14"/>
              </w:rPr>
            </w:pPr>
            <w:r w:rsidRPr="00DE12A3">
              <w:rPr>
                <w:sz w:val="14"/>
                <w:szCs w:val="14"/>
              </w:rPr>
              <w:t>1,342</w:t>
            </w:r>
          </w:p>
        </w:tc>
        <w:tc>
          <w:tcPr>
            <w:tcW w:w="464" w:type="dxa"/>
            <w:tcBorders>
              <w:top w:val="single" w:sz="2" w:space="0" w:color="auto"/>
              <w:left w:val="single" w:sz="2" w:space="0" w:color="auto"/>
              <w:bottom w:val="single" w:sz="2" w:space="0" w:color="auto"/>
              <w:right w:val="single" w:sz="2" w:space="0" w:color="auto"/>
            </w:tcBorders>
          </w:tcPr>
          <w:p w14:paraId="078F2393" w14:textId="77777777" w:rsidR="009F4766" w:rsidRPr="00DE12A3" w:rsidRDefault="009F4766" w:rsidP="00C917D6">
            <w:pPr>
              <w:pStyle w:val="NormalLeft"/>
              <w:rPr>
                <w:sz w:val="14"/>
                <w:szCs w:val="14"/>
              </w:rPr>
            </w:pPr>
            <w:r w:rsidRPr="00DE12A3">
              <w:rPr>
                <w:sz w:val="14"/>
                <w:szCs w:val="14"/>
              </w:rPr>
              <w:t>1,295</w:t>
            </w:r>
          </w:p>
        </w:tc>
        <w:tc>
          <w:tcPr>
            <w:tcW w:w="464" w:type="dxa"/>
            <w:tcBorders>
              <w:top w:val="single" w:sz="2" w:space="0" w:color="auto"/>
              <w:left w:val="single" w:sz="2" w:space="0" w:color="auto"/>
              <w:bottom w:val="single" w:sz="2" w:space="0" w:color="auto"/>
              <w:right w:val="single" w:sz="2" w:space="0" w:color="auto"/>
            </w:tcBorders>
          </w:tcPr>
          <w:p w14:paraId="19546CDC" w14:textId="77777777" w:rsidR="009F4766" w:rsidRPr="00DE12A3" w:rsidRDefault="009F4766" w:rsidP="00C917D6">
            <w:pPr>
              <w:pStyle w:val="NormalLeft"/>
              <w:rPr>
                <w:sz w:val="14"/>
                <w:szCs w:val="14"/>
              </w:rPr>
            </w:pPr>
            <w:r w:rsidRPr="00DE12A3">
              <w:rPr>
                <w:sz w:val="14"/>
                <w:szCs w:val="14"/>
              </w:rPr>
              <w:t>1,240</w:t>
            </w:r>
          </w:p>
        </w:tc>
        <w:tc>
          <w:tcPr>
            <w:tcW w:w="465" w:type="dxa"/>
            <w:tcBorders>
              <w:top w:val="single" w:sz="2" w:space="0" w:color="auto"/>
              <w:left w:val="single" w:sz="2" w:space="0" w:color="auto"/>
              <w:bottom w:val="single" w:sz="2" w:space="0" w:color="auto"/>
              <w:right w:val="single" w:sz="2" w:space="0" w:color="auto"/>
            </w:tcBorders>
          </w:tcPr>
          <w:p w14:paraId="56E0FF13" w14:textId="77777777" w:rsidR="009F4766" w:rsidRPr="00DE12A3" w:rsidRDefault="009F4766" w:rsidP="00C917D6">
            <w:pPr>
              <w:pStyle w:val="NormalLeft"/>
              <w:rPr>
                <w:sz w:val="14"/>
                <w:szCs w:val="14"/>
              </w:rPr>
            </w:pPr>
            <w:r w:rsidRPr="00DE12A3">
              <w:rPr>
                <w:sz w:val="14"/>
                <w:szCs w:val="14"/>
              </w:rPr>
              <w:t>1,169</w:t>
            </w:r>
          </w:p>
        </w:tc>
        <w:tc>
          <w:tcPr>
            <w:tcW w:w="464" w:type="dxa"/>
            <w:tcBorders>
              <w:top w:val="single" w:sz="2" w:space="0" w:color="auto"/>
              <w:left w:val="single" w:sz="2" w:space="0" w:color="auto"/>
              <w:bottom w:val="single" w:sz="2" w:space="0" w:color="auto"/>
              <w:right w:val="single" w:sz="2" w:space="0" w:color="auto"/>
            </w:tcBorders>
          </w:tcPr>
          <w:p w14:paraId="10A65CDD" w14:textId="77777777" w:rsidR="009F4766" w:rsidRPr="00DE12A3" w:rsidRDefault="009F4766" w:rsidP="00C917D6">
            <w:pPr>
              <w:pStyle w:val="NormalLeft"/>
              <w:rPr>
                <w:sz w:val="14"/>
                <w:szCs w:val="14"/>
              </w:rPr>
            </w:pPr>
            <w:r w:rsidRPr="00DE12A3">
              <w:rPr>
                <w:sz w:val="14"/>
                <w:szCs w:val="14"/>
              </w:rPr>
              <w:t>1,000</w:t>
            </w:r>
          </w:p>
        </w:tc>
      </w:tr>
    </w:tbl>
    <w:p w14:paraId="509E70AA" w14:textId="0A83CBEE" w:rsidR="009F4766" w:rsidRPr="00DE12A3" w:rsidRDefault="009F4766" w:rsidP="00C917D6">
      <w:pPr>
        <w:spacing w:before="120" w:after="120"/>
        <w:rPr>
          <w:rFonts w:cs="Times New Roman"/>
          <w:color w:val="auto"/>
        </w:rPr>
      </w:pPr>
    </w:p>
    <w:p w14:paraId="7D331B49" w14:textId="2CAAB7B5" w:rsidR="004E09D1" w:rsidRPr="00DE12A3" w:rsidRDefault="004E09D1" w:rsidP="00C917D6">
      <w:pPr>
        <w:spacing w:before="120" w:after="120"/>
        <w:rPr>
          <w:rFonts w:cs="Times New Roman"/>
          <w:color w:val="auto"/>
        </w:rPr>
      </w:pPr>
    </w:p>
    <w:p w14:paraId="2C565BB8" w14:textId="278371AE" w:rsidR="004E09D1" w:rsidRPr="00DE12A3" w:rsidRDefault="004E09D1" w:rsidP="004E09D1">
      <w:pPr>
        <w:spacing w:before="120" w:after="120"/>
        <w:jc w:val="center"/>
        <w:rPr>
          <w:iCs/>
          <w:color w:val="auto"/>
        </w:rPr>
      </w:pPr>
      <w:r w:rsidRPr="00DE12A3">
        <w:rPr>
          <w:iCs/>
          <w:color w:val="auto"/>
        </w:rPr>
        <w:t>Tablo 7.10</w:t>
      </w:r>
    </w:p>
    <w:p w14:paraId="78ACF8EC" w14:textId="5BA13232" w:rsidR="004E09D1" w:rsidRPr="00DE12A3" w:rsidRDefault="004E09D1" w:rsidP="004E09D1">
      <w:pPr>
        <w:spacing w:before="120" w:after="120"/>
        <w:jc w:val="center"/>
        <w:rPr>
          <w:rFonts w:cs="Times New Roman"/>
          <w:color w:val="auto"/>
        </w:rPr>
      </w:pPr>
      <w:r w:rsidRPr="00DE12A3">
        <w:rPr>
          <w:b/>
          <w:iCs/>
          <w:color w:val="auto"/>
        </w:rPr>
        <w:t>Yüzde 95 güven aralığında, N - 1 ve N</w:t>
      </w:r>
      <w:r w:rsidRPr="00DE12A3">
        <w:rPr>
          <w:b/>
          <w:iCs/>
          <w:color w:val="auto"/>
          <w:vertAlign w:val="subscript"/>
        </w:rPr>
        <w:t>ref – 1</w:t>
      </w:r>
      <w:r w:rsidRPr="00DE12A3">
        <w:rPr>
          <w:b/>
          <w:iCs/>
          <w:color w:val="auto"/>
        </w:rPr>
        <w:t>’e göre kritik F değerleri, F</w:t>
      </w:r>
      <w:r w:rsidRPr="00DE12A3">
        <w:rPr>
          <w:b/>
          <w:iCs/>
          <w:color w:val="auto"/>
          <w:vertAlign w:val="subscript"/>
        </w:rPr>
        <w:t>crit95</w:t>
      </w:r>
    </w:p>
    <w:tbl>
      <w:tblPr>
        <w:tblW w:w="0" w:type="auto"/>
        <w:tblLayout w:type="fixed"/>
        <w:tblLook w:val="0000" w:firstRow="0" w:lastRow="0" w:firstColumn="0" w:lastColumn="0" w:noHBand="0" w:noVBand="0"/>
      </w:tblPr>
      <w:tblGrid>
        <w:gridCol w:w="464"/>
        <w:gridCol w:w="465"/>
        <w:gridCol w:w="464"/>
        <w:gridCol w:w="464"/>
        <w:gridCol w:w="465"/>
        <w:gridCol w:w="464"/>
        <w:gridCol w:w="464"/>
        <w:gridCol w:w="464"/>
        <w:gridCol w:w="465"/>
        <w:gridCol w:w="464"/>
        <w:gridCol w:w="464"/>
        <w:gridCol w:w="465"/>
        <w:gridCol w:w="464"/>
        <w:gridCol w:w="464"/>
        <w:gridCol w:w="465"/>
        <w:gridCol w:w="464"/>
        <w:gridCol w:w="464"/>
        <w:gridCol w:w="464"/>
        <w:gridCol w:w="465"/>
        <w:gridCol w:w="464"/>
      </w:tblGrid>
      <w:tr w:rsidR="00DE12A3" w:rsidRPr="00DE12A3" w14:paraId="1651C9A2" w14:textId="77777777" w:rsidTr="009F4766">
        <w:tc>
          <w:tcPr>
            <w:tcW w:w="464" w:type="dxa"/>
            <w:tcBorders>
              <w:top w:val="single" w:sz="2" w:space="0" w:color="auto"/>
              <w:left w:val="single" w:sz="2" w:space="0" w:color="auto"/>
              <w:bottom w:val="single" w:sz="2" w:space="0" w:color="auto"/>
              <w:right w:val="single" w:sz="2" w:space="0" w:color="auto"/>
            </w:tcBorders>
          </w:tcPr>
          <w:p w14:paraId="33DC0F27" w14:textId="77777777" w:rsidR="009F4766" w:rsidRPr="00DE12A3" w:rsidRDefault="009F4766" w:rsidP="00C917D6">
            <w:pPr>
              <w:pStyle w:val="NormalCentered"/>
              <w:rPr>
                <w:sz w:val="14"/>
                <w:szCs w:val="14"/>
              </w:rPr>
            </w:pPr>
            <w:r w:rsidRPr="00DE12A3">
              <w:rPr>
                <w:i/>
                <w:iCs/>
                <w:sz w:val="14"/>
                <w:szCs w:val="14"/>
              </w:rPr>
              <w:t>N</w:t>
            </w:r>
            <w:r w:rsidRPr="00DE12A3">
              <w:rPr>
                <w:sz w:val="14"/>
                <w:szCs w:val="14"/>
              </w:rPr>
              <w:t xml:space="preserve"> – 1</w:t>
            </w:r>
          </w:p>
        </w:tc>
        <w:tc>
          <w:tcPr>
            <w:tcW w:w="465" w:type="dxa"/>
            <w:tcBorders>
              <w:top w:val="single" w:sz="2" w:space="0" w:color="auto"/>
              <w:left w:val="single" w:sz="2" w:space="0" w:color="auto"/>
              <w:bottom w:val="single" w:sz="2" w:space="0" w:color="auto"/>
              <w:right w:val="single" w:sz="2" w:space="0" w:color="auto"/>
            </w:tcBorders>
          </w:tcPr>
          <w:p w14:paraId="1C3E13ED" w14:textId="77777777" w:rsidR="009F4766" w:rsidRPr="00DE12A3" w:rsidRDefault="009F4766" w:rsidP="00C917D6">
            <w:pPr>
              <w:pStyle w:val="NormalCentered"/>
              <w:rPr>
                <w:sz w:val="14"/>
                <w:szCs w:val="14"/>
              </w:rPr>
            </w:pPr>
            <w:r w:rsidRPr="00DE12A3">
              <w:rPr>
                <w:sz w:val="14"/>
                <w:szCs w:val="14"/>
              </w:rPr>
              <w:t>1</w:t>
            </w:r>
          </w:p>
        </w:tc>
        <w:tc>
          <w:tcPr>
            <w:tcW w:w="464" w:type="dxa"/>
            <w:tcBorders>
              <w:top w:val="single" w:sz="2" w:space="0" w:color="auto"/>
              <w:left w:val="single" w:sz="2" w:space="0" w:color="auto"/>
              <w:bottom w:val="single" w:sz="2" w:space="0" w:color="auto"/>
              <w:right w:val="single" w:sz="2" w:space="0" w:color="auto"/>
            </w:tcBorders>
          </w:tcPr>
          <w:p w14:paraId="148F2CE3" w14:textId="77777777" w:rsidR="009F4766" w:rsidRPr="00DE12A3" w:rsidRDefault="009F4766" w:rsidP="00C917D6">
            <w:pPr>
              <w:pStyle w:val="NormalCentered"/>
              <w:rPr>
                <w:sz w:val="14"/>
                <w:szCs w:val="14"/>
              </w:rPr>
            </w:pPr>
            <w:r w:rsidRPr="00DE12A3">
              <w:rPr>
                <w:sz w:val="14"/>
                <w:szCs w:val="14"/>
              </w:rPr>
              <w:t>2</w:t>
            </w:r>
          </w:p>
        </w:tc>
        <w:tc>
          <w:tcPr>
            <w:tcW w:w="464" w:type="dxa"/>
            <w:tcBorders>
              <w:top w:val="single" w:sz="2" w:space="0" w:color="auto"/>
              <w:left w:val="single" w:sz="2" w:space="0" w:color="auto"/>
              <w:bottom w:val="single" w:sz="2" w:space="0" w:color="auto"/>
              <w:right w:val="single" w:sz="2" w:space="0" w:color="auto"/>
            </w:tcBorders>
          </w:tcPr>
          <w:p w14:paraId="53B9C65F" w14:textId="77777777" w:rsidR="009F4766" w:rsidRPr="00DE12A3" w:rsidRDefault="009F4766" w:rsidP="00C917D6">
            <w:pPr>
              <w:pStyle w:val="NormalCentered"/>
              <w:rPr>
                <w:sz w:val="14"/>
                <w:szCs w:val="14"/>
              </w:rPr>
            </w:pPr>
            <w:r w:rsidRPr="00DE12A3">
              <w:rPr>
                <w:sz w:val="14"/>
                <w:szCs w:val="14"/>
              </w:rPr>
              <w:t>3</w:t>
            </w:r>
          </w:p>
        </w:tc>
        <w:tc>
          <w:tcPr>
            <w:tcW w:w="465" w:type="dxa"/>
            <w:tcBorders>
              <w:top w:val="single" w:sz="2" w:space="0" w:color="auto"/>
              <w:left w:val="single" w:sz="2" w:space="0" w:color="auto"/>
              <w:bottom w:val="single" w:sz="2" w:space="0" w:color="auto"/>
              <w:right w:val="single" w:sz="2" w:space="0" w:color="auto"/>
            </w:tcBorders>
          </w:tcPr>
          <w:p w14:paraId="18FC1669" w14:textId="77777777" w:rsidR="009F4766" w:rsidRPr="00DE12A3" w:rsidRDefault="009F4766" w:rsidP="00C917D6">
            <w:pPr>
              <w:pStyle w:val="NormalCentered"/>
              <w:rPr>
                <w:sz w:val="14"/>
                <w:szCs w:val="14"/>
              </w:rPr>
            </w:pPr>
            <w:r w:rsidRPr="00DE12A3">
              <w:rPr>
                <w:sz w:val="14"/>
                <w:szCs w:val="14"/>
              </w:rPr>
              <w:t>4</w:t>
            </w:r>
          </w:p>
        </w:tc>
        <w:tc>
          <w:tcPr>
            <w:tcW w:w="464" w:type="dxa"/>
            <w:tcBorders>
              <w:top w:val="single" w:sz="2" w:space="0" w:color="auto"/>
              <w:left w:val="single" w:sz="2" w:space="0" w:color="auto"/>
              <w:bottom w:val="single" w:sz="2" w:space="0" w:color="auto"/>
              <w:right w:val="single" w:sz="2" w:space="0" w:color="auto"/>
            </w:tcBorders>
          </w:tcPr>
          <w:p w14:paraId="19F48334" w14:textId="77777777" w:rsidR="009F4766" w:rsidRPr="00DE12A3" w:rsidRDefault="009F4766" w:rsidP="00C917D6">
            <w:pPr>
              <w:pStyle w:val="NormalCentered"/>
              <w:rPr>
                <w:sz w:val="14"/>
                <w:szCs w:val="14"/>
              </w:rPr>
            </w:pPr>
            <w:r w:rsidRPr="00DE12A3">
              <w:rPr>
                <w:sz w:val="14"/>
                <w:szCs w:val="14"/>
              </w:rPr>
              <w:t>5</w:t>
            </w:r>
          </w:p>
        </w:tc>
        <w:tc>
          <w:tcPr>
            <w:tcW w:w="464" w:type="dxa"/>
            <w:tcBorders>
              <w:top w:val="single" w:sz="2" w:space="0" w:color="auto"/>
              <w:left w:val="single" w:sz="2" w:space="0" w:color="auto"/>
              <w:bottom w:val="single" w:sz="2" w:space="0" w:color="auto"/>
              <w:right w:val="single" w:sz="2" w:space="0" w:color="auto"/>
            </w:tcBorders>
          </w:tcPr>
          <w:p w14:paraId="545A1930" w14:textId="77777777" w:rsidR="009F4766" w:rsidRPr="00DE12A3" w:rsidRDefault="009F4766" w:rsidP="00C917D6">
            <w:pPr>
              <w:pStyle w:val="NormalCentered"/>
              <w:rPr>
                <w:sz w:val="14"/>
                <w:szCs w:val="14"/>
              </w:rPr>
            </w:pPr>
            <w:r w:rsidRPr="00DE12A3">
              <w:rPr>
                <w:sz w:val="14"/>
                <w:szCs w:val="14"/>
              </w:rPr>
              <w:t>6</w:t>
            </w:r>
          </w:p>
        </w:tc>
        <w:tc>
          <w:tcPr>
            <w:tcW w:w="464" w:type="dxa"/>
            <w:tcBorders>
              <w:top w:val="single" w:sz="2" w:space="0" w:color="auto"/>
              <w:left w:val="single" w:sz="2" w:space="0" w:color="auto"/>
              <w:bottom w:val="single" w:sz="2" w:space="0" w:color="auto"/>
              <w:right w:val="single" w:sz="2" w:space="0" w:color="auto"/>
            </w:tcBorders>
          </w:tcPr>
          <w:p w14:paraId="1F85223A" w14:textId="77777777" w:rsidR="009F4766" w:rsidRPr="00DE12A3" w:rsidRDefault="009F4766" w:rsidP="00C917D6">
            <w:pPr>
              <w:pStyle w:val="NormalCentered"/>
              <w:rPr>
                <w:sz w:val="14"/>
                <w:szCs w:val="14"/>
              </w:rPr>
            </w:pPr>
            <w:r w:rsidRPr="00DE12A3">
              <w:rPr>
                <w:sz w:val="14"/>
                <w:szCs w:val="14"/>
              </w:rPr>
              <w:t>7</w:t>
            </w:r>
          </w:p>
        </w:tc>
        <w:tc>
          <w:tcPr>
            <w:tcW w:w="465" w:type="dxa"/>
            <w:tcBorders>
              <w:top w:val="single" w:sz="2" w:space="0" w:color="auto"/>
              <w:left w:val="single" w:sz="2" w:space="0" w:color="auto"/>
              <w:bottom w:val="single" w:sz="2" w:space="0" w:color="auto"/>
              <w:right w:val="single" w:sz="2" w:space="0" w:color="auto"/>
            </w:tcBorders>
          </w:tcPr>
          <w:p w14:paraId="517ED21A" w14:textId="77777777" w:rsidR="009F4766" w:rsidRPr="00DE12A3" w:rsidRDefault="009F4766" w:rsidP="00C917D6">
            <w:pPr>
              <w:pStyle w:val="NormalCentered"/>
              <w:rPr>
                <w:sz w:val="14"/>
                <w:szCs w:val="14"/>
              </w:rPr>
            </w:pPr>
            <w:r w:rsidRPr="00DE12A3">
              <w:rPr>
                <w:sz w:val="14"/>
                <w:szCs w:val="14"/>
              </w:rPr>
              <w:t>8</w:t>
            </w:r>
          </w:p>
        </w:tc>
        <w:tc>
          <w:tcPr>
            <w:tcW w:w="464" w:type="dxa"/>
            <w:tcBorders>
              <w:top w:val="single" w:sz="2" w:space="0" w:color="auto"/>
              <w:left w:val="single" w:sz="2" w:space="0" w:color="auto"/>
              <w:bottom w:val="single" w:sz="2" w:space="0" w:color="auto"/>
              <w:right w:val="single" w:sz="2" w:space="0" w:color="auto"/>
            </w:tcBorders>
          </w:tcPr>
          <w:p w14:paraId="094F10C8" w14:textId="77777777" w:rsidR="009F4766" w:rsidRPr="00DE12A3" w:rsidRDefault="009F4766" w:rsidP="00C917D6">
            <w:pPr>
              <w:pStyle w:val="NormalCentered"/>
              <w:rPr>
                <w:sz w:val="14"/>
                <w:szCs w:val="14"/>
              </w:rPr>
            </w:pPr>
            <w:r w:rsidRPr="00DE12A3">
              <w:rPr>
                <w:sz w:val="14"/>
                <w:szCs w:val="14"/>
              </w:rPr>
              <w:t>9</w:t>
            </w:r>
          </w:p>
        </w:tc>
        <w:tc>
          <w:tcPr>
            <w:tcW w:w="464" w:type="dxa"/>
            <w:tcBorders>
              <w:top w:val="single" w:sz="2" w:space="0" w:color="auto"/>
              <w:left w:val="single" w:sz="2" w:space="0" w:color="auto"/>
              <w:bottom w:val="single" w:sz="2" w:space="0" w:color="auto"/>
              <w:right w:val="single" w:sz="2" w:space="0" w:color="auto"/>
            </w:tcBorders>
          </w:tcPr>
          <w:p w14:paraId="39437A42" w14:textId="77777777" w:rsidR="009F4766" w:rsidRPr="00DE12A3" w:rsidRDefault="009F4766" w:rsidP="00C917D6">
            <w:pPr>
              <w:pStyle w:val="NormalCentered"/>
              <w:rPr>
                <w:sz w:val="14"/>
                <w:szCs w:val="14"/>
              </w:rPr>
            </w:pPr>
            <w:r w:rsidRPr="00DE12A3">
              <w:rPr>
                <w:sz w:val="14"/>
                <w:szCs w:val="14"/>
              </w:rPr>
              <w:t>10</w:t>
            </w:r>
          </w:p>
        </w:tc>
        <w:tc>
          <w:tcPr>
            <w:tcW w:w="465" w:type="dxa"/>
            <w:tcBorders>
              <w:top w:val="single" w:sz="2" w:space="0" w:color="auto"/>
              <w:left w:val="single" w:sz="2" w:space="0" w:color="auto"/>
              <w:bottom w:val="single" w:sz="2" w:space="0" w:color="auto"/>
              <w:right w:val="single" w:sz="2" w:space="0" w:color="auto"/>
            </w:tcBorders>
          </w:tcPr>
          <w:p w14:paraId="6CB61941" w14:textId="77777777" w:rsidR="009F4766" w:rsidRPr="00DE12A3" w:rsidRDefault="009F4766" w:rsidP="00C917D6">
            <w:pPr>
              <w:pStyle w:val="NormalCentered"/>
              <w:rPr>
                <w:sz w:val="14"/>
                <w:szCs w:val="14"/>
              </w:rPr>
            </w:pPr>
            <w:r w:rsidRPr="00DE12A3">
              <w:rPr>
                <w:sz w:val="14"/>
                <w:szCs w:val="14"/>
              </w:rPr>
              <w:t>12</w:t>
            </w:r>
          </w:p>
        </w:tc>
        <w:tc>
          <w:tcPr>
            <w:tcW w:w="464" w:type="dxa"/>
            <w:tcBorders>
              <w:top w:val="single" w:sz="2" w:space="0" w:color="auto"/>
              <w:left w:val="single" w:sz="2" w:space="0" w:color="auto"/>
              <w:bottom w:val="single" w:sz="2" w:space="0" w:color="auto"/>
              <w:right w:val="single" w:sz="2" w:space="0" w:color="auto"/>
            </w:tcBorders>
          </w:tcPr>
          <w:p w14:paraId="20F3C64E" w14:textId="77777777" w:rsidR="009F4766" w:rsidRPr="00DE12A3" w:rsidRDefault="009F4766" w:rsidP="00C917D6">
            <w:pPr>
              <w:pStyle w:val="NormalCentered"/>
              <w:rPr>
                <w:sz w:val="14"/>
                <w:szCs w:val="14"/>
              </w:rPr>
            </w:pPr>
            <w:r w:rsidRPr="00DE12A3">
              <w:rPr>
                <w:sz w:val="14"/>
                <w:szCs w:val="14"/>
              </w:rPr>
              <w:t>15</w:t>
            </w:r>
          </w:p>
        </w:tc>
        <w:tc>
          <w:tcPr>
            <w:tcW w:w="464" w:type="dxa"/>
            <w:tcBorders>
              <w:top w:val="single" w:sz="2" w:space="0" w:color="auto"/>
              <w:left w:val="single" w:sz="2" w:space="0" w:color="auto"/>
              <w:bottom w:val="single" w:sz="2" w:space="0" w:color="auto"/>
              <w:right w:val="single" w:sz="2" w:space="0" w:color="auto"/>
            </w:tcBorders>
          </w:tcPr>
          <w:p w14:paraId="430B6332" w14:textId="77777777" w:rsidR="009F4766" w:rsidRPr="00DE12A3" w:rsidRDefault="009F4766" w:rsidP="00C917D6">
            <w:pPr>
              <w:pStyle w:val="NormalCentered"/>
              <w:rPr>
                <w:sz w:val="14"/>
                <w:szCs w:val="14"/>
              </w:rPr>
            </w:pPr>
            <w:r w:rsidRPr="00DE12A3">
              <w:rPr>
                <w:sz w:val="14"/>
                <w:szCs w:val="14"/>
              </w:rPr>
              <w:t>20</w:t>
            </w:r>
          </w:p>
        </w:tc>
        <w:tc>
          <w:tcPr>
            <w:tcW w:w="465" w:type="dxa"/>
            <w:tcBorders>
              <w:top w:val="single" w:sz="2" w:space="0" w:color="auto"/>
              <w:left w:val="single" w:sz="2" w:space="0" w:color="auto"/>
              <w:bottom w:val="single" w:sz="2" w:space="0" w:color="auto"/>
              <w:right w:val="single" w:sz="2" w:space="0" w:color="auto"/>
            </w:tcBorders>
          </w:tcPr>
          <w:p w14:paraId="26E94C3C" w14:textId="77777777" w:rsidR="009F4766" w:rsidRPr="00DE12A3" w:rsidRDefault="009F4766" w:rsidP="00C917D6">
            <w:pPr>
              <w:pStyle w:val="NormalCentered"/>
              <w:rPr>
                <w:sz w:val="14"/>
                <w:szCs w:val="14"/>
              </w:rPr>
            </w:pPr>
            <w:r w:rsidRPr="00DE12A3">
              <w:rPr>
                <w:sz w:val="14"/>
                <w:szCs w:val="14"/>
              </w:rPr>
              <w:t>24</w:t>
            </w:r>
          </w:p>
        </w:tc>
        <w:tc>
          <w:tcPr>
            <w:tcW w:w="464" w:type="dxa"/>
            <w:tcBorders>
              <w:top w:val="single" w:sz="2" w:space="0" w:color="auto"/>
              <w:left w:val="single" w:sz="2" w:space="0" w:color="auto"/>
              <w:bottom w:val="single" w:sz="2" w:space="0" w:color="auto"/>
              <w:right w:val="single" w:sz="2" w:space="0" w:color="auto"/>
            </w:tcBorders>
          </w:tcPr>
          <w:p w14:paraId="5F1E4FD2" w14:textId="77777777" w:rsidR="009F4766" w:rsidRPr="00DE12A3" w:rsidRDefault="009F4766" w:rsidP="00C917D6">
            <w:pPr>
              <w:pStyle w:val="NormalCentered"/>
              <w:rPr>
                <w:sz w:val="14"/>
                <w:szCs w:val="14"/>
              </w:rPr>
            </w:pPr>
            <w:r w:rsidRPr="00DE12A3">
              <w:rPr>
                <w:sz w:val="14"/>
                <w:szCs w:val="14"/>
              </w:rPr>
              <w:t>30</w:t>
            </w:r>
          </w:p>
        </w:tc>
        <w:tc>
          <w:tcPr>
            <w:tcW w:w="464" w:type="dxa"/>
            <w:tcBorders>
              <w:top w:val="single" w:sz="2" w:space="0" w:color="auto"/>
              <w:left w:val="single" w:sz="2" w:space="0" w:color="auto"/>
              <w:bottom w:val="single" w:sz="2" w:space="0" w:color="auto"/>
              <w:right w:val="single" w:sz="2" w:space="0" w:color="auto"/>
            </w:tcBorders>
          </w:tcPr>
          <w:p w14:paraId="28E903B5" w14:textId="77777777" w:rsidR="009F4766" w:rsidRPr="00DE12A3" w:rsidRDefault="009F4766" w:rsidP="00C917D6">
            <w:pPr>
              <w:pStyle w:val="NormalCentered"/>
              <w:rPr>
                <w:sz w:val="14"/>
                <w:szCs w:val="14"/>
              </w:rPr>
            </w:pPr>
            <w:r w:rsidRPr="00DE12A3">
              <w:rPr>
                <w:sz w:val="14"/>
                <w:szCs w:val="14"/>
              </w:rPr>
              <w:t>40</w:t>
            </w:r>
          </w:p>
        </w:tc>
        <w:tc>
          <w:tcPr>
            <w:tcW w:w="464" w:type="dxa"/>
            <w:tcBorders>
              <w:top w:val="single" w:sz="2" w:space="0" w:color="auto"/>
              <w:left w:val="single" w:sz="2" w:space="0" w:color="auto"/>
              <w:bottom w:val="single" w:sz="2" w:space="0" w:color="auto"/>
              <w:right w:val="single" w:sz="2" w:space="0" w:color="auto"/>
            </w:tcBorders>
          </w:tcPr>
          <w:p w14:paraId="0E3FF71F" w14:textId="77777777" w:rsidR="009F4766" w:rsidRPr="00DE12A3" w:rsidRDefault="009F4766" w:rsidP="00C917D6">
            <w:pPr>
              <w:pStyle w:val="NormalCentered"/>
              <w:rPr>
                <w:sz w:val="14"/>
                <w:szCs w:val="14"/>
              </w:rPr>
            </w:pPr>
            <w:r w:rsidRPr="00DE12A3">
              <w:rPr>
                <w:sz w:val="14"/>
                <w:szCs w:val="14"/>
              </w:rPr>
              <w:t>60</w:t>
            </w:r>
          </w:p>
        </w:tc>
        <w:tc>
          <w:tcPr>
            <w:tcW w:w="465" w:type="dxa"/>
            <w:tcBorders>
              <w:top w:val="single" w:sz="2" w:space="0" w:color="auto"/>
              <w:left w:val="single" w:sz="2" w:space="0" w:color="auto"/>
              <w:bottom w:val="single" w:sz="2" w:space="0" w:color="auto"/>
              <w:right w:val="single" w:sz="2" w:space="0" w:color="auto"/>
            </w:tcBorders>
          </w:tcPr>
          <w:p w14:paraId="46F814DC" w14:textId="77777777" w:rsidR="009F4766" w:rsidRPr="00DE12A3" w:rsidRDefault="009F4766" w:rsidP="00C917D6">
            <w:pPr>
              <w:pStyle w:val="NormalCentered"/>
              <w:rPr>
                <w:sz w:val="14"/>
                <w:szCs w:val="14"/>
              </w:rPr>
            </w:pPr>
            <w:r w:rsidRPr="00DE12A3">
              <w:rPr>
                <w:sz w:val="14"/>
                <w:szCs w:val="14"/>
              </w:rPr>
              <w:t>120</w:t>
            </w:r>
          </w:p>
        </w:tc>
        <w:tc>
          <w:tcPr>
            <w:tcW w:w="464" w:type="dxa"/>
            <w:tcBorders>
              <w:top w:val="single" w:sz="2" w:space="0" w:color="auto"/>
              <w:left w:val="single" w:sz="2" w:space="0" w:color="auto"/>
              <w:bottom w:val="single" w:sz="2" w:space="0" w:color="auto"/>
              <w:right w:val="single" w:sz="2" w:space="0" w:color="auto"/>
            </w:tcBorders>
          </w:tcPr>
          <w:p w14:paraId="36452965" w14:textId="77777777" w:rsidR="009F4766" w:rsidRPr="00DE12A3" w:rsidRDefault="009F4766" w:rsidP="00C917D6">
            <w:pPr>
              <w:pStyle w:val="NormalCentered"/>
              <w:rPr>
                <w:sz w:val="14"/>
                <w:szCs w:val="14"/>
              </w:rPr>
            </w:pPr>
            <w:r w:rsidRPr="00DE12A3">
              <w:rPr>
                <w:sz w:val="14"/>
                <w:szCs w:val="14"/>
              </w:rPr>
              <w:t>1000+</w:t>
            </w:r>
          </w:p>
        </w:tc>
      </w:tr>
      <w:tr w:rsidR="00DE12A3" w:rsidRPr="00DE12A3" w14:paraId="2C621FC5" w14:textId="77777777" w:rsidTr="009F4766">
        <w:tc>
          <w:tcPr>
            <w:tcW w:w="464" w:type="dxa"/>
            <w:tcBorders>
              <w:top w:val="single" w:sz="2" w:space="0" w:color="auto"/>
              <w:left w:val="single" w:sz="2" w:space="0" w:color="auto"/>
              <w:bottom w:val="single" w:sz="2" w:space="0" w:color="auto"/>
              <w:right w:val="single" w:sz="2" w:space="0" w:color="auto"/>
            </w:tcBorders>
          </w:tcPr>
          <w:p w14:paraId="5AB0F955" w14:textId="77777777" w:rsidR="009F4766" w:rsidRPr="00DE12A3" w:rsidRDefault="009F4766" w:rsidP="00C917D6">
            <w:pPr>
              <w:pStyle w:val="NormalLeft"/>
              <w:rPr>
                <w:sz w:val="14"/>
                <w:szCs w:val="14"/>
              </w:rPr>
            </w:pPr>
            <w:r w:rsidRPr="00DE12A3">
              <w:rPr>
                <w:i/>
                <w:iCs/>
                <w:sz w:val="14"/>
                <w:szCs w:val="14"/>
              </w:rPr>
              <w:t>N</w:t>
            </w:r>
            <w:r w:rsidRPr="00DE12A3">
              <w:rPr>
                <w:sz w:val="14"/>
                <w:szCs w:val="14"/>
                <w:vertAlign w:val="subscript"/>
              </w:rPr>
              <w:t>ref</w:t>
            </w:r>
            <w:r w:rsidRPr="00DE12A3">
              <w:rPr>
                <w:sz w:val="14"/>
                <w:szCs w:val="14"/>
              </w:rPr>
              <w:t xml:space="preserve"> – 1</w:t>
            </w:r>
          </w:p>
        </w:tc>
        <w:tc>
          <w:tcPr>
            <w:tcW w:w="465" w:type="dxa"/>
            <w:tcBorders>
              <w:top w:val="single" w:sz="2" w:space="0" w:color="auto"/>
              <w:left w:val="single" w:sz="2" w:space="0" w:color="auto"/>
              <w:bottom w:val="single" w:sz="2" w:space="0" w:color="auto"/>
              <w:right w:val="single" w:sz="2" w:space="0" w:color="auto"/>
            </w:tcBorders>
          </w:tcPr>
          <w:p w14:paraId="525A1588" w14:textId="77777777" w:rsidR="009F4766" w:rsidRPr="00DE12A3" w:rsidRDefault="009F4766" w:rsidP="00C917D6">
            <w:pPr>
              <w:pStyle w:val="NormalLeft"/>
              <w:rPr>
                <w:sz w:val="14"/>
                <w:szCs w:val="14"/>
              </w:rPr>
            </w:pPr>
          </w:p>
        </w:tc>
        <w:tc>
          <w:tcPr>
            <w:tcW w:w="464" w:type="dxa"/>
            <w:tcBorders>
              <w:top w:val="single" w:sz="2" w:space="0" w:color="auto"/>
              <w:left w:val="single" w:sz="2" w:space="0" w:color="auto"/>
              <w:bottom w:val="single" w:sz="2" w:space="0" w:color="auto"/>
              <w:right w:val="single" w:sz="2" w:space="0" w:color="auto"/>
            </w:tcBorders>
          </w:tcPr>
          <w:p w14:paraId="64F8F292" w14:textId="77777777" w:rsidR="009F4766" w:rsidRPr="00DE12A3" w:rsidRDefault="009F4766" w:rsidP="00C917D6">
            <w:pPr>
              <w:pStyle w:val="NormalLeft"/>
              <w:rPr>
                <w:sz w:val="14"/>
                <w:szCs w:val="14"/>
              </w:rPr>
            </w:pPr>
          </w:p>
        </w:tc>
        <w:tc>
          <w:tcPr>
            <w:tcW w:w="464" w:type="dxa"/>
            <w:tcBorders>
              <w:top w:val="single" w:sz="2" w:space="0" w:color="auto"/>
              <w:left w:val="single" w:sz="2" w:space="0" w:color="auto"/>
              <w:bottom w:val="single" w:sz="2" w:space="0" w:color="auto"/>
              <w:right w:val="single" w:sz="2" w:space="0" w:color="auto"/>
            </w:tcBorders>
          </w:tcPr>
          <w:p w14:paraId="3D7EC805" w14:textId="77777777" w:rsidR="009F4766" w:rsidRPr="00DE12A3" w:rsidRDefault="009F4766" w:rsidP="00C917D6">
            <w:pPr>
              <w:pStyle w:val="NormalLeft"/>
              <w:rPr>
                <w:sz w:val="14"/>
                <w:szCs w:val="14"/>
              </w:rPr>
            </w:pPr>
          </w:p>
        </w:tc>
        <w:tc>
          <w:tcPr>
            <w:tcW w:w="465" w:type="dxa"/>
            <w:tcBorders>
              <w:top w:val="single" w:sz="2" w:space="0" w:color="auto"/>
              <w:left w:val="single" w:sz="2" w:space="0" w:color="auto"/>
              <w:bottom w:val="single" w:sz="2" w:space="0" w:color="auto"/>
              <w:right w:val="single" w:sz="2" w:space="0" w:color="auto"/>
            </w:tcBorders>
          </w:tcPr>
          <w:p w14:paraId="43CC40C2" w14:textId="77777777" w:rsidR="009F4766" w:rsidRPr="00DE12A3" w:rsidRDefault="009F4766" w:rsidP="00C917D6">
            <w:pPr>
              <w:pStyle w:val="NormalLeft"/>
              <w:rPr>
                <w:sz w:val="14"/>
                <w:szCs w:val="14"/>
              </w:rPr>
            </w:pPr>
          </w:p>
        </w:tc>
        <w:tc>
          <w:tcPr>
            <w:tcW w:w="464" w:type="dxa"/>
            <w:tcBorders>
              <w:top w:val="single" w:sz="2" w:space="0" w:color="auto"/>
              <w:left w:val="single" w:sz="2" w:space="0" w:color="auto"/>
              <w:bottom w:val="single" w:sz="2" w:space="0" w:color="auto"/>
              <w:right w:val="single" w:sz="2" w:space="0" w:color="auto"/>
            </w:tcBorders>
          </w:tcPr>
          <w:p w14:paraId="0DDD1D42" w14:textId="77777777" w:rsidR="009F4766" w:rsidRPr="00DE12A3" w:rsidRDefault="009F4766" w:rsidP="00C917D6">
            <w:pPr>
              <w:pStyle w:val="NormalLeft"/>
              <w:rPr>
                <w:sz w:val="14"/>
                <w:szCs w:val="14"/>
              </w:rPr>
            </w:pPr>
          </w:p>
        </w:tc>
        <w:tc>
          <w:tcPr>
            <w:tcW w:w="464" w:type="dxa"/>
            <w:tcBorders>
              <w:top w:val="single" w:sz="2" w:space="0" w:color="auto"/>
              <w:left w:val="single" w:sz="2" w:space="0" w:color="auto"/>
              <w:bottom w:val="single" w:sz="2" w:space="0" w:color="auto"/>
              <w:right w:val="single" w:sz="2" w:space="0" w:color="auto"/>
            </w:tcBorders>
          </w:tcPr>
          <w:p w14:paraId="76B82B17" w14:textId="77777777" w:rsidR="009F4766" w:rsidRPr="00DE12A3" w:rsidRDefault="009F4766" w:rsidP="00C917D6">
            <w:pPr>
              <w:pStyle w:val="NormalLeft"/>
              <w:rPr>
                <w:sz w:val="14"/>
                <w:szCs w:val="14"/>
              </w:rPr>
            </w:pPr>
          </w:p>
        </w:tc>
        <w:tc>
          <w:tcPr>
            <w:tcW w:w="464" w:type="dxa"/>
            <w:tcBorders>
              <w:top w:val="single" w:sz="2" w:space="0" w:color="auto"/>
              <w:left w:val="single" w:sz="2" w:space="0" w:color="auto"/>
              <w:bottom w:val="single" w:sz="2" w:space="0" w:color="auto"/>
              <w:right w:val="single" w:sz="2" w:space="0" w:color="auto"/>
            </w:tcBorders>
          </w:tcPr>
          <w:p w14:paraId="125A0174" w14:textId="77777777" w:rsidR="009F4766" w:rsidRPr="00DE12A3" w:rsidRDefault="009F4766" w:rsidP="00C917D6">
            <w:pPr>
              <w:pStyle w:val="NormalLeft"/>
              <w:rPr>
                <w:sz w:val="14"/>
                <w:szCs w:val="14"/>
              </w:rPr>
            </w:pPr>
          </w:p>
        </w:tc>
        <w:tc>
          <w:tcPr>
            <w:tcW w:w="465" w:type="dxa"/>
            <w:tcBorders>
              <w:top w:val="single" w:sz="2" w:space="0" w:color="auto"/>
              <w:left w:val="single" w:sz="2" w:space="0" w:color="auto"/>
              <w:bottom w:val="single" w:sz="2" w:space="0" w:color="auto"/>
              <w:right w:val="single" w:sz="2" w:space="0" w:color="auto"/>
            </w:tcBorders>
          </w:tcPr>
          <w:p w14:paraId="21F6686E" w14:textId="77777777" w:rsidR="009F4766" w:rsidRPr="00DE12A3" w:rsidRDefault="009F4766" w:rsidP="00C917D6">
            <w:pPr>
              <w:pStyle w:val="NormalLeft"/>
              <w:rPr>
                <w:sz w:val="14"/>
                <w:szCs w:val="14"/>
              </w:rPr>
            </w:pPr>
          </w:p>
        </w:tc>
        <w:tc>
          <w:tcPr>
            <w:tcW w:w="464" w:type="dxa"/>
            <w:tcBorders>
              <w:top w:val="single" w:sz="2" w:space="0" w:color="auto"/>
              <w:left w:val="single" w:sz="2" w:space="0" w:color="auto"/>
              <w:bottom w:val="single" w:sz="2" w:space="0" w:color="auto"/>
              <w:right w:val="single" w:sz="2" w:space="0" w:color="auto"/>
            </w:tcBorders>
          </w:tcPr>
          <w:p w14:paraId="0510FAAA" w14:textId="77777777" w:rsidR="009F4766" w:rsidRPr="00DE12A3" w:rsidRDefault="009F4766" w:rsidP="00C917D6">
            <w:pPr>
              <w:pStyle w:val="NormalLeft"/>
              <w:rPr>
                <w:sz w:val="14"/>
                <w:szCs w:val="14"/>
              </w:rPr>
            </w:pPr>
          </w:p>
        </w:tc>
        <w:tc>
          <w:tcPr>
            <w:tcW w:w="464" w:type="dxa"/>
            <w:tcBorders>
              <w:top w:val="single" w:sz="2" w:space="0" w:color="auto"/>
              <w:left w:val="single" w:sz="2" w:space="0" w:color="auto"/>
              <w:bottom w:val="single" w:sz="2" w:space="0" w:color="auto"/>
              <w:right w:val="single" w:sz="2" w:space="0" w:color="auto"/>
            </w:tcBorders>
          </w:tcPr>
          <w:p w14:paraId="776CEFCC" w14:textId="77777777" w:rsidR="009F4766" w:rsidRPr="00DE12A3" w:rsidRDefault="009F4766" w:rsidP="00C917D6">
            <w:pPr>
              <w:pStyle w:val="NormalLeft"/>
              <w:rPr>
                <w:sz w:val="14"/>
                <w:szCs w:val="14"/>
              </w:rPr>
            </w:pPr>
          </w:p>
        </w:tc>
        <w:tc>
          <w:tcPr>
            <w:tcW w:w="465" w:type="dxa"/>
            <w:tcBorders>
              <w:top w:val="single" w:sz="2" w:space="0" w:color="auto"/>
              <w:left w:val="single" w:sz="2" w:space="0" w:color="auto"/>
              <w:bottom w:val="single" w:sz="2" w:space="0" w:color="auto"/>
              <w:right w:val="single" w:sz="2" w:space="0" w:color="auto"/>
            </w:tcBorders>
          </w:tcPr>
          <w:p w14:paraId="29384D1D" w14:textId="77777777" w:rsidR="009F4766" w:rsidRPr="00DE12A3" w:rsidRDefault="009F4766" w:rsidP="00C917D6">
            <w:pPr>
              <w:pStyle w:val="NormalLeft"/>
              <w:rPr>
                <w:sz w:val="14"/>
                <w:szCs w:val="14"/>
              </w:rPr>
            </w:pPr>
          </w:p>
        </w:tc>
        <w:tc>
          <w:tcPr>
            <w:tcW w:w="464" w:type="dxa"/>
            <w:tcBorders>
              <w:top w:val="single" w:sz="2" w:space="0" w:color="auto"/>
              <w:left w:val="single" w:sz="2" w:space="0" w:color="auto"/>
              <w:bottom w:val="single" w:sz="2" w:space="0" w:color="auto"/>
              <w:right w:val="single" w:sz="2" w:space="0" w:color="auto"/>
            </w:tcBorders>
          </w:tcPr>
          <w:p w14:paraId="6FF30981" w14:textId="77777777" w:rsidR="009F4766" w:rsidRPr="00DE12A3" w:rsidRDefault="009F4766" w:rsidP="00C917D6">
            <w:pPr>
              <w:pStyle w:val="NormalLeft"/>
              <w:rPr>
                <w:sz w:val="14"/>
                <w:szCs w:val="14"/>
              </w:rPr>
            </w:pPr>
          </w:p>
        </w:tc>
        <w:tc>
          <w:tcPr>
            <w:tcW w:w="464" w:type="dxa"/>
            <w:tcBorders>
              <w:top w:val="single" w:sz="2" w:space="0" w:color="auto"/>
              <w:left w:val="single" w:sz="2" w:space="0" w:color="auto"/>
              <w:bottom w:val="single" w:sz="2" w:space="0" w:color="auto"/>
              <w:right w:val="single" w:sz="2" w:space="0" w:color="auto"/>
            </w:tcBorders>
          </w:tcPr>
          <w:p w14:paraId="59C08E00" w14:textId="77777777" w:rsidR="009F4766" w:rsidRPr="00DE12A3" w:rsidRDefault="009F4766" w:rsidP="00C917D6">
            <w:pPr>
              <w:pStyle w:val="NormalLeft"/>
              <w:rPr>
                <w:sz w:val="14"/>
                <w:szCs w:val="14"/>
              </w:rPr>
            </w:pPr>
          </w:p>
        </w:tc>
        <w:tc>
          <w:tcPr>
            <w:tcW w:w="465" w:type="dxa"/>
            <w:tcBorders>
              <w:top w:val="single" w:sz="2" w:space="0" w:color="auto"/>
              <w:left w:val="single" w:sz="2" w:space="0" w:color="auto"/>
              <w:bottom w:val="single" w:sz="2" w:space="0" w:color="auto"/>
              <w:right w:val="single" w:sz="2" w:space="0" w:color="auto"/>
            </w:tcBorders>
          </w:tcPr>
          <w:p w14:paraId="4B1484D2" w14:textId="77777777" w:rsidR="009F4766" w:rsidRPr="00DE12A3" w:rsidRDefault="009F4766" w:rsidP="00C917D6">
            <w:pPr>
              <w:pStyle w:val="NormalLeft"/>
              <w:rPr>
                <w:sz w:val="14"/>
                <w:szCs w:val="14"/>
              </w:rPr>
            </w:pPr>
          </w:p>
        </w:tc>
        <w:tc>
          <w:tcPr>
            <w:tcW w:w="464" w:type="dxa"/>
            <w:tcBorders>
              <w:top w:val="single" w:sz="2" w:space="0" w:color="auto"/>
              <w:left w:val="single" w:sz="2" w:space="0" w:color="auto"/>
              <w:bottom w:val="single" w:sz="2" w:space="0" w:color="auto"/>
              <w:right w:val="single" w:sz="2" w:space="0" w:color="auto"/>
            </w:tcBorders>
          </w:tcPr>
          <w:p w14:paraId="6D383890" w14:textId="77777777" w:rsidR="009F4766" w:rsidRPr="00DE12A3" w:rsidRDefault="009F4766" w:rsidP="00C917D6">
            <w:pPr>
              <w:pStyle w:val="NormalLeft"/>
              <w:rPr>
                <w:sz w:val="14"/>
                <w:szCs w:val="14"/>
              </w:rPr>
            </w:pPr>
          </w:p>
        </w:tc>
        <w:tc>
          <w:tcPr>
            <w:tcW w:w="464" w:type="dxa"/>
            <w:tcBorders>
              <w:top w:val="single" w:sz="2" w:space="0" w:color="auto"/>
              <w:left w:val="single" w:sz="2" w:space="0" w:color="auto"/>
              <w:bottom w:val="single" w:sz="2" w:space="0" w:color="auto"/>
              <w:right w:val="single" w:sz="2" w:space="0" w:color="auto"/>
            </w:tcBorders>
          </w:tcPr>
          <w:p w14:paraId="20DEE912" w14:textId="77777777" w:rsidR="009F4766" w:rsidRPr="00DE12A3" w:rsidRDefault="009F4766" w:rsidP="00C917D6">
            <w:pPr>
              <w:pStyle w:val="NormalLeft"/>
              <w:rPr>
                <w:sz w:val="14"/>
                <w:szCs w:val="14"/>
              </w:rPr>
            </w:pPr>
          </w:p>
        </w:tc>
        <w:tc>
          <w:tcPr>
            <w:tcW w:w="464" w:type="dxa"/>
            <w:tcBorders>
              <w:top w:val="single" w:sz="2" w:space="0" w:color="auto"/>
              <w:left w:val="single" w:sz="2" w:space="0" w:color="auto"/>
              <w:bottom w:val="single" w:sz="2" w:space="0" w:color="auto"/>
              <w:right w:val="single" w:sz="2" w:space="0" w:color="auto"/>
            </w:tcBorders>
          </w:tcPr>
          <w:p w14:paraId="22A01BA7" w14:textId="77777777" w:rsidR="009F4766" w:rsidRPr="00DE12A3" w:rsidRDefault="009F4766" w:rsidP="00C917D6">
            <w:pPr>
              <w:pStyle w:val="NormalLeft"/>
              <w:rPr>
                <w:sz w:val="14"/>
                <w:szCs w:val="14"/>
              </w:rPr>
            </w:pPr>
          </w:p>
        </w:tc>
        <w:tc>
          <w:tcPr>
            <w:tcW w:w="465" w:type="dxa"/>
            <w:tcBorders>
              <w:top w:val="single" w:sz="2" w:space="0" w:color="auto"/>
              <w:left w:val="single" w:sz="2" w:space="0" w:color="auto"/>
              <w:bottom w:val="single" w:sz="2" w:space="0" w:color="auto"/>
              <w:right w:val="single" w:sz="2" w:space="0" w:color="auto"/>
            </w:tcBorders>
          </w:tcPr>
          <w:p w14:paraId="73518D69" w14:textId="77777777" w:rsidR="009F4766" w:rsidRPr="00DE12A3" w:rsidRDefault="009F4766" w:rsidP="00C917D6">
            <w:pPr>
              <w:pStyle w:val="NormalLeft"/>
              <w:rPr>
                <w:sz w:val="14"/>
                <w:szCs w:val="14"/>
              </w:rPr>
            </w:pPr>
          </w:p>
        </w:tc>
        <w:tc>
          <w:tcPr>
            <w:tcW w:w="464" w:type="dxa"/>
            <w:tcBorders>
              <w:top w:val="single" w:sz="2" w:space="0" w:color="auto"/>
              <w:left w:val="single" w:sz="2" w:space="0" w:color="auto"/>
              <w:bottom w:val="single" w:sz="2" w:space="0" w:color="auto"/>
              <w:right w:val="single" w:sz="2" w:space="0" w:color="auto"/>
            </w:tcBorders>
          </w:tcPr>
          <w:p w14:paraId="1AAAFABF" w14:textId="77777777" w:rsidR="009F4766" w:rsidRPr="00DE12A3" w:rsidRDefault="009F4766" w:rsidP="00C917D6">
            <w:pPr>
              <w:pStyle w:val="NormalLeft"/>
              <w:rPr>
                <w:sz w:val="14"/>
                <w:szCs w:val="14"/>
              </w:rPr>
            </w:pPr>
          </w:p>
        </w:tc>
      </w:tr>
      <w:tr w:rsidR="00DE12A3" w:rsidRPr="00DE12A3" w14:paraId="2F4E082D" w14:textId="77777777" w:rsidTr="009F4766">
        <w:tc>
          <w:tcPr>
            <w:tcW w:w="464" w:type="dxa"/>
            <w:tcBorders>
              <w:top w:val="single" w:sz="2" w:space="0" w:color="auto"/>
              <w:left w:val="single" w:sz="2" w:space="0" w:color="auto"/>
              <w:bottom w:val="single" w:sz="2" w:space="0" w:color="auto"/>
              <w:right w:val="single" w:sz="2" w:space="0" w:color="auto"/>
            </w:tcBorders>
          </w:tcPr>
          <w:p w14:paraId="4B698CC0" w14:textId="77777777" w:rsidR="009F4766" w:rsidRPr="00DE12A3" w:rsidRDefault="009F4766" w:rsidP="00C917D6">
            <w:pPr>
              <w:pStyle w:val="NormalLeft"/>
              <w:rPr>
                <w:sz w:val="14"/>
                <w:szCs w:val="14"/>
              </w:rPr>
            </w:pPr>
            <w:r w:rsidRPr="00DE12A3">
              <w:rPr>
                <w:sz w:val="14"/>
                <w:szCs w:val="14"/>
              </w:rPr>
              <w:t>1</w:t>
            </w:r>
          </w:p>
        </w:tc>
        <w:tc>
          <w:tcPr>
            <w:tcW w:w="465" w:type="dxa"/>
            <w:tcBorders>
              <w:top w:val="single" w:sz="2" w:space="0" w:color="auto"/>
              <w:left w:val="single" w:sz="2" w:space="0" w:color="auto"/>
              <w:bottom w:val="single" w:sz="2" w:space="0" w:color="auto"/>
              <w:right w:val="single" w:sz="2" w:space="0" w:color="auto"/>
            </w:tcBorders>
          </w:tcPr>
          <w:p w14:paraId="2B4986D4" w14:textId="77777777" w:rsidR="009F4766" w:rsidRPr="00DE12A3" w:rsidRDefault="009F4766" w:rsidP="00C917D6">
            <w:pPr>
              <w:pStyle w:val="NormalLeft"/>
              <w:rPr>
                <w:sz w:val="14"/>
                <w:szCs w:val="14"/>
              </w:rPr>
            </w:pPr>
            <w:r w:rsidRPr="00DE12A3">
              <w:rPr>
                <w:sz w:val="14"/>
                <w:szCs w:val="14"/>
              </w:rPr>
              <w:t>161,4</w:t>
            </w:r>
          </w:p>
        </w:tc>
        <w:tc>
          <w:tcPr>
            <w:tcW w:w="464" w:type="dxa"/>
            <w:tcBorders>
              <w:top w:val="single" w:sz="2" w:space="0" w:color="auto"/>
              <w:left w:val="single" w:sz="2" w:space="0" w:color="auto"/>
              <w:bottom w:val="single" w:sz="2" w:space="0" w:color="auto"/>
              <w:right w:val="single" w:sz="2" w:space="0" w:color="auto"/>
            </w:tcBorders>
          </w:tcPr>
          <w:p w14:paraId="3EC64E21" w14:textId="77777777" w:rsidR="009F4766" w:rsidRPr="00DE12A3" w:rsidRDefault="009F4766" w:rsidP="00C917D6">
            <w:pPr>
              <w:pStyle w:val="NormalLeft"/>
              <w:rPr>
                <w:sz w:val="14"/>
                <w:szCs w:val="14"/>
              </w:rPr>
            </w:pPr>
            <w:r w:rsidRPr="00DE12A3">
              <w:rPr>
                <w:sz w:val="14"/>
                <w:szCs w:val="14"/>
              </w:rPr>
              <w:t>199,5</w:t>
            </w:r>
          </w:p>
        </w:tc>
        <w:tc>
          <w:tcPr>
            <w:tcW w:w="464" w:type="dxa"/>
            <w:tcBorders>
              <w:top w:val="single" w:sz="2" w:space="0" w:color="auto"/>
              <w:left w:val="single" w:sz="2" w:space="0" w:color="auto"/>
              <w:bottom w:val="single" w:sz="2" w:space="0" w:color="auto"/>
              <w:right w:val="single" w:sz="2" w:space="0" w:color="auto"/>
            </w:tcBorders>
          </w:tcPr>
          <w:p w14:paraId="58B01D08" w14:textId="77777777" w:rsidR="009F4766" w:rsidRPr="00DE12A3" w:rsidRDefault="009F4766" w:rsidP="00C917D6">
            <w:pPr>
              <w:pStyle w:val="NormalLeft"/>
              <w:rPr>
                <w:sz w:val="14"/>
                <w:szCs w:val="14"/>
              </w:rPr>
            </w:pPr>
            <w:r w:rsidRPr="00DE12A3">
              <w:rPr>
                <w:sz w:val="14"/>
                <w:szCs w:val="14"/>
              </w:rPr>
              <w:t>215,7</w:t>
            </w:r>
          </w:p>
        </w:tc>
        <w:tc>
          <w:tcPr>
            <w:tcW w:w="465" w:type="dxa"/>
            <w:tcBorders>
              <w:top w:val="single" w:sz="2" w:space="0" w:color="auto"/>
              <w:left w:val="single" w:sz="2" w:space="0" w:color="auto"/>
              <w:bottom w:val="single" w:sz="2" w:space="0" w:color="auto"/>
              <w:right w:val="single" w:sz="2" w:space="0" w:color="auto"/>
            </w:tcBorders>
          </w:tcPr>
          <w:p w14:paraId="77569BF6" w14:textId="77777777" w:rsidR="009F4766" w:rsidRPr="00DE12A3" w:rsidRDefault="009F4766" w:rsidP="00C917D6">
            <w:pPr>
              <w:pStyle w:val="NormalLeft"/>
              <w:rPr>
                <w:sz w:val="14"/>
                <w:szCs w:val="14"/>
              </w:rPr>
            </w:pPr>
            <w:r w:rsidRPr="00DE12A3">
              <w:rPr>
                <w:sz w:val="14"/>
                <w:szCs w:val="14"/>
              </w:rPr>
              <w:t>224,5</w:t>
            </w:r>
          </w:p>
        </w:tc>
        <w:tc>
          <w:tcPr>
            <w:tcW w:w="464" w:type="dxa"/>
            <w:tcBorders>
              <w:top w:val="single" w:sz="2" w:space="0" w:color="auto"/>
              <w:left w:val="single" w:sz="2" w:space="0" w:color="auto"/>
              <w:bottom w:val="single" w:sz="2" w:space="0" w:color="auto"/>
              <w:right w:val="single" w:sz="2" w:space="0" w:color="auto"/>
            </w:tcBorders>
          </w:tcPr>
          <w:p w14:paraId="50AA2753" w14:textId="77777777" w:rsidR="009F4766" w:rsidRPr="00DE12A3" w:rsidRDefault="009F4766" w:rsidP="00C917D6">
            <w:pPr>
              <w:pStyle w:val="NormalLeft"/>
              <w:rPr>
                <w:sz w:val="14"/>
                <w:szCs w:val="14"/>
              </w:rPr>
            </w:pPr>
            <w:r w:rsidRPr="00DE12A3">
              <w:rPr>
                <w:sz w:val="14"/>
                <w:szCs w:val="14"/>
              </w:rPr>
              <w:t>230,1</w:t>
            </w:r>
          </w:p>
        </w:tc>
        <w:tc>
          <w:tcPr>
            <w:tcW w:w="464" w:type="dxa"/>
            <w:tcBorders>
              <w:top w:val="single" w:sz="2" w:space="0" w:color="auto"/>
              <w:left w:val="single" w:sz="2" w:space="0" w:color="auto"/>
              <w:bottom w:val="single" w:sz="2" w:space="0" w:color="auto"/>
              <w:right w:val="single" w:sz="2" w:space="0" w:color="auto"/>
            </w:tcBorders>
          </w:tcPr>
          <w:p w14:paraId="2AB377D7" w14:textId="77777777" w:rsidR="009F4766" w:rsidRPr="00DE12A3" w:rsidRDefault="009F4766" w:rsidP="00C917D6">
            <w:pPr>
              <w:pStyle w:val="NormalLeft"/>
              <w:rPr>
                <w:sz w:val="14"/>
                <w:szCs w:val="14"/>
              </w:rPr>
            </w:pPr>
            <w:r w:rsidRPr="00DE12A3">
              <w:rPr>
                <w:sz w:val="14"/>
                <w:szCs w:val="14"/>
              </w:rPr>
              <w:t>233,9</w:t>
            </w:r>
          </w:p>
        </w:tc>
        <w:tc>
          <w:tcPr>
            <w:tcW w:w="464" w:type="dxa"/>
            <w:tcBorders>
              <w:top w:val="single" w:sz="2" w:space="0" w:color="auto"/>
              <w:left w:val="single" w:sz="2" w:space="0" w:color="auto"/>
              <w:bottom w:val="single" w:sz="2" w:space="0" w:color="auto"/>
              <w:right w:val="single" w:sz="2" w:space="0" w:color="auto"/>
            </w:tcBorders>
          </w:tcPr>
          <w:p w14:paraId="42094108" w14:textId="77777777" w:rsidR="009F4766" w:rsidRPr="00DE12A3" w:rsidRDefault="009F4766" w:rsidP="00C917D6">
            <w:pPr>
              <w:pStyle w:val="NormalLeft"/>
              <w:rPr>
                <w:sz w:val="14"/>
                <w:szCs w:val="14"/>
              </w:rPr>
            </w:pPr>
            <w:r w:rsidRPr="00DE12A3">
              <w:rPr>
                <w:sz w:val="14"/>
                <w:szCs w:val="14"/>
              </w:rPr>
              <w:t>236,7</w:t>
            </w:r>
          </w:p>
        </w:tc>
        <w:tc>
          <w:tcPr>
            <w:tcW w:w="465" w:type="dxa"/>
            <w:tcBorders>
              <w:top w:val="single" w:sz="2" w:space="0" w:color="auto"/>
              <w:left w:val="single" w:sz="2" w:space="0" w:color="auto"/>
              <w:bottom w:val="single" w:sz="2" w:space="0" w:color="auto"/>
              <w:right w:val="single" w:sz="2" w:space="0" w:color="auto"/>
            </w:tcBorders>
          </w:tcPr>
          <w:p w14:paraId="7810A625" w14:textId="77777777" w:rsidR="009F4766" w:rsidRPr="00DE12A3" w:rsidRDefault="009F4766" w:rsidP="00C917D6">
            <w:pPr>
              <w:pStyle w:val="NormalLeft"/>
              <w:rPr>
                <w:sz w:val="14"/>
                <w:szCs w:val="14"/>
              </w:rPr>
            </w:pPr>
            <w:r w:rsidRPr="00DE12A3">
              <w:rPr>
                <w:sz w:val="14"/>
                <w:szCs w:val="14"/>
              </w:rPr>
              <w:t>238,8</w:t>
            </w:r>
          </w:p>
        </w:tc>
        <w:tc>
          <w:tcPr>
            <w:tcW w:w="464" w:type="dxa"/>
            <w:tcBorders>
              <w:top w:val="single" w:sz="2" w:space="0" w:color="auto"/>
              <w:left w:val="single" w:sz="2" w:space="0" w:color="auto"/>
              <w:bottom w:val="single" w:sz="2" w:space="0" w:color="auto"/>
              <w:right w:val="single" w:sz="2" w:space="0" w:color="auto"/>
            </w:tcBorders>
          </w:tcPr>
          <w:p w14:paraId="31C2DC44" w14:textId="77777777" w:rsidR="009F4766" w:rsidRPr="00DE12A3" w:rsidRDefault="009F4766" w:rsidP="00C917D6">
            <w:pPr>
              <w:pStyle w:val="NormalLeft"/>
              <w:rPr>
                <w:sz w:val="14"/>
                <w:szCs w:val="14"/>
              </w:rPr>
            </w:pPr>
            <w:r w:rsidRPr="00DE12A3">
              <w:rPr>
                <w:sz w:val="14"/>
                <w:szCs w:val="14"/>
              </w:rPr>
              <w:t>240,5</w:t>
            </w:r>
          </w:p>
        </w:tc>
        <w:tc>
          <w:tcPr>
            <w:tcW w:w="464" w:type="dxa"/>
            <w:tcBorders>
              <w:top w:val="single" w:sz="2" w:space="0" w:color="auto"/>
              <w:left w:val="single" w:sz="2" w:space="0" w:color="auto"/>
              <w:bottom w:val="single" w:sz="2" w:space="0" w:color="auto"/>
              <w:right w:val="single" w:sz="2" w:space="0" w:color="auto"/>
            </w:tcBorders>
          </w:tcPr>
          <w:p w14:paraId="1B88FC3D" w14:textId="77777777" w:rsidR="009F4766" w:rsidRPr="00DE12A3" w:rsidRDefault="009F4766" w:rsidP="00C917D6">
            <w:pPr>
              <w:pStyle w:val="NormalLeft"/>
              <w:rPr>
                <w:sz w:val="14"/>
                <w:szCs w:val="14"/>
              </w:rPr>
            </w:pPr>
            <w:r w:rsidRPr="00DE12A3">
              <w:rPr>
                <w:sz w:val="14"/>
                <w:szCs w:val="14"/>
              </w:rPr>
              <w:t>241,8</w:t>
            </w:r>
          </w:p>
        </w:tc>
        <w:tc>
          <w:tcPr>
            <w:tcW w:w="465" w:type="dxa"/>
            <w:tcBorders>
              <w:top w:val="single" w:sz="2" w:space="0" w:color="auto"/>
              <w:left w:val="single" w:sz="2" w:space="0" w:color="auto"/>
              <w:bottom w:val="single" w:sz="2" w:space="0" w:color="auto"/>
              <w:right w:val="single" w:sz="2" w:space="0" w:color="auto"/>
            </w:tcBorders>
          </w:tcPr>
          <w:p w14:paraId="71417A56" w14:textId="77777777" w:rsidR="009F4766" w:rsidRPr="00DE12A3" w:rsidRDefault="009F4766" w:rsidP="00C917D6">
            <w:pPr>
              <w:pStyle w:val="NormalLeft"/>
              <w:rPr>
                <w:sz w:val="14"/>
                <w:szCs w:val="14"/>
              </w:rPr>
            </w:pPr>
            <w:r w:rsidRPr="00DE12A3">
              <w:rPr>
                <w:sz w:val="14"/>
                <w:szCs w:val="14"/>
              </w:rPr>
              <w:t>243,9</w:t>
            </w:r>
          </w:p>
        </w:tc>
        <w:tc>
          <w:tcPr>
            <w:tcW w:w="464" w:type="dxa"/>
            <w:tcBorders>
              <w:top w:val="single" w:sz="2" w:space="0" w:color="auto"/>
              <w:left w:val="single" w:sz="2" w:space="0" w:color="auto"/>
              <w:bottom w:val="single" w:sz="2" w:space="0" w:color="auto"/>
              <w:right w:val="single" w:sz="2" w:space="0" w:color="auto"/>
            </w:tcBorders>
          </w:tcPr>
          <w:p w14:paraId="77FF2EB3" w14:textId="77777777" w:rsidR="009F4766" w:rsidRPr="00DE12A3" w:rsidRDefault="009F4766" w:rsidP="00C917D6">
            <w:pPr>
              <w:pStyle w:val="NormalLeft"/>
              <w:rPr>
                <w:sz w:val="14"/>
                <w:szCs w:val="14"/>
              </w:rPr>
            </w:pPr>
            <w:r w:rsidRPr="00DE12A3">
              <w:rPr>
                <w:sz w:val="14"/>
                <w:szCs w:val="14"/>
              </w:rPr>
              <w:t>245,9</w:t>
            </w:r>
          </w:p>
        </w:tc>
        <w:tc>
          <w:tcPr>
            <w:tcW w:w="464" w:type="dxa"/>
            <w:tcBorders>
              <w:top w:val="single" w:sz="2" w:space="0" w:color="auto"/>
              <w:left w:val="single" w:sz="2" w:space="0" w:color="auto"/>
              <w:bottom w:val="single" w:sz="2" w:space="0" w:color="auto"/>
              <w:right w:val="single" w:sz="2" w:space="0" w:color="auto"/>
            </w:tcBorders>
          </w:tcPr>
          <w:p w14:paraId="13AF73CE" w14:textId="77777777" w:rsidR="009F4766" w:rsidRPr="00DE12A3" w:rsidRDefault="009F4766" w:rsidP="00C917D6">
            <w:pPr>
              <w:pStyle w:val="NormalLeft"/>
              <w:rPr>
                <w:sz w:val="14"/>
                <w:szCs w:val="14"/>
              </w:rPr>
            </w:pPr>
            <w:r w:rsidRPr="00DE12A3">
              <w:rPr>
                <w:sz w:val="14"/>
                <w:szCs w:val="14"/>
              </w:rPr>
              <w:t>248,0</w:t>
            </w:r>
          </w:p>
        </w:tc>
        <w:tc>
          <w:tcPr>
            <w:tcW w:w="465" w:type="dxa"/>
            <w:tcBorders>
              <w:top w:val="single" w:sz="2" w:space="0" w:color="auto"/>
              <w:left w:val="single" w:sz="2" w:space="0" w:color="auto"/>
              <w:bottom w:val="single" w:sz="2" w:space="0" w:color="auto"/>
              <w:right w:val="single" w:sz="2" w:space="0" w:color="auto"/>
            </w:tcBorders>
          </w:tcPr>
          <w:p w14:paraId="4CFA532B" w14:textId="77777777" w:rsidR="009F4766" w:rsidRPr="00DE12A3" w:rsidRDefault="009F4766" w:rsidP="00C917D6">
            <w:pPr>
              <w:pStyle w:val="NormalLeft"/>
              <w:rPr>
                <w:sz w:val="14"/>
                <w:szCs w:val="14"/>
              </w:rPr>
            </w:pPr>
            <w:r w:rsidRPr="00DE12A3">
              <w:rPr>
                <w:sz w:val="14"/>
                <w:szCs w:val="14"/>
              </w:rPr>
              <w:t>249,0</w:t>
            </w:r>
          </w:p>
        </w:tc>
        <w:tc>
          <w:tcPr>
            <w:tcW w:w="464" w:type="dxa"/>
            <w:tcBorders>
              <w:top w:val="single" w:sz="2" w:space="0" w:color="auto"/>
              <w:left w:val="single" w:sz="2" w:space="0" w:color="auto"/>
              <w:bottom w:val="single" w:sz="2" w:space="0" w:color="auto"/>
              <w:right w:val="single" w:sz="2" w:space="0" w:color="auto"/>
            </w:tcBorders>
          </w:tcPr>
          <w:p w14:paraId="3A556E57" w14:textId="77777777" w:rsidR="009F4766" w:rsidRPr="00DE12A3" w:rsidRDefault="009F4766" w:rsidP="00C917D6">
            <w:pPr>
              <w:pStyle w:val="NormalLeft"/>
              <w:rPr>
                <w:sz w:val="14"/>
                <w:szCs w:val="14"/>
              </w:rPr>
            </w:pPr>
            <w:r w:rsidRPr="00DE12A3">
              <w:rPr>
                <w:sz w:val="14"/>
                <w:szCs w:val="14"/>
              </w:rPr>
              <w:t>250,1</w:t>
            </w:r>
          </w:p>
        </w:tc>
        <w:tc>
          <w:tcPr>
            <w:tcW w:w="464" w:type="dxa"/>
            <w:tcBorders>
              <w:top w:val="single" w:sz="2" w:space="0" w:color="auto"/>
              <w:left w:val="single" w:sz="2" w:space="0" w:color="auto"/>
              <w:bottom w:val="single" w:sz="2" w:space="0" w:color="auto"/>
              <w:right w:val="single" w:sz="2" w:space="0" w:color="auto"/>
            </w:tcBorders>
          </w:tcPr>
          <w:p w14:paraId="7A76D1A6" w14:textId="77777777" w:rsidR="009F4766" w:rsidRPr="00DE12A3" w:rsidRDefault="009F4766" w:rsidP="00C917D6">
            <w:pPr>
              <w:pStyle w:val="NormalLeft"/>
              <w:rPr>
                <w:sz w:val="14"/>
                <w:szCs w:val="14"/>
              </w:rPr>
            </w:pPr>
            <w:r w:rsidRPr="00DE12A3">
              <w:rPr>
                <w:sz w:val="14"/>
                <w:szCs w:val="14"/>
              </w:rPr>
              <w:t>251,1</w:t>
            </w:r>
          </w:p>
        </w:tc>
        <w:tc>
          <w:tcPr>
            <w:tcW w:w="464" w:type="dxa"/>
            <w:tcBorders>
              <w:top w:val="single" w:sz="2" w:space="0" w:color="auto"/>
              <w:left w:val="single" w:sz="2" w:space="0" w:color="auto"/>
              <w:bottom w:val="single" w:sz="2" w:space="0" w:color="auto"/>
              <w:right w:val="single" w:sz="2" w:space="0" w:color="auto"/>
            </w:tcBorders>
          </w:tcPr>
          <w:p w14:paraId="3B55C989" w14:textId="77777777" w:rsidR="009F4766" w:rsidRPr="00DE12A3" w:rsidRDefault="009F4766" w:rsidP="00C917D6">
            <w:pPr>
              <w:pStyle w:val="NormalLeft"/>
              <w:rPr>
                <w:sz w:val="14"/>
                <w:szCs w:val="14"/>
              </w:rPr>
            </w:pPr>
            <w:r w:rsidRPr="00DE12A3">
              <w:rPr>
                <w:sz w:val="14"/>
                <w:szCs w:val="14"/>
              </w:rPr>
              <w:t>252,2</w:t>
            </w:r>
          </w:p>
        </w:tc>
        <w:tc>
          <w:tcPr>
            <w:tcW w:w="465" w:type="dxa"/>
            <w:tcBorders>
              <w:top w:val="single" w:sz="2" w:space="0" w:color="auto"/>
              <w:left w:val="single" w:sz="2" w:space="0" w:color="auto"/>
              <w:bottom w:val="single" w:sz="2" w:space="0" w:color="auto"/>
              <w:right w:val="single" w:sz="2" w:space="0" w:color="auto"/>
            </w:tcBorders>
          </w:tcPr>
          <w:p w14:paraId="65216CE7" w14:textId="77777777" w:rsidR="009F4766" w:rsidRPr="00DE12A3" w:rsidRDefault="009F4766" w:rsidP="00C917D6">
            <w:pPr>
              <w:pStyle w:val="NormalLeft"/>
              <w:rPr>
                <w:sz w:val="14"/>
                <w:szCs w:val="14"/>
              </w:rPr>
            </w:pPr>
            <w:r w:rsidRPr="00DE12A3">
              <w:rPr>
                <w:sz w:val="14"/>
                <w:szCs w:val="14"/>
              </w:rPr>
              <w:t>253,2</w:t>
            </w:r>
          </w:p>
        </w:tc>
        <w:tc>
          <w:tcPr>
            <w:tcW w:w="464" w:type="dxa"/>
            <w:tcBorders>
              <w:top w:val="single" w:sz="2" w:space="0" w:color="auto"/>
              <w:left w:val="single" w:sz="2" w:space="0" w:color="auto"/>
              <w:bottom w:val="single" w:sz="2" w:space="0" w:color="auto"/>
              <w:right w:val="single" w:sz="2" w:space="0" w:color="auto"/>
            </w:tcBorders>
          </w:tcPr>
          <w:p w14:paraId="4E5BB57B" w14:textId="77777777" w:rsidR="009F4766" w:rsidRPr="00DE12A3" w:rsidRDefault="009F4766" w:rsidP="00C917D6">
            <w:pPr>
              <w:pStyle w:val="NormalLeft"/>
              <w:rPr>
                <w:sz w:val="14"/>
                <w:szCs w:val="14"/>
              </w:rPr>
            </w:pPr>
            <w:r w:rsidRPr="00DE12A3">
              <w:rPr>
                <w:sz w:val="14"/>
                <w:szCs w:val="14"/>
              </w:rPr>
              <w:t>254,3</w:t>
            </w:r>
          </w:p>
        </w:tc>
      </w:tr>
      <w:tr w:rsidR="00DE12A3" w:rsidRPr="00DE12A3" w14:paraId="3B035F02" w14:textId="77777777" w:rsidTr="009F4766">
        <w:tc>
          <w:tcPr>
            <w:tcW w:w="464" w:type="dxa"/>
            <w:tcBorders>
              <w:top w:val="single" w:sz="2" w:space="0" w:color="auto"/>
              <w:left w:val="single" w:sz="2" w:space="0" w:color="auto"/>
              <w:bottom w:val="single" w:sz="2" w:space="0" w:color="auto"/>
              <w:right w:val="single" w:sz="2" w:space="0" w:color="auto"/>
            </w:tcBorders>
          </w:tcPr>
          <w:p w14:paraId="5F9C6DAE" w14:textId="77777777" w:rsidR="009F4766" w:rsidRPr="00DE12A3" w:rsidRDefault="009F4766" w:rsidP="00C917D6">
            <w:pPr>
              <w:pStyle w:val="NormalLeft"/>
              <w:rPr>
                <w:sz w:val="14"/>
                <w:szCs w:val="14"/>
              </w:rPr>
            </w:pPr>
            <w:r w:rsidRPr="00DE12A3">
              <w:rPr>
                <w:sz w:val="14"/>
                <w:szCs w:val="14"/>
              </w:rPr>
              <w:t>2</w:t>
            </w:r>
          </w:p>
        </w:tc>
        <w:tc>
          <w:tcPr>
            <w:tcW w:w="465" w:type="dxa"/>
            <w:tcBorders>
              <w:top w:val="single" w:sz="2" w:space="0" w:color="auto"/>
              <w:left w:val="single" w:sz="2" w:space="0" w:color="auto"/>
              <w:bottom w:val="single" w:sz="2" w:space="0" w:color="auto"/>
              <w:right w:val="single" w:sz="2" w:space="0" w:color="auto"/>
            </w:tcBorders>
          </w:tcPr>
          <w:p w14:paraId="0F28830E" w14:textId="77777777" w:rsidR="009F4766" w:rsidRPr="00DE12A3" w:rsidRDefault="009F4766" w:rsidP="00C917D6">
            <w:pPr>
              <w:pStyle w:val="NormalLeft"/>
              <w:rPr>
                <w:sz w:val="14"/>
                <w:szCs w:val="14"/>
              </w:rPr>
            </w:pPr>
            <w:r w:rsidRPr="00DE12A3">
              <w:rPr>
                <w:sz w:val="14"/>
                <w:szCs w:val="14"/>
              </w:rPr>
              <w:t>18,51</w:t>
            </w:r>
          </w:p>
        </w:tc>
        <w:tc>
          <w:tcPr>
            <w:tcW w:w="464" w:type="dxa"/>
            <w:tcBorders>
              <w:top w:val="single" w:sz="2" w:space="0" w:color="auto"/>
              <w:left w:val="single" w:sz="2" w:space="0" w:color="auto"/>
              <w:bottom w:val="single" w:sz="2" w:space="0" w:color="auto"/>
              <w:right w:val="single" w:sz="2" w:space="0" w:color="auto"/>
            </w:tcBorders>
          </w:tcPr>
          <w:p w14:paraId="20387792" w14:textId="77777777" w:rsidR="009F4766" w:rsidRPr="00DE12A3" w:rsidRDefault="009F4766" w:rsidP="00C917D6">
            <w:pPr>
              <w:pStyle w:val="NormalLeft"/>
              <w:rPr>
                <w:sz w:val="14"/>
                <w:szCs w:val="14"/>
              </w:rPr>
            </w:pPr>
            <w:r w:rsidRPr="00DE12A3">
              <w:rPr>
                <w:sz w:val="14"/>
                <w:szCs w:val="14"/>
              </w:rPr>
              <w:t>19,00</w:t>
            </w:r>
          </w:p>
        </w:tc>
        <w:tc>
          <w:tcPr>
            <w:tcW w:w="464" w:type="dxa"/>
            <w:tcBorders>
              <w:top w:val="single" w:sz="2" w:space="0" w:color="auto"/>
              <w:left w:val="single" w:sz="2" w:space="0" w:color="auto"/>
              <w:bottom w:val="single" w:sz="2" w:space="0" w:color="auto"/>
              <w:right w:val="single" w:sz="2" w:space="0" w:color="auto"/>
            </w:tcBorders>
          </w:tcPr>
          <w:p w14:paraId="314FDA75" w14:textId="77777777" w:rsidR="009F4766" w:rsidRPr="00DE12A3" w:rsidRDefault="009F4766" w:rsidP="00C917D6">
            <w:pPr>
              <w:pStyle w:val="NormalLeft"/>
              <w:rPr>
                <w:sz w:val="14"/>
                <w:szCs w:val="14"/>
              </w:rPr>
            </w:pPr>
            <w:r w:rsidRPr="00DE12A3">
              <w:rPr>
                <w:sz w:val="14"/>
                <w:szCs w:val="14"/>
              </w:rPr>
              <w:t>19,16</w:t>
            </w:r>
          </w:p>
        </w:tc>
        <w:tc>
          <w:tcPr>
            <w:tcW w:w="465" w:type="dxa"/>
            <w:tcBorders>
              <w:top w:val="single" w:sz="2" w:space="0" w:color="auto"/>
              <w:left w:val="single" w:sz="2" w:space="0" w:color="auto"/>
              <w:bottom w:val="single" w:sz="2" w:space="0" w:color="auto"/>
              <w:right w:val="single" w:sz="2" w:space="0" w:color="auto"/>
            </w:tcBorders>
          </w:tcPr>
          <w:p w14:paraId="5F7C79BE" w14:textId="77777777" w:rsidR="009F4766" w:rsidRPr="00DE12A3" w:rsidRDefault="009F4766" w:rsidP="00C917D6">
            <w:pPr>
              <w:pStyle w:val="NormalLeft"/>
              <w:rPr>
                <w:sz w:val="14"/>
                <w:szCs w:val="14"/>
              </w:rPr>
            </w:pPr>
            <w:r w:rsidRPr="00DE12A3">
              <w:rPr>
                <w:sz w:val="14"/>
                <w:szCs w:val="14"/>
              </w:rPr>
              <w:t>19,24</w:t>
            </w:r>
          </w:p>
        </w:tc>
        <w:tc>
          <w:tcPr>
            <w:tcW w:w="464" w:type="dxa"/>
            <w:tcBorders>
              <w:top w:val="single" w:sz="2" w:space="0" w:color="auto"/>
              <w:left w:val="single" w:sz="2" w:space="0" w:color="auto"/>
              <w:bottom w:val="single" w:sz="2" w:space="0" w:color="auto"/>
              <w:right w:val="single" w:sz="2" w:space="0" w:color="auto"/>
            </w:tcBorders>
          </w:tcPr>
          <w:p w14:paraId="4557538D" w14:textId="77777777" w:rsidR="009F4766" w:rsidRPr="00DE12A3" w:rsidRDefault="009F4766" w:rsidP="00C917D6">
            <w:pPr>
              <w:pStyle w:val="NormalLeft"/>
              <w:rPr>
                <w:sz w:val="14"/>
                <w:szCs w:val="14"/>
              </w:rPr>
            </w:pPr>
            <w:r w:rsidRPr="00DE12A3">
              <w:rPr>
                <w:sz w:val="14"/>
                <w:szCs w:val="14"/>
              </w:rPr>
              <w:t>19,29</w:t>
            </w:r>
          </w:p>
        </w:tc>
        <w:tc>
          <w:tcPr>
            <w:tcW w:w="464" w:type="dxa"/>
            <w:tcBorders>
              <w:top w:val="single" w:sz="2" w:space="0" w:color="auto"/>
              <w:left w:val="single" w:sz="2" w:space="0" w:color="auto"/>
              <w:bottom w:val="single" w:sz="2" w:space="0" w:color="auto"/>
              <w:right w:val="single" w:sz="2" w:space="0" w:color="auto"/>
            </w:tcBorders>
          </w:tcPr>
          <w:p w14:paraId="422D26C8" w14:textId="77777777" w:rsidR="009F4766" w:rsidRPr="00DE12A3" w:rsidRDefault="009F4766" w:rsidP="00C917D6">
            <w:pPr>
              <w:pStyle w:val="NormalLeft"/>
              <w:rPr>
                <w:sz w:val="14"/>
                <w:szCs w:val="14"/>
              </w:rPr>
            </w:pPr>
            <w:r w:rsidRPr="00DE12A3">
              <w:rPr>
                <w:sz w:val="14"/>
                <w:szCs w:val="14"/>
              </w:rPr>
              <w:t>19,33</w:t>
            </w:r>
          </w:p>
        </w:tc>
        <w:tc>
          <w:tcPr>
            <w:tcW w:w="464" w:type="dxa"/>
            <w:tcBorders>
              <w:top w:val="single" w:sz="2" w:space="0" w:color="auto"/>
              <w:left w:val="single" w:sz="2" w:space="0" w:color="auto"/>
              <w:bottom w:val="single" w:sz="2" w:space="0" w:color="auto"/>
              <w:right w:val="single" w:sz="2" w:space="0" w:color="auto"/>
            </w:tcBorders>
          </w:tcPr>
          <w:p w14:paraId="5935A956" w14:textId="77777777" w:rsidR="009F4766" w:rsidRPr="00DE12A3" w:rsidRDefault="009F4766" w:rsidP="00C917D6">
            <w:pPr>
              <w:pStyle w:val="NormalLeft"/>
              <w:rPr>
                <w:sz w:val="14"/>
                <w:szCs w:val="14"/>
              </w:rPr>
            </w:pPr>
            <w:r w:rsidRPr="00DE12A3">
              <w:rPr>
                <w:sz w:val="14"/>
                <w:szCs w:val="14"/>
              </w:rPr>
              <w:t>19,35</w:t>
            </w:r>
          </w:p>
        </w:tc>
        <w:tc>
          <w:tcPr>
            <w:tcW w:w="465" w:type="dxa"/>
            <w:tcBorders>
              <w:top w:val="single" w:sz="2" w:space="0" w:color="auto"/>
              <w:left w:val="single" w:sz="2" w:space="0" w:color="auto"/>
              <w:bottom w:val="single" w:sz="2" w:space="0" w:color="auto"/>
              <w:right w:val="single" w:sz="2" w:space="0" w:color="auto"/>
            </w:tcBorders>
          </w:tcPr>
          <w:p w14:paraId="7AAE2A8B" w14:textId="77777777" w:rsidR="009F4766" w:rsidRPr="00DE12A3" w:rsidRDefault="009F4766" w:rsidP="00C917D6">
            <w:pPr>
              <w:pStyle w:val="NormalLeft"/>
              <w:rPr>
                <w:sz w:val="14"/>
                <w:szCs w:val="14"/>
              </w:rPr>
            </w:pPr>
            <w:r w:rsidRPr="00DE12A3">
              <w:rPr>
                <w:sz w:val="14"/>
                <w:szCs w:val="14"/>
              </w:rPr>
              <w:t>19,37</w:t>
            </w:r>
          </w:p>
        </w:tc>
        <w:tc>
          <w:tcPr>
            <w:tcW w:w="464" w:type="dxa"/>
            <w:tcBorders>
              <w:top w:val="single" w:sz="2" w:space="0" w:color="auto"/>
              <w:left w:val="single" w:sz="2" w:space="0" w:color="auto"/>
              <w:bottom w:val="single" w:sz="2" w:space="0" w:color="auto"/>
              <w:right w:val="single" w:sz="2" w:space="0" w:color="auto"/>
            </w:tcBorders>
          </w:tcPr>
          <w:p w14:paraId="06A322B1" w14:textId="77777777" w:rsidR="009F4766" w:rsidRPr="00DE12A3" w:rsidRDefault="009F4766" w:rsidP="00C917D6">
            <w:pPr>
              <w:pStyle w:val="NormalLeft"/>
              <w:rPr>
                <w:sz w:val="14"/>
                <w:szCs w:val="14"/>
              </w:rPr>
            </w:pPr>
            <w:r w:rsidRPr="00DE12A3">
              <w:rPr>
                <w:sz w:val="14"/>
                <w:szCs w:val="14"/>
              </w:rPr>
              <w:t>19,38</w:t>
            </w:r>
          </w:p>
        </w:tc>
        <w:tc>
          <w:tcPr>
            <w:tcW w:w="464" w:type="dxa"/>
            <w:tcBorders>
              <w:top w:val="single" w:sz="2" w:space="0" w:color="auto"/>
              <w:left w:val="single" w:sz="2" w:space="0" w:color="auto"/>
              <w:bottom w:val="single" w:sz="2" w:space="0" w:color="auto"/>
              <w:right w:val="single" w:sz="2" w:space="0" w:color="auto"/>
            </w:tcBorders>
          </w:tcPr>
          <w:p w14:paraId="3B768E15" w14:textId="77777777" w:rsidR="009F4766" w:rsidRPr="00DE12A3" w:rsidRDefault="009F4766" w:rsidP="00C917D6">
            <w:pPr>
              <w:pStyle w:val="NormalLeft"/>
              <w:rPr>
                <w:sz w:val="14"/>
                <w:szCs w:val="14"/>
              </w:rPr>
            </w:pPr>
            <w:r w:rsidRPr="00DE12A3">
              <w:rPr>
                <w:sz w:val="14"/>
                <w:szCs w:val="14"/>
              </w:rPr>
              <w:t>19,39</w:t>
            </w:r>
          </w:p>
        </w:tc>
        <w:tc>
          <w:tcPr>
            <w:tcW w:w="465" w:type="dxa"/>
            <w:tcBorders>
              <w:top w:val="single" w:sz="2" w:space="0" w:color="auto"/>
              <w:left w:val="single" w:sz="2" w:space="0" w:color="auto"/>
              <w:bottom w:val="single" w:sz="2" w:space="0" w:color="auto"/>
              <w:right w:val="single" w:sz="2" w:space="0" w:color="auto"/>
            </w:tcBorders>
          </w:tcPr>
          <w:p w14:paraId="4E3594CB" w14:textId="77777777" w:rsidR="009F4766" w:rsidRPr="00DE12A3" w:rsidRDefault="009F4766" w:rsidP="00C917D6">
            <w:pPr>
              <w:pStyle w:val="NormalLeft"/>
              <w:rPr>
                <w:sz w:val="14"/>
                <w:szCs w:val="14"/>
              </w:rPr>
            </w:pPr>
            <w:r w:rsidRPr="00DE12A3">
              <w:rPr>
                <w:sz w:val="14"/>
                <w:szCs w:val="14"/>
              </w:rPr>
              <w:t>19,41</w:t>
            </w:r>
          </w:p>
        </w:tc>
        <w:tc>
          <w:tcPr>
            <w:tcW w:w="464" w:type="dxa"/>
            <w:tcBorders>
              <w:top w:val="single" w:sz="2" w:space="0" w:color="auto"/>
              <w:left w:val="single" w:sz="2" w:space="0" w:color="auto"/>
              <w:bottom w:val="single" w:sz="2" w:space="0" w:color="auto"/>
              <w:right w:val="single" w:sz="2" w:space="0" w:color="auto"/>
            </w:tcBorders>
          </w:tcPr>
          <w:p w14:paraId="789A0F6D" w14:textId="77777777" w:rsidR="009F4766" w:rsidRPr="00DE12A3" w:rsidRDefault="009F4766" w:rsidP="00C917D6">
            <w:pPr>
              <w:pStyle w:val="NormalLeft"/>
              <w:rPr>
                <w:sz w:val="14"/>
                <w:szCs w:val="14"/>
              </w:rPr>
            </w:pPr>
            <w:r w:rsidRPr="00DE12A3">
              <w:rPr>
                <w:sz w:val="14"/>
                <w:szCs w:val="14"/>
              </w:rPr>
              <w:t>19,42</w:t>
            </w:r>
          </w:p>
        </w:tc>
        <w:tc>
          <w:tcPr>
            <w:tcW w:w="464" w:type="dxa"/>
            <w:tcBorders>
              <w:top w:val="single" w:sz="2" w:space="0" w:color="auto"/>
              <w:left w:val="single" w:sz="2" w:space="0" w:color="auto"/>
              <w:bottom w:val="single" w:sz="2" w:space="0" w:color="auto"/>
              <w:right w:val="single" w:sz="2" w:space="0" w:color="auto"/>
            </w:tcBorders>
          </w:tcPr>
          <w:p w14:paraId="494EC714" w14:textId="77777777" w:rsidR="009F4766" w:rsidRPr="00DE12A3" w:rsidRDefault="009F4766" w:rsidP="00C917D6">
            <w:pPr>
              <w:pStyle w:val="NormalLeft"/>
              <w:rPr>
                <w:sz w:val="14"/>
                <w:szCs w:val="14"/>
              </w:rPr>
            </w:pPr>
            <w:r w:rsidRPr="00DE12A3">
              <w:rPr>
                <w:sz w:val="14"/>
                <w:szCs w:val="14"/>
              </w:rPr>
              <w:t>19,44</w:t>
            </w:r>
          </w:p>
        </w:tc>
        <w:tc>
          <w:tcPr>
            <w:tcW w:w="465" w:type="dxa"/>
            <w:tcBorders>
              <w:top w:val="single" w:sz="2" w:space="0" w:color="auto"/>
              <w:left w:val="single" w:sz="2" w:space="0" w:color="auto"/>
              <w:bottom w:val="single" w:sz="2" w:space="0" w:color="auto"/>
              <w:right w:val="single" w:sz="2" w:space="0" w:color="auto"/>
            </w:tcBorders>
          </w:tcPr>
          <w:p w14:paraId="6E38151E" w14:textId="77777777" w:rsidR="009F4766" w:rsidRPr="00DE12A3" w:rsidRDefault="009F4766" w:rsidP="00C917D6">
            <w:pPr>
              <w:pStyle w:val="NormalLeft"/>
              <w:rPr>
                <w:sz w:val="14"/>
                <w:szCs w:val="14"/>
              </w:rPr>
            </w:pPr>
            <w:r w:rsidRPr="00DE12A3">
              <w:rPr>
                <w:sz w:val="14"/>
                <w:szCs w:val="14"/>
              </w:rPr>
              <w:t>19,45</w:t>
            </w:r>
          </w:p>
        </w:tc>
        <w:tc>
          <w:tcPr>
            <w:tcW w:w="464" w:type="dxa"/>
            <w:tcBorders>
              <w:top w:val="single" w:sz="2" w:space="0" w:color="auto"/>
              <w:left w:val="single" w:sz="2" w:space="0" w:color="auto"/>
              <w:bottom w:val="single" w:sz="2" w:space="0" w:color="auto"/>
              <w:right w:val="single" w:sz="2" w:space="0" w:color="auto"/>
            </w:tcBorders>
          </w:tcPr>
          <w:p w14:paraId="788F0B58" w14:textId="77777777" w:rsidR="009F4766" w:rsidRPr="00DE12A3" w:rsidRDefault="009F4766" w:rsidP="00C917D6">
            <w:pPr>
              <w:pStyle w:val="NormalLeft"/>
              <w:rPr>
                <w:sz w:val="14"/>
                <w:szCs w:val="14"/>
              </w:rPr>
            </w:pPr>
            <w:r w:rsidRPr="00DE12A3">
              <w:rPr>
                <w:sz w:val="14"/>
                <w:szCs w:val="14"/>
              </w:rPr>
              <w:t>19,46</w:t>
            </w:r>
          </w:p>
        </w:tc>
        <w:tc>
          <w:tcPr>
            <w:tcW w:w="464" w:type="dxa"/>
            <w:tcBorders>
              <w:top w:val="single" w:sz="2" w:space="0" w:color="auto"/>
              <w:left w:val="single" w:sz="2" w:space="0" w:color="auto"/>
              <w:bottom w:val="single" w:sz="2" w:space="0" w:color="auto"/>
              <w:right w:val="single" w:sz="2" w:space="0" w:color="auto"/>
            </w:tcBorders>
          </w:tcPr>
          <w:p w14:paraId="22B31B18" w14:textId="77777777" w:rsidR="009F4766" w:rsidRPr="00DE12A3" w:rsidRDefault="009F4766" w:rsidP="00C917D6">
            <w:pPr>
              <w:pStyle w:val="NormalLeft"/>
              <w:rPr>
                <w:sz w:val="14"/>
                <w:szCs w:val="14"/>
              </w:rPr>
            </w:pPr>
            <w:r w:rsidRPr="00DE12A3">
              <w:rPr>
                <w:sz w:val="14"/>
                <w:szCs w:val="14"/>
              </w:rPr>
              <w:t>19,47</w:t>
            </w:r>
          </w:p>
        </w:tc>
        <w:tc>
          <w:tcPr>
            <w:tcW w:w="464" w:type="dxa"/>
            <w:tcBorders>
              <w:top w:val="single" w:sz="2" w:space="0" w:color="auto"/>
              <w:left w:val="single" w:sz="2" w:space="0" w:color="auto"/>
              <w:bottom w:val="single" w:sz="2" w:space="0" w:color="auto"/>
              <w:right w:val="single" w:sz="2" w:space="0" w:color="auto"/>
            </w:tcBorders>
          </w:tcPr>
          <w:p w14:paraId="4C231F64" w14:textId="77777777" w:rsidR="009F4766" w:rsidRPr="00DE12A3" w:rsidRDefault="009F4766" w:rsidP="00C917D6">
            <w:pPr>
              <w:pStyle w:val="NormalLeft"/>
              <w:rPr>
                <w:sz w:val="14"/>
                <w:szCs w:val="14"/>
              </w:rPr>
            </w:pPr>
            <w:r w:rsidRPr="00DE12A3">
              <w:rPr>
                <w:sz w:val="14"/>
                <w:szCs w:val="14"/>
              </w:rPr>
              <w:t>19,47</w:t>
            </w:r>
          </w:p>
        </w:tc>
        <w:tc>
          <w:tcPr>
            <w:tcW w:w="465" w:type="dxa"/>
            <w:tcBorders>
              <w:top w:val="single" w:sz="2" w:space="0" w:color="auto"/>
              <w:left w:val="single" w:sz="2" w:space="0" w:color="auto"/>
              <w:bottom w:val="single" w:sz="2" w:space="0" w:color="auto"/>
              <w:right w:val="single" w:sz="2" w:space="0" w:color="auto"/>
            </w:tcBorders>
          </w:tcPr>
          <w:p w14:paraId="7A781797" w14:textId="77777777" w:rsidR="009F4766" w:rsidRPr="00DE12A3" w:rsidRDefault="009F4766" w:rsidP="00C917D6">
            <w:pPr>
              <w:pStyle w:val="NormalLeft"/>
              <w:rPr>
                <w:sz w:val="14"/>
                <w:szCs w:val="14"/>
              </w:rPr>
            </w:pPr>
            <w:r w:rsidRPr="00DE12A3">
              <w:rPr>
                <w:sz w:val="14"/>
                <w:szCs w:val="14"/>
              </w:rPr>
              <w:t>19,48</w:t>
            </w:r>
          </w:p>
        </w:tc>
        <w:tc>
          <w:tcPr>
            <w:tcW w:w="464" w:type="dxa"/>
            <w:tcBorders>
              <w:top w:val="single" w:sz="2" w:space="0" w:color="auto"/>
              <w:left w:val="single" w:sz="2" w:space="0" w:color="auto"/>
              <w:bottom w:val="single" w:sz="2" w:space="0" w:color="auto"/>
              <w:right w:val="single" w:sz="2" w:space="0" w:color="auto"/>
            </w:tcBorders>
          </w:tcPr>
          <w:p w14:paraId="6C2DFB02" w14:textId="77777777" w:rsidR="009F4766" w:rsidRPr="00DE12A3" w:rsidRDefault="009F4766" w:rsidP="00C917D6">
            <w:pPr>
              <w:pStyle w:val="NormalLeft"/>
              <w:rPr>
                <w:sz w:val="14"/>
                <w:szCs w:val="14"/>
              </w:rPr>
            </w:pPr>
            <w:r w:rsidRPr="00DE12A3">
              <w:rPr>
                <w:sz w:val="14"/>
                <w:szCs w:val="14"/>
              </w:rPr>
              <w:t>19,49</w:t>
            </w:r>
          </w:p>
        </w:tc>
      </w:tr>
      <w:tr w:rsidR="00DE12A3" w:rsidRPr="00DE12A3" w14:paraId="2588BBDE" w14:textId="77777777" w:rsidTr="009F4766">
        <w:tc>
          <w:tcPr>
            <w:tcW w:w="464" w:type="dxa"/>
            <w:tcBorders>
              <w:top w:val="single" w:sz="2" w:space="0" w:color="auto"/>
              <w:left w:val="single" w:sz="2" w:space="0" w:color="auto"/>
              <w:bottom w:val="single" w:sz="2" w:space="0" w:color="auto"/>
              <w:right w:val="single" w:sz="2" w:space="0" w:color="auto"/>
            </w:tcBorders>
          </w:tcPr>
          <w:p w14:paraId="0B609D22" w14:textId="77777777" w:rsidR="009F4766" w:rsidRPr="00DE12A3" w:rsidRDefault="009F4766" w:rsidP="00C917D6">
            <w:pPr>
              <w:pStyle w:val="NormalLeft"/>
              <w:rPr>
                <w:sz w:val="14"/>
                <w:szCs w:val="14"/>
              </w:rPr>
            </w:pPr>
            <w:r w:rsidRPr="00DE12A3">
              <w:rPr>
                <w:sz w:val="14"/>
                <w:szCs w:val="14"/>
              </w:rPr>
              <w:t>3</w:t>
            </w:r>
          </w:p>
        </w:tc>
        <w:tc>
          <w:tcPr>
            <w:tcW w:w="465" w:type="dxa"/>
            <w:tcBorders>
              <w:top w:val="single" w:sz="2" w:space="0" w:color="auto"/>
              <w:left w:val="single" w:sz="2" w:space="0" w:color="auto"/>
              <w:bottom w:val="single" w:sz="2" w:space="0" w:color="auto"/>
              <w:right w:val="single" w:sz="2" w:space="0" w:color="auto"/>
            </w:tcBorders>
          </w:tcPr>
          <w:p w14:paraId="1478C6D2" w14:textId="77777777" w:rsidR="009F4766" w:rsidRPr="00DE12A3" w:rsidRDefault="009F4766" w:rsidP="00C917D6">
            <w:pPr>
              <w:pStyle w:val="NormalLeft"/>
              <w:rPr>
                <w:sz w:val="14"/>
                <w:szCs w:val="14"/>
              </w:rPr>
            </w:pPr>
            <w:r w:rsidRPr="00DE12A3">
              <w:rPr>
                <w:sz w:val="14"/>
                <w:szCs w:val="14"/>
              </w:rPr>
              <w:t>10,12</w:t>
            </w:r>
          </w:p>
        </w:tc>
        <w:tc>
          <w:tcPr>
            <w:tcW w:w="464" w:type="dxa"/>
            <w:tcBorders>
              <w:top w:val="single" w:sz="2" w:space="0" w:color="auto"/>
              <w:left w:val="single" w:sz="2" w:space="0" w:color="auto"/>
              <w:bottom w:val="single" w:sz="2" w:space="0" w:color="auto"/>
              <w:right w:val="single" w:sz="2" w:space="0" w:color="auto"/>
            </w:tcBorders>
          </w:tcPr>
          <w:p w14:paraId="787012DE" w14:textId="77777777" w:rsidR="009F4766" w:rsidRPr="00DE12A3" w:rsidRDefault="009F4766" w:rsidP="00C917D6">
            <w:pPr>
              <w:pStyle w:val="NormalLeft"/>
              <w:rPr>
                <w:sz w:val="14"/>
                <w:szCs w:val="14"/>
              </w:rPr>
            </w:pPr>
            <w:r w:rsidRPr="00DE12A3">
              <w:rPr>
                <w:sz w:val="14"/>
                <w:szCs w:val="14"/>
              </w:rPr>
              <w:t>9,552</w:t>
            </w:r>
          </w:p>
        </w:tc>
        <w:tc>
          <w:tcPr>
            <w:tcW w:w="464" w:type="dxa"/>
            <w:tcBorders>
              <w:top w:val="single" w:sz="2" w:space="0" w:color="auto"/>
              <w:left w:val="single" w:sz="2" w:space="0" w:color="auto"/>
              <w:bottom w:val="single" w:sz="2" w:space="0" w:color="auto"/>
              <w:right w:val="single" w:sz="2" w:space="0" w:color="auto"/>
            </w:tcBorders>
          </w:tcPr>
          <w:p w14:paraId="7E90D1C5" w14:textId="77777777" w:rsidR="009F4766" w:rsidRPr="00DE12A3" w:rsidRDefault="009F4766" w:rsidP="00C917D6">
            <w:pPr>
              <w:pStyle w:val="NormalLeft"/>
              <w:rPr>
                <w:sz w:val="14"/>
                <w:szCs w:val="14"/>
              </w:rPr>
            </w:pPr>
            <w:r w:rsidRPr="00DE12A3">
              <w:rPr>
                <w:sz w:val="14"/>
                <w:szCs w:val="14"/>
              </w:rPr>
              <w:t>9,277</w:t>
            </w:r>
          </w:p>
        </w:tc>
        <w:tc>
          <w:tcPr>
            <w:tcW w:w="465" w:type="dxa"/>
            <w:tcBorders>
              <w:top w:val="single" w:sz="2" w:space="0" w:color="auto"/>
              <w:left w:val="single" w:sz="2" w:space="0" w:color="auto"/>
              <w:bottom w:val="single" w:sz="2" w:space="0" w:color="auto"/>
              <w:right w:val="single" w:sz="2" w:space="0" w:color="auto"/>
            </w:tcBorders>
          </w:tcPr>
          <w:p w14:paraId="14CC6DFA" w14:textId="77777777" w:rsidR="009F4766" w:rsidRPr="00DE12A3" w:rsidRDefault="009F4766" w:rsidP="00C917D6">
            <w:pPr>
              <w:pStyle w:val="NormalLeft"/>
              <w:rPr>
                <w:sz w:val="14"/>
                <w:szCs w:val="14"/>
              </w:rPr>
            </w:pPr>
            <w:r w:rsidRPr="00DE12A3">
              <w:rPr>
                <w:sz w:val="14"/>
                <w:szCs w:val="14"/>
              </w:rPr>
              <w:t>9,117</w:t>
            </w:r>
          </w:p>
        </w:tc>
        <w:tc>
          <w:tcPr>
            <w:tcW w:w="464" w:type="dxa"/>
            <w:tcBorders>
              <w:top w:val="single" w:sz="2" w:space="0" w:color="auto"/>
              <w:left w:val="single" w:sz="2" w:space="0" w:color="auto"/>
              <w:bottom w:val="single" w:sz="2" w:space="0" w:color="auto"/>
              <w:right w:val="single" w:sz="2" w:space="0" w:color="auto"/>
            </w:tcBorders>
          </w:tcPr>
          <w:p w14:paraId="01A3C998" w14:textId="77777777" w:rsidR="009F4766" w:rsidRPr="00DE12A3" w:rsidRDefault="009F4766" w:rsidP="00C917D6">
            <w:pPr>
              <w:pStyle w:val="NormalLeft"/>
              <w:rPr>
                <w:sz w:val="14"/>
                <w:szCs w:val="14"/>
              </w:rPr>
            </w:pPr>
            <w:r w:rsidRPr="00DE12A3">
              <w:rPr>
                <w:sz w:val="14"/>
                <w:szCs w:val="14"/>
              </w:rPr>
              <w:t>9,014</w:t>
            </w:r>
          </w:p>
        </w:tc>
        <w:tc>
          <w:tcPr>
            <w:tcW w:w="464" w:type="dxa"/>
            <w:tcBorders>
              <w:top w:val="single" w:sz="2" w:space="0" w:color="auto"/>
              <w:left w:val="single" w:sz="2" w:space="0" w:color="auto"/>
              <w:bottom w:val="single" w:sz="2" w:space="0" w:color="auto"/>
              <w:right w:val="single" w:sz="2" w:space="0" w:color="auto"/>
            </w:tcBorders>
          </w:tcPr>
          <w:p w14:paraId="0379816C" w14:textId="77777777" w:rsidR="009F4766" w:rsidRPr="00DE12A3" w:rsidRDefault="009F4766" w:rsidP="00C917D6">
            <w:pPr>
              <w:pStyle w:val="NormalLeft"/>
              <w:rPr>
                <w:sz w:val="14"/>
                <w:szCs w:val="14"/>
              </w:rPr>
            </w:pPr>
            <w:r w:rsidRPr="00DE12A3">
              <w:rPr>
                <w:sz w:val="14"/>
                <w:szCs w:val="14"/>
              </w:rPr>
              <w:t>8,941</w:t>
            </w:r>
          </w:p>
        </w:tc>
        <w:tc>
          <w:tcPr>
            <w:tcW w:w="464" w:type="dxa"/>
            <w:tcBorders>
              <w:top w:val="single" w:sz="2" w:space="0" w:color="auto"/>
              <w:left w:val="single" w:sz="2" w:space="0" w:color="auto"/>
              <w:bottom w:val="single" w:sz="2" w:space="0" w:color="auto"/>
              <w:right w:val="single" w:sz="2" w:space="0" w:color="auto"/>
            </w:tcBorders>
          </w:tcPr>
          <w:p w14:paraId="6766BE5C" w14:textId="77777777" w:rsidR="009F4766" w:rsidRPr="00DE12A3" w:rsidRDefault="009F4766" w:rsidP="00C917D6">
            <w:pPr>
              <w:pStyle w:val="NormalLeft"/>
              <w:rPr>
                <w:sz w:val="14"/>
                <w:szCs w:val="14"/>
              </w:rPr>
            </w:pPr>
            <w:r w:rsidRPr="00DE12A3">
              <w:rPr>
                <w:sz w:val="14"/>
                <w:szCs w:val="14"/>
              </w:rPr>
              <w:t>8,887</w:t>
            </w:r>
          </w:p>
        </w:tc>
        <w:tc>
          <w:tcPr>
            <w:tcW w:w="465" w:type="dxa"/>
            <w:tcBorders>
              <w:top w:val="single" w:sz="2" w:space="0" w:color="auto"/>
              <w:left w:val="single" w:sz="2" w:space="0" w:color="auto"/>
              <w:bottom w:val="single" w:sz="2" w:space="0" w:color="auto"/>
              <w:right w:val="single" w:sz="2" w:space="0" w:color="auto"/>
            </w:tcBorders>
          </w:tcPr>
          <w:p w14:paraId="6BA1C89D" w14:textId="77777777" w:rsidR="009F4766" w:rsidRPr="00DE12A3" w:rsidRDefault="009F4766" w:rsidP="00C917D6">
            <w:pPr>
              <w:pStyle w:val="NormalLeft"/>
              <w:rPr>
                <w:sz w:val="14"/>
                <w:szCs w:val="14"/>
              </w:rPr>
            </w:pPr>
            <w:r w:rsidRPr="00DE12A3">
              <w:rPr>
                <w:sz w:val="14"/>
                <w:szCs w:val="14"/>
              </w:rPr>
              <w:t>8,845</w:t>
            </w:r>
          </w:p>
        </w:tc>
        <w:tc>
          <w:tcPr>
            <w:tcW w:w="464" w:type="dxa"/>
            <w:tcBorders>
              <w:top w:val="single" w:sz="2" w:space="0" w:color="auto"/>
              <w:left w:val="single" w:sz="2" w:space="0" w:color="auto"/>
              <w:bottom w:val="single" w:sz="2" w:space="0" w:color="auto"/>
              <w:right w:val="single" w:sz="2" w:space="0" w:color="auto"/>
            </w:tcBorders>
          </w:tcPr>
          <w:p w14:paraId="389A0CEC" w14:textId="77777777" w:rsidR="009F4766" w:rsidRPr="00DE12A3" w:rsidRDefault="009F4766" w:rsidP="00C917D6">
            <w:pPr>
              <w:pStyle w:val="NormalLeft"/>
              <w:rPr>
                <w:sz w:val="14"/>
                <w:szCs w:val="14"/>
              </w:rPr>
            </w:pPr>
            <w:r w:rsidRPr="00DE12A3">
              <w:rPr>
                <w:sz w:val="14"/>
                <w:szCs w:val="14"/>
              </w:rPr>
              <w:t>8,812</w:t>
            </w:r>
          </w:p>
        </w:tc>
        <w:tc>
          <w:tcPr>
            <w:tcW w:w="464" w:type="dxa"/>
            <w:tcBorders>
              <w:top w:val="single" w:sz="2" w:space="0" w:color="auto"/>
              <w:left w:val="single" w:sz="2" w:space="0" w:color="auto"/>
              <w:bottom w:val="single" w:sz="2" w:space="0" w:color="auto"/>
              <w:right w:val="single" w:sz="2" w:space="0" w:color="auto"/>
            </w:tcBorders>
          </w:tcPr>
          <w:p w14:paraId="08EE8424" w14:textId="77777777" w:rsidR="009F4766" w:rsidRPr="00DE12A3" w:rsidRDefault="009F4766" w:rsidP="00C917D6">
            <w:pPr>
              <w:pStyle w:val="NormalLeft"/>
              <w:rPr>
                <w:sz w:val="14"/>
                <w:szCs w:val="14"/>
              </w:rPr>
            </w:pPr>
            <w:r w:rsidRPr="00DE12A3">
              <w:rPr>
                <w:sz w:val="14"/>
                <w:szCs w:val="14"/>
              </w:rPr>
              <w:t>8,786</w:t>
            </w:r>
          </w:p>
        </w:tc>
        <w:tc>
          <w:tcPr>
            <w:tcW w:w="465" w:type="dxa"/>
            <w:tcBorders>
              <w:top w:val="single" w:sz="2" w:space="0" w:color="auto"/>
              <w:left w:val="single" w:sz="2" w:space="0" w:color="auto"/>
              <w:bottom w:val="single" w:sz="2" w:space="0" w:color="auto"/>
              <w:right w:val="single" w:sz="2" w:space="0" w:color="auto"/>
            </w:tcBorders>
          </w:tcPr>
          <w:p w14:paraId="41501AB7" w14:textId="77777777" w:rsidR="009F4766" w:rsidRPr="00DE12A3" w:rsidRDefault="009F4766" w:rsidP="00C917D6">
            <w:pPr>
              <w:pStyle w:val="NormalLeft"/>
              <w:rPr>
                <w:sz w:val="14"/>
                <w:szCs w:val="14"/>
              </w:rPr>
            </w:pPr>
            <w:r w:rsidRPr="00DE12A3">
              <w:rPr>
                <w:sz w:val="14"/>
                <w:szCs w:val="14"/>
              </w:rPr>
              <w:t>8,745</w:t>
            </w:r>
          </w:p>
        </w:tc>
        <w:tc>
          <w:tcPr>
            <w:tcW w:w="464" w:type="dxa"/>
            <w:tcBorders>
              <w:top w:val="single" w:sz="2" w:space="0" w:color="auto"/>
              <w:left w:val="single" w:sz="2" w:space="0" w:color="auto"/>
              <w:bottom w:val="single" w:sz="2" w:space="0" w:color="auto"/>
              <w:right w:val="single" w:sz="2" w:space="0" w:color="auto"/>
            </w:tcBorders>
          </w:tcPr>
          <w:p w14:paraId="391DBCD1" w14:textId="77777777" w:rsidR="009F4766" w:rsidRPr="00DE12A3" w:rsidRDefault="009F4766" w:rsidP="00C917D6">
            <w:pPr>
              <w:pStyle w:val="NormalLeft"/>
              <w:rPr>
                <w:sz w:val="14"/>
                <w:szCs w:val="14"/>
              </w:rPr>
            </w:pPr>
            <w:r w:rsidRPr="00DE12A3">
              <w:rPr>
                <w:sz w:val="14"/>
                <w:szCs w:val="14"/>
              </w:rPr>
              <w:t>8,703</w:t>
            </w:r>
          </w:p>
        </w:tc>
        <w:tc>
          <w:tcPr>
            <w:tcW w:w="464" w:type="dxa"/>
            <w:tcBorders>
              <w:top w:val="single" w:sz="2" w:space="0" w:color="auto"/>
              <w:left w:val="single" w:sz="2" w:space="0" w:color="auto"/>
              <w:bottom w:val="single" w:sz="2" w:space="0" w:color="auto"/>
              <w:right w:val="single" w:sz="2" w:space="0" w:color="auto"/>
            </w:tcBorders>
          </w:tcPr>
          <w:p w14:paraId="44E16BB4" w14:textId="77777777" w:rsidR="009F4766" w:rsidRPr="00DE12A3" w:rsidRDefault="009F4766" w:rsidP="00C917D6">
            <w:pPr>
              <w:pStyle w:val="NormalLeft"/>
              <w:rPr>
                <w:sz w:val="14"/>
                <w:szCs w:val="14"/>
              </w:rPr>
            </w:pPr>
            <w:r w:rsidRPr="00DE12A3">
              <w:rPr>
                <w:sz w:val="14"/>
                <w:szCs w:val="14"/>
              </w:rPr>
              <w:t>8,660</w:t>
            </w:r>
          </w:p>
        </w:tc>
        <w:tc>
          <w:tcPr>
            <w:tcW w:w="465" w:type="dxa"/>
            <w:tcBorders>
              <w:top w:val="single" w:sz="2" w:space="0" w:color="auto"/>
              <w:left w:val="single" w:sz="2" w:space="0" w:color="auto"/>
              <w:bottom w:val="single" w:sz="2" w:space="0" w:color="auto"/>
              <w:right w:val="single" w:sz="2" w:space="0" w:color="auto"/>
            </w:tcBorders>
          </w:tcPr>
          <w:p w14:paraId="16EDA0B3" w14:textId="77777777" w:rsidR="009F4766" w:rsidRPr="00DE12A3" w:rsidRDefault="009F4766" w:rsidP="00C917D6">
            <w:pPr>
              <w:pStyle w:val="NormalLeft"/>
              <w:rPr>
                <w:sz w:val="14"/>
                <w:szCs w:val="14"/>
              </w:rPr>
            </w:pPr>
            <w:r w:rsidRPr="00DE12A3">
              <w:rPr>
                <w:sz w:val="14"/>
                <w:szCs w:val="14"/>
              </w:rPr>
              <w:t>8,639</w:t>
            </w:r>
          </w:p>
        </w:tc>
        <w:tc>
          <w:tcPr>
            <w:tcW w:w="464" w:type="dxa"/>
            <w:tcBorders>
              <w:top w:val="single" w:sz="2" w:space="0" w:color="auto"/>
              <w:left w:val="single" w:sz="2" w:space="0" w:color="auto"/>
              <w:bottom w:val="single" w:sz="2" w:space="0" w:color="auto"/>
              <w:right w:val="single" w:sz="2" w:space="0" w:color="auto"/>
            </w:tcBorders>
          </w:tcPr>
          <w:p w14:paraId="353AB15E" w14:textId="77777777" w:rsidR="009F4766" w:rsidRPr="00DE12A3" w:rsidRDefault="009F4766" w:rsidP="00C917D6">
            <w:pPr>
              <w:pStyle w:val="NormalLeft"/>
              <w:rPr>
                <w:sz w:val="14"/>
                <w:szCs w:val="14"/>
              </w:rPr>
            </w:pPr>
            <w:r w:rsidRPr="00DE12A3">
              <w:rPr>
                <w:sz w:val="14"/>
                <w:szCs w:val="14"/>
              </w:rPr>
              <w:t>8,617</w:t>
            </w:r>
          </w:p>
        </w:tc>
        <w:tc>
          <w:tcPr>
            <w:tcW w:w="464" w:type="dxa"/>
            <w:tcBorders>
              <w:top w:val="single" w:sz="2" w:space="0" w:color="auto"/>
              <w:left w:val="single" w:sz="2" w:space="0" w:color="auto"/>
              <w:bottom w:val="single" w:sz="2" w:space="0" w:color="auto"/>
              <w:right w:val="single" w:sz="2" w:space="0" w:color="auto"/>
            </w:tcBorders>
          </w:tcPr>
          <w:p w14:paraId="27B341C9" w14:textId="77777777" w:rsidR="009F4766" w:rsidRPr="00DE12A3" w:rsidRDefault="009F4766" w:rsidP="00C917D6">
            <w:pPr>
              <w:pStyle w:val="NormalLeft"/>
              <w:rPr>
                <w:sz w:val="14"/>
                <w:szCs w:val="14"/>
              </w:rPr>
            </w:pPr>
            <w:r w:rsidRPr="00DE12A3">
              <w:rPr>
                <w:sz w:val="14"/>
                <w:szCs w:val="14"/>
              </w:rPr>
              <w:t>8,594</w:t>
            </w:r>
          </w:p>
        </w:tc>
        <w:tc>
          <w:tcPr>
            <w:tcW w:w="464" w:type="dxa"/>
            <w:tcBorders>
              <w:top w:val="single" w:sz="2" w:space="0" w:color="auto"/>
              <w:left w:val="single" w:sz="2" w:space="0" w:color="auto"/>
              <w:bottom w:val="single" w:sz="2" w:space="0" w:color="auto"/>
              <w:right w:val="single" w:sz="2" w:space="0" w:color="auto"/>
            </w:tcBorders>
          </w:tcPr>
          <w:p w14:paraId="22EF7F4F" w14:textId="77777777" w:rsidR="009F4766" w:rsidRPr="00DE12A3" w:rsidRDefault="009F4766" w:rsidP="00C917D6">
            <w:pPr>
              <w:pStyle w:val="NormalLeft"/>
              <w:rPr>
                <w:sz w:val="14"/>
                <w:szCs w:val="14"/>
              </w:rPr>
            </w:pPr>
            <w:r w:rsidRPr="00DE12A3">
              <w:rPr>
                <w:sz w:val="14"/>
                <w:szCs w:val="14"/>
              </w:rPr>
              <w:t>8,572</w:t>
            </w:r>
          </w:p>
        </w:tc>
        <w:tc>
          <w:tcPr>
            <w:tcW w:w="465" w:type="dxa"/>
            <w:tcBorders>
              <w:top w:val="single" w:sz="2" w:space="0" w:color="auto"/>
              <w:left w:val="single" w:sz="2" w:space="0" w:color="auto"/>
              <w:bottom w:val="single" w:sz="2" w:space="0" w:color="auto"/>
              <w:right w:val="single" w:sz="2" w:space="0" w:color="auto"/>
            </w:tcBorders>
          </w:tcPr>
          <w:p w14:paraId="58F3B185" w14:textId="77777777" w:rsidR="009F4766" w:rsidRPr="00DE12A3" w:rsidRDefault="009F4766" w:rsidP="00C917D6">
            <w:pPr>
              <w:pStyle w:val="NormalLeft"/>
              <w:rPr>
                <w:sz w:val="14"/>
                <w:szCs w:val="14"/>
              </w:rPr>
            </w:pPr>
            <w:r w:rsidRPr="00DE12A3">
              <w:rPr>
                <w:sz w:val="14"/>
                <w:szCs w:val="14"/>
              </w:rPr>
              <w:t>8,549</w:t>
            </w:r>
          </w:p>
        </w:tc>
        <w:tc>
          <w:tcPr>
            <w:tcW w:w="464" w:type="dxa"/>
            <w:tcBorders>
              <w:top w:val="single" w:sz="2" w:space="0" w:color="auto"/>
              <w:left w:val="single" w:sz="2" w:space="0" w:color="auto"/>
              <w:bottom w:val="single" w:sz="2" w:space="0" w:color="auto"/>
              <w:right w:val="single" w:sz="2" w:space="0" w:color="auto"/>
            </w:tcBorders>
          </w:tcPr>
          <w:p w14:paraId="17EE2185" w14:textId="77777777" w:rsidR="009F4766" w:rsidRPr="00DE12A3" w:rsidRDefault="009F4766" w:rsidP="00C917D6">
            <w:pPr>
              <w:pStyle w:val="NormalLeft"/>
              <w:rPr>
                <w:sz w:val="14"/>
                <w:szCs w:val="14"/>
              </w:rPr>
            </w:pPr>
            <w:r w:rsidRPr="00DE12A3">
              <w:rPr>
                <w:sz w:val="14"/>
                <w:szCs w:val="14"/>
              </w:rPr>
              <w:t>8,526</w:t>
            </w:r>
          </w:p>
        </w:tc>
      </w:tr>
      <w:tr w:rsidR="00DE12A3" w:rsidRPr="00DE12A3" w14:paraId="63ADCE48" w14:textId="77777777" w:rsidTr="009F4766">
        <w:tc>
          <w:tcPr>
            <w:tcW w:w="464" w:type="dxa"/>
            <w:tcBorders>
              <w:top w:val="single" w:sz="2" w:space="0" w:color="auto"/>
              <w:left w:val="single" w:sz="2" w:space="0" w:color="auto"/>
              <w:bottom w:val="single" w:sz="2" w:space="0" w:color="auto"/>
              <w:right w:val="single" w:sz="2" w:space="0" w:color="auto"/>
            </w:tcBorders>
          </w:tcPr>
          <w:p w14:paraId="099BF13E" w14:textId="77777777" w:rsidR="009F4766" w:rsidRPr="00DE12A3" w:rsidRDefault="009F4766" w:rsidP="00C917D6">
            <w:pPr>
              <w:pStyle w:val="NormalLeft"/>
              <w:rPr>
                <w:sz w:val="14"/>
                <w:szCs w:val="14"/>
              </w:rPr>
            </w:pPr>
            <w:r w:rsidRPr="00DE12A3">
              <w:rPr>
                <w:sz w:val="14"/>
                <w:szCs w:val="14"/>
              </w:rPr>
              <w:t>4</w:t>
            </w:r>
          </w:p>
        </w:tc>
        <w:tc>
          <w:tcPr>
            <w:tcW w:w="465" w:type="dxa"/>
            <w:tcBorders>
              <w:top w:val="single" w:sz="2" w:space="0" w:color="auto"/>
              <w:left w:val="single" w:sz="2" w:space="0" w:color="auto"/>
              <w:bottom w:val="single" w:sz="2" w:space="0" w:color="auto"/>
              <w:right w:val="single" w:sz="2" w:space="0" w:color="auto"/>
            </w:tcBorders>
          </w:tcPr>
          <w:p w14:paraId="3E8296D7" w14:textId="77777777" w:rsidR="009F4766" w:rsidRPr="00DE12A3" w:rsidRDefault="009F4766" w:rsidP="00C917D6">
            <w:pPr>
              <w:pStyle w:val="NormalLeft"/>
              <w:rPr>
                <w:sz w:val="14"/>
                <w:szCs w:val="14"/>
              </w:rPr>
            </w:pPr>
            <w:r w:rsidRPr="00DE12A3">
              <w:rPr>
                <w:sz w:val="14"/>
                <w:szCs w:val="14"/>
              </w:rPr>
              <w:t>7,709</w:t>
            </w:r>
          </w:p>
        </w:tc>
        <w:tc>
          <w:tcPr>
            <w:tcW w:w="464" w:type="dxa"/>
            <w:tcBorders>
              <w:top w:val="single" w:sz="2" w:space="0" w:color="auto"/>
              <w:left w:val="single" w:sz="2" w:space="0" w:color="auto"/>
              <w:bottom w:val="single" w:sz="2" w:space="0" w:color="auto"/>
              <w:right w:val="single" w:sz="2" w:space="0" w:color="auto"/>
            </w:tcBorders>
          </w:tcPr>
          <w:p w14:paraId="32E17C3D" w14:textId="77777777" w:rsidR="009F4766" w:rsidRPr="00DE12A3" w:rsidRDefault="009F4766" w:rsidP="00C917D6">
            <w:pPr>
              <w:pStyle w:val="NormalLeft"/>
              <w:rPr>
                <w:sz w:val="14"/>
                <w:szCs w:val="14"/>
              </w:rPr>
            </w:pPr>
            <w:r w:rsidRPr="00DE12A3">
              <w:rPr>
                <w:sz w:val="14"/>
                <w:szCs w:val="14"/>
              </w:rPr>
              <w:t>6,944</w:t>
            </w:r>
          </w:p>
        </w:tc>
        <w:tc>
          <w:tcPr>
            <w:tcW w:w="464" w:type="dxa"/>
            <w:tcBorders>
              <w:top w:val="single" w:sz="2" w:space="0" w:color="auto"/>
              <w:left w:val="single" w:sz="2" w:space="0" w:color="auto"/>
              <w:bottom w:val="single" w:sz="2" w:space="0" w:color="auto"/>
              <w:right w:val="single" w:sz="2" w:space="0" w:color="auto"/>
            </w:tcBorders>
          </w:tcPr>
          <w:p w14:paraId="0F680A9A" w14:textId="77777777" w:rsidR="009F4766" w:rsidRPr="00DE12A3" w:rsidRDefault="009F4766" w:rsidP="00C917D6">
            <w:pPr>
              <w:pStyle w:val="NormalLeft"/>
              <w:rPr>
                <w:sz w:val="14"/>
                <w:szCs w:val="14"/>
              </w:rPr>
            </w:pPr>
            <w:r w:rsidRPr="00DE12A3">
              <w:rPr>
                <w:sz w:val="14"/>
                <w:szCs w:val="14"/>
              </w:rPr>
              <w:t>6,591</w:t>
            </w:r>
          </w:p>
        </w:tc>
        <w:tc>
          <w:tcPr>
            <w:tcW w:w="465" w:type="dxa"/>
            <w:tcBorders>
              <w:top w:val="single" w:sz="2" w:space="0" w:color="auto"/>
              <w:left w:val="single" w:sz="2" w:space="0" w:color="auto"/>
              <w:bottom w:val="single" w:sz="2" w:space="0" w:color="auto"/>
              <w:right w:val="single" w:sz="2" w:space="0" w:color="auto"/>
            </w:tcBorders>
          </w:tcPr>
          <w:p w14:paraId="256B72A4" w14:textId="77777777" w:rsidR="009F4766" w:rsidRPr="00DE12A3" w:rsidRDefault="009F4766" w:rsidP="00C917D6">
            <w:pPr>
              <w:pStyle w:val="NormalLeft"/>
              <w:rPr>
                <w:sz w:val="14"/>
                <w:szCs w:val="14"/>
              </w:rPr>
            </w:pPr>
            <w:r w:rsidRPr="00DE12A3">
              <w:rPr>
                <w:sz w:val="14"/>
                <w:szCs w:val="14"/>
              </w:rPr>
              <w:t>6,388</w:t>
            </w:r>
          </w:p>
        </w:tc>
        <w:tc>
          <w:tcPr>
            <w:tcW w:w="464" w:type="dxa"/>
            <w:tcBorders>
              <w:top w:val="single" w:sz="2" w:space="0" w:color="auto"/>
              <w:left w:val="single" w:sz="2" w:space="0" w:color="auto"/>
              <w:bottom w:val="single" w:sz="2" w:space="0" w:color="auto"/>
              <w:right w:val="single" w:sz="2" w:space="0" w:color="auto"/>
            </w:tcBorders>
          </w:tcPr>
          <w:p w14:paraId="2619B600" w14:textId="77777777" w:rsidR="009F4766" w:rsidRPr="00DE12A3" w:rsidRDefault="009F4766" w:rsidP="00C917D6">
            <w:pPr>
              <w:pStyle w:val="NormalLeft"/>
              <w:rPr>
                <w:sz w:val="14"/>
                <w:szCs w:val="14"/>
              </w:rPr>
            </w:pPr>
            <w:r w:rsidRPr="00DE12A3">
              <w:rPr>
                <w:sz w:val="14"/>
                <w:szCs w:val="14"/>
              </w:rPr>
              <w:t>6,256</w:t>
            </w:r>
          </w:p>
        </w:tc>
        <w:tc>
          <w:tcPr>
            <w:tcW w:w="464" w:type="dxa"/>
            <w:tcBorders>
              <w:top w:val="single" w:sz="2" w:space="0" w:color="auto"/>
              <w:left w:val="single" w:sz="2" w:space="0" w:color="auto"/>
              <w:bottom w:val="single" w:sz="2" w:space="0" w:color="auto"/>
              <w:right w:val="single" w:sz="2" w:space="0" w:color="auto"/>
            </w:tcBorders>
          </w:tcPr>
          <w:p w14:paraId="4367EF39" w14:textId="77777777" w:rsidR="009F4766" w:rsidRPr="00DE12A3" w:rsidRDefault="009F4766" w:rsidP="00C917D6">
            <w:pPr>
              <w:pStyle w:val="NormalLeft"/>
              <w:rPr>
                <w:sz w:val="14"/>
                <w:szCs w:val="14"/>
              </w:rPr>
            </w:pPr>
            <w:r w:rsidRPr="00DE12A3">
              <w:rPr>
                <w:sz w:val="14"/>
                <w:szCs w:val="14"/>
              </w:rPr>
              <w:t>6,163</w:t>
            </w:r>
          </w:p>
        </w:tc>
        <w:tc>
          <w:tcPr>
            <w:tcW w:w="464" w:type="dxa"/>
            <w:tcBorders>
              <w:top w:val="single" w:sz="2" w:space="0" w:color="auto"/>
              <w:left w:val="single" w:sz="2" w:space="0" w:color="auto"/>
              <w:bottom w:val="single" w:sz="2" w:space="0" w:color="auto"/>
              <w:right w:val="single" w:sz="2" w:space="0" w:color="auto"/>
            </w:tcBorders>
          </w:tcPr>
          <w:p w14:paraId="055133A7" w14:textId="77777777" w:rsidR="009F4766" w:rsidRPr="00DE12A3" w:rsidRDefault="009F4766" w:rsidP="00C917D6">
            <w:pPr>
              <w:pStyle w:val="NormalLeft"/>
              <w:rPr>
                <w:sz w:val="14"/>
                <w:szCs w:val="14"/>
              </w:rPr>
            </w:pPr>
            <w:r w:rsidRPr="00DE12A3">
              <w:rPr>
                <w:sz w:val="14"/>
                <w:szCs w:val="14"/>
              </w:rPr>
              <w:t>6,094</w:t>
            </w:r>
          </w:p>
        </w:tc>
        <w:tc>
          <w:tcPr>
            <w:tcW w:w="465" w:type="dxa"/>
            <w:tcBorders>
              <w:top w:val="single" w:sz="2" w:space="0" w:color="auto"/>
              <w:left w:val="single" w:sz="2" w:space="0" w:color="auto"/>
              <w:bottom w:val="single" w:sz="2" w:space="0" w:color="auto"/>
              <w:right w:val="single" w:sz="2" w:space="0" w:color="auto"/>
            </w:tcBorders>
          </w:tcPr>
          <w:p w14:paraId="17374E42" w14:textId="77777777" w:rsidR="009F4766" w:rsidRPr="00DE12A3" w:rsidRDefault="009F4766" w:rsidP="00C917D6">
            <w:pPr>
              <w:pStyle w:val="NormalLeft"/>
              <w:rPr>
                <w:sz w:val="14"/>
                <w:szCs w:val="14"/>
              </w:rPr>
            </w:pPr>
            <w:r w:rsidRPr="00DE12A3">
              <w:rPr>
                <w:sz w:val="14"/>
                <w:szCs w:val="14"/>
              </w:rPr>
              <w:t>6,041</w:t>
            </w:r>
          </w:p>
        </w:tc>
        <w:tc>
          <w:tcPr>
            <w:tcW w:w="464" w:type="dxa"/>
            <w:tcBorders>
              <w:top w:val="single" w:sz="2" w:space="0" w:color="auto"/>
              <w:left w:val="single" w:sz="2" w:space="0" w:color="auto"/>
              <w:bottom w:val="single" w:sz="2" w:space="0" w:color="auto"/>
              <w:right w:val="single" w:sz="2" w:space="0" w:color="auto"/>
            </w:tcBorders>
          </w:tcPr>
          <w:p w14:paraId="3FC2037B" w14:textId="77777777" w:rsidR="009F4766" w:rsidRPr="00DE12A3" w:rsidRDefault="009F4766" w:rsidP="00C917D6">
            <w:pPr>
              <w:pStyle w:val="NormalLeft"/>
              <w:rPr>
                <w:sz w:val="14"/>
                <w:szCs w:val="14"/>
              </w:rPr>
            </w:pPr>
            <w:r w:rsidRPr="00DE12A3">
              <w:rPr>
                <w:sz w:val="14"/>
                <w:szCs w:val="14"/>
              </w:rPr>
              <w:t>5,999</w:t>
            </w:r>
          </w:p>
        </w:tc>
        <w:tc>
          <w:tcPr>
            <w:tcW w:w="464" w:type="dxa"/>
            <w:tcBorders>
              <w:top w:val="single" w:sz="2" w:space="0" w:color="auto"/>
              <w:left w:val="single" w:sz="2" w:space="0" w:color="auto"/>
              <w:bottom w:val="single" w:sz="2" w:space="0" w:color="auto"/>
              <w:right w:val="single" w:sz="2" w:space="0" w:color="auto"/>
            </w:tcBorders>
          </w:tcPr>
          <w:p w14:paraId="110C66CB" w14:textId="77777777" w:rsidR="009F4766" w:rsidRPr="00DE12A3" w:rsidRDefault="009F4766" w:rsidP="00C917D6">
            <w:pPr>
              <w:pStyle w:val="NormalLeft"/>
              <w:rPr>
                <w:sz w:val="14"/>
                <w:szCs w:val="14"/>
              </w:rPr>
            </w:pPr>
            <w:r w:rsidRPr="00DE12A3">
              <w:rPr>
                <w:sz w:val="14"/>
                <w:szCs w:val="14"/>
              </w:rPr>
              <w:t>5,964</w:t>
            </w:r>
          </w:p>
        </w:tc>
        <w:tc>
          <w:tcPr>
            <w:tcW w:w="465" w:type="dxa"/>
            <w:tcBorders>
              <w:top w:val="single" w:sz="2" w:space="0" w:color="auto"/>
              <w:left w:val="single" w:sz="2" w:space="0" w:color="auto"/>
              <w:bottom w:val="single" w:sz="2" w:space="0" w:color="auto"/>
              <w:right w:val="single" w:sz="2" w:space="0" w:color="auto"/>
            </w:tcBorders>
          </w:tcPr>
          <w:p w14:paraId="23D03CCF" w14:textId="77777777" w:rsidR="009F4766" w:rsidRPr="00DE12A3" w:rsidRDefault="009F4766" w:rsidP="00C917D6">
            <w:pPr>
              <w:pStyle w:val="NormalLeft"/>
              <w:rPr>
                <w:sz w:val="14"/>
                <w:szCs w:val="14"/>
              </w:rPr>
            </w:pPr>
            <w:r w:rsidRPr="00DE12A3">
              <w:rPr>
                <w:sz w:val="14"/>
                <w:szCs w:val="14"/>
              </w:rPr>
              <w:t>5,912</w:t>
            </w:r>
          </w:p>
        </w:tc>
        <w:tc>
          <w:tcPr>
            <w:tcW w:w="464" w:type="dxa"/>
            <w:tcBorders>
              <w:top w:val="single" w:sz="2" w:space="0" w:color="auto"/>
              <w:left w:val="single" w:sz="2" w:space="0" w:color="auto"/>
              <w:bottom w:val="single" w:sz="2" w:space="0" w:color="auto"/>
              <w:right w:val="single" w:sz="2" w:space="0" w:color="auto"/>
            </w:tcBorders>
          </w:tcPr>
          <w:p w14:paraId="06B99A7C" w14:textId="77777777" w:rsidR="009F4766" w:rsidRPr="00DE12A3" w:rsidRDefault="009F4766" w:rsidP="00C917D6">
            <w:pPr>
              <w:pStyle w:val="NormalLeft"/>
              <w:rPr>
                <w:sz w:val="14"/>
                <w:szCs w:val="14"/>
              </w:rPr>
            </w:pPr>
            <w:r w:rsidRPr="00DE12A3">
              <w:rPr>
                <w:sz w:val="14"/>
                <w:szCs w:val="14"/>
              </w:rPr>
              <w:t>5,858</w:t>
            </w:r>
          </w:p>
        </w:tc>
        <w:tc>
          <w:tcPr>
            <w:tcW w:w="464" w:type="dxa"/>
            <w:tcBorders>
              <w:top w:val="single" w:sz="2" w:space="0" w:color="auto"/>
              <w:left w:val="single" w:sz="2" w:space="0" w:color="auto"/>
              <w:bottom w:val="single" w:sz="2" w:space="0" w:color="auto"/>
              <w:right w:val="single" w:sz="2" w:space="0" w:color="auto"/>
            </w:tcBorders>
          </w:tcPr>
          <w:p w14:paraId="19682CE3" w14:textId="77777777" w:rsidR="009F4766" w:rsidRPr="00DE12A3" w:rsidRDefault="009F4766" w:rsidP="00C917D6">
            <w:pPr>
              <w:pStyle w:val="NormalLeft"/>
              <w:rPr>
                <w:sz w:val="14"/>
                <w:szCs w:val="14"/>
              </w:rPr>
            </w:pPr>
            <w:r w:rsidRPr="00DE12A3">
              <w:rPr>
                <w:sz w:val="14"/>
                <w:szCs w:val="14"/>
              </w:rPr>
              <w:t>5,803</w:t>
            </w:r>
          </w:p>
        </w:tc>
        <w:tc>
          <w:tcPr>
            <w:tcW w:w="465" w:type="dxa"/>
            <w:tcBorders>
              <w:top w:val="single" w:sz="2" w:space="0" w:color="auto"/>
              <w:left w:val="single" w:sz="2" w:space="0" w:color="auto"/>
              <w:bottom w:val="single" w:sz="2" w:space="0" w:color="auto"/>
              <w:right w:val="single" w:sz="2" w:space="0" w:color="auto"/>
            </w:tcBorders>
          </w:tcPr>
          <w:p w14:paraId="4C8ECFE3" w14:textId="77777777" w:rsidR="009F4766" w:rsidRPr="00DE12A3" w:rsidRDefault="009F4766" w:rsidP="00C917D6">
            <w:pPr>
              <w:pStyle w:val="NormalLeft"/>
              <w:rPr>
                <w:sz w:val="14"/>
                <w:szCs w:val="14"/>
              </w:rPr>
            </w:pPr>
            <w:r w:rsidRPr="00DE12A3">
              <w:rPr>
                <w:sz w:val="14"/>
                <w:szCs w:val="14"/>
              </w:rPr>
              <w:t>5,774</w:t>
            </w:r>
          </w:p>
        </w:tc>
        <w:tc>
          <w:tcPr>
            <w:tcW w:w="464" w:type="dxa"/>
            <w:tcBorders>
              <w:top w:val="single" w:sz="2" w:space="0" w:color="auto"/>
              <w:left w:val="single" w:sz="2" w:space="0" w:color="auto"/>
              <w:bottom w:val="single" w:sz="2" w:space="0" w:color="auto"/>
              <w:right w:val="single" w:sz="2" w:space="0" w:color="auto"/>
            </w:tcBorders>
          </w:tcPr>
          <w:p w14:paraId="1DCA25FD" w14:textId="77777777" w:rsidR="009F4766" w:rsidRPr="00DE12A3" w:rsidRDefault="009F4766" w:rsidP="00C917D6">
            <w:pPr>
              <w:pStyle w:val="NormalLeft"/>
              <w:rPr>
                <w:sz w:val="14"/>
                <w:szCs w:val="14"/>
              </w:rPr>
            </w:pPr>
            <w:r w:rsidRPr="00DE12A3">
              <w:rPr>
                <w:sz w:val="14"/>
                <w:szCs w:val="14"/>
              </w:rPr>
              <w:t>5,746</w:t>
            </w:r>
          </w:p>
        </w:tc>
        <w:tc>
          <w:tcPr>
            <w:tcW w:w="464" w:type="dxa"/>
            <w:tcBorders>
              <w:top w:val="single" w:sz="2" w:space="0" w:color="auto"/>
              <w:left w:val="single" w:sz="2" w:space="0" w:color="auto"/>
              <w:bottom w:val="single" w:sz="2" w:space="0" w:color="auto"/>
              <w:right w:val="single" w:sz="2" w:space="0" w:color="auto"/>
            </w:tcBorders>
          </w:tcPr>
          <w:p w14:paraId="6F200B50" w14:textId="77777777" w:rsidR="009F4766" w:rsidRPr="00DE12A3" w:rsidRDefault="009F4766" w:rsidP="00C917D6">
            <w:pPr>
              <w:pStyle w:val="NormalLeft"/>
              <w:rPr>
                <w:sz w:val="14"/>
                <w:szCs w:val="14"/>
              </w:rPr>
            </w:pPr>
            <w:r w:rsidRPr="00DE12A3">
              <w:rPr>
                <w:sz w:val="14"/>
                <w:szCs w:val="14"/>
              </w:rPr>
              <w:t>5,717</w:t>
            </w:r>
          </w:p>
        </w:tc>
        <w:tc>
          <w:tcPr>
            <w:tcW w:w="464" w:type="dxa"/>
            <w:tcBorders>
              <w:top w:val="single" w:sz="2" w:space="0" w:color="auto"/>
              <w:left w:val="single" w:sz="2" w:space="0" w:color="auto"/>
              <w:bottom w:val="single" w:sz="2" w:space="0" w:color="auto"/>
              <w:right w:val="single" w:sz="2" w:space="0" w:color="auto"/>
            </w:tcBorders>
          </w:tcPr>
          <w:p w14:paraId="3B5EE2F1" w14:textId="77777777" w:rsidR="009F4766" w:rsidRPr="00DE12A3" w:rsidRDefault="009F4766" w:rsidP="00C917D6">
            <w:pPr>
              <w:pStyle w:val="NormalLeft"/>
              <w:rPr>
                <w:sz w:val="14"/>
                <w:szCs w:val="14"/>
              </w:rPr>
            </w:pPr>
            <w:r w:rsidRPr="00DE12A3">
              <w:rPr>
                <w:sz w:val="14"/>
                <w:szCs w:val="14"/>
              </w:rPr>
              <w:t>5,688</w:t>
            </w:r>
          </w:p>
        </w:tc>
        <w:tc>
          <w:tcPr>
            <w:tcW w:w="465" w:type="dxa"/>
            <w:tcBorders>
              <w:top w:val="single" w:sz="2" w:space="0" w:color="auto"/>
              <w:left w:val="single" w:sz="2" w:space="0" w:color="auto"/>
              <w:bottom w:val="single" w:sz="2" w:space="0" w:color="auto"/>
              <w:right w:val="single" w:sz="2" w:space="0" w:color="auto"/>
            </w:tcBorders>
          </w:tcPr>
          <w:p w14:paraId="4234FA2A" w14:textId="77777777" w:rsidR="009F4766" w:rsidRPr="00DE12A3" w:rsidRDefault="009F4766" w:rsidP="00C917D6">
            <w:pPr>
              <w:pStyle w:val="NormalLeft"/>
              <w:rPr>
                <w:sz w:val="14"/>
                <w:szCs w:val="14"/>
              </w:rPr>
            </w:pPr>
            <w:r w:rsidRPr="00DE12A3">
              <w:rPr>
                <w:sz w:val="14"/>
                <w:szCs w:val="14"/>
              </w:rPr>
              <w:t>5,658</w:t>
            </w:r>
          </w:p>
        </w:tc>
        <w:tc>
          <w:tcPr>
            <w:tcW w:w="464" w:type="dxa"/>
            <w:tcBorders>
              <w:top w:val="single" w:sz="2" w:space="0" w:color="auto"/>
              <w:left w:val="single" w:sz="2" w:space="0" w:color="auto"/>
              <w:bottom w:val="single" w:sz="2" w:space="0" w:color="auto"/>
              <w:right w:val="single" w:sz="2" w:space="0" w:color="auto"/>
            </w:tcBorders>
          </w:tcPr>
          <w:p w14:paraId="056DE318" w14:textId="77777777" w:rsidR="009F4766" w:rsidRPr="00DE12A3" w:rsidRDefault="009F4766" w:rsidP="00C917D6">
            <w:pPr>
              <w:pStyle w:val="NormalLeft"/>
              <w:rPr>
                <w:sz w:val="14"/>
                <w:szCs w:val="14"/>
              </w:rPr>
            </w:pPr>
            <w:r w:rsidRPr="00DE12A3">
              <w:rPr>
                <w:sz w:val="14"/>
                <w:szCs w:val="14"/>
              </w:rPr>
              <w:t>5,628</w:t>
            </w:r>
          </w:p>
        </w:tc>
      </w:tr>
      <w:tr w:rsidR="00DE12A3" w:rsidRPr="00DE12A3" w14:paraId="2A56F33A" w14:textId="77777777" w:rsidTr="009F4766">
        <w:tc>
          <w:tcPr>
            <w:tcW w:w="464" w:type="dxa"/>
            <w:tcBorders>
              <w:top w:val="single" w:sz="2" w:space="0" w:color="auto"/>
              <w:left w:val="single" w:sz="2" w:space="0" w:color="auto"/>
              <w:bottom w:val="single" w:sz="2" w:space="0" w:color="auto"/>
              <w:right w:val="single" w:sz="2" w:space="0" w:color="auto"/>
            </w:tcBorders>
          </w:tcPr>
          <w:p w14:paraId="1DCF93B3" w14:textId="77777777" w:rsidR="009F4766" w:rsidRPr="00DE12A3" w:rsidRDefault="009F4766" w:rsidP="00C917D6">
            <w:pPr>
              <w:pStyle w:val="NormalLeft"/>
              <w:rPr>
                <w:sz w:val="14"/>
                <w:szCs w:val="14"/>
              </w:rPr>
            </w:pPr>
            <w:r w:rsidRPr="00DE12A3">
              <w:rPr>
                <w:sz w:val="14"/>
                <w:szCs w:val="14"/>
              </w:rPr>
              <w:t>5</w:t>
            </w:r>
          </w:p>
        </w:tc>
        <w:tc>
          <w:tcPr>
            <w:tcW w:w="465" w:type="dxa"/>
            <w:tcBorders>
              <w:top w:val="single" w:sz="2" w:space="0" w:color="auto"/>
              <w:left w:val="single" w:sz="2" w:space="0" w:color="auto"/>
              <w:bottom w:val="single" w:sz="2" w:space="0" w:color="auto"/>
              <w:right w:val="single" w:sz="2" w:space="0" w:color="auto"/>
            </w:tcBorders>
          </w:tcPr>
          <w:p w14:paraId="3F61F0F3" w14:textId="77777777" w:rsidR="009F4766" w:rsidRPr="00DE12A3" w:rsidRDefault="009F4766" w:rsidP="00C917D6">
            <w:pPr>
              <w:pStyle w:val="NormalLeft"/>
              <w:rPr>
                <w:sz w:val="14"/>
                <w:szCs w:val="14"/>
              </w:rPr>
            </w:pPr>
            <w:r w:rsidRPr="00DE12A3">
              <w:rPr>
                <w:sz w:val="14"/>
                <w:szCs w:val="14"/>
              </w:rPr>
              <w:t>6,608</w:t>
            </w:r>
          </w:p>
        </w:tc>
        <w:tc>
          <w:tcPr>
            <w:tcW w:w="464" w:type="dxa"/>
            <w:tcBorders>
              <w:top w:val="single" w:sz="2" w:space="0" w:color="auto"/>
              <w:left w:val="single" w:sz="2" w:space="0" w:color="auto"/>
              <w:bottom w:val="single" w:sz="2" w:space="0" w:color="auto"/>
              <w:right w:val="single" w:sz="2" w:space="0" w:color="auto"/>
            </w:tcBorders>
          </w:tcPr>
          <w:p w14:paraId="2B657996" w14:textId="77777777" w:rsidR="009F4766" w:rsidRPr="00DE12A3" w:rsidRDefault="009F4766" w:rsidP="00C917D6">
            <w:pPr>
              <w:pStyle w:val="NormalLeft"/>
              <w:rPr>
                <w:sz w:val="14"/>
                <w:szCs w:val="14"/>
              </w:rPr>
            </w:pPr>
            <w:r w:rsidRPr="00DE12A3">
              <w:rPr>
                <w:sz w:val="14"/>
                <w:szCs w:val="14"/>
              </w:rPr>
              <w:t>5,786</w:t>
            </w:r>
          </w:p>
        </w:tc>
        <w:tc>
          <w:tcPr>
            <w:tcW w:w="464" w:type="dxa"/>
            <w:tcBorders>
              <w:top w:val="single" w:sz="2" w:space="0" w:color="auto"/>
              <w:left w:val="single" w:sz="2" w:space="0" w:color="auto"/>
              <w:bottom w:val="single" w:sz="2" w:space="0" w:color="auto"/>
              <w:right w:val="single" w:sz="2" w:space="0" w:color="auto"/>
            </w:tcBorders>
          </w:tcPr>
          <w:p w14:paraId="6EF64B20" w14:textId="77777777" w:rsidR="009F4766" w:rsidRPr="00DE12A3" w:rsidRDefault="009F4766" w:rsidP="00C917D6">
            <w:pPr>
              <w:pStyle w:val="NormalLeft"/>
              <w:rPr>
                <w:sz w:val="14"/>
                <w:szCs w:val="14"/>
              </w:rPr>
            </w:pPr>
            <w:r w:rsidRPr="00DE12A3">
              <w:rPr>
                <w:sz w:val="14"/>
                <w:szCs w:val="14"/>
              </w:rPr>
              <w:t>5,410</w:t>
            </w:r>
          </w:p>
        </w:tc>
        <w:tc>
          <w:tcPr>
            <w:tcW w:w="465" w:type="dxa"/>
            <w:tcBorders>
              <w:top w:val="single" w:sz="2" w:space="0" w:color="auto"/>
              <w:left w:val="single" w:sz="2" w:space="0" w:color="auto"/>
              <w:bottom w:val="single" w:sz="2" w:space="0" w:color="auto"/>
              <w:right w:val="single" w:sz="2" w:space="0" w:color="auto"/>
            </w:tcBorders>
          </w:tcPr>
          <w:p w14:paraId="79AD1072" w14:textId="77777777" w:rsidR="009F4766" w:rsidRPr="00DE12A3" w:rsidRDefault="009F4766" w:rsidP="00C917D6">
            <w:pPr>
              <w:pStyle w:val="NormalLeft"/>
              <w:rPr>
                <w:sz w:val="14"/>
                <w:szCs w:val="14"/>
              </w:rPr>
            </w:pPr>
            <w:r w:rsidRPr="00DE12A3">
              <w:rPr>
                <w:sz w:val="14"/>
                <w:szCs w:val="14"/>
              </w:rPr>
              <w:t>5,192</w:t>
            </w:r>
          </w:p>
        </w:tc>
        <w:tc>
          <w:tcPr>
            <w:tcW w:w="464" w:type="dxa"/>
            <w:tcBorders>
              <w:top w:val="single" w:sz="2" w:space="0" w:color="auto"/>
              <w:left w:val="single" w:sz="2" w:space="0" w:color="auto"/>
              <w:bottom w:val="single" w:sz="2" w:space="0" w:color="auto"/>
              <w:right w:val="single" w:sz="2" w:space="0" w:color="auto"/>
            </w:tcBorders>
          </w:tcPr>
          <w:p w14:paraId="7F5CCF22" w14:textId="77777777" w:rsidR="009F4766" w:rsidRPr="00DE12A3" w:rsidRDefault="009F4766" w:rsidP="00C917D6">
            <w:pPr>
              <w:pStyle w:val="NormalLeft"/>
              <w:rPr>
                <w:sz w:val="14"/>
                <w:szCs w:val="14"/>
              </w:rPr>
            </w:pPr>
            <w:r w:rsidRPr="00DE12A3">
              <w:rPr>
                <w:sz w:val="14"/>
                <w:szCs w:val="14"/>
              </w:rPr>
              <w:t>5,050</w:t>
            </w:r>
          </w:p>
        </w:tc>
        <w:tc>
          <w:tcPr>
            <w:tcW w:w="464" w:type="dxa"/>
            <w:tcBorders>
              <w:top w:val="single" w:sz="2" w:space="0" w:color="auto"/>
              <w:left w:val="single" w:sz="2" w:space="0" w:color="auto"/>
              <w:bottom w:val="single" w:sz="2" w:space="0" w:color="auto"/>
              <w:right w:val="single" w:sz="2" w:space="0" w:color="auto"/>
            </w:tcBorders>
          </w:tcPr>
          <w:p w14:paraId="268356F2" w14:textId="77777777" w:rsidR="009F4766" w:rsidRPr="00DE12A3" w:rsidRDefault="009F4766" w:rsidP="00C917D6">
            <w:pPr>
              <w:pStyle w:val="NormalLeft"/>
              <w:rPr>
                <w:sz w:val="14"/>
                <w:szCs w:val="14"/>
              </w:rPr>
            </w:pPr>
            <w:r w:rsidRPr="00DE12A3">
              <w:rPr>
                <w:sz w:val="14"/>
                <w:szCs w:val="14"/>
              </w:rPr>
              <w:t>4,950</w:t>
            </w:r>
          </w:p>
        </w:tc>
        <w:tc>
          <w:tcPr>
            <w:tcW w:w="464" w:type="dxa"/>
            <w:tcBorders>
              <w:top w:val="single" w:sz="2" w:space="0" w:color="auto"/>
              <w:left w:val="single" w:sz="2" w:space="0" w:color="auto"/>
              <w:bottom w:val="single" w:sz="2" w:space="0" w:color="auto"/>
              <w:right w:val="single" w:sz="2" w:space="0" w:color="auto"/>
            </w:tcBorders>
          </w:tcPr>
          <w:p w14:paraId="17AB44AE" w14:textId="77777777" w:rsidR="009F4766" w:rsidRPr="00DE12A3" w:rsidRDefault="009F4766" w:rsidP="00C917D6">
            <w:pPr>
              <w:pStyle w:val="NormalLeft"/>
              <w:rPr>
                <w:sz w:val="14"/>
                <w:szCs w:val="14"/>
              </w:rPr>
            </w:pPr>
            <w:r w:rsidRPr="00DE12A3">
              <w:rPr>
                <w:sz w:val="14"/>
                <w:szCs w:val="14"/>
              </w:rPr>
              <w:t>4,876</w:t>
            </w:r>
          </w:p>
        </w:tc>
        <w:tc>
          <w:tcPr>
            <w:tcW w:w="465" w:type="dxa"/>
            <w:tcBorders>
              <w:top w:val="single" w:sz="2" w:space="0" w:color="auto"/>
              <w:left w:val="single" w:sz="2" w:space="0" w:color="auto"/>
              <w:bottom w:val="single" w:sz="2" w:space="0" w:color="auto"/>
              <w:right w:val="single" w:sz="2" w:space="0" w:color="auto"/>
            </w:tcBorders>
          </w:tcPr>
          <w:p w14:paraId="2076749F" w14:textId="77777777" w:rsidR="009F4766" w:rsidRPr="00DE12A3" w:rsidRDefault="009F4766" w:rsidP="00C917D6">
            <w:pPr>
              <w:pStyle w:val="NormalLeft"/>
              <w:rPr>
                <w:sz w:val="14"/>
                <w:szCs w:val="14"/>
              </w:rPr>
            </w:pPr>
            <w:r w:rsidRPr="00DE12A3">
              <w:rPr>
                <w:sz w:val="14"/>
                <w:szCs w:val="14"/>
              </w:rPr>
              <w:t>4,818</w:t>
            </w:r>
          </w:p>
        </w:tc>
        <w:tc>
          <w:tcPr>
            <w:tcW w:w="464" w:type="dxa"/>
            <w:tcBorders>
              <w:top w:val="single" w:sz="2" w:space="0" w:color="auto"/>
              <w:left w:val="single" w:sz="2" w:space="0" w:color="auto"/>
              <w:bottom w:val="single" w:sz="2" w:space="0" w:color="auto"/>
              <w:right w:val="single" w:sz="2" w:space="0" w:color="auto"/>
            </w:tcBorders>
          </w:tcPr>
          <w:p w14:paraId="7B64AE15" w14:textId="77777777" w:rsidR="009F4766" w:rsidRPr="00DE12A3" w:rsidRDefault="009F4766" w:rsidP="00C917D6">
            <w:pPr>
              <w:pStyle w:val="NormalLeft"/>
              <w:rPr>
                <w:sz w:val="14"/>
                <w:szCs w:val="14"/>
              </w:rPr>
            </w:pPr>
            <w:r w:rsidRPr="00DE12A3">
              <w:rPr>
                <w:sz w:val="14"/>
                <w:szCs w:val="14"/>
              </w:rPr>
              <w:t>4,773</w:t>
            </w:r>
          </w:p>
        </w:tc>
        <w:tc>
          <w:tcPr>
            <w:tcW w:w="464" w:type="dxa"/>
            <w:tcBorders>
              <w:top w:val="single" w:sz="2" w:space="0" w:color="auto"/>
              <w:left w:val="single" w:sz="2" w:space="0" w:color="auto"/>
              <w:bottom w:val="single" w:sz="2" w:space="0" w:color="auto"/>
              <w:right w:val="single" w:sz="2" w:space="0" w:color="auto"/>
            </w:tcBorders>
          </w:tcPr>
          <w:p w14:paraId="60774FEA" w14:textId="77777777" w:rsidR="009F4766" w:rsidRPr="00DE12A3" w:rsidRDefault="009F4766" w:rsidP="00C917D6">
            <w:pPr>
              <w:pStyle w:val="NormalLeft"/>
              <w:rPr>
                <w:sz w:val="14"/>
                <w:szCs w:val="14"/>
              </w:rPr>
            </w:pPr>
            <w:r w:rsidRPr="00DE12A3">
              <w:rPr>
                <w:sz w:val="14"/>
                <w:szCs w:val="14"/>
              </w:rPr>
              <w:t>4,735</w:t>
            </w:r>
          </w:p>
        </w:tc>
        <w:tc>
          <w:tcPr>
            <w:tcW w:w="465" w:type="dxa"/>
            <w:tcBorders>
              <w:top w:val="single" w:sz="2" w:space="0" w:color="auto"/>
              <w:left w:val="single" w:sz="2" w:space="0" w:color="auto"/>
              <w:bottom w:val="single" w:sz="2" w:space="0" w:color="auto"/>
              <w:right w:val="single" w:sz="2" w:space="0" w:color="auto"/>
            </w:tcBorders>
          </w:tcPr>
          <w:p w14:paraId="5C41C09D" w14:textId="77777777" w:rsidR="009F4766" w:rsidRPr="00DE12A3" w:rsidRDefault="009F4766" w:rsidP="00C917D6">
            <w:pPr>
              <w:pStyle w:val="NormalLeft"/>
              <w:rPr>
                <w:sz w:val="14"/>
                <w:szCs w:val="14"/>
              </w:rPr>
            </w:pPr>
            <w:r w:rsidRPr="00DE12A3">
              <w:rPr>
                <w:sz w:val="14"/>
                <w:szCs w:val="14"/>
              </w:rPr>
              <w:t>4,678</w:t>
            </w:r>
          </w:p>
        </w:tc>
        <w:tc>
          <w:tcPr>
            <w:tcW w:w="464" w:type="dxa"/>
            <w:tcBorders>
              <w:top w:val="single" w:sz="2" w:space="0" w:color="auto"/>
              <w:left w:val="single" w:sz="2" w:space="0" w:color="auto"/>
              <w:bottom w:val="single" w:sz="2" w:space="0" w:color="auto"/>
              <w:right w:val="single" w:sz="2" w:space="0" w:color="auto"/>
            </w:tcBorders>
          </w:tcPr>
          <w:p w14:paraId="6187237F" w14:textId="77777777" w:rsidR="009F4766" w:rsidRPr="00DE12A3" w:rsidRDefault="009F4766" w:rsidP="00C917D6">
            <w:pPr>
              <w:pStyle w:val="NormalLeft"/>
              <w:rPr>
                <w:sz w:val="14"/>
                <w:szCs w:val="14"/>
              </w:rPr>
            </w:pPr>
            <w:r w:rsidRPr="00DE12A3">
              <w:rPr>
                <w:sz w:val="14"/>
                <w:szCs w:val="14"/>
              </w:rPr>
              <w:t>4,619</w:t>
            </w:r>
          </w:p>
        </w:tc>
        <w:tc>
          <w:tcPr>
            <w:tcW w:w="464" w:type="dxa"/>
            <w:tcBorders>
              <w:top w:val="single" w:sz="2" w:space="0" w:color="auto"/>
              <w:left w:val="single" w:sz="2" w:space="0" w:color="auto"/>
              <w:bottom w:val="single" w:sz="2" w:space="0" w:color="auto"/>
              <w:right w:val="single" w:sz="2" w:space="0" w:color="auto"/>
            </w:tcBorders>
          </w:tcPr>
          <w:p w14:paraId="18699E86" w14:textId="77777777" w:rsidR="009F4766" w:rsidRPr="00DE12A3" w:rsidRDefault="009F4766" w:rsidP="00C917D6">
            <w:pPr>
              <w:pStyle w:val="NormalLeft"/>
              <w:rPr>
                <w:sz w:val="14"/>
                <w:szCs w:val="14"/>
              </w:rPr>
            </w:pPr>
            <w:r w:rsidRPr="00DE12A3">
              <w:rPr>
                <w:sz w:val="14"/>
                <w:szCs w:val="14"/>
              </w:rPr>
              <w:t>4,558</w:t>
            </w:r>
          </w:p>
        </w:tc>
        <w:tc>
          <w:tcPr>
            <w:tcW w:w="465" w:type="dxa"/>
            <w:tcBorders>
              <w:top w:val="single" w:sz="2" w:space="0" w:color="auto"/>
              <w:left w:val="single" w:sz="2" w:space="0" w:color="auto"/>
              <w:bottom w:val="single" w:sz="2" w:space="0" w:color="auto"/>
              <w:right w:val="single" w:sz="2" w:space="0" w:color="auto"/>
            </w:tcBorders>
          </w:tcPr>
          <w:p w14:paraId="26F336ED" w14:textId="77777777" w:rsidR="009F4766" w:rsidRPr="00DE12A3" w:rsidRDefault="009F4766" w:rsidP="00C917D6">
            <w:pPr>
              <w:pStyle w:val="NormalLeft"/>
              <w:rPr>
                <w:sz w:val="14"/>
                <w:szCs w:val="14"/>
              </w:rPr>
            </w:pPr>
            <w:r w:rsidRPr="00DE12A3">
              <w:rPr>
                <w:sz w:val="14"/>
                <w:szCs w:val="14"/>
              </w:rPr>
              <w:t>4,527</w:t>
            </w:r>
          </w:p>
        </w:tc>
        <w:tc>
          <w:tcPr>
            <w:tcW w:w="464" w:type="dxa"/>
            <w:tcBorders>
              <w:top w:val="single" w:sz="2" w:space="0" w:color="auto"/>
              <w:left w:val="single" w:sz="2" w:space="0" w:color="auto"/>
              <w:bottom w:val="single" w:sz="2" w:space="0" w:color="auto"/>
              <w:right w:val="single" w:sz="2" w:space="0" w:color="auto"/>
            </w:tcBorders>
          </w:tcPr>
          <w:p w14:paraId="5B8ED712" w14:textId="77777777" w:rsidR="009F4766" w:rsidRPr="00DE12A3" w:rsidRDefault="009F4766" w:rsidP="00C917D6">
            <w:pPr>
              <w:pStyle w:val="NormalLeft"/>
              <w:rPr>
                <w:sz w:val="14"/>
                <w:szCs w:val="14"/>
              </w:rPr>
            </w:pPr>
            <w:r w:rsidRPr="00DE12A3">
              <w:rPr>
                <w:sz w:val="14"/>
                <w:szCs w:val="14"/>
              </w:rPr>
              <w:t>4,496</w:t>
            </w:r>
          </w:p>
        </w:tc>
        <w:tc>
          <w:tcPr>
            <w:tcW w:w="464" w:type="dxa"/>
            <w:tcBorders>
              <w:top w:val="single" w:sz="2" w:space="0" w:color="auto"/>
              <w:left w:val="single" w:sz="2" w:space="0" w:color="auto"/>
              <w:bottom w:val="single" w:sz="2" w:space="0" w:color="auto"/>
              <w:right w:val="single" w:sz="2" w:space="0" w:color="auto"/>
            </w:tcBorders>
          </w:tcPr>
          <w:p w14:paraId="11DDB77E" w14:textId="77777777" w:rsidR="009F4766" w:rsidRPr="00DE12A3" w:rsidRDefault="009F4766" w:rsidP="00C917D6">
            <w:pPr>
              <w:pStyle w:val="NormalLeft"/>
              <w:rPr>
                <w:sz w:val="14"/>
                <w:szCs w:val="14"/>
              </w:rPr>
            </w:pPr>
            <w:r w:rsidRPr="00DE12A3">
              <w:rPr>
                <w:sz w:val="14"/>
                <w:szCs w:val="14"/>
              </w:rPr>
              <w:t>4,464</w:t>
            </w:r>
          </w:p>
        </w:tc>
        <w:tc>
          <w:tcPr>
            <w:tcW w:w="464" w:type="dxa"/>
            <w:tcBorders>
              <w:top w:val="single" w:sz="2" w:space="0" w:color="auto"/>
              <w:left w:val="single" w:sz="2" w:space="0" w:color="auto"/>
              <w:bottom w:val="single" w:sz="2" w:space="0" w:color="auto"/>
              <w:right w:val="single" w:sz="2" w:space="0" w:color="auto"/>
            </w:tcBorders>
          </w:tcPr>
          <w:p w14:paraId="01D50A1C" w14:textId="77777777" w:rsidR="009F4766" w:rsidRPr="00DE12A3" w:rsidRDefault="009F4766" w:rsidP="00C917D6">
            <w:pPr>
              <w:pStyle w:val="NormalLeft"/>
              <w:rPr>
                <w:sz w:val="14"/>
                <w:szCs w:val="14"/>
              </w:rPr>
            </w:pPr>
            <w:r w:rsidRPr="00DE12A3">
              <w:rPr>
                <w:sz w:val="14"/>
                <w:szCs w:val="14"/>
              </w:rPr>
              <w:t>4,431</w:t>
            </w:r>
          </w:p>
        </w:tc>
        <w:tc>
          <w:tcPr>
            <w:tcW w:w="465" w:type="dxa"/>
            <w:tcBorders>
              <w:top w:val="single" w:sz="2" w:space="0" w:color="auto"/>
              <w:left w:val="single" w:sz="2" w:space="0" w:color="auto"/>
              <w:bottom w:val="single" w:sz="2" w:space="0" w:color="auto"/>
              <w:right w:val="single" w:sz="2" w:space="0" w:color="auto"/>
            </w:tcBorders>
          </w:tcPr>
          <w:p w14:paraId="64F18386" w14:textId="77777777" w:rsidR="009F4766" w:rsidRPr="00DE12A3" w:rsidRDefault="009F4766" w:rsidP="00C917D6">
            <w:pPr>
              <w:pStyle w:val="NormalLeft"/>
              <w:rPr>
                <w:sz w:val="14"/>
                <w:szCs w:val="14"/>
              </w:rPr>
            </w:pPr>
            <w:r w:rsidRPr="00DE12A3">
              <w:rPr>
                <w:sz w:val="14"/>
                <w:szCs w:val="14"/>
              </w:rPr>
              <w:t>4,399</w:t>
            </w:r>
          </w:p>
        </w:tc>
        <w:tc>
          <w:tcPr>
            <w:tcW w:w="464" w:type="dxa"/>
            <w:tcBorders>
              <w:top w:val="single" w:sz="2" w:space="0" w:color="auto"/>
              <w:left w:val="single" w:sz="2" w:space="0" w:color="auto"/>
              <w:bottom w:val="single" w:sz="2" w:space="0" w:color="auto"/>
              <w:right w:val="single" w:sz="2" w:space="0" w:color="auto"/>
            </w:tcBorders>
          </w:tcPr>
          <w:p w14:paraId="204FA418" w14:textId="77777777" w:rsidR="009F4766" w:rsidRPr="00DE12A3" w:rsidRDefault="009F4766" w:rsidP="00C917D6">
            <w:pPr>
              <w:pStyle w:val="NormalLeft"/>
              <w:rPr>
                <w:sz w:val="14"/>
                <w:szCs w:val="14"/>
              </w:rPr>
            </w:pPr>
            <w:r w:rsidRPr="00DE12A3">
              <w:rPr>
                <w:sz w:val="14"/>
                <w:szCs w:val="14"/>
              </w:rPr>
              <w:t>4,365</w:t>
            </w:r>
          </w:p>
        </w:tc>
      </w:tr>
      <w:tr w:rsidR="00DE12A3" w:rsidRPr="00DE12A3" w14:paraId="5352248D" w14:textId="77777777" w:rsidTr="009F4766">
        <w:tc>
          <w:tcPr>
            <w:tcW w:w="464" w:type="dxa"/>
            <w:tcBorders>
              <w:top w:val="single" w:sz="2" w:space="0" w:color="auto"/>
              <w:left w:val="single" w:sz="2" w:space="0" w:color="auto"/>
              <w:bottom w:val="single" w:sz="2" w:space="0" w:color="auto"/>
              <w:right w:val="single" w:sz="2" w:space="0" w:color="auto"/>
            </w:tcBorders>
          </w:tcPr>
          <w:p w14:paraId="64BDCEFC" w14:textId="77777777" w:rsidR="009F4766" w:rsidRPr="00DE12A3" w:rsidRDefault="009F4766" w:rsidP="00C917D6">
            <w:pPr>
              <w:pStyle w:val="NormalLeft"/>
              <w:rPr>
                <w:sz w:val="14"/>
                <w:szCs w:val="14"/>
              </w:rPr>
            </w:pPr>
            <w:r w:rsidRPr="00DE12A3">
              <w:rPr>
                <w:sz w:val="14"/>
                <w:szCs w:val="14"/>
              </w:rPr>
              <w:t>6</w:t>
            </w:r>
          </w:p>
        </w:tc>
        <w:tc>
          <w:tcPr>
            <w:tcW w:w="465" w:type="dxa"/>
            <w:tcBorders>
              <w:top w:val="single" w:sz="2" w:space="0" w:color="auto"/>
              <w:left w:val="single" w:sz="2" w:space="0" w:color="auto"/>
              <w:bottom w:val="single" w:sz="2" w:space="0" w:color="auto"/>
              <w:right w:val="single" w:sz="2" w:space="0" w:color="auto"/>
            </w:tcBorders>
          </w:tcPr>
          <w:p w14:paraId="60BA8E5C" w14:textId="77777777" w:rsidR="009F4766" w:rsidRPr="00DE12A3" w:rsidRDefault="009F4766" w:rsidP="00C917D6">
            <w:pPr>
              <w:pStyle w:val="NormalLeft"/>
              <w:rPr>
                <w:sz w:val="14"/>
                <w:szCs w:val="14"/>
              </w:rPr>
            </w:pPr>
            <w:r w:rsidRPr="00DE12A3">
              <w:rPr>
                <w:sz w:val="14"/>
                <w:szCs w:val="14"/>
              </w:rPr>
              <w:t>5,987</w:t>
            </w:r>
          </w:p>
        </w:tc>
        <w:tc>
          <w:tcPr>
            <w:tcW w:w="464" w:type="dxa"/>
            <w:tcBorders>
              <w:top w:val="single" w:sz="2" w:space="0" w:color="auto"/>
              <w:left w:val="single" w:sz="2" w:space="0" w:color="auto"/>
              <w:bottom w:val="single" w:sz="2" w:space="0" w:color="auto"/>
              <w:right w:val="single" w:sz="2" w:space="0" w:color="auto"/>
            </w:tcBorders>
          </w:tcPr>
          <w:p w14:paraId="6FF44014" w14:textId="77777777" w:rsidR="009F4766" w:rsidRPr="00DE12A3" w:rsidRDefault="009F4766" w:rsidP="00C917D6">
            <w:pPr>
              <w:pStyle w:val="NormalLeft"/>
              <w:rPr>
                <w:sz w:val="14"/>
                <w:szCs w:val="14"/>
              </w:rPr>
            </w:pPr>
            <w:r w:rsidRPr="00DE12A3">
              <w:rPr>
                <w:sz w:val="14"/>
                <w:szCs w:val="14"/>
              </w:rPr>
              <w:t>5,143</w:t>
            </w:r>
          </w:p>
        </w:tc>
        <w:tc>
          <w:tcPr>
            <w:tcW w:w="464" w:type="dxa"/>
            <w:tcBorders>
              <w:top w:val="single" w:sz="2" w:space="0" w:color="auto"/>
              <w:left w:val="single" w:sz="2" w:space="0" w:color="auto"/>
              <w:bottom w:val="single" w:sz="2" w:space="0" w:color="auto"/>
              <w:right w:val="single" w:sz="2" w:space="0" w:color="auto"/>
            </w:tcBorders>
          </w:tcPr>
          <w:p w14:paraId="084B253F" w14:textId="77777777" w:rsidR="009F4766" w:rsidRPr="00DE12A3" w:rsidRDefault="009F4766" w:rsidP="00C917D6">
            <w:pPr>
              <w:pStyle w:val="NormalLeft"/>
              <w:rPr>
                <w:sz w:val="14"/>
                <w:szCs w:val="14"/>
              </w:rPr>
            </w:pPr>
            <w:r w:rsidRPr="00DE12A3">
              <w:rPr>
                <w:sz w:val="14"/>
                <w:szCs w:val="14"/>
              </w:rPr>
              <w:t>4,757</w:t>
            </w:r>
          </w:p>
        </w:tc>
        <w:tc>
          <w:tcPr>
            <w:tcW w:w="465" w:type="dxa"/>
            <w:tcBorders>
              <w:top w:val="single" w:sz="2" w:space="0" w:color="auto"/>
              <w:left w:val="single" w:sz="2" w:space="0" w:color="auto"/>
              <w:bottom w:val="single" w:sz="2" w:space="0" w:color="auto"/>
              <w:right w:val="single" w:sz="2" w:space="0" w:color="auto"/>
            </w:tcBorders>
          </w:tcPr>
          <w:p w14:paraId="45E09D9B" w14:textId="77777777" w:rsidR="009F4766" w:rsidRPr="00DE12A3" w:rsidRDefault="009F4766" w:rsidP="00C917D6">
            <w:pPr>
              <w:pStyle w:val="NormalLeft"/>
              <w:rPr>
                <w:sz w:val="14"/>
                <w:szCs w:val="14"/>
              </w:rPr>
            </w:pPr>
            <w:r w:rsidRPr="00DE12A3">
              <w:rPr>
                <w:sz w:val="14"/>
                <w:szCs w:val="14"/>
              </w:rPr>
              <w:t>4,534</w:t>
            </w:r>
          </w:p>
        </w:tc>
        <w:tc>
          <w:tcPr>
            <w:tcW w:w="464" w:type="dxa"/>
            <w:tcBorders>
              <w:top w:val="single" w:sz="2" w:space="0" w:color="auto"/>
              <w:left w:val="single" w:sz="2" w:space="0" w:color="auto"/>
              <w:bottom w:val="single" w:sz="2" w:space="0" w:color="auto"/>
              <w:right w:val="single" w:sz="2" w:space="0" w:color="auto"/>
            </w:tcBorders>
          </w:tcPr>
          <w:p w14:paraId="550B143B" w14:textId="77777777" w:rsidR="009F4766" w:rsidRPr="00DE12A3" w:rsidRDefault="009F4766" w:rsidP="00C917D6">
            <w:pPr>
              <w:pStyle w:val="NormalLeft"/>
              <w:rPr>
                <w:sz w:val="14"/>
                <w:szCs w:val="14"/>
              </w:rPr>
            </w:pPr>
            <w:r w:rsidRPr="00DE12A3">
              <w:rPr>
                <w:sz w:val="14"/>
                <w:szCs w:val="14"/>
              </w:rPr>
              <w:t>4,387</w:t>
            </w:r>
          </w:p>
        </w:tc>
        <w:tc>
          <w:tcPr>
            <w:tcW w:w="464" w:type="dxa"/>
            <w:tcBorders>
              <w:top w:val="single" w:sz="2" w:space="0" w:color="auto"/>
              <w:left w:val="single" w:sz="2" w:space="0" w:color="auto"/>
              <w:bottom w:val="single" w:sz="2" w:space="0" w:color="auto"/>
              <w:right w:val="single" w:sz="2" w:space="0" w:color="auto"/>
            </w:tcBorders>
          </w:tcPr>
          <w:p w14:paraId="2513FBDE" w14:textId="77777777" w:rsidR="009F4766" w:rsidRPr="00DE12A3" w:rsidRDefault="009F4766" w:rsidP="00C917D6">
            <w:pPr>
              <w:pStyle w:val="NormalLeft"/>
              <w:rPr>
                <w:sz w:val="14"/>
                <w:szCs w:val="14"/>
              </w:rPr>
            </w:pPr>
            <w:r w:rsidRPr="00DE12A3">
              <w:rPr>
                <w:sz w:val="14"/>
                <w:szCs w:val="14"/>
              </w:rPr>
              <w:t>4,284</w:t>
            </w:r>
          </w:p>
        </w:tc>
        <w:tc>
          <w:tcPr>
            <w:tcW w:w="464" w:type="dxa"/>
            <w:tcBorders>
              <w:top w:val="single" w:sz="2" w:space="0" w:color="auto"/>
              <w:left w:val="single" w:sz="2" w:space="0" w:color="auto"/>
              <w:bottom w:val="single" w:sz="2" w:space="0" w:color="auto"/>
              <w:right w:val="single" w:sz="2" w:space="0" w:color="auto"/>
            </w:tcBorders>
          </w:tcPr>
          <w:p w14:paraId="0AB244B9" w14:textId="77777777" w:rsidR="009F4766" w:rsidRPr="00DE12A3" w:rsidRDefault="009F4766" w:rsidP="00C917D6">
            <w:pPr>
              <w:pStyle w:val="NormalLeft"/>
              <w:rPr>
                <w:sz w:val="14"/>
                <w:szCs w:val="14"/>
              </w:rPr>
            </w:pPr>
            <w:r w:rsidRPr="00DE12A3">
              <w:rPr>
                <w:sz w:val="14"/>
                <w:szCs w:val="14"/>
              </w:rPr>
              <w:t>4,207</w:t>
            </w:r>
          </w:p>
        </w:tc>
        <w:tc>
          <w:tcPr>
            <w:tcW w:w="465" w:type="dxa"/>
            <w:tcBorders>
              <w:top w:val="single" w:sz="2" w:space="0" w:color="auto"/>
              <w:left w:val="single" w:sz="2" w:space="0" w:color="auto"/>
              <w:bottom w:val="single" w:sz="2" w:space="0" w:color="auto"/>
              <w:right w:val="single" w:sz="2" w:space="0" w:color="auto"/>
            </w:tcBorders>
          </w:tcPr>
          <w:p w14:paraId="74033536" w14:textId="77777777" w:rsidR="009F4766" w:rsidRPr="00DE12A3" w:rsidRDefault="009F4766" w:rsidP="00C917D6">
            <w:pPr>
              <w:pStyle w:val="NormalLeft"/>
              <w:rPr>
                <w:sz w:val="14"/>
                <w:szCs w:val="14"/>
              </w:rPr>
            </w:pPr>
            <w:r w:rsidRPr="00DE12A3">
              <w:rPr>
                <w:sz w:val="14"/>
                <w:szCs w:val="14"/>
              </w:rPr>
              <w:t>4,147</w:t>
            </w:r>
          </w:p>
        </w:tc>
        <w:tc>
          <w:tcPr>
            <w:tcW w:w="464" w:type="dxa"/>
            <w:tcBorders>
              <w:top w:val="single" w:sz="2" w:space="0" w:color="auto"/>
              <w:left w:val="single" w:sz="2" w:space="0" w:color="auto"/>
              <w:bottom w:val="single" w:sz="2" w:space="0" w:color="auto"/>
              <w:right w:val="single" w:sz="2" w:space="0" w:color="auto"/>
            </w:tcBorders>
          </w:tcPr>
          <w:p w14:paraId="3A1D47D0" w14:textId="77777777" w:rsidR="009F4766" w:rsidRPr="00DE12A3" w:rsidRDefault="009F4766" w:rsidP="00C917D6">
            <w:pPr>
              <w:pStyle w:val="NormalLeft"/>
              <w:rPr>
                <w:sz w:val="14"/>
                <w:szCs w:val="14"/>
              </w:rPr>
            </w:pPr>
            <w:r w:rsidRPr="00DE12A3">
              <w:rPr>
                <w:sz w:val="14"/>
                <w:szCs w:val="14"/>
              </w:rPr>
              <w:t>4,099</w:t>
            </w:r>
          </w:p>
        </w:tc>
        <w:tc>
          <w:tcPr>
            <w:tcW w:w="464" w:type="dxa"/>
            <w:tcBorders>
              <w:top w:val="single" w:sz="2" w:space="0" w:color="auto"/>
              <w:left w:val="single" w:sz="2" w:space="0" w:color="auto"/>
              <w:bottom w:val="single" w:sz="2" w:space="0" w:color="auto"/>
              <w:right w:val="single" w:sz="2" w:space="0" w:color="auto"/>
            </w:tcBorders>
          </w:tcPr>
          <w:p w14:paraId="1058BF52" w14:textId="77777777" w:rsidR="009F4766" w:rsidRPr="00DE12A3" w:rsidRDefault="009F4766" w:rsidP="00C917D6">
            <w:pPr>
              <w:pStyle w:val="NormalLeft"/>
              <w:rPr>
                <w:sz w:val="14"/>
                <w:szCs w:val="14"/>
              </w:rPr>
            </w:pPr>
            <w:r w:rsidRPr="00DE12A3">
              <w:rPr>
                <w:sz w:val="14"/>
                <w:szCs w:val="14"/>
              </w:rPr>
              <w:t>4,060</w:t>
            </w:r>
          </w:p>
        </w:tc>
        <w:tc>
          <w:tcPr>
            <w:tcW w:w="465" w:type="dxa"/>
            <w:tcBorders>
              <w:top w:val="single" w:sz="2" w:space="0" w:color="auto"/>
              <w:left w:val="single" w:sz="2" w:space="0" w:color="auto"/>
              <w:bottom w:val="single" w:sz="2" w:space="0" w:color="auto"/>
              <w:right w:val="single" w:sz="2" w:space="0" w:color="auto"/>
            </w:tcBorders>
          </w:tcPr>
          <w:p w14:paraId="37B06E94" w14:textId="77777777" w:rsidR="009F4766" w:rsidRPr="00DE12A3" w:rsidRDefault="009F4766" w:rsidP="00C917D6">
            <w:pPr>
              <w:pStyle w:val="NormalLeft"/>
              <w:rPr>
                <w:sz w:val="14"/>
                <w:szCs w:val="14"/>
              </w:rPr>
            </w:pPr>
            <w:r w:rsidRPr="00DE12A3">
              <w:rPr>
                <w:sz w:val="14"/>
                <w:szCs w:val="14"/>
              </w:rPr>
              <w:t>4,000</w:t>
            </w:r>
          </w:p>
        </w:tc>
        <w:tc>
          <w:tcPr>
            <w:tcW w:w="464" w:type="dxa"/>
            <w:tcBorders>
              <w:top w:val="single" w:sz="2" w:space="0" w:color="auto"/>
              <w:left w:val="single" w:sz="2" w:space="0" w:color="auto"/>
              <w:bottom w:val="single" w:sz="2" w:space="0" w:color="auto"/>
              <w:right w:val="single" w:sz="2" w:space="0" w:color="auto"/>
            </w:tcBorders>
          </w:tcPr>
          <w:p w14:paraId="068EE9AD" w14:textId="77777777" w:rsidR="009F4766" w:rsidRPr="00DE12A3" w:rsidRDefault="009F4766" w:rsidP="00C917D6">
            <w:pPr>
              <w:pStyle w:val="NormalLeft"/>
              <w:rPr>
                <w:sz w:val="14"/>
                <w:szCs w:val="14"/>
              </w:rPr>
            </w:pPr>
            <w:r w:rsidRPr="00DE12A3">
              <w:rPr>
                <w:sz w:val="14"/>
                <w:szCs w:val="14"/>
              </w:rPr>
              <w:t>3,938</w:t>
            </w:r>
          </w:p>
        </w:tc>
        <w:tc>
          <w:tcPr>
            <w:tcW w:w="464" w:type="dxa"/>
            <w:tcBorders>
              <w:top w:val="single" w:sz="2" w:space="0" w:color="auto"/>
              <w:left w:val="single" w:sz="2" w:space="0" w:color="auto"/>
              <w:bottom w:val="single" w:sz="2" w:space="0" w:color="auto"/>
              <w:right w:val="single" w:sz="2" w:space="0" w:color="auto"/>
            </w:tcBorders>
          </w:tcPr>
          <w:p w14:paraId="33A75762" w14:textId="77777777" w:rsidR="009F4766" w:rsidRPr="00DE12A3" w:rsidRDefault="009F4766" w:rsidP="00C917D6">
            <w:pPr>
              <w:pStyle w:val="NormalLeft"/>
              <w:rPr>
                <w:sz w:val="14"/>
                <w:szCs w:val="14"/>
              </w:rPr>
            </w:pPr>
            <w:r w:rsidRPr="00DE12A3">
              <w:rPr>
                <w:sz w:val="14"/>
                <w:szCs w:val="14"/>
              </w:rPr>
              <w:t>3,874</w:t>
            </w:r>
          </w:p>
        </w:tc>
        <w:tc>
          <w:tcPr>
            <w:tcW w:w="465" w:type="dxa"/>
            <w:tcBorders>
              <w:top w:val="single" w:sz="2" w:space="0" w:color="auto"/>
              <w:left w:val="single" w:sz="2" w:space="0" w:color="auto"/>
              <w:bottom w:val="single" w:sz="2" w:space="0" w:color="auto"/>
              <w:right w:val="single" w:sz="2" w:space="0" w:color="auto"/>
            </w:tcBorders>
          </w:tcPr>
          <w:p w14:paraId="35D013A8" w14:textId="77777777" w:rsidR="009F4766" w:rsidRPr="00DE12A3" w:rsidRDefault="009F4766" w:rsidP="00C917D6">
            <w:pPr>
              <w:pStyle w:val="NormalLeft"/>
              <w:rPr>
                <w:sz w:val="14"/>
                <w:szCs w:val="14"/>
              </w:rPr>
            </w:pPr>
            <w:r w:rsidRPr="00DE12A3">
              <w:rPr>
                <w:sz w:val="14"/>
                <w:szCs w:val="14"/>
              </w:rPr>
              <w:t>3,842</w:t>
            </w:r>
          </w:p>
        </w:tc>
        <w:tc>
          <w:tcPr>
            <w:tcW w:w="464" w:type="dxa"/>
            <w:tcBorders>
              <w:top w:val="single" w:sz="2" w:space="0" w:color="auto"/>
              <w:left w:val="single" w:sz="2" w:space="0" w:color="auto"/>
              <w:bottom w:val="single" w:sz="2" w:space="0" w:color="auto"/>
              <w:right w:val="single" w:sz="2" w:space="0" w:color="auto"/>
            </w:tcBorders>
          </w:tcPr>
          <w:p w14:paraId="0A8EF1B2" w14:textId="77777777" w:rsidR="009F4766" w:rsidRPr="00DE12A3" w:rsidRDefault="009F4766" w:rsidP="00C917D6">
            <w:pPr>
              <w:pStyle w:val="NormalLeft"/>
              <w:rPr>
                <w:sz w:val="14"/>
                <w:szCs w:val="14"/>
              </w:rPr>
            </w:pPr>
            <w:r w:rsidRPr="00DE12A3">
              <w:rPr>
                <w:sz w:val="14"/>
                <w:szCs w:val="14"/>
              </w:rPr>
              <w:t>3,808</w:t>
            </w:r>
          </w:p>
        </w:tc>
        <w:tc>
          <w:tcPr>
            <w:tcW w:w="464" w:type="dxa"/>
            <w:tcBorders>
              <w:top w:val="single" w:sz="2" w:space="0" w:color="auto"/>
              <w:left w:val="single" w:sz="2" w:space="0" w:color="auto"/>
              <w:bottom w:val="single" w:sz="2" w:space="0" w:color="auto"/>
              <w:right w:val="single" w:sz="2" w:space="0" w:color="auto"/>
            </w:tcBorders>
          </w:tcPr>
          <w:p w14:paraId="28DAEF17" w14:textId="77777777" w:rsidR="009F4766" w:rsidRPr="00DE12A3" w:rsidRDefault="009F4766" w:rsidP="00C917D6">
            <w:pPr>
              <w:pStyle w:val="NormalLeft"/>
              <w:rPr>
                <w:sz w:val="14"/>
                <w:szCs w:val="14"/>
              </w:rPr>
            </w:pPr>
            <w:r w:rsidRPr="00DE12A3">
              <w:rPr>
                <w:sz w:val="14"/>
                <w:szCs w:val="14"/>
              </w:rPr>
              <w:t>3,774</w:t>
            </w:r>
          </w:p>
        </w:tc>
        <w:tc>
          <w:tcPr>
            <w:tcW w:w="464" w:type="dxa"/>
            <w:tcBorders>
              <w:top w:val="single" w:sz="2" w:space="0" w:color="auto"/>
              <w:left w:val="single" w:sz="2" w:space="0" w:color="auto"/>
              <w:bottom w:val="single" w:sz="2" w:space="0" w:color="auto"/>
              <w:right w:val="single" w:sz="2" w:space="0" w:color="auto"/>
            </w:tcBorders>
          </w:tcPr>
          <w:p w14:paraId="72130C62" w14:textId="77777777" w:rsidR="009F4766" w:rsidRPr="00DE12A3" w:rsidRDefault="009F4766" w:rsidP="00C917D6">
            <w:pPr>
              <w:pStyle w:val="NormalLeft"/>
              <w:rPr>
                <w:sz w:val="14"/>
                <w:szCs w:val="14"/>
              </w:rPr>
            </w:pPr>
            <w:r w:rsidRPr="00DE12A3">
              <w:rPr>
                <w:sz w:val="14"/>
                <w:szCs w:val="14"/>
              </w:rPr>
              <w:t>3,740</w:t>
            </w:r>
          </w:p>
        </w:tc>
        <w:tc>
          <w:tcPr>
            <w:tcW w:w="465" w:type="dxa"/>
            <w:tcBorders>
              <w:top w:val="single" w:sz="2" w:space="0" w:color="auto"/>
              <w:left w:val="single" w:sz="2" w:space="0" w:color="auto"/>
              <w:bottom w:val="single" w:sz="2" w:space="0" w:color="auto"/>
              <w:right w:val="single" w:sz="2" w:space="0" w:color="auto"/>
            </w:tcBorders>
          </w:tcPr>
          <w:p w14:paraId="5FCF134C" w14:textId="77777777" w:rsidR="009F4766" w:rsidRPr="00DE12A3" w:rsidRDefault="009F4766" w:rsidP="00C917D6">
            <w:pPr>
              <w:pStyle w:val="NormalLeft"/>
              <w:rPr>
                <w:sz w:val="14"/>
                <w:szCs w:val="14"/>
              </w:rPr>
            </w:pPr>
            <w:r w:rsidRPr="00DE12A3">
              <w:rPr>
                <w:sz w:val="14"/>
                <w:szCs w:val="14"/>
              </w:rPr>
              <w:t>3,705</w:t>
            </w:r>
          </w:p>
        </w:tc>
        <w:tc>
          <w:tcPr>
            <w:tcW w:w="464" w:type="dxa"/>
            <w:tcBorders>
              <w:top w:val="single" w:sz="2" w:space="0" w:color="auto"/>
              <w:left w:val="single" w:sz="2" w:space="0" w:color="auto"/>
              <w:bottom w:val="single" w:sz="2" w:space="0" w:color="auto"/>
              <w:right w:val="single" w:sz="2" w:space="0" w:color="auto"/>
            </w:tcBorders>
          </w:tcPr>
          <w:p w14:paraId="262422A7" w14:textId="77777777" w:rsidR="009F4766" w:rsidRPr="00DE12A3" w:rsidRDefault="009F4766" w:rsidP="00C917D6">
            <w:pPr>
              <w:pStyle w:val="NormalLeft"/>
              <w:rPr>
                <w:sz w:val="14"/>
                <w:szCs w:val="14"/>
              </w:rPr>
            </w:pPr>
            <w:r w:rsidRPr="00DE12A3">
              <w:rPr>
                <w:sz w:val="14"/>
                <w:szCs w:val="14"/>
              </w:rPr>
              <w:t>3,669</w:t>
            </w:r>
          </w:p>
        </w:tc>
      </w:tr>
      <w:tr w:rsidR="00DE12A3" w:rsidRPr="00DE12A3" w14:paraId="79318A41" w14:textId="77777777" w:rsidTr="009F4766">
        <w:tc>
          <w:tcPr>
            <w:tcW w:w="464" w:type="dxa"/>
            <w:tcBorders>
              <w:top w:val="single" w:sz="2" w:space="0" w:color="auto"/>
              <w:left w:val="single" w:sz="2" w:space="0" w:color="auto"/>
              <w:bottom w:val="single" w:sz="2" w:space="0" w:color="auto"/>
              <w:right w:val="single" w:sz="2" w:space="0" w:color="auto"/>
            </w:tcBorders>
          </w:tcPr>
          <w:p w14:paraId="115124CB" w14:textId="77777777" w:rsidR="009F4766" w:rsidRPr="00DE12A3" w:rsidRDefault="009F4766" w:rsidP="00C917D6">
            <w:pPr>
              <w:pStyle w:val="NormalLeft"/>
              <w:rPr>
                <w:sz w:val="14"/>
                <w:szCs w:val="14"/>
              </w:rPr>
            </w:pPr>
            <w:r w:rsidRPr="00DE12A3">
              <w:rPr>
                <w:sz w:val="14"/>
                <w:szCs w:val="14"/>
              </w:rPr>
              <w:t>7</w:t>
            </w:r>
          </w:p>
        </w:tc>
        <w:tc>
          <w:tcPr>
            <w:tcW w:w="465" w:type="dxa"/>
            <w:tcBorders>
              <w:top w:val="single" w:sz="2" w:space="0" w:color="auto"/>
              <w:left w:val="single" w:sz="2" w:space="0" w:color="auto"/>
              <w:bottom w:val="single" w:sz="2" w:space="0" w:color="auto"/>
              <w:right w:val="single" w:sz="2" w:space="0" w:color="auto"/>
            </w:tcBorders>
          </w:tcPr>
          <w:p w14:paraId="70FD44FA" w14:textId="77777777" w:rsidR="009F4766" w:rsidRPr="00DE12A3" w:rsidRDefault="009F4766" w:rsidP="00C917D6">
            <w:pPr>
              <w:pStyle w:val="NormalLeft"/>
              <w:rPr>
                <w:sz w:val="14"/>
                <w:szCs w:val="14"/>
              </w:rPr>
            </w:pPr>
            <w:r w:rsidRPr="00DE12A3">
              <w:rPr>
                <w:sz w:val="14"/>
                <w:szCs w:val="14"/>
              </w:rPr>
              <w:t>5,591</w:t>
            </w:r>
          </w:p>
        </w:tc>
        <w:tc>
          <w:tcPr>
            <w:tcW w:w="464" w:type="dxa"/>
            <w:tcBorders>
              <w:top w:val="single" w:sz="2" w:space="0" w:color="auto"/>
              <w:left w:val="single" w:sz="2" w:space="0" w:color="auto"/>
              <w:bottom w:val="single" w:sz="2" w:space="0" w:color="auto"/>
              <w:right w:val="single" w:sz="2" w:space="0" w:color="auto"/>
            </w:tcBorders>
          </w:tcPr>
          <w:p w14:paraId="3F4C24BB" w14:textId="77777777" w:rsidR="009F4766" w:rsidRPr="00DE12A3" w:rsidRDefault="009F4766" w:rsidP="00C917D6">
            <w:pPr>
              <w:pStyle w:val="NormalLeft"/>
              <w:rPr>
                <w:sz w:val="14"/>
                <w:szCs w:val="14"/>
              </w:rPr>
            </w:pPr>
            <w:r w:rsidRPr="00DE12A3">
              <w:rPr>
                <w:sz w:val="14"/>
                <w:szCs w:val="14"/>
              </w:rPr>
              <w:t>4,737</w:t>
            </w:r>
          </w:p>
        </w:tc>
        <w:tc>
          <w:tcPr>
            <w:tcW w:w="464" w:type="dxa"/>
            <w:tcBorders>
              <w:top w:val="single" w:sz="2" w:space="0" w:color="auto"/>
              <w:left w:val="single" w:sz="2" w:space="0" w:color="auto"/>
              <w:bottom w:val="single" w:sz="2" w:space="0" w:color="auto"/>
              <w:right w:val="single" w:sz="2" w:space="0" w:color="auto"/>
            </w:tcBorders>
          </w:tcPr>
          <w:p w14:paraId="6729E1CA" w14:textId="77777777" w:rsidR="009F4766" w:rsidRPr="00DE12A3" w:rsidRDefault="009F4766" w:rsidP="00C917D6">
            <w:pPr>
              <w:pStyle w:val="NormalLeft"/>
              <w:rPr>
                <w:sz w:val="14"/>
                <w:szCs w:val="14"/>
              </w:rPr>
            </w:pPr>
            <w:r w:rsidRPr="00DE12A3">
              <w:rPr>
                <w:sz w:val="14"/>
                <w:szCs w:val="14"/>
              </w:rPr>
              <w:t>4,347</w:t>
            </w:r>
          </w:p>
        </w:tc>
        <w:tc>
          <w:tcPr>
            <w:tcW w:w="465" w:type="dxa"/>
            <w:tcBorders>
              <w:top w:val="single" w:sz="2" w:space="0" w:color="auto"/>
              <w:left w:val="single" w:sz="2" w:space="0" w:color="auto"/>
              <w:bottom w:val="single" w:sz="2" w:space="0" w:color="auto"/>
              <w:right w:val="single" w:sz="2" w:space="0" w:color="auto"/>
            </w:tcBorders>
          </w:tcPr>
          <w:p w14:paraId="4CC7E3A4" w14:textId="77777777" w:rsidR="009F4766" w:rsidRPr="00DE12A3" w:rsidRDefault="009F4766" w:rsidP="00C917D6">
            <w:pPr>
              <w:pStyle w:val="NormalLeft"/>
              <w:rPr>
                <w:sz w:val="14"/>
                <w:szCs w:val="14"/>
              </w:rPr>
            </w:pPr>
            <w:r w:rsidRPr="00DE12A3">
              <w:rPr>
                <w:sz w:val="14"/>
                <w:szCs w:val="14"/>
              </w:rPr>
              <w:t>4,120</w:t>
            </w:r>
          </w:p>
        </w:tc>
        <w:tc>
          <w:tcPr>
            <w:tcW w:w="464" w:type="dxa"/>
            <w:tcBorders>
              <w:top w:val="single" w:sz="2" w:space="0" w:color="auto"/>
              <w:left w:val="single" w:sz="2" w:space="0" w:color="auto"/>
              <w:bottom w:val="single" w:sz="2" w:space="0" w:color="auto"/>
              <w:right w:val="single" w:sz="2" w:space="0" w:color="auto"/>
            </w:tcBorders>
          </w:tcPr>
          <w:p w14:paraId="2B74DB94" w14:textId="77777777" w:rsidR="009F4766" w:rsidRPr="00DE12A3" w:rsidRDefault="009F4766" w:rsidP="00C917D6">
            <w:pPr>
              <w:pStyle w:val="NormalLeft"/>
              <w:rPr>
                <w:sz w:val="14"/>
                <w:szCs w:val="14"/>
              </w:rPr>
            </w:pPr>
            <w:r w:rsidRPr="00DE12A3">
              <w:rPr>
                <w:sz w:val="14"/>
                <w:szCs w:val="14"/>
              </w:rPr>
              <w:t>3,972</w:t>
            </w:r>
          </w:p>
        </w:tc>
        <w:tc>
          <w:tcPr>
            <w:tcW w:w="464" w:type="dxa"/>
            <w:tcBorders>
              <w:top w:val="single" w:sz="2" w:space="0" w:color="auto"/>
              <w:left w:val="single" w:sz="2" w:space="0" w:color="auto"/>
              <w:bottom w:val="single" w:sz="2" w:space="0" w:color="auto"/>
              <w:right w:val="single" w:sz="2" w:space="0" w:color="auto"/>
            </w:tcBorders>
          </w:tcPr>
          <w:p w14:paraId="3D187DCE" w14:textId="77777777" w:rsidR="009F4766" w:rsidRPr="00DE12A3" w:rsidRDefault="009F4766" w:rsidP="00C917D6">
            <w:pPr>
              <w:pStyle w:val="NormalLeft"/>
              <w:rPr>
                <w:sz w:val="14"/>
                <w:szCs w:val="14"/>
              </w:rPr>
            </w:pPr>
            <w:r w:rsidRPr="00DE12A3">
              <w:rPr>
                <w:sz w:val="14"/>
                <w:szCs w:val="14"/>
              </w:rPr>
              <w:t>3,866</w:t>
            </w:r>
          </w:p>
        </w:tc>
        <w:tc>
          <w:tcPr>
            <w:tcW w:w="464" w:type="dxa"/>
            <w:tcBorders>
              <w:top w:val="single" w:sz="2" w:space="0" w:color="auto"/>
              <w:left w:val="single" w:sz="2" w:space="0" w:color="auto"/>
              <w:bottom w:val="single" w:sz="2" w:space="0" w:color="auto"/>
              <w:right w:val="single" w:sz="2" w:space="0" w:color="auto"/>
            </w:tcBorders>
          </w:tcPr>
          <w:p w14:paraId="6F9F14C9" w14:textId="77777777" w:rsidR="009F4766" w:rsidRPr="00DE12A3" w:rsidRDefault="009F4766" w:rsidP="00C917D6">
            <w:pPr>
              <w:pStyle w:val="NormalLeft"/>
              <w:rPr>
                <w:sz w:val="14"/>
                <w:szCs w:val="14"/>
              </w:rPr>
            </w:pPr>
            <w:r w:rsidRPr="00DE12A3">
              <w:rPr>
                <w:sz w:val="14"/>
                <w:szCs w:val="14"/>
              </w:rPr>
              <w:t>3,787</w:t>
            </w:r>
          </w:p>
        </w:tc>
        <w:tc>
          <w:tcPr>
            <w:tcW w:w="465" w:type="dxa"/>
            <w:tcBorders>
              <w:top w:val="single" w:sz="2" w:space="0" w:color="auto"/>
              <w:left w:val="single" w:sz="2" w:space="0" w:color="auto"/>
              <w:bottom w:val="single" w:sz="2" w:space="0" w:color="auto"/>
              <w:right w:val="single" w:sz="2" w:space="0" w:color="auto"/>
            </w:tcBorders>
          </w:tcPr>
          <w:p w14:paraId="44ED51C3" w14:textId="77777777" w:rsidR="009F4766" w:rsidRPr="00DE12A3" w:rsidRDefault="009F4766" w:rsidP="00C917D6">
            <w:pPr>
              <w:pStyle w:val="NormalLeft"/>
              <w:rPr>
                <w:sz w:val="14"/>
                <w:szCs w:val="14"/>
              </w:rPr>
            </w:pPr>
            <w:r w:rsidRPr="00DE12A3">
              <w:rPr>
                <w:sz w:val="14"/>
                <w:szCs w:val="14"/>
              </w:rPr>
              <w:t>3,726</w:t>
            </w:r>
          </w:p>
        </w:tc>
        <w:tc>
          <w:tcPr>
            <w:tcW w:w="464" w:type="dxa"/>
            <w:tcBorders>
              <w:top w:val="single" w:sz="2" w:space="0" w:color="auto"/>
              <w:left w:val="single" w:sz="2" w:space="0" w:color="auto"/>
              <w:bottom w:val="single" w:sz="2" w:space="0" w:color="auto"/>
              <w:right w:val="single" w:sz="2" w:space="0" w:color="auto"/>
            </w:tcBorders>
          </w:tcPr>
          <w:p w14:paraId="5F6691A9" w14:textId="77777777" w:rsidR="009F4766" w:rsidRPr="00DE12A3" w:rsidRDefault="009F4766" w:rsidP="00C917D6">
            <w:pPr>
              <w:pStyle w:val="NormalLeft"/>
              <w:rPr>
                <w:sz w:val="14"/>
                <w:szCs w:val="14"/>
              </w:rPr>
            </w:pPr>
            <w:r w:rsidRPr="00DE12A3">
              <w:rPr>
                <w:sz w:val="14"/>
                <w:szCs w:val="14"/>
              </w:rPr>
              <w:t>3,677</w:t>
            </w:r>
          </w:p>
        </w:tc>
        <w:tc>
          <w:tcPr>
            <w:tcW w:w="464" w:type="dxa"/>
            <w:tcBorders>
              <w:top w:val="single" w:sz="2" w:space="0" w:color="auto"/>
              <w:left w:val="single" w:sz="2" w:space="0" w:color="auto"/>
              <w:bottom w:val="single" w:sz="2" w:space="0" w:color="auto"/>
              <w:right w:val="single" w:sz="2" w:space="0" w:color="auto"/>
            </w:tcBorders>
          </w:tcPr>
          <w:p w14:paraId="7CEEE8D7" w14:textId="77777777" w:rsidR="009F4766" w:rsidRPr="00DE12A3" w:rsidRDefault="009F4766" w:rsidP="00C917D6">
            <w:pPr>
              <w:pStyle w:val="NormalLeft"/>
              <w:rPr>
                <w:sz w:val="14"/>
                <w:szCs w:val="14"/>
              </w:rPr>
            </w:pPr>
            <w:r w:rsidRPr="00DE12A3">
              <w:rPr>
                <w:sz w:val="14"/>
                <w:szCs w:val="14"/>
              </w:rPr>
              <w:t>3,637</w:t>
            </w:r>
          </w:p>
        </w:tc>
        <w:tc>
          <w:tcPr>
            <w:tcW w:w="465" w:type="dxa"/>
            <w:tcBorders>
              <w:top w:val="single" w:sz="2" w:space="0" w:color="auto"/>
              <w:left w:val="single" w:sz="2" w:space="0" w:color="auto"/>
              <w:bottom w:val="single" w:sz="2" w:space="0" w:color="auto"/>
              <w:right w:val="single" w:sz="2" w:space="0" w:color="auto"/>
            </w:tcBorders>
          </w:tcPr>
          <w:p w14:paraId="7467883F" w14:textId="77777777" w:rsidR="009F4766" w:rsidRPr="00DE12A3" w:rsidRDefault="009F4766" w:rsidP="00C917D6">
            <w:pPr>
              <w:pStyle w:val="NormalLeft"/>
              <w:rPr>
                <w:sz w:val="14"/>
                <w:szCs w:val="14"/>
              </w:rPr>
            </w:pPr>
            <w:r w:rsidRPr="00DE12A3">
              <w:rPr>
                <w:sz w:val="14"/>
                <w:szCs w:val="14"/>
              </w:rPr>
              <w:t>3,575</w:t>
            </w:r>
          </w:p>
        </w:tc>
        <w:tc>
          <w:tcPr>
            <w:tcW w:w="464" w:type="dxa"/>
            <w:tcBorders>
              <w:top w:val="single" w:sz="2" w:space="0" w:color="auto"/>
              <w:left w:val="single" w:sz="2" w:space="0" w:color="auto"/>
              <w:bottom w:val="single" w:sz="2" w:space="0" w:color="auto"/>
              <w:right w:val="single" w:sz="2" w:space="0" w:color="auto"/>
            </w:tcBorders>
          </w:tcPr>
          <w:p w14:paraId="42E2DABD" w14:textId="77777777" w:rsidR="009F4766" w:rsidRPr="00DE12A3" w:rsidRDefault="009F4766" w:rsidP="00C917D6">
            <w:pPr>
              <w:pStyle w:val="NormalLeft"/>
              <w:rPr>
                <w:sz w:val="14"/>
                <w:szCs w:val="14"/>
              </w:rPr>
            </w:pPr>
            <w:r w:rsidRPr="00DE12A3">
              <w:rPr>
                <w:sz w:val="14"/>
                <w:szCs w:val="14"/>
              </w:rPr>
              <w:t>3,511</w:t>
            </w:r>
          </w:p>
        </w:tc>
        <w:tc>
          <w:tcPr>
            <w:tcW w:w="464" w:type="dxa"/>
            <w:tcBorders>
              <w:top w:val="single" w:sz="2" w:space="0" w:color="auto"/>
              <w:left w:val="single" w:sz="2" w:space="0" w:color="auto"/>
              <w:bottom w:val="single" w:sz="2" w:space="0" w:color="auto"/>
              <w:right w:val="single" w:sz="2" w:space="0" w:color="auto"/>
            </w:tcBorders>
          </w:tcPr>
          <w:p w14:paraId="13EE5643" w14:textId="77777777" w:rsidR="009F4766" w:rsidRPr="00DE12A3" w:rsidRDefault="009F4766" w:rsidP="00C917D6">
            <w:pPr>
              <w:pStyle w:val="NormalLeft"/>
              <w:rPr>
                <w:sz w:val="14"/>
                <w:szCs w:val="14"/>
              </w:rPr>
            </w:pPr>
            <w:r w:rsidRPr="00DE12A3">
              <w:rPr>
                <w:sz w:val="14"/>
                <w:szCs w:val="14"/>
              </w:rPr>
              <w:t>3,445</w:t>
            </w:r>
          </w:p>
        </w:tc>
        <w:tc>
          <w:tcPr>
            <w:tcW w:w="465" w:type="dxa"/>
            <w:tcBorders>
              <w:top w:val="single" w:sz="2" w:space="0" w:color="auto"/>
              <w:left w:val="single" w:sz="2" w:space="0" w:color="auto"/>
              <w:bottom w:val="single" w:sz="2" w:space="0" w:color="auto"/>
              <w:right w:val="single" w:sz="2" w:space="0" w:color="auto"/>
            </w:tcBorders>
          </w:tcPr>
          <w:p w14:paraId="396FF466" w14:textId="77777777" w:rsidR="009F4766" w:rsidRPr="00DE12A3" w:rsidRDefault="009F4766" w:rsidP="00C917D6">
            <w:pPr>
              <w:pStyle w:val="NormalLeft"/>
              <w:rPr>
                <w:sz w:val="14"/>
                <w:szCs w:val="14"/>
              </w:rPr>
            </w:pPr>
            <w:r w:rsidRPr="00DE12A3">
              <w:rPr>
                <w:sz w:val="14"/>
                <w:szCs w:val="14"/>
              </w:rPr>
              <w:t>3,411</w:t>
            </w:r>
          </w:p>
        </w:tc>
        <w:tc>
          <w:tcPr>
            <w:tcW w:w="464" w:type="dxa"/>
            <w:tcBorders>
              <w:top w:val="single" w:sz="2" w:space="0" w:color="auto"/>
              <w:left w:val="single" w:sz="2" w:space="0" w:color="auto"/>
              <w:bottom w:val="single" w:sz="2" w:space="0" w:color="auto"/>
              <w:right w:val="single" w:sz="2" w:space="0" w:color="auto"/>
            </w:tcBorders>
          </w:tcPr>
          <w:p w14:paraId="16FFBF67" w14:textId="77777777" w:rsidR="009F4766" w:rsidRPr="00DE12A3" w:rsidRDefault="009F4766" w:rsidP="00C917D6">
            <w:pPr>
              <w:pStyle w:val="NormalLeft"/>
              <w:rPr>
                <w:sz w:val="14"/>
                <w:szCs w:val="14"/>
              </w:rPr>
            </w:pPr>
            <w:r w:rsidRPr="00DE12A3">
              <w:rPr>
                <w:sz w:val="14"/>
                <w:szCs w:val="14"/>
              </w:rPr>
              <w:t>3,376</w:t>
            </w:r>
          </w:p>
        </w:tc>
        <w:tc>
          <w:tcPr>
            <w:tcW w:w="464" w:type="dxa"/>
            <w:tcBorders>
              <w:top w:val="single" w:sz="2" w:space="0" w:color="auto"/>
              <w:left w:val="single" w:sz="2" w:space="0" w:color="auto"/>
              <w:bottom w:val="single" w:sz="2" w:space="0" w:color="auto"/>
              <w:right w:val="single" w:sz="2" w:space="0" w:color="auto"/>
            </w:tcBorders>
          </w:tcPr>
          <w:p w14:paraId="6C5E9DCB" w14:textId="77777777" w:rsidR="009F4766" w:rsidRPr="00DE12A3" w:rsidRDefault="009F4766" w:rsidP="00C917D6">
            <w:pPr>
              <w:pStyle w:val="NormalLeft"/>
              <w:rPr>
                <w:sz w:val="14"/>
                <w:szCs w:val="14"/>
              </w:rPr>
            </w:pPr>
            <w:r w:rsidRPr="00DE12A3">
              <w:rPr>
                <w:sz w:val="14"/>
                <w:szCs w:val="14"/>
              </w:rPr>
              <w:t>3,340</w:t>
            </w:r>
          </w:p>
        </w:tc>
        <w:tc>
          <w:tcPr>
            <w:tcW w:w="464" w:type="dxa"/>
            <w:tcBorders>
              <w:top w:val="single" w:sz="2" w:space="0" w:color="auto"/>
              <w:left w:val="single" w:sz="2" w:space="0" w:color="auto"/>
              <w:bottom w:val="single" w:sz="2" w:space="0" w:color="auto"/>
              <w:right w:val="single" w:sz="2" w:space="0" w:color="auto"/>
            </w:tcBorders>
          </w:tcPr>
          <w:p w14:paraId="04D86A9D" w14:textId="77777777" w:rsidR="009F4766" w:rsidRPr="00DE12A3" w:rsidRDefault="009F4766" w:rsidP="00C917D6">
            <w:pPr>
              <w:pStyle w:val="NormalLeft"/>
              <w:rPr>
                <w:sz w:val="14"/>
                <w:szCs w:val="14"/>
              </w:rPr>
            </w:pPr>
            <w:r w:rsidRPr="00DE12A3">
              <w:rPr>
                <w:sz w:val="14"/>
                <w:szCs w:val="14"/>
              </w:rPr>
              <w:t>3,304</w:t>
            </w:r>
          </w:p>
        </w:tc>
        <w:tc>
          <w:tcPr>
            <w:tcW w:w="465" w:type="dxa"/>
            <w:tcBorders>
              <w:top w:val="single" w:sz="2" w:space="0" w:color="auto"/>
              <w:left w:val="single" w:sz="2" w:space="0" w:color="auto"/>
              <w:bottom w:val="single" w:sz="2" w:space="0" w:color="auto"/>
              <w:right w:val="single" w:sz="2" w:space="0" w:color="auto"/>
            </w:tcBorders>
          </w:tcPr>
          <w:p w14:paraId="7D7EB1DE" w14:textId="77777777" w:rsidR="009F4766" w:rsidRPr="00DE12A3" w:rsidRDefault="009F4766" w:rsidP="00C917D6">
            <w:pPr>
              <w:pStyle w:val="NormalLeft"/>
              <w:rPr>
                <w:sz w:val="14"/>
                <w:szCs w:val="14"/>
              </w:rPr>
            </w:pPr>
            <w:r w:rsidRPr="00DE12A3">
              <w:rPr>
                <w:sz w:val="14"/>
                <w:szCs w:val="14"/>
              </w:rPr>
              <w:t>3,267</w:t>
            </w:r>
          </w:p>
        </w:tc>
        <w:tc>
          <w:tcPr>
            <w:tcW w:w="464" w:type="dxa"/>
            <w:tcBorders>
              <w:top w:val="single" w:sz="2" w:space="0" w:color="auto"/>
              <w:left w:val="single" w:sz="2" w:space="0" w:color="auto"/>
              <w:bottom w:val="single" w:sz="2" w:space="0" w:color="auto"/>
              <w:right w:val="single" w:sz="2" w:space="0" w:color="auto"/>
            </w:tcBorders>
          </w:tcPr>
          <w:p w14:paraId="007A91A1" w14:textId="77777777" w:rsidR="009F4766" w:rsidRPr="00DE12A3" w:rsidRDefault="009F4766" w:rsidP="00C917D6">
            <w:pPr>
              <w:pStyle w:val="NormalLeft"/>
              <w:rPr>
                <w:sz w:val="14"/>
                <w:szCs w:val="14"/>
              </w:rPr>
            </w:pPr>
            <w:r w:rsidRPr="00DE12A3">
              <w:rPr>
                <w:sz w:val="14"/>
                <w:szCs w:val="14"/>
              </w:rPr>
              <w:t>3,230</w:t>
            </w:r>
          </w:p>
        </w:tc>
      </w:tr>
      <w:tr w:rsidR="00DE12A3" w:rsidRPr="00DE12A3" w14:paraId="73315528" w14:textId="77777777" w:rsidTr="009F4766">
        <w:tc>
          <w:tcPr>
            <w:tcW w:w="464" w:type="dxa"/>
            <w:tcBorders>
              <w:top w:val="single" w:sz="2" w:space="0" w:color="auto"/>
              <w:left w:val="single" w:sz="2" w:space="0" w:color="auto"/>
              <w:bottom w:val="single" w:sz="2" w:space="0" w:color="auto"/>
              <w:right w:val="single" w:sz="2" w:space="0" w:color="auto"/>
            </w:tcBorders>
          </w:tcPr>
          <w:p w14:paraId="7C91C55D" w14:textId="77777777" w:rsidR="009F4766" w:rsidRPr="00DE12A3" w:rsidRDefault="009F4766" w:rsidP="00C917D6">
            <w:pPr>
              <w:pStyle w:val="NormalLeft"/>
              <w:rPr>
                <w:sz w:val="14"/>
                <w:szCs w:val="14"/>
              </w:rPr>
            </w:pPr>
            <w:r w:rsidRPr="00DE12A3">
              <w:rPr>
                <w:sz w:val="14"/>
                <w:szCs w:val="14"/>
              </w:rPr>
              <w:lastRenderedPageBreak/>
              <w:t>8</w:t>
            </w:r>
          </w:p>
        </w:tc>
        <w:tc>
          <w:tcPr>
            <w:tcW w:w="465" w:type="dxa"/>
            <w:tcBorders>
              <w:top w:val="single" w:sz="2" w:space="0" w:color="auto"/>
              <w:left w:val="single" w:sz="2" w:space="0" w:color="auto"/>
              <w:bottom w:val="single" w:sz="2" w:space="0" w:color="auto"/>
              <w:right w:val="single" w:sz="2" w:space="0" w:color="auto"/>
            </w:tcBorders>
          </w:tcPr>
          <w:p w14:paraId="7F4D7FC9" w14:textId="77777777" w:rsidR="009F4766" w:rsidRPr="00DE12A3" w:rsidRDefault="009F4766" w:rsidP="00C917D6">
            <w:pPr>
              <w:pStyle w:val="NormalLeft"/>
              <w:rPr>
                <w:sz w:val="14"/>
                <w:szCs w:val="14"/>
              </w:rPr>
            </w:pPr>
            <w:r w:rsidRPr="00DE12A3">
              <w:rPr>
                <w:sz w:val="14"/>
                <w:szCs w:val="14"/>
              </w:rPr>
              <w:t>5,318</w:t>
            </w:r>
          </w:p>
        </w:tc>
        <w:tc>
          <w:tcPr>
            <w:tcW w:w="464" w:type="dxa"/>
            <w:tcBorders>
              <w:top w:val="single" w:sz="2" w:space="0" w:color="auto"/>
              <w:left w:val="single" w:sz="2" w:space="0" w:color="auto"/>
              <w:bottom w:val="single" w:sz="2" w:space="0" w:color="auto"/>
              <w:right w:val="single" w:sz="2" w:space="0" w:color="auto"/>
            </w:tcBorders>
          </w:tcPr>
          <w:p w14:paraId="5B2C3DBA" w14:textId="77777777" w:rsidR="009F4766" w:rsidRPr="00DE12A3" w:rsidRDefault="009F4766" w:rsidP="00C917D6">
            <w:pPr>
              <w:pStyle w:val="NormalLeft"/>
              <w:rPr>
                <w:sz w:val="14"/>
                <w:szCs w:val="14"/>
              </w:rPr>
            </w:pPr>
            <w:r w:rsidRPr="00DE12A3">
              <w:rPr>
                <w:sz w:val="14"/>
                <w:szCs w:val="14"/>
              </w:rPr>
              <w:t>4,459</w:t>
            </w:r>
          </w:p>
        </w:tc>
        <w:tc>
          <w:tcPr>
            <w:tcW w:w="464" w:type="dxa"/>
            <w:tcBorders>
              <w:top w:val="single" w:sz="2" w:space="0" w:color="auto"/>
              <w:left w:val="single" w:sz="2" w:space="0" w:color="auto"/>
              <w:bottom w:val="single" w:sz="2" w:space="0" w:color="auto"/>
              <w:right w:val="single" w:sz="2" w:space="0" w:color="auto"/>
            </w:tcBorders>
          </w:tcPr>
          <w:p w14:paraId="4B48DE37" w14:textId="77777777" w:rsidR="009F4766" w:rsidRPr="00DE12A3" w:rsidRDefault="009F4766" w:rsidP="00C917D6">
            <w:pPr>
              <w:pStyle w:val="NormalLeft"/>
              <w:rPr>
                <w:sz w:val="14"/>
                <w:szCs w:val="14"/>
              </w:rPr>
            </w:pPr>
            <w:r w:rsidRPr="00DE12A3">
              <w:rPr>
                <w:sz w:val="14"/>
                <w:szCs w:val="14"/>
              </w:rPr>
              <w:t>4,066</w:t>
            </w:r>
          </w:p>
        </w:tc>
        <w:tc>
          <w:tcPr>
            <w:tcW w:w="465" w:type="dxa"/>
            <w:tcBorders>
              <w:top w:val="single" w:sz="2" w:space="0" w:color="auto"/>
              <w:left w:val="single" w:sz="2" w:space="0" w:color="auto"/>
              <w:bottom w:val="single" w:sz="2" w:space="0" w:color="auto"/>
              <w:right w:val="single" w:sz="2" w:space="0" w:color="auto"/>
            </w:tcBorders>
          </w:tcPr>
          <w:p w14:paraId="4581AF0F" w14:textId="77777777" w:rsidR="009F4766" w:rsidRPr="00DE12A3" w:rsidRDefault="009F4766" w:rsidP="00C917D6">
            <w:pPr>
              <w:pStyle w:val="NormalLeft"/>
              <w:rPr>
                <w:sz w:val="14"/>
                <w:szCs w:val="14"/>
              </w:rPr>
            </w:pPr>
            <w:r w:rsidRPr="00DE12A3">
              <w:rPr>
                <w:sz w:val="14"/>
                <w:szCs w:val="14"/>
              </w:rPr>
              <w:t>3,838</w:t>
            </w:r>
          </w:p>
        </w:tc>
        <w:tc>
          <w:tcPr>
            <w:tcW w:w="464" w:type="dxa"/>
            <w:tcBorders>
              <w:top w:val="single" w:sz="2" w:space="0" w:color="auto"/>
              <w:left w:val="single" w:sz="2" w:space="0" w:color="auto"/>
              <w:bottom w:val="single" w:sz="2" w:space="0" w:color="auto"/>
              <w:right w:val="single" w:sz="2" w:space="0" w:color="auto"/>
            </w:tcBorders>
          </w:tcPr>
          <w:p w14:paraId="1B25AC71" w14:textId="77777777" w:rsidR="009F4766" w:rsidRPr="00DE12A3" w:rsidRDefault="009F4766" w:rsidP="00C917D6">
            <w:pPr>
              <w:pStyle w:val="NormalLeft"/>
              <w:rPr>
                <w:sz w:val="14"/>
                <w:szCs w:val="14"/>
              </w:rPr>
            </w:pPr>
            <w:r w:rsidRPr="00DE12A3">
              <w:rPr>
                <w:sz w:val="14"/>
                <w:szCs w:val="14"/>
              </w:rPr>
              <w:t>3,688</w:t>
            </w:r>
          </w:p>
        </w:tc>
        <w:tc>
          <w:tcPr>
            <w:tcW w:w="464" w:type="dxa"/>
            <w:tcBorders>
              <w:top w:val="single" w:sz="2" w:space="0" w:color="auto"/>
              <w:left w:val="single" w:sz="2" w:space="0" w:color="auto"/>
              <w:bottom w:val="single" w:sz="2" w:space="0" w:color="auto"/>
              <w:right w:val="single" w:sz="2" w:space="0" w:color="auto"/>
            </w:tcBorders>
          </w:tcPr>
          <w:p w14:paraId="0F55244D" w14:textId="77777777" w:rsidR="009F4766" w:rsidRPr="00DE12A3" w:rsidRDefault="009F4766" w:rsidP="00C917D6">
            <w:pPr>
              <w:pStyle w:val="NormalLeft"/>
              <w:rPr>
                <w:sz w:val="14"/>
                <w:szCs w:val="14"/>
              </w:rPr>
            </w:pPr>
            <w:r w:rsidRPr="00DE12A3">
              <w:rPr>
                <w:sz w:val="14"/>
                <w:szCs w:val="14"/>
              </w:rPr>
              <w:t>3,581</w:t>
            </w:r>
          </w:p>
        </w:tc>
        <w:tc>
          <w:tcPr>
            <w:tcW w:w="464" w:type="dxa"/>
            <w:tcBorders>
              <w:top w:val="single" w:sz="2" w:space="0" w:color="auto"/>
              <w:left w:val="single" w:sz="2" w:space="0" w:color="auto"/>
              <w:bottom w:val="single" w:sz="2" w:space="0" w:color="auto"/>
              <w:right w:val="single" w:sz="2" w:space="0" w:color="auto"/>
            </w:tcBorders>
          </w:tcPr>
          <w:p w14:paraId="505E48C2" w14:textId="77777777" w:rsidR="009F4766" w:rsidRPr="00DE12A3" w:rsidRDefault="009F4766" w:rsidP="00C917D6">
            <w:pPr>
              <w:pStyle w:val="NormalLeft"/>
              <w:rPr>
                <w:sz w:val="14"/>
                <w:szCs w:val="14"/>
              </w:rPr>
            </w:pPr>
            <w:r w:rsidRPr="00DE12A3">
              <w:rPr>
                <w:sz w:val="14"/>
                <w:szCs w:val="14"/>
              </w:rPr>
              <w:t>3,501</w:t>
            </w:r>
          </w:p>
        </w:tc>
        <w:tc>
          <w:tcPr>
            <w:tcW w:w="465" w:type="dxa"/>
            <w:tcBorders>
              <w:top w:val="single" w:sz="2" w:space="0" w:color="auto"/>
              <w:left w:val="single" w:sz="2" w:space="0" w:color="auto"/>
              <w:bottom w:val="single" w:sz="2" w:space="0" w:color="auto"/>
              <w:right w:val="single" w:sz="2" w:space="0" w:color="auto"/>
            </w:tcBorders>
          </w:tcPr>
          <w:p w14:paraId="4C1A0973" w14:textId="77777777" w:rsidR="009F4766" w:rsidRPr="00DE12A3" w:rsidRDefault="009F4766" w:rsidP="00C917D6">
            <w:pPr>
              <w:pStyle w:val="NormalLeft"/>
              <w:rPr>
                <w:sz w:val="14"/>
                <w:szCs w:val="14"/>
              </w:rPr>
            </w:pPr>
            <w:r w:rsidRPr="00DE12A3">
              <w:rPr>
                <w:sz w:val="14"/>
                <w:szCs w:val="14"/>
              </w:rPr>
              <w:t>3,438</w:t>
            </w:r>
          </w:p>
        </w:tc>
        <w:tc>
          <w:tcPr>
            <w:tcW w:w="464" w:type="dxa"/>
            <w:tcBorders>
              <w:top w:val="single" w:sz="2" w:space="0" w:color="auto"/>
              <w:left w:val="single" w:sz="2" w:space="0" w:color="auto"/>
              <w:bottom w:val="single" w:sz="2" w:space="0" w:color="auto"/>
              <w:right w:val="single" w:sz="2" w:space="0" w:color="auto"/>
            </w:tcBorders>
          </w:tcPr>
          <w:p w14:paraId="1DE96BDA" w14:textId="77777777" w:rsidR="009F4766" w:rsidRPr="00DE12A3" w:rsidRDefault="009F4766" w:rsidP="00C917D6">
            <w:pPr>
              <w:pStyle w:val="NormalLeft"/>
              <w:rPr>
                <w:sz w:val="14"/>
                <w:szCs w:val="14"/>
              </w:rPr>
            </w:pPr>
            <w:r w:rsidRPr="00DE12A3">
              <w:rPr>
                <w:sz w:val="14"/>
                <w:szCs w:val="14"/>
              </w:rPr>
              <w:t>3,388</w:t>
            </w:r>
          </w:p>
        </w:tc>
        <w:tc>
          <w:tcPr>
            <w:tcW w:w="464" w:type="dxa"/>
            <w:tcBorders>
              <w:top w:val="single" w:sz="2" w:space="0" w:color="auto"/>
              <w:left w:val="single" w:sz="2" w:space="0" w:color="auto"/>
              <w:bottom w:val="single" w:sz="2" w:space="0" w:color="auto"/>
              <w:right w:val="single" w:sz="2" w:space="0" w:color="auto"/>
            </w:tcBorders>
          </w:tcPr>
          <w:p w14:paraId="1EDB5354" w14:textId="77777777" w:rsidR="009F4766" w:rsidRPr="00DE12A3" w:rsidRDefault="009F4766" w:rsidP="00C917D6">
            <w:pPr>
              <w:pStyle w:val="NormalLeft"/>
              <w:rPr>
                <w:sz w:val="14"/>
                <w:szCs w:val="14"/>
              </w:rPr>
            </w:pPr>
            <w:r w:rsidRPr="00DE12A3">
              <w:rPr>
                <w:sz w:val="14"/>
                <w:szCs w:val="14"/>
              </w:rPr>
              <w:t>3,347</w:t>
            </w:r>
          </w:p>
        </w:tc>
        <w:tc>
          <w:tcPr>
            <w:tcW w:w="465" w:type="dxa"/>
            <w:tcBorders>
              <w:top w:val="single" w:sz="2" w:space="0" w:color="auto"/>
              <w:left w:val="single" w:sz="2" w:space="0" w:color="auto"/>
              <w:bottom w:val="single" w:sz="2" w:space="0" w:color="auto"/>
              <w:right w:val="single" w:sz="2" w:space="0" w:color="auto"/>
            </w:tcBorders>
          </w:tcPr>
          <w:p w14:paraId="5F187BC8" w14:textId="77777777" w:rsidR="009F4766" w:rsidRPr="00DE12A3" w:rsidRDefault="009F4766" w:rsidP="00C917D6">
            <w:pPr>
              <w:pStyle w:val="NormalLeft"/>
              <w:rPr>
                <w:sz w:val="14"/>
                <w:szCs w:val="14"/>
              </w:rPr>
            </w:pPr>
            <w:r w:rsidRPr="00DE12A3">
              <w:rPr>
                <w:sz w:val="14"/>
                <w:szCs w:val="14"/>
              </w:rPr>
              <w:t>3,284</w:t>
            </w:r>
          </w:p>
        </w:tc>
        <w:tc>
          <w:tcPr>
            <w:tcW w:w="464" w:type="dxa"/>
            <w:tcBorders>
              <w:top w:val="single" w:sz="2" w:space="0" w:color="auto"/>
              <w:left w:val="single" w:sz="2" w:space="0" w:color="auto"/>
              <w:bottom w:val="single" w:sz="2" w:space="0" w:color="auto"/>
              <w:right w:val="single" w:sz="2" w:space="0" w:color="auto"/>
            </w:tcBorders>
          </w:tcPr>
          <w:p w14:paraId="49517F52" w14:textId="77777777" w:rsidR="009F4766" w:rsidRPr="00DE12A3" w:rsidRDefault="009F4766" w:rsidP="00C917D6">
            <w:pPr>
              <w:pStyle w:val="NormalLeft"/>
              <w:rPr>
                <w:sz w:val="14"/>
                <w:szCs w:val="14"/>
              </w:rPr>
            </w:pPr>
            <w:r w:rsidRPr="00DE12A3">
              <w:rPr>
                <w:sz w:val="14"/>
                <w:szCs w:val="14"/>
              </w:rPr>
              <w:t>3,218</w:t>
            </w:r>
          </w:p>
        </w:tc>
        <w:tc>
          <w:tcPr>
            <w:tcW w:w="464" w:type="dxa"/>
            <w:tcBorders>
              <w:top w:val="single" w:sz="2" w:space="0" w:color="auto"/>
              <w:left w:val="single" w:sz="2" w:space="0" w:color="auto"/>
              <w:bottom w:val="single" w:sz="2" w:space="0" w:color="auto"/>
              <w:right w:val="single" w:sz="2" w:space="0" w:color="auto"/>
            </w:tcBorders>
          </w:tcPr>
          <w:p w14:paraId="568E5A8F" w14:textId="77777777" w:rsidR="009F4766" w:rsidRPr="00DE12A3" w:rsidRDefault="009F4766" w:rsidP="00C917D6">
            <w:pPr>
              <w:pStyle w:val="NormalLeft"/>
              <w:rPr>
                <w:sz w:val="14"/>
                <w:szCs w:val="14"/>
              </w:rPr>
            </w:pPr>
            <w:r w:rsidRPr="00DE12A3">
              <w:rPr>
                <w:sz w:val="14"/>
                <w:szCs w:val="14"/>
              </w:rPr>
              <w:t>3,150</w:t>
            </w:r>
          </w:p>
        </w:tc>
        <w:tc>
          <w:tcPr>
            <w:tcW w:w="465" w:type="dxa"/>
            <w:tcBorders>
              <w:top w:val="single" w:sz="2" w:space="0" w:color="auto"/>
              <w:left w:val="single" w:sz="2" w:space="0" w:color="auto"/>
              <w:bottom w:val="single" w:sz="2" w:space="0" w:color="auto"/>
              <w:right w:val="single" w:sz="2" w:space="0" w:color="auto"/>
            </w:tcBorders>
          </w:tcPr>
          <w:p w14:paraId="2E34FDC3" w14:textId="77777777" w:rsidR="009F4766" w:rsidRPr="00DE12A3" w:rsidRDefault="009F4766" w:rsidP="00C917D6">
            <w:pPr>
              <w:pStyle w:val="NormalLeft"/>
              <w:rPr>
                <w:sz w:val="14"/>
                <w:szCs w:val="14"/>
              </w:rPr>
            </w:pPr>
            <w:r w:rsidRPr="00DE12A3">
              <w:rPr>
                <w:sz w:val="14"/>
                <w:szCs w:val="14"/>
              </w:rPr>
              <w:t>3,115</w:t>
            </w:r>
          </w:p>
        </w:tc>
        <w:tc>
          <w:tcPr>
            <w:tcW w:w="464" w:type="dxa"/>
            <w:tcBorders>
              <w:top w:val="single" w:sz="2" w:space="0" w:color="auto"/>
              <w:left w:val="single" w:sz="2" w:space="0" w:color="auto"/>
              <w:bottom w:val="single" w:sz="2" w:space="0" w:color="auto"/>
              <w:right w:val="single" w:sz="2" w:space="0" w:color="auto"/>
            </w:tcBorders>
          </w:tcPr>
          <w:p w14:paraId="41F7E533" w14:textId="77777777" w:rsidR="009F4766" w:rsidRPr="00DE12A3" w:rsidRDefault="009F4766" w:rsidP="00C917D6">
            <w:pPr>
              <w:pStyle w:val="NormalLeft"/>
              <w:rPr>
                <w:sz w:val="14"/>
                <w:szCs w:val="14"/>
              </w:rPr>
            </w:pPr>
            <w:r w:rsidRPr="00DE12A3">
              <w:rPr>
                <w:sz w:val="14"/>
                <w:szCs w:val="14"/>
              </w:rPr>
              <w:t>3,079</w:t>
            </w:r>
          </w:p>
        </w:tc>
        <w:tc>
          <w:tcPr>
            <w:tcW w:w="464" w:type="dxa"/>
            <w:tcBorders>
              <w:top w:val="single" w:sz="2" w:space="0" w:color="auto"/>
              <w:left w:val="single" w:sz="2" w:space="0" w:color="auto"/>
              <w:bottom w:val="single" w:sz="2" w:space="0" w:color="auto"/>
              <w:right w:val="single" w:sz="2" w:space="0" w:color="auto"/>
            </w:tcBorders>
          </w:tcPr>
          <w:p w14:paraId="5E20BAAE" w14:textId="77777777" w:rsidR="009F4766" w:rsidRPr="00DE12A3" w:rsidRDefault="009F4766" w:rsidP="00C917D6">
            <w:pPr>
              <w:pStyle w:val="NormalLeft"/>
              <w:rPr>
                <w:sz w:val="14"/>
                <w:szCs w:val="14"/>
              </w:rPr>
            </w:pPr>
            <w:r w:rsidRPr="00DE12A3">
              <w:rPr>
                <w:sz w:val="14"/>
                <w:szCs w:val="14"/>
              </w:rPr>
              <w:t>3,043</w:t>
            </w:r>
          </w:p>
        </w:tc>
        <w:tc>
          <w:tcPr>
            <w:tcW w:w="464" w:type="dxa"/>
            <w:tcBorders>
              <w:top w:val="single" w:sz="2" w:space="0" w:color="auto"/>
              <w:left w:val="single" w:sz="2" w:space="0" w:color="auto"/>
              <w:bottom w:val="single" w:sz="2" w:space="0" w:color="auto"/>
              <w:right w:val="single" w:sz="2" w:space="0" w:color="auto"/>
            </w:tcBorders>
          </w:tcPr>
          <w:p w14:paraId="28A6874B" w14:textId="77777777" w:rsidR="009F4766" w:rsidRPr="00DE12A3" w:rsidRDefault="009F4766" w:rsidP="00C917D6">
            <w:pPr>
              <w:pStyle w:val="NormalLeft"/>
              <w:rPr>
                <w:sz w:val="14"/>
                <w:szCs w:val="14"/>
              </w:rPr>
            </w:pPr>
            <w:r w:rsidRPr="00DE12A3">
              <w:rPr>
                <w:sz w:val="14"/>
                <w:szCs w:val="14"/>
              </w:rPr>
              <w:t>3,005</w:t>
            </w:r>
          </w:p>
        </w:tc>
        <w:tc>
          <w:tcPr>
            <w:tcW w:w="465" w:type="dxa"/>
            <w:tcBorders>
              <w:top w:val="single" w:sz="2" w:space="0" w:color="auto"/>
              <w:left w:val="single" w:sz="2" w:space="0" w:color="auto"/>
              <w:bottom w:val="single" w:sz="2" w:space="0" w:color="auto"/>
              <w:right w:val="single" w:sz="2" w:space="0" w:color="auto"/>
            </w:tcBorders>
          </w:tcPr>
          <w:p w14:paraId="17A1192C" w14:textId="77777777" w:rsidR="009F4766" w:rsidRPr="00DE12A3" w:rsidRDefault="009F4766" w:rsidP="00C917D6">
            <w:pPr>
              <w:pStyle w:val="NormalLeft"/>
              <w:rPr>
                <w:sz w:val="14"/>
                <w:szCs w:val="14"/>
              </w:rPr>
            </w:pPr>
            <w:r w:rsidRPr="00DE12A3">
              <w:rPr>
                <w:sz w:val="14"/>
                <w:szCs w:val="14"/>
              </w:rPr>
              <w:t>2,967</w:t>
            </w:r>
          </w:p>
        </w:tc>
        <w:tc>
          <w:tcPr>
            <w:tcW w:w="464" w:type="dxa"/>
            <w:tcBorders>
              <w:top w:val="single" w:sz="2" w:space="0" w:color="auto"/>
              <w:left w:val="single" w:sz="2" w:space="0" w:color="auto"/>
              <w:bottom w:val="single" w:sz="2" w:space="0" w:color="auto"/>
              <w:right w:val="single" w:sz="2" w:space="0" w:color="auto"/>
            </w:tcBorders>
          </w:tcPr>
          <w:p w14:paraId="1A4F670E" w14:textId="77777777" w:rsidR="009F4766" w:rsidRPr="00DE12A3" w:rsidRDefault="009F4766" w:rsidP="00C917D6">
            <w:pPr>
              <w:pStyle w:val="NormalLeft"/>
              <w:rPr>
                <w:sz w:val="14"/>
                <w:szCs w:val="14"/>
              </w:rPr>
            </w:pPr>
            <w:r w:rsidRPr="00DE12A3">
              <w:rPr>
                <w:sz w:val="14"/>
                <w:szCs w:val="14"/>
              </w:rPr>
              <w:t>2,928</w:t>
            </w:r>
          </w:p>
        </w:tc>
      </w:tr>
      <w:tr w:rsidR="00DE12A3" w:rsidRPr="00DE12A3" w14:paraId="69EEE16D" w14:textId="77777777" w:rsidTr="009F4766">
        <w:tc>
          <w:tcPr>
            <w:tcW w:w="464" w:type="dxa"/>
            <w:tcBorders>
              <w:top w:val="single" w:sz="2" w:space="0" w:color="auto"/>
              <w:left w:val="single" w:sz="2" w:space="0" w:color="auto"/>
              <w:bottom w:val="single" w:sz="2" w:space="0" w:color="auto"/>
              <w:right w:val="single" w:sz="2" w:space="0" w:color="auto"/>
            </w:tcBorders>
          </w:tcPr>
          <w:p w14:paraId="469CCDE7" w14:textId="77777777" w:rsidR="009F4766" w:rsidRPr="00DE12A3" w:rsidRDefault="009F4766" w:rsidP="00C917D6">
            <w:pPr>
              <w:pStyle w:val="NormalLeft"/>
              <w:rPr>
                <w:sz w:val="14"/>
                <w:szCs w:val="14"/>
              </w:rPr>
            </w:pPr>
            <w:r w:rsidRPr="00DE12A3">
              <w:rPr>
                <w:sz w:val="14"/>
                <w:szCs w:val="14"/>
              </w:rPr>
              <w:t>9</w:t>
            </w:r>
          </w:p>
        </w:tc>
        <w:tc>
          <w:tcPr>
            <w:tcW w:w="465" w:type="dxa"/>
            <w:tcBorders>
              <w:top w:val="single" w:sz="2" w:space="0" w:color="auto"/>
              <w:left w:val="single" w:sz="2" w:space="0" w:color="auto"/>
              <w:bottom w:val="single" w:sz="2" w:space="0" w:color="auto"/>
              <w:right w:val="single" w:sz="2" w:space="0" w:color="auto"/>
            </w:tcBorders>
          </w:tcPr>
          <w:p w14:paraId="0893DFD4" w14:textId="77777777" w:rsidR="009F4766" w:rsidRPr="00DE12A3" w:rsidRDefault="009F4766" w:rsidP="00C917D6">
            <w:pPr>
              <w:pStyle w:val="NormalLeft"/>
              <w:rPr>
                <w:sz w:val="14"/>
                <w:szCs w:val="14"/>
              </w:rPr>
            </w:pPr>
            <w:r w:rsidRPr="00DE12A3">
              <w:rPr>
                <w:sz w:val="14"/>
                <w:szCs w:val="14"/>
              </w:rPr>
              <w:t>5,117</w:t>
            </w:r>
          </w:p>
        </w:tc>
        <w:tc>
          <w:tcPr>
            <w:tcW w:w="464" w:type="dxa"/>
            <w:tcBorders>
              <w:top w:val="single" w:sz="2" w:space="0" w:color="auto"/>
              <w:left w:val="single" w:sz="2" w:space="0" w:color="auto"/>
              <w:bottom w:val="single" w:sz="2" w:space="0" w:color="auto"/>
              <w:right w:val="single" w:sz="2" w:space="0" w:color="auto"/>
            </w:tcBorders>
          </w:tcPr>
          <w:p w14:paraId="2BFE7161" w14:textId="77777777" w:rsidR="009F4766" w:rsidRPr="00DE12A3" w:rsidRDefault="009F4766" w:rsidP="00C917D6">
            <w:pPr>
              <w:pStyle w:val="NormalLeft"/>
              <w:rPr>
                <w:sz w:val="14"/>
                <w:szCs w:val="14"/>
              </w:rPr>
            </w:pPr>
            <w:r w:rsidRPr="00DE12A3">
              <w:rPr>
                <w:sz w:val="14"/>
                <w:szCs w:val="14"/>
              </w:rPr>
              <w:t>4,257</w:t>
            </w:r>
          </w:p>
        </w:tc>
        <w:tc>
          <w:tcPr>
            <w:tcW w:w="464" w:type="dxa"/>
            <w:tcBorders>
              <w:top w:val="single" w:sz="2" w:space="0" w:color="auto"/>
              <w:left w:val="single" w:sz="2" w:space="0" w:color="auto"/>
              <w:bottom w:val="single" w:sz="2" w:space="0" w:color="auto"/>
              <w:right w:val="single" w:sz="2" w:space="0" w:color="auto"/>
            </w:tcBorders>
          </w:tcPr>
          <w:p w14:paraId="5B5053E7" w14:textId="77777777" w:rsidR="009F4766" w:rsidRPr="00DE12A3" w:rsidRDefault="009F4766" w:rsidP="00C917D6">
            <w:pPr>
              <w:pStyle w:val="NormalLeft"/>
              <w:rPr>
                <w:sz w:val="14"/>
                <w:szCs w:val="14"/>
              </w:rPr>
            </w:pPr>
            <w:r w:rsidRPr="00DE12A3">
              <w:rPr>
                <w:sz w:val="14"/>
                <w:szCs w:val="14"/>
              </w:rPr>
              <w:t>3,863</w:t>
            </w:r>
          </w:p>
        </w:tc>
        <w:tc>
          <w:tcPr>
            <w:tcW w:w="465" w:type="dxa"/>
            <w:tcBorders>
              <w:top w:val="single" w:sz="2" w:space="0" w:color="auto"/>
              <w:left w:val="single" w:sz="2" w:space="0" w:color="auto"/>
              <w:bottom w:val="single" w:sz="2" w:space="0" w:color="auto"/>
              <w:right w:val="single" w:sz="2" w:space="0" w:color="auto"/>
            </w:tcBorders>
          </w:tcPr>
          <w:p w14:paraId="33AFB191" w14:textId="77777777" w:rsidR="009F4766" w:rsidRPr="00DE12A3" w:rsidRDefault="009F4766" w:rsidP="00C917D6">
            <w:pPr>
              <w:pStyle w:val="NormalLeft"/>
              <w:rPr>
                <w:sz w:val="14"/>
                <w:szCs w:val="14"/>
              </w:rPr>
            </w:pPr>
            <w:r w:rsidRPr="00DE12A3">
              <w:rPr>
                <w:sz w:val="14"/>
                <w:szCs w:val="14"/>
              </w:rPr>
              <w:t>3,633</w:t>
            </w:r>
          </w:p>
        </w:tc>
        <w:tc>
          <w:tcPr>
            <w:tcW w:w="464" w:type="dxa"/>
            <w:tcBorders>
              <w:top w:val="single" w:sz="2" w:space="0" w:color="auto"/>
              <w:left w:val="single" w:sz="2" w:space="0" w:color="auto"/>
              <w:bottom w:val="single" w:sz="2" w:space="0" w:color="auto"/>
              <w:right w:val="single" w:sz="2" w:space="0" w:color="auto"/>
            </w:tcBorders>
          </w:tcPr>
          <w:p w14:paraId="763BC9AF" w14:textId="77777777" w:rsidR="009F4766" w:rsidRPr="00DE12A3" w:rsidRDefault="009F4766" w:rsidP="00C917D6">
            <w:pPr>
              <w:pStyle w:val="NormalLeft"/>
              <w:rPr>
                <w:sz w:val="14"/>
                <w:szCs w:val="14"/>
              </w:rPr>
            </w:pPr>
            <w:r w:rsidRPr="00DE12A3">
              <w:rPr>
                <w:sz w:val="14"/>
                <w:szCs w:val="14"/>
              </w:rPr>
              <w:t>3,482</w:t>
            </w:r>
          </w:p>
        </w:tc>
        <w:tc>
          <w:tcPr>
            <w:tcW w:w="464" w:type="dxa"/>
            <w:tcBorders>
              <w:top w:val="single" w:sz="2" w:space="0" w:color="auto"/>
              <w:left w:val="single" w:sz="2" w:space="0" w:color="auto"/>
              <w:bottom w:val="single" w:sz="2" w:space="0" w:color="auto"/>
              <w:right w:val="single" w:sz="2" w:space="0" w:color="auto"/>
            </w:tcBorders>
          </w:tcPr>
          <w:p w14:paraId="6EB53FC0" w14:textId="77777777" w:rsidR="009F4766" w:rsidRPr="00DE12A3" w:rsidRDefault="009F4766" w:rsidP="00C917D6">
            <w:pPr>
              <w:pStyle w:val="NormalLeft"/>
              <w:rPr>
                <w:sz w:val="14"/>
                <w:szCs w:val="14"/>
              </w:rPr>
            </w:pPr>
            <w:r w:rsidRPr="00DE12A3">
              <w:rPr>
                <w:sz w:val="14"/>
                <w:szCs w:val="14"/>
              </w:rPr>
              <w:t>3,374</w:t>
            </w:r>
          </w:p>
        </w:tc>
        <w:tc>
          <w:tcPr>
            <w:tcW w:w="464" w:type="dxa"/>
            <w:tcBorders>
              <w:top w:val="single" w:sz="2" w:space="0" w:color="auto"/>
              <w:left w:val="single" w:sz="2" w:space="0" w:color="auto"/>
              <w:bottom w:val="single" w:sz="2" w:space="0" w:color="auto"/>
              <w:right w:val="single" w:sz="2" w:space="0" w:color="auto"/>
            </w:tcBorders>
          </w:tcPr>
          <w:p w14:paraId="3A5B8849" w14:textId="77777777" w:rsidR="009F4766" w:rsidRPr="00DE12A3" w:rsidRDefault="009F4766" w:rsidP="00C917D6">
            <w:pPr>
              <w:pStyle w:val="NormalLeft"/>
              <w:rPr>
                <w:sz w:val="14"/>
                <w:szCs w:val="14"/>
              </w:rPr>
            </w:pPr>
            <w:r w:rsidRPr="00DE12A3">
              <w:rPr>
                <w:sz w:val="14"/>
                <w:szCs w:val="14"/>
              </w:rPr>
              <w:t>3,293</w:t>
            </w:r>
          </w:p>
        </w:tc>
        <w:tc>
          <w:tcPr>
            <w:tcW w:w="465" w:type="dxa"/>
            <w:tcBorders>
              <w:top w:val="single" w:sz="2" w:space="0" w:color="auto"/>
              <w:left w:val="single" w:sz="2" w:space="0" w:color="auto"/>
              <w:bottom w:val="single" w:sz="2" w:space="0" w:color="auto"/>
              <w:right w:val="single" w:sz="2" w:space="0" w:color="auto"/>
            </w:tcBorders>
          </w:tcPr>
          <w:p w14:paraId="648822C6" w14:textId="77777777" w:rsidR="009F4766" w:rsidRPr="00DE12A3" w:rsidRDefault="009F4766" w:rsidP="00C917D6">
            <w:pPr>
              <w:pStyle w:val="NormalLeft"/>
              <w:rPr>
                <w:sz w:val="14"/>
                <w:szCs w:val="14"/>
              </w:rPr>
            </w:pPr>
            <w:r w:rsidRPr="00DE12A3">
              <w:rPr>
                <w:sz w:val="14"/>
                <w:szCs w:val="14"/>
              </w:rPr>
              <w:t>3,230</w:t>
            </w:r>
          </w:p>
        </w:tc>
        <w:tc>
          <w:tcPr>
            <w:tcW w:w="464" w:type="dxa"/>
            <w:tcBorders>
              <w:top w:val="single" w:sz="2" w:space="0" w:color="auto"/>
              <w:left w:val="single" w:sz="2" w:space="0" w:color="auto"/>
              <w:bottom w:val="single" w:sz="2" w:space="0" w:color="auto"/>
              <w:right w:val="single" w:sz="2" w:space="0" w:color="auto"/>
            </w:tcBorders>
          </w:tcPr>
          <w:p w14:paraId="55AADFFE" w14:textId="77777777" w:rsidR="009F4766" w:rsidRPr="00DE12A3" w:rsidRDefault="009F4766" w:rsidP="00C917D6">
            <w:pPr>
              <w:pStyle w:val="NormalLeft"/>
              <w:rPr>
                <w:sz w:val="14"/>
                <w:szCs w:val="14"/>
              </w:rPr>
            </w:pPr>
            <w:r w:rsidRPr="00DE12A3">
              <w:rPr>
                <w:sz w:val="14"/>
                <w:szCs w:val="14"/>
              </w:rPr>
              <w:t>3,179</w:t>
            </w:r>
          </w:p>
        </w:tc>
        <w:tc>
          <w:tcPr>
            <w:tcW w:w="464" w:type="dxa"/>
            <w:tcBorders>
              <w:top w:val="single" w:sz="2" w:space="0" w:color="auto"/>
              <w:left w:val="single" w:sz="2" w:space="0" w:color="auto"/>
              <w:bottom w:val="single" w:sz="2" w:space="0" w:color="auto"/>
              <w:right w:val="single" w:sz="2" w:space="0" w:color="auto"/>
            </w:tcBorders>
          </w:tcPr>
          <w:p w14:paraId="175FF9DA" w14:textId="77777777" w:rsidR="009F4766" w:rsidRPr="00DE12A3" w:rsidRDefault="009F4766" w:rsidP="00C917D6">
            <w:pPr>
              <w:pStyle w:val="NormalLeft"/>
              <w:rPr>
                <w:sz w:val="14"/>
                <w:szCs w:val="14"/>
              </w:rPr>
            </w:pPr>
            <w:r w:rsidRPr="00DE12A3">
              <w:rPr>
                <w:sz w:val="14"/>
                <w:szCs w:val="14"/>
              </w:rPr>
              <w:t>3,137</w:t>
            </w:r>
          </w:p>
        </w:tc>
        <w:tc>
          <w:tcPr>
            <w:tcW w:w="465" w:type="dxa"/>
            <w:tcBorders>
              <w:top w:val="single" w:sz="2" w:space="0" w:color="auto"/>
              <w:left w:val="single" w:sz="2" w:space="0" w:color="auto"/>
              <w:bottom w:val="single" w:sz="2" w:space="0" w:color="auto"/>
              <w:right w:val="single" w:sz="2" w:space="0" w:color="auto"/>
            </w:tcBorders>
          </w:tcPr>
          <w:p w14:paraId="5800ED38" w14:textId="77777777" w:rsidR="009F4766" w:rsidRPr="00DE12A3" w:rsidRDefault="009F4766" w:rsidP="00C917D6">
            <w:pPr>
              <w:pStyle w:val="NormalLeft"/>
              <w:rPr>
                <w:sz w:val="14"/>
                <w:szCs w:val="14"/>
              </w:rPr>
            </w:pPr>
            <w:r w:rsidRPr="00DE12A3">
              <w:rPr>
                <w:sz w:val="14"/>
                <w:szCs w:val="14"/>
              </w:rPr>
              <w:t>3,073</w:t>
            </w:r>
          </w:p>
        </w:tc>
        <w:tc>
          <w:tcPr>
            <w:tcW w:w="464" w:type="dxa"/>
            <w:tcBorders>
              <w:top w:val="single" w:sz="2" w:space="0" w:color="auto"/>
              <w:left w:val="single" w:sz="2" w:space="0" w:color="auto"/>
              <w:bottom w:val="single" w:sz="2" w:space="0" w:color="auto"/>
              <w:right w:val="single" w:sz="2" w:space="0" w:color="auto"/>
            </w:tcBorders>
          </w:tcPr>
          <w:p w14:paraId="3699730F" w14:textId="77777777" w:rsidR="009F4766" w:rsidRPr="00DE12A3" w:rsidRDefault="009F4766" w:rsidP="00C917D6">
            <w:pPr>
              <w:pStyle w:val="NormalLeft"/>
              <w:rPr>
                <w:sz w:val="14"/>
                <w:szCs w:val="14"/>
              </w:rPr>
            </w:pPr>
            <w:r w:rsidRPr="00DE12A3">
              <w:rPr>
                <w:sz w:val="14"/>
                <w:szCs w:val="14"/>
              </w:rPr>
              <w:t>3,006</w:t>
            </w:r>
          </w:p>
        </w:tc>
        <w:tc>
          <w:tcPr>
            <w:tcW w:w="464" w:type="dxa"/>
            <w:tcBorders>
              <w:top w:val="single" w:sz="2" w:space="0" w:color="auto"/>
              <w:left w:val="single" w:sz="2" w:space="0" w:color="auto"/>
              <w:bottom w:val="single" w:sz="2" w:space="0" w:color="auto"/>
              <w:right w:val="single" w:sz="2" w:space="0" w:color="auto"/>
            </w:tcBorders>
          </w:tcPr>
          <w:p w14:paraId="37DFC7A3" w14:textId="77777777" w:rsidR="009F4766" w:rsidRPr="00DE12A3" w:rsidRDefault="009F4766" w:rsidP="00C917D6">
            <w:pPr>
              <w:pStyle w:val="NormalLeft"/>
              <w:rPr>
                <w:sz w:val="14"/>
                <w:szCs w:val="14"/>
              </w:rPr>
            </w:pPr>
            <w:r w:rsidRPr="00DE12A3">
              <w:rPr>
                <w:sz w:val="14"/>
                <w:szCs w:val="14"/>
              </w:rPr>
              <w:t>2,937</w:t>
            </w:r>
          </w:p>
        </w:tc>
        <w:tc>
          <w:tcPr>
            <w:tcW w:w="465" w:type="dxa"/>
            <w:tcBorders>
              <w:top w:val="single" w:sz="2" w:space="0" w:color="auto"/>
              <w:left w:val="single" w:sz="2" w:space="0" w:color="auto"/>
              <w:bottom w:val="single" w:sz="2" w:space="0" w:color="auto"/>
              <w:right w:val="single" w:sz="2" w:space="0" w:color="auto"/>
            </w:tcBorders>
          </w:tcPr>
          <w:p w14:paraId="1EFA931B" w14:textId="77777777" w:rsidR="009F4766" w:rsidRPr="00DE12A3" w:rsidRDefault="009F4766" w:rsidP="00C917D6">
            <w:pPr>
              <w:pStyle w:val="NormalLeft"/>
              <w:rPr>
                <w:sz w:val="14"/>
                <w:szCs w:val="14"/>
              </w:rPr>
            </w:pPr>
            <w:r w:rsidRPr="00DE12A3">
              <w:rPr>
                <w:sz w:val="14"/>
                <w:szCs w:val="14"/>
              </w:rPr>
              <w:t>2,901</w:t>
            </w:r>
          </w:p>
        </w:tc>
        <w:tc>
          <w:tcPr>
            <w:tcW w:w="464" w:type="dxa"/>
            <w:tcBorders>
              <w:top w:val="single" w:sz="2" w:space="0" w:color="auto"/>
              <w:left w:val="single" w:sz="2" w:space="0" w:color="auto"/>
              <w:bottom w:val="single" w:sz="2" w:space="0" w:color="auto"/>
              <w:right w:val="single" w:sz="2" w:space="0" w:color="auto"/>
            </w:tcBorders>
          </w:tcPr>
          <w:p w14:paraId="0DEA32F3" w14:textId="77777777" w:rsidR="009F4766" w:rsidRPr="00DE12A3" w:rsidRDefault="009F4766" w:rsidP="00C917D6">
            <w:pPr>
              <w:pStyle w:val="NormalLeft"/>
              <w:rPr>
                <w:sz w:val="14"/>
                <w:szCs w:val="14"/>
              </w:rPr>
            </w:pPr>
            <w:r w:rsidRPr="00DE12A3">
              <w:rPr>
                <w:sz w:val="14"/>
                <w:szCs w:val="14"/>
              </w:rPr>
              <w:t>2,864</w:t>
            </w:r>
          </w:p>
        </w:tc>
        <w:tc>
          <w:tcPr>
            <w:tcW w:w="464" w:type="dxa"/>
            <w:tcBorders>
              <w:top w:val="single" w:sz="2" w:space="0" w:color="auto"/>
              <w:left w:val="single" w:sz="2" w:space="0" w:color="auto"/>
              <w:bottom w:val="single" w:sz="2" w:space="0" w:color="auto"/>
              <w:right w:val="single" w:sz="2" w:space="0" w:color="auto"/>
            </w:tcBorders>
          </w:tcPr>
          <w:p w14:paraId="6CB15A55" w14:textId="77777777" w:rsidR="009F4766" w:rsidRPr="00DE12A3" w:rsidRDefault="009F4766" w:rsidP="00C917D6">
            <w:pPr>
              <w:pStyle w:val="NormalLeft"/>
              <w:rPr>
                <w:sz w:val="14"/>
                <w:szCs w:val="14"/>
              </w:rPr>
            </w:pPr>
            <w:r w:rsidRPr="00DE12A3">
              <w:rPr>
                <w:sz w:val="14"/>
                <w:szCs w:val="14"/>
              </w:rPr>
              <w:t>2,826</w:t>
            </w:r>
          </w:p>
        </w:tc>
        <w:tc>
          <w:tcPr>
            <w:tcW w:w="464" w:type="dxa"/>
            <w:tcBorders>
              <w:top w:val="single" w:sz="2" w:space="0" w:color="auto"/>
              <w:left w:val="single" w:sz="2" w:space="0" w:color="auto"/>
              <w:bottom w:val="single" w:sz="2" w:space="0" w:color="auto"/>
              <w:right w:val="single" w:sz="2" w:space="0" w:color="auto"/>
            </w:tcBorders>
          </w:tcPr>
          <w:p w14:paraId="6AE368B6" w14:textId="77777777" w:rsidR="009F4766" w:rsidRPr="00DE12A3" w:rsidRDefault="009F4766" w:rsidP="00C917D6">
            <w:pPr>
              <w:pStyle w:val="NormalLeft"/>
              <w:rPr>
                <w:sz w:val="14"/>
                <w:szCs w:val="14"/>
              </w:rPr>
            </w:pPr>
            <w:r w:rsidRPr="00DE12A3">
              <w:rPr>
                <w:sz w:val="14"/>
                <w:szCs w:val="14"/>
              </w:rPr>
              <w:t>2,787</w:t>
            </w:r>
          </w:p>
        </w:tc>
        <w:tc>
          <w:tcPr>
            <w:tcW w:w="465" w:type="dxa"/>
            <w:tcBorders>
              <w:top w:val="single" w:sz="2" w:space="0" w:color="auto"/>
              <w:left w:val="single" w:sz="2" w:space="0" w:color="auto"/>
              <w:bottom w:val="single" w:sz="2" w:space="0" w:color="auto"/>
              <w:right w:val="single" w:sz="2" w:space="0" w:color="auto"/>
            </w:tcBorders>
          </w:tcPr>
          <w:p w14:paraId="3134F572" w14:textId="77777777" w:rsidR="009F4766" w:rsidRPr="00DE12A3" w:rsidRDefault="009F4766" w:rsidP="00C917D6">
            <w:pPr>
              <w:pStyle w:val="NormalLeft"/>
              <w:rPr>
                <w:sz w:val="14"/>
                <w:szCs w:val="14"/>
              </w:rPr>
            </w:pPr>
            <w:r w:rsidRPr="00DE12A3">
              <w:rPr>
                <w:sz w:val="14"/>
                <w:szCs w:val="14"/>
              </w:rPr>
              <w:t>2,748</w:t>
            </w:r>
          </w:p>
        </w:tc>
        <w:tc>
          <w:tcPr>
            <w:tcW w:w="464" w:type="dxa"/>
            <w:tcBorders>
              <w:top w:val="single" w:sz="2" w:space="0" w:color="auto"/>
              <w:left w:val="single" w:sz="2" w:space="0" w:color="auto"/>
              <w:bottom w:val="single" w:sz="2" w:space="0" w:color="auto"/>
              <w:right w:val="single" w:sz="2" w:space="0" w:color="auto"/>
            </w:tcBorders>
          </w:tcPr>
          <w:p w14:paraId="57B8DC79" w14:textId="77777777" w:rsidR="009F4766" w:rsidRPr="00DE12A3" w:rsidRDefault="009F4766" w:rsidP="00C917D6">
            <w:pPr>
              <w:pStyle w:val="NormalLeft"/>
              <w:rPr>
                <w:sz w:val="14"/>
                <w:szCs w:val="14"/>
              </w:rPr>
            </w:pPr>
            <w:r w:rsidRPr="00DE12A3">
              <w:rPr>
                <w:sz w:val="14"/>
                <w:szCs w:val="14"/>
              </w:rPr>
              <w:t>2,707</w:t>
            </w:r>
          </w:p>
        </w:tc>
      </w:tr>
      <w:tr w:rsidR="00DE12A3" w:rsidRPr="00DE12A3" w14:paraId="28E71C52" w14:textId="77777777" w:rsidTr="009F4766">
        <w:tc>
          <w:tcPr>
            <w:tcW w:w="464" w:type="dxa"/>
            <w:tcBorders>
              <w:top w:val="single" w:sz="2" w:space="0" w:color="auto"/>
              <w:left w:val="single" w:sz="2" w:space="0" w:color="auto"/>
              <w:bottom w:val="single" w:sz="2" w:space="0" w:color="auto"/>
              <w:right w:val="single" w:sz="2" w:space="0" w:color="auto"/>
            </w:tcBorders>
          </w:tcPr>
          <w:p w14:paraId="0C4AF9C7" w14:textId="77777777" w:rsidR="009F4766" w:rsidRPr="00DE12A3" w:rsidRDefault="009F4766" w:rsidP="00C917D6">
            <w:pPr>
              <w:pStyle w:val="NormalLeft"/>
              <w:rPr>
                <w:sz w:val="14"/>
                <w:szCs w:val="14"/>
              </w:rPr>
            </w:pPr>
            <w:r w:rsidRPr="00DE12A3">
              <w:rPr>
                <w:sz w:val="14"/>
                <w:szCs w:val="14"/>
              </w:rPr>
              <w:t>10</w:t>
            </w:r>
          </w:p>
        </w:tc>
        <w:tc>
          <w:tcPr>
            <w:tcW w:w="465" w:type="dxa"/>
            <w:tcBorders>
              <w:top w:val="single" w:sz="2" w:space="0" w:color="auto"/>
              <w:left w:val="single" w:sz="2" w:space="0" w:color="auto"/>
              <w:bottom w:val="single" w:sz="2" w:space="0" w:color="auto"/>
              <w:right w:val="single" w:sz="2" w:space="0" w:color="auto"/>
            </w:tcBorders>
          </w:tcPr>
          <w:p w14:paraId="335CFF57" w14:textId="77777777" w:rsidR="009F4766" w:rsidRPr="00DE12A3" w:rsidRDefault="009F4766" w:rsidP="00C917D6">
            <w:pPr>
              <w:pStyle w:val="NormalLeft"/>
              <w:rPr>
                <w:sz w:val="14"/>
                <w:szCs w:val="14"/>
              </w:rPr>
            </w:pPr>
            <w:r w:rsidRPr="00DE12A3">
              <w:rPr>
                <w:sz w:val="14"/>
                <w:szCs w:val="14"/>
              </w:rPr>
              <w:t>4,965</w:t>
            </w:r>
          </w:p>
        </w:tc>
        <w:tc>
          <w:tcPr>
            <w:tcW w:w="464" w:type="dxa"/>
            <w:tcBorders>
              <w:top w:val="single" w:sz="2" w:space="0" w:color="auto"/>
              <w:left w:val="single" w:sz="2" w:space="0" w:color="auto"/>
              <w:bottom w:val="single" w:sz="2" w:space="0" w:color="auto"/>
              <w:right w:val="single" w:sz="2" w:space="0" w:color="auto"/>
            </w:tcBorders>
          </w:tcPr>
          <w:p w14:paraId="11BC815A" w14:textId="77777777" w:rsidR="009F4766" w:rsidRPr="00DE12A3" w:rsidRDefault="009F4766" w:rsidP="00C917D6">
            <w:pPr>
              <w:pStyle w:val="NormalLeft"/>
              <w:rPr>
                <w:sz w:val="14"/>
                <w:szCs w:val="14"/>
              </w:rPr>
            </w:pPr>
            <w:r w:rsidRPr="00DE12A3">
              <w:rPr>
                <w:sz w:val="14"/>
                <w:szCs w:val="14"/>
              </w:rPr>
              <w:t>4,103</w:t>
            </w:r>
          </w:p>
        </w:tc>
        <w:tc>
          <w:tcPr>
            <w:tcW w:w="464" w:type="dxa"/>
            <w:tcBorders>
              <w:top w:val="single" w:sz="2" w:space="0" w:color="auto"/>
              <w:left w:val="single" w:sz="2" w:space="0" w:color="auto"/>
              <w:bottom w:val="single" w:sz="2" w:space="0" w:color="auto"/>
              <w:right w:val="single" w:sz="2" w:space="0" w:color="auto"/>
            </w:tcBorders>
          </w:tcPr>
          <w:p w14:paraId="07BB1DE2" w14:textId="77777777" w:rsidR="009F4766" w:rsidRPr="00DE12A3" w:rsidRDefault="009F4766" w:rsidP="00C917D6">
            <w:pPr>
              <w:pStyle w:val="NormalLeft"/>
              <w:rPr>
                <w:sz w:val="14"/>
                <w:szCs w:val="14"/>
              </w:rPr>
            </w:pPr>
            <w:r w:rsidRPr="00DE12A3">
              <w:rPr>
                <w:sz w:val="14"/>
                <w:szCs w:val="14"/>
              </w:rPr>
              <w:t>3,708</w:t>
            </w:r>
          </w:p>
        </w:tc>
        <w:tc>
          <w:tcPr>
            <w:tcW w:w="465" w:type="dxa"/>
            <w:tcBorders>
              <w:top w:val="single" w:sz="2" w:space="0" w:color="auto"/>
              <w:left w:val="single" w:sz="2" w:space="0" w:color="auto"/>
              <w:bottom w:val="single" w:sz="2" w:space="0" w:color="auto"/>
              <w:right w:val="single" w:sz="2" w:space="0" w:color="auto"/>
            </w:tcBorders>
          </w:tcPr>
          <w:p w14:paraId="307625D1" w14:textId="77777777" w:rsidR="009F4766" w:rsidRPr="00DE12A3" w:rsidRDefault="009F4766" w:rsidP="00C917D6">
            <w:pPr>
              <w:pStyle w:val="NormalLeft"/>
              <w:rPr>
                <w:sz w:val="14"/>
                <w:szCs w:val="14"/>
              </w:rPr>
            </w:pPr>
            <w:r w:rsidRPr="00DE12A3">
              <w:rPr>
                <w:sz w:val="14"/>
                <w:szCs w:val="14"/>
              </w:rPr>
              <w:t>3,478</w:t>
            </w:r>
          </w:p>
        </w:tc>
        <w:tc>
          <w:tcPr>
            <w:tcW w:w="464" w:type="dxa"/>
            <w:tcBorders>
              <w:top w:val="single" w:sz="2" w:space="0" w:color="auto"/>
              <w:left w:val="single" w:sz="2" w:space="0" w:color="auto"/>
              <w:bottom w:val="single" w:sz="2" w:space="0" w:color="auto"/>
              <w:right w:val="single" w:sz="2" w:space="0" w:color="auto"/>
            </w:tcBorders>
          </w:tcPr>
          <w:p w14:paraId="3F959E0A" w14:textId="77777777" w:rsidR="009F4766" w:rsidRPr="00DE12A3" w:rsidRDefault="009F4766" w:rsidP="00C917D6">
            <w:pPr>
              <w:pStyle w:val="NormalLeft"/>
              <w:rPr>
                <w:sz w:val="14"/>
                <w:szCs w:val="14"/>
              </w:rPr>
            </w:pPr>
            <w:r w:rsidRPr="00DE12A3">
              <w:rPr>
                <w:sz w:val="14"/>
                <w:szCs w:val="14"/>
              </w:rPr>
              <w:t>3,326</w:t>
            </w:r>
          </w:p>
        </w:tc>
        <w:tc>
          <w:tcPr>
            <w:tcW w:w="464" w:type="dxa"/>
            <w:tcBorders>
              <w:top w:val="single" w:sz="2" w:space="0" w:color="auto"/>
              <w:left w:val="single" w:sz="2" w:space="0" w:color="auto"/>
              <w:bottom w:val="single" w:sz="2" w:space="0" w:color="auto"/>
              <w:right w:val="single" w:sz="2" w:space="0" w:color="auto"/>
            </w:tcBorders>
          </w:tcPr>
          <w:p w14:paraId="69DCBAAD" w14:textId="77777777" w:rsidR="009F4766" w:rsidRPr="00DE12A3" w:rsidRDefault="009F4766" w:rsidP="00C917D6">
            <w:pPr>
              <w:pStyle w:val="NormalLeft"/>
              <w:rPr>
                <w:sz w:val="14"/>
                <w:szCs w:val="14"/>
              </w:rPr>
            </w:pPr>
            <w:r w:rsidRPr="00DE12A3">
              <w:rPr>
                <w:sz w:val="14"/>
                <w:szCs w:val="14"/>
              </w:rPr>
              <w:t>3,217</w:t>
            </w:r>
          </w:p>
        </w:tc>
        <w:tc>
          <w:tcPr>
            <w:tcW w:w="464" w:type="dxa"/>
            <w:tcBorders>
              <w:top w:val="single" w:sz="2" w:space="0" w:color="auto"/>
              <w:left w:val="single" w:sz="2" w:space="0" w:color="auto"/>
              <w:bottom w:val="single" w:sz="2" w:space="0" w:color="auto"/>
              <w:right w:val="single" w:sz="2" w:space="0" w:color="auto"/>
            </w:tcBorders>
          </w:tcPr>
          <w:p w14:paraId="53F25EE8" w14:textId="77777777" w:rsidR="009F4766" w:rsidRPr="00DE12A3" w:rsidRDefault="009F4766" w:rsidP="00C917D6">
            <w:pPr>
              <w:pStyle w:val="NormalLeft"/>
              <w:rPr>
                <w:sz w:val="14"/>
                <w:szCs w:val="14"/>
              </w:rPr>
            </w:pPr>
            <w:r w:rsidRPr="00DE12A3">
              <w:rPr>
                <w:sz w:val="14"/>
                <w:szCs w:val="14"/>
              </w:rPr>
              <w:t>3,136</w:t>
            </w:r>
          </w:p>
        </w:tc>
        <w:tc>
          <w:tcPr>
            <w:tcW w:w="465" w:type="dxa"/>
            <w:tcBorders>
              <w:top w:val="single" w:sz="2" w:space="0" w:color="auto"/>
              <w:left w:val="single" w:sz="2" w:space="0" w:color="auto"/>
              <w:bottom w:val="single" w:sz="2" w:space="0" w:color="auto"/>
              <w:right w:val="single" w:sz="2" w:space="0" w:color="auto"/>
            </w:tcBorders>
          </w:tcPr>
          <w:p w14:paraId="142FBEE1" w14:textId="77777777" w:rsidR="009F4766" w:rsidRPr="00DE12A3" w:rsidRDefault="009F4766" w:rsidP="00C917D6">
            <w:pPr>
              <w:pStyle w:val="NormalLeft"/>
              <w:rPr>
                <w:sz w:val="14"/>
                <w:szCs w:val="14"/>
              </w:rPr>
            </w:pPr>
            <w:r w:rsidRPr="00DE12A3">
              <w:rPr>
                <w:sz w:val="14"/>
                <w:szCs w:val="14"/>
              </w:rPr>
              <w:t>3,072</w:t>
            </w:r>
          </w:p>
        </w:tc>
        <w:tc>
          <w:tcPr>
            <w:tcW w:w="464" w:type="dxa"/>
            <w:tcBorders>
              <w:top w:val="single" w:sz="2" w:space="0" w:color="auto"/>
              <w:left w:val="single" w:sz="2" w:space="0" w:color="auto"/>
              <w:bottom w:val="single" w:sz="2" w:space="0" w:color="auto"/>
              <w:right w:val="single" w:sz="2" w:space="0" w:color="auto"/>
            </w:tcBorders>
          </w:tcPr>
          <w:p w14:paraId="06BA73FD" w14:textId="77777777" w:rsidR="009F4766" w:rsidRPr="00DE12A3" w:rsidRDefault="009F4766" w:rsidP="00C917D6">
            <w:pPr>
              <w:pStyle w:val="NormalLeft"/>
              <w:rPr>
                <w:sz w:val="14"/>
                <w:szCs w:val="14"/>
              </w:rPr>
            </w:pPr>
            <w:r w:rsidRPr="00DE12A3">
              <w:rPr>
                <w:sz w:val="14"/>
                <w:szCs w:val="14"/>
              </w:rPr>
              <w:t>3,020</w:t>
            </w:r>
          </w:p>
        </w:tc>
        <w:tc>
          <w:tcPr>
            <w:tcW w:w="464" w:type="dxa"/>
            <w:tcBorders>
              <w:top w:val="single" w:sz="2" w:space="0" w:color="auto"/>
              <w:left w:val="single" w:sz="2" w:space="0" w:color="auto"/>
              <w:bottom w:val="single" w:sz="2" w:space="0" w:color="auto"/>
              <w:right w:val="single" w:sz="2" w:space="0" w:color="auto"/>
            </w:tcBorders>
          </w:tcPr>
          <w:p w14:paraId="3A0077DE" w14:textId="77777777" w:rsidR="009F4766" w:rsidRPr="00DE12A3" w:rsidRDefault="009F4766" w:rsidP="00C917D6">
            <w:pPr>
              <w:pStyle w:val="NormalLeft"/>
              <w:rPr>
                <w:sz w:val="14"/>
                <w:szCs w:val="14"/>
              </w:rPr>
            </w:pPr>
            <w:r w:rsidRPr="00DE12A3">
              <w:rPr>
                <w:sz w:val="14"/>
                <w:szCs w:val="14"/>
              </w:rPr>
              <w:t>2,978</w:t>
            </w:r>
          </w:p>
        </w:tc>
        <w:tc>
          <w:tcPr>
            <w:tcW w:w="465" w:type="dxa"/>
            <w:tcBorders>
              <w:top w:val="single" w:sz="2" w:space="0" w:color="auto"/>
              <w:left w:val="single" w:sz="2" w:space="0" w:color="auto"/>
              <w:bottom w:val="single" w:sz="2" w:space="0" w:color="auto"/>
              <w:right w:val="single" w:sz="2" w:space="0" w:color="auto"/>
            </w:tcBorders>
          </w:tcPr>
          <w:p w14:paraId="3F035A03" w14:textId="77777777" w:rsidR="009F4766" w:rsidRPr="00DE12A3" w:rsidRDefault="009F4766" w:rsidP="00C917D6">
            <w:pPr>
              <w:pStyle w:val="NormalLeft"/>
              <w:rPr>
                <w:sz w:val="14"/>
                <w:szCs w:val="14"/>
              </w:rPr>
            </w:pPr>
            <w:r w:rsidRPr="00DE12A3">
              <w:rPr>
                <w:sz w:val="14"/>
                <w:szCs w:val="14"/>
              </w:rPr>
              <w:t>2,913</w:t>
            </w:r>
          </w:p>
        </w:tc>
        <w:tc>
          <w:tcPr>
            <w:tcW w:w="464" w:type="dxa"/>
            <w:tcBorders>
              <w:top w:val="single" w:sz="2" w:space="0" w:color="auto"/>
              <w:left w:val="single" w:sz="2" w:space="0" w:color="auto"/>
              <w:bottom w:val="single" w:sz="2" w:space="0" w:color="auto"/>
              <w:right w:val="single" w:sz="2" w:space="0" w:color="auto"/>
            </w:tcBorders>
          </w:tcPr>
          <w:p w14:paraId="7EA1012C" w14:textId="77777777" w:rsidR="009F4766" w:rsidRPr="00DE12A3" w:rsidRDefault="009F4766" w:rsidP="00C917D6">
            <w:pPr>
              <w:pStyle w:val="NormalLeft"/>
              <w:rPr>
                <w:sz w:val="14"/>
                <w:szCs w:val="14"/>
              </w:rPr>
            </w:pPr>
            <w:r w:rsidRPr="00DE12A3">
              <w:rPr>
                <w:sz w:val="14"/>
                <w:szCs w:val="14"/>
              </w:rPr>
              <w:t>2,845</w:t>
            </w:r>
          </w:p>
        </w:tc>
        <w:tc>
          <w:tcPr>
            <w:tcW w:w="464" w:type="dxa"/>
            <w:tcBorders>
              <w:top w:val="single" w:sz="2" w:space="0" w:color="auto"/>
              <w:left w:val="single" w:sz="2" w:space="0" w:color="auto"/>
              <w:bottom w:val="single" w:sz="2" w:space="0" w:color="auto"/>
              <w:right w:val="single" w:sz="2" w:space="0" w:color="auto"/>
            </w:tcBorders>
          </w:tcPr>
          <w:p w14:paraId="01B6FE42" w14:textId="77777777" w:rsidR="009F4766" w:rsidRPr="00DE12A3" w:rsidRDefault="009F4766" w:rsidP="00C917D6">
            <w:pPr>
              <w:pStyle w:val="NormalLeft"/>
              <w:rPr>
                <w:sz w:val="14"/>
                <w:szCs w:val="14"/>
              </w:rPr>
            </w:pPr>
            <w:r w:rsidRPr="00DE12A3">
              <w:rPr>
                <w:sz w:val="14"/>
                <w:szCs w:val="14"/>
              </w:rPr>
              <w:t>2,774</w:t>
            </w:r>
          </w:p>
        </w:tc>
        <w:tc>
          <w:tcPr>
            <w:tcW w:w="465" w:type="dxa"/>
            <w:tcBorders>
              <w:top w:val="single" w:sz="2" w:space="0" w:color="auto"/>
              <w:left w:val="single" w:sz="2" w:space="0" w:color="auto"/>
              <w:bottom w:val="single" w:sz="2" w:space="0" w:color="auto"/>
              <w:right w:val="single" w:sz="2" w:space="0" w:color="auto"/>
            </w:tcBorders>
          </w:tcPr>
          <w:p w14:paraId="6444D476" w14:textId="77777777" w:rsidR="009F4766" w:rsidRPr="00DE12A3" w:rsidRDefault="009F4766" w:rsidP="00C917D6">
            <w:pPr>
              <w:pStyle w:val="NormalLeft"/>
              <w:rPr>
                <w:sz w:val="14"/>
                <w:szCs w:val="14"/>
              </w:rPr>
            </w:pPr>
            <w:r w:rsidRPr="00DE12A3">
              <w:rPr>
                <w:sz w:val="14"/>
                <w:szCs w:val="14"/>
              </w:rPr>
              <w:t>2,737</w:t>
            </w:r>
          </w:p>
        </w:tc>
        <w:tc>
          <w:tcPr>
            <w:tcW w:w="464" w:type="dxa"/>
            <w:tcBorders>
              <w:top w:val="single" w:sz="2" w:space="0" w:color="auto"/>
              <w:left w:val="single" w:sz="2" w:space="0" w:color="auto"/>
              <w:bottom w:val="single" w:sz="2" w:space="0" w:color="auto"/>
              <w:right w:val="single" w:sz="2" w:space="0" w:color="auto"/>
            </w:tcBorders>
          </w:tcPr>
          <w:p w14:paraId="3F978C56" w14:textId="77777777" w:rsidR="009F4766" w:rsidRPr="00DE12A3" w:rsidRDefault="009F4766" w:rsidP="00C917D6">
            <w:pPr>
              <w:pStyle w:val="NormalLeft"/>
              <w:rPr>
                <w:sz w:val="14"/>
                <w:szCs w:val="14"/>
              </w:rPr>
            </w:pPr>
            <w:r w:rsidRPr="00DE12A3">
              <w:rPr>
                <w:sz w:val="14"/>
                <w:szCs w:val="14"/>
              </w:rPr>
              <w:t>2,700</w:t>
            </w:r>
          </w:p>
        </w:tc>
        <w:tc>
          <w:tcPr>
            <w:tcW w:w="464" w:type="dxa"/>
            <w:tcBorders>
              <w:top w:val="single" w:sz="2" w:space="0" w:color="auto"/>
              <w:left w:val="single" w:sz="2" w:space="0" w:color="auto"/>
              <w:bottom w:val="single" w:sz="2" w:space="0" w:color="auto"/>
              <w:right w:val="single" w:sz="2" w:space="0" w:color="auto"/>
            </w:tcBorders>
          </w:tcPr>
          <w:p w14:paraId="33EF8514" w14:textId="77777777" w:rsidR="009F4766" w:rsidRPr="00DE12A3" w:rsidRDefault="009F4766" w:rsidP="00C917D6">
            <w:pPr>
              <w:pStyle w:val="NormalLeft"/>
              <w:rPr>
                <w:sz w:val="14"/>
                <w:szCs w:val="14"/>
              </w:rPr>
            </w:pPr>
            <w:r w:rsidRPr="00DE12A3">
              <w:rPr>
                <w:sz w:val="14"/>
                <w:szCs w:val="14"/>
              </w:rPr>
              <w:t>2,661</w:t>
            </w:r>
          </w:p>
        </w:tc>
        <w:tc>
          <w:tcPr>
            <w:tcW w:w="464" w:type="dxa"/>
            <w:tcBorders>
              <w:top w:val="single" w:sz="2" w:space="0" w:color="auto"/>
              <w:left w:val="single" w:sz="2" w:space="0" w:color="auto"/>
              <w:bottom w:val="single" w:sz="2" w:space="0" w:color="auto"/>
              <w:right w:val="single" w:sz="2" w:space="0" w:color="auto"/>
            </w:tcBorders>
          </w:tcPr>
          <w:p w14:paraId="06D10ED6" w14:textId="77777777" w:rsidR="009F4766" w:rsidRPr="00DE12A3" w:rsidRDefault="009F4766" w:rsidP="00C917D6">
            <w:pPr>
              <w:pStyle w:val="NormalLeft"/>
              <w:rPr>
                <w:sz w:val="14"/>
                <w:szCs w:val="14"/>
              </w:rPr>
            </w:pPr>
            <w:r w:rsidRPr="00DE12A3">
              <w:rPr>
                <w:sz w:val="14"/>
                <w:szCs w:val="14"/>
              </w:rPr>
              <w:t>2,621</w:t>
            </w:r>
          </w:p>
        </w:tc>
        <w:tc>
          <w:tcPr>
            <w:tcW w:w="465" w:type="dxa"/>
            <w:tcBorders>
              <w:top w:val="single" w:sz="2" w:space="0" w:color="auto"/>
              <w:left w:val="single" w:sz="2" w:space="0" w:color="auto"/>
              <w:bottom w:val="single" w:sz="2" w:space="0" w:color="auto"/>
              <w:right w:val="single" w:sz="2" w:space="0" w:color="auto"/>
            </w:tcBorders>
          </w:tcPr>
          <w:p w14:paraId="1D32CE8F" w14:textId="77777777" w:rsidR="009F4766" w:rsidRPr="00DE12A3" w:rsidRDefault="009F4766" w:rsidP="00C917D6">
            <w:pPr>
              <w:pStyle w:val="NormalLeft"/>
              <w:rPr>
                <w:sz w:val="14"/>
                <w:szCs w:val="14"/>
              </w:rPr>
            </w:pPr>
            <w:r w:rsidRPr="00DE12A3">
              <w:rPr>
                <w:sz w:val="14"/>
                <w:szCs w:val="14"/>
              </w:rPr>
              <w:t>2,580</w:t>
            </w:r>
          </w:p>
        </w:tc>
        <w:tc>
          <w:tcPr>
            <w:tcW w:w="464" w:type="dxa"/>
            <w:tcBorders>
              <w:top w:val="single" w:sz="2" w:space="0" w:color="auto"/>
              <w:left w:val="single" w:sz="2" w:space="0" w:color="auto"/>
              <w:bottom w:val="single" w:sz="2" w:space="0" w:color="auto"/>
              <w:right w:val="single" w:sz="2" w:space="0" w:color="auto"/>
            </w:tcBorders>
          </w:tcPr>
          <w:p w14:paraId="412AFADF" w14:textId="77777777" w:rsidR="009F4766" w:rsidRPr="00DE12A3" w:rsidRDefault="009F4766" w:rsidP="00C917D6">
            <w:pPr>
              <w:pStyle w:val="NormalLeft"/>
              <w:rPr>
                <w:sz w:val="14"/>
                <w:szCs w:val="14"/>
              </w:rPr>
            </w:pPr>
            <w:r w:rsidRPr="00DE12A3">
              <w:rPr>
                <w:sz w:val="14"/>
                <w:szCs w:val="14"/>
              </w:rPr>
              <w:t>2,538</w:t>
            </w:r>
          </w:p>
        </w:tc>
      </w:tr>
      <w:tr w:rsidR="00DE12A3" w:rsidRPr="00DE12A3" w14:paraId="5672FC6E" w14:textId="77777777" w:rsidTr="009F4766">
        <w:tc>
          <w:tcPr>
            <w:tcW w:w="464" w:type="dxa"/>
            <w:tcBorders>
              <w:top w:val="single" w:sz="2" w:space="0" w:color="auto"/>
              <w:left w:val="single" w:sz="2" w:space="0" w:color="auto"/>
              <w:bottom w:val="single" w:sz="2" w:space="0" w:color="auto"/>
              <w:right w:val="single" w:sz="2" w:space="0" w:color="auto"/>
            </w:tcBorders>
          </w:tcPr>
          <w:p w14:paraId="4536516D" w14:textId="77777777" w:rsidR="009F4766" w:rsidRPr="00DE12A3" w:rsidRDefault="009F4766" w:rsidP="00C917D6">
            <w:pPr>
              <w:pStyle w:val="NormalLeft"/>
              <w:rPr>
                <w:sz w:val="14"/>
                <w:szCs w:val="14"/>
              </w:rPr>
            </w:pPr>
            <w:r w:rsidRPr="00DE12A3">
              <w:rPr>
                <w:sz w:val="14"/>
                <w:szCs w:val="14"/>
              </w:rPr>
              <w:t>11</w:t>
            </w:r>
          </w:p>
        </w:tc>
        <w:tc>
          <w:tcPr>
            <w:tcW w:w="465" w:type="dxa"/>
            <w:tcBorders>
              <w:top w:val="single" w:sz="2" w:space="0" w:color="auto"/>
              <w:left w:val="single" w:sz="2" w:space="0" w:color="auto"/>
              <w:bottom w:val="single" w:sz="2" w:space="0" w:color="auto"/>
              <w:right w:val="single" w:sz="2" w:space="0" w:color="auto"/>
            </w:tcBorders>
          </w:tcPr>
          <w:p w14:paraId="4FDEA20E" w14:textId="77777777" w:rsidR="009F4766" w:rsidRPr="00DE12A3" w:rsidRDefault="009F4766" w:rsidP="00C917D6">
            <w:pPr>
              <w:pStyle w:val="NormalLeft"/>
              <w:rPr>
                <w:sz w:val="14"/>
                <w:szCs w:val="14"/>
              </w:rPr>
            </w:pPr>
            <w:r w:rsidRPr="00DE12A3">
              <w:rPr>
                <w:sz w:val="14"/>
                <w:szCs w:val="14"/>
              </w:rPr>
              <w:t>4,844</w:t>
            </w:r>
          </w:p>
        </w:tc>
        <w:tc>
          <w:tcPr>
            <w:tcW w:w="464" w:type="dxa"/>
            <w:tcBorders>
              <w:top w:val="single" w:sz="2" w:space="0" w:color="auto"/>
              <w:left w:val="single" w:sz="2" w:space="0" w:color="auto"/>
              <w:bottom w:val="single" w:sz="2" w:space="0" w:color="auto"/>
              <w:right w:val="single" w:sz="2" w:space="0" w:color="auto"/>
            </w:tcBorders>
          </w:tcPr>
          <w:p w14:paraId="2AFBDCA9" w14:textId="77777777" w:rsidR="009F4766" w:rsidRPr="00DE12A3" w:rsidRDefault="009F4766" w:rsidP="00C917D6">
            <w:pPr>
              <w:pStyle w:val="NormalLeft"/>
              <w:rPr>
                <w:sz w:val="14"/>
                <w:szCs w:val="14"/>
              </w:rPr>
            </w:pPr>
            <w:r w:rsidRPr="00DE12A3">
              <w:rPr>
                <w:sz w:val="14"/>
                <w:szCs w:val="14"/>
              </w:rPr>
              <w:t>3,982</w:t>
            </w:r>
          </w:p>
        </w:tc>
        <w:tc>
          <w:tcPr>
            <w:tcW w:w="464" w:type="dxa"/>
            <w:tcBorders>
              <w:top w:val="single" w:sz="2" w:space="0" w:color="auto"/>
              <w:left w:val="single" w:sz="2" w:space="0" w:color="auto"/>
              <w:bottom w:val="single" w:sz="2" w:space="0" w:color="auto"/>
              <w:right w:val="single" w:sz="2" w:space="0" w:color="auto"/>
            </w:tcBorders>
          </w:tcPr>
          <w:p w14:paraId="1B4D169D" w14:textId="77777777" w:rsidR="009F4766" w:rsidRPr="00DE12A3" w:rsidRDefault="009F4766" w:rsidP="00C917D6">
            <w:pPr>
              <w:pStyle w:val="NormalLeft"/>
              <w:rPr>
                <w:sz w:val="14"/>
                <w:szCs w:val="14"/>
              </w:rPr>
            </w:pPr>
            <w:r w:rsidRPr="00DE12A3">
              <w:rPr>
                <w:sz w:val="14"/>
                <w:szCs w:val="14"/>
              </w:rPr>
              <w:t>3,587</w:t>
            </w:r>
          </w:p>
        </w:tc>
        <w:tc>
          <w:tcPr>
            <w:tcW w:w="465" w:type="dxa"/>
            <w:tcBorders>
              <w:top w:val="single" w:sz="2" w:space="0" w:color="auto"/>
              <w:left w:val="single" w:sz="2" w:space="0" w:color="auto"/>
              <w:bottom w:val="single" w:sz="2" w:space="0" w:color="auto"/>
              <w:right w:val="single" w:sz="2" w:space="0" w:color="auto"/>
            </w:tcBorders>
          </w:tcPr>
          <w:p w14:paraId="776948FE" w14:textId="77777777" w:rsidR="009F4766" w:rsidRPr="00DE12A3" w:rsidRDefault="009F4766" w:rsidP="00C917D6">
            <w:pPr>
              <w:pStyle w:val="NormalLeft"/>
              <w:rPr>
                <w:sz w:val="14"/>
                <w:szCs w:val="14"/>
              </w:rPr>
            </w:pPr>
            <w:r w:rsidRPr="00DE12A3">
              <w:rPr>
                <w:sz w:val="14"/>
                <w:szCs w:val="14"/>
              </w:rPr>
              <w:t>3,357</w:t>
            </w:r>
          </w:p>
        </w:tc>
        <w:tc>
          <w:tcPr>
            <w:tcW w:w="464" w:type="dxa"/>
            <w:tcBorders>
              <w:top w:val="single" w:sz="2" w:space="0" w:color="auto"/>
              <w:left w:val="single" w:sz="2" w:space="0" w:color="auto"/>
              <w:bottom w:val="single" w:sz="2" w:space="0" w:color="auto"/>
              <w:right w:val="single" w:sz="2" w:space="0" w:color="auto"/>
            </w:tcBorders>
          </w:tcPr>
          <w:p w14:paraId="1D222ED0" w14:textId="77777777" w:rsidR="009F4766" w:rsidRPr="00DE12A3" w:rsidRDefault="009F4766" w:rsidP="00C917D6">
            <w:pPr>
              <w:pStyle w:val="NormalLeft"/>
              <w:rPr>
                <w:sz w:val="14"/>
                <w:szCs w:val="14"/>
              </w:rPr>
            </w:pPr>
            <w:r w:rsidRPr="00DE12A3">
              <w:rPr>
                <w:sz w:val="14"/>
                <w:szCs w:val="14"/>
              </w:rPr>
              <w:t>3,204</w:t>
            </w:r>
          </w:p>
        </w:tc>
        <w:tc>
          <w:tcPr>
            <w:tcW w:w="464" w:type="dxa"/>
            <w:tcBorders>
              <w:top w:val="single" w:sz="2" w:space="0" w:color="auto"/>
              <w:left w:val="single" w:sz="2" w:space="0" w:color="auto"/>
              <w:bottom w:val="single" w:sz="2" w:space="0" w:color="auto"/>
              <w:right w:val="single" w:sz="2" w:space="0" w:color="auto"/>
            </w:tcBorders>
          </w:tcPr>
          <w:p w14:paraId="436AA2D3" w14:textId="77777777" w:rsidR="009F4766" w:rsidRPr="00DE12A3" w:rsidRDefault="009F4766" w:rsidP="00C917D6">
            <w:pPr>
              <w:pStyle w:val="NormalLeft"/>
              <w:rPr>
                <w:sz w:val="14"/>
                <w:szCs w:val="14"/>
              </w:rPr>
            </w:pPr>
            <w:r w:rsidRPr="00DE12A3">
              <w:rPr>
                <w:sz w:val="14"/>
                <w:szCs w:val="14"/>
              </w:rPr>
              <w:t>3,095</w:t>
            </w:r>
          </w:p>
        </w:tc>
        <w:tc>
          <w:tcPr>
            <w:tcW w:w="464" w:type="dxa"/>
            <w:tcBorders>
              <w:top w:val="single" w:sz="2" w:space="0" w:color="auto"/>
              <w:left w:val="single" w:sz="2" w:space="0" w:color="auto"/>
              <w:bottom w:val="single" w:sz="2" w:space="0" w:color="auto"/>
              <w:right w:val="single" w:sz="2" w:space="0" w:color="auto"/>
            </w:tcBorders>
          </w:tcPr>
          <w:p w14:paraId="6CF55A82" w14:textId="77777777" w:rsidR="009F4766" w:rsidRPr="00DE12A3" w:rsidRDefault="009F4766" w:rsidP="00C917D6">
            <w:pPr>
              <w:pStyle w:val="NormalLeft"/>
              <w:rPr>
                <w:sz w:val="14"/>
                <w:szCs w:val="14"/>
              </w:rPr>
            </w:pPr>
            <w:r w:rsidRPr="00DE12A3">
              <w:rPr>
                <w:sz w:val="14"/>
                <w:szCs w:val="14"/>
              </w:rPr>
              <w:t>3,012</w:t>
            </w:r>
          </w:p>
        </w:tc>
        <w:tc>
          <w:tcPr>
            <w:tcW w:w="465" w:type="dxa"/>
            <w:tcBorders>
              <w:top w:val="single" w:sz="2" w:space="0" w:color="auto"/>
              <w:left w:val="single" w:sz="2" w:space="0" w:color="auto"/>
              <w:bottom w:val="single" w:sz="2" w:space="0" w:color="auto"/>
              <w:right w:val="single" w:sz="2" w:space="0" w:color="auto"/>
            </w:tcBorders>
          </w:tcPr>
          <w:p w14:paraId="1B9E0F9C" w14:textId="77777777" w:rsidR="009F4766" w:rsidRPr="00DE12A3" w:rsidRDefault="009F4766" w:rsidP="00C917D6">
            <w:pPr>
              <w:pStyle w:val="NormalLeft"/>
              <w:rPr>
                <w:sz w:val="14"/>
                <w:szCs w:val="14"/>
              </w:rPr>
            </w:pPr>
            <w:r w:rsidRPr="00DE12A3">
              <w:rPr>
                <w:sz w:val="14"/>
                <w:szCs w:val="14"/>
              </w:rPr>
              <w:t>2,948</w:t>
            </w:r>
          </w:p>
        </w:tc>
        <w:tc>
          <w:tcPr>
            <w:tcW w:w="464" w:type="dxa"/>
            <w:tcBorders>
              <w:top w:val="single" w:sz="2" w:space="0" w:color="auto"/>
              <w:left w:val="single" w:sz="2" w:space="0" w:color="auto"/>
              <w:bottom w:val="single" w:sz="2" w:space="0" w:color="auto"/>
              <w:right w:val="single" w:sz="2" w:space="0" w:color="auto"/>
            </w:tcBorders>
          </w:tcPr>
          <w:p w14:paraId="19C99A2F" w14:textId="77777777" w:rsidR="009F4766" w:rsidRPr="00DE12A3" w:rsidRDefault="009F4766" w:rsidP="00C917D6">
            <w:pPr>
              <w:pStyle w:val="NormalLeft"/>
              <w:rPr>
                <w:sz w:val="14"/>
                <w:szCs w:val="14"/>
              </w:rPr>
            </w:pPr>
            <w:r w:rsidRPr="00DE12A3">
              <w:rPr>
                <w:sz w:val="14"/>
                <w:szCs w:val="14"/>
              </w:rPr>
              <w:t>2,896</w:t>
            </w:r>
          </w:p>
        </w:tc>
        <w:tc>
          <w:tcPr>
            <w:tcW w:w="464" w:type="dxa"/>
            <w:tcBorders>
              <w:top w:val="single" w:sz="2" w:space="0" w:color="auto"/>
              <w:left w:val="single" w:sz="2" w:space="0" w:color="auto"/>
              <w:bottom w:val="single" w:sz="2" w:space="0" w:color="auto"/>
              <w:right w:val="single" w:sz="2" w:space="0" w:color="auto"/>
            </w:tcBorders>
          </w:tcPr>
          <w:p w14:paraId="662CADA0" w14:textId="77777777" w:rsidR="009F4766" w:rsidRPr="00DE12A3" w:rsidRDefault="009F4766" w:rsidP="00C917D6">
            <w:pPr>
              <w:pStyle w:val="NormalLeft"/>
              <w:rPr>
                <w:sz w:val="14"/>
                <w:szCs w:val="14"/>
              </w:rPr>
            </w:pPr>
            <w:r w:rsidRPr="00DE12A3">
              <w:rPr>
                <w:sz w:val="14"/>
                <w:szCs w:val="14"/>
              </w:rPr>
              <w:t>2,854</w:t>
            </w:r>
          </w:p>
        </w:tc>
        <w:tc>
          <w:tcPr>
            <w:tcW w:w="465" w:type="dxa"/>
            <w:tcBorders>
              <w:top w:val="single" w:sz="2" w:space="0" w:color="auto"/>
              <w:left w:val="single" w:sz="2" w:space="0" w:color="auto"/>
              <w:bottom w:val="single" w:sz="2" w:space="0" w:color="auto"/>
              <w:right w:val="single" w:sz="2" w:space="0" w:color="auto"/>
            </w:tcBorders>
          </w:tcPr>
          <w:p w14:paraId="5B0DC7F0" w14:textId="77777777" w:rsidR="009F4766" w:rsidRPr="00DE12A3" w:rsidRDefault="009F4766" w:rsidP="00C917D6">
            <w:pPr>
              <w:pStyle w:val="NormalLeft"/>
              <w:rPr>
                <w:sz w:val="14"/>
                <w:szCs w:val="14"/>
              </w:rPr>
            </w:pPr>
            <w:r w:rsidRPr="00DE12A3">
              <w:rPr>
                <w:sz w:val="14"/>
                <w:szCs w:val="14"/>
              </w:rPr>
              <w:t>2,788</w:t>
            </w:r>
          </w:p>
        </w:tc>
        <w:tc>
          <w:tcPr>
            <w:tcW w:w="464" w:type="dxa"/>
            <w:tcBorders>
              <w:top w:val="single" w:sz="2" w:space="0" w:color="auto"/>
              <w:left w:val="single" w:sz="2" w:space="0" w:color="auto"/>
              <w:bottom w:val="single" w:sz="2" w:space="0" w:color="auto"/>
              <w:right w:val="single" w:sz="2" w:space="0" w:color="auto"/>
            </w:tcBorders>
          </w:tcPr>
          <w:p w14:paraId="3ABC22D8" w14:textId="77777777" w:rsidR="009F4766" w:rsidRPr="00DE12A3" w:rsidRDefault="009F4766" w:rsidP="00C917D6">
            <w:pPr>
              <w:pStyle w:val="NormalLeft"/>
              <w:rPr>
                <w:sz w:val="14"/>
                <w:szCs w:val="14"/>
              </w:rPr>
            </w:pPr>
            <w:r w:rsidRPr="00DE12A3">
              <w:rPr>
                <w:sz w:val="14"/>
                <w:szCs w:val="14"/>
              </w:rPr>
              <w:t>2,719</w:t>
            </w:r>
          </w:p>
        </w:tc>
        <w:tc>
          <w:tcPr>
            <w:tcW w:w="464" w:type="dxa"/>
            <w:tcBorders>
              <w:top w:val="single" w:sz="2" w:space="0" w:color="auto"/>
              <w:left w:val="single" w:sz="2" w:space="0" w:color="auto"/>
              <w:bottom w:val="single" w:sz="2" w:space="0" w:color="auto"/>
              <w:right w:val="single" w:sz="2" w:space="0" w:color="auto"/>
            </w:tcBorders>
          </w:tcPr>
          <w:p w14:paraId="5E919E72" w14:textId="77777777" w:rsidR="009F4766" w:rsidRPr="00DE12A3" w:rsidRDefault="009F4766" w:rsidP="00C917D6">
            <w:pPr>
              <w:pStyle w:val="NormalLeft"/>
              <w:rPr>
                <w:sz w:val="14"/>
                <w:szCs w:val="14"/>
              </w:rPr>
            </w:pPr>
            <w:r w:rsidRPr="00DE12A3">
              <w:rPr>
                <w:sz w:val="14"/>
                <w:szCs w:val="14"/>
              </w:rPr>
              <w:t>2,646</w:t>
            </w:r>
          </w:p>
        </w:tc>
        <w:tc>
          <w:tcPr>
            <w:tcW w:w="465" w:type="dxa"/>
            <w:tcBorders>
              <w:top w:val="single" w:sz="2" w:space="0" w:color="auto"/>
              <w:left w:val="single" w:sz="2" w:space="0" w:color="auto"/>
              <w:bottom w:val="single" w:sz="2" w:space="0" w:color="auto"/>
              <w:right w:val="single" w:sz="2" w:space="0" w:color="auto"/>
            </w:tcBorders>
          </w:tcPr>
          <w:p w14:paraId="13785D6C" w14:textId="77777777" w:rsidR="009F4766" w:rsidRPr="00DE12A3" w:rsidRDefault="009F4766" w:rsidP="00C917D6">
            <w:pPr>
              <w:pStyle w:val="NormalLeft"/>
              <w:rPr>
                <w:sz w:val="14"/>
                <w:szCs w:val="14"/>
              </w:rPr>
            </w:pPr>
            <w:r w:rsidRPr="00DE12A3">
              <w:rPr>
                <w:sz w:val="14"/>
                <w:szCs w:val="14"/>
              </w:rPr>
              <w:t>2,609</w:t>
            </w:r>
          </w:p>
        </w:tc>
        <w:tc>
          <w:tcPr>
            <w:tcW w:w="464" w:type="dxa"/>
            <w:tcBorders>
              <w:top w:val="single" w:sz="2" w:space="0" w:color="auto"/>
              <w:left w:val="single" w:sz="2" w:space="0" w:color="auto"/>
              <w:bottom w:val="single" w:sz="2" w:space="0" w:color="auto"/>
              <w:right w:val="single" w:sz="2" w:space="0" w:color="auto"/>
            </w:tcBorders>
          </w:tcPr>
          <w:p w14:paraId="0BA4C231" w14:textId="77777777" w:rsidR="009F4766" w:rsidRPr="00DE12A3" w:rsidRDefault="009F4766" w:rsidP="00C917D6">
            <w:pPr>
              <w:pStyle w:val="NormalLeft"/>
              <w:rPr>
                <w:sz w:val="14"/>
                <w:szCs w:val="14"/>
              </w:rPr>
            </w:pPr>
            <w:r w:rsidRPr="00DE12A3">
              <w:rPr>
                <w:sz w:val="14"/>
                <w:szCs w:val="14"/>
              </w:rPr>
              <w:t>2,571</w:t>
            </w:r>
          </w:p>
        </w:tc>
        <w:tc>
          <w:tcPr>
            <w:tcW w:w="464" w:type="dxa"/>
            <w:tcBorders>
              <w:top w:val="single" w:sz="2" w:space="0" w:color="auto"/>
              <w:left w:val="single" w:sz="2" w:space="0" w:color="auto"/>
              <w:bottom w:val="single" w:sz="2" w:space="0" w:color="auto"/>
              <w:right w:val="single" w:sz="2" w:space="0" w:color="auto"/>
            </w:tcBorders>
          </w:tcPr>
          <w:p w14:paraId="4ABA8FFE" w14:textId="77777777" w:rsidR="009F4766" w:rsidRPr="00DE12A3" w:rsidRDefault="009F4766" w:rsidP="00C917D6">
            <w:pPr>
              <w:pStyle w:val="NormalLeft"/>
              <w:rPr>
                <w:sz w:val="14"/>
                <w:szCs w:val="14"/>
              </w:rPr>
            </w:pPr>
            <w:r w:rsidRPr="00DE12A3">
              <w:rPr>
                <w:sz w:val="14"/>
                <w:szCs w:val="14"/>
              </w:rPr>
              <w:t>2,531</w:t>
            </w:r>
          </w:p>
        </w:tc>
        <w:tc>
          <w:tcPr>
            <w:tcW w:w="464" w:type="dxa"/>
            <w:tcBorders>
              <w:top w:val="single" w:sz="2" w:space="0" w:color="auto"/>
              <w:left w:val="single" w:sz="2" w:space="0" w:color="auto"/>
              <w:bottom w:val="single" w:sz="2" w:space="0" w:color="auto"/>
              <w:right w:val="single" w:sz="2" w:space="0" w:color="auto"/>
            </w:tcBorders>
          </w:tcPr>
          <w:p w14:paraId="7232D3F8" w14:textId="77777777" w:rsidR="009F4766" w:rsidRPr="00DE12A3" w:rsidRDefault="009F4766" w:rsidP="00C917D6">
            <w:pPr>
              <w:pStyle w:val="NormalLeft"/>
              <w:rPr>
                <w:sz w:val="14"/>
                <w:szCs w:val="14"/>
              </w:rPr>
            </w:pPr>
            <w:r w:rsidRPr="00DE12A3">
              <w:rPr>
                <w:sz w:val="14"/>
                <w:szCs w:val="14"/>
              </w:rPr>
              <w:t>2,490</w:t>
            </w:r>
          </w:p>
        </w:tc>
        <w:tc>
          <w:tcPr>
            <w:tcW w:w="465" w:type="dxa"/>
            <w:tcBorders>
              <w:top w:val="single" w:sz="2" w:space="0" w:color="auto"/>
              <w:left w:val="single" w:sz="2" w:space="0" w:color="auto"/>
              <w:bottom w:val="single" w:sz="2" w:space="0" w:color="auto"/>
              <w:right w:val="single" w:sz="2" w:space="0" w:color="auto"/>
            </w:tcBorders>
          </w:tcPr>
          <w:p w14:paraId="22FAC2FD" w14:textId="77777777" w:rsidR="009F4766" w:rsidRPr="00DE12A3" w:rsidRDefault="009F4766" w:rsidP="00C917D6">
            <w:pPr>
              <w:pStyle w:val="NormalLeft"/>
              <w:rPr>
                <w:sz w:val="14"/>
                <w:szCs w:val="14"/>
              </w:rPr>
            </w:pPr>
            <w:r w:rsidRPr="00DE12A3">
              <w:rPr>
                <w:sz w:val="14"/>
                <w:szCs w:val="14"/>
              </w:rPr>
              <w:t>2,448</w:t>
            </w:r>
          </w:p>
        </w:tc>
        <w:tc>
          <w:tcPr>
            <w:tcW w:w="464" w:type="dxa"/>
            <w:tcBorders>
              <w:top w:val="single" w:sz="2" w:space="0" w:color="auto"/>
              <w:left w:val="single" w:sz="2" w:space="0" w:color="auto"/>
              <w:bottom w:val="single" w:sz="2" w:space="0" w:color="auto"/>
              <w:right w:val="single" w:sz="2" w:space="0" w:color="auto"/>
            </w:tcBorders>
          </w:tcPr>
          <w:p w14:paraId="09171AFC" w14:textId="77777777" w:rsidR="009F4766" w:rsidRPr="00DE12A3" w:rsidRDefault="009F4766" w:rsidP="00C917D6">
            <w:pPr>
              <w:pStyle w:val="NormalLeft"/>
              <w:rPr>
                <w:sz w:val="14"/>
                <w:szCs w:val="14"/>
              </w:rPr>
            </w:pPr>
            <w:r w:rsidRPr="00DE12A3">
              <w:rPr>
                <w:sz w:val="14"/>
                <w:szCs w:val="14"/>
              </w:rPr>
              <w:t>2,405</w:t>
            </w:r>
          </w:p>
        </w:tc>
      </w:tr>
      <w:tr w:rsidR="00DE12A3" w:rsidRPr="00DE12A3" w14:paraId="4CAF4491" w14:textId="77777777" w:rsidTr="009F4766">
        <w:tc>
          <w:tcPr>
            <w:tcW w:w="464" w:type="dxa"/>
            <w:tcBorders>
              <w:top w:val="single" w:sz="2" w:space="0" w:color="auto"/>
              <w:left w:val="single" w:sz="2" w:space="0" w:color="auto"/>
              <w:bottom w:val="single" w:sz="2" w:space="0" w:color="auto"/>
              <w:right w:val="single" w:sz="2" w:space="0" w:color="auto"/>
            </w:tcBorders>
          </w:tcPr>
          <w:p w14:paraId="144ADB5C" w14:textId="77777777" w:rsidR="009F4766" w:rsidRPr="00DE12A3" w:rsidRDefault="009F4766" w:rsidP="00C917D6">
            <w:pPr>
              <w:pStyle w:val="NormalLeft"/>
              <w:rPr>
                <w:sz w:val="14"/>
                <w:szCs w:val="14"/>
              </w:rPr>
            </w:pPr>
            <w:r w:rsidRPr="00DE12A3">
              <w:rPr>
                <w:sz w:val="14"/>
                <w:szCs w:val="14"/>
              </w:rPr>
              <w:t>12</w:t>
            </w:r>
          </w:p>
        </w:tc>
        <w:tc>
          <w:tcPr>
            <w:tcW w:w="465" w:type="dxa"/>
            <w:tcBorders>
              <w:top w:val="single" w:sz="2" w:space="0" w:color="auto"/>
              <w:left w:val="single" w:sz="2" w:space="0" w:color="auto"/>
              <w:bottom w:val="single" w:sz="2" w:space="0" w:color="auto"/>
              <w:right w:val="single" w:sz="2" w:space="0" w:color="auto"/>
            </w:tcBorders>
          </w:tcPr>
          <w:p w14:paraId="16CE1245" w14:textId="77777777" w:rsidR="009F4766" w:rsidRPr="00DE12A3" w:rsidRDefault="009F4766" w:rsidP="00C917D6">
            <w:pPr>
              <w:pStyle w:val="NormalLeft"/>
              <w:rPr>
                <w:sz w:val="14"/>
                <w:szCs w:val="14"/>
              </w:rPr>
            </w:pPr>
            <w:r w:rsidRPr="00DE12A3">
              <w:rPr>
                <w:sz w:val="14"/>
                <w:szCs w:val="14"/>
              </w:rPr>
              <w:t>4,747</w:t>
            </w:r>
          </w:p>
        </w:tc>
        <w:tc>
          <w:tcPr>
            <w:tcW w:w="464" w:type="dxa"/>
            <w:tcBorders>
              <w:top w:val="single" w:sz="2" w:space="0" w:color="auto"/>
              <w:left w:val="single" w:sz="2" w:space="0" w:color="auto"/>
              <w:bottom w:val="single" w:sz="2" w:space="0" w:color="auto"/>
              <w:right w:val="single" w:sz="2" w:space="0" w:color="auto"/>
            </w:tcBorders>
          </w:tcPr>
          <w:p w14:paraId="7A9F9D3B" w14:textId="77777777" w:rsidR="009F4766" w:rsidRPr="00DE12A3" w:rsidRDefault="009F4766" w:rsidP="00C917D6">
            <w:pPr>
              <w:pStyle w:val="NormalLeft"/>
              <w:rPr>
                <w:sz w:val="14"/>
                <w:szCs w:val="14"/>
              </w:rPr>
            </w:pPr>
            <w:r w:rsidRPr="00DE12A3">
              <w:rPr>
                <w:sz w:val="14"/>
                <w:szCs w:val="14"/>
              </w:rPr>
              <w:t>3,885</w:t>
            </w:r>
          </w:p>
        </w:tc>
        <w:tc>
          <w:tcPr>
            <w:tcW w:w="464" w:type="dxa"/>
            <w:tcBorders>
              <w:top w:val="single" w:sz="2" w:space="0" w:color="auto"/>
              <w:left w:val="single" w:sz="2" w:space="0" w:color="auto"/>
              <w:bottom w:val="single" w:sz="2" w:space="0" w:color="auto"/>
              <w:right w:val="single" w:sz="2" w:space="0" w:color="auto"/>
            </w:tcBorders>
          </w:tcPr>
          <w:p w14:paraId="585FDB2A" w14:textId="77777777" w:rsidR="009F4766" w:rsidRPr="00DE12A3" w:rsidRDefault="009F4766" w:rsidP="00C917D6">
            <w:pPr>
              <w:pStyle w:val="NormalLeft"/>
              <w:rPr>
                <w:sz w:val="14"/>
                <w:szCs w:val="14"/>
              </w:rPr>
            </w:pPr>
            <w:r w:rsidRPr="00DE12A3">
              <w:rPr>
                <w:sz w:val="14"/>
                <w:szCs w:val="14"/>
              </w:rPr>
              <w:t>3,490</w:t>
            </w:r>
          </w:p>
        </w:tc>
        <w:tc>
          <w:tcPr>
            <w:tcW w:w="465" w:type="dxa"/>
            <w:tcBorders>
              <w:top w:val="single" w:sz="2" w:space="0" w:color="auto"/>
              <w:left w:val="single" w:sz="2" w:space="0" w:color="auto"/>
              <w:bottom w:val="single" w:sz="2" w:space="0" w:color="auto"/>
              <w:right w:val="single" w:sz="2" w:space="0" w:color="auto"/>
            </w:tcBorders>
          </w:tcPr>
          <w:p w14:paraId="7067C87A" w14:textId="77777777" w:rsidR="009F4766" w:rsidRPr="00DE12A3" w:rsidRDefault="009F4766" w:rsidP="00C917D6">
            <w:pPr>
              <w:pStyle w:val="NormalLeft"/>
              <w:rPr>
                <w:sz w:val="14"/>
                <w:szCs w:val="14"/>
              </w:rPr>
            </w:pPr>
            <w:r w:rsidRPr="00DE12A3">
              <w:rPr>
                <w:sz w:val="14"/>
                <w:szCs w:val="14"/>
              </w:rPr>
              <w:t>3,259</w:t>
            </w:r>
          </w:p>
        </w:tc>
        <w:tc>
          <w:tcPr>
            <w:tcW w:w="464" w:type="dxa"/>
            <w:tcBorders>
              <w:top w:val="single" w:sz="2" w:space="0" w:color="auto"/>
              <w:left w:val="single" w:sz="2" w:space="0" w:color="auto"/>
              <w:bottom w:val="single" w:sz="2" w:space="0" w:color="auto"/>
              <w:right w:val="single" w:sz="2" w:space="0" w:color="auto"/>
            </w:tcBorders>
          </w:tcPr>
          <w:p w14:paraId="5882D193" w14:textId="77777777" w:rsidR="009F4766" w:rsidRPr="00DE12A3" w:rsidRDefault="009F4766" w:rsidP="00C917D6">
            <w:pPr>
              <w:pStyle w:val="NormalLeft"/>
              <w:rPr>
                <w:sz w:val="14"/>
                <w:szCs w:val="14"/>
              </w:rPr>
            </w:pPr>
            <w:r w:rsidRPr="00DE12A3">
              <w:rPr>
                <w:sz w:val="14"/>
                <w:szCs w:val="14"/>
              </w:rPr>
              <w:t>3,106</w:t>
            </w:r>
          </w:p>
        </w:tc>
        <w:tc>
          <w:tcPr>
            <w:tcW w:w="464" w:type="dxa"/>
            <w:tcBorders>
              <w:top w:val="single" w:sz="2" w:space="0" w:color="auto"/>
              <w:left w:val="single" w:sz="2" w:space="0" w:color="auto"/>
              <w:bottom w:val="single" w:sz="2" w:space="0" w:color="auto"/>
              <w:right w:val="single" w:sz="2" w:space="0" w:color="auto"/>
            </w:tcBorders>
          </w:tcPr>
          <w:p w14:paraId="2DAEEBEA" w14:textId="77777777" w:rsidR="009F4766" w:rsidRPr="00DE12A3" w:rsidRDefault="009F4766" w:rsidP="00C917D6">
            <w:pPr>
              <w:pStyle w:val="NormalLeft"/>
              <w:rPr>
                <w:sz w:val="14"/>
                <w:szCs w:val="14"/>
              </w:rPr>
            </w:pPr>
            <w:r w:rsidRPr="00DE12A3">
              <w:rPr>
                <w:sz w:val="14"/>
                <w:szCs w:val="14"/>
              </w:rPr>
              <w:t>2,996</w:t>
            </w:r>
          </w:p>
        </w:tc>
        <w:tc>
          <w:tcPr>
            <w:tcW w:w="464" w:type="dxa"/>
            <w:tcBorders>
              <w:top w:val="single" w:sz="2" w:space="0" w:color="auto"/>
              <w:left w:val="single" w:sz="2" w:space="0" w:color="auto"/>
              <w:bottom w:val="single" w:sz="2" w:space="0" w:color="auto"/>
              <w:right w:val="single" w:sz="2" w:space="0" w:color="auto"/>
            </w:tcBorders>
          </w:tcPr>
          <w:p w14:paraId="2A9D3EFC" w14:textId="77777777" w:rsidR="009F4766" w:rsidRPr="00DE12A3" w:rsidRDefault="009F4766" w:rsidP="00C917D6">
            <w:pPr>
              <w:pStyle w:val="NormalLeft"/>
              <w:rPr>
                <w:sz w:val="14"/>
                <w:szCs w:val="14"/>
              </w:rPr>
            </w:pPr>
            <w:r w:rsidRPr="00DE12A3">
              <w:rPr>
                <w:sz w:val="14"/>
                <w:szCs w:val="14"/>
              </w:rPr>
              <w:t>2,913</w:t>
            </w:r>
          </w:p>
        </w:tc>
        <w:tc>
          <w:tcPr>
            <w:tcW w:w="465" w:type="dxa"/>
            <w:tcBorders>
              <w:top w:val="single" w:sz="2" w:space="0" w:color="auto"/>
              <w:left w:val="single" w:sz="2" w:space="0" w:color="auto"/>
              <w:bottom w:val="single" w:sz="2" w:space="0" w:color="auto"/>
              <w:right w:val="single" w:sz="2" w:space="0" w:color="auto"/>
            </w:tcBorders>
          </w:tcPr>
          <w:p w14:paraId="6D860E41" w14:textId="77777777" w:rsidR="009F4766" w:rsidRPr="00DE12A3" w:rsidRDefault="009F4766" w:rsidP="00C917D6">
            <w:pPr>
              <w:pStyle w:val="NormalLeft"/>
              <w:rPr>
                <w:sz w:val="14"/>
                <w:szCs w:val="14"/>
              </w:rPr>
            </w:pPr>
            <w:r w:rsidRPr="00DE12A3">
              <w:rPr>
                <w:sz w:val="14"/>
                <w:szCs w:val="14"/>
              </w:rPr>
              <w:t>2,849</w:t>
            </w:r>
          </w:p>
        </w:tc>
        <w:tc>
          <w:tcPr>
            <w:tcW w:w="464" w:type="dxa"/>
            <w:tcBorders>
              <w:top w:val="single" w:sz="2" w:space="0" w:color="auto"/>
              <w:left w:val="single" w:sz="2" w:space="0" w:color="auto"/>
              <w:bottom w:val="single" w:sz="2" w:space="0" w:color="auto"/>
              <w:right w:val="single" w:sz="2" w:space="0" w:color="auto"/>
            </w:tcBorders>
          </w:tcPr>
          <w:p w14:paraId="4ADDC31B" w14:textId="77777777" w:rsidR="009F4766" w:rsidRPr="00DE12A3" w:rsidRDefault="009F4766" w:rsidP="00C917D6">
            <w:pPr>
              <w:pStyle w:val="NormalLeft"/>
              <w:rPr>
                <w:sz w:val="14"/>
                <w:szCs w:val="14"/>
              </w:rPr>
            </w:pPr>
            <w:r w:rsidRPr="00DE12A3">
              <w:rPr>
                <w:sz w:val="14"/>
                <w:szCs w:val="14"/>
              </w:rPr>
              <w:t>2,796</w:t>
            </w:r>
          </w:p>
        </w:tc>
        <w:tc>
          <w:tcPr>
            <w:tcW w:w="464" w:type="dxa"/>
            <w:tcBorders>
              <w:top w:val="single" w:sz="2" w:space="0" w:color="auto"/>
              <w:left w:val="single" w:sz="2" w:space="0" w:color="auto"/>
              <w:bottom w:val="single" w:sz="2" w:space="0" w:color="auto"/>
              <w:right w:val="single" w:sz="2" w:space="0" w:color="auto"/>
            </w:tcBorders>
          </w:tcPr>
          <w:p w14:paraId="3892C770" w14:textId="77777777" w:rsidR="009F4766" w:rsidRPr="00DE12A3" w:rsidRDefault="009F4766" w:rsidP="00C917D6">
            <w:pPr>
              <w:pStyle w:val="NormalLeft"/>
              <w:rPr>
                <w:sz w:val="14"/>
                <w:szCs w:val="14"/>
              </w:rPr>
            </w:pPr>
            <w:r w:rsidRPr="00DE12A3">
              <w:rPr>
                <w:sz w:val="14"/>
                <w:szCs w:val="14"/>
              </w:rPr>
              <w:t>2,753</w:t>
            </w:r>
          </w:p>
        </w:tc>
        <w:tc>
          <w:tcPr>
            <w:tcW w:w="465" w:type="dxa"/>
            <w:tcBorders>
              <w:top w:val="single" w:sz="2" w:space="0" w:color="auto"/>
              <w:left w:val="single" w:sz="2" w:space="0" w:color="auto"/>
              <w:bottom w:val="single" w:sz="2" w:space="0" w:color="auto"/>
              <w:right w:val="single" w:sz="2" w:space="0" w:color="auto"/>
            </w:tcBorders>
          </w:tcPr>
          <w:p w14:paraId="71F9EB5A" w14:textId="77777777" w:rsidR="009F4766" w:rsidRPr="00DE12A3" w:rsidRDefault="009F4766" w:rsidP="00C917D6">
            <w:pPr>
              <w:pStyle w:val="NormalLeft"/>
              <w:rPr>
                <w:sz w:val="14"/>
                <w:szCs w:val="14"/>
              </w:rPr>
            </w:pPr>
            <w:r w:rsidRPr="00DE12A3">
              <w:rPr>
                <w:sz w:val="14"/>
                <w:szCs w:val="14"/>
              </w:rPr>
              <w:t>2,687</w:t>
            </w:r>
          </w:p>
        </w:tc>
        <w:tc>
          <w:tcPr>
            <w:tcW w:w="464" w:type="dxa"/>
            <w:tcBorders>
              <w:top w:val="single" w:sz="2" w:space="0" w:color="auto"/>
              <w:left w:val="single" w:sz="2" w:space="0" w:color="auto"/>
              <w:bottom w:val="single" w:sz="2" w:space="0" w:color="auto"/>
              <w:right w:val="single" w:sz="2" w:space="0" w:color="auto"/>
            </w:tcBorders>
          </w:tcPr>
          <w:p w14:paraId="1BC6C978" w14:textId="77777777" w:rsidR="009F4766" w:rsidRPr="00DE12A3" w:rsidRDefault="009F4766" w:rsidP="00C917D6">
            <w:pPr>
              <w:pStyle w:val="NormalLeft"/>
              <w:rPr>
                <w:sz w:val="14"/>
                <w:szCs w:val="14"/>
              </w:rPr>
            </w:pPr>
            <w:r w:rsidRPr="00DE12A3">
              <w:rPr>
                <w:sz w:val="14"/>
                <w:szCs w:val="14"/>
              </w:rPr>
              <w:t>2,617</w:t>
            </w:r>
          </w:p>
        </w:tc>
        <w:tc>
          <w:tcPr>
            <w:tcW w:w="464" w:type="dxa"/>
            <w:tcBorders>
              <w:top w:val="single" w:sz="2" w:space="0" w:color="auto"/>
              <w:left w:val="single" w:sz="2" w:space="0" w:color="auto"/>
              <w:bottom w:val="single" w:sz="2" w:space="0" w:color="auto"/>
              <w:right w:val="single" w:sz="2" w:space="0" w:color="auto"/>
            </w:tcBorders>
          </w:tcPr>
          <w:p w14:paraId="342BB81E" w14:textId="77777777" w:rsidR="009F4766" w:rsidRPr="00DE12A3" w:rsidRDefault="009F4766" w:rsidP="00C917D6">
            <w:pPr>
              <w:pStyle w:val="NormalLeft"/>
              <w:rPr>
                <w:sz w:val="14"/>
                <w:szCs w:val="14"/>
              </w:rPr>
            </w:pPr>
            <w:r w:rsidRPr="00DE12A3">
              <w:rPr>
                <w:sz w:val="14"/>
                <w:szCs w:val="14"/>
              </w:rPr>
              <w:t>2,544</w:t>
            </w:r>
          </w:p>
        </w:tc>
        <w:tc>
          <w:tcPr>
            <w:tcW w:w="465" w:type="dxa"/>
            <w:tcBorders>
              <w:top w:val="single" w:sz="2" w:space="0" w:color="auto"/>
              <w:left w:val="single" w:sz="2" w:space="0" w:color="auto"/>
              <w:bottom w:val="single" w:sz="2" w:space="0" w:color="auto"/>
              <w:right w:val="single" w:sz="2" w:space="0" w:color="auto"/>
            </w:tcBorders>
          </w:tcPr>
          <w:p w14:paraId="0C43213B" w14:textId="77777777" w:rsidR="009F4766" w:rsidRPr="00DE12A3" w:rsidRDefault="009F4766" w:rsidP="00C917D6">
            <w:pPr>
              <w:pStyle w:val="NormalLeft"/>
              <w:rPr>
                <w:sz w:val="14"/>
                <w:szCs w:val="14"/>
              </w:rPr>
            </w:pPr>
            <w:r w:rsidRPr="00DE12A3">
              <w:rPr>
                <w:sz w:val="14"/>
                <w:szCs w:val="14"/>
              </w:rPr>
              <w:t>2,506</w:t>
            </w:r>
          </w:p>
        </w:tc>
        <w:tc>
          <w:tcPr>
            <w:tcW w:w="464" w:type="dxa"/>
            <w:tcBorders>
              <w:top w:val="single" w:sz="2" w:space="0" w:color="auto"/>
              <w:left w:val="single" w:sz="2" w:space="0" w:color="auto"/>
              <w:bottom w:val="single" w:sz="2" w:space="0" w:color="auto"/>
              <w:right w:val="single" w:sz="2" w:space="0" w:color="auto"/>
            </w:tcBorders>
          </w:tcPr>
          <w:p w14:paraId="065E8F1B" w14:textId="77777777" w:rsidR="009F4766" w:rsidRPr="00DE12A3" w:rsidRDefault="009F4766" w:rsidP="00C917D6">
            <w:pPr>
              <w:pStyle w:val="NormalLeft"/>
              <w:rPr>
                <w:sz w:val="14"/>
                <w:szCs w:val="14"/>
              </w:rPr>
            </w:pPr>
            <w:r w:rsidRPr="00DE12A3">
              <w:rPr>
                <w:sz w:val="14"/>
                <w:szCs w:val="14"/>
              </w:rPr>
              <w:t>2,466</w:t>
            </w:r>
          </w:p>
        </w:tc>
        <w:tc>
          <w:tcPr>
            <w:tcW w:w="464" w:type="dxa"/>
            <w:tcBorders>
              <w:top w:val="single" w:sz="2" w:space="0" w:color="auto"/>
              <w:left w:val="single" w:sz="2" w:space="0" w:color="auto"/>
              <w:bottom w:val="single" w:sz="2" w:space="0" w:color="auto"/>
              <w:right w:val="single" w:sz="2" w:space="0" w:color="auto"/>
            </w:tcBorders>
          </w:tcPr>
          <w:p w14:paraId="74A4BAE6" w14:textId="77777777" w:rsidR="009F4766" w:rsidRPr="00DE12A3" w:rsidRDefault="009F4766" w:rsidP="00C917D6">
            <w:pPr>
              <w:pStyle w:val="NormalLeft"/>
              <w:rPr>
                <w:sz w:val="14"/>
                <w:szCs w:val="14"/>
              </w:rPr>
            </w:pPr>
            <w:r w:rsidRPr="00DE12A3">
              <w:rPr>
                <w:sz w:val="14"/>
                <w:szCs w:val="14"/>
              </w:rPr>
              <w:t>2,426</w:t>
            </w:r>
          </w:p>
        </w:tc>
        <w:tc>
          <w:tcPr>
            <w:tcW w:w="464" w:type="dxa"/>
            <w:tcBorders>
              <w:top w:val="single" w:sz="2" w:space="0" w:color="auto"/>
              <w:left w:val="single" w:sz="2" w:space="0" w:color="auto"/>
              <w:bottom w:val="single" w:sz="2" w:space="0" w:color="auto"/>
              <w:right w:val="single" w:sz="2" w:space="0" w:color="auto"/>
            </w:tcBorders>
          </w:tcPr>
          <w:p w14:paraId="6EA2FD51" w14:textId="77777777" w:rsidR="009F4766" w:rsidRPr="00DE12A3" w:rsidRDefault="009F4766" w:rsidP="00C917D6">
            <w:pPr>
              <w:pStyle w:val="NormalLeft"/>
              <w:rPr>
                <w:sz w:val="14"/>
                <w:szCs w:val="14"/>
              </w:rPr>
            </w:pPr>
            <w:r w:rsidRPr="00DE12A3">
              <w:rPr>
                <w:sz w:val="14"/>
                <w:szCs w:val="14"/>
              </w:rPr>
              <w:t>2,384</w:t>
            </w:r>
          </w:p>
        </w:tc>
        <w:tc>
          <w:tcPr>
            <w:tcW w:w="465" w:type="dxa"/>
            <w:tcBorders>
              <w:top w:val="single" w:sz="2" w:space="0" w:color="auto"/>
              <w:left w:val="single" w:sz="2" w:space="0" w:color="auto"/>
              <w:bottom w:val="single" w:sz="2" w:space="0" w:color="auto"/>
              <w:right w:val="single" w:sz="2" w:space="0" w:color="auto"/>
            </w:tcBorders>
          </w:tcPr>
          <w:p w14:paraId="7DDCFEB0" w14:textId="77777777" w:rsidR="009F4766" w:rsidRPr="00DE12A3" w:rsidRDefault="009F4766" w:rsidP="00C917D6">
            <w:pPr>
              <w:pStyle w:val="NormalLeft"/>
              <w:rPr>
                <w:sz w:val="14"/>
                <w:szCs w:val="14"/>
              </w:rPr>
            </w:pPr>
            <w:r w:rsidRPr="00DE12A3">
              <w:rPr>
                <w:sz w:val="14"/>
                <w:szCs w:val="14"/>
              </w:rPr>
              <w:t>2,341</w:t>
            </w:r>
          </w:p>
        </w:tc>
        <w:tc>
          <w:tcPr>
            <w:tcW w:w="464" w:type="dxa"/>
            <w:tcBorders>
              <w:top w:val="single" w:sz="2" w:space="0" w:color="auto"/>
              <w:left w:val="single" w:sz="2" w:space="0" w:color="auto"/>
              <w:bottom w:val="single" w:sz="2" w:space="0" w:color="auto"/>
              <w:right w:val="single" w:sz="2" w:space="0" w:color="auto"/>
            </w:tcBorders>
          </w:tcPr>
          <w:p w14:paraId="2223A64B" w14:textId="77777777" w:rsidR="009F4766" w:rsidRPr="00DE12A3" w:rsidRDefault="009F4766" w:rsidP="00C917D6">
            <w:pPr>
              <w:pStyle w:val="NormalLeft"/>
              <w:rPr>
                <w:sz w:val="14"/>
                <w:szCs w:val="14"/>
              </w:rPr>
            </w:pPr>
            <w:r w:rsidRPr="00DE12A3">
              <w:rPr>
                <w:sz w:val="14"/>
                <w:szCs w:val="14"/>
              </w:rPr>
              <w:t>2,296</w:t>
            </w:r>
          </w:p>
        </w:tc>
      </w:tr>
      <w:tr w:rsidR="00DE12A3" w:rsidRPr="00DE12A3" w14:paraId="6523B889" w14:textId="77777777" w:rsidTr="009F4766">
        <w:tc>
          <w:tcPr>
            <w:tcW w:w="464" w:type="dxa"/>
            <w:tcBorders>
              <w:top w:val="single" w:sz="2" w:space="0" w:color="auto"/>
              <w:left w:val="single" w:sz="2" w:space="0" w:color="auto"/>
              <w:bottom w:val="single" w:sz="2" w:space="0" w:color="auto"/>
              <w:right w:val="single" w:sz="2" w:space="0" w:color="auto"/>
            </w:tcBorders>
          </w:tcPr>
          <w:p w14:paraId="7AE646CA" w14:textId="77777777" w:rsidR="009F4766" w:rsidRPr="00DE12A3" w:rsidRDefault="009F4766" w:rsidP="00C917D6">
            <w:pPr>
              <w:pStyle w:val="NormalLeft"/>
              <w:rPr>
                <w:sz w:val="14"/>
                <w:szCs w:val="14"/>
              </w:rPr>
            </w:pPr>
            <w:r w:rsidRPr="00DE12A3">
              <w:rPr>
                <w:sz w:val="14"/>
                <w:szCs w:val="14"/>
              </w:rPr>
              <w:t>13</w:t>
            </w:r>
          </w:p>
        </w:tc>
        <w:tc>
          <w:tcPr>
            <w:tcW w:w="465" w:type="dxa"/>
            <w:tcBorders>
              <w:top w:val="single" w:sz="2" w:space="0" w:color="auto"/>
              <w:left w:val="single" w:sz="2" w:space="0" w:color="auto"/>
              <w:bottom w:val="single" w:sz="2" w:space="0" w:color="auto"/>
              <w:right w:val="single" w:sz="2" w:space="0" w:color="auto"/>
            </w:tcBorders>
          </w:tcPr>
          <w:p w14:paraId="6F36A499" w14:textId="77777777" w:rsidR="009F4766" w:rsidRPr="00DE12A3" w:rsidRDefault="009F4766" w:rsidP="00C917D6">
            <w:pPr>
              <w:pStyle w:val="NormalLeft"/>
              <w:rPr>
                <w:sz w:val="14"/>
                <w:szCs w:val="14"/>
              </w:rPr>
            </w:pPr>
            <w:r w:rsidRPr="00DE12A3">
              <w:rPr>
                <w:sz w:val="14"/>
                <w:szCs w:val="14"/>
              </w:rPr>
              <w:t>4,667</w:t>
            </w:r>
          </w:p>
        </w:tc>
        <w:tc>
          <w:tcPr>
            <w:tcW w:w="464" w:type="dxa"/>
            <w:tcBorders>
              <w:top w:val="single" w:sz="2" w:space="0" w:color="auto"/>
              <w:left w:val="single" w:sz="2" w:space="0" w:color="auto"/>
              <w:bottom w:val="single" w:sz="2" w:space="0" w:color="auto"/>
              <w:right w:val="single" w:sz="2" w:space="0" w:color="auto"/>
            </w:tcBorders>
          </w:tcPr>
          <w:p w14:paraId="1E556D1B" w14:textId="77777777" w:rsidR="009F4766" w:rsidRPr="00DE12A3" w:rsidRDefault="009F4766" w:rsidP="00C917D6">
            <w:pPr>
              <w:pStyle w:val="NormalLeft"/>
              <w:rPr>
                <w:sz w:val="14"/>
                <w:szCs w:val="14"/>
              </w:rPr>
            </w:pPr>
            <w:r w:rsidRPr="00DE12A3">
              <w:rPr>
                <w:sz w:val="14"/>
                <w:szCs w:val="14"/>
              </w:rPr>
              <w:t>3,806</w:t>
            </w:r>
          </w:p>
        </w:tc>
        <w:tc>
          <w:tcPr>
            <w:tcW w:w="464" w:type="dxa"/>
            <w:tcBorders>
              <w:top w:val="single" w:sz="2" w:space="0" w:color="auto"/>
              <w:left w:val="single" w:sz="2" w:space="0" w:color="auto"/>
              <w:bottom w:val="single" w:sz="2" w:space="0" w:color="auto"/>
              <w:right w:val="single" w:sz="2" w:space="0" w:color="auto"/>
            </w:tcBorders>
          </w:tcPr>
          <w:p w14:paraId="4E477176" w14:textId="77777777" w:rsidR="009F4766" w:rsidRPr="00DE12A3" w:rsidRDefault="009F4766" w:rsidP="00C917D6">
            <w:pPr>
              <w:pStyle w:val="NormalLeft"/>
              <w:rPr>
                <w:sz w:val="14"/>
                <w:szCs w:val="14"/>
              </w:rPr>
            </w:pPr>
            <w:r w:rsidRPr="00DE12A3">
              <w:rPr>
                <w:sz w:val="14"/>
                <w:szCs w:val="14"/>
              </w:rPr>
              <w:t>3,411</w:t>
            </w:r>
          </w:p>
        </w:tc>
        <w:tc>
          <w:tcPr>
            <w:tcW w:w="465" w:type="dxa"/>
            <w:tcBorders>
              <w:top w:val="single" w:sz="2" w:space="0" w:color="auto"/>
              <w:left w:val="single" w:sz="2" w:space="0" w:color="auto"/>
              <w:bottom w:val="single" w:sz="2" w:space="0" w:color="auto"/>
              <w:right w:val="single" w:sz="2" w:space="0" w:color="auto"/>
            </w:tcBorders>
          </w:tcPr>
          <w:p w14:paraId="25D88EBD" w14:textId="77777777" w:rsidR="009F4766" w:rsidRPr="00DE12A3" w:rsidRDefault="009F4766" w:rsidP="00C917D6">
            <w:pPr>
              <w:pStyle w:val="NormalLeft"/>
              <w:rPr>
                <w:sz w:val="14"/>
                <w:szCs w:val="14"/>
              </w:rPr>
            </w:pPr>
            <w:r w:rsidRPr="00DE12A3">
              <w:rPr>
                <w:sz w:val="14"/>
                <w:szCs w:val="14"/>
              </w:rPr>
              <w:t>3,179</w:t>
            </w:r>
          </w:p>
        </w:tc>
        <w:tc>
          <w:tcPr>
            <w:tcW w:w="464" w:type="dxa"/>
            <w:tcBorders>
              <w:top w:val="single" w:sz="2" w:space="0" w:color="auto"/>
              <w:left w:val="single" w:sz="2" w:space="0" w:color="auto"/>
              <w:bottom w:val="single" w:sz="2" w:space="0" w:color="auto"/>
              <w:right w:val="single" w:sz="2" w:space="0" w:color="auto"/>
            </w:tcBorders>
          </w:tcPr>
          <w:p w14:paraId="7FE8BE73" w14:textId="77777777" w:rsidR="009F4766" w:rsidRPr="00DE12A3" w:rsidRDefault="009F4766" w:rsidP="00C917D6">
            <w:pPr>
              <w:pStyle w:val="NormalLeft"/>
              <w:rPr>
                <w:sz w:val="14"/>
                <w:szCs w:val="14"/>
              </w:rPr>
            </w:pPr>
            <w:r w:rsidRPr="00DE12A3">
              <w:rPr>
                <w:sz w:val="14"/>
                <w:szCs w:val="14"/>
              </w:rPr>
              <w:t>3,025</w:t>
            </w:r>
          </w:p>
        </w:tc>
        <w:tc>
          <w:tcPr>
            <w:tcW w:w="464" w:type="dxa"/>
            <w:tcBorders>
              <w:top w:val="single" w:sz="2" w:space="0" w:color="auto"/>
              <w:left w:val="single" w:sz="2" w:space="0" w:color="auto"/>
              <w:bottom w:val="single" w:sz="2" w:space="0" w:color="auto"/>
              <w:right w:val="single" w:sz="2" w:space="0" w:color="auto"/>
            </w:tcBorders>
          </w:tcPr>
          <w:p w14:paraId="1EDF4128" w14:textId="77777777" w:rsidR="009F4766" w:rsidRPr="00DE12A3" w:rsidRDefault="009F4766" w:rsidP="00C917D6">
            <w:pPr>
              <w:pStyle w:val="NormalLeft"/>
              <w:rPr>
                <w:sz w:val="14"/>
                <w:szCs w:val="14"/>
              </w:rPr>
            </w:pPr>
            <w:r w:rsidRPr="00DE12A3">
              <w:rPr>
                <w:sz w:val="14"/>
                <w:szCs w:val="14"/>
              </w:rPr>
              <w:t>2,915</w:t>
            </w:r>
          </w:p>
        </w:tc>
        <w:tc>
          <w:tcPr>
            <w:tcW w:w="464" w:type="dxa"/>
            <w:tcBorders>
              <w:top w:val="single" w:sz="2" w:space="0" w:color="auto"/>
              <w:left w:val="single" w:sz="2" w:space="0" w:color="auto"/>
              <w:bottom w:val="single" w:sz="2" w:space="0" w:color="auto"/>
              <w:right w:val="single" w:sz="2" w:space="0" w:color="auto"/>
            </w:tcBorders>
          </w:tcPr>
          <w:p w14:paraId="75D36D46" w14:textId="77777777" w:rsidR="009F4766" w:rsidRPr="00DE12A3" w:rsidRDefault="009F4766" w:rsidP="00C917D6">
            <w:pPr>
              <w:pStyle w:val="NormalLeft"/>
              <w:rPr>
                <w:sz w:val="14"/>
                <w:szCs w:val="14"/>
              </w:rPr>
            </w:pPr>
            <w:r w:rsidRPr="00DE12A3">
              <w:rPr>
                <w:sz w:val="14"/>
                <w:szCs w:val="14"/>
              </w:rPr>
              <w:t>2,832</w:t>
            </w:r>
          </w:p>
        </w:tc>
        <w:tc>
          <w:tcPr>
            <w:tcW w:w="465" w:type="dxa"/>
            <w:tcBorders>
              <w:top w:val="single" w:sz="2" w:space="0" w:color="auto"/>
              <w:left w:val="single" w:sz="2" w:space="0" w:color="auto"/>
              <w:bottom w:val="single" w:sz="2" w:space="0" w:color="auto"/>
              <w:right w:val="single" w:sz="2" w:space="0" w:color="auto"/>
            </w:tcBorders>
          </w:tcPr>
          <w:p w14:paraId="4B141D27" w14:textId="77777777" w:rsidR="009F4766" w:rsidRPr="00DE12A3" w:rsidRDefault="009F4766" w:rsidP="00C917D6">
            <w:pPr>
              <w:pStyle w:val="NormalLeft"/>
              <w:rPr>
                <w:sz w:val="14"/>
                <w:szCs w:val="14"/>
              </w:rPr>
            </w:pPr>
            <w:r w:rsidRPr="00DE12A3">
              <w:rPr>
                <w:sz w:val="14"/>
                <w:szCs w:val="14"/>
              </w:rPr>
              <w:t>2,767</w:t>
            </w:r>
          </w:p>
        </w:tc>
        <w:tc>
          <w:tcPr>
            <w:tcW w:w="464" w:type="dxa"/>
            <w:tcBorders>
              <w:top w:val="single" w:sz="2" w:space="0" w:color="auto"/>
              <w:left w:val="single" w:sz="2" w:space="0" w:color="auto"/>
              <w:bottom w:val="single" w:sz="2" w:space="0" w:color="auto"/>
              <w:right w:val="single" w:sz="2" w:space="0" w:color="auto"/>
            </w:tcBorders>
          </w:tcPr>
          <w:p w14:paraId="5DAF2B6C" w14:textId="77777777" w:rsidR="009F4766" w:rsidRPr="00DE12A3" w:rsidRDefault="009F4766" w:rsidP="00C917D6">
            <w:pPr>
              <w:pStyle w:val="NormalLeft"/>
              <w:rPr>
                <w:sz w:val="14"/>
                <w:szCs w:val="14"/>
              </w:rPr>
            </w:pPr>
            <w:r w:rsidRPr="00DE12A3">
              <w:rPr>
                <w:sz w:val="14"/>
                <w:szCs w:val="14"/>
              </w:rPr>
              <w:t>2,714</w:t>
            </w:r>
          </w:p>
        </w:tc>
        <w:tc>
          <w:tcPr>
            <w:tcW w:w="464" w:type="dxa"/>
            <w:tcBorders>
              <w:top w:val="single" w:sz="2" w:space="0" w:color="auto"/>
              <w:left w:val="single" w:sz="2" w:space="0" w:color="auto"/>
              <w:bottom w:val="single" w:sz="2" w:space="0" w:color="auto"/>
              <w:right w:val="single" w:sz="2" w:space="0" w:color="auto"/>
            </w:tcBorders>
          </w:tcPr>
          <w:p w14:paraId="2421A84D" w14:textId="77777777" w:rsidR="009F4766" w:rsidRPr="00DE12A3" w:rsidRDefault="009F4766" w:rsidP="00C917D6">
            <w:pPr>
              <w:pStyle w:val="NormalLeft"/>
              <w:rPr>
                <w:sz w:val="14"/>
                <w:szCs w:val="14"/>
              </w:rPr>
            </w:pPr>
            <w:r w:rsidRPr="00DE12A3">
              <w:rPr>
                <w:sz w:val="14"/>
                <w:szCs w:val="14"/>
              </w:rPr>
              <w:t>2,671</w:t>
            </w:r>
          </w:p>
        </w:tc>
        <w:tc>
          <w:tcPr>
            <w:tcW w:w="465" w:type="dxa"/>
            <w:tcBorders>
              <w:top w:val="single" w:sz="2" w:space="0" w:color="auto"/>
              <w:left w:val="single" w:sz="2" w:space="0" w:color="auto"/>
              <w:bottom w:val="single" w:sz="2" w:space="0" w:color="auto"/>
              <w:right w:val="single" w:sz="2" w:space="0" w:color="auto"/>
            </w:tcBorders>
          </w:tcPr>
          <w:p w14:paraId="3A425230" w14:textId="77777777" w:rsidR="009F4766" w:rsidRPr="00DE12A3" w:rsidRDefault="009F4766" w:rsidP="00C917D6">
            <w:pPr>
              <w:pStyle w:val="NormalLeft"/>
              <w:rPr>
                <w:sz w:val="14"/>
                <w:szCs w:val="14"/>
              </w:rPr>
            </w:pPr>
            <w:r w:rsidRPr="00DE12A3">
              <w:rPr>
                <w:sz w:val="14"/>
                <w:szCs w:val="14"/>
              </w:rPr>
              <w:t>2,604</w:t>
            </w:r>
          </w:p>
        </w:tc>
        <w:tc>
          <w:tcPr>
            <w:tcW w:w="464" w:type="dxa"/>
            <w:tcBorders>
              <w:top w:val="single" w:sz="2" w:space="0" w:color="auto"/>
              <w:left w:val="single" w:sz="2" w:space="0" w:color="auto"/>
              <w:bottom w:val="single" w:sz="2" w:space="0" w:color="auto"/>
              <w:right w:val="single" w:sz="2" w:space="0" w:color="auto"/>
            </w:tcBorders>
          </w:tcPr>
          <w:p w14:paraId="1D57C877" w14:textId="77777777" w:rsidR="009F4766" w:rsidRPr="00DE12A3" w:rsidRDefault="009F4766" w:rsidP="00C917D6">
            <w:pPr>
              <w:pStyle w:val="NormalLeft"/>
              <w:rPr>
                <w:sz w:val="14"/>
                <w:szCs w:val="14"/>
              </w:rPr>
            </w:pPr>
            <w:r w:rsidRPr="00DE12A3">
              <w:rPr>
                <w:sz w:val="14"/>
                <w:szCs w:val="14"/>
              </w:rPr>
              <w:t>2,533</w:t>
            </w:r>
          </w:p>
        </w:tc>
        <w:tc>
          <w:tcPr>
            <w:tcW w:w="464" w:type="dxa"/>
            <w:tcBorders>
              <w:top w:val="single" w:sz="2" w:space="0" w:color="auto"/>
              <w:left w:val="single" w:sz="2" w:space="0" w:color="auto"/>
              <w:bottom w:val="single" w:sz="2" w:space="0" w:color="auto"/>
              <w:right w:val="single" w:sz="2" w:space="0" w:color="auto"/>
            </w:tcBorders>
          </w:tcPr>
          <w:p w14:paraId="4BB24C94" w14:textId="77777777" w:rsidR="009F4766" w:rsidRPr="00DE12A3" w:rsidRDefault="009F4766" w:rsidP="00C917D6">
            <w:pPr>
              <w:pStyle w:val="NormalLeft"/>
              <w:rPr>
                <w:sz w:val="14"/>
                <w:szCs w:val="14"/>
              </w:rPr>
            </w:pPr>
            <w:r w:rsidRPr="00DE12A3">
              <w:rPr>
                <w:sz w:val="14"/>
                <w:szCs w:val="14"/>
              </w:rPr>
              <w:t>2,459</w:t>
            </w:r>
          </w:p>
        </w:tc>
        <w:tc>
          <w:tcPr>
            <w:tcW w:w="465" w:type="dxa"/>
            <w:tcBorders>
              <w:top w:val="single" w:sz="2" w:space="0" w:color="auto"/>
              <w:left w:val="single" w:sz="2" w:space="0" w:color="auto"/>
              <w:bottom w:val="single" w:sz="2" w:space="0" w:color="auto"/>
              <w:right w:val="single" w:sz="2" w:space="0" w:color="auto"/>
            </w:tcBorders>
          </w:tcPr>
          <w:p w14:paraId="1230B152" w14:textId="77777777" w:rsidR="009F4766" w:rsidRPr="00DE12A3" w:rsidRDefault="009F4766" w:rsidP="00C917D6">
            <w:pPr>
              <w:pStyle w:val="NormalLeft"/>
              <w:rPr>
                <w:sz w:val="14"/>
                <w:szCs w:val="14"/>
              </w:rPr>
            </w:pPr>
            <w:r w:rsidRPr="00DE12A3">
              <w:rPr>
                <w:sz w:val="14"/>
                <w:szCs w:val="14"/>
              </w:rPr>
              <w:t>2,420</w:t>
            </w:r>
          </w:p>
        </w:tc>
        <w:tc>
          <w:tcPr>
            <w:tcW w:w="464" w:type="dxa"/>
            <w:tcBorders>
              <w:top w:val="single" w:sz="2" w:space="0" w:color="auto"/>
              <w:left w:val="single" w:sz="2" w:space="0" w:color="auto"/>
              <w:bottom w:val="single" w:sz="2" w:space="0" w:color="auto"/>
              <w:right w:val="single" w:sz="2" w:space="0" w:color="auto"/>
            </w:tcBorders>
          </w:tcPr>
          <w:p w14:paraId="710F4B50" w14:textId="77777777" w:rsidR="009F4766" w:rsidRPr="00DE12A3" w:rsidRDefault="009F4766" w:rsidP="00C917D6">
            <w:pPr>
              <w:pStyle w:val="NormalLeft"/>
              <w:rPr>
                <w:sz w:val="14"/>
                <w:szCs w:val="14"/>
              </w:rPr>
            </w:pPr>
            <w:r w:rsidRPr="00DE12A3">
              <w:rPr>
                <w:sz w:val="14"/>
                <w:szCs w:val="14"/>
              </w:rPr>
              <w:t>2,380</w:t>
            </w:r>
          </w:p>
        </w:tc>
        <w:tc>
          <w:tcPr>
            <w:tcW w:w="464" w:type="dxa"/>
            <w:tcBorders>
              <w:top w:val="single" w:sz="2" w:space="0" w:color="auto"/>
              <w:left w:val="single" w:sz="2" w:space="0" w:color="auto"/>
              <w:bottom w:val="single" w:sz="2" w:space="0" w:color="auto"/>
              <w:right w:val="single" w:sz="2" w:space="0" w:color="auto"/>
            </w:tcBorders>
          </w:tcPr>
          <w:p w14:paraId="72C92290" w14:textId="77777777" w:rsidR="009F4766" w:rsidRPr="00DE12A3" w:rsidRDefault="009F4766" w:rsidP="00C917D6">
            <w:pPr>
              <w:pStyle w:val="NormalLeft"/>
              <w:rPr>
                <w:sz w:val="14"/>
                <w:szCs w:val="14"/>
              </w:rPr>
            </w:pPr>
            <w:r w:rsidRPr="00DE12A3">
              <w:rPr>
                <w:sz w:val="14"/>
                <w:szCs w:val="14"/>
              </w:rPr>
              <w:t>2,339</w:t>
            </w:r>
          </w:p>
        </w:tc>
        <w:tc>
          <w:tcPr>
            <w:tcW w:w="464" w:type="dxa"/>
            <w:tcBorders>
              <w:top w:val="single" w:sz="2" w:space="0" w:color="auto"/>
              <w:left w:val="single" w:sz="2" w:space="0" w:color="auto"/>
              <w:bottom w:val="single" w:sz="2" w:space="0" w:color="auto"/>
              <w:right w:val="single" w:sz="2" w:space="0" w:color="auto"/>
            </w:tcBorders>
          </w:tcPr>
          <w:p w14:paraId="293FDABC" w14:textId="77777777" w:rsidR="009F4766" w:rsidRPr="00DE12A3" w:rsidRDefault="009F4766" w:rsidP="00C917D6">
            <w:pPr>
              <w:pStyle w:val="NormalLeft"/>
              <w:rPr>
                <w:sz w:val="14"/>
                <w:szCs w:val="14"/>
              </w:rPr>
            </w:pPr>
            <w:r w:rsidRPr="00DE12A3">
              <w:rPr>
                <w:sz w:val="14"/>
                <w:szCs w:val="14"/>
              </w:rPr>
              <w:t>2,297</w:t>
            </w:r>
          </w:p>
        </w:tc>
        <w:tc>
          <w:tcPr>
            <w:tcW w:w="465" w:type="dxa"/>
            <w:tcBorders>
              <w:top w:val="single" w:sz="2" w:space="0" w:color="auto"/>
              <w:left w:val="single" w:sz="2" w:space="0" w:color="auto"/>
              <w:bottom w:val="single" w:sz="2" w:space="0" w:color="auto"/>
              <w:right w:val="single" w:sz="2" w:space="0" w:color="auto"/>
            </w:tcBorders>
          </w:tcPr>
          <w:p w14:paraId="11B731D8" w14:textId="77777777" w:rsidR="009F4766" w:rsidRPr="00DE12A3" w:rsidRDefault="009F4766" w:rsidP="00C917D6">
            <w:pPr>
              <w:pStyle w:val="NormalLeft"/>
              <w:rPr>
                <w:sz w:val="14"/>
                <w:szCs w:val="14"/>
              </w:rPr>
            </w:pPr>
            <w:r w:rsidRPr="00DE12A3">
              <w:rPr>
                <w:sz w:val="14"/>
                <w:szCs w:val="14"/>
              </w:rPr>
              <w:t>2,252</w:t>
            </w:r>
          </w:p>
        </w:tc>
        <w:tc>
          <w:tcPr>
            <w:tcW w:w="464" w:type="dxa"/>
            <w:tcBorders>
              <w:top w:val="single" w:sz="2" w:space="0" w:color="auto"/>
              <w:left w:val="single" w:sz="2" w:space="0" w:color="auto"/>
              <w:bottom w:val="single" w:sz="2" w:space="0" w:color="auto"/>
              <w:right w:val="single" w:sz="2" w:space="0" w:color="auto"/>
            </w:tcBorders>
          </w:tcPr>
          <w:p w14:paraId="3BFFF340" w14:textId="77777777" w:rsidR="009F4766" w:rsidRPr="00DE12A3" w:rsidRDefault="009F4766" w:rsidP="00C917D6">
            <w:pPr>
              <w:pStyle w:val="NormalLeft"/>
              <w:rPr>
                <w:sz w:val="14"/>
                <w:szCs w:val="14"/>
              </w:rPr>
            </w:pPr>
            <w:r w:rsidRPr="00DE12A3">
              <w:rPr>
                <w:sz w:val="14"/>
                <w:szCs w:val="14"/>
              </w:rPr>
              <w:t>2,206</w:t>
            </w:r>
          </w:p>
        </w:tc>
      </w:tr>
      <w:tr w:rsidR="00DE12A3" w:rsidRPr="00DE12A3" w14:paraId="1D8403D8" w14:textId="77777777" w:rsidTr="009F4766">
        <w:tc>
          <w:tcPr>
            <w:tcW w:w="464" w:type="dxa"/>
            <w:tcBorders>
              <w:top w:val="single" w:sz="2" w:space="0" w:color="auto"/>
              <w:left w:val="single" w:sz="2" w:space="0" w:color="auto"/>
              <w:bottom w:val="single" w:sz="2" w:space="0" w:color="auto"/>
              <w:right w:val="single" w:sz="2" w:space="0" w:color="auto"/>
            </w:tcBorders>
          </w:tcPr>
          <w:p w14:paraId="266B5B41" w14:textId="77777777" w:rsidR="009F4766" w:rsidRPr="00DE12A3" w:rsidRDefault="009F4766" w:rsidP="00C917D6">
            <w:pPr>
              <w:pStyle w:val="NormalLeft"/>
              <w:rPr>
                <w:sz w:val="14"/>
                <w:szCs w:val="14"/>
              </w:rPr>
            </w:pPr>
            <w:r w:rsidRPr="00DE12A3">
              <w:rPr>
                <w:sz w:val="14"/>
                <w:szCs w:val="14"/>
              </w:rPr>
              <w:t>14</w:t>
            </w:r>
          </w:p>
        </w:tc>
        <w:tc>
          <w:tcPr>
            <w:tcW w:w="465" w:type="dxa"/>
            <w:tcBorders>
              <w:top w:val="single" w:sz="2" w:space="0" w:color="auto"/>
              <w:left w:val="single" w:sz="2" w:space="0" w:color="auto"/>
              <w:bottom w:val="single" w:sz="2" w:space="0" w:color="auto"/>
              <w:right w:val="single" w:sz="2" w:space="0" w:color="auto"/>
            </w:tcBorders>
          </w:tcPr>
          <w:p w14:paraId="7F988D46" w14:textId="77777777" w:rsidR="009F4766" w:rsidRPr="00DE12A3" w:rsidRDefault="009F4766" w:rsidP="00C917D6">
            <w:pPr>
              <w:pStyle w:val="NormalLeft"/>
              <w:rPr>
                <w:sz w:val="14"/>
                <w:szCs w:val="14"/>
              </w:rPr>
            </w:pPr>
            <w:r w:rsidRPr="00DE12A3">
              <w:rPr>
                <w:sz w:val="14"/>
                <w:szCs w:val="14"/>
              </w:rPr>
              <w:t>4,600</w:t>
            </w:r>
          </w:p>
        </w:tc>
        <w:tc>
          <w:tcPr>
            <w:tcW w:w="464" w:type="dxa"/>
            <w:tcBorders>
              <w:top w:val="single" w:sz="2" w:space="0" w:color="auto"/>
              <w:left w:val="single" w:sz="2" w:space="0" w:color="auto"/>
              <w:bottom w:val="single" w:sz="2" w:space="0" w:color="auto"/>
              <w:right w:val="single" w:sz="2" w:space="0" w:color="auto"/>
            </w:tcBorders>
          </w:tcPr>
          <w:p w14:paraId="1A70AD45" w14:textId="77777777" w:rsidR="009F4766" w:rsidRPr="00DE12A3" w:rsidRDefault="009F4766" w:rsidP="00C917D6">
            <w:pPr>
              <w:pStyle w:val="NormalLeft"/>
              <w:rPr>
                <w:sz w:val="14"/>
                <w:szCs w:val="14"/>
              </w:rPr>
            </w:pPr>
            <w:r w:rsidRPr="00DE12A3">
              <w:rPr>
                <w:sz w:val="14"/>
                <w:szCs w:val="14"/>
              </w:rPr>
              <w:t>3,739</w:t>
            </w:r>
          </w:p>
        </w:tc>
        <w:tc>
          <w:tcPr>
            <w:tcW w:w="464" w:type="dxa"/>
            <w:tcBorders>
              <w:top w:val="single" w:sz="2" w:space="0" w:color="auto"/>
              <w:left w:val="single" w:sz="2" w:space="0" w:color="auto"/>
              <w:bottom w:val="single" w:sz="2" w:space="0" w:color="auto"/>
              <w:right w:val="single" w:sz="2" w:space="0" w:color="auto"/>
            </w:tcBorders>
          </w:tcPr>
          <w:p w14:paraId="6FB3E6D6" w14:textId="77777777" w:rsidR="009F4766" w:rsidRPr="00DE12A3" w:rsidRDefault="009F4766" w:rsidP="00C917D6">
            <w:pPr>
              <w:pStyle w:val="NormalLeft"/>
              <w:rPr>
                <w:sz w:val="14"/>
                <w:szCs w:val="14"/>
              </w:rPr>
            </w:pPr>
            <w:r w:rsidRPr="00DE12A3">
              <w:rPr>
                <w:sz w:val="14"/>
                <w:szCs w:val="14"/>
              </w:rPr>
              <w:t>3,344</w:t>
            </w:r>
          </w:p>
        </w:tc>
        <w:tc>
          <w:tcPr>
            <w:tcW w:w="465" w:type="dxa"/>
            <w:tcBorders>
              <w:top w:val="single" w:sz="2" w:space="0" w:color="auto"/>
              <w:left w:val="single" w:sz="2" w:space="0" w:color="auto"/>
              <w:bottom w:val="single" w:sz="2" w:space="0" w:color="auto"/>
              <w:right w:val="single" w:sz="2" w:space="0" w:color="auto"/>
            </w:tcBorders>
          </w:tcPr>
          <w:p w14:paraId="63AB977A" w14:textId="77777777" w:rsidR="009F4766" w:rsidRPr="00DE12A3" w:rsidRDefault="009F4766" w:rsidP="00C917D6">
            <w:pPr>
              <w:pStyle w:val="NormalLeft"/>
              <w:rPr>
                <w:sz w:val="14"/>
                <w:szCs w:val="14"/>
              </w:rPr>
            </w:pPr>
            <w:r w:rsidRPr="00DE12A3">
              <w:rPr>
                <w:sz w:val="14"/>
                <w:szCs w:val="14"/>
              </w:rPr>
              <w:t>3,112</w:t>
            </w:r>
          </w:p>
        </w:tc>
        <w:tc>
          <w:tcPr>
            <w:tcW w:w="464" w:type="dxa"/>
            <w:tcBorders>
              <w:top w:val="single" w:sz="2" w:space="0" w:color="auto"/>
              <w:left w:val="single" w:sz="2" w:space="0" w:color="auto"/>
              <w:bottom w:val="single" w:sz="2" w:space="0" w:color="auto"/>
              <w:right w:val="single" w:sz="2" w:space="0" w:color="auto"/>
            </w:tcBorders>
          </w:tcPr>
          <w:p w14:paraId="48DF0759" w14:textId="77777777" w:rsidR="009F4766" w:rsidRPr="00DE12A3" w:rsidRDefault="009F4766" w:rsidP="00C917D6">
            <w:pPr>
              <w:pStyle w:val="NormalLeft"/>
              <w:rPr>
                <w:sz w:val="14"/>
                <w:szCs w:val="14"/>
              </w:rPr>
            </w:pPr>
            <w:r w:rsidRPr="00DE12A3">
              <w:rPr>
                <w:sz w:val="14"/>
                <w:szCs w:val="14"/>
              </w:rPr>
              <w:t>2,958</w:t>
            </w:r>
          </w:p>
        </w:tc>
        <w:tc>
          <w:tcPr>
            <w:tcW w:w="464" w:type="dxa"/>
            <w:tcBorders>
              <w:top w:val="single" w:sz="2" w:space="0" w:color="auto"/>
              <w:left w:val="single" w:sz="2" w:space="0" w:color="auto"/>
              <w:bottom w:val="single" w:sz="2" w:space="0" w:color="auto"/>
              <w:right w:val="single" w:sz="2" w:space="0" w:color="auto"/>
            </w:tcBorders>
          </w:tcPr>
          <w:p w14:paraId="2F29CDFB" w14:textId="77777777" w:rsidR="009F4766" w:rsidRPr="00DE12A3" w:rsidRDefault="009F4766" w:rsidP="00C917D6">
            <w:pPr>
              <w:pStyle w:val="NormalLeft"/>
              <w:rPr>
                <w:sz w:val="14"/>
                <w:szCs w:val="14"/>
              </w:rPr>
            </w:pPr>
            <w:r w:rsidRPr="00DE12A3">
              <w:rPr>
                <w:sz w:val="14"/>
                <w:szCs w:val="14"/>
              </w:rPr>
              <w:t>2,848</w:t>
            </w:r>
          </w:p>
        </w:tc>
        <w:tc>
          <w:tcPr>
            <w:tcW w:w="464" w:type="dxa"/>
            <w:tcBorders>
              <w:top w:val="single" w:sz="2" w:space="0" w:color="auto"/>
              <w:left w:val="single" w:sz="2" w:space="0" w:color="auto"/>
              <w:bottom w:val="single" w:sz="2" w:space="0" w:color="auto"/>
              <w:right w:val="single" w:sz="2" w:space="0" w:color="auto"/>
            </w:tcBorders>
          </w:tcPr>
          <w:p w14:paraId="71CFD831" w14:textId="77777777" w:rsidR="009F4766" w:rsidRPr="00DE12A3" w:rsidRDefault="009F4766" w:rsidP="00C917D6">
            <w:pPr>
              <w:pStyle w:val="NormalLeft"/>
              <w:rPr>
                <w:sz w:val="14"/>
                <w:szCs w:val="14"/>
              </w:rPr>
            </w:pPr>
            <w:r w:rsidRPr="00DE12A3">
              <w:rPr>
                <w:sz w:val="14"/>
                <w:szCs w:val="14"/>
              </w:rPr>
              <w:t>2,764</w:t>
            </w:r>
          </w:p>
        </w:tc>
        <w:tc>
          <w:tcPr>
            <w:tcW w:w="465" w:type="dxa"/>
            <w:tcBorders>
              <w:top w:val="single" w:sz="2" w:space="0" w:color="auto"/>
              <w:left w:val="single" w:sz="2" w:space="0" w:color="auto"/>
              <w:bottom w:val="single" w:sz="2" w:space="0" w:color="auto"/>
              <w:right w:val="single" w:sz="2" w:space="0" w:color="auto"/>
            </w:tcBorders>
          </w:tcPr>
          <w:p w14:paraId="4DA5D0FA" w14:textId="77777777" w:rsidR="009F4766" w:rsidRPr="00DE12A3" w:rsidRDefault="009F4766" w:rsidP="00C917D6">
            <w:pPr>
              <w:pStyle w:val="NormalLeft"/>
              <w:rPr>
                <w:sz w:val="14"/>
                <w:szCs w:val="14"/>
              </w:rPr>
            </w:pPr>
            <w:r w:rsidRPr="00DE12A3">
              <w:rPr>
                <w:sz w:val="14"/>
                <w:szCs w:val="14"/>
              </w:rPr>
              <w:t>2,699</w:t>
            </w:r>
          </w:p>
        </w:tc>
        <w:tc>
          <w:tcPr>
            <w:tcW w:w="464" w:type="dxa"/>
            <w:tcBorders>
              <w:top w:val="single" w:sz="2" w:space="0" w:color="auto"/>
              <w:left w:val="single" w:sz="2" w:space="0" w:color="auto"/>
              <w:bottom w:val="single" w:sz="2" w:space="0" w:color="auto"/>
              <w:right w:val="single" w:sz="2" w:space="0" w:color="auto"/>
            </w:tcBorders>
          </w:tcPr>
          <w:p w14:paraId="6D4EE65A" w14:textId="77777777" w:rsidR="009F4766" w:rsidRPr="00DE12A3" w:rsidRDefault="009F4766" w:rsidP="00C917D6">
            <w:pPr>
              <w:pStyle w:val="NormalLeft"/>
              <w:rPr>
                <w:sz w:val="14"/>
                <w:szCs w:val="14"/>
              </w:rPr>
            </w:pPr>
            <w:r w:rsidRPr="00DE12A3">
              <w:rPr>
                <w:sz w:val="14"/>
                <w:szCs w:val="14"/>
              </w:rPr>
              <w:t>2,646</w:t>
            </w:r>
          </w:p>
        </w:tc>
        <w:tc>
          <w:tcPr>
            <w:tcW w:w="464" w:type="dxa"/>
            <w:tcBorders>
              <w:top w:val="single" w:sz="2" w:space="0" w:color="auto"/>
              <w:left w:val="single" w:sz="2" w:space="0" w:color="auto"/>
              <w:bottom w:val="single" w:sz="2" w:space="0" w:color="auto"/>
              <w:right w:val="single" w:sz="2" w:space="0" w:color="auto"/>
            </w:tcBorders>
          </w:tcPr>
          <w:p w14:paraId="06E7FB3E" w14:textId="77777777" w:rsidR="009F4766" w:rsidRPr="00DE12A3" w:rsidRDefault="009F4766" w:rsidP="00C917D6">
            <w:pPr>
              <w:pStyle w:val="NormalLeft"/>
              <w:rPr>
                <w:sz w:val="14"/>
                <w:szCs w:val="14"/>
              </w:rPr>
            </w:pPr>
            <w:r w:rsidRPr="00DE12A3">
              <w:rPr>
                <w:sz w:val="14"/>
                <w:szCs w:val="14"/>
              </w:rPr>
              <w:t>2,602</w:t>
            </w:r>
          </w:p>
        </w:tc>
        <w:tc>
          <w:tcPr>
            <w:tcW w:w="465" w:type="dxa"/>
            <w:tcBorders>
              <w:top w:val="single" w:sz="2" w:space="0" w:color="auto"/>
              <w:left w:val="single" w:sz="2" w:space="0" w:color="auto"/>
              <w:bottom w:val="single" w:sz="2" w:space="0" w:color="auto"/>
              <w:right w:val="single" w:sz="2" w:space="0" w:color="auto"/>
            </w:tcBorders>
          </w:tcPr>
          <w:p w14:paraId="0C9E2669" w14:textId="77777777" w:rsidR="009F4766" w:rsidRPr="00DE12A3" w:rsidRDefault="009F4766" w:rsidP="00C917D6">
            <w:pPr>
              <w:pStyle w:val="NormalLeft"/>
              <w:rPr>
                <w:sz w:val="14"/>
                <w:szCs w:val="14"/>
              </w:rPr>
            </w:pPr>
            <w:r w:rsidRPr="00DE12A3">
              <w:rPr>
                <w:sz w:val="14"/>
                <w:szCs w:val="14"/>
              </w:rPr>
              <w:t>2,534</w:t>
            </w:r>
          </w:p>
        </w:tc>
        <w:tc>
          <w:tcPr>
            <w:tcW w:w="464" w:type="dxa"/>
            <w:tcBorders>
              <w:top w:val="single" w:sz="2" w:space="0" w:color="auto"/>
              <w:left w:val="single" w:sz="2" w:space="0" w:color="auto"/>
              <w:bottom w:val="single" w:sz="2" w:space="0" w:color="auto"/>
              <w:right w:val="single" w:sz="2" w:space="0" w:color="auto"/>
            </w:tcBorders>
          </w:tcPr>
          <w:p w14:paraId="2A34360E" w14:textId="77777777" w:rsidR="009F4766" w:rsidRPr="00DE12A3" w:rsidRDefault="009F4766" w:rsidP="00C917D6">
            <w:pPr>
              <w:pStyle w:val="NormalLeft"/>
              <w:rPr>
                <w:sz w:val="14"/>
                <w:szCs w:val="14"/>
              </w:rPr>
            </w:pPr>
            <w:r w:rsidRPr="00DE12A3">
              <w:rPr>
                <w:sz w:val="14"/>
                <w:szCs w:val="14"/>
              </w:rPr>
              <w:t>2,463</w:t>
            </w:r>
          </w:p>
        </w:tc>
        <w:tc>
          <w:tcPr>
            <w:tcW w:w="464" w:type="dxa"/>
            <w:tcBorders>
              <w:top w:val="single" w:sz="2" w:space="0" w:color="auto"/>
              <w:left w:val="single" w:sz="2" w:space="0" w:color="auto"/>
              <w:bottom w:val="single" w:sz="2" w:space="0" w:color="auto"/>
              <w:right w:val="single" w:sz="2" w:space="0" w:color="auto"/>
            </w:tcBorders>
          </w:tcPr>
          <w:p w14:paraId="300A7B7F" w14:textId="77777777" w:rsidR="009F4766" w:rsidRPr="00DE12A3" w:rsidRDefault="009F4766" w:rsidP="00C917D6">
            <w:pPr>
              <w:pStyle w:val="NormalLeft"/>
              <w:rPr>
                <w:sz w:val="14"/>
                <w:szCs w:val="14"/>
              </w:rPr>
            </w:pPr>
            <w:r w:rsidRPr="00DE12A3">
              <w:rPr>
                <w:sz w:val="14"/>
                <w:szCs w:val="14"/>
              </w:rPr>
              <w:t>2,388</w:t>
            </w:r>
          </w:p>
        </w:tc>
        <w:tc>
          <w:tcPr>
            <w:tcW w:w="465" w:type="dxa"/>
            <w:tcBorders>
              <w:top w:val="single" w:sz="2" w:space="0" w:color="auto"/>
              <w:left w:val="single" w:sz="2" w:space="0" w:color="auto"/>
              <w:bottom w:val="single" w:sz="2" w:space="0" w:color="auto"/>
              <w:right w:val="single" w:sz="2" w:space="0" w:color="auto"/>
            </w:tcBorders>
          </w:tcPr>
          <w:p w14:paraId="1D308AC2" w14:textId="77777777" w:rsidR="009F4766" w:rsidRPr="00DE12A3" w:rsidRDefault="009F4766" w:rsidP="00C917D6">
            <w:pPr>
              <w:pStyle w:val="NormalLeft"/>
              <w:rPr>
                <w:sz w:val="14"/>
                <w:szCs w:val="14"/>
              </w:rPr>
            </w:pPr>
            <w:r w:rsidRPr="00DE12A3">
              <w:rPr>
                <w:sz w:val="14"/>
                <w:szCs w:val="14"/>
              </w:rPr>
              <w:t>2,349</w:t>
            </w:r>
          </w:p>
        </w:tc>
        <w:tc>
          <w:tcPr>
            <w:tcW w:w="464" w:type="dxa"/>
            <w:tcBorders>
              <w:top w:val="single" w:sz="2" w:space="0" w:color="auto"/>
              <w:left w:val="single" w:sz="2" w:space="0" w:color="auto"/>
              <w:bottom w:val="single" w:sz="2" w:space="0" w:color="auto"/>
              <w:right w:val="single" w:sz="2" w:space="0" w:color="auto"/>
            </w:tcBorders>
          </w:tcPr>
          <w:p w14:paraId="6A480339" w14:textId="77777777" w:rsidR="009F4766" w:rsidRPr="00DE12A3" w:rsidRDefault="009F4766" w:rsidP="00C917D6">
            <w:pPr>
              <w:pStyle w:val="NormalLeft"/>
              <w:rPr>
                <w:sz w:val="14"/>
                <w:szCs w:val="14"/>
              </w:rPr>
            </w:pPr>
            <w:r w:rsidRPr="00DE12A3">
              <w:rPr>
                <w:sz w:val="14"/>
                <w:szCs w:val="14"/>
              </w:rPr>
              <w:t>2,308</w:t>
            </w:r>
          </w:p>
        </w:tc>
        <w:tc>
          <w:tcPr>
            <w:tcW w:w="464" w:type="dxa"/>
            <w:tcBorders>
              <w:top w:val="single" w:sz="2" w:space="0" w:color="auto"/>
              <w:left w:val="single" w:sz="2" w:space="0" w:color="auto"/>
              <w:bottom w:val="single" w:sz="2" w:space="0" w:color="auto"/>
              <w:right w:val="single" w:sz="2" w:space="0" w:color="auto"/>
            </w:tcBorders>
          </w:tcPr>
          <w:p w14:paraId="67B09E3C" w14:textId="77777777" w:rsidR="009F4766" w:rsidRPr="00DE12A3" w:rsidRDefault="009F4766" w:rsidP="00C917D6">
            <w:pPr>
              <w:pStyle w:val="NormalLeft"/>
              <w:rPr>
                <w:sz w:val="14"/>
                <w:szCs w:val="14"/>
              </w:rPr>
            </w:pPr>
            <w:r w:rsidRPr="00DE12A3">
              <w:rPr>
                <w:sz w:val="14"/>
                <w:szCs w:val="14"/>
              </w:rPr>
              <w:t>2,266</w:t>
            </w:r>
          </w:p>
        </w:tc>
        <w:tc>
          <w:tcPr>
            <w:tcW w:w="464" w:type="dxa"/>
            <w:tcBorders>
              <w:top w:val="single" w:sz="2" w:space="0" w:color="auto"/>
              <w:left w:val="single" w:sz="2" w:space="0" w:color="auto"/>
              <w:bottom w:val="single" w:sz="2" w:space="0" w:color="auto"/>
              <w:right w:val="single" w:sz="2" w:space="0" w:color="auto"/>
            </w:tcBorders>
          </w:tcPr>
          <w:p w14:paraId="7DB35FA6" w14:textId="77777777" w:rsidR="009F4766" w:rsidRPr="00DE12A3" w:rsidRDefault="009F4766" w:rsidP="00C917D6">
            <w:pPr>
              <w:pStyle w:val="NormalLeft"/>
              <w:rPr>
                <w:sz w:val="14"/>
                <w:szCs w:val="14"/>
              </w:rPr>
            </w:pPr>
            <w:r w:rsidRPr="00DE12A3">
              <w:rPr>
                <w:sz w:val="14"/>
                <w:szCs w:val="14"/>
              </w:rPr>
              <w:t>2,223</w:t>
            </w:r>
          </w:p>
        </w:tc>
        <w:tc>
          <w:tcPr>
            <w:tcW w:w="465" w:type="dxa"/>
            <w:tcBorders>
              <w:top w:val="single" w:sz="2" w:space="0" w:color="auto"/>
              <w:left w:val="single" w:sz="2" w:space="0" w:color="auto"/>
              <w:bottom w:val="single" w:sz="2" w:space="0" w:color="auto"/>
              <w:right w:val="single" w:sz="2" w:space="0" w:color="auto"/>
            </w:tcBorders>
          </w:tcPr>
          <w:p w14:paraId="65696D2C" w14:textId="77777777" w:rsidR="009F4766" w:rsidRPr="00DE12A3" w:rsidRDefault="009F4766" w:rsidP="00C917D6">
            <w:pPr>
              <w:pStyle w:val="NormalLeft"/>
              <w:rPr>
                <w:sz w:val="14"/>
                <w:szCs w:val="14"/>
              </w:rPr>
            </w:pPr>
            <w:r w:rsidRPr="00DE12A3">
              <w:rPr>
                <w:sz w:val="14"/>
                <w:szCs w:val="14"/>
              </w:rPr>
              <w:t>2,178</w:t>
            </w:r>
          </w:p>
        </w:tc>
        <w:tc>
          <w:tcPr>
            <w:tcW w:w="464" w:type="dxa"/>
            <w:tcBorders>
              <w:top w:val="single" w:sz="2" w:space="0" w:color="auto"/>
              <w:left w:val="single" w:sz="2" w:space="0" w:color="auto"/>
              <w:bottom w:val="single" w:sz="2" w:space="0" w:color="auto"/>
              <w:right w:val="single" w:sz="2" w:space="0" w:color="auto"/>
            </w:tcBorders>
          </w:tcPr>
          <w:p w14:paraId="188E1338" w14:textId="77777777" w:rsidR="009F4766" w:rsidRPr="00DE12A3" w:rsidRDefault="009F4766" w:rsidP="00C917D6">
            <w:pPr>
              <w:pStyle w:val="NormalLeft"/>
              <w:rPr>
                <w:sz w:val="14"/>
                <w:szCs w:val="14"/>
              </w:rPr>
            </w:pPr>
            <w:r w:rsidRPr="00DE12A3">
              <w:rPr>
                <w:sz w:val="14"/>
                <w:szCs w:val="14"/>
              </w:rPr>
              <w:t>2,131</w:t>
            </w:r>
          </w:p>
        </w:tc>
      </w:tr>
      <w:tr w:rsidR="00DE12A3" w:rsidRPr="00DE12A3" w14:paraId="048416A9" w14:textId="77777777" w:rsidTr="009F4766">
        <w:tc>
          <w:tcPr>
            <w:tcW w:w="464" w:type="dxa"/>
            <w:tcBorders>
              <w:top w:val="single" w:sz="2" w:space="0" w:color="auto"/>
              <w:left w:val="single" w:sz="2" w:space="0" w:color="auto"/>
              <w:bottom w:val="single" w:sz="2" w:space="0" w:color="auto"/>
              <w:right w:val="single" w:sz="2" w:space="0" w:color="auto"/>
            </w:tcBorders>
          </w:tcPr>
          <w:p w14:paraId="6C94274B" w14:textId="77777777" w:rsidR="009F4766" w:rsidRPr="00DE12A3" w:rsidRDefault="009F4766" w:rsidP="00C917D6">
            <w:pPr>
              <w:pStyle w:val="NormalLeft"/>
              <w:rPr>
                <w:sz w:val="14"/>
                <w:szCs w:val="14"/>
              </w:rPr>
            </w:pPr>
            <w:r w:rsidRPr="00DE12A3">
              <w:rPr>
                <w:sz w:val="14"/>
                <w:szCs w:val="14"/>
              </w:rPr>
              <w:t>15</w:t>
            </w:r>
          </w:p>
        </w:tc>
        <w:tc>
          <w:tcPr>
            <w:tcW w:w="465" w:type="dxa"/>
            <w:tcBorders>
              <w:top w:val="single" w:sz="2" w:space="0" w:color="auto"/>
              <w:left w:val="single" w:sz="2" w:space="0" w:color="auto"/>
              <w:bottom w:val="single" w:sz="2" w:space="0" w:color="auto"/>
              <w:right w:val="single" w:sz="2" w:space="0" w:color="auto"/>
            </w:tcBorders>
          </w:tcPr>
          <w:p w14:paraId="0AB4606F" w14:textId="77777777" w:rsidR="009F4766" w:rsidRPr="00DE12A3" w:rsidRDefault="009F4766" w:rsidP="00C917D6">
            <w:pPr>
              <w:pStyle w:val="NormalLeft"/>
              <w:rPr>
                <w:sz w:val="14"/>
                <w:szCs w:val="14"/>
              </w:rPr>
            </w:pPr>
            <w:r w:rsidRPr="00DE12A3">
              <w:rPr>
                <w:sz w:val="14"/>
                <w:szCs w:val="14"/>
              </w:rPr>
              <w:t>4,543</w:t>
            </w:r>
          </w:p>
        </w:tc>
        <w:tc>
          <w:tcPr>
            <w:tcW w:w="464" w:type="dxa"/>
            <w:tcBorders>
              <w:top w:val="single" w:sz="2" w:space="0" w:color="auto"/>
              <w:left w:val="single" w:sz="2" w:space="0" w:color="auto"/>
              <w:bottom w:val="single" w:sz="2" w:space="0" w:color="auto"/>
              <w:right w:val="single" w:sz="2" w:space="0" w:color="auto"/>
            </w:tcBorders>
          </w:tcPr>
          <w:p w14:paraId="44E44349" w14:textId="77777777" w:rsidR="009F4766" w:rsidRPr="00DE12A3" w:rsidRDefault="009F4766" w:rsidP="00C917D6">
            <w:pPr>
              <w:pStyle w:val="NormalLeft"/>
              <w:rPr>
                <w:sz w:val="14"/>
                <w:szCs w:val="14"/>
              </w:rPr>
            </w:pPr>
            <w:r w:rsidRPr="00DE12A3">
              <w:rPr>
                <w:sz w:val="14"/>
                <w:szCs w:val="14"/>
              </w:rPr>
              <w:t>3,682</w:t>
            </w:r>
          </w:p>
        </w:tc>
        <w:tc>
          <w:tcPr>
            <w:tcW w:w="464" w:type="dxa"/>
            <w:tcBorders>
              <w:top w:val="single" w:sz="2" w:space="0" w:color="auto"/>
              <w:left w:val="single" w:sz="2" w:space="0" w:color="auto"/>
              <w:bottom w:val="single" w:sz="2" w:space="0" w:color="auto"/>
              <w:right w:val="single" w:sz="2" w:space="0" w:color="auto"/>
            </w:tcBorders>
          </w:tcPr>
          <w:p w14:paraId="03F633DF" w14:textId="77777777" w:rsidR="009F4766" w:rsidRPr="00DE12A3" w:rsidRDefault="009F4766" w:rsidP="00C917D6">
            <w:pPr>
              <w:pStyle w:val="NormalLeft"/>
              <w:rPr>
                <w:sz w:val="14"/>
                <w:szCs w:val="14"/>
              </w:rPr>
            </w:pPr>
            <w:r w:rsidRPr="00DE12A3">
              <w:rPr>
                <w:sz w:val="14"/>
                <w:szCs w:val="14"/>
              </w:rPr>
              <w:t>3,287</w:t>
            </w:r>
          </w:p>
        </w:tc>
        <w:tc>
          <w:tcPr>
            <w:tcW w:w="465" w:type="dxa"/>
            <w:tcBorders>
              <w:top w:val="single" w:sz="2" w:space="0" w:color="auto"/>
              <w:left w:val="single" w:sz="2" w:space="0" w:color="auto"/>
              <w:bottom w:val="single" w:sz="2" w:space="0" w:color="auto"/>
              <w:right w:val="single" w:sz="2" w:space="0" w:color="auto"/>
            </w:tcBorders>
          </w:tcPr>
          <w:p w14:paraId="17309827" w14:textId="77777777" w:rsidR="009F4766" w:rsidRPr="00DE12A3" w:rsidRDefault="009F4766" w:rsidP="00C917D6">
            <w:pPr>
              <w:pStyle w:val="NormalLeft"/>
              <w:rPr>
                <w:sz w:val="14"/>
                <w:szCs w:val="14"/>
              </w:rPr>
            </w:pPr>
            <w:r w:rsidRPr="00DE12A3">
              <w:rPr>
                <w:sz w:val="14"/>
                <w:szCs w:val="14"/>
              </w:rPr>
              <w:t>3,056</w:t>
            </w:r>
          </w:p>
        </w:tc>
        <w:tc>
          <w:tcPr>
            <w:tcW w:w="464" w:type="dxa"/>
            <w:tcBorders>
              <w:top w:val="single" w:sz="2" w:space="0" w:color="auto"/>
              <w:left w:val="single" w:sz="2" w:space="0" w:color="auto"/>
              <w:bottom w:val="single" w:sz="2" w:space="0" w:color="auto"/>
              <w:right w:val="single" w:sz="2" w:space="0" w:color="auto"/>
            </w:tcBorders>
          </w:tcPr>
          <w:p w14:paraId="3E49D51A" w14:textId="77777777" w:rsidR="009F4766" w:rsidRPr="00DE12A3" w:rsidRDefault="009F4766" w:rsidP="00C917D6">
            <w:pPr>
              <w:pStyle w:val="NormalLeft"/>
              <w:rPr>
                <w:sz w:val="14"/>
                <w:szCs w:val="14"/>
              </w:rPr>
            </w:pPr>
            <w:r w:rsidRPr="00DE12A3">
              <w:rPr>
                <w:sz w:val="14"/>
                <w:szCs w:val="14"/>
              </w:rPr>
              <w:t>2,901</w:t>
            </w:r>
          </w:p>
        </w:tc>
        <w:tc>
          <w:tcPr>
            <w:tcW w:w="464" w:type="dxa"/>
            <w:tcBorders>
              <w:top w:val="single" w:sz="2" w:space="0" w:color="auto"/>
              <w:left w:val="single" w:sz="2" w:space="0" w:color="auto"/>
              <w:bottom w:val="single" w:sz="2" w:space="0" w:color="auto"/>
              <w:right w:val="single" w:sz="2" w:space="0" w:color="auto"/>
            </w:tcBorders>
          </w:tcPr>
          <w:p w14:paraId="3181247B" w14:textId="77777777" w:rsidR="009F4766" w:rsidRPr="00DE12A3" w:rsidRDefault="009F4766" w:rsidP="00C917D6">
            <w:pPr>
              <w:pStyle w:val="NormalLeft"/>
              <w:rPr>
                <w:sz w:val="14"/>
                <w:szCs w:val="14"/>
              </w:rPr>
            </w:pPr>
            <w:r w:rsidRPr="00DE12A3">
              <w:rPr>
                <w:sz w:val="14"/>
                <w:szCs w:val="14"/>
              </w:rPr>
              <w:t>2,791</w:t>
            </w:r>
          </w:p>
        </w:tc>
        <w:tc>
          <w:tcPr>
            <w:tcW w:w="464" w:type="dxa"/>
            <w:tcBorders>
              <w:top w:val="single" w:sz="2" w:space="0" w:color="auto"/>
              <w:left w:val="single" w:sz="2" w:space="0" w:color="auto"/>
              <w:bottom w:val="single" w:sz="2" w:space="0" w:color="auto"/>
              <w:right w:val="single" w:sz="2" w:space="0" w:color="auto"/>
            </w:tcBorders>
          </w:tcPr>
          <w:p w14:paraId="42615AF3" w14:textId="77777777" w:rsidR="009F4766" w:rsidRPr="00DE12A3" w:rsidRDefault="009F4766" w:rsidP="00C917D6">
            <w:pPr>
              <w:pStyle w:val="NormalLeft"/>
              <w:rPr>
                <w:sz w:val="14"/>
                <w:szCs w:val="14"/>
              </w:rPr>
            </w:pPr>
            <w:r w:rsidRPr="00DE12A3">
              <w:rPr>
                <w:sz w:val="14"/>
                <w:szCs w:val="14"/>
              </w:rPr>
              <w:t>2,707</w:t>
            </w:r>
          </w:p>
        </w:tc>
        <w:tc>
          <w:tcPr>
            <w:tcW w:w="465" w:type="dxa"/>
            <w:tcBorders>
              <w:top w:val="single" w:sz="2" w:space="0" w:color="auto"/>
              <w:left w:val="single" w:sz="2" w:space="0" w:color="auto"/>
              <w:bottom w:val="single" w:sz="2" w:space="0" w:color="auto"/>
              <w:right w:val="single" w:sz="2" w:space="0" w:color="auto"/>
            </w:tcBorders>
          </w:tcPr>
          <w:p w14:paraId="2BEAF512" w14:textId="77777777" w:rsidR="009F4766" w:rsidRPr="00DE12A3" w:rsidRDefault="009F4766" w:rsidP="00C917D6">
            <w:pPr>
              <w:pStyle w:val="NormalLeft"/>
              <w:rPr>
                <w:sz w:val="14"/>
                <w:szCs w:val="14"/>
              </w:rPr>
            </w:pPr>
            <w:r w:rsidRPr="00DE12A3">
              <w:rPr>
                <w:sz w:val="14"/>
                <w:szCs w:val="14"/>
              </w:rPr>
              <w:t>2,641</w:t>
            </w:r>
          </w:p>
        </w:tc>
        <w:tc>
          <w:tcPr>
            <w:tcW w:w="464" w:type="dxa"/>
            <w:tcBorders>
              <w:top w:val="single" w:sz="2" w:space="0" w:color="auto"/>
              <w:left w:val="single" w:sz="2" w:space="0" w:color="auto"/>
              <w:bottom w:val="single" w:sz="2" w:space="0" w:color="auto"/>
              <w:right w:val="single" w:sz="2" w:space="0" w:color="auto"/>
            </w:tcBorders>
          </w:tcPr>
          <w:p w14:paraId="6FC87061" w14:textId="77777777" w:rsidR="009F4766" w:rsidRPr="00DE12A3" w:rsidRDefault="009F4766" w:rsidP="00C917D6">
            <w:pPr>
              <w:pStyle w:val="NormalLeft"/>
              <w:rPr>
                <w:sz w:val="14"/>
                <w:szCs w:val="14"/>
              </w:rPr>
            </w:pPr>
            <w:r w:rsidRPr="00DE12A3">
              <w:rPr>
                <w:sz w:val="14"/>
                <w:szCs w:val="14"/>
              </w:rPr>
              <w:t>2,588</w:t>
            </w:r>
          </w:p>
        </w:tc>
        <w:tc>
          <w:tcPr>
            <w:tcW w:w="464" w:type="dxa"/>
            <w:tcBorders>
              <w:top w:val="single" w:sz="2" w:space="0" w:color="auto"/>
              <w:left w:val="single" w:sz="2" w:space="0" w:color="auto"/>
              <w:bottom w:val="single" w:sz="2" w:space="0" w:color="auto"/>
              <w:right w:val="single" w:sz="2" w:space="0" w:color="auto"/>
            </w:tcBorders>
          </w:tcPr>
          <w:p w14:paraId="778C25F5" w14:textId="77777777" w:rsidR="009F4766" w:rsidRPr="00DE12A3" w:rsidRDefault="009F4766" w:rsidP="00C917D6">
            <w:pPr>
              <w:pStyle w:val="NormalLeft"/>
              <w:rPr>
                <w:sz w:val="14"/>
                <w:szCs w:val="14"/>
              </w:rPr>
            </w:pPr>
            <w:r w:rsidRPr="00DE12A3">
              <w:rPr>
                <w:sz w:val="14"/>
                <w:szCs w:val="14"/>
              </w:rPr>
              <w:t>2,544</w:t>
            </w:r>
          </w:p>
        </w:tc>
        <w:tc>
          <w:tcPr>
            <w:tcW w:w="465" w:type="dxa"/>
            <w:tcBorders>
              <w:top w:val="single" w:sz="2" w:space="0" w:color="auto"/>
              <w:left w:val="single" w:sz="2" w:space="0" w:color="auto"/>
              <w:bottom w:val="single" w:sz="2" w:space="0" w:color="auto"/>
              <w:right w:val="single" w:sz="2" w:space="0" w:color="auto"/>
            </w:tcBorders>
          </w:tcPr>
          <w:p w14:paraId="5699176C" w14:textId="77777777" w:rsidR="009F4766" w:rsidRPr="00DE12A3" w:rsidRDefault="009F4766" w:rsidP="00C917D6">
            <w:pPr>
              <w:pStyle w:val="NormalLeft"/>
              <w:rPr>
                <w:sz w:val="14"/>
                <w:szCs w:val="14"/>
              </w:rPr>
            </w:pPr>
            <w:r w:rsidRPr="00DE12A3">
              <w:rPr>
                <w:sz w:val="14"/>
                <w:szCs w:val="14"/>
              </w:rPr>
              <w:t>2,475</w:t>
            </w:r>
          </w:p>
        </w:tc>
        <w:tc>
          <w:tcPr>
            <w:tcW w:w="464" w:type="dxa"/>
            <w:tcBorders>
              <w:top w:val="single" w:sz="2" w:space="0" w:color="auto"/>
              <w:left w:val="single" w:sz="2" w:space="0" w:color="auto"/>
              <w:bottom w:val="single" w:sz="2" w:space="0" w:color="auto"/>
              <w:right w:val="single" w:sz="2" w:space="0" w:color="auto"/>
            </w:tcBorders>
          </w:tcPr>
          <w:p w14:paraId="4A2467F8" w14:textId="77777777" w:rsidR="009F4766" w:rsidRPr="00DE12A3" w:rsidRDefault="009F4766" w:rsidP="00C917D6">
            <w:pPr>
              <w:pStyle w:val="NormalLeft"/>
              <w:rPr>
                <w:sz w:val="14"/>
                <w:szCs w:val="14"/>
              </w:rPr>
            </w:pPr>
            <w:r w:rsidRPr="00DE12A3">
              <w:rPr>
                <w:sz w:val="14"/>
                <w:szCs w:val="14"/>
              </w:rPr>
              <w:t>2,403</w:t>
            </w:r>
          </w:p>
        </w:tc>
        <w:tc>
          <w:tcPr>
            <w:tcW w:w="464" w:type="dxa"/>
            <w:tcBorders>
              <w:top w:val="single" w:sz="2" w:space="0" w:color="auto"/>
              <w:left w:val="single" w:sz="2" w:space="0" w:color="auto"/>
              <w:bottom w:val="single" w:sz="2" w:space="0" w:color="auto"/>
              <w:right w:val="single" w:sz="2" w:space="0" w:color="auto"/>
            </w:tcBorders>
          </w:tcPr>
          <w:p w14:paraId="71B577D9" w14:textId="77777777" w:rsidR="009F4766" w:rsidRPr="00DE12A3" w:rsidRDefault="009F4766" w:rsidP="00C917D6">
            <w:pPr>
              <w:pStyle w:val="NormalLeft"/>
              <w:rPr>
                <w:sz w:val="14"/>
                <w:szCs w:val="14"/>
              </w:rPr>
            </w:pPr>
            <w:r w:rsidRPr="00DE12A3">
              <w:rPr>
                <w:sz w:val="14"/>
                <w:szCs w:val="14"/>
              </w:rPr>
              <w:t>2,328</w:t>
            </w:r>
          </w:p>
        </w:tc>
        <w:tc>
          <w:tcPr>
            <w:tcW w:w="465" w:type="dxa"/>
            <w:tcBorders>
              <w:top w:val="single" w:sz="2" w:space="0" w:color="auto"/>
              <w:left w:val="single" w:sz="2" w:space="0" w:color="auto"/>
              <w:bottom w:val="single" w:sz="2" w:space="0" w:color="auto"/>
              <w:right w:val="single" w:sz="2" w:space="0" w:color="auto"/>
            </w:tcBorders>
          </w:tcPr>
          <w:p w14:paraId="59C3A91B" w14:textId="77777777" w:rsidR="009F4766" w:rsidRPr="00DE12A3" w:rsidRDefault="009F4766" w:rsidP="00C917D6">
            <w:pPr>
              <w:pStyle w:val="NormalLeft"/>
              <w:rPr>
                <w:sz w:val="14"/>
                <w:szCs w:val="14"/>
              </w:rPr>
            </w:pPr>
            <w:r w:rsidRPr="00DE12A3">
              <w:rPr>
                <w:sz w:val="14"/>
                <w:szCs w:val="14"/>
              </w:rPr>
              <w:t>2,288</w:t>
            </w:r>
          </w:p>
        </w:tc>
        <w:tc>
          <w:tcPr>
            <w:tcW w:w="464" w:type="dxa"/>
            <w:tcBorders>
              <w:top w:val="single" w:sz="2" w:space="0" w:color="auto"/>
              <w:left w:val="single" w:sz="2" w:space="0" w:color="auto"/>
              <w:bottom w:val="single" w:sz="2" w:space="0" w:color="auto"/>
              <w:right w:val="single" w:sz="2" w:space="0" w:color="auto"/>
            </w:tcBorders>
          </w:tcPr>
          <w:p w14:paraId="423B5297" w14:textId="77777777" w:rsidR="009F4766" w:rsidRPr="00DE12A3" w:rsidRDefault="009F4766" w:rsidP="00C917D6">
            <w:pPr>
              <w:pStyle w:val="NormalLeft"/>
              <w:rPr>
                <w:sz w:val="14"/>
                <w:szCs w:val="14"/>
              </w:rPr>
            </w:pPr>
            <w:r w:rsidRPr="00DE12A3">
              <w:rPr>
                <w:sz w:val="14"/>
                <w:szCs w:val="14"/>
              </w:rPr>
              <w:t>2,247</w:t>
            </w:r>
          </w:p>
        </w:tc>
        <w:tc>
          <w:tcPr>
            <w:tcW w:w="464" w:type="dxa"/>
            <w:tcBorders>
              <w:top w:val="single" w:sz="2" w:space="0" w:color="auto"/>
              <w:left w:val="single" w:sz="2" w:space="0" w:color="auto"/>
              <w:bottom w:val="single" w:sz="2" w:space="0" w:color="auto"/>
              <w:right w:val="single" w:sz="2" w:space="0" w:color="auto"/>
            </w:tcBorders>
          </w:tcPr>
          <w:p w14:paraId="78DC4644" w14:textId="77777777" w:rsidR="009F4766" w:rsidRPr="00DE12A3" w:rsidRDefault="009F4766" w:rsidP="00C917D6">
            <w:pPr>
              <w:pStyle w:val="NormalLeft"/>
              <w:rPr>
                <w:sz w:val="14"/>
                <w:szCs w:val="14"/>
              </w:rPr>
            </w:pPr>
            <w:r w:rsidRPr="00DE12A3">
              <w:rPr>
                <w:sz w:val="14"/>
                <w:szCs w:val="14"/>
              </w:rPr>
              <w:t>2,204</w:t>
            </w:r>
          </w:p>
        </w:tc>
        <w:tc>
          <w:tcPr>
            <w:tcW w:w="464" w:type="dxa"/>
            <w:tcBorders>
              <w:top w:val="single" w:sz="2" w:space="0" w:color="auto"/>
              <w:left w:val="single" w:sz="2" w:space="0" w:color="auto"/>
              <w:bottom w:val="single" w:sz="2" w:space="0" w:color="auto"/>
              <w:right w:val="single" w:sz="2" w:space="0" w:color="auto"/>
            </w:tcBorders>
          </w:tcPr>
          <w:p w14:paraId="35808F9F" w14:textId="77777777" w:rsidR="009F4766" w:rsidRPr="00DE12A3" w:rsidRDefault="009F4766" w:rsidP="00C917D6">
            <w:pPr>
              <w:pStyle w:val="NormalLeft"/>
              <w:rPr>
                <w:sz w:val="14"/>
                <w:szCs w:val="14"/>
              </w:rPr>
            </w:pPr>
            <w:r w:rsidRPr="00DE12A3">
              <w:rPr>
                <w:sz w:val="14"/>
                <w:szCs w:val="14"/>
              </w:rPr>
              <w:t>2,160</w:t>
            </w:r>
          </w:p>
        </w:tc>
        <w:tc>
          <w:tcPr>
            <w:tcW w:w="465" w:type="dxa"/>
            <w:tcBorders>
              <w:top w:val="single" w:sz="2" w:space="0" w:color="auto"/>
              <w:left w:val="single" w:sz="2" w:space="0" w:color="auto"/>
              <w:bottom w:val="single" w:sz="2" w:space="0" w:color="auto"/>
              <w:right w:val="single" w:sz="2" w:space="0" w:color="auto"/>
            </w:tcBorders>
          </w:tcPr>
          <w:p w14:paraId="2012966A" w14:textId="77777777" w:rsidR="009F4766" w:rsidRPr="00DE12A3" w:rsidRDefault="009F4766" w:rsidP="00C917D6">
            <w:pPr>
              <w:pStyle w:val="NormalLeft"/>
              <w:rPr>
                <w:sz w:val="14"/>
                <w:szCs w:val="14"/>
              </w:rPr>
            </w:pPr>
            <w:r w:rsidRPr="00DE12A3">
              <w:rPr>
                <w:sz w:val="14"/>
                <w:szCs w:val="14"/>
              </w:rPr>
              <w:t>2,114</w:t>
            </w:r>
          </w:p>
        </w:tc>
        <w:tc>
          <w:tcPr>
            <w:tcW w:w="464" w:type="dxa"/>
            <w:tcBorders>
              <w:top w:val="single" w:sz="2" w:space="0" w:color="auto"/>
              <w:left w:val="single" w:sz="2" w:space="0" w:color="auto"/>
              <w:bottom w:val="single" w:sz="2" w:space="0" w:color="auto"/>
              <w:right w:val="single" w:sz="2" w:space="0" w:color="auto"/>
            </w:tcBorders>
          </w:tcPr>
          <w:p w14:paraId="04211736" w14:textId="77777777" w:rsidR="009F4766" w:rsidRPr="00DE12A3" w:rsidRDefault="009F4766" w:rsidP="00C917D6">
            <w:pPr>
              <w:pStyle w:val="NormalLeft"/>
              <w:rPr>
                <w:sz w:val="14"/>
                <w:szCs w:val="14"/>
              </w:rPr>
            </w:pPr>
            <w:r w:rsidRPr="00DE12A3">
              <w:rPr>
                <w:sz w:val="14"/>
                <w:szCs w:val="14"/>
              </w:rPr>
              <w:t>2,066</w:t>
            </w:r>
          </w:p>
        </w:tc>
      </w:tr>
      <w:tr w:rsidR="00DE12A3" w:rsidRPr="00DE12A3" w14:paraId="37192D71" w14:textId="77777777" w:rsidTr="009F4766">
        <w:tc>
          <w:tcPr>
            <w:tcW w:w="464" w:type="dxa"/>
            <w:tcBorders>
              <w:top w:val="single" w:sz="2" w:space="0" w:color="auto"/>
              <w:left w:val="single" w:sz="2" w:space="0" w:color="auto"/>
              <w:bottom w:val="single" w:sz="2" w:space="0" w:color="auto"/>
              <w:right w:val="single" w:sz="2" w:space="0" w:color="auto"/>
            </w:tcBorders>
          </w:tcPr>
          <w:p w14:paraId="5A661308" w14:textId="77777777" w:rsidR="009F4766" w:rsidRPr="00DE12A3" w:rsidRDefault="009F4766" w:rsidP="00C917D6">
            <w:pPr>
              <w:pStyle w:val="NormalLeft"/>
              <w:rPr>
                <w:sz w:val="14"/>
                <w:szCs w:val="14"/>
              </w:rPr>
            </w:pPr>
            <w:r w:rsidRPr="00DE12A3">
              <w:rPr>
                <w:sz w:val="14"/>
                <w:szCs w:val="14"/>
              </w:rPr>
              <w:t>16</w:t>
            </w:r>
          </w:p>
        </w:tc>
        <w:tc>
          <w:tcPr>
            <w:tcW w:w="465" w:type="dxa"/>
            <w:tcBorders>
              <w:top w:val="single" w:sz="2" w:space="0" w:color="auto"/>
              <w:left w:val="single" w:sz="2" w:space="0" w:color="auto"/>
              <w:bottom w:val="single" w:sz="2" w:space="0" w:color="auto"/>
              <w:right w:val="single" w:sz="2" w:space="0" w:color="auto"/>
            </w:tcBorders>
          </w:tcPr>
          <w:p w14:paraId="18F4F83E" w14:textId="77777777" w:rsidR="009F4766" w:rsidRPr="00DE12A3" w:rsidRDefault="009F4766" w:rsidP="00C917D6">
            <w:pPr>
              <w:pStyle w:val="NormalLeft"/>
              <w:rPr>
                <w:sz w:val="14"/>
                <w:szCs w:val="14"/>
              </w:rPr>
            </w:pPr>
            <w:r w:rsidRPr="00DE12A3">
              <w:rPr>
                <w:sz w:val="14"/>
                <w:szCs w:val="14"/>
              </w:rPr>
              <w:t>4,494</w:t>
            </w:r>
          </w:p>
        </w:tc>
        <w:tc>
          <w:tcPr>
            <w:tcW w:w="464" w:type="dxa"/>
            <w:tcBorders>
              <w:top w:val="single" w:sz="2" w:space="0" w:color="auto"/>
              <w:left w:val="single" w:sz="2" w:space="0" w:color="auto"/>
              <w:bottom w:val="single" w:sz="2" w:space="0" w:color="auto"/>
              <w:right w:val="single" w:sz="2" w:space="0" w:color="auto"/>
            </w:tcBorders>
          </w:tcPr>
          <w:p w14:paraId="08E4304D" w14:textId="77777777" w:rsidR="009F4766" w:rsidRPr="00DE12A3" w:rsidRDefault="009F4766" w:rsidP="00C917D6">
            <w:pPr>
              <w:pStyle w:val="NormalLeft"/>
              <w:rPr>
                <w:sz w:val="14"/>
                <w:szCs w:val="14"/>
              </w:rPr>
            </w:pPr>
            <w:r w:rsidRPr="00DE12A3">
              <w:rPr>
                <w:sz w:val="14"/>
                <w:szCs w:val="14"/>
              </w:rPr>
              <w:t>3,634</w:t>
            </w:r>
          </w:p>
        </w:tc>
        <w:tc>
          <w:tcPr>
            <w:tcW w:w="464" w:type="dxa"/>
            <w:tcBorders>
              <w:top w:val="single" w:sz="2" w:space="0" w:color="auto"/>
              <w:left w:val="single" w:sz="2" w:space="0" w:color="auto"/>
              <w:bottom w:val="single" w:sz="2" w:space="0" w:color="auto"/>
              <w:right w:val="single" w:sz="2" w:space="0" w:color="auto"/>
            </w:tcBorders>
          </w:tcPr>
          <w:p w14:paraId="351DC248" w14:textId="77777777" w:rsidR="009F4766" w:rsidRPr="00DE12A3" w:rsidRDefault="009F4766" w:rsidP="00C917D6">
            <w:pPr>
              <w:pStyle w:val="NormalLeft"/>
              <w:rPr>
                <w:sz w:val="14"/>
                <w:szCs w:val="14"/>
              </w:rPr>
            </w:pPr>
            <w:r w:rsidRPr="00DE12A3">
              <w:rPr>
                <w:sz w:val="14"/>
                <w:szCs w:val="14"/>
              </w:rPr>
              <w:t>3,239</w:t>
            </w:r>
          </w:p>
        </w:tc>
        <w:tc>
          <w:tcPr>
            <w:tcW w:w="465" w:type="dxa"/>
            <w:tcBorders>
              <w:top w:val="single" w:sz="2" w:space="0" w:color="auto"/>
              <w:left w:val="single" w:sz="2" w:space="0" w:color="auto"/>
              <w:bottom w:val="single" w:sz="2" w:space="0" w:color="auto"/>
              <w:right w:val="single" w:sz="2" w:space="0" w:color="auto"/>
            </w:tcBorders>
          </w:tcPr>
          <w:p w14:paraId="51B3027F" w14:textId="77777777" w:rsidR="009F4766" w:rsidRPr="00DE12A3" w:rsidRDefault="009F4766" w:rsidP="00C917D6">
            <w:pPr>
              <w:pStyle w:val="NormalLeft"/>
              <w:rPr>
                <w:sz w:val="14"/>
                <w:szCs w:val="14"/>
              </w:rPr>
            </w:pPr>
            <w:r w:rsidRPr="00DE12A3">
              <w:rPr>
                <w:sz w:val="14"/>
                <w:szCs w:val="14"/>
              </w:rPr>
              <w:t>3,007</w:t>
            </w:r>
          </w:p>
        </w:tc>
        <w:tc>
          <w:tcPr>
            <w:tcW w:w="464" w:type="dxa"/>
            <w:tcBorders>
              <w:top w:val="single" w:sz="2" w:space="0" w:color="auto"/>
              <w:left w:val="single" w:sz="2" w:space="0" w:color="auto"/>
              <w:bottom w:val="single" w:sz="2" w:space="0" w:color="auto"/>
              <w:right w:val="single" w:sz="2" w:space="0" w:color="auto"/>
            </w:tcBorders>
          </w:tcPr>
          <w:p w14:paraId="5B73A0C5" w14:textId="77777777" w:rsidR="009F4766" w:rsidRPr="00DE12A3" w:rsidRDefault="009F4766" w:rsidP="00C917D6">
            <w:pPr>
              <w:pStyle w:val="NormalLeft"/>
              <w:rPr>
                <w:sz w:val="14"/>
                <w:szCs w:val="14"/>
              </w:rPr>
            </w:pPr>
            <w:r w:rsidRPr="00DE12A3">
              <w:rPr>
                <w:sz w:val="14"/>
                <w:szCs w:val="14"/>
              </w:rPr>
              <w:t>2,852</w:t>
            </w:r>
          </w:p>
        </w:tc>
        <w:tc>
          <w:tcPr>
            <w:tcW w:w="464" w:type="dxa"/>
            <w:tcBorders>
              <w:top w:val="single" w:sz="2" w:space="0" w:color="auto"/>
              <w:left w:val="single" w:sz="2" w:space="0" w:color="auto"/>
              <w:bottom w:val="single" w:sz="2" w:space="0" w:color="auto"/>
              <w:right w:val="single" w:sz="2" w:space="0" w:color="auto"/>
            </w:tcBorders>
          </w:tcPr>
          <w:p w14:paraId="7DEB8F36" w14:textId="77777777" w:rsidR="009F4766" w:rsidRPr="00DE12A3" w:rsidRDefault="009F4766" w:rsidP="00C917D6">
            <w:pPr>
              <w:pStyle w:val="NormalLeft"/>
              <w:rPr>
                <w:sz w:val="14"/>
                <w:szCs w:val="14"/>
              </w:rPr>
            </w:pPr>
            <w:r w:rsidRPr="00DE12A3">
              <w:rPr>
                <w:sz w:val="14"/>
                <w:szCs w:val="14"/>
              </w:rPr>
              <w:t>2,741</w:t>
            </w:r>
          </w:p>
        </w:tc>
        <w:tc>
          <w:tcPr>
            <w:tcW w:w="464" w:type="dxa"/>
            <w:tcBorders>
              <w:top w:val="single" w:sz="2" w:space="0" w:color="auto"/>
              <w:left w:val="single" w:sz="2" w:space="0" w:color="auto"/>
              <w:bottom w:val="single" w:sz="2" w:space="0" w:color="auto"/>
              <w:right w:val="single" w:sz="2" w:space="0" w:color="auto"/>
            </w:tcBorders>
          </w:tcPr>
          <w:p w14:paraId="50E20F2A" w14:textId="77777777" w:rsidR="009F4766" w:rsidRPr="00DE12A3" w:rsidRDefault="009F4766" w:rsidP="00C917D6">
            <w:pPr>
              <w:pStyle w:val="NormalLeft"/>
              <w:rPr>
                <w:sz w:val="14"/>
                <w:szCs w:val="14"/>
              </w:rPr>
            </w:pPr>
            <w:r w:rsidRPr="00DE12A3">
              <w:rPr>
                <w:sz w:val="14"/>
                <w:szCs w:val="14"/>
              </w:rPr>
              <w:t>2,657</w:t>
            </w:r>
          </w:p>
        </w:tc>
        <w:tc>
          <w:tcPr>
            <w:tcW w:w="465" w:type="dxa"/>
            <w:tcBorders>
              <w:top w:val="single" w:sz="2" w:space="0" w:color="auto"/>
              <w:left w:val="single" w:sz="2" w:space="0" w:color="auto"/>
              <w:bottom w:val="single" w:sz="2" w:space="0" w:color="auto"/>
              <w:right w:val="single" w:sz="2" w:space="0" w:color="auto"/>
            </w:tcBorders>
          </w:tcPr>
          <w:p w14:paraId="0B6CA48A" w14:textId="77777777" w:rsidR="009F4766" w:rsidRPr="00DE12A3" w:rsidRDefault="009F4766" w:rsidP="00C917D6">
            <w:pPr>
              <w:pStyle w:val="NormalLeft"/>
              <w:rPr>
                <w:sz w:val="14"/>
                <w:szCs w:val="14"/>
              </w:rPr>
            </w:pPr>
            <w:r w:rsidRPr="00DE12A3">
              <w:rPr>
                <w:sz w:val="14"/>
                <w:szCs w:val="14"/>
              </w:rPr>
              <w:t>2,591</w:t>
            </w:r>
          </w:p>
        </w:tc>
        <w:tc>
          <w:tcPr>
            <w:tcW w:w="464" w:type="dxa"/>
            <w:tcBorders>
              <w:top w:val="single" w:sz="2" w:space="0" w:color="auto"/>
              <w:left w:val="single" w:sz="2" w:space="0" w:color="auto"/>
              <w:bottom w:val="single" w:sz="2" w:space="0" w:color="auto"/>
              <w:right w:val="single" w:sz="2" w:space="0" w:color="auto"/>
            </w:tcBorders>
          </w:tcPr>
          <w:p w14:paraId="61F0F349" w14:textId="77777777" w:rsidR="009F4766" w:rsidRPr="00DE12A3" w:rsidRDefault="009F4766" w:rsidP="00C917D6">
            <w:pPr>
              <w:pStyle w:val="NormalLeft"/>
              <w:rPr>
                <w:sz w:val="14"/>
                <w:szCs w:val="14"/>
              </w:rPr>
            </w:pPr>
            <w:r w:rsidRPr="00DE12A3">
              <w:rPr>
                <w:sz w:val="14"/>
                <w:szCs w:val="14"/>
              </w:rPr>
              <w:t>2,538</w:t>
            </w:r>
          </w:p>
        </w:tc>
        <w:tc>
          <w:tcPr>
            <w:tcW w:w="464" w:type="dxa"/>
            <w:tcBorders>
              <w:top w:val="single" w:sz="2" w:space="0" w:color="auto"/>
              <w:left w:val="single" w:sz="2" w:space="0" w:color="auto"/>
              <w:bottom w:val="single" w:sz="2" w:space="0" w:color="auto"/>
              <w:right w:val="single" w:sz="2" w:space="0" w:color="auto"/>
            </w:tcBorders>
          </w:tcPr>
          <w:p w14:paraId="73B2175A" w14:textId="77777777" w:rsidR="009F4766" w:rsidRPr="00DE12A3" w:rsidRDefault="009F4766" w:rsidP="00C917D6">
            <w:pPr>
              <w:pStyle w:val="NormalLeft"/>
              <w:rPr>
                <w:sz w:val="14"/>
                <w:szCs w:val="14"/>
              </w:rPr>
            </w:pPr>
            <w:r w:rsidRPr="00DE12A3">
              <w:rPr>
                <w:sz w:val="14"/>
                <w:szCs w:val="14"/>
              </w:rPr>
              <w:t>2,494</w:t>
            </w:r>
          </w:p>
        </w:tc>
        <w:tc>
          <w:tcPr>
            <w:tcW w:w="465" w:type="dxa"/>
            <w:tcBorders>
              <w:top w:val="single" w:sz="2" w:space="0" w:color="auto"/>
              <w:left w:val="single" w:sz="2" w:space="0" w:color="auto"/>
              <w:bottom w:val="single" w:sz="2" w:space="0" w:color="auto"/>
              <w:right w:val="single" w:sz="2" w:space="0" w:color="auto"/>
            </w:tcBorders>
          </w:tcPr>
          <w:p w14:paraId="1236BDC0" w14:textId="77777777" w:rsidR="009F4766" w:rsidRPr="00DE12A3" w:rsidRDefault="009F4766" w:rsidP="00C917D6">
            <w:pPr>
              <w:pStyle w:val="NormalLeft"/>
              <w:rPr>
                <w:sz w:val="14"/>
                <w:szCs w:val="14"/>
              </w:rPr>
            </w:pPr>
            <w:r w:rsidRPr="00DE12A3">
              <w:rPr>
                <w:sz w:val="14"/>
                <w:szCs w:val="14"/>
              </w:rPr>
              <w:t>2,425</w:t>
            </w:r>
          </w:p>
        </w:tc>
        <w:tc>
          <w:tcPr>
            <w:tcW w:w="464" w:type="dxa"/>
            <w:tcBorders>
              <w:top w:val="single" w:sz="2" w:space="0" w:color="auto"/>
              <w:left w:val="single" w:sz="2" w:space="0" w:color="auto"/>
              <w:bottom w:val="single" w:sz="2" w:space="0" w:color="auto"/>
              <w:right w:val="single" w:sz="2" w:space="0" w:color="auto"/>
            </w:tcBorders>
          </w:tcPr>
          <w:p w14:paraId="591A3183" w14:textId="77777777" w:rsidR="009F4766" w:rsidRPr="00DE12A3" w:rsidRDefault="009F4766" w:rsidP="00C917D6">
            <w:pPr>
              <w:pStyle w:val="NormalLeft"/>
              <w:rPr>
                <w:sz w:val="14"/>
                <w:szCs w:val="14"/>
              </w:rPr>
            </w:pPr>
            <w:r w:rsidRPr="00DE12A3">
              <w:rPr>
                <w:sz w:val="14"/>
                <w:szCs w:val="14"/>
              </w:rPr>
              <w:t>2,352</w:t>
            </w:r>
          </w:p>
        </w:tc>
        <w:tc>
          <w:tcPr>
            <w:tcW w:w="464" w:type="dxa"/>
            <w:tcBorders>
              <w:top w:val="single" w:sz="2" w:space="0" w:color="auto"/>
              <w:left w:val="single" w:sz="2" w:space="0" w:color="auto"/>
              <w:bottom w:val="single" w:sz="2" w:space="0" w:color="auto"/>
              <w:right w:val="single" w:sz="2" w:space="0" w:color="auto"/>
            </w:tcBorders>
          </w:tcPr>
          <w:p w14:paraId="5CEA425C" w14:textId="77777777" w:rsidR="009F4766" w:rsidRPr="00DE12A3" w:rsidRDefault="009F4766" w:rsidP="00C917D6">
            <w:pPr>
              <w:pStyle w:val="NormalLeft"/>
              <w:rPr>
                <w:sz w:val="14"/>
                <w:szCs w:val="14"/>
              </w:rPr>
            </w:pPr>
            <w:r w:rsidRPr="00DE12A3">
              <w:rPr>
                <w:sz w:val="14"/>
                <w:szCs w:val="14"/>
              </w:rPr>
              <w:t>2,276</w:t>
            </w:r>
          </w:p>
        </w:tc>
        <w:tc>
          <w:tcPr>
            <w:tcW w:w="465" w:type="dxa"/>
            <w:tcBorders>
              <w:top w:val="single" w:sz="2" w:space="0" w:color="auto"/>
              <w:left w:val="single" w:sz="2" w:space="0" w:color="auto"/>
              <w:bottom w:val="single" w:sz="2" w:space="0" w:color="auto"/>
              <w:right w:val="single" w:sz="2" w:space="0" w:color="auto"/>
            </w:tcBorders>
          </w:tcPr>
          <w:p w14:paraId="2200A01C" w14:textId="77777777" w:rsidR="009F4766" w:rsidRPr="00DE12A3" w:rsidRDefault="009F4766" w:rsidP="00C917D6">
            <w:pPr>
              <w:pStyle w:val="NormalLeft"/>
              <w:rPr>
                <w:sz w:val="14"/>
                <w:szCs w:val="14"/>
              </w:rPr>
            </w:pPr>
            <w:r w:rsidRPr="00DE12A3">
              <w:rPr>
                <w:sz w:val="14"/>
                <w:szCs w:val="14"/>
              </w:rPr>
              <w:t>2,235</w:t>
            </w:r>
          </w:p>
        </w:tc>
        <w:tc>
          <w:tcPr>
            <w:tcW w:w="464" w:type="dxa"/>
            <w:tcBorders>
              <w:top w:val="single" w:sz="2" w:space="0" w:color="auto"/>
              <w:left w:val="single" w:sz="2" w:space="0" w:color="auto"/>
              <w:bottom w:val="single" w:sz="2" w:space="0" w:color="auto"/>
              <w:right w:val="single" w:sz="2" w:space="0" w:color="auto"/>
            </w:tcBorders>
          </w:tcPr>
          <w:p w14:paraId="0D0B201A" w14:textId="77777777" w:rsidR="009F4766" w:rsidRPr="00DE12A3" w:rsidRDefault="009F4766" w:rsidP="00C917D6">
            <w:pPr>
              <w:pStyle w:val="NormalLeft"/>
              <w:rPr>
                <w:sz w:val="14"/>
                <w:szCs w:val="14"/>
              </w:rPr>
            </w:pPr>
            <w:r w:rsidRPr="00DE12A3">
              <w:rPr>
                <w:sz w:val="14"/>
                <w:szCs w:val="14"/>
              </w:rPr>
              <w:t>2,194</w:t>
            </w:r>
          </w:p>
        </w:tc>
        <w:tc>
          <w:tcPr>
            <w:tcW w:w="464" w:type="dxa"/>
            <w:tcBorders>
              <w:top w:val="single" w:sz="2" w:space="0" w:color="auto"/>
              <w:left w:val="single" w:sz="2" w:space="0" w:color="auto"/>
              <w:bottom w:val="single" w:sz="2" w:space="0" w:color="auto"/>
              <w:right w:val="single" w:sz="2" w:space="0" w:color="auto"/>
            </w:tcBorders>
          </w:tcPr>
          <w:p w14:paraId="7EDB3552" w14:textId="77777777" w:rsidR="009F4766" w:rsidRPr="00DE12A3" w:rsidRDefault="009F4766" w:rsidP="00C917D6">
            <w:pPr>
              <w:pStyle w:val="NormalLeft"/>
              <w:rPr>
                <w:sz w:val="14"/>
                <w:szCs w:val="14"/>
              </w:rPr>
            </w:pPr>
            <w:r w:rsidRPr="00DE12A3">
              <w:rPr>
                <w:sz w:val="14"/>
                <w:szCs w:val="14"/>
              </w:rPr>
              <w:t>2,151</w:t>
            </w:r>
          </w:p>
        </w:tc>
        <w:tc>
          <w:tcPr>
            <w:tcW w:w="464" w:type="dxa"/>
            <w:tcBorders>
              <w:top w:val="single" w:sz="2" w:space="0" w:color="auto"/>
              <w:left w:val="single" w:sz="2" w:space="0" w:color="auto"/>
              <w:bottom w:val="single" w:sz="2" w:space="0" w:color="auto"/>
              <w:right w:val="single" w:sz="2" w:space="0" w:color="auto"/>
            </w:tcBorders>
          </w:tcPr>
          <w:p w14:paraId="3A998D9D" w14:textId="77777777" w:rsidR="009F4766" w:rsidRPr="00DE12A3" w:rsidRDefault="009F4766" w:rsidP="00C917D6">
            <w:pPr>
              <w:pStyle w:val="NormalLeft"/>
              <w:rPr>
                <w:sz w:val="14"/>
                <w:szCs w:val="14"/>
              </w:rPr>
            </w:pPr>
            <w:r w:rsidRPr="00DE12A3">
              <w:rPr>
                <w:sz w:val="14"/>
                <w:szCs w:val="14"/>
              </w:rPr>
              <w:t>2,106</w:t>
            </w:r>
          </w:p>
        </w:tc>
        <w:tc>
          <w:tcPr>
            <w:tcW w:w="465" w:type="dxa"/>
            <w:tcBorders>
              <w:top w:val="single" w:sz="2" w:space="0" w:color="auto"/>
              <w:left w:val="single" w:sz="2" w:space="0" w:color="auto"/>
              <w:bottom w:val="single" w:sz="2" w:space="0" w:color="auto"/>
              <w:right w:val="single" w:sz="2" w:space="0" w:color="auto"/>
            </w:tcBorders>
          </w:tcPr>
          <w:p w14:paraId="2FDA9F92" w14:textId="77777777" w:rsidR="009F4766" w:rsidRPr="00DE12A3" w:rsidRDefault="009F4766" w:rsidP="00C917D6">
            <w:pPr>
              <w:pStyle w:val="NormalLeft"/>
              <w:rPr>
                <w:sz w:val="14"/>
                <w:szCs w:val="14"/>
              </w:rPr>
            </w:pPr>
            <w:r w:rsidRPr="00DE12A3">
              <w:rPr>
                <w:sz w:val="14"/>
                <w:szCs w:val="14"/>
              </w:rPr>
              <w:t>2,059</w:t>
            </w:r>
          </w:p>
        </w:tc>
        <w:tc>
          <w:tcPr>
            <w:tcW w:w="464" w:type="dxa"/>
            <w:tcBorders>
              <w:top w:val="single" w:sz="2" w:space="0" w:color="auto"/>
              <w:left w:val="single" w:sz="2" w:space="0" w:color="auto"/>
              <w:bottom w:val="single" w:sz="2" w:space="0" w:color="auto"/>
              <w:right w:val="single" w:sz="2" w:space="0" w:color="auto"/>
            </w:tcBorders>
          </w:tcPr>
          <w:p w14:paraId="71286E37" w14:textId="77777777" w:rsidR="009F4766" w:rsidRPr="00DE12A3" w:rsidRDefault="009F4766" w:rsidP="00C917D6">
            <w:pPr>
              <w:pStyle w:val="NormalLeft"/>
              <w:rPr>
                <w:sz w:val="14"/>
                <w:szCs w:val="14"/>
              </w:rPr>
            </w:pPr>
            <w:r w:rsidRPr="00DE12A3">
              <w:rPr>
                <w:sz w:val="14"/>
                <w:szCs w:val="14"/>
              </w:rPr>
              <w:t>2,010</w:t>
            </w:r>
          </w:p>
        </w:tc>
      </w:tr>
      <w:tr w:rsidR="00DE12A3" w:rsidRPr="00DE12A3" w14:paraId="244EAA5C" w14:textId="77777777" w:rsidTr="009F4766">
        <w:tc>
          <w:tcPr>
            <w:tcW w:w="464" w:type="dxa"/>
            <w:tcBorders>
              <w:top w:val="single" w:sz="2" w:space="0" w:color="auto"/>
              <w:left w:val="single" w:sz="2" w:space="0" w:color="auto"/>
              <w:bottom w:val="single" w:sz="2" w:space="0" w:color="auto"/>
              <w:right w:val="single" w:sz="2" w:space="0" w:color="auto"/>
            </w:tcBorders>
          </w:tcPr>
          <w:p w14:paraId="5BF10C75" w14:textId="77777777" w:rsidR="009F4766" w:rsidRPr="00DE12A3" w:rsidRDefault="009F4766" w:rsidP="00C917D6">
            <w:pPr>
              <w:pStyle w:val="NormalLeft"/>
              <w:rPr>
                <w:sz w:val="14"/>
                <w:szCs w:val="14"/>
              </w:rPr>
            </w:pPr>
            <w:r w:rsidRPr="00DE12A3">
              <w:rPr>
                <w:sz w:val="14"/>
                <w:szCs w:val="14"/>
              </w:rPr>
              <w:t>17</w:t>
            </w:r>
          </w:p>
        </w:tc>
        <w:tc>
          <w:tcPr>
            <w:tcW w:w="465" w:type="dxa"/>
            <w:tcBorders>
              <w:top w:val="single" w:sz="2" w:space="0" w:color="auto"/>
              <w:left w:val="single" w:sz="2" w:space="0" w:color="auto"/>
              <w:bottom w:val="single" w:sz="2" w:space="0" w:color="auto"/>
              <w:right w:val="single" w:sz="2" w:space="0" w:color="auto"/>
            </w:tcBorders>
          </w:tcPr>
          <w:p w14:paraId="4977DE7D" w14:textId="77777777" w:rsidR="009F4766" w:rsidRPr="00DE12A3" w:rsidRDefault="009F4766" w:rsidP="00C917D6">
            <w:pPr>
              <w:pStyle w:val="NormalLeft"/>
              <w:rPr>
                <w:sz w:val="14"/>
                <w:szCs w:val="14"/>
              </w:rPr>
            </w:pPr>
            <w:r w:rsidRPr="00DE12A3">
              <w:rPr>
                <w:sz w:val="14"/>
                <w:szCs w:val="14"/>
              </w:rPr>
              <w:t>4,451</w:t>
            </w:r>
          </w:p>
        </w:tc>
        <w:tc>
          <w:tcPr>
            <w:tcW w:w="464" w:type="dxa"/>
            <w:tcBorders>
              <w:top w:val="single" w:sz="2" w:space="0" w:color="auto"/>
              <w:left w:val="single" w:sz="2" w:space="0" w:color="auto"/>
              <w:bottom w:val="single" w:sz="2" w:space="0" w:color="auto"/>
              <w:right w:val="single" w:sz="2" w:space="0" w:color="auto"/>
            </w:tcBorders>
          </w:tcPr>
          <w:p w14:paraId="169F302A" w14:textId="77777777" w:rsidR="009F4766" w:rsidRPr="00DE12A3" w:rsidRDefault="009F4766" w:rsidP="00C917D6">
            <w:pPr>
              <w:pStyle w:val="NormalLeft"/>
              <w:rPr>
                <w:sz w:val="14"/>
                <w:szCs w:val="14"/>
              </w:rPr>
            </w:pPr>
            <w:r w:rsidRPr="00DE12A3">
              <w:rPr>
                <w:sz w:val="14"/>
                <w:szCs w:val="14"/>
              </w:rPr>
              <w:t>3,592</w:t>
            </w:r>
          </w:p>
        </w:tc>
        <w:tc>
          <w:tcPr>
            <w:tcW w:w="464" w:type="dxa"/>
            <w:tcBorders>
              <w:top w:val="single" w:sz="2" w:space="0" w:color="auto"/>
              <w:left w:val="single" w:sz="2" w:space="0" w:color="auto"/>
              <w:bottom w:val="single" w:sz="2" w:space="0" w:color="auto"/>
              <w:right w:val="single" w:sz="2" w:space="0" w:color="auto"/>
            </w:tcBorders>
          </w:tcPr>
          <w:p w14:paraId="74076B0F" w14:textId="77777777" w:rsidR="009F4766" w:rsidRPr="00DE12A3" w:rsidRDefault="009F4766" w:rsidP="00C917D6">
            <w:pPr>
              <w:pStyle w:val="NormalLeft"/>
              <w:rPr>
                <w:sz w:val="14"/>
                <w:szCs w:val="14"/>
              </w:rPr>
            </w:pPr>
            <w:r w:rsidRPr="00DE12A3">
              <w:rPr>
                <w:sz w:val="14"/>
                <w:szCs w:val="14"/>
              </w:rPr>
              <w:t>3,197</w:t>
            </w:r>
          </w:p>
        </w:tc>
        <w:tc>
          <w:tcPr>
            <w:tcW w:w="465" w:type="dxa"/>
            <w:tcBorders>
              <w:top w:val="single" w:sz="2" w:space="0" w:color="auto"/>
              <w:left w:val="single" w:sz="2" w:space="0" w:color="auto"/>
              <w:bottom w:val="single" w:sz="2" w:space="0" w:color="auto"/>
              <w:right w:val="single" w:sz="2" w:space="0" w:color="auto"/>
            </w:tcBorders>
          </w:tcPr>
          <w:p w14:paraId="5BA31A4E" w14:textId="77777777" w:rsidR="009F4766" w:rsidRPr="00DE12A3" w:rsidRDefault="009F4766" w:rsidP="00C917D6">
            <w:pPr>
              <w:pStyle w:val="NormalLeft"/>
              <w:rPr>
                <w:sz w:val="14"/>
                <w:szCs w:val="14"/>
              </w:rPr>
            </w:pPr>
            <w:r w:rsidRPr="00DE12A3">
              <w:rPr>
                <w:sz w:val="14"/>
                <w:szCs w:val="14"/>
              </w:rPr>
              <w:t>2,965</w:t>
            </w:r>
          </w:p>
        </w:tc>
        <w:tc>
          <w:tcPr>
            <w:tcW w:w="464" w:type="dxa"/>
            <w:tcBorders>
              <w:top w:val="single" w:sz="2" w:space="0" w:color="auto"/>
              <w:left w:val="single" w:sz="2" w:space="0" w:color="auto"/>
              <w:bottom w:val="single" w:sz="2" w:space="0" w:color="auto"/>
              <w:right w:val="single" w:sz="2" w:space="0" w:color="auto"/>
            </w:tcBorders>
          </w:tcPr>
          <w:p w14:paraId="1B3505EB" w14:textId="77777777" w:rsidR="009F4766" w:rsidRPr="00DE12A3" w:rsidRDefault="009F4766" w:rsidP="00C917D6">
            <w:pPr>
              <w:pStyle w:val="NormalLeft"/>
              <w:rPr>
                <w:sz w:val="14"/>
                <w:szCs w:val="14"/>
              </w:rPr>
            </w:pPr>
            <w:r w:rsidRPr="00DE12A3">
              <w:rPr>
                <w:sz w:val="14"/>
                <w:szCs w:val="14"/>
              </w:rPr>
              <w:t>2,810</w:t>
            </w:r>
          </w:p>
        </w:tc>
        <w:tc>
          <w:tcPr>
            <w:tcW w:w="464" w:type="dxa"/>
            <w:tcBorders>
              <w:top w:val="single" w:sz="2" w:space="0" w:color="auto"/>
              <w:left w:val="single" w:sz="2" w:space="0" w:color="auto"/>
              <w:bottom w:val="single" w:sz="2" w:space="0" w:color="auto"/>
              <w:right w:val="single" w:sz="2" w:space="0" w:color="auto"/>
            </w:tcBorders>
          </w:tcPr>
          <w:p w14:paraId="5C30CB35" w14:textId="77777777" w:rsidR="009F4766" w:rsidRPr="00DE12A3" w:rsidRDefault="009F4766" w:rsidP="00C917D6">
            <w:pPr>
              <w:pStyle w:val="NormalLeft"/>
              <w:rPr>
                <w:sz w:val="14"/>
                <w:szCs w:val="14"/>
              </w:rPr>
            </w:pPr>
            <w:r w:rsidRPr="00DE12A3">
              <w:rPr>
                <w:sz w:val="14"/>
                <w:szCs w:val="14"/>
              </w:rPr>
              <w:t>2,699</w:t>
            </w:r>
          </w:p>
        </w:tc>
        <w:tc>
          <w:tcPr>
            <w:tcW w:w="464" w:type="dxa"/>
            <w:tcBorders>
              <w:top w:val="single" w:sz="2" w:space="0" w:color="auto"/>
              <w:left w:val="single" w:sz="2" w:space="0" w:color="auto"/>
              <w:bottom w:val="single" w:sz="2" w:space="0" w:color="auto"/>
              <w:right w:val="single" w:sz="2" w:space="0" w:color="auto"/>
            </w:tcBorders>
          </w:tcPr>
          <w:p w14:paraId="56F08AFE" w14:textId="77777777" w:rsidR="009F4766" w:rsidRPr="00DE12A3" w:rsidRDefault="009F4766" w:rsidP="00C917D6">
            <w:pPr>
              <w:pStyle w:val="NormalLeft"/>
              <w:rPr>
                <w:sz w:val="14"/>
                <w:szCs w:val="14"/>
              </w:rPr>
            </w:pPr>
            <w:r w:rsidRPr="00DE12A3">
              <w:rPr>
                <w:sz w:val="14"/>
                <w:szCs w:val="14"/>
              </w:rPr>
              <w:t>2,614</w:t>
            </w:r>
          </w:p>
        </w:tc>
        <w:tc>
          <w:tcPr>
            <w:tcW w:w="465" w:type="dxa"/>
            <w:tcBorders>
              <w:top w:val="single" w:sz="2" w:space="0" w:color="auto"/>
              <w:left w:val="single" w:sz="2" w:space="0" w:color="auto"/>
              <w:bottom w:val="single" w:sz="2" w:space="0" w:color="auto"/>
              <w:right w:val="single" w:sz="2" w:space="0" w:color="auto"/>
            </w:tcBorders>
          </w:tcPr>
          <w:p w14:paraId="65110AD6" w14:textId="77777777" w:rsidR="009F4766" w:rsidRPr="00DE12A3" w:rsidRDefault="009F4766" w:rsidP="00C917D6">
            <w:pPr>
              <w:pStyle w:val="NormalLeft"/>
              <w:rPr>
                <w:sz w:val="14"/>
                <w:szCs w:val="14"/>
              </w:rPr>
            </w:pPr>
            <w:r w:rsidRPr="00DE12A3">
              <w:rPr>
                <w:sz w:val="14"/>
                <w:szCs w:val="14"/>
              </w:rPr>
              <w:t>2,548</w:t>
            </w:r>
          </w:p>
        </w:tc>
        <w:tc>
          <w:tcPr>
            <w:tcW w:w="464" w:type="dxa"/>
            <w:tcBorders>
              <w:top w:val="single" w:sz="2" w:space="0" w:color="auto"/>
              <w:left w:val="single" w:sz="2" w:space="0" w:color="auto"/>
              <w:bottom w:val="single" w:sz="2" w:space="0" w:color="auto"/>
              <w:right w:val="single" w:sz="2" w:space="0" w:color="auto"/>
            </w:tcBorders>
          </w:tcPr>
          <w:p w14:paraId="59D9A867" w14:textId="77777777" w:rsidR="009F4766" w:rsidRPr="00DE12A3" w:rsidRDefault="009F4766" w:rsidP="00C917D6">
            <w:pPr>
              <w:pStyle w:val="NormalLeft"/>
              <w:rPr>
                <w:sz w:val="14"/>
                <w:szCs w:val="14"/>
              </w:rPr>
            </w:pPr>
            <w:r w:rsidRPr="00DE12A3">
              <w:rPr>
                <w:sz w:val="14"/>
                <w:szCs w:val="14"/>
              </w:rPr>
              <w:t>2,494</w:t>
            </w:r>
          </w:p>
        </w:tc>
        <w:tc>
          <w:tcPr>
            <w:tcW w:w="464" w:type="dxa"/>
            <w:tcBorders>
              <w:top w:val="single" w:sz="2" w:space="0" w:color="auto"/>
              <w:left w:val="single" w:sz="2" w:space="0" w:color="auto"/>
              <w:bottom w:val="single" w:sz="2" w:space="0" w:color="auto"/>
              <w:right w:val="single" w:sz="2" w:space="0" w:color="auto"/>
            </w:tcBorders>
          </w:tcPr>
          <w:p w14:paraId="0E1E7081" w14:textId="77777777" w:rsidR="009F4766" w:rsidRPr="00DE12A3" w:rsidRDefault="009F4766" w:rsidP="00C917D6">
            <w:pPr>
              <w:pStyle w:val="NormalLeft"/>
              <w:rPr>
                <w:sz w:val="14"/>
                <w:szCs w:val="14"/>
              </w:rPr>
            </w:pPr>
            <w:r w:rsidRPr="00DE12A3">
              <w:rPr>
                <w:sz w:val="14"/>
                <w:szCs w:val="14"/>
              </w:rPr>
              <w:t>2,450</w:t>
            </w:r>
          </w:p>
        </w:tc>
        <w:tc>
          <w:tcPr>
            <w:tcW w:w="465" w:type="dxa"/>
            <w:tcBorders>
              <w:top w:val="single" w:sz="2" w:space="0" w:color="auto"/>
              <w:left w:val="single" w:sz="2" w:space="0" w:color="auto"/>
              <w:bottom w:val="single" w:sz="2" w:space="0" w:color="auto"/>
              <w:right w:val="single" w:sz="2" w:space="0" w:color="auto"/>
            </w:tcBorders>
          </w:tcPr>
          <w:p w14:paraId="40CECCB8" w14:textId="77777777" w:rsidR="009F4766" w:rsidRPr="00DE12A3" w:rsidRDefault="009F4766" w:rsidP="00C917D6">
            <w:pPr>
              <w:pStyle w:val="NormalLeft"/>
              <w:rPr>
                <w:sz w:val="14"/>
                <w:szCs w:val="14"/>
              </w:rPr>
            </w:pPr>
            <w:r w:rsidRPr="00DE12A3">
              <w:rPr>
                <w:sz w:val="14"/>
                <w:szCs w:val="14"/>
              </w:rPr>
              <w:t>2,381</w:t>
            </w:r>
          </w:p>
        </w:tc>
        <w:tc>
          <w:tcPr>
            <w:tcW w:w="464" w:type="dxa"/>
            <w:tcBorders>
              <w:top w:val="single" w:sz="2" w:space="0" w:color="auto"/>
              <w:left w:val="single" w:sz="2" w:space="0" w:color="auto"/>
              <w:bottom w:val="single" w:sz="2" w:space="0" w:color="auto"/>
              <w:right w:val="single" w:sz="2" w:space="0" w:color="auto"/>
            </w:tcBorders>
          </w:tcPr>
          <w:p w14:paraId="58909019" w14:textId="77777777" w:rsidR="009F4766" w:rsidRPr="00DE12A3" w:rsidRDefault="009F4766" w:rsidP="00C917D6">
            <w:pPr>
              <w:pStyle w:val="NormalLeft"/>
              <w:rPr>
                <w:sz w:val="14"/>
                <w:szCs w:val="14"/>
              </w:rPr>
            </w:pPr>
            <w:r w:rsidRPr="00DE12A3">
              <w:rPr>
                <w:sz w:val="14"/>
                <w:szCs w:val="14"/>
              </w:rPr>
              <w:t>2,308</w:t>
            </w:r>
          </w:p>
        </w:tc>
        <w:tc>
          <w:tcPr>
            <w:tcW w:w="464" w:type="dxa"/>
            <w:tcBorders>
              <w:top w:val="single" w:sz="2" w:space="0" w:color="auto"/>
              <w:left w:val="single" w:sz="2" w:space="0" w:color="auto"/>
              <w:bottom w:val="single" w:sz="2" w:space="0" w:color="auto"/>
              <w:right w:val="single" w:sz="2" w:space="0" w:color="auto"/>
            </w:tcBorders>
          </w:tcPr>
          <w:p w14:paraId="3CF50671" w14:textId="77777777" w:rsidR="009F4766" w:rsidRPr="00DE12A3" w:rsidRDefault="009F4766" w:rsidP="00C917D6">
            <w:pPr>
              <w:pStyle w:val="NormalLeft"/>
              <w:rPr>
                <w:sz w:val="14"/>
                <w:szCs w:val="14"/>
              </w:rPr>
            </w:pPr>
            <w:r w:rsidRPr="00DE12A3">
              <w:rPr>
                <w:sz w:val="14"/>
                <w:szCs w:val="14"/>
              </w:rPr>
              <w:t>2,230</w:t>
            </w:r>
          </w:p>
        </w:tc>
        <w:tc>
          <w:tcPr>
            <w:tcW w:w="465" w:type="dxa"/>
            <w:tcBorders>
              <w:top w:val="single" w:sz="2" w:space="0" w:color="auto"/>
              <w:left w:val="single" w:sz="2" w:space="0" w:color="auto"/>
              <w:bottom w:val="single" w:sz="2" w:space="0" w:color="auto"/>
              <w:right w:val="single" w:sz="2" w:space="0" w:color="auto"/>
            </w:tcBorders>
          </w:tcPr>
          <w:p w14:paraId="1F050474" w14:textId="77777777" w:rsidR="009F4766" w:rsidRPr="00DE12A3" w:rsidRDefault="009F4766" w:rsidP="00C917D6">
            <w:pPr>
              <w:pStyle w:val="NormalLeft"/>
              <w:rPr>
                <w:sz w:val="14"/>
                <w:szCs w:val="14"/>
              </w:rPr>
            </w:pPr>
            <w:r w:rsidRPr="00DE12A3">
              <w:rPr>
                <w:sz w:val="14"/>
                <w:szCs w:val="14"/>
              </w:rPr>
              <w:t>2,190</w:t>
            </w:r>
          </w:p>
        </w:tc>
        <w:tc>
          <w:tcPr>
            <w:tcW w:w="464" w:type="dxa"/>
            <w:tcBorders>
              <w:top w:val="single" w:sz="2" w:space="0" w:color="auto"/>
              <w:left w:val="single" w:sz="2" w:space="0" w:color="auto"/>
              <w:bottom w:val="single" w:sz="2" w:space="0" w:color="auto"/>
              <w:right w:val="single" w:sz="2" w:space="0" w:color="auto"/>
            </w:tcBorders>
          </w:tcPr>
          <w:p w14:paraId="1E88A318" w14:textId="77777777" w:rsidR="009F4766" w:rsidRPr="00DE12A3" w:rsidRDefault="009F4766" w:rsidP="00C917D6">
            <w:pPr>
              <w:pStyle w:val="NormalLeft"/>
              <w:rPr>
                <w:sz w:val="14"/>
                <w:szCs w:val="14"/>
              </w:rPr>
            </w:pPr>
            <w:r w:rsidRPr="00DE12A3">
              <w:rPr>
                <w:sz w:val="14"/>
                <w:szCs w:val="14"/>
              </w:rPr>
              <w:t>2,148</w:t>
            </w:r>
          </w:p>
        </w:tc>
        <w:tc>
          <w:tcPr>
            <w:tcW w:w="464" w:type="dxa"/>
            <w:tcBorders>
              <w:top w:val="single" w:sz="2" w:space="0" w:color="auto"/>
              <w:left w:val="single" w:sz="2" w:space="0" w:color="auto"/>
              <w:bottom w:val="single" w:sz="2" w:space="0" w:color="auto"/>
              <w:right w:val="single" w:sz="2" w:space="0" w:color="auto"/>
            </w:tcBorders>
          </w:tcPr>
          <w:p w14:paraId="7AE59819" w14:textId="77777777" w:rsidR="009F4766" w:rsidRPr="00DE12A3" w:rsidRDefault="009F4766" w:rsidP="00C917D6">
            <w:pPr>
              <w:pStyle w:val="NormalLeft"/>
              <w:rPr>
                <w:sz w:val="14"/>
                <w:szCs w:val="14"/>
              </w:rPr>
            </w:pPr>
            <w:r w:rsidRPr="00DE12A3">
              <w:rPr>
                <w:sz w:val="14"/>
                <w:szCs w:val="14"/>
              </w:rPr>
              <w:t>2,104</w:t>
            </w:r>
          </w:p>
        </w:tc>
        <w:tc>
          <w:tcPr>
            <w:tcW w:w="464" w:type="dxa"/>
            <w:tcBorders>
              <w:top w:val="single" w:sz="2" w:space="0" w:color="auto"/>
              <w:left w:val="single" w:sz="2" w:space="0" w:color="auto"/>
              <w:bottom w:val="single" w:sz="2" w:space="0" w:color="auto"/>
              <w:right w:val="single" w:sz="2" w:space="0" w:color="auto"/>
            </w:tcBorders>
          </w:tcPr>
          <w:p w14:paraId="5508E2C1" w14:textId="77777777" w:rsidR="009F4766" w:rsidRPr="00DE12A3" w:rsidRDefault="009F4766" w:rsidP="00C917D6">
            <w:pPr>
              <w:pStyle w:val="NormalLeft"/>
              <w:rPr>
                <w:sz w:val="14"/>
                <w:szCs w:val="14"/>
              </w:rPr>
            </w:pPr>
            <w:r w:rsidRPr="00DE12A3">
              <w:rPr>
                <w:sz w:val="14"/>
                <w:szCs w:val="14"/>
              </w:rPr>
              <w:t>2,058</w:t>
            </w:r>
          </w:p>
        </w:tc>
        <w:tc>
          <w:tcPr>
            <w:tcW w:w="465" w:type="dxa"/>
            <w:tcBorders>
              <w:top w:val="single" w:sz="2" w:space="0" w:color="auto"/>
              <w:left w:val="single" w:sz="2" w:space="0" w:color="auto"/>
              <w:bottom w:val="single" w:sz="2" w:space="0" w:color="auto"/>
              <w:right w:val="single" w:sz="2" w:space="0" w:color="auto"/>
            </w:tcBorders>
          </w:tcPr>
          <w:p w14:paraId="50EFE0B3" w14:textId="77777777" w:rsidR="009F4766" w:rsidRPr="00DE12A3" w:rsidRDefault="009F4766" w:rsidP="00C917D6">
            <w:pPr>
              <w:pStyle w:val="NormalLeft"/>
              <w:rPr>
                <w:sz w:val="14"/>
                <w:szCs w:val="14"/>
              </w:rPr>
            </w:pPr>
            <w:r w:rsidRPr="00DE12A3">
              <w:rPr>
                <w:sz w:val="14"/>
                <w:szCs w:val="14"/>
              </w:rPr>
              <w:t>2,011</w:t>
            </w:r>
          </w:p>
        </w:tc>
        <w:tc>
          <w:tcPr>
            <w:tcW w:w="464" w:type="dxa"/>
            <w:tcBorders>
              <w:top w:val="single" w:sz="2" w:space="0" w:color="auto"/>
              <w:left w:val="single" w:sz="2" w:space="0" w:color="auto"/>
              <w:bottom w:val="single" w:sz="2" w:space="0" w:color="auto"/>
              <w:right w:val="single" w:sz="2" w:space="0" w:color="auto"/>
            </w:tcBorders>
          </w:tcPr>
          <w:p w14:paraId="1D8C2406" w14:textId="77777777" w:rsidR="009F4766" w:rsidRPr="00DE12A3" w:rsidRDefault="009F4766" w:rsidP="00C917D6">
            <w:pPr>
              <w:pStyle w:val="NormalLeft"/>
              <w:rPr>
                <w:sz w:val="14"/>
                <w:szCs w:val="14"/>
              </w:rPr>
            </w:pPr>
            <w:r w:rsidRPr="00DE12A3">
              <w:rPr>
                <w:sz w:val="14"/>
                <w:szCs w:val="14"/>
              </w:rPr>
              <w:t>1,960</w:t>
            </w:r>
          </w:p>
        </w:tc>
      </w:tr>
      <w:tr w:rsidR="00DE12A3" w:rsidRPr="00DE12A3" w14:paraId="0A6A2613" w14:textId="77777777" w:rsidTr="009F4766">
        <w:tc>
          <w:tcPr>
            <w:tcW w:w="464" w:type="dxa"/>
            <w:tcBorders>
              <w:top w:val="single" w:sz="2" w:space="0" w:color="auto"/>
              <w:left w:val="single" w:sz="2" w:space="0" w:color="auto"/>
              <w:bottom w:val="single" w:sz="2" w:space="0" w:color="auto"/>
              <w:right w:val="single" w:sz="2" w:space="0" w:color="auto"/>
            </w:tcBorders>
          </w:tcPr>
          <w:p w14:paraId="78EA5D64" w14:textId="77777777" w:rsidR="009F4766" w:rsidRPr="00DE12A3" w:rsidRDefault="009F4766" w:rsidP="00C917D6">
            <w:pPr>
              <w:pStyle w:val="NormalLeft"/>
              <w:rPr>
                <w:sz w:val="14"/>
                <w:szCs w:val="14"/>
              </w:rPr>
            </w:pPr>
            <w:r w:rsidRPr="00DE12A3">
              <w:rPr>
                <w:sz w:val="14"/>
                <w:szCs w:val="14"/>
              </w:rPr>
              <w:t>18</w:t>
            </w:r>
          </w:p>
        </w:tc>
        <w:tc>
          <w:tcPr>
            <w:tcW w:w="465" w:type="dxa"/>
            <w:tcBorders>
              <w:top w:val="single" w:sz="2" w:space="0" w:color="auto"/>
              <w:left w:val="single" w:sz="2" w:space="0" w:color="auto"/>
              <w:bottom w:val="single" w:sz="2" w:space="0" w:color="auto"/>
              <w:right w:val="single" w:sz="2" w:space="0" w:color="auto"/>
            </w:tcBorders>
          </w:tcPr>
          <w:p w14:paraId="520DBA97" w14:textId="77777777" w:rsidR="009F4766" w:rsidRPr="00DE12A3" w:rsidRDefault="009F4766" w:rsidP="00C917D6">
            <w:pPr>
              <w:pStyle w:val="NormalLeft"/>
              <w:rPr>
                <w:sz w:val="14"/>
                <w:szCs w:val="14"/>
              </w:rPr>
            </w:pPr>
            <w:r w:rsidRPr="00DE12A3">
              <w:rPr>
                <w:sz w:val="14"/>
                <w:szCs w:val="14"/>
              </w:rPr>
              <w:t>4,414</w:t>
            </w:r>
          </w:p>
        </w:tc>
        <w:tc>
          <w:tcPr>
            <w:tcW w:w="464" w:type="dxa"/>
            <w:tcBorders>
              <w:top w:val="single" w:sz="2" w:space="0" w:color="auto"/>
              <w:left w:val="single" w:sz="2" w:space="0" w:color="auto"/>
              <w:bottom w:val="single" w:sz="2" w:space="0" w:color="auto"/>
              <w:right w:val="single" w:sz="2" w:space="0" w:color="auto"/>
            </w:tcBorders>
          </w:tcPr>
          <w:p w14:paraId="73BC1708" w14:textId="77777777" w:rsidR="009F4766" w:rsidRPr="00DE12A3" w:rsidRDefault="009F4766" w:rsidP="00C917D6">
            <w:pPr>
              <w:pStyle w:val="NormalLeft"/>
              <w:rPr>
                <w:sz w:val="14"/>
                <w:szCs w:val="14"/>
              </w:rPr>
            </w:pPr>
            <w:r w:rsidRPr="00DE12A3">
              <w:rPr>
                <w:sz w:val="14"/>
                <w:szCs w:val="14"/>
              </w:rPr>
              <w:t>3,555</w:t>
            </w:r>
          </w:p>
        </w:tc>
        <w:tc>
          <w:tcPr>
            <w:tcW w:w="464" w:type="dxa"/>
            <w:tcBorders>
              <w:top w:val="single" w:sz="2" w:space="0" w:color="auto"/>
              <w:left w:val="single" w:sz="2" w:space="0" w:color="auto"/>
              <w:bottom w:val="single" w:sz="2" w:space="0" w:color="auto"/>
              <w:right w:val="single" w:sz="2" w:space="0" w:color="auto"/>
            </w:tcBorders>
          </w:tcPr>
          <w:p w14:paraId="11CC887E" w14:textId="77777777" w:rsidR="009F4766" w:rsidRPr="00DE12A3" w:rsidRDefault="009F4766" w:rsidP="00C917D6">
            <w:pPr>
              <w:pStyle w:val="NormalLeft"/>
              <w:rPr>
                <w:sz w:val="14"/>
                <w:szCs w:val="14"/>
              </w:rPr>
            </w:pPr>
            <w:r w:rsidRPr="00DE12A3">
              <w:rPr>
                <w:sz w:val="14"/>
                <w:szCs w:val="14"/>
              </w:rPr>
              <w:t>3,160</w:t>
            </w:r>
          </w:p>
        </w:tc>
        <w:tc>
          <w:tcPr>
            <w:tcW w:w="465" w:type="dxa"/>
            <w:tcBorders>
              <w:top w:val="single" w:sz="2" w:space="0" w:color="auto"/>
              <w:left w:val="single" w:sz="2" w:space="0" w:color="auto"/>
              <w:bottom w:val="single" w:sz="2" w:space="0" w:color="auto"/>
              <w:right w:val="single" w:sz="2" w:space="0" w:color="auto"/>
            </w:tcBorders>
          </w:tcPr>
          <w:p w14:paraId="6E9D038A" w14:textId="77777777" w:rsidR="009F4766" w:rsidRPr="00DE12A3" w:rsidRDefault="009F4766" w:rsidP="00C917D6">
            <w:pPr>
              <w:pStyle w:val="NormalLeft"/>
              <w:rPr>
                <w:sz w:val="14"/>
                <w:szCs w:val="14"/>
              </w:rPr>
            </w:pPr>
            <w:r w:rsidRPr="00DE12A3">
              <w:rPr>
                <w:sz w:val="14"/>
                <w:szCs w:val="14"/>
              </w:rPr>
              <w:t>2,928</w:t>
            </w:r>
          </w:p>
        </w:tc>
        <w:tc>
          <w:tcPr>
            <w:tcW w:w="464" w:type="dxa"/>
            <w:tcBorders>
              <w:top w:val="single" w:sz="2" w:space="0" w:color="auto"/>
              <w:left w:val="single" w:sz="2" w:space="0" w:color="auto"/>
              <w:bottom w:val="single" w:sz="2" w:space="0" w:color="auto"/>
              <w:right w:val="single" w:sz="2" w:space="0" w:color="auto"/>
            </w:tcBorders>
          </w:tcPr>
          <w:p w14:paraId="189DC710" w14:textId="77777777" w:rsidR="009F4766" w:rsidRPr="00DE12A3" w:rsidRDefault="009F4766" w:rsidP="00C917D6">
            <w:pPr>
              <w:pStyle w:val="NormalLeft"/>
              <w:rPr>
                <w:sz w:val="14"/>
                <w:szCs w:val="14"/>
              </w:rPr>
            </w:pPr>
            <w:r w:rsidRPr="00DE12A3">
              <w:rPr>
                <w:sz w:val="14"/>
                <w:szCs w:val="14"/>
              </w:rPr>
              <w:t>2,773</w:t>
            </w:r>
          </w:p>
        </w:tc>
        <w:tc>
          <w:tcPr>
            <w:tcW w:w="464" w:type="dxa"/>
            <w:tcBorders>
              <w:top w:val="single" w:sz="2" w:space="0" w:color="auto"/>
              <w:left w:val="single" w:sz="2" w:space="0" w:color="auto"/>
              <w:bottom w:val="single" w:sz="2" w:space="0" w:color="auto"/>
              <w:right w:val="single" w:sz="2" w:space="0" w:color="auto"/>
            </w:tcBorders>
          </w:tcPr>
          <w:p w14:paraId="77EA6316" w14:textId="77777777" w:rsidR="009F4766" w:rsidRPr="00DE12A3" w:rsidRDefault="009F4766" w:rsidP="00C917D6">
            <w:pPr>
              <w:pStyle w:val="NormalLeft"/>
              <w:rPr>
                <w:sz w:val="14"/>
                <w:szCs w:val="14"/>
              </w:rPr>
            </w:pPr>
            <w:r w:rsidRPr="00DE12A3">
              <w:rPr>
                <w:sz w:val="14"/>
                <w:szCs w:val="14"/>
              </w:rPr>
              <w:t>2,661</w:t>
            </w:r>
          </w:p>
        </w:tc>
        <w:tc>
          <w:tcPr>
            <w:tcW w:w="464" w:type="dxa"/>
            <w:tcBorders>
              <w:top w:val="single" w:sz="2" w:space="0" w:color="auto"/>
              <w:left w:val="single" w:sz="2" w:space="0" w:color="auto"/>
              <w:bottom w:val="single" w:sz="2" w:space="0" w:color="auto"/>
              <w:right w:val="single" w:sz="2" w:space="0" w:color="auto"/>
            </w:tcBorders>
          </w:tcPr>
          <w:p w14:paraId="75E83E9F" w14:textId="77777777" w:rsidR="009F4766" w:rsidRPr="00DE12A3" w:rsidRDefault="009F4766" w:rsidP="00C917D6">
            <w:pPr>
              <w:pStyle w:val="NormalLeft"/>
              <w:rPr>
                <w:sz w:val="14"/>
                <w:szCs w:val="14"/>
              </w:rPr>
            </w:pPr>
            <w:r w:rsidRPr="00DE12A3">
              <w:rPr>
                <w:sz w:val="14"/>
                <w:szCs w:val="14"/>
              </w:rPr>
              <w:t>2,577</w:t>
            </w:r>
          </w:p>
        </w:tc>
        <w:tc>
          <w:tcPr>
            <w:tcW w:w="465" w:type="dxa"/>
            <w:tcBorders>
              <w:top w:val="single" w:sz="2" w:space="0" w:color="auto"/>
              <w:left w:val="single" w:sz="2" w:space="0" w:color="auto"/>
              <w:bottom w:val="single" w:sz="2" w:space="0" w:color="auto"/>
              <w:right w:val="single" w:sz="2" w:space="0" w:color="auto"/>
            </w:tcBorders>
          </w:tcPr>
          <w:p w14:paraId="69B74EDF" w14:textId="77777777" w:rsidR="009F4766" w:rsidRPr="00DE12A3" w:rsidRDefault="009F4766" w:rsidP="00C917D6">
            <w:pPr>
              <w:pStyle w:val="NormalLeft"/>
              <w:rPr>
                <w:sz w:val="14"/>
                <w:szCs w:val="14"/>
              </w:rPr>
            </w:pPr>
            <w:r w:rsidRPr="00DE12A3">
              <w:rPr>
                <w:sz w:val="14"/>
                <w:szCs w:val="14"/>
              </w:rPr>
              <w:t>2,510</w:t>
            </w:r>
          </w:p>
        </w:tc>
        <w:tc>
          <w:tcPr>
            <w:tcW w:w="464" w:type="dxa"/>
            <w:tcBorders>
              <w:top w:val="single" w:sz="2" w:space="0" w:color="auto"/>
              <w:left w:val="single" w:sz="2" w:space="0" w:color="auto"/>
              <w:bottom w:val="single" w:sz="2" w:space="0" w:color="auto"/>
              <w:right w:val="single" w:sz="2" w:space="0" w:color="auto"/>
            </w:tcBorders>
          </w:tcPr>
          <w:p w14:paraId="3859BD9E" w14:textId="77777777" w:rsidR="009F4766" w:rsidRPr="00DE12A3" w:rsidRDefault="009F4766" w:rsidP="00C917D6">
            <w:pPr>
              <w:pStyle w:val="NormalLeft"/>
              <w:rPr>
                <w:sz w:val="14"/>
                <w:szCs w:val="14"/>
              </w:rPr>
            </w:pPr>
            <w:r w:rsidRPr="00DE12A3">
              <w:rPr>
                <w:sz w:val="14"/>
                <w:szCs w:val="14"/>
              </w:rPr>
              <w:t>2,456</w:t>
            </w:r>
          </w:p>
        </w:tc>
        <w:tc>
          <w:tcPr>
            <w:tcW w:w="464" w:type="dxa"/>
            <w:tcBorders>
              <w:top w:val="single" w:sz="2" w:space="0" w:color="auto"/>
              <w:left w:val="single" w:sz="2" w:space="0" w:color="auto"/>
              <w:bottom w:val="single" w:sz="2" w:space="0" w:color="auto"/>
              <w:right w:val="single" w:sz="2" w:space="0" w:color="auto"/>
            </w:tcBorders>
          </w:tcPr>
          <w:p w14:paraId="65CC32DC" w14:textId="77777777" w:rsidR="009F4766" w:rsidRPr="00DE12A3" w:rsidRDefault="009F4766" w:rsidP="00C917D6">
            <w:pPr>
              <w:pStyle w:val="NormalLeft"/>
              <w:rPr>
                <w:sz w:val="14"/>
                <w:szCs w:val="14"/>
              </w:rPr>
            </w:pPr>
            <w:r w:rsidRPr="00DE12A3">
              <w:rPr>
                <w:sz w:val="14"/>
                <w:szCs w:val="14"/>
              </w:rPr>
              <w:t>2,412</w:t>
            </w:r>
          </w:p>
        </w:tc>
        <w:tc>
          <w:tcPr>
            <w:tcW w:w="465" w:type="dxa"/>
            <w:tcBorders>
              <w:top w:val="single" w:sz="2" w:space="0" w:color="auto"/>
              <w:left w:val="single" w:sz="2" w:space="0" w:color="auto"/>
              <w:bottom w:val="single" w:sz="2" w:space="0" w:color="auto"/>
              <w:right w:val="single" w:sz="2" w:space="0" w:color="auto"/>
            </w:tcBorders>
          </w:tcPr>
          <w:p w14:paraId="65C8014E" w14:textId="77777777" w:rsidR="009F4766" w:rsidRPr="00DE12A3" w:rsidRDefault="009F4766" w:rsidP="00C917D6">
            <w:pPr>
              <w:pStyle w:val="NormalLeft"/>
              <w:rPr>
                <w:sz w:val="14"/>
                <w:szCs w:val="14"/>
              </w:rPr>
            </w:pPr>
            <w:r w:rsidRPr="00DE12A3">
              <w:rPr>
                <w:sz w:val="14"/>
                <w:szCs w:val="14"/>
              </w:rPr>
              <w:t>2,342</w:t>
            </w:r>
          </w:p>
        </w:tc>
        <w:tc>
          <w:tcPr>
            <w:tcW w:w="464" w:type="dxa"/>
            <w:tcBorders>
              <w:top w:val="single" w:sz="2" w:space="0" w:color="auto"/>
              <w:left w:val="single" w:sz="2" w:space="0" w:color="auto"/>
              <w:bottom w:val="single" w:sz="2" w:space="0" w:color="auto"/>
              <w:right w:val="single" w:sz="2" w:space="0" w:color="auto"/>
            </w:tcBorders>
          </w:tcPr>
          <w:p w14:paraId="44E6EFF1" w14:textId="77777777" w:rsidR="009F4766" w:rsidRPr="00DE12A3" w:rsidRDefault="009F4766" w:rsidP="00C917D6">
            <w:pPr>
              <w:pStyle w:val="NormalLeft"/>
              <w:rPr>
                <w:sz w:val="14"/>
                <w:szCs w:val="14"/>
              </w:rPr>
            </w:pPr>
            <w:r w:rsidRPr="00DE12A3">
              <w:rPr>
                <w:sz w:val="14"/>
                <w:szCs w:val="14"/>
              </w:rPr>
              <w:t>2,269</w:t>
            </w:r>
          </w:p>
        </w:tc>
        <w:tc>
          <w:tcPr>
            <w:tcW w:w="464" w:type="dxa"/>
            <w:tcBorders>
              <w:top w:val="single" w:sz="2" w:space="0" w:color="auto"/>
              <w:left w:val="single" w:sz="2" w:space="0" w:color="auto"/>
              <w:bottom w:val="single" w:sz="2" w:space="0" w:color="auto"/>
              <w:right w:val="single" w:sz="2" w:space="0" w:color="auto"/>
            </w:tcBorders>
          </w:tcPr>
          <w:p w14:paraId="6A8FCBE3" w14:textId="77777777" w:rsidR="009F4766" w:rsidRPr="00DE12A3" w:rsidRDefault="009F4766" w:rsidP="00C917D6">
            <w:pPr>
              <w:pStyle w:val="NormalLeft"/>
              <w:rPr>
                <w:sz w:val="14"/>
                <w:szCs w:val="14"/>
              </w:rPr>
            </w:pPr>
            <w:r w:rsidRPr="00DE12A3">
              <w:rPr>
                <w:sz w:val="14"/>
                <w:szCs w:val="14"/>
              </w:rPr>
              <w:t>2,191</w:t>
            </w:r>
          </w:p>
        </w:tc>
        <w:tc>
          <w:tcPr>
            <w:tcW w:w="465" w:type="dxa"/>
            <w:tcBorders>
              <w:top w:val="single" w:sz="2" w:space="0" w:color="auto"/>
              <w:left w:val="single" w:sz="2" w:space="0" w:color="auto"/>
              <w:bottom w:val="single" w:sz="2" w:space="0" w:color="auto"/>
              <w:right w:val="single" w:sz="2" w:space="0" w:color="auto"/>
            </w:tcBorders>
          </w:tcPr>
          <w:p w14:paraId="298DAD6A" w14:textId="77777777" w:rsidR="009F4766" w:rsidRPr="00DE12A3" w:rsidRDefault="009F4766" w:rsidP="00C917D6">
            <w:pPr>
              <w:pStyle w:val="NormalLeft"/>
              <w:rPr>
                <w:sz w:val="14"/>
                <w:szCs w:val="14"/>
              </w:rPr>
            </w:pPr>
            <w:r w:rsidRPr="00DE12A3">
              <w:rPr>
                <w:sz w:val="14"/>
                <w:szCs w:val="14"/>
              </w:rPr>
              <w:t>2,150</w:t>
            </w:r>
          </w:p>
        </w:tc>
        <w:tc>
          <w:tcPr>
            <w:tcW w:w="464" w:type="dxa"/>
            <w:tcBorders>
              <w:top w:val="single" w:sz="2" w:space="0" w:color="auto"/>
              <w:left w:val="single" w:sz="2" w:space="0" w:color="auto"/>
              <w:bottom w:val="single" w:sz="2" w:space="0" w:color="auto"/>
              <w:right w:val="single" w:sz="2" w:space="0" w:color="auto"/>
            </w:tcBorders>
          </w:tcPr>
          <w:p w14:paraId="3B428F34" w14:textId="77777777" w:rsidR="009F4766" w:rsidRPr="00DE12A3" w:rsidRDefault="009F4766" w:rsidP="00C917D6">
            <w:pPr>
              <w:pStyle w:val="NormalLeft"/>
              <w:rPr>
                <w:sz w:val="14"/>
                <w:szCs w:val="14"/>
              </w:rPr>
            </w:pPr>
            <w:r w:rsidRPr="00DE12A3">
              <w:rPr>
                <w:sz w:val="14"/>
                <w:szCs w:val="14"/>
              </w:rPr>
              <w:t>2,107</w:t>
            </w:r>
          </w:p>
        </w:tc>
        <w:tc>
          <w:tcPr>
            <w:tcW w:w="464" w:type="dxa"/>
            <w:tcBorders>
              <w:top w:val="single" w:sz="2" w:space="0" w:color="auto"/>
              <w:left w:val="single" w:sz="2" w:space="0" w:color="auto"/>
              <w:bottom w:val="single" w:sz="2" w:space="0" w:color="auto"/>
              <w:right w:val="single" w:sz="2" w:space="0" w:color="auto"/>
            </w:tcBorders>
          </w:tcPr>
          <w:p w14:paraId="037C939D" w14:textId="77777777" w:rsidR="009F4766" w:rsidRPr="00DE12A3" w:rsidRDefault="009F4766" w:rsidP="00C917D6">
            <w:pPr>
              <w:pStyle w:val="NormalLeft"/>
              <w:rPr>
                <w:sz w:val="14"/>
                <w:szCs w:val="14"/>
              </w:rPr>
            </w:pPr>
            <w:r w:rsidRPr="00DE12A3">
              <w:rPr>
                <w:sz w:val="14"/>
                <w:szCs w:val="14"/>
              </w:rPr>
              <w:t>2,063</w:t>
            </w:r>
          </w:p>
        </w:tc>
        <w:tc>
          <w:tcPr>
            <w:tcW w:w="464" w:type="dxa"/>
            <w:tcBorders>
              <w:top w:val="single" w:sz="2" w:space="0" w:color="auto"/>
              <w:left w:val="single" w:sz="2" w:space="0" w:color="auto"/>
              <w:bottom w:val="single" w:sz="2" w:space="0" w:color="auto"/>
              <w:right w:val="single" w:sz="2" w:space="0" w:color="auto"/>
            </w:tcBorders>
          </w:tcPr>
          <w:p w14:paraId="5D3799B8" w14:textId="77777777" w:rsidR="009F4766" w:rsidRPr="00DE12A3" w:rsidRDefault="009F4766" w:rsidP="00C917D6">
            <w:pPr>
              <w:pStyle w:val="NormalLeft"/>
              <w:rPr>
                <w:sz w:val="14"/>
                <w:szCs w:val="14"/>
              </w:rPr>
            </w:pPr>
            <w:r w:rsidRPr="00DE12A3">
              <w:rPr>
                <w:sz w:val="14"/>
                <w:szCs w:val="14"/>
              </w:rPr>
              <w:t>2,017</w:t>
            </w:r>
          </w:p>
        </w:tc>
        <w:tc>
          <w:tcPr>
            <w:tcW w:w="465" w:type="dxa"/>
            <w:tcBorders>
              <w:top w:val="single" w:sz="2" w:space="0" w:color="auto"/>
              <w:left w:val="single" w:sz="2" w:space="0" w:color="auto"/>
              <w:bottom w:val="single" w:sz="2" w:space="0" w:color="auto"/>
              <w:right w:val="single" w:sz="2" w:space="0" w:color="auto"/>
            </w:tcBorders>
          </w:tcPr>
          <w:p w14:paraId="3910FDB6" w14:textId="77777777" w:rsidR="009F4766" w:rsidRPr="00DE12A3" w:rsidRDefault="009F4766" w:rsidP="00C917D6">
            <w:pPr>
              <w:pStyle w:val="NormalLeft"/>
              <w:rPr>
                <w:sz w:val="14"/>
                <w:szCs w:val="14"/>
              </w:rPr>
            </w:pPr>
            <w:r w:rsidRPr="00DE12A3">
              <w:rPr>
                <w:sz w:val="14"/>
                <w:szCs w:val="14"/>
              </w:rPr>
              <w:t>1,968</w:t>
            </w:r>
          </w:p>
        </w:tc>
        <w:tc>
          <w:tcPr>
            <w:tcW w:w="464" w:type="dxa"/>
            <w:tcBorders>
              <w:top w:val="single" w:sz="2" w:space="0" w:color="auto"/>
              <w:left w:val="single" w:sz="2" w:space="0" w:color="auto"/>
              <w:bottom w:val="single" w:sz="2" w:space="0" w:color="auto"/>
              <w:right w:val="single" w:sz="2" w:space="0" w:color="auto"/>
            </w:tcBorders>
          </w:tcPr>
          <w:p w14:paraId="5BE20F19" w14:textId="77777777" w:rsidR="009F4766" w:rsidRPr="00DE12A3" w:rsidRDefault="009F4766" w:rsidP="00C917D6">
            <w:pPr>
              <w:pStyle w:val="NormalLeft"/>
              <w:rPr>
                <w:sz w:val="14"/>
                <w:szCs w:val="14"/>
              </w:rPr>
            </w:pPr>
            <w:r w:rsidRPr="00DE12A3">
              <w:rPr>
                <w:sz w:val="14"/>
                <w:szCs w:val="14"/>
              </w:rPr>
              <w:t>1,917</w:t>
            </w:r>
          </w:p>
        </w:tc>
      </w:tr>
      <w:tr w:rsidR="00DE12A3" w:rsidRPr="00DE12A3" w14:paraId="0F690561" w14:textId="77777777" w:rsidTr="009F4766">
        <w:tc>
          <w:tcPr>
            <w:tcW w:w="464" w:type="dxa"/>
            <w:tcBorders>
              <w:top w:val="single" w:sz="2" w:space="0" w:color="auto"/>
              <w:left w:val="single" w:sz="2" w:space="0" w:color="auto"/>
              <w:bottom w:val="single" w:sz="2" w:space="0" w:color="auto"/>
              <w:right w:val="single" w:sz="2" w:space="0" w:color="auto"/>
            </w:tcBorders>
          </w:tcPr>
          <w:p w14:paraId="25436146" w14:textId="77777777" w:rsidR="009F4766" w:rsidRPr="00DE12A3" w:rsidRDefault="009F4766" w:rsidP="00C917D6">
            <w:pPr>
              <w:pStyle w:val="NormalLeft"/>
              <w:rPr>
                <w:sz w:val="14"/>
                <w:szCs w:val="14"/>
              </w:rPr>
            </w:pPr>
            <w:r w:rsidRPr="00DE12A3">
              <w:rPr>
                <w:sz w:val="14"/>
                <w:szCs w:val="14"/>
              </w:rPr>
              <w:t>19</w:t>
            </w:r>
          </w:p>
        </w:tc>
        <w:tc>
          <w:tcPr>
            <w:tcW w:w="465" w:type="dxa"/>
            <w:tcBorders>
              <w:top w:val="single" w:sz="2" w:space="0" w:color="auto"/>
              <w:left w:val="single" w:sz="2" w:space="0" w:color="auto"/>
              <w:bottom w:val="single" w:sz="2" w:space="0" w:color="auto"/>
              <w:right w:val="single" w:sz="2" w:space="0" w:color="auto"/>
            </w:tcBorders>
          </w:tcPr>
          <w:p w14:paraId="24F78104" w14:textId="77777777" w:rsidR="009F4766" w:rsidRPr="00DE12A3" w:rsidRDefault="009F4766" w:rsidP="00C917D6">
            <w:pPr>
              <w:pStyle w:val="NormalLeft"/>
              <w:rPr>
                <w:sz w:val="14"/>
                <w:szCs w:val="14"/>
              </w:rPr>
            </w:pPr>
            <w:r w:rsidRPr="00DE12A3">
              <w:rPr>
                <w:sz w:val="14"/>
                <w:szCs w:val="14"/>
              </w:rPr>
              <w:t>4,381</w:t>
            </w:r>
          </w:p>
        </w:tc>
        <w:tc>
          <w:tcPr>
            <w:tcW w:w="464" w:type="dxa"/>
            <w:tcBorders>
              <w:top w:val="single" w:sz="2" w:space="0" w:color="auto"/>
              <w:left w:val="single" w:sz="2" w:space="0" w:color="auto"/>
              <w:bottom w:val="single" w:sz="2" w:space="0" w:color="auto"/>
              <w:right w:val="single" w:sz="2" w:space="0" w:color="auto"/>
            </w:tcBorders>
          </w:tcPr>
          <w:p w14:paraId="461D2DFA" w14:textId="77777777" w:rsidR="009F4766" w:rsidRPr="00DE12A3" w:rsidRDefault="009F4766" w:rsidP="00C917D6">
            <w:pPr>
              <w:pStyle w:val="NormalLeft"/>
              <w:rPr>
                <w:sz w:val="14"/>
                <w:szCs w:val="14"/>
              </w:rPr>
            </w:pPr>
            <w:r w:rsidRPr="00DE12A3">
              <w:rPr>
                <w:sz w:val="14"/>
                <w:szCs w:val="14"/>
              </w:rPr>
              <w:t>3,522</w:t>
            </w:r>
          </w:p>
        </w:tc>
        <w:tc>
          <w:tcPr>
            <w:tcW w:w="464" w:type="dxa"/>
            <w:tcBorders>
              <w:top w:val="single" w:sz="2" w:space="0" w:color="auto"/>
              <w:left w:val="single" w:sz="2" w:space="0" w:color="auto"/>
              <w:bottom w:val="single" w:sz="2" w:space="0" w:color="auto"/>
              <w:right w:val="single" w:sz="2" w:space="0" w:color="auto"/>
            </w:tcBorders>
          </w:tcPr>
          <w:p w14:paraId="68799A26" w14:textId="77777777" w:rsidR="009F4766" w:rsidRPr="00DE12A3" w:rsidRDefault="009F4766" w:rsidP="00C917D6">
            <w:pPr>
              <w:pStyle w:val="NormalLeft"/>
              <w:rPr>
                <w:sz w:val="14"/>
                <w:szCs w:val="14"/>
              </w:rPr>
            </w:pPr>
            <w:r w:rsidRPr="00DE12A3">
              <w:rPr>
                <w:sz w:val="14"/>
                <w:szCs w:val="14"/>
              </w:rPr>
              <w:t>3,127</w:t>
            </w:r>
          </w:p>
        </w:tc>
        <w:tc>
          <w:tcPr>
            <w:tcW w:w="465" w:type="dxa"/>
            <w:tcBorders>
              <w:top w:val="single" w:sz="2" w:space="0" w:color="auto"/>
              <w:left w:val="single" w:sz="2" w:space="0" w:color="auto"/>
              <w:bottom w:val="single" w:sz="2" w:space="0" w:color="auto"/>
              <w:right w:val="single" w:sz="2" w:space="0" w:color="auto"/>
            </w:tcBorders>
          </w:tcPr>
          <w:p w14:paraId="1C1B84D7" w14:textId="77777777" w:rsidR="009F4766" w:rsidRPr="00DE12A3" w:rsidRDefault="009F4766" w:rsidP="00C917D6">
            <w:pPr>
              <w:pStyle w:val="NormalLeft"/>
              <w:rPr>
                <w:sz w:val="14"/>
                <w:szCs w:val="14"/>
              </w:rPr>
            </w:pPr>
            <w:r w:rsidRPr="00DE12A3">
              <w:rPr>
                <w:sz w:val="14"/>
                <w:szCs w:val="14"/>
              </w:rPr>
              <w:t>2,895</w:t>
            </w:r>
          </w:p>
        </w:tc>
        <w:tc>
          <w:tcPr>
            <w:tcW w:w="464" w:type="dxa"/>
            <w:tcBorders>
              <w:top w:val="single" w:sz="2" w:space="0" w:color="auto"/>
              <w:left w:val="single" w:sz="2" w:space="0" w:color="auto"/>
              <w:bottom w:val="single" w:sz="2" w:space="0" w:color="auto"/>
              <w:right w:val="single" w:sz="2" w:space="0" w:color="auto"/>
            </w:tcBorders>
          </w:tcPr>
          <w:p w14:paraId="66C3E832" w14:textId="77777777" w:rsidR="009F4766" w:rsidRPr="00DE12A3" w:rsidRDefault="009F4766" w:rsidP="00C917D6">
            <w:pPr>
              <w:pStyle w:val="NormalLeft"/>
              <w:rPr>
                <w:sz w:val="14"/>
                <w:szCs w:val="14"/>
              </w:rPr>
            </w:pPr>
            <w:r w:rsidRPr="00DE12A3">
              <w:rPr>
                <w:sz w:val="14"/>
                <w:szCs w:val="14"/>
              </w:rPr>
              <w:t>2,740</w:t>
            </w:r>
          </w:p>
        </w:tc>
        <w:tc>
          <w:tcPr>
            <w:tcW w:w="464" w:type="dxa"/>
            <w:tcBorders>
              <w:top w:val="single" w:sz="2" w:space="0" w:color="auto"/>
              <w:left w:val="single" w:sz="2" w:space="0" w:color="auto"/>
              <w:bottom w:val="single" w:sz="2" w:space="0" w:color="auto"/>
              <w:right w:val="single" w:sz="2" w:space="0" w:color="auto"/>
            </w:tcBorders>
          </w:tcPr>
          <w:p w14:paraId="04AFB9EF" w14:textId="77777777" w:rsidR="009F4766" w:rsidRPr="00DE12A3" w:rsidRDefault="009F4766" w:rsidP="00C917D6">
            <w:pPr>
              <w:pStyle w:val="NormalLeft"/>
              <w:rPr>
                <w:sz w:val="14"/>
                <w:szCs w:val="14"/>
              </w:rPr>
            </w:pPr>
            <w:r w:rsidRPr="00DE12A3">
              <w:rPr>
                <w:sz w:val="14"/>
                <w:szCs w:val="14"/>
              </w:rPr>
              <w:t>2,628</w:t>
            </w:r>
          </w:p>
        </w:tc>
        <w:tc>
          <w:tcPr>
            <w:tcW w:w="464" w:type="dxa"/>
            <w:tcBorders>
              <w:top w:val="single" w:sz="2" w:space="0" w:color="auto"/>
              <w:left w:val="single" w:sz="2" w:space="0" w:color="auto"/>
              <w:bottom w:val="single" w:sz="2" w:space="0" w:color="auto"/>
              <w:right w:val="single" w:sz="2" w:space="0" w:color="auto"/>
            </w:tcBorders>
          </w:tcPr>
          <w:p w14:paraId="647CAB49" w14:textId="77777777" w:rsidR="009F4766" w:rsidRPr="00DE12A3" w:rsidRDefault="009F4766" w:rsidP="00C917D6">
            <w:pPr>
              <w:pStyle w:val="NormalLeft"/>
              <w:rPr>
                <w:sz w:val="14"/>
                <w:szCs w:val="14"/>
              </w:rPr>
            </w:pPr>
            <w:r w:rsidRPr="00DE12A3">
              <w:rPr>
                <w:sz w:val="14"/>
                <w:szCs w:val="14"/>
              </w:rPr>
              <w:t>2,544</w:t>
            </w:r>
          </w:p>
        </w:tc>
        <w:tc>
          <w:tcPr>
            <w:tcW w:w="465" w:type="dxa"/>
            <w:tcBorders>
              <w:top w:val="single" w:sz="2" w:space="0" w:color="auto"/>
              <w:left w:val="single" w:sz="2" w:space="0" w:color="auto"/>
              <w:bottom w:val="single" w:sz="2" w:space="0" w:color="auto"/>
              <w:right w:val="single" w:sz="2" w:space="0" w:color="auto"/>
            </w:tcBorders>
          </w:tcPr>
          <w:p w14:paraId="1DC408D5" w14:textId="77777777" w:rsidR="009F4766" w:rsidRPr="00DE12A3" w:rsidRDefault="009F4766" w:rsidP="00C917D6">
            <w:pPr>
              <w:pStyle w:val="NormalLeft"/>
              <w:rPr>
                <w:sz w:val="14"/>
                <w:szCs w:val="14"/>
              </w:rPr>
            </w:pPr>
            <w:r w:rsidRPr="00DE12A3">
              <w:rPr>
                <w:sz w:val="14"/>
                <w:szCs w:val="14"/>
              </w:rPr>
              <w:t>2,477</w:t>
            </w:r>
          </w:p>
        </w:tc>
        <w:tc>
          <w:tcPr>
            <w:tcW w:w="464" w:type="dxa"/>
            <w:tcBorders>
              <w:top w:val="single" w:sz="2" w:space="0" w:color="auto"/>
              <w:left w:val="single" w:sz="2" w:space="0" w:color="auto"/>
              <w:bottom w:val="single" w:sz="2" w:space="0" w:color="auto"/>
              <w:right w:val="single" w:sz="2" w:space="0" w:color="auto"/>
            </w:tcBorders>
          </w:tcPr>
          <w:p w14:paraId="049389C8" w14:textId="77777777" w:rsidR="009F4766" w:rsidRPr="00DE12A3" w:rsidRDefault="009F4766" w:rsidP="00C917D6">
            <w:pPr>
              <w:pStyle w:val="NormalLeft"/>
              <w:rPr>
                <w:sz w:val="14"/>
                <w:szCs w:val="14"/>
              </w:rPr>
            </w:pPr>
            <w:r w:rsidRPr="00DE12A3">
              <w:rPr>
                <w:sz w:val="14"/>
                <w:szCs w:val="14"/>
              </w:rPr>
              <w:t>2,423</w:t>
            </w:r>
          </w:p>
        </w:tc>
        <w:tc>
          <w:tcPr>
            <w:tcW w:w="464" w:type="dxa"/>
            <w:tcBorders>
              <w:top w:val="single" w:sz="2" w:space="0" w:color="auto"/>
              <w:left w:val="single" w:sz="2" w:space="0" w:color="auto"/>
              <w:bottom w:val="single" w:sz="2" w:space="0" w:color="auto"/>
              <w:right w:val="single" w:sz="2" w:space="0" w:color="auto"/>
            </w:tcBorders>
          </w:tcPr>
          <w:p w14:paraId="2B196C30" w14:textId="77777777" w:rsidR="009F4766" w:rsidRPr="00DE12A3" w:rsidRDefault="009F4766" w:rsidP="00C917D6">
            <w:pPr>
              <w:pStyle w:val="NormalLeft"/>
              <w:rPr>
                <w:sz w:val="14"/>
                <w:szCs w:val="14"/>
              </w:rPr>
            </w:pPr>
            <w:r w:rsidRPr="00DE12A3">
              <w:rPr>
                <w:sz w:val="14"/>
                <w:szCs w:val="14"/>
              </w:rPr>
              <w:t>2,378</w:t>
            </w:r>
          </w:p>
        </w:tc>
        <w:tc>
          <w:tcPr>
            <w:tcW w:w="465" w:type="dxa"/>
            <w:tcBorders>
              <w:top w:val="single" w:sz="2" w:space="0" w:color="auto"/>
              <w:left w:val="single" w:sz="2" w:space="0" w:color="auto"/>
              <w:bottom w:val="single" w:sz="2" w:space="0" w:color="auto"/>
              <w:right w:val="single" w:sz="2" w:space="0" w:color="auto"/>
            </w:tcBorders>
          </w:tcPr>
          <w:p w14:paraId="09583F90" w14:textId="77777777" w:rsidR="009F4766" w:rsidRPr="00DE12A3" w:rsidRDefault="009F4766" w:rsidP="00C917D6">
            <w:pPr>
              <w:pStyle w:val="NormalLeft"/>
              <w:rPr>
                <w:sz w:val="14"/>
                <w:szCs w:val="14"/>
              </w:rPr>
            </w:pPr>
            <w:r w:rsidRPr="00DE12A3">
              <w:rPr>
                <w:sz w:val="14"/>
                <w:szCs w:val="14"/>
              </w:rPr>
              <w:t>2,308</w:t>
            </w:r>
          </w:p>
        </w:tc>
        <w:tc>
          <w:tcPr>
            <w:tcW w:w="464" w:type="dxa"/>
            <w:tcBorders>
              <w:top w:val="single" w:sz="2" w:space="0" w:color="auto"/>
              <w:left w:val="single" w:sz="2" w:space="0" w:color="auto"/>
              <w:bottom w:val="single" w:sz="2" w:space="0" w:color="auto"/>
              <w:right w:val="single" w:sz="2" w:space="0" w:color="auto"/>
            </w:tcBorders>
          </w:tcPr>
          <w:p w14:paraId="198B2DCA" w14:textId="77777777" w:rsidR="009F4766" w:rsidRPr="00DE12A3" w:rsidRDefault="009F4766" w:rsidP="00C917D6">
            <w:pPr>
              <w:pStyle w:val="NormalLeft"/>
              <w:rPr>
                <w:sz w:val="14"/>
                <w:szCs w:val="14"/>
              </w:rPr>
            </w:pPr>
            <w:r w:rsidRPr="00DE12A3">
              <w:rPr>
                <w:sz w:val="14"/>
                <w:szCs w:val="14"/>
              </w:rPr>
              <w:t>2,234</w:t>
            </w:r>
          </w:p>
        </w:tc>
        <w:tc>
          <w:tcPr>
            <w:tcW w:w="464" w:type="dxa"/>
            <w:tcBorders>
              <w:top w:val="single" w:sz="2" w:space="0" w:color="auto"/>
              <w:left w:val="single" w:sz="2" w:space="0" w:color="auto"/>
              <w:bottom w:val="single" w:sz="2" w:space="0" w:color="auto"/>
              <w:right w:val="single" w:sz="2" w:space="0" w:color="auto"/>
            </w:tcBorders>
          </w:tcPr>
          <w:p w14:paraId="0B6853E3" w14:textId="77777777" w:rsidR="009F4766" w:rsidRPr="00DE12A3" w:rsidRDefault="009F4766" w:rsidP="00C917D6">
            <w:pPr>
              <w:pStyle w:val="NormalLeft"/>
              <w:rPr>
                <w:sz w:val="14"/>
                <w:szCs w:val="14"/>
              </w:rPr>
            </w:pPr>
            <w:r w:rsidRPr="00DE12A3">
              <w:rPr>
                <w:sz w:val="14"/>
                <w:szCs w:val="14"/>
              </w:rPr>
              <w:t>2,156</w:t>
            </w:r>
          </w:p>
        </w:tc>
        <w:tc>
          <w:tcPr>
            <w:tcW w:w="465" w:type="dxa"/>
            <w:tcBorders>
              <w:top w:val="single" w:sz="2" w:space="0" w:color="auto"/>
              <w:left w:val="single" w:sz="2" w:space="0" w:color="auto"/>
              <w:bottom w:val="single" w:sz="2" w:space="0" w:color="auto"/>
              <w:right w:val="single" w:sz="2" w:space="0" w:color="auto"/>
            </w:tcBorders>
          </w:tcPr>
          <w:p w14:paraId="3C66D31A" w14:textId="77777777" w:rsidR="009F4766" w:rsidRPr="00DE12A3" w:rsidRDefault="009F4766" w:rsidP="00C917D6">
            <w:pPr>
              <w:pStyle w:val="NormalLeft"/>
              <w:rPr>
                <w:sz w:val="14"/>
                <w:szCs w:val="14"/>
              </w:rPr>
            </w:pPr>
            <w:r w:rsidRPr="00DE12A3">
              <w:rPr>
                <w:sz w:val="14"/>
                <w:szCs w:val="14"/>
              </w:rPr>
              <w:t>2,114</w:t>
            </w:r>
          </w:p>
        </w:tc>
        <w:tc>
          <w:tcPr>
            <w:tcW w:w="464" w:type="dxa"/>
            <w:tcBorders>
              <w:top w:val="single" w:sz="2" w:space="0" w:color="auto"/>
              <w:left w:val="single" w:sz="2" w:space="0" w:color="auto"/>
              <w:bottom w:val="single" w:sz="2" w:space="0" w:color="auto"/>
              <w:right w:val="single" w:sz="2" w:space="0" w:color="auto"/>
            </w:tcBorders>
          </w:tcPr>
          <w:p w14:paraId="4FBD69A8" w14:textId="77777777" w:rsidR="009F4766" w:rsidRPr="00DE12A3" w:rsidRDefault="009F4766" w:rsidP="00C917D6">
            <w:pPr>
              <w:pStyle w:val="NormalLeft"/>
              <w:rPr>
                <w:sz w:val="14"/>
                <w:szCs w:val="14"/>
              </w:rPr>
            </w:pPr>
            <w:r w:rsidRPr="00DE12A3">
              <w:rPr>
                <w:sz w:val="14"/>
                <w:szCs w:val="14"/>
              </w:rPr>
              <w:t>2,071</w:t>
            </w:r>
          </w:p>
        </w:tc>
        <w:tc>
          <w:tcPr>
            <w:tcW w:w="464" w:type="dxa"/>
            <w:tcBorders>
              <w:top w:val="single" w:sz="2" w:space="0" w:color="auto"/>
              <w:left w:val="single" w:sz="2" w:space="0" w:color="auto"/>
              <w:bottom w:val="single" w:sz="2" w:space="0" w:color="auto"/>
              <w:right w:val="single" w:sz="2" w:space="0" w:color="auto"/>
            </w:tcBorders>
          </w:tcPr>
          <w:p w14:paraId="308B2A5F" w14:textId="77777777" w:rsidR="009F4766" w:rsidRPr="00DE12A3" w:rsidRDefault="009F4766" w:rsidP="00C917D6">
            <w:pPr>
              <w:pStyle w:val="NormalLeft"/>
              <w:rPr>
                <w:sz w:val="14"/>
                <w:szCs w:val="14"/>
              </w:rPr>
            </w:pPr>
            <w:r w:rsidRPr="00DE12A3">
              <w:rPr>
                <w:sz w:val="14"/>
                <w:szCs w:val="14"/>
              </w:rPr>
              <w:t>2,026</w:t>
            </w:r>
          </w:p>
        </w:tc>
        <w:tc>
          <w:tcPr>
            <w:tcW w:w="464" w:type="dxa"/>
            <w:tcBorders>
              <w:top w:val="single" w:sz="2" w:space="0" w:color="auto"/>
              <w:left w:val="single" w:sz="2" w:space="0" w:color="auto"/>
              <w:bottom w:val="single" w:sz="2" w:space="0" w:color="auto"/>
              <w:right w:val="single" w:sz="2" w:space="0" w:color="auto"/>
            </w:tcBorders>
          </w:tcPr>
          <w:p w14:paraId="65E55E45" w14:textId="77777777" w:rsidR="009F4766" w:rsidRPr="00DE12A3" w:rsidRDefault="009F4766" w:rsidP="00C917D6">
            <w:pPr>
              <w:pStyle w:val="NormalLeft"/>
              <w:rPr>
                <w:sz w:val="14"/>
                <w:szCs w:val="14"/>
              </w:rPr>
            </w:pPr>
            <w:r w:rsidRPr="00DE12A3">
              <w:rPr>
                <w:sz w:val="14"/>
                <w:szCs w:val="14"/>
              </w:rPr>
              <w:t>1,980</w:t>
            </w:r>
          </w:p>
        </w:tc>
        <w:tc>
          <w:tcPr>
            <w:tcW w:w="465" w:type="dxa"/>
            <w:tcBorders>
              <w:top w:val="single" w:sz="2" w:space="0" w:color="auto"/>
              <w:left w:val="single" w:sz="2" w:space="0" w:color="auto"/>
              <w:bottom w:val="single" w:sz="2" w:space="0" w:color="auto"/>
              <w:right w:val="single" w:sz="2" w:space="0" w:color="auto"/>
            </w:tcBorders>
          </w:tcPr>
          <w:p w14:paraId="2B5E5C27" w14:textId="77777777" w:rsidR="009F4766" w:rsidRPr="00DE12A3" w:rsidRDefault="009F4766" w:rsidP="00C917D6">
            <w:pPr>
              <w:pStyle w:val="NormalLeft"/>
              <w:rPr>
                <w:sz w:val="14"/>
                <w:szCs w:val="14"/>
              </w:rPr>
            </w:pPr>
            <w:r w:rsidRPr="00DE12A3">
              <w:rPr>
                <w:sz w:val="14"/>
                <w:szCs w:val="14"/>
              </w:rPr>
              <w:t>1,930</w:t>
            </w:r>
          </w:p>
        </w:tc>
        <w:tc>
          <w:tcPr>
            <w:tcW w:w="464" w:type="dxa"/>
            <w:tcBorders>
              <w:top w:val="single" w:sz="2" w:space="0" w:color="auto"/>
              <w:left w:val="single" w:sz="2" w:space="0" w:color="auto"/>
              <w:bottom w:val="single" w:sz="2" w:space="0" w:color="auto"/>
              <w:right w:val="single" w:sz="2" w:space="0" w:color="auto"/>
            </w:tcBorders>
          </w:tcPr>
          <w:p w14:paraId="5E020AE6" w14:textId="77777777" w:rsidR="009F4766" w:rsidRPr="00DE12A3" w:rsidRDefault="009F4766" w:rsidP="00C917D6">
            <w:pPr>
              <w:pStyle w:val="NormalLeft"/>
              <w:rPr>
                <w:sz w:val="14"/>
                <w:szCs w:val="14"/>
              </w:rPr>
            </w:pPr>
            <w:r w:rsidRPr="00DE12A3">
              <w:rPr>
                <w:sz w:val="14"/>
                <w:szCs w:val="14"/>
              </w:rPr>
              <w:t>1,878</w:t>
            </w:r>
          </w:p>
        </w:tc>
      </w:tr>
      <w:tr w:rsidR="00DE12A3" w:rsidRPr="00DE12A3" w14:paraId="0584D64F" w14:textId="77777777" w:rsidTr="009F4766">
        <w:tc>
          <w:tcPr>
            <w:tcW w:w="464" w:type="dxa"/>
            <w:tcBorders>
              <w:top w:val="single" w:sz="2" w:space="0" w:color="auto"/>
              <w:left w:val="single" w:sz="2" w:space="0" w:color="auto"/>
              <w:bottom w:val="single" w:sz="2" w:space="0" w:color="auto"/>
              <w:right w:val="single" w:sz="2" w:space="0" w:color="auto"/>
            </w:tcBorders>
          </w:tcPr>
          <w:p w14:paraId="4B001C53" w14:textId="77777777" w:rsidR="009F4766" w:rsidRPr="00DE12A3" w:rsidRDefault="009F4766" w:rsidP="00C917D6">
            <w:pPr>
              <w:pStyle w:val="NormalLeft"/>
              <w:rPr>
                <w:sz w:val="14"/>
                <w:szCs w:val="14"/>
              </w:rPr>
            </w:pPr>
            <w:r w:rsidRPr="00DE12A3">
              <w:rPr>
                <w:sz w:val="14"/>
                <w:szCs w:val="14"/>
              </w:rPr>
              <w:t>20</w:t>
            </w:r>
          </w:p>
        </w:tc>
        <w:tc>
          <w:tcPr>
            <w:tcW w:w="465" w:type="dxa"/>
            <w:tcBorders>
              <w:top w:val="single" w:sz="2" w:space="0" w:color="auto"/>
              <w:left w:val="single" w:sz="2" w:space="0" w:color="auto"/>
              <w:bottom w:val="single" w:sz="2" w:space="0" w:color="auto"/>
              <w:right w:val="single" w:sz="2" w:space="0" w:color="auto"/>
            </w:tcBorders>
          </w:tcPr>
          <w:p w14:paraId="5E4B7DEF" w14:textId="77777777" w:rsidR="009F4766" w:rsidRPr="00DE12A3" w:rsidRDefault="009F4766" w:rsidP="00C917D6">
            <w:pPr>
              <w:pStyle w:val="NormalLeft"/>
              <w:rPr>
                <w:sz w:val="14"/>
                <w:szCs w:val="14"/>
              </w:rPr>
            </w:pPr>
            <w:r w:rsidRPr="00DE12A3">
              <w:rPr>
                <w:sz w:val="14"/>
                <w:szCs w:val="14"/>
              </w:rPr>
              <w:t>4,351</w:t>
            </w:r>
          </w:p>
        </w:tc>
        <w:tc>
          <w:tcPr>
            <w:tcW w:w="464" w:type="dxa"/>
            <w:tcBorders>
              <w:top w:val="single" w:sz="2" w:space="0" w:color="auto"/>
              <w:left w:val="single" w:sz="2" w:space="0" w:color="auto"/>
              <w:bottom w:val="single" w:sz="2" w:space="0" w:color="auto"/>
              <w:right w:val="single" w:sz="2" w:space="0" w:color="auto"/>
            </w:tcBorders>
          </w:tcPr>
          <w:p w14:paraId="112B153D" w14:textId="77777777" w:rsidR="009F4766" w:rsidRPr="00DE12A3" w:rsidRDefault="009F4766" w:rsidP="00C917D6">
            <w:pPr>
              <w:pStyle w:val="NormalLeft"/>
              <w:rPr>
                <w:sz w:val="14"/>
                <w:szCs w:val="14"/>
              </w:rPr>
            </w:pPr>
            <w:r w:rsidRPr="00DE12A3">
              <w:rPr>
                <w:sz w:val="14"/>
                <w:szCs w:val="14"/>
              </w:rPr>
              <w:t>3,493</w:t>
            </w:r>
          </w:p>
        </w:tc>
        <w:tc>
          <w:tcPr>
            <w:tcW w:w="464" w:type="dxa"/>
            <w:tcBorders>
              <w:top w:val="single" w:sz="2" w:space="0" w:color="auto"/>
              <w:left w:val="single" w:sz="2" w:space="0" w:color="auto"/>
              <w:bottom w:val="single" w:sz="2" w:space="0" w:color="auto"/>
              <w:right w:val="single" w:sz="2" w:space="0" w:color="auto"/>
            </w:tcBorders>
          </w:tcPr>
          <w:p w14:paraId="3CDA8FB7" w14:textId="77777777" w:rsidR="009F4766" w:rsidRPr="00DE12A3" w:rsidRDefault="009F4766" w:rsidP="00C917D6">
            <w:pPr>
              <w:pStyle w:val="NormalLeft"/>
              <w:rPr>
                <w:sz w:val="14"/>
                <w:szCs w:val="14"/>
              </w:rPr>
            </w:pPr>
            <w:r w:rsidRPr="00DE12A3">
              <w:rPr>
                <w:sz w:val="14"/>
                <w:szCs w:val="14"/>
              </w:rPr>
              <w:t>3,098</w:t>
            </w:r>
          </w:p>
        </w:tc>
        <w:tc>
          <w:tcPr>
            <w:tcW w:w="465" w:type="dxa"/>
            <w:tcBorders>
              <w:top w:val="single" w:sz="2" w:space="0" w:color="auto"/>
              <w:left w:val="single" w:sz="2" w:space="0" w:color="auto"/>
              <w:bottom w:val="single" w:sz="2" w:space="0" w:color="auto"/>
              <w:right w:val="single" w:sz="2" w:space="0" w:color="auto"/>
            </w:tcBorders>
          </w:tcPr>
          <w:p w14:paraId="27C82F0E" w14:textId="77777777" w:rsidR="009F4766" w:rsidRPr="00DE12A3" w:rsidRDefault="009F4766" w:rsidP="00C917D6">
            <w:pPr>
              <w:pStyle w:val="NormalLeft"/>
              <w:rPr>
                <w:sz w:val="14"/>
                <w:szCs w:val="14"/>
              </w:rPr>
            </w:pPr>
            <w:r w:rsidRPr="00DE12A3">
              <w:rPr>
                <w:sz w:val="14"/>
                <w:szCs w:val="14"/>
              </w:rPr>
              <w:t>2,866</w:t>
            </w:r>
          </w:p>
        </w:tc>
        <w:tc>
          <w:tcPr>
            <w:tcW w:w="464" w:type="dxa"/>
            <w:tcBorders>
              <w:top w:val="single" w:sz="2" w:space="0" w:color="auto"/>
              <w:left w:val="single" w:sz="2" w:space="0" w:color="auto"/>
              <w:bottom w:val="single" w:sz="2" w:space="0" w:color="auto"/>
              <w:right w:val="single" w:sz="2" w:space="0" w:color="auto"/>
            </w:tcBorders>
          </w:tcPr>
          <w:p w14:paraId="45C2022E" w14:textId="77777777" w:rsidR="009F4766" w:rsidRPr="00DE12A3" w:rsidRDefault="009F4766" w:rsidP="00C917D6">
            <w:pPr>
              <w:pStyle w:val="NormalLeft"/>
              <w:rPr>
                <w:sz w:val="14"/>
                <w:szCs w:val="14"/>
              </w:rPr>
            </w:pPr>
            <w:r w:rsidRPr="00DE12A3">
              <w:rPr>
                <w:sz w:val="14"/>
                <w:szCs w:val="14"/>
              </w:rPr>
              <w:t>2,711</w:t>
            </w:r>
          </w:p>
        </w:tc>
        <w:tc>
          <w:tcPr>
            <w:tcW w:w="464" w:type="dxa"/>
            <w:tcBorders>
              <w:top w:val="single" w:sz="2" w:space="0" w:color="auto"/>
              <w:left w:val="single" w:sz="2" w:space="0" w:color="auto"/>
              <w:bottom w:val="single" w:sz="2" w:space="0" w:color="auto"/>
              <w:right w:val="single" w:sz="2" w:space="0" w:color="auto"/>
            </w:tcBorders>
          </w:tcPr>
          <w:p w14:paraId="3EDA6D3C" w14:textId="77777777" w:rsidR="009F4766" w:rsidRPr="00DE12A3" w:rsidRDefault="009F4766" w:rsidP="00C917D6">
            <w:pPr>
              <w:pStyle w:val="NormalLeft"/>
              <w:rPr>
                <w:sz w:val="14"/>
                <w:szCs w:val="14"/>
              </w:rPr>
            </w:pPr>
            <w:r w:rsidRPr="00DE12A3">
              <w:rPr>
                <w:sz w:val="14"/>
                <w:szCs w:val="14"/>
              </w:rPr>
              <w:t>2,599</w:t>
            </w:r>
          </w:p>
        </w:tc>
        <w:tc>
          <w:tcPr>
            <w:tcW w:w="464" w:type="dxa"/>
            <w:tcBorders>
              <w:top w:val="single" w:sz="2" w:space="0" w:color="auto"/>
              <w:left w:val="single" w:sz="2" w:space="0" w:color="auto"/>
              <w:bottom w:val="single" w:sz="2" w:space="0" w:color="auto"/>
              <w:right w:val="single" w:sz="2" w:space="0" w:color="auto"/>
            </w:tcBorders>
          </w:tcPr>
          <w:p w14:paraId="5C9D7E6C" w14:textId="77777777" w:rsidR="009F4766" w:rsidRPr="00DE12A3" w:rsidRDefault="009F4766" w:rsidP="00C917D6">
            <w:pPr>
              <w:pStyle w:val="NormalLeft"/>
              <w:rPr>
                <w:sz w:val="14"/>
                <w:szCs w:val="14"/>
              </w:rPr>
            </w:pPr>
            <w:r w:rsidRPr="00DE12A3">
              <w:rPr>
                <w:sz w:val="14"/>
                <w:szCs w:val="14"/>
              </w:rPr>
              <w:t>2,514</w:t>
            </w:r>
          </w:p>
        </w:tc>
        <w:tc>
          <w:tcPr>
            <w:tcW w:w="465" w:type="dxa"/>
            <w:tcBorders>
              <w:top w:val="single" w:sz="2" w:space="0" w:color="auto"/>
              <w:left w:val="single" w:sz="2" w:space="0" w:color="auto"/>
              <w:bottom w:val="single" w:sz="2" w:space="0" w:color="auto"/>
              <w:right w:val="single" w:sz="2" w:space="0" w:color="auto"/>
            </w:tcBorders>
          </w:tcPr>
          <w:p w14:paraId="2107D718" w14:textId="77777777" w:rsidR="009F4766" w:rsidRPr="00DE12A3" w:rsidRDefault="009F4766" w:rsidP="00C917D6">
            <w:pPr>
              <w:pStyle w:val="NormalLeft"/>
              <w:rPr>
                <w:sz w:val="14"/>
                <w:szCs w:val="14"/>
              </w:rPr>
            </w:pPr>
            <w:r w:rsidRPr="00DE12A3">
              <w:rPr>
                <w:sz w:val="14"/>
                <w:szCs w:val="14"/>
              </w:rPr>
              <w:t>2,447</w:t>
            </w:r>
          </w:p>
        </w:tc>
        <w:tc>
          <w:tcPr>
            <w:tcW w:w="464" w:type="dxa"/>
            <w:tcBorders>
              <w:top w:val="single" w:sz="2" w:space="0" w:color="auto"/>
              <w:left w:val="single" w:sz="2" w:space="0" w:color="auto"/>
              <w:bottom w:val="single" w:sz="2" w:space="0" w:color="auto"/>
              <w:right w:val="single" w:sz="2" w:space="0" w:color="auto"/>
            </w:tcBorders>
          </w:tcPr>
          <w:p w14:paraId="44D36FBD" w14:textId="77777777" w:rsidR="009F4766" w:rsidRPr="00DE12A3" w:rsidRDefault="009F4766" w:rsidP="00C917D6">
            <w:pPr>
              <w:pStyle w:val="NormalLeft"/>
              <w:rPr>
                <w:sz w:val="14"/>
                <w:szCs w:val="14"/>
              </w:rPr>
            </w:pPr>
            <w:r w:rsidRPr="00DE12A3">
              <w:rPr>
                <w:sz w:val="14"/>
                <w:szCs w:val="14"/>
              </w:rPr>
              <w:t>2,393</w:t>
            </w:r>
          </w:p>
        </w:tc>
        <w:tc>
          <w:tcPr>
            <w:tcW w:w="464" w:type="dxa"/>
            <w:tcBorders>
              <w:top w:val="single" w:sz="2" w:space="0" w:color="auto"/>
              <w:left w:val="single" w:sz="2" w:space="0" w:color="auto"/>
              <w:bottom w:val="single" w:sz="2" w:space="0" w:color="auto"/>
              <w:right w:val="single" w:sz="2" w:space="0" w:color="auto"/>
            </w:tcBorders>
          </w:tcPr>
          <w:p w14:paraId="7E726C17" w14:textId="77777777" w:rsidR="009F4766" w:rsidRPr="00DE12A3" w:rsidRDefault="009F4766" w:rsidP="00C917D6">
            <w:pPr>
              <w:pStyle w:val="NormalLeft"/>
              <w:rPr>
                <w:sz w:val="14"/>
                <w:szCs w:val="14"/>
              </w:rPr>
            </w:pPr>
            <w:r w:rsidRPr="00DE12A3">
              <w:rPr>
                <w:sz w:val="14"/>
                <w:szCs w:val="14"/>
              </w:rPr>
              <w:t>2,348</w:t>
            </w:r>
          </w:p>
        </w:tc>
        <w:tc>
          <w:tcPr>
            <w:tcW w:w="465" w:type="dxa"/>
            <w:tcBorders>
              <w:top w:val="single" w:sz="2" w:space="0" w:color="auto"/>
              <w:left w:val="single" w:sz="2" w:space="0" w:color="auto"/>
              <w:bottom w:val="single" w:sz="2" w:space="0" w:color="auto"/>
              <w:right w:val="single" w:sz="2" w:space="0" w:color="auto"/>
            </w:tcBorders>
          </w:tcPr>
          <w:p w14:paraId="06A9A4AC" w14:textId="77777777" w:rsidR="009F4766" w:rsidRPr="00DE12A3" w:rsidRDefault="009F4766" w:rsidP="00C917D6">
            <w:pPr>
              <w:pStyle w:val="NormalLeft"/>
              <w:rPr>
                <w:sz w:val="14"/>
                <w:szCs w:val="14"/>
              </w:rPr>
            </w:pPr>
            <w:r w:rsidRPr="00DE12A3">
              <w:rPr>
                <w:sz w:val="14"/>
                <w:szCs w:val="14"/>
              </w:rPr>
              <w:t>2,278</w:t>
            </w:r>
          </w:p>
        </w:tc>
        <w:tc>
          <w:tcPr>
            <w:tcW w:w="464" w:type="dxa"/>
            <w:tcBorders>
              <w:top w:val="single" w:sz="2" w:space="0" w:color="auto"/>
              <w:left w:val="single" w:sz="2" w:space="0" w:color="auto"/>
              <w:bottom w:val="single" w:sz="2" w:space="0" w:color="auto"/>
              <w:right w:val="single" w:sz="2" w:space="0" w:color="auto"/>
            </w:tcBorders>
          </w:tcPr>
          <w:p w14:paraId="351F06C5" w14:textId="77777777" w:rsidR="009F4766" w:rsidRPr="00DE12A3" w:rsidRDefault="009F4766" w:rsidP="00C917D6">
            <w:pPr>
              <w:pStyle w:val="NormalLeft"/>
              <w:rPr>
                <w:sz w:val="14"/>
                <w:szCs w:val="14"/>
              </w:rPr>
            </w:pPr>
            <w:r w:rsidRPr="00DE12A3">
              <w:rPr>
                <w:sz w:val="14"/>
                <w:szCs w:val="14"/>
              </w:rPr>
              <w:t>2,203</w:t>
            </w:r>
          </w:p>
        </w:tc>
        <w:tc>
          <w:tcPr>
            <w:tcW w:w="464" w:type="dxa"/>
            <w:tcBorders>
              <w:top w:val="single" w:sz="2" w:space="0" w:color="auto"/>
              <w:left w:val="single" w:sz="2" w:space="0" w:color="auto"/>
              <w:bottom w:val="single" w:sz="2" w:space="0" w:color="auto"/>
              <w:right w:val="single" w:sz="2" w:space="0" w:color="auto"/>
            </w:tcBorders>
          </w:tcPr>
          <w:p w14:paraId="02537475" w14:textId="77777777" w:rsidR="009F4766" w:rsidRPr="00DE12A3" w:rsidRDefault="009F4766" w:rsidP="00C917D6">
            <w:pPr>
              <w:pStyle w:val="NormalLeft"/>
              <w:rPr>
                <w:sz w:val="14"/>
                <w:szCs w:val="14"/>
              </w:rPr>
            </w:pPr>
            <w:r w:rsidRPr="00DE12A3">
              <w:rPr>
                <w:sz w:val="14"/>
                <w:szCs w:val="14"/>
              </w:rPr>
              <w:t>2,124</w:t>
            </w:r>
          </w:p>
        </w:tc>
        <w:tc>
          <w:tcPr>
            <w:tcW w:w="465" w:type="dxa"/>
            <w:tcBorders>
              <w:top w:val="single" w:sz="2" w:space="0" w:color="auto"/>
              <w:left w:val="single" w:sz="2" w:space="0" w:color="auto"/>
              <w:bottom w:val="single" w:sz="2" w:space="0" w:color="auto"/>
              <w:right w:val="single" w:sz="2" w:space="0" w:color="auto"/>
            </w:tcBorders>
          </w:tcPr>
          <w:p w14:paraId="56A76B84" w14:textId="77777777" w:rsidR="009F4766" w:rsidRPr="00DE12A3" w:rsidRDefault="009F4766" w:rsidP="00C917D6">
            <w:pPr>
              <w:pStyle w:val="NormalLeft"/>
              <w:rPr>
                <w:sz w:val="14"/>
                <w:szCs w:val="14"/>
              </w:rPr>
            </w:pPr>
            <w:r w:rsidRPr="00DE12A3">
              <w:rPr>
                <w:sz w:val="14"/>
                <w:szCs w:val="14"/>
              </w:rPr>
              <w:t>2,083</w:t>
            </w:r>
          </w:p>
        </w:tc>
        <w:tc>
          <w:tcPr>
            <w:tcW w:w="464" w:type="dxa"/>
            <w:tcBorders>
              <w:top w:val="single" w:sz="2" w:space="0" w:color="auto"/>
              <w:left w:val="single" w:sz="2" w:space="0" w:color="auto"/>
              <w:bottom w:val="single" w:sz="2" w:space="0" w:color="auto"/>
              <w:right w:val="single" w:sz="2" w:space="0" w:color="auto"/>
            </w:tcBorders>
          </w:tcPr>
          <w:p w14:paraId="6FD49DF0" w14:textId="77777777" w:rsidR="009F4766" w:rsidRPr="00DE12A3" w:rsidRDefault="009F4766" w:rsidP="00C917D6">
            <w:pPr>
              <w:pStyle w:val="NormalLeft"/>
              <w:rPr>
                <w:sz w:val="14"/>
                <w:szCs w:val="14"/>
              </w:rPr>
            </w:pPr>
            <w:r w:rsidRPr="00DE12A3">
              <w:rPr>
                <w:sz w:val="14"/>
                <w:szCs w:val="14"/>
              </w:rPr>
              <w:t>2,039</w:t>
            </w:r>
          </w:p>
        </w:tc>
        <w:tc>
          <w:tcPr>
            <w:tcW w:w="464" w:type="dxa"/>
            <w:tcBorders>
              <w:top w:val="single" w:sz="2" w:space="0" w:color="auto"/>
              <w:left w:val="single" w:sz="2" w:space="0" w:color="auto"/>
              <w:bottom w:val="single" w:sz="2" w:space="0" w:color="auto"/>
              <w:right w:val="single" w:sz="2" w:space="0" w:color="auto"/>
            </w:tcBorders>
          </w:tcPr>
          <w:p w14:paraId="4ABC021D" w14:textId="77777777" w:rsidR="009F4766" w:rsidRPr="00DE12A3" w:rsidRDefault="009F4766" w:rsidP="00C917D6">
            <w:pPr>
              <w:pStyle w:val="NormalLeft"/>
              <w:rPr>
                <w:sz w:val="14"/>
                <w:szCs w:val="14"/>
              </w:rPr>
            </w:pPr>
            <w:r w:rsidRPr="00DE12A3">
              <w:rPr>
                <w:sz w:val="14"/>
                <w:szCs w:val="14"/>
              </w:rPr>
              <w:t>1,994</w:t>
            </w:r>
          </w:p>
        </w:tc>
        <w:tc>
          <w:tcPr>
            <w:tcW w:w="464" w:type="dxa"/>
            <w:tcBorders>
              <w:top w:val="single" w:sz="2" w:space="0" w:color="auto"/>
              <w:left w:val="single" w:sz="2" w:space="0" w:color="auto"/>
              <w:bottom w:val="single" w:sz="2" w:space="0" w:color="auto"/>
              <w:right w:val="single" w:sz="2" w:space="0" w:color="auto"/>
            </w:tcBorders>
          </w:tcPr>
          <w:p w14:paraId="29A9EB2D" w14:textId="77777777" w:rsidR="009F4766" w:rsidRPr="00DE12A3" w:rsidRDefault="009F4766" w:rsidP="00C917D6">
            <w:pPr>
              <w:pStyle w:val="NormalLeft"/>
              <w:rPr>
                <w:sz w:val="14"/>
                <w:szCs w:val="14"/>
              </w:rPr>
            </w:pPr>
            <w:r w:rsidRPr="00DE12A3">
              <w:rPr>
                <w:sz w:val="14"/>
                <w:szCs w:val="14"/>
              </w:rPr>
              <w:t>1,946</w:t>
            </w:r>
          </w:p>
        </w:tc>
        <w:tc>
          <w:tcPr>
            <w:tcW w:w="465" w:type="dxa"/>
            <w:tcBorders>
              <w:top w:val="single" w:sz="2" w:space="0" w:color="auto"/>
              <w:left w:val="single" w:sz="2" w:space="0" w:color="auto"/>
              <w:bottom w:val="single" w:sz="2" w:space="0" w:color="auto"/>
              <w:right w:val="single" w:sz="2" w:space="0" w:color="auto"/>
            </w:tcBorders>
          </w:tcPr>
          <w:p w14:paraId="76AFF29D" w14:textId="77777777" w:rsidR="009F4766" w:rsidRPr="00DE12A3" w:rsidRDefault="009F4766" w:rsidP="00C917D6">
            <w:pPr>
              <w:pStyle w:val="NormalLeft"/>
              <w:rPr>
                <w:sz w:val="14"/>
                <w:szCs w:val="14"/>
              </w:rPr>
            </w:pPr>
            <w:r w:rsidRPr="00DE12A3">
              <w:rPr>
                <w:sz w:val="14"/>
                <w:szCs w:val="14"/>
              </w:rPr>
              <w:t>1,896</w:t>
            </w:r>
          </w:p>
        </w:tc>
        <w:tc>
          <w:tcPr>
            <w:tcW w:w="464" w:type="dxa"/>
            <w:tcBorders>
              <w:top w:val="single" w:sz="2" w:space="0" w:color="auto"/>
              <w:left w:val="single" w:sz="2" w:space="0" w:color="auto"/>
              <w:bottom w:val="single" w:sz="2" w:space="0" w:color="auto"/>
              <w:right w:val="single" w:sz="2" w:space="0" w:color="auto"/>
            </w:tcBorders>
          </w:tcPr>
          <w:p w14:paraId="56FB65FF" w14:textId="77777777" w:rsidR="009F4766" w:rsidRPr="00DE12A3" w:rsidRDefault="009F4766" w:rsidP="00C917D6">
            <w:pPr>
              <w:pStyle w:val="NormalLeft"/>
              <w:rPr>
                <w:sz w:val="14"/>
                <w:szCs w:val="14"/>
              </w:rPr>
            </w:pPr>
            <w:r w:rsidRPr="00DE12A3">
              <w:rPr>
                <w:sz w:val="14"/>
                <w:szCs w:val="14"/>
              </w:rPr>
              <w:t>1,843</w:t>
            </w:r>
          </w:p>
        </w:tc>
      </w:tr>
      <w:tr w:rsidR="00DE12A3" w:rsidRPr="00DE12A3" w14:paraId="3A88294B" w14:textId="77777777" w:rsidTr="009F4766">
        <w:tc>
          <w:tcPr>
            <w:tcW w:w="464" w:type="dxa"/>
            <w:tcBorders>
              <w:top w:val="single" w:sz="2" w:space="0" w:color="auto"/>
              <w:left w:val="single" w:sz="2" w:space="0" w:color="auto"/>
              <w:bottom w:val="single" w:sz="2" w:space="0" w:color="auto"/>
              <w:right w:val="single" w:sz="2" w:space="0" w:color="auto"/>
            </w:tcBorders>
          </w:tcPr>
          <w:p w14:paraId="541E530A" w14:textId="77777777" w:rsidR="009F4766" w:rsidRPr="00DE12A3" w:rsidRDefault="009F4766" w:rsidP="00C917D6">
            <w:pPr>
              <w:pStyle w:val="NormalLeft"/>
              <w:rPr>
                <w:sz w:val="14"/>
                <w:szCs w:val="14"/>
              </w:rPr>
            </w:pPr>
            <w:r w:rsidRPr="00DE12A3">
              <w:rPr>
                <w:sz w:val="14"/>
                <w:szCs w:val="14"/>
              </w:rPr>
              <w:t>21</w:t>
            </w:r>
          </w:p>
        </w:tc>
        <w:tc>
          <w:tcPr>
            <w:tcW w:w="465" w:type="dxa"/>
            <w:tcBorders>
              <w:top w:val="single" w:sz="2" w:space="0" w:color="auto"/>
              <w:left w:val="single" w:sz="2" w:space="0" w:color="auto"/>
              <w:bottom w:val="single" w:sz="2" w:space="0" w:color="auto"/>
              <w:right w:val="single" w:sz="2" w:space="0" w:color="auto"/>
            </w:tcBorders>
          </w:tcPr>
          <w:p w14:paraId="2A648545" w14:textId="77777777" w:rsidR="009F4766" w:rsidRPr="00DE12A3" w:rsidRDefault="009F4766" w:rsidP="00C917D6">
            <w:pPr>
              <w:pStyle w:val="NormalLeft"/>
              <w:rPr>
                <w:sz w:val="14"/>
                <w:szCs w:val="14"/>
              </w:rPr>
            </w:pPr>
            <w:r w:rsidRPr="00DE12A3">
              <w:rPr>
                <w:sz w:val="14"/>
                <w:szCs w:val="14"/>
              </w:rPr>
              <w:t>4,325</w:t>
            </w:r>
          </w:p>
        </w:tc>
        <w:tc>
          <w:tcPr>
            <w:tcW w:w="464" w:type="dxa"/>
            <w:tcBorders>
              <w:top w:val="single" w:sz="2" w:space="0" w:color="auto"/>
              <w:left w:val="single" w:sz="2" w:space="0" w:color="auto"/>
              <w:bottom w:val="single" w:sz="2" w:space="0" w:color="auto"/>
              <w:right w:val="single" w:sz="2" w:space="0" w:color="auto"/>
            </w:tcBorders>
          </w:tcPr>
          <w:p w14:paraId="6D596B59" w14:textId="77777777" w:rsidR="009F4766" w:rsidRPr="00DE12A3" w:rsidRDefault="009F4766" w:rsidP="00C917D6">
            <w:pPr>
              <w:pStyle w:val="NormalLeft"/>
              <w:rPr>
                <w:sz w:val="14"/>
                <w:szCs w:val="14"/>
              </w:rPr>
            </w:pPr>
            <w:r w:rsidRPr="00DE12A3">
              <w:rPr>
                <w:sz w:val="14"/>
                <w:szCs w:val="14"/>
              </w:rPr>
              <w:t>3,467</w:t>
            </w:r>
          </w:p>
        </w:tc>
        <w:tc>
          <w:tcPr>
            <w:tcW w:w="464" w:type="dxa"/>
            <w:tcBorders>
              <w:top w:val="single" w:sz="2" w:space="0" w:color="auto"/>
              <w:left w:val="single" w:sz="2" w:space="0" w:color="auto"/>
              <w:bottom w:val="single" w:sz="2" w:space="0" w:color="auto"/>
              <w:right w:val="single" w:sz="2" w:space="0" w:color="auto"/>
            </w:tcBorders>
          </w:tcPr>
          <w:p w14:paraId="1A7839E2" w14:textId="77777777" w:rsidR="009F4766" w:rsidRPr="00DE12A3" w:rsidRDefault="009F4766" w:rsidP="00C917D6">
            <w:pPr>
              <w:pStyle w:val="NormalLeft"/>
              <w:rPr>
                <w:sz w:val="14"/>
                <w:szCs w:val="14"/>
              </w:rPr>
            </w:pPr>
            <w:r w:rsidRPr="00DE12A3">
              <w:rPr>
                <w:sz w:val="14"/>
                <w:szCs w:val="14"/>
              </w:rPr>
              <w:t>3,073</w:t>
            </w:r>
          </w:p>
        </w:tc>
        <w:tc>
          <w:tcPr>
            <w:tcW w:w="465" w:type="dxa"/>
            <w:tcBorders>
              <w:top w:val="single" w:sz="2" w:space="0" w:color="auto"/>
              <w:left w:val="single" w:sz="2" w:space="0" w:color="auto"/>
              <w:bottom w:val="single" w:sz="2" w:space="0" w:color="auto"/>
              <w:right w:val="single" w:sz="2" w:space="0" w:color="auto"/>
            </w:tcBorders>
          </w:tcPr>
          <w:p w14:paraId="11515305" w14:textId="77777777" w:rsidR="009F4766" w:rsidRPr="00DE12A3" w:rsidRDefault="009F4766" w:rsidP="00C917D6">
            <w:pPr>
              <w:pStyle w:val="NormalLeft"/>
              <w:rPr>
                <w:sz w:val="14"/>
                <w:szCs w:val="14"/>
              </w:rPr>
            </w:pPr>
            <w:r w:rsidRPr="00DE12A3">
              <w:rPr>
                <w:sz w:val="14"/>
                <w:szCs w:val="14"/>
              </w:rPr>
              <w:t>2,840</w:t>
            </w:r>
          </w:p>
        </w:tc>
        <w:tc>
          <w:tcPr>
            <w:tcW w:w="464" w:type="dxa"/>
            <w:tcBorders>
              <w:top w:val="single" w:sz="2" w:space="0" w:color="auto"/>
              <w:left w:val="single" w:sz="2" w:space="0" w:color="auto"/>
              <w:bottom w:val="single" w:sz="2" w:space="0" w:color="auto"/>
              <w:right w:val="single" w:sz="2" w:space="0" w:color="auto"/>
            </w:tcBorders>
          </w:tcPr>
          <w:p w14:paraId="77EA97F7" w14:textId="77777777" w:rsidR="009F4766" w:rsidRPr="00DE12A3" w:rsidRDefault="009F4766" w:rsidP="00C917D6">
            <w:pPr>
              <w:pStyle w:val="NormalLeft"/>
              <w:rPr>
                <w:sz w:val="14"/>
                <w:szCs w:val="14"/>
              </w:rPr>
            </w:pPr>
            <w:r w:rsidRPr="00DE12A3">
              <w:rPr>
                <w:sz w:val="14"/>
                <w:szCs w:val="14"/>
              </w:rPr>
              <w:t>2,685</w:t>
            </w:r>
          </w:p>
        </w:tc>
        <w:tc>
          <w:tcPr>
            <w:tcW w:w="464" w:type="dxa"/>
            <w:tcBorders>
              <w:top w:val="single" w:sz="2" w:space="0" w:color="auto"/>
              <w:left w:val="single" w:sz="2" w:space="0" w:color="auto"/>
              <w:bottom w:val="single" w:sz="2" w:space="0" w:color="auto"/>
              <w:right w:val="single" w:sz="2" w:space="0" w:color="auto"/>
            </w:tcBorders>
          </w:tcPr>
          <w:p w14:paraId="7DD4E4EC" w14:textId="77777777" w:rsidR="009F4766" w:rsidRPr="00DE12A3" w:rsidRDefault="009F4766" w:rsidP="00C917D6">
            <w:pPr>
              <w:pStyle w:val="NormalLeft"/>
              <w:rPr>
                <w:sz w:val="14"/>
                <w:szCs w:val="14"/>
              </w:rPr>
            </w:pPr>
            <w:r w:rsidRPr="00DE12A3">
              <w:rPr>
                <w:sz w:val="14"/>
                <w:szCs w:val="14"/>
              </w:rPr>
              <w:t>2,573</w:t>
            </w:r>
          </w:p>
        </w:tc>
        <w:tc>
          <w:tcPr>
            <w:tcW w:w="464" w:type="dxa"/>
            <w:tcBorders>
              <w:top w:val="single" w:sz="2" w:space="0" w:color="auto"/>
              <w:left w:val="single" w:sz="2" w:space="0" w:color="auto"/>
              <w:bottom w:val="single" w:sz="2" w:space="0" w:color="auto"/>
              <w:right w:val="single" w:sz="2" w:space="0" w:color="auto"/>
            </w:tcBorders>
          </w:tcPr>
          <w:p w14:paraId="6B5F3E39" w14:textId="77777777" w:rsidR="009F4766" w:rsidRPr="00DE12A3" w:rsidRDefault="009F4766" w:rsidP="00C917D6">
            <w:pPr>
              <w:pStyle w:val="NormalLeft"/>
              <w:rPr>
                <w:sz w:val="14"/>
                <w:szCs w:val="14"/>
              </w:rPr>
            </w:pPr>
            <w:r w:rsidRPr="00DE12A3">
              <w:rPr>
                <w:sz w:val="14"/>
                <w:szCs w:val="14"/>
              </w:rPr>
              <w:t>2,488</w:t>
            </w:r>
          </w:p>
        </w:tc>
        <w:tc>
          <w:tcPr>
            <w:tcW w:w="465" w:type="dxa"/>
            <w:tcBorders>
              <w:top w:val="single" w:sz="2" w:space="0" w:color="auto"/>
              <w:left w:val="single" w:sz="2" w:space="0" w:color="auto"/>
              <w:bottom w:val="single" w:sz="2" w:space="0" w:color="auto"/>
              <w:right w:val="single" w:sz="2" w:space="0" w:color="auto"/>
            </w:tcBorders>
          </w:tcPr>
          <w:p w14:paraId="3FE300BA" w14:textId="77777777" w:rsidR="009F4766" w:rsidRPr="00DE12A3" w:rsidRDefault="009F4766" w:rsidP="00C917D6">
            <w:pPr>
              <w:pStyle w:val="NormalLeft"/>
              <w:rPr>
                <w:sz w:val="14"/>
                <w:szCs w:val="14"/>
              </w:rPr>
            </w:pPr>
            <w:r w:rsidRPr="00DE12A3">
              <w:rPr>
                <w:sz w:val="14"/>
                <w:szCs w:val="14"/>
              </w:rPr>
              <w:t>2,421</w:t>
            </w:r>
          </w:p>
        </w:tc>
        <w:tc>
          <w:tcPr>
            <w:tcW w:w="464" w:type="dxa"/>
            <w:tcBorders>
              <w:top w:val="single" w:sz="2" w:space="0" w:color="auto"/>
              <w:left w:val="single" w:sz="2" w:space="0" w:color="auto"/>
              <w:bottom w:val="single" w:sz="2" w:space="0" w:color="auto"/>
              <w:right w:val="single" w:sz="2" w:space="0" w:color="auto"/>
            </w:tcBorders>
          </w:tcPr>
          <w:p w14:paraId="029FA854" w14:textId="77777777" w:rsidR="009F4766" w:rsidRPr="00DE12A3" w:rsidRDefault="009F4766" w:rsidP="00C917D6">
            <w:pPr>
              <w:pStyle w:val="NormalLeft"/>
              <w:rPr>
                <w:sz w:val="14"/>
                <w:szCs w:val="14"/>
              </w:rPr>
            </w:pPr>
            <w:r w:rsidRPr="00DE12A3">
              <w:rPr>
                <w:sz w:val="14"/>
                <w:szCs w:val="14"/>
              </w:rPr>
              <w:t>2,366</w:t>
            </w:r>
          </w:p>
        </w:tc>
        <w:tc>
          <w:tcPr>
            <w:tcW w:w="464" w:type="dxa"/>
            <w:tcBorders>
              <w:top w:val="single" w:sz="2" w:space="0" w:color="auto"/>
              <w:left w:val="single" w:sz="2" w:space="0" w:color="auto"/>
              <w:bottom w:val="single" w:sz="2" w:space="0" w:color="auto"/>
              <w:right w:val="single" w:sz="2" w:space="0" w:color="auto"/>
            </w:tcBorders>
          </w:tcPr>
          <w:p w14:paraId="4209604E" w14:textId="77777777" w:rsidR="009F4766" w:rsidRPr="00DE12A3" w:rsidRDefault="009F4766" w:rsidP="00C917D6">
            <w:pPr>
              <w:pStyle w:val="NormalLeft"/>
              <w:rPr>
                <w:sz w:val="14"/>
                <w:szCs w:val="14"/>
              </w:rPr>
            </w:pPr>
            <w:r w:rsidRPr="00DE12A3">
              <w:rPr>
                <w:sz w:val="14"/>
                <w:szCs w:val="14"/>
              </w:rPr>
              <w:t>2,321</w:t>
            </w:r>
          </w:p>
        </w:tc>
        <w:tc>
          <w:tcPr>
            <w:tcW w:w="465" w:type="dxa"/>
            <w:tcBorders>
              <w:top w:val="single" w:sz="2" w:space="0" w:color="auto"/>
              <w:left w:val="single" w:sz="2" w:space="0" w:color="auto"/>
              <w:bottom w:val="single" w:sz="2" w:space="0" w:color="auto"/>
              <w:right w:val="single" w:sz="2" w:space="0" w:color="auto"/>
            </w:tcBorders>
          </w:tcPr>
          <w:p w14:paraId="7CC0563E" w14:textId="77777777" w:rsidR="009F4766" w:rsidRPr="00DE12A3" w:rsidRDefault="009F4766" w:rsidP="00C917D6">
            <w:pPr>
              <w:pStyle w:val="NormalLeft"/>
              <w:rPr>
                <w:sz w:val="14"/>
                <w:szCs w:val="14"/>
              </w:rPr>
            </w:pPr>
            <w:r w:rsidRPr="00DE12A3">
              <w:rPr>
                <w:sz w:val="14"/>
                <w:szCs w:val="14"/>
              </w:rPr>
              <w:t>2,250</w:t>
            </w:r>
          </w:p>
        </w:tc>
        <w:tc>
          <w:tcPr>
            <w:tcW w:w="464" w:type="dxa"/>
            <w:tcBorders>
              <w:top w:val="single" w:sz="2" w:space="0" w:color="auto"/>
              <w:left w:val="single" w:sz="2" w:space="0" w:color="auto"/>
              <w:bottom w:val="single" w:sz="2" w:space="0" w:color="auto"/>
              <w:right w:val="single" w:sz="2" w:space="0" w:color="auto"/>
            </w:tcBorders>
          </w:tcPr>
          <w:p w14:paraId="79B98B6C" w14:textId="77777777" w:rsidR="009F4766" w:rsidRPr="00DE12A3" w:rsidRDefault="009F4766" w:rsidP="00C917D6">
            <w:pPr>
              <w:pStyle w:val="NormalLeft"/>
              <w:rPr>
                <w:sz w:val="14"/>
                <w:szCs w:val="14"/>
              </w:rPr>
            </w:pPr>
            <w:r w:rsidRPr="00DE12A3">
              <w:rPr>
                <w:sz w:val="14"/>
                <w:szCs w:val="14"/>
              </w:rPr>
              <w:t>2,176</w:t>
            </w:r>
          </w:p>
        </w:tc>
        <w:tc>
          <w:tcPr>
            <w:tcW w:w="464" w:type="dxa"/>
            <w:tcBorders>
              <w:top w:val="single" w:sz="2" w:space="0" w:color="auto"/>
              <w:left w:val="single" w:sz="2" w:space="0" w:color="auto"/>
              <w:bottom w:val="single" w:sz="2" w:space="0" w:color="auto"/>
              <w:right w:val="single" w:sz="2" w:space="0" w:color="auto"/>
            </w:tcBorders>
          </w:tcPr>
          <w:p w14:paraId="5E2694A9" w14:textId="77777777" w:rsidR="009F4766" w:rsidRPr="00DE12A3" w:rsidRDefault="009F4766" w:rsidP="00C917D6">
            <w:pPr>
              <w:pStyle w:val="NormalLeft"/>
              <w:rPr>
                <w:sz w:val="14"/>
                <w:szCs w:val="14"/>
              </w:rPr>
            </w:pPr>
            <w:r w:rsidRPr="00DE12A3">
              <w:rPr>
                <w:sz w:val="14"/>
                <w:szCs w:val="14"/>
              </w:rPr>
              <w:t>2,096</w:t>
            </w:r>
          </w:p>
        </w:tc>
        <w:tc>
          <w:tcPr>
            <w:tcW w:w="465" w:type="dxa"/>
            <w:tcBorders>
              <w:top w:val="single" w:sz="2" w:space="0" w:color="auto"/>
              <w:left w:val="single" w:sz="2" w:space="0" w:color="auto"/>
              <w:bottom w:val="single" w:sz="2" w:space="0" w:color="auto"/>
              <w:right w:val="single" w:sz="2" w:space="0" w:color="auto"/>
            </w:tcBorders>
          </w:tcPr>
          <w:p w14:paraId="0921FCED" w14:textId="77777777" w:rsidR="009F4766" w:rsidRPr="00DE12A3" w:rsidRDefault="009F4766" w:rsidP="00C917D6">
            <w:pPr>
              <w:pStyle w:val="NormalLeft"/>
              <w:rPr>
                <w:sz w:val="14"/>
                <w:szCs w:val="14"/>
              </w:rPr>
            </w:pPr>
            <w:r w:rsidRPr="00DE12A3">
              <w:rPr>
                <w:sz w:val="14"/>
                <w:szCs w:val="14"/>
              </w:rPr>
              <w:t>2,054</w:t>
            </w:r>
          </w:p>
        </w:tc>
        <w:tc>
          <w:tcPr>
            <w:tcW w:w="464" w:type="dxa"/>
            <w:tcBorders>
              <w:top w:val="single" w:sz="2" w:space="0" w:color="auto"/>
              <w:left w:val="single" w:sz="2" w:space="0" w:color="auto"/>
              <w:bottom w:val="single" w:sz="2" w:space="0" w:color="auto"/>
              <w:right w:val="single" w:sz="2" w:space="0" w:color="auto"/>
            </w:tcBorders>
          </w:tcPr>
          <w:p w14:paraId="77F0C84A" w14:textId="77777777" w:rsidR="009F4766" w:rsidRPr="00DE12A3" w:rsidRDefault="009F4766" w:rsidP="00C917D6">
            <w:pPr>
              <w:pStyle w:val="NormalLeft"/>
              <w:rPr>
                <w:sz w:val="14"/>
                <w:szCs w:val="14"/>
              </w:rPr>
            </w:pPr>
            <w:r w:rsidRPr="00DE12A3">
              <w:rPr>
                <w:sz w:val="14"/>
                <w:szCs w:val="14"/>
              </w:rPr>
              <w:t>2,010</w:t>
            </w:r>
          </w:p>
        </w:tc>
        <w:tc>
          <w:tcPr>
            <w:tcW w:w="464" w:type="dxa"/>
            <w:tcBorders>
              <w:top w:val="single" w:sz="2" w:space="0" w:color="auto"/>
              <w:left w:val="single" w:sz="2" w:space="0" w:color="auto"/>
              <w:bottom w:val="single" w:sz="2" w:space="0" w:color="auto"/>
              <w:right w:val="single" w:sz="2" w:space="0" w:color="auto"/>
            </w:tcBorders>
          </w:tcPr>
          <w:p w14:paraId="6B40C7ED" w14:textId="77777777" w:rsidR="009F4766" w:rsidRPr="00DE12A3" w:rsidRDefault="009F4766" w:rsidP="00C917D6">
            <w:pPr>
              <w:pStyle w:val="NormalLeft"/>
              <w:rPr>
                <w:sz w:val="14"/>
                <w:szCs w:val="14"/>
              </w:rPr>
            </w:pPr>
            <w:r w:rsidRPr="00DE12A3">
              <w:rPr>
                <w:sz w:val="14"/>
                <w:szCs w:val="14"/>
              </w:rPr>
              <w:t>1,965</w:t>
            </w:r>
          </w:p>
        </w:tc>
        <w:tc>
          <w:tcPr>
            <w:tcW w:w="464" w:type="dxa"/>
            <w:tcBorders>
              <w:top w:val="single" w:sz="2" w:space="0" w:color="auto"/>
              <w:left w:val="single" w:sz="2" w:space="0" w:color="auto"/>
              <w:bottom w:val="single" w:sz="2" w:space="0" w:color="auto"/>
              <w:right w:val="single" w:sz="2" w:space="0" w:color="auto"/>
            </w:tcBorders>
          </w:tcPr>
          <w:p w14:paraId="2F42B17B" w14:textId="77777777" w:rsidR="009F4766" w:rsidRPr="00DE12A3" w:rsidRDefault="009F4766" w:rsidP="00C917D6">
            <w:pPr>
              <w:pStyle w:val="NormalLeft"/>
              <w:rPr>
                <w:sz w:val="14"/>
                <w:szCs w:val="14"/>
              </w:rPr>
            </w:pPr>
            <w:r w:rsidRPr="00DE12A3">
              <w:rPr>
                <w:sz w:val="14"/>
                <w:szCs w:val="14"/>
              </w:rPr>
              <w:t>1,917</w:t>
            </w:r>
          </w:p>
        </w:tc>
        <w:tc>
          <w:tcPr>
            <w:tcW w:w="465" w:type="dxa"/>
            <w:tcBorders>
              <w:top w:val="single" w:sz="2" w:space="0" w:color="auto"/>
              <w:left w:val="single" w:sz="2" w:space="0" w:color="auto"/>
              <w:bottom w:val="single" w:sz="2" w:space="0" w:color="auto"/>
              <w:right w:val="single" w:sz="2" w:space="0" w:color="auto"/>
            </w:tcBorders>
          </w:tcPr>
          <w:p w14:paraId="2C9F8231" w14:textId="77777777" w:rsidR="009F4766" w:rsidRPr="00DE12A3" w:rsidRDefault="009F4766" w:rsidP="00C917D6">
            <w:pPr>
              <w:pStyle w:val="NormalLeft"/>
              <w:rPr>
                <w:sz w:val="14"/>
                <w:szCs w:val="14"/>
              </w:rPr>
            </w:pPr>
            <w:r w:rsidRPr="00DE12A3">
              <w:rPr>
                <w:sz w:val="14"/>
                <w:szCs w:val="14"/>
              </w:rPr>
              <w:t>1,866</w:t>
            </w:r>
          </w:p>
        </w:tc>
        <w:tc>
          <w:tcPr>
            <w:tcW w:w="464" w:type="dxa"/>
            <w:tcBorders>
              <w:top w:val="single" w:sz="2" w:space="0" w:color="auto"/>
              <w:left w:val="single" w:sz="2" w:space="0" w:color="auto"/>
              <w:bottom w:val="single" w:sz="2" w:space="0" w:color="auto"/>
              <w:right w:val="single" w:sz="2" w:space="0" w:color="auto"/>
            </w:tcBorders>
          </w:tcPr>
          <w:p w14:paraId="7E5268B7" w14:textId="77777777" w:rsidR="009F4766" w:rsidRPr="00DE12A3" w:rsidRDefault="009F4766" w:rsidP="00C917D6">
            <w:pPr>
              <w:pStyle w:val="NormalLeft"/>
              <w:rPr>
                <w:sz w:val="14"/>
                <w:szCs w:val="14"/>
              </w:rPr>
            </w:pPr>
            <w:r w:rsidRPr="00DE12A3">
              <w:rPr>
                <w:sz w:val="14"/>
                <w:szCs w:val="14"/>
              </w:rPr>
              <w:t>1,812</w:t>
            </w:r>
          </w:p>
        </w:tc>
      </w:tr>
      <w:tr w:rsidR="00DE12A3" w:rsidRPr="00DE12A3" w14:paraId="0D3B6E84" w14:textId="77777777" w:rsidTr="009F4766">
        <w:tc>
          <w:tcPr>
            <w:tcW w:w="464" w:type="dxa"/>
            <w:tcBorders>
              <w:top w:val="single" w:sz="2" w:space="0" w:color="auto"/>
              <w:left w:val="single" w:sz="2" w:space="0" w:color="auto"/>
              <w:bottom w:val="single" w:sz="2" w:space="0" w:color="auto"/>
              <w:right w:val="single" w:sz="2" w:space="0" w:color="auto"/>
            </w:tcBorders>
          </w:tcPr>
          <w:p w14:paraId="14A502FB" w14:textId="77777777" w:rsidR="009F4766" w:rsidRPr="00DE12A3" w:rsidRDefault="009F4766" w:rsidP="00C917D6">
            <w:pPr>
              <w:pStyle w:val="NormalLeft"/>
              <w:rPr>
                <w:sz w:val="14"/>
                <w:szCs w:val="14"/>
              </w:rPr>
            </w:pPr>
            <w:r w:rsidRPr="00DE12A3">
              <w:rPr>
                <w:sz w:val="14"/>
                <w:szCs w:val="14"/>
              </w:rPr>
              <w:t>22</w:t>
            </w:r>
          </w:p>
        </w:tc>
        <w:tc>
          <w:tcPr>
            <w:tcW w:w="465" w:type="dxa"/>
            <w:tcBorders>
              <w:top w:val="single" w:sz="2" w:space="0" w:color="auto"/>
              <w:left w:val="single" w:sz="2" w:space="0" w:color="auto"/>
              <w:bottom w:val="single" w:sz="2" w:space="0" w:color="auto"/>
              <w:right w:val="single" w:sz="2" w:space="0" w:color="auto"/>
            </w:tcBorders>
          </w:tcPr>
          <w:p w14:paraId="19701DC5" w14:textId="77777777" w:rsidR="009F4766" w:rsidRPr="00DE12A3" w:rsidRDefault="009F4766" w:rsidP="00C917D6">
            <w:pPr>
              <w:pStyle w:val="NormalLeft"/>
              <w:rPr>
                <w:sz w:val="14"/>
                <w:szCs w:val="14"/>
              </w:rPr>
            </w:pPr>
            <w:r w:rsidRPr="00DE12A3">
              <w:rPr>
                <w:sz w:val="14"/>
                <w:szCs w:val="14"/>
              </w:rPr>
              <w:t>4,301</w:t>
            </w:r>
          </w:p>
        </w:tc>
        <w:tc>
          <w:tcPr>
            <w:tcW w:w="464" w:type="dxa"/>
            <w:tcBorders>
              <w:top w:val="single" w:sz="2" w:space="0" w:color="auto"/>
              <w:left w:val="single" w:sz="2" w:space="0" w:color="auto"/>
              <w:bottom w:val="single" w:sz="2" w:space="0" w:color="auto"/>
              <w:right w:val="single" w:sz="2" w:space="0" w:color="auto"/>
            </w:tcBorders>
          </w:tcPr>
          <w:p w14:paraId="7D32C616" w14:textId="77777777" w:rsidR="009F4766" w:rsidRPr="00DE12A3" w:rsidRDefault="009F4766" w:rsidP="00C917D6">
            <w:pPr>
              <w:pStyle w:val="NormalLeft"/>
              <w:rPr>
                <w:sz w:val="14"/>
                <w:szCs w:val="14"/>
              </w:rPr>
            </w:pPr>
            <w:r w:rsidRPr="00DE12A3">
              <w:rPr>
                <w:sz w:val="14"/>
                <w:szCs w:val="14"/>
              </w:rPr>
              <w:t>3,443</w:t>
            </w:r>
          </w:p>
        </w:tc>
        <w:tc>
          <w:tcPr>
            <w:tcW w:w="464" w:type="dxa"/>
            <w:tcBorders>
              <w:top w:val="single" w:sz="2" w:space="0" w:color="auto"/>
              <w:left w:val="single" w:sz="2" w:space="0" w:color="auto"/>
              <w:bottom w:val="single" w:sz="2" w:space="0" w:color="auto"/>
              <w:right w:val="single" w:sz="2" w:space="0" w:color="auto"/>
            </w:tcBorders>
          </w:tcPr>
          <w:p w14:paraId="1FE62AB0" w14:textId="77777777" w:rsidR="009F4766" w:rsidRPr="00DE12A3" w:rsidRDefault="009F4766" w:rsidP="00C917D6">
            <w:pPr>
              <w:pStyle w:val="NormalLeft"/>
              <w:rPr>
                <w:sz w:val="14"/>
                <w:szCs w:val="14"/>
              </w:rPr>
            </w:pPr>
            <w:r w:rsidRPr="00DE12A3">
              <w:rPr>
                <w:sz w:val="14"/>
                <w:szCs w:val="14"/>
              </w:rPr>
              <w:t>3,049</w:t>
            </w:r>
          </w:p>
        </w:tc>
        <w:tc>
          <w:tcPr>
            <w:tcW w:w="465" w:type="dxa"/>
            <w:tcBorders>
              <w:top w:val="single" w:sz="2" w:space="0" w:color="auto"/>
              <w:left w:val="single" w:sz="2" w:space="0" w:color="auto"/>
              <w:bottom w:val="single" w:sz="2" w:space="0" w:color="auto"/>
              <w:right w:val="single" w:sz="2" w:space="0" w:color="auto"/>
            </w:tcBorders>
          </w:tcPr>
          <w:p w14:paraId="5C005C9B" w14:textId="77777777" w:rsidR="009F4766" w:rsidRPr="00DE12A3" w:rsidRDefault="009F4766" w:rsidP="00C917D6">
            <w:pPr>
              <w:pStyle w:val="NormalLeft"/>
              <w:rPr>
                <w:sz w:val="14"/>
                <w:szCs w:val="14"/>
              </w:rPr>
            </w:pPr>
            <w:r w:rsidRPr="00DE12A3">
              <w:rPr>
                <w:sz w:val="14"/>
                <w:szCs w:val="14"/>
              </w:rPr>
              <w:t>2,817</w:t>
            </w:r>
          </w:p>
        </w:tc>
        <w:tc>
          <w:tcPr>
            <w:tcW w:w="464" w:type="dxa"/>
            <w:tcBorders>
              <w:top w:val="single" w:sz="2" w:space="0" w:color="auto"/>
              <w:left w:val="single" w:sz="2" w:space="0" w:color="auto"/>
              <w:bottom w:val="single" w:sz="2" w:space="0" w:color="auto"/>
              <w:right w:val="single" w:sz="2" w:space="0" w:color="auto"/>
            </w:tcBorders>
          </w:tcPr>
          <w:p w14:paraId="14ED88C4" w14:textId="77777777" w:rsidR="009F4766" w:rsidRPr="00DE12A3" w:rsidRDefault="009F4766" w:rsidP="00C917D6">
            <w:pPr>
              <w:pStyle w:val="NormalLeft"/>
              <w:rPr>
                <w:sz w:val="14"/>
                <w:szCs w:val="14"/>
              </w:rPr>
            </w:pPr>
            <w:r w:rsidRPr="00DE12A3">
              <w:rPr>
                <w:sz w:val="14"/>
                <w:szCs w:val="14"/>
              </w:rPr>
              <w:t>2,661</w:t>
            </w:r>
          </w:p>
        </w:tc>
        <w:tc>
          <w:tcPr>
            <w:tcW w:w="464" w:type="dxa"/>
            <w:tcBorders>
              <w:top w:val="single" w:sz="2" w:space="0" w:color="auto"/>
              <w:left w:val="single" w:sz="2" w:space="0" w:color="auto"/>
              <w:bottom w:val="single" w:sz="2" w:space="0" w:color="auto"/>
              <w:right w:val="single" w:sz="2" w:space="0" w:color="auto"/>
            </w:tcBorders>
          </w:tcPr>
          <w:p w14:paraId="77A4949A" w14:textId="77777777" w:rsidR="009F4766" w:rsidRPr="00DE12A3" w:rsidRDefault="009F4766" w:rsidP="00C917D6">
            <w:pPr>
              <w:pStyle w:val="NormalLeft"/>
              <w:rPr>
                <w:sz w:val="14"/>
                <w:szCs w:val="14"/>
              </w:rPr>
            </w:pPr>
            <w:r w:rsidRPr="00DE12A3">
              <w:rPr>
                <w:sz w:val="14"/>
                <w:szCs w:val="14"/>
              </w:rPr>
              <w:t>2,549</w:t>
            </w:r>
          </w:p>
        </w:tc>
        <w:tc>
          <w:tcPr>
            <w:tcW w:w="464" w:type="dxa"/>
            <w:tcBorders>
              <w:top w:val="single" w:sz="2" w:space="0" w:color="auto"/>
              <w:left w:val="single" w:sz="2" w:space="0" w:color="auto"/>
              <w:bottom w:val="single" w:sz="2" w:space="0" w:color="auto"/>
              <w:right w:val="single" w:sz="2" w:space="0" w:color="auto"/>
            </w:tcBorders>
          </w:tcPr>
          <w:p w14:paraId="7FE5CA22" w14:textId="77777777" w:rsidR="009F4766" w:rsidRPr="00DE12A3" w:rsidRDefault="009F4766" w:rsidP="00C917D6">
            <w:pPr>
              <w:pStyle w:val="NormalLeft"/>
              <w:rPr>
                <w:sz w:val="14"/>
                <w:szCs w:val="14"/>
              </w:rPr>
            </w:pPr>
            <w:r w:rsidRPr="00DE12A3">
              <w:rPr>
                <w:sz w:val="14"/>
                <w:szCs w:val="14"/>
              </w:rPr>
              <w:t>2,464</w:t>
            </w:r>
          </w:p>
        </w:tc>
        <w:tc>
          <w:tcPr>
            <w:tcW w:w="465" w:type="dxa"/>
            <w:tcBorders>
              <w:top w:val="single" w:sz="2" w:space="0" w:color="auto"/>
              <w:left w:val="single" w:sz="2" w:space="0" w:color="auto"/>
              <w:bottom w:val="single" w:sz="2" w:space="0" w:color="auto"/>
              <w:right w:val="single" w:sz="2" w:space="0" w:color="auto"/>
            </w:tcBorders>
          </w:tcPr>
          <w:p w14:paraId="2D8873A9" w14:textId="77777777" w:rsidR="009F4766" w:rsidRPr="00DE12A3" w:rsidRDefault="009F4766" w:rsidP="00C917D6">
            <w:pPr>
              <w:pStyle w:val="NormalLeft"/>
              <w:rPr>
                <w:sz w:val="14"/>
                <w:szCs w:val="14"/>
              </w:rPr>
            </w:pPr>
            <w:r w:rsidRPr="00DE12A3">
              <w:rPr>
                <w:sz w:val="14"/>
                <w:szCs w:val="14"/>
              </w:rPr>
              <w:t>2,397</w:t>
            </w:r>
          </w:p>
        </w:tc>
        <w:tc>
          <w:tcPr>
            <w:tcW w:w="464" w:type="dxa"/>
            <w:tcBorders>
              <w:top w:val="single" w:sz="2" w:space="0" w:color="auto"/>
              <w:left w:val="single" w:sz="2" w:space="0" w:color="auto"/>
              <w:bottom w:val="single" w:sz="2" w:space="0" w:color="auto"/>
              <w:right w:val="single" w:sz="2" w:space="0" w:color="auto"/>
            </w:tcBorders>
          </w:tcPr>
          <w:p w14:paraId="66C9F73B" w14:textId="77777777" w:rsidR="009F4766" w:rsidRPr="00DE12A3" w:rsidRDefault="009F4766" w:rsidP="00C917D6">
            <w:pPr>
              <w:pStyle w:val="NormalLeft"/>
              <w:rPr>
                <w:sz w:val="14"/>
                <w:szCs w:val="14"/>
              </w:rPr>
            </w:pPr>
            <w:r w:rsidRPr="00DE12A3">
              <w:rPr>
                <w:sz w:val="14"/>
                <w:szCs w:val="14"/>
              </w:rPr>
              <w:t>2,342</w:t>
            </w:r>
          </w:p>
        </w:tc>
        <w:tc>
          <w:tcPr>
            <w:tcW w:w="464" w:type="dxa"/>
            <w:tcBorders>
              <w:top w:val="single" w:sz="2" w:space="0" w:color="auto"/>
              <w:left w:val="single" w:sz="2" w:space="0" w:color="auto"/>
              <w:bottom w:val="single" w:sz="2" w:space="0" w:color="auto"/>
              <w:right w:val="single" w:sz="2" w:space="0" w:color="auto"/>
            </w:tcBorders>
          </w:tcPr>
          <w:p w14:paraId="6D1E6E4B" w14:textId="77777777" w:rsidR="009F4766" w:rsidRPr="00DE12A3" w:rsidRDefault="009F4766" w:rsidP="00C917D6">
            <w:pPr>
              <w:pStyle w:val="NormalLeft"/>
              <w:rPr>
                <w:sz w:val="14"/>
                <w:szCs w:val="14"/>
              </w:rPr>
            </w:pPr>
            <w:r w:rsidRPr="00DE12A3">
              <w:rPr>
                <w:sz w:val="14"/>
                <w:szCs w:val="14"/>
              </w:rPr>
              <w:t>2,297</w:t>
            </w:r>
          </w:p>
        </w:tc>
        <w:tc>
          <w:tcPr>
            <w:tcW w:w="465" w:type="dxa"/>
            <w:tcBorders>
              <w:top w:val="single" w:sz="2" w:space="0" w:color="auto"/>
              <w:left w:val="single" w:sz="2" w:space="0" w:color="auto"/>
              <w:bottom w:val="single" w:sz="2" w:space="0" w:color="auto"/>
              <w:right w:val="single" w:sz="2" w:space="0" w:color="auto"/>
            </w:tcBorders>
          </w:tcPr>
          <w:p w14:paraId="437A279C" w14:textId="77777777" w:rsidR="009F4766" w:rsidRPr="00DE12A3" w:rsidRDefault="009F4766" w:rsidP="00C917D6">
            <w:pPr>
              <w:pStyle w:val="NormalLeft"/>
              <w:rPr>
                <w:sz w:val="14"/>
                <w:szCs w:val="14"/>
              </w:rPr>
            </w:pPr>
            <w:r w:rsidRPr="00DE12A3">
              <w:rPr>
                <w:sz w:val="14"/>
                <w:szCs w:val="14"/>
              </w:rPr>
              <w:t>2,226</w:t>
            </w:r>
          </w:p>
        </w:tc>
        <w:tc>
          <w:tcPr>
            <w:tcW w:w="464" w:type="dxa"/>
            <w:tcBorders>
              <w:top w:val="single" w:sz="2" w:space="0" w:color="auto"/>
              <w:left w:val="single" w:sz="2" w:space="0" w:color="auto"/>
              <w:bottom w:val="single" w:sz="2" w:space="0" w:color="auto"/>
              <w:right w:val="single" w:sz="2" w:space="0" w:color="auto"/>
            </w:tcBorders>
          </w:tcPr>
          <w:p w14:paraId="404E68F5" w14:textId="77777777" w:rsidR="009F4766" w:rsidRPr="00DE12A3" w:rsidRDefault="009F4766" w:rsidP="00C917D6">
            <w:pPr>
              <w:pStyle w:val="NormalLeft"/>
              <w:rPr>
                <w:sz w:val="14"/>
                <w:szCs w:val="14"/>
              </w:rPr>
            </w:pPr>
            <w:r w:rsidRPr="00DE12A3">
              <w:rPr>
                <w:sz w:val="14"/>
                <w:szCs w:val="14"/>
              </w:rPr>
              <w:t>2,151</w:t>
            </w:r>
          </w:p>
        </w:tc>
        <w:tc>
          <w:tcPr>
            <w:tcW w:w="464" w:type="dxa"/>
            <w:tcBorders>
              <w:top w:val="single" w:sz="2" w:space="0" w:color="auto"/>
              <w:left w:val="single" w:sz="2" w:space="0" w:color="auto"/>
              <w:bottom w:val="single" w:sz="2" w:space="0" w:color="auto"/>
              <w:right w:val="single" w:sz="2" w:space="0" w:color="auto"/>
            </w:tcBorders>
          </w:tcPr>
          <w:p w14:paraId="1B1D5E51" w14:textId="77777777" w:rsidR="009F4766" w:rsidRPr="00DE12A3" w:rsidRDefault="009F4766" w:rsidP="00C917D6">
            <w:pPr>
              <w:pStyle w:val="NormalLeft"/>
              <w:rPr>
                <w:sz w:val="14"/>
                <w:szCs w:val="14"/>
              </w:rPr>
            </w:pPr>
            <w:r w:rsidRPr="00DE12A3">
              <w:rPr>
                <w:sz w:val="14"/>
                <w:szCs w:val="14"/>
              </w:rPr>
              <w:t>2,071</w:t>
            </w:r>
          </w:p>
        </w:tc>
        <w:tc>
          <w:tcPr>
            <w:tcW w:w="465" w:type="dxa"/>
            <w:tcBorders>
              <w:top w:val="single" w:sz="2" w:space="0" w:color="auto"/>
              <w:left w:val="single" w:sz="2" w:space="0" w:color="auto"/>
              <w:bottom w:val="single" w:sz="2" w:space="0" w:color="auto"/>
              <w:right w:val="single" w:sz="2" w:space="0" w:color="auto"/>
            </w:tcBorders>
          </w:tcPr>
          <w:p w14:paraId="50B7FEB3" w14:textId="77777777" w:rsidR="009F4766" w:rsidRPr="00DE12A3" w:rsidRDefault="009F4766" w:rsidP="00C917D6">
            <w:pPr>
              <w:pStyle w:val="NormalLeft"/>
              <w:rPr>
                <w:sz w:val="14"/>
                <w:szCs w:val="14"/>
              </w:rPr>
            </w:pPr>
            <w:r w:rsidRPr="00DE12A3">
              <w:rPr>
                <w:sz w:val="14"/>
                <w:szCs w:val="14"/>
              </w:rPr>
              <w:t>2,028</w:t>
            </w:r>
          </w:p>
        </w:tc>
        <w:tc>
          <w:tcPr>
            <w:tcW w:w="464" w:type="dxa"/>
            <w:tcBorders>
              <w:top w:val="single" w:sz="2" w:space="0" w:color="auto"/>
              <w:left w:val="single" w:sz="2" w:space="0" w:color="auto"/>
              <w:bottom w:val="single" w:sz="2" w:space="0" w:color="auto"/>
              <w:right w:val="single" w:sz="2" w:space="0" w:color="auto"/>
            </w:tcBorders>
          </w:tcPr>
          <w:p w14:paraId="3DB2F87D" w14:textId="77777777" w:rsidR="009F4766" w:rsidRPr="00DE12A3" w:rsidRDefault="009F4766" w:rsidP="00C917D6">
            <w:pPr>
              <w:pStyle w:val="NormalLeft"/>
              <w:rPr>
                <w:sz w:val="14"/>
                <w:szCs w:val="14"/>
              </w:rPr>
            </w:pPr>
            <w:r w:rsidRPr="00DE12A3">
              <w:rPr>
                <w:sz w:val="14"/>
                <w:szCs w:val="14"/>
              </w:rPr>
              <w:t>1,984</w:t>
            </w:r>
          </w:p>
        </w:tc>
        <w:tc>
          <w:tcPr>
            <w:tcW w:w="464" w:type="dxa"/>
            <w:tcBorders>
              <w:top w:val="single" w:sz="2" w:space="0" w:color="auto"/>
              <w:left w:val="single" w:sz="2" w:space="0" w:color="auto"/>
              <w:bottom w:val="single" w:sz="2" w:space="0" w:color="auto"/>
              <w:right w:val="single" w:sz="2" w:space="0" w:color="auto"/>
            </w:tcBorders>
          </w:tcPr>
          <w:p w14:paraId="15F396A0" w14:textId="77777777" w:rsidR="009F4766" w:rsidRPr="00DE12A3" w:rsidRDefault="009F4766" w:rsidP="00C917D6">
            <w:pPr>
              <w:pStyle w:val="NormalLeft"/>
              <w:rPr>
                <w:sz w:val="14"/>
                <w:szCs w:val="14"/>
              </w:rPr>
            </w:pPr>
            <w:r w:rsidRPr="00DE12A3">
              <w:rPr>
                <w:sz w:val="14"/>
                <w:szCs w:val="14"/>
              </w:rPr>
              <w:t>1,938</w:t>
            </w:r>
          </w:p>
        </w:tc>
        <w:tc>
          <w:tcPr>
            <w:tcW w:w="464" w:type="dxa"/>
            <w:tcBorders>
              <w:top w:val="single" w:sz="2" w:space="0" w:color="auto"/>
              <w:left w:val="single" w:sz="2" w:space="0" w:color="auto"/>
              <w:bottom w:val="single" w:sz="2" w:space="0" w:color="auto"/>
              <w:right w:val="single" w:sz="2" w:space="0" w:color="auto"/>
            </w:tcBorders>
          </w:tcPr>
          <w:p w14:paraId="3CE628FB" w14:textId="77777777" w:rsidR="009F4766" w:rsidRPr="00DE12A3" w:rsidRDefault="009F4766" w:rsidP="00C917D6">
            <w:pPr>
              <w:pStyle w:val="NormalLeft"/>
              <w:rPr>
                <w:sz w:val="14"/>
                <w:szCs w:val="14"/>
              </w:rPr>
            </w:pPr>
            <w:r w:rsidRPr="00DE12A3">
              <w:rPr>
                <w:sz w:val="14"/>
                <w:szCs w:val="14"/>
              </w:rPr>
              <w:t>1,889</w:t>
            </w:r>
          </w:p>
        </w:tc>
        <w:tc>
          <w:tcPr>
            <w:tcW w:w="465" w:type="dxa"/>
            <w:tcBorders>
              <w:top w:val="single" w:sz="2" w:space="0" w:color="auto"/>
              <w:left w:val="single" w:sz="2" w:space="0" w:color="auto"/>
              <w:bottom w:val="single" w:sz="2" w:space="0" w:color="auto"/>
              <w:right w:val="single" w:sz="2" w:space="0" w:color="auto"/>
            </w:tcBorders>
          </w:tcPr>
          <w:p w14:paraId="64BEE924" w14:textId="77777777" w:rsidR="009F4766" w:rsidRPr="00DE12A3" w:rsidRDefault="009F4766" w:rsidP="00C917D6">
            <w:pPr>
              <w:pStyle w:val="NormalLeft"/>
              <w:rPr>
                <w:sz w:val="14"/>
                <w:szCs w:val="14"/>
              </w:rPr>
            </w:pPr>
            <w:r w:rsidRPr="00DE12A3">
              <w:rPr>
                <w:sz w:val="14"/>
                <w:szCs w:val="14"/>
              </w:rPr>
              <w:t>1,838</w:t>
            </w:r>
          </w:p>
        </w:tc>
        <w:tc>
          <w:tcPr>
            <w:tcW w:w="464" w:type="dxa"/>
            <w:tcBorders>
              <w:top w:val="single" w:sz="2" w:space="0" w:color="auto"/>
              <w:left w:val="single" w:sz="2" w:space="0" w:color="auto"/>
              <w:bottom w:val="single" w:sz="2" w:space="0" w:color="auto"/>
              <w:right w:val="single" w:sz="2" w:space="0" w:color="auto"/>
            </w:tcBorders>
          </w:tcPr>
          <w:p w14:paraId="0B03009E" w14:textId="77777777" w:rsidR="009F4766" w:rsidRPr="00DE12A3" w:rsidRDefault="009F4766" w:rsidP="00C917D6">
            <w:pPr>
              <w:pStyle w:val="NormalLeft"/>
              <w:rPr>
                <w:sz w:val="14"/>
                <w:szCs w:val="14"/>
              </w:rPr>
            </w:pPr>
            <w:r w:rsidRPr="00DE12A3">
              <w:rPr>
                <w:sz w:val="14"/>
                <w:szCs w:val="14"/>
              </w:rPr>
              <w:t>1,783</w:t>
            </w:r>
          </w:p>
        </w:tc>
      </w:tr>
      <w:tr w:rsidR="00DE12A3" w:rsidRPr="00DE12A3" w14:paraId="3BB5B2FF" w14:textId="77777777" w:rsidTr="009F4766">
        <w:tc>
          <w:tcPr>
            <w:tcW w:w="464" w:type="dxa"/>
            <w:tcBorders>
              <w:top w:val="single" w:sz="2" w:space="0" w:color="auto"/>
              <w:left w:val="single" w:sz="2" w:space="0" w:color="auto"/>
              <w:bottom w:val="single" w:sz="2" w:space="0" w:color="auto"/>
              <w:right w:val="single" w:sz="2" w:space="0" w:color="auto"/>
            </w:tcBorders>
          </w:tcPr>
          <w:p w14:paraId="3C0B6B83" w14:textId="77777777" w:rsidR="009F4766" w:rsidRPr="00DE12A3" w:rsidRDefault="009F4766" w:rsidP="00C917D6">
            <w:pPr>
              <w:pStyle w:val="NormalLeft"/>
              <w:rPr>
                <w:sz w:val="14"/>
                <w:szCs w:val="14"/>
              </w:rPr>
            </w:pPr>
            <w:r w:rsidRPr="00DE12A3">
              <w:rPr>
                <w:sz w:val="14"/>
                <w:szCs w:val="14"/>
              </w:rPr>
              <w:t>23</w:t>
            </w:r>
          </w:p>
        </w:tc>
        <w:tc>
          <w:tcPr>
            <w:tcW w:w="465" w:type="dxa"/>
            <w:tcBorders>
              <w:top w:val="single" w:sz="2" w:space="0" w:color="auto"/>
              <w:left w:val="single" w:sz="2" w:space="0" w:color="auto"/>
              <w:bottom w:val="single" w:sz="2" w:space="0" w:color="auto"/>
              <w:right w:val="single" w:sz="2" w:space="0" w:color="auto"/>
            </w:tcBorders>
          </w:tcPr>
          <w:p w14:paraId="1D2844DA" w14:textId="77777777" w:rsidR="009F4766" w:rsidRPr="00DE12A3" w:rsidRDefault="009F4766" w:rsidP="00C917D6">
            <w:pPr>
              <w:pStyle w:val="NormalLeft"/>
              <w:rPr>
                <w:sz w:val="14"/>
                <w:szCs w:val="14"/>
              </w:rPr>
            </w:pPr>
            <w:r w:rsidRPr="00DE12A3">
              <w:rPr>
                <w:sz w:val="14"/>
                <w:szCs w:val="14"/>
              </w:rPr>
              <w:t>4,279</w:t>
            </w:r>
          </w:p>
        </w:tc>
        <w:tc>
          <w:tcPr>
            <w:tcW w:w="464" w:type="dxa"/>
            <w:tcBorders>
              <w:top w:val="single" w:sz="2" w:space="0" w:color="auto"/>
              <w:left w:val="single" w:sz="2" w:space="0" w:color="auto"/>
              <w:bottom w:val="single" w:sz="2" w:space="0" w:color="auto"/>
              <w:right w:val="single" w:sz="2" w:space="0" w:color="auto"/>
            </w:tcBorders>
          </w:tcPr>
          <w:p w14:paraId="2CE624E1" w14:textId="77777777" w:rsidR="009F4766" w:rsidRPr="00DE12A3" w:rsidRDefault="009F4766" w:rsidP="00C917D6">
            <w:pPr>
              <w:pStyle w:val="NormalLeft"/>
              <w:rPr>
                <w:sz w:val="14"/>
                <w:szCs w:val="14"/>
              </w:rPr>
            </w:pPr>
            <w:r w:rsidRPr="00DE12A3">
              <w:rPr>
                <w:sz w:val="14"/>
                <w:szCs w:val="14"/>
              </w:rPr>
              <w:t>3,422</w:t>
            </w:r>
          </w:p>
        </w:tc>
        <w:tc>
          <w:tcPr>
            <w:tcW w:w="464" w:type="dxa"/>
            <w:tcBorders>
              <w:top w:val="single" w:sz="2" w:space="0" w:color="auto"/>
              <w:left w:val="single" w:sz="2" w:space="0" w:color="auto"/>
              <w:bottom w:val="single" w:sz="2" w:space="0" w:color="auto"/>
              <w:right w:val="single" w:sz="2" w:space="0" w:color="auto"/>
            </w:tcBorders>
          </w:tcPr>
          <w:p w14:paraId="1421A2BC" w14:textId="77777777" w:rsidR="009F4766" w:rsidRPr="00DE12A3" w:rsidRDefault="009F4766" w:rsidP="00C917D6">
            <w:pPr>
              <w:pStyle w:val="NormalLeft"/>
              <w:rPr>
                <w:sz w:val="14"/>
                <w:szCs w:val="14"/>
              </w:rPr>
            </w:pPr>
            <w:r w:rsidRPr="00DE12A3">
              <w:rPr>
                <w:sz w:val="14"/>
                <w:szCs w:val="14"/>
              </w:rPr>
              <w:t>3,028</w:t>
            </w:r>
          </w:p>
        </w:tc>
        <w:tc>
          <w:tcPr>
            <w:tcW w:w="465" w:type="dxa"/>
            <w:tcBorders>
              <w:top w:val="single" w:sz="2" w:space="0" w:color="auto"/>
              <w:left w:val="single" w:sz="2" w:space="0" w:color="auto"/>
              <w:bottom w:val="single" w:sz="2" w:space="0" w:color="auto"/>
              <w:right w:val="single" w:sz="2" w:space="0" w:color="auto"/>
            </w:tcBorders>
          </w:tcPr>
          <w:p w14:paraId="696CB55A" w14:textId="77777777" w:rsidR="009F4766" w:rsidRPr="00DE12A3" w:rsidRDefault="009F4766" w:rsidP="00C917D6">
            <w:pPr>
              <w:pStyle w:val="NormalLeft"/>
              <w:rPr>
                <w:sz w:val="14"/>
                <w:szCs w:val="14"/>
              </w:rPr>
            </w:pPr>
            <w:r w:rsidRPr="00DE12A3">
              <w:rPr>
                <w:sz w:val="14"/>
                <w:szCs w:val="14"/>
              </w:rPr>
              <w:t>2,796</w:t>
            </w:r>
          </w:p>
        </w:tc>
        <w:tc>
          <w:tcPr>
            <w:tcW w:w="464" w:type="dxa"/>
            <w:tcBorders>
              <w:top w:val="single" w:sz="2" w:space="0" w:color="auto"/>
              <w:left w:val="single" w:sz="2" w:space="0" w:color="auto"/>
              <w:bottom w:val="single" w:sz="2" w:space="0" w:color="auto"/>
              <w:right w:val="single" w:sz="2" w:space="0" w:color="auto"/>
            </w:tcBorders>
          </w:tcPr>
          <w:p w14:paraId="0A761A3C" w14:textId="77777777" w:rsidR="009F4766" w:rsidRPr="00DE12A3" w:rsidRDefault="009F4766" w:rsidP="00C917D6">
            <w:pPr>
              <w:pStyle w:val="NormalLeft"/>
              <w:rPr>
                <w:sz w:val="14"/>
                <w:szCs w:val="14"/>
              </w:rPr>
            </w:pPr>
            <w:r w:rsidRPr="00DE12A3">
              <w:rPr>
                <w:sz w:val="14"/>
                <w:szCs w:val="14"/>
              </w:rPr>
              <w:t>2,640</w:t>
            </w:r>
          </w:p>
        </w:tc>
        <w:tc>
          <w:tcPr>
            <w:tcW w:w="464" w:type="dxa"/>
            <w:tcBorders>
              <w:top w:val="single" w:sz="2" w:space="0" w:color="auto"/>
              <w:left w:val="single" w:sz="2" w:space="0" w:color="auto"/>
              <w:bottom w:val="single" w:sz="2" w:space="0" w:color="auto"/>
              <w:right w:val="single" w:sz="2" w:space="0" w:color="auto"/>
            </w:tcBorders>
          </w:tcPr>
          <w:p w14:paraId="6FD92FC8" w14:textId="77777777" w:rsidR="009F4766" w:rsidRPr="00DE12A3" w:rsidRDefault="009F4766" w:rsidP="00C917D6">
            <w:pPr>
              <w:pStyle w:val="NormalLeft"/>
              <w:rPr>
                <w:sz w:val="14"/>
                <w:szCs w:val="14"/>
              </w:rPr>
            </w:pPr>
            <w:r w:rsidRPr="00DE12A3">
              <w:rPr>
                <w:sz w:val="14"/>
                <w:szCs w:val="14"/>
              </w:rPr>
              <w:t>2,528</w:t>
            </w:r>
          </w:p>
        </w:tc>
        <w:tc>
          <w:tcPr>
            <w:tcW w:w="464" w:type="dxa"/>
            <w:tcBorders>
              <w:top w:val="single" w:sz="2" w:space="0" w:color="auto"/>
              <w:left w:val="single" w:sz="2" w:space="0" w:color="auto"/>
              <w:bottom w:val="single" w:sz="2" w:space="0" w:color="auto"/>
              <w:right w:val="single" w:sz="2" w:space="0" w:color="auto"/>
            </w:tcBorders>
          </w:tcPr>
          <w:p w14:paraId="7A0B1080" w14:textId="77777777" w:rsidR="009F4766" w:rsidRPr="00DE12A3" w:rsidRDefault="009F4766" w:rsidP="00C917D6">
            <w:pPr>
              <w:pStyle w:val="NormalLeft"/>
              <w:rPr>
                <w:sz w:val="14"/>
                <w:szCs w:val="14"/>
              </w:rPr>
            </w:pPr>
            <w:r w:rsidRPr="00DE12A3">
              <w:rPr>
                <w:sz w:val="14"/>
                <w:szCs w:val="14"/>
              </w:rPr>
              <w:t>2,442</w:t>
            </w:r>
          </w:p>
        </w:tc>
        <w:tc>
          <w:tcPr>
            <w:tcW w:w="465" w:type="dxa"/>
            <w:tcBorders>
              <w:top w:val="single" w:sz="2" w:space="0" w:color="auto"/>
              <w:left w:val="single" w:sz="2" w:space="0" w:color="auto"/>
              <w:bottom w:val="single" w:sz="2" w:space="0" w:color="auto"/>
              <w:right w:val="single" w:sz="2" w:space="0" w:color="auto"/>
            </w:tcBorders>
          </w:tcPr>
          <w:p w14:paraId="158500A7" w14:textId="77777777" w:rsidR="009F4766" w:rsidRPr="00DE12A3" w:rsidRDefault="009F4766" w:rsidP="00C917D6">
            <w:pPr>
              <w:pStyle w:val="NormalLeft"/>
              <w:rPr>
                <w:sz w:val="14"/>
                <w:szCs w:val="14"/>
              </w:rPr>
            </w:pPr>
            <w:r w:rsidRPr="00DE12A3">
              <w:rPr>
                <w:sz w:val="14"/>
                <w:szCs w:val="14"/>
              </w:rPr>
              <w:t>2,375</w:t>
            </w:r>
          </w:p>
        </w:tc>
        <w:tc>
          <w:tcPr>
            <w:tcW w:w="464" w:type="dxa"/>
            <w:tcBorders>
              <w:top w:val="single" w:sz="2" w:space="0" w:color="auto"/>
              <w:left w:val="single" w:sz="2" w:space="0" w:color="auto"/>
              <w:bottom w:val="single" w:sz="2" w:space="0" w:color="auto"/>
              <w:right w:val="single" w:sz="2" w:space="0" w:color="auto"/>
            </w:tcBorders>
          </w:tcPr>
          <w:p w14:paraId="2A76CDC7" w14:textId="77777777" w:rsidR="009F4766" w:rsidRPr="00DE12A3" w:rsidRDefault="009F4766" w:rsidP="00C917D6">
            <w:pPr>
              <w:pStyle w:val="NormalLeft"/>
              <w:rPr>
                <w:sz w:val="14"/>
                <w:szCs w:val="14"/>
              </w:rPr>
            </w:pPr>
            <w:r w:rsidRPr="00DE12A3">
              <w:rPr>
                <w:sz w:val="14"/>
                <w:szCs w:val="14"/>
              </w:rPr>
              <w:t>2,320</w:t>
            </w:r>
          </w:p>
        </w:tc>
        <w:tc>
          <w:tcPr>
            <w:tcW w:w="464" w:type="dxa"/>
            <w:tcBorders>
              <w:top w:val="single" w:sz="2" w:space="0" w:color="auto"/>
              <w:left w:val="single" w:sz="2" w:space="0" w:color="auto"/>
              <w:bottom w:val="single" w:sz="2" w:space="0" w:color="auto"/>
              <w:right w:val="single" w:sz="2" w:space="0" w:color="auto"/>
            </w:tcBorders>
          </w:tcPr>
          <w:p w14:paraId="2AC10D3B" w14:textId="77777777" w:rsidR="009F4766" w:rsidRPr="00DE12A3" w:rsidRDefault="009F4766" w:rsidP="00C917D6">
            <w:pPr>
              <w:pStyle w:val="NormalLeft"/>
              <w:rPr>
                <w:sz w:val="14"/>
                <w:szCs w:val="14"/>
              </w:rPr>
            </w:pPr>
            <w:r w:rsidRPr="00DE12A3">
              <w:rPr>
                <w:sz w:val="14"/>
                <w:szCs w:val="14"/>
              </w:rPr>
              <w:t>2,275</w:t>
            </w:r>
          </w:p>
        </w:tc>
        <w:tc>
          <w:tcPr>
            <w:tcW w:w="465" w:type="dxa"/>
            <w:tcBorders>
              <w:top w:val="single" w:sz="2" w:space="0" w:color="auto"/>
              <w:left w:val="single" w:sz="2" w:space="0" w:color="auto"/>
              <w:bottom w:val="single" w:sz="2" w:space="0" w:color="auto"/>
              <w:right w:val="single" w:sz="2" w:space="0" w:color="auto"/>
            </w:tcBorders>
          </w:tcPr>
          <w:p w14:paraId="4B256447" w14:textId="77777777" w:rsidR="009F4766" w:rsidRPr="00DE12A3" w:rsidRDefault="009F4766" w:rsidP="00C917D6">
            <w:pPr>
              <w:pStyle w:val="NormalLeft"/>
              <w:rPr>
                <w:sz w:val="14"/>
                <w:szCs w:val="14"/>
              </w:rPr>
            </w:pPr>
            <w:r w:rsidRPr="00DE12A3">
              <w:rPr>
                <w:sz w:val="14"/>
                <w:szCs w:val="14"/>
              </w:rPr>
              <w:t>2,204</w:t>
            </w:r>
          </w:p>
        </w:tc>
        <w:tc>
          <w:tcPr>
            <w:tcW w:w="464" w:type="dxa"/>
            <w:tcBorders>
              <w:top w:val="single" w:sz="2" w:space="0" w:color="auto"/>
              <w:left w:val="single" w:sz="2" w:space="0" w:color="auto"/>
              <w:bottom w:val="single" w:sz="2" w:space="0" w:color="auto"/>
              <w:right w:val="single" w:sz="2" w:space="0" w:color="auto"/>
            </w:tcBorders>
          </w:tcPr>
          <w:p w14:paraId="7484DB72" w14:textId="77777777" w:rsidR="009F4766" w:rsidRPr="00DE12A3" w:rsidRDefault="009F4766" w:rsidP="00C917D6">
            <w:pPr>
              <w:pStyle w:val="NormalLeft"/>
              <w:rPr>
                <w:sz w:val="14"/>
                <w:szCs w:val="14"/>
              </w:rPr>
            </w:pPr>
            <w:r w:rsidRPr="00DE12A3">
              <w:rPr>
                <w:sz w:val="14"/>
                <w:szCs w:val="14"/>
              </w:rPr>
              <w:t>2,128</w:t>
            </w:r>
          </w:p>
        </w:tc>
        <w:tc>
          <w:tcPr>
            <w:tcW w:w="464" w:type="dxa"/>
            <w:tcBorders>
              <w:top w:val="single" w:sz="2" w:space="0" w:color="auto"/>
              <w:left w:val="single" w:sz="2" w:space="0" w:color="auto"/>
              <w:bottom w:val="single" w:sz="2" w:space="0" w:color="auto"/>
              <w:right w:val="single" w:sz="2" w:space="0" w:color="auto"/>
            </w:tcBorders>
          </w:tcPr>
          <w:p w14:paraId="27E39495" w14:textId="77777777" w:rsidR="009F4766" w:rsidRPr="00DE12A3" w:rsidRDefault="009F4766" w:rsidP="00C917D6">
            <w:pPr>
              <w:pStyle w:val="NormalLeft"/>
              <w:rPr>
                <w:sz w:val="14"/>
                <w:szCs w:val="14"/>
              </w:rPr>
            </w:pPr>
            <w:r w:rsidRPr="00DE12A3">
              <w:rPr>
                <w:sz w:val="14"/>
                <w:szCs w:val="14"/>
              </w:rPr>
              <w:t>2,048</w:t>
            </w:r>
          </w:p>
        </w:tc>
        <w:tc>
          <w:tcPr>
            <w:tcW w:w="465" w:type="dxa"/>
            <w:tcBorders>
              <w:top w:val="single" w:sz="2" w:space="0" w:color="auto"/>
              <w:left w:val="single" w:sz="2" w:space="0" w:color="auto"/>
              <w:bottom w:val="single" w:sz="2" w:space="0" w:color="auto"/>
              <w:right w:val="single" w:sz="2" w:space="0" w:color="auto"/>
            </w:tcBorders>
          </w:tcPr>
          <w:p w14:paraId="60C7EED2" w14:textId="77777777" w:rsidR="009F4766" w:rsidRPr="00DE12A3" w:rsidRDefault="009F4766" w:rsidP="00C917D6">
            <w:pPr>
              <w:pStyle w:val="NormalLeft"/>
              <w:rPr>
                <w:sz w:val="14"/>
                <w:szCs w:val="14"/>
              </w:rPr>
            </w:pPr>
            <w:r w:rsidRPr="00DE12A3">
              <w:rPr>
                <w:sz w:val="14"/>
                <w:szCs w:val="14"/>
              </w:rPr>
              <w:t>2,005</w:t>
            </w:r>
          </w:p>
        </w:tc>
        <w:tc>
          <w:tcPr>
            <w:tcW w:w="464" w:type="dxa"/>
            <w:tcBorders>
              <w:top w:val="single" w:sz="2" w:space="0" w:color="auto"/>
              <w:left w:val="single" w:sz="2" w:space="0" w:color="auto"/>
              <w:bottom w:val="single" w:sz="2" w:space="0" w:color="auto"/>
              <w:right w:val="single" w:sz="2" w:space="0" w:color="auto"/>
            </w:tcBorders>
          </w:tcPr>
          <w:p w14:paraId="7121CE32" w14:textId="77777777" w:rsidR="009F4766" w:rsidRPr="00DE12A3" w:rsidRDefault="009F4766" w:rsidP="00C917D6">
            <w:pPr>
              <w:pStyle w:val="NormalLeft"/>
              <w:rPr>
                <w:sz w:val="14"/>
                <w:szCs w:val="14"/>
              </w:rPr>
            </w:pPr>
            <w:r w:rsidRPr="00DE12A3">
              <w:rPr>
                <w:sz w:val="14"/>
                <w:szCs w:val="14"/>
              </w:rPr>
              <w:t>1,961</w:t>
            </w:r>
          </w:p>
        </w:tc>
        <w:tc>
          <w:tcPr>
            <w:tcW w:w="464" w:type="dxa"/>
            <w:tcBorders>
              <w:top w:val="single" w:sz="2" w:space="0" w:color="auto"/>
              <w:left w:val="single" w:sz="2" w:space="0" w:color="auto"/>
              <w:bottom w:val="single" w:sz="2" w:space="0" w:color="auto"/>
              <w:right w:val="single" w:sz="2" w:space="0" w:color="auto"/>
            </w:tcBorders>
          </w:tcPr>
          <w:p w14:paraId="38F0412F" w14:textId="77777777" w:rsidR="009F4766" w:rsidRPr="00DE12A3" w:rsidRDefault="009F4766" w:rsidP="00C917D6">
            <w:pPr>
              <w:pStyle w:val="NormalLeft"/>
              <w:rPr>
                <w:sz w:val="14"/>
                <w:szCs w:val="14"/>
              </w:rPr>
            </w:pPr>
            <w:r w:rsidRPr="00DE12A3">
              <w:rPr>
                <w:sz w:val="14"/>
                <w:szCs w:val="14"/>
              </w:rPr>
              <w:t>1,914</w:t>
            </w:r>
          </w:p>
        </w:tc>
        <w:tc>
          <w:tcPr>
            <w:tcW w:w="464" w:type="dxa"/>
            <w:tcBorders>
              <w:top w:val="single" w:sz="2" w:space="0" w:color="auto"/>
              <w:left w:val="single" w:sz="2" w:space="0" w:color="auto"/>
              <w:bottom w:val="single" w:sz="2" w:space="0" w:color="auto"/>
              <w:right w:val="single" w:sz="2" w:space="0" w:color="auto"/>
            </w:tcBorders>
          </w:tcPr>
          <w:p w14:paraId="74018D00" w14:textId="77777777" w:rsidR="009F4766" w:rsidRPr="00DE12A3" w:rsidRDefault="009F4766" w:rsidP="00C917D6">
            <w:pPr>
              <w:pStyle w:val="NormalLeft"/>
              <w:rPr>
                <w:sz w:val="14"/>
                <w:szCs w:val="14"/>
              </w:rPr>
            </w:pPr>
            <w:r w:rsidRPr="00DE12A3">
              <w:rPr>
                <w:sz w:val="14"/>
                <w:szCs w:val="14"/>
              </w:rPr>
              <w:t>1,865</w:t>
            </w:r>
          </w:p>
        </w:tc>
        <w:tc>
          <w:tcPr>
            <w:tcW w:w="465" w:type="dxa"/>
            <w:tcBorders>
              <w:top w:val="single" w:sz="2" w:space="0" w:color="auto"/>
              <w:left w:val="single" w:sz="2" w:space="0" w:color="auto"/>
              <w:bottom w:val="single" w:sz="2" w:space="0" w:color="auto"/>
              <w:right w:val="single" w:sz="2" w:space="0" w:color="auto"/>
            </w:tcBorders>
          </w:tcPr>
          <w:p w14:paraId="7A8B2C89" w14:textId="77777777" w:rsidR="009F4766" w:rsidRPr="00DE12A3" w:rsidRDefault="009F4766" w:rsidP="00C917D6">
            <w:pPr>
              <w:pStyle w:val="NormalLeft"/>
              <w:rPr>
                <w:sz w:val="14"/>
                <w:szCs w:val="14"/>
              </w:rPr>
            </w:pPr>
            <w:r w:rsidRPr="00DE12A3">
              <w:rPr>
                <w:sz w:val="14"/>
                <w:szCs w:val="14"/>
              </w:rPr>
              <w:t>1,813</w:t>
            </w:r>
          </w:p>
        </w:tc>
        <w:tc>
          <w:tcPr>
            <w:tcW w:w="464" w:type="dxa"/>
            <w:tcBorders>
              <w:top w:val="single" w:sz="2" w:space="0" w:color="auto"/>
              <w:left w:val="single" w:sz="2" w:space="0" w:color="auto"/>
              <w:bottom w:val="single" w:sz="2" w:space="0" w:color="auto"/>
              <w:right w:val="single" w:sz="2" w:space="0" w:color="auto"/>
            </w:tcBorders>
          </w:tcPr>
          <w:p w14:paraId="48388791" w14:textId="77777777" w:rsidR="009F4766" w:rsidRPr="00DE12A3" w:rsidRDefault="009F4766" w:rsidP="00C917D6">
            <w:pPr>
              <w:pStyle w:val="NormalLeft"/>
              <w:rPr>
                <w:sz w:val="14"/>
                <w:szCs w:val="14"/>
              </w:rPr>
            </w:pPr>
            <w:r w:rsidRPr="00DE12A3">
              <w:rPr>
                <w:sz w:val="14"/>
                <w:szCs w:val="14"/>
              </w:rPr>
              <w:t>1,757</w:t>
            </w:r>
          </w:p>
        </w:tc>
      </w:tr>
      <w:tr w:rsidR="00DE12A3" w:rsidRPr="00DE12A3" w14:paraId="5CEEC94D" w14:textId="77777777" w:rsidTr="009F4766">
        <w:tc>
          <w:tcPr>
            <w:tcW w:w="464" w:type="dxa"/>
            <w:tcBorders>
              <w:top w:val="single" w:sz="2" w:space="0" w:color="auto"/>
              <w:left w:val="single" w:sz="2" w:space="0" w:color="auto"/>
              <w:bottom w:val="single" w:sz="2" w:space="0" w:color="auto"/>
              <w:right w:val="single" w:sz="2" w:space="0" w:color="auto"/>
            </w:tcBorders>
          </w:tcPr>
          <w:p w14:paraId="44A0BB00" w14:textId="77777777" w:rsidR="009F4766" w:rsidRPr="00DE12A3" w:rsidRDefault="009F4766" w:rsidP="00C917D6">
            <w:pPr>
              <w:pStyle w:val="NormalLeft"/>
              <w:rPr>
                <w:sz w:val="14"/>
                <w:szCs w:val="14"/>
              </w:rPr>
            </w:pPr>
            <w:r w:rsidRPr="00DE12A3">
              <w:rPr>
                <w:sz w:val="14"/>
                <w:szCs w:val="14"/>
              </w:rPr>
              <w:t>24</w:t>
            </w:r>
          </w:p>
        </w:tc>
        <w:tc>
          <w:tcPr>
            <w:tcW w:w="465" w:type="dxa"/>
            <w:tcBorders>
              <w:top w:val="single" w:sz="2" w:space="0" w:color="auto"/>
              <w:left w:val="single" w:sz="2" w:space="0" w:color="auto"/>
              <w:bottom w:val="single" w:sz="2" w:space="0" w:color="auto"/>
              <w:right w:val="single" w:sz="2" w:space="0" w:color="auto"/>
            </w:tcBorders>
          </w:tcPr>
          <w:p w14:paraId="6532CB16" w14:textId="77777777" w:rsidR="009F4766" w:rsidRPr="00DE12A3" w:rsidRDefault="009F4766" w:rsidP="00C917D6">
            <w:pPr>
              <w:pStyle w:val="NormalLeft"/>
              <w:rPr>
                <w:sz w:val="14"/>
                <w:szCs w:val="14"/>
              </w:rPr>
            </w:pPr>
            <w:r w:rsidRPr="00DE12A3">
              <w:rPr>
                <w:sz w:val="14"/>
                <w:szCs w:val="14"/>
              </w:rPr>
              <w:t>4,260</w:t>
            </w:r>
          </w:p>
        </w:tc>
        <w:tc>
          <w:tcPr>
            <w:tcW w:w="464" w:type="dxa"/>
            <w:tcBorders>
              <w:top w:val="single" w:sz="2" w:space="0" w:color="auto"/>
              <w:left w:val="single" w:sz="2" w:space="0" w:color="auto"/>
              <w:bottom w:val="single" w:sz="2" w:space="0" w:color="auto"/>
              <w:right w:val="single" w:sz="2" w:space="0" w:color="auto"/>
            </w:tcBorders>
          </w:tcPr>
          <w:p w14:paraId="68A5EDE5" w14:textId="77777777" w:rsidR="009F4766" w:rsidRPr="00DE12A3" w:rsidRDefault="009F4766" w:rsidP="00C917D6">
            <w:pPr>
              <w:pStyle w:val="NormalLeft"/>
              <w:rPr>
                <w:sz w:val="14"/>
                <w:szCs w:val="14"/>
              </w:rPr>
            </w:pPr>
            <w:r w:rsidRPr="00DE12A3">
              <w:rPr>
                <w:sz w:val="14"/>
                <w:szCs w:val="14"/>
              </w:rPr>
              <w:t>3,403</w:t>
            </w:r>
          </w:p>
        </w:tc>
        <w:tc>
          <w:tcPr>
            <w:tcW w:w="464" w:type="dxa"/>
            <w:tcBorders>
              <w:top w:val="single" w:sz="2" w:space="0" w:color="auto"/>
              <w:left w:val="single" w:sz="2" w:space="0" w:color="auto"/>
              <w:bottom w:val="single" w:sz="2" w:space="0" w:color="auto"/>
              <w:right w:val="single" w:sz="2" w:space="0" w:color="auto"/>
            </w:tcBorders>
          </w:tcPr>
          <w:p w14:paraId="40A46167" w14:textId="77777777" w:rsidR="009F4766" w:rsidRPr="00DE12A3" w:rsidRDefault="009F4766" w:rsidP="00C917D6">
            <w:pPr>
              <w:pStyle w:val="NormalLeft"/>
              <w:rPr>
                <w:sz w:val="14"/>
                <w:szCs w:val="14"/>
              </w:rPr>
            </w:pPr>
            <w:r w:rsidRPr="00DE12A3">
              <w:rPr>
                <w:sz w:val="14"/>
                <w:szCs w:val="14"/>
              </w:rPr>
              <w:t>3,009</w:t>
            </w:r>
          </w:p>
        </w:tc>
        <w:tc>
          <w:tcPr>
            <w:tcW w:w="465" w:type="dxa"/>
            <w:tcBorders>
              <w:top w:val="single" w:sz="2" w:space="0" w:color="auto"/>
              <w:left w:val="single" w:sz="2" w:space="0" w:color="auto"/>
              <w:bottom w:val="single" w:sz="2" w:space="0" w:color="auto"/>
              <w:right w:val="single" w:sz="2" w:space="0" w:color="auto"/>
            </w:tcBorders>
          </w:tcPr>
          <w:p w14:paraId="7D3985E1" w14:textId="77777777" w:rsidR="009F4766" w:rsidRPr="00DE12A3" w:rsidRDefault="009F4766" w:rsidP="00C917D6">
            <w:pPr>
              <w:pStyle w:val="NormalLeft"/>
              <w:rPr>
                <w:sz w:val="14"/>
                <w:szCs w:val="14"/>
              </w:rPr>
            </w:pPr>
            <w:r w:rsidRPr="00DE12A3">
              <w:rPr>
                <w:sz w:val="14"/>
                <w:szCs w:val="14"/>
              </w:rPr>
              <w:t>2,776</w:t>
            </w:r>
          </w:p>
        </w:tc>
        <w:tc>
          <w:tcPr>
            <w:tcW w:w="464" w:type="dxa"/>
            <w:tcBorders>
              <w:top w:val="single" w:sz="2" w:space="0" w:color="auto"/>
              <w:left w:val="single" w:sz="2" w:space="0" w:color="auto"/>
              <w:bottom w:val="single" w:sz="2" w:space="0" w:color="auto"/>
              <w:right w:val="single" w:sz="2" w:space="0" w:color="auto"/>
            </w:tcBorders>
          </w:tcPr>
          <w:p w14:paraId="22D2044C" w14:textId="77777777" w:rsidR="009F4766" w:rsidRPr="00DE12A3" w:rsidRDefault="009F4766" w:rsidP="00C917D6">
            <w:pPr>
              <w:pStyle w:val="NormalLeft"/>
              <w:rPr>
                <w:sz w:val="14"/>
                <w:szCs w:val="14"/>
              </w:rPr>
            </w:pPr>
            <w:r w:rsidRPr="00DE12A3">
              <w:rPr>
                <w:sz w:val="14"/>
                <w:szCs w:val="14"/>
              </w:rPr>
              <w:t>2,621</w:t>
            </w:r>
          </w:p>
        </w:tc>
        <w:tc>
          <w:tcPr>
            <w:tcW w:w="464" w:type="dxa"/>
            <w:tcBorders>
              <w:top w:val="single" w:sz="2" w:space="0" w:color="auto"/>
              <w:left w:val="single" w:sz="2" w:space="0" w:color="auto"/>
              <w:bottom w:val="single" w:sz="2" w:space="0" w:color="auto"/>
              <w:right w:val="single" w:sz="2" w:space="0" w:color="auto"/>
            </w:tcBorders>
          </w:tcPr>
          <w:p w14:paraId="6DFB9F50" w14:textId="77777777" w:rsidR="009F4766" w:rsidRPr="00DE12A3" w:rsidRDefault="009F4766" w:rsidP="00C917D6">
            <w:pPr>
              <w:pStyle w:val="NormalLeft"/>
              <w:rPr>
                <w:sz w:val="14"/>
                <w:szCs w:val="14"/>
              </w:rPr>
            </w:pPr>
            <w:r w:rsidRPr="00DE12A3">
              <w:rPr>
                <w:sz w:val="14"/>
                <w:szCs w:val="14"/>
              </w:rPr>
              <w:t>2,508</w:t>
            </w:r>
          </w:p>
        </w:tc>
        <w:tc>
          <w:tcPr>
            <w:tcW w:w="464" w:type="dxa"/>
            <w:tcBorders>
              <w:top w:val="single" w:sz="2" w:space="0" w:color="auto"/>
              <w:left w:val="single" w:sz="2" w:space="0" w:color="auto"/>
              <w:bottom w:val="single" w:sz="2" w:space="0" w:color="auto"/>
              <w:right w:val="single" w:sz="2" w:space="0" w:color="auto"/>
            </w:tcBorders>
          </w:tcPr>
          <w:p w14:paraId="691BB9BE" w14:textId="77777777" w:rsidR="009F4766" w:rsidRPr="00DE12A3" w:rsidRDefault="009F4766" w:rsidP="00C917D6">
            <w:pPr>
              <w:pStyle w:val="NormalLeft"/>
              <w:rPr>
                <w:sz w:val="14"/>
                <w:szCs w:val="14"/>
              </w:rPr>
            </w:pPr>
            <w:r w:rsidRPr="00DE12A3">
              <w:rPr>
                <w:sz w:val="14"/>
                <w:szCs w:val="14"/>
              </w:rPr>
              <w:t>2,423</w:t>
            </w:r>
          </w:p>
        </w:tc>
        <w:tc>
          <w:tcPr>
            <w:tcW w:w="465" w:type="dxa"/>
            <w:tcBorders>
              <w:top w:val="single" w:sz="2" w:space="0" w:color="auto"/>
              <w:left w:val="single" w:sz="2" w:space="0" w:color="auto"/>
              <w:bottom w:val="single" w:sz="2" w:space="0" w:color="auto"/>
              <w:right w:val="single" w:sz="2" w:space="0" w:color="auto"/>
            </w:tcBorders>
          </w:tcPr>
          <w:p w14:paraId="67B1ADA0" w14:textId="77777777" w:rsidR="009F4766" w:rsidRPr="00DE12A3" w:rsidRDefault="009F4766" w:rsidP="00C917D6">
            <w:pPr>
              <w:pStyle w:val="NormalLeft"/>
              <w:rPr>
                <w:sz w:val="14"/>
                <w:szCs w:val="14"/>
              </w:rPr>
            </w:pPr>
            <w:r w:rsidRPr="00DE12A3">
              <w:rPr>
                <w:sz w:val="14"/>
                <w:szCs w:val="14"/>
              </w:rPr>
              <w:t>2,355</w:t>
            </w:r>
          </w:p>
        </w:tc>
        <w:tc>
          <w:tcPr>
            <w:tcW w:w="464" w:type="dxa"/>
            <w:tcBorders>
              <w:top w:val="single" w:sz="2" w:space="0" w:color="auto"/>
              <w:left w:val="single" w:sz="2" w:space="0" w:color="auto"/>
              <w:bottom w:val="single" w:sz="2" w:space="0" w:color="auto"/>
              <w:right w:val="single" w:sz="2" w:space="0" w:color="auto"/>
            </w:tcBorders>
          </w:tcPr>
          <w:p w14:paraId="265EB9C7" w14:textId="77777777" w:rsidR="009F4766" w:rsidRPr="00DE12A3" w:rsidRDefault="009F4766" w:rsidP="00C917D6">
            <w:pPr>
              <w:pStyle w:val="NormalLeft"/>
              <w:rPr>
                <w:sz w:val="14"/>
                <w:szCs w:val="14"/>
              </w:rPr>
            </w:pPr>
            <w:r w:rsidRPr="00DE12A3">
              <w:rPr>
                <w:sz w:val="14"/>
                <w:szCs w:val="14"/>
              </w:rPr>
              <w:t>2,300</w:t>
            </w:r>
          </w:p>
        </w:tc>
        <w:tc>
          <w:tcPr>
            <w:tcW w:w="464" w:type="dxa"/>
            <w:tcBorders>
              <w:top w:val="single" w:sz="2" w:space="0" w:color="auto"/>
              <w:left w:val="single" w:sz="2" w:space="0" w:color="auto"/>
              <w:bottom w:val="single" w:sz="2" w:space="0" w:color="auto"/>
              <w:right w:val="single" w:sz="2" w:space="0" w:color="auto"/>
            </w:tcBorders>
          </w:tcPr>
          <w:p w14:paraId="1B09DB4A" w14:textId="77777777" w:rsidR="009F4766" w:rsidRPr="00DE12A3" w:rsidRDefault="009F4766" w:rsidP="00C917D6">
            <w:pPr>
              <w:pStyle w:val="NormalLeft"/>
              <w:rPr>
                <w:sz w:val="14"/>
                <w:szCs w:val="14"/>
              </w:rPr>
            </w:pPr>
            <w:r w:rsidRPr="00DE12A3">
              <w:rPr>
                <w:sz w:val="14"/>
                <w:szCs w:val="14"/>
              </w:rPr>
              <w:t>2,255</w:t>
            </w:r>
          </w:p>
        </w:tc>
        <w:tc>
          <w:tcPr>
            <w:tcW w:w="465" w:type="dxa"/>
            <w:tcBorders>
              <w:top w:val="single" w:sz="2" w:space="0" w:color="auto"/>
              <w:left w:val="single" w:sz="2" w:space="0" w:color="auto"/>
              <w:bottom w:val="single" w:sz="2" w:space="0" w:color="auto"/>
              <w:right w:val="single" w:sz="2" w:space="0" w:color="auto"/>
            </w:tcBorders>
          </w:tcPr>
          <w:p w14:paraId="642E711C" w14:textId="77777777" w:rsidR="009F4766" w:rsidRPr="00DE12A3" w:rsidRDefault="009F4766" w:rsidP="00C917D6">
            <w:pPr>
              <w:pStyle w:val="NormalLeft"/>
              <w:rPr>
                <w:sz w:val="14"/>
                <w:szCs w:val="14"/>
              </w:rPr>
            </w:pPr>
            <w:r w:rsidRPr="00DE12A3">
              <w:rPr>
                <w:sz w:val="14"/>
                <w:szCs w:val="14"/>
              </w:rPr>
              <w:t>2,183</w:t>
            </w:r>
          </w:p>
        </w:tc>
        <w:tc>
          <w:tcPr>
            <w:tcW w:w="464" w:type="dxa"/>
            <w:tcBorders>
              <w:top w:val="single" w:sz="2" w:space="0" w:color="auto"/>
              <w:left w:val="single" w:sz="2" w:space="0" w:color="auto"/>
              <w:bottom w:val="single" w:sz="2" w:space="0" w:color="auto"/>
              <w:right w:val="single" w:sz="2" w:space="0" w:color="auto"/>
            </w:tcBorders>
          </w:tcPr>
          <w:p w14:paraId="64B62718" w14:textId="77777777" w:rsidR="009F4766" w:rsidRPr="00DE12A3" w:rsidRDefault="009F4766" w:rsidP="00C917D6">
            <w:pPr>
              <w:pStyle w:val="NormalLeft"/>
              <w:rPr>
                <w:sz w:val="14"/>
                <w:szCs w:val="14"/>
              </w:rPr>
            </w:pPr>
            <w:r w:rsidRPr="00DE12A3">
              <w:rPr>
                <w:sz w:val="14"/>
                <w:szCs w:val="14"/>
              </w:rPr>
              <w:t>2,108</w:t>
            </w:r>
          </w:p>
        </w:tc>
        <w:tc>
          <w:tcPr>
            <w:tcW w:w="464" w:type="dxa"/>
            <w:tcBorders>
              <w:top w:val="single" w:sz="2" w:space="0" w:color="auto"/>
              <w:left w:val="single" w:sz="2" w:space="0" w:color="auto"/>
              <w:bottom w:val="single" w:sz="2" w:space="0" w:color="auto"/>
              <w:right w:val="single" w:sz="2" w:space="0" w:color="auto"/>
            </w:tcBorders>
          </w:tcPr>
          <w:p w14:paraId="3B06C173" w14:textId="77777777" w:rsidR="009F4766" w:rsidRPr="00DE12A3" w:rsidRDefault="009F4766" w:rsidP="00C917D6">
            <w:pPr>
              <w:pStyle w:val="NormalLeft"/>
              <w:rPr>
                <w:sz w:val="14"/>
                <w:szCs w:val="14"/>
              </w:rPr>
            </w:pPr>
            <w:r w:rsidRPr="00DE12A3">
              <w:rPr>
                <w:sz w:val="14"/>
                <w:szCs w:val="14"/>
              </w:rPr>
              <w:t>2,027</w:t>
            </w:r>
          </w:p>
        </w:tc>
        <w:tc>
          <w:tcPr>
            <w:tcW w:w="465" w:type="dxa"/>
            <w:tcBorders>
              <w:top w:val="single" w:sz="2" w:space="0" w:color="auto"/>
              <w:left w:val="single" w:sz="2" w:space="0" w:color="auto"/>
              <w:bottom w:val="single" w:sz="2" w:space="0" w:color="auto"/>
              <w:right w:val="single" w:sz="2" w:space="0" w:color="auto"/>
            </w:tcBorders>
          </w:tcPr>
          <w:p w14:paraId="0D382AAD" w14:textId="77777777" w:rsidR="009F4766" w:rsidRPr="00DE12A3" w:rsidRDefault="009F4766" w:rsidP="00C917D6">
            <w:pPr>
              <w:pStyle w:val="NormalLeft"/>
              <w:rPr>
                <w:sz w:val="14"/>
                <w:szCs w:val="14"/>
              </w:rPr>
            </w:pPr>
            <w:r w:rsidRPr="00DE12A3">
              <w:rPr>
                <w:sz w:val="14"/>
                <w:szCs w:val="14"/>
              </w:rPr>
              <w:t>1,984</w:t>
            </w:r>
          </w:p>
        </w:tc>
        <w:tc>
          <w:tcPr>
            <w:tcW w:w="464" w:type="dxa"/>
            <w:tcBorders>
              <w:top w:val="single" w:sz="2" w:space="0" w:color="auto"/>
              <w:left w:val="single" w:sz="2" w:space="0" w:color="auto"/>
              <w:bottom w:val="single" w:sz="2" w:space="0" w:color="auto"/>
              <w:right w:val="single" w:sz="2" w:space="0" w:color="auto"/>
            </w:tcBorders>
          </w:tcPr>
          <w:p w14:paraId="3EC9F6C7" w14:textId="77777777" w:rsidR="009F4766" w:rsidRPr="00DE12A3" w:rsidRDefault="009F4766" w:rsidP="00C917D6">
            <w:pPr>
              <w:pStyle w:val="NormalLeft"/>
              <w:rPr>
                <w:sz w:val="14"/>
                <w:szCs w:val="14"/>
              </w:rPr>
            </w:pPr>
            <w:r w:rsidRPr="00DE12A3">
              <w:rPr>
                <w:sz w:val="14"/>
                <w:szCs w:val="14"/>
              </w:rPr>
              <w:t>1,939</w:t>
            </w:r>
          </w:p>
        </w:tc>
        <w:tc>
          <w:tcPr>
            <w:tcW w:w="464" w:type="dxa"/>
            <w:tcBorders>
              <w:top w:val="single" w:sz="2" w:space="0" w:color="auto"/>
              <w:left w:val="single" w:sz="2" w:space="0" w:color="auto"/>
              <w:bottom w:val="single" w:sz="2" w:space="0" w:color="auto"/>
              <w:right w:val="single" w:sz="2" w:space="0" w:color="auto"/>
            </w:tcBorders>
          </w:tcPr>
          <w:p w14:paraId="650D1884" w14:textId="77777777" w:rsidR="009F4766" w:rsidRPr="00DE12A3" w:rsidRDefault="009F4766" w:rsidP="00C917D6">
            <w:pPr>
              <w:pStyle w:val="NormalLeft"/>
              <w:rPr>
                <w:sz w:val="14"/>
                <w:szCs w:val="14"/>
              </w:rPr>
            </w:pPr>
            <w:r w:rsidRPr="00DE12A3">
              <w:rPr>
                <w:sz w:val="14"/>
                <w:szCs w:val="14"/>
              </w:rPr>
              <w:t>1,892</w:t>
            </w:r>
          </w:p>
        </w:tc>
        <w:tc>
          <w:tcPr>
            <w:tcW w:w="464" w:type="dxa"/>
            <w:tcBorders>
              <w:top w:val="single" w:sz="2" w:space="0" w:color="auto"/>
              <w:left w:val="single" w:sz="2" w:space="0" w:color="auto"/>
              <w:bottom w:val="single" w:sz="2" w:space="0" w:color="auto"/>
              <w:right w:val="single" w:sz="2" w:space="0" w:color="auto"/>
            </w:tcBorders>
          </w:tcPr>
          <w:p w14:paraId="42727331" w14:textId="77777777" w:rsidR="009F4766" w:rsidRPr="00DE12A3" w:rsidRDefault="009F4766" w:rsidP="00C917D6">
            <w:pPr>
              <w:pStyle w:val="NormalLeft"/>
              <w:rPr>
                <w:sz w:val="14"/>
                <w:szCs w:val="14"/>
              </w:rPr>
            </w:pPr>
            <w:r w:rsidRPr="00DE12A3">
              <w:rPr>
                <w:sz w:val="14"/>
                <w:szCs w:val="14"/>
              </w:rPr>
              <w:t>1,842</w:t>
            </w:r>
          </w:p>
        </w:tc>
        <w:tc>
          <w:tcPr>
            <w:tcW w:w="465" w:type="dxa"/>
            <w:tcBorders>
              <w:top w:val="single" w:sz="2" w:space="0" w:color="auto"/>
              <w:left w:val="single" w:sz="2" w:space="0" w:color="auto"/>
              <w:bottom w:val="single" w:sz="2" w:space="0" w:color="auto"/>
              <w:right w:val="single" w:sz="2" w:space="0" w:color="auto"/>
            </w:tcBorders>
          </w:tcPr>
          <w:p w14:paraId="3BBA0694" w14:textId="77777777" w:rsidR="009F4766" w:rsidRPr="00DE12A3" w:rsidRDefault="009F4766" w:rsidP="00C917D6">
            <w:pPr>
              <w:pStyle w:val="NormalLeft"/>
              <w:rPr>
                <w:sz w:val="14"/>
                <w:szCs w:val="14"/>
              </w:rPr>
            </w:pPr>
            <w:r w:rsidRPr="00DE12A3">
              <w:rPr>
                <w:sz w:val="14"/>
                <w:szCs w:val="14"/>
              </w:rPr>
              <w:t>1,790</w:t>
            </w:r>
          </w:p>
        </w:tc>
        <w:tc>
          <w:tcPr>
            <w:tcW w:w="464" w:type="dxa"/>
            <w:tcBorders>
              <w:top w:val="single" w:sz="2" w:space="0" w:color="auto"/>
              <w:left w:val="single" w:sz="2" w:space="0" w:color="auto"/>
              <w:bottom w:val="single" w:sz="2" w:space="0" w:color="auto"/>
              <w:right w:val="single" w:sz="2" w:space="0" w:color="auto"/>
            </w:tcBorders>
          </w:tcPr>
          <w:p w14:paraId="6A9B2531" w14:textId="77777777" w:rsidR="009F4766" w:rsidRPr="00DE12A3" w:rsidRDefault="009F4766" w:rsidP="00C917D6">
            <w:pPr>
              <w:pStyle w:val="NormalLeft"/>
              <w:rPr>
                <w:sz w:val="14"/>
                <w:szCs w:val="14"/>
              </w:rPr>
            </w:pPr>
            <w:r w:rsidRPr="00DE12A3">
              <w:rPr>
                <w:sz w:val="14"/>
                <w:szCs w:val="14"/>
              </w:rPr>
              <w:t>1,733</w:t>
            </w:r>
          </w:p>
        </w:tc>
      </w:tr>
      <w:tr w:rsidR="00DE12A3" w:rsidRPr="00DE12A3" w14:paraId="6097500B" w14:textId="77777777" w:rsidTr="009F4766">
        <w:tc>
          <w:tcPr>
            <w:tcW w:w="464" w:type="dxa"/>
            <w:tcBorders>
              <w:top w:val="single" w:sz="2" w:space="0" w:color="auto"/>
              <w:left w:val="single" w:sz="2" w:space="0" w:color="auto"/>
              <w:bottom w:val="single" w:sz="2" w:space="0" w:color="auto"/>
              <w:right w:val="single" w:sz="2" w:space="0" w:color="auto"/>
            </w:tcBorders>
          </w:tcPr>
          <w:p w14:paraId="4FAD7C84" w14:textId="77777777" w:rsidR="009F4766" w:rsidRPr="00DE12A3" w:rsidRDefault="009F4766" w:rsidP="00C917D6">
            <w:pPr>
              <w:pStyle w:val="NormalLeft"/>
              <w:rPr>
                <w:sz w:val="14"/>
                <w:szCs w:val="14"/>
              </w:rPr>
            </w:pPr>
            <w:r w:rsidRPr="00DE12A3">
              <w:rPr>
                <w:sz w:val="14"/>
                <w:szCs w:val="14"/>
              </w:rPr>
              <w:t>25</w:t>
            </w:r>
          </w:p>
        </w:tc>
        <w:tc>
          <w:tcPr>
            <w:tcW w:w="465" w:type="dxa"/>
            <w:tcBorders>
              <w:top w:val="single" w:sz="2" w:space="0" w:color="auto"/>
              <w:left w:val="single" w:sz="2" w:space="0" w:color="auto"/>
              <w:bottom w:val="single" w:sz="2" w:space="0" w:color="auto"/>
              <w:right w:val="single" w:sz="2" w:space="0" w:color="auto"/>
            </w:tcBorders>
          </w:tcPr>
          <w:p w14:paraId="4D8EC339" w14:textId="77777777" w:rsidR="009F4766" w:rsidRPr="00DE12A3" w:rsidRDefault="009F4766" w:rsidP="00C917D6">
            <w:pPr>
              <w:pStyle w:val="NormalLeft"/>
              <w:rPr>
                <w:sz w:val="14"/>
                <w:szCs w:val="14"/>
              </w:rPr>
            </w:pPr>
            <w:r w:rsidRPr="00DE12A3">
              <w:rPr>
                <w:sz w:val="14"/>
                <w:szCs w:val="14"/>
              </w:rPr>
              <w:t>4,242</w:t>
            </w:r>
          </w:p>
        </w:tc>
        <w:tc>
          <w:tcPr>
            <w:tcW w:w="464" w:type="dxa"/>
            <w:tcBorders>
              <w:top w:val="single" w:sz="2" w:space="0" w:color="auto"/>
              <w:left w:val="single" w:sz="2" w:space="0" w:color="auto"/>
              <w:bottom w:val="single" w:sz="2" w:space="0" w:color="auto"/>
              <w:right w:val="single" w:sz="2" w:space="0" w:color="auto"/>
            </w:tcBorders>
          </w:tcPr>
          <w:p w14:paraId="78E4316D" w14:textId="77777777" w:rsidR="009F4766" w:rsidRPr="00DE12A3" w:rsidRDefault="009F4766" w:rsidP="00C917D6">
            <w:pPr>
              <w:pStyle w:val="NormalLeft"/>
              <w:rPr>
                <w:sz w:val="14"/>
                <w:szCs w:val="14"/>
              </w:rPr>
            </w:pPr>
            <w:r w:rsidRPr="00DE12A3">
              <w:rPr>
                <w:sz w:val="14"/>
                <w:szCs w:val="14"/>
              </w:rPr>
              <w:t>3,385</w:t>
            </w:r>
          </w:p>
        </w:tc>
        <w:tc>
          <w:tcPr>
            <w:tcW w:w="464" w:type="dxa"/>
            <w:tcBorders>
              <w:top w:val="single" w:sz="2" w:space="0" w:color="auto"/>
              <w:left w:val="single" w:sz="2" w:space="0" w:color="auto"/>
              <w:bottom w:val="single" w:sz="2" w:space="0" w:color="auto"/>
              <w:right w:val="single" w:sz="2" w:space="0" w:color="auto"/>
            </w:tcBorders>
          </w:tcPr>
          <w:p w14:paraId="65492CFD" w14:textId="77777777" w:rsidR="009F4766" w:rsidRPr="00DE12A3" w:rsidRDefault="009F4766" w:rsidP="00C917D6">
            <w:pPr>
              <w:pStyle w:val="NormalLeft"/>
              <w:rPr>
                <w:sz w:val="14"/>
                <w:szCs w:val="14"/>
              </w:rPr>
            </w:pPr>
            <w:r w:rsidRPr="00DE12A3">
              <w:rPr>
                <w:sz w:val="14"/>
                <w:szCs w:val="14"/>
              </w:rPr>
              <w:t>2,991</w:t>
            </w:r>
          </w:p>
        </w:tc>
        <w:tc>
          <w:tcPr>
            <w:tcW w:w="465" w:type="dxa"/>
            <w:tcBorders>
              <w:top w:val="single" w:sz="2" w:space="0" w:color="auto"/>
              <w:left w:val="single" w:sz="2" w:space="0" w:color="auto"/>
              <w:bottom w:val="single" w:sz="2" w:space="0" w:color="auto"/>
              <w:right w:val="single" w:sz="2" w:space="0" w:color="auto"/>
            </w:tcBorders>
          </w:tcPr>
          <w:p w14:paraId="434FD2A2" w14:textId="77777777" w:rsidR="009F4766" w:rsidRPr="00DE12A3" w:rsidRDefault="009F4766" w:rsidP="00C917D6">
            <w:pPr>
              <w:pStyle w:val="NormalLeft"/>
              <w:rPr>
                <w:sz w:val="14"/>
                <w:szCs w:val="14"/>
              </w:rPr>
            </w:pPr>
            <w:r w:rsidRPr="00DE12A3">
              <w:rPr>
                <w:sz w:val="14"/>
                <w:szCs w:val="14"/>
              </w:rPr>
              <w:t>2,759</w:t>
            </w:r>
          </w:p>
        </w:tc>
        <w:tc>
          <w:tcPr>
            <w:tcW w:w="464" w:type="dxa"/>
            <w:tcBorders>
              <w:top w:val="single" w:sz="2" w:space="0" w:color="auto"/>
              <w:left w:val="single" w:sz="2" w:space="0" w:color="auto"/>
              <w:bottom w:val="single" w:sz="2" w:space="0" w:color="auto"/>
              <w:right w:val="single" w:sz="2" w:space="0" w:color="auto"/>
            </w:tcBorders>
          </w:tcPr>
          <w:p w14:paraId="685059D4" w14:textId="77777777" w:rsidR="009F4766" w:rsidRPr="00DE12A3" w:rsidRDefault="009F4766" w:rsidP="00C917D6">
            <w:pPr>
              <w:pStyle w:val="NormalLeft"/>
              <w:rPr>
                <w:sz w:val="14"/>
                <w:szCs w:val="14"/>
              </w:rPr>
            </w:pPr>
            <w:r w:rsidRPr="00DE12A3">
              <w:rPr>
                <w:sz w:val="14"/>
                <w:szCs w:val="14"/>
              </w:rPr>
              <w:t>2,603</w:t>
            </w:r>
          </w:p>
        </w:tc>
        <w:tc>
          <w:tcPr>
            <w:tcW w:w="464" w:type="dxa"/>
            <w:tcBorders>
              <w:top w:val="single" w:sz="2" w:space="0" w:color="auto"/>
              <w:left w:val="single" w:sz="2" w:space="0" w:color="auto"/>
              <w:bottom w:val="single" w:sz="2" w:space="0" w:color="auto"/>
              <w:right w:val="single" w:sz="2" w:space="0" w:color="auto"/>
            </w:tcBorders>
          </w:tcPr>
          <w:p w14:paraId="6D931712" w14:textId="77777777" w:rsidR="009F4766" w:rsidRPr="00DE12A3" w:rsidRDefault="009F4766" w:rsidP="00C917D6">
            <w:pPr>
              <w:pStyle w:val="NormalLeft"/>
              <w:rPr>
                <w:sz w:val="14"/>
                <w:szCs w:val="14"/>
              </w:rPr>
            </w:pPr>
            <w:r w:rsidRPr="00DE12A3">
              <w:rPr>
                <w:sz w:val="14"/>
                <w:szCs w:val="14"/>
              </w:rPr>
              <w:t>2,490</w:t>
            </w:r>
          </w:p>
        </w:tc>
        <w:tc>
          <w:tcPr>
            <w:tcW w:w="464" w:type="dxa"/>
            <w:tcBorders>
              <w:top w:val="single" w:sz="2" w:space="0" w:color="auto"/>
              <w:left w:val="single" w:sz="2" w:space="0" w:color="auto"/>
              <w:bottom w:val="single" w:sz="2" w:space="0" w:color="auto"/>
              <w:right w:val="single" w:sz="2" w:space="0" w:color="auto"/>
            </w:tcBorders>
          </w:tcPr>
          <w:p w14:paraId="3EE8ED73" w14:textId="77777777" w:rsidR="009F4766" w:rsidRPr="00DE12A3" w:rsidRDefault="009F4766" w:rsidP="00C917D6">
            <w:pPr>
              <w:pStyle w:val="NormalLeft"/>
              <w:rPr>
                <w:sz w:val="14"/>
                <w:szCs w:val="14"/>
              </w:rPr>
            </w:pPr>
            <w:r w:rsidRPr="00DE12A3">
              <w:rPr>
                <w:sz w:val="14"/>
                <w:szCs w:val="14"/>
              </w:rPr>
              <w:t>2,405</w:t>
            </w:r>
          </w:p>
        </w:tc>
        <w:tc>
          <w:tcPr>
            <w:tcW w:w="465" w:type="dxa"/>
            <w:tcBorders>
              <w:top w:val="single" w:sz="2" w:space="0" w:color="auto"/>
              <w:left w:val="single" w:sz="2" w:space="0" w:color="auto"/>
              <w:bottom w:val="single" w:sz="2" w:space="0" w:color="auto"/>
              <w:right w:val="single" w:sz="2" w:space="0" w:color="auto"/>
            </w:tcBorders>
          </w:tcPr>
          <w:p w14:paraId="08EA1B70" w14:textId="77777777" w:rsidR="009F4766" w:rsidRPr="00DE12A3" w:rsidRDefault="009F4766" w:rsidP="00C917D6">
            <w:pPr>
              <w:pStyle w:val="NormalLeft"/>
              <w:rPr>
                <w:sz w:val="14"/>
                <w:szCs w:val="14"/>
              </w:rPr>
            </w:pPr>
            <w:r w:rsidRPr="00DE12A3">
              <w:rPr>
                <w:sz w:val="14"/>
                <w:szCs w:val="14"/>
              </w:rPr>
              <w:t>2,337</w:t>
            </w:r>
          </w:p>
        </w:tc>
        <w:tc>
          <w:tcPr>
            <w:tcW w:w="464" w:type="dxa"/>
            <w:tcBorders>
              <w:top w:val="single" w:sz="2" w:space="0" w:color="auto"/>
              <w:left w:val="single" w:sz="2" w:space="0" w:color="auto"/>
              <w:bottom w:val="single" w:sz="2" w:space="0" w:color="auto"/>
              <w:right w:val="single" w:sz="2" w:space="0" w:color="auto"/>
            </w:tcBorders>
          </w:tcPr>
          <w:p w14:paraId="182B562E" w14:textId="77777777" w:rsidR="009F4766" w:rsidRPr="00DE12A3" w:rsidRDefault="009F4766" w:rsidP="00C917D6">
            <w:pPr>
              <w:pStyle w:val="NormalLeft"/>
              <w:rPr>
                <w:sz w:val="14"/>
                <w:szCs w:val="14"/>
              </w:rPr>
            </w:pPr>
            <w:r w:rsidRPr="00DE12A3">
              <w:rPr>
                <w:sz w:val="14"/>
                <w:szCs w:val="14"/>
              </w:rPr>
              <w:t>2,282</w:t>
            </w:r>
          </w:p>
        </w:tc>
        <w:tc>
          <w:tcPr>
            <w:tcW w:w="464" w:type="dxa"/>
            <w:tcBorders>
              <w:top w:val="single" w:sz="2" w:space="0" w:color="auto"/>
              <w:left w:val="single" w:sz="2" w:space="0" w:color="auto"/>
              <w:bottom w:val="single" w:sz="2" w:space="0" w:color="auto"/>
              <w:right w:val="single" w:sz="2" w:space="0" w:color="auto"/>
            </w:tcBorders>
          </w:tcPr>
          <w:p w14:paraId="5195E8EB" w14:textId="77777777" w:rsidR="009F4766" w:rsidRPr="00DE12A3" w:rsidRDefault="009F4766" w:rsidP="00C917D6">
            <w:pPr>
              <w:pStyle w:val="NormalLeft"/>
              <w:rPr>
                <w:sz w:val="14"/>
                <w:szCs w:val="14"/>
              </w:rPr>
            </w:pPr>
            <w:r w:rsidRPr="00DE12A3">
              <w:rPr>
                <w:sz w:val="14"/>
                <w:szCs w:val="14"/>
              </w:rPr>
              <w:t>2,237</w:t>
            </w:r>
          </w:p>
        </w:tc>
        <w:tc>
          <w:tcPr>
            <w:tcW w:w="465" w:type="dxa"/>
            <w:tcBorders>
              <w:top w:val="single" w:sz="2" w:space="0" w:color="auto"/>
              <w:left w:val="single" w:sz="2" w:space="0" w:color="auto"/>
              <w:bottom w:val="single" w:sz="2" w:space="0" w:color="auto"/>
              <w:right w:val="single" w:sz="2" w:space="0" w:color="auto"/>
            </w:tcBorders>
          </w:tcPr>
          <w:p w14:paraId="7F1560C6" w14:textId="77777777" w:rsidR="009F4766" w:rsidRPr="00DE12A3" w:rsidRDefault="009F4766" w:rsidP="00C917D6">
            <w:pPr>
              <w:pStyle w:val="NormalLeft"/>
              <w:rPr>
                <w:sz w:val="14"/>
                <w:szCs w:val="14"/>
              </w:rPr>
            </w:pPr>
            <w:r w:rsidRPr="00DE12A3">
              <w:rPr>
                <w:sz w:val="14"/>
                <w:szCs w:val="14"/>
              </w:rPr>
              <w:t>2,165</w:t>
            </w:r>
          </w:p>
        </w:tc>
        <w:tc>
          <w:tcPr>
            <w:tcW w:w="464" w:type="dxa"/>
            <w:tcBorders>
              <w:top w:val="single" w:sz="2" w:space="0" w:color="auto"/>
              <w:left w:val="single" w:sz="2" w:space="0" w:color="auto"/>
              <w:bottom w:val="single" w:sz="2" w:space="0" w:color="auto"/>
              <w:right w:val="single" w:sz="2" w:space="0" w:color="auto"/>
            </w:tcBorders>
          </w:tcPr>
          <w:p w14:paraId="722E9139" w14:textId="77777777" w:rsidR="009F4766" w:rsidRPr="00DE12A3" w:rsidRDefault="009F4766" w:rsidP="00C917D6">
            <w:pPr>
              <w:pStyle w:val="NormalLeft"/>
              <w:rPr>
                <w:sz w:val="14"/>
                <w:szCs w:val="14"/>
              </w:rPr>
            </w:pPr>
            <w:r w:rsidRPr="00DE12A3">
              <w:rPr>
                <w:sz w:val="14"/>
                <w:szCs w:val="14"/>
              </w:rPr>
              <w:t>2,089</w:t>
            </w:r>
          </w:p>
        </w:tc>
        <w:tc>
          <w:tcPr>
            <w:tcW w:w="464" w:type="dxa"/>
            <w:tcBorders>
              <w:top w:val="single" w:sz="2" w:space="0" w:color="auto"/>
              <w:left w:val="single" w:sz="2" w:space="0" w:color="auto"/>
              <w:bottom w:val="single" w:sz="2" w:space="0" w:color="auto"/>
              <w:right w:val="single" w:sz="2" w:space="0" w:color="auto"/>
            </w:tcBorders>
          </w:tcPr>
          <w:p w14:paraId="7F863D4D" w14:textId="77777777" w:rsidR="009F4766" w:rsidRPr="00DE12A3" w:rsidRDefault="009F4766" w:rsidP="00C917D6">
            <w:pPr>
              <w:pStyle w:val="NormalLeft"/>
              <w:rPr>
                <w:sz w:val="14"/>
                <w:szCs w:val="14"/>
              </w:rPr>
            </w:pPr>
            <w:r w:rsidRPr="00DE12A3">
              <w:rPr>
                <w:sz w:val="14"/>
                <w:szCs w:val="14"/>
              </w:rPr>
              <w:t>2,008</w:t>
            </w:r>
          </w:p>
        </w:tc>
        <w:tc>
          <w:tcPr>
            <w:tcW w:w="465" w:type="dxa"/>
            <w:tcBorders>
              <w:top w:val="single" w:sz="2" w:space="0" w:color="auto"/>
              <w:left w:val="single" w:sz="2" w:space="0" w:color="auto"/>
              <w:bottom w:val="single" w:sz="2" w:space="0" w:color="auto"/>
              <w:right w:val="single" w:sz="2" w:space="0" w:color="auto"/>
            </w:tcBorders>
          </w:tcPr>
          <w:p w14:paraId="5BEAAE14" w14:textId="77777777" w:rsidR="009F4766" w:rsidRPr="00DE12A3" w:rsidRDefault="009F4766" w:rsidP="00C917D6">
            <w:pPr>
              <w:pStyle w:val="NormalLeft"/>
              <w:rPr>
                <w:sz w:val="14"/>
                <w:szCs w:val="14"/>
              </w:rPr>
            </w:pPr>
            <w:r w:rsidRPr="00DE12A3">
              <w:rPr>
                <w:sz w:val="14"/>
                <w:szCs w:val="14"/>
              </w:rPr>
              <w:t>1,964</w:t>
            </w:r>
          </w:p>
        </w:tc>
        <w:tc>
          <w:tcPr>
            <w:tcW w:w="464" w:type="dxa"/>
            <w:tcBorders>
              <w:top w:val="single" w:sz="2" w:space="0" w:color="auto"/>
              <w:left w:val="single" w:sz="2" w:space="0" w:color="auto"/>
              <w:bottom w:val="single" w:sz="2" w:space="0" w:color="auto"/>
              <w:right w:val="single" w:sz="2" w:space="0" w:color="auto"/>
            </w:tcBorders>
          </w:tcPr>
          <w:p w14:paraId="55251FE3" w14:textId="77777777" w:rsidR="009F4766" w:rsidRPr="00DE12A3" w:rsidRDefault="009F4766" w:rsidP="00C917D6">
            <w:pPr>
              <w:pStyle w:val="NormalLeft"/>
              <w:rPr>
                <w:sz w:val="14"/>
                <w:szCs w:val="14"/>
              </w:rPr>
            </w:pPr>
            <w:r w:rsidRPr="00DE12A3">
              <w:rPr>
                <w:sz w:val="14"/>
                <w:szCs w:val="14"/>
              </w:rPr>
              <w:t>1,919</w:t>
            </w:r>
          </w:p>
        </w:tc>
        <w:tc>
          <w:tcPr>
            <w:tcW w:w="464" w:type="dxa"/>
            <w:tcBorders>
              <w:top w:val="single" w:sz="2" w:space="0" w:color="auto"/>
              <w:left w:val="single" w:sz="2" w:space="0" w:color="auto"/>
              <w:bottom w:val="single" w:sz="2" w:space="0" w:color="auto"/>
              <w:right w:val="single" w:sz="2" w:space="0" w:color="auto"/>
            </w:tcBorders>
          </w:tcPr>
          <w:p w14:paraId="0C453384" w14:textId="77777777" w:rsidR="009F4766" w:rsidRPr="00DE12A3" w:rsidRDefault="009F4766" w:rsidP="00C917D6">
            <w:pPr>
              <w:pStyle w:val="NormalLeft"/>
              <w:rPr>
                <w:sz w:val="14"/>
                <w:szCs w:val="14"/>
              </w:rPr>
            </w:pPr>
            <w:r w:rsidRPr="00DE12A3">
              <w:rPr>
                <w:sz w:val="14"/>
                <w:szCs w:val="14"/>
              </w:rPr>
              <w:t>1,872</w:t>
            </w:r>
          </w:p>
        </w:tc>
        <w:tc>
          <w:tcPr>
            <w:tcW w:w="464" w:type="dxa"/>
            <w:tcBorders>
              <w:top w:val="single" w:sz="2" w:space="0" w:color="auto"/>
              <w:left w:val="single" w:sz="2" w:space="0" w:color="auto"/>
              <w:bottom w:val="single" w:sz="2" w:space="0" w:color="auto"/>
              <w:right w:val="single" w:sz="2" w:space="0" w:color="auto"/>
            </w:tcBorders>
          </w:tcPr>
          <w:p w14:paraId="55D5FF95" w14:textId="77777777" w:rsidR="009F4766" w:rsidRPr="00DE12A3" w:rsidRDefault="009F4766" w:rsidP="00C917D6">
            <w:pPr>
              <w:pStyle w:val="NormalLeft"/>
              <w:rPr>
                <w:sz w:val="14"/>
                <w:szCs w:val="14"/>
              </w:rPr>
            </w:pPr>
            <w:r w:rsidRPr="00DE12A3">
              <w:rPr>
                <w:sz w:val="14"/>
                <w:szCs w:val="14"/>
              </w:rPr>
              <w:t>1,822</w:t>
            </w:r>
          </w:p>
        </w:tc>
        <w:tc>
          <w:tcPr>
            <w:tcW w:w="465" w:type="dxa"/>
            <w:tcBorders>
              <w:top w:val="single" w:sz="2" w:space="0" w:color="auto"/>
              <w:left w:val="single" w:sz="2" w:space="0" w:color="auto"/>
              <w:bottom w:val="single" w:sz="2" w:space="0" w:color="auto"/>
              <w:right w:val="single" w:sz="2" w:space="0" w:color="auto"/>
            </w:tcBorders>
          </w:tcPr>
          <w:p w14:paraId="0DBACC8D" w14:textId="77777777" w:rsidR="009F4766" w:rsidRPr="00DE12A3" w:rsidRDefault="009F4766" w:rsidP="00C917D6">
            <w:pPr>
              <w:pStyle w:val="NormalLeft"/>
              <w:rPr>
                <w:sz w:val="14"/>
                <w:szCs w:val="14"/>
              </w:rPr>
            </w:pPr>
            <w:r w:rsidRPr="00DE12A3">
              <w:rPr>
                <w:sz w:val="14"/>
                <w:szCs w:val="14"/>
              </w:rPr>
              <w:t>1,768</w:t>
            </w:r>
          </w:p>
        </w:tc>
        <w:tc>
          <w:tcPr>
            <w:tcW w:w="464" w:type="dxa"/>
            <w:tcBorders>
              <w:top w:val="single" w:sz="2" w:space="0" w:color="auto"/>
              <w:left w:val="single" w:sz="2" w:space="0" w:color="auto"/>
              <w:bottom w:val="single" w:sz="2" w:space="0" w:color="auto"/>
              <w:right w:val="single" w:sz="2" w:space="0" w:color="auto"/>
            </w:tcBorders>
          </w:tcPr>
          <w:p w14:paraId="5245F365" w14:textId="77777777" w:rsidR="009F4766" w:rsidRPr="00DE12A3" w:rsidRDefault="009F4766" w:rsidP="00C917D6">
            <w:pPr>
              <w:pStyle w:val="NormalLeft"/>
              <w:rPr>
                <w:sz w:val="14"/>
                <w:szCs w:val="14"/>
              </w:rPr>
            </w:pPr>
            <w:r w:rsidRPr="00DE12A3">
              <w:rPr>
                <w:sz w:val="14"/>
                <w:szCs w:val="14"/>
              </w:rPr>
              <w:t>1,711</w:t>
            </w:r>
          </w:p>
        </w:tc>
      </w:tr>
      <w:tr w:rsidR="00DE12A3" w:rsidRPr="00DE12A3" w14:paraId="3F09AC8A" w14:textId="77777777" w:rsidTr="009F4766">
        <w:tc>
          <w:tcPr>
            <w:tcW w:w="464" w:type="dxa"/>
            <w:tcBorders>
              <w:top w:val="single" w:sz="2" w:space="0" w:color="auto"/>
              <w:left w:val="single" w:sz="2" w:space="0" w:color="auto"/>
              <w:bottom w:val="single" w:sz="2" w:space="0" w:color="auto"/>
              <w:right w:val="single" w:sz="2" w:space="0" w:color="auto"/>
            </w:tcBorders>
          </w:tcPr>
          <w:p w14:paraId="27E6947C" w14:textId="77777777" w:rsidR="009F4766" w:rsidRPr="00DE12A3" w:rsidRDefault="009F4766" w:rsidP="00C917D6">
            <w:pPr>
              <w:pStyle w:val="NormalLeft"/>
              <w:rPr>
                <w:sz w:val="14"/>
                <w:szCs w:val="14"/>
              </w:rPr>
            </w:pPr>
            <w:r w:rsidRPr="00DE12A3">
              <w:rPr>
                <w:sz w:val="14"/>
                <w:szCs w:val="14"/>
              </w:rPr>
              <w:t>26</w:t>
            </w:r>
          </w:p>
        </w:tc>
        <w:tc>
          <w:tcPr>
            <w:tcW w:w="465" w:type="dxa"/>
            <w:tcBorders>
              <w:top w:val="single" w:sz="2" w:space="0" w:color="auto"/>
              <w:left w:val="single" w:sz="2" w:space="0" w:color="auto"/>
              <w:bottom w:val="single" w:sz="2" w:space="0" w:color="auto"/>
              <w:right w:val="single" w:sz="2" w:space="0" w:color="auto"/>
            </w:tcBorders>
          </w:tcPr>
          <w:p w14:paraId="53DB0E65" w14:textId="77777777" w:rsidR="009F4766" w:rsidRPr="00DE12A3" w:rsidRDefault="009F4766" w:rsidP="00C917D6">
            <w:pPr>
              <w:pStyle w:val="NormalLeft"/>
              <w:rPr>
                <w:sz w:val="14"/>
                <w:szCs w:val="14"/>
              </w:rPr>
            </w:pPr>
            <w:r w:rsidRPr="00DE12A3">
              <w:rPr>
                <w:sz w:val="14"/>
                <w:szCs w:val="14"/>
              </w:rPr>
              <w:t>4,225</w:t>
            </w:r>
          </w:p>
        </w:tc>
        <w:tc>
          <w:tcPr>
            <w:tcW w:w="464" w:type="dxa"/>
            <w:tcBorders>
              <w:top w:val="single" w:sz="2" w:space="0" w:color="auto"/>
              <w:left w:val="single" w:sz="2" w:space="0" w:color="auto"/>
              <w:bottom w:val="single" w:sz="2" w:space="0" w:color="auto"/>
              <w:right w:val="single" w:sz="2" w:space="0" w:color="auto"/>
            </w:tcBorders>
          </w:tcPr>
          <w:p w14:paraId="15C41F1F" w14:textId="77777777" w:rsidR="009F4766" w:rsidRPr="00DE12A3" w:rsidRDefault="009F4766" w:rsidP="00C917D6">
            <w:pPr>
              <w:pStyle w:val="NormalLeft"/>
              <w:rPr>
                <w:sz w:val="14"/>
                <w:szCs w:val="14"/>
              </w:rPr>
            </w:pPr>
            <w:r w:rsidRPr="00DE12A3">
              <w:rPr>
                <w:sz w:val="14"/>
                <w:szCs w:val="14"/>
              </w:rPr>
              <w:t>3,369</w:t>
            </w:r>
          </w:p>
        </w:tc>
        <w:tc>
          <w:tcPr>
            <w:tcW w:w="464" w:type="dxa"/>
            <w:tcBorders>
              <w:top w:val="single" w:sz="2" w:space="0" w:color="auto"/>
              <w:left w:val="single" w:sz="2" w:space="0" w:color="auto"/>
              <w:bottom w:val="single" w:sz="2" w:space="0" w:color="auto"/>
              <w:right w:val="single" w:sz="2" w:space="0" w:color="auto"/>
            </w:tcBorders>
          </w:tcPr>
          <w:p w14:paraId="1FEAA75B" w14:textId="77777777" w:rsidR="009F4766" w:rsidRPr="00DE12A3" w:rsidRDefault="009F4766" w:rsidP="00C917D6">
            <w:pPr>
              <w:pStyle w:val="NormalLeft"/>
              <w:rPr>
                <w:sz w:val="14"/>
                <w:szCs w:val="14"/>
              </w:rPr>
            </w:pPr>
            <w:r w:rsidRPr="00DE12A3">
              <w:rPr>
                <w:sz w:val="14"/>
                <w:szCs w:val="14"/>
              </w:rPr>
              <w:t>2,975</w:t>
            </w:r>
          </w:p>
        </w:tc>
        <w:tc>
          <w:tcPr>
            <w:tcW w:w="465" w:type="dxa"/>
            <w:tcBorders>
              <w:top w:val="single" w:sz="2" w:space="0" w:color="auto"/>
              <w:left w:val="single" w:sz="2" w:space="0" w:color="auto"/>
              <w:bottom w:val="single" w:sz="2" w:space="0" w:color="auto"/>
              <w:right w:val="single" w:sz="2" w:space="0" w:color="auto"/>
            </w:tcBorders>
          </w:tcPr>
          <w:p w14:paraId="0822FF4A" w14:textId="77777777" w:rsidR="009F4766" w:rsidRPr="00DE12A3" w:rsidRDefault="009F4766" w:rsidP="00C917D6">
            <w:pPr>
              <w:pStyle w:val="NormalLeft"/>
              <w:rPr>
                <w:sz w:val="14"/>
                <w:szCs w:val="14"/>
              </w:rPr>
            </w:pPr>
            <w:r w:rsidRPr="00DE12A3">
              <w:rPr>
                <w:sz w:val="14"/>
                <w:szCs w:val="14"/>
              </w:rPr>
              <w:t>2,743</w:t>
            </w:r>
          </w:p>
        </w:tc>
        <w:tc>
          <w:tcPr>
            <w:tcW w:w="464" w:type="dxa"/>
            <w:tcBorders>
              <w:top w:val="single" w:sz="2" w:space="0" w:color="auto"/>
              <w:left w:val="single" w:sz="2" w:space="0" w:color="auto"/>
              <w:bottom w:val="single" w:sz="2" w:space="0" w:color="auto"/>
              <w:right w:val="single" w:sz="2" w:space="0" w:color="auto"/>
            </w:tcBorders>
          </w:tcPr>
          <w:p w14:paraId="41A87A52" w14:textId="77777777" w:rsidR="009F4766" w:rsidRPr="00DE12A3" w:rsidRDefault="009F4766" w:rsidP="00C917D6">
            <w:pPr>
              <w:pStyle w:val="NormalLeft"/>
              <w:rPr>
                <w:sz w:val="14"/>
                <w:szCs w:val="14"/>
              </w:rPr>
            </w:pPr>
            <w:r w:rsidRPr="00DE12A3">
              <w:rPr>
                <w:sz w:val="14"/>
                <w:szCs w:val="14"/>
              </w:rPr>
              <w:t>2,587</w:t>
            </w:r>
          </w:p>
        </w:tc>
        <w:tc>
          <w:tcPr>
            <w:tcW w:w="464" w:type="dxa"/>
            <w:tcBorders>
              <w:top w:val="single" w:sz="2" w:space="0" w:color="auto"/>
              <w:left w:val="single" w:sz="2" w:space="0" w:color="auto"/>
              <w:bottom w:val="single" w:sz="2" w:space="0" w:color="auto"/>
              <w:right w:val="single" w:sz="2" w:space="0" w:color="auto"/>
            </w:tcBorders>
          </w:tcPr>
          <w:p w14:paraId="77697DB8" w14:textId="77777777" w:rsidR="009F4766" w:rsidRPr="00DE12A3" w:rsidRDefault="009F4766" w:rsidP="00C917D6">
            <w:pPr>
              <w:pStyle w:val="NormalLeft"/>
              <w:rPr>
                <w:sz w:val="14"/>
                <w:szCs w:val="14"/>
              </w:rPr>
            </w:pPr>
            <w:r w:rsidRPr="00DE12A3">
              <w:rPr>
                <w:sz w:val="14"/>
                <w:szCs w:val="14"/>
              </w:rPr>
              <w:t>2,474</w:t>
            </w:r>
          </w:p>
        </w:tc>
        <w:tc>
          <w:tcPr>
            <w:tcW w:w="464" w:type="dxa"/>
            <w:tcBorders>
              <w:top w:val="single" w:sz="2" w:space="0" w:color="auto"/>
              <w:left w:val="single" w:sz="2" w:space="0" w:color="auto"/>
              <w:bottom w:val="single" w:sz="2" w:space="0" w:color="auto"/>
              <w:right w:val="single" w:sz="2" w:space="0" w:color="auto"/>
            </w:tcBorders>
          </w:tcPr>
          <w:p w14:paraId="2508E532" w14:textId="77777777" w:rsidR="009F4766" w:rsidRPr="00DE12A3" w:rsidRDefault="009F4766" w:rsidP="00C917D6">
            <w:pPr>
              <w:pStyle w:val="NormalLeft"/>
              <w:rPr>
                <w:sz w:val="14"/>
                <w:szCs w:val="14"/>
              </w:rPr>
            </w:pPr>
            <w:r w:rsidRPr="00DE12A3">
              <w:rPr>
                <w:sz w:val="14"/>
                <w:szCs w:val="14"/>
              </w:rPr>
              <w:t>2,388</w:t>
            </w:r>
          </w:p>
        </w:tc>
        <w:tc>
          <w:tcPr>
            <w:tcW w:w="465" w:type="dxa"/>
            <w:tcBorders>
              <w:top w:val="single" w:sz="2" w:space="0" w:color="auto"/>
              <w:left w:val="single" w:sz="2" w:space="0" w:color="auto"/>
              <w:bottom w:val="single" w:sz="2" w:space="0" w:color="auto"/>
              <w:right w:val="single" w:sz="2" w:space="0" w:color="auto"/>
            </w:tcBorders>
          </w:tcPr>
          <w:p w14:paraId="614D71A0" w14:textId="77777777" w:rsidR="009F4766" w:rsidRPr="00DE12A3" w:rsidRDefault="009F4766" w:rsidP="00C917D6">
            <w:pPr>
              <w:pStyle w:val="NormalLeft"/>
              <w:rPr>
                <w:sz w:val="14"/>
                <w:szCs w:val="14"/>
              </w:rPr>
            </w:pPr>
            <w:r w:rsidRPr="00DE12A3">
              <w:rPr>
                <w:sz w:val="14"/>
                <w:szCs w:val="14"/>
              </w:rPr>
              <w:t>2,321</w:t>
            </w:r>
          </w:p>
        </w:tc>
        <w:tc>
          <w:tcPr>
            <w:tcW w:w="464" w:type="dxa"/>
            <w:tcBorders>
              <w:top w:val="single" w:sz="2" w:space="0" w:color="auto"/>
              <w:left w:val="single" w:sz="2" w:space="0" w:color="auto"/>
              <w:bottom w:val="single" w:sz="2" w:space="0" w:color="auto"/>
              <w:right w:val="single" w:sz="2" w:space="0" w:color="auto"/>
            </w:tcBorders>
          </w:tcPr>
          <w:p w14:paraId="730CE562" w14:textId="77777777" w:rsidR="009F4766" w:rsidRPr="00DE12A3" w:rsidRDefault="009F4766" w:rsidP="00C917D6">
            <w:pPr>
              <w:pStyle w:val="NormalLeft"/>
              <w:rPr>
                <w:sz w:val="14"/>
                <w:szCs w:val="14"/>
              </w:rPr>
            </w:pPr>
            <w:r w:rsidRPr="00DE12A3">
              <w:rPr>
                <w:sz w:val="14"/>
                <w:szCs w:val="14"/>
              </w:rPr>
              <w:t>2,266</w:t>
            </w:r>
          </w:p>
        </w:tc>
        <w:tc>
          <w:tcPr>
            <w:tcW w:w="464" w:type="dxa"/>
            <w:tcBorders>
              <w:top w:val="single" w:sz="2" w:space="0" w:color="auto"/>
              <w:left w:val="single" w:sz="2" w:space="0" w:color="auto"/>
              <w:bottom w:val="single" w:sz="2" w:space="0" w:color="auto"/>
              <w:right w:val="single" w:sz="2" w:space="0" w:color="auto"/>
            </w:tcBorders>
          </w:tcPr>
          <w:p w14:paraId="50C8CDC5" w14:textId="77777777" w:rsidR="009F4766" w:rsidRPr="00DE12A3" w:rsidRDefault="009F4766" w:rsidP="00C917D6">
            <w:pPr>
              <w:pStyle w:val="NormalLeft"/>
              <w:rPr>
                <w:sz w:val="14"/>
                <w:szCs w:val="14"/>
              </w:rPr>
            </w:pPr>
            <w:r w:rsidRPr="00DE12A3">
              <w:rPr>
                <w:sz w:val="14"/>
                <w:szCs w:val="14"/>
              </w:rPr>
              <w:t>2,220</w:t>
            </w:r>
          </w:p>
        </w:tc>
        <w:tc>
          <w:tcPr>
            <w:tcW w:w="465" w:type="dxa"/>
            <w:tcBorders>
              <w:top w:val="single" w:sz="2" w:space="0" w:color="auto"/>
              <w:left w:val="single" w:sz="2" w:space="0" w:color="auto"/>
              <w:bottom w:val="single" w:sz="2" w:space="0" w:color="auto"/>
              <w:right w:val="single" w:sz="2" w:space="0" w:color="auto"/>
            </w:tcBorders>
          </w:tcPr>
          <w:p w14:paraId="428AF16F" w14:textId="77777777" w:rsidR="009F4766" w:rsidRPr="00DE12A3" w:rsidRDefault="009F4766" w:rsidP="00C917D6">
            <w:pPr>
              <w:pStyle w:val="NormalLeft"/>
              <w:rPr>
                <w:sz w:val="14"/>
                <w:szCs w:val="14"/>
              </w:rPr>
            </w:pPr>
            <w:r w:rsidRPr="00DE12A3">
              <w:rPr>
                <w:sz w:val="14"/>
                <w:szCs w:val="14"/>
              </w:rPr>
              <w:t>2,148</w:t>
            </w:r>
          </w:p>
        </w:tc>
        <w:tc>
          <w:tcPr>
            <w:tcW w:w="464" w:type="dxa"/>
            <w:tcBorders>
              <w:top w:val="single" w:sz="2" w:space="0" w:color="auto"/>
              <w:left w:val="single" w:sz="2" w:space="0" w:color="auto"/>
              <w:bottom w:val="single" w:sz="2" w:space="0" w:color="auto"/>
              <w:right w:val="single" w:sz="2" w:space="0" w:color="auto"/>
            </w:tcBorders>
          </w:tcPr>
          <w:p w14:paraId="675CF442" w14:textId="77777777" w:rsidR="009F4766" w:rsidRPr="00DE12A3" w:rsidRDefault="009F4766" w:rsidP="00C917D6">
            <w:pPr>
              <w:pStyle w:val="NormalLeft"/>
              <w:rPr>
                <w:sz w:val="14"/>
                <w:szCs w:val="14"/>
              </w:rPr>
            </w:pPr>
            <w:r w:rsidRPr="00DE12A3">
              <w:rPr>
                <w:sz w:val="14"/>
                <w:szCs w:val="14"/>
              </w:rPr>
              <w:t>2,072</w:t>
            </w:r>
          </w:p>
        </w:tc>
        <w:tc>
          <w:tcPr>
            <w:tcW w:w="464" w:type="dxa"/>
            <w:tcBorders>
              <w:top w:val="single" w:sz="2" w:space="0" w:color="auto"/>
              <w:left w:val="single" w:sz="2" w:space="0" w:color="auto"/>
              <w:bottom w:val="single" w:sz="2" w:space="0" w:color="auto"/>
              <w:right w:val="single" w:sz="2" w:space="0" w:color="auto"/>
            </w:tcBorders>
          </w:tcPr>
          <w:p w14:paraId="74136602" w14:textId="77777777" w:rsidR="009F4766" w:rsidRPr="00DE12A3" w:rsidRDefault="009F4766" w:rsidP="00C917D6">
            <w:pPr>
              <w:pStyle w:val="NormalLeft"/>
              <w:rPr>
                <w:sz w:val="14"/>
                <w:szCs w:val="14"/>
              </w:rPr>
            </w:pPr>
            <w:r w:rsidRPr="00DE12A3">
              <w:rPr>
                <w:sz w:val="14"/>
                <w:szCs w:val="14"/>
              </w:rPr>
              <w:t>1,990</w:t>
            </w:r>
          </w:p>
        </w:tc>
        <w:tc>
          <w:tcPr>
            <w:tcW w:w="465" w:type="dxa"/>
            <w:tcBorders>
              <w:top w:val="single" w:sz="2" w:space="0" w:color="auto"/>
              <w:left w:val="single" w:sz="2" w:space="0" w:color="auto"/>
              <w:bottom w:val="single" w:sz="2" w:space="0" w:color="auto"/>
              <w:right w:val="single" w:sz="2" w:space="0" w:color="auto"/>
            </w:tcBorders>
          </w:tcPr>
          <w:p w14:paraId="273D595B" w14:textId="77777777" w:rsidR="009F4766" w:rsidRPr="00DE12A3" w:rsidRDefault="009F4766" w:rsidP="00C917D6">
            <w:pPr>
              <w:pStyle w:val="NormalLeft"/>
              <w:rPr>
                <w:sz w:val="14"/>
                <w:szCs w:val="14"/>
              </w:rPr>
            </w:pPr>
            <w:r w:rsidRPr="00DE12A3">
              <w:rPr>
                <w:sz w:val="14"/>
                <w:szCs w:val="14"/>
              </w:rPr>
              <w:t>1,946</w:t>
            </w:r>
          </w:p>
        </w:tc>
        <w:tc>
          <w:tcPr>
            <w:tcW w:w="464" w:type="dxa"/>
            <w:tcBorders>
              <w:top w:val="single" w:sz="2" w:space="0" w:color="auto"/>
              <w:left w:val="single" w:sz="2" w:space="0" w:color="auto"/>
              <w:bottom w:val="single" w:sz="2" w:space="0" w:color="auto"/>
              <w:right w:val="single" w:sz="2" w:space="0" w:color="auto"/>
            </w:tcBorders>
          </w:tcPr>
          <w:p w14:paraId="7799D0FF" w14:textId="77777777" w:rsidR="009F4766" w:rsidRPr="00DE12A3" w:rsidRDefault="009F4766" w:rsidP="00C917D6">
            <w:pPr>
              <w:pStyle w:val="NormalLeft"/>
              <w:rPr>
                <w:sz w:val="14"/>
                <w:szCs w:val="14"/>
              </w:rPr>
            </w:pPr>
            <w:r w:rsidRPr="00DE12A3">
              <w:rPr>
                <w:sz w:val="14"/>
                <w:szCs w:val="14"/>
              </w:rPr>
              <w:t>1,901</w:t>
            </w:r>
          </w:p>
        </w:tc>
        <w:tc>
          <w:tcPr>
            <w:tcW w:w="464" w:type="dxa"/>
            <w:tcBorders>
              <w:top w:val="single" w:sz="2" w:space="0" w:color="auto"/>
              <w:left w:val="single" w:sz="2" w:space="0" w:color="auto"/>
              <w:bottom w:val="single" w:sz="2" w:space="0" w:color="auto"/>
              <w:right w:val="single" w:sz="2" w:space="0" w:color="auto"/>
            </w:tcBorders>
          </w:tcPr>
          <w:p w14:paraId="62F3B7C7" w14:textId="77777777" w:rsidR="009F4766" w:rsidRPr="00DE12A3" w:rsidRDefault="009F4766" w:rsidP="00C917D6">
            <w:pPr>
              <w:pStyle w:val="NormalLeft"/>
              <w:rPr>
                <w:sz w:val="14"/>
                <w:szCs w:val="14"/>
              </w:rPr>
            </w:pPr>
            <w:r w:rsidRPr="00DE12A3">
              <w:rPr>
                <w:sz w:val="14"/>
                <w:szCs w:val="14"/>
              </w:rPr>
              <w:t>1,853</w:t>
            </w:r>
          </w:p>
        </w:tc>
        <w:tc>
          <w:tcPr>
            <w:tcW w:w="464" w:type="dxa"/>
            <w:tcBorders>
              <w:top w:val="single" w:sz="2" w:space="0" w:color="auto"/>
              <w:left w:val="single" w:sz="2" w:space="0" w:color="auto"/>
              <w:bottom w:val="single" w:sz="2" w:space="0" w:color="auto"/>
              <w:right w:val="single" w:sz="2" w:space="0" w:color="auto"/>
            </w:tcBorders>
          </w:tcPr>
          <w:p w14:paraId="3ADE31EC" w14:textId="77777777" w:rsidR="009F4766" w:rsidRPr="00DE12A3" w:rsidRDefault="009F4766" w:rsidP="00C917D6">
            <w:pPr>
              <w:pStyle w:val="NormalLeft"/>
              <w:rPr>
                <w:sz w:val="14"/>
                <w:szCs w:val="14"/>
              </w:rPr>
            </w:pPr>
            <w:r w:rsidRPr="00DE12A3">
              <w:rPr>
                <w:sz w:val="14"/>
                <w:szCs w:val="14"/>
              </w:rPr>
              <w:t>1,803</w:t>
            </w:r>
          </w:p>
        </w:tc>
        <w:tc>
          <w:tcPr>
            <w:tcW w:w="465" w:type="dxa"/>
            <w:tcBorders>
              <w:top w:val="single" w:sz="2" w:space="0" w:color="auto"/>
              <w:left w:val="single" w:sz="2" w:space="0" w:color="auto"/>
              <w:bottom w:val="single" w:sz="2" w:space="0" w:color="auto"/>
              <w:right w:val="single" w:sz="2" w:space="0" w:color="auto"/>
            </w:tcBorders>
          </w:tcPr>
          <w:p w14:paraId="792E0266" w14:textId="77777777" w:rsidR="009F4766" w:rsidRPr="00DE12A3" w:rsidRDefault="009F4766" w:rsidP="00C917D6">
            <w:pPr>
              <w:pStyle w:val="NormalLeft"/>
              <w:rPr>
                <w:sz w:val="14"/>
                <w:szCs w:val="14"/>
              </w:rPr>
            </w:pPr>
            <w:r w:rsidRPr="00DE12A3">
              <w:rPr>
                <w:sz w:val="14"/>
                <w:szCs w:val="14"/>
              </w:rPr>
              <w:t>1,749</w:t>
            </w:r>
          </w:p>
        </w:tc>
        <w:tc>
          <w:tcPr>
            <w:tcW w:w="464" w:type="dxa"/>
            <w:tcBorders>
              <w:top w:val="single" w:sz="2" w:space="0" w:color="auto"/>
              <w:left w:val="single" w:sz="2" w:space="0" w:color="auto"/>
              <w:bottom w:val="single" w:sz="2" w:space="0" w:color="auto"/>
              <w:right w:val="single" w:sz="2" w:space="0" w:color="auto"/>
            </w:tcBorders>
          </w:tcPr>
          <w:p w14:paraId="751EF0D2" w14:textId="77777777" w:rsidR="009F4766" w:rsidRPr="00DE12A3" w:rsidRDefault="009F4766" w:rsidP="00C917D6">
            <w:pPr>
              <w:pStyle w:val="NormalLeft"/>
              <w:rPr>
                <w:sz w:val="14"/>
                <w:szCs w:val="14"/>
              </w:rPr>
            </w:pPr>
            <w:r w:rsidRPr="00DE12A3">
              <w:rPr>
                <w:sz w:val="14"/>
                <w:szCs w:val="14"/>
              </w:rPr>
              <w:t>1,691</w:t>
            </w:r>
          </w:p>
        </w:tc>
      </w:tr>
      <w:tr w:rsidR="00DE12A3" w:rsidRPr="00DE12A3" w14:paraId="6288D8CB" w14:textId="77777777" w:rsidTr="009F4766">
        <w:tc>
          <w:tcPr>
            <w:tcW w:w="464" w:type="dxa"/>
            <w:tcBorders>
              <w:top w:val="single" w:sz="2" w:space="0" w:color="auto"/>
              <w:left w:val="single" w:sz="2" w:space="0" w:color="auto"/>
              <w:bottom w:val="single" w:sz="2" w:space="0" w:color="auto"/>
              <w:right w:val="single" w:sz="2" w:space="0" w:color="auto"/>
            </w:tcBorders>
          </w:tcPr>
          <w:p w14:paraId="712CF489" w14:textId="77777777" w:rsidR="009F4766" w:rsidRPr="00DE12A3" w:rsidRDefault="009F4766" w:rsidP="00C917D6">
            <w:pPr>
              <w:pStyle w:val="NormalLeft"/>
              <w:rPr>
                <w:sz w:val="14"/>
                <w:szCs w:val="14"/>
              </w:rPr>
            </w:pPr>
            <w:r w:rsidRPr="00DE12A3">
              <w:rPr>
                <w:sz w:val="14"/>
                <w:szCs w:val="14"/>
              </w:rPr>
              <w:t>27</w:t>
            </w:r>
          </w:p>
        </w:tc>
        <w:tc>
          <w:tcPr>
            <w:tcW w:w="465" w:type="dxa"/>
            <w:tcBorders>
              <w:top w:val="single" w:sz="2" w:space="0" w:color="auto"/>
              <w:left w:val="single" w:sz="2" w:space="0" w:color="auto"/>
              <w:bottom w:val="single" w:sz="2" w:space="0" w:color="auto"/>
              <w:right w:val="single" w:sz="2" w:space="0" w:color="auto"/>
            </w:tcBorders>
          </w:tcPr>
          <w:p w14:paraId="64AE13C5" w14:textId="77777777" w:rsidR="009F4766" w:rsidRPr="00DE12A3" w:rsidRDefault="009F4766" w:rsidP="00C917D6">
            <w:pPr>
              <w:pStyle w:val="NormalLeft"/>
              <w:rPr>
                <w:sz w:val="14"/>
                <w:szCs w:val="14"/>
              </w:rPr>
            </w:pPr>
            <w:r w:rsidRPr="00DE12A3">
              <w:rPr>
                <w:sz w:val="14"/>
                <w:szCs w:val="14"/>
              </w:rPr>
              <w:t>4,210</w:t>
            </w:r>
          </w:p>
        </w:tc>
        <w:tc>
          <w:tcPr>
            <w:tcW w:w="464" w:type="dxa"/>
            <w:tcBorders>
              <w:top w:val="single" w:sz="2" w:space="0" w:color="auto"/>
              <w:left w:val="single" w:sz="2" w:space="0" w:color="auto"/>
              <w:bottom w:val="single" w:sz="2" w:space="0" w:color="auto"/>
              <w:right w:val="single" w:sz="2" w:space="0" w:color="auto"/>
            </w:tcBorders>
          </w:tcPr>
          <w:p w14:paraId="05394AE8" w14:textId="77777777" w:rsidR="009F4766" w:rsidRPr="00DE12A3" w:rsidRDefault="009F4766" w:rsidP="00C917D6">
            <w:pPr>
              <w:pStyle w:val="NormalLeft"/>
              <w:rPr>
                <w:sz w:val="14"/>
                <w:szCs w:val="14"/>
              </w:rPr>
            </w:pPr>
            <w:r w:rsidRPr="00DE12A3">
              <w:rPr>
                <w:sz w:val="14"/>
                <w:szCs w:val="14"/>
              </w:rPr>
              <w:t>3,354</w:t>
            </w:r>
          </w:p>
        </w:tc>
        <w:tc>
          <w:tcPr>
            <w:tcW w:w="464" w:type="dxa"/>
            <w:tcBorders>
              <w:top w:val="single" w:sz="2" w:space="0" w:color="auto"/>
              <w:left w:val="single" w:sz="2" w:space="0" w:color="auto"/>
              <w:bottom w:val="single" w:sz="2" w:space="0" w:color="auto"/>
              <w:right w:val="single" w:sz="2" w:space="0" w:color="auto"/>
            </w:tcBorders>
          </w:tcPr>
          <w:p w14:paraId="01FB4DB3" w14:textId="77777777" w:rsidR="009F4766" w:rsidRPr="00DE12A3" w:rsidRDefault="009F4766" w:rsidP="00C917D6">
            <w:pPr>
              <w:pStyle w:val="NormalLeft"/>
              <w:rPr>
                <w:sz w:val="14"/>
                <w:szCs w:val="14"/>
              </w:rPr>
            </w:pPr>
            <w:r w:rsidRPr="00DE12A3">
              <w:rPr>
                <w:sz w:val="14"/>
                <w:szCs w:val="14"/>
              </w:rPr>
              <w:t>2,960</w:t>
            </w:r>
          </w:p>
        </w:tc>
        <w:tc>
          <w:tcPr>
            <w:tcW w:w="465" w:type="dxa"/>
            <w:tcBorders>
              <w:top w:val="single" w:sz="2" w:space="0" w:color="auto"/>
              <w:left w:val="single" w:sz="2" w:space="0" w:color="auto"/>
              <w:bottom w:val="single" w:sz="2" w:space="0" w:color="auto"/>
              <w:right w:val="single" w:sz="2" w:space="0" w:color="auto"/>
            </w:tcBorders>
          </w:tcPr>
          <w:p w14:paraId="20E06DF9" w14:textId="77777777" w:rsidR="009F4766" w:rsidRPr="00DE12A3" w:rsidRDefault="009F4766" w:rsidP="00C917D6">
            <w:pPr>
              <w:pStyle w:val="NormalLeft"/>
              <w:rPr>
                <w:sz w:val="14"/>
                <w:szCs w:val="14"/>
              </w:rPr>
            </w:pPr>
            <w:r w:rsidRPr="00DE12A3">
              <w:rPr>
                <w:sz w:val="14"/>
                <w:szCs w:val="14"/>
              </w:rPr>
              <w:t>2,728</w:t>
            </w:r>
          </w:p>
        </w:tc>
        <w:tc>
          <w:tcPr>
            <w:tcW w:w="464" w:type="dxa"/>
            <w:tcBorders>
              <w:top w:val="single" w:sz="2" w:space="0" w:color="auto"/>
              <w:left w:val="single" w:sz="2" w:space="0" w:color="auto"/>
              <w:bottom w:val="single" w:sz="2" w:space="0" w:color="auto"/>
              <w:right w:val="single" w:sz="2" w:space="0" w:color="auto"/>
            </w:tcBorders>
          </w:tcPr>
          <w:p w14:paraId="5CE7A7CC" w14:textId="77777777" w:rsidR="009F4766" w:rsidRPr="00DE12A3" w:rsidRDefault="009F4766" w:rsidP="00C917D6">
            <w:pPr>
              <w:pStyle w:val="NormalLeft"/>
              <w:rPr>
                <w:sz w:val="14"/>
                <w:szCs w:val="14"/>
              </w:rPr>
            </w:pPr>
            <w:r w:rsidRPr="00DE12A3">
              <w:rPr>
                <w:sz w:val="14"/>
                <w:szCs w:val="14"/>
              </w:rPr>
              <w:t>2,572</w:t>
            </w:r>
          </w:p>
        </w:tc>
        <w:tc>
          <w:tcPr>
            <w:tcW w:w="464" w:type="dxa"/>
            <w:tcBorders>
              <w:top w:val="single" w:sz="2" w:space="0" w:color="auto"/>
              <w:left w:val="single" w:sz="2" w:space="0" w:color="auto"/>
              <w:bottom w:val="single" w:sz="2" w:space="0" w:color="auto"/>
              <w:right w:val="single" w:sz="2" w:space="0" w:color="auto"/>
            </w:tcBorders>
          </w:tcPr>
          <w:p w14:paraId="3E1D32BF" w14:textId="77777777" w:rsidR="009F4766" w:rsidRPr="00DE12A3" w:rsidRDefault="009F4766" w:rsidP="00C917D6">
            <w:pPr>
              <w:pStyle w:val="NormalLeft"/>
              <w:rPr>
                <w:sz w:val="14"/>
                <w:szCs w:val="14"/>
              </w:rPr>
            </w:pPr>
            <w:r w:rsidRPr="00DE12A3">
              <w:rPr>
                <w:sz w:val="14"/>
                <w:szCs w:val="14"/>
              </w:rPr>
              <w:t>2,459</w:t>
            </w:r>
          </w:p>
        </w:tc>
        <w:tc>
          <w:tcPr>
            <w:tcW w:w="464" w:type="dxa"/>
            <w:tcBorders>
              <w:top w:val="single" w:sz="2" w:space="0" w:color="auto"/>
              <w:left w:val="single" w:sz="2" w:space="0" w:color="auto"/>
              <w:bottom w:val="single" w:sz="2" w:space="0" w:color="auto"/>
              <w:right w:val="single" w:sz="2" w:space="0" w:color="auto"/>
            </w:tcBorders>
          </w:tcPr>
          <w:p w14:paraId="0130A9F9" w14:textId="77777777" w:rsidR="009F4766" w:rsidRPr="00DE12A3" w:rsidRDefault="009F4766" w:rsidP="00C917D6">
            <w:pPr>
              <w:pStyle w:val="NormalLeft"/>
              <w:rPr>
                <w:sz w:val="14"/>
                <w:szCs w:val="14"/>
              </w:rPr>
            </w:pPr>
            <w:r w:rsidRPr="00DE12A3">
              <w:rPr>
                <w:sz w:val="14"/>
                <w:szCs w:val="14"/>
              </w:rPr>
              <w:t>2,373</w:t>
            </w:r>
          </w:p>
        </w:tc>
        <w:tc>
          <w:tcPr>
            <w:tcW w:w="465" w:type="dxa"/>
            <w:tcBorders>
              <w:top w:val="single" w:sz="2" w:space="0" w:color="auto"/>
              <w:left w:val="single" w:sz="2" w:space="0" w:color="auto"/>
              <w:bottom w:val="single" w:sz="2" w:space="0" w:color="auto"/>
              <w:right w:val="single" w:sz="2" w:space="0" w:color="auto"/>
            </w:tcBorders>
          </w:tcPr>
          <w:p w14:paraId="42F56E1A" w14:textId="77777777" w:rsidR="009F4766" w:rsidRPr="00DE12A3" w:rsidRDefault="009F4766" w:rsidP="00C917D6">
            <w:pPr>
              <w:pStyle w:val="NormalLeft"/>
              <w:rPr>
                <w:sz w:val="14"/>
                <w:szCs w:val="14"/>
              </w:rPr>
            </w:pPr>
            <w:r w:rsidRPr="00DE12A3">
              <w:rPr>
                <w:sz w:val="14"/>
                <w:szCs w:val="14"/>
              </w:rPr>
              <w:t>2,305</w:t>
            </w:r>
          </w:p>
        </w:tc>
        <w:tc>
          <w:tcPr>
            <w:tcW w:w="464" w:type="dxa"/>
            <w:tcBorders>
              <w:top w:val="single" w:sz="2" w:space="0" w:color="auto"/>
              <w:left w:val="single" w:sz="2" w:space="0" w:color="auto"/>
              <w:bottom w:val="single" w:sz="2" w:space="0" w:color="auto"/>
              <w:right w:val="single" w:sz="2" w:space="0" w:color="auto"/>
            </w:tcBorders>
          </w:tcPr>
          <w:p w14:paraId="5C8DC193" w14:textId="77777777" w:rsidR="009F4766" w:rsidRPr="00DE12A3" w:rsidRDefault="009F4766" w:rsidP="00C917D6">
            <w:pPr>
              <w:pStyle w:val="NormalLeft"/>
              <w:rPr>
                <w:sz w:val="14"/>
                <w:szCs w:val="14"/>
              </w:rPr>
            </w:pPr>
            <w:r w:rsidRPr="00DE12A3">
              <w:rPr>
                <w:sz w:val="14"/>
                <w:szCs w:val="14"/>
              </w:rPr>
              <w:t>2,250</w:t>
            </w:r>
          </w:p>
        </w:tc>
        <w:tc>
          <w:tcPr>
            <w:tcW w:w="464" w:type="dxa"/>
            <w:tcBorders>
              <w:top w:val="single" w:sz="2" w:space="0" w:color="auto"/>
              <w:left w:val="single" w:sz="2" w:space="0" w:color="auto"/>
              <w:bottom w:val="single" w:sz="2" w:space="0" w:color="auto"/>
              <w:right w:val="single" w:sz="2" w:space="0" w:color="auto"/>
            </w:tcBorders>
          </w:tcPr>
          <w:p w14:paraId="4547F972" w14:textId="77777777" w:rsidR="009F4766" w:rsidRPr="00DE12A3" w:rsidRDefault="009F4766" w:rsidP="00C917D6">
            <w:pPr>
              <w:pStyle w:val="NormalLeft"/>
              <w:rPr>
                <w:sz w:val="14"/>
                <w:szCs w:val="14"/>
              </w:rPr>
            </w:pPr>
            <w:r w:rsidRPr="00DE12A3">
              <w:rPr>
                <w:sz w:val="14"/>
                <w:szCs w:val="14"/>
              </w:rPr>
              <w:t>2,204</w:t>
            </w:r>
          </w:p>
        </w:tc>
        <w:tc>
          <w:tcPr>
            <w:tcW w:w="465" w:type="dxa"/>
            <w:tcBorders>
              <w:top w:val="single" w:sz="2" w:space="0" w:color="auto"/>
              <w:left w:val="single" w:sz="2" w:space="0" w:color="auto"/>
              <w:bottom w:val="single" w:sz="2" w:space="0" w:color="auto"/>
              <w:right w:val="single" w:sz="2" w:space="0" w:color="auto"/>
            </w:tcBorders>
          </w:tcPr>
          <w:p w14:paraId="75396A78" w14:textId="77777777" w:rsidR="009F4766" w:rsidRPr="00DE12A3" w:rsidRDefault="009F4766" w:rsidP="00C917D6">
            <w:pPr>
              <w:pStyle w:val="NormalLeft"/>
              <w:rPr>
                <w:sz w:val="14"/>
                <w:szCs w:val="14"/>
              </w:rPr>
            </w:pPr>
            <w:r w:rsidRPr="00DE12A3">
              <w:rPr>
                <w:sz w:val="14"/>
                <w:szCs w:val="14"/>
              </w:rPr>
              <w:t>2,132</w:t>
            </w:r>
          </w:p>
        </w:tc>
        <w:tc>
          <w:tcPr>
            <w:tcW w:w="464" w:type="dxa"/>
            <w:tcBorders>
              <w:top w:val="single" w:sz="2" w:space="0" w:color="auto"/>
              <w:left w:val="single" w:sz="2" w:space="0" w:color="auto"/>
              <w:bottom w:val="single" w:sz="2" w:space="0" w:color="auto"/>
              <w:right w:val="single" w:sz="2" w:space="0" w:color="auto"/>
            </w:tcBorders>
          </w:tcPr>
          <w:p w14:paraId="36B6788D" w14:textId="77777777" w:rsidR="009F4766" w:rsidRPr="00DE12A3" w:rsidRDefault="009F4766" w:rsidP="00C917D6">
            <w:pPr>
              <w:pStyle w:val="NormalLeft"/>
              <w:rPr>
                <w:sz w:val="14"/>
                <w:szCs w:val="14"/>
              </w:rPr>
            </w:pPr>
            <w:r w:rsidRPr="00DE12A3">
              <w:rPr>
                <w:sz w:val="14"/>
                <w:szCs w:val="14"/>
              </w:rPr>
              <w:t>2,056</w:t>
            </w:r>
          </w:p>
        </w:tc>
        <w:tc>
          <w:tcPr>
            <w:tcW w:w="464" w:type="dxa"/>
            <w:tcBorders>
              <w:top w:val="single" w:sz="2" w:space="0" w:color="auto"/>
              <w:left w:val="single" w:sz="2" w:space="0" w:color="auto"/>
              <w:bottom w:val="single" w:sz="2" w:space="0" w:color="auto"/>
              <w:right w:val="single" w:sz="2" w:space="0" w:color="auto"/>
            </w:tcBorders>
          </w:tcPr>
          <w:p w14:paraId="113B95EA" w14:textId="77777777" w:rsidR="009F4766" w:rsidRPr="00DE12A3" w:rsidRDefault="009F4766" w:rsidP="00C917D6">
            <w:pPr>
              <w:pStyle w:val="NormalLeft"/>
              <w:rPr>
                <w:sz w:val="14"/>
                <w:szCs w:val="14"/>
              </w:rPr>
            </w:pPr>
            <w:r w:rsidRPr="00DE12A3">
              <w:rPr>
                <w:sz w:val="14"/>
                <w:szCs w:val="14"/>
              </w:rPr>
              <w:t>1,974</w:t>
            </w:r>
          </w:p>
        </w:tc>
        <w:tc>
          <w:tcPr>
            <w:tcW w:w="465" w:type="dxa"/>
            <w:tcBorders>
              <w:top w:val="single" w:sz="2" w:space="0" w:color="auto"/>
              <w:left w:val="single" w:sz="2" w:space="0" w:color="auto"/>
              <w:bottom w:val="single" w:sz="2" w:space="0" w:color="auto"/>
              <w:right w:val="single" w:sz="2" w:space="0" w:color="auto"/>
            </w:tcBorders>
          </w:tcPr>
          <w:p w14:paraId="35F2D992" w14:textId="77777777" w:rsidR="009F4766" w:rsidRPr="00DE12A3" w:rsidRDefault="009F4766" w:rsidP="00C917D6">
            <w:pPr>
              <w:pStyle w:val="NormalLeft"/>
              <w:rPr>
                <w:sz w:val="14"/>
                <w:szCs w:val="14"/>
              </w:rPr>
            </w:pPr>
            <w:r w:rsidRPr="00DE12A3">
              <w:rPr>
                <w:sz w:val="14"/>
                <w:szCs w:val="14"/>
              </w:rPr>
              <w:t>1,930</w:t>
            </w:r>
          </w:p>
        </w:tc>
        <w:tc>
          <w:tcPr>
            <w:tcW w:w="464" w:type="dxa"/>
            <w:tcBorders>
              <w:top w:val="single" w:sz="2" w:space="0" w:color="auto"/>
              <w:left w:val="single" w:sz="2" w:space="0" w:color="auto"/>
              <w:bottom w:val="single" w:sz="2" w:space="0" w:color="auto"/>
              <w:right w:val="single" w:sz="2" w:space="0" w:color="auto"/>
            </w:tcBorders>
          </w:tcPr>
          <w:p w14:paraId="40918C48" w14:textId="77777777" w:rsidR="009F4766" w:rsidRPr="00DE12A3" w:rsidRDefault="009F4766" w:rsidP="00C917D6">
            <w:pPr>
              <w:pStyle w:val="NormalLeft"/>
              <w:rPr>
                <w:sz w:val="14"/>
                <w:szCs w:val="14"/>
              </w:rPr>
            </w:pPr>
            <w:r w:rsidRPr="00DE12A3">
              <w:rPr>
                <w:sz w:val="14"/>
                <w:szCs w:val="14"/>
              </w:rPr>
              <w:t>1,884</w:t>
            </w:r>
          </w:p>
        </w:tc>
        <w:tc>
          <w:tcPr>
            <w:tcW w:w="464" w:type="dxa"/>
            <w:tcBorders>
              <w:top w:val="single" w:sz="2" w:space="0" w:color="auto"/>
              <w:left w:val="single" w:sz="2" w:space="0" w:color="auto"/>
              <w:bottom w:val="single" w:sz="2" w:space="0" w:color="auto"/>
              <w:right w:val="single" w:sz="2" w:space="0" w:color="auto"/>
            </w:tcBorders>
          </w:tcPr>
          <w:p w14:paraId="2ABF829F" w14:textId="77777777" w:rsidR="009F4766" w:rsidRPr="00DE12A3" w:rsidRDefault="009F4766" w:rsidP="00C917D6">
            <w:pPr>
              <w:pStyle w:val="NormalLeft"/>
              <w:rPr>
                <w:sz w:val="14"/>
                <w:szCs w:val="14"/>
              </w:rPr>
            </w:pPr>
            <w:r w:rsidRPr="00DE12A3">
              <w:rPr>
                <w:sz w:val="14"/>
                <w:szCs w:val="14"/>
              </w:rPr>
              <w:t>1,836</w:t>
            </w:r>
          </w:p>
        </w:tc>
        <w:tc>
          <w:tcPr>
            <w:tcW w:w="464" w:type="dxa"/>
            <w:tcBorders>
              <w:top w:val="single" w:sz="2" w:space="0" w:color="auto"/>
              <w:left w:val="single" w:sz="2" w:space="0" w:color="auto"/>
              <w:bottom w:val="single" w:sz="2" w:space="0" w:color="auto"/>
              <w:right w:val="single" w:sz="2" w:space="0" w:color="auto"/>
            </w:tcBorders>
          </w:tcPr>
          <w:p w14:paraId="1002C6C9" w14:textId="77777777" w:rsidR="009F4766" w:rsidRPr="00DE12A3" w:rsidRDefault="009F4766" w:rsidP="00C917D6">
            <w:pPr>
              <w:pStyle w:val="NormalLeft"/>
              <w:rPr>
                <w:sz w:val="14"/>
                <w:szCs w:val="14"/>
              </w:rPr>
            </w:pPr>
            <w:r w:rsidRPr="00DE12A3">
              <w:rPr>
                <w:sz w:val="14"/>
                <w:szCs w:val="14"/>
              </w:rPr>
              <w:t>1,785</w:t>
            </w:r>
          </w:p>
        </w:tc>
        <w:tc>
          <w:tcPr>
            <w:tcW w:w="465" w:type="dxa"/>
            <w:tcBorders>
              <w:top w:val="single" w:sz="2" w:space="0" w:color="auto"/>
              <w:left w:val="single" w:sz="2" w:space="0" w:color="auto"/>
              <w:bottom w:val="single" w:sz="2" w:space="0" w:color="auto"/>
              <w:right w:val="single" w:sz="2" w:space="0" w:color="auto"/>
            </w:tcBorders>
          </w:tcPr>
          <w:p w14:paraId="5590C943" w14:textId="77777777" w:rsidR="009F4766" w:rsidRPr="00DE12A3" w:rsidRDefault="009F4766" w:rsidP="00C917D6">
            <w:pPr>
              <w:pStyle w:val="NormalLeft"/>
              <w:rPr>
                <w:sz w:val="14"/>
                <w:szCs w:val="14"/>
              </w:rPr>
            </w:pPr>
            <w:r w:rsidRPr="00DE12A3">
              <w:rPr>
                <w:sz w:val="14"/>
                <w:szCs w:val="14"/>
              </w:rPr>
              <w:t>1,731</w:t>
            </w:r>
          </w:p>
        </w:tc>
        <w:tc>
          <w:tcPr>
            <w:tcW w:w="464" w:type="dxa"/>
            <w:tcBorders>
              <w:top w:val="single" w:sz="2" w:space="0" w:color="auto"/>
              <w:left w:val="single" w:sz="2" w:space="0" w:color="auto"/>
              <w:bottom w:val="single" w:sz="2" w:space="0" w:color="auto"/>
              <w:right w:val="single" w:sz="2" w:space="0" w:color="auto"/>
            </w:tcBorders>
          </w:tcPr>
          <w:p w14:paraId="2E85EAAE" w14:textId="77777777" w:rsidR="009F4766" w:rsidRPr="00DE12A3" w:rsidRDefault="009F4766" w:rsidP="00C917D6">
            <w:pPr>
              <w:pStyle w:val="NormalLeft"/>
              <w:rPr>
                <w:sz w:val="14"/>
                <w:szCs w:val="14"/>
              </w:rPr>
            </w:pPr>
            <w:r w:rsidRPr="00DE12A3">
              <w:rPr>
                <w:sz w:val="14"/>
                <w:szCs w:val="14"/>
              </w:rPr>
              <w:t>1,672</w:t>
            </w:r>
          </w:p>
        </w:tc>
      </w:tr>
      <w:tr w:rsidR="00DE12A3" w:rsidRPr="00DE12A3" w14:paraId="53C317CD" w14:textId="77777777" w:rsidTr="009F4766">
        <w:tc>
          <w:tcPr>
            <w:tcW w:w="464" w:type="dxa"/>
            <w:tcBorders>
              <w:top w:val="single" w:sz="2" w:space="0" w:color="auto"/>
              <w:left w:val="single" w:sz="2" w:space="0" w:color="auto"/>
              <w:bottom w:val="single" w:sz="2" w:space="0" w:color="auto"/>
              <w:right w:val="single" w:sz="2" w:space="0" w:color="auto"/>
            </w:tcBorders>
          </w:tcPr>
          <w:p w14:paraId="36F1DDCE" w14:textId="77777777" w:rsidR="009F4766" w:rsidRPr="00DE12A3" w:rsidRDefault="009F4766" w:rsidP="00C917D6">
            <w:pPr>
              <w:pStyle w:val="NormalLeft"/>
              <w:rPr>
                <w:sz w:val="14"/>
                <w:szCs w:val="14"/>
              </w:rPr>
            </w:pPr>
            <w:r w:rsidRPr="00DE12A3">
              <w:rPr>
                <w:sz w:val="14"/>
                <w:szCs w:val="14"/>
              </w:rPr>
              <w:t>28</w:t>
            </w:r>
          </w:p>
        </w:tc>
        <w:tc>
          <w:tcPr>
            <w:tcW w:w="465" w:type="dxa"/>
            <w:tcBorders>
              <w:top w:val="single" w:sz="2" w:space="0" w:color="auto"/>
              <w:left w:val="single" w:sz="2" w:space="0" w:color="auto"/>
              <w:bottom w:val="single" w:sz="2" w:space="0" w:color="auto"/>
              <w:right w:val="single" w:sz="2" w:space="0" w:color="auto"/>
            </w:tcBorders>
          </w:tcPr>
          <w:p w14:paraId="77D6FD8D" w14:textId="77777777" w:rsidR="009F4766" w:rsidRPr="00DE12A3" w:rsidRDefault="009F4766" w:rsidP="00C917D6">
            <w:pPr>
              <w:pStyle w:val="NormalLeft"/>
              <w:rPr>
                <w:sz w:val="14"/>
                <w:szCs w:val="14"/>
              </w:rPr>
            </w:pPr>
            <w:r w:rsidRPr="00DE12A3">
              <w:rPr>
                <w:sz w:val="14"/>
                <w:szCs w:val="14"/>
              </w:rPr>
              <w:t>4,196</w:t>
            </w:r>
          </w:p>
        </w:tc>
        <w:tc>
          <w:tcPr>
            <w:tcW w:w="464" w:type="dxa"/>
            <w:tcBorders>
              <w:top w:val="single" w:sz="2" w:space="0" w:color="auto"/>
              <w:left w:val="single" w:sz="2" w:space="0" w:color="auto"/>
              <w:bottom w:val="single" w:sz="2" w:space="0" w:color="auto"/>
              <w:right w:val="single" w:sz="2" w:space="0" w:color="auto"/>
            </w:tcBorders>
          </w:tcPr>
          <w:p w14:paraId="0DCA02A3" w14:textId="77777777" w:rsidR="009F4766" w:rsidRPr="00DE12A3" w:rsidRDefault="009F4766" w:rsidP="00C917D6">
            <w:pPr>
              <w:pStyle w:val="NormalLeft"/>
              <w:rPr>
                <w:sz w:val="14"/>
                <w:szCs w:val="14"/>
              </w:rPr>
            </w:pPr>
            <w:r w:rsidRPr="00DE12A3">
              <w:rPr>
                <w:sz w:val="14"/>
                <w:szCs w:val="14"/>
              </w:rPr>
              <w:t>3,340</w:t>
            </w:r>
          </w:p>
        </w:tc>
        <w:tc>
          <w:tcPr>
            <w:tcW w:w="464" w:type="dxa"/>
            <w:tcBorders>
              <w:top w:val="single" w:sz="2" w:space="0" w:color="auto"/>
              <w:left w:val="single" w:sz="2" w:space="0" w:color="auto"/>
              <w:bottom w:val="single" w:sz="2" w:space="0" w:color="auto"/>
              <w:right w:val="single" w:sz="2" w:space="0" w:color="auto"/>
            </w:tcBorders>
          </w:tcPr>
          <w:p w14:paraId="19D3D6CC" w14:textId="77777777" w:rsidR="009F4766" w:rsidRPr="00DE12A3" w:rsidRDefault="009F4766" w:rsidP="00C917D6">
            <w:pPr>
              <w:pStyle w:val="NormalLeft"/>
              <w:rPr>
                <w:sz w:val="14"/>
                <w:szCs w:val="14"/>
              </w:rPr>
            </w:pPr>
            <w:r w:rsidRPr="00DE12A3">
              <w:rPr>
                <w:sz w:val="14"/>
                <w:szCs w:val="14"/>
              </w:rPr>
              <w:t>2,947</w:t>
            </w:r>
          </w:p>
        </w:tc>
        <w:tc>
          <w:tcPr>
            <w:tcW w:w="465" w:type="dxa"/>
            <w:tcBorders>
              <w:top w:val="single" w:sz="2" w:space="0" w:color="auto"/>
              <w:left w:val="single" w:sz="2" w:space="0" w:color="auto"/>
              <w:bottom w:val="single" w:sz="2" w:space="0" w:color="auto"/>
              <w:right w:val="single" w:sz="2" w:space="0" w:color="auto"/>
            </w:tcBorders>
          </w:tcPr>
          <w:p w14:paraId="6EE410B2" w14:textId="77777777" w:rsidR="009F4766" w:rsidRPr="00DE12A3" w:rsidRDefault="009F4766" w:rsidP="00C917D6">
            <w:pPr>
              <w:pStyle w:val="NormalLeft"/>
              <w:rPr>
                <w:sz w:val="14"/>
                <w:szCs w:val="14"/>
              </w:rPr>
            </w:pPr>
            <w:r w:rsidRPr="00DE12A3">
              <w:rPr>
                <w:sz w:val="14"/>
                <w:szCs w:val="14"/>
              </w:rPr>
              <w:t>2,714</w:t>
            </w:r>
          </w:p>
        </w:tc>
        <w:tc>
          <w:tcPr>
            <w:tcW w:w="464" w:type="dxa"/>
            <w:tcBorders>
              <w:top w:val="single" w:sz="2" w:space="0" w:color="auto"/>
              <w:left w:val="single" w:sz="2" w:space="0" w:color="auto"/>
              <w:bottom w:val="single" w:sz="2" w:space="0" w:color="auto"/>
              <w:right w:val="single" w:sz="2" w:space="0" w:color="auto"/>
            </w:tcBorders>
          </w:tcPr>
          <w:p w14:paraId="3E616C88" w14:textId="77777777" w:rsidR="009F4766" w:rsidRPr="00DE12A3" w:rsidRDefault="009F4766" w:rsidP="00C917D6">
            <w:pPr>
              <w:pStyle w:val="NormalLeft"/>
              <w:rPr>
                <w:sz w:val="14"/>
                <w:szCs w:val="14"/>
              </w:rPr>
            </w:pPr>
            <w:r w:rsidRPr="00DE12A3">
              <w:rPr>
                <w:sz w:val="14"/>
                <w:szCs w:val="14"/>
              </w:rPr>
              <w:t>2,558</w:t>
            </w:r>
          </w:p>
        </w:tc>
        <w:tc>
          <w:tcPr>
            <w:tcW w:w="464" w:type="dxa"/>
            <w:tcBorders>
              <w:top w:val="single" w:sz="2" w:space="0" w:color="auto"/>
              <w:left w:val="single" w:sz="2" w:space="0" w:color="auto"/>
              <w:bottom w:val="single" w:sz="2" w:space="0" w:color="auto"/>
              <w:right w:val="single" w:sz="2" w:space="0" w:color="auto"/>
            </w:tcBorders>
          </w:tcPr>
          <w:p w14:paraId="3A8D7E97" w14:textId="77777777" w:rsidR="009F4766" w:rsidRPr="00DE12A3" w:rsidRDefault="009F4766" w:rsidP="00C917D6">
            <w:pPr>
              <w:pStyle w:val="NormalLeft"/>
              <w:rPr>
                <w:sz w:val="14"/>
                <w:szCs w:val="14"/>
              </w:rPr>
            </w:pPr>
            <w:r w:rsidRPr="00DE12A3">
              <w:rPr>
                <w:sz w:val="14"/>
                <w:szCs w:val="14"/>
              </w:rPr>
              <w:t>2,445</w:t>
            </w:r>
          </w:p>
        </w:tc>
        <w:tc>
          <w:tcPr>
            <w:tcW w:w="464" w:type="dxa"/>
            <w:tcBorders>
              <w:top w:val="single" w:sz="2" w:space="0" w:color="auto"/>
              <w:left w:val="single" w:sz="2" w:space="0" w:color="auto"/>
              <w:bottom w:val="single" w:sz="2" w:space="0" w:color="auto"/>
              <w:right w:val="single" w:sz="2" w:space="0" w:color="auto"/>
            </w:tcBorders>
          </w:tcPr>
          <w:p w14:paraId="613E30E2" w14:textId="77777777" w:rsidR="009F4766" w:rsidRPr="00DE12A3" w:rsidRDefault="009F4766" w:rsidP="00C917D6">
            <w:pPr>
              <w:pStyle w:val="NormalLeft"/>
              <w:rPr>
                <w:sz w:val="14"/>
                <w:szCs w:val="14"/>
              </w:rPr>
            </w:pPr>
            <w:r w:rsidRPr="00DE12A3">
              <w:rPr>
                <w:sz w:val="14"/>
                <w:szCs w:val="14"/>
              </w:rPr>
              <w:t>2,359</w:t>
            </w:r>
          </w:p>
        </w:tc>
        <w:tc>
          <w:tcPr>
            <w:tcW w:w="465" w:type="dxa"/>
            <w:tcBorders>
              <w:top w:val="single" w:sz="2" w:space="0" w:color="auto"/>
              <w:left w:val="single" w:sz="2" w:space="0" w:color="auto"/>
              <w:bottom w:val="single" w:sz="2" w:space="0" w:color="auto"/>
              <w:right w:val="single" w:sz="2" w:space="0" w:color="auto"/>
            </w:tcBorders>
          </w:tcPr>
          <w:p w14:paraId="29E639A0" w14:textId="77777777" w:rsidR="009F4766" w:rsidRPr="00DE12A3" w:rsidRDefault="009F4766" w:rsidP="00C917D6">
            <w:pPr>
              <w:pStyle w:val="NormalLeft"/>
              <w:rPr>
                <w:sz w:val="14"/>
                <w:szCs w:val="14"/>
              </w:rPr>
            </w:pPr>
            <w:r w:rsidRPr="00DE12A3">
              <w:rPr>
                <w:sz w:val="14"/>
                <w:szCs w:val="14"/>
              </w:rPr>
              <w:t>2,291</w:t>
            </w:r>
          </w:p>
        </w:tc>
        <w:tc>
          <w:tcPr>
            <w:tcW w:w="464" w:type="dxa"/>
            <w:tcBorders>
              <w:top w:val="single" w:sz="2" w:space="0" w:color="auto"/>
              <w:left w:val="single" w:sz="2" w:space="0" w:color="auto"/>
              <w:bottom w:val="single" w:sz="2" w:space="0" w:color="auto"/>
              <w:right w:val="single" w:sz="2" w:space="0" w:color="auto"/>
            </w:tcBorders>
          </w:tcPr>
          <w:p w14:paraId="003D7BB5" w14:textId="77777777" w:rsidR="009F4766" w:rsidRPr="00DE12A3" w:rsidRDefault="009F4766" w:rsidP="00C917D6">
            <w:pPr>
              <w:pStyle w:val="NormalLeft"/>
              <w:rPr>
                <w:sz w:val="14"/>
                <w:szCs w:val="14"/>
              </w:rPr>
            </w:pPr>
            <w:r w:rsidRPr="00DE12A3">
              <w:rPr>
                <w:sz w:val="14"/>
                <w:szCs w:val="14"/>
              </w:rPr>
              <w:t>2,236</w:t>
            </w:r>
          </w:p>
        </w:tc>
        <w:tc>
          <w:tcPr>
            <w:tcW w:w="464" w:type="dxa"/>
            <w:tcBorders>
              <w:top w:val="single" w:sz="2" w:space="0" w:color="auto"/>
              <w:left w:val="single" w:sz="2" w:space="0" w:color="auto"/>
              <w:bottom w:val="single" w:sz="2" w:space="0" w:color="auto"/>
              <w:right w:val="single" w:sz="2" w:space="0" w:color="auto"/>
            </w:tcBorders>
          </w:tcPr>
          <w:p w14:paraId="51BF744B" w14:textId="77777777" w:rsidR="009F4766" w:rsidRPr="00DE12A3" w:rsidRDefault="009F4766" w:rsidP="00C917D6">
            <w:pPr>
              <w:pStyle w:val="NormalLeft"/>
              <w:rPr>
                <w:sz w:val="14"/>
                <w:szCs w:val="14"/>
              </w:rPr>
            </w:pPr>
            <w:r w:rsidRPr="00DE12A3">
              <w:rPr>
                <w:sz w:val="14"/>
                <w:szCs w:val="14"/>
              </w:rPr>
              <w:t>2,190</w:t>
            </w:r>
          </w:p>
        </w:tc>
        <w:tc>
          <w:tcPr>
            <w:tcW w:w="465" w:type="dxa"/>
            <w:tcBorders>
              <w:top w:val="single" w:sz="2" w:space="0" w:color="auto"/>
              <w:left w:val="single" w:sz="2" w:space="0" w:color="auto"/>
              <w:bottom w:val="single" w:sz="2" w:space="0" w:color="auto"/>
              <w:right w:val="single" w:sz="2" w:space="0" w:color="auto"/>
            </w:tcBorders>
          </w:tcPr>
          <w:p w14:paraId="38DD3B2A" w14:textId="77777777" w:rsidR="009F4766" w:rsidRPr="00DE12A3" w:rsidRDefault="009F4766" w:rsidP="00C917D6">
            <w:pPr>
              <w:pStyle w:val="NormalLeft"/>
              <w:rPr>
                <w:sz w:val="14"/>
                <w:szCs w:val="14"/>
              </w:rPr>
            </w:pPr>
            <w:r w:rsidRPr="00DE12A3">
              <w:rPr>
                <w:sz w:val="14"/>
                <w:szCs w:val="14"/>
              </w:rPr>
              <w:t>2,118</w:t>
            </w:r>
          </w:p>
        </w:tc>
        <w:tc>
          <w:tcPr>
            <w:tcW w:w="464" w:type="dxa"/>
            <w:tcBorders>
              <w:top w:val="single" w:sz="2" w:space="0" w:color="auto"/>
              <w:left w:val="single" w:sz="2" w:space="0" w:color="auto"/>
              <w:bottom w:val="single" w:sz="2" w:space="0" w:color="auto"/>
              <w:right w:val="single" w:sz="2" w:space="0" w:color="auto"/>
            </w:tcBorders>
          </w:tcPr>
          <w:p w14:paraId="1A337AEC" w14:textId="77777777" w:rsidR="009F4766" w:rsidRPr="00DE12A3" w:rsidRDefault="009F4766" w:rsidP="00C917D6">
            <w:pPr>
              <w:pStyle w:val="NormalLeft"/>
              <w:rPr>
                <w:sz w:val="14"/>
                <w:szCs w:val="14"/>
              </w:rPr>
            </w:pPr>
            <w:r w:rsidRPr="00DE12A3">
              <w:rPr>
                <w:sz w:val="14"/>
                <w:szCs w:val="14"/>
              </w:rPr>
              <w:t>2,041</w:t>
            </w:r>
          </w:p>
        </w:tc>
        <w:tc>
          <w:tcPr>
            <w:tcW w:w="464" w:type="dxa"/>
            <w:tcBorders>
              <w:top w:val="single" w:sz="2" w:space="0" w:color="auto"/>
              <w:left w:val="single" w:sz="2" w:space="0" w:color="auto"/>
              <w:bottom w:val="single" w:sz="2" w:space="0" w:color="auto"/>
              <w:right w:val="single" w:sz="2" w:space="0" w:color="auto"/>
            </w:tcBorders>
          </w:tcPr>
          <w:p w14:paraId="43FF8035" w14:textId="77777777" w:rsidR="009F4766" w:rsidRPr="00DE12A3" w:rsidRDefault="009F4766" w:rsidP="00C917D6">
            <w:pPr>
              <w:pStyle w:val="NormalLeft"/>
              <w:rPr>
                <w:sz w:val="14"/>
                <w:szCs w:val="14"/>
              </w:rPr>
            </w:pPr>
            <w:r w:rsidRPr="00DE12A3">
              <w:rPr>
                <w:sz w:val="14"/>
                <w:szCs w:val="14"/>
              </w:rPr>
              <w:t>1,959</w:t>
            </w:r>
          </w:p>
        </w:tc>
        <w:tc>
          <w:tcPr>
            <w:tcW w:w="465" w:type="dxa"/>
            <w:tcBorders>
              <w:top w:val="single" w:sz="2" w:space="0" w:color="auto"/>
              <w:left w:val="single" w:sz="2" w:space="0" w:color="auto"/>
              <w:bottom w:val="single" w:sz="2" w:space="0" w:color="auto"/>
              <w:right w:val="single" w:sz="2" w:space="0" w:color="auto"/>
            </w:tcBorders>
          </w:tcPr>
          <w:p w14:paraId="3BE64E3E" w14:textId="77777777" w:rsidR="009F4766" w:rsidRPr="00DE12A3" w:rsidRDefault="009F4766" w:rsidP="00C917D6">
            <w:pPr>
              <w:pStyle w:val="NormalLeft"/>
              <w:rPr>
                <w:sz w:val="14"/>
                <w:szCs w:val="14"/>
              </w:rPr>
            </w:pPr>
            <w:r w:rsidRPr="00DE12A3">
              <w:rPr>
                <w:sz w:val="14"/>
                <w:szCs w:val="14"/>
              </w:rPr>
              <w:t>1,915</w:t>
            </w:r>
          </w:p>
        </w:tc>
        <w:tc>
          <w:tcPr>
            <w:tcW w:w="464" w:type="dxa"/>
            <w:tcBorders>
              <w:top w:val="single" w:sz="2" w:space="0" w:color="auto"/>
              <w:left w:val="single" w:sz="2" w:space="0" w:color="auto"/>
              <w:bottom w:val="single" w:sz="2" w:space="0" w:color="auto"/>
              <w:right w:val="single" w:sz="2" w:space="0" w:color="auto"/>
            </w:tcBorders>
          </w:tcPr>
          <w:p w14:paraId="0D5463F6" w14:textId="77777777" w:rsidR="009F4766" w:rsidRPr="00DE12A3" w:rsidRDefault="009F4766" w:rsidP="00C917D6">
            <w:pPr>
              <w:pStyle w:val="NormalLeft"/>
              <w:rPr>
                <w:sz w:val="14"/>
                <w:szCs w:val="14"/>
              </w:rPr>
            </w:pPr>
            <w:r w:rsidRPr="00DE12A3">
              <w:rPr>
                <w:sz w:val="14"/>
                <w:szCs w:val="14"/>
              </w:rPr>
              <w:t>1,869</w:t>
            </w:r>
          </w:p>
        </w:tc>
        <w:tc>
          <w:tcPr>
            <w:tcW w:w="464" w:type="dxa"/>
            <w:tcBorders>
              <w:top w:val="single" w:sz="2" w:space="0" w:color="auto"/>
              <w:left w:val="single" w:sz="2" w:space="0" w:color="auto"/>
              <w:bottom w:val="single" w:sz="2" w:space="0" w:color="auto"/>
              <w:right w:val="single" w:sz="2" w:space="0" w:color="auto"/>
            </w:tcBorders>
          </w:tcPr>
          <w:p w14:paraId="798B9A1F" w14:textId="77777777" w:rsidR="009F4766" w:rsidRPr="00DE12A3" w:rsidRDefault="009F4766" w:rsidP="00C917D6">
            <w:pPr>
              <w:pStyle w:val="NormalLeft"/>
              <w:rPr>
                <w:sz w:val="14"/>
                <w:szCs w:val="14"/>
              </w:rPr>
            </w:pPr>
            <w:r w:rsidRPr="00DE12A3">
              <w:rPr>
                <w:sz w:val="14"/>
                <w:szCs w:val="14"/>
              </w:rPr>
              <w:t>1,820</w:t>
            </w:r>
          </w:p>
        </w:tc>
        <w:tc>
          <w:tcPr>
            <w:tcW w:w="464" w:type="dxa"/>
            <w:tcBorders>
              <w:top w:val="single" w:sz="2" w:space="0" w:color="auto"/>
              <w:left w:val="single" w:sz="2" w:space="0" w:color="auto"/>
              <w:bottom w:val="single" w:sz="2" w:space="0" w:color="auto"/>
              <w:right w:val="single" w:sz="2" w:space="0" w:color="auto"/>
            </w:tcBorders>
          </w:tcPr>
          <w:p w14:paraId="7BA49B95" w14:textId="77777777" w:rsidR="009F4766" w:rsidRPr="00DE12A3" w:rsidRDefault="009F4766" w:rsidP="00C917D6">
            <w:pPr>
              <w:pStyle w:val="NormalLeft"/>
              <w:rPr>
                <w:sz w:val="14"/>
                <w:szCs w:val="14"/>
              </w:rPr>
            </w:pPr>
            <w:r w:rsidRPr="00DE12A3">
              <w:rPr>
                <w:sz w:val="14"/>
                <w:szCs w:val="14"/>
              </w:rPr>
              <w:t>1,769</w:t>
            </w:r>
          </w:p>
        </w:tc>
        <w:tc>
          <w:tcPr>
            <w:tcW w:w="465" w:type="dxa"/>
            <w:tcBorders>
              <w:top w:val="single" w:sz="2" w:space="0" w:color="auto"/>
              <w:left w:val="single" w:sz="2" w:space="0" w:color="auto"/>
              <w:bottom w:val="single" w:sz="2" w:space="0" w:color="auto"/>
              <w:right w:val="single" w:sz="2" w:space="0" w:color="auto"/>
            </w:tcBorders>
          </w:tcPr>
          <w:p w14:paraId="74F19AF0" w14:textId="77777777" w:rsidR="009F4766" w:rsidRPr="00DE12A3" w:rsidRDefault="009F4766" w:rsidP="00C917D6">
            <w:pPr>
              <w:pStyle w:val="NormalLeft"/>
              <w:rPr>
                <w:sz w:val="14"/>
                <w:szCs w:val="14"/>
              </w:rPr>
            </w:pPr>
            <w:r w:rsidRPr="00DE12A3">
              <w:rPr>
                <w:sz w:val="14"/>
                <w:szCs w:val="14"/>
              </w:rPr>
              <w:t>1,714</w:t>
            </w:r>
          </w:p>
        </w:tc>
        <w:tc>
          <w:tcPr>
            <w:tcW w:w="464" w:type="dxa"/>
            <w:tcBorders>
              <w:top w:val="single" w:sz="2" w:space="0" w:color="auto"/>
              <w:left w:val="single" w:sz="2" w:space="0" w:color="auto"/>
              <w:bottom w:val="single" w:sz="2" w:space="0" w:color="auto"/>
              <w:right w:val="single" w:sz="2" w:space="0" w:color="auto"/>
            </w:tcBorders>
          </w:tcPr>
          <w:p w14:paraId="73D1D41B" w14:textId="77777777" w:rsidR="009F4766" w:rsidRPr="00DE12A3" w:rsidRDefault="009F4766" w:rsidP="00C917D6">
            <w:pPr>
              <w:pStyle w:val="NormalLeft"/>
              <w:rPr>
                <w:sz w:val="14"/>
                <w:szCs w:val="14"/>
              </w:rPr>
            </w:pPr>
            <w:r w:rsidRPr="00DE12A3">
              <w:rPr>
                <w:sz w:val="14"/>
                <w:szCs w:val="14"/>
              </w:rPr>
              <w:t>1,654</w:t>
            </w:r>
          </w:p>
        </w:tc>
      </w:tr>
      <w:tr w:rsidR="00DE12A3" w:rsidRPr="00DE12A3" w14:paraId="12AE408C" w14:textId="77777777" w:rsidTr="009F4766">
        <w:tc>
          <w:tcPr>
            <w:tcW w:w="464" w:type="dxa"/>
            <w:tcBorders>
              <w:top w:val="single" w:sz="2" w:space="0" w:color="auto"/>
              <w:left w:val="single" w:sz="2" w:space="0" w:color="auto"/>
              <w:bottom w:val="single" w:sz="2" w:space="0" w:color="auto"/>
              <w:right w:val="single" w:sz="2" w:space="0" w:color="auto"/>
            </w:tcBorders>
          </w:tcPr>
          <w:p w14:paraId="7E750762" w14:textId="77777777" w:rsidR="009F4766" w:rsidRPr="00DE12A3" w:rsidRDefault="009F4766" w:rsidP="00C917D6">
            <w:pPr>
              <w:pStyle w:val="NormalLeft"/>
              <w:rPr>
                <w:sz w:val="14"/>
                <w:szCs w:val="14"/>
              </w:rPr>
            </w:pPr>
            <w:r w:rsidRPr="00DE12A3">
              <w:rPr>
                <w:sz w:val="14"/>
                <w:szCs w:val="14"/>
              </w:rPr>
              <w:t>29</w:t>
            </w:r>
          </w:p>
        </w:tc>
        <w:tc>
          <w:tcPr>
            <w:tcW w:w="465" w:type="dxa"/>
            <w:tcBorders>
              <w:top w:val="single" w:sz="2" w:space="0" w:color="auto"/>
              <w:left w:val="single" w:sz="2" w:space="0" w:color="auto"/>
              <w:bottom w:val="single" w:sz="2" w:space="0" w:color="auto"/>
              <w:right w:val="single" w:sz="2" w:space="0" w:color="auto"/>
            </w:tcBorders>
          </w:tcPr>
          <w:p w14:paraId="6AA93ABA" w14:textId="77777777" w:rsidR="009F4766" w:rsidRPr="00DE12A3" w:rsidRDefault="009F4766" w:rsidP="00C917D6">
            <w:pPr>
              <w:pStyle w:val="NormalLeft"/>
              <w:rPr>
                <w:sz w:val="14"/>
                <w:szCs w:val="14"/>
              </w:rPr>
            </w:pPr>
            <w:r w:rsidRPr="00DE12A3">
              <w:rPr>
                <w:sz w:val="14"/>
                <w:szCs w:val="14"/>
              </w:rPr>
              <w:t>4,183</w:t>
            </w:r>
          </w:p>
        </w:tc>
        <w:tc>
          <w:tcPr>
            <w:tcW w:w="464" w:type="dxa"/>
            <w:tcBorders>
              <w:top w:val="single" w:sz="2" w:space="0" w:color="auto"/>
              <w:left w:val="single" w:sz="2" w:space="0" w:color="auto"/>
              <w:bottom w:val="single" w:sz="2" w:space="0" w:color="auto"/>
              <w:right w:val="single" w:sz="2" w:space="0" w:color="auto"/>
            </w:tcBorders>
          </w:tcPr>
          <w:p w14:paraId="793EE2C9" w14:textId="77777777" w:rsidR="009F4766" w:rsidRPr="00DE12A3" w:rsidRDefault="009F4766" w:rsidP="00C917D6">
            <w:pPr>
              <w:pStyle w:val="NormalLeft"/>
              <w:rPr>
                <w:sz w:val="14"/>
                <w:szCs w:val="14"/>
              </w:rPr>
            </w:pPr>
            <w:r w:rsidRPr="00DE12A3">
              <w:rPr>
                <w:sz w:val="14"/>
                <w:szCs w:val="14"/>
              </w:rPr>
              <w:t>3,328</w:t>
            </w:r>
          </w:p>
        </w:tc>
        <w:tc>
          <w:tcPr>
            <w:tcW w:w="464" w:type="dxa"/>
            <w:tcBorders>
              <w:top w:val="single" w:sz="2" w:space="0" w:color="auto"/>
              <w:left w:val="single" w:sz="2" w:space="0" w:color="auto"/>
              <w:bottom w:val="single" w:sz="2" w:space="0" w:color="auto"/>
              <w:right w:val="single" w:sz="2" w:space="0" w:color="auto"/>
            </w:tcBorders>
          </w:tcPr>
          <w:p w14:paraId="7C8F2477" w14:textId="77777777" w:rsidR="009F4766" w:rsidRPr="00DE12A3" w:rsidRDefault="009F4766" w:rsidP="00C917D6">
            <w:pPr>
              <w:pStyle w:val="NormalLeft"/>
              <w:rPr>
                <w:sz w:val="14"/>
                <w:szCs w:val="14"/>
              </w:rPr>
            </w:pPr>
            <w:r w:rsidRPr="00DE12A3">
              <w:rPr>
                <w:sz w:val="14"/>
                <w:szCs w:val="14"/>
              </w:rPr>
              <w:t>2,934</w:t>
            </w:r>
          </w:p>
        </w:tc>
        <w:tc>
          <w:tcPr>
            <w:tcW w:w="465" w:type="dxa"/>
            <w:tcBorders>
              <w:top w:val="single" w:sz="2" w:space="0" w:color="auto"/>
              <w:left w:val="single" w:sz="2" w:space="0" w:color="auto"/>
              <w:bottom w:val="single" w:sz="2" w:space="0" w:color="auto"/>
              <w:right w:val="single" w:sz="2" w:space="0" w:color="auto"/>
            </w:tcBorders>
          </w:tcPr>
          <w:p w14:paraId="1A76D55B" w14:textId="77777777" w:rsidR="009F4766" w:rsidRPr="00DE12A3" w:rsidRDefault="009F4766" w:rsidP="00C917D6">
            <w:pPr>
              <w:pStyle w:val="NormalLeft"/>
              <w:rPr>
                <w:sz w:val="14"/>
                <w:szCs w:val="14"/>
              </w:rPr>
            </w:pPr>
            <w:r w:rsidRPr="00DE12A3">
              <w:rPr>
                <w:sz w:val="14"/>
                <w:szCs w:val="14"/>
              </w:rPr>
              <w:t>2,701</w:t>
            </w:r>
          </w:p>
        </w:tc>
        <w:tc>
          <w:tcPr>
            <w:tcW w:w="464" w:type="dxa"/>
            <w:tcBorders>
              <w:top w:val="single" w:sz="2" w:space="0" w:color="auto"/>
              <w:left w:val="single" w:sz="2" w:space="0" w:color="auto"/>
              <w:bottom w:val="single" w:sz="2" w:space="0" w:color="auto"/>
              <w:right w:val="single" w:sz="2" w:space="0" w:color="auto"/>
            </w:tcBorders>
          </w:tcPr>
          <w:p w14:paraId="5BE3BBBB" w14:textId="77777777" w:rsidR="009F4766" w:rsidRPr="00DE12A3" w:rsidRDefault="009F4766" w:rsidP="00C917D6">
            <w:pPr>
              <w:pStyle w:val="NormalLeft"/>
              <w:rPr>
                <w:sz w:val="14"/>
                <w:szCs w:val="14"/>
              </w:rPr>
            </w:pPr>
            <w:r w:rsidRPr="00DE12A3">
              <w:rPr>
                <w:sz w:val="14"/>
                <w:szCs w:val="14"/>
              </w:rPr>
              <w:t>2,545</w:t>
            </w:r>
          </w:p>
        </w:tc>
        <w:tc>
          <w:tcPr>
            <w:tcW w:w="464" w:type="dxa"/>
            <w:tcBorders>
              <w:top w:val="single" w:sz="2" w:space="0" w:color="auto"/>
              <w:left w:val="single" w:sz="2" w:space="0" w:color="auto"/>
              <w:bottom w:val="single" w:sz="2" w:space="0" w:color="auto"/>
              <w:right w:val="single" w:sz="2" w:space="0" w:color="auto"/>
            </w:tcBorders>
          </w:tcPr>
          <w:p w14:paraId="4AA5CD33" w14:textId="77777777" w:rsidR="009F4766" w:rsidRPr="00DE12A3" w:rsidRDefault="009F4766" w:rsidP="00C917D6">
            <w:pPr>
              <w:pStyle w:val="NormalLeft"/>
              <w:rPr>
                <w:sz w:val="14"/>
                <w:szCs w:val="14"/>
              </w:rPr>
            </w:pPr>
            <w:r w:rsidRPr="00DE12A3">
              <w:rPr>
                <w:sz w:val="14"/>
                <w:szCs w:val="14"/>
              </w:rPr>
              <w:t>2,432</w:t>
            </w:r>
          </w:p>
        </w:tc>
        <w:tc>
          <w:tcPr>
            <w:tcW w:w="464" w:type="dxa"/>
            <w:tcBorders>
              <w:top w:val="single" w:sz="2" w:space="0" w:color="auto"/>
              <w:left w:val="single" w:sz="2" w:space="0" w:color="auto"/>
              <w:bottom w:val="single" w:sz="2" w:space="0" w:color="auto"/>
              <w:right w:val="single" w:sz="2" w:space="0" w:color="auto"/>
            </w:tcBorders>
          </w:tcPr>
          <w:p w14:paraId="55BDF651" w14:textId="77777777" w:rsidR="009F4766" w:rsidRPr="00DE12A3" w:rsidRDefault="009F4766" w:rsidP="00C917D6">
            <w:pPr>
              <w:pStyle w:val="NormalLeft"/>
              <w:rPr>
                <w:sz w:val="14"/>
                <w:szCs w:val="14"/>
              </w:rPr>
            </w:pPr>
            <w:r w:rsidRPr="00DE12A3">
              <w:rPr>
                <w:sz w:val="14"/>
                <w:szCs w:val="14"/>
              </w:rPr>
              <w:t>2,346</w:t>
            </w:r>
          </w:p>
        </w:tc>
        <w:tc>
          <w:tcPr>
            <w:tcW w:w="465" w:type="dxa"/>
            <w:tcBorders>
              <w:top w:val="single" w:sz="2" w:space="0" w:color="auto"/>
              <w:left w:val="single" w:sz="2" w:space="0" w:color="auto"/>
              <w:bottom w:val="single" w:sz="2" w:space="0" w:color="auto"/>
              <w:right w:val="single" w:sz="2" w:space="0" w:color="auto"/>
            </w:tcBorders>
          </w:tcPr>
          <w:p w14:paraId="739F64A1" w14:textId="77777777" w:rsidR="009F4766" w:rsidRPr="00DE12A3" w:rsidRDefault="009F4766" w:rsidP="00C917D6">
            <w:pPr>
              <w:pStyle w:val="NormalLeft"/>
              <w:rPr>
                <w:sz w:val="14"/>
                <w:szCs w:val="14"/>
              </w:rPr>
            </w:pPr>
            <w:r w:rsidRPr="00DE12A3">
              <w:rPr>
                <w:sz w:val="14"/>
                <w:szCs w:val="14"/>
              </w:rPr>
              <w:t>2,278</w:t>
            </w:r>
          </w:p>
        </w:tc>
        <w:tc>
          <w:tcPr>
            <w:tcW w:w="464" w:type="dxa"/>
            <w:tcBorders>
              <w:top w:val="single" w:sz="2" w:space="0" w:color="auto"/>
              <w:left w:val="single" w:sz="2" w:space="0" w:color="auto"/>
              <w:bottom w:val="single" w:sz="2" w:space="0" w:color="auto"/>
              <w:right w:val="single" w:sz="2" w:space="0" w:color="auto"/>
            </w:tcBorders>
          </w:tcPr>
          <w:p w14:paraId="44E46136" w14:textId="77777777" w:rsidR="009F4766" w:rsidRPr="00DE12A3" w:rsidRDefault="009F4766" w:rsidP="00C917D6">
            <w:pPr>
              <w:pStyle w:val="NormalLeft"/>
              <w:rPr>
                <w:sz w:val="14"/>
                <w:szCs w:val="14"/>
              </w:rPr>
            </w:pPr>
            <w:r w:rsidRPr="00DE12A3">
              <w:rPr>
                <w:sz w:val="14"/>
                <w:szCs w:val="14"/>
              </w:rPr>
              <w:t>2,223</w:t>
            </w:r>
          </w:p>
        </w:tc>
        <w:tc>
          <w:tcPr>
            <w:tcW w:w="464" w:type="dxa"/>
            <w:tcBorders>
              <w:top w:val="single" w:sz="2" w:space="0" w:color="auto"/>
              <w:left w:val="single" w:sz="2" w:space="0" w:color="auto"/>
              <w:bottom w:val="single" w:sz="2" w:space="0" w:color="auto"/>
              <w:right w:val="single" w:sz="2" w:space="0" w:color="auto"/>
            </w:tcBorders>
          </w:tcPr>
          <w:p w14:paraId="08721DAD" w14:textId="77777777" w:rsidR="009F4766" w:rsidRPr="00DE12A3" w:rsidRDefault="009F4766" w:rsidP="00C917D6">
            <w:pPr>
              <w:pStyle w:val="NormalLeft"/>
              <w:rPr>
                <w:sz w:val="14"/>
                <w:szCs w:val="14"/>
              </w:rPr>
            </w:pPr>
            <w:r w:rsidRPr="00DE12A3">
              <w:rPr>
                <w:sz w:val="14"/>
                <w:szCs w:val="14"/>
              </w:rPr>
              <w:t>2,177</w:t>
            </w:r>
          </w:p>
        </w:tc>
        <w:tc>
          <w:tcPr>
            <w:tcW w:w="465" w:type="dxa"/>
            <w:tcBorders>
              <w:top w:val="single" w:sz="2" w:space="0" w:color="auto"/>
              <w:left w:val="single" w:sz="2" w:space="0" w:color="auto"/>
              <w:bottom w:val="single" w:sz="2" w:space="0" w:color="auto"/>
              <w:right w:val="single" w:sz="2" w:space="0" w:color="auto"/>
            </w:tcBorders>
          </w:tcPr>
          <w:p w14:paraId="1CE92D26" w14:textId="77777777" w:rsidR="009F4766" w:rsidRPr="00DE12A3" w:rsidRDefault="009F4766" w:rsidP="00C917D6">
            <w:pPr>
              <w:pStyle w:val="NormalLeft"/>
              <w:rPr>
                <w:sz w:val="14"/>
                <w:szCs w:val="14"/>
              </w:rPr>
            </w:pPr>
            <w:r w:rsidRPr="00DE12A3">
              <w:rPr>
                <w:sz w:val="14"/>
                <w:szCs w:val="14"/>
              </w:rPr>
              <w:t>2,105</w:t>
            </w:r>
          </w:p>
        </w:tc>
        <w:tc>
          <w:tcPr>
            <w:tcW w:w="464" w:type="dxa"/>
            <w:tcBorders>
              <w:top w:val="single" w:sz="2" w:space="0" w:color="auto"/>
              <w:left w:val="single" w:sz="2" w:space="0" w:color="auto"/>
              <w:bottom w:val="single" w:sz="2" w:space="0" w:color="auto"/>
              <w:right w:val="single" w:sz="2" w:space="0" w:color="auto"/>
            </w:tcBorders>
          </w:tcPr>
          <w:p w14:paraId="3875C03B" w14:textId="77777777" w:rsidR="009F4766" w:rsidRPr="00DE12A3" w:rsidRDefault="009F4766" w:rsidP="00C917D6">
            <w:pPr>
              <w:pStyle w:val="NormalLeft"/>
              <w:rPr>
                <w:sz w:val="14"/>
                <w:szCs w:val="14"/>
              </w:rPr>
            </w:pPr>
            <w:r w:rsidRPr="00DE12A3">
              <w:rPr>
                <w:sz w:val="14"/>
                <w:szCs w:val="14"/>
              </w:rPr>
              <w:t>2,028</w:t>
            </w:r>
          </w:p>
        </w:tc>
        <w:tc>
          <w:tcPr>
            <w:tcW w:w="464" w:type="dxa"/>
            <w:tcBorders>
              <w:top w:val="single" w:sz="2" w:space="0" w:color="auto"/>
              <w:left w:val="single" w:sz="2" w:space="0" w:color="auto"/>
              <w:bottom w:val="single" w:sz="2" w:space="0" w:color="auto"/>
              <w:right w:val="single" w:sz="2" w:space="0" w:color="auto"/>
            </w:tcBorders>
          </w:tcPr>
          <w:p w14:paraId="185C5E78" w14:textId="77777777" w:rsidR="009F4766" w:rsidRPr="00DE12A3" w:rsidRDefault="009F4766" w:rsidP="00C917D6">
            <w:pPr>
              <w:pStyle w:val="NormalLeft"/>
              <w:rPr>
                <w:sz w:val="14"/>
                <w:szCs w:val="14"/>
              </w:rPr>
            </w:pPr>
            <w:r w:rsidRPr="00DE12A3">
              <w:rPr>
                <w:sz w:val="14"/>
                <w:szCs w:val="14"/>
              </w:rPr>
              <w:t>1,945</w:t>
            </w:r>
          </w:p>
        </w:tc>
        <w:tc>
          <w:tcPr>
            <w:tcW w:w="465" w:type="dxa"/>
            <w:tcBorders>
              <w:top w:val="single" w:sz="2" w:space="0" w:color="auto"/>
              <w:left w:val="single" w:sz="2" w:space="0" w:color="auto"/>
              <w:bottom w:val="single" w:sz="2" w:space="0" w:color="auto"/>
              <w:right w:val="single" w:sz="2" w:space="0" w:color="auto"/>
            </w:tcBorders>
          </w:tcPr>
          <w:p w14:paraId="2AA0DC90" w14:textId="77777777" w:rsidR="009F4766" w:rsidRPr="00DE12A3" w:rsidRDefault="009F4766" w:rsidP="00C917D6">
            <w:pPr>
              <w:pStyle w:val="NormalLeft"/>
              <w:rPr>
                <w:sz w:val="14"/>
                <w:szCs w:val="14"/>
              </w:rPr>
            </w:pPr>
            <w:r w:rsidRPr="00DE12A3">
              <w:rPr>
                <w:sz w:val="14"/>
                <w:szCs w:val="14"/>
              </w:rPr>
              <w:t>1,901</w:t>
            </w:r>
          </w:p>
        </w:tc>
        <w:tc>
          <w:tcPr>
            <w:tcW w:w="464" w:type="dxa"/>
            <w:tcBorders>
              <w:top w:val="single" w:sz="2" w:space="0" w:color="auto"/>
              <w:left w:val="single" w:sz="2" w:space="0" w:color="auto"/>
              <w:bottom w:val="single" w:sz="2" w:space="0" w:color="auto"/>
              <w:right w:val="single" w:sz="2" w:space="0" w:color="auto"/>
            </w:tcBorders>
          </w:tcPr>
          <w:p w14:paraId="783A5846" w14:textId="77777777" w:rsidR="009F4766" w:rsidRPr="00DE12A3" w:rsidRDefault="009F4766" w:rsidP="00C917D6">
            <w:pPr>
              <w:pStyle w:val="NormalLeft"/>
              <w:rPr>
                <w:sz w:val="14"/>
                <w:szCs w:val="14"/>
              </w:rPr>
            </w:pPr>
            <w:r w:rsidRPr="00DE12A3">
              <w:rPr>
                <w:sz w:val="14"/>
                <w:szCs w:val="14"/>
              </w:rPr>
              <w:t>1,854</w:t>
            </w:r>
          </w:p>
        </w:tc>
        <w:tc>
          <w:tcPr>
            <w:tcW w:w="464" w:type="dxa"/>
            <w:tcBorders>
              <w:top w:val="single" w:sz="2" w:space="0" w:color="auto"/>
              <w:left w:val="single" w:sz="2" w:space="0" w:color="auto"/>
              <w:bottom w:val="single" w:sz="2" w:space="0" w:color="auto"/>
              <w:right w:val="single" w:sz="2" w:space="0" w:color="auto"/>
            </w:tcBorders>
          </w:tcPr>
          <w:p w14:paraId="71597F12" w14:textId="77777777" w:rsidR="009F4766" w:rsidRPr="00DE12A3" w:rsidRDefault="009F4766" w:rsidP="00C917D6">
            <w:pPr>
              <w:pStyle w:val="NormalLeft"/>
              <w:rPr>
                <w:sz w:val="14"/>
                <w:szCs w:val="14"/>
              </w:rPr>
            </w:pPr>
            <w:r w:rsidRPr="00DE12A3">
              <w:rPr>
                <w:sz w:val="14"/>
                <w:szCs w:val="14"/>
              </w:rPr>
              <w:t>1,806</w:t>
            </w:r>
          </w:p>
        </w:tc>
        <w:tc>
          <w:tcPr>
            <w:tcW w:w="464" w:type="dxa"/>
            <w:tcBorders>
              <w:top w:val="single" w:sz="2" w:space="0" w:color="auto"/>
              <w:left w:val="single" w:sz="2" w:space="0" w:color="auto"/>
              <w:bottom w:val="single" w:sz="2" w:space="0" w:color="auto"/>
              <w:right w:val="single" w:sz="2" w:space="0" w:color="auto"/>
            </w:tcBorders>
          </w:tcPr>
          <w:p w14:paraId="116CC94E" w14:textId="77777777" w:rsidR="009F4766" w:rsidRPr="00DE12A3" w:rsidRDefault="009F4766" w:rsidP="00C917D6">
            <w:pPr>
              <w:pStyle w:val="NormalLeft"/>
              <w:rPr>
                <w:sz w:val="14"/>
                <w:szCs w:val="14"/>
              </w:rPr>
            </w:pPr>
            <w:r w:rsidRPr="00DE12A3">
              <w:rPr>
                <w:sz w:val="14"/>
                <w:szCs w:val="14"/>
              </w:rPr>
              <w:t>1,754</w:t>
            </w:r>
          </w:p>
        </w:tc>
        <w:tc>
          <w:tcPr>
            <w:tcW w:w="465" w:type="dxa"/>
            <w:tcBorders>
              <w:top w:val="single" w:sz="2" w:space="0" w:color="auto"/>
              <w:left w:val="single" w:sz="2" w:space="0" w:color="auto"/>
              <w:bottom w:val="single" w:sz="2" w:space="0" w:color="auto"/>
              <w:right w:val="single" w:sz="2" w:space="0" w:color="auto"/>
            </w:tcBorders>
          </w:tcPr>
          <w:p w14:paraId="1573813E" w14:textId="77777777" w:rsidR="009F4766" w:rsidRPr="00DE12A3" w:rsidRDefault="009F4766" w:rsidP="00C917D6">
            <w:pPr>
              <w:pStyle w:val="NormalLeft"/>
              <w:rPr>
                <w:sz w:val="14"/>
                <w:szCs w:val="14"/>
              </w:rPr>
            </w:pPr>
            <w:r w:rsidRPr="00DE12A3">
              <w:rPr>
                <w:sz w:val="14"/>
                <w:szCs w:val="14"/>
              </w:rPr>
              <w:t>1,698</w:t>
            </w:r>
          </w:p>
        </w:tc>
        <w:tc>
          <w:tcPr>
            <w:tcW w:w="464" w:type="dxa"/>
            <w:tcBorders>
              <w:top w:val="single" w:sz="2" w:space="0" w:color="auto"/>
              <w:left w:val="single" w:sz="2" w:space="0" w:color="auto"/>
              <w:bottom w:val="single" w:sz="2" w:space="0" w:color="auto"/>
              <w:right w:val="single" w:sz="2" w:space="0" w:color="auto"/>
            </w:tcBorders>
          </w:tcPr>
          <w:p w14:paraId="0B31DB14" w14:textId="77777777" w:rsidR="009F4766" w:rsidRPr="00DE12A3" w:rsidRDefault="009F4766" w:rsidP="00C917D6">
            <w:pPr>
              <w:pStyle w:val="NormalLeft"/>
              <w:rPr>
                <w:sz w:val="14"/>
                <w:szCs w:val="14"/>
              </w:rPr>
            </w:pPr>
            <w:r w:rsidRPr="00DE12A3">
              <w:rPr>
                <w:sz w:val="14"/>
                <w:szCs w:val="14"/>
              </w:rPr>
              <w:t>1,638</w:t>
            </w:r>
          </w:p>
        </w:tc>
      </w:tr>
      <w:tr w:rsidR="00DE12A3" w:rsidRPr="00DE12A3" w14:paraId="188E67C7" w14:textId="77777777" w:rsidTr="009F4766">
        <w:tc>
          <w:tcPr>
            <w:tcW w:w="464" w:type="dxa"/>
            <w:tcBorders>
              <w:top w:val="single" w:sz="2" w:space="0" w:color="auto"/>
              <w:left w:val="single" w:sz="2" w:space="0" w:color="auto"/>
              <w:bottom w:val="single" w:sz="2" w:space="0" w:color="auto"/>
              <w:right w:val="single" w:sz="2" w:space="0" w:color="auto"/>
            </w:tcBorders>
          </w:tcPr>
          <w:p w14:paraId="41EEE9C4" w14:textId="77777777" w:rsidR="009F4766" w:rsidRPr="00DE12A3" w:rsidRDefault="009F4766" w:rsidP="00C917D6">
            <w:pPr>
              <w:pStyle w:val="NormalLeft"/>
              <w:rPr>
                <w:sz w:val="14"/>
                <w:szCs w:val="14"/>
              </w:rPr>
            </w:pPr>
            <w:r w:rsidRPr="00DE12A3">
              <w:rPr>
                <w:sz w:val="14"/>
                <w:szCs w:val="14"/>
              </w:rPr>
              <w:t>30</w:t>
            </w:r>
          </w:p>
        </w:tc>
        <w:tc>
          <w:tcPr>
            <w:tcW w:w="465" w:type="dxa"/>
            <w:tcBorders>
              <w:top w:val="single" w:sz="2" w:space="0" w:color="auto"/>
              <w:left w:val="single" w:sz="2" w:space="0" w:color="auto"/>
              <w:bottom w:val="single" w:sz="2" w:space="0" w:color="auto"/>
              <w:right w:val="single" w:sz="2" w:space="0" w:color="auto"/>
            </w:tcBorders>
          </w:tcPr>
          <w:p w14:paraId="058AD2CF" w14:textId="77777777" w:rsidR="009F4766" w:rsidRPr="00DE12A3" w:rsidRDefault="009F4766" w:rsidP="00C917D6">
            <w:pPr>
              <w:pStyle w:val="NormalLeft"/>
              <w:rPr>
                <w:sz w:val="14"/>
                <w:szCs w:val="14"/>
              </w:rPr>
            </w:pPr>
            <w:r w:rsidRPr="00DE12A3">
              <w:rPr>
                <w:sz w:val="14"/>
                <w:szCs w:val="14"/>
              </w:rPr>
              <w:t>4,171</w:t>
            </w:r>
          </w:p>
        </w:tc>
        <w:tc>
          <w:tcPr>
            <w:tcW w:w="464" w:type="dxa"/>
            <w:tcBorders>
              <w:top w:val="single" w:sz="2" w:space="0" w:color="auto"/>
              <w:left w:val="single" w:sz="2" w:space="0" w:color="auto"/>
              <w:bottom w:val="single" w:sz="2" w:space="0" w:color="auto"/>
              <w:right w:val="single" w:sz="2" w:space="0" w:color="auto"/>
            </w:tcBorders>
          </w:tcPr>
          <w:p w14:paraId="39C5F111" w14:textId="77777777" w:rsidR="009F4766" w:rsidRPr="00DE12A3" w:rsidRDefault="009F4766" w:rsidP="00C917D6">
            <w:pPr>
              <w:pStyle w:val="NormalLeft"/>
              <w:rPr>
                <w:sz w:val="14"/>
                <w:szCs w:val="14"/>
              </w:rPr>
            </w:pPr>
            <w:r w:rsidRPr="00DE12A3">
              <w:rPr>
                <w:sz w:val="14"/>
                <w:szCs w:val="14"/>
              </w:rPr>
              <w:t>3,316</w:t>
            </w:r>
          </w:p>
        </w:tc>
        <w:tc>
          <w:tcPr>
            <w:tcW w:w="464" w:type="dxa"/>
            <w:tcBorders>
              <w:top w:val="single" w:sz="2" w:space="0" w:color="auto"/>
              <w:left w:val="single" w:sz="2" w:space="0" w:color="auto"/>
              <w:bottom w:val="single" w:sz="2" w:space="0" w:color="auto"/>
              <w:right w:val="single" w:sz="2" w:space="0" w:color="auto"/>
            </w:tcBorders>
          </w:tcPr>
          <w:p w14:paraId="79BDF6E8" w14:textId="77777777" w:rsidR="009F4766" w:rsidRPr="00DE12A3" w:rsidRDefault="009F4766" w:rsidP="00C917D6">
            <w:pPr>
              <w:pStyle w:val="NormalLeft"/>
              <w:rPr>
                <w:sz w:val="14"/>
                <w:szCs w:val="14"/>
              </w:rPr>
            </w:pPr>
            <w:r w:rsidRPr="00DE12A3">
              <w:rPr>
                <w:sz w:val="14"/>
                <w:szCs w:val="14"/>
              </w:rPr>
              <w:t>2,922</w:t>
            </w:r>
          </w:p>
        </w:tc>
        <w:tc>
          <w:tcPr>
            <w:tcW w:w="465" w:type="dxa"/>
            <w:tcBorders>
              <w:top w:val="single" w:sz="2" w:space="0" w:color="auto"/>
              <w:left w:val="single" w:sz="2" w:space="0" w:color="auto"/>
              <w:bottom w:val="single" w:sz="2" w:space="0" w:color="auto"/>
              <w:right w:val="single" w:sz="2" w:space="0" w:color="auto"/>
            </w:tcBorders>
          </w:tcPr>
          <w:p w14:paraId="07B62B67" w14:textId="77777777" w:rsidR="009F4766" w:rsidRPr="00DE12A3" w:rsidRDefault="009F4766" w:rsidP="00C917D6">
            <w:pPr>
              <w:pStyle w:val="NormalLeft"/>
              <w:rPr>
                <w:sz w:val="14"/>
                <w:szCs w:val="14"/>
              </w:rPr>
            </w:pPr>
            <w:r w:rsidRPr="00DE12A3">
              <w:rPr>
                <w:sz w:val="14"/>
                <w:szCs w:val="14"/>
              </w:rPr>
              <w:t>2,690</w:t>
            </w:r>
          </w:p>
        </w:tc>
        <w:tc>
          <w:tcPr>
            <w:tcW w:w="464" w:type="dxa"/>
            <w:tcBorders>
              <w:top w:val="single" w:sz="2" w:space="0" w:color="auto"/>
              <w:left w:val="single" w:sz="2" w:space="0" w:color="auto"/>
              <w:bottom w:val="single" w:sz="2" w:space="0" w:color="auto"/>
              <w:right w:val="single" w:sz="2" w:space="0" w:color="auto"/>
            </w:tcBorders>
          </w:tcPr>
          <w:p w14:paraId="72ABD17A" w14:textId="77777777" w:rsidR="009F4766" w:rsidRPr="00DE12A3" w:rsidRDefault="009F4766" w:rsidP="00C917D6">
            <w:pPr>
              <w:pStyle w:val="NormalLeft"/>
              <w:rPr>
                <w:sz w:val="14"/>
                <w:szCs w:val="14"/>
              </w:rPr>
            </w:pPr>
            <w:r w:rsidRPr="00DE12A3">
              <w:rPr>
                <w:sz w:val="14"/>
                <w:szCs w:val="14"/>
              </w:rPr>
              <w:t>2,534</w:t>
            </w:r>
          </w:p>
        </w:tc>
        <w:tc>
          <w:tcPr>
            <w:tcW w:w="464" w:type="dxa"/>
            <w:tcBorders>
              <w:top w:val="single" w:sz="2" w:space="0" w:color="auto"/>
              <w:left w:val="single" w:sz="2" w:space="0" w:color="auto"/>
              <w:bottom w:val="single" w:sz="2" w:space="0" w:color="auto"/>
              <w:right w:val="single" w:sz="2" w:space="0" w:color="auto"/>
            </w:tcBorders>
          </w:tcPr>
          <w:p w14:paraId="449024F7" w14:textId="77777777" w:rsidR="009F4766" w:rsidRPr="00DE12A3" w:rsidRDefault="009F4766" w:rsidP="00C917D6">
            <w:pPr>
              <w:pStyle w:val="NormalLeft"/>
              <w:rPr>
                <w:sz w:val="14"/>
                <w:szCs w:val="14"/>
              </w:rPr>
            </w:pPr>
            <w:r w:rsidRPr="00DE12A3">
              <w:rPr>
                <w:sz w:val="14"/>
                <w:szCs w:val="14"/>
              </w:rPr>
              <w:t>2,421</w:t>
            </w:r>
          </w:p>
        </w:tc>
        <w:tc>
          <w:tcPr>
            <w:tcW w:w="464" w:type="dxa"/>
            <w:tcBorders>
              <w:top w:val="single" w:sz="2" w:space="0" w:color="auto"/>
              <w:left w:val="single" w:sz="2" w:space="0" w:color="auto"/>
              <w:bottom w:val="single" w:sz="2" w:space="0" w:color="auto"/>
              <w:right w:val="single" w:sz="2" w:space="0" w:color="auto"/>
            </w:tcBorders>
          </w:tcPr>
          <w:p w14:paraId="68E6E415" w14:textId="77777777" w:rsidR="009F4766" w:rsidRPr="00DE12A3" w:rsidRDefault="009F4766" w:rsidP="00C917D6">
            <w:pPr>
              <w:pStyle w:val="NormalLeft"/>
              <w:rPr>
                <w:sz w:val="14"/>
                <w:szCs w:val="14"/>
              </w:rPr>
            </w:pPr>
            <w:r w:rsidRPr="00DE12A3">
              <w:rPr>
                <w:sz w:val="14"/>
                <w:szCs w:val="14"/>
              </w:rPr>
              <w:t>2,334</w:t>
            </w:r>
          </w:p>
        </w:tc>
        <w:tc>
          <w:tcPr>
            <w:tcW w:w="465" w:type="dxa"/>
            <w:tcBorders>
              <w:top w:val="single" w:sz="2" w:space="0" w:color="auto"/>
              <w:left w:val="single" w:sz="2" w:space="0" w:color="auto"/>
              <w:bottom w:val="single" w:sz="2" w:space="0" w:color="auto"/>
              <w:right w:val="single" w:sz="2" w:space="0" w:color="auto"/>
            </w:tcBorders>
          </w:tcPr>
          <w:p w14:paraId="7CC8D6FC" w14:textId="77777777" w:rsidR="009F4766" w:rsidRPr="00DE12A3" w:rsidRDefault="009F4766" w:rsidP="00C917D6">
            <w:pPr>
              <w:pStyle w:val="NormalLeft"/>
              <w:rPr>
                <w:sz w:val="14"/>
                <w:szCs w:val="14"/>
              </w:rPr>
            </w:pPr>
            <w:r w:rsidRPr="00DE12A3">
              <w:rPr>
                <w:sz w:val="14"/>
                <w:szCs w:val="14"/>
              </w:rPr>
              <w:t>2,266</w:t>
            </w:r>
          </w:p>
        </w:tc>
        <w:tc>
          <w:tcPr>
            <w:tcW w:w="464" w:type="dxa"/>
            <w:tcBorders>
              <w:top w:val="single" w:sz="2" w:space="0" w:color="auto"/>
              <w:left w:val="single" w:sz="2" w:space="0" w:color="auto"/>
              <w:bottom w:val="single" w:sz="2" w:space="0" w:color="auto"/>
              <w:right w:val="single" w:sz="2" w:space="0" w:color="auto"/>
            </w:tcBorders>
          </w:tcPr>
          <w:p w14:paraId="3FEC8E30" w14:textId="77777777" w:rsidR="009F4766" w:rsidRPr="00DE12A3" w:rsidRDefault="009F4766" w:rsidP="00C917D6">
            <w:pPr>
              <w:pStyle w:val="NormalLeft"/>
              <w:rPr>
                <w:sz w:val="14"/>
                <w:szCs w:val="14"/>
              </w:rPr>
            </w:pPr>
            <w:r w:rsidRPr="00DE12A3">
              <w:rPr>
                <w:sz w:val="14"/>
                <w:szCs w:val="14"/>
              </w:rPr>
              <w:t>2,211</w:t>
            </w:r>
          </w:p>
        </w:tc>
        <w:tc>
          <w:tcPr>
            <w:tcW w:w="464" w:type="dxa"/>
            <w:tcBorders>
              <w:top w:val="single" w:sz="2" w:space="0" w:color="auto"/>
              <w:left w:val="single" w:sz="2" w:space="0" w:color="auto"/>
              <w:bottom w:val="single" w:sz="2" w:space="0" w:color="auto"/>
              <w:right w:val="single" w:sz="2" w:space="0" w:color="auto"/>
            </w:tcBorders>
          </w:tcPr>
          <w:p w14:paraId="71179F07" w14:textId="77777777" w:rsidR="009F4766" w:rsidRPr="00DE12A3" w:rsidRDefault="009F4766" w:rsidP="00C917D6">
            <w:pPr>
              <w:pStyle w:val="NormalLeft"/>
              <w:rPr>
                <w:sz w:val="14"/>
                <w:szCs w:val="14"/>
              </w:rPr>
            </w:pPr>
            <w:r w:rsidRPr="00DE12A3">
              <w:rPr>
                <w:sz w:val="14"/>
                <w:szCs w:val="14"/>
              </w:rPr>
              <w:t>2,165</w:t>
            </w:r>
          </w:p>
        </w:tc>
        <w:tc>
          <w:tcPr>
            <w:tcW w:w="465" w:type="dxa"/>
            <w:tcBorders>
              <w:top w:val="single" w:sz="2" w:space="0" w:color="auto"/>
              <w:left w:val="single" w:sz="2" w:space="0" w:color="auto"/>
              <w:bottom w:val="single" w:sz="2" w:space="0" w:color="auto"/>
              <w:right w:val="single" w:sz="2" w:space="0" w:color="auto"/>
            </w:tcBorders>
          </w:tcPr>
          <w:p w14:paraId="323CB659" w14:textId="77777777" w:rsidR="009F4766" w:rsidRPr="00DE12A3" w:rsidRDefault="009F4766" w:rsidP="00C917D6">
            <w:pPr>
              <w:pStyle w:val="NormalLeft"/>
              <w:rPr>
                <w:sz w:val="14"/>
                <w:szCs w:val="14"/>
              </w:rPr>
            </w:pPr>
            <w:r w:rsidRPr="00DE12A3">
              <w:rPr>
                <w:sz w:val="14"/>
                <w:szCs w:val="14"/>
              </w:rPr>
              <w:t>2,092</w:t>
            </w:r>
          </w:p>
        </w:tc>
        <w:tc>
          <w:tcPr>
            <w:tcW w:w="464" w:type="dxa"/>
            <w:tcBorders>
              <w:top w:val="single" w:sz="2" w:space="0" w:color="auto"/>
              <w:left w:val="single" w:sz="2" w:space="0" w:color="auto"/>
              <w:bottom w:val="single" w:sz="2" w:space="0" w:color="auto"/>
              <w:right w:val="single" w:sz="2" w:space="0" w:color="auto"/>
            </w:tcBorders>
          </w:tcPr>
          <w:p w14:paraId="5E2C2FE6" w14:textId="77777777" w:rsidR="009F4766" w:rsidRPr="00DE12A3" w:rsidRDefault="009F4766" w:rsidP="00C917D6">
            <w:pPr>
              <w:pStyle w:val="NormalLeft"/>
              <w:rPr>
                <w:sz w:val="14"/>
                <w:szCs w:val="14"/>
              </w:rPr>
            </w:pPr>
            <w:r w:rsidRPr="00DE12A3">
              <w:rPr>
                <w:sz w:val="14"/>
                <w:szCs w:val="14"/>
              </w:rPr>
              <w:t>2,015</w:t>
            </w:r>
          </w:p>
        </w:tc>
        <w:tc>
          <w:tcPr>
            <w:tcW w:w="464" w:type="dxa"/>
            <w:tcBorders>
              <w:top w:val="single" w:sz="2" w:space="0" w:color="auto"/>
              <w:left w:val="single" w:sz="2" w:space="0" w:color="auto"/>
              <w:bottom w:val="single" w:sz="2" w:space="0" w:color="auto"/>
              <w:right w:val="single" w:sz="2" w:space="0" w:color="auto"/>
            </w:tcBorders>
          </w:tcPr>
          <w:p w14:paraId="603673E7" w14:textId="77777777" w:rsidR="009F4766" w:rsidRPr="00DE12A3" w:rsidRDefault="009F4766" w:rsidP="00C917D6">
            <w:pPr>
              <w:pStyle w:val="NormalLeft"/>
              <w:rPr>
                <w:sz w:val="14"/>
                <w:szCs w:val="14"/>
              </w:rPr>
            </w:pPr>
            <w:r w:rsidRPr="00DE12A3">
              <w:rPr>
                <w:sz w:val="14"/>
                <w:szCs w:val="14"/>
              </w:rPr>
              <w:t>1,932</w:t>
            </w:r>
          </w:p>
        </w:tc>
        <w:tc>
          <w:tcPr>
            <w:tcW w:w="465" w:type="dxa"/>
            <w:tcBorders>
              <w:top w:val="single" w:sz="2" w:space="0" w:color="auto"/>
              <w:left w:val="single" w:sz="2" w:space="0" w:color="auto"/>
              <w:bottom w:val="single" w:sz="2" w:space="0" w:color="auto"/>
              <w:right w:val="single" w:sz="2" w:space="0" w:color="auto"/>
            </w:tcBorders>
          </w:tcPr>
          <w:p w14:paraId="24094D98" w14:textId="77777777" w:rsidR="009F4766" w:rsidRPr="00DE12A3" w:rsidRDefault="009F4766" w:rsidP="00C917D6">
            <w:pPr>
              <w:pStyle w:val="NormalLeft"/>
              <w:rPr>
                <w:sz w:val="14"/>
                <w:szCs w:val="14"/>
              </w:rPr>
            </w:pPr>
            <w:r w:rsidRPr="00DE12A3">
              <w:rPr>
                <w:sz w:val="14"/>
                <w:szCs w:val="14"/>
              </w:rPr>
              <w:t>1,887</w:t>
            </w:r>
          </w:p>
        </w:tc>
        <w:tc>
          <w:tcPr>
            <w:tcW w:w="464" w:type="dxa"/>
            <w:tcBorders>
              <w:top w:val="single" w:sz="2" w:space="0" w:color="auto"/>
              <w:left w:val="single" w:sz="2" w:space="0" w:color="auto"/>
              <w:bottom w:val="single" w:sz="2" w:space="0" w:color="auto"/>
              <w:right w:val="single" w:sz="2" w:space="0" w:color="auto"/>
            </w:tcBorders>
          </w:tcPr>
          <w:p w14:paraId="13F2908B" w14:textId="77777777" w:rsidR="009F4766" w:rsidRPr="00DE12A3" w:rsidRDefault="009F4766" w:rsidP="00C917D6">
            <w:pPr>
              <w:pStyle w:val="NormalLeft"/>
              <w:rPr>
                <w:sz w:val="14"/>
                <w:szCs w:val="14"/>
              </w:rPr>
            </w:pPr>
            <w:r w:rsidRPr="00DE12A3">
              <w:rPr>
                <w:sz w:val="14"/>
                <w:szCs w:val="14"/>
              </w:rPr>
              <w:t>1,841</w:t>
            </w:r>
          </w:p>
        </w:tc>
        <w:tc>
          <w:tcPr>
            <w:tcW w:w="464" w:type="dxa"/>
            <w:tcBorders>
              <w:top w:val="single" w:sz="2" w:space="0" w:color="auto"/>
              <w:left w:val="single" w:sz="2" w:space="0" w:color="auto"/>
              <w:bottom w:val="single" w:sz="2" w:space="0" w:color="auto"/>
              <w:right w:val="single" w:sz="2" w:space="0" w:color="auto"/>
            </w:tcBorders>
          </w:tcPr>
          <w:p w14:paraId="5B9FF38B" w14:textId="77777777" w:rsidR="009F4766" w:rsidRPr="00DE12A3" w:rsidRDefault="009F4766" w:rsidP="00C917D6">
            <w:pPr>
              <w:pStyle w:val="NormalLeft"/>
              <w:rPr>
                <w:sz w:val="14"/>
                <w:szCs w:val="14"/>
              </w:rPr>
            </w:pPr>
            <w:r w:rsidRPr="00DE12A3">
              <w:rPr>
                <w:sz w:val="14"/>
                <w:szCs w:val="14"/>
              </w:rPr>
              <w:t>1,792</w:t>
            </w:r>
          </w:p>
        </w:tc>
        <w:tc>
          <w:tcPr>
            <w:tcW w:w="464" w:type="dxa"/>
            <w:tcBorders>
              <w:top w:val="single" w:sz="2" w:space="0" w:color="auto"/>
              <w:left w:val="single" w:sz="2" w:space="0" w:color="auto"/>
              <w:bottom w:val="single" w:sz="2" w:space="0" w:color="auto"/>
              <w:right w:val="single" w:sz="2" w:space="0" w:color="auto"/>
            </w:tcBorders>
          </w:tcPr>
          <w:p w14:paraId="224F0D8A" w14:textId="77777777" w:rsidR="009F4766" w:rsidRPr="00DE12A3" w:rsidRDefault="009F4766" w:rsidP="00C917D6">
            <w:pPr>
              <w:pStyle w:val="NormalLeft"/>
              <w:rPr>
                <w:sz w:val="14"/>
                <w:szCs w:val="14"/>
              </w:rPr>
            </w:pPr>
            <w:r w:rsidRPr="00DE12A3">
              <w:rPr>
                <w:sz w:val="14"/>
                <w:szCs w:val="14"/>
              </w:rPr>
              <w:t>1,740</w:t>
            </w:r>
          </w:p>
        </w:tc>
        <w:tc>
          <w:tcPr>
            <w:tcW w:w="465" w:type="dxa"/>
            <w:tcBorders>
              <w:top w:val="single" w:sz="2" w:space="0" w:color="auto"/>
              <w:left w:val="single" w:sz="2" w:space="0" w:color="auto"/>
              <w:bottom w:val="single" w:sz="2" w:space="0" w:color="auto"/>
              <w:right w:val="single" w:sz="2" w:space="0" w:color="auto"/>
            </w:tcBorders>
          </w:tcPr>
          <w:p w14:paraId="4DC72C24" w14:textId="77777777" w:rsidR="009F4766" w:rsidRPr="00DE12A3" w:rsidRDefault="009F4766" w:rsidP="00C917D6">
            <w:pPr>
              <w:pStyle w:val="NormalLeft"/>
              <w:rPr>
                <w:sz w:val="14"/>
                <w:szCs w:val="14"/>
              </w:rPr>
            </w:pPr>
            <w:r w:rsidRPr="00DE12A3">
              <w:rPr>
                <w:sz w:val="14"/>
                <w:szCs w:val="14"/>
              </w:rPr>
              <w:t>1,684</w:t>
            </w:r>
          </w:p>
        </w:tc>
        <w:tc>
          <w:tcPr>
            <w:tcW w:w="464" w:type="dxa"/>
            <w:tcBorders>
              <w:top w:val="single" w:sz="2" w:space="0" w:color="auto"/>
              <w:left w:val="single" w:sz="2" w:space="0" w:color="auto"/>
              <w:bottom w:val="single" w:sz="2" w:space="0" w:color="auto"/>
              <w:right w:val="single" w:sz="2" w:space="0" w:color="auto"/>
            </w:tcBorders>
          </w:tcPr>
          <w:p w14:paraId="6CF54614" w14:textId="77777777" w:rsidR="009F4766" w:rsidRPr="00DE12A3" w:rsidRDefault="009F4766" w:rsidP="00C917D6">
            <w:pPr>
              <w:pStyle w:val="NormalLeft"/>
              <w:rPr>
                <w:sz w:val="14"/>
                <w:szCs w:val="14"/>
              </w:rPr>
            </w:pPr>
            <w:r w:rsidRPr="00DE12A3">
              <w:rPr>
                <w:sz w:val="14"/>
                <w:szCs w:val="14"/>
              </w:rPr>
              <w:t>1,622</w:t>
            </w:r>
          </w:p>
        </w:tc>
      </w:tr>
      <w:tr w:rsidR="00DE12A3" w:rsidRPr="00DE12A3" w14:paraId="60524285" w14:textId="77777777" w:rsidTr="009F4766">
        <w:tc>
          <w:tcPr>
            <w:tcW w:w="464" w:type="dxa"/>
            <w:tcBorders>
              <w:top w:val="single" w:sz="2" w:space="0" w:color="auto"/>
              <w:left w:val="single" w:sz="2" w:space="0" w:color="auto"/>
              <w:bottom w:val="single" w:sz="2" w:space="0" w:color="auto"/>
              <w:right w:val="single" w:sz="2" w:space="0" w:color="auto"/>
            </w:tcBorders>
          </w:tcPr>
          <w:p w14:paraId="2A2FF02C" w14:textId="77777777" w:rsidR="009F4766" w:rsidRPr="00DE12A3" w:rsidRDefault="009F4766" w:rsidP="00C917D6">
            <w:pPr>
              <w:pStyle w:val="NormalLeft"/>
              <w:rPr>
                <w:sz w:val="14"/>
                <w:szCs w:val="14"/>
              </w:rPr>
            </w:pPr>
            <w:r w:rsidRPr="00DE12A3">
              <w:rPr>
                <w:sz w:val="14"/>
                <w:szCs w:val="14"/>
              </w:rPr>
              <w:t>40</w:t>
            </w:r>
          </w:p>
        </w:tc>
        <w:tc>
          <w:tcPr>
            <w:tcW w:w="465" w:type="dxa"/>
            <w:tcBorders>
              <w:top w:val="single" w:sz="2" w:space="0" w:color="auto"/>
              <w:left w:val="single" w:sz="2" w:space="0" w:color="auto"/>
              <w:bottom w:val="single" w:sz="2" w:space="0" w:color="auto"/>
              <w:right w:val="single" w:sz="2" w:space="0" w:color="auto"/>
            </w:tcBorders>
          </w:tcPr>
          <w:p w14:paraId="0C1D8847" w14:textId="77777777" w:rsidR="009F4766" w:rsidRPr="00DE12A3" w:rsidRDefault="009F4766" w:rsidP="00C917D6">
            <w:pPr>
              <w:pStyle w:val="NormalLeft"/>
              <w:rPr>
                <w:sz w:val="14"/>
                <w:szCs w:val="14"/>
              </w:rPr>
            </w:pPr>
            <w:r w:rsidRPr="00DE12A3">
              <w:rPr>
                <w:sz w:val="14"/>
                <w:szCs w:val="14"/>
              </w:rPr>
              <w:t>4,085</w:t>
            </w:r>
          </w:p>
        </w:tc>
        <w:tc>
          <w:tcPr>
            <w:tcW w:w="464" w:type="dxa"/>
            <w:tcBorders>
              <w:top w:val="single" w:sz="2" w:space="0" w:color="auto"/>
              <w:left w:val="single" w:sz="2" w:space="0" w:color="auto"/>
              <w:bottom w:val="single" w:sz="2" w:space="0" w:color="auto"/>
              <w:right w:val="single" w:sz="2" w:space="0" w:color="auto"/>
            </w:tcBorders>
          </w:tcPr>
          <w:p w14:paraId="6401B96C" w14:textId="77777777" w:rsidR="009F4766" w:rsidRPr="00DE12A3" w:rsidRDefault="009F4766" w:rsidP="00C917D6">
            <w:pPr>
              <w:pStyle w:val="NormalLeft"/>
              <w:rPr>
                <w:sz w:val="14"/>
                <w:szCs w:val="14"/>
              </w:rPr>
            </w:pPr>
            <w:r w:rsidRPr="00DE12A3">
              <w:rPr>
                <w:sz w:val="14"/>
                <w:szCs w:val="14"/>
              </w:rPr>
              <w:t>3,232</w:t>
            </w:r>
          </w:p>
        </w:tc>
        <w:tc>
          <w:tcPr>
            <w:tcW w:w="464" w:type="dxa"/>
            <w:tcBorders>
              <w:top w:val="single" w:sz="2" w:space="0" w:color="auto"/>
              <w:left w:val="single" w:sz="2" w:space="0" w:color="auto"/>
              <w:bottom w:val="single" w:sz="2" w:space="0" w:color="auto"/>
              <w:right w:val="single" w:sz="2" w:space="0" w:color="auto"/>
            </w:tcBorders>
          </w:tcPr>
          <w:p w14:paraId="313355D4" w14:textId="77777777" w:rsidR="009F4766" w:rsidRPr="00DE12A3" w:rsidRDefault="009F4766" w:rsidP="00C917D6">
            <w:pPr>
              <w:pStyle w:val="NormalLeft"/>
              <w:rPr>
                <w:sz w:val="14"/>
                <w:szCs w:val="14"/>
              </w:rPr>
            </w:pPr>
            <w:r w:rsidRPr="00DE12A3">
              <w:rPr>
                <w:sz w:val="14"/>
                <w:szCs w:val="14"/>
              </w:rPr>
              <w:t>2,839</w:t>
            </w:r>
          </w:p>
        </w:tc>
        <w:tc>
          <w:tcPr>
            <w:tcW w:w="465" w:type="dxa"/>
            <w:tcBorders>
              <w:top w:val="single" w:sz="2" w:space="0" w:color="auto"/>
              <w:left w:val="single" w:sz="2" w:space="0" w:color="auto"/>
              <w:bottom w:val="single" w:sz="2" w:space="0" w:color="auto"/>
              <w:right w:val="single" w:sz="2" w:space="0" w:color="auto"/>
            </w:tcBorders>
          </w:tcPr>
          <w:p w14:paraId="19706795" w14:textId="77777777" w:rsidR="009F4766" w:rsidRPr="00DE12A3" w:rsidRDefault="009F4766" w:rsidP="00C917D6">
            <w:pPr>
              <w:pStyle w:val="NormalLeft"/>
              <w:rPr>
                <w:sz w:val="14"/>
                <w:szCs w:val="14"/>
              </w:rPr>
            </w:pPr>
            <w:r w:rsidRPr="00DE12A3">
              <w:rPr>
                <w:sz w:val="14"/>
                <w:szCs w:val="14"/>
              </w:rPr>
              <w:t>2,606</w:t>
            </w:r>
          </w:p>
        </w:tc>
        <w:tc>
          <w:tcPr>
            <w:tcW w:w="464" w:type="dxa"/>
            <w:tcBorders>
              <w:top w:val="single" w:sz="2" w:space="0" w:color="auto"/>
              <w:left w:val="single" w:sz="2" w:space="0" w:color="auto"/>
              <w:bottom w:val="single" w:sz="2" w:space="0" w:color="auto"/>
              <w:right w:val="single" w:sz="2" w:space="0" w:color="auto"/>
            </w:tcBorders>
          </w:tcPr>
          <w:p w14:paraId="08427023" w14:textId="77777777" w:rsidR="009F4766" w:rsidRPr="00DE12A3" w:rsidRDefault="009F4766" w:rsidP="00C917D6">
            <w:pPr>
              <w:pStyle w:val="NormalLeft"/>
              <w:rPr>
                <w:sz w:val="14"/>
                <w:szCs w:val="14"/>
              </w:rPr>
            </w:pPr>
            <w:r w:rsidRPr="00DE12A3">
              <w:rPr>
                <w:sz w:val="14"/>
                <w:szCs w:val="14"/>
              </w:rPr>
              <w:t>2,450</w:t>
            </w:r>
          </w:p>
        </w:tc>
        <w:tc>
          <w:tcPr>
            <w:tcW w:w="464" w:type="dxa"/>
            <w:tcBorders>
              <w:top w:val="single" w:sz="2" w:space="0" w:color="auto"/>
              <w:left w:val="single" w:sz="2" w:space="0" w:color="auto"/>
              <w:bottom w:val="single" w:sz="2" w:space="0" w:color="auto"/>
              <w:right w:val="single" w:sz="2" w:space="0" w:color="auto"/>
            </w:tcBorders>
          </w:tcPr>
          <w:p w14:paraId="77D49A3F" w14:textId="77777777" w:rsidR="009F4766" w:rsidRPr="00DE12A3" w:rsidRDefault="009F4766" w:rsidP="00C917D6">
            <w:pPr>
              <w:pStyle w:val="NormalLeft"/>
              <w:rPr>
                <w:sz w:val="14"/>
                <w:szCs w:val="14"/>
              </w:rPr>
            </w:pPr>
            <w:r w:rsidRPr="00DE12A3">
              <w:rPr>
                <w:sz w:val="14"/>
                <w:szCs w:val="14"/>
              </w:rPr>
              <w:t>2,336</w:t>
            </w:r>
          </w:p>
        </w:tc>
        <w:tc>
          <w:tcPr>
            <w:tcW w:w="464" w:type="dxa"/>
            <w:tcBorders>
              <w:top w:val="single" w:sz="2" w:space="0" w:color="auto"/>
              <w:left w:val="single" w:sz="2" w:space="0" w:color="auto"/>
              <w:bottom w:val="single" w:sz="2" w:space="0" w:color="auto"/>
              <w:right w:val="single" w:sz="2" w:space="0" w:color="auto"/>
            </w:tcBorders>
          </w:tcPr>
          <w:p w14:paraId="322E512F" w14:textId="77777777" w:rsidR="009F4766" w:rsidRPr="00DE12A3" w:rsidRDefault="009F4766" w:rsidP="00C917D6">
            <w:pPr>
              <w:pStyle w:val="NormalLeft"/>
              <w:rPr>
                <w:sz w:val="14"/>
                <w:szCs w:val="14"/>
              </w:rPr>
            </w:pPr>
            <w:r w:rsidRPr="00DE12A3">
              <w:rPr>
                <w:sz w:val="14"/>
                <w:szCs w:val="14"/>
              </w:rPr>
              <w:t>2,249</w:t>
            </w:r>
          </w:p>
        </w:tc>
        <w:tc>
          <w:tcPr>
            <w:tcW w:w="465" w:type="dxa"/>
            <w:tcBorders>
              <w:top w:val="single" w:sz="2" w:space="0" w:color="auto"/>
              <w:left w:val="single" w:sz="2" w:space="0" w:color="auto"/>
              <w:bottom w:val="single" w:sz="2" w:space="0" w:color="auto"/>
              <w:right w:val="single" w:sz="2" w:space="0" w:color="auto"/>
            </w:tcBorders>
          </w:tcPr>
          <w:p w14:paraId="35ED39F0" w14:textId="77777777" w:rsidR="009F4766" w:rsidRPr="00DE12A3" w:rsidRDefault="009F4766" w:rsidP="00C917D6">
            <w:pPr>
              <w:pStyle w:val="NormalLeft"/>
              <w:rPr>
                <w:sz w:val="14"/>
                <w:szCs w:val="14"/>
              </w:rPr>
            </w:pPr>
            <w:r w:rsidRPr="00DE12A3">
              <w:rPr>
                <w:sz w:val="14"/>
                <w:szCs w:val="14"/>
              </w:rPr>
              <w:t>2,180</w:t>
            </w:r>
          </w:p>
        </w:tc>
        <w:tc>
          <w:tcPr>
            <w:tcW w:w="464" w:type="dxa"/>
            <w:tcBorders>
              <w:top w:val="single" w:sz="2" w:space="0" w:color="auto"/>
              <w:left w:val="single" w:sz="2" w:space="0" w:color="auto"/>
              <w:bottom w:val="single" w:sz="2" w:space="0" w:color="auto"/>
              <w:right w:val="single" w:sz="2" w:space="0" w:color="auto"/>
            </w:tcBorders>
          </w:tcPr>
          <w:p w14:paraId="68D47910" w14:textId="77777777" w:rsidR="009F4766" w:rsidRPr="00DE12A3" w:rsidRDefault="009F4766" w:rsidP="00C917D6">
            <w:pPr>
              <w:pStyle w:val="NormalLeft"/>
              <w:rPr>
                <w:sz w:val="14"/>
                <w:szCs w:val="14"/>
              </w:rPr>
            </w:pPr>
            <w:r w:rsidRPr="00DE12A3">
              <w:rPr>
                <w:sz w:val="14"/>
                <w:szCs w:val="14"/>
              </w:rPr>
              <w:t>2,124</w:t>
            </w:r>
          </w:p>
        </w:tc>
        <w:tc>
          <w:tcPr>
            <w:tcW w:w="464" w:type="dxa"/>
            <w:tcBorders>
              <w:top w:val="single" w:sz="2" w:space="0" w:color="auto"/>
              <w:left w:val="single" w:sz="2" w:space="0" w:color="auto"/>
              <w:bottom w:val="single" w:sz="2" w:space="0" w:color="auto"/>
              <w:right w:val="single" w:sz="2" w:space="0" w:color="auto"/>
            </w:tcBorders>
          </w:tcPr>
          <w:p w14:paraId="3A354297" w14:textId="77777777" w:rsidR="009F4766" w:rsidRPr="00DE12A3" w:rsidRDefault="009F4766" w:rsidP="00C917D6">
            <w:pPr>
              <w:pStyle w:val="NormalLeft"/>
              <w:rPr>
                <w:sz w:val="14"/>
                <w:szCs w:val="14"/>
              </w:rPr>
            </w:pPr>
            <w:r w:rsidRPr="00DE12A3">
              <w:rPr>
                <w:sz w:val="14"/>
                <w:szCs w:val="14"/>
              </w:rPr>
              <w:t>2,077</w:t>
            </w:r>
          </w:p>
        </w:tc>
        <w:tc>
          <w:tcPr>
            <w:tcW w:w="465" w:type="dxa"/>
            <w:tcBorders>
              <w:top w:val="single" w:sz="2" w:space="0" w:color="auto"/>
              <w:left w:val="single" w:sz="2" w:space="0" w:color="auto"/>
              <w:bottom w:val="single" w:sz="2" w:space="0" w:color="auto"/>
              <w:right w:val="single" w:sz="2" w:space="0" w:color="auto"/>
            </w:tcBorders>
          </w:tcPr>
          <w:p w14:paraId="28486449" w14:textId="77777777" w:rsidR="009F4766" w:rsidRPr="00DE12A3" w:rsidRDefault="009F4766" w:rsidP="00C917D6">
            <w:pPr>
              <w:pStyle w:val="NormalLeft"/>
              <w:rPr>
                <w:sz w:val="14"/>
                <w:szCs w:val="14"/>
              </w:rPr>
            </w:pPr>
            <w:r w:rsidRPr="00DE12A3">
              <w:rPr>
                <w:sz w:val="14"/>
                <w:szCs w:val="14"/>
              </w:rPr>
              <w:t>2,004</w:t>
            </w:r>
          </w:p>
        </w:tc>
        <w:tc>
          <w:tcPr>
            <w:tcW w:w="464" w:type="dxa"/>
            <w:tcBorders>
              <w:top w:val="single" w:sz="2" w:space="0" w:color="auto"/>
              <w:left w:val="single" w:sz="2" w:space="0" w:color="auto"/>
              <w:bottom w:val="single" w:sz="2" w:space="0" w:color="auto"/>
              <w:right w:val="single" w:sz="2" w:space="0" w:color="auto"/>
            </w:tcBorders>
          </w:tcPr>
          <w:p w14:paraId="7C3C1EA8" w14:textId="77777777" w:rsidR="009F4766" w:rsidRPr="00DE12A3" w:rsidRDefault="009F4766" w:rsidP="00C917D6">
            <w:pPr>
              <w:pStyle w:val="NormalLeft"/>
              <w:rPr>
                <w:sz w:val="14"/>
                <w:szCs w:val="14"/>
              </w:rPr>
            </w:pPr>
            <w:r w:rsidRPr="00DE12A3">
              <w:rPr>
                <w:sz w:val="14"/>
                <w:szCs w:val="14"/>
              </w:rPr>
              <w:t>1,925</w:t>
            </w:r>
          </w:p>
        </w:tc>
        <w:tc>
          <w:tcPr>
            <w:tcW w:w="464" w:type="dxa"/>
            <w:tcBorders>
              <w:top w:val="single" w:sz="2" w:space="0" w:color="auto"/>
              <w:left w:val="single" w:sz="2" w:space="0" w:color="auto"/>
              <w:bottom w:val="single" w:sz="2" w:space="0" w:color="auto"/>
              <w:right w:val="single" w:sz="2" w:space="0" w:color="auto"/>
            </w:tcBorders>
          </w:tcPr>
          <w:p w14:paraId="29710094" w14:textId="77777777" w:rsidR="009F4766" w:rsidRPr="00DE12A3" w:rsidRDefault="009F4766" w:rsidP="00C917D6">
            <w:pPr>
              <w:pStyle w:val="NormalLeft"/>
              <w:rPr>
                <w:sz w:val="14"/>
                <w:szCs w:val="14"/>
              </w:rPr>
            </w:pPr>
            <w:r w:rsidRPr="00DE12A3">
              <w:rPr>
                <w:sz w:val="14"/>
                <w:szCs w:val="14"/>
              </w:rPr>
              <w:t>1,839</w:t>
            </w:r>
          </w:p>
        </w:tc>
        <w:tc>
          <w:tcPr>
            <w:tcW w:w="465" w:type="dxa"/>
            <w:tcBorders>
              <w:top w:val="single" w:sz="2" w:space="0" w:color="auto"/>
              <w:left w:val="single" w:sz="2" w:space="0" w:color="auto"/>
              <w:bottom w:val="single" w:sz="2" w:space="0" w:color="auto"/>
              <w:right w:val="single" w:sz="2" w:space="0" w:color="auto"/>
            </w:tcBorders>
          </w:tcPr>
          <w:p w14:paraId="6F2FF6D1" w14:textId="77777777" w:rsidR="009F4766" w:rsidRPr="00DE12A3" w:rsidRDefault="009F4766" w:rsidP="00C917D6">
            <w:pPr>
              <w:pStyle w:val="NormalLeft"/>
              <w:rPr>
                <w:sz w:val="14"/>
                <w:szCs w:val="14"/>
              </w:rPr>
            </w:pPr>
            <w:r w:rsidRPr="00DE12A3">
              <w:rPr>
                <w:sz w:val="14"/>
                <w:szCs w:val="14"/>
              </w:rPr>
              <w:t>1,793</w:t>
            </w:r>
          </w:p>
        </w:tc>
        <w:tc>
          <w:tcPr>
            <w:tcW w:w="464" w:type="dxa"/>
            <w:tcBorders>
              <w:top w:val="single" w:sz="2" w:space="0" w:color="auto"/>
              <w:left w:val="single" w:sz="2" w:space="0" w:color="auto"/>
              <w:bottom w:val="single" w:sz="2" w:space="0" w:color="auto"/>
              <w:right w:val="single" w:sz="2" w:space="0" w:color="auto"/>
            </w:tcBorders>
          </w:tcPr>
          <w:p w14:paraId="1E1CB3F4" w14:textId="77777777" w:rsidR="009F4766" w:rsidRPr="00DE12A3" w:rsidRDefault="009F4766" w:rsidP="00C917D6">
            <w:pPr>
              <w:pStyle w:val="NormalLeft"/>
              <w:rPr>
                <w:sz w:val="14"/>
                <w:szCs w:val="14"/>
              </w:rPr>
            </w:pPr>
            <w:r w:rsidRPr="00DE12A3">
              <w:rPr>
                <w:sz w:val="14"/>
                <w:szCs w:val="14"/>
              </w:rPr>
              <w:t>1,744</w:t>
            </w:r>
          </w:p>
        </w:tc>
        <w:tc>
          <w:tcPr>
            <w:tcW w:w="464" w:type="dxa"/>
            <w:tcBorders>
              <w:top w:val="single" w:sz="2" w:space="0" w:color="auto"/>
              <w:left w:val="single" w:sz="2" w:space="0" w:color="auto"/>
              <w:bottom w:val="single" w:sz="2" w:space="0" w:color="auto"/>
              <w:right w:val="single" w:sz="2" w:space="0" w:color="auto"/>
            </w:tcBorders>
          </w:tcPr>
          <w:p w14:paraId="4E304D37" w14:textId="77777777" w:rsidR="009F4766" w:rsidRPr="00DE12A3" w:rsidRDefault="009F4766" w:rsidP="00C917D6">
            <w:pPr>
              <w:pStyle w:val="NormalLeft"/>
              <w:rPr>
                <w:sz w:val="14"/>
                <w:szCs w:val="14"/>
              </w:rPr>
            </w:pPr>
            <w:r w:rsidRPr="00DE12A3">
              <w:rPr>
                <w:sz w:val="14"/>
                <w:szCs w:val="14"/>
              </w:rPr>
              <w:t>1,693</w:t>
            </w:r>
          </w:p>
        </w:tc>
        <w:tc>
          <w:tcPr>
            <w:tcW w:w="464" w:type="dxa"/>
            <w:tcBorders>
              <w:top w:val="single" w:sz="2" w:space="0" w:color="auto"/>
              <w:left w:val="single" w:sz="2" w:space="0" w:color="auto"/>
              <w:bottom w:val="single" w:sz="2" w:space="0" w:color="auto"/>
              <w:right w:val="single" w:sz="2" w:space="0" w:color="auto"/>
            </w:tcBorders>
          </w:tcPr>
          <w:p w14:paraId="2E0F0BF3" w14:textId="77777777" w:rsidR="009F4766" w:rsidRPr="00DE12A3" w:rsidRDefault="009F4766" w:rsidP="00C917D6">
            <w:pPr>
              <w:pStyle w:val="NormalLeft"/>
              <w:rPr>
                <w:sz w:val="14"/>
                <w:szCs w:val="14"/>
              </w:rPr>
            </w:pPr>
            <w:r w:rsidRPr="00DE12A3">
              <w:rPr>
                <w:sz w:val="14"/>
                <w:szCs w:val="14"/>
              </w:rPr>
              <w:t>1,637</w:t>
            </w:r>
          </w:p>
        </w:tc>
        <w:tc>
          <w:tcPr>
            <w:tcW w:w="465" w:type="dxa"/>
            <w:tcBorders>
              <w:top w:val="single" w:sz="2" w:space="0" w:color="auto"/>
              <w:left w:val="single" w:sz="2" w:space="0" w:color="auto"/>
              <w:bottom w:val="single" w:sz="2" w:space="0" w:color="auto"/>
              <w:right w:val="single" w:sz="2" w:space="0" w:color="auto"/>
            </w:tcBorders>
          </w:tcPr>
          <w:p w14:paraId="124A425F" w14:textId="77777777" w:rsidR="009F4766" w:rsidRPr="00DE12A3" w:rsidRDefault="009F4766" w:rsidP="00C917D6">
            <w:pPr>
              <w:pStyle w:val="NormalLeft"/>
              <w:rPr>
                <w:sz w:val="14"/>
                <w:szCs w:val="14"/>
              </w:rPr>
            </w:pPr>
            <w:r w:rsidRPr="00DE12A3">
              <w:rPr>
                <w:sz w:val="14"/>
                <w:szCs w:val="14"/>
              </w:rPr>
              <w:t>1,577</w:t>
            </w:r>
          </w:p>
        </w:tc>
        <w:tc>
          <w:tcPr>
            <w:tcW w:w="464" w:type="dxa"/>
            <w:tcBorders>
              <w:top w:val="single" w:sz="2" w:space="0" w:color="auto"/>
              <w:left w:val="single" w:sz="2" w:space="0" w:color="auto"/>
              <w:bottom w:val="single" w:sz="2" w:space="0" w:color="auto"/>
              <w:right w:val="single" w:sz="2" w:space="0" w:color="auto"/>
            </w:tcBorders>
          </w:tcPr>
          <w:p w14:paraId="45E0E8DD" w14:textId="77777777" w:rsidR="009F4766" w:rsidRPr="00DE12A3" w:rsidRDefault="009F4766" w:rsidP="00C917D6">
            <w:pPr>
              <w:pStyle w:val="NormalLeft"/>
              <w:rPr>
                <w:sz w:val="14"/>
                <w:szCs w:val="14"/>
              </w:rPr>
            </w:pPr>
            <w:r w:rsidRPr="00DE12A3">
              <w:rPr>
                <w:sz w:val="14"/>
                <w:szCs w:val="14"/>
              </w:rPr>
              <w:t>1,509</w:t>
            </w:r>
          </w:p>
        </w:tc>
      </w:tr>
      <w:tr w:rsidR="00DE12A3" w:rsidRPr="00DE12A3" w14:paraId="6AC749FE" w14:textId="77777777" w:rsidTr="009F4766">
        <w:tc>
          <w:tcPr>
            <w:tcW w:w="464" w:type="dxa"/>
            <w:tcBorders>
              <w:top w:val="single" w:sz="2" w:space="0" w:color="auto"/>
              <w:left w:val="single" w:sz="2" w:space="0" w:color="auto"/>
              <w:bottom w:val="single" w:sz="2" w:space="0" w:color="auto"/>
              <w:right w:val="single" w:sz="2" w:space="0" w:color="auto"/>
            </w:tcBorders>
          </w:tcPr>
          <w:p w14:paraId="4ECED928" w14:textId="77777777" w:rsidR="009F4766" w:rsidRPr="00DE12A3" w:rsidRDefault="009F4766" w:rsidP="00C917D6">
            <w:pPr>
              <w:pStyle w:val="NormalLeft"/>
              <w:rPr>
                <w:sz w:val="14"/>
                <w:szCs w:val="14"/>
              </w:rPr>
            </w:pPr>
            <w:r w:rsidRPr="00DE12A3">
              <w:rPr>
                <w:sz w:val="14"/>
                <w:szCs w:val="14"/>
              </w:rPr>
              <w:t>60</w:t>
            </w:r>
          </w:p>
        </w:tc>
        <w:tc>
          <w:tcPr>
            <w:tcW w:w="465" w:type="dxa"/>
            <w:tcBorders>
              <w:top w:val="single" w:sz="2" w:space="0" w:color="auto"/>
              <w:left w:val="single" w:sz="2" w:space="0" w:color="auto"/>
              <w:bottom w:val="single" w:sz="2" w:space="0" w:color="auto"/>
              <w:right w:val="single" w:sz="2" w:space="0" w:color="auto"/>
            </w:tcBorders>
          </w:tcPr>
          <w:p w14:paraId="706DC27F" w14:textId="77777777" w:rsidR="009F4766" w:rsidRPr="00DE12A3" w:rsidRDefault="009F4766" w:rsidP="00C917D6">
            <w:pPr>
              <w:pStyle w:val="NormalLeft"/>
              <w:rPr>
                <w:sz w:val="14"/>
                <w:szCs w:val="14"/>
              </w:rPr>
            </w:pPr>
            <w:r w:rsidRPr="00DE12A3">
              <w:rPr>
                <w:sz w:val="14"/>
                <w:szCs w:val="14"/>
              </w:rPr>
              <w:t>4,001</w:t>
            </w:r>
          </w:p>
        </w:tc>
        <w:tc>
          <w:tcPr>
            <w:tcW w:w="464" w:type="dxa"/>
            <w:tcBorders>
              <w:top w:val="single" w:sz="2" w:space="0" w:color="auto"/>
              <w:left w:val="single" w:sz="2" w:space="0" w:color="auto"/>
              <w:bottom w:val="single" w:sz="2" w:space="0" w:color="auto"/>
              <w:right w:val="single" w:sz="2" w:space="0" w:color="auto"/>
            </w:tcBorders>
          </w:tcPr>
          <w:p w14:paraId="3DCB82B7" w14:textId="77777777" w:rsidR="009F4766" w:rsidRPr="00DE12A3" w:rsidRDefault="009F4766" w:rsidP="00C917D6">
            <w:pPr>
              <w:pStyle w:val="NormalLeft"/>
              <w:rPr>
                <w:sz w:val="14"/>
                <w:szCs w:val="14"/>
              </w:rPr>
            </w:pPr>
            <w:r w:rsidRPr="00DE12A3">
              <w:rPr>
                <w:sz w:val="14"/>
                <w:szCs w:val="14"/>
              </w:rPr>
              <w:t>3,150</w:t>
            </w:r>
          </w:p>
        </w:tc>
        <w:tc>
          <w:tcPr>
            <w:tcW w:w="464" w:type="dxa"/>
            <w:tcBorders>
              <w:top w:val="single" w:sz="2" w:space="0" w:color="auto"/>
              <w:left w:val="single" w:sz="2" w:space="0" w:color="auto"/>
              <w:bottom w:val="single" w:sz="2" w:space="0" w:color="auto"/>
              <w:right w:val="single" w:sz="2" w:space="0" w:color="auto"/>
            </w:tcBorders>
          </w:tcPr>
          <w:p w14:paraId="436274A1" w14:textId="77777777" w:rsidR="009F4766" w:rsidRPr="00DE12A3" w:rsidRDefault="009F4766" w:rsidP="00C917D6">
            <w:pPr>
              <w:pStyle w:val="NormalLeft"/>
              <w:rPr>
                <w:sz w:val="14"/>
                <w:szCs w:val="14"/>
              </w:rPr>
            </w:pPr>
            <w:r w:rsidRPr="00DE12A3">
              <w:rPr>
                <w:sz w:val="14"/>
                <w:szCs w:val="14"/>
              </w:rPr>
              <w:t>2,758</w:t>
            </w:r>
          </w:p>
        </w:tc>
        <w:tc>
          <w:tcPr>
            <w:tcW w:w="465" w:type="dxa"/>
            <w:tcBorders>
              <w:top w:val="single" w:sz="2" w:space="0" w:color="auto"/>
              <w:left w:val="single" w:sz="2" w:space="0" w:color="auto"/>
              <w:bottom w:val="single" w:sz="2" w:space="0" w:color="auto"/>
              <w:right w:val="single" w:sz="2" w:space="0" w:color="auto"/>
            </w:tcBorders>
          </w:tcPr>
          <w:p w14:paraId="33212FA3" w14:textId="77777777" w:rsidR="009F4766" w:rsidRPr="00DE12A3" w:rsidRDefault="009F4766" w:rsidP="00C917D6">
            <w:pPr>
              <w:pStyle w:val="NormalLeft"/>
              <w:rPr>
                <w:sz w:val="14"/>
                <w:szCs w:val="14"/>
              </w:rPr>
            </w:pPr>
            <w:r w:rsidRPr="00DE12A3">
              <w:rPr>
                <w:sz w:val="14"/>
                <w:szCs w:val="14"/>
              </w:rPr>
              <w:t>2,525</w:t>
            </w:r>
          </w:p>
        </w:tc>
        <w:tc>
          <w:tcPr>
            <w:tcW w:w="464" w:type="dxa"/>
            <w:tcBorders>
              <w:top w:val="single" w:sz="2" w:space="0" w:color="auto"/>
              <w:left w:val="single" w:sz="2" w:space="0" w:color="auto"/>
              <w:bottom w:val="single" w:sz="2" w:space="0" w:color="auto"/>
              <w:right w:val="single" w:sz="2" w:space="0" w:color="auto"/>
            </w:tcBorders>
          </w:tcPr>
          <w:p w14:paraId="1B2D5051" w14:textId="77777777" w:rsidR="009F4766" w:rsidRPr="00DE12A3" w:rsidRDefault="009F4766" w:rsidP="00C917D6">
            <w:pPr>
              <w:pStyle w:val="NormalLeft"/>
              <w:rPr>
                <w:sz w:val="14"/>
                <w:szCs w:val="14"/>
              </w:rPr>
            </w:pPr>
            <w:r w:rsidRPr="00DE12A3">
              <w:rPr>
                <w:sz w:val="14"/>
                <w:szCs w:val="14"/>
              </w:rPr>
              <w:t>2,368</w:t>
            </w:r>
          </w:p>
        </w:tc>
        <w:tc>
          <w:tcPr>
            <w:tcW w:w="464" w:type="dxa"/>
            <w:tcBorders>
              <w:top w:val="single" w:sz="2" w:space="0" w:color="auto"/>
              <w:left w:val="single" w:sz="2" w:space="0" w:color="auto"/>
              <w:bottom w:val="single" w:sz="2" w:space="0" w:color="auto"/>
              <w:right w:val="single" w:sz="2" w:space="0" w:color="auto"/>
            </w:tcBorders>
          </w:tcPr>
          <w:p w14:paraId="346EED92" w14:textId="77777777" w:rsidR="009F4766" w:rsidRPr="00DE12A3" w:rsidRDefault="009F4766" w:rsidP="00C917D6">
            <w:pPr>
              <w:pStyle w:val="NormalLeft"/>
              <w:rPr>
                <w:sz w:val="14"/>
                <w:szCs w:val="14"/>
              </w:rPr>
            </w:pPr>
            <w:r w:rsidRPr="00DE12A3">
              <w:rPr>
                <w:sz w:val="14"/>
                <w:szCs w:val="14"/>
              </w:rPr>
              <w:t>2,254</w:t>
            </w:r>
          </w:p>
        </w:tc>
        <w:tc>
          <w:tcPr>
            <w:tcW w:w="464" w:type="dxa"/>
            <w:tcBorders>
              <w:top w:val="single" w:sz="2" w:space="0" w:color="auto"/>
              <w:left w:val="single" w:sz="2" w:space="0" w:color="auto"/>
              <w:bottom w:val="single" w:sz="2" w:space="0" w:color="auto"/>
              <w:right w:val="single" w:sz="2" w:space="0" w:color="auto"/>
            </w:tcBorders>
          </w:tcPr>
          <w:p w14:paraId="1E9CD215" w14:textId="77777777" w:rsidR="009F4766" w:rsidRPr="00DE12A3" w:rsidRDefault="009F4766" w:rsidP="00C917D6">
            <w:pPr>
              <w:pStyle w:val="NormalLeft"/>
              <w:rPr>
                <w:sz w:val="14"/>
                <w:szCs w:val="14"/>
              </w:rPr>
            </w:pPr>
            <w:r w:rsidRPr="00DE12A3">
              <w:rPr>
                <w:sz w:val="14"/>
                <w:szCs w:val="14"/>
              </w:rPr>
              <w:t>2,167</w:t>
            </w:r>
          </w:p>
        </w:tc>
        <w:tc>
          <w:tcPr>
            <w:tcW w:w="465" w:type="dxa"/>
            <w:tcBorders>
              <w:top w:val="single" w:sz="2" w:space="0" w:color="auto"/>
              <w:left w:val="single" w:sz="2" w:space="0" w:color="auto"/>
              <w:bottom w:val="single" w:sz="2" w:space="0" w:color="auto"/>
              <w:right w:val="single" w:sz="2" w:space="0" w:color="auto"/>
            </w:tcBorders>
          </w:tcPr>
          <w:p w14:paraId="01343385" w14:textId="77777777" w:rsidR="009F4766" w:rsidRPr="00DE12A3" w:rsidRDefault="009F4766" w:rsidP="00C917D6">
            <w:pPr>
              <w:pStyle w:val="NormalLeft"/>
              <w:rPr>
                <w:sz w:val="14"/>
                <w:szCs w:val="14"/>
              </w:rPr>
            </w:pPr>
            <w:r w:rsidRPr="00DE12A3">
              <w:rPr>
                <w:sz w:val="14"/>
                <w:szCs w:val="14"/>
              </w:rPr>
              <w:t>2,097</w:t>
            </w:r>
          </w:p>
        </w:tc>
        <w:tc>
          <w:tcPr>
            <w:tcW w:w="464" w:type="dxa"/>
            <w:tcBorders>
              <w:top w:val="single" w:sz="2" w:space="0" w:color="auto"/>
              <w:left w:val="single" w:sz="2" w:space="0" w:color="auto"/>
              <w:bottom w:val="single" w:sz="2" w:space="0" w:color="auto"/>
              <w:right w:val="single" w:sz="2" w:space="0" w:color="auto"/>
            </w:tcBorders>
          </w:tcPr>
          <w:p w14:paraId="4AA91828" w14:textId="77777777" w:rsidR="009F4766" w:rsidRPr="00DE12A3" w:rsidRDefault="009F4766" w:rsidP="00C917D6">
            <w:pPr>
              <w:pStyle w:val="NormalLeft"/>
              <w:rPr>
                <w:sz w:val="14"/>
                <w:szCs w:val="14"/>
              </w:rPr>
            </w:pPr>
            <w:r w:rsidRPr="00DE12A3">
              <w:rPr>
                <w:sz w:val="14"/>
                <w:szCs w:val="14"/>
              </w:rPr>
              <w:t>2,040</w:t>
            </w:r>
          </w:p>
        </w:tc>
        <w:tc>
          <w:tcPr>
            <w:tcW w:w="464" w:type="dxa"/>
            <w:tcBorders>
              <w:top w:val="single" w:sz="2" w:space="0" w:color="auto"/>
              <w:left w:val="single" w:sz="2" w:space="0" w:color="auto"/>
              <w:bottom w:val="single" w:sz="2" w:space="0" w:color="auto"/>
              <w:right w:val="single" w:sz="2" w:space="0" w:color="auto"/>
            </w:tcBorders>
          </w:tcPr>
          <w:p w14:paraId="5410A221" w14:textId="77777777" w:rsidR="009F4766" w:rsidRPr="00DE12A3" w:rsidRDefault="009F4766" w:rsidP="00C917D6">
            <w:pPr>
              <w:pStyle w:val="NormalLeft"/>
              <w:rPr>
                <w:sz w:val="14"/>
                <w:szCs w:val="14"/>
              </w:rPr>
            </w:pPr>
            <w:r w:rsidRPr="00DE12A3">
              <w:rPr>
                <w:sz w:val="14"/>
                <w:szCs w:val="14"/>
              </w:rPr>
              <w:t>1,993</w:t>
            </w:r>
          </w:p>
        </w:tc>
        <w:tc>
          <w:tcPr>
            <w:tcW w:w="465" w:type="dxa"/>
            <w:tcBorders>
              <w:top w:val="single" w:sz="2" w:space="0" w:color="auto"/>
              <w:left w:val="single" w:sz="2" w:space="0" w:color="auto"/>
              <w:bottom w:val="single" w:sz="2" w:space="0" w:color="auto"/>
              <w:right w:val="single" w:sz="2" w:space="0" w:color="auto"/>
            </w:tcBorders>
          </w:tcPr>
          <w:p w14:paraId="1D28AB00" w14:textId="77777777" w:rsidR="009F4766" w:rsidRPr="00DE12A3" w:rsidRDefault="009F4766" w:rsidP="00C917D6">
            <w:pPr>
              <w:pStyle w:val="NormalLeft"/>
              <w:rPr>
                <w:sz w:val="14"/>
                <w:szCs w:val="14"/>
              </w:rPr>
            </w:pPr>
            <w:r w:rsidRPr="00DE12A3">
              <w:rPr>
                <w:sz w:val="14"/>
                <w:szCs w:val="14"/>
              </w:rPr>
              <w:t>1,917</w:t>
            </w:r>
          </w:p>
        </w:tc>
        <w:tc>
          <w:tcPr>
            <w:tcW w:w="464" w:type="dxa"/>
            <w:tcBorders>
              <w:top w:val="single" w:sz="2" w:space="0" w:color="auto"/>
              <w:left w:val="single" w:sz="2" w:space="0" w:color="auto"/>
              <w:bottom w:val="single" w:sz="2" w:space="0" w:color="auto"/>
              <w:right w:val="single" w:sz="2" w:space="0" w:color="auto"/>
            </w:tcBorders>
          </w:tcPr>
          <w:p w14:paraId="3C34DEC4" w14:textId="77777777" w:rsidR="009F4766" w:rsidRPr="00DE12A3" w:rsidRDefault="009F4766" w:rsidP="00C917D6">
            <w:pPr>
              <w:pStyle w:val="NormalLeft"/>
              <w:rPr>
                <w:sz w:val="14"/>
                <w:szCs w:val="14"/>
              </w:rPr>
            </w:pPr>
            <w:r w:rsidRPr="00DE12A3">
              <w:rPr>
                <w:sz w:val="14"/>
                <w:szCs w:val="14"/>
              </w:rPr>
              <w:t>1,836</w:t>
            </w:r>
          </w:p>
        </w:tc>
        <w:tc>
          <w:tcPr>
            <w:tcW w:w="464" w:type="dxa"/>
            <w:tcBorders>
              <w:top w:val="single" w:sz="2" w:space="0" w:color="auto"/>
              <w:left w:val="single" w:sz="2" w:space="0" w:color="auto"/>
              <w:bottom w:val="single" w:sz="2" w:space="0" w:color="auto"/>
              <w:right w:val="single" w:sz="2" w:space="0" w:color="auto"/>
            </w:tcBorders>
          </w:tcPr>
          <w:p w14:paraId="5352CEC8" w14:textId="77777777" w:rsidR="009F4766" w:rsidRPr="00DE12A3" w:rsidRDefault="009F4766" w:rsidP="00C917D6">
            <w:pPr>
              <w:pStyle w:val="NormalLeft"/>
              <w:rPr>
                <w:sz w:val="14"/>
                <w:szCs w:val="14"/>
              </w:rPr>
            </w:pPr>
            <w:r w:rsidRPr="00DE12A3">
              <w:rPr>
                <w:sz w:val="14"/>
                <w:szCs w:val="14"/>
              </w:rPr>
              <w:t>1,748</w:t>
            </w:r>
          </w:p>
        </w:tc>
        <w:tc>
          <w:tcPr>
            <w:tcW w:w="465" w:type="dxa"/>
            <w:tcBorders>
              <w:top w:val="single" w:sz="2" w:space="0" w:color="auto"/>
              <w:left w:val="single" w:sz="2" w:space="0" w:color="auto"/>
              <w:bottom w:val="single" w:sz="2" w:space="0" w:color="auto"/>
              <w:right w:val="single" w:sz="2" w:space="0" w:color="auto"/>
            </w:tcBorders>
          </w:tcPr>
          <w:p w14:paraId="2AD3B6BC" w14:textId="77777777" w:rsidR="009F4766" w:rsidRPr="00DE12A3" w:rsidRDefault="009F4766" w:rsidP="00C917D6">
            <w:pPr>
              <w:pStyle w:val="NormalLeft"/>
              <w:rPr>
                <w:sz w:val="14"/>
                <w:szCs w:val="14"/>
              </w:rPr>
            </w:pPr>
            <w:r w:rsidRPr="00DE12A3">
              <w:rPr>
                <w:sz w:val="14"/>
                <w:szCs w:val="14"/>
              </w:rPr>
              <w:t>1,700</w:t>
            </w:r>
          </w:p>
        </w:tc>
        <w:tc>
          <w:tcPr>
            <w:tcW w:w="464" w:type="dxa"/>
            <w:tcBorders>
              <w:top w:val="single" w:sz="2" w:space="0" w:color="auto"/>
              <w:left w:val="single" w:sz="2" w:space="0" w:color="auto"/>
              <w:bottom w:val="single" w:sz="2" w:space="0" w:color="auto"/>
              <w:right w:val="single" w:sz="2" w:space="0" w:color="auto"/>
            </w:tcBorders>
          </w:tcPr>
          <w:p w14:paraId="1716093D" w14:textId="77777777" w:rsidR="009F4766" w:rsidRPr="00DE12A3" w:rsidRDefault="009F4766" w:rsidP="00C917D6">
            <w:pPr>
              <w:pStyle w:val="NormalLeft"/>
              <w:rPr>
                <w:sz w:val="14"/>
                <w:szCs w:val="14"/>
              </w:rPr>
            </w:pPr>
            <w:r w:rsidRPr="00DE12A3">
              <w:rPr>
                <w:sz w:val="14"/>
                <w:szCs w:val="14"/>
              </w:rPr>
              <w:t>1,649</w:t>
            </w:r>
          </w:p>
        </w:tc>
        <w:tc>
          <w:tcPr>
            <w:tcW w:w="464" w:type="dxa"/>
            <w:tcBorders>
              <w:top w:val="single" w:sz="2" w:space="0" w:color="auto"/>
              <w:left w:val="single" w:sz="2" w:space="0" w:color="auto"/>
              <w:bottom w:val="single" w:sz="2" w:space="0" w:color="auto"/>
              <w:right w:val="single" w:sz="2" w:space="0" w:color="auto"/>
            </w:tcBorders>
          </w:tcPr>
          <w:p w14:paraId="436D32D1" w14:textId="77777777" w:rsidR="009F4766" w:rsidRPr="00DE12A3" w:rsidRDefault="009F4766" w:rsidP="00C917D6">
            <w:pPr>
              <w:pStyle w:val="NormalLeft"/>
              <w:rPr>
                <w:sz w:val="14"/>
                <w:szCs w:val="14"/>
              </w:rPr>
            </w:pPr>
            <w:r w:rsidRPr="00DE12A3">
              <w:rPr>
                <w:sz w:val="14"/>
                <w:szCs w:val="14"/>
              </w:rPr>
              <w:t>1,594</w:t>
            </w:r>
          </w:p>
        </w:tc>
        <w:tc>
          <w:tcPr>
            <w:tcW w:w="464" w:type="dxa"/>
            <w:tcBorders>
              <w:top w:val="single" w:sz="2" w:space="0" w:color="auto"/>
              <w:left w:val="single" w:sz="2" w:space="0" w:color="auto"/>
              <w:bottom w:val="single" w:sz="2" w:space="0" w:color="auto"/>
              <w:right w:val="single" w:sz="2" w:space="0" w:color="auto"/>
            </w:tcBorders>
          </w:tcPr>
          <w:p w14:paraId="4F43449B" w14:textId="77777777" w:rsidR="009F4766" w:rsidRPr="00DE12A3" w:rsidRDefault="009F4766" w:rsidP="00C917D6">
            <w:pPr>
              <w:pStyle w:val="NormalLeft"/>
              <w:rPr>
                <w:sz w:val="14"/>
                <w:szCs w:val="14"/>
              </w:rPr>
            </w:pPr>
            <w:r w:rsidRPr="00DE12A3">
              <w:rPr>
                <w:sz w:val="14"/>
                <w:szCs w:val="14"/>
              </w:rPr>
              <w:t>1,534</w:t>
            </w:r>
          </w:p>
        </w:tc>
        <w:tc>
          <w:tcPr>
            <w:tcW w:w="465" w:type="dxa"/>
            <w:tcBorders>
              <w:top w:val="single" w:sz="2" w:space="0" w:color="auto"/>
              <w:left w:val="single" w:sz="2" w:space="0" w:color="auto"/>
              <w:bottom w:val="single" w:sz="2" w:space="0" w:color="auto"/>
              <w:right w:val="single" w:sz="2" w:space="0" w:color="auto"/>
            </w:tcBorders>
          </w:tcPr>
          <w:p w14:paraId="62ABCF7D" w14:textId="77777777" w:rsidR="009F4766" w:rsidRPr="00DE12A3" w:rsidRDefault="009F4766" w:rsidP="00C917D6">
            <w:pPr>
              <w:pStyle w:val="NormalLeft"/>
              <w:rPr>
                <w:sz w:val="14"/>
                <w:szCs w:val="14"/>
              </w:rPr>
            </w:pPr>
            <w:r w:rsidRPr="00DE12A3">
              <w:rPr>
                <w:sz w:val="14"/>
                <w:szCs w:val="14"/>
              </w:rPr>
              <w:t>1,467</w:t>
            </w:r>
          </w:p>
        </w:tc>
        <w:tc>
          <w:tcPr>
            <w:tcW w:w="464" w:type="dxa"/>
            <w:tcBorders>
              <w:top w:val="single" w:sz="2" w:space="0" w:color="auto"/>
              <w:left w:val="single" w:sz="2" w:space="0" w:color="auto"/>
              <w:bottom w:val="single" w:sz="2" w:space="0" w:color="auto"/>
              <w:right w:val="single" w:sz="2" w:space="0" w:color="auto"/>
            </w:tcBorders>
          </w:tcPr>
          <w:p w14:paraId="7443DECD" w14:textId="77777777" w:rsidR="009F4766" w:rsidRPr="00DE12A3" w:rsidRDefault="009F4766" w:rsidP="00C917D6">
            <w:pPr>
              <w:pStyle w:val="NormalLeft"/>
              <w:rPr>
                <w:sz w:val="14"/>
                <w:szCs w:val="14"/>
              </w:rPr>
            </w:pPr>
            <w:r w:rsidRPr="00DE12A3">
              <w:rPr>
                <w:sz w:val="14"/>
                <w:szCs w:val="14"/>
              </w:rPr>
              <w:t>1,389</w:t>
            </w:r>
          </w:p>
        </w:tc>
      </w:tr>
      <w:tr w:rsidR="00DE12A3" w:rsidRPr="00DE12A3" w14:paraId="11086845" w14:textId="77777777" w:rsidTr="009F4766">
        <w:tc>
          <w:tcPr>
            <w:tcW w:w="464" w:type="dxa"/>
            <w:tcBorders>
              <w:top w:val="single" w:sz="2" w:space="0" w:color="auto"/>
              <w:left w:val="single" w:sz="2" w:space="0" w:color="auto"/>
              <w:bottom w:val="single" w:sz="2" w:space="0" w:color="auto"/>
              <w:right w:val="single" w:sz="2" w:space="0" w:color="auto"/>
            </w:tcBorders>
          </w:tcPr>
          <w:p w14:paraId="7A6E8849" w14:textId="77777777" w:rsidR="009F4766" w:rsidRPr="00DE12A3" w:rsidRDefault="009F4766" w:rsidP="00C917D6">
            <w:pPr>
              <w:pStyle w:val="NormalLeft"/>
              <w:rPr>
                <w:sz w:val="14"/>
                <w:szCs w:val="14"/>
              </w:rPr>
            </w:pPr>
            <w:r w:rsidRPr="00DE12A3">
              <w:rPr>
                <w:sz w:val="14"/>
                <w:szCs w:val="14"/>
              </w:rPr>
              <w:lastRenderedPageBreak/>
              <w:t>120</w:t>
            </w:r>
          </w:p>
        </w:tc>
        <w:tc>
          <w:tcPr>
            <w:tcW w:w="465" w:type="dxa"/>
            <w:tcBorders>
              <w:top w:val="single" w:sz="2" w:space="0" w:color="auto"/>
              <w:left w:val="single" w:sz="2" w:space="0" w:color="auto"/>
              <w:bottom w:val="single" w:sz="2" w:space="0" w:color="auto"/>
              <w:right w:val="single" w:sz="2" w:space="0" w:color="auto"/>
            </w:tcBorders>
          </w:tcPr>
          <w:p w14:paraId="7D6F51D3" w14:textId="77777777" w:rsidR="009F4766" w:rsidRPr="00DE12A3" w:rsidRDefault="009F4766" w:rsidP="00C917D6">
            <w:pPr>
              <w:pStyle w:val="NormalLeft"/>
              <w:rPr>
                <w:sz w:val="14"/>
                <w:szCs w:val="14"/>
              </w:rPr>
            </w:pPr>
            <w:r w:rsidRPr="00DE12A3">
              <w:rPr>
                <w:sz w:val="14"/>
                <w:szCs w:val="14"/>
              </w:rPr>
              <w:t>3,920</w:t>
            </w:r>
          </w:p>
        </w:tc>
        <w:tc>
          <w:tcPr>
            <w:tcW w:w="464" w:type="dxa"/>
            <w:tcBorders>
              <w:top w:val="single" w:sz="2" w:space="0" w:color="auto"/>
              <w:left w:val="single" w:sz="2" w:space="0" w:color="auto"/>
              <w:bottom w:val="single" w:sz="2" w:space="0" w:color="auto"/>
              <w:right w:val="single" w:sz="2" w:space="0" w:color="auto"/>
            </w:tcBorders>
          </w:tcPr>
          <w:p w14:paraId="32A30EDA" w14:textId="77777777" w:rsidR="009F4766" w:rsidRPr="00DE12A3" w:rsidRDefault="009F4766" w:rsidP="00C917D6">
            <w:pPr>
              <w:pStyle w:val="NormalLeft"/>
              <w:rPr>
                <w:sz w:val="14"/>
                <w:szCs w:val="14"/>
              </w:rPr>
            </w:pPr>
            <w:r w:rsidRPr="00DE12A3">
              <w:rPr>
                <w:sz w:val="14"/>
                <w:szCs w:val="14"/>
              </w:rPr>
              <w:t>3,072</w:t>
            </w:r>
          </w:p>
        </w:tc>
        <w:tc>
          <w:tcPr>
            <w:tcW w:w="464" w:type="dxa"/>
            <w:tcBorders>
              <w:top w:val="single" w:sz="2" w:space="0" w:color="auto"/>
              <w:left w:val="single" w:sz="2" w:space="0" w:color="auto"/>
              <w:bottom w:val="single" w:sz="2" w:space="0" w:color="auto"/>
              <w:right w:val="single" w:sz="2" w:space="0" w:color="auto"/>
            </w:tcBorders>
          </w:tcPr>
          <w:p w14:paraId="347D9D22" w14:textId="77777777" w:rsidR="009F4766" w:rsidRPr="00DE12A3" w:rsidRDefault="009F4766" w:rsidP="00C917D6">
            <w:pPr>
              <w:pStyle w:val="NormalLeft"/>
              <w:rPr>
                <w:sz w:val="14"/>
                <w:szCs w:val="14"/>
              </w:rPr>
            </w:pPr>
            <w:r w:rsidRPr="00DE12A3">
              <w:rPr>
                <w:sz w:val="14"/>
                <w:szCs w:val="14"/>
              </w:rPr>
              <w:t>2,680</w:t>
            </w:r>
          </w:p>
        </w:tc>
        <w:tc>
          <w:tcPr>
            <w:tcW w:w="465" w:type="dxa"/>
            <w:tcBorders>
              <w:top w:val="single" w:sz="2" w:space="0" w:color="auto"/>
              <w:left w:val="single" w:sz="2" w:space="0" w:color="auto"/>
              <w:bottom w:val="single" w:sz="2" w:space="0" w:color="auto"/>
              <w:right w:val="single" w:sz="2" w:space="0" w:color="auto"/>
            </w:tcBorders>
          </w:tcPr>
          <w:p w14:paraId="5201F652" w14:textId="77777777" w:rsidR="009F4766" w:rsidRPr="00DE12A3" w:rsidRDefault="009F4766" w:rsidP="00C917D6">
            <w:pPr>
              <w:pStyle w:val="NormalLeft"/>
              <w:rPr>
                <w:sz w:val="14"/>
                <w:szCs w:val="14"/>
              </w:rPr>
            </w:pPr>
            <w:r w:rsidRPr="00DE12A3">
              <w:rPr>
                <w:sz w:val="14"/>
                <w:szCs w:val="14"/>
              </w:rPr>
              <w:t>2,447</w:t>
            </w:r>
          </w:p>
        </w:tc>
        <w:tc>
          <w:tcPr>
            <w:tcW w:w="464" w:type="dxa"/>
            <w:tcBorders>
              <w:top w:val="single" w:sz="2" w:space="0" w:color="auto"/>
              <w:left w:val="single" w:sz="2" w:space="0" w:color="auto"/>
              <w:bottom w:val="single" w:sz="2" w:space="0" w:color="auto"/>
              <w:right w:val="single" w:sz="2" w:space="0" w:color="auto"/>
            </w:tcBorders>
          </w:tcPr>
          <w:p w14:paraId="305380E1" w14:textId="77777777" w:rsidR="009F4766" w:rsidRPr="00DE12A3" w:rsidRDefault="009F4766" w:rsidP="00C917D6">
            <w:pPr>
              <w:pStyle w:val="NormalLeft"/>
              <w:rPr>
                <w:sz w:val="14"/>
                <w:szCs w:val="14"/>
              </w:rPr>
            </w:pPr>
            <w:r w:rsidRPr="00DE12A3">
              <w:rPr>
                <w:sz w:val="14"/>
                <w:szCs w:val="14"/>
              </w:rPr>
              <w:t>2,290</w:t>
            </w:r>
          </w:p>
        </w:tc>
        <w:tc>
          <w:tcPr>
            <w:tcW w:w="464" w:type="dxa"/>
            <w:tcBorders>
              <w:top w:val="single" w:sz="2" w:space="0" w:color="auto"/>
              <w:left w:val="single" w:sz="2" w:space="0" w:color="auto"/>
              <w:bottom w:val="single" w:sz="2" w:space="0" w:color="auto"/>
              <w:right w:val="single" w:sz="2" w:space="0" w:color="auto"/>
            </w:tcBorders>
          </w:tcPr>
          <w:p w14:paraId="0E841075" w14:textId="77777777" w:rsidR="009F4766" w:rsidRPr="00DE12A3" w:rsidRDefault="009F4766" w:rsidP="00C917D6">
            <w:pPr>
              <w:pStyle w:val="NormalLeft"/>
              <w:rPr>
                <w:sz w:val="14"/>
                <w:szCs w:val="14"/>
              </w:rPr>
            </w:pPr>
            <w:r w:rsidRPr="00DE12A3">
              <w:rPr>
                <w:sz w:val="14"/>
                <w:szCs w:val="14"/>
              </w:rPr>
              <w:t>2,175</w:t>
            </w:r>
          </w:p>
        </w:tc>
        <w:tc>
          <w:tcPr>
            <w:tcW w:w="464" w:type="dxa"/>
            <w:tcBorders>
              <w:top w:val="single" w:sz="2" w:space="0" w:color="auto"/>
              <w:left w:val="single" w:sz="2" w:space="0" w:color="auto"/>
              <w:bottom w:val="single" w:sz="2" w:space="0" w:color="auto"/>
              <w:right w:val="single" w:sz="2" w:space="0" w:color="auto"/>
            </w:tcBorders>
          </w:tcPr>
          <w:p w14:paraId="7B780E60" w14:textId="77777777" w:rsidR="009F4766" w:rsidRPr="00DE12A3" w:rsidRDefault="009F4766" w:rsidP="00C917D6">
            <w:pPr>
              <w:pStyle w:val="NormalLeft"/>
              <w:rPr>
                <w:sz w:val="14"/>
                <w:szCs w:val="14"/>
              </w:rPr>
            </w:pPr>
            <w:r w:rsidRPr="00DE12A3">
              <w:rPr>
                <w:sz w:val="14"/>
                <w:szCs w:val="14"/>
              </w:rPr>
              <w:t>2,087</w:t>
            </w:r>
          </w:p>
        </w:tc>
        <w:tc>
          <w:tcPr>
            <w:tcW w:w="465" w:type="dxa"/>
            <w:tcBorders>
              <w:top w:val="single" w:sz="2" w:space="0" w:color="auto"/>
              <w:left w:val="single" w:sz="2" w:space="0" w:color="auto"/>
              <w:bottom w:val="single" w:sz="2" w:space="0" w:color="auto"/>
              <w:right w:val="single" w:sz="2" w:space="0" w:color="auto"/>
            </w:tcBorders>
          </w:tcPr>
          <w:p w14:paraId="47CC69B8" w14:textId="77777777" w:rsidR="009F4766" w:rsidRPr="00DE12A3" w:rsidRDefault="009F4766" w:rsidP="00C917D6">
            <w:pPr>
              <w:pStyle w:val="NormalLeft"/>
              <w:rPr>
                <w:sz w:val="14"/>
                <w:szCs w:val="14"/>
              </w:rPr>
            </w:pPr>
            <w:r w:rsidRPr="00DE12A3">
              <w:rPr>
                <w:sz w:val="14"/>
                <w:szCs w:val="14"/>
              </w:rPr>
              <w:t>2,016</w:t>
            </w:r>
          </w:p>
        </w:tc>
        <w:tc>
          <w:tcPr>
            <w:tcW w:w="464" w:type="dxa"/>
            <w:tcBorders>
              <w:top w:val="single" w:sz="2" w:space="0" w:color="auto"/>
              <w:left w:val="single" w:sz="2" w:space="0" w:color="auto"/>
              <w:bottom w:val="single" w:sz="2" w:space="0" w:color="auto"/>
              <w:right w:val="single" w:sz="2" w:space="0" w:color="auto"/>
            </w:tcBorders>
          </w:tcPr>
          <w:p w14:paraId="0800809A" w14:textId="77777777" w:rsidR="009F4766" w:rsidRPr="00DE12A3" w:rsidRDefault="009F4766" w:rsidP="00C917D6">
            <w:pPr>
              <w:pStyle w:val="NormalLeft"/>
              <w:rPr>
                <w:sz w:val="14"/>
                <w:szCs w:val="14"/>
              </w:rPr>
            </w:pPr>
            <w:r w:rsidRPr="00DE12A3">
              <w:rPr>
                <w:sz w:val="14"/>
                <w:szCs w:val="14"/>
              </w:rPr>
              <w:t>1,959</w:t>
            </w:r>
          </w:p>
        </w:tc>
        <w:tc>
          <w:tcPr>
            <w:tcW w:w="464" w:type="dxa"/>
            <w:tcBorders>
              <w:top w:val="single" w:sz="2" w:space="0" w:color="auto"/>
              <w:left w:val="single" w:sz="2" w:space="0" w:color="auto"/>
              <w:bottom w:val="single" w:sz="2" w:space="0" w:color="auto"/>
              <w:right w:val="single" w:sz="2" w:space="0" w:color="auto"/>
            </w:tcBorders>
          </w:tcPr>
          <w:p w14:paraId="165255BC" w14:textId="77777777" w:rsidR="009F4766" w:rsidRPr="00DE12A3" w:rsidRDefault="009F4766" w:rsidP="00C917D6">
            <w:pPr>
              <w:pStyle w:val="NormalLeft"/>
              <w:rPr>
                <w:sz w:val="14"/>
                <w:szCs w:val="14"/>
              </w:rPr>
            </w:pPr>
            <w:r w:rsidRPr="00DE12A3">
              <w:rPr>
                <w:sz w:val="14"/>
                <w:szCs w:val="14"/>
              </w:rPr>
              <w:t>1,911</w:t>
            </w:r>
          </w:p>
        </w:tc>
        <w:tc>
          <w:tcPr>
            <w:tcW w:w="465" w:type="dxa"/>
            <w:tcBorders>
              <w:top w:val="single" w:sz="2" w:space="0" w:color="auto"/>
              <w:left w:val="single" w:sz="2" w:space="0" w:color="auto"/>
              <w:bottom w:val="single" w:sz="2" w:space="0" w:color="auto"/>
              <w:right w:val="single" w:sz="2" w:space="0" w:color="auto"/>
            </w:tcBorders>
          </w:tcPr>
          <w:p w14:paraId="6FAFD334" w14:textId="77777777" w:rsidR="009F4766" w:rsidRPr="00DE12A3" w:rsidRDefault="009F4766" w:rsidP="00C917D6">
            <w:pPr>
              <w:pStyle w:val="NormalLeft"/>
              <w:rPr>
                <w:sz w:val="14"/>
                <w:szCs w:val="14"/>
              </w:rPr>
            </w:pPr>
            <w:r w:rsidRPr="00DE12A3">
              <w:rPr>
                <w:sz w:val="14"/>
                <w:szCs w:val="14"/>
              </w:rPr>
              <w:t>1,834</w:t>
            </w:r>
          </w:p>
        </w:tc>
        <w:tc>
          <w:tcPr>
            <w:tcW w:w="464" w:type="dxa"/>
            <w:tcBorders>
              <w:top w:val="single" w:sz="2" w:space="0" w:color="auto"/>
              <w:left w:val="single" w:sz="2" w:space="0" w:color="auto"/>
              <w:bottom w:val="single" w:sz="2" w:space="0" w:color="auto"/>
              <w:right w:val="single" w:sz="2" w:space="0" w:color="auto"/>
            </w:tcBorders>
          </w:tcPr>
          <w:p w14:paraId="47465DCA" w14:textId="77777777" w:rsidR="009F4766" w:rsidRPr="00DE12A3" w:rsidRDefault="009F4766" w:rsidP="00C917D6">
            <w:pPr>
              <w:pStyle w:val="NormalLeft"/>
              <w:rPr>
                <w:sz w:val="14"/>
                <w:szCs w:val="14"/>
              </w:rPr>
            </w:pPr>
            <w:r w:rsidRPr="00DE12A3">
              <w:rPr>
                <w:sz w:val="14"/>
                <w:szCs w:val="14"/>
              </w:rPr>
              <w:t>1,751</w:t>
            </w:r>
          </w:p>
        </w:tc>
        <w:tc>
          <w:tcPr>
            <w:tcW w:w="464" w:type="dxa"/>
            <w:tcBorders>
              <w:top w:val="single" w:sz="2" w:space="0" w:color="auto"/>
              <w:left w:val="single" w:sz="2" w:space="0" w:color="auto"/>
              <w:bottom w:val="single" w:sz="2" w:space="0" w:color="auto"/>
              <w:right w:val="single" w:sz="2" w:space="0" w:color="auto"/>
            </w:tcBorders>
          </w:tcPr>
          <w:p w14:paraId="7188D76F" w14:textId="77777777" w:rsidR="009F4766" w:rsidRPr="00DE12A3" w:rsidRDefault="009F4766" w:rsidP="00C917D6">
            <w:pPr>
              <w:pStyle w:val="NormalLeft"/>
              <w:rPr>
                <w:sz w:val="14"/>
                <w:szCs w:val="14"/>
              </w:rPr>
            </w:pPr>
            <w:r w:rsidRPr="00DE12A3">
              <w:rPr>
                <w:sz w:val="14"/>
                <w:szCs w:val="14"/>
              </w:rPr>
              <w:t>1,659</w:t>
            </w:r>
          </w:p>
        </w:tc>
        <w:tc>
          <w:tcPr>
            <w:tcW w:w="465" w:type="dxa"/>
            <w:tcBorders>
              <w:top w:val="single" w:sz="2" w:space="0" w:color="auto"/>
              <w:left w:val="single" w:sz="2" w:space="0" w:color="auto"/>
              <w:bottom w:val="single" w:sz="2" w:space="0" w:color="auto"/>
              <w:right w:val="single" w:sz="2" w:space="0" w:color="auto"/>
            </w:tcBorders>
          </w:tcPr>
          <w:p w14:paraId="29BDC159" w14:textId="77777777" w:rsidR="009F4766" w:rsidRPr="00DE12A3" w:rsidRDefault="009F4766" w:rsidP="00C917D6">
            <w:pPr>
              <w:pStyle w:val="NormalLeft"/>
              <w:rPr>
                <w:sz w:val="14"/>
                <w:szCs w:val="14"/>
              </w:rPr>
            </w:pPr>
            <w:r w:rsidRPr="00DE12A3">
              <w:rPr>
                <w:sz w:val="14"/>
                <w:szCs w:val="14"/>
              </w:rPr>
              <w:t>1,608</w:t>
            </w:r>
          </w:p>
        </w:tc>
        <w:tc>
          <w:tcPr>
            <w:tcW w:w="464" w:type="dxa"/>
            <w:tcBorders>
              <w:top w:val="single" w:sz="2" w:space="0" w:color="auto"/>
              <w:left w:val="single" w:sz="2" w:space="0" w:color="auto"/>
              <w:bottom w:val="single" w:sz="2" w:space="0" w:color="auto"/>
              <w:right w:val="single" w:sz="2" w:space="0" w:color="auto"/>
            </w:tcBorders>
          </w:tcPr>
          <w:p w14:paraId="6FAF4F44" w14:textId="77777777" w:rsidR="009F4766" w:rsidRPr="00DE12A3" w:rsidRDefault="009F4766" w:rsidP="00C917D6">
            <w:pPr>
              <w:pStyle w:val="NormalLeft"/>
              <w:rPr>
                <w:sz w:val="14"/>
                <w:szCs w:val="14"/>
              </w:rPr>
            </w:pPr>
            <w:r w:rsidRPr="00DE12A3">
              <w:rPr>
                <w:sz w:val="14"/>
                <w:szCs w:val="14"/>
              </w:rPr>
              <w:t>1,554</w:t>
            </w:r>
          </w:p>
        </w:tc>
        <w:tc>
          <w:tcPr>
            <w:tcW w:w="464" w:type="dxa"/>
            <w:tcBorders>
              <w:top w:val="single" w:sz="2" w:space="0" w:color="auto"/>
              <w:left w:val="single" w:sz="2" w:space="0" w:color="auto"/>
              <w:bottom w:val="single" w:sz="2" w:space="0" w:color="auto"/>
              <w:right w:val="single" w:sz="2" w:space="0" w:color="auto"/>
            </w:tcBorders>
          </w:tcPr>
          <w:p w14:paraId="3380DF09" w14:textId="77777777" w:rsidR="009F4766" w:rsidRPr="00DE12A3" w:rsidRDefault="009F4766" w:rsidP="00C917D6">
            <w:pPr>
              <w:pStyle w:val="NormalLeft"/>
              <w:rPr>
                <w:sz w:val="14"/>
                <w:szCs w:val="14"/>
              </w:rPr>
            </w:pPr>
            <w:r w:rsidRPr="00DE12A3">
              <w:rPr>
                <w:sz w:val="14"/>
                <w:szCs w:val="14"/>
              </w:rPr>
              <w:t>1,495</w:t>
            </w:r>
          </w:p>
        </w:tc>
        <w:tc>
          <w:tcPr>
            <w:tcW w:w="464" w:type="dxa"/>
            <w:tcBorders>
              <w:top w:val="single" w:sz="2" w:space="0" w:color="auto"/>
              <w:left w:val="single" w:sz="2" w:space="0" w:color="auto"/>
              <w:bottom w:val="single" w:sz="2" w:space="0" w:color="auto"/>
              <w:right w:val="single" w:sz="2" w:space="0" w:color="auto"/>
            </w:tcBorders>
          </w:tcPr>
          <w:p w14:paraId="71F93582" w14:textId="77777777" w:rsidR="009F4766" w:rsidRPr="00DE12A3" w:rsidRDefault="009F4766" w:rsidP="00C917D6">
            <w:pPr>
              <w:pStyle w:val="NormalLeft"/>
              <w:rPr>
                <w:sz w:val="14"/>
                <w:szCs w:val="14"/>
              </w:rPr>
            </w:pPr>
            <w:r w:rsidRPr="00DE12A3">
              <w:rPr>
                <w:sz w:val="14"/>
                <w:szCs w:val="14"/>
              </w:rPr>
              <w:t>1,429</w:t>
            </w:r>
          </w:p>
        </w:tc>
        <w:tc>
          <w:tcPr>
            <w:tcW w:w="465" w:type="dxa"/>
            <w:tcBorders>
              <w:top w:val="single" w:sz="2" w:space="0" w:color="auto"/>
              <w:left w:val="single" w:sz="2" w:space="0" w:color="auto"/>
              <w:bottom w:val="single" w:sz="2" w:space="0" w:color="auto"/>
              <w:right w:val="single" w:sz="2" w:space="0" w:color="auto"/>
            </w:tcBorders>
          </w:tcPr>
          <w:p w14:paraId="0086A2E2" w14:textId="77777777" w:rsidR="009F4766" w:rsidRPr="00DE12A3" w:rsidRDefault="009F4766" w:rsidP="00C917D6">
            <w:pPr>
              <w:pStyle w:val="NormalLeft"/>
              <w:rPr>
                <w:sz w:val="14"/>
                <w:szCs w:val="14"/>
              </w:rPr>
            </w:pPr>
            <w:r w:rsidRPr="00DE12A3">
              <w:rPr>
                <w:sz w:val="14"/>
                <w:szCs w:val="14"/>
              </w:rPr>
              <w:t>1,352</w:t>
            </w:r>
          </w:p>
        </w:tc>
        <w:tc>
          <w:tcPr>
            <w:tcW w:w="464" w:type="dxa"/>
            <w:tcBorders>
              <w:top w:val="single" w:sz="2" w:space="0" w:color="auto"/>
              <w:left w:val="single" w:sz="2" w:space="0" w:color="auto"/>
              <w:bottom w:val="single" w:sz="2" w:space="0" w:color="auto"/>
              <w:right w:val="single" w:sz="2" w:space="0" w:color="auto"/>
            </w:tcBorders>
          </w:tcPr>
          <w:p w14:paraId="482365E2" w14:textId="77777777" w:rsidR="009F4766" w:rsidRPr="00DE12A3" w:rsidRDefault="009F4766" w:rsidP="00C917D6">
            <w:pPr>
              <w:pStyle w:val="NormalLeft"/>
              <w:rPr>
                <w:sz w:val="14"/>
                <w:szCs w:val="14"/>
              </w:rPr>
            </w:pPr>
            <w:r w:rsidRPr="00DE12A3">
              <w:rPr>
                <w:sz w:val="14"/>
                <w:szCs w:val="14"/>
              </w:rPr>
              <w:t>1,254</w:t>
            </w:r>
          </w:p>
        </w:tc>
      </w:tr>
      <w:tr w:rsidR="009F4766" w:rsidRPr="00DE12A3" w14:paraId="46B32C5F" w14:textId="77777777" w:rsidTr="009F4766">
        <w:tc>
          <w:tcPr>
            <w:tcW w:w="464" w:type="dxa"/>
            <w:tcBorders>
              <w:top w:val="single" w:sz="2" w:space="0" w:color="auto"/>
              <w:left w:val="single" w:sz="2" w:space="0" w:color="auto"/>
              <w:bottom w:val="single" w:sz="2" w:space="0" w:color="auto"/>
              <w:right w:val="single" w:sz="2" w:space="0" w:color="auto"/>
            </w:tcBorders>
          </w:tcPr>
          <w:p w14:paraId="0A94E3DB" w14:textId="77777777" w:rsidR="009F4766" w:rsidRPr="00DE12A3" w:rsidRDefault="009F4766" w:rsidP="00C917D6">
            <w:pPr>
              <w:pStyle w:val="NormalLeft"/>
              <w:rPr>
                <w:sz w:val="14"/>
                <w:szCs w:val="14"/>
              </w:rPr>
            </w:pPr>
            <w:r w:rsidRPr="00DE12A3">
              <w:rPr>
                <w:sz w:val="14"/>
                <w:szCs w:val="14"/>
              </w:rPr>
              <w:t>1000+</w:t>
            </w:r>
          </w:p>
        </w:tc>
        <w:tc>
          <w:tcPr>
            <w:tcW w:w="465" w:type="dxa"/>
            <w:tcBorders>
              <w:top w:val="single" w:sz="2" w:space="0" w:color="auto"/>
              <w:left w:val="single" w:sz="2" w:space="0" w:color="auto"/>
              <w:bottom w:val="single" w:sz="2" w:space="0" w:color="auto"/>
              <w:right w:val="single" w:sz="2" w:space="0" w:color="auto"/>
            </w:tcBorders>
          </w:tcPr>
          <w:p w14:paraId="0CF5F24C" w14:textId="77777777" w:rsidR="009F4766" w:rsidRPr="00DE12A3" w:rsidRDefault="009F4766" w:rsidP="00C917D6">
            <w:pPr>
              <w:pStyle w:val="NormalLeft"/>
              <w:rPr>
                <w:sz w:val="14"/>
                <w:szCs w:val="14"/>
              </w:rPr>
            </w:pPr>
            <w:r w:rsidRPr="00DE12A3">
              <w:rPr>
                <w:sz w:val="14"/>
                <w:szCs w:val="14"/>
              </w:rPr>
              <w:t>3,842</w:t>
            </w:r>
          </w:p>
        </w:tc>
        <w:tc>
          <w:tcPr>
            <w:tcW w:w="464" w:type="dxa"/>
            <w:tcBorders>
              <w:top w:val="single" w:sz="2" w:space="0" w:color="auto"/>
              <w:left w:val="single" w:sz="2" w:space="0" w:color="auto"/>
              <w:bottom w:val="single" w:sz="2" w:space="0" w:color="auto"/>
              <w:right w:val="single" w:sz="2" w:space="0" w:color="auto"/>
            </w:tcBorders>
          </w:tcPr>
          <w:p w14:paraId="525D07C1" w14:textId="77777777" w:rsidR="009F4766" w:rsidRPr="00DE12A3" w:rsidRDefault="009F4766" w:rsidP="00C917D6">
            <w:pPr>
              <w:pStyle w:val="NormalLeft"/>
              <w:rPr>
                <w:sz w:val="14"/>
                <w:szCs w:val="14"/>
              </w:rPr>
            </w:pPr>
            <w:r w:rsidRPr="00DE12A3">
              <w:rPr>
                <w:sz w:val="14"/>
                <w:szCs w:val="14"/>
              </w:rPr>
              <w:t>2,996</w:t>
            </w:r>
          </w:p>
        </w:tc>
        <w:tc>
          <w:tcPr>
            <w:tcW w:w="464" w:type="dxa"/>
            <w:tcBorders>
              <w:top w:val="single" w:sz="2" w:space="0" w:color="auto"/>
              <w:left w:val="single" w:sz="2" w:space="0" w:color="auto"/>
              <w:bottom w:val="single" w:sz="2" w:space="0" w:color="auto"/>
              <w:right w:val="single" w:sz="2" w:space="0" w:color="auto"/>
            </w:tcBorders>
          </w:tcPr>
          <w:p w14:paraId="55FF4F27" w14:textId="77777777" w:rsidR="009F4766" w:rsidRPr="00DE12A3" w:rsidRDefault="009F4766" w:rsidP="00C917D6">
            <w:pPr>
              <w:pStyle w:val="NormalLeft"/>
              <w:rPr>
                <w:sz w:val="14"/>
                <w:szCs w:val="14"/>
              </w:rPr>
            </w:pPr>
            <w:r w:rsidRPr="00DE12A3">
              <w:rPr>
                <w:sz w:val="14"/>
                <w:szCs w:val="14"/>
              </w:rPr>
              <w:t>2,605</w:t>
            </w:r>
          </w:p>
        </w:tc>
        <w:tc>
          <w:tcPr>
            <w:tcW w:w="465" w:type="dxa"/>
            <w:tcBorders>
              <w:top w:val="single" w:sz="2" w:space="0" w:color="auto"/>
              <w:left w:val="single" w:sz="2" w:space="0" w:color="auto"/>
              <w:bottom w:val="single" w:sz="2" w:space="0" w:color="auto"/>
              <w:right w:val="single" w:sz="2" w:space="0" w:color="auto"/>
            </w:tcBorders>
          </w:tcPr>
          <w:p w14:paraId="3E8C756B" w14:textId="77777777" w:rsidR="009F4766" w:rsidRPr="00DE12A3" w:rsidRDefault="009F4766" w:rsidP="00C917D6">
            <w:pPr>
              <w:pStyle w:val="NormalLeft"/>
              <w:rPr>
                <w:sz w:val="14"/>
                <w:szCs w:val="14"/>
              </w:rPr>
            </w:pPr>
            <w:r w:rsidRPr="00DE12A3">
              <w:rPr>
                <w:sz w:val="14"/>
                <w:szCs w:val="14"/>
              </w:rPr>
              <w:t>2,372</w:t>
            </w:r>
          </w:p>
        </w:tc>
        <w:tc>
          <w:tcPr>
            <w:tcW w:w="464" w:type="dxa"/>
            <w:tcBorders>
              <w:top w:val="single" w:sz="2" w:space="0" w:color="auto"/>
              <w:left w:val="single" w:sz="2" w:space="0" w:color="auto"/>
              <w:bottom w:val="single" w:sz="2" w:space="0" w:color="auto"/>
              <w:right w:val="single" w:sz="2" w:space="0" w:color="auto"/>
            </w:tcBorders>
          </w:tcPr>
          <w:p w14:paraId="2D815314" w14:textId="77777777" w:rsidR="009F4766" w:rsidRPr="00DE12A3" w:rsidRDefault="009F4766" w:rsidP="00C917D6">
            <w:pPr>
              <w:pStyle w:val="NormalLeft"/>
              <w:rPr>
                <w:sz w:val="14"/>
                <w:szCs w:val="14"/>
              </w:rPr>
            </w:pPr>
            <w:r w:rsidRPr="00DE12A3">
              <w:rPr>
                <w:sz w:val="14"/>
                <w:szCs w:val="14"/>
              </w:rPr>
              <w:t>2,214</w:t>
            </w:r>
          </w:p>
        </w:tc>
        <w:tc>
          <w:tcPr>
            <w:tcW w:w="464" w:type="dxa"/>
            <w:tcBorders>
              <w:top w:val="single" w:sz="2" w:space="0" w:color="auto"/>
              <w:left w:val="single" w:sz="2" w:space="0" w:color="auto"/>
              <w:bottom w:val="single" w:sz="2" w:space="0" w:color="auto"/>
              <w:right w:val="single" w:sz="2" w:space="0" w:color="auto"/>
            </w:tcBorders>
          </w:tcPr>
          <w:p w14:paraId="555CEB80" w14:textId="77777777" w:rsidR="009F4766" w:rsidRPr="00DE12A3" w:rsidRDefault="009F4766" w:rsidP="00C917D6">
            <w:pPr>
              <w:pStyle w:val="NormalLeft"/>
              <w:rPr>
                <w:sz w:val="14"/>
                <w:szCs w:val="14"/>
              </w:rPr>
            </w:pPr>
            <w:r w:rsidRPr="00DE12A3">
              <w:rPr>
                <w:sz w:val="14"/>
                <w:szCs w:val="14"/>
              </w:rPr>
              <w:t>2,099</w:t>
            </w:r>
          </w:p>
        </w:tc>
        <w:tc>
          <w:tcPr>
            <w:tcW w:w="464" w:type="dxa"/>
            <w:tcBorders>
              <w:top w:val="single" w:sz="2" w:space="0" w:color="auto"/>
              <w:left w:val="single" w:sz="2" w:space="0" w:color="auto"/>
              <w:bottom w:val="single" w:sz="2" w:space="0" w:color="auto"/>
              <w:right w:val="single" w:sz="2" w:space="0" w:color="auto"/>
            </w:tcBorders>
          </w:tcPr>
          <w:p w14:paraId="68C3610B" w14:textId="77777777" w:rsidR="009F4766" w:rsidRPr="00DE12A3" w:rsidRDefault="009F4766" w:rsidP="00C917D6">
            <w:pPr>
              <w:pStyle w:val="NormalLeft"/>
              <w:rPr>
                <w:sz w:val="14"/>
                <w:szCs w:val="14"/>
              </w:rPr>
            </w:pPr>
            <w:r w:rsidRPr="00DE12A3">
              <w:rPr>
                <w:sz w:val="14"/>
                <w:szCs w:val="14"/>
              </w:rPr>
              <w:t>2,010</w:t>
            </w:r>
          </w:p>
        </w:tc>
        <w:tc>
          <w:tcPr>
            <w:tcW w:w="465" w:type="dxa"/>
            <w:tcBorders>
              <w:top w:val="single" w:sz="2" w:space="0" w:color="auto"/>
              <w:left w:val="single" w:sz="2" w:space="0" w:color="auto"/>
              <w:bottom w:val="single" w:sz="2" w:space="0" w:color="auto"/>
              <w:right w:val="single" w:sz="2" w:space="0" w:color="auto"/>
            </w:tcBorders>
          </w:tcPr>
          <w:p w14:paraId="2A6ED124" w14:textId="77777777" w:rsidR="009F4766" w:rsidRPr="00DE12A3" w:rsidRDefault="009F4766" w:rsidP="00C917D6">
            <w:pPr>
              <w:pStyle w:val="NormalLeft"/>
              <w:rPr>
                <w:sz w:val="14"/>
                <w:szCs w:val="14"/>
              </w:rPr>
            </w:pPr>
            <w:r w:rsidRPr="00DE12A3">
              <w:rPr>
                <w:sz w:val="14"/>
                <w:szCs w:val="14"/>
              </w:rPr>
              <w:t>1,938</w:t>
            </w:r>
          </w:p>
        </w:tc>
        <w:tc>
          <w:tcPr>
            <w:tcW w:w="464" w:type="dxa"/>
            <w:tcBorders>
              <w:top w:val="single" w:sz="2" w:space="0" w:color="auto"/>
              <w:left w:val="single" w:sz="2" w:space="0" w:color="auto"/>
              <w:bottom w:val="single" w:sz="2" w:space="0" w:color="auto"/>
              <w:right w:val="single" w:sz="2" w:space="0" w:color="auto"/>
            </w:tcBorders>
          </w:tcPr>
          <w:p w14:paraId="785A2C5D" w14:textId="77777777" w:rsidR="009F4766" w:rsidRPr="00DE12A3" w:rsidRDefault="009F4766" w:rsidP="00C917D6">
            <w:pPr>
              <w:pStyle w:val="NormalLeft"/>
              <w:rPr>
                <w:sz w:val="14"/>
                <w:szCs w:val="14"/>
              </w:rPr>
            </w:pPr>
            <w:r w:rsidRPr="00DE12A3">
              <w:rPr>
                <w:sz w:val="14"/>
                <w:szCs w:val="14"/>
              </w:rPr>
              <w:t>1,880</w:t>
            </w:r>
          </w:p>
        </w:tc>
        <w:tc>
          <w:tcPr>
            <w:tcW w:w="464" w:type="dxa"/>
            <w:tcBorders>
              <w:top w:val="single" w:sz="2" w:space="0" w:color="auto"/>
              <w:left w:val="single" w:sz="2" w:space="0" w:color="auto"/>
              <w:bottom w:val="single" w:sz="2" w:space="0" w:color="auto"/>
              <w:right w:val="single" w:sz="2" w:space="0" w:color="auto"/>
            </w:tcBorders>
          </w:tcPr>
          <w:p w14:paraId="3664E745" w14:textId="77777777" w:rsidR="009F4766" w:rsidRPr="00DE12A3" w:rsidRDefault="009F4766" w:rsidP="00C917D6">
            <w:pPr>
              <w:pStyle w:val="NormalLeft"/>
              <w:rPr>
                <w:sz w:val="14"/>
                <w:szCs w:val="14"/>
              </w:rPr>
            </w:pPr>
            <w:r w:rsidRPr="00DE12A3">
              <w:rPr>
                <w:sz w:val="14"/>
                <w:szCs w:val="14"/>
              </w:rPr>
              <w:t>1,831</w:t>
            </w:r>
          </w:p>
        </w:tc>
        <w:tc>
          <w:tcPr>
            <w:tcW w:w="465" w:type="dxa"/>
            <w:tcBorders>
              <w:top w:val="single" w:sz="2" w:space="0" w:color="auto"/>
              <w:left w:val="single" w:sz="2" w:space="0" w:color="auto"/>
              <w:bottom w:val="single" w:sz="2" w:space="0" w:color="auto"/>
              <w:right w:val="single" w:sz="2" w:space="0" w:color="auto"/>
            </w:tcBorders>
          </w:tcPr>
          <w:p w14:paraId="580902BA" w14:textId="77777777" w:rsidR="009F4766" w:rsidRPr="00DE12A3" w:rsidRDefault="009F4766" w:rsidP="00C917D6">
            <w:pPr>
              <w:pStyle w:val="NormalLeft"/>
              <w:rPr>
                <w:sz w:val="14"/>
                <w:szCs w:val="14"/>
              </w:rPr>
            </w:pPr>
            <w:r w:rsidRPr="00DE12A3">
              <w:rPr>
                <w:sz w:val="14"/>
                <w:szCs w:val="14"/>
              </w:rPr>
              <w:t>1,752</w:t>
            </w:r>
          </w:p>
        </w:tc>
        <w:tc>
          <w:tcPr>
            <w:tcW w:w="464" w:type="dxa"/>
            <w:tcBorders>
              <w:top w:val="single" w:sz="2" w:space="0" w:color="auto"/>
              <w:left w:val="single" w:sz="2" w:space="0" w:color="auto"/>
              <w:bottom w:val="single" w:sz="2" w:space="0" w:color="auto"/>
              <w:right w:val="single" w:sz="2" w:space="0" w:color="auto"/>
            </w:tcBorders>
          </w:tcPr>
          <w:p w14:paraId="6CBA9067" w14:textId="77777777" w:rsidR="009F4766" w:rsidRPr="00DE12A3" w:rsidRDefault="009F4766" w:rsidP="00C917D6">
            <w:pPr>
              <w:pStyle w:val="NormalLeft"/>
              <w:rPr>
                <w:sz w:val="14"/>
                <w:szCs w:val="14"/>
              </w:rPr>
            </w:pPr>
            <w:r w:rsidRPr="00DE12A3">
              <w:rPr>
                <w:sz w:val="14"/>
                <w:szCs w:val="14"/>
              </w:rPr>
              <w:t>1,666</w:t>
            </w:r>
          </w:p>
        </w:tc>
        <w:tc>
          <w:tcPr>
            <w:tcW w:w="464" w:type="dxa"/>
            <w:tcBorders>
              <w:top w:val="single" w:sz="2" w:space="0" w:color="auto"/>
              <w:left w:val="single" w:sz="2" w:space="0" w:color="auto"/>
              <w:bottom w:val="single" w:sz="2" w:space="0" w:color="auto"/>
              <w:right w:val="single" w:sz="2" w:space="0" w:color="auto"/>
            </w:tcBorders>
          </w:tcPr>
          <w:p w14:paraId="4C42C2C4" w14:textId="77777777" w:rsidR="009F4766" w:rsidRPr="00DE12A3" w:rsidRDefault="009F4766" w:rsidP="00C917D6">
            <w:pPr>
              <w:pStyle w:val="NormalLeft"/>
              <w:rPr>
                <w:sz w:val="14"/>
                <w:szCs w:val="14"/>
              </w:rPr>
            </w:pPr>
            <w:r w:rsidRPr="00DE12A3">
              <w:rPr>
                <w:sz w:val="14"/>
                <w:szCs w:val="14"/>
              </w:rPr>
              <w:t>1,571</w:t>
            </w:r>
          </w:p>
        </w:tc>
        <w:tc>
          <w:tcPr>
            <w:tcW w:w="465" w:type="dxa"/>
            <w:tcBorders>
              <w:top w:val="single" w:sz="2" w:space="0" w:color="auto"/>
              <w:left w:val="single" w:sz="2" w:space="0" w:color="auto"/>
              <w:bottom w:val="single" w:sz="2" w:space="0" w:color="auto"/>
              <w:right w:val="single" w:sz="2" w:space="0" w:color="auto"/>
            </w:tcBorders>
          </w:tcPr>
          <w:p w14:paraId="3836C314" w14:textId="77777777" w:rsidR="009F4766" w:rsidRPr="00DE12A3" w:rsidRDefault="009F4766" w:rsidP="00C917D6">
            <w:pPr>
              <w:pStyle w:val="NormalLeft"/>
              <w:rPr>
                <w:sz w:val="14"/>
                <w:szCs w:val="14"/>
              </w:rPr>
            </w:pPr>
            <w:r w:rsidRPr="00DE12A3">
              <w:rPr>
                <w:sz w:val="14"/>
                <w:szCs w:val="14"/>
              </w:rPr>
              <w:t>1,517</w:t>
            </w:r>
          </w:p>
        </w:tc>
        <w:tc>
          <w:tcPr>
            <w:tcW w:w="464" w:type="dxa"/>
            <w:tcBorders>
              <w:top w:val="single" w:sz="2" w:space="0" w:color="auto"/>
              <w:left w:val="single" w:sz="2" w:space="0" w:color="auto"/>
              <w:bottom w:val="single" w:sz="2" w:space="0" w:color="auto"/>
              <w:right w:val="single" w:sz="2" w:space="0" w:color="auto"/>
            </w:tcBorders>
          </w:tcPr>
          <w:p w14:paraId="27E6A2FE" w14:textId="77777777" w:rsidR="009F4766" w:rsidRPr="00DE12A3" w:rsidRDefault="009F4766" w:rsidP="00C917D6">
            <w:pPr>
              <w:pStyle w:val="NormalLeft"/>
              <w:rPr>
                <w:sz w:val="14"/>
                <w:szCs w:val="14"/>
              </w:rPr>
            </w:pPr>
            <w:r w:rsidRPr="00DE12A3">
              <w:rPr>
                <w:sz w:val="14"/>
                <w:szCs w:val="14"/>
              </w:rPr>
              <w:t>1,459</w:t>
            </w:r>
          </w:p>
        </w:tc>
        <w:tc>
          <w:tcPr>
            <w:tcW w:w="464" w:type="dxa"/>
            <w:tcBorders>
              <w:top w:val="single" w:sz="2" w:space="0" w:color="auto"/>
              <w:left w:val="single" w:sz="2" w:space="0" w:color="auto"/>
              <w:bottom w:val="single" w:sz="2" w:space="0" w:color="auto"/>
              <w:right w:val="single" w:sz="2" w:space="0" w:color="auto"/>
            </w:tcBorders>
          </w:tcPr>
          <w:p w14:paraId="5607C41D" w14:textId="77777777" w:rsidR="009F4766" w:rsidRPr="00DE12A3" w:rsidRDefault="009F4766" w:rsidP="00C917D6">
            <w:pPr>
              <w:pStyle w:val="NormalLeft"/>
              <w:rPr>
                <w:sz w:val="14"/>
                <w:szCs w:val="14"/>
              </w:rPr>
            </w:pPr>
            <w:r w:rsidRPr="00DE12A3">
              <w:rPr>
                <w:sz w:val="14"/>
                <w:szCs w:val="14"/>
              </w:rPr>
              <w:t>1,394</w:t>
            </w:r>
          </w:p>
        </w:tc>
        <w:tc>
          <w:tcPr>
            <w:tcW w:w="464" w:type="dxa"/>
            <w:tcBorders>
              <w:top w:val="single" w:sz="2" w:space="0" w:color="auto"/>
              <w:left w:val="single" w:sz="2" w:space="0" w:color="auto"/>
              <w:bottom w:val="single" w:sz="2" w:space="0" w:color="auto"/>
              <w:right w:val="single" w:sz="2" w:space="0" w:color="auto"/>
            </w:tcBorders>
          </w:tcPr>
          <w:p w14:paraId="02FB5E36" w14:textId="77777777" w:rsidR="009F4766" w:rsidRPr="00DE12A3" w:rsidRDefault="009F4766" w:rsidP="00C917D6">
            <w:pPr>
              <w:pStyle w:val="NormalLeft"/>
              <w:rPr>
                <w:sz w:val="14"/>
                <w:szCs w:val="14"/>
              </w:rPr>
            </w:pPr>
            <w:r w:rsidRPr="00DE12A3">
              <w:rPr>
                <w:sz w:val="14"/>
                <w:szCs w:val="14"/>
              </w:rPr>
              <w:t>1,318</w:t>
            </w:r>
          </w:p>
        </w:tc>
        <w:tc>
          <w:tcPr>
            <w:tcW w:w="465" w:type="dxa"/>
            <w:tcBorders>
              <w:top w:val="single" w:sz="2" w:space="0" w:color="auto"/>
              <w:left w:val="single" w:sz="2" w:space="0" w:color="auto"/>
              <w:bottom w:val="single" w:sz="2" w:space="0" w:color="auto"/>
              <w:right w:val="single" w:sz="2" w:space="0" w:color="auto"/>
            </w:tcBorders>
          </w:tcPr>
          <w:p w14:paraId="0059F0A6" w14:textId="77777777" w:rsidR="009F4766" w:rsidRPr="00DE12A3" w:rsidRDefault="009F4766" w:rsidP="00C917D6">
            <w:pPr>
              <w:pStyle w:val="NormalLeft"/>
              <w:rPr>
                <w:sz w:val="14"/>
                <w:szCs w:val="14"/>
              </w:rPr>
            </w:pPr>
            <w:r w:rsidRPr="00DE12A3">
              <w:rPr>
                <w:sz w:val="14"/>
                <w:szCs w:val="14"/>
              </w:rPr>
              <w:t>1,221</w:t>
            </w:r>
          </w:p>
        </w:tc>
        <w:tc>
          <w:tcPr>
            <w:tcW w:w="464" w:type="dxa"/>
            <w:tcBorders>
              <w:top w:val="single" w:sz="2" w:space="0" w:color="auto"/>
              <w:left w:val="single" w:sz="2" w:space="0" w:color="auto"/>
              <w:bottom w:val="single" w:sz="2" w:space="0" w:color="auto"/>
              <w:right w:val="single" w:sz="2" w:space="0" w:color="auto"/>
            </w:tcBorders>
          </w:tcPr>
          <w:p w14:paraId="1571B82C" w14:textId="77777777" w:rsidR="009F4766" w:rsidRPr="00DE12A3" w:rsidRDefault="009F4766" w:rsidP="00C917D6">
            <w:pPr>
              <w:pStyle w:val="NormalLeft"/>
              <w:rPr>
                <w:sz w:val="14"/>
                <w:szCs w:val="14"/>
              </w:rPr>
            </w:pPr>
            <w:r w:rsidRPr="00DE12A3">
              <w:rPr>
                <w:sz w:val="14"/>
                <w:szCs w:val="14"/>
              </w:rPr>
              <w:t>1,000</w:t>
            </w:r>
          </w:p>
        </w:tc>
      </w:tr>
    </w:tbl>
    <w:p w14:paraId="62BA1186" w14:textId="77777777" w:rsidR="00580FD5" w:rsidRPr="00DE12A3" w:rsidRDefault="00580FD5" w:rsidP="00051047">
      <w:pPr>
        <w:rPr>
          <w:color w:val="auto"/>
        </w:rPr>
      </w:pPr>
    </w:p>
    <w:p w14:paraId="173F39CB" w14:textId="2D2DE506" w:rsidR="00580FD5" w:rsidRPr="00DE12A3" w:rsidRDefault="0098134A" w:rsidP="00C917D6">
      <w:pPr>
        <w:pStyle w:val="Text2"/>
        <w:ind w:left="1134" w:hanging="1134"/>
        <w:rPr>
          <w:b/>
        </w:rPr>
      </w:pPr>
      <w:r w:rsidRPr="00DE12A3">
        <w:rPr>
          <w:b/>
          <w:bCs/>
        </w:rPr>
        <w:t>6</w:t>
      </w:r>
      <w:r w:rsidR="00580FD5" w:rsidRPr="00DE12A3">
        <w:rPr>
          <w:b/>
          <w:bCs/>
        </w:rPr>
        <w:t>.</w:t>
      </w:r>
      <w:r w:rsidR="0004697B" w:rsidRPr="00DE12A3">
        <w:rPr>
          <w:b/>
          <w:bCs/>
        </w:rPr>
        <w:t xml:space="preserve"> </w:t>
      </w:r>
      <w:r w:rsidR="00580FD5" w:rsidRPr="00DE12A3">
        <w:rPr>
          <w:b/>
        </w:rPr>
        <w:t>Eğim</w:t>
      </w:r>
    </w:p>
    <w:p w14:paraId="6F98DABD" w14:textId="05821F9F" w:rsidR="00580FD5" w:rsidRPr="00DE12A3" w:rsidRDefault="00580FD5" w:rsidP="00C917D6">
      <w:pPr>
        <w:pStyle w:val="Text2"/>
        <w:ind w:left="1134" w:hanging="1134"/>
      </w:pPr>
      <w:r w:rsidRPr="00DE12A3">
        <w:t xml:space="preserve">En küçük kareler regresyon eğimi </w:t>
      </w:r>
      <w:r w:rsidR="0098134A" w:rsidRPr="00DE12A3">
        <w:rPr>
          <w:i/>
          <w:iCs/>
        </w:rPr>
        <w:t>a</w:t>
      </w:r>
      <w:r w:rsidR="0098134A" w:rsidRPr="00DE12A3">
        <w:rPr>
          <w:vertAlign w:val="subscript"/>
        </w:rPr>
        <w:t>1y</w:t>
      </w:r>
      <w:r w:rsidRPr="00DE12A3">
        <w:t xml:space="preserve"> (7-162) </w:t>
      </w:r>
      <w:r w:rsidR="005C6D9F" w:rsidRPr="00DE12A3">
        <w:t>numaralı</w:t>
      </w:r>
      <w:r w:rsidR="005C6D9F" w:rsidRPr="00DE12A3" w:rsidDel="005C6D9F">
        <w:t xml:space="preserve"> </w:t>
      </w:r>
      <w:r w:rsidRPr="00DE12A3">
        <w:t xml:space="preserve">denklem ile </w:t>
      </w:r>
      <w:r w:rsidR="00B56A0A" w:rsidRPr="00DE12A3">
        <w:t>hesaplanmalıdır :</w:t>
      </w:r>
    </w:p>
    <w:p w14:paraId="560C7520" w14:textId="77777777" w:rsidR="009F4766" w:rsidRPr="00DE12A3" w:rsidRDefault="009F4766" w:rsidP="00C917D6">
      <w:pPr>
        <w:spacing w:before="120" w:after="120"/>
        <w:rPr>
          <w:rFonts w:cs="Times New Roman"/>
          <w:color w:val="auto"/>
        </w:rPr>
      </w:pPr>
    </w:p>
    <w:tbl>
      <w:tblPr>
        <w:tblW w:w="0" w:type="auto"/>
        <w:jc w:val="center"/>
        <w:tblLayout w:type="fixed"/>
        <w:tblLook w:val="0000" w:firstRow="0" w:lastRow="0" w:firstColumn="0" w:lastColumn="0" w:noHBand="0" w:noVBand="0"/>
      </w:tblPr>
      <w:tblGrid>
        <w:gridCol w:w="5266"/>
        <w:gridCol w:w="1571"/>
      </w:tblGrid>
      <w:tr w:rsidR="009F4766" w:rsidRPr="00DE12A3" w14:paraId="640C1B39" w14:textId="77777777" w:rsidTr="001A234D">
        <w:trPr>
          <w:trHeight w:val="1486"/>
          <w:jc w:val="center"/>
        </w:trPr>
        <w:tc>
          <w:tcPr>
            <w:tcW w:w="5266" w:type="dxa"/>
          </w:tcPr>
          <w:p w14:paraId="36F63F31" w14:textId="25C2275B" w:rsidR="009F4766" w:rsidRPr="00DE12A3" w:rsidRDefault="009F4766" w:rsidP="00C917D6">
            <w:pPr>
              <w:pStyle w:val="NormalLeft"/>
            </w:pPr>
            <w:r w:rsidRPr="00DE12A3">
              <w:rPr>
                <w:noProof/>
                <w:lang w:val="tr-TR"/>
              </w:rPr>
              <w:drawing>
                <wp:inline distT="0" distB="0" distL="0" distR="0" wp14:anchorId="1F9DCF10" wp14:editId="041D64F2">
                  <wp:extent cx="3083169" cy="791210"/>
                  <wp:effectExtent l="0" t="0" r="3175" b="8890"/>
                  <wp:docPr id="2046" name="Resim 20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233">
                            <a:extLst>
                              <a:ext uri="{28A0092B-C50C-407E-A947-70E740481C1C}">
                                <a14:useLocalDpi xmlns:a14="http://schemas.microsoft.com/office/drawing/2010/main" val="0"/>
                              </a:ext>
                            </a:extLst>
                          </a:blip>
                          <a:srcRect/>
                          <a:stretch>
                            <a:fillRect/>
                          </a:stretch>
                        </pic:blipFill>
                        <pic:spPr bwMode="auto">
                          <a:xfrm>
                            <a:off x="0" y="0"/>
                            <a:ext cx="3091964" cy="793467"/>
                          </a:xfrm>
                          <a:prstGeom prst="rect">
                            <a:avLst/>
                          </a:prstGeom>
                          <a:noFill/>
                          <a:ln>
                            <a:noFill/>
                          </a:ln>
                        </pic:spPr>
                      </pic:pic>
                    </a:graphicData>
                  </a:graphic>
                </wp:inline>
              </w:drawing>
            </w:r>
          </w:p>
        </w:tc>
        <w:tc>
          <w:tcPr>
            <w:tcW w:w="1571" w:type="dxa"/>
          </w:tcPr>
          <w:p w14:paraId="1FE30A3A" w14:textId="77777777" w:rsidR="009F4766" w:rsidRPr="00DE12A3" w:rsidRDefault="009F4766" w:rsidP="00C917D6">
            <w:pPr>
              <w:pStyle w:val="NormalLeft"/>
            </w:pPr>
            <w:r w:rsidRPr="00DE12A3">
              <w:t>(7-162)</w:t>
            </w:r>
          </w:p>
        </w:tc>
      </w:tr>
    </w:tbl>
    <w:p w14:paraId="3F7D56D6" w14:textId="77777777" w:rsidR="009F4766" w:rsidRPr="00DE12A3" w:rsidRDefault="009F4766" w:rsidP="00C917D6">
      <w:pPr>
        <w:spacing w:before="120" w:after="120"/>
        <w:rPr>
          <w:rFonts w:cs="Times New Roman"/>
          <w:color w:val="auto"/>
        </w:rPr>
      </w:pPr>
    </w:p>
    <w:p w14:paraId="4679369E" w14:textId="4971CCA1" w:rsidR="0098134A" w:rsidRPr="00DE12A3" w:rsidRDefault="0098134A" w:rsidP="00C917D6">
      <w:pPr>
        <w:spacing w:before="120" w:after="120"/>
        <w:rPr>
          <w:rFonts w:cs="Times New Roman"/>
          <w:b/>
          <w:color w:val="auto"/>
        </w:rPr>
      </w:pPr>
      <w:r w:rsidRPr="00DE12A3">
        <w:rPr>
          <w:rFonts w:cs="Times New Roman"/>
          <w:b/>
          <w:bCs/>
          <w:color w:val="auto"/>
        </w:rPr>
        <w:t>7.</w:t>
      </w:r>
      <w:r w:rsidR="0004697B" w:rsidRPr="00DE12A3">
        <w:rPr>
          <w:rFonts w:cs="Times New Roman"/>
          <w:b/>
          <w:bCs/>
          <w:color w:val="auto"/>
        </w:rPr>
        <w:t xml:space="preserve"> </w:t>
      </w:r>
      <w:r w:rsidRPr="00DE12A3">
        <w:rPr>
          <w:rFonts w:cs="Times New Roman"/>
          <w:b/>
          <w:color w:val="auto"/>
        </w:rPr>
        <w:t>Kesişim</w:t>
      </w:r>
    </w:p>
    <w:p w14:paraId="3331344D" w14:textId="6C03DCD2" w:rsidR="0098134A" w:rsidRPr="00DE12A3" w:rsidRDefault="0098134A" w:rsidP="00C917D6">
      <w:pPr>
        <w:spacing w:before="120" w:after="120"/>
        <w:rPr>
          <w:rFonts w:cs="Times New Roman"/>
          <w:color w:val="auto"/>
        </w:rPr>
      </w:pPr>
      <w:r w:rsidRPr="00DE12A3">
        <w:rPr>
          <w:rFonts w:cs="Times New Roman"/>
          <w:color w:val="auto"/>
        </w:rPr>
        <w:t xml:space="preserve">En küçük kareler regresyon kesişimi </w:t>
      </w:r>
      <w:r w:rsidRPr="00DE12A3">
        <w:rPr>
          <w:rFonts w:cs="Times New Roman"/>
          <w:i/>
          <w:iCs/>
          <w:color w:val="auto"/>
        </w:rPr>
        <w:t>a</w:t>
      </w:r>
      <w:r w:rsidRPr="00DE12A3">
        <w:rPr>
          <w:rFonts w:cs="Times New Roman"/>
          <w:color w:val="auto"/>
          <w:vertAlign w:val="subscript"/>
        </w:rPr>
        <w:t>0y</w:t>
      </w:r>
      <w:r w:rsidRPr="00DE12A3">
        <w:rPr>
          <w:rFonts w:cs="Times New Roman"/>
          <w:color w:val="auto"/>
        </w:rPr>
        <w:t xml:space="preserve"> , (7-163) </w:t>
      </w:r>
      <w:r w:rsidR="005C6D9F" w:rsidRPr="00DE12A3">
        <w:rPr>
          <w:color w:val="auto"/>
        </w:rPr>
        <w:t>numaralı</w:t>
      </w:r>
      <w:r w:rsidR="005C6D9F" w:rsidRPr="00DE12A3" w:rsidDel="005C6D9F">
        <w:rPr>
          <w:rFonts w:cs="Times New Roman"/>
          <w:color w:val="auto"/>
        </w:rPr>
        <w:t xml:space="preserve"> </w:t>
      </w:r>
      <w:r w:rsidRPr="00DE12A3">
        <w:rPr>
          <w:rFonts w:cs="Times New Roman"/>
          <w:color w:val="auto"/>
        </w:rPr>
        <w:t>denklem ile hesaplanmalıdır:</w:t>
      </w:r>
    </w:p>
    <w:p w14:paraId="01B02CD7" w14:textId="77777777" w:rsidR="009F4766" w:rsidRPr="00DE12A3" w:rsidRDefault="009F4766" w:rsidP="00C917D6">
      <w:pPr>
        <w:spacing w:before="120" w:after="120"/>
        <w:rPr>
          <w:rFonts w:cs="Times New Roman"/>
          <w:color w:val="auto"/>
        </w:rPr>
      </w:pPr>
    </w:p>
    <w:tbl>
      <w:tblPr>
        <w:tblW w:w="0" w:type="auto"/>
        <w:jc w:val="center"/>
        <w:tblLayout w:type="fixed"/>
        <w:tblLook w:val="0000" w:firstRow="0" w:lastRow="0" w:firstColumn="0" w:lastColumn="0" w:noHBand="0" w:noVBand="0"/>
      </w:tblPr>
      <w:tblGrid>
        <w:gridCol w:w="3374"/>
        <w:gridCol w:w="2157"/>
      </w:tblGrid>
      <w:tr w:rsidR="00DE12A3" w:rsidRPr="00DE12A3" w14:paraId="63D870AB" w14:textId="77777777" w:rsidTr="001A234D">
        <w:trPr>
          <w:trHeight w:val="921"/>
          <w:jc w:val="center"/>
        </w:trPr>
        <w:tc>
          <w:tcPr>
            <w:tcW w:w="3374" w:type="dxa"/>
          </w:tcPr>
          <w:p w14:paraId="5EB4F6CA" w14:textId="333D58A0" w:rsidR="009F4766" w:rsidRPr="00DE12A3" w:rsidRDefault="009F4766" w:rsidP="00C917D6">
            <w:pPr>
              <w:pStyle w:val="NormalLeft"/>
            </w:pPr>
            <w:r w:rsidRPr="00DE12A3">
              <w:rPr>
                <w:noProof/>
                <w:lang w:val="tr-TR"/>
              </w:rPr>
              <w:drawing>
                <wp:inline distT="0" distB="0" distL="0" distR="0" wp14:anchorId="76B63A01" wp14:editId="47DC2B01">
                  <wp:extent cx="1963615" cy="346075"/>
                  <wp:effectExtent l="0" t="0" r="0" b="0"/>
                  <wp:docPr id="2045" name="Resim 20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234">
                            <a:extLst>
                              <a:ext uri="{28A0092B-C50C-407E-A947-70E740481C1C}">
                                <a14:useLocalDpi xmlns:a14="http://schemas.microsoft.com/office/drawing/2010/main" val="0"/>
                              </a:ext>
                            </a:extLst>
                          </a:blip>
                          <a:srcRect/>
                          <a:stretch>
                            <a:fillRect/>
                          </a:stretch>
                        </pic:blipFill>
                        <pic:spPr bwMode="auto">
                          <a:xfrm>
                            <a:off x="0" y="0"/>
                            <a:ext cx="1966100" cy="346513"/>
                          </a:xfrm>
                          <a:prstGeom prst="rect">
                            <a:avLst/>
                          </a:prstGeom>
                          <a:noFill/>
                          <a:ln>
                            <a:noFill/>
                          </a:ln>
                        </pic:spPr>
                      </pic:pic>
                    </a:graphicData>
                  </a:graphic>
                </wp:inline>
              </w:drawing>
            </w:r>
          </w:p>
        </w:tc>
        <w:tc>
          <w:tcPr>
            <w:tcW w:w="2157" w:type="dxa"/>
          </w:tcPr>
          <w:p w14:paraId="5F6C968C" w14:textId="77777777" w:rsidR="009F4766" w:rsidRPr="00DE12A3" w:rsidRDefault="009F4766" w:rsidP="00C917D6">
            <w:pPr>
              <w:pStyle w:val="NormalLeft"/>
            </w:pPr>
            <w:r w:rsidRPr="00DE12A3">
              <w:t>(7-163)</w:t>
            </w:r>
          </w:p>
        </w:tc>
      </w:tr>
    </w:tbl>
    <w:p w14:paraId="01673AF9" w14:textId="6713A361" w:rsidR="0098134A" w:rsidRPr="00DE12A3" w:rsidRDefault="0098134A" w:rsidP="00C917D6">
      <w:pPr>
        <w:spacing w:before="120" w:after="120"/>
        <w:rPr>
          <w:rFonts w:cs="Times New Roman"/>
          <w:color w:val="auto"/>
        </w:rPr>
      </w:pPr>
      <w:r w:rsidRPr="00DE12A3">
        <w:rPr>
          <w:rFonts w:cs="Times New Roman"/>
          <w:b/>
          <w:bCs/>
          <w:color w:val="auto"/>
        </w:rPr>
        <w:t>8.</w:t>
      </w:r>
      <w:r w:rsidR="0004697B" w:rsidRPr="00DE12A3">
        <w:rPr>
          <w:rFonts w:cs="Times New Roman"/>
          <w:b/>
          <w:bCs/>
          <w:color w:val="auto"/>
        </w:rPr>
        <w:t xml:space="preserve"> </w:t>
      </w:r>
      <w:r w:rsidRPr="00DE12A3">
        <w:rPr>
          <w:rFonts w:cs="Times New Roman"/>
          <w:b/>
          <w:color w:val="auto"/>
        </w:rPr>
        <w:t>Standart tahmin hatası</w:t>
      </w:r>
    </w:p>
    <w:p w14:paraId="704E16AE" w14:textId="6B3B4EC0" w:rsidR="009F4766" w:rsidRPr="00DE12A3" w:rsidRDefault="0098134A" w:rsidP="00C917D6">
      <w:pPr>
        <w:spacing w:before="120" w:after="120"/>
        <w:rPr>
          <w:rFonts w:cs="Times New Roman"/>
          <w:color w:val="auto"/>
        </w:rPr>
      </w:pPr>
      <w:r w:rsidRPr="00DE12A3">
        <w:rPr>
          <w:rFonts w:cs="Times New Roman"/>
          <w:color w:val="auto"/>
        </w:rPr>
        <w:t xml:space="preserve">Standart tahmin hatası SEE, (7-164) </w:t>
      </w:r>
      <w:r w:rsidR="005C6D9F" w:rsidRPr="00DE12A3">
        <w:rPr>
          <w:color w:val="auto"/>
        </w:rPr>
        <w:t>numaralı</w:t>
      </w:r>
      <w:r w:rsidR="005C6D9F" w:rsidRPr="00DE12A3" w:rsidDel="005C6D9F">
        <w:rPr>
          <w:rFonts w:cs="Times New Roman"/>
          <w:color w:val="auto"/>
        </w:rPr>
        <w:t xml:space="preserve"> </w:t>
      </w:r>
      <w:r w:rsidRPr="00DE12A3">
        <w:rPr>
          <w:rFonts w:cs="Times New Roman"/>
          <w:color w:val="auto"/>
        </w:rPr>
        <w:t>denklem ile hesaplanmalıdır:</w:t>
      </w:r>
    </w:p>
    <w:p w14:paraId="7EC90233" w14:textId="77777777" w:rsidR="009F4766" w:rsidRPr="00DE12A3" w:rsidRDefault="009F4766" w:rsidP="00C917D6">
      <w:pPr>
        <w:spacing w:before="120" w:after="120"/>
        <w:rPr>
          <w:rFonts w:cs="Times New Roman"/>
          <w:color w:val="auto"/>
        </w:rPr>
      </w:pPr>
    </w:p>
    <w:tbl>
      <w:tblPr>
        <w:tblW w:w="0" w:type="auto"/>
        <w:jc w:val="center"/>
        <w:tblLayout w:type="fixed"/>
        <w:tblLook w:val="0000" w:firstRow="0" w:lastRow="0" w:firstColumn="0" w:lastColumn="0" w:noHBand="0" w:noVBand="0"/>
      </w:tblPr>
      <w:tblGrid>
        <w:gridCol w:w="4680"/>
        <w:gridCol w:w="1644"/>
      </w:tblGrid>
      <w:tr w:rsidR="009F4766" w:rsidRPr="00DE12A3" w14:paraId="70EE5C8A" w14:textId="77777777" w:rsidTr="001A234D">
        <w:trPr>
          <w:trHeight w:val="1486"/>
          <w:jc w:val="center"/>
        </w:trPr>
        <w:tc>
          <w:tcPr>
            <w:tcW w:w="4680" w:type="dxa"/>
          </w:tcPr>
          <w:p w14:paraId="006666FA" w14:textId="60B76210" w:rsidR="009F4766" w:rsidRPr="00DE12A3" w:rsidRDefault="009F4766" w:rsidP="00C917D6">
            <w:pPr>
              <w:pStyle w:val="NormalLeft"/>
            </w:pPr>
            <w:r w:rsidRPr="00DE12A3">
              <w:rPr>
                <w:noProof/>
                <w:lang w:val="tr-TR"/>
              </w:rPr>
              <w:drawing>
                <wp:inline distT="0" distB="0" distL="0" distR="0" wp14:anchorId="646A9BE7" wp14:editId="68EBE540">
                  <wp:extent cx="2760785" cy="832485"/>
                  <wp:effectExtent l="0" t="0" r="1905" b="5715"/>
                  <wp:docPr id="2044" name="Resim 20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235">
                            <a:extLst>
                              <a:ext uri="{28A0092B-C50C-407E-A947-70E740481C1C}">
                                <a14:useLocalDpi xmlns:a14="http://schemas.microsoft.com/office/drawing/2010/main" val="0"/>
                              </a:ext>
                            </a:extLst>
                          </a:blip>
                          <a:srcRect/>
                          <a:stretch>
                            <a:fillRect/>
                          </a:stretch>
                        </pic:blipFill>
                        <pic:spPr bwMode="auto">
                          <a:xfrm>
                            <a:off x="0" y="0"/>
                            <a:ext cx="2771339" cy="835667"/>
                          </a:xfrm>
                          <a:prstGeom prst="rect">
                            <a:avLst/>
                          </a:prstGeom>
                          <a:noFill/>
                          <a:ln>
                            <a:noFill/>
                          </a:ln>
                        </pic:spPr>
                      </pic:pic>
                    </a:graphicData>
                  </a:graphic>
                </wp:inline>
              </w:drawing>
            </w:r>
          </w:p>
        </w:tc>
        <w:tc>
          <w:tcPr>
            <w:tcW w:w="1644" w:type="dxa"/>
          </w:tcPr>
          <w:p w14:paraId="73892F74" w14:textId="77777777" w:rsidR="009F4766" w:rsidRPr="00DE12A3" w:rsidRDefault="009F4766" w:rsidP="00C917D6">
            <w:pPr>
              <w:pStyle w:val="NormalLeft"/>
            </w:pPr>
            <w:r w:rsidRPr="00DE12A3">
              <w:t>(7-164)</w:t>
            </w:r>
          </w:p>
        </w:tc>
      </w:tr>
    </w:tbl>
    <w:p w14:paraId="03611BD6" w14:textId="77777777" w:rsidR="009F4766" w:rsidRPr="00DE12A3" w:rsidRDefault="009F4766" w:rsidP="00C917D6">
      <w:pPr>
        <w:spacing w:before="120" w:after="120"/>
        <w:rPr>
          <w:rFonts w:cs="Times New Roman"/>
          <w:color w:val="auto"/>
        </w:rPr>
      </w:pPr>
    </w:p>
    <w:p w14:paraId="3F75A467" w14:textId="19099555" w:rsidR="0098134A" w:rsidRPr="00DE12A3" w:rsidRDefault="0098134A" w:rsidP="0004697B">
      <w:pPr>
        <w:rPr>
          <w:b/>
          <w:bCs/>
          <w:color w:val="auto"/>
        </w:rPr>
      </w:pPr>
      <w:r w:rsidRPr="00DE12A3">
        <w:rPr>
          <w:b/>
          <w:bCs/>
          <w:color w:val="auto"/>
        </w:rPr>
        <w:t>9.</w:t>
      </w:r>
      <w:r w:rsidR="0004697B" w:rsidRPr="00DE12A3">
        <w:rPr>
          <w:b/>
          <w:bCs/>
          <w:color w:val="auto"/>
        </w:rPr>
        <w:t xml:space="preserve"> </w:t>
      </w:r>
      <w:r w:rsidRPr="00DE12A3">
        <w:rPr>
          <w:b/>
          <w:bCs/>
          <w:color w:val="auto"/>
        </w:rPr>
        <w:t>Belirleme katsayısı</w:t>
      </w:r>
    </w:p>
    <w:p w14:paraId="15C1EB49" w14:textId="77777777" w:rsidR="0004697B" w:rsidRPr="00DE12A3" w:rsidRDefault="0004697B" w:rsidP="0004697B">
      <w:pPr>
        <w:rPr>
          <w:color w:val="auto"/>
        </w:rPr>
      </w:pPr>
    </w:p>
    <w:p w14:paraId="1F30DE15" w14:textId="5D491103" w:rsidR="0098134A" w:rsidRPr="00DE12A3" w:rsidRDefault="0098134A" w:rsidP="0004697B">
      <w:pPr>
        <w:rPr>
          <w:color w:val="auto"/>
        </w:rPr>
      </w:pPr>
      <w:r w:rsidRPr="00DE12A3">
        <w:rPr>
          <w:color w:val="auto"/>
        </w:rPr>
        <w:t>Belirleme katsayısı r</w:t>
      </w:r>
      <w:r w:rsidRPr="00DE12A3">
        <w:rPr>
          <w:color w:val="auto"/>
          <w:vertAlign w:val="superscript"/>
        </w:rPr>
        <w:t>2</w:t>
      </w:r>
      <w:r w:rsidRPr="00DE12A3">
        <w:rPr>
          <w:color w:val="auto"/>
        </w:rPr>
        <w:t xml:space="preserve">, (7-165) </w:t>
      </w:r>
      <w:r w:rsidR="005C6D9F" w:rsidRPr="00DE12A3">
        <w:rPr>
          <w:color w:val="auto"/>
        </w:rPr>
        <w:t>numaralı</w:t>
      </w:r>
      <w:r w:rsidR="005C6D9F" w:rsidRPr="00DE12A3" w:rsidDel="005C6D9F">
        <w:rPr>
          <w:color w:val="auto"/>
        </w:rPr>
        <w:t xml:space="preserve"> </w:t>
      </w:r>
      <w:r w:rsidRPr="00DE12A3">
        <w:rPr>
          <w:color w:val="auto"/>
        </w:rPr>
        <w:t>denklem ile hesaplanmalıdır:</w:t>
      </w:r>
    </w:p>
    <w:p w14:paraId="30C49D3A" w14:textId="77777777" w:rsidR="009F4766" w:rsidRPr="00DE12A3" w:rsidRDefault="009F4766" w:rsidP="00C917D6">
      <w:pPr>
        <w:spacing w:before="120" w:after="120"/>
        <w:rPr>
          <w:rFonts w:cs="Times New Roman"/>
          <w:color w:val="auto"/>
        </w:rPr>
      </w:pPr>
    </w:p>
    <w:tbl>
      <w:tblPr>
        <w:tblW w:w="0" w:type="auto"/>
        <w:jc w:val="center"/>
        <w:tblLayout w:type="fixed"/>
        <w:tblLook w:val="0000" w:firstRow="0" w:lastRow="0" w:firstColumn="0" w:lastColumn="0" w:noHBand="0" w:noVBand="0"/>
      </w:tblPr>
      <w:tblGrid>
        <w:gridCol w:w="5117"/>
        <w:gridCol w:w="1617"/>
      </w:tblGrid>
      <w:tr w:rsidR="009F4766" w:rsidRPr="00DE12A3" w14:paraId="0267C0A5" w14:textId="77777777" w:rsidTr="001A234D">
        <w:trPr>
          <w:trHeight w:val="1577"/>
          <w:jc w:val="center"/>
        </w:trPr>
        <w:tc>
          <w:tcPr>
            <w:tcW w:w="5117" w:type="dxa"/>
          </w:tcPr>
          <w:p w14:paraId="01D08C7F" w14:textId="5DCEA778" w:rsidR="009F4766" w:rsidRPr="00DE12A3" w:rsidRDefault="009F4766" w:rsidP="00C917D6">
            <w:pPr>
              <w:pStyle w:val="NormalLeft"/>
            </w:pPr>
            <w:r w:rsidRPr="00DE12A3">
              <w:rPr>
                <w:noProof/>
                <w:lang w:val="tr-TR"/>
              </w:rPr>
              <w:drawing>
                <wp:inline distT="0" distB="0" distL="0" distR="0" wp14:anchorId="3CC6BD83" wp14:editId="2F612EB2">
                  <wp:extent cx="3100754" cy="791210"/>
                  <wp:effectExtent l="0" t="0" r="4445" b="8890"/>
                  <wp:docPr id="2043" name="Resim 20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236">
                            <a:extLst>
                              <a:ext uri="{28A0092B-C50C-407E-A947-70E740481C1C}">
                                <a14:useLocalDpi xmlns:a14="http://schemas.microsoft.com/office/drawing/2010/main" val="0"/>
                              </a:ext>
                            </a:extLst>
                          </a:blip>
                          <a:srcRect/>
                          <a:stretch>
                            <a:fillRect/>
                          </a:stretch>
                        </pic:blipFill>
                        <pic:spPr bwMode="auto">
                          <a:xfrm>
                            <a:off x="0" y="0"/>
                            <a:ext cx="3104295" cy="792114"/>
                          </a:xfrm>
                          <a:prstGeom prst="rect">
                            <a:avLst/>
                          </a:prstGeom>
                          <a:noFill/>
                          <a:ln>
                            <a:noFill/>
                          </a:ln>
                        </pic:spPr>
                      </pic:pic>
                    </a:graphicData>
                  </a:graphic>
                </wp:inline>
              </w:drawing>
            </w:r>
          </w:p>
        </w:tc>
        <w:tc>
          <w:tcPr>
            <w:tcW w:w="1617" w:type="dxa"/>
          </w:tcPr>
          <w:p w14:paraId="38AA901F" w14:textId="77777777" w:rsidR="009F4766" w:rsidRPr="00DE12A3" w:rsidRDefault="009F4766" w:rsidP="00C917D6">
            <w:pPr>
              <w:pStyle w:val="NormalLeft"/>
            </w:pPr>
            <w:r w:rsidRPr="00DE12A3">
              <w:t>(7-165)</w:t>
            </w:r>
          </w:p>
        </w:tc>
      </w:tr>
    </w:tbl>
    <w:p w14:paraId="61563A14" w14:textId="5F7EAAA3" w:rsidR="004E09D1" w:rsidRPr="00DE12A3" w:rsidRDefault="004E09D1" w:rsidP="00C917D6">
      <w:pPr>
        <w:spacing w:before="120" w:after="120"/>
        <w:rPr>
          <w:rFonts w:cs="Times New Roman"/>
          <w:color w:val="auto"/>
        </w:rPr>
      </w:pPr>
    </w:p>
    <w:p w14:paraId="19650AA1" w14:textId="77777777" w:rsidR="004E09D1" w:rsidRPr="00DE12A3" w:rsidRDefault="004E09D1">
      <w:pPr>
        <w:widowControl/>
        <w:rPr>
          <w:rFonts w:cs="Times New Roman"/>
          <w:color w:val="auto"/>
        </w:rPr>
      </w:pPr>
      <w:r w:rsidRPr="00DE12A3">
        <w:rPr>
          <w:rFonts w:cs="Times New Roman"/>
          <w:color w:val="auto"/>
        </w:rPr>
        <w:br w:type="page"/>
      </w:r>
    </w:p>
    <w:p w14:paraId="2857336A" w14:textId="77777777" w:rsidR="0098134A" w:rsidRPr="00DE12A3" w:rsidRDefault="0098134A" w:rsidP="004E09D1">
      <w:pPr>
        <w:pStyle w:val="Balk2"/>
        <w:rPr>
          <w:color w:val="auto"/>
        </w:rPr>
      </w:pPr>
      <w:r w:rsidRPr="00DE12A3">
        <w:rPr>
          <w:color w:val="auto"/>
        </w:rPr>
        <w:lastRenderedPageBreak/>
        <w:t>4. Açıklayıcı Ek</w:t>
      </w:r>
    </w:p>
    <w:p w14:paraId="0B48F533" w14:textId="77777777" w:rsidR="00AB2658" w:rsidRPr="00DE12A3" w:rsidRDefault="00AB2658" w:rsidP="0004697B">
      <w:pPr>
        <w:pStyle w:val="Annexetitreacte"/>
        <w:jc w:val="both"/>
        <w:rPr>
          <w:u w:val="none"/>
        </w:rPr>
      </w:pPr>
    </w:p>
    <w:p w14:paraId="345C2141" w14:textId="0BBDCC08" w:rsidR="0098134A" w:rsidRPr="00DE12A3" w:rsidRDefault="0098134A" w:rsidP="0004697B">
      <w:pPr>
        <w:pStyle w:val="Annexetitreacte"/>
        <w:jc w:val="both"/>
        <w:rPr>
          <w:u w:val="none"/>
        </w:rPr>
      </w:pPr>
      <w:r w:rsidRPr="00DE12A3">
        <w:rPr>
          <w:u w:val="none"/>
        </w:rPr>
        <w:t>1980 ULUSLARARASI YERÇEKİMİ FORMÜLÜ</w:t>
      </w:r>
    </w:p>
    <w:p w14:paraId="799EF90F" w14:textId="77777777" w:rsidR="00AB2658" w:rsidRPr="00DE12A3" w:rsidRDefault="00AB2658" w:rsidP="0004697B">
      <w:pPr>
        <w:pStyle w:val="Annexetitreacte"/>
        <w:jc w:val="both"/>
        <w:rPr>
          <w:b w:val="0"/>
          <w:u w:val="none"/>
        </w:rPr>
      </w:pPr>
    </w:p>
    <w:p w14:paraId="4D7499D9" w14:textId="571E8445" w:rsidR="0098134A" w:rsidRPr="00DE12A3" w:rsidRDefault="0098134A" w:rsidP="0004697B">
      <w:pPr>
        <w:pStyle w:val="Annexetitreacte"/>
        <w:jc w:val="both"/>
        <w:rPr>
          <w:b w:val="0"/>
          <w:u w:val="none"/>
        </w:rPr>
      </w:pPr>
      <w:r w:rsidRPr="00DE12A3">
        <w:rPr>
          <w:b w:val="0"/>
          <w:u w:val="none"/>
        </w:rPr>
        <w:t xml:space="preserve">Dünyanın yerçekimi ivmesi ag, konuma göre değişir ve ilgili enlem için </w:t>
      </w:r>
      <w:r w:rsidRPr="00DE12A3">
        <w:rPr>
          <w:i/>
          <w:iCs/>
        </w:rPr>
        <w:t>a</w:t>
      </w:r>
      <w:r w:rsidRPr="00DE12A3">
        <w:rPr>
          <w:vertAlign w:val="subscript"/>
        </w:rPr>
        <w:t>g</w:t>
      </w:r>
      <w:r w:rsidRPr="00DE12A3">
        <w:rPr>
          <w:b w:val="0"/>
          <w:u w:val="none"/>
        </w:rPr>
        <w:t xml:space="preserve"> (7-166) </w:t>
      </w:r>
      <w:r w:rsidR="005C6D9F" w:rsidRPr="00DE12A3">
        <w:rPr>
          <w:b w:val="0"/>
          <w:u w:val="none"/>
        </w:rPr>
        <w:t>numaralı</w:t>
      </w:r>
      <w:r w:rsidR="005C6D9F" w:rsidRPr="00DE12A3" w:rsidDel="005C6D9F">
        <w:rPr>
          <w:b w:val="0"/>
          <w:u w:val="none"/>
        </w:rPr>
        <w:t xml:space="preserve"> </w:t>
      </w:r>
      <w:r w:rsidRPr="00DE12A3">
        <w:rPr>
          <w:b w:val="0"/>
          <w:u w:val="none"/>
        </w:rPr>
        <w:t>denklem ile hesaplanmalıdır :</w:t>
      </w:r>
    </w:p>
    <w:p w14:paraId="0D3EEE81" w14:textId="77777777" w:rsidR="009F4766" w:rsidRPr="00DE12A3" w:rsidRDefault="009F4766" w:rsidP="0004697B">
      <w:pPr>
        <w:spacing w:before="120" w:after="120"/>
        <w:jc w:val="both"/>
        <w:rPr>
          <w:rFonts w:cs="Times New Roman"/>
          <w:color w:val="auto"/>
        </w:rPr>
      </w:pPr>
    </w:p>
    <w:tbl>
      <w:tblPr>
        <w:tblW w:w="0" w:type="auto"/>
        <w:tblLayout w:type="fixed"/>
        <w:tblLook w:val="0000" w:firstRow="0" w:lastRow="0" w:firstColumn="0" w:lastColumn="0" w:noHBand="0" w:noVBand="0"/>
      </w:tblPr>
      <w:tblGrid>
        <w:gridCol w:w="8265"/>
        <w:gridCol w:w="1021"/>
      </w:tblGrid>
      <w:tr w:rsidR="009F4766" w:rsidRPr="00DE12A3" w14:paraId="49F8BFF8" w14:textId="77777777" w:rsidTr="001A234D">
        <w:tc>
          <w:tcPr>
            <w:tcW w:w="8265" w:type="dxa"/>
          </w:tcPr>
          <w:p w14:paraId="42508814" w14:textId="77777777" w:rsidR="009F4766" w:rsidRPr="00DE12A3" w:rsidRDefault="009F4766" w:rsidP="00C917D6">
            <w:pPr>
              <w:pStyle w:val="NormalLeft"/>
            </w:pPr>
            <w:r w:rsidRPr="00DE12A3">
              <w:rPr>
                <w:i/>
                <w:iCs/>
              </w:rPr>
              <w:t>a</w:t>
            </w:r>
            <w:r w:rsidRPr="00DE12A3">
              <w:rPr>
                <w:i/>
                <w:iCs/>
                <w:vertAlign w:val="subscript"/>
              </w:rPr>
              <w:t>g</w:t>
            </w:r>
            <w:r w:rsidRPr="00DE12A3">
              <w:t xml:space="preserve"> = 9,7803267715 [1 + 5,2790414 × 10</w:t>
            </w:r>
            <w:r w:rsidRPr="00DE12A3">
              <w:rPr>
                <w:vertAlign w:val="superscript"/>
              </w:rPr>
              <w:t>– 3</w:t>
            </w:r>
            <w:r w:rsidRPr="00DE12A3">
              <w:t xml:space="preserve"> sin</w:t>
            </w:r>
            <w:r w:rsidRPr="00DE12A3">
              <w:rPr>
                <w:vertAlign w:val="superscript"/>
              </w:rPr>
              <w:t>2</w:t>
            </w:r>
            <w:r w:rsidRPr="00DE12A3">
              <w:rPr>
                <w:i/>
                <w:iCs/>
              </w:rPr>
              <w:t>θ</w:t>
            </w:r>
            <w:r w:rsidRPr="00DE12A3">
              <w:t xml:space="preserve"> + 2,32718 × 10</w:t>
            </w:r>
            <w:r w:rsidRPr="00DE12A3">
              <w:rPr>
                <w:vertAlign w:val="superscript"/>
              </w:rPr>
              <w:t>– 5</w:t>
            </w:r>
            <w:r w:rsidRPr="00DE12A3">
              <w:t xml:space="preserve"> sin</w:t>
            </w:r>
            <w:r w:rsidRPr="00DE12A3">
              <w:rPr>
                <w:vertAlign w:val="superscript"/>
              </w:rPr>
              <w:t>4</w:t>
            </w:r>
            <w:r w:rsidRPr="00DE12A3">
              <w:rPr>
                <w:i/>
                <w:iCs/>
              </w:rPr>
              <w:t>θ</w:t>
            </w:r>
            <w:r w:rsidRPr="00DE12A3">
              <w:t xml:space="preserve"> + 1,262 × 10</w:t>
            </w:r>
            <w:r w:rsidRPr="00DE12A3">
              <w:rPr>
                <w:vertAlign w:val="superscript"/>
              </w:rPr>
              <w:t>– 7</w:t>
            </w:r>
            <w:r w:rsidRPr="00DE12A3">
              <w:t xml:space="preserve"> sin</w:t>
            </w:r>
            <w:r w:rsidRPr="00DE12A3">
              <w:rPr>
                <w:vertAlign w:val="superscript"/>
              </w:rPr>
              <w:t>6</w:t>
            </w:r>
            <w:r w:rsidRPr="00DE12A3">
              <w:rPr>
                <w:i/>
                <w:iCs/>
              </w:rPr>
              <w:t>θ</w:t>
            </w:r>
            <w:r w:rsidRPr="00DE12A3">
              <w:t xml:space="preserve"> + 7 × 10</w:t>
            </w:r>
            <w:r w:rsidRPr="00DE12A3">
              <w:rPr>
                <w:vertAlign w:val="superscript"/>
              </w:rPr>
              <w:t>– 10</w:t>
            </w:r>
            <w:r w:rsidRPr="00DE12A3">
              <w:t xml:space="preserve"> sin</w:t>
            </w:r>
            <w:r w:rsidRPr="00DE12A3">
              <w:rPr>
                <w:vertAlign w:val="superscript"/>
              </w:rPr>
              <w:t>8</w:t>
            </w:r>
            <w:r w:rsidRPr="00DE12A3">
              <w:rPr>
                <w:i/>
                <w:iCs/>
              </w:rPr>
              <w:t>θ</w:t>
            </w:r>
            <w:r w:rsidRPr="00DE12A3">
              <w:t>]</w:t>
            </w:r>
          </w:p>
        </w:tc>
        <w:tc>
          <w:tcPr>
            <w:tcW w:w="1021" w:type="dxa"/>
          </w:tcPr>
          <w:p w14:paraId="26815078" w14:textId="77777777" w:rsidR="009F4766" w:rsidRPr="00DE12A3" w:rsidRDefault="009F4766" w:rsidP="00C917D6">
            <w:pPr>
              <w:pStyle w:val="NormalLeft"/>
            </w:pPr>
            <w:r w:rsidRPr="00DE12A3">
              <w:t>(7-166)</w:t>
            </w:r>
          </w:p>
        </w:tc>
      </w:tr>
    </w:tbl>
    <w:p w14:paraId="66E965A8" w14:textId="77777777" w:rsidR="009F4766" w:rsidRPr="00DE12A3" w:rsidRDefault="009F4766" w:rsidP="0004697B">
      <w:pPr>
        <w:spacing w:before="120" w:after="120"/>
        <w:jc w:val="both"/>
        <w:rPr>
          <w:rFonts w:cs="Times New Roman"/>
          <w:color w:val="auto"/>
        </w:rPr>
      </w:pPr>
    </w:p>
    <w:p w14:paraId="22EDD2B2" w14:textId="77777777" w:rsidR="009F4766" w:rsidRPr="00DE12A3" w:rsidRDefault="008B3D9F" w:rsidP="0004697B">
      <w:pPr>
        <w:spacing w:before="120" w:after="120"/>
        <w:jc w:val="both"/>
        <w:rPr>
          <w:rFonts w:cs="Times New Roman"/>
          <w:color w:val="auto"/>
        </w:rPr>
      </w:pPr>
      <w:r w:rsidRPr="00DE12A3">
        <w:rPr>
          <w:rFonts w:cs="Times New Roman"/>
          <w:color w:val="auto"/>
        </w:rPr>
        <w:t>Burada</w:t>
      </w:r>
      <w:r w:rsidR="009F4766" w:rsidRPr="00DE12A3">
        <w:rPr>
          <w:rFonts w:cs="Times New Roman"/>
          <w:color w:val="auto"/>
        </w:rPr>
        <w:t>:</w:t>
      </w:r>
    </w:p>
    <w:tbl>
      <w:tblPr>
        <w:tblW w:w="0" w:type="auto"/>
        <w:jc w:val="center"/>
        <w:tblLayout w:type="fixed"/>
        <w:tblLook w:val="0000" w:firstRow="0" w:lastRow="0" w:firstColumn="0" w:lastColumn="0" w:noHBand="0" w:noVBand="0"/>
      </w:tblPr>
      <w:tblGrid>
        <w:gridCol w:w="752"/>
        <w:gridCol w:w="813"/>
        <w:gridCol w:w="4698"/>
      </w:tblGrid>
      <w:tr w:rsidR="009F4766" w:rsidRPr="00DE12A3" w14:paraId="61AF52DB" w14:textId="77777777" w:rsidTr="001A234D">
        <w:trPr>
          <w:trHeight w:val="802"/>
          <w:jc w:val="center"/>
        </w:trPr>
        <w:tc>
          <w:tcPr>
            <w:tcW w:w="752" w:type="dxa"/>
          </w:tcPr>
          <w:p w14:paraId="18B8C963" w14:textId="77777777" w:rsidR="009F4766" w:rsidRPr="00DE12A3" w:rsidRDefault="009F4766" w:rsidP="00C917D6">
            <w:pPr>
              <w:pStyle w:val="NormalLeft"/>
            </w:pPr>
            <w:r w:rsidRPr="00DE12A3">
              <w:rPr>
                <w:i/>
                <w:iCs/>
              </w:rPr>
              <w:t>θ</w:t>
            </w:r>
          </w:p>
        </w:tc>
        <w:tc>
          <w:tcPr>
            <w:tcW w:w="813" w:type="dxa"/>
          </w:tcPr>
          <w:p w14:paraId="0412A2D3" w14:textId="77777777" w:rsidR="009F4766" w:rsidRPr="00DE12A3" w:rsidRDefault="009F4766" w:rsidP="00C917D6">
            <w:pPr>
              <w:pStyle w:val="NormalLeft"/>
            </w:pPr>
            <w:r w:rsidRPr="00DE12A3">
              <w:t>=</w:t>
            </w:r>
          </w:p>
        </w:tc>
        <w:tc>
          <w:tcPr>
            <w:tcW w:w="4698" w:type="dxa"/>
          </w:tcPr>
          <w:p w14:paraId="59FD338B" w14:textId="77777777" w:rsidR="009F4766" w:rsidRPr="00DE12A3" w:rsidRDefault="0098134A" w:rsidP="00C917D6">
            <w:pPr>
              <w:pStyle w:val="NormalLeft"/>
            </w:pPr>
            <w:r w:rsidRPr="00DE12A3">
              <w:t>Derece kuzey veya güney enlem</w:t>
            </w:r>
          </w:p>
        </w:tc>
      </w:tr>
    </w:tbl>
    <w:p w14:paraId="1E0A82F6" w14:textId="2805ED22" w:rsidR="004E09D1" w:rsidRPr="00DE12A3" w:rsidRDefault="004E09D1" w:rsidP="00C917D6">
      <w:pPr>
        <w:spacing w:before="120" w:after="120"/>
        <w:rPr>
          <w:rFonts w:cs="Times New Roman"/>
          <w:color w:val="auto"/>
        </w:rPr>
      </w:pPr>
    </w:p>
    <w:p w14:paraId="0666FFF5" w14:textId="77777777" w:rsidR="004E09D1" w:rsidRPr="00DE12A3" w:rsidRDefault="004E09D1">
      <w:pPr>
        <w:widowControl/>
        <w:rPr>
          <w:rFonts w:cs="Times New Roman"/>
          <w:color w:val="auto"/>
        </w:rPr>
      </w:pPr>
      <w:r w:rsidRPr="00DE12A3">
        <w:rPr>
          <w:rFonts w:cs="Times New Roman"/>
          <w:color w:val="auto"/>
        </w:rPr>
        <w:br w:type="page"/>
      </w:r>
    </w:p>
    <w:p w14:paraId="3199E62C" w14:textId="77777777" w:rsidR="0098134A" w:rsidRPr="00DE12A3" w:rsidRDefault="0098134A" w:rsidP="004E09D1">
      <w:pPr>
        <w:pStyle w:val="Balk2"/>
        <w:rPr>
          <w:color w:val="auto"/>
        </w:rPr>
      </w:pPr>
      <w:r w:rsidRPr="00DE12A3">
        <w:rPr>
          <w:color w:val="auto"/>
        </w:rPr>
        <w:lastRenderedPageBreak/>
        <w:t>5. Açıklayıcı Ek</w:t>
      </w:r>
    </w:p>
    <w:p w14:paraId="52A12964" w14:textId="77777777" w:rsidR="00AB2658" w:rsidRPr="00DE12A3" w:rsidRDefault="00AB2658" w:rsidP="00AB2658">
      <w:pPr>
        <w:pStyle w:val="Annexetitreacte"/>
        <w:jc w:val="left"/>
        <w:rPr>
          <w:u w:val="none"/>
        </w:rPr>
      </w:pPr>
    </w:p>
    <w:p w14:paraId="781FEB4A" w14:textId="3C4232BC" w:rsidR="0098134A" w:rsidRPr="00DE12A3" w:rsidRDefault="007E2039" w:rsidP="00AB2658">
      <w:pPr>
        <w:pStyle w:val="Annexetitreacte"/>
        <w:jc w:val="left"/>
        <w:rPr>
          <w:u w:val="none"/>
        </w:rPr>
      </w:pPr>
      <w:r w:rsidRPr="00DE12A3">
        <w:rPr>
          <w:u w:val="none"/>
        </w:rPr>
        <w:t xml:space="preserve">Partikül </w:t>
      </w:r>
      <w:r w:rsidR="0098134A" w:rsidRPr="00DE12A3">
        <w:rPr>
          <w:u w:val="none"/>
        </w:rPr>
        <w:t>sayısı hesaplaması</w:t>
      </w:r>
    </w:p>
    <w:p w14:paraId="7B9276C2" w14:textId="4B07662C" w:rsidR="0098134A" w:rsidRPr="00DE12A3" w:rsidRDefault="0098134A" w:rsidP="00C917D6">
      <w:pPr>
        <w:pStyle w:val="Annexetitreacte"/>
        <w:ind w:left="1134" w:hanging="1134"/>
        <w:jc w:val="left"/>
        <w:rPr>
          <w:u w:val="none"/>
        </w:rPr>
      </w:pPr>
      <w:r w:rsidRPr="00DE12A3">
        <w:rPr>
          <w:u w:val="none"/>
        </w:rPr>
        <w:t>1.</w:t>
      </w:r>
      <w:r w:rsidR="007D4F82" w:rsidRPr="00DE12A3">
        <w:rPr>
          <w:u w:val="none"/>
        </w:rPr>
        <w:t xml:space="preserve"> </w:t>
      </w:r>
      <w:r w:rsidR="007E2039" w:rsidRPr="00DE12A3">
        <w:rPr>
          <w:u w:val="none"/>
        </w:rPr>
        <w:t xml:space="preserve">Partikül </w:t>
      </w:r>
      <w:r w:rsidRPr="00DE12A3">
        <w:rPr>
          <w:u w:val="none"/>
        </w:rPr>
        <w:t>sayılarının belirlenmesi</w:t>
      </w:r>
    </w:p>
    <w:p w14:paraId="3CE2DA80" w14:textId="4FFF7237" w:rsidR="0098134A" w:rsidRPr="00DE12A3" w:rsidRDefault="0098134A" w:rsidP="00C917D6">
      <w:pPr>
        <w:pStyle w:val="Annexetitreacte"/>
        <w:ind w:left="1134" w:hanging="1134"/>
        <w:jc w:val="both"/>
        <w:rPr>
          <w:b w:val="0"/>
          <w:u w:val="none"/>
        </w:rPr>
      </w:pPr>
      <w:r w:rsidRPr="00DE12A3">
        <w:rPr>
          <w:b w:val="0"/>
          <w:u w:val="none"/>
        </w:rPr>
        <w:t>1.1.</w:t>
      </w:r>
      <w:r w:rsidR="007D4F82" w:rsidRPr="00DE12A3">
        <w:rPr>
          <w:b w:val="0"/>
          <w:u w:val="none"/>
        </w:rPr>
        <w:t xml:space="preserve"> </w:t>
      </w:r>
      <w:r w:rsidRPr="00DE12A3">
        <w:rPr>
          <w:b w:val="0"/>
          <w:u w:val="none"/>
        </w:rPr>
        <w:t>Zaman hizalama</w:t>
      </w:r>
    </w:p>
    <w:p w14:paraId="65E53B3C" w14:textId="4754C93B" w:rsidR="0098134A" w:rsidRPr="00DE12A3" w:rsidRDefault="0098134A" w:rsidP="007D4F82">
      <w:pPr>
        <w:pStyle w:val="Annexetitreacte"/>
        <w:jc w:val="both"/>
        <w:rPr>
          <w:b w:val="0"/>
          <w:u w:val="none"/>
        </w:rPr>
      </w:pPr>
      <w:r w:rsidRPr="00DE12A3">
        <w:rPr>
          <w:b w:val="0"/>
          <w:u w:val="none"/>
        </w:rPr>
        <w:t xml:space="preserve">Kısmi akışlı seyreltme sistemleri için, </w:t>
      </w:r>
      <w:r w:rsidR="007E2039" w:rsidRPr="00DE12A3">
        <w:rPr>
          <w:b w:val="0"/>
          <w:u w:val="none"/>
        </w:rPr>
        <w:t xml:space="preserve">partikül </w:t>
      </w:r>
      <w:r w:rsidRPr="00DE12A3">
        <w:rPr>
          <w:b w:val="0"/>
          <w:u w:val="none"/>
        </w:rPr>
        <w:t xml:space="preserve">sayısı örnekleme ve ölçüm sistemi içinde kalma süresi, </w:t>
      </w:r>
      <w:r w:rsidR="007E2039" w:rsidRPr="00DE12A3">
        <w:rPr>
          <w:b w:val="0"/>
          <w:u w:val="none"/>
        </w:rPr>
        <w:t xml:space="preserve">partikül </w:t>
      </w:r>
      <w:r w:rsidRPr="00DE12A3">
        <w:rPr>
          <w:b w:val="0"/>
          <w:u w:val="none"/>
        </w:rPr>
        <w:t xml:space="preserve">sayısı sinyalini test </w:t>
      </w:r>
      <w:r w:rsidR="00F310B5" w:rsidRPr="00DE12A3">
        <w:rPr>
          <w:b w:val="0"/>
          <w:u w:val="none"/>
        </w:rPr>
        <w:t>çevrimi</w:t>
      </w:r>
      <w:r w:rsidRPr="00DE12A3">
        <w:rPr>
          <w:b w:val="0"/>
          <w:u w:val="none"/>
        </w:rPr>
        <w:t xml:space="preserve"> ve </w:t>
      </w:r>
      <w:r w:rsidR="00FA0678" w:rsidRPr="00DE12A3">
        <w:rPr>
          <w:b w:val="0"/>
          <w:u w:val="none"/>
        </w:rPr>
        <w:t xml:space="preserve">VI’ncı </w:t>
      </w:r>
      <w:r w:rsidR="00592B0C" w:rsidRPr="00DE12A3">
        <w:rPr>
          <w:b w:val="0"/>
          <w:u w:val="none"/>
        </w:rPr>
        <w:t>E</w:t>
      </w:r>
      <w:r w:rsidR="00FA0678" w:rsidRPr="00DE12A3">
        <w:rPr>
          <w:b w:val="0"/>
          <w:u w:val="none"/>
        </w:rPr>
        <w:t>k</w:t>
      </w:r>
      <w:r w:rsidRPr="00DE12A3">
        <w:rPr>
          <w:b w:val="0"/>
          <w:u w:val="none"/>
        </w:rPr>
        <w:t xml:space="preserve">in 8.2.1.2 bendindeki prosedür uyarınca egzoz gazı kütle akış hızı ile zamana hizalanarak hesaba katılmalıdır. </w:t>
      </w:r>
      <w:r w:rsidR="007E2039" w:rsidRPr="00DE12A3">
        <w:rPr>
          <w:b w:val="0"/>
          <w:u w:val="none"/>
        </w:rPr>
        <w:t xml:space="preserve">Partikül </w:t>
      </w:r>
      <w:r w:rsidRPr="00DE12A3">
        <w:rPr>
          <w:b w:val="0"/>
          <w:u w:val="none"/>
        </w:rPr>
        <w:t xml:space="preserve">sayısı örnekleme ve ölçüm sisteminin dönüşüm süresi, </w:t>
      </w:r>
      <w:r w:rsidR="00FA0678" w:rsidRPr="00DE12A3">
        <w:rPr>
          <w:b w:val="0"/>
          <w:u w:val="none"/>
        </w:rPr>
        <w:t xml:space="preserve">VI’ncı </w:t>
      </w:r>
      <w:r w:rsidR="00BF5FC6" w:rsidRPr="00DE12A3">
        <w:rPr>
          <w:b w:val="0"/>
          <w:u w:val="none"/>
        </w:rPr>
        <w:t>E</w:t>
      </w:r>
      <w:r w:rsidR="00FA0678" w:rsidRPr="00DE12A3">
        <w:rPr>
          <w:b w:val="0"/>
          <w:u w:val="none"/>
        </w:rPr>
        <w:t>k</w:t>
      </w:r>
      <w:r w:rsidRPr="00DE12A3">
        <w:rPr>
          <w:b w:val="0"/>
          <w:u w:val="none"/>
        </w:rPr>
        <w:t xml:space="preserve">in </w:t>
      </w:r>
      <w:r w:rsidR="00FA0678" w:rsidRPr="00DE12A3">
        <w:rPr>
          <w:b w:val="0"/>
          <w:u w:val="none"/>
        </w:rPr>
        <w:t>1. Açıklayıcı Eki</w:t>
      </w:r>
      <w:r w:rsidR="00592B0C" w:rsidRPr="00DE12A3">
        <w:rPr>
          <w:b w:val="0"/>
          <w:u w:val="none"/>
        </w:rPr>
        <w:t>nde yer alan</w:t>
      </w:r>
      <w:r w:rsidRPr="00DE12A3">
        <w:rPr>
          <w:b w:val="0"/>
          <w:u w:val="none"/>
        </w:rPr>
        <w:t xml:space="preserve"> 2.1.3.7 bendi uyarınca belirlenmelidir.</w:t>
      </w:r>
    </w:p>
    <w:p w14:paraId="261E6BBA" w14:textId="588DCC60" w:rsidR="0098134A" w:rsidRPr="00DE12A3" w:rsidRDefault="0098134A" w:rsidP="007D4F82">
      <w:pPr>
        <w:pStyle w:val="Annexetitreacte"/>
        <w:jc w:val="both"/>
        <w:rPr>
          <w:b w:val="0"/>
          <w:u w:val="none"/>
        </w:rPr>
      </w:pPr>
      <w:r w:rsidRPr="00DE12A3">
        <w:rPr>
          <w:b w:val="0"/>
          <w:u w:val="none"/>
        </w:rPr>
        <w:t>1.2.</w:t>
      </w:r>
      <w:r w:rsidR="007D4F82" w:rsidRPr="00DE12A3">
        <w:rPr>
          <w:b w:val="0"/>
          <w:u w:val="none"/>
        </w:rPr>
        <w:t xml:space="preserve"> </w:t>
      </w:r>
      <w:r w:rsidRPr="00DE12A3">
        <w:rPr>
          <w:b w:val="0"/>
          <w:u w:val="none"/>
        </w:rPr>
        <w:t xml:space="preserve">Kısmi akışlı seyreltme sistemi ile süreksiz (NRTC ve LSI-NRTC) test </w:t>
      </w:r>
      <w:r w:rsidR="00F310B5" w:rsidRPr="00DE12A3">
        <w:rPr>
          <w:b w:val="0"/>
          <w:u w:val="none"/>
        </w:rPr>
        <w:t>çevrim</w:t>
      </w:r>
      <w:r w:rsidRPr="00DE12A3">
        <w:rPr>
          <w:b w:val="0"/>
          <w:u w:val="none"/>
        </w:rPr>
        <w:t xml:space="preserve">leri ve RMC için </w:t>
      </w:r>
      <w:r w:rsidR="007E2039" w:rsidRPr="00DE12A3">
        <w:rPr>
          <w:b w:val="0"/>
          <w:u w:val="none"/>
        </w:rPr>
        <w:t xml:space="preserve">partikül </w:t>
      </w:r>
      <w:r w:rsidRPr="00DE12A3">
        <w:rPr>
          <w:b w:val="0"/>
          <w:u w:val="none"/>
        </w:rPr>
        <w:t>sayılarının belirlenmesi</w:t>
      </w:r>
    </w:p>
    <w:p w14:paraId="78178CDE" w14:textId="1AB8B4ED" w:rsidR="0098134A" w:rsidRPr="00DE12A3" w:rsidRDefault="007E2039" w:rsidP="007D4F82">
      <w:pPr>
        <w:pStyle w:val="Annexetitreacte"/>
        <w:jc w:val="both"/>
        <w:rPr>
          <w:b w:val="0"/>
          <w:u w:val="none"/>
        </w:rPr>
      </w:pPr>
      <w:r w:rsidRPr="00DE12A3">
        <w:rPr>
          <w:b w:val="0"/>
          <w:u w:val="none"/>
        </w:rPr>
        <w:t xml:space="preserve">Partikül </w:t>
      </w:r>
      <w:r w:rsidR="0098134A" w:rsidRPr="00DE12A3">
        <w:rPr>
          <w:b w:val="0"/>
          <w:u w:val="none"/>
        </w:rPr>
        <w:t xml:space="preserve">sayılarının, </w:t>
      </w:r>
      <w:r w:rsidR="00FA0678" w:rsidRPr="00DE12A3">
        <w:rPr>
          <w:b w:val="0"/>
          <w:u w:val="none"/>
        </w:rPr>
        <w:t xml:space="preserve">VI’ncı </w:t>
      </w:r>
      <w:r w:rsidR="002F5BBD" w:rsidRPr="00DE12A3">
        <w:rPr>
          <w:b w:val="0"/>
          <w:u w:val="none"/>
        </w:rPr>
        <w:t>E</w:t>
      </w:r>
      <w:r w:rsidR="00FA0678" w:rsidRPr="00DE12A3">
        <w:rPr>
          <w:b w:val="0"/>
          <w:u w:val="none"/>
        </w:rPr>
        <w:t>k</w:t>
      </w:r>
      <w:r w:rsidR="0098134A" w:rsidRPr="00DE12A3">
        <w:rPr>
          <w:b w:val="0"/>
          <w:u w:val="none"/>
        </w:rPr>
        <w:t xml:space="preserve">in 9.2.3 bendinde belirtilen şartlar uyarınca bir kısmi akışlı seyreltme sistemi kullanılarak örneklenmesi durumunda, test </w:t>
      </w:r>
      <w:r w:rsidR="00F310B5" w:rsidRPr="00DE12A3">
        <w:rPr>
          <w:b w:val="0"/>
          <w:u w:val="none"/>
        </w:rPr>
        <w:t>çevrimi</w:t>
      </w:r>
      <w:r w:rsidR="0098134A" w:rsidRPr="00DE12A3">
        <w:rPr>
          <w:b w:val="0"/>
          <w:u w:val="none"/>
        </w:rPr>
        <w:t xml:space="preserve"> boyunca yayılan </w:t>
      </w:r>
      <w:r w:rsidRPr="00DE12A3">
        <w:rPr>
          <w:b w:val="0"/>
          <w:u w:val="none"/>
        </w:rPr>
        <w:t xml:space="preserve">partikül </w:t>
      </w:r>
      <w:r w:rsidR="0098134A" w:rsidRPr="00DE12A3">
        <w:rPr>
          <w:b w:val="0"/>
          <w:u w:val="none"/>
        </w:rPr>
        <w:t xml:space="preserve">sayısı (7-167) </w:t>
      </w:r>
      <w:r w:rsidR="005C6D9F" w:rsidRPr="00DE12A3">
        <w:rPr>
          <w:b w:val="0"/>
          <w:u w:val="none"/>
        </w:rPr>
        <w:t>numaralı</w:t>
      </w:r>
      <w:r w:rsidR="005C6D9F" w:rsidRPr="00DE12A3" w:rsidDel="005C6D9F">
        <w:rPr>
          <w:b w:val="0"/>
          <w:u w:val="none"/>
        </w:rPr>
        <w:t xml:space="preserve"> </w:t>
      </w:r>
      <w:r w:rsidR="0098134A" w:rsidRPr="00DE12A3">
        <w:rPr>
          <w:b w:val="0"/>
          <w:u w:val="none"/>
        </w:rPr>
        <w:t>denklem ile hesaplanmalıdır :</w:t>
      </w:r>
    </w:p>
    <w:p w14:paraId="3A8419BC" w14:textId="77777777" w:rsidR="0098134A" w:rsidRPr="00DE12A3" w:rsidRDefault="0098134A" w:rsidP="007D4F82">
      <w:pPr>
        <w:pStyle w:val="Annexetitreacte"/>
        <w:jc w:val="both"/>
        <w:rPr>
          <w:b w:val="0"/>
          <w:u w:val="none"/>
        </w:rPr>
      </w:pPr>
    </w:p>
    <w:tbl>
      <w:tblPr>
        <w:tblW w:w="6546" w:type="dxa"/>
        <w:jc w:val="center"/>
        <w:tblLayout w:type="fixed"/>
        <w:tblLook w:val="0000" w:firstRow="0" w:lastRow="0" w:firstColumn="0" w:lastColumn="0" w:noHBand="0" w:noVBand="0"/>
      </w:tblPr>
      <w:tblGrid>
        <w:gridCol w:w="4518"/>
        <w:gridCol w:w="2028"/>
      </w:tblGrid>
      <w:tr w:rsidR="009F4766" w:rsidRPr="00DE12A3" w14:paraId="46C86CBF" w14:textId="77777777" w:rsidTr="001A234D">
        <w:trPr>
          <w:trHeight w:val="1017"/>
          <w:jc w:val="center"/>
        </w:trPr>
        <w:tc>
          <w:tcPr>
            <w:tcW w:w="4518" w:type="dxa"/>
          </w:tcPr>
          <w:p w14:paraId="78DC0926" w14:textId="3B425CE5" w:rsidR="009F4766" w:rsidRPr="00DE12A3" w:rsidRDefault="009F4766" w:rsidP="00C917D6">
            <w:pPr>
              <w:pStyle w:val="NormalLeft"/>
            </w:pPr>
            <w:r w:rsidRPr="00DE12A3">
              <w:rPr>
                <w:noProof/>
                <w:lang w:val="tr-TR"/>
              </w:rPr>
              <w:drawing>
                <wp:inline distT="0" distB="0" distL="0" distR="0" wp14:anchorId="3E492FEA" wp14:editId="18C00844">
                  <wp:extent cx="2737485" cy="586105"/>
                  <wp:effectExtent l="0" t="0" r="5715" b="4445"/>
                  <wp:docPr id="2042" name="Resim 20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237">
                            <a:extLst>
                              <a:ext uri="{28A0092B-C50C-407E-A947-70E740481C1C}">
                                <a14:useLocalDpi xmlns:a14="http://schemas.microsoft.com/office/drawing/2010/main" val="0"/>
                              </a:ext>
                            </a:extLst>
                          </a:blip>
                          <a:srcRect/>
                          <a:stretch>
                            <a:fillRect/>
                          </a:stretch>
                        </pic:blipFill>
                        <pic:spPr bwMode="auto">
                          <a:xfrm>
                            <a:off x="0" y="0"/>
                            <a:ext cx="2737485" cy="586105"/>
                          </a:xfrm>
                          <a:prstGeom prst="rect">
                            <a:avLst/>
                          </a:prstGeom>
                          <a:noFill/>
                          <a:ln>
                            <a:noFill/>
                          </a:ln>
                        </pic:spPr>
                      </pic:pic>
                    </a:graphicData>
                  </a:graphic>
                </wp:inline>
              </w:drawing>
            </w:r>
          </w:p>
        </w:tc>
        <w:tc>
          <w:tcPr>
            <w:tcW w:w="2028" w:type="dxa"/>
          </w:tcPr>
          <w:p w14:paraId="2C57FE6D" w14:textId="77777777" w:rsidR="009F4766" w:rsidRPr="00DE12A3" w:rsidRDefault="009F4766" w:rsidP="00C917D6">
            <w:pPr>
              <w:pStyle w:val="NormalLeft"/>
            </w:pPr>
            <w:r w:rsidRPr="00DE12A3">
              <w:t>(7-167)</w:t>
            </w:r>
          </w:p>
        </w:tc>
      </w:tr>
    </w:tbl>
    <w:p w14:paraId="1200AA5D" w14:textId="77777777" w:rsidR="009F4766" w:rsidRPr="00DE12A3" w:rsidRDefault="009F4766" w:rsidP="00C917D6">
      <w:pPr>
        <w:spacing w:before="120" w:after="120"/>
        <w:rPr>
          <w:rFonts w:cs="Times New Roman"/>
          <w:color w:val="auto"/>
        </w:rPr>
      </w:pPr>
    </w:p>
    <w:p w14:paraId="3E94767F" w14:textId="77777777" w:rsidR="009F4766" w:rsidRPr="00DE12A3" w:rsidRDefault="008B3D9F" w:rsidP="00C917D6">
      <w:pPr>
        <w:spacing w:before="120" w:after="120"/>
        <w:rPr>
          <w:rFonts w:cs="Times New Roman"/>
          <w:color w:val="auto"/>
        </w:rPr>
      </w:pPr>
      <w:r w:rsidRPr="00DE12A3">
        <w:rPr>
          <w:rFonts w:cs="Times New Roman"/>
          <w:color w:val="auto"/>
        </w:rPr>
        <w:t>Burada</w:t>
      </w:r>
      <w:r w:rsidR="009F4766" w:rsidRPr="00DE12A3">
        <w:rPr>
          <w:rFonts w:cs="Times New Roman"/>
          <w:color w:val="auto"/>
        </w:rPr>
        <w:t>:</w:t>
      </w:r>
    </w:p>
    <w:tbl>
      <w:tblPr>
        <w:tblW w:w="0" w:type="auto"/>
        <w:tblLayout w:type="fixed"/>
        <w:tblLook w:val="0000" w:firstRow="0" w:lastRow="0" w:firstColumn="0" w:lastColumn="0" w:noHBand="0" w:noVBand="0"/>
      </w:tblPr>
      <w:tblGrid>
        <w:gridCol w:w="929"/>
        <w:gridCol w:w="464"/>
        <w:gridCol w:w="7893"/>
      </w:tblGrid>
      <w:tr w:rsidR="00DE12A3" w:rsidRPr="00DE12A3" w14:paraId="729A6E6A" w14:textId="77777777" w:rsidTr="006D7ADF">
        <w:tc>
          <w:tcPr>
            <w:tcW w:w="929" w:type="dxa"/>
          </w:tcPr>
          <w:p w14:paraId="6092AF44" w14:textId="77777777" w:rsidR="0098134A" w:rsidRPr="00DE12A3" w:rsidRDefault="0098134A" w:rsidP="00C917D6">
            <w:pPr>
              <w:pStyle w:val="NormalLeft"/>
            </w:pPr>
            <w:r w:rsidRPr="00DE12A3">
              <w:rPr>
                <w:i/>
                <w:iCs/>
              </w:rPr>
              <w:t>N</w:t>
            </w:r>
          </w:p>
        </w:tc>
        <w:tc>
          <w:tcPr>
            <w:tcW w:w="464" w:type="dxa"/>
          </w:tcPr>
          <w:p w14:paraId="765AA854" w14:textId="77777777" w:rsidR="0098134A" w:rsidRPr="00DE12A3" w:rsidRDefault="0098134A" w:rsidP="00C917D6">
            <w:pPr>
              <w:pStyle w:val="NormalLeft"/>
            </w:pPr>
          </w:p>
        </w:tc>
        <w:tc>
          <w:tcPr>
            <w:tcW w:w="7893" w:type="dxa"/>
          </w:tcPr>
          <w:p w14:paraId="0EF89C8C" w14:textId="3B01AF6E" w:rsidR="0098134A" w:rsidRPr="00DE12A3" w:rsidRDefault="006D7ADF" w:rsidP="00BA27F7">
            <w:pPr>
              <w:spacing w:before="120" w:after="120"/>
              <w:jc w:val="both"/>
              <w:rPr>
                <w:rFonts w:cs="Times New Roman"/>
                <w:color w:val="auto"/>
              </w:rPr>
            </w:pPr>
            <w:r w:rsidRPr="00DE12A3">
              <w:rPr>
                <w:rFonts w:cs="Times New Roman"/>
                <w:color w:val="auto"/>
              </w:rPr>
              <w:t>Test</w:t>
            </w:r>
            <w:r w:rsidR="0098134A" w:rsidRPr="00DE12A3">
              <w:rPr>
                <w:rFonts w:cs="Times New Roman"/>
                <w:color w:val="auto"/>
              </w:rPr>
              <w:t xml:space="preserve"> </w:t>
            </w:r>
            <w:r w:rsidR="00F310B5" w:rsidRPr="00DE12A3">
              <w:rPr>
                <w:rFonts w:cs="Times New Roman"/>
                <w:color w:val="auto"/>
              </w:rPr>
              <w:t>çevrimi</w:t>
            </w:r>
            <w:r w:rsidR="0098134A" w:rsidRPr="00DE12A3">
              <w:rPr>
                <w:rFonts w:cs="Times New Roman"/>
                <w:color w:val="auto"/>
              </w:rPr>
              <w:t xml:space="preserve"> boyunca yayılan </w:t>
            </w:r>
            <w:r w:rsidR="007E2039" w:rsidRPr="00DE12A3">
              <w:rPr>
                <w:rFonts w:cs="Times New Roman"/>
                <w:color w:val="auto"/>
              </w:rPr>
              <w:t xml:space="preserve">partikül </w:t>
            </w:r>
            <w:r w:rsidR="0098134A" w:rsidRPr="00DE12A3">
              <w:rPr>
                <w:rFonts w:cs="Times New Roman"/>
                <w:color w:val="auto"/>
              </w:rPr>
              <w:t>sayısıdır, [#/test]</w:t>
            </w:r>
            <w:r w:rsidR="00592B0C" w:rsidRPr="00DE12A3">
              <w:rPr>
                <w:rFonts w:cs="Times New Roman"/>
                <w:color w:val="auto"/>
              </w:rPr>
              <w:t>.</w:t>
            </w:r>
          </w:p>
        </w:tc>
      </w:tr>
      <w:tr w:rsidR="00DE12A3" w:rsidRPr="00DE12A3" w14:paraId="1D5EF395" w14:textId="77777777" w:rsidTr="006D7ADF">
        <w:tc>
          <w:tcPr>
            <w:tcW w:w="929" w:type="dxa"/>
          </w:tcPr>
          <w:p w14:paraId="298AC442" w14:textId="77777777" w:rsidR="0098134A" w:rsidRPr="00DE12A3" w:rsidRDefault="0098134A" w:rsidP="00C917D6">
            <w:pPr>
              <w:pStyle w:val="NormalLeft"/>
            </w:pPr>
            <w:r w:rsidRPr="00DE12A3">
              <w:rPr>
                <w:i/>
                <w:iCs/>
              </w:rPr>
              <w:t>m</w:t>
            </w:r>
            <w:r w:rsidRPr="00DE12A3">
              <w:rPr>
                <w:i/>
                <w:iCs/>
                <w:vertAlign w:val="subscript"/>
              </w:rPr>
              <w:t>edf</w:t>
            </w:r>
          </w:p>
        </w:tc>
        <w:tc>
          <w:tcPr>
            <w:tcW w:w="464" w:type="dxa"/>
          </w:tcPr>
          <w:p w14:paraId="4B97D33F" w14:textId="77777777" w:rsidR="0098134A" w:rsidRPr="00DE12A3" w:rsidRDefault="0098134A" w:rsidP="00C917D6">
            <w:pPr>
              <w:pStyle w:val="NormalLeft"/>
            </w:pPr>
          </w:p>
        </w:tc>
        <w:tc>
          <w:tcPr>
            <w:tcW w:w="7893" w:type="dxa"/>
          </w:tcPr>
          <w:p w14:paraId="1A8FE55D" w14:textId="7283D751" w:rsidR="0098134A" w:rsidRPr="00DE12A3" w:rsidRDefault="0098134A" w:rsidP="00BA27F7">
            <w:pPr>
              <w:spacing w:before="120" w:after="120"/>
              <w:jc w:val="both"/>
              <w:rPr>
                <w:rFonts w:cs="Times New Roman"/>
                <w:color w:val="auto"/>
              </w:rPr>
            </w:pPr>
            <w:r w:rsidRPr="00DE12A3">
              <w:rPr>
                <w:rFonts w:cs="Times New Roman"/>
                <w:color w:val="auto"/>
              </w:rPr>
              <w:t xml:space="preserve">(7-45) </w:t>
            </w:r>
            <w:r w:rsidR="005C6D9F" w:rsidRPr="00DE12A3">
              <w:rPr>
                <w:color w:val="auto"/>
              </w:rPr>
              <w:t>numaralı</w:t>
            </w:r>
            <w:r w:rsidR="005C6D9F" w:rsidRPr="00DE12A3" w:rsidDel="005C6D9F">
              <w:rPr>
                <w:rFonts w:cs="Times New Roman"/>
                <w:color w:val="auto"/>
              </w:rPr>
              <w:t xml:space="preserve"> </w:t>
            </w:r>
            <w:r w:rsidRPr="00DE12A3">
              <w:rPr>
                <w:rFonts w:cs="Times New Roman"/>
                <w:color w:val="auto"/>
              </w:rPr>
              <w:t>denklem (</w:t>
            </w:r>
            <w:r w:rsidR="00592B0C" w:rsidRPr="00DE12A3">
              <w:rPr>
                <w:rFonts w:cs="Times New Roman"/>
                <w:color w:val="auto"/>
              </w:rPr>
              <w:t xml:space="preserve">bu Ekin </w:t>
            </w:r>
            <w:r w:rsidRPr="00DE12A3">
              <w:rPr>
                <w:rFonts w:cs="Times New Roman"/>
                <w:color w:val="auto"/>
              </w:rPr>
              <w:t xml:space="preserve">2.3.1.1.2 bendi) vasıtasıyla belirlenen, </w:t>
            </w:r>
            <w:r w:rsidR="00F310B5" w:rsidRPr="00DE12A3">
              <w:rPr>
                <w:rFonts w:cs="Times New Roman"/>
                <w:color w:val="auto"/>
              </w:rPr>
              <w:t>çevrim</w:t>
            </w:r>
            <w:r w:rsidRPr="00DE12A3">
              <w:rPr>
                <w:rFonts w:cs="Times New Roman"/>
                <w:color w:val="auto"/>
              </w:rPr>
              <w:t xml:space="preserve"> boyunca denk seyreltilmiş egzoz gazı kütlesidir, [kg/test]</w:t>
            </w:r>
            <w:r w:rsidR="00592B0C" w:rsidRPr="00DE12A3">
              <w:rPr>
                <w:rFonts w:cs="Times New Roman"/>
                <w:color w:val="auto"/>
              </w:rPr>
              <w:t>.</w:t>
            </w:r>
          </w:p>
        </w:tc>
      </w:tr>
      <w:tr w:rsidR="00DE12A3" w:rsidRPr="00DE12A3" w14:paraId="06A636A4" w14:textId="77777777" w:rsidTr="006D7ADF">
        <w:tc>
          <w:tcPr>
            <w:tcW w:w="929" w:type="dxa"/>
          </w:tcPr>
          <w:p w14:paraId="5EB369F4" w14:textId="77777777" w:rsidR="0098134A" w:rsidRPr="00DE12A3" w:rsidRDefault="0098134A" w:rsidP="00C917D6">
            <w:pPr>
              <w:pStyle w:val="NormalLeft"/>
            </w:pPr>
            <w:r w:rsidRPr="00DE12A3">
              <w:rPr>
                <w:i/>
                <w:iCs/>
              </w:rPr>
              <w:t>k</w:t>
            </w:r>
          </w:p>
        </w:tc>
        <w:tc>
          <w:tcPr>
            <w:tcW w:w="464" w:type="dxa"/>
          </w:tcPr>
          <w:p w14:paraId="23F492C7" w14:textId="77777777" w:rsidR="0098134A" w:rsidRPr="00DE12A3" w:rsidRDefault="0098134A" w:rsidP="00C917D6">
            <w:pPr>
              <w:pStyle w:val="NormalLeft"/>
            </w:pPr>
          </w:p>
        </w:tc>
        <w:tc>
          <w:tcPr>
            <w:tcW w:w="7893" w:type="dxa"/>
          </w:tcPr>
          <w:p w14:paraId="78AFADA9" w14:textId="529B6791" w:rsidR="0098134A" w:rsidRPr="00DE12A3" w:rsidRDefault="006D7ADF" w:rsidP="00BA27F7">
            <w:pPr>
              <w:spacing w:before="120" w:after="120"/>
              <w:jc w:val="both"/>
              <w:rPr>
                <w:rFonts w:cs="Times New Roman"/>
                <w:color w:val="auto"/>
              </w:rPr>
            </w:pPr>
            <w:r w:rsidRPr="00DE12A3">
              <w:rPr>
                <w:rFonts w:cs="Times New Roman"/>
                <w:color w:val="auto"/>
              </w:rPr>
              <w:t>Bunun</w:t>
            </w:r>
            <w:r w:rsidR="0098134A" w:rsidRPr="00DE12A3">
              <w:rPr>
                <w:rFonts w:cs="Times New Roman"/>
                <w:color w:val="auto"/>
              </w:rPr>
              <w:t xml:space="preserve"> </w:t>
            </w:r>
            <w:r w:rsidR="007E2039" w:rsidRPr="00DE12A3">
              <w:rPr>
                <w:rFonts w:cs="Times New Roman"/>
                <w:color w:val="auto"/>
              </w:rPr>
              <w:t xml:space="preserve">partikül </w:t>
            </w:r>
            <w:r w:rsidR="0098134A" w:rsidRPr="00DE12A3">
              <w:rPr>
                <w:rFonts w:cs="Times New Roman"/>
                <w:color w:val="auto"/>
              </w:rPr>
              <w:t xml:space="preserve">sayısı sayacı içerisinde dahili olarak uygulanmadığı durumlarda, </w:t>
            </w:r>
            <w:r w:rsidR="007E2039" w:rsidRPr="00DE12A3">
              <w:rPr>
                <w:rFonts w:cs="Times New Roman"/>
                <w:color w:val="auto"/>
              </w:rPr>
              <w:t xml:space="preserve">partikül </w:t>
            </w:r>
            <w:r w:rsidR="0098134A" w:rsidRPr="00DE12A3">
              <w:rPr>
                <w:rFonts w:cs="Times New Roman"/>
                <w:color w:val="auto"/>
              </w:rPr>
              <w:t xml:space="preserve">sayısı sayacı ölçümlerini referans cihaz seviyesine düzeltmek için kalibrasyon faktörüdür. Kalibrasyon faktörünün, </w:t>
            </w:r>
            <w:r w:rsidR="007E2039" w:rsidRPr="00DE12A3">
              <w:rPr>
                <w:rFonts w:cs="Times New Roman"/>
                <w:color w:val="auto"/>
              </w:rPr>
              <w:t xml:space="preserve">partikül </w:t>
            </w:r>
            <w:r w:rsidR="0098134A" w:rsidRPr="00DE12A3">
              <w:rPr>
                <w:rFonts w:cs="Times New Roman"/>
                <w:color w:val="auto"/>
              </w:rPr>
              <w:t xml:space="preserve">sayısı sayacında dahili olarak uygulandığı durumlarda, (7-167) </w:t>
            </w:r>
            <w:r w:rsidR="005C6D9F" w:rsidRPr="00DE12A3">
              <w:rPr>
                <w:color w:val="auto"/>
              </w:rPr>
              <w:t>numaralı</w:t>
            </w:r>
            <w:r w:rsidR="005C6D9F" w:rsidRPr="00DE12A3" w:rsidDel="005C6D9F">
              <w:rPr>
                <w:rFonts w:cs="Times New Roman"/>
                <w:color w:val="auto"/>
              </w:rPr>
              <w:t xml:space="preserve"> </w:t>
            </w:r>
            <w:r w:rsidR="0098134A" w:rsidRPr="00DE12A3">
              <w:rPr>
                <w:rFonts w:cs="Times New Roman"/>
                <w:color w:val="auto"/>
              </w:rPr>
              <w:t>denklemde k için 1 değeri kullanılmalıdır</w:t>
            </w:r>
            <w:r w:rsidR="00592B0C" w:rsidRPr="00DE12A3">
              <w:rPr>
                <w:rFonts w:cs="Times New Roman"/>
                <w:color w:val="auto"/>
              </w:rPr>
              <w:t>.</w:t>
            </w:r>
          </w:p>
        </w:tc>
      </w:tr>
      <w:tr w:rsidR="00DE12A3" w:rsidRPr="00DE12A3" w14:paraId="1D0D5242" w14:textId="77777777" w:rsidTr="006D7ADF">
        <w:tc>
          <w:tcPr>
            <w:tcW w:w="929" w:type="dxa"/>
          </w:tcPr>
          <w:p w14:paraId="318AEA00" w14:textId="58AEB3DB" w:rsidR="0098134A" w:rsidRPr="00DE12A3" w:rsidRDefault="0098134A" w:rsidP="00C917D6">
            <w:pPr>
              <w:pStyle w:val="NormalLeft"/>
            </w:pPr>
            <w:r w:rsidRPr="00DE12A3">
              <w:rPr>
                <w:noProof/>
                <w:lang w:val="tr-TR"/>
              </w:rPr>
              <w:drawing>
                <wp:inline distT="0" distB="0" distL="0" distR="0" wp14:anchorId="1A09CD88" wp14:editId="051E900F">
                  <wp:extent cx="269875" cy="269875"/>
                  <wp:effectExtent l="0" t="0" r="0" b="0"/>
                  <wp:docPr id="2041" name="Resim 2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238">
                            <a:extLst>
                              <a:ext uri="{28A0092B-C50C-407E-A947-70E740481C1C}">
                                <a14:useLocalDpi xmlns:a14="http://schemas.microsoft.com/office/drawing/2010/main" val="0"/>
                              </a:ext>
                            </a:extLst>
                          </a:blip>
                          <a:srcRect/>
                          <a:stretch>
                            <a:fillRect/>
                          </a:stretch>
                        </pic:blipFill>
                        <pic:spPr bwMode="auto">
                          <a:xfrm>
                            <a:off x="0" y="0"/>
                            <a:ext cx="269875" cy="269875"/>
                          </a:xfrm>
                          <a:prstGeom prst="rect">
                            <a:avLst/>
                          </a:prstGeom>
                          <a:noFill/>
                          <a:ln>
                            <a:noFill/>
                          </a:ln>
                        </pic:spPr>
                      </pic:pic>
                    </a:graphicData>
                  </a:graphic>
                </wp:inline>
              </w:drawing>
            </w:r>
          </w:p>
        </w:tc>
        <w:tc>
          <w:tcPr>
            <w:tcW w:w="464" w:type="dxa"/>
          </w:tcPr>
          <w:p w14:paraId="393FD339" w14:textId="77777777" w:rsidR="0098134A" w:rsidRPr="00DE12A3" w:rsidRDefault="0098134A" w:rsidP="00C917D6">
            <w:pPr>
              <w:pStyle w:val="NormalLeft"/>
            </w:pPr>
          </w:p>
        </w:tc>
        <w:tc>
          <w:tcPr>
            <w:tcW w:w="7893" w:type="dxa"/>
          </w:tcPr>
          <w:p w14:paraId="609707A6" w14:textId="2EE1122C" w:rsidR="0098134A" w:rsidRPr="00DE12A3" w:rsidRDefault="006D7ADF" w:rsidP="00BA27F7">
            <w:pPr>
              <w:spacing w:before="120" w:after="120"/>
              <w:jc w:val="both"/>
              <w:rPr>
                <w:rFonts w:cs="Times New Roman"/>
                <w:color w:val="auto"/>
              </w:rPr>
            </w:pPr>
            <w:r w:rsidRPr="00DE12A3">
              <w:rPr>
                <w:rFonts w:cs="Times New Roman"/>
                <w:color w:val="auto"/>
              </w:rPr>
              <w:t>Standart</w:t>
            </w:r>
            <w:r w:rsidR="0098134A" w:rsidRPr="00DE12A3">
              <w:rPr>
                <w:rFonts w:cs="Times New Roman"/>
                <w:color w:val="auto"/>
              </w:rPr>
              <w:t xml:space="preserve"> koşullara (273,2 K ve 101,33 kPa) göre düzeltilmiş, seyreltilmiş egzoz gazından gelen ortalama </w:t>
            </w:r>
            <w:r w:rsidR="007E2039" w:rsidRPr="00DE12A3">
              <w:rPr>
                <w:rFonts w:cs="Times New Roman"/>
                <w:color w:val="auto"/>
              </w:rPr>
              <w:t xml:space="preserve">partikül </w:t>
            </w:r>
            <w:r w:rsidR="0098134A" w:rsidRPr="00DE12A3">
              <w:rPr>
                <w:rFonts w:cs="Times New Roman"/>
                <w:color w:val="auto"/>
              </w:rPr>
              <w:t>konsantrasyonu, santimetre küp başına parçacık</w:t>
            </w:r>
            <w:r w:rsidR="00592B0C" w:rsidRPr="00DE12A3">
              <w:rPr>
                <w:rFonts w:cs="Times New Roman"/>
                <w:color w:val="auto"/>
              </w:rPr>
              <w:t>.</w:t>
            </w:r>
          </w:p>
        </w:tc>
      </w:tr>
      <w:tr w:rsidR="0098134A" w:rsidRPr="00DE12A3" w14:paraId="660EDE7A" w14:textId="77777777" w:rsidTr="006D7ADF">
        <w:tc>
          <w:tcPr>
            <w:tcW w:w="929" w:type="dxa"/>
          </w:tcPr>
          <w:p w14:paraId="2319777C" w14:textId="7650E763" w:rsidR="0098134A" w:rsidRPr="00DE12A3" w:rsidRDefault="0098134A" w:rsidP="00C917D6">
            <w:pPr>
              <w:pStyle w:val="NormalLeft"/>
            </w:pPr>
            <w:r w:rsidRPr="00DE12A3">
              <w:rPr>
                <w:noProof/>
                <w:lang w:val="tr-TR"/>
              </w:rPr>
              <w:drawing>
                <wp:inline distT="0" distB="0" distL="0" distR="0" wp14:anchorId="00894507" wp14:editId="2D29CC26">
                  <wp:extent cx="170180" cy="193675"/>
                  <wp:effectExtent l="0" t="0" r="1270" b="0"/>
                  <wp:docPr id="2040" name="Resim 20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239">
                            <a:extLst>
                              <a:ext uri="{28A0092B-C50C-407E-A947-70E740481C1C}">
                                <a14:useLocalDpi xmlns:a14="http://schemas.microsoft.com/office/drawing/2010/main" val="0"/>
                              </a:ext>
                            </a:extLst>
                          </a:blip>
                          <a:srcRect/>
                          <a:stretch>
                            <a:fillRect/>
                          </a:stretch>
                        </pic:blipFill>
                        <pic:spPr bwMode="auto">
                          <a:xfrm>
                            <a:off x="0" y="0"/>
                            <a:ext cx="170180" cy="193675"/>
                          </a:xfrm>
                          <a:prstGeom prst="rect">
                            <a:avLst/>
                          </a:prstGeom>
                          <a:noFill/>
                          <a:ln>
                            <a:noFill/>
                          </a:ln>
                        </pic:spPr>
                      </pic:pic>
                    </a:graphicData>
                  </a:graphic>
                </wp:inline>
              </w:drawing>
            </w:r>
          </w:p>
        </w:tc>
        <w:tc>
          <w:tcPr>
            <w:tcW w:w="464" w:type="dxa"/>
          </w:tcPr>
          <w:p w14:paraId="23098ACB" w14:textId="77777777" w:rsidR="0098134A" w:rsidRPr="00DE12A3" w:rsidRDefault="0098134A" w:rsidP="00C917D6">
            <w:pPr>
              <w:pStyle w:val="NormalLeft"/>
            </w:pPr>
          </w:p>
        </w:tc>
        <w:tc>
          <w:tcPr>
            <w:tcW w:w="7893" w:type="dxa"/>
          </w:tcPr>
          <w:p w14:paraId="401E50CF" w14:textId="0B82FC6D" w:rsidR="0098134A" w:rsidRPr="00DE12A3" w:rsidRDefault="006D7ADF" w:rsidP="00BA27F7">
            <w:pPr>
              <w:spacing w:before="120" w:after="120"/>
              <w:jc w:val="both"/>
              <w:rPr>
                <w:rFonts w:cs="Times New Roman"/>
                <w:color w:val="auto"/>
              </w:rPr>
            </w:pPr>
            <w:r w:rsidRPr="00DE12A3">
              <w:rPr>
                <w:rFonts w:cs="Times New Roman"/>
                <w:color w:val="auto"/>
              </w:rPr>
              <w:t>Test</w:t>
            </w:r>
            <w:r w:rsidR="0098134A" w:rsidRPr="00DE12A3">
              <w:rPr>
                <w:rFonts w:cs="Times New Roman"/>
                <w:color w:val="auto"/>
              </w:rPr>
              <w:t xml:space="preserve"> için kullanılan seyreltme ayarlarına özgü uçucu </w:t>
            </w:r>
            <w:r w:rsidR="007E2039" w:rsidRPr="00DE12A3">
              <w:rPr>
                <w:rFonts w:cs="Times New Roman"/>
                <w:color w:val="auto"/>
              </w:rPr>
              <w:t xml:space="preserve">partikül </w:t>
            </w:r>
            <w:r w:rsidR="0098134A" w:rsidRPr="00DE12A3">
              <w:rPr>
                <w:rFonts w:cs="Times New Roman"/>
                <w:color w:val="auto"/>
              </w:rPr>
              <w:t xml:space="preserve">gidericinin ortalama </w:t>
            </w:r>
            <w:r w:rsidR="007E2039" w:rsidRPr="00DE12A3">
              <w:rPr>
                <w:rFonts w:cs="Times New Roman"/>
                <w:color w:val="auto"/>
              </w:rPr>
              <w:t xml:space="preserve">partikül </w:t>
            </w:r>
            <w:r w:rsidR="0098134A" w:rsidRPr="00DE12A3">
              <w:rPr>
                <w:rFonts w:cs="Times New Roman"/>
                <w:color w:val="auto"/>
              </w:rPr>
              <w:t>konsantrasyonu azaltma faktörü</w:t>
            </w:r>
            <w:r w:rsidR="00592B0C" w:rsidRPr="00DE12A3">
              <w:rPr>
                <w:rFonts w:cs="Times New Roman"/>
                <w:color w:val="auto"/>
              </w:rPr>
              <w:t>.</w:t>
            </w:r>
          </w:p>
        </w:tc>
      </w:tr>
    </w:tbl>
    <w:p w14:paraId="6379E0E2" w14:textId="77777777" w:rsidR="009F4766" w:rsidRPr="00DE12A3" w:rsidRDefault="009F4766" w:rsidP="00C917D6">
      <w:pPr>
        <w:spacing w:before="120" w:after="120"/>
        <w:rPr>
          <w:rFonts w:cs="Times New Roman"/>
          <w:color w:val="auto"/>
        </w:rPr>
      </w:pPr>
    </w:p>
    <w:p w14:paraId="55B533E3" w14:textId="77777777" w:rsidR="009F4766" w:rsidRPr="00DE12A3" w:rsidRDefault="0098134A" w:rsidP="00C917D6">
      <w:pPr>
        <w:spacing w:before="120" w:after="120"/>
        <w:rPr>
          <w:rFonts w:cs="Times New Roman"/>
          <w:color w:val="auto"/>
        </w:rPr>
      </w:pPr>
      <w:r w:rsidRPr="00DE12A3">
        <w:rPr>
          <w:rFonts w:cs="Times New Roman"/>
          <w:color w:val="auto"/>
        </w:rPr>
        <w:t>ile</w:t>
      </w:r>
    </w:p>
    <w:tbl>
      <w:tblPr>
        <w:tblW w:w="0" w:type="auto"/>
        <w:jc w:val="center"/>
        <w:tblLayout w:type="fixed"/>
        <w:tblLook w:val="0000" w:firstRow="0" w:lastRow="0" w:firstColumn="0" w:lastColumn="0" w:noHBand="0" w:noVBand="0"/>
      </w:tblPr>
      <w:tblGrid>
        <w:gridCol w:w="2997"/>
        <w:gridCol w:w="2356"/>
      </w:tblGrid>
      <w:tr w:rsidR="009F4766" w:rsidRPr="00DE12A3" w14:paraId="533ED6F0" w14:textId="77777777" w:rsidTr="001A234D">
        <w:trPr>
          <w:trHeight w:val="1512"/>
          <w:jc w:val="center"/>
        </w:trPr>
        <w:tc>
          <w:tcPr>
            <w:tcW w:w="2997" w:type="dxa"/>
          </w:tcPr>
          <w:p w14:paraId="239479FC" w14:textId="46FB90E7" w:rsidR="009F4766" w:rsidRPr="00DE12A3" w:rsidRDefault="009F4766" w:rsidP="00C917D6">
            <w:pPr>
              <w:pStyle w:val="NormalLeft"/>
            </w:pPr>
            <w:r w:rsidRPr="00DE12A3">
              <w:rPr>
                <w:noProof/>
                <w:lang w:val="tr-TR"/>
              </w:rPr>
              <w:lastRenderedPageBreak/>
              <w:drawing>
                <wp:inline distT="0" distB="0" distL="0" distR="0" wp14:anchorId="3789A6E5" wp14:editId="36D48369">
                  <wp:extent cx="1617980" cy="668020"/>
                  <wp:effectExtent l="0" t="0" r="1270" b="0"/>
                  <wp:docPr id="2039" name="Resim 2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240">
                            <a:extLst>
                              <a:ext uri="{28A0092B-C50C-407E-A947-70E740481C1C}">
                                <a14:useLocalDpi xmlns:a14="http://schemas.microsoft.com/office/drawing/2010/main" val="0"/>
                              </a:ext>
                            </a:extLst>
                          </a:blip>
                          <a:srcRect/>
                          <a:stretch>
                            <a:fillRect/>
                          </a:stretch>
                        </pic:blipFill>
                        <pic:spPr bwMode="auto">
                          <a:xfrm>
                            <a:off x="0" y="0"/>
                            <a:ext cx="1617980" cy="668020"/>
                          </a:xfrm>
                          <a:prstGeom prst="rect">
                            <a:avLst/>
                          </a:prstGeom>
                          <a:noFill/>
                          <a:ln>
                            <a:noFill/>
                          </a:ln>
                        </pic:spPr>
                      </pic:pic>
                    </a:graphicData>
                  </a:graphic>
                </wp:inline>
              </w:drawing>
            </w:r>
          </w:p>
        </w:tc>
        <w:tc>
          <w:tcPr>
            <w:tcW w:w="2356" w:type="dxa"/>
          </w:tcPr>
          <w:p w14:paraId="12188F51" w14:textId="77777777" w:rsidR="009F4766" w:rsidRPr="00DE12A3" w:rsidRDefault="009F4766" w:rsidP="00C917D6">
            <w:pPr>
              <w:pStyle w:val="NormalLeft"/>
            </w:pPr>
            <w:r w:rsidRPr="00DE12A3">
              <w:t>(7-168)</w:t>
            </w:r>
          </w:p>
        </w:tc>
      </w:tr>
    </w:tbl>
    <w:p w14:paraId="2CC89E17" w14:textId="77777777" w:rsidR="009F4766" w:rsidRPr="00DE12A3" w:rsidRDefault="009F4766" w:rsidP="00C917D6">
      <w:pPr>
        <w:spacing w:before="120" w:after="120"/>
        <w:rPr>
          <w:rFonts w:cs="Times New Roman"/>
          <w:color w:val="auto"/>
        </w:rPr>
      </w:pPr>
    </w:p>
    <w:p w14:paraId="27659739" w14:textId="77777777" w:rsidR="009F4766" w:rsidRPr="00DE12A3" w:rsidRDefault="008B3D9F" w:rsidP="00C917D6">
      <w:pPr>
        <w:spacing w:before="120" w:after="120"/>
        <w:rPr>
          <w:rFonts w:cs="Times New Roman"/>
          <w:color w:val="auto"/>
        </w:rPr>
      </w:pPr>
      <w:r w:rsidRPr="00DE12A3">
        <w:rPr>
          <w:rFonts w:cs="Times New Roman"/>
          <w:color w:val="auto"/>
        </w:rPr>
        <w:t>Burada</w:t>
      </w:r>
      <w:r w:rsidR="009F4766" w:rsidRPr="00DE12A3">
        <w:rPr>
          <w:rFonts w:cs="Times New Roman"/>
          <w:color w:val="auto"/>
        </w:rPr>
        <w:t>:</w:t>
      </w:r>
    </w:p>
    <w:tbl>
      <w:tblPr>
        <w:tblW w:w="0" w:type="auto"/>
        <w:tblLayout w:type="fixed"/>
        <w:tblLook w:val="0000" w:firstRow="0" w:lastRow="0" w:firstColumn="0" w:lastColumn="0" w:noHBand="0" w:noVBand="0"/>
      </w:tblPr>
      <w:tblGrid>
        <w:gridCol w:w="743"/>
        <w:gridCol w:w="371"/>
        <w:gridCol w:w="8172"/>
      </w:tblGrid>
      <w:tr w:rsidR="00DE12A3" w:rsidRPr="00DE12A3" w14:paraId="7220EA8C" w14:textId="77777777" w:rsidTr="006D7ADF">
        <w:tc>
          <w:tcPr>
            <w:tcW w:w="743" w:type="dxa"/>
          </w:tcPr>
          <w:p w14:paraId="7F672864" w14:textId="77777777" w:rsidR="009F4766" w:rsidRPr="00DE12A3" w:rsidRDefault="009F4766" w:rsidP="00C917D6">
            <w:pPr>
              <w:pStyle w:val="NormalLeft"/>
            </w:pPr>
            <w:r w:rsidRPr="00DE12A3">
              <w:rPr>
                <w:i/>
                <w:iCs/>
              </w:rPr>
              <w:t>c</w:t>
            </w:r>
            <w:r w:rsidRPr="00DE12A3">
              <w:rPr>
                <w:i/>
                <w:iCs/>
                <w:vertAlign w:val="subscript"/>
              </w:rPr>
              <w:t>s,i</w:t>
            </w:r>
          </w:p>
        </w:tc>
        <w:tc>
          <w:tcPr>
            <w:tcW w:w="371" w:type="dxa"/>
          </w:tcPr>
          <w:p w14:paraId="3385777E" w14:textId="77777777" w:rsidR="009F4766" w:rsidRPr="00DE12A3" w:rsidRDefault="009F4766" w:rsidP="00C917D6">
            <w:pPr>
              <w:pStyle w:val="NormalLeft"/>
            </w:pPr>
          </w:p>
        </w:tc>
        <w:tc>
          <w:tcPr>
            <w:tcW w:w="8172" w:type="dxa"/>
          </w:tcPr>
          <w:p w14:paraId="2245FDA8" w14:textId="3B1A9E4A" w:rsidR="009F4766" w:rsidRPr="00DE12A3" w:rsidRDefault="006D7ADF" w:rsidP="006D7ADF">
            <w:pPr>
              <w:pStyle w:val="NormalLeft"/>
              <w:jc w:val="both"/>
            </w:pPr>
            <w:r w:rsidRPr="00DE12A3">
              <w:t>Partikül</w:t>
            </w:r>
            <w:r w:rsidR="007E2039" w:rsidRPr="00DE12A3">
              <w:t xml:space="preserve"> </w:t>
            </w:r>
            <w:r w:rsidR="0098134A" w:rsidRPr="00DE12A3">
              <w:t xml:space="preserve">sayacından gelen seyreltilmiş egzoz gazı içindeki </w:t>
            </w:r>
            <w:r w:rsidR="007E2039" w:rsidRPr="00DE12A3">
              <w:t xml:space="preserve">partikül </w:t>
            </w:r>
            <w:r w:rsidR="0098134A" w:rsidRPr="00DE12A3">
              <w:t>konsantrasyonunun, tesadüf ve standart şartlara (273,2 K ve 101,33 kPa) göre düzeltilmiş ayrı bir ölçümüdür, santimetre küp başına parçacık</w:t>
            </w:r>
            <w:r w:rsidR="00592B0C" w:rsidRPr="00DE12A3">
              <w:t>.</w:t>
            </w:r>
          </w:p>
        </w:tc>
      </w:tr>
      <w:tr w:rsidR="009F4766" w:rsidRPr="00DE12A3" w14:paraId="78C86B64" w14:textId="77777777" w:rsidTr="006D7ADF">
        <w:tc>
          <w:tcPr>
            <w:tcW w:w="743" w:type="dxa"/>
          </w:tcPr>
          <w:p w14:paraId="73D2F8DD" w14:textId="77777777" w:rsidR="009F4766" w:rsidRPr="00DE12A3" w:rsidRDefault="009F4766" w:rsidP="00C917D6">
            <w:pPr>
              <w:pStyle w:val="NormalLeft"/>
            </w:pPr>
            <w:r w:rsidRPr="00DE12A3">
              <w:rPr>
                <w:i/>
                <w:iCs/>
              </w:rPr>
              <w:t>n</w:t>
            </w:r>
          </w:p>
        </w:tc>
        <w:tc>
          <w:tcPr>
            <w:tcW w:w="371" w:type="dxa"/>
          </w:tcPr>
          <w:p w14:paraId="7FA227CC" w14:textId="77777777" w:rsidR="009F4766" w:rsidRPr="00DE12A3" w:rsidRDefault="009F4766" w:rsidP="00C917D6">
            <w:pPr>
              <w:pStyle w:val="NormalLeft"/>
            </w:pPr>
          </w:p>
        </w:tc>
        <w:tc>
          <w:tcPr>
            <w:tcW w:w="8172" w:type="dxa"/>
          </w:tcPr>
          <w:p w14:paraId="0ADDC482" w14:textId="2FC3CDDF" w:rsidR="009F4766" w:rsidRPr="00DE12A3" w:rsidRDefault="006D7ADF" w:rsidP="00C917D6">
            <w:pPr>
              <w:pStyle w:val="NormalLeft"/>
            </w:pPr>
            <w:r w:rsidRPr="00DE12A3">
              <w:t>Test</w:t>
            </w:r>
            <w:r w:rsidR="00B4604B" w:rsidRPr="00DE12A3">
              <w:t xml:space="preserve"> süresi boyunca alınan </w:t>
            </w:r>
            <w:r w:rsidR="007E2039" w:rsidRPr="00DE12A3">
              <w:t xml:space="preserve">partikül </w:t>
            </w:r>
            <w:r w:rsidR="00B4604B" w:rsidRPr="00DE12A3">
              <w:t>konsantrasyonu ölçümlerinin sayısıdır.</w:t>
            </w:r>
          </w:p>
        </w:tc>
      </w:tr>
    </w:tbl>
    <w:p w14:paraId="3BCCD610" w14:textId="77777777" w:rsidR="009F4766" w:rsidRPr="00DE12A3" w:rsidRDefault="009F4766" w:rsidP="00C917D6">
      <w:pPr>
        <w:spacing w:before="120" w:after="120"/>
        <w:rPr>
          <w:rFonts w:cs="Times New Roman"/>
          <w:color w:val="auto"/>
        </w:rPr>
      </w:pPr>
    </w:p>
    <w:p w14:paraId="0829E062" w14:textId="321B1FFE" w:rsidR="00B4604B" w:rsidRPr="00DE12A3" w:rsidRDefault="00B4604B" w:rsidP="007D4F82">
      <w:pPr>
        <w:rPr>
          <w:color w:val="auto"/>
        </w:rPr>
      </w:pPr>
      <w:r w:rsidRPr="00DE12A3">
        <w:rPr>
          <w:color w:val="auto"/>
        </w:rPr>
        <w:t>1.3.</w:t>
      </w:r>
      <w:r w:rsidR="007D4F82" w:rsidRPr="00DE12A3">
        <w:rPr>
          <w:b/>
          <w:color w:val="auto"/>
        </w:rPr>
        <w:t xml:space="preserve"> </w:t>
      </w:r>
      <w:r w:rsidRPr="00DE12A3">
        <w:rPr>
          <w:color w:val="auto"/>
        </w:rPr>
        <w:t xml:space="preserve">Tam akışlı seyreltme sistemi ile süreksiz (NRTC ve LSI-NRTC) test </w:t>
      </w:r>
      <w:r w:rsidR="00F310B5" w:rsidRPr="00DE12A3">
        <w:rPr>
          <w:color w:val="auto"/>
        </w:rPr>
        <w:t>çevrim</w:t>
      </w:r>
      <w:r w:rsidRPr="00DE12A3">
        <w:rPr>
          <w:color w:val="auto"/>
        </w:rPr>
        <w:t xml:space="preserve">leri ve RMC için </w:t>
      </w:r>
      <w:r w:rsidR="007E2039" w:rsidRPr="00DE12A3">
        <w:rPr>
          <w:color w:val="auto"/>
        </w:rPr>
        <w:t xml:space="preserve">partikül </w:t>
      </w:r>
      <w:r w:rsidRPr="00DE12A3">
        <w:rPr>
          <w:color w:val="auto"/>
        </w:rPr>
        <w:t>sayılarının belirlenmesi</w:t>
      </w:r>
    </w:p>
    <w:p w14:paraId="55A716A2" w14:textId="77777777" w:rsidR="007D4F82" w:rsidRPr="00DE12A3" w:rsidRDefault="007D4F82" w:rsidP="007D4F82">
      <w:pPr>
        <w:rPr>
          <w:color w:val="auto"/>
        </w:rPr>
      </w:pPr>
    </w:p>
    <w:p w14:paraId="4991BA3C" w14:textId="71C48057" w:rsidR="00B4604B" w:rsidRPr="00DE12A3" w:rsidRDefault="007E2039" w:rsidP="007D4F82">
      <w:pPr>
        <w:rPr>
          <w:color w:val="auto"/>
        </w:rPr>
      </w:pPr>
      <w:r w:rsidRPr="00DE12A3">
        <w:rPr>
          <w:color w:val="auto"/>
        </w:rPr>
        <w:t xml:space="preserve">Partikül </w:t>
      </w:r>
      <w:r w:rsidR="00B4604B" w:rsidRPr="00DE12A3">
        <w:rPr>
          <w:color w:val="auto"/>
        </w:rPr>
        <w:t xml:space="preserve">sayılarının, </w:t>
      </w:r>
      <w:r w:rsidR="00FA0678" w:rsidRPr="00DE12A3">
        <w:rPr>
          <w:color w:val="auto"/>
        </w:rPr>
        <w:t xml:space="preserve">VI’ncı </w:t>
      </w:r>
      <w:r w:rsidR="00592B0C" w:rsidRPr="00DE12A3">
        <w:rPr>
          <w:color w:val="auto"/>
        </w:rPr>
        <w:t>E</w:t>
      </w:r>
      <w:r w:rsidR="00FA0678" w:rsidRPr="00DE12A3">
        <w:rPr>
          <w:color w:val="auto"/>
        </w:rPr>
        <w:t>k</w:t>
      </w:r>
      <w:r w:rsidR="00B4604B" w:rsidRPr="00DE12A3">
        <w:rPr>
          <w:color w:val="auto"/>
        </w:rPr>
        <w:t xml:space="preserve">in 9.2.2 bendinde belirtilen şartlar uyarınca bir tam akışlı seyreltme sistemi kullanılarak örneklenmesi durumunda, test </w:t>
      </w:r>
      <w:r w:rsidR="00F310B5" w:rsidRPr="00DE12A3">
        <w:rPr>
          <w:color w:val="auto"/>
        </w:rPr>
        <w:t>çevrimi</w:t>
      </w:r>
      <w:r w:rsidR="00B4604B" w:rsidRPr="00DE12A3">
        <w:rPr>
          <w:color w:val="auto"/>
        </w:rPr>
        <w:t xml:space="preserve"> boyunca yayılan </w:t>
      </w:r>
      <w:r w:rsidRPr="00DE12A3">
        <w:rPr>
          <w:color w:val="auto"/>
        </w:rPr>
        <w:t xml:space="preserve">partikül </w:t>
      </w:r>
      <w:r w:rsidR="00B4604B" w:rsidRPr="00DE12A3">
        <w:rPr>
          <w:color w:val="auto"/>
        </w:rPr>
        <w:t xml:space="preserve">sayısı (7-169) </w:t>
      </w:r>
      <w:r w:rsidR="005C6D9F" w:rsidRPr="00DE12A3">
        <w:rPr>
          <w:color w:val="auto"/>
        </w:rPr>
        <w:t>numaralı</w:t>
      </w:r>
      <w:r w:rsidR="005C6D9F" w:rsidRPr="00DE12A3" w:rsidDel="005C6D9F">
        <w:rPr>
          <w:color w:val="auto"/>
        </w:rPr>
        <w:t xml:space="preserve"> </w:t>
      </w:r>
      <w:r w:rsidR="00B4604B" w:rsidRPr="00DE12A3">
        <w:rPr>
          <w:color w:val="auto"/>
        </w:rPr>
        <w:t>denklem ile hesaplanmalıdır:</w:t>
      </w:r>
    </w:p>
    <w:p w14:paraId="76A27732" w14:textId="77777777" w:rsidR="00B4604B" w:rsidRPr="00DE12A3" w:rsidRDefault="00B4604B" w:rsidP="00C917D6">
      <w:pPr>
        <w:spacing w:before="120" w:after="120"/>
        <w:rPr>
          <w:rFonts w:cs="Times New Roman"/>
          <w:color w:val="auto"/>
        </w:rPr>
      </w:pPr>
    </w:p>
    <w:p w14:paraId="51C3AC7A" w14:textId="77777777" w:rsidR="00B4604B" w:rsidRPr="00DE12A3" w:rsidRDefault="00B4604B" w:rsidP="00C917D6">
      <w:pPr>
        <w:spacing w:before="120" w:after="120"/>
        <w:rPr>
          <w:rFonts w:cs="Times New Roman"/>
          <w:color w:val="auto"/>
        </w:rPr>
      </w:pPr>
    </w:p>
    <w:tbl>
      <w:tblPr>
        <w:tblW w:w="0" w:type="auto"/>
        <w:jc w:val="center"/>
        <w:tblLayout w:type="fixed"/>
        <w:tblLook w:val="0000" w:firstRow="0" w:lastRow="0" w:firstColumn="0" w:lastColumn="0" w:noHBand="0" w:noVBand="0"/>
      </w:tblPr>
      <w:tblGrid>
        <w:gridCol w:w="4263"/>
        <w:gridCol w:w="1914"/>
      </w:tblGrid>
      <w:tr w:rsidR="009F4766" w:rsidRPr="00DE12A3" w14:paraId="3F4BD174" w14:textId="77777777" w:rsidTr="001A234D">
        <w:trPr>
          <w:trHeight w:val="1107"/>
          <w:jc w:val="center"/>
        </w:trPr>
        <w:tc>
          <w:tcPr>
            <w:tcW w:w="4263" w:type="dxa"/>
          </w:tcPr>
          <w:p w14:paraId="5ABCB323" w14:textId="251BBA65" w:rsidR="009F4766" w:rsidRPr="00DE12A3" w:rsidRDefault="009F4766" w:rsidP="00C917D6">
            <w:pPr>
              <w:pStyle w:val="NormalLeft"/>
            </w:pPr>
            <w:r w:rsidRPr="00DE12A3">
              <w:rPr>
                <w:noProof/>
                <w:lang w:val="tr-TR"/>
              </w:rPr>
              <w:drawing>
                <wp:inline distT="0" distB="0" distL="0" distR="0" wp14:anchorId="11C217A2" wp14:editId="5E115613">
                  <wp:extent cx="2350477" cy="586105"/>
                  <wp:effectExtent l="0" t="0" r="0" b="4445"/>
                  <wp:docPr id="2038" name="Resim 20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237">
                            <a:extLst>
                              <a:ext uri="{28A0092B-C50C-407E-A947-70E740481C1C}">
                                <a14:useLocalDpi xmlns:a14="http://schemas.microsoft.com/office/drawing/2010/main" val="0"/>
                              </a:ext>
                            </a:extLst>
                          </a:blip>
                          <a:srcRect/>
                          <a:stretch>
                            <a:fillRect/>
                          </a:stretch>
                        </pic:blipFill>
                        <pic:spPr bwMode="auto">
                          <a:xfrm>
                            <a:off x="0" y="0"/>
                            <a:ext cx="2352615" cy="586638"/>
                          </a:xfrm>
                          <a:prstGeom prst="rect">
                            <a:avLst/>
                          </a:prstGeom>
                          <a:noFill/>
                          <a:ln>
                            <a:noFill/>
                          </a:ln>
                        </pic:spPr>
                      </pic:pic>
                    </a:graphicData>
                  </a:graphic>
                </wp:inline>
              </w:drawing>
            </w:r>
          </w:p>
        </w:tc>
        <w:tc>
          <w:tcPr>
            <w:tcW w:w="1914" w:type="dxa"/>
          </w:tcPr>
          <w:p w14:paraId="1431385C" w14:textId="77777777" w:rsidR="009F4766" w:rsidRPr="00DE12A3" w:rsidRDefault="009F4766" w:rsidP="00C917D6">
            <w:pPr>
              <w:pStyle w:val="NormalLeft"/>
            </w:pPr>
            <w:r w:rsidRPr="00DE12A3">
              <w:t>(7-169)</w:t>
            </w:r>
          </w:p>
        </w:tc>
      </w:tr>
    </w:tbl>
    <w:p w14:paraId="5AAF132D" w14:textId="77777777" w:rsidR="009F4766" w:rsidRPr="00DE12A3" w:rsidRDefault="009F4766" w:rsidP="00C917D6">
      <w:pPr>
        <w:spacing w:before="120" w:after="120"/>
        <w:rPr>
          <w:rFonts w:cs="Times New Roman"/>
          <w:color w:val="auto"/>
        </w:rPr>
      </w:pPr>
    </w:p>
    <w:p w14:paraId="097F7C7E" w14:textId="77777777" w:rsidR="009F4766" w:rsidRPr="00DE12A3" w:rsidRDefault="008B3D9F" w:rsidP="00C917D6">
      <w:pPr>
        <w:spacing w:before="120" w:after="120"/>
        <w:ind w:left="1134"/>
        <w:rPr>
          <w:rFonts w:cs="Times New Roman"/>
          <w:color w:val="auto"/>
        </w:rPr>
      </w:pPr>
      <w:r w:rsidRPr="00DE12A3">
        <w:rPr>
          <w:rFonts w:cs="Times New Roman"/>
          <w:color w:val="auto"/>
        </w:rPr>
        <w:t>Burada</w:t>
      </w:r>
      <w:r w:rsidR="009F4766" w:rsidRPr="00DE12A3">
        <w:rPr>
          <w:rFonts w:cs="Times New Roman"/>
          <w:color w:val="auto"/>
        </w:rPr>
        <w:t>:</w:t>
      </w:r>
    </w:p>
    <w:tbl>
      <w:tblPr>
        <w:tblW w:w="0" w:type="auto"/>
        <w:tblInd w:w="1242" w:type="dxa"/>
        <w:tblLayout w:type="fixed"/>
        <w:tblLook w:val="0000" w:firstRow="0" w:lastRow="0" w:firstColumn="0" w:lastColumn="0" w:noHBand="0" w:noVBand="0"/>
      </w:tblPr>
      <w:tblGrid>
        <w:gridCol w:w="1134"/>
        <w:gridCol w:w="426"/>
        <w:gridCol w:w="6484"/>
      </w:tblGrid>
      <w:tr w:rsidR="00DE12A3" w:rsidRPr="00DE12A3" w14:paraId="3CFC0B79" w14:textId="77777777" w:rsidTr="006D7ADF">
        <w:tc>
          <w:tcPr>
            <w:tcW w:w="1134" w:type="dxa"/>
          </w:tcPr>
          <w:p w14:paraId="7AD7AAC3" w14:textId="77777777" w:rsidR="00B4604B" w:rsidRPr="00DE12A3" w:rsidRDefault="00B4604B" w:rsidP="00C917D6">
            <w:pPr>
              <w:pStyle w:val="NormalLeft"/>
            </w:pPr>
            <w:r w:rsidRPr="00DE12A3">
              <w:rPr>
                <w:i/>
                <w:iCs/>
              </w:rPr>
              <w:t>N</w:t>
            </w:r>
          </w:p>
        </w:tc>
        <w:tc>
          <w:tcPr>
            <w:tcW w:w="426" w:type="dxa"/>
          </w:tcPr>
          <w:p w14:paraId="3EBEF57F" w14:textId="77777777" w:rsidR="00B4604B" w:rsidRPr="00DE12A3" w:rsidRDefault="00B4604B" w:rsidP="00C917D6">
            <w:pPr>
              <w:pStyle w:val="NormalLeft"/>
            </w:pPr>
          </w:p>
        </w:tc>
        <w:tc>
          <w:tcPr>
            <w:tcW w:w="6484" w:type="dxa"/>
          </w:tcPr>
          <w:p w14:paraId="3EDCF050" w14:textId="1A7C85EA" w:rsidR="00B4604B" w:rsidRPr="00DE12A3" w:rsidRDefault="00301A9C" w:rsidP="00C917D6">
            <w:pPr>
              <w:spacing w:before="120" w:after="120"/>
              <w:jc w:val="both"/>
              <w:rPr>
                <w:rFonts w:cs="Times New Roman"/>
                <w:color w:val="auto"/>
              </w:rPr>
            </w:pPr>
            <w:r w:rsidRPr="00DE12A3">
              <w:rPr>
                <w:rFonts w:cs="Times New Roman"/>
                <w:color w:val="auto"/>
              </w:rPr>
              <w:t>Test</w:t>
            </w:r>
            <w:r w:rsidR="00B4604B" w:rsidRPr="00DE12A3">
              <w:rPr>
                <w:rFonts w:cs="Times New Roman"/>
                <w:color w:val="auto"/>
              </w:rPr>
              <w:t xml:space="preserve"> </w:t>
            </w:r>
            <w:r w:rsidR="00F310B5" w:rsidRPr="00DE12A3">
              <w:rPr>
                <w:rFonts w:cs="Times New Roman"/>
                <w:color w:val="auto"/>
              </w:rPr>
              <w:t>çevrimi</w:t>
            </w:r>
            <w:r w:rsidR="00B4604B" w:rsidRPr="00DE12A3">
              <w:rPr>
                <w:rFonts w:cs="Times New Roman"/>
                <w:color w:val="auto"/>
              </w:rPr>
              <w:t xml:space="preserve"> boyunca yayılan </w:t>
            </w:r>
            <w:r w:rsidR="007E2039" w:rsidRPr="00DE12A3">
              <w:rPr>
                <w:rFonts w:cs="Times New Roman"/>
                <w:color w:val="auto"/>
              </w:rPr>
              <w:t xml:space="preserve">partikül </w:t>
            </w:r>
            <w:r w:rsidR="00B4604B" w:rsidRPr="00DE12A3">
              <w:rPr>
                <w:rFonts w:cs="Times New Roman"/>
                <w:color w:val="auto"/>
              </w:rPr>
              <w:t>sayısıdır, [#/test]</w:t>
            </w:r>
            <w:r w:rsidR="00592B0C" w:rsidRPr="00DE12A3">
              <w:rPr>
                <w:rFonts w:cs="Times New Roman"/>
                <w:color w:val="auto"/>
              </w:rPr>
              <w:t>.</w:t>
            </w:r>
          </w:p>
        </w:tc>
      </w:tr>
      <w:tr w:rsidR="00DE12A3" w:rsidRPr="00DE12A3" w14:paraId="5D9033CB" w14:textId="77777777" w:rsidTr="006D7ADF">
        <w:tc>
          <w:tcPr>
            <w:tcW w:w="1134" w:type="dxa"/>
          </w:tcPr>
          <w:p w14:paraId="2C50F5B4" w14:textId="77777777" w:rsidR="00B4604B" w:rsidRPr="00DE12A3" w:rsidRDefault="00B4604B" w:rsidP="00C917D6">
            <w:pPr>
              <w:pStyle w:val="NormalLeft"/>
            </w:pPr>
            <w:r w:rsidRPr="00DE12A3">
              <w:rPr>
                <w:i/>
                <w:iCs/>
              </w:rPr>
              <w:t>m</w:t>
            </w:r>
            <w:r w:rsidRPr="00DE12A3">
              <w:rPr>
                <w:i/>
                <w:iCs/>
                <w:vertAlign w:val="subscript"/>
              </w:rPr>
              <w:t>ed</w:t>
            </w:r>
          </w:p>
        </w:tc>
        <w:tc>
          <w:tcPr>
            <w:tcW w:w="426" w:type="dxa"/>
          </w:tcPr>
          <w:p w14:paraId="38EEBE93" w14:textId="77777777" w:rsidR="00B4604B" w:rsidRPr="00DE12A3" w:rsidRDefault="00B4604B" w:rsidP="00C917D6">
            <w:pPr>
              <w:pStyle w:val="NormalLeft"/>
            </w:pPr>
          </w:p>
        </w:tc>
        <w:tc>
          <w:tcPr>
            <w:tcW w:w="6484" w:type="dxa"/>
          </w:tcPr>
          <w:p w14:paraId="3A11F27B" w14:textId="0980F0F6" w:rsidR="00B4604B" w:rsidRPr="00DE12A3" w:rsidRDefault="00B4604B">
            <w:pPr>
              <w:spacing w:before="120" w:after="120"/>
              <w:jc w:val="both"/>
              <w:rPr>
                <w:rFonts w:cs="Times New Roman"/>
                <w:color w:val="auto"/>
              </w:rPr>
            </w:pPr>
            <w:r w:rsidRPr="00DE12A3">
              <w:rPr>
                <w:rFonts w:cs="Times New Roman"/>
                <w:color w:val="auto"/>
              </w:rPr>
              <w:t xml:space="preserve">(7-45) </w:t>
            </w:r>
            <w:r w:rsidR="005C6D9F" w:rsidRPr="00DE12A3">
              <w:rPr>
                <w:color w:val="auto"/>
              </w:rPr>
              <w:t>numaralı</w:t>
            </w:r>
            <w:r w:rsidR="005C6D9F" w:rsidRPr="00DE12A3" w:rsidDel="005C6D9F">
              <w:rPr>
                <w:rFonts w:cs="Times New Roman"/>
                <w:color w:val="auto"/>
              </w:rPr>
              <w:t xml:space="preserve"> </w:t>
            </w:r>
            <w:r w:rsidRPr="00DE12A3">
              <w:rPr>
                <w:rFonts w:cs="Times New Roman"/>
                <w:color w:val="auto"/>
              </w:rPr>
              <w:t>denklem (</w:t>
            </w:r>
            <w:r w:rsidR="00592B0C" w:rsidRPr="00DE12A3">
              <w:rPr>
                <w:rFonts w:cs="Times New Roman"/>
                <w:color w:val="auto"/>
              </w:rPr>
              <w:t xml:space="preserve">bu Ekin </w:t>
            </w:r>
            <w:r w:rsidRPr="00DE12A3">
              <w:rPr>
                <w:rFonts w:cs="Times New Roman"/>
                <w:color w:val="auto"/>
              </w:rPr>
              <w:t xml:space="preserve">2.3.1.1.2 bendi) vasıtasıyla belirlenen, </w:t>
            </w:r>
            <w:r w:rsidR="00F310B5" w:rsidRPr="00DE12A3">
              <w:rPr>
                <w:rFonts w:cs="Times New Roman"/>
                <w:color w:val="auto"/>
              </w:rPr>
              <w:t>çevrim</w:t>
            </w:r>
            <w:r w:rsidRPr="00DE12A3">
              <w:rPr>
                <w:rFonts w:cs="Times New Roman"/>
                <w:color w:val="auto"/>
              </w:rPr>
              <w:t xml:space="preserve"> boyunca denk seyreltilmiş egzoz gazı kütlesidir, kg/test</w:t>
            </w:r>
            <w:r w:rsidR="00592B0C" w:rsidRPr="00DE12A3">
              <w:rPr>
                <w:rFonts w:cs="Times New Roman"/>
                <w:color w:val="auto"/>
              </w:rPr>
              <w:t>.</w:t>
            </w:r>
          </w:p>
        </w:tc>
      </w:tr>
      <w:tr w:rsidR="00DE12A3" w:rsidRPr="00DE12A3" w14:paraId="1BCFD3C2" w14:textId="77777777" w:rsidTr="006D7ADF">
        <w:tc>
          <w:tcPr>
            <w:tcW w:w="1134" w:type="dxa"/>
          </w:tcPr>
          <w:p w14:paraId="001FEE28" w14:textId="77777777" w:rsidR="00B4604B" w:rsidRPr="00DE12A3" w:rsidRDefault="00B4604B" w:rsidP="00C917D6">
            <w:pPr>
              <w:pStyle w:val="NormalLeft"/>
            </w:pPr>
            <w:r w:rsidRPr="00DE12A3">
              <w:rPr>
                <w:i/>
                <w:iCs/>
              </w:rPr>
              <w:t>k</w:t>
            </w:r>
          </w:p>
        </w:tc>
        <w:tc>
          <w:tcPr>
            <w:tcW w:w="426" w:type="dxa"/>
          </w:tcPr>
          <w:p w14:paraId="64002E39" w14:textId="77777777" w:rsidR="00B4604B" w:rsidRPr="00DE12A3" w:rsidRDefault="00B4604B" w:rsidP="00C917D6">
            <w:pPr>
              <w:pStyle w:val="NormalLeft"/>
            </w:pPr>
          </w:p>
        </w:tc>
        <w:tc>
          <w:tcPr>
            <w:tcW w:w="6484" w:type="dxa"/>
          </w:tcPr>
          <w:p w14:paraId="75FA3BAA" w14:textId="0F73AAB6" w:rsidR="00B4604B" w:rsidRPr="00DE12A3" w:rsidRDefault="00301A9C">
            <w:pPr>
              <w:spacing w:before="120" w:after="120"/>
              <w:jc w:val="both"/>
              <w:rPr>
                <w:rFonts w:cs="Times New Roman"/>
                <w:color w:val="auto"/>
              </w:rPr>
            </w:pPr>
            <w:r w:rsidRPr="00DE12A3">
              <w:rPr>
                <w:rFonts w:cs="Times New Roman"/>
                <w:color w:val="auto"/>
              </w:rPr>
              <w:t>Bunun</w:t>
            </w:r>
            <w:r w:rsidR="00B4604B" w:rsidRPr="00DE12A3">
              <w:rPr>
                <w:rFonts w:cs="Times New Roman"/>
                <w:color w:val="auto"/>
              </w:rPr>
              <w:t xml:space="preserve"> </w:t>
            </w:r>
            <w:r w:rsidR="007E2039" w:rsidRPr="00DE12A3">
              <w:rPr>
                <w:rFonts w:cs="Times New Roman"/>
                <w:color w:val="auto"/>
              </w:rPr>
              <w:t xml:space="preserve">partikül </w:t>
            </w:r>
            <w:r w:rsidR="00B4604B" w:rsidRPr="00DE12A3">
              <w:rPr>
                <w:rFonts w:cs="Times New Roman"/>
                <w:color w:val="auto"/>
              </w:rPr>
              <w:t xml:space="preserve">sayısı sayacı içerisinde dahili olarak uygulanmadığı durumlarda, </w:t>
            </w:r>
            <w:r w:rsidR="007E2039" w:rsidRPr="00DE12A3">
              <w:rPr>
                <w:rFonts w:cs="Times New Roman"/>
                <w:color w:val="auto"/>
              </w:rPr>
              <w:t xml:space="preserve">partikül </w:t>
            </w:r>
            <w:r w:rsidR="00B4604B" w:rsidRPr="00DE12A3">
              <w:rPr>
                <w:rFonts w:cs="Times New Roman"/>
                <w:color w:val="auto"/>
              </w:rPr>
              <w:t xml:space="preserve">sayısı sayacı ölçümlerini referans cihaz seviyesine düzeltmek için kalibrasyon faktörüdür. Kalibrasyon faktörünün, </w:t>
            </w:r>
            <w:r w:rsidR="007E2039" w:rsidRPr="00DE12A3">
              <w:rPr>
                <w:rFonts w:cs="Times New Roman"/>
                <w:color w:val="auto"/>
              </w:rPr>
              <w:t xml:space="preserve">partikül </w:t>
            </w:r>
            <w:r w:rsidR="00B4604B" w:rsidRPr="00DE12A3">
              <w:rPr>
                <w:rFonts w:cs="Times New Roman"/>
                <w:color w:val="auto"/>
              </w:rPr>
              <w:t xml:space="preserve">sayısı sayacında dahili olarak uygulandığı durumlarda, (7-167) </w:t>
            </w:r>
            <w:r w:rsidR="005C6D9F" w:rsidRPr="00DE12A3">
              <w:rPr>
                <w:color w:val="auto"/>
              </w:rPr>
              <w:t>numaralı</w:t>
            </w:r>
            <w:r w:rsidR="005C6D9F" w:rsidRPr="00DE12A3" w:rsidDel="005C6D9F">
              <w:rPr>
                <w:rFonts w:cs="Times New Roman"/>
                <w:color w:val="auto"/>
              </w:rPr>
              <w:t xml:space="preserve"> </w:t>
            </w:r>
            <w:r w:rsidR="00B4604B" w:rsidRPr="00DE12A3">
              <w:rPr>
                <w:rFonts w:cs="Times New Roman"/>
                <w:color w:val="auto"/>
              </w:rPr>
              <w:t>denklemde k için 1 değeri kullanılmalıdır</w:t>
            </w:r>
            <w:r w:rsidR="00592B0C" w:rsidRPr="00DE12A3">
              <w:rPr>
                <w:rFonts w:cs="Times New Roman"/>
                <w:color w:val="auto"/>
              </w:rPr>
              <w:t>.</w:t>
            </w:r>
          </w:p>
        </w:tc>
      </w:tr>
      <w:tr w:rsidR="00DE12A3" w:rsidRPr="00DE12A3" w14:paraId="51BE641B" w14:textId="77777777" w:rsidTr="006D7ADF">
        <w:tc>
          <w:tcPr>
            <w:tcW w:w="1134" w:type="dxa"/>
          </w:tcPr>
          <w:p w14:paraId="0EFB7BA4" w14:textId="69A0F67E" w:rsidR="00B4604B" w:rsidRPr="00DE12A3" w:rsidRDefault="00B4604B" w:rsidP="00C917D6">
            <w:pPr>
              <w:pStyle w:val="NormalLeft"/>
            </w:pPr>
            <w:r w:rsidRPr="00DE12A3">
              <w:rPr>
                <w:noProof/>
                <w:lang w:val="tr-TR"/>
              </w:rPr>
              <w:drawing>
                <wp:inline distT="0" distB="0" distL="0" distR="0" wp14:anchorId="5A2007E5" wp14:editId="19DBB2BC">
                  <wp:extent cx="269875" cy="269875"/>
                  <wp:effectExtent l="0" t="0" r="0" b="0"/>
                  <wp:docPr id="2037" name="Resim 2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238">
                            <a:extLst>
                              <a:ext uri="{28A0092B-C50C-407E-A947-70E740481C1C}">
                                <a14:useLocalDpi xmlns:a14="http://schemas.microsoft.com/office/drawing/2010/main" val="0"/>
                              </a:ext>
                            </a:extLst>
                          </a:blip>
                          <a:srcRect/>
                          <a:stretch>
                            <a:fillRect/>
                          </a:stretch>
                        </pic:blipFill>
                        <pic:spPr bwMode="auto">
                          <a:xfrm>
                            <a:off x="0" y="0"/>
                            <a:ext cx="269875" cy="269875"/>
                          </a:xfrm>
                          <a:prstGeom prst="rect">
                            <a:avLst/>
                          </a:prstGeom>
                          <a:noFill/>
                          <a:ln>
                            <a:noFill/>
                          </a:ln>
                        </pic:spPr>
                      </pic:pic>
                    </a:graphicData>
                  </a:graphic>
                </wp:inline>
              </w:drawing>
            </w:r>
          </w:p>
        </w:tc>
        <w:tc>
          <w:tcPr>
            <w:tcW w:w="426" w:type="dxa"/>
          </w:tcPr>
          <w:p w14:paraId="60C304F7" w14:textId="77777777" w:rsidR="00B4604B" w:rsidRPr="00DE12A3" w:rsidRDefault="00B4604B" w:rsidP="00C917D6">
            <w:pPr>
              <w:pStyle w:val="NormalLeft"/>
            </w:pPr>
          </w:p>
        </w:tc>
        <w:tc>
          <w:tcPr>
            <w:tcW w:w="6484" w:type="dxa"/>
          </w:tcPr>
          <w:p w14:paraId="34A24F06" w14:textId="6368CDE0" w:rsidR="00B4604B" w:rsidRPr="00DE12A3" w:rsidRDefault="00301A9C" w:rsidP="00C917D6">
            <w:pPr>
              <w:spacing w:before="120" w:after="120"/>
              <w:jc w:val="both"/>
              <w:rPr>
                <w:rFonts w:cs="Times New Roman"/>
                <w:color w:val="auto"/>
              </w:rPr>
            </w:pPr>
            <w:r w:rsidRPr="00DE12A3">
              <w:rPr>
                <w:rFonts w:cs="Times New Roman"/>
                <w:color w:val="auto"/>
              </w:rPr>
              <w:t>Standart</w:t>
            </w:r>
            <w:r w:rsidR="00B4604B" w:rsidRPr="00DE12A3">
              <w:rPr>
                <w:rFonts w:cs="Times New Roman"/>
                <w:color w:val="auto"/>
              </w:rPr>
              <w:t xml:space="preserve"> koşullara (273,2 K ve 101,33 kPa) göre düzeltilmiş, seyreltilmiş egzoz gazından gelen ortalama </w:t>
            </w:r>
            <w:r w:rsidR="007E2039" w:rsidRPr="00DE12A3">
              <w:rPr>
                <w:rFonts w:cs="Times New Roman"/>
                <w:color w:val="auto"/>
              </w:rPr>
              <w:t xml:space="preserve">partikül </w:t>
            </w:r>
            <w:r w:rsidR="00B4604B" w:rsidRPr="00DE12A3">
              <w:rPr>
                <w:rFonts w:cs="Times New Roman"/>
                <w:color w:val="auto"/>
              </w:rPr>
              <w:t>konsantrasyonu, santimetre küp başına parçacık</w:t>
            </w:r>
            <w:r w:rsidR="00592B0C" w:rsidRPr="00DE12A3">
              <w:rPr>
                <w:rFonts w:cs="Times New Roman"/>
                <w:color w:val="auto"/>
              </w:rPr>
              <w:t>.</w:t>
            </w:r>
          </w:p>
        </w:tc>
      </w:tr>
      <w:tr w:rsidR="00DE12A3" w:rsidRPr="00DE12A3" w14:paraId="312FCE5A" w14:textId="77777777" w:rsidTr="006D7ADF">
        <w:tc>
          <w:tcPr>
            <w:tcW w:w="1134" w:type="dxa"/>
          </w:tcPr>
          <w:p w14:paraId="1013523A" w14:textId="64B738E3" w:rsidR="00B4604B" w:rsidRPr="00DE12A3" w:rsidRDefault="00B4604B" w:rsidP="00C917D6">
            <w:pPr>
              <w:pStyle w:val="NormalLeft"/>
            </w:pPr>
            <w:r w:rsidRPr="00DE12A3">
              <w:rPr>
                <w:noProof/>
                <w:lang w:val="tr-TR"/>
              </w:rPr>
              <w:drawing>
                <wp:inline distT="0" distB="0" distL="0" distR="0" wp14:anchorId="1C64A845" wp14:editId="5C982DF7">
                  <wp:extent cx="170180" cy="193675"/>
                  <wp:effectExtent l="0" t="0" r="1270" b="0"/>
                  <wp:docPr id="2036" name="Resim 20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239">
                            <a:extLst>
                              <a:ext uri="{28A0092B-C50C-407E-A947-70E740481C1C}">
                                <a14:useLocalDpi xmlns:a14="http://schemas.microsoft.com/office/drawing/2010/main" val="0"/>
                              </a:ext>
                            </a:extLst>
                          </a:blip>
                          <a:srcRect/>
                          <a:stretch>
                            <a:fillRect/>
                          </a:stretch>
                        </pic:blipFill>
                        <pic:spPr bwMode="auto">
                          <a:xfrm>
                            <a:off x="0" y="0"/>
                            <a:ext cx="170180" cy="193675"/>
                          </a:xfrm>
                          <a:prstGeom prst="rect">
                            <a:avLst/>
                          </a:prstGeom>
                          <a:noFill/>
                          <a:ln>
                            <a:noFill/>
                          </a:ln>
                        </pic:spPr>
                      </pic:pic>
                    </a:graphicData>
                  </a:graphic>
                </wp:inline>
              </w:drawing>
            </w:r>
          </w:p>
        </w:tc>
        <w:tc>
          <w:tcPr>
            <w:tcW w:w="426" w:type="dxa"/>
          </w:tcPr>
          <w:p w14:paraId="50463C8F" w14:textId="77777777" w:rsidR="00B4604B" w:rsidRPr="00DE12A3" w:rsidRDefault="00B4604B" w:rsidP="00C917D6">
            <w:pPr>
              <w:pStyle w:val="NormalLeft"/>
            </w:pPr>
          </w:p>
        </w:tc>
        <w:tc>
          <w:tcPr>
            <w:tcW w:w="6484" w:type="dxa"/>
          </w:tcPr>
          <w:p w14:paraId="318E0A59" w14:textId="46AEE856" w:rsidR="00B4604B" w:rsidRPr="00DE12A3" w:rsidRDefault="00301A9C" w:rsidP="00C917D6">
            <w:pPr>
              <w:spacing w:before="120" w:after="120"/>
              <w:jc w:val="both"/>
              <w:rPr>
                <w:rFonts w:cs="Times New Roman"/>
                <w:color w:val="auto"/>
              </w:rPr>
            </w:pPr>
            <w:r w:rsidRPr="00DE12A3">
              <w:rPr>
                <w:rFonts w:cs="Times New Roman"/>
                <w:color w:val="auto"/>
              </w:rPr>
              <w:t>Test</w:t>
            </w:r>
            <w:r w:rsidR="00B4604B" w:rsidRPr="00DE12A3">
              <w:rPr>
                <w:rFonts w:cs="Times New Roman"/>
                <w:color w:val="auto"/>
              </w:rPr>
              <w:t xml:space="preserve"> için kullanılan seyreltme ayarlarına özgü uçucu </w:t>
            </w:r>
            <w:r w:rsidR="007E2039" w:rsidRPr="00DE12A3">
              <w:rPr>
                <w:rFonts w:cs="Times New Roman"/>
                <w:color w:val="auto"/>
              </w:rPr>
              <w:t xml:space="preserve">partikül </w:t>
            </w:r>
            <w:r w:rsidR="00B4604B" w:rsidRPr="00DE12A3">
              <w:rPr>
                <w:rFonts w:cs="Times New Roman"/>
                <w:color w:val="auto"/>
              </w:rPr>
              <w:t xml:space="preserve">gidericinin ortalama </w:t>
            </w:r>
            <w:r w:rsidR="007E2039" w:rsidRPr="00DE12A3">
              <w:rPr>
                <w:rFonts w:cs="Times New Roman"/>
                <w:color w:val="auto"/>
              </w:rPr>
              <w:t xml:space="preserve">partikül </w:t>
            </w:r>
            <w:r w:rsidR="00B4604B" w:rsidRPr="00DE12A3">
              <w:rPr>
                <w:rFonts w:cs="Times New Roman"/>
                <w:color w:val="auto"/>
              </w:rPr>
              <w:t>konsantrasyonu azaltma</w:t>
            </w:r>
            <w:r w:rsidR="00592B0C" w:rsidRPr="00DE12A3">
              <w:rPr>
                <w:rFonts w:cs="Times New Roman"/>
                <w:color w:val="auto"/>
              </w:rPr>
              <w:t>.</w:t>
            </w:r>
          </w:p>
        </w:tc>
      </w:tr>
    </w:tbl>
    <w:p w14:paraId="120C1A41" w14:textId="77777777" w:rsidR="009F4766" w:rsidRPr="00DE12A3" w:rsidRDefault="00B4604B" w:rsidP="00C917D6">
      <w:pPr>
        <w:spacing w:before="120" w:after="120"/>
        <w:rPr>
          <w:rFonts w:cs="Times New Roman"/>
          <w:color w:val="auto"/>
        </w:rPr>
      </w:pPr>
      <w:r w:rsidRPr="00DE12A3">
        <w:rPr>
          <w:rFonts w:cs="Times New Roman"/>
          <w:color w:val="auto"/>
        </w:rPr>
        <w:lastRenderedPageBreak/>
        <w:t>ve</w:t>
      </w:r>
    </w:p>
    <w:tbl>
      <w:tblPr>
        <w:tblW w:w="6249" w:type="dxa"/>
        <w:jc w:val="center"/>
        <w:tblLayout w:type="fixed"/>
        <w:tblLook w:val="0000" w:firstRow="0" w:lastRow="0" w:firstColumn="0" w:lastColumn="0" w:noHBand="0" w:noVBand="0"/>
      </w:tblPr>
      <w:tblGrid>
        <w:gridCol w:w="3437"/>
        <w:gridCol w:w="2812"/>
      </w:tblGrid>
      <w:tr w:rsidR="009F4766" w:rsidRPr="00DE12A3" w14:paraId="2F63B0E1" w14:textId="77777777" w:rsidTr="001A234D">
        <w:trPr>
          <w:trHeight w:val="1428"/>
          <w:jc w:val="center"/>
        </w:trPr>
        <w:tc>
          <w:tcPr>
            <w:tcW w:w="3437" w:type="dxa"/>
          </w:tcPr>
          <w:p w14:paraId="7557F4FE" w14:textId="061529AB" w:rsidR="009F4766" w:rsidRPr="00DE12A3" w:rsidRDefault="009F4766" w:rsidP="00C917D6">
            <w:pPr>
              <w:pStyle w:val="NormalLeft"/>
            </w:pPr>
            <w:r w:rsidRPr="00DE12A3">
              <w:rPr>
                <w:noProof/>
                <w:lang w:val="tr-TR"/>
              </w:rPr>
              <w:drawing>
                <wp:inline distT="0" distB="0" distL="0" distR="0" wp14:anchorId="552840D5" wp14:editId="044C1EFF">
                  <wp:extent cx="1524000" cy="668020"/>
                  <wp:effectExtent l="0" t="0" r="0" b="0"/>
                  <wp:docPr id="2035" name="Resim 2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241">
                            <a:extLst>
                              <a:ext uri="{28A0092B-C50C-407E-A947-70E740481C1C}">
                                <a14:useLocalDpi xmlns:a14="http://schemas.microsoft.com/office/drawing/2010/main" val="0"/>
                              </a:ext>
                            </a:extLst>
                          </a:blip>
                          <a:srcRect/>
                          <a:stretch>
                            <a:fillRect/>
                          </a:stretch>
                        </pic:blipFill>
                        <pic:spPr bwMode="auto">
                          <a:xfrm>
                            <a:off x="0" y="0"/>
                            <a:ext cx="1524000" cy="668020"/>
                          </a:xfrm>
                          <a:prstGeom prst="rect">
                            <a:avLst/>
                          </a:prstGeom>
                          <a:noFill/>
                          <a:ln>
                            <a:noFill/>
                          </a:ln>
                        </pic:spPr>
                      </pic:pic>
                    </a:graphicData>
                  </a:graphic>
                </wp:inline>
              </w:drawing>
            </w:r>
          </w:p>
        </w:tc>
        <w:tc>
          <w:tcPr>
            <w:tcW w:w="2812" w:type="dxa"/>
          </w:tcPr>
          <w:p w14:paraId="4A5EBC1E" w14:textId="77777777" w:rsidR="009F4766" w:rsidRPr="00DE12A3" w:rsidRDefault="009F4766" w:rsidP="00C917D6">
            <w:pPr>
              <w:pStyle w:val="NormalLeft"/>
            </w:pPr>
            <w:r w:rsidRPr="00DE12A3">
              <w:t>(7-170)</w:t>
            </w:r>
          </w:p>
        </w:tc>
      </w:tr>
    </w:tbl>
    <w:p w14:paraId="1E856362" w14:textId="77777777" w:rsidR="009F4766" w:rsidRPr="00DE12A3" w:rsidRDefault="009F4766" w:rsidP="00C917D6">
      <w:pPr>
        <w:spacing w:before="120" w:after="120"/>
        <w:rPr>
          <w:rFonts w:cs="Times New Roman"/>
          <w:color w:val="auto"/>
        </w:rPr>
      </w:pPr>
    </w:p>
    <w:p w14:paraId="7E42708D" w14:textId="77777777" w:rsidR="009F4766" w:rsidRPr="00DE12A3" w:rsidRDefault="008B3D9F" w:rsidP="00AB2658">
      <w:pPr>
        <w:spacing w:before="120" w:after="120"/>
        <w:rPr>
          <w:rFonts w:cs="Times New Roman"/>
          <w:color w:val="auto"/>
        </w:rPr>
      </w:pPr>
      <w:r w:rsidRPr="00DE12A3">
        <w:rPr>
          <w:rFonts w:cs="Times New Roman"/>
          <w:color w:val="auto"/>
        </w:rPr>
        <w:t>Burada</w:t>
      </w:r>
      <w:r w:rsidR="009F4766" w:rsidRPr="00DE12A3">
        <w:rPr>
          <w:rFonts w:cs="Times New Roman"/>
          <w:color w:val="auto"/>
        </w:rPr>
        <w:t>:</w:t>
      </w:r>
    </w:p>
    <w:tbl>
      <w:tblPr>
        <w:tblW w:w="0" w:type="auto"/>
        <w:tblInd w:w="1242" w:type="dxa"/>
        <w:tblLayout w:type="fixed"/>
        <w:tblLook w:val="0000" w:firstRow="0" w:lastRow="0" w:firstColumn="0" w:lastColumn="0" w:noHBand="0" w:noVBand="0"/>
      </w:tblPr>
      <w:tblGrid>
        <w:gridCol w:w="851"/>
        <w:gridCol w:w="283"/>
        <w:gridCol w:w="6910"/>
      </w:tblGrid>
      <w:tr w:rsidR="00DE12A3" w:rsidRPr="00DE12A3" w14:paraId="34471B82" w14:textId="77777777" w:rsidTr="006D7ADF">
        <w:tc>
          <w:tcPr>
            <w:tcW w:w="851" w:type="dxa"/>
          </w:tcPr>
          <w:p w14:paraId="55E4DC24" w14:textId="77777777" w:rsidR="009F4766" w:rsidRPr="00DE12A3" w:rsidRDefault="009F4766" w:rsidP="00C917D6">
            <w:pPr>
              <w:pStyle w:val="NormalLeft"/>
            </w:pPr>
            <w:r w:rsidRPr="00DE12A3">
              <w:rPr>
                <w:i/>
                <w:iCs/>
              </w:rPr>
              <w:t>c</w:t>
            </w:r>
            <w:r w:rsidRPr="00DE12A3">
              <w:rPr>
                <w:i/>
                <w:iCs/>
                <w:vertAlign w:val="subscript"/>
              </w:rPr>
              <w:t>s,i</w:t>
            </w:r>
          </w:p>
        </w:tc>
        <w:tc>
          <w:tcPr>
            <w:tcW w:w="283" w:type="dxa"/>
          </w:tcPr>
          <w:p w14:paraId="47DE21ED" w14:textId="77777777" w:rsidR="009F4766" w:rsidRPr="00DE12A3" w:rsidRDefault="009F4766" w:rsidP="00C917D6">
            <w:pPr>
              <w:pStyle w:val="NormalLeft"/>
            </w:pPr>
          </w:p>
        </w:tc>
        <w:tc>
          <w:tcPr>
            <w:tcW w:w="6910" w:type="dxa"/>
          </w:tcPr>
          <w:p w14:paraId="2FC85A90" w14:textId="278B78C4" w:rsidR="009F4766" w:rsidRPr="00DE12A3" w:rsidRDefault="00301A9C" w:rsidP="00C917D6">
            <w:pPr>
              <w:pStyle w:val="NormalLeft"/>
              <w:jc w:val="both"/>
            </w:pPr>
            <w:r w:rsidRPr="00DE12A3">
              <w:t>Partikül</w:t>
            </w:r>
            <w:r w:rsidR="007E2039" w:rsidRPr="00DE12A3">
              <w:t xml:space="preserve"> </w:t>
            </w:r>
            <w:r w:rsidR="00B4604B" w:rsidRPr="00DE12A3">
              <w:t xml:space="preserve">sayacından gelen seyreltilmiş egzoz gazı içindeki </w:t>
            </w:r>
            <w:r w:rsidR="007E2039" w:rsidRPr="00DE12A3">
              <w:t xml:space="preserve">partikül </w:t>
            </w:r>
            <w:r w:rsidR="00B4604B" w:rsidRPr="00DE12A3">
              <w:t>konsantrasyonunun, tesadüf ve standart şartlara (273,2 K ve 101,33 kPa) göre düzeltilmiş ayrı bir ölçümüdür, santimetre küp başına parçacık,</w:t>
            </w:r>
          </w:p>
        </w:tc>
      </w:tr>
      <w:tr w:rsidR="009F4766" w:rsidRPr="00DE12A3" w14:paraId="11C116D0" w14:textId="77777777" w:rsidTr="006D7ADF">
        <w:tc>
          <w:tcPr>
            <w:tcW w:w="851" w:type="dxa"/>
          </w:tcPr>
          <w:p w14:paraId="26F711DC" w14:textId="77777777" w:rsidR="009F4766" w:rsidRPr="00DE12A3" w:rsidRDefault="009F4766" w:rsidP="00C917D6">
            <w:pPr>
              <w:pStyle w:val="NormalLeft"/>
            </w:pPr>
            <w:r w:rsidRPr="00DE12A3">
              <w:rPr>
                <w:i/>
                <w:iCs/>
              </w:rPr>
              <w:t>n</w:t>
            </w:r>
          </w:p>
        </w:tc>
        <w:tc>
          <w:tcPr>
            <w:tcW w:w="283" w:type="dxa"/>
          </w:tcPr>
          <w:p w14:paraId="6F74F145" w14:textId="77777777" w:rsidR="009F4766" w:rsidRPr="00DE12A3" w:rsidRDefault="009F4766" w:rsidP="00C917D6">
            <w:pPr>
              <w:pStyle w:val="NormalLeft"/>
            </w:pPr>
          </w:p>
        </w:tc>
        <w:tc>
          <w:tcPr>
            <w:tcW w:w="6910" w:type="dxa"/>
          </w:tcPr>
          <w:p w14:paraId="7458E7CA" w14:textId="459916D9" w:rsidR="009F4766" w:rsidRPr="00DE12A3" w:rsidRDefault="00301A9C" w:rsidP="00C917D6">
            <w:pPr>
              <w:pStyle w:val="NormalLeft"/>
              <w:jc w:val="both"/>
            </w:pPr>
            <w:r w:rsidRPr="00DE12A3">
              <w:t>Test</w:t>
            </w:r>
            <w:r w:rsidR="00B4604B" w:rsidRPr="00DE12A3">
              <w:t xml:space="preserve"> süresi boyunca alınan </w:t>
            </w:r>
            <w:r w:rsidR="007E2039" w:rsidRPr="00DE12A3">
              <w:t xml:space="preserve">partikül </w:t>
            </w:r>
            <w:r w:rsidR="00B4604B" w:rsidRPr="00DE12A3">
              <w:t>konsantrasyonu ölçümlerinin sayısıdır.</w:t>
            </w:r>
          </w:p>
        </w:tc>
      </w:tr>
    </w:tbl>
    <w:p w14:paraId="3794E8BA" w14:textId="77777777" w:rsidR="009F4766" w:rsidRPr="00DE12A3" w:rsidRDefault="009F4766" w:rsidP="00C917D6">
      <w:pPr>
        <w:spacing w:before="120" w:after="120"/>
        <w:rPr>
          <w:rFonts w:cs="Times New Roman"/>
          <w:color w:val="auto"/>
        </w:rPr>
      </w:pPr>
    </w:p>
    <w:p w14:paraId="66B10621" w14:textId="1DEB7818" w:rsidR="007576DF" w:rsidRPr="00DE12A3" w:rsidRDefault="009F4766" w:rsidP="007D4F82">
      <w:pPr>
        <w:jc w:val="both"/>
        <w:rPr>
          <w:color w:val="auto"/>
        </w:rPr>
      </w:pPr>
      <w:r w:rsidRPr="00DE12A3">
        <w:rPr>
          <w:color w:val="auto"/>
        </w:rPr>
        <w:t>1.4.</w:t>
      </w:r>
      <w:r w:rsidR="007D4F82" w:rsidRPr="00DE12A3">
        <w:rPr>
          <w:color w:val="auto"/>
        </w:rPr>
        <w:t xml:space="preserve"> </w:t>
      </w:r>
      <w:r w:rsidR="007576DF" w:rsidRPr="00DE12A3">
        <w:rPr>
          <w:color w:val="auto"/>
        </w:rPr>
        <w:t xml:space="preserve">Kısmi akışlı seyreltme sistemine sahip ayrık modlu NRSC için </w:t>
      </w:r>
      <w:r w:rsidR="007E2039" w:rsidRPr="00DE12A3">
        <w:rPr>
          <w:color w:val="auto"/>
        </w:rPr>
        <w:t xml:space="preserve">partikül </w:t>
      </w:r>
      <w:r w:rsidR="007576DF" w:rsidRPr="00DE12A3">
        <w:rPr>
          <w:color w:val="auto"/>
        </w:rPr>
        <w:t>sayılarının belirlenmesi</w:t>
      </w:r>
    </w:p>
    <w:p w14:paraId="6A46B8D0" w14:textId="77777777" w:rsidR="00AB2658" w:rsidRPr="00DE12A3" w:rsidRDefault="00AB2658" w:rsidP="00AB2658">
      <w:pPr>
        <w:jc w:val="both"/>
        <w:rPr>
          <w:color w:val="auto"/>
        </w:rPr>
      </w:pPr>
    </w:p>
    <w:p w14:paraId="304502AC" w14:textId="3F13FC8A" w:rsidR="007576DF" w:rsidRPr="00DE12A3" w:rsidRDefault="007E2039" w:rsidP="00AB2658">
      <w:pPr>
        <w:jc w:val="both"/>
        <w:rPr>
          <w:color w:val="auto"/>
        </w:rPr>
      </w:pPr>
      <w:r w:rsidRPr="00DE12A3">
        <w:rPr>
          <w:color w:val="auto"/>
        </w:rPr>
        <w:t xml:space="preserve">Partikül </w:t>
      </w:r>
      <w:r w:rsidR="007576DF" w:rsidRPr="00DE12A3">
        <w:rPr>
          <w:color w:val="auto"/>
        </w:rPr>
        <w:t xml:space="preserve">sayılarının, </w:t>
      </w:r>
      <w:r w:rsidR="00FA0678" w:rsidRPr="00DE12A3">
        <w:rPr>
          <w:color w:val="auto"/>
        </w:rPr>
        <w:t xml:space="preserve">VI’ncı </w:t>
      </w:r>
      <w:r w:rsidR="002F5BBD" w:rsidRPr="00DE12A3">
        <w:rPr>
          <w:color w:val="auto"/>
        </w:rPr>
        <w:t>E</w:t>
      </w:r>
      <w:r w:rsidR="00FA0678" w:rsidRPr="00DE12A3">
        <w:rPr>
          <w:color w:val="auto"/>
        </w:rPr>
        <w:t>k</w:t>
      </w:r>
      <w:r w:rsidR="007576DF" w:rsidRPr="00DE12A3">
        <w:rPr>
          <w:color w:val="auto"/>
        </w:rPr>
        <w:t xml:space="preserve">in 9.2.3 bendinde belirtilen şartlar uyarınca bir kısmi akışlı seyreltme sistemi kullanılarak örneklenmesi durumunda, her bağımsız ayrık mod boyunca </w:t>
      </w:r>
      <w:r w:rsidRPr="00DE12A3">
        <w:rPr>
          <w:color w:val="auto"/>
        </w:rPr>
        <w:t xml:space="preserve">partikül </w:t>
      </w:r>
      <w:r w:rsidR="007576DF" w:rsidRPr="00DE12A3">
        <w:rPr>
          <w:color w:val="auto"/>
        </w:rPr>
        <w:t xml:space="preserve">emisyın hızı, mod için ortalama değerler kullanılarak (7-171) </w:t>
      </w:r>
      <w:r w:rsidR="005C6D9F" w:rsidRPr="00DE12A3">
        <w:rPr>
          <w:color w:val="auto"/>
        </w:rPr>
        <w:t>numaralı</w:t>
      </w:r>
      <w:r w:rsidR="005C6D9F" w:rsidRPr="00DE12A3" w:rsidDel="005C6D9F">
        <w:rPr>
          <w:color w:val="auto"/>
        </w:rPr>
        <w:t xml:space="preserve"> </w:t>
      </w:r>
      <w:r w:rsidR="007576DF" w:rsidRPr="00DE12A3">
        <w:rPr>
          <w:color w:val="auto"/>
        </w:rPr>
        <w:t>denklem ile hesaplanmalıdır:</w:t>
      </w:r>
    </w:p>
    <w:p w14:paraId="62843C6D" w14:textId="77777777" w:rsidR="007576DF" w:rsidRPr="00DE12A3" w:rsidRDefault="007576DF" w:rsidP="00051047">
      <w:pPr>
        <w:rPr>
          <w:color w:val="auto"/>
        </w:rPr>
      </w:pPr>
    </w:p>
    <w:tbl>
      <w:tblPr>
        <w:tblW w:w="0" w:type="auto"/>
        <w:jc w:val="center"/>
        <w:tblLayout w:type="fixed"/>
        <w:tblLook w:val="0000" w:firstRow="0" w:lastRow="0" w:firstColumn="0" w:lastColumn="0" w:noHBand="0" w:noVBand="0"/>
      </w:tblPr>
      <w:tblGrid>
        <w:gridCol w:w="5949"/>
        <w:gridCol w:w="1069"/>
      </w:tblGrid>
      <w:tr w:rsidR="00DE12A3" w:rsidRPr="00DE12A3" w14:paraId="35E9C53B" w14:textId="77777777" w:rsidTr="00BA27F7">
        <w:trPr>
          <w:trHeight w:val="1141"/>
          <w:jc w:val="center"/>
        </w:trPr>
        <w:tc>
          <w:tcPr>
            <w:tcW w:w="5949" w:type="dxa"/>
          </w:tcPr>
          <w:p w14:paraId="099CB4AC" w14:textId="396AF666" w:rsidR="009F4766" w:rsidRPr="00DE12A3" w:rsidRDefault="00D82E1E" w:rsidP="00C917D6">
            <w:pPr>
              <w:pStyle w:val="NormalLeft"/>
            </w:pPr>
            <w:r w:rsidRPr="00DE12A3">
              <w:rPr>
                <w:noProof/>
                <w:lang w:val="tr-TR"/>
              </w:rPr>
              <w:drawing>
                <wp:inline distT="0" distB="0" distL="0" distR="0" wp14:anchorId="2A72C4C1" wp14:editId="51CBC6C4">
                  <wp:extent cx="2959100" cy="517525"/>
                  <wp:effectExtent l="0" t="0" r="0" b="0"/>
                  <wp:docPr id="144" name="Resim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42">
                            <a:extLst>
                              <a:ext uri="{28A0092B-C50C-407E-A947-70E740481C1C}">
                                <a14:useLocalDpi xmlns:a14="http://schemas.microsoft.com/office/drawing/2010/main" val="0"/>
                              </a:ext>
                            </a:extLst>
                          </a:blip>
                          <a:srcRect/>
                          <a:stretch>
                            <a:fillRect/>
                          </a:stretch>
                        </pic:blipFill>
                        <pic:spPr bwMode="auto">
                          <a:xfrm>
                            <a:off x="0" y="0"/>
                            <a:ext cx="2959100" cy="517525"/>
                          </a:xfrm>
                          <a:prstGeom prst="rect">
                            <a:avLst/>
                          </a:prstGeom>
                          <a:noFill/>
                          <a:ln>
                            <a:noFill/>
                          </a:ln>
                        </pic:spPr>
                      </pic:pic>
                    </a:graphicData>
                  </a:graphic>
                </wp:inline>
              </w:drawing>
            </w:r>
          </w:p>
        </w:tc>
        <w:tc>
          <w:tcPr>
            <w:tcW w:w="1069" w:type="dxa"/>
          </w:tcPr>
          <w:p w14:paraId="5BCBD651" w14:textId="77777777" w:rsidR="009F4766" w:rsidRPr="00DE12A3" w:rsidRDefault="009F4766" w:rsidP="00C917D6">
            <w:pPr>
              <w:pStyle w:val="NormalLeft"/>
            </w:pPr>
            <w:r w:rsidRPr="00DE12A3">
              <w:t>(7-171)</w:t>
            </w:r>
          </w:p>
        </w:tc>
      </w:tr>
    </w:tbl>
    <w:p w14:paraId="0FEACCBA" w14:textId="472C17F4" w:rsidR="009F4766" w:rsidRPr="00DE12A3" w:rsidRDefault="008B3D9F" w:rsidP="00AB2658">
      <w:pPr>
        <w:spacing w:before="120" w:after="120"/>
        <w:rPr>
          <w:rFonts w:cs="Times New Roman"/>
          <w:color w:val="auto"/>
        </w:rPr>
      </w:pPr>
      <w:r w:rsidRPr="00DE12A3">
        <w:rPr>
          <w:rFonts w:cs="Times New Roman"/>
          <w:color w:val="auto"/>
        </w:rPr>
        <w:t>Burada</w:t>
      </w:r>
      <w:r w:rsidR="009F4766" w:rsidRPr="00DE12A3">
        <w:rPr>
          <w:rFonts w:cs="Times New Roman"/>
          <w:color w:val="auto"/>
        </w:rPr>
        <w:t>:</w:t>
      </w:r>
    </w:p>
    <w:tbl>
      <w:tblPr>
        <w:tblW w:w="0" w:type="auto"/>
        <w:tblInd w:w="1242" w:type="dxa"/>
        <w:tblLayout w:type="fixed"/>
        <w:tblLook w:val="0000" w:firstRow="0" w:lastRow="0" w:firstColumn="0" w:lastColumn="0" w:noHBand="0" w:noVBand="0"/>
      </w:tblPr>
      <w:tblGrid>
        <w:gridCol w:w="851"/>
        <w:gridCol w:w="283"/>
        <w:gridCol w:w="6910"/>
      </w:tblGrid>
      <w:tr w:rsidR="00DE12A3" w:rsidRPr="00DE12A3" w14:paraId="43E9666E" w14:textId="77777777" w:rsidTr="006D7ADF">
        <w:tc>
          <w:tcPr>
            <w:tcW w:w="851" w:type="dxa"/>
          </w:tcPr>
          <w:p w14:paraId="3DBCAEE6" w14:textId="77777777" w:rsidR="008067E0" w:rsidRPr="00DE12A3" w:rsidRDefault="008067E0" w:rsidP="00C917D6">
            <w:pPr>
              <w:pStyle w:val="NormalLeft"/>
            </w:pPr>
            <w:r w:rsidRPr="00DE12A3">
              <w:rPr>
                <w:i/>
                <w:iCs/>
              </w:rPr>
              <w:t>Ṅ</w:t>
            </w:r>
          </w:p>
        </w:tc>
        <w:tc>
          <w:tcPr>
            <w:tcW w:w="283" w:type="dxa"/>
          </w:tcPr>
          <w:p w14:paraId="0A8E714B" w14:textId="77777777" w:rsidR="008067E0" w:rsidRPr="00DE12A3" w:rsidRDefault="008067E0" w:rsidP="00C917D6">
            <w:pPr>
              <w:pStyle w:val="NormalLeft"/>
            </w:pPr>
          </w:p>
        </w:tc>
        <w:tc>
          <w:tcPr>
            <w:tcW w:w="6910" w:type="dxa"/>
          </w:tcPr>
          <w:p w14:paraId="159D0584" w14:textId="5AF3846E" w:rsidR="008067E0" w:rsidRPr="00DE12A3" w:rsidRDefault="00301A9C" w:rsidP="00C917D6">
            <w:pPr>
              <w:spacing w:before="120" w:after="120"/>
              <w:jc w:val="both"/>
              <w:rPr>
                <w:rFonts w:cs="Times New Roman"/>
                <w:color w:val="auto"/>
              </w:rPr>
            </w:pPr>
            <w:r w:rsidRPr="00DE12A3">
              <w:rPr>
                <w:rFonts w:cs="Times New Roman"/>
                <w:color w:val="auto"/>
              </w:rPr>
              <w:t>Bağımsız</w:t>
            </w:r>
            <w:r w:rsidR="008067E0" w:rsidRPr="00DE12A3">
              <w:rPr>
                <w:rFonts w:cs="Times New Roman"/>
                <w:color w:val="auto"/>
              </w:rPr>
              <w:t xml:space="preserve"> ayrık mod sırasında parçacıkların emisyon hızıdır, [#/h]</w:t>
            </w:r>
            <w:r w:rsidR="00592B0C" w:rsidRPr="00DE12A3">
              <w:rPr>
                <w:rFonts w:cs="Times New Roman"/>
                <w:color w:val="auto"/>
              </w:rPr>
              <w:t>.</w:t>
            </w:r>
          </w:p>
        </w:tc>
      </w:tr>
      <w:tr w:rsidR="00DE12A3" w:rsidRPr="00DE12A3" w14:paraId="004FE38C" w14:textId="77777777" w:rsidTr="006D7ADF">
        <w:tc>
          <w:tcPr>
            <w:tcW w:w="851" w:type="dxa"/>
          </w:tcPr>
          <w:p w14:paraId="6C0B5CC1" w14:textId="77777777" w:rsidR="008067E0" w:rsidRPr="00DE12A3" w:rsidRDefault="008067E0" w:rsidP="00C917D6">
            <w:pPr>
              <w:pStyle w:val="NormalLeft"/>
            </w:pPr>
            <w:r w:rsidRPr="00DE12A3">
              <w:rPr>
                <w:i/>
                <w:iCs/>
              </w:rPr>
              <w:t>q</w:t>
            </w:r>
            <w:r w:rsidRPr="00DE12A3">
              <w:rPr>
                <w:i/>
                <w:iCs/>
                <w:vertAlign w:val="subscript"/>
              </w:rPr>
              <w:t>medf</w:t>
            </w:r>
          </w:p>
        </w:tc>
        <w:tc>
          <w:tcPr>
            <w:tcW w:w="283" w:type="dxa"/>
          </w:tcPr>
          <w:p w14:paraId="0AF24D4E" w14:textId="77777777" w:rsidR="008067E0" w:rsidRPr="00DE12A3" w:rsidRDefault="008067E0" w:rsidP="00C917D6">
            <w:pPr>
              <w:pStyle w:val="NormalLeft"/>
            </w:pPr>
          </w:p>
        </w:tc>
        <w:tc>
          <w:tcPr>
            <w:tcW w:w="6910" w:type="dxa"/>
          </w:tcPr>
          <w:p w14:paraId="0C8C601D" w14:textId="018D3BCE" w:rsidR="008067E0" w:rsidRPr="00DE12A3" w:rsidRDefault="008067E0">
            <w:pPr>
              <w:spacing w:before="120" w:after="120"/>
              <w:jc w:val="both"/>
              <w:rPr>
                <w:rFonts w:cs="Times New Roman"/>
                <w:color w:val="auto"/>
              </w:rPr>
            </w:pPr>
            <w:r w:rsidRPr="00DE12A3">
              <w:rPr>
                <w:rFonts w:cs="Times New Roman"/>
                <w:color w:val="auto"/>
              </w:rPr>
              <w:t xml:space="preserve">(7-51) </w:t>
            </w:r>
            <w:r w:rsidR="005C6D9F" w:rsidRPr="00DE12A3">
              <w:rPr>
                <w:color w:val="auto"/>
              </w:rPr>
              <w:t>numaralı</w:t>
            </w:r>
            <w:r w:rsidR="005C6D9F" w:rsidRPr="00DE12A3" w:rsidDel="005C6D9F">
              <w:rPr>
                <w:rFonts w:cs="Times New Roman"/>
                <w:color w:val="auto"/>
              </w:rPr>
              <w:t xml:space="preserve"> </w:t>
            </w:r>
            <w:r w:rsidRPr="00DE12A3">
              <w:rPr>
                <w:rFonts w:cs="Times New Roman"/>
                <w:color w:val="auto"/>
              </w:rPr>
              <w:t>denklem (</w:t>
            </w:r>
            <w:r w:rsidR="00592B0C" w:rsidRPr="00DE12A3">
              <w:rPr>
                <w:rFonts w:cs="Times New Roman"/>
                <w:color w:val="auto"/>
              </w:rPr>
              <w:t xml:space="preserve">bu Ekin </w:t>
            </w:r>
            <w:r w:rsidRPr="00DE12A3">
              <w:rPr>
                <w:rFonts w:cs="Times New Roman"/>
                <w:color w:val="auto"/>
              </w:rPr>
              <w:t>2.3.2.1 bendi) uyarınca belirlenen bağımsız ayrık mod sırasında yaş bazda denk seyreltilmiş egzoz kütle akış hızıdır, [kg/s]</w:t>
            </w:r>
            <w:r w:rsidR="00592B0C" w:rsidRPr="00DE12A3">
              <w:rPr>
                <w:rFonts w:cs="Times New Roman"/>
                <w:color w:val="auto"/>
              </w:rPr>
              <w:t>.</w:t>
            </w:r>
          </w:p>
        </w:tc>
      </w:tr>
      <w:tr w:rsidR="00DE12A3" w:rsidRPr="00DE12A3" w14:paraId="689150A6" w14:textId="77777777" w:rsidTr="006D7ADF">
        <w:tc>
          <w:tcPr>
            <w:tcW w:w="851" w:type="dxa"/>
          </w:tcPr>
          <w:p w14:paraId="13D92F61" w14:textId="77777777" w:rsidR="008067E0" w:rsidRPr="00DE12A3" w:rsidRDefault="008067E0" w:rsidP="00C917D6">
            <w:pPr>
              <w:pStyle w:val="NormalLeft"/>
            </w:pPr>
            <w:r w:rsidRPr="00DE12A3">
              <w:rPr>
                <w:i/>
                <w:iCs/>
              </w:rPr>
              <w:t>k</w:t>
            </w:r>
          </w:p>
        </w:tc>
        <w:tc>
          <w:tcPr>
            <w:tcW w:w="283" w:type="dxa"/>
          </w:tcPr>
          <w:p w14:paraId="0DFB5497" w14:textId="77777777" w:rsidR="008067E0" w:rsidRPr="00DE12A3" w:rsidRDefault="008067E0" w:rsidP="00C917D6">
            <w:pPr>
              <w:pStyle w:val="NormalLeft"/>
            </w:pPr>
          </w:p>
        </w:tc>
        <w:tc>
          <w:tcPr>
            <w:tcW w:w="6910" w:type="dxa"/>
          </w:tcPr>
          <w:p w14:paraId="7DE8D71C" w14:textId="70BC130D" w:rsidR="008067E0" w:rsidRPr="00DE12A3" w:rsidRDefault="00301A9C">
            <w:pPr>
              <w:spacing w:before="120" w:after="120"/>
              <w:jc w:val="both"/>
              <w:rPr>
                <w:rFonts w:cs="Times New Roman"/>
                <w:color w:val="auto"/>
              </w:rPr>
            </w:pPr>
            <w:r w:rsidRPr="00DE12A3">
              <w:rPr>
                <w:rFonts w:cs="Times New Roman"/>
                <w:color w:val="auto"/>
              </w:rPr>
              <w:t>Bunun</w:t>
            </w:r>
            <w:r w:rsidR="008067E0" w:rsidRPr="00DE12A3">
              <w:rPr>
                <w:rFonts w:cs="Times New Roman"/>
                <w:color w:val="auto"/>
              </w:rPr>
              <w:t xml:space="preserve"> </w:t>
            </w:r>
            <w:r w:rsidR="007E2039" w:rsidRPr="00DE12A3">
              <w:rPr>
                <w:rFonts w:cs="Times New Roman"/>
                <w:color w:val="auto"/>
              </w:rPr>
              <w:t xml:space="preserve">partikül </w:t>
            </w:r>
            <w:r w:rsidR="008067E0" w:rsidRPr="00DE12A3">
              <w:rPr>
                <w:rFonts w:cs="Times New Roman"/>
                <w:color w:val="auto"/>
              </w:rPr>
              <w:t xml:space="preserve">sayısı sayacı içerisinde dahili olarak uygulanmadığı durumlarda, </w:t>
            </w:r>
            <w:r w:rsidR="007E2039" w:rsidRPr="00DE12A3">
              <w:rPr>
                <w:rFonts w:cs="Times New Roman"/>
                <w:color w:val="auto"/>
              </w:rPr>
              <w:t xml:space="preserve">partikül </w:t>
            </w:r>
            <w:r w:rsidR="008067E0" w:rsidRPr="00DE12A3">
              <w:rPr>
                <w:rFonts w:cs="Times New Roman"/>
                <w:color w:val="auto"/>
              </w:rPr>
              <w:t xml:space="preserve">sayısı sayacı ölçümlerini referans cihaz seviyesine düzeltmek için kalibrasyon faktörüdür. Kalibrasyon faktörünün, </w:t>
            </w:r>
            <w:r w:rsidR="007E2039" w:rsidRPr="00DE12A3">
              <w:rPr>
                <w:rFonts w:cs="Times New Roman"/>
                <w:color w:val="auto"/>
              </w:rPr>
              <w:t xml:space="preserve">partikül </w:t>
            </w:r>
            <w:r w:rsidR="008067E0" w:rsidRPr="00DE12A3">
              <w:rPr>
                <w:rFonts w:cs="Times New Roman"/>
                <w:color w:val="auto"/>
              </w:rPr>
              <w:t xml:space="preserve">sayısı sayacında dahili olarak uygulandığı durumlarda, (7-171) </w:t>
            </w:r>
            <w:r w:rsidR="005C6D9F" w:rsidRPr="00DE12A3">
              <w:rPr>
                <w:color w:val="auto"/>
              </w:rPr>
              <w:t>numaralı</w:t>
            </w:r>
            <w:r w:rsidR="005C6D9F" w:rsidRPr="00DE12A3" w:rsidDel="005C6D9F">
              <w:rPr>
                <w:rFonts w:cs="Times New Roman"/>
                <w:color w:val="auto"/>
              </w:rPr>
              <w:t xml:space="preserve"> </w:t>
            </w:r>
            <w:r w:rsidR="008067E0" w:rsidRPr="00DE12A3">
              <w:rPr>
                <w:rFonts w:cs="Times New Roman"/>
                <w:color w:val="auto"/>
              </w:rPr>
              <w:t>denklemde k için 1 değeri kullanılmalıdır</w:t>
            </w:r>
            <w:r w:rsidR="00592B0C" w:rsidRPr="00DE12A3">
              <w:rPr>
                <w:rFonts w:cs="Times New Roman"/>
                <w:color w:val="auto"/>
              </w:rPr>
              <w:t>.</w:t>
            </w:r>
          </w:p>
        </w:tc>
      </w:tr>
      <w:tr w:rsidR="00DE12A3" w:rsidRPr="00DE12A3" w14:paraId="53E5FC84" w14:textId="77777777" w:rsidTr="006D7ADF">
        <w:tc>
          <w:tcPr>
            <w:tcW w:w="851" w:type="dxa"/>
          </w:tcPr>
          <w:p w14:paraId="29CFEFE9" w14:textId="3BD87348" w:rsidR="008067E0" w:rsidRPr="00DE12A3" w:rsidRDefault="008067E0" w:rsidP="00C917D6">
            <w:pPr>
              <w:pStyle w:val="NormalLeft"/>
            </w:pPr>
            <w:r w:rsidRPr="00DE12A3">
              <w:rPr>
                <w:noProof/>
                <w:lang w:val="tr-TR"/>
              </w:rPr>
              <w:drawing>
                <wp:inline distT="0" distB="0" distL="0" distR="0" wp14:anchorId="2B70DB86" wp14:editId="23A2603A">
                  <wp:extent cx="269875" cy="269875"/>
                  <wp:effectExtent l="0" t="0" r="0" b="0"/>
                  <wp:docPr id="2033" name="Resim 2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238">
                            <a:extLst>
                              <a:ext uri="{28A0092B-C50C-407E-A947-70E740481C1C}">
                                <a14:useLocalDpi xmlns:a14="http://schemas.microsoft.com/office/drawing/2010/main" val="0"/>
                              </a:ext>
                            </a:extLst>
                          </a:blip>
                          <a:srcRect/>
                          <a:stretch>
                            <a:fillRect/>
                          </a:stretch>
                        </pic:blipFill>
                        <pic:spPr bwMode="auto">
                          <a:xfrm>
                            <a:off x="0" y="0"/>
                            <a:ext cx="269875" cy="269875"/>
                          </a:xfrm>
                          <a:prstGeom prst="rect">
                            <a:avLst/>
                          </a:prstGeom>
                          <a:noFill/>
                          <a:ln>
                            <a:noFill/>
                          </a:ln>
                        </pic:spPr>
                      </pic:pic>
                    </a:graphicData>
                  </a:graphic>
                </wp:inline>
              </w:drawing>
            </w:r>
          </w:p>
        </w:tc>
        <w:tc>
          <w:tcPr>
            <w:tcW w:w="283" w:type="dxa"/>
          </w:tcPr>
          <w:p w14:paraId="29337DEF" w14:textId="77777777" w:rsidR="008067E0" w:rsidRPr="00DE12A3" w:rsidRDefault="008067E0" w:rsidP="00C917D6">
            <w:pPr>
              <w:pStyle w:val="NormalLeft"/>
            </w:pPr>
          </w:p>
        </w:tc>
        <w:tc>
          <w:tcPr>
            <w:tcW w:w="6910" w:type="dxa"/>
          </w:tcPr>
          <w:p w14:paraId="37730DD2" w14:textId="7A33D1D4" w:rsidR="008067E0" w:rsidRPr="00DE12A3" w:rsidRDefault="00301A9C" w:rsidP="00C917D6">
            <w:pPr>
              <w:spacing w:before="120" w:after="120"/>
              <w:jc w:val="both"/>
              <w:rPr>
                <w:rFonts w:cs="Times New Roman"/>
                <w:color w:val="auto"/>
              </w:rPr>
            </w:pPr>
            <w:r w:rsidRPr="00DE12A3">
              <w:rPr>
                <w:rFonts w:cs="Times New Roman"/>
                <w:color w:val="auto"/>
              </w:rPr>
              <w:t>Standart</w:t>
            </w:r>
            <w:r w:rsidR="008067E0" w:rsidRPr="00DE12A3">
              <w:rPr>
                <w:rFonts w:cs="Times New Roman"/>
                <w:color w:val="auto"/>
              </w:rPr>
              <w:t xml:space="preserve"> koşullara (273,2 K ve 101,33 kPa) göre düzeltilmiş, bağımsız ayrık modda seyreltilmiş egzoz gazından gelen ortalama </w:t>
            </w:r>
            <w:r w:rsidR="007E2039" w:rsidRPr="00DE12A3">
              <w:rPr>
                <w:rFonts w:cs="Times New Roman"/>
                <w:color w:val="auto"/>
              </w:rPr>
              <w:t xml:space="preserve">partikül </w:t>
            </w:r>
            <w:r w:rsidR="008067E0" w:rsidRPr="00DE12A3">
              <w:rPr>
                <w:rFonts w:cs="Times New Roman"/>
                <w:color w:val="auto"/>
              </w:rPr>
              <w:t>konsantrasyonudur, santimetre küp başına parçacık</w:t>
            </w:r>
            <w:r w:rsidR="00592B0C" w:rsidRPr="00DE12A3">
              <w:rPr>
                <w:rFonts w:cs="Times New Roman"/>
                <w:color w:val="auto"/>
              </w:rPr>
              <w:t>.</w:t>
            </w:r>
          </w:p>
        </w:tc>
      </w:tr>
      <w:tr w:rsidR="008067E0" w:rsidRPr="00DE12A3" w14:paraId="2DB99EC3" w14:textId="77777777" w:rsidTr="006D7ADF">
        <w:tc>
          <w:tcPr>
            <w:tcW w:w="851" w:type="dxa"/>
          </w:tcPr>
          <w:p w14:paraId="39153BE1" w14:textId="5A7E2FA0" w:rsidR="008067E0" w:rsidRPr="00DE12A3" w:rsidRDefault="008067E0" w:rsidP="00C917D6">
            <w:pPr>
              <w:pStyle w:val="NormalLeft"/>
            </w:pPr>
            <w:r w:rsidRPr="00DE12A3">
              <w:rPr>
                <w:noProof/>
                <w:lang w:val="tr-TR"/>
              </w:rPr>
              <w:drawing>
                <wp:inline distT="0" distB="0" distL="0" distR="0" wp14:anchorId="2752470F" wp14:editId="1A7CCC34">
                  <wp:extent cx="170180" cy="193675"/>
                  <wp:effectExtent l="0" t="0" r="1270" b="0"/>
                  <wp:docPr id="2032" name="Resim 20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239">
                            <a:extLst>
                              <a:ext uri="{28A0092B-C50C-407E-A947-70E740481C1C}">
                                <a14:useLocalDpi xmlns:a14="http://schemas.microsoft.com/office/drawing/2010/main" val="0"/>
                              </a:ext>
                            </a:extLst>
                          </a:blip>
                          <a:srcRect/>
                          <a:stretch>
                            <a:fillRect/>
                          </a:stretch>
                        </pic:blipFill>
                        <pic:spPr bwMode="auto">
                          <a:xfrm>
                            <a:off x="0" y="0"/>
                            <a:ext cx="170180" cy="193675"/>
                          </a:xfrm>
                          <a:prstGeom prst="rect">
                            <a:avLst/>
                          </a:prstGeom>
                          <a:noFill/>
                          <a:ln>
                            <a:noFill/>
                          </a:ln>
                        </pic:spPr>
                      </pic:pic>
                    </a:graphicData>
                  </a:graphic>
                </wp:inline>
              </w:drawing>
            </w:r>
          </w:p>
        </w:tc>
        <w:tc>
          <w:tcPr>
            <w:tcW w:w="283" w:type="dxa"/>
          </w:tcPr>
          <w:p w14:paraId="7EA6FE1A" w14:textId="77777777" w:rsidR="008067E0" w:rsidRPr="00DE12A3" w:rsidRDefault="008067E0" w:rsidP="00C917D6">
            <w:pPr>
              <w:pStyle w:val="NormalLeft"/>
            </w:pPr>
          </w:p>
        </w:tc>
        <w:tc>
          <w:tcPr>
            <w:tcW w:w="6910" w:type="dxa"/>
          </w:tcPr>
          <w:p w14:paraId="676F23B4" w14:textId="344E0697" w:rsidR="008067E0" w:rsidRPr="00DE12A3" w:rsidRDefault="00301A9C" w:rsidP="00C917D6">
            <w:pPr>
              <w:spacing w:before="120" w:after="120"/>
              <w:jc w:val="both"/>
              <w:rPr>
                <w:rFonts w:cs="Times New Roman"/>
                <w:color w:val="auto"/>
              </w:rPr>
            </w:pPr>
            <w:r w:rsidRPr="00DE12A3">
              <w:rPr>
                <w:rFonts w:cs="Times New Roman"/>
                <w:color w:val="auto"/>
              </w:rPr>
              <w:t>Test</w:t>
            </w:r>
            <w:r w:rsidR="008067E0" w:rsidRPr="00DE12A3">
              <w:rPr>
                <w:rFonts w:cs="Times New Roman"/>
                <w:color w:val="auto"/>
              </w:rPr>
              <w:t xml:space="preserve"> için kullanılan seyreltme ayarlarına özgü uçucu </w:t>
            </w:r>
            <w:r w:rsidR="007E2039" w:rsidRPr="00DE12A3">
              <w:rPr>
                <w:rFonts w:cs="Times New Roman"/>
                <w:color w:val="auto"/>
              </w:rPr>
              <w:t xml:space="preserve">partikül </w:t>
            </w:r>
            <w:r w:rsidR="008067E0" w:rsidRPr="00DE12A3">
              <w:rPr>
                <w:rFonts w:cs="Times New Roman"/>
                <w:color w:val="auto"/>
              </w:rPr>
              <w:lastRenderedPageBreak/>
              <w:t xml:space="preserve">gidericinin ortalama </w:t>
            </w:r>
            <w:r w:rsidR="007E2039" w:rsidRPr="00DE12A3">
              <w:rPr>
                <w:rFonts w:cs="Times New Roman"/>
                <w:color w:val="auto"/>
              </w:rPr>
              <w:t xml:space="preserve">partikül </w:t>
            </w:r>
            <w:r w:rsidR="008067E0" w:rsidRPr="00DE12A3">
              <w:rPr>
                <w:rFonts w:cs="Times New Roman"/>
                <w:color w:val="auto"/>
              </w:rPr>
              <w:t>konsantrasyonu azaltma faktörüdür.</w:t>
            </w:r>
          </w:p>
        </w:tc>
      </w:tr>
    </w:tbl>
    <w:p w14:paraId="450C67AC" w14:textId="77777777" w:rsidR="009F4766" w:rsidRPr="00DE12A3" w:rsidRDefault="009F4766" w:rsidP="00AB2658">
      <w:pPr>
        <w:rPr>
          <w:color w:val="auto"/>
        </w:rPr>
      </w:pPr>
    </w:p>
    <w:p w14:paraId="07F1FA3E" w14:textId="77777777" w:rsidR="009F4766" w:rsidRPr="00DE12A3" w:rsidRDefault="008067E0" w:rsidP="00AB2658">
      <w:pPr>
        <w:spacing w:before="120" w:after="120"/>
        <w:rPr>
          <w:rFonts w:cs="Times New Roman"/>
          <w:color w:val="auto"/>
        </w:rPr>
      </w:pPr>
      <w:r w:rsidRPr="00DE12A3">
        <w:rPr>
          <w:rFonts w:cs="Times New Roman"/>
          <w:color w:val="auto"/>
        </w:rPr>
        <w:t>ve</w:t>
      </w:r>
    </w:p>
    <w:tbl>
      <w:tblPr>
        <w:tblW w:w="0" w:type="auto"/>
        <w:jc w:val="center"/>
        <w:tblLayout w:type="fixed"/>
        <w:tblLook w:val="0000" w:firstRow="0" w:lastRow="0" w:firstColumn="0" w:lastColumn="0" w:noHBand="0" w:noVBand="0"/>
      </w:tblPr>
      <w:tblGrid>
        <w:gridCol w:w="3064"/>
        <w:gridCol w:w="2409"/>
      </w:tblGrid>
      <w:tr w:rsidR="009F4766" w:rsidRPr="00DE12A3" w14:paraId="6031DDFD" w14:textId="77777777" w:rsidTr="001A234D">
        <w:trPr>
          <w:trHeight w:val="1347"/>
          <w:jc w:val="center"/>
        </w:trPr>
        <w:tc>
          <w:tcPr>
            <w:tcW w:w="3064" w:type="dxa"/>
          </w:tcPr>
          <w:p w14:paraId="6919DE4F" w14:textId="02D7C519" w:rsidR="009F4766" w:rsidRPr="00DE12A3" w:rsidRDefault="009F4766" w:rsidP="00C917D6">
            <w:pPr>
              <w:pStyle w:val="NormalLeft"/>
            </w:pPr>
            <w:r w:rsidRPr="00DE12A3">
              <w:rPr>
                <w:noProof/>
                <w:lang w:val="tr-TR"/>
              </w:rPr>
              <w:drawing>
                <wp:inline distT="0" distB="0" distL="0" distR="0" wp14:anchorId="40B29622" wp14:editId="1E367121">
                  <wp:extent cx="1617980" cy="668020"/>
                  <wp:effectExtent l="0" t="0" r="1270" b="0"/>
                  <wp:docPr id="2031" name="Resim 2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240">
                            <a:extLst>
                              <a:ext uri="{28A0092B-C50C-407E-A947-70E740481C1C}">
                                <a14:useLocalDpi xmlns:a14="http://schemas.microsoft.com/office/drawing/2010/main" val="0"/>
                              </a:ext>
                            </a:extLst>
                          </a:blip>
                          <a:srcRect/>
                          <a:stretch>
                            <a:fillRect/>
                          </a:stretch>
                        </pic:blipFill>
                        <pic:spPr bwMode="auto">
                          <a:xfrm>
                            <a:off x="0" y="0"/>
                            <a:ext cx="1617980" cy="668020"/>
                          </a:xfrm>
                          <a:prstGeom prst="rect">
                            <a:avLst/>
                          </a:prstGeom>
                          <a:noFill/>
                          <a:ln>
                            <a:noFill/>
                          </a:ln>
                        </pic:spPr>
                      </pic:pic>
                    </a:graphicData>
                  </a:graphic>
                </wp:inline>
              </w:drawing>
            </w:r>
          </w:p>
        </w:tc>
        <w:tc>
          <w:tcPr>
            <w:tcW w:w="2409" w:type="dxa"/>
          </w:tcPr>
          <w:p w14:paraId="207268F9" w14:textId="77777777" w:rsidR="009F4766" w:rsidRPr="00DE12A3" w:rsidRDefault="009F4766" w:rsidP="00C917D6">
            <w:pPr>
              <w:pStyle w:val="NormalLeft"/>
            </w:pPr>
            <w:r w:rsidRPr="00DE12A3">
              <w:t>(7-172)</w:t>
            </w:r>
          </w:p>
        </w:tc>
      </w:tr>
    </w:tbl>
    <w:p w14:paraId="741E2253" w14:textId="77777777" w:rsidR="009F4766" w:rsidRPr="00DE12A3" w:rsidRDefault="009F4766" w:rsidP="00C917D6">
      <w:pPr>
        <w:spacing w:before="120" w:after="120"/>
        <w:rPr>
          <w:rFonts w:cs="Times New Roman"/>
          <w:color w:val="auto"/>
        </w:rPr>
      </w:pPr>
    </w:p>
    <w:p w14:paraId="4317CE2D" w14:textId="77777777" w:rsidR="009F4766" w:rsidRPr="00DE12A3" w:rsidRDefault="008B3D9F" w:rsidP="00C917D6">
      <w:pPr>
        <w:spacing w:before="120" w:after="120"/>
        <w:ind w:left="1134"/>
        <w:rPr>
          <w:rFonts w:cs="Times New Roman"/>
          <w:color w:val="auto"/>
        </w:rPr>
      </w:pPr>
      <w:r w:rsidRPr="00DE12A3">
        <w:rPr>
          <w:rFonts w:cs="Times New Roman"/>
          <w:color w:val="auto"/>
        </w:rPr>
        <w:t>Burada</w:t>
      </w:r>
      <w:r w:rsidR="009F4766" w:rsidRPr="00DE12A3">
        <w:rPr>
          <w:rFonts w:cs="Times New Roman"/>
          <w:color w:val="auto"/>
        </w:rPr>
        <w:t>:</w:t>
      </w:r>
    </w:p>
    <w:tbl>
      <w:tblPr>
        <w:tblW w:w="0" w:type="auto"/>
        <w:tblInd w:w="1242" w:type="dxa"/>
        <w:tblLayout w:type="fixed"/>
        <w:tblLook w:val="0000" w:firstRow="0" w:lastRow="0" w:firstColumn="0" w:lastColumn="0" w:noHBand="0" w:noVBand="0"/>
      </w:tblPr>
      <w:tblGrid>
        <w:gridCol w:w="1276"/>
        <w:gridCol w:w="284"/>
        <w:gridCol w:w="6484"/>
      </w:tblGrid>
      <w:tr w:rsidR="00DE12A3" w:rsidRPr="00DE12A3" w14:paraId="52AEBF38" w14:textId="77777777" w:rsidTr="006D7ADF">
        <w:tc>
          <w:tcPr>
            <w:tcW w:w="1276" w:type="dxa"/>
          </w:tcPr>
          <w:p w14:paraId="034D704A" w14:textId="77777777" w:rsidR="008067E0" w:rsidRPr="00DE12A3" w:rsidRDefault="008067E0" w:rsidP="00C917D6">
            <w:pPr>
              <w:pStyle w:val="NormalLeft"/>
            </w:pPr>
            <w:r w:rsidRPr="00DE12A3">
              <w:rPr>
                <w:i/>
                <w:iCs/>
              </w:rPr>
              <w:t>c</w:t>
            </w:r>
            <w:r w:rsidRPr="00DE12A3">
              <w:rPr>
                <w:i/>
                <w:iCs/>
                <w:vertAlign w:val="subscript"/>
              </w:rPr>
              <w:t>s,i</w:t>
            </w:r>
          </w:p>
        </w:tc>
        <w:tc>
          <w:tcPr>
            <w:tcW w:w="284" w:type="dxa"/>
          </w:tcPr>
          <w:p w14:paraId="4CD9757D" w14:textId="6256A482" w:rsidR="008067E0" w:rsidRPr="00DE12A3" w:rsidRDefault="00592B0C" w:rsidP="00C917D6">
            <w:pPr>
              <w:pStyle w:val="NormalLeft"/>
            </w:pPr>
            <w:r w:rsidRPr="00DE12A3">
              <w:t>=</w:t>
            </w:r>
          </w:p>
        </w:tc>
        <w:tc>
          <w:tcPr>
            <w:tcW w:w="6484" w:type="dxa"/>
          </w:tcPr>
          <w:p w14:paraId="4D7D1580" w14:textId="532F726D" w:rsidR="008067E0" w:rsidRPr="00DE12A3" w:rsidRDefault="00301A9C" w:rsidP="00BA27F7">
            <w:pPr>
              <w:spacing w:before="120" w:after="120"/>
              <w:jc w:val="both"/>
              <w:rPr>
                <w:rFonts w:cs="Times New Roman"/>
                <w:color w:val="auto"/>
              </w:rPr>
            </w:pPr>
            <w:r w:rsidRPr="00DE12A3">
              <w:rPr>
                <w:rFonts w:cs="Times New Roman"/>
                <w:color w:val="auto"/>
              </w:rPr>
              <w:t>Partikül</w:t>
            </w:r>
            <w:r w:rsidR="007E2039" w:rsidRPr="00DE12A3">
              <w:rPr>
                <w:rFonts w:cs="Times New Roman"/>
                <w:color w:val="auto"/>
              </w:rPr>
              <w:t xml:space="preserve"> </w:t>
            </w:r>
            <w:r w:rsidR="008067E0" w:rsidRPr="00DE12A3">
              <w:rPr>
                <w:rFonts w:cs="Times New Roman"/>
                <w:color w:val="auto"/>
              </w:rPr>
              <w:t xml:space="preserve">sayacından gelen seyreltilmiş egzoz gazı içindeki </w:t>
            </w:r>
            <w:r w:rsidR="007E2039" w:rsidRPr="00DE12A3">
              <w:rPr>
                <w:rFonts w:cs="Times New Roman"/>
                <w:color w:val="auto"/>
              </w:rPr>
              <w:t xml:space="preserve">partikül </w:t>
            </w:r>
            <w:r w:rsidR="008067E0" w:rsidRPr="00DE12A3">
              <w:rPr>
                <w:rFonts w:cs="Times New Roman"/>
                <w:color w:val="auto"/>
              </w:rPr>
              <w:t>konsantrasyonunun</w:t>
            </w:r>
            <w:r w:rsidR="006C7D90" w:rsidRPr="00DE12A3">
              <w:rPr>
                <w:rFonts w:cs="Times New Roman"/>
                <w:color w:val="auto"/>
              </w:rPr>
              <w:t xml:space="preserve"> münferiden bir ölçümüdür</w:t>
            </w:r>
            <w:r w:rsidR="008067E0" w:rsidRPr="00DE12A3">
              <w:rPr>
                <w:rFonts w:cs="Times New Roman"/>
                <w:color w:val="auto"/>
              </w:rPr>
              <w:t xml:space="preserve">, </w:t>
            </w:r>
            <w:r w:rsidR="006C7D90" w:rsidRPr="00DE12A3">
              <w:rPr>
                <w:rFonts w:cs="Times New Roman"/>
                <w:color w:val="auto"/>
              </w:rPr>
              <w:t xml:space="preserve">çakışma </w:t>
            </w:r>
            <w:r w:rsidR="008067E0" w:rsidRPr="00DE12A3">
              <w:rPr>
                <w:rFonts w:cs="Times New Roman"/>
                <w:color w:val="auto"/>
              </w:rPr>
              <w:t>ve standart şartlara (273,2 K ve 101,33 kPa) göre düzeltilmiş</w:t>
            </w:r>
            <w:r w:rsidR="006C7D90" w:rsidRPr="00DE12A3">
              <w:rPr>
                <w:rFonts w:cs="Times New Roman"/>
                <w:color w:val="auto"/>
              </w:rPr>
              <w:t>tir</w:t>
            </w:r>
            <w:r w:rsidR="008067E0" w:rsidRPr="00DE12A3">
              <w:rPr>
                <w:rFonts w:cs="Times New Roman"/>
                <w:color w:val="auto"/>
              </w:rPr>
              <w:t xml:space="preserve">, </w:t>
            </w:r>
            <w:r w:rsidR="006C7D90" w:rsidRPr="00DE12A3">
              <w:rPr>
                <w:rFonts w:cs="Times New Roman"/>
                <w:color w:val="auto"/>
              </w:rPr>
              <w:t xml:space="preserve">birimi </w:t>
            </w:r>
            <w:r w:rsidR="008067E0" w:rsidRPr="00DE12A3">
              <w:rPr>
                <w:rFonts w:cs="Times New Roman"/>
                <w:color w:val="auto"/>
              </w:rPr>
              <w:t>santimetre küp başına par</w:t>
            </w:r>
            <w:r w:rsidR="006C7D90" w:rsidRPr="00DE12A3">
              <w:rPr>
                <w:rFonts w:cs="Times New Roman"/>
                <w:color w:val="auto"/>
              </w:rPr>
              <w:t xml:space="preserve">tiküldür </w:t>
            </w:r>
            <w:r w:rsidR="00592B0C" w:rsidRPr="00DE12A3">
              <w:rPr>
                <w:rFonts w:cs="Times New Roman"/>
                <w:color w:val="auto"/>
              </w:rPr>
              <w:t>.</w:t>
            </w:r>
          </w:p>
        </w:tc>
      </w:tr>
      <w:tr w:rsidR="008067E0" w:rsidRPr="00DE12A3" w14:paraId="74E43778" w14:textId="77777777" w:rsidTr="006D7ADF">
        <w:tc>
          <w:tcPr>
            <w:tcW w:w="1276" w:type="dxa"/>
          </w:tcPr>
          <w:p w14:paraId="14EA9A84" w14:textId="77777777" w:rsidR="008067E0" w:rsidRPr="00DE12A3" w:rsidRDefault="008067E0" w:rsidP="00C917D6">
            <w:pPr>
              <w:pStyle w:val="NormalLeft"/>
            </w:pPr>
            <w:r w:rsidRPr="00DE12A3">
              <w:rPr>
                <w:i/>
                <w:iCs/>
              </w:rPr>
              <w:t>n</w:t>
            </w:r>
          </w:p>
        </w:tc>
        <w:tc>
          <w:tcPr>
            <w:tcW w:w="284" w:type="dxa"/>
          </w:tcPr>
          <w:p w14:paraId="07368543" w14:textId="30F20910" w:rsidR="008067E0" w:rsidRPr="00DE12A3" w:rsidRDefault="00592B0C" w:rsidP="00C917D6">
            <w:pPr>
              <w:pStyle w:val="NormalLeft"/>
            </w:pPr>
            <w:r w:rsidRPr="00DE12A3">
              <w:t>=</w:t>
            </w:r>
          </w:p>
        </w:tc>
        <w:tc>
          <w:tcPr>
            <w:tcW w:w="6484" w:type="dxa"/>
          </w:tcPr>
          <w:p w14:paraId="51A2FD82" w14:textId="7959F8F6" w:rsidR="008067E0" w:rsidRPr="00DE12A3" w:rsidRDefault="00301A9C" w:rsidP="00BA27F7">
            <w:pPr>
              <w:spacing w:before="120" w:after="120"/>
              <w:jc w:val="both"/>
              <w:rPr>
                <w:rFonts w:cs="Times New Roman"/>
                <w:color w:val="auto"/>
              </w:rPr>
            </w:pPr>
            <w:r w:rsidRPr="00DE12A3">
              <w:rPr>
                <w:rFonts w:cs="Times New Roman"/>
                <w:color w:val="auto"/>
              </w:rPr>
              <w:t>Bağımsız</w:t>
            </w:r>
            <w:r w:rsidR="008067E0" w:rsidRPr="00DE12A3">
              <w:rPr>
                <w:rFonts w:cs="Times New Roman"/>
                <w:color w:val="auto"/>
              </w:rPr>
              <w:t xml:space="preserve"> ayrık mod örnekleme döneminde alınan </w:t>
            </w:r>
            <w:r w:rsidR="007E2039" w:rsidRPr="00DE12A3">
              <w:rPr>
                <w:rFonts w:cs="Times New Roman"/>
                <w:color w:val="auto"/>
              </w:rPr>
              <w:t xml:space="preserve">partikül </w:t>
            </w:r>
            <w:r w:rsidR="008067E0" w:rsidRPr="00DE12A3">
              <w:rPr>
                <w:rFonts w:cs="Times New Roman"/>
                <w:color w:val="auto"/>
              </w:rPr>
              <w:t>konsantrasyonu ölçümlerinin sayısıdır</w:t>
            </w:r>
            <w:r w:rsidR="00592B0C" w:rsidRPr="00DE12A3">
              <w:rPr>
                <w:rFonts w:cs="Times New Roman"/>
                <w:color w:val="auto"/>
              </w:rPr>
              <w:t>.</w:t>
            </w:r>
          </w:p>
        </w:tc>
      </w:tr>
    </w:tbl>
    <w:p w14:paraId="7230EF3A" w14:textId="77777777" w:rsidR="009F4766" w:rsidRPr="00DE12A3" w:rsidRDefault="009F4766" w:rsidP="00C917D6">
      <w:pPr>
        <w:spacing w:before="120" w:after="120"/>
        <w:rPr>
          <w:rFonts w:cs="Times New Roman"/>
          <w:color w:val="auto"/>
        </w:rPr>
      </w:pPr>
    </w:p>
    <w:p w14:paraId="5A566EFE" w14:textId="73199FDF" w:rsidR="008067E0" w:rsidRPr="00DE12A3" w:rsidRDefault="009F4766" w:rsidP="00AB2658">
      <w:pPr>
        <w:spacing w:before="120" w:after="120"/>
        <w:jc w:val="both"/>
        <w:rPr>
          <w:rFonts w:eastAsia="Times New Roman" w:cs="Times New Roman"/>
          <w:iCs/>
          <w:color w:val="auto"/>
          <w:lang w:val="fr-FR"/>
        </w:rPr>
      </w:pPr>
      <w:r w:rsidRPr="00DE12A3">
        <w:rPr>
          <w:rFonts w:cs="Times New Roman"/>
          <w:color w:val="auto"/>
        </w:rPr>
        <w:t>1.5.</w:t>
      </w:r>
      <w:r w:rsidR="00AB2658" w:rsidRPr="00DE12A3">
        <w:rPr>
          <w:rFonts w:cs="Times New Roman"/>
          <w:color w:val="auto"/>
        </w:rPr>
        <w:t xml:space="preserve"> </w:t>
      </w:r>
      <w:r w:rsidR="008067E0" w:rsidRPr="00DE12A3">
        <w:rPr>
          <w:color w:val="auto"/>
        </w:rPr>
        <w:t xml:space="preserve">Tam akışlı bir seyreltme sistemine sahip ayrık modlu </w:t>
      </w:r>
      <w:r w:rsidR="00F310B5" w:rsidRPr="00DE12A3">
        <w:rPr>
          <w:color w:val="auto"/>
        </w:rPr>
        <w:t>çevrim</w:t>
      </w:r>
      <w:r w:rsidR="008067E0" w:rsidRPr="00DE12A3">
        <w:rPr>
          <w:color w:val="auto"/>
        </w:rPr>
        <w:t xml:space="preserve">ler için </w:t>
      </w:r>
      <w:r w:rsidR="007E2039" w:rsidRPr="00DE12A3">
        <w:rPr>
          <w:color w:val="auto"/>
        </w:rPr>
        <w:t xml:space="preserve">partikül </w:t>
      </w:r>
      <w:r w:rsidR="008067E0" w:rsidRPr="00DE12A3">
        <w:rPr>
          <w:color w:val="auto"/>
        </w:rPr>
        <w:t>sayılarının belirlenmesi</w:t>
      </w:r>
    </w:p>
    <w:p w14:paraId="40ECE7E8" w14:textId="325DC9DB" w:rsidR="009F4766" w:rsidRPr="00DE12A3" w:rsidRDefault="007E2039" w:rsidP="00AB2658">
      <w:pPr>
        <w:spacing w:before="120" w:after="120"/>
        <w:jc w:val="both"/>
        <w:rPr>
          <w:rFonts w:cs="Times New Roman"/>
          <w:color w:val="auto"/>
        </w:rPr>
      </w:pPr>
      <w:r w:rsidRPr="00DE12A3">
        <w:rPr>
          <w:rFonts w:eastAsia="Times New Roman" w:cs="Times New Roman"/>
          <w:iCs/>
          <w:color w:val="auto"/>
          <w:lang w:val="fr-FR"/>
        </w:rPr>
        <w:t xml:space="preserve">Partikül </w:t>
      </w:r>
      <w:r w:rsidR="008067E0" w:rsidRPr="00DE12A3">
        <w:rPr>
          <w:rFonts w:eastAsia="Times New Roman" w:cs="Times New Roman"/>
          <w:iCs/>
          <w:color w:val="auto"/>
          <w:lang w:val="fr-FR"/>
        </w:rPr>
        <w:t xml:space="preserve">sayılarının, </w:t>
      </w:r>
      <w:r w:rsidR="00FA0678" w:rsidRPr="00DE12A3">
        <w:rPr>
          <w:rFonts w:eastAsia="Times New Roman" w:cs="Times New Roman"/>
          <w:iCs/>
          <w:color w:val="auto"/>
          <w:lang w:val="fr-FR"/>
        </w:rPr>
        <w:t xml:space="preserve">VI’ncı </w:t>
      </w:r>
      <w:r w:rsidR="00592B0C" w:rsidRPr="00DE12A3">
        <w:rPr>
          <w:rFonts w:eastAsia="Times New Roman" w:cs="Times New Roman"/>
          <w:iCs/>
          <w:color w:val="auto"/>
          <w:lang w:val="fr-FR"/>
        </w:rPr>
        <w:t>E</w:t>
      </w:r>
      <w:r w:rsidR="00FA0678" w:rsidRPr="00DE12A3">
        <w:rPr>
          <w:rFonts w:eastAsia="Times New Roman" w:cs="Times New Roman"/>
          <w:iCs/>
          <w:color w:val="auto"/>
          <w:lang w:val="fr-FR"/>
        </w:rPr>
        <w:t>k</w:t>
      </w:r>
      <w:r w:rsidR="008067E0" w:rsidRPr="00DE12A3">
        <w:rPr>
          <w:rFonts w:eastAsia="Times New Roman" w:cs="Times New Roman"/>
          <w:iCs/>
          <w:color w:val="auto"/>
          <w:lang w:val="fr-FR"/>
        </w:rPr>
        <w:t xml:space="preserve">in 9.2.2 bendinde belirtilen şartlar uyarınca bir tam akışlı seyreltme sistemi kullanılarak örneklenmesi durumunda, her bağımsız ayrık mod boyunca </w:t>
      </w:r>
      <w:r w:rsidRPr="00DE12A3">
        <w:rPr>
          <w:rFonts w:eastAsia="Times New Roman" w:cs="Times New Roman"/>
          <w:iCs/>
          <w:color w:val="auto"/>
          <w:lang w:val="fr-FR"/>
        </w:rPr>
        <w:t xml:space="preserve">partikül </w:t>
      </w:r>
      <w:r w:rsidR="008067E0" w:rsidRPr="00DE12A3">
        <w:rPr>
          <w:rFonts w:eastAsia="Times New Roman" w:cs="Times New Roman"/>
          <w:iCs/>
          <w:color w:val="auto"/>
          <w:lang w:val="fr-FR"/>
        </w:rPr>
        <w:t xml:space="preserve">emisyın hızı, mod için ortalama değerler kullanılarak (7-173) </w:t>
      </w:r>
      <w:r w:rsidR="005C6D9F" w:rsidRPr="00DE12A3">
        <w:rPr>
          <w:color w:val="auto"/>
        </w:rPr>
        <w:t>numaralı</w:t>
      </w:r>
      <w:r w:rsidR="005C6D9F" w:rsidRPr="00DE12A3" w:rsidDel="005C6D9F">
        <w:rPr>
          <w:rFonts w:eastAsia="Times New Roman" w:cs="Times New Roman"/>
          <w:iCs/>
          <w:color w:val="auto"/>
          <w:lang w:val="fr-FR"/>
        </w:rPr>
        <w:t xml:space="preserve"> </w:t>
      </w:r>
      <w:r w:rsidR="008067E0" w:rsidRPr="00DE12A3">
        <w:rPr>
          <w:rFonts w:eastAsia="Times New Roman" w:cs="Times New Roman"/>
          <w:iCs/>
          <w:color w:val="auto"/>
          <w:lang w:val="fr-FR"/>
        </w:rPr>
        <w:t xml:space="preserve">denklem ile </w:t>
      </w:r>
      <w:r w:rsidR="003C2689" w:rsidRPr="00DE12A3">
        <w:rPr>
          <w:rFonts w:eastAsia="Times New Roman" w:cs="Times New Roman"/>
          <w:iCs/>
          <w:color w:val="auto"/>
          <w:lang w:val="fr-FR"/>
        </w:rPr>
        <w:t>hesaplanmalıdır :</w:t>
      </w:r>
    </w:p>
    <w:tbl>
      <w:tblPr>
        <w:tblW w:w="0" w:type="auto"/>
        <w:jc w:val="center"/>
        <w:tblLayout w:type="fixed"/>
        <w:tblLook w:val="0000" w:firstRow="0" w:lastRow="0" w:firstColumn="0" w:lastColumn="0" w:noHBand="0" w:noVBand="0"/>
      </w:tblPr>
      <w:tblGrid>
        <w:gridCol w:w="4304"/>
        <w:gridCol w:w="1512"/>
      </w:tblGrid>
      <w:tr w:rsidR="009F4766" w:rsidRPr="00DE12A3" w14:paraId="14CBD942" w14:textId="77777777" w:rsidTr="001A234D">
        <w:trPr>
          <w:trHeight w:val="1327"/>
          <w:jc w:val="center"/>
        </w:trPr>
        <w:tc>
          <w:tcPr>
            <w:tcW w:w="4304" w:type="dxa"/>
          </w:tcPr>
          <w:p w14:paraId="5B897CC1" w14:textId="1255D7D4" w:rsidR="009F4766" w:rsidRPr="00DE12A3" w:rsidRDefault="009F4766" w:rsidP="00C917D6">
            <w:pPr>
              <w:pStyle w:val="NormalLeft"/>
            </w:pPr>
            <w:r w:rsidRPr="00DE12A3">
              <w:rPr>
                <w:noProof/>
                <w:lang w:val="tr-TR"/>
              </w:rPr>
              <w:drawing>
                <wp:inline distT="0" distB="0" distL="0" distR="0" wp14:anchorId="299EC7D2" wp14:editId="4B648C0B">
                  <wp:extent cx="2573215" cy="558796"/>
                  <wp:effectExtent l="0" t="0" r="0" b="0"/>
                  <wp:docPr id="2030" name="Resim 20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243">
                            <a:extLst>
                              <a:ext uri="{28A0092B-C50C-407E-A947-70E740481C1C}">
                                <a14:useLocalDpi xmlns:a14="http://schemas.microsoft.com/office/drawing/2010/main" val="0"/>
                              </a:ext>
                            </a:extLst>
                          </a:blip>
                          <a:srcRect/>
                          <a:stretch>
                            <a:fillRect/>
                          </a:stretch>
                        </pic:blipFill>
                        <pic:spPr bwMode="auto">
                          <a:xfrm>
                            <a:off x="0" y="0"/>
                            <a:ext cx="2790394" cy="605958"/>
                          </a:xfrm>
                          <a:prstGeom prst="rect">
                            <a:avLst/>
                          </a:prstGeom>
                          <a:noFill/>
                          <a:ln>
                            <a:noFill/>
                          </a:ln>
                        </pic:spPr>
                      </pic:pic>
                    </a:graphicData>
                  </a:graphic>
                </wp:inline>
              </w:drawing>
            </w:r>
          </w:p>
        </w:tc>
        <w:tc>
          <w:tcPr>
            <w:tcW w:w="1512" w:type="dxa"/>
          </w:tcPr>
          <w:p w14:paraId="4483F146" w14:textId="77777777" w:rsidR="009F4766" w:rsidRPr="00DE12A3" w:rsidRDefault="009F4766" w:rsidP="00C917D6">
            <w:pPr>
              <w:pStyle w:val="NormalLeft"/>
            </w:pPr>
            <w:r w:rsidRPr="00DE12A3">
              <w:t>(7-173)</w:t>
            </w:r>
          </w:p>
        </w:tc>
      </w:tr>
    </w:tbl>
    <w:p w14:paraId="6B5A6FBF" w14:textId="77777777" w:rsidR="009F4766" w:rsidRPr="00DE12A3" w:rsidRDefault="009F4766" w:rsidP="00C917D6">
      <w:pPr>
        <w:spacing w:before="120" w:after="120"/>
        <w:rPr>
          <w:rFonts w:cs="Times New Roman"/>
          <w:color w:val="auto"/>
        </w:rPr>
      </w:pPr>
    </w:p>
    <w:p w14:paraId="077DEA20" w14:textId="77777777" w:rsidR="009F4766" w:rsidRPr="00DE12A3" w:rsidRDefault="008B3D9F" w:rsidP="00C917D6">
      <w:pPr>
        <w:spacing w:before="120" w:after="120"/>
        <w:ind w:left="1134"/>
        <w:rPr>
          <w:rFonts w:cs="Times New Roman"/>
          <w:color w:val="auto"/>
        </w:rPr>
      </w:pPr>
      <w:r w:rsidRPr="00DE12A3">
        <w:rPr>
          <w:rFonts w:cs="Times New Roman"/>
          <w:color w:val="auto"/>
        </w:rPr>
        <w:t>Burada</w:t>
      </w:r>
      <w:r w:rsidR="009F4766" w:rsidRPr="00DE12A3">
        <w:rPr>
          <w:rFonts w:cs="Times New Roman"/>
          <w:color w:val="auto"/>
        </w:rPr>
        <w:t>:</w:t>
      </w:r>
    </w:p>
    <w:tbl>
      <w:tblPr>
        <w:tblW w:w="0" w:type="auto"/>
        <w:tblInd w:w="1242" w:type="dxa"/>
        <w:tblLayout w:type="fixed"/>
        <w:tblLook w:val="0000" w:firstRow="0" w:lastRow="0" w:firstColumn="0" w:lastColumn="0" w:noHBand="0" w:noVBand="0"/>
      </w:tblPr>
      <w:tblGrid>
        <w:gridCol w:w="1701"/>
        <w:gridCol w:w="284"/>
        <w:gridCol w:w="6059"/>
      </w:tblGrid>
      <w:tr w:rsidR="00DE12A3" w:rsidRPr="00DE12A3" w14:paraId="4ABBACC2" w14:textId="77777777" w:rsidTr="006D7ADF">
        <w:tc>
          <w:tcPr>
            <w:tcW w:w="1701" w:type="dxa"/>
          </w:tcPr>
          <w:p w14:paraId="048B8B4C" w14:textId="77777777" w:rsidR="008067E0" w:rsidRPr="00DE12A3" w:rsidRDefault="008067E0" w:rsidP="00C917D6">
            <w:pPr>
              <w:pStyle w:val="NormalLeft"/>
            </w:pPr>
            <w:r w:rsidRPr="00DE12A3">
              <w:rPr>
                <w:i/>
                <w:iCs/>
              </w:rPr>
              <w:t>Ṅ</w:t>
            </w:r>
          </w:p>
        </w:tc>
        <w:tc>
          <w:tcPr>
            <w:tcW w:w="284" w:type="dxa"/>
          </w:tcPr>
          <w:p w14:paraId="786B8287" w14:textId="77777777" w:rsidR="008067E0" w:rsidRPr="00DE12A3" w:rsidRDefault="008067E0" w:rsidP="00C917D6">
            <w:pPr>
              <w:pStyle w:val="NormalLeft"/>
            </w:pPr>
          </w:p>
        </w:tc>
        <w:tc>
          <w:tcPr>
            <w:tcW w:w="6059" w:type="dxa"/>
          </w:tcPr>
          <w:p w14:paraId="4F7B5D6B" w14:textId="5315AA1A" w:rsidR="008067E0" w:rsidRPr="00DE12A3" w:rsidRDefault="00B56A0A" w:rsidP="00C917D6">
            <w:pPr>
              <w:spacing w:before="120" w:after="120"/>
              <w:jc w:val="both"/>
              <w:rPr>
                <w:rFonts w:cs="Times New Roman"/>
                <w:color w:val="auto"/>
              </w:rPr>
            </w:pPr>
            <w:r w:rsidRPr="00DE12A3">
              <w:rPr>
                <w:rFonts w:cs="Times New Roman"/>
                <w:color w:val="auto"/>
              </w:rPr>
              <w:t>Bağımsız</w:t>
            </w:r>
            <w:r w:rsidR="008067E0" w:rsidRPr="00DE12A3">
              <w:rPr>
                <w:rFonts w:cs="Times New Roman"/>
                <w:color w:val="auto"/>
              </w:rPr>
              <w:t xml:space="preserve"> ayrık mod sırasında parçacıkların emisyon hızıdır, [#/h]</w:t>
            </w:r>
            <w:r w:rsidR="00592B0C" w:rsidRPr="00DE12A3">
              <w:rPr>
                <w:rFonts w:cs="Times New Roman"/>
                <w:color w:val="auto"/>
              </w:rPr>
              <w:t>.</w:t>
            </w:r>
          </w:p>
        </w:tc>
      </w:tr>
      <w:tr w:rsidR="00DE12A3" w:rsidRPr="00DE12A3" w14:paraId="642D7F73" w14:textId="77777777" w:rsidTr="006D7ADF">
        <w:tc>
          <w:tcPr>
            <w:tcW w:w="1701" w:type="dxa"/>
          </w:tcPr>
          <w:p w14:paraId="1CDF74FB" w14:textId="77777777" w:rsidR="008067E0" w:rsidRPr="00DE12A3" w:rsidRDefault="008067E0" w:rsidP="00C917D6">
            <w:pPr>
              <w:pStyle w:val="NormalLeft"/>
            </w:pPr>
            <w:r w:rsidRPr="00DE12A3">
              <w:rPr>
                <w:i/>
                <w:iCs/>
              </w:rPr>
              <w:t>q</w:t>
            </w:r>
            <w:r w:rsidRPr="00DE12A3">
              <w:rPr>
                <w:i/>
                <w:iCs/>
                <w:vertAlign w:val="subscript"/>
              </w:rPr>
              <w:t>mdew</w:t>
            </w:r>
          </w:p>
        </w:tc>
        <w:tc>
          <w:tcPr>
            <w:tcW w:w="284" w:type="dxa"/>
          </w:tcPr>
          <w:p w14:paraId="4397873E" w14:textId="77777777" w:rsidR="008067E0" w:rsidRPr="00DE12A3" w:rsidRDefault="008067E0" w:rsidP="00C917D6">
            <w:pPr>
              <w:pStyle w:val="NormalLeft"/>
            </w:pPr>
          </w:p>
        </w:tc>
        <w:tc>
          <w:tcPr>
            <w:tcW w:w="6059" w:type="dxa"/>
          </w:tcPr>
          <w:p w14:paraId="272C28FF" w14:textId="012B9598" w:rsidR="008067E0" w:rsidRPr="00DE12A3" w:rsidRDefault="00B56A0A" w:rsidP="00C917D6">
            <w:pPr>
              <w:spacing w:before="120" w:after="120"/>
              <w:jc w:val="both"/>
              <w:rPr>
                <w:rFonts w:cs="Times New Roman"/>
                <w:color w:val="auto"/>
              </w:rPr>
            </w:pPr>
            <w:r w:rsidRPr="00DE12A3">
              <w:rPr>
                <w:rFonts w:cs="Times New Roman"/>
                <w:color w:val="auto"/>
              </w:rPr>
              <w:t>Bağımsız</w:t>
            </w:r>
            <w:r w:rsidR="008067E0" w:rsidRPr="00DE12A3">
              <w:rPr>
                <w:rFonts w:cs="Times New Roman"/>
                <w:color w:val="auto"/>
              </w:rPr>
              <w:t xml:space="preserve"> ayrık mod sırasında, yaş bazda toplam seyreltilmiş egzoz kütle akış hızıdır, [kg/s]</w:t>
            </w:r>
            <w:r w:rsidR="00592B0C" w:rsidRPr="00DE12A3">
              <w:rPr>
                <w:rFonts w:cs="Times New Roman"/>
                <w:color w:val="auto"/>
              </w:rPr>
              <w:t>.</w:t>
            </w:r>
          </w:p>
        </w:tc>
      </w:tr>
      <w:tr w:rsidR="00DE12A3" w:rsidRPr="00DE12A3" w14:paraId="584DE334" w14:textId="77777777" w:rsidTr="006D7ADF">
        <w:tc>
          <w:tcPr>
            <w:tcW w:w="1701" w:type="dxa"/>
          </w:tcPr>
          <w:p w14:paraId="407F3D30" w14:textId="77777777" w:rsidR="008067E0" w:rsidRPr="00DE12A3" w:rsidRDefault="008067E0" w:rsidP="00C917D6">
            <w:pPr>
              <w:pStyle w:val="NormalLeft"/>
            </w:pPr>
            <w:r w:rsidRPr="00DE12A3">
              <w:rPr>
                <w:i/>
                <w:iCs/>
              </w:rPr>
              <w:t>k</w:t>
            </w:r>
          </w:p>
        </w:tc>
        <w:tc>
          <w:tcPr>
            <w:tcW w:w="284" w:type="dxa"/>
          </w:tcPr>
          <w:p w14:paraId="6C5B2F2E" w14:textId="77777777" w:rsidR="008067E0" w:rsidRPr="00DE12A3" w:rsidRDefault="008067E0" w:rsidP="00C917D6">
            <w:pPr>
              <w:pStyle w:val="NormalLeft"/>
            </w:pPr>
          </w:p>
        </w:tc>
        <w:tc>
          <w:tcPr>
            <w:tcW w:w="6059" w:type="dxa"/>
          </w:tcPr>
          <w:p w14:paraId="012DE243" w14:textId="7E710C8F" w:rsidR="008067E0" w:rsidRPr="00DE12A3" w:rsidRDefault="00B56A0A">
            <w:pPr>
              <w:spacing w:before="120" w:after="120"/>
              <w:jc w:val="both"/>
              <w:rPr>
                <w:rFonts w:cs="Times New Roman"/>
                <w:color w:val="auto"/>
              </w:rPr>
            </w:pPr>
            <w:r w:rsidRPr="00DE12A3">
              <w:rPr>
                <w:rFonts w:cs="Times New Roman"/>
                <w:color w:val="auto"/>
              </w:rPr>
              <w:t>Bunun</w:t>
            </w:r>
            <w:r w:rsidR="008067E0" w:rsidRPr="00DE12A3">
              <w:rPr>
                <w:rFonts w:cs="Times New Roman"/>
                <w:color w:val="auto"/>
              </w:rPr>
              <w:t xml:space="preserve"> </w:t>
            </w:r>
            <w:r w:rsidR="007E2039" w:rsidRPr="00DE12A3">
              <w:rPr>
                <w:rFonts w:cs="Times New Roman"/>
                <w:color w:val="auto"/>
              </w:rPr>
              <w:t xml:space="preserve">partikül </w:t>
            </w:r>
            <w:r w:rsidR="008067E0" w:rsidRPr="00DE12A3">
              <w:rPr>
                <w:rFonts w:cs="Times New Roman"/>
                <w:color w:val="auto"/>
              </w:rPr>
              <w:t xml:space="preserve">sayısı sayacı içerisinde dahili olarak uygulanmadığı durumlarda, </w:t>
            </w:r>
            <w:r w:rsidR="007E2039" w:rsidRPr="00DE12A3">
              <w:rPr>
                <w:rFonts w:cs="Times New Roman"/>
                <w:color w:val="auto"/>
              </w:rPr>
              <w:t xml:space="preserve">partikül </w:t>
            </w:r>
            <w:r w:rsidR="008067E0" w:rsidRPr="00DE12A3">
              <w:rPr>
                <w:rFonts w:cs="Times New Roman"/>
                <w:color w:val="auto"/>
              </w:rPr>
              <w:t xml:space="preserve">sayısı sayacı ölçümlerini referans cihaz seviyesine düzeltmek için kalibrasyon faktörüdür. Kalibrasyon faktörünün, </w:t>
            </w:r>
            <w:r w:rsidR="007E2039" w:rsidRPr="00DE12A3">
              <w:rPr>
                <w:rFonts w:cs="Times New Roman"/>
                <w:color w:val="auto"/>
              </w:rPr>
              <w:t xml:space="preserve">partikül </w:t>
            </w:r>
            <w:r w:rsidR="008067E0" w:rsidRPr="00DE12A3">
              <w:rPr>
                <w:rFonts w:cs="Times New Roman"/>
                <w:color w:val="auto"/>
              </w:rPr>
              <w:t xml:space="preserve">sayısı sayacında dahili olarak uygulandığı durumlarda, (7-173) </w:t>
            </w:r>
            <w:r w:rsidR="005C6D9F" w:rsidRPr="00DE12A3">
              <w:rPr>
                <w:color w:val="auto"/>
              </w:rPr>
              <w:t>numaralı</w:t>
            </w:r>
            <w:r w:rsidR="005C6D9F" w:rsidRPr="00DE12A3" w:rsidDel="005C6D9F">
              <w:rPr>
                <w:rFonts w:cs="Times New Roman"/>
                <w:color w:val="auto"/>
              </w:rPr>
              <w:t xml:space="preserve"> </w:t>
            </w:r>
            <w:r w:rsidR="008067E0" w:rsidRPr="00DE12A3">
              <w:rPr>
                <w:rFonts w:cs="Times New Roman"/>
                <w:color w:val="auto"/>
              </w:rPr>
              <w:t>denklemde k için 1 değeri kullanılmalıdır</w:t>
            </w:r>
            <w:r w:rsidR="00592B0C" w:rsidRPr="00DE12A3">
              <w:rPr>
                <w:rFonts w:cs="Times New Roman"/>
                <w:color w:val="auto"/>
              </w:rPr>
              <w:t>.</w:t>
            </w:r>
          </w:p>
        </w:tc>
      </w:tr>
      <w:tr w:rsidR="00DE12A3" w:rsidRPr="00DE12A3" w14:paraId="5BEBC0AF" w14:textId="77777777" w:rsidTr="006D7ADF">
        <w:tc>
          <w:tcPr>
            <w:tcW w:w="1701" w:type="dxa"/>
          </w:tcPr>
          <w:p w14:paraId="3F122AF1" w14:textId="2F513C3C" w:rsidR="008067E0" w:rsidRPr="00DE12A3" w:rsidRDefault="008067E0" w:rsidP="00C917D6">
            <w:pPr>
              <w:pStyle w:val="NormalLeft"/>
            </w:pPr>
            <w:r w:rsidRPr="00DE12A3">
              <w:rPr>
                <w:noProof/>
                <w:lang w:val="tr-TR"/>
              </w:rPr>
              <w:drawing>
                <wp:inline distT="0" distB="0" distL="0" distR="0" wp14:anchorId="6B5D6A25" wp14:editId="79BDF9B6">
                  <wp:extent cx="269875" cy="269875"/>
                  <wp:effectExtent l="0" t="0" r="0" b="0"/>
                  <wp:docPr id="2029" name="Resim 2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238">
                            <a:extLst>
                              <a:ext uri="{28A0092B-C50C-407E-A947-70E740481C1C}">
                                <a14:useLocalDpi xmlns:a14="http://schemas.microsoft.com/office/drawing/2010/main" val="0"/>
                              </a:ext>
                            </a:extLst>
                          </a:blip>
                          <a:srcRect/>
                          <a:stretch>
                            <a:fillRect/>
                          </a:stretch>
                        </pic:blipFill>
                        <pic:spPr bwMode="auto">
                          <a:xfrm>
                            <a:off x="0" y="0"/>
                            <a:ext cx="269875" cy="269875"/>
                          </a:xfrm>
                          <a:prstGeom prst="rect">
                            <a:avLst/>
                          </a:prstGeom>
                          <a:noFill/>
                          <a:ln>
                            <a:noFill/>
                          </a:ln>
                        </pic:spPr>
                      </pic:pic>
                    </a:graphicData>
                  </a:graphic>
                </wp:inline>
              </w:drawing>
            </w:r>
          </w:p>
        </w:tc>
        <w:tc>
          <w:tcPr>
            <w:tcW w:w="284" w:type="dxa"/>
          </w:tcPr>
          <w:p w14:paraId="370637D1" w14:textId="77777777" w:rsidR="008067E0" w:rsidRPr="00DE12A3" w:rsidRDefault="008067E0" w:rsidP="00C917D6">
            <w:pPr>
              <w:pStyle w:val="NormalLeft"/>
            </w:pPr>
          </w:p>
        </w:tc>
        <w:tc>
          <w:tcPr>
            <w:tcW w:w="6059" w:type="dxa"/>
          </w:tcPr>
          <w:p w14:paraId="049825B8" w14:textId="417A5EB9" w:rsidR="008067E0" w:rsidRPr="00DE12A3" w:rsidRDefault="00B56A0A" w:rsidP="00C917D6">
            <w:pPr>
              <w:spacing w:before="120" w:after="120"/>
              <w:jc w:val="both"/>
              <w:rPr>
                <w:rFonts w:cs="Times New Roman"/>
                <w:color w:val="auto"/>
              </w:rPr>
            </w:pPr>
            <w:r w:rsidRPr="00DE12A3">
              <w:rPr>
                <w:rFonts w:cs="Times New Roman"/>
                <w:color w:val="auto"/>
              </w:rPr>
              <w:t>Standart</w:t>
            </w:r>
            <w:r w:rsidR="008067E0" w:rsidRPr="00DE12A3">
              <w:rPr>
                <w:rFonts w:cs="Times New Roman"/>
                <w:color w:val="auto"/>
              </w:rPr>
              <w:t xml:space="preserve"> koşullara (273,2 K ve 101,33 kPa) göre düzeltilmiş</w:t>
            </w:r>
            <w:r w:rsidR="006C7D90" w:rsidRPr="00DE12A3">
              <w:rPr>
                <w:rFonts w:cs="Times New Roman"/>
                <w:color w:val="auto"/>
              </w:rPr>
              <w:t>tir</w:t>
            </w:r>
            <w:r w:rsidR="008067E0" w:rsidRPr="00DE12A3">
              <w:rPr>
                <w:rFonts w:cs="Times New Roman"/>
                <w:color w:val="auto"/>
              </w:rPr>
              <w:t xml:space="preserve">, bağımsız ayrık modda seyreltilmiş egzoz </w:t>
            </w:r>
            <w:r w:rsidR="008067E0" w:rsidRPr="00DE12A3">
              <w:rPr>
                <w:rFonts w:cs="Times New Roman"/>
                <w:color w:val="auto"/>
              </w:rPr>
              <w:lastRenderedPageBreak/>
              <w:t xml:space="preserve">gazından gelen ortalama </w:t>
            </w:r>
            <w:r w:rsidR="007E2039" w:rsidRPr="00DE12A3">
              <w:rPr>
                <w:rFonts w:cs="Times New Roman"/>
                <w:color w:val="auto"/>
              </w:rPr>
              <w:t xml:space="preserve">partikül </w:t>
            </w:r>
            <w:r w:rsidR="008067E0" w:rsidRPr="00DE12A3">
              <w:rPr>
                <w:rFonts w:cs="Times New Roman"/>
                <w:color w:val="auto"/>
              </w:rPr>
              <w:t xml:space="preserve">konsantrasyonudur, </w:t>
            </w:r>
            <w:r w:rsidR="006C7D90" w:rsidRPr="00DE12A3">
              <w:rPr>
                <w:rFonts w:cs="Times New Roman"/>
                <w:color w:val="auto"/>
              </w:rPr>
              <w:t xml:space="preserve">birimi </w:t>
            </w:r>
            <w:r w:rsidR="008067E0" w:rsidRPr="00DE12A3">
              <w:rPr>
                <w:rFonts w:cs="Times New Roman"/>
                <w:color w:val="auto"/>
              </w:rPr>
              <w:t>santimetre küp başına pa</w:t>
            </w:r>
            <w:r w:rsidR="006C7D90" w:rsidRPr="00DE12A3">
              <w:rPr>
                <w:rFonts w:cs="Times New Roman"/>
                <w:color w:val="auto"/>
              </w:rPr>
              <w:t>rtiküldür</w:t>
            </w:r>
            <w:r w:rsidR="00592B0C" w:rsidRPr="00DE12A3">
              <w:rPr>
                <w:rFonts w:cs="Times New Roman"/>
                <w:color w:val="auto"/>
              </w:rPr>
              <w:t>.</w:t>
            </w:r>
          </w:p>
        </w:tc>
      </w:tr>
      <w:tr w:rsidR="008067E0" w:rsidRPr="00DE12A3" w14:paraId="0255DF83" w14:textId="77777777" w:rsidTr="006D7ADF">
        <w:tc>
          <w:tcPr>
            <w:tcW w:w="1701" w:type="dxa"/>
          </w:tcPr>
          <w:p w14:paraId="7E4BE64B" w14:textId="14A6496E" w:rsidR="008067E0" w:rsidRPr="00DE12A3" w:rsidRDefault="008067E0" w:rsidP="00C917D6">
            <w:pPr>
              <w:pStyle w:val="NormalLeft"/>
              <w:rPr>
                <w:highlight w:val="yellow"/>
              </w:rPr>
            </w:pPr>
            <w:r w:rsidRPr="00DE12A3">
              <w:rPr>
                <w:noProof/>
                <w:highlight w:val="yellow"/>
                <w:lang w:val="tr-TR"/>
              </w:rPr>
              <w:lastRenderedPageBreak/>
              <w:drawing>
                <wp:inline distT="0" distB="0" distL="0" distR="0" wp14:anchorId="0821A718" wp14:editId="0E13ED75">
                  <wp:extent cx="170180" cy="193675"/>
                  <wp:effectExtent l="0" t="0" r="1270" b="0"/>
                  <wp:docPr id="2028" name="Resim 20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239">
                            <a:extLst>
                              <a:ext uri="{28A0092B-C50C-407E-A947-70E740481C1C}">
                                <a14:useLocalDpi xmlns:a14="http://schemas.microsoft.com/office/drawing/2010/main" val="0"/>
                              </a:ext>
                            </a:extLst>
                          </a:blip>
                          <a:srcRect/>
                          <a:stretch>
                            <a:fillRect/>
                          </a:stretch>
                        </pic:blipFill>
                        <pic:spPr bwMode="auto">
                          <a:xfrm>
                            <a:off x="0" y="0"/>
                            <a:ext cx="170180" cy="193675"/>
                          </a:xfrm>
                          <a:prstGeom prst="rect">
                            <a:avLst/>
                          </a:prstGeom>
                          <a:noFill/>
                          <a:ln>
                            <a:noFill/>
                          </a:ln>
                        </pic:spPr>
                      </pic:pic>
                    </a:graphicData>
                  </a:graphic>
                </wp:inline>
              </w:drawing>
            </w:r>
          </w:p>
        </w:tc>
        <w:tc>
          <w:tcPr>
            <w:tcW w:w="284" w:type="dxa"/>
          </w:tcPr>
          <w:p w14:paraId="40CEBA97" w14:textId="77777777" w:rsidR="008067E0" w:rsidRPr="00DE12A3" w:rsidRDefault="008067E0" w:rsidP="00C917D6">
            <w:pPr>
              <w:pStyle w:val="NormalLeft"/>
              <w:rPr>
                <w:highlight w:val="yellow"/>
              </w:rPr>
            </w:pPr>
          </w:p>
        </w:tc>
        <w:tc>
          <w:tcPr>
            <w:tcW w:w="6059" w:type="dxa"/>
          </w:tcPr>
          <w:p w14:paraId="55D909B2" w14:textId="68684001" w:rsidR="008067E0" w:rsidRPr="00DE12A3" w:rsidRDefault="00B56A0A" w:rsidP="00C917D6">
            <w:pPr>
              <w:spacing w:before="120" w:after="120"/>
              <w:jc w:val="both"/>
              <w:rPr>
                <w:rFonts w:cs="Times New Roman"/>
                <w:color w:val="auto"/>
              </w:rPr>
            </w:pPr>
            <w:r w:rsidRPr="00DE12A3">
              <w:rPr>
                <w:rFonts w:cs="Times New Roman"/>
                <w:color w:val="auto"/>
              </w:rPr>
              <w:t>Test</w:t>
            </w:r>
            <w:r w:rsidR="008067E0" w:rsidRPr="00DE12A3">
              <w:rPr>
                <w:rFonts w:cs="Times New Roman"/>
                <w:color w:val="auto"/>
              </w:rPr>
              <w:t xml:space="preserve"> için kullanılan seyreltme ayarlarına özgü uçucu </w:t>
            </w:r>
            <w:r w:rsidR="007E2039" w:rsidRPr="00DE12A3">
              <w:rPr>
                <w:rFonts w:cs="Times New Roman"/>
                <w:color w:val="auto"/>
              </w:rPr>
              <w:t xml:space="preserve">partikül </w:t>
            </w:r>
            <w:r w:rsidR="008067E0" w:rsidRPr="00DE12A3">
              <w:rPr>
                <w:rFonts w:cs="Times New Roman"/>
                <w:color w:val="auto"/>
              </w:rPr>
              <w:t xml:space="preserve">gidericinin ortalama </w:t>
            </w:r>
            <w:r w:rsidR="007E2039" w:rsidRPr="00DE12A3">
              <w:rPr>
                <w:rFonts w:cs="Times New Roman"/>
                <w:color w:val="auto"/>
              </w:rPr>
              <w:t xml:space="preserve">partikül </w:t>
            </w:r>
            <w:r w:rsidR="008067E0" w:rsidRPr="00DE12A3">
              <w:rPr>
                <w:rFonts w:cs="Times New Roman"/>
                <w:color w:val="auto"/>
              </w:rPr>
              <w:t>konsantrasyonu azaltma faktörüdür.</w:t>
            </w:r>
          </w:p>
        </w:tc>
      </w:tr>
    </w:tbl>
    <w:p w14:paraId="336C6302" w14:textId="77777777" w:rsidR="009F4766" w:rsidRPr="00DE12A3" w:rsidRDefault="009F4766" w:rsidP="00C917D6">
      <w:pPr>
        <w:spacing w:before="120" w:after="120"/>
        <w:rPr>
          <w:rFonts w:cs="Times New Roman"/>
          <w:color w:val="auto"/>
        </w:rPr>
      </w:pPr>
    </w:p>
    <w:p w14:paraId="601F02F7" w14:textId="77777777" w:rsidR="009F4766" w:rsidRPr="00DE12A3" w:rsidRDefault="008067E0" w:rsidP="00C917D6">
      <w:pPr>
        <w:spacing w:before="120" w:after="120"/>
        <w:jc w:val="center"/>
        <w:rPr>
          <w:rFonts w:cs="Times New Roman"/>
          <w:color w:val="auto"/>
        </w:rPr>
      </w:pPr>
      <w:r w:rsidRPr="00DE12A3">
        <w:rPr>
          <w:rFonts w:cs="Times New Roman"/>
          <w:color w:val="auto"/>
        </w:rPr>
        <w:t>ve</w:t>
      </w:r>
    </w:p>
    <w:tbl>
      <w:tblPr>
        <w:tblW w:w="6157" w:type="dxa"/>
        <w:tblInd w:w="3482" w:type="dxa"/>
        <w:tblLayout w:type="fixed"/>
        <w:tblLook w:val="0000" w:firstRow="0" w:lastRow="0" w:firstColumn="0" w:lastColumn="0" w:noHBand="0" w:noVBand="0"/>
      </w:tblPr>
      <w:tblGrid>
        <w:gridCol w:w="3447"/>
        <w:gridCol w:w="2710"/>
      </w:tblGrid>
      <w:tr w:rsidR="009F4766" w:rsidRPr="00DE12A3" w14:paraId="5C02DBE2" w14:textId="77777777" w:rsidTr="001A234D">
        <w:trPr>
          <w:trHeight w:val="1428"/>
        </w:trPr>
        <w:tc>
          <w:tcPr>
            <w:tcW w:w="3447" w:type="dxa"/>
          </w:tcPr>
          <w:p w14:paraId="20C1BA43" w14:textId="30707CB8" w:rsidR="009F4766" w:rsidRPr="00DE12A3" w:rsidRDefault="009F4766" w:rsidP="00C917D6">
            <w:pPr>
              <w:pStyle w:val="NormalLeft"/>
            </w:pPr>
            <w:r w:rsidRPr="00DE12A3">
              <w:rPr>
                <w:noProof/>
                <w:lang w:val="tr-TR"/>
              </w:rPr>
              <w:drawing>
                <wp:inline distT="0" distB="0" distL="0" distR="0" wp14:anchorId="2D895BA6" wp14:editId="098DC759">
                  <wp:extent cx="1617980" cy="668020"/>
                  <wp:effectExtent l="0" t="0" r="1270" b="0"/>
                  <wp:docPr id="2027" name="Resim 2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240">
                            <a:extLst>
                              <a:ext uri="{28A0092B-C50C-407E-A947-70E740481C1C}">
                                <a14:useLocalDpi xmlns:a14="http://schemas.microsoft.com/office/drawing/2010/main" val="0"/>
                              </a:ext>
                            </a:extLst>
                          </a:blip>
                          <a:srcRect/>
                          <a:stretch>
                            <a:fillRect/>
                          </a:stretch>
                        </pic:blipFill>
                        <pic:spPr bwMode="auto">
                          <a:xfrm>
                            <a:off x="0" y="0"/>
                            <a:ext cx="1617980" cy="668020"/>
                          </a:xfrm>
                          <a:prstGeom prst="rect">
                            <a:avLst/>
                          </a:prstGeom>
                          <a:noFill/>
                          <a:ln>
                            <a:noFill/>
                          </a:ln>
                        </pic:spPr>
                      </pic:pic>
                    </a:graphicData>
                  </a:graphic>
                </wp:inline>
              </w:drawing>
            </w:r>
          </w:p>
        </w:tc>
        <w:tc>
          <w:tcPr>
            <w:tcW w:w="2710" w:type="dxa"/>
          </w:tcPr>
          <w:p w14:paraId="431371D5" w14:textId="77777777" w:rsidR="009F4766" w:rsidRPr="00DE12A3" w:rsidRDefault="009F4766" w:rsidP="00C917D6">
            <w:pPr>
              <w:pStyle w:val="NormalLeft"/>
            </w:pPr>
            <w:r w:rsidRPr="00DE12A3">
              <w:t>(7-174)</w:t>
            </w:r>
          </w:p>
        </w:tc>
      </w:tr>
    </w:tbl>
    <w:p w14:paraId="74BA4F54" w14:textId="77777777" w:rsidR="009F4766" w:rsidRPr="00DE12A3" w:rsidRDefault="009F4766" w:rsidP="00C917D6">
      <w:pPr>
        <w:spacing w:before="120" w:after="120"/>
        <w:rPr>
          <w:rFonts w:cs="Times New Roman"/>
          <w:color w:val="auto"/>
        </w:rPr>
      </w:pPr>
    </w:p>
    <w:p w14:paraId="2A824EBD" w14:textId="77777777" w:rsidR="009F4766" w:rsidRPr="00DE12A3" w:rsidRDefault="008B3D9F" w:rsidP="00C917D6">
      <w:pPr>
        <w:spacing w:before="120" w:after="120"/>
        <w:ind w:left="1134"/>
        <w:rPr>
          <w:rFonts w:cs="Times New Roman"/>
          <w:color w:val="auto"/>
        </w:rPr>
      </w:pPr>
      <w:r w:rsidRPr="00DE12A3">
        <w:rPr>
          <w:rFonts w:cs="Times New Roman"/>
          <w:color w:val="auto"/>
        </w:rPr>
        <w:t>Burada</w:t>
      </w:r>
      <w:r w:rsidR="009F4766" w:rsidRPr="00DE12A3">
        <w:rPr>
          <w:rFonts w:cs="Times New Roman"/>
          <w:color w:val="auto"/>
        </w:rPr>
        <w:t>:</w:t>
      </w:r>
    </w:p>
    <w:tbl>
      <w:tblPr>
        <w:tblW w:w="0" w:type="auto"/>
        <w:tblInd w:w="1242" w:type="dxa"/>
        <w:tblLayout w:type="fixed"/>
        <w:tblLook w:val="0000" w:firstRow="0" w:lastRow="0" w:firstColumn="0" w:lastColumn="0" w:noHBand="0" w:noVBand="0"/>
      </w:tblPr>
      <w:tblGrid>
        <w:gridCol w:w="1134"/>
        <w:gridCol w:w="284"/>
        <w:gridCol w:w="6626"/>
      </w:tblGrid>
      <w:tr w:rsidR="00DE12A3" w:rsidRPr="00DE12A3" w14:paraId="560C840B" w14:textId="77777777" w:rsidTr="006D7ADF">
        <w:tc>
          <w:tcPr>
            <w:tcW w:w="1134" w:type="dxa"/>
          </w:tcPr>
          <w:p w14:paraId="64138100" w14:textId="77777777" w:rsidR="008067E0" w:rsidRPr="00DE12A3" w:rsidRDefault="008067E0" w:rsidP="00C917D6">
            <w:pPr>
              <w:pStyle w:val="NormalLeft"/>
            </w:pPr>
            <w:r w:rsidRPr="00DE12A3">
              <w:rPr>
                <w:i/>
                <w:iCs/>
              </w:rPr>
              <w:t>c</w:t>
            </w:r>
            <w:r w:rsidRPr="00DE12A3">
              <w:rPr>
                <w:i/>
                <w:iCs/>
                <w:vertAlign w:val="subscript"/>
              </w:rPr>
              <w:t>s,i</w:t>
            </w:r>
          </w:p>
        </w:tc>
        <w:tc>
          <w:tcPr>
            <w:tcW w:w="284" w:type="dxa"/>
          </w:tcPr>
          <w:p w14:paraId="5B48BCC2" w14:textId="099C9040" w:rsidR="008067E0" w:rsidRPr="00DE12A3" w:rsidRDefault="00592B0C" w:rsidP="00C917D6">
            <w:pPr>
              <w:pStyle w:val="NormalLeft"/>
            </w:pPr>
            <w:r w:rsidRPr="00DE12A3">
              <w:t>=</w:t>
            </w:r>
          </w:p>
        </w:tc>
        <w:tc>
          <w:tcPr>
            <w:tcW w:w="6626" w:type="dxa"/>
          </w:tcPr>
          <w:p w14:paraId="107E3D90" w14:textId="6B2E363C" w:rsidR="008067E0" w:rsidRPr="00DE12A3" w:rsidRDefault="00B56A0A" w:rsidP="002F5BBD">
            <w:pPr>
              <w:spacing w:before="120" w:after="120"/>
              <w:jc w:val="both"/>
              <w:rPr>
                <w:rFonts w:cs="Times New Roman"/>
                <w:color w:val="auto"/>
              </w:rPr>
            </w:pPr>
            <w:r w:rsidRPr="00DE12A3">
              <w:rPr>
                <w:rFonts w:cs="Times New Roman"/>
                <w:color w:val="auto"/>
              </w:rPr>
              <w:t>Partikül</w:t>
            </w:r>
            <w:r w:rsidR="007E2039" w:rsidRPr="00DE12A3">
              <w:rPr>
                <w:rFonts w:cs="Times New Roman"/>
                <w:color w:val="auto"/>
              </w:rPr>
              <w:t xml:space="preserve"> </w:t>
            </w:r>
            <w:r w:rsidR="008067E0" w:rsidRPr="00DE12A3">
              <w:rPr>
                <w:rFonts w:cs="Times New Roman"/>
                <w:color w:val="auto"/>
              </w:rPr>
              <w:t xml:space="preserve">sayacından gelen seyreltilmiş egzoz gazı içindeki </w:t>
            </w:r>
            <w:r w:rsidR="007E2039" w:rsidRPr="00DE12A3">
              <w:rPr>
                <w:rFonts w:cs="Times New Roman"/>
                <w:color w:val="auto"/>
              </w:rPr>
              <w:t xml:space="preserve">partikül </w:t>
            </w:r>
            <w:r w:rsidR="008067E0" w:rsidRPr="00DE12A3">
              <w:rPr>
                <w:rFonts w:cs="Times New Roman"/>
                <w:color w:val="auto"/>
              </w:rPr>
              <w:t>konsantrasyonunun</w:t>
            </w:r>
            <w:r w:rsidR="006C7D90" w:rsidRPr="00DE12A3">
              <w:rPr>
                <w:rFonts w:cs="Times New Roman"/>
                <w:color w:val="auto"/>
              </w:rPr>
              <w:t xml:space="preserve"> münferiden bir ölçümüdür,</w:t>
            </w:r>
            <w:r w:rsidR="008067E0" w:rsidRPr="00DE12A3">
              <w:rPr>
                <w:rFonts w:cs="Times New Roman"/>
                <w:color w:val="auto"/>
              </w:rPr>
              <w:t xml:space="preserve"> </w:t>
            </w:r>
            <w:r w:rsidR="006C7D90" w:rsidRPr="00DE12A3">
              <w:rPr>
                <w:rFonts w:cs="Times New Roman"/>
                <w:color w:val="auto"/>
              </w:rPr>
              <w:t>çakışma</w:t>
            </w:r>
            <w:r w:rsidR="008067E0" w:rsidRPr="00DE12A3">
              <w:rPr>
                <w:rFonts w:cs="Times New Roman"/>
                <w:color w:val="auto"/>
              </w:rPr>
              <w:t xml:space="preserve"> ve standart şartlara (273,2 K ve 101,33 kPa) göre düzeltilmiş</w:t>
            </w:r>
            <w:r w:rsidR="006C7D90" w:rsidRPr="00DE12A3">
              <w:rPr>
                <w:rFonts w:cs="Times New Roman"/>
                <w:color w:val="auto"/>
              </w:rPr>
              <w:t>tir, birimi</w:t>
            </w:r>
            <w:r w:rsidR="008067E0" w:rsidRPr="00DE12A3">
              <w:rPr>
                <w:rFonts w:cs="Times New Roman"/>
                <w:color w:val="auto"/>
              </w:rPr>
              <w:t xml:space="preserve"> santimetre küp başına par</w:t>
            </w:r>
            <w:r w:rsidR="006C7D90" w:rsidRPr="00DE12A3">
              <w:rPr>
                <w:rFonts w:cs="Times New Roman"/>
                <w:color w:val="auto"/>
              </w:rPr>
              <w:t>tiküldür</w:t>
            </w:r>
            <w:r w:rsidR="00592B0C" w:rsidRPr="00DE12A3">
              <w:rPr>
                <w:rFonts w:cs="Times New Roman"/>
                <w:color w:val="auto"/>
              </w:rPr>
              <w:t>.</w:t>
            </w:r>
          </w:p>
        </w:tc>
      </w:tr>
      <w:tr w:rsidR="008067E0" w:rsidRPr="00DE12A3" w14:paraId="7795DF71" w14:textId="77777777" w:rsidTr="006D7ADF">
        <w:tc>
          <w:tcPr>
            <w:tcW w:w="1134" w:type="dxa"/>
          </w:tcPr>
          <w:p w14:paraId="393285D2" w14:textId="77777777" w:rsidR="008067E0" w:rsidRPr="00DE12A3" w:rsidRDefault="008067E0" w:rsidP="00C917D6">
            <w:pPr>
              <w:pStyle w:val="NormalLeft"/>
            </w:pPr>
            <w:r w:rsidRPr="00DE12A3">
              <w:rPr>
                <w:i/>
                <w:iCs/>
              </w:rPr>
              <w:t>n</w:t>
            </w:r>
          </w:p>
        </w:tc>
        <w:tc>
          <w:tcPr>
            <w:tcW w:w="284" w:type="dxa"/>
          </w:tcPr>
          <w:p w14:paraId="62448B60" w14:textId="56569268" w:rsidR="008067E0" w:rsidRPr="00DE12A3" w:rsidRDefault="00592B0C" w:rsidP="00C917D6">
            <w:pPr>
              <w:pStyle w:val="NormalLeft"/>
            </w:pPr>
            <w:r w:rsidRPr="00DE12A3">
              <w:t>=</w:t>
            </w:r>
          </w:p>
        </w:tc>
        <w:tc>
          <w:tcPr>
            <w:tcW w:w="6626" w:type="dxa"/>
          </w:tcPr>
          <w:p w14:paraId="7AA3C3A7" w14:textId="5777FDE1" w:rsidR="008067E0" w:rsidRPr="00DE12A3" w:rsidRDefault="00B56A0A" w:rsidP="002F5BBD">
            <w:pPr>
              <w:spacing w:before="120" w:after="120"/>
              <w:jc w:val="both"/>
              <w:rPr>
                <w:rFonts w:cs="Times New Roman"/>
                <w:color w:val="auto"/>
              </w:rPr>
            </w:pPr>
            <w:r w:rsidRPr="00DE12A3">
              <w:rPr>
                <w:rFonts w:cs="Times New Roman"/>
                <w:color w:val="auto"/>
              </w:rPr>
              <w:t>Bağımsız</w:t>
            </w:r>
            <w:r w:rsidR="008067E0" w:rsidRPr="00DE12A3">
              <w:rPr>
                <w:rFonts w:cs="Times New Roman"/>
                <w:color w:val="auto"/>
              </w:rPr>
              <w:t xml:space="preserve"> ayrık mod örnekleme döneminde alınan </w:t>
            </w:r>
            <w:r w:rsidR="007E2039" w:rsidRPr="00DE12A3">
              <w:rPr>
                <w:rFonts w:cs="Times New Roman"/>
                <w:color w:val="auto"/>
              </w:rPr>
              <w:t xml:space="preserve">partikül </w:t>
            </w:r>
            <w:r w:rsidR="008067E0" w:rsidRPr="00DE12A3">
              <w:rPr>
                <w:rFonts w:cs="Times New Roman"/>
                <w:color w:val="auto"/>
              </w:rPr>
              <w:t>konsantrasyonu ölçümlerinin sayısıdır.</w:t>
            </w:r>
          </w:p>
        </w:tc>
      </w:tr>
    </w:tbl>
    <w:p w14:paraId="4BA9E2F8" w14:textId="77777777" w:rsidR="009F4766" w:rsidRPr="00DE12A3" w:rsidRDefault="009F4766" w:rsidP="00C917D6">
      <w:pPr>
        <w:spacing w:before="120" w:after="120"/>
        <w:rPr>
          <w:rFonts w:cs="Times New Roman"/>
          <w:color w:val="auto"/>
        </w:rPr>
      </w:pPr>
    </w:p>
    <w:p w14:paraId="4F7513BE" w14:textId="61D89EFE" w:rsidR="008067E0" w:rsidRPr="00DE12A3" w:rsidRDefault="009F4766" w:rsidP="00AB2658">
      <w:pPr>
        <w:rPr>
          <w:b/>
          <w:color w:val="auto"/>
        </w:rPr>
      </w:pPr>
      <w:r w:rsidRPr="00DE12A3">
        <w:rPr>
          <w:b/>
          <w:color w:val="auto"/>
        </w:rPr>
        <w:t>2.</w:t>
      </w:r>
      <w:r w:rsidR="00AB2658" w:rsidRPr="00DE12A3">
        <w:rPr>
          <w:b/>
          <w:color w:val="auto"/>
        </w:rPr>
        <w:t xml:space="preserve"> </w:t>
      </w:r>
      <w:r w:rsidR="008067E0" w:rsidRPr="00DE12A3">
        <w:rPr>
          <w:b/>
          <w:color w:val="auto"/>
        </w:rPr>
        <w:t>Test sonucu</w:t>
      </w:r>
    </w:p>
    <w:p w14:paraId="2593C5EF" w14:textId="77777777" w:rsidR="00AB2658" w:rsidRPr="00DE12A3" w:rsidRDefault="00AB2658" w:rsidP="00AB2658">
      <w:pPr>
        <w:rPr>
          <w:color w:val="auto"/>
        </w:rPr>
      </w:pPr>
    </w:p>
    <w:p w14:paraId="59833D15" w14:textId="374D2511" w:rsidR="008067E0" w:rsidRPr="00DE12A3" w:rsidRDefault="008067E0" w:rsidP="00AB2658">
      <w:pPr>
        <w:jc w:val="both"/>
        <w:rPr>
          <w:color w:val="auto"/>
        </w:rPr>
      </w:pPr>
      <w:r w:rsidRPr="00DE12A3">
        <w:rPr>
          <w:color w:val="auto"/>
        </w:rPr>
        <w:t>2.1.</w:t>
      </w:r>
      <w:r w:rsidR="00AB2658" w:rsidRPr="00DE12A3">
        <w:rPr>
          <w:color w:val="auto"/>
        </w:rPr>
        <w:t xml:space="preserve"> </w:t>
      </w:r>
      <w:r w:rsidRPr="00DE12A3">
        <w:rPr>
          <w:color w:val="auto"/>
        </w:rPr>
        <w:t xml:space="preserve">Süreksiz (NRTC ve LSI-NRTC) test </w:t>
      </w:r>
      <w:r w:rsidR="00F310B5" w:rsidRPr="00DE12A3">
        <w:rPr>
          <w:color w:val="auto"/>
        </w:rPr>
        <w:t>çevrim</w:t>
      </w:r>
      <w:r w:rsidRPr="00DE12A3">
        <w:rPr>
          <w:color w:val="auto"/>
        </w:rPr>
        <w:t>leri ve RMC için spesifik emisyonların hesaplanması</w:t>
      </w:r>
    </w:p>
    <w:p w14:paraId="1DF4116C" w14:textId="77777777" w:rsidR="00AB2658" w:rsidRPr="00DE12A3" w:rsidRDefault="00AB2658" w:rsidP="00AB2658">
      <w:pPr>
        <w:jc w:val="both"/>
        <w:rPr>
          <w:color w:val="auto"/>
        </w:rPr>
      </w:pPr>
    </w:p>
    <w:p w14:paraId="1ACB3F66" w14:textId="66E37A6E" w:rsidR="008067E0" w:rsidRPr="00DE12A3" w:rsidRDefault="008067E0" w:rsidP="00AB2658">
      <w:pPr>
        <w:jc w:val="both"/>
        <w:rPr>
          <w:color w:val="auto"/>
        </w:rPr>
      </w:pPr>
      <w:r w:rsidRPr="00DE12A3">
        <w:rPr>
          <w:color w:val="auto"/>
        </w:rPr>
        <w:t xml:space="preserve">Uygulanabilir her bağımsız RMC, ön ısıtmalı NRTC ve soğuk başlangıç NRTC için, </w:t>
      </w:r>
      <w:r w:rsidR="007E2039" w:rsidRPr="00DE12A3">
        <w:rPr>
          <w:color w:val="auto"/>
        </w:rPr>
        <w:t xml:space="preserve">partikül </w:t>
      </w:r>
      <w:r w:rsidRPr="00DE12A3">
        <w:rPr>
          <w:color w:val="auto"/>
        </w:rPr>
        <w:t xml:space="preserve">sayısı/kWh cinsinden spesifik emisyonlar (7-175) </w:t>
      </w:r>
      <w:r w:rsidR="005C6D9F" w:rsidRPr="00DE12A3">
        <w:rPr>
          <w:color w:val="auto"/>
        </w:rPr>
        <w:t>numaralı</w:t>
      </w:r>
      <w:r w:rsidR="005C6D9F" w:rsidRPr="00DE12A3" w:rsidDel="005C6D9F">
        <w:rPr>
          <w:color w:val="auto"/>
        </w:rPr>
        <w:t xml:space="preserve"> </w:t>
      </w:r>
      <w:r w:rsidRPr="00DE12A3">
        <w:rPr>
          <w:color w:val="auto"/>
        </w:rPr>
        <w:t>denklem ile hesaplanmalıdır:</w:t>
      </w:r>
    </w:p>
    <w:p w14:paraId="024BEDB2" w14:textId="77777777" w:rsidR="009F4766" w:rsidRPr="00DE12A3" w:rsidRDefault="009F4766" w:rsidP="00AB2658">
      <w:pPr>
        <w:jc w:val="both"/>
        <w:rPr>
          <w:color w:val="auto"/>
        </w:rPr>
      </w:pPr>
    </w:p>
    <w:tbl>
      <w:tblPr>
        <w:tblW w:w="0" w:type="auto"/>
        <w:tblInd w:w="3529" w:type="dxa"/>
        <w:tblLayout w:type="fixed"/>
        <w:tblLook w:val="0000" w:firstRow="0" w:lastRow="0" w:firstColumn="0" w:lastColumn="0" w:noHBand="0" w:noVBand="0"/>
      </w:tblPr>
      <w:tblGrid>
        <w:gridCol w:w="3063"/>
        <w:gridCol w:w="2612"/>
      </w:tblGrid>
      <w:tr w:rsidR="00DE12A3" w:rsidRPr="00DE12A3" w14:paraId="34BA2695" w14:textId="77777777" w:rsidTr="001A234D">
        <w:trPr>
          <w:trHeight w:val="1272"/>
        </w:trPr>
        <w:tc>
          <w:tcPr>
            <w:tcW w:w="3063" w:type="dxa"/>
          </w:tcPr>
          <w:p w14:paraId="35EA7DA3" w14:textId="2F2825B6" w:rsidR="009F4766" w:rsidRPr="00DE12A3" w:rsidRDefault="009F4766" w:rsidP="00C917D6">
            <w:pPr>
              <w:pStyle w:val="NormalLeft"/>
            </w:pPr>
            <w:r w:rsidRPr="00DE12A3">
              <w:rPr>
                <w:noProof/>
                <w:lang w:val="tr-TR"/>
              </w:rPr>
              <w:drawing>
                <wp:inline distT="0" distB="0" distL="0" distR="0" wp14:anchorId="1F256538" wp14:editId="78A8DE8C">
                  <wp:extent cx="1090295" cy="644525"/>
                  <wp:effectExtent l="0" t="0" r="0" b="3175"/>
                  <wp:docPr id="2026" name="Resim 2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244">
                            <a:extLst>
                              <a:ext uri="{28A0092B-C50C-407E-A947-70E740481C1C}">
                                <a14:useLocalDpi xmlns:a14="http://schemas.microsoft.com/office/drawing/2010/main" val="0"/>
                              </a:ext>
                            </a:extLst>
                          </a:blip>
                          <a:srcRect/>
                          <a:stretch>
                            <a:fillRect/>
                          </a:stretch>
                        </pic:blipFill>
                        <pic:spPr bwMode="auto">
                          <a:xfrm>
                            <a:off x="0" y="0"/>
                            <a:ext cx="1090295" cy="644525"/>
                          </a:xfrm>
                          <a:prstGeom prst="rect">
                            <a:avLst/>
                          </a:prstGeom>
                          <a:noFill/>
                          <a:ln>
                            <a:noFill/>
                          </a:ln>
                        </pic:spPr>
                      </pic:pic>
                    </a:graphicData>
                  </a:graphic>
                </wp:inline>
              </w:drawing>
            </w:r>
          </w:p>
        </w:tc>
        <w:tc>
          <w:tcPr>
            <w:tcW w:w="2612" w:type="dxa"/>
          </w:tcPr>
          <w:p w14:paraId="7FE2A3FD" w14:textId="77777777" w:rsidR="009F4766" w:rsidRPr="00DE12A3" w:rsidRDefault="009F4766" w:rsidP="00C917D6">
            <w:pPr>
              <w:pStyle w:val="NormalLeft"/>
            </w:pPr>
            <w:r w:rsidRPr="00DE12A3">
              <w:t>(7-175)</w:t>
            </w:r>
          </w:p>
        </w:tc>
      </w:tr>
    </w:tbl>
    <w:p w14:paraId="6466FDC4" w14:textId="77777777" w:rsidR="009F4766" w:rsidRPr="00DE12A3" w:rsidRDefault="008B3D9F" w:rsidP="00C917D6">
      <w:pPr>
        <w:spacing w:before="120" w:after="120"/>
        <w:ind w:left="1134"/>
        <w:rPr>
          <w:rFonts w:cs="Times New Roman"/>
          <w:color w:val="auto"/>
        </w:rPr>
      </w:pPr>
      <w:r w:rsidRPr="00DE12A3">
        <w:rPr>
          <w:rFonts w:cs="Times New Roman"/>
          <w:color w:val="auto"/>
        </w:rPr>
        <w:t>Burada</w:t>
      </w:r>
      <w:r w:rsidR="009F4766" w:rsidRPr="00DE12A3">
        <w:rPr>
          <w:rFonts w:cs="Times New Roman"/>
          <w:color w:val="auto"/>
        </w:rPr>
        <w:t>:</w:t>
      </w:r>
    </w:p>
    <w:tbl>
      <w:tblPr>
        <w:tblW w:w="0" w:type="auto"/>
        <w:tblInd w:w="1384" w:type="dxa"/>
        <w:tblLayout w:type="fixed"/>
        <w:tblLook w:val="0000" w:firstRow="0" w:lastRow="0" w:firstColumn="0" w:lastColumn="0" w:noHBand="0" w:noVBand="0"/>
      </w:tblPr>
      <w:tblGrid>
        <w:gridCol w:w="1843"/>
        <w:gridCol w:w="283"/>
        <w:gridCol w:w="5776"/>
      </w:tblGrid>
      <w:tr w:rsidR="00DE12A3" w:rsidRPr="00DE12A3" w14:paraId="61DCFD05" w14:textId="77777777" w:rsidTr="006D7ADF">
        <w:tc>
          <w:tcPr>
            <w:tcW w:w="1843" w:type="dxa"/>
          </w:tcPr>
          <w:p w14:paraId="5E2227A9" w14:textId="77777777" w:rsidR="009F4766" w:rsidRPr="00DE12A3" w:rsidRDefault="009F4766" w:rsidP="00C917D6">
            <w:pPr>
              <w:pStyle w:val="NormalLeft"/>
            </w:pPr>
            <w:r w:rsidRPr="00DE12A3">
              <w:rPr>
                <w:i/>
                <w:iCs/>
              </w:rPr>
              <w:t>N</w:t>
            </w:r>
          </w:p>
        </w:tc>
        <w:tc>
          <w:tcPr>
            <w:tcW w:w="283" w:type="dxa"/>
          </w:tcPr>
          <w:p w14:paraId="5F5867F8" w14:textId="77777777" w:rsidR="009F4766" w:rsidRPr="00DE12A3" w:rsidRDefault="009F4766" w:rsidP="00C917D6">
            <w:pPr>
              <w:pStyle w:val="NormalLeft"/>
            </w:pPr>
          </w:p>
        </w:tc>
        <w:tc>
          <w:tcPr>
            <w:tcW w:w="5776" w:type="dxa"/>
          </w:tcPr>
          <w:p w14:paraId="5D996C4F" w14:textId="3FDCB7AF" w:rsidR="009F4766" w:rsidRPr="00DE12A3" w:rsidRDefault="00B56A0A" w:rsidP="002F5BBD">
            <w:pPr>
              <w:pStyle w:val="NormalLeft"/>
              <w:jc w:val="both"/>
            </w:pPr>
            <w:r w:rsidRPr="00DE12A3">
              <w:t>Geçerli</w:t>
            </w:r>
            <w:r w:rsidR="008067E0" w:rsidRPr="00DE12A3">
              <w:t xml:space="preserve"> RMC, ön ısıtmalı NRTC uygulaması veya soğuk çalıştırma NRTC boyunca yayılan </w:t>
            </w:r>
            <w:r w:rsidR="007E2039" w:rsidRPr="00DE12A3">
              <w:t xml:space="preserve">partikül </w:t>
            </w:r>
            <w:r w:rsidR="008067E0" w:rsidRPr="00DE12A3">
              <w:t>sayısıdır</w:t>
            </w:r>
            <w:r w:rsidR="00592B0C" w:rsidRPr="00DE12A3">
              <w:t>.</w:t>
            </w:r>
          </w:p>
        </w:tc>
      </w:tr>
      <w:tr w:rsidR="009F4766" w:rsidRPr="00DE12A3" w14:paraId="6158E669" w14:textId="77777777" w:rsidTr="006D7ADF">
        <w:tc>
          <w:tcPr>
            <w:tcW w:w="1843" w:type="dxa"/>
          </w:tcPr>
          <w:p w14:paraId="75E39F5A" w14:textId="77777777" w:rsidR="009F4766" w:rsidRPr="00DE12A3" w:rsidRDefault="009F4766" w:rsidP="00C917D6">
            <w:pPr>
              <w:pStyle w:val="NormalLeft"/>
            </w:pPr>
            <w:r w:rsidRPr="00DE12A3">
              <w:rPr>
                <w:i/>
                <w:iCs/>
              </w:rPr>
              <w:t>W</w:t>
            </w:r>
            <w:r w:rsidRPr="00DE12A3">
              <w:rPr>
                <w:i/>
                <w:iCs/>
                <w:vertAlign w:val="subscript"/>
              </w:rPr>
              <w:t>act</w:t>
            </w:r>
          </w:p>
        </w:tc>
        <w:tc>
          <w:tcPr>
            <w:tcW w:w="283" w:type="dxa"/>
          </w:tcPr>
          <w:p w14:paraId="3865272C" w14:textId="77777777" w:rsidR="009F4766" w:rsidRPr="00DE12A3" w:rsidRDefault="009F4766" w:rsidP="00C917D6">
            <w:pPr>
              <w:pStyle w:val="NormalLeft"/>
            </w:pPr>
          </w:p>
        </w:tc>
        <w:tc>
          <w:tcPr>
            <w:tcW w:w="5776" w:type="dxa"/>
          </w:tcPr>
          <w:p w14:paraId="1B9C96FB" w14:textId="46B33095" w:rsidR="009F4766" w:rsidRPr="00DE12A3" w:rsidRDefault="00FA0678" w:rsidP="002F5BBD">
            <w:pPr>
              <w:pStyle w:val="NormalLeft"/>
              <w:jc w:val="both"/>
            </w:pPr>
            <w:r w:rsidRPr="00DE12A3">
              <w:t xml:space="preserve">VI’ncı </w:t>
            </w:r>
            <w:r w:rsidR="002F5BBD" w:rsidRPr="00DE12A3">
              <w:t>E</w:t>
            </w:r>
            <w:r w:rsidRPr="00DE12A3">
              <w:t>k</w:t>
            </w:r>
            <w:r w:rsidR="008067E0" w:rsidRPr="00DE12A3">
              <w:t xml:space="preserve">in 7.8.3.4 bendi uyarınca gerçek </w:t>
            </w:r>
            <w:r w:rsidR="00F310B5" w:rsidRPr="00DE12A3">
              <w:t>çevrim</w:t>
            </w:r>
            <w:r w:rsidR="008067E0" w:rsidRPr="00DE12A3">
              <w:t xml:space="preserve"> çalışmasıdır, [kWh].</w:t>
            </w:r>
          </w:p>
        </w:tc>
      </w:tr>
    </w:tbl>
    <w:p w14:paraId="2A8C3212" w14:textId="77777777" w:rsidR="009F4766" w:rsidRPr="00DE12A3" w:rsidRDefault="009F4766" w:rsidP="00C917D6">
      <w:pPr>
        <w:spacing w:before="120" w:after="120"/>
        <w:rPr>
          <w:rFonts w:cs="Times New Roman"/>
          <w:color w:val="auto"/>
        </w:rPr>
      </w:pPr>
    </w:p>
    <w:p w14:paraId="5F69B3E7" w14:textId="673956A6" w:rsidR="00755208" w:rsidRPr="00DE12A3" w:rsidRDefault="00755208" w:rsidP="00AB2658">
      <w:pPr>
        <w:spacing w:before="120" w:after="120"/>
        <w:jc w:val="both"/>
        <w:rPr>
          <w:rFonts w:cs="Times New Roman"/>
          <w:color w:val="auto"/>
        </w:rPr>
      </w:pPr>
      <w:r w:rsidRPr="00DE12A3">
        <w:rPr>
          <w:rFonts w:cs="Times New Roman"/>
          <w:color w:val="auto"/>
        </w:rPr>
        <w:t xml:space="preserve">Bir RMC için, seyrek (periyodik) egzoz </w:t>
      </w:r>
      <w:r w:rsidR="007E2039" w:rsidRPr="00DE12A3">
        <w:rPr>
          <w:rFonts w:cs="Times New Roman"/>
          <w:color w:val="auto"/>
        </w:rPr>
        <w:t xml:space="preserve">arıtma </w:t>
      </w:r>
      <w:r w:rsidRPr="00DE12A3">
        <w:rPr>
          <w:rFonts w:cs="Times New Roman"/>
          <w:color w:val="auto"/>
        </w:rPr>
        <w:t xml:space="preserve">sistemi rejenerasyonuna sahip bir motor durumunda (bkz. </w:t>
      </w:r>
      <w:r w:rsidR="00FA0678" w:rsidRPr="00DE12A3">
        <w:rPr>
          <w:rFonts w:cs="Times New Roman"/>
          <w:color w:val="auto"/>
        </w:rPr>
        <w:t xml:space="preserve">VI’ncı </w:t>
      </w:r>
      <w:r w:rsidR="00592B0C" w:rsidRPr="00DE12A3">
        <w:rPr>
          <w:rFonts w:cs="Times New Roman"/>
          <w:color w:val="auto"/>
        </w:rPr>
        <w:t>E</w:t>
      </w:r>
      <w:r w:rsidR="00FA0678" w:rsidRPr="00DE12A3">
        <w:rPr>
          <w:rFonts w:cs="Times New Roman"/>
          <w:color w:val="auto"/>
        </w:rPr>
        <w:t>k</w:t>
      </w:r>
      <w:r w:rsidRPr="00DE12A3">
        <w:rPr>
          <w:rFonts w:cs="Times New Roman"/>
          <w:color w:val="auto"/>
        </w:rPr>
        <w:t>te</w:t>
      </w:r>
      <w:r w:rsidR="00592B0C" w:rsidRPr="00DE12A3">
        <w:rPr>
          <w:rFonts w:cs="Times New Roman"/>
          <w:color w:val="auto"/>
        </w:rPr>
        <w:t xml:space="preserve"> yer alan</w:t>
      </w:r>
      <w:r w:rsidRPr="00DE12A3">
        <w:rPr>
          <w:rFonts w:cs="Times New Roman"/>
          <w:color w:val="auto"/>
        </w:rPr>
        <w:t xml:space="preserve"> 6.6.2 bendi), spesifik emisyonlar ya geçerli çarpımsal ayarlama faktörü ya da geçerli ayarlama ilave faktörü ile düzeltilmelidir. Test sırasında seyrek </w:t>
      </w:r>
      <w:r w:rsidRPr="00DE12A3">
        <w:rPr>
          <w:rFonts w:cs="Times New Roman"/>
          <w:color w:val="auto"/>
        </w:rPr>
        <w:lastRenderedPageBreak/>
        <w:t>rejenerasyon gerçekleşmemesi durumunda, yukarı doğru faktör uygulanmalıdır (k</w:t>
      </w:r>
      <w:r w:rsidRPr="00DE12A3">
        <w:rPr>
          <w:rFonts w:cs="Times New Roman"/>
          <w:color w:val="auto"/>
          <w:vertAlign w:val="subscript"/>
        </w:rPr>
        <w:t xml:space="preserve">ru,m </w:t>
      </w:r>
      <w:r w:rsidRPr="00DE12A3">
        <w:rPr>
          <w:rFonts w:cs="Times New Roman"/>
          <w:color w:val="auto"/>
        </w:rPr>
        <w:t>veya k</w:t>
      </w:r>
      <w:r w:rsidRPr="00DE12A3">
        <w:rPr>
          <w:rFonts w:cs="Times New Roman"/>
          <w:color w:val="auto"/>
          <w:vertAlign w:val="subscript"/>
        </w:rPr>
        <w:t>ru,a</w:t>
      </w:r>
      <w:r w:rsidRPr="00DE12A3">
        <w:rPr>
          <w:rFonts w:cs="Times New Roman"/>
          <w:color w:val="auto"/>
        </w:rPr>
        <w:t>). Test sırasında seyrek rejenerasyon gerçekleşmesi durumunda, aşağı doğru faktör uygulanmalıdır (k</w:t>
      </w:r>
      <w:r w:rsidRPr="00DE12A3">
        <w:rPr>
          <w:rFonts w:cs="Times New Roman"/>
          <w:color w:val="auto"/>
          <w:vertAlign w:val="subscript"/>
        </w:rPr>
        <w:t xml:space="preserve">rd,m </w:t>
      </w:r>
      <w:r w:rsidRPr="00DE12A3">
        <w:rPr>
          <w:rFonts w:cs="Times New Roman"/>
          <w:color w:val="auto"/>
        </w:rPr>
        <w:t>veya k</w:t>
      </w:r>
      <w:r w:rsidRPr="00DE12A3">
        <w:rPr>
          <w:rFonts w:cs="Times New Roman"/>
          <w:color w:val="auto"/>
          <w:vertAlign w:val="subscript"/>
        </w:rPr>
        <w:t>r</w:t>
      </w:r>
      <w:r w:rsidR="001E72A3" w:rsidRPr="00DE12A3">
        <w:rPr>
          <w:rFonts w:cs="Times New Roman"/>
          <w:color w:val="auto"/>
          <w:vertAlign w:val="subscript"/>
        </w:rPr>
        <w:t>d</w:t>
      </w:r>
      <w:r w:rsidR="004D1FEF" w:rsidRPr="00DE12A3">
        <w:rPr>
          <w:rFonts w:cs="Times New Roman"/>
          <w:color w:val="auto"/>
          <w:vertAlign w:val="subscript"/>
        </w:rPr>
        <w:t>,</w:t>
      </w:r>
      <w:r w:rsidRPr="00DE12A3">
        <w:rPr>
          <w:rFonts w:cs="Times New Roman"/>
          <w:color w:val="auto"/>
          <w:vertAlign w:val="subscript"/>
        </w:rPr>
        <w:t>a</w:t>
      </w:r>
      <w:r w:rsidRPr="00DE12A3">
        <w:rPr>
          <w:rFonts w:cs="Times New Roman"/>
          <w:color w:val="auto"/>
        </w:rPr>
        <w:t>).</w:t>
      </w:r>
    </w:p>
    <w:p w14:paraId="56F398F5" w14:textId="77777777" w:rsidR="00AB2658" w:rsidRPr="00DE12A3" w:rsidRDefault="00AB2658" w:rsidP="00AB2658">
      <w:pPr>
        <w:spacing w:before="120" w:after="120"/>
        <w:jc w:val="both"/>
        <w:rPr>
          <w:rFonts w:cs="Times New Roman"/>
          <w:color w:val="auto"/>
        </w:rPr>
      </w:pPr>
    </w:p>
    <w:p w14:paraId="75279D2D" w14:textId="1DBE1598" w:rsidR="00755208" w:rsidRPr="00DE12A3" w:rsidRDefault="00755208" w:rsidP="00AB2658">
      <w:pPr>
        <w:spacing w:before="120" w:after="120"/>
        <w:jc w:val="both"/>
        <w:rPr>
          <w:rFonts w:cs="Times New Roman"/>
          <w:color w:val="auto"/>
        </w:rPr>
      </w:pPr>
      <w:r w:rsidRPr="00DE12A3">
        <w:rPr>
          <w:rFonts w:cs="Times New Roman"/>
          <w:color w:val="auto"/>
        </w:rPr>
        <w:t xml:space="preserve">Bir RMC için nihai sonuç, </w:t>
      </w:r>
      <w:r w:rsidR="006C7D90" w:rsidRPr="00DE12A3">
        <w:rPr>
          <w:rFonts w:cs="Times New Roman"/>
          <w:color w:val="auto"/>
        </w:rPr>
        <w:t xml:space="preserve">Ek </w:t>
      </w:r>
      <w:r w:rsidRPr="00DE12A3">
        <w:rPr>
          <w:rFonts w:cs="Times New Roman"/>
          <w:color w:val="auto"/>
        </w:rPr>
        <w:t>III</w:t>
      </w:r>
      <w:r w:rsidR="006C7D90" w:rsidRPr="00DE12A3">
        <w:rPr>
          <w:rFonts w:cs="Times New Roman"/>
          <w:color w:val="auto"/>
        </w:rPr>
        <w:t xml:space="preserve">’ün </w:t>
      </w:r>
      <w:r w:rsidRPr="00DE12A3">
        <w:rPr>
          <w:rFonts w:cs="Times New Roman"/>
          <w:color w:val="auto"/>
        </w:rPr>
        <w:t xml:space="preserve"> </w:t>
      </w:r>
      <w:r w:rsidR="0053289F" w:rsidRPr="00DE12A3">
        <w:rPr>
          <w:rFonts w:cs="Times New Roman"/>
          <w:color w:val="auto"/>
        </w:rPr>
        <w:t>gereklilikleri</w:t>
      </w:r>
      <w:r w:rsidRPr="00DE12A3">
        <w:rPr>
          <w:rFonts w:cs="Times New Roman"/>
          <w:color w:val="auto"/>
        </w:rPr>
        <w:t xml:space="preserve"> uyarınca oluşturulan geçerli çarpımsal veya ilave bozulma faktörü ile de ayarlanmalıdır.</w:t>
      </w:r>
    </w:p>
    <w:p w14:paraId="0BC5B5A5" w14:textId="45EC03F1" w:rsidR="00755208" w:rsidRPr="00DE12A3" w:rsidRDefault="00755208" w:rsidP="00C917D6">
      <w:pPr>
        <w:spacing w:before="120" w:after="120"/>
        <w:ind w:left="1134" w:hanging="1134"/>
        <w:jc w:val="both"/>
        <w:rPr>
          <w:rFonts w:cs="Times New Roman"/>
          <w:color w:val="auto"/>
        </w:rPr>
      </w:pPr>
      <w:r w:rsidRPr="00DE12A3">
        <w:rPr>
          <w:rFonts w:cs="Times New Roman"/>
          <w:color w:val="auto"/>
        </w:rPr>
        <w:t>2.1.1.</w:t>
      </w:r>
      <w:r w:rsidR="00AB2658" w:rsidRPr="00DE12A3">
        <w:rPr>
          <w:rFonts w:cs="Times New Roman"/>
          <w:color w:val="auto"/>
        </w:rPr>
        <w:t xml:space="preserve"> </w:t>
      </w:r>
      <w:r w:rsidRPr="00DE12A3">
        <w:rPr>
          <w:rFonts w:cs="Times New Roman"/>
          <w:color w:val="auto"/>
        </w:rPr>
        <w:t>Ağırlıklı ortalama NRTC test sonucu</w:t>
      </w:r>
    </w:p>
    <w:p w14:paraId="3AD63CCE" w14:textId="16E341F5" w:rsidR="00755208" w:rsidRPr="00DE12A3" w:rsidRDefault="00755208" w:rsidP="00AB2658">
      <w:pPr>
        <w:spacing w:before="120" w:after="120"/>
        <w:jc w:val="both"/>
        <w:rPr>
          <w:rFonts w:cs="Times New Roman"/>
          <w:color w:val="auto"/>
        </w:rPr>
      </w:pPr>
      <w:r w:rsidRPr="00DE12A3">
        <w:rPr>
          <w:rFonts w:cs="Times New Roman"/>
          <w:color w:val="auto"/>
        </w:rPr>
        <w:t>NRTC için, nihai test sonucu, (varsa seyrek rejenerasyon dahil) soğuk çalıştırmalı uygulamadan ve ön ısıtmalı uygulamadan elde edilen bir ağırlıklı ortalamadır</w:t>
      </w:r>
      <w:r w:rsidR="00592B0C" w:rsidRPr="00DE12A3">
        <w:rPr>
          <w:rFonts w:cs="Times New Roman"/>
          <w:color w:val="auto"/>
        </w:rPr>
        <w:t>.</w:t>
      </w:r>
      <w:r w:rsidRPr="00DE12A3">
        <w:rPr>
          <w:rFonts w:cs="Times New Roman"/>
          <w:color w:val="auto"/>
        </w:rPr>
        <w:t xml:space="preserve"> (7-176) veya (7-177) </w:t>
      </w:r>
      <w:r w:rsidR="005C6D9F" w:rsidRPr="00DE12A3">
        <w:rPr>
          <w:color w:val="auto"/>
        </w:rPr>
        <w:t>numaralı</w:t>
      </w:r>
      <w:r w:rsidR="005C6D9F" w:rsidRPr="00DE12A3" w:rsidDel="005C6D9F">
        <w:rPr>
          <w:rFonts w:cs="Times New Roman"/>
          <w:color w:val="auto"/>
        </w:rPr>
        <w:t xml:space="preserve"> </w:t>
      </w:r>
      <w:r w:rsidRPr="00DE12A3">
        <w:rPr>
          <w:rFonts w:cs="Times New Roman"/>
          <w:color w:val="auto"/>
        </w:rPr>
        <w:t>denklem ile hesaplanmalıdır:</w:t>
      </w:r>
    </w:p>
    <w:p w14:paraId="47E777B6" w14:textId="49C66F07" w:rsidR="00755208" w:rsidRPr="00DE12A3" w:rsidRDefault="00755208" w:rsidP="00C917D6">
      <w:pPr>
        <w:spacing w:before="120" w:after="120"/>
        <w:ind w:left="1701" w:hanging="567"/>
        <w:jc w:val="both"/>
        <w:rPr>
          <w:rFonts w:cs="Times New Roman"/>
          <w:color w:val="auto"/>
        </w:rPr>
      </w:pPr>
      <w:r w:rsidRPr="00DE12A3">
        <w:rPr>
          <w:rFonts w:cs="Times New Roman"/>
          <w:color w:val="auto"/>
        </w:rPr>
        <w:t>(a)</w:t>
      </w:r>
      <w:r w:rsidRPr="00DE12A3">
        <w:rPr>
          <w:rFonts w:cs="Times New Roman"/>
          <w:color w:val="auto"/>
        </w:rPr>
        <w:tab/>
        <w:t xml:space="preserve">Çarpımsal rejenerasyon ayarlaması veya seyrek rejenerasyonlu egzoz </w:t>
      </w:r>
      <w:r w:rsidR="007E2039" w:rsidRPr="00DE12A3">
        <w:rPr>
          <w:rFonts w:cs="Times New Roman"/>
          <w:color w:val="auto"/>
        </w:rPr>
        <w:t xml:space="preserve">arıtma </w:t>
      </w:r>
      <w:r w:rsidRPr="00DE12A3">
        <w:rPr>
          <w:rFonts w:cs="Times New Roman"/>
          <w:color w:val="auto"/>
        </w:rPr>
        <w:t>sistemi olmayan motorlar durumunda</w:t>
      </w:r>
      <w:r w:rsidR="00592B0C" w:rsidRPr="00DE12A3">
        <w:rPr>
          <w:rFonts w:cs="Times New Roman"/>
          <w:color w:val="auto"/>
        </w:rPr>
        <w:t>;</w:t>
      </w:r>
    </w:p>
    <w:p w14:paraId="15E868E5" w14:textId="77777777" w:rsidR="00755208" w:rsidRPr="00DE12A3" w:rsidRDefault="00755208" w:rsidP="00C917D6">
      <w:pPr>
        <w:spacing w:before="120" w:after="120"/>
        <w:rPr>
          <w:rFonts w:cs="Times New Roman"/>
          <w:color w:val="auto"/>
        </w:rPr>
      </w:pPr>
    </w:p>
    <w:tbl>
      <w:tblPr>
        <w:tblW w:w="7428" w:type="dxa"/>
        <w:tblInd w:w="1904" w:type="dxa"/>
        <w:tblLayout w:type="fixed"/>
        <w:tblLook w:val="0000" w:firstRow="0" w:lastRow="0" w:firstColumn="0" w:lastColumn="0" w:noHBand="0" w:noVBand="0"/>
      </w:tblPr>
      <w:tblGrid>
        <w:gridCol w:w="6017"/>
        <w:gridCol w:w="1411"/>
      </w:tblGrid>
      <w:tr w:rsidR="00DE12A3" w:rsidRPr="00DE12A3" w14:paraId="2427B01A" w14:textId="77777777" w:rsidTr="001A234D">
        <w:trPr>
          <w:trHeight w:val="1164"/>
        </w:trPr>
        <w:tc>
          <w:tcPr>
            <w:tcW w:w="6017" w:type="dxa"/>
          </w:tcPr>
          <w:p w14:paraId="100CE2A0" w14:textId="216B9921" w:rsidR="009F4766" w:rsidRPr="00DE12A3" w:rsidRDefault="009F4766" w:rsidP="00C917D6">
            <w:pPr>
              <w:pStyle w:val="NormalLeft"/>
            </w:pPr>
            <w:r w:rsidRPr="00DE12A3">
              <w:rPr>
                <w:noProof/>
                <w:lang w:val="tr-TR"/>
              </w:rPr>
              <w:drawing>
                <wp:inline distT="0" distB="0" distL="0" distR="0" wp14:anchorId="016E8C76" wp14:editId="090F380D">
                  <wp:extent cx="3475892" cy="691515"/>
                  <wp:effectExtent l="0" t="0" r="0" b="0"/>
                  <wp:docPr id="2025" name="Resim 2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245">
                            <a:extLst>
                              <a:ext uri="{28A0092B-C50C-407E-A947-70E740481C1C}">
                                <a14:useLocalDpi xmlns:a14="http://schemas.microsoft.com/office/drawing/2010/main" val="0"/>
                              </a:ext>
                            </a:extLst>
                          </a:blip>
                          <a:srcRect/>
                          <a:stretch>
                            <a:fillRect/>
                          </a:stretch>
                        </pic:blipFill>
                        <pic:spPr bwMode="auto">
                          <a:xfrm>
                            <a:off x="0" y="0"/>
                            <a:ext cx="3486889" cy="693703"/>
                          </a:xfrm>
                          <a:prstGeom prst="rect">
                            <a:avLst/>
                          </a:prstGeom>
                          <a:noFill/>
                          <a:ln>
                            <a:noFill/>
                          </a:ln>
                        </pic:spPr>
                      </pic:pic>
                    </a:graphicData>
                  </a:graphic>
                </wp:inline>
              </w:drawing>
            </w:r>
          </w:p>
        </w:tc>
        <w:tc>
          <w:tcPr>
            <w:tcW w:w="1411" w:type="dxa"/>
          </w:tcPr>
          <w:p w14:paraId="595EC7E6" w14:textId="77777777" w:rsidR="009F4766" w:rsidRPr="00DE12A3" w:rsidRDefault="009F4766" w:rsidP="00C917D6">
            <w:pPr>
              <w:pStyle w:val="NormalLeft"/>
            </w:pPr>
            <w:r w:rsidRPr="00DE12A3">
              <w:t>(7-176)</w:t>
            </w:r>
          </w:p>
        </w:tc>
      </w:tr>
    </w:tbl>
    <w:p w14:paraId="219B9E5A" w14:textId="5C9E3CC1" w:rsidR="009F4766" w:rsidRPr="00DE12A3" w:rsidRDefault="00755208" w:rsidP="00AB2658">
      <w:pPr>
        <w:spacing w:before="120" w:after="120"/>
        <w:rPr>
          <w:rFonts w:cs="Times New Roman"/>
          <w:color w:val="auto"/>
        </w:rPr>
      </w:pPr>
      <w:r w:rsidRPr="00DE12A3">
        <w:rPr>
          <w:rFonts w:cs="Times New Roman"/>
          <w:color w:val="auto"/>
        </w:rPr>
        <w:t>İlave rejenerasyon ayarlaması durumunda</w:t>
      </w:r>
      <w:r w:rsidR="00592B0C" w:rsidRPr="00DE12A3">
        <w:rPr>
          <w:rFonts w:cs="Times New Roman"/>
          <w:color w:val="auto"/>
        </w:rPr>
        <w:t>;</w:t>
      </w:r>
    </w:p>
    <w:p w14:paraId="6A16B26B" w14:textId="77777777" w:rsidR="00755208" w:rsidRPr="00DE12A3" w:rsidRDefault="00755208" w:rsidP="00C917D6">
      <w:pPr>
        <w:spacing w:before="120" w:after="120"/>
        <w:rPr>
          <w:rFonts w:cs="Times New Roman"/>
          <w:color w:val="auto"/>
        </w:rPr>
      </w:pPr>
    </w:p>
    <w:tbl>
      <w:tblPr>
        <w:tblW w:w="7585" w:type="dxa"/>
        <w:tblInd w:w="1904" w:type="dxa"/>
        <w:tblLayout w:type="fixed"/>
        <w:tblLook w:val="0000" w:firstRow="0" w:lastRow="0" w:firstColumn="0" w:lastColumn="0" w:noHBand="0" w:noVBand="0"/>
      </w:tblPr>
      <w:tblGrid>
        <w:gridCol w:w="6144"/>
        <w:gridCol w:w="1441"/>
      </w:tblGrid>
      <w:tr w:rsidR="00DE12A3" w:rsidRPr="00DE12A3" w14:paraId="3F96A6E7" w14:textId="77777777" w:rsidTr="001A234D">
        <w:trPr>
          <w:trHeight w:val="1356"/>
        </w:trPr>
        <w:tc>
          <w:tcPr>
            <w:tcW w:w="6144" w:type="dxa"/>
          </w:tcPr>
          <w:p w14:paraId="03C796E8" w14:textId="24D3F4D9" w:rsidR="009F4766" w:rsidRPr="00DE12A3" w:rsidRDefault="009F4766" w:rsidP="00C917D6">
            <w:pPr>
              <w:pStyle w:val="NormalLeft"/>
            </w:pPr>
            <w:r w:rsidRPr="00DE12A3">
              <w:rPr>
                <w:noProof/>
                <w:lang w:val="tr-TR"/>
              </w:rPr>
              <w:drawing>
                <wp:inline distT="0" distB="0" distL="0" distR="0" wp14:anchorId="27E61282" wp14:editId="4060C4A7">
                  <wp:extent cx="3716215" cy="691515"/>
                  <wp:effectExtent l="0" t="0" r="0" b="0"/>
                  <wp:docPr id="2024" name="Resim 2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246">
                            <a:extLst>
                              <a:ext uri="{28A0092B-C50C-407E-A947-70E740481C1C}">
                                <a14:useLocalDpi xmlns:a14="http://schemas.microsoft.com/office/drawing/2010/main" val="0"/>
                              </a:ext>
                            </a:extLst>
                          </a:blip>
                          <a:srcRect/>
                          <a:stretch>
                            <a:fillRect/>
                          </a:stretch>
                        </pic:blipFill>
                        <pic:spPr bwMode="auto">
                          <a:xfrm>
                            <a:off x="0" y="0"/>
                            <a:ext cx="3722395" cy="692665"/>
                          </a:xfrm>
                          <a:prstGeom prst="rect">
                            <a:avLst/>
                          </a:prstGeom>
                          <a:noFill/>
                          <a:ln>
                            <a:noFill/>
                          </a:ln>
                        </pic:spPr>
                      </pic:pic>
                    </a:graphicData>
                  </a:graphic>
                </wp:inline>
              </w:drawing>
            </w:r>
          </w:p>
        </w:tc>
        <w:tc>
          <w:tcPr>
            <w:tcW w:w="1441" w:type="dxa"/>
          </w:tcPr>
          <w:p w14:paraId="1AF4E234" w14:textId="77777777" w:rsidR="009F4766" w:rsidRPr="00DE12A3" w:rsidRDefault="009F4766" w:rsidP="00C917D6">
            <w:pPr>
              <w:pStyle w:val="NormalLeft"/>
            </w:pPr>
            <w:r w:rsidRPr="00DE12A3">
              <w:t>(7-177)</w:t>
            </w:r>
          </w:p>
        </w:tc>
      </w:tr>
    </w:tbl>
    <w:p w14:paraId="118DC6BC" w14:textId="77777777" w:rsidR="009F4766" w:rsidRPr="00DE12A3" w:rsidRDefault="008B3D9F" w:rsidP="00C917D6">
      <w:pPr>
        <w:spacing w:before="120" w:after="120"/>
        <w:ind w:left="1134"/>
        <w:rPr>
          <w:rFonts w:cs="Times New Roman"/>
          <w:color w:val="auto"/>
        </w:rPr>
      </w:pPr>
      <w:r w:rsidRPr="00DE12A3">
        <w:rPr>
          <w:rFonts w:cs="Times New Roman"/>
          <w:color w:val="auto"/>
        </w:rPr>
        <w:t>Burada</w:t>
      </w:r>
      <w:r w:rsidR="009F4766" w:rsidRPr="00DE12A3">
        <w:rPr>
          <w:rFonts w:cs="Times New Roman"/>
          <w:color w:val="auto"/>
        </w:rPr>
        <w:t>:</w:t>
      </w:r>
    </w:p>
    <w:tbl>
      <w:tblPr>
        <w:tblW w:w="0" w:type="auto"/>
        <w:tblInd w:w="1242" w:type="dxa"/>
        <w:tblLayout w:type="fixed"/>
        <w:tblLook w:val="0000" w:firstRow="0" w:lastRow="0" w:firstColumn="0" w:lastColumn="0" w:noHBand="0" w:noVBand="0"/>
      </w:tblPr>
      <w:tblGrid>
        <w:gridCol w:w="2127"/>
        <w:gridCol w:w="283"/>
        <w:gridCol w:w="5634"/>
      </w:tblGrid>
      <w:tr w:rsidR="00DE12A3" w:rsidRPr="00DE12A3" w14:paraId="1F0EBFE1" w14:textId="77777777" w:rsidTr="006D7ADF">
        <w:tc>
          <w:tcPr>
            <w:tcW w:w="2127" w:type="dxa"/>
          </w:tcPr>
          <w:p w14:paraId="070DD379" w14:textId="77777777" w:rsidR="00755208" w:rsidRPr="00DE12A3" w:rsidRDefault="00755208" w:rsidP="00C917D6">
            <w:pPr>
              <w:pStyle w:val="NormalLeft"/>
            </w:pPr>
            <w:r w:rsidRPr="00DE12A3">
              <w:rPr>
                <w:i/>
                <w:iCs/>
              </w:rPr>
              <w:t>N</w:t>
            </w:r>
            <w:r w:rsidRPr="00DE12A3">
              <w:rPr>
                <w:i/>
                <w:iCs/>
                <w:vertAlign w:val="subscript"/>
              </w:rPr>
              <w:t>cold</w:t>
            </w:r>
          </w:p>
        </w:tc>
        <w:tc>
          <w:tcPr>
            <w:tcW w:w="283" w:type="dxa"/>
          </w:tcPr>
          <w:p w14:paraId="38766CC6" w14:textId="77777777" w:rsidR="00755208" w:rsidRPr="00DE12A3" w:rsidRDefault="00755208" w:rsidP="00C917D6">
            <w:pPr>
              <w:pStyle w:val="NormalLeft"/>
            </w:pPr>
          </w:p>
        </w:tc>
        <w:tc>
          <w:tcPr>
            <w:tcW w:w="5634" w:type="dxa"/>
          </w:tcPr>
          <w:p w14:paraId="3237BB07" w14:textId="27661C03" w:rsidR="00755208" w:rsidRPr="00DE12A3" w:rsidRDefault="00755208" w:rsidP="002F5BBD">
            <w:pPr>
              <w:spacing w:before="120" w:after="120"/>
              <w:jc w:val="both"/>
              <w:rPr>
                <w:rFonts w:cs="Times New Roman"/>
                <w:color w:val="auto"/>
              </w:rPr>
            </w:pPr>
            <w:r w:rsidRPr="00DE12A3">
              <w:rPr>
                <w:rFonts w:cs="Times New Roman"/>
                <w:color w:val="auto"/>
              </w:rPr>
              <w:t xml:space="preserve">NRTC’nin soğuk çalıştırmalı NRTC uygulaması boyunca yayılan toplam </w:t>
            </w:r>
            <w:r w:rsidR="007E2039" w:rsidRPr="00DE12A3">
              <w:rPr>
                <w:rFonts w:cs="Times New Roman"/>
                <w:color w:val="auto"/>
              </w:rPr>
              <w:t xml:space="preserve">partikül </w:t>
            </w:r>
            <w:r w:rsidRPr="00DE12A3">
              <w:rPr>
                <w:rFonts w:cs="Times New Roman"/>
                <w:color w:val="auto"/>
              </w:rPr>
              <w:t>sayısıdır</w:t>
            </w:r>
            <w:r w:rsidR="00592B0C" w:rsidRPr="00DE12A3">
              <w:rPr>
                <w:rFonts w:cs="Times New Roman"/>
                <w:color w:val="auto"/>
              </w:rPr>
              <w:t>.</w:t>
            </w:r>
          </w:p>
        </w:tc>
      </w:tr>
      <w:tr w:rsidR="00DE12A3" w:rsidRPr="00DE12A3" w14:paraId="12397ECF" w14:textId="77777777" w:rsidTr="006D7ADF">
        <w:tc>
          <w:tcPr>
            <w:tcW w:w="2127" w:type="dxa"/>
          </w:tcPr>
          <w:p w14:paraId="13E3E765" w14:textId="77777777" w:rsidR="00755208" w:rsidRPr="00DE12A3" w:rsidRDefault="00755208" w:rsidP="00C917D6">
            <w:pPr>
              <w:pStyle w:val="NormalLeft"/>
            </w:pPr>
            <w:r w:rsidRPr="00DE12A3">
              <w:rPr>
                <w:i/>
                <w:iCs/>
              </w:rPr>
              <w:t>N</w:t>
            </w:r>
            <w:r w:rsidRPr="00DE12A3">
              <w:rPr>
                <w:i/>
                <w:iCs/>
                <w:vertAlign w:val="subscript"/>
              </w:rPr>
              <w:t>hot</w:t>
            </w:r>
          </w:p>
        </w:tc>
        <w:tc>
          <w:tcPr>
            <w:tcW w:w="283" w:type="dxa"/>
          </w:tcPr>
          <w:p w14:paraId="2930BA33" w14:textId="77777777" w:rsidR="00755208" w:rsidRPr="00DE12A3" w:rsidRDefault="00755208" w:rsidP="00C917D6">
            <w:pPr>
              <w:pStyle w:val="NormalLeft"/>
            </w:pPr>
          </w:p>
        </w:tc>
        <w:tc>
          <w:tcPr>
            <w:tcW w:w="5634" w:type="dxa"/>
          </w:tcPr>
          <w:p w14:paraId="4D640C52" w14:textId="134D67EC" w:rsidR="00755208" w:rsidRPr="00DE12A3" w:rsidRDefault="00755208" w:rsidP="002F5BBD">
            <w:pPr>
              <w:spacing w:before="120" w:after="120"/>
              <w:jc w:val="both"/>
              <w:rPr>
                <w:rFonts w:cs="Times New Roman"/>
                <w:color w:val="auto"/>
              </w:rPr>
            </w:pPr>
            <w:r w:rsidRPr="00DE12A3">
              <w:rPr>
                <w:rFonts w:cs="Times New Roman"/>
                <w:color w:val="auto"/>
              </w:rPr>
              <w:t xml:space="preserve">NRTC'nin ön ısıtmalı NRTC uygulaması boyunca yayılan toplam </w:t>
            </w:r>
            <w:r w:rsidR="007E2039" w:rsidRPr="00DE12A3">
              <w:rPr>
                <w:rFonts w:cs="Times New Roman"/>
                <w:color w:val="auto"/>
              </w:rPr>
              <w:t xml:space="preserve">partikül </w:t>
            </w:r>
            <w:r w:rsidRPr="00DE12A3">
              <w:rPr>
                <w:rFonts w:cs="Times New Roman"/>
                <w:color w:val="auto"/>
              </w:rPr>
              <w:t>sayısıdır</w:t>
            </w:r>
            <w:r w:rsidR="00592B0C" w:rsidRPr="00DE12A3">
              <w:rPr>
                <w:rFonts w:cs="Times New Roman"/>
                <w:color w:val="auto"/>
              </w:rPr>
              <w:t>.</w:t>
            </w:r>
          </w:p>
        </w:tc>
      </w:tr>
      <w:tr w:rsidR="00DE12A3" w:rsidRPr="00DE12A3" w14:paraId="37560715" w14:textId="77777777" w:rsidTr="006D7ADF">
        <w:tc>
          <w:tcPr>
            <w:tcW w:w="2127" w:type="dxa"/>
          </w:tcPr>
          <w:p w14:paraId="42C27695" w14:textId="77777777" w:rsidR="00755208" w:rsidRPr="00DE12A3" w:rsidRDefault="00755208" w:rsidP="00C917D6">
            <w:pPr>
              <w:pStyle w:val="NormalLeft"/>
            </w:pPr>
            <w:r w:rsidRPr="00DE12A3">
              <w:rPr>
                <w:i/>
                <w:iCs/>
              </w:rPr>
              <w:t>W</w:t>
            </w:r>
            <w:r w:rsidRPr="00DE12A3">
              <w:rPr>
                <w:i/>
                <w:iCs/>
                <w:vertAlign w:val="subscript"/>
              </w:rPr>
              <w:t>act,cold</w:t>
            </w:r>
          </w:p>
        </w:tc>
        <w:tc>
          <w:tcPr>
            <w:tcW w:w="283" w:type="dxa"/>
          </w:tcPr>
          <w:p w14:paraId="394C127D" w14:textId="77777777" w:rsidR="00755208" w:rsidRPr="00DE12A3" w:rsidRDefault="00755208" w:rsidP="00C917D6">
            <w:pPr>
              <w:pStyle w:val="NormalLeft"/>
            </w:pPr>
          </w:p>
        </w:tc>
        <w:tc>
          <w:tcPr>
            <w:tcW w:w="5634" w:type="dxa"/>
          </w:tcPr>
          <w:p w14:paraId="366E0F84" w14:textId="1B98917E" w:rsidR="00755208" w:rsidRPr="00DE12A3" w:rsidRDefault="00FA0678" w:rsidP="002F5BBD">
            <w:pPr>
              <w:spacing w:before="120" w:after="120"/>
              <w:jc w:val="both"/>
              <w:rPr>
                <w:rFonts w:cs="Times New Roman"/>
                <w:color w:val="auto"/>
              </w:rPr>
            </w:pPr>
            <w:r w:rsidRPr="00DE12A3">
              <w:rPr>
                <w:rFonts w:cs="Times New Roman"/>
                <w:color w:val="auto"/>
              </w:rPr>
              <w:t xml:space="preserve">VI’ncı </w:t>
            </w:r>
            <w:r w:rsidR="002F5BBD" w:rsidRPr="00DE12A3">
              <w:rPr>
                <w:rFonts w:cs="Times New Roman"/>
                <w:color w:val="auto"/>
              </w:rPr>
              <w:t>E</w:t>
            </w:r>
            <w:r w:rsidRPr="00DE12A3">
              <w:rPr>
                <w:rFonts w:cs="Times New Roman"/>
                <w:color w:val="auto"/>
              </w:rPr>
              <w:t>k</w:t>
            </w:r>
            <w:r w:rsidR="00755208" w:rsidRPr="00DE12A3">
              <w:rPr>
                <w:rFonts w:cs="Times New Roman"/>
                <w:color w:val="auto"/>
              </w:rPr>
              <w:t xml:space="preserve">in 7.8.3.4 bendi uyarınca soğuk çalıştırmalı NRTC boyunca gerçek </w:t>
            </w:r>
            <w:r w:rsidR="00F310B5" w:rsidRPr="00DE12A3">
              <w:rPr>
                <w:rFonts w:cs="Times New Roman"/>
                <w:color w:val="auto"/>
              </w:rPr>
              <w:t>çevrim</w:t>
            </w:r>
            <w:r w:rsidR="00755208" w:rsidRPr="00DE12A3">
              <w:rPr>
                <w:rFonts w:cs="Times New Roman"/>
                <w:color w:val="auto"/>
              </w:rPr>
              <w:t xml:space="preserve"> çalışmasıdır, [kWh]</w:t>
            </w:r>
            <w:r w:rsidR="00592B0C" w:rsidRPr="00DE12A3">
              <w:rPr>
                <w:rFonts w:cs="Times New Roman"/>
                <w:color w:val="auto"/>
              </w:rPr>
              <w:t>.</w:t>
            </w:r>
          </w:p>
        </w:tc>
      </w:tr>
      <w:tr w:rsidR="00DE12A3" w:rsidRPr="00DE12A3" w14:paraId="39E4C0B8" w14:textId="77777777" w:rsidTr="006D7ADF">
        <w:tc>
          <w:tcPr>
            <w:tcW w:w="2127" w:type="dxa"/>
          </w:tcPr>
          <w:p w14:paraId="7A5A7915" w14:textId="77777777" w:rsidR="00755208" w:rsidRPr="00DE12A3" w:rsidRDefault="00755208" w:rsidP="00C917D6">
            <w:pPr>
              <w:pStyle w:val="NormalLeft"/>
            </w:pPr>
            <w:r w:rsidRPr="00DE12A3">
              <w:rPr>
                <w:i/>
                <w:iCs/>
              </w:rPr>
              <w:t>W</w:t>
            </w:r>
            <w:r w:rsidRPr="00DE12A3">
              <w:rPr>
                <w:i/>
                <w:iCs/>
                <w:vertAlign w:val="subscript"/>
              </w:rPr>
              <w:t>act, hot</w:t>
            </w:r>
          </w:p>
        </w:tc>
        <w:tc>
          <w:tcPr>
            <w:tcW w:w="283" w:type="dxa"/>
          </w:tcPr>
          <w:p w14:paraId="7BE40D44" w14:textId="77777777" w:rsidR="00755208" w:rsidRPr="00DE12A3" w:rsidRDefault="00755208" w:rsidP="00C917D6">
            <w:pPr>
              <w:pStyle w:val="NormalLeft"/>
            </w:pPr>
          </w:p>
        </w:tc>
        <w:tc>
          <w:tcPr>
            <w:tcW w:w="5634" w:type="dxa"/>
          </w:tcPr>
          <w:p w14:paraId="76DDE69B" w14:textId="4712508F" w:rsidR="00755208" w:rsidRPr="00DE12A3" w:rsidRDefault="00FA0678" w:rsidP="002F5BBD">
            <w:pPr>
              <w:spacing w:before="120" w:after="120"/>
              <w:jc w:val="both"/>
              <w:rPr>
                <w:rFonts w:cs="Times New Roman"/>
                <w:color w:val="auto"/>
              </w:rPr>
            </w:pPr>
            <w:r w:rsidRPr="00DE12A3">
              <w:rPr>
                <w:rFonts w:cs="Times New Roman"/>
                <w:color w:val="auto"/>
              </w:rPr>
              <w:t xml:space="preserve">VI’ncı </w:t>
            </w:r>
            <w:r w:rsidR="002F5BBD" w:rsidRPr="00DE12A3">
              <w:rPr>
                <w:rFonts w:cs="Times New Roman"/>
                <w:color w:val="auto"/>
              </w:rPr>
              <w:t>E</w:t>
            </w:r>
            <w:r w:rsidRPr="00DE12A3">
              <w:rPr>
                <w:rFonts w:cs="Times New Roman"/>
                <w:color w:val="auto"/>
              </w:rPr>
              <w:t>k</w:t>
            </w:r>
            <w:r w:rsidR="00755208" w:rsidRPr="00DE12A3">
              <w:rPr>
                <w:rFonts w:cs="Times New Roman"/>
                <w:color w:val="auto"/>
              </w:rPr>
              <w:t xml:space="preserve">in 7.8.3.4 bendi uyarınca ön ısıtmalı NRTC boyunca gerçek </w:t>
            </w:r>
            <w:r w:rsidR="00F310B5" w:rsidRPr="00DE12A3">
              <w:rPr>
                <w:rFonts w:cs="Times New Roman"/>
                <w:color w:val="auto"/>
              </w:rPr>
              <w:t>çevrim</w:t>
            </w:r>
            <w:r w:rsidR="00755208" w:rsidRPr="00DE12A3">
              <w:rPr>
                <w:rFonts w:cs="Times New Roman"/>
                <w:color w:val="auto"/>
              </w:rPr>
              <w:t xml:space="preserve"> çalışmasıdır, [kWh]</w:t>
            </w:r>
            <w:r w:rsidR="00592B0C" w:rsidRPr="00DE12A3">
              <w:rPr>
                <w:rFonts w:cs="Times New Roman"/>
                <w:color w:val="auto"/>
              </w:rPr>
              <w:t>.</w:t>
            </w:r>
          </w:p>
        </w:tc>
      </w:tr>
      <w:tr w:rsidR="009F4766" w:rsidRPr="00DE12A3" w14:paraId="5C9D8879" w14:textId="77777777" w:rsidTr="006D7ADF">
        <w:tc>
          <w:tcPr>
            <w:tcW w:w="2127" w:type="dxa"/>
          </w:tcPr>
          <w:p w14:paraId="17C228CA" w14:textId="77777777" w:rsidR="009F4766" w:rsidRPr="00DE12A3" w:rsidRDefault="009F4766" w:rsidP="00C917D6">
            <w:pPr>
              <w:pStyle w:val="NormalLeft"/>
            </w:pPr>
            <w:r w:rsidRPr="00DE12A3">
              <w:rPr>
                <w:i/>
                <w:iCs/>
              </w:rPr>
              <w:t>k</w:t>
            </w:r>
            <w:r w:rsidRPr="00DE12A3">
              <w:rPr>
                <w:i/>
                <w:iCs/>
                <w:vertAlign w:val="subscript"/>
              </w:rPr>
              <w:t>r</w:t>
            </w:r>
          </w:p>
        </w:tc>
        <w:tc>
          <w:tcPr>
            <w:tcW w:w="283" w:type="dxa"/>
          </w:tcPr>
          <w:p w14:paraId="0EA38DF9" w14:textId="77777777" w:rsidR="009F4766" w:rsidRPr="00DE12A3" w:rsidRDefault="009F4766" w:rsidP="00C917D6">
            <w:pPr>
              <w:pStyle w:val="NormalLeft"/>
            </w:pPr>
          </w:p>
        </w:tc>
        <w:tc>
          <w:tcPr>
            <w:tcW w:w="5634" w:type="dxa"/>
          </w:tcPr>
          <w:p w14:paraId="338A52F6" w14:textId="6A93AF64" w:rsidR="009F4766" w:rsidRPr="00DE12A3" w:rsidRDefault="00FA0678" w:rsidP="002F5BBD">
            <w:pPr>
              <w:pStyle w:val="NormalLeft"/>
              <w:jc w:val="both"/>
            </w:pPr>
            <w:r w:rsidRPr="00DE12A3">
              <w:t xml:space="preserve">VI’ncı </w:t>
            </w:r>
            <w:r w:rsidR="002F5BBD" w:rsidRPr="00DE12A3">
              <w:t>E</w:t>
            </w:r>
            <w:r w:rsidRPr="00DE12A3">
              <w:t>k</w:t>
            </w:r>
            <w:r w:rsidR="00755208" w:rsidRPr="00DE12A3">
              <w:t xml:space="preserve">in 6.6.2 bendi uyarınca veya seyrek rejenerasyonlu egzoz </w:t>
            </w:r>
            <w:r w:rsidR="007E2039" w:rsidRPr="00DE12A3">
              <w:t xml:space="preserve">arıtma </w:t>
            </w:r>
            <w:r w:rsidR="00755208" w:rsidRPr="00DE12A3">
              <w:t>sistemi olmayan motorlarda rejenerasyon ayarlamasıdır kr = 1</w:t>
            </w:r>
            <w:r w:rsidR="00592B0C" w:rsidRPr="00DE12A3">
              <w:t>.</w:t>
            </w:r>
          </w:p>
        </w:tc>
      </w:tr>
    </w:tbl>
    <w:p w14:paraId="0E1C3FE3" w14:textId="77777777" w:rsidR="00C62BF9" w:rsidRPr="00DE12A3" w:rsidRDefault="00C62BF9" w:rsidP="00C917D6">
      <w:pPr>
        <w:spacing w:before="120" w:after="120"/>
        <w:ind w:left="1134" w:hanging="1134"/>
        <w:jc w:val="both"/>
        <w:rPr>
          <w:rFonts w:cs="Times New Roman"/>
          <w:color w:val="auto"/>
        </w:rPr>
      </w:pPr>
    </w:p>
    <w:p w14:paraId="6CCB8D4D" w14:textId="1642B4A8" w:rsidR="00755208" w:rsidRPr="00DE12A3" w:rsidRDefault="00755208" w:rsidP="00AB2658">
      <w:pPr>
        <w:spacing w:before="120" w:after="120"/>
        <w:jc w:val="both"/>
        <w:rPr>
          <w:rFonts w:cs="Times New Roman"/>
          <w:color w:val="auto"/>
        </w:rPr>
      </w:pPr>
      <w:r w:rsidRPr="00DE12A3">
        <w:rPr>
          <w:rFonts w:cs="Times New Roman"/>
          <w:color w:val="auto"/>
        </w:rPr>
        <w:t>Test sırasında seyrek rejenerasyon gerçekleşmemesi durumunda, yukarı doğru faktör uygulanmalıdır (k</w:t>
      </w:r>
      <w:r w:rsidRPr="00DE12A3">
        <w:rPr>
          <w:rFonts w:cs="Times New Roman"/>
          <w:color w:val="auto"/>
          <w:vertAlign w:val="subscript"/>
        </w:rPr>
        <w:t xml:space="preserve">ru,m </w:t>
      </w:r>
      <w:r w:rsidRPr="00DE12A3">
        <w:rPr>
          <w:rFonts w:cs="Times New Roman"/>
          <w:color w:val="auto"/>
        </w:rPr>
        <w:t>veya k</w:t>
      </w:r>
      <w:r w:rsidRPr="00DE12A3">
        <w:rPr>
          <w:rFonts w:cs="Times New Roman"/>
          <w:color w:val="auto"/>
          <w:vertAlign w:val="subscript"/>
        </w:rPr>
        <w:t>ru,a</w:t>
      </w:r>
      <w:r w:rsidRPr="00DE12A3">
        <w:rPr>
          <w:rFonts w:cs="Times New Roman"/>
          <w:color w:val="auto"/>
        </w:rPr>
        <w:t>). Test sırasında seyrek rejenerasyon gerçekleşmesi durumunda, aşağı doğru faktör uygulanmalıdır (k</w:t>
      </w:r>
      <w:r w:rsidRPr="00DE12A3">
        <w:rPr>
          <w:rFonts w:cs="Times New Roman"/>
          <w:color w:val="auto"/>
          <w:vertAlign w:val="subscript"/>
        </w:rPr>
        <w:t>rd,m</w:t>
      </w:r>
      <w:r w:rsidRPr="00DE12A3">
        <w:rPr>
          <w:rFonts w:cs="Times New Roman"/>
          <w:color w:val="auto"/>
        </w:rPr>
        <w:t xml:space="preserve"> veya </w:t>
      </w:r>
      <w:r w:rsidRPr="00DE12A3">
        <w:rPr>
          <w:rFonts w:cs="Times New Roman"/>
          <w:i/>
          <w:iCs/>
          <w:color w:val="auto"/>
        </w:rPr>
        <w:t>k</w:t>
      </w:r>
      <w:r w:rsidRPr="00DE12A3">
        <w:rPr>
          <w:rFonts w:cs="Times New Roman"/>
          <w:color w:val="auto"/>
          <w:vertAlign w:val="subscript"/>
        </w:rPr>
        <w:t>rd,a</w:t>
      </w:r>
      <w:r w:rsidRPr="00DE12A3">
        <w:rPr>
          <w:rFonts w:cs="Times New Roman"/>
          <w:color w:val="auto"/>
        </w:rPr>
        <w:t>).</w:t>
      </w:r>
    </w:p>
    <w:p w14:paraId="57F8B8C2" w14:textId="125CD23E" w:rsidR="00755208" w:rsidRPr="00DE12A3" w:rsidRDefault="00755208" w:rsidP="00AB2658">
      <w:pPr>
        <w:spacing w:before="120" w:after="120"/>
        <w:jc w:val="both"/>
        <w:rPr>
          <w:rFonts w:cs="Times New Roman"/>
          <w:color w:val="auto"/>
        </w:rPr>
      </w:pPr>
      <w:r w:rsidRPr="00DE12A3">
        <w:rPr>
          <w:rFonts w:cs="Times New Roman"/>
          <w:color w:val="auto"/>
        </w:rPr>
        <w:t>Varsa seyrek rejenerasyon ayarlama faktörü de dahil olmak üzere sonuç, aynı zamanda</w:t>
      </w:r>
      <w:r w:rsidR="00652D1E" w:rsidRPr="00DE12A3">
        <w:rPr>
          <w:rFonts w:cs="Times New Roman"/>
          <w:color w:val="auto"/>
        </w:rPr>
        <w:t xml:space="preserve"> Ek </w:t>
      </w:r>
      <w:r w:rsidR="00652D1E" w:rsidRPr="00DE12A3">
        <w:rPr>
          <w:rFonts w:cs="Times New Roman"/>
          <w:color w:val="auto"/>
        </w:rPr>
        <w:lastRenderedPageBreak/>
        <w:t xml:space="preserve">III’ün </w:t>
      </w:r>
      <w:r w:rsidR="0053289F" w:rsidRPr="00DE12A3">
        <w:rPr>
          <w:rFonts w:cs="Times New Roman"/>
          <w:color w:val="auto"/>
        </w:rPr>
        <w:t>gereklilikleri</w:t>
      </w:r>
      <w:r w:rsidRPr="00DE12A3">
        <w:rPr>
          <w:rFonts w:cs="Times New Roman"/>
          <w:color w:val="auto"/>
        </w:rPr>
        <w:t xml:space="preserve"> uyarınca oluşturulan geçerli çarpımsal veya ilave bozulma faktörü ile de ayarlanmalıdır.</w:t>
      </w:r>
    </w:p>
    <w:p w14:paraId="7BD4D8FE" w14:textId="06CB4C2C" w:rsidR="00755208" w:rsidRPr="00DE12A3" w:rsidRDefault="00755208" w:rsidP="00AB2658">
      <w:pPr>
        <w:spacing w:before="120" w:after="120"/>
        <w:jc w:val="both"/>
        <w:rPr>
          <w:rFonts w:cs="Times New Roman"/>
          <w:color w:val="auto"/>
        </w:rPr>
      </w:pPr>
      <w:r w:rsidRPr="00DE12A3">
        <w:rPr>
          <w:rFonts w:cs="Times New Roman"/>
          <w:color w:val="auto"/>
        </w:rPr>
        <w:t>2.2.</w:t>
      </w:r>
      <w:r w:rsidR="00AB2658" w:rsidRPr="00DE12A3">
        <w:rPr>
          <w:rFonts w:cs="Times New Roman"/>
          <w:color w:val="auto"/>
        </w:rPr>
        <w:t xml:space="preserve"> </w:t>
      </w:r>
      <w:r w:rsidRPr="00DE12A3">
        <w:rPr>
          <w:rFonts w:cs="Times New Roman"/>
          <w:color w:val="auto"/>
        </w:rPr>
        <w:t>Ayrık mod NRSC testleri için spesifik emisyonların hesaplanması</w:t>
      </w:r>
    </w:p>
    <w:p w14:paraId="2F958568" w14:textId="0DFA5D95" w:rsidR="009F4766" w:rsidRPr="00DE12A3" w:rsidRDefault="00755208" w:rsidP="00AB2658">
      <w:pPr>
        <w:spacing w:before="120" w:after="120"/>
        <w:jc w:val="both"/>
        <w:rPr>
          <w:rFonts w:cs="Times New Roman"/>
          <w:color w:val="auto"/>
        </w:rPr>
      </w:pPr>
      <w:r w:rsidRPr="00DE12A3">
        <w:rPr>
          <w:rFonts w:cs="Times New Roman"/>
          <w:color w:val="auto"/>
        </w:rPr>
        <w:t xml:space="preserve">Spesifik emisyonlar e [#/kWh], (7-178) </w:t>
      </w:r>
      <w:r w:rsidR="005C6D9F" w:rsidRPr="00DE12A3">
        <w:rPr>
          <w:color w:val="auto"/>
        </w:rPr>
        <w:t>numaralı</w:t>
      </w:r>
      <w:r w:rsidR="005C6D9F" w:rsidRPr="00DE12A3" w:rsidDel="005C6D9F">
        <w:rPr>
          <w:rFonts w:cs="Times New Roman"/>
          <w:color w:val="auto"/>
        </w:rPr>
        <w:t xml:space="preserve"> </w:t>
      </w:r>
      <w:r w:rsidRPr="00DE12A3">
        <w:rPr>
          <w:rFonts w:cs="Times New Roman"/>
          <w:color w:val="auto"/>
        </w:rPr>
        <w:t>denklem ile hesaplanır:</w:t>
      </w:r>
    </w:p>
    <w:p w14:paraId="162BA772" w14:textId="77777777" w:rsidR="00C62BF9" w:rsidRPr="00DE12A3" w:rsidRDefault="00C62BF9" w:rsidP="00AB2658">
      <w:pPr>
        <w:spacing w:before="120" w:after="120"/>
        <w:jc w:val="both"/>
        <w:rPr>
          <w:rFonts w:cs="Times New Roman"/>
          <w:color w:val="auto"/>
        </w:rPr>
      </w:pPr>
    </w:p>
    <w:p w14:paraId="23C390E4" w14:textId="77777777" w:rsidR="00755208" w:rsidRPr="00DE12A3" w:rsidRDefault="00755208" w:rsidP="00AB2658">
      <w:pPr>
        <w:spacing w:before="120" w:after="120"/>
        <w:jc w:val="both"/>
        <w:rPr>
          <w:rFonts w:cs="Times New Roman"/>
          <w:color w:val="auto"/>
        </w:rPr>
      </w:pPr>
    </w:p>
    <w:tbl>
      <w:tblPr>
        <w:tblW w:w="0" w:type="auto"/>
        <w:jc w:val="center"/>
        <w:tblLayout w:type="fixed"/>
        <w:tblLook w:val="0000" w:firstRow="0" w:lastRow="0" w:firstColumn="0" w:lastColumn="0" w:noHBand="0" w:noVBand="0"/>
      </w:tblPr>
      <w:tblGrid>
        <w:gridCol w:w="4994"/>
        <w:gridCol w:w="1490"/>
      </w:tblGrid>
      <w:tr w:rsidR="009F4766" w:rsidRPr="00DE12A3" w14:paraId="6CD1DD85" w14:textId="77777777" w:rsidTr="001A234D">
        <w:trPr>
          <w:trHeight w:val="1393"/>
          <w:jc w:val="center"/>
        </w:trPr>
        <w:tc>
          <w:tcPr>
            <w:tcW w:w="4994" w:type="dxa"/>
          </w:tcPr>
          <w:p w14:paraId="209A3174" w14:textId="7687EC09" w:rsidR="009F4766" w:rsidRPr="00DE12A3" w:rsidRDefault="009F4766" w:rsidP="00C917D6">
            <w:pPr>
              <w:pStyle w:val="NormalLeft"/>
            </w:pPr>
            <w:r w:rsidRPr="00DE12A3">
              <w:rPr>
                <w:noProof/>
                <w:lang w:val="tr-TR"/>
              </w:rPr>
              <w:drawing>
                <wp:inline distT="0" distB="0" distL="0" distR="0" wp14:anchorId="5B651E6F" wp14:editId="514D6FB9">
                  <wp:extent cx="2549525" cy="791210"/>
                  <wp:effectExtent l="0" t="0" r="3175" b="8890"/>
                  <wp:docPr id="2023" name="Resim 2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247">
                            <a:extLst>
                              <a:ext uri="{28A0092B-C50C-407E-A947-70E740481C1C}">
                                <a14:useLocalDpi xmlns:a14="http://schemas.microsoft.com/office/drawing/2010/main" val="0"/>
                              </a:ext>
                            </a:extLst>
                          </a:blip>
                          <a:srcRect/>
                          <a:stretch>
                            <a:fillRect/>
                          </a:stretch>
                        </pic:blipFill>
                        <pic:spPr bwMode="auto">
                          <a:xfrm>
                            <a:off x="0" y="0"/>
                            <a:ext cx="2549525" cy="791210"/>
                          </a:xfrm>
                          <a:prstGeom prst="rect">
                            <a:avLst/>
                          </a:prstGeom>
                          <a:noFill/>
                          <a:ln>
                            <a:noFill/>
                          </a:ln>
                        </pic:spPr>
                      </pic:pic>
                    </a:graphicData>
                  </a:graphic>
                </wp:inline>
              </w:drawing>
            </w:r>
          </w:p>
        </w:tc>
        <w:tc>
          <w:tcPr>
            <w:tcW w:w="1490" w:type="dxa"/>
          </w:tcPr>
          <w:p w14:paraId="5667F293" w14:textId="77777777" w:rsidR="009F4766" w:rsidRPr="00DE12A3" w:rsidRDefault="009F4766" w:rsidP="00C917D6">
            <w:pPr>
              <w:pStyle w:val="NormalLeft"/>
            </w:pPr>
            <w:r w:rsidRPr="00DE12A3">
              <w:t>(7-178)</w:t>
            </w:r>
          </w:p>
        </w:tc>
      </w:tr>
    </w:tbl>
    <w:p w14:paraId="4A2C3BA4" w14:textId="77777777" w:rsidR="00C62BF9" w:rsidRPr="00DE12A3" w:rsidRDefault="00C62BF9" w:rsidP="00C917D6">
      <w:pPr>
        <w:spacing w:before="120" w:after="120"/>
        <w:ind w:left="1134"/>
        <w:rPr>
          <w:rFonts w:cs="Times New Roman"/>
          <w:color w:val="auto"/>
        </w:rPr>
      </w:pPr>
    </w:p>
    <w:p w14:paraId="1DF8D407" w14:textId="77777777" w:rsidR="009F4766" w:rsidRPr="00DE12A3" w:rsidRDefault="008B3D9F" w:rsidP="00C917D6">
      <w:pPr>
        <w:spacing w:before="120" w:after="120"/>
        <w:ind w:left="1134"/>
        <w:rPr>
          <w:rFonts w:cs="Times New Roman"/>
          <w:color w:val="auto"/>
        </w:rPr>
      </w:pPr>
      <w:r w:rsidRPr="00DE12A3">
        <w:rPr>
          <w:rFonts w:cs="Times New Roman"/>
          <w:color w:val="auto"/>
        </w:rPr>
        <w:t>Burada</w:t>
      </w:r>
      <w:r w:rsidR="009F4766" w:rsidRPr="00DE12A3">
        <w:rPr>
          <w:rFonts w:cs="Times New Roman"/>
          <w:color w:val="auto"/>
        </w:rPr>
        <w:t>:</w:t>
      </w:r>
    </w:p>
    <w:tbl>
      <w:tblPr>
        <w:tblW w:w="0" w:type="auto"/>
        <w:jc w:val="center"/>
        <w:tblLayout w:type="fixed"/>
        <w:tblLook w:val="0000" w:firstRow="0" w:lastRow="0" w:firstColumn="0" w:lastColumn="0" w:noHBand="0" w:noVBand="0"/>
      </w:tblPr>
      <w:tblGrid>
        <w:gridCol w:w="851"/>
        <w:gridCol w:w="283"/>
        <w:gridCol w:w="6910"/>
      </w:tblGrid>
      <w:tr w:rsidR="00DE12A3" w:rsidRPr="00DE12A3" w14:paraId="1DB3F599" w14:textId="77777777" w:rsidTr="006D7ADF">
        <w:trPr>
          <w:jc w:val="center"/>
        </w:trPr>
        <w:tc>
          <w:tcPr>
            <w:tcW w:w="851" w:type="dxa"/>
          </w:tcPr>
          <w:p w14:paraId="6DEAD506" w14:textId="77777777" w:rsidR="009F4766" w:rsidRPr="00DE12A3" w:rsidRDefault="009F4766" w:rsidP="00C917D6">
            <w:pPr>
              <w:pStyle w:val="NormalLeft"/>
            </w:pPr>
            <w:r w:rsidRPr="00DE12A3">
              <w:rPr>
                <w:i/>
                <w:iCs/>
              </w:rPr>
              <w:t>P</w:t>
            </w:r>
            <w:r w:rsidRPr="00DE12A3">
              <w:rPr>
                <w:i/>
                <w:iCs/>
                <w:vertAlign w:val="subscript"/>
              </w:rPr>
              <w:t>i</w:t>
            </w:r>
            <w:r w:rsidRPr="00DE12A3">
              <w:t> </w:t>
            </w:r>
            <w:r w:rsidR="00F30FE7" w:rsidRPr="00DE12A3">
              <w:t xml:space="preserve"> </w:t>
            </w:r>
          </w:p>
        </w:tc>
        <w:tc>
          <w:tcPr>
            <w:tcW w:w="283" w:type="dxa"/>
          </w:tcPr>
          <w:p w14:paraId="64FB4821" w14:textId="77777777" w:rsidR="009F4766" w:rsidRPr="00DE12A3" w:rsidRDefault="009F4766" w:rsidP="00C917D6">
            <w:pPr>
              <w:pStyle w:val="NormalLeft"/>
            </w:pPr>
            <w:r w:rsidRPr="00DE12A3">
              <w:t> </w:t>
            </w:r>
            <w:r w:rsidR="00F30FE7" w:rsidRPr="00DE12A3">
              <w:t xml:space="preserve"> </w:t>
            </w:r>
          </w:p>
        </w:tc>
        <w:tc>
          <w:tcPr>
            <w:tcW w:w="6910" w:type="dxa"/>
          </w:tcPr>
          <w:p w14:paraId="170B0B0F" w14:textId="5DB63562" w:rsidR="009F4766" w:rsidRPr="00DE12A3" w:rsidRDefault="00F30FE7">
            <w:pPr>
              <w:pStyle w:val="NormalLeft"/>
              <w:jc w:val="both"/>
            </w:pPr>
            <w:r w:rsidRPr="00DE12A3">
              <w:t>i modu için motor gücü [kW]; ölçülen güç P</w:t>
            </w:r>
            <w:r w:rsidRPr="00DE12A3">
              <w:rPr>
                <w:vertAlign w:val="subscript"/>
              </w:rPr>
              <w:t>meas</w:t>
            </w:r>
            <w:r w:rsidRPr="00DE12A3">
              <w:t xml:space="preserve">'a [kW], </w:t>
            </w:r>
            <w:r w:rsidR="00FA0678" w:rsidRPr="00DE12A3">
              <w:t xml:space="preserve">VI’ncı </w:t>
            </w:r>
            <w:r w:rsidR="00A9747D" w:rsidRPr="00DE12A3">
              <w:t>E</w:t>
            </w:r>
            <w:r w:rsidR="00FA0678" w:rsidRPr="00DE12A3">
              <w:t>k</w:t>
            </w:r>
            <w:r w:rsidRPr="00DE12A3">
              <w:t xml:space="preserve">teki (6-8) </w:t>
            </w:r>
            <w:r w:rsidR="005C6D9F" w:rsidRPr="00DE12A3">
              <w:t>numaralı</w:t>
            </w:r>
            <w:r w:rsidR="005C6D9F" w:rsidRPr="00DE12A3" w:rsidDel="005C6D9F">
              <w:t xml:space="preserve"> </w:t>
            </w:r>
            <w:r w:rsidRPr="00DE12A3">
              <w:t xml:space="preserve"> denklem uyarınca belirlenen, yardımcı cihazları tahrik etmek için gereken güç P</w:t>
            </w:r>
            <w:r w:rsidRPr="00DE12A3">
              <w:rPr>
                <w:vertAlign w:val="subscript"/>
              </w:rPr>
              <w:t>AUX</w:t>
            </w:r>
            <w:r w:rsidRPr="00DE12A3">
              <w:t>'un [kW] eklenmesi ile hesaplanır (Pi = P</w:t>
            </w:r>
            <w:r w:rsidRPr="00DE12A3">
              <w:rPr>
                <w:vertAlign w:val="subscript"/>
              </w:rPr>
              <w:t>meas</w:t>
            </w:r>
            <w:r w:rsidRPr="00DE12A3">
              <w:t xml:space="preserve"> + P</w:t>
            </w:r>
            <w:r w:rsidRPr="00DE12A3">
              <w:rPr>
                <w:vertAlign w:val="subscript"/>
              </w:rPr>
              <w:t>AUX</w:t>
            </w:r>
            <w:r w:rsidRPr="00DE12A3">
              <w:t>)</w:t>
            </w:r>
            <w:r w:rsidR="00A9747D" w:rsidRPr="00DE12A3">
              <w:t>.</w:t>
            </w:r>
          </w:p>
        </w:tc>
      </w:tr>
      <w:tr w:rsidR="00DE12A3" w:rsidRPr="00DE12A3" w14:paraId="777C6544" w14:textId="77777777" w:rsidTr="006D7ADF">
        <w:trPr>
          <w:jc w:val="center"/>
        </w:trPr>
        <w:tc>
          <w:tcPr>
            <w:tcW w:w="851" w:type="dxa"/>
          </w:tcPr>
          <w:p w14:paraId="1BE1BC6F" w14:textId="77777777" w:rsidR="00F30FE7" w:rsidRPr="00DE12A3" w:rsidRDefault="00F30FE7" w:rsidP="00C917D6">
            <w:pPr>
              <w:pStyle w:val="NormalLeft"/>
            </w:pPr>
            <w:r w:rsidRPr="00DE12A3">
              <w:rPr>
                <w:i/>
                <w:iCs/>
              </w:rPr>
              <w:t>WF</w:t>
            </w:r>
            <w:r w:rsidRPr="00DE12A3">
              <w:rPr>
                <w:i/>
                <w:iCs/>
                <w:vertAlign w:val="subscript"/>
              </w:rPr>
              <w:t>i</w:t>
            </w:r>
          </w:p>
        </w:tc>
        <w:tc>
          <w:tcPr>
            <w:tcW w:w="283" w:type="dxa"/>
          </w:tcPr>
          <w:p w14:paraId="3E06BD99" w14:textId="77777777" w:rsidR="00F30FE7" w:rsidRPr="00DE12A3" w:rsidRDefault="00F30FE7" w:rsidP="00C917D6">
            <w:pPr>
              <w:pStyle w:val="NormalLeft"/>
            </w:pPr>
          </w:p>
        </w:tc>
        <w:tc>
          <w:tcPr>
            <w:tcW w:w="6910" w:type="dxa"/>
          </w:tcPr>
          <w:p w14:paraId="23A4772B" w14:textId="4399BDB7" w:rsidR="00F30FE7" w:rsidRPr="00DE12A3" w:rsidRDefault="00F30FE7" w:rsidP="002F5BBD">
            <w:pPr>
              <w:spacing w:before="120" w:after="120"/>
              <w:jc w:val="both"/>
              <w:rPr>
                <w:rFonts w:cs="Times New Roman"/>
                <w:color w:val="auto"/>
              </w:rPr>
            </w:pPr>
            <w:r w:rsidRPr="00DE12A3">
              <w:rPr>
                <w:rFonts w:cs="Times New Roman"/>
                <w:color w:val="auto"/>
              </w:rPr>
              <w:t>i modu için ağırlık faktörüdür [-]</w:t>
            </w:r>
            <w:r w:rsidR="00A9747D" w:rsidRPr="00DE12A3">
              <w:rPr>
                <w:rFonts w:cs="Times New Roman"/>
                <w:color w:val="auto"/>
              </w:rPr>
              <w:t>.</w:t>
            </w:r>
          </w:p>
        </w:tc>
      </w:tr>
      <w:tr w:rsidR="00F30FE7" w:rsidRPr="00DE12A3" w14:paraId="56CC2854" w14:textId="77777777" w:rsidTr="006D7ADF">
        <w:trPr>
          <w:jc w:val="center"/>
        </w:trPr>
        <w:tc>
          <w:tcPr>
            <w:tcW w:w="851" w:type="dxa"/>
          </w:tcPr>
          <w:p w14:paraId="7A45C7D4" w14:textId="77777777" w:rsidR="00F30FE7" w:rsidRPr="00DE12A3" w:rsidRDefault="00F30FE7" w:rsidP="00C917D6">
            <w:pPr>
              <w:pStyle w:val="NormalLeft"/>
            </w:pPr>
            <w:r w:rsidRPr="00DE12A3">
              <w:rPr>
                <w:i/>
                <w:iCs/>
              </w:rPr>
              <w:t>Ṅ</w:t>
            </w:r>
            <w:r w:rsidRPr="00DE12A3">
              <w:rPr>
                <w:i/>
                <w:iCs/>
                <w:vertAlign w:val="subscript"/>
              </w:rPr>
              <w:t>i</w:t>
            </w:r>
          </w:p>
        </w:tc>
        <w:tc>
          <w:tcPr>
            <w:tcW w:w="283" w:type="dxa"/>
          </w:tcPr>
          <w:p w14:paraId="62100008" w14:textId="77777777" w:rsidR="00F30FE7" w:rsidRPr="00DE12A3" w:rsidRDefault="00F30FE7" w:rsidP="00C917D6">
            <w:pPr>
              <w:pStyle w:val="NormalLeft"/>
            </w:pPr>
          </w:p>
        </w:tc>
        <w:tc>
          <w:tcPr>
            <w:tcW w:w="6910" w:type="dxa"/>
          </w:tcPr>
          <w:p w14:paraId="1ADE2207" w14:textId="322ADDFF" w:rsidR="00F30FE7" w:rsidRPr="00DE12A3" w:rsidRDefault="00301A9C">
            <w:pPr>
              <w:spacing w:before="120" w:after="120"/>
              <w:jc w:val="both"/>
              <w:rPr>
                <w:rFonts w:cs="Times New Roman"/>
                <w:color w:val="auto"/>
              </w:rPr>
            </w:pPr>
            <w:r w:rsidRPr="00DE12A3">
              <w:rPr>
                <w:rFonts w:cs="Times New Roman"/>
                <w:color w:val="auto"/>
              </w:rPr>
              <w:t>Seyreltme</w:t>
            </w:r>
            <w:r w:rsidR="00F30FE7" w:rsidRPr="00DE12A3">
              <w:rPr>
                <w:rFonts w:cs="Times New Roman"/>
                <w:color w:val="auto"/>
              </w:rPr>
              <w:t xml:space="preserve"> yöntemine bağlı olarak (7-171) veya (7-173) </w:t>
            </w:r>
            <w:r w:rsidR="005C6D9F" w:rsidRPr="00DE12A3">
              <w:rPr>
                <w:color w:val="auto"/>
              </w:rPr>
              <w:t>numaralı</w:t>
            </w:r>
            <w:r w:rsidR="005C6D9F" w:rsidRPr="00DE12A3" w:rsidDel="005C6D9F">
              <w:rPr>
                <w:rFonts w:cs="Times New Roman"/>
                <w:color w:val="auto"/>
              </w:rPr>
              <w:t xml:space="preserve"> </w:t>
            </w:r>
            <w:r w:rsidR="00F30FE7" w:rsidRPr="00DE12A3">
              <w:rPr>
                <w:rFonts w:cs="Times New Roman"/>
                <w:color w:val="auto"/>
              </w:rPr>
              <w:t>denklemden elde edilen, i modu için ortalama emisyon numarası akış hızıdır</w:t>
            </w:r>
            <w:r w:rsidR="00A9747D" w:rsidRPr="00DE12A3">
              <w:rPr>
                <w:rFonts w:cs="Times New Roman"/>
                <w:color w:val="auto"/>
              </w:rPr>
              <w:t>.</w:t>
            </w:r>
          </w:p>
        </w:tc>
      </w:tr>
    </w:tbl>
    <w:p w14:paraId="71340AC9" w14:textId="77777777" w:rsidR="009F4766" w:rsidRPr="00DE12A3" w:rsidRDefault="009F4766" w:rsidP="00C917D6">
      <w:pPr>
        <w:spacing w:before="120" w:after="120"/>
        <w:rPr>
          <w:rFonts w:cs="Times New Roman"/>
          <w:color w:val="auto"/>
        </w:rPr>
      </w:pPr>
    </w:p>
    <w:p w14:paraId="748EACEA" w14:textId="319360F8" w:rsidR="00F30FE7" w:rsidRPr="00DE12A3" w:rsidRDefault="00F30FE7" w:rsidP="00AB2658">
      <w:pPr>
        <w:spacing w:before="120" w:after="120"/>
        <w:jc w:val="both"/>
        <w:rPr>
          <w:rFonts w:cs="Times New Roman"/>
          <w:color w:val="auto"/>
        </w:rPr>
      </w:pPr>
      <w:r w:rsidRPr="00DE12A3">
        <w:rPr>
          <w:rFonts w:cs="Times New Roman"/>
          <w:color w:val="auto"/>
        </w:rPr>
        <w:t xml:space="preserve">Seyrek (periyodik) egzoz </w:t>
      </w:r>
      <w:r w:rsidR="007E2039" w:rsidRPr="00DE12A3">
        <w:rPr>
          <w:rFonts w:cs="Times New Roman"/>
          <w:color w:val="auto"/>
        </w:rPr>
        <w:t xml:space="preserve">arıtma </w:t>
      </w:r>
      <w:r w:rsidRPr="00DE12A3">
        <w:rPr>
          <w:rFonts w:cs="Times New Roman"/>
          <w:color w:val="auto"/>
        </w:rPr>
        <w:t xml:space="preserve">sistemi rejenerasyonuna sahip bir motor durumunda (bkz. </w:t>
      </w:r>
      <w:r w:rsidR="00FA0678" w:rsidRPr="00DE12A3">
        <w:rPr>
          <w:rFonts w:cs="Times New Roman"/>
          <w:color w:val="auto"/>
        </w:rPr>
        <w:t>VI’ncı ek</w:t>
      </w:r>
      <w:r w:rsidRPr="00DE12A3">
        <w:rPr>
          <w:rFonts w:cs="Times New Roman"/>
          <w:color w:val="auto"/>
        </w:rPr>
        <w:t>teki 6.6.2 bendi), spesifik emisyonlar ya geçerli çarpımsal ayarlama faktörü ya da geçerli ayarlama ilave faktörü ile düzeltilmelidir. Test sırasında seyrek rejenerasyon gerçekleşmemesi durumunda, yukarı doğru faktör uygulanmalıdır (k</w:t>
      </w:r>
      <w:r w:rsidRPr="00DE12A3">
        <w:rPr>
          <w:rFonts w:cs="Times New Roman"/>
          <w:color w:val="auto"/>
          <w:vertAlign w:val="subscript"/>
        </w:rPr>
        <w:t xml:space="preserve">ru,m </w:t>
      </w:r>
      <w:r w:rsidRPr="00DE12A3">
        <w:rPr>
          <w:rFonts w:cs="Times New Roman"/>
          <w:color w:val="auto"/>
        </w:rPr>
        <w:t>veya k</w:t>
      </w:r>
      <w:r w:rsidRPr="00DE12A3">
        <w:rPr>
          <w:rFonts w:cs="Times New Roman"/>
          <w:color w:val="auto"/>
          <w:vertAlign w:val="subscript"/>
        </w:rPr>
        <w:t>ru,a</w:t>
      </w:r>
      <w:r w:rsidRPr="00DE12A3">
        <w:rPr>
          <w:rFonts w:cs="Times New Roman"/>
          <w:color w:val="auto"/>
        </w:rPr>
        <w:t>). Test sırasında seyrek rejenerasyon gerçekleşmesi durumunda, aşağı doğru faktör uygulanmalıdır (k</w:t>
      </w:r>
      <w:r w:rsidRPr="00DE12A3">
        <w:rPr>
          <w:rFonts w:cs="Times New Roman"/>
          <w:color w:val="auto"/>
          <w:vertAlign w:val="subscript"/>
        </w:rPr>
        <w:t>rd,m</w:t>
      </w:r>
      <w:r w:rsidRPr="00DE12A3">
        <w:rPr>
          <w:rFonts w:cs="Times New Roman"/>
          <w:color w:val="auto"/>
        </w:rPr>
        <w:t xml:space="preserve"> veya k</w:t>
      </w:r>
      <w:r w:rsidRPr="00DE12A3">
        <w:rPr>
          <w:rFonts w:cs="Times New Roman"/>
          <w:color w:val="auto"/>
          <w:vertAlign w:val="subscript"/>
        </w:rPr>
        <w:t>rd,a</w:t>
      </w:r>
      <w:r w:rsidRPr="00DE12A3">
        <w:rPr>
          <w:rFonts w:cs="Times New Roman"/>
          <w:color w:val="auto"/>
        </w:rPr>
        <w:t xml:space="preserve">). Her mod için ayar faktörlerinin belirlendiği yerlerde, bunlar (7-178) </w:t>
      </w:r>
      <w:r w:rsidR="005C6D9F" w:rsidRPr="00DE12A3">
        <w:rPr>
          <w:color w:val="auto"/>
        </w:rPr>
        <w:t>numaralı</w:t>
      </w:r>
      <w:r w:rsidR="005C6D9F" w:rsidRPr="00DE12A3" w:rsidDel="005C6D9F">
        <w:rPr>
          <w:rFonts w:cs="Times New Roman"/>
          <w:color w:val="auto"/>
        </w:rPr>
        <w:t xml:space="preserve"> </w:t>
      </w:r>
      <w:r w:rsidRPr="00DE12A3">
        <w:rPr>
          <w:rFonts w:cs="Times New Roman"/>
          <w:color w:val="auto"/>
        </w:rPr>
        <w:t>denklemde ağırlıklı emisyon sonucunun hesaplanması sırasında her moda uygulanmalıdır.</w:t>
      </w:r>
    </w:p>
    <w:p w14:paraId="208C7C6E" w14:textId="7DFBE20E" w:rsidR="00F30FE7" w:rsidRPr="00DE12A3" w:rsidRDefault="00F30FE7" w:rsidP="00AB2658">
      <w:pPr>
        <w:spacing w:before="120" w:after="120"/>
        <w:jc w:val="both"/>
        <w:rPr>
          <w:rFonts w:cs="Times New Roman"/>
          <w:color w:val="auto"/>
        </w:rPr>
      </w:pPr>
      <w:r w:rsidRPr="00DE12A3">
        <w:rPr>
          <w:rFonts w:cs="Times New Roman"/>
          <w:color w:val="auto"/>
        </w:rPr>
        <w:t xml:space="preserve">Varsa seyrek rejenerasyon ayarlama faktörü de dahil olmak üzere sonuç, aynı zamanda </w:t>
      </w:r>
      <w:r w:rsidR="00652D1E" w:rsidRPr="00DE12A3">
        <w:rPr>
          <w:rFonts w:cs="Times New Roman"/>
          <w:color w:val="auto"/>
        </w:rPr>
        <w:t>Ek III’ün</w:t>
      </w:r>
      <w:r w:rsidRPr="00DE12A3">
        <w:rPr>
          <w:rFonts w:cs="Times New Roman"/>
          <w:color w:val="auto"/>
        </w:rPr>
        <w:t xml:space="preserve"> </w:t>
      </w:r>
      <w:r w:rsidR="0053289F" w:rsidRPr="00DE12A3">
        <w:rPr>
          <w:rFonts w:cs="Times New Roman"/>
          <w:color w:val="auto"/>
        </w:rPr>
        <w:t>gereklilikleri</w:t>
      </w:r>
      <w:r w:rsidRPr="00DE12A3">
        <w:rPr>
          <w:rFonts w:cs="Times New Roman"/>
          <w:color w:val="auto"/>
        </w:rPr>
        <w:t xml:space="preserve"> uyarınca oluşturulan geçerli çarpımsal veya ilave bozulma faktörü ile de ayarlanmalıdır.</w:t>
      </w:r>
    </w:p>
    <w:p w14:paraId="488E3F55" w14:textId="46FE80E2" w:rsidR="00F30FE7" w:rsidRPr="00DE12A3" w:rsidRDefault="00F30FE7" w:rsidP="00C917D6">
      <w:pPr>
        <w:spacing w:before="120" w:after="120"/>
        <w:ind w:left="1134" w:hanging="1134"/>
        <w:jc w:val="both"/>
        <w:rPr>
          <w:rFonts w:cs="Times New Roman"/>
          <w:color w:val="auto"/>
        </w:rPr>
      </w:pPr>
      <w:r w:rsidRPr="00DE12A3">
        <w:rPr>
          <w:rFonts w:cs="Times New Roman"/>
          <w:color w:val="auto"/>
        </w:rPr>
        <w:t>2.3.</w:t>
      </w:r>
      <w:r w:rsidR="00AB2658" w:rsidRPr="00DE12A3">
        <w:rPr>
          <w:rFonts w:cs="Times New Roman"/>
          <w:color w:val="auto"/>
        </w:rPr>
        <w:t xml:space="preserve"> </w:t>
      </w:r>
      <w:r w:rsidRPr="00DE12A3">
        <w:rPr>
          <w:rFonts w:cs="Times New Roman"/>
          <w:color w:val="auto"/>
        </w:rPr>
        <w:t>Nihai sonuçların yuvarlanması</w:t>
      </w:r>
    </w:p>
    <w:p w14:paraId="142082A3" w14:textId="447FB6D9" w:rsidR="00F30FE7" w:rsidRPr="00DE12A3" w:rsidRDefault="00F30FE7" w:rsidP="0004697B">
      <w:pPr>
        <w:spacing w:before="120" w:after="120"/>
        <w:jc w:val="both"/>
        <w:rPr>
          <w:rFonts w:cs="Times New Roman"/>
          <w:color w:val="auto"/>
        </w:rPr>
      </w:pPr>
      <w:r w:rsidRPr="00DE12A3">
        <w:rPr>
          <w:rFonts w:cs="Times New Roman"/>
          <w:color w:val="auto"/>
        </w:rPr>
        <w:t>NRSC ve ağırlıklı ortalama NRTC test sonuçları, ASTM E 29-06B uyarınca göre üç anlamlı basamağa tek adımda yuvarlanır. Nihai frene özgü emisyon sonucuna yol açan ara değerlerin yuvarlanmasına izin verilmez.</w:t>
      </w:r>
    </w:p>
    <w:p w14:paraId="3E406A20" w14:textId="1413EED2" w:rsidR="00F30FE7" w:rsidRPr="00DE12A3" w:rsidRDefault="00F30FE7" w:rsidP="00AB2658">
      <w:pPr>
        <w:spacing w:before="120" w:after="120"/>
        <w:jc w:val="both"/>
        <w:rPr>
          <w:rFonts w:cs="Times New Roman"/>
          <w:color w:val="auto"/>
        </w:rPr>
      </w:pPr>
      <w:r w:rsidRPr="00DE12A3">
        <w:rPr>
          <w:rFonts w:cs="Times New Roman"/>
          <w:color w:val="auto"/>
        </w:rPr>
        <w:t>2.4.</w:t>
      </w:r>
      <w:r w:rsidR="00AB2658" w:rsidRPr="00DE12A3">
        <w:rPr>
          <w:rFonts w:cs="Times New Roman"/>
          <w:color w:val="auto"/>
        </w:rPr>
        <w:t xml:space="preserve"> </w:t>
      </w:r>
      <w:r w:rsidR="007E2039" w:rsidRPr="00DE12A3">
        <w:rPr>
          <w:rFonts w:cs="Times New Roman"/>
          <w:color w:val="auto"/>
        </w:rPr>
        <w:t xml:space="preserve">Partikül </w:t>
      </w:r>
      <w:r w:rsidRPr="00DE12A3">
        <w:rPr>
          <w:rFonts w:cs="Times New Roman"/>
          <w:color w:val="auto"/>
        </w:rPr>
        <w:t>sayısı arka planının belirlenmesi</w:t>
      </w:r>
    </w:p>
    <w:p w14:paraId="48342F55" w14:textId="167A9C4A" w:rsidR="00F30FE7" w:rsidRPr="00DE12A3" w:rsidRDefault="00F30FE7" w:rsidP="00AB2658">
      <w:pPr>
        <w:spacing w:before="120" w:after="120"/>
        <w:jc w:val="both"/>
        <w:rPr>
          <w:rFonts w:cs="Times New Roman"/>
          <w:color w:val="auto"/>
        </w:rPr>
      </w:pPr>
      <w:r w:rsidRPr="00DE12A3">
        <w:rPr>
          <w:rFonts w:cs="Times New Roman"/>
          <w:color w:val="auto"/>
        </w:rPr>
        <w:t>2.4.1.</w:t>
      </w:r>
      <w:r w:rsidR="00AB2658" w:rsidRPr="00DE12A3">
        <w:rPr>
          <w:rFonts w:cs="Times New Roman"/>
          <w:color w:val="auto"/>
        </w:rPr>
        <w:t xml:space="preserve"> </w:t>
      </w:r>
      <w:r w:rsidRPr="00DE12A3">
        <w:rPr>
          <w:rFonts w:cs="Times New Roman"/>
          <w:color w:val="auto"/>
        </w:rPr>
        <w:t xml:space="preserve">Motor imalatçısının talebi üzerine, tünel arka plan </w:t>
      </w:r>
      <w:r w:rsidR="007E2039" w:rsidRPr="00DE12A3">
        <w:rPr>
          <w:rFonts w:cs="Times New Roman"/>
          <w:color w:val="auto"/>
        </w:rPr>
        <w:t xml:space="preserve">partikül </w:t>
      </w:r>
      <w:r w:rsidRPr="00DE12A3">
        <w:rPr>
          <w:rFonts w:cs="Times New Roman"/>
          <w:color w:val="auto"/>
        </w:rPr>
        <w:t xml:space="preserve">konsantrasyonlarını belirlemek için, testten önce veya sonra, </w:t>
      </w:r>
      <w:r w:rsidR="007E2039" w:rsidRPr="00DE12A3">
        <w:rPr>
          <w:rFonts w:cs="Times New Roman"/>
          <w:color w:val="auto"/>
        </w:rPr>
        <w:t xml:space="preserve">partikül </w:t>
      </w:r>
      <w:r w:rsidRPr="00DE12A3">
        <w:rPr>
          <w:rFonts w:cs="Times New Roman"/>
          <w:color w:val="auto"/>
        </w:rPr>
        <w:t xml:space="preserve">ve hidrokarbon filtrelerin çıkış tarafında bir noktadan </w:t>
      </w:r>
      <w:r w:rsidR="007E2039" w:rsidRPr="00DE12A3">
        <w:rPr>
          <w:rFonts w:cs="Times New Roman"/>
          <w:color w:val="auto"/>
        </w:rPr>
        <w:t xml:space="preserve">partikül </w:t>
      </w:r>
      <w:r w:rsidRPr="00DE12A3">
        <w:rPr>
          <w:rFonts w:cs="Times New Roman"/>
          <w:color w:val="auto"/>
        </w:rPr>
        <w:t xml:space="preserve">sayısı ölçüm sistemi içine kadar seyreltme tüneli arka plan </w:t>
      </w:r>
      <w:r w:rsidR="007E2039" w:rsidRPr="00DE12A3">
        <w:rPr>
          <w:rFonts w:cs="Times New Roman"/>
          <w:color w:val="auto"/>
        </w:rPr>
        <w:t xml:space="preserve">partikül </w:t>
      </w:r>
      <w:r w:rsidRPr="00DE12A3">
        <w:rPr>
          <w:rFonts w:cs="Times New Roman"/>
          <w:color w:val="auto"/>
        </w:rPr>
        <w:t>sayısı konsantrasyonları örneklenebilir.</w:t>
      </w:r>
    </w:p>
    <w:p w14:paraId="1508A453" w14:textId="2D529F56" w:rsidR="00F30FE7" w:rsidRPr="00DE12A3" w:rsidRDefault="00F30FE7" w:rsidP="00AB2658">
      <w:pPr>
        <w:spacing w:before="120" w:after="120"/>
        <w:jc w:val="both"/>
        <w:rPr>
          <w:rFonts w:cs="Times New Roman"/>
          <w:color w:val="auto"/>
        </w:rPr>
      </w:pPr>
      <w:r w:rsidRPr="00DE12A3">
        <w:rPr>
          <w:rFonts w:cs="Times New Roman"/>
          <w:color w:val="auto"/>
        </w:rPr>
        <w:t>2.4.2.</w:t>
      </w:r>
      <w:r w:rsidR="00AB2658" w:rsidRPr="00DE12A3">
        <w:rPr>
          <w:rFonts w:cs="Times New Roman"/>
          <w:color w:val="auto"/>
        </w:rPr>
        <w:t xml:space="preserve"> </w:t>
      </w:r>
      <w:r w:rsidRPr="00DE12A3">
        <w:rPr>
          <w:rFonts w:cs="Times New Roman"/>
          <w:color w:val="auto"/>
        </w:rPr>
        <w:t xml:space="preserve">Tip onayı için </w:t>
      </w:r>
      <w:r w:rsidR="007E2039" w:rsidRPr="00DE12A3">
        <w:rPr>
          <w:rFonts w:cs="Times New Roman"/>
          <w:color w:val="auto"/>
        </w:rPr>
        <w:t xml:space="preserve">partikül </w:t>
      </w:r>
      <w:r w:rsidRPr="00DE12A3">
        <w:rPr>
          <w:rFonts w:cs="Times New Roman"/>
          <w:color w:val="auto"/>
        </w:rPr>
        <w:t xml:space="preserve">sayısı tünel arka plan konsantrasyonlarının çıkarılmasına izin </w:t>
      </w:r>
      <w:r w:rsidRPr="00DE12A3">
        <w:rPr>
          <w:rFonts w:cs="Times New Roman"/>
          <w:color w:val="auto"/>
        </w:rPr>
        <w:lastRenderedPageBreak/>
        <w:t>verilmez</w:t>
      </w:r>
      <w:r w:rsidR="00A9747D" w:rsidRPr="00DE12A3">
        <w:rPr>
          <w:rFonts w:cs="Times New Roman"/>
          <w:color w:val="auto"/>
        </w:rPr>
        <w:t>.</w:t>
      </w:r>
      <w:r w:rsidRPr="00DE12A3">
        <w:rPr>
          <w:rFonts w:cs="Times New Roman"/>
          <w:color w:val="auto"/>
        </w:rPr>
        <w:t xml:space="preserve"> </w:t>
      </w:r>
      <w:r w:rsidR="00A9747D" w:rsidRPr="00DE12A3">
        <w:rPr>
          <w:rFonts w:cs="Times New Roman"/>
          <w:color w:val="auto"/>
        </w:rPr>
        <w:t>A</w:t>
      </w:r>
      <w:r w:rsidRPr="00DE12A3">
        <w:rPr>
          <w:rFonts w:cs="Times New Roman"/>
          <w:color w:val="auto"/>
        </w:rPr>
        <w:t xml:space="preserve">ncak daha sonra seyreltilmiş egzoz gazında ölçülen değerlerden çıkarılabilecek olan tünel arka plan katkısının belirgin olduğu ispatlanabilirse, imalatçının talebi üzerine, onay </w:t>
      </w:r>
      <w:r w:rsidR="00C62BF9" w:rsidRPr="00DE12A3">
        <w:rPr>
          <w:rFonts w:cs="Times New Roman"/>
          <w:color w:val="auto"/>
        </w:rPr>
        <w:t>kuruluşunun önceden</w:t>
      </w:r>
      <w:r w:rsidRPr="00DE12A3">
        <w:rPr>
          <w:rFonts w:cs="Times New Roman"/>
          <w:color w:val="auto"/>
        </w:rPr>
        <w:t xml:space="preserve"> onayı ile üretim testine uygunluk için kullanılabilir.</w:t>
      </w:r>
    </w:p>
    <w:p w14:paraId="1921BD99" w14:textId="77777777" w:rsidR="00F30FE7" w:rsidRPr="00DE12A3" w:rsidRDefault="00F30FE7" w:rsidP="00AB2658">
      <w:pPr>
        <w:spacing w:before="120" w:after="120"/>
        <w:rPr>
          <w:rFonts w:cs="Times New Roman"/>
          <w:color w:val="auto"/>
        </w:rPr>
      </w:pPr>
    </w:p>
    <w:p w14:paraId="3E735359" w14:textId="7F7FA6A7" w:rsidR="004E09D1" w:rsidRPr="00DE12A3" w:rsidRDefault="004E09D1" w:rsidP="00AB2658">
      <w:pPr>
        <w:widowControl/>
        <w:rPr>
          <w:rFonts w:cs="Times New Roman"/>
          <w:color w:val="auto"/>
        </w:rPr>
      </w:pPr>
      <w:r w:rsidRPr="00DE12A3">
        <w:rPr>
          <w:rFonts w:cs="Times New Roman"/>
          <w:color w:val="auto"/>
        </w:rPr>
        <w:br w:type="page"/>
      </w:r>
    </w:p>
    <w:p w14:paraId="779D3F08" w14:textId="77777777" w:rsidR="00F30FE7" w:rsidRPr="00DE12A3" w:rsidRDefault="00F30FE7" w:rsidP="004E09D1">
      <w:pPr>
        <w:pStyle w:val="Balk2"/>
        <w:rPr>
          <w:color w:val="auto"/>
        </w:rPr>
      </w:pPr>
      <w:r w:rsidRPr="00DE12A3">
        <w:rPr>
          <w:color w:val="auto"/>
        </w:rPr>
        <w:lastRenderedPageBreak/>
        <w:t>6. Açıklayıcı Ek</w:t>
      </w:r>
    </w:p>
    <w:p w14:paraId="4ED5EC42" w14:textId="77777777" w:rsidR="00C27759" w:rsidRPr="00DE12A3" w:rsidRDefault="00C27759" w:rsidP="00C27759">
      <w:pPr>
        <w:pStyle w:val="Annexetitreacte"/>
        <w:jc w:val="left"/>
        <w:rPr>
          <w:u w:val="none"/>
        </w:rPr>
      </w:pPr>
    </w:p>
    <w:p w14:paraId="66881FB3" w14:textId="6675C365" w:rsidR="00F30FE7" w:rsidRPr="00DE12A3" w:rsidRDefault="00F30FE7" w:rsidP="00C27759">
      <w:pPr>
        <w:pStyle w:val="Annexetitreacte"/>
        <w:ind w:left="1134" w:hanging="1134"/>
        <w:jc w:val="left"/>
        <w:rPr>
          <w:u w:val="none"/>
        </w:rPr>
      </w:pPr>
      <w:r w:rsidRPr="00DE12A3">
        <w:rPr>
          <w:u w:val="none"/>
        </w:rPr>
        <w:t>Amonyak emisyonu hesaplaması</w:t>
      </w:r>
    </w:p>
    <w:p w14:paraId="0F34F15E" w14:textId="4626176F" w:rsidR="00F30FE7" w:rsidRPr="00DE12A3" w:rsidRDefault="00F30FE7" w:rsidP="0004697B">
      <w:pPr>
        <w:pStyle w:val="Annexetitreacte"/>
        <w:jc w:val="both"/>
        <w:rPr>
          <w:u w:val="none"/>
        </w:rPr>
      </w:pPr>
      <w:r w:rsidRPr="00DE12A3">
        <w:rPr>
          <w:u w:val="none"/>
        </w:rPr>
        <w:t>1.</w:t>
      </w:r>
      <w:r w:rsidR="00C27759" w:rsidRPr="00DE12A3">
        <w:rPr>
          <w:u w:val="none"/>
        </w:rPr>
        <w:t xml:space="preserve"> </w:t>
      </w:r>
      <w:r w:rsidRPr="00DE12A3">
        <w:rPr>
          <w:u w:val="none"/>
        </w:rPr>
        <w:t xml:space="preserve">Süreksiz (NRTC ve LSI-NRTC) test </w:t>
      </w:r>
      <w:r w:rsidR="00F310B5" w:rsidRPr="00DE12A3">
        <w:rPr>
          <w:u w:val="none"/>
        </w:rPr>
        <w:t>çevrim</w:t>
      </w:r>
      <w:r w:rsidRPr="00DE12A3">
        <w:rPr>
          <w:u w:val="none"/>
        </w:rPr>
        <w:t>leri ve RMC için ortalama konsantrasyonun hesaplanması</w:t>
      </w:r>
    </w:p>
    <w:p w14:paraId="7D1C66BB" w14:textId="15B7651C" w:rsidR="00F30FE7" w:rsidRPr="00DE12A3" w:rsidRDefault="00F30FE7" w:rsidP="00C27759">
      <w:pPr>
        <w:pStyle w:val="Annexetitreacte"/>
        <w:jc w:val="both"/>
        <w:rPr>
          <w:b w:val="0"/>
          <w:u w:val="none"/>
        </w:rPr>
      </w:pPr>
      <w:r w:rsidRPr="00DE12A3">
        <w:rPr>
          <w:b w:val="0"/>
          <w:u w:val="none"/>
        </w:rPr>
        <w:t xml:space="preserve">Test </w:t>
      </w:r>
      <w:r w:rsidR="00F310B5" w:rsidRPr="00DE12A3">
        <w:rPr>
          <w:b w:val="0"/>
          <w:u w:val="none"/>
        </w:rPr>
        <w:t>çevrimi</w:t>
      </w:r>
      <w:r w:rsidRPr="00DE12A3">
        <w:rPr>
          <w:b w:val="0"/>
          <w:u w:val="none"/>
        </w:rPr>
        <w:t xml:space="preserve"> c</w:t>
      </w:r>
      <w:r w:rsidRPr="00DE12A3">
        <w:rPr>
          <w:b w:val="0"/>
          <w:u w:val="none"/>
          <w:vertAlign w:val="subscript"/>
        </w:rPr>
        <w:t xml:space="preserve">NH3 </w:t>
      </w:r>
      <w:r w:rsidRPr="00DE12A3">
        <w:rPr>
          <w:b w:val="0"/>
          <w:u w:val="none"/>
        </w:rPr>
        <w:t>[ppm] boyunca egzoz gazındaki ortalama NH</w:t>
      </w:r>
      <w:r w:rsidRPr="00DE12A3">
        <w:rPr>
          <w:b w:val="0"/>
          <w:u w:val="none"/>
          <w:vertAlign w:val="subscript"/>
        </w:rPr>
        <w:t xml:space="preserve">3 </w:t>
      </w:r>
      <w:r w:rsidRPr="00DE12A3">
        <w:rPr>
          <w:b w:val="0"/>
          <w:u w:val="none"/>
        </w:rPr>
        <w:t xml:space="preserve">konsantrasyonu, anlık değerlerin </w:t>
      </w:r>
      <w:r w:rsidR="00F310B5" w:rsidRPr="00DE12A3">
        <w:rPr>
          <w:b w:val="0"/>
          <w:u w:val="none"/>
        </w:rPr>
        <w:t>çevrim</w:t>
      </w:r>
      <w:r w:rsidRPr="00DE12A3">
        <w:rPr>
          <w:b w:val="0"/>
          <w:u w:val="none"/>
        </w:rPr>
        <w:t xml:space="preserve"> boyunca entegre edilmesiyle belirlenir. Denklem (7-179) </w:t>
      </w:r>
      <w:r w:rsidR="00773274" w:rsidRPr="00DE12A3">
        <w:rPr>
          <w:b w:val="0"/>
          <w:u w:val="none"/>
        </w:rPr>
        <w:t>uygulanır :</w:t>
      </w:r>
    </w:p>
    <w:p w14:paraId="459E0DFE" w14:textId="77777777" w:rsidR="00F30FE7" w:rsidRPr="00DE12A3" w:rsidRDefault="00F30FE7" w:rsidP="00C27759">
      <w:pPr>
        <w:pStyle w:val="Annexetitreacte"/>
        <w:jc w:val="left"/>
      </w:pPr>
    </w:p>
    <w:tbl>
      <w:tblPr>
        <w:tblW w:w="0" w:type="auto"/>
        <w:jc w:val="center"/>
        <w:tblLayout w:type="fixed"/>
        <w:tblLook w:val="0000" w:firstRow="0" w:lastRow="0" w:firstColumn="0" w:lastColumn="0" w:noHBand="0" w:noVBand="0"/>
      </w:tblPr>
      <w:tblGrid>
        <w:gridCol w:w="3982"/>
        <w:gridCol w:w="1961"/>
      </w:tblGrid>
      <w:tr w:rsidR="009F4766" w:rsidRPr="00DE12A3" w14:paraId="4EACB18C" w14:textId="77777777" w:rsidTr="001A234D">
        <w:trPr>
          <w:trHeight w:val="1661"/>
          <w:jc w:val="center"/>
        </w:trPr>
        <w:tc>
          <w:tcPr>
            <w:tcW w:w="3982" w:type="dxa"/>
          </w:tcPr>
          <w:p w14:paraId="5B8B9F11" w14:textId="13876948" w:rsidR="009F4766" w:rsidRPr="00DE12A3" w:rsidRDefault="009F4766" w:rsidP="00C917D6">
            <w:pPr>
              <w:pStyle w:val="NormalLeft"/>
            </w:pPr>
            <w:r w:rsidRPr="00DE12A3">
              <w:rPr>
                <w:noProof/>
                <w:lang w:val="tr-TR"/>
              </w:rPr>
              <w:drawing>
                <wp:inline distT="0" distB="0" distL="0" distR="0" wp14:anchorId="22C3FF86" wp14:editId="542E800F">
                  <wp:extent cx="2192020" cy="808990"/>
                  <wp:effectExtent l="0" t="0" r="0" b="0"/>
                  <wp:docPr id="2022" name="Resim 2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248">
                            <a:extLst>
                              <a:ext uri="{28A0092B-C50C-407E-A947-70E740481C1C}">
                                <a14:useLocalDpi xmlns:a14="http://schemas.microsoft.com/office/drawing/2010/main" val="0"/>
                              </a:ext>
                            </a:extLst>
                          </a:blip>
                          <a:srcRect/>
                          <a:stretch>
                            <a:fillRect/>
                          </a:stretch>
                        </pic:blipFill>
                        <pic:spPr bwMode="auto">
                          <a:xfrm>
                            <a:off x="0" y="0"/>
                            <a:ext cx="2192020" cy="808990"/>
                          </a:xfrm>
                          <a:prstGeom prst="rect">
                            <a:avLst/>
                          </a:prstGeom>
                          <a:noFill/>
                          <a:ln>
                            <a:noFill/>
                          </a:ln>
                        </pic:spPr>
                      </pic:pic>
                    </a:graphicData>
                  </a:graphic>
                </wp:inline>
              </w:drawing>
            </w:r>
          </w:p>
        </w:tc>
        <w:tc>
          <w:tcPr>
            <w:tcW w:w="1961" w:type="dxa"/>
          </w:tcPr>
          <w:p w14:paraId="16622832" w14:textId="77777777" w:rsidR="009F4766" w:rsidRPr="00DE12A3" w:rsidRDefault="009F4766" w:rsidP="00C917D6">
            <w:pPr>
              <w:pStyle w:val="NormalLeft"/>
            </w:pPr>
            <w:r w:rsidRPr="00DE12A3">
              <w:t>(7-179)</w:t>
            </w:r>
          </w:p>
        </w:tc>
      </w:tr>
    </w:tbl>
    <w:p w14:paraId="52242837" w14:textId="77777777" w:rsidR="009F4766" w:rsidRPr="00DE12A3" w:rsidRDefault="009F4766" w:rsidP="00C917D6">
      <w:pPr>
        <w:spacing w:before="120" w:after="120"/>
        <w:rPr>
          <w:rFonts w:cs="Times New Roman"/>
          <w:color w:val="auto"/>
        </w:rPr>
      </w:pPr>
    </w:p>
    <w:p w14:paraId="5027B672" w14:textId="77777777" w:rsidR="009F4766" w:rsidRPr="00DE12A3" w:rsidRDefault="008B3D9F" w:rsidP="00C917D6">
      <w:pPr>
        <w:spacing w:before="120" w:after="120"/>
        <w:rPr>
          <w:rFonts w:cs="Times New Roman"/>
          <w:color w:val="auto"/>
        </w:rPr>
      </w:pPr>
      <w:r w:rsidRPr="00DE12A3">
        <w:rPr>
          <w:rFonts w:cs="Times New Roman"/>
          <w:color w:val="auto"/>
        </w:rPr>
        <w:t>Burada</w:t>
      </w:r>
      <w:r w:rsidR="009F4766" w:rsidRPr="00DE12A3">
        <w:rPr>
          <w:rFonts w:cs="Times New Roman"/>
          <w:color w:val="auto"/>
        </w:rPr>
        <w:t>:</w:t>
      </w:r>
    </w:p>
    <w:p w14:paraId="1E8F25E8" w14:textId="77777777" w:rsidR="006F2E3E" w:rsidRPr="00DE12A3" w:rsidRDefault="006F2E3E" w:rsidP="00C917D6">
      <w:pPr>
        <w:spacing w:before="120" w:after="120"/>
        <w:rPr>
          <w:rFonts w:cs="Times New Roman"/>
          <w:color w:val="auto"/>
        </w:rPr>
      </w:pPr>
    </w:p>
    <w:tbl>
      <w:tblPr>
        <w:tblW w:w="0" w:type="auto"/>
        <w:tblInd w:w="743" w:type="dxa"/>
        <w:tblLayout w:type="fixed"/>
        <w:tblLook w:val="0000" w:firstRow="0" w:lastRow="0" w:firstColumn="0" w:lastColumn="0" w:noHBand="0" w:noVBand="0"/>
      </w:tblPr>
      <w:tblGrid>
        <w:gridCol w:w="1092"/>
        <w:gridCol w:w="390"/>
        <w:gridCol w:w="6318"/>
      </w:tblGrid>
      <w:tr w:rsidR="00DE12A3" w:rsidRPr="00DE12A3" w14:paraId="06CDCFE9" w14:textId="77777777" w:rsidTr="006D7ADF">
        <w:tc>
          <w:tcPr>
            <w:tcW w:w="1092" w:type="dxa"/>
          </w:tcPr>
          <w:p w14:paraId="74ADFDBC" w14:textId="77777777" w:rsidR="006F2E3E" w:rsidRPr="00DE12A3" w:rsidRDefault="006F2E3E" w:rsidP="00C917D6">
            <w:pPr>
              <w:pStyle w:val="NormalLeft"/>
            </w:pPr>
            <w:r w:rsidRPr="00DE12A3">
              <w:t>c</w:t>
            </w:r>
            <w:r w:rsidRPr="00DE12A3">
              <w:rPr>
                <w:vertAlign w:val="subscript"/>
              </w:rPr>
              <w:t>NH3,i</w:t>
            </w:r>
          </w:p>
        </w:tc>
        <w:tc>
          <w:tcPr>
            <w:tcW w:w="390" w:type="dxa"/>
          </w:tcPr>
          <w:p w14:paraId="51EC07F0" w14:textId="17D2B991" w:rsidR="006F2E3E" w:rsidRPr="00DE12A3" w:rsidRDefault="00A9747D" w:rsidP="00C917D6">
            <w:pPr>
              <w:pStyle w:val="NormalLeft"/>
            </w:pPr>
            <w:r w:rsidRPr="00DE12A3">
              <w:t>=</w:t>
            </w:r>
          </w:p>
        </w:tc>
        <w:tc>
          <w:tcPr>
            <w:tcW w:w="6318" w:type="dxa"/>
          </w:tcPr>
          <w:p w14:paraId="66F958BA" w14:textId="7F3E65C2" w:rsidR="006F2E3E" w:rsidRPr="00DE12A3" w:rsidRDefault="006D7ADF" w:rsidP="00C917D6">
            <w:pPr>
              <w:spacing w:before="120" w:after="120"/>
              <w:rPr>
                <w:rFonts w:cs="Times New Roman"/>
                <w:color w:val="auto"/>
              </w:rPr>
            </w:pPr>
            <w:r w:rsidRPr="00DE12A3">
              <w:rPr>
                <w:rFonts w:cs="Times New Roman"/>
                <w:color w:val="auto"/>
              </w:rPr>
              <w:t>Egzoz</w:t>
            </w:r>
            <w:r w:rsidR="006F2E3E" w:rsidRPr="00DE12A3">
              <w:rPr>
                <w:rFonts w:cs="Times New Roman"/>
                <w:color w:val="auto"/>
              </w:rPr>
              <w:t xml:space="preserve"> gazın içindeki anlık NH</w:t>
            </w:r>
            <w:r w:rsidR="006F2E3E" w:rsidRPr="00DE12A3">
              <w:rPr>
                <w:rFonts w:cs="Times New Roman"/>
                <w:color w:val="auto"/>
                <w:vertAlign w:val="subscript"/>
              </w:rPr>
              <w:t>3</w:t>
            </w:r>
            <w:r w:rsidR="006F2E3E" w:rsidRPr="00DE12A3">
              <w:rPr>
                <w:rFonts w:cs="Times New Roman"/>
                <w:color w:val="auto"/>
              </w:rPr>
              <w:t xml:space="preserve"> konsantrasyonudur [ppm]</w:t>
            </w:r>
            <w:r w:rsidR="00A9747D" w:rsidRPr="00DE12A3">
              <w:rPr>
                <w:rFonts w:cs="Times New Roman"/>
                <w:color w:val="auto"/>
              </w:rPr>
              <w:t>.</w:t>
            </w:r>
          </w:p>
        </w:tc>
      </w:tr>
      <w:tr w:rsidR="006F2E3E" w:rsidRPr="00DE12A3" w14:paraId="33F9CB9A" w14:textId="77777777" w:rsidTr="006D7ADF">
        <w:tc>
          <w:tcPr>
            <w:tcW w:w="1092" w:type="dxa"/>
          </w:tcPr>
          <w:p w14:paraId="20ADC62F" w14:textId="11ADDC02" w:rsidR="006F2E3E" w:rsidRPr="00DE12A3" w:rsidRDefault="00B948F4" w:rsidP="00C917D6">
            <w:pPr>
              <w:pStyle w:val="NormalLeft"/>
            </w:pPr>
            <w:r w:rsidRPr="00DE12A3">
              <w:t>N</w:t>
            </w:r>
          </w:p>
        </w:tc>
        <w:tc>
          <w:tcPr>
            <w:tcW w:w="390" w:type="dxa"/>
          </w:tcPr>
          <w:p w14:paraId="4598B6D1" w14:textId="0A25AD58" w:rsidR="006F2E3E" w:rsidRPr="00DE12A3" w:rsidRDefault="00A9747D" w:rsidP="00C917D6">
            <w:pPr>
              <w:pStyle w:val="NormalLeft"/>
            </w:pPr>
            <w:r w:rsidRPr="00DE12A3">
              <w:t>=</w:t>
            </w:r>
          </w:p>
        </w:tc>
        <w:tc>
          <w:tcPr>
            <w:tcW w:w="6318" w:type="dxa"/>
          </w:tcPr>
          <w:p w14:paraId="0EAA3D2E" w14:textId="155F2C97" w:rsidR="006F2E3E" w:rsidRPr="00DE12A3" w:rsidRDefault="006D7ADF" w:rsidP="00C917D6">
            <w:pPr>
              <w:spacing w:before="120" w:after="120"/>
              <w:rPr>
                <w:rFonts w:cs="Times New Roman"/>
                <w:color w:val="auto"/>
              </w:rPr>
            </w:pPr>
            <w:r w:rsidRPr="00DE12A3">
              <w:rPr>
                <w:rFonts w:cs="Times New Roman"/>
                <w:color w:val="auto"/>
              </w:rPr>
              <w:t>Ölçüm</w:t>
            </w:r>
            <w:r w:rsidR="006F2E3E" w:rsidRPr="00DE12A3">
              <w:rPr>
                <w:rFonts w:cs="Times New Roman"/>
                <w:color w:val="auto"/>
              </w:rPr>
              <w:t xml:space="preserve"> sayısıdır</w:t>
            </w:r>
            <w:r w:rsidR="00A9747D" w:rsidRPr="00DE12A3">
              <w:rPr>
                <w:rFonts w:cs="Times New Roman"/>
                <w:color w:val="auto"/>
              </w:rPr>
              <w:t>.</w:t>
            </w:r>
          </w:p>
        </w:tc>
      </w:tr>
    </w:tbl>
    <w:p w14:paraId="1104AE23" w14:textId="77777777" w:rsidR="009F4766" w:rsidRPr="00DE12A3" w:rsidRDefault="009F4766" w:rsidP="00C917D6">
      <w:pPr>
        <w:spacing w:before="120" w:after="120"/>
        <w:rPr>
          <w:rFonts w:cs="Times New Roman"/>
          <w:color w:val="auto"/>
        </w:rPr>
      </w:pPr>
    </w:p>
    <w:p w14:paraId="7B992A5C" w14:textId="55B77212" w:rsidR="00CA6275" w:rsidRPr="00DE12A3" w:rsidRDefault="00CA6275" w:rsidP="00C917D6">
      <w:pPr>
        <w:spacing w:before="120" w:after="120"/>
        <w:rPr>
          <w:rFonts w:cs="Times New Roman"/>
          <w:color w:val="auto"/>
        </w:rPr>
      </w:pPr>
      <w:r w:rsidRPr="00DE12A3">
        <w:rPr>
          <w:rFonts w:cs="Times New Roman"/>
          <w:color w:val="auto"/>
        </w:rPr>
        <w:t xml:space="preserve">NRTC için, nihai test sonucu (7-180) </w:t>
      </w:r>
      <w:r w:rsidR="005C6D9F" w:rsidRPr="00DE12A3">
        <w:rPr>
          <w:color w:val="auto"/>
        </w:rPr>
        <w:t>numaralı</w:t>
      </w:r>
      <w:r w:rsidR="005C6D9F" w:rsidRPr="00DE12A3" w:rsidDel="005C6D9F">
        <w:rPr>
          <w:rFonts w:cs="Times New Roman"/>
          <w:color w:val="auto"/>
        </w:rPr>
        <w:t xml:space="preserve"> </w:t>
      </w:r>
      <w:r w:rsidRPr="00DE12A3">
        <w:rPr>
          <w:rFonts w:cs="Times New Roman"/>
          <w:color w:val="auto"/>
        </w:rPr>
        <w:t>denklem ile hesaplanır:</w:t>
      </w:r>
    </w:p>
    <w:p w14:paraId="634A4740" w14:textId="77777777" w:rsidR="006F2E3E" w:rsidRPr="00DE12A3" w:rsidRDefault="006F2E3E" w:rsidP="00C917D6">
      <w:pPr>
        <w:spacing w:before="120" w:after="120"/>
        <w:rPr>
          <w:rFonts w:cs="Times New Roman"/>
          <w:color w:val="auto"/>
        </w:rPr>
      </w:pPr>
    </w:p>
    <w:tbl>
      <w:tblPr>
        <w:tblW w:w="0" w:type="auto"/>
        <w:tblInd w:w="1904" w:type="dxa"/>
        <w:tblLayout w:type="fixed"/>
        <w:tblLook w:val="0000" w:firstRow="0" w:lastRow="0" w:firstColumn="0" w:lastColumn="0" w:noHBand="0" w:noVBand="0"/>
      </w:tblPr>
      <w:tblGrid>
        <w:gridCol w:w="4729"/>
        <w:gridCol w:w="1109"/>
      </w:tblGrid>
      <w:tr w:rsidR="009F4766" w:rsidRPr="00DE12A3" w14:paraId="3CDA0ADC" w14:textId="77777777" w:rsidTr="001A234D">
        <w:trPr>
          <w:trHeight w:val="517"/>
        </w:trPr>
        <w:tc>
          <w:tcPr>
            <w:tcW w:w="4729" w:type="dxa"/>
          </w:tcPr>
          <w:p w14:paraId="339C424F" w14:textId="77777777" w:rsidR="009F4766" w:rsidRPr="00DE12A3" w:rsidRDefault="009F4766" w:rsidP="00C917D6">
            <w:pPr>
              <w:pStyle w:val="NormalLeft"/>
            </w:pPr>
            <w:r w:rsidRPr="00DE12A3">
              <w:t>c</w:t>
            </w:r>
            <w:r w:rsidRPr="00DE12A3">
              <w:rPr>
                <w:vertAlign w:val="subscript"/>
              </w:rPr>
              <w:t>NH3</w:t>
            </w:r>
            <w:r w:rsidRPr="00DE12A3">
              <w:t xml:space="preserve"> = (0,1 × c</w:t>
            </w:r>
            <w:r w:rsidRPr="00DE12A3">
              <w:rPr>
                <w:vertAlign w:val="subscript"/>
              </w:rPr>
              <w:t>NH3,cold</w:t>
            </w:r>
            <w:r w:rsidRPr="00DE12A3">
              <w:t>) + (0,9 × c</w:t>
            </w:r>
            <w:r w:rsidRPr="00DE12A3">
              <w:rPr>
                <w:vertAlign w:val="subscript"/>
              </w:rPr>
              <w:t>NH3,hot</w:t>
            </w:r>
            <w:r w:rsidRPr="00DE12A3">
              <w:t>)</w:t>
            </w:r>
          </w:p>
        </w:tc>
        <w:tc>
          <w:tcPr>
            <w:tcW w:w="1109" w:type="dxa"/>
          </w:tcPr>
          <w:p w14:paraId="0CA8A54C" w14:textId="77777777" w:rsidR="009F4766" w:rsidRPr="00DE12A3" w:rsidRDefault="009F4766" w:rsidP="00C917D6">
            <w:pPr>
              <w:pStyle w:val="NormalLeft"/>
            </w:pPr>
            <w:r w:rsidRPr="00DE12A3">
              <w:t>(7-180)</w:t>
            </w:r>
          </w:p>
        </w:tc>
      </w:tr>
    </w:tbl>
    <w:p w14:paraId="13DF60E2" w14:textId="77777777" w:rsidR="00CA6275" w:rsidRPr="00DE12A3" w:rsidRDefault="00CA6275" w:rsidP="00C917D6">
      <w:pPr>
        <w:spacing w:before="120" w:after="120"/>
        <w:rPr>
          <w:rFonts w:cs="Times New Roman"/>
          <w:color w:val="auto"/>
        </w:rPr>
      </w:pPr>
    </w:p>
    <w:p w14:paraId="08EA2B89" w14:textId="77777777" w:rsidR="009F4766" w:rsidRPr="00DE12A3" w:rsidRDefault="008B3D9F" w:rsidP="00C917D6">
      <w:pPr>
        <w:spacing w:before="120" w:after="120"/>
        <w:rPr>
          <w:rFonts w:cs="Times New Roman"/>
          <w:color w:val="auto"/>
        </w:rPr>
      </w:pPr>
      <w:r w:rsidRPr="00DE12A3">
        <w:rPr>
          <w:rFonts w:cs="Times New Roman"/>
          <w:color w:val="auto"/>
        </w:rPr>
        <w:t>Burada</w:t>
      </w:r>
      <w:r w:rsidR="009F4766" w:rsidRPr="00DE12A3">
        <w:rPr>
          <w:rFonts w:cs="Times New Roman"/>
          <w:color w:val="auto"/>
        </w:rPr>
        <w:t>:</w:t>
      </w:r>
    </w:p>
    <w:p w14:paraId="1A94E364" w14:textId="77777777" w:rsidR="00CA6275" w:rsidRPr="00DE12A3" w:rsidRDefault="00CA6275" w:rsidP="00C917D6">
      <w:pPr>
        <w:spacing w:before="120" w:after="120"/>
        <w:rPr>
          <w:rFonts w:cs="Times New Roman"/>
          <w:color w:val="auto"/>
        </w:rPr>
      </w:pPr>
    </w:p>
    <w:tbl>
      <w:tblPr>
        <w:tblW w:w="0" w:type="auto"/>
        <w:tblInd w:w="696" w:type="dxa"/>
        <w:tblLayout w:type="fixed"/>
        <w:tblLook w:val="0000" w:firstRow="0" w:lastRow="0" w:firstColumn="0" w:lastColumn="0" w:noHBand="0" w:noVBand="0"/>
      </w:tblPr>
      <w:tblGrid>
        <w:gridCol w:w="1421"/>
        <w:gridCol w:w="394"/>
        <w:gridCol w:w="6078"/>
      </w:tblGrid>
      <w:tr w:rsidR="00DE12A3" w:rsidRPr="00DE12A3" w14:paraId="2FB07826" w14:textId="77777777" w:rsidTr="002000F9">
        <w:tc>
          <w:tcPr>
            <w:tcW w:w="1421" w:type="dxa"/>
          </w:tcPr>
          <w:p w14:paraId="5CE424C8" w14:textId="77777777" w:rsidR="00CA6275" w:rsidRPr="00DE12A3" w:rsidRDefault="00CA6275" w:rsidP="00C917D6">
            <w:pPr>
              <w:pStyle w:val="NormalLeft"/>
            </w:pPr>
            <w:r w:rsidRPr="00DE12A3">
              <w:t>c</w:t>
            </w:r>
            <w:r w:rsidRPr="00DE12A3">
              <w:rPr>
                <w:vertAlign w:val="subscript"/>
              </w:rPr>
              <w:t>NH3,cold</w:t>
            </w:r>
          </w:p>
        </w:tc>
        <w:tc>
          <w:tcPr>
            <w:tcW w:w="394" w:type="dxa"/>
          </w:tcPr>
          <w:p w14:paraId="3763E200" w14:textId="6277CF40" w:rsidR="00CA6275" w:rsidRPr="00DE12A3" w:rsidRDefault="00A9747D" w:rsidP="00C917D6">
            <w:pPr>
              <w:pStyle w:val="NormalLeft"/>
            </w:pPr>
            <w:r w:rsidRPr="00DE12A3">
              <w:t>=</w:t>
            </w:r>
          </w:p>
        </w:tc>
        <w:tc>
          <w:tcPr>
            <w:tcW w:w="6078" w:type="dxa"/>
          </w:tcPr>
          <w:p w14:paraId="0DE1EF92" w14:textId="2C48C02B" w:rsidR="00CA6275" w:rsidRPr="00DE12A3" w:rsidRDefault="00B56A0A" w:rsidP="00C917D6">
            <w:pPr>
              <w:spacing w:before="120" w:after="120"/>
              <w:rPr>
                <w:rFonts w:cs="Times New Roman"/>
                <w:color w:val="auto"/>
              </w:rPr>
            </w:pPr>
            <w:r w:rsidRPr="00DE12A3">
              <w:rPr>
                <w:rFonts w:cs="Times New Roman"/>
                <w:color w:val="auto"/>
              </w:rPr>
              <w:t>Soğuk</w:t>
            </w:r>
            <w:r w:rsidR="00CA6275" w:rsidRPr="00DE12A3">
              <w:rPr>
                <w:rFonts w:cs="Times New Roman"/>
                <w:color w:val="auto"/>
              </w:rPr>
              <w:t xml:space="preserve"> çalıştırmalı NRTC'nin ortalama NH</w:t>
            </w:r>
            <w:r w:rsidR="00CA6275" w:rsidRPr="00DE12A3">
              <w:rPr>
                <w:rFonts w:cs="Times New Roman"/>
                <w:color w:val="auto"/>
                <w:vertAlign w:val="subscript"/>
              </w:rPr>
              <w:t>3</w:t>
            </w:r>
            <w:r w:rsidR="00CA6275" w:rsidRPr="00DE12A3">
              <w:rPr>
                <w:rFonts w:cs="Times New Roman"/>
                <w:color w:val="auto"/>
              </w:rPr>
              <w:t xml:space="preserve"> konsantrasyonu [ppm]</w:t>
            </w:r>
          </w:p>
        </w:tc>
      </w:tr>
      <w:tr w:rsidR="00CA6275" w:rsidRPr="00DE12A3" w14:paraId="5AF9B187" w14:textId="77777777" w:rsidTr="002000F9">
        <w:tc>
          <w:tcPr>
            <w:tcW w:w="1421" w:type="dxa"/>
          </w:tcPr>
          <w:p w14:paraId="1FFE27EB" w14:textId="77777777" w:rsidR="00CA6275" w:rsidRPr="00DE12A3" w:rsidRDefault="00CA6275" w:rsidP="00C917D6">
            <w:pPr>
              <w:pStyle w:val="NormalLeft"/>
            </w:pPr>
            <w:r w:rsidRPr="00DE12A3">
              <w:t>c</w:t>
            </w:r>
            <w:r w:rsidRPr="00DE12A3">
              <w:rPr>
                <w:vertAlign w:val="subscript"/>
              </w:rPr>
              <w:t>NH3,hot</w:t>
            </w:r>
          </w:p>
        </w:tc>
        <w:tc>
          <w:tcPr>
            <w:tcW w:w="394" w:type="dxa"/>
          </w:tcPr>
          <w:p w14:paraId="744E1B3D" w14:textId="2956B2A0" w:rsidR="00CA6275" w:rsidRPr="00DE12A3" w:rsidRDefault="00A9747D" w:rsidP="00C917D6">
            <w:pPr>
              <w:pStyle w:val="NormalLeft"/>
            </w:pPr>
            <w:r w:rsidRPr="00DE12A3">
              <w:t>=</w:t>
            </w:r>
          </w:p>
        </w:tc>
        <w:tc>
          <w:tcPr>
            <w:tcW w:w="6078" w:type="dxa"/>
          </w:tcPr>
          <w:p w14:paraId="7377EE31" w14:textId="063EC0C8" w:rsidR="00CA6275" w:rsidRPr="00DE12A3" w:rsidRDefault="00B56A0A" w:rsidP="00C917D6">
            <w:pPr>
              <w:spacing w:before="120" w:after="120"/>
              <w:rPr>
                <w:rFonts w:cs="Times New Roman"/>
                <w:color w:val="auto"/>
              </w:rPr>
            </w:pPr>
            <w:r w:rsidRPr="00DE12A3">
              <w:rPr>
                <w:rFonts w:cs="Times New Roman"/>
                <w:color w:val="auto"/>
              </w:rPr>
              <w:t>Ön</w:t>
            </w:r>
            <w:r w:rsidR="00CA6275" w:rsidRPr="00DE12A3">
              <w:rPr>
                <w:rFonts w:cs="Times New Roman"/>
                <w:color w:val="auto"/>
              </w:rPr>
              <w:t xml:space="preserve"> ısıtmalı NRTC'nin ortalama NH3 konsantrasyonu [ppm]</w:t>
            </w:r>
          </w:p>
        </w:tc>
      </w:tr>
    </w:tbl>
    <w:p w14:paraId="381C7F41" w14:textId="77777777" w:rsidR="009F4766" w:rsidRPr="00DE12A3" w:rsidRDefault="009F4766" w:rsidP="00C917D6">
      <w:pPr>
        <w:spacing w:before="120" w:after="120"/>
        <w:rPr>
          <w:rFonts w:cs="Times New Roman"/>
          <w:color w:val="auto"/>
        </w:rPr>
      </w:pPr>
    </w:p>
    <w:p w14:paraId="384ABA14" w14:textId="3A1F8A93" w:rsidR="00CA6275" w:rsidRPr="00DE12A3" w:rsidRDefault="00CA6275" w:rsidP="00C917D6">
      <w:pPr>
        <w:spacing w:before="120" w:after="120"/>
        <w:jc w:val="both"/>
        <w:rPr>
          <w:rFonts w:eastAsia="Times New Roman" w:cs="Times New Roman"/>
          <w:b/>
          <w:bCs/>
          <w:iCs/>
          <w:color w:val="auto"/>
          <w:lang w:val="fr-FR"/>
        </w:rPr>
      </w:pPr>
      <w:r w:rsidRPr="00DE12A3">
        <w:rPr>
          <w:rFonts w:eastAsia="Times New Roman" w:cs="Times New Roman"/>
          <w:b/>
          <w:bCs/>
          <w:iCs/>
          <w:color w:val="auto"/>
          <w:lang w:val="fr-FR"/>
        </w:rPr>
        <w:t>2.</w:t>
      </w:r>
      <w:r w:rsidR="00C27759" w:rsidRPr="00DE12A3">
        <w:rPr>
          <w:rFonts w:eastAsia="Times New Roman" w:cs="Times New Roman"/>
          <w:b/>
          <w:bCs/>
          <w:iCs/>
          <w:color w:val="auto"/>
          <w:lang w:val="fr-FR"/>
        </w:rPr>
        <w:t xml:space="preserve"> </w:t>
      </w:r>
      <w:r w:rsidRPr="00DE12A3">
        <w:rPr>
          <w:rFonts w:eastAsia="Times New Roman" w:cs="Times New Roman"/>
          <w:b/>
          <w:bCs/>
          <w:iCs/>
          <w:color w:val="auto"/>
          <w:lang w:val="fr-FR"/>
        </w:rPr>
        <w:t>Ayrık mod NRSC için ortalama konsantrasyonun hesaplanması</w:t>
      </w:r>
    </w:p>
    <w:p w14:paraId="25D16676" w14:textId="799FEF7B" w:rsidR="009F4766" w:rsidRPr="00DE12A3" w:rsidRDefault="00CA6275" w:rsidP="00C917D6">
      <w:pPr>
        <w:spacing w:before="120" w:after="120"/>
        <w:jc w:val="both"/>
        <w:rPr>
          <w:rFonts w:eastAsia="Times New Roman" w:cs="Times New Roman"/>
          <w:bCs/>
          <w:iCs/>
          <w:color w:val="auto"/>
          <w:lang w:val="fr-FR"/>
        </w:rPr>
      </w:pPr>
      <w:r w:rsidRPr="00DE12A3">
        <w:rPr>
          <w:rFonts w:eastAsia="Times New Roman" w:cs="Times New Roman"/>
          <w:bCs/>
          <w:iCs/>
          <w:color w:val="auto"/>
          <w:lang w:val="fr-FR"/>
        </w:rPr>
        <w:t xml:space="preserve">Test </w:t>
      </w:r>
      <w:r w:rsidR="00F310B5" w:rsidRPr="00DE12A3">
        <w:rPr>
          <w:rFonts w:eastAsia="Times New Roman" w:cs="Times New Roman"/>
          <w:bCs/>
          <w:iCs/>
          <w:color w:val="auto"/>
          <w:lang w:val="fr-FR"/>
        </w:rPr>
        <w:t>çevrimi</w:t>
      </w:r>
      <w:r w:rsidRPr="00DE12A3">
        <w:rPr>
          <w:rFonts w:eastAsia="Times New Roman" w:cs="Times New Roman"/>
          <w:bCs/>
          <w:iCs/>
          <w:color w:val="auto"/>
          <w:lang w:val="fr-FR"/>
        </w:rPr>
        <w:t xml:space="preserve"> boyunca egzoz gazı içindeki ortalama NH</w:t>
      </w:r>
      <w:r w:rsidRPr="00DE12A3">
        <w:rPr>
          <w:rFonts w:eastAsia="Times New Roman" w:cs="Times New Roman"/>
          <w:bCs/>
          <w:iCs/>
          <w:color w:val="auto"/>
          <w:vertAlign w:val="subscript"/>
          <w:lang w:val="fr-FR"/>
        </w:rPr>
        <w:t xml:space="preserve">3 </w:t>
      </w:r>
      <w:r w:rsidRPr="00DE12A3">
        <w:rPr>
          <w:rFonts w:eastAsia="Times New Roman" w:cs="Times New Roman"/>
          <w:bCs/>
          <w:iCs/>
          <w:color w:val="auto"/>
          <w:lang w:val="fr-FR"/>
        </w:rPr>
        <w:t>konsantrasyonu c</w:t>
      </w:r>
      <w:r w:rsidRPr="00DE12A3">
        <w:rPr>
          <w:rFonts w:eastAsia="Times New Roman" w:cs="Times New Roman"/>
          <w:bCs/>
          <w:iCs/>
          <w:color w:val="auto"/>
          <w:vertAlign w:val="subscript"/>
          <w:lang w:val="fr-FR"/>
        </w:rPr>
        <w:t xml:space="preserve">NH3 </w:t>
      </w:r>
      <w:r w:rsidRPr="00DE12A3">
        <w:rPr>
          <w:rFonts w:eastAsia="Times New Roman" w:cs="Times New Roman"/>
          <w:bCs/>
          <w:iCs/>
          <w:color w:val="auto"/>
          <w:lang w:val="fr-FR"/>
        </w:rPr>
        <w:t xml:space="preserve">[ppm], her mod için ortalama konsantrasyonun ölçülmesi ve sonucun test </w:t>
      </w:r>
      <w:r w:rsidR="00F310B5" w:rsidRPr="00DE12A3">
        <w:rPr>
          <w:rFonts w:eastAsia="Times New Roman" w:cs="Times New Roman"/>
          <w:bCs/>
          <w:iCs/>
          <w:color w:val="auto"/>
          <w:lang w:val="fr-FR"/>
        </w:rPr>
        <w:t>çevrimi</w:t>
      </w:r>
      <w:r w:rsidRPr="00DE12A3">
        <w:rPr>
          <w:rFonts w:eastAsia="Times New Roman" w:cs="Times New Roman"/>
          <w:bCs/>
          <w:iCs/>
          <w:color w:val="auto"/>
          <w:lang w:val="fr-FR"/>
        </w:rPr>
        <w:t xml:space="preserve"> için geçerli ağırlık faktörleri uyarınca ağırlıklandırılması ile belirlenir. (7-181) </w:t>
      </w:r>
      <w:r w:rsidR="005C6D9F" w:rsidRPr="00DE12A3">
        <w:rPr>
          <w:color w:val="auto"/>
        </w:rPr>
        <w:t>numaralı</w:t>
      </w:r>
      <w:r w:rsidR="005C6D9F" w:rsidRPr="00DE12A3" w:rsidDel="005C6D9F">
        <w:rPr>
          <w:rFonts w:eastAsia="Times New Roman" w:cs="Times New Roman"/>
          <w:bCs/>
          <w:iCs/>
          <w:color w:val="auto"/>
          <w:lang w:val="fr-FR"/>
        </w:rPr>
        <w:t xml:space="preserve"> </w:t>
      </w:r>
      <w:r w:rsidRPr="00DE12A3">
        <w:rPr>
          <w:rFonts w:eastAsia="Times New Roman" w:cs="Times New Roman"/>
          <w:bCs/>
          <w:iCs/>
          <w:color w:val="auto"/>
          <w:lang w:val="fr-FR"/>
        </w:rPr>
        <w:t xml:space="preserve"> denklem </w:t>
      </w:r>
      <w:r w:rsidR="004D1FEF" w:rsidRPr="00DE12A3">
        <w:rPr>
          <w:rFonts w:eastAsia="Times New Roman" w:cs="Times New Roman"/>
          <w:bCs/>
          <w:iCs/>
          <w:color w:val="auto"/>
          <w:lang w:val="fr-FR"/>
        </w:rPr>
        <w:t>uygulanır :</w:t>
      </w:r>
    </w:p>
    <w:p w14:paraId="6D54847F" w14:textId="77777777" w:rsidR="00CA6275" w:rsidRPr="00DE12A3" w:rsidRDefault="00CA6275" w:rsidP="00C917D6">
      <w:pPr>
        <w:spacing w:before="120" w:after="120"/>
        <w:rPr>
          <w:rFonts w:cs="Times New Roman"/>
          <w:color w:val="auto"/>
        </w:rPr>
      </w:pPr>
    </w:p>
    <w:p w14:paraId="5E6BEEDA" w14:textId="77777777" w:rsidR="00CA6275" w:rsidRPr="00DE12A3" w:rsidRDefault="00CA6275" w:rsidP="00C917D6">
      <w:pPr>
        <w:spacing w:before="120" w:after="120"/>
        <w:rPr>
          <w:rFonts w:cs="Times New Roman"/>
          <w:color w:val="auto"/>
        </w:rPr>
      </w:pPr>
    </w:p>
    <w:tbl>
      <w:tblPr>
        <w:tblW w:w="0" w:type="auto"/>
        <w:jc w:val="center"/>
        <w:tblLayout w:type="fixed"/>
        <w:tblLook w:val="0000" w:firstRow="0" w:lastRow="0" w:firstColumn="0" w:lastColumn="0" w:noHBand="0" w:noVBand="0"/>
      </w:tblPr>
      <w:tblGrid>
        <w:gridCol w:w="4870"/>
        <w:gridCol w:w="1624"/>
      </w:tblGrid>
      <w:tr w:rsidR="009F4766" w:rsidRPr="00DE12A3" w14:paraId="37C026D8" w14:textId="77777777" w:rsidTr="001A234D">
        <w:trPr>
          <w:trHeight w:val="1670"/>
          <w:jc w:val="center"/>
        </w:trPr>
        <w:tc>
          <w:tcPr>
            <w:tcW w:w="4870" w:type="dxa"/>
          </w:tcPr>
          <w:p w14:paraId="6DB6FEA1" w14:textId="32EC2386" w:rsidR="009F4766" w:rsidRPr="00DE12A3" w:rsidRDefault="009F4766" w:rsidP="00C917D6">
            <w:pPr>
              <w:pStyle w:val="NormalLeft"/>
            </w:pPr>
            <w:r w:rsidRPr="00DE12A3">
              <w:rPr>
                <w:noProof/>
                <w:lang w:val="tr-TR"/>
              </w:rPr>
              <w:lastRenderedPageBreak/>
              <w:drawing>
                <wp:inline distT="0" distB="0" distL="0" distR="0" wp14:anchorId="16F3AB20" wp14:editId="1CF89EC7">
                  <wp:extent cx="2825115" cy="814705"/>
                  <wp:effectExtent l="0" t="0" r="0" b="4445"/>
                  <wp:docPr id="2021" name="Resim 2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249">
                            <a:extLst>
                              <a:ext uri="{28A0092B-C50C-407E-A947-70E740481C1C}">
                                <a14:useLocalDpi xmlns:a14="http://schemas.microsoft.com/office/drawing/2010/main" val="0"/>
                              </a:ext>
                            </a:extLst>
                          </a:blip>
                          <a:srcRect/>
                          <a:stretch>
                            <a:fillRect/>
                          </a:stretch>
                        </pic:blipFill>
                        <pic:spPr bwMode="auto">
                          <a:xfrm>
                            <a:off x="0" y="0"/>
                            <a:ext cx="2825115" cy="814705"/>
                          </a:xfrm>
                          <a:prstGeom prst="rect">
                            <a:avLst/>
                          </a:prstGeom>
                          <a:noFill/>
                          <a:ln>
                            <a:noFill/>
                          </a:ln>
                        </pic:spPr>
                      </pic:pic>
                    </a:graphicData>
                  </a:graphic>
                </wp:inline>
              </w:drawing>
            </w:r>
          </w:p>
        </w:tc>
        <w:tc>
          <w:tcPr>
            <w:tcW w:w="1624" w:type="dxa"/>
          </w:tcPr>
          <w:p w14:paraId="205353BC" w14:textId="77777777" w:rsidR="009F4766" w:rsidRPr="00DE12A3" w:rsidRDefault="009F4766" w:rsidP="00C917D6">
            <w:pPr>
              <w:pStyle w:val="NormalLeft"/>
            </w:pPr>
            <w:r w:rsidRPr="00DE12A3">
              <w:t>(7-181)</w:t>
            </w:r>
          </w:p>
        </w:tc>
      </w:tr>
    </w:tbl>
    <w:p w14:paraId="619EF440" w14:textId="77777777" w:rsidR="009F4766" w:rsidRPr="00DE12A3" w:rsidRDefault="009F4766" w:rsidP="00C917D6">
      <w:pPr>
        <w:spacing w:before="120" w:after="120"/>
        <w:rPr>
          <w:rFonts w:cs="Times New Roman"/>
          <w:color w:val="auto"/>
        </w:rPr>
      </w:pPr>
    </w:p>
    <w:p w14:paraId="2A0D158A" w14:textId="77777777" w:rsidR="009F4766" w:rsidRPr="00DE12A3" w:rsidRDefault="008B3D9F" w:rsidP="0004697B">
      <w:pPr>
        <w:spacing w:before="120" w:after="120"/>
        <w:rPr>
          <w:rFonts w:cs="Times New Roman"/>
          <w:color w:val="auto"/>
        </w:rPr>
      </w:pPr>
      <w:r w:rsidRPr="00DE12A3">
        <w:rPr>
          <w:rFonts w:cs="Times New Roman"/>
          <w:color w:val="auto"/>
        </w:rPr>
        <w:t>Burada</w:t>
      </w:r>
      <w:r w:rsidR="009F4766" w:rsidRPr="00DE12A3">
        <w:rPr>
          <w:rFonts w:cs="Times New Roman"/>
          <w:color w:val="auto"/>
        </w:rPr>
        <w:t>:</w:t>
      </w:r>
    </w:p>
    <w:tbl>
      <w:tblPr>
        <w:tblW w:w="0" w:type="auto"/>
        <w:tblLayout w:type="fixed"/>
        <w:tblLook w:val="0000" w:firstRow="0" w:lastRow="0" w:firstColumn="0" w:lastColumn="0" w:noHBand="0" w:noVBand="0"/>
      </w:tblPr>
      <w:tblGrid>
        <w:gridCol w:w="1276"/>
        <w:gridCol w:w="425"/>
        <w:gridCol w:w="6471"/>
      </w:tblGrid>
      <w:tr w:rsidR="00DE12A3" w:rsidRPr="00DE12A3" w14:paraId="36A3D3B1" w14:textId="77777777" w:rsidTr="00A76407">
        <w:tc>
          <w:tcPr>
            <w:tcW w:w="1276" w:type="dxa"/>
          </w:tcPr>
          <w:p w14:paraId="53002440" w14:textId="076DBD86" w:rsidR="003C2689" w:rsidRPr="00DE12A3" w:rsidRDefault="003C2689" w:rsidP="004940FF">
            <w:pPr>
              <w:pStyle w:val="NormalLeft"/>
            </w:pPr>
            <w:r w:rsidRPr="00DE12A3">
              <w:rPr>
                <w:noProof/>
                <w:lang w:val="tr-TR"/>
              </w:rPr>
              <w:drawing>
                <wp:inline distT="0" distB="0" distL="0" distR="0" wp14:anchorId="08EFFBF5" wp14:editId="79A19A4D">
                  <wp:extent cx="691515" cy="304800"/>
                  <wp:effectExtent l="0" t="0" r="0" b="0"/>
                  <wp:docPr id="2020" name="Resim 2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250">
                            <a:extLst>
                              <a:ext uri="{28A0092B-C50C-407E-A947-70E740481C1C}">
                                <a14:useLocalDpi xmlns:a14="http://schemas.microsoft.com/office/drawing/2010/main" val="0"/>
                              </a:ext>
                            </a:extLst>
                          </a:blip>
                          <a:srcRect/>
                          <a:stretch>
                            <a:fillRect/>
                          </a:stretch>
                        </pic:blipFill>
                        <pic:spPr bwMode="auto">
                          <a:xfrm>
                            <a:off x="0" y="0"/>
                            <a:ext cx="691515" cy="304800"/>
                          </a:xfrm>
                          <a:prstGeom prst="rect">
                            <a:avLst/>
                          </a:prstGeom>
                          <a:noFill/>
                          <a:ln>
                            <a:noFill/>
                          </a:ln>
                        </pic:spPr>
                      </pic:pic>
                    </a:graphicData>
                  </a:graphic>
                </wp:inline>
              </w:drawing>
            </w:r>
          </w:p>
        </w:tc>
        <w:tc>
          <w:tcPr>
            <w:tcW w:w="425" w:type="dxa"/>
          </w:tcPr>
          <w:p w14:paraId="477B9247" w14:textId="04186754" w:rsidR="003C2689" w:rsidRPr="00DE12A3" w:rsidRDefault="00A9747D" w:rsidP="004940FF">
            <w:pPr>
              <w:pStyle w:val="NormalLeft"/>
            </w:pPr>
            <w:r w:rsidRPr="00DE12A3">
              <w:t>=</w:t>
            </w:r>
            <w:r w:rsidR="00937186" w:rsidRPr="00DE12A3">
              <w:t>5</w:t>
            </w:r>
          </w:p>
        </w:tc>
        <w:tc>
          <w:tcPr>
            <w:tcW w:w="6471" w:type="dxa"/>
          </w:tcPr>
          <w:p w14:paraId="6AA77E44" w14:textId="77777777" w:rsidR="003C2689" w:rsidRPr="00DE12A3" w:rsidRDefault="003C2689" w:rsidP="004940FF">
            <w:pPr>
              <w:spacing w:before="120" w:after="120"/>
              <w:rPr>
                <w:rFonts w:cs="Times New Roman"/>
                <w:color w:val="auto"/>
              </w:rPr>
            </w:pPr>
            <w:r w:rsidRPr="00DE12A3">
              <w:rPr>
                <w:rFonts w:cs="Times New Roman"/>
                <w:color w:val="auto"/>
              </w:rPr>
              <w:t>i modu için egzoz gazı içindeki ortalama NH</w:t>
            </w:r>
            <w:r w:rsidRPr="00DE12A3">
              <w:rPr>
                <w:rFonts w:cs="Times New Roman"/>
                <w:color w:val="auto"/>
                <w:vertAlign w:val="subscript"/>
              </w:rPr>
              <w:t>3</w:t>
            </w:r>
            <w:r w:rsidRPr="00DE12A3">
              <w:rPr>
                <w:rFonts w:cs="Times New Roman"/>
                <w:color w:val="auto"/>
              </w:rPr>
              <w:t xml:space="preserve"> konsantrasyonu [ppm]</w:t>
            </w:r>
          </w:p>
        </w:tc>
      </w:tr>
      <w:tr w:rsidR="00DE12A3" w:rsidRPr="00DE12A3" w14:paraId="1A3CD2AE" w14:textId="77777777" w:rsidTr="00A76407">
        <w:tc>
          <w:tcPr>
            <w:tcW w:w="1276" w:type="dxa"/>
          </w:tcPr>
          <w:p w14:paraId="45FCF0BC" w14:textId="77777777" w:rsidR="003C2689" w:rsidRPr="00DE12A3" w:rsidRDefault="003C2689" w:rsidP="004940FF">
            <w:pPr>
              <w:pStyle w:val="NormalLeft"/>
            </w:pPr>
            <w:r w:rsidRPr="00DE12A3">
              <w:t>N</w:t>
            </w:r>
            <w:r w:rsidRPr="00DE12A3">
              <w:rPr>
                <w:vertAlign w:val="subscript"/>
              </w:rPr>
              <w:t>mode</w:t>
            </w:r>
          </w:p>
        </w:tc>
        <w:tc>
          <w:tcPr>
            <w:tcW w:w="425" w:type="dxa"/>
          </w:tcPr>
          <w:p w14:paraId="13AC486C" w14:textId="7E0F7EEF" w:rsidR="003C2689" w:rsidRPr="00DE12A3" w:rsidRDefault="00A9747D" w:rsidP="004940FF">
            <w:pPr>
              <w:pStyle w:val="NormalLeft"/>
            </w:pPr>
            <w:r w:rsidRPr="00DE12A3">
              <w:t>=</w:t>
            </w:r>
          </w:p>
        </w:tc>
        <w:tc>
          <w:tcPr>
            <w:tcW w:w="6471" w:type="dxa"/>
          </w:tcPr>
          <w:p w14:paraId="53630ED5" w14:textId="47CF00AA" w:rsidR="003C2689" w:rsidRPr="00DE12A3" w:rsidRDefault="00B56A0A" w:rsidP="004940FF">
            <w:pPr>
              <w:spacing w:before="120" w:after="120"/>
              <w:rPr>
                <w:rFonts w:cs="Times New Roman"/>
                <w:color w:val="auto"/>
              </w:rPr>
            </w:pPr>
            <w:r w:rsidRPr="00DE12A3">
              <w:rPr>
                <w:rFonts w:cs="Times New Roman"/>
                <w:color w:val="auto"/>
              </w:rPr>
              <w:t>Test</w:t>
            </w:r>
            <w:r w:rsidR="003C2689" w:rsidRPr="00DE12A3">
              <w:rPr>
                <w:rFonts w:cs="Times New Roman"/>
                <w:color w:val="auto"/>
              </w:rPr>
              <w:t xml:space="preserve"> </w:t>
            </w:r>
            <w:r w:rsidR="00F310B5" w:rsidRPr="00DE12A3">
              <w:rPr>
                <w:rFonts w:cs="Times New Roman"/>
                <w:color w:val="auto"/>
              </w:rPr>
              <w:t>çevrimi</w:t>
            </w:r>
            <w:r w:rsidR="003C2689" w:rsidRPr="00DE12A3">
              <w:rPr>
                <w:rFonts w:cs="Times New Roman"/>
                <w:color w:val="auto"/>
              </w:rPr>
              <w:t xml:space="preserve"> içindeki modların sayısı</w:t>
            </w:r>
          </w:p>
        </w:tc>
      </w:tr>
      <w:tr w:rsidR="003C2689" w:rsidRPr="00DE12A3" w14:paraId="5796E75A" w14:textId="77777777" w:rsidTr="00A76407">
        <w:tc>
          <w:tcPr>
            <w:tcW w:w="1276" w:type="dxa"/>
          </w:tcPr>
          <w:p w14:paraId="2A6B13C3" w14:textId="77777777" w:rsidR="003C2689" w:rsidRPr="00DE12A3" w:rsidRDefault="003C2689" w:rsidP="004940FF">
            <w:pPr>
              <w:pStyle w:val="NormalLeft"/>
            </w:pPr>
            <w:r w:rsidRPr="00DE12A3">
              <w:t>WF</w:t>
            </w:r>
            <w:r w:rsidRPr="00DE12A3">
              <w:rPr>
                <w:vertAlign w:val="subscript"/>
              </w:rPr>
              <w:t>i</w:t>
            </w:r>
          </w:p>
        </w:tc>
        <w:tc>
          <w:tcPr>
            <w:tcW w:w="425" w:type="dxa"/>
          </w:tcPr>
          <w:p w14:paraId="68E1DC4E" w14:textId="33859CB9" w:rsidR="003C2689" w:rsidRPr="00DE12A3" w:rsidRDefault="00A9747D" w:rsidP="004940FF">
            <w:pPr>
              <w:pStyle w:val="NormalLeft"/>
            </w:pPr>
            <w:r w:rsidRPr="00DE12A3">
              <w:t>=</w:t>
            </w:r>
          </w:p>
        </w:tc>
        <w:tc>
          <w:tcPr>
            <w:tcW w:w="6471" w:type="dxa"/>
          </w:tcPr>
          <w:p w14:paraId="3BCD8C94" w14:textId="77777777" w:rsidR="003C2689" w:rsidRPr="00DE12A3" w:rsidRDefault="003C2689" w:rsidP="004940FF">
            <w:pPr>
              <w:spacing w:before="120" w:after="120"/>
              <w:rPr>
                <w:rFonts w:cs="Times New Roman"/>
                <w:color w:val="auto"/>
              </w:rPr>
            </w:pPr>
            <w:r w:rsidRPr="00DE12A3">
              <w:rPr>
                <w:rFonts w:cs="Times New Roman"/>
                <w:color w:val="auto"/>
              </w:rPr>
              <w:t>i modu için ağırlık faktörü [-]</w:t>
            </w:r>
          </w:p>
        </w:tc>
      </w:tr>
    </w:tbl>
    <w:p w14:paraId="53363C83" w14:textId="77777777" w:rsidR="00CA6275" w:rsidRPr="00DE12A3" w:rsidRDefault="00CA6275" w:rsidP="00C917D6">
      <w:pPr>
        <w:spacing w:before="120" w:after="120"/>
        <w:rPr>
          <w:rFonts w:cs="Times New Roman"/>
          <w:color w:val="auto"/>
        </w:rPr>
      </w:pPr>
    </w:p>
    <w:p w14:paraId="62BC5F1B" w14:textId="2A33789A" w:rsidR="004940FF" w:rsidRPr="00DE12A3" w:rsidRDefault="004940FF">
      <w:pPr>
        <w:widowControl/>
        <w:rPr>
          <w:rFonts w:cs="Times New Roman"/>
          <w:color w:val="auto"/>
        </w:rPr>
      </w:pPr>
      <w:r w:rsidRPr="00DE12A3">
        <w:rPr>
          <w:rFonts w:cs="Times New Roman"/>
          <w:color w:val="auto"/>
        </w:rPr>
        <w:br w:type="page"/>
      </w:r>
    </w:p>
    <w:p w14:paraId="6C618DB0" w14:textId="77777777" w:rsidR="00CA6275" w:rsidRPr="00DE12A3" w:rsidRDefault="00CA6275" w:rsidP="004940FF">
      <w:pPr>
        <w:pStyle w:val="Balk1"/>
        <w:rPr>
          <w:color w:val="auto"/>
        </w:rPr>
      </w:pPr>
      <w:r w:rsidRPr="00DE12A3">
        <w:rPr>
          <w:color w:val="auto"/>
        </w:rPr>
        <w:lastRenderedPageBreak/>
        <w:t>EK VIII</w:t>
      </w:r>
    </w:p>
    <w:p w14:paraId="758590E5" w14:textId="77777777" w:rsidR="00CA6275" w:rsidRPr="00DE12A3" w:rsidRDefault="00CA6275" w:rsidP="00C917D6">
      <w:pPr>
        <w:pStyle w:val="Annexetitreacte"/>
        <w:rPr>
          <w:u w:val="none"/>
        </w:rPr>
      </w:pPr>
      <w:r w:rsidRPr="00DE12A3">
        <w:rPr>
          <w:u w:val="none"/>
        </w:rPr>
        <w:t xml:space="preserve">İki yakıtlı motorlar için performans </w:t>
      </w:r>
      <w:r w:rsidR="0053289F" w:rsidRPr="00DE12A3">
        <w:rPr>
          <w:u w:val="none"/>
        </w:rPr>
        <w:t>gereklilikleri</w:t>
      </w:r>
      <w:r w:rsidRPr="00DE12A3">
        <w:rPr>
          <w:u w:val="none"/>
        </w:rPr>
        <w:t xml:space="preserve"> ve test prosedürleri</w:t>
      </w:r>
    </w:p>
    <w:p w14:paraId="20149A0E" w14:textId="12237983" w:rsidR="00CA6275" w:rsidRPr="00DE12A3" w:rsidRDefault="00CA6275" w:rsidP="00C917D6">
      <w:pPr>
        <w:pStyle w:val="Annexetitreacte"/>
        <w:ind w:left="1134" w:hanging="1134"/>
        <w:jc w:val="both"/>
        <w:rPr>
          <w:u w:val="none"/>
        </w:rPr>
      </w:pPr>
      <w:r w:rsidRPr="00DE12A3">
        <w:rPr>
          <w:bCs w:val="0"/>
          <w:u w:val="none"/>
        </w:rPr>
        <w:t>1.</w:t>
      </w:r>
      <w:r w:rsidR="0004697B" w:rsidRPr="00DE12A3">
        <w:rPr>
          <w:bCs w:val="0"/>
          <w:u w:val="none"/>
        </w:rPr>
        <w:t xml:space="preserve"> </w:t>
      </w:r>
      <w:r w:rsidRPr="00DE12A3">
        <w:rPr>
          <w:u w:val="none"/>
        </w:rPr>
        <w:t>Kapsam</w:t>
      </w:r>
    </w:p>
    <w:p w14:paraId="5166BE1D" w14:textId="576CE8B9" w:rsidR="00CA6275" w:rsidRPr="00DE12A3" w:rsidRDefault="00CA6275" w:rsidP="0004697B">
      <w:pPr>
        <w:pStyle w:val="Annexetitreacte"/>
        <w:jc w:val="both"/>
        <w:rPr>
          <w:b w:val="0"/>
          <w:u w:val="none"/>
        </w:rPr>
      </w:pPr>
      <w:r w:rsidRPr="00DE12A3">
        <w:rPr>
          <w:b w:val="0"/>
          <w:u w:val="none"/>
        </w:rPr>
        <w:t>Bu Ek, hem sıvı hem de gaz halindeki yakıtta (iki yakıt modu) eşzamanlı olarak çalıştırıldıklarında, 2016/1628/AB Yönetmeliğinin 4</w:t>
      </w:r>
      <w:r w:rsidR="0004697B" w:rsidRPr="00DE12A3">
        <w:rPr>
          <w:b w:val="0"/>
          <w:u w:val="none"/>
        </w:rPr>
        <w:t xml:space="preserve"> </w:t>
      </w:r>
      <w:r w:rsidRPr="00DE12A3">
        <w:rPr>
          <w:b w:val="0"/>
          <w:u w:val="none"/>
        </w:rPr>
        <w:t xml:space="preserve">üncü maddesinin </w:t>
      </w:r>
      <w:r w:rsidR="002A139C" w:rsidRPr="00DE12A3">
        <w:rPr>
          <w:b w:val="0"/>
          <w:u w:val="none"/>
        </w:rPr>
        <w:t xml:space="preserve">birinci </w:t>
      </w:r>
      <w:r w:rsidRPr="00DE12A3">
        <w:rPr>
          <w:b w:val="0"/>
          <w:u w:val="none"/>
        </w:rPr>
        <w:t xml:space="preserve"> fıkrasın</w:t>
      </w:r>
      <w:r w:rsidR="002A139C" w:rsidRPr="00DE12A3">
        <w:rPr>
          <w:b w:val="0"/>
          <w:u w:val="none"/>
        </w:rPr>
        <w:t>ın (v) bendinde</w:t>
      </w:r>
      <w:r w:rsidRPr="00DE12A3">
        <w:rPr>
          <w:b w:val="0"/>
          <w:u w:val="none"/>
        </w:rPr>
        <w:t xml:space="preserve"> tanımlanan iki yakıtlı motorlar için geçerlidir.</w:t>
      </w:r>
    </w:p>
    <w:p w14:paraId="6D982CC2" w14:textId="6C8A1ECE" w:rsidR="00CA6275" w:rsidRPr="00DE12A3" w:rsidRDefault="00CA6275" w:rsidP="0004697B">
      <w:pPr>
        <w:pStyle w:val="Annexetitreacte"/>
        <w:jc w:val="both"/>
        <w:rPr>
          <w:b w:val="0"/>
          <w:u w:val="none"/>
        </w:rPr>
      </w:pPr>
      <w:r w:rsidRPr="00DE12A3">
        <w:rPr>
          <w:b w:val="0"/>
          <w:u w:val="none"/>
        </w:rPr>
        <w:t xml:space="preserve">Bu Ek, yalnızca sıvı veya yalnızca gaz halindeki yakıtlar ile çalıştırıldıklarında (yani GER, yakıt tipine göre 1 veya 0 olduğunda) iki yakıtlı motorlar da dahil olmak üzere test motorları için geçerli değildir. Bu durumda, şartlar her tek yakıtlı motor için geçerli olanlarla aynıdır. </w:t>
      </w:r>
    </w:p>
    <w:p w14:paraId="01FA0099" w14:textId="1A0D1265" w:rsidR="00CA6275" w:rsidRPr="00DE12A3" w:rsidRDefault="00CA6275" w:rsidP="0004697B">
      <w:pPr>
        <w:pStyle w:val="Annexetitreacte"/>
        <w:jc w:val="both"/>
        <w:rPr>
          <w:b w:val="0"/>
          <w:u w:val="none"/>
        </w:rPr>
      </w:pPr>
      <w:r w:rsidRPr="00DE12A3">
        <w:rPr>
          <w:b w:val="0"/>
          <w:u w:val="none"/>
        </w:rPr>
        <w:t>Aynı anda birden fazla sıvı yakıt ile bir gaz yakıt veya bir sıvı yakıt ile birden fazla gaz yakıtın bir kombinasyonu ile çalışan motorlara ait tip onayı, yeni teknolojilere ilişkin prosedürü veya 2016/1628/AB Yönetmeliğinin 34 üncü maddesinde verilen yeni kavramları takip etmelidir.</w:t>
      </w:r>
    </w:p>
    <w:p w14:paraId="6EF59345" w14:textId="5BE1CFB3" w:rsidR="00CA6275" w:rsidRPr="00DE12A3" w:rsidRDefault="00CA6275" w:rsidP="00C917D6">
      <w:pPr>
        <w:pStyle w:val="Annexetitreacte"/>
        <w:ind w:left="1134" w:hanging="1134"/>
        <w:jc w:val="both"/>
        <w:rPr>
          <w:u w:val="none"/>
        </w:rPr>
      </w:pPr>
      <w:r w:rsidRPr="00DE12A3">
        <w:rPr>
          <w:bCs w:val="0"/>
          <w:u w:val="none"/>
        </w:rPr>
        <w:t>2.</w:t>
      </w:r>
      <w:r w:rsidR="0004697B" w:rsidRPr="00DE12A3">
        <w:rPr>
          <w:bCs w:val="0"/>
          <w:u w:val="none"/>
        </w:rPr>
        <w:t xml:space="preserve"> </w:t>
      </w:r>
      <w:r w:rsidRPr="00DE12A3">
        <w:rPr>
          <w:u w:val="none"/>
        </w:rPr>
        <w:t>Tanımlar ve kısaltmalar</w:t>
      </w:r>
    </w:p>
    <w:p w14:paraId="5E1FA5EB" w14:textId="62AE2190" w:rsidR="00CA6275" w:rsidRPr="00DE12A3" w:rsidRDefault="00CA6275" w:rsidP="00C917D6">
      <w:pPr>
        <w:pStyle w:val="Annexetitreacte"/>
        <w:ind w:left="1134" w:hanging="1134"/>
        <w:jc w:val="both"/>
        <w:rPr>
          <w:b w:val="0"/>
          <w:u w:val="none"/>
        </w:rPr>
      </w:pPr>
      <w:r w:rsidRPr="00DE12A3">
        <w:rPr>
          <w:b w:val="0"/>
          <w:u w:val="none"/>
        </w:rPr>
        <w:t>Bu Ekin amaçları doğrultusunda, aşağıdaki tanımlar uygulanır :</w:t>
      </w:r>
    </w:p>
    <w:p w14:paraId="7F2D0FD8" w14:textId="50FB51BB" w:rsidR="00CA6275" w:rsidRPr="00DE12A3" w:rsidRDefault="00CA6275" w:rsidP="0004697B">
      <w:pPr>
        <w:pStyle w:val="Annexetitreacte"/>
        <w:jc w:val="both"/>
        <w:rPr>
          <w:b w:val="0"/>
          <w:u w:val="none"/>
        </w:rPr>
      </w:pPr>
      <w:r w:rsidRPr="00DE12A3">
        <w:rPr>
          <w:b w:val="0"/>
          <w:u w:val="none"/>
        </w:rPr>
        <w:t>2.1.</w:t>
      </w:r>
      <w:r w:rsidR="0004697B" w:rsidRPr="00DE12A3">
        <w:rPr>
          <w:b w:val="0"/>
          <w:u w:val="none"/>
        </w:rPr>
        <w:t xml:space="preserve"> </w:t>
      </w:r>
      <w:r w:rsidRPr="00DE12A3">
        <w:rPr>
          <w:b w:val="0"/>
          <w:u w:val="none"/>
        </w:rPr>
        <w:t>"GER (Gaz Enerji Oranı)", düşük ısıtma değeri esasında 2016/1628/AB   Yönetmeliğinin 4</w:t>
      </w:r>
      <w:r w:rsidR="00937186" w:rsidRPr="00DE12A3">
        <w:rPr>
          <w:b w:val="0"/>
          <w:u w:val="none"/>
        </w:rPr>
        <w:t xml:space="preserve"> </w:t>
      </w:r>
      <w:r w:rsidRPr="00DE12A3">
        <w:rPr>
          <w:b w:val="0"/>
          <w:u w:val="none"/>
        </w:rPr>
        <w:t xml:space="preserve">üncü maddesinin </w:t>
      </w:r>
      <w:r w:rsidR="002A139C" w:rsidRPr="00DE12A3">
        <w:rPr>
          <w:b w:val="0"/>
          <w:u w:val="none"/>
        </w:rPr>
        <w:t xml:space="preserve">birinci </w:t>
      </w:r>
      <w:r w:rsidR="00E20EBD" w:rsidRPr="00DE12A3">
        <w:rPr>
          <w:b w:val="0"/>
          <w:u w:val="none"/>
        </w:rPr>
        <w:t xml:space="preserve"> fıkrasın</w:t>
      </w:r>
      <w:r w:rsidR="002A139C" w:rsidRPr="00DE12A3">
        <w:rPr>
          <w:b w:val="0"/>
          <w:u w:val="none"/>
        </w:rPr>
        <w:t xml:space="preserve">ın (p) bendinde </w:t>
      </w:r>
      <w:r w:rsidRPr="00DE12A3">
        <w:rPr>
          <w:b w:val="0"/>
          <w:u w:val="none"/>
        </w:rPr>
        <w:t xml:space="preserve"> tanımlanan anlama sahiptir</w:t>
      </w:r>
      <w:r w:rsidR="00937186" w:rsidRPr="00DE12A3">
        <w:rPr>
          <w:b w:val="0"/>
          <w:u w:val="none"/>
        </w:rPr>
        <w:t>.</w:t>
      </w:r>
    </w:p>
    <w:p w14:paraId="7EC5CBC0" w14:textId="547B4A4D" w:rsidR="00CA6275" w:rsidRPr="00DE12A3" w:rsidRDefault="00CA6275" w:rsidP="0004697B">
      <w:pPr>
        <w:pStyle w:val="Annexetitreacte"/>
        <w:jc w:val="both"/>
        <w:rPr>
          <w:b w:val="0"/>
          <w:u w:val="none"/>
        </w:rPr>
      </w:pPr>
      <w:r w:rsidRPr="00DE12A3">
        <w:rPr>
          <w:b w:val="0"/>
          <w:u w:val="none"/>
        </w:rPr>
        <w:t>2.2.</w:t>
      </w:r>
      <w:r w:rsidR="0004697B" w:rsidRPr="00DE12A3">
        <w:rPr>
          <w:b w:val="0"/>
          <w:u w:val="none"/>
        </w:rPr>
        <w:t xml:space="preserve"> </w:t>
      </w:r>
      <w:r w:rsidRPr="00DE12A3">
        <w:rPr>
          <w:b w:val="0"/>
          <w:u w:val="none"/>
        </w:rPr>
        <w:t>"GER</w:t>
      </w:r>
      <w:r w:rsidR="00F310B5" w:rsidRPr="00DE12A3">
        <w:rPr>
          <w:b w:val="0"/>
          <w:u w:val="none"/>
          <w:vertAlign w:val="subscript"/>
        </w:rPr>
        <w:t>çevrim</w:t>
      </w:r>
      <w:r w:rsidRPr="00DE12A3">
        <w:rPr>
          <w:b w:val="0"/>
          <w:u w:val="none"/>
        </w:rPr>
        <w:t xml:space="preserve">", motoru geçerli motor test </w:t>
      </w:r>
      <w:r w:rsidR="00F310B5" w:rsidRPr="00DE12A3">
        <w:rPr>
          <w:b w:val="0"/>
          <w:u w:val="none"/>
        </w:rPr>
        <w:t>çevrimi</w:t>
      </w:r>
      <w:r w:rsidRPr="00DE12A3">
        <w:rPr>
          <w:b w:val="0"/>
          <w:u w:val="none"/>
        </w:rPr>
        <w:t xml:space="preserve"> sırasında çalıştırırken ortalama GER anlamına gelir</w:t>
      </w:r>
      <w:r w:rsidR="00937186" w:rsidRPr="00DE12A3">
        <w:rPr>
          <w:b w:val="0"/>
          <w:u w:val="none"/>
        </w:rPr>
        <w:t>.</w:t>
      </w:r>
    </w:p>
    <w:p w14:paraId="05266F60" w14:textId="23A08796" w:rsidR="00CA6275" w:rsidRPr="00DE12A3" w:rsidRDefault="00CA6275" w:rsidP="00C917D6">
      <w:pPr>
        <w:pStyle w:val="Annexetitreacte"/>
        <w:ind w:left="1134" w:hanging="1134"/>
        <w:jc w:val="both"/>
        <w:rPr>
          <w:b w:val="0"/>
          <w:u w:val="none"/>
        </w:rPr>
      </w:pPr>
      <w:r w:rsidRPr="00DE12A3">
        <w:rPr>
          <w:b w:val="0"/>
          <w:u w:val="none"/>
        </w:rPr>
        <w:t>2.3.</w:t>
      </w:r>
      <w:r w:rsidR="0004697B" w:rsidRPr="00DE12A3">
        <w:rPr>
          <w:b w:val="0"/>
          <w:u w:val="none"/>
        </w:rPr>
        <w:t xml:space="preserve"> </w:t>
      </w:r>
      <w:r w:rsidRPr="00DE12A3">
        <w:rPr>
          <w:b w:val="0"/>
          <w:u w:val="none"/>
        </w:rPr>
        <w:t>"İki yakıtlı Tip 1A motor" aşağıdakilerden biri anlam</w:t>
      </w:r>
      <w:r w:rsidR="00937186" w:rsidRPr="00DE12A3">
        <w:rPr>
          <w:b w:val="0"/>
          <w:u w:val="none"/>
        </w:rPr>
        <w:t>ın</w:t>
      </w:r>
      <w:r w:rsidRPr="00DE12A3">
        <w:rPr>
          <w:b w:val="0"/>
          <w:u w:val="none"/>
        </w:rPr>
        <w:t xml:space="preserve">a </w:t>
      </w:r>
      <w:r w:rsidR="00E20EBD" w:rsidRPr="00DE12A3">
        <w:rPr>
          <w:b w:val="0"/>
          <w:u w:val="none"/>
        </w:rPr>
        <w:t>gelir :</w:t>
      </w:r>
    </w:p>
    <w:p w14:paraId="2E8B7BA2" w14:textId="44D9A48E" w:rsidR="00CA6275" w:rsidRPr="00DE12A3" w:rsidRDefault="00CA6275" w:rsidP="0004697B">
      <w:pPr>
        <w:pStyle w:val="Annexetitreacte"/>
        <w:jc w:val="both"/>
        <w:rPr>
          <w:b w:val="0"/>
          <w:u w:val="none"/>
        </w:rPr>
      </w:pPr>
      <w:r w:rsidRPr="00DE12A3">
        <w:rPr>
          <w:b w:val="0"/>
          <w:u w:val="none"/>
        </w:rPr>
        <w:t>(a)</w:t>
      </w:r>
      <w:r w:rsidR="0004697B" w:rsidRPr="00DE12A3">
        <w:rPr>
          <w:b w:val="0"/>
          <w:u w:val="none"/>
        </w:rPr>
        <w:t xml:space="preserve"> </w:t>
      </w:r>
      <w:r w:rsidRPr="00DE12A3">
        <w:rPr>
          <w:b w:val="0"/>
          <w:u w:val="none"/>
        </w:rPr>
        <w:t xml:space="preserve">Ön ısıtmalı NRTC test </w:t>
      </w:r>
      <w:r w:rsidR="00F310B5" w:rsidRPr="00DE12A3">
        <w:rPr>
          <w:b w:val="0"/>
          <w:u w:val="none"/>
        </w:rPr>
        <w:t>çevrimi</w:t>
      </w:r>
      <w:r w:rsidRPr="00DE12A3">
        <w:rPr>
          <w:b w:val="0"/>
          <w:u w:val="none"/>
        </w:rPr>
        <w:t xml:space="preserve"> boyunca çalışan, % 90'dan daha düşük olmayan bir ortalama gaz enerji oranına sahip ve sadece sıvı yakıt kullanarak rölantide kalmayan ve bir sıvı yakıt modu bulunmayan, NRE 19 ≤ kW ≤ 560 alt kategorisine mensup iki yakıtlı bir motor (GER</w:t>
      </w:r>
      <w:r w:rsidRPr="00DE12A3">
        <w:rPr>
          <w:b w:val="0"/>
          <w:u w:val="none"/>
          <w:vertAlign w:val="subscript"/>
        </w:rPr>
        <w:t xml:space="preserve">NRTC,hot </w:t>
      </w:r>
      <w:r w:rsidRPr="00DE12A3">
        <w:rPr>
          <w:b w:val="0"/>
          <w:u w:val="none"/>
        </w:rPr>
        <w:t>≥ 0,9) veya</w:t>
      </w:r>
    </w:p>
    <w:p w14:paraId="3812D3D0" w14:textId="18DE3DDF" w:rsidR="00CA6275" w:rsidRPr="00DE12A3" w:rsidRDefault="00CA6275" w:rsidP="0004697B">
      <w:pPr>
        <w:pStyle w:val="Annexetitreacte"/>
        <w:jc w:val="both"/>
        <w:rPr>
          <w:b w:val="0"/>
          <w:u w:val="none"/>
        </w:rPr>
      </w:pPr>
      <w:r w:rsidRPr="00DE12A3">
        <w:rPr>
          <w:b w:val="0"/>
          <w:u w:val="none"/>
        </w:rPr>
        <w:t>(b)</w:t>
      </w:r>
      <w:r w:rsidR="0004697B" w:rsidRPr="00DE12A3">
        <w:rPr>
          <w:b w:val="0"/>
          <w:u w:val="none"/>
        </w:rPr>
        <w:t xml:space="preserve"> </w:t>
      </w:r>
      <w:r w:rsidRPr="00DE12A3">
        <w:rPr>
          <w:b w:val="0"/>
          <w:u w:val="none"/>
        </w:rPr>
        <w:t>NRSC boyunca çalışan, % 90'dan daha düşük olmayan bir ortalama gaz enerji oranına sahip ve sadece sıvı yakıt kullanarak rölantide kalmayan ve bir sıvı yakıt modu bulunmayan, NRE 19 ≤ kW ≤ 560 alt kategorisi dışında bir (alt) kategoriye mensup iki yakıtlı bir motor (GER</w:t>
      </w:r>
      <w:r w:rsidRPr="00DE12A3">
        <w:rPr>
          <w:b w:val="0"/>
          <w:u w:val="none"/>
          <w:vertAlign w:val="subscript"/>
        </w:rPr>
        <w:t>NRSC</w:t>
      </w:r>
      <w:r w:rsidRPr="00DE12A3">
        <w:rPr>
          <w:b w:val="0"/>
          <w:u w:val="none"/>
        </w:rPr>
        <w:t xml:space="preserve"> ≥ 0,9)</w:t>
      </w:r>
      <w:r w:rsidR="00937186" w:rsidRPr="00DE12A3">
        <w:rPr>
          <w:b w:val="0"/>
          <w:u w:val="none"/>
        </w:rPr>
        <w:t>.</w:t>
      </w:r>
    </w:p>
    <w:p w14:paraId="4554A3DC" w14:textId="1ECB2E5D" w:rsidR="00CA6275" w:rsidRPr="00DE12A3" w:rsidRDefault="00CA6275" w:rsidP="00C917D6">
      <w:pPr>
        <w:pStyle w:val="Annexetitreacte"/>
        <w:ind w:left="1134" w:hanging="1134"/>
        <w:jc w:val="both"/>
        <w:rPr>
          <w:b w:val="0"/>
          <w:u w:val="none"/>
        </w:rPr>
      </w:pPr>
      <w:r w:rsidRPr="00DE12A3">
        <w:rPr>
          <w:b w:val="0"/>
          <w:u w:val="none"/>
        </w:rPr>
        <w:t>2.4.</w:t>
      </w:r>
      <w:r w:rsidR="0004697B" w:rsidRPr="00DE12A3">
        <w:rPr>
          <w:b w:val="0"/>
          <w:u w:val="none"/>
        </w:rPr>
        <w:t xml:space="preserve"> </w:t>
      </w:r>
      <w:r w:rsidRPr="00DE12A3">
        <w:rPr>
          <w:b w:val="0"/>
          <w:u w:val="none"/>
        </w:rPr>
        <w:t>"İki yakıtlı Tip 1B motor" aşağıdakilerden biri anlam</w:t>
      </w:r>
      <w:r w:rsidR="00937186" w:rsidRPr="00DE12A3">
        <w:rPr>
          <w:b w:val="0"/>
          <w:u w:val="none"/>
        </w:rPr>
        <w:t>ın</w:t>
      </w:r>
      <w:r w:rsidRPr="00DE12A3">
        <w:rPr>
          <w:b w:val="0"/>
          <w:u w:val="none"/>
        </w:rPr>
        <w:t xml:space="preserve">a </w:t>
      </w:r>
      <w:r w:rsidR="00773274" w:rsidRPr="00DE12A3">
        <w:rPr>
          <w:b w:val="0"/>
          <w:u w:val="none"/>
        </w:rPr>
        <w:t>gelir :</w:t>
      </w:r>
    </w:p>
    <w:p w14:paraId="5B1F0BD5" w14:textId="4CFFC010" w:rsidR="00CA6275" w:rsidRPr="00DE12A3" w:rsidRDefault="00CA6275" w:rsidP="0004697B">
      <w:pPr>
        <w:pStyle w:val="Annexetitreacte"/>
        <w:jc w:val="both"/>
        <w:rPr>
          <w:b w:val="0"/>
          <w:u w:val="none"/>
        </w:rPr>
      </w:pPr>
      <w:r w:rsidRPr="00DE12A3">
        <w:rPr>
          <w:b w:val="0"/>
          <w:u w:val="none"/>
        </w:rPr>
        <w:t>(a)</w:t>
      </w:r>
      <w:r w:rsidR="0004697B" w:rsidRPr="00DE12A3">
        <w:rPr>
          <w:b w:val="0"/>
          <w:u w:val="none"/>
        </w:rPr>
        <w:t xml:space="preserve"> </w:t>
      </w:r>
      <w:r w:rsidRPr="00DE12A3">
        <w:rPr>
          <w:b w:val="0"/>
          <w:u w:val="none"/>
        </w:rPr>
        <w:t xml:space="preserve">Ön ısıtmalı NRTC test </w:t>
      </w:r>
      <w:r w:rsidR="00F310B5" w:rsidRPr="00DE12A3">
        <w:rPr>
          <w:b w:val="0"/>
          <w:u w:val="none"/>
        </w:rPr>
        <w:t>çevrimi</w:t>
      </w:r>
      <w:r w:rsidRPr="00DE12A3">
        <w:rPr>
          <w:b w:val="0"/>
          <w:u w:val="none"/>
        </w:rPr>
        <w:t xml:space="preserve"> boyunca çalışan, % 90'dan daha düşük olmayan bir ortalama gaz enerji oranına sahip ve sadece sıvı yakıt kullanarak rölantide kalmayan ve bir sıvı yakıt modu bulunan, NRE 19 ≤ kW ≤ 560 alt kategorisine mensup iki yakıtlı bir motor (</w:t>
      </w:r>
      <w:r w:rsidR="00C62BF9" w:rsidRPr="00DE12A3">
        <w:rPr>
          <w:b w:val="0"/>
          <w:u w:val="none"/>
        </w:rPr>
        <w:t>GER</w:t>
      </w:r>
      <w:r w:rsidR="00C62BF9" w:rsidRPr="00DE12A3">
        <w:rPr>
          <w:b w:val="0"/>
          <w:u w:val="none"/>
          <w:vertAlign w:val="subscript"/>
        </w:rPr>
        <w:t>NRTC, hot</w:t>
      </w:r>
      <w:r w:rsidRPr="00DE12A3">
        <w:rPr>
          <w:b w:val="0"/>
          <w:u w:val="none"/>
          <w:vertAlign w:val="subscript"/>
        </w:rPr>
        <w:t xml:space="preserve"> </w:t>
      </w:r>
      <w:r w:rsidRPr="00DE12A3">
        <w:rPr>
          <w:b w:val="0"/>
          <w:u w:val="none"/>
        </w:rPr>
        <w:t>≥ 0,9) veya</w:t>
      </w:r>
    </w:p>
    <w:p w14:paraId="5115CD35" w14:textId="20F85BF2" w:rsidR="00CA6275" w:rsidRPr="00DE12A3" w:rsidRDefault="00CA6275" w:rsidP="0004697B">
      <w:pPr>
        <w:pStyle w:val="Annexetitreacte"/>
        <w:jc w:val="both"/>
        <w:rPr>
          <w:b w:val="0"/>
          <w:u w:val="none"/>
        </w:rPr>
      </w:pPr>
      <w:r w:rsidRPr="00DE12A3">
        <w:rPr>
          <w:b w:val="0"/>
          <w:u w:val="none"/>
        </w:rPr>
        <w:t>(b)</w:t>
      </w:r>
      <w:r w:rsidR="0004697B" w:rsidRPr="00DE12A3">
        <w:rPr>
          <w:b w:val="0"/>
          <w:u w:val="none"/>
        </w:rPr>
        <w:t xml:space="preserve"> </w:t>
      </w:r>
      <w:r w:rsidRPr="00DE12A3">
        <w:rPr>
          <w:b w:val="0"/>
          <w:u w:val="none"/>
        </w:rPr>
        <w:t>NRSC boyunca çalışan, % 90'dan daha düşük olmayan bir ortalama gaz enerji oranına sahip ve iki yakıt modunda sadece sıvı yakıt kullanarak rölantide kalmayan ve bir sıvı yakıt modu bulunan, NRE 19 ≤ kW ≤ 560 alt kategorisi dışında bir (alt) kategoriye mensup iki yakıtlı bir motor (GER</w:t>
      </w:r>
      <w:r w:rsidRPr="00DE12A3">
        <w:rPr>
          <w:b w:val="0"/>
          <w:u w:val="none"/>
          <w:vertAlign w:val="subscript"/>
        </w:rPr>
        <w:t>NRSC</w:t>
      </w:r>
      <w:r w:rsidRPr="00DE12A3">
        <w:rPr>
          <w:b w:val="0"/>
          <w:u w:val="none"/>
        </w:rPr>
        <w:t xml:space="preserve"> ≥ 0,9)</w:t>
      </w:r>
      <w:r w:rsidR="00937186" w:rsidRPr="00DE12A3">
        <w:rPr>
          <w:b w:val="0"/>
          <w:u w:val="none"/>
        </w:rPr>
        <w:t>.</w:t>
      </w:r>
    </w:p>
    <w:p w14:paraId="52D36906" w14:textId="688D1B59" w:rsidR="00D12891" w:rsidRPr="00DE12A3" w:rsidRDefault="00D12891" w:rsidP="00C917D6">
      <w:pPr>
        <w:pStyle w:val="Annexetitreacte"/>
        <w:ind w:left="1134" w:hanging="1134"/>
        <w:jc w:val="both"/>
        <w:rPr>
          <w:b w:val="0"/>
          <w:u w:val="none"/>
        </w:rPr>
      </w:pPr>
      <w:r w:rsidRPr="00DE12A3">
        <w:rPr>
          <w:b w:val="0"/>
          <w:u w:val="none"/>
        </w:rPr>
        <w:t>2.5.</w:t>
      </w:r>
      <w:r w:rsidR="0004697B" w:rsidRPr="00DE12A3">
        <w:rPr>
          <w:b w:val="0"/>
          <w:u w:val="none"/>
        </w:rPr>
        <w:t xml:space="preserve"> </w:t>
      </w:r>
      <w:r w:rsidRPr="00DE12A3">
        <w:rPr>
          <w:b w:val="0"/>
          <w:u w:val="none"/>
        </w:rPr>
        <w:t>"İki yakıtlı Tip 2A motor" aşağıdakilerden biri anlam</w:t>
      </w:r>
      <w:r w:rsidR="00937186" w:rsidRPr="00DE12A3">
        <w:rPr>
          <w:b w:val="0"/>
          <w:u w:val="none"/>
        </w:rPr>
        <w:t>ın</w:t>
      </w:r>
      <w:r w:rsidRPr="00DE12A3">
        <w:rPr>
          <w:b w:val="0"/>
          <w:u w:val="none"/>
        </w:rPr>
        <w:t xml:space="preserve">a </w:t>
      </w:r>
      <w:r w:rsidR="00773274" w:rsidRPr="00DE12A3">
        <w:rPr>
          <w:b w:val="0"/>
          <w:u w:val="none"/>
        </w:rPr>
        <w:t>gelir :</w:t>
      </w:r>
    </w:p>
    <w:p w14:paraId="1370FCB3" w14:textId="72EC14C6" w:rsidR="00D12891" w:rsidRPr="00DE12A3" w:rsidRDefault="00D12891" w:rsidP="0004697B">
      <w:pPr>
        <w:pStyle w:val="Annexetitreacte"/>
        <w:jc w:val="both"/>
        <w:rPr>
          <w:b w:val="0"/>
          <w:u w:val="none"/>
        </w:rPr>
      </w:pPr>
      <w:r w:rsidRPr="00DE12A3">
        <w:rPr>
          <w:b w:val="0"/>
          <w:u w:val="none"/>
        </w:rPr>
        <w:t>(a)</w:t>
      </w:r>
      <w:r w:rsidR="0004697B" w:rsidRPr="00DE12A3">
        <w:rPr>
          <w:b w:val="0"/>
          <w:u w:val="none"/>
        </w:rPr>
        <w:t xml:space="preserve"> </w:t>
      </w:r>
      <w:r w:rsidRPr="00DE12A3">
        <w:rPr>
          <w:b w:val="0"/>
          <w:u w:val="none"/>
        </w:rPr>
        <w:t xml:space="preserve">Ön ısıtmalı NRTC test </w:t>
      </w:r>
      <w:r w:rsidR="00F310B5" w:rsidRPr="00DE12A3">
        <w:rPr>
          <w:b w:val="0"/>
          <w:u w:val="none"/>
        </w:rPr>
        <w:t>çevrimi</w:t>
      </w:r>
      <w:r w:rsidRPr="00DE12A3">
        <w:rPr>
          <w:b w:val="0"/>
          <w:u w:val="none"/>
        </w:rPr>
        <w:t xml:space="preserve"> boyunca çalışan, % 10 ile % 90 arasında bir ortalama gaz enerji oranına sahip (0,1 &lt; </w:t>
      </w:r>
      <w:r w:rsidR="00C62BF9" w:rsidRPr="00DE12A3">
        <w:rPr>
          <w:b w:val="0"/>
          <w:u w:val="none"/>
        </w:rPr>
        <w:t>GER</w:t>
      </w:r>
      <w:r w:rsidR="00C62BF9" w:rsidRPr="00DE12A3">
        <w:rPr>
          <w:b w:val="0"/>
          <w:u w:val="none"/>
          <w:vertAlign w:val="subscript"/>
        </w:rPr>
        <w:t>NRTC, hot</w:t>
      </w:r>
      <w:r w:rsidRPr="00DE12A3">
        <w:rPr>
          <w:b w:val="0"/>
          <w:u w:val="none"/>
          <w:vertAlign w:val="subscript"/>
        </w:rPr>
        <w:t xml:space="preserve"> </w:t>
      </w:r>
      <w:r w:rsidRPr="00DE12A3">
        <w:rPr>
          <w:b w:val="0"/>
          <w:u w:val="none"/>
        </w:rPr>
        <w:t xml:space="preserve">&lt; 0,9) ve bir sıvı yakıt modu bulunmayan veya ön ısıtmalı NRTC test </w:t>
      </w:r>
      <w:r w:rsidR="00F310B5" w:rsidRPr="00DE12A3">
        <w:rPr>
          <w:b w:val="0"/>
          <w:u w:val="none"/>
        </w:rPr>
        <w:t>çevrimi</w:t>
      </w:r>
      <w:r w:rsidRPr="00DE12A3">
        <w:rPr>
          <w:b w:val="0"/>
          <w:u w:val="none"/>
        </w:rPr>
        <w:t xml:space="preserve"> boyunca çalışan, % 90'dan daha düşük olmayan bir ortalama gaz enerji oranına sahip (</w:t>
      </w:r>
      <w:r w:rsidR="00C62BF9" w:rsidRPr="00DE12A3">
        <w:rPr>
          <w:b w:val="0"/>
          <w:u w:val="none"/>
        </w:rPr>
        <w:t>GER</w:t>
      </w:r>
      <w:r w:rsidR="00C62BF9" w:rsidRPr="00DE12A3">
        <w:rPr>
          <w:b w:val="0"/>
          <w:u w:val="none"/>
          <w:vertAlign w:val="subscript"/>
        </w:rPr>
        <w:t>NRTC, hot</w:t>
      </w:r>
      <w:r w:rsidRPr="00DE12A3">
        <w:rPr>
          <w:b w:val="0"/>
          <w:u w:val="none"/>
          <w:vertAlign w:val="subscript"/>
        </w:rPr>
        <w:t xml:space="preserve"> </w:t>
      </w:r>
      <w:r w:rsidRPr="00DE12A3">
        <w:rPr>
          <w:b w:val="0"/>
          <w:u w:val="none"/>
        </w:rPr>
        <w:t xml:space="preserve">≥ 0,9), ama sadece sıvı yakıt kullanarak rölantide kalan ve bir sıvı yakıt modu bulunmayan NRE 19 ≤ kW ≤ 560 alt kategorisine mensup iki yakıtlı bir motor </w:t>
      </w:r>
      <w:r w:rsidR="00C62BF9" w:rsidRPr="00DE12A3">
        <w:rPr>
          <w:b w:val="0"/>
          <w:u w:val="none"/>
        </w:rPr>
        <w:t xml:space="preserve">veya </w:t>
      </w:r>
    </w:p>
    <w:p w14:paraId="709B199E" w14:textId="3F48D08C" w:rsidR="00D12891" w:rsidRPr="00DE12A3" w:rsidRDefault="00D12891" w:rsidP="0004697B">
      <w:pPr>
        <w:pStyle w:val="Annexetitreacte"/>
        <w:jc w:val="both"/>
        <w:rPr>
          <w:b w:val="0"/>
          <w:u w:val="none"/>
        </w:rPr>
      </w:pPr>
      <w:r w:rsidRPr="00DE12A3">
        <w:rPr>
          <w:b w:val="0"/>
          <w:u w:val="none"/>
        </w:rPr>
        <w:lastRenderedPageBreak/>
        <w:t>(b)</w:t>
      </w:r>
      <w:r w:rsidRPr="00DE12A3">
        <w:rPr>
          <w:b w:val="0"/>
          <w:u w:val="none"/>
        </w:rPr>
        <w:tab/>
        <w:t>NRSC boyunca çalışan, % 10 ile % 90 arasında bir ortalama gaz enerji oranına sahip (0,1 &lt; GER</w:t>
      </w:r>
      <w:r w:rsidRPr="00DE12A3">
        <w:rPr>
          <w:b w:val="0"/>
          <w:u w:val="none"/>
          <w:vertAlign w:val="subscript"/>
        </w:rPr>
        <w:t>NRSC</w:t>
      </w:r>
      <w:r w:rsidRPr="00DE12A3">
        <w:rPr>
          <w:b w:val="0"/>
          <w:u w:val="none"/>
        </w:rPr>
        <w:t xml:space="preserve"> &lt; 0,9) ve bir sıvı yakıt modu bulunmayan veya NRSC boyunca çalışan, % 90'dan daha düşük olmayan bir ortalama gaz enerji oranına sahip (GER</w:t>
      </w:r>
      <w:r w:rsidRPr="00DE12A3">
        <w:rPr>
          <w:b w:val="0"/>
          <w:u w:val="none"/>
          <w:vertAlign w:val="subscript"/>
        </w:rPr>
        <w:t>NRSC</w:t>
      </w:r>
      <w:r w:rsidRPr="00DE12A3">
        <w:rPr>
          <w:b w:val="0"/>
          <w:u w:val="none"/>
        </w:rPr>
        <w:t xml:space="preserve"> ≥ 0,9), ama sadece sıvı yakıt kullanarak rölantide kalan ve bir sıvı yakıt modu bulunmayan NRE 19 ≤ kW ≤ 560 alt kategorisi dışında bir (alt) kategoriye mensup iki yakıtlı bir motor </w:t>
      </w:r>
      <w:r w:rsidR="00E525A6" w:rsidRPr="00DE12A3">
        <w:rPr>
          <w:b w:val="0"/>
          <w:u w:val="none"/>
        </w:rPr>
        <w:t>.</w:t>
      </w:r>
    </w:p>
    <w:p w14:paraId="0932C441" w14:textId="1EDA7472" w:rsidR="00D12891" w:rsidRPr="00DE12A3" w:rsidRDefault="00D12891" w:rsidP="00C917D6">
      <w:pPr>
        <w:pStyle w:val="Annexetitreacte"/>
        <w:ind w:left="1134" w:hanging="1134"/>
        <w:jc w:val="both"/>
        <w:rPr>
          <w:b w:val="0"/>
          <w:u w:val="none"/>
        </w:rPr>
      </w:pPr>
      <w:r w:rsidRPr="00DE12A3">
        <w:rPr>
          <w:b w:val="0"/>
          <w:u w:val="none"/>
        </w:rPr>
        <w:t>2.6.</w:t>
      </w:r>
      <w:r w:rsidR="00B8495C" w:rsidRPr="00DE12A3">
        <w:rPr>
          <w:b w:val="0"/>
          <w:u w:val="none"/>
        </w:rPr>
        <w:t xml:space="preserve"> </w:t>
      </w:r>
      <w:r w:rsidRPr="00DE12A3">
        <w:rPr>
          <w:b w:val="0"/>
          <w:u w:val="none"/>
        </w:rPr>
        <w:t>"İki yakıtlı Tip 2B motor" aşağıdakilerden biri anlam</w:t>
      </w:r>
      <w:r w:rsidR="00937186" w:rsidRPr="00DE12A3">
        <w:rPr>
          <w:b w:val="0"/>
          <w:u w:val="none"/>
        </w:rPr>
        <w:t>ın</w:t>
      </w:r>
      <w:r w:rsidRPr="00DE12A3">
        <w:rPr>
          <w:b w:val="0"/>
          <w:u w:val="none"/>
        </w:rPr>
        <w:t xml:space="preserve">a </w:t>
      </w:r>
      <w:r w:rsidR="00C62BF9" w:rsidRPr="00DE12A3">
        <w:rPr>
          <w:b w:val="0"/>
          <w:u w:val="none"/>
        </w:rPr>
        <w:t>gelir :</w:t>
      </w:r>
    </w:p>
    <w:p w14:paraId="7B9F9CD8" w14:textId="67756239" w:rsidR="00D12891" w:rsidRPr="00DE12A3" w:rsidRDefault="00D12891" w:rsidP="00B8495C">
      <w:pPr>
        <w:pStyle w:val="Annexetitreacte"/>
        <w:jc w:val="both"/>
        <w:rPr>
          <w:b w:val="0"/>
          <w:u w:val="none"/>
        </w:rPr>
      </w:pPr>
      <w:r w:rsidRPr="00DE12A3">
        <w:rPr>
          <w:b w:val="0"/>
          <w:u w:val="none"/>
        </w:rPr>
        <w:t>(a)</w:t>
      </w:r>
      <w:r w:rsidR="00B8495C" w:rsidRPr="00DE12A3">
        <w:rPr>
          <w:b w:val="0"/>
          <w:u w:val="none"/>
        </w:rPr>
        <w:t xml:space="preserve"> </w:t>
      </w:r>
      <w:r w:rsidRPr="00DE12A3">
        <w:rPr>
          <w:b w:val="0"/>
          <w:u w:val="none"/>
        </w:rPr>
        <w:t xml:space="preserve">Ön ısıtmalı NRTC test </w:t>
      </w:r>
      <w:r w:rsidR="00F310B5" w:rsidRPr="00DE12A3">
        <w:rPr>
          <w:b w:val="0"/>
          <w:u w:val="none"/>
        </w:rPr>
        <w:t>çevrimi</w:t>
      </w:r>
      <w:r w:rsidRPr="00DE12A3">
        <w:rPr>
          <w:b w:val="0"/>
          <w:u w:val="none"/>
        </w:rPr>
        <w:t xml:space="preserve"> boyunca çalışan, % 10 ile % 90 arasında bir ortalama gaz enerji oranına sahip (0,1 &lt; </w:t>
      </w:r>
      <w:r w:rsidR="00C62BF9" w:rsidRPr="00DE12A3">
        <w:rPr>
          <w:b w:val="0"/>
          <w:u w:val="none"/>
        </w:rPr>
        <w:t>GER</w:t>
      </w:r>
      <w:r w:rsidR="00C62BF9" w:rsidRPr="00DE12A3">
        <w:rPr>
          <w:b w:val="0"/>
          <w:u w:val="none"/>
          <w:vertAlign w:val="subscript"/>
        </w:rPr>
        <w:t>NRTC, hot</w:t>
      </w:r>
      <w:r w:rsidRPr="00DE12A3">
        <w:rPr>
          <w:b w:val="0"/>
          <w:u w:val="none"/>
          <w:vertAlign w:val="subscript"/>
        </w:rPr>
        <w:t xml:space="preserve"> </w:t>
      </w:r>
      <w:r w:rsidRPr="00DE12A3">
        <w:rPr>
          <w:b w:val="0"/>
          <w:u w:val="none"/>
        </w:rPr>
        <w:t xml:space="preserve">&lt; 0,9) ve bir sıvı yakıt modu bulunan veya ön ısıtmalı NRTC test </w:t>
      </w:r>
      <w:r w:rsidR="00F310B5" w:rsidRPr="00DE12A3">
        <w:rPr>
          <w:b w:val="0"/>
          <w:u w:val="none"/>
        </w:rPr>
        <w:t>çevrimi</w:t>
      </w:r>
      <w:r w:rsidRPr="00DE12A3">
        <w:rPr>
          <w:b w:val="0"/>
          <w:u w:val="none"/>
        </w:rPr>
        <w:t xml:space="preserve"> boyunca çalışan, % 90'dan daha düşük olmayan bir ortalama gaz enerji oranına sahip (</w:t>
      </w:r>
      <w:r w:rsidR="00773274" w:rsidRPr="00DE12A3">
        <w:rPr>
          <w:b w:val="0"/>
          <w:u w:val="none"/>
        </w:rPr>
        <w:t>GER</w:t>
      </w:r>
      <w:r w:rsidR="00773274" w:rsidRPr="00DE12A3">
        <w:rPr>
          <w:b w:val="0"/>
          <w:u w:val="none"/>
          <w:vertAlign w:val="subscript"/>
        </w:rPr>
        <w:t>NRTC,</w:t>
      </w:r>
      <w:r w:rsidR="00773274" w:rsidRPr="00DE12A3">
        <w:rPr>
          <w:b w:val="0"/>
          <w:u w:val="none"/>
        </w:rPr>
        <w:t xml:space="preserve"> </w:t>
      </w:r>
      <w:r w:rsidR="00773274" w:rsidRPr="00DE12A3">
        <w:rPr>
          <w:b w:val="0"/>
          <w:u w:val="none"/>
          <w:vertAlign w:val="subscript"/>
        </w:rPr>
        <w:t>hot</w:t>
      </w:r>
      <w:r w:rsidRPr="00DE12A3">
        <w:rPr>
          <w:b w:val="0"/>
          <w:u w:val="none"/>
        </w:rPr>
        <w:t xml:space="preserve"> ≥ 0,9), ve bir sıvı yakıt modu bulunan ama iki yakıt modunda sadece sıvı yakıt kullanarak rölantide kalabilen NRE 19 ≤ kW ≤ 560 alt kategorisine mensup iki yakıtlı bir motor </w:t>
      </w:r>
      <w:r w:rsidR="00773274" w:rsidRPr="00DE12A3">
        <w:rPr>
          <w:b w:val="0"/>
          <w:u w:val="none"/>
        </w:rPr>
        <w:t xml:space="preserve">veya </w:t>
      </w:r>
    </w:p>
    <w:p w14:paraId="35510341" w14:textId="0E1FBBA1" w:rsidR="00D12891" w:rsidRPr="00DE12A3" w:rsidRDefault="00D12891" w:rsidP="00B8495C">
      <w:pPr>
        <w:pStyle w:val="Annexetitreacte"/>
        <w:jc w:val="both"/>
        <w:rPr>
          <w:b w:val="0"/>
          <w:u w:val="none"/>
        </w:rPr>
      </w:pPr>
      <w:r w:rsidRPr="00DE12A3">
        <w:rPr>
          <w:b w:val="0"/>
          <w:u w:val="none"/>
        </w:rPr>
        <w:t>(b)</w:t>
      </w:r>
      <w:r w:rsidR="00B8495C" w:rsidRPr="00DE12A3">
        <w:rPr>
          <w:b w:val="0"/>
          <w:u w:val="none"/>
        </w:rPr>
        <w:t xml:space="preserve"> </w:t>
      </w:r>
      <w:r w:rsidRPr="00DE12A3">
        <w:rPr>
          <w:b w:val="0"/>
          <w:u w:val="none"/>
        </w:rPr>
        <w:t>NRSC boyunca çalışan, % 10 ile % 90 arasında bir ortalama gaz enerji oranına sahip (0,1 &lt; GER</w:t>
      </w:r>
      <w:r w:rsidRPr="00DE12A3">
        <w:rPr>
          <w:b w:val="0"/>
          <w:u w:val="none"/>
          <w:vertAlign w:val="subscript"/>
        </w:rPr>
        <w:t>NRSC</w:t>
      </w:r>
      <w:r w:rsidRPr="00DE12A3">
        <w:rPr>
          <w:b w:val="0"/>
          <w:u w:val="none"/>
        </w:rPr>
        <w:t xml:space="preserve"> &lt; 0,9) ve bir sıvı yakıt modu bulunmayan veya NRSC boyunca çalışan, % 90'dan daha düşük olmayan bir ortalama gaz enerji oranına sahip (GER</w:t>
      </w:r>
      <w:r w:rsidRPr="00DE12A3">
        <w:rPr>
          <w:b w:val="0"/>
          <w:u w:val="none"/>
          <w:vertAlign w:val="subscript"/>
        </w:rPr>
        <w:t>NRSC</w:t>
      </w:r>
      <w:r w:rsidRPr="00DE12A3">
        <w:rPr>
          <w:b w:val="0"/>
          <w:u w:val="none"/>
        </w:rPr>
        <w:t xml:space="preserve"> ≥ 0,9), ama sadece sıvı yakıt kullanarak rölantide kalabilen ve bir sıvı yakıt modu bulunmayan NRE 19 ≤ kW ≤ 560 alt kategorisi dışında herhangi bir (alt) kategoriye mensup iki yakıtlı bir motor </w:t>
      </w:r>
      <w:r w:rsidR="00C62BF9" w:rsidRPr="00DE12A3">
        <w:rPr>
          <w:b w:val="0"/>
          <w:u w:val="none"/>
        </w:rPr>
        <w:t>veya ;</w:t>
      </w:r>
    </w:p>
    <w:p w14:paraId="7FF6A6F5" w14:textId="3DB1EB64" w:rsidR="00D12891" w:rsidRPr="00DE12A3" w:rsidRDefault="00D12891" w:rsidP="00C917D6">
      <w:pPr>
        <w:pStyle w:val="Annexetitreacte"/>
        <w:ind w:left="1134" w:hanging="1134"/>
        <w:jc w:val="both"/>
        <w:rPr>
          <w:b w:val="0"/>
          <w:u w:val="none"/>
        </w:rPr>
      </w:pPr>
      <w:r w:rsidRPr="00DE12A3">
        <w:rPr>
          <w:b w:val="0"/>
          <w:u w:val="none"/>
        </w:rPr>
        <w:t>2.7.</w:t>
      </w:r>
      <w:r w:rsidR="00B8495C" w:rsidRPr="00DE12A3">
        <w:rPr>
          <w:b w:val="0"/>
          <w:u w:val="none"/>
        </w:rPr>
        <w:t xml:space="preserve"> </w:t>
      </w:r>
      <w:r w:rsidRPr="00DE12A3">
        <w:rPr>
          <w:b w:val="0"/>
          <w:u w:val="none"/>
        </w:rPr>
        <w:t>"İki yakıtlı Tip 3B motor" aşağıdakilerden biri anlam</w:t>
      </w:r>
      <w:r w:rsidR="00937186" w:rsidRPr="00DE12A3">
        <w:rPr>
          <w:b w:val="0"/>
          <w:u w:val="none"/>
        </w:rPr>
        <w:t>ın</w:t>
      </w:r>
      <w:r w:rsidRPr="00DE12A3">
        <w:rPr>
          <w:b w:val="0"/>
          <w:u w:val="none"/>
        </w:rPr>
        <w:t xml:space="preserve">a </w:t>
      </w:r>
      <w:r w:rsidR="00C62BF9" w:rsidRPr="00DE12A3">
        <w:rPr>
          <w:b w:val="0"/>
          <w:u w:val="none"/>
        </w:rPr>
        <w:t>gelir :</w:t>
      </w:r>
    </w:p>
    <w:p w14:paraId="346FF6BF" w14:textId="1D461CF8" w:rsidR="00D12891" w:rsidRPr="00DE12A3" w:rsidRDefault="00D12891" w:rsidP="00B8495C">
      <w:pPr>
        <w:pStyle w:val="Annexetitreacte"/>
        <w:jc w:val="both"/>
        <w:rPr>
          <w:b w:val="0"/>
          <w:u w:val="none"/>
        </w:rPr>
      </w:pPr>
      <w:r w:rsidRPr="00DE12A3">
        <w:rPr>
          <w:b w:val="0"/>
          <w:u w:val="none"/>
        </w:rPr>
        <w:t>(a)</w:t>
      </w:r>
      <w:r w:rsidR="00B8495C" w:rsidRPr="00DE12A3">
        <w:rPr>
          <w:b w:val="0"/>
          <w:u w:val="none"/>
        </w:rPr>
        <w:t xml:space="preserve"> </w:t>
      </w:r>
      <w:r w:rsidRPr="00DE12A3">
        <w:rPr>
          <w:b w:val="0"/>
          <w:u w:val="none"/>
        </w:rPr>
        <w:t xml:space="preserve">Ön ısıtmalı NRTC test </w:t>
      </w:r>
      <w:r w:rsidR="00F310B5" w:rsidRPr="00DE12A3">
        <w:rPr>
          <w:b w:val="0"/>
          <w:u w:val="none"/>
        </w:rPr>
        <w:t>çevrimi</w:t>
      </w:r>
      <w:r w:rsidRPr="00DE12A3">
        <w:rPr>
          <w:b w:val="0"/>
          <w:u w:val="none"/>
        </w:rPr>
        <w:t xml:space="preserve"> boyunca çalışan, % 10'u aşmayan bir ortalama gaz enerji oranına sahip ve bir sıvı yakıt modu bulunan, NRE 19 ≤ kW ≤ 560 alt kategorisine mensup iki yakıtlı bir motor (</w:t>
      </w:r>
      <w:r w:rsidR="00C62BF9" w:rsidRPr="00DE12A3">
        <w:rPr>
          <w:b w:val="0"/>
          <w:u w:val="none"/>
        </w:rPr>
        <w:t>GER</w:t>
      </w:r>
      <w:r w:rsidR="00C62BF9" w:rsidRPr="00DE12A3">
        <w:rPr>
          <w:b w:val="0"/>
          <w:u w:val="none"/>
          <w:vertAlign w:val="subscript"/>
        </w:rPr>
        <w:t>NRTC, hot</w:t>
      </w:r>
      <w:r w:rsidRPr="00DE12A3">
        <w:rPr>
          <w:b w:val="0"/>
          <w:u w:val="none"/>
          <w:vertAlign w:val="subscript"/>
        </w:rPr>
        <w:t xml:space="preserve"> </w:t>
      </w:r>
      <w:r w:rsidRPr="00DE12A3">
        <w:rPr>
          <w:b w:val="0"/>
          <w:u w:val="none"/>
        </w:rPr>
        <w:t xml:space="preserve">≤ 0,1) </w:t>
      </w:r>
      <w:r w:rsidR="00773274" w:rsidRPr="00DE12A3">
        <w:rPr>
          <w:b w:val="0"/>
          <w:u w:val="none"/>
        </w:rPr>
        <w:t xml:space="preserve">veya </w:t>
      </w:r>
    </w:p>
    <w:p w14:paraId="4659CD09" w14:textId="25D21E07" w:rsidR="00D12891" w:rsidRPr="00DE12A3" w:rsidRDefault="00D12891" w:rsidP="00B8495C">
      <w:pPr>
        <w:pStyle w:val="Annexetitreacte"/>
        <w:jc w:val="both"/>
        <w:rPr>
          <w:b w:val="0"/>
          <w:u w:val="none"/>
        </w:rPr>
      </w:pPr>
      <w:r w:rsidRPr="00DE12A3">
        <w:rPr>
          <w:b w:val="0"/>
          <w:u w:val="none"/>
        </w:rPr>
        <w:t>(b)</w:t>
      </w:r>
      <w:r w:rsidR="00B8495C" w:rsidRPr="00DE12A3">
        <w:rPr>
          <w:b w:val="0"/>
          <w:u w:val="none"/>
        </w:rPr>
        <w:t xml:space="preserve"> </w:t>
      </w:r>
      <w:r w:rsidRPr="00DE12A3">
        <w:rPr>
          <w:b w:val="0"/>
          <w:u w:val="none"/>
        </w:rPr>
        <w:t>NRSC boyunca çalışan ve % 10'u aşmayan bir ortalama gaz enerji oranına sahip ve bir sıvı-yakıt modu bulunan, NRE 19 ≤ kW ≤ 560'ın alt kategorisi dışındaki herhangi bir (alt) kategoriye mensup iki yakıtlı motor (GER</w:t>
      </w:r>
      <w:r w:rsidRPr="00DE12A3">
        <w:rPr>
          <w:b w:val="0"/>
          <w:u w:val="none"/>
          <w:vertAlign w:val="subscript"/>
        </w:rPr>
        <w:t>NRSC</w:t>
      </w:r>
      <w:r w:rsidRPr="00DE12A3">
        <w:rPr>
          <w:b w:val="0"/>
          <w:u w:val="none"/>
        </w:rPr>
        <w:t xml:space="preserve"> ≤ 0,1)</w:t>
      </w:r>
      <w:r w:rsidR="00937186" w:rsidRPr="00DE12A3">
        <w:rPr>
          <w:b w:val="0"/>
          <w:u w:val="none"/>
        </w:rPr>
        <w:t>.</w:t>
      </w:r>
    </w:p>
    <w:p w14:paraId="7E1BAF54" w14:textId="4CBF9167" w:rsidR="00D12891" w:rsidRPr="00DE12A3" w:rsidRDefault="00D12891" w:rsidP="00C917D6">
      <w:pPr>
        <w:pStyle w:val="Annexetitreacte"/>
        <w:ind w:left="1134" w:hanging="1134"/>
        <w:jc w:val="both"/>
        <w:rPr>
          <w:b w:val="0"/>
          <w:u w:val="none"/>
        </w:rPr>
      </w:pPr>
      <w:r w:rsidRPr="00DE12A3">
        <w:rPr>
          <w:bCs w:val="0"/>
          <w:u w:val="none"/>
        </w:rPr>
        <w:t>3.</w:t>
      </w:r>
      <w:r w:rsidR="00B8495C" w:rsidRPr="00DE12A3">
        <w:rPr>
          <w:bCs w:val="0"/>
          <w:u w:val="none"/>
        </w:rPr>
        <w:t xml:space="preserve"> </w:t>
      </w:r>
      <w:r w:rsidRPr="00DE12A3">
        <w:rPr>
          <w:u w:val="none"/>
        </w:rPr>
        <w:t xml:space="preserve">İki yakıta özgü ilave onay </w:t>
      </w:r>
      <w:r w:rsidR="0053289F" w:rsidRPr="00DE12A3">
        <w:rPr>
          <w:u w:val="none"/>
        </w:rPr>
        <w:t>gereklilikleri</w:t>
      </w:r>
    </w:p>
    <w:p w14:paraId="07221A49" w14:textId="05D17D5A" w:rsidR="00D12891" w:rsidRPr="00DE12A3" w:rsidRDefault="00D12891" w:rsidP="00C917D6">
      <w:pPr>
        <w:pStyle w:val="Annexetitreacte"/>
        <w:ind w:left="1134" w:hanging="1134"/>
        <w:jc w:val="both"/>
        <w:rPr>
          <w:b w:val="0"/>
          <w:bCs w:val="0"/>
          <w:u w:val="none"/>
        </w:rPr>
      </w:pPr>
      <w:r w:rsidRPr="00DE12A3">
        <w:rPr>
          <w:b w:val="0"/>
          <w:bCs w:val="0"/>
          <w:u w:val="none"/>
        </w:rPr>
        <w:t>3.1.</w:t>
      </w:r>
      <w:r w:rsidR="00B8495C" w:rsidRPr="00DE12A3">
        <w:rPr>
          <w:b w:val="0"/>
          <w:bCs w:val="0"/>
          <w:u w:val="none"/>
        </w:rPr>
        <w:t xml:space="preserve"> </w:t>
      </w:r>
      <w:r w:rsidRPr="00DE12A3">
        <w:rPr>
          <w:b w:val="0"/>
          <w:bCs w:val="0"/>
          <w:u w:val="none"/>
        </w:rPr>
        <w:t>Operatör kontrollü GER</w:t>
      </w:r>
      <w:r w:rsidR="00F310B5" w:rsidRPr="00DE12A3">
        <w:rPr>
          <w:b w:val="0"/>
          <w:bCs w:val="0"/>
          <w:u w:val="none"/>
          <w:vertAlign w:val="subscript"/>
        </w:rPr>
        <w:t>çevrim</w:t>
      </w:r>
      <w:r w:rsidRPr="00DE12A3">
        <w:rPr>
          <w:b w:val="0"/>
          <w:bCs w:val="0"/>
          <w:u w:val="none"/>
        </w:rPr>
        <w:t xml:space="preserve"> bulunan motorlar.</w:t>
      </w:r>
    </w:p>
    <w:p w14:paraId="4257243B" w14:textId="50C29AF8" w:rsidR="00CA6275" w:rsidRPr="00DE12A3" w:rsidRDefault="00D12891" w:rsidP="00B8495C">
      <w:pPr>
        <w:pStyle w:val="Annexetitreacte"/>
        <w:jc w:val="both"/>
        <w:rPr>
          <w:b w:val="0"/>
          <w:u w:val="none"/>
        </w:rPr>
      </w:pPr>
      <w:r w:rsidRPr="00DE12A3">
        <w:rPr>
          <w:b w:val="0"/>
          <w:u w:val="none"/>
        </w:rPr>
        <w:t>Belirli bir motor tipi için, GER</w:t>
      </w:r>
      <w:r w:rsidR="00F310B5" w:rsidRPr="00DE12A3">
        <w:rPr>
          <w:b w:val="0"/>
          <w:u w:val="none"/>
          <w:vertAlign w:val="subscript"/>
        </w:rPr>
        <w:t>çevrim</w:t>
      </w:r>
      <w:r w:rsidRPr="00DE12A3">
        <w:rPr>
          <w:b w:val="0"/>
          <w:u w:val="none"/>
          <w:vertAlign w:val="subscript"/>
        </w:rPr>
        <w:t xml:space="preserve"> </w:t>
      </w:r>
      <w:r w:rsidRPr="00DE12A3">
        <w:rPr>
          <w:b w:val="0"/>
          <w:u w:val="none"/>
        </w:rPr>
        <w:t>değeri operatör tarafından ayarlanabilen bir kontrolle azami değerden düşürülebilir, asgari GER</w:t>
      </w:r>
      <w:r w:rsidR="00F310B5" w:rsidRPr="00DE12A3">
        <w:rPr>
          <w:b w:val="0"/>
          <w:u w:val="none"/>
          <w:vertAlign w:val="subscript"/>
        </w:rPr>
        <w:t>çevrim</w:t>
      </w:r>
      <w:r w:rsidRPr="00DE12A3">
        <w:rPr>
          <w:b w:val="0"/>
          <w:u w:val="none"/>
        </w:rPr>
        <w:t xml:space="preserve"> sınırlı değildir ancak motor, imalatçı tarafından izin verilen GER</w:t>
      </w:r>
      <w:r w:rsidR="00F310B5" w:rsidRPr="00DE12A3">
        <w:rPr>
          <w:b w:val="0"/>
          <w:u w:val="none"/>
          <w:vertAlign w:val="subscript"/>
        </w:rPr>
        <w:t>çevrim</w:t>
      </w:r>
      <w:r w:rsidRPr="00DE12A3">
        <w:rPr>
          <w:b w:val="0"/>
          <w:u w:val="none"/>
          <w:vertAlign w:val="subscript"/>
        </w:rPr>
        <w:t xml:space="preserve"> </w:t>
      </w:r>
      <w:r w:rsidRPr="00DE12A3">
        <w:rPr>
          <w:b w:val="0"/>
          <w:u w:val="none"/>
        </w:rPr>
        <w:t>değerinde emisyon sınır değerlerini sağlayabilecek kapasitede olmalıdır.</w:t>
      </w:r>
    </w:p>
    <w:p w14:paraId="32E0681B" w14:textId="642239CB" w:rsidR="00D12891" w:rsidRPr="00DE12A3" w:rsidRDefault="00D12891" w:rsidP="00C917D6">
      <w:pPr>
        <w:pStyle w:val="Point0"/>
        <w:ind w:left="1134" w:hanging="1134"/>
        <w:rPr>
          <w:b/>
        </w:rPr>
      </w:pPr>
      <w:r w:rsidRPr="00DE12A3">
        <w:rPr>
          <w:b/>
          <w:bCs/>
        </w:rPr>
        <w:t>4.</w:t>
      </w:r>
      <w:r w:rsidR="00B8495C" w:rsidRPr="00DE12A3">
        <w:rPr>
          <w:b/>
          <w:bCs/>
        </w:rPr>
        <w:t xml:space="preserve"> </w:t>
      </w:r>
      <w:r w:rsidRPr="00DE12A3">
        <w:rPr>
          <w:b/>
        </w:rPr>
        <w:t>Genel şartlar</w:t>
      </w:r>
    </w:p>
    <w:p w14:paraId="6606B523" w14:textId="55684079" w:rsidR="00D12891" w:rsidRPr="00DE12A3" w:rsidRDefault="00D12891" w:rsidP="00C917D6">
      <w:pPr>
        <w:pStyle w:val="Point0"/>
        <w:ind w:left="1134" w:hanging="1134"/>
        <w:rPr>
          <w:bCs/>
        </w:rPr>
      </w:pPr>
      <w:r w:rsidRPr="00DE12A3">
        <w:rPr>
          <w:bCs/>
        </w:rPr>
        <w:t>4.1.</w:t>
      </w:r>
      <w:r w:rsidR="00B8495C" w:rsidRPr="00DE12A3">
        <w:rPr>
          <w:bCs/>
        </w:rPr>
        <w:t xml:space="preserve"> </w:t>
      </w:r>
      <w:r w:rsidRPr="00DE12A3">
        <w:rPr>
          <w:bCs/>
        </w:rPr>
        <w:t>İki yakıtlı motorların çalışma modları</w:t>
      </w:r>
    </w:p>
    <w:p w14:paraId="2A5FFE0C" w14:textId="5915C140" w:rsidR="00D12891" w:rsidRPr="00DE12A3" w:rsidRDefault="00D12891" w:rsidP="00C917D6">
      <w:pPr>
        <w:pStyle w:val="Point0"/>
        <w:ind w:left="1134" w:hanging="1134"/>
        <w:rPr>
          <w:bCs/>
        </w:rPr>
      </w:pPr>
      <w:r w:rsidRPr="00DE12A3">
        <w:rPr>
          <w:bCs/>
        </w:rPr>
        <w:t>4.1.1.</w:t>
      </w:r>
      <w:r w:rsidR="00B8495C" w:rsidRPr="00DE12A3">
        <w:rPr>
          <w:bCs/>
        </w:rPr>
        <w:t xml:space="preserve"> </w:t>
      </w:r>
      <w:r w:rsidRPr="00DE12A3">
        <w:rPr>
          <w:bCs/>
        </w:rPr>
        <w:t>İki yakıtlı bir motorun sıvı modunda çalışmasına ilişkin koşullar</w:t>
      </w:r>
    </w:p>
    <w:p w14:paraId="3FA1CF47" w14:textId="08D6B469" w:rsidR="00D12891" w:rsidRPr="00DE12A3" w:rsidRDefault="00D12891" w:rsidP="00B8495C">
      <w:pPr>
        <w:pStyle w:val="Point0"/>
        <w:ind w:left="0" w:firstLine="0"/>
      </w:pPr>
      <w:r w:rsidRPr="00DE12A3">
        <w:t>İki yakıtlı bir motor, sıvı yakıt modunda çalışırken bu Tebliğ</w:t>
      </w:r>
      <w:r w:rsidR="00C62BF9" w:rsidRPr="00DE12A3">
        <w:t>in</w:t>
      </w:r>
      <w:r w:rsidRPr="00DE12A3">
        <w:t xml:space="preserve"> sadece belirtilen sıvı yakıtla çalışma ile ilgili tüm </w:t>
      </w:r>
      <w:r w:rsidR="0053289F" w:rsidRPr="00DE12A3">
        <w:t>gereklilikleri</w:t>
      </w:r>
      <w:r w:rsidRPr="00DE12A3">
        <w:t xml:space="preserve"> uyarınca onaylanmışsa sadece sıvı yakıt modunda çalışabilir.</w:t>
      </w:r>
    </w:p>
    <w:p w14:paraId="3D99A41F" w14:textId="46ABC43E" w:rsidR="00D12891" w:rsidRPr="00DE12A3" w:rsidRDefault="00D12891" w:rsidP="00B8495C">
      <w:pPr>
        <w:pStyle w:val="Point0"/>
        <w:ind w:left="0" w:firstLine="0"/>
      </w:pPr>
      <w:r w:rsidRPr="00DE12A3">
        <w:t>Halihazırda onaylı bir sıvı yakıtlı motordan iki yakıtlı bir motor geliştirildiğinde, sıvı yakıt modunda yeni bir AB tip onayı sertifikası gerekir.</w:t>
      </w:r>
    </w:p>
    <w:p w14:paraId="4A39FE1F" w14:textId="75E56CBD" w:rsidR="00D12891" w:rsidRPr="00DE12A3" w:rsidRDefault="00D12891" w:rsidP="00C917D6">
      <w:pPr>
        <w:pStyle w:val="Point0"/>
        <w:ind w:left="1134" w:hanging="1134"/>
      </w:pPr>
      <w:r w:rsidRPr="00DE12A3">
        <w:t>4.1.2.</w:t>
      </w:r>
      <w:r w:rsidR="00B8495C" w:rsidRPr="00DE12A3">
        <w:t xml:space="preserve"> </w:t>
      </w:r>
      <w:r w:rsidRPr="00DE12A3">
        <w:t>İki yakıtlı bir motorun sadece sıvı yakıt kullanarak rölantide çalışmasına ilişkin koşullar</w:t>
      </w:r>
    </w:p>
    <w:p w14:paraId="2DD6C254" w14:textId="22401A57" w:rsidR="00D12891" w:rsidRPr="00DE12A3" w:rsidRDefault="00D12891" w:rsidP="00B8495C">
      <w:pPr>
        <w:pStyle w:val="Point0"/>
        <w:ind w:left="0" w:firstLine="0"/>
      </w:pPr>
      <w:r w:rsidRPr="00DE12A3">
        <w:t>4.1.2.1.</w:t>
      </w:r>
      <w:r w:rsidR="00B8495C" w:rsidRPr="00DE12A3">
        <w:t xml:space="preserve"> </w:t>
      </w:r>
      <w:r w:rsidRPr="00DE12A3">
        <w:t>İki yakıtlı Tip 1A motorlar, 4.1.3 bendinde ısıtma ve çalıştırma için tanımlanan koşullar haricinde sadece sıvı yakıt kullanarak rölantide çalışmaz.</w:t>
      </w:r>
    </w:p>
    <w:p w14:paraId="22E9ECE8" w14:textId="6650E405" w:rsidR="00D12891" w:rsidRPr="00DE12A3" w:rsidRDefault="00D12891" w:rsidP="00B8495C">
      <w:pPr>
        <w:pStyle w:val="Point0"/>
        <w:ind w:left="0" w:firstLine="0"/>
      </w:pPr>
      <w:r w:rsidRPr="00DE12A3">
        <w:t>4.1.2.2.</w:t>
      </w:r>
      <w:r w:rsidR="00B8495C" w:rsidRPr="00DE12A3">
        <w:t xml:space="preserve"> </w:t>
      </w:r>
      <w:r w:rsidRPr="00DE12A3">
        <w:t>İki yakıtlı Tip 1B motorlar, iki yakıt modunda sadece sıvı yakıt kullanarak rölantide çalışmaz.</w:t>
      </w:r>
    </w:p>
    <w:p w14:paraId="03323256" w14:textId="1EBD4B08" w:rsidR="00D12891" w:rsidRPr="00DE12A3" w:rsidRDefault="00D12891" w:rsidP="00B8495C">
      <w:pPr>
        <w:pStyle w:val="Point0"/>
        <w:ind w:left="0" w:firstLine="0"/>
      </w:pPr>
      <w:r w:rsidRPr="00DE12A3">
        <w:t>4.1.2.3.</w:t>
      </w:r>
      <w:r w:rsidR="00B8495C" w:rsidRPr="00DE12A3">
        <w:t xml:space="preserve"> </w:t>
      </w:r>
      <w:r w:rsidRPr="00DE12A3">
        <w:t>İki yakıtlı Tip 2A, 2B ve 3B motorlar, sadece sıvı yakıt kullanarak rölantide çalışabilir.</w:t>
      </w:r>
    </w:p>
    <w:p w14:paraId="37C1CD9B" w14:textId="3F63FD4F" w:rsidR="00D12891" w:rsidRPr="00DE12A3" w:rsidRDefault="00D12891" w:rsidP="00B8495C">
      <w:pPr>
        <w:pStyle w:val="Point0"/>
        <w:ind w:left="0" w:firstLine="0"/>
        <w:rPr>
          <w:bCs/>
        </w:rPr>
      </w:pPr>
      <w:r w:rsidRPr="00DE12A3">
        <w:rPr>
          <w:bCs/>
        </w:rPr>
        <w:t>4.1.3.</w:t>
      </w:r>
      <w:r w:rsidR="00B8495C" w:rsidRPr="00DE12A3">
        <w:rPr>
          <w:bCs/>
        </w:rPr>
        <w:t xml:space="preserve"> </w:t>
      </w:r>
      <w:r w:rsidRPr="00DE12A3">
        <w:rPr>
          <w:bCs/>
        </w:rPr>
        <w:t>İki yakıtlı bir motorun sadece sıvı yakıt kullanarak ısınmasına veya çalıştırılmasına ilişkin koşullar</w:t>
      </w:r>
    </w:p>
    <w:p w14:paraId="20F98E47" w14:textId="2FD3C6A9" w:rsidR="00D12891" w:rsidRPr="00DE12A3" w:rsidRDefault="00D12891" w:rsidP="00B8495C">
      <w:pPr>
        <w:pStyle w:val="Point0"/>
        <w:ind w:left="0" w:firstLine="0"/>
      </w:pPr>
      <w:r w:rsidRPr="00DE12A3">
        <w:lastRenderedPageBreak/>
        <w:t>4.1.3.1.</w:t>
      </w:r>
      <w:r w:rsidR="00B8495C" w:rsidRPr="00DE12A3">
        <w:t xml:space="preserve"> </w:t>
      </w:r>
      <w:r w:rsidRPr="00DE12A3">
        <w:t xml:space="preserve">Tip 1B, Tip 2B veya Tip 3B iki yakıtlı motor, sadece sıvı yakıt kullanarak ısınabilir veya çalıştırılabilir. İki yakıt modunda ısınma veya çalıştırma sırasındaki emisyon kontrol </w:t>
      </w:r>
      <w:r w:rsidR="00B66DE4" w:rsidRPr="00DE12A3">
        <w:t>yönetimini</w:t>
      </w:r>
      <w:r w:rsidRPr="00DE12A3">
        <w:t xml:space="preserve">n sıvı yakıt modunda karşılık gelen emisyon kontrol </w:t>
      </w:r>
      <w:r w:rsidR="00B66DE4" w:rsidRPr="00DE12A3">
        <w:t>yönetimi</w:t>
      </w:r>
      <w:r w:rsidRPr="00DE12A3">
        <w:t xml:space="preserve"> ile aynı olması durumunda, motor ısınma veya çalıştırma sırasında iki yakıt modunda çalışabilir. Bu koşul yerine getirilmezse motor sadece sıvı yakıt modundayken yalnızca sıvı yakıt kullanarak ısınır veya çalıştırılır.</w:t>
      </w:r>
    </w:p>
    <w:p w14:paraId="20D3F18B" w14:textId="3FE302C8" w:rsidR="00D12891" w:rsidRPr="00DE12A3" w:rsidRDefault="00D12891" w:rsidP="00B8495C">
      <w:pPr>
        <w:pStyle w:val="Point0"/>
        <w:ind w:left="0" w:firstLine="0"/>
      </w:pPr>
      <w:r w:rsidRPr="00DE12A3">
        <w:t>4.1.3.2.</w:t>
      </w:r>
      <w:r w:rsidR="00B8495C" w:rsidRPr="00DE12A3">
        <w:t xml:space="preserve"> </w:t>
      </w:r>
      <w:r w:rsidRPr="00DE12A3">
        <w:t>Tip 1A veya Tip 2A iki yakıtlı motor, yalnızca sıvı yakıt kullanılarak ısınabilir veya çalıştırılabilir. Ancak, bu durumda, strateji bir AECS olarak ilan edilir ve aşağıdaki ilave şartlar yerine getirilir :</w:t>
      </w:r>
    </w:p>
    <w:p w14:paraId="7DE61A5D" w14:textId="6A7902CE" w:rsidR="00D12891" w:rsidRPr="00DE12A3" w:rsidRDefault="00D12891" w:rsidP="00B8495C">
      <w:pPr>
        <w:pStyle w:val="Point0"/>
        <w:ind w:left="0" w:firstLine="0"/>
      </w:pPr>
      <w:r w:rsidRPr="00DE12A3">
        <w:t>4.1.3.2.1.</w:t>
      </w:r>
      <w:r w:rsidR="00B8495C" w:rsidRPr="00DE12A3">
        <w:t xml:space="preserve"> </w:t>
      </w:r>
      <w:r w:rsidRPr="00DE12A3">
        <w:t>Strateji, hangisi önce olursa, soğutucu sıcaklığı 343 K (70 °C) sıcaklığa ulaştığında veya devreye alındıktan 15 dakika sonra, devrede olmaktan çıkar</w:t>
      </w:r>
      <w:r w:rsidR="00A42B9B" w:rsidRPr="00DE12A3">
        <w:t>.</w:t>
      </w:r>
    </w:p>
    <w:p w14:paraId="7F8E5CD0" w14:textId="3CC34503" w:rsidR="00D12891" w:rsidRPr="00DE12A3" w:rsidRDefault="00D12891" w:rsidP="00B8495C">
      <w:pPr>
        <w:pStyle w:val="Point0"/>
        <w:ind w:left="0" w:firstLine="0"/>
      </w:pPr>
      <w:r w:rsidRPr="00DE12A3">
        <w:t>4.1.3.2.2.</w:t>
      </w:r>
      <w:r w:rsidR="00B8495C" w:rsidRPr="00DE12A3">
        <w:t xml:space="preserve"> </w:t>
      </w:r>
      <w:r w:rsidRPr="00DE12A3">
        <w:t>Strateji devredeyken servis modu devreye alınır.</w:t>
      </w:r>
    </w:p>
    <w:p w14:paraId="138BA1A9" w14:textId="3F986746" w:rsidR="00D12891" w:rsidRPr="00DE12A3" w:rsidRDefault="00D12891" w:rsidP="00B8495C">
      <w:pPr>
        <w:pStyle w:val="Point0"/>
        <w:ind w:left="0" w:firstLine="0"/>
        <w:rPr>
          <w:bCs/>
        </w:rPr>
      </w:pPr>
      <w:r w:rsidRPr="00DE12A3">
        <w:rPr>
          <w:bCs/>
        </w:rPr>
        <w:t>4.2.</w:t>
      </w:r>
      <w:r w:rsidR="00B8495C" w:rsidRPr="00DE12A3">
        <w:rPr>
          <w:bCs/>
        </w:rPr>
        <w:t xml:space="preserve"> </w:t>
      </w:r>
      <w:r w:rsidRPr="00DE12A3">
        <w:rPr>
          <w:bCs/>
        </w:rPr>
        <w:t>Servis modu</w:t>
      </w:r>
    </w:p>
    <w:p w14:paraId="6EC57AE0" w14:textId="372F4BB8" w:rsidR="00D12891" w:rsidRPr="00DE12A3" w:rsidRDefault="00D12891" w:rsidP="00B8495C">
      <w:pPr>
        <w:pStyle w:val="Point0"/>
        <w:ind w:left="0" w:firstLine="0"/>
        <w:rPr>
          <w:bCs/>
        </w:rPr>
      </w:pPr>
      <w:r w:rsidRPr="00DE12A3">
        <w:rPr>
          <w:bCs/>
        </w:rPr>
        <w:t>4.2.1.</w:t>
      </w:r>
      <w:r w:rsidR="00B8495C" w:rsidRPr="00DE12A3">
        <w:rPr>
          <w:bCs/>
        </w:rPr>
        <w:t xml:space="preserve"> </w:t>
      </w:r>
      <w:r w:rsidRPr="00DE12A3">
        <w:rPr>
          <w:bCs/>
        </w:rPr>
        <w:t>İki yakıtlı motorların servis modunda çalışmasına ilişkin koşullar</w:t>
      </w:r>
    </w:p>
    <w:p w14:paraId="2907E334" w14:textId="733FF613" w:rsidR="00D12891" w:rsidRPr="00DE12A3" w:rsidRDefault="00D12891" w:rsidP="00B8495C">
      <w:pPr>
        <w:pStyle w:val="Point0"/>
        <w:ind w:left="0" w:firstLine="0"/>
      </w:pPr>
      <w:r w:rsidRPr="00DE12A3">
        <w:t>Bir motor servis modunda çalışırken, bir işlerlik kısıtlamasına tabidir ve bu Tebliğ içinde açıklanan egzoz emisyonları ve NO</w:t>
      </w:r>
      <w:r w:rsidRPr="00DE12A3">
        <w:rPr>
          <w:vertAlign w:val="subscript"/>
        </w:rPr>
        <w:t>x</w:t>
      </w:r>
      <w:r w:rsidRPr="00DE12A3">
        <w:t xml:space="preserve"> kontrolü ile ilgili şartlara uymaktan geçici olarak muaf tutulur.</w:t>
      </w:r>
    </w:p>
    <w:p w14:paraId="23ABA43E" w14:textId="0B0F8ADA" w:rsidR="00D12891" w:rsidRPr="00DE12A3" w:rsidRDefault="00D12891" w:rsidP="00B8495C">
      <w:pPr>
        <w:rPr>
          <w:bCs/>
          <w:color w:val="auto"/>
        </w:rPr>
      </w:pPr>
      <w:r w:rsidRPr="00DE12A3">
        <w:rPr>
          <w:bCs/>
          <w:color w:val="auto"/>
        </w:rPr>
        <w:t>4.2.2.</w:t>
      </w:r>
      <w:r w:rsidR="00B8495C" w:rsidRPr="00DE12A3">
        <w:rPr>
          <w:bCs/>
          <w:color w:val="auto"/>
        </w:rPr>
        <w:t xml:space="preserve"> </w:t>
      </w:r>
      <w:r w:rsidRPr="00DE12A3">
        <w:rPr>
          <w:bCs/>
          <w:color w:val="auto"/>
        </w:rPr>
        <w:t>Servis modunda işlerlik kısıtlaması</w:t>
      </w:r>
    </w:p>
    <w:p w14:paraId="0535A8A9" w14:textId="77777777" w:rsidR="00B8495C" w:rsidRPr="00DE12A3" w:rsidRDefault="00B8495C" w:rsidP="00B8495C">
      <w:pPr>
        <w:rPr>
          <w:bCs/>
          <w:color w:val="auto"/>
        </w:rPr>
      </w:pPr>
    </w:p>
    <w:p w14:paraId="0AC8A170" w14:textId="60890FF2" w:rsidR="00D12891" w:rsidRPr="00DE12A3" w:rsidRDefault="00D12891" w:rsidP="00B8495C">
      <w:pPr>
        <w:rPr>
          <w:bCs/>
          <w:color w:val="auto"/>
        </w:rPr>
      </w:pPr>
      <w:r w:rsidRPr="00DE12A3">
        <w:rPr>
          <w:bCs/>
          <w:color w:val="auto"/>
        </w:rPr>
        <w:t>4.2.2.1.</w:t>
      </w:r>
      <w:r w:rsidR="00B8495C" w:rsidRPr="00DE12A3">
        <w:rPr>
          <w:bCs/>
          <w:color w:val="auto"/>
        </w:rPr>
        <w:t xml:space="preserve"> </w:t>
      </w:r>
      <w:r w:rsidRPr="00DE12A3">
        <w:rPr>
          <w:bCs/>
          <w:color w:val="auto"/>
        </w:rPr>
        <w:t>IWP, IWA, RLL ve RLR dışındaki motor kategorilerine ilişkin şart</w:t>
      </w:r>
    </w:p>
    <w:p w14:paraId="4DE60108" w14:textId="490D7DC2" w:rsidR="00D12891" w:rsidRPr="00DE12A3" w:rsidRDefault="00D12891" w:rsidP="00B8495C">
      <w:pPr>
        <w:jc w:val="both"/>
        <w:rPr>
          <w:color w:val="auto"/>
        </w:rPr>
      </w:pPr>
      <w:r w:rsidRPr="00DE12A3">
        <w:rPr>
          <w:color w:val="auto"/>
        </w:rPr>
        <w:t xml:space="preserve">Servis modunda işletilen IWP, IWA, RLL ve RLR dışındaki motor kategorilerine mensup iki yakıtlı bir motorla donatılmış karayolu dışında kullanılan hareketli makinalar için geçerli işlerlik kısıtlaması, </w:t>
      </w:r>
      <w:r w:rsidR="00FA0678" w:rsidRPr="00DE12A3">
        <w:rPr>
          <w:color w:val="auto"/>
        </w:rPr>
        <w:t>IV’</w:t>
      </w:r>
      <w:r w:rsidR="00A42B9B" w:rsidRPr="00DE12A3">
        <w:rPr>
          <w:color w:val="auto"/>
        </w:rPr>
        <w:t>ü</w:t>
      </w:r>
      <w:r w:rsidR="00FA0678" w:rsidRPr="00DE12A3">
        <w:rPr>
          <w:color w:val="auto"/>
        </w:rPr>
        <w:t xml:space="preserve">ncü </w:t>
      </w:r>
      <w:r w:rsidR="00BF5FC6" w:rsidRPr="00DE12A3">
        <w:rPr>
          <w:color w:val="auto"/>
        </w:rPr>
        <w:t>E</w:t>
      </w:r>
      <w:r w:rsidR="00FA0678" w:rsidRPr="00DE12A3">
        <w:rPr>
          <w:color w:val="auto"/>
        </w:rPr>
        <w:t>k</w:t>
      </w:r>
      <w:r w:rsidRPr="00DE12A3">
        <w:rPr>
          <w:color w:val="auto"/>
        </w:rPr>
        <w:t xml:space="preserve">in </w:t>
      </w:r>
      <w:r w:rsidR="00FA0678" w:rsidRPr="00DE12A3">
        <w:rPr>
          <w:color w:val="auto"/>
        </w:rPr>
        <w:t>1. Açıklayıcı Ekin</w:t>
      </w:r>
      <w:r w:rsidRPr="00DE12A3">
        <w:rPr>
          <w:color w:val="auto"/>
        </w:rPr>
        <w:t xml:space="preserve">in 5.4 </w:t>
      </w:r>
      <w:r w:rsidR="00211788" w:rsidRPr="00DE12A3">
        <w:rPr>
          <w:color w:val="auto"/>
        </w:rPr>
        <w:t>bendinde</w:t>
      </w:r>
      <w:r w:rsidRPr="00DE12A3">
        <w:rPr>
          <w:color w:val="auto"/>
        </w:rPr>
        <w:t xml:space="preserve"> belirtilen "ağır seviye ikna sistemi" tarafından devreye sokulan sınırdır.</w:t>
      </w:r>
    </w:p>
    <w:p w14:paraId="12CB6C5E" w14:textId="77777777" w:rsidR="00B8495C" w:rsidRPr="00DE12A3" w:rsidRDefault="00B8495C" w:rsidP="00B8495C">
      <w:pPr>
        <w:jc w:val="both"/>
        <w:rPr>
          <w:color w:val="auto"/>
        </w:rPr>
      </w:pPr>
    </w:p>
    <w:p w14:paraId="0BC2645B" w14:textId="3F6D88A1" w:rsidR="00D12891" w:rsidRPr="00DE12A3" w:rsidRDefault="00FA0678" w:rsidP="00B8495C">
      <w:pPr>
        <w:jc w:val="both"/>
        <w:rPr>
          <w:color w:val="auto"/>
        </w:rPr>
      </w:pPr>
      <w:r w:rsidRPr="00DE12A3">
        <w:rPr>
          <w:color w:val="auto"/>
        </w:rPr>
        <w:t>IV’</w:t>
      </w:r>
      <w:r w:rsidR="00A42B9B" w:rsidRPr="00DE12A3">
        <w:rPr>
          <w:color w:val="auto"/>
        </w:rPr>
        <w:t>ü</w:t>
      </w:r>
      <w:r w:rsidRPr="00DE12A3">
        <w:rPr>
          <w:color w:val="auto"/>
        </w:rPr>
        <w:t xml:space="preserve">ncü </w:t>
      </w:r>
      <w:r w:rsidR="00A42B9B" w:rsidRPr="00DE12A3">
        <w:rPr>
          <w:color w:val="auto"/>
        </w:rPr>
        <w:t>E</w:t>
      </w:r>
      <w:r w:rsidRPr="00DE12A3">
        <w:rPr>
          <w:color w:val="auto"/>
        </w:rPr>
        <w:t>k</w:t>
      </w:r>
      <w:r w:rsidR="00D12891" w:rsidRPr="00DE12A3">
        <w:rPr>
          <w:color w:val="auto"/>
        </w:rPr>
        <w:t xml:space="preserve">in </w:t>
      </w:r>
      <w:r w:rsidRPr="00DE12A3">
        <w:rPr>
          <w:color w:val="auto"/>
        </w:rPr>
        <w:t>1. Açıklayıcı Ekin</w:t>
      </w:r>
      <w:r w:rsidR="00D12891" w:rsidRPr="00DE12A3">
        <w:rPr>
          <w:color w:val="auto"/>
        </w:rPr>
        <w:t xml:space="preserve">in 5.5 </w:t>
      </w:r>
      <w:r w:rsidR="00211788" w:rsidRPr="00DE12A3">
        <w:rPr>
          <w:color w:val="auto"/>
        </w:rPr>
        <w:t xml:space="preserve">bendi </w:t>
      </w:r>
      <w:r w:rsidR="00D12891" w:rsidRPr="00DE12A3">
        <w:rPr>
          <w:color w:val="auto"/>
        </w:rPr>
        <w:t>uyarınca güvenlik kaygılarını hesaba katmak ve kendini iyileştiren teşhise imkan tanımak için, tam motor gücünü serbest bırakmak için bir ikna geçersiz kılma işlevinin kullanılmasına izin verilir.</w:t>
      </w:r>
    </w:p>
    <w:p w14:paraId="74B8FF4F" w14:textId="77777777" w:rsidR="00B8495C" w:rsidRPr="00DE12A3" w:rsidRDefault="00B8495C" w:rsidP="00B8495C">
      <w:pPr>
        <w:jc w:val="both"/>
        <w:rPr>
          <w:color w:val="auto"/>
        </w:rPr>
      </w:pPr>
    </w:p>
    <w:p w14:paraId="3B909F5F" w14:textId="681F62A0" w:rsidR="00D12891" w:rsidRPr="00DE12A3" w:rsidRDefault="00D12891" w:rsidP="00B8495C">
      <w:pPr>
        <w:jc w:val="both"/>
        <w:rPr>
          <w:color w:val="auto"/>
        </w:rPr>
      </w:pPr>
      <w:r w:rsidRPr="00DE12A3">
        <w:rPr>
          <w:color w:val="auto"/>
        </w:rPr>
        <w:t xml:space="preserve">İşlerlik kısıtlaması, aksi takdirde </w:t>
      </w:r>
      <w:r w:rsidR="00FA0678" w:rsidRPr="00DE12A3">
        <w:rPr>
          <w:color w:val="auto"/>
        </w:rPr>
        <w:t>IV’</w:t>
      </w:r>
      <w:r w:rsidR="00A42B9B" w:rsidRPr="00DE12A3">
        <w:rPr>
          <w:color w:val="auto"/>
        </w:rPr>
        <w:t>ü</w:t>
      </w:r>
      <w:r w:rsidR="00FA0678" w:rsidRPr="00DE12A3">
        <w:rPr>
          <w:color w:val="auto"/>
        </w:rPr>
        <w:t xml:space="preserve">ncü </w:t>
      </w:r>
      <w:r w:rsidR="00A42B9B" w:rsidRPr="00DE12A3">
        <w:rPr>
          <w:color w:val="auto"/>
        </w:rPr>
        <w:t>E</w:t>
      </w:r>
      <w:r w:rsidR="00FA0678" w:rsidRPr="00DE12A3">
        <w:rPr>
          <w:color w:val="auto"/>
        </w:rPr>
        <w:t>k</w:t>
      </w:r>
      <w:r w:rsidRPr="00DE12A3">
        <w:rPr>
          <w:color w:val="auto"/>
        </w:rPr>
        <w:t>te belirtilen uyarı ve ikna sistemlerinin ne devreye girmesi ne de devreden çıkması ile devre dışı bırakılamaz.</w:t>
      </w:r>
    </w:p>
    <w:p w14:paraId="1A96C609" w14:textId="77777777" w:rsidR="00B8495C" w:rsidRPr="00DE12A3" w:rsidRDefault="00B8495C" w:rsidP="00B8495C">
      <w:pPr>
        <w:jc w:val="both"/>
        <w:rPr>
          <w:color w:val="auto"/>
        </w:rPr>
      </w:pPr>
    </w:p>
    <w:p w14:paraId="363ECEB6" w14:textId="171781AC" w:rsidR="00D12891" w:rsidRPr="00DE12A3" w:rsidRDefault="00D12891" w:rsidP="00B8495C">
      <w:pPr>
        <w:jc w:val="both"/>
        <w:rPr>
          <w:color w:val="auto"/>
        </w:rPr>
      </w:pPr>
      <w:r w:rsidRPr="00DE12A3">
        <w:rPr>
          <w:color w:val="auto"/>
        </w:rPr>
        <w:t xml:space="preserve">Servis modunun devreye sokulması ve devre dışı bırakılması </w:t>
      </w:r>
      <w:r w:rsidR="00FA0678" w:rsidRPr="00DE12A3">
        <w:rPr>
          <w:color w:val="auto"/>
        </w:rPr>
        <w:t>IV’</w:t>
      </w:r>
      <w:r w:rsidR="00A42B9B" w:rsidRPr="00DE12A3">
        <w:rPr>
          <w:color w:val="auto"/>
        </w:rPr>
        <w:t>ü</w:t>
      </w:r>
      <w:r w:rsidR="00FA0678" w:rsidRPr="00DE12A3">
        <w:rPr>
          <w:color w:val="auto"/>
        </w:rPr>
        <w:t xml:space="preserve">ncü </w:t>
      </w:r>
      <w:r w:rsidR="00A42B9B" w:rsidRPr="00DE12A3">
        <w:rPr>
          <w:color w:val="auto"/>
        </w:rPr>
        <w:t>E</w:t>
      </w:r>
      <w:r w:rsidR="00FA0678" w:rsidRPr="00DE12A3">
        <w:rPr>
          <w:color w:val="auto"/>
        </w:rPr>
        <w:t>k</w:t>
      </w:r>
      <w:r w:rsidRPr="00DE12A3">
        <w:rPr>
          <w:color w:val="auto"/>
        </w:rPr>
        <w:t>te belirtilen uyarı ve ikna sistemlerini devreye sokmamalı veya devre dışı bırakmamalıdır.</w:t>
      </w:r>
    </w:p>
    <w:p w14:paraId="7CD5A168" w14:textId="77777777" w:rsidR="00B8495C" w:rsidRPr="00DE12A3" w:rsidRDefault="00B8495C" w:rsidP="00B8495C">
      <w:pPr>
        <w:jc w:val="both"/>
        <w:rPr>
          <w:color w:val="auto"/>
        </w:rPr>
      </w:pPr>
    </w:p>
    <w:p w14:paraId="228CF5BC" w14:textId="5413561F" w:rsidR="00D12891" w:rsidRPr="00DE12A3" w:rsidRDefault="00D12891" w:rsidP="00B8495C">
      <w:pPr>
        <w:rPr>
          <w:bCs/>
          <w:color w:val="auto"/>
        </w:rPr>
      </w:pPr>
      <w:r w:rsidRPr="00DE12A3">
        <w:rPr>
          <w:bCs/>
          <w:color w:val="auto"/>
        </w:rPr>
        <w:t>4.2.2.2.</w:t>
      </w:r>
      <w:r w:rsidR="00B8495C" w:rsidRPr="00DE12A3">
        <w:rPr>
          <w:bCs/>
          <w:color w:val="auto"/>
        </w:rPr>
        <w:t xml:space="preserve"> </w:t>
      </w:r>
      <w:r w:rsidRPr="00DE12A3">
        <w:rPr>
          <w:bCs/>
          <w:color w:val="auto"/>
        </w:rPr>
        <w:t>IWP, IWA, RLL ve RLR motor kategorilerine ilişkin şart</w:t>
      </w:r>
    </w:p>
    <w:p w14:paraId="14BBEA11" w14:textId="097A475B" w:rsidR="00D12891" w:rsidRPr="00DE12A3" w:rsidRDefault="00D12891" w:rsidP="00B8495C">
      <w:pPr>
        <w:jc w:val="both"/>
        <w:rPr>
          <w:color w:val="auto"/>
        </w:rPr>
      </w:pPr>
      <w:r w:rsidRPr="00DE12A3">
        <w:rPr>
          <w:color w:val="auto"/>
        </w:rPr>
        <w:t>IWP, IWA, RLL ve RLR kategorisindeki motorlar için, güvenlik kaygılarının hesaba katılması amacıyla, servis modunda çalışmaya motor torku veya devri üzerinde sınırlama olmadan izin verilir. Bu durumda, işlerlik kısıtlaması 4.2.2.3 bendi uyarınca her devreye girdiğinde, dahili bilgisayar günlüğü, servis modunun bilginin kasıtlı olarak silinememesini sağlayacak şekilde devrede olduğu durumda motorun çalışması ile ilgili tüm olayları geçici olmayan bilgisayar belleğine kaydetmelidir.</w:t>
      </w:r>
    </w:p>
    <w:p w14:paraId="331029DA" w14:textId="77777777" w:rsidR="00B8495C" w:rsidRPr="00DE12A3" w:rsidRDefault="00B8495C" w:rsidP="00B8495C">
      <w:pPr>
        <w:jc w:val="both"/>
        <w:rPr>
          <w:color w:val="auto"/>
        </w:rPr>
      </w:pPr>
    </w:p>
    <w:p w14:paraId="080F4D92" w14:textId="054B9C11" w:rsidR="00D12891" w:rsidRPr="00DE12A3" w:rsidRDefault="00D12891" w:rsidP="00B8495C">
      <w:pPr>
        <w:jc w:val="both"/>
        <w:rPr>
          <w:color w:val="auto"/>
        </w:rPr>
      </w:pPr>
      <w:r w:rsidRPr="00DE12A3">
        <w:rPr>
          <w:color w:val="auto"/>
        </w:rPr>
        <w:t>Ulusal denetim makamlarının bir tarama aletiyle bu kayıtları okuması mümkün olmalıdır. Bu kayıtlara ilişkin bağlantıya ve okuma yöntemine dair açıklama, 2017/656/AB Tebliği</w:t>
      </w:r>
      <w:r w:rsidR="001B6225" w:rsidRPr="00DE12A3">
        <w:rPr>
          <w:color w:val="auto"/>
        </w:rPr>
        <w:t>nin</w:t>
      </w:r>
      <w:r w:rsidRPr="00DE12A3">
        <w:rPr>
          <w:color w:val="auto"/>
        </w:rPr>
        <w:t xml:space="preserve"> </w:t>
      </w:r>
      <w:r w:rsidR="00EE5D5E" w:rsidRPr="00DE12A3">
        <w:rPr>
          <w:color w:val="auto"/>
        </w:rPr>
        <w:t xml:space="preserve">I’inci </w:t>
      </w:r>
      <w:r w:rsidR="00EC3EF0" w:rsidRPr="00DE12A3">
        <w:rPr>
          <w:color w:val="auto"/>
        </w:rPr>
        <w:t>Ekinin</w:t>
      </w:r>
      <w:r w:rsidR="00EE5D5E" w:rsidRPr="00DE12A3">
        <w:rPr>
          <w:color w:val="auto"/>
        </w:rPr>
        <w:t xml:space="preserve"> </w:t>
      </w:r>
      <w:r w:rsidRPr="00DE12A3">
        <w:rPr>
          <w:color w:val="auto"/>
        </w:rPr>
        <w:t>A Bölümünde belirtilen bilgi klasörüne eklenmelidir.</w:t>
      </w:r>
    </w:p>
    <w:p w14:paraId="42EB53EB" w14:textId="77777777" w:rsidR="00B8495C" w:rsidRPr="00DE12A3" w:rsidRDefault="00B8495C" w:rsidP="00B8495C">
      <w:pPr>
        <w:jc w:val="both"/>
        <w:rPr>
          <w:color w:val="auto"/>
        </w:rPr>
      </w:pPr>
    </w:p>
    <w:p w14:paraId="4E1F80C7" w14:textId="7D60B0BE" w:rsidR="00D12891" w:rsidRPr="00DE12A3" w:rsidRDefault="00D12891" w:rsidP="00287809">
      <w:pPr>
        <w:spacing w:before="120" w:after="120"/>
        <w:rPr>
          <w:bCs/>
          <w:color w:val="auto"/>
        </w:rPr>
      </w:pPr>
      <w:r w:rsidRPr="00DE12A3">
        <w:rPr>
          <w:bCs/>
          <w:color w:val="auto"/>
        </w:rPr>
        <w:t>4.2.2.3.</w:t>
      </w:r>
      <w:r w:rsidR="00B8495C" w:rsidRPr="00DE12A3">
        <w:rPr>
          <w:bCs/>
          <w:color w:val="auto"/>
        </w:rPr>
        <w:t xml:space="preserve"> </w:t>
      </w:r>
      <w:r w:rsidRPr="00DE12A3">
        <w:rPr>
          <w:bCs/>
          <w:color w:val="auto"/>
        </w:rPr>
        <w:t>İşlerlik kısıtlamasının devreye girmesi</w:t>
      </w:r>
    </w:p>
    <w:p w14:paraId="299C289D" w14:textId="1678CB62" w:rsidR="00D12891" w:rsidRPr="00DE12A3" w:rsidRDefault="00D12891" w:rsidP="00B8495C">
      <w:pPr>
        <w:jc w:val="both"/>
        <w:rPr>
          <w:color w:val="auto"/>
        </w:rPr>
      </w:pPr>
      <w:r w:rsidRPr="00DE12A3">
        <w:rPr>
          <w:color w:val="auto"/>
        </w:rPr>
        <w:lastRenderedPageBreak/>
        <w:t>Servis modu devreye girdiğinde, işlerlik kısıtlaması otomatik olarak devreye girer.</w:t>
      </w:r>
    </w:p>
    <w:p w14:paraId="331F34E3" w14:textId="77777777" w:rsidR="00B8495C" w:rsidRPr="00DE12A3" w:rsidRDefault="00B8495C" w:rsidP="00B8495C">
      <w:pPr>
        <w:jc w:val="both"/>
        <w:rPr>
          <w:color w:val="auto"/>
        </w:rPr>
      </w:pPr>
    </w:p>
    <w:p w14:paraId="66CECC1A" w14:textId="453CD07D" w:rsidR="00D12891" w:rsidRPr="00DE12A3" w:rsidRDefault="00D12891" w:rsidP="00B8495C">
      <w:pPr>
        <w:jc w:val="both"/>
        <w:rPr>
          <w:color w:val="auto"/>
        </w:rPr>
      </w:pPr>
      <w:r w:rsidRPr="00DE12A3">
        <w:rPr>
          <w:color w:val="auto"/>
        </w:rPr>
        <w:t>Gaz besleme sistemindeki bir arıza nedeniyle 4.2.3 bendi uyarınca servis modunun devreye sokulması durumunda, servis modu devreye sokulduktan sonra 30 dakika çalışma süresi içinde işlerlik kısıtlaması devreye girer.</w:t>
      </w:r>
    </w:p>
    <w:p w14:paraId="49171B22" w14:textId="77777777" w:rsidR="00B8495C" w:rsidRPr="00DE12A3" w:rsidRDefault="00B8495C" w:rsidP="00B8495C">
      <w:pPr>
        <w:jc w:val="both"/>
        <w:rPr>
          <w:color w:val="auto"/>
        </w:rPr>
      </w:pPr>
    </w:p>
    <w:p w14:paraId="2678DCB6" w14:textId="0FA856A6" w:rsidR="00D12891" w:rsidRPr="00DE12A3" w:rsidRDefault="00D12891" w:rsidP="00B8495C">
      <w:pPr>
        <w:jc w:val="both"/>
        <w:rPr>
          <w:color w:val="auto"/>
        </w:rPr>
      </w:pPr>
      <w:r w:rsidRPr="00DE12A3">
        <w:rPr>
          <w:color w:val="auto"/>
        </w:rPr>
        <w:t>Servis modunun boş gaz yakıt deposu nedeniyle devreye girmesi durumunda, servis modu devreye girer girmez işlerlik kısıtlaması da devreye girer.</w:t>
      </w:r>
    </w:p>
    <w:p w14:paraId="4810CB09" w14:textId="77777777" w:rsidR="00B8495C" w:rsidRPr="00DE12A3" w:rsidRDefault="00B8495C" w:rsidP="00B8495C">
      <w:pPr>
        <w:jc w:val="both"/>
        <w:rPr>
          <w:color w:val="auto"/>
        </w:rPr>
      </w:pPr>
    </w:p>
    <w:p w14:paraId="05B7EEBD" w14:textId="6AB728E2" w:rsidR="00D12891" w:rsidRPr="00DE12A3" w:rsidRDefault="00D12891" w:rsidP="00287809">
      <w:pPr>
        <w:spacing w:before="120" w:after="120"/>
        <w:rPr>
          <w:bCs/>
          <w:color w:val="auto"/>
        </w:rPr>
      </w:pPr>
      <w:r w:rsidRPr="00DE12A3">
        <w:rPr>
          <w:bCs/>
          <w:color w:val="auto"/>
        </w:rPr>
        <w:t>4.2.2.4.</w:t>
      </w:r>
      <w:r w:rsidR="00B8495C" w:rsidRPr="00DE12A3">
        <w:rPr>
          <w:bCs/>
          <w:color w:val="auto"/>
        </w:rPr>
        <w:t xml:space="preserve"> </w:t>
      </w:r>
      <w:r w:rsidRPr="00DE12A3">
        <w:rPr>
          <w:bCs/>
          <w:color w:val="auto"/>
        </w:rPr>
        <w:t>İşlerlik kısıtlamasının devreden çıkması</w:t>
      </w:r>
    </w:p>
    <w:p w14:paraId="7C4E7A1C" w14:textId="4F3CAA7A" w:rsidR="00D12891" w:rsidRPr="00DE12A3" w:rsidRDefault="00D12891" w:rsidP="00B8495C">
      <w:pPr>
        <w:rPr>
          <w:color w:val="auto"/>
        </w:rPr>
      </w:pPr>
      <w:r w:rsidRPr="00DE12A3">
        <w:rPr>
          <w:color w:val="auto"/>
        </w:rPr>
        <w:t>Motor servis modunda çalışmayı bıraktığında, işlerlik kısıtlama sistemi devreden çıkmalıdır.</w:t>
      </w:r>
    </w:p>
    <w:p w14:paraId="779CEAE6" w14:textId="77777777" w:rsidR="00B8495C" w:rsidRPr="00DE12A3" w:rsidRDefault="00B8495C" w:rsidP="00B8495C">
      <w:pPr>
        <w:rPr>
          <w:color w:val="auto"/>
        </w:rPr>
      </w:pPr>
    </w:p>
    <w:p w14:paraId="69AF7FE0" w14:textId="5EC99D1B" w:rsidR="00D12891" w:rsidRPr="00DE12A3" w:rsidRDefault="00D12891" w:rsidP="00287809">
      <w:pPr>
        <w:spacing w:before="120" w:after="120"/>
        <w:jc w:val="both"/>
        <w:rPr>
          <w:bCs/>
          <w:color w:val="auto"/>
        </w:rPr>
      </w:pPr>
      <w:r w:rsidRPr="00DE12A3">
        <w:rPr>
          <w:bCs/>
          <w:color w:val="auto"/>
        </w:rPr>
        <w:t>4.2.3.</w:t>
      </w:r>
      <w:r w:rsidR="00B8495C" w:rsidRPr="00DE12A3">
        <w:rPr>
          <w:bCs/>
          <w:color w:val="auto"/>
        </w:rPr>
        <w:t xml:space="preserve"> </w:t>
      </w:r>
      <w:r w:rsidRPr="00DE12A3">
        <w:rPr>
          <w:bCs/>
          <w:color w:val="auto"/>
        </w:rPr>
        <w:t>İki yakıt modunda çalışırken gaz yakıtın kullanılamaması</w:t>
      </w:r>
    </w:p>
    <w:p w14:paraId="0CC9B063" w14:textId="7BD66C63" w:rsidR="00D12891" w:rsidRPr="00DE12A3" w:rsidRDefault="00D12891" w:rsidP="00B8495C">
      <w:pPr>
        <w:jc w:val="both"/>
        <w:rPr>
          <w:color w:val="auto"/>
        </w:rPr>
      </w:pPr>
      <w:r w:rsidRPr="00DE12A3">
        <w:rPr>
          <w:color w:val="auto"/>
        </w:rPr>
        <w:t xml:space="preserve">Gaz yakıt deposunun boş olduğunun veya arızalı bir gaz besleme sisteminin tespit edilmesi üzerine, karayolu dışında kullanılan hareketli makinaların güvenli bir yere taşınmasına imkan tanımak </w:t>
      </w:r>
      <w:r w:rsidR="00874132" w:rsidRPr="00DE12A3">
        <w:rPr>
          <w:color w:val="auto"/>
        </w:rPr>
        <w:t>için</w:t>
      </w:r>
      <w:r w:rsidR="00A42B9B" w:rsidRPr="00DE12A3">
        <w:rPr>
          <w:color w:val="auto"/>
        </w:rPr>
        <w:t>;</w:t>
      </w:r>
    </w:p>
    <w:p w14:paraId="30806AAE" w14:textId="6C09080D" w:rsidR="00D12891" w:rsidRPr="00DE12A3" w:rsidRDefault="00D12891" w:rsidP="00B8495C">
      <w:pPr>
        <w:jc w:val="both"/>
        <w:rPr>
          <w:color w:val="auto"/>
        </w:rPr>
      </w:pPr>
      <w:r w:rsidRPr="00DE12A3">
        <w:rPr>
          <w:color w:val="auto"/>
        </w:rPr>
        <w:t>(a)</w:t>
      </w:r>
      <w:r w:rsidR="00B8495C" w:rsidRPr="00DE12A3">
        <w:rPr>
          <w:color w:val="auto"/>
        </w:rPr>
        <w:t xml:space="preserve"> </w:t>
      </w:r>
      <w:r w:rsidRPr="00DE12A3">
        <w:rPr>
          <w:color w:val="auto"/>
        </w:rPr>
        <w:t xml:space="preserve">İki yakıtlı Tip 1A ve 2A motorlar servis modunu devreye </w:t>
      </w:r>
      <w:r w:rsidR="00874132" w:rsidRPr="00DE12A3">
        <w:rPr>
          <w:color w:val="auto"/>
        </w:rPr>
        <w:t>sokmalıdır</w:t>
      </w:r>
      <w:r w:rsidR="00A42B9B" w:rsidRPr="00DE12A3">
        <w:rPr>
          <w:color w:val="auto"/>
        </w:rPr>
        <w:t>.</w:t>
      </w:r>
    </w:p>
    <w:p w14:paraId="4EEE2F42" w14:textId="241AF3B6" w:rsidR="00874132" w:rsidRPr="00DE12A3" w:rsidRDefault="00874132" w:rsidP="00B8495C">
      <w:pPr>
        <w:jc w:val="both"/>
        <w:rPr>
          <w:color w:val="auto"/>
        </w:rPr>
      </w:pPr>
      <w:r w:rsidRPr="00DE12A3">
        <w:rPr>
          <w:color w:val="auto"/>
        </w:rPr>
        <w:t>(b)</w:t>
      </w:r>
      <w:r w:rsidR="00B8495C" w:rsidRPr="00DE12A3">
        <w:rPr>
          <w:color w:val="auto"/>
        </w:rPr>
        <w:t xml:space="preserve"> </w:t>
      </w:r>
      <w:r w:rsidRPr="00DE12A3">
        <w:rPr>
          <w:color w:val="auto"/>
        </w:rPr>
        <w:t>İki yakıtlı Tip 1B, 2B ve 3B motorlar sıvı modunda çalışmalıdır.</w:t>
      </w:r>
    </w:p>
    <w:p w14:paraId="2297E20E" w14:textId="5E55CCAD" w:rsidR="00874132" w:rsidRPr="00DE12A3" w:rsidRDefault="00874132" w:rsidP="00C917D6">
      <w:pPr>
        <w:pStyle w:val="Point0"/>
        <w:ind w:left="1134" w:hanging="1134"/>
        <w:rPr>
          <w:bCs/>
        </w:rPr>
      </w:pPr>
      <w:r w:rsidRPr="00DE12A3">
        <w:rPr>
          <w:bCs/>
        </w:rPr>
        <w:t>4.2.3.1.</w:t>
      </w:r>
      <w:r w:rsidR="00B8495C" w:rsidRPr="00DE12A3">
        <w:rPr>
          <w:bCs/>
        </w:rPr>
        <w:t xml:space="preserve"> </w:t>
      </w:r>
      <w:r w:rsidRPr="00DE12A3">
        <w:rPr>
          <w:bCs/>
        </w:rPr>
        <w:t>Gaz yakıtın kullanılamaması - boş gaz yakıt deposu</w:t>
      </w:r>
    </w:p>
    <w:p w14:paraId="37C7ECDB" w14:textId="3186BEC1" w:rsidR="00874132" w:rsidRPr="00DE12A3" w:rsidRDefault="00874132" w:rsidP="00B8495C">
      <w:pPr>
        <w:pStyle w:val="Point0"/>
        <w:ind w:left="0" w:firstLine="0"/>
      </w:pPr>
      <w:r w:rsidRPr="00DE12A3">
        <w:t>Boş gaz yakıt deposu durumunda, servis modu veya 4.2.3 bendi uyarınca uygunsa motor sistemi deponun boş olduğunu tespit eder etmez sıvı yakıt modu devreye girmelidir.</w:t>
      </w:r>
    </w:p>
    <w:p w14:paraId="0BD66920" w14:textId="57CDDDC5" w:rsidR="00874132" w:rsidRPr="00DE12A3" w:rsidRDefault="00874132" w:rsidP="00B8495C">
      <w:pPr>
        <w:pStyle w:val="Point0"/>
        <w:ind w:left="0" w:firstLine="0"/>
      </w:pPr>
      <w:r w:rsidRPr="00DE12A3">
        <w:t>Depodaki gaz miktarı, 4.3.2 bendinde belirtilen boş tank uyarı sisteminin devreye girmesini gerektiren seviyeye tekrar ulaştığında, servis modu devre dışı bırakılabilir veya uygun olduğunda iki yakıt modu yeniden devreye girebilir.</w:t>
      </w:r>
    </w:p>
    <w:p w14:paraId="3B8BA2C1" w14:textId="1F91534F" w:rsidR="00874132" w:rsidRPr="00DE12A3" w:rsidRDefault="00874132" w:rsidP="00C917D6">
      <w:pPr>
        <w:pStyle w:val="Point0"/>
        <w:ind w:left="1134" w:hanging="1134"/>
        <w:rPr>
          <w:bCs/>
        </w:rPr>
      </w:pPr>
      <w:r w:rsidRPr="00DE12A3">
        <w:rPr>
          <w:bCs/>
        </w:rPr>
        <w:t>4.2.3.2.</w:t>
      </w:r>
      <w:r w:rsidR="00B8495C" w:rsidRPr="00DE12A3">
        <w:rPr>
          <w:bCs/>
        </w:rPr>
        <w:t xml:space="preserve"> </w:t>
      </w:r>
      <w:r w:rsidRPr="00DE12A3">
        <w:rPr>
          <w:bCs/>
        </w:rPr>
        <w:t>Gaz yakıtın kullanılamaması - gaz besleme arızası</w:t>
      </w:r>
    </w:p>
    <w:p w14:paraId="76EF8D71" w14:textId="2535CBC7" w:rsidR="00874132" w:rsidRPr="00DE12A3" w:rsidRDefault="00874132" w:rsidP="00B8495C">
      <w:pPr>
        <w:pStyle w:val="Point0"/>
        <w:ind w:left="0" w:firstLine="0"/>
      </w:pPr>
      <w:r w:rsidRPr="00DE12A3">
        <w:t>Gaz yakıtın kullanılamamasına neden olan bir arıza yapan gaz besleme sistemi, servis modu veya 4.2.3 bendi uyarınca gaz yakıt beslemesi kullanılamadığında sıvı yakıt modu devreye girmelidir.</w:t>
      </w:r>
    </w:p>
    <w:p w14:paraId="5F122541" w14:textId="1BD74F1D" w:rsidR="00874132" w:rsidRPr="00DE12A3" w:rsidRDefault="00874132" w:rsidP="00B8495C">
      <w:pPr>
        <w:pStyle w:val="Point0"/>
        <w:ind w:left="0" w:firstLine="0"/>
      </w:pPr>
      <w:r w:rsidRPr="00DE12A3">
        <w:t>Gaz yakıt beslemesi kullanılabilir olduğunda, servis modu devre dışı bırakılabilir veya uygun olduğunda iki yakıt modu yeniden devreye girebilir.</w:t>
      </w:r>
    </w:p>
    <w:p w14:paraId="562C1C88" w14:textId="447ED792" w:rsidR="00874132" w:rsidRPr="00DE12A3" w:rsidRDefault="00874132" w:rsidP="00C917D6">
      <w:pPr>
        <w:pStyle w:val="Point0"/>
        <w:ind w:left="1134" w:hanging="1134"/>
        <w:rPr>
          <w:bCs/>
        </w:rPr>
      </w:pPr>
      <w:r w:rsidRPr="00DE12A3">
        <w:rPr>
          <w:bCs/>
        </w:rPr>
        <w:t>4.3.</w:t>
      </w:r>
      <w:r w:rsidR="00287809" w:rsidRPr="00DE12A3">
        <w:rPr>
          <w:bCs/>
        </w:rPr>
        <w:t xml:space="preserve"> </w:t>
      </w:r>
      <w:r w:rsidRPr="00DE12A3">
        <w:rPr>
          <w:bCs/>
        </w:rPr>
        <w:t>İki yakıt göstergeleri</w:t>
      </w:r>
    </w:p>
    <w:p w14:paraId="754F7926" w14:textId="72FC32F1" w:rsidR="00874132" w:rsidRPr="00DE12A3" w:rsidRDefault="00874132" w:rsidP="00C917D6">
      <w:pPr>
        <w:pStyle w:val="Point0"/>
        <w:ind w:left="1134" w:hanging="1134"/>
        <w:rPr>
          <w:bCs/>
        </w:rPr>
      </w:pPr>
      <w:r w:rsidRPr="00DE12A3">
        <w:rPr>
          <w:bCs/>
        </w:rPr>
        <w:t>4.3.1.</w:t>
      </w:r>
      <w:r w:rsidR="00287809" w:rsidRPr="00DE12A3">
        <w:rPr>
          <w:bCs/>
        </w:rPr>
        <w:t xml:space="preserve"> </w:t>
      </w:r>
      <w:r w:rsidRPr="00DE12A3">
        <w:rPr>
          <w:bCs/>
        </w:rPr>
        <w:t>İki yakıtlı çalışma modu göstergesi</w:t>
      </w:r>
    </w:p>
    <w:p w14:paraId="04E7AEA7" w14:textId="1950B879" w:rsidR="00874132" w:rsidRPr="00DE12A3" w:rsidRDefault="00874132" w:rsidP="00287809">
      <w:pPr>
        <w:pStyle w:val="Point0"/>
        <w:ind w:left="0" w:firstLine="0"/>
      </w:pPr>
      <w:r w:rsidRPr="00DE12A3">
        <w:t>Karayolu dışında kullanılan hareketli makinalar, motorun hangi modda çalıştığını (iki yakıt modu, sıvı modu veya servis modu) operatöre gösteren bir görsel gösterge sağlamalıdır.</w:t>
      </w:r>
    </w:p>
    <w:p w14:paraId="4723FC48" w14:textId="40FCF2A6" w:rsidR="00874132" w:rsidRPr="00DE12A3" w:rsidRDefault="00874132" w:rsidP="00287809">
      <w:pPr>
        <w:pStyle w:val="Point0"/>
        <w:ind w:left="0" w:firstLine="0"/>
      </w:pPr>
      <w:r w:rsidRPr="00DE12A3">
        <w:t>Bu göstergenin özellikleri ve konumu OEM'in takdirine bırakılmalıdır ve halihazırda var olan bir görsel gösterge sisteminin bir parçası olabilir.</w:t>
      </w:r>
    </w:p>
    <w:p w14:paraId="4A92382A" w14:textId="42F5A185" w:rsidR="00874132" w:rsidRPr="00DE12A3" w:rsidRDefault="00874132" w:rsidP="00287809">
      <w:pPr>
        <w:pStyle w:val="Point0"/>
        <w:ind w:left="0" w:firstLine="0"/>
      </w:pPr>
      <w:r w:rsidRPr="00DE12A3">
        <w:t>Bu gösterge bir mesaj gösterimi ile tamamlanabilir. Bu bentte belirtilen mesajları görüntülemek için kullanılan sistem, NO</w:t>
      </w:r>
      <w:r w:rsidRPr="00DE12A3">
        <w:rPr>
          <w:vertAlign w:val="subscript"/>
        </w:rPr>
        <w:t>x</w:t>
      </w:r>
      <w:r w:rsidRPr="00DE12A3">
        <w:t xml:space="preserve"> kontrol diyagnostikleri veya diğer bakım amaçları için kullanılanlarla aynı sistem olabilir.</w:t>
      </w:r>
    </w:p>
    <w:p w14:paraId="66816D36" w14:textId="644255A3" w:rsidR="00874132" w:rsidRPr="00DE12A3" w:rsidRDefault="00874132" w:rsidP="00287809">
      <w:pPr>
        <w:pStyle w:val="Point0"/>
        <w:ind w:left="0" w:firstLine="0"/>
      </w:pPr>
      <w:r w:rsidRPr="00DE12A3">
        <w:t>İki yakıtlı çalışma modu göstergesinin görsel unsuru, NO</w:t>
      </w:r>
      <w:r w:rsidRPr="00DE12A3">
        <w:rPr>
          <w:vertAlign w:val="subscript"/>
        </w:rPr>
        <w:t>x</w:t>
      </w:r>
      <w:r w:rsidRPr="00DE12A3">
        <w:t xml:space="preserve"> kontrol diyagnostikleri amacıyla veya diğer motor bakım amaçları için kullanılanla aynı olmamalıdır.</w:t>
      </w:r>
    </w:p>
    <w:p w14:paraId="0E47952D" w14:textId="5FDC44C0" w:rsidR="00874132" w:rsidRPr="00DE12A3" w:rsidRDefault="00874132" w:rsidP="00287809">
      <w:pPr>
        <w:pStyle w:val="Point0"/>
        <w:ind w:left="0" w:firstLine="0"/>
      </w:pPr>
      <w:r w:rsidRPr="00DE12A3">
        <w:t>Güvenlik uyarıları, çalışma modu göstergesi üzerinde daima ekran önceliğine sahiptir.</w:t>
      </w:r>
    </w:p>
    <w:p w14:paraId="6B3289AE" w14:textId="0C59AC6B" w:rsidR="00874132" w:rsidRPr="00DE12A3" w:rsidRDefault="00874132" w:rsidP="00287809">
      <w:pPr>
        <w:pStyle w:val="Point0"/>
        <w:ind w:left="0" w:firstLine="0"/>
      </w:pPr>
      <w:r w:rsidRPr="00DE12A3">
        <w:t>4.3.1.1.</w:t>
      </w:r>
      <w:r w:rsidR="00287809" w:rsidRPr="00DE12A3">
        <w:t xml:space="preserve"> </w:t>
      </w:r>
      <w:r w:rsidRPr="00DE12A3">
        <w:t>İki yakıt modu göstergesi, en kısa sürede (yani gerçekten devreye girmeden önce) servis moduna ayarlanmalı ve servis modu devrede olduğu sürece gösterge de devrede kalmalıdır.</w:t>
      </w:r>
    </w:p>
    <w:p w14:paraId="0CD8CA1B" w14:textId="7526A55C" w:rsidR="00874132" w:rsidRPr="00DE12A3" w:rsidRDefault="00874132" w:rsidP="00287809">
      <w:pPr>
        <w:pStyle w:val="Point0"/>
        <w:ind w:left="0" w:firstLine="0"/>
      </w:pPr>
      <w:r w:rsidRPr="00DE12A3">
        <w:lastRenderedPageBreak/>
        <w:t>4.3.1.2.</w:t>
      </w:r>
      <w:r w:rsidR="00287809" w:rsidRPr="00DE12A3">
        <w:t xml:space="preserve"> </w:t>
      </w:r>
      <w:r w:rsidRPr="00DE12A3">
        <w:t>İki yakıt modu göstergesi, motor çalışma modu sıvı yakıttan iki yakıtlı moda veya tam tersi şekilde değiştirilir değişmez, iki yakıtlı modda veya sıvı yakıtlı modda en az bir dakika süreyle ayarlanmalıdır. Bu gösterge ayrıca, kontak açıldığında veya imalatçının talebi üzerine marşa basıldığında en az bir dakika boyunca gereklidir. Gösterge ayrıca operatörün talebi üzerine de sağlanmalıdır.</w:t>
      </w:r>
    </w:p>
    <w:p w14:paraId="73CE24E1" w14:textId="64AB012B" w:rsidR="00874132" w:rsidRPr="00DE12A3" w:rsidRDefault="00874132" w:rsidP="00C917D6">
      <w:pPr>
        <w:pStyle w:val="Point0"/>
        <w:ind w:left="1134" w:hanging="1134"/>
        <w:rPr>
          <w:bCs/>
        </w:rPr>
      </w:pPr>
      <w:r w:rsidRPr="00DE12A3">
        <w:rPr>
          <w:bCs/>
        </w:rPr>
        <w:t>4.3.2.</w:t>
      </w:r>
      <w:r w:rsidR="00287809" w:rsidRPr="00DE12A3">
        <w:rPr>
          <w:bCs/>
        </w:rPr>
        <w:t xml:space="preserve"> </w:t>
      </w:r>
      <w:r w:rsidRPr="00DE12A3">
        <w:rPr>
          <w:bCs/>
        </w:rPr>
        <w:t>Boş gaz yakıt deposu uyarı sistemi (iki yakıt uyarı sistemi)</w:t>
      </w:r>
    </w:p>
    <w:p w14:paraId="4669B8FC" w14:textId="0F58B9D9" w:rsidR="00874132" w:rsidRPr="00DE12A3" w:rsidRDefault="00874132" w:rsidP="00287809">
      <w:pPr>
        <w:pStyle w:val="Point0"/>
        <w:ind w:left="0" w:firstLine="0"/>
      </w:pPr>
      <w:r w:rsidRPr="00DE12A3">
        <w:t>İki yakıtlı bir motora sahip olan, karayolu dışında kullanılan hareketli makinalarda, gaz yakıt deposunun yakında boşalacağı konusunda operatörü uyaran iki yakıt uyarı sistemi bulunmalıdır.</w:t>
      </w:r>
    </w:p>
    <w:p w14:paraId="60EA6F17" w14:textId="59DE6A89" w:rsidR="00874132" w:rsidRPr="00DE12A3" w:rsidRDefault="00874132" w:rsidP="00287809">
      <w:pPr>
        <w:pStyle w:val="Point0"/>
        <w:ind w:left="0" w:firstLine="0"/>
      </w:pPr>
      <w:r w:rsidRPr="00DE12A3">
        <w:t>İki yakıt uyarı sistemi, depoya uyarı sisteminin devreye girdiği seviyede yakıt ikmali yapılana kadar devrede kalmalıdır.</w:t>
      </w:r>
    </w:p>
    <w:p w14:paraId="1CB4B381" w14:textId="44A9E628" w:rsidR="00874132" w:rsidRPr="00DE12A3" w:rsidRDefault="00874132" w:rsidP="00287809">
      <w:pPr>
        <w:pStyle w:val="Point0"/>
        <w:ind w:left="0" w:firstLine="0"/>
      </w:pPr>
      <w:r w:rsidRPr="00DE12A3">
        <w:t>İki yakıt uyarı sistemi, güvenlikle ilgili önemli mesajlar veren diğer uyarı sinyalleri ile geçici olarak kesintiye uğrayabilir.</w:t>
      </w:r>
    </w:p>
    <w:p w14:paraId="55C43025" w14:textId="48C1C2F0" w:rsidR="00E525A6" w:rsidRPr="00DE12A3" w:rsidRDefault="00874132" w:rsidP="00287809">
      <w:pPr>
        <w:pStyle w:val="Point0"/>
        <w:ind w:left="0" w:firstLine="0"/>
      </w:pPr>
      <w:r w:rsidRPr="00DE12A3">
        <w:t>Uyarının devreye girmesinin nedeni giderilmediği sürece, iki yakıt uyarı sisteminin</w:t>
      </w:r>
      <w:r w:rsidR="00E525A6" w:rsidRPr="00DE12A3">
        <w:t xml:space="preserve"> bir tarama aleti vasıtasıyla kapatılması mümkün olmamalıdır.</w:t>
      </w:r>
    </w:p>
    <w:p w14:paraId="2D547944" w14:textId="77777777" w:rsidR="00E525A6" w:rsidRPr="00DE12A3" w:rsidRDefault="00E525A6" w:rsidP="00287809">
      <w:pPr>
        <w:pStyle w:val="Point0"/>
        <w:ind w:left="0" w:firstLine="0"/>
      </w:pPr>
    </w:p>
    <w:p w14:paraId="36058D81" w14:textId="7E6CE915" w:rsidR="00874132" w:rsidRPr="00DE12A3" w:rsidRDefault="00874132" w:rsidP="00C917D6">
      <w:pPr>
        <w:pStyle w:val="Point0"/>
        <w:ind w:left="1134" w:hanging="1134"/>
      </w:pPr>
      <w:r w:rsidRPr="00DE12A3">
        <w:t>4.3.2.1.</w:t>
      </w:r>
      <w:r w:rsidR="00287809" w:rsidRPr="00DE12A3">
        <w:t xml:space="preserve"> </w:t>
      </w:r>
      <w:r w:rsidRPr="00DE12A3">
        <w:t>İki yakıt uyarı sisteminin özellikleri</w:t>
      </w:r>
    </w:p>
    <w:p w14:paraId="0E124E88" w14:textId="24B262A6" w:rsidR="00874132" w:rsidRPr="00DE12A3" w:rsidRDefault="00874132" w:rsidP="00287809">
      <w:pPr>
        <w:pStyle w:val="Point0"/>
        <w:ind w:left="0" w:firstLine="0"/>
      </w:pPr>
      <w:r w:rsidRPr="00DE12A3">
        <w:t>İki yakıt uyarı sistemi, imalatçının tercihine bırakılan bir görsel uyarı sisteminden (ikon, resim yazı v</w:t>
      </w:r>
      <w:r w:rsidR="00A42B9B" w:rsidRPr="00DE12A3">
        <w:t>e benzeri</w:t>
      </w:r>
      <w:r w:rsidRPr="00DE12A3">
        <w:t>) oluşmalıdır.</w:t>
      </w:r>
    </w:p>
    <w:p w14:paraId="6F5B6183" w14:textId="5732C928" w:rsidR="00874132" w:rsidRPr="00DE12A3" w:rsidRDefault="00874132" w:rsidP="00287809">
      <w:pPr>
        <w:pStyle w:val="Point0"/>
        <w:ind w:left="0" w:firstLine="0"/>
      </w:pPr>
      <w:r w:rsidRPr="00DE12A3">
        <w:t>İmalatçının tercihine bağlı olarak bir sesli bileşen içerebilir. Bu durumda, söz konusu bileşenin operatör tarafından iptal edilmesine izin verilir.</w:t>
      </w:r>
    </w:p>
    <w:p w14:paraId="1FB8E1F1" w14:textId="267EDD75" w:rsidR="00874132" w:rsidRPr="00DE12A3" w:rsidRDefault="00874132" w:rsidP="00287809">
      <w:pPr>
        <w:pStyle w:val="Point0"/>
        <w:ind w:left="0" w:firstLine="0"/>
      </w:pPr>
      <w:r w:rsidRPr="00DE12A3">
        <w:t>İki yakıt uyarı sisteminin görsel unsuru, NO</w:t>
      </w:r>
      <w:r w:rsidRPr="00DE12A3">
        <w:rPr>
          <w:vertAlign w:val="subscript"/>
        </w:rPr>
        <w:t>x</w:t>
      </w:r>
      <w:r w:rsidRPr="00DE12A3">
        <w:t xml:space="preserve"> kontrol diyagnostikleri amacıyla veya diğer motor bakım amaçları için kullanılanla aynı olmamalıdır.</w:t>
      </w:r>
    </w:p>
    <w:p w14:paraId="12C09E10" w14:textId="2CDD4DEE" w:rsidR="00874132" w:rsidRPr="00DE12A3" w:rsidRDefault="00874132" w:rsidP="00287809">
      <w:pPr>
        <w:pStyle w:val="Point0"/>
        <w:ind w:left="0" w:firstLine="0"/>
      </w:pPr>
      <w:r w:rsidRPr="00DE12A3">
        <w:t>Buna ek olarak iki yakıt uyarı sistemi, işlerlik kısıtlaması devreye girmeden önce kalan mesafeyi veya zamanı açıkça gösteren mesajlar da dahil olmak üzere kısa mesajlar da görüntüleyebilir.</w:t>
      </w:r>
    </w:p>
    <w:p w14:paraId="027C988B" w14:textId="41037296" w:rsidR="00874132" w:rsidRPr="00DE12A3" w:rsidRDefault="00874132" w:rsidP="00287809">
      <w:pPr>
        <w:pStyle w:val="Point0"/>
        <w:ind w:left="0" w:firstLine="0"/>
      </w:pPr>
      <w:r w:rsidRPr="00DE12A3">
        <w:t>Bu bentte belirtilen uyarı veya mesajları görüntülemek için kullanılan sistem, NO</w:t>
      </w:r>
      <w:r w:rsidRPr="00DE12A3">
        <w:rPr>
          <w:vertAlign w:val="subscript"/>
        </w:rPr>
        <w:t>x</w:t>
      </w:r>
      <w:r w:rsidRPr="00DE12A3">
        <w:t xml:space="preserve"> kontrol diyagnostiğine ilişkin uyarı veya mesajları veya diğer bakım amaçlı uyarı veya mesajları görüntülemek için kullanılan sistem ile aynı olabilir.</w:t>
      </w:r>
    </w:p>
    <w:p w14:paraId="00F4BFFA" w14:textId="3C4FB723" w:rsidR="00874132" w:rsidRPr="00DE12A3" w:rsidRDefault="00874132" w:rsidP="00287809">
      <w:pPr>
        <w:pStyle w:val="Point0"/>
        <w:ind w:left="0" w:firstLine="0"/>
      </w:pPr>
      <w:r w:rsidRPr="00DE12A3">
        <w:t>Kurtarma hizmetleri tarafından karayolu dışında kullanılan hareketli makinalarda veya silahlı kuvvetler, sivil savunma, itfaiye hizmetleri ve kamu düzeninin korunmasından sorumlu kuvvetler tarafından kullanılmak üzere tasarlanan ve inşa edilen, karayolu dışında kullanılan hareketli makinalarda operatöre, uyarı sisteminin sağladığı görsel alarmları kısma imkânı veren bir tesis sağlanabilir.</w:t>
      </w:r>
    </w:p>
    <w:p w14:paraId="48758522" w14:textId="34E34FA4" w:rsidR="00874132" w:rsidRPr="00DE12A3" w:rsidRDefault="00874132" w:rsidP="00C917D6">
      <w:pPr>
        <w:pStyle w:val="Point0"/>
        <w:ind w:left="1134" w:hanging="1134"/>
        <w:rPr>
          <w:bCs/>
        </w:rPr>
      </w:pPr>
      <w:r w:rsidRPr="00DE12A3">
        <w:rPr>
          <w:bCs/>
        </w:rPr>
        <w:t>4.4.</w:t>
      </w:r>
      <w:r w:rsidR="00287809" w:rsidRPr="00DE12A3">
        <w:rPr>
          <w:bCs/>
        </w:rPr>
        <w:t xml:space="preserve"> </w:t>
      </w:r>
      <w:r w:rsidRPr="00DE12A3">
        <w:rPr>
          <w:bCs/>
        </w:rPr>
        <w:t>İletilen tork</w:t>
      </w:r>
    </w:p>
    <w:p w14:paraId="5F813360" w14:textId="4F28351C" w:rsidR="00874132" w:rsidRPr="00DE12A3" w:rsidRDefault="00874132" w:rsidP="00C917D6">
      <w:pPr>
        <w:pStyle w:val="Point0"/>
        <w:ind w:left="1134" w:hanging="1134"/>
        <w:rPr>
          <w:bCs/>
        </w:rPr>
      </w:pPr>
      <w:r w:rsidRPr="00DE12A3">
        <w:rPr>
          <w:bCs/>
        </w:rPr>
        <w:t>4.4.1.</w:t>
      </w:r>
      <w:r w:rsidR="00287809" w:rsidRPr="00DE12A3">
        <w:rPr>
          <w:bCs/>
        </w:rPr>
        <w:t xml:space="preserve"> </w:t>
      </w:r>
      <w:r w:rsidRPr="00DE12A3">
        <w:rPr>
          <w:bCs/>
        </w:rPr>
        <w:t>İki yakıtlı bir motor iki yakıt modunda çalışırken iletilen tork</w:t>
      </w:r>
    </w:p>
    <w:p w14:paraId="7A9CC24A" w14:textId="3FFC7ED2" w:rsidR="00874132" w:rsidRPr="00DE12A3" w:rsidRDefault="00874132" w:rsidP="00287809">
      <w:pPr>
        <w:pStyle w:val="Point0"/>
        <w:ind w:left="0" w:firstLine="0"/>
      </w:pPr>
      <w:r w:rsidRPr="00DE12A3">
        <w:t xml:space="preserve">İki yakıtlı bir motor, iki yakıt modunda </w:t>
      </w:r>
      <w:r w:rsidR="00287809" w:rsidRPr="00DE12A3">
        <w:t>çalıştığında ;</w:t>
      </w:r>
    </w:p>
    <w:p w14:paraId="6AD6779B" w14:textId="6A7F40F6" w:rsidR="00874132" w:rsidRPr="00DE12A3" w:rsidRDefault="00874132" w:rsidP="00287809">
      <w:pPr>
        <w:pStyle w:val="Point0"/>
        <w:ind w:left="0" w:firstLine="0"/>
      </w:pPr>
      <w:r w:rsidRPr="00DE12A3">
        <w:t>(a)</w:t>
      </w:r>
      <w:r w:rsidR="00287809" w:rsidRPr="00DE12A3">
        <w:t xml:space="preserve"> </w:t>
      </w:r>
      <w:r w:rsidRPr="00DE12A3">
        <w:t xml:space="preserve">Geri kazanılabilir referans tork eğrisi, bu motor iki yakıt modunda bir motor test tezgahında test edildiğinde elde edilen </w:t>
      </w:r>
      <w:r w:rsidR="00301A9C" w:rsidRPr="00DE12A3">
        <w:t>eğridir</w:t>
      </w:r>
      <w:r w:rsidR="00A42B9B" w:rsidRPr="00DE12A3">
        <w:t>.</w:t>
      </w:r>
    </w:p>
    <w:p w14:paraId="40B776B6" w14:textId="04BC00C0" w:rsidR="00874132" w:rsidRPr="00DE12A3" w:rsidRDefault="00874132" w:rsidP="00287809">
      <w:pPr>
        <w:pStyle w:val="Point0"/>
        <w:ind w:left="0" w:firstLine="0"/>
      </w:pPr>
      <w:r w:rsidRPr="00DE12A3">
        <w:t>(b)</w:t>
      </w:r>
      <w:r w:rsidR="00287809" w:rsidRPr="00DE12A3">
        <w:t xml:space="preserve"> </w:t>
      </w:r>
      <w:r w:rsidRPr="00DE12A3">
        <w:t>Kaydedilen gerçek torklar (belirtilen tork ve sürtünme torku), sadece sıvı yakıtla çalışırken elde edilenler değil, iki yakıtlı yanmanın sonucu olanlardır.</w:t>
      </w:r>
    </w:p>
    <w:p w14:paraId="5951F244" w14:textId="605A452A" w:rsidR="0095761A" w:rsidRPr="00DE12A3" w:rsidRDefault="0095761A" w:rsidP="00287809">
      <w:pPr>
        <w:pStyle w:val="Point0"/>
        <w:ind w:left="0" w:firstLine="0"/>
        <w:rPr>
          <w:bCs/>
        </w:rPr>
      </w:pPr>
      <w:r w:rsidRPr="00DE12A3">
        <w:rPr>
          <w:bCs/>
        </w:rPr>
        <w:t>4.4.2.</w:t>
      </w:r>
      <w:r w:rsidR="00287809" w:rsidRPr="00DE12A3">
        <w:rPr>
          <w:bCs/>
        </w:rPr>
        <w:t xml:space="preserve"> </w:t>
      </w:r>
      <w:r w:rsidRPr="00DE12A3">
        <w:rPr>
          <w:bCs/>
        </w:rPr>
        <w:t>İki yakıtlı bir motor sıvı yakıt modunda çalışırken iletilen tork</w:t>
      </w:r>
    </w:p>
    <w:p w14:paraId="37C805DA" w14:textId="021C4CE1" w:rsidR="0095761A" w:rsidRPr="00DE12A3" w:rsidRDefault="0095761A" w:rsidP="00287809">
      <w:pPr>
        <w:pStyle w:val="Point0"/>
        <w:ind w:left="0" w:firstLine="0"/>
      </w:pPr>
      <w:r w:rsidRPr="00DE12A3">
        <w:t>İki yakıtlı bir motor sıvı yakıt modunda çalışırken, geri kazanılabilir referans tork eğrisi, bu motor bir motor test tezgahında sıvı yakıt modunda test edildiğinde elde edilen eğridir.</w:t>
      </w:r>
    </w:p>
    <w:p w14:paraId="0F954C4C" w14:textId="1F303A45" w:rsidR="0095761A" w:rsidRPr="00DE12A3" w:rsidRDefault="0095761A" w:rsidP="00287809">
      <w:pPr>
        <w:pStyle w:val="Point0"/>
        <w:ind w:left="0" w:firstLine="0"/>
        <w:rPr>
          <w:bCs/>
        </w:rPr>
      </w:pPr>
      <w:r w:rsidRPr="00DE12A3">
        <w:rPr>
          <w:bCs/>
        </w:rPr>
        <w:lastRenderedPageBreak/>
        <w:t>4.5.</w:t>
      </w:r>
      <w:r w:rsidR="00287809" w:rsidRPr="00DE12A3">
        <w:rPr>
          <w:bCs/>
        </w:rPr>
        <w:t xml:space="preserve"> </w:t>
      </w:r>
      <w:r w:rsidRPr="00DE12A3">
        <w:rPr>
          <w:bCs/>
        </w:rPr>
        <w:t>İlave şartlar</w:t>
      </w:r>
    </w:p>
    <w:p w14:paraId="6D9CB9C0" w14:textId="2F1E0AEB" w:rsidR="0095761A" w:rsidRPr="00DE12A3" w:rsidRDefault="0095761A" w:rsidP="00287809">
      <w:pPr>
        <w:pStyle w:val="Point0"/>
        <w:ind w:left="0" w:firstLine="0"/>
      </w:pPr>
      <w:r w:rsidRPr="00DE12A3">
        <w:t>4.5.1.</w:t>
      </w:r>
      <w:r w:rsidR="00287809" w:rsidRPr="00DE12A3">
        <w:t xml:space="preserve"> </w:t>
      </w:r>
      <w:r w:rsidRPr="00DE12A3">
        <w:t xml:space="preserve">İki yakıtlı bir motor için kullanıldığında uyarlanabilir stratejiler, </w:t>
      </w:r>
      <w:r w:rsidR="00FA0678" w:rsidRPr="00DE12A3">
        <w:t>IV’</w:t>
      </w:r>
      <w:r w:rsidR="00A42B9B" w:rsidRPr="00DE12A3">
        <w:t>ü</w:t>
      </w:r>
      <w:r w:rsidR="00FA0678" w:rsidRPr="00DE12A3">
        <w:t xml:space="preserve">ncü </w:t>
      </w:r>
      <w:r w:rsidR="00A42B9B" w:rsidRPr="00DE12A3">
        <w:t>E</w:t>
      </w:r>
      <w:r w:rsidR="00FA0678" w:rsidRPr="00DE12A3">
        <w:t>k</w:t>
      </w:r>
      <w:r w:rsidRPr="00DE12A3">
        <w:t xml:space="preserve">in </w:t>
      </w:r>
      <w:r w:rsidR="0053289F" w:rsidRPr="00DE12A3">
        <w:t>gerekliliklerini</w:t>
      </w:r>
      <w:r w:rsidRPr="00DE12A3">
        <w:t>n sağlanmasına ek olarakaşağıdaki şartlara da uymalıdır:</w:t>
      </w:r>
    </w:p>
    <w:p w14:paraId="308EF928" w14:textId="3B6B8571" w:rsidR="0095761A" w:rsidRPr="00DE12A3" w:rsidRDefault="0095761A" w:rsidP="00287809">
      <w:pPr>
        <w:pStyle w:val="Point0"/>
        <w:ind w:left="0" w:firstLine="0"/>
      </w:pPr>
      <w:r w:rsidRPr="00DE12A3">
        <w:t>(a)</w:t>
      </w:r>
      <w:r w:rsidR="00287809" w:rsidRPr="00DE12A3">
        <w:t xml:space="preserve"> </w:t>
      </w:r>
      <w:r w:rsidRPr="00DE12A3">
        <w:t>Motor daima AB tip onayı için bildirilen iki yakıtlı motor tipinde (Tip 1A, Tip 2B v</w:t>
      </w:r>
      <w:r w:rsidR="00A42B9B" w:rsidRPr="00DE12A3">
        <w:t>e benzeri</w:t>
      </w:r>
      <w:r w:rsidRPr="00DE12A3">
        <w:t>) kalmalıdır ve</w:t>
      </w:r>
    </w:p>
    <w:p w14:paraId="77F9377D" w14:textId="64962E52" w:rsidR="0095761A" w:rsidRPr="00DE12A3" w:rsidRDefault="0095761A" w:rsidP="00287809">
      <w:pPr>
        <w:pStyle w:val="Point0"/>
        <w:ind w:left="0" w:firstLine="0"/>
      </w:pPr>
      <w:r w:rsidRPr="00DE12A3">
        <w:t>(b)</w:t>
      </w:r>
      <w:r w:rsidR="00287809" w:rsidRPr="00DE12A3">
        <w:t xml:space="preserve"> </w:t>
      </w:r>
      <w:r w:rsidRPr="00DE12A3">
        <w:t>Bir Tip 2 motor söz konusu olduğunda, aile içindeki en yüksek ve en düşük azami GER</w:t>
      </w:r>
      <w:r w:rsidR="00F310B5" w:rsidRPr="00DE12A3">
        <w:rPr>
          <w:vertAlign w:val="subscript"/>
        </w:rPr>
        <w:t>çevrim</w:t>
      </w:r>
      <w:r w:rsidRPr="00DE12A3">
        <w:t xml:space="preserve"> değerleri arasında ortaya çıkan fark, 3.1 bendi ile izin verilenler dışında, 2017/656/AB Tebliği</w:t>
      </w:r>
      <w:r w:rsidR="001B6225" w:rsidRPr="00DE12A3">
        <w:t>nin</w:t>
      </w:r>
      <w:r w:rsidRPr="00DE12A3">
        <w:t xml:space="preserve"> IX’uncu </w:t>
      </w:r>
      <w:r w:rsidR="00EC3EF0" w:rsidRPr="00DE12A3">
        <w:t>Ekinin</w:t>
      </w:r>
      <w:r w:rsidRPr="00DE12A3">
        <w:t xml:space="preserve"> 2.4.15 bendinde belirtilen aralığı aşmamalıdır.</w:t>
      </w:r>
    </w:p>
    <w:p w14:paraId="2ED2ACF3" w14:textId="26EB1F36" w:rsidR="0095761A" w:rsidRPr="00DE12A3" w:rsidRDefault="0095761A" w:rsidP="00287809">
      <w:pPr>
        <w:pStyle w:val="Point0"/>
        <w:ind w:left="0" w:firstLine="0"/>
      </w:pPr>
      <w:r w:rsidRPr="00DE12A3">
        <w:t>4.6</w:t>
      </w:r>
      <w:r w:rsidR="00287809" w:rsidRPr="00DE12A3">
        <w:t xml:space="preserve"> </w:t>
      </w:r>
      <w:r w:rsidRPr="00DE12A3">
        <w:t>Tip onayı, OEM'e ve son kullanıcılara, XIV</w:t>
      </w:r>
      <w:r w:rsidR="00195051" w:rsidRPr="00DE12A3">
        <w:t>’</w:t>
      </w:r>
      <w:r w:rsidR="00A42B9B" w:rsidRPr="00DE12A3">
        <w:t>ü</w:t>
      </w:r>
      <w:r w:rsidR="00195051" w:rsidRPr="00DE12A3">
        <w:t>ncü</w:t>
      </w:r>
      <w:r w:rsidRPr="00DE12A3">
        <w:t xml:space="preserve"> ve X</w:t>
      </w:r>
      <w:r w:rsidR="00FA0678" w:rsidRPr="00DE12A3">
        <w:t xml:space="preserve">V’inci </w:t>
      </w:r>
      <w:r w:rsidR="000A5707" w:rsidRPr="00DE12A3">
        <w:t>E</w:t>
      </w:r>
      <w:r w:rsidR="00FA0678" w:rsidRPr="00DE12A3">
        <w:t>k</w:t>
      </w:r>
      <w:r w:rsidRPr="00DE12A3">
        <w:t>ler uyarınca, 4.2 bendinde belirtilen servis modu ve 4.3 bendinde belirtilen yakıt göstergesi sistemi dahil iki yakıtlı motorun montajına ve kullanımına ilişkin talimatlar sağlanması koşuluna bağlıdır.</w:t>
      </w:r>
    </w:p>
    <w:p w14:paraId="6341A78A" w14:textId="371AF5F8" w:rsidR="0095761A" w:rsidRPr="00DE12A3" w:rsidRDefault="0095761A" w:rsidP="00287809">
      <w:pPr>
        <w:pStyle w:val="Point0"/>
        <w:ind w:left="0" w:firstLine="0"/>
      </w:pPr>
      <w:r w:rsidRPr="00DE12A3">
        <w:rPr>
          <w:b/>
          <w:bCs/>
        </w:rPr>
        <w:t>5.</w:t>
      </w:r>
      <w:r w:rsidR="00287809" w:rsidRPr="00DE12A3">
        <w:rPr>
          <w:b/>
          <w:bCs/>
        </w:rPr>
        <w:t xml:space="preserve"> </w:t>
      </w:r>
      <w:r w:rsidRPr="00DE12A3">
        <w:rPr>
          <w:b/>
        </w:rPr>
        <w:t xml:space="preserve">Performans </w:t>
      </w:r>
      <w:r w:rsidR="0053289F" w:rsidRPr="00DE12A3">
        <w:rPr>
          <w:b/>
        </w:rPr>
        <w:t>gereklilikleri</w:t>
      </w:r>
    </w:p>
    <w:p w14:paraId="68C53AFD" w14:textId="36151B73" w:rsidR="0095761A" w:rsidRPr="00DE12A3" w:rsidRDefault="0095761A" w:rsidP="00287809">
      <w:pPr>
        <w:pStyle w:val="Point0"/>
        <w:ind w:left="0" w:firstLine="0"/>
      </w:pPr>
      <w:r w:rsidRPr="00DE12A3">
        <w:t>5.1.</w:t>
      </w:r>
      <w:r w:rsidR="00287809" w:rsidRPr="00DE12A3">
        <w:t xml:space="preserve"> </w:t>
      </w:r>
      <w:r w:rsidRPr="00DE12A3">
        <w:t xml:space="preserve">Emisyon sınır değerleri de dahil olmak üzere performans </w:t>
      </w:r>
      <w:r w:rsidR="0053289F" w:rsidRPr="00DE12A3">
        <w:t>gereklilikleri</w:t>
      </w:r>
      <w:r w:rsidRPr="00DE12A3">
        <w:t xml:space="preserve"> ve iki yakıtlı motorlar için geçerli olan AB tip onayı </w:t>
      </w:r>
      <w:r w:rsidR="0053289F" w:rsidRPr="00DE12A3">
        <w:t>gereklilikleri</w:t>
      </w:r>
      <w:r w:rsidRPr="00DE12A3">
        <w:t>, bu Ekte belirtilenler dışında, bu Tebliğ</w:t>
      </w:r>
      <w:r w:rsidR="00A42B9B" w:rsidRPr="00DE12A3">
        <w:t>de</w:t>
      </w:r>
      <w:r w:rsidRPr="00DE12A3">
        <w:t xml:space="preserve">   ve 2016/1628/AB   Yönetmeli</w:t>
      </w:r>
      <w:r w:rsidR="00A42B9B" w:rsidRPr="00DE12A3">
        <w:t>ğinde</w:t>
      </w:r>
      <w:r w:rsidRPr="00DE12A3">
        <w:t xml:space="preserve"> belirtilen ilgili motor kategorisindeki diğer tüm motorlar için geçerli olanlarla aynıdır.</w:t>
      </w:r>
    </w:p>
    <w:p w14:paraId="7174DE4A" w14:textId="4D56D591" w:rsidR="0095761A" w:rsidRPr="00DE12A3" w:rsidRDefault="0095761A" w:rsidP="00287809">
      <w:pPr>
        <w:pStyle w:val="Point0"/>
        <w:ind w:left="0" w:firstLine="0"/>
      </w:pPr>
      <w:r w:rsidRPr="00DE12A3">
        <w:t>5.2</w:t>
      </w:r>
      <w:r w:rsidR="00287809" w:rsidRPr="00DE12A3">
        <w:t xml:space="preserve">. </w:t>
      </w:r>
      <w:r w:rsidRPr="00DE12A3">
        <w:t>İki yakıtlı modda çalışma için hidrokarbon (HC) sınırı, 2016/1628/AB   Yönetmeliğinin II</w:t>
      </w:r>
      <w:r w:rsidR="00EC3EF0" w:rsidRPr="00DE12A3">
        <w:t>’</w:t>
      </w:r>
      <w:r w:rsidR="00195051" w:rsidRPr="00DE12A3">
        <w:t>nci</w:t>
      </w:r>
      <w:r w:rsidRPr="00DE12A3">
        <w:t xml:space="preserve"> Ekinde belirtildiği şekilde, belirtilen test </w:t>
      </w:r>
      <w:r w:rsidR="00F310B5" w:rsidRPr="00DE12A3">
        <w:t>çevrimi</w:t>
      </w:r>
      <w:r w:rsidRPr="00DE12A3">
        <w:t xml:space="preserve"> boyunca ortalama gaz enerji oranı (GER) kullanılarak belirlenmelidir.</w:t>
      </w:r>
    </w:p>
    <w:p w14:paraId="2B80A9AE" w14:textId="1D5AEB71" w:rsidR="0095761A" w:rsidRPr="00DE12A3" w:rsidRDefault="0095761A" w:rsidP="00287809">
      <w:pPr>
        <w:pStyle w:val="Point0"/>
        <w:ind w:left="0" w:firstLine="0"/>
      </w:pPr>
      <w:r w:rsidRPr="00DE12A3">
        <w:t>5.3</w:t>
      </w:r>
      <w:r w:rsidR="00287809" w:rsidRPr="00DE12A3">
        <w:t xml:space="preserve">. </w:t>
      </w:r>
      <w:r w:rsidRPr="00DE12A3">
        <w:t xml:space="preserve">Emisyon kontrol stratejilerini ispatlamak için gereken belgeleri, </w:t>
      </w:r>
      <w:r w:rsidR="009745E1" w:rsidRPr="00DE12A3">
        <w:t>onaysız değişikliğe</w:t>
      </w:r>
      <w:r w:rsidRPr="00DE12A3">
        <w:t xml:space="preserve"> karşı teknik hükümleri ve kısıtlama cihazlarının yasaklanmasını içeren bu stratejiler ile ilgili teknik şartlar, </w:t>
      </w:r>
      <w:r w:rsidR="00FA0678" w:rsidRPr="00DE12A3">
        <w:t>IV’</w:t>
      </w:r>
      <w:r w:rsidR="00A42B9B" w:rsidRPr="00DE12A3">
        <w:t>ü</w:t>
      </w:r>
      <w:r w:rsidR="00FA0678" w:rsidRPr="00DE12A3">
        <w:t xml:space="preserve">ncü </w:t>
      </w:r>
      <w:r w:rsidR="00A42B9B" w:rsidRPr="00DE12A3">
        <w:t>E</w:t>
      </w:r>
      <w:r w:rsidR="00FA0678" w:rsidRPr="00DE12A3">
        <w:t>k</w:t>
      </w:r>
      <w:r w:rsidRPr="00DE12A3">
        <w:t>te belirtilen ilgili motor kategorisindeki diğer herhangi bir motorunkilerle aynıdır.</w:t>
      </w:r>
    </w:p>
    <w:p w14:paraId="01FA482A" w14:textId="44071A7A" w:rsidR="0095761A" w:rsidRPr="00DE12A3" w:rsidRDefault="0095761A" w:rsidP="00287809">
      <w:pPr>
        <w:pStyle w:val="Point0"/>
        <w:ind w:left="0" w:firstLine="0"/>
      </w:pPr>
      <w:r w:rsidRPr="00DE12A3">
        <w:t>5.4</w:t>
      </w:r>
      <w:r w:rsidR="00287809" w:rsidRPr="00DE12A3">
        <w:t xml:space="preserve">. </w:t>
      </w:r>
      <w:r w:rsidRPr="00DE12A3">
        <w:t>Emisyonların kontrol altına alınmasına izin verilecek miktarın kontrol altına alın</w:t>
      </w:r>
      <w:r w:rsidR="00E525A6" w:rsidRPr="00DE12A3">
        <w:t xml:space="preserve">ması dahilinde </w:t>
      </w:r>
      <w:r w:rsidRPr="00DE12A3">
        <w:t xml:space="preserve"> emisyonların 2016/1628/AB   Yönetmeliğinin    II</w:t>
      </w:r>
      <w:r w:rsidR="00EC3EF0" w:rsidRPr="00DE12A3">
        <w:t>’</w:t>
      </w:r>
      <w:r w:rsidR="00195051" w:rsidRPr="00DE12A3">
        <w:t>nci</w:t>
      </w:r>
      <w:r w:rsidRPr="00DE12A3">
        <w:t xml:space="preserve"> Ekinde belirtilen sınır değerleri aşmasına izin verilen miktarın kontrolü yapılan ilgili NRSC ile ilişkili alandaki detaylı teknik şartlar, </w:t>
      </w:r>
      <w:r w:rsidR="00FA0678" w:rsidRPr="00DE12A3">
        <w:t>IV’ncü ek</w:t>
      </w:r>
      <w:r w:rsidRPr="00DE12A3">
        <w:t>te belirtilen ilgili motor ailesinden başka herhangi bir motor ile aynıdır.</w:t>
      </w:r>
    </w:p>
    <w:p w14:paraId="79AF1F76" w14:textId="17BE69C4" w:rsidR="0095761A" w:rsidRPr="00DE12A3" w:rsidRDefault="0095761A" w:rsidP="00C917D6">
      <w:pPr>
        <w:pStyle w:val="Point0"/>
        <w:ind w:left="1134" w:hanging="1134"/>
        <w:rPr>
          <w:b/>
        </w:rPr>
      </w:pPr>
      <w:r w:rsidRPr="00DE12A3">
        <w:rPr>
          <w:b/>
          <w:bCs/>
        </w:rPr>
        <w:t>6.</w:t>
      </w:r>
      <w:r w:rsidR="00287809" w:rsidRPr="00DE12A3">
        <w:rPr>
          <w:b/>
          <w:bCs/>
        </w:rPr>
        <w:t xml:space="preserve"> </w:t>
      </w:r>
      <w:r w:rsidRPr="00DE12A3">
        <w:rPr>
          <w:b/>
        </w:rPr>
        <w:t xml:space="preserve">İspat </w:t>
      </w:r>
      <w:r w:rsidR="0053289F" w:rsidRPr="00DE12A3">
        <w:rPr>
          <w:b/>
        </w:rPr>
        <w:t>gereklilikleri</w:t>
      </w:r>
    </w:p>
    <w:p w14:paraId="4E56F884" w14:textId="23C62876" w:rsidR="00874132" w:rsidRPr="00DE12A3" w:rsidRDefault="0095761A" w:rsidP="00287809">
      <w:pPr>
        <w:pStyle w:val="Point0"/>
        <w:ind w:left="0" w:firstLine="0"/>
      </w:pPr>
      <w:r w:rsidRPr="00DE12A3">
        <w:t>6.1.</w:t>
      </w:r>
      <w:r w:rsidR="00287809" w:rsidRPr="00DE12A3">
        <w:t xml:space="preserve"> </w:t>
      </w:r>
      <w:r w:rsidRPr="00DE12A3">
        <w:t xml:space="preserve">İki yakıtlı motorlar için geçerli ispat </w:t>
      </w:r>
      <w:r w:rsidR="0053289F" w:rsidRPr="00DE12A3">
        <w:t>gereklilikleri</w:t>
      </w:r>
      <w:r w:rsidRPr="00DE12A3">
        <w:t xml:space="preserve">, 6. </w:t>
      </w:r>
      <w:r w:rsidR="00B32A92" w:rsidRPr="00DE12A3">
        <w:t>Bölüm</w:t>
      </w:r>
      <w:r w:rsidRPr="00DE12A3">
        <w:t>de belirtilenler dışında, bu Tebliğ</w:t>
      </w:r>
      <w:r w:rsidR="00A42B9B" w:rsidRPr="00DE12A3">
        <w:t>de</w:t>
      </w:r>
      <w:r w:rsidRPr="00DE12A3">
        <w:t xml:space="preserve"> ve 2016/1628/AB Yönetmeli</w:t>
      </w:r>
      <w:r w:rsidR="00A42B9B" w:rsidRPr="00DE12A3">
        <w:t>ğinde</w:t>
      </w:r>
      <w:r w:rsidRPr="00DE12A3">
        <w:t xml:space="preserve"> belirtilen ilgili motor ailesinden başka herhangi bir motor ile aynıdır.</w:t>
      </w:r>
    </w:p>
    <w:p w14:paraId="7988BA17" w14:textId="10BFE38D" w:rsidR="0095761A" w:rsidRPr="00DE12A3" w:rsidRDefault="0095761A" w:rsidP="00287809">
      <w:pPr>
        <w:pStyle w:val="Point0"/>
        <w:ind w:left="0" w:firstLine="0"/>
      </w:pPr>
      <w:r w:rsidRPr="00DE12A3">
        <w:t>6.2.</w:t>
      </w:r>
      <w:r w:rsidR="00287809" w:rsidRPr="00DE12A3">
        <w:t xml:space="preserve"> </w:t>
      </w:r>
      <w:r w:rsidRPr="00DE12A3">
        <w:t>İki yakıt modunda geçerli olan sınır değerlere uygunluk ispat edilmelidir.</w:t>
      </w:r>
    </w:p>
    <w:p w14:paraId="0D57F1E7" w14:textId="2A5DA15F" w:rsidR="0095761A" w:rsidRPr="00DE12A3" w:rsidRDefault="0095761A" w:rsidP="00287809">
      <w:pPr>
        <w:pStyle w:val="Point0"/>
        <w:ind w:left="0" w:firstLine="0"/>
      </w:pPr>
      <w:r w:rsidRPr="00DE12A3">
        <w:t>6.3.</w:t>
      </w:r>
      <w:r w:rsidR="00287809" w:rsidRPr="00DE12A3">
        <w:t xml:space="preserve"> </w:t>
      </w:r>
      <w:r w:rsidRPr="00DE12A3">
        <w:t>Bir sıvı yakıt moduna sahip iki yakıtlı motor tipleri (yani 1B, 2B, 3B tipleri) için geçerli sınır değerlere uygunluk ek olarak sıvı yakıt modunda da ispatlanmalıdır.</w:t>
      </w:r>
    </w:p>
    <w:p w14:paraId="01E7F3FA" w14:textId="7BE631BE" w:rsidR="0095761A" w:rsidRPr="00DE12A3" w:rsidRDefault="0095761A" w:rsidP="00287809">
      <w:pPr>
        <w:pStyle w:val="Point0"/>
        <w:ind w:left="0" w:firstLine="0"/>
      </w:pPr>
      <w:r w:rsidRPr="00DE12A3">
        <w:t>6.4.</w:t>
      </w:r>
      <w:r w:rsidR="00287809" w:rsidRPr="00DE12A3">
        <w:t xml:space="preserve"> </w:t>
      </w:r>
      <w:r w:rsidRPr="00DE12A3">
        <w:t xml:space="preserve">Tip 2 motor durumunda ilave ispat </w:t>
      </w:r>
      <w:r w:rsidR="0053289F" w:rsidRPr="00DE12A3">
        <w:t>gereklilikleri</w:t>
      </w:r>
    </w:p>
    <w:p w14:paraId="3A87751E" w14:textId="040B0EC3" w:rsidR="0095761A" w:rsidRPr="00DE12A3" w:rsidRDefault="0095761A" w:rsidP="00287809">
      <w:pPr>
        <w:pStyle w:val="Point0"/>
        <w:ind w:left="0" w:firstLine="0"/>
      </w:pPr>
      <w:r w:rsidRPr="00DE12A3">
        <w:t>6.4.1</w:t>
      </w:r>
      <w:r w:rsidR="00287809" w:rsidRPr="00DE12A3">
        <w:t xml:space="preserve">. </w:t>
      </w:r>
      <w:r w:rsidRPr="00DE12A3">
        <w:t>İmalatçı, onay kuruluşuna, iki yakıtlı motor ailesinin tüm üyelerinin GER</w:t>
      </w:r>
      <w:r w:rsidR="00F310B5" w:rsidRPr="00DE12A3">
        <w:rPr>
          <w:vertAlign w:val="subscript"/>
        </w:rPr>
        <w:t>çevrim</w:t>
      </w:r>
      <w:r w:rsidRPr="00DE12A3">
        <w:rPr>
          <w:vertAlign w:val="subscript"/>
        </w:rPr>
        <w:t xml:space="preserve"> </w:t>
      </w:r>
      <w:r w:rsidRPr="00DE12A3">
        <w:t xml:space="preserve">ayarının, 2017/656/AB </w:t>
      </w:r>
      <w:r w:rsidR="007C56F9" w:rsidRPr="00DE12A3">
        <w:t>Tebliği</w:t>
      </w:r>
      <w:r w:rsidR="001B6225" w:rsidRPr="00DE12A3">
        <w:t>nin</w:t>
      </w:r>
      <w:r w:rsidR="007C56F9" w:rsidRPr="00DE12A3">
        <w:t xml:space="preserve"> IX’uncu </w:t>
      </w:r>
      <w:r w:rsidR="00EC3EF0" w:rsidRPr="00DE12A3">
        <w:t>Ekinin</w:t>
      </w:r>
      <w:r w:rsidR="00EE5D5E" w:rsidRPr="00DE12A3">
        <w:t xml:space="preserve"> </w:t>
      </w:r>
      <w:r w:rsidRPr="00DE12A3">
        <w:t>2.4.15 bendinde belirtilen aralık dahilinde kaldığını veya operatör tarafından ayarlanabilen bir GER</w:t>
      </w:r>
      <w:r w:rsidR="00F310B5" w:rsidRPr="00DE12A3">
        <w:rPr>
          <w:vertAlign w:val="subscript"/>
        </w:rPr>
        <w:t>çevrim</w:t>
      </w:r>
      <w:r w:rsidRPr="00DE12A3">
        <w:rPr>
          <w:vertAlign w:val="subscript"/>
        </w:rPr>
        <w:t xml:space="preserve"> </w:t>
      </w:r>
      <w:r w:rsidRPr="00DE12A3">
        <w:t xml:space="preserve">sistemi bulunan motorlarda 6.5 bendindeki </w:t>
      </w:r>
      <w:r w:rsidR="0053289F" w:rsidRPr="00DE12A3">
        <w:t>gereklilikleri</w:t>
      </w:r>
      <w:r w:rsidRPr="00DE12A3">
        <w:t xml:space="preserve"> sağladığını gösteren kanıtlar (örneğin algoritmalar, fonksiyonel analizler, hesaplamalar, simülasyonlar, önceki testlerin sonuçları v</w:t>
      </w:r>
      <w:r w:rsidR="00A42B9B" w:rsidRPr="00DE12A3">
        <w:t>e benzeri</w:t>
      </w:r>
      <w:r w:rsidRPr="00DE12A3">
        <w:t>) sunmalıdır.</w:t>
      </w:r>
    </w:p>
    <w:p w14:paraId="79A4DBAF" w14:textId="6020CB01" w:rsidR="0095761A" w:rsidRPr="00DE12A3" w:rsidRDefault="0095761A" w:rsidP="00287809">
      <w:pPr>
        <w:pStyle w:val="Point0"/>
        <w:ind w:left="0" w:firstLine="0"/>
      </w:pPr>
      <w:r w:rsidRPr="00DE12A3">
        <w:t>6.5</w:t>
      </w:r>
      <w:r w:rsidR="00287809" w:rsidRPr="00DE12A3">
        <w:t xml:space="preserve">. </w:t>
      </w:r>
      <w:r w:rsidRPr="00DE12A3">
        <w:t>Operatör tarafından ayarlanabilen bir GER</w:t>
      </w:r>
      <w:r w:rsidR="00F310B5" w:rsidRPr="00DE12A3">
        <w:t>çevrim</w:t>
      </w:r>
      <w:r w:rsidRPr="00DE12A3">
        <w:t xml:space="preserve"> bulunan bir motor durumunda ilave ispat </w:t>
      </w:r>
      <w:r w:rsidR="0053289F" w:rsidRPr="00DE12A3">
        <w:t>gereklilikleri</w:t>
      </w:r>
    </w:p>
    <w:p w14:paraId="448CCCF9" w14:textId="374204CA" w:rsidR="0095761A" w:rsidRPr="00DE12A3" w:rsidRDefault="0095761A" w:rsidP="00287809">
      <w:pPr>
        <w:pStyle w:val="Point0"/>
        <w:ind w:left="0" w:firstLine="0"/>
      </w:pPr>
      <w:r w:rsidRPr="00DE12A3">
        <w:t>6.5.1</w:t>
      </w:r>
      <w:r w:rsidR="00287809" w:rsidRPr="00DE12A3">
        <w:t xml:space="preserve">. </w:t>
      </w:r>
      <w:r w:rsidRPr="00DE12A3">
        <w:t>Geçerli sınır değerlere uygunluk, imalatçı tarafından izin verilen GER</w:t>
      </w:r>
      <w:r w:rsidR="00F310B5" w:rsidRPr="00DE12A3">
        <w:t>çevrim</w:t>
      </w:r>
      <w:r w:rsidRPr="00DE12A3">
        <w:t>'</w:t>
      </w:r>
      <w:r w:rsidR="00EF36A6" w:rsidRPr="00DE12A3">
        <w:t>i</w:t>
      </w:r>
      <w:r w:rsidRPr="00DE12A3">
        <w:t>n asgari ve azami değerlerinde ispatlanmalıdır.</w:t>
      </w:r>
    </w:p>
    <w:p w14:paraId="68A044CC" w14:textId="1116B6FA" w:rsidR="0095761A" w:rsidRPr="00DE12A3" w:rsidRDefault="0095761A" w:rsidP="00287809">
      <w:pPr>
        <w:pStyle w:val="Point0"/>
        <w:ind w:left="0" w:firstLine="0"/>
      </w:pPr>
      <w:r w:rsidRPr="00DE12A3">
        <w:lastRenderedPageBreak/>
        <w:t>6.6.</w:t>
      </w:r>
      <w:r w:rsidR="00287809" w:rsidRPr="00DE12A3">
        <w:t xml:space="preserve"> </w:t>
      </w:r>
      <w:r w:rsidRPr="00DE12A3">
        <w:t xml:space="preserve">İki yakıtlı bir motorun dayanıklılığına ilişkin ispat </w:t>
      </w:r>
      <w:r w:rsidR="0053289F" w:rsidRPr="00DE12A3">
        <w:t>gereklilikleri</w:t>
      </w:r>
    </w:p>
    <w:p w14:paraId="677C25DE" w14:textId="7ABE8AD4" w:rsidR="0095761A" w:rsidRPr="00DE12A3" w:rsidRDefault="0095761A" w:rsidP="00287809">
      <w:pPr>
        <w:pStyle w:val="Point0"/>
        <w:ind w:left="0" w:firstLine="0"/>
      </w:pPr>
      <w:r w:rsidRPr="00DE12A3">
        <w:t>6.6.1</w:t>
      </w:r>
      <w:r w:rsidR="00287809" w:rsidRPr="00DE12A3">
        <w:t xml:space="preserve">. </w:t>
      </w:r>
      <w:r w:rsidRPr="00DE12A3">
        <w:t>III</w:t>
      </w:r>
      <w:r w:rsidR="00EF36A6" w:rsidRPr="00DE12A3">
        <w:t xml:space="preserve">’üncü </w:t>
      </w:r>
      <w:r w:rsidRPr="00DE12A3">
        <w:t>Ekin hükümleri uygulanır.</w:t>
      </w:r>
    </w:p>
    <w:p w14:paraId="20C594BC" w14:textId="6671B067" w:rsidR="0095761A" w:rsidRPr="00DE12A3" w:rsidRDefault="0095761A" w:rsidP="00287809">
      <w:pPr>
        <w:pStyle w:val="Point0"/>
        <w:ind w:left="0" w:firstLine="0"/>
      </w:pPr>
      <w:r w:rsidRPr="00DE12A3">
        <w:t>6.7.</w:t>
      </w:r>
      <w:r w:rsidR="00287809" w:rsidRPr="00DE12A3">
        <w:t xml:space="preserve"> </w:t>
      </w:r>
      <w:r w:rsidRPr="00DE12A3">
        <w:t>İki yakıt göstergelerinin, uyarı ve işlerlik kısıtlamasının ispatı</w:t>
      </w:r>
    </w:p>
    <w:p w14:paraId="56E7B707" w14:textId="7AE0D1DC" w:rsidR="0095761A" w:rsidRPr="00DE12A3" w:rsidRDefault="0095761A" w:rsidP="00287809">
      <w:pPr>
        <w:pStyle w:val="Point0"/>
        <w:ind w:left="0" w:firstLine="0"/>
      </w:pPr>
      <w:r w:rsidRPr="00DE12A3">
        <w:t>6.7.1</w:t>
      </w:r>
      <w:r w:rsidR="00287809" w:rsidRPr="00DE12A3">
        <w:t xml:space="preserve">. </w:t>
      </w:r>
      <w:r w:rsidRPr="00DE12A3">
        <w:t>Bu Tebliğ uyarınca AB tip onayı başvurusunun bir parçası olarak imalatçı, 1. Açıklayıcı Ekteki hükümler uyarınca iki yakıt göstergelerinin ve uyarı ve işlerlik kısıtlamasının çalışmasını göstermelidir.</w:t>
      </w:r>
    </w:p>
    <w:p w14:paraId="1265735E" w14:textId="13AB6D39" w:rsidR="0095761A" w:rsidRPr="00DE12A3" w:rsidRDefault="0095761A" w:rsidP="00C917D6">
      <w:pPr>
        <w:pStyle w:val="Point0"/>
        <w:ind w:left="1134" w:hanging="1134"/>
      </w:pPr>
      <w:r w:rsidRPr="00DE12A3">
        <w:t>6.8.</w:t>
      </w:r>
      <w:r w:rsidR="00287809" w:rsidRPr="00DE12A3">
        <w:t xml:space="preserve"> </w:t>
      </w:r>
      <w:r w:rsidRPr="00DE12A3">
        <w:t>İspatın dokümantasyonu</w:t>
      </w:r>
    </w:p>
    <w:p w14:paraId="59079F3C" w14:textId="1DDFE607" w:rsidR="0095761A" w:rsidRPr="00DE12A3" w:rsidRDefault="0095761A" w:rsidP="00287809">
      <w:pPr>
        <w:pStyle w:val="Point0"/>
        <w:ind w:left="0" w:firstLine="0"/>
      </w:pPr>
      <w:r w:rsidRPr="00DE12A3">
        <w:t>6.1 ila 6.7.1 bentleri uyarınca yapılan ispat, bir ispat raporu ile belgele</w:t>
      </w:r>
      <w:r w:rsidR="00EF36A6" w:rsidRPr="00DE12A3">
        <w:t>n</w:t>
      </w:r>
      <w:r w:rsidRPr="00DE12A3">
        <w:t>melidir. Bu rapor</w:t>
      </w:r>
      <w:r w:rsidR="00EF36A6" w:rsidRPr="00DE12A3">
        <w:t> ;</w:t>
      </w:r>
    </w:p>
    <w:p w14:paraId="1474A295" w14:textId="31884CD2" w:rsidR="0095761A" w:rsidRPr="00DE12A3" w:rsidRDefault="0095761A" w:rsidP="00287809">
      <w:pPr>
        <w:pStyle w:val="Point0"/>
        <w:ind w:left="0" w:firstLine="0"/>
      </w:pPr>
      <w:r w:rsidRPr="00DE12A3">
        <w:t>(a)</w:t>
      </w:r>
      <w:r w:rsidR="00287809" w:rsidRPr="00DE12A3">
        <w:t xml:space="preserve"> </w:t>
      </w:r>
      <w:r w:rsidRPr="00DE12A3">
        <w:t xml:space="preserve">Geçerli test </w:t>
      </w:r>
      <w:r w:rsidR="00F310B5" w:rsidRPr="00DE12A3">
        <w:t>çevrimi</w:t>
      </w:r>
      <w:r w:rsidRPr="00DE12A3">
        <w:t xml:space="preserve"> de dahil olmak üzere yapılan ispatı </w:t>
      </w:r>
      <w:r w:rsidR="00C62BF9" w:rsidRPr="00DE12A3">
        <w:t>açıklamalı</w:t>
      </w:r>
      <w:r w:rsidR="00EF36A6" w:rsidRPr="00DE12A3">
        <w:t>dır.</w:t>
      </w:r>
    </w:p>
    <w:p w14:paraId="598DE32D" w14:textId="54F7E98E" w:rsidR="0095761A" w:rsidRPr="00DE12A3" w:rsidRDefault="0095761A" w:rsidP="00287809">
      <w:pPr>
        <w:pStyle w:val="Point0"/>
        <w:ind w:left="0" w:firstLine="0"/>
      </w:pPr>
      <w:r w:rsidRPr="00DE12A3">
        <w:t>(b)</w:t>
      </w:r>
      <w:r w:rsidR="00287809" w:rsidRPr="00DE12A3">
        <w:t xml:space="preserve"> </w:t>
      </w:r>
      <w:r w:rsidRPr="00DE12A3">
        <w:t>2017/656/AB Tebliği</w:t>
      </w:r>
      <w:r w:rsidR="001B6225" w:rsidRPr="00DE12A3">
        <w:t>nin</w:t>
      </w:r>
      <w:r w:rsidRPr="00DE12A3">
        <w:t xml:space="preserve">  </w:t>
      </w:r>
      <w:r w:rsidR="00EE5D5E" w:rsidRPr="00DE12A3">
        <w:t xml:space="preserve">I’inci </w:t>
      </w:r>
      <w:r w:rsidR="00EC3EF0" w:rsidRPr="00DE12A3">
        <w:t>Ekinin</w:t>
      </w:r>
      <w:r w:rsidR="00EE5D5E" w:rsidRPr="00DE12A3">
        <w:t xml:space="preserve"> </w:t>
      </w:r>
      <w:r w:rsidRPr="00DE12A3">
        <w:t>A Bölümünde belirtilen bilgi klasörüne eklenmelidir.</w:t>
      </w:r>
    </w:p>
    <w:p w14:paraId="33512644" w14:textId="264D3E07" w:rsidR="0095761A" w:rsidRPr="00DE12A3" w:rsidRDefault="0095761A" w:rsidP="00C917D6">
      <w:pPr>
        <w:pStyle w:val="Point0"/>
        <w:ind w:left="1134" w:hanging="1134"/>
        <w:rPr>
          <w:b/>
        </w:rPr>
      </w:pPr>
      <w:r w:rsidRPr="00DE12A3">
        <w:rPr>
          <w:b/>
          <w:bCs/>
        </w:rPr>
        <w:t>7.</w:t>
      </w:r>
      <w:r w:rsidR="00287809" w:rsidRPr="00DE12A3">
        <w:rPr>
          <w:b/>
          <w:bCs/>
        </w:rPr>
        <w:t xml:space="preserve"> </w:t>
      </w:r>
      <w:r w:rsidRPr="00DE12A3">
        <w:rPr>
          <w:b/>
        </w:rPr>
        <w:t>NO</w:t>
      </w:r>
      <w:r w:rsidRPr="00DE12A3">
        <w:rPr>
          <w:b/>
          <w:vertAlign w:val="subscript"/>
        </w:rPr>
        <w:t>x</w:t>
      </w:r>
      <w:r w:rsidRPr="00DE12A3">
        <w:rPr>
          <w:b/>
        </w:rPr>
        <w:t xml:space="preserve"> kontrol tedbirlerinin doğru çalışmasını sağlama </w:t>
      </w:r>
      <w:r w:rsidR="0053289F" w:rsidRPr="00DE12A3">
        <w:rPr>
          <w:b/>
        </w:rPr>
        <w:t>gereklilikleri</w:t>
      </w:r>
    </w:p>
    <w:p w14:paraId="4B35CE47" w14:textId="45C7E18D" w:rsidR="0095761A" w:rsidRPr="00DE12A3" w:rsidRDefault="0095761A" w:rsidP="00287809">
      <w:pPr>
        <w:pStyle w:val="Point0"/>
        <w:ind w:left="0" w:firstLine="0"/>
      </w:pPr>
      <w:r w:rsidRPr="00DE12A3">
        <w:t>7.1.</w:t>
      </w:r>
      <w:r w:rsidR="00287809" w:rsidRPr="00DE12A3">
        <w:t xml:space="preserve"> </w:t>
      </w:r>
      <w:r w:rsidR="00FA0678" w:rsidRPr="00DE12A3">
        <w:t>IV’</w:t>
      </w:r>
      <w:r w:rsidR="00EF36A6" w:rsidRPr="00DE12A3">
        <w:t>ü</w:t>
      </w:r>
      <w:r w:rsidR="00FA0678" w:rsidRPr="00DE12A3">
        <w:t xml:space="preserve">ncü </w:t>
      </w:r>
      <w:r w:rsidR="00EF36A6" w:rsidRPr="00DE12A3">
        <w:t>E</w:t>
      </w:r>
      <w:r w:rsidR="00FA0678" w:rsidRPr="00DE12A3">
        <w:t>k</w:t>
      </w:r>
      <w:r w:rsidRPr="00DE12A3">
        <w:t xml:space="preserve"> (NO</w:t>
      </w:r>
      <w:r w:rsidRPr="00DE12A3">
        <w:rPr>
          <w:vertAlign w:val="subscript"/>
        </w:rPr>
        <w:t>x</w:t>
      </w:r>
      <w:r w:rsidRPr="00DE12A3">
        <w:t xml:space="preserve"> kontrol tedbirleri ile ilgili teknik şartlar), iki yakıt veya sıvı modda çalışan iki yakıtlı motorlara uygulanır.</w:t>
      </w:r>
    </w:p>
    <w:p w14:paraId="6A374FE2" w14:textId="4BAF92FD" w:rsidR="0095761A" w:rsidRPr="00DE12A3" w:rsidRDefault="0095761A" w:rsidP="00287809">
      <w:pPr>
        <w:pStyle w:val="Point0"/>
        <w:ind w:left="0" w:firstLine="0"/>
      </w:pPr>
      <w:r w:rsidRPr="00DE12A3">
        <w:t>7.2.</w:t>
      </w:r>
      <w:r w:rsidR="00287809" w:rsidRPr="00DE12A3">
        <w:t xml:space="preserve"> </w:t>
      </w:r>
      <w:r w:rsidRPr="00DE12A3">
        <w:t>İki yakıtlı Tip 1B, Tip 2B ve Tip 3B motorlarda ilave NO</w:t>
      </w:r>
      <w:r w:rsidRPr="00DE12A3">
        <w:rPr>
          <w:vertAlign w:val="subscript"/>
        </w:rPr>
        <w:t>x</w:t>
      </w:r>
      <w:r w:rsidRPr="00DE12A3">
        <w:t xml:space="preserve"> kontrol </w:t>
      </w:r>
      <w:r w:rsidR="0053289F" w:rsidRPr="00DE12A3">
        <w:t>gereklilikleri</w:t>
      </w:r>
    </w:p>
    <w:p w14:paraId="670085FD" w14:textId="36F1245C" w:rsidR="0095761A" w:rsidRPr="00DE12A3" w:rsidRDefault="0095761A" w:rsidP="00287809">
      <w:pPr>
        <w:pStyle w:val="Point0"/>
        <w:ind w:left="0" w:firstLine="0"/>
      </w:pPr>
      <w:r w:rsidRPr="00DE12A3">
        <w:t>7.2.1.</w:t>
      </w:r>
      <w:r w:rsidR="00287809" w:rsidRPr="00DE12A3">
        <w:t xml:space="preserve"> </w:t>
      </w:r>
      <w:r w:rsidRPr="00DE12A3">
        <w:t>IV</w:t>
      </w:r>
      <w:r w:rsidR="00FA0678" w:rsidRPr="00DE12A3">
        <w:t>’</w:t>
      </w:r>
      <w:r w:rsidR="00EF36A6" w:rsidRPr="00DE12A3">
        <w:t>ü</w:t>
      </w:r>
      <w:r w:rsidR="00FA0678" w:rsidRPr="00DE12A3">
        <w:t xml:space="preserve">ncü </w:t>
      </w:r>
      <w:r w:rsidR="00BF5FC6" w:rsidRPr="00DE12A3">
        <w:t>E</w:t>
      </w:r>
      <w:r w:rsidRPr="00DE12A3">
        <w:t xml:space="preserve">kin </w:t>
      </w:r>
      <w:r w:rsidR="00FA0678" w:rsidRPr="00DE12A3">
        <w:t>1. Açıklayıcı Ekin</w:t>
      </w:r>
      <w:r w:rsidRPr="00DE12A3">
        <w:t>in 5.4 bendinde tarif edilen ağır seviye iknaya uygulandığı düşünülen tork, sıvı yakıt modunda ve iki yakıt modunda elde edilen torkların en düşük olanıdır.</w:t>
      </w:r>
    </w:p>
    <w:p w14:paraId="1A21228A" w14:textId="5C0CABCC" w:rsidR="00874132" w:rsidRPr="00DE12A3" w:rsidRDefault="0095761A" w:rsidP="00287809">
      <w:pPr>
        <w:pStyle w:val="Point0"/>
        <w:ind w:left="0" w:firstLine="0"/>
      </w:pPr>
      <w:r w:rsidRPr="00DE12A3">
        <w:t>7.2.2</w:t>
      </w:r>
      <w:r w:rsidR="00EF36A6" w:rsidRPr="00DE12A3">
        <w:t>.</w:t>
      </w:r>
      <w:r w:rsidR="00287809" w:rsidRPr="00DE12A3">
        <w:t xml:space="preserve"> </w:t>
      </w:r>
      <w:r w:rsidRPr="00DE12A3">
        <w:t>Çalışma modunun arıza tespiti üzerindeki olası bir etkisi, bir ikna devreye girinceye kadar geçen süreyi uzatmak için kullanılmamalıdır.</w:t>
      </w:r>
    </w:p>
    <w:p w14:paraId="0436C3A1" w14:textId="25A214AA" w:rsidR="0095761A" w:rsidRPr="00DE12A3" w:rsidRDefault="0095761A" w:rsidP="00287809">
      <w:pPr>
        <w:pStyle w:val="Point0"/>
        <w:ind w:left="0" w:firstLine="0"/>
      </w:pPr>
      <w:r w:rsidRPr="00DE12A3">
        <w:t>7.2.3.</w:t>
      </w:r>
      <w:r w:rsidR="00287809" w:rsidRPr="00DE12A3">
        <w:t xml:space="preserve"> </w:t>
      </w:r>
      <w:r w:rsidRPr="00DE12A3">
        <w:t>Tespit edilmesi motorun çalışma moduna bağlı olmayan arızalarda, IV</w:t>
      </w:r>
      <w:r w:rsidR="00FA0678" w:rsidRPr="00DE12A3">
        <w:t>’</w:t>
      </w:r>
      <w:r w:rsidR="002C198B" w:rsidRPr="00DE12A3">
        <w:t>ü</w:t>
      </w:r>
      <w:r w:rsidR="00FA0678" w:rsidRPr="00DE12A3">
        <w:t xml:space="preserve">ncü </w:t>
      </w:r>
      <w:r w:rsidR="00BF5FC6" w:rsidRPr="00DE12A3">
        <w:t>E</w:t>
      </w:r>
      <w:r w:rsidRPr="00DE12A3">
        <w:t xml:space="preserve">kin </w:t>
      </w:r>
      <w:r w:rsidR="00FA0678" w:rsidRPr="00DE12A3">
        <w:t>1. Açıklayıcı Ekin</w:t>
      </w:r>
      <w:r w:rsidRPr="00DE12A3">
        <w:t>de belirtilen, DTC durumu ile ilişkili mekanizmalar, motorun çalışma moduna bağlı değildir (örneğin, eğer bir DTC iki yakıt modunda potansiyel duruma ulaşırsa, sıvı yakıt modunda bile arızanın bir daha tespit edildiğinde onaylanmış ve aktif duruma geçmelidir).</w:t>
      </w:r>
    </w:p>
    <w:p w14:paraId="43FBB382" w14:textId="18B7500D" w:rsidR="0095761A" w:rsidRPr="00DE12A3" w:rsidRDefault="0095761A" w:rsidP="00287809">
      <w:pPr>
        <w:pStyle w:val="Point0"/>
        <w:ind w:left="0" w:firstLine="0"/>
      </w:pPr>
      <w:r w:rsidRPr="00DE12A3">
        <w:t>7.2.4.</w:t>
      </w:r>
      <w:r w:rsidR="00287809" w:rsidRPr="00DE12A3">
        <w:t xml:space="preserve"> </w:t>
      </w:r>
      <w:r w:rsidR="00542607" w:rsidRPr="00DE12A3">
        <w:t>M</w:t>
      </w:r>
      <w:r w:rsidRPr="00DE12A3">
        <w:t>otorun çalışma moduna bağlı  arıza</w:t>
      </w:r>
      <w:r w:rsidR="00542607" w:rsidRPr="00DE12A3">
        <w:t xml:space="preserve"> tespitlerinde</w:t>
      </w:r>
      <w:r w:rsidRPr="00DE12A3">
        <w:t>, DTC'ler onaylanmış ve aktif duruma ulaştıkları moddan farklı bir modda önce</w:t>
      </w:r>
      <w:r w:rsidR="00542607" w:rsidRPr="00DE12A3">
        <w:t>ki</w:t>
      </w:r>
      <w:r w:rsidRPr="00DE12A3">
        <w:t xml:space="preserve"> aktif durumuna </w:t>
      </w:r>
      <w:r w:rsidR="00542607" w:rsidRPr="00DE12A3">
        <w:t xml:space="preserve">bir daha </w:t>
      </w:r>
      <w:r w:rsidRPr="00DE12A3">
        <w:t>geçmemelidir.</w:t>
      </w:r>
    </w:p>
    <w:p w14:paraId="2A2248A9" w14:textId="4B86B0CE" w:rsidR="0095761A" w:rsidRPr="00DE12A3" w:rsidRDefault="0095761A" w:rsidP="00287809">
      <w:pPr>
        <w:pStyle w:val="Point0"/>
        <w:ind w:left="0" w:firstLine="0"/>
      </w:pPr>
      <w:r w:rsidRPr="00DE12A3">
        <w:t>7.2.5.</w:t>
      </w:r>
      <w:r w:rsidR="00287809" w:rsidRPr="00DE12A3">
        <w:t xml:space="preserve"> </w:t>
      </w:r>
      <w:r w:rsidRPr="00DE12A3">
        <w:t xml:space="preserve">Çalışma modundaki bir değişiklik (iki yakıttan sıvı yakıta veya tersi), </w:t>
      </w:r>
      <w:r w:rsidR="00FA0678" w:rsidRPr="00DE12A3">
        <w:t>IV’ncü ek</w:t>
      </w:r>
      <w:r w:rsidRPr="00DE12A3">
        <w:t>te belirtilen şartlara uymak için uygulanan mekanizmaları (örneğin sayaçları) durdurmamalı veya sıfırlamamalıdır. Bununla birlikte, bu mekanizmalardan birinin (örneğin bir teşhis sistemi) fiili çalışma moduna bağlı olması durumunda, imalatçının talebi ve onay kuruluşunun onayı üzerine söz konusu mekanizma ile ilişkili sayaç</w:t>
      </w:r>
      <w:r w:rsidR="002C198B" w:rsidRPr="00DE12A3">
        <w:t> ;</w:t>
      </w:r>
    </w:p>
    <w:p w14:paraId="004A4B59" w14:textId="09399D84" w:rsidR="0095761A" w:rsidRPr="00DE12A3" w:rsidRDefault="0095761A" w:rsidP="00287809">
      <w:pPr>
        <w:pStyle w:val="Point0"/>
        <w:ind w:left="0" w:firstLine="0"/>
      </w:pPr>
      <w:r w:rsidRPr="00DE12A3">
        <w:t>(a)</w:t>
      </w:r>
      <w:r w:rsidR="00287809" w:rsidRPr="00DE12A3">
        <w:t xml:space="preserve"> </w:t>
      </w:r>
      <w:r w:rsidRPr="00DE12A3">
        <w:t>Durabilir ve mümkünse çalışma modu değiştiğinde o anki değerlerini koruyabilir</w:t>
      </w:r>
      <w:r w:rsidR="002C198B" w:rsidRPr="00DE12A3">
        <w:t>.</w:t>
      </w:r>
    </w:p>
    <w:p w14:paraId="3D39418A" w14:textId="4461FA7A" w:rsidR="00874132" w:rsidRPr="00DE12A3" w:rsidRDefault="0095761A" w:rsidP="00287809">
      <w:pPr>
        <w:pStyle w:val="Point0"/>
        <w:ind w:left="0" w:firstLine="0"/>
      </w:pPr>
      <w:r w:rsidRPr="00DE12A3">
        <w:t>(b)</w:t>
      </w:r>
      <w:r w:rsidR="00287809" w:rsidRPr="00DE12A3">
        <w:t xml:space="preserve"> </w:t>
      </w:r>
      <w:r w:rsidRPr="00DE12A3">
        <w:t>Yeniden başlayabilir ve mümkünse çalışma modu diğer çalışma moduna geri döndüğünde, kaldığı noktadan saymaya devam edebilir.</w:t>
      </w:r>
    </w:p>
    <w:p w14:paraId="47527965" w14:textId="77777777" w:rsidR="0095761A" w:rsidRPr="00DE12A3" w:rsidRDefault="0095761A" w:rsidP="00287809">
      <w:pPr>
        <w:pStyle w:val="Point0"/>
        <w:ind w:left="0" w:firstLine="0"/>
      </w:pPr>
    </w:p>
    <w:p w14:paraId="7582E0B6" w14:textId="77777777" w:rsidR="004940FF" w:rsidRPr="00DE12A3" w:rsidRDefault="004940FF">
      <w:pPr>
        <w:widowControl/>
        <w:rPr>
          <w:rFonts w:eastAsia="Times New Roman" w:cs="Times New Roman"/>
          <w:color w:val="auto"/>
          <w:lang w:val="fr-FR"/>
        </w:rPr>
      </w:pPr>
      <w:r w:rsidRPr="00DE12A3">
        <w:rPr>
          <w:color w:val="auto"/>
        </w:rPr>
        <w:br w:type="page"/>
      </w:r>
    </w:p>
    <w:p w14:paraId="13FF4949" w14:textId="5E54C7D3" w:rsidR="0095761A" w:rsidRPr="00DE12A3" w:rsidRDefault="0095761A" w:rsidP="004940FF">
      <w:pPr>
        <w:pStyle w:val="Balk2"/>
        <w:rPr>
          <w:color w:val="auto"/>
        </w:rPr>
      </w:pPr>
      <w:r w:rsidRPr="00DE12A3">
        <w:rPr>
          <w:color w:val="auto"/>
        </w:rPr>
        <w:lastRenderedPageBreak/>
        <w:t>1. Açıklayıcı Ek</w:t>
      </w:r>
    </w:p>
    <w:p w14:paraId="21B404AC" w14:textId="77777777" w:rsidR="009C7D14" w:rsidRPr="00DE12A3" w:rsidRDefault="009C7D14" w:rsidP="00650FCB">
      <w:pPr>
        <w:pStyle w:val="Point0"/>
        <w:ind w:left="0" w:firstLine="0"/>
        <w:rPr>
          <w:b/>
        </w:rPr>
      </w:pPr>
    </w:p>
    <w:p w14:paraId="43AB410C" w14:textId="67F4497C" w:rsidR="0095761A" w:rsidRPr="00DE12A3" w:rsidRDefault="0095761A" w:rsidP="00650FCB">
      <w:pPr>
        <w:pStyle w:val="Point0"/>
        <w:ind w:left="0" w:firstLine="0"/>
        <w:rPr>
          <w:b/>
        </w:rPr>
      </w:pPr>
      <w:r w:rsidRPr="00DE12A3">
        <w:rPr>
          <w:b/>
        </w:rPr>
        <w:t xml:space="preserve">İki yakıtlı motor iki yakıt göstergesi, uyarı sistemi, işlerlik kısıtlaması - İspat </w:t>
      </w:r>
      <w:r w:rsidR="0053289F" w:rsidRPr="00DE12A3">
        <w:rPr>
          <w:b/>
        </w:rPr>
        <w:t>gereklilikleri</w:t>
      </w:r>
    </w:p>
    <w:p w14:paraId="1BEB46CC" w14:textId="0A27489E" w:rsidR="0095761A" w:rsidRPr="00DE12A3" w:rsidRDefault="0095761A" w:rsidP="00C917D6">
      <w:pPr>
        <w:pStyle w:val="Point0"/>
        <w:ind w:left="1134" w:hanging="1134"/>
        <w:rPr>
          <w:b/>
        </w:rPr>
      </w:pPr>
      <w:r w:rsidRPr="00DE12A3">
        <w:rPr>
          <w:b/>
        </w:rPr>
        <w:t>1.</w:t>
      </w:r>
      <w:r w:rsidR="009C7D14" w:rsidRPr="00DE12A3">
        <w:rPr>
          <w:b/>
        </w:rPr>
        <w:t xml:space="preserve"> </w:t>
      </w:r>
      <w:r w:rsidRPr="00DE12A3">
        <w:rPr>
          <w:b/>
        </w:rPr>
        <w:t>İki yakıt göstergeleri</w:t>
      </w:r>
    </w:p>
    <w:p w14:paraId="2C07C6FE" w14:textId="0DFB32AE" w:rsidR="0095761A" w:rsidRPr="00DE12A3" w:rsidRDefault="0095761A" w:rsidP="009C7D14">
      <w:pPr>
        <w:pStyle w:val="Point0"/>
        <w:ind w:left="0" w:firstLine="0"/>
      </w:pPr>
      <w:r w:rsidRPr="00DE12A3">
        <w:t>1.1.</w:t>
      </w:r>
      <w:r w:rsidR="009C7D14" w:rsidRPr="00DE12A3">
        <w:t xml:space="preserve"> </w:t>
      </w:r>
      <w:r w:rsidRPr="00DE12A3">
        <w:t>İki yakıt modu göstergesi</w:t>
      </w:r>
    </w:p>
    <w:p w14:paraId="4169D1AB" w14:textId="78D3FD32" w:rsidR="0095761A" w:rsidRPr="00DE12A3" w:rsidRDefault="0095761A" w:rsidP="009C7D14">
      <w:pPr>
        <w:pStyle w:val="Point0"/>
        <w:ind w:left="0" w:firstLine="0"/>
      </w:pPr>
      <w:r w:rsidRPr="00DE12A3">
        <w:t>Motorun, iki yakıt modunda çalışırken iki yakıt modu göstergesinin devreye girmesini kontrol etme kabiliyeti, AB tip onayında ispatlanmalıdır.</w:t>
      </w:r>
    </w:p>
    <w:p w14:paraId="139D6D55" w14:textId="202D8AE1" w:rsidR="0095761A" w:rsidRPr="00DE12A3" w:rsidRDefault="0095761A" w:rsidP="009C7D14">
      <w:pPr>
        <w:pStyle w:val="Point0"/>
        <w:ind w:left="0" w:firstLine="0"/>
      </w:pPr>
      <w:r w:rsidRPr="00DE12A3">
        <w:t>1.2.</w:t>
      </w:r>
      <w:r w:rsidR="009C7D14" w:rsidRPr="00DE12A3">
        <w:t xml:space="preserve"> </w:t>
      </w:r>
      <w:r w:rsidRPr="00DE12A3">
        <w:t>Sıvı yakıt modu göstergesi</w:t>
      </w:r>
    </w:p>
    <w:p w14:paraId="1978120D" w14:textId="0E35A0D9" w:rsidR="0095761A" w:rsidRPr="00DE12A3" w:rsidRDefault="0095761A" w:rsidP="009C7D14">
      <w:pPr>
        <w:pStyle w:val="Point0"/>
        <w:ind w:left="0" w:firstLine="0"/>
      </w:pPr>
      <w:r w:rsidRPr="00DE12A3">
        <w:t>İki yakıtlı Tip 1B, Tip 2B veya Tip 3B motor durumunda, motorun, sıvı yakıt modunda çalışırken sıvı yakıt modu göstergesinin devreye girmesini kontrol etme kabiliyeti, AB tip onayında ispatlanmalıdır.</w:t>
      </w:r>
    </w:p>
    <w:p w14:paraId="2E592ABB" w14:textId="523B6769" w:rsidR="0095761A" w:rsidRPr="00DE12A3" w:rsidRDefault="0095761A" w:rsidP="009C7D14">
      <w:pPr>
        <w:pStyle w:val="Point0"/>
        <w:ind w:left="0" w:firstLine="0"/>
      </w:pPr>
      <w:r w:rsidRPr="00DE12A3">
        <w:t>1.3.</w:t>
      </w:r>
      <w:r w:rsidR="009C7D14" w:rsidRPr="00DE12A3">
        <w:t xml:space="preserve"> </w:t>
      </w:r>
      <w:r w:rsidRPr="00DE12A3">
        <w:t>Servis modu göstergesi</w:t>
      </w:r>
    </w:p>
    <w:p w14:paraId="2DC90FA4" w14:textId="4BFB0ACC" w:rsidR="0095761A" w:rsidRPr="00DE12A3" w:rsidRDefault="0095761A" w:rsidP="009C7D14">
      <w:pPr>
        <w:pStyle w:val="Point0"/>
        <w:ind w:left="0" w:firstLine="0"/>
      </w:pPr>
      <w:r w:rsidRPr="00DE12A3">
        <w:t>Motorun, servis modunda çalışırken servis modu göstergesinin devreye girmesini kontrol etme kabiliyeti, AB tip onayında ispatlanmalıdır.</w:t>
      </w:r>
    </w:p>
    <w:p w14:paraId="1569D9E7" w14:textId="025C79CB" w:rsidR="0095761A" w:rsidRPr="00DE12A3" w:rsidRDefault="0095761A" w:rsidP="009C7D14">
      <w:pPr>
        <w:pStyle w:val="Point0"/>
        <w:ind w:left="0" w:firstLine="0"/>
      </w:pPr>
      <w:r w:rsidRPr="00DE12A3">
        <w:t>1.3.1.</w:t>
      </w:r>
      <w:r w:rsidR="009C7D14" w:rsidRPr="00DE12A3">
        <w:t xml:space="preserve"> </w:t>
      </w:r>
      <w:r w:rsidRPr="00DE12A3">
        <w:t>Bu şekilde donatıldığında, bir servis modu devreye girme anahtarı devreye sokularak servis modu göstergesine ilişkin ispatın yapılması ve servis modu, motor sisteminin kendisi tarafından kontrol edildiğinde devreye girmenin gerçekleştiğini gösteren kanıtların onay kuruluşuna sunulması yeterlidir (örneğin algoritmalar, simülasyonlar, kurum içi testlerin sonuçları v</w:t>
      </w:r>
      <w:r w:rsidR="002C198B" w:rsidRPr="00DE12A3">
        <w:t>e benzeri</w:t>
      </w:r>
      <w:r w:rsidRPr="00DE12A3">
        <w:t>).</w:t>
      </w:r>
    </w:p>
    <w:p w14:paraId="18D925CC" w14:textId="4773B5C5" w:rsidR="0095761A" w:rsidRPr="00DE12A3" w:rsidRDefault="0095761A" w:rsidP="009C7D14">
      <w:pPr>
        <w:pStyle w:val="Point0"/>
        <w:ind w:left="0" w:firstLine="0"/>
        <w:rPr>
          <w:b/>
        </w:rPr>
      </w:pPr>
      <w:r w:rsidRPr="00DE12A3">
        <w:rPr>
          <w:b/>
        </w:rPr>
        <w:t>2.</w:t>
      </w:r>
      <w:r w:rsidR="009C7D14" w:rsidRPr="00DE12A3">
        <w:rPr>
          <w:b/>
        </w:rPr>
        <w:t xml:space="preserve"> </w:t>
      </w:r>
      <w:r w:rsidRPr="00DE12A3">
        <w:rPr>
          <w:b/>
        </w:rPr>
        <w:t>Uyarı sistemi</w:t>
      </w:r>
    </w:p>
    <w:p w14:paraId="5D8BC365" w14:textId="0BCD1765" w:rsidR="0095761A" w:rsidRPr="00DE12A3" w:rsidRDefault="0095761A" w:rsidP="009C7D14">
      <w:pPr>
        <w:pStyle w:val="Point0"/>
        <w:ind w:left="0" w:firstLine="0"/>
      </w:pPr>
      <w:r w:rsidRPr="00DE12A3">
        <w:t>Motorun, gaz yakıt deposundaki gaz yakıt miktarının uyarı seviyesinin altında olması durumunda, uyarı sisteminin devreye girmesini kontrol etme kabiliyeti AB tip onayında ispatlanmalıdır. Bu amaçla, gaz yakıtın gerçek miktarının simülasyonu yapılabilir.</w:t>
      </w:r>
    </w:p>
    <w:p w14:paraId="55D3F40C" w14:textId="6E2552A6" w:rsidR="0095761A" w:rsidRPr="00DE12A3" w:rsidRDefault="0095761A" w:rsidP="009C7D14">
      <w:pPr>
        <w:pStyle w:val="Point0"/>
        <w:ind w:left="0" w:firstLine="0"/>
        <w:rPr>
          <w:b/>
        </w:rPr>
      </w:pPr>
      <w:r w:rsidRPr="00DE12A3">
        <w:rPr>
          <w:b/>
        </w:rPr>
        <w:t>3.</w:t>
      </w:r>
      <w:r w:rsidR="009C7D14" w:rsidRPr="00DE12A3">
        <w:rPr>
          <w:b/>
        </w:rPr>
        <w:t xml:space="preserve"> </w:t>
      </w:r>
      <w:r w:rsidRPr="00DE12A3">
        <w:rPr>
          <w:b/>
        </w:rPr>
        <w:t>İşlerlik kısıtlaması</w:t>
      </w:r>
    </w:p>
    <w:p w14:paraId="3F4661F3" w14:textId="3137CB9B" w:rsidR="0095761A" w:rsidRPr="00DE12A3" w:rsidRDefault="0095761A" w:rsidP="009C7D14">
      <w:pPr>
        <w:pStyle w:val="Point0"/>
        <w:ind w:left="0" w:firstLine="0"/>
      </w:pPr>
      <w:r w:rsidRPr="00DE12A3">
        <w:t>İki yakıtlı Tip 1A veya Tip 2A bir motor olması durumunda, boş bir gaz yakıt deposunun ve arızalı bir gaz besleme sisteminin tespit edilmesi üzerine motorun işlerlik kısıtlamasının devreye girmesini kontrol etme kabiliyeti AB tip onayında ispatlanmalıdır. Bu amaçla, boş gaz yakıt deposunun ve gaz beslemesi arızasının simülasyonu yapılabilir.</w:t>
      </w:r>
    </w:p>
    <w:p w14:paraId="0A288F35" w14:textId="474100C5" w:rsidR="0095761A" w:rsidRPr="00DE12A3" w:rsidRDefault="0095761A" w:rsidP="009C7D14">
      <w:pPr>
        <w:pStyle w:val="Point0"/>
        <w:ind w:left="0" w:firstLine="0"/>
      </w:pPr>
      <w:r w:rsidRPr="00DE12A3">
        <w:t>3.1.</w:t>
      </w:r>
      <w:r w:rsidR="009C7D14" w:rsidRPr="00DE12A3">
        <w:t xml:space="preserve"> </w:t>
      </w:r>
      <w:r w:rsidRPr="00DE12A3">
        <w:t>İspatın, onay kuruluşunun mutabakatıyla seçilen tipik bir kullanım durumunda gerçekleştirilmesi ve işlerlik kısıtlamasının diğer olası kullanım durumlarında gerçekleştiğini gösteren kanıtların (örneğin, algoritmalar, simülasyonlar, şirket içi testlerin sonucu v</w:t>
      </w:r>
      <w:r w:rsidR="002C198B" w:rsidRPr="00DE12A3">
        <w:t>e benzeri</w:t>
      </w:r>
      <w:r w:rsidRPr="00DE12A3">
        <w:t>) söz konusu otoriteye sunulması yeterlidir.</w:t>
      </w:r>
    </w:p>
    <w:p w14:paraId="510A9542" w14:textId="77777777" w:rsidR="00874132" w:rsidRPr="00DE12A3" w:rsidRDefault="00874132" w:rsidP="009C7D14">
      <w:pPr>
        <w:spacing w:before="120" w:after="120"/>
        <w:rPr>
          <w:rFonts w:cs="Times New Roman"/>
          <w:color w:val="auto"/>
        </w:rPr>
      </w:pPr>
    </w:p>
    <w:p w14:paraId="37E80626" w14:textId="77777777" w:rsidR="004940FF" w:rsidRPr="00DE12A3" w:rsidRDefault="004940FF" w:rsidP="009C7D14">
      <w:pPr>
        <w:widowControl/>
        <w:rPr>
          <w:rFonts w:cs="Times New Roman"/>
          <w:color w:val="auto"/>
        </w:rPr>
      </w:pPr>
      <w:r w:rsidRPr="00DE12A3">
        <w:rPr>
          <w:color w:val="auto"/>
        </w:rPr>
        <w:br w:type="page"/>
      </w:r>
    </w:p>
    <w:p w14:paraId="1D6710F2" w14:textId="69A9F34F" w:rsidR="00E40FE7" w:rsidRPr="00DE12A3" w:rsidRDefault="00E40FE7" w:rsidP="004940FF">
      <w:pPr>
        <w:pStyle w:val="Balk2"/>
        <w:rPr>
          <w:color w:val="auto"/>
        </w:rPr>
      </w:pPr>
      <w:r w:rsidRPr="00DE12A3">
        <w:rPr>
          <w:color w:val="auto"/>
        </w:rPr>
        <w:lastRenderedPageBreak/>
        <w:t>2. Açıklayıcı Ek</w:t>
      </w:r>
    </w:p>
    <w:p w14:paraId="1601C419" w14:textId="77777777" w:rsidR="00E40FE7" w:rsidRPr="00DE12A3" w:rsidRDefault="00E40FE7" w:rsidP="00C917D6">
      <w:pPr>
        <w:pStyle w:val="Point0"/>
        <w:ind w:left="1134" w:hanging="1134"/>
        <w:jc w:val="center"/>
        <w:rPr>
          <w:b/>
        </w:rPr>
      </w:pPr>
      <w:r w:rsidRPr="00DE12A3">
        <w:rPr>
          <w:b/>
        </w:rPr>
        <w:t xml:space="preserve">İki yakıtlı motorlar için emisyon testi prosedürü </w:t>
      </w:r>
      <w:r w:rsidR="0053289F" w:rsidRPr="00DE12A3">
        <w:rPr>
          <w:b/>
        </w:rPr>
        <w:t>gereklilikleri</w:t>
      </w:r>
    </w:p>
    <w:p w14:paraId="5CCC9EB0" w14:textId="235D5E81" w:rsidR="00E40FE7" w:rsidRPr="00DE12A3" w:rsidRDefault="00E40FE7" w:rsidP="00C917D6">
      <w:pPr>
        <w:pStyle w:val="Point0"/>
        <w:ind w:left="1134" w:hanging="1134"/>
        <w:rPr>
          <w:b/>
        </w:rPr>
      </w:pPr>
      <w:r w:rsidRPr="00DE12A3">
        <w:rPr>
          <w:b/>
          <w:bCs/>
        </w:rPr>
        <w:t>1.</w:t>
      </w:r>
      <w:r w:rsidR="00287809" w:rsidRPr="00DE12A3">
        <w:rPr>
          <w:b/>
          <w:bCs/>
        </w:rPr>
        <w:t xml:space="preserve"> </w:t>
      </w:r>
      <w:r w:rsidRPr="00DE12A3">
        <w:rPr>
          <w:b/>
        </w:rPr>
        <w:t>Genel</w:t>
      </w:r>
    </w:p>
    <w:p w14:paraId="30F0BB34" w14:textId="23C75BF6" w:rsidR="00E40FE7" w:rsidRPr="00DE12A3" w:rsidRDefault="00FA0678" w:rsidP="00287809">
      <w:pPr>
        <w:pStyle w:val="Point0"/>
        <w:ind w:left="0" w:firstLine="0"/>
      </w:pPr>
      <w:r w:rsidRPr="00DE12A3">
        <w:t xml:space="preserve">VI’ncı </w:t>
      </w:r>
      <w:r w:rsidR="00BF5FC6" w:rsidRPr="00DE12A3">
        <w:t>E</w:t>
      </w:r>
      <w:r w:rsidRPr="00DE12A3">
        <w:t>k</w:t>
      </w:r>
      <w:r w:rsidR="00E40FE7" w:rsidRPr="00DE12A3">
        <w:t xml:space="preserve">in 6.10 bendi uyarınca bu emisyonların sadece egzoz emisyonu mu yoksa aynı zamanda karter emisyonları mı olduğundan bağımsız olarak, bu </w:t>
      </w:r>
      <w:r w:rsidR="002C198B" w:rsidRPr="00DE12A3">
        <w:t xml:space="preserve">Açıklayıcı </w:t>
      </w:r>
      <w:r w:rsidR="00E40FE7" w:rsidRPr="00DE12A3">
        <w:t xml:space="preserve">Ekin, iki yakıtlı motorların emisyon testini mümkün kılmaya yönelik ilave </w:t>
      </w:r>
      <w:r w:rsidR="0053289F" w:rsidRPr="00DE12A3">
        <w:t>gereklilikleri</w:t>
      </w:r>
      <w:r w:rsidR="00E40FE7" w:rsidRPr="00DE12A3">
        <w:t xml:space="preserve"> ve istisnaları tarif edilmektedir. Sıralanan bir ilave şart veya istisna bulunmaması durumunda, iki yakıtlı motorlar için, bu Tebliğ</w:t>
      </w:r>
      <w:r w:rsidR="00C62BF9" w:rsidRPr="00DE12A3">
        <w:t>in</w:t>
      </w:r>
      <w:r w:rsidR="00E40FE7" w:rsidRPr="00DE12A3">
        <w:t xml:space="preserve"> </w:t>
      </w:r>
      <w:r w:rsidR="0053289F" w:rsidRPr="00DE12A3">
        <w:t>gereklilikleri</w:t>
      </w:r>
      <w:r w:rsidR="00E40FE7" w:rsidRPr="00DE12A3">
        <w:t xml:space="preserve">, 2016/1628/AB </w:t>
      </w:r>
      <w:r w:rsidR="00105FCA" w:rsidRPr="00DE12A3">
        <w:t>Yönetmeliği</w:t>
      </w:r>
      <w:r w:rsidR="00E40FE7" w:rsidRPr="00DE12A3">
        <w:t xml:space="preserve"> uyarınca onaylanan diğer tüm motor tipleri veya motor aileleri için uygulandığı şekilde uygulanır.</w:t>
      </w:r>
    </w:p>
    <w:p w14:paraId="1E4A77A2" w14:textId="0D31A075" w:rsidR="00E40FE7" w:rsidRPr="00DE12A3" w:rsidRDefault="00E40FE7" w:rsidP="00287809">
      <w:pPr>
        <w:pStyle w:val="Point0"/>
        <w:ind w:left="0" w:firstLine="0"/>
      </w:pPr>
      <w:r w:rsidRPr="00DE12A3">
        <w:t>İki yakıtlı bir motorun emisyon testi, motor tarafından kullanılan yakıtın, saf sıvı yakıt ile esasen gaz yakıtın tutuşma kaynağı olarak sadece az miktarda sıvı yakıtla bir kombinasyonu arasında değişebilmesi nedeniyle karmaşıktır. İki yakıtlı motor tarafından kullanılan yakıtlar arasındaki oran, motorun çalışma durumuna bağlı olarak dinamik olarak da değişebilir. Sonuç olarak, bu motorların emisyon testinin yapılmasını sağlamak için özel önlemler ve kısıtlamalar gereklidir.</w:t>
      </w:r>
    </w:p>
    <w:p w14:paraId="29DC4F1B" w14:textId="5281ECC9" w:rsidR="00E40FE7" w:rsidRPr="00DE12A3" w:rsidRDefault="00E40FE7" w:rsidP="00C917D6">
      <w:pPr>
        <w:pStyle w:val="Point0"/>
        <w:ind w:left="1134" w:hanging="1134"/>
        <w:rPr>
          <w:b/>
        </w:rPr>
      </w:pPr>
      <w:r w:rsidRPr="00DE12A3">
        <w:rPr>
          <w:b/>
          <w:bCs/>
        </w:rPr>
        <w:t>2.</w:t>
      </w:r>
      <w:r w:rsidR="00287809" w:rsidRPr="00DE12A3">
        <w:rPr>
          <w:b/>
          <w:bCs/>
        </w:rPr>
        <w:t xml:space="preserve"> </w:t>
      </w:r>
      <w:r w:rsidRPr="00DE12A3">
        <w:rPr>
          <w:b/>
        </w:rPr>
        <w:t>Test koşulları</w:t>
      </w:r>
    </w:p>
    <w:p w14:paraId="03D37CB4" w14:textId="49291C89" w:rsidR="00E40FE7" w:rsidRPr="00DE12A3" w:rsidRDefault="00FA0678" w:rsidP="00C917D6">
      <w:pPr>
        <w:pStyle w:val="Point0"/>
        <w:ind w:left="1134" w:hanging="1134"/>
      </w:pPr>
      <w:r w:rsidRPr="00DE12A3">
        <w:t xml:space="preserve">VI’ncı </w:t>
      </w:r>
      <w:r w:rsidR="00B32A92" w:rsidRPr="00DE12A3">
        <w:t>E</w:t>
      </w:r>
      <w:r w:rsidRPr="00DE12A3">
        <w:t>k</w:t>
      </w:r>
      <w:r w:rsidR="00E40FE7" w:rsidRPr="00DE12A3">
        <w:t xml:space="preserve">in 6. </w:t>
      </w:r>
      <w:r w:rsidR="00B32A92" w:rsidRPr="00DE12A3">
        <w:t>Bölüm</w:t>
      </w:r>
      <w:r w:rsidR="00E40FE7" w:rsidRPr="00DE12A3">
        <w:t>ü uygulanır.</w:t>
      </w:r>
    </w:p>
    <w:p w14:paraId="6363BA37" w14:textId="789E7000" w:rsidR="00E40FE7" w:rsidRPr="00DE12A3" w:rsidRDefault="00E40FE7" w:rsidP="00C917D6">
      <w:pPr>
        <w:pStyle w:val="Point0"/>
        <w:ind w:left="1134" w:hanging="1134"/>
        <w:rPr>
          <w:b/>
        </w:rPr>
      </w:pPr>
      <w:r w:rsidRPr="00DE12A3">
        <w:rPr>
          <w:b/>
          <w:bCs/>
        </w:rPr>
        <w:t>3.</w:t>
      </w:r>
      <w:r w:rsidR="00287809" w:rsidRPr="00DE12A3">
        <w:rPr>
          <w:b/>
          <w:bCs/>
        </w:rPr>
        <w:t xml:space="preserve"> </w:t>
      </w:r>
      <w:r w:rsidRPr="00DE12A3">
        <w:rPr>
          <w:b/>
        </w:rPr>
        <w:t>Test prosedürleri</w:t>
      </w:r>
    </w:p>
    <w:p w14:paraId="03EBABFF" w14:textId="4B860C3D" w:rsidR="00E40FE7" w:rsidRPr="00DE12A3" w:rsidRDefault="00FA0678" w:rsidP="00C917D6">
      <w:pPr>
        <w:pStyle w:val="Point0"/>
        <w:ind w:left="1134" w:hanging="1134"/>
      </w:pPr>
      <w:r w:rsidRPr="00DE12A3">
        <w:t xml:space="preserve">VI’ncı </w:t>
      </w:r>
      <w:r w:rsidR="00B32A92" w:rsidRPr="00DE12A3">
        <w:t>E</w:t>
      </w:r>
      <w:r w:rsidRPr="00DE12A3">
        <w:t>k</w:t>
      </w:r>
      <w:r w:rsidR="00E40FE7" w:rsidRPr="00DE12A3">
        <w:t xml:space="preserve">in 7. </w:t>
      </w:r>
      <w:r w:rsidR="00B32A92" w:rsidRPr="00DE12A3">
        <w:t>Bölüm</w:t>
      </w:r>
      <w:r w:rsidR="00E40FE7" w:rsidRPr="00DE12A3">
        <w:t>ü uygulanır.</w:t>
      </w:r>
    </w:p>
    <w:p w14:paraId="03320B37" w14:textId="1AC2FB3C" w:rsidR="00E40FE7" w:rsidRPr="00DE12A3" w:rsidRDefault="00E40FE7" w:rsidP="00C917D6">
      <w:pPr>
        <w:pStyle w:val="Point0"/>
        <w:ind w:left="1134" w:hanging="1134"/>
        <w:rPr>
          <w:b/>
        </w:rPr>
      </w:pPr>
      <w:r w:rsidRPr="00DE12A3">
        <w:rPr>
          <w:b/>
          <w:bCs/>
        </w:rPr>
        <w:t>4.</w:t>
      </w:r>
      <w:r w:rsidR="00287809" w:rsidRPr="00DE12A3">
        <w:rPr>
          <w:b/>
          <w:bCs/>
        </w:rPr>
        <w:t xml:space="preserve"> </w:t>
      </w:r>
      <w:r w:rsidRPr="00DE12A3">
        <w:rPr>
          <w:b/>
        </w:rPr>
        <w:t>Ölçüm prosedürleri</w:t>
      </w:r>
    </w:p>
    <w:p w14:paraId="31E4EB96" w14:textId="70EC0D4E" w:rsidR="00E40FE7" w:rsidRPr="00DE12A3" w:rsidRDefault="00E40FE7" w:rsidP="00287809">
      <w:pPr>
        <w:pStyle w:val="Point0"/>
        <w:ind w:left="0" w:firstLine="0"/>
      </w:pPr>
      <w:r w:rsidRPr="00DE12A3">
        <w:t xml:space="preserve">Bu Açıklayıcı Ek'te belirtilenler dışında </w:t>
      </w:r>
      <w:r w:rsidR="00FA0678" w:rsidRPr="00DE12A3">
        <w:t xml:space="preserve">VI’ncı </w:t>
      </w:r>
      <w:r w:rsidR="00B32A92" w:rsidRPr="00DE12A3">
        <w:t>E</w:t>
      </w:r>
      <w:r w:rsidR="00FA0678" w:rsidRPr="00DE12A3">
        <w:t>k</w:t>
      </w:r>
      <w:r w:rsidRPr="00DE12A3">
        <w:t xml:space="preserve">in 8. </w:t>
      </w:r>
      <w:r w:rsidR="00B32A92" w:rsidRPr="00DE12A3">
        <w:t>Bölüm</w:t>
      </w:r>
      <w:r w:rsidRPr="00DE12A3">
        <w:t>ü uygulanır.</w:t>
      </w:r>
    </w:p>
    <w:p w14:paraId="362EB296" w14:textId="321FB067" w:rsidR="00E40FE7" w:rsidRPr="00DE12A3" w:rsidRDefault="00E40FE7" w:rsidP="00287809">
      <w:pPr>
        <w:pStyle w:val="Point0"/>
        <w:ind w:left="0" w:firstLine="0"/>
      </w:pPr>
      <w:r w:rsidRPr="00DE12A3">
        <w:t xml:space="preserve">İki yakıtlı motorlar için tam akışlı bir seyreltme ölçüm prosedürü </w:t>
      </w:r>
      <w:r w:rsidR="00FA0678" w:rsidRPr="00DE12A3">
        <w:t xml:space="preserve">VI’ncı </w:t>
      </w:r>
      <w:r w:rsidR="002C198B" w:rsidRPr="00DE12A3">
        <w:t>E</w:t>
      </w:r>
      <w:r w:rsidR="00FA0678" w:rsidRPr="00DE12A3">
        <w:t>k</w:t>
      </w:r>
      <w:r w:rsidRPr="00DE12A3">
        <w:t xml:space="preserve">te (CVS sistemi) </w:t>
      </w:r>
      <w:r w:rsidR="002C198B" w:rsidRPr="00DE12A3">
        <w:t xml:space="preserve">yer alan </w:t>
      </w:r>
      <w:r w:rsidRPr="00DE12A3">
        <w:t>Şekil 6.6'da gösterilmektedir.</w:t>
      </w:r>
    </w:p>
    <w:p w14:paraId="3885EDD9" w14:textId="04BF3690" w:rsidR="00E40FE7" w:rsidRPr="00DE12A3" w:rsidRDefault="00E40FE7" w:rsidP="00287809">
      <w:pPr>
        <w:pStyle w:val="Point0"/>
        <w:ind w:left="0" w:firstLine="0"/>
      </w:pPr>
      <w:r w:rsidRPr="00DE12A3">
        <w:t>Bu ölçüm prosedürü test sırasındaki yakıt bileşiminin değişmesinin esas olarak hidrokarbon ölçüm sonuçlarını etkilemesini sağlar. Bu, 7</w:t>
      </w:r>
      <w:r w:rsidR="002C198B" w:rsidRPr="00DE12A3">
        <w:t xml:space="preserve">. Bölümde </w:t>
      </w:r>
      <w:r w:rsidRPr="00DE12A3">
        <w:t>açıklanan yöntemlerden biriyle dengelenmelidir.</w:t>
      </w:r>
    </w:p>
    <w:p w14:paraId="05027102" w14:textId="77777777" w:rsidR="00E40FE7" w:rsidRPr="00DE12A3" w:rsidRDefault="00FA0678" w:rsidP="00287809">
      <w:pPr>
        <w:pStyle w:val="Point0"/>
        <w:ind w:left="0" w:firstLine="0"/>
      </w:pPr>
      <w:r w:rsidRPr="00DE12A3">
        <w:t>VI’ncı ek</w:t>
      </w:r>
      <w:r w:rsidR="00E40FE7" w:rsidRPr="00DE12A3">
        <w:t>te Şekil 6.7'de gösterilen ham gaz/kısmi akış ölçümü, egzoz gazı kütle akışının belirlenmesi ve hesaplama yöntemleri ile ilgili bazı önlemler ile kullanılabilir.</w:t>
      </w:r>
    </w:p>
    <w:p w14:paraId="49B5FEAA" w14:textId="59A76D3A" w:rsidR="00E40FE7" w:rsidRPr="00DE12A3" w:rsidRDefault="00E40FE7" w:rsidP="00C917D6">
      <w:pPr>
        <w:pStyle w:val="Point0"/>
        <w:ind w:left="1134" w:hanging="1134"/>
        <w:rPr>
          <w:b/>
        </w:rPr>
      </w:pPr>
      <w:r w:rsidRPr="00DE12A3">
        <w:rPr>
          <w:b/>
          <w:bCs/>
        </w:rPr>
        <w:t>5.</w:t>
      </w:r>
      <w:r w:rsidR="00570441" w:rsidRPr="00DE12A3">
        <w:rPr>
          <w:b/>
          <w:bCs/>
        </w:rPr>
        <w:t xml:space="preserve"> </w:t>
      </w:r>
      <w:r w:rsidRPr="00DE12A3">
        <w:rPr>
          <w:b/>
        </w:rPr>
        <w:t>Ölçüm ekipmanları</w:t>
      </w:r>
    </w:p>
    <w:p w14:paraId="65F7AEA6" w14:textId="07B1CE71" w:rsidR="00E40FE7" w:rsidRPr="00DE12A3" w:rsidRDefault="00FA0678" w:rsidP="00C917D6">
      <w:pPr>
        <w:pStyle w:val="Point0"/>
        <w:ind w:left="1134" w:hanging="1134"/>
      </w:pPr>
      <w:r w:rsidRPr="00DE12A3">
        <w:t xml:space="preserve">VI’ncı </w:t>
      </w:r>
      <w:r w:rsidR="00B32A92" w:rsidRPr="00DE12A3">
        <w:t>E</w:t>
      </w:r>
      <w:r w:rsidRPr="00DE12A3">
        <w:t>k</w:t>
      </w:r>
      <w:r w:rsidR="00E40FE7" w:rsidRPr="00DE12A3">
        <w:t xml:space="preserve">in 9. </w:t>
      </w:r>
      <w:r w:rsidR="00B32A92" w:rsidRPr="00DE12A3">
        <w:t>Bölüm</w:t>
      </w:r>
      <w:r w:rsidR="00E40FE7" w:rsidRPr="00DE12A3">
        <w:t>ü uygulanır.</w:t>
      </w:r>
    </w:p>
    <w:p w14:paraId="69F40FE9" w14:textId="58C506D7" w:rsidR="00E40FE7" w:rsidRPr="00DE12A3" w:rsidRDefault="00E40FE7" w:rsidP="00C917D6">
      <w:pPr>
        <w:pStyle w:val="Point0"/>
        <w:ind w:left="1134" w:hanging="1134"/>
        <w:rPr>
          <w:b/>
        </w:rPr>
      </w:pPr>
      <w:r w:rsidRPr="00DE12A3">
        <w:rPr>
          <w:b/>
          <w:bCs/>
        </w:rPr>
        <w:t>6.</w:t>
      </w:r>
      <w:r w:rsidR="00570441" w:rsidRPr="00DE12A3">
        <w:rPr>
          <w:b/>
          <w:bCs/>
        </w:rPr>
        <w:t xml:space="preserve"> </w:t>
      </w:r>
      <w:r w:rsidR="007E2039" w:rsidRPr="00DE12A3">
        <w:rPr>
          <w:b/>
        </w:rPr>
        <w:t xml:space="preserve">Partikül </w:t>
      </w:r>
      <w:r w:rsidRPr="00DE12A3">
        <w:rPr>
          <w:b/>
        </w:rPr>
        <w:t>sayısı emisyon ölçümü</w:t>
      </w:r>
    </w:p>
    <w:p w14:paraId="53135647" w14:textId="436AFD00" w:rsidR="00E40FE7" w:rsidRPr="00DE12A3" w:rsidRDefault="00FA0678" w:rsidP="00C917D6">
      <w:pPr>
        <w:pStyle w:val="Point0"/>
        <w:ind w:left="1134" w:hanging="1134"/>
      </w:pPr>
      <w:r w:rsidRPr="00DE12A3">
        <w:t xml:space="preserve">VI’ncı </w:t>
      </w:r>
      <w:r w:rsidR="00B32A92" w:rsidRPr="00DE12A3">
        <w:t>E</w:t>
      </w:r>
      <w:r w:rsidRPr="00DE12A3">
        <w:t>k</w:t>
      </w:r>
      <w:r w:rsidR="00E40FE7" w:rsidRPr="00DE12A3">
        <w:t>in 1. Açıklayıcı Eki uygulanır.</w:t>
      </w:r>
    </w:p>
    <w:p w14:paraId="27E1CC91" w14:textId="63BDD029" w:rsidR="00E40FE7" w:rsidRPr="00DE12A3" w:rsidRDefault="00E40FE7" w:rsidP="00C917D6">
      <w:pPr>
        <w:pStyle w:val="Point0"/>
        <w:ind w:left="1134" w:hanging="1134"/>
        <w:rPr>
          <w:b/>
        </w:rPr>
      </w:pPr>
      <w:r w:rsidRPr="00DE12A3">
        <w:rPr>
          <w:b/>
          <w:bCs/>
        </w:rPr>
        <w:t>7.</w:t>
      </w:r>
      <w:r w:rsidR="00570441" w:rsidRPr="00DE12A3">
        <w:rPr>
          <w:b/>
          <w:bCs/>
        </w:rPr>
        <w:t xml:space="preserve"> </w:t>
      </w:r>
      <w:r w:rsidRPr="00DE12A3">
        <w:rPr>
          <w:b/>
        </w:rPr>
        <w:t>Emisyon hesaplaması</w:t>
      </w:r>
    </w:p>
    <w:p w14:paraId="1C71AA4C" w14:textId="369CEF4E" w:rsidR="00874132" w:rsidRPr="00DE12A3" w:rsidRDefault="00E40FE7" w:rsidP="00570441">
      <w:pPr>
        <w:pStyle w:val="Point0"/>
        <w:ind w:left="0" w:firstLine="0"/>
      </w:pPr>
      <w:r w:rsidRPr="00DE12A3">
        <w:t xml:space="preserve">Emisyon hesaplaması, bu </w:t>
      </w:r>
      <w:r w:rsidR="002C198B" w:rsidRPr="00DE12A3">
        <w:t>B</w:t>
      </w:r>
      <w:r w:rsidRPr="00DE12A3">
        <w:t xml:space="preserve">ölümde belirtilenler dışında </w:t>
      </w:r>
      <w:r w:rsidR="00FA0678" w:rsidRPr="00DE12A3">
        <w:t xml:space="preserve">VII’nci </w:t>
      </w:r>
      <w:r w:rsidR="00773274" w:rsidRPr="00DE12A3">
        <w:t>E</w:t>
      </w:r>
      <w:r w:rsidR="00FA0678" w:rsidRPr="00DE12A3">
        <w:t>k</w:t>
      </w:r>
      <w:r w:rsidRPr="00DE12A3">
        <w:t xml:space="preserve"> uyarınca yapılmalıdır. 7.1 bendinde belirtilen ilave şartlar, kütle bazlı hesaplamalar için uygulanmalı ve 7.2 bendinde belirtilen ilave şartlar, molar bazlı hesaplamalar için uygulanmalıdır.</w:t>
      </w:r>
    </w:p>
    <w:p w14:paraId="4F9EF45C" w14:textId="61AA25A5" w:rsidR="00E40FE7" w:rsidRPr="00DE12A3" w:rsidRDefault="00E40FE7" w:rsidP="00570441">
      <w:pPr>
        <w:pStyle w:val="Point0"/>
        <w:ind w:left="0" w:firstLine="0"/>
      </w:pPr>
      <w:r w:rsidRPr="00DE12A3">
        <w:t>Emisyon hesaplaması, kullanılan yakıtların bileşiminin bilinmesini gerektirir. Bir gaz yakıt, yakıtın özelliklerini onaylayan bir sertifika ile tedarik edildiğinde (örneğin şişelerden çıkan gaz), tedarikçi tarafından belirtilen bileşimin kullanılması kabul edilir. Bileşimin bilinmediği durumlarda (örneğin boru hattı yakıtı), yakıt bileşimi en azından motor emisyon testi yapılmadan önce ve sonra analiz edilmelidir. Daha sık analize izin verilir ve sonuçlar hesaplamada kullanılır.</w:t>
      </w:r>
    </w:p>
    <w:p w14:paraId="20114397" w14:textId="411D840E" w:rsidR="00E40FE7" w:rsidRPr="00DE12A3" w:rsidRDefault="00E40FE7" w:rsidP="00570441">
      <w:pPr>
        <w:pStyle w:val="Point0"/>
        <w:ind w:left="0" w:firstLine="0"/>
      </w:pPr>
      <w:r w:rsidRPr="00DE12A3">
        <w:t>Gaz enerji oranının (GER) kullanıldığı yerlerde, 2016/1628/AB Yönetmeliği</w:t>
      </w:r>
      <w:r w:rsidR="00570441" w:rsidRPr="00DE12A3">
        <w:t>nin</w:t>
      </w:r>
      <w:r w:rsidRPr="00DE12A3">
        <w:t xml:space="preserve"> 4</w:t>
      </w:r>
      <w:r w:rsidR="00570441" w:rsidRPr="00DE12A3">
        <w:t xml:space="preserve"> </w:t>
      </w:r>
      <w:r w:rsidRPr="00DE12A3">
        <w:t xml:space="preserve">üncü maddesinin </w:t>
      </w:r>
      <w:r w:rsidR="00CC0583" w:rsidRPr="00DE12A3">
        <w:t>birinci</w:t>
      </w:r>
      <w:r w:rsidRPr="00DE12A3">
        <w:t xml:space="preserve"> fıkrasındaki tanımla ve </w:t>
      </w:r>
      <w:r w:rsidR="00875D97" w:rsidRPr="00DE12A3">
        <w:t xml:space="preserve">bu </w:t>
      </w:r>
      <w:r w:rsidR="00D042D7" w:rsidRPr="00DE12A3">
        <w:t>T</w:t>
      </w:r>
      <w:r w:rsidR="00875D97" w:rsidRPr="00DE12A3">
        <w:t>ebliğ</w:t>
      </w:r>
      <w:r w:rsidRPr="00DE12A3">
        <w:t>in II</w:t>
      </w:r>
      <w:r w:rsidR="002C198B" w:rsidRPr="00DE12A3">
        <w:t>’nci</w:t>
      </w:r>
      <w:r w:rsidRPr="00DE12A3">
        <w:t xml:space="preserve"> Eki içindeki tamamen ve kısmen </w:t>
      </w:r>
      <w:r w:rsidRPr="00DE12A3">
        <w:lastRenderedPageBreak/>
        <w:t xml:space="preserve">gazla çalışan motorlar için toplam hidrokarbon (HC) sınırlarına ilişkin belirli hükümlerle tutarlı olmalıdır. </w:t>
      </w:r>
      <w:r w:rsidR="00F310B5" w:rsidRPr="00DE12A3">
        <w:t>Çevrim</w:t>
      </w:r>
      <w:r w:rsidRPr="00DE12A3">
        <w:t xml:space="preserve"> üzerindeki ortalama GER değeri, aşağıdaki yöntemlerden biri ile hesaplanır:</w:t>
      </w:r>
    </w:p>
    <w:p w14:paraId="515ACD59" w14:textId="210DAD12" w:rsidR="00E40FE7" w:rsidRPr="00DE12A3" w:rsidRDefault="00E40FE7" w:rsidP="00570441">
      <w:pPr>
        <w:pStyle w:val="Point0"/>
        <w:ind w:left="0" w:firstLine="0"/>
      </w:pPr>
      <w:r w:rsidRPr="00DE12A3">
        <w:t>(a)</w:t>
      </w:r>
      <w:r w:rsidR="00570441" w:rsidRPr="00DE12A3">
        <w:t xml:space="preserve"> </w:t>
      </w:r>
      <w:r w:rsidRPr="00DE12A3">
        <w:t xml:space="preserve">Ön ısıtmalı NRTC ve RMC NRSC için, her ölçüm noktasındaki GER değeri toplamı, ölçüm noktalarının sayısına </w:t>
      </w:r>
      <w:r w:rsidR="00301A9C" w:rsidRPr="00DE12A3">
        <w:t>bölünerek ;</w:t>
      </w:r>
    </w:p>
    <w:p w14:paraId="2384B2D7" w14:textId="2347F9C0" w:rsidR="00E40FE7" w:rsidRPr="00DE12A3" w:rsidRDefault="00E40FE7" w:rsidP="00570441">
      <w:pPr>
        <w:pStyle w:val="Point0"/>
        <w:ind w:left="0" w:firstLine="0"/>
      </w:pPr>
      <w:r w:rsidRPr="00DE12A3">
        <w:t>(b)</w:t>
      </w:r>
      <w:r w:rsidR="00570441" w:rsidRPr="00DE12A3">
        <w:t xml:space="preserve"> </w:t>
      </w:r>
      <w:r w:rsidRPr="00DE12A3">
        <w:t xml:space="preserve">Ayrık mod NRSC için, her test modu için ortalama GER değeri, o mod için karşılık gelen ağırlık faktörü ile çarpılarak ve tüm modlar için toplam hesaplanarak. Ağırlıklandırma faktörleri, geçerli </w:t>
      </w:r>
      <w:r w:rsidR="00F310B5" w:rsidRPr="00DE12A3">
        <w:t>çevrim</w:t>
      </w:r>
      <w:r w:rsidRPr="00DE12A3">
        <w:t xml:space="preserve"> için X</w:t>
      </w:r>
      <w:r w:rsidR="00FA0678" w:rsidRPr="00DE12A3">
        <w:t xml:space="preserve">VII’nci </w:t>
      </w:r>
      <w:r w:rsidR="00483E27" w:rsidRPr="00DE12A3">
        <w:t>E</w:t>
      </w:r>
      <w:r w:rsidR="00FA0678" w:rsidRPr="00DE12A3">
        <w:t>k</w:t>
      </w:r>
      <w:r w:rsidRPr="00DE12A3">
        <w:t xml:space="preserve">in </w:t>
      </w:r>
      <w:r w:rsidR="00FA0678" w:rsidRPr="00DE12A3">
        <w:t>1. Açıklayıcı Ekin</w:t>
      </w:r>
      <w:r w:rsidRPr="00DE12A3">
        <w:t>den alınır.</w:t>
      </w:r>
    </w:p>
    <w:p w14:paraId="34CD9DF9" w14:textId="23AA6805" w:rsidR="00E40FE7" w:rsidRPr="00DE12A3" w:rsidRDefault="00E40FE7" w:rsidP="00570441">
      <w:pPr>
        <w:pStyle w:val="Point0"/>
        <w:ind w:left="0" w:firstLine="0"/>
        <w:rPr>
          <w:bCs/>
        </w:rPr>
      </w:pPr>
      <w:r w:rsidRPr="00DE12A3">
        <w:rPr>
          <w:bCs/>
        </w:rPr>
        <w:t>7.1.</w:t>
      </w:r>
      <w:r w:rsidR="00570441" w:rsidRPr="00DE12A3">
        <w:rPr>
          <w:bCs/>
        </w:rPr>
        <w:t xml:space="preserve"> </w:t>
      </w:r>
      <w:r w:rsidRPr="00DE12A3">
        <w:rPr>
          <w:bCs/>
        </w:rPr>
        <w:t>Kütle bazlı emisyon hesaplaması</w:t>
      </w:r>
    </w:p>
    <w:p w14:paraId="4F323851" w14:textId="7B1D524B" w:rsidR="00E40FE7" w:rsidRPr="00DE12A3" w:rsidRDefault="00E40FE7" w:rsidP="00570441">
      <w:pPr>
        <w:pStyle w:val="Point0"/>
        <w:ind w:left="0" w:firstLine="0"/>
      </w:pPr>
      <w:r w:rsidRPr="00DE12A3">
        <w:t xml:space="preserve">Bu </w:t>
      </w:r>
      <w:r w:rsidR="002C198B" w:rsidRPr="00DE12A3">
        <w:t>B</w:t>
      </w:r>
      <w:r w:rsidRPr="00DE12A3">
        <w:t xml:space="preserve">ölümde belirtilenler dışında </w:t>
      </w:r>
      <w:r w:rsidR="00FA0678" w:rsidRPr="00DE12A3">
        <w:t>VII’nci</w:t>
      </w:r>
      <w:r w:rsidR="00483E27" w:rsidRPr="00DE12A3">
        <w:t xml:space="preserve"> E</w:t>
      </w:r>
      <w:r w:rsidR="00FA0678" w:rsidRPr="00DE12A3">
        <w:t>k</w:t>
      </w:r>
      <w:r w:rsidRPr="00DE12A3">
        <w:t xml:space="preserve">in 2. </w:t>
      </w:r>
      <w:r w:rsidR="00483E27" w:rsidRPr="00DE12A3">
        <w:t>B</w:t>
      </w:r>
      <w:r w:rsidRPr="00DE12A3">
        <w:t>ölümü uygulanır.</w:t>
      </w:r>
    </w:p>
    <w:p w14:paraId="54A7539E" w14:textId="6F1AC1DC" w:rsidR="00E40FE7" w:rsidRPr="00DE12A3" w:rsidRDefault="00E40FE7" w:rsidP="00570441">
      <w:pPr>
        <w:pStyle w:val="Point0"/>
        <w:ind w:left="0" w:firstLine="0"/>
        <w:rPr>
          <w:bCs/>
        </w:rPr>
      </w:pPr>
      <w:r w:rsidRPr="00DE12A3">
        <w:rPr>
          <w:bCs/>
        </w:rPr>
        <w:t>7.1.1.</w:t>
      </w:r>
      <w:r w:rsidR="00570441" w:rsidRPr="00DE12A3">
        <w:rPr>
          <w:bCs/>
        </w:rPr>
        <w:t xml:space="preserve"> </w:t>
      </w:r>
      <w:r w:rsidRPr="00DE12A3">
        <w:rPr>
          <w:bCs/>
        </w:rPr>
        <w:t>Kuru/yaş düzeltmesi</w:t>
      </w:r>
    </w:p>
    <w:p w14:paraId="323FA639" w14:textId="460E013C" w:rsidR="00E40FE7" w:rsidRPr="00DE12A3" w:rsidRDefault="00E40FE7" w:rsidP="00570441">
      <w:pPr>
        <w:pStyle w:val="Point0"/>
        <w:ind w:left="0" w:firstLine="0"/>
        <w:rPr>
          <w:bCs/>
        </w:rPr>
      </w:pPr>
      <w:r w:rsidRPr="00DE12A3">
        <w:rPr>
          <w:bCs/>
        </w:rPr>
        <w:t>7.1.1.1.</w:t>
      </w:r>
      <w:r w:rsidR="00570441" w:rsidRPr="00DE12A3">
        <w:rPr>
          <w:bCs/>
        </w:rPr>
        <w:t xml:space="preserve"> </w:t>
      </w:r>
      <w:r w:rsidRPr="00DE12A3">
        <w:rPr>
          <w:bCs/>
        </w:rPr>
        <w:t>Ham egzoz gazı</w:t>
      </w:r>
    </w:p>
    <w:p w14:paraId="4ED899AB" w14:textId="09643A49" w:rsidR="00E40FE7" w:rsidRPr="00DE12A3" w:rsidRDefault="00E40FE7" w:rsidP="00570441">
      <w:pPr>
        <w:pStyle w:val="Point0"/>
        <w:ind w:left="0" w:firstLine="0"/>
      </w:pPr>
      <w:r w:rsidRPr="00DE12A3">
        <w:t xml:space="preserve">Kuru/yaş düzeltmesini hesaplamak için </w:t>
      </w:r>
      <w:r w:rsidR="00FA0678" w:rsidRPr="00DE12A3">
        <w:t xml:space="preserve">VII’nci </w:t>
      </w:r>
      <w:r w:rsidR="002C198B" w:rsidRPr="00DE12A3">
        <w:t>E</w:t>
      </w:r>
      <w:r w:rsidR="00FA0678" w:rsidRPr="00DE12A3">
        <w:t>k</w:t>
      </w:r>
      <w:r w:rsidRPr="00DE12A3">
        <w:t xml:space="preserve">teki (7-3) ve (7-4) </w:t>
      </w:r>
      <w:r w:rsidR="002C198B" w:rsidRPr="00DE12A3">
        <w:t xml:space="preserve">numaralı </w:t>
      </w:r>
      <w:r w:rsidRPr="00DE12A3">
        <w:t>denklemler kullanılır.</w:t>
      </w:r>
    </w:p>
    <w:p w14:paraId="668C2177" w14:textId="545F6A69" w:rsidR="00E40FE7" w:rsidRPr="00DE12A3" w:rsidRDefault="00E40FE7" w:rsidP="00570441">
      <w:pPr>
        <w:pStyle w:val="Point0"/>
        <w:ind w:left="0" w:firstLine="0"/>
      </w:pPr>
      <w:r w:rsidRPr="00DE12A3">
        <w:t>Yakıta özgü parametreler, 7.1.5 bendi uyarınca belirlenir.</w:t>
      </w:r>
    </w:p>
    <w:p w14:paraId="28ECC519" w14:textId="790FCE04" w:rsidR="00E40FE7" w:rsidRPr="00DE12A3" w:rsidRDefault="00E40FE7" w:rsidP="00570441">
      <w:pPr>
        <w:pStyle w:val="Point0"/>
        <w:ind w:left="0" w:firstLine="0"/>
        <w:rPr>
          <w:bCs/>
        </w:rPr>
      </w:pPr>
      <w:r w:rsidRPr="00DE12A3">
        <w:rPr>
          <w:bCs/>
        </w:rPr>
        <w:t>7.1.1.2.</w:t>
      </w:r>
      <w:r w:rsidR="00570441" w:rsidRPr="00DE12A3">
        <w:rPr>
          <w:bCs/>
        </w:rPr>
        <w:t xml:space="preserve"> </w:t>
      </w:r>
      <w:r w:rsidRPr="00DE12A3">
        <w:rPr>
          <w:bCs/>
        </w:rPr>
        <w:t>Seyreltilmiş egzoz gazı</w:t>
      </w:r>
    </w:p>
    <w:p w14:paraId="1E521505" w14:textId="1E825932" w:rsidR="00E40FE7" w:rsidRPr="00DE12A3" w:rsidRDefault="00E40FE7" w:rsidP="00570441">
      <w:pPr>
        <w:pStyle w:val="Point0"/>
        <w:ind w:left="0" w:firstLine="0"/>
      </w:pPr>
      <w:r w:rsidRPr="00DE12A3">
        <w:t xml:space="preserve">Yaş/kuru düzeltmesini hesaplamak için </w:t>
      </w:r>
      <w:r w:rsidR="00FA0678" w:rsidRPr="00DE12A3">
        <w:t xml:space="preserve">VII’nci </w:t>
      </w:r>
      <w:r w:rsidR="002C198B" w:rsidRPr="00DE12A3">
        <w:t>E</w:t>
      </w:r>
      <w:r w:rsidR="00FA0678" w:rsidRPr="00DE12A3">
        <w:t>k</w:t>
      </w:r>
      <w:r w:rsidRPr="00DE12A3">
        <w:t xml:space="preserve">teki (7-3) </w:t>
      </w:r>
      <w:r w:rsidR="002C198B" w:rsidRPr="00DE12A3">
        <w:t xml:space="preserve">numaralı </w:t>
      </w:r>
      <w:r w:rsidRPr="00DE12A3">
        <w:t xml:space="preserve">denklem, ya (7-25) ya da (7-26) </w:t>
      </w:r>
      <w:r w:rsidR="002C198B" w:rsidRPr="00DE12A3">
        <w:t xml:space="preserve">numaralı </w:t>
      </w:r>
      <w:r w:rsidRPr="00DE12A3">
        <w:t>denklemle kullanılmalıdır.</w:t>
      </w:r>
    </w:p>
    <w:p w14:paraId="4DFD187D" w14:textId="0A51F649" w:rsidR="00E40FE7" w:rsidRPr="00DE12A3" w:rsidRDefault="00E40FE7" w:rsidP="00570441">
      <w:pPr>
        <w:pStyle w:val="Point0"/>
        <w:ind w:left="0" w:firstLine="0"/>
      </w:pPr>
      <w:r w:rsidRPr="00DE12A3">
        <w:t xml:space="preserve">İki yakıtın birleşimindeki molar hidrojen oranı </w:t>
      </w:r>
      <w:r w:rsidR="00542607" w:rsidRPr="00DE12A3">
        <w:t xml:space="preserve">α </w:t>
      </w:r>
      <w:r w:rsidRPr="00DE12A3">
        <w:t>, kuru/yaş düzeltmesi için kullanılmalıdır. Bu molar hidrojen oranı, 7.1.5 bendi uyarınca her iki yakıtın yakıt tüketim ölçüm değerleri kullanılarak hesaplanmalıdır.</w:t>
      </w:r>
      <w:r w:rsidR="00542607" w:rsidRPr="00DE12A3">
        <w:t xml:space="preserve"> </w:t>
      </w:r>
    </w:p>
    <w:p w14:paraId="01A14BAE" w14:textId="781144AC" w:rsidR="00E40FE7" w:rsidRPr="00DE12A3" w:rsidRDefault="00E40FE7" w:rsidP="00570441">
      <w:pPr>
        <w:pStyle w:val="Point0"/>
        <w:ind w:left="0" w:firstLine="0"/>
        <w:rPr>
          <w:bCs/>
        </w:rPr>
      </w:pPr>
      <w:r w:rsidRPr="00DE12A3">
        <w:rPr>
          <w:bCs/>
        </w:rPr>
        <w:t>7.1.2.</w:t>
      </w:r>
      <w:r w:rsidR="00570441" w:rsidRPr="00DE12A3">
        <w:rPr>
          <w:bCs/>
        </w:rPr>
        <w:t xml:space="preserve"> </w:t>
      </w:r>
      <w:r w:rsidRPr="00DE12A3">
        <w:rPr>
          <w:bCs/>
        </w:rPr>
        <w:t>Nem için NOx düzeltmesi</w:t>
      </w:r>
    </w:p>
    <w:p w14:paraId="23E104A4" w14:textId="1B862A3A" w:rsidR="00E40FE7" w:rsidRPr="00DE12A3" w:rsidRDefault="00FA0678" w:rsidP="00570441">
      <w:pPr>
        <w:pStyle w:val="Point0"/>
        <w:ind w:left="0" w:firstLine="0"/>
      </w:pPr>
      <w:r w:rsidRPr="00DE12A3">
        <w:t xml:space="preserve">VII’nci </w:t>
      </w:r>
      <w:r w:rsidR="002C198B" w:rsidRPr="00DE12A3">
        <w:t>E</w:t>
      </w:r>
      <w:r w:rsidRPr="00DE12A3">
        <w:t>k</w:t>
      </w:r>
      <w:r w:rsidR="00E40FE7" w:rsidRPr="00DE12A3">
        <w:t xml:space="preserve">teki (7-9) </w:t>
      </w:r>
      <w:r w:rsidR="002C198B" w:rsidRPr="00DE12A3">
        <w:t xml:space="preserve">numaralı </w:t>
      </w:r>
      <w:r w:rsidR="00E40FE7" w:rsidRPr="00DE12A3">
        <w:t>denklemde belirtilen sıkıştırma ateşlemeli motorlar için NOx nem düzeltmesi kullanılmalıdır.</w:t>
      </w:r>
    </w:p>
    <w:p w14:paraId="0A7BC46D" w14:textId="11FE76C7" w:rsidR="00E40FE7" w:rsidRPr="00DE12A3" w:rsidRDefault="00E40FE7" w:rsidP="00570441">
      <w:pPr>
        <w:pStyle w:val="Point0"/>
        <w:ind w:left="0" w:firstLine="0"/>
        <w:rPr>
          <w:bCs/>
        </w:rPr>
      </w:pPr>
      <w:r w:rsidRPr="00DE12A3">
        <w:rPr>
          <w:bCs/>
        </w:rPr>
        <w:t>7.1.3.</w:t>
      </w:r>
      <w:r w:rsidR="00570441" w:rsidRPr="00DE12A3">
        <w:rPr>
          <w:bCs/>
        </w:rPr>
        <w:t xml:space="preserve"> </w:t>
      </w:r>
      <w:r w:rsidRPr="00DE12A3">
        <w:rPr>
          <w:bCs/>
        </w:rPr>
        <w:t>Kısmi akışlı seyreltme (PFS) ve ham gaz ölçümü</w:t>
      </w:r>
    </w:p>
    <w:p w14:paraId="492B3518" w14:textId="4F99E161" w:rsidR="00E40FE7" w:rsidRPr="00DE12A3" w:rsidRDefault="00E40FE7" w:rsidP="00570441">
      <w:pPr>
        <w:pStyle w:val="Point0"/>
        <w:ind w:left="0" w:firstLine="0"/>
        <w:rPr>
          <w:bCs/>
        </w:rPr>
      </w:pPr>
      <w:r w:rsidRPr="00DE12A3">
        <w:rPr>
          <w:bCs/>
        </w:rPr>
        <w:t>7.1.3.1.</w:t>
      </w:r>
      <w:r w:rsidR="00570441" w:rsidRPr="00DE12A3">
        <w:rPr>
          <w:bCs/>
        </w:rPr>
        <w:t xml:space="preserve"> </w:t>
      </w:r>
      <w:r w:rsidRPr="00DE12A3">
        <w:rPr>
          <w:bCs/>
        </w:rPr>
        <w:t>Egzoz gazı kütle akışının belirlenmesi</w:t>
      </w:r>
    </w:p>
    <w:p w14:paraId="19A0B15A" w14:textId="050EA93F" w:rsidR="00874132" w:rsidRPr="00DE12A3" w:rsidRDefault="00E40FE7" w:rsidP="00570441">
      <w:pPr>
        <w:pStyle w:val="Point0"/>
        <w:ind w:left="0" w:firstLine="0"/>
      </w:pPr>
      <w:r w:rsidRPr="00DE12A3">
        <w:t xml:space="preserve">Egzoz gazı kütle akışı, </w:t>
      </w:r>
      <w:r w:rsidR="00FA0678" w:rsidRPr="00DE12A3">
        <w:t xml:space="preserve">VI’ncı </w:t>
      </w:r>
      <w:r w:rsidR="002C198B" w:rsidRPr="00DE12A3">
        <w:t>E</w:t>
      </w:r>
      <w:r w:rsidR="00FA0678" w:rsidRPr="00DE12A3">
        <w:t>k</w:t>
      </w:r>
      <w:r w:rsidRPr="00DE12A3">
        <w:t>in 9.4.5.3 bendinde açıklandığı gibi bir ham egzoz debimetresi kullanılarak belirlenmelidir.</w:t>
      </w:r>
    </w:p>
    <w:p w14:paraId="44C07A66" w14:textId="1FA590DD" w:rsidR="00E40FE7" w:rsidRPr="00DE12A3" w:rsidRDefault="00E40FE7" w:rsidP="00570441">
      <w:pPr>
        <w:pStyle w:val="Point0"/>
        <w:ind w:left="0" w:firstLine="0"/>
      </w:pPr>
      <w:r w:rsidRPr="00DE12A3">
        <w:t xml:space="preserve">Alternatif olarak, </w:t>
      </w:r>
      <w:r w:rsidR="00FA0678" w:rsidRPr="00DE12A3">
        <w:t xml:space="preserve">VII’nci </w:t>
      </w:r>
      <w:r w:rsidR="002C198B" w:rsidRPr="00DE12A3">
        <w:t>E</w:t>
      </w:r>
      <w:r w:rsidR="00FA0678" w:rsidRPr="00DE12A3">
        <w:t>k</w:t>
      </w:r>
      <w:r w:rsidRPr="00DE12A3">
        <w:t xml:space="preserve">teki (7-17) ila (7-19) </w:t>
      </w:r>
      <w:r w:rsidR="002C198B" w:rsidRPr="00DE12A3">
        <w:t xml:space="preserve">numaralı </w:t>
      </w:r>
      <w:r w:rsidRPr="00DE12A3">
        <w:t>denklemlere göre hava akımı ve hava/yakıt oranı ölçüm yöntemi, ancak α, γ, δ ve ε değerleri 7.1.5.3 bendi uyarınca belirlendiğinde kullanılabilir. Hava yakıt oranını belirlemek için bir zirkonya tipi sensör kullanılamaz.</w:t>
      </w:r>
    </w:p>
    <w:p w14:paraId="27247771" w14:textId="4C6AE447" w:rsidR="00E40FE7" w:rsidRPr="00DE12A3" w:rsidRDefault="00E40FE7" w:rsidP="00570441">
      <w:pPr>
        <w:pStyle w:val="Point0"/>
        <w:ind w:left="0" w:firstLine="0"/>
      </w:pPr>
      <w:r w:rsidRPr="00DE12A3">
        <w:t xml:space="preserve">Kararlı durum test </w:t>
      </w:r>
      <w:r w:rsidR="00F310B5" w:rsidRPr="00DE12A3">
        <w:t>çevrim</w:t>
      </w:r>
      <w:r w:rsidRPr="00DE12A3">
        <w:t xml:space="preserve">lerine tabi test motorları durumunda, yalnızca egzoz gazı kütle akışı, </w:t>
      </w:r>
      <w:r w:rsidR="00FA0678" w:rsidRPr="00DE12A3">
        <w:t xml:space="preserve">VII’nci </w:t>
      </w:r>
      <w:r w:rsidR="002C198B" w:rsidRPr="00DE12A3">
        <w:t>E</w:t>
      </w:r>
      <w:r w:rsidR="00FA0678" w:rsidRPr="00DE12A3">
        <w:t>k</w:t>
      </w:r>
      <w:r w:rsidRPr="00DE12A3">
        <w:t xml:space="preserve">teki (7-15) </w:t>
      </w:r>
      <w:r w:rsidR="002C198B" w:rsidRPr="00DE12A3">
        <w:t xml:space="preserve">numaralı </w:t>
      </w:r>
      <w:r w:rsidRPr="00DE12A3">
        <w:t>denklem uyarınca hava ve yakıt ölçüm yöntemi ile belirlenebilir.</w:t>
      </w:r>
    </w:p>
    <w:p w14:paraId="3D070277" w14:textId="0AEB5018" w:rsidR="00E40FE7" w:rsidRPr="00DE12A3" w:rsidRDefault="00E40FE7" w:rsidP="00570441">
      <w:pPr>
        <w:pStyle w:val="Point0"/>
        <w:ind w:left="0" w:firstLine="0"/>
        <w:rPr>
          <w:bCs/>
        </w:rPr>
      </w:pPr>
      <w:r w:rsidRPr="00DE12A3">
        <w:rPr>
          <w:bCs/>
        </w:rPr>
        <w:t>7.1.3.2.</w:t>
      </w:r>
      <w:r w:rsidR="00570441" w:rsidRPr="00DE12A3">
        <w:rPr>
          <w:bCs/>
        </w:rPr>
        <w:t xml:space="preserve"> </w:t>
      </w:r>
      <w:r w:rsidRPr="00DE12A3">
        <w:rPr>
          <w:bCs/>
        </w:rPr>
        <w:t>Gaz halindeki bileşenlerin belirlenmesi</w:t>
      </w:r>
    </w:p>
    <w:p w14:paraId="50F675F5" w14:textId="3BC45D3F" w:rsidR="00E40FE7" w:rsidRPr="00DE12A3" w:rsidRDefault="00E40FE7" w:rsidP="00570441">
      <w:pPr>
        <w:pStyle w:val="Point0"/>
        <w:ind w:left="0" w:firstLine="0"/>
      </w:pPr>
      <w:r w:rsidRPr="00DE12A3">
        <w:t xml:space="preserve">Bu </w:t>
      </w:r>
      <w:r w:rsidR="002C198B" w:rsidRPr="00DE12A3">
        <w:t>B</w:t>
      </w:r>
      <w:r w:rsidRPr="00DE12A3">
        <w:t xml:space="preserve">ölümde belirtilenler dışında </w:t>
      </w:r>
      <w:r w:rsidR="00FA0678" w:rsidRPr="00DE12A3">
        <w:t xml:space="preserve">VII’nci </w:t>
      </w:r>
      <w:r w:rsidR="00B32A92" w:rsidRPr="00DE12A3">
        <w:t>E</w:t>
      </w:r>
      <w:r w:rsidR="00FA0678" w:rsidRPr="00DE12A3">
        <w:t>k</w:t>
      </w:r>
      <w:r w:rsidRPr="00DE12A3">
        <w:t>in 2.1 bendi uygulanır.</w:t>
      </w:r>
    </w:p>
    <w:p w14:paraId="1A1812F8" w14:textId="773A117A" w:rsidR="00E40FE7" w:rsidRPr="00DE12A3" w:rsidRDefault="00E40FE7" w:rsidP="00570441">
      <w:pPr>
        <w:pStyle w:val="Point0"/>
        <w:ind w:left="0" w:firstLine="0"/>
      </w:pPr>
      <w:r w:rsidRPr="00DE12A3">
        <w:t>Yakıt bileşiminin olası değişmesi, emisyon hesaplamalarında kullanılan tüm u</w:t>
      </w:r>
      <w:r w:rsidRPr="00DE12A3">
        <w:rPr>
          <w:vertAlign w:val="subscript"/>
        </w:rPr>
        <w:t>gas</w:t>
      </w:r>
      <w:r w:rsidRPr="00DE12A3">
        <w:t xml:space="preserve"> faktörlerini ve molar bileşen oranlarını etkilemelidir. İmalatçının tercihine bağlı olarak, u</w:t>
      </w:r>
      <w:r w:rsidRPr="00DE12A3">
        <w:rPr>
          <w:vertAlign w:val="subscript"/>
        </w:rPr>
        <w:t>gas</w:t>
      </w:r>
      <w:r w:rsidRPr="00DE12A3">
        <w:t xml:space="preserve"> faktörlerini ve molar bileşen oranlarını belirlemek için aşağıdaki yaklaşımlardan biri kullanılmalıdır</w:t>
      </w:r>
      <w:r w:rsidR="002C198B" w:rsidRPr="00DE12A3">
        <w:t> :</w:t>
      </w:r>
    </w:p>
    <w:p w14:paraId="289C7B34" w14:textId="4083F331" w:rsidR="00E40FE7" w:rsidRPr="00DE12A3" w:rsidRDefault="00E40FE7" w:rsidP="00570441">
      <w:pPr>
        <w:pStyle w:val="Point0"/>
        <w:ind w:left="0" w:firstLine="0"/>
      </w:pPr>
      <w:r w:rsidRPr="00DE12A3">
        <w:t>(a)</w:t>
      </w:r>
      <w:r w:rsidR="00570441" w:rsidRPr="00DE12A3">
        <w:t xml:space="preserve"> </w:t>
      </w:r>
      <w:r w:rsidR="00FA0678" w:rsidRPr="00DE12A3">
        <w:t xml:space="preserve">VII’nci </w:t>
      </w:r>
      <w:r w:rsidR="00B32A92" w:rsidRPr="00DE12A3">
        <w:t>E</w:t>
      </w:r>
      <w:r w:rsidR="00FA0678" w:rsidRPr="00DE12A3">
        <w:t>k</w:t>
      </w:r>
      <w:r w:rsidRPr="00DE12A3">
        <w:t>in 2.1.5.2 veya 2.2.3 ben</w:t>
      </w:r>
      <w:r w:rsidR="002C198B" w:rsidRPr="00DE12A3">
        <w:t>tlerind</w:t>
      </w:r>
      <w:r w:rsidRPr="00DE12A3">
        <w:t>eki denklemler, sıvı ve gaz yakıtların anlık oranlarını (anlık yakıt tüketimi ölçümleri veya hesaplamalarıyla belirlenir) ve 7.1.5 bendi uyarınca belirlenen anlık molar bileşen oranlarını kullanarak anlık ugas değerlerini hesaplamak için uygulanır veya</w:t>
      </w:r>
    </w:p>
    <w:p w14:paraId="162F3BD5" w14:textId="75FC9705" w:rsidR="00E40FE7" w:rsidRPr="00DE12A3" w:rsidRDefault="00E40FE7" w:rsidP="00570441">
      <w:pPr>
        <w:pStyle w:val="Point0"/>
        <w:ind w:left="0" w:firstLine="0"/>
      </w:pPr>
      <w:r w:rsidRPr="00DE12A3">
        <w:lastRenderedPageBreak/>
        <w:t>(b)</w:t>
      </w:r>
      <w:r w:rsidR="00570441" w:rsidRPr="00DE12A3">
        <w:t xml:space="preserve"> </w:t>
      </w:r>
      <w:r w:rsidRPr="00DE12A3">
        <w:t xml:space="preserve">Gaz ve dizel yakıtla çalışan iki yakıtlı bir motorun özel durumu için, </w:t>
      </w:r>
      <w:r w:rsidR="00FA0678" w:rsidRPr="00DE12A3">
        <w:t xml:space="preserve">VII’nci </w:t>
      </w:r>
      <w:r w:rsidR="00B32A92" w:rsidRPr="00DE12A3">
        <w:t>E</w:t>
      </w:r>
      <w:r w:rsidR="00FA0678" w:rsidRPr="00DE12A3">
        <w:t>k</w:t>
      </w:r>
      <w:r w:rsidRPr="00DE12A3">
        <w:t xml:space="preserve">in 2. </w:t>
      </w:r>
      <w:r w:rsidR="00B32A92" w:rsidRPr="00DE12A3">
        <w:t>Bölüm</w:t>
      </w:r>
      <w:r w:rsidRPr="00DE12A3">
        <w:t>ündeki kütle bazlı hesaplama kullanıldığında, molar bileşen oranları ve u</w:t>
      </w:r>
      <w:r w:rsidRPr="00DE12A3">
        <w:rPr>
          <w:vertAlign w:val="subscript"/>
        </w:rPr>
        <w:t xml:space="preserve">gas </w:t>
      </w:r>
      <w:r w:rsidRPr="00DE12A3">
        <w:t>değerleri için tablo değerleri kullanılabilir. Bu tablo değerleri aşağıdaki şekilde uygulanır :</w:t>
      </w:r>
    </w:p>
    <w:p w14:paraId="2D1707DD" w14:textId="21158827" w:rsidR="00E40FE7" w:rsidRPr="00DE12A3" w:rsidRDefault="00E40FE7" w:rsidP="00570441">
      <w:pPr>
        <w:pStyle w:val="Point0"/>
        <w:ind w:left="0" w:firstLine="0"/>
      </w:pPr>
      <w:r w:rsidRPr="00DE12A3">
        <w:t>(i)</w:t>
      </w:r>
      <w:r w:rsidR="00570441" w:rsidRPr="00DE12A3">
        <w:t xml:space="preserve"> </w:t>
      </w:r>
      <w:r w:rsidRPr="00DE12A3">
        <w:t xml:space="preserve">Geçerli test </w:t>
      </w:r>
      <w:r w:rsidR="00F310B5" w:rsidRPr="00DE12A3">
        <w:t>çevrimi</w:t>
      </w:r>
      <w:r w:rsidRPr="00DE12A3">
        <w:t xml:space="preserve">nde, % 90 veya daha büyük bir ortalama gaz enerji oranına sahip motorlarda (GER ≥ 0,9), gerekli değerler </w:t>
      </w:r>
      <w:r w:rsidR="002C198B" w:rsidRPr="00DE12A3">
        <w:t>VII’nci Ekte yer alan</w:t>
      </w:r>
      <w:r w:rsidRPr="00DE12A3">
        <w:t xml:space="preserve"> Tablo 7.1 veya </w:t>
      </w:r>
      <w:r w:rsidR="002C198B" w:rsidRPr="00DE12A3">
        <w:t xml:space="preserve">Tablo </w:t>
      </w:r>
      <w:r w:rsidRPr="00DE12A3">
        <w:t>7.2'den alınan gaz yakıt için olan değerlerdir.</w:t>
      </w:r>
    </w:p>
    <w:p w14:paraId="67956693" w14:textId="6601A00D" w:rsidR="00E40FE7" w:rsidRPr="00DE12A3" w:rsidRDefault="00E40FE7" w:rsidP="00570441">
      <w:pPr>
        <w:pStyle w:val="Point0"/>
        <w:ind w:left="0" w:firstLine="0"/>
      </w:pPr>
      <w:r w:rsidRPr="00DE12A3">
        <w:t>(ii)</w:t>
      </w:r>
      <w:r w:rsidR="00570441" w:rsidRPr="00DE12A3">
        <w:t xml:space="preserve"> </w:t>
      </w:r>
      <w:r w:rsidRPr="00DE12A3">
        <w:t xml:space="preserve">Geçerli test </w:t>
      </w:r>
      <w:r w:rsidR="00F310B5" w:rsidRPr="00DE12A3">
        <w:t>çevrimi</w:t>
      </w:r>
      <w:r w:rsidRPr="00DE12A3">
        <w:t>nde % 10 ile % 90 arasında bir ortalama gaz enerji oranına sahip motorlarda (0,1 &lt; GER &lt; 0,9), gerekli değerlerin Tablo 8.1 veya 8.2'den alınan % 50 gaz yakıt ve % 50 dizel yakıt karışımı için olan değerler ile temsil edildikleri varsayılır.</w:t>
      </w:r>
    </w:p>
    <w:p w14:paraId="698D0591" w14:textId="5215027B" w:rsidR="00E40FE7" w:rsidRPr="00DE12A3" w:rsidRDefault="00E40FE7" w:rsidP="00570441">
      <w:pPr>
        <w:pStyle w:val="Point0"/>
        <w:ind w:left="0" w:firstLine="0"/>
      </w:pPr>
      <w:r w:rsidRPr="00DE12A3">
        <w:t>(iii)</w:t>
      </w:r>
      <w:r w:rsidR="00570441" w:rsidRPr="00DE12A3">
        <w:t xml:space="preserve"> </w:t>
      </w:r>
      <w:r w:rsidRPr="00DE12A3">
        <w:t xml:space="preserve">Geçerli test </w:t>
      </w:r>
      <w:r w:rsidR="00F310B5" w:rsidRPr="00DE12A3">
        <w:t>çevrimi</w:t>
      </w:r>
      <w:r w:rsidRPr="00DE12A3">
        <w:t xml:space="preserve">nde çalıştırılan motorlarda, % 10'dan daha düşük veya eşit bir ortalama gaz enerjisi oranına sahip motorlar için (GER ≤ 0,1), gerekli değerler </w:t>
      </w:r>
      <w:r w:rsidR="002C198B" w:rsidRPr="00DE12A3">
        <w:t>VII’nci Ekteki</w:t>
      </w:r>
      <w:r w:rsidRPr="00DE12A3">
        <w:t xml:space="preserve"> Tablo 7.1 veya </w:t>
      </w:r>
      <w:r w:rsidR="002C198B" w:rsidRPr="00DE12A3">
        <w:t xml:space="preserve">Tablo </w:t>
      </w:r>
      <w:r w:rsidRPr="00DE12A3">
        <w:t>7.2'den alınan dizel yakıt için olan değerlerdir.</w:t>
      </w:r>
    </w:p>
    <w:p w14:paraId="621B88A8" w14:textId="6F0B0D6C" w:rsidR="0095761A" w:rsidRPr="00DE12A3" w:rsidRDefault="00E40FE7" w:rsidP="00570441">
      <w:pPr>
        <w:pStyle w:val="Point0"/>
        <w:ind w:left="0" w:firstLine="0"/>
      </w:pPr>
      <w:r w:rsidRPr="00DE12A3">
        <w:t>(iv)</w:t>
      </w:r>
      <w:r w:rsidR="00570441" w:rsidRPr="00DE12A3">
        <w:t xml:space="preserve"> </w:t>
      </w:r>
      <w:r w:rsidRPr="00DE12A3">
        <w:t>HC emisyonlarının hesaplanmasında, ortalama gaz enerji oranı (GER) ne olursa olsun, her durumda gaz yakıtın u</w:t>
      </w:r>
      <w:r w:rsidRPr="00DE12A3">
        <w:rPr>
          <w:vertAlign w:val="subscript"/>
        </w:rPr>
        <w:t>gas</w:t>
      </w:r>
      <w:r w:rsidRPr="00DE12A3">
        <w:t xml:space="preserve"> değeri kullanılmalıdır.</w:t>
      </w:r>
    </w:p>
    <w:p w14:paraId="02E016A3" w14:textId="77777777" w:rsidR="004940FF" w:rsidRPr="00DE12A3" w:rsidRDefault="004940FF" w:rsidP="004940FF">
      <w:pPr>
        <w:pStyle w:val="Point0"/>
        <w:rPr>
          <w:iCs/>
        </w:rPr>
      </w:pPr>
    </w:p>
    <w:p w14:paraId="65130686" w14:textId="0B958A1C" w:rsidR="004940FF" w:rsidRPr="00DE12A3" w:rsidRDefault="004940FF" w:rsidP="004940FF">
      <w:pPr>
        <w:pStyle w:val="Point0"/>
        <w:jc w:val="center"/>
        <w:rPr>
          <w:iCs/>
        </w:rPr>
      </w:pPr>
      <w:r w:rsidRPr="00DE12A3">
        <w:rPr>
          <w:iCs/>
        </w:rPr>
        <w:t>Tablo 8.1</w:t>
      </w:r>
    </w:p>
    <w:p w14:paraId="45D80395" w14:textId="79354499" w:rsidR="004940FF" w:rsidRPr="00DE12A3" w:rsidRDefault="004940FF" w:rsidP="004940FF">
      <w:pPr>
        <w:pStyle w:val="Point0"/>
        <w:jc w:val="center"/>
      </w:pPr>
      <w:r w:rsidRPr="00DE12A3">
        <w:rPr>
          <w:b/>
          <w:iCs/>
        </w:rPr>
        <w:t>% 50 gaz yakıt ve % 50 dizel yakıt karışımı için molar bileşen oranları (% kütle)</w:t>
      </w:r>
    </w:p>
    <w:tbl>
      <w:tblPr>
        <w:tblW w:w="0" w:type="auto"/>
        <w:tblInd w:w="279" w:type="dxa"/>
        <w:tblLayout w:type="fixed"/>
        <w:tblLook w:val="0000" w:firstRow="0" w:lastRow="0" w:firstColumn="0" w:lastColumn="0" w:noHBand="0" w:noVBand="0"/>
      </w:tblPr>
      <w:tblGrid>
        <w:gridCol w:w="1746"/>
        <w:gridCol w:w="1746"/>
        <w:gridCol w:w="1745"/>
        <w:gridCol w:w="1746"/>
        <w:gridCol w:w="1746"/>
      </w:tblGrid>
      <w:tr w:rsidR="00DE12A3" w:rsidRPr="00DE12A3" w14:paraId="0D0F5A38" w14:textId="77777777" w:rsidTr="009F4766">
        <w:tc>
          <w:tcPr>
            <w:tcW w:w="1746" w:type="dxa"/>
            <w:tcBorders>
              <w:top w:val="single" w:sz="2" w:space="0" w:color="auto"/>
              <w:left w:val="single" w:sz="2" w:space="0" w:color="auto"/>
              <w:bottom w:val="single" w:sz="2" w:space="0" w:color="auto"/>
              <w:right w:val="single" w:sz="2" w:space="0" w:color="auto"/>
            </w:tcBorders>
          </w:tcPr>
          <w:p w14:paraId="76595332" w14:textId="77777777" w:rsidR="009F4766" w:rsidRPr="00DE12A3" w:rsidRDefault="00A25516" w:rsidP="00C917D6">
            <w:pPr>
              <w:pStyle w:val="NormalCentered"/>
            </w:pPr>
            <w:r w:rsidRPr="00DE12A3">
              <w:t>Gaz yakıtlar</w:t>
            </w:r>
          </w:p>
        </w:tc>
        <w:tc>
          <w:tcPr>
            <w:tcW w:w="1746" w:type="dxa"/>
            <w:tcBorders>
              <w:top w:val="single" w:sz="2" w:space="0" w:color="auto"/>
              <w:left w:val="single" w:sz="2" w:space="0" w:color="auto"/>
              <w:bottom w:val="single" w:sz="2" w:space="0" w:color="auto"/>
              <w:right w:val="single" w:sz="2" w:space="0" w:color="auto"/>
            </w:tcBorders>
          </w:tcPr>
          <w:p w14:paraId="5BD9A477" w14:textId="77777777" w:rsidR="009F4766" w:rsidRPr="00DE12A3" w:rsidRDefault="009F4766" w:rsidP="00C917D6">
            <w:pPr>
              <w:pStyle w:val="NormalCentered"/>
            </w:pPr>
            <w:r w:rsidRPr="00DE12A3">
              <w:t>α</w:t>
            </w:r>
          </w:p>
        </w:tc>
        <w:tc>
          <w:tcPr>
            <w:tcW w:w="1745" w:type="dxa"/>
            <w:tcBorders>
              <w:top w:val="single" w:sz="2" w:space="0" w:color="auto"/>
              <w:left w:val="single" w:sz="2" w:space="0" w:color="auto"/>
              <w:bottom w:val="single" w:sz="2" w:space="0" w:color="auto"/>
              <w:right w:val="single" w:sz="2" w:space="0" w:color="auto"/>
            </w:tcBorders>
          </w:tcPr>
          <w:p w14:paraId="47875A72" w14:textId="77777777" w:rsidR="009F4766" w:rsidRPr="00DE12A3" w:rsidRDefault="009F4766" w:rsidP="00C917D6">
            <w:pPr>
              <w:pStyle w:val="NormalCentered"/>
            </w:pPr>
            <w:r w:rsidRPr="00DE12A3">
              <w:t>γ</w:t>
            </w:r>
          </w:p>
        </w:tc>
        <w:tc>
          <w:tcPr>
            <w:tcW w:w="1746" w:type="dxa"/>
            <w:tcBorders>
              <w:top w:val="single" w:sz="2" w:space="0" w:color="auto"/>
              <w:left w:val="single" w:sz="2" w:space="0" w:color="auto"/>
              <w:bottom w:val="single" w:sz="2" w:space="0" w:color="auto"/>
              <w:right w:val="single" w:sz="2" w:space="0" w:color="auto"/>
            </w:tcBorders>
          </w:tcPr>
          <w:p w14:paraId="2EA5B2DD" w14:textId="77777777" w:rsidR="009F4766" w:rsidRPr="00DE12A3" w:rsidRDefault="009F4766" w:rsidP="00C917D6">
            <w:pPr>
              <w:pStyle w:val="NormalCentered"/>
            </w:pPr>
            <w:r w:rsidRPr="00DE12A3">
              <w:t>δ</w:t>
            </w:r>
          </w:p>
        </w:tc>
        <w:tc>
          <w:tcPr>
            <w:tcW w:w="1746" w:type="dxa"/>
            <w:tcBorders>
              <w:top w:val="single" w:sz="2" w:space="0" w:color="auto"/>
              <w:left w:val="single" w:sz="2" w:space="0" w:color="auto"/>
              <w:bottom w:val="single" w:sz="2" w:space="0" w:color="auto"/>
              <w:right w:val="single" w:sz="2" w:space="0" w:color="auto"/>
            </w:tcBorders>
          </w:tcPr>
          <w:p w14:paraId="25CB8DE5" w14:textId="77777777" w:rsidR="009F4766" w:rsidRPr="00DE12A3" w:rsidRDefault="009F4766" w:rsidP="00C917D6">
            <w:pPr>
              <w:pStyle w:val="NormalCentered"/>
            </w:pPr>
            <w:r w:rsidRPr="00DE12A3">
              <w:t>ε</w:t>
            </w:r>
          </w:p>
        </w:tc>
      </w:tr>
      <w:tr w:rsidR="00DE12A3" w:rsidRPr="00DE12A3" w14:paraId="5023F8CB" w14:textId="77777777" w:rsidTr="009F4766">
        <w:tc>
          <w:tcPr>
            <w:tcW w:w="1746" w:type="dxa"/>
            <w:tcBorders>
              <w:top w:val="single" w:sz="2" w:space="0" w:color="auto"/>
              <w:left w:val="single" w:sz="2" w:space="0" w:color="auto"/>
              <w:bottom w:val="single" w:sz="2" w:space="0" w:color="auto"/>
              <w:right w:val="single" w:sz="2" w:space="0" w:color="auto"/>
            </w:tcBorders>
          </w:tcPr>
          <w:p w14:paraId="2104C986" w14:textId="77777777" w:rsidR="009F4766" w:rsidRPr="00DE12A3" w:rsidRDefault="009F4766" w:rsidP="00C917D6">
            <w:pPr>
              <w:pStyle w:val="NormalLeft"/>
            </w:pPr>
            <w:r w:rsidRPr="00DE12A3">
              <w:t>CH</w:t>
            </w:r>
            <w:r w:rsidRPr="00DE12A3">
              <w:rPr>
                <w:vertAlign w:val="subscript"/>
              </w:rPr>
              <w:t>4</w:t>
            </w:r>
          </w:p>
        </w:tc>
        <w:tc>
          <w:tcPr>
            <w:tcW w:w="1746" w:type="dxa"/>
            <w:tcBorders>
              <w:top w:val="single" w:sz="2" w:space="0" w:color="auto"/>
              <w:left w:val="single" w:sz="2" w:space="0" w:color="auto"/>
              <w:bottom w:val="single" w:sz="2" w:space="0" w:color="auto"/>
              <w:right w:val="single" w:sz="2" w:space="0" w:color="auto"/>
            </w:tcBorders>
          </w:tcPr>
          <w:p w14:paraId="4FB3CF7A" w14:textId="77777777" w:rsidR="009F4766" w:rsidRPr="00DE12A3" w:rsidRDefault="009F4766" w:rsidP="00C917D6">
            <w:pPr>
              <w:pStyle w:val="NormalLeft"/>
            </w:pPr>
            <w:r w:rsidRPr="00DE12A3">
              <w:t>2,8681</w:t>
            </w:r>
          </w:p>
        </w:tc>
        <w:tc>
          <w:tcPr>
            <w:tcW w:w="1745" w:type="dxa"/>
            <w:tcBorders>
              <w:top w:val="single" w:sz="2" w:space="0" w:color="auto"/>
              <w:left w:val="single" w:sz="2" w:space="0" w:color="auto"/>
              <w:bottom w:val="single" w:sz="2" w:space="0" w:color="auto"/>
              <w:right w:val="single" w:sz="2" w:space="0" w:color="auto"/>
            </w:tcBorders>
          </w:tcPr>
          <w:p w14:paraId="402B6532" w14:textId="77777777" w:rsidR="009F4766" w:rsidRPr="00DE12A3" w:rsidRDefault="009F4766" w:rsidP="00C917D6">
            <w:pPr>
              <w:pStyle w:val="NormalLeft"/>
            </w:pPr>
            <w:r w:rsidRPr="00DE12A3">
              <w:t>0</w:t>
            </w:r>
          </w:p>
        </w:tc>
        <w:tc>
          <w:tcPr>
            <w:tcW w:w="1746" w:type="dxa"/>
            <w:tcBorders>
              <w:top w:val="single" w:sz="2" w:space="0" w:color="auto"/>
              <w:left w:val="single" w:sz="2" w:space="0" w:color="auto"/>
              <w:bottom w:val="single" w:sz="2" w:space="0" w:color="auto"/>
              <w:right w:val="single" w:sz="2" w:space="0" w:color="auto"/>
            </w:tcBorders>
          </w:tcPr>
          <w:p w14:paraId="5BD5FBE4" w14:textId="77777777" w:rsidR="009F4766" w:rsidRPr="00DE12A3" w:rsidRDefault="009F4766" w:rsidP="00C917D6">
            <w:pPr>
              <w:pStyle w:val="NormalLeft"/>
            </w:pPr>
            <w:r w:rsidRPr="00DE12A3">
              <w:t>0</w:t>
            </w:r>
          </w:p>
        </w:tc>
        <w:tc>
          <w:tcPr>
            <w:tcW w:w="1746" w:type="dxa"/>
            <w:tcBorders>
              <w:top w:val="single" w:sz="2" w:space="0" w:color="auto"/>
              <w:left w:val="single" w:sz="2" w:space="0" w:color="auto"/>
              <w:bottom w:val="single" w:sz="2" w:space="0" w:color="auto"/>
              <w:right w:val="single" w:sz="2" w:space="0" w:color="auto"/>
            </w:tcBorders>
          </w:tcPr>
          <w:p w14:paraId="3B2D33AB" w14:textId="77777777" w:rsidR="009F4766" w:rsidRPr="00DE12A3" w:rsidRDefault="009F4766" w:rsidP="00C917D6">
            <w:pPr>
              <w:pStyle w:val="NormalLeft"/>
            </w:pPr>
            <w:r w:rsidRPr="00DE12A3">
              <w:t>0,0040</w:t>
            </w:r>
          </w:p>
        </w:tc>
      </w:tr>
      <w:tr w:rsidR="00DE12A3" w:rsidRPr="00DE12A3" w14:paraId="601CEF2C" w14:textId="77777777" w:rsidTr="009F4766">
        <w:tc>
          <w:tcPr>
            <w:tcW w:w="1746" w:type="dxa"/>
            <w:tcBorders>
              <w:top w:val="single" w:sz="2" w:space="0" w:color="auto"/>
              <w:left w:val="single" w:sz="2" w:space="0" w:color="auto"/>
              <w:bottom w:val="single" w:sz="2" w:space="0" w:color="auto"/>
              <w:right w:val="single" w:sz="2" w:space="0" w:color="auto"/>
            </w:tcBorders>
          </w:tcPr>
          <w:p w14:paraId="0F0C5D24" w14:textId="77777777" w:rsidR="009F4766" w:rsidRPr="00DE12A3" w:rsidRDefault="009F4766" w:rsidP="00C917D6">
            <w:pPr>
              <w:pStyle w:val="NormalLeft"/>
            </w:pPr>
            <w:r w:rsidRPr="00DE12A3">
              <w:t>G</w:t>
            </w:r>
            <w:r w:rsidRPr="00DE12A3">
              <w:rPr>
                <w:vertAlign w:val="subscript"/>
              </w:rPr>
              <w:t>R</w:t>
            </w:r>
          </w:p>
        </w:tc>
        <w:tc>
          <w:tcPr>
            <w:tcW w:w="1746" w:type="dxa"/>
            <w:tcBorders>
              <w:top w:val="single" w:sz="2" w:space="0" w:color="auto"/>
              <w:left w:val="single" w:sz="2" w:space="0" w:color="auto"/>
              <w:bottom w:val="single" w:sz="2" w:space="0" w:color="auto"/>
              <w:right w:val="single" w:sz="2" w:space="0" w:color="auto"/>
            </w:tcBorders>
          </w:tcPr>
          <w:p w14:paraId="685DD5F0" w14:textId="77777777" w:rsidR="009F4766" w:rsidRPr="00DE12A3" w:rsidRDefault="009F4766" w:rsidP="00C917D6">
            <w:pPr>
              <w:pStyle w:val="NormalLeft"/>
            </w:pPr>
            <w:r w:rsidRPr="00DE12A3">
              <w:t>2,7676</w:t>
            </w:r>
          </w:p>
        </w:tc>
        <w:tc>
          <w:tcPr>
            <w:tcW w:w="1745" w:type="dxa"/>
            <w:tcBorders>
              <w:top w:val="single" w:sz="2" w:space="0" w:color="auto"/>
              <w:left w:val="single" w:sz="2" w:space="0" w:color="auto"/>
              <w:bottom w:val="single" w:sz="2" w:space="0" w:color="auto"/>
              <w:right w:val="single" w:sz="2" w:space="0" w:color="auto"/>
            </w:tcBorders>
          </w:tcPr>
          <w:p w14:paraId="72E54A4D" w14:textId="77777777" w:rsidR="009F4766" w:rsidRPr="00DE12A3" w:rsidRDefault="009F4766" w:rsidP="00C917D6">
            <w:pPr>
              <w:pStyle w:val="NormalLeft"/>
            </w:pPr>
            <w:r w:rsidRPr="00DE12A3">
              <w:t>0</w:t>
            </w:r>
          </w:p>
        </w:tc>
        <w:tc>
          <w:tcPr>
            <w:tcW w:w="1746" w:type="dxa"/>
            <w:tcBorders>
              <w:top w:val="single" w:sz="2" w:space="0" w:color="auto"/>
              <w:left w:val="single" w:sz="2" w:space="0" w:color="auto"/>
              <w:bottom w:val="single" w:sz="2" w:space="0" w:color="auto"/>
              <w:right w:val="single" w:sz="2" w:space="0" w:color="auto"/>
            </w:tcBorders>
          </w:tcPr>
          <w:p w14:paraId="61605E50" w14:textId="77777777" w:rsidR="009F4766" w:rsidRPr="00DE12A3" w:rsidRDefault="009F4766" w:rsidP="00C917D6">
            <w:pPr>
              <w:pStyle w:val="NormalLeft"/>
            </w:pPr>
            <w:r w:rsidRPr="00DE12A3">
              <w:t>0</w:t>
            </w:r>
          </w:p>
        </w:tc>
        <w:tc>
          <w:tcPr>
            <w:tcW w:w="1746" w:type="dxa"/>
            <w:tcBorders>
              <w:top w:val="single" w:sz="2" w:space="0" w:color="auto"/>
              <w:left w:val="single" w:sz="2" w:space="0" w:color="auto"/>
              <w:bottom w:val="single" w:sz="2" w:space="0" w:color="auto"/>
              <w:right w:val="single" w:sz="2" w:space="0" w:color="auto"/>
            </w:tcBorders>
          </w:tcPr>
          <w:p w14:paraId="490F0418" w14:textId="77777777" w:rsidR="009F4766" w:rsidRPr="00DE12A3" w:rsidRDefault="009F4766" w:rsidP="00C917D6">
            <w:pPr>
              <w:pStyle w:val="NormalLeft"/>
            </w:pPr>
            <w:r w:rsidRPr="00DE12A3">
              <w:t>0,0040</w:t>
            </w:r>
          </w:p>
        </w:tc>
      </w:tr>
      <w:tr w:rsidR="00DE12A3" w:rsidRPr="00DE12A3" w14:paraId="7EDD8EDD" w14:textId="77777777" w:rsidTr="009F4766">
        <w:tc>
          <w:tcPr>
            <w:tcW w:w="1746" w:type="dxa"/>
            <w:tcBorders>
              <w:top w:val="single" w:sz="2" w:space="0" w:color="auto"/>
              <w:left w:val="single" w:sz="2" w:space="0" w:color="auto"/>
              <w:bottom w:val="single" w:sz="2" w:space="0" w:color="auto"/>
              <w:right w:val="single" w:sz="2" w:space="0" w:color="auto"/>
            </w:tcBorders>
          </w:tcPr>
          <w:p w14:paraId="51105EBF" w14:textId="77777777" w:rsidR="009F4766" w:rsidRPr="00DE12A3" w:rsidRDefault="009F4766" w:rsidP="00C917D6">
            <w:pPr>
              <w:pStyle w:val="NormalLeft"/>
            </w:pPr>
            <w:r w:rsidRPr="00DE12A3">
              <w:t>G</w:t>
            </w:r>
            <w:r w:rsidRPr="00DE12A3">
              <w:rPr>
                <w:vertAlign w:val="subscript"/>
              </w:rPr>
              <w:t>23</w:t>
            </w:r>
          </w:p>
        </w:tc>
        <w:tc>
          <w:tcPr>
            <w:tcW w:w="1746" w:type="dxa"/>
            <w:tcBorders>
              <w:top w:val="single" w:sz="2" w:space="0" w:color="auto"/>
              <w:left w:val="single" w:sz="2" w:space="0" w:color="auto"/>
              <w:bottom w:val="single" w:sz="2" w:space="0" w:color="auto"/>
              <w:right w:val="single" w:sz="2" w:space="0" w:color="auto"/>
            </w:tcBorders>
          </w:tcPr>
          <w:p w14:paraId="7C0FB793" w14:textId="77777777" w:rsidR="009F4766" w:rsidRPr="00DE12A3" w:rsidRDefault="009F4766" w:rsidP="00C917D6">
            <w:pPr>
              <w:pStyle w:val="NormalLeft"/>
            </w:pPr>
            <w:r w:rsidRPr="00DE12A3">
              <w:t>2,7986</w:t>
            </w:r>
          </w:p>
        </w:tc>
        <w:tc>
          <w:tcPr>
            <w:tcW w:w="1745" w:type="dxa"/>
            <w:tcBorders>
              <w:top w:val="single" w:sz="2" w:space="0" w:color="auto"/>
              <w:left w:val="single" w:sz="2" w:space="0" w:color="auto"/>
              <w:bottom w:val="single" w:sz="2" w:space="0" w:color="auto"/>
              <w:right w:val="single" w:sz="2" w:space="0" w:color="auto"/>
            </w:tcBorders>
          </w:tcPr>
          <w:p w14:paraId="02027BB7" w14:textId="77777777" w:rsidR="009F4766" w:rsidRPr="00DE12A3" w:rsidRDefault="009F4766" w:rsidP="00C917D6">
            <w:pPr>
              <w:pStyle w:val="NormalLeft"/>
            </w:pPr>
            <w:r w:rsidRPr="00DE12A3">
              <w:t>0</w:t>
            </w:r>
          </w:p>
        </w:tc>
        <w:tc>
          <w:tcPr>
            <w:tcW w:w="1746" w:type="dxa"/>
            <w:tcBorders>
              <w:top w:val="single" w:sz="2" w:space="0" w:color="auto"/>
              <w:left w:val="single" w:sz="2" w:space="0" w:color="auto"/>
              <w:bottom w:val="single" w:sz="2" w:space="0" w:color="auto"/>
              <w:right w:val="single" w:sz="2" w:space="0" w:color="auto"/>
            </w:tcBorders>
          </w:tcPr>
          <w:p w14:paraId="3450D1F4" w14:textId="77777777" w:rsidR="009F4766" w:rsidRPr="00DE12A3" w:rsidRDefault="009F4766" w:rsidP="00C917D6">
            <w:pPr>
              <w:pStyle w:val="NormalLeft"/>
            </w:pPr>
            <w:r w:rsidRPr="00DE12A3">
              <w:t>0,0703</w:t>
            </w:r>
          </w:p>
        </w:tc>
        <w:tc>
          <w:tcPr>
            <w:tcW w:w="1746" w:type="dxa"/>
            <w:tcBorders>
              <w:top w:val="single" w:sz="2" w:space="0" w:color="auto"/>
              <w:left w:val="single" w:sz="2" w:space="0" w:color="auto"/>
              <w:bottom w:val="single" w:sz="2" w:space="0" w:color="auto"/>
              <w:right w:val="single" w:sz="2" w:space="0" w:color="auto"/>
            </w:tcBorders>
          </w:tcPr>
          <w:p w14:paraId="1B935982" w14:textId="77777777" w:rsidR="009F4766" w:rsidRPr="00DE12A3" w:rsidRDefault="009F4766" w:rsidP="00C917D6">
            <w:pPr>
              <w:pStyle w:val="NormalLeft"/>
            </w:pPr>
            <w:r w:rsidRPr="00DE12A3">
              <w:t>0,0043</w:t>
            </w:r>
          </w:p>
        </w:tc>
      </w:tr>
      <w:tr w:rsidR="00DE12A3" w:rsidRPr="00DE12A3" w14:paraId="6D3CA6FC" w14:textId="77777777" w:rsidTr="009F4766">
        <w:tc>
          <w:tcPr>
            <w:tcW w:w="1746" w:type="dxa"/>
            <w:tcBorders>
              <w:top w:val="single" w:sz="2" w:space="0" w:color="auto"/>
              <w:left w:val="single" w:sz="2" w:space="0" w:color="auto"/>
              <w:bottom w:val="single" w:sz="2" w:space="0" w:color="auto"/>
              <w:right w:val="single" w:sz="2" w:space="0" w:color="auto"/>
            </w:tcBorders>
          </w:tcPr>
          <w:p w14:paraId="14BEAECC" w14:textId="77777777" w:rsidR="009F4766" w:rsidRPr="00DE12A3" w:rsidRDefault="009F4766" w:rsidP="00C917D6">
            <w:pPr>
              <w:pStyle w:val="NormalLeft"/>
            </w:pPr>
            <w:r w:rsidRPr="00DE12A3">
              <w:t>G</w:t>
            </w:r>
            <w:r w:rsidRPr="00DE12A3">
              <w:rPr>
                <w:vertAlign w:val="subscript"/>
              </w:rPr>
              <w:t>25</w:t>
            </w:r>
          </w:p>
        </w:tc>
        <w:tc>
          <w:tcPr>
            <w:tcW w:w="1746" w:type="dxa"/>
            <w:tcBorders>
              <w:top w:val="single" w:sz="2" w:space="0" w:color="auto"/>
              <w:left w:val="single" w:sz="2" w:space="0" w:color="auto"/>
              <w:bottom w:val="single" w:sz="2" w:space="0" w:color="auto"/>
              <w:right w:val="single" w:sz="2" w:space="0" w:color="auto"/>
            </w:tcBorders>
          </w:tcPr>
          <w:p w14:paraId="72447AFC" w14:textId="77777777" w:rsidR="009F4766" w:rsidRPr="00DE12A3" w:rsidRDefault="009F4766" w:rsidP="00C917D6">
            <w:pPr>
              <w:pStyle w:val="NormalLeft"/>
            </w:pPr>
            <w:r w:rsidRPr="00DE12A3">
              <w:t>2,7377</w:t>
            </w:r>
          </w:p>
        </w:tc>
        <w:tc>
          <w:tcPr>
            <w:tcW w:w="1745" w:type="dxa"/>
            <w:tcBorders>
              <w:top w:val="single" w:sz="2" w:space="0" w:color="auto"/>
              <w:left w:val="single" w:sz="2" w:space="0" w:color="auto"/>
              <w:bottom w:val="single" w:sz="2" w:space="0" w:color="auto"/>
              <w:right w:val="single" w:sz="2" w:space="0" w:color="auto"/>
            </w:tcBorders>
          </w:tcPr>
          <w:p w14:paraId="482EFC33" w14:textId="77777777" w:rsidR="009F4766" w:rsidRPr="00DE12A3" w:rsidRDefault="009F4766" w:rsidP="00C917D6">
            <w:pPr>
              <w:pStyle w:val="NormalLeft"/>
            </w:pPr>
            <w:r w:rsidRPr="00DE12A3">
              <w:t>0</w:t>
            </w:r>
          </w:p>
        </w:tc>
        <w:tc>
          <w:tcPr>
            <w:tcW w:w="1746" w:type="dxa"/>
            <w:tcBorders>
              <w:top w:val="single" w:sz="2" w:space="0" w:color="auto"/>
              <w:left w:val="single" w:sz="2" w:space="0" w:color="auto"/>
              <w:bottom w:val="single" w:sz="2" w:space="0" w:color="auto"/>
              <w:right w:val="single" w:sz="2" w:space="0" w:color="auto"/>
            </w:tcBorders>
          </w:tcPr>
          <w:p w14:paraId="4D8E04AC" w14:textId="77777777" w:rsidR="009F4766" w:rsidRPr="00DE12A3" w:rsidRDefault="009F4766" w:rsidP="00C917D6">
            <w:pPr>
              <w:pStyle w:val="NormalLeft"/>
            </w:pPr>
            <w:r w:rsidRPr="00DE12A3">
              <w:t>0,1319</w:t>
            </w:r>
          </w:p>
        </w:tc>
        <w:tc>
          <w:tcPr>
            <w:tcW w:w="1746" w:type="dxa"/>
            <w:tcBorders>
              <w:top w:val="single" w:sz="2" w:space="0" w:color="auto"/>
              <w:left w:val="single" w:sz="2" w:space="0" w:color="auto"/>
              <w:bottom w:val="single" w:sz="2" w:space="0" w:color="auto"/>
              <w:right w:val="single" w:sz="2" w:space="0" w:color="auto"/>
            </w:tcBorders>
          </w:tcPr>
          <w:p w14:paraId="5C5613A6" w14:textId="77777777" w:rsidR="009F4766" w:rsidRPr="00DE12A3" w:rsidRDefault="009F4766" w:rsidP="00C917D6">
            <w:pPr>
              <w:pStyle w:val="NormalLeft"/>
            </w:pPr>
            <w:r w:rsidRPr="00DE12A3">
              <w:t>0,0045</w:t>
            </w:r>
          </w:p>
        </w:tc>
      </w:tr>
      <w:tr w:rsidR="00DE12A3" w:rsidRPr="00DE12A3" w14:paraId="4E3860E8" w14:textId="77777777" w:rsidTr="009F4766">
        <w:tc>
          <w:tcPr>
            <w:tcW w:w="1746" w:type="dxa"/>
            <w:tcBorders>
              <w:top w:val="single" w:sz="2" w:space="0" w:color="auto"/>
              <w:left w:val="single" w:sz="2" w:space="0" w:color="auto"/>
              <w:bottom w:val="single" w:sz="2" w:space="0" w:color="auto"/>
              <w:right w:val="single" w:sz="2" w:space="0" w:color="auto"/>
            </w:tcBorders>
          </w:tcPr>
          <w:p w14:paraId="4ADF1007" w14:textId="77777777" w:rsidR="009F4766" w:rsidRPr="00DE12A3" w:rsidRDefault="009F4766" w:rsidP="00C917D6">
            <w:pPr>
              <w:pStyle w:val="NormalLeft"/>
            </w:pPr>
            <w:r w:rsidRPr="00DE12A3">
              <w:t>Propane</w:t>
            </w:r>
          </w:p>
        </w:tc>
        <w:tc>
          <w:tcPr>
            <w:tcW w:w="1746" w:type="dxa"/>
            <w:tcBorders>
              <w:top w:val="single" w:sz="2" w:space="0" w:color="auto"/>
              <w:left w:val="single" w:sz="2" w:space="0" w:color="auto"/>
              <w:bottom w:val="single" w:sz="2" w:space="0" w:color="auto"/>
              <w:right w:val="single" w:sz="2" w:space="0" w:color="auto"/>
            </w:tcBorders>
          </w:tcPr>
          <w:p w14:paraId="6A76A765" w14:textId="77777777" w:rsidR="009F4766" w:rsidRPr="00DE12A3" w:rsidRDefault="009F4766" w:rsidP="00C917D6">
            <w:pPr>
              <w:pStyle w:val="NormalLeft"/>
            </w:pPr>
            <w:r w:rsidRPr="00DE12A3">
              <w:t>2,2633</w:t>
            </w:r>
          </w:p>
        </w:tc>
        <w:tc>
          <w:tcPr>
            <w:tcW w:w="1745" w:type="dxa"/>
            <w:tcBorders>
              <w:top w:val="single" w:sz="2" w:space="0" w:color="auto"/>
              <w:left w:val="single" w:sz="2" w:space="0" w:color="auto"/>
              <w:bottom w:val="single" w:sz="2" w:space="0" w:color="auto"/>
              <w:right w:val="single" w:sz="2" w:space="0" w:color="auto"/>
            </w:tcBorders>
          </w:tcPr>
          <w:p w14:paraId="6500B923" w14:textId="77777777" w:rsidR="009F4766" w:rsidRPr="00DE12A3" w:rsidRDefault="009F4766" w:rsidP="00C917D6">
            <w:pPr>
              <w:pStyle w:val="NormalLeft"/>
            </w:pPr>
            <w:r w:rsidRPr="00DE12A3">
              <w:t>0</w:t>
            </w:r>
          </w:p>
        </w:tc>
        <w:tc>
          <w:tcPr>
            <w:tcW w:w="1746" w:type="dxa"/>
            <w:tcBorders>
              <w:top w:val="single" w:sz="2" w:space="0" w:color="auto"/>
              <w:left w:val="single" w:sz="2" w:space="0" w:color="auto"/>
              <w:bottom w:val="single" w:sz="2" w:space="0" w:color="auto"/>
              <w:right w:val="single" w:sz="2" w:space="0" w:color="auto"/>
            </w:tcBorders>
          </w:tcPr>
          <w:p w14:paraId="67CB5FAF" w14:textId="77777777" w:rsidR="009F4766" w:rsidRPr="00DE12A3" w:rsidRDefault="009F4766" w:rsidP="00C917D6">
            <w:pPr>
              <w:pStyle w:val="NormalLeft"/>
            </w:pPr>
            <w:r w:rsidRPr="00DE12A3">
              <w:t>0</w:t>
            </w:r>
          </w:p>
        </w:tc>
        <w:tc>
          <w:tcPr>
            <w:tcW w:w="1746" w:type="dxa"/>
            <w:tcBorders>
              <w:top w:val="single" w:sz="2" w:space="0" w:color="auto"/>
              <w:left w:val="single" w:sz="2" w:space="0" w:color="auto"/>
              <w:bottom w:val="single" w:sz="2" w:space="0" w:color="auto"/>
              <w:right w:val="single" w:sz="2" w:space="0" w:color="auto"/>
            </w:tcBorders>
          </w:tcPr>
          <w:p w14:paraId="0022B2F7" w14:textId="77777777" w:rsidR="009F4766" w:rsidRPr="00DE12A3" w:rsidRDefault="009F4766" w:rsidP="00C917D6">
            <w:pPr>
              <w:pStyle w:val="NormalLeft"/>
            </w:pPr>
            <w:r w:rsidRPr="00DE12A3">
              <w:t>0,0039</w:t>
            </w:r>
          </w:p>
        </w:tc>
      </w:tr>
      <w:tr w:rsidR="00DE12A3" w:rsidRPr="00DE12A3" w14:paraId="6729FC98" w14:textId="77777777" w:rsidTr="009F4766">
        <w:tc>
          <w:tcPr>
            <w:tcW w:w="1746" w:type="dxa"/>
            <w:tcBorders>
              <w:top w:val="single" w:sz="2" w:space="0" w:color="auto"/>
              <w:left w:val="single" w:sz="2" w:space="0" w:color="auto"/>
              <w:bottom w:val="single" w:sz="2" w:space="0" w:color="auto"/>
              <w:right w:val="single" w:sz="2" w:space="0" w:color="auto"/>
            </w:tcBorders>
          </w:tcPr>
          <w:p w14:paraId="63EA8071" w14:textId="77777777" w:rsidR="009F4766" w:rsidRPr="00DE12A3" w:rsidRDefault="009F4766" w:rsidP="00C917D6">
            <w:pPr>
              <w:pStyle w:val="NormalLeft"/>
            </w:pPr>
            <w:r w:rsidRPr="00DE12A3">
              <w:t>Butane</w:t>
            </w:r>
          </w:p>
        </w:tc>
        <w:tc>
          <w:tcPr>
            <w:tcW w:w="1746" w:type="dxa"/>
            <w:tcBorders>
              <w:top w:val="single" w:sz="2" w:space="0" w:color="auto"/>
              <w:left w:val="single" w:sz="2" w:space="0" w:color="auto"/>
              <w:bottom w:val="single" w:sz="2" w:space="0" w:color="auto"/>
              <w:right w:val="single" w:sz="2" w:space="0" w:color="auto"/>
            </w:tcBorders>
          </w:tcPr>
          <w:p w14:paraId="364E6750" w14:textId="77777777" w:rsidR="009F4766" w:rsidRPr="00DE12A3" w:rsidRDefault="009F4766" w:rsidP="00C917D6">
            <w:pPr>
              <w:pStyle w:val="NormalLeft"/>
            </w:pPr>
            <w:r w:rsidRPr="00DE12A3">
              <w:t>2,1837</w:t>
            </w:r>
          </w:p>
        </w:tc>
        <w:tc>
          <w:tcPr>
            <w:tcW w:w="1745" w:type="dxa"/>
            <w:tcBorders>
              <w:top w:val="single" w:sz="2" w:space="0" w:color="auto"/>
              <w:left w:val="single" w:sz="2" w:space="0" w:color="auto"/>
              <w:bottom w:val="single" w:sz="2" w:space="0" w:color="auto"/>
              <w:right w:val="single" w:sz="2" w:space="0" w:color="auto"/>
            </w:tcBorders>
          </w:tcPr>
          <w:p w14:paraId="78DE2FFE" w14:textId="77777777" w:rsidR="009F4766" w:rsidRPr="00DE12A3" w:rsidRDefault="009F4766" w:rsidP="00C917D6">
            <w:pPr>
              <w:pStyle w:val="NormalLeft"/>
            </w:pPr>
            <w:r w:rsidRPr="00DE12A3">
              <w:t>0</w:t>
            </w:r>
          </w:p>
        </w:tc>
        <w:tc>
          <w:tcPr>
            <w:tcW w:w="1746" w:type="dxa"/>
            <w:tcBorders>
              <w:top w:val="single" w:sz="2" w:space="0" w:color="auto"/>
              <w:left w:val="single" w:sz="2" w:space="0" w:color="auto"/>
              <w:bottom w:val="single" w:sz="2" w:space="0" w:color="auto"/>
              <w:right w:val="single" w:sz="2" w:space="0" w:color="auto"/>
            </w:tcBorders>
          </w:tcPr>
          <w:p w14:paraId="7EE40B7F" w14:textId="77777777" w:rsidR="009F4766" w:rsidRPr="00DE12A3" w:rsidRDefault="009F4766" w:rsidP="00C917D6">
            <w:pPr>
              <w:pStyle w:val="NormalLeft"/>
            </w:pPr>
            <w:r w:rsidRPr="00DE12A3">
              <w:t>0</w:t>
            </w:r>
          </w:p>
        </w:tc>
        <w:tc>
          <w:tcPr>
            <w:tcW w:w="1746" w:type="dxa"/>
            <w:tcBorders>
              <w:top w:val="single" w:sz="2" w:space="0" w:color="auto"/>
              <w:left w:val="single" w:sz="2" w:space="0" w:color="auto"/>
              <w:bottom w:val="single" w:sz="2" w:space="0" w:color="auto"/>
              <w:right w:val="single" w:sz="2" w:space="0" w:color="auto"/>
            </w:tcBorders>
          </w:tcPr>
          <w:p w14:paraId="0D99FA74" w14:textId="77777777" w:rsidR="009F4766" w:rsidRPr="00DE12A3" w:rsidRDefault="009F4766" w:rsidP="00C917D6">
            <w:pPr>
              <w:pStyle w:val="NormalLeft"/>
            </w:pPr>
            <w:r w:rsidRPr="00DE12A3">
              <w:t>0,0038</w:t>
            </w:r>
          </w:p>
        </w:tc>
      </w:tr>
      <w:tr w:rsidR="00DE12A3" w:rsidRPr="00DE12A3" w14:paraId="26E33D6D" w14:textId="77777777" w:rsidTr="009F4766">
        <w:tc>
          <w:tcPr>
            <w:tcW w:w="1746" w:type="dxa"/>
            <w:tcBorders>
              <w:top w:val="single" w:sz="2" w:space="0" w:color="auto"/>
              <w:left w:val="single" w:sz="2" w:space="0" w:color="auto"/>
              <w:bottom w:val="single" w:sz="2" w:space="0" w:color="auto"/>
              <w:right w:val="single" w:sz="2" w:space="0" w:color="auto"/>
            </w:tcBorders>
          </w:tcPr>
          <w:p w14:paraId="50CC45DC" w14:textId="77777777" w:rsidR="009F4766" w:rsidRPr="00DE12A3" w:rsidRDefault="009F4766" w:rsidP="00C917D6">
            <w:pPr>
              <w:pStyle w:val="NormalLeft"/>
            </w:pPr>
            <w:r w:rsidRPr="00DE12A3">
              <w:t>LPG</w:t>
            </w:r>
          </w:p>
        </w:tc>
        <w:tc>
          <w:tcPr>
            <w:tcW w:w="1746" w:type="dxa"/>
            <w:tcBorders>
              <w:top w:val="single" w:sz="2" w:space="0" w:color="auto"/>
              <w:left w:val="single" w:sz="2" w:space="0" w:color="auto"/>
              <w:bottom w:val="single" w:sz="2" w:space="0" w:color="auto"/>
              <w:right w:val="single" w:sz="2" w:space="0" w:color="auto"/>
            </w:tcBorders>
          </w:tcPr>
          <w:p w14:paraId="47A0DF50" w14:textId="77777777" w:rsidR="009F4766" w:rsidRPr="00DE12A3" w:rsidRDefault="009F4766" w:rsidP="00C917D6">
            <w:pPr>
              <w:pStyle w:val="NormalLeft"/>
            </w:pPr>
            <w:r w:rsidRPr="00DE12A3">
              <w:t>2,1957</w:t>
            </w:r>
          </w:p>
        </w:tc>
        <w:tc>
          <w:tcPr>
            <w:tcW w:w="1745" w:type="dxa"/>
            <w:tcBorders>
              <w:top w:val="single" w:sz="2" w:space="0" w:color="auto"/>
              <w:left w:val="single" w:sz="2" w:space="0" w:color="auto"/>
              <w:bottom w:val="single" w:sz="2" w:space="0" w:color="auto"/>
              <w:right w:val="single" w:sz="2" w:space="0" w:color="auto"/>
            </w:tcBorders>
          </w:tcPr>
          <w:p w14:paraId="01A3EA77" w14:textId="77777777" w:rsidR="009F4766" w:rsidRPr="00DE12A3" w:rsidRDefault="009F4766" w:rsidP="00C917D6">
            <w:pPr>
              <w:pStyle w:val="NormalLeft"/>
            </w:pPr>
            <w:r w:rsidRPr="00DE12A3">
              <w:t>0</w:t>
            </w:r>
          </w:p>
        </w:tc>
        <w:tc>
          <w:tcPr>
            <w:tcW w:w="1746" w:type="dxa"/>
            <w:tcBorders>
              <w:top w:val="single" w:sz="2" w:space="0" w:color="auto"/>
              <w:left w:val="single" w:sz="2" w:space="0" w:color="auto"/>
              <w:bottom w:val="single" w:sz="2" w:space="0" w:color="auto"/>
              <w:right w:val="single" w:sz="2" w:space="0" w:color="auto"/>
            </w:tcBorders>
          </w:tcPr>
          <w:p w14:paraId="08668803" w14:textId="77777777" w:rsidR="009F4766" w:rsidRPr="00DE12A3" w:rsidRDefault="009F4766" w:rsidP="00C917D6">
            <w:pPr>
              <w:pStyle w:val="NormalLeft"/>
            </w:pPr>
            <w:r w:rsidRPr="00DE12A3">
              <w:t>0</w:t>
            </w:r>
          </w:p>
        </w:tc>
        <w:tc>
          <w:tcPr>
            <w:tcW w:w="1746" w:type="dxa"/>
            <w:tcBorders>
              <w:top w:val="single" w:sz="2" w:space="0" w:color="auto"/>
              <w:left w:val="single" w:sz="2" w:space="0" w:color="auto"/>
              <w:bottom w:val="single" w:sz="2" w:space="0" w:color="auto"/>
              <w:right w:val="single" w:sz="2" w:space="0" w:color="auto"/>
            </w:tcBorders>
          </w:tcPr>
          <w:p w14:paraId="607C9815" w14:textId="77777777" w:rsidR="009F4766" w:rsidRPr="00DE12A3" w:rsidRDefault="009F4766" w:rsidP="00C917D6">
            <w:pPr>
              <w:pStyle w:val="NormalLeft"/>
            </w:pPr>
            <w:r w:rsidRPr="00DE12A3">
              <w:t>0,0038</w:t>
            </w:r>
          </w:p>
        </w:tc>
      </w:tr>
      <w:tr w:rsidR="00DE12A3" w:rsidRPr="00DE12A3" w14:paraId="66E3D0A4" w14:textId="77777777" w:rsidTr="009F4766">
        <w:tc>
          <w:tcPr>
            <w:tcW w:w="1746" w:type="dxa"/>
            <w:tcBorders>
              <w:top w:val="single" w:sz="2" w:space="0" w:color="auto"/>
              <w:left w:val="single" w:sz="2" w:space="0" w:color="auto"/>
              <w:bottom w:val="single" w:sz="2" w:space="0" w:color="auto"/>
              <w:right w:val="single" w:sz="2" w:space="0" w:color="auto"/>
            </w:tcBorders>
          </w:tcPr>
          <w:p w14:paraId="76B84E05" w14:textId="77777777" w:rsidR="009F4766" w:rsidRPr="00DE12A3" w:rsidRDefault="009F4766" w:rsidP="00C917D6">
            <w:pPr>
              <w:pStyle w:val="NormalLeft"/>
            </w:pPr>
            <w:r w:rsidRPr="00DE12A3">
              <w:t xml:space="preserve">LPG </w:t>
            </w:r>
            <w:r w:rsidR="00A25516" w:rsidRPr="00DE12A3">
              <w:t>yakıt</w:t>
            </w:r>
            <w:r w:rsidRPr="00DE12A3">
              <w:t xml:space="preserve"> A</w:t>
            </w:r>
          </w:p>
        </w:tc>
        <w:tc>
          <w:tcPr>
            <w:tcW w:w="1746" w:type="dxa"/>
            <w:tcBorders>
              <w:top w:val="single" w:sz="2" w:space="0" w:color="auto"/>
              <w:left w:val="single" w:sz="2" w:space="0" w:color="auto"/>
              <w:bottom w:val="single" w:sz="2" w:space="0" w:color="auto"/>
              <w:right w:val="single" w:sz="2" w:space="0" w:color="auto"/>
            </w:tcBorders>
          </w:tcPr>
          <w:p w14:paraId="17960457" w14:textId="77777777" w:rsidR="009F4766" w:rsidRPr="00DE12A3" w:rsidRDefault="009F4766" w:rsidP="00C917D6">
            <w:pPr>
              <w:pStyle w:val="NormalLeft"/>
            </w:pPr>
            <w:r w:rsidRPr="00DE12A3">
              <w:t>2,1740</w:t>
            </w:r>
          </w:p>
        </w:tc>
        <w:tc>
          <w:tcPr>
            <w:tcW w:w="1745" w:type="dxa"/>
            <w:tcBorders>
              <w:top w:val="single" w:sz="2" w:space="0" w:color="auto"/>
              <w:left w:val="single" w:sz="2" w:space="0" w:color="auto"/>
              <w:bottom w:val="single" w:sz="2" w:space="0" w:color="auto"/>
              <w:right w:val="single" w:sz="2" w:space="0" w:color="auto"/>
            </w:tcBorders>
          </w:tcPr>
          <w:p w14:paraId="71312E15" w14:textId="77777777" w:rsidR="009F4766" w:rsidRPr="00DE12A3" w:rsidRDefault="009F4766" w:rsidP="00C917D6">
            <w:pPr>
              <w:pStyle w:val="NormalLeft"/>
            </w:pPr>
            <w:r w:rsidRPr="00DE12A3">
              <w:t>0</w:t>
            </w:r>
          </w:p>
        </w:tc>
        <w:tc>
          <w:tcPr>
            <w:tcW w:w="1746" w:type="dxa"/>
            <w:tcBorders>
              <w:top w:val="single" w:sz="2" w:space="0" w:color="auto"/>
              <w:left w:val="single" w:sz="2" w:space="0" w:color="auto"/>
              <w:bottom w:val="single" w:sz="2" w:space="0" w:color="auto"/>
              <w:right w:val="single" w:sz="2" w:space="0" w:color="auto"/>
            </w:tcBorders>
          </w:tcPr>
          <w:p w14:paraId="06C1C97A" w14:textId="77777777" w:rsidR="009F4766" w:rsidRPr="00DE12A3" w:rsidRDefault="009F4766" w:rsidP="00C917D6">
            <w:pPr>
              <w:pStyle w:val="NormalLeft"/>
            </w:pPr>
            <w:r w:rsidRPr="00DE12A3">
              <w:t>0</w:t>
            </w:r>
          </w:p>
        </w:tc>
        <w:tc>
          <w:tcPr>
            <w:tcW w:w="1746" w:type="dxa"/>
            <w:tcBorders>
              <w:top w:val="single" w:sz="2" w:space="0" w:color="auto"/>
              <w:left w:val="single" w:sz="2" w:space="0" w:color="auto"/>
              <w:bottom w:val="single" w:sz="2" w:space="0" w:color="auto"/>
              <w:right w:val="single" w:sz="2" w:space="0" w:color="auto"/>
            </w:tcBorders>
          </w:tcPr>
          <w:p w14:paraId="535B0BE2" w14:textId="77777777" w:rsidR="009F4766" w:rsidRPr="00DE12A3" w:rsidRDefault="009F4766" w:rsidP="00C917D6">
            <w:pPr>
              <w:pStyle w:val="NormalLeft"/>
            </w:pPr>
            <w:r w:rsidRPr="00DE12A3">
              <w:t>0,0038</w:t>
            </w:r>
          </w:p>
        </w:tc>
      </w:tr>
      <w:tr w:rsidR="009F4766" w:rsidRPr="00DE12A3" w14:paraId="3CB62AC3" w14:textId="77777777" w:rsidTr="009F4766">
        <w:tc>
          <w:tcPr>
            <w:tcW w:w="1746" w:type="dxa"/>
            <w:tcBorders>
              <w:top w:val="single" w:sz="2" w:space="0" w:color="auto"/>
              <w:left w:val="single" w:sz="2" w:space="0" w:color="auto"/>
              <w:bottom w:val="single" w:sz="2" w:space="0" w:color="auto"/>
              <w:right w:val="single" w:sz="2" w:space="0" w:color="auto"/>
            </w:tcBorders>
          </w:tcPr>
          <w:p w14:paraId="4CC800DD" w14:textId="77777777" w:rsidR="009F4766" w:rsidRPr="00DE12A3" w:rsidRDefault="00C62BF9" w:rsidP="00C917D6">
            <w:pPr>
              <w:pStyle w:val="NormalLeft"/>
            </w:pPr>
            <w:r w:rsidRPr="00DE12A3">
              <w:t>LPG yakıt</w:t>
            </w:r>
            <w:r w:rsidR="00A25516" w:rsidRPr="00DE12A3">
              <w:t xml:space="preserve"> </w:t>
            </w:r>
            <w:r w:rsidR="009F4766" w:rsidRPr="00DE12A3">
              <w:t>B</w:t>
            </w:r>
          </w:p>
        </w:tc>
        <w:tc>
          <w:tcPr>
            <w:tcW w:w="1746" w:type="dxa"/>
            <w:tcBorders>
              <w:top w:val="single" w:sz="2" w:space="0" w:color="auto"/>
              <w:left w:val="single" w:sz="2" w:space="0" w:color="auto"/>
              <w:bottom w:val="single" w:sz="2" w:space="0" w:color="auto"/>
              <w:right w:val="single" w:sz="2" w:space="0" w:color="auto"/>
            </w:tcBorders>
          </w:tcPr>
          <w:p w14:paraId="2FD5FD98" w14:textId="77777777" w:rsidR="009F4766" w:rsidRPr="00DE12A3" w:rsidRDefault="009F4766" w:rsidP="00C917D6">
            <w:pPr>
              <w:pStyle w:val="NormalLeft"/>
            </w:pPr>
            <w:r w:rsidRPr="00DE12A3">
              <w:t>2,2402</w:t>
            </w:r>
          </w:p>
        </w:tc>
        <w:tc>
          <w:tcPr>
            <w:tcW w:w="1745" w:type="dxa"/>
            <w:tcBorders>
              <w:top w:val="single" w:sz="2" w:space="0" w:color="auto"/>
              <w:left w:val="single" w:sz="2" w:space="0" w:color="auto"/>
              <w:bottom w:val="single" w:sz="2" w:space="0" w:color="auto"/>
              <w:right w:val="single" w:sz="2" w:space="0" w:color="auto"/>
            </w:tcBorders>
          </w:tcPr>
          <w:p w14:paraId="3F6E8BDB" w14:textId="77777777" w:rsidR="009F4766" w:rsidRPr="00DE12A3" w:rsidRDefault="009F4766" w:rsidP="00C917D6">
            <w:pPr>
              <w:pStyle w:val="NormalLeft"/>
            </w:pPr>
            <w:r w:rsidRPr="00DE12A3">
              <w:t>0</w:t>
            </w:r>
          </w:p>
        </w:tc>
        <w:tc>
          <w:tcPr>
            <w:tcW w:w="1746" w:type="dxa"/>
            <w:tcBorders>
              <w:top w:val="single" w:sz="2" w:space="0" w:color="auto"/>
              <w:left w:val="single" w:sz="2" w:space="0" w:color="auto"/>
              <w:bottom w:val="single" w:sz="2" w:space="0" w:color="auto"/>
              <w:right w:val="single" w:sz="2" w:space="0" w:color="auto"/>
            </w:tcBorders>
          </w:tcPr>
          <w:p w14:paraId="0EF83005" w14:textId="77777777" w:rsidR="009F4766" w:rsidRPr="00DE12A3" w:rsidRDefault="009F4766" w:rsidP="00C917D6">
            <w:pPr>
              <w:pStyle w:val="NormalLeft"/>
            </w:pPr>
            <w:r w:rsidRPr="00DE12A3">
              <w:t>0</w:t>
            </w:r>
          </w:p>
        </w:tc>
        <w:tc>
          <w:tcPr>
            <w:tcW w:w="1746" w:type="dxa"/>
            <w:tcBorders>
              <w:top w:val="single" w:sz="2" w:space="0" w:color="auto"/>
              <w:left w:val="single" w:sz="2" w:space="0" w:color="auto"/>
              <w:bottom w:val="single" w:sz="2" w:space="0" w:color="auto"/>
              <w:right w:val="single" w:sz="2" w:space="0" w:color="auto"/>
            </w:tcBorders>
          </w:tcPr>
          <w:p w14:paraId="6256F306" w14:textId="77777777" w:rsidR="009F4766" w:rsidRPr="00DE12A3" w:rsidRDefault="009F4766" w:rsidP="00C917D6">
            <w:pPr>
              <w:pStyle w:val="NormalLeft"/>
            </w:pPr>
            <w:r w:rsidRPr="00DE12A3">
              <w:t>0,0039</w:t>
            </w:r>
          </w:p>
        </w:tc>
      </w:tr>
    </w:tbl>
    <w:p w14:paraId="33933ECD" w14:textId="77777777" w:rsidR="009F4766" w:rsidRPr="00DE12A3" w:rsidRDefault="009F4766" w:rsidP="00C917D6">
      <w:pPr>
        <w:spacing w:before="120" w:after="120"/>
        <w:rPr>
          <w:rFonts w:cs="Times New Roman"/>
          <w:color w:val="auto"/>
        </w:rPr>
      </w:pPr>
    </w:p>
    <w:p w14:paraId="6587B76A" w14:textId="7F72938A" w:rsidR="00A25516" w:rsidRPr="00DE12A3" w:rsidRDefault="00A25516" w:rsidP="00570441">
      <w:pPr>
        <w:pStyle w:val="Text4"/>
        <w:ind w:left="0"/>
        <w:rPr>
          <w:bCs/>
        </w:rPr>
      </w:pPr>
      <w:r w:rsidRPr="00DE12A3">
        <w:rPr>
          <w:bCs/>
        </w:rPr>
        <w:t>7.1.3.2.1.</w:t>
      </w:r>
      <w:r w:rsidR="00570441" w:rsidRPr="00DE12A3">
        <w:rPr>
          <w:bCs/>
        </w:rPr>
        <w:t xml:space="preserve"> </w:t>
      </w:r>
      <w:r w:rsidRPr="00DE12A3">
        <w:rPr>
          <w:bCs/>
        </w:rPr>
        <w:t>Gaz emisyonu testi başına kütle</w:t>
      </w:r>
    </w:p>
    <w:p w14:paraId="2FF8CB02" w14:textId="68F3EDF8" w:rsidR="00A25516" w:rsidRPr="00DE12A3" w:rsidRDefault="00A25516" w:rsidP="00570441">
      <w:pPr>
        <w:pStyle w:val="Text4"/>
        <w:ind w:left="0"/>
      </w:pPr>
      <w:r w:rsidRPr="00DE12A3">
        <w:t xml:space="preserve">7.1.3.2 </w:t>
      </w:r>
      <w:r w:rsidR="002C198B" w:rsidRPr="00DE12A3">
        <w:t xml:space="preserve">bendinin </w:t>
      </w:r>
      <w:r w:rsidRPr="00DE12A3">
        <w:t>(a)</w:t>
      </w:r>
      <w:r w:rsidR="002C198B" w:rsidRPr="00DE12A3">
        <w:t xml:space="preserve"> numaralı alt</w:t>
      </w:r>
      <w:r w:rsidRPr="00DE12A3">
        <w:t xml:space="preserve"> bendi uyarınca u</w:t>
      </w:r>
      <w:r w:rsidRPr="00DE12A3">
        <w:rPr>
          <w:vertAlign w:val="subscript"/>
        </w:rPr>
        <w:t>gas</w:t>
      </w:r>
      <w:r w:rsidRPr="00DE12A3">
        <w:t xml:space="preserve">’ın anlık değerlerini hesaplamak için kesin denklemlerin uygulanması durumunda, süreksiz (NRTC ve LSI-NRTC) test </w:t>
      </w:r>
      <w:r w:rsidR="00F310B5" w:rsidRPr="00DE12A3">
        <w:t>çevrim</w:t>
      </w:r>
      <w:r w:rsidRPr="00DE12A3">
        <w:t>leri ve RMC için bir gaz emisyonunun test başına kütlesi hesaplanırken u</w:t>
      </w:r>
      <w:r w:rsidRPr="00DE12A3">
        <w:rPr>
          <w:vertAlign w:val="subscript"/>
        </w:rPr>
        <w:t>gas</w:t>
      </w:r>
      <w:r w:rsidRPr="00DE12A3">
        <w:t xml:space="preserve"> (8-1) </w:t>
      </w:r>
      <w:r w:rsidR="002C198B" w:rsidRPr="00DE12A3">
        <w:t xml:space="preserve">numaralı </w:t>
      </w:r>
      <w:r w:rsidRPr="00DE12A3">
        <w:t xml:space="preserve">denklem vasıtasıyla </w:t>
      </w:r>
      <w:r w:rsidR="00FA0678" w:rsidRPr="00DE12A3">
        <w:t xml:space="preserve">VII’nci </w:t>
      </w:r>
      <w:r w:rsidR="00773274" w:rsidRPr="00DE12A3">
        <w:t>E</w:t>
      </w:r>
      <w:r w:rsidR="00FA0678" w:rsidRPr="00DE12A3">
        <w:t>k</w:t>
      </w:r>
      <w:r w:rsidRPr="00DE12A3">
        <w:t xml:space="preserve">in 2.1.2 bendindeki 7-2 </w:t>
      </w:r>
      <w:r w:rsidR="002C198B" w:rsidRPr="00DE12A3">
        <w:t>numaralı</w:t>
      </w:r>
      <w:r w:rsidRPr="00DE12A3">
        <w:t xml:space="preserve">denklemin içindeki toplamaya </w:t>
      </w:r>
      <w:r w:rsidR="00301A9C" w:rsidRPr="00DE12A3">
        <w:t>eklenir :</w:t>
      </w:r>
    </w:p>
    <w:p w14:paraId="7690D168" w14:textId="77777777" w:rsidR="00E40FE7" w:rsidRPr="00DE12A3" w:rsidRDefault="00E40FE7" w:rsidP="00C917D6">
      <w:pPr>
        <w:spacing w:before="120" w:after="120"/>
        <w:rPr>
          <w:rFonts w:cs="Times New Roman"/>
          <w:color w:val="auto"/>
        </w:rPr>
      </w:pPr>
    </w:p>
    <w:tbl>
      <w:tblPr>
        <w:tblW w:w="0" w:type="auto"/>
        <w:jc w:val="center"/>
        <w:tblLayout w:type="fixed"/>
        <w:tblLook w:val="0000" w:firstRow="0" w:lastRow="0" w:firstColumn="0" w:lastColumn="0" w:noHBand="0" w:noVBand="0"/>
      </w:tblPr>
      <w:tblGrid>
        <w:gridCol w:w="4513"/>
        <w:gridCol w:w="1059"/>
      </w:tblGrid>
      <w:tr w:rsidR="009F4766" w:rsidRPr="00DE12A3" w14:paraId="65B098C2" w14:textId="77777777" w:rsidTr="002000F9">
        <w:trPr>
          <w:trHeight w:val="1422"/>
          <w:jc w:val="center"/>
        </w:trPr>
        <w:tc>
          <w:tcPr>
            <w:tcW w:w="4513" w:type="dxa"/>
          </w:tcPr>
          <w:p w14:paraId="2CBE8023" w14:textId="3516029B" w:rsidR="009F4766" w:rsidRPr="00DE12A3" w:rsidRDefault="009F4766" w:rsidP="00C917D6">
            <w:pPr>
              <w:pStyle w:val="NormalLeft"/>
            </w:pPr>
            <w:r w:rsidRPr="00DE12A3">
              <w:rPr>
                <w:noProof/>
                <w:lang w:val="tr-TR"/>
              </w:rPr>
              <w:lastRenderedPageBreak/>
              <w:drawing>
                <wp:inline distT="0" distB="0" distL="0" distR="0" wp14:anchorId="47A973EF" wp14:editId="4AD16A52">
                  <wp:extent cx="2684584" cy="808990"/>
                  <wp:effectExtent l="0" t="0" r="1905" b="0"/>
                  <wp:docPr id="2019" name="Resim 2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251">
                            <a:extLst>
                              <a:ext uri="{28A0092B-C50C-407E-A947-70E740481C1C}">
                                <a14:useLocalDpi xmlns:a14="http://schemas.microsoft.com/office/drawing/2010/main" val="0"/>
                              </a:ext>
                            </a:extLst>
                          </a:blip>
                          <a:srcRect/>
                          <a:stretch>
                            <a:fillRect/>
                          </a:stretch>
                        </pic:blipFill>
                        <pic:spPr bwMode="auto">
                          <a:xfrm>
                            <a:off x="0" y="0"/>
                            <a:ext cx="2693354" cy="811633"/>
                          </a:xfrm>
                          <a:prstGeom prst="rect">
                            <a:avLst/>
                          </a:prstGeom>
                          <a:noFill/>
                          <a:ln>
                            <a:noFill/>
                          </a:ln>
                        </pic:spPr>
                      </pic:pic>
                    </a:graphicData>
                  </a:graphic>
                </wp:inline>
              </w:drawing>
            </w:r>
          </w:p>
        </w:tc>
        <w:tc>
          <w:tcPr>
            <w:tcW w:w="1059" w:type="dxa"/>
          </w:tcPr>
          <w:p w14:paraId="6D74E795" w14:textId="77777777" w:rsidR="001F298E" w:rsidRPr="00DE12A3" w:rsidRDefault="001F298E" w:rsidP="00C917D6">
            <w:pPr>
              <w:pStyle w:val="NormalLeft"/>
            </w:pPr>
          </w:p>
          <w:p w14:paraId="38E530DF" w14:textId="77777777" w:rsidR="001F298E" w:rsidRPr="00DE12A3" w:rsidRDefault="001F298E" w:rsidP="00C917D6">
            <w:pPr>
              <w:pStyle w:val="NormalLeft"/>
            </w:pPr>
          </w:p>
          <w:p w14:paraId="23469436" w14:textId="77777777" w:rsidR="009F4766" w:rsidRPr="00DE12A3" w:rsidRDefault="009F4766" w:rsidP="00C917D6">
            <w:pPr>
              <w:pStyle w:val="NormalLeft"/>
            </w:pPr>
            <w:r w:rsidRPr="00DE12A3">
              <w:t>(8-1)</w:t>
            </w:r>
          </w:p>
        </w:tc>
      </w:tr>
    </w:tbl>
    <w:p w14:paraId="42E12CB5" w14:textId="77777777" w:rsidR="009F4766" w:rsidRPr="00DE12A3" w:rsidRDefault="009F4766" w:rsidP="00C917D6">
      <w:pPr>
        <w:spacing w:before="120" w:after="120"/>
        <w:rPr>
          <w:rFonts w:cs="Times New Roman"/>
          <w:color w:val="auto"/>
        </w:rPr>
      </w:pPr>
    </w:p>
    <w:p w14:paraId="537CFA9D" w14:textId="77777777" w:rsidR="009F4766" w:rsidRPr="00DE12A3" w:rsidRDefault="008B3D9F" w:rsidP="00570441">
      <w:pPr>
        <w:spacing w:before="120" w:after="120"/>
        <w:rPr>
          <w:rFonts w:cs="Times New Roman"/>
          <w:color w:val="auto"/>
        </w:rPr>
      </w:pPr>
      <w:r w:rsidRPr="00DE12A3">
        <w:rPr>
          <w:rFonts w:cs="Times New Roman"/>
          <w:color w:val="auto"/>
        </w:rPr>
        <w:t>Burada</w:t>
      </w:r>
      <w:r w:rsidR="009F4766" w:rsidRPr="00DE12A3">
        <w:rPr>
          <w:rFonts w:cs="Times New Roman"/>
          <w:color w:val="auto"/>
        </w:rPr>
        <w:t>:</w:t>
      </w:r>
    </w:p>
    <w:tbl>
      <w:tblPr>
        <w:tblW w:w="0" w:type="auto"/>
        <w:tblInd w:w="2182" w:type="dxa"/>
        <w:tblLayout w:type="fixed"/>
        <w:tblLook w:val="0000" w:firstRow="0" w:lastRow="0" w:firstColumn="0" w:lastColumn="0" w:noHBand="0" w:noVBand="0"/>
      </w:tblPr>
      <w:tblGrid>
        <w:gridCol w:w="935"/>
        <w:gridCol w:w="443"/>
        <w:gridCol w:w="3544"/>
      </w:tblGrid>
      <w:tr w:rsidR="009F4766" w:rsidRPr="00DE12A3" w14:paraId="0B415585" w14:textId="77777777" w:rsidTr="002000F9">
        <w:tc>
          <w:tcPr>
            <w:tcW w:w="935" w:type="dxa"/>
          </w:tcPr>
          <w:p w14:paraId="7CA73139" w14:textId="77777777" w:rsidR="009F4766" w:rsidRPr="00DE12A3" w:rsidRDefault="009F4766" w:rsidP="00C917D6">
            <w:pPr>
              <w:pStyle w:val="NormalLeft"/>
            </w:pPr>
            <w:r w:rsidRPr="00DE12A3">
              <w:rPr>
                <w:i/>
                <w:iCs/>
              </w:rPr>
              <w:t>u</w:t>
            </w:r>
            <w:r w:rsidRPr="00DE12A3">
              <w:rPr>
                <w:vertAlign w:val="subscript"/>
              </w:rPr>
              <w:t>gas,</w:t>
            </w:r>
            <w:r w:rsidRPr="00DE12A3">
              <w:rPr>
                <w:i/>
                <w:iCs/>
                <w:vertAlign w:val="subscript"/>
              </w:rPr>
              <w:t>i</w:t>
            </w:r>
          </w:p>
        </w:tc>
        <w:tc>
          <w:tcPr>
            <w:tcW w:w="443" w:type="dxa"/>
          </w:tcPr>
          <w:p w14:paraId="35184FE5" w14:textId="4B90AAA9" w:rsidR="009F4766" w:rsidRPr="00DE12A3" w:rsidRDefault="001F298E" w:rsidP="00C917D6">
            <w:pPr>
              <w:pStyle w:val="NormalLeft"/>
            </w:pPr>
            <w:r w:rsidRPr="00DE12A3">
              <w:t>=</w:t>
            </w:r>
          </w:p>
        </w:tc>
        <w:tc>
          <w:tcPr>
            <w:tcW w:w="3544" w:type="dxa"/>
          </w:tcPr>
          <w:p w14:paraId="00BDC529" w14:textId="07EFF276" w:rsidR="009F4766" w:rsidRPr="00DE12A3" w:rsidRDefault="00301A9C" w:rsidP="00C917D6">
            <w:pPr>
              <w:pStyle w:val="NormalLeft"/>
            </w:pPr>
            <w:r w:rsidRPr="00DE12A3">
              <w:t>Anlık</w:t>
            </w:r>
            <w:r w:rsidR="00A25516" w:rsidRPr="00DE12A3">
              <w:t xml:space="preserve"> ugas değeridir</w:t>
            </w:r>
            <w:r w:rsidR="001F298E" w:rsidRPr="00DE12A3">
              <w:t>.</w:t>
            </w:r>
          </w:p>
        </w:tc>
      </w:tr>
    </w:tbl>
    <w:p w14:paraId="647A7574" w14:textId="77777777" w:rsidR="009F4766" w:rsidRPr="00DE12A3" w:rsidRDefault="009F4766" w:rsidP="00C917D6">
      <w:pPr>
        <w:spacing w:before="120" w:after="120"/>
        <w:rPr>
          <w:rFonts w:cs="Times New Roman"/>
          <w:color w:val="auto"/>
        </w:rPr>
      </w:pPr>
    </w:p>
    <w:p w14:paraId="48F8D9F0" w14:textId="70FD2E77" w:rsidR="00E40FE7" w:rsidRPr="00DE12A3" w:rsidRDefault="00A25516" w:rsidP="00570441">
      <w:pPr>
        <w:spacing w:before="120" w:after="120"/>
        <w:rPr>
          <w:rFonts w:cs="Times New Roman"/>
          <w:color w:val="auto"/>
        </w:rPr>
      </w:pPr>
      <w:r w:rsidRPr="00DE12A3">
        <w:rPr>
          <w:rFonts w:cs="Times New Roman"/>
          <w:color w:val="auto"/>
        </w:rPr>
        <w:t xml:space="preserve">Denklemin diğer terimleri, </w:t>
      </w:r>
      <w:r w:rsidR="00FA0678" w:rsidRPr="00DE12A3">
        <w:rPr>
          <w:rFonts w:cs="Times New Roman"/>
          <w:color w:val="auto"/>
        </w:rPr>
        <w:t xml:space="preserve">VII’nci </w:t>
      </w:r>
      <w:r w:rsidR="001F298E" w:rsidRPr="00DE12A3">
        <w:rPr>
          <w:rFonts w:cs="Times New Roman"/>
          <w:color w:val="auto"/>
        </w:rPr>
        <w:t>E</w:t>
      </w:r>
      <w:r w:rsidR="00FA0678" w:rsidRPr="00DE12A3">
        <w:rPr>
          <w:rFonts w:cs="Times New Roman"/>
          <w:color w:val="auto"/>
        </w:rPr>
        <w:t>k</w:t>
      </w:r>
      <w:r w:rsidRPr="00DE12A3">
        <w:rPr>
          <w:rFonts w:cs="Times New Roman"/>
          <w:color w:val="auto"/>
        </w:rPr>
        <w:t>in 2.1.2 bendinde belirtildiği gibidir.</w:t>
      </w:r>
    </w:p>
    <w:p w14:paraId="0DCDB8D6" w14:textId="69D1231C" w:rsidR="00E40FE7" w:rsidRPr="00DE12A3" w:rsidRDefault="00E40FE7" w:rsidP="00C917D6">
      <w:pPr>
        <w:spacing w:before="120" w:after="120"/>
        <w:rPr>
          <w:rFonts w:cs="Times New Roman"/>
          <w:color w:val="auto"/>
        </w:rPr>
      </w:pPr>
    </w:p>
    <w:p w14:paraId="173CD659" w14:textId="12136818" w:rsidR="004940FF" w:rsidRPr="00DE12A3" w:rsidRDefault="004940FF" w:rsidP="004940FF">
      <w:pPr>
        <w:spacing w:before="120" w:after="120"/>
        <w:jc w:val="center"/>
        <w:rPr>
          <w:color w:val="auto"/>
        </w:rPr>
      </w:pPr>
      <w:r w:rsidRPr="00DE12A3">
        <w:rPr>
          <w:color w:val="auto"/>
        </w:rPr>
        <w:t>Tablo 8.2</w:t>
      </w:r>
    </w:p>
    <w:p w14:paraId="0D8D0D61" w14:textId="2A962884" w:rsidR="004940FF" w:rsidRPr="00DE12A3" w:rsidRDefault="004940FF" w:rsidP="004940FF">
      <w:pPr>
        <w:spacing w:before="120" w:after="120"/>
        <w:jc w:val="center"/>
        <w:rPr>
          <w:rFonts w:cs="Times New Roman"/>
          <w:color w:val="auto"/>
        </w:rPr>
      </w:pPr>
      <w:r w:rsidRPr="00DE12A3">
        <w:rPr>
          <w:b/>
          <w:iCs/>
          <w:color w:val="auto"/>
        </w:rPr>
        <w:t xml:space="preserve">Ham egzoz gazı </w:t>
      </w:r>
      <w:r w:rsidR="00946B82" w:rsidRPr="00DE12A3">
        <w:rPr>
          <w:b/>
          <w:iCs/>
          <w:color w:val="auto"/>
        </w:rPr>
        <w:t>u</w:t>
      </w:r>
      <w:r w:rsidRPr="00DE12A3">
        <w:rPr>
          <w:b/>
          <w:iCs/>
          <w:color w:val="auto"/>
          <w:vertAlign w:val="subscript"/>
        </w:rPr>
        <w:t>ga</w:t>
      </w:r>
      <w:r w:rsidR="00946B82" w:rsidRPr="00DE12A3">
        <w:rPr>
          <w:b/>
          <w:iCs/>
          <w:color w:val="auto"/>
          <w:vertAlign w:val="subscript"/>
        </w:rPr>
        <w:t>s</w:t>
      </w:r>
      <w:r w:rsidRPr="00DE12A3">
        <w:rPr>
          <w:b/>
          <w:iCs/>
          <w:color w:val="auto"/>
        </w:rPr>
        <w:t xml:space="preserve"> değerleri ve </w:t>
      </w:r>
      <w:r w:rsidR="00773274" w:rsidRPr="00DE12A3">
        <w:rPr>
          <w:b/>
          <w:iCs/>
          <w:color w:val="auto"/>
        </w:rPr>
        <w:t>%50</w:t>
      </w:r>
      <w:r w:rsidRPr="00DE12A3">
        <w:rPr>
          <w:b/>
          <w:iCs/>
          <w:color w:val="auto"/>
        </w:rPr>
        <w:t xml:space="preserve"> gaz ve </w:t>
      </w:r>
      <w:r w:rsidR="00773274" w:rsidRPr="00DE12A3">
        <w:rPr>
          <w:b/>
          <w:iCs/>
          <w:color w:val="auto"/>
        </w:rPr>
        <w:t>%50</w:t>
      </w:r>
      <w:r w:rsidRPr="00DE12A3">
        <w:rPr>
          <w:b/>
          <w:iCs/>
          <w:color w:val="auto"/>
        </w:rPr>
        <w:t xml:space="preserve"> dizel yakıt karışımı için bileşen yoğunlukları (% kütle)</w:t>
      </w:r>
    </w:p>
    <w:tbl>
      <w:tblPr>
        <w:tblW w:w="9353" w:type="dxa"/>
        <w:tblLayout w:type="fixed"/>
        <w:tblLook w:val="0000" w:firstRow="0" w:lastRow="0" w:firstColumn="0" w:lastColumn="0" w:noHBand="0" w:noVBand="0"/>
      </w:tblPr>
      <w:tblGrid>
        <w:gridCol w:w="1207"/>
        <w:gridCol w:w="917"/>
        <w:gridCol w:w="1134"/>
        <w:gridCol w:w="1134"/>
        <w:gridCol w:w="1417"/>
        <w:gridCol w:w="1156"/>
        <w:gridCol w:w="1207"/>
        <w:gridCol w:w="1181"/>
      </w:tblGrid>
      <w:tr w:rsidR="00DE12A3" w:rsidRPr="00DE12A3" w14:paraId="2CE980AE" w14:textId="77777777" w:rsidTr="00946B82">
        <w:tc>
          <w:tcPr>
            <w:tcW w:w="1207" w:type="dxa"/>
            <w:vMerge w:val="restart"/>
            <w:tcBorders>
              <w:top w:val="single" w:sz="2" w:space="0" w:color="auto"/>
              <w:left w:val="single" w:sz="2" w:space="0" w:color="auto"/>
              <w:bottom w:val="single" w:sz="2" w:space="0" w:color="auto"/>
              <w:right w:val="single" w:sz="2" w:space="0" w:color="auto"/>
            </w:tcBorders>
          </w:tcPr>
          <w:p w14:paraId="46B16700" w14:textId="77777777" w:rsidR="009F4766" w:rsidRPr="00DE12A3" w:rsidRDefault="00A25516" w:rsidP="00C917D6">
            <w:pPr>
              <w:pStyle w:val="NormalCentered"/>
            </w:pPr>
            <w:r w:rsidRPr="00DE12A3">
              <w:t>Gaz yakıt</w:t>
            </w:r>
          </w:p>
        </w:tc>
        <w:tc>
          <w:tcPr>
            <w:tcW w:w="8146" w:type="dxa"/>
            <w:gridSpan w:val="7"/>
            <w:tcBorders>
              <w:top w:val="single" w:sz="2" w:space="0" w:color="auto"/>
              <w:left w:val="single" w:sz="2" w:space="0" w:color="auto"/>
              <w:bottom w:val="single" w:sz="2" w:space="0" w:color="auto"/>
              <w:right w:val="single" w:sz="2" w:space="0" w:color="auto"/>
            </w:tcBorders>
          </w:tcPr>
          <w:p w14:paraId="1EC955B3" w14:textId="77777777" w:rsidR="009F4766" w:rsidRPr="00DE12A3" w:rsidRDefault="009F4766" w:rsidP="00C917D6">
            <w:pPr>
              <w:pStyle w:val="NormalCentered"/>
            </w:pPr>
            <w:r w:rsidRPr="00DE12A3">
              <w:t>Ga</w:t>
            </w:r>
            <w:r w:rsidR="00A25516" w:rsidRPr="00DE12A3">
              <w:t>z</w:t>
            </w:r>
          </w:p>
        </w:tc>
      </w:tr>
      <w:tr w:rsidR="00DE12A3" w:rsidRPr="00DE12A3" w14:paraId="7C98404A" w14:textId="77777777" w:rsidTr="00946B82">
        <w:tc>
          <w:tcPr>
            <w:tcW w:w="1207" w:type="dxa"/>
            <w:vMerge/>
            <w:tcBorders>
              <w:top w:val="single" w:sz="2" w:space="0" w:color="auto"/>
              <w:left w:val="single" w:sz="2" w:space="0" w:color="auto"/>
              <w:bottom w:val="single" w:sz="2" w:space="0" w:color="auto"/>
              <w:right w:val="single" w:sz="2" w:space="0" w:color="auto"/>
            </w:tcBorders>
          </w:tcPr>
          <w:p w14:paraId="14FA6616" w14:textId="77777777" w:rsidR="009F4766" w:rsidRPr="00DE12A3" w:rsidRDefault="009F4766" w:rsidP="00C917D6">
            <w:pPr>
              <w:adjustRightInd w:val="0"/>
              <w:spacing w:before="120" w:after="120"/>
              <w:rPr>
                <w:rFonts w:cs="Times New Roman"/>
                <w:color w:val="auto"/>
              </w:rPr>
            </w:pPr>
          </w:p>
        </w:tc>
        <w:tc>
          <w:tcPr>
            <w:tcW w:w="917" w:type="dxa"/>
            <w:vMerge w:val="restart"/>
            <w:tcBorders>
              <w:top w:val="single" w:sz="2" w:space="0" w:color="auto"/>
              <w:left w:val="single" w:sz="2" w:space="0" w:color="auto"/>
              <w:bottom w:val="single" w:sz="2" w:space="0" w:color="auto"/>
              <w:right w:val="single" w:sz="2" w:space="0" w:color="auto"/>
            </w:tcBorders>
          </w:tcPr>
          <w:p w14:paraId="652B096B" w14:textId="77777777" w:rsidR="009F4766" w:rsidRPr="00DE12A3" w:rsidRDefault="009F4766" w:rsidP="00C917D6">
            <w:pPr>
              <w:pStyle w:val="NormalCentered"/>
            </w:pPr>
            <w:r w:rsidRPr="00DE12A3">
              <w:rPr>
                <w:i/>
                <w:iCs/>
              </w:rPr>
              <w:t>ρ</w:t>
            </w:r>
            <w:r w:rsidRPr="00DE12A3">
              <w:rPr>
                <w:vertAlign w:val="subscript"/>
              </w:rPr>
              <w:t>e</w:t>
            </w:r>
          </w:p>
        </w:tc>
        <w:tc>
          <w:tcPr>
            <w:tcW w:w="1134" w:type="dxa"/>
            <w:tcBorders>
              <w:top w:val="single" w:sz="2" w:space="0" w:color="auto"/>
              <w:left w:val="single" w:sz="2" w:space="0" w:color="auto"/>
              <w:bottom w:val="single" w:sz="2" w:space="0" w:color="auto"/>
              <w:right w:val="single" w:sz="2" w:space="0" w:color="auto"/>
            </w:tcBorders>
          </w:tcPr>
          <w:p w14:paraId="3F154D40" w14:textId="77777777" w:rsidR="009F4766" w:rsidRPr="00DE12A3" w:rsidRDefault="009F4766" w:rsidP="00C917D6">
            <w:pPr>
              <w:pStyle w:val="NormalCentered"/>
            </w:pPr>
            <w:r w:rsidRPr="00DE12A3">
              <w:t>NO</w:t>
            </w:r>
            <w:r w:rsidRPr="00DE12A3">
              <w:rPr>
                <w:vertAlign w:val="subscript"/>
              </w:rPr>
              <w:t>x</w:t>
            </w:r>
          </w:p>
        </w:tc>
        <w:tc>
          <w:tcPr>
            <w:tcW w:w="1134" w:type="dxa"/>
            <w:tcBorders>
              <w:top w:val="single" w:sz="2" w:space="0" w:color="auto"/>
              <w:left w:val="single" w:sz="2" w:space="0" w:color="auto"/>
              <w:bottom w:val="single" w:sz="2" w:space="0" w:color="auto"/>
              <w:right w:val="single" w:sz="2" w:space="0" w:color="auto"/>
            </w:tcBorders>
          </w:tcPr>
          <w:p w14:paraId="2F416200" w14:textId="77777777" w:rsidR="009F4766" w:rsidRPr="00DE12A3" w:rsidRDefault="009F4766" w:rsidP="00C917D6">
            <w:pPr>
              <w:pStyle w:val="NormalCentered"/>
            </w:pPr>
            <w:r w:rsidRPr="00DE12A3">
              <w:t>CO</w:t>
            </w:r>
          </w:p>
        </w:tc>
        <w:tc>
          <w:tcPr>
            <w:tcW w:w="1417" w:type="dxa"/>
            <w:tcBorders>
              <w:top w:val="single" w:sz="2" w:space="0" w:color="auto"/>
              <w:left w:val="single" w:sz="2" w:space="0" w:color="auto"/>
              <w:bottom w:val="single" w:sz="2" w:space="0" w:color="auto"/>
              <w:right w:val="single" w:sz="2" w:space="0" w:color="auto"/>
            </w:tcBorders>
          </w:tcPr>
          <w:p w14:paraId="7A5953FE" w14:textId="77777777" w:rsidR="009F4766" w:rsidRPr="00DE12A3" w:rsidRDefault="009F4766" w:rsidP="00C917D6">
            <w:pPr>
              <w:pStyle w:val="NormalCentered"/>
            </w:pPr>
            <w:r w:rsidRPr="00DE12A3">
              <w:t>HC</w:t>
            </w:r>
          </w:p>
        </w:tc>
        <w:tc>
          <w:tcPr>
            <w:tcW w:w="1156" w:type="dxa"/>
            <w:tcBorders>
              <w:top w:val="single" w:sz="2" w:space="0" w:color="auto"/>
              <w:left w:val="single" w:sz="2" w:space="0" w:color="auto"/>
              <w:bottom w:val="single" w:sz="2" w:space="0" w:color="auto"/>
              <w:right w:val="single" w:sz="2" w:space="0" w:color="auto"/>
            </w:tcBorders>
          </w:tcPr>
          <w:p w14:paraId="4FF827BD" w14:textId="77777777" w:rsidR="009F4766" w:rsidRPr="00DE12A3" w:rsidRDefault="009F4766" w:rsidP="00C917D6">
            <w:pPr>
              <w:pStyle w:val="NormalCentered"/>
            </w:pPr>
            <w:r w:rsidRPr="00DE12A3">
              <w:t>CO</w:t>
            </w:r>
            <w:r w:rsidRPr="00DE12A3">
              <w:rPr>
                <w:vertAlign w:val="subscript"/>
              </w:rPr>
              <w:t>2</w:t>
            </w:r>
          </w:p>
        </w:tc>
        <w:tc>
          <w:tcPr>
            <w:tcW w:w="1207" w:type="dxa"/>
            <w:tcBorders>
              <w:top w:val="single" w:sz="2" w:space="0" w:color="auto"/>
              <w:left w:val="single" w:sz="2" w:space="0" w:color="auto"/>
              <w:bottom w:val="single" w:sz="2" w:space="0" w:color="auto"/>
              <w:right w:val="single" w:sz="2" w:space="0" w:color="auto"/>
            </w:tcBorders>
          </w:tcPr>
          <w:p w14:paraId="7E197039" w14:textId="77777777" w:rsidR="009F4766" w:rsidRPr="00DE12A3" w:rsidRDefault="009F4766" w:rsidP="00C917D6">
            <w:pPr>
              <w:pStyle w:val="NormalCentered"/>
            </w:pPr>
            <w:r w:rsidRPr="00DE12A3">
              <w:t>O</w:t>
            </w:r>
            <w:r w:rsidRPr="00DE12A3">
              <w:rPr>
                <w:vertAlign w:val="subscript"/>
              </w:rPr>
              <w:t>2</w:t>
            </w:r>
          </w:p>
        </w:tc>
        <w:tc>
          <w:tcPr>
            <w:tcW w:w="1181" w:type="dxa"/>
            <w:tcBorders>
              <w:top w:val="single" w:sz="2" w:space="0" w:color="auto"/>
              <w:left w:val="single" w:sz="2" w:space="0" w:color="auto"/>
              <w:bottom w:val="single" w:sz="2" w:space="0" w:color="auto"/>
              <w:right w:val="single" w:sz="2" w:space="0" w:color="auto"/>
            </w:tcBorders>
          </w:tcPr>
          <w:p w14:paraId="30F3307F" w14:textId="77777777" w:rsidR="009F4766" w:rsidRPr="00DE12A3" w:rsidRDefault="009F4766" w:rsidP="00C917D6">
            <w:pPr>
              <w:pStyle w:val="NormalCentered"/>
            </w:pPr>
            <w:r w:rsidRPr="00DE12A3">
              <w:t>CH</w:t>
            </w:r>
            <w:r w:rsidRPr="00DE12A3">
              <w:rPr>
                <w:vertAlign w:val="subscript"/>
              </w:rPr>
              <w:t>4</w:t>
            </w:r>
          </w:p>
        </w:tc>
      </w:tr>
      <w:tr w:rsidR="00DE12A3" w:rsidRPr="00DE12A3" w14:paraId="5E10449B" w14:textId="77777777" w:rsidTr="00946B82">
        <w:tc>
          <w:tcPr>
            <w:tcW w:w="1207" w:type="dxa"/>
            <w:vMerge/>
            <w:tcBorders>
              <w:top w:val="single" w:sz="2" w:space="0" w:color="auto"/>
              <w:left w:val="single" w:sz="2" w:space="0" w:color="auto"/>
              <w:bottom w:val="single" w:sz="2" w:space="0" w:color="auto"/>
              <w:right w:val="single" w:sz="2" w:space="0" w:color="auto"/>
            </w:tcBorders>
          </w:tcPr>
          <w:p w14:paraId="77E75403" w14:textId="77777777" w:rsidR="009F4766" w:rsidRPr="00DE12A3" w:rsidRDefault="009F4766" w:rsidP="00C917D6">
            <w:pPr>
              <w:adjustRightInd w:val="0"/>
              <w:spacing w:before="120" w:after="120"/>
              <w:rPr>
                <w:rFonts w:cs="Times New Roman"/>
                <w:color w:val="auto"/>
              </w:rPr>
            </w:pPr>
          </w:p>
        </w:tc>
        <w:tc>
          <w:tcPr>
            <w:tcW w:w="917" w:type="dxa"/>
            <w:vMerge/>
            <w:tcBorders>
              <w:top w:val="single" w:sz="2" w:space="0" w:color="auto"/>
              <w:left w:val="single" w:sz="2" w:space="0" w:color="auto"/>
              <w:bottom w:val="single" w:sz="2" w:space="0" w:color="auto"/>
              <w:right w:val="single" w:sz="2" w:space="0" w:color="auto"/>
            </w:tcBorders>
          </w:tcPr>
          <w:p w14:paraId="008EDE1F" w14:textId="77777777" w:rsidR="009F4766" w:rsidRPr="00DE12A3" w:rsidRDefault="009F4766" w:rsidP="00C917D6">
            <w:pPr>
              <w:adjustRightInd w:val="0"/>
              <w:spacing w:before="120" w:after="120"/>
              <w:rPr>
                <w:rFonts w:cs="Times New Roman"/>
                <w:color w:val="auto"/>
              </w:rPr>
            </w:pPr>
          </w:p>
        </w:tc>
        <w:tc>
          <w:tcPr>
            <w:tcW w:w="1134" w:type="dxa"/>
            <w:tcBorders>
              <w:top w:val="single" w:sz="2" w:space="0" w:color="auto"/>
              <w:left w:val="single" w:sz="2" w:space="0" w:color="auto"/>
              <w:bottom w:val="single" w:sz="2" w:space="0" w:color="auto"/>
              <w:right w:val="single" w:sz="2" w:space="0" w:color="auto"/>
            </w:tcBorders>
          </w:tcPr>
          <w:p w14:paraId="03EBF573" w14:textId="77777777" w:rsidR="009F4766" w:rsidRPr="00DE12A3" w:rsidRDefault="009F4766" w:rsidP="00C917D6">
            <w:pPr>
              <w:adjustRightInd w:val="0"/>
              <w:spacing w:before="120" w:after="120"/>
              <w:rPr>
                <w:rFonts w:cs="Times New Roman"/>
                <w:color w:val="auto"/>
              </w:rPr>
            </w:pPr>
          </w:p>
        </w:tc>
        <w:tc>
          <w:tcPr>
            <w:tcW w:w="1134" w:type="dxa"/>
            <w:tcBorders>
              <w:top w:val="single" w:sz="2" w:space="0" w:color="auto"/>
              <w:left w:val="single" w:sz="2" w:space="0" w:color="auto"/>
              <w:bottom w:val="single" w:sz="2" w:space="0" w:color="auto"/>
              <w:right w:val="single" w:sz="2" w:space="0" w:color="auto"/>
            </w:tcBorders>
          </w:tcPr>
          <w:p w14:paraId="0E33FA5F" w14:textId="77777777" w:rsidR="009F4766" w:rsidRPr="00DE12A3" w:rsidRDefault="009F4766" w:rsidP="00C917D6">
            <w:pPr>
              <w:adjustRightInd w:val="0"/>
              <w:spacing w:before="120" w:after="120"/>
              <w:rPr>
                <w:rFonts w:cs="Times New Roman"/>
                <w:color w:val="auto"/>
              </w:rPr>
            </w:pPr>
          </w:p>
        </w:tc>
        <w:tc>
          <w:tcPr>
            <w:tcW w:w="1417" w:type="dxa"/>
            <w:tcBorders>
              <w:top w:val="single" w:sz="2" w:space="0" w:color="auto"/>
              <w:left w:val="single" w:sz="2" w:space="0" w:color="auto"/>
              <w:bottom w:val="single" w:sz="2" w:space="0" w:color="auto"/>
              <w:right w:val="single" w:sz="2" w:space="0" w:color="auto"/>
            </w:tcBorders>
          </w:tcPr>
          <w:p w14:paraId="7B18D952" w14:textId="77777777" w:rsidR="009F4766" w:rsidRPr="00DE12A3" w:rsidRDefault="009F4766" w:rsidP="00C917D6">
            <w:pPr>
              <w:pStyle w:val="NormalCentered"/>
            </w:pPr>
            <w:r w:rsidRPr="00DE12A3">
              <w:rPr>
                <w:i/>
                <w:iCs/>
              </w:rPr>
              <w:t>ρ</w:t>
            </w:r>
            <w:r w:rsidRPr="00DE12A3">
              <w:rPr>
                <w:vertAlign w:val="subscript"/>
              </w:rPr>
              <w:t>gas [kg/m</w:t>
            </w:r>
            <w:r w:rsidRPr="00DE12A3">
              <w:rPr>
                <w:vertAlign w:val="superscript"/>
              </w:rPr>
              <w:t>3</w:t>
            </w:r>
            <w:r w:rsidRPr="00DE12A3">
              <w:rPr>
                <w:vertAlign w:val="subscript"/>
              </w:rPr>
              <w:t>]</w:t>
            </w:r>
          </w:p>
        </w:tc>
        <w:tc>
          <w:tcPr>
            <w:tcW w:w="1156" w:type="dxa"/>
            <w:tcBorders>
              <w:top w:val="single" w:sz="2" w:space="0" w:color="auto"/>
              <w:left w:val="single" w:sz="2" w:space="0" w:color="auto"/>
              <w:bottom w:val="single" w:sz="2" w:space="0" w:color="auto"/>
              <w:right w:val="single" w:sz="2" w:space="0" w:color="auto"/>
            </w:tcBorders>
          </w:tcPr>
          <w:p w14:paraId="03561250" w14:textId="77777777" w:rsidR="009F4766" w:rsidRPr="00DE12A3" w:rsidRDefault="009F4766" w:rsidP="00C917D6">
            <w:pPr>
              <w:pStyle w:val="NormalCentered"/>
            </w:pPr>
          </w:p>
        </w:tc>
        <w:tc>
          <w:tcPr>
            <w:tcW w:w="1207" w:type="dxa"/>
            <w:tcBorders>
              <w:top w:val="single" w:sz="2" w:space="0" w:color="auto"/>
              <w:left w:val="single" w:sz="2" w:space="0" w:color="auto"/>
              <w:bottom w:val="single" w:sz="2" w:space="0" w:color="auto"/>
              <w:right w:val="single" w:sz="2" w:space="0" w:color="auto"/>
            </w:tcBorders>
          </w:tcPr>
          <w:p w14:paraId="180945EE" w14:textId="77777777" w:rsidR="009F4766" w:rsidRPr="00DE12A3" w:rsidRDefault="009F4766" w:rsidP="00C917D6">
            <w:pPr>
              <w:pStyle w:val="NormalCentered"/>
            </w:pPr>
          </w:p>
        </w:tc>
        <w:tc>
          <w:tcPr>
            <w:tcW w:w="1181" w:type="dxa"/>
            <w:tcBorders>
              <w:top w:val="single" w:sz="2" w:space="0" w:color="auto"/>
              <w:left w:val="single" w:sz="2" w:space="0" w:color="auto"/>
              <w:bottom w:val="single" w:sz="2" w:space="0" w:color="auto"/>
              <w:right w:val="single" w:sz="2" w:space="0" w:color="auto"/>
            </w:tcBorders>
          </w:tcPr>
          <w:p w14:paraId="36CC7E26" w14:textId="77777777" w:rsidR="009F4766" w:rsidRPr="00DE12A3" w:rsidRDefault="009F4766" w:rsidP="00C917D6">
            <w:pPr>
              <w:pStyle w:val="NormalCentered"/>
            </w:pPr>
          </w:p>
        </w:tc>
      </w:tr>
      <w:tr w:rsidR="00DE12A3" w:rsidRPr="00DE12A3" w14:paraId="7F6755BC" w14:textId="77777777" w:rsidTr="00946B82">
        <w:tc>
          <w:tcPr>
            <w:tcW w:w="1207" w:type="dxa"/>
            <w:vMerge/>
            <w:tcBorders>
              <w:top w:val="single" w:sz="2" w:space="0" w:color="auto"/>
              <w:left w:val="single" w:sz="2" w:space="0" w:color="auto"/>
              <w:bottom w:val="single" w:sz="2" w:space="0" w:color="auto"/>
              <w:right w:val="single" w:sz="2" w:space="0" w:color="auto"/>
            </w:tcBorders>
          </w:tcPr>
          <w:p w14:paraId="3124CF1E" w14:textId="77777777" w:rsidR="009F4766" w:rsidRPr="00DE12A3" w:rsidRDefault="009F4766" w:rsidP="00C917D6">
            <w:pPr>
              <w:adjustRightInd w:val="0"/>
              <w:spacing w:before="120" w:after="120"/>
              <w:rPr>
                <w:rFonts w:cs="Times New Roman"/>
                <w:color w:val="auto"/>
              </w:rPr>
            </w:pPr>
          </w:p>
        </w:tc>
        <w:tc>
          <w:tcPr>
            <w:tcW w:w="917" w:type="dxa"/>
            <w:vMerge/>
            <w:tcBorders>
              <w:top w:val="single" w:sz="2" w:space="0" w:color="auto"/>
              <w:left w:val="single" w:sz="2" w:space="0" w:color="auto"/>
              <w:bottom w:val="single" w:sz="2" w:space="0" w:color="auto"/>
              <w:right w:val="single" w:sz="2" w:space="0" w:color="auto"/>
            </w:tcBorders>
          </w:tcPr>
          <w:p w14:paraId="6C2A7F72" w14:textId="77777777" w:rsidR="009F4766" w:rsidRPr="00DE12A3" w:rsidRDefault="009F4766" w:rsidP="00C917D6">
            <w:pPr>
              <w:adjustRightInd w:val="0"/>
              <w:spacing w:before="120" w:after="120"/>
              <w:rPr>
                <w:rFonts w:cs="Times New Roman"/>
                <w:color w:val="auto"/>
              </w:rPr>
            </w:pPr>
          </w:p>
        </w:tc>
        <w:tc>
          <w:tcPr>
            <w:tcW w:w="1134" w:type="dxa"/>
            <w:tcBorders>
              <w:top w:val="single" w:sz="2" w:space="0" w:color="auto"/>
              <w:left w:val="single" w:sz="2" w:space="0" w:color="auto"/>
              <w:bottom w:val="single" w:sz="2" w:space="0" w:color="auto"/>
              <w:right w:val="single" w:sz="2" w:space="0" w:color="auto"/>
            </w:tcBorders>
          </w:tcPr>
          <w:p w14:paraId="3568388B" w14:textId="77777777" w:rsidR="009F4766" w:rsidRPr="00DE12A3" w:rsidRDefault="009F4766" w:rsidP="00C917D6">
            <w:pPr>
              <w:adjustRightInd w:val="0"/>
              <w:spacing w:before="120" w:after="120"/>
              <w:rPr>
                <w:rFonts w:cs="Times New Roman"/>
                <w:color w:val="auto"/>
              </w:rPr>
            </w:pPr>
          </w:p>
        </w:tc>
        <w:tc>
          <w:tcPr>
            <w:tcW w:w="1134" w:type="dxa"/>
            <w:tcBorders>
              <w:top w:val="single" w:sz="2" w:space="0" w:color="auto"/>
              <w:left w:val="single" w:sz="2" w:space="0" w:color="auto"/>
              <w:bottom w:val="single" w:sz="2" w:space="0" w:color="auto"/>
              <w:right w:val="single" w:sz="2" w:space="0" w:color="auto"/>
            </w:tcBorders>
          </w:tcPr>
          <w:p w14:paraId="7A4DF759" w14:textId="77777777" w:rsidR="009F4766" w:rsidRPr="00DE12A3" w:rsidRDefault="009F4766" w:rsidP="00C917D6">
            <w:pPr>
              <w:adjustRightInd w:val="0"/>
              <w:spacing w:before="120" w:after="120"/>
              <w:rPr>
                <w:rFonts w:cs="Times New Roman"/>
                <w:color w:val="auto"/>
              </w:rPr>
            </w:pPr>
          </w:p>
        </w:tc>
        <w:tc>
          <w:tcPr>
            <w:tcW w:w="1417" w:type="dxa"/>
            <w:tcBorders>
              <w:top w:val="single" w:sz="2" w:space="0" w:color="auto"/>
              <w:left w:val="single" w:sz="2" w:space="0" w:color="auto"/>
              <w:bottom w:val="single" w:sz="2" w:space="0" w:color="auto"/>
              <w:right w:val="single" w:sz="2" w:space="0" w:color="auto"/>
            </w:tcBorders>
          </w:tcPr>
          <w:p w14:paraId="1C16FCC8" w14:textId="77777777" w:rsidR="009F4766" w:rsidRPr="00DE12A3" w:rsidRDefault="009F4766" w:rsidP="00C917D6">
            <w:pPr>
              <w:pStyle w:val="NormalCentered"/>
            </w:pPr>
            <w:r w:rsidRPr="00DE12A3">
              <w:rPr>
                <w:i/>
                <w:iCs/>
              </w:rPr>
              <w:t>u</w:t>
            </w:r>
            <w:r w:rsidRPr="00DE12A3">
              <w:rPr>
                <w:vertAlign w:val="subscript"/>
              </w:rPr>
              <w:t>gas</w:t>
            </w:r>
            <w:r w:rsidR="00A25516" w:rsidRPr="00DE12A3">
              <w:rPr>
                <w:vertAlign w:val="superscript"/>
              </w:rPr>
              <w:t>(a)</w:t>
            </w:r>
          </w:p>
        </w:tc>
        <w:tc>
          <w:tcPr>
            <w:tcW w:w="1156" w:type="dxa"/>
            <w:tcBorders>
              <w:top w:val="single" w:sz="2" w:space="0" w:color="auto"/>
              <w:left w:val="single" w:sz="2" w:space="0" w:color="auto"/>
              <w:bottom w:val="single" w:sz="2" w:space="0" w:color="auto"/>
              <w:right w:val="single" w:sz="2" w:space="0" w:color="auto"/>
            </w:tcBorders>
          </w:tcPr>
          <w:p w14:paraId="38EC4A6A" w14:textId="77777777" w:rsidR="009F4766" w:rsidRPr="00DE12A3" w:rsidRDefault="009F4766" w:rsidP="00C917D6">
            <w:pPr>
              <w:pStyle w:val="NormalCentered"/>
            </w:pPr>
          </w:p>
        </w:tc>
        <w:tc>
          <w:tcPr>
            <w:tcW w:w="1207" w:type="dxa"/>
            <w:tcBorders>
              <w:top w:val="single" w:sz="2" w:space="0" w:color="auto"/>
              <w:left w:val="single" w:sz="2" w:space="0" w:color="auto"/>
              <w:bottom w:val="single" w:sz="2" w:space="0" w:color="auto"/>
              <w:right w:val="single" w:sz="2" w:space="0" w:color="auto"/>
            </w:tcBorders>
          </w:tcPr>
          <w:p w14:paraId="5BEFA277" w14:textId="77777777" w:rsidR="009F4766" w:rsidRPr="00DE12A3" w:rsidRDefault="009F4766" w:rsidP="00C917D6">
            <w:pPr>
              <w:pStyle w:val="NormalCentered"/>
            </w:pPr>
          </w:p>
        </w:tc>
        <w:tc>
          <w:tcPr>
            <w:tcW w:w="1181" w:type="dxa"/>
            <w:tcBorders>
              <w:top w:val="single" w:sz="2" w:space="0" w:color="auto"/>
              <w:left w:val="single" w:sz="2" w:space="0" w:color="auto"/>
              <w:bottom w:val="single" w:sz="2" w:space="0" w:color="auto"/>
              <w:right w:val="single" w:sz="2" w:space="0" w:color="auto"/>
            </w:tcBorders>
          </w:tcPr>
          <w:p w14:paraId="1338A6E5" w14:textId="77777777" w:rsidR="009F4766" w:rsidRPr="00DE12A3" w:rsidRDefault="009F4766" w:rsidP="00C917D6">
            <w:pPr>
              <w:pStyle w:val="NormalCentered"/>
            </w:pPr>
          </w:p>
        </w:tc>
      </w:tr>
      <w:tr w:rsidR="00DE12A3" w:rsidRPr="00DE12A3" w14:paraId="6683A696" w14:textId="77777777" w:rsidTr="00946B82">
        <w:tc>
          <w:tcPr>
            <w:tcW w:w="1207" w:type="dxa"/>
            <w:tcBorders>
              <w:top w:val="single" w:sz="2" w:space="0" w:color="auto"/>
              <w:left w:val="single" w:sz="2" w:space="0" w:color="auto"/>
              <w:bottom w:val="single" w:sz="2" w:space="0" w:color="auto"/>
              <w:right w:val="single" w:sz="2" w:space="0" w:color="auto"/>
            </w:tcBorders>
          </w:tcPr>
          <w:p w14:paraId="3A51167E" w14:textId="77777777" w:rsidR="009F4766" w:rsidRPr="00DE12A3" w:rsidRDefault="009F4766" w:rsidP="00C917D6">
            <w:pPr>
              <w:adjustRightInd w:val="0"/>
              <w:spacing w:before="120" w:after="120"/>
              <w:rPr>
                <w:rFonts w:cs="Times New Roman"/>
                <w:color w:val="auto"/>
              </w:rPr>
            </w:pPr>
          </w:p>
        </w:tc>
        <w:tc>
          <w:tcPr>
            <w:tcW w:w="917" w:type="dxa"/>
            <w:tcBorders>
              <w:top w:val="single" w:sz="2" w:space="0" w:color="auto"/>
              <w:left w:val="single" w:sz="2" w:space="0" w:color="auto"/>
              <w:bottom w:val="single" w:sz="2" w:space="0" w:color="auto"/>
              <w:right w:val="single" w:sz="2" w:space="0" w:color="auto"/>
            </w:tcBorders>
          </w:tcPr>
          <w:p w14:paraId="53D8A9BA" w14:textId="77777777" w:rsidR="009F4766" w:rsidRPr="00DE12A3" w:rsidRDefault="009F4766" w:rsidP="00C917D6">
            <w:pPr>
              <w:adjustRightInd w:val="0"/>
              <w:spacing w:before="120" w:after="120"/>
              <w:rPr>
                <w:rFonts w:cs="Times New Roman"/>
                <w:color w:val="auto"/>
              </w:rPr>
            </w:pPr>
          </w:p>
        </w:tc>
        <w:tc>
          <w:tcPr>
            <w:tcW w:w="1134" w:type="dxa"/>
            <w:tcBorders>
              <w:top w:val="single" w:sz="2" w:space="0" w:color="auto"/>
              <w:left w:val="single" w:sz="2" w:space="0" w:color="auto"/>
              <w:bottom w:val="single" w:sz="2" w:space="0" w:color="auto"/>
              <w:right w:val="single" w:sz="2" w:space="0" w:color="auto"/>
            </w:tcBorders>
          </w:tcPr>
          <w:p w14:paraId="39F42920" w14:textId="77777777" w:rsidR="009F4766" w:rsidRPr="00DE12A3" w:rsidRDefault="009F4766" w:rsidP="00C917D6">
            <w:pPr>
              <w:pStyle w:val="NormalLeft"/>
            </w:pPr>
            <w:r w:rsidRPr="00DE12A3">
              <w:t>2,053</w:t>
            </w:r>
          </w:p>
        </w:tc>
        <w:tc>
          <w:tcPr>
            <w:tcW w:w="1134" w:type="dxa"/>
            <w:tcBorders>
              <w:top w:val="single" w:sz="2" w:space="0" w:color="auto"/>
              <w:left w:val="single" w:sz="2" w:space="0" w:color="auto"/>
              <w:bottom w:val="single" w:sz="2" w:space="0" w:color="auto"/>
              <w:right w:val="single" w:sz="2" w:space="0" w:color="auto"/>
            </w:tcBorders>
          </w:tcPr>
          <w:p w14:paraId="66DA8152" w14:textId="77777777" w:rsidR="009F4766" w:rsidRPr="00DE12A3" w:rsidRDefault="009F4766" w:rsidP="00C917D6">
            <w:pPr>
              <w:pStyle w:val="NormalLeft"/>
            </w:pPr>
            <w:r w:rsidRPr="00DE12A3">
              <w:t>1,250</w:t>
            </w:r>
          </w:p>
        </w:tc>
        <w:tc>
          <w:tcPr>
            <w:tcW w:w="1417" w:type="dxa"/>
            <w:tcBorders>
              <w:top w:val="single" w:sz="2" w:space="0" w:color="auto"/>
              <w:left w:val="single" w:sz="2" w:space="0" w:color="auto"/>
              <w:bottom w:val="single" w:sz="2" w:space="0" w:color="auto"/>
              <w:right w:val="single" w:sz="2" w:space="0" w:color="auto"/>
            </w:tcBorders>
          </w:tcPr>
          <w:p w14:paraId="67A018AE" w14:textId="77777777" w:rsidR="009F4766" w:rsidRPr="00DE12A3" w:rsidRDefault="00A25516" w:rsidP="00C917D6">
            <w:pPr>
              <w:pStyle w:val="NormalLeft"/>
              <w:rPr>
                <w:vertAlign w:val="superscript"/>
              </w:rPr>
            </w:pPr>
            <w:r w:rsidRPr="00DE12A3">
              <w:rPr>
                <w:vertAlign w:val="superscript"/>
              </w:rPr>
              <w:t>(</w:t>
            </w:r>
            <w:r w:rsidRPr="00DE12A3">
              <w:rPr>
                <w:rStyle w:val="DipnotBavurusu"/>
              </w:rPr>
              <w:t>b</w:t>
            </w:r>
            <w:r w:rsidRPr="00DE12A3">
              <w:rPr>
                <w:vertAlign w:val="superscript"/>
              </w:rPr>
              <w:t>)</w:t>
            </w:r>
          </w:p>
        </w:tc>
        <w:tc>
          <w:tcPr>
            <w:tcW w:w="1156" w:type="dxa"/>
            <w:tcBorders>
              <w:top w:val="single" w:sz="2" w:space="0" w:color="auto"/>
              <w:left w:val="single" w:sz="2" w:space="0" w:color="auto"/>
              <w:bottom w:val="single" w:sz="2" w:space="0" w:color="auto"/>
              <w:right w:val="single" w:sz="2" w:space="0" w:color="auto"/>
            </w:tcBorders>
          </w:tcPr>
          <w:p w14:paraId="03DFA8A7" w14:textId="77777777" w:rsidR="009F4766" w:rsidRPr="00DE12A3" w:rsidRDefault="009F4766" w:rsidP="00C917D6">
            <w:pPr>
              <w:pStyle w:val="NormalLeft"/>
            </w:pPr>
            <w:r w:rsidRPr="00DE12A3">
              <w:t>1,9636</w:t>
            </w:r>
          </w:p>
        </w:tc>
        <w:tc>
          <w:tcPr>
            <w:tcW w:w="1207" w:type="dxa"/>
            <w:tcBorders>
              <w:top w:val="single" w:sz="2" w:space="0" w:color="auto"/>
              <w:left w:val="single" w:sz="2" w:space="0" w:color="auto"/>
              <w:bottom w:val="single" w:sz="2" w:space="0" w:color="auto"/>
              <w:right w:val="single" w:sz="2" w:space="0" w:color="auto"/>
            </w:tcBorders>
          </w:tcPr>
          <w:p w14:paraId="3655AF30" w14:textId="77777777" w:rsidR="009F4766" w:rsidRPr="00DE12A3" w:rsidRDefault="009F4766" w:rsidP="00C917D6">
            <w:pPr>
              <w:pStyle w:val="NormalLeft"/>
            </w:pPr>
            <w:r w:rsidRPr="00DE12A3">
              <w:t>1,4277</w:t>
            </w:r>
          </w:p>
        </w:tc>
        <w:tc>
          <w:tcPr>
            <w:tcW w:w="1181" w:type="dxa"/>
            <w:tcBorders>
              <w:top w:val="single" w:sz="2" w:space="0" w:color="auto"/>
              <w:left w:val="single" w:sz="2" w:space="0" w:color="auto"/>
              <w:bottom w:val="single" w:sz="2" w:space="0" w:color="auto"/>
              <w:right w:val="single" w:sz="2" w:space="0" w:color="auto"/>
            </w:tcBorders>
          </w:tcPr>
          <w:p w14:paraId="102E97D6" w14:textId="77777777" w:rsidR="009F4766" w:rsidRPr="00DE12A3" w:rsidRDefault="009F4766" w:rsidP="00C917D6">
            <w:pPr>
              <w:pStyle w:val="NormalLeft"/>
            </w:pPr>
            <w:r w:rsidRPr="00DE12A3">
              <w:t>0,716</w:t>
            </w:r>
          </w:p>
        </w:tc>
      </w:tr>
      <w:tr w:rsidR="00DE12A3" w:rsidRPr="00DE12A3" w14:paraId="4FE7B46E" w14:textId="77777777" w:rsidTr="00946B82">
        <w:tc>
          <w:tcPr>
            <w:tcW w:w="1207" w:type="dxa"/>
            <w:tcBorders>
              <w:top w:val="single" w:sz="2" w:space="0" w:color="auto"/>
              <w:left w:val="single" w:sz="2" w:space="0" w:color="auto"/>
              <w:bottom w:val="single" w:sz="2" w:space="0" w:color="auto"/>
              <w:right w:val="single" w:sz="2" w:space="0" w:color="auto"/>
            </w:tcBorders>
          </w:tcPr>
          <w:p w14:paraId="639AAB05" w14:textId="77777777" w:rsidR="009F4766" w:rsidRPr="00DE12A3" w:rsidRDefault="009F4766" w:rsidP="00C917D6">
            <w:pPr>
              <w:pStyle w:val="NormalLeft"/>
            </w:pPr>
            <w:r w:rsidRPr="00DE12A3">
              <w:t>CNG/LNG</w:t>
            </w:r>
            <w:r w:rsidR="00A25516" w:rsidRPr="00DE12A3">
              <w:rPr>
                <w:vertAlign w:val="superscript"/>
              </w:rPr>
              <w:t>(c )</w:t>
            </w:r>
          </w:p>
        </w:tc>
        <w:tc>
          <w:tcPr>
            <w:tcW w:w="917" w:type="dxa"/>
            <w:tcBorders>
              <w:top w:val="single" w:sz="2" w:space="0" w:color="auto"/>
              <w:left w:val="single" w:sz="2" w:space="0" w:color="auto"/>
              <w:bottom w:val="single" w:sz="2" w:space="0" w:color="auto"/>
              <w:right w:val="single" w:sz="2" w:space="0" w:color="auto"/>
            </w:tcBorders>
          </w:tcPr>
          <w:p w14:paraId="3F9FD98D" w14:textId="77777777" w:rsidR="009F4766" w:rsidRPr="00DE12A3" w:rsidRDefault="009F4766" w:rsidP="00C917D6">
            <w:pPr>
              <w:pStyle w:val="NormalLeft"/>
            </w:pPr>
            <w:r w:rsidRPr="00DE12A3">
              <w:t>1,2786</w:t>
            </w:r>
          </w:p>
        </w:tc>
        <w:tc>
          <w:tcPr>
            <w:tcW w:w="1134" w:type="dxa"/>
            <w:tcBorders>
              <w:top w:val="single" w:sz="2" w:space="0" w:color="auto"/>
              <w:left w:val="single" w:sz="2" w:space="0" w:color="auto"/>
              <w:bottom w:val="single" w:sz="2" w:space="0" w:color="auto"/>
              <w:right w:val="single" w:sz="2" w:space="0" w:color="auto"/>
            </w:tcBorders>
          </w:tcPr>
          <w:p w14:paraId="7269BDED" w14:textId="77777777" w:rsidR="009F4766" w:rsidRPr="00DE12A3" w:rsidRDefault="009F4766" w:rsidP="00C917D6">
            <w:pPr>
              <w:pStyle w:val="NormalLeft"/>
            </w:pPr>
            <w:r w:rsidRPr="00DE12A3">
              <w:t>0,001606</w:t>
            </w:r>
          </w:p>
        </w:tc>
        <w:tc>
          <w:tcPr>
            <w:tcW w:w="1134" w:type="dxa"/>
            <w:tcBorders>
              <w:top w:val="single" w:sz="2" w:space="0" w:color="auto"/>
              <w:left w:val="single" w:sz="2" w:space="0" w:color="auto"/>
              <w:bottom w:val="single" w:sz="2" w:space="0" w:color="auto"/>
              <w:right w:val="single" w:sz="2" w:space="0" w:color="auto"/>
            </w:tcBorders>
          </w:tcPr>
          <w:p w14:paraId="5DA826C8" w14:textId="77777777" w:rsidR="009F4766" w:rsidRPr="00DE12A3" w:rsidRDefault="009F4766" w:rsidP="00C917D6">
            <w:pPr>
              <w:pStyle w:val="NormalLeft"/>
            </w:pPr>
            <w:r w:rsidRPr="00DE12A3">
              <w:t>0,000978</w:t>
            </w:r>
          </w:p>
        </w:tc>
        <w:tc>
          <w:tcPr>
            <w:tcW w:w="1417" w:type="dxa"/>
            <w:tcBorders>
              <w:top w:val="single" w:sz="2" w:space="0" w:color="auto"/>
              <w:left w:val="single" w:sz="2" w:space="0" w:color="auto"/>
              <w:bottom w:val="single" w:sz="2" w:space="0" w:color="auto"/>
              <w:right w:val="single" w:sz="2" w:space="0" w:color="auto"/>
            </w:tcBorders>
          </w:tcPr>
          <w:p w14:paraId="16E49FE6" w14:textId="77777777" w:rsidR="009F4766" w:rsidRPr="00DE12A3" w:rsidRDefault="009F4766" w:rsidP="00C917D6">
            <w:pPr>
              <w:pStyle w:val="NormalLeft"/>
            </w:pPr>
            <w:r w:rsidRPr="00DE12A3">
              <w:t>0,000528</w:t>
            </w:r>
            <w:r w:rsidR="00A25516" w:rsidRPr="00DE12A3">
              <w:rPr>
                <w:vertAlign w:val="superscript"/>
              </w:rPr>
              <w:t>(d)</w:t>
            </w:r>
          </w:p>
        </w:tc>
        <w:tc>
          <w:tcPr>
            <w:tcW w:w="1156" w:type="dxa"/>
            <w:tcBorders>
              <w:top w:val="single" w:sz="2" w:space="0" w:color="auto"/>
              <w:left w:val="single" w:sz="2" w:space="0" w:color="auto"/>
              <w:bottom w:val="single" w:sz="2" w:space="0" w:color="auto"/>
              <w:right w:val="single" w:sz="2" w:space="0" w:color="auto"/>
            </w:tcBorders>
          </w:tcPr>
          <w:p w14:paraId="5BD6FAD7" w14:textId="77777777" w:rsidR="009F4766" w:rsidRPr="00DE12A3" w:rsidRDefault="009F4766" w:rsidP="00C917D6">
            <w:pPr>
              <w:pStyle w:val="NormalLeft"/>
            </w:pPr>
            <w:r w:rsidRPr="00DE12A3">
              <w:t>0,001536</w:t>
            </w:r>
          </w:p>
        </w:tc>
        <w:tc>
          <w:tcPr>
            <w:tcW w:w="1207" w:type="dxa"/>
            <w:tcBorders>
              <w:top w:val="single" w:sz="2" w:space="0" w:color="auto"/>
              <w:left w:val="single" w:sz="2" w:space="0" w:color="auto"/>
              <w:bottom w:val="single" w:sz="2" w:space="0" w:color="auto"/>
              <w:right w:val="single" w:sz="2" w:space="0" w:color="auto"/>
            </w:tcBorders>
          </w:tcPr>
          <w:p w14:paraId="61620476" w14:textId="77777777" w:rsidR="009F4766" w:rsidRPr="00DE12A3" w:rsidRDefault="009F4766" w:rsidP="00C917D6">
            <w:pPr>
              <w:pStyle w:val="NormalLeft"/>
            </w:pPr>
            <w:r w:rsidRPr="00DE12A3">
              <w:t>0,001117</w:t>
            </w:r>
          </w:p>
        </w:tc>
        <w:tc>
          <w:tcPr>
            <w:tcW w:w="1181" w:type="dxa"/>
            <w:tcBorders>
              <w:top w:val="single" w:sz="2" w:space="0" w:color="auto"/>
              <w:left w:val="single" w:sz="2" w:space="0" w:color="auto"/>
              <w:bottom w:val="single" w:sz="2" w:space="0" w:color="auto"/>
              <w:right w:val="single" w:sz="2" w:space="0" w:color="auto"/>
            </w:tcBorders>
          </w:tcPr>
          <w:p w14:paraId="08521476" w14:textId="77777777" w:rsidR="009F4766" w:rsidRPr="00DE12A3" w:rsidRDefault="009F4766" w:rsidP="00C917D6">
            <w:pPr>
              <w:pStyle w:val="NormalLeft"/>
            </w:pPr>
            <w:r w:rsidRPr="00DE12A3">
              <w:t>0,000560</w:t>
            </w:r>
          </w:p>
        </w:tc>
      </w:tr>
      <w:tr w:rsidR="00DE12A3" w:rsidRPr="00DE12A3" w14:paraId="1230F706" w14:textId="77777777" w:rsidTr="00946B82">
        <w:tc>
          <w:tcPr>
            <w:tcW w:w="1207" w:type="dxa"/>
            <w:tcBorders>
              <w:top w:val="single" w:sz="2" w:space="0" w:color="auto"/>
              <w:left w:val="single" w:sz="2" w:space="0" w:color="auto"/>
              <w:bottom w:val="single" w:sz="2" w:space="0" w:color="auto"/>
              <w:right w:val="single" w:sz="2" w:space="0" w:color="auto"/>
            </w:tcBorders>
          </w:tcPr>
          <w:p w14:paraId="0701B755" w14:textId="77777777" w:rsidR="009F4766" w:rsidRPr="00DE12A3" w:rsidRDefault="009F4766" w:rsidP="00C917D6">
            <w:pPr>
              <w:pStyle w:val="NormalLeft"/>
            </w:pPr>
            <w:r w:rsidRPr="00DE12A3">
              <w:t>Propane</w:t>
            </w:r>
          </w:p>
        </w:tc>
        <w:tc>
          <w:tcPr>
            <w:tcW w:w="917" w:type="dxa"/>
            <w:tcBorders>
              <w:top w:val="single" w:sz="2" w:space="0" w:color="auto"/>
              <w:left w:val="single" w:sz="2" w:space="0" w:color="auto"/>
              <w:bottom w:val="single" w:sz="2" w:space="0" w:color="auto"/>
              <w:right w:val="single" w:sz="2" w:space="0" w:color="auto"/>
            </w:tcBorders>
          </w:tcPr>
          <w:p w14:paraId="67E2E369" w14:textId="77777777" w:rsidR="009F4766" w:rsidRPr="00DE12A3" w:rsidRDefault="009F4766" w:rsidP="00C917D6">
            <w:pPr>
              <w:pStyle w:val="NormalLeft"/>
            </w:pPr>
            <w:r w:rsidRPr="00DE12A3">
              <w:t>1,2869</w:t>
            </w:r>
          </w:p>
        </w:tc>
        <w:tc>
          <w:tcPr>
            <w:tcW w:w="1134" w:type="dxa"/>
            <w:tcBorders>
              <w:top w:val="single" w:sz="2" w:space="0" w:color="auto"/>
              <w:left w:val="single" w:sz="2" w:space="0" w:color="auto"/>
              <w:bottom w:val="single" w:sz="2" w:space="0" w:color="auto"/>
              <w:right w:val="single" w:sz="2" w:space="0" w:color="auto"/>
            </w:tcBorders>
          </w:tcPr>
          <w:p w14:paraId="063B2171" w14:textId="77777777" w:rsidR="009F4766" w:rsidRPr="00DE12A3" w:rsidRDefault="009F4766" w:rsidP="00C917D6">
            <w:pPr>
              <w:pStyle w:val="NormalLeft"/>
            </w:pPr>
            <w:r w:rsidRPr="00DE12A3">
              <w:t>0,001596</w:t>
            </w:r>
          </w:p>
        </w:tc>
        <w:tc>
          <w:tcPr>
            <w:tcW w:w="1134" w:type="dxa"/>
            <w:tcBorders>
              <w:top w:val="single" w:sz="2" w:space="0" w:color="auto"/>
              <w:left w:val="single" w:sz="2" w:space="0" w:color="auto"/>
              <w:bottom w:val="single" w:sz="2" w:space="0" w:color="auto"/>
              <w:right w:val="single" w:sz="2" w:space="0" w:color="auto"/>
            </w:tcBorders>
          </w:tcPr>
          <w:p w14:paraId="257EADEA" w14:textId="77777777" w:rsidR="009F4766" w:rsidRPr="00DE12A3" w:rsidRDefault="009F4766" w:rsidP="00C917D6">
            <w:pPr>
              <w:pStyle w:val="NormalLeft"/>
            </w:pPr>
            <w:r w:rsidRPr="00DE12A3">
              <w:t>0,000972</w:t>
            </w:r>
          </w:p>
        </w:tc>
        <w:tc>
          <w:tcPr>
            <w:tcW w:w="1417" w:type="dxa"/>
            <w:tcBorders>
              <w:top w:val="single" w:sz="2" w:space="0" w:color="auto"/>
              <w:left w:val="single" w:sz="2" w:space="0" w:color="auto"/>
              <w:bottom w:val="single" w:sz="2" w:space="0" w:color="auto"/>
              <w:right w:val="single" w:sz="2" w:space="0" w:color="auto"/>
            </w:tcBorders>
          </w:tcPr>
          <w:p w14:paraId="07E2B6E3" w14:textId="77777777" w:rsidR="009F4766" w:rsidRPr="00DE12A3" w:rsidRDefault="009F4766" w:rsidP="00C917D6">
            <w:pPr>
              <w:pStyle w:val="NormalLeft"/>
            </w:pPr>
            <w:r w:rsidRPr="00DE12A3">
              <w:t>0,000510</w:t>
            </w:r>
          </w:p>
        </w:tc>
        <w:tc>
          <w:tcPr>
            <w:tcW w:w="1156" w:type="dxa"/>
            <w:tcBorders>
              <w:top w:val="single" w:sz="2" w:space="0" w:color="auto"/>
              <w:left w:val="single" w:sz="2" w:space="0" w:color="auto"/>
              <w:bottom w:val="single" w:sz="2" w:space="0" w:color="auto"/>
              <w:right w:val="single" w:sz="2" w:space="0" w:color="auto"/>
            </w:tcBorders>
          </w:tcPr>
          <w:p w14:paraId="1F8EE3E1" w14:textId="77777777" w:rsidR="009F4766" w:rsidRPr="00DE12A3" w:rsidRDefault="009F4766" w:rsidP="00C917D6">
            <w:pPr>
              <w:pStyle w:val="NormalLeft"/>
            </w:pPr>
            <w:r w:rsidRPr="00DE12A3">
              <w:t>0,001527</w:t>
            </w:r>
          </w:p>
        </w:tc>
        <w:tc>
          <w:tcPr>
            <w:tcW w:w="1207" w:type="dxa"/>
            <w:tcBorders>
              <w:top w:val="single" w:sz="2" w:space="0" w:color="auto"/>
              <w:left w:val="single" w:sz="2" w:space="0" w:color="auto"/>
              <w:bottom w:val="single" w:sz="2" w:space="0" w:color="auto"/>
              <w:right w:val="single" w:sz="2" w:space="0" w:color="auto"/>
            </w:tcBorders>
          </w:tcPr>
          <w:p w14:paraId="47C8F82B" w14:textId="77777777" w:rsidR="009F4766" w:rsidRPr="00DE12A3" w:rsidRDefault="009F4766" w:rsidP="00C917D6">
            <w:pPr>
              <w:pStyle w:val="NormalLeft"/>
            </w:pPr>
            <w:r w:rsidRPr="00DE12A3">
              <w:t>0,001110</w:t>
            </w:r>
          </w:p>
        </w:tc>
        <w:tc>
          <w:tcPr>
            <w:tcW w:w="1181" w:type="dxa"/>
            <w:tcBorders>
              <w:top w:val="single" w:sz="2" w:space="0" w:color="auto"/>
              <w:left w:val="single" w:sz="2" w:space="0" w:color="auto"/>
              <w:bottom w:val="single" w:sz="2" w:space="0" w:color="auto"/>
              <w:right w:val="single" w:sz="2" w:space="0" w:color="auto"/>
            </w:tcBorders>
          </w:tcPr>
          <w:p w14:paraId="03E563C4" w14:textId="77777777" w:rsidR="009F4766" w:rsidRPr="00DE12A3" w:rsidRDefault="009F4766" w:rsidP="00C917D6">
            <w:pPr>
              <w:pStyle w:val="NormalLeft"/>
            </w:pPr>
            <w:r w:rsidRPr="00DE12A3">
              <w:t>0,000556</w:t>
            </w:r>
          </w:p>
        </w:tc>
      </w:tr>
      <w:tr w:rsidR="00DE12A3" w:rsidRPr="00DE12A3" w14:paraId="45412AFF" w14:textId="77777777" w:rsidTr="00946B82">
        <w:tc>
          <w:tcPr>
            <w:tcW w:w="1207" w:type="dxa"/>
            <w:tcBorders>
              <w:top w:val="single" w:sz="2" w:space="0" w:color="auto"/>
              <w:left w:val="single" w:sz="2" w:space="0" w:color="auto"/>
              <w:bottom w:val="single" w:sz="2" w:space="0" w:color="auto"/>
              <w:right w:val="single" w:sz="2" w:space="0" w:color="auto"/>
            </w:tcBorders>
          </w:tcPr>
          <w:p w14:paraId="7B816A15" w14:textId="77777777" w:rsidR="009F4766" w:rsidRPr="00DE12A3" w:rsidRDefault="009F4766" w:rsidP="00C917D6">
            <w:pPr>
              <w:pStyle w:val="NormalLeft"/>
            </w:pPr>
            <w:r w:rsidRPr="00DE12A3">
              <w:t>Butane</w:t>
            </w:r>
          </w:p>
        </w:tc>
        <w:tc>
          <w:tcPr>
            <w:tcW w:w="917" w:type="dxa"/>
            <w:tcBorders>
              <w:top w:val="single" w:sz="2" w:space="0" w:color="auto"/>
              <w:left w:val="single" w:sz="2" w:space="0" w:color="auto"/>
              <w:bottom w:val="single" w:sz="2" w:space="0" w:color="auto"/>
              <w:right w:val="single" w:sz="2" w:space="0" w:color="auto"/>
            </w:tcBorders>
          </w:tcPr>
          <w:p w14:paraId="2ECF9DB8" w14:textId="77777777" w:rsidR="009F4766" w:rsidRPr="00DE12A3" w:rsidRDefault="009F4766" w:rsidP="00C917D6">
            <w:pPr>
              <w:pStyle w:val="NormalLeft"/>
            </w:pPr>
            <w:r w:rsidRPr="00DE12A3">
              <w:t>1,2883</w:t>
            </w:r>
          </w:p>
        </w:tc>
        <w:tc>
          <w:tcPr>
            <w:tcW w:w="1134" w:type="dxa"/>
            <w:tcBorders>
              <w:top w:val="single" w:sz="2" w:space="0" w:color="auto"/>
              <w:left w:val="single" w:sz="2" w:space="0" w:color="auto"/>
              <w:bottom w:val="single" w:sz="2" w:space="0" w:color="auto"/>
              <w:right w:val="single" w:sz="2" w:space="0" w:color="auto"/>
            </w:tcBorders>
          </w:tcPr>
          <w:p w14:paraId="6DE25982" w14:textId="77777777" w:rsidR="009F4766" w:rsidRPr="00DE12A3" w:rsidRDefault="009F4766" w:rsidP="00C917D6">
            <w:pPr>
              <w:pStyle w:val="NormalLeft"/>
            </w:pPr>
            <w:r w:rsidRPr="00DE12A3">
              <w:t>0,001594</w:t>
            </w:r>
          </w:p>
        </w:tc>
        <w:tc>
          <w:tcPr>
            <w:tcW w:w="1134" w:type="dxa"/>
            <w:tcBorders>
              <w:top w:val="single" w:sz="2" w:space="0" w:color="auto"/>
              <w:left w:val="single" w:sz="2" w:space="0" w:color="auto"/>
              <w:bottom w:val="single" w:sz="2" w:space="0" w:color="auto"/>
              <w:right w:val="single" w:sz="2" w:space="0" w:color="auto"/>
            </w:tcBorders>
          </w:tcPr>
          <w:p w14:paraId="1F90BCE0" w14:textId="77777777" w:rsidR="009F4766" w:rsidRPr="00DE12A3" w:rsidRDefault="009F4766" w:rsidP="00C917D6">
            <w:pPr>
              <w:pStyle w:val="NormalLeft"/>
            </w:pPr>
            <w:r w:rsidRPr="00DE12A3">
              <w:t>0,000971</w:t>
            </w:r>
          </w:p>
        </w:tc>
        <w:tc>
          <w:tcPr>
            <w:tcW w:w="1417" w:type="dxa"/>
            <w:tcBorders>
              <w:top w:val="single" w:sz="2" w:space="0" w:color="auto"/>
              <w:left w:val="single" w:sz="2" w:space="0" w:color="auto"/>
              <w:bottom w:val="single" w:sz="2" w:space="0" w:color="auto"/>
              <w:right w:val="single" w:sz="2" w:space="0" w:color="auto"/>
            </w:tcBorders>
          </w:tcPr>
          <w:p w14:paraId="0EAA9F8A" w14:textId="77777777" w:rsidR="009F4766" w:rsidRPr="00DE12A3" w:rsidRDefault="009F4766" w:rsidP="00C917D6">
            <w:pPr>
              <w:pStyle w:val="NormalLeft"/>
            </w:pPr>
            <w:r w:rsidRPr="00DE12A3">
              <w:t>0,000503</w:t>
            </w:r>
          </w:p>
        </w:tc>
        <w:tc>
          <w:tcPr>
            <w:tcW w:w="1156" w:type="dxa"/>
            <w:tcBorders>
              <w:top w:val="single" w:sz="2" w:space="0" w:color="auto"/>
              <w:left w:val="single" w:sz="2" w:space="0" w:color="auto"/>
              <w:bottom w:val="single" w:sz="2" w:space="0" w:color="auto"/>
              <w:right w:val="single" w:sz="2" w:space="0" w:color="auto"/>
            </w:tcBorders>
          </w:tcPr>
          <w:p w14:paraId="42B73385" w14:textId="77777777" w:rsidR="009F4766" w:rsidRPr="00DE12A3" w:rsidRDefault="009F4766" w:rsidP="00C917D6">
            <w:pPr>
              <w:pStyle w:val="NormalLeft"/>
            </w:pPr>
            <w:r w:rsidRPr="00DE12A3">
              <w:t>0,001525</w:t>
            </w:r>
          </w:p>
        </w:tc>
        <w:tc>
          <w:tcPr>
            <w:tcW w:w="1207" w:type="dxa"/>
            <w:tcBorders>
              <w:top w:val="single" w:sz="2" w:space="0" w:color="auto"/>
              <w:left w:val="single" w:sz="2" w:space="0" w:color="auto"/>
              <w:bottom w:val="single" w:sz="2" w:space="0" w:color="auto"/>
              <w:right w:val="single" w:sz="2" w:space="0" w:color="auto"/>
            </w:tcBorders>
          </w:tcPr>
          <w:p w14:paraId="09404C9D" w14:textId="77777777" w:rsidR="009F4766" w:rsidRPr="00DE12A3" w:rsidRDefault="009F4766" w:rsidP="00C917D6">
            <w:pPr>
              <w:pStyle w:val="NormalLeft"/>
            </w:pPr>
            <w:r w:rsidRPr="00DE12A3">
              <w:t>0,001109</w:t>
            </w:r>
          </w:p>
        </w:tc>
        <w:tc>
          <w:tcPr>
            <w:tcW w:w="1181" w:type="dxa"/>
            <w:tcBorders>
              <w:top w:val="single" w:sz="2" w:space="0" w:color="auto"/>
              <w:left w:val="single" w:sz="2" w:space="0" w:color="auto"/>
              <w:bottom w:val="single" w:sz="2" w:space="0" w:color="auto"/>
              <w:right w:val="single" w:sz="2" w:space="0" w:color="auto"/>
            </w:tcBorders>
          </w:tcPr>
          <w:p w14:paraId="02C7C79B" w14:textId="77777777" w:rsidR="009F4766" w:rsidRPr="00DE12A3" w:rsidRDefault="009F4766" w:rsidP="00C917D6">
            <w:pPr>
              <w:pStyle w:val="NormalLeft"/>
            </w:pPr>
            <w:r w:rsidRPr="00DE12A3">
              <w:t>0,000556</w:t>
            </w:r>
          </w:p>
        </w:tc>
      </w:tr>
      <w:tr w:rsidR="00DE12A3" w:rsidRPr="00DE12A3" w14:paraId="21AD66E1" w14:textId="77777777" w:rsidTr="00946B82">
        <w:tc>
          <w:tcPr>
            <w:tcW w:w="1207" w:type="dxa"/>
            <w:tcBorders>
              <w:top w:val="single" w:sz="2" w:space="0" w:color="auto"/>
              <w:left w:val="single" w:sz="2" w:space="0" w:color="auto"/>
              <w:bottom w:val="single" w:sz="2" w:space="0" w:color="auto"/>
              <w:right w:val="single" w:sz="2" w:space="0" w:color="auto"/>
            </w:tcBorders>
          </w:tcPr>
          <w:p w14:paraId="701B607D" w14:textId="77777777" w:rsidR="009F4766" w:rsidRPr="00DE12A3" w:rsidRDefault="009F4766" w:rsidP="00C917D6">
            <w:pPr>
              <w:pStyle w:val="NormalLeft"/>
            </w:pPr>
            <w:r w:rsidRPr="00DE12A3">
              <w:t>LPG</w:t>
            </w:r>
            <w:r w:rsidR="00A25516" w:rsidRPr="00DE12A3">
              <w:rPr>
                <w:vertAlign w:val="superscript"/>
              </w:rPr>
              <w:t>(e)</w:t>
            </w:r>
          </w:p>
        </w:tc>
        <w:tc>
          <w:tcPr>
            <w:tcW w:w="917" w:type="dxa"/>
            <w:tcBorders>
              <w:top w:val="single" w:sz="2" w:space="0" w:color="auto"/>
              <w:left w:val="single" w:sz="2" w:space="0" w:color="auto"/>
              <w:bottom w:val="single" w:sz="2" w:space="0" w:color="auto"/>
              <w:right w:val="single" w:sz="2" w:space="0" w:color="auto"/>
            </w:tcBorders>
          </w:tcPr>
          <w:p w14:paraId="655182CF" w14:textId="77777777" w:rsidR="009F4766" w:rsidRPr="00DE12A3" w:rsidRDefault="009F4766" w:rsidP="00C917D6">
            <w:pPr>
              <w:pStyle w:val="NormalLeft"/>
            </w:pPr>
            <w:r w:rsidRPr="00DE12A3">
              <w:t>1,2881</w:t>
            </w:r>
          </w:p>
        </w:tc>
        <w:tc>
          <w:tcPr>
            <w:tcW w:w="1134" w:type="dxa"/>
            <w:tcBorders>
              <w:top w:val="single" w:sz="2" w:space="0" w:color="auto"/>
              <w:left w:val="single" w:sz="2" w:space="0" w:color="auto"/>
              <w:bottom w:val="single" w:sz="2" w:space="0" w:color="auto"/>
              <w:right w:val="single" w:sz="2" w:space="0" w:color="auto"/>
            </w:tcBorders>
          </w:tcPr>
          <w:p w14:paraId="03143285" w14:textId="77777777" w:rsidR="009F4766" w:rsidRPr="00DE12A3" w:rsidRDefault="009F4766" w:rsidP="00C917D6">
            <w:pPr>
              <w:pStyle w:val="NormalLeft"/>
            </w:pPr>
            <w:r w:rsidRPr="00DE12A3">
              <w:t>0,001594</w:t>
            </w:r>
          </w:p>
        </w:tc>
        <w:tc>
          <w:tcPr>
            <w:tcW w:w="1134" w:type="dxa"/>
            <w:tcBorders>
              <w:top w:val="single" w:sz="2" w:space="0" w:color="auto"/>
              <w:left w:val="single" w:sz="2" w:space="0" w:color="auto"/>
              <w:bottom w:val="single" w:sz="2" w:space="0" w:color="auto"/>
              <w:right w:val="single" w:sz="2" w:space="0" w:color="auto"/>
            </w:tcBorders>
          </w:tcPr>
          <w:p w14:paraId="38E2BA56" w14:textId="77777777" w:rsidR="009F4766" w:rsidRPr="00DE12A3" w:rsidRDefault="009F4766" w:rsidP="00C917D6">
            <w:pPr>
              <w:pStyle w:val="NormalLeft"/>
            </w:pPr>
            <w:r w:rsidRPr="00DE12A3">
              <w:t>0,000971</w:t>
            </w:r>
          </w:p>
        </w:tc>
        <w:tc>
          <w:tcPr>
            <w:tcW w:w="1417" w:type="dxa"/>
            <w:tcBorders>
              <w:top w:val="single" w:sz="2" w:space="0" w:color="auto"/>
              <w:left w:val="single" w:sz="2" w:space="0" w:color="auto"/>
              <w:bottom w:val="single" w:sz="2" w:space="0" w:color="auto"/>
              <w:right w:val="single" w:sz="2" w:space="0" w:color="auto"/>
            </w:tcBorders>
          </w:tcPr>
          <w:p w14:paraId="6D133A8D" w14:textId="77777777" w:rsidR="009F4766" w:rsidRPr="00DE12A3" w:rsidRDefault="009F4766" w:rsidP="00C917D6">
            <w:pPr>
              <w:pStyle w:val="NormalLeft"/>
            </w:pPr>
            <w:r w:rsidRPr="00DE12A3">
              <w:t>0,000506</w:t>
            </w:r>
          </w:p>
        </w:tc>
        <w:tc>
          <w:tcPr>
            <w:tcW w:w="1156" w:type="dxa"/>
            <w:tcBorders>
              <w:top w:val="single" w:sz="2" w:space="0" w:color="auto"/>
              <w:left w:val="single" w:sz="2" w:space="0" w:color="auto"/>
              <w:bottom w:val="single" w:sz="2" w:space="0" w:color="auto"/>
              <w:right w:val="single" w:sz="2" w:space="0" w:color="auto"/>
            </w:tcBorders>
          </w:tcPr>
          <w:p w14:paraId="15BA24BE" w14:textId="77777777" w:rsidR="009F4766" w:rsidRPr="00DE12A3" w:rsidRDefault="009F4766" w:rsidP="00C917D6">
            <w:pPr>
              <w:pStyle w:val="NormalLeft"/>
            </w:pPr>
            <w:r w:rsidRPr="00DE12A3">
              <w:t>0,001525</w:t>
            </w:r>
          </w:p>
        </w:tc>
        <w:tc>
          <w:tcPr>
            <w:tcW w:w="1207" w:type="dxa"/>
            <w:tcBorders>
              <w:top w:val="single" w:sz="2" w:space="0" w:color="auto"/>
              <w:left w:val="single" w:sz="2" w:space="0" w:color="auto"/>
              <w:bottom w:val="single" w:sz="2" w:space="0" w:color="auto"/>
              <w:right w:val="single" w:sz="2" w:space="0" w:color="auto"/>
            </w:tcBorders>
          </w:tcPr>
          <w:p w14:paraId="212047B2" w14:textId="77777777" w:rsidR="009F4766" w:rsidRPr="00DE12A3" w:rsidRDefault="009F4766" w:rsidP="00C917D6">
            <w:pPr>
              <w:pStyle w:val="NormalLeft"/>
            </w:pPr>
            <w:r w:rsidRPr="00DE12A3">
              <w:t>0,001109</w:t>
            </w:r>
          </w:p>
        </w:tc>
        <w:tc>
          <w:tcPr>
            <w:tcW w:w="1181" w:type="dxa"/>
            <w:tcBorders>
              <w:top w:val="single" w:sz="2" w:space="0" w:color="auto"/>
              <w:left w:val="single" w:sz="2" w:space="0" w:color="auto"/>
              <w:bottom w:val="single" w:sz="2" w:space="0" w:color="auto"/>
              <w:right w:val="single" w:sz="2" w:space="0" w:color="auto"/>
            </w:tcBorders>
          </w:tcPr>
          <w:p w14:paraId="6E6B33C1" w14:textId="77777777" w:rsidR="009F4766" w:rsidRPr="00DE12A3" w:rsidRDefault="009F4766" w:rsidP="00C917D6">
            <w:pPr>
              <w:pStyle w:val="NormalLeft"/>
            </w:pPr>
            <w:r w:rsidRPr="00DE12A3">
              <w:t>0,000556</w:t>
            </w:r>
          </w:p>
        </w:tc>
      </w:tr>
    </w:tbl>
    <w:p w14:paraId="145091A5" w14:textId="77777777" w:rsidR="00103965" w:rsidRPr="00DE12A3" w:rsidRDefault="00103965" w:rsidP="00C917D6">
      <w:pPr>
        <w:pStyle w:val="Gvdemetni370"/>
        <w:shd w:val="clear" w:color="auto" w:fill="auto"/>
        <w:spacing w:before="120" w:after="120" w:line="240" w:lineRule="auto"/>
        <w:ind w:left="1134" w:hanging="283"/>
        <w:rPr>
          <w:sz w:val="20"/>
          <w:szCs w:val="20"/>
        </w:rPr>
      </w:pPr>
      <w:r w:rsidRPr="00DE12A3">
        <w:rPr>
          <w:sz w:val="20"/>
          <w:szCs w:val="20"/>
        </w:rPr>
        <w:t>(</w:t>
      </w:r>
      <w:r w:rsidRPr="00DE12A3">
        <w:rPr>
          <w:sz w:val="20"/>
          <w:szCs w:val="20"/>
          <w:vertAlign w:val="superscript"/>
        </w:rPr>
        <w:t>a</w:t>
      </w:r>
      <w:r w:rsidRPr="00DE12A3">
        <w:rPr>
          <w:sz w:val="20"/>
          <w:szCs w:val="20"/>
        </w:rPr>
        <w:t>)</w:t>
      </w:r>
      <w:r w:rsidRPr="00DE12A3">
        <w:rPr>
          <w:sz w:val="20"/>
          <w:szCs w:val="20"/>
        </w:rPr>
        <w:tab/>
        <w:t>Yakıta bağlı olarak</w:t>
      </w:r>
      <w:r w:rsidRPr="00DE12A3">
        <w:rPr>
          <w:rFonts w:eastAsia="Sylfaen"/>
          <w:sz w:val="20"/>
          <w:szCs w:val="20"/>
        </w:rPr>
        <w:t>.</w:t>
      </w:r>
    </w:p>
    <w:p w14:paraId="71F01A7D" w14:textId="77777777" w:rsidR="00103965" w:rsidRPr="00DE12A3" w:rsidRDefault="00103965" w:rsidP="00C917D6">
      <w:pPr>
        <w:pStyle w:val="Gvdemetni370"/>
        <w:shd w:val="clear" w:color="auto" w:fill="auto"/>
        <w:spacing w:before="120" w:after="120" w:line="240" w:lineRule="auto"/>
        <w:ind w:left="1134" w:hanging="283"/>
        <w:rPr>
          <w:sz w:val="20"/>
          <w:szCs w:val="20"/>
        </w:rPr>
      </w:pPr>
      <w:r w:rsidRPr="00DE12A3">
        <w:rPr>
          <w:sz w:val="20"/>
          <w:szCs w:val="20"/>
        </w:rPr>
        <w:t>(</w:t>
      </w:r>
      <w:r w:rsidRPr="00DE12A3">
        <w:rPr>
          <w:sz w:val="20"/>
          <w:szCs w:val="20"/>
          <w:vertAlign w:val="superscript"/>
        </w:rPr>
        <w:t>b</w:t>
      </w:r>
      <w:r w:rsidRPr="00DE12A3">
        <w:rPr>
          <w:sz w:val="20"/>
          <w:szCs w:val="20"/>
        </w:rPr>
        <w:t>)</w:t>
      </w:r>
      <w:r w:rsidRPr="00DE12A3">
        <w:rPr>
          <w:sz w:val="20"/>
          <w:szCs w:val="20"/>
        </w:rPr>
        <w:tab/>
        <w:t>λ = 2'de, kuru hava, 273 K, 101,3 kPa</w:t>
      </w:r>
      <w:r w:rsidRPr="00DE12A3">
        <w:rPr>
          <w:rFonts w:eastAsia="Sylfaen"/>
          <w:sz w:val="20"/>
          <w:szCs w:val="20"/>
        </w:rPr>
        <w:t>.</w:t>
      </w:r>
    </w:p>
    <w:p w14:paraId="23352C6A" w14:textId="77777777" w:rsidR="00103965" w:rsidRPr="00DE12A3" w:rsidRDefault="00103965" w:rsidP="00C917D6">
      <w:pPr>
        <w:pStyle w:val="Gvdemetni370"/>
        <w:shd w:val="clear" w:color="auto" w:fill="auto"/>
        <w:spacing w:before="120" w:after="120" w:line="240" w:lineRule="auto"/>
        <w:ind w:left="1134" w:right="-10" w:hanging="283"/>
        <w:jc w:val="left"/>
        <w:rPr>
          <w:sz w:val="20"/>
          <w:szCs w:val="20"/>
        </w:rPr>
      </w:pPr>
      <w:r w:rsidRPr="00DE12A3">
        <w:rPr>
          <w:rFonts w:eastAsia="Sylfaen"/>
          <w:sz w:val="20"/>
          <w:szCs w:val="20"/>
        </w:rPr>
        <w:t>(</w:t>
      </w:r>
      <w:r w:rsidRPr="00DE12A3">
        <w:rPr>
          <w:rFonts w:eastAsia="Sylfaen"/>
          <w:sz w:val="20"/>
          <w:szCs w:val="20"/>
          <w:vertAlign w:val="superscript"/>
        </w:rPr>
        <w:t>c</w:t>
      </w:r>
      <w:r w:rsidRPr="00DE12A3">
        <w:rPr>
          <w:rFonts w:eastAsia="Sylfaen"/>
          <w:sz w:val="20"/>
          <w:szCs w:val="20"/>
        </w:rPr>
        <w:t>)</w:t>
      </w:r>
      <w:r w:rsidRPr="00DE12A3">
        <w:rPr>
          <w:rFonts w:eastAsia="Sylfaen"/>
          <w:sz w:val="20"/>
          <w:szCs w:val="20"/>
        </w:rPr>
        <w:tab/>
      </w:r>
      <w:r w:rsidRPr="00DE12A3">
        <w:rPr>
          <w:iCs/>
          <w:spacing w:val="1"/>
          <w:sz w:val="20"/>
          <w:szCs w:val="20"/>
        </w:rPr>
        <w:t xml:space="preserve">u, C = </w:t>
      </w:r>
      <w:r w:rsidR="00C62BF9" w:rsidRPr="00DE12A3">
        <w:rPr>
          <w:iCs/>
          <w:spacing w:val="1"/>
          <w:sz w:val="20"/>
          <w:szCs w:val="20"/>
        </w:rPr>
        <w:t>%58-</w:t>
      </w:r>
      <w:r w:rsidRPr="00DE12A3">
        <w:rPr>
          <w:iCs/>
          <w:spacing w:val="1"/>
          <w:sz w:val="20"/>
          <w:szCs w:val="20"/>
        </w:rPr>
        <w:t xml:space="preserve"> 76; H = </w:t>
      </w:r>
      <w:r w:rsidR="00C62BF9" w:rsidRPr="00DE12A3">
        <w:rPr>
          <w:iCs/>
          <w:spacing w:val="1"/>
          <w:sz w:val="20"/>
          <w:szCs w:val="20"/>
        </w:rPr>
        <w:t>%19-</w:t>
      </w:r>
      <w:r w:rsidRPr="00DE12A3">
        <w:rPr>
          <w:iCs/>
          <w:spacing w:val="1"/>
          <w:sz w:val="20"/>
          <w:szCs w:val="20"/>
        </w:rPr>
        <w:t xml:space="preserve"> 25; N = </w:t>
      </w:r>
      <w:r w:rsidR="00C62BF9" w:rsidRPr="00DE12A3">
        <w:rPr>
          <w:iCs/>
          <w:spacing w:val="1"/>
          <w:sz w:val="20"/>
          <w:szCs w:val="20"/>
        </w:rPr>
        <w:t>%0-</w:t>
      </w:r>
      <w:r w:rsidRPr="00DE12A3">
        <w:rPr>
          <w:iCs/>
          <w:spacing w:val="1"/>
          <w:sz w:val="20"/>
          <w:szCs w:val="20"/>
        </w:rPr>
        <w:t xml:space="preserve"> 14 kütle bileşimi için </w:t>
      </w:r>
      <w:r w:rsidR="00C62BF9" w:rsidRPr="00DE12A3">
        <w:rPr>
          <w:iCs/>
          <w:spacing w:val="1"/>
          <w:sz w:val="20"/>
          <w:szCs w:val="20"/>
        </w:rPr>
        <w:t>%0,2</w:t>
      </w:r>
      <w:r w:rsidRPr="00DE12A3">
        <w:rPr>
          <w:iCs/>
          <w:spacing w:val="1"/>
          <w:sz w:val="20"/>
          <w:szCs w:val="20"/>
        </w:rPr>
        <w:t xml:space="preserve"> aralığı içinde doğru</w:t>
      </w:r>
      <w:r w:rsidRPr="00DE12A3">
        <w:rPr>
          <w:i/>
          <w:iCs/>
          <w:spacing w:val="1"/>
          <w:sz w:val="20"/>
          <w:szCs w:val="20"/>
        </w:rPr>
        <w:t xml:space="preserve"> </w:t>
      </w:r>
      <w:r w:rsidRPr="00DE12A3">
        <w:rPr>
          <w:rFonts w:eastAsia="Sylfaen"/>
          <w:sz w:val="20"/>
          <w:szCs w:val="20"/>
        </w:rPr>
        <w:t>(CH</w:t>
      </w:r>
      <w:r w:rsidRPr="00DE12A3">
        <w:rPr>
          <w:rStyle w:val="Gvdemetni374pt"/>
          <w:color w:val="auto"/>
          <w:sz w:val="20"/>
          <w:szCs w:val="20"/>
          <w:vertAlign w:val="subscript"/>
        </w:rPr>
        <w:t>4</w:t>
      </w:r>
      <w:r w:rsidRPr="00DE12A3">
        <w:rPr>
          <w:rFonts w:eastAsia="Sylfaen"/>
          <w:sz w:val="20"/>
          <w:szCs w:val="20"/>
        </w:rPr>
        <w:t>, G</w:t>
      </w:r>
      <w:r w:rsidRPr="00DE12A3">
        <w:rPr>
          <w:rFonts w:eastAsia="Sylfaen"/>
          <w:sz w:val="20"/>
          <w:szCs w:val="20"/>
          <w:vertAlign w:val="subscript"/>
        </w:rPr>
        <w:t>20</w:t>
      </w:r>
      <w:r w:rsidRPr="00DE12A3">
        <w:rPr>
          <w:rFonts w:eastAsia="Sylfaen"/>
          <w:sz w:val="20"/>
          <w:szCs w:val="20"/>
        </w:rPr>
        <w:t xml:space="preserve">, </w:t>
      </w:r>
      <w:r w:rsidR="00C62BF9" w:rsidRPr="00DE12A3">
        <w:rPr>
          <w:rFonts w:eastAsia="Sylfaen"/>
          <w:sz w:val="20"/>
          <w:szCs w:val="20"/>
        </w:rPr>
        <w:t>G</w:t>
      </w:r>
      <w:r w:rsidR="00C62BF9" w:rsidRPr="00DE12A3">
        <w:rPr>
          <w:rFonts w:eastAsia="Sylfaen"/>
          <w:sz w:val="20"/>
          <w:szCs w:val="20"/>
          <w:vertAlign w:val="subscript"/>
        </w:rPr>
        <w:t>23</w:t>
      </w:r>
      <w:r w:rsidRPr="00DE12A3">
        <w:rPr>
          <w:rFonts w:eastAsia="Sylfaen"/>
          <w:sz w:val="20"/>
          <w:szCs w:val="20"/>
        </w:rPr>
        <w:t xml:space="preserve"> ve G</w:t>
      </w:r>
      <w:r w:rsidRPr="00DE12A3">
        <w:rPr>
          <w:rStyle w:val="Gvdemetni374pt"/>
          <w:color w:val="auto"/>
          <w:sz w:val="20"/>
          <w:szCs w:val="20"/>
          <w:vertAlign w:val="subscript"/>
        </w:rPr>
        <w:t>25</w:t>
      </w:r>
      <w:r w:rsidRPr="00DE12A3">
        <w:rPr>
          <w:rFonts w:eastAsia="Sylfaen"/>
          <w:sz w:val="20"/>
          <w:szCs w:val="20"/>
        </w:rPr>
        <w:t>).</w:t>
      </w:r>
    </w:p>
    <w:p w14:paraId="49F5B3DA" w14:textId="77777777" w:rsidR="00103965" w:rsidRPr="00DE12A3" w:rsidRDefault="00103965" w:rsidP="00C917D6">
      <w:pPr>
        <w:pStyle w:val="Gvdemetni370"/>
        <w:shd w:val="clear" w:color="auto" w:fill="auto"/>
        <w:tabs>
          <w:tab w:val="left" w:pos="993"/>
        </w:tabs>
        <w:spacing w:before="120" w:after="120" w:line="240" w:lineRule="auto"/>
        <w:ind w:left="1134" w:hanging="283"/>
        <w:rPr>
          <w:sz w:val="20"/>
          <w:szCs w:val="20"/>
        </w:rPr>
      </w:pPr>
      <w:r w:rsidRPr="00DE12A3">
        <w:rPr>
          <w:sz w:val="20"/>
          <w:szCs w:val="20"/>
        </w:rPr>
        <w:t>(</w:t>
      </w:r>
      <w:r w:rsidRPr="00DE12A3">
        <w:rPr>
          <w:sz w:val="20"/>
          <w:szCs w:val="20"/>
          <w:vertAlign w:val="superscript"/>
        </w:rPr>
        <w:t>d</w:t>
      </w:r>
      <w:r w:rsidRPr="00DE12A3">
        <w:rPr>
          <w:sz w:val="20"/>
          <w:szCs w:val="20"/>
        </w:rPr>
        <w:t>)</w:t>
      </w:r>
      <w:r w:rsidRPr="00DE12A3">
        <w:rPr>
          <w:sz w:val="20"/>
          <w:szCs w:val="20"/>
        </w:rPr>
        <w:tab/>
        <w:t>CH</w:t>
      </w:r>
      <w:r w:rsidRPr="00DE12A3">
        <w:rPr>
          <w:sz w:val="20"/>
          <w:szCs w:val="20"/>
          <w:vertAlign w:val="subscript"/>
        </w:rPr>
        <w:t>2,93</w:t>
      </w:r>
      <w:r w:rsidRPr="00DE12A3">
        <w:rPr>
          <w:sz w:val="20"/>
          <w:szCs w:val="20"/>
        </w:rPr>
        <w:t xml:space="preserve"> bazında NMHC (toplam HC için CH</w:t>
      </w:r>
      <w:r w:rsidRPr="00DE12A3">
        <w:rPr>
          <w:sz w:val="20"/>
          <w:szCs w:val="20"/>
          <w:vertAlign w:val="subscript"/>
        </w:rPr>
        <w:t>4</w:t>
      </w:r>
      <w:r w:rsidRPr="00DE12A3">
        <w:rPr>
          <w:sz w:val="20"/>
          <w:szCs w:val="20"/>
        </w:rPr>
        <w:t>'ün u</w:t>
      </w:r>
      <w:r w:rsidRPr="00DE12A3">
        <w:rPr>
          <w:sz w:val="20"/>
          <w:szCs w:val="20"/>
          <w:vertAlign w:val="subscript"/>
        </w:rPr>
        <w:t>gas</w:t>
      </w:r>
      <w:r w:rsidRPr="00DE12A3">
        <w:rPr>
          <w:sz w:val="20"/>
          <w:szCs w:val="20"/>
        </w:rPr>
        <w:t xml:space="preserve"> katsayısı kullanılır).</w:t>
      </w:r>
    </w:p>
    <w:p w14:paraId="720187C3" w14:textId="77777777" w:rsidR="00103965" w:rsidRPr="00DE12A3" w:rsidRDefault="00103965" w:rsidP="00C917D6">
      <w:pPr>
        <w:pStyle w:val="Gvdemetni370"/>
        <w:shd w:val="clear" w:color="auto" w:fill="auto"/>
        <w:tabs>
          <w:tab w:val="left" w:pos="993"/>
        </w:tabs>
        <w:spacing w:before="120" w:after="120" w:line="240" w:lineRule="auto"/>
        <w:ind w:left="1134" w:hanging="283"/>
        <w:rPr>
          <w:sz w:val="20"/>
          <w:szCs w:val="20"/>
        </w:rPr>
      </w:pPr>
      <w:r w:rsidRPr="00DE12A3">
        <w:rPr>
          <w:rFonts w:eastAsia="Sylfaen"/>
          <w:sz w:val="20"/>
          <w:szCs w:val="20"/>
        </w:rPr>
        <w:t>(</w:t>
      </w:r>
      <w:r w:rsidRPr="00DE12A3">
        <w:rPr>
          <w:rFonts w:eastAsia="Sylfaen"/>
          <w:sz w:val="20"/>
          <w:szCs w:val="20"/>
          <w:vertAlign w:val="superscript"/>
        </w:rPr>
        <w:t>e</w:t>
      </w:r>
      <w:r w:rsidRPr="00DE12A3">
        <w:rPr>
          <w:rFonts w:eastAsia="Sylfaen"/>
          <w:sz w:val="20"/>
          <w:szCs w:val="20"/>
        </w:rPr>
        <w:t>)</w:t>
      </w:r>
      <w:r w:rsidRPr="00DE12A3">
        <w:rPr>
          <w:rFonts w:eastAsia="Sylfaen"/>
          <w:sz w:val="20"/>
          <w:szCs w:val="20"/>
        </w:rPr>
        <w:tab/>
      </w:r>
      <w:r w:rsidRPr="00DE12A3">
        <w:rPr>
          <w:iCs/>
          <w:spacing w:val="1"/>
          <w:sz w:val="20"/>
          <w:szCs w:val="20"/>
        </w:rPr>
        <w:t xml:space="preserve">u, C3 = </w:t>
      </w:r>
      <w:r w:rsidR="00C62BF9" w:rsidRPr="00DE12A3">
        <w:rPr>
          <w:iCs/>
          <w:spacing w:val="1"/>
          <w:sz w:val="20"/>
          <w:szCs w:val="20"/>
        </w:rPr>
        <w:t>%27-</w:t>
      </w:r>
      <w:r w:rsidRPr="00DE12A3">
        <w:rPr>
          <w:iCs/>
          <w:spacing w:val="1"/>
          <w:sz w:val="20"/>
          <w:szCs w:val="20"/>
        </w:rPr>
        <w:t xml:space="preserve"> 90; C4 = </w:t>
      </w:r>
      <w:r w:rsidR="00C62BF9" w:rsidRPr="00DE12A3">
        <w:rPr>
          <w:iCs/>
          <w:spacing w:val="1"/>
          <w:sz w:val="20"/>
          <w:szCs w:val="20"/>
        </w:rPr>
        <w:t>%10-</w:t>
      </w:r>
      <w:r w:rsidRPr="00DE12A3">
        <w:rPr>
          <w:iCs/>
          <w:spacing w:val="1"/>
          <w:sz w:val="20"/>
          <w:szCs w:val="20"/>
        </w:rPr>
        <w:t xml:space="preserve"> 73 kütle bileşimi için </w:t>
      </w:r>
      <w:r w:rsidR="00C62BF9" w:rsidRPr="00DE12A3">
        <w:rPr>
          <w:iCs/>
          <w:spacing w:val="1"/>
          <w:sz w:val="20"/>
          <w:szCs w:val="20"/>
        </w:rPr>
        <w:t>%0,2</w:t>
      </w:r>
      <w:r w:rsidRPr="00DE12A3">
        <w:rPr>
          <w:iCs/>
          <w:spacing w:val="1"/>
          <w:sz w:val="20"/>
          <w:szCs w:val="20"/>
        </w:rPr>
        <w:t xml:space="preserve"> aralığı içinde doğru (LPG Yakıtlar A ve B)</w:t>
      </w:r>
    </w:p>
    <w:p w14:paraId="3FC22E50" w14:textId="1103A59A" w:rsidR="00103965" w:rsidRPr="00DE12A3" w:rsidRDefault="00103965" w:rsidP="00C917D6">
      <w:pPr>
        <w:spacing w:before="120" w:after="120"/>
        <w:ind w:left="1134" w:hanging="1134"/>
        <w:jc w:val="both"/>
        <w:rPr>
          <w:rFonts w:cs="Times New Roman"/>
          <w:bCs/>
          <w:color w:val="auto"/>
        </w:rPr>
      </w:pPr>
      <w:r w:rsidRPr="00DE12A3">
        <w:rPr>
          <w:rFonts w:cs="Times New Roman"/>
          <w:bCs/>
          <w:color w:val="auto"/>
        </w:rPr>
        <w:t>7.1.3.3.</w:t>
      </w:r>
      <w:r w:rsidR="00570441" w:rsidRPr="00DE12A3">
        <w:rPr>
          <w:rFonts w:cs="Times New Roman"/>
          <w:bCs/>
          <w:color w:val="auto"/>
        </w:rPr>
        <w:t xml:space="preserve"> </w:t>
      </w:r>
      <w:r w:rsidR="007E2039" w:rsidRPr="00DE12A3">
        <w:rPr>
          <w:rFonts w:cs="Times New Roman"/>
          <w:bCs/>
          <w:color w:val="auto"/>
        </w:rPr>
        <w:t xml:space="preserve">Partikül </w:t>
      </w:r>
      <w:r w:rsidRPr="00DE12A3">
        <w:rPr>
          <w:rFonts w:cs="Times New Roman"/>
          <w:bCs/>
          <w:color w:val="auto"/>
        </w:rPr>
        <w:t>tespiti</w:t>
      </w:r>
    </w:p>
    <w:p w14:paraId="17779140" w14:textId="3BEC703C" w:rsidR="00103965" w:rsidRPr="00DE12A3" w:rsidRDefault="00103965" w:rsidP="00570441">
      <w:pPr>
        <w:spacing w:before="120" w:after="120"/>
        <w:jc w:val="both"/>
        <w:rPr>
          <w:rFonts w:cs="Times New Roman"/>
          <w:color w:val="auto"/>
        </w:rPr>
      </w:pPr>
      <w:r w:rsidRPr="00DE12A3">
        <w:rPr>
          <w:rFonts w:cs="Times New Roman"/>
          <w:color w:val="auto"/>
        </w:rPr>
        <w:t xml:space="preserve">Kısmi seyreltmeli ölçüm yöntemiyle </w:t>
      </w:r>
      <w:r w:rsidR="007E2039" w:rsidRPr="00DE12A3">
        <w:rPr>
          <w:rFonts w:cs="Times New Roman"/>
          <w:color w:val="auto"/>
        </w:rPr>
        <w:t xml:space="preserve">partikül </w:t>
      </w:r>
      <w:r w:rsidRPr="00DE12A3">
        <w:rPr>
          <w:rFonts w:cs="Times New Roman"/>
          <w:color w:val="auto"/>
        </w:rPr>
        <w:t xml:space="preserve">emisyonlarının belirlenmesi için hesaplama, </w:t>
      </w:r>
      <w:r w:rsidR="00FA0678" w:rsidRPr="00DE12A3">
        <w:rPr>
          <w:rFonts w:cs="Times New Roman"/>
          <w:color w:val="auto"/>
        </w:rPr>
        <w:t xml:space="preserve">VII’nci </w:t>
      </w:r>
      <w:r w:rsidR="001F298E" w:rsidRPr="00DE12A3">
        <w:rPr>
          <w:rFonts w:cs="Times New Roman"/>
          <w:color w:val="auto"/>
        </w:rPr>
        <w:t>E</w:t>
      </w:r>
      <w:r w:rsidR="00FA0678" w:rsidRPr="00DE12A3">
        <w:rPr>
          <w:rFonts w:cs="Times New Roman"/>
          <w:color w:val="auto"/>
        </w:rPr>
        <w:t>k</w:t>
      </w:r>
      <w:r w:rsidRPr="00DE12A3">
        <w:rPr>
          <w:rFonts w:cs="Times New Roman"/>
          <w:color w:val="auto"/>
        </w:rPr>
        <w:t>in 2.3 bendindeki denklemlere göre yapılmalıdır.</w:t>
      </w:r>
    </w:p>
    <w:p w14:paraId="610C0416" w14:textId="4E7EAA32" w:rsidR="00103965" w:rsidRPr="00DE12A3" w:rsidRDefault="00103965" w:rsidP="00570441">
      <w:pPr>
        <w:spacing w:before="120" w:after="120"/>
        <w:jc w:val="both"/>
        <w:rPr>
          <w:rFonts w:cs="Times New Roman"/>
          <w:color w:val="auto"/>
        </w:rPr>
      </w:pPr>
      <w:r w:rsidRPr="00DE12A3">
        <w:rPr>
          <w:rFonts w:cs="Times New Roman"/>
          <w:color w:val="auto"/>
        </w:rPr>
        <w:t xml:space="preserve">Seyreltme oranını kontrol etmek için </w:t>
      </w:r>
      <w:r w:rsidR="00FA0678" w:rsidRPr="00DE12A3">
        <w:rPr>
          <w:rFonts w:cs="Times New Roman"/>
          <w:color w:val="auto"/>
        </w:rPr>
        <w:t xml:space="preserve">VI’ncı </w:t>
      </w:r>
      <w:r w:rsidR="00773274" w:rsidRPr="00DE12A3">
        <w:rPr>
          <w:rFonts w:cs="Times New Roman"/>
          <w:color w:val="auto"/>
        </w:rPr>
        <w:t>E</w:t>
      </w:r>
      <w:r w:rsidR="00FA0678" w:rsidRPr="00DE12A3">
        <w:rPr>
          <w:rFonts w:cs="Times New Roman"/>
          <w:color w:val="auto"/>
        </w:rPr>
        <w:t>k</w:t>
      </w:r>
      <w:r w:rsidRPr="00DE12A3">
        <w:rPr>
          <w:rFonts w:cs="Times New Roman"/>
          <w:color w:val="auto"/>
        </w:rPr>
        <w:t xml:space="preserve">in 8.2.1.2 bendindeki şartlar uygulanır. Özellikle, egzoz gazı akış ölçümünün ve kısmi akış sisteminin kombine dönüşüm süresi 0,3 saniyeyi geçerse, önceden kaydedilmiş bir test uygulaması esasında ileriye dönük kontrol </w:t>
      </w:r>
      <w:r w:rsidRPr="00DE12A3">
        <w:rPr>
          <w:rFonts w:cs="Times New Roman"/>
          <w:color w:val="auto"/>
        </w:rPr>
        <w:lastRenderedPageBreak/>
        <w:t>kullanılmalıdır. Bu durumda, kombine yükselme süresi ≤ 1 sn ve kombine gecikme süresi ≤ 10 sn olmalıdır. Egzoz gazı kütle akışının doğrudan ölçülmesi durumu haricinde, egzoz gazı kütle akışı tespitinde, 7.1.5.3 bendi uyarınca belirlenen α, γ, δ ve ε değerleri kullanmalıdır.</w:t>
      </w:r>
    </w:p>
    <w:p w14:paraId="2505B6E8" w14:textId="7056F6F7" w:rsidR="00103965" w:rsidRPr="00DE12A3" w:rsidRDefault="00103965" w:rsidP="00570441">
      <w:pPr>
        <w:spacing w:before="120" w:after="120"/>
        <w:jc w:val="both"/>
        <w:rPr>
          <w:rFonts w:cs="Times New Roman"/>
          <w:color w:val="auto"/>
        </w:rPr>
      </w:pPr>
      <w:r w:rsidRPr="00DE12A3">
        <w:rPr>
          <w:rFonts w:cs="Times New Roman"/>
          <w:color w:val="auto"/>
        </w:rPr>
        <w:t xml:space="preserve">Her ölçüm için </w:t>
      </w:r>
      <w:r w:rsidR="00FA0678" w:rsidRPr="00DE12A3">
        <w:rPr>
          <w:rFonts w:cs="Times New Roman"/>
          <w:color w:val="auto"/>
        </w:rPr>
        <w:t xml:space="preserve">VI’ncı </w:t>
      </w:r>
      <w:r w:rsidR="00773274" w:rsidRPr="00DE12A3">
        <w:rPr>
          <w:rFonts w:cs="Times New Roman"/>
          <w:color w:val="auto"/>
        </w:rPr>
        <w:t>E</w:t>
      </w:r>
      <w:r w:rsidR="00FA0678" w:rsidRPr="00DE12A3">
        <w:rPr>
          <w:rFonts w:cs="Times New Roman"/>
          <w:color w:val="auto"/>
        </w:rPr>
        <w:t>k</w:t>
      </w:r>
      <w:r w:rsidRPr="00DE12A3">
        <w:rPr>
          <w:rFonts w:cs="Times New Roman"/>
          <w:color w:val="auto"/>
        </w:rPr>
        <w:t>in 8.2.1.2 bendi uyarınca kalite kontrolü yapılır.</w:t>
      </w:r>
    </w:p>
    <w:p w14:paraId="67469FDF" w14:textId="6E84B6B5" w:rsidR="00103965" w:rsidRPr="00DE12A3" w:rsidRDefault="00103965" w:rsidP="00570441">
      <w:pPr>
        <w:spacing w:before="120" w:after="120"/>
        <w:jc w:val="both"/>
        <w:rPr>
          <w:rFonts w:cs="Times New Roman"/>
          <w:color w:val="auto"/>
        </w:rPr>
      </w:pPr>
      <w:r w:rsidRPr="00DE12A3">
        <w:rPr>
          <w:rFonts w:cs="Times New Roman"/>
          <w:color w:val="auto"/>
        </w:rPr>
        <w:t>7.1.3.4.</w:t>
      </w:r>
      <w:r w:rsidR="00570441" w:rsidRPr="00DE12A3">
        <w:rPr>
          <w:rFonts w:cs="Times New Roman"/>
          <w:color w:val="auto"/>
        </w:rPr>
        <w:t xml:space="preserve"> </w:t>
      </w:r>
      <w:r w:rsidRPr="00DE12A3">
        <w:rPr>
          <w:rFonts w:cs="Times New Roman"/>
          <w:color w:val="auto"/>
        </w:rPr>
        <w:t>Egzoz gazı kütle debimetresi ile ilgili ilave şartlar</w:t>
      </w:r>
    </w:p>
    <w:p w14:paraId="1B7013B1" w14:textId="731E894E" w:rsidR="00103965" w:rsidRPr="00DE12A3" w:rsidRDefault="00FA0678" w:rsidP="00570441">
      <w:pPr>
        <w:spacing w:before="120" w:after="120"/>
        <w:jc w:val="both"/>
        <w:rPr>
          <w:rFonts w:cs="Times New Roman"/>
          <w:color w:val="auto"/>
        </w:rPr>
      </w:pPr>
      <w:r w:rsidRPr="00DE12A3">
        <w:rPr>
          <w:rFonts w:cs="Times New Roman"/>
          <w:color w:val="auto"/>
        </w:rPr>
        <w:t>VI’ncı ek</w:t>
      </w:r>
      <w:r w:rsidR="00103965" w:rsidRPr="00DE12A3">
        <w:rPr>
          <w:rFonts w:cs="Times New Roman"/>
          <w:color w:val="auto"/>
        </w:rPr>
        <w:t>in 9.4.5.3 ve 9.4.5.4 bentlerinde belirtilen debimetre, egzoz gazı bileşimindeki ve yoğunluğundaki değişikliklere duyarlı olmamalıdır.  Örneğin pitot tüpü veya orifis tipi ölçümlerin (egzoz gazı yoğunluğunun kareköküne eşit) küçük hataları ihmal edilebilir.</w:t>
      </w:r>
    </w:p>
    <w:p w14:paraId="35B0336F" w14:textId="3F1C2620" w:rsidR="00103965" w:rsidRPr="00DE12A3" w:rsidRDefault="00103965" w:rsidP="00C917D6">
      <w:pPr>
        <w:spacing w:before="120" w:after="120"/>
        <w:ind w:left="1134" w:hanging="1134"/>
        <w:jc w:val="both"/>
        <w:rPr>
          <w:rFonts w:cs="Times New Roman"/>
          <w:color w:val="auto"/>
        </w:rPr>
      </w:pPr>
      <w:r w:rsidRPr="00DE12A3">
        <w:rPr>
          <w:rFonts w:cs="Times New Roman"/>
          <w:color w:val="auto"/>
        </w:rPr>
        <w:t>7.1.4.</w:t>
      </w:r>
      <w:r w:rsidR="00570441" w:rsidRPr="00DE12A3">
        <w:rPr>
          <w:rFonts w:cs="Times New Roman"/>
          <w:color w:val="auto"/>
        </w:rPr>
        <w:t xml:space="preserve"> </w:t>
      </w:r>
      <w:r w:rsidRPr="00DE12A3">
        <w:rPr>
          <w:rFonts w:cs="Times New Roman"/>
          <w:color w:val="auto"/>
        </w:rPr>
        <w:t>Tam akışlı seyreltme ölçümü (CVS)</w:t>
      </w:r>
    </w:p>
    <w:p w14:paraId="43B203C3" w14:textId="3F5FF753" w:rsidR="00103965" w:rsidRPr="00DE12A3" w:rsidRDefault="00103965" w:rsidP="00570441">
      <w:pPr>
        <w:spacing w:before="120" w:after="120"/>
        <w:jc w:val="both"/>
        <w:rPr>
          <w:rFonts w:cs="Times New Roman"/>
          <w:color w:val="auto"/>
        </w:rPr>
      </w:pPr>
      <w:r w:rsidRPr="00DE12A3">
        <w:rPr>
          <w:rFonts w:cs="Times New Roman"/>
          <w:color w:val="auto"/>
        </w:rPr>
        <w:t xml:space="preserve">Bu bölümde belirtilenler dışında </w:t>
      </w:r>
      <w:r w:rsidR="00FA0678" w:rsidRPr="00DE12A3">
        <w:rPr>
          <w:rFonts w:cs="Times New Roman"/>
          <w:color w:val="auto"/>
        </w:rPr>
        <w:t xml:space="preserve">VII’nci </w:t>
      </w:r>
      <w:r w:rsidR="00B32A92" w:rsidRPr="00DE12A3">
        <w:rPr>
          <w:rFonts w:cs="Times New Roman"/>
          <w:color w:val="auto"/>
        </w:rPr>
        <w:t>E</w:t>
      </w:r>
      <w:r w:rsidR="00FA0678" w:rsidRPr="00DE12A3">
        <w:rPr>
          <w:rFonts w:cs="Times New Roman"/>
          <w:color w:val="auto"/>
        </w:rPr>
        <w:t>k</w:t>
      </w:r>
      <w:r w:rsidRPr="00DE12A3">
        <w:rPr>
          <w:rFonts w:cs="Times New Roman"/>
          <w:color w:val="auto"/>
        </w:rPr>
        <w:t>in 2.2 bendi uygulanır.</w:t>
      </w:r>
    </w:p>
    <w:p w14:paraId="1F4732E6" w14:textId="77777777" w:rsidR="00103965" w:rsidRPr="00DE12A3" w:rsidRDefault="00103965" w:rsidP="00570441">
      <w:pPr>
        <w:spacing w:before="120" w:after="120"/>
        <w:jc w:val="both"/>
        <w:rPr>
          <w:rFonts w:cs="Times New Roman"/>
          <w:color w:val="auto"/>
        </w:rPr>
      </w:pPr>
      <w:r w:rsidRPr="00DE12A3">
        <w:rPr>
          <w:rFonts w:cs="Times New Roman"/>
          <w:color w:val="auto"/>
        </w:rPr>
        <w:t>Yakıt bileşiminin muhtemel değişimi, temel olarak tablodaki hidrokarbon u</w:t>
      </w:r>
      <w:r w:rsidRPr="00DE12A3">
        <w:rPr>
          <w:rFonts w:cs="Times New Roman"/>
          <w:color w:val="auto"/>
          <w:vertAlign w:val="subscript"/>
        </w:rPr>
        <w:t>gas</w:t>
      </w:r>
      <w:r w:rsidRPr="00DE12A3">
        <w:rPr>
          <w:rFonts w:cs="Times New Roman"/>
          <w:color w:val="auto"/>
        </w:rPr>
        <w:t xml:space="preserve"> değerini etkilemelidir. 7.1.5 bendi uyarınca her iki yakıtın yakıt tüketimi ölçümlerinden belirlenen molar bileşen oranları kullanılarak hidrokarbon emisyonlarının hesaplanması için kesin denklemler uygulanmalıdır.</w:t>
      </w:r>
    </w:p>
    <w:p w14:paraId="097859FB" w14:textId="2128CA81" w:rsidR="00103965" w:rsidRPr="00DE12A3" w:rsidRDefault="00103965" w:rsidP="00C917D6">
      <w:pPr>
        <w:spacing w:before="120" w:after="120"/>
        <w:ind w:left="1134" w:hanging="1134"/>
        <w:jc w:val="both"/>
        <w:rPr>
          <w:rFonts w:cs="Times New Roman"/>
          <w:color w:val="auto"/>
        </w:rPr>
      </w:pPr>
      <w:r w:rsidRPr="00DE12A3">
        <w:rPr>
          <w:rFonts w:cs="Times New Roman"/>
          <w:color w:val="auto"/>
        </w:rPr>
        <w:t>7.1.4.1.</w:t>
      </w:r>
      <w:r w:rsidR="00570441" w:rsidRPr="00DE12A3">
        <w:rPr>
          <w:rFonts w:cs="Times New Roman"/>
          <w:color w:val="auto"/>
        </w:rPr>
        <w:t xml:space="preserve"> </w:t>
      </w:r>
      <w:r w:rsidRPr="00DE12A3">
        <w:rPr>
          <w:rFonts w:cs="Times New Roman"/>
          <w:color w:val="auto"/>
        </w:rPr>
        <w:t>Arka plan düzeltilmiş konsantrasyonların belirlenmesi</w:t>
      </w:r>
    </w:p>
    <w:p w14:paraId="69209D0A" w14:textId="789A81F0" w:rsidR="00103965" w:rsidRPr="00DE12A3" w:rsidRDefault="00103965" w:rsidP="00570441">
      <w:pPr>
        <w:spacing w:before="120" w:after="120"/>
        <w:jc w:val="both"/>
        <w:rPr>
          <w:rFonts w:cs="Times New Roman"/>
          <w:color w:val="auto"/>
        </w:rPr>
      </w:pPr>
      <w:r w:rsidRPr="00DE12A3">
        <w:rPr>
          <w:rFonts w:cs="Times New Roman"/>
          <w:color w:val="auto"/>
        </w:rPr>
        <w:t xml:space="preserve">Stokiyometrik faktörü belirlemek için, yakıtın molar hidrojen oranı </w:t>
      </w:r>
      <w:r w:rsidR="00542607" w:rsidRPr="00DE12A3">
        <w:rPr>
          <w:rFonts w:cs="Times New Roman"/>
          <w:color w:val="auto"/>
        </w:rPr>
        <w:t xml:space="preserve">α </w:t>
      </w:r>
      <w:r w:rsidRPr="00DE12A3">
        <w:rPr>
          <w:rFonts w:cs="Times New Roman"/>
          <w:color w:val="auto"/>
        </w:rPr>
        <w:t>, 7.1.5.3 bendi uyarınca test sırasında yakıt karışımının ortalama molar hidrojen oranı olarak hesaplanmalıdır.</w:t>
      </w:r>
      <w:r w:rsidR="00542607" w:rsidRPr="00DE12A3">
        <w:rPr>
          <w:color w:val="auto"/>
        </w:rPr>
        <w:t xml:space="preserve"> </w:t>
      </w:r>
    </w:p>
    <w:p w14:paraId="233584F1" w14:textId="5A77D3B7" w:rsidR="00103965" w:rsidRPr="00DE12A3" w:rsidRDefault="00103965" w:rsidP="00570441">
      <w:pPr>
        <w:spacing w:before="120" w:after="120"/>
        <w:jc w:val="both"/>
        <w:rPr>
          <w:rFonts w:cs="Times New Roman"/>
          <w:color w:val="auto"/>
        </w:rPr>
      </w:pPr>
      <w:r w:rsidRPr="00DE12A3">
        <w:rPr>
          <w:rFonts w:cs="Times New Roman"/>
          <w:color w:val="auto"/>
        </w:rPr>
        <w:t>Alternatif olarak, gaz yakıtın F</w:t>
      </w:r>
      <w:r w:rsidRPr="00DE12A3">
        <w:rPr>
          <w:rFonts w:cs="Times New Roman"/>
          <w:color w:val="auto"/>
          <w:vertAlign w:val="subscript"/>
        </w:rPr>
        <w:t>s</w:t>
      </w:r>
      <w:r w:rsidRPr="00DE12A3">
        <w:rPr>
          <w:rFonts w:cs="Times New Roman"/>
          <w:color w:val="auto"/>
        </w:rPr>
        <w:t xml:space="preserve"> değeri, </w:t>
      </w:r>
      <w:r w:rsidR="00FA0678" w:rsidRPr="00DE12A3">
        <w:rPr>
          <w:rFonts w:cs="Times New Roman"/>
          <w:color w:val="auto"/>
        </w:rPr>
        <w:t xml:space="preserve">VII’nci </w:t>
      </w:r>
      <w:r w:rsidR="00773274" w:rsidRPr="00DE12A3">
        <w:rPr>
          <w:rFonts w:cs="Times New Roman"/>
          <w:color w:val="auto"/>
        </w:rPr>
        <w:t>E</w:t>
      </w:r>
      <w:r w:rsidR="00FA0678" w:rsidRPr="00DE12A3">
        <w:rPr>
          <w:rFonts w:cs="Times New Roman"/>
          <w:color w:val="auto"/>
        </w:rPr>
        <w:t>k</w:t>
      </w:r>
      <w:r w:rsidRPr="00DE12A3">
        <w:rPr>
          <w:rFonts w:cs="Times New Roman"/>
          <w:color w:val="auto"/>
        </w:rPr>
        <w:t xml:space="preserve">teki (7-28) </w:t>
      </w:r>
      <w:r w:rsidR="005C6D9F" w:rsidRPr="00DE12A3">
        <w:rPr>
          <w:color w:val="auto"/>
        </w:rPr>
        <w:t>numaralı</w:t>
      </w:r>
      <w:r w:rsidR="005C6D9F" w:rsidRPr="00DE12A3" w:rsidDel="005C6D9F">
        <w:rPr>
          <w:rFonts w:cs="Times New Roman"/>
          <w:color w:val="auto"/>
        </w:rPr>
        <w:t xml:space="preserve"> </w:t>
      </w:r>
      <w:r w:rsidRPr="00DE12A3">
        <w:rPr>
          <w:rFonts w:cs="Times New Roman"/>
          <w:color w:val="auto"/>
        </w:rPr>
        <w:t>denklem içinde kullanılabilir.</w:t>
      </w:r>
    </w:p>
    <w:p w14:paraId="5739D223" w14:textId="4FEB7663" w:rsidR="00103965" w:rsidRPr="00DE12A3" w:rsidRDefault="00103965" w:rsidP="00C917D6">
      <w:pPr>
        <w:spacing w:before="120" w:after="120"/>
        <w:ind w:left="1134" w:hanging="1134"/>
        <w:jc w:val="both"/>
        <w:rPr>
          <w:rFonts w:cs="Times New Roman"/>
          <w:color w:val="auto"/>
        </w:rPr>
      </w:pPr>
      <w:r w:rsidRPr="00DE12A3">
        <w:rPr>
          <w:rFonts w:cs="Times New Roman"/>
          <w:color w:val="auto"/>
        </w:rPr>
        <w:t>7.1.5.</w:t>
      </w:r>
      <w:r w:rsidR="00570441" w:rsidRPr="00DE12A3">
        <w:rPr>
          <w:rFonts w:cs="Times New Roman"/>
          <w:color w:val="auto"/>
        </w:rPr>
        <w:t xml:space="preserve"> </w:t>
      </w:r>
      <w:r w:rsidRPr="00DE12A3">
        <w:rPr>
          <w:rFonts w:cs="Times New Roman"/>
          <w:color w:val="auto"/>
        </w:rPr>
        <w:t>Molar bileşen oranlarının belirlenmesi</w:t>
      </w:r>
    </w:p>
    <w:p w14:paraId="603F7895" w14:textId="33E7EEBB" w:rsidR="00103965" w:rsidRPr="00DE12A3" w:rsidRDefault="00103965" w:rsidP="00C917D6">
      <w:pPr>
        <w:spacing w:before="120" w:after="120"/>
        <w:ind w:left="1134" w:hanging="1134"/>
        <w:jc w:val="both"/>
        <w:rPr>
          <w:rFonts w:cs="Times New Roman"/>
          <w:color w:val="auto"/>
        </w:rPr>
      </w:pPr>
      <w:r w:rsidRPr="00DE12A3">
        <w:rPr>
          <w:rFonts w:cs="Times New Roman"/>
          <w:color w:val="auto"/>
        </w:rPr>
        <w:t>7.1.5.1.</w:t>
      </w:r>
      <w:r w:rsidR="00570441" w:rsidRPr="00DE12A3">
        <w:rPr>
          <w:rFonts w:cs="Times New Roman"/>
          <w:color w:val="auto"/>
        </w:rPr>
        <w:t xml:space="preserve"> </w:t>
      </w:r>
      <w:r w:rsidRPr="00DE12A3">
        <w:rPr>
          <w:rFonts w:cs="Times New Roman"/>
          <w:color w:val="auto"/>
        </w:rPr>
        <w:t>Genel</w:t>
      </w:r>
    </w:p>
    <w:p w14:paraId="7E01CD3C" w14:textId="4201F350" w:rsidR="00103965" w:rsidRPr="00DE12A3" w:rsidRDefault="00103965" w:rsidP="00570441">
      <w:pPr>
        <w:spacing w:before="120" w:after="120"/>
        <w:jc w:val="both"/>
        <w:rPr>
          <w:rFonts w:cs="Times New Roman"/>
          <w:color w:val="auto"/>
        </w:rPr>
      </w:pPr>
      <w:r w:rsidRPr="00DE12A3">
        <w:rPr>
          <w:rFonts w:cs="Times New Roman"/>
          <w:color w:val="auto"/>
        </w:rPr>
        <w:t xml:space="preserve">Bu </w:t>
      </w:r>
      <w:r w:rsidR="00D042D7" w:rsidRPr="00DE12A3">
        <w:rPr>
          <w:rFonts w:cs="Times New Roman"/>
          <w:color w:val="auto"/>
        </w:rPr>
        <w:t>Bölüm</w:t>
      </w:r>
      <w:r w:rsidRPr="00DE12A3">
        <w:rPr>
          <w:rFonts w:cs="Times New Roman"/>
          <w:color w:val="auto"/>
        </w:rPr>
        <w:t>, yakıt karışımı bilindiğinde (kesin yöntem), molar bileşen oranlarının belirlenmesi için kullanılır.</w:t>
      </w:r>
    </w:p>
    <w:p w14:paraId="262B6039" w14:textId="7F0ED93A" w:rsidR="00103965" w:rsidRPr="00DE12A3" w:rsidRDefault="00103965" w:rsidP="00570441">
      <w:pPr>
        <w:spacing w:before="120" w:after="120"/>
        <w:jc w:val="both"/>
        <w:rPr>
          <w:rFonts w:cs="Times New Roman"/>
          <w:color w:val="auto"/>
        </w:rPr>
      </w:pPr>
      <w:r w:rsidRPr="00DE12A3">
        <w:rPr>
          <w:rFonts w:cs="Times New Roman"/>
          <w:color w:val="auto"/>
        </w:rPr>
        <w:t>7.1.5.2.</w:t>
      </w:r>
      <w:r w:rsidR="00570441" w:rsidRPr="00DE12A3">
        <w:rPr>
          <w:rFonts w:cs="Times New Roman"/>
          <w:color w:val="auto"/>
        </w:rPr>
        <w:t xml:space="preserve"> </w:t>
      </w:r>
      <w:r w:rsidRPr="00DE12A3">
        <w:rPr>
          <w:rFonts w:cs="Times New Roman"/>
          <w:color w:val="auto"/>
        </w:rPr>
        <w:t>Yakıt karışımı bileşenlerinin hesaplanması</w:t>
      </w:r>
    </w:p>
    <w:p w14:paraId="6917340F" w14:textId="5FE02A1D" w:rsidR="00103965" w:rsidRPr="00DE12A3" w:rsidRDefault="00103965" w:rsidP="00570441">
      <w:pPr>
        <w:spacing w:before="120" w:after="120"/>
        <w:jc w:val="both"/>
        <w:rPr>
          <w:rFonts w:cs="Times New Roman"/>
          <w:color w:val="auto"/>
        </w:rPr>
      </w:pPr>
      <w:r w:rsidRPr="00DE12A3">
        <w:rPr>
          <w:rFonts w:cs="Times New Roman"/>
          <w:color w:val="auto"/>
        </w:rPr>
        <w:t xml:space="preserve">Yakıt karışımının ögesel bileşimini hesaplamak için (8-2) ila (8-7) </w:t>
      </w:r>
      <w:r w:rsidR="00E40A63" w:rsidRPr="00DE12A3">
        <w:rPr>
          <w:rFonts w:cs="Times New Roman"/>
          <w:color w:val="auto"/>
        </w:rPr>
        <w:t xml:space="preserve">numaralı </w:t>
      </w:r>
      <w:r w:rsidRPr="00DE12A3">
        <w:rPr>
          <w:rFonts w:cs="Times New Roman"/>
          <w:color w:val="auto"/>
        </w:rPr>
        <w:t>denklemler kullanılır:</w:t>
      </w:r>
    </w:p>
    <w:p w14:paraId="3A351CFC" w14:textId="77777777" w:rsidR="00103965" w:rsidRPr="00DE12A3" w:rsidRDefault="00103965" w:rsidP="00570441">
      <w:pPr>
        <w:spacing w:before="120" w:after="120"/>
        <w:jc w:val="both"/>
        <w:rPr>
          <w:rFonts w:cs="Times New Roman"/>
          <w:color w:val="auto"/>
        </w:rPr>
      </w:pPr>
    </w:p>
    <w:tbl>
      <w:tblPr>
        <w:tblW w:w="7105" w:type="dxa"/>
        <w:jc w:val="center"/>
        <w:tblLayout w:type="fixed"/>
        <w:tblLook w:val="0000" w:firstRow="0" w:lastRow="0" w:firstColumn="0" w:lastColumn="0" w:noHBand="0" w:noVBand="0"/>
      </w:tblPr>
      <w:tblGrid>
        <w:gridCol w:w="5756"/>
        <w:gridCol w:w="1349"/>
      </w:tblGrid>
      <w:tr w:rsidR="00DE12A3" w:rsidRPr="00DE12A3" w14:paraId="3DB157F0" w14:textId="77777777" w:rsidTr="002000F9">
        <w:trPr>
          <w:trHeight w:val="521"/>
          <w:jc w:val="center"/>
        </w:trPr>
        <w:tc>
          <w:tcPr>
            <w:tcW w:w="5756" w:type="dxa"/>
          </w:tcPr>
          <w:p w14:paraId="0E2E83D2" w14:textId="77777777" w:rsidR="009F4766" w:rsidRPr="00DE12A3" w:rsidRDefault="009F4766" w:rsidP="00C917D6">
            <w:pPr>
              <w:pStyle w:val="NormalLeft"/>
            </w:pPr>
            <w:r w:rsidRPr="00DE12A3">
              <w:rPr>
                <w:i/>
                <w:iCs/>
              </w:rPr>
              <w:t>q</w:t>
            </w:r>
            <w:r w:rsidRPr="00DE12A3">
              <w:rPr>
                <w:i/>
                <w:iCs/>
                <w:vertAlign w:val="subscript"/>
              </w:rPr>
              <w:t>mf</w:t>
            </w:r>
            <w:r w:rsidRPr="00DE12A3">
              <w:t xml:space="preserve"> = </w:t>
            </w:r>
            <w:r w:rsidRPr="00DE12A3">
              <w:rPr>
                <w:i/>
                <w:iCs/>
              </w:rPr>
              <w:t>q</w:t>
            </w:r>
            <w:r w:rsidRPr="00DE12A3">
              <w:rPr>
                <w:i/>
                <w:iCs/>
                <w:vertAlign w:val="subscript"/>
              </w:rPr>
              <w:t>mf1</w:t>
            </w:r>
            <w:r w:rsidRPr="00DE12A3">
              <w:t xml:space="preserve"> + </w:t>
            </w:r>
            <w:r w:rsidRPr="00DE12A3">
              <w:rPr>
                <w:i/>
                <w:iCs/>
              </w:rPr>
              <w:t>q</w:t>
            </w:r>
            <w:r w:rsidRPr="00DE12A3">
              <w:rPr>
                <w:i/>
                <w:iCs/>
                <w:vertAlign w:val="subscript"/>
              </w:rPr>
              <w:t>mf2</w:t>
            </w:r>
          </w:p>
        </w:tc>
        <w:tc>
          <w:tcPr>
            <w:tcW w:w="1349" w:type="dxa"/>
          </w:tcPr>
          <w:p w14:paraId="2983BB33" w14:textId="77777777" w:rsidR="009F4766" w:rsidRPr="00DE12A3" w:rsidRDefault="009F4766" w:rsidP="00C917D6">
            <w:pPr>
              <w:pStyle w:val="NormalLeft"/>
            </w:pPr>
            <w:r w:rsidRPr="00DE12A3">
              <w:t>(8-2)</w:t>
            </w:r>
          </w:p>
        </w:tc>
      </w:tr>
      <w:tr w:rsidR="00DE12A3" w:rsidRPr="00DE12A3" w14:paraId="054E3473" w14:textId="77777777" w:rsidTr="002000F9">
        <w:trPr>
          <w:trHeight w:val="1271"/>
          <w:jc w:val="center"/>
        </w:trPr>
        <w:tc>
          <w:tcPr>
            <w:tcW w:w="5756" w:type="dxa"/>
          </w:tcPr>
          <w:p w14:paraId="578765CE" w14:textId="6A66396C" w:rsidR="009F4766" w:rsidRPr="00DE12A3" w:rsidRDefault="009F4766" w:rsidP="00C917D6">
            <w:pPr>
              <w:pStyle w:val="NormalLeft"/>
            </w:pPr>
            <w:r w:rsidRPr="00DE12A3">
              <w:rPr>
                <w:noProof/>
                <w:lang w:val="tr-TR"/>
              </w:rPr>
              <w:drawing>
                <wp:inline distT="0" distB="0" distL="0" distR="0" wp14:anchorId="5EE8A51A" wp14:editId="1E12C411">
                  <wp:extent cx="3417277" cy="633095"/>
                  <wp:effectExtent l="0" t="0" r="0" b="0"/>
                  <wp:docPr id="2018" name="Resim 2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252">
                            <a:extLst>
                              <a:ext uri="{28A0092B-C50C-407E-A947-70E740481C1C}">
                                <a14:useLocalDpi xmlns:a14="http://schemas.microsoft.com/office/drawing/2010/main" val="0"/>
                              </a:ext>
                            </a:extLst>
                          </a:blip>
                          <a:srcRect/>
                          <a:stretch>
                            <a:fillRect/>
                          </a:stretch>
                        </pic:blipFill>
                        <pic:spPr bwMode="auto">
                          <a:xfrm>
                            <a:off x="0" y="0"/>
                            <a:ext cx="3421078" cy="633799"/>
                          </a:xfrm>
                          <a:prstGeom prst="rect">
                            <a:avLst/>
                          </a:prstGeom>
                          <a:noFill/>
                          <a:ln>
                            <a:noFill/>
                          </a:ln>
                        </pic:spPr>
                      </pic:pic>
                    </a:graphicData>
                  </a:graphic>
                </wp:inline>
              </w:drawing>
            </w:r>
          </w:p>
        </w:tc>
        <w:tc>
          <w:tcPr>
            <w:tcW w:w="1349" w:type="dxa"/>
          </w:tcPr>
          <w:p w14:paraId="005984F4" w14:textId="77777777" w:rsidR="009F4766" w:rsidRPr="00DE12A3" w:rsidRDefault="009F4766" w:rsidP="00C917D6">
            <w:pPr>
              <w:pStyle w:val="NormalLeft"/>
            </w:pPr>
            <w:r w:rsidRPr="00DE12A3">
              <w:t>(8-3)</w:t>
            </w:r>
          </w:p>
        </w:tc>
      </w:tr>
      <w:tr w:rsidR="00DE12A3" w:rsidRPr="00DE12A3" w14:paraId="15D1C771" w14:textId="77777777" w:rsidTr="002000F9">
        <w:trPr>
          <w:trHeight w:val="1271"/>
          <w:jc w:val="center"/>
        </w:trPr>
        <w:tc>
          <w:tcPr>
            <w:tcW w:w="5756" w:type="dxa"/>
          </w:tcPr>
          <w:p w14:paraId="243ECEE9" w14:textId="467B665F" w:rsidR="009F4766" w:rsidRPr="00DE12A3" w:rsidRDefault="009F4766" w:rsidP="00C917D6">
            <w:pPr>
              <w:pStyle w:val="NormalLeft"/>
            </w:pPr>
            <w:r w:rsidRPr="00DE12A3">
              <w:rPr>
                <w:noProof/>
                <w:lang w:val="tr-TR"/>
              </w:rPr>
              <w:drawing>
                <wp:inline distT="0" distB="0" distL="0" distR="0" wp14:anchorId="50F8900C" wp14:editId="6ABB0E53">
                  <wp:extent cx="3382107" cy="633095"/>
                  <wp:effectExtent l="0" t="0" r="8890" b="0"/>
                  <wp:docPr id="2017" name="Resim 2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253">
                            <a:extLst>
                              <a:ext uri="{28A0092B-C50C-407E-A947-70E740481C1C}">
                                <a14:useLocalDpi xmlns:a14="http://schemas.microsoft.com/office/drawing/2010/main" val="0"/>
                              </a:ext>
                            </a:extLst>
                          </a:blip>
                          <a:srcRect/>
                          <a:stretch>
                            <a:fillRect/>
                          </a:stretch>
                        </pic:blipFill>
                        <pic:spPr bwMode="auto">
                          <a:xfrm>
                            <a:off x="0" y="0"/>
                            <a:ext cx="3386259" cy="633872"/>
                          </a:xfrm>
                          <a:prstGeom prst="rect">
                            <a:avLst/>
                          </a:prstGeom>
                          <a:noFill/>
                          <a:ln>
                            <a:noFill/>
                          </a:ln>
                        </pic:spPr>
                      </pic:pic>
                    </a:graphicData>
                  </a:graphic>
                </wp:inline>
              </w:drawing>
            </w:r>
          </w:p>
        </w:tc>
        <w:tc>
          <w:tcPr>
            <w:tcW w:w="1349" w:type="dxa"/>
          </w:tcPr>
          <w:p w14:paraId="18948C29" w14:textId="77777777" w:rsidR="009F4766" w:rsidRPr="00DE12A3" w:rsidRDefault="009F4766" w:rsidP="00C917D6">
            <w:pPr>
              <w:pStyle w:val="NormalLeft"/>
            </w:pPr>
            <w:r w:rsidRPr="00DE12A3">
              <w:t>(8-4)</w:t>
            </w:r>
          </w:p>
        </w:tc>
      </w:tr>
      <w:tr w:rsidR="00DE12A3" w:rsidRPr="00DE12A3" w14:paraId="3DDAB50F" w14:textId="77777777" w:rsidTr="002000F9">
        <w:trPr>
          <w:trHeight w:val="1261"/>
          <w:jc w:val="center"/>
        </w:trPr>
        <w:tc>
          <w:tcPr>
            <w:tcW w:w="5756" w:type="dxa"/>
          </w:tcPr>
          <w:p w14:paraId="2BDD0146" w14:textId="37578459" w:rsidR="009F4766" w:rsidRPr="00DE12A3" w:rsidRDefault="009F4766" w:rsidP="00C917D6">
            <w:pPr>
              <w:pStyle w:val="NormalLeft"/>
            </w:pPr>
            <w:r w:rsidRPr="00DE12A3">
              <w:rPr>
                <w:noProof/>
                <w:lang w:val="tr-TR"/>
              </w:rPr>
              <w:drawing>
                <wp:inline distT="0" distB="0" distL="0" distR="0" wp14:anchorId="25216A8F" wp14:editId="0E01B2B7">
                  <wp:extent cx="3288323" cy="633095"/>
                  <wp:effectExtent l="0" t="0" r="7620" b="0"/>
                  <wp:docPr id="2016" name="Resim 2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254">
                            <a:extLst>
                              <a:ext uri="{28A0092B-C50C-407E-A947-70E740481C1C}">
                                <a14:useLocalDpi xmlns:a14="http://schemas.microsoft.com/office/drawing/2010/main" val="0"/>
                              </a:ext>
                            </a:extLst>
                          </a:blip>
                          <a:srcRect/>
                          <a:stretch>
                            <a:fillRect/>
                          </a:stretch>
                        </pic:blipFill>
                        <pic:spPr bwMode="auto">
                          <a:xfrm>
                            <a:off x="0" y="0"/>
                            <a:ext cx="3292029" cy="633809"/>
                          </a:xfrm>
                          <a:prstGeom prst="rect">
                            <a:avLst/>
                          </a:prstGeom>
                          <a:noFill/>
                          <a:ln>
                            <a:noFill/>
                          </a:ln>
                        </pic:spPr>
                      </pic:pic>
                    </a:graphicData>
                  </a:graphic>
                </wp:inline>
              </w:drawing>
            </w:r>
          </w:p>
        </w:tc>
        <w:tc>
          <w:tcPr>
            <w:tcW w:w="1349" w:type="dxa"/>
          </w:tcPr>
          <w:p w14:paraId="588693A3" w14:textId="77777777" w:rsidR="009F4766" w:rsidRPr="00DE12A3" w:rsidRDefault="009F4766" w:rsidP="00C917D6">
            <w:pPr>
              <w:pStyle w:val="NormalLeft"/>
            </w:pPr>
            <w:r w:rsidRPr="00DE12A3">
              <w:t>(8-5)</w:t>
            </w:r>
          </w:p>
        </w:tc>
      </w:tr>
      <w:tr w:rsidR="00DE12A3" w:rsidRPr="00DE12A3" w14:paraId="2C7A11C7" w14:textId="77777777" w:rsidTr="002000F9">
        <w:trPr>
          <w:trHeight w:val="1271"/>
          <w:jc w:val="center"/>
        </w:trPr>
        <w:tc>
          <w:tcPr>
            <w:tcW w:w="5756" w:type="dxa"/>
          </w:tcPr>
          <w:p w14:paraId="0A60E4B5" w14:textId="24E7E2D6" w:rsidR="009F4766" w:rsidRPr="00DE12A3" w:rsidRDefault="009F4766" w:rsidP="00C917D6">
            <w:pPr>
              <w:pStyle w:val="NormalLeft"/>
            </w:pPr>
            <w:r w:rsidRPr="00DE12A3">
              <w:rPr>
                <w:noProof/>
                <w:lang w:val="tr-TR"/>
              </w:rPr>
              <w:lastRenderedPageBreak/>
              <w:drawing>
                <wp:inline distT="0" distB="0" distL="0" distR="0" wp14:anchorId="7231C3E2" wp14:editId="7A34B826">
                  <wp:extent cx="3188677" cy="633095"/>
                  <wp:effectExtent l="0" t="0" r="0" b="0"/>
                  <wp:docPr id="2015" name="Resim 2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255">
                            <a:extLst>
                              <a:ext uri="{28A0092B-C50C-407E-A947-70E740481C1C}">
                                <a14:useLocalDpi xmlns:a14="http://schemas.microsoft.com/office/drawing/2010/main" val="0"/>
                              </a:ext>
                            </a:extLst>
                          </a:blip>
                          <a:srcRect/>
                          <a:stretch>
                            <a:fillRect/>
                          </a:stretch>
                        </pic:blipFill>
                        <pic:spPr bwMode="auto">
                          <a:xfrm>
                            <a:off x="0" y="0"/>
                            <a:ext cx="3190564" cy="633470"/>
                          </a:xfrm>
                          <a:prstGeom prst="rect">
                            <a:avLst/>
                          </a:prstGeom>
                          <a:noFill/>
                          <a:ln>
                            <a:noFill/>
                          </a:ln>
                        </pic:spPr>
                      </pic:pic>
                    </a:graphicData>
                  </a:graphic>
                </wp:inline>
              </w:drawing>
            </w:r>
          </w:p>
        </w:tc>
        <w:tc>
          <w:tcPr>
            <w:tcW w:w="1349" w:type="dxa"/>
          </w:tcPr>
          <w:p w14:paraId="4232A894" w14:textId="77777777" w:rsidR="009F4766" w:rsidRPr="00DE12A3" w:rsidRDefault="009F4766" w:rsidP="00C917D6">
            <w:pPr>
              <w:pStyle w:val="NormalLeft"/>
            </w:pPr>
            <w:r w:rsidRPr="00DE12A3">
              <w:t>(8-6)</w:t>
            </w:r>
          </w:p>
        </w:tc>
      </w:tr>
      <w:tr w:rsidR="009F4766" w:rsidRPr="00DE12A3" w14:paraId="1126B783" w14:textId="77777777" w:rsidTr="002000F9">
        <w:trPr>
          <w:trHeight w:val="1261"/>
          <w:jc w:val="center"/>
        </w:trPr>
        <w:tc>
          <w:tcPr>
            <w:tcW w:w="5756" w:type="dxa"/>
          </w:tcPr>
          <w:p w14:paraId="6208DB3A" w14:textId="3844B1ED" w:rsidR="009F4766" w:rsidRPr="00DE12A3" w:rsidRDefault="009F4766" w:rsidP="00C917D6">
            <w:pPr>
              <w:pStyle w:val="NormalLeft"/>
            </w:pPr>
            <w:r w:rsidRPr="00DE12A3">
              <w:rPr>
                <w:noProof/>
                <w:lang w:val="tr-TR"/>
              </w:rPr>
              <w:drawing>
                <wp:inline distT="0" distB="0" distL="0" distR="0" wp14:anchorId="53897E2B" wp14:editId="5CBA14E8">
                  <wp:extent cx="3223846" cy="633095"/>
                  <wp:effectExtent l="0" t="0" r="0" b="0"/>
                  <wp:docPr id="2014" name="Resim 2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256">
                            <a:extLst>
                              <a:ext uri="{28A0092B-C50C-407E-A947-70E740481C1C}">
                                <a14:useLocalDpi xmlns:a14="http://schemas.microsoft.com/office/drawing/2010/main" val="0"/>
                              </a:ext>
                            </a:extLst>
                          </a:blip>
                          <a:srcRect/>
                          <a:stretch>
                            <a:fillRect/>
                          </a:stretch>
                        </pic:blipFill>
                        <pic:spPr bwMode="auto">
                          <a:xfrm>
                            <a:off x="0" y="0"/>
                            <a:ext cx="3225802" cy="633479"/>
                          </a:xfrm>
                          <a:prstGeom prst="rect">
                            <a:avLst/>
                          </a:prstGeom>
                          <a:noFill/>
                          <a:ln>
                            <a:noFill/>
                          </a:ln>
                        </pic:spPr>
                      </pic:pic>
                    </a:graphicData>
                  </a:graphic>
                </wp:inline>
              </w:drawing>
            </w:r>
          </w:p>
        </w:tc>
        <w:tc>
          <w:tcPr>
            <w:tcW w:w="1349" w:type="dxa"/>
          </w:tcPr>
          <w:p w14:paraId="08CF3B68" w14:textId="77777777" w:rsidR="009F4766" w:rsidRPr="00DE12A3" w:rsidRDefault="009F4766" w:rsidP="00C917D6">
            <w:pPr>
              <w:pStyle w:val="NormalLeft"/>
            </w:pPr>
            <w:r w:rsidRPr="00DE12A3">
              <w:t>(8-7)</w:t>
            </w:r>
          </w:p>
        </w:tc>
      </w:tr>
    </w:tbl>
    <w:p w14:paraId="155ACEF2" w14:textId="77777777" w:rsidR="009F4766" w:rsidRPr="00DE12A3" w:rsidRDefault="009F4766" w:rsidP="00C917D6">
      <w:pPr>
        <w:spacing w:before="120" w:after="120"/>
        <w:rPr>
          <w:rFonts w:cs="Times New Roman"/>
          <w:color w:val="auto"/>
        </w:rPr>
      </w:pPr>
    </w:p>
    <w:p w14:paraId="57C1CFC9" w14:textId="77777777" w:rsidR="009F4766" w:rsidRPr="00DE12A3" w:rsidRDefault="008B3D9F" w:rsidP="00C917D6">
      <w:pPr>
        <w:spacing w:before="120" w:after="120"/>
        <w:rPr>
          <w:rFonts w:cs="Times New Roman"/>
          <w:color w:val="auto"/>
        </w:rPr>
      </w:pPr>
      <w:r w:rsidRPr="00DE12A3">
        <w:rPr>
          <w:rFonts w:cs="Times New Roman"/>
          <w:color w:val="auto"/>
        </w:rPr>
        <w:t>Burada</w:t>
      </w:r>
      <w:r w:rsidR="009F4766" w:rsidRPr="00DE12A3">
        <w:rPr>
          <w:rFonts w:cs="Times New Roman"/>
          <w:color w:val="auto"/>
        </w:rPr>
        <w:t>:</w:t>
      </w:r>
    </w:p>
    <w:tbl>
      <w:tblPr>
        <w:tblW w:w="0" w:type="auto"/>
        <w:tblInd w:w="1857" w:type="dxa"/>
        <w:tblLayout w:type="fixed"/>
        <w:tblLook w:val="0000" w:firstRow="0" w:lastRow="0" w:firstColumn="0" w:lastColumn="0" w:noHBand="0" w:noVBand="0"/>
      </w:tblPr>
      <w:tblGrid>
        <w:gridCol w:w="947"/>
        <w:gridCol w:w="446"/>
        <w:gridCol w:w="4179"/>
      </w:tblGrid>
      <w:tr w:rsidR="00DE12A3" w:rsidRPr="00DE12A3" w14:paraId="51CB2525" w14:textId="77777777" w:rsidTr="002000F9">
        <w:tc>
          <w:tcPr>
            <w:tcW w:w="947" w:type="dxa"/>
          </w:tcPr>
          <w:p w14:paraId="414D42DD" w14:textId="77777777" w:rsidR="00103965" w:rsidRPr="00DE12A3" w:rsidRDefault="00103965" w:rsidP="00C917D6">
            <w:pPr>
              <w:pStyle w:val="NormalLeft"/>
            </w:pPr>
            <w:r w:rsidRPr="00DE12A3">
              <w:rPr>
                <w:i/>
                <w:iCs/>
              </w:rPr>
              <w:t>q</w:t>
            </w:r>
            <w:r w:rsidRPr="00DE12A3">
              <w:rPr>
                <w:i/>
                <w:iCs/>
                <w:vertAlign w:val="subscript"/>
              </w:rPr>
              <w:t>m</w:t>
            </w:r>
            <w:r w:rsidRPr="00DE12A3">
              <w:rPr>
                <w:vertAlign w:val="subscript"/>
              </w:rPr>
              <w:t>f1</w:t>
            </w:r>
          </w:p>
        </w:tc>
        <w:tc>
          <w:tcPr>
            <w:tcW w:w="446" w:type="dxa"/>
          </w:tcPr>
          <w:p w14:paraId="4C0AE0E4" w14:textId="659A0300" w:rsidR="00103965" w:rsidRPr="00DE12A3" w:rsidRDefault="00E40A63" w:rsidP="00C917D6">
            <w:pPr>
              <w:pStyle w:val="NormalLeft"/>
            </w:pPr>
            <w:r w:rsidRPr="00DE12A3">
              <w:t>=</w:t>
            </w:r>
          </w:p>
        </w:tc>
        <w:tc>
          <w:tcPr>
            <w:tcW w:w="4179" w:type="dxa"/>
          </w:tcPr>
          <w:p w14:paraId="5862650A" w14:textId="04EBAB96" w:rsidR="00103965" w:rsidRPr="00DE12A3" w:rsidRDefault="00773274" w:rsidP="00C917D6">
            <w:pPr>
              <w:spacing w:before="120" w:after="120"/>
              <w:rPr>
                <w:rFonts w:cs="Times New Roman"/>
                <w:color w:val="auto"/>
              </w:rPr>
            </w:pPr>
            <w:r w:rsidRPr="00DE12A3">
              <w:rPr>
                <w:rFonts w:cs="Times New Roman"/>
                <w:color w:val="auto"/>
              </w:rPr>
              <w:t>Yakıt</w:t>
            </w:r>
            <w:r w:rsidR="00103965" w:rsidRPr="00DE12A3">
              <w:rPr>
                <w:rFonts w:cs="Times New Roman"/>
                <w:color w:val="auto"/>
              </w:rPr>
              <w:t xml:space="preserve"> 1'in yakıt kütle akış hızıdır [kg/s]</w:t>
            </w:r>
          </w:p>
        </w:tc>
      </w:tr>
      <w:tr w:rsidR="00DE12A3" w:rsidRPr="00DE12A3" w14:paraId="339CE9CB" w14:textId="77777777" w:rsidTr="002000F9">
        <w:tc>
          <w:tcPr>
            <w:tcW w:w="947" w:type="dxa"/>
          </w:tcPr>
          <w:p w14:paraId="795CE796" w14:textId="77777777" w:rsidR="00103965" w:rsidRPr="00DE12A3" w:rsidRDefault="00103965" w:rsidP="00C917D6">
            <w:pPr>
              <w:pStyle w:val="NormalLeft"/>
            </w:pPr>
            <w:r w:rsidRPr="00DE12A3">
              <w:rPr>
                <w:i/>
                <w:iCs/>
              </w:rPr>
              <w:t>q</w:t>
            </w:r>
            <w:r w:rsidRPr="00DE12A3">
              <w:rPr>
                <w:i/>
                <w:iCs/>
                <w:vertAlign w:val="subscript"/>
              </w:rPr>
              <w:t>m</w:t>
            </w:r>
            <w:r w:rsidRPr="00DE12A3">
              <w:rPr>
                <w:vertAlign w:val="subscript"/>
              </w:rPr>
              <w:t>f2</w:t>
            </w:r>
          </w:p>
        </w:tc>
        <w:tc>
          <w:tcPr>
            <w:tcW w:w="446" w:type="dxa"/>
          </w:tcPr>
          <w:p w14:paraId="7C2D5BF3" w14:textId="6071F928" w:rsidR="00103965" w:rsidRPr="00DE12A3" w:rsidRDefault="00E40A63" w:rsidP="00C917D6">
            <w:pPr>
              <w:pStyle w:val="NormalLeft"/>
            </w:pPr>
            <w:r w:rsidRPr="00DE12A3">
              <w:t>=</w:t>
            </w:r>
          </w:p>
        </w:tc>
        <w:tc>
          <w:tcPr>
            <w:tcW w:w="4179" w:type="dxa"/>
          </w:tcPr>
          <w:p w14:paraId="732D8038" w14:textId="1FAA6F5D" w:rsidR="00103965" w:rsidRPr="00DE12A3" w:rsidRDefault="00773274" w:rsidP="00C917D6">
            <w:pPr>
              <w:spacing w:before="120" w:after="120"/>
              <w:rPr>
                <w:rFonts w:cs="Times New Roman"/>
                <w:color w:val="auto"/>
              </w:rPr>
            </w:pPr>
            <w:r w:rsidRPr="00DE12A3">
              <w:rPr>
                <w:rFonts w:cs="Times New Roman"/>
                <w:color w:val="auto"/>
              </w:rPr>
              <w:t>Yakıt</w:t>
            </w:r>
            <w:r w:rsidR="00103965" w:rsidRPr="00DE12A3">
              <w:rPr>
                <w:rFonts w:cs="Times New Roman"/>
                <w:color w:val="auto"/>
              </w:rPr>
              <w:t xml:space="preserve"> 2'nin yakıt kütle akış hızıdır [kg/s]</w:t>
            </w:r>
          </w:p>
        </w:tc>
      </w:tr>
      <w:tr w:rsidR="00DE12A3" w:rsidRPr="00DE12A3" w14:paraId="2E266D07" w14:textId="77777777" w:rsidTr="002000F9">
        <w:tc>
          <w:tcPr>
            <w:tcW w:w="947" w:type="dxa"/>
          </w:tcPr>
          <w:p w14:paraId="25C1D78E" w14:textId="77777777" w:rsidR="00103965" w:rsidRPr="00DE12A3" w:rsidRDefault="00103965" w:rsidP="00C917D6">
            <w:pPr>
              <w:pStyle w:val="NormalLeft"/>
            </w:pPr>
            <w:r w:rsidRPr="00DE12A3">
              <w:rPr>
                <w:i/>
                <w:iCs/>
              </w:rPr>
              <w:t>w</w:t>
            </w:r>
            <w:r w:rsidRPr="00DE12A3">
              <w:rPr>
                <w:vertAlign w:val="subscript"/>
              </w:rPr>
              <w:t>H</w:t>
            </w:r>
          </w:p>
        </w:tc>
        <w:tc>
          <w:tcPr>
            <w:tcW w:w="446" w:type="dxa"/>
          </w:tcPr>
          <w:p w14:paraId="18772F04" w14:textId="0F704B6D" w:rsidR="00103965" w:rsidRPr="00DE12A3" w:rsidRDefault="00E40A63" w:rsidP="00C917D6">
            <w:pPr>
              <w:pStyle w:val="NormalLeft"/>
            </w:pPr>
            <w:r w:rsidRPr="00DE12A3">
              <w:t>=</w:t>
            </w:r>
          </w:p>
        </w:tc>
        <w:tc>
          <w:tcPr>
            <w:tcW w:w="4179" w:type="dxa"/>
          </w:tcPr>
          <w:p w14:paraId="2F536A6C" w14:textId="69C2D99F" w:rsidR="00103965" w:rsidRPr="00DE12A3" w:rsidRDefault="00773274" w:rsidP="00C917D6">
            <w:pPr>
              <w:spacing w:before="120" w:after="120"/>
              <w:rPr>
                <w:rFonts w:cs="Times New Roman"/>
                <w:color w:val="auto"/>
              </w:rPr>
            </w:pPr>
            <w:r w:rsidRPr="00DE12A3">
              <w:rPr>
                <w:rFonts w:cs="Times New Roman"/>
                <w:color w:val="auto"/>
              </w:rPr>
              <w:t>Yakıtın</w:t>
            </w:r>
            <w:r w:rsidR="00103965" w:rsidRPr="00DE12A3">
              <w:rPr>
                <w:rFonts w:cs="Times New Roman"/>
                <w:color w:val="auto"/>
              </w:rPr>
              <w:t xml:space="preserve"> hidrojen içeriğidir [% kütle]</w:t>
            </w:r>
          </w:p>
        </w:tc>
      </w:tr>
      <w:tr w:rsidR="00DE12A3" w:rsidRPr="00DE12A3" w14:paraId="21AF2352" w14:textId="77777777" w:rsidTr="002000F9">
        <w:tc>
          <w:tcPr>
            <w:tcW w:w="947" w:type="dxa"/>
          </w:tcPr>
          <w:p w14:paraId="13317D70" w14:textId="77777777" w:rsidR="00103965" w:rsidRPr="00DE12A3" w:rsidRDefault="00103965" w:rsidP="00C917D6">
            <w:pPr>
              <w:pStyle w:val="NormalLeft"/>
            </w:pPr>
            <w:r w:rsidRPr="00DE12A3">
              <w:rPr>
                <w:i/>
                <w:iCs/>
              </w:rPr>
              <w:t>w</w:t>
            </w:r>
            <w:r w:rsidRPr="00DE12A3">
              <w:rPr>
                <w:vertAlign w:val="subscript"/>
              </w:rPr>
              <w:t>C</w:t>
            </w:r>
          </w:p>
        </w:tc>
        <w:tc>
          <w:tcPr>
            <w:tcW w:w="446" w:type="dxa"/>
          </w:tcPr>
          <w:p w14:paraId="6CA5E7A2" w14:textId="620A4A8B" w:rsidR="00103965" w:rsidRPr="00DE12A3" w:rsidRDefault="00E40A63" w:rsidP="00C917D6">
            <w:pPr>
              <w:pStyle w:val="NormalLeft"/>
            </w:pPr>
            <w:r w:rsidRPr="00DE12A3">
              <w:t>=</w:t>
            </w:r>
          </w:p>
        </w:tc>
        <w:tc>
          <w:tcPr>
            <w:tcW w:w="4179" w:type="dxa"/>
          </w:tcPr>
          <w:p w14:paraId="33B429AA" w14:textId="382A5385" w:rsidR="00103965" w:rsidRPr="00DE12A3" w:rsidRDefault="00773274" w:rsidP="00C917D6">
            <w:pPr>
              <w:spacing w:before="120" w:after="120"/>
              <w:rPr>
                <w:rFonts w:cs="Times New Roman"/>
                <w:color w:val="auto"/>
              </w:rPr>
            </w:pPr>
            <w:r w:rsidRPr="00DE12A3">
              <w:rPr>
                <w:rFonts w:cs="Times New Roman"/>
                <w:color w:val="auto"/>
              </w:rPr>
              <w:t>Yakıtın</w:t>
            </w:r>
            <w:r w:rsidR="00103965" w:rsidRPr="00DE12A3">
              <w:rPr>
                <w:rFonts w:cs="Times New Roman"/>
                <w:color w:val="auto"/>
              </w:rPr>
              <w:t xml:space="preserve"> karbon içeriğidir [% kütle]</w:t>
            </w:r>
          </w:p>
        </w:tc>
      </w:tr>
      <w:tr w:rsidR="00DE12A3" w:rsidRPr="00DE12A3" w14:paraId="7D5825CF" w14:textId="77777777" w:rsidTr="002000F9">
        <w:tc>
          <w:tcPr>
            <w:tcW w:w="947" w:type="dxa"/>
          </w:tcPr>
          <w:p w14:paraId="56EABBFB" w14:textId="77777777" w:rsidR="00103965" w:rsidRPr="00DE12A3" w:rsidRDefault="00103965" w:rsidP="00C917D6">
            <w:pPr>
              <w:pStyle w:val="NormalLeft"/>
            </w:pPr>
            <w:r w:rsidRPr="00DE12A3">
              <w:rPr>
                <w:i/>
                <w:iCs/>
              </w:rPr>
              <w:t>w</w:t>
            </w:r>
            <w:r w:rsidRPr="00DE12A3">
              <w:rPr>
                <w:vertAlign w:val="subscript"/>
              </w:rPr>
              <w:t>S</w:t>
            </w:r>
          </w:p>
        </w:tc>
        <w:tc>
          <w:tcPr>
            <w:tcW w:w="446" w:type="dxa"/>
          </w:tcPr>
          <w:p w14:paraId="063A790F" w14:textId="3FDAAE4F" w:rsidR="00103965" w:rsidRPr="00DE12A3" w:rsidRDefault="00E40A63" w:rsidP="00C917D6">
            <w:pPr>
              <w:pStyle w:val="NormalLeft"/>
            </w:pPr>
            <w:r w:rsidRPr="00DE12A3">
              <w:t>=</w:t>
            </w:r>
          </w:p>
        </w:tc>
        <w:tc>
          <w:tcPr>
            <w:tcW w:w="4179" w:type="dxa"/>
          </w:tcPr>
          <w:p w14:paraId="0C42E502" w14:textId="157ECDA0" w:rsidR="00103965" w:rsidRPr="00DE12A3" w:rsidRDefault="00773274" w:rsidP="00C917D6">
            <w:pPr>
              <w:spacing w:before="120" w:after="120"/>
              <w:rPr>
                <w:rFonts w:cs="Times New Roman"/>
                <w:color w:val="auto"/>
              </w:rPr>
            </w:pPr>
            <w:r w:rsidRPr="00DE12A3">
              <w:rPr>
                <w:rFonts w:cs="Times New Roman"/>
                <w:color w:val="auto"/>
              </w:rPr>
              <w:t>Yakıtın</w:t>
            </w:r>
            <w:r w:rsidR="00103965" w:rsidRPr="00DE12A3">
              <w:rPr>
                <w:rFonts w:cs="Times New Roman"/>
                <w:color w:val="auto"/>
              </w:rPr>
              <w:t xml:space="preserve"> kükürt içeriğidir [% kütle]</w:t>
            </w:r>
          </w:p>
        </w:tc>
      </w:tr>
      <w:tr w:rsidR="00DE12A3" w:rsidRPr="00DE12A3" w14:paraId="7EAD59D7" w14:textId="77777777" w:rsidTr="002000F9">
        <w:tc>
          <w:tcPr>
            <w:tcW w:w="947" w:type="dxa"/>
          </w:tcPr>
          <w:p w14:paraId="39AF7D39" w14:textId="77777777" w:rsidR="00103965" w:rsidRPr="00DE12A3" w:rsidRDefault="00103965" w:rsidP="00C917D6">
            <w:pPr>
              <w:pStyle w:val="NormalLeft"/>
            </w:pPr>
            <w:r w:rsidRPr="00DE12A3">
              <w:rPr>
                <w:i/>
                <w:iCs/>
              </w:rPr>
              <w:t>w</w:t>
            </w:r>
            <w:r w:rsidRPr="00DE12A3">
              <w:rPr>
                <w:vertAlign w:val="subscript"/>
              </w:rPr>
              <w:t>N</w:t>
            </w:r>
          </w:p>
        </w:tc>
        <w:tc>
          <w:tcPr>
            <w:tcW w:w="446" w:type="dxa"/>
          </w:tcPr>
          <w:p w14:paraId="1C63B379" w14:textId="435DD12F" w:rsidR="00103965" w:rsidRPr="00DE12A3" w:rsidRDefault="00E40A63" w:rsidP="00C917D6">
            <w:pPr>
              <w:pStyle w:val="NormalLeft"/>
            </w:pPr>
            <w:r w:rsidRPr="00DE12A3">
              <w:t>=</w:t>
            </w:r>
          </w:p>
        </w:tc>
        <w:tc>
          <w:tcPr>
            <w:tcW w:w="4179" w:type="dxa"/>
          </w:tcPr>
          <w:p w14:paraId="37E8F28A" w14:textId="5B5464DF" w:rsidR="00103965" w:rsidRPr="00DE12A3" w:rsidRDefault="00773274" w:rsidP="00C917D6">
            <w:pPr>
              <w:spacing w:before="120" w:after="120"/>
              <w:rPr>
                <w:rFonts w:cs="Times New Roman"/>
                <w:color w:val="auto"/>
              </w:rPr>
            </w:pPr>
            <w:r w:rsidRPr="00DE12A3">
              <w:rPr>
                <w:rFonts w:cs="Times New Roman"/>
                <w:color w:val="auto"/>
              </w:rPr>
              <w:t>Yakıtın</w:t>
            </w:r>
            <w:r w:rsidR="00103965" w:rsidRPr="00DE12A3">
              <w:rPr>
                <w:rFonts w:cs="Times New Roman"/>
                <w:color w:val="auto"/>
              </w:rPr>
              <w:t xml:space="preserve"> nitrojen içeriğidir [% kütle]</w:t>
            </w:r>
          </w:p>
        </w:tc>
      </w:tr>
      <w:tr w:rsidR="00103965" w:rsidRPr="00DE12A3" w14:paraId="121AA52B" w14:textId="77777777" w:rsidTr="002000F9">
        <w:tc>
          <w:tcPr>
            <w:tcW w:w="947" w:type="dxa"/>
          </w:tcPr>
          <w:p w14:paraId="5B5C98C5" w14:textId="77777777" w:rsidR="00103965" w:rsidRPr="00DE12A3" w:rsidRDefault="00103965" w:rsidP="00C917D6">
            <w:pPr>
              <w:pStyle w:val="NormalLeft"/>
            </w:pPr>
            <w:r w:rsidRPr="00DE12A3">
              <w:rPr>
                <w:i/>
                <w:iCs/>
              </w:rPr>
              <w:t>w</w:t>
            </w:r>
            <w:r w:rsidRPr="00DE12A3">
              <w:rPr>
                <w:vertAlign w:val="subscript"/>
              </w:rPr>
              <w:t>O</w:t>
            </w:r>
          </w:p>
        </w:tc>
        <w:tc>
          <w:tcPr>
            <w:tcW w:w="446" w:type="dxa"/>
          </w:tcPr>
          <w:p w14:paraId="0A5DAD96" w14:textId="012ED2AB" w:rsidR="00103965" w:rsidRPr="00DE12A3" w:rsidRDefault="00E40A63" w:rsidP="00C917D6">
            <w:pPr>
              <w:pStyle w:val="NormalLeft"/>
            </w:pPr>
            <w:r w:rsidRPr="00DE12A3">
              <w:t>=</w:t>
            </w:r>
          </w:p>
        </w:tc>
        <w:tc>
          <w:tcPr>
            <w:tcW w:w="4179" w:type="dxa"/>
          </w:tcPr>
          <w:p w14:paraId="46D91C2C" w14:textId="7C6F03B8" w:rsidR="00103965" w:rsidRPr="00DE12A3" w:rsidRDefault="00773274" w:rsidP="00C917D6">
            <w:pPr>
              <w:spacing w:before="120" w:after="120"/>
              <w:rPr>
                <w:rFonts w:cs="Times New Roman"/>
                <w:color w:val="auto"/>
              </w:rPr>
            </w:pPr>
            <w:r w:rsidRPr="00DE12A3">
              <w:rPr>
                <w:rFonts w:cs="Times New Roman"/>
                <w:color w:val="auto"/>
              </w:rPr>
              <w:t>Yakıtın</w:t>
            </w:r>
            <w:r w:rsidR="00103965" w:rsidRPr="00DE12A3">
              <w:rPr>
                <w:rFonts w:cs="Times New Roman"/>
                <w:color w:val="auto"/>
              </w:rPr>
              <w:t xml:space="preserve"> oksijen içeriğidir [% kütle]</w:t>
            </w:r>
          </w:p>
        </w:tc>
      </w:tr>
    </w:tbl>
    <w:p w14:paraId="233F2CA7" w14:textId="77777777" w:rsidR="00103965" w:rsidRPr="00DE12A3" w:rsidRDefault="00103965" w:rsidP="005F4B63">
      <w:pPr>
        <w:jc w:val="both"/>
        <w:rPr>
          <w:color w:val="auto"/>
        </w:rPr>
      </w:pPr>
    </w:p>
    <w:p w14:paraId="7D536F2D" w14:textId="1A214A82" w:rsidR="00103965" w:rsidRPr="00DE12A3" w:rsidRDefault="009F4766" w:rsidP="005F4B63">
      <w:pPr>
        <w:spacing w:before="120" w:after="120"/>
        <w:jc w:val="both"/>
        <w:rPr>
          <w:bCs/>
          <w:color w:val="auto"/>
        </w:rPr>
      </w:pPr>
      <w:r w:rsidRPr="00DE12A3">
        <w:rPr>
          <w:bCs/>
          <w:color w:val="auto"/>
        </w:rPr>
        <w:t>7.1.5.3.</w:t>
      </w:r>
      <w:r w:rsidR="00570441" w:rsidRPr="00DE12A3">
        <w:rPr>
          <w:bCs/>
          <w:color w:val="auto"/>
        </w:rPr>
        <w:t xml:space="preserve"> </w:t>
      </w:r>
      <w:r w:rsidR="00103965" w:rsidRPr="00DE12A3">
        <w:rPr>
          <w:bCs/>
          <w:color w:val="auto"/>
        </w:rPr>
        <w:t>Yakıt karışımı için C ile ilgili molar H, C, S, N ve O oranlarının hesaplanması</w:t>
      </w:r>
    </w:p>
    <w:p w14:paraId="04DD0651" w14:textId="1C0DFE6D" w:rsidR="00103965" w:rsidRPr="00DE12A3" w:rsidRDefault="00103965" w:rsidP="005F4B63">
      <w:pPr>
        <w:jc w:val="both"/>
        <w:rPr>
          <w:color w:val="auto"/>
        </w:rPr>
      </w:pPr>
      <w:r w:rsidRPr="00DE12A3">
        <w:rPr>
          <w:color w:val="auto"/>
        </w:rPr>
        <w:t xml:space="preserve">(8-8) ila (8-11) </w:t>
      </w:r>
      <w:r w:rsidR="00E40A63" w:rsidRPr="00DE12A3">
        <w:rPr>
          <w:color w:val="auto"/>
        </w:rPr>
        <w:t xml:space="preserve">numaralı </w:t>
      </w:r>
      <w:r w:rsidRPr="00DE12A3">
        <w:rPr>
          <w:color w:val="auto"/>
        </w:rPr>
        <w:t xml:space="preserve">denklemler ile atomik oranların (özellikle H/C-oranı α) hesaplanması </w:t>
      </w:r>
      <w:r w:rsidR="00FA0678" w:rsidRPr="00DE12A3">
        <w:rPr>
          <w:color w:val="auto"/>
        </w:rPr>
        <w:t xml:space="preserve">VII’nci </w:t>
      </w:r>
      <w:r w:rsidR="00E40A63" w:rsidRPr="00DE12A3">
        <w:rPr>
          <w:color w:val="auto"/>
        </w:rPr>
        <w:t>E</w:t>
      </w:r>
      <w:r w:rsidR="00FA0678" w:rsidRPr="00DE12A3">
        <w:rPr>
          <w:color w:val="auto"/>
        </w:rPr>
        <w:t>k</w:t>
      </w:r>
      <w:r w:rsidRPr="00DE12A3">
        <w:rPr>
          <w:color w:val="auto"/>
        </w:rPr>
        <w:t>te verilmiştir:</w:t>
      </w:r>
    </w:p>
    <w:p w14:paraId="2E47F35F" w14:textId="77777777" w:rsidR="00103965" w:rsidRPr="00DE12A3" w:rsidRDefault="00103965" w:rsidP="005F4B63">
      <w:pPr>
        <w:spacing w:before="120" w:after="120"/>
        <w:jc w:val="both"/>
        <w:rPr>
          <w:rFonts w:cs="Times New Roman"/>
          <w:color w:val="auto"/>
        </w:rPr>
      </w:pPr>
    </w:p>
    <w:tbl>
      <w:tblPr>
        <w:tblW w:w="6190" w:type="dxa"/>
        <w:jc w:val="center"/>
        <w:tblLayout w:type="fixed"/>
        <w:tblLook w:val="0000" w:firstRow="0" w:lastRow="0" w:firstColumn="0" w:lastColumn="0" w:noHBand="0" w:noVBand="0"/>
      </w:tblPr>
      <w:tblGrid>
        <w:gridCol w:w="4146"/>
        <w:gridCol w:w="2044"/>
      </w:tblGrid>
      <w:tr w:rsidR="00DE12A3" w:rsidRPr="00DE12A3" w14:paraId="5C0D7CAA" w14:textId="77777777" w:rsidTr="002000F9">
        <w:trPr>
          <w:trHeight w:val="1145"/>
          <w:jc w:val="center"/>
        </w:trPr>
        <w:tc>
          <w:tcPr>
            <w:tcW w:w="4146" w:type="dxa"/>
          </w:tcPr>
          <w:p w14:paraId="195041DB" w14:textId="5BAF460D" w:rsidR="009F4766" w:rsidRPr="00DE12A3" w:rsidRDefault="009F4766" w:rsidP="00C917D6">
            <w:pPr>
              <w:pStyle w:val="NormalLeft"/>
            </w:pPr>
            <w:r w:rsidRPr="00DE12A3">
              <w:rPr>
                <w:noProof/>
                <w:lang w:val="tr-TR"/>
              </w:rPr>
              <w:drawing>
                <wp:inline distT="0" distB="0" distL="0" distR="0" wp14:anchorId="69C0E796" wp14:editId="2881677F">
                  <wp:extent cx="1922780" cy="574675"/>
                  <wp:effectExtent l="0" t="0" r="1270" b="0"/>
                  <wp:docPr id="2013" name="Resim 2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257">
                            <a:extLst>
                              <a:ext uri="{28A0092B-C50C-407E-A947-70E740481C1C}">
                                <a14:useLocalDpi xmlns:a14="http://schemas.microsoft.com/office/drawing/2010/main" val="0"/>
                              </a:ext>
                            </a:extLst>
                          </a:blip>
                          <a:srcRect/>
                          <a:stretch>
                            <a:fillRect/>
                          </a:stretch>
                        </pic:blipFill>
                        <pic:spPr bwMode="auto">
                          <a:xfrm>
                            <a:off x="0" y="0"/>
                            <a:ext cx="1922780" cy="574675"/>
                          </a:xfrm>
                          <a:prstGeom prst="rect">
                            <a:avLst/>
                          </a:prstGeom>
                          <a:noFill/>
                          <a:ln>
                            <a:noFill/>
                          </a:ln>
                        </pic:spPr>
                      </pic:pic>
                    </a:graphicData>
                  </a:graphic>
                </wp:inline>
              </w:drawing>
            </w:r>
          </w:p>
        </w:tc>
        <w:tc>
          <w:tcPr>
            <w:tcW w:w="2044" w:type="dxa"/>
          </w:tcPr>
          <w:p w14:paraId="36FB26D5" w14:textId="77777777" w:rsidR="009F4766" w:rsidRPr="00DE12A3" w:rsidRDefault="009F4766" w:rsidP="00C917D6">
            <w:pPr>
              <w:pStyle w:val="NormalLeft"/>
            </w:pPr>
            <w:r w:rsidRPr="00DE12A3">
              <w:t>(8-8)</w:t>
            </w:r>
          </w:p>
        </w:tc>
      </w:tr>
      <w:tr w:rsidR="00DE12A3" w:rsidRPr="00DE12A3" w14:paraId="53E28EA9" w14:textId="77777777" w:rsidTr="002000F9">
        <w:trPr>
          <w:trHeight w:val="1135"/>
          <w:jc w:val="center"/>
        </w:trPr>
        <w:tc>
          <w:tcPr>
            <w:tcW w:w="4146" w:type="dxa"/>
          </w:tcPr>
          <w:p w14:paraId="0C7463F2" w14:textId="626FAA41" w:rsidR="009F4766" w:rsidRPr="00DE12A3" w:rsidRDefault="009F4766" w:rsidP="00C917D6">
            <w:pPr>
              <w:pStyle w:val="NormalLeft"/>
            </w:pPr>
            <w:r w:rsidRPr="00DE12A3">
              <w:rPr>
                <w:noProof/>
                <w:lang w:val="tr-TR"/>
              </w:rPr>
              <w:drawing>
                <wp:inline distT="0" distB="0" distL="0" distR="0" wp14:anchorId="076C2C3C" wp14:editId="5BE9BD02">
                  <wp:extent cx="1928495" cy="574675"/>
                  <wp:effectExtent l="0" t="0" r="0" b="0"/>
                  <wp:docPr id="2012" name="Resim 2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258">
                            <a:extLst>
                              <a:ext uri="{28A0092B-C50C-407E-A947-70E740481C1C}">
                                <a14:useLocalDpi xmlns:a14="http://schemas.microsoft.com/office/drawing/2010/main" val="0"/>
                              </a:ext>
                            </a:extLst>
                          </a:blip>
                          <a:srcRect/>
                          <a:stretch>
                            <a:fillRect/>
                          </a:stretch>
                        </pic:blipFill>
                        <pic:spPr bwMode="auto">
                          <a:xfrm>
                            <a:off x="0" y="0"/>
                            <a:ext cx="1928495" cy="574675"/>
                          </a:xfrm>
                          <a:prstGeom prst="rect">
                            <a:avLst/>
                          </a:prstGeom>
                          <a:noFill/>
                          <a:ln>
                            <a:noFill/>
                          </a:ln>
                        </pic:spPr>
                      </pic:pic>
                    </a:graphicData>
                  </a:graphic>
                </wp:inline>
              </w:drawing>
            </w:r>
          </w:p>
        </w:tc>
        <w:tc>
          <w:tcPr>
            <w:tcW w:w="2044" w:type="dxa"/>
          </w:tcPr>
          <w:p w14:paraId="682AFAC0" w14:textId="77777777" w:rsidR="009F4766" w:rsidRPr="00DE12A3" w:rsidRDefault="009F4766" w:rsidP="00C917D6">
            <w:pPr>
              <w:pStyle w:val="NormalLeft"/>
            </w:pPr>
            <w:r w:rsidRPr="00DE12A3">
              <w:t>(8-9)</w:t>
            </w:r>
          </w:p>
        </w:tc>
      </w:tr>
      <w:tr w:rsidR="00DE12A3" w:rsidRPr="00DE12A3" w14:paraId="1575FA3A" w14:textId="77777777" w:rsidTr="002000F9">
        <w:trPr>
          <w:trHeight w:val="1145"/>
          <w:jc w:val="center"/>
        </w:trPr>
        <w:tc>
          <w:tcPr>
            <w:tcW w:w="4146" w:type="dxa"/>
          </w:tcPr>
          <w:p w14:paraId="3587CD5A" w14:textId="36737B11" w:rsidR="009F4766" w:rsidRPr="00DE12A3" w:rsidRDefault="009F4766" w:rsidP="00C917D6">
            <w:pPr>
              <w:pStyle w:val="NormalLeft"/>
            </w:pPr>
            <w:r w:rsidRPr="00DE12A3">
              <w:rPr>
                <w:noProof/>
                <w:lang w:val="tr-TR"/>
              </w:rPr>
              <w:drawing>
                <wp:inline distT="0" distB="0" distL="0" distR="0" wp14:anchorId="3104CCF2" wp14:editId="203723E0">
                  <wp:extent cx="1910715" cy="574675"/>
                  <wp:effectExtent l="0" t="0" r="0" b="0"/>
                  <wp:docPr id="2011" name="Resim 2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259">
                            <a:extLst>
                              <a:ext uri="{28A0092B-C50C-407E-A947-70E740481C1C}">
                                <a14:useLocalDpi xmlns:a14="http://schemas.microsoft.com/office/drawing/2010/main" val="0"/>
                              </a:ext>
                            </a:extLst>
                          </a:blip>
                          <a:srcRect/>
                          <a:stretch>
                            <a:fillRect/>
                          </a:stretch>
                        </pic:blipFill>
                        <pic:spPr bwMode="auto">
                          <a:xfrm>
                            <a:off x="0" y="0"/>
                            <a:ext cx="1910715" cy="574675"/>
                          </a:xfrm>
                          <a:prstGeom prst="rect">
                            <a:avLst/>
                          </a:prstGeom>
                          <a:noFill/>
                          <a:ln>
                            <a:noFill/>
                          </a:ln>
                        </pic:spPr>
                      </pic:pic>
                    </a:graphicData>
                  </a:graphic>
                </wp:inline>
              </w:drawing>
            </w:r>
          </w:p>
        </w:tc>
        <w:tc>
          <w:tcPr>
            <w:tcW w:w="2044" w:type="dxa"/>
          </w:tcPr>
          <w:p w14:paraId="35DDB503" w14:textId="77777777" w:rsidR="009F4766" w:rsidRPr="00DE12A3" w:rsidRDefault="009F4766" w:rsidP="00C917D6">
            <w:pPr>
              <w:pStyle w:val="NormalLeft"/>
            </w:pPr>
            <w:r w:rsidRPr="00DE12A3">
              <w:t>(8-10)</w:t>
            </w:r>
          </w:p>
        </w:tc>
      </w:tr>
      <w:tr w:rsidR="009F4766" w:rsidRPr="00DE12A3" w14:paraId="3C210BEC" w14:textId="77777777" w:rsidTr="002000F9">
        <w:trPr>
          <w:trHeight w:val="1135"/>
          <w:jc w:val="center"/>
        </w:trPr>
        <w:tc>
          <w:tcPr>
            <w:tcW w:w="4146" w:type="dxa"/>
          </w:tcPr>
          <w:p w14:paraId="6A0D3725" w14:textId="4DE2D278" w:rsidR="009F4766" w:rsidRPr="00DE12A3" w:rsidRDefault="009F4766" w:rsidP="00C917D6">
            <w:pPr>
              <w:pStyle w:val="NormalLeft"/>
            </w:pPr>
            <w:r w:rsidRPr="00DE12A3">
              <w:rPr>
                <w:noProof/>
                <w:lang w:val="tr-TR"/>
              </w:rPr>
              <w:drawing>
                <wp:inline distT="0" distB="0" distL="0" distR="0" wp14:anchorId="7E68188B" wp14:editId="7A829A55">
                  <wp:extent cx="1905000" cy="574675"/>
                  <wp:effectExtent l="0" t="0" r="0" b="0"/>
                  <wp:docPr id="2010" name="Resim 2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260">
                            <a:extLst>
                              <a:ext uri="{28A0092B-C50C-407E-A947-70E740481C1C}">
                                <a14:useLocalDpi xmlns:a14="http://schemas.microsoft.com/office/drawing/2010/main" val="0"/>
                              </a:ext>
                            </a:extLst>
                          </a:blip>
                          <a:srcRect/>
                          <a:stretch>
                            <a:fillRect/>
                          </a:stretch>
                        </pic:blipFill>
                        <pic:spPr bwMode="auto">
                          <a:xfrm>
                            <a:off x="0" y="0"/>
                            <a:ext cx="1905000" cy="574675"/>
                          </a:xfrm>
                          <a:prstGeom prst="rect">
                            <a:avLst/>
                          </a:prstGeom>
                          <a:noFill/>
                          <a:ln>
                            <a:noFill/>
                          </a:ln>
                        </pic:spPr>
                      </pic:pic>
                    </a:graphicData>
                  </a:graphic>
                </wp:inline>
              </w:drawing>
            </w:r>
          </w:p>
        </w:tc>
        <w:tc>
          <w:tcPr>
            <w:tcW w:w="2044" w:type="dxa"/>
          </w:tcPr>
          <w:p w14:paraId="18096980" w14:textId="77777777" w:rsidR="009F4766" w:rsidRPr="00DE12A3" w:rsidRDefault="009F4766" w:rsidP="00C917D6">
            <w:pPr>
              <w:pStyle w:val="NormalLeft"/>
            </w:pPr>
            <w:r w:rsidRPr="00DE12A3">
              <w:t>(8-11)</w:t>
            </w:r>
          </w:p>
        </w:tc>
      </w:tr>
    </w:tbl>
    <w:p w14:paraId="5AD32DF5" w14:textId="77777777" w:rsidR="009F4766" w:rsidRPr="00DE12A3" w:rsidRDefault="009F4766" w:rsidP="005F4B63">
      <w:pPr>
        <w:spacing w:before="120" w:after="120"/>
        <w:jc w:val="both"/>
        <w:rPr>
          <w:rFonts w:cs="Times New Roman"/>
          <w:color w:val="auto"/>
        </w:rPr>
      </w:pPr>
    </w:p>
    <w:p w14:paraId="09D88831" w14:textId="78B7501F" w:rsidR="005F4B63" w:rsidRPr="00DE12A3" w:rsidRDefault="008B3D9F" w:rsidP="005F4B63">
      <w:pPr>
        <w:spacing w:before="120" w:after="120"/>
        <w:jc w:val="both"/>
        <w:rPr>
          <w:rFonts w:cs="Times New Roman"/>
          <w:color w:val="auto"/>
        </w:rPr>
      </w:pPr>
      <w:r w:rsidRPr="00DE12A3">
        <w:rPr>
          <w:rFonts w:cs="Times New Roman"/>
          <w:color w:val="auto"/>
        </w:rPr>
        <w:t>Burada</w:t>
      </w:r>
      <w:r w:rsidR="005F4B63" w:rsidRPr="00DE12A3">
        <w:rPr>
          <w:rFonts w:cs="Times New Roman"/>
          <w:color w:val="auto"/>
        </w:rPr>
        <w:t xml:space="preserve"> yakıt CΗ</w:t>
      </w:r>
      <w:r w:rsidR="005F4B63" w:rsidRPr="00DE12A3">
        <w:rPr>
          <w:rFonts w:cs="Times New Roman"/>
          <w:color w:val="auto"/>
          <w:vertAlign w:val="subscript"/>
        </w:rPr>
        <w:t>αΟεΝδSγ</w:t>
      </w:r>
      <w:r w:rsidR="005F4B63" w:rsidRPr="00DE12A3">
        <w:rPr>
          <w:rFonts w:cs="Times New Roman"/>
          <w:color w:val="auto"/>
        </w:rPr>
        <w:t xml:space="preserve"> için:</w:t>
      </w:r>
    </w:p>
    <w:p w14:paraId="22005BDE" w14:textId="77777777" w:rsidR="00103965" w:rsidRPr="00DE12A3" w:rsidRDefault="00103965" w:rsidP="005F4B63">
      <w:pPr>
        <w:spacing w:before="120" w:after="120"/>
        <w:jc w:val="both"/>
        <w:rPr>
          <w:rFonts w:cs="Times New Roman"/>
          <w:color w:val="auto"/>
        </w:rPr>
      </w:pPr>
    </w:p>
    <w:tbl>
      <w:tblPr>
        <w:tblW w:w="0" w:type="auto"/>
        <w:jc w:val="center"/>
        <w:tblLayout w:type="fixed"/>
        <w:tblLook w:val="0000" w:firstRow="0" w:lastRow="0" w:firstColumn="0" w:lastColumn="0" w:noHBand="0" w:noVBand="0"/>
      </w:tblPr>
      <w:tblGrid>
        <w:gridCol w:w="709"/>
        <w:gridCol w:w="283"/>
        <w:gridCol w:w="6028"/>
      </w:tblGrid>
      <w:tr w:rsidR="00DE12A3" w:rsidRPr="00DE12A3" w14:paraId="6170323F" w14:textId="77777777" w:rsidTr="002000F9">
        <w:trPr>
          <w:jc w:val="center"/>
        </w:trPr>
        <w:tc>
          <w:tcPr>
            <w:tcW w:w="709" w:type="dxa"/>
          </w:tcPr>
          <w:p w14:paraId="02D11D4F" w14:textId="77777777" w:rsidR="00103965" w:rsidRPr="00DE12A3" w:rsidRDefault="00103965" w:rsidP="00C917D6">
            <w:pPr>
              <w:pStyle w:val="NormalLeft"/>
            </w:pPr>
            <w:r w:rsidRPr="00DE12A3">
              <w:rPr>
                <w:i/>
                <w:iCs/>
              </w:rPr>
              <w:t>w</w:t>
            </w:r>
            <w:r w:rsidRPr="00DE12A3">
              <w:rPr>
                <w:vertAlign w:val="subscript"/>
              </w:rPr>
              <w:t>H</w:t>
            </w:r>
          </w:p>
        </w:tc>
        <w:tc>
          <w:tcPr>
            <w:tcW w:w="283" w:type="dxa"/>
          </w:tcPr>
          <w:p w14:paraId="2B5E0205" w14:textId="51F5EB7F" w:rsidR="00103965" w:rsidRPr="00DE12A3" w:rsidRDefault="00E40A63" w:rsidP="00C917D6">
            <w:pPr>
              <w:pStyle w:val="NormalLeft"/>
            </w:pPr>
            <w:r w:rsidRPr="00DE12A3">
              <w:t>=</w:t>
            </w:r>
          </w:p>
        </w:tc>
        <w:tc>
          <w:tcPr>
            <w:tcW w:w="6028" w:type="dxa"/>
          </w:tcPr>
          <w:p w14:paraId="508034A3" w14:textId="64F594FB" w:rsidR="00103965" w:rsidRPr="00DE12A3" w:rsidRDefault="00773274" w:rsidP="00C917D6">
            <w:pPr>
              <w:spacing w:before="120" w:after="120"/>
              <w:rPr>
                <w:rFonts w:cs="Times New Roman"/>
                <w:color w:val="auto"/>
              </w:rPr>
            </w:pPr>
            <w:r w:rsidRPr="00DE12A3">
              <w:rPr>
                <w:rFonts w:cs="Times New Roman"/>
                <w:color w:val="auto"/>
              </w:rPr>
              <w:t>Yakıtın</w:t>
            </w:r>
            <w:r w:rsidR="00103965" w:rsidRPr="00DE12A3">
              <w:rPr>
                <w:rFonts w:cs="Times New Roman"/>
                <w:color w:val="auto"/>
              </w:rPr>
              <w:t xml:space="preserve"> hidrojen içeriği, kütle oranı [g/g] veya [% kütle]</w:t>
            </w:r>
          </w:p>
        </w:tc>
      </w:tr>
      <w:tr w:rsidR="00DE12A3" w:rsidRPr="00DE12A3" w14:paraId="034ADA8E" w14:textId="77777777" w:rsidTr="002000F9">
        <w:trPr>
          <w:jc w:val="center"/>
        </w:trPr>
        <w:tc>
          <w:tcPr>
            <w:tcW w:w="709" w:type="dxa"/>
          </w:tcPr>
          <w:p w14:paraId="28447D58" w14:textId="77777777" w:rsidR="00103965" w:rsidRPr="00DE12A3" w:rsidRDefault="00103965" w:rsidP="00C917D6">
            <w:pPr>
              <w:pStyle w:val="NormalLeft"/>
            </w:pPr>
            <w:r w:rsidRPr="00DE12A3">
              <w:rPr>
                <w:i/>
                <w:iCs/>
              </w:rPr>
              <w:t>w</w:t>
            </w:r>
            <w:r w:rsidRPr="00DE12A3">
              <w:rPr>
                <w:vertAlign w:val="subscript"/>
              </w:rPr>
              <w:t>C</w:t>
            </w:r>
          </w:p>
        </w:tc>
        <w:tc>
          <w:tcPr>
            <w:tcW w:w="283" w:type="dxa"/>
          </w:tcPr>
          <w:p w14:paraId="6689665E" w14:textId="625854C1" w:rsidR="00103965" w:rsidRPr="00DE12A3" w:rsidRDefault="00E40A63" w:rsidP="00C917D6">
            <w:pPr>
              <w:pStyle w:val="NormalLeft"/>
            </w:pPr>
            <w:r w:rsidRPr="00DE12A3">
              <w:t>=</w:t>
            </w:r>
          </w:p>
        </w:tc>
        <w:tc>
          <w:tcPr>
            <w:tcW w:w="6028" w:type="dxa"/>
          </w:tcPr>
          <w:p w14:paraId="40291657" w14:textId="5FE65A29" w:rsidR="00103965" w:rsidRPr="00DE12A3" w:rsidRDefault="00773274" w:rsidP="00C917D6">
            <w:pPr>
              <w:spacing w:before="120" w:after="120"/>
              <w:rPr>
                <w:rFonts w:cs="Times New Roman"/>
                <w:color w:val="auto"/>
              </w:rPr>
            </w:pPr>
            <w:r w:rsidRPr="00DE12A3">
              <w:rPr>
                <w:rFonts w:cs="Times New Roman"/>
                <w:color w:val="auto"/>
              </w:rPr>
              <w:t>Yakıtın</w:t>
            </w:r>
            <w:r w:rsidR="00103965" w:rsidRPr="00DE12A3">
              <w:rPr>
                <w:rFonts w:cs="Times New Roman"/>
                <w:color w:val="auto"/>
              </w:rPr>
              <w:t xml:space="preserve"> karbon içeriği, kütle oranı [g/g] </w:t>
            </w:r>
            <w:r w:rsidR="00E40A63" w:rsidRPr="00DE12A3">
              <w:rPr>
                <w:rFonts w:cs="Times New Roman"/>
                <w:color w:val="auto"/>
              </w:rPr>
              <w:t>veya</w:t>
            </w:r>
            <w:r w:rsidR="00103965" w:rsidRPr="00DE12A3">
              <w:rPr>
                <w:rFonts w:cs="Times New Roman"/>
                <w:color w:val="auto"/>
              </w:rPr>
              <w:t xml:space="preserve"> [% kütle]</w:t>
            </w:r>
          </w:p>
        </w:tc>
      </w:tr>
      <w:tr w:rsidR="00DE12A3" w:rsidRPr="00DE12A3" w14:paraId="2A104D1F" w14:textId="77777777" w:rsidTr="002000F9">
        <w:trPr>
          <w:jc w:val="center"/>
        </w:trPr>
        <w:tc>
          <w:tcPr>
            <w:tcW w:w="709" w:type="dxa"/>
          </w:tcPr>
          <w:p w14:paraId="69AF2FFB" w14:textId="77777777" w:rsidR="00103965" w:rsidRPr="00DE12A3" w:rsidRDefault="00103965" w:rsidP="00C917D6">
            <w:pPr>
              <w:pStyle w:val="NormalLeft"/>
            </w:pPr>
            <w:r w:rsidRPr="00DE12A3">
              <w:rPr>
                <w:i/>
                <w:iCs/>
              </w:rPr>
              <w:t>w</w:t>
            </w:r>
            <w:r w:rsidRPr="00DE12A3">
              <w:rPr>
                <w:vertAlign w:val="subscript"/>
              </w:rPr>
              <w:t>S</w:t>
            </w:r>
          </w:p>
        </w:tc>
        <w:tc>
          <w:tcPr>
            <w:tcW w:w="283" w:type="dxa"/>
          </w:tcPr>
          <w:p w14:paraId="00D0AB72" w14:textId="71B86659" w:rsidR="00103965" w:rsidRPr="00DE12A3" w:rsidRDefault="00E40A63" w:rsidP="00C917D6">
            <w:pPr>
              <w:pStyle w:val="NormalLeft"/>
            </w:pPr>
            <w:r w:rsidRPr="00DE12A3">
              <w:t>=</w:t>
            </w:r>
          </w:p>
        </w:tc>
        <w:tc>
          <w:tcPr>
            <w:tcW w:w="6028" w:type="dxa"/>
          </w:tcPr>
          <w:p w14:paraId="604DF72C" w14:textId="231DCA70" w:rsidR="00103965" w:rsidRPr="00DE12A3" w:rsidRDefault="00773274" w:rsidP="00C917D6">
            <w:pPr>
              <w:spacing w:before="120" w:after="120"/>
              <w:rPr>
                <w:rFonts w:cs="Times New Roman"/>
                <w:color w:val="auto"/>
              </w:rPr>
            </w:pPr>
            <w:r w:rsidRPr="00DE12A3">
              <w:rPr>
                <w:rFonts w:cs="Times New Roman"/>
                <w:color w:val="auto"/>
              </w:rPr>
              <w:t>Yakıtın</w:t>
            </w:r>
            <w:r w:rsidR="00103965" w:rsidRPr="00DE12A3">
              <w:rPr>
                <w:rFonts w:cs="Times New Roman"/>
                <w:color w:val="auto"/>
              </w:rPr>
              <w:t xml:space="preserve"> kükürt içeriği, kütle oranı [g/g] </w:t>
            </w:r>
            <w:r w:rsidR="00E40A63" w:rsidRPr="00DE12A3">
              <w:rPr>
                <w:rFonts w:cs="Times New Roman"/>
                <w:color w:val="auto"/>
              </w:rPr>
              <w:t>veya</w:t>
            </w:r>
            <w:r w:rsidR="00103965" w:rsidRPr="00DE12A3">
              <w:rPr>
                <w:rFonts w:cs="Times New Roman"/>
                <w:color w:val="auto"/>
              </w:rPr>
              <w:t xml:space="preserve"> [% kütle]</w:t>
            </w:r>
          </w:p>
        </w:tc>
      </w:tr>
      <w:tr w:rsidR="00DE12A3" w:rsidRPr="00DE12A3" w14:paraId="66D85305" w14:textId="77777777" w:rsidTr="002000F9">
        <w:trPr>
          <w:jc w:val="center"/>
        </w:trPr>
        <w:tc>
          <w:tcPr>
            <w:tcW w:w="709" w:type="dxa"/>
          </w:tcPr>
          <w:p w14:paraId="4E6B600C" w14:textId="77777777" w:rsidR="00103965" w:rsidRPr="00DE12A3" w:rsidRDefault="00103965" w:rsidP="00C917D6">
            <w:pPr>
              <w:pStyle w:val="NormalLeft"/>
            </w:pPr>
            <w:r w:rsidRPr="00DE12A3">
              <w:rPr>
                <w:i/>
                <w:iCs/>
              </w:rPr>
              <w:t>w</w:t>
            </w:r>
            <w:r w:rsidRPr="00DE12A3">
              <w:rPr>
                <w:vertAlign w:val="subscript"/>
              </w:rPr>
              <w:t>N</w:t>
            </w:r>
          </w:p>
        </w:tc>
        <w:tc>
          <w:tcPr>
            <w:tcW w:w="283" w:type="dxa"/>
          </w:tcPr>
          <w:p w14:paraId="085098A2" w14:textId="4A3B564C" w:rsidR="00103965" w:rsidRPr="00DE12A3" w:rsidRDefault="00E40A63" w:rsidP="00C917D6">
            <w:pPr>
              <w:pStyle w:val="NormalLeft"/>
            </w:pPr>
            <w:r w:rsidRPr="00DE12A3">
              <w:t>=</w:t>
            </w:r>
          </w:p>
        </w:tc>
        <w:tc>
          <w:tcPr>
            <w:tcW w:w="6028" w:type="dxa"/>
          </w:tcPr>
          <w:p w14:paraId="16FC4463" w14:textId="48EBE19C" w:rsidR="00103965" w:rsidRPr="00DE12A3" w:rsidRDefault="00773274" w:rsidP="00C917D6">
            <w:pPr>
              <w:spacing w:before="120" w:after="120"/>
              <w:rPr>
                <w:rFonts w:cs="Times New Roman"/>
                <w:color w:val="auto"/>
              </w:rPr>
            </w:pPr>
            <w:r w:rsidRPr="00DE12A3">
              <w:rPr>
                <w:rFonts w:cs="Times New Roman"/>
                <w:color w:val="auto"/>
              </w:rPr>
              <w:t>Yakıtın</w:t>
            </w:r>
            <w:r w:rsidR="00103965" w:rsidRPr="00DE12A3">
              <w:rPr>
                <w:rFonts w:cs="Times New Roman"/>
                <w:color w:val="auto"/>
              </w:rPr>
              <w:t xml:space="preserve"> nitrojen içeriği, kütle oranı [g/g] </w:t>
            </w:r>
            <w:r w:rsidR="00E40A63" w:rsidRPr="00DE12A3">
              <w:rPr>
                <w:rFonts w:cs="Times New Roman"/>
                <w:color w:val="auto"/>
              </w:rPr>
              <w:t>veya</w:t>
            </w:r>
            <w:r w:rsidR="00103965" w:rsidRPr="00DE12A3">
              <w:rPr>
                <w:rFonts w:cs="Times New Roman"/>
                <w:color w:val="auto"/>
              </w:rPr>
              <w:t xml:space="preserve"> [% kütle]</w:t>
            </w:r>
          </w:p>
        </w:tc>
      </w:tr>
      <w:tr w:rsidR="00DE12A3" w:rsidRPr="00DE12A3" w14:paraId="0B29393A" w14:textId="77777777" w:rsidTr="002000F9">
        <w:trPr>
          <w:jc w:val="center"/>
        </w:trPr>
        <w:tc>
          <w:tcPr>
            <w:tcW w:w="709" w:type="dxa"/>
          </w:tcPr>
          <w:p w14:paraId="13F5C47B" w14:textId="77777777" w:rsidR="00103965" w:rsidRPr="00DE12A3" w:rsidRDefault="00103965" w:rsidP="00C917D6">
            <w:pPr>
              <w:pStyle w:val="NormalLeft"/>
            </w:pPr>
            <w:r w:rsidRPr="00DE12A3">
              <w:rPr>
                <w:i/>
                <w:iCs/>
              </w:rPr>
              <w:t>w</w:t>
            </w:r>
            <w:r w:rsidRPr="00DE12A3">
              <w:rPr>
                <w:vertAlign w:val="subscript"/>
              </w:rPr>
              <w:t>O</w:t>
            </w:r>
          </w:p>
        </w:tc>
        <w:tc>
          <w:tcPr>
            <w:tcW w:w="283" w:type="dxa"/>
          </w:tcPr>
          <w:p w14:paraId="567F581B" w14:textId="616A8616" w:rsidR="00103965" w:rsidRPr="00DE12A3" w:rsidRDefault="00E40A63" w:rsidP="00C917D6">
            <w:pPr>
              <w:pStyle w:val="NormalLeft"/>
            </w:pPr>
            <w:r w:rsidRPr="00DE12A3">
              <w:t>=</w:t>
            </w:r>
          </w:p>
        </w:tc>
        <w:tc>
          <w:tcPr>
            <w:tcW w:w="6028" w:type="dxa"/>
          </w:tcPr>
          <w:p w14:paraId="6E63F134" w14:textId="1C3AFCFC" w:rsidR="00103965" w:rsidRPr="00DE12A3" w:rsidRDefault="00773274" w:rsidP="00C917D6">
            <w:pPr>
              <w:spacing w:before="120" w:after="120"/>
              <w:rPr>
                <w:rFonts w:cs="Times New Roman"/>
                <w:color w:val="auto"/>
              </w:rPr>
            </w:pPr>
            <w:r w:rsidRPr="00DE12A3">
              <w:rPr>
                <w:rFonts w:cs="Times New Roman"/>
                <w:color w:val="auto"/>
              </w:rPr>
              <w:t>Yakıtın</w:t>
            </w:r>
            <w:r w:rsidR="00103965" w:rsidRPr="00DE12A3">
              <w:rPr>
                <w:rFonts w:cs="Times New Roman"/>
                <w:color w:val="auto"/>
              </w:rPr>
              <w:t xml:space="preserve"> oksijen içeriği, kütle oranı [g/g] </w:t>
            </w:r>
            <w:r w:rsidR="00E40A63" w:rsidRPr="00DE12A3">
              <w:rPr>
                <w:rFonts w:cs="Times New Roman"/>
                <w:color w:val="auto"/>
              </w:rPr>
              <w:t>veya</w:t>
            </w:r>
            <w:r w:rsidR="00103965" w:rsidRPr="00DE12A3">
              <w:rPr>
                <w:rFonts w:cs="Times New Roman"/>
                <w:color w:val="auto"/>
              </w:rPr>
              <w:t xml:space="preserve"> [% kütle]</w:t>
            </w:r>
          </w:p>
        </w:tc>
      </w:tr>
      <w:tr w:rsidR="00DE12A3" w:rsidRPr="00DE12A3" w14:paraId="06F89679" w14:textId="77777777" w:rsidTr="002000F9">
        <w:trPr>
          <w:jc w:val="center"/>
        </w:trPr>
        <w:tc>
          <w:tcPr>
            <w:tcW w:w="709" w:type="dxa"/>
          </w:tcPr>
          <w:p w14:paraId="478517BF" w14:textId="77777777" w:rsidR="00103965" w:rsidRPr="00DE12A3" w:rsidRDefault="00103965" w:rsidP="00C917D6">
            <w:pPr>
              <w:pStyle w:val="NormalLeft"/>
            </w:pPr>
            <w:r w:rsidRPr="00DE12A3">
              <w:t>α</w:t>
            </w:r>
          </w:p>
        </w:tc>
        <w:tc>
          <w:tcPr>
            <w:tcW w:w="283" w:type="dxa"/>
          </w:tcPr>
          <w:p w14:paraId="57ECE4A2" w14:textId="4EA6EA16" w:rsidR="00103965" w:rsidRPr="00DE12A3" w:rsidRDefault="00E40A63" w:rsidP="00C917D6">
            <w:pPr>
              <w:pStyle w:val="NormalLeft"/>
            </w:pPr>
            <w:r w:rsidRPr="00DE12A3">
              <w:t>=</w:t>
            </w:r>
          </w:p>
        </w:tc>
        <w:tc>
          <w:tcPr>
            <w:tcW w:w="6028" w:type="dxa"/>
          </w:tcPr>
          <w:p w14:paraId="360C0A6C" w14:textId="4F1B35AF" w:rsidR="00103965" w:rsidRPr="00DE12A3" w:rsidRDefault="00773274" w:rsidP="00C917D6">
            <w:pPr>
              <w:spacing w:before="120" w:after="120"/>
              <w:rPr>
                <w:rFonts w:cs="Times New Roman"/>
                <w:color w:val="auto"/>
              </w:rPr>
            </w:pPr>
            <w:r w:rsidRPr="00DE12A3">
              <w:rPr>
                <w:rFonts w:cs="Times New Roman"/>
                <w:color w:val="auto"/>
              </w:rPr>
              <w:t>Molar</w:t>
            </w:r>
            <w:r w:rsidR="00103965" w:rsidRPr="00DE12A3">
              <w:rPr>
                <w:rFonts w:cs="Times New Roman"/>
                <w:color w:val="auto"/>
              </w:rPr>
              <w:t xml:space="preserve"> hidrojen oranı (H/C)</w:t>
            </w:r>
          </w:p>
        </w:tc>
      </w:tr>
      <w:tr w:rsidR="00DE12A3" w:rsidRPr="00DE12A3" w14:paraId="734543CF" w14:textId="77777777" w:rsidTr="002000F9">
        <w:trPr>
          <w:jc w:val="center"/>
        </w:trPr>
        <w:tc>
          <w:tcPr>
            <w:tcW w:w="709" w:type="dxa"/>
          </w:tcPr>
          <w:p w14:paraId="09B14D24" w14:textId="77777777" w:rsidR="00103965" w:rsidRPr="00DE12A3" w:rsidRDefault="00103965" w:rsidP="00C917D6">
            <w:pPr>
              <w:pStyle w:val="NormalLeft"/>
            </w:pPr>
            <w:r w:rsidRPr="00DE12A3">
              <w:t>γ</w:t>
            </w:r>
          </w:p>
        </w:tc>
        <w:tc>
          <w:tcPr>
            <w:tcW w:w="283" w:type="dxa"/>
          </w:tcPr>
          <w:p w14:paraId="71E925DB" w14:textId="746F1DA3" w:rsidR="00103965" w:rsidRPr="00DE12A3" w:rsidRDefault="00E40A63" w:rsidP="00C917D6">
            <w:pPr>
              <w:pStyle w:val="NormalLeft"/>
            </w:pPr>
            <w:r w:rsidRPr="00DE12A3">
              <w:t>=</w:t>
            </w:r>
          </w:p>
        </w:tc>
        <w:tc>
          <w:tcPr>
            <w:tcW w:w="6028" w:type="dxa"/>
          </w:tcPr>
          <w:p w14:paraId="185E4337" w14:textId="04F6FD28" w:rsidR="00103965" w:rsidRPr="00DE12A3" w:rsidRDefault="00773274" w:rsidP="00C917D6">
            <w:pPr>
              <w:spacing w:before="120" w:after="120"/>
              <w:rPr>
                <w:rFonts w:cs="Times New Roman"/>
                <w:color w:val="auto"/>
              </w:rPr>
            </w:pPr>
            <w:r w:rsidRPr="00DE12A3">
              <w:rPr>
                <w:rFonts w:cs="Times New Roman"/>
                <w:color w:val="auto"/>
              </w:rPr>
              <w:t>Molar</w:t>
            </w:r>
            <w:r w:rsidR="00103965" w:rsidRPr="00DE12A3">
              <w:rPr>
                <w:rFonts w:cs="Times New Roman"/>
                <w:color w:val="auto"/>
              </w:rPr>
              <w:t xml:space="preserve"> kükürt oranı (S/C)</w:t>
            </w:r>
          </w:p>
        </w:tc>
      </w:tr>
      <w:tr w:rsidR="00DE12A3" w:rsidRPr="00DE12A3" w14:paraId="42376057" w14:textId="77777777" w:rsidTr="002000F9">
        <w:trPr>
          <w:jc w:val="center"/>
        </w:trPr>
        <w:tc>
          <w:tcPr>
            <w:tcW w:w="709" w:type="dxa"/>
          </w:tcPr>
          <w:p w14:paraId="43474A32" w14:textId="77777777" w:rsidR="00103965" w:rsidRPr="00DE12A3" w:rsidRDefault="00103965" w:rsidP="00C917D6">
            <w:pPr>
              <w:pStyle w:val="NormalLeft"/>
            </w:pPr>
            <w:r w:rsidRPr="00DE12A3">
              <w:t>δ</w:t>
            </w:r>
          </w:p>
        </w:tc>
        <w:tc>
          <w:tcPr>
            <w:tcW w:w="283" w:type="dxa"/>
          </w:tcPr>
          <w:p w14:paraId="20F62C85" w14:textId="65D0F9A3" w:rsidR="00103965" w:rsidRPr="00DE12A3" w:rsidRDefault="00E40A63" w:rsidP="00C917D6">
            <w:pPr>
              <w:pStyle w:val="NormalLeft"/>
            </w:pPr>
            <w:r w:rsidRPr="00DE12A3">
              <w:t>=</w:t>
            </w:r>
          </w:p>
        </w:tc>
        <w:tc>
          <w:tcPr>
            <w:tcW w:w="6028" w:type="dxa"/>
          </w:tcPr>
          <w:p w14:paraId="1F16A151" w14:textId="77777777" w:rsidR="00103965" w:rsidRPr="00DE12A3" w:rsidRDefault="00103965" w:rsidP="00C917D6">
            <w:pPr>
              <w:spacing w:before="120" w:after="120"/>
              <w:rPr>
                <w:rFonts w:cs="Times New Roman"/>
                <w:color w:val="auto"/>
              </w:rPr>
            </w:pPr>
            <w:r w:rsidRPr="00DE12A3">
              <w:rPr>
                <w:rFonts w:cs="Times New Roman"/>
                <w:color w:val="auto"/>
              </w:rPr>
              <w:t>molar nitrojen oranı (N/C)</w:t>
            </w:r>
          </w:p>
        </w:tc>
      </w:tr>
      <w:tr w:rsidR="00103965" w:rsidRPr="00DE12A3" w14:paraId="56ED668A" w14:textId="77777777" w:rsidTr="002000F9">
        <w:trPr>
          <w:jc w:val="center"/>
        </w:trPr>
        <w:tc>
          <w:tcPr>
            <w:tcW w:w="709" w:type="dxa"/>
          </w:tcPr>
          <w:p w14:paraId="6177C11F" w14:textId="77777777" w:rsidR="00103965" w:rsidRPr="00DE12A3" w:rsidRDefault="00103965" w:rsidP="00C917D6">
            <w:pPr>
              <w:pStyle w:val="NormalLeft"/>
            </w:pPr>
            <w:r w:rsidRPr="00DE12A3">
              <w:t>ε</w:t>
            </w:r>
          </w:p>
        </w:tc>
        <w:tc>
          <w:tcPr>
            <w:tcW w:w="283" w:type="dxa"/>
          </w:tcPr>
          <w:p w14:paraId="4A38A218" w14:textId="1D05D322" w:rsidR="00103965" w:rsidRPr="00DE12A3" w:rsidRDefault="00E40A63" w:rsidP="00C917D6">
            <w:pPr>
              <w:pStyle w:val="NormalLeft"/>
            </w:pPr>
            <w:r w:rsidRPr="00DE12A3">
              <w:t>=</w:t>
            </w:r>
          </w:p>
        </w:tc>
        <w:tc>
          <w:tcPr>
            <w:tcW w:w="6028" w:type="dxa"/>
          </w:tcPr>
          <w:p w14:paraId="79AF58C5" w14:textId="77777777" w:rsidR="00103965" w:rsidRPr="00DE12A3" w:rsidRDefault="00103965" w:rsidP="00C917D6">
            <w:pPr>
              <w:spacing w:before="120" w:after="120"/>
              <w:rPr>
                <w:rFonts w:cs="Times New Roman"/>
                <w:color w:val="auto"/>
              </w:rPr>
            </w:pPr>
            <w:r w:rsidRPr="00DE12A3">
              <w:rPr>
                <w:rFonts w:cs="Times New Roman"/>
                <w:color w:val="auto"/>
              </w:rPr>
              <w:t>molar oksijen oranı (O/C)</w:t>
            </w:r>
          </w:p>
        </w:tc>
      </w:tr>
    </w:tbl>
    <w:p w14:paraId="6C83A867" w14:textId="77777777" w:rsidR="00103965" w:rsidRPr="00DE12A3" w:rsidRDefault="00103965" w:rsidP="005F4B63">
      <w:pPr>
        <w:spacing w:before="120" w:after="120"/>
        <w:jc w:val="both"/>
        <w:rPr>
          <w:rFonts w:cs="Times New Roman"/>
          <w:color w:val="auto"/>
        </w:rPr>
      </w:pPr>
    </w:p>
    <w:p w14:paraId="3579C358" w14:textId="56A881D9" w:rsidR="00103965" w:rsidRPr="00DE12A3" w:rsidRDefault="00103965" w:rsidP="005F4B63">
      <w:pPr>
        <w:spacing w:before="120" w:after="120"/>
        <w:jc w:val="both"/>
        <w:rPr>
          <w:bCs/>
          <w:i/>
          <w:color w:val="auto"/>
        </w:rPr>
      </w:pPr>
      <w:r w:rsidRPr="00DE12A3">
        <w:rPr>
          <w:bCs/>
          <w:color w:val="auto"/>
        </w:rPr>
        <w:t>7.</w:t>
      </w:r>
      <w:r w:rsidR="006C5305" w:rsidRPr="00DE12A3">
        <w:rPr>
          <w:bCs/>
          <w:color w:val="auto"/>
        </w:rPr>
        <w:t>2</w:t>
      </w:r>
      <w:r w:rsidRPr="00DE12A3">
        <w:rPr>
          <w:bCs/>
          <w:color w:val="auto"/>
        </w:rPr>
        <w:t>.</w:t>
      </w:r>
      <w:r w:rsidR="005F4B63" w:rsidRPr="00DE12A3">
        <w:rPr>
          <w:bCs/>
          <w:color w:val="auto"/>
        </w:rPr>
        <w:t xml:space="preserve"> </w:t>
      </w:r>
      <w:r w:rsidRPr="00DE12A3">
        <w:rPr>
          <w:bCs/>
          <w:color w:val="auto"/>
        </w:rPr>
        <w:t>Molar bazlı emisyon hesaplaması</w:t>
      </w:r>
    </w:p>
    <w:p w14:paraId="1B47E2C2" w14:textId="1E0804D3" w:rsidR="00103965" w:rsidRPr="00DE12A3" w:rsidRDefault="00103965" w:rsidP="005F4B63">
      <w:pPr>
        <w:jc w:val="both"/>
        <w:rPr>
          <w:i/>
          <w:color w:val="auto"/>
        </w:rPr>
      </w:pPr>
      <w:r w:rsidRPr="00DE12A3">
        <w:rPr>
          <w:color w:val="auto"/>
        </w:rPr>
        <w:t xml:space="preserve">Bu </w:t>
      </w:r>
      <w:r w:rsidR="00D042D7" w:rsidRPr="00DE12A3">
        <w:rPr>
          <w:color w:val="auto"/>
        </w:rPr>
        <w:t>B</w:t>
      </w:r>
      <w:r w:rsidRPr="00DE12A3">
        <w:rPr>
          <w:color w:val="auto"/>
        </w:rPr>
        <w:t xml:space="preserve">ölümde belirtilenler dışında, </w:t>
      </w:r>
      <w:r w:rsidR="00FA0678" w:rsidRPr="00DE12A3">
        <w:rPr>
          <w:color w:val="auto"/>
        </w:rPr>
        <w:t xml:space="preserve">VII’nci </w:t>
      </w:r>
      <w:r w:rsidR="00B32A92" w:rsidRPr="00DE12A3">
        <w:rPr>
          <w:color w:val="auto"/>
        </w:rPr>
        <w:t>E</w:t>
      </w:r>
      <w:r w:rsidR="00FA0678" w:rsidRPr="00DE12A3">
        <w:rPr>
          <w:color w:val="auto"/>
        </w:rPr>
        <w:t>k</w:t>
      </w:r>
      <w:r w:rsidRPr="00DE12A3">
        <w:rPr>
          <w:color w:val="auto"/>
        </w:rPr>
        <w:t xml:space="preserve">in 3. </w:t>
      </w:r>
      <w:r w:rsidR="00B32A92" w:rsidRPr="00DE12A3">
        <w:rPr>
          <w:color w:val="auto"/>
        </w:rPr>
        <w:t>Bölüm</w:t>
      </w:r>
      <w:r w:rsidRPr="00DE12A3">
        <w:rPr>
          <w:color w:val="auto"/>
        </w:rPr>
        <w:t>ü uygulanır.</w:t>
      </w:r>
    </w:p>
    <w:p w14:paraId="2FD2F383" w14:textId="2A55CF0F" w:rsidR="00103965" w:rsidRPr="00DE12A3" w:rsidRDefault="00103965" w:rsidP="005F4B63">
      <w:pPr>
        <w:spacing w:before="120" w:after="120"/>
        <w:jc w:val="both"/>
        <w:rPr>
          <w:bCs/>
          <w:i/>
          <w:color w:val="auto"/>
        </w:rPr>
      </w:pPr>
      <w:r w:rsidRPr="00DE12A3">
        <w:rPr>
          <w:bCs/>
          <w:color w:val="auto"/>
        </w:rPr>
        <w:t>7.2.1.</w:t>
      </w:r>
      <w:r w:rsidR="005F4B63" w:rsidRPr="00DE12A3">
        <w:rPr>
          <w:bCs/>
          <w:color w:val="auto"/>
        </w:rPr>
        <w:t xml:space="preserve"> </w:t>
      </w:r>
      <w:r w:rsidRPr="00DE12A3">
        <w:rPr>
          <w:bCs/>
          <w:color w:val="auto"/>
        </w:rPr>
        <w:t>Nem için NOx düzeltmesi</w:t>
      </w:r>
    </w:p>
    <w:p w14:paraId="4AD4A38F" w14:textId="34ADCBC0" w:rsidR="00103965" w:rsidRPr="00DE12A3" w:rsidRDefault="00FA0678" w:rsidP="005F4B63">
      <w:pPr>
        <w:jc w:val="both"/>
        <w:rPr>
          <w:i/>
          <w:color w:val="auto"/>
        </w:rPr>
      </w:pPr>
      <w:r w:rsidRPr="00DE12A3">
        <w:rPr>
          <w:color w:val="auto"/>
        </w:rPr>
        <w:t xml:space="preserve">VII’nci </w:t>
      </w:r>
      <w:r w:rsidR="00B32A92" w:rsidRPr="00DE12A3">
        <w:rPr>
          <w:color w:val="auto"/>
        </w:rPr>
        <w:t>E</w:t>
      </w:r>
      <w:r w:rsidRPr="00DE12A3">
        <w:rPr>
          <w:color w:val="auto"/>
        </w:rPr>
        <w:t>k</w:t>
      </w:r>
      <w:r w:rsidR="00103965" w:rsidRPr="00DE12A3">
        <w:rPr>
          <w:color w:val="auto"/>
        </w:rPr>
        <w:t xml:space="preserve">teki (7-102) </w:t>
      </w:r>
      <w:r w:rsidR="00E40A63" w:rsidRPr="00DE12A3">
        <w:rPr>
          <w:color w:val="auto"/>
        </w:rPr>
        <w:t>numaralı</w:t>
      </w:r>
      <w:r w:rsidR="00103965" w:rsidRPr="00DE12A3">
        <w:rPr>
          <w:color w:val="auto"/>
        </w:rPr>
        <w:t xml:space="preserve"> denklem (sıkıştırma ateşlemeli motorlarda düzeltme) kullanılmalıdır.</w:t>
      </w:r>
    </w:p>
    <w:p w14:paraId="5A937CEA" w14:textId="31D92E75" w:rsidR="006C5305" w:rsidRPr="00DE12A3" w:rsidRDefault="006C5305" w:rsidP="005F4B63">
      <w:pPr>
        <w:spacing w:before="120" w:after="120"/>
        <w:jc w:val="both"/>
        <w:rPr>
          <w:bCs/>
          <w:color w:val="auto"/>
        </w:rPr>
      </w:pPr>
      <w:r w:rsidRPr="00DE12A3">
        <w:rPr>
          <w:bCs/>
          <w:color w:val="auto"/>
        </w:rPr>
        <w:t>7.2.2. Ham egzoz debimetresi kullanılmadığında egzoz gazı kütle akışının belirlenmesi</w:t>
      </w:r>
    </w:p>
    <w:p w14:paraId="672C0049" w14:textId="43CB7F95" w:rsidR="00103965" w:rsidRPr="00DE12A3" w:rsidRDefault="00FA0678" w:rsidP="005F4B63">
      <w:pPr>
        <w:jc w:val="both"/>
        <w:rPr>
          <w:i/>
          <w:color w:val="auto"/>
        </w:rPr>
      </w:pPr>
      <w:r w:rsidRPr="00DE12A3">
        <w:rPr>
          <w:color w:val="auto"/>
        </w:rPr>
        <w:t xml:space="preserve">VII’nci </w:t>
      </w:r>
      <w:r w:rsidR="00B32A92" w:rsidRPr="00DE12A3">
        <w:rPr>
          <w:color w:val="auto"/>
        </w:rPr>
        <w:t>E</w:t>
      </w:r>
      <w:r w:rsidRPr="00DE12A3">
        <w:rPr>
          <w:color w:val="auto"/>
        </w:rPr>
        <w:t>k</w:t>
      </w:r>
      <w:r w:rsidR="00103965" w:rsidRPr="00DE12A3">
        <w:rPr>
          <w:color w:val="auto"/>
        </w:rPr>
        <w:t xml:space="preserve">teki (7-112) </w:t>
      </w:r>
      <w:r w:rsidR="00E40A63" w:rsidRPr="00DE12A3">
        <w:rPr>
          <w:color w:val="auto"/>
        </w:rPr>
        <w:t xml:space="preserve">numaralı </w:t>
      </w:r>
      <w:r w:rsidR="00103965" w:rsidRPr="00DE12A3">
        <w:rPr>
          <w:color w:val="auto"/>
        </w:rPr>
        <w:t xml:space="preserve">denklem (emme havası esasında molar akış hızı hesaplaması) kullanılmalıdır. Sadece bir NRSC testi yapılırken alternatif olarak </w:t>
      </w:r>
      <w:r w:rsidRPr="00DE12A3">
        <w:rPr>
          <w:color w:val="auto"/>
        </w:rPr>
        <w:t xml:space="preserve">VII’nci </w:t>
      </w:r>
      <w:r w:rsidR="00773274" w:rsidRPr="00DE12A3">
        <w:rPr>
          <w:color w:val="auto"/>
        </w:rPr>
        <w:t>E</w:t>
      </w:r>
      <w:r w:rsidRPr="00DE12A3">
        <w:rPr>
          <w:color w:val="auto"/>
        </w:rPr>
        <w:t>k</w:t>
      </w:r>
      <w:r w:rsidR="00103965" w:rsidRPr="00DE12A3">
        <w:rPr>
          <w:color w:val="auto"/>
        </w:rPr>
        <w:t xml:space="preserve">teki (7-113) </w:t>
      </w:r>
      <w:r w:rsidR="00E40A63" w:rsidRPr="00DE12A3">
        <w:rPr>
          <w:color w:val="auto"/>
        </w:rPr>
        <w:t xml:space="preserve">numaralı </w:t>
      </w:r>
      <w:r w:rsidR="00103965" w:rsidRPr="00DE12A3">
        <w:rPr>
          <w:color w:val="auto"/>
        </w:rPr>
        <w:t>denklem (yakıt kütle akış hızı esasında molar akış hızı hesaplaması) kullanılabilir.</w:t>
      </w:r>
    </w:p>
    <w:p w14:paraId="1E13E436" w14:textId="0CF8C990" w:rsidR="00103965" w:rsidRPr="00DE12A3" w:rsidRDefault="00103965" w:rsidP="005F4B63">
      <w:pPr>
        <w:spacing w:before="120" w:after="120"/>
        <w:jc w:val="both"/>
        <w:rPr>
          <w:bCs/>
          <w:i/>
          <w:color w:val="auto"/>
        </w:rPr>
      </w:pPr>
      <w:r w:rsidRPr="00DE12A3">
        <w:rPr>
          <w:bCs/>
          <w:color w:val="auto"/>
        </w:rPr>
        <w:t>7.2.</w:t>
      </w:r>
      <w:r w:rsidR="006C5305" w:rsidRPr="00DE12A3">
        <w:rPr>
          <w:bCs/>
          <w:color w:val="auto"/>
        </w:rPr>
        <w:t>3</w:t>
      </w:r>
      <w:r w:rsidRPr="00DE12A3">
        <w:rPr>
          <w:bCs/>
          <w:color w:val="auto"/>
        </w:rPr>
        <w:t>.</w:t>
      </w:r>
      <w:r w:rsidR="005F4B63" w:rsidRPr="00DE12A3">
        <w:rPr>
          <w:bCs/>
          <w:color w:val="auto"/>
        </w:rPr>
        <w:t xml:space="preserve"> </w:t>
      </w:r>
      <w:r w:rsidRPr="00DE12A3">
        <w:rPr>
          <w:bCs/>
          <w:color w:val="auto"/>
        </w:rPr>
        <w:t>Gaz halindeki bileşenlerin belirlenmesine ilişkin molar bileşen oranları</w:t>
      </w:r>
    </w:p>
    <w:p w14:paraId="7C26B079" w14:textId="70EA6173" w:rsidR="00103965" w:rsidRPr="00DE12A3" w:rsidRDefault="00103965" w:rsidP="005F4B63">
      <w:pPr>
        <w:jc w:val="both"/>
        <w:rPr>
          <w:color w:val="auto"/>
        </w:rPr>
      </w:pPr>
      <w:r w:rsidRPr="00DE12A3">
        <w:rPr>
          <w:color w:val="auto"/>
        </w:rPr>
        <w:t xml:space="preserve">Anlık yakıt tüketimi ölçümlerinden veya hesaplamalarından belirlenen anlık sıvı ve gaz yakıt oranları kullanılarak molar bileşen oranlarının belirlenmesi için kesin yaklaşım kullanılmalıdır. Anlık molar bileşen oranları, sürekli kimyasal denge için </w:t>
      </w:r>
      <w:r w:rsidR="00FA0678" w:rsidRPr="00DE12A3">
        <w:rPr>
          <w:color w:val="auto"/>
        </w:rPr>
        <w:t xml:space="preserve">VII’nci </w:t>
      </w:r>
      <w:r w:rsidR="00773274" w:rsidRPr="00DE12A3">
        <w:rPr>
          <w:color w:val="auto"/>
        </w:rPr>
        <w:t>E</w:t>
      </w:r>
      <w:r w:rsidR="00FA0678" w:rsidRPr="00DE12A3">
        <w:rPr>
          <w:color w:val="auto"/>
        </w:rPr>
        <w:t>k</w:t>
      </w:r>
      <w:r w:rsidRPr="00DE12A3">
        <w:rPr>
          <w:color w:val="auto"/>
        </w:rPr>
        <w:t xml:space="preserve">teki (7-88), (7-90) ve (7-91) </w:t>
      </w:r>
      <w:r w:rsidR="00E40A63" w:rsidRPr="00DE12A3">
        <w:rPr>
          <w:color w:val="auto"/>
        </w:rPr>
        <w:t xml:space="preserve">numaralı </w:t>
      </w:r>
      <w:r w:rsidRPr="00DE12A3">
        <w:rPr>
          <w:color w:val="auto"/>
        </w:rPr>
        <w:t>denklemlere girilmelidir.</w:t>
      </w:r>
    </w:p>
    <w:p w14:paraId="014A8147" w14:textId="77777777" w:rsidR="005F4B63" w:rsidRPr="00DE12A3" w:rsidRDefault="005F4B63" w:rsidP="005F4B63">
      <w:pPr>
        <w:jc w:val="both"/>
        <w:rPr>
          <w:i/>
          <w:color w:val="auto"/>
        </w:rPr>
      </w:pPr>
    </w:p>
    <w:p w14:paraId="734D0F62" w14:textId="224E3FCF" w:rsidR="00103965" w:rsidRPr="00DE12A3" w:rsidRDefault="00103965" w:rsidP="005F4B63">
      <w:pPr>
        <w:jc w:val="both"/>
        <w:rPr>
          <w:color w:val="auto"/>
        </w:rPr>
      </w:pPr>
      <w:r w:rsidRPr="00DE12A3">
        <w:rPr>
          <w:color w:val="auto"/>
        </w:rPr>
        <w:t>Oranların belirlenmesi ya 7.2.3.1 bendi ya da 7.1.5.3 bendi uyarınca yapılmalıdır.</w:t>
      </w:r>
    </w:p>
    <w:p w14:paraId="2EF2B8D3" w14:textId="77777777" w:rsidR="005F4B63" w:rsidRPr="00DE12A3" w:rsidRDefault="005F4B63" w:rsidP="005F4B63">
      <w:pPr>
        <w:jc w:val="both"/>
        <w:rPr>
          <w:i/>
          <w:color w:val="auto"/>
        </w:rPr>
      </w:pPr>
    </w:p>
    <w:p w14:paraId="6E542580" w14:textId="6AA96F50" w:rsidR="00103965" w:rsidRPr="00DE12A3" w:rsidRDefault="00103965" w:rsidP="005F4B63">
      <w:pPr>
        <w:jc w:val="both"/>
        <w:rPr>
          <w:i/>
          <w:color w:val="auto"/>
        </w:rPr>
      </w:pPr>
      <w:r w:rsidRPr="00DE12A3">
        <w:rPr>
          <w:color w:val="auto"/>
        </w:rPr>
        <w:t>Harmanlanmış veya bir kara hattı kaynaklı gaz yakıtlar, önemli miktarlarda CO</w:t>
      </w:r>
      <w:r w:rsidRPr="00DE12A3">
        <w:rPr>
          <w:color w:val="auto"/>
          <w:vertAlign w:val="subscript"/>
        </w:rPr>
        <w:t>2</w:t>
      </w:r>
      <w:r w:rsidRPr="00DE12A3">
        <w:rPr>
          <w:color w:val="auto"/>
        </w:rPr>
        <w:t xml:space="preserve"> ve N</w:t>
      </w:r>
      <w:r w:rsidRPr="00DE12A3">
        <w:rPr>
          <w:color w:val="auto"/>
          <w:vertAlign w:val="subscript"/>
        </w:rPr>
        <w:t>2</w:t>
      </w:r>
      <w:r w:rsidRPr="00DE12A3">
        <w:rPr>
          <w:color w:val="auto"/>
        </w:rPr>
        <w:t xml:space="preserve"> gibi atıl bileşen içerebilir. İmalatçı, ya bu bileşenleri 7.2.3.1 bendinde veya 7.1.5.3 bendinde açıklanan atomik oran hesaplamalarına dahil etmeli ya da alternatif olarak imalatçı, </w:t>
      </w:r>
      <w:r w:rsidR="00773274" w:rsidRPr="00DE12A3">
        <w:rPr>
          <w:color w:val="auto"/>
        </w:rPr>
        <w:t>âtıl</w:t>
      </w:r>
      <w:r w:rsidRPr="00DE12A3">
        <w:rPr>
          <w:color w:val="auto"/>
        </w:rPr>
        <w:t xml:space="preserve"> bileşenleri atomik oranların dışında tutmalı ve bunları uygun şekilde </w:t>
      </w:r>
      <w:r w:rsidR="00FA0678" w:rsidRPr="00DE12A3">
        <w:rPr>
          <w:color w:val="auto"/>
        </w:rPr>
        <w:t xml:space="preserve">VII’nci </w:t>
      </w:r>
      <w:r w:rsidR="00E40A63" w:rsidRPr="00DE12A3">
        <w:rPr>
          <w:color w:val="auto"/>
        </w:rPr>
        <w:t>E</w:t>
      </w:r>
      <w:r w:rsidR="00FA0678" w:rsidRPr="00DE12A3">
        <w:rPr>
          <w:color w:val="auto"/>
        </w:rPr>
        <w:t>k</w:t>
      </w:r>
      <w:r w:rsidRPr="00DE12A3">
        <w:rPr>
          <w:color w:val="auto"/>
        </w:rPr>
        <w:t>in 3.4.3 bendindeki kimyasal denge emme havası parametreleri x</w:t>
      </w:r>
      <w:r w:rsidRPr="00DE12A3">
        <w:rPr>
          <w:color w:val="auto"/>
          <w:vertAlign w:val="subscript"/>
        </w:rPr>
        <w:t>O2int</w:t>
      </w:r>
      <w:r w:rsidRPr="00DE12A3">
        <w:rPr>
          <w:color w:val="auto"/>
        </w:rPr>
        <w:t>, x</w:t>
      </w:r>
      <w:r w:rsidRPr="00DE12A3">
        <w:rPr>
          <w:color w:val="auto"/>
          <w:vertAlign w:val="subscript"/>
        </w:rPr>
        <w:t>CO2int</w:t>
      </w:r>
      <w:r w:rsidRPr="00DE12A3">
        <w:rPr>
          <w:color w:val="auto"/>
        </w:rPr>
        <w:t>, and x</w:t>
      </w:r>
      <w:r w:rsidRPr="00DE12A3">
        <w:rPr>
          <w:color w:val="auto"/>
          <w:vertAlign w:val="subscript"/>
        </w:rPr>
        <w:t>H2Oint</w:t>
      </w:r>
      <w:r w:rsidRPr="00DE12A3">
        <w:rPr>
          <w:color w:val="auto"/>
        </w:rPr>
        <w:t>'e tahsis etmelidir.</w:t>
      </w:r>
    </w:p>
    <w:p w14:paraId="2D2F85EE" w14:textId="205DF448" w:rsidR="00103965" w:rsidRPr="00DE12A3" w:rsidRDefault="006C5305" w:rsidP="005F4B63">
      <w:pPr>
        <w:spacing w:before="120" w:after="120"/>
        <w:jc w:val="both"/>
        <w:rPr>
          <w:bCs/>
          <w:i/>
          <w:color w:val="auto"/>
        </w:rPr>
      </w:pPr>
      <w:r w:rsidRPr="00DE12A3">
        <w:rPr>
          <w:bCs/>
          <w:color w:val="auto"/>
        </w:rPr>
        <w:t>7.2.3.1.</w:t>
      </w:r>
      <w:r w:rsidR="00103965" w:rsidRPr="00DE12A3">
        <w:rPr>
          <w:bCs/>
          <w:color w:val="auto"/>
        </w:rPr>
        <w:t xml:space="preserve"> Molar bileşen oranlarının belirlenmesi</w:t>
      </w:r>
    </w:p>
    <w:p w14:paraId="1331BAA1" w14:textId="012037B1" w:rsidR="00103965" w:rsidRPr="00DE12A3" w:rsidRDefault="00103965" w:rsidP="005F4B63">
      <w:pPr>
        <w:jc w:val="both"/>
        <w:rPr>
          <w:i/>
          <w:color w:val="auto"/>
        </w:rPr>
      </w:pPr>
      <w:r w:rsidRPr="00DE12A3">
        <w:rPr>
          <w:color w:val="auto"/>
        </w:rPr>
        <w:t xml:space="preserve">İki yakıtlı motorlar için karışık yakıt içindeki hidrojen, oksijen, kükürt ve nitrojen atomları sayısının, karbon atomlarına anlık molar bileşen oranları, (8-12) ila (8-15) </w:t>
      </w:r>
      <w:r w:rsidR="00393457" w:rsidRPr="00DE12A3">
        <w:rPr>
          <w:color w:val="auto"/>
        </w:rPr>
        <w:t>numaralı</w:t>
      </w:r>
      <w:r w:rsidRPr="00DE12A3">
        <w:rPr>
          <w:color w:val="auto"/>
        </w:rPr>
        <w:t xml:space="preserve"> denklemler ile hesaplanabilir:</w:t>
      </w:r>
    </w:p>
    <w:p w14:paraId="75D16AAE" w14:textId="77777777" w:rsidR="00103965" w:rsidRPr="00DE12A3" w:rsidRDefault="00103965" w:rsidP="005F4B63">
      <w:pPr>
        <w:spacing w:before="120" w:after="120"/>
        <w:jc w:val="both"/>
        <w:rPr>
          <w:rFonts w:cs="Times New Roman"/>
          <w:color w:val="auto"/>
        </w:rPr>
      </w:pPr>
    </w:p>
    <w:tbl>
      <w:tblPr>
        <w:tblW w:w="0" w:type="auto"/>
        <w:tblInd w:w="1242" w:type="dxa"/>
        <w:tblLayout w:type="fixed"/>
        <w:tblLook w:val="0000" w:firstRow="0" w:lastRow="0" w:firstColumn="0" w:lastColumn="0" w:noHBand="0" w:noVBand="0"/>
      </w:tblPr>
      <w:tblGrid>
        <w:gridCol w:w="7115"/>
        <w:gridCol w:w="929"/>
      </w:tblGrid>
      <w:tr w:rsidR="00DE12A3" w:rsidRPr="00DE12A3" w14:paraId="294CCE25" w14:textId="77777777" w:rsidTr="002000F9">
        <w:tc>
          <w:tcPr>
            <w:tcW w:w="7115" w:type="dxa"/>
          </w:tcPr>
          <w:p w14:paraId="7DF69E40" w14:textId="7DA7BA44" w:rsidR="009F4766" w:rsidRPr="00DE12A3" w:rsidRDefault="009F4766" w:rsidP="00C917D6">
            <w:pPr>
              <w:pStyle w:val="NormalLeft"/>
            </w:pPr>
            <w:r w:rsidRPr="00DE12A3">
              <w:rPr>
                <w:noProof/>
                <w:lang w:val="tr-TR"/>
              </w:rPr>
              <w:lastRenderedPageBreak/>
              <w:drawing>
                <wp:inline distT="0" distB="0" distL="0" distR="0" wp14:anchorId="7F67A93C" wp14:editId="46D45477">
                  <wp:extent cx="4355123" cy="896611"/>
                  <wp:effectExtent l="0" t="0" r="0" b="0"/>
                  <wp:docPr id="2009" name="Resim 2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261">
                            <a:extLst>
                              <a:ext uri="{28A0092B-C50C-407E-A947-70E740481C1C}">
                                <a14:useLocalDpi xmlns:a14="http://schemas.microsoft.com/office/drawing/2010/main" val="0"/>
                              </a:ext>
                            </a:extLst>
                          </a:blip>
                          <a:srcRect/>
                          <a:stretch>
                            <a:fillRect/>
                          </a:stretch>
                        </pic:blipFill>
                        <pic:spPr bwMode="auto">
                          <a:xfrm>
                            <a:off x="0" y="0"/>
                            <a:ext cx="4460173" cy="918238"/>
                          </a:xfrm>
                          <a:prstGeom prst="rect">
                            <a:avLst/>
                          </a:prstGeom>
                          <a:noFill/>
                          <a:ln>
                            <a:noFill/>
                          </a:ln>
                        </pic:spPr>
                      </pic:pic>
                    </a:graphicData>
                  </a:graphic>
                </wp:inline>
              </w:drawing>
            </w:r>
          </w:p>
        </w:tc>
        <w:tc>
          <w:tcPr>
            <w:tcW w:w="929" w:type="dxa"/>
          </w:tcPr>
          <w:p w14:paraId="792205FE" w14:textId="77777777" w:rsidR="009F4766" w:rsidRPr="00DE12A3" w:rsidRDefault="009F4766" w:rsidP="00C917D6">
            <w:pPr>
              <w:pStyle w:val="NormalLeft"/>
            </w:pPr>
            <w:r w:rsidRPr="00DE12A3">
              <w:t>(8-12)</w:t>
            </w:r>
          </w:p>
        </w:tc>
      </w:tr>
      <w:tr w:rsidR="00DE12A3" w:rsidRPr="00DE12A3" w14:paraId="5FC08890" w14:textId="77777777" w:rsidTr="002000F9">
        <w:tc>
          <w:tcPr>
            <w:tcW w:w="7115" w:type="dxa"/>
          </w:tcPr>
          <w:p w14:paraId="028D3870" w14:textId="35FCBA94" w:rsidR="009F4766" w:rsidRPr="00DE12A3" w:rsidRDefault="009F4766" w:rsidP="00C917D6">
            <w:pPr>
              <w:pStyle w:val="NormalLeft"/>
            </w:pPr>
            <w:r w:rsidRPr="00DE12A3">
              <w:rPr>
                <w:noProof/>
                <w:lang w:val="tr-TR"/>
              </w:rPr>
              <w:drawing>
                <wp:inline distT="0" distB="0" distL="0" distR="0" wp14:anchorId="5AB921D6" wp14:editId="0B53E8F6">
                  <wp:extent cx="4396154" cy="896516"/>
                  <wp:effectExtent l="0" t="0" r="4445" b="0"/>
                  <wp:docPr id="2008" name="Resim 2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262">
                            <a:extLst>
                              <a:ext uri="{28A0092B-C50C-407E-A947-70E740481C1C}">
                                <a14:useLocalDpi xmlns:a14="http://schemas.microsoft.com/office/drawing/2010/main" val="0"/>
                              </a:ext>
                            </a:extLst>
                          </a:blip>
                          <a:srcRect/>
                          <a:stretch>
                            <a:fillRect/>
                          </a:stretch>
                        </pic:blipFill>
                        <pic:spPr bwMode="auto">
                          <a:xfrm>
                            <a:off x="0" y="0"/>
                            <a:ext cx="4433914" cy="904217"/>
                          </a:xfrm>
                          <a:prstGeom prst="rect">
                            <a:avLst/>
                          </a:prstGeom>
                          <a:noFill/>
                          <a:ln>
                            <a:noFill/>
                          </a:ln>
                        </pic:spPr>
                      </pic:pic>
                    </a:graphicData>
                  </a:graphic>
                </wp:inline>
              </w:drawing>
            </w:r>
          </w:p>
        </w:tc>
        <w:tc>
          <w:tcPr>
            <w:tcW w:w="929" w:type="dxa"/>
          </w:tcPr>
          <w:p w14:paraId="7EBACFBD" w14:textId="77777777" w:rsidR="009F4766" w:rsidRPr="00DE12A3" w:rsidRDefault="009F4766" w:rsidP="00C917D6">
            <w:pPr>
              <w:pStyle w:val="NormalLeft"/>
            </w:pPr>
            <w:r w:rsidRPr="00DE12A3">
              <w:t>(8-13)</w:t>
            </w:r>
          </w:p>
        </w:tc>
      </w:tr>
      <w:tr w:rsidR="00DE12A3" w:rsidRPr="00DE12A3" w14:paraId="03D7C4A7" w14:textId="77777777" w:rsidTr="002000F9">
        <w:tc>
          <w:tcPr>
            <w:tcW w:w="7115" w:type="dxa"/>
          </w:tcPr>
          <w:p w14:paraId="7843D34D" w14:textId="2764DEE3" w:rsidR="009F4766" w:rsidRPr="00DE12A3" w:rsidRDefault="009F4766" w:rsidP="00C917D6">
            <w:pPr>
              <w:pStyle w:val="NormalLeft"/>
            </w:pPr>
            <w:r w:rsidRPr="00DE12A3">
              <w:rPr>
                <w:noProof/>
                <w:lang w:val="tr-TR"/>
              </w:rPr>
              <w:drawing>
                <wp:inline distT="0" distB="0" distL="0" distR="0" wp14:anchorId="2D1CCD28" wp14:editId="44F73C51">
                  <wp:extent cx="4378569" cy="896533"/>
                  <wp:effectExtent l="0" t="0" r="3175" b="0"/>
                  <wp:docPr id="2007" name="Resim 2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263">
                            <a:extLst>
                              <a:ext uri="{28A0092B-C50C-407E-A947-70E740481C1C}">
                                <a14:useLocalDpi xmlns:a14="http://schemas.microsoft.com/office/drawing/2010/main" val="0"/>
                              </a:ext>
                            </a:extLst>
                          </a:blip>
                          <a:srcRect/>
                          <a:stretch>
                            <a:fillRect/>
                          </a:stretch>
                        </pic:blipFill>
                        <pic:spPr bwMode="auto">
                          <a:xfrm>
                            <a:off x="0" y="0"/>
                            <a:ext cx="4414106" cy="903809"/>
                          </a:xfrm>
                          <a:prstGeom prst="rect">
                            <a:avLst/>
                          </a:prstGeom>
                          <a:noFill/>
                          <a:ln>
                            <a:noFill/>
                          </a:ln>
                        </pic:spPr>
                      </pic:pic>
                    </a:graphicData>
                  </a:graphic>
                </wp:inline>
              </w:drawing>
            </w:r>
          </w:p>
        </w:tc>
        <w:tc>
          <w:tcPr>
            <w:tcW w:w="929" w:type="dxa"/>
          </w:tcPr>
          <w:p w14:paraId="5D0E2CC1" w14:textId="77777777" w:rsidR="009F4766" w:rsidRPr="00DE12A3" w:rsidRDefault="009F4766" w:rsidP="00C917D6">
            <w:pPr>
              <w:pStyle w:val="NormalLeft"/>
            </w:pPr>
            <w:r w:rsidRPr="00DE12A3">
              <w:t>(8-14)</w:t>
            </w:r>
          </w:p>
        </w:tc>
      </w:tr>
      <w:tr w:rsidR="009F4766" w:rsidRPr="00DE12A3" w14:paraId="3BC1ECAA" w14:textId="77777777" w:rsidTr="002000F9">
        <w:tc>
          <w:tcPr>
            <w:tcW w:w="7115" w:type="dxa"/>
          </w:tcPr>
          <w:p w14:paraId="079FFAA9" w14:textId="13364141" w:rsidR="009F4766" w:rsidRPr="00DE12A3" w:rsidRDefault="009F4766" w:rsidP="00C917D6">
            <w:pPr>
              <w:pStyle w:val="NormalLeft"/>
            </w:pPr>
            <w:r w:rsidRPr="00DE12A3">
              <w:rPr>
                <w:noProof/>
                <w:lang w:val="tr-TR"/>
              </w:rPr>
              <w:drawing>
                <wp:inline distT="0" distB="0" distL="0" distR="0" wp14:anchorId="5BD1BF86" wp14:editId="18AD5831">
                  <wp:extent cx="4312920" cy="896612"/>
                  <wp:effectExtent l="0" t="0" r="0" b="0"/>
                  <wp:docPr id="2006" name="Resim 2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264">
                            <a:extLst>
                              <a:ext uri="{28A0092B-C50C-407E-A947-70E740481C1C}">
                                <a14:useLocalDpi xmlns:a14="http://schemas.microsoft.com/office/drawing/2010/main" val="0"/>
                              </a:ext>
                            </a:extLst>
                          </a:blip>
                          <a:srcRect/>
                          <a:stretch>
                            <a:fillRect/>
                          </a:stretch>
                        </pic:blipFill>
                        <pic:spPr bwMode="auto">
                          <a:xfrm>
                            <a:off x="0" y="0"/>
                            <a:ext cx="4382934" cy="911167"/>
                          </a:xfrm>
                          <a:prstGeom prst="rect">
                            <a:avLst/>
                          </a:prstGeom>
                          <a:noFill/>
                          <a:ln>
                            <a:noFill/>
                          </a:ln>
                        </pic:spPr>
                      </pic:pic>
                    </a:graphicData>
                  </a:graphic>
                </wp:inline>
              </w:drawing>
            </w:r>
          </w:p>
        </w:tc>
        <w:tc>
          <w:tcPr>
            <w:tcW w:w="929" w:type="dxa"/>
          </w:tcPr>
          <w:p w14:paraId="1F5FDD85" w14:textId="77777777" w:rsidR="009F4766" w:rsidRPr="00DE12A3" w:rsidRDefault="009F4766" w:rsidP="00C917D6">
            <w:pPr>
              <w:pStyle w:val="NormalLeft"/>
            </w:pPr>
            <w:r w:rsidRPr="00DE12A3">
              <w:t>(8-15)</w:t>
            </w:r>
          </w:p>
        </w:tc>
      </w:tr>
    </w:tbl>
    <w:p w14:paraId="19A11C30" w14:textId="77777777" w:rsidR="009F4766" w:rsidRPr="00DE12A3" w:rsidRDefault="009F4766" w:rsidP="005F4B63">
      <w:pPr>
        <w:spacing w:before="120" w:after="120"/>
        <w:jc w:val="both"/>
        <w:rPr>
          <w:rFonts w:cs="Times New Roman"/>
          <w:color w:val="auto"/>
        </w:rPr>
      </w:pPr>
    </w:p>
    <w:p w14:paraId="54C31C87" w14:textId="77777777" w:rsidR="009F4766" w:rsidRPr="00DE12A3" w:rsidRDefault="008B3D9F" w:rsidP="005F4B63">
      <w:pPr>
        <w:spacing w:before="120" w:after="120"/>
        <w:jc w:val="both"/>
        <w:rPr>
          <w:rFonts w:cs="Times New Roman"/>
          <w:color w:val="auto"/>
        </w:rPr>
      </w:pPr>
      <w:r w:rsidRPr="00DE12A3">
        <w:rPr>
          <w:rFonts w:cs="Times New Roman"/>
          <w:color w:val="auto"/>
        </w:rPr>
        <w:t>Burada</w:t>
      </w:r>
      <w:r w:rsidR="009F4766" w:rsidRPr="00DE12A3">
        <w:rPr>
          <w:rFonts w:cs="Times New Roman"/>
          <w:color w:val="auto"/>
        </w:rPr>
        <w:t>:</w:t>
      </w:r>
    </w:p>
    <w:tbl>
      <w:tblPr>
        <w:tblW w:w="0" w:type="auto"/>
        <w:tblInd w:w="1242" w:type="dxa"/>
        <w:tblLayout w:type="fixed"/>
        <w:tblLook w:val="0000" w:firstRow="0" w:lastRow="0" w:firstColumn="0" w:lastColumn="0" w:noHBand="0" w:noVBand="0"/>
      </w:tblPr>
      <w:tblGrid>
        <w:gridCol w:w="1418"/>
        <w:gridCol w:w="425"/>
        <w:gridCol w:w="6201"/>
      </w:tblGrid>
      <w:tr w:rsidR="00DE12A3" w:rsidRPr="00DE12A3" w14:paraId="5505A9EE" w14:textId="77777777" w:rsidTr="002000F9">
        <w:tc>
          <w:tcPr>
            <w:tcW w:w="1418" w:type="dxa"/>
          </w:tcPr>
          <w:p w14:paraId="5C2A3EA2" w14:textId="77777777" w:rsidR="009F4766" w:rsidRPr="00DE12A3" w:rsidRDefault="009F4766" w:rsidP="00C917D6">
            <w:pPr>
              <w:pStyle w:val="NormalLeft"/>
            </w:pPr>
            <w:r w:rsidRPr="00DE12A3">
              <w:rPr>
                <w:i/>
                <w:iCs/>
              </w:rPr>
              <w:t>w</w:t>
            </w:r>
            <w:r w:rsidRPr="00DE12A3">
              <w:rPr>
                <w:vertAlign w:val="subscript"/>
              </w:rPr>
              <w:t>i,</w:t>
            </w:r>
            <w:r w:rsidRPr="00DE12A3">
              <w:rPr>
                <w:i/>
                <w:iCs/>
                <w:vertAlign w:val="subscript"/>
              </w:rPr>
              <w:t>fuel</w:t>
            </w:r>
          </w:p>
        </w:tc>
        <w:tc>
          <w:tcPr>
            <w:tcW w:w="425" w:type="dxa"/>
          </w:tcPr>
          <w:p w14:paraId="5BB1B3A7" w14:textId="77777777" w:rsidR="009F4766" w:rsidRPr="00DE12A3" w:rsidRDefault="009F4766" w:rsidP="00C917D6">
            <w:pPr>
              <w:pStyle w:val="NormalLeft"/>
            </w:pPr>
            <w:r w:rsidRPr="00DE12A3">
              <w:t>=</w:t>
            </w:r>
          </w:p>
        </w:tc>
        <w:tc>
          <w:tcPr>
            <w:tcW w:w="6201" w:type="dxa"/>
          </w:tcPr>
          <w:p w14:paraId="4B45EF99" w14:textId="4C053CCB" w:rsidR="009F4766" w:rsidRPr="00DE12A3" w:rsidRDefault="00773274" w:rsidP="00C917D6">
            <w:pPr>
              <w:pStyle w:val="NormalLeft"/>
            </w:pPr>
            <w:r w:rsidRPr="00DE12A3">
              <w:t>Sıvı</w:t>
            </w:r>
            <w:r w:rsidR="006C5305" w:rsidRPr="00DE12A3">
              <w:t xml:space="preserve"> veya gaz yakıtın ilgili elementinin, C, H, O, S veya N, kütle oranı</w:t>
            </w:r>
            <w:r w:rsidR="00393457" w:rsidRPr="00DE12A3">
              <w:t>.</w:t>
            </w:r>
          </w:p>
        </w:tc>
      </w:tr>
      <w:tr w:rsidR="00DE12A3" w:rsidRPr="00DE12A3" w14:paraId="4A96FA40" w14:textId="77777777" w:rsidTr="002000F9">
        <w:tc>
          <w:tcPr>
            <w:tcW w:w="1418" w:type="dxa"/>
          </w:tcPr>
          <w:p w14:paraId="5554F823" w14:textId="77777777" w:rsidR="006C5305" w:rsidRPr="00DE12A3" w:rsidRDefault="006C5305" w:rsidP="00C917D6">
            <w:pPr>
              <w:pStyle w:val="NormalLeft"/>
            </w:pPr>
            <w:r w:rsidRPr="00DE12A3">
              <w:rPr>
                <w:i/>
                <w:iCs/>
              </w:rPr>
              <w:t>ṁ</w:t>
            </w:r>
            <w:r w:rsidRPr="00DE12A3">
              <w:rPr>
                <w:i/>
                <w:iCs/>
                <w:vertAlign w:val="subscript"/>
              </w:rPr>
              <w:t>liquid</w:t>
            </w:r>
            <w:r w:rsidRPr="00DE12A3">
              <w:t>(</w:t>
            </w:r>
            <w:r w:rsidRPr="00DE12A3">
              <w:rPr>
                <w:i/>
                <w:iCs/>
              </w:rPr>
              <w:t>t</w:t>
            </w:r>
            <w:r w:rsidRPr="00DE12A3">
              <w:t>)</w:t>
            </w:r>
          </w:p>
        </w:tc>
        <w:tc>
          <w:tcPr>
            <w:tcW w:w="425" w:type="dxa"/>
          </w:tcPr>
          <w:p w14:paraId="37C0270A" w14:textId="77777777" w:rsidR="006C5305" w:rsidRPr="00DE12A3" w:rsidRDefault="006C5305" w:rsidP="00C917D6">
            <w:pPr>
              <w:pStyle w:val="NormalLeft"/>
            </w:pPr>
            <w:r w:rsidRPr="00DE12A3">
              <w:t>=</w:t>
            </w:r>
          </w:p>
        </w:tc>
        <w:tc>
          <w:tcPr>
            <w:tcW w:w="6201" w:type="dxa"/>
          </w:tcPr>
          <w:p w14:paraId="61A679AE" w14:textId="7FFA1A20" w:rsidR="006C5305" w:rsidRPr="00DE12A3" w:rsidRDefault="00773274" w:rsidP="00C917D6">
            <w:pPr>
              <w:spacing w:before="120" w:after="120"/>
              <w:rPr>
                <w:rFonts w:cs="Times New Roman"/>
                <w:color w:val="auto"/>
              </w:rPr>
            </w:pPr>
            <w:r w:rsidRPr="00DE12A3">
              <w:rPr>
                <w:rFonts w:cs="Times New Roman"/>
                <w:color w:val="auto"/>
              </w:rPr>
              <w:t>Sıvı</w:t>
            </w:r>
            <w:r w:rsidR="006C5305" w:rsidRPr="00DE12A3">
              <w:rPr>
                <w:rFonts w:cs="Times New Roman"/>
                <w:color w:val="auto"/>
              </w:rPr>
              <w:t xml:space="preserve"> yakıtın t zamanındaki anlık kütle akış hızı, [kg/hr]</w:t>
            </w:r>
            <w:r w:rsidR="00393457" w:rsidRPr="00DE12A3">
              <w:rPr>
                <w:rFonts w:cs="Times New Roman"/>
                <w:color w:val="auto"/>
              </w:rPr>
              <w:t>.</w:t>
            </w:r>
          </w:p>
        </w:tc>
      </w:tr>
      <w:tr w:rsidR="006C5305" w:rsidRPr="00DE12A3" w14:paraId="1785D280" w14:textId="77777777" w:rsidTr="002000F9">
        <w:tc>
          <w:tcPr>
            <w:tcW w:w="1418" w:type="dxa"/>
          </w:tcPr>
          <w:p w14:paraId="1D0B54A0" w14:textId="77777777" w:rsidR="006C5305" w:rsidRPr="00DE12A3" w:rsidRDefault="006C5305" w:rsidP="00C917D6">
            <w:pPr>
              <w:pStyle w:val="NormalLeft"/>
            </w:pPr>
            <w:r w:rsidRPr="00DE12A3">
              <w:rPr>
                <w:i/>
                <w:iCs/>
              </w:rPr>
              <w:t>ṁ</w:t>
            </w:r>
            <w:r w:rsidRPr="00DE12A3">
              <w:rPr>
                <w:i/>
                <w:iCs/>
                <w:vertAlign w:val="subscript"/>
              </w:rPr>
              <w:t>gas</w:t>
            </w:r>
            <w:r w:rsidRPr="00DE12A3">
              <w:t>(</w:t>
            </w:r>
            <w:r w:rsidRPr="00DE12A3">
              <w:rPr>
                <w:i/>
                <w:iCs/>
              </w:rPr>
              <w:t>t</w:t>
            </w:r>
            <w:r w:rsidRPr="00DE12A3">
              <w:t>)</w:t>
            </w:r>
          </w:p>
        </w:tc>
        <w:tc>
          <w:tcPr>
            <w:tcW w:w="425" w:type="dxa"/>
          </w:tcPr>
          <w:p w14:paraId="56BA3CC4" w14:textId="77777777" w:rsidR="006C5305" w:rsidRPr="00DE12A3" w:rsidRDefault="006C5305" w:rsidP="00C917D6">
            <w:pPr>
              <w:pStyle w:val="NormalLeft"/>
            </w:pPr>
            <w:r w:rsidRPr="00DE12A3">
              <w:t>=</w:t>
            </w:r>
          </w:p>
        </w:tc>
        <w:tc>
          <w:tcPr>
            <w:tcW w:w="6201" w:type="dxa"/>
          </w:tcPr>
          <w:p w14:paraId="41B9FF59" w14:textId="38C935E3" w:rsidR="006C5305" w:rsidRPr="00DE12A3" w:rsidRDefault="00773274" w:rsidP="00C917D6">
            <w:pPr>
              <w:spacing w:before="120" w:after="120"/>
              <w:rPr>
                <w:rFonts w:cs="Times New Roman"/>
                <w:color w:val="auto"/>
              </w:rPr>
            </w:pPr>
            <w:r w:rsidRPr="00DE12A3">
              <w:rPr>
                <w:rFonts w:cs="Times New Roman"/>
                <w:color w:val="auto"/>
              </w:rPr>
              <w:t>Gaz</w:t>
            </w:r>
            <w:r w:rsidR="006C5305" w:rsidRPr="00DE12A3">
              <w:rPr>
                <w:rFonts w:cs="Times New Roman"/>
                <w:color w:val="auto"/>
              </w:rPr>
              <w:t xml:space="preserve"> yakıtın t zamanındaki anlık kütle akış hızı, [kg/hr]</w:t>
            </w:r>
            <w:r w:rsidR="00393457" w:rsidRPr="00DE12A3">
              <w:rPr>
                <w:rFonts w:cs="Times New Roman"/>
                <w:color w:val="auto"/>
              </w:rPr>
              <w:t>.</w:t>
            </w:r>
          </w:p>
        </w:tc>
      </w:tr>
    </w:tbl>
    <w:p w14:paraId="03E931D3" w14:textId="77777777" w:rsidR="006C5305" w:rsidRPr="00DE12A3" w:rsidRDefault="006C5305" w:rsidP="005F4B63">
      <w:pPr>
        <w:spacing w:before="120" w:after="120"/>
        <w:jc w:val="both"/>
        <w:rPr>
          <w:rFonts w:cs="Times New Roman"/>
          <w:color w:val="auto"/>
        </w:rPr>
      </w:pPr>
    </w:p>
    <w:p w14:paraId="24291D68" w14:textId="1A82A3CA" w:rsidR="00E312C6" w:rsidRPr="00DE12A3" w:rsidRDefault="00E312C6" w:rsidP="005F4B63">
      <w:pPr>
        <w:spacing w:before="120" w:after="120"/>
        <w:jc w:val="both"/>
        <w:rPr>
          <w:rFonts w:cs="Times New Roman"/>
          <w:color w:val="auto"/>
        </w:rPr>
      </w:pPr>
      <w:r w:rsidRPr="00DE12A3">
        <w:rPr>
          <w:rFonts w:cs="Times New Roman"/>
          <w:color w:val="auto"/>
        </w:rPr>
        <w:t xml:space="preserve">Egzoz gazı kütle akış hızının karışık yakıt oranına göre hesaplandığı durumlarda, </w:t>
      </w:r>
      <w:r w:rsidR="00FA0678" w:rsidRPr="00DE12A3">
        <w:rPr>
          <w:rFonts w:cs="Times New Roman"/>
          <w:color w:val="auto"/>
        </w:rPr>
        <w:t xml:space="preserve">VII’nci </w:t>
      </w:r>
      <w:r w:rsidR="00966EFF" w:rsidRPr="00DE12A3">
        <w:rPr>
          <w:rFonts w:cs="Times New Roman"/>
          <w:color w:val="auto"/>
        </w:rPr>
        <w:t>E</w:t>
      </w:r>
      <w:r w:rsidR="00FA0678" w:rsidRPr="00DE12A3">
        <w:rPr>
          <w:rFonts w:cs="Times New Roman"/>
          <w:color w:val="auto"/>
        </w:rPr>
        <w:t>k</w:t>
      </w:r>
      <w:r w:rsidRPr="00DE12A3">
        <w:rPr>
          <w:rFonts w:cs="Times New Roman"/>
          <w:color w:val="auto"/>
        </w:rPr>
        <w:t xml:space="preserve">te (7-113) </w:t>
      </w:r>
      <w:r w:rsidR="00393457" w:rsidRPr="00DE12A3">
        <w:rPr>
          <w:rFonts w:cs="Times New Roman"/>
          <w:color w:val="auto"/>
        </w:rPr>
        <w:t xml:space="preserve">numaralı </w:t>
      </w:r>
      <w:r w:rsidRPr="00DE12A3">
        <w:rPr>
          <w:rFonts w:cs="Times New Roman"/>
          <w:color w:val="auto"/>
        </w:rPr>
        <w:t>denklemdeki w</w:t>
      </w:r>
      <w:r w:rsidRPr="00DE12A3">
        <w:rPr>
          <w:rFonts w:cs="Times New Roman"/>
          <w:color w:val="auto"/>
          <w:vertAlign w:val="subscript"/>
        </w:rPr>
        <w:t>C</w:t>
      </w:r>
      <w:r w:rsidRPr="00DE12A3">
        <w:rPr>
          <w:rFonts w:cs="Times New Roman"/>
          <w:color w:val="auto"/>
        </w:rPr>
        <w:t xml:space="preserve"> değeri, (8-16) </w:t>
      </w:r>
      <w:r w:rsidR="00393457" w:rsidRPr="00DE12A3">
        <w:rPr>
          <w:rFonts w:cs="Times New Roman"/>
          <w:color w:val="auto"/>
        </w:rPr>
        <w:t xml:space="preserve">numaralı </w:t>
      </w:r>
      <w:r w:rsidRPr="00DE12A3">
        <w:rPr>
          <w:rFonts w:cs="Times New Roman"/>
          <w:color w:val="auto"/>
        </w:rPr>
        <w:t>denklem ile hesaplanmalıdır:</w:t>
      </w:r>
    </w:p>
    <w:p w14:paraId="5859E9A2" w14:textId="77777777" w:rsidR="00E312C6" w:rsidRPr="00DE12A3" w:rsidRDefault="00E312C6" w:rsidP="005F4B63">
      <w:pPr>
        <w:spacing w:before="120" w:after="120"/>
        <w:jc w:val="both"/>
        <w:rPr>
          <w:rFonts w:cs="Times New Roman"/>
          <w:color w:val="auto"/>
        </w:rPr>
      </w:pPr>
    </w:p>
    <w:tbl>
      <w:tblPr>
        <w:tblW w:w="0" w:type="auto"/>
        <w:tblInd w:w="1996" w:type="dxa"/>
        <w:tblLayout w:type="fixed"/>
        <w:tblLook w:val="0000" w:firstRow="0" w:lastRow="0" w:firstColumn="0" w:lastColumn="0" w:noHBand="0" w:noVBand="0"/>
      </w:tblPr>
      <w:tblGrid>
        <w:gridCol w:w="5435"/>
        <w:gridCol w:w="1113"/>
      </w:tblGrid>
      <w:tr w:rsidR="009F4766" w:rsidRPr="00DE12A3" w14:paraId="2599A627" w14:textId="77777777" w:rsidTr="002000F9">
        <w:trPr>
          <w:trHeight w:val="1356"/>
        </w:trPr>
        <w:tc>
          <w:tcPr>
            <w:tcW w:w="5435" w:type="dxa"/>
          </w:tcPr>
          <w:p w14:paraId="0C64D74D" w14:textId="2B16C3B7" w:rsidR="009F4766" w:rsidRPr="00DE12A3" w:rsidRDefault="009F4766" w:rsidP="00C917D6">
            <w:pPr>
              <w:pStyle w:val="NormalLeft"/>
            </w:pPr>
            <w:r w:rsidRPr="00DE12A3">
              <w:rPr>
                <w:noProof/>
                <w:lang w:val="tr-TR"/>
              </w:rPr>
              <w:drawing>
                <wp:inline distT="0" distB="0" distL="0" distR="0" wp14:anchorId="4D1D017A" wp14:editId="6CCE8F91">
                  <wp:extent cx="3241431" cy="650875"/>
                  <wp:effectExtent l="0" t="0" r="0" b="0"/>
                  <wp:docPr id="2003" name="Resim 2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a:blip r:embed="rId265">
                            <a:extLst>
                              <a:ext uri="{28A0092B-C50C-407E-A947-70E740481C1C}">
                                <a14:useLocalDpi xmlns:a14="http://schemas.microsoft.com/office/drawing/2010/main" val="0"/>
                              </a:ext>
                            </a:extLst>
                          </a:blip>
                          <a:srcRect/>
                          <a:stretch>
                            <a:fillRect/>
                          </a:stretch>
                        </pic:blipFill>
                        <pic:spPr bwMode="auto">
                          <a:xfrm>
                            <a:off x="0" y="0"/>
                            <a:ext cx="3246556" cy="651904"/>
                          </a:xfrm>
                          <a:prstGeom prst="rect">
                            <a:avLst/>
                          </a:prstGeom>
                          <a:noFill/>
                          <a:ln>
                            <a:noFill/>
                          </a:ln>
                        </pic:spPr>
                      </pic:pic>
                    </a:graphicData>
                  </a:graphic>
                </wp:inline>
              </w:drawing>
            </w:r>
          </w:p>
        </w:tc>
        <w:tc>
          <w:tcPr>
            <w:tcW w:w="1113" w:type="dxa"/>
          </w:tcPr>
          <w:p w14:paraId="13A46A96" w14:textId="77777777" w:rsidR="009F4766" w:rsidRPr="00DE12A3" w:rsidRDefault="009F4766" w:rsidP="00C917D6">
            <w:pPr>
              <w:pStyle w:val="NormalLeft"/>
            </w:pPr>
            <w:r w:rsidRPr="00DE12A3">
              <w:t>(8-16)</w:t>
            </w:r>
          </w:p>
        </w:tc>
      </w:tr>
    </w:tbl>
    <w:p w14:paraId="1287FFB6" w14:textId="77777777" w:rsidR="002A1030" w:rsidRPr="00DE12A3" w:rsidRDefault="002A1030" w:rsidP="005F4B63">
      <w:pPr>
        <w:spacing w:before="120" w:after="120"/>
        <w:jc w:val="both"/>
        <w:rPr>
          <w:rFonts w:cs="Times New Roman"/>
          <w:color w:val="auto"/>
        </w:rPr>
      </w:pPr>
    </w:p>
    <w:p w14:paraId="06699EEB" w14:textId="77777777" w:rsidR="002A1030" w:rsidRPr="00DE12A3" w:rsidRDefault="002A1030" w:rsidP="005F4B63">
      <w:pPr>
        <w:spacing w:before="120" w:after="120"/>
        <w:jc w:val="both"/>
        <w:rPr>
          <w:rFonts w:cs="Times New Roman"/>
          <w:color w:val="auto"/>
        </w:rPr>
      </w:pPr>
      <w:r w:rsidRPr="00DE12A3">
        <w:rPr>
          <w:rFonts w:cs="Times New Roman"/>
          <w:color w:val="auto"/>
        </w:rPr>
        <w:t>Burada:</w:t>
      </w:r>
    </w:p>
    <w:p w14:paraId="1D0260E2" w14:textId="77777777" w:rsidR="002A1030" w:rsidRPr="00DE12A3" w:rsidRDefault="002A1030" w:rsidP="005F4B63">
      <w:pPr>
        <w:spacing w:before="120" w:after="120"/>
        <w:jc w:val="both"/>
        <w:rPr>
          <w:rFonts w:cs="Times New Roman"/>
          <w:color w:val="auto"/>
        </w:rPr>
      </w:pPr>
    </w:p>
    <w:tbl>
      <w:tblPr>
        <w:tblW w:w="6839" w:type="dxa"/>
        <w:jc w:val="center"/>
        <w:tblLook w:val="0000" w:firstRow="0" w:lastRow="0" w:firstColumn="0" w:lastColumn="0" w:noHBand="0" w:noVBand="0"/>
      </w:tblPr>
      <w:tblGrid>
        <w:gridCol w:w="849"/>
        <w:gridCol w:w="384"/>
        <w:gridCol w:w="5606"/>
      </w:tblGrid>
      <w:tr w:rsidR="00DE12A3" w:rsidRPr="00DE12A3" w14:paraId="27D687B2" w14:textId="77777777" w:rsidTr="002000F9">
        <w:trPr>
          <w:trHeight w:val="643"/>
          <w:jc w:val="center"/>
        </w:trPr>
        <w:tc>
          <w:tcPr>
            <w:tcW w:w="0" w:type="auto"/>
          </w:tcPr>
          <w:p w14:paraId="7F4B8AD3" w14:textId="77777777" w:rsidR="002A1030" w:rsidRPr="00DE12A3" w:rsidRDefault="002A1030" w:rsidP="00AA5E93">
            <w:pPr>
              <w:pStyle w:val="NormalLeft"/>
            </w:pPr>
            <w:r w:rsidRPr="00DE12A3">
              <w:rPr>
                <w:i/>
                <w:iCs/>
              </w:rPr>
              <w:t>w</w:t>
            </w:r>
            <w:r w:rsidRPr="00DE12A3">
              <w:rPr>
                <w:vertAlign w:val="subscript"/>
              </w:rPr>
              <w:t>C</w:t>
            </w:r>
          </w:p>
        </w:tc>
        <w:tc>
          <w:tcPr>
            <w:tcW w:w="0" w:type="auto"/>
          </w:tcPr>
          <w:p w14:paraId="1019C0DC" w14:textId="77777777" w:rsidR="002A1030" w:rsidRPr="00DE12A3" w:rsidRDefault="002A1030" w:rsidP="00AA5E93">
            <w:pPr>
              <w:pStyle w:val="NormalLeft"/>
            </w:pPr>
            <w:r w:rsidRPr="00DE12A3">
              <w:t>=</w:t>
            </w:r>
          </w:p>
        </w:tc>
        <w:tc>
          <w:tcPr>
            <w:tcW w:w="0" w:type="auto"/>
          </w:tcPr>
          <w:p w14:paraId="4708634E" w14:textId="20D24524" w:rsidR="002A1030" w:rsidRPr="00DE12A3" w:rsidRDefault="00773274" w:rsidP="00AA5E93">
            <w:pPr>
              <w:spacing w:before="120" w:after="120"/>
              <w:rPr>
                <w:rFonts w:cs="Times New Roman"/>
                <w:color w:val="auto"/>
              </w:rPr>
            </w:pPr>
            <w:r w:rsidRPr="00DE12A3">
              <w:rPr>
                <w:rFonts w:cs="Times New Roman"/>
                <w:color w:val="auto"/>
              </w:rPr>
              <w:t>Dizel</w:t>
            </w:r>
            <w:r w:rsidR="002A1030" w:rsidRPr="00DE12A3">
              <w:rPr>
                <w:rFonts w:cs="Times New Roman"/>
                <w:color w:val="auto"/>
              </w:rPr>
              <w:t xml:space="preserve"> veya gaz yakıt içindeki karbonun kütle oranı</w:t>
            </w:r>
            <w:r w:rsidR="00393457" w:rsidRPr="00DE12A3">
              <w:rPr>
                <w:rFonts w:cs="Times New Roman"/>
                <w:color w:val="auto"/>
              </w:rPr>
              <w:t>.</w:t>
            </w:r>
          </w:p>
        </w:tc>
      </w:tr>
      <w:tr w:rsidR="00DE12A3" w:rsidRPr="00DE12A3" w14:paraId="2936108A" w14:textId="77777777" w:rsidTr="002000F9">
        <w:trPr>
          <w:trHeight w:val="653"/>
          <w:jc w:val="center"/>
        </w:trPr>
        <w:tc>
          <w:tcPr>
            <w:tcW w:w="0" w:type="auto"/>
          </w:tcPr>
          <w:p w14:paraId="6C2081C4" w14:textId="77777777" w:rsidR="002A1030" w:rsidRPr="00DE12A3" w:rsidRDefault="002A1030" w:rsidP="00AA5E93">
            <w:pPr>
              <w:pStyle w:val="NormalLeft"/>
            </w:pPr>
            <w:r w:rsidRPr="00DE12A3">
              <w:lastRenderedPageBreak/>
              <w:t>ṁ</w:t>
            </w:r>
            <w:r w:rsidRPr="00DE12A3">
              <w:rPr>
                <w:vertAlign w:val="subscript"/>
              </w:rPr>
              <w:t>liquid</w:t>
            </w:r>
          </w:p>
        </w:tc>
        <w:tc>
          <w:tcPr>
            <w:tcW w:w="0" w:type="auto"/>
          </w:tcPr>
          <w:p w14:paraId="361F2EB2" w14:textId="77777777" w:rsidR="002A1030" w:rsidRPr="00DE12A3" w:rsidRDefault="002A1030" w:rsidP="00AA5E93">
            <w:pPr>
              <w:pStyle w:val="NormalLeft"/>
            </w:pPr>
            <w:r w:rsidRPr="00DE12A3">
              <w:t>=</w:t>
            </w:r>
          </w:p>
        </w:tc>
        <w:tc>
          <w:tcPr>
            <w:tcW w:w="0" w:type="auto"/>
          </w:tcPr>
          <w:p w14:paraId="654F2B1E" w14:textId="3DB337DE" w:rsidR="002A1030" w:rsidRPr="00DE12A3" w:rsidRDefault="00773274" w:rsidP="00AA5E93">
            <w:pPr>
              <w:spacing w:before="120" w:after="120"/>
              <w:rPr>
                <w:rFonts w:cs="Times New Roman"/>
                <w:color w:val="auto"/>
              </w:rPr>
            </w:pPr>
            <w:r w:rsidRPr="00DE12A3">
              <w:rPr>
                <w:rFonts w:cs="Times New Roman"/>
                <w:color w:val="auto"/>
              </w:rPr>
              <w:t>Sıvı</w:t>
            </w:r>
            <w:r w:rsidR="002A1030" w:rsidRPr="00DE12A3">
              <w:rPr>
                <w:rFonts w:cs="Times New Roman"/>
                <w:color w:val="auto"/>
              </w:rPr>
              <w:t xml:space="preserve"> yakıtın kütle akış hızı, [kg/hr]</w:t>
            </w:r>
            <w:r w:rsidR="00393457" w:rsidRPr="00DE12A3">
              <w:rPr>
                <w:rFonts w:cs="Times New Roman"/>
                <w:color w:val="auto"/>
              </w:rPr>
              <w:t>.</w:t>
            </w:r>
          </w:p>
        </w:tc>
      </w:tr>
      <w:tr w:rsidR="002A1030" w:rsidRPr="00DE12A3" w14:paraId="1C271224" w14:textId="77777777" w:rsidTr="002000F9">
        <w:trPr>
          <w:trHeight w:val="663"/>
          <w:jc w:val="center"/>
        </w:trPr>
        <w:tc>
          <w:tcPr>
            <w:tcW w:w="0" w:type="auto"/>
          </w:tcPr>
          <w:p w14:paraId="1A255487" w14:textId="77777777" w:rsidR="002A1030" w:rsidRPr="00DE12A3" w:rsidRDefault="002A1030" w:rsidP="00AA5E93">
            <w:pPr>
              <w:pStyle w:val="NormalLeft"/>
            </w:pPr>
            <w:r w:rsidRPr="00DE12A3">
              <w:t>ṁ</w:t>
            </w:r>
            <w:r w:rsidRPr="00DE12A3">
              <w:rPr>
                <w:vertAlign w:val="subscript"/>
              </w:rPr>
              <w:t>gas</w:t>
            </w:r>
          </w:p>
        </w:tc>
        <w:tc>
          <w:tcPr>
            <w:tcW w:w="0" w:type="auto"/>
          </w:tcPr>
          <w:p w14:paraId="25288314" w14:textId="77777777" w:rsidR="002A1030" w:rsidRPr="00DE12A3" w:rsidRDefault="002A1030" w:rsidP="00AA5E93">
            <w:pPr>
              <w:pStyle w:val="NormalLeft"/>
            </w:pPr>
            <w:r w:rsidRPr="00DE12A3">
              <w:t>=</w:t>
            </w:r>
          </w:p>
        </w:tc>
        <w:tc>
          <w:tcPr>
            <w:tcW w:w="0" w:type="auto"/>
          </w:tcPr>
          <w:p w14:paraId="1E396D69" w14:textId="2B6389FC" w:rsidR="002A1030" w:rsidRPr="00DE12A3" w:rsidRDefault="00773274" w:rsidP="00AA5E93">
            <w:pPr>
              <w:spacing w:before="120" w:after="120"/>
              <w:rPr>
                <w:rFonts w:cs="Times New Roman"/>
                <w:color w:val="auto"/>
              </w:rPr>
            </w:pPr>
            <w:r w:rsidRPr="00DE12A3">
              <w:rPr>
                <w:rFonts w:cs="Times New Roman"/>
                <w:color w:val="auto"/>
              </w:rPr>
              <w:t>Gaz</w:t>
            </w:r>
            <w:r w:rsidR="002A1030" w:rsidRPr="00DE12A3">
              <w:rPr>
                <w:rFonts w:cs="Times New Roman"/>
                <w:color w:val="auto"/>
              </w:rPr>
              <w:t xml:space="preserve"> yakıtın kütle akış hızı, [kg/hr].</w:t>
            </w:r>
          </w:p>
        </w:tc>
      </w:tr>
    </w:tbl>
    <w:p w14:paraId="21EF9D03" w14:textId="77777777" w:rsidR="00E312C6" w:rsidRPr="00DE12A3" w:rsidRDefault="00E312C6" w:rsidP="00051047">
      <w:pPr>
        <w:rPr>
          <w:color w:val="auto"/>
        </w:rPr>
      </w:pPr>
    </w:p>
    <w:p w14:paraId="00673CD5" w14:textId="0DF342F6" w:rsidR="00E312C6" w:rsidRPr="00DE12A3" w:rsidRDefault="005F4B63" w:rsidP="005F4B63">
      <w:pPr>
        <w:rPr>
          <w:bCs/>
          <w:i/>
          <w:color w:val="auto"/>
        </w:rPr>
      </w:pPr>
      <w:r w:rsidRPr="00DE12A3">
        <w:rPr>
          <w:bCs/>
          <w:color w:val="auto"/>
        </w:rPr>
        <w:t>7.3.</w:t>
      </w:r>
      <w:r w:rsidR="00E312C6" w:rsidRPr="00DE12A3">
        <w:rPr>
          <w:bCs/>
          <w:color w:val="auto"/>
        </w:rPr>
        <w:t xml:space="preserve"> CO</w:t>
      </w:r>
      <w:r w:rsidR="00E312C6" w:rsidRPr="00DE12A3">
        <w:rPr>
          <w:bCs/>
          <w:color w:val="auto"/>
          <w:vertAlign w:val="subscript"/>
        </w:rPr>
        <w:t>2</w:t>
      </w:r>
      <w:r w:rsidR="00E312C6" w:rsidRPr="00DE12A3">
        <w:rPr>
          <w:bCs/>
          <w:color w:val="auto"/>
        </w:rPr>
        <w:t xml:space="preserve"> tespiti</w:t>
      </w:r>
    </w:p>
    <w:p w14:paraId="13956876" w14:textId="4263554B" w:rsidR="00E312C6" w:rsidRPr="00DE12A3" w:rsidRDefault="00E312C6" w:rsidP="005F4B63">
      <w:pPr>
        <w:jc w:val="both"/>
        <w:rPr>
          <w:i/>
          <w:color w:val="auto"/>
        </w:rPr>
      </w:pPr>
      <w:r w:rsidRPr="00DE12A3">
        <w:rPr>
          <w:color w:val="auto"/>
        </w:rPr>
        <w:t xml:space="preserve">Motorun, ham gaz örneklemesi kullanılarak süreksiz (NRTC ve LSI-NRTC) test </w:t>
      </w:r>
      <w:r w:rsidR="00F310B5" w:rsidRPr="00DE12A3">
        <w:rPr>
          <w:color w:val="auto"/>
        </w:rPr>
        <w:t>çevrim</w:t>
      </w:r>
      <w:r w:rsidRPr="00DE12A3">
        <w:rPr>
          <w:color w:val="auto"/>
        </w:rPr>
        <w:t xml:space="preserve">leri veya RMC üzerinde test edildiği durumlar dışında </w:t>
      </w:r>
      <w:r w:rsidR="00FA0678" w:rsidRPr="00DE12A3">
        <w:rPr>
          <w:color w:val="auto"/>
        </w:rPr>
        <w:t xml:space="preserve">VII’nci </w:t>
      </w:r>
      <w:r w:rsidR="00773274" w:rsidRPr="00DE12A3">
        <w:rPr>
          <w:color w:val="auto"/>
        </w:rPr>
        <w:t>E</w:t>
      </w:r>
      <w:r w:rsidR="00FA0678" w:rsidRPr="00DE12A3">
        <w:rPr>
          <w:color w:val="auto"/>
        </w:rPr>
        <w:t>k</w:t>
      </w:r>
      <w:r w:rsidRPr="00DE12A3">
        <w:rPr>
          <w:color w:val="auto"/>
        </w:rPr>
        <w:t xml:space="preserve"> uygulanır.</w:t>
      </w:r>
    </w:p>
    <w:p w14:paraId="65D5295E" w14:textId="631F7A26" w:rsidR="00E312C6" w:rsidRPr="00DE12A3" w:rsidRDefault="005F4B63" w:rsidP="005F4B63">
      <w:pPr>
        <w:spacing w:before="120" w:after="120"/>
        <w:jc w:val="both"/>
        <w:rPr>
          <w:bCs/>
          <w:i/>
          <w:color w:val="auto"/>
        </w:rPr>
      </w:pPr>
      <w:r w:rsidRPr="00DE12A3">
        <w:rPr>
          <w:bCs/>
          <w:color w:val="auto"/>
        </w:rPr>
        <w:t>7.3.1.</w:t>
      </w:r>
      <w:r w:rsidR="00E312C6" w:rsidRPr="00DE12A3">
        <w:rPr>
          <w:bCs/>
          <w:color w:val="auto"/>
        </w:rPr>
        <w:t xml:space="preserve"> Ham gaz örneklemesi kullanılarak süreksiz (NRTC ve LSI-NRTC) test </w:t>
      </w:r>
      <w:r w:rsidR="00F310B5" w:rsidRPr="00DE12A3">
        <w:rPr>
          <w:bCs/>
          <w:color w:val="auto"/>
        </w:rPr>
        <w:t>çevrim</w:t>
      </w:r>
      <w:r w:rsidR="00E312C6" w:rsidRPr="00DE12A3">
        <w:rPr>
          <w:bCs/>
          <w:color w:val="auto"/>
        </w:rPr>
        <w:t>leri veya RMC üzerinde test yapılırken CO</w:t>
      </w:r>
      <w:r w:rsidR="00E312C6" w:rsidRPr="00DE12A3">
        <w:rPr>
          <w:bCs/>
          <w:color w:val="auto"/>
          <w:vertAlign w:val="subscript"/>
        </w:rPr>
        <w:t>2</w:t>
      </w:r>
      <w:r w:rsidR="00E312C6" w:rsidRPr="00DE12A3">
        <w:rPr>
          <w:bCs/>
          <w:color w:val="auto"/>
        </w:rPr>
        <w:t xml:space="preserve"> tespiti</w:t>
      </w:r>
    </w:p>
    <w:p w14:paraId="3DA0F3B1" w14:textId="4F2BA4CB" w:rsidR="00E312C6" w:rsidRPr="00DE12A3" w:rsidRDefault="00E312C6" w:rsidP="005F4B63">
      <w:pPr>
        <w:jc w:val="both"/>
        <w:rPr>
          <w:color w:val="auto"/>
        </w:rPr>
      </w:pPr>
      <w:r w:rsidRPr="00DE12A3">
        <w:rPr>
          <w:color w:val="auto"/>
        </w:rPr>
        <w:t>VII</w:t>
      </w:r>
      <w:r w:rsidR="00B32A92" w:rsidRPr="00DE12A3">
        <w:rPr>
          <w:color w:val="auto"/>
        </w:rPr>
        <w:t>’nci</w:t>
      </w:r>
      <w:r w:rsidRPr="00DE12A3">
        <w:rPr>
          <w:color w:val="auto"/>
        </w:rPr>
        <w:t xml:space="preserve"> Ek uyarınca egzoz gazındaki CO</w:t>
      </w:r>
      <w:r w:rsidRPr="00DE12A3">
        <w:rPr>
          <w:color w:val="auto"/>
          <w:vertAlign w:val="subscript"/>
        </w:rPr>
        <w:t>2</w:t>
      </w:r>
      <w:r w:rsidRPr="00DE12A3">
        <w:rPr>
          <w:color w:val="auto"/>
        </w:rPr>
        <w:t xml:space="preserve"> ölçümünden kaynaklanan CO</w:t>
      </w:r>
      <w:r w:rsidRPr="00DE12A3">
        <w:rPr>
          <w:color w:val="auto"/>
          <w:vertAlign w:val="subscript"/>
        </w:rPr>
        <w:t>2</w:t>
      </w:r>
      <w:r w:rsidRPr="00DE12A3">
        <w:rPr>
          <w:color w:val="auto"/>
        </w:rPr>
        <w:t xml:space="preserve"> emisyonlarının hesaplanması işlemi uygulanmaz. Bunun yerine aşağıdaki hükümler uygulanır:</w:t>
      </w:r>
    </w:p>
    <w:p w14:paraId="54944BED" w14:textId="77777777" w:rsidR="005F4B63" w:rsidRPr="00DE12A3" w:rsidRDefault="005F4B63" w:rsidP="005F4B63">
      <w:pPr>
        <w:jc w:val="both"/>
        <w:rPr>
          <w:i/>
          <w:color w:val="auto"/>
        </w:rPr>
      </w:pPr>
    </w:p>
    <w:p w14:paraId="62B1929C" w14:textId="74E253E8" w:rsidR="00E312C6" w:rsidRPr="00DE12A3" w:rsidRDefault="00E312C6" w:rsidP="005F4B63">
      <w:pPr>
        <w:jc w:val="both"/>
        <w:rPr>
          <w:color w:val="auto"/>
        </w:rPr>
      </w:pPr>
      <w:r w:rsidRPr="00DE12A3">
        <w:rPr>
          <w:color w:val="auto"/>
        </w:rPr>
        <w:t xml:space="preserve">Ölçülen test ortalaması yakıt tüketimi, </w:t>
      </w:r>
      <w:r w:rsidR="00F310B5" w:rsidRPr="00DE12A3">
        <w:rPr>
          <w:color w:val="auto"/>
        </w:rPr>
        <w:t>çevrim</w:t>
      </w:r>
      <w:r w:rsidRPr="00DE12A3">
        <w:rPr>
          <w:color w:val="auto"/>
        </w:rPr>
        <w:t xml:space="preserve"> üzerindeki anlık değerlerin toplamı kullanılarak belirlenmeli ve test ortalaması CO</w:t>
      </w:r>
      <w:r w:rsidRPr="00DE12A3">
        <w:rPr>
          <w:color w:val="auto"/>
          <w:vertAlign w:val="subscript"/>
        </w:rPr>
        <w:t>2</w:t>
      </w:r>
      <w:r w:rsidRPr="00DE12A3">
        <w:rPr>
          <w:color w:val="auto"/>
        </w:rPr>
        <w:t xml:space="preserve"> emisyonlarının hesaplanmasında esas olarak kullanılmalıdır.</w:t>
      </w:r>
    </w:p>
    <w:p w14:paraId="29B9E5B7" w14:textId="77777777" w:rsidR="005F4B63" w:rsidRPr="00DE12A3" w:rsidRDefault="005F4B63" w:rsidP="005F4B63">
      <w:pPr>
        <w:jc w:val="both"/>
        <w:rPr>
          <w:i/>
          <w:color w:val="auto"/>
        </w:rPr>
      </w:pPr>
    </w:p>
    <w:p w14:paraId="5152452F" w14:textId="1AA9047C" w:rsidR="00E312C6" w:rsidRPr="00DE12A3" w:rsidRDefault="00E312C6" w:rsidP="005F4B63">
      <w:pPr>
        <w:jc w:val="both"/>
        <w:rPr>
          <w:color w:val="auto"/>
        </w:rPr>
      </w:pPr>
      <w:r w:rsidRPr="00DE12A3">
        <w:rPr>
          <w:color w:val="auto"/>
        </w:rPr>
        <w:t xml:space="preserve">Tüketilen her yakıtın kütlesi, 7.1.5 </w:t>
      </w:r>
      <w:r w:rsidR="00393457" w:rsidRPr="00DE12A3">
        <w:rPr>
          <w:color w:val="auto"/>
        </w:rPr>
        <w:t xml:space="preserve">bendi </w:t>
      </w:r>
      <w:r w:rsidRPr="00DE12A3">
        <w:rPr>
          <w:color w:val="auto"/>
        </w:rPr>
        <w:t>uyarınca, molar hidrojen oranını ve testteki yakıt karışımının kütle oranlarını belirlemek için kullanılmalıdır.</w:t>
      </w:r>
    </w:p>
    <w:p w14:paraId="4E04E365" w14:textId="77777777" w:rsidR="005F4B63" w:rsidRPr="00DE12A3" w:rsidRDefault="005F4B63" w:rsidP="005F4B63">
      <w:pPr>
        <w:jc w:val="both"/>
        <w:rPr>
          <w:i/>
          <w:color w:val="auto"/>
        </w:rPr>
      </w:pPr>
    </w:p>
    <w:p w14:paraId="5C350619" w14:textId="611DD21A" w:rsidR="00E312C6" w:rsidRPr="00DE12A3" w:rsidRDefault="00E312C6" w:rsidP="005F4B63">
      <w:pPr>
        <w:jc w:val="both"/>
        <w:rPr>
          <w:i/>
          <w:color w:val="auto"/>
        </w:rPr>
      </w:pPr>
      <w:r w:rsidRPr="00DE12A3">
        <w:rPr>
          <w:color w:val="auto"/>
        </w:rPr>
        <w:t>Hem her iki yakıtın toplam düzeltilmiş yakıt kütlesi m</w:t>
      </w:r>
      <w:r w:rsidRPr="00DE12A3">
        <w:rPr>
          <w:color w:val="auto"/>
          <w:vertAlign w:val="subscript"/>
        </w:rPr>
        <w:t xml:space="preserve">fuel,corr </w:t>
      </w:r>
      <w:r w:rsidRPr="00DE12A3">
        <w:rPr>
          <w:color w:val="auto"/>
        </w:rPr>
        <w:t>[g/test], hem de yakıttan gelen CO</w:t>
      </w:r>
      <w:r w:rsidRPr="00DE12A3">
        <w:rPr>
          <w:color w:val="auto"/>
          <w:vertAlign w:val="subscript"/>
        </w:rPr>
        <w:t>2</w:t>
      </w:r>
      <w:r w:rsidRPr="00DE12A3">
        <w:rPr>
          <w:color w:val="auto"/>
        </w:rPr>
        <w:t xml:space="preserve"> kütle emisyonu m</w:t>
      </w:r>
      <w:r w:rsidRPr="00DE12A3">
        <w:rPr>
          <w:color w:val="auto"/>
          <w:vertAlign w:val="subscript"/>
        </w:rPr>
        <w:t xml:space="preserve">CO2,fuel </w:t>
      </w:r>
      <w:r w:rsidRPr="00DE12A3">
        <w:rPr>
          <w:color w:val="auto"/>
        </w:rPr>
        <w:t xml:space="preserve">[g/test], (8-17) ve (8-18) </w:t>
      </w:r>
      <w:r w:rsidR="00393457" w:rsidRPr="00DE12A3">
        <w:rPr>
          <w:color w:val="auto"/>
        </w:rPr>
        <w:t xml:space="preserve">numaralı </w:t>
      </w:r>
      <w:r w:rsidRPr="00DE12A3">
        <w:rPr>
          <w:color w:val="auto"/>
        </w:rPr>
        <w:t>denklemler ile belirlenmelidir.</w:t>
      </w:r>
    </w:p>
    <w:p w14:paraId="7937C7BE" w14:textId="77777777" w:rsidR="009F4766" w:rsidRPr="00DE12A3" w:rsidRDefault="009F4766" w:rsidP="00C917D6">
      <w:pPr>
        <w:spacing w:before="120" w:after="120"/>
        <w:rPr>
          <w:rFonts w:cs="Times New Roman"/>
          <w:color w:val="auto"/>
        </w:rPr>
      </w:pPr>
    </w:p>
    <w:tbl>
      <w:tblPr>
        <w:tblW w:w="0" w:type="auto"/>
        <w:tblInd w:w="1242" w:type="dxa"/>
        <w:tblLayout w:type="fixed"/>
        <w:tblLook w:val="0000" w:firstRow="0" w:lastRow="0" w:firstColumn="0" w:lastColumn="0" w:noHBand="0" w:noVBand="0"/>
      </w:tblPr>
      <w:tblGrid>
        <w:gridCol w:w="6697"/>
        <w:gridCol w:w="929"/>
      </w:tblGrid>
      <w:tr w:rsidR="00DE12A3" w:rsidRPr="00DE12A3" w14:paraId="3A76E780" w14:textId="77777777" w:rsidTr="002000F9">
        <w:tc>
          <w:tcPr>
            <w:tcW w:w="6697" w:type="dxa"/>
          </w:tcPr>
          <w:p w14:paraId="6BF6BBFB" w14:textId="77777777" w:rsidR="009F4766" w:rsidRPr="00DE12A3" w:rsidRDefault="009F4766" w:rsidP="00C917D6">
            <w:pPr>
              <w:pStyle w:val="NormalLeft"/>
            </w:pPr>
          </w:p>
          <w:p w14:paraId="7396850A" w14:textId="39379EA8" w:rsidR="009F4766" w:rsidRPr="00DE12A3" w:rsidRDefault="009F4766" w:rsidP="00C917D6">
            <w:pPr>
              <w:pStyle w:val="NormalLeft"/>
            </w:pPr>
            <w:r w:rsidRPr="00DE12A3">
              <w:rPr>
                <w:noProof/>
                <w:lang w:val="tr-TR"/>
              </w:rPr>
              <w:drawing>
                <wp:inline distT="0" distB="0" distL="0" distR="0" wp14:anchorId="4B669D3E" wp14:editId="3AAB3F32">
                  <wp:extent cx="3947423" cy="716280"/>
                  <wp:effectExtent l="0" t="0" r="0" b="7620"/>
                  <wp:docPr id="1998" name="Resim 19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266">
                            <a:extLst>
                              <a:ext uri="{28A0092B-C50C-407E-A947-70E740481C1C}">
                                <a14:useLocalDpi xmlns:a14="http://schemas.microsoft.com/office/drawing/2010/main" val="0"/>
                              </a:ext>
                            </a:extLst>
                          </a:blip>
                          <a:srcRect/>
                          <a:stretch>
                            <a:fillRect/>
                          </a:stretch>
                        </pic:blipFill>
                        <pic:spPr bwMode="auto">
                          <a:xfrm>
                            <a:off x="0" y="0"/>
                            <a:ext cx="4013700" cy="728306"/>
                          </a:xfrm>
                          <a:prstGeom prst="rect">
                            <a:avLst/>
                          </a:prstGeom>
                          <a:noFill/>
                          <a:ln>
                            <a:noFill/>
                          </a:ln>
                        </pic:spPr>
                      </pic:pic>
                    </a:graphicData>
                  </a:graphic>
                </wp:inline>
              </w:drawing>
            </w:r>
          </w:p>
          <w:p w14:paraId="707AD062" w14:textId="77777777" w:rsidR="009F4766" w:rsidRPr="00DE12A3" w:rsidRDefault="009F4766" w:rsidP="00C917D6">
            <w:pPr>
              <w:pStyle w:val="NormalLeft"/>
            </w:pPr>
          </w:p>
        </w:tc>
        <w:tc>
          <w:tcPr>
            <w:tcW w:w="929" w:type="dxa"/>
          </w:tcPr>
          <w:p w14:paraId="32993444" w14:textId="77777777" w:rsidR="009F4766" w:rsidRPr="00DE12A3" w:rsidRDefault="009F4766" w:rsidP="00C917D6">
            <w:pPr>
              <w:pStyle w:val="NormalLeft"/>
            </w:pPr>
            <w:r w:rsidRPr="00DE12A3">
              <w:t>(8-17)</w:t>
            </w:r>
          </w:p>
        </w:tc>
      </w:tr>
      <w:tr w:rsidR="009F4766" w:rsidRPr="00DE12A3" w14:paraId="1AD8B860" w14:textId="77777777" w:rsidTr="002000F9">
        <w:tc>
          <w:tcPr>
            <w:tcW w:w="6697" w:type="dxa"/>
          </w:tcPr>
          <w:p w14:paraId="7E9BE852" w14:textId="77777777" w:rsidR="009F4766" w:rsidRPr="00DE12A3" w:rsidRDefault="009F4766" w:rsidP="00C917D6">
            <w:pPr>
              <w:pStyle w:val="NormalLeft"/>
            </w:pPr>
          </w:p>
          <w:p w14:paraId="3E2C954A" w14:textId="64B73A1F" w:rsidR="009F4766" w:rsidRPr="00DE12A3" w:rsidRDefault="009F4766" w:rsidP="00C917D6">
            <w:pPr>
              <w:pStyle w:val="NormalLeft"/>
            </w:pPr>
            <w:r w:rsidRPr="00DE12A3">
              <w:rPr>
                <w:noProof/>
                <w:lang w:val="tr-TR"/>
              </w:rPr>
              <w:drawing>
                <wp:inline distT="0" distB="0" distL="0" distR="0" wp14:anchorId="56A43BAD" wp14:editId="759245DE">
                  <wp:extent cx="3962400" cy="644525"/>
                  <wp:effectExtent l="0" t="0" r="0" b="3175"/>
                  <wp:docPr id="1989" name="Resim 19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267">
                            <a:extLst>
                              <a:ext uri="{28A0092B-C50C-407E-A947-70E740481C1C}">
                                <a14:useLocalDpi xmlns:a14="http://schemas.microsoft.com/office/drawing/2010/main" val="0"/>
                              </a:ext>
                            </a:extLst>
                          </a:blip>
                          <a:srcRect/>
                          <a:stretch>
                            <a:fillRect/>
                          </a:stretch>
                        </pic:blipFill>
                        <pic:spPr bwMode="auto">
                          <a:xfrm>
                            <a:off x="0" y="0"/>
                            <a:ext cx="3962400" cy="644525"/>
                          </a:xfrm>
                          <a:prstGeom prst="rect">
                            <a:avLst/>
                          </a:prstGeom>
                          <a:noFill/>
                          <a:ln>
                            <a:noFill/>
                          </a:ln>
                        </pic:spPr>
                      </pic:pic>
                    </a:graphicData>
                  </a:graphic>
                </wp:inline>
              </w:drawing>
            </w:r>
          </w:p>
          <w:p w14:paraId="4F680954" w14:textId="77777777" w:rsidR="009F4766" w:rsidRPr="00DE12A3" w:rsidRDefault="009F4766" w:rsidP="00C917D6">
            <w:pPr>
              <w:pStyle w:val="NormalLeft"/>
            </w:pPr>
          </w:p>
        </w:tc>
        <w:tc>
          <w:tcPr>
            <w:tcW w:w="929" w:type="dxa"/>
          </w:tcPr>
          <w:p w14:paraId="653AC65D" w14:textId="77777777" w:rsidR="009F4766" w:rsidRPr="00DE12A3" w:rsidRDefault="009F4766" w:rsidP="00C917D6">
            <w:pPr>
              <w:pStyle w:val="NormalLeft"/>
            </w:pPr>
            <w:r w:rsidRPr="00DE12A3">
              <w:t>(8-18)</w:t>
            </w:r>
          </w:p>
        </w:tc>
      </w:tr>
    </w:tbl>
    <w:p w14:paraId="07260582" w14:textId="77777777" w:rsidR="009F4766" w:rsidRPr="00DE12A3" w:rsidRDefault="009F4766" w:rsidP="00C917D6">
      <w:pPr>
        <w:spacing w:before="120" w:after="120"/>
        <w:rPr>
          <w:rFonts w:cs="Times New Roman"/>
          <w:color w:val="auto"/>
        </w:rPr>
      </w:pPr>
    </w:p>
    <w:p w14:paraId="58ADFC67" w14:textId="77777777" w:rsidR="009F4766" w:rsidRPr="00DE12A3" w:rsidRDefault="008B3D9F" w:rsidP="00287809">
      <w:pPr>
        <w:spacing w:before="120" w:after="120"/>
        <w:rPr>
          <w:rFonts w:cs="Times New Roman"/>
          <w:color w:val="auto"/>
        </w:rPr>
      </w:pPr>
      <w:r w:rsidRPr="00DE12A3">
        <w:rPr>
          <w:rFonts w:cs="Times New Roman"/>
          <w:color w:val="auto"/>
        </w:rPr>
        <w:t>Burada</w:t>
      </w:r>
      <w:r w:rsidR="009F4766" w:rsidRPr="00DE12A3">
        <w:rPr>
          <w:rFonts w:cs="Times New Roman"/>
          <w:color w:val="auto"/>
        </w:rPr>
        <w:t>:</w:t>
      </w:r>
    </w:p>
    <w:tbl>
      <w:tblPr>
        <w:tblW w:w="0" w:type="auto"/>
        <w:tblInd w:w="1242" w:type="dxa"/>
        <w:tblLayout w:type="fixed"/>
        <w:tblLook w:val="0000" w:firstRow="0" w:lastRow="0" w:firstColumn="0" w:lastColumn="0" w:noHBand="0" w:noVBand="0"/>
      </w:tblPr>
      <w:tblGrid>
        <w:gridCol w:w="1418"/>
        <w:gridCol w:w="283"/>
        <w:gridCol w:w="5646"/>
      </w:tblGrid>
      <w:tr w:rsidR="00DE12A3" w:rsidRPr="00DE12A3" w14:paraId="151E786B" w14:textId="77777777" w:rsidTr="002000F9">
        <w:tc>
          <w:tcPr>
            <w:tcW w:w="1418" w:type="dxa"/>
          </w:tcPr>
          <w:p w14:paraId="25B8F3C1" w14:textId="77777777" w:rsidR="00D77BFF" w:rsidRPr="00DE12A3" w:rsidRDefault="00D77BFF" w:rsidP="00C917D6">
            <w:pPr>
              <w:pStyle w:val="NormalLeft"/>
            </w:pPr>
            <w:r w:rsidRPr="00DE12A3">
              <w:rPr>
                <w:i/>
                <w:iCs/>
              </w:rPr>
              <w:t>m</w:t>
            </w:r>
            <w:r w:rsidRPr="00DE12A3">
              <w:rPr>
                <w:vertAlign w:val="subscript"/>
              </w:rPr>
              <w:t>fuel</w:t>
            </w:r>
          </w:p>
        </w:tc>
        <w:tc>
          <w:tcPr>
            <w:tcW w:w="283" w:type="dxa"/>
          </w:tcPr>
          <w:p w14:paraId="436C0203" w14:textId="77777777" w:rsidR="00D77BFF" w:rsidRPr="00DE12A3" w:rsidRDefault="00D77BFF" w:rsidP="00C917D6">
            <w:pPr>
              <w:pStyle w:val="NormalLeft"/>
            </w:pPr>
            <w:r w:rsidRPr="00DE12A3">
              <w:t>=</w:t>
            </w:r>
          </w:p>
        </w:tc>
        <w:tc>
          <w:tcPr>
            <w:tcW w:w="5646" w:type="dxa"/>
          </w:tcPr>
          <w:p w14:paraId="21961132" w14:textId="68CAE0B6" w:rsidR="00D77BFF" w:rsidRPr="00DE12A3" w:rsidRDefault="00773274" w:rsidP="00C917D6">
            <w:pPr>
              <w:spacing w:before="120" w:after="120"/>
              <w:rPr>
                <w:rFonts w:cs="Times New Roman"/>
                <w:color w:val="auto"/>
              </w:rPr>
            </w:pPr>
            <w:r w:rsidRPr="00DE12A3">
              <w:rPr>
                <w:rFonts w:cs="Times New Roman"/>
                <w:color w:val="auto"/>
              </w:rPr>
              <w:t>Her</w:t>
            </w:r>
            <w:r w:rsidR="00D77BFF" w:rsidRPr="00DE12A3">
              <w:rPr>
                <w:rFonts w:cs="Times New Roman"/>
                <w:color w:val="auto"/>
              </w:rPr>
              <w:t xml:space="preserve"> iki yakıtın toplam yakıt kütlesi [g/test]</w:t>
            </w:r>
          </w:p>
        </w:tc>
      </w:tr>
      <w:tr w:rsidR="00DE12A3" w:rsidRPr="00DE12A3" w14:paraId="04D4F587" w14:textId="77777777" w:rsidTr="002000F9">
        <w:tc>
          <w:tcPr>
            <w:tcW w:w="1418" w:type="dxa"/>
          </w:tcPr>
          <w:p w14:paraId="4CFE5EC3" w14:textId="77777777" w:rsidR="00D77BFF" w:rsidRPr="00DE12A3" w:rsidRDefault="00D77BFF" w:rsidP="00C917D6">
            <w:pPr>
              <w:pStyle w:val="NormalLeft"/>
            </w:pPr>
            <w:r w:rsidRPr="00DE12A3">
              <w:rPr>
                <w:i/>
                <w:iCs/>
              </w:rPr>
              <w:t>m</w:t>
            </w:r>
            <w:r w:rsidRPr="00DE12A3">
              <w:rPr>
                <w:vertAlign w:val="subscript"/>
              </w:rPr>
              <w:t>THC</w:t>
            </w:r>
          </w:p>
        </w:tc>
        <w:tc>
          <w:tcPr>
            <w:tcW w:w="283" w:type="dxa"/>
          </w:tcPr>
          <w:p w14:paraId="55863A07" w14:textId="77777777" w:rsidR="00D77BFF" w:rsidRPr="00DE12A3" w:rsidRDefault="00D77BFF" w:rsidP="00C917D6">
            <w:pPr>
              <w:pStyle w:val="NormalLeft"/>
            </w:pPr>
            <w:r w:rsidRPr="00DE12A3">
              <w:t>=</w:t>
            </w:r>
          </w:p>
        </w:tc>
        <w:tc>
          <w:tcPr>
            <w:tcW w:w="5646" w:type="dxa"/>
          </w:tcPr>
          <w:p w14:paraId="196CFA8F" w14:textId="1F6704E1" w:rsidR="00D77BFF" w:rsidRPr="00DE12A3" w:rsidRDefault="00773274" w:rsidP="00C917D6">
            <w:pPr>
              <w:spacing w:before="120" w:after="120"/>
              <w:rPr>
                <w:rFonts w:cs="Times New Roman"/>
                <w:color w:val="auto"/>
              </w:rPr>
            </w:pPr>
            <w:r w:rsidRPr="00DE12A3">
              <w:rPr>
                <w:rFonts w:cs="Times New Roman"/>
                <w:color w:val="auto"/>
              </w:rPr>
              <w:t>Egzoz</w:t>
            </w:r>
            <w:r w:rsidR="00D77BFF" w:rsidRPr="00DE12A3">
              <w:rPr>
                <w:rFonts w:cs="Times New Roman"/>
                <w:color w:val="auto"/>
              </w:rPr>
              <w:t xml:space="preserve"> gazı içindeki toplam hidrokarbon emisyonu kütlesi [g/test]</w:t>
            </w:r>
          </w:p>
        </w:tc>
      </w:tr>
      <w:tr w:rsidR="00DE12A3" w:rsidRPr="00DE12A3" w14:paraId="55DA53E3" w14:textId="77777777" w:rsidTr="002000F9">
        <w:tc>
          <w:tcPr>
            <w:tcW w:w="1418" w:type="dxa"/>
          </w:tcPr>
          <w:p w14:paraId="78DBEAA5" w14:textId="77777777" w:rsidR="00D77BFF" w:rsidRPr="00DE12A3" w:rsidRDefault="00D77BFF" w:rsidP="00C917D6">
            <w:pPr>
              <w:pStyle w:val="NormalLeft"/>
            </w:pPr>
            <w:r w:rsidRPr="00DE12A3">
              <w:rPr>
                <w:i/>
                <w:iCs/>
              </w:rPr>
              <w:t>m</w:t>
            </w:r>
            <w:r w:rsidRPr="00DE12A3">
              <w:rPr>
                <w:vertAlign w:val="subscript"/>
              </w:rPr>
              <w:t>CO</w:t>
            </w:r>
          </w:p>
        </w:tc>
        <w:tc>
          <w:tcPr>
            <w:tcW w:w="283" w:type="dxa"/>
          </w:tcPr>
          <w:p w14:paraId="27C5BB65" w14:textId="77777777" w:rsidR="00D77BFF" w:rsidRPr="00DE12A3" w:rsidRDefault="00D77BFF" w:rsidP="00C917D6">
            <w:pPr>
              <w:pStyle w:val="NormalLeft"/>
            </w:pPr>
            <w:r w:rsidRPr="00DE12A3">
              <w:t>=</w:t>
            </w:r>
          </w:p>
        </w:tc>
        <w:tc>
          <w:tcPr>
            <w:tcW w:w="5646" w:type="dxa"/>
          </w:tcPr>
          <w:p w14:paraId="67B2EA7B" w14:textId="150B2038" w:rsidR="00D77BFF" w:rsidRPr="00DE12A3" w:rsidRDefault="00773274" w:rsidP="00C917D6">
            <w:pPr>
              <w:spacing w:before="120" w:after="120"/>
              <w:rPr>
                <w:rFonts w:cs="Times New Roman"/>
                <w:color w:val="auto"/>
              </w:rPr>
            </w:pPr>
            <w:r w:rsidRPr="00DE12A3">
              <w:rPr>
                <w:rFonts w:cs="Times New Roman"/>
                <w:color w:val="auto"/>
              </w:rPr>
              <w:t>Egzoz</w:t>
            </w:r>
            <w:r w:rsidR="00D77BFF" w:rsidRPr="00DE12A3">
              <w:rPr>
                <w:rFonts w:cs="Times New Roman"/>
                <w:color w:val="auto"/>
              </w:rPr>
              <w:t xml:space="preserve"> gazı içindeki karbon monoksit emisyonu kütlesi [g/test]</w:t>
            </w:r>
          </w:p>
        </w:tc>
      </w:tr>
      <w:tr w:rsidR="00DE12A3" w:rsidRPr="00DE12A3" w14:paraId="6BD0394B" w14:textId="77777777" w:rsidTr="002000F9">
        <w:tc>
          <w:tcPr>
            <w:tcW w:w="1418" w:type="dxa"/>
          </w:tcPr>
          <w:p w14:paraId="33D11830" w14:textId="77777777" w:rsidR="00D77BFF" w:rsidRPr="00DE12A3" w:rsidRDefault="00D77BFF" w:rsidP="00C917D6">
            <w:pPr>
              <w:pStyle w:val="NormalLeft"/>
            </w:pPr>
            <w:r w:rsidRPr="00DE12A3">
              <w:rPr>
                <w:i/>
                <w:iCs/>
              </w:rPr>
              <w:lastRenderedPageBreak/>
              <w:t>w</w:t>
            </w:r>
            <w:r w:rsidRPr="00DE12A3">
              <w:rPr>
                <w:vertAlign w:val="subscript"/>
              </w:rPr>
              <w:t>GAM</w:t>
            </w:r>
          </w:p>
        </w:tc>
        <w:tc>
          <w:tcPr>
            <w:tcW w:w="283" w:type="dxa"/>
          </w:tcPr>
          <w:p w14:paraId="7799B26A" w14:textId="77777777" w:rsidR="00D77BFF" w:rsidRPr="00DE12A3" w:rsidRDefault="00D77BFF" w:rsidP="00C917D6">
            <w:pPr>
              <w:pStyle w:val="NormalLeft"/>
            </w:pPr>
            <w:r w:rsidRPr="00DE12A3">
              <w:t>=</w:t>
            </w:r>
          </w:p>
        </w:tc>
        <w:tc>
          <w:tcPr>
            <w:tcW w:w="5646" w:type="dxa"/>
          </w:tcPr>
          <w:p w14:paraId="5E5E8990" w14:textId="3025BEC1" w:rsidR="00D77BFF" w:rsidRPr="00DE12A3" w:rsidRDefault="00773274" w:rsidP="00C917D6">
            <w:pPr>
              <w:spacing w:before="120" w:after="120"/>
              <w:rPr>
                <w:rFonts w:cs="Times New Roman"/>
                <w:color w:val="auto"/>
              </w:rPr>
            </w:pPr>
            <w:r w:rsidRPr="00DE12A3">
              <w:rPr>
                <w:rFonts w:cs="Times New Roman"/>
                <w:color w:val="auto"/>
              </w:rPr>
              <w:t>Yakıtların</w:t>
            </w:r>
            <w:r w:rsidR="00D77BFF" w:rsidRPr="00DE12A3">
              <w:rPr>
                <w:rFonts w:cs="Times New Roman"/>
                <w:color w:val="auto"/>
              </w:rPr>
              <w:t xml:space="preserve"> kükürt içeriği [yüzde kütle]</w:t>
            </w:r>
          </w:p>
        </w:tc>
      </w:tr>
      <w:tr w:rsidR="00DE12A3" w:rsidRPr="00DE12A3" w14:paraId="29C7BEF2" w14:textId="77777777" w:rsidTr="002000F9">
        <w:tc>
          <w:tcPr>
            <w:tcW w:w="1418" w:type="dxa"/>
          </w:tcPr>
          <w:p w14:paraId="2E32E63D" w14:textId="77777777" w:rsidR="00D77BFF" w:rsidRPr="00DE12A3" w:rsidRDefault="00D77BFF" w:rsidP="00C917D6">
            <w:pPr>
              <w:pStyle w:val="NormalLeft"/>
            </w:pPr>
            <w:r w:rsidRPr="00DE12A3">
              <w:rPr>
                <w:i/>
                <w:iCs/>
              </w:rPr>
              <w:t>w</w:t>
            </w:r>
            <w:r w:rsidRPr="00DE12A3">
              <w:rPr>
                <w:vertAlign w:val="subscript"/>
              </w:rPr>
              <w:t>DEL</w:t>
            </w:r>
          </w:p>
        </w:tc>
        <w:tc>
          <w:tcPr>
            <w:tcW w:w="283" w:type="dxa"/>
          </w:tcPr>
          <w:p w14:paraId="71B76C87" w14:textId="77777777" w:rsidR="00D77BFF" w:rsidRPr="00DE12A3" w:rsidRDefault="00D77BFF" w:rsidP="00C917D6">
            <w:pPr>
              <w:pStyle w:val="NormalLeft"/>
            </w:pPr>
            <w:r w:rsidRPr="00DE12A3">
              <w:t>=</w:t>
            </w:r>
          </w:p>
        </w:tc>
        <w:tc>
          <w:tcPr>
            <w:tcW w:w="5646" w:type="dxa"/>
          </w:tcPr>
          <w:p w14:paraId="24CB63FE" w14:textId="188CEC70" w:rsidR="00D77BFF" w:rsidRPr="00DE12A3" w:rsidRDefault="00773274" w:rsidP="00C917D6">
            <w:pPr>
              <w:spacing w:before="120" w:after="120"/>
              <w:rPr>
                <w:rFonts w:cs="Times New Roman"/>
                <w:color w:val="auto"/>
              </w:rPr>
            </w:pPr>
            <w:r w:rsidRPr="00DE12A3">
              <w:rPr>
                <w:rFonts w:cs="Times New Roman"/>
                <w:color w:val="auto"/>
              </w:rPr>
              <w:t>Yakıtların</w:t>
            </w:r>
            <w:r w:rsidR="00D77BFF" w:rsidRPr="00DE12A3">
              <w:rPr>
                <w:rFonts w:cs="Times New Roman"/>
                <w:color w:val="auto"/>
              </w:rPr>
              <w:t xml:space="preserve"> nitrojen içeriği [yüzde kütle]</w:t>
            </w:r>
          </w:p>
        </w:tc>
      </w:tr>
      <w:tr w:rsidR="00DE12A3" w:rsidRPr="00DE12A3" w14:paraId="43B901FB" w14:textId="77777777" w:rsidTr="002000F9">
        <w:tc>
          <w:tcPr>
            <w:tcW w:w="1418" w:type="dxa"/>
          </w:tcPr>
          <w:p w14:paraId="6EF5222D" w14:textId="77777777" w:rsidR="00D77BFF" w:rsidRPr="00DE12A3" w:rsidRDefault="00D77BFF" w:rsidP="00C917D6">
            <w:pPr>
              <w:pStyle w:val="NormalLeft"/>
            </w:pPr>
            <w:r w:rsidRPr="00DE12A3">
              <w:rPr>
                <w:i/>
                <w:iCs/>
              </w:rPr>
              <w:t>w</w:t>
            </w:r>
            <w:r w:rsidRPr="00DE12A3">
              <w:rPr>
                <w:vertAlign w:val="subscript"/>
              </w:rPr>
              <w:t>EPS</w:t>
            </w:r>
          </w:p>
        </w:tc>
        <w:tc>
          <w:tcPr>
            <w:tcW w:w="283" w:type="dxa"/>
          </w:tcPr>
          <w:p w14:paraId="4D2D1780" w14:textId="77777777" w:rsidR="00D77BFF" w:rsidRPr="00DE12A3" w:rsidRDefault="00D77BFF" w:rsidP="00C917D6">
            <w:pPr>
              <w:pStyle w:val="NormalLeft"/>
            </w:pPr>
            <w:r w:rsidRPr="00DE12A3">
              <w:t>=</w:t>
            </w:r>
          </w:p>
        </w:tc>
        <w:tc>
          <w:tcPr>
            <w:tcW w:w="5646" w:type="dxa"/>
          </w:tcPr>
          <w:p w14:paraId="55EB6CC7" w14:textId="3B5FE5EE" w:rsidR="00D77BFF" w:rsidRPr="00DE12A3" w:rsidRDefault="00773274" w:rsidP="00C917D6">
            <w:pPr>
              <w:spacing w:before="120" w:after="120"/>
              <w:rPr>
                <w:rFonts w:cs="Times New Roman"/>
                <w:color w:val="auto"/>
              </w:rPr>
            </w:pPr>
            <w:r w:rsidRPr="00DE12A3">
              <w:rPr>
                <w:rFonts w:cs="Times New Roman"/>
                <w:color w:val="auto"/>
              </w:rPr>
              <w:t>Yakıtların</w:t>
            </w:r>
            <w:r w:rsidR="00D77BFF" w:rsidRPr="00DE12A3">
              <w:rPr>
                <w:rFonts w:cs="Times New Roman"/>
                <w:color w:val="auto"/>
              </w:rPr>
              <w:t xml:space="preserve"> oksijen içeriği [yüzde kütle]</w:t>
            </w:r>
          </w:p>
        </w:tc>
      </w:tr>
      <w:tr w:rsidR="00DE12A3" w:rsidRPr="00DE12A3" w14:paraId="03B1BED7" w14:textId="77777777" w:rsidTr="002000F9">
        <w:tc>
          <w:tcPr>
            <w:tcW w:w="1418" w:type="dxa"/>
          </w:tcPr>
          <w:p w14:paraId="2B8DE568" w14:textId="77777777" w:rsidR="00D77BFF" w:rsidRPr="00DE12A3" w:rsidRDefault="00D77BFF" w:rsidP="00C917D6">
            <w:pPr>
              <w:pStyle w:val="NormalLeft"/>
            </w:pPr>
            <w:r w:rsidRPr="00DE12A3">
              <w:t>α</w:t>
            </w:r>
          </w:p>
        </w:tc>
        <w:tc>
          <w:tcPr>
            <w:tcW w:w="283" w:type="dxa"/>
          </w:tcPr>
          <w:p w14:paraId="7DA69DD8" w14:textId="77777777" w:rsidR="00D77BFF" w:rsidRPr="00DE12A3" w:rsidRDefault="00D77BFF" w:rsidP="00C917D6">
            <w:pPr>
              <w:pStyle w:val="NormalLeft"/>
            </w:pPr>
            <w:r w:rsidRPr="00DE12A3">
              <w:t>=</w:t>
            </w:r>
          </w:p>
        </w:tc>
        <w:tc>
          <w:tcPr>
            <w:tcW w:w="5646" w:type="dxa"/>
          </w:tcPr>
          <w:p w14:paraId="7C026A37" w14:textId="71FA3BAE" w:rsidR="00D77BFF" w:rsidRPr="00DE12A3" w:rsidRDefault="00773274" w:rsidP="00C917D6">
            <w:pPr>
              <w:spacing w:before="120" w:after="120"/>
              <w:rPr>
                <w:rFonts w:cs="Times New Roman"/>
                <w:color w:val="auto"/>
              </w:rPr>
            </w:pPr>
            <w:r w:rsidRPr="00DE12A3">
              <w:rPr>
                <w:rFonts w:cs="Times New Roman"/>
                <w:color w:val="auto"/>
              </w:rPr>
              <w:t>Yakıtların</w:t>
            </w:r>
            <w:r w:rsidR="00D77BFF" w:rsidRPr="00DE12A3">
              <w:rPr>
                <w:rFonts w:cs="Times New Roman"/>
                <w:color w:val="auto"/>
              </w:rPr>
              <w:t xml:space="preserve"> molar hidrojen oranı (H/C) [-]</w:t>
            </w:r>
          </w:p>
        </w:tc>
      </w:tr>
      <w:tr w:rsidR="00DE12A3" w:rsidRPr="00DE12A3" w14:paraId="3A2249A1" w14:textId="77777777" w:rsidTr="002000F9">
        <w:tc>
          <w:tcPr>
            <w:tcW w:w="1418" w:type="dxa"/>
          </w:tcPr>
          <w:p w14:paraId="54F2DF26" w14:textId="77777777" w:rsidR="00D77BFF" w:rsidRPr="00DE12A3" w:rsidRDefault="00D77BFF" w:rsidP="00C917D6">
            <w:pPr>
              <w:pStyle w:val="NormalLeft"/>
            </w:pPr>
            <w:r w:rsidRPr="00DE12A3">
              <w:rPr>
                <w:i/>
                <w:iCs/>
              </w:rPr>
              <w:t>A</w:t>
            </w:r>
            <w:r w:rsidRPr="00DE12A3">
              <w:rPr>
                <w:vertAlign w:val="subscript"/>
              </w:rPr>
              <w:t>C</w:t>
            </w:r>
          </w:p>
        </w:tc>
        <w:tc>
          <w:tcPr>
            <w:tcW w:w="283" w:type="dxa"/>
          </w:tcPr>
          <w:p w14:paraId="0467929E" w14:textId="77777777" w:rsidR="00D77BFF" w:rsidRPr="00DE12A3" w:rsidRDefault="00D77BFF" w:rsidP="00C917D6">
            <w:pPr>
              <w:pStyle w:val="NormalLeft"/>
            </w:pPr>
            <w:r w:rsidRPr="00DE12A3">
              <w:t>=</w:t>
            </w:r>
          </w:p>
        </w:tc>
        <w:tc>
          <w:tcPr>
            <w:tcW w:w="5646" w:type="dxa"/>
          </w:tcPr>
          <w:p w14:paraId="14707AC3" w14:textId="77777777" w:rsidR="00D77BFF" w:rsidRPr="00DE12A3" w:rsidRDefault="00D77BFF" w:rsidP="00C917D6">
            <w:pPr>
              <w:spacing w:before="120" w:after="120"/>
              <w:rPr>
                <w:rFonts w:cs="Times New Roman"/>
                <w:color w:val="auto"/>
              </w:rPr>
            </w:pPr>
            <w:r w:rsidRPr="00DE12A3">
              <w:rPr>
                <w:rFonts w:cs="Times New Roman"/>
                <w:color w:val="auto"/>
              </w:rPr>
              <w:t>Karbonun atomik kütlesi: 12,011 [g/mol]</w:t>
            </w:r>
          </w:p>
        </w:tc>
      </w:tr>
      <w:tr w:rsidR="00DE12A3" w:rsidRPr="00DE12A3" w14:paraId="50DACE8B" w14:textId="77777777" w:rsidTr="002000F9">
        <w:tc>
          <w:tcPr>
            <w:tcW w:w="1418" w:type="dxa"/>
          </w:tcPr>
          <w:p w14:paraId="506F8792" w14:textId="77777777" w:rsidR="00D77BFF" w:rsidRPr="00DE12A3" w:rsidRDefault="00D77BFF" w:rsidP="00C917D6">
            <w:pPr>
              <w:pStyle w:val="NormalLeft"/>
            </w:pPr>
            <w:r w:rsidRPr="00DE12A3">
              <w:rPr>
                <w:i/>
                <w:iCs/>
              </w:rPr>
              <w:t>A</w:t>
            </w:r>
            <w:r w:rsidRPr="00DE12A3">
              <w:rPr>
                <w:vertAlign w:val="subscript"/>
              </w:rPr>
              <w:t>H</w:t>
            </w:r>
          </w:p>
        </w:tc>
        <w:tc>
          <w:tcPr>
            <w:tcW w:w="283" w:type="dxa"/>
          </w:tcPr>
          <w:p w14:paraId="61B0BCF6" w14:textId="77777777" w:rsidR="00D77BFF" w:rsidRPr="00DE12A3" w:rsidRDefault="00D77BFF" w:rsidP="00C917D6">
            <w:pPr>
              <w:pStyle w:val="NormalLeft"/>
            </w:pPr>
            <w:r w:rsidRPr="00DE12A3">
              <w:t>=</w:t>
            </w:r>
          </w:p>
        </w:tc>
        <w:tc>
          <w:tcPr>
            <w:tcW w:w="5646" w:type="dxa"/>
          </w:tcPr>
          <w:p w14:paraId="544E09CD" w14:textId="77777777" w:rsidR="00D77BFF" w:rsidRPr="00DE12A3" w:rsidRDefault="00D77BFF" w:rsidP="00C917D6">
            <w:pPr>
              <w:spacing w:before="120" w:after="120"/>
              <w:rPr>
                <w:rFonts w:cs="Times New Roman"/>
                <w:color w:val="auto"/>
              </w:rPr>
            </w:pPr>
            <w:r w:rsidRPr="00DE12A3">
              <w:rPr>
                <w:rFonts w:cs="Times New Roman"/>
                <w:color w:val="auto"/>
              </w:rPr>
              <w:t>Hidrojenin atomik kütlesi: 1,0079 [g/mol]</w:t>
            </w:r>
          </w:p>
        </w:tc>
      </w:tr>
      <w:tr w:rsidR="00DE12A3" w:rsidRPr="00DE12A3" w14:paraId="3A1CD8D7" w14:textId="77777777" w:rsidTr="002000F9">
        <w:tc>
          <w:tcPr>
            <w:tcW w:w="1418" w:type="dxa"/>
          </w:tcPr>
          <w:p w14:paraId="753298DD" w14:textId="77777777" w:rsidR="00D77BFF" w:rsidRPr="00DE12A3" w:rsidRDefault="00D77BFF" w:rsidP="00C917D6">
            <w:pPr>
              <w:pStyle w:val="NormalLeft"/>
            </w:pPr>
            <w:r w:rsidRPr="00DE12A3">
              <w:rPr>
                <w:i/>
                <w:iCs/>
              </w:rPr>
              <w:t>M</w:t>
            </w:r>
            <w:r w:rsidRPr="00DE12A3">
              <w:rPr>
                <w:vertAlign w:val="subscript"/>
              </w:rPr>
              <w:t>CO</w:t>
            </w:r>
          </w:p>
        </w:tc>
        <w:tc>
          <w:tcPr>
            <w:tcW w:w="283" w:type="dxa"/>
          </w:tcPr>
          <w:p w14:paraId="311F457B" w14:textId="77777777" w:rsidR="00D77BFF" w:rsidRPr="00DE12A3" w:rsidRDefault="00D77BFF" w:rsidP="00C917D6">
            <w:pPr>
              <w:pStyle w:val="NormalLeft"/>
            </w:pPr>
            <w:r w:rsidRPr="00DE12A3">
              <w:t>=</w:t>
            </w:r>
          </w:p>
        </w:tc>
        <w:tc>
          <w:tcPr>
            <w:tcW w:w="5646" w:type="dxa"/>
          </w:tcPr>
          <w:p w14:paraId="17B94871" w14:textId="77777777" w:rsidR="00D77BFF" w:rsidRPr="00DE12A3" w:rsidRDefault="00D77BFF" w:rsidP="00C917D6">
            <w:pPr>
              <w:spacing w:before="120" w:after="120"/>
              <w:rPr>
                <w:rFonts w:cs="Times New Roman"/>
                <w:color w:val="auto"/>
              </w:rPr>
            </w:pPr>
            <w:r w:rsidRPr="00DE12A3">
              <w:rPr>
                <w:rFonts w:cs="Times New Roman"/>
                <w:color w:val="auto"/>
              </w:rPr>
              <w:t>Karbonmonoksitin moleküler kütlesi: 28,011 [g/mol]</w:t>
            </w:r>
          </w:p>
        </w:tc>
      </w:tr>
      <w:tr w:rsidR="00D77BFF" w:rsidRPr="00DE12A3" w14:paraId="55B2A764" w14:textId="77777777" w:rsidTr="002000F9">
        <w:tc>
          <w:tcPr>
            <w:tcW w:w="1418" w:type="dxa"/>
          </w:tcPr>
          <w:p w14:paraId="7FB77603" w14:textId="77777777" w:rsidR="00D77BFF" w:rsidRPr="00DE12A3" w:rsidRDefault="00D77BFF" w:rsidP="00C917D6">
            <w:pPr>
              <w:pStyle w:val="NormalLeft"/>
            </w:pPr>
            <w:r w:rsidRPr="00DE12A3">
              <w:rPr>
                <w:i/>
                <w:iCs/>
              </w:rPr>
              <w:t>M</w:t>
            </w:r>
            <w:r w:rsidRPr="00DE12A3">
              <w:rPr>
                <w:vertAlign w:val="subscript"/>
              </w:rPr>
              <w:t>CO2</w:t>
            </w:r>
          </w:p>
        </w:tc>
        <w:tc>
          <w:tcPr>
            <w:tcW w:w="283" w:type="dxa"/>
          </w:tcPr>
          <w:p w14:paraId="3C373CFD" w14:textId="77777777" w:rsidR="00D77BFF" w:rsidRPr="00DE12A3" w:rsidRDefault="00D77BFF" w:rsidP="00C917D6">
            <w:pPr>
              <w:pStyle w:val="NormalLeft"/>
            </w:pPr>
            <w:r w:rsidRPr="00DE12A3">
              <w:t>=</w:t>
            </w:r>
          </w:p>
        </w:tc>
        <w:tc>
          <w:tcPr>
            <w:tcW w:w="5646" w:type="dxa"/>
          </w:tcPr>
          <w:p w14:paraId="2E2B7EF7" w14:textId="77777777" w:rsidR="00D77BFF" w:rsidRPr="00DE12A3" w:rsidRDefault="00D77BFF" w:rsidP="00C917D6">
            <w:pPr>
              <w:spacing w:before="120" w:after="120"/>
              <w:rPr>
                <w:rFonts w:cs="Times New Roman"/>
                <w:color w:val="auto"/>
              </w:rPr>
            </w:pPr>
            <w:r w:rsidRPr="00DE12A3">
              <w:rPr>
                <w:rFonts w:cs="Times New Roman"/>
                <w:color w:val="auto"/>
              </w:rPr>
              <w:t>Karbondioksitin moleküler kütlesi: 44,01 [g/mol]</w:t>
            </w:r>
          </w:p>
        </w:tc>
      </w:tr>
    </w:tbl>
    <w:p w14:paraId="41CC831E" w14:textId="77777777" w:rsidR="009F4766" w:rsidRPr="00DE12A3" w:rsidRDefault="009F4766" w:rsidP="00C917D6">
      <w:pPr>
        <w:spacing w:before="120" w:after="120"/>
        <w:rPr>
          <w:rFonts w:cs="Times New Roman"/>
          <w:color w:val="auto"/>
        </w:rPr>
      </w:pPr>
    </w:p>
    <w:p w14:paraId="5DCEDCEE" w14:textId="50120D1B" w:rsidR="00D77BFF" w:rsidRPr="00DE12A3" w:rsidRDefault="00D77BFF" w:rsidP="00287809">
      <w:pPr>
        <w:spacing w:before="120" w:after="120"/>
        <w:rPr>
          <w:rFonts w:cs="Times New Roman"/>
          <w:color w:val="auto"/>
        </w:rPr>
      </w:pPr>
      <w:r w:rsidRPr="00DE12A3">
        <w:rPr>
          <w:rFonts w:cs="Times New Roman"/>
          <w:color w:val="auto"/>
        </w:rPr>
        <w:t>Üre kaynaklı CO</w:t>
      </w:r>
      <w:r w:rsidRPr="00DE12A3">
        <w:rPr>
          <w:rFonts w:cs="Times New Roman"/>
          <w:color w:val="auto"/>
          <w:vertAlign w:val="subscript"/>
        </w:rPr>
        <w:t>2</w:t>
      </w:r>
      <w:r w:rsidRPr="00DE12A3">
        <w:rPr>
          <w:rFonts w:cs="Times New Roman"/>
          <w:color w:val="auto"/>
        </w:rPr>
        <w:t xml:space="preserve"> emisyonu m</w:t>
      </w:r>
      <w:r w:rsidRPr="00DE12A3">
        <w:rPr>
          <w:rFonts w:cs="Times New Roman"/>
          <w:color w:val="auto"/>
          <w:vertAlign w:val="subscript"/>
        </w:rPr>
        <w:t>CO2urea</w:t>
      </w:r>
      <w:r w:rsidRPr="00DE12A3">
        <w:rPr>
          <w:rFonts w:cs="Times New Roman"/>
          <w:color w:val="auto"/>
        </w:rPr>
        <w:t xml:space="preserve"> [g/test], (8-19) </w:t>
      </w:r>
      <w:r w:rsidR="00393457" w:rsidRPr="00DE12A3">
        <w:rPr>
          <w:rFonts w:cs="Times New Roman"/>
          <w:color w:val="auto"/>
        </w:rPr>
        <w:t xml:space="preserve">numaralı </w:t>
      </w:r>
      <w:r w:rsidRPr="00DE12A3">
        <w:rPr>
          <w:rFonts w:cs="Times New Roman"/>
          <w:color w:val="auto"/>
        </w:rPr>
        <w:t>denklem ile hesaplanmalıdır:</w:t>
      </w:r>
    </w:p>
    <w:p w14:paraId="34467EB7" w14:textId="77777777" w:rsidR="00D77BFF" w:rsidRPr="00DE12A3" w:rsidRDefault="00D77BFF" w:rsidP="00C917D6">
      <w:pPr>
        <w:spacing w:before="120" w:after="120"/>
        <w:rPr>
          <w:rFonts w:cs="Times New Roman"/>
          <w:color w:val="auto"/>
        </w:rPr>
      </w:pPr>
    </w:p>
    <w:tbl>
      <w:tblPr>
        <w:tblW w:w="7546" w:type="dxa"/>
        <w:jc w:val="center"/>
        <w:tblLayout w:type="fixed"/>
        <w:tblLook w:val="0000" w:firstRow="0" w:lastRow="0" w:firstColumn="0" w:lastColumn="0" w:noHBand="0" w:noVBand="0"/>
      </w:tblPr>
      <w:tblGrid>
        <w:gridCol w:w="6338"/>
        <w:gridCol w:w="1208"/>
      </w:tblGrid>
      <w:tr w:rsidR="009F4766" w:rsidRPr="00DE12A3" w14:paraId="21311976" w14:textId="77777777" w:rsidTr="002000F9">
        <w:trPr>
          <w:trHeight w:val="1246"/>
          <w:jc w:val="center"/>
        </w:trPr>
        <w:tc>
          <w:tcPr>
            <w:tcW w:w="6338" w:type="dxa"/>
          </w:tcPr>
          <w:p w14:paraId="0F77EF67" w14:textId="3916E995" w:rsidR="009F4766" w:rsidRPr="00DE12A3" w:rsidRDefault="009F4766" w:rsidP="00C917D6">
            <w:pPr>
              <w:pStyle w:val="NormalLeft"/>
            </w:pPr>
            <w:r w:rsidRPr="00DE12A3">
              <w:rPr>
                <w:noProof/>
                <w:lang w:val="tr-TR"/>
              </w:rPr>
              <w:drawing>
                <wp:inline distT="0" distB="0" distL="0" distR="0" wp14:anchorId="078F56AE" wp14:editId="20FCFC99">
                  <wp:extent cx="3856892" cy="703580"/>
                  <wp:effectExtent l="0" t="0" r="0" b="1270"/>
                  <wp:docPr id="1988" name="Resim 19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pic:cNvPicPr>
                            <a:picLocks noChangeAspect="1" noChangeArrowheads="1"/>
                          </pic:cNvPicPr>
                        </pic:nvPicPr>
                        <pic:blipFill>
                          <a:blip r:embed="rId268">
                            <a:extLst>
                              <a:ext uri="{28A0092B-C50C-407E-A947-70E740481C1C}">
                                <a14:useLocalDpi xmlns:a14="http://schemas.microsoft.com/office/drawing/2010/main" val="0"/>
                              </a:ext>
                            </a:extLst>
                          </a:blip>
                          <a:srcRect/>
                          <a:stretch>
                            <a:fillRect/>
                          </a:stretch>
                        </pic:blipFill>
                        <pic:spPr bwMode="auto">
                          <a:xfrm>
                            <a:off x="0" y="0"/>
                            <a:ext cx="3862357" cy="704577"/>
                          </a:xfrm>
                          <a:prstGeom prst="rect">
                            <a:avLst/>
                          </a:prstGeom>
                          <a:noFill/>
                          <a:ln>
                            <a:noFill/>
                          </a:ln>
                        </pic:spPr>
                      </pic:pic>
                    </a:graphicData>
                  </a:graphic>
                </wp:inline>
              </w:drawing>
            </w:r>
          </w:p>
        </w:tc>
        <w:tc>
          <w:tcPr>
            <w:tcW w:w="1208" w:type="dxa"/>
          </w:tcPr>
          <w:p w14:paraId="0727E962" w14:textId="77777777" w:rsidR="009F4766" w:rsidRPr="00DE12A3" w:rsidRDefault="009F4766" w:rsidP="00C917D6">
            <w:pPr>
              <w:pStyle w:val="NormalLeft"/>
            </w:pPr>
            <w:r w:rsidRPr="00DE12A3">
              <w:t>(8-19)</w:t>
            </w:r>
          </w:p>
        </w:tc>
      </w:tr>
    </w:tbl>
    <w:p w14:paraId="73AA9AEE" w14:textId="77777777" w:rsidR="009F4766" w:rsidRPr="00DE12A3" w:rsidRDefault="009F4766" w:rsidP="00C917D6">
      <w:pPr>
        <w:spacing w:before="120" w:after="120"/>
        <w:rPr>
          <w:rFonts w:cs="Times New Roman"/>
          <w:color w:val="auto"/>
        </w:rPr>
      </w:pPr>
    </w:p>
    <w:p w14:paraId="73069F35" w14:textId="77777777" w:rsidR="009F4766" w:rsidRPr="00DE12A3" w:rsidRDefault="008B3D9F" w:rsidP="00287809">
      <w:pPr>
        <w:spacing w:before="120" w:after="120"/>
        <w:rPr>
          <w:rFonts w:cs="Times New Roman"/>
          <w:color w:val="auto"/>
        </w:rPr>
      </w:pPr>
      <w:r w:rsidRPr="00DE12A3">
        <w:rPr>
          <w:rFonts w:cs="Times New Roman"/>
          <w:color w:val="auto"/>
        </w:rPr>
        <w:t>Burada</w:t>
      </w:r>
      <w:r w:rsidR="009F4766" w:rsidRPr="00DE12A3">
        <w:rPr>
          <w:rFonts w:cs="Times New Roman"/>
          <w:color w:val="auto"/>
        </w:rPr>
        <w:t>:</w:t>
      </w:r>
    </w:p>
    <w:tbl>
      <w:tblPr>
        <w:tblW w:w="0" w:type="auto"/>
        <w:tblInd w:w="1532" w:type="dxa"/>
        <w:tblLayout w:type="fixed"/>
        <w:tblLook w:val="0000" w:firstRow="0" w:lastRow="0" w:firstColumn="0" w:lastColumn="0" w:noHBand="0" w:noVBand="0"/>
      </w:tblPr>
      <w:tblGrid>
        <w:gridCol w:w="1680"/>
        <w:gridCol w:w="560"/>
        <w:gridCol w:w="3982"/>
      </w:tblGrid>
      <w:tr w:rsidR="00DE12A3" w:rsidRPr="00DE12A3" w14:paraId="5EF1F020" w14:textId="77777777" w:rsidTr="002000F9">
        <w:tc>
          <w:tcPr>
            <w:tcW w:w="1680" w:type="dxa"/>
          </w:tcPr>
          <w:p w14:paraId="6016B31B" w14:textId="77777777" w:rsidR="00D77BFF" w:rsidRPr="00DE12A3" w:rsidRDefault="00D77BFF" w:rsidP="00C917D6">
            <w:pPr>
              <w:pStyle w:val="NormalLeft"/>
            </w:pPr>
            <w:r w:rsidRPr="00DE12A3">
              <w:rPr>
                <w:i/>
                <w:iCs/>
              </w:rPr>
              <w:t>c</w:t>
            </w:r>
            <w:r w:rsidRPr="00DE12A3">
              <w:rPr>
                <w:vertAlign w:val="subscript"/>
              </w:rPr>
              <w:t>urea</w:t>
            </w:r>
          </w:p>
        </w:tc>
        <w:tc>
          <w:tcPr>
            <w:tcW w:w="560" w:type="dxa"/>
          </w:tcPr>
          <w:p w14:paraId="61E20094" w14:textId="77777777" w:rsidR="00D77BFF" w:rsidRPr="00DE12A3" w:rsidRDefault="00D77BFF" w:rsidP="00C917D6">
            <w:pPr>
              <w:pStyle w:val="NormalLeft"/>
            </w:pPr>
            <w:r w:rsidRPr="00DE12A3">
              <w:t>=</w:t>
            </w:r>
          </w:p>
        </w:tc>
        <w:tc>
          <w:tcPr>
            <w:tcW w:w="3982" w:type="dxa"/>
          </w:tcPr>
          <w:p w14:paraId="363D0B94" w14:textId="03D4BD85" w:rsidR="00D77BFF" w:rsidRPr="00DE12A3" w:rsidRDefault="00773274" w:rsidP="00C917D6">
            <w:pPr>
              <w:spacing w:before="120" w:after="120"/>
              <w:rPr>
                <w:rFonts w:cs="Times New Roman"/>
                <w:color w:val="auto"/>
              </w:rPr>
            </w:pPr>
            <w:r w:rsidRPr="00DE12A3">
              <w:rPr>
                <w:rFonts w:cs="Times New Roman"/>
                <w:color w:val="auto"/>
              </w:rPr>
              <w:t>Üre</w:t>
            </w:r>
            <w:r w:rsidR="00D77BFF" w:rsidRPr="00DE12A3">
              <w:rPr>
                <w:rFonts w:cs="Times New Roman"/>
                <w:color w:val="auto"/>
              </w:rPr>
              <w:t xml:space="preserve"> konsantrasyonu [yüzde]</w:t>
            </w:r>
          </w:p>
        </w:tc>
      </w:tr>
      <w:tr w:rsidR="00DE12A3" w:rsidRPr="00DE12A3" w14:paraId="68F7C48B" w14:textId="77777777" w:rsidTr="002000F9">
        <w:tc>
          <w:tcPr>
            <w:tcW w:w="1680" w:type="dxa"/>
          </w:tcPr>
          <w:p w14:paraId="0295E0C8" w14:textId="77777777" w:rsidR="00D77BFF" w:rsidRPr="00DE12A3" w:rsidRDefault="00D77BFF" w:rsidP="00C917D6">
            <w:pPr>
              <w:pStyle w:val="NormalLeft"/>
            </w:pPr>
            <w:r w:rsidRPr="00DE12A3">
              <w:rPr>
                <w:i/>
                <w:iCs/>
              </w:rPr>
              <w:t>m</w:t>
            </w:r>
            <w:r w:rsidRPr="00DE12A3">
              <w:rPr>
                <w:vertAlign w:val="subscript"/>
              </w:rPr>
              <w:t>urea</w:t>
            </w:r>
          </w:p>
        </w:tc>
        <w:tc>
          <w:tcPr>
            <w:tcW w:w="560" w:type="dxa"/>
          </w:tcPr>
          <w:p w14:paraId="4ADD1460" w14:textId="77777777" w:rsidR="00D77BFF" w:rsidRPr="00DE12A3" w:rsidRDefault="00D77BFF" w:rsidP="00C917D6">
            <w:pPr>
              <w:pStyle w:val="NormalLeft"/>
            </w:pPr>
            <w:r w:rsidRPr="00DE12A3">
              <w:t>=</w:t>
            </w:r>
          </w:p>
        </w:tc>
        <w:tc>
          <w:tcPr>
            <w:tcW w:w="3982" w:type="dxa"/>
          </w:tcPr>
          <w:p w14:paraId="1E6377CD" w14:textId="619A09A2" w:rsidR="00D77BFF" w:rsidRPr="00DE12A3" w:rsidRDefault="00773274" w:rsidP="00C917D6">
            <w:pPr>
              <w:spacing w:before="120" w:after="120"/>
              <w:rPr>
                <w:rFonts w:cs="Times New Roman"/>
                <w:color w:val="auto"/>
              </w:rPr>
            </w:pPr>
            <w:r w:rsidRPr="00DE12A3">
              <w:rPr>
                <w:rFonts w:cs="Times New Roman"/>
                <w:color w:val="auto"/>
              </w:rPr>
              <w:t>Toplam</w:t>
            </w:r>
            <w:r w:rsidR="00D77BFF" w:rsidRPr="00DE12A3">
              <w:rPr>
                <w:rFonts w:cs="Times New Roman"/>
                <w:color w:val="auto"/>
              </w:rPr>
              <w:t xml:space="preserve"> üre kütlesi tüketimi [g/test]</w:t>
            </w:r>
          </w:p>
        </w:tc>
      </w:tr>
      <w:tr w:rsidR="00D77BFF" w:rsidRPr="00DE12A3" w14:paraId="50BBAED6" w14:textId="77777777" w:rsidTr="002000F9">
        <w:tc>
          <w:tcPr>
            <w:tcW w:w="1680" w:type="dxa"/>
          </w:tcPr>
          <w:p w14:paraId="043BF6DF" w14:textId="77777777" w:rsidR="00D77BFF" w:rsidRPr="00DE12A3" w:rsidRDefault="00D77BFF" w:rsidP="00C917D6">
            <w:pPr>
              <w:pStyle w:val="NormalLeft"/>
            </w:pPr>
            <w:r w:rsidRPr="00DE12A3">
              <w:rPr>
                <w:i/>
                <w:iCs/>
              </w:rPr>
              <w:t>M</w:t>
            </w:r>
            <w:r w:rsidRPr="00DE12A3">
              <w:rPr>
                <w:vertAlign w:val="subscript"/>
              </w:rPr>
              <w:t>CO(NH2)2</w:t>
            </w:r>
          </w:p>
        </w:tc>
        <w:tc>
          <w:tcPr>
            <w:tcW w:w="560" w:type="dxa"/>
          </w:tcPr>
          <w:p w14:paraId="0B7A6B7B" w14:textId="77777777" w:rsidR="00D77BFF" w:rsidRPr="00DE12A3" w:rsidRDefault="00D77BFF" w:rsidP="00C917D6">
            <w:pPr>
              <w:pStyle w:val="NormalLeft"/>
            </w:pPr>
            <w:r w:rsidRPr="00DE12A3">
              <w:t>=</w:t>
            </w:r>
          </w:p>
        </w:tc>
        <w:tc>
          <w:tcPr>
            <w:tcW w:w="3982" w:type="dxa"/>
          </w:tcPr>
          <w:p w14:paraId="727A1670" w14:textId="77777777" w:rsidR="00D77BFF" w:rsidRPr="00DE12A3" w:rsidRDefault="00D77BFF" w:rsidP="00C917D6">
            <w:pPr>
              <w:spacing w:before="120" w:after="120"/>
              <w:rPr>
                <w:rFonts w:cs="Times New Roman"/>
                <w:color w:val="auto"/>
              </w:rPr>
            </w:pPr>
            <w:r w:rsidRPr="00DE12A3">
              <w:rPr>
                <w:rFonts w:cs="Times New Roman"/>
                <w:color w:val="auto"/>
              </w:rPr>
              <w:t>Ürenin moleküler kütlesi: 60,056 [g/mol]</w:t>
            </w:r>
          </w:p>
        </w:tc>
      </w:tr>
    </w:tbl>
    <w:p w14:paraId="4B2F342A" w14:textId="77777777" w:rsidR="009F4766" w:rsidRPr="00DE12A3" w:rsidRDefault="009F4766" w:rsidP="00C917D6">
      <w:pPr>
        <w:spacing w:before="120" w:after="120"/>
        <w:rPr>
          <w:rFonts w:cs="Times New Roman"/>
          <w:color w:val="auto"/>
        </w:rPr>
      </w:pPr>
    </w:p>
    <w:p w14:paraId="750280BE" w14:textId="5F8DA098" w:rsidR="00D77BFF" w:rsidRPr="00DE12A3" w:rsidRDefault="00D77BFF" w:rsidP="00287809">
      <w:pPr>
        <w:spacing w:before="120" w:after="120"/>
        <w:rPr>
          <w:rFonts w:cs="Times New Roman"/>
          <w:color w:val="auto"/>
        </w:rPr>
      </w:pPr>
      <w:r w:rsidRPr="00DE12A3">
        <w:rPr>
          <w:rFonts w:cs="Times New Roman"/>
          <w:color w:val="auto"/>
        </w:rPr>
        <w:t>Ardından, toplam CO</w:t>
      </w:r>
      <w:r w:rsidRPr="00DE12A3">
        <w:rPr>
          <w:rFonts w:cs="Times New Roman"/>
          <w:color w:val="auto"/>
          <w:vertAlign w:val="subscript"/>
        </w:rPr>
        <w:t>2</w:t>
      </w:r>
      <w:r w:rsidRPr="00DE12A3">
        <w:rPr>
          <w:rFonts w:cs="Times New Roman"/>
          <w:color w:val="auto"/>
        </w:rPr>
        <w:t xml:space="preserve"> emisyonu m</w:t>
      </w:r>
      <w:r w:rsidRPr="00DE12A3">
        <w:rPr>
          <w:rFonts w:cs="Times New Roman"/>
          <w:color w:val="auto"/>
          <w:vertAlign w:val="subscript"/>
        </w:rPr>
        <w:t>CO2</w:t>
      </w:r>
      <w:r w:rsidRPr="00DE12A3">
        <w:rPr>
          <w:rFonts w:cs="Times New Roman"/>
          <w:color w:val="auto"/>
        </w:rPr>
        <w:t xml:space="preserve"> [g/test], (8-20) </w:t>
      </w:r>
      <w:r w:rsidR="00393457" w:rsidRPr="00DE12A3">
        <w:rPr>
          <w:rFonts w:cs="Times New Roman"/>
          <w:color w:val="auto"/>
        </w:rPr>
        <w:t xml:space="preserve">numaralı </w:t>
      </w:r>
      <w:r w:rsidRPr="00DE12A3">
        <w:rPr>
          <w:rFonts w:cs="Times New Roman"/>
          <w:color w:val="auto"/>
        </w:rPr>
        <w:t>denklem ile hesaplanmalıdır:</w:t>
      </w:r>
    </w:p>
    <w:p w14:paraId="7C11FDDE" w14:textId="77777777" w:rsidR="00D77BFF" w:rsidRPr="00DE12A3" w:rsidRDefault="00D77BFF" w:rsidP="00287809">
      <w:pPr>
        <w:spacing w:before="120" w:after="120"/>
        <w:rPr>
          <w:rFonts w:cs="Times New Roman"/>
          <w:color w:val="auto"/>
        </w:rPr>
      </w:pPr>
    </w:p>
    <w:p w14:paraId="72A2F21F" w14:textId="7EC2B8F4" w:rsidR="00393457" w:rsidRPr="00DE12A3" w:rsidRDefault="00393457" w:rsidP="00946B82">
      <w:pPr>
        <w:pStyle w:val="NormalLeft"/>
        <w:ind w:left="2127" w:firstLine="709"/>
      </w:pPr>
      <w:r w:rsidRPr="00DE12A3">
        <w:t>m</w:t>
      </w:r>
      <w:r w:rsidRPr="00DE12A3">
        <w:rPr>
          <w:vertAlign w:val="subscript"/>
        </w:rPr>
        <w:t>CO2</w:t>
      </w:r>
      <w:r w:rsidRPr="00DE12A3">
        <w:t xml:space="preserve"> = m</w:t>
      </w:r>
      <w:r w:rsidRPr="00DE12A3">
        <w:rPr>
          <w:vertAlign w:val="subscript"/>
        </w:rPr>
        <w:t>CO2,fuel</w:t>
      </w:r>
      <w:r w:rsidRPr="00DE12A3">
        <w:t xml:space="preserve"> + m</w:t>
      </w:r>
      <w:r w:rsidRPr="00DE12A3">
        <w:rPr>
          <w:vertAlign w:val="subscript"/>
        </w:rPr>
        <w:t>CO2,urea</w:t>
      </w:r>
      <w:r w:rsidRPr="00DE12A3">
        <w:rPr>
          <w:vertAlign w:val="subscript"/>
        </w:rPr>
        <w:tab/>
      </w:r>
      <w:r w:rsidRPr="00DE12A3">
        <w:rPr>
          <w:vertAlign w:val="subscript"/>
        </w:rPr>
        <w:tab/>
      </w:r>
      <w:r w:rsidRPr="00DE12A3">
        <w:rPr>
          <w:vertAlign w:val="subscript"/>
        </w:rPr>
        <w:tab/>
      </w:r>
      <w:r w:rsidRPr="00DE12A3">
        <w:rPr>
          <w:vertAlign w:val="subscript"/>
        </w:rPr>
        <w:tab/>
      </w:r>
      <w:r w:rsidRPr="00DE12A3">
        <w:t>(8-20)</w:t>
      </w:r>
    </w:p>
    <w:p w14:paraId="670E0005" w14:textId="5CE35CA5" w:rsidR="009F4766" w:rsidRPr="00DE12A3" w:rsidRDefault="00393457" w:rsidP="00C917D6">
      <w:pPr>
        <w:spacing w:before="120" w:after="120"/>
        <w:rPr>
          <w:rFonts w:cs="Times New Roman"/>
          <w:color w:val="auto"/>
        </w:rPr>
      </w:pPr>
      <w:r w:rsidRPr="00DE12A3">
        <w:rPr>
          <w:rFonts w:cs="Times New Roman"/>
          <w:color w:val="auto"/>
        </w:rPr>
        <w:t xml:space="preserve">   </w:t>
      </w:r>
    </w:p>
    <w:p w14:paraId="1F23A379" w14:textId="38752A1D" w:rsidR="00D77BFF" w:rsidRPr="00DE12A3" w:rsidRDefault="00D77BFF" w:rsidP="00287809">
      <w:pPr>
        <w:spacing w:before="120" w:after="120"/>
        <w:jc w:val="both"/>
        <w:rPr>
          <w:rFonts w:cs="Times New Roman"/>
          <w:color w:val="auto"/>
        </w:rPr>
      </w:pPr>
      <w:r w:rsidRPr="00DE12A3">
        <w:rPr>
          <w:rFonts w:cs="Times New Roman"/>
          <w:color w:val="auto"/>
        </w:rPr>
        <w:t xml:space="preserve">(8-20) </w:t>
      </w:r>
      <w:r w:rsidR="00393457" w:rsidRPr="00DE12A3">
        <w:rPr>
          <w:rFonts w:cs="Times New Roman"/>
          <w:color w:val="auto"/>
        </w:rPr>
        <w:t xml:space="preserve">numaralı </w:t>
      </w:r>
      <w:r w:rsidRPr="00DE12A3">
        <w:rPr>
          <w:rFonts w:cs="Times New Roman"/>
          <w:color w:val="auto"/>
        </w:rPr>
        <w:t>denklem ile hesaplanan toplam CO</w:t>
      </w:r>
      <w:r w:rsidRPr="00DE12A3">
        <w:rPr>
          <w:rFonts w:cs="Times New Roman"/>
          <w:color w:val="auto"/>
          <w:vertAlign w:val="subscript"/>
        </w:rPr>
        <w:t>2</w:t>
      </w:r>
      <w:r w:rsidRPr="00DE12A3">
        <w:rPr>
          <w:rFonts w:cs="Times New Roman"/>
          <w:color w:val="auto"/>
        </w:rPr>
        <w:t xml:space="preserve"> emisyonu, </w:t>
      </w:r>
      <w:r w:rsidR="00FA0678" w:rsidRPr="00DE12A3">
        <w:rPr>
          <w:rFonts w:cs="Times New Roman"/>
          <w:color w:val="auto"/>
        </w:rPr>
        <w:t xml:space="preserve">VII’nci </w:t>
      </w:r>
      <w:r w:rsidR="00393457" w:rsidRPr="00DE12A3">
        <w:rPr>
          <w:rFonts w:cs="Times New Roman"/>
          <w:color w:val="auto"/>
        </w:rPr>
        <w:t>E</w:t>
      </w:r>
      <w:r w:rsidR="00FA0678" w:rsidRPr="00DE12A3">
        <w:rPr>
          <w:rFonts w:cs="Times New Roman"/>
          <w:color w:val="auto"/>
        </w:rPr>
        <w:t>k</w:t>
      </w:r>
      <w:r w:rsidRPr="00DE12A3">
        <w:rPr>
          <w:rFonts w:cs="Times New Roman"/>
          <w:color w:val="auto"/>
        </w:rPr>
        <w:t>in 2.4.1.1 veya 3.8.1.1 ben</w:t>
      </w:r>
      <w:r w:rsidR="00393457" w:rsidRPr="00DE12A3">
        <w:rPr>
          <w:rFonts w:cs="Times New Roman"/>
          <w:color w:val="auto"/>
        </w:rPr>
        <w:t>tlerinde</w:t>
      </w:r>
      <w:r w:rsidRPr="00DE12A3">
        <w:rPr>
          <w:rFonts w:cs="Times New Roman"/>
          <w:color w:val="auto"/>
        </w:rPr>
        <w:t xml:space="preserve"> yer alan frene özgü CO</w:t>
      </w:r>
      <w:r w:rsidRPr="00DE12A3">
        <w:rPr>
          <w:rFonts w:cs="Times New Roman"/>
          <w:color w:val="auto"/>
          <w:vertAlign w:val="subscript"/>
        </w:rPr>
        <w:t>2</w:t>
      </w:r>
      <w:r w:rsidRPr="00DE12A3">
        <w:rPr>
          <w:rFonts w:cs="Times New Roman"/>
          <w:color w:val="auto"/>
        </w:rPr>
        <w:t xml:space="preserve"> emisyonlarının e</w:t>
      </w:r>
      <w:r w:rsidRPr="00DE12A3">
        <w:rPr>
          <w:rFonts w:cs="Times New Roman"/>
          <w:color w:val="auto"/>
          <w:vertAlign w:val="subscript"/>
        </w:rPr>
        <w:t>CO2</w:t>
      </w:r>
      <w:r w:rsidRPr="00DE12A3">
        <w:rPr>
          <w:rFonts w:cs="Times New Roman"/>
          <w:color w:val="auto"/>
        </w:rPr>
        <w:t xml:space="preserve"> [g/kWh] hesaplanmasında kullanılmalıdır. Yerine göre, gaz yakıt içindeki CO</w:t>
      </w:r>
      <w:r w:rsidRPr="00DE12A3">
        <w:rPr>
          <w:rFonts w:cs="Times New Roman"/>
          <w:color w:val="auto"/>
          <w:vertAlign w:val="subscript"/>
        </w:rPr>
        <w:t>2</w:t>
      </w:r>
      <w:r w:rsidRPr="00DE12A3">
        <w:rPr>
          <w:rFonts w:cs="Times New Roman"/>
          <w:color w:val="auto"/>
        </w:rPr>
        <w:t>'den kaynaklanan egzoz gazı içindeki CO</w:t>
      </w:r>
      <w:r w:rsidRPr="00DE12A3">
        <w:rPr>
          <w:rFonts w:cs="Times New Roman"/>
          <w:color w:val="auto"/>
          <w:vertAlign w:val="subscript"/>
        </w:rPr>
        <w:t>2</w:t>
      </w:r>
      <w:r w:rsidRPr="00DE12A3">
        <w:rPr>
          <w:rFonts w:cs="Times New Roman"/>
          <w:color w:val="auto"/>
        </w:rPr>
        <w:t xml:space="preserve"> bakımından düzeltme, </w:t>
      </w:r>
      <w:r w:rsidR="00EE5D5E" w:rsidRPr="00DE12A3">
        <w:rPr>
          <w:rFonts w:cs="Times New Roman"/>
          <w:color w:val="auto"/>
        </w:rPr>
        <w:t xml:space="preserve">IX’uncu </w:t>
      </w:r>
      <w:r w:rsidR="00BF5FC6" w:rsidRPr="00DE12A3">
        <w:rPr>
          <w:rFonts w:cs="Times New Roman"/>
          <w:color w:val="auto"/>
        </w:rPr>
        <w:t>E</w:t>
      </w:r>
      <w:r w:rsidR="00EE5D5E" w:rsidRPr="00DE12A3">
        <w:rPr>
          <w:rFonts w:cs="Times New Roman"/>
          <w:color w:val="auto"/>
        </w:rPr>
        <w:t xml:space="preserve">kin </w:t>
      </w:r>
      <w:r w:rsidR="00CD23C3" w:rsidRPr="00DE12A3">
        <w:rPr>
          <w:rFonts w:cs="Times New Roman"/>
          <w:color w:val="auto"/>
        </w:rPr>
        <w:t>3. Açıklayıcı Ek</w:t>
      </w:r>
      <w:r w:rsidRPr="00DE12A3">
        <w:rPr>
          <w:rFonts w:cs="Times New Roman"/>
          <w:color w:val="auto"/>
        </w:rPr>
        <w:t>i uyarınca yapılmalıdır.</w:t>
      </w:r>
    </w:p>
    <w:p w14:paraId="354322C3" w14:textId="42301A4F" w:rsidR="004940FF" w:rsidRPr="00DE12A3" w:rsidRDefault="004940FF">
      <w:pPr>
        <w:widowControl/>
        <w:rPr>
          <w:rFonts w:cs="Times New Roman"/>
          <w:color w:val="auto"/>
        </w:rPr>
      </w:pPr>
      <w:r w:rsidRPr="00DE12A3">
        <w:rPr>
          <w:rFonts w:cs="Times New Roman"/>
          <w:color w:val="auto"/>
        </w:rPr>
        <w:br w:type="page"/>
      </w:r>
    </w:p>
    <w:p w14:paraId="776F8671" w14:textId="77777777" w:rsidR="00092DAF" w:rsidRPr="00DE12A3" w:rsidRDefault="00092DAF" w:rsidP="004940FF">
      <w:pPr>
        <w:pStyle w:val="Balk2"/>
        <w:rPr>
          <w:i/>
          <w:color w:val="auto"/>
        </w:rPr>
      </w:pPr>
      <w:r w:rsidRPr="00DE12A3">
        <w:rPr>
          <w:i/>
          <w:color w:val="auto"/>
        </w:rPr>
        <w:lastRenderedPageBreak/>
        <w:t>3. Açıklayıcı Ek</w:t>
      </w:r>
    </w:p>
    <w:p w14:paraId="0C858E45" w14:textId="77777777" w:rsidR="00092DAF" w:rsidRPr="00DE12A3" w:rsidRDefault="00092DAF" w:rsidP="00C917D6">
      <w:pPr>
        <w:pStyle w:val="Annexetitreacte"/>
        <w:rPr>
          <w:u w:val="none"/>
        </w:rPr>
      </w:pPr>
      <w:r w:rsidRPr="00DE12A3">
        <w:rPr>
          <w:u w:val="none"/>
        </w:rPr>
        <w:t>Doğal gaz/biyometan veya LPG ve bir sıvı yakıt ile çalışan iki yakıtlı motor tipleri - tanımlar ve ana şartlar</w:t>
      </w:r>
    </w:p>
    <w:p w14:paraId="7AAFB239" w14:textId="77777777" w:rsidR="00092DAF" w:rsidRPr="00DE12A3" w:rsidRDefault="00092DAF" w:rsidP="004940FF">
      <w:pPr>
        <w:pStyle w:val="Text1"/>
        <w:ind w:left="0"/>
      </w:pPr>
    </w:p>
    <w:tbl>
      <w:tblPr>
        <w:tblW w:w="9286" w:type="dxa"/>
        <w:tblLayout w:type="fixed"/>
        <w:tblLook w:val="0000" w:firstRow="0" w:lastRow="0" w:firstColumn="0" w:lastColumn="0" w:noHBand="0" w:noVBand="0"/>
      </w:tblPr>
      <w:tblGrid>
        <w:gridCol w:w="1300"/>
        <w:gridCol w:w="1393"/>
        <w:gridCol w:w="1300"/>
        <w:gridCol w:w="1300"/>
        <w:gridCol w:w="1367"/>
        <w:gridCol w:w="1326"/>
        <w:gridCol w:w="1300"/>
      </w:tblGrid>
      <w:tr w:rsidR="00DE12A3" w:rsidRPr="00DE12A3" w14:paraId="64560B2D" w14:textId="77777777" w:rsidTr="00946B82">
        <w:tc>
          <w:tcPr>
            <w:tcW w:w="1300" w:type="dxa"/>
            <w:tcBorders>
              <w:top w:val="single" w:sz="2" w:space="0" w:color="auto"/>
              <w:left w:val="single" w:sz="2" w:space="0" w:color="auto"/>
              <w:bottom w:val="single" w:sz="2" w:space="0" w:color="auto"/>
              <w:right w:val="single" w:sz="2" w:space="0" w:color="auto"/>
            </w:tcBorders>
          </w:tcPr>
          <w:p w14:paraId="415527A6" w14:textId="77777777" w:rsidR="00092DAF" w:rsidRPr="00DE12A3" w:rsidRDefault="00092DAF" w:rsidP="00C917D6">
            <w:pPr>
              <w:pStyle w:val="NormalCentered"/>
            </w:pPr>
            <w:r w:rsidRPr="00DE12A3">
              <w:t>İki yakıt tipi</w:t>
            </w:r>
          </w:p>
        </w:tc>
        <w:tc>
          <w:tcPr>
            <w:tcW w:w="1393" w:type="dxa"/>
            <w:tcBorders>
              <w:top w:val="single" w:sz="2" w:space="0" w:color="auto"/>
              <w:left w:val="single" w:sz="2" w:space="0" w:color="auto"/>
              <w:bottom w:val="single" w:sz="2" w:space="0" w:color="auto"/>
              <w:right w:val="single" w:sz="2" w:space="0" w:color="auto"/>
            </w:tcBorders>
          </w:tcPr>
          <w:p w14:paraId="7ADED75B" w14:textId="77777777" w:rsidR="00092DAF" w:rsidRPr="00DE12A3" w:rsidRDefault="00092DAF" w:rsidP="00C917D6">
            <w:pPr>
              <w:pStyle w:val="NormalCentered"/>
            </w:pPr>
            <w:r w:rsidRPr="00DE12A3">
              <w:t>GER</w:t>
            </w:r>
            <w:r w:rsidR="00F310B5" w:rsidRPr="00DE12A3">
              <w:rPr>
                <w:vertAlign w:val="subscript"/>
              </w:rPr>
              <w:t>çevrim</w:t>
            </w:r>
          </w:p>
        </w:tc>
        <w:tc>
          <w:tcPr>
            <w:tcW w:w="1300" w:type="dxa"/>
            <w:tcBorders>
              <w:top w:val="single" w:sz="2" w:space="0" w:color="auto"/>
              <w:left w:val="single" w:sz="2" w:space="0" w:color="auto"/>
              <w:bottom w:val="single" w:sz="2" w:space="0" w:color="auto"/>
              <w:right w:val="single" w:sz="2" w:space="0" w:color="auto"/>
            </w:tcBorders>
          </w:tcPr>
          <w:p w14:paraId="51F8A5E9" w14:textId="77777777" w:rsidR="00092DAF" w:rsidRPr="00DE12A3" w:rsidRDefault="00092DAF" w:rsidP="00C917D6">
            <w:pPr>
              <w:spacing w:before="120" w:after="120"/>
              <w:rPr>
                <w:rFonts w:cs="Times New Roman"/>
                <w:color w:val="auto"/>
              </w:rPr>
            </w:pPr>
            <w:r w:rsidRPr="00DE12A3">
              <w:rPr>
                <w:rFonts w:cs="Times New Roman"/>
                <w:color w:val="auto"/>
              </w:rPr>
              <w:t>Sıvı yakıtta rölanti</w:t>
            </w:r>
          </w:p>
        </w:tc>
        <w:tc>
          <w:tcPr>
            <w:tcW w:w="1300" w:type="dxa"/>
            <w:tcBorders>
              <w:top w:val="single" w:sz="2" w:space="0" w:color="auto"/>
              <w:left w:val="single" w:sz="2" w:space="0" w:color="auto"/>
              <w:bottom w:val="single" w:sz="2" w:space="0" w:color="auto"/>
              <w:right w:val="single" w:sz="2" w:space="0" w:color="auto"/>
            </w:tcBorders>
          </w:tcPr>
          <w:p w14:paraId="4B01AC31" w14:textId="77777777" w:rsidR="00092DAF" w:rsidRPr="00DE12A3" w:rsidRDefault="00092DAF" w:rsidP="00C917D6">
            <w:pPr>
              <w:spacing w:before="120" w:after="120"/>
              <w:rPr>
                <w:rFonts w:cs="Times New Roman"/>
                <w:color w:val="auto"/>
              </w:rPr>
            </w:pPr>
            <w:r w:rsidRPr="00DE12A3">
              <w:rPr>
                <w:rFonts w:cs="Times New Roman"/>
                <w:color w:val="auto"/>
              </w:rPr>
              <w:t>Sıvı yakıtta ısınma</w:t>
            </w:r>
          </w:p>
        </w:tc>
        <w:tc>
          <w:tcPr>
            <w:tcW w:w="1367" w:type="dxa"/>
            <w:tcBorders>
              <w:top w:val="single" w:sz="2" w:space="0" w:color="auto"/>
              <w:left w:val="single" w:sz="2" w:space="0" w:color="auto"/>
              <w:bottom w:val="single" w:sz="2" w:space="0" w:color="auto"/>
              <w:right w:val="single" w:sz="2" w:space="0" w:color="auto"/>
            </w:tcBorders>
          </w:tcPr>
          <w:p w14:paraId="1A37B7C2" w14:textId="77777777" w:rsidR="00092DAF" w:rsidRPr="00DE12A3" w:rsidRDefault="00092DAF" w:rsidP="00C917D6">
            <w:pPr>
              <w:spacing w:before="120" w:after="120"/>
              <w:rPr>
                <w:rFonts w:cs="Times New Roman"/>
                <w:color w:val="auto"/>
              </w:rPr>
            </w:pPr>
            <w:r w:rsidRPr="00DE12A3">
              <w:rPr>
                <w:rFonts w:cs="Times New Roman"/>
                <w:color w:val="auto"/>
              </w:rPr>
              <w:t>Sadece sıvı yakıtla çalışma</w:t>
            </w:r>
          </w:p>
        </w:tc>
        <w:tc>
          <w:tcPr>
            <w:tcW w:w="1326" w:type="dxa"/>
            <w:tcBorders>
              <w:top w:val="single" w:sz="2" w:space="0" w:color="auto"/>
              <w:left w:val="single" w:sz="2" w:space="0" w:color="auto"/>
              <w:bottom w:val="single" w:sz="2" w:space="0" w:color="auto"/>
              <w:right w:val="single" w:sz="2" w:space="0" w:color="auto"/>
            </w:tcBorders>
          </w:tcPr>
          <w:p w14:paraId="66914CCA" w14:textId="77777777" w:rsidR="00092DAF" w:rsidRPr="00DE12A3" w:rsidRDefault="00092DAF" w:rsidP="00C917D6">
            <w:pPr>
              <w:spacing w:before="120" w:after="120"/>
              <w:rPr>
                <w:rFonts w:cs="Times New Roman"/>
                <w:color w:val="auto"/>
              </w:rPr>
            </w:pPr>
            <w:r w:rsidRPr="00DE12A3">
              <w:rPr>
                <w:rFonts w:cs="Times New Roman"/>
                <w:color w:val="auto"/>
              </w:rPr>
              <w:t>Gaz yokken çalışma</w:t>
            </w:r>
          </w:p>
        </w:tc>
        <w:tc>
          <w:tcPr>
            <w:tcW w:w="1300" w:type="dxa"/>
            <w:tcBorders>
              <w:top w:val="single" w:sz="2" w:space="0" w:color="auto"/>
              <w:left w:val="single" w:sz="2" w:space="0" w:color="auto"/>
              <w:bottom w:val="single" w:sz="2" w:space="0" w:color="auto"/>
              <w:right w:val="single" w:sz="2" w:space="0" w:color="auto"/>
            </w:tcBorders>
          </w:tcPr>
          <w:p w14:paraId="6F3BCDE0" w14:textId="77777777" w:rsidR="00092DAF" w:rsidRPr="00DE12A3" w:rsidRDefault="00092DAF" w:rsidP="00C917D6">
            <w:pPr>
              <w:pStyle w:val="NormalCentered"/>
            </w:pPr>
            <w:r w:rsidRPr="00DE12A3">
              <w:t>Yorumlar</w:t>
            </w:r>
          </w:p>
        </w:tc>
      </w:tr>
      <w:tr w:rsidR="00DE12A3" w:rsidRPr="00DE12A3" w14:paraId="2D905C45" w14:textId="77777777" w:rsidTr="00946B82">
        <w:tc>
          <w:tcPr>
            <w:tcW w:w="1300" w:type="dxa"/>
            <w:tcBorders>
              <w:top w:val="single" w:sz="2" w:space="0" w:color="auto"/>
              <w:left w:val="single" w:sz="2" w:space="0" w:color="auto"/>
              <w:bottom w:val="single" w:sz="2" w:space="0" w:color="auto"/>
              <w:right w:val="single" w:sz="2" w:space="0" w:color="auto"/>
            </w:tcBorders>
          </w:tcPr>
          <w:p w14:paraId="53F7A07A" w14:textId="77777777" w:rsidR="00092DAF" w:rsidRPr="00DE12A3" w:rsidRDefault="00092DAF" w:rsidP="00C917D6">
            <w:pPr>
              <w:pStyle w:val="NormalLeft"/>
            </w:pPr>
            <w:r w:rsidRPr="00DE12A3">
              <w:t>1A</w:t>
            </w:r>
          </w:p>
        </w:tc>
        <w:tc>
          <w:tcPr>
            <w:tcW w:w="1393" w:type="dxa"/>
            <w:tcBorders>
              <w:top w:val="single" w:sz="2" w:space="0" w:color="auto"/>
              <w:left w:val="single" w:sz="2" w:space="0" w:color="auto"/>
              <w:bottom w:val="single" w:sz="2" w:space="0" w:color="auto"/>
              <w:right w:val="single" w:sz="2" w:space="0" w:color="auto"/>
            </w:tcBorders>
          </w:tcPr>
          <w:p w14:paraId="5DD44E12" w14:textId="01DD7DD2" w:rsidR="00092DAF" w:rsidRPr="00DE12A3" w:rsidRDefault="00092DAF" w:rsidP="00C917D6">
            <w:pPr>
              <w:pStyle w:val="NormalLeft"/>
            </w:pPr>
            <w:r w:rsidRPr="00DE12A3">
              <w:t>GER</w:t>
            </w:r>
            <w:r w:rsidRPr="00DE12A3">
              <w:rPr>
                <w:vertAlign w:val="subscript"/>
              </w:rPr>
              <w:t>NRTC, hot</w:t>
            </w:r>
            <w:r w:rsidRPr="00DE12A3">
              <w:t xml:space="preserve"> ≥ 0,9 </w:t>
            </w:r>
            <w:r w:rsidR="00C13CC7" w:rsidRPr="00DE12A3">
              <w:t>veya</w:t>
            </w:r>
          </w:p>
          <w:p w14:paraId="34C3FC01" w14:textId="77777777" w:rsidR="00092DAF" w:rsidRPr="00DE12A3" w:rsidRDefault="00092DAF" w:rsidP="00C917D6">
            <w:pPr>
              <w:pStyle w:val="NormalLeft"/>
            </w:pPr>
            <w:r w:rsidRPr="00DE12A3">
              <w:t>GER</w:t>
            </w:r>
            <w:r w:rsidRPr="00DE12A3">
              <w:rPr>
                <w:vertAlign w:val="subscript"/>
              </w:rPr>
              <w:t>NRSC,</w:t>
            </w:r>
            <w:r w:rsidRPr="00DE12A3">
              <w:t xml:space="preserve"> ≥ 0,9</w:t>
            </w:r>
          </w:p>
        </w:tc>
        <w:tc>
          <w:tcPr>
            <w:tcW w:w="1300" w:type="dxa"/>
            <w:tcBorders>
              <w:top w:val="single" w:sz="2" w:space="0" w:color="auto"/>
              <w:left w:val="single" w:sz="2" w:space="0" w:color="auto"/>
              <w:bottom w:val="single" w:sz="2" w:space="0" w:color="auto"/>
              <w:right w:val="single" w:sz="2" w:space="0" w:color="auto"/>
            </w:tcBorders>
          </w:tcPr>
          <w:p w14:paraId="5DA788AE" w14:textId="77777777" w:rsidR="00092DAF" w:rsidRPr="00DE12A3" w:rsidRDefault="00092DAF" w:rsidP="00C917D6">
            <w:pPr>
              <w:spacing w:before="120" w:after="120"/>
              <w:rPr>
                <w:rFonts w:cs="Times New Roman"/>
                <w:color w:val="auto"/>
              </w:rPr>
            </w:pPr>
            <w:r w:rsidRPr="00DE12A3">
              <w:rPr>
                <w:rFonts w:cs="Times New Roman"/>
                <w:color w:val="auto"/>
              </w:rPr>
              <w:t>İzin verilmez</w:t>
            </w:r>
          </w:p>
        </w:tc>
        <w:tc>
          <w:tcPr>
            <w:tcW w:w="1300" w:type="dxa"/>
            <w:tcBorders>
              <w:top w:val="single" w:sz="2" w:space="0" w:color="auto"/>
              <w:left w:val="single" w:sz="2" w:space="0" w:color="auto"/>
              <w:bottom w:val="single" w:sz="2" w:space="0" w:color="auto"/>
              <w:right w:val="single" w:sz="2" w:space="0" w:color="auto"/>
            </w:tcBorders>
          </w:tcPr>
          <w:p w14:paraId="7F335EA3" w14:textId="77777777" w:rsidR="00092DAF" w:rsidRPr="00DE12A3" w:rsidRDefault="00092DAF" w:rsidP="00C917D6">
            <w:pPr>
              <w:spacing w:before="120" w:after="120"/>
              <w:rPr>
                <w:rFonts w:cs="Times New Roman"/>
                <w:color w:val="auto"/>
              </w:rPr>
            </w:pPr>
            <w:r w:rsidRPr="00DE12A3">
              <w:rPr>
                <w:rFonts w:cs="Times New Roman"/>
                <w:color w:val="auto"/>
              </w:rPr>
              <w:t>Sadece servis modunda izin verilir</w:t>
            </w:r>
          </w:p>
        </w:tc>
        <w:tc>
          <w:tcPr>
            <w:tcW w:w="1367" w:type="dxa"/>
            <w:tcBorders>
              <w:top w:val="single" w:sz="2" w:space="0" w:color="auto"/>
              <w:left w:val="single" w:sz="2" w:space="0" w:color="auto"/>
              <w:bottom w:val="single" w:sz="2" w:space="0" w:color="auto"/>
              <w:right w:val="single" w:sz="2" w:space="0" w:color="auto"/>
            </w:tcBorders>
          </w:tcPr>
          <w:p w14:paraId="70C294D7" w14:textId="77777777" w:rsidR="00092DAF" w:rsidRPr="00DE12A3" w:rsidRDefault="00092DAF" w:rsidP="00C917D6">
            <w:pPr>
              <w:spacing w:before="120" w:after="120"/>
              <w:rPr>
                <w:rFonts w:cs="Times New Roman"/>
                <w:color w:val="auto"/>
              </w:rPr>
            </w:pPr>
            <w:r w:rsidRPr="00DE12A3">
              <w:rPr>
                <w:rFonts w:cs="Times New Roman"/>
                <w:color w:val="auto"/>
              </w:rPr>
              <w:t>Sadece servis modunda izin verilir</w:t>
            </w:r>
          </w:p>
        </w:tc>
        <w:tc>
          <w:tcPr>
            <w:tcW w:w="1326" w:type="dxa"/>
            <w:tcBorders>
              <w:top w:val="single" w:sz="2" w:space="0" w:color="auto"/>
              <w:left w:val="single" w:sz="2" w:space="0" w:color="auto"/>
              <w:bottom w:val="single" w:sz="2" w:space="0" w:color="auto"/>
              <w:right w:val="single" w:sz="2" w:space="0" w:color="auto"/>
            </w:tcBorders>
          </w:tcPr>
          <w:p w14:paraId="73D4DF3C" w14:textId="77777777" w:rsidR="00092DAF" w:rsidRPr="00DE12A3" w:rsidRDefault="00092DAF" w:rsidP="00C917D6">
            <w:pPr>
              <w:spacing w:before="120" w:after="120"/>
              <w:rPr>
                <w:rFonts w:cs="Times New Roman"/>
                <w:color w:val="auto"/>
              </w:rPr>
            </w:pPr>
            <w:r w:rsidRPr="00DE12A3">
              <w:rPr>
                <w:rFonts w:cs="Times New Roman"/>
                <w:color w:val="auto"/>
              </w:rPr>
              <w:t>Servis modu</w:t>
            </w:r>
          </w:p>
        </w:tc>
        <w:tc>
          <w:tcPr>
            <w:tcW w:w="1300" w:type="dxa"/>
            <w:tcBorders>
              <w:top w:val="single" w:sz="2" w:space="0" w:color="auto"/>
              <w:left w:val="single" w:sz="2" w:space="0" w:color="auto"/>
              <w:bottom w:val="single" w:sz="2" w:space="0" w:color="auto"/>
              <w:right w:val="single" w:sz="2" w:space="0" w:color="auto"/>
            </w:tcBorders>
          </w:tcPr>
          <w:p w14:paraId="4884E6A0" w14:textId="77777777" w:rsidR="00092DAF" w:rsidRPr="00DE12A3" w:rsidRDefault="00092DAF" w:rsidP="00C917D6">
            <w:pPr>
              <w:pStyle w:val="NormalLeft"/>
            </w:pPr>
          </w:p>
        </w:tc>
      </w:tr>
      <w:tr w:rsidR="00DE12A3" w:rsidRPr="00DE12A3" w14:paraId="324281AE" w14:textId="77777777" w:rsidTr="00946B82">
        <w:tc>
          <w:tcPr>
            <w:tcW w:w="1300" w:type="dxa"/>
            <w:tcBorders>
              <w:top w:val="single" w:sz="2" w:space="0" w:color="auto"/>
              <w:left w:val="single" w:sz="2" w:space="0" w:color="auto"/>
              <w:bottom w:val="single" w:sz="2" w:space="0" w:color="auto"/>
              <w:right w:val="single" w:sz="2" w:space="0" w:color="auto"/>
            </w:tcBorders>
          </w:tcPr>
          <w:p w14:paraId="16309C3C" w14:textId="77777777" w:rsidR="00092DAF" w:rsidRPr="00DE12A3" w:rsidRDefault="00092DAF" w:rsidP="00C917D6">
            <w:pPr>
              <w:pStyle w:val="NormalLeft"/>
            </w:pPr>
            <w:r w:rsidRPr="00DE12A3">
              <w:t>1B</w:t>
            </w:r>
          </w:p>
        </w:tc>
        <w:tc>
          <w:tcPr>
            <w:tcW w:w="1393" w:type="dxa"/>
            <w:tcBorders>
              <w:top w:val="single" w:sz="2" w:space="0" w:color="auto"/>
              <w:left w:val="single" w:sz="2" w:space="0" w:color="auto"/>
              <w:bottom w:val="single" w:sz="2" w:space="0" w:color="auto"/>
              <w:right w:val="single" w:sz="2" w:space="0" w:color="auto"/>
            </w:tcBorders>
          </w:tcPr>
          <w:p w14:paraId="61E6631E" w14:textId="77777777" w:rsidR="00092DAF" w:rsidRPr="00DE12A3" w:rsidRDefault="00092DAF" w:rsidP="00C917D6">
            <w:pPr>
              <w:pStyle w:val="NormalLeft"/>
            </w:pPr>
            <w:r w:rsidRPr="00DE12A3">
              <w:t>GER</w:t>
            </w:r>
            <w:r w:rsidRPr="00DE12A3">
              <w:rPr>
                <w:vertAlign w:val="subscript"/>
              </w:rPr>
              <w:t>NRTC, hot</w:t>
            </w:r>
            <w:r w:rsidRPr="00DE12A3">
              <w:t xml:space="preserve"> ≥ 0,9</w:t>
            </w:r>
          </w:p>
          <w:p w14:paraId="5E754E03" w14:textId="29308841" w:rsidR="00092DAF" w:rsidRPr="00DE12A3" w:rsidRDefault="00C13CC7" w:rsidP="00C917D6">
            <w:pPr>
              <w:pStyle w:val="NormalLeft"/>
            </w:pPr>
            <w:r w:rsidRPr="00DE12A3">
              <w:t>veya</w:t>
            </w:r>
          </w:p>
          <w:p w14:paraId="553EBA4E" w14:textId="77777777" w:rsidR="00092DAF" w:rsidRPr="00DE12A3" w:rsidRDefault="00092DAF" w:rsidP="00C917D6">
            <w:pPr>
              <w:pStyle w:val="NormalLeft"/>
            </w:pPr>
            <w:r w:rsidRPr="00DE12A3">
              <w:t>GER</w:t>
            </w:r>
            <w:r w:rsidRPr="00DE12A3">
              <w:rPr>
                <w:vertAlign w:val="subscript"/>
              </w:rPr>
              <w:t>NRSC</w:t>
            </w:r>
            <w:r w:rsidRPr="00DE12A3">
              <w:t xml:space="preserve"> ≥ 0,9</w:t>
            </w:r>
          </w:p>
        </w:tc>
        <w:tc>
          <w:tcPr>
            <w:tcW w:w="1300" w:type="dxa"/>
            <w:tcBorders>
              <w:top w:val="single" w:sz="2" w:space="0" w:color="auto"/>
              <w:left w:val="single" w:sz="2" w:space="0" w:color="auto"/>
              <w:bottom w:val="single" w:sz="2" w:space="0" w:color="auto"/>
              <w:right w:val="single" w:sz="2" w:space="0" w:color="auto"/>
            </w:tcBorders>
          </w:tcPr>
          <w:p w14:paraId="627E2DC8" w14:textId="77777777" w:rsidR="00092DAF" w:rsidRPr="00DE12A3" w:rsidRDefault="00092DAF" w:rsidP="00C917D6">
            <w:pPr>
              <w:spacing w:before="120" w:after="120"/>
              <w:rPr>
                <w:rFonts w:cs="Times New Roman"/>
                <w:color w:val="auto"/>
              </w:rPr>
            </w:pPr>
            <w:r w:rsidRPr="00DE12A3">
              <w:rPr>
                <w:rFonts w:cs="Times New Roman"/>
                <w:color w:val="auto"/>
              </w:rPr>
              <w:t>Sadece sıvı yakıt modunda izin verilir</w:t>
            </w:r>
          </w:p>
        </w:tc>
        <w:tc>
          <w:tcPr>
            <w:tcW w:w="1300" w:type="dxa"/>
            <w:tcBorders>
              <w:top w:val="single" w:sz="2" w:space="0" w:color="auto"/>
              <w:left w:val="single" w:sz="2" w:space="0" w:color="auto"/>
              <w:bottom w:val="single" w:sz="2" w:space="0" w:color="auto"/>
              <w:right w:val="single" w:sz="2" w:space="0" w:color="auto"/>
            </w:tcBorders>
          </w:tcPr>
          <w:p w14:paraId="1DAF3DA1" w14:textId="77777777" w:rsidR="00092DAF" w:rsidRPr="00DE12A3" w:rsidRDefault="00092DAF" w:rsidP="00C917D6">
            <w:pPr>
              <w:spacing w:before="120" w:after="120"/>
              <w:rPr>
                <w:rFonts w:cs="Times New Roman"/>
                <w:color w:val="auto"/>
              </w:rPr>
            </w:pPr>
            <w:r w:rsidRPr="00DE12A3">
              <w:rPr>
                <w:rFonts w:cs="Times New Roman"/>
                <w:color w:val="auto"/>
              </w:rPr>
              <w:t>Sadece sıvı yakıt modunda izin verilir</w:t>
            </w:r>
          </w:p>
        </w:tc>
        <w:tc>
          <w:tcPr>
            <w:tcW w:w="1367" w:type="dxa"/>
            <w:tcBorders>
              <w:top w:val="single" w:sz="2" w:space="0" w:color="auto"/>
              <w:left w:val="single" w:sz="2" w:space="0" w:color="auto"/>
              <w:bottom w:val="single" w:sz="2" w:space="0" w:color="auto"/>
              <w:right w:val="single" w:sz="2" w:space="0" w:color="auto"/>
            </w:tcBorders>
          </w:tcPr>
          <w:p w14:paraId="66DC1982" w14:textId="77777777" w:rsidR="00092DAF" w:rsidRPr="00DE12A3" w:rsidRDefault="00092DAF" w:rsidP="00C917D6">
            <w:pPr>
              <w:spacing w:before="120" w:after="120"/>
              <w:rPr>
                <w:rFonts w:cs="Times New Roman"/>
                <w:color w:val="auto"/>
              </w:rPr>
            </w:pPr>
            <w:r w:rsidRPr="00DE12A3">
              <w:rPr>
                <w:rFonts w:cs="Times New Roman"/>
                <w:color w:val="auto"/>
              </w:rPr>
              <w:t>Sadece sıvı yakıt ve servis modlarında izin verilir</w:t>
            </w:r>
          </w:p>
        </w:tc>
        <w:tc>
          <w:tcPr>
            <w:tcW w:w="1326" w:type="dxa"/>
            <w:tcBorders>
              <w:top w:val="single" w:sz="2" w:space="0" w:color="auto"/>
              <w:left w:val="single" w:sz="2" w:space="0" w:color="auto"/>
              <w:bottom w:val="single" w:sz="2" w:space="0" w:color="auto"/>
              <w:right w:val="single" w:sz="2" w:space="0" w:color="auto"/>
            </w:tcBorders>
          </w:tcPr>
          <w:p w14:paraId="24CB9022" w14:textId="77777777" w:rsidR="00092DAF" w:rsidRPr="00DE12A3" w:rsidRDefault="00092DAF" w:rsidP="00C917D6">
            <w:pPr>
              <w:spacing w:before="120" w:after="120"/>
              <w:rPr>
                <w:rFonts w:cs="Times New Roman"/>
                <w:color w:val="auto"/>
              </w:rPr>
            </w:pPr>
            <w:r w:rsidRPr="00DE12A3">
              <w:rPr>
                <w:rFonts w:cs="Times New Roman"/>
                <w:color w:val="auto"/>
              </w:rPr>
              <w:t>Sıvı yakıt modu</w:t>
            </w:r>
          </w:p>
        </w:tc>
        <w:tc>
          <w:tcPr>
            <w:tcW w:w="1300" w:type="dxa"/>
            <w:tcBorders>
              <w:top w:val="single" w:sz="2" w:space="0" w:color="auto"/>
              <w:left w:val="single" w:sz="2" w:space="0" w:color="auto"/>
              <w:bottom w:val="single" w:sz="2" w:space="0" w:color="auto"/>
              <w:right w:val="single" w:sz="2" w:space="0" w:color="auto"/>
            </w:tcBorders>
          </w:tcPr>
          <w:p w14:paraId="30651E27" w14:textId="77777777" w:rsidR="00092DAF" w:rsidRPr="00DE12A3" w:rsidRDefault="00092DAF" w:rsidP="00C917D6">
            <w:pPr>
              <w:pStyle w:val="NormalLeft"/>
            </w:pPr>
          </w:p>
        </w:tc>
      </w:tr>
      <w:tr w:rsidR="00DE12A3" w:rsidRPr="00DE12A3" w14:paraId="4C474C0A" w14:textId="77777777" w:rsidTr="00946B82">
        <w:tc>
          <w:tcPr>
            <w:tcW w:w="1300" w:type="dxa"/>
            <w:tcBorders>
              <w:top w:val="single" w:sz="2" w:space="0" w:color="auto"/>
              <w:left w:val="single" w:sz="2" w:space="0" w:color="auto"/>
              <w:bottom w:val="single" w:sz="2" w:space="0" w:color="auto"/>
              <w:right w:val="single" w:sz="2" w:space="0" w:color="auto"/>
            </w:tcBorders>
          </w:tcPr>
          <w:p w14:paraId="3C75BCF0" w14:textId="77777777" w:rsidR="00092DAF" w:rsidRPr="00DE12A3" w:rsidRDefault="00092DAF" w:rsidP="00C917D6">
            <w:pPr>
              <w:pStyle w:val="NormalLeft"/>
            </w:pPr>
            <w:r w:rsidRPr="00DE12A3">
              <w:t>2A</w:t>
            </w:r>
          </w:p>
        </w:tc>
        <w:tc>
          <w:tcPr>
            <w:tcW w:w="1393" w:type="dxa"/>
            <w:tcBorders>
              <w:top w:val="single" w:sz="2" w:space="0" w:color="auto"/>
              <w:left w:val="single" w:sz="2" w:space="0" w:color="auto"/>
              <w:bottom w:val="single" w:sz="2" w:space="0" w:color="auto"/>
              <w:right w:val="single" w:sz="2" w:space="0" w:color="auto"/>
            </w:tcBorders>
          </w:tcPr>
          <w:p w14:paraId="0BDE1D08" w14:textId="77777777" w:rsidR="00092DAF" w:rsidRPr="00DE12A3" w:rsidRDefault="00092DAF" w:rsidP="00C917D6">
            <w:pPr>
              <w:pStyle w:val="NormalLeft"/>
            </w:pPr>
            <w:r w:rsidRPr="00DE12A3">
              <w:t>0,1 &lt; GER</w:t>
            </w:r>
            <w:r w:rsidRPr="00DE12A3">
              <w:rPr>
                <w:vertAlign w:val="subscript"/>
              </w:rPr>
              <w:t>NRTC, hot</w:t>
            </w:r>
            <w:r w:rsidRPr="00DE12A3">
              <w:t xml:space="preserve"> &lt; 0,9</w:t>
            </w:r>
          </w:p>
          <w:p w14:paraId="630C6737" w14:textId="45E7EA7A" w:rsidR="00092DAF" w:rsidRPr="00DE12A3" w:rsidRDefault="00C13CC7" w:rsidP="00C917D6">
            <w:pPr>
              <w:pStyle w:val="NormalLeft"/>
            </w:pPr>
            <w:r w:rsidRPr="00DE12A3">
              <w:t xml:space="preserve">veya </w:t>
            </w:r>
            <w:r w:rsidR="00092DAF" w:rsidRPr="00DE12A3">
              <w:t xml:space="preserve"> 0,1 &lt; GER</w:t>
            </w:r>
            <w:r w:rsidR="00092DAF" w:rsidRPr="00DE12A3">
              <w:rPr>
                <w:vertAlign w:val="subscript"/>
              </w:rPr>
              <w:t>NRSC</w:t>
            </w:r>
            <w:r w:rsidR="00092DAF" w:rsidRPr="00DE12A3">
              <w:t xml:space="preserve"> &lt; 0,9</w:t>
            </w:r>
          </w:p>
        </w:tc>
        <w:tc>
          <w:tcPr>
            <w:tcW w:w="1300" w:type="dxa"/>
            <w:tcBorders>
              <w:top w:val="single" w:sz="2" w:space="0" w:color="auto"/>
              <w:left w:val="single" w:sz="2" w:space="0" w:color="auto"/>
              <w:bottom w:val="single" w:sz="2" w:space="0" w:color="auto"/>
              <w:right w:val="single" w:sz="2" w:space="0" w:color="auto"/>
            </w:tcBorders>
          </w:tcPr>
          <w:p w14:paraId="6DE0825E" w14:textId="77777777" w:rsidR="00092DAF" w:rsidRPr="00DE12A3" w:rsidRDefault="00092DAF" w:rsidP="00C917D6">
            <w:pPr>
              <w:spacing w:before="120" w:after="120"/>
              <w:rPr>
                <w:rFonts w:cs="Times New Roman"/>
                <w:color w:val="auto"/>
              </w:rPr>
            </w:pPr>
            <w:r w:rsidRPr="00DE12A3">
              <w:rPr>
                <w:rFonts w:cs="Times New Roman"/>
                <w:color w:val="auto"/>
              </w:rPr>
              <w:t>İzin verilir</w:t>
            </w:r>
          </w:p>
        </w:tc>
        <w:tc>
          <w:tcPr>
            <w:tcW w:w="1300" w:type="dxa"/>
            <w:tcBorders>
              <w:top w:val="single" w:sz="2" w:space="0" w:color="auto"/>
              <w:left w:val="single" w:sz="2" w:space="0" w:color="auto"/>
              <w:bottom w:val="single" w:sz="2" w:space="0" w:color="auto"/>
              <w:right w:val="single" w:sz="2" w:space="0" w:color="auto"/>
            </w:tcBorders>
          </w:tcPr>
          <w:p w14:paraId="58F644BC" w14:textId="77777777" w:rsidR="00092DAF" w:rsidRPr="00DE12A3" w:rsidRDefault="00092DAF" w:rsidP="00C917D6">
            <w:pPr>
              <w:spacing w:before="120" w:after="120"/>
              <w:rPr>
                <w:rFonts w:cs="Times New Roman"/>
                <w:color w:val="auto"/>
              </w:rPr>
            </w:pPr>
            <w:r w:rsidRPr="00DE12A3">
              <w:rPr>
                <w:rFonts w:cs="Times New Roman"/>
                <w:color w:val="auto"/>
              </w:rPr>
              <w:t>Sadece servis modunda izin verilir</w:t>
            </w:r>
          </w:p>
        </w:tc>
        <w:tc>
          <w:tcPr>
            <w:tcW w:w="1367" w:type="dxa"/>
            <w:tcBorders>
              <w:top w:val="single" w:sz="2" w:space="0" w:color="auto"/>
              <w:left w:val="single" w:sz="2" w:space="0" w:color="auto"/>
              <w:bottom w:val="single" w:sz="2" w:space="0" w:color="auto"/>
              <w:right w:val="single" w:sz="2" w:space="0" w:color="auto"/>
            </w:tcBorders>
          </w:tcPr>
          <w:p w14:paraId="7AB7D269" w14:textId="77777777" w:rsidR="00092DAF" w:rsidRPr="00DE12A3" w:rsidRDefault="00092DAF" w:rsidP="00C917D6">
            <w:pPr>
              <w:spacing w:before="120" w:after="120"/>
              <w:rPr>
                <w:rFonts w:cs="Times New Roman"/>
                <w:color w:val="auto"/>
              </w:rPr>
            </w:pPr>
            <w:r w:rsidRPr="00DE12A3">
              <w:rPr>
                <w:rFonts w:cs="Times New Roman"/>
                <w:color w:val="auto"/>
              </w:rPr>
              <w:t>Sadece servis modunda izin verilir</w:t>
            </w:r>
          </w:p>
        </w:tc>
        <w:tc>
          <w:tcPr>
            <w:tcW w:w="1326" w:type="dxa"/>
            <w:tcBorders>
              <w:top w:val="single" w:sz="2" w:space="0" w:color="auto"/>
              <w:left w:val="single" w:sz="2" w:space="0" w:color="auto"/>
              <w:bottom w:val="single" w:sz="2" w:space="0" w:color="auto"/>
              <w:right w:val="single" w:sz="2" w:space="0" w:color="auto"/>
            </w:tcBorders>
          </w:tcPr>
          <w:p w14:paraId="790FF87B" w14:textId="77777777" w:rsidR="00092DAF" w:rsidRPr="00DE12A3" w:rsidRDefault="00092DAF" w:rsidP="00C917D6">
            <w:pPr>
              <w:spacing w:before="120" w:after="120"/>
              <w:rPr>
                <w:rFonts w:cs="Times New Roman"/>
                <w:color w:val="auto"/>
              </w:rPr>
            </w:pPr>
            <w:r w:rsidRPr="00DE12A3">
              <w:rPr>
                <w:rFonts w:cs="Times New Roman"/>
                <w:color w:val="auto"/>
              </w:rPr>
              <w:t>Servis modu</w:t>
            </w:r>
          </w:p>
        </w:tc>
        <w:tc>
          <w:tcPr>
            <w:tcW w:w="1300" w:type="dxa"/>
            <w:tcBorders>
              <w:top w:val="single" w:sz="2" w:space="0" w:color="auto"/>
              <w:left w:val="single" w:sz="2" w:space="0" w:color="auto"/>
              <w:bottom w:val="single" w:sz="2" w:space="0" w:color="auto"/>
              <w:right w:val="single" w:sz="2" w:space="0" w:color="auto"/>
            </w:tcBorders>
          </w:tcPr>
          <w:p w14:paraId="74BC8E13" w14:textId="77777777" w:rsidR="00092DAF" w:rsidRPr="00DE12A3" w:rsidRDefault="00092DAF" w:rsidP="00C917D6">
            <w:pPr>
              <w:pStyle w:val="NormalLeft"/>
            </w:pPr>
            <w:r w:rsidRPr="00DE12A3">
              <w:t>GER</w:t>
            </w:r>
            <w:r w:rsidRPr="00DE12A3">
              <w:rPr>
                <w:vertAlign w:val="subscript"/>
              </w:rPr>
              <w:t>NRTC, hot</w:t>
            </w:r>
            <w:r w:rsidRPr="00DE12A3">
              <w:t xml:space="preserve"> ≥ 0,9</w:t>
            </w:r>
          </w:p>
          <w:p w14:paraId="00A377CD" w14:textId="04C3E857" w:rsidR="00092DAF" w:rsidRPr="00DE12A3" w:rsidRDefault="00773274" w:rsidP="00C917D6">
            <w:pPr>
              <w:pStyle w:val="NormalLeft"/>
            </w:pPr>
            <w:r w:rsidRPr="00DE12A3">
              <w:t>veya</w:t>
            </w:r>
          </w:p>
          <w:p w14:paraId="1A37A18E" w14:textId="77777777" w:rsidR="00092DAF" w:rsidRPr="00DE12A3" w:rsidRDefault="00092DAF" w:rsidP="00C917D6">
            <w:pPr>
              <w:pStyle w:val="NormalLeft"/>
            </w:pPr>
            <w:r w:rsidRPr="00DE12A3">
              <w:t>GER</w:t>
            </w:r>
            <w:r w:rsidRPr="00DE12A3">
              <w:rPr>
                <w:vertAlign w:val="subscript"/>
              </w:rPr>
              <w:t>NRSC</w:t>
            </w:r>
            <w:r w:rsidRPr="00DE12A3">
              <w:t xml:space="preserve"> ≥ 0,9</w:t>
            </w:r>
          </w:p>
          <w:p w14:paraId="633D9343" w14:textId="77777777" w:rsidR="00092DAF" w:rsidRPr="00DE12A3" w:rsidRDefault="00092DAF" w:rsidP="00C917D6">
            <w:pPr>
              <w:pStyle w:val="NormalLeft"/>
            </w:pPr>
            <w:r w:rsidRPr="00DE12A3">
              <w:t>İzin verilir</w:t>
            </w:r>
          </w:p>
        </w:tc>
      </w:tr>
      <w:tr w:rsidR="00DE12A3" w:rsidRPr="00DE12A3" w14:paraId="74E54602" w14:textId="77777777" w:rsidTr="00946B82">
        <w:tc>
          <w:tcPr>
            <w:tcW w:w="1300" w:type="dxa"/>
            <w:tcBorders>
              <w:top w:val="single" w:sz="2" w:space="0" w:color="auto"/>
              <w:left w:val="single" w:sz="2" w:space="0" w:color="auto"/>
              <w:bottom w:val="single" w:sz="2" w:space="0" w:color="auto"/>
              <w:right w:val="single" w:sz="2" w:space="0" w:color="auto"/>
            </w:tcBorders>
          </w:tcPr>
          <w:p w14:paraId="663D03EE" w14:textId="77777777" w:rsidR="00092DAF" w:rsidRPr="00DE12A3" w:rsidRDefault="00092DAF" w:rsidP="00C917D6">
            <w:pPr>
              <w:pStyle w:val="NormalLeft"/>
            </w:pPr>
            <w:r w:rsidRPr="00DE12A3">
              <w:t>2B</w:t>
            </w:r>
          </w:p>
        </w:tc>
        <w:tc>
          <w:tcPr>
            <w:tcW w:w="1393" w:type="dxa"/>
            <w:tcBorders>
              <w:top w:val="single" w:sz="2" w:space="0" w:color="auto"/>
              <w:left w:val="single" w:sz="2" w:space="0" w:color="auto"/>
              <w:bottom w:val="single" w:sz="2" w:space="0" w:color="auto"/>
              <w:right w:val="single" w:sz="2" w:space="0" w:color="auto"/>
            </w:tcBorders>
          </w:tcPr>
          <w:p w14:paraId="4DCCBBAB" w14:textId="77777777" w:rsidR="00092DAF" w:rsidRPr="00DE12A3" w:rsidRDefault="00092DAF" w:rsidP="00C917D6">
            <w:pPr>
              <w:pStyle w:val="NormalLeft"/>
            </w:pPr>
            <w:r w:rsidRPr="00DE12A3">
              <w:t>0,1 &lt; GER</w:t>
            </w:r>
            <w:r w:rsidRPr="00DE12A3">
              <w:rPr>
                <w:vertAlign w:val="subscript"/>
              </w:rPr>
              <w:t>NRTC, hot</w:t>
            </w:r>
            <w:r w:rsidRPr="00DE12A3">
              <w:t xml:space="preserve"> &lt; 0,9</w:t>
            </w:r>
          </w:p>
          <w:p w14:paraId="424872C7" w14:textId="6D1B1206" w:rsidR="00092DAF" w:rsidRPr="00DE12A3" w:rsidRDefault="00C13CC7" w:rsidP="00C917D6">
            <w:pPr>
              <w:pStyle w:val="NormalLeft"/>
            </w:pPr>
            <w:r w:rsidRPr="00DE12A3">
              <w:t>veya</w:t>
            </w:r>
            <w:r w:rsidR="00092DAF" w:rsidRPr="00DE12A3">
              <w:t xml:space="preserve"> 0,1 &lt; GER</w:t>
            </w:r>
            <w:r w:rsidR="00092DAF" w:rsidRPr="00DE12A3">
              <w:rPr>
                <w:vertAlign w:val="subscript"/>
              </w:rPr>
              <w:t>NRSC</w:t>
            </w:r>
            <w:r w:rsidR="00092DAF" w:rsidRPr="00DE12A3">
              <w:t xml:space="preserve"> &lt; 0,9</w:t>
            </w:r>
          </w:p>
        </w:tc>
        <w:tc>
          <w:tcPr>
            <w:tcW w:w="1300" w:type="dxa"/>
            <w:tcBorders>
              <w:top w:val="single" w:sz="2" w:space="0" w:color="auto"/>
              <w:left w:val="single" w:sz="2" w:space="0" w:color="auto"/>
              <w:bottom w:val="single" w:sz="2" w:space="0" w:color="auto"/>
              <w:right w:val="single" w:sz="2" w:space="0" w:color="auto"/>
            </w:tcBorders>
          </w:tcPr>
          <w:p w14:paraId="70680618" w14:textId="77777777" w:rsidR="00092DAF" w:rsidRPr="00DE12A3" w:rsidRDefault="00092DAF" w:rsidP="00C917D6">
            <w:pPr>
              <w:spacing w:before="120" w:after="120"/>
              <w:rPr>
                <w:rFonts w:cs="Times New Roman"/>
                <w:color w:val="auto"/>
              </w:rPr>
            </w:pPr>
            <w:r w:rsidRPr="00DE12A3">
              <w:rPr>
                <w:rFonts w:cs="Times New Roman"/>
                <w:color w:val="auto"/>
              </w:rPr>
              <w:t>İzin verilir</w:t>
            </w:r>
          </w:p>
        </w:tc>
        <w:tc>
          <w:tcPr>
            <w:tcW w:w="1300" w:type="dxa"/>
            <w:tcBorders>
              <w:top w:val="single" w:sz="2" w:space="0" w:color="auto"/>
              <w:left w:val="single" w:sz="2" w:space="0" w:color="auto"/>
              <w:bottom w:val="single" w:sz="2" w:space="0" w:color="auto"/>
              <w:right w:val="single" w:sz="2" w:space="0" w:color="auto"/>
            </w:tcBorders>
          </w:tcPr>
          <w:p w14:paraId="61BEC3B3" w14:textId="77777777" w:rsidR="00092DAF" w:rsidRPr="00DE12A3" w:rsidRDefault="00092DAF" w:rsidP="00C917D6">
            <w:pPr>
              <w:spacing w:before="120" w:after="120"/>
              <w:rPr>
                <w:rFonts w:cs="Times New Roman"/>
                <w:color w:val="auto"/>
              </w:rPr>
            </w:pPr>
            <w:r w:rsidRPr="00DE12A3">
              <w:rPr>
                <w:rFonts w:cs="Times New Roman"/>
                <w:color w:val="auto"/>
              </w:rPr>
              <w:t>İzin verilir</w:t>
            </w:r>
          </w:p>
        </w:tc>
        <w:tc>
          <w:tcPr>
            <w:tcW w:w="1367" w:type="dxa"/>
            <w:tcBorders>
              <w:top w:val="single" w:sz="2" w:space="0" w:color="auto"/>
              <w:left w:val="single" w:sz="2" w:space="0" w:color="auto"/>
              <w:bottom w:val="single" w:sz="2" w:space="0" w:color="auto"/>
              <w:right w:val="single" w:sz="2" w:space="0" w:color="auto"/>
            </w:tcBorders>
          </w:tcPr>
          <w:p w14:paraId="6E6682F7" w14:textId="77777777" w:rsidR="00092DAF" w:rsidRPr="00DE12A3" w:rsidRDefault="00092DAF" w:rsidP="00C917D6">
            <w:pPr>
              <w:spacing w:before="120" w:after="120"/>
              <w:rPr>
                <w:rFonts w:cs="Times New Roman"/>
                <w:color w:val="auto"/>
              </w:rPr>
            </w:pPr>
            <w:r w:rsidRPr="00DE12A3">
              <w:rPr>
                <w:rFonts w:cs="Times New Roman"/>
                <w:color w:val="auto"/>
              </w:rPr>
              <w:t>İzin verilir</w:t>
            </w:r>
          </w:p>
        </w:tc>
        <w:tc>
          <w:tcPr>
            <w:tcW w:w="1326" w:type="dxa"/>
            <w:tcBorders>
              <w:top w:val="single" w:sz="2" w:space="0" w:color="auto"/>
              <w:left w:val="single" w:sz="2" w:space="0" w:color="auto"/>
              <w:bottom w:val="single" w:sz="2" w:space="0" w:color="auto"/>
              <w:right w:val="single" w:sz="2" w:space="0" w:color="auto"/>
            </w:tcBorders>
          </w:tcPr>
          <w:p w14:paraId="6DBB2EDF" w14:textId="77777777" w:rsidR="00092DAF" w:rsidRPr="00DE12A3" w:rsidRDefault="00092DAF" w:rsidP="00C917D6">
            <w:pPr>
              <w:spacing w:before="120" w:after="120"/>
              <w:rPr>
                <w:rFonts w:cs="Times New Roman"/>
                <w:color w:val="auto"/>
              </w:rPr>
            </w:pPr>
            <w:r w:rsidRPr="00DE12A3">
              <w:rPr>
                <w:rFonts w:cs="Times New Roman"/>
                <w:color w:val="auto"/>
              </w:rPr>
              <w:t>Sıvı yakıt modu</w:t>
            </w:r>
          </w:p>
        </w:tc>
        <w:tc>
          <w:tcPr>
            <w:tcW w:w="1300" w:type="dxa"/>
            <w:tcBorders>
              <w:top w:val="single" w:sz="2" w:space="0" w:color="auto"/>
              <w:left w:val="single" w:sz="2" w:space="0" w:color="auto"/>
              <w:bottom w:val="single" w:sz="2" w:space="0" w:color="auto"/>
              <w:right w:val="single" w:sz="2" w:space="0" w:color="auto"/>
            </w:tcBorders>
          </w:tcPr>
          <w:p w14:paraId="410205A4" w14:textId="77777777" w:rsidR="00092DAF" w:rsidRPr="00DE12A3" w:rsidRDefault="00092DAF" w:rsidP="00C917D6">
            <w:pPr>
              <w:pStyle w:val="NormalLeft"/>
            </w:pPr>
            <w:r w:rsidRPr="00DE12A3">
              <w:t>GER</w:t>
            </w:r>
            <w:r w:rsidRPr="00DE12A3">
              <w:rPr>
                <w:vertAlign w:val="subscript"/>
              </w:rPr>
              <w:t>NRTC, hot</w:t>
            </w:r>
            <w:r w:rsidRPr="00DE12A3">
              <w:t xml:space="preserve"> ≥ 0,9</w:t>
            </w:r>
          </w:p>
          <w:p w14:paraId="059F3C53" w14:textId="272F153F" w:rsidR="00092DAF" w:rsidRPr="00DE12A3" w:rsidRDefault="00773274" w:rsidP="00C917D6">
            <w:pPr>
              <w:pStyle w:val="NormalLeft"/>
            </w:pPr>
            <w:r w:rsidRPr="00DE12A3">
              <w:t>veya</w:t>
            </w:r>
          </w:p>
          <w:p w14:paraId="48D9E42A" w14:textId="77777777" w:rsidR="00092DAF" w:rsidRPr="00DE12A3" w:rsidRDefault="00092DAF" w:rsidP="00C917D6">
            <w:pPr>
              <w:pStyle w:val="NormalLeft"/>
            </w:pPr>
            <w:r w:rsidRPr="00DE12A3">
              <w:t>GER</w:t>
            </w:r>
            <w:r w:rsidRPr="00DE12A3">
              <w:rPr>
                <w:vertAlign w:val="subscript"/>
              </w:rPr>
              <w:t>NRSC</w:t>
            </w:r>
            <w:r w:rsidRPr="00DE12A3">
              <w:t xml:space="preserve"> ≥ 0,9</w:t>
            </w:r>
          </w:p>
          <w:p w14:paraId="6A12F8F2" w14:textId="77777777" w:rsidR="00092DAF" w:rsidRPr="00DE12A3" w:rsidRDefault="00092DAF" w:rsidP="00C917D6">
            <w:pPr>
              <w:pStyle w:val="NormalLeft"/>
            </w:pPr>
            <w:r w:rsidRPr="00DE12A3">
              <w:t>İzin verilir</w:t>
            </w:r>
          </w:p>
        </w:tc>
      </w:tr>
      <w:tr w:rsidR="00DE12A3" w:rsidRPr="00DE12A3" w14:paraId="566BEC3D" w14:textId="77777777" w:rsidTr="00946B82">
        <w:tc>
          <w:tcPr>
            <w:tcW w:w="1300" w:type="dxa"/>
            <w:tcBorders>
              <w:top w:val="single" w:sz="2" w:space="0" w:color="auto"/>
              <w:left w:val="single" w:sz="2" w:space="0" w:color="auto"/>
              <w:bottom w:val="single" w:sz="2" w:space="0" w:color="auto"/>
              <w:right w:val="single" w:sz="2" w:space="0" w:color="auto"/>
            </w:tcBorders>
          </w:tcPr>
          <w:p w14:paraId="1ABBC2B9" w14:textId="77777777" w:rsidR="009F4766" w:rsidRPr="00DE12A3" w:rsidRDefault="009F4766" w:rsidP="00C917D6">
            <w:pPr>
              <w:pStyle w:val="NormalLeft"/>
            </w:pPr>
            <w:r w:rsidRPr="00DE12A3">
              <w:t>3A</w:t>
            </w:r>
          </w:p>
        </w:tc>
        <w:tc>
          <w:tcPr>
            <w:tcW w:w="7986" w:type="dxa"/>
            <w:gridSpan w:val="6"/>
            <w:tcBorders>
              <w:top w:val="single" w:sz="2" w:space="0" w:color="auto"/>
              <w:left w:val="single" w:sz="2" w:space="0" w:color="auto"/>
              <w:bottom w:val="single" w:sz="2" w:space="0" w:color="auto"/>
              <w:right w:val="single" w:sz="2" w:space="0" w:color="auto"/>
            </w:tcBorders>
          </w:tcPr>
          <w:p w14:paraId="302A00C2" w14:textId="77777777" w:rsidR="009F4766" w:rsidRPr="00DE12A3" w:rsidRDefault="00092DAF" w:rsidP="00C917D6">
            <w:pPr>
              <w:pStyle w:val="NormalLeft"/>
            </w:pPr>
            <w:r w:rsidRPr="00DE12A3">
              <w:t>Tanımlanmamış ve izin verilmez</w:t>
            </w:r>
          </w:p>
        </w:tc>
      </w:tr>
      <w:tr w:rsidR="00092DAF" w:rsidRPr="00DE12A3" w14:paraId="501CC20D" w14:textId="77777777" w:rsidTr="00946B82">
        <w:tc>
          <w:tcPr>
            <w:tcW w:w="1300" w:type="dxa"/>
            <w:tcBorders>
              <w:top w:val="single" w:sz="2" w:space="0" w:color="auto"/>
              <w:left w:val="single" w:sz="2" w:space="0" w:color="auto"/>
              <w:bottom w:val="single" w:sz="2" w:space="0" w:color="auto"/>
              <w:right w:val="single" w:sz="2" w:space="0" w:color="auto"/>
            </w:tcBorders>
          </w:tcPr>
          <w:p w14:paraId="0552D13B" w14:textId="77777777" w:rsidR="00092DAF" w:rsidRPr="00DE12A3" w:rsidRDefault="00092DAF" w:rsidP="00C917D6">
            <w:pPr>
              <w:pStyle w:val="NormalLeft"/>
            </w:pPr>
            <w:r w:rsidRPr="00DE12A3">
              <w:t>3B</w:t>
            </w:r>
          </w:p>
        </w:tc>
        <w:tc>
          <w:tcPr>
            <w:tcW w:w="1393" w:type="dxa"/>
            <w:tcBorders>
              <w:top w:val="single" w:sz="2" w:space="0" w:color="auto"/>
              <w:left w:val="single" w:sz="2" w:space="0" w:color="auto"/>
              <w:bottom w:val="single" w:sz="2" w:space="0" w:color="auto"/>
              <w:right w:val="single" w:sz="2" w:space="0" w:color="auto"/>
            </w:tcBorders>
          </w:tcPr>
          <w:p w14:paraId="55317B94" w14:textId="77777777" w:rsidR="00092DAF" w:rsidRPr="00DE12A3" w:rsidRDefault="00092DAF" w:rsidP="00C917D6">
            <w:pPr>
              <w:pStyle w:val="NormalLeft"/>
            </w:pPr>
            <w:r w:rsidRPr="00DE12A3">
              <w:t>GER</w:t>
            </w:r>
            <w:r w:rsidRPr="00DE12A3">
              <w:rPr>
                <w:vertAlign w:val="subscript"/>
              </w:rPr>
              <w:t>NRTC, hot</w:t>
            </w:r>
            <w:r w:rsidRPr="00DE12A3">
              <w:t xml:space="preserve"> ≤ 0,1</w:t>
            </w:r>
          </w:p>
          <w:p w14:paraId="665ED0FA" w14:textId="428F69DD" w:rsidR="00092DAF" w:rsidRPr="00DE12A3" w:rsidRDefault="00C13CC7" w:rsidP="00C917D6">
            <w:pPr>
              <w:pStyle w:val="NormalLeft"/>
            </w:pPr>
            <w:r w:rsidRPr="00DE12A3">
              <w:t>veya</w:t>
            </w:r>
          </w:p>
          <w:p w14:paraId="5E83FC75" w14:textId="77777777" w:rsidR="00092DAF" w:rsidRPr="00DE12A3" w:rsidRDefault="00092DAF" w:rsidP="00C917D6">
            <w:pPr>
              <w:pStyle w:val="NormalLeft"/>
            </w:pPr>
            <w:r w:rsidRPr="00DE12A3">
              <w:t>GER</w:t>
            </w:r>
            <w:r w:rsidRPr="00DE12A3">
              <w:rPr>
                <w:vertAlign w:val="subscript"/>
              </w:rPr>
              <w:t>NRSC</w:t>
            </w:r>
            <w:r w:rsidRPr="00DE12A3">
              <w:t xml:space="preserve"> ≤ 0,1</w:t>
            </w:r>
          </w:p>
        </w:tc>
        <w:tc>
          <w:tcPr>
            <w:tcW w:w="1300" w:type="dxa"/>
            <w:tcBorders>
              <w:top w:val="single" w:sz="2" w:space="0" w:color="auto"/>
              <w:left w:val="single" w:sz="2" w:space="0" w:color="auto"/>
              <w:bottom w:val="single" w:sz="2" w:space="0" w:color="auto"/>
              <w:right w:val="single" w:sz="2" w:space="0" w:color="auto"/>
            </w:tcBorders>
          </w:tcPr>
          <w:p w14:paraId="0878F517" w14:textId="77777777" w:rsidR="00092DAF" w:rsidRPr="00DE12A3" w:rsidRDefault="00092DAF" w:rsidP="00C917D6">
            <w:pPr>
              <w:pStyle w:val="NormalLeft"/>
            </w:pPr>
            <w:r w:rsidRPr="00DE12A3">
              <w:t>İzin verilir</w:t>
            </w:r>
          </w:p>
        </w:tc>
        <w:tc>
          <w:tcPr>
            <w:tcW w:w="1300" w:type="dxa"/>
            <w:tcBorders>
              <w:top w:val="single" w:sz="2" w:space="0" w:color="auto"/>
              <w:left w:val="single" w:sz="2" w:space="0" w:color="auto"/>
              <w:bottom w:val="single" w:sz="2" w:space="0" w:color="auto"/>
              <w:right w:val="single" w:sz="2" w:space="0" w:color="auto"/>
            </w:tcBorders>
          </w:tcPr>
          <w:p w14:paraId="235F2C01" w14:textId="77777777" w:rsidR="00092DAF" w:rsidRPr="00DE12A3" w:rsidRDefault="00092DAF" w:rsidP="00C917D6">
            <w:pPr>
              <w:spacing w:before="120" w:after="120"/>
              <w:rPr>
                <w:rFonts w:cs="Times New Roman"/>
                <w:color w:val="auto"/>
              </w:rPr>
            </w:pPr>
            <w:r w:rsidRPr="00DE12A3">
              <w:rPr>
                <w:rFonts w:cs="Times New Roman"/>
                <w:color w:val="auto"/>
              </w:rPr>
              <w:t>İzin verilir</w:t>
            </w:r>
          </w:p>
        </w:tc>
        <w:tc>
          <w:tcPr>
            <w:tcW w:w="1367" w:type="dxa"/>
            <w:tcBorders>
              <w:top w:val="single" w:sz="2" w:space="0" w:color="auto"/>
              <w:left w:val="single" w:sz="2" w:space="0" w:color="auto"/>
              <w:bottom w:val="single" w:sz="2" w:space="0" w:color="auto"/>
              <w:right w:val="single" w:sz="2" w:space="0" w:color="auto"/>
            </w:tcBorders>
          </w:tcPr>
          <w:p w14:paraId="1527E221" w14:textId="77777777" w:rsidR="00092DAF" w:rsidRPr="00DE12A3" w:rsidRDefault="00092DAF" w:rsidP="00C917D6">
            <w:pPr>
              <w:spacing w:before="120" w:after="120"/>
              <w:rPr>
                <w:rFonts w:cs="Times New Roman"/>
                <w:color w:val="auto"/>
              </w:rPr>
            </w:pPr>
            <w:r w:rsidRPr="00DE12A3">
              <w:rPr>
                <w:rFonts w:cs="Times New Roman"/>
                <w:color w:val="auto"/>
              </w:rPr>
              <w:t>İzin verilir</w:t>
            </w:r>
          </w:p>
        </w:tc>
        <w:tc>
          <w:tcPr>
            <w:tcW w:w="1326" w:type="dxa"/>
            <w:tcBorders>
              <w:top w:val="single" w:sz="2" w:space="0" w:color="auto"/>
              <w:left w:val="single" w:sz="2" w:space="0" w:color="auto"/>
              <w:bottom w:val="single" w:sz="2" w:space="0" w:color="auto"/>
              <w:right w:val="single" w:sz="2" w:space="0" w:color="auto"/>
            </w:tcBorders>
          </w:tcPr>
          <w:p w14:paraId="361AD592" w14:textId="77777777" w:rsidR="00092DAF" w:rsidRPr="00DE12A3" w:rsidRDefault="00092DAF" w:rsidP="00C917D6">
            <w:pPr>
              <w:pStyle w:val="NormalLeft"/>
            </w:pPr>
            <w:r w:rsidRPr="00DE12A3">
              <w:t>Sıvı yakıt modu</w:t>
            </w:r>
          </w:p>
        </w:tc>
        <w:tc>
          <w:tcPr>
            <w:tcW w:w="1300" w:type="dxa"/>
            <w:tcBorders>
              <w:top w:val="single" w:sz="2" w:space="0" w:color="auto"/>
              <w:left w:val="single" w:sz="2" w:space="0" w:color="auto"/>
              <w:bottom w:val="single" w:sz="2" w:space="0" w:color="auto"/>
              <w:right w:val="single" w:sz="2" w:space="0" w:color="auto"/>
            </w:tcBorders>
          </w:tcPr>
          <w:p w14:paraId="3E8003C0" w14:textId="77777777" w:rsidR="00092DAF" w:rsidRPr="00DE12A3" w:rsidRDefault="00092DAF" w:rsidP="00C917D6">
            <w:pPr>
              <w:pStyle w:val="NormalLeft"/>
            </w:pPr>
          </w:p>
        </w:tc>
      </w:tr>
    </w:tbl>
    <w:p w14:paraId="7A4D5CBD" w14:textId="77777777" w:rsidR="009F4766" w:rsidRPr="00DE12A3" w:rsidRDefault="009F4766" w:rsidP="00C917D6">
      <w:pPr>
        <w:spacing w:before="120" w:after="120"/>
        <w:rPr>
          <w:rFonts w:cs="Times New Roman"/>
          <w:color w:val="auto"/>
        </w:rPr>
      </w:pPr>
    </w:p>
    <w:p w14:paraId="04EBADB5" w14:textId="1ADBBDDC" w:rsidR="004940FF" w:rsidRPr="00DE12A3" w:rsidRDefault="004940FF">
      <w:pPr>
        <w:widowControl/>
        <w:rPr>
          <w:rFonts w:cs="Times New Roman"/>
          <w:color w:val="auto"/>
        </w:rPr>
      </w:pPr>
      <w:r w:rsidRPr="00DE12A3">
        <w:rPr>
          <w:rFonts w:cs="Times New Roman"/>
          <w:color w:val="auto"/>
        </w:rPr>
        <w:br w:type="page"/>
      </w:r>
    </w:p>
    <w:p w14:paraId="6073B3B9" w14:textId="77777777" w:rsidR="00092DAF" w:rsidRPr="00DE12A3" w:rsidRDefault="00092DAF" w:rsidP="004940FF">
      <w:pPr>
        <w:pStyle w:val="Balk1"/>
        <w:rPr>
          <w:color w:val="auto"/>
        </w:rPr>
      </w:pPr>
      <w:r w:rsidRPr="00DE12A3">
        <w:rPr>
          <w:color w:val="auto"/>
        </w:rPr>
        <w:lastRenderedPageBreak/>
        <w:t>EK IX</w:t>
      </w:r>
    </w:p>
    <w:p w14:paraId="51C2982C" w14:textId="77777777" w:rsidR="00092DAF" w:rsidRPr="00DE12A3" w:rsidRDefault="00092DAF" w:rsidP="00C917D6">
      <w:pPr>
        <w:pStyle w:val="Annexetitreacte"/>
        <w:rPr>
          <w:u w:val="none"/>
        </w:rPr>
      </w:pPr>
      <w:r w:rsidRPr="00DE12A3">
        <w:rPr>
          <w:u w:val="none"/>
        </w:rPr>
        <w:t>Referans Yakıtlar</w:t>
      </w:r>
    </w:p>
    <w:p w14:paraId="3154B344" w14:textId="3D792922" w:rsidR="00092DAF" w:rsidRPr="00DE12A3" w:rsidRDefault="0046577A" w:rsidP="0046577A">
      <w:pPr>
        <w:pStyle w:val="Annexetitreacte"/>
        <w:jc w:val="left"/>
        <w:rPr>
          <w:u w:val="none"/>
        </w:rPr>
      </w:pPr>
      <w:r w:rsidRPr="00DE12A3">
        <w:rPr>
          <w:u w:val="none"/>
        </w:rPr>
        <w:t xml:space="preserve">1. </w:t>
      </w:r>
      <w:r w:rsidR="00092DAF" w:rsidRPr="00DE12A3">
        <w:rPr>
          <w:u w:val="none"/>
        </w:rPr>
        <w:t>Sıkıştırma ateşlemeli motor testine yönelik yakıtlarla ilgili teknik veriler</w:t>
      </w:r>
    </w:p>
    <w:p w14:paraId="196E0508" w14:textId="5D6EF901" w:rsidR="00092DAF" w:rsidRPr="00DE12A3" w:rsidRDefault="0046577A" w:rsidP="0046577A">
      <w:pPr>
        <w:pStyle w:val="Annexetitreacte"/>
        <w:jc w:val="left"/>
        <w:rPr>
          <w:b w:val="0"/>
          <w:bCs w:val="0"/>
          <w:u w:val="none"/>
        </w:rPr>
      </w:pPr>
      <w:r w:rsidRPr="00DE12A3">
        <w:rPr>
          <w:b w:val="0"/>
          <w:bCs w:val="0"/>
          <w:u w:val="none"/>
        </w:rPr>
        <w:t xml:space="preserve">1.1. </w:t>
      </w:r>
      <w:r w:rsidR="00092DAF" w:rsidRPr="00DE12A3">
        <w:rPr>
          <w:b w:val="0"/>
          <w:bCs w:val="0"/>
          <w:u w:val="none"/>
        </w:rPr>
        <w:t xml:space="preserve">Tip: Dizel (karayolu dışı </w:t>
      </w:r>
      <w:r w:rsidR="00FE3D3B" w:rsidRPr="00DE12A3">
        <w:rPr>
          <w:b w:val="0"/>
          <w:bCs w:val="0"/>
          <w:u w:val="none"/>
        </w:rPr>
        <w:t>dizel yakıt</w:t>
      </w:r>
      <w:r w:rsidR="00092DAF" w:rsidRPr="00DE12A3">
        <w:rPr>
          <w:b w:val="0"/>
          <w:bCs w:val="0"/>
          <w:u w:val="none"/>
        </w:rPr>
        <w:t>)</w:t>
      </w:r>
    </w:p>
    <w:tbl>
      <w:tblPr>
        <w:tblW w:w="77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3446"/>
        <w:gridCol w:w="1022"/>
        <w:gridCol w:w="1003"/>
        <w:gridCol w:w="1003"/>
        <w:gridCol w:w="1306"/>
      </w:tblGrid>
      <w:tr w:rsidR="00DE12A3" w:rsidRPr="00DE12A3" w14:paraId="39EB812F" w14:textId="77777777" w:rsidTr="000610BB">
        <w:trPr>
          <w:trHeight w:hRule="exact" w:val="355"/>
          <w:jc w:val="center"/>
        </w:trPr>
        <w:tc>
          <w:tcPr>
            <w:tcW w:w="3446" w:type="dxa"/>
            <w:vMerge w:val="restart"/>
            <w:shd w:val="clear" w:color="auto" w:fill="auto"/>
          </w:tcPr>
          <w:p w14:paraId="2CC3C8C4" w14:textId="77777777" w:rsidR="000610BB" w:rsidRPr="00DE12A3" w:rsidRDefault="000610BB" w:rsidP="00C917D6">
            <w:pPr>
              <w:pStyle w:val="Gvdemetni0"/>
              <w:shd w:val="clear" w:color="auto" w:fill="auto"/>
              <w:spacing w:before="120" w:after="120" w:line="240" w:lineRule="auto"/>
              <w:ind w:firstLine="0"/>
              <w:rPr>
                <w:sz w:val="18"/>
                <w:szCs w:val="16"/>
              </w:rPr>
            </w:pPr>
            <w:r w:rsidRPr="00DE12A3">
              <w:rPr>
                <w:sz w:val="18"/>
                <w:szCs w:val="16"/>
              </w:rPr>
              <w:t>Parametre</w:t>
            </w:r>
          </w:p>
        </w:tc>
        <w:tc>
          <w:tcPr>
            <w:tcW w:w="1022" w:type="dxa"/>
            <w:vMerge w:val="restart"/>
            <w:shd w:val="clear" w:color="auto" w:fill="auto"/>
          </w:tcPr>
          <w:p w14:paraId="6DF9DE44" w14:textId="77777777" w:rsidR="000610BB" w:rsidRPr="00DE12A3" w:rsidRDefault="000610BB" w:rsidP="00C917D6">
            <w:pPr>
              <w:pStyle w:val="Gvdemetni0"/>
              <w:shd w:val="clear" w:color="auto" w:fill="auto"/>
              <w:spacing w:before="120" w:after="120" w:line="240" w:lineRule="auto"/>
              <w:ind w:firstLine="0"/>
              <w:rPr>
                <w:sz w:val="18"/>
                <w:szCs w:val="16"/>
              </w:rPr>
            </w:pPr>
            <w:r w:rsidRPr="00DE12A3">
              <w:rPr>
                <w:sz w:val="18"/>
                <w:szCs w:val="16"/>
              </w:rPr>
              <w:t>Birim</w:t>
            </w:r>
          </w:p>
        </w:tc>
        <w:tc>
          <w:tcPr>
            <w:tcW w:w="2006" w:type="dxa"/>
            <w:gridSpan w:val="2"/>
            <w:shd w:val="clear" w:color="auto" w:fill="auto"/>
          </w:tcPr>
          <w:p w14:paraId="25D0D974" w14:textId="77777777" w:rsidR="000610BB" w:rsidRPr="00DE12A3" w:rsidRDefault="000610BB" w:rsidP="00C917D6">
            <w:pPr>
              <w:pStyle w:val="Gvdemetni0"/>
              <w:shd w:val="clear" w:color="auto" w:fill="auto"/>
              <w:spacing w:before="120" w:after="120" w:line="240" w:lineRule="auto"/>
              <w:ind w:firstLine="0"/>
              <w:rPr>
                <w:sz w:val="18"/>
                <w:szCs w:val="16"/>
              </w:rPr>
            </w:pPr>
            <w:r w:rsidRPr="00DE12A3">
              <w:rPr>
                <w:sz w:val="18"/>
                <w:szCs w:val="16"/>
              </w:rPr>
              <w:t xml:space="preserve">Sınırlar </w:t>
            </w:r>
            <w:r w:rsidRPr="00DE12A3">
              <w:rPr>
                <w:sz w:val="18"/>
                <w:szCs w:val="16"/>
                <w:vertAlign w:val="superscript"/>
              </w:rPr>
              <w:t>(1)</w:t>
            </w:r>
          </w:p>
        </w:tc>
        <w:tc>
          <w:tcPr>
            <w:tcW w:w="1306" w:type="dxa"/>
            <w:vMerge w:val="restart"/>
            <w:shd w:val="clear" w:color="auto" w:fill="auto"/>
          </w:tcPr>
          <w:p w14:paraId="58330FA1" w14:textId="77777777" w:rsidR="000610BB" w:rsidRPr="00DE12A3" w:rsidRDefault="000610BB" w:rsidP="00C917D6">
            <w:pPr>
              <w:pStyle w:val="Gvdemetni0"/>
              <w:shd w:val="clear" w:color="auto" w:fill="auto"/>
              <w:spacing w:before="120" w:after="120" w:line="240" w:lineRule="auto"/>
              <w:ind w:firstLine="0"/>
              <w:rPr>
                <w:sz w:val="18"/>
                <w:szCs w:val="16"/>
              </w:rPr>
            </w:pPr>
            <w:r w:rsidRPr="00DE12A3">
              <w:rPr>
                <w:sz w:val="18"/>
                <w:szCs w:val="16"/>
              </w:rPr>
              <w:t>Test Yöntemi</w:t>
            </w:r>
          </w:p>
        </w:tc>
      </w:tr>
      <w:tr w:rsidR="00DE12A3" w:rsidRPr="00DE12A3" w14:paraId="300A4846" w14:textId="77777777" w:rsidTr="000610BB">
        <w:trPr>
          <w:trHeight w:hRule="exact" w:val="350"/>
          <w:jc w:val="center"/>
        </w:trPr>
        <w:tc>
          <w:tcPr>
            <w:tcW w:w="3446" w:type="dxa"/>
            <w:vMerge/>
            <w:shd w:val="clear" w:color="auto" w:fill="auto"/>
          </w:tcPr>
          <w:p w14:paraId="1AC7BEEB" w14:textId="77777777" w:rsidR="000610BB" w:rsidRPr="00DE12A3" w:rsidRDefault="000610BB" w:rsidP="00C917D6">
            <w:pPr>
              <w:spacing w:before="120" w:after="120"/>
              <w:rPr>
                <w:rFonts w:cs="Times New Roman"/>
                <w:color w:val="auto"/>
                <w:sz w:val="18"/>
                <w:szCs w:val="18"/>
              </w:rPr>
            </w:pPr>
          </w:p>
        </w:tc>
        <w:tc>
          <w:tcPr>
            <w:tcW w:w="1022" w:type="dxa"/>
            <w:vMerge/>
            <w:shd w:val="clear" w:color="auto" w:fill="auto"/>
          </w:tcPr>
          <w:p w14:paraId="7BF404D9" w14:textId="77777777" w:rsidR="000610BB" w:rsidRPr="00DE12A3" w:rsidRDefault="000610BB" w:rsidP="00C917D6">
            <w:pPr>
              <w:spacing w:before="120" w:after="120"/>
              <w:rPr>
                <w:rFonts w:cs="Times New Roman"/>
                <w:color w:val="auto"/>
                <w:sz w:val="18"/>
                <w:szCs w:val="18"/>
              </w:rPr>
            </w:pPr>
          </w:p>
        </w:tc>
        <w:tc>
          <w:tcPr>
            <w:tcW w:w="1003" w:type="dxa"/>
            <w:shd w:val="clear" w:color="auto" w:fill="auto"/>
          </w:tcPr>
          <w:p w14:paraId="5B6B03F9" w14:textId="721AD739" w:rsidR="000610BB" w:rsidRPr="00DE12A3" w:rsidRDefault="00773274" w:rsidP="00C917D6">
            <w:pPr>
              <w:pStyle w:val="Gvdemetni0"/>
              <w:shd w:val="clear" w:color="auto" w:fill="auto"/>
              <w:spacing w:before="120" w:after="120" w:line="240" w:lineRule="auto"/>
              <w:ind w:firstLine="0"/>
              <w:rPr>
                <w:sz w:val="18"/>
                <w:szCs w:val="16"/>
              </w:rPr>
            </w:pPr>
            <w:r w:rsidRPr="00DE12A3">
              <w:rPr>
                <w:sz w:val="18"/>
                <w:szCs w:val="16"/>
              </w:rPr>
              <w:t>Asgari</w:t>
            </w:r>
          </w:p>
        </w:tc>
        <w:tc>
          <w:tcPr>
            <w:tcW w:w="1003" w:type="dxa"/>
            <w:shd w:val="clear" w:color="auto" w:fill="auto"/>
          </w:tcPr>
          <w:p w14:paraId="33844D23" w14:textId="74163B5B" w:rsidR="000610BB" w:rsidRPr="00DE12A3" w:rsidRDefault="00773274" w:rsidP="00C917D6">
            <w:pPr>
              <w:pStyle w:val="Gvdemetni0"/>
              <w:shd w:val="clear" w:color="auto" w:fill="auto"/>
              <w:spacing w:before="120" w:after="120" w:line="240" w:lineRule="auto"/>
              <w:ind w:firstLine="0"/>
              <w:rPr>
                <w:sz w:val="18"/>
                <w:szCs w:val="16"/>
              </w:rPr>
            </w:pPr>
            <w:r w:rsidRPr="00DE12A3">
              <w:rPr>
                <w:sz w:val="18"/>
                <w:szCs w:val="16"/>
              </w:rPr>
              <w:t>Azami</w:t>
            </w:r>
          </w:p>
        </w:tc>
        <w:tc>
          <w:tcPr>
            <w:tcW w:w="1306" w:type="dxa"/>
            <w:vMerge/>
            <w:shd w:val="clear" w:color="auto" w:fill="auto"/>
          </w:tcPr>
          <w:p w14:paraId="758FFDD8" w14:textId="77777777" w:rsidR="000610BB" w:rsidRPr="00DE12A3" w:rsidRDefault="000610BB" w:rsidP="00C917D6">
            <w:pPr>
              <w:spacing w:before="120" w:after="120"/>
              <w:rPr>
                <w:rFonts w:cs="Times New Roman"/>
                <w:color w:val="auto"/>
                <w:sz w:val="18"/>
                <w:szCs w:val="18"/>
              </w:rPr>
            </w:pPr>
          </w:p>
        </w:tc>
      </w:tr>
      <w:tr w:rsidR="00DE12A3" w:rsidRPr="00DE12A3" w14:paraId="12C155F3" w14:textId="77777777" w:rsidTr="000610BB">
        <w:trPr>
          <w:trHeight w:hRule="exact" w:val="427"/>
          <w:jc w:val="center"/>
        </w:trPr>
        <w:tc>
          <w:tcPr>
            <w:tcW w:w="3446" w:type="dxa"/>
            <w:shd w:val="clear" w:color="auto" w:fill="auto"/>
          </w:tcPr>
          <w:p w14:paraId="15836233" w14:textId="77777777" w:rsidR="000610BB" w:rsidRPr="00DE12A3" w:rsidRDefault="000610BB" w:rsidP="00C917D6">
            <w:pPr>
              <w:pStyle w:val="Gvdemetni0"/>
              <w:shd w:val="clear" w:color="auto" w:fill="auto"/>
              <w:spacing w:before="120" w:after="120" w:line="240" w:lineRule="auto"/>
              <w:ind w:left="40" w:firstLine="0"/>
              <w:jc w:val="left"/>
              <w:rPr>
                <w:sz w:val="18"/>
              </w:rPr>
            </w:pPr>
            <w:r w:rsidRPr="00DE12A3">
              <w:rPr>
                <w:rStyle w:val="Gvdemetni85pt0ptbolukbraklyor"/>
                <w:color w:val="auto"/>
                <w:sz w:val="18"/>
              </w:rPr>
              <w:t xml:space="preserve">Setan sayısı </w:t>
            </w:r>
            <w:r w:rsidRPr="00DE12A3">
              <w:rPr>
                <w:rStyle w:val="Gvdemetni85pt0ptbolukbraklyor"/>
                <w:color w:val="auto"/>
                <w:sz w:val="18"/>
                <w:vertAlign w:val="superscript"/>
              </w:rPr>
              <w:t>(2)</w:t>
            </w:r>
          </w:p>
        </w:tc>
        <w:tc>
          <w:tcPr>
            <w:tcW w:w="1022" w:type="dxa"/>
            <w:shd w:val="clear" w:color="auto" w:fill="auto"/>
          </w:tcPr>
          <w:p w14:paraId="6C5AFDEA" w14:textId="77777777" w:rsidR="000610BB" w:rsidRPr="00DE12A3" w:rsidRDefault="000610BB" w:rsidP="00C917D6">
            <w:pPr>
              <w:spacing w:before="120" w:after="120"/>
              <w:rPr>
                <w:rFonts w:cs="Times New Roman"/>
                <w:color w:val="auto"/>
                <w:sz w:val="18"/>
                <w:szCs w:val="18"/>
              </w:rPr>
            </w:pPr>
          </w:p>
        </w:tc>
        <w:tc>
          <w:tcPr>
            <w:tcW w:w="1003" w:type="dxa"/>
            <w:shd w:val="clear" w:color="auto" w:fill="auto"/>
          </w:tcPr>
          <w:p w14:paraId="79CBED78" w14:textId="77777777" w:rsidR="000610BB" w:rsidRPr="00DE12A3" w:rsidRDefault="000610BB" w:rsidP="00C917D6">
            <w:pPr>
              <w:pStyle w:val="Gvdemetni360"/>
              <w:shd w:val="clear" w:color="auto" w:fill="auto"/>
              <w:spacing w:before="120" w:after="120" w:line="240" w:lineRule="auto"/>
              <w:ind w:firstLine="0"/>
              <w:jc w:val="center"/>
              <w:rPr>
                <w:sz w:val="18"/>
                <w:szCs w:val="18"/>
              </w:rPr>
            </w:pPr>
            <w:r w:rsidRPr="00DE12A3">
              <w:rPr>
                <w:rStyle w:val="Gvdemetni367pt0ptbolukbraklyor"/>
                <w:color w:val="auto"/>
                <w:sz w:val="18"/>
                <w:szCs w:val="18"/>
              </w:rPr>
              <w:t>45</w:t>
            </w:r>
          </w:p>
        </w:tc>
        <w:tc>
          <w:tcPr>
            <w:tcW w:w="1003" w:type="dxa"/>
            <w:shd w:val="clear" w:color="auto" w:fill="auto"/>
          </w:tcPr>
          <w:p w14:paraId="1F62115A" w14:textId="77777777" w:rsidR="000610BB" w:rsidRPr="00DE12A3" w:rsidRDefault="000610BB" w:rsidP="00C917D6">
            <w:pPr>
              <w:pStyle w:val="Gvdemetni360"/>
              <w:shd w:val="clear" w:color="auto" w:fill="auto"/>
              <w:spacing w:before="120" w:after="120" w:line="240" w:lineRule="auto"/>
              <w:ind w:firstLine="0"/>
              <w:jc w:val="center"/>
              <w:rPr>
                <w:sz w:val="18"/>
                <w:szCs w:val="18"/>
              </w:rPr>
            </w:pPr>
            <w:r w:rsidRPr="00DE12A3">
              <w:rPr>
                <w:rStyle w:val="Gvdemetni367pt0ptbolukbraklyor"/>
                <w:color w:val="auto"/>
                <w:sz w:val="18"/>
                <w:szCs w:val="18"/>
              </w:rPr>
              <w:t>56,0</w:t>
            </w:r>
          </w:p>
        </w:tc>
        <w:tc>
          <w:tcPr>
            <w:tcW w:w="1306" w:type="dxa"/>
            <w:shd w:val="clear" w:color="auto" w:fill="auto"/>
          </w:tcPr>
          <w:p w14:paraId="10406DCF" w14:textId="77777777" w:rsidR="000610BB" w:rsidRPr="00DE12A3" w:rsidRDefault="000610BB" w:rsidP="00C917D6">
            <w:pPr>
              <w:pStyle w:val="Gvdemetni360"/>
              <w:shd w:val="clear" w:color="auto" w:fill="auto"/>
              <w:spacing w:before="120" w:after="120" w:line="240" w:lineRule="auto"/>
              <w:ind w:firstLine="0"/>
              <w:jc w:val="center"/>
              <w:rPr>
                <w:sz w:val="18"/>
                <w:szCs w:val="18"/>
              </w:rPr>
            </w:pPr>
            <w:r w:rsidRPr="00DE12A3">
              <w:rPr>
                <w:rStyle w:val="Gvdemetni367pt0ptbolukbraklyor"/>
                <w:color w:val="auto"/>
                <w:sz w:val="18"/>
                <w:szCs w:val="18"/>
              </w:rPr>
              <w:t>EN-ISO 5165</w:t>
            </w:r>
          </w:p>
        </w:tc>
      </w:tr>
      <w:tr w:rsidR="00DE12A3" w:rsidRPr="00DE12A3" w14:paraId="45905B05" w14:textId="77777777" w:rsidTr="000610BB">
        <w:trPr>
          <w:trHeight w:hRule="exact" w:val="432"/>
          <w:jc w:val="center"/>
        </w:trPr>
        <w:tc>
          <w:tcPr>
            <w:tcW w:w="3446" w:type="dxa"/>
            <w:shd w:val="clear" w:color="auto" w:fill="auto"/>
          </w:tcPr>
          <w:p w14:paraId="1E0B0426" w14:textId="77777777" w:rsidR="000610BB" w:rsidRPr="00DE12A3" w:rsidRDefault="000610BB" w:rsidP="00C917D6">
            <w:pPr>
              <w:pStyle w:val="Gvdemetni0"/>
              <w:shd w:val="clear" w:color="auto" w:fill="auto"/>
              <w:spacing w:before="120" w:after="120" w:line="240" w:lineRule="auto"/>
              <w:ind w:left="40" w:firstLine="0"/>
              <w:jc w:val="left"/>
              <w:rPr>
                <w:sz w:val="18"/>
              </w:rPr>
            </w:pPr>
            <w:r w:rsidRPr="00DE12A3">
              <w:rPr>
                <w:rStyle w:val="Gvdemetni85pt0ptbolukbraklyor"/>
                <w:color w:val="auto"/>
                <w:sz w:val="18"/>
              </w:rPr>
              <w:t>15 °C'de yoğunluk</w:t>
            </w:r>
          </w:p>
        </w:tc>
        <w:tc>
          <w:tcPr>
            <w:tcW w:w="1022" w:type="dxa"/>
            <w:shd w:val="clear" w:color="auto" w:fill="auto"/>
          </w:tcPr>
          <w:p w14:paraId="27AAFA7A" w14:textId="77777777" w:rsidR="000610BB" w:rsidRPr="00DE12A3" w:rsidRDefault="000610BB" w:rsidP="00C917D6">
            <w:pPr>
              <w:pStyle w:val="Gvdemetni360"/>
              <w:shd w:val="clear" w:color="auto" w:fill="auto"/>
              <w:spacing w:before="120" w:after="120" w:line="240" w:lineRule="auto"/>
              <w:ind w:firstLine="0"/>
              <w:jc w:val="center"/>
              <w:rPr>
                <w:sz w:val="18"/>
                <w:szCs w:val="18"/>
              </w:rPr>
            </w:pPr>
            <w:r w:rsidRPr="00DE12A3">
              <w:rPr>
                <w:rStyle w:val="Gvdemetni367pt0ptbolukbraklyor"/>
                <w:color w:val="auto"/>
                <w:sz w:val="18"/>
                <w:szCs w:val="18"/>
              </w:rPr>
              <w:t>kg/m</w:t>
            </w:r>
            <w:r w:rsidRPr="00DE12A3">
              <w:rPr>
                <w:rStyle w:val="Gvdemetni367pt0ptbolukbraklyor"/>
                <w:color w:val="auto"/>
                <w:sz w:val="18"/>
                <w:szCs w:val="18"/>
                <w:vertAlign w:val="superscript"/>
              </w:rPr>
              <w:t>3</w:t>
            </w:r>
          </w:p>
        </w:tc>
        <w:tc>
          <w:tcPr>
            <w:tcW w:w="1003" w:type="dxa"/>
            <w:shd w:val="clear" w:color="auto" w:fill="auto"/>
          </w:tcPr>
          <w:p w14:paraId="6557D789" w14:textId="77777777" w:rsidR="000610BB" w:rsidRPr="00DE12A3" w:rsidRDefault="000610BB" w:rsidP="00C917D6">
            <w:pPr>
              <w:pStyle w:val="Gvdemetni360"/>
              <w:shd w:val="clear" w:color="auto" w:fill="auto"/>
              <w:spacing w:before="120" w:after="120" w:line="240" w:lineRule="auto"/>
              <w:ind w:firstLine="0"/>
              <w:jc w:val="center"/>
              <w:rPr>
                <w:sz w:val="18"/>
                <w:szCs w:val="18"/>
              </w:rPr>
            </w:pPr>
            <w:r w:rsidRPr="00DE12A3">
              <w:rPr>
                <w:rStyle w:val="Gvdemetni367pt0ptbolukbraklyor"/>
                <w:color w:val="auto"/>
                <w:sz w:val="18"/>
                <w:szCs w:val="18"/>
              </w:rPr>
              <w:t>833</w:t>
            </w:r>
          </w:p>
        </w:tc>
        <w:tc>
          <w:tcPr>
            <w:tcW w:w="1003" w:type="dxa"/>
            <w:shd w:val="clear" w:color="auto" w:fill="auto"/>
          </w:tcPr>
          <w:p w14:paraId="75F48BF7" w14:textId="77777777" w:rsidR="000610BB" w:rsidRPr="00DE12A3" w:rsidRDefault="000610BB" w:rsidP="00C917D6">
            <w:pPr>
              <w:pStyle w:val="Gvdemetni360"/>
              <w:shd w:val="clear" w:color="auto" w:fill="auto"/>
              <w:spacing w:before="120" w:after="120" w:line="240" w:lineRule="auto"/>
              <w:ind w:firstLine="0"/>
              <w:jc w:val="center"/>
              <w:rPr>
                <w:sz w:val="18"/>
                <w:szCs w:val="18"/>
              </w:rPr>
            </w:pPr>
            <w:r w:rsidRPr="00DE12A3">
              <w:rPr>
                <w:rStyle w:val="Gvdemetni367pt0ptbolukbraklyor"/>
                <w:color w:val="auto"/>
                <w:sz w:val="18"/>
                <w:szCs w:val="18"/>
              </w:rPr>
              <w:t>865</w:t>
            </w:r>
          </w:p>
        </w:tc>
        <w:tc>
          <w:tcPr>
            <w:tcW w:w="1306" w:type="dxa"/>
            <w:shd w:val="clear" w:color="auto" w:fill="auto"/>
          </w:tcPr>
          <w:p w14:paraId="41AA83D5" w14:textId="77777777" w:rsidR="000610BB" w:rsidRPr="00DE12A3" w:rsidRDefault="000610BB" w:rsidP="00C917D6">
            <w:pPr>
              <w:pStyle w:val="Gvdemetni360"/>
              <w:shd w:val="clear" w:color="auto" w:fill="auto"/>
              <w:spacing w:before="120" w:after="120" w:line="240" w:lineRule="auto"/>
              <w:ind w:firstLine="0"/>
              <w:jc w:val="center"/>
              <w:rPr>
                <w:sz w:val="18"/>
                <w:szCs w:val="18"/>
              </w:rPr>
            </w:pPr>
            <w:r w:rsidRPr="00DE12A3">
              <w:rPr>
                <w:rStyle w:val="Gvdemetni367pt0ptbolukbraklyor"/>
                <w:color w:val="auto"/>
                <w:sz w:val="18"/>
                <w:szCs w:val="18"/>
              </w:rPr>
              <w:t>EN-ISO 3675</w:t>
            </w:r>
          </w:p>
        </w:tc>
      </w:tr>
      <w:tr w:rsidR="00DE12A3" w:rsidRPr="00DE12A3" w14:paraId="19A58765" w14:textId="77777777" w:rsidTr="000610BB">
        <w:trPr>
          <w:trHeight w:hRule="exact" w:val="432"/>
          <w:jc w:val="center"/>
        </w:trPr>
        <w:tc>
          <w:tcPr>
            <w:tcW w:w="3446" w:type="dxa"/>
            <w:shd w:val="clear" w:color="auto" w:fill="auto"/>
          </w:tcPr>
          <w:p w14:paraId="4E00A416" w14:textId="77777777" w:rsidR="000610BB" w:rsidRPr="00DE12A3" w:rsidRDefault="000610BB" w:rsidP="00C917D6">
            <w:pPr>
              <w:pStyle w:val="Gvdemetni0"/>
              <w:shd w:val="clear" w:color="auto" w:fill="auto"/>
              <w:spacing w:before="120" w:after="120" w:line="240" w:lineRule="auto"/>
              <w:ind w:left="40" w:firstLine="0"/>
              <w:jc w:val="left"/>
              <w:rPr>
                <w:sz w:val="18"/>
              </w:rPr>
            </w:pPr>
            <w:r w:rsidRPr="00DE12A3">
              <w:rPr>
                <w:rStyle w:val="Gvdemetni85pt0ptbolukbraklyor"/>
                <w:color w:val="auto"/>
                <w:sz w:val="18"/>
              </w:rPr>
              <w:t>Distilasyon:</w:t>
            </w:r>
          </w:p>
        </w:tc>
        <w:tc>
          <w:tcPr>
            <w:tcW w:w="1022" w:type="dxa"/>
            <w:shd w:val="clear" w:color="auto" w:fill="auto"/>
          </w:tcPr>
          <w:p w14:paraId="09A3AE98" w14:textId="77777777" w:rsidR="000610BB" w:rsidRPr="00DE12A3" w:rsidRDefault="000610BB" w:rsidP="00C917D6">
            <w:pPr>
              <w:spacing w:before="120" w:after="120"/>
              <w:rPr>
                <w:rFonts w:cs="Times New Roman"/>
                <w:color w:val="auto"/>
                <w:sz w:val="18"/>
                <w:szCs w:val="18"/>
              </w:rPr>
            </w:pPr>
          </w:p>
        </w:tc>
        <w:tc>
          <w:tcPr>
            <w:tcW w:w="1003" w:type="dxa"/>
            <w:shd w:val="clear" w:color="auto" w:fill="auto"/>
          </w:tcPr>
          <w:p w14:paraId="676DC573" w14:textId="77777777" w:rsidR="000610BB" w:rsidRPr="00DE12A3" w:rsidRDefault="000610BB" w:rsidP="00C917D6">
            <w:pPr>
              <w:spacing w:before="120" w:after="120"/>
              <w:rPr>
                <w:rFonts w:cs="Times New Roman"/>
                <w:color w:val="auto"/>
                <w:sz w:val="18"/>
                <w:szCs w:val="18"/>
              </w:rPr>
            </w:pPr>
          </w:p>
        </w:tc>
        <w:tc>
          <w:tcPr>
            <w:tcW w:w="1003" w:type="dxa"/>
            <w:shd w:val="clear" w:color="auto" w:fill="auto"/>
          </w:tcPr>
          <w:p w14:paraId="793CAA82" w14:textId="77777777" w:rsidR="000610BB" w:rsidRPr="00DE12A3" w:rsidRDefault="000610BB" w:rsidP="00C917D6">
            <w:pPr>
              <w:spacing w:before="120" w:after="120"/>
              <w:rPr>
                <w:rFonts w:cs="Times New Roman"/>
                <w:color w:val="auto"/>
                <w:sz w:val="18"/>
                <w:szCs w:val="18"/>
              </w:rPr>
            </w:pPr>
          </w:p>
        </w:tc>
        <w:tc>
          <w:tcPr>
            <w:tcW w:w="1306" w:type="dxa"/>
            <w:shd w:val="clear" w:color="auto" w:fill="auto"/>
          </w:tcPr>
          <w:p w14:paraId="27664659" w14:textId="77777777" w:rsidR="000610BB" w:rsidRPr="00DE12A3" w:rsidRDefault="000610BB" w:rsidP="00C917D6">
            <w:pPr>
              <w:spacing w:before="120" w:after="120"/>
              <w:rPr>
                <w:rFonts w:cs="Times New Roman"/>
                <w:color w:val="auto"/>
                <w:sz w:val="18"/>
                <w:szCs w:val="18"/>
              </w:rPr>
            </w:pPr>
          </w:p>
        </w:tc>
      </w:tr>
      <w:tr w:rsidR="00DE12A3" w:rsidRPr="00DE12A3" w14:paraId="55075BCA" w14:textId="77777777" w:rsidTr="000610BB">
        <w:trPr>
          <w:trHeight w:hRule="exact" w:val="427"/>
          <w:jc w:val="center"/>
        </w:trPr>
        <w:tc>
          <w:tcPr>
            <w:tcW w:w="3446" w:type="dxa"/>
            <w:shd w:val="clear" w:color="auto" w:fill="auto"/>
          </w:tcPr>
          <w:p w14:paraId="7E47F6F8" w14:textId="77777777" w:rsidR="000610BB" w:rsidRPr="00DE12A3" w:rsidRDefault="000610BB" w:rsidP="00C917D6">
            <w:pPr>
              <w:pStyle w:val="Gvdemetni0"/>
              <w:shd w:val="clear" w:color="auto" w:fill="auto"/>
              <w:spacing w:before="120" w:after="120" w:line="240" w:lineRule="auto"/>
              <w:ind w:left="40" w:firstLine="0"/>
              <w:jc w:val="left"/>
              <w:rPr>
                <w:sz w:val="18"/>
              </w:rPr>
            </w:pPr>
            <w:r w:rsidRPr="00DE12A3">
              <w:rPr>
                <w:rStyle w:val="Gvdemetni85pt0ptbolukbraklyor"/>
                <w:color w:val="auto"/>
                <w:sz w:val="18"/>
              </w:rPr>
              <w:t>% 50 noktası</w:t>
            </w:r>
          </w:p>
        </w:tc>
        <w:tc>
          <w:tcPr>
            <w:tcW w:w="1022" w:type="dxa"/>
            <w:shd w:val="clear" w:color="auto" w:fill="auto"/>
          </w:tcPr>
          <w:p w14:paraId="29DA7AA9" w14:textId="77777777" w:rsidR="000610BB" w:rsidRPr="00DE12A3" w:rsidRDefault="000610BB" w:rsidP="00C917D6">
            <w:pPr>
              <w:pStyle w:val="Gvdemetni360"/>
              <w:shd w:val="clear" w:color="auto" w:fill="auto"/>
              <w:spacing w:before="120" w:after="120" w:line="240" w:lineRule="auto"/>
              <w:ind w:firstLine="0"/>
              <w:jc w:val="center"/>
              <w:rPr>
                <w:sz w:val="18"/>
                <w:szCs w:val="18"/>
              </w:rPr>
            </w:pPr>
            <w:r w:rsidRPr="00DE12A3">
              <w:rPr>
                <w:rStyle w:val="Gvdemetni367pt0ptbolukbraklyor"/>
                <w:color w:val="auto"/>
                <w:sz w:val="18"/>
                <w:szCs w:val="18"/>
              </w:rPr>
              <w:t>°C</w:t>
            </w:r>
          </w:p>
        </w:tc>
        <w:tc>
          <w:tcPr>
            <w:tcW w:w="1003" w:type="dxa"/>
            <w:shd w:val="clear" w:color="auto" w:fill="auto"/>
          </w:tcPr>
          <w:p w14:paraId="3DA074E5" w14:textId="77777777" w:rsidR="000610BB" w:rsidRPr="00DE12A3" w:rsidRDefault="000610BB" w:rsidP="00C917D6">
            <w:pPr>
              <w:pStyle w:val="Gvdemetni360"/>
              <w:shd w:val="clear" w:color="auto" w:fill="auto"/>
              <w:spacing w:before="120" w:after="120" w:line="240" w:lineRule="auto"/>
              <w:ind w:firstLine="0"/>
              <w:jc w:val="center"/>
              <w:rPr>
                <w:sz w:val="18"/>
                <w:szCs w:val="18"/>
              </w:rPr>
            </w:pPr>
            <w:r w:rsidRPr="00DE12A3">
              <w:rPr>
                <w:rStyle w:val="Gvdemetni367pt0ptbolukbraklyor"/>
                <w:color w:val="auto"/>
                <w:sz w:val="18"/>
                <w:szCs w:val="18"/>
              </w:rPr>
              <w:t>245</w:t>
            </w:r>
          </w:p>
        </w:tc>
        <w:tc>
          <w:tcPr>
            <w:tcW w:w="1003" w:type="dxa"/>
            <w:shd w:val="clear" w:color="auto" w:fill="auto"/>
          </w:tcPr>
          <w:p w14:paraId="4FB14451" w14:textId="77777777" w:rsidR="000610BB" w:rsidRPr="00DE12A3" w:rsidRDefault="000610BB" w:rsidP="00C917D6">
            <w:pPr>
              <w:pStyle w:val="Gvdemetni360"/>
              <w:shd w:val="clear" w:color="auto" w:fill="auto"/>
              <w:spacing w:before="120" w:after="120" w:line="240" w:lineRule="auto"/>
              <w:ind w:firstLine="0"/>
              <w:jc w:val="center"/>
              <w:rPr>
                <w:sz w:val="18"/>
                <w:szCs w:val="18"/>
              </w:rPr>
            </w:pPr>
            <w:r w:rsidRPr="00DE12A3">
              <w:rPr>
                <w:rStyle w:val="Gvdemetni3675pt"/>
                <w:color w:val="auto"/>
                <w:sz w:val="18"/>
                <w:szCs w:val="18"/>
              </w:rPr>
              <w:t>—</w:t>
            </w:r>
          </w:p>
        </w:tc>
        <w:tc>
          <w:tcPr>
            <w:tcW w:w="1306" w:type="dxa"/>
            <w:shd w:val="clear" w:color="auto" w:fill="auto"/>
          </w:tcPr>
          <w:p w14:paraId="5E96AA12" w14:textId="77777777" w:rsidR="000610BB" w:rsidRPr="00DE12A3" w:rsidRDefault="000610BB" w:rsidP="00C917D6">
            <w:pPr>
              <w:pStyle w:val="Gvdemetni360"/>
              <w:shd w:val="clear" w:color="auto" w:fill="auto"/>
              <w:spacing w:before="120" w:after="120" w:line="240" w:lineRule="auto"/>
              <w:ind w:firstLine="0"/>
              <w:jc w:val="center"/>
              <w:rPr>
                <w:sz w:val="18"/>
                <w:szCs w:val="18"/>
              </w:rPr>
            </w:pPr>
            <w:r w:rsidRPr="00DE12A3">
              <w:rPr>
                <w:rStyle w:val="Gvdemetni367pt0ptbolukbraklyor"/>
                <w:color w:val="auto"/>
                <w:sz w:val="18"/>
                <w:szCs w:val="18"/>
              </w:rPr>
              <w:t>EN-ISO 3405</w:t>
            </w:r>
          </w:p>
        </w:tc>
      </w:tr>
      <w:tr w:rsidR="00DE12A3" w:rsidRPr="00DE12A3" w14:paraId="6B664541" w14:textId="77777777" w:rsidTr="000610BB">
        <w:trPr>
          <w:trHeight w:hRule="exact" w:val="432"/>
          <w:jc w:val="center"/>
        </w:trPr>
        <w:tc>
          <w:tcPr>
            <w:tcW w:w="3446" w:type="dxa"/>
            <w:shd w:val="clear" w:color="auto" w:fill="auto"/>
          </w:tcPr>
          <w:p w14:paraId="165939C3" w14:textId="77777777" w:rsidR="000610BB" w:rsidRPr="00DE12A3" w:rsidRDefault="000610BB" w:rsidP="00C917D6">
            <w:pPr>
              <w:pStyle w:val="Gvdemetni0"/>
              <w:shd w:val="clear" w:color="auto" w:fill="auto"/>
              <w:spacing w:before="120" w:after="120" w:line="240" w:lineRule="auto"/>
              <w:ind w:left="40" w:firstLine="0"/>
              <w:jc w:val="left"/>
              <w:rPr>
                <w:sz w:val="18"/>
              </w:rPr>
            </w:pPr>
            <w:r w:rsidRPr="00DE12A3">
              <w:rPr>
                <w:rStyle w:val="Gvdemetni85pt0ptbolukbraklyor"/>
                <w:color w:val="auto"/>
                <w:sz w:val="18"/>
              </w:rPr>
              <w:t>% 95 noktası</w:t>
            </w:r>
          </w:p>
        </w:tc>
        <w:tc>
          <w:tcPr>
            <w:tcW w:w="1022" w:type="dxa"/>
            <w:shd w:val="clear" w:color="auto" w:fill="auto"/>
          </w:tcPr>
          <w:p w14:paraId="7809BE76" w14:textId="77777777" w:rsidR="000610BB" w:rsidRPr="00DE12A3" w:rsidRDefault="000610BB" w:rsidP="00C917D6">
            <w:pPr>
              <w:pStyle w:val="Gvdemetni360"/>
              <w:shd w:val="clear" w:color="auto" w:fill="auto"/>
              <w:spacing w:before="120" w:after="120" w:line="240" w:lineRule="auto"/>
              <w:ind w:firstLine="0"/>
              <w:jc w:val="center"/>
              <w:rPr>
                <w:sz w:val="18"/>
                <w:szCs w:val="18"/>
              </w:rPr>
            </w:pPr>
            <w:r w:rsidRPr="00DE12A3">
              <w:rPr>
                <w:rStyle w:val="Gvdemetni367pt0ptbolukbraklyor"/>
                <w:color w:val="auto"/>
                <w:sz w:val="18"/>
                <w:szCs w:val="18"/>
              </w:rPr>
              <w:t>°C</w:t>
            </w:r>
          </w:p>
        </w:tc>
        <w:tc>
          <w:tcPr>
            <w:tcW w:w="1003" w:type="dxa"/>
            <w:shd w:val="clear" w:color="auto" w:fill="auto"/>
          </w:tcPr>
          <w:p w14:paraId="28DC9FCB" w14:textId="77777777" w:rsidR="000610BB" w:rsidRPr="00DE12A3" w:rsidRDefault="000610BB" w:rsidP="00C917D6">
            <w:pPr>
              <w:pStyle w:val="Gvdemetni360"/>
              <w:shd w:val="clear" w:color="auto" w:fill="auto"/>
              <w:spacing w:before="120" w:after="120" w:line="240" w:lineRule="auto"/>
              <w:ind w:firstLine="0"/>
              <w:jc w:val="center"/>
              <w:rPr>
                <w:sz w:val="18"/>
                <w:szCs w:val="18"/>
              </w:rPr>
            </w:pPr>
            <w:r w:rsidRPr="00DE12A3">
              <w:rPr>
                <w:rStyle w:val="Gvdemetni367pt0ptbolukbraklyor"/>
                <w:color w:val="auto"/>
                <w:sz w:val="18"/>
                <w:szCs w:val="18"/>
              </w:rPr>
              <w:t>345</w:t>
            </w:r>
          </w:p>
        </w:tc>
        <w:tc>
          <w:tcPr>
            <w:tcW w:w="1003" w:type="dxa"/>
            <w:shd w:val="clear" w:color="auto" w:fill="auto"/>
          </w:tcPr>
          <w:p w14:paraId="32EAEA04" w14:textId="77777777" w:rsidR="000610BB" w:rsidRPr="00DE12A3" w:rsidRDefault="000610BB" w:rsidP="00C917D6">
            <w:pPr>
              <w:pStyle w:val="Gvdemetni360"/>
              <w:shd w:val="clear" w:color="auto" w:fill="auto"/>
              <w:spacing w:before="120" w:after="120" w:line="240" w:lineRule="auto"/>
              <w:ind w:firstLine="0"/>
              <w:jc w:val="center"/>
              <w:rPr>
                <w:sz w:val="18"/>
                <w:szCs w:val="18"/>
              </w:rPr>
            </w:pPr>
            <w:r w:rsidRPr="00DE12A3">
              <w:rPr>
                <w:rStyle w:val="Gvdemetni367pt0ptbolukbraklyor"/>
                <w:color w:val="auto"/>
                <w:sz w:val="18"/>
                <w:szCs w:val="18"/>
              </w:rPr>
              <w:t>350</w:t>
            </w:r>
          </w:p>
        </w:tc>
        <w:tc>
          <w:tcPr>
            <w:tcW w:w="1306" w:type="dxa"/>
            <w:shd w:val="clear" w:color="auto" w:fill="auto"/>
          </w:tcPr>
          <w:p w14:paraId="792068ED" w14:textId="77777777" w:rsidR="000610BB" w:rsidRPr="00DE12A3" w:rsidRDefault="000610BB" w:rsidP="00C917D6">
            <w:pPr>
              <w:pStyle w:val="Gvdemetni360"/>
              <w:shd w:val="clear" w:color="auto" w:fill="auto"/>
              <w:spacing w:before="120" w:after="120" w:line="240" w:lineRule="auto"/>
              <w:ind w:firstLine="0"/>
              <w:jc w:val="center"/>
              <w:rPr>
                <w:sz w:val="18"/>
                <w:szCs w:val="18"/>
              </w:rPr>
            </w:pPr>
            <w:r w:rsidRPr="00DE12A3">
              <w:rPr>
                <w:rStyle w:val="Gvdemetni367pt0ptbolukbraklyor"/>
                <w:color w:val="auto"/>
                <w:sz w:val="18"/>
                <w:szCs w:val="18"/>
              </w:rPr>
              <w:t>EN-ISO 3405</w:t>
            </w:r>
          </w:p>
        </w:tc>
      </w:tr>
      <w:tr w:rsidR="00DE12A3" w:rsidRPr="00DE12A3" w14:paraId="64389785" w14:textId="77777777" w:rsidTr="000610BB">
        <w:trPr>
          <w:trHeight w:hRule="exact" w:val="432"/>
          <w:jc w:val="center"/>
        </w:trPr>
        <w:tc>
          <w:tcPr>
            <w:tcW w:w="3446" w:type="dxa"/>
            <w:shd w:val="clear" w:color="auto" w:fill="auto"/>
          </w:tcPr>
          <w:p w14:paraId="4D7BC3E0" w14:textId="12DD1C87" w:rsidR="000610BB" w:rsidRPr="00DE12A3" w:rsidRDefault="000610BB" w:rsidP="00C917D6">
            <w:pPr>
              <w:pStyle w:val="Gvdemetni0"/>
              <w:shd w:val="clear" w:color="auto" w:fill="auto"/>
              <w:spacing w:before="120" w:after="120" w:line="240" w:lineRule="auto"/>
              <w:ind w:left="40" w:firstLine="0"/>
              <w:jc w:val="left"/>
              <w:rPr>
                <w:sz w:val="18"/>
              </w:rPr>
            </w:pPr>
            <w:r w:rsidRPr="00DE12A3">
              <w:rPr>
                <w:rStyle w:val="Gvdemetni85pt0ptbolukbraklyor"/>
                <w:color w:val="auto"/>
                <w:sz w:val="18"/>
              </w:rPr>
              <w:t>Son kaynama noktası</w:t>
            </w:r>
          </w:p>
        </w:tc>
        <w:tc>
          <w:tcPr>
            <w:tcW w:w="1022" w:type="dxa"/>
            <w:shd w:val="clear" w:color="auto" w:fill="auto"/>
          </w:tcPr>
          <w:p w14:paraId="20164C8E" w14:textId="77777777" w:rsidR="000610BB" w:rsidRPr="00DE12A3" w:rsidRDefault="000610BB" w:rsidP="00C917D6">
            <w:pPr>
              <w:pStyle w:val="Gvdemetni360"/>
              <w:shd w:val="clear" w:color="auto" w:fill="auto"/>
              <w:spacing w:before="120" w:after="120" w:line="240" w:lineRule="auto"/>
              <w:ind w:firstLine="0"/>
              <w:jc w:val="center"/>
              <w:rPr>
                <w:sz w:val="18"/>
                <w:szCs w:val="18"/>
              </w:rPr>
            </w:pPr>
            <w:r w:rsidRPr="00DE12A3">
              <w:rPr>
                <w:rStyle w:val="Gvdemetni367pt0ptbolukbraklyor"/>
                <w:color w:val="auto"/>
                <w:sz w:val="18"/>
                <w:szCs w:val="18"/>
              </w:rPr>
              <w:t>°C</w:t>
            </w:r>
          </w:p>
        </w:tc>
        <w:tc>
          <w:tcPr>
            <w:tcW w:w="1003" w:type="dxa"/>
            <w:shd w:val="clear" w:color="auto" w:fill="auto"/>
          </w:tcPr>
          <w:p w14:paraId="1283B7CF" w14:textId="77777777" w:rsidR="000610BB" w:rsidRPr="00DE12A3" w:rsidRDefault="000610BB" w:rsidP="00C917D6">
            <w:pPr>
              <w:pStyle w:val="Gvdemetni360"/>
              <w:shd w:val="clear" w:color="auto" w:fill="auto"/>
              <w:spacing w:before="120" w:after="120" w:line="240" w:lineRule="auto"/>
              <w:ind w:firstLine="0"/>
              <w:jc w:val="center"/>
              <w:rPr>
                <w:sz w:val="18"/>
                <w:szCs w:val="18"/>
              </w:rPr>
            </w:pPr>
            <w:r w:rsidRPr="00DE12A3">
              <w:rPr>
                <w:rStyle w:val="Gvdemetni3675pt"/>
                <w:color w:val="auto"/>
                <w:sz w:val="18"/>
                <w:szCs w:val="18"/>
              </w:rPr>
              <w:t>—</w:t>
            </w:r>
          </w:p>
        </w:tc>
        <w:tc>
          <w:tcPr>
            <w:tcW w:w="1003" w:type="dxa"/>
            <w:shd w:val="clear" w:color="auto" w:fill="auto"/>
          </w:tcPr>
          <w:p w14:paraId="622F39F8" w14:textId="77777777" w:rsidR="000610BB" w:rsidRPr="00DE12A3" w:rsidRDefault="000610BB" w:rsidP="00C917D6">
            <w:pPr>
              <w:pStyle w:val="Gvdemetni360"/>
              <w:shd w:val="clear" w:color="auto" w:fill="auto"/>
              <w:spacing w:before="120" w:after="120" w:line="240" w:lineRule="auto"/>
              <w:ind w:firstLine="0"/>
              <w:jc w:val="center"/>
              <w:rPr>
                <w:sz w:val="18"/>
                <w:szCs w:val="18"/>
              </w:rPr>
            </w:pPr>
            <w:r w:rsidRPr="00DE12A3">
              <w:rPr>
                <w:rStyle w:val="Gvdemetni367pt0ptbolukbraklyor"/>
                <w:color w:val="auto"/>
                <w:sz w:val="18"/>
                <w:szCs w:val="18"/>
              </w:rPr>
              <w:t>370</w:t>
            </w:r>
          </w:p>
        </w:tc>
        <w:tc>
          <w:tcPr>
            <w:tcW w:w="1306" w:type="dxa"/>
            <w:shd w:val="clear" w:color="auto" w:fill="auto"/>
          </w:tcPr>
          <w:p w14:paraId="48CFBAA8" w14:textId="77777777" w:rsidR="000610BB" w:rsidRPr="00DE12A3" w:rsidRDefault="000610BB" w:rsidP="00C917D6">
            <w:pPr>
              <w:pStyle w:val="Gvdemetni360"/>
              <w:shd w:val="clear" w:color="auto" w:fill="auto"/>
              <w:spacing w:before="120" w:after="120" w:line="240" w:lineRule="auto"/>
              <w:ind w:firstLine="0"/>
              <w:jc w:val="center"/>
              <w:rPr>
                <w:sz w:val="18"/>
                <w:szCs w:val="18"/>
              </w:rPr>
            </w:pPr>
            <w:r w:rsidRPr="00DE12A3">
              <w:rPr>
                <w:rStyle w:val="Gvdemetni367pt0ptbolukbraklyor"/>
                <w:color w:val="auto"/>
                <w:sz w:val="18"/>
                <w:szCs w:val="18"/>
              </w:rPr>
              <w:t>EN-ISO 3405</w:t>
            </w:r>
          </w:p>
        </w:tc>
      </w:tr>
      <w:tr w:rsidR="00DE12A3" w:rsidRPr="00DE12A3" w14:paraId="46817706" w14:textId="77777777" w:rsidTr="000610BB">
        <w:trPr>
          <w:trHeight w:hRule="exact" w:val="432"/>
          <w:jc w:val="center"/>
        </w:trPr>
        <w:tc>
          <w:tcPr>
            <w:tcW w:w="3446" w:type="dxa"/>
            <w:shd w:val="clear" w:color="auto" w:fill="auto"/>
          </w:tcPr>
          <w:p w14:paraId="6A19B702" w14:textId="77777777" w:rsidR="000610BB" w:rsidRPr="00DE12A3" w:rsidRDefault="000610BB" w:rsidP="00C917D6">
            <w:pPr>
              <w:pStyle w:val="Gvdemetni0"/>
              <w:shd w:val="clear" w:color="auto" w:fill="auto"/>
              <w:spacing w:before="120" w:after="120" w:line="240" w:lineRule="auto"/>
              <w:ind w:left="40" w:firstLine="0"/>
              <w:jc w:val="left"/>
              <w:rPr>
                <w:sz w:val="18"/>
              </w:rPr>
            </w:pPr>
            <w:r w:rsidRPr="00DE12A3">
              <w:rPr>
                <w:rStyle w:val="Gvdemetni85pt0ptbolukbraklyor"/>
                <w:color w:val="auto"/>
                <w:sz w:val="18"/>
              </w:rPr>
              <w:t>Parlama noktası</w:t>
            </w:r>
          </w:p>
        </w:tc>
        <w:tc>
          <w:tcPr>
            <w:tcW w:w="1022" w:type="dxa"/>
            <w:shd w:val="clear" w:color="auto" w:fill="auto"/>
          </w:tcPr>
          <w:p w14:paraId="778EC4EE" w14:textId="77777777" w:rsidR="000610BB" w:rsidRPr="00DE12A3" w:rsidRDefault="000610BB" w:rsidP="00C917D6">
            <w:pPr>
              <w:pStyle w:val="Gvdemetni360"/>
              <w:shd w:val="clear" w:color="auto" w:fill="auto"/>
              <w:spacing w:before="120" w:after="120" w:line="240" w:lineRule="auto"/>
              <w:ind w:firstLine="0"/>
              <w:jc w:val="center"/>
              <w:rPr>
                <w:sz w:val="18"/>
                <w:szCs w:val="18"/>
              </w:rPr>
            </w:pPr>
            <w:r w:rsidRPr="00DE12A3">
              <w:rPr>
                <w:rStyle w:val="Gvdemetni367pt0ptbolukbraklyor"/>
                <w:color w:val="auto"/>
                <w:sz w:val="18"/>
                <w:szCs w:val="18"/>
              </w:rPr>
              <w:t>°C</w:t>
            </w:r>
          </w:p>
        </w:tc>
        <w:tc>
          <w:tcPr>
            <w:tcW w:w="1003" w:type="dxa"/>
            <w:shd w:val="clear" w:color="auto" w:fill="auto"/>
          </w:tcPr>
          <w:p w14:paraId="3B25CC4E" w14:textId="77777777" w:rsidR="000610BB" w:rsidRPr="00DE12A3" w:rsidRDefault="000610BB" w:rsidP="00C917D6">
            <w:pPr>
              <w:pStyle w:val="Gvdemetni360"/>
              <w:shd w:val="clear" w:color="auto" w:fill="auto"/>
              <w:spacing w:before="120" w:after="120" w:line="240" w:lineRule="auto"/>
              <w:ind w:firstLine="0"/>
              <w:jc w:val="center"/>
              <w:rPr>
                <w:sz w:val="18"/>
                <w:szCs w:val="18"/>
              </w:rPr>
            </w:pPr>
            <w:r w:rsidRPr="00DE12A3">
              <w:rPr>
                <w:rStyle w:val="Gvdemetni367pt0ptbolukbraklyor"/>
                <w:color w:val="auto"/>
                <w:sz w:val="18"/>
                <w:szCs w:val="18"/>
              </w:rPr>
              <w:t>55</w:t>
            </w:r>
          </w:p>
        </w:tc>
        <w:tc>
          <w:tcPr>
            <w:tcW w:w="1003" w:type="dxa"/>
            <w:shd w:val="clear" w:color="auto" w:fill="auto"/>
          </w:tcPr>
          <w:p w14:paraId="341BB144" w14:textId="77777777" w:rsidR="000610BB" w:rsidRPr="00DE12A3" w:rsidRDefault="000610BB" w:rsidP="00C917D6">
            <w:pPr>
              <w:pStyle w:val="Gvdemetni360"/>
              <w:shd w:val="clear" w:color="auto" w:fill="auto"/>
              <w:spacing w:before="120" w:after="120" w:line="240" w:lineRule="auto"/>
              <w:ind w:firstLine="0"/>
              <w:jc w:val="center"/>
              <w:rPr>
                <w:sz w:val="18"/>
                <w:szCs w:val="18"/>
              </w:rPr>
            </w:pPr>
            <w:r w:rsidRPr="00DE12A3">
              <w:rPr>
                <w:rStyle w:val="Gvdemetni3675pt"/>
                <w:color w:val="auto"/>
                <w:sz w:val="18"/>
                <w:szCs w:val="18"/>
              </w:rPr>
              <w:t>—</w:t>
            </w:r>
          </w:p>
        </w:tc>
        <w:tc>
          <w:tcPr>
            <w:tcW w:w="1306" w:type="dxa"/>
            <w:shd w:val="clear" w:color="auto" w:fill="auto"/>
          </w:tcPr>
          <w:p w14:paraId="256C4AE2" w14:textId="77777777" w:rsidR="000610BB" w:rsidRPr="00DE12A3" w:rsidRDefault="000610BB" w:rsidP="00C917D6">
            <w:pPr>
              <w:pStyle w:val="Gvdemetni360"/>
              <w:shd w:val="clear" w:color="auto" w:fill="auto"/>
              <w:spacing w:before="120" w:after="120" w:line="240" w:lineRule="auto"/>
              <w:ind w:left="100" w:firstLine="0"/>
              <w:jc w:val="left"/>
              <w:rPr>
                <w:sz w:val="18"/>
                <w:szCs w:val="18"/>
              </w:rPr>
            </w:pPr>
            <w:r w:rsidRPr="00DE12A3">
              <w:rPr>
                <w:rStyle w:val="Gvdemetni367pt0ptbolukbraklyor"/>
                <w:color w:val="auto"/>
                <w:sz w:val="18"/>
                <w:szCs w:val="18"/>
              </w:rPr>
              <w:t>EN 22719</w:t>
            </w:r>
          </w:p>
        </w:tc>
      </w:tr>
      <w:tr w:rsidR="00DE12A3" w:rsidRPr="00DE12A3" w14:paraId="594A6901" w14:textId="77777777" w:rsidTr="000610BB">
        <w:trPr>
          <w:trHeight w:hRule="exact" w:val="427"/>
          <w:jc w:val="center"/>
        </w:trPr>
        <w:tc>
          <w:tcPr>
            <w:tcW w:w="3446" w:type="dxa"/>
            <w:shd w:val="clear" w:color="auto" w:fill="auto"/>
          </w:tcPr>
          <w:p w14:paraId="6FC0007C" w14:textId="77777777" w:rsidR="000610BB" w:rsidRPr="00DE12A3" w:rsidRDefault="000610BB" w:rsidP="00C917D6">
            <w:pPr>
              <w:pStyle w:val="Gvdemetni0"/>
              <w:shd w:val="clear" w:color="auto" w:fill="auto"/>
              <w:spacing w:before="120" w:after="120" w:line="240" w:lineRule="auto"/>
              <w:ind w:left="40" w:firstLine="0"/>
              <w:jc w:val="left"/>
              <w:rPr>
                <w:sz w:val="18"/>
              </w:rPr>
            </w:pPr>
            <w:r w:rsidRPr="00DE12A3">
              <w:rPr>
                <w:rStyle w:val="Gvdemetni85pt0ptbolukbraklyor"/>
                <w:color w:val="auto"/>
                <w:sz w:val="18"/>
              </w:rPr>
              <w:t>CFPP</w:t>
            </w:r>
          </w:p>
        </w:tc>
        <w:tc>
          <w:tcPr>
            <w:tcW w:w="1022" w:type="dxa"/>
            <w:shd w:val="clear" w:color="auto" w:fill="auto"/>
          </w:tcPr>
          <w:p w14:paraId="33DF970C" w14:textId="77777777" w:rsidR="000610BB" w:rsidRPr="00DE12A3" w:rsidRDefault="000610BB" w:rsidP="00C917D6">
            <w:pPr>
              <w:pStyle w:val="Gvdemetni360"/>
              <w:shd w:val="clear" w:color="auto" w:fill="auto"/>
              <w:spacing w:before="120" w:after="120" w:line="240" w:lineRule="auto"/>
              <w:ind w:firstLine="0"/>
              <w:jc w:val="center"/>
              <w:rPr>
                <w:sz w:val="18"/>
                <w:szCs w:val="18"/>
              </w:rPr>
            </w:pPr>
            <w:r w:rsidRPr="00DE12A3">
              <w:rPr>
                <w:rStyle w:val="Gvdemetni367pt0ptbolukbraklyor"/>
                <w:color w:val="auto"/>
                <w:sz w:val="18"/>
                <w:szCs w:val="18"/>
              </w:rPr>
              <w:t>°C</w:t>
            </w:r>
          </w:p>
        </w:tc>
        <w:tc>
          <w:tcPr>
            <w:tcW w:w="1003" w:type="dxa"/>
            <w:shd w:val="clear" w:color="auto" w:fill="auto"/>
          </w:tcPr>
          <w:p w14:paraId="23B286E5" w14:textId="77777777" w:rsidR="000610BB" w:rsidRPr="00DE12A3" w:rsidRDefault="000610BB" w:rsidP="00C917D6">
            <w:pPr>
              <w:pStyle w:val="Gvdemetni360"/>
              <w:shd w:val="clear" w:color="auto" w:fill="auto"/>
              <w:spacing w:before="120" w:after="120" w:line="240" w:lineRule="auto"/>
              <w:ind w:firstLine="0"/>
              <w:jc w:val="center"/>
              <w:rPr>
                <w:sz w:val="18"/>
                <w:szCs w:val="18"/>
              </w:rPr>
            </w:pPr>
            <w:r w:rsidRPr="00DE12A3">
              <w:rPr>
                <w:rStyle w:val="Gvdemetni3675pt"/>
                <w:color w:val="auto"/>
                <w:sz w:val="18"/>
                <w:szCs w:val="18"/>
              </w:rPr>
              <w:t>—</w:t>
            </w:r>
          </w:p>
        </w:tc>
        <w:tc>
          <w:tcPr>
            <w:tcW w:w="1003" w:type="dxa"/>
            <w:shd w:val="clear" w:color="auto" w:fill="auto"/>
          </w:tcPr>
          <w:p w14:paraId="12EDC960" w14:textId="77777777" w:rsidR="000610BB" w:rsidRPr="00DE12A3" w:rsidRDefault="000610BB" w:rsidP="00C917D6">
            <w:pPr>
              <w:pStyle w:val="Gvdemetni360"/>
              <w:shd w:val="clear" w:color="auto" w:fill="auto"/>
              <w:spacing w:before="120" w:after="120" w:line="240" w:lineRule="auto"/>
              <w:ind w:firstLine="0"/>
              <w:jc w:val="center"/>
              <w:rPr>
                <w:sz w:val="18"/>
                <w:szCs w:val="18"/>
              </w:rPr>
            </w:pPr>
            <w:r w:rsidRPr="00DE12A3">
              <w:rPr>
                <w:rStyle w:val="Gvdemetni367pt0ptbolukbraklyor"/>
                <w:color w:val="auto"/>
                <w:sz w:val="18"/>
                <w:szCs w:val="18"/>
              </w:rPr>
              <w:t>- 5</w:t>
            </w:r>
          </w:p>
        </w:tc>
        <w:tc>
          <w:tcPr>
            <w:tcW w:w="1306" w:type="dxa"/>
            <w:shd w:val="clear" w:color="auto" w:fill="auto"/>
          </w:tcPr>
          <w:p w14:paraId="4753149B" w14:textId="77777777" w:rsidR="000610BB" w:rsidRPr="00DE12A3" w:rsidRDefault="000610BB" w:rsidP="00C917D6">
            <w:pPr>
              <w:pStyle w:val="Gvdemetni360"/>
              <w:shd w:val="clear" w:color="auto" w:fill="auto"/>
              <w:spacing w:before="120" w:after="120" w:line="240" w:lineRule="auto"/>
              <w:ind w:left="100" w:firstLine="0"/>
              <w:jc w:val="left"/>
              <w:rPr>
                <w:sz w:val="18"/>
                <w:szCs w:val="18"/>
              </w:rPr>
            </w:pPr>
            <w:r w:rsidRPr="00DE12A3">
              <w:rPr>
                <w:rStyle w:val="Gvdemetni367pt0ptbolukbraklyor"/>
                <w:color w:val="auto"/>
                <w:sz w:val="18"/>
                <w:szCs w:val="18"/>
              </w:rPr>
              <w:t>EN 116</w:t>
            </w:r>
          </w:p>
        </w:tc>
      </w:tr>
      <w:tr w:rsidR="00DE12A3" w:rsidRPr="00DE12A3" w14:paraId="0CAF66B6" w14:textId="77777777" w:rsidTr="000610BB">
        <w:trPr>
          <w:trHeight w:hRule="exact" w:val="432"/>
          <w:jc w:val="center"/>
        </w:trPr>
        <w:tc>
          <w:tcPr>
            <w:tcW w:w="3446" w:type="dxa"/>
            <w:shd w:val="clear" w:color="auto" w:fill="auto"/>
          </w:tcPr>
          <w:p w14:paraId="16AB3E62" w14:textId="77777777" w:rsidR="000610BB" w:rsidRPr="00DE12A3" w:rsidRDefault="000610BB" w:rsidP="00C917D6">
            <w:pPr>
              <w:pStyle w:val="Gvdemetni0"/>
              <w:shd w:val="clear" w:color="auto" w:fill="auto"/>
              <w:spacing w:before="120" w:after="120" w:line="240" w:lineRule="auto"/>
              <w:ind w:left="40" w:firstLine="0"/>
              <w:jc w:val="left"/>
              <w:rPr>
                <w:sz w:val="18"/>
              </w:rPr>
            </w:pPr>
            <w:r w:rsidRPr="00DE12A3">
              <w:rPr>
                <w:rStyle w:val="Gvdemetni85pt0ptbolukbraklyor"/>
                <w:color w:val="auto"/>
                <w:sz w:val="18"/>
              </w:rPr>
              <w:t>40 °C'de viskozite</w:t>
            </w:r>
          </w:p>
        </w:tc>
        <w:tc>
          <w:tcPr>
            <w:tcW w:w="1022" w:type="dxa"/>
            <w:shd w:val="clear" w:color="auto" w:fill="auto"/>
          </w:tcPr>
          <w:p w14:paraId="4284E21C" w14:textId="77777777" w:rsidR="000610BB" w:rsidRPr="00DE12A3" w:rsidRDefault="000610BB" w:rsidP="00C917D6">
            <w:pPr>
              <w:pStyle w:val="Gvdemetni360"/>
              <w:shd w:val="clear" w:color="auto" w:fill="auto"/>
              <w:spacing w:before="120" w:after="120" w:line="240" w:lineRule="auto"/>
              <w:ind w:firstLine="0"/>
              <w:jc w:val="center"/>
              <w:rPr>
                <w:sz w:val="18"/>
                <w:szCs w:val="18"/>
              </w:rPr>
            </w:pPr>
            <w:r w:rsidRPr="00DE12A3">
              <w:rPr>
                <w:rStyle w:val="Gvdemetni367pt0ptbolukbraklyor"/>
                <w:color w:val="auto"/>
                <w:sz w:val="18"/>
                <w:szCs w:val="18"/>
              </w:rPr>
              <w:t>mm</w:t>
            </w:r>
            <w:r w:rsidRPr="00DE12A3">
              <w:rPr>
                <w:rStyle w:val="Gvdemetni367pt0ptbolukbraklyor"/>
                <w:color w:val="auto"/>
                <w:sz w:val="18"/>
                <w:szCs w:val="18"/>
                <w:vertAlign w:val="superscript"/>
              </w:rPr>
              <w:t>2</w:t>
            </w:r>
            <w:r w:rsidRPr="00DE12A3">
              <w:rPr>
                <w:rStyle w:val="Gvdemetni367pt0ptbolukbraklyor"/>
                <w:color w:val="auto"/>
                <w:sz w:val="18"/>
                <w:szCs w:val="18"/>
              </w:rPr>
              <w:t>/s</w:t>
            </w:r>
          </w:p>
        </w:tc>
        <w:tc>
          <w:tcPr>
            <w:tcW w:w="1003" w:type="dxa"/>
            <w:shd w:val="clear" w:color="auto" w:fill="auto"/>
          </w:tcPr>
          <w:p w14:paraId="7EE321F6" w14:textId="77777777" w:rsidR="000610BB" w:rsidRPr="00DE12A3" w:rsidRDefault="000610BB" w:rsidP="00C917D6">
            <w:pPr>
              <w:pStyle w:val="Gvdemetni360"/>
              <w:shd w:val="clear" w:color="auto" w:fill="auto"/>
              <w:spacing w:before="120" w:after="120" w:line="240" w:lineRule="auto"/>
              <w:ind w:firstLine="0"/>
              <w:jc w:val="center"/>
              <w:rPr>
                <w:sz w:val="18"/>
                <w:szCs w:val="18"/>
              </w:rPr>
            </w:pPr>
            <w:r w:rsidRPr="00DE12A3">
              <w:rPr>
                <w:rStyle w:val="Gvdemetni367pt0ptbolukbraklyor"/>
                <w:color w:val="auto"/>
                <w:sz w:val="18"/>
                <w:szCs w:val="18"/>
              </w:rPr>
              <w:t>2,3</w:t>
            </w:r>
          </w:p>
        </w:tc>
        <w:tc>
          <w:tcPr>
            <w:tcW w:w="1003" w:type="dxa"/>
            <w:shd w:val="clear" w:color="auto" w:fill="auto"/>
          </w:tcPr>
          <w:p w14:paraId="6A9AD9BE" w14:textId="77777777" w:rsidR="000610BB" w:rsidRPr="00DE12A3" w:rsidRDefault="000610BB" w:rsidP="00C917D6">
            <w:pPr>
              <w:pStyle w:val="Gvdemetni360"/>
              <w:shd w:val="clear" w:color="auto" w:fill="auto"/>
              <w:spacing w:before="120" w:after="120" w:line="240" w:lineRule="auto"/>
              <w:ind w:firstLine="0"/>
              <w:jc w:val="center"/>
              <w:rPr>
                <w:sz w:val="18"/>
                <w:szCs w:val="18"/>
              </w:rPr>
            </w:pPr>
            <w:r w:rsidRPr="00DE12A3">
              <w:rPr>
                <w:rStyle w:val="Gvdemetni367pt0ptbolukbraklyor"/>
                <w:color w:val="auto"/>
                <w:sz w:val="18"/>
                <w:szCs w:val="18"/>
              </w:rPr>
              <w:t>3,3</w:t>
            </w:r>
          </w:p>
        </w:tc>
        <w:tc>
          <w:tcPr>
            <w:tcW w:w="1306" w:type="dxa"/>
            <w:shd w:val="clear" w:color="auto" w:fill="auto"/>
          </w:tcPr>
          <w:p w14:paraId="51A04622" w14:textId="77777777" w:rsidR="000610BB" w:rsidRPr="00DE12A3" w:rsidRDefault="000610BB" w:rsidP="00C917D6">
            <w:pPr>
              <w:pStyle w:val="Gvdemetni360"/>
              <w:shd w:val="clear" w:color="auto" w:fill="auto"/>
              <w:spacing w:before="120" w:after="120" w:line="240" w:lineRule="auto"/>
              <w:ind w:firstLine="0"/>
              <w:jc w:val="center"/>
              <w:rPr>
                <w:sz w:val="18"/>
                <w:szCs w:val="18"/>
              </w:rPr>
            </w:pPr>
            <w:r w:rsidRPr="00DE12A3">
              <w:rPr>
                <w:rStyle w:val="Gvdemetni367pt0ptbolukbraklyor"/>
                <w:color w:val="auto"/>
                <w:sz w:val="18"/>
                <w:szCs w:val="18"/>
              </w:rPr>
              <w:t>EN-ISO 3104</w:t>
            </w:r>
          </w:p>
        </w:tc>
      </w:tr>
      <w:tr w:rsidR="00DE12A3" w:rsidRPr="00DE12A3" w14:paraId="2EE3F45D" w14:textId="77777777" w:rsidTr="000610BB">
        <w:trPr>
          <w:trHeight w:hRule="exact" w:val="432"/>
          <w:jc w:val="center"/>
        </w:trPr>
        <w:tc>
          <w:tcPr>
            <w:tcW w:w="3446" w:type="dxa"/>
            <w:shd w:val="clear" w:color="auto" w:fill="auto"/>
          </w:tcPr>
          <w:p w14:paraId="40041E39" w14:textId="77777777" w:rsidR="000610BB" w:rsidRPr="00DE12A3" w:rsidRDefault="000610BB" w:rsidP="00C917D6">
            <w:pPr>
              <w:pStyle w:val="Gvdemetni0"/>
              <w:shd w:val="clear" w:color="auto" w:fill="auto"/>
              <w:spacing w:before="120" w:after="120" w:line="240" w:lineRule="auto"/>
              <w:ind w:left="40" w:firstLine="0"/>
              <w:jc w:val="left"/>
              <w:rPr>
                <w:sz w:val="18"/>
              </w:rPr>
            </w:pPr>
            <w:r w:rsidRPr="00DE12A3">
              <w:rPr>
                <w:rStyle w:val="Gvdemetni85pt0ptbolukbraklyor"/>
                <w:color w:val="auto"/>
                <w:sz w:val="18"/>
              </w:rPr>
              <w:t>Polisiklik aromatik hidrokarbonlar</w:t>
            </w:r>
          </w:p>
        </w:tc>
        <w:tc>
          <w:tcPr>
            <w:tcW w:w="1022" w:type="dxa"/>
            <w:shd w:val="clear" w:color="auto" w:fill="auto"/>
          </w:tcPr>
          <w:p w14:paraId="79083CD5" w14:textId="77777777" w:rsidR="000610BB" w:rsidRPr="00DE12A3" w:rsidRDefault="000610BB" w:rsidP="00C917D6">
            <w:pPr>
              <w:pStyle w:val="Gvdemetni360"/>
              <w:shd w:val="clear" w:color="auto" w:fill="auto"/>
              <w:spacing w:before="120" w:after="120" w:line="240" w:lineRule="auto"/>
              <w:ind w:firstLine="0"/>
              <w:jc w:val="center"/>
              <w:rPr>
                <w:sz w:val="18"/>
                <w:szCs w:val="18"/>
              </w:rPr>
            </w:pPr>
            <w:r w:rsidRPr="00DE12A3">
              <w:rPr>
                <w:rStyle w:val="Gvdemetni367pt0ptbolukbraklyor"/>
                <w:color w:val="auto"/>
                <w:sz w:val="18"/>
                <w:szCs w:val="18"/>
              </w:rPr>
              <w:t>% m/m</w:t>
            </w:r>
          </w:p>
        </w:tc>
        <w:tc>
          <w:tcPr>
            <w:tcW w:w="1003" w:type="dxa"/>
            <w:shd w:val="clear" w:color="auto" w:fill="auto"/>
          </w:tcPr>
          <w:p w14:paraId="4C12A633" w14:textId="77777777" w:rsidR="000610BB" w:rsidRPr="00DE12A3" w:rsidRDefault="000610BB" w:rsidP="00C917D6">
            <w:pPr>
              <w:pStyle w:val="Gvdemetni360"/>
              <w:shd w:val="clear" w:color="auto" w:fill="auto"/>
              <w:spacing w:before="120" w:after="120" w:line="240" w:lineRule="auto"/>
              <w:ind w:firstLine="0"/>
              <w:jc w:val="center"/>
              <w:rPr>
                <w:sz w:val="18"/>
                <w:szCs w:val="18"/>
              </w:rPr>
            </w:pPr>
            <w:r w:rsidRPr="00DE12A3">
              <w:rPr>
                <w:rStyle w:val="Gvdemetni3675pt0ptbolukbraklyor"/>
                <w:color w:val="auto"/>
                <w:sz w:val="18"/>
                <w:szCs w:val="18"/>
              </w:rPr>
              <w:t>2,0</w:t>
            </w:r>
          </w:p>
        </w:tc>
        <w:tc>
          <w:tcPr>
            <w:tcW w:w="1003" w:type="dxa"/>
            <w:shd w:val="clear" w:color="auto" w:fill="auto"/>
          </w:tcPr>
          <w:p w14:paraId="027EBEE2" w14:textId="77777777" w:rsidR="000610BB" w:rsidRPr="00DE12A3" w:rsidRDefault="000610BB" w:rsidP="00C917D6">
            <w:pPr>
              <w:pStyle w:val="Gvdemetni360"/>
              <w:shd w:val="clear" w:color="auto" w:fill="auto"/>
              <w:spacing w:before="120" w:after="120" w:line="240" w:lineRule="auto"/>
              <w:ind w:firstLine="0"/>
              <w:jc w:val="center"/>
              <w:rPr>
                <w:sz w:val="18"/>
                <w:szCs w:val="18"/>
              </w:rPr>
            </w:pPr>
            <w:r w:rsidRPr="00DE12A3">
              <w:rPr>
                <w:rStyle w:val="Gvdemetni3675pt0ptbolukbraklyor"/>
                <w:color w:val="auto"/>
                <w:sz w:val="18"/>
                <w:szCs w:val="18"/>
              </w:rPr>
              <w:t>6,0</w:t>
            </w:r>
          </w:p>
        </w:tc>
        <w:tc>
          <w:tcPr>
            <w:tcW w:w="1306" w:type="dxa"/>
            <w:shd w:val="clear" w:color="auto" w:fill="auto"/>
          </w:tcPr>
          <w:p w14:paraId="536D9B19" w14:textId="77777777" w:rsidR="000610BB" w:rsidRPr="00DE12A3" w:rsidRDefault="000610BB" w:rsidP="00C917D6">
            <w:pPr>
              <w:pStyle w:val="Gvdemetni360"/>
              <w:shd w:val="clear" w:color="auto" w:fill="auto"/>
              <w:spacing w:before="120" w:after="120" w:line="240" w:lineRule="auto"/>
              <w:ind w:left="100" w:firstLine="0"/>
              <w:jc w:val="left"/>
              <w:rPr>
                <w:sz w:val="18"/>
                <w:szCs w:val="18"/>
              </w:rPr>
            </w:pPr>
            <w:r w:rsidRPr="00DE12A3">
              <w:rPr>
                <w:rStyle w:val="Gvdemetni367pt0ptbolukbraklyor"/>
                <w:color w:val="auto"/>
                <w:sz w:val="18"/>
                <w:szCs w:val="18"/>
              </w:rPr>
              <w:t>IP 391</w:t>
            </w:r>
          </w:p>
        </w:tc>
      </w:tr>
      <w:tr w:rsidR="00DE12A3" w:rsidRPr="00DE12A3" w14:paraId="22CFE4B1" w14:textId="77777777" w:rsidTr="000610BB">
        <w:trPr>
          <w:trHeight w:hRule="exact" w:val="427"/>
          <w:jc w:val="center"/>
        </w:trPr>
        <w:tc>
          <w:tcPr>
            <w:tcW w:w="3446" w:type="dxa"/>
            <w:shd w:val="clear" w:color="auto" w:fill="auto"/>
          </w:tcPr>
          <w:p w14:paraId="7A225BF0" w14:textId="77777777" w:rsidR="000610BB" w:rsidRPr="00DE12A3" w:rsidRDefault="000610BB" w:rsidP="00C917D6">
            <w:pPr>
              <w:pStyle w:val="Gvdemetni0"/>
              <w:shd w:val="clear" w:color="auto" w:fill="auto"/>
              <w:spacing w:before="120" w:after="120" w:line="240" w:lineRule="auto"/>
              <w:ind w:left="40" w:firstLine="0"/>
              <w:jc w:val="left"/>
              <w:rPr>
                <w:sz w:val="18"/>
              </w:rPr>
            </w:pPr>
            <w:r w:rsidRPr="00DE12A3">
              <w:rPr>
                <w:rStyle w:val="Gvdemetni85pt0ptbolukbraklyor"/>
                <w:color w:val="auto"/>
                <w:sz w:val="18"/>
              </w:rPr>
              <w:t xml:space="preserve">Kükürt içeriği </w:t>
            </w:r>
            <w:r w:rsidRPr="00DE12A3">
              <w:rPr>
                <w:rStyle w:val="Gvdemetni85pt0ptbolukbraklyor"/>
                <w:color w:val="auto"/>
                <w:sz w:val="18"/>
                <w:vertAlign w:val="superscript"/>
              </w:rPr>
              <w:t>(3)</w:t>
            </w:r>
          </w:p>
        </w:tc>
        <w:tc>
          <w:tcPr>
            <w:tcW w:w="1022" w:type="dxa"/>
            <w:shd w:val="clear" w:color="auto" w:fill="auto"/>
          </w:tcPr>
          <w:p w14:paraId="132E0352" w14:textId="77777777" w:rsidR="000610BB" w:rsidRPr="00DE12A3" w:rsidRDefault="000610BB" w:rsidP="00C917D6">
            <w:pPr>
              <w:pStyle w:val="Gvdemetni360"/>
              <w:shd w:val="clear" w:color="auto" w:fill="auto"/>
              <w:spacing w:before="120" w:after="120" w:line="240" w:lineRule="auto"/>
              <w:ind w:firstLine="0"/>
              <w:jc w:val="center"/>
              <w:rPr>
                <w:sz w:val="18"/>
                <w:szCs w:val="18"/>
              </w:rPr>
            </w:pPr>
            <w:r w:rsidRPr="00DE12A3">
              <w:rPr>
                <w:rStyle w:val="Gvdemetni367pt0ptbolukbraklyor"/>
                <w:color w:val="auto"/>
                <w:sz w:val="18"/>
                <w:szCs w:val="18"/>
              </w:rPr>
              <w:t>mg/kg</w:t>
            </w:r>
          </w:p>
        </w:tc>
        <w:tc>
          <w:tcPr>
            <w:tcW w:w="1003" w:type="dxa"/>
            <w:shd w:val="clear" w:color="auto" w:fill="auto"/>
          </w:tcPr>
          <w:p w14:paraId="67422173" w14:textId="77777777" w:rsidR="000610BB" w:rsidRPr="00DE12A3" w:rsidRDefault="000610BB" w:rsidP="00C917D6">
            <w:pPr>
              <w:pStyle w:val="Gvdemetni360"/>
              <w:shd w:val="clear" w:color="auto" w:fill="auto"/>
              <w:spacing w:before="120" w:after="120" w:line="240" w:lineRule="auto"/>
              <w:ind w:firstLine="0"/>
              <w:jc w:val="center"/>
              <w:rPr>
                <w:sz w:val="18"/>
                <w:szCs w:val="18"/>
              </w:rPr>
            </w:pPr>
            <w:r w:rsidRPr="00DE12A3">
              <w:rPr>
                <w:rStyle w:val="Gvdemetni3675pt"/>
                <w:color w:val="auto"/>
                <w:sz w:val="18"/>
                <w:szCs w:val="18"/>
              </w:rPr>
              <w:t>—</w:t>
            </w:r>
          </w:p>
        </w:tc>
        <w:tc>
          <w:tcPr>
            <w:tcW w:w="1003" w:type="dxa"/>
            <w:shd w:val="clear" w:color="auto" w:fill="auto"/>
          </w:tcPr>
          <w:p w14:paraId="6F0A2F9C" w14:textId="77777777" w:rsidR="000610BB" w:rsidRPr="00DE12A3" w:rsidRDefault="000610BB" w:rsidP="00C917D6">
            <w:pPr>
              <w:pStyle w:val="Gvdemetni360"/>
              <w:shd w:val="clear" w:color="auto" w:fill="auto"/>
              <w:spacing w:before="120" w:after="120" w:line="240" w:lineRule="auto"/>
              <w:ind w:firstLine="0"/>
              <w:jc w:val="center"/>
              <w:rPr>
                <w:sz w:val="18"/>
                <w:szCs w:val="18"/>
              </w:rPr>
            </w:pPr>
            <w:r w:rsidRPr="00DE12A3">
              <w:rPr>
                <w:rStyle w:val="Gvdemetni367pt0ptbolukbraklyor"/>
                <w:color w:val="auto"/>
                <w:sz w:val="18"/>
                <w:szCs w:val="18"/>
              </w:rPr>
              <w:t>10</w:t>
            </w:r>
          </w:p>
        </w:tc>
        <w:tc>
          <w:tcPr>
            <w:tcW w:w="1306" w:type="dxa"/>
            <w:shd w:val="clear" w:color="auto" w:fill="auto"/>
          </w:tcPr>
          <w:p w14:paraId="74D17705" w14:textId="77777777" w:rsidR="000610BB" w:rsidRPr="00DE12A3" w:rsidRDefault="000610BB" w:rsidP="00C917D6">
            <w:pPr>
              <w:pStyle w:val="Gvdemetni360"/>
              <w:shd w:val="clear" w:color="auto" w:fill="auto"/>
              <w:spacing w:before="120" w:after="120" w:line="240" w:lineRule="auto"/>
              <w:ind w:firstLine="0"/>
              <w:jc w:val="center"/>
              <w:rPr>
                <w:sz w:val="18"/>
                <w:szCs w:val="18"/>
              </w:rPr>
            </w:pPr>
            <w:r w:rsidRPr="00DE12A3">
              <w:rPr>
                <w:rStyle w:val="Gvdemetni367pt0ptbolukbraklyor"/>
                <w:color w:val="auto"/>
                <w:sz w:val="18"/>
                <w:szCs w:val="18"/>
              </w:rPr>
              <w:t>ASTM D 5453</w:t>
            </w:r>
          </w:p>
        </w:tc>
      </w:tr>
      <w:tr w:rsidR="00DE12A3" w:rsidRPr="00DE12A3" w14:paraId="75EE309C" w14:textId="77777777" w:rsidTr="000610BB">
        <w:trPr>
          <w:trHeight w:hRule="exact" w:val="432"/>
          <w:jc w:val="center"/>
        </w:trPr>
        <w:tc>
          <w:tcPr>
            <w:tcW w:w="3446" w:type="dxa"/>
            <w:shd w:val="clear" w:color="auto" w:fill="auto"/>
          </w:tcPr>
          <w:p w14:paraId="1C85271B" w14:textId="77777777" w:rsidR="000610BB" w:rsidRPr="00DE12A3" w:rsidRDefault="000610BB" w:rsidP="00C917D6">
            <w:pPr>
              <w:pStyle w:val="Gvdemetni0"/>
              <w:shd w:val="clear" w:color="auto" w:fill="auto"/>
              <w:spacing w:before="120" w:after="120" w:line="240" w:lineRule="auto"/>
              <w:ind w:left="40" w:firstLine="0"/>
              <w:jc w:val="left"/>
              <w:rPr>
                <w:sz w:val="18"/>
              </w:rPr>
            </w:pPr>
            <w:r w:rsidRPr="00DE12A3">
              <w:rPr>
                <w:rStyle w:val="Gvdemetni85pt0ptbolukbraklyor"/>
                <w:color w:val="auto"/>
                <w:sz w:val="18"/>
              </w:rPr>
              <w:t>Bakır korozyonu</w:t>
            </w:r>
          </w:p>
        </w:tc>
        <w:tc>
          <w:tcPr>
            <w:tcW w:w="1022" w:type="dxa"/>
            <w:shd w:val="clear" w:color="auto" w:fill="auto"/>
          </w:tcPr>
          <w:p w14:paraId="3B39F141" w14:textId="77777777" w:rsidR="000610BB" w:rsidRPr="00DE12A3" w:rsidRDefault="000610BB" w:rsidP="00C917D6">
            <w:pPr>
              <w:spacing w:before="120" w:after="120"/>
              <w:rPr>
                <w:rFonts w:cs="Times New Roman"/>
                <w:color w:val="auto"/>
                <w:sz w:val="18"/>
                <w:szCs w:val="18"/>
              </w:rPr>
            </w:pPr>
          </w:p>
        </w:tc>
        <w:tc>
          <w:tcPr>
            <w:tcW w:w="1003" w:type="dxa"/>
            <w:shd w:val="clear" w:color="auto" w:fill="auto"/>
          </w:tcPr>
          <w:p w14:paraId="38E9182A" w14:textId="77777777" w:rsidR="000610BB" w:rsidRPr="00DE12A3" w:rsidRDefault="000610BB" w:rsidP="00C917D6">
            <w:pPr>
              <w:pStyle w:val="Gvdemetni360"/>
              <w:shd w:val="clear" w:color="auto" w:fill="auto"/>
              <w:spacing w:before="120" w:after="120" w:line="240" w:lineRule="auto"/>
              <w:ind w:firstLine="0"/>
              <w:jc w:val="center"/>
              <w:rPr>
                <w:sz w:val="18"/>
                <w:szCs w:val="18"/>
              </w:rPr>
            </w:pPr>
            <w:r w:rsidRPr="00DE12A3">
              <w:rPr>
                <w:rStyle w:val="Gvdemetni3675pt"/>
                <w:color w:val="auto"/>
                <w:sz w:val="18"/>
                <w:szCs w:val="18"/>
              </w:rPr>
              <w:t>—</w:t>
            </w:r>
          </w:p>
        </w:tc>
        <w:tc>
          <w:tcPr>
            <w:tcW w:w="1003" w:type="dxa"/>
            <w:shd w:val="clear" w:color="auto" w:fill="auto"/>
          </w:tcPr>
          <w:p w14:paraId="6150DD05" w14:textId="77777777" w:rsidR="000610BB" w:rsidRPr="00DE12A3" w:rsidRDefault="000610BB" w:rsidP="00C917D6">
            <w:pPr>
              <w:pStyle w:val="Gvdemetni360"/>
              <w:shd w:val="clear" w:color="auto" w:fill="auto"/>
              <w:spacing w:before="120" w:after="120" w:line="240" w:lineRule="auto"/>
              <w:ind w:firstLine="0"/>
              <w:jc w:val="center"/>
              <w:rPr>
                <w:sz w:val="18"/>
                <w:szCs w:val="18"/>
              </w:rPr>
            </w:pPr>
            <w:r w:rsidRPr="00DE12A3">
              <w:rPr>
                <w:rStyle w:val="Gvdemetni367pt0ptbolukbraklyor"/>
                <w:color w:val="auto"/>
                <w:sz w:val="18"/>
                <w:szCs w:val="18"/>
              </w:rPr>
              <w:t>sınıf 1</w:t>
            </w:r>
          </w:p>
        </w:tc>
        <w:tc>
          <w:tcPr>
            <w:tcW w:w="1306" w:type="dxa"/>
            <w:shd w:val="clear" w:color="auto" w:fill="auto"/>
          </w:tcPr>
          <w:p w14:paraId="763BF9E1" w14:textId="77777777" w:rsidR="000610BB" w:rsidRPr="00DE12A3" w:rsidRDefault="000610BB" w:rsidP="00C917D6">
            <w:pPr>
              <w:pStyle w:val="Gvdemetni360"/>
              <w:shd w:val="clear" w:color="auto" w:fill="auto"/>
              <w:spacing w:before="120" w:after="120" w:line="240" w:lineRule="auto"/>
              <w:ind w:firstLine="0"/>
              <w:jc w:val="center"/>
              <w:rPr>
                <w:sz w:val="18"/>
                <w:szCs w:val="18"/>
              </w:rPr>
            </w:pPr>
            <w:r w:rsidRPr="00DE12A3">
              <w:rPr>
                <w:rStyle w:val="Gvdemetni367pt0ptbolukbraklyor"/>
                <w:color w:val="auto"/>
                <w:sz w:val="18"/>
                <w:szCs w:val="18"/>
              </w:rPr>
              <w:t>EN-ISO 2160</w:t>
            </w:r>
          </w:p>
        </w:tc>
      </w:tr>
      <w:tr w:rsidR="00DE12A3" w:rsidRPr="00DE12A3" w14:paraId="2F67DAB8" w14:textId="77777777" w:rsidTr="000610BB">
        <w:trPr>
          <w:trHeight w:hRule="exact" w:val="432"/>
          <w:jc w:val="center"/>
        </w:trPr>
        <w:tc>
          <w:tcPr>
            <w:tcW w:w="3446" w:type="dxa"/>
            <w:shd w:val="clear" w:color="auto" w:fill="auto"/>
          </w:tcPr>
          <w:p w14:paraId="4DCBC4E3" w14:textId="77777777" w:rsidR="000610BB" w:rsidRPr="00DE12A3" w:rsidRDefault="000610BB" w:rsidP="00C917D6">
            <w:pPr>
              <w:pStyle w:val="Gvdemetni0"/>
              <w:shd w:val="clear" w:color="auto" w:fill="auto"/>
              <w:spacing w:before="120" w:after="120" w:line="240" w:lineRule="auto"/>
              <w:ind w:left="40" w:firstLine="0"/>
              <w:jc w:val="left"/>
              <w:rPr>
                <w:sz w:val="18"/>
              </w:rPr>
            </w:pPr>
            <w:r w:rsidRPr="00DE12A3">
              <w:rPr>
                <w:rStyle w:val="Gvdemetni85pt0ptbolukbraklyor"/>
                <w:color w:val="auto"/>
                <w:sz w:val="18"/>
              </w:rPr>
              <w:t>Conradson karbon artığı (% 10 DR)</w:t>
            </w:r>
          </w:p>
        </w:tc>
        <w:tc>
          <w:tcPr>
            <w:tcW w:w="1022" w:type="dxa"/>
            <w:shd w:val="clear" w:color="auto" w:fill="auto"/>
          </w:tcPr>
          <w:p w14:paraId="1D4D07D1" w14:textId="77777777" w:rsidR="000610BB" w:rsidRPr="00DE12A3" w:rsidRDefault="000610BB" w:rsidP="00C917D6">
            <w:pPr>
              <w:pStyle w:val="Gvdemetni360"/>
              <w:shd w:val="clear" w:color="auto" w:fill="auto"/>
              <w:spacing w:before="120" w:after="120" w:line="240" w:lineRule="auto"/>
              <w:ind w:firstLine="0"/>
              <w:jc w:val="center"/>
              <w:rPr>
                <w:sz w:val="18"/>
                <w:szCs w:val="18"/>
              </w:rPr>
            </w:pPr>
            <w:r w:rsidRPr="00DE12A3">
              <w:rPr>
                <w:rStyle w:val="Gvdemetni367pt0ptbolukbraklyor"/>
                <w:color w:val="auto"/>
                <w:sz w:val="18"/>
                <w:szCs w:val="18"/>
              </w:rPr>
              <w:t>% m/m</w:t>
            </w:r>
          </w:p>
        </w:tc>
        <w:tc>
          <w:tcPr>
            <w:tcW w:w="1003" w:type="dxa"/>
            <w:shd w:val="clear" w:color="auto" w:fill="auto"/>
          </w:tcPr>
          <w:p w14:paraId="2F319E1D" w14:textId="77777777" w:rsidR="000610BB" w:rsidRPr="00DE12A3" w:rsidRDefault="000610BB" w:rsidP="00C917D6">
            <w:pPr>
              <w:pStyle w:val="Gvdemetni360"/>
              <w:shd w:val="clear" w:color="auto" w:fill="auto"/>
              <w:spacing w:before="120" w:after="120" w:line="240" w:lineRule="auto"/>
              <w:ind w:firstLine="0"/>
              <w:jc w:val="center"/>
              <w:rPr>
                <w:sz w:val="18"/>
                <w:szCs w:val="18"/>
              </w:rPr>
            </w:pPr>
            <w:r w:rsidRPr="00DE12A3">
              <w:rPr>
                <w:rStyle w:val="Gvdemetni3675pt"/>
                <w:color w:val="auto"/>
                <w:sz w:val="18"/>
                <w:szCs w:val="18"/>
              </w:rPr>
              <w:t>—</w:t>
            </w:r>
          </w:p>
        </w:tc>
        <w:tc>
          <w:tcPr>
            <w:tcW w:w="1003" w:type="dxa"/>
            <w:shd w:val="clear" w:color="auto" w:fill="auto"/>
          </w:tcPr>
          <w:p w14:paraId="1D8B996D" w14:textId="77777777" w:rsidR="000610BB" w:rsidRPr="00DE12A3" w:rsidRDefault="000610BB" w:rsidP="00C917D6">
            <w:pPr>
              <w:pStyle w:val="Gvdemetni360"/>
              <w:shd w:val="clear" w:color="auto" w:fill="auto"/>
              <w:spacing w:before="120" w:after="120" w:line="240" w:lineRule="auto"/>
              <w:ind w:firstLine="0"/>
              <w:jc w:val="center"/>
              <w:rPr>
                <w:sz w:val="18"/>
                <w:szCs w:val="18"/>
              </w:rPr>
            </w:pPr>
            <w:r w:rsidRPr="00DE12A3">
              <w:rPr>
                <w:rStyle w:val="Gvdemetni3675pt"/>
                <w:color w:val="auto"/>
                <w:sz w:val="18"/>
                <w:szCs w:val="18"/>
              </w:rPr>
              <w:t>0,2</w:t>
            </w:r>
          </w:p>
        </w:tc>
        <w:tc>
          <w:tcPr>
            <w:tcW w:w="1306" w:type="dxa"/>
            <w:shd w:val="clear" w:color="auto" w:fill="auto"/>
          </w:tcPr>
          <w:p w14:paraId="0F89AABD" w14:textId="77777777" w:rsidR="000610BB" w:rsidRPr="00DE12A3" w:rsidRDefault="000610BB" w:rsidP="00C917D6">
            <w:pPr>
              <w:pStyle w:val="Gvdemetni360"/>
              <w:shd w:val="clear" w:color="auto" w:fill="auto"/>
              <w:spacing w:before="120" w:after="120" w:line="240" w:lineRule="auto"/>
              <w:ind w:firstLine="0"/>
              <w:jc w:val="center"/>
              <w:rPr>
                <w:sz w:val="18"/>
                <w:szCs w:val="18"/>
              </w:rPr>
            </w:pPr>
            <w:r w:rsidRPr="00DE12A3">
              <w:rPr>
                <w:rStyle w:val="Gvdemetni367pt0ptbolukbraklyor"/>
                <w:color w:val="auto"/>
                <w:sz w:val="18"/>
                <w:szCs w:val="18"/>
              </w:rPr>
              <w:t>EN-ISO 10370</w:t>
            </w:r>
          </w:p>
        </w:tc>
      </w:tr>
      <w:tr w:rsidR="00DE12A3" w:rsidRPr="00DE12A3" w14:paraId="3D4DA244" w14:textId="77777777" w:rsidTr="000610BB">
        <w:trPr>
          <w:trHeight w:hRule="exact" w:val="427"/>
          <w:jc w:val="center"/>
        </w:trPr>
        <w:tc>
          <w:tcPr>
            <w:tcW w:w="3446" w:type="dxa"/>
            <w:shd w:val="clear" w:color="auto" w:fill="auto"/>
          </w:tcPr>
          <w:p w14:paraId="3E3E9850" w14:textId="77777777" w:rsidR="000610BB" w:rsidRPr="00DE12A3" w:rsidRDefault="000610BB" w:rsidP="00C917D6">
            <w:pPr>
              <w:pStyle w:val="Gvdemetni0"/>
              <w:shd w:val="clear" w:color="auto" w:fill="auto"/>
              <w:spacing w:before="120" w:after="120" w:line="240" w:lineRule="auto"/>
              <w:ind w:left="40" w:firstLine="0"/>
              <w:jc w:val="left"/>
              <w:rPr>
                <w:sz w:val="18"/>
              </w:rPr>
            </w:pPr>
            <w:r w:rsidRPr="00DE12A3">
              <w:rPr>
                <w:rStyle w:val="Gvdemetni85pt0ptbolukbraklyor"/>
                <w:color w:val="auto"/>
                <w:sz w:val="18"/>
              </w:rPr>
              <w:t>Kül içeriği</w:t>
            </w:r>
          </w:p>
        </w:tc>
        <w:tc>
          <w:tcPr>
            <w:tcW w:w="1022" w:type="dxa"/>
            <w:shd w:val="clear" w:color="auto" w:fill="auto"/>
          </w:tcPr>
          <w:p w14:paraId="02661C3E" w14:textId="77777777" w:rsidR="000610BB" w:rsidRPr="00DE12A3" w:rsidRDefault="000610BB" w:rsidP="00C917D6">
            <w:pPr>
              <w:pStyle w:val="Gvdemetni360"/>
              <w:shd w:val="clear" w:color="auto" w:fill="auto"/>
              <w:spacing w:before="120" w:after="120" w:line="240" w:lineRule="auto"/>
              <w:ind w:firstLine="0"/>
              <w:jc w:val="center"/>
              <w:rPr>
                <w:sz w:val="18"/>
                <w:szCs w:val="18"/>
              </w:rPr>
            </w:pPr>
            <w:r w:rsidRPr="00DE12A3">
              <w:rPr>
                <w:rStyle w:val="Gvdemetni367pt0ptbolukbraklyor"/>
                <w:color w:val="auto"/>
                <w:sz w:val="18"/>
                <w:szCs w:val="18"/>
              </w:rPr>
              <w:t>% m/m</w:t>
            </w:r>
          </w:p>
        </w:tc>
        <w:tc>
          <w:tcPr>
            <w:tcW w:w="1003" w:type="dxa"/>
            <w:shd w:val="clear" w:color="auto" w:fill="auto"/>
          </w:tcPr>
          <w:p w14:paraId="22562E92" w14:textId="77777777" w:rsidR="000610BB" w:rsidRPr="00DE12A3" w:rsidRDefault="000610BB" w:rsidP="00C917D6">
            <w:pPr>
              <w:pStyle w:val="Gvdemetni360"/>
              <w:shd w:val="clear" w:color="auto" w:fill="auto"/>
              <w:spacing w:before="120" w:after="120" w:line="240" w:lineRule="auto"/>
              <w:ind w:firstLine="0"/>
              <w:jc w:val="center"/>
              <w:rPr>
                <w:sz w:val="18"/>
                <w:szCs w:val="18"/>
              </w:rPr>
            </w:pPr>
            <w:r w:rsidRPr="00DE12A3">
              <w:rPr>
                <w:rStyle w:val="Gvdemetni3675pt"/>
                <w:color w:val="auto"/>
                <w:sz w:val="18"/>
                <w:szCs w:val="18"/>
              </w:rPr>
              <w:t>—</w:t>
            </w:r>
          </w:p>
        </w:tc>
        <w:tc>
          <w:tcPr>
            <w:tcW w:w="1003" w:type="dxa"/>
            <w:shd w:val="clear" w:color="auto" w:fill="auto"/>
          </w:tcPr>
          <w:p w14:paraId="5F456BC9" w14:textId="77777777" w:rsidR="000610BB" w:rsidRPr="00DE12A3" w:rsidRDefault="000610BB" w:rsidP="00C917D6">
            <w:pPr>
              <w:pStyle w:val="Gvdemetni360"/>
              <w:shd w:val="clear" w:color="auto" w:fill="auto"/>
              <w:spacing w:before="120" w:after="120" w:line="240" w:lineRule="auto"/>
              <w:ind w:firstLine="0"/>
              <w:jc w:val="center"/>
              <w:rPr>
                <w:sz w:val="18"/>
                <w:szCs w:val="18"/>
              </w:rPr>
            </w:pPr>
            <w:r w:rsidRPr="00DE12A3">
              <w:rPr>
                <w:rStyle w:val="Gvdemetni3675pt0ptbolukbraklyor"/>
                <w:color w:val="auto"/>
                <w:sz w:val="18"/>
                <w:szCs w:val="18"/>
              </w:rPr>
              <w:t>0,01</w:t>
            </w:r>
          </w:p>
        </w:tc>
        <w:tc>
          <w:tcPr>
            <w:tcW w:w="1306" w:type="dxa"/>
            <w:shd w:val="clear" w:color="auto" w:fill="auto"/>
          </w:tcPr>
          <w:p w14:paraId="0544D936" w14:textId="77777777" w:rsidR="000610BB" w:rsidRPr="00DE12A3" w:rsidRDefault="000610BB" w:rsidP="00C917D6">
            <w:pPr>
              <w:pStyle w:val="Gvdemetni360"/>
              <w:shd w:val="clear" w:color="auto" w:fill="auto"/>
              <w:spacing w:before="120" w:after="120" w:line="240" w:lineRule="auto"/>
              <w:ind w:firstLine="0"/>
              <w:jc w:val="center"/>
              <w:rPr>
                <w:sz w:val="18"/>
                <w:szCs w:val="18"/>
              </w:rPr>
            </w:pPr>
            <w:r w:rsidRPr="00DE12A3">
              <w:rPr>
                <w:rStyle w:val="Gvdemetni367pt0ptbolukbraklyor"/>
                <w:color w:val="auto"/>
                <w:sz w:val="18"/>
                <w:szCs w:val="18"/>
              </w:rPr>
              <w:t>EN-ISO 6245</w:t>
            </w:r>
          </w:p>
        </w:tc>
      </w:tr>
      <w:tr w:rsidR="00DE12A3" w:rsidRPr="00DE12A3" w14:paraId="784CEF24" w14:textId="77777777" w:rsidTr="000610BB">
        <w:trPr>
          <w:trHeight w:hRule="exact" w:val="432"/>
          <w:jc w:val="center"/>
        </w:trPr>
        <w:tc>
          <w:tcPr>
            <w:tcW w:w="3446" w:type="dxa"/>
            <w:shd w:val="clear" w:color="auto" w:fill="auto"/>
          </w:tcPr>
          <w:p w14:paraId="6656E6A3" w14:textId="77777777" w:rsidR="000610BB" w:rsidRPr="00DE12A3" w:rsidRDefault="000610BB" w:rsidP="00C917D6">
            <w:pPr>
              <w:pStyle w:val="Gvdemetni0"/>
              <w:shd w:val="clear" w:color="auto" w:fill="auto"/>
              <w:spacing w:before="120" w:after="120" w:line="240" w:lineRule="auto"/>
              <w:ind w:left="40" w:firstLine="0"/>
              <w:jc w:val="left"/>
              <w:rPr>
                <w:sz w:val="18"/>
              </w:rPr>
            </w:pPr>
            <w:r w:rsidRPr="00DE12A3">
              <w:rPr>
                <w:rStyle w:val="Gvdemetni85pt0ptbolukbraklyor"/>
                <w:color w:val="auto"/>
                <w:sz w:val="18"/>
              </w:rPr>
              <w:t>Toplam kirlenme</w:t>
            </w:r>
          </w:p>
        </w:tc>
        <w:tc>
          <w:tcPr>
            <w:tcW w:w="1022" w:type="dxa"/>
            <w:shd w:val="clear" w:color="auto" w:fill="auto"/>
          </w:tcPr>
          <w:p w14:paraId="2EDAF68C" w14:textId="77777777" w:rsidR="000610BB" w:rsidRPr="00DE12A3" w:rsidRDefault="000610BB" w:rsidP="00C917D6">
            <w:pPr>
              <w:pStyle w:val="Gvdemetni360"/>
              <w:shd w:val="clear" w:color="auto" w:fill="auto"/>
              <w:spacing w:before="120" w:after="120" w:line="240" w:lineRule="auto"/>
              <w:ind w:firstLine="0"/>
              <w:jc w:val="center"/>
              <w:rPr>
                <w:sz w:val="18"/>
                <w:szCs w:val="18"/>
              </w:rPr>
            </w:pPr>
            <w:r w:rsidRPr="00DE12A3">
              <w:rPr>
                <w:rStyle w:val="Gvdemetni367pt0ptbolukbraklyor"/>
                <w:color w:val="auto"/>
                <w:sz w:val="18"/>
                <w:szCs w:val="18"/>
              </w:rPr>
              <w:t>mg/kg</w:t>
            </w:r>
          </w:p>
        </w:tc>
        <w:tc>
          <w:tcPr>
            <w:tcW w:w="1003" w:type="dxa"/>
            <w:shd w:val="clear" w:color="auto" w:fill="auto"/>
          </w:tcPr>
          <w:p w14:paraId="213131F4" w14:textId="77777777" w:rsidR="000610BB" w:rsidRPr="00DE12A3" w:rsidRDefault="000610BB" w:rsidP="00C917D6">
            <w:pPr>
              <w:pStyle w:val="Gvdemetni360"/>
              <w:shd w:val="clear" w:color="auto" w:fill="auto"/>
              <w:spacing w:before="120" w:after="120" w:line="240" w:lineRule="auto"/>
              <w:ind w:firstLine="0"/>
              <w:jc w:val="center"/>
              <w:rPr>
                <w:sz w:val="18"/>
                <w:szCs w:val="18"/>
              </w:rPr>
            </w:pPr>
            <w:r w:rsidRPr="00DE12A3">
              <w:rPr>
                <w:rStyle w:val="Gvdemetni3675pt"/>
                <w:color w:val="auto"/>
                <w:sz w:val="18"/>
                <w:szCs w:val="18"/>
              </w:rPr>
              <w:t>—</w:t>
            </w:r>
          </w:p>
        </w:tc>
        <w:tc>
          <w:tcPr>
            <w:tcW w:w="1003" w:type="dxa"/>
            <w:shd w:val="clear" w:color="auto" w:fill="auto"/>
          </w:tcPr>
          <w:p w14:paraId="77560FFD" w14:textId="77777777" w:rsidR="000610BB" w:rsidRPr="00DE12A3" w:rsidRDefault="000610BB" w:rsidP="00C917D6">
            <w:pPr>
              <w:pStyle w:val="Gvdemetni360"/>
              <w:shd w:val="clear" w:color="auto" w:fill="auto"/>
              <w:spacing w:before="120" w:after="120" w:line="240" w:lineRule="auto"/>
              <w:ind w:firstLine="0"/>
              <w:jc w:val="center"/>
              <w:rPr>
                <w:sz w:val="18"/>
                <w:szCs w:val="18"/>
              </w:rPr>
            </w:pPr>
            <w:r w:rsidRPr="00DE12A3">
              <w:rPr>
                <w:rStyle w:val="Gvdemetni367pt0ptbolukbraklyor"/>
                <w:color w:val="auto"/>
                <w:sz w:val="18"/>
                <w:szCs w:val="18"/>
              </w:rPr>
              <w:t>24</w:t>
            </w:r>
          </w:p>
        </w:tc>
        <w:tc>
          <w:tcPr>
            <w:tcW w:w="1306" w:type="dxa"/>
            <w:shd w:val="clear" w:color="auto" w:fill="auto"/>
          </w:tcPr>
          <w:p w14:paraId="3BB05F83" w14:textId="77777777" w:rsidR="000610BB" w:rsidRPr="00DE12A3" w:rsidRDefault="000610BB" w:rsidP="00C917D6">
            <w:pPr>
              <w:pStyle w:val="Gvdemetni360"/>
              <w:shd w:val="clear" w:color="auto" w:fill="auto"/>
              <w:spacing w:before="120" w:after="120" w:line="240" w:lineRule="auto"/>
              <w:ind w:left="100" w:firstLine="0"/>
              <w:jc w:val="left"/>
              <w:rPr>
                <w:sz w:val="18"/>
                <w:szCs w:val="18"/>
              </w:rPr>
            </w:pPr>
            <w:r w:rsidRPr="00DE12A3">
              <w:rPr>
                <w:rStyle w:val="Gvdemetni367pt0ptbolukbraklyor"/>
                <w:color w:val="auto"/>
                <w:sz w:val="18"/>
                <w:szCs w:val="18"/>
              </w:rPr>
              <w:t>EN 12662</w:t>
            </w:r>
          </w:p>
        </w:tc>
      </w:tr>
      <w:tr w:rsidR="00DE12A3" w:rsidRPr="00DE12A3" w14:paraId="49EFD037" w14:textId="77777777" w:rsidTr="000610BB">
        <w:trPr>
          <w:trHeight w:hRule="exact" w:val="432"/>
          <w:jc w:val="center"/>
        </w:trPr>
        <w:tc>
          <w:tcPr>
            <w:tcW w:w="3446" w:type="dxa"/>
            <w:shd w:val="clear" w:color="auto" w:fill="auto"/>
          </w:tcPr>
          <w:p w14:paraId="3A7F2E04" w14:textId="77777777" w:rsidR="000610BB" w:rsidRPr="00DE12A3" w:rsidRDefault="000610BB" w:rsidP="00C917D6">
            <w:pPr>
              <w:pStyle w:val="Gvdemetni0"/>
              <w:shd w:val="clear" w:color="auto" w:fill="auto"/>
              <w:spacing w:before="120" w:after="120" w:line="240" w:lineRule="auto"/>
              <w:ind w:left="40" w:firstLine="0"/>
              <w:jc w:val="left"/>
              <w:rPr>
                <w:sz w:val="18"/>
              </w:rPr>
            </w:pPr>
            <w:r w:rsidRPr="00DE12A3">
              <w:rPr>
                <w:rStyle w:val="Gvdemetni85pt0ptbolukbraklyor"/>
                <w:color w:val="auto"/>
                <w:sz w:val="18"/>
              </w:rPr>
              <w:t>Su içeriği</w:t>
            </w:r>
          </w:p>
        </w:tc>
        <w:tc>
          <w:tcPr>
            <w:tcW w:w="1022" w:type="dxa"/>
            <w:shd w:val="clear" w:color="auto" w:fill="auto"/>
          </w:tcPr>
          <w:p w14:paraId="3C1525B2" w14:textId="77777777" w:rsidR="000610BB" w:rsidRPr="00DE12A3" w:rsidRDefault="000610BB" w:rsidP="00C917D6">
            <w:pPr>
              <w:pStyle w:val="Gvdemetni360"/>
              <w:shd w:val="clear" w:color="auto" w:fill="auto"/>
              <w:spacing w:before="120" w:after="120" w:line="240" w:lineRule="auto"/>
              <w:ind w:firstLine="0"/>
              <w:jc w:val="center"/>
              <w:rPr>
                <w:sz w:val="18"/>
                <w:szCs w:val="18"/>
              </w:rPr>
            </w:pPr>
            <w:r w:rsidRPr="00DE12A3">
              <w:rPr>
                <w:rStyle w:val="Gvdemetni367pt0ptbolukbraklyor"/>
                <w:color w:val="auto"/>
                <w:sz w:val="18"/>
                <w:szCs w:val="18"/>
              </w:rPr>
              <w:t>% m/m</w:t>
            </w:r>
          </w:p>
        </w:tc>
        <w:tc>
          <w:tcPr>
            <w:tcW w:w="1003" w:type="dxa"/>
            <w:shd w:val="clear" w:color="auto" w:fill="auto"/>
          </w:tcPr>
          <w:p w14:paraId="1253FA21" w14:textId="77777777" w:rsidR="000610BB" w:rsidRPr="00DE12A3" w:rsidRDefault="000610BB" w:rsidP="00C917D6">
            <w:pPr>
              <w:pStyle w:val="Gvdemetni360"/>
              <w:shd w:val="clear" w:color="auto" w:fill="auto"/>
              <w:spacing w:before="120" w:after="120" w:line="240" w:lineRule="auto"/>
              <w:ind w:firstLine="0"/>
              <w:jc w:val="center"/>
              <w:rPr>
                <w:sz w:val="18"/>
                <w:szCs w:val="18"/>
              </w:rPr>
            </w:pPr>
            <w:r w:rsidRPr="00DE12A3">
              <w:rPr>
                <w:rStyle w:val="Gvdemetni3675pt"/>
                <w:color w:val="auto"/>
                <w:sz w:val="18"/>
                <w:szCs w:val="18"/>
              </w:rPr>
              <w:t>—</w:t>
            </w:r>
          </w:p>
        </w:tc>
        <w:tc>
          <w:tcPr>
            <w:tcW w:w="1003" w:type="dxa"/>
            <w:shd w:val="clear" w:color="auto" w:fill="auto"/>
          </w:tcPr>
          <w:p w14:paraId="3AAF7D02" w14:textId="77777777" w:rsidR="000610BB" w:rsidRPr="00DE12A3" w:rsidRDefault="000610BB" w:rsidP="00C917D6">
            <w:pPr>
              <w:pStyle w:val="Gvdemetni360"/>
              <w:shd w:val="clear" w:color="auto" w:fill="auto"/>
              <w:spacing w:before="120" w:after="120" w:line="240" w:lineRule="auto"/>
              <w:ind w:firstLine="0"/>
              <w:jc w:val="center"/>
              <w:rPr>
                <w:sz w:val="18"/>
                <w:szCs w:val="18"/>
              </w:rPr>
            </w:pPr>
            <w:r w:rsidRPr="00DE12A3">
              <w:rPr>
                <w:rStyle w:val="Gvdemetni3675pt0ptbolukbraklyor"/>
                <w:color w:val="auto"/>
                <w:sz w:val="18"/>
                <w:szCs w:val="18"/>
              </w:rPr>
              <w:t>0,02</w:t>
            </w:r>
          </w:p>
        </w:tc>
        <w:tc>
          <w:tcPr>
            <w:tcW w:w="1306" w:type="dxa"/>
            <w:shd w:val="clear" w:color="auto" w:fill="auto"/>
          </w:tcPr>
          <w:p w14:paraId="795B9854" w14:textId="77777777" w:rsidR="000610BB" w:rsidRPr="00DE12A3" w:rsidRDefault="000610BB" w:rsidP="00C917D6">
            <w:pPr>
              <w:pStyle w:val="Gvdemetni360"/>
              <w:shd w:val="clear" w:color="auto" w:fill="auto"/>
              <w:spacing w:before="120" w:after="120" w:line="240" w:lineRule="auto"/>
              <w:ind w:firstLine="0"/>
              <w:jc w:val="center"/>
              <w:rPr>
                <w:sz w:val="18"/>
                <w:szCs w:val="18"/>
              </w:rPr>
            </w:pPr>
            <w:r w:rsidRPr="00DE12A3">
              <w:rPr>
                <w:rStyle w:val="Gvdemetni367pt0ptbolukbraklyor"/>
                <w:color w:val="auto"/>
                <w:sz w:val="18"/>
                <w:szCs w:val="18"/>
              </w:rPr>
              <w:t>EN-ISO 12937</w:t>
            </w:r>
          </w:p>
        </w:tc>
      </w:tr>
      <w:tr w:rsidR="00DE12A3" w:rsidRPr="00DE12A3" w14:paraId="27D0FE49" w14:textId="77777777" w:rsidTr="000610BB">
        <w:trPr>
          <w:trHeight w:hRule="exact" w:val="432"/>
          <w:jc w:val="center"/>
        </w:trPr>
        <w:tc>
          <w:tcPr>
            <w:tcW w:w="3446" w:type="dxa"/>
            <w:shd w:val="clear" w:color="auto" w:fill="auto"/>
          </w:tcPr>
          <w:p w14:paraId="1013B802" w14:textId="77777777" w:rsidR="000610BB" w:rsidRPr="00DE12A3" w:rsidRDefault="000610BB" w:rsidP="00C917D6">
            <w:pPr>
              <w:pStyle w:val="Gvdemetni0"/>
              <w:shd w:val="clear" w:color="auto" w:fill="auto"/>
              <w:spacing w:before="120" w:after="120" w:line="240" w:lineRule="auto"/>
              <w:ind w:left="40" w:firstLine="0"/>
              <w:jc w:val="left"/>
              <w:rPr>
                <w:sz w:val="18"/>
              </w:rPr>
            </w:pPr>
            <w:r w:rsidRPr="00DE12A3">
              <w:rPr>
                <w:rStyle w:val="Gvdemetni85pt0ptbolukbraklyor"/>
                <w:color w:val="auto"/>
                <w:sz w:val="18"/>
              </w:rPr>
              <w:t>Nötralizasyon (güçlü asit) sayısı</w:t>
            </w:r>
          </w:p>
        </w:tc>
        <w:tc>
          <w:tcPr>
            <w:tcW w:w="1022" w:type="dxa"/>
            <w:shd w:val="clear" w:color="auto" w:fill="auto"/>
          </w:tcPr>
          <w:p w14:paraId="5F86D906" w14:textId="77777777" w:rsidR="000610BB" w:rsidRPr="00DE12A3" w:rsidRDefault="000610BB" w:rsidP="00C917D6">
            <w:pPr>
              <w:pStyle w:val="Gvdemetni360"/>
              <w:shd w:val="clear" w:color="auto" w:fill="auto"/>
              <w:spacing w:before="120" w:after="120" w:line="240" w:lineRule="auto"/>
              <w:ind w:firstLine="0"/>
              <w:jc w:val="center"/>
              <w:rPr>
                <w:sz w:val="18"/>
                <w:szCs w:val="18"/>
              </w:rPr>
            </w:pPr>
            <w:r w:rsidRPr="00DE12A3">
              <w:rPr>
                <w:rStyle w:val="Gvdemetni367pt0ptbolukbraklyor"/>
                <w:color w:val="auto"/>
                <w:sz w:val="18"/>
                <w:szCs w:val="18"/>
              </w:rPr>
              <w:t>mg KOH/g</w:t>
            </w:r>
          </w:p>
        </w:tc>
        <w:tc>
          <w:tcPr>
            <w:tcW w:w="1003" w:type="dxa"/>
            <w:shd w:val="clear" w:color="auto" w:fill="auto"/>
          </w:tcPr>
          <w:p w14:paraId="5340B324" w14:textId="77777777" w:rsidR="000610BB" w:rsidRPr="00DE12A3" w:rsidRDefault="000610BB" w:rsidP="00C917D6">
            <w:pPr>
              <w:pStyle w:val="Gvdemetni360"/>
              <w:shd w:val="clear" w:color="auto" w:fill="auto"/>
              <w:spacing w:before="120" w:after="120" w:line="240" w:lineRule="auto"/>
              <w:ind w:firstLine="0"/>
              <w:jc w:val="center"/>
              <w:rPr>
                <w:sz w:val="18"/>
                <w:szCs w:val="18"/>
              </w:rPr>
            </w:pPr>
            <w:r w:rsidRPr="00DE12A3">
              <w:rPr>
                <w:rStyle w:val="Gvdemetni3675pt"/>
                <w:color w:val="auto"/>
                <w:sz w:val="18"/>
                <w:szCs w:val="18"/>
              </w:rPr>
              <w:t>—</w:t>
            </w:r>
          </w:p>
        </w:tc>
        <w:tc>
          <w:tcPr>
            <w:tcW w:w="1003" w:type="dxa"/>
            <w:shd w:val="clear" w:color="auto" w:fill="auto"/>
          </w:tcPr>
          <w:p w14:paraId="74253E7F" w14:textId="77777777" w:rsidR="000610BB" w:rsidRPr="00DE12A3" w:rsidRDefault="000610BB" w:rsidP="00C917D6">
            <w:pPr>
              <w:pStyle w:val="Gvdemetni360"/>
              <w:shd w:val="clear" w:color="auto" w:fill="auto"/>
              <w:spacing w:before="120" w:after="120" w:line="240" w:lineRule="auto"/>
              <w:ind w:firstLine="0"/>
              <w:jc w:val="center"/>
              <w:rPr>
                <w:sz w:val="18"/>
                <w:szCs w:val="18"/>
              </w:rPr>
            </w:pPr>
            <w:r w:rsidRPr="00DE12A3">
              <w:rPr>
                <w:rStyle w:val="Gvdemetni367pt0ptbolukbraklyor"/>
                <w:color w:val="auto"/>
                <w:sz w:val="18"/>
                <w:szCs w:val="18"/>
              </w:rPr>
              <w:t>0,10</w:t>
            </w:r>
          </w:p>
        </w:tc>
        <w:tc>
          <w:tcPr>
            <w:tcW w:w="1306" w:type="dxa"/>
            <w:shd w:val="clear" w:color="auto" w:fill="auto"/>
          </w:tcPr>
          <w:p w14:paraId="53DB86D8" w14:textId="77777777" w:rsidR="000610BB" w:rsidRPr="00DE12A3" w:rsidRDefault="000610BB" w:rsidP="00C917D6">
            <w:pPr>
              <w:pStyle w:val="Gvdemetni360"/>
              <w:shd w:val="clear" w:color="auto" w:fill="auto"/>
              <w:spacing w:before="120" w:after="120" w:line="240" w:lineRule="auto"/>
              <w:ind w:firstLine="0"/>
              <w:jc w:val="center"/>
              <w:rPr>
                <w:sz w:val="18"/>
                <w:szCs w:val="18"/>
              </w:rPr>
            </w:pPr>
            <w:r w:rsidRPr="00DE12A3">
              <w:rPr>
                <w:rStyle w:val="Gvdemetni367pt0ptbolukbraklyor"/>
                <w:color w:val="auto"/>
                <w:sz w:val="18"/>
                <w:szCs w:val="18"/>
              </w:rPr>
              <w:t>ASTM D 974</w:t>
            </w:r>
          </w:p>
        </w:tc>
      </w:tr>
      <w:tr w:rsidR="00DE12A3" w:rsidRPr="00DE12A3" w14:paraId="3F57C742" w14:textId="77777777" w:rsidTr="000610BB">
        <w:trPr>
          <w:trHeight w:hRule="exact" w:val="427"/>
          <w:jc w:val="center"/>
        </w:trPr>
        <w:tc>
          <w:tcPr>
            <w:tcW w:w="3446" w:type="dxa"/>
            <w:shd w:val="clear" w:color="auto" w:fill="auto"/>
          </w:tcPr>
          <w:p w14:paraId="17B80CFD" w14:textId="77777777" w:rsidR="000610BB" w:rsidRPr="00DE12A3" w:rsidRDefault="000610BB" w:rsidP="00C917D6">
            <w:pPr>
              <w:pStyle w:val="Gvdemetni0"/>
              <w:shd w:val="clear" w:color="auto" w:fill="auto"/>
              <w:spacing w:before="120" w:after="120" w:line="240" w:lineRule="auto"/>
              <w:ind w:left="40" w:firstLine="0"/>
              <w:jc w:val="left"/>
              <w:rPr>
                <w:sz w:val="18"/>
              </w:rPr>
            </w:pPr>
            <w:r w:rsidRPr="00DE12A3">
              <w:rPr>
                <w:rStyle w:val="Gvdemetni85pt0ptbolukbraklyor"/>
                <w:color w:val="auto"/>
                <w:sz w:val="18"/>
              </w:rPr>
              <w:t xml:space="preserve">Oksidasyon kararlılığı </w:t>
            </w:r>
            <w:r w:rsidRPr="00DE12A3">
              <w:rPr>
                <w:rStyle w:val="Gvdemetni85pt0ptbolukbraklyor"/>
                <w:color w:val="auto"/>
                <w:sz w:val="18"/>
                <w:vertAlign w:val="superscript"/>
              </w:rPr>
              <w:t>(3)</w:t>
            </w:r>
          </w:p>
        </w:tc>
        <w:tc>
          <w:tcPr>
            <w:tcW w:w="1022" w:type="dxa"/>
            <w:shd w:val="clear" w:color="auto" w:fill="auto"/>
          </w:tcPr>
          <w:p w14:paraId="0AD710EB" w14:textId="77777777" w:rsidR="000610BB" w:rsidRPr="00DE12A3" w:rsidRDefault="000610BB" w:rsidP="00C917D6">
            <w:pPr>
              <w:pStyle w:val="Gvdemetni360"/>
              <w:shd w:val="clear" w:color="auto" w:fill="auto"/>
              <w:spacing w:before="120" w:after="120" w:line="240" w:lineRule="auto"/>
              <w:ind w:firstLine="0"/>
              <w:jc w:val="center"/>
              <w:rPr>
                <w:sz w:val="18"/>
                <w:szCs w:val="18"/>
              </w:rPr>
            </w:pPr>
            <w:r w:rsidRPr="00DE12A3">
              <w:rPr>
                <w:rStyle w:val="Gvdemetni367pt0ptbolukbraklyor"/>
                <w:color w:val="auto"/>
                <w:sz w:val="18"/>
                <w:szCs w:val="18"/>
              </w:rPr>
              <w:t>mg/ml</w:t>
            </w:r>
          </w:p>
        </w:tc>
        <w:tc>
          <w:tcPr>
            <w:tcW w:w="1003" w:type="dxa"/>
            <w:shd w:val="clear" w:color="auto" w:fill="auto"/>
          </w:tcPr>
          <w:p w14:paraId="77B0B406" w14:textId="77777777" w:rsidR="000610BB" w:rsidRPr="00DE12A3" w:rsidRDefault="000610BB" w:rsidP="00C917D6">
            <w:pPr>
              <w:pStyle w:val="Gvdemetni360"/>
              <w:shd w:val="clear" w:color="auto" w:fill="auto"/>
              <w:spacing w:before="120" w:after="120" w:line="240" w:lineRule="auto"/>
              <w:ind w:firstLine="0"/>
              <w:jc w:val="center"/>
              <w:rPr>
                <w:sz w:val="18"/>
                <w:szCs w:val="18"/>
              </w:rPr>
            </w:pPr>
            <w:r w:rsidRPr="00DE12A3">
              <w:rPr>
                <w:rStyle w:val="Gvdemetni3675pt"/>
                <w:color w:val="auto"/>
                <w:sz w:val="18"/>
                <w:szCs w:val="18"/>
              </w:rPr>
              <w:t>—</w:t>
            </w:r>
          </w:p>
        </w:tc>
        <w:tc>
          <w:tcPr>
            <w:tcW w:w="1003" w:type="dxa"/>
            <w:shd w:val="clear" w:color="auto" w:fill="auto"/>
          </w:tcPr>
          <w:p w14:paraId="50F75446" w14:textId="77777777" w:rsidR="000610BB" w:rsidRPr="00DE12A3" w:rsidRDefault="000610BB" w:rsidP="00C917D6">
            <w:pPr>
              <w:pStyle w:val="Gvdemetni360"/>
              <w:shd w:val="clear" w:color="auto" w:fill="auto"/>
              <w:spacing w:before="120" w:after="120" w:line="240" w:lineRule="auto"/>
              <w:ind w:firstLine="0"/>
              <w:jc w:val="center"/>
              <w:rPr>
                <w:sz w:val="18"/>
                <w:szCs w:val="18"/>
              </w:rPr>
            </w:pPr>
            <w:r w:rsidRPr="00DE12A3">
              <w:rPr>
                <w:rStyle w:val="Gvdemetni367pt0ptbolukbraklyor"/>
                <w:color w:val="auto"/>
                <w:sz w:val="18"/>
                <w:szCs w:val="18"/>
              </w:rPr>
              <w:t>0,025</w:t>
            </w:r>
          </w:p>
        </w:tc>
        <w:tc>
          <w:tcPr>
            <w:tcW w:w="1306" w:type="dxa"/>
            <w:shd w:val="clear" w:color="auto" w:fill="auto"/>
          </w:tcPr>
          <w:p w14:paraId="3B68D247" w14:textId="77777777" w:rsidR="000610BB" w:rsidRPr="00DE12A3" w:rsidRDefault="000610BB" w:rsidP="00C917D6">
            <w:pPr>
              <w:pStyle w:val="Gvdemetni360"/>
              <w:shd w:val="clear" w:color="auto" w:fill="auto"/>
              <w:spacing w:before="120" w:after="120" w:line="240" w:lineRule="auto"/>
              <w:ind w:firstLine="0"/>
              <w:jc w:val="center"/>
              <w:rPr>
                <w:sz w:val="18"/>
                <w:szCs w:val="18"/>
              </w:rPr>
            </w:pPr>
            <w:r w:rsidRPr="00DE12A3">
              <w:rPr>
                <w:rStyle w:val="Gvdemetni367pt0ptbolukbraklyor"/>
                <w:color w:val="auto"/>
                <w:sz w:val="18"/>
                <w:szCs w:val="18"/>
              </w:rPr>
              <w:t>EN-ISO 12205</w:t>
            </w:r>
          </w:p>
        </w:tc>
      </w:tr>
      <w:tr w:rsidR="00DE12A3" w:rsidRPr="00DE12A3" w14:paraId="155B665F" w14:textId="77777777" w:rsidTr="000610BB">
        <w:trPr>
          <w:trHeight w:hRule="exact" w:val="432"/>
          <w:jc w:val="center"/>
        </w:trPr>
        <w:tc>
          <w:tcPr>
            <w:tcW w:w="3446" w:type="dxa"/>
            <w:shd w:val="clear" w:color="auto" w:fill="auto"/>
          </w:tcPr>
          <w:p w14:paraId="2584042C" w14:textId="77777777" w:rsidR="000610BB" w:rsidRPr="00DE12A3" w:rsidRDefault="000610BB" w:rsidP="00C917D6">
            <w:pPr>
              <w:pStyle w:val="Gvdemetni0"/>
              <w:shd w:val="clear" w:color="auto" w:fill="auto"/>
              <w:spacing w:before="120" w:after="120" w:line="240" w:lineRule="auto"/>
              <w:ind w:left="40" w:firstLine="0"/>
              <w:jc w:val="left"/>
              <w:rPr>
                <w:sz w:val="18"/>
              </w:rPr>
            </w:pPr>
            <w:r w:rsidRPr="00DE12A3">
              <w:rPr>
                <w:rStyle w:val="Gvdemetni85pt0ptbolukbraklyor"/>
                <w:color w:val="auto"/>
                <w:sz w:val="18"/>
              </w:rPr>
              <w:t>Yağlama (60 °C'de HFRR aşınma izi çapı)</w:t>
            </w:r>
          </w:p>
        </w:tc>
        <w:tc>
          <w:tcPr>
            <w:tcW w:w="1022" w:type="dxa"/>
            <w:shd w:val="clear" w:color="auto" w:fill="auto"/>
          </w:tcPr>
          <w:p w14:paraId="54A0D39D" w14:textId="77777777" w:rsidR="000610BB" w:rsidRPr="00DE12A3" w:rsidRDefault="000610BB" w:rsidP="00C917D6">
            <w:pPr>
              <w:pStyle w:val="Gvdemetni360"/>
              <w:shd w:val="clear" w:color="auto" w:fill="auto"/>
              <w:spacing w:before="120" w:after="120" w:line="240" w:lineRule="auto"/>
              <w:ind w:firstLine="0"/>
              <w:jc w:val="center"/>
              <w:rPr>
                <w:sz w:val="18"/>
                <w:szCs w:val="16"/>
              </w:rPr>
            </w:pPr>
            <w:r w:rsidRPr="00DE12A3">
              <w:rPr>
                <w:sz w:val="18"/>
                <w:szCs w:val="16"/>
              </w:rPr>
              <w:t>μ</w:t>
            </w:r>
            <w:r w:rsidRPr="00DE12A3">
              <w:rPr>
                <w:rStyle w:val="Gvdemetni3675ptKaln0ptbolukbraklyor"/>
                <w:b w:val="0"/>
                <w:color w:val="auto"/>
                <w:sz w:val="18"/>
                <w:szCs w:val="16"/>
              </w:rPr>
              <w:t>m</w:t>
            </w:r>
          </w:p>
        </w:tc>
        <w:tc>
          <w:tcPr>
            <w:tcW w:w="1003" w:type="dxa"/>
            <w:shd w:val="clear" w:color="auto" w:fill="auto"/>
          </w:tcPr>
          <w:p w14:paraId="38E320C0" w14:textId="77777777" w:rsidR="000610BB" w:rsidRPr="00DE12A3" w:rsidRDefault="000610BB" w:rsidP="00C917D6">
            <w:pPr>
              <w:pStyle w:val="Gvdemetni360"/>
              <w:shd w:val="clear" w:color="auto" w:fill="auto"/>
              <w:spacing w:before="120" w:after="120" w:line="240" w:lineRule="auto"/>
              <w:ind w:firstLine="0"/>
              <w:jc w:val="center"/>
              <w:rPr>
                <w:sz w:val="18"/>
                <w:szCs w:val="18"/>
              </w:rPr>
            </w:pPr>
            <w:r w:rsidRPr="00DE12A3">
              <w:rPr>
                <w:rStyle w:val="Gvdemetni3675pt"/>
                <w:color w:val="auto"/>
                <w:sz w:val="18"/>
                <w:szCs w:val="18"/>
              </w:rPr>
              <w:t>—</w:t>
            </w:r>
          </w:p>
        </w:tc>
        <w:tc>
          <w:tcPr>
            <w:tcW w:w="1003" w:type="dxa"/>
            <w:shd w:val="clear" w:color="auto" w:fill="auto"/>
          </w:tcPr>
          <w:p w14:paraId="7C6C431B" w14:textId="77777777" w:rsidR="000610BB" w:rsidRPr="00DE12A3" w:rsidRDefault="000610BB" w:rsidP="00C917D6">
            <w:pPr>
              <w:pStyle w:val="Gvdemetni360"/>
              <w:shd w:val="clear" w:color="auto" w:fill="auto"/>
              <w:spacing w:before="120" w:after="120" w:line="240" w:lineRule="auto"/>
              <w:ind w:firstLine="0"/>
              <w:jc w:val="center"/>
              <w:rPr>
                <w:sz w:val="18"/>
                <w:szCs w:val="18"/>
              </w:rPr>
            </w:pPr>
            <w:r w:rsidRPr="00DE12A3">
              <w:rPr>
                <w:rStyle w:val="Gvdemetni367pt0ptbolukbraklyor"/>
                <w:color w:val="auto"/>
                <w:sz w:val="18"/>
                <w:szCs w:val="18"/>
              </w:rPr>
              <w:t>400</w:t>
            </w:r>
          </w:p>
        </w:tc>
        <w:tc>
          <w:tcPr>
            <w:tcW w:w="1306" w:type="dxa"/>
            <w:shd w:val="clear" w:color="auto" w:fill="auto"/>
          </w:tcPr>
          <w:p w14:paraId="60576F73" w14:textId="77777777" w:rsidR="000610BB" w:rsidRPr="00DE12A3" w:rsidRDefault="000610BB" w:rsidP="00C917D6">
            <w:pPr>
              <w:pStyle w:val="Gvdemetni360"/>
              <w:shd w:val="clear" w:color="auto" w:fill="auto"/>
              <w:spacing w:before="120" w:after="120" w:line="240" w:lineRule="auto"/>
              <w:ind w:firstLine="0"/>
              <w:jc w:val="center"/>
              <w:rPr>
                <w:sz w:val="18"/>
                <w:szCs w:val="18"/>
              </w:rPr>
            </w:pPr>
            <w:r w:rsidRPr="00DE12A3">
              <w:rPr>
                <w:rStyle w:val="Gvdemetni367pt0ptbolukbraklyor"/>
                <w:color w:val="auto"/>
                <w:sz w:val="18"/>
                <w:szCs w:val="18"/>
              </w:rPr>
              <w:t>CEC F-06-A-96</w:t>
            </w:r>
          </w:p>
        </w:tc>
      </w:tr>
      <w:tr w:rsidR="00DE12A3" w:rsidRPr="00DE12A3" w14:paraId="5FB46B3E" w14:textId="77777777" w:rsidTr="000610BB">
        <w:trPr>
          <w:trHeight w:hRule="exact" w:val="432"/>
          <w:jc w:val="center"/>
        </w:trPr>
        <w:tc>
          <w:tcPr>
            <w:tcW w:w="3446" w:type="dxa"/>
            <w:shd w:val="clear" w:color="auto" w:fill="auto"/>
          </w:tcPr>
          <w:p w14:paraId="6E730AF3" w14:textId="77777777" w:rsidR="000610BB" w:rsidRPr="00DE12A3" w:rsidRDefault="000610BB" w:rsidP="00C917D6">
            <w:pPr>
              <w:pStyle w:val="Gvdemetni0"/>
              <w:shd w:val="clear" w:color="auto" w:fill="auto"/>
              <w:spacing w:before="120" w:after="120" w:line="240" w:lineRule="auto"/>
              <w:ind w:left="40" w:firstLine="0"/>
              <w:jc w:val="left"/>
              <w:rPr>
                <w:sz w:val="18"/>
              </w:rPr>
            </w:pPr>
            <w:r w:rsidRPr="00DE12A3">
              <w:rPr>
                <w:rStyle w:val="Gvdemetni85pt0ptbolukbraklyor"/>
                <w:color w:val="auto"/>
                <w:sz w:val="18"/>
              </w:rPr>
              <w:t xml:space="preserve">110 °C'de oksidasyon kararlılığı </w:t>
            </w:r>
            <w:r w:rsidRPr="00DE12A3">
              <w:rPr>
                <w:rStyle w:val="Gvdemetni85pt0ptbolukbraklyor"/>
                <w:color w:val="auto"/>
                <w:sz w:val="18"/>
                <w:vertAlign w:val="superscript"/>
              </w:rPr>
              <w:t>(3)</w:t>
            </w:r>
          </w:p>
        </w:tc>
        <w:tc>
          <w:tcPr>
            <w:tcW w:w="1022" w:type="dxa"/>
            <w:shd w:val="clear" w:color="auto" w:fill="auto"/>
          </w:tcPr>
          <w:p w14:paraId="4E77EE35" w14:textId="77777777" w:rsidR="000610BB" w:rsidRPr="00DE12A3" w:rsidRDefault="000610BB" w:rsidP="00C917D6">
            <w:pPr>
              <w:pStyle w:val="Gvdemetni360"/>
              <w:shd w:val="clear" w:color="auto" w:fill="auto"/>
              <w:spacing w:before="120" w:after="120" w:line="240" w:lineRule="auto"/>
              <w:ind w:firstLine="0"/>
              <w:jc w:val="center"/>
              <w:rPr>
                <w:sz w:val="18"/>
                <w:szCs w:val="18"/>
              </w:rPr>
            </w:pPr>
            <w:r w:rsidRPr="00DE12A3">
              <w:rPr>
                <w:rStyle w:val="Gvdemetni367pt0ptbolukbraklyor"/>
                <w:color w:val="auto"/>
                <w:sz w:val="18"/>
                <w:szCs w:val="18"/>
              </w:rPr>
              <w:t>H</w:t>
            </w:r>
          </w:p>
        </w:tc>
        <w:tc>
          <w:tcPr>
            <w:tcW w:w="1003" w:type="dxa"/>
            <w:shd w:val="clear" w:color="auto" w:fill="auto"/>
          </w:tcPr>
          <w:p w14:paraId="69FA50AD" w14:textId="77777777" w:rsidR="000610BB" w:rsidRPr="00DE12A3" w:rsidRDefault="000610BB" w:rsidP="00C917D6">
            <w:pPr>
              <w:pStyle w:val="Gvdemetni360"/>
              <w:shd w:val="clear" w:color="auto" w:fill="auto"/>
              <w:spacing w:before="120" w:after="120" w:line="240" w:lineRule="auto"/>
              <w:ind w:firstLine="0"/>
              <w:jc w:val="center"/>
              <w:rPr>
                <w:sz w:val="18"/>
                <w:szCs w:val="18"/>
              </w:rPr>
            </w:pPr>
            <w:r w:rsidRPr="00DE12A3">
              <w:rPr>
                <w:rStyle w:val="Gvdemetni3675pt0ptbolukbraklyor"/>
                <w:color w:val="auto"/>
                <w:sz w:val="18"/>
                <w:szCs w:val="18"/>
              </w:rPr>
              <w:t>20,0</w:t>
            </w:r>
          </w:p>
        </w:tc>
        <w:tc>
          <w:tcPr>
            <w:tcW w:w="1003" w:type="dxa"/>
            <w:shd w:val="clear" w:color="auto" w:fill="auto"/>
          </w:tcPr>
          <w:p w14:paraId="42F5EC7E" w14:textId="77777777" w:rsidR="000610BB" w:rsidRPr="00DE12A3" w:rsidRDefault="000610BB" w:rsidP="00C917D6">
            <w:pPr>
              <w:pStyle w:val="Gvdemetni360"/>
              <w:shd w:val="clear" w:color="auto" w:fill="auto"/>
              <w:spacing w:before="120" w:after="120" w:line="240" w:lineRule="auto"/>
              <w:ind w:firstLine="0"/>
              <w:jc w:val="center"/>
              <w:rPr>
                <w:sz w:val="18"/>
                <w:szCs w:val="18"/>
              </w:rPr>
            </w:pPr>
            <w:r w:rsidRPr="00DE12A3">
              <w:rPr>
                <w:rStyle w:val="Gvdemetni3675pt"/>
                <w:color w:val="auto"/>
                <w:sz w:val="18"/>
                <w:szCs w:val="18"/>
              </w:rPr>
              <w:t>—</w:t>
            </w:r>
          </w:p>
        </w:tc>
        <w:tc>
          <w:tcPr>
            <w:tcW w:w="1306" w:type="dxa"/>
            <w:shd w:val="clear" w:color="auto" w:fill="auto"/>
          </w:tcPr>
          <w:p w14:paraId="6F7E69F9" w14:textId="77777777" w:rsidR="000610BB" w:rsidRPr="00DE12A3" w:rsidRDefault="000610BB" w:rsidP="00C917D6">
            <w:pPr>
              <w:pStyle w:val="Gvdemetni360"/>
              <w:shd w:val="clear" w:color="auto" w:fill="auto"/>
              <w:spacing w:before="120" w:after="120" w:line="240" w:lineRule="auto"/>
              <w:ind w:left="100" w:firstLine="0"/>
              <w:jc w:val="left"/>
              <w:rPr>
                <w:sz w:val="18"/>
                <w:szCs w:val="18"/>
              </w:rPr>
            </w:pPr>
            <w:r w:rsidRPr="00DE12A3">
              <w:rPr>
                <w:rStyle w:val="Gvdemetni367pt0ptbolukbraklyor"/>
                <w:color w:val="auto"/>
                <w:sz w:val="18"/>
                <w:szCs w:val="18"/>
              </w:rPr>
              <w:t>EN 15751</w:t>
            </w:r>
          </w:p>
        </w:tc>
      </w:tr>
      <w:tr w:rsidR="00DE12A3" w:rsidRPr="00DE12A3" w14:paraId="0ADAEA2D" w14:textId="77777777" w:rsidTr="000610BB">
        <w:trPr>
          <w:trHeight w:hRule="exact" w:val="437"/>
          <w:jc w:val="center"/>
        </w:trPr>
        <w:tc>
          <w:tcPr>
            <w:tcW w:w="3446" w:type="dxa"/>
            <w:shd w:val="clear" w:color="auto" w:fill="auto"/>
          </w:tcPr>
          <w:p w14:paraId="2783180B" w14:textId="77777777" w:rsidR="000610BB" w:rsidRPr="00DE12A3" w:rsidRDefault="000610BB" w:rsidP="00C917D6">
            <w:pPr>
              <w:pStyle w:val="Gvdemetni360"/>
              <w:shd w:val="clear" w:color="auto" w:fill="auto"/>
              <w:spacing w:before="120" w:after="120" w:line="240" w:lineRule="auto"/>
              <w:ind w:left="40" w:firstLine="0"/>
              <w:jc w:val="left"/>
              <w:rPr>
                <w:sz w:val="18"/>
                <w:szCs w:val="18"/>
              </w:rPr>
            </w:pPr>
            <w:r w:rsidRPr="00DE12A3">
              <w:rPr>
                <w:rStyle w:val="Gvdemetni367pt0ptbolukbraklyor"/>
                <w:color w:val="auto"/>
                <w:sz w:val="18"/>
                <w:szCs w:val="18"/>
              </w:rPr>
              <w:t>FAME</w:t>
            </w:r>
          </w:p>
        </w:tc>
        <w:tc>
          <w:tcPr>
            <w:tcW w:w="1022" w:type="dxa"/>
            <w:shd w:val="clear" w:color="auto" w:fill="auto"/>
          </w:tcPr>
          <w:p w14:paraId="6B3E34C3" w14:textId="77777777" w:rsidR="000610BB" w:rsidRPr="00DE12A3" w:rsidRDefault="000610BB" w:rsidP="00C917D6">
            <w:pPr>
              <w:pStyle w:val="Gvdemetni360"/>
              <w:shd w:val="clear" w:color="auto" w:fill="auto"/>
              <w:spacing w:before="120" w:after="120" w:line="240" w:lineRule="auto"/>
              <w:ind w:firstLine="0"/>
              <w:jc w:val="center"/>
              <w:rPr>
                <w:sz w:val="18"/>
                <w:szCs w:val="18"/>
              </w:rPr>
            </w:pPr>
            <w:r w:rsidRPr="00DE12A3">
              <w:rPr>
                <w:rStyle w:val="Gvdemetni367pt0ptbolukbraklyor"/>
                <w:color w:val="auto"/>
                <w:sz w:val="18"/>
                <w:szCs w:val="18"/>
              </w:rPr>
              <w:t>% v/v</w:t>
            </w:r>
          </w:p>
        </w:tc>
        <w:tc>
          <w:tcPr>
            <w:tcW w:w="1003" w:type="dxa"/>
            <w:shd w:val="clear" w:color="auto" w:fill="auto"/>
          </w:tcPr>
          <w:p w14:paraId="4C7B03B7" w14:textId="77777777" w:rsidR="000610BB" w:rsidRPr="00DE12A3" w:rsidRDefault="000610BB" w:rsidP="00C917D6">
            <w:pPr>
              <w:pStyle w:val="Gvdemetni360"/>
              <w:shd w:val="clear" w:color="auto" w:fill="auto"/>
              <w:spacing w:before="120" w:after="120" w:line="240" w:lineRule="auto"/>
              <w:ind w:firstLine="0"/>
              <w:jc w:val="center"/>
              <w:rPr>
                <w:sz w:val="18"/>
                <w:szCs w:val="18"/>
              </w:rPr>
            </w:pPr>
            <w:r w:rsidRPr="00DE12A3">
              <w:rPr>
                <w:rStyle w:val="Gvdemetni3675pt"/>
                <w:color w:val="auto"/>
                <w:sz w:val="18"/>
                <w:szCs w:val="18"/>
              </w:rPr>
              <w:t>—</w:t>
            </w:r>
          </w:p>
        </w:tc>
        <w:tc>
          <w:tcPr>
            <w:tcW w:w="1003" w:type="dxa"/>
            <w:shd w:val="clear" w:color="auto" w:fill="auto"/>
          </w:tcPr>
          <w:p w14:paraId="264A6C75" w14:textId="77777777" w:rsidR="000610BB" w:rsidRPr="00DE12A3" w:rsidRDefault="000610BB" w:rsidP="00C917D6">
            <w:pPr>
              <w:pStyle w:val="Gvdemetni360"/>
              <w:shd w:val="clear" w:color="auto" w:fill="auto"/>
              <w:spacing w:before="120" w:after="120" w:line="240" w:lineRule="auto"/>
              <w:ind w:firstLine="0"/>
              <w:jc w:val="center"/>
              <w:rPr>
                <w:sz w:val="18"/>
                <w:szCs w:val="18"/>
              </w:rPr>
            </w:pPr>
            <w:r w:rsidRPr="00DE12A3">
              <w:rPr>
                <w:rStyle w:val="Gvdemetni367pt0ptbolukbraklyor"/>
                <w:color w:val="auto"/>
                <w:sz w:val="18"/>
                <w:szCs w:val="18"/>
              </w:rPr>
              <w:t>7,0</w:t>
            </w:r>
          </w:p>
        </w:tc>
        <w:tc>
          <w:tcPr>
            <w:tcW w:w="1306" w:type="dxa"/>
            <w:shd w:val="clear" w:color="auto" w:fill="auto"/>
          </w:tcPr>
          <w:p w14:paraId="102F8A57" w14:textId="77777777" w:rsidR="000610BB" w:rsidRPr="00DE12A3" w:rsidRDefault="000610BB" w:rsidP="00C917D6">
            <w:pPr>
              <w:pStyle w:val="Gvdemetni360"/>
              <w:shd w:val="clear" w:color="auto" w:fill="auto"/>
              <w:spacing w:before="120" w:after="120" w:line="240" w:lineRule="auto"/>
              <w:ind w:left="100" w:firstLine="0"/>
              <w:jc w:val="left"/>
              <w:rPr>
                <w:sz w:val="18"/>
                <w:szCs w:val="18"/>
              </w:rPr>
            </w:pPr>
            <w:r w:rsidRPr="00DE12A3">
              <w:rPr>
                <w:rStyle w:val="Gvdemetni367pt0ptbolukbraklyor"/>
                <w:color w:val="auto"/>
                <w:sz w:val="18"/>
                <w:szCs w:val="18"/>
              </w:rPr>
              <w:t>EN 14078</w:t>
            </w:r>
          </w:p>
        </w:tc>
      </w:tr>
      <w:tr w:rsidR="0046577A" w:rsidRPr="00DE12A3" w14:paraId="1D68848B" w14:textId="77777777" w:rsidTr="0046577A">
        <w:trPr>
          <w:trHeight w:hRule="exact" w:val="2849"/>
          <w:jc w:val="center"/>
        </w:trPr>
        <w:tc>
          <w:tcPr>
            <w:tcW w:w="7780" w:type="dxa"/>
            <w:gridSpan w:val="5"/>
            <w:shd w:val="clear" w:color="auto" w:fill="auto"/>
          </w:tcPr>
          <w:p w14:paraId="3EBCB976" w14:textId="77777777" w:rsidR="0046577A" w:rsidRPr="00DE12A3" w:rsidRDefault="0046577A" w:rsidP="0046577A">
            <w:pPr>
              <w:jc w:val="both"/>
              <w:rPr>
                <w:i/>
                <w:color w:val="auto"/>
                <w:sz w:val="16"/>
                <w:szCs w:val="16"/>
              </w:rPr>
            </w:pPr>
            <w:r w:rsidRPr="00DE12A3">
              <w:rPr>
                <w:color w:val="auto"/>
                <w:sz w:val="16"/>
                <w:szCs w:val="16"/>
                <w:vertAlign w:val="superscript"/>
              </w:rPr>
              <w:t xml:space="preserve">(1) </w:t>
            </w:r>
            <w:r w:rsidRPr="00DE12A3">
              <w:rPr>
                <w:color w:val="auto"/>
                <w:sz w:val="16"/>
                <w:szCs w:val="16"/>
              </w:rPr>
              <w:t>Şartnamelerde belirtilen değerler "gerçek değerlerdir". Bunların sınır değerlerinin oluşturulmasında ISO 4259 “Petrol ürünleri - Test yöntemlerine göre hassas verilerin belirlenmesi ve uygulanması” standardı gereklilikleri uygulanmış ve bir asgari değer belirlenirken, sıfırın üzerinde 2R değerinde bir asgari fark hesaba katılmıştır ; bir azami ve asgari değer belirlenirken asgari fark 4R'dir (R = tekrarlanabilirlik).</w:t>
            </w:r>
          </w:p>
          <w:p w14:paraId="6923ABB9" w14:textId="77777777" w:rsidR="0046577A" w:rsidRPr="00DE12A3" w:rsidRDefault="0046577A" w:rsidP="0046577A">
            <w:pPr>
              <w:jc w:val="both"/>
              <w:rPr>
                <w:i/>
                <w:color w:val="auto"/>
                <w:sz w:val="16"/>
                <w:szCs w:val="16"/>
              </w:rPr>
            </w:pPr>
            <w:r w:rsidRPr="00DE12A3">
              <w:rPr>
                <w:color w:val="auto"/>
                <w:sz w:val="16"/>
                <w:szCs w:val="16"/>
              </w:rPr>
              <w:t>Teknik nedenlerden dolayı gerekli olan bu tedbire rağmen, yakıt imalatçısı yine de öngörülen azami değerin 2R olduğu bir sıfır değerini ve azami ve asgari sınırların aktarılması durumunda ortalama değeri hedeflemelidir. Bir yakıtın şartnamelerdeki gereklilikleri yerine getirip getirmediğine ilişkin soruları netleştirmek gerekirse, ISO 4259 standardının gereklilikleri uygulanmalıdır.</w:t>
            </w:r>
          </w:p>
          <w:p w14:paraId="187FB977" w14:textId="77777777" w:rsidR="0046577A" w:rsidRPr="00DE12A3" w:rsidRDefault="0046577A" w:rsidP="0046577A">
            <w:pPr>
              <w:jc w:val="both"/>
              <w:rPr>
                <w:i/>
                <w:color w:val="auto"/>
                <w:sz w:val="16"/>
                <w:szCs w:val="16"/>
              </w:rPr>
            </w:pPr>
            <w:r w:rsidRPr="00DE12A3">
              <w:rPr>
                <w:color w:val="auto"/>
                <w:sz w:val="16"/>
                <w:szCs w:val="16"/>
                <w:vertAlign w:val="superscript"/>
              </w:rPr>
              <w:t>(2)</w:t>
            </w:r>
            <w:r w:rsidRPr="00DE12A3">
              <w:rPr>
                <w:color w:val="auto"/>
                <w:sz w:val="16"/>
                <w:szCs w:val="16"/>
              </w:rPr>
              <w:t>Setan sayısı için aralık, 4R'lik bir asgari aralığın gerekliliklerine uygun değildir. Bununla birlikte, yakıt tedarikçisi ve yakıt kullanıcısı arasındaki bir anlaşmazlık olması durumunda, münferit belirlemelere tercihen, gereken kesinliğe ulaşmak için yeterli sayıda tekrarlanan ölçümler yapılması koşuluyla, bu anlaşmazlıkları çözmek için ISO 4259 standardının gereklilikleri kullanılabilir.</w:t>
            </w:r>
          </w:p>
          <w:p w14:paraId="51113D46" w14:textId="10B92779" w:rsidR="0046577A" w:rsidRPr="00DE12A3" w:rsidRDefault="0046577A" w:rsidP="0046577A">
            <w:pPr>
              <w:jc w:val="both"/>
              <w:rPr>
                <w:rStyle w:val="Gvdemetni367pt0ptbolukbraklyor"/>
                <w:rFonts w:eastAsia="Courier New" w:cs="Courier New"/>
                <w:i/>
                <w:color w:val="auto"/>
                <w:spacing w:val="0"/>
                <w:sz w:val="16"/>
                <w:szCs w:val="16"/>
                <w:shd w:val="clear" w:color="auto" w:fill="auto"/>
                <w:lang w:val="tr-TR"/>
              </w:rPr>
            </w:pPr>
            <w:r w:rsidRPr="00DE12A3">
              <w:rPr>
                <w:color w:val="auto"/>
                <w:sz w:val="16"/>
                <w:szCs w:val="16"/>
                <w:vertAlign w:val="superscript"/>
              </w:rPr>
              <w:t>(3)</w:t>
            </w:r>
            <w:r w:rsidRPr="00DE12A3">
              <w:rPr>
                <w:color w:val="auto"/>
                <w:sz w:val="16"/>
                <w:szCs w:val="16"/>
              </w:rPr>
              <w:t>Oksidasyon kararlılığı kontrol edilmesine rağmen, raf ömrünün sınırlı olması muhtemeldir. Tedarikçiden saklama koşulları ve hizmet ömrü konusunda tavsiyeler istenmelidir.</w:t>
            </w:r>
          </w:p>
        </w:tc>
      </w:tr>
    </w:tbl>
    <w:p w14:paraId="76349599" w14:textId="77777777" w:rsidR="009F4766" w:rsidRPr="00DE12A3" w:rsidRDefault="009F4766" w:rsidP="00C917D6">
      <w:pPr>
        <w:spacing w:before="120" w:after="120"/>
        <w:ind w:left="851" w:hanging="1134"/>
        <w:rPr>
          <w:rFonts w:cs="Times New Roman"/>
          <w:color w:val="auto"/>
        </w:rPr>
      </w:pPr>
    </w:p>
    <w:p w14:paraId="5A5BF828" w14:textId="77777777" w:rsidR="009F4766" w:rsidRPr="00DE12A3" w:rsidRDefault="009F4766" w:rsidP="0046577A">
      <w:pPr>
        <w:spacing w:before="120" w:after="120"/>
        <w:rPr>
          <w:bCs/>
          <w:i/>
          <w:color w:val="auto"/>
        </w:rPr>
      </w:pPr>
      <w:r w:rsidRPr="00DE12A3">
        <w:rPr>
          <w:bCs/>
          <w:color w:val="auto"/>
        </w:rPr>
        <w:t>1.2.</w:t>
      </w:r>
      <w:r w:rsidRPr="00DE12A3">
        <w:rPr>
          <w:bCs/>
          <w:color w:val="auto"/>
        </w:rPr>
        <w:tab/>
      </w:r>
      <w:r w:rsidR="0046548F" w:rsidRPr="00DE12A3">
        <w:rPr>
          <w:bCs/>
          <w:color w:val="auto"/>
        </w:rPr>
        <w:t xml:space="preserve">Tip: Tahsisli sıkıştırma ateşlemeli motorlar için etanol </w:t>
      </w:r>
      <w:r w:rsidRPr="00DE12A3">
        <w:rPr>
          <w:bCs/>
          <w:color w:val="auto"/>
        </w:rPr>
        <w:t xml:space="preserve">(ED95) </w:t>
      </w:r>
      <w:r w:rsidRPr="00DE12A3">
        <w:rPr>
          <w:bCs/>
          <w:color w:val="auto"/>
          <w:vertAlign w:val="superscript"/>
        </w:rPr>
        <w:t>(1)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987"/>
        <w:gridCol w:w="1134"/>
        <w:gridCol w:w="851"/>
        <w:gridCol w:w="850"/>
        <w:gridCol w:w="1958"/>
      </w:tblGrid>
      <w:tr w:rsidR="00DE12A3" w:rsidRPr="00DE12A3" w14:paraId="530D2AB6" w14:textId="77777777" w:rsidTr="004940FF">
        <w:trPr>
          <w:trHeight w:val="355"/>
          <w:jc w:val="center"/>
        </w:trPr>
        <w:tc>
          <w:tcPr>
            <w:tcW w:w="2987" w:type="dxa"/>
            <w:vMerge w:val="restart"/>
            <w:shd w:val="clear" w:color="auto" w:fill="FFFFFF"/>
          </w:tcPr>
          <w:p w14:paraId="154BEDD3" w14:textId="77777777" w:rsidR="000610BB" w:rsidRPr="00DE12A3" w:rsidRDefault="000610BB" w:rsidP="004940FF">
            <w:pPr>
              <w:pStyle w:val="Gvdemetni0"/>
              <w:shd w:val="clear" w:color="auto" w:fill="auto"/>
              <w:spacing w:before="120" w:after="120" w:line="240" w:lineRule="auto"/>
              <w:ind w:firstLine="0"/>
              <w:rPr>
                <w:sz w:val="18"/>
                <w:szCs w:val="18"/>
              </w:rPr>
            </w:pPr>
            <w:r w:rsidRPr="00DE12A3">
              <w:rPr>
                <w:sz w:val="18"/>
                <w:szCs w:val="18"/>
              </w:rPr>
              <w:t>Parametre</w:t>
            </w:r>
          </w:p>
        </w:tc>
        <w:tc>
          <w:tcPr>
            <w:tcW w:w="1134" w:type="dxa"/>
            <w:vMerge w:val="restart"/>
            <w:shd w:val="clear" w:color="auto" w:fill="FFFFFF"/>
          </w:tcPr>
          <w:p w14:paraId="1CEF8295" w14:textId="77777777" w:rsidR="000610BB" w:rsidRPr="00DE12A3" w:rsidRDefault="000610BB" w:rsidP="004940FF">
            <w:pPr>
              <w:pStyle w:val="Gvdemetni0"/>
              <w:shd w:val="clear" w:color="auto" w:fill="auto"/>
              <w:spacing w:before="120" w:after="120" w:line="240" w:lineRule="auto"/>
              <w:ind w:firstLine="0"/>
              <w:rPr>
                <w:sz w:val="18"/>
                <w:szCs w:val="18"/>
              </w:rPr>
            </w:pPr>
            <w:r w:rsidRPr="00DE12A3">
              <w:rPr>
                <w:sz w:val="18"/>
                <w:szCs w:val="18"/>
              </w:rPr>
              <w:t>Birim</w:t>
            </w:r>
          </w:p>
        </w:tc>
        <w:tc>
          <w:tcPr>
            <w:tcW w:w="1701" w:type="dxa"/>
            <w:gridSpan w:val="2"/>
            <w:shd w:val="clear" w:color="auto" w:fill="FFFFFF"/>
          </w:tcPr>
          <w:p w14:paraId="2B715A2F" w14:textId="77777777" w:rsidR="000610BB" w:rsidRPr="00DE12A3" w:rsidRDefault="000610BB" w:rsidP="004940FF">
            <w:pPr>
              <w:pStyle w:val="Gvdemetni0"/>
              <w:shd w:val="clear" w:color="auto" w:fill="auto"/>
              <w:spacing w:before="120" w:after="120" w:line="240" w:lineRule="auto"/>
              <w:ind w:firstLine="0"/>
              <w:rPr>
                <w:sz w:val="18"/>
                <w:szCs w:val="18"/>
              </w:rPr>
            </w:pPr>
            <w:r w:rsidRPr="00DE12A3">
              <w:rPr>
                <w:sz w:val="18"/>
                <w:szCs w:val="18"/>
              </w:rPr>
              <w:t>Sınırlar</w:t>
            </w:r>
            <w:r w:rsidR="008C77B2" w:rsidRPr="00DE12A3">
              <w:rPr>
                <w:sz w:val="18"/>
                <w:szCs w:val="18"/>
                <w:vertAlign w:val="superscript"/>
              </w:rPr>
              <w:t>(</w:t>
            </w:r>
            <w:r w:rsidRPr="00DE12A3">
              <w:rPr>
                <w:sz w:val="18"/>
                <w:szCs w:val="18"/>
                <w:vertAlign w:val="superscript"/>
              </w:rPr>
              <w:t xml:space="preserve"> </w:t>
            </w:r>
            <w:r w:rsidR="008C77B2" w:rsidRPr="00DE12A3">
              <w:rPr>
                <w:rStyle w:val="DipnotBavurusu"/>
                <w:sz w:val="18"/>
                <w:szCs w:val="18"/>
              </w:rPr>
              <w:t>2)</w:t>
            </w:r>
          </w:p>
        </w:tc>
        <w:tc>
          <w:tcPr>
            <w:tcW w:w="1958" w:type="dxa"/>
            <w:vMerge w:val="restart"/>
            <w:shd w:val="clear" w:color="auto" w:fill="FFFFFF"/>
          </w:tcPr>
          <w:p w14:paraId="369D7E90" w14:textId="77777777" w:rsidR="000610BB" w:rsidRPr="00DE12A3" w:rsidRDefault="000610BB" w:rsidP="004940FF">
            <w:pPr>
              <w:pStyle w:val="Gvdemetni0"/>
              <w:shd w:val="clear" w:color="auto" w:fill="auto"/>
              <w:spacing w:before="120" w:after="120" w:line="240" w:lineRule="auto"/>
              <w:ind w:firstLine="0"/>
              <w:jc w:val="both"/>
              <w:rPr>
                <w:sz w:val="18"/>
                <w:szCs w:val="18"/>
              </w:rPr>
            </w:pPr>
            <w:r w:rsidRPr="00DE12A3">
              <w:rPr>
                <w:sz w:val="18"/>
                <w:szCs w:val="18"/>
              </w:rPr>
              <w:t>Test yöntemi (</w:t>
            </w:r>
            <w:r w:rsidRPr="00DE12A3">
              <w:rPr>
                <w:sz w:val="18"/>
                <w:szCs w:val="18"/>
                <w:vertAlign w:val="superscript"/>
              </w:rPr>
              <w:t>3</w:t>
            </w:r>
            <w:r w:rsidRPr="00DE12A3">
              <w:rPr>
                <w:sz w:val="18"/>
                <w:szCs w:val="18"/>
              </w:rPr>
              <w:t>)</w:t>
            </w:r>
          </w:p>
        </w:tc>
      </w:tr>
      <w:tr w:rsidR="00DE12A3" w:rsidRPr="00DE12A3" w14:paraId="1A8C1C77" w14:textId="77777777" w:rsidTr="00D47F4F">
        <w:trPr>
          <w:trHeight w:hRule="exact" w:val="452"/>
          <w:jc w:val="center"/>
        </w:trPr>
        <w:tc>
          <w:tcPr>
            <w:tcW w:w="2987" w:type="dxa"/>
            <w:vMerge/>
            <w:shd w:val="clear" w:color="auto" w:fill="FFFFFF"/>
          </w:tcPr>
          <w:p w14:paraId="3B2C5E23" w14:textId="77777777" w:rsidR="000610BB" w:rsidRPr="00DE12A3" w:rsidRDefault="000610BB" w:rsidP="004940FF">
            <w:pPr>
              <w:spacing w:before="120" w:after="120"/>
              <w:rPr>
                <w:rFonts w:cs="Times New Roman"/>
                <w:color w:val="auto"/>
                <w:sz w:val="18"/>
                <w:szCs w:val="18"/>
              </w:rPr>
            </w:pPr>
          </w:p>
        </w:tc>
        <w:tc>
          <w:tcPr>
            <w:tcW w:w="1134" w:type="dxa"/>
            <w:vMerge/>
            <w:shd w:val="clear" w:color="auto" w:fill="FFFFFF"/>
          </w:tcPr>
          <w:p w14:paraId="30242C46" w14:textId="77777777" w:rsidR="000610BB" w:rsidRPr="00DE12A3" w:rsidRDefault="000610BB" w:rsidP="004940FF">
            <w:pPr>
              <w:spacing w:before="120" w:after="120"/>
              <w:rPr>
                <w:rFonts w:cs="Times New Roman"/>
                <w:color w:val="auto"/>
                <w:sz w:val="18"/>
                <w:szCs w:val="18"/>
              </w:rPr>
            </w:pPr>
          </w:p>
        </w:tc>
        <w:tc>
          <w:tcPr>
            <w:tcW w:w="851" w:type="dxa"/>
            <w:shd w:val="clear" w:color="auto" w:fill="FFFFFF"/>
          </w:tcPr>
          <w:p w14:paraId="76C33ECF" w14:textId="77777777" w:rsidR="000610BB" w:rsidRPr="00DE12A3" w:rsidRDefault="000610BB" w:rsidP="004940FF">
            <w:pPr>
              <w:pStyle w:val="Gvdemetni0"/>
              <w:shd w:val="clear" w:color="auto" w:fill="auto"/>
              <w:spacing w:before="120" w:after="120" w:line="240" w:lineRule="auto"/>
              <w:ind w:firstLine="0"/>
              <w:rPr>
                <w:sz w:val="18"/>
                <w:szCs w:val="18"/>
              </w:rPr>
            </w:pPr>
            <w:r w:rsidRPr="00DE12A3">
              <w:rPr>
                <w:sz w:val="18"/>
                <w:szCs w:val="18"/>
              </w:rPr>
              <w:t>Asgari</w:t>
            </w:r>
          </w:p>
        </w:tc>
        <w:tc>
          <w:tcPr>
            <w:tcW w:w="850" w:type="dxa"/>
            <w:shd w:val="clear" w:color="auto" w:fill="FFFFFF"/>
          </w:tcPr>
          <w:p w14:paraId="3B4D930B" w14:textId="77777777" w:rsidR="000610BB" w:rsidRPr="00DE12A3" w:rsidRDefault="000610BB" w:rsidP="004940FF">
            <w:pPr>
              <w:pStyle w:val="Gvdemetni0"/>
              <w:shd w:val="clear" w:color="auto" w:fill="auto"/>
              <w:spacing w:before="120" w:after="120" w:line="240" w:lineRule="auto"/>
              <w:ind w:firstLine="0"/>
              <w:rPr>
                <w:sz w:val="18"/>
                <w:szCs w:val="18"/>
              </w:rPr>
            </w:pPr>
            <w:r w:rsidRPr="00DE12A3">
              <w:rPr>
                <w:sz w:val="18"/>
                <w:szCs w:val="18"/>
              </w:rPr>
              <w:t>Azami</w:t>
            </w:r>
          </w:p>
        </w:tc>
        <w:tc>
          <w:tcPr>
            <w:tcW w:w="1958" w:type="dxa"/>
            <w:vMerge/>
            <w:shd w:val="clear" w:color="auto" w:fill="FFFFFF"/>
          </w:tcPr>
          <w:p w14:paraId="2A0EF2FA" w14:textId="77777777" w:rsidR="000610BB" w:rsidRPr="00DE12A3" w:rsidRDefault="000610BB" w:rsidP="004940FF">
            <w:pPr>
              <w:spacing w:before="120" w:after="120"/>
              <w:rPr>
                <w:rFonts w:cs="Times New Roman"/>
                <w:color w:val="auto"/>
                <w:sz w:val="18"/>
                <w:szCs w:val="18"/>
              </w:rPr>
            </w:pPr>
          </w:p>
        </w:tc>
      </w:tr>
      <w:tr w:rsidR="00DE12A3" w:rsidRPr="00DE12A3" w14:paraId="17509482" w14:textId="77777777" w:rsidTr="004940FF">
        <w:trPr>
          <w:trHeight w:hRule="exact" w:val="720"/>
          <w:jc w:val="center"/>
        </w:trPr>
        <w:tc>
          <w:tcPr>
            <w:tcW w:w="2987" w:type="dxa"/>
            <w:shd w:val="clear" w:color="auto" w:fill="FFFFFF"/>
          </w:tcPr>
          <w:p w14:paraId="0C2CCB30" w14:textId="77777777" w:rsidR="000610BB" w:rsidRPr="00DE12A3" w:rsidRDefault="000610BB" w:rsidP="004940FF">
            <w:pPr>
              <w:pStyle w:val="Gvdemetni0"/>
              <w:shd w:val="clear" w:color="auto" w:fill="auto"/>
              <w:spacing w:before="120" w:after="120" w:line="240" w:lineRule="auto"/>
              <w:ind w:firstLine="0"/>
              <w:jc w:val="left"/>
              <w:rPr>
                <w:sz w:val="18"/>
              </w:rPr>
            </w:pPr>
            <w:r w:rsidRPr="00DE12A3">
              <w:rPr>
                <w:rStyle w:val="Gvdemetni85pt0ptbolukbraklyor"/>
                <w:color w:val="auto"/>
                <w:sz w:val="18"/>
              </w:rPr>
              <w:t>Toplam alkol (Daha yüksek doymuş alkol içeriği dahil etanol)</w:t>
            </w:r>
          </w:p>
        </w:tc>
        <w:tc>
          <w:tcPr>
            <w:tcW w:w="1134" w:type="dxa"/>
            <w:shd w:val="clear" w:color="auto" w:fill="FFFFFF"/>
          </w:tcPr>
          <w:p w14:paraId="2D7BAEA1" w14:textId="77777777" w:rsidR="000610BB" w:rsidRPr="00DE12A3" w:rsidRDefault="000610BB" w:rsidP="004940FF">
            <w:pPr>
              <w:pStyle w:val="Gvdemetni360"/>
              <w:shd w:val="clear" w:color="auto" w:fill="auto"/>
              <w:spacing w:before="120" w:after="120" w:line="240" w:lineRule="auto"/>
              <w:ind w:firstLine="0"/>
              <w:jc w:val="center"/>
              <w:rPr>
                <w:sz w:val="18"/>
                <w:szCs w:val="18"/>
              </w:rPr>
            </w:pPr>
            <w:r w:rsidRPr="00DE12A3">
              <w:rPr>
                <w:rStyle w:val="Gvdemetni367pt0ptbolukbraklyor"/>
                <w:color w:val="auto"/>
                <w:sz w:val="18"/>
                <w:szCs w:val="18"/>
              </w:rPr>
              <w:t>% m/m</w:t>
            </w:r>
          </w:p>
        </w:tc>
        <w:tc>
          <w:tcPr>
            <w:tcW w:w="851" w:type="dxa"/>
            <w:shd w:val="clear" w:color="auto" w:fill="FFFFFF"/>
          </w:tcPr>
          <w:p w14:paraId="7CE7272F" w14:textId="77777777" w:rsidR="000610BB" w:rsidRPr="00DE12A3" w:rsidRDefault="000610BB" w:rsidP="004940FF">
            <w:pPr>
              <w:pStyle w:val="Gvdemetni360"/>
              <w:shd w:val="clear" w:color="auto" w:fill="auto"/>
              <w:spacing w:before="120" w:after="120" w:line="240" w:lineRule="auto"/>
              <w:ind w:firstLine="0"/>
              <w:jc w:val="center"/>
              <w:rPr>
                <w:sz w:val="18"/>
                <w:szCs w:val="18"/>
              </w:rPr>
            </w:pPr>
            <w:r w:rsidRPr="00DE12A3">
              <w:rPr>
                <w:rStyle w:val="Gvdemetni367pt0ptbolukbraklyor"/>
                <w:color w:val="auto"/>
                <w:sz w:val="18"/>
                <w:szCs w:val="18"/>
              </w:rPr>
              <w:t>92,4</w:t>
            </w:r>
          </w:p>
        </w:tc>
        <w:tc>
          <w:tcPr>
            <w:tcW w:w="850" w:type="dxa"/>
            <w:shd w:val="clear" w:color="auto" w:fill="FFFFFF"/>
          </w:tcPr>
          <w:p w14:paraId="4AD727F7" w14:textId="77777777" w:rsidR="000610BB" w:rsidRPr="00DE12A3" w:rsidRDefault="000610BB" w:rsidP="004940FF">
            <w:pPr>
              <w:spacing w:before="120" w:after="120"/>
              <w:rPr>
                <w:rFonts w:cs="Times New Roman"/>
                <w:color w:val="auto"/>
                <w:sz w:val="18"/>
                <w:szCs w:val="18"/>
              </w:rPr>
            </w:pPr>
          </w:p>
        </w:tc>
        <w:tc>
          <w:tcPr>
            <w:tcW w:w="1958" w:type="dxa"/>
            <w:shd w:val="clear" w:color="auto" w:fill="FFFFFF"/>
          </w:tcPr>
          <w:p w14:paraId="3B250C2B" w14:textId="77777777" w:rsidR="000610BB" w:rsidRPr="00DE12A3" w:rsidRDefault="000610BB" w:rsidP="004940FF">
            <w:pPr>
              <w:pStyle w:val="Gvdemetni360"/>
              <w:shd w:val="clear" w:color="auto" w:fill="auto"/>
              <w:spacing w:before="120" w:after="120" w:line="240" w:lineRule="auto"/>
              <w:ind w:firstLine="0"/>
              <w:rPr>
                <w:sz w:val="18"/>
                <w:szCs w:val="18"/>
              </w:rPr>
            </w:pPr>
            <w:r w:rsidRPr="00DE12A3">
              <w:rPr>
                <w:rStyle w:val="Gvdemetni367pt0ptbolukbraklyor"/>
                <w:color w:val="auto"/>
                <w:sz w:val="18"/>
                <w:szCs w:val="18"/>
              </w:rPr>
              <w:t>EN 15721</w:t>
            </w:r>
          </w:p>
        </w:tc>
      </w:tr>
      <w:tr w:rsidR="00DE12A3" w:rsidRPr="00DE12A3" w14:paraId="4DD5C595" w14:textId="77777777" w:rsidTr="00946B82">
        <w:trPr>
          <w:trHeight w:hRule="exact" w:val="709"/>
          <w:jc w:val="center"/>
        </w:trPr>
        <w:tc>
          <w:tcPr>
            <w:tcW w:w="2987" w:type="dxa"/>
            <w:shd w:val="clear" w:color="auto" w:fill="FFFFFF"/>
          </w:tcPr>
          <w:p w14:paraId="095DEC43" w14:textId="77777777" w:rsidR="000610BB" w:rsidRPr="00DE12A3" w:rsidRDefault="000610BB" w:rsidP="004940FF">
            <w:pPr>
              <w:pStyle w:val="Gvdemetni0"/>
              <w:shd w:val="clear" w:color="auto" w:fill="auto"/>
              <w:spacing w:before="120" w:after="120" w:line="240" w:lineRule="auto"/>
              <w:ind w:firstLine="0"/>
              <w:jc w:val="left"/>
              <w:rPr>
                <w:sz w:val="18"/>
              </w:rPr>
            </w:pPr>
            <w:r w:rsidRPr="00DE12A3">
              <w:rPr>
                <w:rStyle w:val="Gvdemetni85pt0ptbolukbraklyor"/>
                <w:color w:val="auto"/>
                <w:sz w:val="18"/>
              </w:rPr>
              <w:t>Diğer yüksek doymuş mono-alkoller (C3-C5)</w:t>
            </w:r>
          </w:p>
        </w:tc>
        <w:tc>
          <w:tcPr>
            <w:tcW w:w="1134" w:type="dxa"/>
            <w:shd w:val="clear" w:color="auto" w:fill="FFFFFF"/>
          </w:tcPr>
          <w:p w14:paraId="733D802F" w14:textId="77777777" w:rsidR="000610BB" w:rsidRPr="00DE12A3" w:rsidRDefault="000610BB" w:rsidP="004940FF">
            <w:pPr>
              <w:pStyle w:val="Gvdemetni360"/>
              <w:shd w:val="clear" w:color="auto" w:fill="auto"/>
              <w:spacing w:before="120" w:after="120" w:line="240" w:lineRule="auto"/>
              <w:ind w:firstLine="0"/>
              <w:jc w:val="center"/>
              <w:rPr>
                <w:sz w:val="18"/>
                <w:szCs w:val="18"/>
              </w:rPr>
            </w:pPr>
            <w:r w:rsidRPr="00DE12A3">
              <w:rPr>
                <w:rStyle w:val="Gvdemetni367pt0ptbolukbraklyor"/>
                <w:color w:val="auto"/>
                <w:sz w:val="18"/>
                <w:szCs w:val="18"/>
              </w:rPr>
              <w:t>% m/m</w:t>
            </w:r>
          </w:p>
        </w:tc>
        <w:tc>
          <w:tcPr>
            <w:tcW w:w="851" w:type="dxa"/>
            <w:shd w:val="clear" w:color="auto" w:fill="FFFFFF"/>
          </w:tcPr>
          <w:p w14:paraId="196B6D9C" w14:textId="77777777" w:rsidR="000610BB" w:rsidRPr="00DE12A3" w:rsidRDefault="000610BB" w:rsidP="004940FF">
            <w:pPr>
              <w:spacing w:before="120" w:after="120"/>
              <w:rPr>
                <w:rFonts w:cs="Times New Roman"/>
                <w:color w:val="auto"/>
                <w:sz w:val="18"/>
                <w:szCs w:val="18"/>
              </w:rPr>
            </w:pPr>
          </w:p>
        </w:tc>
        <w:tc>
          <w:tcPr>
            <w:tcW w:w="850" w:type="dxa"/>
            <w:shd w:val="clear" w:color="auto" w:fill="FFFFFF"/>
          </w:tcPr>
          <w:p w14:paraId="4958A7C1" w14:textId="77777777" w:rsidR="000610BB" w:rsidRPr="00DE12A3" w:rsidRDefault="000610BB" w:rsidP="004940FF">
            <w:pPr>
              <w:pStyle w:val="Gvdemetni360"/>
              <w:shd w:val="clear" w:color="auto" w:fill="auto"/>
              <w:spacing w:before="120" w:after="120" w:line="240" w:lineRule="auto"/>
              <w:ind w:firstLine="0"/>
              <w:jc w:val="center"/>
              <w:rPr>
                <w:sz w:val="18"/>
                <w:szCs w:val="18"/>
              </w:rPr>
            </w:pPr>
            <w:r w:rsidRPr="00DE12A3">
              <w:rPr>
                <w:rStyle w:val="Gvdemetni3675pt0ptbolukbraklyor"/>
                <w:color w:val="auto"/>
                <w:sz w:val="18"/>
                <w:szCs w:val="18"/>
              </w:rPr>
              <w:t>2,0</w:t>
            </w:r>
          </w:p>
        </w:tc>
        <w:tc>
          <w:tcPr>
            <w:tcW w:w="1958" w:type="dxa"/>
            <w:shd w:val="clear" w:color="auto" w:fill="FFFFFF"/>
          </w:tcPr>
          <w:p w14:paraId="692865C9" w14:textId="77777777" w:rsidR="000610BB" w:rsidRPr="00DE12A3" w:rsidRDefault="000610BB" w:rsidP="004940FF">
            <w:pPr>
              <w:pStyle w:val="Gvdemetni360"/>
              <w:shd w:val="clear" w:color="auto" w:fill="auto"/>
              <w:spacing w:before="120" w:after="120" w:line="240" w:lineRule="auto"/>
              <w:ind w:firstLine="0"/>
              <w:rPr>
                <w:sz w:val="18"/>
                <w:szCs w:val="18"/>
              </w:rPr>
            </w:pPr>
            <w:r w:rsidRPr="00DE12A3">
              <w:rPr>
                <w:rStyle w:val="Gvdemetni367pt0ptbolukbraklyor"/>
                <w:color w:val="auto"/>
                <w:sz w:val="18"/>
                <w:szCs w:val="18"/>
              </w:rPr>
              <w:t>EN 15721</w:t>
            </w:r>
          </w:p>
        </w:tc>
      </w:tr>
      <w:tr w:rsidR="00DE12A3" w:rsidRPr="00DE12A3" w14:paraId="52FD17E1" w14:textId="77777777" w:rsidTr="004940FF">
        <w:trPr>
          <w:trHeight w:hRule="exact" w:val="523"/>
          <w:jc w:val="center"/>
        </w:trPr>
        <w:tc>
          <w:tcPr>
            <w:tcW w:w="2987" w:type="dxa"/>
            <w:shd w:val="clear" w:color="auto" w:fill="FFFFFF"/>
          </w:tcPr>
          <w:p w14:paraId="1D09BEBF" w14:textId="77777777" w:rsidR="000610BB" w:rsidRPr="00DE12A3" w:rsidRDefault="000610BB" w:rsidP="004940FF">
            <w:pPr>
              <w:pStyle w:val="Gvdemetni0"/>
              <w:shd w:val="clear" w:color="auto" w:fill="auto"/>
              <w:spacing w:before="120" w:after="120" w:line="240" w:lineRule="auto"/>
              <w:ind w:firstLine="0"/>
              <w:jc w:val="left"/>
              <w:rPr>
                <w:sz w:val="18"/>
              </w:rPr>
            </w:pPr>
            <w:r w:rsidRPr="00DE12A3">
              <w:rPr>
                <w:rStyle w:val="Gvdemetni85pt0ptbolukbraklyor"/>
                <w:color w:val="auto"/>
                <w:sz w:val="18"/>
              </w:rPr>
              <w:t>Metanol</w:t>
            </w:r>
          </w:p>
        </w:tc>
        <w:tc>
          <w:tcPr>
            <w:tcW w:w="1134" w:type="dxa"/>
            <w:shd w:val="clear" w:color="auto" w:fill="FFFFFF"/>
          </w:tcPr>
          <w:p w14:paraId="19E76228" w14:textId="77777777" w:rsidR="000610BB" w:rsidRPr="00DE12A3" w:rsidRDefault="000610BB" w:rsidP="004940FF">
            <w:pPr>
              <w:pStyle w:val="Gvdemetni360"/>
              <w:shd w:val="clear" w:color="auto" w:fill="auto"/>
              <w:spacing w:before="120" w:after="120" w:line="240" w:lineRule="auto"/>
              <w:ind w:firstLine="0"/>
              <w:jc w:val="center"/>
              <w:rPr>
                <w:sz w:val="18"/>
                <w:szCs w:val="18"/>
              </w:rPr>
            </w:pPr>
            <w:r w:rsidRPr="00DE12A3">
              <w:rPr>
                <w:rStyle w:val="Gvdemetni367pt0ptbolukbraklyor"/>
                <w:color w:val="auto"/>
                <w:sz w:val="18"/>
                <w:szCs w:val="18"/>
              </w:rPr>
              <w:t>% m/m</w:t>
            </w:r>
          </w:p>
        </w:tc>
        <w:tc>
          <w:tcPr>
            <w:tcW w:w="851" w:type="dxa"/>
            <w:shd w:val="clear" w:color="auto" w:fill="FFFFFF"/>
          </w:tcPr>
          <w:p w14:paraId="5CAD57EB" w14:textId="77777777" w:rsidR="000610BB" w:rsidRPr="00DE12A3" w:rsidRDefault="000610BB" w:rsidP="004940FF">
            <w:pPr>
              <w:spacing w:before="120" w:after="120"/>
              <w:rPr>
                <w:rFonts w:cs="Times New Roman"/>
                <w:color w:val="auto"/>
                <w:sz w:val="18"/>
                <w:szCs w:val="18"/>
              </w:rPr>
            </w:pPr>
          </w:p>
        </w:tc>
        <w:tc>
          <w:tcPr>
            <w:tcW w:w="850" w:type="dxa"/>
            <w:shd w:val="clear" w:color="auto" w:fill="FFFFFF"/>
          </w:tcPr>
          <w:p w14:paraId="0112C5D7" w14:textId="77777777" w:rsidR="000610BB" w:rsidRPr="00DE12A3" w:rsidRDefault="000610BB" w:rsidP="004940FF">
            <w:pPr>
              <w:pStyle w:val="Gvdemetni360"/>
              <w:shd w:val="clear" w:color="auto" w:fill="auto"/>
              <w:spacing w:before="120" w:after="120" w:line="240" w:lineRule="auto"/>
              <w:ind w:firstLine="0"/>
              <w:jc w:val="center"/>
              <w:rPr>
                <w:sz w:val="18"/>
                <w:szCs w:val="18"/>
              </w:rPr>
            </w:pPr>
            <w:r w:rsidRPr="00DE12A3">
              <w:rPr>
                <w:rStyle w:val="Gvdemetni367pt0ptbolukbraklyor"/>
                <w:color w:val="auto"/>
                <w:sz w:val="18"/>
                <w:szCs w:val="18"/>
              </w:rPr>
              <w:t>0,3</w:t>
            </w:r>
          </w:p>
        </w:tc>
        <w:tc>
          <w:tcPr>
            <w:tcW w:w="1958" w:type="dxa"/>
            <w:shd w:val="clear" w:color="auto" w:fill="FFFFFF"/>
          </w:tcPr>
          <w:p w14:paraId="483C790F" w14:textId="77777777" w:rsidR="000610BB" w:rsidRPr="00DE12A3" w:rsidRDefault="000610BB" w:rsidP="004940FF">
            <w:pPr>
              <w:pStyle w:val="Gvdemetni360"/>
              <w:shd w:val="clear" w:color="auto" w:fill="auto"/>
              <w:spacing w:before="120" w:after="120" w:line="240" w:lineRule="auto"/>
              <w:ind w:firstLine="0"/>
              <w:rPr>
                <w:sz w:val="18"/>
                <w:szCs w:val="18"/>
              </w:rPr>
            </w:pPr>
            <w:r w:rsidRPr="00DE12A3">
              <w:rPr>
                <w:rStyle w:val="Gvdemetni367pt0ptbolukbraklyor"/>
                <w:color w:val="auto"/>
                <w:sz w:val="18"/>
                <w:szCs w:val="18"/>
              </w:rPr>
              <w:t>EN 15721</w:t>
            </w:r>
          </w:p>
        </w:tc>
      </w:tr>
      <w:tr w:rsidR="00DE12A3" w:rsidRPr="00DE12A3" w14:paraId="16159DEE" w14:textId="77777777" w:rsidTr="004940FF">
        <w:trPr>
          <w:trHeight w:hRule="exact" w:val="528"/>
          <w:jc w:val="center"/>
        </w:trPr>
        <w:tc>
          <w:tcPr>
            <w:tcW w:w="2987" w:type="dxa"/>
            <w:shd w:val="clear" w:color="auto" w:fill="FFFFFF"/>
          </w:tcPr>
          <w:p w14:paraId="5289F977" w14:textId="77777777" w:rsidR="000610BB" w:rsidRPr="00DE12A3" w:rsidRDefault="000610BB" w:rsidP="004940FF">
            <w:pPr>
              <w:pStyle w:val="Gvdemetni0"/>
              <w:shd w:val="clear" w:color="auto" w:fill="auto"/>
              <w:spacing w:before="120" w:after="120" w:line="240" w:lineRule="auto"/>
              <w:ind w:firstLine="0"/>
              <w:jc w:val="left"/>
              <w:rPr>
                <w:sz w:val="18"/>
              </w:rPr>
            </w:pPr>
            <w:r w:rsidRPr="00DE12A3">
              <w:rPr>
                <w:rStyle w:val="Gvdemetni85pt0ptbolukbraklyor"/>
                <w:color w:val="auto"/>
                <w:sz w:val="18"/>
              </w:rPr>
              <w:t>Yoğunluk 15 °C</w:t>
            </w:r>
          </w:p>
        </w:tc>
        <w:tc>
          <w:tcPr>
            <w:tcW w:w="1134" w:type="dxa"/>
            <w:shd w:val="clear" w:color="auto" w:fill="FFFFFF"/>
          </w:tcPr>
          <w:p w14:paraId="12342532" w14:textId="77777777" w:rsidR="000610BB" w:rsidRPr="00DE12A3" w:rsidRDefault="000610BB" w:rsidP="004940FF">
            <w:pPr>
              <w:pStyle w:val="Gvdemetni360"/>
              <w:shd w:val="clear" w:color="auto" w:fill="auto"/>
              <w:spacing w:before="120" w:after="120" w:line="240" w:lineRule="auto"/>
              <w:ind w:firstLine="0"/>
              <w:jc w:val="center"/>
              <w:rPr>
                <w:sz w:val="18"/>
                <w:szCs w:val="18"/>
              </w:rPr>
            </w:pPr>
            <w:r w:rsidRPr="00DE12A3">
              <w:rPr>
                <w:rStyle w:val="Gvdemetni367pt0ptbolukbraklyor"/>
                <w:color w:val="auto"/>
                <w:sz w:val="18"/>
                <w:szCs w:val="18"/>
              </w:rPr>
              <w:t>kg/m</w:t>
            </w:r>
            <w:r w:rsidRPr="00DE12A3">
              <w:rPr>
                <w:rStyle w:val="Gvdemetni367pt0ptbolukbraklyor"/>
                <w:color w:val="auto"/>
                <w:sz w:val="18"/>
                <w:szCs w:val="18"/>
                <w:vertAlign w:val="superscript"/>
              </w:rPr>
              <w:t>3</w:t>
            </w:r>
          </w:p>
        </w:tc>
        <w:tc>
          <w:tcPr>
            <w:tcW w:w="851" w:type="dxa"/>
            <w:shd w:val="clear" w:color="auto" w:fill="FFFFFF"/>
          </w:tcPr>
          <w:p w14:paraId="7583B645" w14:textId="77777777" w:rsidR="000610BB" w:rsidRPr="00DE12A3" w:rsidRDefault="000610BB" w:rsidP="004940FF">
            <w:pPr>
              <w:pStyle w:val="Gvdemetni360"/>
              <w:shd w:val="clear" w:color="auto" w:fill="auto"/>
              <w:spacing w:before="120" w:after="120" w:line="240" w:lineRule="auto"/>
              <w:ind w:firstLine="0"/>
              <w:jc w:val="center"/>
              <w:rPr>
                <w:sz w:val="18"/>
                <w:szCs w:val="18"/>
              </w:rPr>
            </w:pPr>
            <w:r w:rsidRPr="00DE12A3">
              <w:rPr>
                <w:rStyle w:val="Gvdemetni367pt0ptbolukbraklyor"/>
                <w:color w:val="auto"/>
                <w:sz w:val="18"/>
                <w:szCs w:val="18"/>
              </w:rPr>
              <w:t>793,0</w:t>
            </w:r>
          </w:p>
        </w:tc>
        <w:tc>
          <w:tcPr>
            <w:tcW w:w="850" w:type="dxa"/>
            <w:shd w:val="clear" w:color="auto" w:fill="FFFFFF"/>
          </w:tcPr>
          <w:p w14:paraId="58F45D5E" w14:textId="77777777" w:rsidR="000610BB" w:rsidRPr="00DE12A3" w:rsidRDefault="000610BB" w:rsidP="004940FF">
            <w:pPr>
              <w:pStyle w:val="Gvdemetni360"/>
              <w:shd w:val="clear" w:color="auto" w:fill="auto"/>
              <w:spacing w:before="120" w:after="120" w:line="240" w:lineRule="auto"/>
              <w:ind w:firstLine="0"/>
              <w:jc w:val="center"/>
              <w:rPr>
                <w:sz w:val="18"/>
                <w:szCs w:val="18"/>
              </w:rPr>
            </w:pPr>
            <w:r w:rsidRPr="00DE12A3">
              <w:rPr>
                <w:rStyle w:val="Gvdemetni367pt0ptbolukbraklyor"/>
                <w:color w:val="auto"/>
                <w:sz w:val="18"/>
                <w:szCs w:val="18"/>
              </w:rPr>
              <w:t>815,0</w:t>
            </w:r>
          </w:p>
        </w:tc>
        <w:tc>
          <w:tcPr>
            <w:tcW w:w="1958" w:type="dxa"/>
            <w:shd w:val="clear" w:color="auto" w:fill="FFFFFF"/>
          </w:tcPr>
          <w:p w14:paraId="31AEB2FF" w14:textId="77777777" w:rsidR="000610BB" w:rsidRPr="00DE12A3" w:rsidRDefault="000610BB" w:rsidP="004940FF">
            <w:pPr>
              <w:pStyle w:val="Gvdemetni360"/>
              <w:shd w:val="clear" w:color="auto" w:fill="auto"/>
              <w:spacing w:before="120" w:after="120" w:line="240" w:lineRule="auto"/>
              <w:ind w:firstLine="0"/>
              <w:rPr>
                <w:sz w:val="18"/>
                <w:szCs w:val="18"/>
              </w:rPr>
            </w:pPr>
            <w:r w:rsidRPr="00DE12A3">
              <w:rPr>
                <w:rStyle w:val="Gvdemetni367pt0ptbolukbraklyor"/>
                <w:color w:val="auto"/>
                <w:sz w:val="18"/>
                <w:szCs w:val="18"/>
              </w:rPr>
              <w:t>EN ISO 12185</w:t>
            </w:r>
          </w:p>
        </w:tc>
      </w:tr>
      <w:tr w:rsidR="00DE12A3" w:rsidRPr="00DE12A3" w14:paraId="66F5634F" w14:textId="77777777" w:rsidTr="004940FF">
        <w:trPr>
          <w:trHeight w:hRule="exact" w:val="528"/>
          <w:jc w:val="center"/>
        </w:trPr>
        <w:tc>
          <w:tcPr>
            <w:tcW w:w="2987" w:type="dxa"/>
            <w:shd w:val="clear" w:color="auto" w:fill="FFFFFF"/>
          </w:tcPr>
          <w:p w14:paraId="56587D44" w14:textId="77777777" w:rsidR="000610BB" w:rsidRPr="00DE12A3" w:rsidRDefault="000610BB" w:rsidP="004940FF">
            <w:pPr>
              <w:pStyle w:val="Gvdemetni0"/>
              <w:shd w:val="clear" w:color="auto" w:fill="auto"/>
              <w:spacing w:before="120" w:after="120" w:line="240" w:lineRule="auto"/>
              <w:ind w:firstLine="0"/>
              <w:jc w:val="left"/>
              <w:rPr>
                <w:sz w:val="18"/>
              </w:rPr>
            </w:pPr>
            <w:r w:rsidRPr="00DE12A3">
              <w:rPr>
                <w:rStyle w:val="Gvdemetni85pt0ptbolukbraklyor"/>
                <w:color w:val="auto"/>
                <w:sz w:val="18"/>
              </w:rPr>
              <w:t>Asetik asit olarak hesaplanan asitlik</w:t>
            </w:r>
          </w:p>
        </w:tc>
        <w:tc>
          <w:tcPr>
            <w:tcW w:w="1134" w:type="dxa"/>
            <w:shd w:val="clear" w:color="auto" w:fill="FFFFFF"/>
          </w:tcPr>
          <w:p w14:paraId="1BCA7053" w14:textId="77777777" w:rsidR="000610BB" w:rsidRPr="00DE12A3" w:rsidRDefault="000610BB" w:rsidP="004940FF">
            <w:pPr>
              <w:pStyle w:val="Gvdemetni360"/>
              <w:shd w:val="clear" w:color="auto" w:fill="auto"/>
              <w:spacing w:before="120" w:after="120" w:line="240" w:lineRule="auto"/>
              <w:ind w:firstLine="0"/>
              <w:jc w:val="center"/>
              <w:rPr>
                <w:sz w:val="18"/>
                <w:szCs w:val="18"/>
              </w:rPr>
            </w:pPr>
            <w:r w:rsidRPr="00DE12A3">
              <w:rPr>
                <w:rStyle w:val="Gvdemetni367pt0ptbolukbraklyor"/>
                <w:color w:val="auto"/>
                <w:sz w:val="18"/>
                <w:szCs w:val="18"/>
              </w:rPr>
              <w:t>% m/m</w:t>
            </w:r>
          </w:p>
        </w:tc>
        <w:tc>
          <w:tcPr>
            <w:tcW w:w="851" w:type="dxa"/>
            <w:shd w:val="clear" w:color="auto" w:fill="FFFFFF"/>
          </w:tcPr>
          <w:p w14:paraId="4043D2BB" w14:textId="77777777" w:rsidR="000610BB" w:rsidRPr="00DE12A3" w:rsidRDefault="000610BB" w:rsidP="004940FF">
            <w:pPr>
              <w:spacing w:before="120" w:after="120"/>
              <w:rPr>
                <w:rFonts w:cs="Times New Roman"/>
                <w:color w:val="auto"/>
                <w:sz w:val="18"/>
                <w:szCs w:val="18"/>
              </w:rPr>
            </w:pPr>
          </w:p>
        </w:tc>
        <w:tc>
          <w:tcPr>
            <w:tcW w:w="850" w:type="dxa"/>
            <w:shd w:val="clear" w:color="auto" w:fill="FFFFFF"/>
          </w:tcPr>
          <w:p w14:paraId="04F81AB7" w14:textId="77777777" w:rsidR="000610BB" w:rsidRPr="00DE12A3" w:rsidRDefault="000610BB" w:rsidP="004940FF">
            <w:pPr>
              <w:pStyle w:val="Gvdemetni360"/>
              <w:shd w:val="clear" w:color="auto" w:fill="auto"/>
              <w:spacing w:before="120" w:after="120" w:line="240" w:lineRule="auto"/>
              <w:ind w:firstLine="0"/>
              <w:jc w:val="center"/>
              <w:rPr>
                <w:sz w:val="18"/>
                <w:szCs w:val="18"/>
              </w:rPr>
            </w:pPr>
            <w:r w:rsidRPr="00DE12A3">
              <w:rPr>
                <w:rStyle w:val="Gvdemetni367pt0ptbolukbraklyor"/>
                <w:color w:val="auto"/>
                <w:sz w:val="18"/>
                <w:szCs w:val="18"/>
              </w:rPr>
              <w:t>0,0025</w:t>
            </w:r>
          </w:p>
        </w:tc>
        <w:tc>
          <w:tcPr>
            <w:tcW w:w="1958" w:type="dxa"/>
            <w:shd w:val="clear" w:color="auto" w:fill="FFFFFF"/>
          </w:tcPr>
          <w:p w14:paraId="3D259C99" w14:textId="77777777" w:rsidR="000610BB" w:rsidRPr="00DE12A3" w:rsidRDefault="000610BB" w:rsidP="004940FF">
            <w:pPr>
              <w:pStyle w:val="Gvdemetni360"/>
              <w:shd w:val="clear" w:color="auto" w:fill="auto"/>
              <w:spacing w:before="120" w:after="120" w:line="240" w:lineRule="auto"/>
              <w:ind w:firstLine="0"/>
              <w:rPr>
                <w:sz w:val="18"/>
                <w:szCs w:val="18"/>
              </w:rPr>
            </w:pPr>
            <w:r w:rsidRPr="00DE12A3">
              <w:rPr>
                <w:rStyle w:val="Gvdemetni367pt0ptbolukbraklyor"/>
                <w:color w:val="auto"/>
                <w:sz w:val="18"/>
                <w:szCs w:val="18"/>
              </w:rPr>
              <w:t>EN 15491</w:t>
            </w:r>
          </w:p>
        </w:tc>
      </w:tr>
      <w:tr w:rsidR="00DE12A3" w:rsidRPr="00DE12A3" w14:paraId="5D70A2C1" w14:textId="77777777" w:rsidTr="00946B82">
        <w:trPr>
          <w:trHeight w:hRule="exact" w:val="539"/>
          <w:jc w:val="center"/>
        </w:trPr>
        <w:tc>
          <w:tcPr>
            <w:tcW w:w="2987" w:type="dxa"/>
            <w:shd w:val="clear" w:color="auto" w:fill="FFFFFF"/>
          </w:tcPr>
          <w:p w14:paraId="6EEFC3B5" w14:textId="77777777" w:rsidR="000610BB" w:rsidRPr="00DE12A3" w:rsidRDefault="000610BB" w:rsidP="004940FF">
            <w:pPr>
              <w:pStyle w:val="Gvdemetni0"/>
              <w:shd w:val="clear" w:color="auto" w:fill="auto"/>
              <w:spacing w:before="120" w:after="120" w:line="240" w:lineRule="auto"/>
              <w:ind w:firstLine="0"/>
              <w:jc w:val="left"/>
              <w:rPr>
                <w:sz w:val="18"/>
              </w:rPr>
            </w:pPr>
            <w:r w:rsidRPr="00DE12A3">
              <w:rPr>
                <w:rStyle w:val="Gvdemetni85pt0ptbolukbraklyor"/>
                <w:color w:val="auto"/>
                <w:sz w:val="18"/>
              </w:rPr>
              <w:t>Görünüm</w:t>
            </w:r>
          </w:p>
        </w:tc>
        <w:tc>
          <w:tcPr>
            <w:tcW w:w="1134" w:type="dxa"/>
            <w:shd w:val="clear" w:color="auto" w:fill="FFFFFF"/>
          </w:tcPr>
          <w:p w14:paraId="7F33FA2D" w14:textId="77777777" w:rsidR="000610BB" w:rsidRPr="00DE12A3" w:rsidRDefault="000610BB" w:rsidP="004940FF">
            <w:pPr>
              <w:spacing w:before="120" w:after="120"/>
              <w:rPr>
                <w:rFonts w:cs="Times New Roman"/>
                <w:color w:val="auto"/>
                <w:sz w:val="18"/>
                <w:szCs w:val="18"/>
              </w:rPr>
            </w:pPr>
          </w:p>
        </w:tc>
        <w:tc>
          <w:tcPr>
            <w:tcW w:w="1701" w:type="dxa"/>
            <w:gridSpan w:val="2"/>
            <w:shd w:val="clear" w:color="auto" w:fill="FFFFFF"/>
          </w:tcPr>
          <w:p w14:paraId="08118145" w14:textId="77777777" w:rsidR="000610BB" w:rsidRPr="00DE12A3" w:rsidRDefault="000610BB" w:rsidP="004940FF">
            <w:pPr>
              <w:pStyle w:val="Gvdemetni360"/>
              <w:shd w:val="clear" w:color="auto" w:fill="auto"/>
              <w:spacing w:before="120" w:after="120" w:line="240" w:lineRule="auto"/>
              <w:ind w:firstLine="0"/>
              <w:jc w:val="center"/>
              <w:rPr>
                <w:sz w:val="18"/>
                <w:szCs w:val="18"/>
              </w:rPr>
            </w:pPr>
            <w:r w:rsidRPr="00DE12A3">
              <w:rPr>
                <w:spacing w:val="3"/>
                <w:sz w:val="18"/>
                <w:szCs w:val="18"/>
              </w:rPr>
              <w:t>Parlak ve temiz</w:t>
            </w:r>
          </w:p>
        </w:tc>
        <w:tc>
          <w:tcPr>
            <w:tcW w:w="1958" w:type="dxa"/>
            <w:shd w:val="clear" w:color="auto" w:fill="FFFFFF"/>
          </w:tcPr>
          <w:p w14:paraId="2298DD5B" w14:textId="77777777" w:rsidR="000610BB" w:rsidRPr="00DE12A3" w:rsidRDefault="000610BB" w:rsidP="004940FF">
            <w:pPr>
              <w:spacing w:before="120" w:after="120"/>
              <w:rPr>
                <w:rFonts w:cs="Times New Roman"/>
                <w:color w:val="auto"/>
                <w:sz w:val="18"/>
                <w:szCs w:val="18"/>
              </w:rPr>
            </w:pPr>
          </w:p>
        </w:tc>
      </w:tr>
      <w:tr w:rsidR="00DE12A3" w:rsidRPr="00DE12A3" w14:paraId="081B3345" w14:textId="77777777" w:rsidTr="004940FF">
        <w:trPr>
          <w:trHeight w:hRule="exact" w:val="528"/>
          <w:jc w:val="center"/>
        </w:trPr>
        <w:tc>
          <w:tcPr>
            <w:tcW w:w="2987" w:type="dxa"/>
            <w:shd w:val="clear" w:color="auto" w:fill="FFFFFF"/>
          </w:tcPr>
          <w:p w14:paraId="4520B6E1" w14:textId="77777777" w:rsidR="000610BB" w:rsidRPr="00DE12A3" w:rsidRDefault="000610BB" w:rsidP="004940FF">
            <w:pPr>
              <w:pStyle w:val="Gvdemetni0"/>
              <w:shd w:val="clear" w:color="auto" w:fill="auto"/>
              <w:spacing w:before="120" w:after="120" w:line="240" w:lineRule="auto"/>
              <w:ind w:firstLine="0"/>
              <w:jc w:val="left"/>
              <w:rPr>
                <w:sz w:val="18"/>
              </w:rPr>
            </w:pPr>
            <w:r w:rsidRPr="00DE12A3">
              <w:rPr>
                <w:rStyle w:val="Gvdemetni85pt0ptbolukbraklyor"/>
                <w:color w:val="auto"/>
                <w:sz w:val="18"/>
              </w:rPr>
              <w:t>Parlama noktası</w:t>
            </w:r>
          </w:p>
        </w:tc>
        <w:tc>
          <w:tcPr>
            <w:tcW w:w="1134" w:type="dxa"/>
            <w:shd w:val="clear" w:color="auto" w:fill="FFFFFF"/>
          </w:tcPr>
          <w:p w14:paraId="1314BDBE" w14:textId="77777777" w:rsidR="000610BB" w:rsidRPr="00DE12A3" w:rsidRDefault="000610BB" w:rsidP="004940FF">
            <w:pPr>
              <w:pStyle w:val="Gvdemetni360"/>
              <w:shd w:val="clear" w:color="auto" w:fill="auto"/>
              <w:spacing w:before="120" w:after="120" w:line="240" w:lineRule="auto"/>
              <w:ind w:firstLine="0"/>
              <w:jc w:val="center"/>
              <w:rPr>
                <w:sz w:val="18"/>
                <w:szCs w:val="18"/>
              </w:rPr>
            </w:pPr>
            <w:r w:rsidRPr="00DE12A3">
              <w:rPr>
                <w:rStyle w:val="Gvdemetni367pt0ptbolukbraklyor"/>
                <w:color w:val="auto"/>
                <w:sz w:val="18"/>
                <w:szCs w:val="18"/>
              </w:rPr>
              <w:t>°C</w:t>
            </w:r>
          </w:p>
        </w:tc>
        <w:tc>
          <w:tcPr>
            <w:tcW w:w="851" w:type="dxa"/>
            <w:shd w:val="clear" w:color="auto" w:fill="FFFFFF"/>
          </w:tcPr>
          <w:p w14:paraId="1DBFD9FF" w14:textId="77777777" w:rsidR="000610BB" w:rsidRPr="00DE12A3" w:rsidRDefault="000610BB" w:rsidP="004940FF">
            <w:pPr>
              <w:pStyle w:val="Gvdemetni360"/>
              <w:shd w:val="clear" w:color="auto" w:fill="auto"/>
              <w:spacing w:before="120" w:after="120" w:line="240" w:lineRule="auto"/>
              <w:ind w:firstLine="0"/>
              <w:jc w:val="center"/>
              <w:rPr>
                <w:sz w:val="18"/>
                <w:szCs w:val="18"/>
              </w:rPr>
            </w:pPr>
            <w:r w:rsidRPr="00DE12A3">
              <w:rPr>
                <w:rStyle w:val="Gvdemetni367pt0ptbolukbraklyor"/>
                <w:color w:val="auto"/>
                <w:sz w:val="18"/>
                <w:szCs w:val="18"/>
              </w:rPr>
              <w:t>10</w:t>
            </w:r>
          </w:p>
        </w:tc>
        <w:tc>
          <w:tcPr>
            <w:tcW w:w="850" w:type="dxa"/>
            <w:shd w:val="clear" w:color="auto" w:fill="FFFFFF"/>
          </w:tcPr>
          <w:p w14:paraId="641AD969" w14:textId="77777777" w:rsidR="000610BB" w:rsidRPr="00DE12A3" w:rsidRDefault="000610BB" w:rsidP="004940FF">
            <w:pPr>
              <w:spacing w:before="120" w:after="120"/>
              <w:rPr>
                <w:rFonts w:cs="Times New Roman"/>
                <w:color w:val="auto"/>
                <w:sz w:val="18"/>
                <w:szCs w:val="18"/>
              </w:rPr>
            </w:pPr>
          </w:p>
        </w:tc>
        <w:tc>
          <w:tcPr>
            <w:tcW w:w="1958" w:type="dxa"/>
            <w:shd w:val="clear" w:color="auto" w:fill="FFFFFF"/>
          </w:tcPr>
          <w:p w14:paraId="75137FD0" w14:textId="77777777" w:rsidR="000610BB" w:rsidRPr="00DE12A3" w:rsidRDefault="000610BB" w:rsidP="004940FF">
            <w:pPr>
              <w:pStyle w:val="Gvdemetni360"/>
              <w:shd w:val="clear" w:color="auto" w:fill="auto"/>
              <w:spacing w:before="120" w:after="120" w:line="240" w:lineRule="auto"/>
              <w:ind w:firstLine="0"/>
              <w:rPr>
                <w:sz w:val="18"/>
                <w:szCs w:val="18"/>
              </w:rPr>
            </w:pPr>
            <w:r w:rsidRPr="00DE12A3">
              <w:rPr>
                <w:rStyle w:val="Gvdemetni367pt0ptbolukbraklyor"/>
                <w:color w:val="auto"/>
                <w:sz w:val="18"/>
                <w:szCs w:val="18"/>
              </w:rPr>
              <w:t>EN 3679</w:t>
            </w:r>
          </w:p>
        </w:tc>
      </w:tr>
      <w:tr w:rsidR="00DE12A3" w:rsidRPr="00DE12A3" w14:paraId="4F9180B3" w14:textId="77777777" w:rsidTr="004940FF">
        <w:trPr>
          <w:trHeight w:hRule="exact" w:val="528"/>
          <w:jc w:val="center"/>
        </w:trPr>
        <w:tc>
          <w:tcPr>
            <w:tcW w:w="2987" w:type="dxa"/>
            <w:shd w:val="clear" w:color="auto" w:fill="FFFFFF"/>
          </w:tcPr>
          <w:p w14:paraId="168A9657" w14:textId="77777777" w:rsidR="000610BB" w:rsidRPr="00DE12A3" w:rsidRDefault="000610BB" w:rsidP="004940FF">
            <w:pPr>
              <w:pStyle w:val="Gvdemetni0"/>
              <w:shd w:val="clear" w:color="auto" w:fill="auto"/>
              <w:spacing w:before="120" w:after="120" w:line="240" w:lineRule="auto"/>
              <w:ind w:firstLine="0"/>
              <w:jc w:val="left"/>
              <w:rPr>
                <w:sz w:val="18"/>
              </w:rPr>
            </w:pPr>
            <w:r w:rsidRPr="00DE12A3">
              <w:rPr>
                <w:rStyle w:val="Gvdemetni85pt0ptbolukbraklyor"/>
                <w:color w:val="auto"/>
                <w:sz w:val="18"/>
              </w:rPr>
              <w:t>Kuru artık</w:t>
            </w:r>
          </w:p>
        </w:tc>
        <w:tc>
          <w:tcPr>
            <w:tcW w:w="1134" w:type="dxa"/>
            <w:shd w:val="clear" w:color="auto" w:fill="FFFFFF"/>
          </w:tcPr>
          <w:p w14:paraId="5DB64AE4" w14:textId="77777777" w:rsidR="000610BB" w:rsidRPr="00DE12A3" w:rsidRDefault="000610BB" w:rsidP="004940FF">
            <w:pPr>
              <w:pStyle w:val="Gvdemetni360"/>
              <w:shd w:val="clear" w:color="auto" w:fill="auto"/>
              <w:spacing w:before="120" w:after="120" w:line="240" w:lineRule="auto"/>
              <w:ind w:firstLine="0"/>
              <w:jc w:val="center"/>
              <w:rPr>
                <w:sz w:val="18"/>
                <w:szCs w:val="18"/>
              </w:rPr>
            </w:pPr>
            <w:r w:rsidRPr="00DE12A3">
              <w:rPr>
                <w:rStyle w:val="Gvdemetni367pt0ptbolukbraklyor"/>
                <w:color w:val="auto"/>
                <w:sz w:val="18"/>
                <w:szCs w:val="18"/>
              </w:rPr>
              <w:t>mg/kg</w:t>
            </w:r>
          </w:p>
        </w:tc>
        <w:tc>
          <w:tcPr>
            <w:tcW w:w="851" w:type="dxa"/>
            <w:shd w:val="clear" w:color="auto" w:fill="FFFFFF"/>
          </w:tcPr>
          <w:p w14:paraId="3563EB04" w14:textId="77777777" w:rsidR="000610BB" w:rsidRPr="00DE12A3" w:rsidRDefault="000610BB" w:rsidP="004940FF">
            <w:pPr>
              <w:spacing w:before="120" w:after="120"/>
              <w:rPr>
                <w:rFonts w:cs="Times New Roman"/>
                <w:color w:val="auto"/>
                <w:sz w:val="18"/>
                <w:szCs w:val="18"/>
              </w:rPr>
            </w:pPr>
          </w:p>
        </w:tc>
        <w:tc>
          <w:tcPr>
            <w:tcW w:w="850" w:type="dxa"/>
            <w:shd w:val="clear" w:color="auto" w:fill="FFFFFF"/>
          </w:tcPr>
          <w:p w14:paraId="553BB84B" w14:textId="77777777" w:rsidR="000610BB" w:rsidRPr="00DE12A3" w:rsidRDefault="000610BB" w:rsidP="004940FF">
            <w:pPr>
              <w:pStyle w:val="Gvdemetni360"/>
              <w:shd w:val="clear" w:color="auto" w:fill="auto"/>
              <w:spacing w:before="120" w:after="120" w:line="240" w:lineRule="auto"/>
              <w:ind w:firstLine="0"/>
              <w:jc w:val="center"/>
              <w:rPr>
                <w:sz w:val="18"/>
                <w:szCs w:val="18"/>
              </w:rPr>
            </w:pPr>
            <w:r w:rsidRPr="00DE12A3">
              <w:rPr>
                <w:rStyle w:val="Gvdemetni367pt0ptbolukbraklyor"/>
                <w:color w:val="auto"/>
                <w:sz w:val="18"/>
                <w:szCs w:val="18"/>
              </w:rPr>
              <w:t>15</w:t>
            </w:r>
          </w:p>
        </w:tc>
        <w:tc>
          <w:tcPr>
            <w:tcW w:w="1958" w:type="dxa"/>
            <w:shd w:val="clear" w:color="auto" w:fill="FFFFFF"/>
          </w:tcPr>
          <w:p w14:paraId="6F19E5CB" w14:textId="77777777" w:rsidR="000610BB" w:rsidRPr="00DE12A3" w:rsidRDefault="000610BB" w:rsidP="004940FF">
            <w:pPr>
              <w:pStyle w:val="Gvdemetni360"/>
              <w:shd w:val="clear" w:color="auto" w:fill="auto"/>
              <w:spacing w:before="120" w:after="120" w:line="240" w:lineRule="auto"/>
              <w:ind w:firstLine="0"/>
              <w:rPr>
                <w:sz w:val="18"/>
                <w:szCs w:val="18"/>
              </w:rPr>
            </w:pPr>
            <w:r w:rsidRPr="00DE12A3">
              <w:rPr>
                <w:rStyle w:val="Gvdemetni367pt0ptbolukbraklyor"/>
                <w:color w:val="auto"/>
                <w:sz w:val="18"/>
                <w:szCs w:val="18"/>
              </w:rPr>
              <w:t>EN 15691</w:t>
            </w:r>
          </w:p>
        </w:tc>
      </w:tr>
      <w:tr w:rsidR="00DE12A3" w:rsidRPr="00DE12A3" w14:paraId="3E0D578F" w14:textId="77777777" w:rsidTr="004940FF">
        <w:trPr>
          <w:trHeight w:hRule="exact" w:val="912"/>
          <w:jc w:val="center"/>
        </w:trPr>
        <w:tc>
          <w:tcPr>
            <w:tcW w:w="2987" w:type="dxa"/>
            <w:shd w:val="clear" w:color="auto" w:fill="FFFFFF"/>
          </w:tcPr>
          <w:p w14:paraId="1C0338DB" w14:textId="77777777" w:rsidR="000610BB" w:rsidRPr="00DE12A3" w:rsidRDefault="000610BB" w:rsidP="004940FF">
            <w:pPr>
              <w:pStyle w:val="Gvdemetni0"/>
              <w:shd w:val="clear" w:color="auto" w:fill="auto"/>
              <w:spacing w:before="120" w:after="120" w:line="240" w:lineRule="auto"/>
              <w:ind w:firstLine="0"/>
              <w:jc w:val="left"/>
              <w:rPr>
                <w:sz w:val="18"/>
              </w:rPr>
            </w:pPr>
            <w:r w:rsidRPr="00DE12A3">
              <w:rPr>
                <w:rStyle w:val="Gvdemetni85pt0ptbolukbraklyor"/>
                <w:color w:val="auto"/>
                <w:sz w:val="18"/>
              </w:rPr>
              <w:t>Su içeriği</w:t>
            </w:r>
          </w:p>
        </w:tc>
        <w:tc>
          <w:tcPr>
            <w:tcW w:w="1134" w:type="dxa"/>
            <w:shd w:val="clear" w:color="auto" w:fill="FFFFFF"/>
          </w:tcPr>
          <w:p w14:paraId="42A8FDA1" w14:textId="77777777" w:rsidR="000610BB" w:rsidRPr="00DE12A3" w:rsidRDefault="000610BB" w:rsidP="004940FF">
            <w:pPr>
              <w:pStyle w:val="Gvdemetni360"/>
              <w:shd w:val="clear" w:color="auto" w:fill="auto"/>
              <w:spacing w:before="120" w:after="120" w:line="240" w:lineRule="auto"/>
              <w:ind w:firstLine="0"/>
              <w:jc w:val="center"/>
              <w:rPr>
                <w:sz w:val="18"/>
                <w:szCs w:val="18"/>
              </w:rPr>
            </w:pPr>
            <w:r w:rsidRPr="00DE12A3">
              <w:rPr>
                <w:rStyle w:val="Gvdemetni367pt0ptbolukbraklyor"/>
                <w:color w:val="auto"/>
                <w:sz w:val="18"/>
                <w:szCs w:val="18"/>
              </w:rPr>
              <w:t>% m/m</w:t>
            </w:r>
          </w:p>
        </w:tc>
        <w:tc>
          <w:tcPr>
            <w:tcW w:w="851" w:type="dxa"/>
            <w:shd w:val="clear" w:color="auto" w:fill="FFFFFF"/>
          </w:tcPr>
          <w:p w14:paraId="6816DBAF" w14:textId="77777777" w:rsidR="000610BB" w:rsidRPr="00DE12A3" w:rsidRDefault="000610BB" w:rsidP="004940FF">
            <w:pPr>
              <w:spacing w:before="120" w:after="120"/>
              <w:rPr>
                <w:rFonts w:cs="Times New Roman"/>
                <w:color w:val="auto"/>
                <w:sz w:val="18"/>
                <w:szCs w:val="18"/>
              </w:rPr>
            </w:pPr>
          </w:p>
        </w:tc>
        <w:tc>
          <w:tcPr>
            <w:tcW w:w="850" w:type="dxa"/>
            <w:shd w:val="clear" w:color="auto" w:fill="FFFFFF"/>
          </w:tcPr>
          <w:p w14:paraId="4FF6AC61" w14:textId="77777777" w:rsidR="000610BB" w:rsidRPr="00DE12A3" w:rsidRDefault="000610BB" w:rsidP="004940FF">
            <w:pPr>
              <w:pStyle w:val="Gvdemetni360"/>
              <w:shd w:val="clear" w:color="auto" w:fill="auto"/>
              <w:spacing w:before="120" w:after="120" w:line="240" w:lineRule="auto"/>
              <w:ind w:firstLine="0"/>
              <w:jc w:val="center"/>
              <w:rPr>
                <w:sz w:val="18"/>
                <w:szCs w:val="18"/>
              </w:rPr>
            </w:pPr>
            <w:r w:rsidRPr="00DE12A3">
              <w:rPr>
                <w:rStyle w:val="Gvdemetni367pt0ptbolukbraklyor"/>
                <w:color w:val="auto"/>
                <w:sz w:val="18"/>
                <w:szCs w:val="18"/>
              </w:rPr>
              <w:t>6,5</w:t>
            </w:r>
          </w:p>
        </w:tc>
        <w:tc>
          <w:tcPr>
            <w:tcW w:w="1958" w:type="dxa"/>
            <w:shd w:val="clear" w:color="auto" w:fill="FFFFFF"/>
          </w:tcPr>
          <w:p w14:paraId="453FDCFB" w14:textId="77777777" w:rsidR="000610BB" w:rsidRPr="00DE12A3" w:rsidRDefault="000610BB" w:rsidP="004940FF">
            <w:pPr>
              <w:pStyle w:val="Gvdemetni360"/>
              <w:shd w:val="clear" w:color="auto" w:fill="auto"/>
              <w:spacing w:before="120" w:after="120" w:line="240" w:lineRule="auto"/>
              <w:ind w:firstLine="0"/>
              <w:rPr>
                <w:sz w:val="18"/>
                <w:szCs w:val="18"/>
              </w:rPr>
            </w:pPr>
            <w:r w:rsidRPr="00DE12A3">
              <w:rPr>
                <w:rStyle w:val="Gvdemetni367pt0ptbolukbraklyor"/>
                <w:color w:val="auto"/>
                <w:sz w:val="18"/>
                <w:szCs w:val="18"/>
              </w:rPr>
              <w:t>EN 15489 (</w:t>
            </w:r>
            <w:r w:rsidRPr="00DE12A3">
              <w:rPr>
                <w:rStyle w:val="Gvdemetni367pt0ptbolukbraklyor"/>
                <w:color w:val="auto"/>
                <w:sz w:val="18"/>
                <w:szCs w:val="18"/>
                <w:vertAlign w:val="superscript"/>
              </w:rPr>
              <w:t>4</w:t>
            </w:r>
            <w:r w:rsidRPr="00DE12A3">
              <w:rPr>
                <w:rStyle w:val="Gvdemetni367pt0ptbolukbraklyor"/>
                <w:color w:val="auto"/>
                <w:sz w:val="18"/>
                <w:szCs w:val="18"/>
              </w:rPr>
              <w:t>) EN-ISO 12937 EN15692</w:t>
            </w:r>
          </w:p>
        </w:tc>
      </w:tr>
      <w:tr w:rsidR="00DE12A3" w:rsidRPr="00DE12A3" w14:paraId="46537BF1" w14:textId="77777777" w:rsidTr="004940FF">
        <w:trPr>
          <w:trHeight w:hRule="exact" w:val="523"/>
          <w:jc w:val="center"/>
        </w:trPr>
        <w:tc>
          <w:tcPr>
            <w:tcW w:w="2987" w:type="dxa"/>
            <w:shd w:val="clear" w:color="auto" w:fill="FFFFFF"/>
          </w:tcPr>
          <w:p w14:paraId="20E4E2A4" w14:textId="77777777" w:rsidR="000610BB" w:rsidRPr="00DE12A3" w:rsidRDefault="000610BB" w:rsidP="004940FF">
            <w:pPr>
              <w:pStyle w:val="Gvdemetni0"/>
              <w:shd w:val="clear" w:color="auto" w:fill="auto"/>
              <w:spacing w:before="120" w:after="120" w:line="240" w:lineRule="auto"/>
              <w:ind w:firstLine="0"/>
              <w:jc w:val="left"/>
              <w:rPr>
                <w:sz w:val="18"/>
              </w:rPr>
            </w:pPr>
            <w:r w:rsidRPr="00DE12A3">
              <w:rPr>
                <w:rStyle w:val="Gvdemetni85pt0ptbolukbraklyor"/>
                <w:color w:val="auto"/>
                <w:sz w:val="18"/>
              </w:rPr>
              <w:t>Asetaldehit olarak hesaplanan aldehitler</w:t>
            </w:r>
          </w:p>
        </w:tc>
        <w:tc>
          <w:tcPr>
            <w:tcW w:w="1134" w:type="dxa"/>
            <w:shd w:val="clear" w:color="auto" w:fill="FFFFFF"/>
          </w:tcPr>
          <w:p w14:paraId="07D77151" w14:textId="77777777" w:rsidR="000610BB" w:rsidRPr="00DE12A3" w:rsidRDefault="000610BB" w:rsidP="004940FF">
            <w:pPr>
              <w:pStyle w:val="Gvdemetni360"/>
              <w:shd w:val="clear" w:color="auto" w:fill="auto"/>
              <w:spacing w:before="120" w:after="120" w:line="240" w:lineRule="auto"/>
              <w:ind w:firstLine="0"/>
              <w:jc w:val="center"/>
              <w:rPr>
                <w:sz w:val="18"/>
                <w:szCs w:val="18"/>
              </w:rPr>
            </w:pPr>
            <w:r w:rsidRPr="00DE12A3">
              <w:rPr>
                <w:rStyle w:val="Gvdemetni367pt0ptbolukbraklyor"/>
                <w:color w:val="auto"/>
                <w:sz w:val="18"/>
                <w:szCs w:val="18"/>
              </w:rPr>
              <w:t>% m/m</w:t>
            </w:r>
          </w:p>
        </w:tc>
        <w:tc>
          <w:tcPr>
            <w:tcW w:w="851" w:type="dxa"/>
            <w:shd w:val="clear" w:color="auto" w:fill="FFFFFF"/>
          </w:tcPr>
          <w:p w14:paraId="6F22EBB1" w14:textId="77777777" w:rsidR="000610BB" w:rsidRPr="00DE12A3" w:rsidRDefault="000610BB" w:rsidP="004940FF">
            <w:pPr>
              <w:spacing w:before="120" w:after="120"/>
              <w:rPr>
                <w:rFonts w:cs="Times New Roman"/>
                <w:color w:val="auto"/>
                <w:sz w:val="18"/>
                <w:szCs w:val="18"/>
              </w:rPr>
            </w:pPr>
          </w:p>
        </w:tc>
        <w:tc>
          <w:tcPr>
            <w:tcW w:w="850" w:type="dxa"/>
            <w:shd w:val="clear" w:color="auto" w:fill="FFFFFF"/>
          </w:tcPr>
          <w:p w14:paraId="29B8D924" w14:textId="77777777" w:rsidR="000610BB" w:rsidRPr="00DE12A3" w:rsidRDefault="000610BB" w:rsidP="004940FF">
            <w:pPr>
              <w:pStyle w:val="Gvdemetni360"/>
              <w:shd w:val="clear" w:color="auto" w:fill="auto"/>
              <w:spacing w:before="120" w:after="120" w:line="240" w:lineRule="auto"/>
              <w:ind w:firstLine="0"/>
              <w:jc w:val="center"/>
              <w:rPr>
                <w:sz w:val="18"/>
                <w:szCs w:val="18"/>
              </w:rPr>
            </w:pPr>
            <w:r w:rsidRPr="00DE12A3">
              <w:rPr>
                <w:rStyle w:val="Gvdemetni367pt0ptbolukbraklyor"/>
                <w:color w:val="auto"/>
                <w:sz w:val="18"/>
                <w:szCs w:val="18"/>
              </w:rPr>
              <w:t>0,0050</w:t>
            </w:r>
          </w:p>
        </w:tc>
        <w:tc>
          <w:tcPr>
            <w:tcW w:w="1958" w:type="dxa"/>
            <w:shd w:val="clear" w:color="auto" w:fill="FFFFFF"/>
          </w:tcPr>
          <w:p w14:paraId="336F0D06" w14:textId="77777777" w:rsidR="000610BB" w:rsidRPr="00DE12A3" w:rsidRDefault="000610BB" w:rsidP="004940FF">
            <w:pPr>
              <w:pStyle w:val="Gvdemetni360"/>
              <w:shd w:val="clear" w:color="auto" w:fill="auto"/>
              <w:spacing w:before="120" w:after="120" w:line="240" w:lineRule="auto"/>
              <w:ind w:firstLine="0"/>
              <w:rPr>
                <w:sz w:val="18"/>
                <w:szCs w:val="18"/>
              </w:rPr>
            </w:pPr>
            <w:r w:rsidRPr="00DE12A3">
              <w:rPr>
                <w:rStyle w:val="Gvdemetni367pt0ptbolukbraklyor"/>
                <w:color w:val="auto"/>
                <w:sz w:val="18"/>
                <w:szCs w:val="18"/>
              </w:rPr>
              <w:t>ISO 1388-4</w:t>
            </w:r>
          </w:p>
        </w:tc>
      </w:tr>
      <w:tr w:rsidR="00DE12A3" w:rsidRPr="00DE12A3" w14:paraId="78102FC1" w14:textId="77777777" w:rsidTr="004940FF">
        <w:trPr>
          <w:trHeight w:hRule="exact" w:val="528"/>
          <w:jc w:val="center"/>
        </w:trPr>
        <w:tc>
          <w:tcPr>
            <w:tcW w:w="2987" w:type="dxa"/>
            <w:shd w:val="clear" w:color="auto" w:fill="FFFFFF"/>
          </w:tcPr>
          <w:p w14:paraId="0BC6A173" w14:textId="77777777" w:rsidR="000610BB" w:rsidRPr="00DE12A3" w:rsidRDefault="000610BB" w:rsidP="004940FF">
            <w:pPr>
              <w:pStyle w:val="Gvdemetni0"/>
              <w:shd w:val="clear" w:color="auto" w:fill="auto"/>
              <w:spacing w:before="120" w:after="120" w:line="240" w:lineRule="auto"/>
              <w:ind w:firstLine="0"/>
              <w:jc w:val="left"/>
              <w:rPr>
                <w:sz w:val="18"/>
              </w:rPr>
            </w:pPr>
            <w:r w:rsidRPr="00DE12A3">
              <w:rPr>
                <w:rStyle w:val="Gvdemetni85pt0ptbolukbraklyor"/>
                <w:color w:val="auto"/>
                <w:sz w:val="18"/>
              </w:rPr>
              <w:t>Etil asetat olarak hesaplanan esterler</w:t>
            </w:r>
          </w:p>
        </w:tc>
        <w:tc>
          <w:tcPr>
            <w:tcW w:w="1134" w:type="dxa"/>
            <w:shd w:val="clear" w:color="auto" w:fill="FFFFFF"/>
          </w:tcPr>
          <w:p w14:paraId="5E2C6489" w14:textId="77777777" w:rsidR="000610BB" w:rsidRPr="00DE12A3" w:rsidRDefault="000610BB" w:rsidP="004940FF">
            <w:pPr>
              <w:pStyle w:val="Gvdemetni360"/>
              <w:shd w:val="clear" w:color="auto" w:fill="auto"/>
              <w:spacing w:before="120" w:after="120" w:line="240" w:lineRule="auto"/>
              <w:ind w:firstLine="0"/>
              <w:jc w:val="center"/>
              <w:rPr>
                <w:sz w:val="18"/>
                <w:szCs w:val="18"/>
              </w:rPr>
            </w:pPr>
            <w:r w:rsidRPr="00DE12A3">
              <w:rPr>
                <w:rStyle w:val="Gvdemetni367pt0ptbolukbraklyor"/>
                <w:color w:val="auto"/>
                <w:sz w:val="18"/>
                <w:szCs w:val="18"/>
              </w:rPr>
              <w:t>% m/m</w:t>
            </w:r>
          </w:p>
        </w:tc>
        <w:tc>
          <w:tcPr>
            <w:tcW w:w="851" w:type="dxa"/>
            <w:shd w:val="clear" w:color="auto" w:fill="FFFFFF"/>
          </w:tcPr>
          <w:p w14:paraId="6819B89B" w14:textId="77777777" w:rsidR="000610BB" w:rsidRPr="00DE12A3" w:rsidRDefault="000610BB" w:rsidP="004940FF">
            <w:pPr>
              <w:spacing w:before="120" w:after="120"/>
              <w:rPr>
                <w:rFonts w:cs="Times New Roman"/>
                <w:color w:val="auto"/>
                <w:sz w:val="18"/>
                <w:szCs w:val="18"/>
              </w:rPr>
            </w:pPr>
          </w:p>
        </w:tc>
        <w:tc>
          <w:tcPr>
            <w:tcW w:w="850" w:type="dxa"/>
            <w:shd w:val="clear" w:color="auto" w:fill="FFFFFF"/>
          </w:tcPr>
          <w:p w14:paraId="3DCBEE2C" w14:textId="77777777" w:rsidR="000610BB" w:rsidRPr="00DE12A3" w:rsidRDefault="000610BB" w:rsidP="004940FF">
            <w:pPr>
              <w:pStyle w:val="Gvdemetni360"/>
              <w:shd w:val="clear" w:color="auto" w:fill="auto"/>
              <w:spacing w:before="120" w:after="120" w:line="240" w:lineRule="auto"/>
              <w:ind w:firstLine="0"/>
              <w:jc w:val="center"/>
              <w:rPr>
                <w:sz w:val="18"/>
                <w:szCs w:val="18"/>
              </w:rPr>
            </w:pPr>
            <w:r w:rsidRPr="00DE12A3">
              <w:rPr>
                <w:rStyle w:val="Gvdemetni3675pt0ptbolukbraklyor"/>
                <w:color w:val="auto"/>
                <w:sz w:val="18"/>
                <w:szCs w:val="18"/>
              </w:rPr>
              <w:t>0,1</w:t>
            </w:r>
          </w:p>
        </w:tc>
        <w:tc>
          <w:tcPr>
            <w:tcW w:w="1958" w:type="dxa"/>
            <w:shd w:val="clear" w:color="auto" w:fill="FFFFFF"/>
          </w:tcPr>
          <w:p w14:paraId="537CDBFC" w14:textId="77777777" w:rsidR="000610BB" w:rsidRPr="00DE12A3" w:rsidRDefault="000610BB" w:rsidP="004940FF">
            <w:pPr>
              <w:pStyle w:val="Gvdemetni360"/>
              <w:shd w:val="clear" w:color="auto" w:fill="auto"/>
              <w:spacing w:before="120" w:after="120" w:line="240" w:lineRule="auto"/>
              <w:ind w:firstLine="0"/>
              <w:rPr>
                <w:sz w:val="18"/>
                <w:szCs w:val="18"/>
              </w:rPr>
            </w:pPr>
            <w:r w:rsidRPr="00DE12A3">
              <w:rPr>
                <w:rStyle w:val="Gvdemetni367pt0ptbolukbraklyor"/>
                <w:color w:val="auto"/>
                <w:sz w:val="18"/>
                <w:szCs w:val="18"/>
              </w:rPr>
              <w:t>ASTM D1617</w:t>
            </w:r>
          </w:p>
        </w:tc>
      </w:tr>
      <w:tr w:rsidR="00DE12A3" w:rsidRPr="00DE12A3" w14:paraId="02BA4005" w14:textId="77777777" w:rsidTr="004940FF">
        <w:trPr>
          <w:trHeight w:hRule="exact" w:val="720"/>
          <w:jc w:val="center"/>
        </w:trPr>
        <w:tc>
          <w:tcPr>
            <w:tcW w:w="2987" w:type="dxa"/>
            <w:shd w:val="clear" w:color="auto" w:fill="FFFFFF"/>
          </w:tcPr>
          <w:p w14:paraId="2004FDD2" w14:textId="77777777" w:rsidR="000610BB" w:rsidRPr="00DE12A3" w:rsidRDefault="000610BB" w:rsidP="004940FF">
            <w:pPr>
              <w:pStyle w:val="Gvdemetni0"/>
              <w:shd w:val="clear" w:color="auto" w:fill="auto"/>
              <w:spacing w:before="120" w:after="120" w:line="240" w:lineRule="auto"/>
              <w:ind w:firstLine="0"/>
              <w:jc w:val="left"/>
              <w:rPr>
                <w:sz w:val="18"/>
              </w:rPr>
            </w:pPr>
            <w:r w:rsidRPr="00DE12A3">
              <w:rPr>
                <w:rStyle w:val="Gvdemetni85pt0ptbolukbraklyor"/>
                <w:color w:val="auto"/>
                <w:sz w:val="18"/>
              </w:rPr>
              <w:t>Kükürt içeriği</w:t>
            </w:r>
          </w:p>
        </w:tc>
        <w:tc>
          <w:tcPr>
            <w:tcW w:w="1134" w:type="dxa"/>
            <w:shd w:val="clear" w:color="auto" w:fill="FFFFFF"/>
          </w:tcPr>
          <w:p w14:paraId="7A8A1AC1" w14:textId="77777777" w:rsidR="000610BB" w:rsidRPr="00DE12A3" w:rsidRDefault="000610BB" w:rsidP="004940FF">
            <w:pPr>
              <w:pStyle w:val="Gvdemetni360"/>
              <w:shd w:val="clear" w:color="auto" w:fill="auto"/>
              <w:spacing w:before="120" w:after="120" w:line="240" w:lineRule="auto"/>
              <w:ind w:firstLine="0"/>
              <w:jc w:val="center"/>
              <w:rPr>
                <w:sz w:val="18"/>
                <w:szCs w:val="18"/>
              </w:rPr>
            </w:pPr>
            <w:r w:rsidRPr="00DE12A3">
              <w:rPr>
                <w:rStyle w:val="Gvdemetni367pt0ptbolukbraklyor"/>
                <w:color w:val="auto"/>
                <w:sz w:val="18"/>
                <w:szCs w:val="18"/>
              </w:rPr>
              <w:t>mg/kg</w:t>
            </w:r>
          </w:p>
        </w:tc>
        <w:tc>
          <w:tcPr>
            <w:tcW w:w="851" w:type="dxa"/>
            <w:shd w:val="clear" w:color="auto" w:fill="FFFFFF"/>
          </w:tcPr>
          <w:p w14:paraId="1F316A88" w14:textId="77777777" w:rsidR="000610BB" w:rsidRPr="00DE12A3" w:rsidRDefault="000610BB" w:rsidP="004940FF">
            <w:pPr>
              <w:spacing w:before="120" w:after="120"/>
              <w:rPr>
                <w:rFonts w:cs="Times New Roman"/>
                <w:color w:val="auto"/>
                <w:sz w:val="18"/>
                <w:szCs w:val="18"/>
              </w:rPr>
            </w:pPr>
          </w:p>
        </w:tc>
        <w:tc>
          <w:tcPr>
            <w:tcW w:w="850" w:type="dxa"/>
            <w:shd w:val="clear" w:color="auto" w:fill="FFFFFF"/>
          </w:tcPr>
          <w:p w14:paraId="45D0A62B" w14:textId="77777777" w:rsidR="000610BB" w:rsidRPr="00DE12A3" w:rsidRDefault="000610BB" w:rsidP="004940FF">
            <w:pPr>
              <w:pStyle w:val="Gvdemetni360"/>
              <w:shd w:val="clear" w:color="auto" w:fill="auto"/>
              <w:spacing w:before="120" w:after="120" w:line="240" w:lineRule="auto"/>
              <w:ind w:firstLine="0"/>
              <w:jc w:val="center"/>
              <w:rPr>
                <w:sz w:val="18"/>
                <w:szCs w:val="18"/>
              </w:rPr>
            </w:pPr>
            <w:r w:rsidRPr="00DE12A3">
              <w:rPr>
                <w:rStyle w:val="Gvdemetni367pt0ptbolukbraklyor"/>
                <w:color w:val="auto"/>
                <w:sz w:val="18"/>
                <w:szCs w:val="18"/>
              </w:rPr>
              <w:t>10,0</w:t>
            </w:r>
          </w:p>
        </w:tc>
        <w:tc>
          <w:tcPr>
            <w:tcW w:w="1958" w:type="dxa"/>
            <w:shd w:val="clear" w:color="auto" w:fill="FFFFFF"/>
          </w:tcPr>
          <w:p w14:paraId="70839363" w14:textId="77777777" w:rsidR="000610BB" w:rsidRPr="00DE12A3" w:rsidRDefault="000610BB" w:rsidP="004940FF">
            <w:pPr>
              <w:pStyle w:val="Gvdemetni360"/>
              <w:shd w:val="clear" w:color="auto" w:fill="auto"/>
              <w:spacing w:before="120" w:after="120" w:line="240" w:lineRule="auto"/>
              <w:ind w:left="100" w:firstLine="0"/>
              <w:jc w:val="left"/>
              <w:rPr>
                <w:sz w:val="18"/>
                <w:szCs w:val="18"/>
              </w:rPr>
            </w:pPr>
            <w:r w:rsidRPr="00DE12A3">
              <w:rPr>
                <w:rStyle w:val="Gvdemetni367pt0ptbolukbraklyor"/>
                <w:color w:val="auto"/>
                <w:sz w:val="18"/>
                <w:szCs w:val="18"/>
              </w:rPr>
              <w:t>EN 15485 EN 15486</w:t>
            </w:r>
          </w:p>
        </w:tc>
      </w:tr>
      <w:tr w:rsidR="00DE12A3" w:rsidRPr="00DE12A3" w14:paraId="4F0BE878" w14:textId="77777777" w:rsidTr="004940FF">
        <w:trPr>
          <w:trHeight w:hRule="exact" w:val="528"/>
          <w:jc w:val="center"/>
        </w:trPr>
        <w:tc>
          <w:tcPr>
            <w:tcW w:w="2987" w:type="dxa"/>
            <w:shd w:val="clear" w:color="auto" w:fill="FFFFFF"/>
          </w:tcPr>
          <w:p w14:paraId="3E36A774" w14:textId="77777777" w:rsidR="000610BB" w:rsidRPr="00DE12A3" w:rsidRDefault="000610BB" w:rsidP="004940FF">
            <w:pPr>
              <w:pStyle w:val="Gvdemetni0"/>
              <w:shd w:val="clear" w:color="auto" w:fill="auto"/>
              <w:spacing w:before="120" w:after="120" w:line="240" w:lineRule="auto"/>
              <w:ind w:firstLine="0"/>
              <w:jc w:val="left"/>
              <w:rPr>
                <w:sz w:val="18"/>
              </w:rPr>
            </w:pPr>
            <w:r w:rsidRPr="00DE12A3">
              <w:rPr>
                <w:rStyle w:val="Gvdemetni85pt0ptbolukbraklyor"/>
                <w:color w:val="auto"/>
                <w:sz w:val="18"/>
              </w:rPr>
              <w:t>Sülfatlar</w:t>
            </w:r>
          </w:p>
        </w:tc>
        <w:tc>
          <w:tcPr>
            <w:tcW w:w="1134" w:type="dxa"/>
            <w:shd w:val="clear" w:color="auto" w:fill="FFFFFF"/>
          </w:tcPr>
          <w:p w14:paraId="51C2EA5A" w14:textId="77777777" w:rsidR="000610BB" w:rsidRPr="00DE12A3" w:rsidRDefault="000610BB" w:rsidP="004940FF">
            <w:pPr>
              <w:pStyle w:val="Gvdemetni360"/>
              <w:shd w:val="clear" w:color="auto" w:fill="auto"/>
              <w:spacing w:before="120" w:after="120" w:line="240" w:lineRule="auto"/>
              <w:ind w:firstLine="0"/>
              <w:jc w:val="center"/>
              <w:rPr>
                <w:sz w:val="18"/>
                <w:szCs w:val="18"/>
              </w:rPr>
            </w:pPr>
            <w:r w:rsidRPr="00DE12A3">
              <w:rPr>
                <w:rStyle w:val="Gvdemetni367pt0ptbolukbraklyor"/>
                <w:color w:val="auto"/>
                <w:sz w:val="18"/>
                <w:szCs w:val="18"/>
              </w:rPr>
              <w:t>mg/kg</w:t>
            </w:r>
          </w:p>
        </w:tc>
        <w:tc>
          <w:tcPr>
            <w:tcW w:w="851" w:type="dxa"/>
            <w:shd w:val="clear" w:color="auto" w:fill="FFFFFF"/>
          </w:tcPr>
          <w:p w14:paraId="3DA56E0A" w14:textId="77777777" w:rsidR="000610BB" w:rsidRPr="00DE12A3" w:rsidRDefault="000610BB" w:rsidP="004940FF">
            <w:pPr>
              <w:spacing w:before="120" w:after="120"/>
              <w:rPr>
                <w:rFonts w:cs="Times New Roman"/>
                <w:color w:val="auto"/>
                <w:sz w:val="18"/>
                <w:szCs w:val="18"/>
              </w:rPr>
            </w:pPr>
          </w:p>
        </w:tc>
        <w:tc>
          <w:tcPr>
            <w:tcW w:w="850" w:type="dxa"/>
            <w:shd w:val="clear" w:color="auto" w:fill="FFFFFF"/>
          </w:tcPr>
          <w:p w14:paraId="0E7B4C54" w14:textId="77777777" w:rsidR="000610BB" w:rsidRPr="00DE12A3" w:rsidRDefault="000610BB" w:rsidP="004940FF">
            <w:pPr>
              <w:pStyle w:val="Gvdemetni360"/>
              <w:shd w:val="clear" w:color="auto" w:fill="auto"/>
              <w:spacing w:before="120" w:after="120" w:line="240" w:lineRule="auto"/>
              <w:ind w:firstLine="0"/>
              <w:jc w:val="center"/>
              <w:rPr>
                <w:sz w:val="18"/>
                <w:szCs w:val="18"/>
              </w:rPr>
            </w:pPr>
            <w:r w:rsidRPr="00DE12A3">
              <w:rPr>
                <w:rStyle w:val="Gvdemetni367pt0ptbolukbraklyor"/>
                <w:color w:val="auto"/>
                <w:sz w:val="18"/>
                <w:szCs w:val="18"/>
              </w:rPr>
              <w:t>4,0</w:t>
            </w:r>
          </w:p>
        </w:tc>
        <w:tc>
          <w:tcPr>
            <w:tcW w:w="1958" w:type="dxa"/>
            <w:shd w:val="clear" w:color="auto" w:fill="FFFFFF"/>
          </w:tcPr>
          <w:p w14:paraId="2B2BEC10" w14:textId="77777777" w:rsidR="000610BB" w:rsidRPr="00DE12A3" w:rsidRDefault="000610BB" w:rsidP="004940FF">
            <w:pPr>
              <w:pStyle w:val="Gvdemetni360"/>
              <w:shd w:val="clear" w:color="auto" w:fill="auto"/>
              <w:spacing w:before="120" w:after="120" w:line="240" w:lineRule="auto"/>
              <w:ind w:firstLine="0"/>
              <w:rPr>
                <w:sz w:val="18"/>
                <w:szCs w:val="18"/>
              </w:rPr>
            </w:pPr>
            <w:r w:rsidRPr="00DE12A3">
              <w:rPr>
                <w:rStyle w:val="Gvdemetni367pt0ptbolukbraklyor"/>
                <w:color w:val="auto"/>
                <w:sz w:val="18"/>
                <w:szCs w:val="18"/>
              </w:rPr>
              <w:t>EN 15492</w:t>
            </w:r>
          </w:p>
        </w:tc>
      </w:tr>
      <w:tr w:rsidR="00DE12A3" w:rsidRPr="00DE12A3" w14:paraId="5D792403" w14:textId="77777777" w:rsidTr="004940FF">
        <w:trPr>
          <w:trHeight w:hRule="exact" w:val="528"/>
          <w:jc w:val="center"/>
        </w:trPr>
        <w:tc>
          <w:tcPr>
            <w:tcW w:w="2987" w:type="dxa"/>
            <w:shd w:val="clear" w:color="auto" w:fill="FFFFFF"/>
          </w:tcPr>
          <w:p w14:paraId="16E22873" w14:textId="77777777" w:rsidR="000610BB" w:rsidRPr="00DE12A3" w:rsidRDefault="007E2039" w:rsidP="004940FF">
            <w:pPr>
              <w:pStyle w:val="Gvdemetni0"/>
              <w:shd w:val="clear" w:color="auto" w:fill="auto"/>
              <w:spacing w:before="120" w:after="120" w:line="240" w:lineRule="auto"/>
              <w:ind w:firstLine="0"/>
              <w:jc w:val="left"/>
              <w:rPr>
                <w:sz w:val="18"/>
              </w:rPr>
            </w:pPr>
            <w:r w:rsidRPr="00DE12A3">
              <w:rPr>
                <w:rStyle w:val="Gvdemetni85pt0ptbolukbraklyor"/>
                <w:color w:val="auto"/>
                <w:sz w:val="18"/>
              </w:rPr>
              <w:t xml:space="preserve">Partikül </w:t>
            </w:r>
            <w:r w:rsidR="000610BB" w:rsidRPr="00DE12A3">
              <w:rPr>
                <w:rStyle w:val="Gvdemetni85pt0ptbolukbraklyor"/>
                <w:color w:val="auto"/>
                <w:sz w:val="18"/>
              </w:rPr>
              <w:t>kirlilik</w:t>
            </w:r>
          </w:p>
        </w:tc>
        <w:tc>
          <w:tcPr>
            <w:tcW w:w="1134" w:type="dxa"/>
            <w:shd w:val="clear" w:color="auto" w:fill="FFFFFF"/>
          </w:tcPr>
          <w:p w14:paraId="7D3689FB" w14:textId="77777777" w:rsidR="000610BB" w:rsidRPr="00DE12A3" w:rsidRDefault="000610BB" w:rsidP="004940FF">
            <w:pPr>
              <w:pStyle w:val="Gvdemetni360"/>
              <w:shd w:val="clear" w:color="auto" w:fill="auto"/>
              <w:spacing w:before="120" w:after="120" w:line="240" w:lineRule="auto"/>
              <w:ind w:firstLine="0"/>
              <w:jc w:val="center"/>
              <w:rPr>
                <w:sz w:val="18"/>
                <w:szCs w:val="18"/>
              </w:rPr>
            </w:pPr>
            <w:r w:rsidRPr="00DE12A3">
              <w:rPr>
                <w:rStyle w:val="Gvdemetni367pt0ptbolukbraklyor"/>
                <w:color w:val="auto"/>
                <w:sz w:val="18"/>
                <w:szCs w:val="18"/>
              </w:rPr>
              <w:t>mg/kg</w:t>
            </w:r>
          </w:p>
        </w:tc>
        <w:tc>
          <w:tcPr>
            <w:tcW w:w="851" w:type="dxa"/>
            <w:shd w:val="clear" w:color="auto" w:fill="FFFFFF"/>
          </w:tcPr>
          <w:p w14:paraId="305869F4" w14:textId="77777777" w:rsidR="000610BB" w:rsidRPr="00DE12A3" w:rsidRDefault="000610BB" w:rsidP="004940FF">
            <w:pPr>
              <w:spacing w:before="120" w:after="120"/>
              <w:rPr>
                <w:rFonts w:cs="Times New Roman"/>
                <w:color w:val="auto"/>
                <w:sz w:val="18"/>
                <w:szCs w:val="18"/>
              </w:rPr>
            </w:pPr>
          </w:p>
        </w:tc>
        <w:tc>
          <w:tcPr>
            <w:tcW w:w="850" w:type="dxa"/>
            <w:shd w:val="clear" w:color="auto" w:fill="FFFFFF"/>
          </w:tcPr>
          <w:p w14:paraId="4AE59493" w14:textId="77777777" w:rsidR="000610BB" w:rsidRPr="00DE12A3" w:rsidRDefault="000610BB" w:rsidP="004940FF">
            <w:pPr>
              <w:pStyle w:val="Gvdemetni360"/>
              <w:shd w:val="clear" w:color="auto" w:fill="auto"/>
              <w:spacing w:before="120" w:after="120" w:line="240" w:lineRule="auto"/>
              <w:ind w:firstLine="0"/>
              <w:jc w:val="center"/>
              <w:rPr>
                <w:sz w:val="18"/>
                <w:szCs w:val="18"/>
              </w:rPr>
            </w:pPr>
            <w:r w:rsidRPr="00DE12A3">
              <w:rPr>
                <w:rStyle w:val="Gvdemetni367pt0ptbolukbraklyor"/>
                <w:color w:val="auto"/>
                <w:sz w:val="18"/>
                <w:szCs w:val="18"/>
              </w:rPr>
              <w:t>24</w:t>
            </w:r>
          </w:p>
        </w:tc>
        <w:tc>
          <w:tcPr>
            <w:tcW w:w="1958" w:type="dxa"/>
            <w:shd w:val="clear" w:color="auto" w:fill="FFFFFF"/>
          </w:tcPr>
          <w:p w14:paraId="6481AA8F" w14:textId="77777777" w:rsidR="000610BB" w:rsidRPr="00DE12A3" w:rsidRDefault="000610BB" w:rsidP="004940FF">
            <w:pPr>
              <w:pStyle w:val="Gvdemetni360"/>
              <w:shd w:val="clear" w:color="auto" w:fill="auto"/>
              <w:spacing w:before="120" w:after="120" w:line="240" w:lineRule="auto"/>
              <w:ind w:firstLine="0"/>
              <w:rPr>
                <w:sz w:val="18"/>
                <w:szCs w:val="18"/>
              </w:rPr>
            </w:pPr>
            <w:r w:rsidRPr="00DE12A3">
              <w:rPr>
                <w:rStyle w:val="Gvdemetni367pt0ptbolukbraklyor"/>
                <w:color w:val="auto"/>
                <w:sz w:val="18"/>
                <w:szCs w:val="18"/>
              </w:rPr>
              <w:t>EN 12662</w:t>
            </w:r>
          </w:p>
        </w:tc>
      </w:tr>
      <w:tr w:rsidR="00DE12A3" w:rsidRPr="00DE12A3" w14:paraId="78E9D307" w14:textId="77777777" w:rsidTr="004940FF">
        <w:trPr>
          <w:trHeight w:hRule="exact" w:val="528"/>
          <w:jc w:val="center"/>
        </w:trPr>
        <w:tc>
          <w:tcPr>
            <w:tcW w:w="2987" w:type="dxa"/>
            <w:shd w:val="clear" w:color="auto" w:fill="FFFFFF"/>
          </w:tcPr>
          <w:p w14:paraId="0B676ECB" w14:textId="77777777" w:rsidR="000610BB" w:rsidRPr="00DE12A3" w:rsidRDefault="000610BB" w:rsidP="004940FF">
            <w:pPr>
              <w:pStyle w:val="Gvdemetni0"/>
              <w:shd w:val="clear" w:color="auto" w:fill="auto"/>
              <w:spacing w:before="120" w:after="120" w:line="240" w:lineRule="auto"/>
              <w:ind w:firstLine="0"/>
              <w:jc w:val="left"/>
              <w:rPr>
                <w:sz w:val="18"/>
              </w:rPr>
            </w:pPr>
            <w:r w:rsidRPr="00DE12A3">
              <w:rPr>
                <w:rStyle w:val="Gvdemetni85pt0ptbolukbraklyor"/>
                <w:color w:val="auto"/>
                <w:sz w:val="18"/>
              </w:rPr>
              <w:t>Fosfor</w:t>
            </w:r>
          </w:p>
        </w:tc>
        <w:tc>
          <w:tcPr>
            <w:tcW w:w="1134" w:type="dxa"/>
            <w:shd w:val="clear" w:color="auto" w:fill="FFFFFF"/>
          </w:tcPr>
          <w:p w14:paraId="1A122436" w14:textId="77777777" w:rsidR="000610BB" w:rsidRPr="00DE12A3" w:rsidRDefault="000610BB" w:rsidP="004940FF">
            <w:pPr>
              <w:pStyle w:val="Gvdemetni360"/>
              <w:shd w:val="clear" w:color="auto" w:fill="auto"/>
              <w:spacing w:before="120" w:after="120" w:line="240" w:lineRule="auto"/>
              <w:ind w:firstLine="0"/>
              <w:jc w:val="center"/>
              <w:rPr>
                <w:sz w:val="18"/>
                <w:szCs w:val="18"/>
              </w:rPr>
            </w:pPr>
            <w:r w:rsidRPr="00DE12A3">
              <w:rPr>
                <w:rStyle w:val="Gvdemetni367pt0ptbolukbraklyor"/>
                <w:color w:val="auto"/>
                <w:sz w:val="18"/>
                <w:szCs w:val="18"/>
              </w:rPr>
              <w:t>mg/l</w:t>
            </w:r>
          </w:p>
        </w:tc>
        <w:tc>
          <w:tcPr>
            <w:tcW w:w="851" w:type="dxa"/>
            <w:shd w:val="clear" w:color="auto" w:fill="FFFFFF"/>
          </w:tcPr>
          <w:p w14:paraId="4503E384" w14:textId="77777777" w:rsidR="000610BB" w:rsidRPr="00DE12A3" w:rsidRDefault="000610BB" w:rsidP="004940FF">
            <w:pPr>
              <w:spacing w:before="120" w:after="120"/>
              <w:rPr>
                <w:rFonts w:cs="Times New Roman"/>
                <w:color w:val="auto"/>
                <w:sz w:val="18"/>
                <w:szCs w:val="18"/>
              </w:rPr>
            </w:pPr>
          </w:p>
        </w:tc>
        <w:tc>
          <w:tcPr>
            <w:tcW w:w="850" w:type="dxa"/>
            <w:shd w:val="clear" w:color="auto" w:fill="FFFFFF"/>
          </w:tcPr>
          <w:p w14:paraId="413C05C3" w14:textId="77777777" w:rsidR="000610BB" w:rsidRPr="00DE12A3" w:rsidRDefault="000610BB" w:rsidP="004940FF">
            <w:pPr>
              <w:pStyle w:val="Gvdemetni360"/>
              <w:shd w:val="clear" w:color="auto" w:fill="auto"/>
              <w:spacing w:before="120" w:after="120" w:line="240" w:lineRule="auto"/>
              <w:ind w:firstLine="0"/>
              <w:jc w:val="center"/>
              <w:rPr>
                <w:sz w:val="18"/>
                <w:szCs w:val="18"/>
              </w:rPr>
            </w:pPr>
            <w:r w:rsidRPr="00DE12A3">
              <w:rPr>
                <w:rStyle w:val="Gvdemetni3675pt0ptbolukbraklyor"/>
                <w:color w:val="auto"/>
                <w:sz w:val="18"/>
                <w:szCs w:val="18"/>
              </w:rPr>
              <w:t>0,20</w:t>
            </w:r>
          </w:p>
        </w:tc>
        <w:tc>
          <w:tcPr>
            <w:tcW w:w="1958" w:type="dxa"/>
            <w:shd w:val="clear" w:color="auto" w:fill="FFFFFF"/>
          </w:tcPr>
          <w:p w14:paraId="36B5D645" w14:textId="77777777" w:rsidR="000610BB" w:rsidRPr="00DE12A3" w:rsidRDefault="000610BB" w:rsidP="004940FF">
            <w:pPr>
              <w:pStyle w:val="Gvdemetni360"/>
              <w:shd w:val="clear" w:color="auto" w:fill="auto"/>
              <w:spacing w:before="120" w:after="120" w:line="240" w:lineRule="auto"/>
              <w:ind w:firstLine="0"/>
              <w:rPr>
                <w:sz w:val="18"/>
                <w:szCs w:val="18"/>
              </w:rPr>
            </w:pPr>
            <w:r w:rsidRPr="00DE12A3">
              <w:rPr>
                <w:rStyle w:val="Gvdemetni367pt0ptbolukbraklyor"/>
                <w:color w:val="auto"/>
                <w:sz w:val="18"/>
                <w:szCs w:val="18"/>
              </w:rPr>
              <w:t>EN 15487</w:t>
            </w:r>
          </w:p>
        </w:tc>
      </w:tr>
      <w:tr w:rsidR="00DE12A3" w:rsidRPr="00DE12A3" w14:paraId="3E6D320E" w14:textId="77777777" w:rsidTr="004940FF">
        <w:trPr>
          <w:trHeight w:hRule="exact" w:val="720"/>
          <w:jc w:val="center"/>
        </w:trPr>
        <w:tc>
          <w:tcPr>
            <w:tcW w:w="2987" w:type="dxa"/>
            <w:shd w:val="clear" w:color="auto" w:fill="FFFFFF"/>
          </w:tcPr>
          <w:p w14:paraId="3D51BC10" w14:textId="77777777" w:rsidR="000610BB" w:rsidRPr="00DE12A3" w:rsidRDefault="000610BB" w:rsidP="004940FF">
            <w:pPr>
              <w:pStyle w:val="Gvdemetni0"/>
              <w:shd w:val="clear" w:color="auto" w:fill="auto"/>
              <w:spacing w:before="120" w:after="120" w:line="240" w:lineRule="auto"/>
              <w:ind w:firstLine="0"/>
              <w:jc w:val="left"/>
              <w:rPr>
                <w:sz w:val="18"/>
              </w:rPr>
            </w:pPr>
            <w:r w:rsidRPr="00DE12A3">
              <w:rPr>
                <w:rStyle w:val="Gvdemetni85pt0ptbolukbraklyor"/>
                <w:color w:val="auto"/>
                <w:sz w:val="18"/>
              </w:rPr>
              <w:t>İnorganik klorür</w:t>
            </w:r>
          </w:p>
        </w:tc>
        <w:tc>
          <w:tcPr>
            <w:tcW w:w="1134" w:type="dxa"/>
            <w:shd w:val="clear" w:color="auto" w:fill="FFFFFF"/>
          </w:tcPr>
          <w:p w14:paraId="03A889DB" w14:textId="77777777" w:rsidR="000610BB" w:rsidRPr="00DE12A3" w:rsidRDefault="000610BB" w:rsidP="004940FF">
            <w:pPr>
              <w:pStyle w:val="Gvdemetni360"/>
              <w:shd w:val="clear" w:color="auto" w:fill="auto"/>
              <w:spacing w:before="120" w:after="120" w:line="240" w:lineRule="auto"/>
              <w:ind w:firstLine="0"/>
              <w:jc w:val="center"/>
              <w:rPr>
                <w:sz w:val="18"/>
                <w:szCs w:val="18"/>
              </w:rPr>
            </w:pPr>
            <w:r w:rsidRPr="00DE12A3">
              <w:rPr>
                <w:rStyle w:val="Gvdemetni367pt0ptbolukbraklyor"/>
                <w:color w:val="auto"/>
                <w:sz w:val="18"/>
                <w:szCs w:val="18"/>
              </w:rPr>
              <w:t>mg/kg</w:t>
            </w:r>
          </w:p>
        </w:tc>
        <w:tc>
          <w:tcPr>
            <w:tcW w:w="851" w:type="dxa"/>
            <w:shd w:val="clear" w:color="auto" w:fill="FFFFFF"/>
          </w:tcPr>
          <w:p w14:paraId="73BD5A71" w14:textId="77777777" w:rsidR="000610BB" w:rsidRPr="00DE12A3" w:rsidRDefault="000610BB" w:rsidP="004940FF">
            <w:pPr>
              <w:spacing w:before="120" w:after="120"/>
              <w:rPr>
                <w:rFonts w:cs="Times New Roman"/>
                <w:color w:val="auto"/>
                <w:sz w:val="18"/>
                <w:szCs w:val="18"/>
              </w:rPr>
            </w:pPr>
          </w:p>
        </w:tc>
        <w:tc>
          <w:tcPr>
            <w:tcW w:w="850" w:type="dxa"/>
            <w:shd w:val="clear" w:color="auto" w:fill="FFFFFF"/>
          </w:tcPr>
          <w:p w14:paraId="4243909F" w14:textId="77777777" w:rsidR="000610BB" w:rsidRPr="00DE12A3" w:rsidRDefault="000610BB" w:rsidP="004940FF">
            <w:pPr>
              <w:pStyle w:val="Gvdemetni360"/>
              <w:shd w:val="clear" w:color="auto" w:fill="auto"/>
              <w:spacing w:before="120" w:after="120" w:line="240" w:lineRule="auto"/>
              <w:ind w:firstLine="0"/>
              <w:jc w:val="center"/>
              <w:rPr>
                <w:sz w:val="18"/>
                <w:szCs w:val="18"/>
              </w:rPr>
            </w:pPr>
            <w:r w:rsidRPr="00DE12A3">
              <w:rPr>
                <w:rStyle w:val="Gvdemetni367pt0ptbolukbraklyor"/>
                <w:color w:val="auto"/>
                <w:sz w:val="18"/>
                <w:szCs w:val="18"/>
              </w:rPr>
              <w:t>1,0</w:t>
            </w:r>
          </w:p>
        </w:tc>
        <w:tc>
          <w:tcPr>
            <w:tcW w:w="1958" w:type="dxa"/>
            <w:shd w:val="clear" w:color="auto" w:fill="FFFFFF"/>
          </w:tcPr>
          <w:p w14:paraId="350FE912" w14:textId="77777777" w:rsidR="000610BB" w:rsidRPr="00DE12A3" w:rsidRDefault="000610BB" w:rsidP="004940FF">
            <w:pPr>
              <w:pStyle w:val="Gvdemetni360"/>
              <w:shd w:val="clear" w:color="auto" w:fill="auto"/>
              <w:spacing w:before="120" w:after="120" w:line="240" w:lineRule="auto"/>
              <w:ind w:firstLine="0"/>
              <w:rPr>
                <w:sz w:val="18"/>
                <w:szCs w:val="18"/>
              </w:rPr>
            </w:pPr>
            <w:r w:rsidRPr="00DE12A3">
              <w:rPr>
                <w:rStyle w:val="Gvdemetni367pt0ptbolukbraklyor"/>
                <w:color w:val="auto"/>
                <w:sz w:val="18"/>
                <w:szCs w:val="18"/>
              </w:rPr>
              <w:t>EN 15484 veya EN 15492</w:t>
            </w:r>
          </w:p>
        </w:tc>
      </w:tr>
      <w:tr w:rsidR="00DE12A3" w:rsidRPr="00DE12A3" w14:paraId="4A540C83" w14:textId="77777777" w:rsidTr="004940FF">
        <w:trPr>
          <w:trHeight w:hRule="exact" w:val="523"/>
          <w:jc w:val="center"/>
        </w:trPr>
        <w:tc>
          <w:tcPr>
            <w:tcW w:w="2987" w:type="dxa"/>
            <w:shd w:val="clear" w:color="auto" w:fill="FFFFFF"/>
          </w:tcPr>
          <w:p w14:paraId="7E2606BE" w14:textId="77777777" w:rsidR="000610BB" w:rsidRPr="00DE12A3" w:rsidRDefault="000610BB" w:rsidP="004940FF">
            <w:pPr>
              <w:pStyle w:val="Gvdemetni0"/>
              <w:shd w:val="clear" w:color="auto" w:fill="auto"/>
              <w:spacing w:before="120" w:after="120" w:line="240" w:lineRule="auto"/>
              <w:ind w:firstLine="0"/>
              <w:jc w:val="left"/>
              <w:rPr>
                <w:sz w:val="18"/>
              </w:rPr>
            </w:pPr>
            <w:r w:rsidRPr="00DE12A3">
              <w:rPr>
                <w:rStyle w:val="Gvdemetni85pt0ptbolukbraklyor"/>
                <w:color w:val="auto"/>
                <w:sz w:val="18"/>
              </w:rPr>
              <w:t>Bakır</w:t>
            </w:r>
          </w:p>
        </w:tc>
        <w:tc>
          <w:tcPr>
            <w:tcW w:w="1134" w:type="dxa"/>
            <w:shd w:val="clear" w:color="auto" w:fill="FFFFFF"/>
          </w:tcPr>
          <w:p w14:paraId="13DDA80E" w14:textId="77777777" w:rsidR="000610BB" w:rsidRPr="00DE12A3" w:rsidRDefault="000610BB" w:rsidP="004940FF">
            <w:pPr>
              <w:pStyle w:val="Gvdemetni360"/>
              <w:shd w:val="clear" w:color="auto" w:fill="auto"/>
              <w:spacing w:before="120" w:after="120" w:line="240" w:lineRule="auto"/>
              <w:ind w:firstLine="0"/>
              <w:jc w:val="center"/>
              <w:rPr>
                <w:sz w:val="18"/>
                <w:szCs w:val="18"/>
              </w:rPr>
            </w:pPr>
            <w:r w:rsidRPr="00DE12A3">
              <w:rPr>
                <w:rStyle w:val="Gvdemetni367pt0ptbolukbraklyor"/>
                <w:color w:val="auto"/>
                <w:sz w:val="18"/>
                <w:szCs w:val="18"/>
              </w:rPr>
              <w:t>mg/kg</w:t>
            </w:r>
          </w:p>
        </w:tc>
        <w:tc>
          <w:tcPr>
            <w:tcW w:w="851" w:type="dxa"/>
            <w:shd w:val="clear" w:color="auto" w:fill="FFFFFF"/>
          </w:tcPr>
          <w:p w14:paraId="3984CC78" w14:textId="77777777" w:rsidR="000610BB" w:rsidRPr="00DE12A3" w:rsidRDefault="000610BB" w:rsidP="004940FF">
            <w:pPr>
              <w:spacing w:before="120" w:after="120"/>
              <w:rPr>
                <w:rFonts w:cs="Times New Roman"/>
                <w:color w:val="auto"/>
                <w:sz w:val="18"/>
                <w:szCs w:val="18"/>
              </w:rPr>
            </w:pPr>
          </w:p>
        </w:tc>
        <w:tc>
          <w:tcPr>
            <w:tcW w:w="850" w:type="dxa"/>
            <w:shd w:val="clear" w:color="auto" w:fill="FFFFFF"/>
          </w:tcPr>
          <w:p w14:paraId="36A4F7F4" w14:textId="77777777" w:rsidR="000610BB" w:rsidRPr="00DE12A3" w:rsidRDefault="000610BB" w:rsidP="004940FF">
            <w:pPr>
              <w:pStyle w:val="Gvdemetni360"/>
              <w:shd w:val="clear" w:color="auto" w:fill="auto"/>
              <w:spacing w:before="120" w:after="120" w:line="240" w:lineRule="auto"/>
              <w:ind w:firstLine="0"/>
              <w:jc w:val="center"/>
              <w:rPr>
                <w:sz w:val="18"/>
                <w:szCs w:val="18"/>
              </w:rPr>
            </w:pPr>
            <w:r w:rsidRPr="00DE12A3">
              <w:rPr>
                <w:rStyle w:val="Gvdemetni3675pt0ptbolukbraklyor"/>
                <w:color w:val="auto"/>
                <w:sz w:val="18"/>
                <w:szCs w:val="18"/>
              </w:rPr>
              <w:t>0,100</w:t>
            </w:r>
          </w:p>
        </w:tc>
        <w:tc>
          <w:tcPr>
            <w:tcW w:w="1958" w:type="dxa"/>
            <w:shd w:val="clear" w:color="auto" w:fill="FFFFFF"/>
          </w:tcPr>
          <w:p w14:paraId="71C915BE" w14:textId="77777777" w:rsidR="000610BB" w:rsidRPr="00DE12A3" w:rsidRDefault="000610BB" w:rsidP="004940FF">
            <w:pPr>
              <w:pStyle w:val="Gvdemetni360"/>
              <w:shd w:val="clear" w:color="auto" w:fill="auto"/>
              <w:spacing w:before="120" w:after="120" w:line="240" w:lineRule="auto"/>
              <w:ind w:firstLine="0"/>
              <w:rPr>
                <w:sz w:val="18"/>
                <w:szCs w:val="18"/>
              </w:rPr>
            </w:pPr>
            <w:r w:rsidRPr="00DE12A3">
              <w:rPr>
                <w:rStyle w:val="Gvdemetni367pt0ptbolukbraklyor"/>
                <w:color w:val="auto"/>
                <w:sz w:val="18"/>
                <w:szCs w:val="18"/>
              </w:rPr>
              <w:t>EN 15488</w:t>
            </w:r>
          </w:p>
        </w:tc>
      </w:tr>
      <w:tr w:rsidR="00DE12A3" w:rsidRPr="00DE12A3" w14:paraId="1FA55BA5" w14:textId="77777777" w:rsidTr="004940FF">
        <w:trPr>
          <w:trHeight w:hRule="exact" w:val="518"/>
          <w:jc w:val="center"/>
        </w:trPr>
        <w:tc>
          <w:tcPr>
            <w:tcW w:w="2987" w:type="dxa"/>
            <w:shd w:val="clear" w:color="auto" w:fill="FFFFFF"/>
          </w:tcPr>
          <w:p w14:paraId="1570EC69" w14:textId="77777777" w:rsidR="000610BB" w:rsidRPr="00DE12A3" w:rsidRDefault="000610BB" w:rsidP="004940FF">
            <w:pPr>
              <w:pStyle w:val="Gvdemetni0"/>
              <w:shd w:val="clear" w:color="auto" w:fill="auto"/>
              <w:spacing w:before="120" w:after="120" w:line="240" w:lineRule="auto"/>
              <w:ind w:firstLine="0"/>
              <w:jc w:val="left"/>
              <w:rPr>
                <w:sz w:val="18"/>
              </w:rPr>
            </w:pPr>
            <w:r w:rsidRPr="00DE12A3">
              <w:rPr>
                <w:rStyle w:val="Gvdemetni85pt0ptbolukbraklyor"/>
                <w:color w:val="auto"/>
                <w:sz w:val="18"/>
              </w:rPr>
              <w:t>Elektirik İletkenliği</w:t>
            </w:r>
          </w:p>
        </w:tc>
        <w:tc>
          <w:tcPr>
            <w:tcW w:w="1134" w:type="dxa"/>
            <w:shd w:val="clear" w:color="auto" w:fill="FFFFFF"/>
          </w:tcPr>
          <w:p w14:paraId="282A446C" w14:textId="77777777" w:rsidR="000610BB" w:rsidRPr="00DE12A3" w:rsidRDefault="000610BB" w:rsidP="004940FF">
            <w:pPr>
              <w:pStyle w:val="Gvdemetni360"/>
              <w:shd w:val="clear" w:color="auto" w:fill="auto"/>
              <w:spacing w:before="120" w:after="120" w:line="240" w:lineRule="auto"/>
              <w:ind w:firstLine="0"/>
              <w:jc w:val="center"/>
              <w:rPr>
                <w:sz w:val="18"/>
                <w:szCs w:val="18"/>
              </w:rPr>
            </w:pPr>
            <w:r w:rsidRPr="00DE12A3">
              <w:rPr>
                <w:sz w:val="18"/>
                <w:szCs w:val="16"/>
              </w:rPr>
              <w:t>μ</w:t>
            </w:r>
            <w:r w:rsidRPr="00DE12A3">
              <w:rPr>
                <w:rStyle w:val="Gvdemetni3675ptKaln0ptbolukbraklyor"/>
                <w:b w:val="0"/>
                <w:color w:val="auto"/>
                <w:sz w:val="18"/>
                <w:szCs w:val="18"/>
              </w:rPr>
              <w:t>S/cm</w:t>
            </w:r>
          </w:p>
        </w:tc>
        <w:tc>
          <w:tcPr>
            <w:tcW w:w="851" w:type="dxa"/>
            <w:shd w:val="clear" w:color="auto" w:fill="FFFFFF"/>
          </w:tcPr>
          <w:p w14:paraId="788FB9A0" w14:textId="77777777" w:rsidR="000610BB" w:rsidRPr="00DE12A3" w:rsidRDefault="000610BB" w:rsidP="004940FF">
            <w:pPr>
              <w:spacing w:before="120" w:after="120"/>
              <w:rPr>
                <w:rFonts w:cs="Times New Roman"/>
                <w:color w:val="auto"/>
                <w:sz w:val="18"/>
                <w:szCs w:val="18"/>
              </w:rPr>
            </w:pPr>
          </w:p>
        </w:tc>
        <w:tc>
          <w:tcPr>
            <w:tcW w:w="850" w:type="dxa"/>
            <w:shd w:val="clear" w:color="auto" w:fill="FFFFFF"/>
          </w:tcPr>
          <w:p w14:paraId="3CD11986" w14:textId="77777777" w:rsidR="000610BB" w:rsidRPr="00DE12A3" w:rsidRDefault="000610BB" w:rsidP="004940FF">
            <w:pPr>
              <w:pStyle w:val="Gvdemetni360"/>
              <w:shd w:val="clear" w:color="auto" w:fill="auto"/>
              <w:spacing w:before="120" w:after="120" w:line="240" w:lineRule="auto"/>
              <w:ind w:firstLine="0"/>
              <w:jc w:val="center"/>
              <w:rPr>
                <w:sz w:val="18"/>
                <w:szCs w:val="18"/>
              </w:rPr>
            </w:pPr>
            <w:r w:rsidRPr="00DE12A3">
              <w:rPr>
                <w:rStyle w:val="Gvdemetni367pt0ptbolukbraklyor"/>
                <w:color w:val="auto"/>
                <w:sz w:val="18"/>
                <w:szCs w:val="18"/>
              </w:rPr>
              <w:t>2,50</w:t>
            </w:r>
          </w:p>
        </w:tc>
        <w:tc>
          <w:tcPr>
            <w:tcW w:w="1958" w:type="dxa"/>
            <w:shd w:val="clear" w:color="auto" w:fill="FFFFFF"/>
          </w:tcPr>
          <w:p w14:paraId="3CCD00D2" w14:textId="77777777" w:rsidR="000610BB" w:rsidRPr="00DE12A3" w:rsidRDefault="000610BB" w:rsidP="004940FF">
            <w:pPr>
              <w:pStyle w:val="Gvdemetni360"/>
              <w:shd w:val="clear" w:color="auto" w:fill="auto"/>
              <w:spacing w:before="120" w:after="120" w:line="240" w:lineRule="auto"/>
              <w:ind w:firstLine="0"/>
              <w:rPr>
                <w:sz w:val="18"/>
                <w:szCs w:val="18"/>
              </w:rPr>
            </w:pPr>
            <w:r w:rsidRPr="00DE12A3">
              <w:rPr>
                <w:rStyle w:val="Gvdemetni367pt0ptbolukbraklyor"/>
                <w:color w:val="auto"/>
                <w:sz w:val="18"/>
                <w:szCs w:val="18"/>
              </w:rPr>
              <w:t>DIN 51627-4 veya prEN 15938</w:t>
            </w:r>
          </w:p>
        </w:tc>
      </w:tr>
      <w:tr w:rsidR="00DE12A3" w:rsidRPr="00DE12A3" w14:paraId="75A0733E" w14:textId="77777777" w:rsidTr="0046577A">
        <w:trPr>
          <w:trHeight w:hRule="exact" w:val="2574"/>
          <w:jc w:val="center"/>
        </w:trPr>
        <w:tc>
          <w:tcPr>
            <w:tcW w:w="7780" w:type="dxa"/>
            <w:gridSpan w:val="5"/>
            <w:shd w:val="clear" w:color="auto" w:fill="FFFFFF"/>
          </w:tcPr>
          <w:p w14:paraId="455D4A8E" w14:textId="77777777" w:rsidR="0046577A" w:rsidRPr="00DE12A3" w:rsidRDefault="0046577A" w:rsidP="0046577A">
            <w:pPr>
              <w:jc w:val="both"/>
              <w:rPr>
                <w:color w:val="auto"/>
                <w:sz w:val="16"/>
                <w:szCs w:val="16"/>
              </w:rPr>
            </w:pPr>
            <w:r w:rsidRPr="00DE12A3">
              <w:rPr>
                <w:color w:val="auto"/>
                <w:sz w:val="16"/>
                <w:szCs w:val="16"/>
              </w:rPr>
              <w:lastRenderedPageBreak/>
              <w:t>Notlar:</w:t>
            </w:r>
          </w:p>
          <w:p w14:paraId="2701F125" w14:textId="3FF44C12" w:rsidR="0046577A" w:rsidRPr="00DE12A3" w:rsidRDefault="0046577A" w:rsidP="0046577A">
            <w:pPr>
              <w:jc w:val="both"/>
              <w:rPr>
                <w:color w:val="auto"/>
                <w:sz w:val="16"/>
                <w:szCs w:val="16"/>
              </w:rPr>
            </w:pPr>
            <w:r w:rsidRPr="00DE12A3">
              <w:rPr>
                <w:color w:val="auto"/>
                <w:sz w:val="16"/>
                <w:szCs w:val="16"/>
                <w:vertAlign w:val="superscript"/>
              </w:rPr>
              <w:t xml:space="preserve"> (1) </w:t>
            </w:r>
            <w:r w:rsidRPr="00DE12A3">
              <w:rPr>
                <w:color w:val="auto"/>
                <w:sz w:val="16"/>
                <w:szCs w:val="16"/>
              </w:rPr>
              <w:t xml:space="preserve">Herhangi bir olumsuz yan etki bilinmediği sürece, etanol yakıta, motor imalatçısı tarafından belirtilen setan geliştirici benzeri katkı maddeleri eklenebilir. Bu koşullar sağlanırsa izin verilen azami miktar </w:t>
            </w:r>
            <w:r w:rsidR="009E122C" w:rsidRPr="00DE12A3">
              <w:rPr>
                <w:color w:val="auto"/>
                <w:sz w:val="16"/>
                <w:szCs w:val="16"/>
              </w:rPr>
              <w:t>%10</w:t>
            </w:r>
            <w:r w:rsidRPr="00DE12A3">
              <w:rPr>
                <w:color w:val="auto"/>
                <w:sz w:val="16"/>
                <w:szCs w:val="16"/>
              </w:rPr>
              <w:t xml:space="preserve"> m/m'dir.</w:t>
            </w:r>
          </w:p>
          <w:p w14:paraId="108CDDD4" w14:textId="1C8BA691" w:rsidR="0046577A" w:rsidRPr="00DE12A3" w:rsidRDefault="0046577A" w:rsidP="0046577A">
            <w:pPr>
              <w:jc w:val="both"/>
              <w:rPr>
                <w:color w:val="auto"/>
                <w:sz w:val="16"/>
                <w:szCs w:val="16"/>
              </w:rPr>
            </w:pPr>
            <w:r w:rsidRPr="00DE12A3">
              <w:rPr>
                <w:color w:val="auto"/>
                <w:sz w:val="16"/>
                <w:szCs w:val="16"/>
                <w:vertAlign w:val="superscript"/>
              </w:rPr>
              <w:t xml:space="preserve"> (2) </w:t>
            </w:r>
            <w:r w:rsidRPr="00DE12A3">
              <w:rPr>
                <w:color w:val="auto"/>
                <w:sz w:val="16"/>
                <w:szCs w:val="16"/>
              </w:rPr>
              <w:t>Şartnamelerde belirtilen değerler "gerçek değerlerdir". Bunların sınır değerlerinin oluşturulmasında ISO 4259 “Petrol ürünleri - Test yöntemlerine göre hassas verilerin belirlenmesi ve uygulanması” standardı gereklilikleri uygulanmış ve bir asgari değer belirlenirken, sıfırın üzerinde 2R değerinde bir asgari fark hesaba katılmıştır ; bir azami ve asgari değer belirlenirken asgari fark 4R'dir (R = tekrarlanabilirlik). Teknik nedenlerden dolayı gerekli olan bu tedbire rağmen, yakıt imalatçısı yine de öngörülen azami değerin 2R olduğu bir sıfır değerini ve azami ve asgari sınırların aktarılması durumunda ortalama değeri hedeflemelidir. Bir yakıtın şartnamelerdeki gereklilikleri yerine getirip getirmediğinin netleştirilmesi gerekirse, ISO 4259 standardının gereklilikleri uygulanmalıdır.</w:t>
            </w:r>
          </w:p>
          <w:p w14:paraId="0726C923" w14:textId="06DE30AB" w:rsidR="0046577A" w:rsidRPr="00DE12A3" w:rsidRDefault="0046577A" w:rsidP="0046577A">
            <w:pPr>
              <w:jc w:val="both"/>
              <w:rPr>
                <w:color w:val="auto"/>
                <w:sz w:val="16"/>
                <w:szCs w:val="16"/>
              </w:rPr>
            </w:pPr>
            <w:r w:rsidRPr="00DE12A3">
              <w:rPr>
                <w:color w:val="auto"/>
                <w:sz w:val="16"/>
                <w:szCs w:val="16"/>
                <w:vertAlign w:val="superscript"/>
              </w:rPr>
              <w:t xml:space="preserve"> (3) </w:t>
            </w:r>
            <w:r w:rsidRPr="00DE12A3">
              <w:rPr>
                <w:color w:val="auto"/>
                <w:sz w:val="16"/>
                <w:szCs w:val="16"/>
              </w:rPr>
              <w:t>Yukarıda listelenen özellikler için yayınlanan denk EN/ISO yöntemleri benimsenmelidir.</w:t>
            </w:r>
          </w:p>
          <w:p w14:paraId="60DC11B7" w14:textId="51A2A0A1" w:rsidR="0046577A" w:rsidRPr="00DE12A3" w:rsidRDefault="0046577A" w:rsidP="0046577A">
            <w:pPr>
              <w:jc w:val="both"/>
              <w:rPr>
                <w:rStyle w:val="Gvdemetni367pt0ptbolukbraklyor"/>
                <w:rFonts w:eastAsia="Courier New"/>
                <w:color w:val="auto"/>
                <w:sz w:val="18"/>
                <w:szCs w:val="18"/>
              </w:rPr>
            </w:pPr>
            <w:r w:rsidRPr="00DE12A3">
              <w:rPr>
                <w:color w:val="auto"/>
                <w:sz w:val="16"/>
                <w:szCs w:val="16"/>
                <w:vertAlign w:val="superscript"/>
              </w:rPr>
              <w:t xml:space="preserve"> (4) </w:t>
            </w:r>
            <w:r w:rsidRPr="00DE12A3">
              <w:rPr>
                <w:color w:val="auto"/>
                <w:sz w:val="16"/>
                <w:szCs w:val="16"/>
              </w:rPr>
              <w:t>Bir yakıtın şartnamelerdeki gereklilikleri yerine getirip getirmediğinin netleştirilmesi gerekirse, ISO 15489 standardının gereklilikleri uygulanmalıdır.</w:t>
            </w:r>
          </w:p>
        </w:tc>
      </w:tr>
    </w:tbl>
    <w:p w14:paraId="25B99D3D" w14:textId="77777777" w:rsidR="009F4766" w:rsidRPr="00DE12A3" w:rsidRDefault="009F4766" w:rsidP="00C917D6">
      <w:pPr>
        <w:spacing w:before="120" w:after="120"/>
        <w:ind w:left="1134" w:hanging="1134"/>
        <w:rPr>
          <w:rFonts w:cs="Times New Roman"/>
          <w:color w:val="auto"/>
        </w:rPr>
      </w:pPr>
    </w:p>
    <w:p w14:paraId="381F7E11" w14:textId="0258A832" w:rsidR="0046548F" w:rsidRPr="00DE12A3" w:rsidRDefault="009F4766" w:rsidP="009C7D14">
      <w:pPr>
        <w:rPr>
          <w:b/>
          <w:color w:val="auto"/>
        </w:rPr>
      </w:pPr>
      <w:r w:rsidRPr="00DE12A3">
        <w:rPr>
          <w:b/>
          <w:color w:val="auto"/>
        </w:rPr>
        <w:t>2.</w:t>
      </w:r>
      <w:r w:rsidR="009C7D14" w:rsidRPr="00DE12A3">
        <w:rPr>
          <w:b/>
          <w:color w:val="auto"/>
        </w:rPr>
        <w:t xml:space="preserve"> </w:t>
      </w:r>
      <w:r w:rsidR="0046548F" w:rsidRPr="00DE12A3">
        <w:rPr>
          <w:b/>
          <w:color w:val="auto"/>
        </w:rPr>
        <w:t>Kıvılcım ateşlemeli motorların test edil</w:t>
      </w:r>
      <w:r w:rsidR="00C13CC7" w:rsidRPr="00DE12A3">
        <w:rPr>
          <w:b/>
          <w:color w:val="auto"/>
        </w:rPr>
        <w:t>m</w:t>
      </w:r>
      <w:r w:rsidR="0046548F" w:rsidRPr="00DE12A3">
        <w:rPr>
          <w:b/>
          <w:color w:val="auto"/>
        </w:rPr>
        <w:t>esine yönelik yakıtlar ile ilgili teknik veriler</w:t>
      </w:r>
    </w:p>
    <w:p w14:paraId="2B34140A" w14:textId="77777777" w:rsidR="00854ED8" w:rsidRPr="00DE12A3" w:rsidRDefault="00854ED8" w:rsidP="00C917D6">
      <w:pPr>
        <w:pStyle w:val="Text2"/>
        <w:ind w:left="0"/>
      </w:pPr>
      <w:r w:rsidRPr="00DE12A3">
        <w:t>2.1. Tip: Benzin (E10)</w:t>
      </w:r>
    </w:p>
    <w:tbl>
      <w:tblPr>
        <w:tblW w:w="77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429"/>
        <w:gridCol w:w="1277"/>
        <w:gridCol w:w="1282"/>
        <w:gridCol w:w="1282"/>
        <w:gridCol w:w="1517"/>
      </w:tblGrid>
      <w:tr w:rsidR="00DE12A3" w:rsidRPr="00DE12A3" w14:paraId="1BE002A6" w14:textId="77777777" w:rsidTr="00946B82">
        <w:trPr>
          <w:trHeight w:val="355"/>
          <w:jc w:val="center"/>
        </w:trPr>
        <w:tc>
          <w:tcPr>
            <w:tcW w:w="2429" w:type="dxa"/>
            <w:vMerge w:val="restart"/>
            <w:shd w:val="clear" w:color="auto" w:fill="auto"/>
          </w:tcPr>
          <w:p w14:paraId="07F19083" w14:textId="77777777" w:rsidR="00854ED8" w:rsidRPr="00DE12A3" w:rsidRDefault="00854ED8" w:rsidP="004940FF">
            <w:pPr>
              <w:pStyle w:val="Gvdemetni0"/>
              <w:shd w:val="clear" w:color="auto" w:fill="auto"/>
              <w:spacing w:before="120" w:after="120" w:line="240" w:lineRule="auto"/>
              <w:ind w:firstLine="0"/>
              <w:rPr>
                <w:sz w:val="18"/>
                <w:szCs w:val="16"/>
              </w:rPr>
            </w:pPr>
            <w:bookmarkStart w:id="36" w:name="_Hlk68000697"/>
            <w:r w:rsidRPr="00DE12A3">
              <w:rPr>
                <w:sz w:val="18"/>
                <w:szCs w:val="16"/>
              </w:rPr>
              <w:t>Parametre</w:t>
            </w:r>
          </w:p>
        </w:tc>
        <w:tc>
          <w:tcPr>
            <w:tcW w:w="1277" w:type="dxa"/>
            <w:vMerge w:val="restart"/>
            <w:shd w:val="clear" w:color="auto" w:fill="auto"/>
          </w:tcPr>
          <w:p w14:paraId="5941B300" w14:textId="77777777" w:rsidR="00854ED8" w:rsidRPr="00DE12A3" w:rsidRDefault="00854ED8" w:rsidP="004940FF">
            <w:pPr>
              <w:pStyle w:val="Gvdemetni0"/>
              <w:shd w:val="clear" w:color="auto" w:fill="auto"/>
              <w:spacing w:before="120" w:after="120" w:line="240" w:lineRule="auto"/>
              <w:ind w:firstLine="0"/>
              <w:rPr>
                <w:sz w:val="18"/>
                <w:szCs w:val="16"/>
              </w:rPr>
            </w:pPr>
            <w:r w:rsidRPr="00DE12A3">
              <w:rPr>
                <w:sz w:val="18"/>
                <w:szCs w:val="16"/>
              </w:rPr>
              <w:t>Birim</w:t>
            </w:r>
          </w:p>
        </w:tc>
        <w:tc>
          <w:tcPr>
            <w:tcW w:w="2564" w:type="dxa"/>
            <w:gridSpan w:val="2"/>
            <w:shd w:val="clear" w:color="auto" w:fill="auto"/>
          </w:tcPr>
          <w:p w14:paraId="487CF6CB" w14:textId="72454B15" w:rsidR="00854ED8" w:rsidRPr="00DE12A3" w:rsidRDefault="00854ED8" w:rsidP="004940FF">
            <w:pPr>
              <w:pStyle w:val="Gvdemetni0"/>
              <w:shd w:val="clear" w:color="auto" w:fill="auto"/>
              <w:spacing w:before="120" w:after="120" w:line="240" w:lineRule="auto"/>
              <w:ind w:firstLine="0"/>
              <w:rPr>
                <w:sz w:val="18"/>
                <w:szCs w:val="16"/>
              </w:rPr>
            </w:pPr>
            <w:r w:rsidRPr="00DE12A3">
              <w:rPr>
                <w:sz w:val="18"/>
                <w:szCs w:val="16"/>
              </w:rPr>
              <w:t xml:space="preserve">Sınırlar </w:t>
            </w:r>
            <w:r w:rsidR="00C27431" w:rsidRPr="00DE12A3">
              <w:rPr>
                <w:sz w:val="18"/>
                <w:szCs w:val="16"/>
                <w:vertAlign w:val="superscript"/>
              </w:rPr>
              <w:t>(1)</w:t>
            </w:r>
          </w:p>
        </w:tc>
        <w:tc>
          <w:tcPr>
            <w:tcW w:w="1517" w:type="dxa"/>
            <w:vMerge w:val="restart"/>
            <w:shd w:val="clear" w:color="auto" w:fill="auto"/>
          </w:tcPr>
          <w:p w14:paraId="7D14A3E2" w14:textId="77777777" w:rsidR="00854ED8" w:rsidRPr="00DE12A3" w:rsidRDefault="00854ED8" w:rsidP="004940FF">
            <w:pPr>
              <w:pStyle w:val="Gvdemetni0"/>
              <w:shd w:val="clear" w:color="auto" w:fill="auto"/>
              <w:spacing w:before="120" w:after="120" w:line="240" w:lineRule="auto"/>
              <w:ind w:firstLine="0"/>
              <w:rPr>
                <w:sz w:val="18"/>
                <w:szCs w:val="16"/>
              </w:rPr>
            </w:pPr>
            <w:r w:rsidRPr="00DE12A3">
              <w:rPr>
                <w:sz w:val="18"/>
                <w:szCs w:val="16"/>
              </w:rPr>
              <w:t>Test Yöntemi (</w:t>
            </w:r>
            <w:r w:rsidRPr="00DE12A3">
              <w:rPr>
                <w:sz w:val="18"/>
                <w:szCs w:val="16"/>
                <w:vertAlign w:val="superscript"/>
              </w:rPr>
              <w:t>2</w:t>
            </w:r>
            <w:r w:rsidRPr="00DE12A3">
              <w:rPr>
                <w:sz w:val="18"/>
                <w:szCs w:val="16"/>
              </w:rPr>
              <w:t>)</w:t>
            </w:r>
          </w:p>
        </w:tc>
      </w:tr>
      <w:tr w:rsidR="00DE12A3" w:rsidRPr="00DE12A3" w14:paraId="0FC0BCA0" w14:textId="77777777" w:rsidTr="00946B82">
        <w:trPr>
          <w:trHeight w:hRule="exact" w:val="346"/>
          <w:jc w:val="center"/>
        </w:trPr>
        <w:tc>
          <w:tcPr>
            <w:tcW w:w="2429" w:type="dxa"/>
            <w:vMerge/>
            <w:shd w:val="clear" w:color="auto" w:fill="auto"/>
          </w:tcPr>
          <w:p w14:paraId="7BD2635B" w14:textId="77777777" w:rsidR="00854ED8" w:rsidRPr="00DE12A3" w:rsidRDefault="00854ED8" w:rsidP="004940FF">
            <w:pPr>
              <w:spacing w:before="120" w:after="120"/>
              <w:rPr>
                <w:rFonts w:cs="Times New Roman"/>
                <w:color w:val="auto"/>
                <w:sz w:val="18"/>
                <w:szCs w:val="18"/>
              </w:rPr>
            </w:pPr>
          </w:p>
        </w:tc>
        <w:tc>
          <w:tcPr>
            <w:tcW w:w="1277" w:type="dxa"/>
            <w:vMerge/>
            <w:shd w:val="clear" w:color="auto" w:fill="auto"/>
          </w:tcPr>
          <w:p w14:paraId="513A9E15" w14:textId="77777777" w:rsidR="00854ED8" w:rsidRPr="00DE12A3" w:rsidRDefault="00854ED8" w:rsidP="004940FF">
            <w:pPr>
              <w:spacing w:before="120" w:after="120"/>
              <w:rPr>
                <w:rFonts w:cs="Times New Roman"/>
                <w:color w:val="auto"/>
                <w:sz w:val="18"/>
                <w:szCs w:val="18"/>
              </w:rPr>
            </w:pPr>
          </w:p>
        </w:tc>
        <w:tc>
          <w:tcPr>
            <w:tcW w:w="1282" w:type="dxa"/>
            <w:shd w:val="clear" w:color="auto" w:fill="auto"/>
          </w:tcPr>
          <w:p w14:paraId="50CF6791" w14:textId="77777777" w:rsidR="00854ED8" w:rsidRPr="00DE12A3" w:rsidRDefault="00854ED8" w:rsidP="004940FF">
            <w:pPr>
              <w:pStyle w:val="Gvdemetni0"/>
              <w:shd w:val="clear" w:color="auto" w:fill="auto"/>
              <w:spacing w:before="120" w:after="120" w:line="240" w:lineRule="auto"/>
              <w:ind w:firstLine="0"/>
              <w:rPr>
                <w:sz w:val="18"/>
                <w:szCs w:val="18"/>
              </w:rPr>
            </w:pPr>
            <w:r w:rsidRPr="00DE12A3">
              <w:rPr>
                <w:rStyle w:val="Gvdemetni85pt0ptbolukbraklyor"/>
                <w:color w:val="auto"/>
                <w:sz w:val="18"/>
                <w:szCs w:val="18"/>
              </w:rPr>
              <w:t>Asgari</w:t>
            </w:r>
          </w:p>
        </w:tc>
        <w:tc>
          <w:tcPr>
            <w:tcW w:w="1282" w:type="dxa"/>
            <w:shd w:val="clear" w:color="auto" w:fill="auto"/>
          </w:tcPr>
          <w:p w14:paraId="3FC4FAA5" w14:textId="77777777" w:rsidR="00854ED8" w:rsidRPr="00DE12A3" w:rsidRDefault="00854ED8" w:rsidP="004940FF">
            <w:pPr>
              <w:pStyle w:val="Gvdemetni0"/>
              <w:shd w:val="clear" w:color="auto" w:fill="auto"/>
              <w:spacing w:before="120" w:after="120" w:line="240" w:lineRule="auto"/>
              <w:ind w:firstLine="0"/>
              <w:rPr>
                <w:sz w:val="18"/>
                <w:szCs w:val="18"/>
              </w:rPr>
            </w:pPr>
            <w:r w:rsidRPr="00DE12A3">
              <w:rPr>
                <w:rStyle w:val="Gvdemetni85pt0ptbolukbraklyor"/>
                <w:color w:val="auto"/>
                <w:sz w:val="18"/>
                <w:szCs w:val="18"/>
              </w:rPr>
              <w:t>Azami</w:t>
            </w:r>
          </w:p>
        </w:tc>
        <w:tc>
          <w:tcPr>
            <w:tcW w:w="1517" w:type="dxa"/>
            <w:vMerge/>
            <w:shd w:val="clear" w:color="auto" w:fill="auto"/>
          </w:tcPr>
          <w:p w14:paraId="02D06509" w14:textId="77777777" w:rsidR="00854ED8" w:rsidRPr="00DE12A3" w:rsidRDefault="00854ED8" w:rsidP="004940FF">
            <w:pPr>
              <w:spacing w:before="120" w:after="120"/>
              <w:rPr>
                <w:rFonts w:cs="Times New Roman"/>
                <w:color w:val="auto"/>
                <w:sz w:val="18"/>
                <w:szCs w:val="18"/>
              </w:rPr>
            </w:pPr>
          </w:p>
        </w:tc>
      </w:tr>
      <w:tr w:rsidR="00DE12A3" w:rsidRPr="00DE12A3" w14:paraId="58031410" w14:textId="77777777" w:rsidTr="00946B82">
        <w:trPr>
          <w:trHeight w:hRule="exact" w:val="682"/>
          <w:jc w:val="center"/>
        </w:trPr>
        <w:tc>
          <w:tcPr>
            <w:tcW w:w="2429" w:type="dxa"/>
            <w:shd w:val="clear" w:color="auto" w:fill="auto"/>
          </w:tcPr>
          <w:p w14:paraId="7010FC00" w14:textId="77777777" w:rsidR="00854ED8" w:rsidRPr="00DE12A3" w:rsidRDefault="00854ED8" w:rsidP="004940FF">
            <w:pPr>
              <w:pStyle w:val="Gvdemetni360"/>
              <w:shd w:val="clear" w:color="auto" w:fill="auto"/>
              <w:spacing w:before="120" w:after="120" w:line="240" w:lineRule="auto"/>
              <w:ind w:left="132" w:firstLine="0"/>
              <w:jc w:val="center"/>
              <w:rPr>
                <w:sz w:val="18"/>
                <w:szCs w:val="18"/>
              </w:rPr>
            </w:pPr>
            <w:r w:rsidRPr="00DE12A3">
              <w:rPr>
                <w:rStyle w:val="Gvdemetni367pt0ptbolukbraklyor"/>
                <w:color w:val="auto"/>
                <w:sz w:val="18"/>
                <w:szCs w:val="18"/>
              </w:rPr>
              <w:t>Araştırma oktan sayısı, RON</w:t>
            </w:r>
          </w:p>
        </w:tc>
        <w:tc>
          <w:tcPr>
            <w:tcW w:w="1277" w:type="dxa"/>
            <w:shd w:val="clear" w:color="auto" w:fill="auto"/>
          </w:tcPr>
          <w:p w14:paraId="56A06D7B" w14:textId="77777777" w:rsidR="00854ED8" w:rsidRPr="00DE12A3" w:rsidRDefault="00854ED8" w:rsidP="004940FF">
            <w:pPr>
              <w:spacing w:before="120" w:after="120"/>
              <w:rPr>
                <w:rFonts w:cs="Times New Roman"/>
                <w:color w:val="auto"/>
                <w:sz w:val="18"/>
                <w:szCs w:val="18"/>
              </w:rPr>
            </w:pPr>
          </w:p>
        </w:tc>
        <w:tc>
          <w:tcPr>
            <w:tcW w:w="1282" w:type="dxa"/>
            <w:shd w:val="clear" w:color="auto" w:fill="auto"/>
          </w:tcPr>
          <w:p w14:paraId="6394EDA9" w14:textId="77777777" w:rsidR="00854ED8" w:rsidRPr="00DE12A3" w:rsidRDefault="00854ED8" w:rsidP="004940FF">
            <w:pPr>
              <w:pStyle w:val="Gvdemetni360"/>
              <w:shd w:val="clear" w:color="auto" w:fill="auto"/>
              <w:spacing w:before="120" w:after="120" w:line="240" w:lineRule="auto"/>
              <w:ind w:firstLine="0"/>
              <w:jc w:val="center"/>
              <w:rPr>
                <w:sz w:val="18"/>
                <w:szCs w:val="18"/>
              </w:rPr>
            </w:pPr>
            <w:r w:rsidRPr="00DE12A3">
              <w:rPr>
                <w:rStyle w:val="Gvdemetni367pt0ptbolukbraklyor"/>
                <w:color w:val="auto"/>
                <w:sz w:val="18"/>
                <w:szCs w:val="18"/>
              </w:rPr>
              <w:t>91,0</w:t>
            </w:r>
          </w:p>
        </w:tc>
        <w:tc>
          <w:tcPr>
            <w:tcW w:w="1282" w:type="dxa"/>
            <w:shd w:val="clear" w:color="auto" w:fill="auto"/>
          </w:tcPr>
          <w:p w14:paraId="636E4E66" w14:textId="77777777" w:rsidR="00854ED8" w:rsidRPr="00DE12A3" w:rsidRDefault="00854ED8" w:rsidP="004940FF">
            <w:pPr>
              <w:pStyle w:val="Gvdemetni360"/>
              <w:shd w:val="clear" w:color="auto" w:fill="auto"/>
              <w:spacing w:before="120" w:after="120" w:line="240" w:lineRule="auto"/>
              <w:ind w:firstLine="0"/>
              <w:jc w:val="center"/>
              <w:rPr>
                <w:sz w:val="18"/>
                <w:szCs w:val="18"/>
              </w:rPr>
            </w:pPr>
            <w:r w:rsidRPr="00DE12A3">
              <w:rPr>
                <w:rStyle w:val="Gvdemetni367pt0ptbolukbraklyor"/>
                <w:color w:val="auto"/>
                <w:sz w:val="18"/>
                <w:szCs w:val="18"/>
              </w:rPr>
              <w:t>98,0</w:t>
            </w:r>
          </w:p>
        </w:tc>
        <w:tc>
          <w:tcPr>
            <w:tcW w:w="1517" w:type="dxa"/>
            <w:shd w:val="clear" w:color="auto" w:fill="auto"/>
          </w:tcPr>
          <w:p w14:paraId="19C28F60" w14:textId="77777777" w:rsidR="00854ED8" w:rsidRPr="00DE12A3" w:rsidRDefault="00854ED8" w:rsidP="004940FF">
            <w:pPr>
              <w:pStyle w:val="Gvdemetni360"/>
              <w:shd w:val="clear" w:color="auto" w:fill="auto"/>
              <w:spacing w:before="120" w:after="120" w:line="240" w:lineRule="auto"/>
              <w:ind w:left="100" w:firstLine="0"/>
              <w:jc w:val="left"/>
              <w:rPr>
                <w:sz w:val="18"/>
                <w:szCs w:val="18"/>
              </w:rPr>
            </w:pPr>
            <w:r w:rsidRPr="00DE12A3">
              <w:rPr>
                <w:rStyle w:val="Gvdemetni367pt0ptbolukbraklyor"/>
                <w:color w:val="auto"/>
                <w:sz w:val="18"/>
                <w:szCs w:val="18"/>
              </w:rPr>
              <w:t>EN ISO 5164: 2005 (</w:t>
            </w:r>
            <w:r w:rsidRPr="00DE12A3">
              <w:rPr>
                <w:rStyle w:val="Gvdemetni367pt0ptbolukbraklyor"/>
                <w:color w:val="auto"/>
                <w:sz w:val="18"/>
                <w:szCs w:val="18"/>
                <w:vertAlign w:val="superscript"/>
              </w:rPr>
              <w:t>3</w:t>
            </w:r>
            <w:r w:rsidRPr="00DE12A3">
              <w:rPr>
                <w:rStyle w:val="Gvdemetni367pt0ptbolukbraklyor"/>
                <w:color w:val="auto"/>
                <w:sz w:val="18"/>
                <w:szCs w:val="18"/>
              </w:rPr>
              <w:t>)</w:t>
            </w:r>
          </w:p>
        </w:tc>
      </w:tr>
      <w:tr w:rsidR="00DE12A3" w:rsidRPr="00DE12A3" w14:paraId="10116820" w14:textId="77777777" w:rsidTr="00946B82">
        <w:trPr>
          <w:trHeight w:hRule="exact" w:val="614"/>
          <w:jc w:val="center"/>
        </w:trPr>
        <w:tc>
          <w:tcPr>
            <w:tcW w:w="2429" w:type="dxa"/>
            <w:shd w:val="clear" w:color="auto" w:fill="auto"/>
          </w:tcPr>
          <w:p w14:paraId="0925A0E1" w14:textId="77777777" w:rsidR="00854ED8" w:rsidRPr="00DE12A3" w:rsidRDefault="00854ED8" w:rsidP="004940FF">
            <w:pPr>
              <w:pStyle w:val="Gvdemetni360"/>
              <w:shd w:val="clear" w:color="auto" w:fill="auto"/>
              <w:spacing w:before="120" w:after="120" w:line="240" w:lineRule="auto"/>
              <w:ind w:left="132" w:firstLine="0"/>
              <w:jc w:val="left"/>
              <w:rPr>
                <w:sz w:val="18"/>
                <w:szCs w:val="18"/>
              </w:rPr>
            </w:pPr>
            <w:r w:rsidRPr="00DE12A3">
              <w:rPr>
                <w:rStyle w:val="Gvdemetni367pt0ptbolukbraklyor"/>
                <w:color w:val="auto"/>
                <w:sz w:val="18"/>
                <w:szCs w:val="18"/>
              </w:rPr>
              <w:t>Motor oktan sayısı, MON</w:t>
            </w:r>
          </w:p>
        </w:tc>
        <w:tc>
          <w:tcPr>
            <w:tcW w:w="1277" w:type="dxa"/>
            <w:shd w:val="clear" w:color="auto" w:fill="auto"/>
          </w:tcPr>
          <w:p w14:paraId="03997CE8" w14:textId="77777777" w:rsidR="00854ED8" w:rsidRPr="00DE12A3" w:rsidRDefault="00854ED8" w:rsidP="004940FF">
            <w:pPr>
              <w:spacing w:before="120" w:after="120"/>
              <w:rPr>
                <w:rFonts w:cs="Times New Roman"/>
                <w:color w:val="auto"/>
                <w:sz w:val="18"/>
                <w:szCs w:val="18"/>
              </w:rPr>
            </w:pPr>
          </w:p>
        </w:tc>
        <w:tc>
          <w:tcPr>
            <w:tcW w:w="1282" w:type="dxa"/>
            <w:shd w:val="clear" w:color="auto" w:fill="auto"/>
          </w:tcPr>
          <w:p w14:paraId="3259875B" w14:textId="77777777" w:rsidR="00854ED8" w:rsidRPr="00DE12A3" w:rsidRDefault="00854ED8" w:rsidP="004940FF">
            <w:pPr>
              <w:pStyle w:val="Gvdemetni360"/>
              <w:shd w:val="clear" w:color="auto" w:fill="auto"/>
              <w:spacing w:before="120" w:after="120" w:line="240" w:lineRule="auto"/>
              <w:ind w:firstLine="0"/>
              <w:jc w:val="center"/>
              <w:rPr>
                <w:sz w:val="18"/>
                <w:szCs w:val="18"/>
              </w:rPr>
            </w:pPr>
            <w:r w:rsidRPr="00DE12A3">
              <w:rPr>
                <w:rStyle w:val="Gvdemetni367pt0ptbolukbraklyor"/>
                <w:color w:val="auto"/>
                <w:sz w:val="18"/>
                <w:szCs w:val="18"/>
              </w:rPr>
              <w:t>83,0</w:t>
            </w:r>
          </w:p>
        </w:tc>
        <w:tc>
          <w:tcPr>
            <w:tcW w:w="1282" w:type="dxa"/>
            <w:shd w:val="clear" w:color="auto" w:fill="auto"/>
          </w:tcPr>
          <w:p w14:paraId="2FAA74F1" w14:textId="77777777" w:rsidR="00854ED8" w:rsidRPr="00DE12A3" w:rsidRDefault="00854ED8" w:rsidP="004940FF">
            <w:pPr>
              <w:pStyle w:val="Gvdemetni360"/>
              <w:shd w:val="clear" w:color="auto" w:fill="auto"/>
              <w:spacing w:before="120" w:after="120" w:line="240" w:lineRule="auto"/>
              <w:ind w:firstLine="0"/>
              <w:jc w:val="center"/>
              <w:rPr>
                <w:sz w:val="18"/>
                <w:szCs w:val="18"/>
              </w:rPr>
            </w:pPr>
            <w:r w:rsidRPr="00DE12A3">
              <w:rPr>
                <w:rStyle w:val="Gvdemetni367pt0ptbolukbraklyor"/>
                <w:color w:val="auto"/>
                <w:sz w:val="18"/>
                <w:szCs w:val="18"/>
              </w:rPr>
              <w:t>89,0</w:t>
            </w:r>
          </w:p>
        </w:tc>
        <w:tc>
          <w:tcPr>
            <w:tcW w:w="1517" w:type="dxa"/>
            <w:shd w:val="clear" w:color="auto" w:fill="auto"/>
          </w:tcPr>
          <w:p w14:paraId="395514F2" w14:textId="77777777" w:rsidR="00854ED8" w:rsidRPr="00DE12A3" w:rsidRDefault="00854ED8" w:rsidP="004940FF">
            <w:pPr>
              <w:pStyle w:val="Gvdemetni360"/>
              <w:shd w:val="clear" w:color="auto" w:fill="auto"/>
              <w:spacing w:before="120" w:after="120" w:line="240" w:lineRule="auto"/>
              <w:ind w:left="100" w:firstLine="0"/>
              <w:jc w:val="left"/>
              <w:rPr>
                <w:sz w:val="18"/>
                <w:szCs w:val="18"/>
              </w:rPr>
            </w:pPr>
            <w:r w:rsidRPr="00DE12A3">
              <w:rPr>
                <w:rStyle w:val="Gvdemetni367pt0ptbolukbraklyor"/>
                <w:color w:val="auto"/>
                <w:sz w:val="18"/>
                <w:szCs w:val="18"/>
              </w:rPr>
              <w:t>EN ISO 5163: 2005 (</w:t>
            </w:r>
            <w:r w:rsidRPr="00DE12A3">
              <w:rPr>
                <w:rStyle w:val="Gvdemetni367pt0ptbolukbraklyor"/>
                <w:color w:val="auto"/>
                <w:sz w:val="18"/>
                <w:szCs w:val="18"/>
                <w:vertAlign w:val="superscript"/>
              </w:rPr>
              <w:t>3</w:t>
            </w:r>
            <w:r w:rsidRPr="00DE12A3">
              <w:rPr>
                <w:rStyle w:val="Gvdemetni367pt0ptbolukbraklyor"/>
                <w:color w:val="auto"/>
                <w:sz w:val="18"/>
                <w:szCs w:val="18"/>
              </w:rPr>
              <w:t>)</w:t>
            </w:r>
          </w:p>
        </w:tc>
      </w:tr>
      <w:tr w:rsidR="00DE12A3" w:rsidRPr="00DE12A3" w14:paraId="501B3139" w14:textId="77777777" w:rsidTr="00946B82">
        <w:trPr>
          <w:trHeight w:hRule="exact" w:val="677"/>
          <w:jc w:val="center"/>
        </w:trPr>
        <w:tc>
          <w:tcPr>
            <w:tcW w:w="2429" w:type="dxa"/>
            <w:shd w:val="clear" w:color="auto" w:fill="auto"/>
          </w:tcPr>
          <w:p w14:paraId="06D44FCC" w14:textId="77777777" w:rsidR="00854ED8" w:rsidRPr="00DE12A3" w:rsidRDefault="00854ED8" w:rsidP="004940FF">
            <w:pPr>
              <w:pStyle w:val="Gvdemetni360"/>
              <w:shd w:val="clear" w:color="auto" w:fill="auto"/>
              <w:spacing w:before="120" w:after="120" w:line="240" w:lineRule="auto"/>
              <w:ind w:left="132" w:firstLine="0"/>
              <w:jc w:val="left"/>
              <w:rPr>
                <w:sz w:val="18"/>
                <w:szCs w:val="18"/>
              </w:rPr>
            </w:pPr>
            <w:r w:rsidRPr="00DE12A3">
              <w:rPr>
                <w:rStyle w:val="Gvdemetni367pt0ptbolukbraklyor"/>
                <w:color w:val="auto"/>
                <w:sz w:val="18"/>
                <w:szCs w:val="18"/>
              </w:rPr>
              <w:t>15 °C’de yoğunluk</w:t>
            </w:r>
          </w:p>
        </w:tc>
        <w:tc>
          <w:tcPr>
            <w:tcW w:w="1277" w:type="dxa"/>
            <w:shd w:val="clear" w:color="auto" w:fill="auto"/>
          </w:tcPr>
          <w:p w14:paraId="1A05F31E" w14:textId="77777777" w:rsidR="00854ED8" w:rsidRPr="00DE12A3" w:rsidRDefault="00854ED8" w:rsidP="004940FF">
            <w:pPr>
              <w:pStyle w:val="Gvdemetni360"/>
              <w:shd w:val="clear" w:color="auto" w:fill="auto"/>
              <w:spacing w:before="120" w:after="120" w:line="240" w:lineRule="auto"/>
              <w:ind w:firstLine="0"/>
              <w:jc w:val="center"/>
              <w:rPr>
                <w:sz w:val="18"/>
                <w:szCs w:val="18"/>
              </w:rPr>
            </w:pPr>
            <w:r w:rsidRPr="00DE12A3">
              <w:rPr>
                <w:rStyle w:val="Gvdemetni367pt0ptbolukbraklyor"/>
                <w:color w:val="auto"/>
                <w:sz w:val="18"/>
                <w:szCs w:val="18"/>
              </w:rPr>
              <w:t>kg/m</w:t>
            </w:r>
            <w:r w:rsidRPr="00DE12A3">
              <w:rPr>
                <w:rStyle w:val="Gvdemetni367pt0ptbolukbraklyor"/>
                <w:color w:val="auto"/>
                <w:sz w:val="18"/>
                <w:szCs w:val="18"/>
                <w:vertAlign w:val="superscript"/>
              </w:rPr>
              <w:t>3</w:t>
            </w:r>
          </w:p>
        </w:tc>
        <w:tc>
          <w:tcPr>
            <w:tcW w:w="1282" w:type="dxa"/>
            <w:shd w:val="clear" w:color="auto" w:fill="auto"/>
          </w:tcPr>
          <w:p w14:paraId="714C8D9A" w14:textId="77777777" w:rsidR="00854ED8" w:rsidRPr="00DE12A3" w:rsidRDefault="00854ED8" w:rsidP="004940FF">
            <w:pPr>
              <w:pStyle w:val="Gvdemetni360"/>
              <w:shd w:val="clear" w:color="auto" w:fill="auto"/>
              <w:spacing w:before="120" w:after="120" w:line="240" w:lineRule="auto"/>
              <w:ind w:firstLine="0"/>
              <w:jc w:val="center"/>
              <w:rPr>
                <w:sz w:val="18"/>
                <w:szCs w:val="18"/>
              </w:rPr>
            </w:pPr>
            <w:r w:rsidRPr="00DE12A3">
              <w:rPr>
                <w:rStyle w:val="Gvdemetni367pt0ptbolukbraklyor"/>
                <w:color w:val="auto"/>
                <w:sz w:val="18"/>
                <w:szCs w:val="18"/>
              </w:rPr>
              <w:t>743</w:t>
            </w:r>
          </w:p>
        </w:tc>
        <w:tc>
          <w:tcPr>
            <w:tcW w:w="1282" w:type="dxa"/>
            <w:shd w:val="clear" w:color="auto" w:fill="auto"/>
          </w:tcPr>
          <w:p w14:paraId="20E146A2" w14:textId="77777777" w:rsidR="00854ED8" w:rsidRPr="00DE12A3" w:rsidRDefault="00854ED8" w:rsidP="004940FF">
            <w:pPr>
              <w:pStyle w:val="Gvdemetni360"/>
              <w:shd w:val="clear" w:color="auto" w:fill="auto"/>
              <w:spacing w:before="120" w:after="120" w:line="240" w:lineRule="auto"/>
              <w:ind w:firstLine="0"/>
              <w:jc w:val="center"/>
              <w:rPr>
                <w:sz w:val="18"/>
                <w:szCs w:val="18"/>
              </w:rPr>
            </w:pPr>
            <w:r w:rsidRPr="00DE12A3">
              <w:rPr>
                <w:rStyle w:val="Gvdemetni367pt0ptbolukbraklyor"/>
                <w:color w:val="auto"/>
                <w:sz w:val="18"/>
                <w:szCs w:val="18"/>
              </w:rPr>
              <w:t>756</w:t>
            </w:r>
          </w:p>
        </w:tc>
        <w:tc>
          <w:tcPr>
            <w:tcW w:w="1517" w:type="dxa"/>
            <w:shd w:val="clear" w:color="auto" w:fill="auto"/>
          </w:tcPr>
          <w:p w14:paraId="7D5F67B9" w14:textId="77777777" w:rsidR="00854ED8" w:rsidRPr="00DE12A3" w:rsidRDefault="00854ED8" w:rsidP="004940FF">
            <w:pPr>
              <w:pStyle w:val="Gvdemetni360"/>
              <w:shd w:val="clear" w:color="auto" w:fill="auto"/>
              <w:spacing w:before="120" w:after="120" w:line="240" w:lineRule="auto"/>
              <w:ind w:left="100" w:firstLine="0"/>
              <w:jc w:val="left"/>
              <w:rPr>
                <w:sz w:val="18"/>
                <w:szCs w:val="18"/>
              </w:rPr>
            </w:pPr>
            <w:r w:rsidRPr="00DE12A3">
              <w:rPr>
                <w:rStyle w:val="Gvdemetni367pt0ptbolukbraklyor"/>
                <w:color w:val="auto"/>
                <w:sz w:val="18"/>
                <w:szCs w:val="18"/>
              </w:rPr>
              <w:t>EN ISO 3675 EN ISO 12185</w:t>
            </w:r>
          </w:p>
        </w:tc>
      </w:tr>
      <w:tr w:rsidR="00DE12A3" w:rsidRPr="00DE12A3" w14:paraId="6A44C6CC" w14:textId="77777777" w:rsidTr="00946B82">
        <w:trPr>
          <w:trHeight w:hRule="exact" w:val="533"/>
          <w:jc w:val="center"/>
        </w:trPr>
        <w:tc>
          <w:tcPr>
            <w:tcW w:w="2429" w:type="dxa"/>
            <w:shd w:val="clear" w:color="auto" w:fill="auto"/>
          </w:tcPr>
          <w:p w14:paraId="3E3C2BDA" w14:textId="77777777" w:rsidR="00854ED8" w:rsidRPr="00DE12A3" w:rsidRDefault="00854ED8" w:rsidP="004940FF">
            <w:pPr>
              <w:pStyle w:val="Gvdemetni360"/>
              <w:shd w:val="clear" w:color="auto" w:fill="auto"/>
              <w:spacing w:before="120" w:after="120" w:line="240" w:lineRule="auto"/>
              <w:ind w:left="132" w:firstLine="0"/>
              <w:jc w:val="left"/>
              <w:rPr>
                <w:sz w:val="18"/>
                <w:szCs w:val="18"/>
              </w:rPr>
            </w:pPr>
            <w:r w:rsidRPr="00DE12A3">
              <w:rPr>
                <w:rStyle w:val="Gvdemetni367pt0ptbolukbraklyor"/>
                <w:color w:val="auto"/>
                <w:sz w:val="18"/>
                <w:szCs w:val="18"/>
              </w:rPr>
              <w:t>Buhar basıncı</w:t>
            </w:r>
          </w:p>
        </w:tc>
        <w:tc>
          <w:tcPr>
            <w:tcW w:w="1277" w:type="dxa"/>
            <w:shd w:val="clear" w:color="auto" w:fill="auto"/>
          </w:tcPr>
          <w:p w14:paraId="256B235D" w14:textId="77777777" w:rsidR="00854ED8" w:rsidRPr="00DE12A3" w:rsidRDefault="00854ED8" w:rsidP="004940FF">
            <w:pPr>
              <w:pStyle w:val="Gvdemetni360"/>
              <w:shd w:val="clear" w:color="auto" w:fill="auto"/>
              <w:spacing w:before="120" w:after="120" w:line="240" w:lineRule="auto"/>
              <w:ind w:firstLine="0"/>
              <w:jc w:val="center"/>
              <w:rPr>
                <w:sz w:val="18"/>
                <w:szCs w:val="18"/>
              </w:rPr>
            </w:pPr>
            <w:r w:rsidRPr="00DE12A3">
              <w:rPr>
                <w:rStyle w:val="Gvdemetni367pt0ptbolukbraklyor"/>
                <w:color w:val="auto"/>
                <w:sz w:val="18"/>
                <w:szCs w:val="18"/>
              </w:rPr>
              <w:t>kPa</w:t>
            </w:r>
          </w:p>
        </w:tc>
        <w:tc>
          <w:tcPr>
            <w:tcW w:w="1282" w:type="dxa"/>
            <w:shd w:val="clear" w:color="auto" w:fill="auto"/>
          </w:tcPr>
          <w:p w14:paraId="1A38601C" w14:textId="77777777" w:rsidR="00854ED8" w:rsidRPr="00DE12A3" w:rsidRDefault="00854ED8" w:rsidP="004940FF">
            <w:pPr>
              <w:pStyle w:val="Gvdemetni360"/>
              <w:shd w:val="clear" w:color="auto" w:fill="auto"/>
              <w:spacing w:before="120" w:after="120" w:line="240" w:lineRule="auto"/>
              <w:ind w:firstLine="0"/>
              <w:jc w:val="center"/>
              <w:rPr>
                <w:sz w:val="18"/>
                <w:szCs w:val="18"/>
              </w:rPr>
            </w:pPr>
            <w:r w:rsidRPr="00DE12A3">
              <w:rPr>
                <w:rStyle w:val="Gvdemetni367pt0ptbolukbraklyor"/>
                <w:color w:val="auto"/>
                <w:sz w:val="18"/>
                <w:szCs w:val="18"/>
              </w:rPr>
              <w:t>45,0</w:t>
            </w:r>
          </w:p>
        </w:tc>
        <w:tc>
          <w:tcPr>
            <w:tcW w:w="1282" w:type="dxa"/>
            <w:shd w:val="clear" w:color="auto" w:fill="auto"/>
          </w:tcPr>
          <w:p w14:paraId="7FCBC3EC" w14:textId="77777777" w:rsidR="00854ED8" w:rsidRPr="00DE12A3" w:rsidRDefault="00854ED8" w:rsidP="004940FF">
            <w:pPr>
              <w:pStyle w:val="Gvdemetni360"/>
              <w:shd w:val="clear" w:color="auto" w:fill="auto"/>
              <w:spacing w:before="120" w:after="120" w:line="240" w:lineRule="auto"/>
              <w:ind w:firstLine="0"/>
              <w:jc w:val="center"/>
              <w:rPr>
                <w:sz w:val="18"/>
                <w:szCs w:val="18"/>
              </w:rPr>
            </w:pPr>
            <w:r w:rsidRPr="00DE12A3">
              <w:rPr>
                <w:rStyle w:val="Gvdemetni367pt0ptbolukbraklyor"/>
                <w:color w:val="auto"/>
                <w:sz w:val="18"/>
                <w:szCs w:val="18"/>
              </w:rPr>
              <w:t>60,0</w:t>
            </w:r>
          </w:p>
        </w:tc>
        <w:tc>
          <w:tcPr>
            <w:tcW w:w="1517" w:type="dxa"/>
            <w:shd w:val="clear" w:color="auto" w:fill="auto"/>
          </w:tcPr>
          <w:p w14:paraId="472825F3" w14:textId="77777777" w:rsidR="00854ED8" w:rsidRPr="00DE12A3" w:rsidRDefault="00854ED8" w:rsidP="004940FF">
            <w:pPr>
              <w:pStyle w:val="Gvdemetni360"/>
              <w:shd w:val="clear" w:color="auto" w:fill="auto"/>
              <w:spacing w:before="120" w:after="120" w:line="240" w:lineRule="auto"/>
              <w:ind w:left="100" w:firstLine="0"/>
              <w:jc w:val="left"/>
              <w:rPr>
                <w:sz w:val="18"/>
                <w:szCs w:val="18"/>
              </w:rPr>
            </w:pPr>
            <w:r w:rsidRPr="00DE12A3">
              <w:rPr>
                <w:rStyle w:val="Gvdemetni367pt0ptbolukbraklyor"/>
                <w:color w:val="auto"/>
                <w:sz w:val="18"/>
                <w:szCs w:val="18"/>
              </w:rPr>
              <w:t>EN ISO 13016-1 (DVPE)</w:t>
            </w:r>
          </w:p>
        </w:tc>
      </w:tr>
      <w:tr w:rsidR="00DE12A3" w:rsidRPr="00DE12A3" w14:paraId="5AB48CD4" w14:textId="77777777" w:rsidTr="00946B82">
        <w:trPr>
          <w:trHeight w:hRule="exact" w:val="980"/>
          <w:jc w:val="center"/>
        </w:trPr>
        <w:tc>
          <w:tcPr>
            <w:tcW w:w="2429" w:type="dxa"/>
            <w:shd w:val="clear" w:color="auto" w:fill="auto"/>
          </w:tcPr>
          <w:p w14:paraId="6B8B730C" w14:textId="77777777" w:rsidR="00854ED8" w:rsidRPr="00DE12A3" w:rsidRDefault="00854ED8" w:rsidP="004940FF">
            <w:pPr>
              <w:pStyle w:val="Gvdemetni360"/>
              <w:shd w:val="clear" w:color="auto" w:fill="auto"/>
              <w:spacing w:before="120" w:after="120" w:line="240" w:lineRule="auto"/>
              <w:ind w:left="132" w:firstLine="0"/>
              <w:jc w:val="left"/>
              <w:rPr>
                <w:sz w:val="18"/>
                <w:szCs w:val="18"/>
              </w:rPr>
            </w:pPr>
            <w:r w:rsidRPr="00DE12A3">
              <w:rPr>
                <w:rStyle w:val="Gvdemetni367pt0ptbolukbraklyor"/>
                <w:color w:val="auto"/>
                <w:sz w:val="18"/>
                <w:szCs w:val="18"/>
              </w:rPr>
              <w:t>Su içeriği</w:t>
            </w:r>
          </w:p>
        </w:tc>
        <w:tc>
          <w:tcPr>
            <w:tcW w:w="1277" w:type="dxa"/>
            <w:shd w:val="clear" w:color="auto" w:fill="auto"/>
          </w:tcPr>
          <w:p w14:paraId="5FC985A0" w14:textId="77777777" w:rsidR="00854ED8" w:rsidRPr="00DE12A3" w:rsidRDefault="00854ED8" w:rsidP="004940FF">
            <w:pPr>
              <w:spacing w:before="120" w:after="120"/>
              <w:rPr>
                <w:rFonts w:cs="Times New Roman"/>
                <w:color w:val="auto"/>
                <w:sz w:val="18"/>
                <w:szCs w:val="18"/>
              </w:rPr>
            </w:pPr>
          </w:p>
        </w:tc>
        <w:tc>
          <w:tcPr>
            <w:tcW w:w="1282" w:type="dxa"/>
            <w:shd w:val="clear" w:color="auto" w:fill="auto"/>
          </w:tcPr>
          <w:p w14:paraId="5118251D" w14:textId="77777777" w:rsidR="00854ED8" w:rsidRPr="00DE12A3" w:rsidRDefault="00854ED8" w:rsidP="004940FF">
            <w:pPr>
              <w:spacing w:before="120" w:after="120"/>
              <w:rPr>
                <w:rFonts w:cs="Times New Roman"/>
                <w:color w:val="auto"/>
                <w:sz w:val="18"/>
                <w:szCs w:val="18"/>
              </w:rPr>
            </w:pPr>
          </w:p>
        </w:tc>
        <w:tc>
          <w:tcPr>
            <w:tcW w:w="1282" w:type="dxa"/>
            <w:shd w:val="clear" w:color="auto" w:fill="auto"/>
          </w:tcPr>
          <w:p w14:paraId="2654A925" w14:textId="77777777" w:rsidR="00854ED8" w:rsidRPr="00DE12A3" w:rsidRDefault="00854ED8" w:rsidP="004940FF">
            <w:pPr>
              <w:pStyle w:val="Gvdemetni360"/>
              <w:shd w:val="clear" w:color="auto" w:fill="auto"/>
              <w:spacing w:before="120" w:after="120" w:line="240" w:lineRule="auto"/>
              <w:ind w:firstLine="0"/>
              <w:jc w:val="center"/>
              <w:rPr>
                <w:sz w:val="18"/>
                <w:szCs w:val="18"/>
              </w:rPr>
            </w:pPr>
            <w:r w:rsidRPr="00DE12A3">
              <w:rPr>
                <w:rStyle w:val="Gvdemetni367pt0ptbolukbraklyor"/>
                <w:color w:val="auto"/>
                <w:sz w:val="18"/>
                <w:szCs w:val="18"/>
              </w:rPr>
              <w:t>Azami 0,05 % h/h at - 7 °C'de Görünüm: Temiz ve parlak</w:t>
            </w:r>
          </w:p>
        </w:tc>
        <w:tc>
          <w:tcPr>
            <w:tcW w:w="1517" w:type="dxa"/>
            <w:shd w:val="clear" w:color="auto" w:fill="auto"/>
          </w:tcPr>
          <w:p w14:paraId="18E9C197" w14:textId="77777777" w:rsidR="00854ED8" w:rsidRPr="00DE12A3" w:rsidRDefault="00854ED8" w:rsidP="004940FF">
            <w:pPr>
              <w:pStyle w:val="Gvdemetni360"/>
              <w:shd w:val="clear" w:color="auto" w:fill="auto"/>
              <w:spacing w:before="120" w:after="120" w:line="240" w:lineRule="auto"/>
              <w:ind w:left="100" w:firstLine="0"/>
              <w:jc w:val="left"/>
              <w:rPr>
                <w:sz w:val="18"/>
                <w:szCs w:val="18"/>
              </w:rPr>
            </w:pPr>
            <w:r w:rsidRPr="00DE12A3">
              <w:rPr>
                <w:rStyle w:val="Gvdemetni367pt0ptbolukbraklyor"/>
                <w:color w:val="auto"/>
                <w:sz w:val="18"/>
                <w:szCs w:val="18"/>
              </w:rPr>
              <w:t>EN 12937</w:t>
            </w:r>
          </w:p>
        </w:tc>
      </w:tr>
      <w:tr w:rsidR="00DE12A3" w:rsidRPr="00DE12A3" w14:paraId="336FA23C" w14:textId="77777777" w:rsidTr="00946B82">
        <w:trPr>
          <w:trHeight w:hRule="exact" w:val="490"/>
          <w:jc w:val="center"/>
        </w:trPr>
        <w:tc>
          <w:tcPr>
            <w:tcW w:w="2429" w:type="dxa"/>
            <w:shd w:val="clear" w:color="auto" w:fill="auto"/>
          </w:tcPr>
          <w:p w14:paraId="5B8B8C16" w14:textId="77777777" w:rsidR="00854ED8" w:rsidRPr="00DE12A3" w:rsidRDefault="00854ED8" w:rsidP="004940FF">
            <w:pPr>
              <w:pStyle w:val="Gvdemetni360"/>
              <w:shd w:val="clear" w:color="auto" w:fill="auto"/>
              <w:spacing w:before="120" w:after="120" w:line="240" w:lineRule="auto"/>
              <w:ind w:left="132" w:firstLine="0"/>
              <w:jc w:val="left"/>
              <w:rPr>
                <w:sz w:val="18"/>
                <w:szCs w:val="18"/>
              </w:rPr>
            </w:pPr>
            <w:r w:rsidRPr="00DE12A3">
              <w:rPr>
                <w:spacing w:val="3"/>
                <w:sz w:val="18"/>
                <w:szCs w:val="18"/>
              </w:rPr>
              <w:t>Distilasyon</w:t>
            </w:r>
            <w:r w:rsidRPr="00DE12A3">
              <w:rPr>
                <w:rStyle w:val="Gvdemetni367pt0ptbolukbraklyor"/>
                <w:color w:val="auto"/>
                <w:sz w:val="18"/>
                <w:szCs w:val="18"/>
              </w:rPr>
              <w:t>:</w:t>
            </w:r>
          </w:p>
        </w:tc>
        <w:tc>
          <w:tcPr>
            <w:tcW w:w="1277" w:type="dxa"/>
            <w:shd w:val="clear" w:color="auto" w:fill="auto"/>
          </w:tcPr>
          <w:p w14:paraId="138A177D" w14:textId="77777777" w:rsidR="00854ED8" w:rsidRPr="00DE12A3" w:rsidRDefault="00854ED8" w:rsidP="004940FF">
            <w:pPr>
              <w:spacing w:before="120" w:after="120"/>
              <w:rPr>
                <w:rFonts w:cs="Times New Roman"/>
                <w:color w:val="auto"/>
                <w:sz w:val="18"/>
                <w:szCs w:val="18"/>
              </w:rPr>
            </w:pPr>
          </w:p>
        </w:tc>
        <w:tc>
          <w:tcPr>
            <w:tcW w:w="1282" w:type="dxa"/>
            <w:shd w:val="clear" w:color="auto" w:fill="auto"/>
          </w:tcPr>
          <w:p w14:paraId="33B3D4AD" w14:textId="77777777" w:rsidR="00854ED8" w:rsidRPr="00DE12A3" w:rsidRDefault="00854ED8" w:rsidP="004940FF">
            <w:pPr>
              <w:spacing w:before="120" w:after="120"/>
              <w:rPr>
                <w:rFonts w:cs="Times New Roman"/>
                <w:color w:val="auto"/>
                <w:sz w:val="18"/>
                <w:szCs w:val="18"/>
              </w:rPr>
            </w:pPr>
          </w:p>
        </w:tc>
        <w:tc>
          <w:tcPr>
            <w:tcW w:w="1282" w:type="dxa"/>
            <w:shd w:val="clear" w:color="auto" w:fill="auto"/>
          </w:tcPr>
          <w:p w14:paraId="14F2C884" w14:textId="77777777" w:rsidR="00854ED8" w:rsidRPr="00DE12A3" w:rsidRDefault="00854ED8" w:rsidP="004940FF">
            <w:pPr>
              <w:spacing w:before="120" w:after="120"/>
              <w:rPr>
                <w:rFonts w:cs="Times New Roman"/>
                <w:color w:val="auto"/>
                <w:sz w:val="18"/>
                <w:szCs w:val="18"/>
              </w:rPr>
            </w:pPr>
          </w:p>
        </w:tc>
        <w:tc>
          <w:tcPr>
            <w:tcW w:w="1517" w:type="dxa"/>
            <w:shd w:val="clear" w:color="auto" w:fill="auto"/>
          </w:tcPr>
          <w:p w14:paraId="4103375C" w14:textId="77777777" w:rsidR="00854ED8" w:rsidRPr="00DE12A3" w:rsidRDefault="00854ED8" w:rsidP="004940FF">
            <w:pPr>
              <w:spacing w:before="120" w:after="120"/>
              <w:rPr>
                <w:rFonts w:cs="Times New Roman"/>
                <w:color w:val="auto"/>
                <w:sz w:val="18"/>
                <w:szCs w:val="18"/>
              </w:rPr>
            </w:pPr>
          </w:p>
        </w:tc>
      </w:tr>
      <w:tr w:rsidR="00DE12A3" w:rsidRPr="00DE12A3" w14:paraId="7A6AB4F9" w14:textId="77777777" w:rsidTr="00946B82">
        <w:trPr>
          <w:trHeight w:hRule="exact" w:val="490"/>
          <w:jc w:val="center"/>
        </w:trPr>
        <w:tc>
          <w:tcPr>
            <w:tcW w:w="2429" w:type="dxa"/>
            <w:shd w:val="clear" w:color="auto" w:fill="auto"/>
          </w:tcPr>
          <w:p w14:paraId="5CAF9B28" w14:textId="77777777" w:rsidR="00854ED8" w:rsidRPr="00DE12A3" w:rsidRDefault="00854ED8" w:rsidP="004940FF">
            <w:pPr>
              <w:pStyle w:val="Gvdemetni360"/>
              <w:shd w:val="clear" w:color="auto" w:fill="auto"/>
              <w:spacing w:before="120" w:after="120" w:line="240" w:lineRule="auto"/>
              <w:ind w:left="132" w:firstLine="0"/>
              <w:jc w:val="left"/>
              <w:rPr>
                <w:sz w:val="18"/>
                <w:szCs w:val="18"/>
              </w:rPr>
            </w:pPr>
            <w:r w:rsidRPr="00DE12A3">
              <w:rPr>
                <w:rStyle w:val="Gvdemetni367pt0ptbolukbraklyor"/>
                <w:color w:val="auto"/>
                <w:sz w:val="18"/>
                <w:szCs w:val="18"/>
              </w:rPr>
              <w:t>—70 °C’de buharlaştı</w:t>
            </w:r>
          </w:p>
        </w:tc>
        <w:tc>
          <w:tcPr>
            <w:tcW w:w="1277" w:type="dxa"/>
            <w:shd w:val="clear" w:color="auto" w:fill="auto"/>
          </w:tcPr>
          <w:p w14:paraId="57E032AF" w14:textId="77777777" w:rsidR="00854ED8" w:rsidRPr="00DE12A3" w:rsidRDefault="00854ED8" w:rsidP="004940FF">
            <w:pPr>
              <w:pStyle w:val="Gvdemetni360"/>
              <w:shd w:val="clear" w:color="auto" w:fill="auto"/>
              <w:spacing w:before="120" w:after="120" w:line="240" w:lineRule="auto"/>
              <w:ind w:firstLine="0"/>
              <w:jc w:val="center"/>
              <w:rPr>
                <w:sz w:val="18"/>
                <w:szCs w:val="18"/>
              </w:rPr>
            </w:pPr>
            <w:r w:rsidRPr="00DE12A3">
              <w:rPr>
                <w:rStyle w:val="Gvdemetni367pt0ptbolukbraklyor"/>
                <w:color w:val="auto"/>
                <w:sz w:val="18"/>
                <w:szCs w:val="18"/>
              </w:rPr>
              <w:t>% v/v</w:t>
            </w:r>
          </w:p>
        </w:tc>
        <w:tc>
          <w:tcPr>
            <w:tcW w:w="1282" w:type="dxa"/>
            <w:shd w:val="clear" w:color="auto" w:fill="auto"/>
          </w:tcPr>
          <w:p w14:paraId="4F0545A8" w14:textId="77777777" w:rsidR="00854ED8" w:rsidRPr="00DE12A3" w:rsidRDefault="00854ED8" w:rsidP="004940FF">
            <w:pPr>
              <w:pStyle w:val="Gvdemetni360"/>
              <w:shd w:val="clear" w:color="auto" w:fill="auto"/>
              <w:spacing w:before="120" w:after="120" w:line="240" w:lineRule="auto"/>
              <w:ind w:firstLine="0"/>
              <w:jc w:val="center"/>
              <w:rPr>
                <w:sz w:val="18"/>
                <w:szCs w:val="18"/>
              </w:rPr>
            </w:pPr>
            <w:r w:rsidRPr="00DE12A3">
              <w:rPr>
                <w:rStyle w:val="Gvdemetni367pt0ptbolukbraklyor"/>
                <w:color w:val="auto"/>
                <w:sz w:val="18"/>
                <w:szCs w:val="18"/>
              </w:rPr>
              <w:t>18,0</w:t>
            </w:r>
          </w:p>
        </w:tc>
        <w:tc>
          <w:tcPr>
            <w:tcW w:w="1282" w:type="dxa"/>
            <w:shd w:val="clear" w:color="auto" w:fill="auto"/>
          </w:tcPr>
          <w:p w14:paraId="184E0EF5" w14:textId="77777777" w:rsidR="00854ED8" w:rsidRPr="00DE12A3" w:rsidRDefault="00854ED8" w:rsidP="004940FF">
            <w:pPr>
              <w:pStyle w:val="Gvdemetni360"/>
              <w:shd w:val="clear" w:color="auto" w:fill="auto"/>
              <w:spacing w:before="120" w:after="120" w:line="240" w:lineRule="auto"/>
              <w:ind w:firstLine="0"/>
              <w:jc w:val="center"/>
              <w:rPr>
                <w:sz w:val="18"/>
                <w:szCs w:val="18"/>
              </w:rPr>
            </w:pPr>
            <w:r w:rsidRPr="00DE12A3">
              <w:rPr>
                <w:rStyle w:val="Gvdemetni367pt0ptbolukbraklyor"/>
                <w:color w:val="auto"/>
                <w:sz w:val="18"/>
                <w:szCs w:val="18"/>
              </w:rPr>
              <w:t>46,0</w:t>
            </w:r>
          </w:p>
        </w:tc>
        <w:tc>
          <w:tcPr>
            <w:tcW w:w="1517" w:type="dxa"/>
            <w:shd w:val="clear" w:color="auto" w:fill="auto"/>
          </w:tcPr>
          <w:p w14:paraId="05A08714" w14:textId="77777777" w:rsidR="00854ED8" w:rsidRPr="00DE12A3" w:rsidRDefault="00854ED8" w:rsidP="004940FF">
            <w:pPr>
              <w:pStyle w:val="Gvdemetni360"/>
              <w:shd w:val="clear" w:color="auto" w:fill="auto"/>
              <w:spacing w:before="120" w:after="120" w:line="240" w:lineRule="auto"/>
              <w:ind w:left="100" w:firstLine="0"/>
              <w:jc w:val="left"/>
              <w:rPr>
                <w:sz w:val="18"/>
                <w:szCs w:val="18"/>
              </w:rPr>
            </w:pPr>
            <w:r w:rsidRPr="00DE12A3">
              <w:rPr>
                <w:rStyle w:val="Gvdemetni367pt0ptbolukbraklyor"/>
                <w:color w:val="auto"/>
                <w:sz w:val="18"/>
                <w:szCs w:val="18"/>
              </w:rPr>
              <w:t>EN-ISO 3405</w:t>
            </w:r>
          </w:p>
        </w:tc>
      </w:tr>
      <w:tr w:rsidR="00DE12A3" w:rsidRPr="00DE12A3" w14:paraId="1C44F51A" w14:textId="77777777" w:rsidTr="00946B82">
        <w:trPr>
          <w:trHeight w:hRule="exact" w:val="490"/>
          <w:jc w:val="center"/>
        </w:trPr>
        <w:tc>
          <w:tcPr>
            <w:tcW w:w="2429" w:type="dxa"/>
            <w:shd w:val="clear" w:color="auto" w:fill="auto"/>
          </w:tcPr>
          <w:p w14:paraId="6AADA2D3" w14:textId="77777777" w:rsidR="00854ED8" w:rsidRPr="00DE12A3" w:rsidRDefault="00854ED8" w:rsidP="004940FF">
            <w:pPr>
              <w:pStyle w:val="Gvdemetni360"/>
              <w:shd w:val="clear" w:color="auto" w:fill="auto"/>
              <w:spacing w:before="120" w:after="120" w:line="240" w:lineRule="auto"/>
              <w:ind w:left="132" w:firstLine="0"/>
              <w:jc w:val="left"/>
              <w:rPr>
                <w:sz w:val="18"/>
                <w:szCs w:val="18"/>
              </w:rPr>
            </w:pPr>
            <w:r w:rsidRPr="00DE12A3">
              <w:rPr>
                <w:rStyle w:val="Gvdemetni367pt0ptbolukbraklyor"/>
                <w:color w:val="auto"/>
                <w:sz w:val="18"/>
                <w:szCs w:val="18"/>
              </w:rPr>
              <w:t>—100 °C’de buharlaştı</w:t>
            </w:r>
          </w:p>
        </w:tc>
        <w:tc>
          <w:tcPr>
            <w:tcW w:w="1277" w:type="dxa"/>
            <w:shd w:val="clear" w:color="auto" w:fill="auto"/>
          </w:tcPr>
          <w:p w14:paraId="224C67EC" w14:textId="77777777" w:rsidR="00854ED8" w:rsidRPr="00DE12A3" w:rsidRDefault="00854ED8" w:rsidP="004940FF">
            <w:pPr>
              <w:pStyle w:val="Gvdemetni360"/>
              <w:shd w:val="clear" w:color="auto" w:fill="auto"/>
              <w:spacing w:before="120" w:after="120" w:line="240" w:lineRule="auto"/>
              <w:ind w:firstLine="0"/>
              <w:jc w:val="center"/>
              <w:rPr>
                <w:sz w:val="18"/>
                <w:szCs w:val="18"/>
              </w:rPr>
            </w:pPr>
            <w:r w:rsidRPr="00DE12A3">
              <w:rPr>
                <w:rStyle w:val="Gvdemetni367pt0ptbolukbraklyor"/>
                <w:color w:val="auto"/>
                <w:sz w:val="18"/>
                <w:szCs w:val="18"/>
              </w:rPr>
              <w:t>% v/v</w:t>
            </w:r>
          </w:p>
        </w:tc>
        <w:tc>
          <w:tcPr>
            <w:tcW w:w="1282" w:type="dxa"/>
            <w:shd w:val="clear" w:color="auto" w:fill="auto"/>
          </w:tcPr>
          <w:p w14:paraId="683B9875" w14:textId="77777777" w:rsidR="00854ED8" w:rsidRPr="00DE12A3" w:rsidRDefault="00854ED8" w:rsidP="004940FF">
            <w:pPr>
              <w:pStyle w:val="Gvdemetni360"/>
              <w:shd w:val="clear" w:color="auto" w:fill="auto"/>
              <w:spacing w:before="120" w:after="120" w:line="240" w:lineRule="auto"/>
              <w:ind w:firstLine="0"/>
              <w:jc w:val="center"/>
              <w:rPr>
                <w:sz w:val="18"/>
                <w:szCs w:val="18"/>
              </w:rPr>
            </w:pPr>
            <w:r w:rsidRPr="00DE12A3">
              <w:rPr>
                <w:rStyle w:val="Gvdemetni367pt0ptbolukbraklyor"/>
                <w:color w:val="auto"/>
                <w:sz w:val="18"/>
                <w:szCs w:val="18"/>
              </w:rPr>
              <w:t>46,0</w:t>
            </w:r>
          </w:p>
        </w:tc>
        <w:tc>
          <w:tcPr>
            <w:tcW w:w="1282" w:type="dxa"/>
            <w:shd w:val="clear" w:color="auto" w:fill="auto"/>
          </w:tcPr>
          <w:p w14:paraId="5154A488" w14:textId="77777777" w:rsidR="00854ED8" w:rsidRPr="00DE12A3" w:rsidRDefault="00854ED8" w:rsidP="004940FF">
            <w:pPr>
              <w:pStyle w:val="Gvdemetni360"/>
              <w:shd w:val="clear" w:color="auto" w:fill="auto"/>
              <w:spacing w:before="120" w:after="120" w:line="240" w:lineRule="auto"/>
              <w:ind w:firstLine="0"/>
              <w:jc w:val="center"/>
              <w:rPr>
                <w:sz w:val="18"/>
                <w:szCs w:val="18"/>
              </w:rPr>
            </w:pPr>
            <w:r w:rsidRPr="00DE12A3">
              <w:rPr>
                <w:rStyle w:val="Gvdemetni367pt0ptbolukbraklyor"/>
                <w:color w:val="auto"/>
                <w:sz w:val="18"/>
                <w:szCs w:val="18"/>
              </w:rPr>
              <w:t>62,0</w:t>
            </w:r>
          </w:p>
        </w:tc>
        <w:tc>
          <w:tcPr>
            <w:tcW w:w="1517" w:type="dxa"/>
            <w:shd w:val="clear" w:color="auto" w:fill="auto"/>
          </w:tcPr>
          <w:p w14:paraId="3738E20E" w14:textId="77777777" w:rsidR="00854ED8" w:rsidRPr="00DE12A3" w:rsidRDefault="00854ED8" w:rsidP="004940FF">
            <w:pPr>
              <w:pStyle w:val="Gvdemetni360"/>
              <w:shd w:val="clear" w:color="auto" w:fill="auto"/>
              <w:spacing w:before="120" w:after="120" w:line="240" w:lineRule="auto"/>
              <w:ind w:left="100" w:firstLine="0"/>
              <w:jc w:val="left"/>
              <w:rPr>
                <w:sz w:val="18"/>
                <w:szCs w:val="18"/>
              </w:rPr>
            </w:pPr>
            <w:r w:rsidRPr="00DE12A3">
              <w:rPr>
                <w:rStyle w:val="Gvdemetni367pt0ptbolukbraklyor"/>
                <w:color w:val="auto"/>
                <w:sz w:val="18"/>
                <w:szCs w:val="18"/>
              </w:rPr>
              <w:t>EN-ISO 3405</w:t>
            </w:r>
          </w:p>
        </w:tc>
      </w:tr>
      <w:tr w:rsidR="00DE12A3" w:rsidRPr="00DE12A3" w14:paraId="386C38A6" w14:textId="77777777" w:rsidTr="00946B82">
        <w:trPr>
          <w:trHeight w:hRule="exact" w:val="490"/>
          <w:jc w:val="center"/>
        </w:trPr>
        <w:tc>
          <w:tcPr>
            <w:tcW w:w="2429" w:type="dxa"/>
            <w:shd w:val="clear" w:color="auto" w:fill="auto"/>
          </w:tcPr>
          <w:p w14:paraId="1C7B9AE6" w14:textId="77777777" w:rsidR="00854ED8" w:rsidRPr="00DE12A3" w:rsidRDefault="00854ED8" w:rsidP="004940FF">
            <w:pPr>
              <w:pStyle w:val="Gvdemetni360"/>
              <w:shd w:val="clear" w:color="auto" w:fill="auto"/>
              <w:spacing w:before="120" w:after="120" w:line="240" w:lineRule="auto"/>
              <w:ind w:left="132" w:firstLine="0"/>
              <w:jc w:val="left"/>
              <w:rPr>
                <w:sz w:val="18"/>
                <w:szCs w:val="18"/>
              </w:rPr>
            </w:pPr>
            <w:r w:rsidRPr="00DE12A3">
              <w:rPr>
                <w:rStyle w:val="Gvdemetni367pt0ptbolukbraklyor"/>
                <w:color w:val="auto"/>
                <w:sz w:val="18"/>
                <w:szCs w:val="18"/>
              </w:rPr>
              <w:t>—150 °C’de buharlaştı</w:t>
            </w:r>
          </w:p>
        </w:tc>
        <w:tc>
          <w:tcPr>
            <w:tcW w:w="1277" w:type="dxa"/>
            <w:shd w:val="clear" w:color="auto" w:fill="auto"/>
          </w:tcPr>
          <w:p w14:paraId="4CF222B9" w14:textId="77777777" w:rsidR="00854ED8" w:rsidRPr="00DE12A3" w:rsidRDefault="00854ED8" w:rsidP="004940FF">
            <w:pPr>
              <w:pStyle w:val="Gvdemetni360"/>
              <w:shd w:val="clear" w:color="auto" w:fill="auto"/>
              <w:spacing w:before="120" w:after="120" w:line="240" w:lineRule="auto"/>
              <w:ind w:firstLine="0"/>
              <w:jc w:val="center"/>
              <w:rPr>
                <w:sz w:val="18"/>
                <w:szCs w:val="18"/>
              </w:rPr>
            </w:pPr>
            <w:r w:rsidRPr="00DE12A3">
              <w:rPr>
                <w:rStyle w:val="Gvdemetni367pt0ptbolukbraklyor"/>
                <w:color w:val="auto"/>
                <w:sz w:val="18"/>
                <w:szCs w:val="18"/>
              </w:rPr>
              <w:t>% v/v</w:t>
            </w:r>
          </w:p>
        </w:tc>
        <w:tc>
          <w:tcPr>
            <w:tcW w:w="1282" w:type="dxa"/>
            <w:shd w:val="clear" w:color="auto" w:fill="auto"/>
          </w:tcPr>
          <w:p w14:paraId="002B03C1" w14:textId="77777777" w:rsidR="00854ED8" w:rsidRPr="00DE12A3" w:rsidRDefault="00854ED8" w:rsidP="004940FF">
            <w:pPr>
              <w:pStyle w:val="Gvdemetni360"/>
              <w:shd w:val="clear" w:color="auto" w:fill="auto"/>
              <w:spacing w:before="120" w:after="120" w:line="240" w:lineRule="auto"/>
              <w:ind w:firstLine="0"/>
              <w:jc w:val="center"/>
              <w:rPr>
                <w:sz w:val="18"/>
                <w:szCs w:val="18"/>
              </w:rPr>
            </w:pPr>
            <w:r w:rsidRPr="00DE12A3">
              <w:rPr>
                <w:rStyle w:val="Gvdemetni367pt0ptbolukbraklyor"/>
                <w:color w:val="auto"/>
                <w:sz w:val="18"/>
                <w:szCs w:val="18"/>
              </w:rPr>
              <w:t>75,0</w:t>
            </w:r>
          </w:p>
        </w:tc>
        <w:tc>
          <w:tcPr>
            <w:tcW w:w="1282" w:type="dxa"/>
            <w:shd w:val="clear" w:color="auto" w:fill="auto"/>
          </w:tcPr>
          <w:p w14:paraId="0D3BAFD9" w14:textId="77777777" w:rsidR="00854ED8" w:rsidRPr="00DE12A3" w:rsidRDefault="00854ED8" w:rsidP="004940FF">
            <w:pPr>
              <w:pStyle w:val="Gvdemetni360"/>
              <w:shd w:val="clear" w:color="auto" w:fill="auto"/>
              <w:spacing w:before="120" w:after="120" w:line="240" w:lineRule="auto"/>
              <w:ind w:firstLine="0"/>
              <w:jc w:val="center"/>
              <w:rPr>
                <w:sz w:val="18"/>
                <w:szCs w:val="18"/>
              </w:rPr>
            </w:pPr>
            <w:r w:rsidRPr="00DE12A3">
              <w:rPr>
                <w:rStyle w:val="Gvdemetni367pt0ptbolukbraklyor"/>
                <w:color w:val="auto"/>
                <w:sz w:val="18"/>
                <w:szCs w:val="18"/>
              </w:rPr>
              <w:t>94,0</w:t>
            </w:r>
          </w:p>
        </w:tc>
        <w:tc>
          <w:tcPr>
            <w:tcW w:w="1517" w:type="dxa"/>
            <w:shd w:val="clear" w:color="auto" w:fill="auto"/>
          </w:tcPr>
          <w:p w14:paraId="45D5DC2B" w14:textId="77777777" w:rsidR="00854ED8" w:rsidRPr="00DE12A3" w:rsidRDefault="00854ED8" w:rsidP="004940FF">
            <w:pPr>
              <w:pStyle w:val="Gvdemetni360"/>
              <w:shd w:val="clear" w:color="auto" w:fill="auto"/>
              <w:spacing w:before="120" w:after="120" w:line="240" w:lineRule="auto"/>
              <w:ind w:left="100" w:firstLine="0"/>
              <w:jc w:val="left"/>
              <w:rPr>
                <w:sz w:val="18"/>
                <w:szCs w:val="18"/>
              </w:rPr>
            </w:pPr>
            <w:r w:rsidRPr="00DE12A3">
              <w:rPr>
                <w:rStyle w:val="Gvdemetni367pt0ptbolukbraklyor"/>
                <w:color w:val="auto"/>
                <w:sz w:val="18"/>
                <w:szCs w:val="18"/>
              </w:rPr>
              <w:t>EN-ISO 3405</w:t>
            </w:r>
          </w:p>
        </w:tc>
      </w:tr>
      <w:tr w:rsidR="00DE12A3" w:rsidRPr="00DE12A3" w14:paraId="5A884400" w14:textId="77777777" w:rsidTr="00946B82">
        <w:trPr>
          <w:trHeight w:hRule="exact" w:val="494"/>
          <w:jc w:val="center"/>
        </w:trPr>
        <w:tc>
          <w:tcPr>
            <w:tcW w:w="2429" w:type="dxa"/>
            <w:shd w:val="clear" w:color="auto" w:fill="auto"/>
          </w:tcPr>
          <w:p w14:paraId="2AC61D76" w14:textId="7AA9154A" w:rsidR="00854ED8" w:rsidRPr="00DE12A3" w:rsidRDefault="00854ED8" w:rsidP="004940FF">
            <w:pPr>
              <w:pStyle w:val="Gvdemetni360"/>
              <w:shd w:val="clear" w:color="auto" w:fill="auto"/>
              <w:spacing w:before="120" w:after="120" w:line="240" w:lineRule="auto"/>
              <w:ind w:left="132" w:firstLine="0"/>
              <w:jc w:val="left"/>
              <w:rPr>
                <w:sz w:val="18"/>
                <w:szCs w:val="18"/>
              </w:rPr>
            </w:pPr>
            <w:r w:rsidRPr="00DE12A3">
              <w:rPr>
                <w:rStyle w:val="Gvdemetni367pt0ptbolukbraklyor"/>
                <w:color w:val="auto"/>
                <w:sz w:val="18"/>
                <w:szCs w:val="18"/>
              </w:rPr>
              <w:t xml:space="preserve">— </w:t>
            </w:r>
            <w:r w:rsidR="00773274" w:rsidRPr="00DE12A3">
              <w:rPr>
                <w:rStyle w:val="Gvdemetni367pt0ptbolukbraklyor"/>
                <w:color w:val="auto"/>
                <w:sz w:val="18"/>
                <w:szCs w:val="18"/>
              </w:rPr>
              <w:t xml:space="preserve">Nihai </w:t>
            </w:r>
            <w:r w:rsidRPr="00DE12A3">
              <w:rPr>
                <w:rStyle w:val="Gvdemetni367pt0ptbolukbraklyor"/>
                <w:color w:val="auto"/>
                <w:sz w:val="18"/>
                <w:szCs w:val="18"/>
              </w:rPr>
              <w:t>kaynama noktası</w:t>
            </w:r>
          </w:p>
        </w:tc>
        <w:tc>
          <w:tcPr>
            <w:tcW w:w="1277" w:type="dxa"/>
            <w:shd w:val="clear" w:color="auto" w:fill="auto"/>
          </w:tcPr>
          <w:p w14:paraId="0D64F397" w14:textId="77777777" w:rsidR="00854ED8" w:rsidRPr="00DE12A3" w:rsidRDefault="00854ED8" w:rsidP="004940FF">
            <w:pPr>
              <w:pStyle w:val="Gvdemetni360"/>
              <w:shd w:val="clear" w:color="auto" w:fill="auto"/>
              <w:spacing w:before="120" w:after="120" w:line="240" w:lineRule="auto"/>
              <w:ind w:firstLine="0"/>
              <w:jc w:val="center"/>
              <w:rPr>
                <w:sz w:val="18"/>
                <w:szCs w:val="18"/>
              </w:rPr>
            </w:pPr>
            <w:r w:rsidRPr="00DE12A3">
              <w:rPr>
                <w:rStyle w:val="Gvdemetni367pt0ptbolukbraklyor"/>
                <w:color w:val="auto"/>
                <w:sz w:val="18"/>
                <w:szCs w:val="18"/>
              </w:rPr>
              <w:t>°C</w:t>
            </w:r>
          </w:p>
        </w:tc>
        <w:tc>
          <w:tcPr>
            <w:tcW w:w="1282" w:type="dxa"/>
            <w:shd w:val="clear" w:color="auto" w:fill="auto"/>
          </w:tcPr>
          <w:p w14:paraId="74E19269" w14:textId="77777777" w:rsidR="00854ED8" w:rsidRPr="00DE12A3" w:rsidRDefault="00854ED8" w:rsidP="004940FF">
            <w:pPr>
              <w:pStyle w:val="Gvdemetni360"/>
              <w:shd w:val="clear" w:color="auto" w:fill="auto"/>
              <w:spacing w:before="120" w:after="120" w:line="240" w:lineRule="auto"/>
              <w:ind w:firstLine="0"/>
              <w:jc w:val="center"/>
              <w:rPr>
                <w:sz w:val="18"/>
                <w:szCs w:val="18"/>
              </w:rPr>
            </w:pPr>
            <w:r w:rsidRPr="00DE12A3">
              <w:rPr>
                <w:rStyle w:val="Gvdemetni367pt0ptbolukbraklyor"/>
                <w:color w:val="auto"/>
                <w:sz w:val="18"/>
                <w:szCs w:val="18"/>
              </w:rPr>
              <w:t>170</w:t>
            </w:r>
          </w:p>
        </w:tc>
        <w:tc>
          <w:tcPr>
            <w:tcW w:w="1282" w:type="dxa"/>
            <w:shd w:val="clear" w:color="auto" w:fill="auto"/>
          </w:tcPr>
          <w:p w14:paraId="0CBACCF2" w14:textId="77777777" w:rsidR="00854ED8" w:rsidRPr="00DE12A3" w:rsidRDefault="00854ED8" w:rsidP="004940FF">
            <w:pPr>
              <w:pStyle w:val="Gvdemetni360"/>
              <w:shd w:val="clear" w:color="auto" w:fill="auto"/>
              <w:spacing w:before="120" w:after="120" w:line="240" w:lineRule="auto"/>
              <w:ind w:firstLine="0"/>
              <w:jc w:val="center"/>
              <w:rPr>
                <w:sz w:val="18"/>
                <w:szCs w:val="18"/>
              </w:rPr>
            </w:pPr>
            <w:r w:rsidRPr="00DE12A3">
              <w:rPr>
                <w:rStyle w:val="Gvdemetni3675pt0ptbolukbraklyor"/>
                <w:color w:val="auto"/>
                <w:sz w:val="18"/>
                <w:szCs w:val="18"/>
              </w:rPr>
              <w:t>210</w:t>
            </w:r>
          </w:p>
        </w:tc>
        <w:tc>
          <w:tcPr>
            <w:tcW w:w="1517" w:type="dxa"/>
            <w:shd w:val="clear" w:color="auto" w:fill="auto"/>
          </w:tcPr>
          <w:p w14:paraId="75550AB2" w14:textId="77777777" w:rsidR="00854ED8" w:rsidRPr="00DE12A3" w:rsidRDefault="00854ED8" w:rsidP="004940FF">
            <w:pPr>
              <w:pStyle w:val="Gvdemetni360"/>
              <w:shd w:val="clear" w:color="auto" w:fill="auto"/>
              <w:spacing w:before="120" w:after="120" w:line="240" w:lineRule="auto"/>
              <w:ind w:left="100" w:firstLine="0"/>
              <w:jc w:val="left"/>
              <w:rPr>
                <w:sz w:val="18"/>
                <w:szCs w:val="18"/>
              </w:rPr>
            </w:pPr>
            <w:r w:rsidRPr="00DE12A3">
              <w:rPr>
                <w:rStyle w:val="Gvdemetni367pt0ptbolukbraklyor"/>
                <w:color w:val="auto"/>
                <w:sz w:val="18"/>
                <w:szCs w:val="18"/>
              </w:rPr>
              <w:t>EN-ISO 3405</w:t>
            </w:r>
          </w:p>
        </w:tc>
      </w:tr>
      <w:tr w:rsidR="00DE12A3" w:rsidRPr="00DE12A3" w14:paraId="7E98CB57" w14:textId="77777777" w:rsidTr="00946B82">
        <w:trPr>
          <w:trHeight w:hRule="exact" w:val="485"/>
          <w:jc w:val="center"/>
        </w:trPr>
        <w:tc>
          <w:tcPr>
            <w:tcW w:w="2429" w:type="dxa"/>
            <w:shd w:val="clear" w:color="auto" w:fill="auto"/>
          </w:tcPr>
          <w:p w14:paraId="38A59F39" w14:textId="77777777" w:rsidR="00854ED8" w:rsidRPr="00DE12A3" w:rsidRDefault="00854ED8" w:rsidP="004940FF">
            <w:pPr>
              <w:pStyle w:val="Gvdemetni360"/>
              <w:shd w:val="clear" w:color="auto" w:fill="auto"/>
              <w:spacing w:before="120" w:after="120" w:line="240" w:lineRule="auto"/>
              <w:ind w:left="132" w:firstLine="0"/>
              <w:jc w:val="left"/>
              <w:rPr>
                <w:sz w:val="18"/>
                <w:szCs w:val="18"/>
              </w:rPr>
            </w:pPr>
            <w:r w:rsidRPr="00DE12A3">
              <w:rPr>
                <w:rStyle w:val="Gvdemetni367pt0ptbolukbraklyor"/>
                <w:color w:val="auto"/>
                <w:sz w:val="18"/>
                <w:szCs w:val="18"/>
              </w:rPr>
              <w:t>Artık</w:t>
            </w:r>
          </w:p>
        </w:tc>
        <w:tc>
          <w:tcPr>
            <w:tcW w:w="1277" w:type="dxa"/>
            <w:shd w:val="clear" w:color="auto" w:fill="auto"/>
          </w:tcPr>
          <w:p w14:paraId="44DA24C6" w14:textId="77777777" w:rsidR="00854ED8" w:rsidRPr="00DE12A3" w:rsidRDefault="00854ED8" w:rsidP="004940FF">
            <w:pPr>
              <w:pStyle w:val="Gvdemetni360"/>
              <w:shd w:val="clear" w:color="auto" w:fill="auto"/>
              <w:spacing w:before="120" w:after="120" w:line="240" w:lineRule="auto"/>
              <w:ind w:firstLine="0"/>
              <w:jc w:val="center"/>
              <w:rPr>
                <w:sz w:val="18"/>
                <w:szCs w:val="18"/>
              </w:rPr>
            </w:pPr>
            <w:r w:rsidRPr="00DE12A3">
              <w:rPr>
                <w:rStyle w:val="Gvdemetni367pt0ptbolukbraklyor"/>
                <w:color w:val="auto"/>
                <w:sz w:val="18"/>
                <w:szCs w:val="18"/>
              </w:rPr>
              <w:t>% v/v</w:t>
            </w:r>
          </w:p>
        </w:tc>
        <w:tc>
          <w:tcPr>
            <w:tcW w:w="1282" w:type="dxa"/>
            <w:shd w:val="clear" w:color="auto" w:fill="auto"/>
          </w:tcPr>
          <w:p w14:paraId="7FC19C50" w14:textId="77777777" w:rsidR="00854ED8" w:rsidRPr="00DE12A3" w:rsidRDefault="00854ED8" w:rsidP="004940FF">
            <w:pPr>
              <w:pStyle w:val="Gvdemetni360"/>
              <w:shd w:val="clear" w:color="auto" w:fill="auto"/>
              <w:spacing w:before="120" w:after="120" w:line="240" w:lineRule="auto"/>
              <w:ind w:firstLine="0"/>
              <w:jc w:val="center"/>
              <w:rPr>
                <w:sz w:val="18"/>
                <w:szCs w:val="18"/>
              </w:rPr>
            </w:pPr>
            <w:r w:rsidRPr="00DE12A3">
              <w:rPr>
                <w:rStyle w:val="Gvdemetni3675pt"/>
                <w:color w:val="auto"/>
                <w:sz w:val="18"/>
                <w:szCs w:val="18"/>
              </w:rPr>
              <w:t>—</w:t>
            </w:r>
          </w:p>
        </w:tc>
        <w:tc>
          <w:tcPr>
            <w:tcW w:w="1282" w:type="dxa"/>
            <w:shd w:val="clear" w:color="auto" w:fill="auto"/>
          </w:tcPr>
          <w:p w14:paraId="4196A7D7" w14:textId="77777777" w:rsidR="00854ED8" w:rsidRPr="00DE12A3" w:rsidRDefault="00854ED8" w:rsidP="004940FF">
            <w:pPr>
              <w:pStyle w:val="Gvdemetni360"/>
              <w:shd w:val="clear" w:color="auto" w:fill="auto"/>
              <w:spacing w:before="120" w:after="120" w:line="240" w:lineRule="auto"/>
              <w:ind w:firstLine="0"/>
              <w:jc w:val="center"/>
              <w:rPr>
                <w:sz w:val="18"/>
                <w:szCs w:val="18"/>
              </w:rPr>
            </w:pPr>
            <w:r w:rsidRPr="00DE12A3">
              <w:rPr>
                <w:rStyle w:val="Gvdemetni3675pt0ptbolukbraklyor"/>
                <w:color w:val="auto"/>
                <w:sz w:val="18"/>
                <w:szCs w:val="18"/>
              </w:rPr>
              <w:t>2,0</w:t>
            </w:r>
          </w:p>
        </w:tc>
        <w:tc>
          <w:tcPr>
            <w:tcW w:w="1517" w:type="dxa"/>
            <w:shd w:val="clear" w:color="auto" w:fill="auto"/>
          </w:tcPr>
          <w:p w14:paraId="4BB1C9D5" w14:textId="77777777" w:rsidR="00854ED8" w:rsidRPr="00DE12A3" w:rsidRDefault="00854ED8" w:rsidP="004940FF">
            <w:pPr>
              <w:pStyle w:val="Gvdemetni360"/>
              <w:shd w:val="clear" w:color="auto" w:fill="auto"/>
              <w:spacing w:before="120" w:after="120" w:line="240" w:lineRule="auto"/>
              <w:ind w:left="100" w:firstLine="0"/>
              <w:jc w:val="left"/>
              <w:rPr>
                <w:sz w:val="18"/>
                <w:szCs w:val="18"/>
              </w:rPr>
            </w:pPr>
            <w:r w:rsidRPr="00DE12A3">
              <w:rPr>
                <w:rStyle w:val="Gvdemetni367pt0ptbolukbraklyor"/>
                <w:color w:val="auto"/>
                <w:sz w:val="18"/>
                <w:szCs w:val="18"/>
              </w:rPr>
              <w:t>EN-ISO 3405</w:t>
            </w:r>
          </w:p>
        </w:tc>
      </w:tr>
      <w:tr w:rsidR="00DE12A3" w:rsidRPr="00DE12A3" w14:paraId="18FC6167" w14:textId="77777777" w:rsidTr="00946B82">
        <w:trPr>
          <w:trHeight w:hRule="exact" w:val="490"/>
          <w:jc w:val="center"/>
        </w:trPr>
        <w:tc>
          <w:tcPr>
            <w:tcW w:w="2429" w:type="dxa"/>
            <w:shd w:val="clear" w:color="auto" w:fill="auto"/>
          </w:tcPr>
          <w:p w14:paraId="46BDB613" w14:textId="77777777" w:rsidR="00854ED8" w:rsidRPr="00DE12A3" w:rsidRDefault="00854ED8" w:rsidP="004940FF">
            <w:pPr>
              <w:pStyle w:val="Gvdemetni360"/>
              <w:shd w:val="clear" w:color="auto" w:fill="auto"/>
              <w:spacing w:before="120" w:after="120" w:line="240" w:lineRule="auto"/>
              <w:ind w:left="132" w:firstLine="0"/>
              <w:jc w:val="left"/>
              <w:rPr>
                <w:sz w:val="18"/>
                <w:szCs w:val="18"/>
              </w:rPr>
            </w:pPr>
            <w:r w:rsidRPr="00DE12A3">
              <w:rPr>
                <w:rStyle w:val="Gvdemetni367pt0ptbolukbraklyor"/>
                <w:color w:val="auto"/>
                <w:sz w:val="18"/>
                <w:szCs w:val="18"/>
              </w:rPr>
              <w:t>Hidrokarbon analizi:</w:t>
            </w:r>
          </w:p>
        </w:tc>
        <w:tc>
          <w:tcPr>
            <w:tcW w:w="1277" w:type="dxa"/>
            <w:shd w:val="clear" w:color="auto" w:fill="auto"/>
          </w:tcPr>
          <w:p w14:paraId="76FEDF46" w14:textId="77777777" w:rsidR="00854ED8" w:rsidRPr="00DE12A3" w:rsidRDefault="00854ED8" w:rsidP="004940FF">
            <w:pPr>
              <w:spacing w:before="120" w:after="120"/>
              <w:rPr>
                <w:rFonts w:cs="Times New Roman"/>
                <w:color w:val="auto"/>
                <w:sz w:val="18"/>
                <w:szCs w:val="18"/>
              </w:rPr>
            </w:pPr>
          </w:p>
        </w:tc>
        <w:tc>
          <w:tcPr>
            <w:tcW w:w="1282" w:type="dxa"/>
            <w:shd w:val="clear" w:color="auto" w:fill="auto"/>
          </w:tcPr>
          <w:p w14:paraId="2AC8819C" w14:textId="77777777" w:rsidR="00854ED8" w:rsidRPr="00DE12A3" w:rsidRDefault="00854ED8" w:rsidP="004940FF">
            <w:pPr>
              <w:spacing w:before="120" w:after="120"/>
              <w:rPr>
                <w:rFonts w:cs="Times New Roman"/>
                <w:color w:val="auto"/>
                <w:sz w:val="18"/>
                <w:szCs w:val="18"/>
              </w:rPr>
            </w:pPr>
          </w:p>
        </w:tc>
        <w:tc>
          <w:tcPr>
            <w:tcW w:w="1282" w:type="dxa"/>
            <w:shd w:val="clear" w:color="auto" w:fill="auto"/>
          </w:tcPr>
          <w:p w14:paraId="6920F6D7" w14:textId="77777777" w:rsidR="00854ED8" w:rsidRPr="00DE12A3" w:rsidRDefault="00854ED8" w:rsidP="004940FF">
            <w:pPr>
              <w:spacing w:before="120" w:after="120"/>
              <w:rPr>
                <w:rFonts w:cs="Times New Roman"/>
                <w:color w:val="auto"/>
                <w:sz w:val="18"/>
                <w:szCs w:val="18"/>
              </w:rPr>
            </w:pPr>
          </w:p>
        </w:tc>
        <w:tc>
          <w:tcPr>
            <w:tcW w:w="1517" w:type="dxa"/>
            <w:shd w:val="clear" w:color="auto" w:fill="auto"/>
          </w:tcPr>
          <w:p w14:paraId="30AA86A6" w14:textId="77777777" w:rsidR="00854ED8" w:rsidRPr="00DE12A3" w:rsidRDefault="00854ED8" w:rsidP="004940FF">
            <w:pPr>
              <w:spacing w:before="120" w:after="120"/>
              <w:rPr>
                <w:rFonts w:cs="Times New Roman"/>
                <w:color w:val="auto"/>
                <w:sz w:val="18"/>
                <w:szCs w:val="18"/>
              </w:rPr>
            </w:pPr>
          </w:p>
        </w:tc>
      </w:tr>
      <w:tr w:rsidR="00DE12A3" w:rsidRPr="00DE12A3" w14:paraId="5F94699C" w14:textId="77777777" w:rsidTr="00946B82">
        <w:trPr>
          <w:trHeight w:hRule="exact" w:val="682"/>
          <w:jc w:val="center"/>
        </w:trPr>
        <w:tc>
          <w:tcPr>
            <w:tcW w:w="2429" w:type="dxa"/>
            <w:shd w:val="clear" w:color="auto" w:fill="auto"/>
          </w:tcPr>
          <w:p w14:paraId="253170C1" w14:textId="54071B1E" w:rsidR="00854ED8" w:rsidRPr="00DE12A3" w:rsidRDefault="00854ED8" w:rsidP="004940FF">
            <w:pPr>
              <w:pStyle w:val="Gvdemetni360"/>
              <w:shd w:val="clear" w:color="auto" w:fill="auto"/>
              <w:spacing w:before="120" w:after="120" w:line="240" w:lineRule="auto"/>
              <w:ind w:left="132" w:firstLine="0"/>
              <w:jc w:val="left"/>
              <w:rPr>
                <w:sz w:val="18"/>
                <w:szCs w:val="18"/>
              </w:rPr>
            </w:pPr>
            <w:r w:rsidRPr="00DE12A3">
              <w:rPr>
                <w:rStyle w:val="Gvdemetni367pt0ptbolukbraklyor"/>
                <w:color w:val="auto"/>
                <w:sz w:val="18"/>
                <w:szCs w:val="18"/>
              </w:rPr>
              <w:t xml:space="preserve">— </w:t>
            </w:r>
            <w:r w:rsidR="00773274" w:rsidRPr="00DE12A3">
              <w:rPr>
                <w:rStyle w:val="Gvdemetni367pt0ptbolukbraklyor"/>
                <w:color w:val="auto"/>
                <w:sz w:val="18"/>
                <w:szCs w:val="18"/>
              </w:rPr>
              <w:t>Olefinler</w:t>
            </w:r>
          </w:p>
        </w:tc>
        <w:tc>
          <w:tcPr>
            <w:tcW w:w="1277" w:type="dxa"/>
            <w:shd w:val="clear" w:color="auto" w:fill="auto"/>
          </w:tcPr>
          <w:p w14:paraId="74BF68C3" w14:textId="77777777" w:rsidR="00854ED8" w:rsidRPr="00DE12A3" w:rsidRDefault="00854ED8" w:rsidP="004940FF">
            <w:pPr>
              <w:pStyle w:val="Gvdemetni360"/>
              <w:shd w:val="clear" w:color="auto" w:fill="auto"/>
              <w:spacing w:before="120" w:after="120" w:line="240" w:lineRule="auto"/>
              <w:ind w:firstLine="0"/>
              <w:jc w:val="center"/>
              <w:rPr>
                <w:sz w:val="18"/>
                <w:szCs w:val="18"/>
              </w:rPr>
            </w:pPr>
            <w:r w:rsidRPr="00DE12A3">
              <w:rPr>
                <w:rStyle w:val="Gvdemetni367pt0ptbolukbraklyor"/>
                <w:color w:val="auto"/>
                <w:sz w:val="18"/>
                <w:szCs w:val="18"/>
              </w:rPr>
              <w:t>% v/v</w:t>
            </w:r>
          </w:p>
        </w:tc>
        <w:tc>
          <w:tcPr>
            <w:tcW w:w="1282" w:type="dxa"/>
            <w:shd w:val="clear" w:color="auto" w:fill="auto"/>
          </w:tcPr>
          <w:p w14:paraId="6E22FA12" w14:textId="77777777" w:rsidR="00854ED8" w:rsidRPr="00DE12A3" w:rsidRDefault="00854ED8" w:rsidP="004940FF">
            <w:pPr>
              <w:pStyle w:val="Gvdemetni360"/>
              <w:shd w:val="clear" w:color="auto" w:fill="auto"/>
              <w:spacing w:before="120" w:after="120" w:line="240" w:lineRule="auto"/>
              <w:ind w:firstLine="0"/>
              <w:jc w:val="center"/>
              <w:rPr>
                <w:sz w:val="18"/>
                <w:szCs w:val="18"/>
              </w:rPr>
            </w:pPr>
            <w:r w:rsidRPr="00DE12A3">
              <w:rPr>
                <w:rStyle w:val="Gvdemetni367pt0ptbolukbraklyor"/>
                <w:color w:val="auto"/>
                <w:sz w:val="18"/>
                <w:szCs w:val="18"/>
              </w:rPr>
              <w:t>3,0</w:t>
            </w:r>
          </w:p>
        </w:tc>
        <w:tc>
          <w:tcPr>
            <w:tcW w:w="1282" w:type="dxa"/>
            <w:shd w:val="clear" w:color="auto" w:fill="auto"/>
          </w:tcPr>
          <w:p w14:paraId="4EE080D8" w14:textId="77777777" w:rsidR="00854ED8" w:rsidRPr="00DE12A3" w:rsidRDefault="00854ED8" w:rsidP="004940FF">
            <w:pPr>
              <w:pStyle w:val="Gvdemetni360"/>
              <w:shd w:val="clear" w:color="auto" w:fill="auto"/>
              <w:spacing w:before="120" w:after="120" w:line="240" w:lineRule="auto"/>
              <w:ind w:firstLine="0"/>
              <w:jc w:val="center"/>
              <w:rPr>
                <w:sz w:val="18"/>
                <w:szCs w:val="18"/>
              </w:rPr>
            </w:pPr>
            <w:r w:rsidRPr="00DE12A3">
              <w:rPr>
                <w:rStyle w:val="Gvdemetni367pt0ptbolukbraklyor"/>
                <w:color w:val="auto"/>
                <w:sz w:val="18"/>
                <w:szCs w:val="18"/>
              </w:rPr>
              <w:t>18,0</w:t>
            </w:r>
          </w:p>
        </w:tc>
        <w:tc>
          <w:tcPr>
            <w:tcW w:w="1517" w:type="dxa"/>
            <w:shd w:val="clear" w:color="auto" w:fill="auto"/>
          </w:tcPr>
          <w:p w14:paraId="15BBC580" w14:textId="77777777" w:rsidR="00854ED8" w:rsidRPr="00DE12A3" w:rsidRDefault="00854ED8" w:rsidP="004940FF">
            <w:pPr>
              <w:pStyle w:val="Gvdemetni360"/>
              <w:shd w:val="clear" w:color="auto" w:fill="auto"/>
              <w:spacing w:before="120" w:after="120" w:line="240" w:lineRule="auto"/>
              <w:ind w:left="100" w:firstLine="0"/>
              <w:jc w:val="left"/>
              <w:rPr>
                <w:sz w:val="18"/>
                <w:szCs w:val="18"/>
              </w:rPr>
            </w:pPr>
            <w:r w:rsidRPr="00DE12A3">
              <w:rPr>
                <w:rStyle w:val="Gvdemetni367pt0ptbolukbraklyor"/>
                <w:color w:val="auto"/>
                <w:sz w:val="18"/>
                <w:szCs w:val="18"/>
              </w:rPr>
              <w:t>EN 14517 EN 15553</w:t>
            </w:r>
          </w:p>
        </w:tc>
      </w:tr>
      <w:tr w:rsidR="00DE12A3" w:rsidRPr="00DE12A3" w14:paraId="797D8F6D" w14:textId="77777777" w:rsidTr="00946B82">
        <w:trPr>
          <w:trHeight w:hRule="exact" w:val="682"/>
          <w:jc w:val="center"/>
        </w:trPr>
        <w:tc>
          <w:tcPr>
            <w:tcW w:w="2429" w:type="dxa"/>
            <w:shd w:val="clear" w:color="auto" w:fill="auto"/>
          </w:tcPr>
          <w:p w14:paraId="5BA462A8" w14:textId="5FA1FF7F" w:rsidR="00854ED8" w:rsidRPr="00DE12A3" w:rsidRDefault="00854ED8" w:rsidP="004940FF">
            <w:pPr>
              <w:pStyle w:val="Gvdemetni360"/>
              <w:shd w:val="clear" w:color="auto" w:fill="auto"/>
              <w:spacing w:before="120" w:after="120" w:line="240" w:lineRule="auto"/>
              <w:ind w:left="132" w:firstLine="0"/>
              <w:jc w:val="left"/>
              <w:rPr>
                <w:sz w:val="18"/>
                <w:szCs w:val="18"/>
              </w:rPr>
            </w:pPr>
            <w:r w:rsidRPr="00DE12A3">
              <w:rPr>
                <w:rStyle w:val="Gvdemetni367pt0ptbolukbraklyor"/>
                <w:color w:val="auto"/>
                <w:sz w:val="18"/>
                <w:szCs w:val="18"/>
              </w:rPr>
              <w:t xml:space="preserve">— </w:t>
            </w:r>
            <w:r w:rsidR="00773274" w:rsidRPr="00DE12A3">
              <w:rPr>
                <w:rStyle w:val="Gvdemetni367pt0ptbolukbraklyor"/>
                <w:color w:val="auto"/>
                <w:sz w:val="18"/>
                <w:szCs w:val="18"/>
              </w:rPr>
              <w:t>Aromatikler</w:t>
            </w:r>
          </w:p>
        </w:tc>
        <w:tc>
          <w:tcPr>
            <w:tcW w:w="1277" w:type="dxa"/>
            <w:shd w:val="clear" w:color="auto" w:fill="auto"/>
          </w:tcPr>
          <w:p w14:paraId="4C69B0D4" w14:textId="77777777" w:rsidR="00854ED8" w:rsidRPr="00DE12A3" w:rsidRDefault="00854ED8" w:rsidP="004940FF">
            <w:pPr>
              <w:pStyle w:val="Gvdemetni360"/>
              <w:shd w:val="clear" w:color="auto" w:fill="auto"/>
              <w:spacing w:before="120" w:after="120" w:line="240" w:lineRule="auto"/>
              <w:ind w:firstLine="0"/>
              <w:jc w:val="center"/>
              <w:rPr>
                <w:sz w:val="18"/>
                <w:szCs w:val="18"/>
              </w:rPr>
            </w:pPr>
            <w:r w:rsidRPr="00DE12A3">
              <w:rPr>
                <w:rStyle w:val="Gvdemetni367pt0ptbolukbraklyor"/>
                <w:color w:val="auto"/>
                <w:sz w:val="18"/>
                <w:szCs w:val="18"/>
              </w:rPr>
              <w:t>% v/v</w:t>
            </w:r>
          </w:p>
        </w:tc>
        <w:tc>
          <w:tcPr>
            <w:tcW w:w="1282" w:type="dxa"/>
            <w:shd w:val="clear" w:color="auto" w:fill="auto"/>
          </w:tcPr>
          <w:p w14:paraId="0DB1A124" w14:textId="77777777" w:rsidR="00854ED8" w:rsidRPr="00DE12A3" w:rsidRDefault="00854ED8" w:rsidP="004940FF">
            <w:pPr>
              <w:pStyle w:val="Gvdemetni360"/>
              <w:shd w:val="clear" w:color="auto" w:fill="auto"/>
              <w:spacing w:before="120" w:after="120" w:line="240" w:lineRule="auto"/>
              <w:ind w:firstLine="0"/>
              <w:jc w:val="center"/>
              <w:rPr>
                <w:sz w:val="18"/>
                <w:szCs w:val="18"/>
              </w:rPr>
            </w:pPr>
            <w:r w:rsidRPr="00DE12A3">
              <w:rPr>
                <w:rStyle w:val="Gvdemetni367pt0ptbolukbraklyor"/>
                <w:color w:val="auto"/>
                <w:sz w:val="18"/>
                <w:szCs w:val="18"/>
              </w:rPr>
              <w:t>19,5</w:t>
            </w:r>
          </w:p>
        </w:tc>
        <w:tc>
          <w:tcPr>
            <w:tcW w:w="1282" w:type="dxa"/>
            <w:shd w:val="clear" w:color="auto" w:fill="auto"/>
          </w:tcPr>
          <w:p w14:paraId="727F99AC" w14:textId="77777777" w:rsidR="00854ED8" w:rsidRPr="00DE12A3" w:rsidRDefault="00854ED8" w:rsidP="004940FF">
            <w:pPr>
              <w:pStyle w:val="Gvdemetni360"/>
              <w:shd w:val="clear" w:color="auto" w:fill="auto"/>
              <w:spacing w:before="120" w:after="120" w:line="240" w:lineRule="auto"/>
              <w:ind w:firstLine="0"/>
              <w:jc w:val="center"/>
              <w:rPr>
                <w:sz w:val="18"/>
                <w:szCs w:val="18"/>
              </w:rPr>
            </w:pPr>
            <w:r w:rsidRPr="00DE12A3">
              <w:rPr>
                <w:rStyle w:val="Gvdemetni367pt0ptbolukbraklyor"/>
                <w:color w:val="auto"/>
                <w:sz w:val="18"/>
                <w:szCs w:val="18"/>
              </w:rPr>
              <w:t>35,0</w:t>
            </w:r>
          </w:p>
        </w:tc>
        <w:tc>
          <w:tcPr>
            <w:tcW w:w="1517" w:type="dxa"/>
            <w:shd w:val="clear" w:color="auto" w:fill="auto"/>
          </w:tcPr>
          <w:p w14:paraId="24375326" w14:textId="77777777" w:rsidR="00854ED8" w:rsidRPr="00DE12A3" w:rsidRDefault="00854ED8" w:rsidP="004940FF">
            <w:pPr>
              <w:pStyle w:val="Gvdemetni360"/>
              <w:shd w:val="clear" w:color="auto" w:fill="auto"/>
              <w:spacing w:before="120" w:after="120" w:line="240" w:lineRule="auto"/>
              <w:ind w:left="100" w:firstLine="0"/>
              <w:jc w:val="left"/>
              <w:rPr>
                <w:sz w:val="18"/>
                <w:szCs w:val="18"/>
              </w:rPr>
            </w:pPr>
            <w:r w:rsidRPr="00DE12A3">
              <w:rPr>
                <w:rStyle w:val="Gvdemetni367pt0ptbolukbraklyor"/>
                <w:color w:val="auto"/>
                <w:sz w:val="18"/>
                <w:szCs w:val="18"/>
              </w:rPr>
              <w:t>EN 14517 EN 15553</w:t>
            </w:r>
          </w:p>
        </w:tc>
      </w:tr>
      <w:tr w:rsidR="00DE12A3" w:rsidRPr="00DE12A3" w14:paraId="7DDFC1C3" w14:textId="77777777" w:rsidTr="00946B82">
        <w:trPr>
          <w:trHeight w:hRule="exact" w:val="686"/>
          <w:jc w:val="center"/>
        </w:trPr>
        <w:tc>
          <w:tcPr>
            <w:tcW w:w="2429" w:type="dxa"/>
            <w:shd w:val="clear" w:color="auto" w:fill="auto"/>
          </w:tcPr>
          <w:p w14:paraId="60F43265" w14:textId="240580F3" w:rsidR="00854ED8" w:rsidRPr="00DE12A3" w:rsidRDefault="00854ED8" w:rsidP="004940FF">
            <w:pPr>
              <w:pStyle w:val="Gvdemetni360"/>
              <w:shd w:val="clear" w:color="auto" w:fill="auto"/>
              <w:spacing w:before="120" w:after="120" w:line="240" w:lineRule="auto"/>
              <w:ind w:left="132" w:firstLine="0"/>
              <w:jc w:val="left"/>
              <w:rPr>
                <w:sz w:val="18"/>
                <w:szCs w:val="18"/>
              </w:rPr>
            </w:pPr>
            <w:r w:rsidRPr="00DE12A3">
              <w:rPr>
                <w:rStyle w:val="Gvdemetni367pt0ptbolukbraklyor"/>
                <w:color w:val="auto"/>
                <w:sz w:val="18"/>
                <w:szCs w:val="18"/>
              </w:rPr>
              <w:t xml:space="preserve">— </w:t>
            </w:r>
            <w:r w:rsidR="00773274" w:rsidRPr="00DE12A3">
              <w:rPr>
                <w:rStyle w:val="Gvdemetni367pt0ptbolukbraklyor"/>
                <w:color w:val="auto"/>
                <w:sz w:val="18"/>
                <w:szCs w:val="18"/>
              </w:rPr>
              <w:t>Benzene</w:t>
            </w:r>
          </w:p>
        </w:tc>
        <w:tc>
          <w:tcPr>
            <w:tcW w:w="1277" w:type="dxa"/>
            <w:shd w:val="clear" w:color="auto" w:fill="auto"/>
          </w:tcPr>
          <w:p w14:paraId="133E38D1" w14:textId="77777777" w:rsidR="00854ED8" w:rsidRPr="00DE12A3" w:rsidRDefault="00854ED8" w:rsidP="004940FF">
            <w:pPr>
              <w:pStyle w:val="Gvdemetni360"/>
              <w:shd w:val="clear" w:color="auto" w:fill="auto"/>
              <w:spacing w:before="120" w:after="120" w:line="240" w:lineRule="auto"/>
              <w:ind w:firstLine="0"/>
              <w:jc w:val="center"/>
              <w:rPr>
                <w:sz w:val="18"/>
                <w:szCs w:val="18"/>
              </w:rPr>
            </w:pPr>
            <w:r w:rsidRPr="00DE12A3">
              <w:rPr>
                <w:rStyle w:val="Gvdemetni367pt0ptbolukbraklyor"/>
                <w:color w:val="auto"/>
                <w:sz w:val="18"/>
                <w:szCs w:val="18"/>
              </w:rPr>
              <w:t>% v/v</w:t>
            </w:r>
          </w:p>
        </w:tc>
        <w:tc>
          <w:tcPr>
            <w:tcW w:w="1282" w:type="dxa"/>
            <w:shd w:val="clear" w:color="auto" w:fill="auto"/>
          </w:tcPr>
          <w:p w14:paraId="55166186" w14:textId="77777777" w:rsidR="00854ED8" w:rsidRPr="00DE12A3" w:rsidRDefault="00854ED8" w:rsidP="004940FF">
            <w:pPr>
              <w:pStyle w:val="Gvdemetni360"/>
              <w:shd w:val="clear" w:color="auto" w:fill="auto"/>
              <w:spacing w:before="120" w:after="120" w:line="240" w:lineRule="auto"/>
              <w:ind w:firstLine="0"/>
              <w:jc w:val="center"/>
              <w:rPr>
                <w:sz w:val="18"/>
                <w:szCs w:val="18"/>
              </w:rPr>
            </w:pPr>
            <w:r w:rsidRPr="00DE12A3">
              <w:rPr>
                <w:rStyle w:val="Gvdemetni3675pt"/>
                <w:color w:val="auto"/>
                <w:sz w:val="18"/>
                <w:szCs w:val="18"/>
              </w:rPr>
              <w:t>—</w:t>
            </w:r>
          </w:p>
        </w:tc>
        <w:tc>
          <w:tcPr>
            <w:tcW w:w="1282" w:type="dxa"/>
            <w:shd w:val="clear" w:color="auto" w:fill="auto"/>
          </w:tcPr>
          <w:p w14:paraId="56A822FA" w14:textId="77777777" w:rsidR="00854ED8" w:rsidRPr="00DE12A3" w:rsidRDefault="00854ED8" w:rsidP="004940FF">
            <w:pPr>
              <w:pStyle w:val="Gvdemetni360"/>
              <w:shd w:val="clear" w:color="auto" w:fill="auto"/>
              <w:spacing w:before="120" w:after="120" w:line="240" w:lineRule="auto"/>
              <w:ind w:firstLine="0"/>
              <w:jc w:val="center"/>
              <w:rPr>
                <w:sz w:val="18"/>
                <w:szCs w:val="18"/>
              </w:rPr>
            </w:pPr>
            <w:r w:rsidRPr="00DE12A3">
              <w:rPr>
                <w:rStyle w:val="Gvdemetni367pt0ptbolukbraklyor"/>
                <w:color w:val="auto"/>
                <w:sz w:val="18"/>
                <w:szCs w:val="18"/>
              </w:rPr>
              <w:t>1,0</w:t>
            </w:r>
          </w:p>
        </w:tc>
        <w:tc>
          <w:tcPr>
            <w:tcW w:w="1517" w:type="dxa"/>
            <w:shd w:val="clear" w:color="auto" w:fill="auto"/>
          </w:tcPr>
          <w:p w14:paraId="0B52ADBC" w14:textId="77777777" w:rsidR="00854ED8" w:rsidRPr="00DE12A3" w:rsidRDefault="00854ED8" w:rsidP="004940FF">
            <w:pPr>
              <w:pStyle w:val="Gvdemetni360"/>
              <w:shd w:val="clear" w:color="auto" w:fill="auto"/>
              <w:spacing w:before="120" w:after="120" w:line="240" w:lineRule="auto"/>
              <w:ind w:left="100" w:firstLine="0"/>
              <w:jc w:val="left"/>
              <w:rPr>
                <w:sz w:val="18"/>
                <w:szCs w:val="18"/>
              </w:rPr>
            </w:pPr>
            <w:r w:rsidRPr="00DE12A3">
              <w:rPr>
                <w:rStyle w:val="Gvdemetni367pt0ptbolukbraklyor"/>
                <w:color w:val="auto"/>
                <w:sz w:val="18"/>
                <w:szCs w:val="18"/>
              </w:rPr>
              <w:t>EN 12177 EN 238, EN 14517</w:t>
            </w:r>
          </w:p>
        </w:tc>
      </w:tr>
      <w:tr w:rsidR="00DE12A3" w:rsidRPr="00DE12A3" w14:paraId="0447697E" w14:textId="77777777" w:rsidTr="00946B82">
        <w:trPr>
          <w:trHeight w:hRule="exact" w:val="677"/>
          <w:jc w:val="center"/>
        </w:trPr>
        <w:tc>
          <w:tcPr>
            <w:tcW w:w="2429" w:type="dxa"/>
            <w:shd w:val="clear" w:color="auto" w:fill="auto"/>
          </w:tcPr>
          <w:p w14:paraId="0C194616" w14:textId="1EBEDFAD" w:rsidR="00854ED8" w:rsidRPr="00DE12A3" w:rsidRDefault="00854ED8" w:rsidP="004940FF">
            <w:pPr>
              <w:pStyle w:val="Gvdemetni360"/>
              <w:shd w:val="clear" w:color="auto" w:fill="auto"/>
              <w:spacing w:before="120" w:after="120" w:line="240" w:lineRule="auto"/>
              <w:ind w:left="132" w:firstLine="0"/>
              <w:jc w:val="left"/>
              <w:rPr>
                <w:sz w:val="18"/>
                <w:szCs w:val="18"/>
              </w:rPr>
            </w:pPr>
            <w:r w:rsidRPr="00DE12A3">
              <w:rPr>
                <w:rStyle w:val="Gvdemetni367pt0ptbolukbraklyor"/>
                <w:color w:val="auto"/>
                <w:sz w:val="18"/>
                <w:szCs w:val="18"/>
              </w:rPr>
              <w:t xml:space="preserve">— </w:t>
            </w:r>
            <w:r w:rsidR="00773274" w:rsidRPr="00DE12A3">
              <w:rPr>
                <w:rStyle w:val="Gvdemetni367pt0ptbolukbraklyor"/>
                <w:color w:val="auto"/>
                <w:sz w:val="18"/>
                <w:szCs w:val="18"/>
              </w:rPr>
              <w:t xml:space="preserve">Doymuş </w:t>
            </w:r>
            <w:r w:rsidRPr="00DE12A3">
              <w:rPr>
                <w:rStyle w:val="Gvdemetni367pt0ptbolukbraklyor"/>
                <w:color w:val="auto"/>
                <w:sz w:val="18"/>
                <w:szCs w:val="18"/>
              </w:rPr>
              <w:t>maddeler</w:t>
            </w:r>
          </w:p>
        </w:tc>
        <w:tc>
          <w:tcPr>
            <w:tcW w:w="1277" w:type="dxa"/>
            <w:shd w:val="clear" w:color="auto" w:fill="auto"/>
          </w:tcPr>
          <w:p w14:paraId="40A2715D" w14:textId="77777777" w:rsidR="00854ED8" w:rsidRPr="00DE12A3" w:rsidRDefault="00854ED8" w:rsidP="004940FF">
            <w:pPr>
              <w:pStyle w:val="Gvdemetni360"/>
              <w:shd w:val="clear" w:color="auto" w:fill="auto"/>
              <w:spacing w:before="120" w:after="120" w:line="240" w:lineRule="auto"/>
              <w:ind w:firstLine="0"/>
              <w:jc w:val="center"/>
              <w:rPr>
                <w:sz w:val="18"/>
                <w:szCs w:val="18"/>
              </w:rPr>
            </w:pPr>
            <w:r w:rsidRPr="00DE12A3">
              <w:rPr>
                <w:rStyle w:val="Gvdemetni367pt0ptbolukbraklyor"/>
                <w:color w:val="auto"/>
                <w:sz w:val="18"/>
                <w:szCs w:val="18"/>
              </w:rPr>
              <w:t>% v/v</w:t>
            </w:r>
          </w:p>
        </w:tc>
        <w:tc>
          <w:tcPr>
            <w:tcW w:w="2564" w:type="dxa"/>
            <w:gridSpan w:val="2"/>
            <w:shd w:val="clear" w:color="auto" w:fill="auto"/>
          </w:tcPr>
          <w:p w14:paraId="32E3DF8B" w14:textId="77777777" w:rsidR="00854ED8" w:rsidRPr="00DE12A3" w:rsidRDefault="00854ED8" w:rsidP="004940FF">
            <w:pPr>
              <w:pStyle w:val="Gvdemetni360"/>
              <w:shd w:val="clear" w:color="auto" w:fill="auto"/>
              <w:spacing w:before="120" w:after="120" w:line="240" w:lineRule="auto"/>
              <w:ind w:firstLine="0"/>
              <w:jc w:val="center"/>
              <w:rPr>
                <w:sz w:val="18"/>
                <w:szCs w:val="18"/>
              </w:rPr>
            </w:pPr>
            <w:r w:rsidRPr="00DE12A3">
              <w:rPr>
                <w:rStyle w:val="Gvdemetni367pt0ptbolukbraklyor"/>
                <w:color w:val="auto"/>
                <w:sz w:val="18"/>
                <w:szCs w:val="18"/>
              </w:rPr>
              <w:t>Rapor</w:t>
            </w:r>
          </w:p>
        </w:tc>
        <w:tc>
          <w:tcPr>
            <w:tcW w:w="1517" w:type="dxa"/>
            <w:shd w:val="clear" w:color="auto" w:fill="auto"/>
          </w:tcPr>
          <w:p w14:paraId="6B039A68" w14:textId="77777777" w:rsidR="00854ED8" w:rsidRPr="00DE12A3" w:rsidRDefault="00854ED8" w:rsidP="004940FF">
            <w:pPr>
              <w:pStyle w:val="Gvdemetni360"/>
              <w:shd w:val="clear" w:color="auto" w:fill="auto"/>
              <w:spacing w:before="120" w:after="120" w:line="240" w:lineRule="auto"/>
              <w:ind w:left="100" w:firstLine="0"/>
              <w:jc w:val="left"/>
              <w:rPr>
                <w:sz w:val="18"/>
                <w:szCs w:val="18"/>
              </w:rPr>
            </w:pPr>
            <w:r w:rsidRPr="00DE12A3">
              <w:rPr>
                <w:rStyle w:val="Gvdemetni367pt0ptbolukbraklyor"/>
                <w:color w:val="auto"/>
                <w:sz w:val="18"/>
                <w:szCs w:val="18"/>
              </w:rPr>
              <w:t>EN 14517 EN 15553</w:t>
            </w:r>
          </w:p>
        </w:tc>
      </w:tr>
      <w:tr w:rsidR="00DE12A3" w:rsidRPr="00DE12A3" w14:paraId="2A258A62" w14:textId="77777777" w:rsidTr="00946B82">
        <w:trPr>
          <w:trHeight w:hRule="exact" w:val="490"/>
          <w:jc w:val="center"/>
        </w:trPr>
        <w:tc>
          <w:tcPr>
            <w:tcW w:w="2429" w:type="dxa"/>
            <w:shd w:val="clear" w:color="auto" w:fill="auto"/>
          </w:tcPr>
          <w:p w14:paraId="42A6B4DB" w14:textId="77777777" w:rsidR="00854ED8" w:rsidRPr="00DE12A3" w:rsidRDefault="00854ED8" w:rsidP="004940FF">
            <w:pPr>
              <w:pStyle w:val="Gvdemetni360"/>
              <w:shd w:val="clear" w:color="auto" w:fill="auto"/>
              <w:spacing w:before="120" w:after="120" w:line="240" w:lineRule="auto"/>
              <w:ind w:left="132" w:firstLine="0"/>
              <w:jc w:val="left"/>
              <w:rPr>
                <w:sz w:val="18"/>
                <w:szCs w:val="18"/>
              </w:rPr>
            </w:pPr>
            <w:r w:rsidRPr="00DE12A3">
              <w:rPr>
                <w:rStyle w:val="Gvdemetni367pt0ptbolukbraklyor"/>
                <w:color w:val="auto"/>
                <w:sz w:val="18"/>
                <w:szCs w:val="18"/>
              </w:rPr>
              <w:lastRenderedPageBreak/>
              <w:t>Karbon/hidrojen oranı</w:t>
            </w:r>
          </w:p>
        </w:tc>
        <w:tc>
          <w:tcPr>
            <w:tcW w:w="1277" w:type="dxa"/>
            <w:shd w:val="clear" w:color="auto" w:fill="auto"/>
          </w:tcPr>
          <w:p w14:paraId="1075043D" w14:textId="77777777" w:rsidR="00854ED8" w:rsidRPr="00DE12A3" w:rsidRDefault="00854ED8" w:rsidP="004940FF">
            <w:pPr>
              <w:spacing w:before="120" w:after="120"/>
              <w:rPr>
                <w:rFonts w:cs="Times New Roman"/>
                <w:color w:val="auto"/>
                <w:sz w:val="18"/>
                <w:szCs w:val="18"/>
              </w:rPr>
            </w:pPr>
          </w:p>
        </w:tc>
        <w:tc>
          <w:tcPr>
            <w:tcW w:w="2564" w:type="dxa"/>
            <w:gridSpan w:val="2"/>
            <w:shd w:val="clear" w:color="auto" w:fill="auto"/>
          </w:tcPr>
          <w:p w14:paraId="743040FE" w14:textId="77777777" w:rsidR="00854ED8" w:rsidRPr="00DE12A3" w:rsidRDefault="00854ED8" w:rsidP="004940FF">
            <w:pPr>
              <w:pStyle w:val="Gvdemetni360"/>
              <w:shd w:val="clear" w:color="auto" w:fill="auto"/>
              <w:spacing w:before="120" w:after="120" w:line="240" w:lineRule="auto"/>
              <w:ind w:firstLine="0"/>
              <w:jc w:val="center"/>
              <w:rPr>
                <w:sz w:val="18"/>
                <w:szCs w:val="18"/>
              </w:rPr>
            </w:pPr>
            <w:r w:rsidRPr="00DE12A3">
              <w:rPr>
                <w:rStyle w:val="Gvdemetni367pt0ptbolukbraklyor"/>
                <w:color w:val="auto"/>
                <w:sz w:val="18"/>
                <w:szCs w:val="18"/>
              </w:rPr>
              <w:t>Rapor</w:t>
            </w:r>
          </w:p>
        </w:tc>
        <w:tc>
          <w:tcPr>
            <w:tcW w:w="1517" w:type="dxa"/>
            <w:shd w:val="clear" w:color="auto" w:fill="auto"/>
          </w:tcPr>
          <w:p w14:paraId="7A3A503F" w14:textId="77777777" w:rsidR="00854ED8" w:rsidRPr="00DE12A3" w:rsidRDefault="00854ED8" w:rsidP="004940FF">
            <w:pPr>
              <w:spacing w:before="120" w:after="120"/>
              <w:rPr>
                <w:rFonts w:cs="Times New Roman"/>
                <w:color w:val="auto"/>
                <w:sz w:val="18"/>
                <w:szCs w:val="18"/>
              </w:rPr>
            </w:pPr>
          </w:p>
        </w:tc>
      </w:tr>
      <w:tr w:rsidR="00DE12A3" w:rsidRPr="00DE12A3" w14:paraId="76396EFE" w14:textId="77777777" w:rsidTr="00946B82">
        <w:trPr>
          <w:trHeight w:hRule="exact" w:val="355"/>
          <w:jc w:val="center"/>
        </w:trPr>
        <w:tc>
          <w:tcPr>
            <w:tcW w:w="2429" w:type="dxa"/>
            <w:shd w:val="clear" w:color="auto" w:fill="auto"/>
          </w:tcPr>
          <w:p w14:paraId="7D3A9110" w14:textId="77777777" w:rsidR="00854ED8" w:rsidRPr="00DE12A3" w:rsidRDefault="00854ED8" w:rsidP="004940FF">
            <w:pPr>
              <w:pStyle w:val="Gvdemetni360"/>
              <w:shd w:val="clear" w:color="auto" w:fill="auto"/>
              <w:spacing w:before="120" w:after="120" w:line="240" w:lineRule="auto"/>
              <w:ind w:left="132" w:firstLine="0"/>
              <w:jc w:val="left"/>
              <w:rPr>
                <w:sz w:val="18"/>
                <w:szCs w:val="18"/>
              </w:rPr>
            </w:pPr>
            <w:r w:rsidRPr="00DE12A3">
              <w:rPr>
                <w:rStyle w:val="Gvdemetni367pt0ptbolukbraklyor"/>
                <w:color w:val="auto"/>
                <w:sz w:val="18"/>
                <w:szCs w:val="18"/>
              </w:rPr>
              <w:t>Karbon/oksijen oranı</w:t>
            </w:r>
          </w:p>
        </w:tc>
        <w:tc>
          <w:tcPr>
            <w:tcW w:w="1277" w:type="dxa"/>
            <w:shd w:val="clear" w:color="auto" w:fill="auto"/>
          </w:tcPr>
          <w:p w14:paraId="4ADC0D3F" w14:textId="77777777" w:rsidR="00854ED8" w:rsidRPr="00DE12A3" w:rsidRDefault="00854ED8" w:rsidP="004940FF">
            <w:pPr>
              <w:spacing w:before="120" w:after="120"/>
              <w:rPr>
                <w:rFonts w:cs="Times New Roman"/>
                <w:color w:val="auto"/>
                <w:sz w:val="18"/>
                <w:szCs w:val="18"/>
              </w:rPr>
            </w:pPr>
          </w:p>
        </w:tc>
        <w:tc>
          <w:tcPr>
            <w:tcW w:w="2564" w:type="dxa"/>
            <w:gridSpan w:val="2"/>
            <w:shd w:val="clear" w:color="auto" w:fill="auto"/>
          </w:tcPr>
          <w:p w14:paraId="76F4FC3B" w14:textId="77777777" w:rsidR="00854ED8" w:rsidRPr="00DE12A3" w:rsidRDefault="00854ED8" w:rsidP="004940FF">
            <w:pPr>
              <w:pStyle w:val="Gvdemetni360"/>
              <w:shd w:val="clear" w:color="auto" w:fill="auto"/>
              <w:spacing w:before="120" w:after="120" w:line="240" w:lineRule="auto"/>
              <w:ind w:firstLine="0"/>
              <w:jc w:val="center"/>
              <w:rPr>
                <w:sz w:val="18"/>
                <w:szCs w:val="18"/>
              </w:rPr>
            </w:pPr>
            <w:r w:rsidRPr="00DE12A3">
              <w:rPr>
                <w:rStyle w:val="Gvdemetni367pt0ptbolukbraklyor"/>
                <w:color w:val="auto"/>
                <w:sz w:val="18"/>
                <w:szCs w:val="18"/>
              </w:rPr>
              <w:t>Rapor</w:t>
            </w:r>
          </w:p>
        </w:tc>
        <w:tc>
          <w:tcPr>
            <w:tcW w:w="1517" w:type="dxa"/>
            <w:shd w:val="clear" w:color="auto" w:fill="auto"/>
          </w:tcPr>
          <w:p w14:paraId="2F7D552D" w14:textId="77777777" w:rsidR="00854ED8" w:rsidRPr="00DE12A3" w:rsidRDefault="00854ED8" w:rsidP="004940FF">
            <w:pPr>
              <w:spacing w:before="120" w:after="120"/>
              <w:rPr>
                <w:rFonts w:cs="Times New Roman"/>
                <w:color w:val="auto"/>
                <w:sz w:val="18"/>
                <w:szCs w:val="18"/>
              </w:rPr>
            </w:pPr>
          </w:p>
        </w:tc>
      </w:tr>
      <w:tr w:rsidR="00DE12A3" w:rsidRPr="00DE12A3" w14:paraId="4A155789" w14:textId="77777777" w:rsidTr="00946B82">
        <w:trPr>
          <w:trHeight w:hRule="exact" w:val="490"/>
          <w:jc w:val="center"/>
        </w:trPr>
        <w:tc>
          <w:tcPr>
            <w:tcW w:w="2429" w:type="dxa"/>
            <w:shd w:val="clear" w:color="auto" w:fill="auto"/>
          </w:tcPr>
          <w:p w14:paraId="146409B3" w14:textId="77777777" w:rsidR="00854ED8" w:rsidRPr="00DE12A3" w:rsidRDefault="00854ED8" w:rsidP="004940FF">
            <w:pPr>
              <w:pStyle w:val="Gvdemetni360"/>
              <w:shd w:val="clear" w:color="auto" w:fill="auto"/>
              <w:spacing w:before="120" w:after="120" w:line="240" w:lineRule="auto"/>
              <w:ind w:left="132" w:firstLine="0"/>
              <w:jc w:val="left"/>
              <w:rPr>
                <w:sz w:val="18"/>
                <w:szCs w:val="18"/>
              </w:rPr>
            </w:pPr>
            <w:r w:rsidRPr="00DE12A3">
              <w:rPr>
                <w:rStyle w:val="Gvdemetni367pt0ptbolukbraklyor"/>
                <w:color w:val="auto"/>
                <w:sz w:val="18"/>
                <w:szCs w:val="18"/>
              </w:rPr>
              <w:t>İndüksiyon dönemi (</w:t>
            </w:r>
            <w:r w:rsidRPr="00DE12A3">
              <w:rPr>
                <w:rStyle w:val="Gvdemetni367pt0ptbolukbraklyor"/>
                <w:color w:val="auto"/>
                <w:sz w:val="18"/>
                <w:szCs w:val="18"/>
                <w:vertAlign w:val="superscript"/>
              </w:rPr>
              <w:t>4</w:t>
            </w:r>
            <w:r w:rsidRPr="00DE12A3">
              <w:rPr>
                <w:rStyle w:val="Gvdemetni367pt0ptbolukbraklyor"/>
                <w:color w:val="auto"/>
                <w:sz w:val="18"/>
                <w:szCs w:val="18"/>
              </w:rPr>
              <w:t>)</w:t>
            </w:r>
          </w:p>
        </w:tc>
        <w:tc>
          <w:tcPr>
            <w:tcW w:w="1277" w:type="dxa"/>
            <w:shd w:val="clear" w:color="auto" w:fill="auto"/>
          </w:tcPr>
          <w:p w14:paraId="5CD4E294" w14:textId="77777777" w:rsidR="00854ED8" w:rsidRPr="00DE12A3" w:rsidRDefault="00854ED8" w:rsidP="004940FF">
            <w:pPr>
              <w:pStyle w:val="Gvdemetni360"/>
              <w:shd w:val="clear" w:color="auto" w:fill="auto"/>
              <w:spacing w:before="120" w:after="120" w:line="240" w:lineRule="auto"/>
              <w:ind w:firstLine="0"/>
              <w:jc w:val="center"/>
              <w:rPr>
                <w:sz w:val="18"/>
                <w:szCs w:val="18"/>
              </w:rPr>
            </w:pPr>
            <w:r w:rsidRPr="00DE12A3">
              <w:rPr>
                <w:rStyle w:val="Gvdemetni367pt0ptbolukbraklyor"/>
                <w:color w:val="auto"/>
                <w:sz w:val="18"/>
                <w:szCs w:val="18"/>
              </w:rPr>
              <w:t>dakika</w:t>
            </w:r>
          </w:p>
        </w:tc>
        <w:tc>
          <w:tcPr>
            <w:tcW w:w="1282" w:type="dxa"/>
            <w:shd w:val="clear" w:color="auto" w:fill="auto"/>
          </w:tcPr>
          <w:p w14:paraId="6E053DB3" w14:textId="77777777" w:rsidR="00854ED8" w:rsidRPr="00DE12A3" w:rsidRDefault="00854ED8" w:rsidP="004940FF">
            <w:pPr>
              <w:pStyle w:val="Gvdemetni360"/>
              <w:shd w:val="clear" w:color="auto" w:fill="auto"/>
              <w:spacing w:before="120" w:after="120" w:line="240" w:lineRule="auto"/>
              <w:ind w:firstLine="0"/>
              <w:jc w:val="center"/>
              <w:rPr>
                <w:sz w:val="18"/>
                <w:szCs w:val="18"/>
              </w:rPr>
            </w:pPr>
            <w:r w:rsidRPr="00DE12A3">
              <w:rPr>
                <w:rStyle w:val="Gvdemetni367pt0ptbolukbraklyor"/>
                <w:color w:val="auto"/>
                <w:sz w:val="18"/>
                <w:szCs w:val="18"/>
              </w:rPr>
              <w:t>480</w:t>
            </w:r>
          </w:p>
        </w:tc>
        <w:tc>
          <w:tcPr>
            <w:tcW w:w="1282" w:type="dxa"/>
            <w:shd w:val="clear" w:color="auto" w:fill="auto"/>
          </w:tcPr>
          <w:p w14:paraId="5A1CF87B" w14:textId="77777777" w:rsidR="00854ED8" w:rsidRPr="00DE12A3" w:rsidRDefault="00854ED8" w:rsidP="004940FF">
            <w:pPr>
              <w:spacing w:before="120" w:after="120"/>
              <w:rPr>
                <w:rFonts w:cs="Times New Roman"/>
                <w:color w:val="auto"/>
                <w:sz w:val="18"/>
                <w:szCs w:val="18"/>
              </w:rPr>
            </w:pPr>
          </w:p>
        </w:tc>
        <w:tc>
          <w:tcPr>
            <w:tcW w:w="1517" w:type="dxa"/>
            <w:shd w:val="clear" w:color="auto" w:fill="auto"/>
          </w:tcPr>
          <w:p w14:paraId="24757BA6" w14:textId="77777777" w:rsidR="00854ED8" w:rsidRPr="00DE12A3" w:rsidRDefault="00854ED8" w:rsidP="004940FF">
            <w:pPr>
              <w:pStyle w:val="Gvdemetni360"/>
              <w:shd w:val="clear" w:color="auto" w:fill="auto"/>
              <w:spacing w:before="120" w:after="120" w:line="240" w:lineRule="auto"/>
              <w:ind w:left="100" w:firstLine="0"/>
              <w:jc w:val="left"/>
              <w:rPr>
                <w:sz w:val="18"/>
                <w:szCs w:val="18"/>
              </w:rPr>
            </w:pPr>
            <w:r w:rsidRPr="00DE12A3">
              <w:rPr>
                <w:rStyle w:val="Gvdemetni367pt0ptbolukbraklyor"/>
                <w:color w:val="auto"/>
                <w:sz w:val="18"/>
                <w:szCs w:val="18"/>
              </w:rPr>
              <w:t>EN-ISO 7536</w:t>
            </w:r>
          </w:p>
        </w:tc>
      </w:tr>
      <w:tr w:rsidR="00DE12A3" w:rsidRPr="00DE12A3" w14:paraId="6D84F88F" w14:textId="77777777" w:rsidTr="00946B82">
        <w:trPr>
          <w:trHeight w:hRule="exact" w:val="878"/>
          <w:jc w:val="center"/>
        </w:trPr>
        <w:tc>
          <w:tcPr>
            <w:tcW w:w="2429" w:type="dxa"/>
            <w:shd w:val="clear" w:color="auto" w:fill="auto"/>
          </w:tcPr>
          <w:p w14:paraId="2FCC0082" w14:textId="77777777" w:rsidR="00854ED8" w:rsidRPr="00DE12A3" w:rsidRDefault="00854ED8" w:rsidP="004940FF">
            <w:pPr>
              <w:pStyle w:val="Gvdemetni360"/>
              <w:shd w:val="clear" w:color="auto" w:fill="auto"/>
              <w:spacing w:before="120" w:after="120" w:line="240" w:lineRule="auto"/>
              <w:ind w:left="132" w:firstLine="0"/>
              <w:jc w:val="left"/>
              <w:rPr>
                <w:sz w:val="18"/>
                <w:szCs w:val="18"/>
              </w:rPr>
            </w:pPr>
            <w:r w:rsidRPr="00DE12A3">
              <w:rPr>
                <w:rStyle w:val="Gvdemetni367pt0ptbolukbraklyor"/>
                <w:color w:val="auto"/>
                <w:sz w:val="18"/>
                <w:szCs w:val="18"/>
              </w:rPr>
              <w:t>Oksijen içeriği(</w:t>
            </w:r>
            <w:r w:rsidRPr="00DE12A3">
              <w:rPr>
                <w:rStyle w:val="Gvdemetni367pt0ptbolukbraklyor"/>
                <w:color w:val="auto"/>
                <w:sz w:val="18"/>
                <w:szCs w:val="18"/>
                <w:vertAlign w:val="superscript"/>
              </w:rPr>
              <w:t>5</w:t>
            </w:r>
            <w:r w:rsidRPr="00DE12A3">
              <w:rPr>
                <w:rStyle w:val="Gvdemetni367pt0ptbolukbraklyor"/>
                <w:color w:val="auto"/>
                <w:sz w:val="18"/>
                <w:szCs w:val="18"/>
              </w:rPr>
              <w:t>)</w:t>
            </w:r>
          </w:p>
        </w:tc>
        <w:tc>
          <w:tcPr>
            <w:tcW w:w="1277" w:type="dxa"/>
            <w:shd w:val="clear" w:color="auto" w:fill="auto"/>
          </w:tcPr>
          <w:p w14:paraId="403C379E" w14:textId="77777777" w:rsidR="00854ED8" w:rsidRPr="00DE12A3" w:rsidRDefault="00854ED8" w:rsidP="004940FF">
            <w:pPr>
              <w:pStyle w:val="Gvdemetni360"/>
              <w:shd w:val="clear" w:color="auto" w:fill="auto"/>
              <w:spacing w:before="120" w:after="120" w:line="240" w:lineRule="auto"/>
              <w:ind w:firstLine="0"/>
              <w:jc w:val="center"/>
              <w:rPr>
                <w:sz w:val="18"/>
                <w:szCs w:val="18"/>
              </w:rPr>
            </w:pPr>
            <w:r w:rsidRPr="00DE12A3">
              <w:rPr>
                <w:rStyle w:val="Gvdemetni367pt0ptbolukbraklyor"/>
                <w:color w:val="auto"/>
                <w:sz w:val="18"/>
                <w:szCs w:val="18"/>
              </w:rPr>
              <w:t>% m/m</w:t>
            </w:r>
          </w:p>
        </w:tc>
        <w:tc>
          <w:tcPr>
            <w:tcW w:w="1282" w:type="dxa"/>
            <w:shd w:val="clear" w:color="auto" w:fill="auto"/>
          </w:tcPr>
          <w:p w14:paraId="612E91AC" w14:textId="77777777" w:rsidR="00854ED8" w:rsidRPr="00DE12A3" w:rsidRDefault="00854ED8" w:rsidP="004940FF">
            <w:pPr>
              <w:pStyle w:val="Gvdemetni360"/>
              <w:shd w:val="clear" w:color="auto" w:fill="auto"/>
              <w:spacing w:before="120" w:after="120" w:line="240" w:lineRule="auto"/>
              <w:ind w:firstLine="0"/>
              <w:jc w:val="center"/>
              <w:rPr>
                <w:sz w:val="18"/>
                <w:szCs w:val="18"/>
              </w:rPr>
            </w:pPr>
            <w:r w:rsidRPr="00DE12A3">
              <w:rPr>
                <w:rStyle w:val="Gvdemetni367pt0ptbolukbraklyor"/>
                <w:color w:val="auto"/>
                <w:sz w:val="18"/>
                <w:szCs w:val="18"/>
              </w:rPr>
              <w:t>3,3 (</w:t>
            </w:r>
            <w:r w:rsidRPr="00DE12A3">
              <w:rPr>
                <w:rStyle w:val="Gvdemetni367pt0ptbolukbraklyor"/>
                <w:color w:val="auto"/>
                <w:sz w:val="18"/>
                <w:szCs w:val="18"/>
                <w:vertAlign w:val="superscript"/>
              </w:rPr>
              <w:t>8</w:t>
            </w:r>
            <w:r w:rsidRPr="00DE12A3">
              <w:rPr>
                <w:rStyle w:val="Gvdemetni367pt0ptbolukbraklyor"/>
                <w:color w:val="auto"/>
                <w:sz w:val="18"/>
                <w:szCs w:val="18"/>
              </w:rPr>
              <w:t>)</w:t>
            </w:r>
          </w:p>
        </w:tc>
        <w:tc>
          <w:tcPr>
            <w:tcW w:w="1282" w:type="dxa"/>
            <w:shd w:val="clear" w:color="auto" w:fill="auto"/>
          </w:tcPr>
          <w:p w14:paraId="52975531" w14:textId="77777777" w:rsidR="00854ED8" w:rsidRPr="00DE12A3" w:rsidRDefault="00854ED8" w:rsidP="004940FF">
            <w:pPr>
              <w:pStyle w:val="Gvdemetni360"/>
              <w:shd w:val="clear" w:color="auto" w:fill="auto"/>
              <w:spacing w:before="120" w:after="120" w:line="240" w:lineRule="auto"/>
              <w:ind w:firstLine="0"/>
              <w:jc w:val="center"/>
              <w:rPr>
                <w:sz w:val="18"/>
                <w:szCs w:val="18"/>
              </w:rPr>
            </w:pPr>
            <w:r w:rsidRPr="00DE12A3">
              <w:rPr>
                <w:rStyle w:val="Gvdemetni367pt0ptbolukbraklyor"/>
                <w:color w:val="auto"/>
                <w:sz w:val="18"/>
                <w:szCs w:val="18"/>
              </w:rPr>
              <w:t>3,7</w:t>
            </w:r>
          </w:p>
        </w:tc>
        <w:tc>
          <w:tcPr>
            <w:tcW w:w="1517" w:type="dxa"/>
            <w:shd w:val="clear" w:color="auto" w:fill="auto"/>
          </w:tcPr>
          <w:p w14:paraId="12AC0D40" w14:textId="77777777" w:rsidR="00854ED8" w:rsidRPr="00DE12A3" w:rsidRDefault="00854ED8" w:rsidP="004940FF">
            <w:pPr>
              <w:pStyle w:val="Gvdemetni360"/>
              <w:shd w:val="clear" w:color="auto" w:fill="auto"/>
              <w:spacing w:before="120" w:after="120" w:line="240" w:lineRule="auto"/>
              <w:ind w:firstLine="0"/>
              <w:rPr>
                <w:sz w:val="18"/>
                <w:szCs w:val="18"/>
              </w:rPr>
            </w:pPr>
            <w:r w:rsidRPr="00DE12A3">
              <w:rPr>
                <w:rStyle w:val="Gvdemetni367pt0ptbolukbraklyor"/>
                <w:color w:val="auto"/>
                <w:sz w:val="18"/>
                <w:szCs w:val="18"/>
              </w:rPr>
              <w:t>EN 1601 EN 13132 EN 14517</w:t>
            </w:r>
          </w:p>
        </w:tc>
      </w:tr>
      <w:tr w:rsidR="00DE12A3" w:rsidRPr="00DE12A3" w14:paraId="7C0685C3" w14:textId="77777777" w:rsidTr="00946B82">
        <w:trPr>
          <w:trHeight w:hRule="exact" w:val="503"/>
          <w:jc w:val="center"/>
        </w:trPr>
        <w:tc>
          <w:tcPr>
            <w:tcW w:w="2429" w:type="dxa"/>
            <w:shd w:val="clear" w:color="auto" w:fill="auto"/>
          </w:tcPr>
          <w:p w14:paraId="21407B84" w14:textId="77777777" w:rsidR="00854ED8" w:rsidRPr="00DE12A3" w:rsidRDefault="00854ED8" w:rsidP="004940FF">
            <w:pPr>
              <w:pStyle w:val="Gvdemetni360"/>
              <w:shd w:val="clear" w:color="auto" w:fill="auto"/>
              <w:spacing w:before="120" w:after="120" w:line="240" w:lineRule="auto"/>
              <w:ind w:left="132" w:firstLine="0"/>
              <w:jc w:val="left"/>
              <w:rPr>
                <w:sz w:val="18"/>
                <w:szCs w:val="18"/>
              </w:rPr>
            </w:pPr>
            <w:r w:rsidRPr="00DE12A3">
              <w:rPr>
                <w:rStyle w:val="Gvdemetni367pt0ptbolukbraklyor"/>
                <w:color w:val="auto"/>
                <w:sz w:val="18"/>
                <w:szCs w:val="18"/>
              </w:rPr>
              <w:t>Mevcut yakıt artığı</w:t>
            </w:r>
          </w:p>
        </w:tc>
        <w:tc>
          <w:tcPr>
            <w:tcW w:w="1277" w:type="dxa"/>
            <w:shd w:val="clear" w:color="auto" w:fill="auto"/>
          </w:tcPr>
          <w:p w14:paraId="41CF2A47" w14:textId="77777777" w:rsidR="00854ED8" w:rsidRPr="00DE12A3" w:rsidRDefault="00854ED8" w:rsidP="004940FF">
            <w:pPr>
              <w:pStyle w:val="Gvdemetni360"/>
              <w:shd w:val="clear" w:color="auto" w:fill="auto"/>
              <w:spacing w:before="120" w:after="120" w:line="240" w:lineRule="auto"/>
              <w:ind w:firstLine="0"/>
              <w:jc w:val="center"/>
              <w:rPr>
                <w:sz w:val="18"/>
                <w:szCs w:val="18"/>
              </w:rPr>
            </w:pPr>
            <w:r w:rsidRPr="00DE12A3">
              <w:rPr>
                <w:rStyle w:val="Gvdemetni367pt0ptbolukbraklyor"/>
                <w:color w:val="auto"/>
                <w:sz w:val="18"/>
                <w:szCs w:val="18"/>
              </w:rPr>
              <w:t>mg/ml</w:t>
            </w:r>
          </w:p>
        </w:tc>
        <w:tc>
          <w:tcPr>
            <w:tcW w:w="1282" w:type="dxa"/>
            <w:shd w:val="clear" w:color="auto" w:fill="auto"/>
          </w:tcPr>
          <w:p w14:paraId="4395CFE4" w14:textId="77777777" w:rsidR="00854ED8" w:rsidRPr="00DE12A3" w:rsidRDefault="00854ED8" w:rsidP="004940FF">
            <w:pPr>
              <w:pStyle w:val="Gvdemetni360"/>
              <w:shd w:val="clear" w:color="auto" w:fill="auto"/>
              <w:spacing w:before="120" w:after="120" w:line="240" w:lineRule="auto"/>
              <w:ind w:firstLine="0"/>
              <w:jc w:val="center"/>
              <w:rPr>
                <w:sz w:val="18"/>
                <w:szCs w:val="18"/>
              </w:rPr>
            </w:pPr>
            <w:r w:rsidRPr="00DE12A3">
              <w:rPr>
                <w:rStyle w:val="Gvdemetni3675pt"/>
                <w:color w:val="auto"/>
                <w:sz w:val="18"/>
                <w:szCs w:val="18"/>
              </w:rPr>
              <w:t>—</w:t>
            </w:r>
          </w:p>
        </w:tc>
        <w:tc>
          <w:tcPr>
            <w:tcW w:w="1282" w:type="dxa"/>
            <w:shd w:val="clear" w:color="auto" w:fill="auto"/>
          </w:tcPr>
          <w:p w14:paraId="65553F75" w14:textId="77777777" w:rsidR="00854ED8" w:rsidRPr="00DE12A3" w:rsidRDefault="00854ED8" w:rsidP="004940FF">
            <w:pPr>
              <w:pStyle w:val="Gvdemetni360"/>
              <w:shd w:val="clear" w:color="auto" w:fill="auto"/>
              <w:spacing w:before="120" w:after="120" w:line="240" w:lineRule="auto"/>
              <w:ind w:firstLine="0"/>
              <w:jc w:val="center"/>
              <w:rPr>
                <w:sz w:val="18"/>
                <w:szCs w:val="18"/>
              </w:rPr>
            </w:pPr>
            <w:r w:rsidRPr="00DE12A3">
              <w:rPr>
                <w:rStyle w:val="Gvdemetni367pt0ptbolukbraklyor"/>
                <w:color w:val="auto"/>
                <w:sz w:val="18"/>
                <w:szCs w:val="18"/>
              </w:rPr>
              <w:t>0,04</w:t>
            </w:r>
          </w:p>
        </w:tc>
        <w:tc>
          <w:tcPr>
            <w:tcW w:w="1517" w:type="dxa"/>
            <w:shd w:val="clear" w:color="auto" w:fill="auto"/>
          </w:tcPr>
          <w:p w14:paraId="12705F59" w14:textId="77777777" w:rsidR="00854ED8" w:rsidRPr="00DE12A3" w:rsidRDefault="00854ED8" w:rsidP="004940FF">
            <w:pPr>
              <w:pStyle w:val="Gvdemetni360"/>
              <w:shd w:val="clear" w:color="auto" w:fill="auto"/>
              <w:spacing w:before="120" w:after="120" w:line="240" w:lineRule="auto"/>
              <w:ind w:left="100" w:firstLine="0"/>
              <w:jc w:val="left"/>
              <w:rPr>
                <w:sz w:val="18"/>
                <w:szCs w:val="18"/>
              </w:rPr>
            </w:pPr>
            <w:r w:rsidRPr="00DE12A3">
              <w:rPr>
                <w:rStyle w:val="Gvdemetni367pt0ptbolukbraklyor"/>
                <w:color w:val="auto"/>
                <w:sz w:val="18"/>
                <w:szCs w:val="18"/>
              </w:rPr>
              <w:t>EN-ISO 6246</w:t>
            </w:r>
          </w:p>
        </w:tc>
      </w:tr>
      <w:tr w:rsidR="00DE12A3" w:rsidRPr="00DE12A3" w14:paraId="6DEAA314" w14:textId="77777777" w:rsidTr="00946B82">
        <w:trPr>
          <w:trHeight w:hRule="exact" w:val="845"/>
          <w:jc w:val="center"/>
        </w:trPr>
        <w:tc>
          <w:tcPr>
            <w:tcW w:w="2429" w:type="dxa"/>
            <w:shd w:val="clear" w:color="auto" w:fill="auto"/>
          </w:tcPr>
          <w:p w14:paraId="14EF5023" w14:textId="479C2755" w:rsidR="00C54E4C" w:rsidRPr="00DE12A3" w:rsidRDefault="00C54E4C" w:rsidP="00C917D6">
            <w:pPr>
              <w:pStyle w:val="Gvdemetni0"/>
              <w:shd w:val="clear" w:color="auto" w:fill="auto"/>
              <w:spacing w:before="120" w:after="120" w:line="240" w:lineRule="auto"/>
              <w:ind w:left="122" w:firstLine="0"/>
              <w:jc w:val="left"/>
              <w:rPr>
                <w:sz w:val="18"/>
              </w:rPr>
            </w:pPr>
            <w:bookmarkStart w:id="37" w:name="_Hlk68005481"/>
            <w:bookmarkEnd w:id="36"/>
            <w:r w:rsidRPr="00DE12A3">
              <w:rPr>
                <w:rStyle w:val="Gvdemetni95pt0ptbolukbraklyor"/>
                <w:color w:val="auto"/>
                <w:sz w:val="18"/>
              </w:rPr>
              <w:t>Kükürt içeriği (</w:t>
            </w:r>
            <w:r w:rsidR="00C27431" w:rsidRPr="00DE12A3">
              <w:rPr>
                <w:rStyle w:val="Gvdemetni95pt0ptbolukbraklyor"/>
                <w:color w:val="auto"/>
                <w:sz w:val="18"/>
                <w:vertAlign w:val="superscript"/>
              </w:rPr>
              <w:t>6</w:t>
            </w:r>
            <w:r w:rsidRPr="00DE12A3">
              <w:rPr>
                <w:rStyle w:val="Gvdemetni95pt0ptbolukbraklyor"/>
                <w:color w:val="auto"/>
                <w:sz w:val="18"/>
              </w:rPr>
              <w:t>)</w:t>
            </w:r>
          </w:p>
        </w:tc>
        <w:tc>
          <w:tcPr>
            <w:tcW w:w="1277" w:type="dxa"/>
            <w:shd w:val="clear" w:color="auto" w:fill="auto"/>
          </w:tcPr>
          <w:p w14:paraId="3BE203B1" w14:textId="77777777" w:rsidR="00C54E4C" w:rsidRPr="00DE12A3" w:rsidRDefault="00C54E4C" w:rsidP="00C917D6">
            <w:pPr>
              <w:pStyle w:val="Gvdemetni360"/>
              <w:shd w:val="clear" w:color="auto" w:fill="auto"/>
              <w:spacing w:before="120" w:after="120" w:line="240" w:lineRule="auto"/>
              <w:ind w:firstLine="0"/>
              <w:jc w:val="center"/>
              <w:rPr>
                <w:sz w:val="18"/>
                <w:szCs w:val="18"/>
              </w:rPr>
            </w:pPr>
            <w:r w:rsidRPr="00DE12A3">
              <w:rPr>
                <w:rStyle w:val="Gvdemetni367pt0ptbolukbraklyor"/>
                <w:color w:val="auto"/>
                <w:sz w:val="18"/>
                <w:szCs w:val="18"/>
              </w:rPr>
              <w:t>mg/kg</w:t>
            </w:r>
          </w:p>
        </w:tc>
        <w:tc>
          <w:tcPr>
            <w:tcW w:w="1282" w:type="dxa"/>
            <w:shd w:val="clear" w:color="auto" w:fill="auto"/>
          </w:tcPr>
          <w:p w14:paraId="68B460E2" w14:textId="77777777" w:rsidR="00C54E4C" w:rsidRPr="00DE12A3" w:rsidRDefault="00C54E4C" w:rsidP="00C917D6">
            <w:pPr>
              <w:pStyle w:val="Gvdemetni360"/>
              <w:shd w:val="clear" w:color="auto" w:fill="auto"/>
              <w:spacing w:before="120" w:after="120" w:line="240" w:lineRule="auto"/>
              <w:ind w:firstLine="0"/>
              <w:jc w:val="center"/>
              <w:rPr>
                <w:sz w:val="18"/>
                <w:szCs w:val="18"/>
              </w:rPr>
            </w:pPr>
            <w:r w:rsidRPr="00DE12A3">
              <w:rPr>
                <w:rStyle w:val="Gvdemetni3675pt"/>
                <w:color w:val="auto"/>
                <w:sz w:val="18"/>
                <w:szCs w:val="18"/>
              </w:rPr>
              <w:t>—</w:t>
            </w:r>
          </w:p>
        </w:tc>
        <w:tc>
          <w:tcPr>
            <w:tcW w:w="1282" w:type="dxa"/>
            <w:shd w:val="clear" w:color="auto" w:fill="auto"/>
          </w:tcPr>
          <w:p w14:paraId="6AF5B828" w14:textId="77777777" w:rsidR="00C54E4C" w:rsidRPr="00DE12A3" w:rsidRDefault="00C54E4C" w:rsidP="00C917D6">
            <w:pPr>
              <w:pStyle w:val="Gvdemetni360"/>
              <w:shd w:val="clear" w:color="auto" w:fill="auto"/>
              <w:spacing w:before="120" w:after="120" w:line="240" w:lineRule="auto"/>
              <w:ind w:firstLine="0"/>
              <w:jc w:val="center"/>
              <w:rPr>
                <w:sz w:val="18"/>
                <w:szCs w:val="18"/>
              </w:rPr>
            </w:pPr>
            <w:r w:rsidRPr="00DE12A3">
              <w:rPr>
                <w:rStyle w:val="Gvdemetni367pt0ptbolukbraklyor"/>
                <w:color w:val="auto"/>
                <w:sz w:val="18"/>
                <w:szCs w:val="18"/>
              </w:rPr>
              <w:t>10</w:t>
            </w:r>
          </w:p>
        </w:tc>
        <w:tc>
          <w:tcPr>
            <w:tcW w:w="1517" w:type="dxa"/>
            <w:shd w:val="clear" w:color="auto" w:fill="auto"/>
          </w:tcPr>
          <w:p w14:paraId="6FA6D29C" w14:textId="77777777" w:rsidR="00C54E4C" w:rsidRPr="00DE12A3" w:rsidRDefault="00C54E4C" w:rsidP="00C917D6">
            <w:pPr>
              <w:pStyle w:val="Gvdemetni360"/>
              <w:shd w:val="clear" w:color="auto" w:fill="auto"/>
              <w:spacing w:before="120" w:after="120" w:line="240" w:lineRule="auto"/>
              <w:ind w:left="120" w:firstLine="0"/>
              <w:jc w:val="left"/>
              <w:rPr>
                <w:sz w:val="18"/>
                <w:szCs w:val="18"/>
              </w:rPr>
            </w:pPr>
            <w:r w:rsidRPr="00DE12A3">
              <w:rPr>
                <w:rStyle w:val="Gvdemetni367pt0ptbolukbraklyor"/>
                <w:color w:val="auto"/>
                <w:sz w:val="18"/>
                <w:szCs w:val="18"/>
              </w:rPr>
              <w:t>EN ISO 20846 EN ISO 20884</w:t>
            </w:r>
          </w:p>
        </w:tc>
      </w:tr>
      <w:tr w:rsidR="00DE12A3" w:rsidRPr="00DE12A3" w14:paraId="64A0B53E" w14:textId="77777777" w:rsidTr="00946B82">
        <w:trPr>
          <w:trHeight w:hRule="exact" w:val="857"/>
          <w:jc w:val="center"/>
        </w:trPr>
        <w:tc>
          <w:tcPr>
            <w:tcW w:w="2429" w:type="dxa"/>
            <w:shd w:val="clear" w:color="auto" w:fill="auto"/>
          </w:tcPr>
          <w:p w14:paraId="5D7F3292" w14:textId="77777777" w:rsidR="00C54E4C" w:rsidRPr="00DE12A3" w:rsidRDefault="00C54E4C" w:rsidP="00C917D6">
            <w:pPr>
              <w:pStyle w:val="Gvdemetni0"/>
              <w:shd w:val="clear" w:color="auto" w:fill="auto"/>
              <w:spacing w:before="120" w:after="120" w:line="240" w:lineRule="auto"/>
              <w:ind w:left="122" w:firstLine="0"/>
              <w:jc w:val="left"/>
              <w:rPr>
                <w:rStyle w:val="Gvdemetni95pt0ptbolukbraklyor"/>
                <w:color w:val="auto"/>
                <w:sz w:val="18"/>
              </w:rPr>
            </w:pPr>
            <w:r w:rsidRPr="00DE12A3">
              <w:rPr>
                <w:rStyle w:val="Gvdemetni95pt0ptbolukbraklyor"/>
                <w:color w:val="auto"/>
                <w:sz w:val="18"/>
              </w:rPr>
              <w:t>Bakır korozyonu</w:t>
            </w:r>
          </w:p>
          <w:p w14:paraId="73C3F210" w14:textId="77777777" w:rsidR="00C54E4C" w:rsidRPr="00DE12A3" w:rsidRDefault="00C54E4C" w:rsidP="00C917D6">
            <w:pPr>
              <w:pStyle w:val="Gvdemetni0"/>
              <w:shd w:val="clear" w:color="auto" w:fill="auto"/>
              <w:spacing w:before="120" w:after="120" w:line="240" w:lineRule="auto"/>
              <w:ind w:left="122" w:firstLine="0"/>
              <w:jc w:val="left"/>
              <w:rPr>
                <w:sz w:val="18"/>
              </w:rPr>
            </w:pPr>
            <w:r w:rsidRPr="00DE12A3">
              <w:rPr>
                <w:rStyle w:val="Gvdemetni95pt0ptbolukbraklyor"/>
                <w:color w:val="auto"/>
                <w:sz w:val="18"/>
              </w:rPr>
              <w:t>(50 °C'de 3 saat)</w:t>
            </w:r>
          </w:p>
        </w:tc>
        <w:tc>
          <w:tcPr>
            <w:tcW w:w="1277" w:type="dxa"/>
            <w:shd w:val="clear" w:color="auto" w:fill="auto"/>
          </w:tcPr>
          <w:p w14:paraId="3F2A46A6" w14:textId="77777777" w:rsidR="00C54E4C" w:rsidRPr="00DE12A3" w:rsidRDefault="00C54E4C" w:rsidP="00C917D6">
            <w:pPr>
              <w:pStyle w:val="Gvdemetni360"/>
              <w:shd w:val="clear" w:color="auto" w:fill="auto"/>
              <w:spacing w:before="120" w:after="120" w:line="240" w:lineRule="auto"/>
              <w:ind w:firstLine="0"/>
              <w:jc w:val="center"/>
              <w:rPr>
                <w:sz w:val="18"/>
                <w:szCs w:val="18"/>
              </w:rPr>
            </w:pPr>
            <w:r w:rsidRPr="00DE12A3">
              <w:rPr>
                <w:rStyle w:val="Gvdemetni95pt0ptbolukbraklyor"/>
                <w:color w:val="auto"/>
              </w:rPr>
              <w:t>değerlendirme</w:t>
            </w:r>
          </w:p>
        </w:tc>
        <w:tc>
          <w:tcPr>
            <w:tcW w:w="1282" w:type="dxa"/>
            <w:shd w:val="clear" w:color="auto" w:fill="auto"/>
          </w:tcPr>
          <w:p w14:paraId="53E52B71" w14:textId="77777777" w:rsidR="00C54E4C" w:rsidRPr="00DE12A3" w:rsidRDefault="00C54E4C" w:rsidP="00C917D6">
            <w:pPr>
              <w:pStyle w:val="Gvdemetni360"/>
              <w:shd w:val="clear" w:color="auto" w:fill="auto"/>
              <w:spacing w:before="120" w:after="120" w:line="240" w:lineRule="auto"/>
              <w:ind w:firstLine="0"/>
              <w:jc w:val="center"/>
              <w:rPr>
                <w:sz w:val="18"/>
                <w:szCs w:val="18"/>
              </w:rPr>
            </w:pPr>
            <w:r w:rsidRPr="00DE12A3">
              <w:rPr>
                <w:rStyle w:val="Gvdemetni3675pt"/>
                <w:color w:val="auto"/>
                <w:sz w:val="18"/>
                <w:szCs w:val="18"/>
              </w:rPr>
              <w:t>—</w:t>
            </w:r>
          </w:p>
        </w:tc>
        <w:tc>
          <w:tcPr>
            <w:tcW w:w="1282" w:type="dxa"/>
            <w:shd w:val="clear" w:color="auto" w:fill="auto"/>
          </w:tcPr>
          <w:p w14:paraId="19C05F6D" w14:textId="77777777" w:rsidR="00C54E4C" w:rsidRPr="00DE12A3" w:rsidRDefault="00C54E4C" w:rsidP="00C917D6">
            <w:pPr>
              <w:pStyle w:val="Gvdemetni360"/>
              <w:shd w:val="clear" w:color="auto" w:fill="auto"/>
              <w:spacing w:before="120" w:after="120" w:line="240" w:lineRule="auto"/>
              <w:ind w:firstLine="0"/>
              <w:jc w:val="center"/>
              <w:rPr>
                <w:sz w:val="18"/>
                <w:szCs w:val="18"/>
              </w:rPr>
            </w:pPr>
            <w:r w:rsidRPr="00DE12A3">
              <w:rPr>
                <w:rStyle w:val="Gvdemetni367pt0ptbolukbraklyor"/>
                <w:color w:val="auto"/>
                <w:sz w:val="18"/>
                <w:szCs w:val="18"/>
              </w:rPr>
              <w:t>Sınıf 1</w:t>
            </w:r>
          </w:p>
        </w:tc>
        <w:tc>
          <w:tcPr>
            <w:tcW w:w="1517" w:type="dxa"/>
            <w:shd w:val="clear" w:color="auto" w:fill="auto"/>
          </w:tcPr>
          <w:p w14:paraId="0419961E" w14:textId="77777777" w:rsidR="00C54E4C" w:rsidRPr="00DE12A3" w:rsidRDefault="00C54E4C" w:rsidP="00C917D6">
            <w:pPr>
              <w:pStyle w:val="Gvdemetni360"/>
              <w:shd w:val="clear" w:color="auto" w:fill="auto"/>
              <w:spacing w:before="120" w:after="120" w:line="240" w:lineRule="auto"/>
              <w:ind w:left="120" w:firstLine="0"/>
              <w:jc w:val="left"/>
              <w:rPr>
                <w:sz w:val="18"/>
                <w:szCs w:val="18"/>
              </w:rPr>
            </w:pPr>
            <w:r w:rsidRPr="00DE12A3">
              <w:rPr>
                <w:rStyle w:val="Gvdemetni367pt0ptbolukbraklyor"/>
                <w:color w:val="auto"/>
                <w:sz w:val="18"/>
                <w:szCs w:val="18"/>
              </w:rPr>
              <w:t>EN-ISO 2160</w:t>
            </w:r>
          </w:p>
        </w:tc>
      </w:tr>
      <w:tr w:rsidR="00DE12A3" w:rsidRPr="00DE12A3" w14:paraId="5F3D758D" w14:textId="77777777" w:rsidTr="00946B82">
        <w:trPr>
          <w:trHeight w:hRule="exact" w:val="571"/>
          <w:jc w:val="center"/>
        </w:trPr>
        <w:tc>
          <w:tcPr>
            <w:tcW w:w="2429" w:type="dxa"/>
            <w:shd w:val="clear" w:color="auto" w:fill="auto"/>
          </w:tcPr>
          <w:p w14:paraId="0455FC25" w14:textId="77777777" w:rsidR="00C54E4C" w:rsidRPr="00DE12A3" w:rsidRDefault="00C54E4C" w:rsidP="00C917D6">
            <w:pPr>
              <w:pStyle w:val="Gvdemetni0"/>
              <w:shd w:val="clear" w:color="auto" w:fill="auto"/>
              <w:spacing w:before="120" w:after="120" w:line="240" w:lineRule="auto"/>
              <w:ind w:left="122" w:firstLine="0"/>
              <w:jc w:val="left"/>
              <w:rPr>
                <w:sz w:val="18"/>
              </w:rPr>
            </w:pPr>
            <w:r w:rsidRPr="00DE12A3">
              <w:rPr>
                <w:rStyle w:val="Gvdemetni95pt0ptbolukbraklyor"/>
                <w:color w:val="auto"/>
                <w:sz w:val="18"/>
              </w:rPr>
              <w:t>Kurşun içeriği</w:t>
            </w:r>
          </w:p>
        </w:tc>
        <w:tc>
          <w:tcPr>
            <w:tcW w:w="1277" w:type="dxa"/>
            <w:shd w:val="clear" w:color="auto" w:fill="auto"/>
          </w:tcPr>
          <w:p w14:paraId="71B6CB24" w14:textId="77777777" w:rsidR="00C54E4C" w:rsidRPr="00DE12A3" w:rsidRDefault="00C54E4C" w:rsidP="00C917D6">
            <w:pPr>
              <w:pStyle w:val="Gvdemetni360"/>
              <w:shd w:val="clear" w:color="auto" w:fill="auto"/>
              <w:spacing w:before="120" w:after="120" w:line="240" w:lineRule="auto"/>
              <w:ind w:firstLine="0"/>
              <w:jc w:val="center"/>
              <w:rPr>
                <w:sz w:val="18"/>
                <w:szCs w:val="18"/>
              </w:rPr>
            </w:pPr>
            <w:r w:rsidRPr="00DE12A3">
              <w:rPr>
                <w:rStyle w:val="Gvdemetni367pt0ptbolukbraklyor"/>
                <w:color w:val="auto"/>
                <w:sz w:val="18"/>
                <w:szCs w:val="18"/>
              </w:rPr>
              <w:t>mg/l</w:t>
            </w:r>
          </w:p>
        </w:tc>
        <w:tc>
          <w:tcPr>
            <w:tcW w:w="1282" w:type="dxa"/>
            <w:shd w:val="clear" w:color="auto" w:fill="auto"/>
          </w:tcPr>
          <w:p w14:paraId="0C9C0AA9" w14:textId="77777777" w:rsidR="00C54E4C" w:rsidRPr="00DE12A3" w:rsidRDefault="00C54E4C" w:rsidP="00C917D6">
            <w:pPr>
              <w:pStyle w:val="Gvdemetni360"/>
              <w:shd w:val="clear" w:color="auto" w:fill="auto"/>
              <w:spacing w:before="120" w:after="120" w:line="240" w:lineRule="auto"/>
              <w:ind w:firstLine="0"/>
              <w:jc w:val="center"/>
              <w:rPr>
                <w:sz w:val="18"/>
                <w:szCs w:val="18"/>
              </w:rPr>
            </w:pPr>
            <w:r w:rsidRPr="00DE12A3">
              <w:rPr>
                <w:rStyle w:val="Gvdemetni3675pt"/>
                <w:color w:val="auto"/>
                <w:sz w:val="18"/>
                <w:szCs w:val="18"/>
              </w:rPr>
              <w:t>—</w:t>
            </w:r>
          </w:p>
        </w:tc>
        <w:tc>
          <w:tcPr>
            <w:tcW w:w="1282" w:type="dxa"/>
            <w:shd w:val="clear" w:color="auto" w:fill="auto"/>
          </w:tcPr>
          <w:p w14:paraId="59519C22" w14:textId="77777777" w:rsidR="00C54E4C" w:rsidRPr="00DE12A3" w:rsidRDefault="00C54E4C" w:rsidP="00C917D6">
            <w:pPr>
              <w:pStyle w:val="Gvdemetni360"/>
              <w:shd w:val="clear" w:color="auto" w:fill="auto"/>
              <w:spacing w:before="120" w:after="120" w:line="240" w:lineRule="auto"/>
              <w:ind w:firstLine="0"/>
              <w:jc w:val="center"/>
              <w:rPr>
                <w:sz w:val="18"/>
                <w:szCs w:val="18"/>
              </w:rPr>
            </w:pPr>
            <w:r w:rsidRPr="00DE12A3">
              <w:rPr>
                <w:rStyle w:val="Gvdemetni367pt0ptbolukbraklyor"/>
                <w:color w:val="auto"/>
                <w:sz w:val="18"/>
                <w:szCs w:val="18"/>
              </w:rPr>
              <w:t>5</w:t>
            </w:r>
          </w:p>
        </w:tc>
        <w:tc>
          <w:tcPr>
            <w:tcW w:w="1517" w:type="dxa"/>
            <w:shd w:val="clear" w:color="auto" w:fill="auto"/>
          </w:tcPr>
          <w:p w14:paraId="2ADF9AAC" w14:textId="77777777" w:rsidR="00C54E4C" w:rsidRPr="00DE12A3" w:rsidRDefault="00C54E4C" w:rsidP="00C917D6">
            <w:pPr>
              <w:pStyle w:val="Gvdemetni360"/>
              <w:shd w:val="clear" w:color="auto" w:fill="auto"/>
              <w:spacing w:before="120" w:after="120" w:line="240" w:lineRule="auto"/>
              <w:ind w:left="120" w:firstLine="0"/>
              <w:jc w:val="left"/>
              <w:rPr>
                <w:sz w:val="18"/>
                <w:szCs w:val="18"/>
              </w:rPr>
            </w:pPr>
            <w:r w:rsidRPr="00DE12A3">
              <w:rPr>
                <w:rStyle w:val="Gvdemetni367pt0ptbolukbraklyor"/>
                <w:color w:val="auto"/>
                <w:sz w:val="18"/>
                <w:szCs w:val="18"/>
              </w:rPr>
              <w:t>EN 237</w:t>
            </w:r>
          </w:p>
        </w:tc>
      </w:tr>
      <w:tr w:rsidR="00DE12A3" w:rsidRPr="00DE12A3" w14:paraId="09B88731" w14:textId="77777777" w:rsidTr="00946B82">
        <w:trPr>
          <w:trHeight w:hRule="exact" w:val="565"/>
          <w:jc w:val="center"/>
        </w:trPr>
        <w:tc>
          <w:tcPr>
            <w:tcW w:w="2429" w:type="dxa"/>
            <w:shd w:val="clear" w:color="auto" w:fill="auto"/>
          </w:tcPr>
          <w:p w14:paraId="53D37D7C" w14:textId="77777777" w:rsidR="00C54E4C" w:rsidRPr="00DE12A3" w:rsidRDefault="00C54E4C" w:rsidP="00C917D6">
            <w:pPr>
              <w:pStyle w:val="Gvdemetni0"/>
              <w:shd w:val="clear" w:color="auto" w:fill="auto"/>
              <w:spacing w:before="120" w:after="120" w:line="240" w:lineRule="auto"/>
              <w:ind w:left="122" w:firstLine="0"/>
              <w:jc w:val="left"/>
              <w:rPr>
                <w:sz w:val="18"/>
              </w:rPr>
            </w:pPr>
            <w:r w:rsidRPr="00DE12A3">
              <w:rPr>
                <w:rStyle w:val="Gvdemetni95pt0ptbolukbraklyor"/>
                <w:color w:val="auto"/>
                <w:sz w:val="18"/>
              </w:rPr>
              <w:t>Fosfor içeriği (</w:t>
            </w:r>
            <w:r w:rsidRPr="00DE12A3">
              <w:rPr>
                <w:rStyle w:val="Gvdemetni95pt0ptbolukbraklyor"/>
                <w:color w:val="auto"/>
                <w:sz w:val="18"/>
                <w:vertAlign w:val="superscript"/>
              </w:rPr>
              <w:t>7</w:t>
            </w:r>
            <w:r w:rsidRPr="00DE12A3">
              <w:rPr>
                <w:rStyle w:val="Gvdemetni95pt0ptbolukbraklyor"/>
                <w:color w:val="auto"/>
                <w:sz w:val="18"/>
              </w:rPr>
              <w:t>)</w:t>
            </w:r>
          </w:p>
        </w:tc>
        <w:tc>
          <w:tcPr>
            <w:tcW w:w="1277" w:type="dxa"/>
            <w:shd w:val="clear" w:color="auto" w:fill="auto"/>
          </w:tcPr>
          <w:p w14:paraId="7381E106" w14:textId="77777777" w:rsidR="00C54E4C" w:rsidRPr="00DE12A3" w:rsidRDefault="00C54E4C" w:rsidP="00C917D6">
            <w:pPr>
              <w:pStyle w:val="Gvdemetni360"/>
              <w:shd w:val="clear" w:color="auto" w:fill="auto"/>
              <w:spacing w:before="120" w:after="120" w:line="240" w:lineRule="auto"/>
              <w:ind w:firstLine="0"/>
              <w:jc w:val="center"/>
              <w:rPr>
                <w:sz w:val="18"/>
                <w:szCs w:val="18"/>
              </w:rPr>
            </w:pPr>
            <w:r w:rsidRPr="00DE12A3">
              <w:rPr>
                <w:rStyle w:val="Gvdemetni367pt0ptbolukbraklyor"/>
                <w:color w:val="auto"/>
                <w:sz w:val="18"/>
                <w:szCs w:val="18"/>
              </w:rPr>
              <w:t>mg/l</w:t>
            </w:r>
          </w:p>
        </w:tc>
        <w:tc>
          <w:tcPr>
            <w:tcW w:w="1282" w:type="dxa"/>
            <w:shd w:val="clear" w:color="auto" w:fill="auto"/>
          </w:tcPr>
          <w:p w14:paraId="58A2A15C" w14:textId="77777777" w:rsidR="00C54E4C" w:rsidRPr="00DE12A3" w:rsidRDefault="00C54E4C" w:rsidP="00C917D6">
            <w:pPr>
              <w:pStyle w:val="Gvdemetni360"/>
              <w:shd w:val="clear" w:color="auto" w:fill="auto"/>
              <w:spacing w:before="120" w:after="120" w:line="240" w:lineRule="auto"/>
              <w:ind w:firstLine="0"/>
              <w:jc w:val="center"/>
              <w:rPr>
                <w:sz w:val="18"/>
                <w:szCs w:val="18"/>
              </w:rPr>
            </w:pPr>
            <w:r w:rsidRPr="00DE12A3">
              <w:rPr>
                <w:rStyle w:val="Gvdemetni3675pt"/>
                <w:color w:val="auto"/>
                <w:sz w:val="18"/>
                <w:szCs w:val="18"/>
              </w:rPr>
              <w:t>—</w:t>
            </w:r>
          </w:p>
        </w:tc>
        <w:tc>
          <w:tcPr>
            <w:tcW w:w="1282" w:type="dxa"/>
            <w:shd w:val="clear" w:color="auto" w:fill="auto"/>
          </w:tcPr>
          <w:p w14:paraId="72151BC3" w14:textId="77777777" w:rsidR="00C54E4C" w:rsidRPr="00DE12A3" w:rsidRDefault="00C54E4C" w:rsidP="00C917D6">
            <w:pPr>
              <w:pStyle w:val="Gvdemetni360"/>
              <w:shd w:val="clear" w:color="auto" w:fill="auto"/>
              <w:spacing w:before="120" w:after="120" w:line="240" w:lineRule="auto"/>
              <w:ind w:firstLine="0"/>
              <w:jc w:val="center"/>
              <w:rPr>
                <w:sz w:val="18"/>
                <w:szCs w:val="18"/>
              </w:rPr>
            </w:pPr>
            <w:r w:rsidRPr="00DE12A3">
              <w:rPr>
                <w:rStyle w:val="Gvdemetni367pt0ptbolukbraklyor"/>
                <w:color w:val="auto"/>
                <w:sz w:val="18"/>
                <w:szCs w:val="18"/>
              </w:rPr>
              <w:t>1,3</w:t>
            </w:r>
          </w:p>
        </w:tc>
        <w:tc>
          <w:tcPr>
            <w:tcW w:w="1517" w:type="dxa"/>
            <w:shd w:val="clear" w:color="auto" w:fill="auto"/>
          </w:tcPr>
          <w:p w14:paraId="2ED703C6" w14:textId="77777777" w:rsidR="00C54E4C" w:rsidRPr="00DE12A3" w:rsidRDefault="00C54E4C" w:rsidP="00C917D6">
            <w:pPr>
              <w:pStyle w:val="Gvdemetni360"/>
              <w:shd w:val="clear" w:color="auto" w:fill="auto"/>
              <w:spacing w:before="120" w:after="120" w:line="240" w:lineRule="auto"/>
              <w:ind w:left="120" w:firstLine="0"/>
              <w:jc w:val="left"/>
              <w:rPr>
                <w:sz w:val="18"/>
                <w:szCs w:val="18"/>
              </w:rPr>
            </w:pPr>
            <w:r w:rsidRPr="00DE12A3">
              <w:rPr>
                <w:rStyle w:val="Gvdemetni367pt0ptbolukbraklyor"/>
                <w:color w:val="auto"/>
                <w:sz w:val="18"/>
                <w:szCs w:val="18"/>
              </w:rPr>
              <w:t>ASTM D 3231</w:t>
            </w:r>
          </w:p>
        </w:tc>
      </w:tr>
      <w:tr w:rsidR="00DE12A3" w:rsidRPr="00DE12A3" w14:paraId="153E1AE0" w14:textId="77777777" w:rsidTr="00946B82">
        <w:trPr>
          <w:trHeight w:hRule="exact" w:val="559"/>
          <w:jc w:val="center"/>
        </w:trPr>
        <w:tc>
          <w:tcPr>
            <w:tcW w:w="2429" w:type="dxa"/>
            <w:shd w:val="clear" w:color="auto" w:fill="auto"/>
          </w:tcPr>
          <w:p w14:paraId="0727287D" w14:textId="77777777" w:rsidR="00C54E4C" w:rsidRPr="00DE12A3" w:rsidRDefault="00C54E4C" w:rsidP="00C917D6">
            <w:pPr>
              <w:pStyle w:val="Gvdemetni0"/>
              <w:shd w:val="clear" w:color="auto" w:fill="auto"/>
              <w:spacing w:before="120" w:after="120" w:line="240" w:lineRule="auto"/>
              <w:ind w:left="122" w:firstLine="0"/>
              <w:jc w:val="left"/>
              <w:rPr>
                <w:sz w:val="18"/>
              </w:rPr>
            </w:pPr>
            <w:r w:rsidRPr="00DE12A3">
              <w:rPr>
                <w:rStyle w:val="Gvdemetni95pt0ptbolukbraklyor"/>
                <w:color w:val="auto"/>
                <w:sz w:val="18"/>
              </w:rPr>
              <w:t>Etanol (</w:t>
            </w:r>
            <w:r w:rsidRPr="00DE12A3">
              <w:rPr>
                <w:rStyle w:val="Gvdemetni95pt0ptbolukbraklyor"/>
                <w:color w:val="auto"/>
                <w:sz w:val="18"/>
                <w:vertAlign w:val="superscript"/>
              </w:rPr>
              <w:t>4</w:t>
            </w:r>
            <w:r w:rsidRPr="00DE12A3">
              <w:rPr>
                <w:rStyle w:val="Gvdemetni95pt0ptbolukbraklyor"/>
                <w:color w:val="auto"/>
                <w:sz w:val="18"/>
              </w:rPr>
              <w:t>)</w:t>
            </w:r>
          </w:p>
        </w:tc>
        <w:tc>
          <w:tcPr>
            <w:tcW w:w="1277" w:type="dxa"/>
            <w:shd w:val="clear" w:color="auto" w:fill="auto"/>
          </w:tcPr>
          <w:p w14:paraId="0448F40B" w14:textId="77777777" w:rsidR="00C54E4C" w:rsidRPr="00DE12A3" w:rsidRDefault="00C54E4C" w:rsidP="00C917D6">
            <w:pPr>
              <w:pStyle w:val="Gvdemetni360"/>
              <w:shd w:val="clear" w:color="auto" w:fill="auto"/>
              <w:spacing w:before="120" w:after="120" w:line="240" w:lineRule="auto"/>
              <w:ind w:firstLine="0"/>
              <w:jc w:val="center"/>
              <w:rPr>
                <w:sz w:val="18"/>
                <w:szCs w:val="18"/>
              </w:rPr>
            </w:pPr>
            <w:r w:rsidRPr="00DE12A3">
              <w:rPr>
                <w:rStyle w:val="Gvdemetni367pt0ptbolukbraklyor"/>
                <w:color w:val="auto"/>
                <w:sz w:val="18"/>
                <w:szCs w:val="18"/>
              </w:rPr>
              <w:t>% h/h</w:t>
            </w:r>
          </w:p>
        </w:tc>
        <w:tc>
          <w:tcPr>
            <w:tcW w:w="1282" w:type="dxa"/>
            <w:shd w:val="clear" w:color="auto" w:fill="auto"/>
          </w:tcPr>
          <w:p w14:paraId="7DC6F90C" w14:textId="77777777" w:rsidR="00C54E4C" w:rsidRPr="00DE12A3" w:rsidRDefault="00C54E4C" w:rsidP="00C917D6">
            <w:pPr>
              <w:pStyle w:val="Gvdemetni360"/>
              <w:shd w:val="clear" w:color="auto" w:fill="auto"/>
              <w:spacing w:before="120" w:after="120" w:line="240" w:lineRule="auto"/>
              <w:ind w:firstLine="0"/>
              <w:jc w:val="center"/>
              <w:rPr>
                <w:sz w:val="18"/>
                <w:szCs w:val="18"/>
              </w:rPr>
            </w:pPr>
            <w:r w:rsidRPr="00DE12A3">
              <w:rPr>
                <w:rStyle w:val="Gvdemetni367pt0ptbolukbraklyor"/>
                <w:color w:val="auto"/>
                <w:sz w:val="18"/>
                <w:szCs w:val="18"/>
              </w:rPr>
              <w:t>9,0 (</w:t>
            </w:r>
            <w:r w:rsidRPr="00DE12A3">
              <w:rPr>
                <w:rStyle w:val="Gvdemetni367pt0ptbolukbraklyor"/>
                <w:color w:val="auto"/>
                <w:sz w:val="18"/>
                <w:szCs w:val="18"/>
                <w:vertAlign w:val="superscript"/>
              </w:rPr>
              <w:t>8</w:t>
            </w:r>
            <w:r w:rsidRPr="00DE12A3">
              <w:rPr>
                <w:rStyle w:val="Gvdemetni367pt0ptbolukbraklyor"/>
                <w:color w:val="auto"/>
                <w:sz w:val="18"/>
                <w:szCs w:val="18"/>
              </w:rPr>
              <w:t>)</w:t>
            </w:r>
          </w:p>
        </w:tc>
        <w:tc>
          <w:tcPr>
            <w:tcW w:w="1282" w:type="dxa"/>
            <w:shd w:val="clear" w:color="auto" w:fill="auto"/>
          </w:tcPr>
          <w:p w14:paraId="554D4442" w14:textId="77777777" w:rsidR="00C54E4C" w:rsidRPr="00DE12A3" w:rsidRDefault="00C54E4C" w:rsidP="00C917D6">
            <w:pPr>
              <w:pStyle w:val="Gvdemetni360"/>
              <w:shd w:val="clear" w:color="auto" w:fill="auto"/>
              <w:spacing w:before="120" w:after="120" w:line="240" w:lineRule="auto"/>
              <w:ind w:firstLine="0"/>
              <w:jc w:val="center"/>
              <w:rPr>
                <w:sz w:val="18"/>
                <w:szCs w:val="18"/>
              </w:rPr>
            </w:pPr>
            <w:r w:rsidRPr="00DE12A3">
              <w:rPr>
                <w:rStyle w:val="Gvdemetni3665pt0ptbolukbraklyor"/>
                <w:color w:val="auto"/>
                <w:sz w:val="18"/>
                <w:szCs w:val="18"/>
              </w:rPr>
              <w:t>10,2</w:t>
            </w:r>
            <w:r w:rsidRPr="00DE12A3">
              <w:rPr>
                <w:rStyle w:val="Gvdemetni3665ptKaln0ptbolukbraklyor"/>
                <w:color w:val="auto"/>
                <w:sz w:val="18"/>
                <w:szCs w:val="18"/>
              </w:rPr>
              <w:t xml:space="preserve"> (</w:t>
            </w:r>
            <w:r w:rsidRPr="00DE12A3">
              <w:rPr>
                <w:rStyle w:val="Gvdemetni3665ptKaln0ptbolukbraklyor"/>
                <w:color w:val="auto"/>
                <w:sz w:val="18"/>
                <w:szCs w:val="18"/>
                <w:vertAlign w:val="superscript"/>
              </w:rPr>
              <w:t>8</w:t>
            </w:r>
            <w:r w:rsidRPr="00DE12A3">
              <w:rPr>
                <w:rStyle w:val="Gvdemetni3665ptKaln0ptbolukbraklyor"/>
                <w:color w:val="auto"/>
                <w:sz w:val="18"/>
                <w:szCs w:val="18"/>
              </w:rPr>
              <w:t>)</w:t>
            </w:r>
          </w:p>
        </w:tc>
        <w:tc>
          <w:tcPr>
            <w:tcW w:w="1517" w:type="dxa"/>
            <w:shd w:val="clear" w:color="auto" w:fill="auto"/>
          </w:tcPr>
          <w:p w14:paraId="10407E68" w14:textId="77777777" w:rsidR="00C54E4C" w:rsidRPr="00DE12A3" w:rsidRDefault="00C54E4C" w:rsidP="00C917D6">
            <w:pPr>
              <w:pStyle w:val="Gvdemetni360"/>
              <w:shd w:val="clear" w:color="auto" w:fill="auto"/>
              <w:spacing w:before="120" w:after="120" w:line="240" w:lineRule="auto"/>
              <w:ind w:left="120" w:firstLine="0"/>
              <w:jc w:val="left"/>
              <w:rPr>
                <w:sz w:val="18"/>
                <w:szCs w:val="18"/>
              </w:rPr>
            </w:pPr>
            <w:r w:rsidRPr="00DE12A3">
              <w:rPr>
                <w:rStyle w:val="Gvdemetni367pt0ptbolukbraklyor"/>
                <w:color w:val="auto"/>
                <w:sz w:val="18"/>
                <w:szCs w:val="18"/>
              </w:rPr>
              <w:t>EN 22854</w:t>
            </w:r>
          </w:p>
        </w:tc>
      </w:tr>
      <w:tr w:rsidR="00DE12A3" w:rsidRPr="00DE12A3" w14:paraId="42505226" w14:textId="77777777" w:rsidTr="00946B82">
        <w:trPr>
          <w:trHeight w:hRule="exact" w:val="3460"/>
          <w:jc w:val="center"/>
        </w:trPr>
        <w:tc>
          <w:tcPr>
            <w:tcW w:w="7787" w:type="dxa"/>
            <w:gridSpan w:val="5"/>
            <w:shd w:val="clear" w:color="auto" w:fill="auto"/>
          </w:tcPr>
          <w:p w14:paraId="25733A62" w14:textId="77777777" w:rsidR="0046577A" w:rsidRPr="00DE12A3" w:rsidRDefault="0046577A" w:rsidP="0046577A">
            <w:pPr>
              <w:jc w:val="both"/>
              <w:rPr>
                <w:color w:val="auto"/>
                <w:sz w:val="16"/>
                <w:szCs w:val="16"/>
              </w:rPr>
            </w:pPr>
            <w:r w:rsidRPr="00DE12A3">
              <w:rPr>
                <w:color w:val="auto"/>
                <w:sz w:val="16"/>
                <w:szCs w:val="16"/>
              </w:rPr>
              <w:t>Notlar:</w:t>
            </w:r>
          </w:p>
          <w:p w14:paraId="5093814A" w14:textId="6FCAA63F" w:rsidR="0046577A" w:rsidRPr="00DE12A3" w:rsidRDefault="0046577A" w:rsidP="0046577A">
            <w:pPr>
              <w:jc w:val="both"/>
              <w:rPr>
                <w:i/>
                <w:color w:val="auto"/>
                <w:sz w:val="16"/>
                <w:szCs w:val="16"/>
              </w:rPr>
            </w:pPr>
            <w:r w:rsidRPr="00DE12A3">
              <w:rPr>
                <w:color w:val="auto"/>
                <w:sz w:val="16"/>
                <w:szCs w:val="16"/>
              </w:rPr>
              <w:t>(1) Şartnamelerde belirtilen değerler "gerçek değerlerdir". Bunların sınır değerlerinin oluşturulmasında ISO 4259 “Petrol ürünleri - Test yöntemlerine göre hassas verilerin belirlenmesi ve uygulanması” standardı gereklilikleri uygulanmış ve bir asgari değer belirlenirken, sıfırın üzerinde 2R değerinde bir asgari fark hesaba katılmıştır; bir azami ve asgari değer belirlenirken asgari fark 4R'dir (R = tekrarlanabilirlik). Teknik nedenlerden dolayı gerekli olan bu tedbire rağmen, yakıt imalatçısı yine de öngörülen azami değerin 2R olduğu bir sıfır değerini ve azami ve asgari sınırların aktarılması durumunda ortalama değeri hedeflemelidir. Bir yakıtın şartnamelerdeki gereklilikleri yerine getirip getirmediğinin netleştirilmesi gerekirse, ISO 4259 standardının gereklilikleri uygulanmalıdır.</w:t>
            </w:r>
          </w:p>
          <w:p w14:paraId="45D3DCDB" w14:textId="045CBF09" w:rsidR="0046577A" w:rsidRPr="00DE12A3" w:rsidRDefault="0046577A" w:rsidP="0046577A">
            <w:pPr>
              <w:jc w:val="both"/>
              <w:rPr>
                <w:i/>
                <w:color w:val="auto"/>
                <w:sz w:val="16"/>
                <w:szCs w:val="16"/>
              </w:rPr>
            </w:pPr>
            <w:r w:rsidRPr="00DE12A3">
              <w:rPr>
                <w:color w:val="auto"/>
                <w:sz w:val="16"/>
                <w:szCs w:val="16"/>
              </w:rPr>
              <w:t>(2) Yukarıda listelenen özellikler için yayınlanan denk EN/ISO yöntemleri benimsenmelidir.</w:t>
            </w:r>
          </w:p>
          <w:p w14:paraId="6BCCA9C1" w14:textId="697C7F9A" w:rsidR="0046577A" w:rsidRPr="00DE12A3" w:rsidRDefault="0046577A" w:rsidP="0046577A">
            <w:pPr>
              <w:jc w:val="both"/>
              <w:rPr>
                <w:i/>
                <w:color w:val="auto"/>
                <w:sz w:val="16"/>
                <w:szCs w:val="16"/>
              </w:rPr>
            </w:pPr>
            <w:r w:rsidRPr="00DE12A3">
              <w:rPr>
                <w:color w:val="auto"/>
                <w:sz w:val="16"/>
                <w:szCs w:val="16"/>
              </w:rPr>
              <w:t>(3) EN 228:2008 uyarınca nihai sonuç hesaplanırken, MON ve RON için 0,2'lik bir düzeltme faktörü çıkarılacaktır.</w:t>
            </w:r>
          </w:p>
          <w:p w14:paraId="2599360B" w14:textId="4EEAC703" w:rsidR="0046577A" w:rsidRPr="00DE12A3" w:rsidRDefault="0046577A" w:rsidP="0046577A">
            <w:pPr>
              <w:jc w:val="both"/>
              <w:rPr>
                <w:i/>
                <w:color w:val="auto"/>
                <w:sz w:val="16"/>
                <w:szCs w:val="16"/>
              </w:rPr>
            </w:pPr>
            <w:r w:rsidRPr="00DE12A3">
              <w:rPr>
                <w:color w:val="auto"/>
                <w:sz w:val="16"/>
                <w:szCs w:val="16"/>
              </w:rPr>
              <w:t>(4) Yakıt, normalde rafineri benzin akışlarını dengelemek için kullanılan oksidasyon inhibitörleri ve metal deaktivatörler içerebilir, ancak deterjan/dispersiyon katkıları ve çözücü yağlar eklenmemelidir.</w:t>
            </w:r>
          </w:p>
          <w:p w14:paraId="01BB1140" w14:textId="2D0151F6" w:rsidR="0046577A" w:rsidRPr="00DE12A3" w:rsidRDefault="0046577A" w:rsidP="0046577A">
            <w:pPr>
              <w:jc w:val="both"/>
              <w:rPr>
                <w:i/>
                <w:color w:val="auto"/>
                <w:sz w:val="16"/>
                <w:szCs w:val="16"/>
              </w:rPr>
            </w:pPr>
            <w:r w:rsidRPr="00DE12A3">
              <w:rPr>
                <w:color w:val="auto"/>
                <w:sz w:val="16"/>
                <w:szCs w:val="16"/>
              </w:rPr>
              <w:t>(5) EN 15376 standardının gerekliliklerini sağlayan etanol, referans yakıtına kasıtlı olarak eklenen tek oksijenattır.</w:t>
            </w:r>
          </w:p>
          <w:p w14:paraId="00918225" w14:textId="195DAB5D" w:rsidR="0046577A" w:rsidRPr="00DE12A3" w:rsidRDefault="0046577A" w:rsidP="0046577A">
            <w:pPr>
              <w:jc w:val="both"/>
              <w:rPr>
                <w:i/>
                <w:color w:val="auto"/>
                <w:sz w:val="16"/>
                <w:szCs w:val="16"/>
              </w:rPr>
            </w:pPr>
            <w:r w:rsidRPr="00DE12A3">
              <w:rPr>
                <w:color w:val="auto"/>
                <w:sz w:val="16"/>
                <w:szCs w:val="16"/>
              </w:rPr>
              <w:t>(6) Tip 1 testi için kullanılan yakıtın gerçek kükürt içeriği bildirilmelidir.</w:t>
            </w:r>
          </w:p>
          <w:p w14:paraId="693A7A44" w14:textId="0E86D89A" w:rsidR="0046577A" w:rsidRPr="00DE12A3" w:rsidRDefault="0046577A" w:rsidP="0046577A">
            <w:pPr>
              <w:jc w:val="both"/>
              <w:rPr>
                <w:i/>
                <w:color w:val="auto"/>
                <w:sz w:val="16"/>
                <w:szCs w:val="16"/>
              </w:rPr>
            </w:pPr>
            <w:r w:rsidRPr="00DE12A3">
              <w:rPr>
                <w:color w:val="auto"/>
                <w:sz w:val="16"/>
                <w:szCs w:val="16"/>
              </w:rPr>
              <w:t>(7) Bu referans yakıta fosfor, demir, manganez veya kurşun içeren bileşikler kasıtlı olarak eklenmez.</w:t>
            </w:r>
          </w:p>
          <w:p w14:paraId="2E385637" w14:textId="64C71ADA" w:rsidR="0046577A" w:rsidRPr="00DE12A3" w:rsidRDefault="0046577A" w:rsidP="0046577A">
            <w:pPr>
              <w:jc w:val="both"/>
              <w:rPr>
                <w:rStyle w:val="Gvdemetni367pt0ptbolukbraklyor"/>
                <w:rFonts w:eastAsia="Courier New" w:cs="Courier New"/>
                <w:i/>
                <w:color w:val="auto"/>
                <w:spacing w:val="0"/>
                <w:sz w:val="16"/>
                <w:szCs w:val="16"/>
                <w:shd w:val="clear" w:color="auto" w:fill="auto"/>
                <w:lang w:val="tr-TR"/>
              </w:rPr>
            </w:pPr>
            <w:r w:rsidRPr="00DE12A3">
              <w:rPr>
                <w:color w:val="auto"/>
                <w:sz w:val="16"/>
                <w:szCs w:val="16"/>
              </w:rPr>
              <w:t>(8) İmalatçının tercihine bağlı olarak, SMB kategorisindeki motorlar için etanol içeriği ve karşılık gelen oksijen içeriği sıfır olabilir. Bu durumda, motor ailesine veya bir aile olmadığında motor tipine dair tüm testler, sıfır etanol içeren benzin kullanılarak gerçekleştirilmelidir.</w:t>
            </w:r>
          </w:p>
        </w:tc>
      </w:tr>
    </w:tbl>
    <w:bookmarkEnd w:id="37"/>
    <w:p w14:paraId="74DA16DB" w14:textId="5A1A63C7" w:rsidR="00C54E4C" w:rsidRPr="00DE12A3" w:rsidRDefault="009F4766" w:rsidP="0046577A">
      <w:pPr>
        <w:spacing w:before="120" w:after="120"/>
        <w:rPr>
          <w:color w:val="auto"/>
        </w:rPr>
      </w:pPr>
      <w:r w:rsidRPr="00DE12A3">
        <w:rPr>
          <w:color w:val="auto"/>
        </w:rPr>
        <w:t>2.2.</w:t>
      </w:r>
      <w:r w:rsidR="009C7D14" w:rsidRPr="00DE12A3">
        <w:rPr>
          <w:color w:val="auto"/>
        </w:rPr>
        <w:t xml:space="preserve"> </w:t>
      </w:r>
      <w:r w:rsidR="00C54E4C" w:rsidRPr="00DE12A3">
        <w:rPr>
          <w:color w:val="auto"/>
        </w:rPr>
        <w:t>Tip: Etanol (E85</w:t>
      </w:r>
      <w:r w:rsidR="0097223E" w:rsidRPr="00DE12A3">
        <w:rPr>
          <w:color w:val="auto"/>
        </w:rPr>
        <w:t>)</w:t>
      </w:r>
    </w:p>
    <w:p w14:paraId="4172B0C5" w14:textId="77777777" w:rsidR="009C7D14" w:rsidRPr="00DE12A3" w:rsidRDefault="009C7D14" w:rsidP="009C7D14">
      <w:pPr>
        <w:rPr>
          <w:b/>
          <w:color w:val="auto"/>
        </w:rPr>
      </w:pPr>
    </w:p>
    <w:tbl>
      <w:tblPr>
        <w:tblW w:w="77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424"/>
        <w:gridCol w:w="1277"/>
        <w:gridCol w:w="1282"/>
        <w:gridCol w:w="1282"/>
        <w:gridCol w:w="1517"/>
      </w:tblGrid>
      <w:tr w:rsidR="00DE12A3" w:rsidRPr="00DE12A3" w14:paraId="65E60BD1" w14:textId="77777777" w:rsidTr="00753EFD">
        <w:trPr>
          <w:trHeight w:val="358"/>
          <w:jc w:val="center"/>
        </w:trPr>
        <w:tc>
          <w:tcPr>
            <w:tcW w:w="2424" w:type="dxa"/>
            <w:vMerge w:val="restart"/>
            <w:shd w:val="clear" w:color="auto" w:fill="auto"/>
          </w:tcPr>
          <w:p w14:paraId="6DABCA10" w14:textId="77777777" w:rsidR="00C54E4C" w:rsidRPr="00DE12A3" w:rsidRDefault="00C54E4C" w:rsidP="00C917D6">
            <w:pPr>
              <w:pStyle w:val="Gvdemetni0"/>
              <w:shd w:val="clear" w:color="auto" w:fill="auto"/>
              <w:spacing w:before="120" w:after="120" w:line="240" w:lineRule="auto"/>
              <w:ind w:firstLine="0"/>
              <w:rPr>
                <w:sz w:val="18"/>
                <w:szCs w:val="16"/>
              </w:rPr>
            </w:pPr>
            <w:r w:rsidRPr="00DE12A3">
              <w:rPr>
                <w:sz w:val="18"/>
                <w:szCs w:val="16"/>
              </w:rPr>
              <w:t>Parametre</w:t>
            </w:r>
          </w:p>
        </w:tc>
        <w:tc>
          <w:tcPr>
            <w:tcW w:w="1277" w:type="dxa"/>
            <w:vMerge w:val="restart"/>
            <w:shd w:val="clear" w:color="auto" w:fill="auto"/>
          </w:tcPr>
          <w:p w14:paraId="7273C76A" w14:textId="77777777" w:rsidR="00C54E4C" w:rsidRPr="00DE12A3" w:rsidRDefault="00C54E4C" w:rsidP="00C917D6">
            <w:pPr>
              <w:pStyle w:val="Gvdemetni0"/>
              <w:shd w:val="clear" w:color="auto" w:fill="auto"/>
              <w:spacing w:before="120" w:after="120" w:line="240" w:lineRule="auto"/>
              <w:ind w:firstLine="0"/>
              <w:rPr>
                <w:sz w:val="18"/>
                <w:szCs w:val="16"/>
              </w:rPr>
            </w:pPr>
            <w:r w:rsidRPr="00DE12A3">
              <w:rPr>
                <w:sz w:val="18"/>
                <w:szCs w:val="16"/>
              </w:rPr>
              <w:t>Birim</w:t>
            </w:r>
          </w:p>
        </w:tc>
        <w:tc>
          <w:tcPr>
            <w:tcW w:w="2564" w:type="dxa"/>
            <w:gridSpan w:val="2"/>
            <w:shd w:val="clear" w:color="auto" w:fill="auto"/>
          </w:tcPr>
          <w:p w14:paraId="5EB6143C" w14:textId="77777777" w:rsidR="00C54E4C" w:rsidRPr="00DE12A3" w:rsidRDefault="00C54E4C" w:rsidP="00C917D6">
            <w:pPr>
              <w:pStyle w:val="Gvdemetni0"/>
              <w:shd w:val="clear" w:color="auto" w:fill="auto"/>
              <w:spacing w:before="120" w:after="120" w:line="240" w:lineRule="auto"/>
              <w:ind w:firstLine="0"/>
              <w:rPr>
                <w:sz w:val="18"/>
                <w:szCs w:val="16"/>
              </w:rPr>
            </w:pPr>
            <w:r w:rsidRPr="00DE12A3">
              <w:rPr>
                <w:sz w:val="18"/>
                <w:szCs w:val="16"/>
              </w:rPr>
              <w:t>Sınırlar (</w:t>
            </w:r>
            <w:r w:rsidRPr="00DE12A3">
              <w:rPr>
                <w:sz w:val="18"/>
                <w:szCs w:val="16"/>
                <w:vertAlign w:val="superscript"/>
              </w:rPr>
              <w:t>1</w:t>
            </w:r>
            <w:r w:rsidRPr="00DE12A3">
              <w:rPr>
                <w:sz w:val="18"/>
                <w:szCs w:val="16"/>
              </w:rPr>
              <w:t>)</w:t>
            </w:r>
          </w:p>
        </w:tc>
        <w:tc>
          <w:tcPr>
            <w:tcW w:w="1517" w:type="dxa"/>
            <w:vMerge w:val="restart"/>
            <w:shd w:val="clear" w:color="auto" w:fill="auto"/>
          </w:tcPr>
          <w:p w14:paraId="0A331CD7" w14:textId="77777777" w:rsidR="00C54E4C" w:rsidRPr="00DE12A3" w:rsidRDefault="00C54E4C" w:rsidP="00C917D6">
            <w:pPr>
              <w:pStyle w:val="Gvdemetni0"/>
              <w:shd w:val="clear" w:color="auto" w:fill="auto"/>
              <w:spacing w:before="120" w:after="120" w:line="240" w:lineRule="auto"/>
              <w:ind w:firstLine="0"/>
              <w:rPr>
                <w:sz w:val="18"/>
                <w:szCs w:val="16"/>
              </w:rPr>
            </w:pPr>
            <w:r w:rsidRPr="00DE12A3">
              <w:rPr>
                <w:sz w:val="18"/>
                <w:szCs w:val="16"/>
              </w:rPr>
              <w:t>Test Yöntemi</w:t>
            </w:r>
          </w:p>
        </w:tc>
      </w:tr>
      <w:tr w:rsidR="00DE12A3" w:rsidRPr="00DE12A3" w14:paraId="13294D4A" w14:textId="77777777" w:rsidTr="00C85F5C">
        <w:trPr>
          <w:trHeight w:hRule="exact" w:val="553"/>
          <w:jc w:val="center"/>
        </w:trPr>
        <w:tc>
          <w:tcPr>
            <w:tcW w:w="2424" w:type="dxa"/>
            <w:vMerge/>
            <w:shd w:val="clear" w:color="auto" w:fill="auto"/>
          </w:tcPr>
          <w:p w14:paraId="4560351B" w14:textId="77777777" w:rsidR="00C54E4C" w:rsidRPr="00DE12A3" w:rsidRDefault="00C54E4C" w:rsidP="00C917D6">
            <w:pPr>
              <w:spacing w:before="120" w:after="120"/>
              <w:rPr>
                <w:rFonts w:cs="Times New Roman"/>
                <w:color w:val="auto"/>
                <w:sz w:val="18"/>
                <w:szCs w:val="18"/>
              </w:rPr>
            </w:pPr>
          </w:p>
        </w:tc>
        <w:tc>
          <w:tcPr>
            <w:tcW w:w="1277" w:type="dxa"/>
            <w:vMerge/>
            <w:shd w:val="clear" w:color="auto" w:fill="auto"/>
          </w:tcPr>
          <w:p w14:paraId="16E22108" w14:textId="77777777" w:rsidR="00C54E4C" w:rsidRPr="00DE12A3" w:rsidRDefault="00C54E4C" w:rsidP="00C917D6">
            <w:pPr>
              <w:spacing w:before="120" w:after="120"/>
              <w:rPr>
                <w:rFonts w:cs="Times New Roman"/>
                <w:color w:val="auto"/>
                <w:sz w:val="18"/>
                <w:szCs w:val="18"/>
              </w:rPr>
            </w:pPr>
          </w:p>
        </w:tc>
        <w:tc>
          <w:tcPr>
            <w:tcW w:w="1282" w:type="dxa"/>
            <w:shd w:val="clear" w:color="auto" w:fill="auto"/>
          </w:tcPr>
          <w:p w14:paraId="7C19E9AC" w14:textId="77777777" w:rsidR="00C54E4C" w:rsidRPr="00DE12A3" w:rsidRDefault="00C54E4C" w:rsidP="00C917D6">
            <w:pPr>
              <w:pStyle w:val="Gvdemetni0"/>
              <w:shd w:val="clear" w:color="auto" w:fill="auto"/>
              <w:spacing w:before="120" w:after="120" w:line="240" w:lineRule="auto"/>
              <w:ind w:firstLine="0"/>
              <w:rPr>
                <w:sz w:val="18"/>
                <w:szCs w:val="18"/>
              </w:rPr>
            </w:pPr>
            <w:r w:rsidRPr="00DE12A3">
              <w:rPr>
                <w:rStyle w:val="Gvdemetni85pt0ptbolukbraklyor"/>
                <w:color w:val="auto"/>
                <w:sz w:val="18"/>
                <w:szCs w:val="18"/>
              </w:rPr>
              <w:t>Asgari</w:t>
            </w:r>
          </w:p>
        </w:tc>
        <w:tc>
          <w:tcPr>
            <w:tcW w:w="1282" w:type="dxa"/>
            <w:shd w:val="clear" w:color="auto" w:fill="auto"/>
          </w:tcPr>
          <w:p w14:paraId="09266D6A" w14:textId="77777777" w:rsidR="00C54E4C" w:rsidRPr="00DE12A3" w:rsidRDefault="00C54E4C" w:rsidP="00C917D6">
            <w:pPr>
              <w:pStyle w:val="Gvdemetni0"/>
              <w:shd w:val="clear" w:color="auto" w:fill="auto"/>
              <w:spacing w:before="120" w:after="120" w:line="240" w:lineRule="auto"/>
              <w:ind w:firstLine="0"/>
              <w:rPr>
                <w:sz w:val="18"/>
                <w:szCs w:val="18"/>
              </w:rPr>
            </w:pPr>
            <w:r w:rsidRPr="00DE12A3">
              <w:rPr>
                <w:rStyle w:val="Gvdemetni85pt0ptbolukbraklyor"/>
                <w:color w:val="auto"/>
                <w:sz w:val="18"/>
                <w:szCs w:val="18"/>
              </w:rPr>
              <w:t>Azami</w:t>
            </w:r>
          </w:p>
        </w:tc>
        <w:tc>
          <w:tcPr>
            <w:tcW w:w="1517" w:type="dxa"/>
            <w:vMerge/>
            <w:shd w:val="clear" w:color="auto" w:fill="auto"/>
          </w:tcPr>
          <w:p w14:paraId="22402DC9" w14:textId="77777777" w:rsidR="00C54E4C" w:rsidRPr="00DE12A3" w:rsidRDefault="00C54E4C" w:rsidP="00C917D6">
            <w:pPr>
              <w:spacing w:before="120" w:after="120"/>
              <w:rPr>
                <w:rFonts w:cs="Times New Roman"/>
                <w:color w:val="auto"/>
                <w:sz w:val="18"/>
                <w:szCs w:val="18"/>
              </w:rPr>
            </w:pPr>
          </w:p>
        </w:tc>
      </w:tr>
      <w:tr w:rsidR="00DE12A3" w:rsidRPr="00DE12A3" w14:paraId="0F024713" w14:textId="77777777" w:rsidTr="00946B82">
        <w:trPr>
          <w:trHeight w:hRule="exact" w:val="809"/>
          <w:jc w:val="center"/>
        </w:trPr>
        <w:tc>
          <w:tcPr>
            <w:tcW w:w="2424" w:type="dxa"/>
            <w:shd w:val="clear" w:color="auto" w:fill="auto"/>
          </w:tcPr>
          <w:p w14:paraId="3286DE7C" w14:textId="12B43B19" w:rsidR="00C54E4C" w:rsidRPr="00DE12A3" w:rsidRDefault="00C27431" w:rsidP="00C917D6">
            <w:pPr>
              <w:pStyle w:val="Gvdemetni0"/>
              <w:shd w:val="clear" w:color="auto" w:fill="auto"/>
              <w:spacing w:before="120" w:after="120" w:line="240" w:lineRule="auto"/>
              <w:ind w:left="122" w:firstLine="0"/>
              <w:jc w:val="left"/>
              <w:rPr>
                <w:sz w:val="18"/>
              </w:rPr>
            </w:pPr>
            <w:r w:rsidRPr="00DE12A3">
              <w:rPr>
                <w:rStyle w:val="Gvdemetni95pt0ptbolukbraklyor"/>
                <w:color w:val="auto"/>
                <w:sz w:val="18"/>
              </w:rPr>
              <w:t>O</w:t>
            </w:r>
            <w:r w:rsidR="00C54E4C" w:rsidRPr="00DE12A3">
              <w:rPr>
                <w:rStyle w:val="Gvdemetni95pt0ptbolukbraklyor"/>
                <w:color w:val="auto"/>
                <w:sz w:val="18"/>
              </w:rPr>
              <w:t>ktan sayısı</w:t>
            </w:r>
            <w:r w:rsidRPr="00DE12A3">
              <w:rPr>
                <w:rStyle w:val="Gvdemetni95pt0ptbolukbraklyor"/>
                <w:color w:val="auto"/>
                <w:sz w:val="18"/>
              </w:rPr>
              <w:t xml:space="preserve"> araştırması</w:t>
            </w:r>
            <w:r w:rsidR="00C54E4C" w:rsidRPr="00DE12A3">
              <w:rPr>
                <w:rStyle w:val="Gvdemetni95pt0ptbolukbraklyor"/>
                <w:color w:val="auto"/>
                <w:sz w:val="18"/>
              </w:rPr>
              <w:t>, RON</w:t>
            </w:r>
          </w:p>
        </w:tc>
        <w:tc>
          <w:tcPr>
            <w:tcW w:w="1277" w:type="dxa"/>
            <w:shd w:val="clear" w:color="auto" w:fill="auto"/>
          </w:tcPr>
          <w:p w14:paraId="7B120346" w14:textId="77777777" w:rsidR="00C54E4C" w:rsidRPr="00DE12A3" w:rsidRDefault="00C54E4C" w:rsidP="00C917D6">
            <w:pPr>
              <w:spacing w:before="120" w:after="120"/>
              <w:rPr>
                <w:rFonts w:cs="Times New Roman"/>
                <w:color w:val="auto"/>
                <w:sz w:val="18"/>
                <w:szCs w:val="18"/>
              </w:rPr>
            </w:pPr>
          </w:p>
        </w:tc>
        <w:tc>
          <w:tcPr>
            <w:tcW w:w="1282" w:type="dxa"/>
            <w:shd w:val="clear" w:color="auto" w:fill="auto"/>
          </w:tcPr>
          <w:p w14:paraId="7D149886" w14:textId="77777777" w:rsidR="00C54E4C" w:rsidRPr="00DE12A3" w:rsidRDefault="00C54E4C" w:rsidP="00C917D6">
            <w:pPr>
              <w:pStyle w:val="Gvdemetni360"/>
              <w:shd w:val="clear" w:color="auto" w:fill="auto"/>
              <w:spacing w:before="120" w:after="120" w:line="240" w:lineRule="auto"/>
              <w:ind w:firstLine="0"/>
              <w:jc w:val="center"/>
              <w:rPr>
                <w:sz w:val="18"/>
                <w:szCs w:val="18"/>
              </w:rPr>
            </w:pPr>
            <w:r w:rsidRPr="00DE12A3">
              <w:rPr>
                <w:rStyle w:val="Gvdemetni367pt0ptbolukbraklyor"/>
                <w:color w:val="auto"/>
                <w:sz w:val="18"/>
                <w:szCs w:val="18"/>
              </w:rPr>
              <w:t>95,0</w:t>
            </w:r>
          </w:p>
        </w:tc>
        <w:tc>
          <w:tcPr>
            <w:tcW w:w="1282" w:type="dxa"/>
            <w:shd w:val="clear" w:color="auto" w:fill="auto"/>
          </w:tcPr>
          <w:p w14:paraId="1A2C55E0" w14:textId="77777777" w:rsidR="00C54E4C" w:rsidRPr="00DE12A3" w:rsidRDefault="00C54E4C" w:rsidP="00C917D6">
            <w:pPr>
              <w:pStyle w:val="Gvdemetni360"/>
              <w:shd w:val="clear" w:color="auto" w:fill="auto"/>
              <w:spacing w:before="120" w:after="120" w:line="240" w:lineRule="auto"/>
              <w:ind w:firstLine="0"/>
              <w:jc w:val="center"/>
              <w:rPr>
                <w:sz w:val="18"/>
                <w:szCs w:val="18"/>
              </w:rPr>
            </w:pPr>
            <w:r w:rsidRPr="00DE12A3">
              <w:rPr>
                <w:rStyle w:val="Gvdemetni3675pt"/>
                <w:color w:val="auto"/>
                <w:sz w:val="18"/>
                <w:szCs w:val="18"/>
              </w:rPr>
              <w:t>—</w:t>
            </w:r>
          </w:p>
        </w:tc>
        <w:tc>
          <w:tcPr>
            <w:tcW w:w="1517" w:type="dxa"/>
            <w:shd w:val="clear" w:color="auto" w:fill="auto"/>
          </w:tcPr>
          <w:p w14:paraId="31E73C55" w14:textId="77777777" w:rsidR="00C54E4C" w:rsidRPr="00DE12A3" w:rsidRDefault="00C54E4C" w:rsidP="00C917D6">
            <w:pPr>
              <w:pStyle w:val="Gvdemetni360"/>
              <w:shd w:val="clear" w:color="auto" w:fill="auto"/>
              <w:spacing w:before="120" w:after="120" w:line="240" w:lineRule="auto"/>
              <w:ind w:firstLine="0"/>
              <w:jc w:val="center"/>
              <w:rPr>
                <w:sz w:val="18"/>
                <w:szCs w:val="18"/>
              </w:rPr>
            </w:pPr>
            <w:r w:rsidRPr="00DE12A3">
              <w:rPr>
                <w:rStyle w:val="Gvdemetni367pt0ptbolukbraklyor"/>
                <w:color w:val="auto"/>
                <w:sz w:val="18"/>
                <w:szCs w:val="18"/>
              </w:rPr>
              <w:t>EN ISO 5164</w:t>
            </w:r>
          </w:p>
        </w:tc>
      </w:tr>
      <w:tr w:rsidR="00DE12A3" w:rsidRPr="00DE12A3" w14:paraId="13F33339" w14:textId="77777777" w:rsidTr="00C85F5C">
        <w:trPr>
          <w:trHeight w:hRule="exact" w:val="568"/>
          <w:jc w:val="center"/>
        </w:trPr>
        <w:tc>
          <w:tcPr>
            <w:tcW w:w="2424" w:type="dxa"/>
            <w:shd w:val="clear" w:color="auto" w:fill="auto"/>
          </w:tcPr>
          <w:p w14:paraId="656D4E3C" w14:textId="77777777" w:rsidR="00C54E4C" w:rsidRPr="00DE12A3" w:rsidRDefault="00C54E4C" w:rsidP="00C917D6">
            <w:pPr>
              <w:pStyle w:val="Gvdemetni0"/>
              <w:shd w:val="clear" w:color="auto" w:fill="auto"/>
              <w:spacing w:before="120" w:after="120" w:line="240" w:lineRule="auto"/>
              <w:ind w:left="122" w:firstLine="0"/>
              <w:jc w:val="left"/>
              <w:rPr>
                <w:sz w:val="18"/>
              </w:rPr>
            </w:pPr>
            <w:r w:rsidRPr="00DE12A3">
              <w:rPr>
                <w:rStyle w:val="Gvdemetni95pt0ptbolukbraklyor"/>
                <w:color w:val="auto"/>
                <w:sz w:val="18"/>
              </w:rPr>
              <w:t>Motor oktan sayısı, MON</w:t>
            </w:r>
          </w:p>
        </w:tc>
        <w:tc>
          <w:tcPr>
            <w:tcW w:w="1277" w:type="dxa"/>
            <w:shd w:val="clear" w:color="auto" w:fill="auto"/>
          </w:tcPr>
          <w:p w14:paraId="2D5F45B0" w14:textId="77777777" w:rsidR="00C54E4C" w:rsidRPr="00DE12A3" w:rsidRDefault="00C54E4C" w:rsidP="00C917D6">
            <w:pPr>
              <w:spacing w:before="120" w:after="120"/>
              <w:rPr>
                <w:rFonts w:cs="Times New Roman"/>
                <w:color w:val="auto"/>
                <w:sz w:val="18"/>
                <w:szCs w:val="18"/>
              </w:rPr>
            </w:pPr>
          </w:p>
        </w:tc>
        <w:tc>
          <w:tcPr>
            <w:tcW w:w="1282" w:type="dxa"/>
            <w:shd w:val="clear" w:color="auto" w:fill="auto"/>
          </w:tcPr>
          <w:p w14:paraId="3B014E60" w14:textId="77777777" w:rsidR="00C54E4C" w:rsidRPr="00DE12A3" w:rsidRDefault="00C54E4C" w:rsidP="00C917D6">
            <w:pPr>
              <w:pStyle w:val="Gvdemetni360"/>
              <w:shd w:val="clear" w:color="auto" w:fill="auto"/>
              <w:spacing w:before="120" w:after="120" w:line="240" w:lineRule="auto"/>
              <w:ind w:firstLine="0"/>
              <w:jc w:val="center"/>
              <w:rPr>
                <w:sz w:val="18"/>
                <w:szCs w:val="18"/>
              </w:rPr>
            </w:pPr>
            <w:r w:rsidRPr="00DE12A3">
              <w:rPr>
                <w:rStyle w:val="Gvdemetni367pt0ptbolukbraklyor"/>
                <w:color w:val="auto"/>
                <w:sz w:val="18"/>
                <w:szCs w:val="18"/>
              </w:rPr>
              <w:t>85,0</w:t>
            </w:r>
          </w:p>
        </w:tc>
        <w:tc>
          <w:tcPr>
            <w:tcW w:w="1282" w:type="dxa"/>
            <w:shd w:val="clear" w:color="auto" w:fill="auto"/>
          </w:tcPr>
          <w:p w14:paraId="3C287FC2" w14:textId="77777777" w:rsidR="00C54E4C" w:rsidRPr="00DE12A3" w:rsidRDefault="00C54E4C" w:rsidP="00C917D6">
            <w:pPr>
              <w:pStyle w:val="Gvdemetni360"/>
              <w:shd w:val="clear" w:color="auto" w:fill="auto"/>
              <w:spacing w:before="120" w:after="120" w:line="240" w:lineRule="auto"/>
              <w:ind w:firstLine="0"/>
              <w:jc w:val="center"/>
              <w:rPr>
                <w:sz w:val="18"/>
                <w:szCs w:val="18"/>
              </w:rPr>
            </w:pPr>
            <w:r w:rsidRPr="00DE12A3">
              <w:rPr>
                <w:rStyle w:val="Gvdemetni3675pt"/>
                <w:color w:val="auto"/>
                <w:sz w:val="18"/>
                <w:szCs w:val="18"/>
              </w:rPr>
              <w:t>—</w:t>
            </w:r>
          </w:p>
        </w:tc>
        <w:tc>
          <w:tcPr>
            <w:tcW w:w="1517" w:type="dxa"/>
            <w:shd w:val="clear" w:color="auto" w:fill="auto"/>
          </w:tcPr>
          <w:p w14:paraId="78BA08DE" w14:textId="77777777" w:rsidR="00C54E4C" w:rsidRPr="00DE12A3" w:rsidRDefault="00C54E4C" w:rsidP="00C917D6">
            <w:pPr>
              <w:pStyle w:val="Gvdemetni360"/>
              <w:shd w:val="clear" w:color="auto" w:fill="auto"/>
              <w:spacing w:before="120" w:after="120" w:line="240" w:lineRule="auto"/>
              <w:ind w:firstLine="0"/>
              <w:jc w:val="center"/>
              <w:rPr>
                <w:sz w:val="18"/>
                <w:szCs w:val="18"/>
              </w:rPr>
            </w:pPr>
            <w:r w:rsidRPr="00DE12A3">
              <w:rPr>
                <w:rStyle w:val="Gvdemetni367pt0ptbolukbraklyor"/>
                <w:color w:val="auto"/>
                <w:sz w:val="18"/>
                <w:szCs w:val="18"/>
              </w:rPr>
              <w:t>EN ISO 5163</w:t>
            </w:r>
          </w:p>
        </w:tc>
      </w:tr>
      <w:tr w:rsidR="00DE12A3" w:rsidRPr="00DE12A3" w14:paraId="27199DCE" w14:textId="77777777" w:rsidTr="00C85F5C">
        <w:trPr>
          <w:trHeight w:hRule="exact" w:val="561"/>
          <w:jc w:val="center"/>
        </w:trPr>
        <w:tc>
          <w:tcPr>
            <w:tcW w:w="2424" w:type="dxa"/>
            <w:shd w:val="clear" w:color="auto" w:fill="auto"/>
          </w:tcPr>
          <w:p w14:paraId="7400CDDF" w14:textId="77777777" w:rsidR="00C54E4C" w:rsidRPr="00DE12A3" w:rsidRDefault="00C54E4C" w:rsidP="00C917D6">
            <w:pPr>
              <w:pStyle w:val="Gvdemetni0"/>
              <w:shd w:val="clear" w:color="auto" w:fill="auto"/>
              <w:spacing w:before="120" w:after="120" w:line="240" w:lineRule="auto"/>
              <w:ind w:left="122" w:firstLine="0"/>
              <w:jc w:val="left"/>
              <w:rPr>
                <w:sz w:val="18"/>
              </w:rPr>
            </w:pPr>
            <w:r w:rsidRPr="00DE12A3">
              <w:rPr>
                <w:rStyle w:val="Gvdemetni95pt0ptbolukbraklyor"/>
                <w:color w:val="auto"/>
                <w:sz w:val="18"/>
              </w:rPr>
              <w:t>15 °C'de yoğunluk</w:t>
            </w:r>
          </w:p>
        </w:tc>
        <w:tc>
          <w:tcPr>
            <w:tcW w:w="1277" w:type="dxa"/>
            <w:shd w:val="clear" w:color="auto" w:fill="auto"/>
          </w:tcPr>
          <w:p w14:paraId="5DE6DEBE" w14:textId="77777777" w:rsidR="00C54E4C" w:rsidRPr="00DE12A3" w:rsidRDefault="00C54E4C" w:rsidP="00C917D6">
            <w:pPr>
              <w:pStyle w:val="Gvdemetni360"/>
              <w:shd w:val="clear" w:color="auto" w:fill="auto"/>
              <w:spacing w:before="120" w:after="120" w:line="240" w:lineRule="auto"/>
              <w:ind w:firstLine="0"/>
              <w:jc w:val="center"/>
              <w:rPr>
                <w:sz w:val="18"/>
                <w:szCs w:val="18"/>
              </w:rPr>
            </w:pPr>
            <w:r w:rsidRPr="00DE12A3">
              <w:rPr>
                <w:rStyle w:val="Gvdemetni367pt0ptbolukbraklyor"/>
                <w:color w:val="auto"/>
                <w:sz w:val="18"/>
                <w:szCs w:val="18"/>
              </w:rPr>
              <w:t>kg/m</w:t>
            </w:r>
            <w:r w:rsidRPr="00DE12A3">
              <w:rPr>
                <w:rStyle w:val="Gvdemetni367pt0ptbolukbraklyor"/>
                <w:color w:val="auto"/>
                <w:sz w:val="18"/>
                <w:szCs w:val="18"/>
                <w:vertAlign w:val="superscript"/>
              </w:rPr>
              <w:t>3</w:t>
            </w:r>
          </w:p>
        </w:tc>
        <w:tc>
          <w:tcPr>
            <w:tcW w:w="2564" w:type="dxa"/>
            <w:gridSpan w:val="2"/>
            <w:shd w:val="clear" w:color="auto" w:fill="auto"/>
          </w:tcPr>
          <w:p w14:paraId="7CFC0D3D" w14:textId="77777777" w:rsidR="00C54E4C" w:rsidRPr="00DE12A3" w:rsidRDefault="00C54E4C" w:rsidP="00C917D6">
            <w:pPr>
              <w:pStyle w:val="Gvdemetni360"/>
              <w:shd w:val="clear" w:color="auto" w:fill="auto"/>
              <w:spacing w:before="120" w:after="120" w:line="240" w:lineRule="auto"/>
              <w:ind w:firstLine="0"/>
              <w:jc w:val="center"/>
              <w:rPr>
                <w:sz w:val="18"/>
                <w:szCs w:val="18"/>
              </w:rPr>
            </w:pPr>
            <w:r w:rsidRPr="00DE12A3">
              <w:rPr>
                <w:rStyle w:val="Gvdemetni367pt0ptbolukbraklyor"/>
                <w:color w:val="auto"/>
                <w:sz w:val="18"/>
                <w:szCs w:val="18"/>
              </w:rPr>
              <w:t>Rapor</w:t>
            </w:r>
          </w:p>
        </w:tc>
        <w:tc>
          <w:tcPr>
            <w:tcW w:w="1517" w:type="dxa"/>
            <w:shd w:val="clear" w:color="auto" w:fill="auto"/>
          </w:tcPr>
          <w:p w14:paraId="6C94E4C7" w14:textId="77777777" w:rsidR="00C54E4C" w:rsidRPr="00DE12A3" w:rsidRDefault="00C54E4C" w:rsidP="00C917D6">
            <w:pPr>
              <w:pStyle w:val="Gvdemetni360"/>
              <w:shd w:val="clear" w:color="auto" w:fill="auto"/>
              <w:spacing w:before="120" w:after="120" w:line="240" w:lineRule="auto"/>
              <w:ind w:firstLine="0"/>
              <w:jc w:val="center"/>
              <w:rPr>
                <w:sz w:val="18"/>
                <w:szCs w:val="18"/>
              </w:rPr>
            </w:pPr>
            <w:r w:rsidRPr="00DE12A3">
              <w:rPr>
                <w:rStyle w:val="Gvdemetni367pt0ptbolukbraklyor"/>
                <w:color w:val="auto"/>
                <w:sz w:val="18"/>
                <w:szCs w:val="18"/>
              </w:rPr>
              <w:t>ISO 3675</w:t>
            </w:r>
          </w:p>
        </w:tc>
      </w:tr>
      <w:tr w:rsidR="00DE12A3" w:rsidRPr="00DE12A3" w14:paraId="0B95ABA4" w14:textId="77777777" w:rsidTr="00DF309C">
        <w:trPr>
          <w:trHeight w:hRule="exact" w:val="661"/>
          <w:jc w:val="center"/>
        </w:trPr>
        <w:tc>
          <w:tcPr>
            <w:tcW w:w="2424" w:type="dxa"/>
            <w:shd w:val="clear" w:color="auto" w:fill="auto"/>
          </w:tcPr>
          <w:p w14:paraId="1CC7B6E3" w14:textId="77777777" w:rsidR="00C54E4C" w:rsidRPr="00DE12A3" w:rsidRDefault="00C54E4C" w:rsidP="00C917D6">
            <w:pPr>
              <w:pStyle w:val="Gvdemetni0"/>
              <w:shd w:val="clear" w:color="auto" w:fill="auto"/>
              <w:spacing w:before="120" w:after="120" w:line="240" w:lineRule="auto"/>
              <w:ind w:left="122" w:firstLine="0"/>
              <w:jc w:val="left"/>
              <w:rPr>
                <w:sz w:val="18"/>
              </w:rPr>
            </w:pPr>
            <w:r w:rsidRPr="00DE12A3">
              <w:rPr>
                <w:rStyle w:val="Gvdemetni95pt0ptbolukbraklyor"/>
                <w:color w:val="auto"/>
                <w:sz w:val="18"/>
              </w:rPr>
              <w:t>Buhar basıncı</w:t>
            </w:r>
          </w:p>
        </w:tc>
        <w:tc>
          <w:tcPr>
            <w:tcW w:w="1277" w:type="dxa"/>
            <w:shd w:val="clear" w:color="auto" w:fill="auto"/>
          </w:tcPr>
          <w:p w14:paraId="34BFEE25" w14:textId="77777777" w:rsidR="00C54E4C" w:rsidRPr="00DE12A3" w:rsidRDefault="00C54E4C" w:rsidP="00C917D6">
            <w:pPr>
              <w:pStyle w:val="Gvdemetni360"/>
              <w:shd w:val="clear" w:color="auto" w:fill="auto"/>
              <w:spacing w:before="120" w:after="120" w:line="240" w:lineRule="auto"/>
              <w:ind w:firstLine="0"/>
              <w:jc w:val="center"/>
              <w:rPr>
                <w:sz w:val="18"/>
                <w:szCs w:val="18"/>
              </w:rPr>
            </w:pPr>
            <w:r w:rsidRPr="00DE12A3">
              <w:rPr>
                <w:rStyle w:val="Gvdemetni367pt0ptbolukbraklyor"/>
                <w:color w:val="auto"/>
                <w:sz w:val="18"/>
                <w:szCs w:val="18"/>
              </w:rPr>
              <w:t>kPa</w:t>
            </w:r>
          </w:p>
        </w:tc>
        <w:tc>
          <w:tcPr>
            <w:tcW w:w="1282" w:type="dxa"/>
            <w:shd w:val="clear" w:color="auto" w:fill="auto"/>
          </w:tcPr>
          <w:p w14:paraId="421FC673" w14:textId="77777777" w:rsidR="00C54E4C" w:rsidRPr="00DE12A3" w:rsidRDefault="00C54E4C" w:rsidP="00C917D6">
            <w:pPr>
              <w:pStyle w:val="Gvdemetni360"/>
              <w:shd w:val="clear" w:color="auto" w:fill="auto"/>
              <w:spacing w:before="120" w:after="120" w:line="240" w:lineRule="auto"/>
              <w:ind w:firstLine="0"/>
              <w:jc w:val="center"/>
              <w:rPr>
                <w:sz w:val="18"/>
                <w:szCs w:val="18"/>
              </w:rPr>
            </w:pPr>
            <w:r w:rsidRPr="00DE12A3">
              <w:rPr>
                <w:rStyle w:val="Gvdemetni367pt0ptbolukbraklyor"/>
                <w:color w:val="auto"/>
                <w:sz w:val="18"/>
                <w:szCs w:val="18"/>
              </w:rPr>
              <w:t>40,0</w:t>
            </w:r>
          </w:p>
        </w:tc>
        <w:tc>
          <w:tcPr>
            <w:tcW w:w="1282" w:type="dxa"/>
            <w:shd w:val="clear" w:color="auto" w:fill="auto"/>
          </w:tcPr>
          <w:p w14:paraId="580D0EC8" w14:textId="77777777" w:rsidR="00C54E4C" w:rsidRPr="00DE12A3" w:rsidRDefault="00C54E4C" w:rsidP="00C917D6">
            <w:pPr>
              <w:pStyle w:val="Gvdemetni360"/>
              <w:shd w:val="clear" w:color="auto" w:fill="auto"/>
              <w:spacing w:before="120" w:after="120" w:line="240" w:lineRule="auto"/>
              <w:ind w:firstLine="0"/>
              <w:jc w:val="center"/>
              <w:rPr>
                <w:sz w:val="18"/>
                <w:szCs w:val="18"/>
              </w:rPr>
            </w:pPr>
            <w:r w:rsidRPr="00DE12A3">
              <w:rPr>
                <w:rStyle w:val="Gvdemetni367pt0ptbolukbraklyor"/>
                <w:color w:val="auto"/>
                <w:sz w:val="18"/>
                <w:szCs w:val="18"/>
              </w:rPr>
              <w:t>60,0</w:t>
            </w:r>
          </w:p>
        </w:tc>
        <w:tc>
          <w:tcPr>
            <w:tcW w:w="1517" w:type="dxa"/>
            <w:shd w:val="clear" w:color="auto" w:fill="auto"/>
          </w:tcPr>
          <w:p w14:paraId="07FCE2CE" w14:textId="77777777" w:rsidR="00C54E4C" w:rsidRPr="00DE12A3" w:rsidRDefault="00C54E4C" w:rsidP="00C917D6">
            <w:pPr>
              <w:pStyle w:val="Gvdemetni360"/>
              <w:shd w:val="clear" w:color="auto" w:fill="auto"/>
              <w:spacing w:before="120" w:after="120" w:line="240" w:lineRule="auto"/>
              <w:ind w:firstLine="0"/>
              <w:rPr>
                <w:sz w:val="18"/>
                <w:szCs w:val="18"/>
              </w:rPr>
            </w:pPr>
            <w:r w:rsidRPr="00DE12A3">
              <w:rPr>
                <w:rStyle w:val="Gvdemetni367pt0ptbolukbraklyor"/>
                <w:color w:val="auto"/>
                <w:sz w:val="18"/>
                <w:szCs w:val="18"/>
              </w:rPr>
              <w:t>EN ISO 13016-1 (DVPE)</w:t>
            </w:r>
          </w:p>
        </w:tc>
      </w:tr>
      <w:tr w:rsidR="00DE12A3" w:rsidRPr="00DE12A3" w14:paraId="5B471AAB" w14:textId="77777777" w:rsidTr="00DF309C">
        <w:trPr>
          <w:trHeight w:hRule="exact" w:val="584"/>
          <w:jc w:val="center"/>
        </w:trPr>
        <w:tc>
          <w:tcPr>
            <w:tcW w:w="2424" w:type="dxa"/>
            <w:shd w:val="clear" w:color="auto" w:fill="auto"/>
          </w:tcPr>
          <w:p w14:paraId="07E66BE7" w14:textId="77777777" w:rsidR="00C54E4C" w:rsidRPr="00DE12A3" w:rsidRDefault="00C54E4C" w:rsidP="00C917D6">
            <w:pPr>
              <w:pStyle w:val="Gvdemetni0"/>
              <w:shd w:val="clear" w:color="auto" w:fill="auto"/>
              <w:spacing w:before="120" w:after="120" w:line="240" w:lineRule="auto"/>
              <w:ind w:left="122" w:firstLine="0"/>
              <w:jc w:val="left"/>
              <w:rPr>
                <w:sz w:val="18"/>
              </w:rPr>
            </w:pPr>
            <w:r w:rsidRPr="00DE12A3">
              <w:rPr>
                <w:rStyle w:val="Gvdemetni95pt0ptbolukbraklyor"/>
                <w:color w:val="auto"/>
                <w:sz w:val="18"/>
              </w:rPr>
              <w:lastRenderedPageBreak/>
              <w:t xml:space="preserve">Kükürt içeriği </w:t>
            </w:r>
            <w:r w:rsidRPr="00DE12A3">
              <w:rPr>
                <w:rStyle w:val="Gvdemetni95pt0ptbolukbraklyor"/>
                <w:color w:val="auto"/>
                <w:sz w:val="18"/>
                <w:vertAlign w:val="superscript"/>
              </w:rPr>
              <w:t>(2)</w:t>
            </w:r>
          </w:p>
        </w:tc>
        <w:tc>
          <w:tcPr>
            <w:tcW w:w="1277" w:type="dxa"/>
            <w:shd w:val="clear" w:color="auto" w:fill="auto"/>
          </w:tcPr>
          <w:p w14:paraId="2DC62EAC" w14:textId="77777777" w:rsidR="00C54E4C" w:rsidRPr="00DE12A3" w:rsidRDefault="00C54E4C" w:rsidP="00C917D6">
            <w:pPr>
              <w:pStyle w:val="Gvdemetni360"/>
              <w:shd w:val="clear" w:color="auto" w:fill="auto"/>
              <w:spacing w:before="120" w:after="120" w:line="240" w:lineRule="auto"/>
              <w:ind w:firstLine="0"/>
              <w:jc w:val="center"/>
              <w:rPr>
                <w:sz w:val="18"/>
                <w:szCs w:val="18"/>
              </w:rPr>
            </w:pPr>
            <w:r w:rsidRPr="00DE12A3">
              <w:rPr>
                <w:rStyle w:val="Gvdemetni367pt0ptbolukbraklyor"/>
                <w:color w:val="auto"/>
                <w:sz w:val="18"/>
                <w:szCs w:val="18"/>
              </w:rPr>
              <w:t>mg/kg</w:t>
            </w:r>
          </w:p>
        </w:tc>
        <w:tc>
          <w:tcPr>
            <w:tcW w:w="1282" w:type="dxa"/>
            <w:shd w:val="clear" w:color="auto" w:fill="auto"/>
          </w:tcPr>
          <w:p w14:paraId="26F94757" w14:textId="77777777" w:rsidR="00C54E4C" w:rsidRPr="00DE12A3" w:rsidRDefault="00C54E4C" w:rsidP="00C917D6">
            <w:pPr>
              <w:pStyle w:val="Gvdemetni360"/>
              <w:shd w:val="clear" w:color="auto" w:fill="auto"/>
              <w:spacing w:before="120" w:after="120" w:line="240" w:lineRule="auto"/>
              <w:ind w:firstLine="0"/>
              <w:jc w:val="center"/>
              <w:rPr>
                <w:sz w:val="18"/>
                <w:szCs w:val="18"/>
              </w:rPr>
            </w:pPr>
            <w:r w:rsidRPr="00DE12A3">
              <w:rPr>
                <w:rStyle w:val="Gvdemetni3675pt"/>
                <w:color w:val="auto"/>
                <w:sz w:val="18"/>
                <w:szCs w:val="18"/>
              </w:rPr>
              <w:t>—</w:t>
            </w:r>
          </w:p>
        </w:tc>
        <w:tc>
          <w:tcPr>
            <w:tcW w:w="1282" w:type="dxa"/>
            <w:shd w:val="clear" w:color="auto" w:fill="auto"/>
          </w:tcPr>
          <w:p w14:paraId="443299B0" w14:textId="77777777" w:rsidR="00C54E4C" w:rsidRPr="00DE12A3" w:rsidRDefault="00C54E4C" w:rsidP="00C917D6">
            <w:pPr>
              <w:pStyle w:val="Gvdemetni360"/>
              <w:shd w:val="clear" w:color="auto" w:fill="auto"/>
              <w:spacing w:before="120" w:after="120" w:line="240" w:lineRule="auto"/>
              <w:ind w:firstLine="0"/>
              <w:jc w:val="center"/>
              <w:rPr>
                <w:sz w:val="18"/>
                <w:szCs w:val="18"/>
              </w:rPr>
            </w:pPr>
            <w:r w:rsidRPr="00DE12A3">
              <w:rPr>
                <w:rStyle w:val="Gvdemetni367pt0ptbolukbraklyor"/>
                <w:color w:val="auto"/>
                <w:sz w:val="18"/>
                <w:szCs w:val="18"/>
              </w:rPr>
              <w:t>10</w:t>
            </w:r>
          </w:p>
        </w:tc>
        <w:tc>
          <w:tcPr>
            <w:tcW w:w="1517" w:type="dxa"/>
            <w:shd w:val="clear" w:color="auto" w:fill="auto"/>
          </w:tcPr>
          <w:p w14:paraId="643EE0E8" w14:textId="274BEE5F" w:rsidR="00C54E4C" w:rsidRPr="00DE12A3" w:rsidRDefault="00C54E4C" w:rsidP="00C917D6">
            <w:pPr>
              <w:pStyle w:val="Gvdemetni360"/>
              <w:shd w:val="clear" w:color="auto" w:fill="auto"/>
              <w:spacing w:before="120" w:after="120" w:line="240" w:lineRule="auto"/>
              <w:ind w:firstLine="0"/>
              <w:rPr>
                <w:sz w:val="18"/>
                <w:szCs w:val="18"/>
              </w:rPr>
            </w:pPr>
            <w:r w:rsidRPr="00DE12A3">
              <w:rPr>
                <w:rStyle w:val="Gvdemetni367pt0ptbolukbraklyor"/>
                <w:color w:val="auto"/>
                <w:sz w:val="18"/>
                <w:szCs w:val="18"/>
              </w:rPr>
              <w:t xml:space="preserve">EN 15485 </w:t>
            </w:r>
            <w:r w:rsidR="00C13CC7" w:rsidRPr="00DE12A3">
              <w:rPr>
                <w:rStyle w:val="Gvdemetni367pt0ptbolukbraklyor"/>
                <w:color w:val="auto"/>
                <w:sz w:val="18"/>
                <w:szCs w:val="18"/>
              </w:rPr>
              <w:t>veya</w:t>
            </w:r>
            <w:r w:rsidRPr="00DE12A3">
              <w:rPr>
                <w:rStyle w:val="Gvdemetni367pt0ptbolukbraklyor"/>
                <w:color w:val="auto"/>
                <w:sz w:val="18"/>
                <w:szCs w:val="18"/>
              </w:rPr>
              <w:t xml:space="preserve"> EN 15486</w:t>
            </w:r>
          </w:p>
        </w:tc>
      </w:tr>
      <w:tr w:rsidR="00DE12A3" w:rsidRPr="00DE12A3" w14:paraId="2C38041F" w14:textId="77777777" w:rsidTr="00753EFD">
        <w:trPr>
          <w:trHeight w:hRule="exact" w:val="421"/>
          <w:jc w:val="center"/>
        </w:trPr>
        <w:tc>
          <w:tcPr>
            <w:tcW w:w="2424" w:type="dxa"/>
            <w:shd w:val="clear" w:color="auto" w:fill="auto"/>
          </w:tcPr>
          <w:p w14:paraId="51D6EBA9" w14:textId="77777777" w:rsidR="00C54E4C" w:rsidRPr="00DE12A3" w:rsidRDefault="00C54E4C" w:rsidP="00C917D6">
            <w:pPr>
              <w:pStyle w:val="Gvdemetni0"/>
              <w:shd w:val="clear" w:color="auto" w:fill="auto"/>
              <w:spacing w:before="120" w:after="120" w:line="240" w:lineRule="auto"/>
              <w:ind w:left="122" w:firstLine="0"/>
              <w:jc w:val="left"/>
              <w:rPr>
                <w:sz w:val="18"/>
              </w:rPr>
            </w:pPr>
            <w:r w:rsidRPr="00DE12A3">
              <w:rPr>
                <w:rStyle w:val="Gvdemetni95pt0ptbolukbraklyor"/>
                <w:color w:val="auto"/>
                <w:sz w:val="18"/>
              </w:rPr>
              <w:t>Oksidasyon kararlılığı</w:t>
            </w:r>
          </w:p>
        </w:tc>
        <w:tc>
          <w:tcPr>
            <w:tcW w:w="1277" w:type="dxa"/>
            <w:shd w:val="clear" w:color="auto" w:fill="auto"/>
          </w:tcPr>
          <w:p w14:paraId="3D1B8E8F" w14:textId="77777777" w:rsidR="00C54E4C" w:rsidRPr="00DE12A3" w:rsidRDefault="00C54E4C" w:rsidP="00C917D6">
            <w:pPr>
              <w:pStyle w:val="Gvdemetni360"/>
              <w:shd w:val="clear" w:color="auto" w:fill="auto"/>
              <w:spacing w:before="120" w:after="120" w:line="240" w:lineRule="auto"/>
              <w:ind w:firstLine="0"/>
              <w:jc w:val="center"/>
              <w:rPr>
                <w:sz w:val="18"/>
                <w:szCs w:val="18"/>
              </w:rPr>
            </w:pPr>
            <w:r w:rsidRPr="00DE12A3">
              <w:rPr>
                <w:rStyle w:val="Gvdemetni95pt0ptbolukbraklyor"/>
                <w:color w:val="auto"/>
              </w:rPr>
              <w:t>Dakika</w:t>
            </w:r>
          </w:p>
        </w:tc>
        <w:tc>
          <w:tcPr>
            <w:tcW w:w="1282" w:type="dxa"/>
            <w:shd w:val="clear" w:color="auto" w:fill="auto"/>
          </w:tcPr>
          <w:p w14:paraId="6538C775" w14:textId="77777777" w:rsidR="00C54E4C" w:rsidRPr="00DE12A3" w:rsidRDefault="00C54E4C" w:rsidP="00C917D6">
            <w:pPr>
              <w:pStyle w:val="Gvdemetni360"/>
              <w:shd w:val="clear" w:color="auto" w:fill="auto"/>
              <w:spacing w:before="120" w:after="120" w:line="240" w:lineRule="auto"/>
              <w:ind w:firstLine="0"/>
              <w:jc w:val="center"/>
              <w:rPr>
                <w:sz w:val="18"/>
                <w:szCs w:val="18"/>
              </w:rPr>
            </w:pPr>
            <w:r w:rsidRPr="00DE12A3">
              <w:rPr>
                <w:rStyle w:val="Gvdemetni367pt0ptbolukbraklyor"/>
                <w:color w:val="auto"/>
                <w:sz w:val="18"/>
                <w:szCs w:val="18"/>
              </w:rPr>
              <w:t>360</w:t>
            </w:r>
          </w:p>
        </w:tc>
        <w:tc>
          <w:tcPr>
            <w:tcW w:w="1282" w:type="dxa"/>
            <w:shd w:val="clear" w:color="auto" w:fill="auto"/>
          </w:tcPr>
          <w:p w14:paraId="4E48C698" w14:textId="77777777" w:rsidR="00C54E4C" w:rsidRPr="00DE12A3" w:rsidRDefault="00C54E4C" w:rsidP="00C917D6">
            <w:pPr>
              <w:spacing w:before="120" w:after="120"/>
              <w:rPr>
                <w:rFonts w:cs="Times New Roman"/>
                <w:color w:val="auto"/>
                <w:sz w:val="18"/>
                <w:szCs w:val="18"/>
              </w:rPr>
            </w:pPr>
          </w:p>
        </w:tc>
        <w:tc>
          <w:tcPr>
            <w:tcW w:w="1517" w:type="dxa"/>
            <w:shd w:val="clear" w:color="auto" w:fill="auto"/>
          </w:tcPr>
          <w:p w14:paraId="58F78F0E" w14:textId="77777777" w:rsidR="00C54E4C" w:rsidRPr="00DE12A3" w:rsidRDefault="00C54E4C" w:rsidP="00C917D6">
            <w:pPr>
              <w:pStyle w:val="Gvdemetni360"/>
              <w:shd w:val="clear" w:color="auto" w:fill="auto"/>
              <w:spacing w:before="120" w:after="120" w:line="240" w:lineRule="auto"/>
              <w:ind w:firstLine="0"/>
              <w:jc w:val="center"/>
              <w:rPr>
                <w:sz w:val="18"/>
                <w:szCs w:val="18"/>
              </w:rPr>
            </w:pPr>
            <w:r w:rsidRPr="00DE12A3">
              <w:rPr>
                <w:rStyle w:val="Gvdemetni367pt0ptbolukbraklyor"/>
                <w:color w:val="auto"/>
                <w:sz w:val="18"/>
                <w:szCs w:val="18"/>
              </w:rPr>
              <w:t>EN ISO 7536</w:t>
            </w:r>
          </w:p>
        </w:tc>
      </w:tr>
      <w:tr w:rsidR="00DE12A3" w:rsidRPr="00DE12A3" w14:paraId="79E48AA2" w14:textId="77777777" w:rsidTr="00753EFD">
        <w:trPr>
          <w:trHeight w:hRule="exact" w:val="569"/>
          <w:jc w:val="center"/>
        </w:trPr>
        <w:tc>
          <w:tcPr>
            <w:tcW w:w="2424" w:type="dxa"/>
            <w:shd w:val="clear" w:color="auto" w:fill="auto"/>
          </w:tcPr>
          <w:p w14:paraId="7C02F2A6" w14:textId="77777777" w:rsidR="00C54E4C" w:rsidRPr="00DE12A3" w:rsidRDefault="00C54E4C" w:rsidP="00C917D6">
            <w:pPr>
              <w:pStyle w:val="Gvdemetni0"/>
              <w:shd w:val="clear" w:color="auto" w:fill="auto"/>
              <w:spacing w:before="120" w:after="120" w:line="240" w:lineRule="auto"/>
              <w:ind w:left="122" w:firstLine="0"/>
              <w:jc w:val="left"/>
              <w:rPr>
                <w:sz w:val="18"/>
              </w:rPr>
            </w:pPr>
            <w:r w:rsidRPr="00DE12A3">
              <w:rPr>
                <w:rStyle w:val="Gvdemetni95pt0ptbolukbraklyor"/>
                <w:color w:val="auto"/>
                <w:sz w:val="18"/>
              </w:rPr>
              <w:t>Mevcut yakıt artığı içeriği (çözücüyle yıkanmış)</w:t>
            </w:r>
          </w:p>
        </w:tc>
        <w:tc>
          <w:tcPr>
            <w:tcW w:w="1277" w:type="dxa"/>
            <w:shd w:val="clear" w:color="auto" w:fill="auto"/>
          </w:tcPr>
          <w:p w14:paraId="1823BEE5" w14:textId="77777777" w:rsidR="00C54E4C" w:rsidRPr="00DE12A3" w:rsidRDefault="00C54E4C" w:rsidP="00C917D6">
            <w:pPr>
              <w:pStyle w:val="Gvdemetni360"/>
              <w:shd w:val="clear" w:color="auto" w:fill="auto"/>
              <w:spacing w:before="120" w:after="120" w:line="240" w:lineRule="auto"/>
              <w:ind w:firstLine="0"/>
              <w:jc w:val="center"/>
              <w:rPr>
                <w:sz w:val="18"/>
                <w:szCs w:val="18"/>
              </w:rPr>
            </w:pPr>
            <w:r w:rsidRPr="00DE12A3">
              <w:rPr>
                <w:rStyle w:val="Gvdemetni367pt0ptbolukbraklyor"/>
                <w:color w:val="auto"/>
                <w:sz w:val="18"/>
                <w:szCs w:val="18"/>
              </w:rPr>
              <w:t>mg/100ml</w:t>
            </w:r>
          </w:p>
        </w:tc>
        <w:tc>
          <w:tcPr>
            <w:tcW w:w="1282" w:type="dxa"/>
            <w:shd w:val="clear" w:color="auto" w:fill="auto"/>
          </w:tcPr>
          <w:p w14:paraId="2E5F22F2" w14:textId="77777777" w:rsidR="00C54E4C" w:rsidRPr="00DE12A3" w:rsidRDefault="00C54E4C" w:rsidP="00C917D6">
            <w:pPr>
              <w:pStyle w:val="Gvdemetni360"/>
              <w:shd w:val="clear" w:color="auto" w:fill="auto"/>
              <w:spacing w:before="120" w:after="120" w:line="240" w:lineRule="auto"/>
              <w:ind w:firstLine="0"/>
              <w:jc w:val="center"/>
              <w:rPr>
                <w:sz w:val="18"/>
                <w:szCs w:val="18"/>
              </w:rPr>
            </w:pPr>
            <w:r w:rsidRPr="00DE12A3">
              <w:rPr>
                <w:rStyle w:val="Gvdemetni3675pt"/>
                <w:color w:val="auto"/>
                <w:sz w:val="18"/>
                <w:szCs w:val="18"/>
              </w:rPr>
              <w:t>—</w:t>
            </w:r>
          </w:p>
        </w:tc>
        <w:tc>
          <w:tcPr>
            <w:tcW w:w="1282" w:type="dxa"/>
            <w:shd w:val="clear" w:color="auto" w:fill="auto"/>
          </w:tcPr>
          <w:p w14:paraId="12CC69E5" w14:textId="77777777" w:rsidR="00C54E4C" w:rsidRPr="00DE12A3" w:rsidRDefault="00C54E4C" w:rsidP="00C917D6">
            <w:pPr>
              <w:pStyle w:val="Gvdemetni360"/>
              <w:shd w:val="clear" w:color="auto" w:fill="auto"/>
              <w:spacing w:before="120" w:after="120" w:line="240" w:lineRule="auto"/>
              <w:ind w:firstLine="0"/>
              <w:jc w:val="center"/>
              <w:rPr>
                <w:sz w:val="18"/>
                <w:szCs w:val="18"/>
              </w:rPr>
            </w:pPr>
            <w:r w:rsidRPr="00DE12A3">
              <w:rPr>
                <w:rStyle w:val="Gvdemetni367pt0ptbolukbraklyor"/>
                <w:color w:val="auto"/>
                <w:sz w:val="18"/>
                <w:szCs w:val="18"/>
              </w:rPr>
              <w:t>5</w:t>
            </w:r>
          </w:p>
        </w:tc>
        <w:tc>
          <w:tcPr>
            <w:tcW w:w="1517" w:type="dxa"/>
            <w:shd w:val="clear" w:color="auto" w:fill="auto"/>
          </w:tcPr>
          <w:p w14:paraId="470730B6" w14:textId="77777777" w:rsidR="00C54E4C" w:rsidRPr="00DE12A3" w:rsidRDefault="00C54E4C" w:rsidP="00C917D6">
            <w:pPr>
              <w:pStyle w:val="Gvdemetni360"/>
              <w:shd w:val="clear" w:color="auto" w:fill="auto"/>
              <w:spacing w:before="120" w:after="120" w:line="240" w:lineRule="auto"/>
              <w:ind w:firstLine="0"/>
              <w:jc w:val="center"/>
              <w:rPr>
                <w:sz w:val="18"/>
                <w:szCs w:val="18"/>
              </w:rPr>
            </w:pPr>
            <w:r w:rsidRPr="00DE12A3">
              <w:rPr>
                <w:rStyle w:val="Gvdemetni367pt0ptbolukbraklyor"/>
                <w:color w:val="auto"/>
                <w:sz w:val="18"/>
                <w:szCs w:val="18"/>
              </w:rPr>
              <w:t>EN-ISO 6246</w:t>
            </w:r>
          </w:p>
        </w:tc>
      </w:tr>
      <w:tr w:rsidR="00DE12A3" w:rsidRPr="00DE12A3" w14:paraId="3244BF14" w14:textId="77777777" w:rsidTr="00753EFD">
        <w:trPr>
          <w:trHeight w:hRule="exact" w:val="1114"/>
          <w:jc w:val="center"/>
        </w:trPr>
        <w:tc>
          <w:tcPr>
            <w:tcW w:w="2424" w:type="dxa"/>
            <w:shd w:val="clear" w:color="auto" w:fill="auto"/>
          </w:tcPr>
          <w:p w14:paraId="4FA764DB" w14:textId="77777777" w:rsidR="00C54E4C" w:rsidRPr="00DE12A3" w:rsidRDefault="00C54E4C" w:rsidP="00C917D6">
            <w:pPr>
              <w:pStyle w:val="Gvdemetni0"/>
              <w:shd w:val="clear" w:color="auto" w:fill="auto"/>
              <w:spacing w:before="120" w:after="120" w:line="240" w:lineRule="auto"/>
              <w:ind w:left="122" w:firstLine="0"/>
              <w:jc w:val="left"/>
              <w:rPr>
                <w:sz w:val="18"/>
              </w:rPr>
            </w:pPr>
            <w:r w:rsidRPr="00DE12A3">
              <w:rPr>
                <w:rStyle w:val="Gvdemetni95pt0ptbolukbraklyor"/>
                <w:color w:val="auto"/>
                <w:sz w:val="18"/>
              </w:rPr>
              <w:t>Görünüm</w:t>
            </w:r>
          </w:p>
          <w:p w14:paraId="63D51713" w14:textId="77777777" w:rsidR="00C54E4C" w:rsidRPr="00DE12A3" w:rsidRDefault="00C54E4C" w:rsidP="00C917D6">
            <w:pPr>
              <w:pStyle w:val="Gvdemetni0"/>
              <w:shd w:val="clear" w:color="auto" w:fill="auto"/>
              <w:spacing w:before="120" w:after="120" w:line="240" w:lineRule="auto"/>
              <w:ind w:left="122" w:firstLine="0"/>
              <w:jc w:val="left"/>
              <w:rPr>
                <w:sz w:val="18"/>
              </w:rPr>
            </w:pPr>
            <w:r w:rsidRPr="00DE12A3">
              <w:rPr>
                <w:rStyle w:val="Gvdemetni95pt0ptbolukbraklyor"/>
                <w:color w:val="auto"/>
                <w:sz w:val="18"/>
              </w:rPr>
              <w:t>Bu, hangisi daha yüksekse, ortam sıcaklığında veya 15 °C'de belirlenmelidir.</w:t>
            </w:r>
          </w:p>
        </w:tc>
        <w:tc>
          <w:tcPr>
            <w:tcW w:w="1277" w:type="dxa"/>
            <w:shd w:val="clear" w:color="auto" w:fill="auto"/>
          </w:tcPr>
          <w:p w14:paraId="00E314DD" w14:textId="77777777" w:rsidR="00C54E4C" w:rsidRPr="00DE12A3" w:rsidRDefault="00C54E4C" w:rsidP="00C917D6">
            <w:pPr>
              <w:spacing w:before="120" w:after="120"/>
              <w:rPr>
                <w:rFonts w:cs="Times New Roman"/>
                <w:color w:val="auto"/>
                <w:sz w:val="18"/>
                <w:szCs w:val="18"/>
              </w:rPr>
            </w:pPr>
          </w:p>
        </w:tc>
        <w:tc>
          <w:tcPr>
            <w:tcW w:w="2564" w:type="dxa"/>
            <w:gridSpan w:val="2"/>
            <w:shd w:val="clear" w:color="auto" w:fill="auto"/>
          </w:tcPr>
          <w:p w14:paraId="22A41769" w14:textId="77777777" w:rsidR="00C54E4C" w:rsidRPr="00DE12A3" w:rsidRDefault="00C54E4C" w:rsidP="00C917D6">
            <w:pPr>
              <w:pStyle w:val="Gvdemetni360"/>
              <w:shd w:val="clear" w:color="auto" w:fill="auto"/>
              <w:spacing w:before="120" w:after="120" w:line="240" w:lineRule="auto"/>
              <w:ind w:firstLine="0"/>
              <w:jc w:val="center"/>
              <w:rPr>
                <w:sz w:val="18"/>
                <w:szCs w:val="18"/>
              </w:rPr>
            </w:pPr>
            <w:r w:rsidRPr="00DE12A3">
              <w:rPr>
                <w:spacing w:val="3"/>
                <w:sz w:val="18"/>
                <w:szCs w:val="18"/>
              </w:rPr>
              <w:t>Temiz ve parlak, görünürde asılı veya çökmüş kirletici maddeler yok</w:t>
            </w:r>
          </w:p>
        </w:tc>
        <w:tc>
          <w:tcPr>
            <w:tcW w:w="1517" w:type="dxa"/>
            <w:shd w:val="clear" w:color="auto" w:fill="auto"/>
          </w:tcPr>
          <w:p w14:paraId="0C22E8AC" w14:textId="77777777" w:rsidR="00C54E4C" w:rsidRPr="00DE12A3" w:rsidRDefault="00C54E4C" w:rsidP="00C917D6">
            <w:pPr>
              <w:pStyle w:val="Gvdemetni360"/>
              <w:shd w:val="clear" w:color="auto" w:fill="auto"/>
              <w:spacing w:before="120" w:after="120" w:line="240" w:lineRule="auto"/>
              <w:ind w:firstLine="0"/>
              <w:jc w:val="center"/>
              <w:rPr>
                <w:sz w:val="18"/>
                <w:szCs w:val="18"/>
              </w:rPr>
            </w:pPr>
            <w:r w:rsidRPr="00DE12A3">
              <w:rPr>
                <w:spacing w:val="3"/>
                <w:sz w:val="18"/>
                <w:szCs w:val="18"/>
              </w:rPr>
              <w:t>Görsel muayene</w:t>
            </w:r>
          </w:p>
        </w:tc>
      </w:tr>
      <w:tr w:rsidR="00DE12A3" w:rsidRPr="00DE12A3" w14:paraId="3CF07BA0" w14:textId="77777777" w:rsidTr="00BF28FA">
        <w:trPr>
          <w:trHeight w:hRule="exact" w:val="940"/>
          <w:jc w:val="center"/>
        </w:trPr>
        <w:tc>
          <w:tcPr>
            <w:tcW w:w="2424" w:type="dxa"/>
            <w:shd w:val="clear" w:color="auto" w:fill="auto"/>
          </w:tcPr>
          <w:p w14:paraId="39226A18" w14:textId="77777777" w:rsidR="00C54E4C" w:rsidRPr="00DE12A3" w:rsidRDefault="00C54E4C" w:rsidP="000E3261">
            <w:pPr>
              <w:pStyle w:val="Gvdemetni0"/>
              <w:shd w:val="clear" w:color="auto" w:fill="auto"/>
              <w:spacing w:before="120" w:after="120" w:line="240" w:lineRule="auto"/>
              <w:ind w:left="122" w:firstLine="0"/>
              <w:jc w:val="left"/>
              <w:rPr>
                <w:sz w:val="18"/>
              </w:rPr>
            </w:pPr>
            <w:r w:rsidRPr="00DE12A3">
              <w:rPr>
                <w:rStyle w:val="Gvdemetni95pt0ptbolukbraklyor"/>
                <w:color w:val="auto"/>
                <w:sz w:val="18"/>
              </w:rPr>
              <w:t>Etanol ve daha yüksek alkoller (</w:t>
            </w:r>
            <w:r w:rsidRPr="00DE12A3">
              <w:rPr>
                <w:rStyle w:val="Gvdemetni95pt0ptbolukbraklyor"/>
                <w:color w:val="auto"/>
                <w:sz w:val="18"/>
                <w:vertAlign w:val="superscript"/>
              </w:rPr>
              <w:t>3</w:t>
            </w:r>
            <w:r w:rsidRPr="00DE12A3">
              <w:rPr>
                <w:rStyle w:val="Gvdemetni95pt0ptbolukbraklyor"/>
                <w:color w:val="auto"/>
                <w:sz w:val="18"/>
              </w:rPr>
              <w:t>)</w:t>
            </w:r>
          </w:p>
        </w:tc>
        <w:tc>
          <w:tcPr>
            <w:tcW w:w="1277" w:type="dxa"/>
            <w:shd w:val="clear" w:color="auto" w:fill="auto"/>
          </w:tcPr>
          <w:p w14:paraId="784CDCE1" w14:textId="77777777" w:rsidR="00C54E4C" w:rsidRPr="00DE12A3" w:rsidRDefault="00C54E4C" w:rsidP="00C917D6">
            <w:pPr>
              <w:pStyle w:val="Gvdemetni360"/>
              <w:shd w:val="clear" w:color="auto" w:fill="auto"/>
              <w:spacing w:before="120" w:after="120" w:line="240" w:lineRule="auto"/>
              <w:ind w:left="440" w:firstLine="0"/>
              <w:jc w:val="left"/>
              <w:rPr>
                <w:sz w:val="18"/>
                <w:szCs w:val="18"/>
              </w:rPr>
            </w:pPr>
            <w:r w:rsidRPr="00DE12A3">
              <w:rPr>
                <w:rStyle w:val="Gvdemetni367pt0ptbolukbraklyor"/>
                <w:color w:val="auto"/>
                <w:sz w:val="18"/>
                <w:szCs w:val="18"/>
              </w:rPr>
              <w:t>% v/v</w:t>
            </w:r>
          </w:p>
        </w:tc>
        <w:tc>
          <w:tcPr>
            <w:tcW w:w="1282" w:type="dxa"/>
            <w:shd w:val="clear" w:color="auto" w:fill="auto"/>
          </w:tcPr>
          <w:p w14:paraId="37C28C7D" w14:textId="77777777" w:rsidR="00C54E4C" w:rsidRPr="00DE12A3" w:rsidRDefault="00C54E4C" w:rsidP="00C917D6">
            <w:pPr>
              <w:pStyle w:val="Gvdemetni360"/>
              <w:shd w:val="clear" w:color="auto" w:fill="auto"/>
              <w:spacing w:before="120" w:after="120" w:line="240" w:lineRule="auto"/>
              <w:ind w:firstLine="0"/>
              <w:jc w:val="center"/>
              <w:rPr>
                <w:sz w:val="18"/>
                <w:szCs w:val="18"/>
              </w:rPr>
            </w:pPr>
            <w:r w:rsidRPr="00DE12A3">
              <w:rPr>
                <w:rStyle w:val="Gvdemetni367pt0ptbolukbraklyor"/>
                <w:color w:val="auto"/>
                <w:sz w:val="18"/>
                <w:szCs w:val="18"/>
              </w:rPr>
              <w:t>83</w:t>
            </w:r>
          </w:p>
        </w:tc>
        <w:tc>
          <w:tcPr>
            <w:tcW w:w="1282" w:type="dxa"/>
            <w:shd w:val="clear" w:color="auto" w:fill="auto"/>
          </w:tcPr>
          <w:p w14:paraId="3D946EDA" w14:textId="77777777" w:rsidR="00C54E4C" w:rsidRPr="00DE12A3" w:rsidRDefault="00C54E4C" w:rsidP="00C917D6">
            <w:pPr>
              <w:pStyle w:val="Gvdemetni360"/>
              <w:shd w:val="clear" w:color="auto" w:fill="auto"/>
              <w:spacing w:before="120" w:after="120" w:line="240" w:lineRule="auto"/>
              <w:ind w:firstLine="0"/>
              <w:jc w:val="center"/>
              <w:rPr>
                <w:sz w:val="18"/>
                <w:szCs w:val="18"/>
              </w:rPr>
            </w:pPr>
            <w:r w:rsidRPr="00DE12A3">
              <w:rPr>
                <w:rStyle w:val="Gvdemetni367pt0ptbolukbraklyor"/>
                <w:color w:val="auto"/>
                <w:sz w:val="18"/>
                <w:szCs w:val="18"/>
              </w:rPr>
              <w:t>85</w:t>
            </w:r>
          </w:p>
        </w:tc>
        <w:tc>
          <w:tcPr>
            <w:tcW w:w="1517" w:type="dxa"/>
            <w:shd w:val="clear" w:color="auto" w:fill="auto"/>
          </w:tcPr>
          <w:p w14:paraId="026D7A10" w14:textId="77777777" w:rsidR="00C54E4C" w:rsidRPr="00DE12A3" w:rsidRDefault="00C54E4C" w:rsidP="00C917D6">
            <w:pPr>
              <w:pStyle w:val="Gvdemetni360"/>
              <w:shd w:val="clear" w:color="auto" w:fill="auto"/>
              <w:spacing w:before="120" w:after="120" w:line="240" w:lineRule="auto"/>
              <w:ind w:firstLine="0"/>
              <w:rPr>
                <w:sz w:val="18"/>
                <w:szCs w:val="18"/>
              </w:rPr>
            </w:pPr>
            <w:r w:rsidRPr="00DE12A3">
              <w:rPr>
                <w:rStyle w:val="Gvdemetni367pt0ptbolukbraklyor"/>
                <w:color w:val="auto"/>
                <w:sz w:val="18"/>
                <w:szCs w:val="18"/>
              </w:rPr>
              <w:t>EN 1601 EN 13132 EN 14517 E DIN 51627-3</w:t>
            </w:r>
          </w:p>
        </w:tc>
      </w:tr>
      <w:tr w:rsidR="00DE12A3" w:rsidRPr="00DE12A3" w14:paraId="75122AE7" w14:textId="77777777" w:rsidTr="00BF28FA">
        <w:trPr>
          <w:trHeight w:hRule="exact" w:val="595"/>
          <w:jc w:val="center"/>
        </w:trPr>
        <w:tc>
          <w:tcPr>
            <w:tcW w:w="2424" w:type="dxa"/>
            <w:shd w:val="clear" w:color="auto" w:fill="auto"/>
          </w:tcPr>
          <w:p w14:paraId="70C36B5C" w14:textId="77777777" w:rsidR="00C54E4C" w:rsidRPr="00DE12A3" w:rsidRDefault="00C54E4C" w:rsidP="000E3261">
            <w:pPr>
              <w:pStyle w:val="Gvdemetni0"/>
              <w:shd w:val="clear" w:color="auto" w:fill="auto"/>
              <w:spacing w:before="120" w:after="120" w:line="240" w:lineRule="auto"/>
              <w:ind w:left="122" w:firstLine="0"/>
              <w:jc w:val="left"/>
              <w:rPr>
                <w:sz w:val="18"/>
              </w:rPr>
            </w:pPr>
            <w:r w:rsidRPr="00DE12A3">
              <w:rPr>
                <w:rStyle w:val="Gvdemetni95pt0ptbolukbraklyor"/>
                <w:color w:val="auto"/>
                <w:sz w:val="18"/>
              </w:rPr>
              <w:t>Daha yüksek alkoller (C</w:t>
            </w:r>
            <w:r w:rsidRPr="00DE12A3">
              <w:rPr>
                <w:rStyle w:val="Gvdemetni95pt0ptbolukbraklyor"/>
                <w:color w:val="auto"/>
                <w:sz w:val="18"/>
                <w:vertAlign w:val="subscript"/>
              </w:rPr>
              <w:t>3</w:t>
            </w:r>
            <w:r w:rsidRPr="00DE12A3">
              <w:rPr>
                <w:rStyle w:val="Gvdemetni95pt0ptbolukbraklyor"/>
                <w:color w:val="auto"/>
                <w:sz w:val="18"/>
              </w:rPr>
              <w:t>-C</w:t>
            </w:r>
            <w:r w:rsidRPr="00DE12A3">
              <w:rPr>
                <w:rStyle w:val="Gvdemetni95pt0ptbolukbraklyor"/>
                <w:color w:val="auto"/>
                <w:sz w:val="18"/>
                <w:vertAlign w:val="subscript"/>
              </w:rPr>
              <w:t>8</w:t>
            </w:r>
            <w:r w:rsidRPr="00DE12A3">
              <w:rPr>
                <w:rStyle w:val="Gvdemetni95pt0ptbolukbraklyor"/>
                <w:color w:val="auto"/>
                <w:sz w:val="18"/>
              </w:rPr>
              <w:t>)</w:t>
            </w:r>
          </w:p>
        </w:tc>
        <w:tc>
          <w:tcPr>
            <w:tcW w:w="1277" w:type="dxa"/>
            <w:shd w:val="clear" w:color="auto" w:fill="auto"/>
          </w:tcPr>
          <w:p w14:paraId="13FAAF25" w14:textId="77777777" w:rsidR="00C54E4C" w:rsidRPr="00DE12A3" w:rsidRDefault="00C54E4C" w:rsidP="00C917D6">
            <w:pPr>
              <w:pStyle w:val="Gvdemetni360"/>
              <w:shd w:val="clear" w:color="auto" w:fill="auto"/>
              <w:spacing w:before="120" w:after="120" w:line="240" w:lineRule="auto"/>
              <w:ind w:left="440" w:firstLine="0"/>
              <w:jc w:val="left"/>
              <w:rPr>
                <w:sz w:val="18"/>
                <w:szCs w:val="18"/>
              </w:rPr>
            </w:pPr>
            <w:r w:rsidRPr="00DE12A3">
              <w:rPr>
                <w:rStyle w:val="Gvdemetni367pt0ptbolukbraklyor"/>
                <w:color w:val="auto"/>
                <w:sz w:val="18"/>
                <w:szCs w:val="18"/>
              </w:rPr>
              <w:t>% v/v</w:t>
            </w:r>
          </w:p>
        </w:tc>
        <w:tc>
          <w:tcPr>
            <w:tcW w:w="1282" w:type="dxa"/>
            <w:shd w:val="clear" w:color="auto" w:fill="auto"/>
          </w:tcPr>
          <w:p w14:paraId="131DE8B3" w14:textId="77777777" w:rsidR="00C54E4C" w:rsidRPr="00DE12A3" w:rsidRDefault="00C54E4C" w:rsidP="00C917D6">
            <w:pPr>
              <w:pStyle w:val="Gvdemetni360"/>
              <w:shd w:val="clear" w:color="auto" w:fill="auto"/>
              <w:spacing w:before="120" w:after="120" w:line="240" w:lineRule="auto"/>
              <w:ind w:firstLine="0"/>
              <w:jc w:val="center"/>
              <w:rPr>
                <w:sz w:val="18"/>
                <w:szCs w:val="18"/>
              </w:rPr>
            </w:pPr>
            <w:r w:rsidRPr="00DE12A3">
              <w:rPr>
                <w:rStyle w:val="Gvdemetni3675pt"/>
                <w:color w:val="auto"/>
                <w:sz w:val="18"/>
                <w:szCs w:val="18"/>
              </w:rPr>
              <w:t>—</w:t>
            </w:r>
          </w:p>
        </w:tc>
        <w:tc>
          <w:tcPr>
            <w:tcW w:w="1282" w:type="dxa"/>
            <w:shd w:val="clear" w:color="auto" w:fill="auto"/>
          </w:tcPr>
          <w:p w14:paraId="7D74CEB9" w14:textId="77777777" w:rsidR="00C54E4C" w:rsidRPr="00DE12A3" w:rsidRDefault="00C54E4C" w:rsidP="00C917D6">
            <w:pPr>
              <w:pStyle w:val="Gvdemetni360"/>
              <w:shd w:val="clear" w:color="auto" w:fill="auto"/>
              <w:spacing w:before="120" w:after="120" w:line="240" w:lineRule="auto"/>
              <w:ind w:firstLine="0"/>
              <w:jc w:val="center"/>
              <w:rPr>
                <w:sz w:val="18"/>
                <w:szCs w:val="18"/>
              </w:rPr>
            </w:pPr>
            <w:r w:rsidRPr="00DE12A3">
              <w:rPr>
                <w:rStyle w:val="Gvdemetni3675pt0ptbolukbraklyor"/>
                <w:color w:val="auto"/>
                <w:sz w:val="18"/>
                <w:szCs w:val="18"/>
              </w:rPr>
              <w:t>2,0</w:t>
            </w:r>
          </w:p>
        </w:tc>
        <w:tc>
          <w:tcPr>
            <w:tcW w:w="1517" w:type="dxa"/>
            <w:shd w:val="clear" w:color="auto" w:fill="auto"/>
          </w:tcPr>
          <w:p w14:paraId="052B9C27" w14:textId="77777777" w:rsidR="00C54E4C" w:rsidRPr="00DE12A3" w:rsidRDefault="00C54E4C" w:rsidP="00C917D6">
            <w:pPr>
              <w:pStyle w:val="Gvdemetni360"/>
              <w:shd w:val="clear" w:color="auto" w:fill="auto"/>
              <w:spacing w:before="120" w:after="120" w:line="240" w:lineRule="auto"/>
              <w:ind w:firstLine="0"/>
              <w:jc w:val="center"/>
              <w:rPr>
                <w:sz w:val="18"/>
                <w:szCs w:val="18"/>
              </w:rPr>
            </w:pPr>
            <w:r w:rsidRPr="00DE12A3">
              <w:rPr>
                <w:rStyle w:val="Gvdemetni367pt0ptbolukbraklyor"/>
                <w:color w:val="auto"/>
                <w:sz w:val="18"/>
                <w:szCs w:val="18"/>
              </w:rPr>
              <w:t>E DIN 51627-3</w:t>
            </w:r>
          </w:p>
        </w:tc>
      </w:tr>
      <w:tr w:rsidR="00DE12A3" w:rsidRPr="00DE12A3" w14:paraId="10C1ED1B" w14:textId="77777777" w:rsidTr="00BF28FA">
        <w:trPr>
          <w:trHeight w:hRule="exact" w:val="419"/>
          <w:jc w:val="center"/>
        </w:trPr>
        <w:tc>
          <w:tcPr>
            <w:tcW w:w="2424" w:type="dxa"/>
            <w:shd w:val="clear" w:color="auto" w:fill="auto"/>
          </w:tcPr>
          <w:p w14:paraId="5504DC99" w14:textId="77777777" w:rsidR="00C54E4C" w:rsidRPr="00DE12A3" w:rsidRDefault="00C54E4C" w:rsidP="000E3261">
            <w:pPr>
              <w:pStyle w:val="Gvdemetni0"/>
              <w:shd w:val="clear" w:color="auto" w:fill="auto"/>
              <w:spacing w:before="120" w:after="120" w:line="240" w:lineRule="auto"/>
              <w:ind w:left="122" w:firstLine="0"/>
              <w:jc w:val="left"/>
              <w:rPr>
                <w:sz w:val="18"/>
              </w:rPr>
            </w:pPr>
            <w:r w:rsidRPr="00DE12A3">
              <w:rPr>
                <w:rStyle w:val="Gvdemetni95pt0ptbolukbraklyor"/>
                <w:color w:val="auto"/>
                <w:sz w:val="18"/>
              </w:rPr>
              <w:t>Metanol</w:t>
            </w:r>
          </w:p>
        </w:tc>
        <w:tc>
          <w:tcPr>
            <w:tcW w:w="1277" w:type="dxa"/>
            <w:shd w:val="clear" w:color="auto" w:fill="auto"/>
          </w:tcPr>
          <w:p w14:paraId="368FBD03" w14:textId="77777777" w:rsidR="00C54E4C" w:rsidRPr="00DE12A3" w:rsidRDefault="00C54E4C" w:rsidP="00C917D6">
            <w:pPr>
              <w:pStyle w:val="Gvdemetni360"/>
              <w:shd w:val="clear" w:color="auto" w:fill="auto"/>
              <w:spacing w:before="120" w:after="120" w:line="240" w:lineRule="auto"/>
              <w:ind w:left="440" w:firstLine="0"/>
              <w:jc w:val="left"/>
              <w:rPr>
                <w:sz w:val="18"/>
                <w:szCs w:val="18"/>
              </w:rPr>
            </w:pPr>
            <w:r w:rsidRPr="00DE12A3">
              <w:rPr>
                <w:rStyle w:val="Gvdemetni367pt0ptbolukbraklyor"/>
                <w:color w:val="auto"/>
                <w:sz w:val="18"/>
                <w:szCs w:val="18"/>
              </w:rPr>
              <w:t>% v/v</w:t>
            </w:r>
          </w:p>
        </w:tc>
        <w:tc>
          <w:tcPr>
            <w:tcW w:w="1282" w:type="dxa"/>
            <w:shd w:val="clear" w:color="auto" w:fill="auto"/>
          </w:tcPr>
          <w:p w14:paraId="4352F75A" w14:textId="77777777" w:rsidR="00C54E4C" w:rsidRPr="00DE12A3" w:rsidRDefault="00C54E4C" w:rsidP="00C917D6">
            <w:pPr>
              <w:spacing w:before="120" w:after="120"/>
              <w:rPr>
                <w:rFonts w:cs="Times New Roman"/>
                <w:color w:val="auto"/>
                <w:sz w:val="18"/>
                <w:szCs w:val="18"/>
              </w:rPr>
            </w:pPr>
          </w:p>
        </w:tc>
        <w:tc>
          <w:tcPr>
            <w:tcW w:w="1282" w:type="dxa"/>
            <w:shd w:val="clear" w:color="auto" w:fill="auto"/>
          </w:tcPr>
          <w:p w14:paraId="60E81AAD" w14:textId="77777777" w:rsidR="00C54E4C" w:rsidRPr="00DE12A3" w:rsidRDefault="00C54E4C" w:rsidP="00C917D6">
            <w:pPr>
              <w:pStyle w:val="Gvdemetni360"/>
              <w:shd w:val="clear" w:color="auto" w:fill="auto"/>
              <w:spacing w:before="120" w:after="120" w:line="240" w:lineRule="auto"/>
              <w:ind w:firstLine="0"/>
              <w:jc w:val="center"/>
              <w:rPr>
                <w:sz w:val="18"/>
                <w:szCs w:val="18"/>
              </w:rPr>
            </w:pPr>
            <w:r w:rsidRPr="00DE12A3">
              <w:rPr>
                <w:rStyle w:val="Gvdemetni367pt0ptbolukbraklyor"/>
                <w:color w:val="auto"/>
                <w:sz w:val="18"/>
                <w:szCs w:val="18"/>
              </w:rPr>
              <w:t>1,00</w:t>
            </w:r>
          </w:p>
        </w:tc>
        <w:tc>
          <w:tcPr>
            <w:tcW w:w="1517" w:type="dxa"/>
            <w:shd w:val="clear" w:color="auto" w:fill="auto"/>
          </w:tcPr>
          <w:p w14:paraId="435436AA" w14:textId="77777777" w:rsidR="00C54E4C" w:rsidRPr="00DE12A3" w:rsidRDefault="00C54E4C" w:rsidP="00C917D6">
            <w:pPr>
              <w:pStyle w:val="Gvdemetni360"/>
              <w:shd w:val="clear" w:color="auto" w:fill="auto"/>
              <w:spacing w:before="120" w:after="120" w:line="240" w:lineRule="auto"/>
              <w:ind w:firstLine="0"/>
              <w:jc w:val="center"/>
              <w:rPr>
                <w:sz w:val="18"/>
                <w:szCs w:val="18"/>
              </w:rPr>
            </w:pPr>
            <w:r w:rsidRPr="00DE12A3">
              <w:rPr>
                <w:rStyle w:val="Gvdemetni367pt0ptbolukbraklyor"/>
                <w:color w:val="auto"/>
                <w:sz w:val="18"/>
                <w:szCs w:val="18"/>
              </w:rPr>
              <w:t>E DIN 51627-3</w:t>
            </w:r>
          </w:p>
        </w:tc>
      </w:tr>
      <w:tr w:rsidR="00DE12A3" w:rsidRPr="00DE12A3" w14:paraId="53A1B727" w14:textId="77777777" w:rsidTr="00BF28FA">
        <w:trPr>
          <w:trHeight w:hRule="exact" w:val="425"/>
          <w:jc w:val="center"/>
        </w:trPr>
        <w:tc>
          <w:tcPr>
            <w:tcW w:w="2424" w:type="dxa"/>
            <w:shd w:val="clear" w:color="auto" w:fill="auto"/>
          </w:tcPr>
          <w:p w14:paraId="7AB1D403" w14:textId="77777777" w:rsidR="00C54E4C" w:rsidRPr="00DE12A3" w:rsidRDefault="00C54E4C" w:rsidP="000E3261">
            <w:pPr>
              <w:pStyle w:val="Gvdemetni0"/>
              <w:shd w:val="clear" w:color="auto" w:fill="auto"/>
              <w:spacing w:before="120" w:after="120" w:line="240" w:lineRule="auto"/>
              <w:ind w:left="122" w:firstLine="0"/>
              <w:jc w:val="left"/>
              <w:rPr>
                <w:sz w:val="18"/>
              </w:rPr>
            </w:pPr>
            <w:r w:rsidRPr="00DE12A3">
              <w:rPr>
                <w:rStyle w:val="Gvdemetni95pt0ptbolukbraklyor"/>
                <w:color w:val="auto"/>
                <w:sz w:val="18"/>
              </w:rPr>
              <w:t>Benzin (</w:t>
            </w:r>
            <w:r w:rsidRPr="00DE12A3">
              <w:rPr>
                <w:rStyle w:val="Gvdemetni95pt0ptbolukbraklyor"/>
                <w:color w:val="auto"/>
                <w:sz w:val="18"/>
                <w:vertAlign w:val="superscript"/>
              </w:rPr>
              <w:t>4</w:t>
            </w:r>
            <w:r w:rsidRPr="00DE12A3">
              <w:rPr>
                <w:rStyle w:val="Gvdemetni95pt0ptbolukbraklyor"/>
                <w:color w:val="auto"/>
                <w:sz w:val="18"/>
              </w:rPr>
              <w:t>)</w:t>
            </w:r>
          </w:p>
        </w:tc>
        <w:tc>
          <w:tcPr>
            <w:tcW w:w="1277" w:type="dxa"/>
            <w:shd w:val="clear" w:color="auto" w:fill="auto"/>
          </w:tcPr>
          <w:p w14:paraId="131F6191" w14:textId="77777777" w:rsidR="00C54E4C" w:rsidRPr="00DE12A3" w:rsidRDefault="00C54E4C" w:rsidP="00C917D6">
            <w:pPr>
              <w:pStyle w:val="Gvdemetni360"/>
              <w:shd w:val="clear" w:color="auto" w:fill="auto"/>
              <w:spacing w:before="120" w:after="120" w:line="240" w:lineRule="auto"/>
              <w:ind w:left="440" w:firstLine="0"/>
              <w:jc w:val="left"/>
              <w:rPr>
                <w:sz w:val="18"/>
                <w:szCs w:val="18"/>
              </w:rPr>
            </w:pPr>
            <w:r w:rsidRPr="00DE12A3">
              <w:rPr>
                <w:rStyle w:val="Gvdemetni367pt0ptbolukbraklyor"/>
                <w:color w:val="auto"/>
                <w:sz w:val="18"/>
                <w:szCs w:val="18"/>
              </w:rPr>
              <w:t>% v/v</w:t>
            </w:r>
          </w:p>
        </w:tc>
        <w:tc>
          <w:tcPr>
            <w:tcW w:w="2564" w:type="dxa"/>
            <w:gridSpan w:val="2"/>
            <w:shd w:val="clear" w:color="auto" w:fill="auto"/>
          </w:tcPr>
          <w:p w14:paraId="35EEAF80" w14:textId="77777777" w:rsidR="00C54E4C" w:rsidRPr="00DE12A3" w:rsidRDefault="00C54E4C" w:rsidP="00C917D6">
            <w:pPr>
              <w:pStyle w:val="Gvdemetni360"/>
              <w:shd w:val="clear" w:color="auto" w:fill="auto"/>
              <w:spacing w:before="120" w:after="120" w:line="240" w:lineRule="auto"/>
              <w:ind w:firstLine="0"/>
              <w:jc w:val="center"/>
              <w:rPr>
                <w:sz w:val="18"/>
                <w:szCs w:val="18"/>
              </w:rPr>
            </w:pPr>
            <w:r w:rsidRPr="00DE12A3">
              <w:rPr>
                <w:rStyle w:val="Gvdemetni367pt0ptbolukbraklyor"/>
                <w:color w:val="auto"/>
                <w:sz w:val="18"/>
                <w:szCs w:val="18"/>
              </w:rPr>
              <w:t>Denge</w:t>
            </w:r>
          </w:p>
        </w:tc>
        <w:tc>
          <w:tcPr>
            <w:tcW w:w="1517" w:type="dxa"/>
            <w:shd w:val="clear" w:color="auto" w:fill="auto"/>
          </w:tcPr>
          <w:p w14:paraId="20CF8157" w14:textId="77777777" w:rsidR="00C54E4C" w:rsidRPr="00DE12A3" w:rsidRDefault="00C54E4C" w:rsidP="00C917D6">
            <w:pPr>
              <w:pStyle w:val="Gvdemetni360"/>
              <w:shd w:val="clear" w:color="auto" w:fill="auto"/>
              <w:spacing w:before="120" w:after="120" w:line="240" w:lineRule="auto"/>
              <w:ind w:firstLine="0"/>
              <w:rPr>
                <w:sz w:val="18"/>
                <w:szCs w:val="18"/>
              </w:rPr>
            </w:pPr>
            <w:r w:rsidRPr="00DE12A3">
              <w:rPr>
                <w:rStyle w:val="Gvdemetni367pt0ptbolukbraklyor"/>
                <w:color w:val="auto"/>
                <w:sz w:val="18"/>
                <w:szCs w:val="18"/>
              </w:rPr>
              <w:t>EN 228</w:t>
            </w:r>
          </w:p>
        </w:tc>
      </w:tr>
      <w:tr w:rsidR="00DE12A3" w:rsidRPr="00DE12A3" w14:paraId="2FA8D809" w14:textId="77777777" w:rsidTr="00BF28FA">
        <w:trPr>
          <w:trHeight w:hRule="exact" w:val="432"/>
          <w:jc w:val="center"/>
        </w:trPr>
        <w:tc>
          <w:tcPr>
            <w:tcW w:w="2424" w:type="dxa"/>
            <w:shd w:val="clear" w:color="auto" w:fill="auto"/>
          </w:tcPr>
          <w:p w14:paraId="7DFC371E" w14:textId="77777777" w:rsidR="00C54E4C" w:rsidRPr="00DE12A3" w:rsidRDefault="00C54E4C" w:rsidP="000E3261">
            <w:pPr>
              <w:pStyle w:val="Gvdemetni0"/>
              <w:shd w:val="clear" w:color="auto" w:fill="auto"/>
              <w:spacing w:before="120" w:after="120" w:line="240" w:lineRule="auto"/>
              <w:ind w:left="122" w:firstLine="0"/>
              <w:jc w:val="left"/>
              <w:rPr>
                <w:sz w:val="18"/>
              </w:rPr>
            </w:pPr>
            <w:r w:rsidRPr="00DE12A3">
              <w:rPr>
                <w:rStyle w:val="Gvdemetni95pt0ptbolukbraklyor"/>
                <w:color w:val="auto"/>
                <w:sz w:val="18"/>
              </w:rPr>
              <w:t>Fosfor</w:t>
            </w:r>
          </w:p>
        </w:tc>
        <w:tc>
          <w:tcPr>
            <w:tcW w:w="1277" w:type="dxa"/>
            <w:shd w:val="clear" w:color="auto" w:fill="auto"/>
          </w:tcPr>
          <w:p w14:paraId="4FDB85F0" w14:textId="77777777" w:rsidR="00C54E4C" w:rsidRPr="00DE12A3" w:rsidRDefault="00C54E4C" w:rsidP="00C917D6">
            <w:pPr>
              <w:pStyle w:val="Gvdemetni360"/>
              <w:shd w:val="clear" w:color="auto" w:fill="auto"/>
              <w:spacing w:before="120" w:after="120" w:line="240" w:lineRule="auto"/>
              <w:ind w:left="440" w:firstLine="0"/>
              <w:jc w:val="left"/>
              <w:rPr>
                <w:sz w:val="18"/>
                <w:szCs w:val="18"/>
              </w:rPr>
            </w:pPr>
            <w:r w:rsidRPr="00DE12A3">
              <w:rPr>
                <w:rStyle w:val="Gvdemetni367pt0ptbolukbraklyor"/>
                <w:color w:val="auto"/>
                <w:sz w:val="18"/>
                <w:szCs w:val="18"/>
              </w:rPr>
              <w:t>mg/l</w:t>
            </w:r>
          </w:p>
        </w:tc>
        <w:tc>
          <w:tcPr>
            <w:tcW w:w="2564" w:type="dxa"/>
            <w:gridSpan w:val="2"/>
            <w:shd w:val="clear" w:color="auto" w:fill="auto"/>
          </w:tcPr>
          <w:p w14:paraId="33AE34C2" w14:textId="77777777" w:rsidR="00C54E4C" w:rsidRPr="00DE12A3" w:rsidRDefault="00C54E4C" w:rsidP="00C917D6">
            <w:pPr>
              <w:pStyle w:val="Gvdemetni360"/>
              <w:shd w:val="clear" w:color="auto" w:fill="auto"/>
              <w:spacing w:before="120" w:after="120" w:line="240" w:lineRule="auto"/>
              <w:ind w:firstLine="0"/>
              <w:jc w:val="center"/>
              <w:rPr>
                <w:sz w:val="18"/>
                <w:szCs w:val="18"/>
              </w:rPr>
            </w:pPr>
            <w:r w:rsidRPr="00DE12A3">
              <w:rPr>
                <w:rStyle w:val="Gvdemetni3665pt0ptbolukbraklyor"/>
                <w:color w:val="auto"/>
                <w:sz w:val="18"/>
                <w:szCs w:val="18"/>
              </w:rPr>
              <w:t>0,20</w:t>
            </w:r>
            <w:r w:rsidRPr="00DE12A3">
              <w:rPr>
                <w:rStyle w:val="Gvdemetni3665ptKaln0ptbolukbraklyor"/>
                <w:color w:val="auto"/>
                <w:sz w:val="18"/>
                <w:szCs w:val="18"/>
              </w:rPr>
              <w:t xml:space="preserve"> (</w:t>
            </w:r>
            <w:r w:rsidRPr="00DE12A3">
              <w:rPr>
                <w:rStyle w:val="Gvdemetni3665ptKaln0ptbolukbraklyor"/>
                <w:color w:val="auto"/>
                <w:sz w:val="18"/>
                <w:szCs w:val="18"/>
                <w:vertAlign w:val="superscript"/>
              </w:rPr>
              <w:t>5</w:t>
            </w:r>
            <w:r w:rsidRPr="00DE12A3">
              <w:rPr>
                <w:rStyle w:val="Gvdemetni3665ptKaln0ptbolukbraklyor"/>
                <w:color w:val="auto"/>
                <w:sz w:val="18"/>
                <w:szCs w:val="18"/>
              </w:rPr>
              <w:t>)</w:t>
            </w:r>
          </w:p>
        </w:tc>
        <w:tc>
          <w:tcPr>
            <w:tcW w:w="1517" w:type="dxa"/>
            <w:shd w:val="clear" w:color="auto" w:fill="auto"/>
          </w:tcPr>
          <w:p w14:paraId="3D2AD7E2" w14:textId="77777777" w:rsidR="00C54E4C" w:rsidRPr="00DE12A3" w:rsidRDefault="00C54E4C" w:rsidP="00C917D6">
            <w:pPr>
              <w:pStyle w:val="Gvdemetni360"/>
              <w:shd w:val="clear" w:color="auto" w:fill="auto"/>
              <w:spacing w:before="120" w:after="120" w:line="240" w:lineRule="auto"/>
              <w:ind w:firstLine="0"/>
              <w:rPr>
                <w:sz w:val="18"/>
                <w:szCs w:val="18"/>
              </w:rPr>
            </w:pPr>
            <w:r w:rsidRPr="00DE12A3">
              <w:rPr>
                <w:rStyle w:val="Gvdemetni367pt0ptbolukbraklyor"/>
                <w:color w:val="auto"/>
                <w:sz w:val="18"/>
                <w:szCs w:val="18"/>
              </w:rPr>
              <w:t>EN 15487</w:t>
            </w:r>
          </w:p>
        </w:tc>
      </w:tr>
      <w:tr w:rsidR="00DE12A3" w:rsidRPr="00DE12A3" w14:paraId="56B7CC7C" w14:textId="77777777" w:rsidTr="00DF309C">
        <w:trPr>
          <w:trHeight w:hRule="exact" w:val="631"/>
          <w:jc w:val="center"/>
        </w:trPr>
        <w:tc>
          <w:tcPr>
            <w:tcW w:w="2424" w:type="dxa"/>
            <w:shd w:val="clear" w:color="auto" w:fill="auto"/>
          </w:tcPr>
          <w:p w14:paraId="7B74B06D" w14:textId="77777777" w:rsidR="00C54E4C" w:rsidRPr="00DE12A3" w:rsidRDefault="00C54E4C" w:rsidP="000E3261">
            <w:pPr>
              <w:pStyle w:val="Gvdemetni0"/>
              <w:shd w:val="clear" w:color="auto" w:fill="auto"/>
              <w:spacing w:before="120" w:after="120" w:line="240" w:lineRule="auto"/>
              <w:ind w:left="122" w:firstLine="0"/>
              <w:jc w:val="left"/>
              <w:rPr>
                <w:sz w:val="18"/>
              </w:rPr>
            </w:pPr>
            <w:r w:rsidRPr="00DE12A3">
              <w:rPr>
                <w:rStyle w:val="Gvdemetni95pt0ptbolukbraklyor"/>
                <w:color w:val="auto"/>
                <w:sz w:val="18"/>
              </w:rPr>
              <w:t>Su içeriği</w:t>
            </w:r>
          </w:p>
        </w:tc>
        <w:tc>
          <w:tcPr>
            <w:tcW w:w="1277" w:type="dxa"/>
            <w:shd w:val="clear" w:color="auto" w:fill="auto"/>
          </w:tcPr>
          <w:p w14:paraId="46A139A9" w14:textId="77777777" w:rsidR="00C54E4C" w:rsidRPr="00DE12A3" w:rsidRDefault="00C54E4C" w:rsidP="00C917D6">
            <w:pPr>
              <w:pStyle w:val="Gvdemetni360"/>
              <w:shd w:val="clear" w:color="auto" w:fill="auto"/>
              <w:spacing w:before="120" w:after="120" w:line="240" w:lineRule="auto"/>
              <w:ind w:left="440" w:firstLine="0"/>
              <w:jc w:val="left"/>
              <w:rPr>
                <w:sz w:val="18"/>
                <w:szCs w:val="18"/>
              </w:rPr>
            </w:pPr>
            <w:r w:rsidRPr="00DE12A3">
              <w:rPr>
                <w:rStyle w:val="Gvdemetni367pt0ptbolukbraklyor"/>
                <w:color w:val="auto"/>
                <w:sz w:val="18"/>
                <w:szCs w:val="18"/>
              </w:rPr>
              <w:t>% v/v</w:t>
            </w:r>
          </w:p>
        </w:tc>
        <w:tc>
          <w:tcPr>
            <w:tcW w:w="1282" w:type="dxa"/>
            <w:shd w:val="clear" w:color="auto" w:fill="auto"/>
          </w:tcPr>
          <w:p w14:paraId="322DF02C" w14:textId="77777777" w:rsidR="00C54E4C" w:rsidRPr="00DE12A3" w:rsidRDefault="00C54E4C" w:rsidP="00C917D6">
            <w:pPr>
              <w:spacing w:before="120" w:after="120"/>
              <w:rPr>
                <w:rFonts w:cs="Times New Roman"/>
                <w:color w:val="auto"/>
                <w:sz w:val="18"/>
                <w:szCs w:val="18"/>
              </w:rPr>
            </w:pPr>
          </w:p>
        </w:tc>
        <w:tc>
          <w:tcPr>
            <w:tcW w:w="1282" w:type="dxa"/>
            <w:shd w:val="clear" w:color="auto" w:fill="auto"/>
          </w:tcPr>
          <w:p w14:paraId="2763916A" w14:textId="77777777" w:rsidR="00C54E4C" w:rsidRPr="00DE12A3" w:rsidRDefault="00C54E4C" w:rsidP="00C917D6">
            <w:pPr>
              <w:pStyle w:val="Gvdemetni360"/>
              <w:shd w:val="clear" w:color="auto" w:fill="auto"/>
              <w:spacing w:before="120" w:after="120" w:line="240" w:lineRule="auto"/>
              <w:ind w:firstLine="0"/>
              <w:jc w:val="center"/>
              <w:rPr>
                <w:sz w:val="18"/>
                <w:szCs w:val="18"/>
              </w:rPr>
            </w:pPr>
            <w:r w:rsidRPr="00DE12A3">
              <w:rPr>
                <w:rStyle w:val="Gvdemetni367pt0ptbolukbraklyor"/>
                <w:color w:val="auto"/>
                <w:sz w:val="18"/>
                <w:szCs w:val="18"/>
              </w:rPr>
              <w:t>0,300</w:t>
            </w:r>
          </w:p>
        </w:tc>
        <w:tc>
          <w:tcPr>
            <w:tcW w:w="1517" w:type="dxa"/>
            <w:shd w:val="clear" w:color="auto" w:fill="auto"/>
          </w:tcPr>
          <w:p w14:paraId="31CE69A6" w14:textId="27048682" w:rsidR="00C54E4C" w:rsidRPr="00DE12A3" w:rsidRDefault="00C54E4C" w:rsidP="00C917D6">
            <w:pPr>
              <w:pStyle w:val="Gvdemetni360"/>
              <w:shd w:val="clear" w:color="auto" w:fill="auto"/>
              <w:spacing w:before="120" w:after="120" w:line="240" w:lineRule="auto"/>
              <w:ind w:firstLine="0"/>
              <w:rPr>
                <w:sz w:val="18"/>
                <w:szCs w:val="18"/>
              </w:rPr>
            </w:pPr>
            <w:r w:rsidRPr="00DE12A3">
              <w:rPr>
                <w:rStyle w:val="Gvdemetni367pt0ptbolukbraklyor"/>
                <w:color w:val="auto"/>
                <w:sz w:val="18"/>
                <w:szCs w:val="18"/>
              </w:rPr>
              <w:t xml:space="preserve">EN 15489 </w:t>
            </w:r>
            <w:r w:rsidR="00C13CC7" w:rsidRPr="00DE12A3">
              <w:rPr>
                <w:rStyle w:val="Gvdemetni367pt0ptbolukbraklyor"/>
                <w:color w:val="auto"/>
                <w:sz w:val="18"/>
                <w:szCs w:val="18"/>
              </w:rPr>
              <w:t>veya</w:t>
            </w:r>
            <w:r w:rsidRPr="00DE12A3">
              <w:rPr>
                <w:rStyle w:val="Gvdemetni367pt0ptbolukbraklyor"/>
                <w:color w:val="auto"/>
                <w:sz w:val="18"/>
                <w:szCs w:val="18"/>
              </w:rPr>
              <w:t xml:space="preserve"> EN 15692</w:t>
            </w:r>
          </w:p>
        </w:tc>
      </w:tr>
      <w:tr w:rsidR="00DE12A3" w:rsidRPr="00DE12A3" w14:paraId="3C1FFC66" w14:textId="77777777" w:rsidTr="00BF28FA">
        <w:trPr>
          <w:trHeight w:hRule="exact" w:val="557"/>
          <w:jc w:val="center"/>
        </w:trPr>
        <w:tc>
          <w:tcPr>
            <w:tcW w:w="2424" w:type="dxa"/>
            <w:shd w:val="clear" w:color="auto" w:fill="auto"/>
          </w:tcPr>
          <w:p w14:paraId="642CA050" w14:textId="77777777" w:rsidR="00C54E4C" w:rsidRPr="00DE12A3" w:rsidRDefault="00C54E4C" w:rsidP="000E3261">
            <w:pPr>
              <w:pStyle w:val="Gvdemetni0"/>
              <w:shd w:val="clear" w:color="auto" w:fill="auto"/>
              <w:spacing w:before="120" w:after="120" w:line="240" w:lineRule="auto"/>
              <w:ind w:left="122" w:firstLine="0"/>
              <w:jc w:val="left"/>
              <w:rPr>
                <w:sz w:val="18"/>
              </w:rPr>
            </w:pPr>
            <w:r w:rsidRPr="00DE12A3">
              <w:rPr>
                <w:rStyle w:val="Gvdemetni95pt0ptbolukbraklyor"/>
                <w:color w:val="auto"/>
                <w:sz w:val="18"/>
              </w:rPr>
              <w:t>İnorganik klorür içeriği</w:t>
            </w:r>
          </w:p>
        </w:tc>
        <w:tc>
          <w:tcPr>
            <w:tcW w:w="1277" w:type="dxa"/>
            <w:shd w:val="clear" w:color="auto" w:fill="auto"/>
          </w:tcPr>
          <w:p w14:paraId="1F0F1327" w14:textId="77777777" w:rsidR="00C54E4C" w:rsidRPr="00DE12A3" w:rsidRDefault="00C54E4C" w:rsidP="00C917D6">
            <w:pPr>
              <w:pStyle w:val="Gvdemetni360"/>
              <w:shd w:val="clear" w:color="auto" w:fill="auto"/>
              <w:spacing w:before="120" w:after="120" w:line="240" w:lineRule="auto"/>
              <w:ind w:left="440" w:firstLine="0"/>
              <w:jc w:val="left"/>
              <w:rPr>
                <w:sz w:val="18"/>
                <w:szCs w:val="18"/>
              </w:rPr>
            </w:pPr>
            <w:r w:rsidRPr="00DE12A3">
              <w:rPr>
                <w:rStyle w:val="Gvdemetni367pt0ptbolukbraklyor"/>
                <w:color w:val="auto"/>
                <w:sz w:val="18"/>
                <w:szCs w:val="18"/>
              </w:rPr>
              <w:t>mg/l</w:t>
            </w:r>
          </w:p>
        </w:tc>
        <w:tc>
          <w:tcPr>
            <w:tcW w:w="1282" w:type="dxa"/>
            <w:shd w:val="clear" w:color="auto" w:fill="auto"/>
          </w:tcPr>
          <w:p w14:paraId="205E7CD6" w14:textId="77777777" w:rsidR="00C54E4C" w:rsidRPr="00DE12A3" w:rsidRDefault="00C54E4C" w:rsidP="00C917D6">
            <w:pPr>
              <w:spacing w:before="120" w:after="120"/>
              <w:rPr>
                <w:rFonts w:cs="Times New Roman"/>
                <w:color w:val="auto"/>
                <w:sz w:val="18"/>
                <w:szCs w:val="18"/>
              </w:rPr>
            </w:pPr>
          </w:p>
        </w:tc>
        <w:tc>
          <w:tcPr>
            <w:tcW w:w="1282" w:type="dxa"/>
            <w:shd w:val="clear" w:color="auto" w:fill="auto"/>
          </w:tcPr>
          <w:p w14:paraId="63E7E406" w14:textId="77777777" w:rsidR="00C54E4C" w:rsidRPr="00DE12A3" w:rsidRDefault="00C54E4C" w:rsidP="00C917D6">
            <w:pPr>
              <w:pStyle w:val="Gvdemetni360"/>
              <w:shd w:val="clear" w:color="auto" w:fill="auto"/>
              <w:spacing w:before="120" w:after="120" w:line="240" w:lineRule="auto"/>
              <w:ind w:firstLine="0"/>
              <w:jc w:val="center"/>
              <w:rPr>
                <w:sz w:val="18"/>
                <w:szCs w:val="18"/>
              </w:rPr>
            </w:pPr>
            <w:r w:rsidRPr="00DE12A3">
              <w:rPr>
                <w:rStyle w:val="Gvdemetni367pt"/>
                <w:color w:val="auto"/>
                <w:sz w:val="18"/>
                <w:szCs w:val="18"/>
              </w:rPr>
              <w:t>1</w:t>
            </w:r>
          </w:p>
        </w:tc>
        <w:tc>
          <w:tcPr>
            <w:tcW w:w="1517" w:type="dxa"/>
            <w:shd w:val="clear" w:color="auto" w:fill="auto"/>
          </w:tcPr>
          <w:p w14:paraId="5223A28E" w14:textId="77777777" w:rsidR="00C54E4C" w:rsidRPr="00DE12A3" w:rsidRDefault="00C54E4C" w:rsidP="00C917D6">
            <w:pPr>
              <w:pStyle w:val="Gvdemetni360"/>
              <w:shd w:val="clear" w:color="auto" w:fill="auto"/>
              <w:spacing w:before="120" w:after="120" w:line="240" w:lineRule="auto"/>
              <w:ind w:firstLine="0"/>
              <w:rPr>
                <w:sz w:val="18"/>
                <w:szCs w:val="18"/>
              </w:rPr>
            </w:pPr>
            <w:r w:rsidRPr="00DE12A3">
              <w:rPr>
                <w:rStyle w:val="Gvdemetni367pt0ptbolukbraklyor"/>
                <w:color w:val="auto"/>
                <w:sz w:val="18"/>
                <w:szCs w:val="18"/>
              </w:rPr>
              <w:t>EN 15492</w:t>
            </w:r>
          </w:p>
        </w:tc>
      </w:tr>
      <w:tr w:rsidR="00DE12A3" w:rsidRPr="00DE12A3" w14:paraId="31305D41" w14:textId="77777777" w:rsidTr="00BF28FA">
        <w:trPr>
          <w:trHeight w:hRule="exact" w:val="409"/>
          <w:jc w:val="center"/>
        </w:trPr>
        <w:tc>
          <w:tcPr>
            <w:tcW w:w="2424" w:type="dxa"/>
            <w:shd w:val="clear" w:color="auto" w:fill="auto"/>
          </w:tcPr>
          <w:p w14:paraId="3222B497" w14:textId="77777777" w:rsidR="00C54E4C" w:rsidRPr="00DE12A3" w:rsidRDefault="00C54E4C" w:rsidP="000E3261">
            <w:pPr>
              <w:pStyle w:val="Gvdemetni0"/>
              <w:shd w:val="clear" w:color="auto" w:fill="auto"/>
              <w:spacing w:before="120" w:after="120" w:line="240" w:lineRule="auto"/>
              <w:ind w:left="122" w:firstLine="0"/>
              <w:jc w:val="left"/>
              <w:rPr>
                <w:sz w:val="18"/>
              </w:rPr>
            </w:pPr>
            <w:r w:rsidRPr="00DE12A3">
              <w:rPr>
                <w:rStyle w:val="Gvdemetni95pt0ptbolukbraklyor"/>
                <w:color w:val="auto"/>
                <w:sz w:val="18"/>
              </w:rPr>
              <w:t>pHe</w:t>
            </w:r>
          </w:p>
        </w:tc>
        <w:tc>
          <w:tcPr>
            <w:tcW w:w="1277" w:type="dxa"/>
            <w:shd w:val="clear" w:color="auto" w:fill="auto"/>
          </w:tcPr>
          <w:p w14:paraId="7876CF08" w14:textId="77777777" w:rsidR="00C54E4C" w:rsidRPr="00DE12A3" w:rsidRDefault="00C54E4C" w:rsidP="00C917D6">
            <w:pPr>
              <w:spacing w:before="120" w:after="120"/>
              <w:rPr>
                <w:rFonts w:cs="Times New Roman"/>
                <w:color w:val="auto"/>
                <w:sz w:val="18"/>
                <w:szCs w:val="18"/>
              </w:rPr>
            </w:pPr>
          </w:p>
        </w:tc>
        <w:tc>
          <w:tcPr>
            <w:tcW w:w="1282" w:type="dxa"/>
            <w:shd w:val="clear" w:color="auto" w:fill="auto"/>
          </w:tcPr>
          <w:p w14:paraId="00F15F5F" w14:textId="77777777" w:rsidR="00C54E4C" w:rsidRPr="00DE12A3" w:rsidRDefault="00C54E4C" w:rsidP="00C917D6">
            <w:pPr>
              <w:pStyle w:val="Gvdemetni360"/>
              <w:shd w:val="clear" w:color="auto" w:fill="auto"/>
              <w:spacing w:before="120" w:after="120" w:line="240" w:lineRule="auto"/>
              <w:ind w:firstLine="0"/>
              <w:jc w:val="center"/>
              <w:rPr>
                <w:sz w:val="18"/>
                <w:szCs w:val="18"/>
              </w:rPr>
            </w:pPr>
            <w:r w:rsidRPr="00DE12A3">
              <w:rPr>
                <w:rStyle w:val="Gvdemetni367pt0ptbolukbraklyor"/>
                <w:color w:val="auto"/>
                <w:sz w:val="18"/>
                <w:szCs w:val="18"/>
              </w:rPr>
              <w:t>6,5</w:t>
            </w:r>
          </w:p>
        </w:tc>
        <w:tc>
          <w:tcPr>
            <w:tcW w:w="1282" w:type="dxa"/>
            <w:shd w:val="clear" w:color="auto" w:fill="auto"/>
          </w:tcPr>
          <w:p w14:paraId="46E45D8F" w14:textId="77777777" w:rsidR="00C54E4C" w:rsidRPr="00DE12A3" w:rsidRDefault="00C54E4C" w:rsidP="00C917D6">
            <w:pPr>
              <w:pStyle w:val="Gvdemetni360"/>
              <w:shd w:val="clear" w:color="auto" w:fill="auto"/>
              <w:spacing w:before="120" w:after="120" w:line="240" w:lineRule="auto"/>
              <w:ind w:firstLine="0"/>
              <w:jc w:val="center"/>
              <w:rPr>
                <w:sz w:val="18"/>
                <w:szCs w:val="18"/>
              </w:rPr>
            </w:pPr>
            <w:r w:rsidRPr="00DE12A3">
              <w:rPr>
                <w:rStyle w:val="Gvdemetni367pt0ptbolukbraklyor"/>
                <w:color w:val="auto"/>
                <w:sz w:val="18"/>
                <w:szCs w:val="18"/>
              </w:rPr>
              <w:t>9,0</w:t>
            </w:r>
          </w:p>
        </w:tc>
        <w:tc>
          <w:tcPr>
            <w:tcW w:w="1517" w:type="dxa"/>
            <w:shd w:val="clear" w:color="auto" w:fill="auto"/>
          </w:tcPr>
          <w:p w14:paraId="41E60A92" w14:textId="77777777" w:rsidR="00C54E4C" w:rsidRPr="00DE12A3" w:rsidRDefault="00C54E4C" w:rsidP="00C917D6">
            <w:pPr>
              <w:pStyle w:val="Gvdemetni360"/>
              <w:shd w:val="clear" w:color="auto" w:fill="auto"/>
              <w:spacing w:before="120" w:after="120" w:line="240" w:lineRule="auto"/>
              <w:ind w:firstLine="0"/>
              <w:rPr>
                <w:sz w:val="18"/>
                <w:szCs w:val="18"/>
              </w:rPr>
            </w:pPr>
            <w:r w:rsidRPr="00DE12A3">
              <w:rPr>
                <w:rStyle w:val="Gvdemetni367pt0ptbolukbraklyor"/>
                <w:color w:val="auto"/>
                <w:sz w:val="18"/>
                <w:szCs w:val="18"/>
              </w:rPr>
              <w:t>EN 15490</w:t>
            </w:r>
          </w:p>
        </w:tc>
      </w:tr>
      <w:tr w:rsidR="00DE12A3" w:rsidRPr="00DE12A3" w14:paraId="3B077734" w14:textId="77777777" w:rsidTr="00BF28FA">
        <w:trPr>
          <w:trHeight w:hRule="exact" w:val="571"/>
          <w:jc w:val="center"/>
        </w:trPr>
        <w:tc>
          <w:tcPr>
            <w:tcW w:w="2424" w:type="dxa"/>
            <w:shd w:val="clear" w:color="auto" w:fill="auto"/>
          </w:tcPr>
          <w:p w14:paraId="277654C4" w14:textId="77777777" w:rsidR="00C54E4C" w:rsidRPr="00DE12A3" w:rsidRDefault="00C54E4C" w:rsidP="000E3261">
            <w:pPr>
              <w:pStyle w:val="Gvdemetni0"/>
              <w:shd w:val="clear" w:color="auto" w:fill="auto"/>
              <w:spacing w:before="120" w:after="120" w:line="240" w:lineRule="auto"/>
              <w:ind w:left="122" w:firstLine="0"/>
              <w:jc w:val="left"/>
              <w:rPr>
                <w:sz w:val="18"/>
              </w:rPr>
            </w:pPr>
            <w:r w:rsidRPr="00DE12A3">
              <w:rPr>
                <w:rStyle w:val="Gvdemetni95pt0ptbolukbraklyor"/>
                <w:color w:val="auto"/>
                <w:sz w:val="18"/>
              </w:rPr>
              <w:t>Bakır şerit korozyonu (50 °C'de 3 saat)</w:t>
            </w:r>
          </w:p>
        </w:tc>
        <w:tc>
          <w:tcPr>
            <w:tcW w:w="1277" w:type="dxa"/>
            <w:shd w:val="clear" w:color="auto" w:fill="auto"/>
          </w:tcPr>
          <w:p w14:paraId="019EA7FE" w14:textId="77777777" w:rsidR="00C54E4C" w:rsidRPr="00DE12A3" w:rsidRDefault="00C54E4C" w:rsidP="00C917D6">
            <w:pPr>
              <w:pStyle w:val="Gvdemetni360"/>
              <w:shd w:val="clear" w:color="auto" w:fill="auto"/>
              <w:spacing w:before="120" w:after="120" w:line="240" w:lineRule="auto"/>
              <w:ind w:left="440" w:firstLine="0"/>
              <w:jc w:val="left"/>
              <w:rPr>
                <w:sz w:val="18"/>
                <w:szCs w:val="18"/>
              </w:rPr>
            </w:pPr>
            <w:r w:rsidRPr="00DE12A3">
              <w:rPr>
                <w:rStyle w:val="Gvdemetni367pt0ptbolukbraklyor"/>
                <w:color w:val="auto"/>
                <w:sz w:val="18"/>
                <w:szCs w:val="18"/>
              </w:rPr>
              <w:t>Rating</w:t>
            </w:r>
          </w:p>
        </w:tc>
        <w:tc>
          <w:tcPr>
            <w:tcW w:w="1282" w:type="dxa"/>
            <w:shd w:val="clear" w:color="auto" w:fill="auto"/>
          </w:tcPr>
          <w:p w14:paraId="3E9F6502" w14:textId="77777777" w:rsidR="00C54E4C" w:rsidRPr="00DE12A3" w:rsidRDefault="00C54E4C" w:rsidP="00C917D6">
            <w:pPr>
              <w:pStyle w:val="Gvdemetni360"/>
              <w:shd w:val="clear" w:color="auto" w:fill="auto"/>
              <w:spacing w:before="120" w:after="120" w:line="240" w:lineRule="auto"/>
              <w:ind w:firstLine="0"/>
              <w:jc w:val="center"/>
              <w:rPr>
                <w:sz w:val="18"/>
                <w:szCs w:val="18"/>
              </w:rPr>
            </w:pPr>
            <w:r w:rsidRPr="00DE12A3">
              <w:rPr>
                <w:rStyle w:val="Gvdemetni367pt0ptbolukbraklyor"/>
                <w:color w:val="auto"/>
                <w:sz w:val="18"/>
                <w:szCs w:val="18"/>
              </w:rPr>
              <w:t>Class 1</w:t>
            </w:r>
          </w:p>
        </w:tc>
        <w:tc>
          <w:tcPr>
            <w:tcW w:w="1282" w:type="dxa"/>
            <w:shd w:val="clear" w:color="auto" w:fill="auto"/>
          </w:tcPr>
          <w:p w14:paraId="03F2DE3D" w14:textId="77777777" w:rsidR="00C54E4C" w:rsidRPr="00DE12A3" w:rsidRDefault="00C54E4C" w:rsidP="00C917D6">
            <w:pPr>
              <w:spacing w:before="120" w:after="120"/>
              <w:rPr>
                <w:rFonts w:cs="Times New Roman"/>
                <w:color w:val="auto"/>
                <w:sz w:val="18"/>
                <w:szCs w:val="18"/>
              </w:rPr>
            </w:pPr>
          </w:p>
        </w:tc>
        <w:tc>
          <w:tcPr>
            <w:tcW w:w="1517" w:type="dxa"/>
            <w:shd w:val="clear" w:color="auto" w:fill="auto"/>
          </w:tcPr>
          <w:p w14:paraId="1744874E" w14:textId="77777777" w:rsidR="00C54E4C" w:rsidRPr="00DE12A3" w:rsidRDefault="00C54E4C" w:rsidP="00C917D6">
            <w:pPr>
              <w:pStyle w:val="Gvdemetni360"/>
              <w:shd w:val="clear" w:color="auto" w:fill="auto"/>
              <w:spacing w:before="120" w:after="120" w:line="240" w:lineRule="auto"/>
              <w:ind w:firstLine="0"/>
              <w:rPr>
                <w:sz w:val="18"/>
                <w:szCs w:val="18"/>
              </w:rPr>
            </w:pPr>
            <w:r w:rsidRPr="00DE12A3">
              <w:rPr>
                <w:rStyle w:val="Gvdemetni367pt0ptbolukbraklyor"/>
                <w:color w:val="auto"/>
                <w:sz w:val="18"/>
                <w:szCs w:val="18"/>
              </w:rPr>
              <w:t>EN ISO 2160</w:t>
            </w:r>
          </w:p>
        </w:tc>
      </w:tr>
      <w:tr w:rsidR="00DE12A3" w:rsidRPr="00DE12A3" w14:paraId="0B9FDB9A" w14:textId="77777777" w:rsidTr="00AD20E2">
        <w:trPr>
          <w:trHeight w:hRule="exact" w:val="842"/>
          <w:jc w:val="center"/>
        </w:trPr>
        <w:tc>
          <w:tcPr>
            <w:tcW w:w="2424" w:type="dxa"/>
            <w:shd w:val="clear" w:color="auto" w:fill="auto"/>
          </w:tcPr>
          <w:p w14:paraId="2874E4C0" w14:textId="77777777" w:rsidR="00C54E4C" w:rsidRPr="00DE12A3" w:rsidRDefault="00C54E4C" w:rsidP="000E3261">
            <w:pPr>
              <w:pStyle w:val="Gvdemetni0"/>
              <w:shd w:val="clear" w:color="auto" w:fill="auto"/>
              <w:spacing w:before="120" w:after="120" w:line="240" w:lineRule="auto"/>
              <w:ind w:left="122" w:firstLine="0"/>
              <w:jc w:val="left"/>
              <w:rPr>
                <w:sz w:val="18"/>
              </w:rPr>
            </w:pPr>
            <w:r w:rsidRPr="00DE12A3">
              <w:rPr>
                <w:rStyle w:val="Gvdemetni95pt0ptbolukbraklyor"/>
                <w:color w:val="auto"/>
                <w:sz w:val="18"/>
              </w:rPr>
              <w:t>Asitlik (asetik asit olarak CH</w:t>
            </w:r>
            <w:r w:rsidRPr="00DE12A3">
              <w:rPr>
                <w:rStyle w:val="Gvdemetni95pt0ptbolukbraklyor"/>
                <w:color w:val="auto"/>
                <w:sz w:val="18"/>
                <w:vertAlign w:val="subscript"/>
              </w:rPr>
              <w:t>3</w:t>
            </w:r>
            <w:r w:rsidRPr="00DE12A3">
              <w:rPr>
                <w:rStyle w:val="Gvdemetni95pt0ptbolukbraklyor"/>
                <w:color w:val="auto"/>
                <w:sz w:val="18"/>
              </w:rPr>
              <w:t>COOH)</w:t>
            </w:r>
          </w:p>
        </w:tc>
        <w:tc>
          <w:tcPr>
            <w:tcW w:w="1277" w:type="dxa"/>
            <w:shd w:val="clear" w:color="auto" w:fill="auto"/>
          </w:tcPr>
          <w:p w14:paraId="277871F1" w14:textId="77777777" w:rsidR="00C54E4C" w:rsidRPr="00DE12A3" w:rsidRDefault="00C54E4C" w:rsidP="00C917D6">
            <w:pPr>
              <w:pStyle w:val="Gvdemetni360"/>
              <w:shd w:val="clear" w:color="auto" w:fill="auto"/>
              <w:spacing w:before="120" w:after="120" w:line="240" w:lineRule="auto"/>
              <w:ind w:left="440" w:firstLine="0"/>
              <w:jc w:val="left"/>
              <w:rPr>
                <w:sz w:val="18"/>
                <w:szCs w:val="18"/>
              </w:rPr>
            </w:pPr>
            <w:r w:rsidRPr="00DE12A3">
              <w:rPr>
                <w:rStyle w:val="Gvdemetni367pt0ptbolukbraklyor"/>
                <w:color w:val="auto"/>
                <w:sz w:val="18"/>
                <w:szCs w:val="18"/>
              </w:rPr>
              <w:t>% m/m (mg/l)</w:t>
            </w:r>
          </w:p>
        </w:tc>
        <w:tc>
          <w:tcPr>
            <w:tcW w:w="1282" w:type="dxa"/>
            <w:shd w:val="clear" w:color="auto" w:fill="auto"/>
          </w:tcPr>
          <w:p w14:paraId="52B7FC5F" w14:textId="77777777" w:rsidR="00C54E4C" w:rsidRPr="00DE12A3" w:rsidRDefault="00C54E4C" w:rsidP="00C917D6">
            <w:pPr>
              <w:pStyle w:val="Gvdemetni360"/>
              <w:shd w:val="clear" w:color="auto" w:fill="auto"/>
              <w:spacing w:before="120" w:after="120" w:line="240" w:lineRule="auto"/>
              <w:ind w:firstLine="0"/>
              <w:jc w:val="center"/>
              <w:rPr>
                <w:sz w:val="18"/>
                <w:szCs w:val="18"/>
              </w:rPr>
            </w:pPr>
            <w:r w:rsidRPr="00DE12A3">
              <w:rPr>
                <w:rStyle w:val="Gvdemetni3675pt"/>
                <w:color w:val="auto"/>
                <w:sz w:val="18"/>
                <w:szCs w:val="18"/>
              </w:rPr>
              <w:t>—</w:t>
            </w:r>
          </w:p>
        </w:tc>
        <w:tc>
          <w:tcPr>
            <w:tcW w:w="1282" w:type="dxa"/>
            <w:shd w:val="clear" w:color="auto" w:fill="auto"/>
          </w:tcPr>
          <w:p w14:paraId="7759AFD6" w14:textId="77777777" w:rsidR="00C54E4C" w:rsidRPr="00DE12A3" w:rsidRDefault="00C54E4C" w:rsidP="00C917D6">
            <w:pPr>
              <w:pStyle w:val="Gvdemetni360"/>
              <w:shd w:val="clear" w:color="auto" w:fill="auto"/>
              <w:spacing w:before="120" w:after="120" w:line="240" w:lineRule="auto"/>
              <w:ind w:firstLine="0"/>
              <w:jc w:val="center"/>
              <w:rPr>
                <w:sz w:val="18"/>
                <w:szCs w:val="18"/>
              </w:rPr>
            </w:pPr>
            <w:r w:rsidRPr="00DE12A3">
              <w:rPr>
                <w:rStyle w:val="Gvdemetni367pt0ptbolukbraklyor"/>
                <w:color w:val="auto"/>
                <w:sz w:val="18"/>
                <w:szCs w:val="18"/>
              </w:rPr>
              <w:t>0,0050</w:t>
            </w:r>
          </w:p>
          <w:p w14:paraId="46BB9117" w14:textId="77777777" w:rsidR="00C54E4C" w:rsidRPr="00DE12A3" w:rsidRDefault="00C54E4C" w:rsidP="00C917D6">
            <w:pPr>
              <w:pStyle w:val="Gvdemetni360"/>
              <w:shd w:val="clear" w:color="auto" w:fill="auto"/>
              <w:spacing w:before="120" w:after="120" w:line="240" w:lineRule="auto"/>
              <w:ind w:firstLine="0"/>
              <w:jc w:val="center"/>
              <w:rPr>
                <w:sz w:val="18"/>
                <w:szCs w:val="18"/>
              </w:rPr>
            </w:pPr>
            <w:r w:rsidRPr="00DE12A3">
              <w:rPr>
                <w:rStyle w:val="Gvdemetni367pt0ptbolukbraklyor"/>
                <w:color w:val="auto"/>
                <w:sz w:val="18"/>
                <w:szCs w:val="18"/>
              </w:rPr>
              <w:t>(40)</w:t>
            </w:r>
          </w:p>
        </w:tc>
        <w:tc>
          <w:tcPr>
            <w:tcW w:w="1517" w:type="dxa"/>
            <w:shd w:val="clear" w:color="auto" w:fill="auto"/>
          </w:tcPr>
          <w:p w14:paraId="24B9EC02" w14:textId="77777777" w:rsidR="00C54E4C" w:rsidRPr="00DE12A3" w:rsidRDefault="00C54E4C" w:rsidP="00C917D6">
            <w:pPr>
              <w:pStyle w:val="Gvdemetni360"/>
              <w:shd w:val="clear" w:color="auto" w:fill="auto"/>
              <w:spacing w:before="120" w:after="120" w:line="240" w:lineRule="auto"/>
              <w:ind w:firstLine="0"/>
              <w:rPr>
                <w:sz w:val="18"/>
                <w:szCs w:val="18"/>
              </w:rPr>
            </w:pPr>
            <w:r w:rsidRPr="00DE12A3">
              <w:rPr>
                <w:rStyle w:val="Gvdemetni367pt0ptbolukbraklyor"/>
                <w:color w:val="auto"/>
                <w:sz w:val="18"/>
                <w:szCs w:val="18"/>
              </w:rPr>
              <w:t>EN 15491</w:t>
            </w:r>
          </w:p>
        </w:tc>
      </w:tr>
      <w:tr w:rsidR="00DE12A3" w:rsidRPr="00DE12A3" w14:paraId="0D2AE2F3" w14:textId="77777777" w:rsidTr="00BF28FA">
        <w:trPr>
          <w:trHeight w:hRule="exact" w:val="715"/>
          <w:jc w:val="center"/>
        </w:trPr>
        <w:tc>
          <w:tcPr>
            <w:tcW w:w="2424" w:type="dxa"/>
            <w:shd w:val="clear" w:color="auto" w:fill="auto"/>
          </w:tcPr>
          <w:p w14:paraId="0EB85261" w14:textId="77777777" w:rsidR="00C54E4C" w:rsidRPr="00DE12A3" w:rsidRDefault="00C54E4C" w:rsidP="000E3261">
            <w:pPr>
              <w:pStyle w:val="Gvdemetni0"/>
              <w:shd w:val="clear" w:color="auto" w:fill="auto"/>
              <w:spacing w:before="120" w:after="120" w:line="240" w:lineRule="auto"/>
              <w:ind w:left="122" w:firstLine="0"/>
              <w:jc w:val="left"/>
              <w:rPr>
                <w:sz w:val="18"/>
              </w:rPr>
            </w:pPr>
            <w:r w:rsidRPr="00DE12A3">
              <w:rPr>
                <w:rStyle w:val="Gvdemetni95pt0ptbolukbraklyor"/>
                <w:color w:val="auto"/>
                <w:sz w:val="18"/>
              </w:rPr>
              <w:t>Elektirik İletkenliği</w:t>
            </w:r>
          </w:p>
        </w:tc>
        <w:tc>
          <w:tcPr>
            <w:tcW w:w="1277" w:type="dxa"/>
            <w:shd w:val="clear" w:color="auto" w:fill="auto"/>
          </w:tcPr>
          <w:p w14:paraId="503D05E4" w14:textId="77777777" w:rsidR="00C54E4C" w:rsidRPr="00DE12A3" w:rsidRDefault="00C54E4C" w:rsidP="00C917D6">
            <w:pPr>
              <w:pStyle w:val="Gvdemetni360"/>
              <w:shd w:val="clear" w:color="auto" w:fill="auto"/>
              <w:spacing w:before="120" w:after="120" w:line="240" w:lineRule="auto"/>
              <w:ind w:left="440" w:firstLine="0"/>
              <w:jc w:val="left"/>
              <w:rPr>
                <w:sz w:val="18"/>
                <w:szCs w:val="18"/>
              </w:rPr>
            </w:pPr>
            <w:r w:rsidRPr="00DE12A3">
              <w:rPr>
                <w:sz w:val="18"/>
                <w:szCs w:val="16"/>
              </w:rPr>
              <w:t>μg</w:t>
            </w:r>
            <w:r w:rsidRPr="00DE12A3">
              <w:rPr>
                <w:rStyle w:val="Gvdemetni3675ptKaln0ptbolukbraklyor"/>
                <w:color w:val="auto"/>
                <w:sz w:val="18"/>
                <w:szCs w:val="18"/>
              </w:rPr>
              <w:t>/</w:t>
            </w:r>
            <w:r w:rsidRPr="00DE12A3">
              <w:rPr>
                <w:rStyle w:val="Gvdemetni3675ptKaln0ptbolukbraklyor"/>
                <w:b w:val="0"/>
                <w:color w:val="auto"/>
                <w:sz w:val="18"/>
                <w:szCs w:val="18"/>
              </w:rPr>
              <w:t>cm</w:t>
            </w:r>
          </w:p>
        </w:tc>
        <w:tc>
          <w:tcPr>
            <w:tcW w:w="2564" w:type="dxa"/>
            <w:gridSpan w:val="2"/>
            <w:shd w:val="clear" w:color="auto" w:fill="auto"/>
          </w:tcPr>
          <w:p w14:paraId="5017CD93" w14:textId="77777777" w:rsidR="00C54E4C" w:rsidRPr="00DE12A3" w:rsidRDefault="00C54E4C" w:rsidP="00C917D6">
            <w:pPr>
              <w:pStyle w:val="Gvdemetni360"/>
              <w:shd w:val="clear" w:color="auto" w:fill="auto"/>
              <w:spacing w:before="120" w:after="120" w:line="240" w:lineRule="auto"/>
              <w:ind w:firstLine="0"/>
              <w:jc w:val="center"/>
              <w:rPr>
                <w:sz w:val="18"/>
                <w:szCs w:val="18"/>
              </w:rPr>
            </w:pPr>
            <w:r w:rsidRPr="00DE12A3">
              <w:rPr>
                <w:rStyle w:val="Gvdemetni367pt0ptbolukbraklyor"/>
                <w:color w:val="auto"/>
                <w:sz w:val="18"/>
                <w:szCs w:val="18"/>
              </w:rPr>
              <w:t>1,5</w:t>
            </w:r>
          </w:p>
        </w:tc>
        <w:tc>
          <w:tcPr>
            <w:tcW w:w="1517" w:type="dxa"/>
            <w:shd w:val="clear" w:color="auto" w:fill="auto"/>
          </w:tcPr>
          <w:p w14:paraId="3C3660C3" w14:textId="73A8F474" w:rsidR="00C54E4C" w:rsidRPr="00DE12A3" w:rsidRDefault="00C54E4C">
            <w:pPr>
              <w:pStyle w:val="Gvdemetni360"/>
              <w:shd w:val="clear" w:color="auto" w:fill="auto"/>
              <w:spacing w:before="120" w:after="120" w:line="240" w:lineRule="auto"/>
              <w:ind w:firstLine="0"/>
              <w:rPr>
                <w:sz w:val="18"/>
                <w:szCs w:val="18"/>
              </w:rPr>
            </w:pPr>
            <w:r w:rsidRPr="00DE12A3">
              <w:rPr>
                <w:rStyle w:val="Gvdemetni367pt0ptbolukbraklyor"/>
                <w:color w:val="auto"/>
                <w:sz w:val="18"/>
                <w:szCs w:val="18"/>
              </w:rPr>
              <w:t xml:space="preserve">DIN 51627-4 </w:t>
            </w:r>
            <w:r w:rsidR="00C13CC7" w:rsidRPr="00DE12A3">
              <w:rPr>
                <w:rStyle w:val="Gvdemetni367pt0ptbolukbraklyor"/>
                <w:color w:val="auto"/>
                <w:sz w:val="18"/>
                <w:szCs w:val="18"/>
              </w:rPr>
              <w:t xml:space="preserve">veya </w:t>
            </w:r>
            <w:r w:rsidRPr="00DE12A3">
              <w:rPr>
                <w:rStyle w:val="Gvdemetni367pt0ptbolukbraklyor"/>
                <w:color w:val="auto"/>
                <w:sz w:val="18"/>
                <w:szCs w:val="18"/>
              </w:rPr>
              <w:t>prEN 15938</w:t>
            </w:r>
          </w:p>
        </w:tc>
      </w:tr>
      <w:tr w:rsidR="00DE12A3" w:rsidRPr="00DE12A3" w14:paraId="54B785BD" w14:textId="77777777" w:rsidTr="00BF28FA">
        <w:trPr>
          <w:trHeight w:hRule="exact" w:val="437"/>
          <w:jc w:val="center"/>
        </w:trPr>
        <w:tc>
          <w:tcPr>
            <w:tcW w:w="2424" w:type="dxa"/>
            <w:shd w:val="clear" w:color="auto" w:fill="auto"/>
          </w:tcPr>
          <w:p w14:paraId="41512A0B" w14:textId="77777777" w:rsidR="00C54E4C" w:rsidRPr="00DE12A3" w:rsidRDefault="00C54E4C" w:rsidP="000E3261">
            <w:pPr>
              <w:pStyle w:val="Gvdemetni0"/>
              <w:shd w:val="clear" w:color="auto" w:fill="auto"/>
              <w:spacing w:before="120" w:after="120" w:line="240" w:lineRule="auto"/>
              <w:ind w:left="122" w:firstLine="0"/>
              <w:jc w:val="left"/>
              <w:rPr>
                <w:sz w:val="18"/>
              </w:rPr>
            </w:pPr>
            <w:r w:rsidRPr="00DE12A3">
              <w:rPr>
                <w:rStyle w:val="Gvdemetni95pt0ptbolukbraklyor"/>
                <w:color w:val="auto"/>
                <w:sz w:val="18"/>
              </w:rPr>
              <w:t>Karbon/hidrojen oranı</w:t>
            </w:r>
          </w:p>
        </w:tc>
        <w:tc>
          <w:tcPr>
            <w:tcW w:w="1277" w:type="dxa"/>
            <w:shd w:val="clear" w:color="auto" w:fill="auto"/>
          </w:tcPr>
          <w:p w14:paraId="61C6B073" w14:textId="77777777" w:rsidR="00C54E4C" w:rsidRPr="00DE12A3" w:rsidRDefault="00C54E4C" w:rsidP="00C917D6">
            <w:pPr>
              <w:spacing w:before="120" w:after="120"/>
              <w:rPr>
                <w:rFonts w:cs="Times New Roman"/>
                <w:color w:val="auto"/>
                <w:sz w:val="18"/>
                <w:szCs w:val="18"/>
              </w:rPr>
            </w:pPr>
          </w:p>
        </w:tc>
        <w:tc>
          <w:tcPr>
            <w:tcW w:w="2564" w:type="dxa"/>
            <w:gridSpan w:val="2"/>
            <w:shd w:val="clear" w:color="auto" w:fill="auto"/>
          </w:tcPr>
          <w:p w14:paraId="1E6C1E6C" w14:textId="77777777" w:rsidR="00C54E4C" w:rsidRPr="00DE12A3" w:rsidRDefault="00C54E4C" w:rsidP="00C917D6">
            <w:pPr>
              <w:pStyle w:val="Gvdemetni360"/>
              <w:shd w:val="clear" w:color="auto" w:fill="auto"/>
              <w:spacing w:before="120" w:after="120" w:line="240" w:lineRule="auto"/>
              <w:ind w:firstLine="0"/>
              <w:jc w:val="center"/>
              <w:rPr>
                <w:sz w:val="18"/>
                <w:szCs w:val="18"/>
              </w:rPr>
            </w:pPr>
            <w:r w:rsidRPr="00DE12A3">
              <w:rPr>
                <w:rStyle w:val="Gvdemetni367pt0ptbolukbraklyor"/>
                <w:color w:val="auto"/>
                <w:sz w:val="18"/>
                <w:szCs w:val="18"/>
              </w:rPr>
              <w:t>R</w:t>
            </w:r>
            <w:r w:rsidR="00BF28FA" w:rsidRPr="00DE12A3">
              <w:rPr>
                <w:rStyle w:val="Gvdemetni367pt0ptbolukbraklyor"/>
                <w:color w:val="auto"/>
                <w:sz w:val="18"/>
                <w:szCs w:val="18"/>
              </w:rPr>
              <w:t>apor</w:t>
            </w:r>
          </w:p>
        </w:tc>
        <w:tc>
          <w:tcPr>
            <w:tcW w:w="1517" w:type="dxa"/>
            <w:shd w:val="clear" w:color="auto" w:fill="auto"/>
          </w:tcPr>
          <w:p w14:paraId="34D7C544" w14:textId="77777777" w:rsidR="00C54E4C" w:rsidRPr="00DE12A3" w:rsidRDefault="00C54E4C" w:rsidP="00C917D6">
            <w:pPr>
              <w:spacing w:before="120" w:after="120"/>
              <w:rPr>
                <w:rFonts w:cs="Times New Roman"/>
                <w:color w:val="auto"/>
                <w:sz w:val="18"/>
                <w:szCs w:val="18"/>
              </w:rPr>
            </w:pPr>
          </w:p>
        </w:tc>
      </w:tr>
      <w:tr w:rsidR="00DE12A3" w:rsidRPr="00DE12A3" w14:paraId="58CCFAEA" w14:textId="77777777" w:rsidTr="00BF28FA">
        <w:trPr>
          <w:trHeight w:hRule="exact" w:val="413"/>
          <w:jc w:val="center"/>
        </w:trPr>
        <w:tc>
          <w:tcPr>
            <w:tcW w:w="2424" w:type="dxa"/>
            <w:shd w:val="clear" w:color="auto" w:fill="auto"/>
          </w:tcPr>
          <w:p w14:paraId="1F927ACE" w14:textId="77777777" w:rsidR="00C54E4C" w:rsidRPr="00DE12A3" w:rsidRDefault="00C54E4C" w:rsidP="000E3261">
            <w:pPr>
              <w:pStyle w:val="Gvdemetni0"/>
              <w:shd w:val="clear" w:color="auto" w:fill="auto"/>
              <w:spacing w:before="120" w:after="120" w:line="240" w:lineRule="auto"/>
              <w:ind w:left="122" w:firstLine="0"/>
              <w:jc w:val="left"/>
              <w:rPr>
                <w:sz w:val="18"/>
              </w:rPr>
            </w:pPr>
            <w:r w:rsidRPr="00DE12A3">
              <w:rPr>
                <w:rStyle w:val="Gvdemetni95pt0ptbolukbraklyor"/>
                <w:color w:val="auto"/>
                <w:sz w:val="18"/>
              </w:rPr>
              <w:t>Karbon/oksijen oranı</w:t>
            </w:r>
          </w:p>
        </w:tc>
        <w:tc>
          <w:tcPr>
            <w:tcW w:w="1277" w:type="dxa"/>
            <w:shd w:val="clear" w:color="auto" w:fill="auto"/>
          </w:tcPr>
          <w:p w14:paraId="517DEDD4" w14:textId="77777777" w:rsidR="00C54E4C" w:rsidRPr="00DE12A3" w:rsidRDefault="00C54E4C" w:rsidP="00C917D6">
            <w:pPr>
              <w:spacing w:before="120" w:after="120"/>
              <w:rPr>
                <w:rFonts w:cs="Times New Roman"/>
                <w:color w:val="auto"/>
                <w:sz w:val="18"/>
                <w:szCs w:val="18"/>
              </w:rPr>
            </w:pPr>
          </w:p>
        </w:tc>
        <w:tc>
          <w:tcPr>
            <w:tcW w:w="2564" w:type="dxa"/>
            <w:gridSpan w:val="2"/>
            <w:shd w:val="clear" w:color="auto" w:fill="auto"/>
          </w:tcPr>
          <w:p w14:paraId="6719B24F" w14:textId="77777777" w:rsidR="00C54E4C" w:rsidRPr="00DE12A3" w:rsidRDefault="00C54E4C" w:rsidP="00C917D6">
            <w:pPr>
              <w:pStyle w:val="Gvdemetni360"/>
              <w:shd w:val="clear" w:color="auto" w:fill="auto"/>
              <w:spacing w:before="120" w:after="120" w:line="240" w:lineRule="auto"/>
              <w:ind w:firstLine="0"/>
              <w:jc w:val="center"/>
              <w:rPr>
                <w:sz w:val="18"/>
                <w:szCs w:val="18"/>
              </w:rPr>
            </w:pPr>
            <w:r w:rsidRPr="00DE12A3">
              <w:rPr>
                <w:rStyle w:val="Gvdemetni367pt0ptbolukbraklyor"/>
                <w:color w:val="auto"/>
                <w:sz w:val="18"/>
                <w:szCs w:val="18"/>
              </w:rPr>
              <w:t>R</w:t>
            </w:r>
            <w:r w:rsidR="00BF28FA" w:rsidRPr="00DE12A3">
              <w:rPr>
                <w:rStyle w:val="Gvdemetni367pt0ptbolukbraklyor"/>
                <w:color w:val="auto"/>
                <w:sz w:val="18"/>
                <w:szCs w:val="18"/>
              </w:rPr>
              <w:t>apor</w:t>
            </w:r>
          </w:p>
        </w:tc>
        <w:tc>
          <w:tcPr>
            <w:tcW w:w="1517" w:type="dxa"/>
            <w:shd w:val="clear" w:color="auto" w:fill="auto"/>
          </w:tcPr>
          <w:p w14:paraId="5FDA67CD" w14:textId="77777777" w:rsidR="00C54E4C" w:rsidRPr="00DE12A3" w:rsidRDefault="00C54E4C" w:rsidP="00C917D6">
            <w:pPr>
              <w:spacing w:before="120" w:after="120"/>
              <w:rPr>
                <w:rFonts w:cs="Times New Roman"/>
                <w:color w:val="auto"/>
                <w:sz w:val="18"/>
                <w:szCs w:val="18"/>
              </w:rPr>
            </w:pPr>
          </w:p>
        </w:tc>
      </w:tr>
      <w:tr w:rsidR="00DE12A3" w:rsidRPr="00DE12A3" w14:paraId="751AE0BA" w14:textId="77777777" w:rsidTr="0046577A">
        <w:trPr>
          <w:trHeight w:hRule="exact" w:val="2470"/>
          <w:jc w:val="center"/>
        </w:trPr>
        <w:tc>
          <w:tcPr>
            <w:tcW w:w="7782" w:type="dxa"/>
            <w:gridSpan w:val="5"/>
            <w:shd w:val="clear" w:color="auto" w:fill="auto"/>
          </w:tcPr>
          <w:p w14:paraId="5BDB506B" w14:textId="77777777" w:rsidR="000E3261" w:rsidRPr="00DE12A3" w:rsidRDefault="000E3261" w:rsidP="0046577A">
            <w:pPr>
              <w:jc w:val="both"/>
              <w:rPr>
                <w:color w:val="auto"/>
              </w:rPr>
            </w:pPr>
            <w:r w:rsidRPr="00DE12A3">
              <w:rPr>
                <w:rStyle w:val="Tabloyazs60ptbolukbraklyor"/>
                <w:rFonts w:eastAsia="Courier New"/>
                <w:color w:val="auto"/>
                <w:sz w:val="18"/>
                <w:szCs w:val="18"/>
              </w:rPr>
              <w:t>Notlar:</w:t>
            </w:r>
          </w:p>
          <w:p w14:paraId="07A909DE" w14:textId="51926C96" w:rsidR="000E3261" w:rsidRPr="00DE12A3" w:rsidRDefault="000E3261" w:rsidP="0046577A">
            <w:pPr>
              <w:jc w:val="both"/>
              <w:rPr>
                <w:color w:val="auto"/>
                <w:sz w:val="16"/>
              </w:rPr>
            </w:pPr>
            <w:r w:rsidRPr="00DE12A3">
              <w:rPr>
                <w:rFonts w:eastAsia="Sylfaen"/>
                <w:color w:val="auto"/>
                <w:sz w:val="16"/>
              </w:rPr>
              <w:t>(1)</w:t>
            </w:r>
            <w:r w:rsidR="0046577A" w:rsidRPr="00DE12A3">
              <w:rPr>
                <w:rFonts w:eastAsia="Sylfaen"/>
                <w:color w:val="auto"/>
                <w:sz w:val="16"/>
              </w:rPr>
              <w:t xml:space="preserve"> </w:t>
            </w:r>
            <w:r w:rsidRPr="00DE12A3">
              <w:rPr>
                <w:color w:val="auto"/>
                <w:sz w:val="16"/>
              </w:rPr>
              <w:t>Şartnamelerde belirtilen değerler "gerçek değerlerdir". Bunların sınır değerlerinin oluşturulmasında ISO 4259 “Petrol ürünleri - Test yöntemlerine göre hassas verilerin belirlenmesi ve uygulanması” standardı gereklilikleri uygulanmış ve bir asgari değer belirlenirken, sıfırın üzerinde 2R değerinde bir asgari fark hesaba katılmıştır; bir azami ve asgari değer belirlenirken asgari fark 4R'dir (R = tekrarlanabilirlik)</w:t>
            </w:r>
            <w:r w:rsidRPr="00DE12A3">
              <w:rPr>
                <w:rFonts w:eastAsia="Sylfaen"/>
                <w:color w:val="auto"/>
                <w:sz w:val="16"/>
              </w:rPr>
              <w:t xml:space="preserve">. </w:t>
            </w:r>
            <w:r w:rsidRPr="00DE12A3">
              <w:rPr>
                <w:color w:val="auto"/>
                <w:sz w:val="16"/>
              </w:rPr>
              <w:t>Teknik nedenlerden dolayı gerekli olan bu tedbire rağmen, yakıt imalatçısı yine de öngörülen azami değerin 2R olduğu bir sıfır değerini ve azami ve asgari sınırların aktarılması durumunda ortalama değeri hedeflemelidir. Bir yakıtın şartnamelerdeki gereklilikleri yerine getirip getirmediğinin netleştirilmesi gerekirse, ISO 4259 standardının gereklilikleri uygulanmalıdır.</w:t>
            </w:r>
          </w:p>
          <w:p w14:paraId="7AEC39D3" w14:textId="6E61E6D3" w:rsidR="000E3261" w:rsidRPr="00DE12A3" w:rsidRDefault="000E3261" w:rsidP="0046577A">
            <w:pPr>
              <w:jc w:val="both"/>
              <w:rPr>
                <w:color w:val="auto"/>
                <w:sz w:val="16"/>
              </w:rPr>
            </w:pPr>
            <w:r w:rsidRPr="00DE12A3">
              <w:rPr>
                <w:rFonts w:eastAsia="Sylfaen"/>
                <w:color w:val="auto"/>
                <w:sz w:val="16"/>
              </w:rPr>
              <w:t>(2)</w:t>
            </w:r>
            <w:r w:rsidR="0046577A" w:rsidRPr="00DE12A3">
              <w:rPr>
                <w:rFonts w:eastAsia="Sylfaen"/>
                <w:color w:val="auto"/>
                <w:sz w:val="16"/>
              </w:rPr>
              <w:t xml:space="preserve"> </w:t>
            </w:r>
            <w:r w:rsidRPr="00DE12A3">
              <w:rPr>
                <w:color w:val="auto"/>
                <w:sz w:val="16"/>
              </w:rPr>
              <w:t>Emisyon testleri için kullanılan yakıtın gerçek kükürt içeriği bildirilmelidir</w:t>
            </w:r>
            <w:r w:rsidRPr="00DE12A3">
              <w:rPr>
                <w:rFonts w:eastAsia="Sylfaen"/>
                <w:color w:val="auto"/>
                <w:sz w:val="16"/>
              </w:rPr>
              <w:t>.</w:t>
            </w:r>
          </w:p>
          <w:p w14:paraId="53734BFD" w14:textId="24BF281A" w:rsidR="000E3261" w:rsidRPr="00DE12A3" w:rsidRDefault="000E3261" w:rsidP="0046577A">
            <w:pPr>
              <w:jc w:val="both"/>
              <w:rPr>
                <w:color w:val="auto"/>
                <w:sz w:val="16"/>
              </w:rPr>
            </w:pPr>
            <w:r w:rsidRPr="00DE12A3">
              <w:rPr>
                <w:rFonts w:eastAsia="Sylfaen"/>
                <w:color w:val="auto"/>
                <w:sz w:val="16"/>
              </w:rPr>
              <w:t>(3)</w:t>
            </w:r>
            <w:r w:rsidR="0046577A" w:rsidRPr="00DE12A3">
              <w:rPr>
                <w:rFonts w:eastAsia="Sylfaen"/>
                <w:color w:val="auto"/>
                <w:sz w:val="16"/>
              </w:rPr>
              <w:t xml:space="preserve"> </w:t>
            </w:r>
            <w:r w:rsidRPr="00DE12A3">
              <w:rPr>
                <w:color w:val="auto"/>
                <w:sz w:val="16"/>
              </w:rPr>
              <w:t>EN 15376 standardının gerekliliklerini sağlayan etanol, bu referans yakıta kasıtlı olarak eklenen tek oksijenattır</w:t>
            </w:r>
            <w:r w:rsidRPr="00DE12A3">
              <w:rPr>
                <w:rFonts w:eastAsia="Sylfaen"/>
                <w:color w:val="auto"/>
                <w:sz w:val="16"/>
              </w:rPr>
              <w:t>.</w:t>
            </w:r>
          </w:p>
          <w:p w14:paraId="0936F7F7" w14:textId="3C204FFB" w:rsidR="000E3261" w:rsidRPr="00DE12A3" w:rsidRDefault="000E3261" w:rsidP="0046577A">
            <w:pPr>
              <w:jc w:val="both"/>
              <w:rPr>
                <w:color w:val="auto"/>
                <w:sz w:val="16"/>
              </w:rPr>
            </w:pPr>
            <w:r w:rsidRPr="00DE12A3">
              <w:rPr>
                <w:rFonts w:eastAsia="Sylfaen"/>
                <w:color w:val="auto"/>
                <w:sz w:val="16"/>
              </w:rPr>
              <w:t>(4)</w:t>
            </w:r>
            <w:r w:rsidR="0046577A" w:rsidRPr="00DE12A3">
              <w:rPr>
                <w:rFonts w:eastAsia="Sylfaen"/>
                <w:color w:val="auto"/>
                <w:sz w:val="16"/>
              </w:rPr>
              <w:t xml:space="preserve"> </w:t>
            </w:r>
            <w:r w:rsidRPr="00DE12A3">
              <w:rPr>
                <w:color w:val="auto"/>
                <w:sz w:val="16"/>
              </w:rPr>
              <w:t>Kurşunsuz benzin içeriği, 100 eksi su, alkol, MTBE ve ETBE % içerikleri toplamı olarak belirlenebilir</w:t>
            </w:r>
            <w:r w:rsidRPr="00DE12A3">
              <w:rPr>
                <w:rFonts w:eastAsia="Sylfaen"/>
                <w:color w:val="auto"/>
                <w:sz w:val="16"/>
              </w:rPr>
              <w:t>.</w:t>
            </w:r>
          </w:p>
          <w:p w14:paraId="7FB59B7C" w14:textId="7A14617B" w:rsidR="000E3261" w:rsidRPr="00DE12A3" w:rsidRDefault="000E3261" w:rsidP="0046577A">
            <w:pPr>
              <w:jc w:val="both"/>
              <w:rPr>
                <w:color w:val="auto"/>
                <w:sz w:val="16"/>
              </w:rPr>
            </w:pPr>
            <w:r w:rsidRPr="00DE12A3">
              <w:rPr>
                <w:rFonts w:eastAsia="Sylfaen"/>
                <w:color w:val="auto"/>
                <w:sz w:val="16"/>
              </w:rPr>
              <w:t>(5)</w:t>
            </w:r>
            <w:r w:rsidR="0046577A" w:rsidRPr="00DE12A3">
              <w:rPr>
                <w:rFonts w:eastAsia="Sylfaen"/>
                <w:color w:val="auto"/>
                <w:sz w:val="16"/>
              </w:rPr>
              <w:t xml:space="preserve"> </w:t>
            </w:r>
            <w:r w:rsidRPr="00DE12A3">
              <w:rPr>
                <w:color w:val="auto"/>
                <w:sz w:val="16"/>
              </w:rPr>
              <w:t>Bu referans yakıta fosfor, demir, manganez veya kurşun içeren bileşikler kasıtlı olarak eklenmez</w:t>
            </w:r>
            <w:r w:rsidRPr="00DE12A3">
              <w:rPr>
                <w:rFonts w:eastAsia="Sylfaen"/>
                <w:color w:val="auto"/>
                <w:sz w:val="16"/>
              </w:rPr>
              <w:t>.</w:t>
            </w:r>
          </w:p>
        </w:tc>
      </w:tr>
    </w:tbl>
    <w:p w14:paraId="7AF7076D" w14:textId="09715A57" w:rsidR="00753EFD" w:rsidRPr="00DE12A3" w:rsidRDefault="009F4766" w:rsidP="004E755A">
      <w:pPr>
        <w:spacing w:before="120" w:after="120"/>
        <w:jc w:val="both"/>
        <w:rPr>
          <w:b/>
          <w:bCs/>
          <w:color w:val="auto"/>
        </w:rPr>
      </w:pPr>
      <w:r w:rsidRPr="00DE12A3">
        <w:rPr>
          <w:b/>
          <w:bCs/>
          <w:color w:val="auto"/>
        </w:rPr>
        <w:t>3.</w:t>
      </w:r>
      <w:r w:rsidR="004E755A" w:rsidRPr="00DE12A3">
        <w:rPr>
          <w:b/>
          <w:bCs/>
          <w:color w:val="auto"/>
        </w:rPr>
        <w:t xml:space="preserve"> </w:t>
      </w:r>
      <w:r w:rsidR="00753EFD" w:rsidRPr="00DE12A3">
        <w:rPr>
          <w:b/>
          <w:bCs/>
          <w:color w:val="auto"/>
        </w:rPr>
        <w:t>Tek yakıtlı ve iki yakıtlı motorlara yönelik gaz yakıtlarla ilgili teknik veriler</w:t>
      </w:r>
    </w:p>
    <w:p w14:paraId="71E4DA34" w14:textId="5CA37FF0" w:rsidR="00753EFD" w:rsidRPr="00DE12A3" w:rsidRDefault="00753EFD" w:rsidP="004E755A">
      <w:pPr>
        <w:spacing w:before="120" w:after="120"/>
        <w:jc w:val="both"/>
        <w:rPr>
          <w:bCs/>
          <w:color w:val="auto"/>
        </w:rPr>
      </w:pPr>
      <w:r w:rsidRPr="00DE12A3">
        <w:rPr>
          <w:bCs/>
          <w:color w:val="auto"/>
        </w:rPr>
        <w:t>3.1. Tip: LPG</w:t>
      </w:r>
    </w:p>
    <w:p w14:paraId="7393F599" w14:textId="77777777" w:rsidR="00753EFD" w:rsidRPr="00DE12A3" w:rsidRDefault="00753EFD" w:rsidP="004E755A">
      <w:pPr>
        <w:pStyle w:val="Text2"/>
        <w:rPr>
          <w:b/>
          <w:bCs/>
        </w:rPr>
      </w:pPr>
    </w:p>
    <w:tbl>
      <w:tblPr>
        <w:tblW w:w="77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424"/>
        <w:gridCol w:w="1277"/>
        <w:gridCol w:w="1282"/>
        <w:gridCol w:w="1282"/>
        <w:gridCol w:w="1517"/>
      </w:tblGrid>
      <w:tr w:rsidR="00DE12A3" w:rsidRPr="00DE12A3" w14:paraId="0B4E4A6C" w14:textId="77777777" w:rsidTr="00753EFD">
        <w:trPr>
          <w:trHeight w:val="485"/>
          <w:jc w:val="center"/>
        </w:trPr>
        <w:tc>
          <w:tcPr>
            <w:tcW w:w="2424" w:type="dxa"/>
            <w:shd w:val="clear" w:color="auto" w:fill="auto"/>
          </w:tcPr>
          <w:p w14:paraId="0E41E067" w14:textId="77777777" w:rsidR="00753EFD" w:rsidRPr="00DE12A3" w:rsidRDefault="00753EFD" w:rsidP="00C917D6">
            <w:pPr>
              <w:pStyle w:val="Gvdemetni0"/>
              <w:shd w:val="clear" w:color="auto" w:fill="auto"/>
              <w:spacing w:before="120" w:after="120" w:line="240" w:lineRule="auto"/>
              <w:ind w:firstLine="0"/>
              <w:rPr>
                <w:sz w:val="18"/>
                <w:szCs w:val="18"/>
              </w:rPr>
            </w:pPr>
            <w:r w:rsidRPr="00DE12A3">
              <w:rPr>
                <w:rStyle w:val="Gvdemetni0ptbolukbraklyor"/>
                <w:color w:val="auto"/>
                <w:sz w:val="18"/>
                <w:szCs w:val="18"/>
              </w:rPr>
              <w:t>Parametre</w:t>
            </w:r>
          </w:p>
        </w:tc>
        <w:tc>
          <w:tcPr>
            <w:tcW w:w="1277" w:type="dxa"/>
            <w:shd w:val="clear" w:color="auto" w:fill="auto"/>
          </w:tcPr>
          <w:p w14:paraId="104A7F9A" w14:textId="77777777" w:rsidR="00753EFD" w:rsidRPr="00DE12A3" w:rsidRDefault="00753EFD" w:rsidP="00C917D6">
            <w:pPr>
              <w:pStyle w:val="Gvdemetni0"/>
              <w:shd w:val="clear" w:color="auto" w:fill="auto"/>
              <w:spacing w:before="120" w:after="120" w:line="240" w:lineRule="auto"/>
              <w:ind w:firstLine="0"/>
              <w:rPr>
                <w:sz w:val="18"/>
                <w:szCs w:val="18"/>
              </w:rPr>
            </w:pPr>
            <w:r w:rsidRPr="00DE12A3">
              <w:rPr>
                <w:rStyle w:val="Gvdemetni0ptbolukbraklyor"/>
                <w:color w:val="auto"/>
                <w:sz w:val="18"/>
                <w:szCs w:val="18"/>
              </w:rPr>
              <w:t>Birim</w:t>
            </w:r>
          </w:p>
        </w:tc>
        <w:tc>
          <w:tcPr>
            <w:tcW w:w="1282" w:type="dxa"/>
            <w:shd w:val="clear" w:color="auto" w:fill="auto"/>
          </w:tcPr>
          <w:p w14:paraId="150DE28E" w14:textId="77777777" w:rsidR="00753EFD" w:rsidRPr="00DE12A3" w:rsidRDefault="00753EFD" w:rsidP="00C917D6">
            <w:pPr>
              <w:pStyle w:val="Gvdemetni0"/>
              <w:shd w:val="clear" w:color="auto" w:fill="auto"/>
              <w:spacing w:before="120" w:after="120" w:line="240" w:lineRule="auto"/>
              <w:ind w:firstLine="0"/>
              <w:rPr>
                <w:sz w:val="18"/>
                <w:szCs w:val="18"/>
              </w:rPr>
            </w:pPr>
            <w:r w:rsidRPr="00DE12A3">
              <w:rPr>
                <w:rStyle w:val="Gvdemetni0ptbolukbraklyor"/>
                <w:color w:val="auto"/>
                <w:sz w:val="18"/>
                <w:szCs w:val="18"/>
              </w:rPr>
              <w:t>Yakıt A</w:t>
            </w:r>
          </w:p>
        </w:tc>
        <w:tc>
          <w:tcPr>
            <w:tcW w:w="1282" w:type="dxa"/>
            <w:shd w:val="clear" w:color="auto" w:fill="auto"/>
          </w:tcPr>
          <w:p w14:paraId="50B9307C" w14:textId="77777777" w:rsidR="00753EFD" w:rsidRPr="00DE12A3" w:rsidRDefault="00753EFD" w:rsidP="00C917D6">
            <w:pPr>
              <w:pStyle w:val="Gvdemetni0"/>
              <w:shd w:val="clear" w:color="auto" w:fill="auto"/>
              <w:spacing w:before="120" w:after="120" w:line="240" w:lineRule="auto"/>
              <w:ind w:firstLine="0"/>
              <w:rPr>
                <w:sz w:val="18"/>
                <w:szCs w:val="18"/>
              </w:rPr>
            </w:pPr>
            <w:r w:rsidRPr="00DE12A3">
              <w:rPr>
                <w:rStyle w:val="Gvdemetni0ptbolukbraklyor"/>
                <w:color w:val="auto"/>
                <w:sz w:val="18"/>
                <w:szCs w:val="18"/>
              </w:rPr>
              <w:t>Yakıt B</w:t>
            </w:r>
          </w:p>
        </w:tc>
        <w:tc>
          <w:tcPr>
            <w:tcW w:w="1517" w:type="dxa"/>
            <w:shd w:val="clear" w:color="auto" w:fill="auto"/>
          </w:tcPr>
          <w:p w14:paraId="6B85E926" w14:textId="77777777" w:rsidR="00753EFD" w:rsidRPr="00DE12A3" w:rsidRDefault="00753EFD" w:rsidP="00C917D6">
            <w:pPr>
              <w:pStyle w:val="Gvdemetni0"/>
              <w:shd w:val="clear" w:color="auto" w:fill="auto"/>
              <w:spacing w:before="120" w:after="120" w:line="240" w:lineRule="auto"/>
              <w:ind w:firstLine="0"/>
              <w:rPr>
                <w:sz w:val="18"/>
                <w:szCs w:val="18"/>
              </w:rPr>
            </w:pPr>
            <w:r w:rsidRPr="00DE12A3">
              <w:rPr>
                <w:rStyle w:val="Gvdemetni0ptbolukbraklyor"/>
                <w:color w:val="auto"/>
                <w:sz w:val="18"/>
                <w:szCs w:val="18"/>
              </w:rPr>
              <w:t>Test yöntemi</w:t>
            </w:r>
          </w:p>
        </w:tc>
      </w:tr>
      <w:tr w:rsidR="00DE12A3" w:rsidRPr="00DE12A3" w14:paraId="3BFD5066" w14:textId="77777777" w:rsidTr="00753EFD">
        <w:trPr>
          <w:trHeight w:hRule="exact" w:val="461"/>
          <w:jc w:val="center"/>
        </w:trPr>
        <w:tc>
          <w:tcPr>
            <w:tcW w:w="2424" w:type="dxa"/>
            <w:shd w:val="clear" w:color="auto" w:fill="auto"/>
          </w:tcPr>
          <w:p w14:paraId="5589CF33" w14:textId="77777777" w:rsidR="00753EFD" w:rsidRPr="00DE12A3" w:rsidRDefault="00753EFD" w:rsidP="00C917D6">
            <w:pPr>
              <w:pStyle w:val="Gvdemetni360"/>
              <w:shd w:val="clear" w:color="auto" w:fill="auto"/>
              <w:spacing w:before="120" w:after="120" w:line="240" w:lineRule="auto"/>
              <w:ind w:left="40" w:firstLine="0"/>
              <w:jc w:val="left"/>
              <w:rPr>
                <w:sz w:val="18"/>
                <w:szCs w:val="18"/>
              </w:rPr>
            </w:pPr>
            <w:r w:rsidRPr="00DE12A3">
              <w:rPr>
                <w:rStyle w:val="Gvdemetni95pt0ptbolukbraklyor"/>
                <w:color w:val="auto"/>
              </w:rPr>
              <w:lastRenderedPageBreak/>
              <w:t>Bileşim</w:t>
            </w:r>
            <w:r w:rsidRPr="00DE12A3">
              <w:rPr>
                <w:rStyle w:val="Gvdemetni367pt0ptbolukbraklyor"/>
                <w:color w:val="auto"/>
                <w:sz w:val="18"/>
                <w:szCs w:val="18"/>
              </w:rPr>
              <w:t>:</w:t>
            </w:r>
          </w:p>
        </w:tc>
        <w:tc>
          <w:tcPr>
            <w:tcW w:w="1277" w:type="dxa"/>
            <w:shd w:val="clear" w:color="auto" w:fill="auto"/>
          </w:tcPr>
          <w:p w14:paraId="22DEB9AF" w14:textId="77777777" w:rsidR="00753EFD" w:rsidRPr="00DE12A3" w:rsidRDefault="00753EFD" w:rsidP="00C917D6">
            <w:pPr>
              <w:spacing w:before="120" w:after="120"/>
              <w:rPr>
                <w:rFonts w:cs="Times New Roman"/>
                <w:color w:val="auto"/>
                <w:sz w:val="18"/>
                <w:szCs w:val="18"/>
              </w:rPr>
            </w:pPr>
          </w:p>
        </w:tc>
        <w:tc>
          <w:tcPr>
            <w:tcW w:w="1282" w:type="dxa"/>
            <w:shd w:val="clear" w:color="auto" w:fill="auto"/>
          </w:tcPr>
          <w:p w14:paraId="55864677" w14:textId="77777777" w:rsidR="00753EFD" w:rsidRPr="00DE12A3" w:rsidRDefault="00753EFD" w:rsidP="00C917D6">
            <w:pPr>
              <w:spacing w:before="120" w:after="120"/>
              <w:rPr>
                <w:rFonts w:cs="Times New Roman"/>
                <w:color w:val="auto"/>
                <w:sz w:val="18"/>
                <w:szCs w:val="18"/>
              </w:rPr>
            </w:pPr>
          </w:p>
        </w:tc>
        <w:tc>
          <w:tcPr>
            <w:tcW w:w="1282" w:type="dxa"/>
            <w:shd w:val="clear" w:color="auto" w:fill="auto"/>
          </w:tcPr>
          <w:p w14:paraId="1B4A1F8B" w14:textId="77777777" w:rsidR="00753EFD" w:rsidRPr="00DE12A3" w:rsidRDefault="00753EFD" w:rsidP="00C917D6">
            <w:pPr>
              <w:spacing w:before="120" w:after="120"/>
              <w:rPr>
                <w:rFonts w:cs="Times New Roman"/>
                <w:color w:val="auto"/>
                <w:sz w:val="18"/>
                <w:szCs w:val="18"/>
              </w:rPr>
            </w:pPr>
          </w:p>
        </w:tc>
        <w:tc>
          <w:tcPr>
            <w:tcW w:w="1517" w:type="dxa"/>
            <w:shd w:val="clear" w:color="auto" w:fill="auto"/>
          </w:tcPr>
          <w:p w14:paraId="05A8E8F2" w14:textId="77777777" w:rsidR="00753EFD" w:rsidRPr="00DE12A3" w:rsidRDefault="00753EFD" w:rsidP="00C917D6">
            <w:pPr>
              <w:pStyle w:val="Gvdemetni360"/>
              <w:shd w:val="clear" w:color="auto" w:fill="auto"/>
              <w:spacing w:before="120" w:after="120" w:line="240" w:lineRule="auto"/>
              <w:ind w:left="100" w:firstLine="0"/>
              <w:jc w:val="left"/>
              <w:rPr>
                <w:sz w:val="18"/>
                <w:szCs w:val="18"/>
              </w:rPr>
            </w:pPr>
            <w:r w:rsidRPr="00DE12A3">
              <w:rPr>
                <w:rStyle w:val="Gvdemetni367pt0ptbolukbraklyor"/>
                <w:color w:val="auto"/>
                <w:sz w:val="18"/>
                <w:szCs w:val="18"/>
              </w:rPr>
              <w:t>EN 27941</w:t>
            </w:r>
          </w:p>
        </w:tc>
      </w:tr>
      <w:tr w:rsidR="00DE12A3" w:rsidRPr="00DE12A3" w14:paraId="3E4C61D9" w14:textId="77777777" w:rsidTr="00753EFD">
        <w:trPr>
          <w:trHeight w:hRule="exact" w:val="466"/>
          <w:jc w:val="center"/>
        </w:trPr>
        <w:tc>
          <w:tcPr>
            <w:tcW w:w="2424" w:type="dxa"/>
            <w:shd w:val="clear" w:color="auto" w:fill="auto"/>
          </w:tcPr>
          <w:p w14:paraId="000233A6" w14:textId="77777777" w:rsidR="00753EFD" w:rsidRPr="00DE12A3" w:rsidRDefault="00753EFD" w:rsidP="00C917D6">
            <w:pPr>
              <w:pStyle w:val="Gvdemetni360"/>
              <w:shd w:val="clear" w:color="auto" w:fill="auto"/>
              <w:spacing w:before="120" w:after="120" w:line="240" w:lineRule="auto"/>
              <w:ind w:left="40" w:firstLine="0"/>
              <w:jc w:val="left"/>
              <w:rPr>
                <w:sz w:val="18"/>
                <w:szCs w:val="18"/>
              </w:rPr>
            </w:pPr>
            <w:r w:rsidRPr="00DE12A3">
              <w:rPr>
                <w:rStyle w:val="Gvdemetni367pt0ptbolukbraklyor"/>
                <w:color w:val="auto"/>
                <w:sz w:val="18"/>
                <w:szCs w:val="18"/>
              </w:rPr>
              <w:t>C</w:t>
            </w:r>
            <w:r w:rsidRPr="00DE12A3">
              <w:rPr>
                <w:rStyle w:val="Gvdemetni367pt0ptbolukbraklyor"/>
                <w:color w:val="auto"/>
                <w:sz w:val="18"/>
                <w:szCs w:val="18"/>
                <w:vertAlign w:val="subscript"/>
              </w:rPr>
              <w:t>3</w:t>
            </w:r>
            <w:r w:rsidRPr="00DE12A3">
              <w:rPr>
                <w:rStyle w:val="Gvdemetni367pt0ptbolukbraklyor"/>
                <w:color w:val="auto"/>
                <w:sz w:val="18"/>
                <w:szCs w:val="18"/>
              </w:rPr>
              <w:t>-içeriği</w:t>
            </w:r>
          </w:p>
        </w:tc>
        <w:tc>
          <w:tcPr>
            <w:tcW w:w="1277" w:type="dxa"/>
            <w:shd w:val="clear" w:color="auto" w:fill="auto"/>
          </w:tcPr>
          <w:p w14:paraId="6F840B91" w14:textId="77777777" w:rsidR="00753EFD" w:rsidRPr="00DE12A3" w:rsidRDefault="00753EFD" w:rsidP="00C917D6">
            <w:pPr>
              <w:pStyle w:val="Gvdemetni360"/>
              <w:shd w:val="clear" w:color="auto" w:fill="auto"/>
              <w:spacing w:before="120" w:after="120" w:line="240" w:lineRule="auto"/>
              <w:ind w:firstLine="0"/>
              <w:jc w:val="center"/>
              <w:rPr>
                <w:sz w:val="18"/>
                <w:szCs w:val="18"/>
              </w:rPr>
            </w:pPr>
            <w:r w:rsidRPr="00DE12A3">
              <w:rPr>
                <w:rStyle w:val="Gvdemetni367pt0ptbolukbraklyor"/>
                <w:color w:val="auto"/>
                <w:sz w:val="18"/>
                <w:szCs w:val="18"/>
              </w:rPr>
              <w:t>% v/v</w:t>
            </w:r>
          </w:p>
        </w:tc>
        <w:tc>
          <w:tcPr>
            <w:tcW w:w="1282" w:type="dxa"/>
            <w:shd w:val="clear" w:color="auto" w:fill="auto"/>
          </w:tcPr>
          <w:p w14:paraId="37BCB695" w14:textId="77777777" w:rsidR="00753EFD" w:rsidRPr="00DE12A3" w:rsidRDefault="00753EFD" w:rsidP="00C917D6">
            <w:pPr>
              <w:pStyle w:val="Gvdemetni360"/>
              <w:shd w:val="clear" w:color="auto" w:fill="auto"/>
              <w:spacing w:before="120" w:after="120" w:line="240" w:lineRule="auto"/>
              <w:ind w:firstLine="0"/>
              <w:jc w:val="center"/>
              <w:rPr>
                <w:sz w:val="18"/>
                <w:szCs w:val="18"/>
              </w:rPr>
            </w:pPr>
            <w:r w:rsidRPr="00DE12A3">
              <w:rPr>
                <w:rStyle w:val="Gvdemetni367pt0ptbolukbraklyor"/>
                <w:color w:val="auto"/>
                <w:sz w:val="18"/>
                <w:szCs w:val="18"/>
              </w:rPr>
              <w:t>30 ± 2</w:t>
            </w:r>
          </w:p>
        </w:tc>
        <w:tc>
          <w:tcPr>
            <w:tcW w:w="1282" w:type="dxa"/>
            <w:shd w:val="clear" w:color="auto" w:fill="auto"/>
          </w:tcPr>
          <w:p w14:paraId="5DB551F6" w14:textId="77777777" w:rsidR="00753EFD" w:rsidRPr="00DE12A3" w:rsidRDefault="00753EFD" w:rsidP="00C917D6">
            <w:pPr>
              <w:pStyle w:val="Gvdemetni360"/>
              <w:shd w:val="clear" w:color="auto" w:fill="auto"/>
              <w:spacing w:before="120" w:after="120" w:line="240" w:lineRule="auto"/>
              <w:ind w:firstLine="0"/>
              <w:jc w:val="center"/>
              <w:rPr>
                <w:sz w:val="18"/>
                <w:szCs w:val="18"/>
              </w:rPr>
            </w:pPr>
            <w:r w:rsidRPr="00DE12A3">
              <w:rPr>
                <w:rStyle w:val="Gvdemetni367pt0ptbolukbraklyor"/>
                <w:color w:val="auto"/>
                <w:sz w:val="18"/>
                <w:szCs w:val="18"/>
              </w:rPr>
              <w:t>85 ± 2</w:t>
            </w:r>
          </w:p>
        </w:tc>
        <w:tc>
          <w:tcPr>
            <w:tcW w:w="1517" w:type="dxa"/>
            <w:shd w:val="clear" w:color="auto" w:fill="auto"/>
          </w:tcPr>
          <w:p w14:paraId="1016306C" w14:textId="77777777" w:rsidR="00753EFD" w:rsidRPr="00DE12A3" w:rsidRDefault="00753EFD" w:rsidP="00C917D6">
            <w:pPr>
              <w:spacing w:before="120" w:after="120"/>
              <w:rPr>
                <w:rFonts w:cs="Times New Roman"/>
                <w:color w:val="auto"/>
                <w:sz w:val="18"/>
                <w:szCs w:val="18"/>
              </w:rPr>
            </w:pPr>
          </w:p>
        </w:tc>
      </w:tr>
      <w:tr w:rsidR="00DE12A3" w:rsidRPr="00DE12A3" w14:paraId="636B7B17" w14:textId="77777777" w:rsidTr="00753EFD">
        <w:trPr>
          <w:trHeight w:hRule="exact" w:val="466"/>
          <w:jc w:val="center"/>
        </w:trPr>
        <w:tc>
          <w:tcPr>
            <w:tcW w:w="2424" w:type="dxa"/>
            <w:shd w:val="clear" w:color="auto" w:fill="auto"/>
          </w:tcPr>
          <w:p w14:paraId="135287AB" w14:textId="77777777" w:rsidR="00753EFD" w:rsidRPr="00DE12A3" w:rsidRDefault="00753EFD" w:rsidP="00C917D6">
            <w:pPr>
              <w:pStyle w:val="Gvdemetni360"/>
              <w:shd w:val="clear" w:color="auto" w:fill="auto"/>
              <w:spacing w:before="120" w:after="120" w:line="240" w:lineRule="auto"/>
              <w:ind w:left="40" w:firstLine="0"/>
              <w:jc w:val="left"/>
              <w:rPr>
                <w:sz w:val="18"/>
                <w:szCs w:val="18"/>
              </w:rPr>
            </w:pPr>
            <w:r w:rsidRPr="00DE12A3">
              <w:rPr>
                <w:rStyle w:val="Gvdemetni367pt0ptbolukbraklyor"/>
                <w:color w:val="auto"/>
                <w:sz w:val="18"/>
                <w:szCs w:val="18"/>
              </w:rPr>
              <w:t>C</w:t>
            </w:r>
            <w:r w:rsidRPr="00DE12A3">
              <w:rPr>
                <w:rStyle w:val="Gvdemetni367pt0ptbolukbraklyor"/>
                <w:color w:val="auto"/>
                <w:sz w:val="18"/>
                <w:szCs w:val="18"/>
                <w:vertAlign w:val="subscript"/>
              </w:rPr>
              <w:t>4</w:t>
            </w:r>
            <w:r w:rsidRPr="00DE12A3">
              <w:rPr>
                <w:rStyle w:val="Gvdemetni367pt0ptbolukbraklyor"/>
                <w:color w:val="auto"/>
                <w:sz w:val="18"/>
                <w:szCs w:val="18"/>
              </w:rPr>
              <w:t>-içeriği</w:t>
            </w:r>
          </w:p>
        </w:tc>
        <w:tc>
          <w:tcPr>
            <w:tcW w:w="1277" w:type="dxa"/>
            <w:shd w:val="clear" w:color="auto" w:fill="auto"/>
          </w:tcPr>
          <w:p w14:paraId="602B69AF" w14:textId="77777777" w:rsidR="00753EFD" w:rsidRPr="00DE12A3" w:rsidRDefault="00753EFD" w:rsidP="00C917D6">
            <w:pPr>
              <w:pStyle w:val="Gvdemetni360"/>
              <w:shd w:val="clear" w:color="auto" w:fill="auto"/>
              <w:spacing w:before="120" w:after="120" w:line="240" w:lineRule="auto"/>
              <w:ind w:firstLine="0"/>
              <w:jc w:val="center"/>
              <w:rPr>
                <w:sz w:val="18"/>
                <w:szCs w:val="18"/>
              </w:rPr>
            </w:pPr>
            <w:r w:rsidRPr="00DE12A3">
              <w:rPr>
                <w:rStyle w:val="Gvdemetni367pt0ptbolukbraklyor"/>
                <w:color w:val="auto"/>
                <w:sz w:val="18"/>
                <w:szCs w:val="18"/>
              </w:rPr>
              <w:t>% v/v</w:t>
            </w:r>
          </w:p>
        </w:tc>
        <w:tc>
          <w:tcPr>
            <w:tcW w:w="1282" w:type="dxa"/>
            <w:shd w:val="clear" w:color="auto" w:fill="auto"/>
          </w:tcPr>
          <w:p w14:paraId="7C82521C" w14:textId="77777777" w:rsidR="00753EFD" w:rsidRPr="00DE12A3" w:rsidRDefault="00753EFD" w:rsidP="00C917D6">
            <w:pPr>
              <w:pStyle w:val="Gvdemetni360"/>
              <w:shd w:val="clear" w:color="auto" w:fill="auto"/>
              <w:spacing w:before="120" w:after="120" w:line="240" w:lineRule="auto"/>
              <w:ind w:firstLine="0"/>
              <w:jc w:val="center"/>
              <w:rPr>
                <w:sz w:val="18"/>
                <w:szCs w:val="18"/>
              </w:rPr>
            </w:pPr>
            <w:r w:rsidRPr="00DE12A3">
              <w:rPr>
                <w:rStyle w:val="Gvdemetni367pt0ptbolukbraklyor"/>
                <w:color w:val="auto"/>
                <w:sz w:val="18"/>
                <w:szCs w:val="18"/>
              </w:rPr>
              <w:t>Denge (</w:t>
            </w:r>
            <w:r w:rsidRPr="00DE12A3">
              <w:rPr>
                <w:rStyle w:val="Gvdemetni367pt0ptbolukbraklyor"/>
                <w:color w:val="auto"/>
                <w:sz w:val="18"/>
                <w:szCs w:val="18"/>
                <w:vertAlign w:val="superscript"/>
              </w:rPr>
              <w:t>1</w:t>
            </w:r>
            <w:r w:rsidRPr="00DE12A3">
              <w:rPr>
                <w:rStyle w:val="Gvdemetni367pt0ptbolukbraklyor"/>
                <w:color w:val="auto"/>
                <w:sz w:val="18"/>
                <w:szCs w:val="18"/>
              </w:rPr>
              <w:t>)</w:t>
            </w:r>
          </w:p>
        </w:tc>
        <w:tc>
          <w:tcPr>
            <w:tcW w:w="1282" w:type="dxa"/>
            <w:shd w:val="clear" w:color="auto" w:fill="auto"/>
          </w:tcPr>
          <w:p w14:paraId="2E94FFD3" w14:textId="77777777" w:rsidR="00753EFD" w:rsidRPr="00DE12A3" w:rsidRDefault="00753EFD" w:rsidP="00C917D6">
            <w:pPr>
              <w:pStyle w:val="Gvdemetni360"/>
              <w:shd w:val="clear" w:color="auto" w:fill="auto"/>
              <w:spacing w:before="120" w:after="120" w:line="240" w:lineRule="auto"/>
              <w:ind w:firstLine="0"/>
              <w:jc w:val="center"/>
              <w:rPr>
                <w:sz w:val="18"/>
                <w:szCs w:val="18"/>
              </w:rPr>
            </w:pPr>
            <w:r w:rsidRPr="00DE12A3">
              <w:rPr>
                <w:rStyle w:val="Gvdemetni367pt0ptbolukbraklyor"/>
                <w:color w:val="auto"/>
                <w:sz w:val="18"/>
                <w:szCs w:val="18"/>
              </w:rPr>
              <w:t>Denge (</w:t>
            </w:r>
            <w:r w:rsidRPr="00DE12A3">
              <w:rPr>
                <w:rStyle w:val="Gvdemetni367pt0ptbolukbraklyor"/>
                <w:color w:val="auto"/>
                <w:sz w:val="18"/>
                <w:szCs w:val="18"/>
                <w:vertAlign w:val="superscript"/>
              </w:rPr>
              <w:t>1</w:t>
            </w:r>
            <w:r w:rsidRPr="00DE12A3">
              <w:rPr>
                <w:rStyle w:val="Gvdemetni367pt0ptbolukbraklyor"/>
                <w:color w:val="auto"/>
                <w:sz w:val="18"/>
                <w:szCs w:val="18"/>
              </w:rPr>
              <w:t>)</w:t>
            </w:r>
          </w:p>
        </w:tc>
        <w:tc>
          <w:tcPr>
            <w:tcW w:w="1517" w:type="dxa"/>
            <w:shd w:val="clear" w:color="auto" w:fill="auto"/>
          </w:tcPr>
          <w:p w14:paraId="2526FAAD" w14:textId="77777777" w:rsidR="00753EFD" w:rsidRPr="00DE12A3" w:rsidRDefault="00753EFD" w:rsidP="00C917D6">
            <w:pPr>
              <w:spacing w:before="120" w:after="120"/>
              <w:rPr>
                <w:rFonts w:cs="Times New Roman"/>
                <w:color w:val="auto"/>
                <w:sz w:val="18"/>
                <w:szCs w:val="18"/>
              </w:rPr>
            </w:pPr>
          </w:p>
        </w:tc>
      </w:tr>
      <w:tr w:rsidR="00753EFD" w:rsidRPr="00DE12A3" w14:paraId="77CF746B" w14:textId="77777777" w:rsidTr="00753EFD">
        <w:trPr>
          <w:trHeight w:hRule="exact" w:val="470"/>
          <w:jc w:val="center"/>
        </w:trPr>
        <w:tc>
          <w:tcPr>
            <w:tcW w:w="2424" w:type="dxa"/>
            <w:shd w:val="clear" w:color="auto" w:fill="auto"/>
          </w:tcPr>
          <w:p w14:paraId="2D5DFCB2" w14:textId="77777777" w:rsidR="00753EFD" w:rsidRPr="00DE12A3" w:rsidRDefault="00753EFD" w:rsidP="00C917D6">
            <w:pPr>
              <w:pStyle w:val="Gvdemetni360"/>
              <w:shd w:val="clear" w:color="auto" w:fill="auto"/>
              <w:spacing w:before="120" w:after="120" w:line="240" w:lineRule="auto"/>
              <w:ind w:left="40" w:firstLine="0"/>
              <w:jc w:val="left"/>
              <w:rPr>
                <w:sz w:val="18"/>
                <w:szCs w:val="18"/>
              </w:rPr>
            </w:pPr>
            <w:r w:rsidRPr="00DE12A3">
              <w:rPr>
                <w:rStyle w:val="Gvdemetni36Constantia45pt0ptbolukbraklyor"/>
                <w:rFonts w:ascii="Times New Roman" w:hAnsi="Times New Roman" w:cs="Times New Roman"/>
                <w:color w:val="auto"/>
                <w:sz w:val="18"/>
                <w:szCs w:val="18"/>
              </w:rPr>
              <w:t>&lt; C</w:t>
            </w:r>
            <w:r w:rsidRPr="00DE12A3">
              <w:rPr>
                <w:rStyle w:val="Gvdemetni36Constantia45pt0ptbolukbraklyor"/>
                <w:rFonts w:ascii="Times New Roman" w:hAnsi="Times New Roman" w:cs="Times New Roman"/>
                <w:color w:val="auto"/>
                <w:sz w:val="18"/>
                <w:szCs w:val="18"/>
                <w:vertAlign w:val="subscript"/>
              </w:rPr>
              <w:t>3</w:t>
            </w:r>
            <w:r w:rsidRPr="00DE12A3">
              <w:rPr>
                <w:rStyle w:val="Gvdemetni36Constantia45pt0ptbolukbraklyor"/>
                <w:rFonts w:ascii="Times New Roman" w:hAnsi="Times New Roman" w:cs="Times New Roman"/>
                <w:color w:val="auto"/>
                <w:sz w:val="18"/>
                <w:szCs w:val="18"/>
              </w:rPr>
              <w:t>, &gt; C</w:t>
            </w:r>
            <w:r w:rsidRPr="00DE12A3">
              <w:rPr>
                <w:rStyle w:val="Gvdemetni36Constantia45pt0ptbolukbraklyor"/>
                <w:rFonts w:ascii="Times New Roman" w:hAnsi="Times New Roman" w:cs="Times New Roman"/>
                <w:color w:val="auto"/>
                <w:sz w:val="18"/>
                <w:szCs w:val="18"/>
                <w:vertAlign w:val="subscript"/>
              </w:rPr>
              <w:t>4</w:t>
            </w:r>
          </w:p>
        </w:tc>
        <w:tc>
          <w:tcPr>
            <w:tcW w:w="1277" w:type="dxa"/>
            <w:shd w:val="clear" w:color="auto" w:fill="auto"/>
          </w:tcPr>
          <w:p w14:paraId="09B3FC41" w14:textId="77777777" w:rsidR="00753EFD" w:rsidRPr="00DE12A3" w:rsidRDefault="00753EFD" w:rsidP="00C917D6">
            <w:pPr>
              <w:pStyle w:val="Gvdemetni360"/>
              <w:shd w:val="clear" w:color="auto" w:fill="auto"/>
              <w:spacing w:before="120" w:after="120" w:line="240" w:lineRule="auto"/>
              <w:ind w:firstLine="0"/>
              <w:jc w:val="center"/>
              <w:rPr>
                <w:sz w:val="18"/>
                <w:szCs w:val="18"/>
              </w:rPr>
            </w:pPr>
            <w:r w:rsidRPr="00DE12A3">
              <w:rPr>
                <w:rStyle w:val="Gvdemetni367pt0ptbolukbraklyor"/>
                <w:color w:val="auto"/>
                <w:sz w:val="18"/>
                <w:szCs w:val="18"/>
              </w:rPr>
              <w:t>% v/v</w:t>
            </w:r>
          </w:p>
        </w:tc>
        <w:tc>
          <w:tcPr>
            <w:tcW w:w="1282" w:type="dxa"/>
            <w:shd w:val="clear" w:color="auto" w:fill="auto"/>
          </w:tcPr>
          <w:p w14:paraId="58E0F6F2" w14:textId="77777777" w:rsidR="00753EFD" w:rsidRPr="00DE12A3" w:rsidRDefault="00753EFD" w:rsidP="00C917D6">
            <w:pPr>
              <w:pStyle w:val="Gvdemetni360"/>
              <w:shd w:val="clear" w:color="auto" w:fill="auto"/>
              <w:spacing w:before="120" w:after="120" w:line="240" w:lineRule="auto"/>
              <w:ind w:firstLine="0"/>
              <w:jc w:val="center"/>
              <w:rPr>
                <w:sz w:val="18"/>
                <w:szCs w:val="18"/>
              </w:rPr>
            </w:pPr>
            <w:r w:rsidRPr="00DE12A3">
              <w:rPr>
                <w:rStyle w:val="Gvdemetni367pt0ptbolukbraklyor"/>
                <w:color w:val="auto"/>
                <w:sz w:val="18"/>
                <w:szCs w:val="18"/>
              </w:rPr>
              <w:t>Azami 2</w:t>
            </w:r>
          </w:p>
        </w:tc>
        <w:tc>
          <w:tcPr>
            <w:tcW w:w="1282" w:type="dxa"/>
            <w:shd w:val="clear" w:color="auto" w:fill="auto"/>
          </w:tcPr>
          <w:p w14:paraId="496E77A2" w14:textId="77777777" w:rsidR="00753EFD" w:rsidRPr="00DE12A3" w:rsidRDefault="00753EFD" w:rsidP="00C917D6">
            <w:pPr>
              <w:pStyle w:val="Gvdemetni360"/>
              <w:shd w:val="clear" w:color="auto" w:fill="auto"/>
              <w:spacing w:before="120" w:after="120" w:line="240" w:lineRule="auto"/>
              <w:ind w:firstLine="0"/>
              <w:jc w:val="center"/>
              <w:rPr>
                <w:sz w:val="18"/>
                <w:szCs w:val="18"/>
              </w:rPr>
            </w:pPr>
            <w:r w:rsidRPr="00DE12A3">
              <w:rPr>
                <w:rStyle w:val="Gvdemetni367pt0ptbolukbraklyor"/>
                <w:color w:val="auto"/>
                <w:sz w:val="18"/>
                <w:szCs w:val="18"/>
              </w:rPr>
              <w:t>Azami 2</w:t>
            </w:r>
          </w:p>
        </w:tc>
        <w:tc>
          <w:tcPr>
            <w:tcW w:w="1517" w:type="dxa"/>
            <w:shd w:val="clear" w:color="auto" w:fill="auto"/>
          </w:tcPr>
          <w:p w14:paraId="2DF053E6" w14:textId="77777777" w:rsidR="00753EFD" w:rsidRPr="00DE12A3" w:rsidRDefault="00753EFD" w:rsidP="00C917D6">
            <w:pPr>
              <w:spacing w:before="120" w:after="120"/>
              <w:rPr>
                <w:rFonts w:cs="Times New Roman"/>
                <w:color w:val="auto"/>
                <w:sz w:val="18"/>
                <w:szCs w:val="18"/>
              </w:rPr>
            </w:pPr>
          </w:p>
        </w:tc>
      </w:tr>
    </w:tbl>
    <w:p w14:paraId="6CB23337" w14:textId="77777777" w:rsidR="00753EFD" w:rsidRPr="00DE12A3" w:rsidRDefault="00753EFD" w:rsidP="00C917D6">
      <w:pPr>
        <w:spacing w:before="120" w:after="120"/>
        <w:rPr>
          <w:rFonts w:cs="Times New Roman"/>
          <w:color w:val="auto"/>
        </w:rPr>
      </w:pPr>
    </w:p>
    <w:tbl>
      <w:tblPr>
        <w:tblW w:w="77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424"/>
        <w:gridCol w:w="1277"/>
        <w:gridCol w:w="1282"/>
        <w:gridCol w:w="1282"/>
        <w:gridCol w:w="1517"/>
      </w:tblGrid>
      <w:tr w:rsidR="00DE12A3" w:rsidRPr="00DE12A3" w14:paraId="5864860A" w14:textId="77777777" w:rsidTr="00753EFD">
        <w:trPr>
          <w:trHeight w:val="485"/>
          <w:jc w:val="center"/>
        </w:trPr>
        <w:tc>
          <w:tcPr>
            <w:tcW w:w="2424" w:type="dxa"/>
            <w:shd w:val="clear" w:color="auto" w:fill="FFFFFF"/>
          </w:tcPr>
          <w:p w14:paraId="0B63B90C" w14:textId="77777777" w:rsidR="00753EFD" w:rsidRPr="00DE12A3" w:rsidRDefault="00753EFD" w:rsidP="00C917D6">
            <w:pPr>
              <w:pStyle w:val="Gvdemetni0"/>
              <w:shd w:val="clear" w:color="auto" w:fill="auto"/>
              <w:spacing w:before="120" w:after="120" w:line="240" w:lineRule="auto"/>
              <w:ind w:firstLine="0"/>
              <w:rPr>
                <w:sz w:val="18"/>
                <w:szCs w:val="18"/>
              </w:rPr>
            </w:pPr>
            <w:r w:rsidRPr="00DE12A3">
              <w:rPr>
                <w:rStyle w:val="Gvdemetni0ptbolukbraklyor"/>
                <w:color w:val="auto"/>
                <w:sz w:val="18"/>
                <w:szCs w:val="18"/>
              </w:rPr>
              <w:t>Parametre</w:t>
            </w:r>
          </w:p>
        </w:tc>
        <w:tc>
          <w:tcPr>
            <w:tcW w:w="1277" w:type="dxa"/>
            <w:shd w:val="clear" w:color="auto" w:fill="FFFFFF"/>
          </w:tcPr>
          <w:p w14:paraId="0BBEC2C6" w14:textId="77777777" w:rsidR="00753EFD" w:rsidRPr="00DE12A3" w:rsidRDefault="00753EFD" w:rsidP="00C917D6">
            <w:pPr>
              <w:pStyle w:val="Gvdemetni0"/>
              <w:shd w:val="clear" w:color="auto" w:fill="auto"/>
              <w:spacing w:before="120" w:after="120" w:line="240" w:lineRule="auto"/>
              <w:ind w:firstLine="0"/>
              <w:rPr>
                <w:sz w:val="18"/>
                <w:szCs w:val="18"/>
              </w:rPr>
            </w:pPr>
            <w:r w:rsidRPr="00DE12A3">
              <w:rPr>
                <w:rStyle w:val="Gvdemetni0ptbolukbraklyor"/>
                <w:color w:val="auto"/>
                <w:sz w:val="18"/>
                <w:szCs w:val="18"/>
              </w:rPr>
              <w:t>Birim</w:t>
            </w:r>
          </w:p>
        </w:tc>
        <w:tc>
          <w:tcPr>
            <w:tcW w:w="1282" w:type="dxa"/>
            <w:shd w:val="clear" w:color="auto" w:fill="FFFFFF"/>
          </w:tcPr>
          <w:p w14:paraId="3042EF5C" w14:textId="77777777" w:rsidR="00753EFD" w:rsidRPr="00DE12A3" w:rsidRDefault="00753EFD" w:rsidP="00C917D6">
            <w:pPr>
              <w:pStyle w:val="Gvdemetni0"/>
              <w:shd w:val="clear" w:color="auto" w:fill="auto"/>
              <w:spacing w:before="120" w:after="120" w:line="240" w:lineRule="auto"/>
              <w:ind w:firstLine="0"/>
              <w:rPr>
                <w:sz w:val="18"/>
                <w:szCs w:val="18"/>
              </w:rPr>
            </w:pPr>
            <w:r w:rsidRPr="00DE12A3">
              <w:rPr>
                <w:rStyle w:val="Gvdemetni0ptbolukbraklyor"/>
                <w:color w:val="auto"/>
                <w:sz w:val="18"/>
                <w:szCs w:val="18"/>
              </w:rPr>
              <w:t>Yakıt A</w:t>
            </w:r>
          </w:p>
        </w:tc>
        <w:tc>
          <w:tcPr>
            <w:tcW w:w="1282" w:type="dxa"/>
            <w:shd w:val="clear" w:color="auto" w:fill="FFFFFF"/>
          </w:tcPr>
          <w:p w14:paraId="12E57690" w14:textId="77777777" w:rsidR="00753EFD" w:rsidRPr="00DE12A3" w:rsidRDefault="00753EFD" w:rsidP="00C917D6">
            <w:pPr>
              <w:pStyle w:val="Gvdemetni0"/>
              <w:shd w:val="clear" w:color="auto" w:fill="auto"/>
              <w:spacing w:before="120" w:after="120" w:line="240" w:lineRule="auto"/>
              <w:ind w:firstLine="0"/>
              <w:rPr>
                <w:sz w:val="18"/>
                <w:szCs w:val="18"/>
              </w:rPr>
            </w:pPr>
            <w:r w:rsidRPr="00DE12A3">
              <w:rPr>
                <w:rStyle w:val="Gvdemetni0ptbolukbraklyor"/>
                <w:color w:val="auto"/>
                <w:sz w:val="18"/>
                <w:szCs w:val="18"/>
              </w:rPr>
              <w:t>Yakıt B</w:t>
            </w:r>
          </w:p>
        </w:tc>
        <w:tc>
          <w:tcPr>
            <w:tcW w:w="1517" w:type="dxa"/>
            <w:shd w:val="clear" w:color="auto" w:fill="FFFFFF"/>
          </w:tcPr>
          <w:p w14:paraId="08023980" w14:textId="77777777" w:rsidR="00753EFD" w:rsidRPr="00DE12A3" w:rsidRDefault="00753EFD" w:rsidP="00C917D6">
            <w:pPr>
              <w:pStyle w:val="Gvdemetni0"/>
              <w:shd w:val="clear" w:color="auto" w:fill="auto"/>
              <w:spacing w:before="120" w:after="120" w:line="240" w:lineRule="auto"/>
              <w:ind w:firstLine="0"/>
              <w:rPr>
                <w:sz w:val="18"/>
                <w:szCs w:val="18"/>
              </w:rPr>
            </w:pPr>
            <w:r w:rsidRPr="00DE12A3">
              <w:rPr>
                <w:rStyle w:val="Gvdemetni0ptbolukbraklyor"/>
                <w:color w:val="auto"/>
                <w:sz w:val="18"/>
                <w:szCs w:val="18"/>
              </w:rPr>
              <w:t>Test yöntemi</w:t>
            </w:r>
          </w:p>
        </w:tc>
      </w:tr>
      <w:tr w:rsidR="00DE12A3" w:rsidRPr="00DE12A3" w14:paraId="07E143C2" w14:textId="77777777" w:rsidTr="00753EFD">
        <w:trPr>
          <w:trHeight w:hRule="exact" w:val="427"/>
          <w:jc w:val="center"/>
        </w:trPr>
        <w:tc>
          <w:tcPr>
            <w:tcW w:w="2424" w:type="dxa"/>
            <w:shd w:val="clear" w:color="auto" w:fill="FFFFFF"/>
          </w:tcPr>
          <w:p w14:paraId="237723B9" w14:textId="77777777" w:rsidR="00753EFD" w:rsidRPr="00DE12A3" w:rsidRDefault="00753EFD" w:rsidP="00C917D6">
            <w:pPr>
              <w:pStyle w:val="Gvdemetni0"/>
              <w:shd w:val="clear" w:color="auto" w:fill="auto"/>
              <w:spacing w:before="120" w:after="120" w:line="240" w:lineRule="auto"/>
              <w:ind w:firstLine="0"/>
              <w:jc w:val="both"/>
              <w:rPr>
                <w:sz w:val="18"/>
              </w:rPr>
            </w:pPr>
            <w:r w:rsidRPr="00DE12A3">
              <w:rPr>
                <w:rStyle w:val="Gvdemetni95pt0ptbolukbraklyor"/>
                <w:color w:val="auto"/>
                <w:sz w:val="18"/>
              </w:rPr>
              <w:t>Olefinler</w:t>
            </w:r>
          </w:p>
        </w:tc>
        <w:tc>
          <w:tcPr>
            <w:tcW w:w="1277" w:type="dxa"/>
            <w:shd w:val="clear" w:color="auto" w:fill="FFFFFF"/>
          </w:tcPr>
          <w:p w14:paraId="2CA22DE0" w14:textId="77777777" w:rsidR="00753EFD" w:rsidRPr="00DE12A3" w:rsidRDefault="00753EFD" w:rsidP="00C917D6">
            <w:pPr>
              <w:pStyle w:val="Gvdemetni360"/>
              <w:shd w:val="clear" w:color="auto" w:fill="auto"/>
              <w:spacing w:before="120" w:after="120" w:line="240" w:lineRule="auto"/>
              <w:ind w:firstLine="0"/>
              <w:jc w:val="center"/>
              <w:rPr>
                <w:sz w:val="18"/>
                <w:szCs w:val="18"/>
              </w:rPr>
            </w:pPr>
            <w:r w:rsidRPr="00DE12A3">
              <w:rPr>
                <w:rStyle w:val="Gvdemetni367pt0ptbolukbraklyor"/>
                <w:color w:val="auto"/>
                <w:sz w:val="18"/>
                <w:szCs w:val="18"/>
              </w:rPr>
              <w:t>% v/v</w:t>
            </w:r>
          </w:p>
        </w:tc>
        <w:tc>
          <w:tcPr>
            <w:tcW w:w="1282" w:type="dxa"/>
            <w:shd w:val="clear" w:color="auto" w:fill="FFFFFF"/>
          </w:tcPr>
          <w:p w14:paraId="64C6B0A8" w14:textId="77777777" w:rsidR="00753EFD" w:rsidRPr="00DE12A3" w:rsidRDefault="00753EFD" w:rsidP="00C917D6">
            <w:pPr>
              <w:pStyle w:val="Gvdemetni0"/>
              <w:shd w:val="clear" w:color="auto" w:fill="auto"/>
              <w:spacing w:before="120" w:after="120" w:line="240" w:lineRule="auto"/>
              <w:ind w:firstLine="0"/>
              <w:rPr>
                <w:sz w:val="18"/>
              </w:rPr>
            </w:pPr>
            <w:r w:rsidRPr="00DE12A3">
              <w:rPr>
                <w:rStyle w:val="Gvdemetni95pt0ptbolukbraklyor"/>
                <w:color w:val="auto"/>
                <w:sz w:val="18"/>
              </w:rPr>
              <w:t>Azami 12</w:t>
            </w:r>
          </w:p>
        </w:tc>
        <w:tc>
          <w:tcPr>
            <w:tcW w:w="1282" w:type="dxa"/>
            <w:shd w:val="clear" w:color="auto" w:fill="FFFFFF"/>
          </w:tcPr>
          <w:p w14:paraId="35740568" w14:textId="77777777" w:rsidR="00753EFD" w:rsidRPr="00DE12A3" w:rsidRDefault="00753EFD" w:rsidP="00C917D6">
            <w:pPr>
              <w:pStyle w:val="Gvdemetni0"/>
              <w:shd w:val="clear" w:color="auto" w:fill="auto"/>
              <w:spacing w:before="120" w:after="120" w:line="240" w:lineRule="auto"/>
              <w:ind w:firstLine="0"/>
              <w:rPr>
                <w:sz w:val="18"/>
              </w:rPr>
            </w:pPr>
            <w:r w:rsidRPr="00DE12A3">
              <w:rPr>
                <w:rStyle w:val="Gvdemetni95pt0ptbolukbraklyor"/>
                <w:color w:val="auto"/>
                <w:sz w:val="18"/>
              </w:rPr>
              <w:t>Azami 15</w:t>
            </w:r>
          </w:p>
        </w:tc>
        <w:tc>
          <w:tcPr>
            <w:tcW w:w="1517" w:type="dxa"/>
            <w:shd w:val="clear" w:color="auto" w:fill="FFFFFF"/>
          </w:tcPr>
          <w:p w14:paraId="3F004198" w14:textId="77777777" w:rsidR="00753EFD" w:rsidRPr="00DE12A3" w:rsidRDefault="00753EFD" w:rsidP="00C917D6">
            <w:pPr>
              <w:spacing w:before="120" w:after="120"/>
              <w:rPr>
                <w:rFonts w:cs="Times New Roman"/>
                <w:color w:val="auto"/>
                <w:sz w:val="18"/>
                <w:szCs w:val="18"/>
              </w:rPr>
            </w:pPr>
          </w:p>
        </w:tc>
      </w:tr>
      <w:tr w:rsidR="00DE12A3" w:rsidRPr="00DE12A3" w14:paraId="2F325373" w14:textId="77777777" w:rsidTr="00753EFD">
        <w:trPr>
          <w:trHeight w:hRule="exact" w:val="494"/>
          <w:jc w:val="center"/>
        </w:trPr>
        <w:tc>
          <w:tcPr>
            <w:tcW w:w="2424" w:type="dxa"/>
            <w:shd w:val="clear" w:color="auto" w:fill="FFFFFF"/>
          </w:tcPr>
          <w:p w14:paraId="67F10D4A" w14:textId="77777777" w:rsidR="00753EFD" w:rsidRPr="00DE12A3" w:rsidRDefault="00753EFD" w:rsidP="00C917D6">
            <w:pPr>
              <w:pStyle w:val="Gvdemetni0"/>
              <w:shd w:val="clear" w:color="auto" w:fill="auto"/>
              <w:spacing w:before="120" w:after="120" w:line="240" w:lineRule="auto"/>
              <w:ind w:firstLine="0"/>
              <w:jc w:val="both"/>
              <w:rPr>
                <w:sz w:val="18"/>
              </w:rPr>
            </w:pPr>
            <w:r w:rsidRPr="00DE12A3">
              <w:rPr>
                <w:rStyle w:val="Gvdemetni95pt0ptbolukbraklyor"/>
                <w:color w:val="auto"/>
                <w:sz w:val="18"/>
              </w:rPr>
              <w:t>Buharlaşma artığı</w:t>
            </w:r>
          </w:p>
        </w:tc>
        <w:tc>
          <w:tcPr>
            <w:tcW w:w="1277" w:type="dxa"/>
            <w:shd w:val="clear" w:color="auto" w:fill="FFFFFF"/>
          </w:tcPr>
          <w:p w14:paraId="2597C958" w14:textId="77777777" w:rsidR="00753EFD" w:rsidRPr="00DE12A3" w:rsidRDefault="00753EFD" w:rsidP="00C917D6">
            <w:pPr>
              <w:pStyle w:val="Gvdemetni360"/>
              <w:shd w:val="clear" w:color="auto" w:fill="auto"/>
              <w:spacing w:before="120" w:after="120" w:line="240" w:lineRule="auto"/>
              <w:ind w:firstLine="0"/>
              <w:jc w:val="center"/>
              <w:rPr>
                <w:sz w:val="18"/>
                <w:szCs w:val="18"/>
              </w:rPr>
            </w:pPr>
            <w:r w:rsidRPr="00DE12A3">
              <w:rPr>
                <w:rStyle w:val="Gvdemetni367pt0ptbolukbraklyor"/>
                <w:color w:val="auto"/>
                <w:sz w:val="18"/>
                <w:szCs w:val="18"/>
              </w:rPr>
              <w:t>mg/kg</w:t>
            </w:r>
          </w:p>
        </w:tc>
        <w:tc>
          <w:tcPr>
            <w:tcW w:w="1282" w:type="dxa"/>
            <w:shd w:val="clear" w:color="auto" w:fill="FFFFFF"/>
          </w:tcPr>
          <w:p w14:paraId="4B13F94E" w14:textId="77777777" w:rsidR="00753EFD" w:rsidRPr="00DE12A3" w:rsidRDefault="00753EFD" w:rsidP="00C917D6">
            <w:pPr>
              <w:pStyle w:val="Gvdemetni0"/>
              <w:shd w:val="clear" w:color="auto" w:fill="auto"/>
              <w:spacing w:before="120" w:after="120" w:line="240" w:lineRule="auto"/>
              <w:ind w:firstLine="0"/>
              <w:rPr>
                <w:sz w:val="18"/>
              </w:rPr>
            </w:pPr>
            <w:r w:rsidRPr="00DE12A3">
              <w:rPr>
                <w:rStyle w:val="Gvdemetni95pt0ptbolukbraklyor"/>
                <w:color w:val="auto"/>
                <w:sz w:val="18"/>
              </w:rPr>
              <w:t>Azami 50</w:t>
            </w:r>
          </w:p>
        </w:tc>
        <w:tc>
          <w:tcPr>
            <w:tcW w:w="1282" w:type="dxa"/>
            <w:shd w:val="clear" w:color="auto" w:fill="FFFFFF"/>
          </w:tcPr>
          <w:p w14:paraId="584FF1FD" w14:textId="77777777" w:rsidR="00753EFD" w:rsidRPr="00DE12A3" w:rsidRDefault="00753EFD" w:rsidP="00C917D6">
            <w:pPr>
              <w:pStyle w:val="Gvdemetni0"/>
              <w:shd w:val="clear" w:color="auto" w:fill="auto"/>
              <w:spacing w:before="120" w:after="120" w:line="240" w:lineRule="auto"/>
              <w:ind w:firstLine="0"/>
              <w:rPr>
                <w:sz w:val="18"/>
              </w:rPr>
            </w:pPr>
            <w:r w:rsidRPr="00DE12A3">
              <w:rPr>
                <w:rStyle w:val="Gvdemetni95pt0ptbolukbraklyor"/>
                <w:color w:val="auto"/>
                <w:sz w:val="18"/>
              </w:rPr>
              <w:t>Azami 50</w:t>
            </w:r>
          </w:p>
        </w:tc>
        <w:tc>
          <w:tcPr>
            <w:tcW w:w="1517" w:type="dxa"/>
            <w:shd w:val="clear" w:color="auto" w:fill="FFFFFF"/>
          </w:tcPr>
          <w:p w14:paraId="0E0349C9" w14:textId="77777777" w:rsidR="00753EFD" w:rsidRPr="00DE12A3" w:rsidRDefault="00753EFD" w:rsidP="00C917D6">
            <w:pPr>
              <w:pStyle w:val="Gvdemetni360"/>
              <w:shd w:val="clear" w:color="auto" w:fill="auto"/>
              <w:spacing w:before="120" w:after="120" w:line="240" w:lineRule="auto"/>
              <w:ind w:firstLine="0"/>
              <w:jc w:val="left"/>
              <w:rPr>
                <w:sz w:val="18"/>
                <w:szCs w:val="18"/>
              </w:rPr>
            </w:pPr>
            <w:r w:rsidRPr="00DE12A3">
              <w:rPr>
                <w:rStyle w:val="Gvdemetni367pt0ptbolukbraklyor"/>
                <w:color w:val="auto"/>
                <w:sz w:val="18"/>
                <w:szCs w:val="18"/>
              </w:rPr>
              <w:t>EN 15470</w:t>
            </w:r>
          </w:p>
        </w:tc>
      </w:tr>
      <w:tr w:rsidR="00DE12A3" w:rsidRPr="00DE12A3" w14:paraId="61721B2D" w14:textId="77777777" w:rsidTr="00753EFD">
        <w:trPr>
          <w:trHeight w:hRule="exact" w:val="494"/>
          <w:jc w:val="center"/>
        </w:trPr>
        <w:tc>
          <w:tcPr>
            <w:tcW w:w="2424" w:type="dxa"/>
            <w:shd w:val="clear" w:color="auto" w:fill="FFFFFF"/>
          </w:tcPr>
          <w:p w14:paraId="38B83BCB" w14:textId="77777777" w:rsidR="00753EFD" w:rsidRPr="00DE12A3" w:rsidRDefault="00753EFD" w:rsidP="00C917D6">
            <w:pPr>
              <w:pStyle w:val="Gvdemetni0"/>
              <w:shd w:val="clear" w:color="auto" w:fill="auto"/>
              <w:spacing w:before="120" w:after="120" w:line="240" w:lineRule="auto"/>
              <w:ind w:firstLine="0"/>
              <w:jc w:val="both"/>
              <w:rPr>
                <w:sz w:val="18"/>
              </w:rPr>
            </w:pPr>
            <w:r w:rsidRPr="00DE12A3">
              <w:rPr>
                <w:rStyle w:val="Gvdemetni95pt0ptbolukbraklyor"/>
                <w:color w:val="auto"/>
                <w:sz w:val="18"/>
              </w:rPr>
              <w:t>0 °C'de su</w:t>
            </w:r>
          </w:p>
        </w:tc>
        <w:tc>
          <w:tcPr>
            <w:tcW w:w="1277" w:type="dxa"/>
            <w:shd w:val="clear" w:color="auto" w:fill="FFFFFF"/>
          </w:tcPr>
          <w:p w14:paraId="0EDAAC7F" w14:textId="77777777" w:rsidR="00753EFD" w:rsidRPr="00DE12A3" w:rsidRDefault="00753EFD" w:rsidP="00C917D6">
            <w:pPr>
              <w:spacing w:before="120" w:after="120"/>
              <w:rPr>
                <w:rFonts w:cs="Times New Roman"/>
                <w:color w:val="auto"/>
                <w:sz w:val="18"/>
                <w:szCs w:val="18"/>
              </w:rPr>
            </w:pPr>
          </w:p>
        </w:tc>
        <w:tc>
          <w:tcPr>
            <w:tcW w:w="1282" w:type="dxa"/>
            <w:shd w:val="clear" w:color="auto" w:fill="FFFFFF"/>
          </w:tcPr>
          <w:p w14:paraId="76183E21" w14:textId="77777777" w:rsidR="00753EFD" w:rsidRPr="00DE12A3" w:rsidRDefault="00753EFD" w:rsidP="00C917D6">
            <w:pPr>
              <w:pStyle w:val="Gvdemetni0"/>
              <w:shd w:val="clear" w:color="auto" w:fill="auto"/>
              <w:spacing w:before="120" w:after="120" w:line="240" w:lineRule="auto"/>
              <w:ind w:firstLine="0"/>
              <w:rPr>
                <w:sz w:val="18"/>
              </w:rPr>
            </w:pPr>
            <w:r w:rsidRPr="00DE12A3">
              <w:rPr>
                <w:rStyle w:val="Gvdemetni95pt0ptbolukbraklyor"/>
                <w:color w:val="auto"/>
                <w:sz w:val="18"/>
              </w:rPr>
              <w:t>Serbest</w:t>
            </w:r>
          </w:p>
        </w:tc>
        <w:tc>
          <w:tcPr>
            <w:tcW w:w="1282" w:type="dxa"/>
            <w:shd w:val="clear" w:color="auto" w:fill="FFFFFF"/>
          </w:tcPr>
          <w:p w14:paraId="1B146875" w14:textId="77777777" w:rsidR="00753EFD" w:rsidRPr="00DE12A3" w:rsidRDefault="00753EFD" w:rsidP="00C917D6">
            <w:pPr>
              <w:pStyle w:val="Gvdemetni0"/>
              <w:shd w:val="clear" w:color="auto" w:fill="auto"/>
              <w:spacing w:before="120" w:after="120" w:line="240" w:lineRule="auto"/>
              <w:ind w:firstLine="0"/>
              <w:rPr>
                <w:sz w:val="18"/>
              </w:rPr>
            </w:pPr>
            <w:r w:rsidRPr="00DE12A3">
              <w:rPr>
                <w:rStyle w:val="Gvdemetni95pt0ptbolukbraklyor"/>
                <w:color w:val="auto"/>
                <w:sz w:val="18"/>
              </w:rPr>
              <w:t>Serbest</w:t>
            </w:r>
          </w:p>
        </w:tc>
        <w:tc>
          <w:tcPr>
            <w:tcW w:w="1517" w:type="dxa"/>
            <w:shd w:val="clear" w:color="auto" w:fill="FFFFFF"/>
          </w:tcPr>
          <w:p w14:paraId="78F81CB4" w14:textId="77777777" w:rsidR="00753EFD" w:rsidRPr="00DE12A3" w:rsidRDefault="00753EFD" w:rsidP="00C917D6">
            <w:pPr>
              <w:pStyle w:val="Gvdemetni360"/>
              <w:shd w:val="clear" w:color="auto" w:fill="auto"/>
              <w:spacing w:before="120" w:after="120" w:line="240" w:lineRule="auto"/>
              <w:ind w:firstLine="0"/>
              <w:jc w:val="left"/>
              <w:rPr>
                <w:sz w:val="18"/>
                <w:szCs w:val="18"/>
              </w:rPr>
            </w:pPr>
            <w:r w:rsidRPr="00DE12A3">
              <w:rPr>
                <w:rStyle w:val="Gvdemetni367pt0ptbolukbraklyor"/>
                <w:color w:val="auto"/>
                <w:sz w:val="18"/>
                <w:szCs w:val="18"/>
              </w:rPr>
              <w:t>EN 15469</w:t>
            </w:r>
          </w:p>
        </w:tc>
      </w:tr>
      <w:tr w:rsidR="00DE12A3" w:rsidRPr="00DE12A3" w14:paraId="48D07F06" w14:textId="77777777" w:rsidTr="00753EFD">
        <w:trPr>
          <w:trHeight w:hRule="exact" w:val="878"/>
          <w:jc w:val="center"/>
        </w:trPr>
        <w:tc>
          <w:tcPr>
            <w:tcW w:w="2424" w:type="dxa"/>
            <w:shd w:val="clear" w:color="auto" w:fill="FFFFFF"/>
          </w:tcPr>
          <w:p w14:paraId="71897BDD" w14:textId="77777777" w:rsidR="00753EFD" w:rsidRPr="00DE12A3" w:rsidRDefault="00753EFD" w:rsidP="00C917D6">
            <w:pPr>
              <w:pStyle w:val="Gvdemetni0"/>
              <w:shd w:val="clear" w:color="auto" w:fill="auto"/>
              <w:spacing w:before="120" w:after="120" w:line="240" w:lineRule="auto"/>
              <w:ind w:firstLine="0"/>
              <w:jc w:val="both"/>
              <w:rPr>
                <w:sz w:val="18"/>
              </w:rPr>
            </w:pPr>
            <w:r w:rsidRPr="00DE12A3">
              <w:rPr>
                <w:rStyle w:val="Gvdemetni95pt0ptbolukbraklyor"/>
                <w:color w:val="auto"/>
                <w:sz w:val="18"/>
              </w:rPr>
              <w:t>Koku maddesi dahil toplam kükürt içeriği</w:t>
            </w:r>
          </w:p>
        </w:tc>
        <w:tc>
          <w:tcPr>
            <w:tcW w:w="1277" w:type="dxa"/>
            <w:shd w:val="clear" w:color="auto" w:fill="FFFFFF"/>
          </w:tcPr>
          <w:p w14:paraId="4261CA6A" w14:textId="77777777" w:rsidR="00753EFD" w:rsidRPr="00DE12A3" w:rsidRDefault="00753EFD" w:rsidP="00C917D6">
            <w:pPr>
              <w:pStyle w:val="Gvdemetni360"/>
              <w:shd w:val="clear" w:color="auto" w:fill="auto"/>
              <w:spacing w:before="120" w:after="120" w:line="240" w:lineRule="auto"/>
              <w:ind w:firstLine="0"/>
              <w:jc w:val="center"/>
              <w:rPr>
                <w:sz w:val="18"/>
                <w:szCs w:val="18"/>
              </w:rPr>
            </w:pPr>
            <w:r w:rsidRPr="00DE12A3">
              <w:rPr>
                <w:rStyle w:val="Gvdemetni367pt0ptbolukbraklyor"/>
                <w:color w:val="auto"/>
                <w:sz w:val="18"/>
                <w:szCs w:val="18"/>
              </w:rPr>
              <w:t>mg/kg</w:t>
            </w:r>
          </w:p>
        </w:tc>
        <w:tc>
          <w:tcPr>
            <w:tcW w:w="1282" w:type="dxa"/>
            <w:shd w:val="clear" w:color="auto" w:fill="FFFFFF"/>
          </w:tcPr>
          <w:p w14:paraId="3C9F2B89" w14:textId="77777777" w:rsidR="00753EFD" w:rsidRPr="00DE12A3" w:rsidRDefault="00753EFD" w:rsidP="00C917D6">
            <w:pPr>
              <w:pStyle w:val="Gvdemetni0"/>
              <w:shd w:val="clear" w:color="auto" w:fill="auto"/>
              <w:spacing w:before="120" w:after="120" w:line="240" w:lineRule="auto"/>
              <w:ind w:firstLine="0"/>
              <w:rPr>
                <w:sz w:val="18"/>
              </w:rPr>
            </w:pPr>
            <w:r w:rsidRPr="00DE12A3">
              <w:rPr>
                <w:rStyle w:val="Gvdemetni95pt0ptbolukbraklyor"/>
                <w:color w:val="auto"/>
                <w:sz w:val="18"/>
              </w:rPr>
              <w:t>Azami 10</w:t>
            </w:r>
          </w:p>
        </w:tc>
        <w:tc>
          <w:tcPr>
            <w:tcW w:w="1282" w:type="dxa"/>
            <w:shd w:val="clear" w:color="auto" w:fill="FFFFFF"/>
          </w:tcPr>
          <w:p w14:paraId="4155F73E" w14:textId="77777777" w:rsidR="00753EFD" w:rsidRPr="00DE12A3" w:rsidRDefault="00753EFD" w:rsidP="00C917D6">
            <w:pPr>
              <w:pStyle w:val="Gvdemetni0"/>
              <w:shd w:val="clear" w:color="auto" w:fill="auto"/>
              <w:spacing w:before="120" w:after="120" w:line="240" w:lineRule="auto"/>
              <w:ind w:firstLine="0"/>
              <w:rPr>
                <w:sz w:val="18"/>
              </w:rPr>
            </w:pPr>
            <w:r w:rsidRPr="00DE12A3">
              <w:rPr>
                <w:rStyle w:val="Gvdemetni95pt0ptbolukbraklyor"/>
                <w:color w:val="auto"/>
                <w:sz w:val="18"/>
              </w:rPr>
              <w:t>Azami 10</w:t>
            </w:r>
          </w:p>
        </w:tc>
        <w:tc>
          <w:tcPr>
            <w:tcW w:w="1517" w:type="dxa"/>
            <w:shd w:val="clear" w:color="auto" w:fill="FFFFFF"/>
          </w:tcPr>
          <w:p w14:paraId="19FAE283" w14:textId="77777777" w:rsidR="00753EFD" w:rsidRPr="00DE12A3" w:rsidRDefault="00753EFD" w:rsidP="00C917D6">
            <w:pPr>
              <w:pStyle w:val="Gvdemetni360"/>
              <w:shd w:val="clear" w:color="auto" w:fill="auto"/>
              <w:spacing w:before="120" w:after="120" w:line="240" w:lineRule="auto"/>
              <w:ind w:firstLine="0"/>
              <w:jc w:val="left"/>
              <w:rPr>
                <w:sz w:val="18"/>
                <w:szCs w:val="18"/>
              </w:rPr>
            </w:pPr>
            <w:r w:rsidRPr="00DE12A3">
              <w:rPr>
                <w:rStyle w:val="Gvdemetni367pt0ptbolukbraklyor"/>
                <w:color w:val="auto"/>
                <w:sz w:val="18"/>
                <w:szCs w:val="18"/>
              </w:rPr>
              <w:t>EN 24260, ASTM D 3246, ASTM 6667</w:t>
            </w:r>
          </w:p>
        </w:tc>
      </w:tr>
      <w:tr w:rsidR="00DE12A3" w:rsidRPr="00DE12A3" w14:paraId="3299DB14" w14:textId="77777777" w:rsidTr="00753EFD">
        <w:trPr>
          <w:trHeight w:hRule="exact" w:val="494"/>
          <w:jc w:val="center"/>
        </w:trPr>
        <w:tc>
          <w:tcPr>
            <w:tcW w:w="2424" w:type="dxa"/>
            <w:shd w:val="clear" w:color="auto" w:fill="FFFFFF"/>
          </w:tcPr>
          <w:p w14:paraId="01A5F54E" w14:textId="77777777" w:rsidR="00753EFD" w:rsidRPr="00DE12A3" w:rsidRDefault="00753EFD" w:rsidP="00C917D6">
            <w:pPr>
              <w:pStyle w:val="Gvdemetni0"/>
              <w:shd w:val="clear" w:color="auto" w:fill="auto"/>
              <w:spacing w:before="120" w:after="120" w:line="240" w:lineRule="auto"/>
              <w:ind w:firstLine="0"/>
              <w:jc w:val="both"/>
              <w:rPr>
                <w:sz w:val="18"/>
              </w:rPr>
            </w:pPr>
            <w:r w:rsidRPr="00DE12A3">
              <w:rPr>
                <w:rStyle w:val="Gvdemetni95pt0ptbolukbraklyor"/>
                <w:color w:val="auto"/>
                <w:sz w:val="18"/>
              </w:rPr>
              <w:t>Hidrojen sülfür</w:t>
            </w:r>
          </w:p>
        </w:tc>
        <w:tc>
          <w:tcPr>
            <w:tcW w:w="1277" w:type="dxa"/>
            <w:shd w:val="clear" w:color="auto" w:fill="FFFFFF"/>
          </w:tcPr>
          <w:p w14:paraId="56C068EF" w14:textId="77777777" w:rsidR="00753EFD" w:rsidRPr="00DE12A3" w:rsidRDefault="00753EFD" w:rsidP="00C917D6">
            <w:pPr>
              <w:spacing w:before="120" w:after="120"/>
              <w:rPr>
                <w:rFonts w:cs="Times New Roman"/>
                <w:color w:val="auto"/>
                <w:sz w:val="18"/>
                <w:szCs w:val="18"/>
              </w:rPr>
            </w:pPr>
          </w:p>
        </w:tc>
        <w:tc>
          <w:tcPr>
            <w:tcW w:w="1282" w:type="dxa"/>
            <w:shd w:val="clear" w:color="auto" w:fill="FFFFFF"/>
          </w:tcPr>
          <w:p w14:paraId="2E866A20" w14:textId="77777777" w:rsidR="00753EFD" w:rsidRPr="00DE12A3" w:rsidRDefault="00753EFD" w:rsidP="00C917D6">
            <w:pPr>
              <w:pStyle w:val="Gvdemetni0"/>
              <w:shd w:val="clear" w:color="auto" w:fill="auto"/>
              <w:spacing w:before="120" w:after="120" w:line="240" w:lineRule="auto"/>
              <w:ind w:firstLine="0"/>
              <w:rPr>
                <w:sz w:val="18"/>
              </w:rPr>
            </w:pPr>
            <w:r w:rsidRPr="00DE12A3">
              <w:rPr>
                <w:rStyle w:val="Gvdemetni95pt0ptbolukbraklyor"/>
                <w:color w:val="auto"/>
                <w:sz w:val="18"/>
              </w:rPr>
              <w:t>Yok</w:t>
            </w:r>
          </w:p>
        </w:tc>
        <w:tc>
          <w:tcPr>
            <w:tcW w:w="1282" w:type="dxa"/>
            <w:shd w:val="clear" w:color="auto" w:fill="FFFFFF"/>
          </w:tcPr>
          <w:p w14:paraId="75A20FA2" w14:textId="77777777" w:rsidR="00753EFD" w:rsidRPr="00DE12A3" w:rsidRDefault="00753EFD" w:rsidP="00C917D6">
            <w:pPr>
              <w:pStyle w:val="Gvdemetni0"/>
              <w:shd w:val="clear" w:color="auto" w:fill="auto"/>
              <w:spacing w:before="120" w:after="120" w:line="240" w:lineRule="auto"/>
              <w:ind w:firstLine="0"/>
              <w:rPr>
                <w:sz w:val="18"/>
              </w:rPr>
            </w:pPr>
            <w:r w:rsidRPr="00DE12A3">
              <w:rPr>
                <w:rStyle w:val="Gvdemetni95pt0ptbolukbraklyor"/>
                <w:color w:val="auto"/>
                <w:sz w:val="18"/>
              </w:rPr>
              <w:t>Yok</w:t>
            </w:r>
          </w:p>
        </w:tc>
        <w:tc>
          <w:tcPr>
            <w:tcW w:w="1517" w:type="dxa"/>
            <w:shd w:val="clear" w:color="auto" w:fill="FFFFFF"/>
          </w:tcPr>
          <w:p w14:paraId="653EBB07" w14:textId="77777777" w:rsidR="00753EFD" w:rsidRPr="00DE12A3" w:rsidRDefault="00753EFD" w:rsidP="00C917D6">
            <w:pPr>
              <w:pStyle w:val="Gvdemetni360"/>
              <w:shd w:val="clear" w:color="auto" w:fill="auto"/>
              <w:spacing w:before="120" w:after="120" w:line="240" w:lineRule="auto"/>
              <w:ind w:firstLine="0"/>
              <w:jc w:val="left"/>
              <w:rPr>
                <w:sz w:val="18"/>
                <w:szCs w:val="18"/>
              </w:rPr>
            </w:pPr>
            <w:r w:rsidRPr="00DE12A3">
              <w:rPr>
                <w:rStyle w:val="Gvdemetni367pt0ptbolukbraklyor"/>
                <w:color w:val="auto"/>
                <w:sz w:val="18"/>
                <w:szCs w:val="18"/>
              </w:rPr>
              <w:t>EN ISO 8819</w:t>
            </w:r>
          </w:p>
        </w:tc>
      </w:tr>
      <w:tr w:rsidR="00DE12A3" w:rsidRPr="00DE12A3" w14:paraId="184E6A6E" w14:textId="77777777" w:rsidTr="00753EFD">
        <w:trPr>
          <w:trHeight w:hRule="exact" w:val="686"/>
          <w:jc w:val="center"/>
        </w:trPr>
        <w:tc>
          <w:tcPr>
            <w:tcW w:w="2424" w:type="dxa"/>
            <w:shd w:val="clear" w:color="auto" w:fill="FFFFFF"/>
          </w:tcPr>
          <w:p w14:paraId="53765872" w14:textId="77777777" w:rsidR="00753EFD" w:rsidRPr="00DE12A3" w:rsidRDefault="00753EFD" w:rsidP="00C917D6">
            <w:pPr>
              <w:pStyle w:val="Gvdemetni0"/>
              <w:shd w:val="clear" w:color="auto" w:fill="auto"/>
              <w:spacing w:before="120" w:after="120" w:line="240" w:lineRule="auto"/>
              <w:ind w:firstLine="0"/>
              <w:jc w:val="both"/>
              <w:rPr>
                <w:sz w:val="18"/>
              </w:rPr>
            </w:pPr>
            <w:r w:rsidRPr="00DE12A3">
              <w:rPr>
                <w:rStyle w:val="Gvdemetni95pt0ptbolukbraklyor"/>
                <w:color w:val="auto"/>
                <w:sz w:val="18"/>
              </w:rPr>
              <w:t>Bakır şerit korozyonu (40 °C'de 1 saat)</w:t>
            </w:r>
          </w:p>
        </w:tc>
        <w:tc>
          <w:tcPr>
            <w:tcW w:w="1277" w:type="dxa"/>
            <w:shd w:val="clear" w:color="auto" w:fill="FFFFFF"/>
          </w:tcPr>
          <w:p w14:paraId="7E2BE082" w14:textId="33B6EE11" w:rsidR="00753EFD" w:rsidRPr="00DE12A3" w:rsidRDefault="007C32B1" w:rsidP="00C917D6">
            <w:pPr>
              <w:pStyle w:val="Gvdemetni360"/>
              <w:shd w:val="clear" w:color="auto" w:fill="auto"/>
              <w:spacing w:before="120" w:after="120" w:line="240" w:lineRule="auto"/>
              <w:ind w:firstLine="0"/>
              <w:jc w:val="center"/>
              <w:rPr>
                <w:sz w:val="18"/>
                <w:szCs w:val="18"/>
              </w:rPr>
            </w:pPr>
            <w:r w:rsidRPr="00DE12A3">
              <w:rPr>
                <w:rStyle w:val="Gvdemetni367pt0ptbolukbraklyor"/>
                <w:color w:val="auto"/>
                <w:sz w:val="18"/>
                <w:szCs w:val="18"/>
              </w:rPr>
              <w:t>oranlama</w:t>
            </w:r>
          </w:p>
        </w:tc>
        <w:tc>
          <w:tcPr>
            <w:tcW w:w="1282" w:type="dxa"/>
            <w:shd w:val="clear" w:color="auto" w:fill="FFFFFF"/>
          </w:tcPr>
          <w:p w14:paraId="7450C5EC" w14:textId="77777777" w:rsidR="00753EFD" w:rsidRPr="00DE12A3" w:rsidRDefault="00753EFD" w:rsidP="00C917D6">
            <w:pPr>
              <w:pStyle w:val="Gvdemetni0"/>
              <w:shd w:val="clear" w:color="auto" w:fill="auto"/>
              <w:spacing w:before="120" w:after="120" w:line="240" w:lineRule="auto"/>
              <w:ind w:firstLine="0"/>
              <w:rPr>
                <w:sz w:val="18"/>
              </w:rPr>
            </w:pPr>
            <w:r w:rsidRPr="00DE12A3">
              <w:rPr>
                <w:rStyle w:val="Gvdemetni95pt0ptbolukbraklyor"/>
                <w:color w:val="auto"/>
                <w:sz w:val="18"/>
              </w:rPr>
              <w:t>Sınıf 1</w:t>
            </w:r>
          </w:p>
        </w:tc>
        <w:tc>
          <w:tcPr>
            <w:tcW w:w="1282" w:type="dxa"/>
            <w:shd w:val="clear" w:color="auto" w:fill="FFFFFF"/>
          </w:tcPr>
          <w:p w14:paraId="59C5E1C0" w14:textId="77777777" w:rsidR="00753EFD" w:rsidRPr="00DE12A3" w:rsidRDefault="00753EFD" w:rsidP="00C917D6">
            <w:pPr>
              <w:pStyle w:val="Gvdemetni0"/>
              <w:shd w:val="clear" w:color="auto" w:fill="auto"/>
              <w:spacing w:before="120" w:after="120" w:line="240" w:lineRule="auto"/>
              <w:ind w:firstLine="0"/>
              <w:rPr>
                <w:sz w:val="18"/>
              </w:rPr>
            </w:pPr>
            <w:r w:rsidRPr="00DE12A3">
              <w:rPr>
                <w:rStyle w:val="Gvdemetni95pt0ptbolukbraklyor"/>
                <w:color w:val="auto"/>
                <w:sz w:val="18"/>
              </w:rPr>
              <w:t>Sınıf 1</w:t>
            </w:r>
          </w:p>
        </w:tc>
        <w:tc>
          <w:tcPr>
            <w:tcW w:w="1517" w:type="dxa"/>
            <w:shd w:val="clear" w:color="auto" w:fill="FFFFFF"/>
          </w:tcPr>
          <w:p w14:paraId="177255B3" w14:textId="77777777" w:rsidR="00753EFD" w:rsidRPr="00DE12A3" w:rsidRDefault="00753EFD" w:rsidP="00C917D6">
            <w:pPr>
              <w:pStyle w:val="Gvdemetni360"/>
              <w:shd w:val="clear" w:color="auto" w:fill="auto"/>
              <w:spacing w:before="120" w:after="120" w:line="240" w:lineRule="auto"/>
              <w:ind w:firstLine="0"/>
              <w:jc w:val="left"/>
              <w:rPr>
                <w:sz w:val="18"/>
                <w:szCs w:val="18"/>
              </w:rPr>
            </w:pPr>
            <w:r w:rsidRPr="00DE12A3">
              <w:rPr>
                <w:rStyle w:val="Gvdemetni367pt0ptbolukbraklyor"/>
                <w:color w:val="auto"/>
                <w:sz w:val="18"/>
                <w:szCs w:val="18"/>
              </w:rPr>
              <w:t>ISO 6251 (</w:t>
            </w:r>
            <w:r w:rsidRPr="00DE12A3">
              <w:rPr>
                <w:rStyle w:val="Gvdemetni367pt0ptbolukbraklyor"/>
                <w:color w:val="auto"/>
                <w:sz w:val="18"/>
                <w:szCs w:val="18"/>
                <w:vertAlign w:val="superscript"/>
              </w:rPr>
              <w:t>2</w:t>
            </w:r>
            <w:r w:rsidRPr="00DE12A3">
              <w:rPr>
                <w:rStyle w:val="Gvdemetni367pt0ptbolukbraklyor"/>
                <w:color w:val="auto"/>
                <w:sz w:val="18"/>
                <w:szCs w:val="18"/>
              </w:rPr>
              <w:t>)</w:t>
            </w:r>
          </w:p>
        </w:tc>
      </w:tr>
      <w:tr w:rsidR="00DE12A3" w:rsidRPr="00DE12A3" w14:paraId="11C7F99D" w14:textId="77777777" w:rsidTr="00753EFD">
        <w:trPr>
          <w:trHeight w:hRule="exact" w:val="494"/>
          <w:jc w:val="center"/>
        </w:trPr>
        <w:tc>
          <w:tcPr>
            <w:tcW w:w="2424" w:type="dxa"/>
            <w:shd w:val="clear" w:color="auto" w:fill="FFFFFF"/>
          </w:tcPr>
          <w:p w14:paraId="1355AC7F" w14:textId="77777777" w:rsidR="00753EFD" w:rsidRPr="00DE12A3" w:rsidRDefault="00753EFD" w:rsidP="00C917D6">
            <w:pPr>
              <w:pStyle w:val="Gvdemetni0"/>
              <w:shd w:val="clear" w:color="auto" w:fill="auto"/>
              <w:spacing w:before="120" w:after="120" w:line="240" w:lineRule="auto"/>
              <w:ind w:firstLine="0"/>
              <w:jc w:val="both"/>
              <w:rPr>
                <w:sz w:val="18"/>
              </w:rPr>
            </w:pPr>
            <w:r w:rsidRPr="00DE12A3">
              <w:rPr>
                <w:rStyle w:val="Gvdemetni95pt0ptbolukbraklyor"/>
                <w:color w:val="auto"/>
                <w:sz w:val="18"/>
              </w:rPr>
              <w:t>Koku</w:t>
            </w:r>
          </w:p>
        </w:tc>
        <w:tc>
          <w:tcPr>
            <w:tcW w:w="1277" w:type="dxa"/>
            <w:shd w:val="clear" w:color="auto" w:fill="FFFFFF"/>
          </w:tcPr>
          <w:p w14:paraId="58C72FE5" w14:textId="77777777" w:rsidR="00753EFD" w:rsidRPr="00DE12A3" w:rsidRDefault="00753EFD" w:rsidP="00C917D6">
            <w:pPr>
              <w:spacing w:before="120" w:after="120"/>
              <w:rPr>
                <w:rFonts w:cs="Times New Roman"/>
                <w:color w:val="auto"/>
                <w:sz w:val="18"/>
                <w:szCs w:val="18"/>
              </w:rPr>
            </w:pPr>
          </w:p>
        </w:tc>
        <w:tc>
          <w:tcPr>
            <w:tcW w:w="1282" w:type="dxa"/>
            <w:shd w:val="clear" w:color="auto" w:fill="FFFFFF"/>
          </w:tcPr>
          <w:p w14:paraId="6C854106" w14:textId="77777777" w:rsidR="00753EFD" w:rsidRPr="00DE12A3" w:rsidRDefault="00753EFD" w:rsidP="00C917D6">
            <w:pPr>
              <w:pStyle w:val="Gvdemetni0"/>
              <w:shd w:val="clear" w:color="auto" w:fill="auto"/>
              <w:spacing w:before="120" w:after="120" w:line="240" w:lineRule="auto"/>
              <w:ind w:firstLine="0"/>
              <w:rPr>
                <w:sz w:val="18"/>
              </w:rPr>
            </w:pPr>
            <w:r w:rsidRPr="00DE12A3">
              <w:rPr>
                <w:rStyle w:val="Gvdemetni95pt0ptbolukbraklyor"/>
                <w:color w:val="auto"/>
                <w:sz w:val="18"/>
              </w:rPr>
              <w:t>Karakteristik</w:t>
            </w:r>
          </w:p>
        </w:tc>
        <w:tc>
          <w:tcPr>
            <w:tcW w:w="1282" w:type="dxa"/>
            <w:shd w:val="clear" w:color="auto" w:fill="FFFFFF"/>
          </w:tcPr>
          <w:p w14:paraId="4F1C8568" w14:textId="77777777" w:rsidR="00753EFD" w:rsidRPr="00DE12A3" w:rsidRDefault="00753EFD" w:rsidP="00C917D6">
            <w:pPr>
              <w:pStyle w:val="Gvdemetni0"/>
              <w:shd w:val="clear" w:color="auto" w:fill="auto"/>
              <w:spacing w:before="120" w:after="120" w:line="240" w:lineRule="auto"/>
              <w:ind w:firstLine="0"/>
              <w:rPr>
                <w:sz w:val="18"/>
              </w:rPr>
            </w:pPr>
            <w:r w:rsidRPr="00DE12A3">
              <w:rPr>
                <w:rStyle w:val="Gvdemetni95pt0ptbolukbraklyor"/>
                <w:color w:val="auto"/>
                <w:sz w:val="18"/>
              </w:rPr>
              <w:t>Karakteristik</w:t>
            </w:r>
          </w:p>
        </w:tc>
        <w:tc>
          <w:tcPr>
            <w:tcW w:w="1517" w:type="dxa"/>
            <w:shd w:val="clear" w:color="auto" w:fill="FFFFFF"/>
          </w:tcPr>
          <w:p w14:paraId="1436B4EF" w14:textId="77777777" w:rsidR="00753EFD" w:rsidRPr="00DE12A3" w:rsidRDefault="00753EFD" w:rsidP="00C917D6">
            <w:pPr>
              <w:spacing w:before="120" w:after="120"/>
              <w:rPr>
                <w:rFonts w:cs="Times New Roman"/>
                <w:color w:val="auto"/>
                <w:sz w:val="18"/>
                <w:szCs w:val="18"/>
              </w:rPr>
            </w:pPr>
          </w:p>
        </w:tc>
      </w:tr>
      <w:tr w:rsidR="00DE12A3" w:rsidRPr="00DE12A3" w14:paraId="70D1AB84" w14:textId="77777777" w:rsidTr="00753EFD">
        <w:trPr>
          <w:trHeight w:hRule="exact" w:val="499"/>
          <w:jc w:val="center"/>
        </w:trPr>
        <w:tc>
          <w:tcPr>
            <w:tcW w:w="2424" w:type="dxa"/>
            <w:shd w:val="clear" w:color="auto" w:fill="FFFFFF"/>
          </w:tcPr>
          <w:p w14:paraId="3FBFA5C5" w14:textId="77777777" w:rsidR="00753EFD" w:rsidRPr="00DE12A3" w:rsidRDefault="00753EFD" w:rsidP="00C917D6">
            <w:pPr>
              <w:pStyle w:val="Gvdemetni0"/>
              <w:shd w:val="clear" w:color="auto" w:fill="auto"/>
              <w:spacing w:before="120" w:after="120" w:line="240" w:lineRule="auto"/>
              <w:ind w:firstLine="0"/>
              <w:jc w:val="both"/>
              <w:rPr>
                <w:sz w:val="18"/>
              </w:rPr>
            </w:pPr>
            <w:r w:rsidRPr="00DE12A3">
              <w:rPr>
                <w:rStyle w:val="Gvdemetni95pt0ptbolukbraklyor"/>
                <w:color w:val="auto"/>
                <w:sz w:val="18"/>
              </w:rPr>
              <w:t>Motor oktan sayısı (</w:t>
            </w:r>
            <w:r w:rsidRPr="00DE12A3">
              <w:rPr>
                <w:rStyle w:val="Gvdemetni95pt0ptbolukbraklyor"/>
                <w:color w:val="auto"/>
                <w:sz w:val="18"/>
                <w:vertAlign w:val="superscript"/>
              </w:rPr>
              <w:t>3</w:t>
            </w:r>
            <w:r w:rsidRPr="00DE12A3">
              <w:rPr>
                <w:rStyle w:val="Gvdemetni95pt0ptbolukbraklyor"/>
                <w:color w:val="auto"/>
                <w:sz w:val="18"/>
              </w:rPr>
              <w:t>)</w:t>
            </w:r>
          </w:p>
        </w:tc>
        <w:tc>
          <w:tcPr>
            <w:tcW w:w="1277" w:type="dxa"/>
            <w:shd w:val="clear" w:color="auto" w:fill="FFFFFF"/>
          </w:tcPr>
          <w:p w14:paraId="36475713" w14:textId="77777777" w:rsidR="00753EFD" w:rsidRPr="00DE12A3" w:rsidRDefault="00753EFD" w:rsidP="00C917D6">
            <w:pPr>
              <w:spacing w:before="120" w:after="120"/>
              <w:rPr>
                <w:rFonts w:cs="Times New Roman"/>
                <w:color w:val="auto"/>
                <w:sz w:val="18"/>
                <w:szCs w:val="18"/>
              </w:rPr>
            </w:pPr>
          </w:p>
        </w:tc>
        <w:tc>
          <w:tcPr>
            <w:tcW w:w="1282" w:type="dxa"/>
            <w:shd w:val="clear" w:color="auto" w:fill="FFFFFF"/>
          </w:tcPr>
          <w:p w14:paraId="69E44BF1" w14:textId="77777777" w:rsidR="00753EFD" w:rsidRPr="00DE12A3" w:rsidRDefault="00753EFD" w:rsidP="00C917D6">
            <w:pPr>
              <w:pStyle w:val="Gvdemetni0"/>
              <w:shd w:val="clear" w:color="auto" w:fill="auto"/>
              <w:spacing w:before="120" w:after="120" w:line="240" w:lineRule="auto"/>
              <w:ind w:firstLine="0"/>
              <w:rPr>
                <w:sz w:val="18"/>
              </w:rPr>
            </w:pPr>
            <w:r w:rsidRPr="00DE12A3">
              <w:rPr>
                <w:rStyle w:val="Gvdemetni95pt0ptbolukbraklyor"/>
                <w:color w:val="auto"/>
                <w:sz w:val="18"/>
              </w:rPr>
              <w:t>Asgari 89,0</w:t>
            </w:r>
          </w:p>
        </w:tc>
        <w:tc>
          <w:tcPr>
            <w:tcW w:w="1282" w:type="dxa"/>
            <w:shd w:val="clear" w:color="auto" w:fill="FFFFFF"/>
          </w:tcPr>
          <w:p w14:paraId="764246CC" w14:textId="77777777" w:rsidR="00753EFD" w:rsidRPr="00DE12A3" w:rsidRDefault="00753EFD" w:rsidP="00C917D6">
            <w:pPr>
              <w:pStyle w:val="Gvdemetni0"/>
              <w:shd w:val="clear" w:color="auto" w:fill="auto"/>
              <w:spacing w:before="120" w:after="120" w:line="240" w:lineRule="auto"/>
              <w:ind w:firstLine="0"/>
              <w:rPr>
                <w:sz w:val="18"/>
              </w:rPr>
            </w:pPr>
            <w:r w:rsidRPr="00DE12A3">
              <w:rPr>
                <w:rStyle w:val="Gvdemetni95pt0ptbolukbraklyor"/>
                <w:color w:val="auto"/>
                <w:sz w:val="18"/>
              </w:rPr>
              <w:t>Asgari 89,0</w:t>
            </w:r>
          </w:p>
        </w:tc>
        <w:tc>
          <w:tcPr>
            <w:tcW w:w="1517" w:type="dxa"/>
            <w:shd w:val="clear" w:color="auto" w:fill="FFFFFF"/>
          </w:tcPr>
          <w:p w14:paraId="67A2EFAD" w14:textId="77777777" w:rsidR="00753EFD" w:rsidRPr="00DE12A3" w:rsidRDefault="00753EFD" w:rsidP="00C917D6">
            <w:pPr>
              <w:pStyle w:val="Gvdemetni360"/>
              <w:shd w:val="clear" w:color="auto" w:fill="auto"/>
              <w:spacing w:before="120" w:after="120" w:line="240" w:lineRule="auto"/>
              <w:ind w:firstLine="0"/>
              <w:jc w:val="left"/>
              <w:rPr>
                <w:sz w:val="18"/>
                <w:szCs w:val="18"/>
              </w:rPr>
            </w:pPr>
            <w:r w:rsidRPr="00DE12A3">
              <w:rPr>
                <w:rStyle w:val="Gvdemetni367pt0ptbolukbraklyor"/>
                <w:color w:val="auto"/>
                <w:sz w:val="18"/>
                <w:szCs w:val="18"/>
              </w:rPr>
              <w:t>EN 589 Ek B</w:t>
            </w:r>
          </w:p>
        </w:tc>
      </w:tr>
    </w:tbl>
    <w:p w14:paraId="36ADE7D5" w14:textId="77777777" w:rsidR="00753EFD" w:rsidRPr="00DE12A3" w:rsidRDefault="00753EFD" w:rsidP="00C917D6">
      <w:pPr>
        <w:pStyle w:val="Tabloyazs60"/>
        <w:shd w:val="clear" w:color="auto" w:fill="auto"/>
        <w:spacing w:before="120" w:after="120" w:line="240" w:lineRule="auto"/>
        <w:ind w:left="993"/>
        <w:rPr>
          <w:rStyle w:val="Tabloyazs7"/>
          <w:rFonts w:eastAsia="Courier New"/>
          <w:color w:val="auto"/>
          <w:sz w:val="16"/>
          <w:szCs w:val="18"/>
        </w:rPr>
      </w:pPr>
      <w:r w:rsidRPr="00DE12A3">
        <w:rPr>
          <w:rStyle w:val="Tabloyazs60ptbolukbraklyor"/>
          <w:i/>
          <w:iCs/>
          <w:color w:val="auto"/>
          <w:sz w:val="18"/>
          <w:szCs w:val="18"/>
        </w:rPr>
        <w:t>Notlar:</w:t>
      </w:r>
    </w:p>
    <w:p w14:paraId="48A39A0A" w14:textId="77777777" w:rsidR="00753EFD" w:rsidRPr="00DE12A3" w:rsidRDefault="00753EFD" w:rsidP="00C917D6">
      <w:pPr>
        <w:spacing w:before="120" w:after="120"/>
        <w:ind w:left="993" w:hanging="284"/>
        <w:rPr>
          <w:rFonts w:cs="Times New Roman"/>
          <w:color w:val="auto"/>
          <w:sz w:val="16"/>
          <w:szCs w:val="18"/>
        </w:rPr>
      </w:pPr>
      <w:r w:rsidRPr="00DE12A3">
        <w:rPr>
          <w:rStyle w:val="Tabloyazs7"/>
          <w:rFonts w:eastAsia="Courier New"/>
          <w:color w:val="auto"/>
          <w:sz w:val="16"/>
          <w:szCs w:val="18"/>
        </w:rPr>
        <w:t>(</w:t>
      </w:r>
      <w:r w:rsidRPr="00DE12A3">
        <w:rPr>
          <w:rStyle w:val="Tabloyazs7"/>
          <w:rFonts w:eastAsia="Courier New"/>
          <w:color w:val="auto"/>
          <w:sz w:val="16"/>
          <w:szCs w:val="18"/>
          <w:vertAlign w:val="superscript"/>
        </w:rPr>
        <w:t>1</w:t>
      </w:r>
      <w:r w:rsidRPr="00DE12A3">
        <w:rPr>
          <w:rStyle w:val="Tabloyazs7"/>
          <w:rFonts w:eastAsia="Courier New"/>
          <w:color w:val="auto"/>
          <w:sz w:val="16"/>
          <w:szCs w:val="18"/>
        </w:rPr>
        <w:t>)</w:t>
      </w:r>
      <w:r w:rsidRPr="00DE12A3">
        <w:rPr>
          <w:rStyle w:val="Tabloyazs7"/>
          <w:rFonts w:eastAsia="Courier New"/>
          <w:color w:val="auto"/>
          <w:sz w:val="16"/>
          <w:szCs w:val="18"/>
        </w:rPr>
        <w:tab/>
      </w:r>
      <w:r w:rsidRPr="00DE12A3">
        <w:rPr>
          <w:rFonts w:cs="Times New Roman"/>
          <w:color w:val="auto"/>
          <w:sz w:val="16"/>
          <w:szCs w:val="18"/>
        </w:rPr>
        <w:t xml:space="preserve">Denge şu şekilde okunmalıdır: denge </w:t>
      </w:r>
      <w:r w:rsidRPr="00DE12A3">
        <w:rPr>
          <w:rStyle w:val="Tabloyazs7"/>
          <w:rFonts w:eastAsia="Courier New"/>
          <w:color w:val="auto"/>
          <w:sz w:val="16"/>
          <w:szCs w:val="18"/>
        </w:rPr>
        <w:t>= 100 - C</w:t>
      </w:r>
      <w:r w:rsidRPr="00DE12A3">
        <w:rPr>
          <w:rStyle w:val="Tabloyazs74pt0ptbolukbraklyor"/>
          <w:rFonts w:eastAsia="Courier New"/>
          <w:color w:val="auto"/>
          <w:sz w:val="16"/>
          <w:szCs w:val="18"/>
          <w:vertAlign w:val="subscript"/>
        </w:rPr>
        <w:t>3</w:t>
      </w:r>
      <w:r w:rsidRPr="00DE12A3">
        <w:rPr>
          <w:rStyle w:val="Tabloyazs7"/>
          <w:rFonts w:eastAsia="Courier New"/>
          <w:color w:val="auto"/>
          <w:sz w:val="16"/>
          <w:szCs w:val="18"/>
        </w:rPr>
        <w:t xml:space="preserve"> - &lt; C</w:t>
      </w:r>
      <w:r w:rsidRPr="00DE12A3">
        <w:rPr>
          <w:rStyle w:val="Tabloyazs74pt0ptbolukbraklyor"/>
          <w:rFonts w:eastAsia="Courier New"/>
          <w:color w:val="auto"/>
          <w:sz w:val="16"/>
          <w:szCs w:val="18"/>
          <w:vertAlign w:val="subscript"/>
        </w:rPr>
        <w:t>3</w:t>
      </w:r>
      <w:r w:rsidRPr="00DE12A3">
        <w:rPr>
          <w:rStyle w:val="Tabloyazs7"/>
          <w:rFonts w:eastAsia="Courier New"/>
          <w:color w:val="auto"/>
          <w:sz w:val="16"/>
          <w:szCs w:val="18"/>
        </w:rPr>
        <w:t xml:space="preserve"> - &gt; C</w:t>
      </w:r>
      <w:r w:rsidRPr="00DE12A3">
        <w:rPr>
          <w:rStyle w:val="Tabloyazs74pt0ptbolukbraklyor"/>
          <w:rFonts w:eastAsia="Courier New"/>
          <w:color w:val="auto"/>
          <w:sz w:val="16"/>
          <w:szCs w:val="18"/>
          <w:vertAlign w:val="subscript"/>
        </w:rPr>
        <w:t>4</w:t>
      </w:r>
      <w:r w:rsidRPr="00DE12A3">
        <w:rPr>
          <w:rStyle w:val="Tabloyazs7"/>
          <w:rFonts w:eastAsia="Courier New"/>
          <w:color w:val="auto"/>
          <w:sz w:val="16"/>
          <w:szCs w:val="18"/>
        </w:rPr>
        <w:t>.</w:t>
      </w:r>
    </w:p>
    <w:p w14:paraId="47594C4C" w14:textId="77777777" w:rsidR="00753EFD" w:rsidRPr="00DE12A3" w:rsidRDefault="00753EFD" w:rsidP="00C917D6">
      <w:pPr>
        <w:tabs>
          <w:tab w:val="left" w:pos="321"/>
        </w:tabs>
        <w:spacing w:before="120" w:after="120"/>
        <w:ind w:left="993" w:hanging="284"/>
        <w:rPr>
          <w:rFonts w:cs="Times New Roman"/>
          <w:color w:val="auto"/>
          <w:sz w:val="16"/>
          <w:szCs w:val="18"/>
        </w:rPr>
      </w:pPr>
      <w:r w:rsidRPr="00DE12A3">
        <w:rPr>
          <w:rStyle w:val="Tabloyazs7"/>
          <w:rFonts w:eastAsia="Courier New"/>
          <w:color w:val="auto"/>
          <w:sz w:val="16"/>
          <w:szCs w:val="18"/>
        </w:rPr>
        <w:t>(</w:t>
      </w:r>
      <w:r w:rsidRPr="00DE12A3">
        <w:rPr>
          <w:rStyle w:val="Tabloyazs7"/>
          <w:rFonts w:eastAsia="Courier New"/>
          <w:color w:val="auto"/>
          <w:sz w:val="16"/>
          <w:szCs w:val="18"/>
          <w:vertAlign w:val="superscript"/>
        </w:rPr>
        <w:t>2</w:t>
      </w:r>
      <w:r w:rsidRPr="00DE12A3">
        <w:rPr>
          <w:rStyle w:val="Tabloyazs7"/>
          <w:rFonts w:eastAsia="Courier New"/>
          <w:color w:val="auto"/>
          <w:sz w:val="16"/>
          <w:szCs w:val="18"/>
        </w:rPr>
        <w:t>)</w:t>
      </w:r>
      <w:r w:rsidRPr="00DE12A3">
        <w:rPr>
          <w:rStyle w:val="Tabloyazs7"/>
          <w:rFonts w:eastAsia="Courier New"/>
          <w:color w:val="auto"/>
          <w:sz w:val="16"/>
          <w:szCs w:val="18"/>
        </w:rPr>
        <w:tab/>
      </w:r>
      <w:r w:rsidRPr="00DE12A3">
        <w:rPr>
          <w:rFonts w:cs="Times New Roman"/>
          <w:color w:val="auto"/>
          <w:sz w:val="16"/>
          <w:szCs w:val="18"/>
        </w:rPr>
        <w:t>Bu yöntem, numune korozyon inhibitörleri veya numunenin bakır şeridi aşındırıcılığını azaltan diğer kimyasallar içeriyorsa, aşındırıcı malzemelerin varlığını doğru bir şekilde belirleyemeyebilir. Bu nedenle, bu tür bileşiklerin yalnızca test yöntemini etkilemek amacıyla eklenmesi yasaktır</w:t>
      </w:r>
      <w:r w:rsidRPr="00DE12A3">
        <w:rPr>
          <w:rStyle w:val="Tabloyazs7"/>
          <w:rFonts w:eastAsia="Courier New"/>
          <w:color w:val="auto"/>
          <w:sz w:val="16"/>
          <w:szCs w:val="18"/>
        </w:rPr>
        <w:t>.</w:t>
      </w:r>
    </w:p>
    <w:p w14:paraId="47D0D135" w14:textId="77777777" w:rsidR="00753EFD" w:rsidRPr="00DE12A3" w:rsidRDefault="00753EFD" w:rsidP="00C917D6">
      <w:pPr>
        <w:tabs>
          <w:tab w:val="left" w:pos="321"/>
        </w:tabs>
        <w:spacing w:before="120" w:after="120"/>
        <w:ind w:left="993" w:hanging="284"/>
        <w:rPr>
          <w:rFonts w:cs="Times New Roman"/>
          <w:color w:val="auto"/>
          <w:sz w:val="16"/>
          <w:szCs w:val="18"/>
        </w:rPr>
      </w:pPr>
      <w:r w:rsidRPr="00DE12A3">
        <w:rPr>
          <w:rStyle w:val="Tabloyazs7"/>
          <w:rFonts w:eastAsia="Courier New"/>
          <w:color w:val="auto"/>
          <w:sz w:val="16"/>
          <w:szCs w:val="18"/>
        </w:rPr>
        <w:t>(</w:t>
      </w:r>
      <w:r w:rsidRPr="00DE12A3">
        <w:rPr>
          <w:rStyle w:val="Tabloyazs7"/>
          <w:rFonts w:eastAsia="Courier New"/>
          <w:color w:val="auto"/>
          <w:sz w:val="16"/>
          <w:szCs w:val="18"/>
          <w:vertAlign w:val="superscript"/>
        </w:rPr>
        <w:t>3</w:t>
      </w:r>
      <w:r w:rsidRPr="00DE12A3">
        <w:rPr>
          <w:rStyle w:val="Tabloyazs7"/>
          <w:rFonts w:eastAsia="Courier New"/>
          <w:color w:val="auto"/>
          <w:sz w:val="16"/>
          <w:szCs w:val="18"/>
        </w:rPr>
        <w:t>)</w:t>
      </w:r>
      <w:r w:rsidRPr="00DE12A3">
        <w:rPr>
          <w:rStyle w:val="Tabloyazs7"/>
          <w:rFonts w:eastAsia="Courier New"/>
          <w:color w:val="auto"/>
          <w:sz w:val="16"/>
          <w:szCs w:val="18"/>
        </w:rPr>
        <w:tab/>
      </w:r>
      <w:r w:rsidRPr="00DE12A3">
        <w:rPr>
          <w:rFonts w:cs="Times New Roman"/>
          <w:color w:val="auto"/>
          <w:sz w:val="16"/>
          <w:szCs w:val="18"/>
        </w:rPr>
        <w:t>Motor imalatçısının talebi üzerine, tip onayı testlerini gerçekleştirmek için daha yüksek bir MON kullanılabilir</w:t>
      </w:r>
      <w:r w:rsidRPr="00DE12A3">
        <w:rPr>
          <w:rStyle w:val="Tabloyazs7"/>
          <w:rFonts w:eastAsia="Courier New"/>
          <w:color w:val="auto"/>
          <w:sz w:val="16"/>
          <w:szCs w:val="18"/>
        </w:rPr>
        <w:t>.</w:t>
      </w:r>
    </w:p>
    <w:p w14:paraId="30F6B0AD" w14:textId="77777777" w:rsidR="00753EFD" w:rsidRPr="00DE12A3" w:rsidRDefault="00753EFD" w:rsidP="004E755A">
      <w:pPr>
        <w:spacing w:before="120" w:after="120"/>
        <w:jc w:val="both"/>
        <w:rPr>
          <w:rFonts w:cs="Times New Roman"/>
          <w:color w:val="auto"/>
        </w:rPr>
      </w:pPr>
    </w:p>
    <w:p w14:paraId="02E4AF33" w14:textId="32E566BA" w:rsidR="00753EFD" w:rsidRPr="00DE12A3" w:rsidRDefault="004E755A" w:rsidP="004E755A">
      <w:pPr>
        <w:spacing w:before="120" w:after="120"/>
        <w:jc w:val="both"/>
        <w:rPr>
          <w:bCs/>
          <w:i/>
          <w:color w:val="auto"/>
        </w:rPr>
      </w:pPr>
      <w:r w:rsidRPr="00DE12A3">
        <w:rPr>
          <w:bCs/>
          <w:color w:val="auto"/>
        </w:rPr>
        <w:t>3.2.</w:t>
      </w:r>
      <w:r w:rsidR="00753EFD" w:rsidRPr="00DE12A3">
        <w:rPr>
          <w:bCs/>
          <w:color w:val="auto"/>
        </w:rPr>
        <w:t xml:space="preserve"> Tip: Doğalgaz/Biyometan</w:t>
      </w:r>
    </w:p>
    <w:p w14:paraId="1A21DC8B" w14:textId="3E82BD92" w:rsidR="00753EFD" w:rsidRPr="00DE12A3" w:rsidRDefault="00753EFD" w:rsidP="004E755A">
      <w:pPr>
        <w:spacing w:before="120" w:after="120"/>
        <w:jc w:val="both"/>
        <w:rPr>
          <w:bCs/>
          <w:color w:val="auto"/>
        </w:rPr>
      </w:pPr>
      <w:r w:rsidRPr="00DE12A3">
        <w:rPr>
          <w:bCs/>
          <w:color w:val="auto"/>
        </w:rPr>
        <w:t>3.2.1. Sabit özelliklere sahip (</w:t>
      </w:r>
      <w:r w:rsidR="005B014A" w:rsidRPr="00DE12A3">
        <w:rPr>
          <w:bCs/>
          <w:color w:val="auto"/>
        </w:rPr>
        <w:t>örneğin</w:t>
      </w:r>
      <w:r w:rsidRPr="00DE12A3">
        <w:rPr>
          <w:bCs/>
          <w:color w:val="auto"/>
        </w:rPr>
        <w:t xml:space="preserve"> kapalı bir kaptan alınan) referans yakıtlara ilişkin şartname</w:t>
      </w:r>
    </w:p>
    <w:p w14:paraId="20169000" w14:textId="3E47E048" w:rsidR="00753EFD" w:rsidRPr="00DE12A3" w:rsidRDefault="00753EFD" w:rsidP="004E755A">
      <w:pPr>
        <w:jc w:val="both"/>
        <w:rPr>
          <w:color w:val="auto"/>
        </w:rPr>
      </w:pPr>
      <w:r w:rsidRPr="00DE12A3">
        <w:rPr>
          <w:color w:val="auto"/>
        </w:rPr>
        <w:t>Bu bentte belirtilen referans yakıtlara alternatif olarak, 3.2.2 bendindeki denk yakıtlar kullanılabilir</w:t>
      </w:r>
      <w:r w:rsidR="004E755A" w:rsidRPr="00DE12A3">
        <w:rPr>
          <w:color w:val="auto"/>
        </w:rPr>
        <w:t>.</w:t>
      </w:r>
    </w:p>
    <w:p w14:paraId="1C9F0FC4" w14:textId="77777777" w:rsidR="009F4766" w:rsidRPr="00DE12A3" w:rsidRDefault="009F4766" w:rsidP="004E755A">
      <w:pPr>
        <w:spacing w:before="120" w:after="120"/>
        <w:jc w:val="both"/>
        <w:rPr>
          <w:rFonts w:cs="Times New Roman"/>
          <w:color w:val="auto"/>
        </w:rPr>
      </w:pPr>
    </w:p>
    <w:tbl>
      <w:tblPr>
        <w:tblW w:w="0" w:type="auto"/>
        <w:tblLayout w:type="fixed"/>
        <w:tblLook w:val="0000" w:firstRow="0" w:lastRow="0" w:firstColumn="0" w:lastColumn="0" w:noHBand="0" w:noVBand="0"/>
      </w:tblPr>
      <w:tblGrid>
        <w:gridCol w:w="2043"/>
        <w:gridCol w:w="1579"/>
        <w:gridCol w:w="1300"/>
        <w:gridCol w:w="1578"/>
        <w:gridCol w:w="1486"/>
        <w:gridCol w:w="1300"/>
      </w:tblGrid>
      <w:tr w:rsidR="00DE12A3" w:rsidRPr="00DE12A3" w14:paraId="76607536" w14:textId="77777777" w:rsidTr="009F4766">
        <w:tc>
          <w:tcPr>
            <w:tcW w:w="2043" w:type="dxa"/>
            <w:vMerge w:val="restart"/>
            <w:tcBorders>
              <w:top w:val="single" w:sz="2" w:space="0" w:color="auto"/>
              <w:left w:val="single" w:sz="2" w:space="0" w:color="auto"/>
              <w:bottom w:val="single" w:sz="2" w:space="0" w:color="auto"/>
              <w:right w:val="single" w:sz="2" w:space="0" w:color="auto"/>
            </w:tcBorders>
          </w:tcPr>
          <w:p w14:paraId="53612FBB" w14:textId="74A4ADDE" w:rsidR="003F316D" w:rsidRPr="00DE12A3" w:rsidRDefault="003F316D" w:rsidP="00C917D6">
            <w:pPr>
              <w:spacing w:before="120" w:after="120"/>
              <w:rPr>
                <w:rFonts w:cs="Times New Roman"/>
                <w:color w:val="auto"/>
              </w:rPr>
            </w:pPr>
            <w:r w:rsidRPr="00DE12A3">
              <w:rPr>
                <w:rFonts w:cs="Times New Roman"/>
                <w:color w:val="auto"/>
              </w:rPr>
              <w:t>Özellikler</w:t>
            </w:r>
          </w:p>
        </w:tc>
        <w:tc>
          <w:tcPr>
            <w:tcW w:w="1579" w:type="dxa"/>
            <w:vMerge w:val="restart"/>
            <w:tcBorders>
              <w:top w:val="single" w:sz="2" w:space="0" w:color="auto"/>
              <w:left w:val="single" w:sz="2" w:space="0" w:color="auto"/>
              <w:bottom w:val="single" w:sz="2" w:space="0" w:color="auto"/>
              <w:right w:val="single" w:sz="2" w:space="0" w:color="auto"/>
            </w:tcBorders>
          </w:tcPr>
          <w:p w14:paraId="5270FE3C" w14:textId="77777777" w:rsidR="003F316D" w:rsidRPr="00DE12A3" w:rsidRDefault="003F316D" w:rsidP="00C917D6">
            <w:pPr>
              <w:spacing w:before="120" w:after="120"/>
              <w:rPr>
                <w:rFonts w:cs="Times New Roman"/>
                <w:color w:val="auto"/>
              </w:rPr>
            </w:pPr>
            <w:r w:rsidRPr="00DE12A3">
              <w:rPr>
                <w:rFonts w:cs="Times New Roman"/>
                <w:color w:val="auto"/>
              </w:rPr>
              <w:t>Birimler</w:t>
            </w:r>
          </w:p>
          <w:p w14:paraId="53D633D0" w14:textId="77777777" w:rsidR="003F316D" w:rsidRPr="00DE12A3" w:rsidRDefault="003F316D" w:rsidP="00C917D6">
            <w:pPr>
              <w:spacing w:before="120" w:after="120"/>
              <w:rPr>
                <w:rFonts w:cs="Times New Roman"/>
                <w:color w:val="auto"/>
              </w:rPr>
            </w:pPr>
          </w:p>
        </w:tc>
        <w:tc>
          <w:tcPr>
            <w:tcW w:w="1300" w:type="dxa"/>
            <w:vMerge w:val="restart"/>
            <w:tcBorders>
              <w:top w:val="single" w:sz="2" w:space="0" w:color="auto"/>
              <w:left w:val="single" w:sz="2" w:space="0" w:color="auto"/>
              <w:bottom w:val="single" w:sz="2" w:space="0" w:color="auto"/>
              <w:right w:val="single" w:sz="2" w:space="0" w:color="auto"/>
            </w:tcBorders>
          </w:tcPr>
          <w:p w14:paraId="5B8EA19B" w14:textId="77777777" w:rsidR="003F316D" w:rsidRPr="00DE12A3" w:rsidRDefault="003F316D" w:rsidP="00C917D6">
            <w:pPr>
              <w:spacing w:before="120" w:after="120"/>
              <w:rPr>
                <w:rFonts w:cs="Times New Roman"/>
                <w:color w:val="auto"/>
              </w:rPr>
            </w:pPr>
            <w:r w:rsidRPr="00DE12A3">
              <w:rPr>
                <w:rFonts w:cs="Times New Roman"/>
                <w:color w:val="auto"/>
              </w:rPr>
              <w:t>Baz değer</w:t>
            </w:r>
          </w:p>
          <w:p w14:paraId="09DA987F" w14:textId="77777777" w:rsidR="003F316D" w:rsidRPr="00DE12A3" w:rsidRDefault="003F316D" w:rsidP="00C917D6">
            <w:pPr>
              <w:spacing w:before="120" w:after="120"/>
              <w:rPr>
                <w:rFonts w:cs="Times New Roman"/>
                <w:color w:val="auto"/>
              </w:rPr>
            </w:pPr>
          </w:p>
        </w:tc>
        <w:tc>
          <w:tcPr>
            <w:tcW w:w="3064" w:type="dxa"/>
            <w:gridSpan w:val="2"/>
            <w:tcBorders>
              <w:top w:val="single" w:sz="2" w:space="0" w:color="auto"/>
              <w:left w:val="single" w:sz="2" w:space="0" w:color="auto"/>
              <w:bottom w:val="single" w:sz="2" w:space="0" w:color="auto"/>
              <w:right w:val="single" w:sz="2" w:space="0" w:color="auto"/>
            </w:tcBorders>
          </w:tcPr>
          <w:p w14:paraId="2218E3CE" w14:textId="77777777" w:rsidR="003F316D" w:rsidRPr="00DE12A3" w:rsidRDefault="003F316D" w:rsidP="00C917D6">
            <w:pPr>
              <w:spacing w:before="120" w:after="120"/>
              <w:rPr>
                <w:rFonts w:cs="Times New Roman"/>
                <w:color w:val="auto"/>
              </w:rPr>
            </w:pPr>
            <w:r w:rsidRPr="00DE12A3">
              <w:rPr>
                <w:rFonts w:cs="Times New Roman"/>
                <w:color w:val="auto"/>
              </w:rPr>
              <w:t>Sınırlar</w:t>
            </w:r>
          </w:p>
        </w:tc>
        <w:tc>
          <w:tcPr>
            <w:tcW w:w="1300" w:type="dxa"/>
            <w:vMerge w:val="restart"/>
            <w:tcBorders>
              <w:top w:val="single" w:sz="2" w:space="0" w:color="auto"/>
              <w:left w:val="single" w:sz="2" w:space="0" w:color="auto"/>
              <w:bottom w:val="single" w:sz="2" w:space="0" w:color="auto"/>
              <w:right w:val="single" w:sz="2" w:space="0" w:color="auto"/>
            </w:tcBorders>
          </w:tcPr>
          <w:p w14:paraId="2FE81AFF" w14:textId="77777777" w:rsidR="003F316D" w:rsidRPr="00DE12A3" w:rsidRDefault="003F316D" w:rsidP="00C917D6">
            <w:pPr>
              <w:spacing w:before="120" w:after="120"/>
              <w:rPr>
                <w:rFonts w:cs="Times New Roman"/>
                <w:color w:val="auto"/>
              </w:rPr>
            </w:pPr>
            <w:r w:rsidRPr="00DE12A3">
              <w:rPr>
                <w:rFonts w:cs="Times New Roman"/>
                <w:color w:val="auto"/>
              </w:rPr>
              <w:t>Test yöntemi</w:t>
            </w:r>
          </w:p>
        </w:tc>
      </w:tr>
      <w:tr w:rsidR="00DE12A3" w:rsidRPr="00DE12A3" w14:paraId="0851F22D" w14:textId="77777777" w:rsidTr="009F4766">
        <w:tc>
          <w:tcPr>
            <w:tcW w:w="2043" w:type="dxa"/>
            <w:vMerge/>
            <w:tcBorders>
              <w:top w:val="single" w:sz="2" w:space="0" w:color="auto"/>
              <w:left w:val="single" w:sz="2" w:space="0" w:color="auto"/>
              <w:bottom w:val="single" w:sz="2" w:space="0" w:color="auto"/>
              <w:right w:val="single" w:sz="2" w:space="0" w:color="auto"/>
            </w:tcBorders>
          </w:tcPr>
          <w:p w14:paraId="6D7D8AE1" w14:textId="77777777" w:rsidR="003F316D" w:rsidRPr="00DE12A3" w:rsidRDefault="003F316D" w:rsidP="00C917D6">
            <w:pPr>
              <w:adjustRightInd w:val="0"/>
              <w:spacing w:before="120" w:after="120"/>
              <w:rPr>
                <w:rFonts w:cs="Times New Roman"/>
                <w:color w:val="auto"/>
              </w:rPr>
            </w:pPr>
          </w:p>
        </w:tc>
        <w:tc>
          <w:tcPr>
            <w:tcW w:w="1579" w:type="dxa"/>
            <w:vMerge/>
            <w:tcBorders>
              <w:top w:val="single" w:sz="2" w:space="0" w:color="auto"/>
              <w:left w:val="single" w:sz="2" w:space="0" w:color="auto"/>
              <w:bottom w:val="single" w:sz="2" w:space="0" w:color="auto"/>
              <w:right w:val="single" w:sz="2" w:space="0" w:color="auto"/>
            </w:tcBorders>
          </w:tcPr>
          <w:p w14:paraId="0445DA18" w14:textId="77777777" w:rsidR="003F316D" w:rsidRPr="00DE12A3" w:rsidRDefault="003F316D" w:rsidP="00C917D6">
            <w:pPr>
              <w:adjustRightInd w:val="0"/>
              <w:spacing w:before="120" w:after="120"/>
              <w:rPr>
                <w:rFonts w:cs="Times New Roman"/>
                <w:color w:val="auto"/>
              </w:rPr>
            </w:pPr>
          </w:p>
        </w:tc>
        <w:tc>
          <w:tcPr>
            <w:tcW w:w="1300" w:type="dxa"/>
            <w:vMerge/>
            <w:tcBorders>
              <w:top w:val="single" w:sz="2" w:space="0" w:color="auto"/>
              <w:left w:val="single" w:sz="2" w:space="0" w:color="auto"/>
              <w:bottom w:val="single" w:sz="2" w:space="0" w:color="auto"/>
              <w:right w:val="single" w:sz="2" w:space="0" w:color="auto"/>
            </w:tcBorders>
          </w:tcPr>
          <w:p w14:paraId="06CC840B" w14:textId="77777777" w:rsidR="003F316D" w:rsidRPr="00DE12A3" w:rsidRDefault="003F316D" w:rsidP="00C917D6">
            <w:pPr>
              <w:adjustRightInd w:val="0"/>
              <w:spacing w:before="120" w:after="120"/>
              <w:rPr>
                <w:rFonts w:cs="Times New Roman"/>
                <w:color w:val="auto"/>
              </w:rPr>
            </w:pPr>
          </w:p>
        </w:tc>
        <w:tc>
          <w:tcPr>
            <w:tcW w:w="1578" w:type="dxa"/>
            <w:tcBorders>
              <w:top w:val="single" w:sz="2" w:space="0" w:color="auto"/>
              <w:left w:val="single" w:sz="2" w:space="0" w:color="auto"/>
              <w:bottom w:val="single" w:sz="2" w:space="0" w:color="auto"/>
              <w:right w:val="single" w:sz="2" w:space="0" w:color="auto"/>
            </w:tcBorders>
          </w:tcPr>
          <w:p w14:paraId="6EF24BBF" w14:textId="77777777" w:rsidR="003F316D" w:rsidRPr="00DE12A3" w:rsidRDefault="003F316D" w:rsidP="00C917D6">
            <w:pPr>
              <w:pStyle w:val="NormalCentered"/>
            </w:pPr>
            <w:r w:rsidRPr="00DE12A3">
              <w:t>asgari</w:t>
            </w:r>
          </w:p>
        </w:tc>
        <w:tc>
          <w:tcPr>
            <w:tcW w:w="1486" w:type="dxa"/>
            <w:tcBorders>
              <w:top w:val="single" w:sz="2" w:space="0" w:color="auto"/>
              <w:left w:val="single" w:sz="2" w:space="0" w:color="auto"/>
              <w:bottom w:val="single" w:sz="2" w:space="0" w:color="auto"/>
              <w:right w:val="single" w:sz="2" w:space="0" w:color="auto"/>
            </w:tcBorders>
          </w:tcPr>
          <w:p w14:paraId="6050CF9A" w14:textId="77777777" w:rsidR="003F316D" w:rsidRPr="00DE12A3" w:rsidRDefault="003F316D" w:rsidP="00C917D6">
            <w:pPr>
              <w:pStyle w:val="NormalCentered"/>
            </w:pPr>
            <w:r w:rsidRPr="00DE12A3">
              <w:t>azami</w:t>
            </w:r>
          </w:p>
        </w:tc>
        <w:tc>
          <w:tcPr>
            <w:tcW w:w="1300" w:type="dxa"/>
            <w:vMerge/>
            <w:tcBorders>
              <w:top w:val="single" w:sz="2" w:space="0" w:color="auto"/>
              <w:left w:val="single" w:sz="2" w:space="0" w:color="auto"/>
              <w:bottom w:val="single" w:sz="2" w:space="0" w:color="auto"/>
              <w:right w:val="single" w:sz="2" w:space="0" w:color="auto"/>
            </w:tcBorders>
          </w:tcPr>
          <w:p w14:paraId="17393278" w14:textId="77777777" w:rsidR="003F316D" w:rsidRPr="00DE12A3" w:rsidRDefault="003F316D" w:rsidP="00C917D6">
            <w:pPr>
              <w:pStyle w:val="NormalCentered"/>
            </w:pPr>
          </w:p>
        </w:tc>
      </w:tr>
      <w:tr w:rsidR="00DE12A3" w:rsidRPr="00DE12A3" w14:paraId="6F26D31F" w14:textId="77777777" w:rsidTr="009F4766">
        <w:tc>
          <w:tcPr>
            <w:tcW w:w="2043" w:type="dxa"/>
            <w:tcBorders>
              <w:top w:val="single" w:sz="2" w:space="0" w:color="auto"/>
              <w:left w:val="single" w:sz="2" w:space="0" w:color="auto"/>
              <w:bottom w:val="single" w:sz="2" w:space="0" w:color="auto"/>
              <w:right w:val="single" w:sz="2" w:space="0" w:color="auto"/>
            </w:tcBorders>
          </w:tcPr>
          <w:p w14:paraId="4AC44DE3" w14:textId="77777777" w:rsidR="009F4766" w:rsidRPr="00DE12A3" w:rsidRDefault="0020097A" w:rsidP="00C917D6">
            <w:pPr>
              <w:pStyle w:val="NormalCentered"/>
            </w:pPr>
            <w:r w:rsidRPr="00DE12A3">
              <w:rPr>
                <w:iCs/>
              </w:rPr>
              <w:t xml:space="preserve">Referans yakıt </w:t>
            </w:r>
            <w:r w:rsidR="009F4766" w:rsidRPr="00DE12A3">
              <w:rPr>
                <w:iCs/>
              </w:rPr>
              <w:t>G</w:t>
            </w:r>
            <w:r w:rsidR="009F4766" w:rsidRPr="00DE12A3">
              <w:rPr>
                <w:iCs/>
                <w:vertAlign w:val="subscript"/>
              </w:rPr>
              <w:t>R</w:t>
            </w:r>
          </w:p>
        </w:tc>
        <w:tc>
          <w:tcPr>
            <w:tcW w:w="1579" w:type="dxa"/>
            <w:tcBorders>
              <w:top w:val="single" w:sz="2" w:space="0" w:color="auto"/>
              <w:left w:val="single" w:sz="2" w:space="0" w:color="auto"/>
              <w:bottom w:val="single" w:sz="2" w:space="0" w:color="auto"/>
              <w:right w:val="single" w:sz="2" w:space="0" w:color="auto"/>
            </w:tcBorders>
          </w:tcPr>
          <w:p w14:paraId="67ECD760" w14:textId="77777777" w:rsidR="009F4766" w:rsidRPr="00DE12A3" w:rsidRDefault="009F4766" w:rsidP="00C917D6">
            <w:pPr>
              <w:pStyle w:val="NormalCentered"/>
            </w:pPr>
          </w:p>
        </w:tc>
        <w:tc>
          <w:tcPr>
            <w:tcW w:w="1300" w:type="dxa"/>
            <w:tcBorders>
              <w:top w:val="single" w:sz="2" w:space="0" w:color="auto"/>
              <w:left w:val="single" w:sz="2" w:space="0" w:color="auto"/>
              <w:bottom w:val="single" w:sz="2" w:space="0" w:color="auto"/>
              <w:right w:val="single" w:sz="2" w:space="0" w:color="auto"/>
            </w:tcBorders>
          </w:tcPr>
          <w:p w14:paraId="040F7CE2" w14:textId="77777777" w:rsidR="009F4766" w:rsidRPr="00DE12A3" w:rsidRDefault="009F4766" w:rsidP="00C917D6">
            <w:pPr>
              <w:pStyle w:val="NormalCentered"/>
            </w:pPr>
          </w:p>
        </w:tc>
        <w:tc>
          <w:tcPr>
            <w:tcW w:w="1578" w:type="dxa"/>
            <w:tcBorders>
              <w:top w:val="single" w:sz="2" w:space="0" w:color="auto"/>
              <w:left w:val="single" w:sz="2" w:space="0" w:color="auto"/>
              <w:bottom w:val="single" w:sz="2" w:space="0" w:color="auto"/>
              <w:right w:val="single" w:sz="2" w:space="0" w:color="auto"/>
            </w:tcBorders>
          </w:tcPr>
          <w:p w14:paraId="61369901" w14:textId="77777777" w:rsidR="009F4766" w:rsidRPr="00DE12A3" w:rsidRDefault="009F4766" w:rsidP="00C917D6">
            <w:pPr>
              <w:pStyle w:val="NormalCentered"/>
            </w:pPr>
          </w:p>
        </w:tc>
        <w:tc>
          <w:tcPr>
            <w:tcW w:w="1486" w:type="dxa"/>
            <w:tcBorders>
              <w:top w:val="single" w:sz="2" w:space="0" w:color="auto"/>
              <w:left w:val="single" w:sz="2" w:space="0" w:color="auto"/>
              <w:bottom w:val="single" w:sz="2" w:space="0" w:color="auto"/>
              <w:right w:val="single" w:sz="2" w:space="0" w:color="auto"/>
            </w:tcBorders>
          </w:tcPr>
          <w:p w14:paraId="0698B055" w14:textId="77777777" w:rsidR="009F4766" w:rsidRPr="00DE12A3" w:rsidRDefault="009F4766" w:rsidP="00C917D6">
            <w:pPr>
              <w:pStyle w:val="NormalCentered"/>
            </w:pPr>
          </w:p>
        </w:tc>
        <w:tc>
          <w:tcPr>
            <w:tcW w:w="1300" w:type="dxa"/>
            <w:tcBorders>
              <w:top w:val="single" w:sz="2" w:space="0" w:color="auto"/>
              <w:left w:val="single" w:sz="2" w:space="0" w:color="auto"/>
              <w:bottom w:val="single" w:sz="2" w:space="0" w:color="auto"/>
              <w:right w:val="single" w:sz="2" w:space="0" w:color="auto"/>
            </w:tcBorders>
          </w:tcPr>
          <w:p w14:paraId="2AB14EC0" w14:textId="77777777" w:rsidR="009F4766" w:rsidRPr="00DE12A3" w:rsidRDefault="009F4766" w:rsidP="00C917D6">
            <w:pPr>
              <w:pStyle w:val="NormalCentered"/>
            </w:pPr>
          </w:p>
        </w:tc>
      </w:tr>
      <w:tr w:rsidR="00DE12A3" w:rsidRPr="00DE12A3" w14:paraId="290DB8FB" w14:textId="77777777" w:rsidTr="009F4766">
        <w:tc>
          <w:tcPr>
            <w:tcW w:w="2043" w:type="dxa"/>
            <w:tcBorders>
              <w:top w:val="single" w:sz="2" w:space="0" w:color="auto"/>
              <w:left w:val="single" w:sz="2" w:space="0" w:color="auto"/>
              <w:bottom w:val="single" w:sz="2" w:space="0" w:color="auto"/>
              <w:right w:val="single" w:sz="2" w:space="0" w:color="auto"/>
            </w:tcBorders>
          </w:tcPr>
          <w:p w14:paraId="3F7E2F05" w14:textId="6A7C105A" w:rsidR="0020097A" w:rsidRPr="00DE12A3" w:rsidRDefault="00AD20E2" w:rsidP="00C917D6">
            <w:pPr>
              <w:spacing w:before="120" w:after="120"/>
              <w:rPr>
                <w:rFonts w:cs="Times New Roman"/>
                <w:color w:val="auto"/>
              </w:rPr>
            </w:pPr>
            <w:r w:rsidRPr="00DE12A3">
              <w:rPr>
                <w:rFonts w:cs="Times New Roman"/>
                <w:color w:val="auto"/>
              </w:rPr>
              <w:t>Bileşim:</w:t>
            </w:r>
          </w:p>
        </w:tc>
        <w:tc>
          <w:tcPr>
            <w:tcW w:w="1579" w:type="dxa"/>
            <w:tcBorders>
              <w:top w:val="single" w:sz="2" w:space="0" w:color="auto"/>
              <w:left w:val="single" w:sz="2" w:space="0" w:color="auto"/>
              <w:bottom w:val="single" w:sz="2" w:space="0" w:color="auto"/>
              <w:right w:val="single" w:sz="2" w:space="0" w:color="auto"/>
            </w:tcBorders>
          </w:tcPr>
          <w:p w14:paraId="66DE95E0" w14:textId="77777777" w:rsidR="0020097A" w:rsidRPr="00DE12A3" w:rsidRDefault="0020097A" w:rsidP="00C917D6">
            <w:pPr>
              <w:pStyle w:val="NormalLeft"/>
            </w:pPr>
          </w:p>
        </w:tc>
        <w:tc>
          <w:tcPr>
            <w:tcW w:w="1300" w:type="dxa"/>
            <w:tcBorders>
              <w:top w:val="single" w:sz="2" w:space="0" w:color="auto"/>
              <w:left w:val="single" w:sz="2" w:space="0" w:color="auto"/>
              <w:bottom w:val="single" w:sz="2" w:space="0" w:color="auto"/>
              <w:right w:val="single" w:sz="2" w:space="0" w:color="auto"/>
            </w:tcBorders>
          </w:tcPr>
          <w:p w14:paraId="0428A206" w14:textId="77777777" w:rsidR="0020097A" w:rsidRPr="00DE12A3" w:rsidRDefault="0020097A" w:rsidP="00C917D6">
            <w:pPr>
              <w:pStyle w:val="NormalLeft"/>
            </w:pPr>
          </w:p>
        </w:tc>
        <w:tc>
          <w:tcPr>
            <w:tcW w:w="1578" w:type="dxa"/>
            <w:tcBorders>
              <w:top w:val="single" w:sz="2" w:space="0" w:color="auto"/>
              <w:left w:val="single" w:sz="2" w:space="0" w:color="auto"/>
              <w:bottom w:val="single" w:sz="2" w:space="0" w:color="auto"/>
              <w:right w:val="single" w:sz="2" w:space="0" w:color="auto"/>
            </w:tcBorders>
          </w:tcPr>
          <w:p w14:paraId="25DC6605" w14:textId="77777777" w:rsidR="0020097A" w:rsidRPr="00DE12A3" w:rsidRDefault="0020097A" w:rsidP="00C917D6">
            <w:pPr>
              <w:pStyle w:val="NormalLeft"/>
            </w:pPr>
          </w:p>
        </w:tc>
        <w:tc>
          <w:tcPr>
            <w:tcW w:w="1486" w:type="dxa"/>
            <w:tcBorders>
              <w:top w:val="single" w:sz="2" w:space="0" w:color="auto"/>
              <w:left w:val="single" w:sz="2" w:space="0" w:color="auto"/>
              <w:bottom w:val="single" w:sz="2" w:space="0" w:color="auto"/>
              <w:right w:val="single" w:sz="2" w:space="0" w:color="auto"/>
            </w:tcBorders>
          </w:tcPr>
          <w:p w14:paraId="13429D3E" w14:textId="77777777" w:rsidR="0020097A" w:rsidRPr="00DE12A3" w:rsidRDefault="0020097A" w:rsidP="00C917D6">
            <w:pPr>
              <w:pStyle w:val="NormalLeft"/>
            </w:pPr>
          </w:p>
        </w:tc>
        <w:tc>
          <w:tcPr>
            <w:tcW w:w="1300" w:type="dxa"/>
            <w:tcBorders>
              <w:top w:val="single" w:sz="2" w:space="0" w:color="auto"/>
              <w:left w:val="single" w:sz="2" w:space="0" w:color="auto"/>
              <w:bottom w:val="single" w:sz="2" w:space="0" w:color="auto"/>
              <w:right w:val="single" w:sz="2" w:space="0" w:color="auto"/>
            </w:tcBorders>
          </w:tcPr>
          <w:p w14:paraId="7D971BAD" w14:textId="77777777" w:rsidR="0020097A" w:rsidRPr="00DE12A3" w:rsidRDefault="0020097A" w:rsidP="00C917D6">
            <w:pPr>
              <w:pStyle w:val="NormalLeft"/>
            </w:pPr>
          </w:p>
        </w:tc>
      </w:tr>
      <w:tr w:rsidR="00DE12A3" w:rsidRPr="00DE12A3" w14:paraId="013F6BF0" w14:textId="77777777" w:rsidTr="009F4766">
        <w:tc>
          <w:tcPr>
            <w:tcW w:w="2043" w:type="dxa"/>
            <w:tcBorders>
              <w:top w:val="single" w:sz="2" w:space="0" w:color="auto"/>
              <w:left w:val="single" w:sz="2" w:space="0" w:color="auto"/>
              <w:bottom w:val="single" w:sz="2" w:space="0" w:color="auto"/>
              <w:right w:val="single" w:sz="2" w:space="0" w:color="auto"/>
            </w:tcBorders>
          </w:tcPr>
          <w:p w14:paraId="0E7E35DA" w14:textId="77777777" w:rsidR="0020097A" w:rsidRPr="00DE12A3" w:rsidRDefault="0020097A" w:rsidP="00C917D6">
            <w:pPr>
              <w:spacing w:before="120" w:after="120"/>
              <w:rPr>
                <w:rFonts w:cs="Times New Roman"/>
                <w:color w:val="auto"/>
              </w:rPr>
            </w:pPr>
            <w:r w:rsidRPr="00DE12A3">
              <w:rPr>
                <w:rFonts w:cs="Times New Roman"/>
                <w:color w:val="auto"/>
              </w:rPr>
              <w:t>Metan</w:t>
            </w:r>
          </w:p>
        </w:tc>
        <w:tc>
          <w:tcPr>
            <w:tcW w:w="1579" w:type="dxa"/>
            <w:tcBorders>
              <w:top w:val="single" w:sz="2" w:space="0" w:color="auto"/>
              <w:left w:val="single" w:sz="2" w:space="0" w:color="auto"/>
              <w:bottom w:val="single" w:sz="2" w:space="0" w:color="auto"/>
              <w:right w:val="single" w:sz="2" w:space="0" w:color="auto"/>
            </w:tcBorders>
          </w:tcPr>
          <w:p w14:paraId="1AE4964F" w14:textId="77777777" w:rsidR="0020097A" w:rsidRPr="00DE12A3" w:rsidRDefault="0020097A" w:rsidP="00C917D6">
            <w:pPr>
              <w:pStyle w:val="NormalLeft"/>
            </w:pPr>
          </w:p>
        </w:tc>
        <w:tc>
          <w:tcPr>
            <w:tcW w:w="1300" w:type="dxa"/>
            <w:tcBorders>
              <w:top w:val="single" w:sz="2" w:space="0" w:color="auto"/>
              <w:left w:val="single" w:sz="2" w:space="0" w:color="auto"/>
              <w:bottom w:val="single" w:sz="2" w:space="0" w:color="auto"/>
              <w:right w:val="single" w:sz="2" w:space="0" w:color="auto"/>
            </w:tcBorders>
          </w:tcPr>
          <w:p w14:paraId="4E670B52" w14:textId="77777777" w:rsidR="0020097A" w:rsidRPr="00DE12A3" w:rsidRDefault="0020097A" w:rsidP="00C917D6">
            <w:pPr>
              <w:pStyle w:val="NormalLeft"/>
            </w:pPr>
            <w:r w:rsidRPr="00DE12A3">
              <w:t>87</w:t>
            </w:r>
          </w:p>
        </w:tc>
        <w:tc>
          <w:tcPr>
            <w:tcW w:w="1578" w:type="dxa"/>
            <w:tcBorders>
              <w:top w:val="single" w:sz="2" w:space="0" w:color="auto"/>
              <w:left w:val="single" w:sz="2" w:space="0" w:color="auto"/>
              <w:bottom w:val="single" w:sz="2" w:space="0" w:color="auto"/>
              <w:right w:val="single" w:sz="2" w:space="0" w:color="auto"/>
            </w:tcBorders>
          </w:tcPr>
          <w:p w14:paraId="622A3296" w14:textId="77777777" w:rsidR="0020097A" w:rsidRPr="00DE12A3" w:rsidRDefault="0020097A" w:rsidP="00C917D6">
            <w:pPr>
              <w:pStyle w:val="NormalLeft"/>
            </w:pPr>
            <w:r w:rsidRPr="00DE12A3">
              <w:t>84</w:t>
            </w:r>
          </w:p>
        </w:tc>
        <w:tc>
          <w:tcPr>
            <w:tcW w:w="1486" w:type="dxa"/>
            <w:tcBorders>
              <w:top w:val="single" w:sz="2" w:space="0" w:color="auto"/>
              <w:left w:val="single" w:sz="2" w:space="0" w:color="auto"/>
              <w:bottom w:val="single" w:sz="2" w:space="0" w:color="auto"/>
              <w:right w:val="single" w:sz="2" w:space="0" w:color="auto"/>
            </w:tcBorders>
          </w:tcPr>
          <w:p w14:paraId="07E3909E" w14:textId="77777777" w:rsidR="0020097A" w:rsidRPr="00DE12A3" w:rsidRDefault="0020097A" w:rsidP="00C917D6">
            <w:pPr>
              <w:pStyle w:val="NormalLeft"/>
            </w:pPr>
            <w:r w:rsidRPr="00DE12A3">
              <w:t>89</w:t>
            </w:r>
          </w:p>
        </w:tc>
        <w:tc>
          <w:tcPr>
            <w:tcW w:w="1300" w:type="dxa"/>
            <w:tcBorders>
              <w:top w:val="single" w:sz="2" w:space="0" w:color="auto"/>
              <w:left w:val="single" w:sz="2" w:space="0" w:color="auto"/>
              <w:bottom w:val="single" w:sz="2" w:space="0" w:color="auto"/>
              <w:right w:val="single" w:sz="2" w:space="0" w:color="auto"/>
            </w:tcBorders>
          </w:tcPr>
          <w:p w14:paraId="402FB4FF" w14:textId="77777777" w:rsidR="0020097A" w:rsidRPr="00DE12A3" w:rsidRDefault="0020097A" w:rsidP="00C917D6">
            <w:pPr>
              <w:pStyle w:val="NormalLeft"/>
            </w:pPr>
          </w:p>
        </w:tc>
      </w:tr>
      <w:tr w:rsidR="00DE12A3" w:rsidRPr="00DE12A3" w14:paraId="6680A63E" w14:textId="77777777" w:rsidTr="009F4766">
        <w:tc>
          <w:tcPr>
            <w:tcW w:w="2043" w:type="dxa"/>
            <w:tcBorders>
              <w:top w:val="single" w:sz="2" w:space="0" w:color="auto"/>
              <w:left w:val="single" w:sz="2" w:space="0" w:color="auto"/>
              <w:bottom w:val="single" w:sz="2" w:space="0" w:color="auto"/>
              <w:right w:val="single" w:sz="2" w:space="0" w:color="auto"/>
            </w:tcBorders>
          </w:tcPr>
          <w:p w14:paraId="791C8CBB" w14:textId="77777777" w:rsidR="0020097A" w:rsidRPr="00DE12A3" w:rsidRDefault="0020097A" w:rsidP="00C917D6">
            <w:pPr>
              <w:spacing w:before="120" w:after="120"/>
              <w:rPr>
                <w:rFonts w:cs="Times New Roman"/>
                <w:color w:val="auto"/>
              </w:rPr>
            </w:pPr>
            <w:r w:rsidRPr="00DE12A3">
              <w:rPr>
                <w:rFonts w:cs="Times New Roman"/>
                <w:color w:val="auto"/>
              </w:rPr>
              <w:lastRenderedPageBreak/>
              <w:t>Ethane</w:t>
            </w:r>
          </w:p>
        </w:tc>
        <w:tc>
          <w:tcPr>
            <w:tcW w:w="1579" w:type="dxa"/>
            <w:tcBorders>
              <w:top w:val="single" w:sz="2" w:space="0" w:color="auto"/>
              <w:left w:val="single" w:sz="2" w:space="0" w:color="auto"/>
              <w:bottom w:val="single" w:sz="2" w:space="0" w:color="auto"/>
              <w:right w:val="single" w:sz="2" w:space="0" w:color="auto"/>
            </w:tcBorders>
          </w:tcPr>
          <w:p w14:paraId="574FEB21" w14:textId="77777777" w:rsidR="0020097A" w:rsidRPr="00DE12A3" w:rsidRDefault="0020097A" w:rsidP="00C917D6">
            <w:pPr>
              <w:pStyle w:val="NormalLeft"/>
            </w:pPr>
          </w:p>
        </w:tc>
        <w:tc>
          <w:tcPr>
            <w:tcW w:w="1300" w:type="dxa"/>
            <w:tcBorders>
              <w:top w:val="single" w:sz="2" w:space="0" w:color="auto"/>
              <w:left w:val="single" w:sz="2" w:space="0" w:color="auto"/>
              <w:bottom w:val="single" w:sz="2" w:space="0" w:color="auto"/>
              <w:right w:val="single" w:sz="2" w:space="0" w:color="auto"/>
            </w:tcBorders>
          </w:tcPr>
          <w:p w14:paraId="2FFC267C" w14:textId="77777777" w:rsidR="0020097A" w:rsidRPr="00DE12A3" w:rsidRDefault="0020097A" w:rsidP="00C917D6">
            <w:pPr>
              <w:pStyle w:val="NormalLeft"/>
            </w:pPr>
            <w:r w:rsidRPr="00DE12A3">
              <w:t>13</w:t>
            </w:r>
          </w:p>
        </w:tc>
        <w:tc>
          <w:tcPr>
            <w:tcW w:w="1578" w:type="dxa"/>
            <w:tcBorders>
              <w:top w:val="single" w:sz="2" w:space="0" w:color="auto"/>
              <w:left w:val="single" w:sz="2" w:space="0" w:color="auto"/>
              <w:bottom w:val="single" w:sz="2" w:space="0" w:color="auto"/>
              <w:right w:val="single" w:sz="2" w:space="0" w:color="auto"/>
            </w:tcBorders>
          </w:tcPr>
          <w:p w14:paraId="775D202F" w14:textId="77777777" w:rsidR="0020097A" w:rsidRPr="00DE12A3" w:rsidRDefault="0020097A" w:rsidP="00C917D6">
            <w:pPr>
              <w:pStyle w:val="NormalLeft"/>
            </w:pPr>
            <w:r w:rsidRPr="00DE12A3">
              <w:t>11</w:t>
            </w:r>
          </w:p>
        </w:tc>
        <w:tc>
          <w:tcPr>
            <w:tcW w:w="1486" w:type="dxa"/>
            <w:tcBorders>
              <w:top w:val="single" w:sz="2" w:space="0" w:color="auto"/>
              <w:left w:val="single" w:sz="2" w:space="0" w:color="auto"/>
              <w:bottom w:val="single" w:sz="2" w:space="0" w:color="auto"/>
              <w:right w:val="single" w:sz="2" w:space="0" w:color="auto"/>
            </w:tcBorders>
          </w:tcPr>
          <w:p w14:paraId="4AA8B3AB" w14:textId="77777777" w:rsidR="0020097A" w:rsidRPr="00DE12A3" w:rsidRDefault="0020097A" w:rsidP="00C917D6">
            <w:pPr>
              <w:pStyle w:val="NormalLeft"/>
            </w:pPr>
            <w:r w:rsidRPr="00DE12A3">
              <w:t>15</w:t>
            </w:r>
          </w:p>
        </w:tc>
        <w:tc>
          <w:tcPr>
            <w:tcW w:w="1300" w:type="dxa"/>
            <w:tcBorders>
              <w:top w:val="single" w:sz="2" w:space="0" w:color="auto"/>
              <w:left w:val="single" w:sz="2" w:space="0" w:color="auto"/>
              <w:bottom w:val="single" w:sz="2" w:space="0" w:color="auto"/>
              <w:right w:val="single" w:sz="2" w:space="0" w:color="auto"/>
            </w:tcBorders>
          </w:tcPr>
          <w:p w14:paraId="4501860E" w14:textId="77777777" w:rsidR="0020097A" w:rsidRPr="00DE12A3" w:rsidRDefault="0020097A" w:rsidP="00C917D6">
            <w:pPr>
              <w:pStyle w:val="NormalLeft"/>
            </w:pPr>
          </w:p>
        </w:tc>
      </w:tr>
      <w:tr w:rsidR="00DE12A3" w:rsidRPr="00DE12A3" w14:paraId="0D8C4D2C" w14:textId="77777777" w:rsidTr="009F4766">
        <w:tc>
          <w:tcPr>
            <w:tcW w:w="2043" w:type="dxa"/>
            <w:tcBorders>
              <w:top w:val="single" w:sz="2" w:space="0" w:color="auto"/>
              <w:left w:val="single" w:sz="2" w:space="0" w:color="auto"/>
              <w:bottom w:val="single" w:sz="2" w:space="0" w:color="auto"/>
              <w:right w:val="single" w:sz="2" w:space="0" w:color="auto"/>
            </w:tcBorders>
          </w:tcPr>
          <w:p w14:paraId="70768C96" w14:textId="77777777" w:rsidR="0020097A" w:rsidRPr="00DE12A3" w:rsidRDefault="0020097A" w:rsidP="00C917D6">
            <w:pPr>
              <w:spacing w:before="120" w:after="120"/>
              <w:rPr>
                <w:rFonts w:cs="Times New Roman"/>
                <w:color w:val="auto"/>
              </w:rPr>
            </w:pPr>
            <w:r w:rsidRPr="00DE12A3">
              <w:rPr>
                <w:rFonts w:cs="Times New Roman"/>
                <w:color w:val="auto"/>
              </w:rPr>
              <w:t xml:space="preserve">Denge </w:t>
            </w:r>
            <w:r w:rsidRPr="00DE12A3">
              <w:rPr>
                <w:rFonts w:cs="Times New Roman"/>
                <w:color w:val="auto"/>
                <w:vertAlign w:val="superscript"/>
              </w:rPr>
              <w:t>(1)</w:t>
            </w:r>
          </w:p>
        </w:tc>
        <w:tc>
          <w:tcPr>
            <w:tcW w:w="1579" w:type="dxa"/>
            <w:tcBorders>
              <w:top w:val="single" w:sz="2" w:space="0" w:color="auto"/>
              <w:left w:val="single" w:sz="2" w:space="0" w:color="auto"/>
              <w:bottom w:val="single" w:sz="2" w:space="0" w:color="auto"/>
              <w:right w:val="single" w:sz="2" w:space="0" w:color="auto"/>
            </w:tcBorders>
          </w:tcPr>
          <w:p w14:paraId="0EFC3E32" w14:textId="0BD7D99F" w:rsidR="0020097A" w:rsidRPr="00DE12A3" w:rsidRDefault="0020097A" w:rsidP="00C917D6">
            <w:pPr>
              <w:pStyle w:val="NormalLeft"/>
            </w:pPr>
            <w:r w:rsidRPr="00DE12A3">
              <w:t>% mol</w:t>
            </w:r>
          </w:p>
        </w:tc>
        <w:tc>
          <w:tcPr>
            <w:tcW w:w="1300" w:type="dxa"/>
            <w:tcBorders>
              <w:top w:val="single" w:sz="2" w:space="0" w:color="auto"/>
              <w:left w:val="single" w:sz="2" w:space="0" w:color="auto"/>
              <w:bottom w:val="single" w:sz="2" w:space="0" w:color="auto"/>
              <w:right w:val="single" w:sz="2" w:space="0" w:color="auto"/>
            </w:tcBorders>
          </w:tcPr>
          <w:p w14:paraId="7DEAC69F" w14:textId="77777777" w:rsidR="0020097A" w:rsidRPr="00DE12A3" w:rsidRDefault="0020097A" w:rsidP="00C917D6">
            <w:pPr>
              <w:pStyle w:val="NormalLeft"/>
            </w:pPr>
            <w:r w:rsidRPr="00DE12A3">
              <w:t>—</w:t>
            </w:r>
          </w:p>
        </w:tc>
        <w:tc>
          <w:tcPr>
            <w:tcW w:w="1578" w:type="dxa"/>
            <w:tcBorders>
              <w:top w:val="single" w:sz="2" w:space="0" w:color="auto"/>
              <w:left w:val="single" w:sz="2" w:space="0" w:color="auto"/>
              <w:bottom w:val="single" w:sz="2" w:space="0" w:color="auto"/>
              <w:right w:val="single" w:sz="2" w:space="0" w:color="auto"/>
            </w:tcBorders>
          </w:tcPr>
          <w:p w14:paraId="32D2C663" w14:textId="77777777" w:rsidR="0020097A" w:rsidRPr="00DE12A3" w:rsidRDefault="0020097A" w:rsidP="00C917D6">
            <w:pPr>
              <w:pStyle w:val="NormalLeft"/>
            </w:pPr>
            <w:r w:rsidRPr="00DE12A3">
              <w:t>—</w:t>
            </w:r>
          </w:p>
        </w:tc>
        <w:tc>
          <w:tcPr>
            <w:tcW w:w="1486" w:type="dxa"/>
            <w:tcBorders>
              <w:top w:val="single" w:sz="2" w:space="0" w:color="auto"/>
              <w:left w:val="single" w:sz="2" w:space="0" w:color="auto"/>
              <w:bottom w:val="single" w:sz="2" w:space="0" w:color="auto"/>
              <w:right w:val="single" w:sz="2" w:space="0" w:color="auto"/>
            </w:tcBorders>
          </w:tcPr>
          <w:p w14:paraId="5B118AEC" w14:textId="77777777" w:rsidR="0020097A" w:rsidRPr="00DE12A3" w:rsidRDefault="0020097A" w:rsidP="00C917D6">
            <w:pPr>
              <w:pStyle w:val="NormalLeft"/>
            </w:pPr>
            <w:r w:rsidRPr="00DE12A3">
              <w:t>1</w:t>
            </w:r>
          </w:p>
        </w:tc>
        <w:tc>
          <w:tcPr>
            <w:tcW w:w="1300" w:type="dxa"/>
            <w:tcBorders>
              <w:top w:val="single" w:sz="2" w:space="0" w:color="auto"/>
              <w:left w:val="single" w:sz="2" w:space="0" w:color="auto"/>
              <w:bottom w:val="single" w:sz="2" w:space="0" w:color="auto"/>
              <w:right w:val="single" w:sz="2" w:space="0" w:color="auto"/>
            </w:tcBorders>
          </w:tcPr>
          <w:p w14:paraId="4B0B5A19" w14:textId="77777777" w:rsidR="0020097A" w:rsidRPr="00DE12A3" w:rsidRDefault="0020097A" w:rsidP="00C917D6">
            <w:pPr>
              <w:pStyle w:val="NormalLeft"/>
            </w:pPr>
            <w:r w:rsidRPr="00DE12A3">
              <w:t>ISO 6974</w:t>
            </w:r>
          </w:p>
        </w:tc>
      </w:tr>
      <w:tr w:rsidR="00DE12A3" w:rsidRPr="00DE12A3" w14:paraId="56000ADD" w14:textId="77777777" w:rsidTr="009F4766">
        <w:tc>
          <w:tcPr>
            <w:tcW w:w="2043" w:type="dxa"/>
            <w:tcBorders>
              <w:top w:val="single" w:sz="2" w:space="0" w:color="auto"/>
              <w:left w:val="single" w:sz="2" w:space="0" w:color="auto"/>
              <w:bottom w:val="single" w:sz="2" w:space="0" w:color="auto"/>
              <w:right w:val="single" w:sz="2" w:space="0" w:color="auto"/>
            </w:tcBorders>
          </w:tcPr>
          <w:p w14:paraId="5A794D86" w14:textId="77777777" w:rsidR="0020097A" w:rsidRPr="00DE12A3" w:rsidRDefault="0020097A" w:rsidP="00C917D6">
            <w:pPr>
              <w:spacing w:before="120" w:after="120"/>
              <w:rPr>
                <w:rFonts w:cs="Times New Roman"/>
                <w:color w:val="auto"/>
              </w:rPr>
            </w:pPr>
            <w:r w:rsidRPr="00DE12A3">
              <w:rPr>
                <w:rFonts w:cs="Times New Roman"/>
                <w:color w:val="auto"/>
              </w:rPr>
              <w:t>Kükürt içeriği</w:t>
            </w:r>
          </w:p>
        </w:tc>
        <w:tc>
          <w:tcPr>
            <w:tcW w:w="1579" w:type="dxa"/>
            <w:tcBorders>
              <w:top w:val="single" w:sz="2" w:space="0" w:color="auto"/>
              <w:left w:val="single" w:sz="2" w:space="0" w:color="auto"/>
              <w:bottom w:val="single" w:sz="2" w:space="0" w:color="auto"/>
              <w:right w:val="single" w:sz="2" w:space="0" w:color="auto"/>
            </w:tcBorders>
          </w:tcPr>
          <w:p w14:paraId="7AA004E3" w14:textId="77777777" w:rsidR="0020097A" w:rsidRPr="00DE12A3" w:rsidRDefault="0020097A" w:rsidP="00C917D6">
            <w:pPr>
              <w:pStyle w:val="NormalLeft"/>
            </w:pPr>
            <w:r w:rsidRPr="00DE12A3">
              <w:t>mg/m</w:t>
            </w:r>
            <w:r w:rsidRPr="00DE12A3">
              <w:rPr>
                <w:vertAlign w:val="superscript"/>
              </w:rPr>
              <w:t>3</w:t>
            </w:r>
            <w:r w:rsidRPr="00DE12A3">
              <w:t xml:space="preserve"> (</w:t>
            </w:r>
            <w:r w:rsidRPr="00DE12A3">
              <w:rPr>
                <w:vertAlign w:val="superscript"/>
              </w:rPr>
              <w:t>2</w:t>
            </w:r>
            <w:r w:rsidRPr="00DE12A3">
              <w:t>)</w:t>
            </w:r>
          </w:p>
        </w:tc>
        <w:tc>
          <w:tcPr>
            <w:tcW w:w="1300" w:type="dxa"/>
            <w:tcBorders>
              <w:top w:val="single" w:sz="2" w:space="0" w:color="auto"/>
              <w:left w:val="single" w:sz="2" w:space="0" w:color="auto"/>
              <w:bottom w:val="single" w:sz="2" w:space="0" w:color="auto"/>
              <w:right w:val="single" w:sz="2" w:space="0" w:color="auto"/>
            </w:tcBorders>
          </w:tcPr>
          <w:p w14:paraId="67E8784A" w14:textId="77777777" w:rsidR="0020097A" w:rsidRPr="00DE12A3" w:rsidRDefault="0020097A" w:rsidP="00C917D6">
            <w:pPr>
              <w:pStyle w:val="NormalLeft"/>
            </w:pPr>
            <w:r w:rsidRPr="00DE12A3">
              <w:t>—</w:t>
            </w:r>
          </w:p>
        </w:tc>
        <w:tc>
          <w:tcPr>
            <w:tcW w:w="1578" w:type="dxa"/>
            <w:tcBorders>
              <w:top w:val="single" w:sz="2" w:space="0" w:color="auto"/>
              <w:left w:val="single" w:sz="2" w:space="0" w:color="auto"/>
              <w:bottom w:val="single" w:sz="2" w:space="0" w:color="auto"/>
              <w:right w:val="single" w:sz="2" w:space="0" w:color="auto"/>
            </w:tcBorders>
          </w:tcPr>
          <w:p w14:paraId="5C5BAA97" w14:textId="77777777" w:rsidR="0020097A" w:rsidRPr="00DE12A3" w:rsidRDefault="0020097A" w:rsidP="00C917D6">
            <w:pPr>
              <w:pStyle w:val="NormalLeft"/>
            </w:pPr>
          </w:p>
        </w:tc>
        <w:tc>
          <w:tcPr>
            <w:tcW w:w="1486" w:type="dxa"/>
            <w:tcBorders>
              <w:top w:val="single" w:sz="2" w:space="0" w:color="auto"/>
              <w:left w:val="single" w:sz="2" w:space="0" w:color="auto"/>
              <w:bottom w:val="single" w:sz="2" w:space="0" w:color="auto"/>
              <w:right w:val="single" w:sz="2" w:space="0" w:color="auto"/>
            </w:tcBorders>
          </w:tcPr>
          <w:p w14:paraId="43AC386C" w14:textId="77777777" w:rsidR="0020097A" w:rsidRPr="00DE12A3" w:rsidRDefault="0020097A" w:rsidP="00C917D6">
            <w:pPr>
              <w:pStyle w:val="NormalLeft"/>
            </w:pPr>
            <w:r w:rsidRPr="00DE12A3">
              <w:t>10</w:t>
            </w:r>
          </w:p>
        </w:tc>
        <w:tc>
          <w:tcPr>
            <w:tcW w:w="1300" w:type="dxa"/>
            <w:tcBorders>
              <w:top w:val="single" w:sz="2" w:space="0" w:color="auto"/>
              <w:left w:val="single" w:sz="2" w:space="0" w:color="auto"/>
              <w:bottom w:val="single" w:sz="2" w:space="0" w:color="auto"/>
              <w:right w:val="single" w:sz="2" w:space="0" w:color="auto"/>
            </w:tcBorders>
          </w:tcPr>
          <w:p w14:paraId="40FD71B5" w14:textId="77777777" w:rsidR="0020097A" w:rsidRPr="00DE12A3" w:rsidRDefault="0020097A" w:rsidP="00C917D6">
            <w:pPr>
              <w:pStyle w:val="NormalLeft"/>
            </w:pPr>
            <w:r w:rsidRPr="00DE12A3">
              <w:t>ISO 6326-5</w:t>
            </w:r>
          </w:p>
        </w:tc>
      </w:tr>
      <w:tr w:rsidR="00DE12A3" w:rsidRPr="00DE12A3" w14:paraId="31D0CCD3" w14:textId="77777777" w:rsidTr="009F4766">
        <w:tc>
          <w:tcPr>
            <w:tcW w:w="9286" w:type="dxa"/>
            <w:gridSpan w:val="6"/>
            <w:tcBorders>
              <w:top w:val="single" w:sz="2" w:space="0" w:color="auto"/>
              <w:left w:val="single" w:sz="2" w:space="0" w:color="auto"/>
              <w:bottom w:val="single" w:sz="2" w:space="0" w:color="auto"/>
              <w:right w:val="single" w:sz="2" w:space="0" w:color="auto"/>
            </w:tcBorders>
          </w:tcPr>
          <w:p w14:paraId="5AAD9F85" w14:textId="77777777" w:rsidR="0020097A" w:rsidRPr="00DE12A3" w:rsidRDefault="0020097A" w:rsidP="00C917D6">
            <w:pPr>
              <w:spacing w:before="120" w:after="120"/>
              <w:rPr>
                <w:rFonts w:cs="Times New Roman"/>
                <w:bCs/>
                <w:iCs/>
                <w:color w:val="auto"/>
              </w:rPr>
            </w:pPr>
            <w:r w:rsidRPr="00DE12A3">
              <w:rPr>
                <w:rFonts w:cs="Times New Roman"/>
                <w:bCs/>
                <w:iCs/>
                <w:color w:val="auto"/>
              </w:rPr>
              <w:t>Notlar:</w:t>
            </w:r>
          </w:p>
          <w:p w14:paraId="51CD85FC" w14:textId="77777777" w:rsidR="0020097A" w:rsidRPr="00DE12A3" w:rsidRDefault="0020097A" w:rsidP="00C917D6">
            <w:pPr>
              <w:spacing w:before="120" w:after="120"/>
              <w:rPr>
                <w:rFonts w:cs="Times New Roman"/>
                <w:bCs/>
                <w:iCs/>
                <w:color w:val="auto"/>
              </w:rPr>
            </w:pPr>
            <w:r w:rsidRPr="00DE12A3">
              <w:rPr>
                <w:rFonts w:cs="Times New Roman"/>
                <w:bCs/>
                <w:iCs/>
                <w:color w:val="auto"/>
                <w:vertAlign w:val="superscript"/>
              </w:rPr>
              <w:t>(1)</w:t>
            </w:r>
            <w:r w:rsidRPr="00DE12A3">
              <w:rPr>
                <w:rFonts w:cs="Times New Roman"/>
                <w:bCs/>
                <w:iCs/>
                <w:color w:val="auto"/>
              </w:rPr>
              <w:tab/>
              <w:t>Atıllar (N</w:t>
            </w:r>
            <w:r w:rsidRPr="00DE12A3">
              <w:rPr>
                <w:rFonts w:cs="Times New Roman"/>
                <w:bCs/>
                <w:iCs/>
                <w:color w:val="auto"/>
                <w:vertAlign w:val="subscript"/>
              </w:rPr>
              <w:t>2</w:t>
            </w:r>
            <w:r w:rsidRPr="00DE12A3">
              <w:rPr>
                <w:rFonts w:cs="Times New Roman"/>
                <w:bCs/>
                <w:iCs/>
                <w:color w:val="auto"/>
              </w:rPr>
              <w:t>'den farklı) + C</w:t>
            </w:r>
            <w:r w:rsidRPr="00DE12A3">
              <w:rPr>
                <w:rFonts w:cs="Times New Roman"/>
                <w:bCs/>
                <w:iCs/>
                <w:color w:val="auto"/>
                <w:vertAlign w:val="subscript"/>
              </w:rPr>
              <w:t>2</w:t>
            </w:r>
            <w:r w:rsidRPr="00DE12A3">
              <w:rPr>
                <w:rFonts w:cs="Times New Roman"/>
                <w:bCs/>
                <w:iCs/>
                <w:color w:val="auto"/>
              </w:rPr>
              <w:t>+</w:t>
            </w:r>
          </w:p>
          <w:p w14:paraId="5499F820" w14:textId="77777777" w:rsidR="009F4766" w:rsidRPr="00DE12A3" w:rsidRDefault="0020097A" w:rsidP="00C917D6">
            <w:pPr>
              <w:pStyle w:val="Point0"/>
            </w:pPr>
            <w:r w:rsidRPr="00DE12A3">
              <w:rPr>
                <w:bCs/>
                <w:iCs/>
                <w:vertAlign w:val="superscript"/>
              </w:rPr>
              <w:t>(2)</w:t>
            </w:r>
            <w:r w:rsidRPr="00DE12A3">
              <w:rPr>
                <w:bCs/>
                <w:iCs/>
              </w:rPr>
              <w:tab/>
              <w:t>293,2 K (20 °C) ve 101,3 kPa altında belirlenecek değer.</w:t>
            </w:r>
          </w:p>
        </w:tc>
      </w:tr>
      <w:tr w:rsidR="00DE12A3" w:rsidRPr="00DE12A3" w14:paraId="4094EA67" w14:textId="77777777" w:rsidTr="009F4766">
        <w:tc>
          <w:tcPr>
            <w:tcW w:w="2043" w:type="dxa"/>
            <w:tcBorders>
              <w:top w:val="single" w:sz="2" w:space="0" w:color="auto"/>
              <w:left w:val="single" w:sz="2" w:space="0" w:color="auto"/>
              <w:bottom w:val="single" w:sz="2" w:space="0" w:color="auto"/>
              <w:right w:val="single" w:sz="2" w:space="0" w:color="auto"/>
            </w:tcBorders>
          </w:tcPr>
          <w:p w14:paraId="324E9564" w14:textId="77777777" w:rsidR="009F4766" w:rsidRPr="00DE12A3" w:rsidRDefault="0020097A" w:rsidP="00C917D6">
            <w:pPr>
              <w:pStyle w:val="NormalCentered"/>
            </w:pPr>
            <w:r w:rsidRPr="00DE12A3">
              <w:rPr>
                <w:iCs/>
              </w:rPr>
              <w:t xml:space="preserve">Referans yakıt </w:t>
            </w:r>
            <w:r w:rsidR="009F4766" w:rsidRPr="00DE12A3">
              <w:rPr>
                <w:iCs/>
              </w:rPr>
              <w:t>G</w:t>
            </w:r>
            <w:r w:rsidR="009F4766" w:rsidRPr="00DE12A3">
              <w:rPr>
                <w:iCs/>
                <w:vertAlign w:val="subscript"/>
              </w:rPr>
              <w:t>23</w:t>
            </w:r>
          </w:p>
        </w:tc>
        <w:tc>
          <w:tcPr>
            <w:tcW w:w="1579" w:type="dxa"/>
            <w:tcBorders>
              <w:top w:val="single" w:sz="2" w:space="0" w:color="auto"/>
              <w:left w:val="single" w:sz="2" w:space="0" w:color="auto"/>
              <w:bottom w:val="single" w:sz="2" w:space="0" w:color="auto"/>
              <w:right w:val="single" w:sz="2" w:space="0" w:color="auto"/>
            </w:tcBorders>
          </w:tcPr>
          <w:p w14:paraId="0BC5F5E6" w14:textId="77777777" w:rsidR="009F4766" w:rsidRPr="00DE12A3" w:rsidRDefault="009F4766" w:rsidP="00C917D6">
            <w:pPr>
              <w:pStyle w:val="NormalCentered"/>
            </w:pPr>
          </w:p>
        </w:tc>
        <w:tc>
          <w:tcPr>
            <w:tcW w:w="1300" w:type="dxa"/>
            <w:tcBorders>
              <w:top w:val="single" w:sz="2" w:space="0" w:color="auto"/>
              <w:left w:val="single" w:sz="2" w:space="0" w:color="auto"/>
              <w:bottom w:val="single" w:sz="2" w:space="0" w:color="auto"/>
              <w:right w:val="single" w:sz="2" w:space="0" w:color="auto"/>
            </w:tcBorders>
          </w:tcPr>
          <w:p w14:paraId="4477207E" w14:textId="77777777" w:rsidR="009F4766" w:rsidRPr="00DE12A3" w:rsidRDefault="009F4766" w:rsidP="00C917D6">
            <w:pPr>
              <w:pStyle w:val="NormalCentered"/>
            </w:pPr>
          </w:p>
        </w:tc>
        <w:tc>
          <w:tcPr>
            <w:tcW w:w="1578" w:type="dxa"/>
            <w:tcBorders>
              <w:top w:val="single" w:sz="2" w:space="0" w:color="auto"/>
              <w:left w:val="single" w:sz="2" w:space="0" w:color="auto"/>
              <w:bottom w:val="single" w:sz="2" w:space="0" w:color="auto"/>
              <w:right w:val="single" w:sz="2" w:space="0" w:color="auto"/>
            </w:tcBorders>
          </w:tcPr>
          <w:p w14:paraId="2926547F" w14:textId="77777777" w:rsidR="009F4766" w:rsidRPr="00DE12A3" w:rsidRDefault="009F4766" w:rsidP="00C917D6">
            <w:pPr>
              <w:pStyle w:val="NormalCentered"/>
            </w:pPr>
          </w:p>
        </w:tc>
        <w:tc>
          <w:tcPr>
            <w:tcW w:w="1486" w:type="dxa"/>
            <w:tcBorders>
              <w:top w:val="single" w:sz="2" w:space="0" w:color="auto"/>
              <w:left w:val="single" w:sz="2" w:space="0" w:color="auto"/>
              <w:bottom w:val="single" w:sz="2" w:space="0" w:color="auto"/>
              <w:right w:val="single" w:sz="2" w:space="0" w:color="auto"/>
            </w:tcBorders>
          </w:tcPr>
          <w:p w14:paraId="3E8453FE" w14:textId="77777777" w:rsidR="009F4766" w:rsidRPr="00DE12A3" w:rsidRDefault="009F4766" w:rsidP="00C917D6">
            <w:pPr>
              <w:pStyle w:val="NormalCentered"/>
            </w:pPr>
          </w:p>
        </w:tc>
        <w:tc>
          <w:tcPr>
            <w:tcW w:w="1300" w:type="dxa"/>
            <w:tcBorders>
              <w:top w:val="single" w:sz="2" w:space="0" w:color="auto"/>
              <w:left w:val="single" w:sz="2" w:space="0" w:color="auto"/>
              <w:bottom w:val="single" w:sz="2" w:space="0" w:color="auto"/>
              <w:right w:val="single" w:sz="2" w:space="0" w:color="auto"/>
            </w:tcBorders>
          </w:tcPr>
          <w:p w14:paraId="75971887" w14:textId="77777777" w:rsidR="009F4766" w:rsidRPr="00DE12A3" w:rsidRDefault="009F4766" w:rsidP="00C917D6">
            <w:pPr>
              <w:pStyle w:val="NormalCentered"/>
            </w:pPr>
          </w:p>
        </w:tc>
      </w:tr>
      <w:tr w:rsidR="00DE12A3" w:rsidRPr="00DE12A3" w14:paraId="35939DCE" w14:textId="77777777" w:rsidTr="009F4766">
        <w:tc>
          <w:tcPr>
            <w:tcW w:w="2043" w:type="dxa"/>
            <w:tcBorders>
              <w:top w:val="single" w:sz="2" w:space="0" w:color="auto"/>
              <w:left w:val="single" w:sz="2" w:space="0" w:color="auto"/>
              <w:bottom w:val="single" w:sz="2" w:space="0" w:color="auto"/>
              <w:right w:val="single" w:sz="2" w:space="0" w:color="auto"/>
            </w:tcBorders>
          </w:tcPr>
          <w:p w14:paraId="2BF158E5" w14:textId="00530013" w:rsidR="0020097A" w:rsidRPr="00DE12A3" w:rsidRDefault="00AD20E2" w:rsidP="00C917D6">
            <w:pPr>
              <w:spacing w:before="120" w:after="120"/>
              <w:rPr>
                <w:rFonts w:cs="Times New Roman"/>
                <w:color w:val="auto"/>
              </w:rPr>
            </w:pPr>
            <w:r w:rsidRPr="00DE12A3">
              <w:rPr>
                <w:rFonts w:cs="Times New Roman"/>
                <w:color w:val="auto"/>
              </w:rPr>
              <w:t>Bileşim:</w:t>
            </w:r>
          </w:p>
        </w:tc>
        <w:tc>
          <w:tcPr>
            <w:tcW w:w="1579" w:type="dxa"/>
            <w:tcBorders>
              <w:top w:val="single" w:sz="2" w:space="0" w:color="auto"/>
              <w:left w:val="single" w:sz="2" w:space="0" w:color="auto"/>
              <w:bottom w:val="single" w:sz="2" w:space="0" w:color="auto"/>
              <w:right w:val="single" w:sz="2" w:space="0" w:color="auto"/>
            </w:tcBorders>
          </w:tcPr>
          <w:p w14:paraId="64EC1D1C" w14:textId="77777777" w:rsidR="0020097A" w:rsidRPr="00DE12A3" w:rsidRDefault="0020097A" w:rsidP="00C917D6">
            <w:pPr>
              <w:pStyle w:val="NormalLeft"/>
            </w:pPr>
          </w:p>
        </w:tc>
        <w:tc>
          <w:tcPr>
            <w:tcW w:w="1300" w:type="dxa"/>
            <w:tcBorders>
              <w:top w:val="single" w:sz="2" w:space="0" w:color="auto"/>
              <w:left w:val="single" w:sz="2" w:space="0" w:color="auto"/>
              <w:bottom w:val="single" w:sz="2" w:space="0" w:color="auto"/>
              <w:right w:val="single" w:sz="2" w:space="0" w:color="auto"/>
            </w:tcBorders>
          </w:tcPr>
          <w:p w14:paraId="5125A5CB" w14:textId="77777777" w:rsidR="0020097A" w:rsidRPr="00DE12A3" w:rsidRDefault="0020097A" w:rsidP="00C917D6">
            <w:pPr>
              <w:pStyle w:val="NormalLeft"/>
            </w:pPr>
          </w:p>
        </w:tc>
        <w:tc>
          <w:tcPr>
            <w:tcW w:w="1578" w:type="dxa"/>
            <w:tcBorders>
              <w:top w:val="single" w:sz="2" w:space="0" w:color="auto"/>
              <w:left w:val="single" w:sz="2" w:space="0" w:color="auto"/>
              <w:bottom w:val="single" w:sz="2" w:space="0" w:color="auto"/>
              <w:right w:val="single" w:sz="2" w:space="0" w:color="auto"/>
            </w:tcBorders>
          </w:tcPr>
          <w:p w14:paraId="2C5648CB" w14:textId="77777777" w:rsidR="0020097A" w:rsidRPr="00DE12A3" w:rsidRDefault="0020097A" w:rsidP="00C917D6">
            <w:pPr>
              <w:pStyle w:val="NormalLeft"/>
            </w:pPr>
          </w:p>
        </w:tc>
        <w:tc>
          <w:tcPr>
            <w:tcW w:w="1486" w:type="dxa"/>
            <w:tcBorders>
              <w:top w:val="single" w:sz="2" w:space="0" w:color="auto"/>
              <w:left w:val="single" w:sz="2" w:space="0" w:color="auto"/>
              <w:bottom w:val="single" w:sz="2" w:space="0" w:color="auto"/>
              <w:right w:val="single" w:sz="2" w:space="0" w:color="auto"/>
            </w:tcBorders>
          </w:tcPr>
          <w:p w14:paraId="05336ABE" w14:textId="77777777" w:rsidR="0020097A" w:rsidRPr="00DE12A3" w:rsidRDefault="0020097A" w:rsidP="00C917D6">
            <w:pPr>
              <w:pStyle w:val="NormalLeft"/>
            </w:pPr>
          </w:p>
        </w:tc>
        <w:tc>
          <w:tcPr>
            <w:tcW w:w="1300" w:type="dxa"/>
            <w:tcBorders>
              <w:top w:val="single" w:sz="2" w:space="0" w:color="auto"/>
              <w:left w:val="single" w:sz="2" w:space="0" w:color="auto"/>
              <w:bottom w:val="single" w:sz="2" w:space="0" w:color="auto"/>
              <w:right w:val="single" w:sz="2" w:space="0" w:color="auto"/>
            </w:tcBorders>
          </w:tcPr>
          <w:p w14:paraId="2092AA15" w14:textId="77777777" w:rsidR="0020097A" w:rsidRPr="00DE12A3" w:rsidRDefault="0020097A" w:rsidP="00C917D6">
            <w:pPr>
              <w:pStyle w:val="NormalLeft"/>
            </w:pPr>
          </w:p>
        </w:tc>
      </w:tr>
      <w:tr w:rsidR="00DE12A3" w:rsidRPr="00DE12A3" w14:paraId="413E6439" w14:textId="77777777" w:rsidTr="009F4766">
        <w:tc>
          <w:tcPr>
            <w:tcW w:w="2043" w:type="dxa"/>
            <w:tcBorders>
              <w:top w:val="single" w:sz="2" w:space="0" w:color="auto"/>
              <w:left w:val="single" w:sz="2" w:space="0" w:color="auto"/>
              <w:bottom w:val="single" w:sz="2" w:space="0" w:color="auto"/>
              <w:right w:val="single" w:sz="2" w:space="0" w:color="auto"/>
            </w:tcBorders>
          </w:tcPr>
          <w:p w14:paraId="7B19A7D2" w14:textId="77777777" w:rsidR="0020097A" w:rsidRPr="00DE12A3" w:rsidRDefault="0020097A" w:rsidP="00C917D6">
            <w:pPr>
              <w:spacing w:before="120" w:after="120"/>
              <w:rPr>
                <w:rFonts w:cs="Times New Roman"/>
                <w:color w:val="auto"/>
              </w:rPr>
            </w:pPr>
            <w:r w:rsidRPr="00DE12A3">
              <w:rPr>
                <w:rFonts w:cs="Times New Roman"/>
                <w:color w:val="auto"/>
              </w:rPr>
              <w:t>Metan</w:t>
            </w:r>
          </w:p>
        </w:tc>
        <w:tc>
          <w:tcPr>
            <w:tcW w:w="1579" w:type="dxa"/>
            <w:tcBorders>
              <w:top w:val="single" w:sz="2" w:space="0" w:color="auto"/>
              <w:left w:val="single" w:sz="2" w:space="0" w:color="auto"/>
              <w:bottom w:val="single" w:sz="2" w:space="0" w:color="auto"/>
              <w:right w:val="single" w:sz="2" w:space="0" w:color="auto"/>
            </w:tcBorders>
          </w:tcPr>
          <w:p w14:paraId="22482824" w14:textId="77777777" w:rsidR="0020097A" w:rsidRPr="00DE12A3" w:rsidRDefault="0020097A" w:rsidP="00C917D6">
            <w:pPr>
              <w:pStyle w:val="NormalLeft"/>
            </w:pPr>
          </w:p>
        </w:tc>
        <w:tc>
          <w:tcPr>
            <w:tcW w:w="1300" w:type="dxa"/>
            <w:tcBorders>
              <w:top w:val="single" w:sz="2" w:space="0" w:color="auto"/>
              <w:left w:val="single" w:sz="2" w:space="0" w:color="auto"/>
              <w:bottom w:val="single" w:sz="2" w:space="0" w:color="auto"/>
              <w:right w:val="single" w:sz="2" w:space="0" w:color="auto"/>
            </w:tcBorders>
          </w:tcPr>
          <w:p w14:paraId="4538A281" w14:textId="77777777" w:rsidR="0020097A" w:rsidRPr="00DE12A3" w:rsidRDefault="0020097A" w:rsidP="00C917D6">
            <w:pPr>
              <w:pStyle w:val="NormalLeft"/>
            </w:pPr>
            <w:r w:rsidRPr="00DE12A3">
              <w:t>92,5</w:t>
            </w:r>
          </w:p>
        </w:tc>
        <w:tc>
          <w:tcPr>
            <w:tcW w:w="1578" w:type="dxa"/>
            <w:tcBorders>
              <w:top w:val="single" w:sz="2" w:space="0" w:color="auto"/>
              <w:left w:val="single" w:sz="2" w:space="0" w:color="auto"/>
              <w:bottom w:val="single" w:sz="2" w:space="0" w:color="auto"/>
              <w:right w:val="single" w:sz="2" w:space="0" w:color="auto"/>
            </w:tcBorders>
          </w:tcPr>
          <w:p w14:paraId="28BEF5E6" w14:textId="77777777" w:rsidR="0020097A" w:rsidRPr="00DE12A3" w:rsidRDefault="0020097A" w:rsidP="00C917D6">
            <w:pPr>
              <w:pStyle w:val="NormalLeft"/>
            </w:pPr>
            <w:r w:rsidRPr="00DE12A3">
              <w:t>91,5</w:t>
            </w:r>
          </w:p>
        </w:tc>
        <w:tc>
          <w:tcPr>
            <w:tcW w:w="1486" w:type="dxa"/>
            <w:tcBorders>
              <w:top w:val="single" w:sz="2" w:space="0" w:color="auto"/>
              <w:left w:val="single" w:sz="2" w:space="0" w:color="auto"/>
              <w:bottom w:val="single" w:sz="2" w:space="0" w:color="auto"/>
              <w:right w:val="single" w:sz="2" w:space="0" w:color="auto"/>
            </w:tcBorders>
          </w:tcPr>
          <w:p w14:paraId="40EC3386" w14:textId="77777777" w:rsidR="0020097A" w:rsidRPr="00DE12A3" w:rsidRDefault="0020097A" w:rsidP="00C917D6">
            <w:pPr>
              <w:pStyle w:val="NormalLeft"/>
            </w:pPr>
            <w:r w:rsidRPr="00DE12A3">
              <w:t>93,5</w:t>
            </w:r>
          </w:p>
        </w:tc>
        <w:tc>
          <w:tcPr>
            <w:tcW w:w="1300" w:type="dxa"/>
            <w:tcBorders>
              <w:top w:val="single" w:sz="2" w:space="0" w:color="auto"/>
              <w:left w:val="single" w:sz="2" w:space="0" w:color="auto"/>
              <w:bottom w:val="single" w:sz="2" w:space="0" w:color="auto"/>
              <w:right w:val="single" w:sz="2" w:space="0" w:color="auto"/>
            </w:tcBorders>
          </w:tcPr>
          <w:p w14:paraId="408173A5" w14:textId="77777777" w:rsidR="0020097A" w:rsidRPr="00DE12A3" w:rsidRDefault="0020097A" w:rsidP="00C917D6">
            <w:pPr>
              <w:pStyle w:val="NormalLeft"/>
            </w:pPr>
          </w:p>
        </w:tc>
      </w:tr>
      <w:tr w:rsidR="00DE12A3" w:rsidRPr="00DE12A3" w14:paraId="0E39708F" w14:textId="77777777" w:rsidTr="009F4766">
        <w:tc>
          <w:tcPr>
            <w:tcW w:w="2043" w:type="dxa"/>
            <w:tcBorders>
              <w:top w:val="single" w:sz="2" w:space="0" w:color="auto"/>
              <w:left w:val="single" w:sz="2" w:space="0" w:color="auto"/>
              <w:bottom w:val="single" w:sz="2" w:space="0" w:color="auto"/>
              <w:right w:val="single" w:sz="2" w:space="0" w:color="auto"/>
            </w:tcBorders>
          </w:tcPr>
          <w:p w14:paraId="1197AC09" w14:textId="77777777" w:rsidR="0020097A" w:rsidRPr="00DE12A3" w:rsidRDefault="0020097A" w:rsidP="00C917D6">
            <w:pPr>
              <w:spacing w:before="120" w:after="120"/>
              <w:rPr>
                <w:rFonts w:cs="Times New Roman"/>
                <w:color w:val="auto"/>
              </w:rPr>
            </w:pPr>
            <w:r w:rsidRPr="00DE12A3">
              <w:rPr>
                <w:rFonts w:cs="Times New Roman"/>
                <w:color w:val="auto"/>
              </w:rPr>
              <w:t xml:space="preserve">Denge </w:t>
            </w:r>
            <w:r w:rsidRPr="00DE12A3">
              <w:rPr>
                <w:rFonts w:cs="Times New Roman"/>
                <w:color w:val="auto"/>
                <w:vertAlign w:val="superscript"/>
              </w:rPr>
              <w:t>(1)</w:t>
            </w:r>
          </w:p>
        </w:tc>
        <w:tc>
          <w:tcPr>
            <w:tcW w:w="1579" w:type="dxa"/>
            <w:tcBorders>
              <w:top w:val="single" w:sz="2" w:space="0" w:color="auto"/>
              <w:left w:val="single" w:sz="2" w:space="0" w:color="auto"/>
              <w:bottom w:val="single" w:sz="2" w:space="0" w:color="auto"/>
              <w:right w:val="single" w:sz="2" w:space="0" w:color="auto"/>
            </w:tcBorders>
          </w:tcPr>
          <w:p w14:paraId="02AF9A22" w14:textId="72C45B43" w:rsidR="0020097A" w:rsidRPr="00DE12A3" w:rsidRDefault="0020097A" w:rsidP="00C917D6">
            <w:pPr>
              <w:pStyle w:val="NormalLeft"/>
            </w:pPr>
            <w:r w:rsidRPr="00DE12A3">
              <w:t>% mol</w:t>
            </w:r>
          </w:p>
        </w:tc>
        <w:tc>
          <w:tcPr>
            <w:tcW w:w="1300" w:type="dxa"/>
            <w:tcBorders>
              <w:top w:val="single" w:sz="2" w:space="0" w:color="auto"/>
              <w:left w:val="single" w:sz="2" w:space="0" w:color="auto"/>
              <w:bottom w:val="single" w:sz="2" w:space="0" w:color="auto"/>
              <w:right w:val="single" w:sz="2" w:space="0" w:color="auto"/>
            </w:tcBorders>
          </w:tcPr>
          <w:p w14:paraId="25B8BB0F" w14:textId="77777777" w:rsidR="0020097A" w:rsidRPr="00DE12A3" w:rsidRDefault="0020097A" w:rsidP="00C917D6">
            <w:pPr>
              <w:pStyle w:val="NormalLeft"/>
            </w:pPr>
            <w:r w:rsidRPr="00DE12A3">
              <w:t>—</w:t>
            </w:r>
          </w:p>
        </w:tc>
        <w:tc>
          <w:tcPr>
            <w:tcW w:w="1578" w:type="dxa"/>
            <w:tcBorders>
              <w:top w:val="single" w:sz="2" w:space="0" w:color="auto"/>
              <w:left w:val="single" w:sz="2" w:space="0" w:color="auto"/>
              <w:bottom w:val="single" w:sz="2" w:space="0" w:color="auto"/>
              <w:right w:val="single" w:sz="2" w:space="0" w:color="auto"/>
            </w:tcBorders>
          </w:tcPr>
          <w:p w14:paraId="3AECE47A" w14:textId="77777777" w:rsidR="0020097A" w:rsidRPr="00DE12A3" w:rsidRDefault="0020097A" w:rsidP="00C917D6">
            <w:pPr>
              <w:pStyle w:val="NormalLeft"/>
            </w:pPr>
            <w:r w:rsidRPr="00DE12A3">
              <w:t>—</w:t>
            </w:r>
          </w:p>
        </w:tc>
        <w:tc>
          <w:tcPr>
            <w:tcW w:w="1486" w:type="dxa"/>
            <w:tcBorders>
              <w:top w:val="single" w:sz="2" w:space="0" w:color="auto"/>
              <w:left w:val="single" w:sz="2" w:space="0" w:color="auto"/>
              <w:bottom w:val="single" w:sz="2" w:space="0" w:color="auto"/>
              <w:right w:val="single" w:sz="2" w:space="0" w:color="auto"/>
            </w:tcBorders>
          </w:tcPr>
          <w:p w14:paraId="2D05E560" w14:textId="77777777" w:rsidR="0020097A" w:rsidRPr="00DE12A3" w:rsidRDefault="0020097A" w:rsidP="00C917D6">
            <w:pPr>
              <w:pStyle w:val="NormalLeft"/>
            </w:pPr>
            <w:r w:rsidRPr="00DE12A3">
              <w:t>1</w:t>
            </w:r>
          </w:p>
        </w:tc>
        <w:tc>
          <w:tcPr>
            <w:tcW w:w="1300" w:type="dxa"/>
            <w:tcBorders>
              <w:top w:val="single" w:sz="2" w:space="0" w:color="auto"/>
              <w:left w:val="single" w:sz="2" w:space="0" w:color="auto"/>
              <w:bottom w:val="single" w:sz="2" w:space="0" w:color="auto"/>
              <w:right w:val="single" w:sz="2" w:space="0" w:color="auto"/>
            </w:tcBorders>
          </w:tcPr>
          <w:p w14:paraId="563D7189" w14:textId="77777777" w:rsidR="0020097A" w:rsidRPr="00DE12A3" w:rsidRDefault="0020097A" w:rsidP="00C917D6">
            <w:pPr>
              <w:pStyle w:val="NormalLeft"/>
            </w:pPr>
            <w:r w:rsidRPr="00DE12A3">
              <w:t>ISO 6974</w:t>
            </w:r>
          </w:p>
        </w:tc>
      </w:tr>
      <w:tr w:rsidR="00DE12A3" w:rsidRPr="00DE12A3" w14:paraId="275FF435" w14:textId="77777777" w:rsidTr="009F4766">
        <w:tc>
          <w:tcPr>
            <w:tcW w:w="2043" w:type="dxa"/>
            <w:tcBorders>
              <w:top w:val="single" w:sz="2" w:space="0" w:color="auto"/>
              <w:left w:val="single" w:sz="2" w:space="0" w:color="auto"/>
              <w:bottom w:val="single" w:sz="2" w:space="0" w:color="auto"/>
              <w:right w:val="single" w:sz="2" w:space="0" w:color="auto"/>
            </w:tcBorders>
          </w:tcPr>
          <w:p w14:paraId="4C9FE4FB" w14:textId="77777777" w:rsidR="0020097A" w:rsidRPr="00DE12A3" w:rsidRDefault="0020097A" w:rsidP="00C917D6">
            <w:pPr>
              <w:spacing w:before="120" w:after="120"/>
              <w:rPr>
                <w:rFonts w:cs="Times New Roman"/>
                <w:color w:val="auto"/>
              </w:rPr>
            </w:pPr>
            <w:r w:rsidRPr="00DE12A3">
              <w:rPr>
                <w:rFonts w:cs="Times New Roman"/>
                <w:color w:val="auto"/>
              </w:rPr>
              <w:t>N</w:t>
            </w:r>
            <w:r w:rsidRPr="00DE12A3">
              <w:rPr>
                <w:rFonts w:cs="Times New Roman"/>
                <w:color w:val="auto"/>
                <w:vertAlign w:val="subscript"/>
              </w:rPr>
              <w:t>2</w:t>
            </w:r>
          </w:p>
        </w:tc>
        <w:tc>
          <w:tcPr>
            <w:tcW w:w="1579" w:type="dxa"/>
            <w:tcBorders>
              <w:top w:val="single" w:sz="2" w:space="0" w:color="auto"/>
              <w:left w:val="single" w:sz="2" w:space="0" w:color="auto"/>
              <w:bottom w:val="single" w:sz="2" w:space="0" w:color="auto"/>
              <w:right w:val="single" w:sz="2" w:space="0" w:color="auto"/>
            </w:tcBorders>
          </w:tcPr>
          <w:p w14:paraId="2D205284" w14:textId="71EE0383" w:rsidR="0020097A" w:rsidRPr="00DE12A3" w:rsidRDefault="0020097A" w:rsidP="00C917D6">
            <w:pPr>
              <w:pStyle w:val="NormalLeft"/>
            </w:pPr>
            <w:r w:rsidRPr="00DE12A3">
              <w:t>% mol</w:t>
            </w:r>
          </w:p>
        </w:tc>
        <w:tc>
          <w:tcPr>
            <w:tcW w:w="1300" w:type="dxa"/>
            <w:tcBorders>
              <w:top w:val="single" w:sz="2" w:space="0" w:color="auto"/>
              <w:left w:val="single" w:sz="2" w:space="0" w:color="auto"/>
              <w:bottom w:val="single" w:sz="2" w:space="0" w:color="auto"/>
              <w:right w:val="single" w:sz="2" w:space="0" w:color="auto"/>
            </w:tcBorders>
          </w:tcPr>
          <w:p w14:paraId="4C0A69EB" w14:textId="77777777" w:rsidR="0020097A" w:rsidRPr="00DE12A3" w:rsidRDefault="0020097A" w:rsidP="00C917D6">
            <w:pPr>
              <w:pStyle w:val="NormalLeft"/>
            </w:pPr>
            <w:r w:rsidRPr="00DE12A3">
              <w:t>7,5</w:t>
            </w:r>
          </w:p>
        </w:tc>
        <w:tc>
          <w:tcPr>
            <w:tcW w:w="1578" w:type="dxa"/>
            <w:tcBorders>
              <w:top w:val="single" w:sz="2" w:space="0" w:color="auto"/>
              <w:left w:val="single" w:sz="2" w:space="0" w:color="auto"/>
              <w:bottom w:val="single" w:sz="2" w:space="0" w:color="auto"/>
              <w:right w:val="single" w:sz="2" w:space="0" w:color="auto"/>
            </w:tcBorders>
          </w:tcPr>
          <w:p w14:paraId="468E3FA7" w14:textId="77777777" w:rsidR="0020097A" w:rsidRPr="00DE12A3" w:rsidRDefault="0020097A" w:rsidP="00C917D6">
            <w:pPr>
              <w:pStyle w:val="NormalLeft"/>
            </w:pPr>
            <w:r w:rsidRPr="00DE12A3">
              <w:t>6,5</w:t>
            </w:r>
          </w:p>
        </w:tc>
        <w:tc>
          <w:tcPr>
            <w:tcW w:w="1486" w:type="dxa"/>
            <w:tcBorders>
              <w:top w:val="single" w:sz="2" w:space="0" w:color="auto"/>
              <w:left w:val="single" w:sz="2" w:space="0" w:color="auto"/>
              <w:bottom w:val="single" w:sz="2" w:space="0" w:color="auto"/>
              <w:right w:val="single" w:sz="2" w:space="0" w:color="auto"/>
            </w:tcBorders>
          </w:tcPr>
          <w:p w14:paraId="5A2CB6FE" w14:textId="77777777" w:rsidR="0020097A" w:rsidRPr="00DE12A3" w:rsidRDefault="0020097A" w:rsidP="00C917D6">
            <w:pPr>
              <w:pStyle w:val="NormalLeft"/>
            </w:pPr>
            <w:r w:rsidRPr="00DE12A3">
              <w:t>8,5</w:t>
            </w:r>
          </w:p>
        </w:tc>
        <w:tc>
          <w:tcPr>
            <w:tcW w:w="1300" w:type="dxa"/>
            <w:tcBorders>
              <w:top w:val="single" w:sz="2" w:space="0" w:color="auto"/>
              <w:left w:val="single" w:sz="2" w:space="0" w:color="auto"/>
              <w:bottom w:val="single" w:sz="2" w:space="0" w:color="auto"/>
              <w:right w:val="single" w:sz="2" w:space="0" w:color="auto"/>
            </w:tcBorders>
          </w:tcPr>
          <w:p w14:paraId="00751980" w14:textId="77777777" w:rsidR="0020097A" w:rsidRPr="00DE12A3" w:rsidRDefault="0020097A" w:rsidP="00C917D6">
            <w:pPr>
              <w:pStyle w:val="NormalLeft"/>
            </w:pPr>
          </w:p>
        </w:tc>
      </w:tr>
      <w:tr w:rsidR="00DE12A3" w:rsidRPr="00DE12A3" w14:paraId="0AB9DE01" w14:textId="77777777" w:rsidTr="009F4766">
        <w:tc>
          <w:tcPr>
            <w:tcW w:w="2043" w:type="dxa"/>
            <w:tcBorders>
              <w:top w:val="single" w:sz="2" w:space="0" w:color="auto"/>
              <w:left w:val="single" w:sz="2" w:space="0" w:color="auto"/>
              <w:bottom w:val="single" w:sz="2" w:space="0" w:color="auto"/>
              <w:right w:val="single" w:sz="2" w:space="0" w:color="auto"/>
            </w:tcBorders>
          </w:tcPr>
          <w:p w14:paraId="27284B48" w14:textId="77777777" w:rsidR="009F4766" w:rsidRPr="00DE12A3" w:rsidRDefault="0020097A" w:rsidP="00C917D6">
            <w:pPr>
              <w:pStyle w:val="NormalLeft"/>
            </w:pPr>
            <w:r w:rsidRPr="00DE12A3">
              <w:t>Kükürt içeriği</w:t>
            </w:r>
          </w:p>
        </w:tc>
        <w:tc>
          <w:tcPr>
            <w:tcW w:w="1579" w:type="dxa"/>
            <w:tcBorders>
              <w:top w:val="single" w:sz="2" w:space="0" w:color="auto"/>
              <w:left w:val="single" w:sz="2" w:space="0" w:color="auto"/>
              <w:bottom w:val="single" w:sz="2" w:space="0" w:color="auto"/>
              <w:right w:val="single" w:sz="2" w:space="0" w:color="auto"/>
            </w:tcBorders>
          </w:tcPr>
          <w:p w14:paraId="4FDCC6B6" w14:textId="77777777" w:rsidR="009F4766" w:rsidRPr="00DE12A3" w:rsidRDefault="009F4766" w:rsidP="00C917D6">
            <w:pPr>
              <w:pStyle w:val="NormalLeft"/>
            </w:pPr>
            <w:r w:rsidRPr="00DE12A3">
              <w:t>mg/m</w:t>
            </w:r>
            <w:r w:rsidRPr="00DE12A3">
              <w:rPr>
                <w:vertAlign w:val="superscript"/>
              </w:rPr>
              <w:t>3</w:t>
            </w:r>
            <w:r w:rsidRPr="00DE12A3">
              <w:t xml:space="preserve"> (</w:t>
            </w:r>
            <w:r w:rsidRPr="00DE12A3">
              <w:rPr>
                <w:vertAlign w:val="superscript"/>
              </w:rPr>
              <w:t>2</w:t>
            </w:r>
            <w:r w:rsidRPr="00DE12A3">
              <w:t>)</w:t>
            </w:r>
          </w:p>
        </w:tc>
        <w:tc>
          <w:tcPr>
            <w:tcW w:w="1300" w:type="dxa"/>
            <w:tcBorders>
              <w:top w:val="single" w:sz="2" w:space="0" w:color="auto"/>
              <w:left w:val="single" w:sz="2" w:space="0" w:color="auto"/>
              <w:bottom w:val="single" w:sz="2" w:space="0" w:color="auto"/>
              <w:right w:val="single" w:sz="2" w:space="0" w:color="auto"/>
            </w:tcBorders>
          </w:tcPr>
          <w:p w14:paraId="63C00321" w14:textId="77777777" w:rsidR="009F4766" w:rsidRPr="00DE12A3" w:rsidRDefault="009F4766" w:rsidP="00C917D6">
            <w:pPr>
              <w:pStyle w:val="NormalLeft"/>
            </w:pPr>
            <w:r w:rsidRPr="00DE12A3">
              <w:t>—</w:t>
            </w:r>
          </w:p>
        </w:tc>
        <w:tc>
          <w:tcPr>
            <w:tcW w:w="1578" w:type="dxa"/>
            <w:tcBorders>
              <w:top w:val="single" w:sz="2" w:space="0" w:color="auto"/>
              <w:left w:val="single" w:sz="2" w:space="0" w:color="auto"/>
              <w:bottom w:val="single" w:sz="2" w:space="0" w:color="auto"/>
              <w:right w:val="single" w:sz="2" w:space="0" w:color="auto"/>
            </w:tcBorders>
          </w:tcPr>
          <w:p w14:paraId="5844E466" w14:textId="77777777" w:rsidR="009F4766" w:rsidRPr="00DE12A3" w:rsidRDefault="009F4766" w:rsidP="00C917D6">
            <w:pPr>
              <w:pStyle w:val="NormalLeft"/>
            </w:pPr>
            <w:r w:rsidRPr="00DE12A3">
              <w:t>—</w:t>
            </w:r>
          </w:p>
        </w:tc>
        <w:tc>
          <w:tcPr>
            <w:tcW w:w="1486" w:type="dxa"/>
            <w:tcBorders>
              <w:top w:val="single" w:sz="2" w:space="0" w:color="auto"/>
              <w:left w:val="single" w:sz="2" w:space="0" w:color="auto"/>
              <w:bottom w:val="single" w:sz="2" w:space="0" w:color="auto"/>
              <w:right w:val="single" w:sz="2" w:space="0" w:color="auto"/>
            </w:tcBorders>
          </w:tcPr>
          <w:p w14:paraId="65FB0DF8" w14:textId="77777777" w:rsidR="009F4766" w:rsidRPr="00DE12A3" w:rsidRDefault="009F4766" w:rsidP="00C917D6">
            <w:pPr>
              <w:pStyle w:val="NormalLeft"/>
            </w:pPr>
            <w:r w:rsidRPr="00DE12A3">
              <w:t>10</w:t>
            </w:r>
          </w:p>
        </w:tc>
        <w:tc>
          <w:tcPr>
            <w:tcW w:w="1300" w:type="dxa"/>
            <w:tcBorders>
              <w:top w:val="single" w:sz="2" w:space="0" w:color="auto"/>
              <w:left w:val="single" w:sz="2" w:space="0" w:color="auto"/>
              <w:bottom w:val="single" w:sz="2" w:space="0" w:color="auto"/>
              <w:right w:val="single" w:sz="2" w:space="0" w:color="auto"/>
            </w:tcBorders>
          </w:tcPr>
          <w:p w14:paraId="6B53D907" w14:textId="77777777" w:rsidR="009F4766" w:rsidRPr="00DE12A3" w:rsidRDefault="009F4766" w:rsidP="00C917D6">
            <w:pPr>
              <w:pStyle w:val="NormalLeft"/>
            </w:pPr>
            <w:r w:rsidRPr="00DE12A3">
              <w:t>ISO 6326-5</w:t>
            </w:r>
          </w:p>
        </w:tc>
      </w:tr>
      <w:tr w:rsidR="00DE12A3" w:rsidRPr="00DE12A3" w14:paraId="632BB462" w14:textId="77777777" w:rsidTr="009F4766">
        <w:tc>
          <w:tcPr>
            <w:tcW w:w="9286" w:type="dxa"/>
            <w:gridSpan w:val="6"/>
            <w:tcBorders>
              <w:top w:val="single" w:sz="2" w:space="0" w:color="auto"/>
              <w:left w:val="single" w:sz="2" w:space="0" w:color="auto"/>
              <w:bottom w:val="single" w:sz="2" w:space="0" w:color="auto"/>
              <w:right w:val="single" w:sz="2" w:space="0" w:color="auto"/>
            </w:tcBorders>
          </w:tcPr>
          <w:p w14:paraId="1786749A" w14:textId="77777777" w:rsidR="0020097A" w:rsidRPr="00DE12A3" w:rsidRDefault="0020097A" w:rsidP="00C917D6">
            <w:pPr>
              <w:spacing w:before="120" w:after="120"/>
              <w:rPr>
                <w:rFonts w:cs="Times New Roman"/>
                <w:bCs/>
                <w:iCs/>
                <w:color w:val="auto"/>
              </w:rPr>
            </w:pPr>
            <w:r w:rsidRPr="00DE12A3">
              <w:rPr>
                <w:rFonts w:cs="Times New Roman"/>
                <w:bCs/>
                <w:iCs/>
                <w:color w:val="auto"/>
              </w:rPr>
              <w:t>Notlar:</w:t>
            </w:r>
          </w:p>
          <w:p w14:paraId="1C34002E" w14:textId="5309A144" w:rsidR="0020097A" w:rsidRPr="00DE12A3" w:rsidRDefault="0020097A" w:rsidP="00C917D6">
            <w:pPr>
              <w:spacing w:before="120" w:after="120"/>
              <w:rPr>
                <w:rFonts w:cs="Times New Roman"/>
                <w:bCs/>
                <w:iCs/>
                <w:color w:val="auto"/>
              </w:rPr>
            </w:pPr>
            <w:r w:rsidRPr="00DE12A3">
              <w:rPr>
                <w:rFonts w:cs="Times New Roman"/>
                <w:bCs/>
                <w:iCs/>
                <w:color w:val="auto"/>
                <w:vertAlign w:val="superscript"/>
              </w:rPr>
              <w:t>(1)</w:t>
            </w:r>
            <w:r w:rsidRPr="00DE12A3">
              <w:rPr>
                <w:rFonts w:cs="Times New Roman"/>
                <w:bCs/>
                <w:iCs/>
                <w:color w:val="auto"/>
              </w:rPr>
              <w:tab/>
            </w:r>
            <w:r w:rsidR="007C32B1" w:rsidRPr="00DE12A3">
              <w:rPr>
                <w:rFonts w:cs="Times New Roman"/>
                <w:bCs/>
                <w:iCs/>
                <w:color w:val="auto"/>
              </w:rPr>
              <w:t xml:space="preserve">Asal gazlar </w:t>
            </w:r>
            <w:r w:rsidRPr="00DE12A3">
              <w:rPr>
                <w:rFonts w:cs="Times New Roman"/>
                <w:bCs/>
                <w:iCs/>
                <w:color w:val="auto"/>
              </w:rPr>
              <w:t xml:space="preserve"> (N</w:t>
            </w:r>
            <w:r w:rsidRPr="00DE12A3">
              <w:rPr>
                <w:rFonts w:cs="Times New Roman"/>
                <w:bCs/>
                <w:iCs/>
                <w:color w:val="auto"/>
                <w:vertAlign w:val="subscript"/>
              </w:rPr>
              <w:t>2</w:t>
            </w:r>
            <w:r w:rsidRPr="00DE12A3">
              <w:rPr>
                <w:rFonts w:cs="Times New Roman"/>
                <w:bCs/>
                <w:iCs/>
                <w:color w:val="auto"/>
              </w:rPr>
              <w:t>'den farklı) + C</w:t>
            </w:r>
            <w:r w:rsidRPr="00DE12A3">
              <w:rPr>
                <w:rFonts w:cs="Times New Roman"/>
                <w:bCs/>
                <w:iCs/>
                <w:color w:val="auto"/>
                <w:vertAlign w:val="subscript"/>
              </w:rPr>
              <w:t>2</w:t>
            </w:r>
            <w:r w:rsidRPr="00DE12A3">
              <w:rPr>
                <w:rFonts w:cs="Times New Roman"/>
                <w:bCs/>
                <w:iCs/>
                <w:color w:val="auto"/>
              </w:rPr>
              <w:t>+ C</w:t>
            </w:r>
            <w:r w:rsidRPr="00DE12A3">
              <w:rPr>
                <w:rFonts w:cs="Times New Roman"/>
                <w:bCs/>
                <w:iCs/>
                <w:color w:val="auto"/>
                <w:vertAlign w:val="subscript"/>
              </w:rPr>
              <w:t>2</w:t>
            </w:r>
            <w:r w:rsidRPr="00DE12A3">
              <w:rPr>
                <w:rFonts w:cs="Times New Roman"/>
                <w:bCs/>
                <w:iCs/>
                <w:color w:val="auto"/>
              </w:rPr>
              <w:t>+</w:t>
            </w:r>
          </w:p>
          <w:p w14:paraId="11F79C16" w14:textId="77777777" w:rsidR="009F4766" w:rsidRPr="00DE12A3" w:rsidRDefault="0020097A" w:rsidP="00C917D6">
            <w:pPr>
              <w:pStyle w:val="Point0"/>
            </w:pPr>
            <w:r w:rsidRPr="00DE12A3">
              <w:rPr>
                <w:bCs/>
                <w:iCs/>
                <w:vertAlign w:val="superscript"/>
              </w:rPr>
              <w:t>(2)</w:t>
            </w:r>
            <w:r w:rsidRPr="00DE12A3">
              <w:rPr>
                <w:bCs/>
                <w:iCs/>
              </w:rPr>
              <w:tab/>
              <w:t>293,2 K (20 °C) ve 101,3 kPa altında belirlenecek değer.</w:t>
            </w:r>
          </w:p>
        </w:tc>
      </w:tr>
      <w:tr w:rsidR="00DE12A3" w:rsidRPr="00DE12A3" w14:paraId="5204F84D" w14:textId="77777777" w:rsidTr="009F4766">
        <w:tc>
          <w:tcPr>
            <w:tcW w:w="2043" w:type="dxa"/>
            <w:tcBorders>
              <w:top w:val="single" w:sz="2" w:space="0" w:color="auto"/>
              <w:left w:val="single" w:sz="2" w:space="0" w:color="auto"/>
              <w:bottom w:val="single" w:sz="2" w:space="0" w:color="auto"/>
              <w:right w:val="single" w:sz="2" w:space="0" w:color="auto"/>
            </w:tcBorders>
          </w:tcPr>
          <w:p w14:paraId="1EB3FCE1" w14:textId="77777777" w:rsidR="009F4766" w:rsidRPr="00DE12A3" w:rsidRDefault="0020097A" w:rsidP="00C917D6">
            <w:pPr>
              <w:pStyle w:val="NormalCentered"/>
            </w:pPr>
            <w:r w:rsidRPr="00DE12A3">
              <w:rPr>
                <w:iCs/>
              </w:rPr>
              <w:t xml:space="preserve">Referans yakıt </w:t>
            </w:r>
            <w:r w:rsidR="009F4766" w:rsidRPr="00DE12A3">
              <w:rPr>
                <w:iCs/>
              </w:rPr>
              <w:t>G</w:t>
            </w:r>
            <w:r w:rsidR="009F4766" w:rsidRPr="00DE12A3">
              <w:rPr>
                <w:iCs/>
                <w:vertAlign w:val="subscript"/>
              </w:rPr>
              <w:t>25</w:t>
            </w:r>
          </w:p>
        </w:tc>
        <w:tc>
          <w:tcPr>
            <w:tcW w:w="1579" w:type="dxa"/>
            <w:tcBorders>
              <w:top w:val="single" w:sz="2" w:space="0" w:color="auto"/>
              <w:left w:val="single" w:sz="2" w:space="0" w:color="auto"/>
              <w:bottom w:val="single" w:sz="2" w:space="0" w:color="auto"/>
              <w:right w:val="single" w:sz="2" w:space="0" w:color="auto"/>
            </w:tcBorders>
          </w:tcPr>
          <w:p w14:paraId="79F8FF14" w14:textId="77777777" w:rsidR="009F4766" w:rsidRPr="00DE12A3" w:rsidRDefault="009F4766" w:rsidP="00C917D6">
            <w:pPr>
              <w:pStyle w:val="NormalCentered"/>
            </w:pPr>
          </w:p>
        </w:tc>
        <w:tc>
          <w:tcPr>
            <w:tcW w:w="1300" w:type="dxa"/>
            <w:tcBorders>
              <w:top w:val="single" w:sz="2" w:space="0" w:color="auto"/>
              <w:left w:val="single" w:sz="2" w:space="0" w:color="auto"/>
              <w:bottom w:val="single" w:sz="2" w:space="0" w:color="auto"/>
              <w:right w:val="single" w:sz="2" w:space="0" w:color="auto"/>
            </w:tcBorders>
          </w:tcPr>
          <w:p w14:paraId="605E9D12" w14:textId="77777777" w:rsidR="009F4766" w:rsidRPr="00DE12A3" w:rsidRDefault="009F4766" w:rsidP="00C917D6">
            <w:pPr>
              <w:pStyle w:val="NormalCentered"/>
            </w:pPr>
          </w:p>
        </w:tc>
        <w:tc>
          <w:tcPr>
            <w:tcW w:w="1578" w:type="dxa"/>
            <w:tcBorders>
              <w:top w:val="single" w:sz="2" w:space="0" w:color="auto"/>
              <w:left w:val="single" w:sz="2" w:space="0" w:color="auto"/>
              <w:bottom w:val="single" w:sz="2" w:space="0" w:color="auto"/>
              <w:right w:val="single" w:sz="2" w:space="0" w:color="auto"/>
            </w:tcBorders>
          </w:tcPr>
          <w:p w14:paraId="28BCB0A7" w14:textId="77777777" w:rsidR="009F4766" w:rsidRPr="00DE12A3" w:rsidRDefault="009F4766" w:rsidP="00C917D6">
            <w:pPr>
              <w:pStyle w:val="NormalCentered"/>
            </w:pPr>
          </w:p>
        </w:tc>
        <w:tc>
          <w:tcPr>
            <w:tcW w:w="1486" w:type="dxa"/>
            <w:tcBorders>
              <w:top w:val="single" w:sz="2" w:space="0" w:color="auto"/>
              <w:left w:val="single" w:sz="2" w:space="0" w:color="auto"/>
              <w:bottom w:val="single" w:sz="2" w:space="0" w:color="auto"/>
              <w:right w:val="single" w:sz="2" w:space="0" w:color="auto"/>
            </w:tcBorders>
          </w:tcPr>
          <w:p w14:paraId="69D1CCD5" w14:textId="77777777" w:rsidR="009F4766" w:rsidRPr="00DE12A3" w:rsidRDefault="009F4766" w:rsidP="00C917D6">
            <w:pPr>
              <w:pStyle w:val="NormalCentered"/>
            </w:pPr>
          </w:p>
        </w:tc>
        <w:tc>
          <w:tcPr>
            <w:tcW w:w="1300" w:type="dxa"/>
            <w:tcBorders>
              <w:top w:val="single" w:sz="2" w:space="0" w:color="auto"/>
              <w:left w:val="single" w:sz="2" w:space="0" w:color="auto"/>
              <w:bottom w:val="single" w:sz="2" w:space="0" w:color="auto"/>
              <w:right w:val="single" w:sz="2" w:space="0" w:color="auto"/>
            </w:tcBorders>
          </w:tcPr>
          <w:p w14:paraId="30AC033D" w14:textId="77777777" w:rsidR="009F4766" w:rsidRPr="00DE12A3" w:rsidRDefault="009F4766" w:rsidP="00C917D6">
            <w:pPr>
              <w:pStyle w:val="NormalCentered"/>
            </w:pPr>
          </w:p>
        </w:tc>
      </w:tr>
      <w:tr w:rsidR="00DE12A3" w:rsidRPr="00DE12A3" w14:paraId="59623102" w14:textId="77777777" w:rsidTr="009F4766">
        <w:tc>
          <w:tcPr>
            <w:tcW w:w="2043" w:type="dxa"/>
            <w:tcBorders>
              <w:top w:val="single" w:sz="2" w:space="0" w:color="auto"/>
              <w:left w:val="single" w:sz="2" w:space="0" w:color="auto"/>
              <w:bottom w:val="single" w:sz="2" w:space="0" w:color="auto"/>
              <w:right w:val="single" w:sz="2" w:space="0" w:color="auto"/>
            </w:tcBorders>
          </w:tcPr>
          <w:p w14:paraId="23B68435" w14:textId="45EDDFD6" w:rsidR="0020097A" w:rsidRPr="00DE12A3" w:rsidRDefault="00AD20E2" w:rsidP="00C917D6">
            <w:pPr>
              <w:spacing w:before="120" w:after="120"/>
              <w:rPr>
                <w:rFonts w:cs="Times New Roman"/>
                <w:color w:val="auto"/>
              </w:rPr>
            </w:pPr>
            <w:r w:rsidRPr="00DE12A3">
              <w:rPr>
                <w:rFonts w:cs="Times New Roman"/>
                <w:color w:val="auto"/>
              </w:rPr>
              <w:t>Bileşim:</w:t>
            </w:r>
          </w:p>
        </w:tc>
        <w:tc>
          <w:tcPr>
            <w:tcW w:w="1579" w:type="dxa"/>
            <w:tcBorders>
              <w:top w:val="single" w:sz="2" w:space="0" w:color="auto"/>
              <w:left w:val="single" w:sz="2" w:space="0" w:color="auto"/>
              <w:bottom w:val="single" w:sz="2" w:space="0" w:color="auto"/>
              <w:right w:val="single" w:sz="2" w:space="0" w:color="auto"/>
            </w:tcBorders>
          </w:tcPr>
          <w:p w14:paraId="2BFA9DC0" w14:textId="77777777" w:rsidR="0020097A" w:rsidRPr="00DE12A3" w:rsidRDefault="0020097A" w:rsidP="00C917D6">
            <w:pPr>
              <w:pStyle w:val="NormalLeft"/>
            </w:pPr>
          </w:p>
        </w:tc>
        <w:tc>
          <w:tcPr>
            <w:tcW w:w="1300" w:type="dxa"/>
            <w:tcBorders>
              <w:top w:val="single" w:sz="2" w:space="0" w:color="auto"/>
              <w:left w:val="single" w:sz="2" w:space="0" w:color="auto"/>
              <w:bottom w:val="single" w:sz="2" w:space="0" w:color="auto"/>
              <w:right w:val="single" w:sz="2" w:space="0" w:color="auto"/>
            </w:tcBorders>
          </w:tcPr>
          <w:p w14:paraId="4882A6F1" w14:textId="77777777" w:rsidR="0020097A" w:rsidRPr="00DE12A3" w:rsidRDefault="0020097A" w:rsidP="00C917D6">
            <w:pPr>
              <w:pStyle w:val="NormalLeft"/>
            </w:pPr>
          </w:p>
        </w:tc>
        <w:tc>
          <w:tcPr>
            <w:tcW w:w="1578" w:type="dxa"/>
            <w:tcBorders>
              <w:top w:val="single" w:sz="2" w:space="0" w:color="auto"/>
              <w:left w:val="single" w:sz="2" w:space="0" w:color="auto"/>
              <w:bottom w:val="single" w:sz="2" w:space="0" w:color="auto"/>
              <w:right w:val="single" w:sz="2" w:space="0" w:color="auto"/>
            </w:tcBorders>
          </w:tcPr>
          <w:p w14:paraId="574B3D5F" w14:textId="77777777" w:rsidR="0020097A" w:rsidRPr="00DE12A3" w:rsidRDefault="0020097A" w:rsidP="00C917D6">
            <w:pPr>
              <w:pStyle w:val="NormalLeft"/>
            </w:pPr>
          </w:p>
        </w:tc>
        <w:tc>
          <w:tcPr>
            <w:tcW w:w="1486" w:type="dxa"/>
            <w:tcBorders>
              <w:top w:val="single" w:sz="2" w:space="0" w:color="auto"/>
              <w:left w:val="single" w:sz="2" w:space="0" w:color="auto"/>
              <w:bottom w:val="single" w:sz="2" w:space="0" w:color="auto"/>
              <w:right w:val="single" w:sz="2" w:space="0" w:color="auto"/>
            </w:tcBorders>
          </w:tcPr>
          <w:p w14:paraId="7C7E4CD6" w14:textId="77777777" w:rsidR="0020097A" w:rsidRPr="00DE12A3" w:rsidRDefault="0020097A" w:rsidP="00C917D6">
            <w:pPr>
              <w:pStyle w:val="NormalLeft"/>
            </w:pPr>
          </w:p>
        </w:tc>
        <w:tc>
          <w:tcPr>
            <w:tcW w:w="1300" w:type="dxa"/>
            <w:tcBorders>
              <w:top w:val="single" w:sz="2" w:space="0" w:color="auto"/>
              <w:left w:val="single" w:sz="2" w:space="0" w:color="auto"/>
              <w:bottom w:val="single" w:sz="2" w:space="0" w:color="auto"/>
              <w:right w:val="single" w:sz="2" w:space="0" w:color="auto"/>
            </w:tcBorders>
          </w:tcPr>
          <w:p w14:paraId="14569A17" w14:textId="77777777" w:rsidR="0020097A" w:rsidRPr="00DE12A3" w:rsidRDefault="0020097A" w:rsidP="00C917D6">
            <w:pPr>
              <w:pStyle w:val="NormalLeft"/>
            </w:pPr>
          </w:p>
        </w:tc>
      </w:tr>
      <w:tr w:rsidR="00DE12A3" w:rsidRPr="00DE12A3" w14:paraId="0069D31F" w14:textId="77777777" w:rsidTr="009F4766">
        <w:tc>
          <w:tcPr>
            <w:tcW w:w="2043" w:type="dxa"/>
            <w:tcBorders>
              <w:top w:val="single" w:sz="2" w:space="0" w:color="auto"/>
              <w:left w:val="single" w:sz="2" w:space="0" w:color="auto"/>
              <w:bottom w:val="single" w:sz="2" w:space="0" w:color="auto"/>
              <w:right w:val="single" w:sz="2" w:space="0" w:color="auto"/>
            </w:tcBorders>
          </w:tcPr>
          <w:p w14:paraId="26FEEC99" w14:textId="77777777" w:rsidR="0020097A" w:rsidRPr="00DE12A3" w:rsidRDefault="0020097A" w:rsidP="00C917D6">
            <w:pPr>
              <w:spacing w:before="120" w:after="120"/>
              <w:rPr>
                <w:rFonts w:cs="Times New Roman"/>
                <w:color w:val="auto"/>
              </w:rPr>
            </w:pPr>
            <w:r w:rsidRPr="00DE12A3">
              <w:rPr>
                <w:rFonts w:cs="Times New Roman"/>
                <w:color w:val="auto"/>
              </w:rPr>
              <w:t>Metan</w:t>
            </w:r>
          </w:p>
        </w:tc>
        <w:tc>
          <w:tcPr>
            <w:tcW w:w="1579" w:type="dxa"/>
            <w:tcBorders>
              <w:top w:val="single" w:sz="2" w:space="0" w:color="auto"/>
              <w:left w:val="single" w:sz="2" w:space="0" w:color="auto"/>
              <w:bottom w:val="single" w:sz="2" w:space="0" w:color="auto"/>
              <w:right w:val="single" w:sz="2" w:space="0" w:color="auto"/>
            </w:tcBorders>
          </w:tcPr>
          <w:p w14:paraId="1CC77F61" w14:textId="337C7E1A" w:rsidR="0020097A" w:rsidRPr="00DE12A3" w:rsidRDefault="0020097A" w:rsidP="00C917D6">
            <w:pPr>
              <w:pStyle w:val="NormalLeft"/>
            </w:pPr>
            <w:r w:rsidRPr="00DE12A3">
              <w:t>% mol</w:t>
            </w:r>
          </w:p>
        </w:tc>
        <w:tc>
          <w:tcPr>
            <w:tcW w:w="1300" w:type="dxa"/>
            <w:tcBorders>
              <w:top w:val="single" w:sz="2" w:space="0" w:color="auto"/>
              <w:left w:val="single" w:sz="2" w:space="0" w:color="auto"/>
              <w:bottom w:val="single" w:sz="2" w:space="0" w:color="auto"/>
              <w:right w:val="single" w:sz="2" w:space="0" w:color="auto"/>
            </w:tcBorders>
          </w:tcPr>
          <w:p w14:paraId="2C6E5EE4" w14:textId="77777777" w:rsidR="0020097A" w:rsidRPr="00DE12A3" w:rsidRDefault="0020097A" w:rsidP="00C917D6">
            <w:pPr>
              <w:pStyle w:val="NormalLeft"/>
            </w:pPr>
            <w:r w:rsidRPr="00DE12A3">
              <w:t>86</w:t>
            </w:r>
          </w:p>
        </w:tc>
        <w:tc>
          <w:tcPr>
            <w:tcW w:w="1578" w:type="dxa"/>
            <w:tcBorders>
              <w:top w:val="single" w:sz="2" w:space="0" w:color="auto"/>
              <w:left w:val="single" w:sz="2" w:space="0" w:color="auto"/>
              <w:bottom w:val="single" w:sz="2" w:space="0" w:color="auto"/>
              <w:right w:val="single" w:sz="2" w:space="0" w:color="auto"/>
            </w:tcBorders>
          </w:tcPr>
          <w:p w14:paraId="213B2294" w14:textId="77777777" w:rsidR="0020097A" w:rsidRPr="00DE12A3" w:rsidRDefault="0020097A" w:rsidP="00C917D6">
            <w:pPr>
              <w:pStyle w:val="NormalLeft"/>
            </w:pPr>
            <w:r w:rsidRPr="00DE12A3">
              <w:t>84</w:t>
            </w:r>
          </w:p>
        </w:tc>
        <w:tc>
          <w:tcPr>
            <w:tcW w:w="1486" w:type="dxa"/>
            <w:tcBorders>
              <w:top w:val="single" w:sz="2" w:space="0" w:color="auto"/>
              <w:left w:val="single" w:sz="2" w:space="0" w:color="auto"/>
              <w:bottom w:val="single" w:sz="2" w:space="0" w:color="auto"/>
              <w:right w:val="single" w:sz="2" w:space="0" w:color="auto"/>
            </w:tcBorders>
          </w:tcPr>
          <w:p w14:paraId="74AA41C2" w14:textId="77777777" w:rsidR="0020097A" w:rsidRPr="00DE12A3" w:rsidRDefault="0020097A" w:rsidP="00C917D6">
            <w:pPr>
              <w:pStyle w:val="NormalLeft"/>
            </w:pPr>
            <w:r w:rsidRPr="00DE12A3">
              <w:t>88</w:t>
            </w:r>
          </w:p>
        </w:tc>
        <w:tc>
          <w:tcPr>
            <w:tcW w:w="1300" w:type="dxa"/>
            <w:tcBorders>
              <w:top w:val="single" w:sz="2" w:space="0" w:color="auto"/>
              <w:left w:val="single" w:sz="2" w:space="0" w:color="auto"/>
              <w:bottom w:val="single" w:sz="2" w:space="0" w:color="auto"/>
              <w:right w:val="single" w:sz="2" w:space="0" w:color="auto"/>
            </w:tcBorders>
          </w:tcPr>
          <w:p w14:paraId="42A99FF2" w14:textId="77777777" w:rsidR="0020097A" w:rsidRPr="00DE12A3" w:rsidRDefault="0020097A" w:rsidP="00C917D6">
            <w:pPr>
              <w:pStyle w:val="NormalLeft"/>
            </w:pPr>
          </w:p>
        </w:tc>
      </w:tr>
      <w:tr w:rsidR="00DE12A3" w:rsidRPr="00DE12A3" w14:paraId="7E0B12D1" w14:textId="77777777" w:rsidTr="009F4766">
        <w:tc>
          <w:tcPr>
            <w:tcW w:w="2043" w:type="dxa"/>
            <w:tcBorders>
              <w:top w:val="single" w:sz="2" w:space="0" w:color="auto"/>
              <w:left w:val="single" w:sz="2" w:space="0" w:color="auto"/>
              <w:bottom w:val="single" w:sz="2" w:space="0" w:color="auto"/>
              <w:right w:val="single" w:sz="2" w:space="0" w:color="auto"/>
            </w:tcBorders>
          </w:tcPr>
          <w:p w14:paraId="76D4F552" w14:textId="77777777" w:rsidR="0020097A" w:rsidRPr="00DE12A3" w:rsidRDefault="0020097A" w:rsidP="00C917D6">
            <w:pPr>
              <w:spacing w:before="120" w:after="120"/>
              <w:rPr>
                <w:rFonts w:cs="Times New Roman"/>
                <w:color w:val="auto"/>
              </w:rPr>
            </w:pPr>
            <w:r w:rsidRPr="00DE12A3">
              <w:rPr>
                <w:rFonts w:cs="Times New Roman"/>
                <w:color w:val="auto"/>
              </w:rPr>
              <w:t xml:space="preserve">Denge </w:t>
            </w:r>
            <w:r w:rsidRPr="00DE12A3">
              <w:rPr>
                <w:rFonts w:cs="Times New Roman"/>
                <w:color w:val="auto"/>
                <w:vertAlign w:val="superscript"/>
              </w:rPr>
              <w:t>(1)</w:t>
            </w:r>
          </w:p>
        </w:tc>
        <w:tc>
          <w:tcPr>
            <w:tcW w:w="1579" w:type="dxa"/>
            <w:tcBorders>
              <w:top w:val="single" w:sz="2" w:space="0" w:color="auto"/>
              <w:left w:val="single" w:sz="2" w:space="0" w:color="auto"/>
              <w:bottom w:val="single" w:sz="2" w:space="0" w:color="auto"/>
              <w:right w:val="single" w:sz="2" w:space="0" w:color="auto"/>
            </w:tcBorders>
          </w:tcPr>
          <w:p w14:paraId="62D4394F" w14:textId="49FE8176" w:rsidR="0020097A" w:rsidRPr="00DE12A3" w:rsidRDefault="0020097A" w:rsidP="00C917D6">
            <w:pPr>
              <w:pStyle w:val="NormalLeft"/>
            </w:pPr>
            <w:r w:rsidRPr="00DE12A3">
              <w:t>% mol</w:t>
            </w:r>
          </w:p>
        </w:tc>
        <w:tc>
          <w:tcPr>
            <w:tcW w:w="1300" w:type="dxa"/>
            <w:tcBorders>
              <w:top w:val="single" w:sz="2" w:space="0" w:color="auto"/>
              <w:left w:val="single" w:sz="2" w:space="0" w:color="auto"/>
              <w:bottom w:val="single" w:sz="2" w:space="0" w:color="auto"/>
              <w:right w:val="single" w:sz="2" w:space="0" w:color="auto"/>
            </w:tcBorders>
          </w:tcPr>
          <w:p w14:paraId="02A770EE" w14:textId="77777777" w:rsidR="0020097A" w:rsidRPr="00DE12A3" w:rsidRDefault="0020097A" w:rsidP="00C917D6">
            <w:pPr>
              <w:pStyle w:val="NormalLeft"/>
            </w:pPr>
            <w:r w:rsidRPr="00DE12A3">
              <w:t>—</w:t>
            </w:r>
          </w:p>
        </w:tc>
        <w:tc>
          <w:tcPr>
            <w:tcW w:w="1578" w:type="dxa"/>
            <w:tcBorders>
              <w:top w:val="single" w:sz="2" w:space="0" w:color="auto"/>
              <w:left w:val="single" w:sz="2" w:space="0" w:color="auto"/>
              <w:bottom w:val="single" w:sz="2" w:space="0" w:color="auto"/>
              <w:right w:val="single" w:sz="2" w:space="0" w:color="auto"/>
            </w:tcBorders>
          </w:tcPr>
          <w:p w14:paraId="6CA41D25" w14:textId="77777777" w:rsidR="0020097A" w:rsidRPr="00DE12A3" w:rsidRDefault="0020097A" w:rsidP="00C917D6">
            <w:pPr>
              <w:pStyle w:val="NormalLeft"/>
            </w:pPr>
            <w:r w:rsidRPr="00DE12A3">
              <w:t>—</w:t>
            </w:r>
          </w:p>
        </w:tc>
        <w:tc>
          <w:tcPr>
            <w:tcW w:w="1486" w:type="dxa"/>
            <w:tcBorders>
              <w:top w:val="single" w:sz="2" w:space="0" w:color="auto"/>
              <w:left w:val="single" w:sz="2" w:space="0" w:color="auto"/>
              <w:bottom w:val="single" w:sz="2" w:space="0" w:color="auto"/>
              <w:right w:val="single" w:sz="2" w:space="0" w:color="auto"/>
            </w:tcBorders>
          </w:tcPr>
          <w:p w14:paraId="6EFF079B" w14:textId="77777777" w:rsidR="0020097A" w:rsidRPr="00DE12A3" w:rsidRDefault="0020097A" w:rsidP="00C917D6">
            <w:pPr>
              <w:pStyle w:val="NormalLeft"/>
            </w:pPr>
            <w:r w:rsidRPr="00DE12A3">
              <w:t>1</w:t>
            </w:r>
          </w:p>
        </w:tc>
        <w:tc>
          <w:tcPr>
            <w:tcW w:w="1300" w:type="dxa"/>
            <w:tcBorders>
              <w:top w:val="single" w:sz="2" w:space="0" w:color="auto"/>
              <w:left w:val="single" w:sz="2" w:space="0" w:color="auto"/>
              <w:bottom w:val="single" w:sz="2" w:space="0" w:color="auto"/>
              <w:right w:val="single" w:sz="2" w:space="0" w:color="auto"/>
            </w:tcBorders>
          </w:tcPr>
          <w:p w14:paraId="48D3BD1E" w14:textId="77777777" w:rsidR="0020097A" w:rsidRPr="00DE12A3" w:rsidRDefault="0020097A" w:rsidP="00C917D6">
            <w:pPr>
              <w:pStyle w:val="NormalLeft"/>
            </w:pPr>
            <w:r w:rsidRPr="00DE12A3">
              <w:t>ISO 6974</w:t>
            </w:r>
          </w:p>
        </w:tc>
      </w:tr>
      <w:tr w:rsidR="00DE12A3" w:rsidRPr="00DE12A3" w14:paraId="24A32D31" w14:textId="77777777" w:rsidTr="009F4766">
        <w:tc>
          <w:tcPr>
            <w:tcW w:w="2043" w:type="dxa"/>
            <w:tcBorders>
              <w:top w:val="single" w:sz="2" w:space="0" w:color="auto"/>
              <w:left w:val="single" w:sz="2" w:space="0" w:color="auto"/>
              <w:bottom w:val="single" w:sz="2" w:space="0" w:color="auto"/>
              <w:right w:val="single" w:sz="2" w:space="0" w:color="auto"/>
            </w:tcBorders>
          </w:tcPr>
          <w:p w14:paraId="09DDE3D9" w14:textId="77777777" w:rsidR="0020097A" w:rsidRPr="00DE12A3" w:rsidRDefault="0020097A" w:rsidP="00C917D6">
            <w:pPr>
              <w:spacing w:before="120" w:after="120"/>
              <w:rPr>
                <w:rFonts w:cs="Times New Roman"/>
                <w:color w:val="auto"/>
              </w:rPr>
            </w:pPr>
            <w:r w:rsidRPr="00DE12A3">
              <w:rPr>
                <w:rFonts w:cs="Times New Roman"/>
                <w:color w:val="auto"/>
              </w:rPr>
              <w:t>N</w:t>
            </w:r>
            <w:r w:rsidRPr="00DE12A3">
              <w:rPr>
                <w:rFonts w:cs="Times New Roman"/>
                <w:color w:val="auto"/>
                <w:vertAlign w:val="subscript"/>
              </w:rPr>
              <w:t>2</w:t>
            </w:r>
          </w:p>
        </w:tc>
        <w:tc>
          <w:tcPr>
            <w:tcW w:w="1579" w:type="dxa"/>
            <w:tcBorders>
              <w:top w:val="single" w:sz="2" w:space="0" w:color="auto"/>
              <w:left w:val="single" w:sz="2" w:space="0" w:color="auto"/>
              <w:bottom w:val="single" w:sz="2" w:space="0" w:color="auto"/>
              <w:right w:val="single" w:sz="2" w:space="0" w:color="auto"/>
            </w:tcBorders>
          </w:tcPr>
          <w:p w14:paraId="207AC27E" w14:textId="43B979C9" w:rsidR="0020097A" w:rsidRPr="00DE12A3" w:rsidRDefault="0020097A" w:rsidP="00C917D6">
            <w:pPr>
              <w:pStyle w:val="NormalLeft"/>
            </w:pPr>
            <w:r w:rsidRPr="00DE12A3">
              <w:t>% mol</w:t>
            </w:r>
          </w:p>
        </w:tc>
        <w:tc>
          <w:tcPr>
            <w:tcW w:w="1300" w:type="dxa"/>
            <w:tcBorders>
              <w:top w:val="single" w:sz="2" w:space="0" w:color="auto"/>
              <w:left w:val="single" w:sz="2" w:space="0" w:color="auto"/>
              <w:bottom w:val="single" w:sz="2" w:space="0" w:color="auto"/>
              <w:right w:val="single" w:sz="2" w:space="0" w:color="auto"/>
            </w:tcBorders>
          </w:tcPr>
          <w:p w14:paraId="20841A44" w14:textId="77777777" w:rsidR="0020097A" w:rsidRPr="00DE12A3" w:rsidRDefault="0020097A" w:rsidP="00C917D6">
            <w:pPr>
              <w:pStyle w:val="NormalLeft"/>
            </w:pPr>
            <w:r w:rsidRPr="00DE12A3">
              <w:t>14</w:t>
            </w:r>
          </w:p>
        </w:tc>
        <w:tc>
          <w:tcPr>
            <w:tcW w:w="1578" w:type="dxa"/>
            <w:tcBorders>
              <w:top w:val="single" w:sz="2" w:space="0" w:color="auto"/>
              <w:left w:val="single" w:sz="2" w:space="0" w:color="auto"/>
              <w:bottom w:val="single" w:sz="2" w:space="0" w:color="auto"/>
              <w:right w:val="single" w:sz="2" w:space="0" w:color="auto"/>
            </w:tcBorders>
          </w:tcPr>
          <w:p w14:paraId="06F068EA" w14:textId="77777777" w:rsidR="0020097A" w:rsidRPr="00DE12A3" w:rsidRDefault="0020097A" w:rsidP="00C917D6">
            <w:pPr>
              <w:pStyle w:val="NormalLeft"/>
            </w:pPr>
            <w:r w:rsidRPr="00DE12A3">
              <w:t>12</w:t>
            </w:r>
          </w:p>
        </w:tc>
        <w:tc>
          <w:tcPr>
            <w:tcW w:w="1486" w:type="dxa"/>
            <w:tcBorders>
              <w:top w:val="single" w:sz="2" w:space="0" w:color="auto"/>
              <w:left w:val="single" w:sz="2" w:space="0" w:color="auto"/>
              <w:bottom w:val="single" w:sz="2" w:space="0" w:color="auto"/>
              <w:right w:val="single" w:sz="2" w:space="0" w:color="auto"/>
            </w:tcBorders>
          </w:tcPr>
          <w:p w14:paraId="4FF5940D" w14:textId="77777777" w:rsidR="0020097A" w:rsidRPr="00DE12A3" w:rsidRDefault="0020097A" w:rsidP="00C917D6">
            <w:pPr>
              <w:pStyle w:val="NormalLeft"/>
            </w:pPr>
            <w:r w:rsidRPr="00DE12A3">
              <w:t>16</w:t>
            </w:r>
          </w:p>
        </w:tc>
        <w:tc>
          <w:tcPr>
            <w:tcW w:w="1300" w:type="dxa"/>
            <w:tcBorders>
              <w:top w:val="single" w:sz="2" w:space="0" w:color="auto"/>
              <w:left w:val="single" w:sz="2" w:space="0" w:color="auto"/>
              <w:bottom w:val="single" w:sz="2" w:space="0" w:color="auto"/>
              <w:right w:val="single" w:sz="2" w:space="0" w:color="auto"/>
            </w:tcBorders>
          </w:tcPr>
          <w:p w14:paraId="1B3D95A9" w14:textId="77777777" w:rsidR="0020097A" w:rsidRPr="00DE12A3" w:rsidRDefault="0020097A" w:rsidP="00C917D6">
            <w:pPr>
              <w:pStyle w:val="NormalLeft"/>
            </w:pPr>
          </w:p>
        </w:tc>
      </w:tr>
      <w:tr w:rsidR="00DE12A3" w:rsidRPr="00DE12A3" w14:paraId="2C79393E" w14:textId="77777777" w:rsidTr="009F4766">
        <w:tc>
          <w:tcPr>
            <w:tcW w:w="2043" w:type="dxa"/>
            <w:tcBorders>
              <w:top w:val="single" w:sz="2" w:space="0" w:color="auto"/>
              <w:left w:val="single" w:sz="2" w:space="0" w:color="auto"/>
              <w:bottom w:val="single" w:sz="2" w:space="0" w:color="auto"/>
              <w:right w:val="single" w:sz="2" w:space="0" w:color="auto"/>
            </w:tcBorders>
          </w:tcPr>
          <w:p w14:paraId="23097E81" w14:textId="77777777" w:rsidR="0020097A" w:rsidRPr="00DE12A3" w:rsidRDefault="0020097A" w:rsidP="00C917D6">
            <w:pPr>
              <w:spacing w:before="120" w:after="120"/>
              <w:rPr>
                <w:rFonts w:cs="Times New Roman"/>
                <w:color w:val="auto"/>
              </w:rPr>
            </w:pPr>
            <w:r w:rsidRPr="00DE12A3">
              <w:rPr>
                <w:rFonts w:cs="Times New Roman"/>
                <w:color w:val="auto"/>
              </w:rPr>
              <w:t>Kükürt içeriği</w:t>
            </w:r>
          </w:p>
        </w:tc>
        <w:tc>
          <w:tcPr>
            <w:tcW w:w="1579" w:type="dxa"/>
            <w:tcBorders>
              <w:top w:val="single" w:sz="2" w:space="0" w:color="auto"/>
              <w:left w:val="single" w:sz="2" w:space="0" w:color="auto"/>
              <w:bottom w:val="single" w:sz="2" w:space="0" w:color="auto"/>
              <w:right w:val="single" w:sz="2" w:space="0" w:color="auto"/>
            </w:tcBorders>
          </w:tcPr>
          <w:p w14:paraId="3E46DC34" w14:textId="77777777" w:rsidR="0020097A" w:rsidRPr="00DE12A3" w:rsidRDefault="0020097A" w:rsidP="00C917D6">
            <w:pPr>
              <w:pStyle w:val="NormalLeft"/>
            </w:pPr>
            <w:r w:rsidRPr="00DE12A3">
              <w:t>mg/m</w:t>
            </w:r>
            <w:r w:rsidRPr="00DE12A3">
              <w:rPr>
                <w:vertAlign w:val="superscript"/>
              </w:rPr>
              <w:t>3</w:t>
            </w:r>
            <w:r w:rsidRPr="00DE12A3">
              <w:t xml:space="preserve"> (</w:t>
            </w:r>
            <w:r w:rsidRPr="00DE12A3">
              <w:rPr>
                <w:vertAlign w:val="superscript"/>
              </w:rPr>
              <w:t>2</w:t>
            </w:r>
            <w:r w:rsidRPr="00DE12A3">
              <w:t>)</w:t>
            </w:r>
          </w:p>
        </w:tc>
        <w:tc>
          <w:tcPr>
            <w:tcW w:w="1300" w:type="dxa"/>
            <w:tcBorders>
              <w:top w:val="single" w:sz="2" w:space="0" w:color="auto"/>
              <w:left w:val="single" w:sz="2" w:space="0" w:color="auto"/>
              <w:bottom w:val="single" w:sz="2" w:space="0" w:color="auto"/>
              <w:right w:val="single" w:sz="2" w:space="0" w:color="auto"/>
            </w:tcBorders>
          </w:tcPr>
          <w:p w14:paraId="3F7A795A" w14:textId="77777777" w:rsidR="0020097A" w:rsidRPr="00DE12A3" w:rsidRDefault="0020097A" w:rsidP="00C917D6">
            <w:pPr>
              <w:pStyle w:val="NormalLeft"/>
            </w:pPr>
            <w:r w:rsidRPr="00DE12A3">
              <w:t>—</w:t>
            </w:r>
          </w:p>
        </w:tc>
        <w:tc>
          <w:tcPr>
            <w:tcW w:w="1578" w:type="dxa"/>
            <w:tcBorders>
              <w:top w:val="single" w:sz="2" w:space="0" w:color="auto"/>
              <w:left w:val="single" w:sz="2" w:space="0" w:color="auto"/>
              <w:bottom w:val="single" w:sz="2" w:space="0" w:color="auto"/>
              <w:right w:val="single" w:sz="2" w:space="0" w:color="auto"/>
            </w:tcBorders>
          </w:tcPr>
          <w:p w14:paraId="588E4FF4" w14:textId="77777777" w:rsidR="0020097A" w:rsidRPr="00DE12A3" w:rsidRDefault="0020097A" w:rsidP="00C917D6">
            <w:pPr>
              <w:pStyle w:val="NormalLeft"/>
            </w:pPr>
            <w:r w:rsidRPr="00DE12A3">
              <w:t>—</w:t>
            </w:r>
          </w:p>
        </w:tc>
        <w:tc>
          <w:tcPr>
            <w:tcW w:w="1486" w:type="dxa"/>
            <w:tcBorders>
              <w:top w:val="single" w:sz="2" w:space="0" w:color="auto"/>
              <w:left w:val="single" w:sz="2" w:space="0" w:color="auto"/>
              <w:bottom w:val="single" w:sz="2" w:space="0" w:color="auto"/>
              <w:right w:val="single" w:sz="2" w:space="0" w:color="auto"/>
            </w:tcBorders>
          </w:tcPr>
          <w:p w14:paraId="669E30CF" w14:textId="77777777" w:rsidR="0020097A" w:rsidRPr="00DE12A3" w:rsidRDefault="0020097A" w:rsidP="00C917D6">
            <w:pPr>
              <w:pStyle w:val="NormalLeft"/>
            </w:pPr>
            <w:r w:rsidRPr="00DE12A3">
              <w:t>10</w:t>
            </w:r>
          </w:p>
        </w:tc>
        <w:tc>
          <w:tcPr>
            <w:tcW w:w="1300" w:type="dxa"/>
            <w:tcBorders>
              <w:top w:val="single" w:sz="2" w:space="0" w:color="auto"/>
              <w:left w:val="single" w:sz="2" w:space="0" w:color="auto"/>
              <w:bottom w:val="single" w:sz="2" w:space="0" w:color="auto"/>
              <w:right w:val="single" w:sz="2" w:space="0" w:color="auto"/>
            </w:tcBorders>
          </w:tcPr>
          <w:p w14:paraId="5DC367FD" w14:textId="77777777" w:rsidR="0020097A" w:rsidRPr="00DE12A3" w:rsidRDefault="0020097A" w:rsidP="00C917D6">
            <w:pPr>
              <w:pStyle w:val="NormalLeft"/>
            </w:pPr>
            <w:r w:rsidRPr="00DE12A3">
              <w:t>ISO 6326-5</w:t>
            </w:r>
          </w:p>
        </w:tc>
      </w:tr>
      <w:tr w:rsidR="00DE12A3" w:rsidRPr="00DE12A3" w14:paraId="0908811C" w14:textId="77777777" w:rsidTr="009F4766">
        <w:tc>
          <w:tcPr>
            <w:tcW w:w="9286" w:type="dxa"/>
            <w:gridSpan w:val="6"/>
            <w:tcBorders>
              <w:top w:val="single" w:sz="2" w:space="0" w:color="auto"/>
              <w:left w:val="single" w:sz="2" w:space="0" w:color="auto"/>
              <w:bottom w:val="single" w:sz="2" w:space="0" w:color="auto"/>
              <w:right w:val="single" w:sz="2" w:space="0" w:color="auto"/>
            </w:tcBorders>
          </w:tcPr>
          <w:p w14:paraId="4195BB51" w14:textId="77777777" w:rsidR="006511CE" w:rsidRPr="00DE12A3" w:rsidRDefault="006511CE" w:rsidP="00C917D6">
            <w:pPr>
              <w:spacing w:before="120" w:after="120"/>
              <w:rPr>
                <w:rFonts w:cs="Times New Roman"/>
                <w:bCs/>
                <w:iCs/>
                <w:color w:val="auto"/>
              </w:rPr>
            </w:pPr>
            <w:r w:rsidRPr="00DE12A3">
              <w:rPr>
                <w:rFonts w:cs="Times New Roman"/>
                <w:bCs/>
                <w:iCs/>
                <w:color w:val="auto"/>
              </w:rPr>
              <w:t>Notlar:</w:t>
            </w:r>
          </w:p>
          <w:p w14:paraId="283FEA52" w14:textId="3F3DE3AF" w:rsidR="006511CE" w:rsidRPr="00DE12A3" w:rsidRDefault="006511CE" w:rsidP="00C917D6">
            <w:pPr>
              <w:spacing w:before="120" w:after="120"/>
              <w:rPr>
                <w:rFonts w:cs="Times New Roman"/>
                <w:bCs/>
                <w:iCs/>
                <w:color w:val="auto"/>
              </w:rPr>
            </w:pPr>
            <w:r w:rsidRPr="00DE12A3">
              <w:rPr>
                <w:rFonts w:cs="Times New Roman"/>
                <w:bCs/>
                <w:iCs/>
                <w:color w:val="auto"/>
                <w:vertAlign w:val="superscript"/>
              </w:rPr>
              <w:t>(1)</w:t>
            </w:r>
            <w:r w:rsidRPr="00DE12A3">
              <w:rPr>
                <w:rFonts w:cs="Times New Roman"/>
                <w:bCs/>
                <w:iCs/>
                <w:color w:val="auto"/>
              </w:rPr>
              <w:tab/>
            </w:r>
            <w:r w:rsidR="007C32B1" w:rsidRPr="00DE12A3">
              <w:rPr>
                <w:rFonts w:cs="Times New Roman"/>
                <w:bCs/>
                <w:iCs/>
                <w:color w:val="auto"/>
              </w:rPr>
              <w:t xml:space="preserve">Asal gazlar </w:t>
            </w:r>
            <w:r w:rsidRPr="00DE12A3">
              <w:rPr>
                <w:rFonts w:cs="Times New Roman"/>
                <w:bCs/>
                <w:iCs/>
                <w:color w:val="auto"/>
              </w:rPr>
              <w:t>(N</w:t>
            </w:r>
            <w:r w:rsidRPr="00DE12A3">
              <w:rPr>
                <w:rFonts w:cs="Times New Roman"/>
                <w:bCs/>
                <w:iCs/>
                <w:color w:val="auto"/>
                <w:vertAlign w:val="subscript"/>
              </w:rPr>
              <w:t>2</w:t>
            </w:r>
            <w:r w:rsidRPr="00DE12A3">
              <w:rPr>
                <w:rFonts w:cs="Times New Roman"/>
                <w:bCs/>
                <w:iCs/>
                <w:color w:val="auto"/>
              </w:rPr>
              <w:t>'den farklı) + C</w:t>
            </w:r>
            <w:r w:rsidRPr="00DE12A3">
              <w:rPr>
                <w:rFonts w:cs="Times New Roman"/>
                <w:bCs/>
                <w:iCs/>
                <w:color w:val="auto"/>
                <w:vertAlign w:val="subscript"/>
              </w:rPr>
              <w:t>2</w:t>
            </w:r>
            <w:r w:rsidRPr="00DE12A3">
              <w:rPr>
                <w:rFonts w:cs="Times New Roman"/>
                <w:bCs/>
                <w:iCs/>
                <w:color w:val="auto"/>
              </w:rPr>
              <w:t>+ C</w:t>
            </w:r>
            <w:r w:rsidRPr="00DE12A3">
              <w:rPr>
                <w:rFonts w:cs="Times New Roman"/>
                <w:bCs/>
                <w:iCs/>
                <w:color w:val="auto"/>
                <w:vertAlign w:val="subscript"/>
              </w:rPr>
              <w:t>2</w:t>
            </w:r>
            <w:r w:rsidRPr="00DE12A3">
              <w:rPr>
                <w:rFonts w:cs="Times New Roman"/>
                <w:bCs/>
                <w:iCs/>
                <w:color w:val="auto"/>
              </w:rPr>
              <w:t>+</w:t>
            </w:r>
          </w:p>
          <w:p w14:paraId="370D01BD" w14:textId="77777777" w:rsidR="009F4766" w:rsidRPr="00DE12A3" w:rsidRDefault="006511CE" w:rsidP="00C917D6">
            <w:pPr>
              <w:pStyle w:val="Point0"/>
            </w:pPr>
            <w:r w:rsidRPr="00DE12A3">
              <w:rPr>
                <w:bCs/>
                <w:iCs/>
                <w:vertAlign w:val="superscript"/>
              </w:rPr>
              <w:t>(2)</w:t>
            </w:r>
            <w:r w:rsidRPr="00DE12A3">
              <w:rPr>
                <w:bCs/>
                <w:iCs/>
              </w:rPr>
              <w:tab/>
              <w:t>293,2 K (20 °C) ve 101,3 kPa altında belirlenecek değer.</w:t>
            </w:r>
          </w:p>
        </w:tc>
      </w:tr>
      <w:tr w:rsidR="00DE12A3" w:rsidRPr="00DE12A3" w14:paraId="233C0D43" w14:textId="77777777" w:rsidTr="009F4766">
        <w:tc>
          <w:tcPr>
            <w:tcW w:w="2043" w:type="dxa"/>
            <w:tcBorders>
              <w:top w:val="single" w:sz="2" w:space="0" w:color="auto"/>
              <w:left w:val="single" w:sz="2" w:space="0" w:color="auto"/>
              <w:bottom w:val="single" w:sz="2" w:space="0" w:color="auto"/>
              <w:right w:val="single" w:sz="2" w:space="0" w:color="auto"/>
            </w:tcBorders>
          </w:tcPr>
          <w:p w14:paraId="264DD3A9" w14:textId="77777777" w:rsidR="009F4766" w:rsidRPr="00DE12A3" w:rsidRDefault="0020097A" w:rsidP="00C917D6">
            <w:pPr>
              <w:pStyle w:val="NormalCentered"/>
            </w:pPr>
            <w:r w:rsidRPr="00DE12A3">
              <w:rPr>
                <w:iCs/>
              </w:rPr>
              <w:t xml:space="preserve">Referans yakıt </w:t>
            </w:r>
            <w:r w:rsidR="009F4766" w:rsidRPr="00DE12A3">
              <w:rPr>
                <w:iCs/>
              </w:rPr>
              <w:t>G</w:t>
            </w:r>
            <w:r w:rsidR="009F4766" w:rsidRPr="00DE12A3">
              <w:rPr>
                <w:iCs/>
                <w:vertAlign w:val="subscript"/>
              </w:rPr>
              <w:t>20</w:t>
            </w:r>
          </w:p>
        </w:tc>
        <w:tc>
          <w:tcPr>
            <w:tcW w:w="1579" w:type="dxa"/>
            <w:tcBorders>
              <w:top w:val="single" w:sz="2" w:space="0" w:color="auto"/>
              <w:left w:val="single" w:sz="2" w:space="0" w:color="auto"/>
              <w:bottom w:val="single" w:sz="2" w:space="0" w:color="auto"/>
              <w:right w:val="single" w:sz="2" w:space="0" w:color="auto"/>
            </w:tcBorders>
          </w:tcPr>
          <w:p w14:paraId="12BDAE9F" w14:textId="77777777" w:rsidR="009F4766" w:rsidRPr="00DE12A3" w:rsidRDefault="009F4766" w:rsidP="00C917D6">
            <w:pPr>
              <w:pStyle w:val="NormalCentered"/>
            </w:pPr>
          </w:p>
        </w:tc>
        <w:tc>
          <w:tcPr>
            <w:tcW w:w="1300" w:type="dxa"/>
            <w:tcBorders>
              <w:top w:val="single" w:sz="2" w:space="0" w:color="auto"/>
              <w:left w:val="single" w:sz="2" w:space="0" w:color="auto"/>
              <w:bottom w:val="single" w:sz="2" w:space="0" w:color="auto"/>
              <w:right w:val="single" w:sz="2" w:space="0" w:color="auto"/>
            </w:tcBorders>
          </w:tcPr>
          <w:p w14:paraId="11E0D465" w14:textId="77777777" w:rsidR="009F4766" w:rsidRPr="00DE12A3" w:rsidRDefault="009F4766" w:rsidP="00C917D6">
            <w:pPr>
              <w:pStyle w:val="NormalCentered"/>
            </w:pPr>
          </w:p>
        </w:tc>
        <w:tc>
          <w:tcPr>
            <w:tcW w:w="1578" w:type="dxa"/>
            <w:tcBorders>
              <w:top w:val="single" w:sz="2" w:space="0" w:color="auto"/>
              <w:left w:val="single" w:sz="2" w:space="0" w:color="auto"/>
              <w:bottom w:val="single" w:sz="2" w:space="0" w:color="auto"/>
              <w:right w:val="single" w:sz="2" w:space="0" w:color="auto"/>
            </w:tcBorders>
          </w:tcPr>
          <w:p w14:paraId="7940D6DE" w14:textId="77777777" w:rsidR="009F4766" w:rsidRPr="00DE12A3" w:rsidRDefault="009F4766" w:rsidP="00C917D6">
            <w:pPr>
              <w:pStyle w:val="NormalCentered"/>
            </w:pPr>
          </w:p>
        </w:tc>
        <w:tc>
          <w:tcPr>
            <w:tcW w:w="1486" w:type="dxa"/>
            <w:tcBorders>
              <w:top w:val="single" w:sz="2" w:space="0" w:color="auto"/>
              <w:left w:val="single" w:sz="2" w:space="0" w:color="auto"/>
              <w:bottom w:val="single" w:sz="2" w:space="0" w:color="auto"/>
              <w:right w:val="single" w:sz="2" w:space="0" w:color="auto"/>
            </w:tcBorders>
          </w:tcPr>
          <w:p w14:paraId="477FFAFC" w14:textId="77777777" w:rsidR="009F4766" w:rsidRPr="00DE12A3" w:rsidRDefault="009F4766" w:rsidP="00C917D6">
            <w:pPr>
              <w:pStyle w:val="NormalCentered"/>
            </w:pPr>
          </w:p>
        </w:tc>
        <w:tc>
          <w:tcPr>
            <w:tcW w:w="1300" w:type="dxa"/>
            <w:tcBorders>
              <w:top w:val="single" w:sz="2" w:space="0" w:color="auto"/>
              <w:left w:val="single" w:sz="2" w:space="0" w:color="auto"/>
              <w:bottom w:val="single" w:sz="2" w:space="0" w:color="auto"/>
              <w:right w:val="single" w:sz="2" w:space="0" w:color="auto"/>
            </w:tcBorders>
          </w:tcPr>
          <w:p w14:paraId="13CC6499" w14:textId="77777777" w:rsidR="009F4766" w:rsidRPr="00DE12A3" w:rsidRDefault="009F4766" w:rsidP="00C917D6">
            <w:pPr>
              <w:pStyle w:val="NormalCentered"/>
            </w:pPr>
          </w:p>
        </w:tc>
      </w:tr>
      <w:tr w:rsidR="00DE12A3" w:rsidRPr="00DE12A3" w14:paraId="61C4F6AB" w14:textId="77777777" w:rsidTr="009F4766">
        <w:tc>
          <w:tcPr>
            <w:tcW w:w="2043" w:type="dxa"/>
            <w:tcBorders>
              <w:top w:val="single" w:sz="2" w:space="0" w:color="auto"/>
              <w:left w:val="single" w:sz="2" w:space="0" w:color="auto"/>
              <w:bottom w:val="single" w:sz="2" w:space="0" w:color="auto"/>
              <w:right w:val="single" w:sz="2" w:space="0" w:color="auto"/>
            </w:tcBorders>
          </w:tcPr>
          <w:p w14:paraId="51D58859" w14:textId="3CACCA0E" w:rsidR="0020097A" w:rsidRPr="00DE12A3" w:rsidRDefault="00872F0E" w:rsidP="00C917D6">
            <w:pPr>
              <w:spacing w:before="120" w:after="120"/>
              <w:rPr>
                <w:rFonts w:cs="Times New Roman"/>
                <w:color w:val="auto"/>
              </w:rPr>
            </w:pPr>
            <w:r w:rsidRPr="00DE12A3">
              <w:rPr>
                <w:rFonts w:cs="Times New Roman"/>
                <w:color w:val="auto"/>
              </w:rPr>
              <w:t>Bileşim:</w:t>
            </w:r>
          </w:p>
        </w:tc>
        <w:tc>
          <w:tcPr>
            <w:tcW w:w="1579" w:type="dxa"/>
            <w:tcBorders>
              <w:top w:val="single" w:sz="2" w:space="0" w:color="auto"/>
              <w:left w:val="single" w:sz="2" w:space="0" w:color="auto"/>
              <w:bottom w:val="single" w:sz="2" w:space="0" w:color="auto"/>
              <w:right w:val="single" w:sz="2" w:space="0" w:color="auto"/>
            </w:tcBorders>
          </w:tcPr>
          <w:p w14:paraId="07DCA357" w14:textId="77777777" w:rsidR="0020097A" w:rsidRPr="00DE12A3" w:rsidRDefault="0020097A" w:rsidP="00C917D6">
            <w:pPr>
              <w:pStyle w:val="NormalLeft"/>
            </w:pPr>
          </w:p>
        </w:tc>
        <w:tc>
          <w:tcPr>
            <w:tcW w:w="1300" w:type="dxa"/>
            <w:tcBorders>
              <w:top w:val="single" w:sz="2" w:space="0" w:color="auto"/>
              <w:left w:val="single" w:sz="2" w:space="0" w:color="auto"/>
              <w:bottom w:val="single" w:sz="2" w:space="0" w:color="auto"/>
              <w:right w:val="single" w:sz="2" w:space="0" w:color="auto"/>
            </w:tcBorders>
          </w:tcPr>
          <w:p w14:paraId="3672EE63" w14:textId="77777777" w:rsidR="0020097A" w:rsidRPr="00DE12A3" w:rsidRDefault="0020097A" w:rsidP="00C917D6">
            <w:pPr>
              <w:pStyle w:val="NormalLeft"/>
            </w:pPr>
          </w:p>
        </w:tc>
        <w:tc>
          <w:tcPr>
            <w:tcW w:w="1578" w:type="dxa"/>
            <w:tcBorders>
              <w:top w:val="single" w:sz="2" w:space="0" w:color="auto"/>
              <w:left w:val="single" w:sz="2" w:space="0" w:color="auto"/>
              <w:bottom w:val="single" w:sz="2" w:space="0" w:color="auto"/>
              <w:right w:val="single" w:sz="2" w:space="0" w:color="auto"/>
            </w:tcBorders>
          </w:tcPr>
          <w:p w14:paraId="72302520" w14:textId="77777777" w:rsidR="0020097A" w:rsidRPr="00DE12A3" w:rsidRDefault="0020097A" w:rsidP="00C917D6">
            <w:pPr>
              <w:pStyle w:val="NormalLeft"/>
            </w:pPr>
          </w:p>
        </w:tc>
        <w:tc>
          <w:tcPr>
            <w:tcW w:w="1486" w:type="dxa"/>
            <w:tcBorders>
              <w:top w:val="single" w:sz="2" w:space="0" w:color="auto"/>
              <w:left w:val="single" w:sz="2" w:space="0" w:color="auto"/>
              <w:bottom w:val="single" w:sz="2" w:space="0" w:color="auto"/>
              <w:right w:val="single" w:sz="2" w:space="0" w:color="auto"/>
            </w:tcBorders>
          </w:tcPr>
          <w:p w14:paraId="3C0D42AC" w14:textId="77777777" w:rsidR="0020097A" w:rsidRPr="00DE12A3" w:rsidRDefault="0020097A" w:rsidP="00C917D6">
            <w:pPr>
              <w:pStyle w:val="NormalLeft"/>
            </w:pPr>
          </w:p>
        </w:tc>
        <w:tc>
          <w:tcPr>
            <w:tcW w:w="1300" w:type="dxa"/>
            <w:tcBorders>
              <w:top w:val="single" w:sz="2" w:space="0" w:color="auto"/>
              <w:left w:val="single" w:sz="2" w:space="0" w:color="auto"/>
              <w:bottom w:val="single" w:sz="2" w:space="0" w:color="auto"/>
              <w:right w:val="single" w:sz="2" w:space="0" w:color="auto"/>
            </w:tcBorders>
          </w:tcPr>
          <w:p w14:paraId="63C398AC" w14:textId="77777777" w:rsidR="0020097A" w:rsidRPr="00DE12A3" w:rsidRDefault="0020097A" w:rsidP="00C917D6">
            <w:pPr>
              <w:pStyle w:val="NormalLeft"/>
            </w:pPr>
          </w:p>
        </w:tc>
      </w:tr>
      <w:tr w:rsidR="00DE12A3" w:rsidRPr="00DE12A3" w14:paraId="52241B12" w14:textId="77777777" w:rsidTr="009F4766">
        <w:tc>
          <w:tcPr>
            <w:tcW w:w="2043" w:type="dxa"/>
            <w:tcBorders>
              <w:top w:val="single" w:sz="2" w:space="0" w:color="auto"/>
              <w:left w:val="single" w:sz="2" w:space="0" w:color="auto"/>
              <w:bottom w:val="single" w:sz="2" w:space="0" w:color="auto"/>
              <w:right w:val="single" w:sz="2" w:space="0" w:color="auto"/>
            </w:tcBorders>
          </w:tcPr>
          <w:p w14:paraId="5C37E572" w14:textId="77777777" w:rsidR="0020097A" w:rsidRPr="00DE12A3" w:rsidRDefault="0020097A" w:rsidP="00C917D6">
            <w:pPr>
              <w:spacing w:before="120" w:after="120"/>
              <w:rPr>
                <w:rFonts w:cs="Times New Roman"/>
                <w:color w:val="auto"/>
              </w:rPr>
            </w:pPr>
            <w:r w:rsidRPr="00DE12A3">
              <w:rPr>
                <w:rFonts w:cs="Times New Roman"/>
                <w:color w:val="auto"/>
              </w:rPr>
              <w:t>Metan</w:t>
            </w:r>
          </w:p>
        </w:tc>
        <w:tc>
          <w:tcPr>
            <w:tcW w:w="1579" w:type="dxa"/>
            <w:tcBorders>
              <w:top w:val="single" w:sz="2" w:space="0" w:color="auto"/>
              <w:left w:val="single" w:sz="2" w:space="0" w:color="auto"/>
              <w:bottom w:val="single" w:sz="2" w:space="0" w:color="auto"/>
              <w:right w:val="single" w:sz="2" w:space="0" w:color="auto"/>
            </w:tcBorders>
          </w:tcPr>
          <w:p w14:paraId="676A32C2" w14:textId="4454967A" w:rsidR="0020097A" w:rsidRPr="00DE12A3" w:rsidRDefault="0020097A" w:rsidP="00C917D6">
            <w:pPr>
              <w:pStyle w:val="NormalLeft"/>
            </w:pPr>
            <w:r w:rsidRPr="00DE12A3">
              <w:t>% mol</w:t>
            </w:r>
          </w:p>
        </w:tc>
        <w:tc>
          <w:tcPr>
            <w:tcW w:w="1300" w:type="dxa"/>
            <w:tcBorders>
              <w:top w:val="single" w:sz="2" w:space="0" w:color="auto"/>
              <w:left w:val="single" w:sz="2" w:space="0" w:color="auto"/>
              <w:bottom w:val="single" w:sz="2" w:space="0" w:color="auto"/>
              <w:right w:val="single" w:sz="2" w:space="0" w:color="auto"/>
            </w:tcBorders>
          </w:tcPr>
          <w:p w14:paraId="702A2F57" w14:textId="77777777" w:rsidR="0020097A" w:rsidRPr="00DE12A3" w:rsidRDefault="0020097A" w:rsidP="00C917D6">
            <w:pPr>
              <w:pStyle w:val="NormalLeft"/>
            </w:pPr>
            <w:r w:rsidRPr="00DE12A3">
              <w:t>100</w:t>
            </w:r>
          </w:p>
        </w:tc>
        <w:tc>
          <w:tcPr>
            <w:tcW w:w="1578" w:type="dxa"/>
            <w:tcBorders>
              <w:top w:val="single" w:sz="2" w:space="0" w:color="auto"/>
              <w:left w:val="single" w:sz="2" w:space="0" w:color="auto"/>
              <w:bottom w:val="single" w:sz="2" w:space="0" w:color="auto"/>
              <w:right w:val="single" w:sz="2" w:space="0" w:color="auto"/>
            </w:tcBorders>
          </w:tcPr>
          <w:p w14:paraId="1D6707E8" w14:textId="77777777" w:rsidR="0020097A" w:rsidRPr="00DE12A3" w:rsidRDefault="0020097A" w:rsidP="00C917D6">
            <w:pPr>
              <w:pStyle w:val="NormalLeft"/>
            </w:pPr>
            <w:r w:rsidRPr="00DE12A3">
              <w:t>99</w:t>
            </w:r>
          </w:p>
        </w:tc>
        <w:tc>
          <w:tcPr>
            <w:tcW w:w="1486" w:type="dxa"/>
            <w:tcBorders>
              <w:top w:val="single" w:sz="2" w:space="0" w:color="auto"/>
              <w:left w:val="single" w:sz="2" w:space="0" w:color="auto"/>
              <w:bottom w:val="single" w:sz="2" w:space="0" w:color="auto"/>
              <w:right w:val="single" w:sz="2" w:space="0" w:color="auto"/>
            </w:tcBorders>
          </w:tcPr>
          <w:p w14:paraId="14A706F5" w14:textId="77777777" w:rsidR="0020097A" w:rsidRPr="00DE12A3" w:rsidRDefault="0020097A" w:rsidP="00C917D6">
            <w:pPr>
              <w:pStyle w:val="NormalLeft"/>
            </w:pPr>
            <w:r w:rsidRPr="00DE12A3">
              <w:t>100</w:t>
            </w:r>
          </w:p>
        </w:tc>
        <w:tc>
          <w:tcPr>
            <w:tcW w:w="1300" w:type="dxa"/>
            <w:tcBorders>
              <w:top w:val="single" w:sz="2" w:space="0" w:color="auto"/>
              <w:left w:val="single" w:sz="2" w:space="0" w:color="auto"/>
              <w:bottom w:val="single" w:sz="2" w:space="0" w:color="auto"/>
              <w:right w:val="single" w:sz="2" w:space="0" w:color="auto"/>
            </w:tcBorders>
          </w:tcPr>
          <w:p w14:paraId="66C296E7" w14:textId="77777777" w:rsidR="0020097A" w:rsidRPr="00DE12A3" w:rsidRDefault="0020097A" w:rsidP="00C917D6">
            <w:pPr>
              <w:pStyle w:val="NormalLeft"/>
            </w:pPr>
            <w:r w:rsidRPr="00DE12A3">
              <w:t>ISO 6974</w:t>
            </w:r>
          </w:p>
        </w:tc>
      </w:tr>
      <w:tr w:rsidR="00DE12A3" w:rsidRPr="00DE12A3" w14:paraId="2738981A" w14:textId="77777777" w:rsidTr="009F4766">
        <w:tc>
          <w:tcPr>
            <w:tcW w:w="2043" w:type="dxa"/>
            <w:tcBorders>
              <w:top w:val="single" w:sz="2" w:space="0" w:color="auto"/>
              <w:left w:val="single" w:sz="2" w:space="0" w:color="auto"/>
              <w:bottom w:val="single" w:sz="2" w:space="0" w:color="auto"/>
              <w:right w:val="single" w:sz="2" w:space="0" w:color="auto"/>
            </w:tcBorders>
          </w:tcPr>
          <w:p w14:paraId="4E2F64BE" w14:textId="77777777" w:rsidR="0020097A" w:rsidRPr="00DE12A3" w:rsidRDefault="0020097A" w:rsidP="00C917D6">
            <w:pPr>
              <w:spacing w:before="120" w:after="120"/>
              <w:rPr>
                <w:rFonts w:cs="Times New Roman"/>
                <w:color w:val="auto"/>
              </w:rPr>
            </w:pPr>
            <w:r w:rsidRPr="00DE12A3">
              <w:rPr>
                <w:rFonts w:cs="Times New Roman"/>
                <w:color w:val="auto"/>
              </w:rPr>
              <w:lastRenderedPageBreak/>
              <w:t xml:space="preserve">Denge </w:t>
            </w:r>
            <w:r w:rsidRPr="00DE12A3">
              <w:rPr>
                <w:rFonts w:cs="Times New Roman"/>
                <w:color w:val="auto"/>
                <w:vertAlign w:val="superscript"/>
              </w:rPr>
              <w:t>(1)</w:t>
            </w:r>
          </w:p>
        </w:tc>
        <w:tc>
          <w:tcPr>
            <w:tcW w:w="1579" w:type="dxa"/>
            <w:tcBorders>
              <w:top w:val="single" w:sz="2" w:space="0" w:color="auto"/>
              <w:left w:val="single" w:sz="2" w:space="0" w:color="auto"/>
              <w:bottom w:val="single" w:sz="2" w:space="0" w:color="auto"/>
              <w:right w:val="single" w:sz="2" w:space="0" w:color="auto"/>
            </w:tcBorders>
          </w:tcPr>
          <w:p w14:paraId="0B38B9BF" w14:textId="7C1DA15B" w:rsidR="0020097A" w:rsidRPr="00DE12A3" w:rsidRDefault="0020097A" w:rsidP="00C917D6">
            <w:pPr>
              <w:pStyle w:val="NormalLeft"/>
            </w:pPr>
            <w:r w:rsidRPr="00DE12A3">
              <w:t>% mol</w:t>
            </w:r>
          </w:p>
        </w:tc>
        <w:tc>
          <w:tcPr>
            <w:tcW w:w="1300" w:type="dxa"/>
            <w:tcBorders>
              <w:top w:val="single" w:sz="2" w:space="0" w:color="auto"/>
              <w:left w:val="single" w:sz="2" w:space="0" w:color="auto"/>
              <w:bottom w:val="single" w:sz="2" w:space="0" w:color="auto"/>
              <w:right w:val="single" w:sz="2" w:space="0" w:color="auto"/>
            </w:tcBorders>
          </w:tcPr>
          <w:p w14:paraId="1A3A9D5F" w14:textId="77777777" w:rsidR="0020097A" w:rsidRPr="00DE12A3" w:rsidRDefault="0020097A" w:rsidP="00C917D6">
            <w:pPr>
              <w:pStyle w:val="NormalLeft"/>
            </w:pPr>
            <w:r w:rsidRPr="00DE12A3">
              <w:t>—</w:t>
            </w:r>
          </w:p>
        </w:tc>
        <w:tc>
          <w:tcPr>
            <w:tcW w:w="1578" w:type="dxa"/>
            <w:tcBorders>
              <w:top w:val="single" w:sz="2" w:space="0" w:color="auto"/>
              <w:left w:val="single" w:sz="2" w:space="0" w:color="auto"/>
              <w:bottom w:val="single" w:sz="2" w:space="0" w:color="auto"/>
              <w:right w:val="single" w:sz="2" w:space="0" w:color="auto"/>
            </w:tcBorders>
          </w:tcPr>
          <w:p w14:paraId="55B3F5D7" w14:textId="77777777" w:rsidR="0020097A" w:rsidRPr="00DE12A3" w:rsidRDefault="0020097A" w:rsidP="00C917D6">
            <w:pPr>
              <w:pStyle w:val="NormalLeft"/>
            </w:pPr>
            <w:r w:rsidRPr="00DE12A3">
              <w:t>—</w:t>
            </w:r>
          </w:p>
        </w:tc>
        <w:tc>
          <w:tcPr>
            <w:tcW w:w="1486" w:type="dxa"/>
            <w:tcBorders>
              <w:top w:val="single" w:sz="2" w:space="0" w:color="auto"/>
              <w:left w:val="single" w:sz="2" w:space="0" w:color="auto"/>
              <w:bottom w:val="single" w:sz="2" w:space="0" w:color="auto"/>
              <w:right w:val="single" w:sz="2" w:space="0" w:color="auto"/>
            </w:tcBorders>
          </w:tcPr>
          <w:p w14:paraId="73EB1903" w14:textId="77777777" w:rsidR="0020097A" w:rsidRPr="00DE12A3" w:rsidRDefault="0020097A" w:rsidP="00C917D6">
            <w:pPr>
              <w:pStyle w:val="NormalLeft"/>
            </w:pPr>
            <w:r w:rsidRPr="00DE12A3">
              <w:t>1</w:t>
            </w:r>
          </w:p>
        </w:tc>
        <w:tc>
          <w:tcPr>
            <w:tcW w:w="1300" w:type="dxa"/>
            <w:tcBorders>
              <w:top w:val="single" w:sz="2" w:space="0" w:color="auto"/>
              <w:left w:val="single" w:sz="2" w:space="0" w:color="auto"/>
              <w:bottom w:val="single" w:sz="2" w:space="0" w:color="auto"/>
              <w:right w:val="single" w:sz="2" w:space="0" w:color="auto"/>
            </w:tcBorders>
          </w:tcPr>
          <w:p w14:paraId="1D2B751D" w14:textId="77777777" w:rsidR="0020097A" w:rsidRPr="00DE12A3" w:rsidRDefault="0020097A" w:rsidP="00C917D6">
            <w:pPr>
              <w:pStyle w:val="NormalLeft"/>
            </w:pPr>
            <w:r w:rsidRPr="00DE12A3">
              <w:t>ISO 6974</w:t>
            </w:r>
          </w:p>
        </w:tc>
      </w:tr>
      <w:tr w:rsidR="00DE12A3" w:rsidRPr="00DE12A3" w14:paraId="66A7A445" w14:textId="77777777" w:rsidTr="009F4766">
        <w:tc>
          <w:tcPr>
            <w:tcW w:w="2043" w:type="dxa"/>
            <w:tcBorders>
              <w:top w:val="single" w:sz="2" w:space="0" w:color="auto"/>
              <w:left w:val="single" w:sz="2" w:space="0" w:color="auto"/>
              <w:bottom w:val="single" w:sz="2" w:space="0" w:color="auto"/>
              <w:right w:val="single" w:sz="2" w:space="0" w:color="auto"/>
            </w:tcBorders>
          </w:tcPr>
          <w:p w14:paraId="412FEA9F" w14:textId="77777777" w:rsidR="0020097A" w:rsidRPr="00DE12A3" w:rsidRDefault="0020097A" w:rsidP="00C917D6">
            <w:pPr>
              <w:spacing w:before="120" w:after="120"/>
              <w:rPr>
                <w:rFonts w:cs="Times New Roman"/>
                <w:color w:val="auto"/>
              </w:rPr>
            </w:pPr>
            <w:r w:rsidRPr="00DE12A3">
              <w:rPr>
                <w:rFonts w:cs="Times New Roman"/>
                <w:color w:val="auto"/>
              </w:rPr>
              <w:t>N</w:t>
            </w:r>
            <w:r w:rsidRPr="00DE12A3">
              <w:rPr>
                <w:rFonts w:cs="Times New Roman"/>
                <w:color w:val="auto"/>
                <w:vertAlign w:val="subscript"/>
              </w:rPr>
              <w:t>2</w:t>
            </w:r>
          </w:p>
        </w:tc>
        <w:tc>
          <w:tcPr>
            <w:tcW w:w="1579" w:type="dxa"/>
            <w:tcBorders>
              <w:top w:val="single" w:sz="2" w:space="0" w:color="auto"/>
              <w:left w:val="single" w:sz="2" w:space="0" w:color="auto"/>
              <w:bottom w:val="single" w:sz="2" w:space="0" w:color="auto"/>
              <w:right w:val="single" w:sz="2" w:space="0" w:color="auto"/>
            </w:tcBorders>
          </w:tcPr>
          <w:p w14:paraId="6648B30C" w14:textId="77777777" w:rsidR="0020097A" w:rsidRPr="00DE12A3" w:rsidRDefault="0020097A" w:rsidP="00C917D6">
            <w:pPr>
              <w:pStyle w:val="NormalLeft"/>
            </w:pPr>
            <w:r w:rsidRPr="00DE12A3">
              <w:t>% mole</w:t>
            </w:r>
          </w:p>
        </w:tc>
        <w:tc>
          <w:tcPr>
            <w:tcW w:w="1300" w:type="dxa"/>
            <w:tcBorders>
              <w:top w:val="single" w:sz="2" w:space="0" w:color="auto"/>
              <w:left w:val="single" w:sz="2" w:space="0" w:color="auto"/>
              <w:bottom w:val="single" w:sz="2" w:space="0" w:color="auto"/>
              <w:right w:val="single" w:sz="2" w:space="0" w:color="auto"/>
            </w:tcBorders>
          </w:tcPr>
          <w:p w14:paraId="0E09B2AC" w14:textId="77777777" w:rsidR="0020097A" w:rsidRPr="00DE12A3" w:rsidRDefault="0020097A" w:rsidP="00C917D6">
            <w:pPr>
              <w:pStyle w:val="NormalLeft"/>
            </w:pPr>
          </w:p>
        </w:tc>
        <w:tc>
          <w:tcPr>
            <w:tcW w:w="1578" w:type="dxa"/>
            <w:tcBorders>
              <w:top w:val="single" w:sz="2" w:space="0" w:color="auto"/>
              <w:left w:val="single" w:sz="2" w:space="0" w:color="auto"/>
              <w:bottom w:val="single" w:sz="2" w:space="0" w:color="auto"/>
              <w:right w:val="single" w:sz="2" w:space="0" w:color="auto"/>
            </w:tcBorders>
          </w:tcPr>
          <w:p w14:paraId="251825C3" w14:textId="77777777" w:rsidR="0020097A" w:rsidRPr="00DE12A3" w:rsidRDefault="0020097A" w:rsidP="00C917D6">
            <w:pPr>
              <w:pStyle w:val="NormalLeft"/>
            </w:pPr>
          </w:p>
        </w:tc>
        <w:tc>
          <w:tcPr>
            <w:tcW w:w="1486" w:type="dxa"/>
            <w:tcBorders>
              <w:top w:val="single" w:sz="2" w:space="0" w:color="auto"/>
              <w:left w:val="single" w:sz="2" w:space="0" w:color="auto"/>
              <w:bottom w:val="single" w:sz="2" w:space="0" w:color="auto"/>
              <w:right w:val="single" w:sz="2" w:space="0" w:color="auto"/>
            </w:tcBorders>
          </w:tcPr>
          <w:p w14:paraId="2A6D62F0" w14:textId="77777777" w:rsidR="0020097A" w:rsidRPr="00DE12A3" w:rsidRDefault="0020097A" w:rsidP="00C917D6">
            <w:pPr>
              <w:pStyle w:val="NormalLeft"/>
            </w:pPr>
          </w:p>
        </w:tc>
        <w:tc>
          <w:tcPr>
            <w:tcW w:w="1300" w:type="dxa"/>
            <w:tcBorders>
              <w:top w:val="single" w:sz="2" w:space="0" w:color="auto"/>
              <w:left w:val="single" w:sz="2" w:space="0" w:color="auto"/>
              <w:bottom w:val="single" w:sz="2" w:space="0" w:color="auto"/>
              <w:right w:val="single" w:sz="2" w:space="0" w:color="auto"/>
            </w:tcBorders>
          </w:tcPr>
          <w:p w14:paraId="41795466" w14:textId="77777777" w:rsidR="0020097A" w:rsidRPr="00DE12A3" w:rsidRDefault="0020097A" w:rsidP="00C917D6">
            <w:pPr>
              <w:pStyle w:val="NormalLeft"/>
            </w:pPr>
            <w:r w:rsidRPr="00DE12A3">
              <w:t>ISO 6974</w:t>
            </w:r>
          </w:p>
        </w:tc>
      </w:tr>
      <w:tr w:rsidR="00DE12A3" w:rsidRPr="00DE12A3" w14:paraId="5E8CE4E1" w14:textId="77777777" w:rsidTr="009F4766">
        <w:tc>
          <w:tcPr>
            <w:tcW w:w="2043" w:type="dxa"/>
            <w:tcBorders>
              <w:top w:val="single" w:sz="2" w:space="0" w:color="auto"/>
              <w:left w:val="single" w:sz="2" w:space="0" w:color="auto"/>
              <w:bottom w:val="single" w:sz="2" w:space="0" w:color="auto"/>
              <w:right w:val="single" w:sz="2" w:space="0" w:color="auto"/>
            </w:tcBorders>
          </w:tcPr>
          <w:p w14:paraId="4855D564" w14:textId="77777777" w:rsidR="0020097A" w:rsidRPr="00DE12A3" w:rsidRDefault="0020097A" w:rsidP="00C917D6">
            <w:pPr>
              <w:spacing w:before="120" w:after="120"/>
              <w:rPr>
                <w:rFonts w:cs="Times New Roman"/>
                <w:color w:val="auto"/>
              </w:rPr>
            </w:pPr>
            <w:r w:rsidRPr="00DE12A3">
              <w:rPr>
                <w:rFonts w:cs="Times New Roman"/>
                <w:color w:val="auto"/>
              </w:rPr>
              <w:t>Kükürt içeriği</w:t>
            </w:r>
          </w:p>
        </w:tc>
        <w:tc>
          <w:tcPr>
            <w:tcW w:w="1579" w:type="dxa"/>
            <w:tcBorders>
              <w:top w:val="single" w:sz="2" w:space="0" w:color="auto"/>
              <w:left w:val="single" w:sz="2" w:space="0" w:color="auto"/>
              <w:bottom w:val="single" w:sz="2" w:space="0" w:color="auto"/>
              <w:right w:val="single" w:sz="2" w:space="0" w:color="auto"/>
            </w:tcBorders>
          </w:tcPr>
          <w:p w14:paraId="1FE82D81" w14:textId="77777777" w:rsidR="0020097A" w:rsidRPr="00DE12A3" w:rsidRDefault="0020097A" w:rsidP="00C917D6">
            <w:pPr>
              <w:pStyle w:val="NormalLeft"/>
            </w:pPr>
            <w:r w:rsidRPr="00DE12A3">
              <w:t>mg/m</w:t>
            </w:r>
            <w:r w:rsidRPr="00DE12A3">
              <w:rPr>
                <w:vertAlign w:val="superscript"/>
              </w:rPr>
              <w:t>3</w:t>
            </w:r>
            <w:r w:rsidR="006511CE" w:rsidRPr="00DE12A3">
              <w:rPr>
                <w:vertAlign w:val="superscript"/>
              </w:rPr>
              <w:t>(</w:t>
            </w:r>
            <w:r w:rsidR="001B58DB" w:rsidRPr="00DE12A3">
              <w:rPr>
                <w:rStyle w:val="DipnotBavurusu"/>
              </w:rPr>
              <w:t>2</w:t>
            </w:r>
            <w:r w:rsidR="006511CE" w:rsidRPr="00DE12A3">
              <w:rPr>
                <w:rStyle w:val="DipnotBavurusu"/>
              </w:rPr>
              <w:t>)</w:t>
            </w:r>
          </w:p>
        </w:tc>
        <w:tc>
          <w:tcPr>
            <w:tcW w:w="1300" w:type="dxa"/>
            <w:tcBorders>
              <w:top w:val="single" w:sz="2" w:space="0" w:color="auto"/>
              <w:left w:val="single" w:sz="2" w:space="0" w:color="auto"/>
              <w:bottom w:val="single" w:sz="2" w:space="0" w:color="auto"/>
              <w:right w:val="single" w:sz="2" w:space="0" w:color="auto"/>
            </w:tcBorders>
          </w:tcPr>
          <w:p w14:paraId="29266EFA" w14:textId="77777777" w:rsidR="0020097A" w:rsidRPr="00DE12A3" w:rsidRDefault="0020097A" w:rsidP="00C917D6">
            <w:pPr>
              <w:pStyle w:val="NormalLeft"/>
            </w:pPr>
            <w:r w:rsidRPr="00DE12A3">
              <w:t>—</w:t>
            </w:r>
          </w:p>
        </w:tc>
        <w:tc>
          <w:tcPr>
            <w:tcW w:w="1578" w:type="dxa"/>
            <w:tcBorders>
              <w:top w:val="single" w:sz="2" w:space="0" w:color="auto"/>
              <w:left w:val="single" w:sz="2" w:space="0" w:color="auto"/>
              <w:bottom w:val="single" w:sz="2" w:space="0" w:color="auto"/>
              <w:right w:val="single" w:sz="2" w:space="0" w:color="auto"/>
            </w:tcBorders>
          </w:tcPr>
          <w:p w14:paraId="427C40BD" w14:textId="77777777" w:rsidR="0020097A" w:rsidRPr="00DE12A3" w:rsidRDefault="0020097A" w:rsidP="00C917D6">
            <w:pPr>
              <w:pStyle w:val="NormalLeft"/>
            </w:pPr>
            <w:r w:rsidRPr="00DE12A3">
              <w:t>—</w:t>
            </w:r>
          </w:p>
        </w:tc>
        <w:tc>
          <w:tcPr>
            <w:tcW w:w="1486" w:type="dxa"/>
            <w:tcBorders>
              <w:top w:val="single" w:sz="2" w:space="0" w:color="auto"/>
              <w:left w:val="single" w:sz="2" w:space="0" w:color="auto"/>
              <w:bottom w:val="single" w:sz="2" w:space="0" w:color="auto"/>
              <w:right w:val="single" w:sz="2" w:space="0" w:color="auto"/>
            </w:tcBorders>
          </w:tcPr>
          <w:p w14:paraId="33CC7D49" w14:textId="77777777" w:rsidR="0020097A" w:rsidRPr="00DE12A3" w:rsidRDefault="0020097A" w:rsidP="00C917D6">
            <w:pPr>
              <w:pStyle w:val="NormalLeft"/>
            </w:pPr>
            <w:r w:rsidRPr="00DE12A3">
              <w:t>10</w:t>
            </w:r>
          </w:p>
        </w:tc>
        <w:tc>
          <w:tcPr>
            <w:tcW w:w="1300" w:type="dxa"/>
            <w:tcBorders>
              <w:top w:val="single" w:sz="2" w:space="0" w:color="auto"/>
              <w:left w:val="single" w:sz="2" w:space="0" w:color="auto"/>
              <w:bottom w:val="single" w:sz="2" w:space="0" w:color="auto"/>
              <w:right w:val="single" w:sz="2" w:space="0" w:color="auto"/>
            </w:tcBorders>
          </w:tcPr>
          <w:p w14:paraId="46EF1F34" w14:textId="77777777" w:rsidR="0020097A" w:rsidRPr="00DE12A3" w:rsidRDefault="0020097A" w:rsidP="00C917D6">
            <w:pPr>
              <w:pStyle w:val="NormalLeft"/>
            </w:pPr>
            <w:r w:rsidRPr="00DE12A3">
              <w:t>ISO 6326-5</w:t>
            </w:r>
          </w:p>
        </w:tc>
      </w:tr>
      <w:tr w:rsidR="00DE12A3" w:rsidRPr="00DE12A3" w14:paraId="5F672CB6" w14:textId="77777777" w:rsidTr="006511CE">
        <w:trPr>
          <w:trHeight w:val="52"/>
        </w:trPr>
        <w:tc>
          <w:tcPr>
            <w:tcW w:w="2043" w:type="dxa"/>
            <w:tcBorders>
              <w:top w:val="single" w:sz="2" w:space="0" w:color="auto"/>
              <w:left w:val="single" w:sz="2" w:space="0" w:color="auto"/>
              <w:bottom w:val="single" w:sz="2" w:space="0" w:color="auto"/>
              <w:right w:val="single" w:sz="2" w:space="0" w:color="auto"/>
            </w:tcBorders>
          </w:tcPr>
          <w:p w14:paraId="5E358785" w14:textId="54C95375" w:rsidR="0020097A" w:rsidRPr="00DE12A3" w:rsidRDefault="009F4766" w:rsidP="00C917D6">
            <w:pPr>
              <w:pStyle w:val="NormalLeft"/>
            </w:pPr>
            <w:r w:rsidRPr="00DE12A3">
              <w:t>Wobbe Inde</w:t>
            </w:r>
            <w:r w:rsidR="00AD20E2" w:rsidRPr="00DE12A3">
              <w:t>ksi</w:t>
            </w:r>
          </w:p>
          <w:p w14:paraId="469CD5DA" w14:textId="70C78BD0" w:rsidR="009F4766" w:rsidRPr="00DE12A3" w:rsidRDefault="009F4766" w:rsidP="00C917D6">
            <w:pPr>
              <w:pStyle w:val="NormalLeft"/>
            </w:pPr>
            <w:r w:rsidRPr="00DE12A3">
              <w:t xml:space="preserve"> (net)</w:t>
            </w:r>
          </w:p>
        </w:tc>
        <w:tc>
          <w:tcPr>
            <w:tcW w:w="1579" w:type="dxa"/>
            <w:tcBorders>
              <w:top w:val="single" w:sz="2" w:space="0" w:color="auto"/>
              <w:left w:val="single" w:sz="2" w:space="0" w:color="auto"/>
              <w:bottom w:val="single" w:sz="2" w:space="0" w:color="auto"/>
              <w:right w:val="single" w:sz="2" w:space="0" w:color="auto"/>
            </w:tcBorders>
          </w:tcPr>
          <w:p w14:paraId="09C4F28D" w14:textId="77777777" w:rsidR="009F4766" w:rsidRPr="00DE12A3" w:rsidRDefault="009F4766" w:rsidP="00C917D6">
            <w:pPr>
              <w:pStyle w:val="NormalLeft"/>
            </w:pPr>
            <w:r w:rsidRPr="00DE12A3">
              <w:t>MJ/m</w:t>
            </w:r>
            <w:r w:rsidRPr="00DE12A3">
              <w:rPr>
                <w:vertAlign w:val="superscript"/>
              </w:rPr>
              <w:t>3</w:t>
            </w:r>
            <w:r w:rsidR="006511CE" w:rsidRPr="00DE12A3">
              <w:rPr>
                <w:rStyle w:val="DipnotBavurusu"/>
              </w:rPr>
              <w:t>(</w:t>
            </w:r>
            <w:r w:rsidR="001B58DB" w:rsidRPr="00DE12A3">
              <w:rPr>
                <w:vertAlign w:val="superscript"/>
              </w:rPr>
              <w:t>3)</w:t>
            </w:r>
          </w:p>
        </w:tc>
        <w:tc>
          <w:tcPr>
            <w:tcW w:w="1300" w:type="dxa"/>
            <w:tcBorders>
              <w:top w:val="single" w:sz="2" w:space="0" w:color="auto"/>
              <w:left w:val="single" w:sz="2" w:space="0" w:color="auto"/>
              <w:bottom w:val="single" w:sz="2" w:space="0" w:color="auto"/>
              <w:right w:val="single" w:sz="2" w:space="0" w:color="auto"/>
            </w:tcBorders>
          </w:tcPr>
          <w:p w14:paraId="6399C358" w14:textId="77777777" w:rsidR="009F4766" w:rsidRPr="00DE12A3" w:rsidRDefault="009F4766" w:rsidP="00C917D6">
            <w:pPr>
              <w:pStyle w:val="NormalLeft"/>
            </w:pPr>
            <w:r w:rsidRPr="00DE12A3">
              <w:t>48,2</w:t>
            </w:r>
          </w:p>
        </w:tc>
        <w:tc>
          <w:tcPr>
            <w:tcW w:w="1578" w:type="dxa"/>
            <w:tcBorders>
              <w:top w:val="single" w:sz="2" w:space="0" w:color="auto"/>
              <w:left w:val="single" w:sz="2" w:space="0" w:color="auto"/>
              <w:bottom w:val="single" w:sz="2" w:space="0" w:color="auto"/>
              <w:right w:val="single" w:sz="2" w:space="0" w:color="auto"/>
            </w:tcBorders>
          </w:tcPr>
          <w:p w14:paraId="1CE7E2AF" w14:textId="77777777" w:rsidR="009F4766" w:rsidRPr="00DE12A3" w:rsidRDefault="009F4766" w:rsidP="00C917D6">
            <w:pPr>
              <w:pStyle w:val="NormalLeft"/>
            </w:pPr>
            <w:r w:rsidRPr="00DE12A3">
              <w:t>47,2</w:t>
            </w:r>
          </w:p>
        </w:tc>
        <w:tc>
          <w:tcPr>
            <w:tcW w:w="1486" w:type="dxa"/>
            <w:tcBorders>
              <w:top w:val="single" w:sz="2" w:space="0" w:color="auto"/>
              <w:left w:val="single" w:sz="2" w:space="0" w:color="auto"/>
              <w:bottom w:val="single" w:sz="2" w:space="0" w:color="auto"/>
              <w:right w:val="single" w:sz="2" w:space="0" w:color="auto"/>
            </w:tcBorders>
          </w:tcPr>
          <w:p w14:paraId="06F013A4" w14:textId="77777777" w:rsidR="009F4766" w:rsidRPr="00DE12A3" w:rsidRDefault="009F4766" w:rsidP="00C917D6">
            <w:pPr>
              <w:pStyle w:val="NormalLeft"/>
            </w:pPr>
            <w:r w:rsidRPr="00DE12A3">
              <w:t>49,2</w:t>
            </w:r>
          </w:p>
        </w:tc>
        <w:tc>
          <w:tcPr>
            <w:tcW w:w="1300" w:type="dxa"/>
            <w:tcBorders>
              <w:top w:val="single" w:sz="2" w:space="0" w:color="auto"/>
              <w:left w:val="single" w:sz="2" w:space="0" w:color="auto"/>
              <w:bottom w:val="single" w:sz="2" w:space="0" w:color="auto"/>
              <w:right w:val="single" w:sz="2" w:space="0" w:color="auto"/>
            </w:tcBorders>
          </w:tcPr>
          <w:p w14:paraId="432E39AB" w14:textId="77777777" w:rsidR="009F4766" w:rsidRPr="00DE12A3" w:rsidRDefault="009F4766" w:rsidP="00C917D6">
            <w:pPr>
              <w:pStyle w:val="NormalLeft"/>
            </w:pPr>
          </w:p>
        </w:tc>
      </w:tr>
    </w:tbl>
    <w:p w14:paraId="142B28EC" w14:textId="77777777" w:rsidR="006511CE" w:rsidRPr="00DE12A3" w:rsidRDefault="006511CE" w:rsidP="00C917D6">
      <w:pPr>
        <w:spacing w:before="120" w:after="120"/>
        <w:ind w:left="284" w:hanging="284"/>
        <w:rPr>
          <w:rFonts w:cs="Times New Roman"/>
          <w:color w:val="auto"/>
          <w:sz w:val="16"/>
          <w:szCs w:val="18"/>
        </w:rPr>
      </w:pPr>
      <w:r w:rsidRPr="00DE12A3">
        <w:rPr>
          <w:rStyle w:val="Tabloyazs7"/>
          <w:rFonts w:eastAsia="Courier New"/>
          <w:color w:val="auto"/>
          <w:sz w:val="16"/>
          <w:szCs w:val="18"/>
        </w:rPr>
        <w:t>(</w:t>
      </w:r>
      <w:r w:rsidRPr="00DE12A3">
        <w:rPr>
          <w:rStyle w:val="Tabloyazs7"/>
          <w:rFonts w:eastAsia="Courier New"/>
          <w:color w:val="auto"/>
          <w:sz w:val="16"/>
          <w:szCs w:val="18"/>
          <w:vertAlign w:val="superscript"/>
        </w:rPr>
        <w:t>1</w:t>
      </w:r>
      <w:r w:rsidRPr="00DE12A3">
        <w:rPr>
          <w:rStyle w:val="Tabloyazs7"/>
          <w:rFonts w:eastAsia="Courier New"/>
          <w:color w:val="auto"/>
          <w:sz w:val="16"/>
          <w:szCs w:val="18"/>
        </w:rPr>
        <w:t>)</w:t>
      </w:r>
      <w:r w:rsidRPr="00DE12A3">
        <w:rPr>
          <w:rStyle w:val="Tabloyazs7"/>
          <w:rFonts w:eastAsia="Courier New"/>
          <w:color w:val="auto"/>
          <w:sz w:val="16"/>
          <w:szCs w:val="18"/>
        </w:rPr>
        <w:tab/>
      </w:r>
      <w:r w:rsidRPr="00DE12A3">
        <w:rPr>
          <w:rStyle w:val="Tabloyazs50ptbolukbraklyor"/>
          <w:rFonts w:eastAsia="Courier New"/>
          <w:color w:val="auto"/>
          <w:sz w:val="16"/>
        </w:rPr>
        <w:t>Asal gazlar(inerts) (N</w:t>
      </w:r>
      <w:r w:rsidRPr="00DE12A3">
        <w:rPr>
          <w:rStyle w:val="Tabloyazs50ptbolukbraklyor"/>
          <w:rFonts w:eastAsia="Courier New"/>
          <w:color w:val="auto"/>
          <w:sz w:val="16"/>
          <w:vertAlign w:val="subscript"/>
        </w:rPr>
        <w:t>2</w:t>
      </w:r>
      <w:r w:rsidRPr="00DE12A3">
        <w:rPr>
          <w:rStyle w:val="Tabloyazs50ptbolukbraklyor"/>
          <w:rFonts w:eastAsia="Courier New"/>
          <w:color w:val="auto"/>
          <w:sz w:val="16"/>
        </w:rPr>
        <w:t xml:space="preserve">'den farklı) </w:t>
      </w:r>
      <w:r w:rsidRPr="00DE12A3">
        <w:rPr>
          <w:rStyle w:val="Tabloyazs7"/>
          <w:rFonts w:eastAsia="Courier New"/>
          <w:color w:val="auto"/>
          <w:sz w:val="16"/>
          <w:szCs w:val="18"/>
        </w:rPr>
        <w:t>+ C</w:t>
      </w:r>
      <w:r w:rsidRPr="00DE12A3">
        <w:rPr>
          <w:rStyle w:val="Tabloyazs7"/>
          <w:rFonts w:eastAsia="Courier New"/>
          <w:color w:val="auto"/>
          <w:sz w:val="16"/>
          <w:szCs w:val="18"/>
          <w:vertAlign w:val="subscript"/>
        </w:rPr>
        <w:t>2</w:t>
      </w:r>
      <w:r w:rsidRPr="00DE12A3">
        <w:rPr>
          <w:rStyle w:val="Tabloyazs7"/>
          <w:rFonts w:eastAsia="Courier New"/>
          <w:color w:val="auto"/>
          <w:sz w:val="16"/>
          <w:szCs w:val="18"/>
        </w:rPr>
        <w:t xml:space="preserve"> + C</w:t>
      </w:r>
      <w:r w:rsidRPr="00DE12A3">
        <w:rPr>
          <w:rStyle w:val="Tabloyazs7"/>
          <w:rFonts w:eastAsia="Courier New"/>
          <w:color w:val="auto"/>
          <w:sz w:val="16"/>
          <w:szCs w:val="18"/>
          <w:vertAlign w:val="subscript"/>
        </w:rPr>
        <w:t>2</w:t>
      </w:r>
      <w:r w:rsidRPr="00DE12A3">
        <w:rPr>
          <w:rStyle w:val="Tabloyazs7"/>
          <w:rFonts w:eastAsia="Courier New"/>
          <w:color w:val="auto"/>
          <w:sz w:val="16"/>
          <w:szCs w:val="18"/>
        </w:rPr>
        <w:t>+.</w:t>
      </w:r>
    </w:p>
    <w:p w14:paraId="56CDA14D" w14:textId="77777777" w:rsidR="006511CE" w:rsidRPr="00DE12A3" w:rsidRDefault="006511CE" w:rsidP="00C917D6">
      <w:pPr>
        <w:spacing w:before="120" w:after="120"/>
        <w:ind w:left="284" w:hanging="284"/>
        <w:rPr>
          <w:rFonts w:cs="Times New Roman"/>
          <w:color w:val="auto"/>
          <w:sz w:val="16"/>
          <w:szCs w:val="18"/>
        </w:rPr>
      </w:pPr>
      <w:r w:rsidRPr="00DE12A3">
        <w:rPr>
          <w:rStyle w:val="Tabloyazs50ptbolukbraklyor"/>
          <w:rFonts w:eastAsia="Courier New"/>
          <w:color w:val="auto"/>
          <w:sz w:val="16"/>
        </w:rPr>
        <w:t>(</w:t>
      </w:r>
      <w:r w:rsidRPr="00DE12A3">
        <w:rPr>
          <w:rStyle w:val="Tabloyazs50ptbolukbraklyor"/>
          <w:rFonts w:eastAsia="Courier New"/>
          <w:color w:val="auto"/>
          <w:sz w:val="16"/>
          <w:vertAlign w:val="superscript"/>
        </w:rPr>
        <w:t>2</w:t>
      </w:r>
      <w:r w:rsidRPr="00DE12A3">
        <w:rPr>
          <w:rStyle w:val="Tabloyazs50ptbolukbraklyor"/>
          <w:rFonts w:eastAsia="Courier New"/>
          <w:color w:val="auto"/>
          <w:sz w:val="16"/>
        </w:rPr>
        <w:t>)</w:t>
      </w:r>
      <w:r w:rsidRPr="00DE12A3">
        <w:rPr>
          <w:rStyle w:val="Tabloyazs50ptbolukbraklyor"/>
          <w:rFonts w:eastAsia="Courier New"/>
          <w:color w:val="auto"/>
          <w:sz w:val="16"/>
        </w:rPr>
        <w:tab/>
        <w:t>293,2 K (20 °C) ve 101,3 kPa altında belirlenecek değer</w:t>
      </w:r>
      <w:r w:rsidRPr="00DE12A3">
        <w:rPr>
          <w:rStyle w:val="Tabloyazs7"/>
          <w:rFonts w:eastAsia="Courier New"/>
          <w:color w:val="auto"/>
          <w:sz w:val="16"/>
          <w:szCs w:val="18"/>
        </w:rPr>
        <w:t>.</w:t>
      </w:r>
    </w:p>
    <w:p w14:paraId="29B1F053" w14:textId="324B9F01" w:rsidR="006511CE" w:rsidRPr="00DE12A3" w:rsidRDefault="006511CE" w:rsidP="00C917D6">
      <w:pPr>
        <w:spacing w:before="120" w:after="120"/>
        <w:ind w:left="284" w:hanging="284"/>
        <w:rPr>
          <w:rStyle w:val="Tabloyazs7"/>
          <w:rFonts w:eastAsia="Courier New"/>
          <w:color w:val="auto"/>
          <w:sz w:val="16"/>
          <w:szCs w:val="18"/>
        </w:rPr>
      </w:pPr>
      <w:r w:rsidRPr="00DE12A3">
        <w:rPr>
          <w:rStyle w:val="Tabloyazs50ptbolukbraklyor"/>
          <w:rFonts w:eastAsia="Courier New"/>
          <w:color w:val="auto"/>
          <w:sz w:val="16"/>
        </w:rPr>
        <w:t>(</w:t>
      </w:r>
      <w:r w:rsidRPr="00DE12A3">
        <w:rPr>
          <w:rStyle w:val="Tabloyazs50ptbolukbraklyor"/>
          <w:rFonts w:eastAsia="Courier New"/>
          <w:color w:val="auto"/>
          <w:sz w:val="16"/>
          <w:vertAlign w:val="superscript"/>
        </w:rPr>
        <w:t>3</w:t>
      </w:r>
      <w:r w:rsidRPr="00DE12A3">
        <w:rPr>
          <w:rStyle w:val="Tabloyazs50ptbolukbraklyor"/>
          <w:rFonts w:eastAsia="Courier New"/>
          <w:color w:val="auto"/>
          <w:sz w:val="16"/>
        </w:rPr>
        <w:t>)</w:t>
      </w:r>
      <w:r w:rsidRPr="00DE12A3">
        <w:rPr>
          <w:rStyle w:val="Tabloyazs50ptbolukbraklyor"/>
          <w:rFonts w:eastAsia="Courier New"/>
          <w:color w:val="auto"/>
          <w:sz w:val="16"/>
        </w:rPr>
        <w:tab/>
        <w:t>273,2 K (0 °C) ve 101,3 kPa altında belirlenecek değer</w:t>
      </w:r>
      <w:r w:rsidRPr="00DE12A3">
        <w:rPr>
          <w:rStyle w:val="Tabloyazs7"/>
          <w:rFonts w:eastAsia="Courier New"/>
          <w:color w:val="auto"/>
          <w:sz w:val="16"/>
          <w:szCs w:val="18"/>
        </w:rPr>
        <w:t>.</w:t>
      </w:r>
    </w:p>
    <w:p w14:paraId="1A1FA755" w14:textId="77777777" w:rsidR="00AD20E2" w:rsidRPr="00DE12A3" w:rsidRDefault="00AD20E2" w:rsidP="00C917D6">
      <w:pPr>
        <w:spacing w:before="120" w:after="120"/>
        <w:ind w:left="284" w:hanging="284"/>
        <w:rPr>
          <w:rFonts w:cs="Times New Roman"/>
          <w:color w:val="auto"/>
          <w:sz w:val="16"/>
          <w:szCs w:val="18"/>
        </w:rPr>
      </w:pPr>
    </w:p>
    <w:p w14:paraId="2A5D6277" w14:textId="792DFE9D" w:rsidR="006511CE" w:rsidRPr="00DE12A3" w:rsidRDefault="009F4766" w:rsidP="004E755A">
      <w:pPr>
        <w:spacing w:before="120" w:after="120"/>
        <w:rPr>
          <w:bCs/>
          <w:color w:val="auto"/>
        </w:rPr>
      </w:pPr>
      <w:r w:rsidRPr="00DE12A3">
        <w:rPr>
          <w:bCs/>
          <w:color w:val="auto"/>
        </w:rPr>
        <w:t>3.2.2.</w:t>
      </w:r>
      <w:r w:rsidR="004E755A" w:rsidRPr="00DE12A3">
        <w:rPr>
          <w:bCs/>
          <w:color w:val="auto"/>
        </w:rPr>
        <w:t xml:space="preserve"> </w:t>
      </w:r>
      <w:r w:rsidR="006511CE" w:rsidRPr="00DE12A3">
        <w:rPr>
          <w:bCs/>
          <w:color w:val="auto"/>
        </w:rPr>
        <w:t>Yerinde ölçümle belirlenen gaz özelliklerine sahip diğer gazların karışımı ile birlikte bir boru hattından beslenen referans yakıta ilişkin şartname</w:t>
      </w:r>
    </w:p>
    <w:p w14:paraId="5B973F8D" w14:textId="10CAEB14" w:rsidR="006511CE" w:rsidRPr="00DE12A3" w:rsidRDefault="006511CE" w:rsidP="004E755A">
      <w:pPr>
        <w:jc w:val="both"/>
        <w:rPr>
          <w:color w:val="auto"/>
        </w:rPr>
      </w:pPr>
      <w:r w:rsidRPr="00DE12A3">
        <w:rPr>
          <w:color w:val="auto"/>
        </w:rPr>
        <w:t>Bu bentte belirtilen referans yakıtlara alternatif olarak, 3.2.1 bendindeki denk referans yakıtlar kullanılabilir.</w:t>
      </w:r>
    </w:p>
    <w:p w14:paraId="53A915B6" w14:textId="77777777" w:rsidR="004E755A" w:rsidRPr="00DE12A3" w:rsidRDefault="004E755A" w:rsidP="004E755A">
      <w:pPr>
        <w:jc w:val="both"/>
        <w:rPr>
          <w:color w:val="auto"/>
        </w:rPr>
      </w:pPr>
    </w:p>
    <w:p w14:paraId="546DF9A2" w14:textId="61C3CE83" w:rsidR="006511CE" w:rsidRPr="00DE12A3" w:rsidRDefault="006511CE" w:rsidP="004E755A">
      <w:pPr>
        <w:jc w:val="both"/>
        <w:rPr>
          <w:color w:val="auto"/>
        </w:rPr>
      </w:pPr>
      <w:r w:rsidRPr="00DE12A3">
        <w:rPr>
          <w:color w:val="auto"/>
        </w:rPr>
        <w:t>3.2.2.1. Her boru hattı referans yakıtının (G</w:t>
      </w:r>
      <w:r w:rsidRPr="00DE12A3">
        <w:rPr>
          <w:color w:val="auto"/>
          <w:vertAlign w:val="subscript"/>
        </w:rPr>
        <w:t>R</w:t>
      </w:r>
      <w:r w:rsidRPr="00DE12A3">
        <w:rPr>
          <w:color w:val="auto"/>
        </w:rPr>
        <w:t>, G</w:t>
      </w:r>
      <w:r w:rsidRPr="00DE12A3">
        <w:rPr>
          <w:color w:val="auto"/>
          <w:vertAlign w:val="subscript"/>
        </w:rPr>
        <w:t>20</w:t>
      </w:r>
      <w:r w:rsidRPr="00DE12A3">
        <w:rPr>
          <w:color w:val="auto"/>
        </w:rPr>
        <w:t>, ...) temeli, bir şebeke gazı dağıtım ağından çekilen, Tablo 9.1 içindeki ilgili lambda kayması S</w:t>
      </w:r>
      <w:r w:rsidRPr="00DE12A3">
        <w:rPr>
          <w:color w:val="auto"/>
          <w:vertAlign w:val="subscript"/>
        </w:rPr>
        <w:t>λ</w:t>
      </w:r>
      <w:r w:rsidRPr="00DE12A3">
        <w:rPr>
          <w:color w:val="auto"/>
        </w:rPr>
        <w:t xml:space="preserve"> şartını sağlamak için, aşağıdaki ticari </w:t>
      </w:r>
      <w:r w:rsidR="00AD4BD7" w:rsidRPr="00DE12A3">
        <w:rPr>
          <w:color w:val="auto"/>
        </w:rPr>
        <w:t>olarak</w:t>
      </w:r>
      <w:r w:rsidR="009E122C" w:rsidRPr="00DE12A3">
        <w:rPr>
          <w:rStyle w:val="DipnotBavurusu"/>
          <w:color w:val="auto"/>
        </w:rPr>
        <w:t>1</w:t>
      </w:r>
      <w:r w:rsidR="00F253D4" w:rsidRPr="00DE12A3">
        <w:rPr>
          <w:color w:val="auto"/>
        </w:rPr>
        <w:t xml:space="preserve"> </w:t>
      </w:r>
      <w:r w:rsidR="00AD4BD7" w:rsidRPr="00DE12A3">
        <w:rPr>
          <w:color w:val="auto"/>
        </w:rPr>
        <w:t>bulunabilen</w:t>
      </w:r>
      <w:r w:rsidRPr="00DE12A3">
        <w:rPr>
          <w:color w:val="auto"/>
        </w:rPr>
        <w:t xml:space="preserve"> gazlardan biri veya birkaçının bir karışımı ile harmanlanmış </w:t>
      </w:r>
      <w:r w:rsidR="00AD4BD7" w:rsidRPr="00DE12A3">
        <w:rPr>
          <w:color w:val="auto"/>
        </w:rPr>
        <w:t>gaz</w:t>
      </w:r>
      <w:r w:rsidR="004E755A" w:rsidRPr="00DE12A3">
        <w:rPr>
          <w:color w:val="auto"/>
        </w:rPr>
        <w:t>lar</w:t>
      </w:r>
      <w:r w:rsidR="00AD4BD7" w:rsidRPr="00DE12A3">
        <w:rPr>
          <w:color w:val="auto"/>
        </w:rPr>
        <w:t>:</w:t>
      </w:r>
    </w:p>
    <w:p w14:paraId="1A0EADE5" w14:textId="17C41480" w:rsidR="006511CE" w:rsidRPr="00DE12A3" w:rsidRDefault="006511CE" w:rsidP="004E755A">
      <w:pPr>
        <w:jc w:val="both"/>
        <w:rPr>
          <w:color w:val="auto"/>
        </w:rPr>
      </w:pPr>
      <w:r w:rsidRPr="00DE12A3">
        <w:rPr>
          <w:color w:val="auto"/>
        </w:rPr>
        <w:t>(a)</w:t>
      </w:r>
      <w:r w:rsidR="005F4B63" w:rsidRPr="00DE12A3">
        <w:rPr>
          <w:color w:val="auto"/>
        </w:rPr>
        <w:t xml:space="preserve"> </w:t>
      </w:r>
      <w:r w:rsidRPr="00DE12A3">
        <w:rPr>
          <w:color w:val="auto"/>
        </w:rPr>
        <w:t>Karbon dioksit</w:t>
      </w:r>
      <w:r w:rsidR="00C13CC7" w:rsidRPr="00DE12A3">
        <w:rPr>
          <w:color w:val="auto"/>
        </w:rPr>
        <w:t>.</w:t>
      </w:r>
    </w:p>
    <w:p w14:paraId="4031EF33" w14:textId="58533077" w:rsidR="006511CE" w:rsidRPr="00DE12A3" w:rsidRDefault="006511CE" w:rsidP="004E755A">
      <w:pPr>
        <w:jc w:val="both"/>
        <w:rPr>
          <w:color w:val="auto"/>
        </w:rPr>
      </w:pPr>
      <w:r w:rsidRPr="00DE12A3">
        <w:rPr>
          <w:color w:val="auto"/>
        </w:rPr>
        <w:t>(b)</w:t>
      </w:r>
      <w:r w:rsidR="005F4B63" w:rsidRPr="00DE12A3">
        <w:rPr>
          <w:color w:val="auto"/>
        </w:rPr>
        <w:t xml:space="preserve"> </w:t>
      </w:r>
      <w:r w:rsidRPr="00DE12A3">
        <w:rPr>
          <w:color w:val="auto"/>
        </w:rPr>
        <w:t>Etan</w:t>
      </w:r>
      <w:r w:rsidR="00C13CC7" w:rsidRPr="00DE12A3">
        <w:rPr>
          <w:color w:val="auto"/>
        </w:rPr>
        <w:t>.</w:t>
      </w:r>
    </w:p>
    <w:p w14:paraId="56B25C88" w14:textId="0A772764" w:rsidR="006511CE" w:rsidRPr="00DE12A3" w:rsidRDefault="006511CE" w:rsidP="004E755A">
      <w:pPr>
        <w:jc w:val="both"/>
        <w:rPr>
          <w:color w:val="auto"/>
        </w:rPr>
      </w:pPr>
      <w:r w:rsidRPr="00DE12A3">
        <w:rPr>
          <w:color w:val="auto"/>
        </w:rPr>
        <w:t>(c)</w:t>
      </w:r>
      <w:r w:rsidR="005F4B63" w:rsidRPr="00DE12A3">
        <w:rPr>
          <w:color w:val="auto"/>
        </w:rPr>
        <w:t xml:space="preserve"> </w:t>
      </w:r>
      <w:r w:rsidRPr="00DE12A3">
        <w:rPr>
          <w:color w:val="auto"/>
        </w:rPr>
        <w:t>Metan</w:t>
      </w:r>
      <w:r w:rsidR="00C13CC7" w:rsidRPr="00DE12A3">
        <w:rPr>
          <w:color w:val="auto"/>
        </w:rPr>
        <w:t>.</w:t>
      </w:r>
    </w:p>
    <w:p w14:paraId="1394A18E" w14:textId="182ED8DC" w:rsidR="006511CE" w:rsidRPr="00DE12A3" w:rsidRDefault="006511CE" w:rsidP="004E755A">
      <w:pPr>
        <w:jc w:val="both"/>
        <w:rPr>
          <w:color w:val="auto"/>
        </w:rPr>
      </w:pPr>
      <w:r w:rsidRPr="00DE12A3">
        <w:rPr>
          <w:color w:val="auto"/>
        </w:rPr>
        <w:t>(d)</w:t>
      </w:r>
      <w:r w:rsidR="005F4B63" w:rsidRPr="00DE12A3">
        <w:rPr>
          <w:color w:val="auto"/>
        </w:rPr>
        <w:t xml:space="preserve"> </w:t>
      </w:r>
      <w:r w:rsidRPr="00DE12A3">
        <w:rPr>
          <w:color w:val="auto"/>
        </w:rPr>
        <w:t>Nitrojen</w:t>
      </w:r>
      <w:r w:rsidR="00C13CC7" w:rsidRPr="00DE12A3">
        <w:rPr>
          <w:color w:val="auto"/>
        </w:rPr>
        <w:t>.</w:t>
      </w:r>
    </w:p>
    <w:p w14:paraId="48067763" w14:textId="107E163D" w:rsidR="006511CE" w:rsidRPr="00DE12A3" w:rsidRDefault="006511CE" w:rsidP="004E755A">
      <w:pPr>
        <w:jc w:val="both"/>
        <w:rPr>
          <w:color w:val="auto"/>
        </w:rPr>
      </w:pPr>
      <w:r w:rsidRPr="00DE12A3">
        <w:rPr>
          <w:color w:val="auto"/>
        </w:rPr>
        <w:t>(e)</w:t>
      </w:r>
      <w:r w:rsidR="005F4B63" w:rsidRPr="00DE12A3">
        <w:rPr>
          <w:color w:val="auto"/>
        </w:rPr>
        <w:t xml:space="preserve"> </w:t>
      </w:r>
      <w:r w:rsidRPr="00DE12A3">
        <w:rPr>
          <w:color w:val="auto"/>
        </w:rPr>
        <w:t>Propan.</w:t>
      </w:r>
    </w:p>
    <w:p w14:paraId="3B1EF0A6" w14:textId="2B10D781" w:rsidR="00AD4BD7" w:rsidRPr="00DE12A3" w:rsidRDefault="009F4766" w:rsidP="005F4B63">
      <w:pPr>
        <w:spacing w:before="120" w:after="120"/>
        <w:jc w:val="both"/>
        <w:rPr>
          <w:rFonts w:cs="Times New Roman"/>
          <w:color w:val="auto"/>
        </w:rPr>
      </w:pPr>
      <w:r w:rsidRPr="00DE12A3">
        <w:rPr>
          <w:rFonts w:cs="Times New Roman"/>
          <w:color w:val="auto"/>
        </w:rPr>
        <w:t>3.2.2.2.</w:t>
      </w:r>
      <w:r w:rsidR="005F4B63" w:rsidRPr="00DE12A3">
        <w:rPr>
          <w:rFonts w:cs="Times New Roman"/>
          <w:color w:val="auto"/>
        </w:rPr>
        <w:t xml:space="preserve"> </w:t>
      </w:r>
      <w:r w:rsidR="00AD4BD7" w:rsidRPr="00DE12A3">
        <w:rPr>
          <w:rFonts w:cs="Times New Roman"/>
          <w:color w:val="auto"/>
        </w:rPr>
        <w:t>Elde edilen boru hattı gazı ve karışım gazı karışımının S</w:t>
      </w:r>
      <w:r w:rsidR="00AD4BD7" w:rsidRPr="00DE12A3">
        <w:rPr>
          <w:rFonts w:cs="Times New Roman"/>
          <w:color w:val="auto"/>
          <w:vertAlign w:val="subscript"/>
        </w:rPr>
        <w:t>λ</w:t>
      </w:r>
      <w:r w:rsidR="00AD4BD7" w:rsidRPr="00DE12A3">
        <w:rPr>
          <w:rFonts w:cs="Times New Roman"/>
          <w:color w:val="auto"/>
        </w:rPr>
        <w:t xml:space="preserve"> değeri, belirtilen referans yakıt için Tablo 9.1'de belirtilen aralık dahilinde olmalıdır.</w:t>
      </w:r>
    </w:p>
    <w:p w14:paraId="35F7E269" w14:textId="77777777" w:rsidR="00BF28FA" w:rsidRPr="00DE12A3" w:rsidRDefault="00BF28FA" w:rsidP="00C917D6">
      <w:pPr>
        <w:spacing w:before="120" w:after="120"/>
        <w:rPr>
          <w:rFonts w:cs="Times New Roman"/>
          <w:color w:val="auto"/>
          <w:sz w:val="20"/>
          <w:szCs w:val="20"/>
        </w:rPr>
      </w:pPr>
    </w:p>
    <w:p w14:paraId="01B5B24F" w14:textId="39F4FD3F" w:rsidR="00BF28FA" w:rsidRPr="00DE12A3" w:rsidRDefault="004940FF" w:rsidP="004940FF">
      <w:pPr>
        <w:spacing w:before="120" w:after="120"/>
        <w:jc w:val="center"/>
        <w:rPr>
          <w:iCs/>
          <w:color w:val="auto"/>
        </w:rPr>
      </w:pPr>
      <w:r w:rsidRPr="00DE12A3">
        <w:rPr>
          <w:iCs/>
          <w:color w:val="auto"/>
        </w:rPr>
        <w:t>Tablo 9.1</w:t>
      </w:r>
    </w:p>
    <w:p w14:paraId="06A41EF9" w14:textId="3D9F39AE" w:rsidR="004940FF" w:rsidRPr="00DE12A3" w:rsidRDefault="004940FF" w:rsidP="004940FF">
      <w:pPr>
        <w:spacing w:before="120" w:after="120"/>
        <w:jc w:val="center"/>
        <w:rPr>
          <w:rFonts w:cs="Times New Roman"/>
          <w:color w:val="auto"/>
        </w:rPr>
      </w:pPr>
      <w:r w:rsidRPr="00DE12A3">
        <w:rPr>
          <w:b/>
          <w:iCs/>
          <w:color w:val="auto"/>
        </w:rPr>
        <w:t>Her referans yakıt için gereken S</w:t>
      </w:r>
      <w:r w:rsidRPr="00DE12A3">
        <w:rPr>
          <w:b/>
          <w:iCs/>
          <w:color w:val="auto"/>
          <w:vertAlign w:val="subscript"/>
        </w:rPr>
        <w:t>λ</w:t>
      </w:r>
      <w:r w:rsidRPr="00DE12A3">
        <w:rPr>
          <w:b/>
          <w:iCs/>
          <w:color w:val="auto"/>
        </w:rPr>
        <w:t xml:space="preserve"> aralığı</w:t>
      </w:r>
    </w:p>
    <w:tbl>
      <w:tblPr>
        <w:tblW w:w="0" w:type="auto"/>
        <w:tblInd w:w="2043" w:type="dxa"/>
        <w:tblLayout w:type="fixed"/>
        <w:tblLook w:val="0000" w:firstRow="0" w:lastRow="0" w:firstColumn="0" w:lastColumn="0" w:noHBand="0" w:noVBand="0"/>
      </w:tblPr>
      <w:tblGrid>
        <w:gridCol w:w="1820"/>
        <w:gridCol w:w="1664"/>
        <w:gridCol w:w="1716"/>
      </w:tblGrid>
      <w:tr w:rsidR="00DE12A3" w:rsidRPr="00DE12A3" w14:paraId="464C01CA" w14:textId="77777777" w:rsidTr="009F4766">
        <w:tc>
          <w:tcPr>
            <w:tcW w:w="1820" w:type="dxa"/>
            <w:tcBorders>
              <w:top w:val="single" w:sz="2" w:space="0" w:color="auto"/>
              <w:left w:val="single" w:sz="2" w:space="0" w:color="auto"/>
              <w:bottom w:val="single" w:sz="2" w:space="0" w:color="auto"/>
              <w:right w:val="single" w:sz="2" w:space="0" w:color="auto"/>
            </w:tcBorders>
          </w:tcPr>
          <w:p w14:paraId="7BE807D5" w14:textId="77777777" w:rsidR="00AD4BD7" w:rsidRPr="00DE12A3" w:rsidRDefault="00AD4BD7" w:rsidP="00C917D6">
            <w:pPr>
              <w:spacing w:before="120" w:after="120"/>
              <w:rPr>
                <w:rFonts w:cs="Times New Roman"/>
                <w:color w:val="auto"/>
              </w:rPr>
            </w:pPr>
            <w:r w:rsidRPr="00DE12A3">
              <w:rPr>
                <w:rFonts w:cs="Times New Roman"/>
                <w:color w:val="auto"/>
              </w:rPr>
              <w:t>Referans yakıt</w:t>
            </w:r>
          </w:p>
        </w:tc>
        <w:tc>
          <w:tcPr>
            <w:tcW w:w="1664" w:type="dxa"/>
            <w:tcBorders>
              <w:top w:val="single" w:sz="2" w:space="0" w:color="auto"/>
              <w:left w:val="single" w:sz="2" w:space="0" w:color="auto"/>
              <w:bottom w:val="single" w:sz="2" w:space="0" w:color="auto"/>
              <w:right w:val="single" w:sz="2" w:space="0" w:color="auto"/>
            </w:tcBorders>
          </w:tcPr>
          <w:p w14:paraId="0F816AE5" w14:textId="77777777" w:rsidR="00AD4BD7" w:rsidRPr="00DE12A3" w:rsidRDefault="00AD4BD7" w:rsidP="00C917D6">
            <w:pPr>
              <w:spacing w:before="120" w:after="120"/>
              <w:rPr>
                <w:rFonts w:cs="Times New Roman"/>
                <w:color w:val="auto"/>
              </w:rPr>
            </w:pPr>
            <w:r w:rsidRPr="00DE12A3">
              <w:rPr>
                <w:rFonts w:cs="Times New Roman"/>
                <w:color w:val="auto"/>
              </w:rPr>
              <w:t>Asgari S</w:t>
            </w:r>
            <w:r w:rsidRPr="00DE12A3">
              <w:rPr>
                <w:rFonts w:cs="Times New Roman"/>
                <w:color w:val="auto"/>
                <w:vertAlign w:val="subscript"/>
              </w:rPr>
              <w:t>λ</w:t>
            </w:r>
          </w:p>
        </w:tc>
        <w:tc>
          <w:tcPr>
            <w:tcW w:w="1716" w:type="dxa"/>
            <w:tcBorders>
              <w:top w:val="single" w:sz="2" w:space="0" w:color="auto"/>
              <w:left w:val="single" w:sz="2" w:space="0" w:color="auto"/>
              <w:bottom w:val="single" w:sz="2" w:space="0" w:color="auto"/>
              <w:right w:val="single" w:sz="2" w:space="0" w:color="auto"/>
            </w:tcBorders>
          </w:tcPr>
          <w:p w14:paraId="72EE980C" w14:textId="77777777" w:rsidR="00AD4BD7" w:rsidRPr="00DE12A3" w:rsidRDefault="00AD4BD7" w:rsidP="00C917D6">
            <w:pPr>
              <w:spacing w:before="120" w:after="120"/>
              <w:rPr>
                <w:rFonts w:cs="Times New Roman"/>
                <w:color w:val="auto"/>
              </w:rPr>
            </w:pPr>
            <w:r w:rsidRPr="00DE12A3">
              <w:rPr>
                <w:rFonts w:cs="Times New Roman"/>
                <w:color w:val="auto"/>
              </w:rPr>
              <w:t>Azami S</w:t>
            </w:r>
            <w:r w:rsidRPr="00DE12A3">
              <w:rPr>
                <w:rFonts w:cs="Times New Roman"/>
                <w:color w:val="auto"/>
                <w:vertAlign w:val="subscript"/>
              </w:rPr>
              <w:t>λ</w:t>
            </w:r>
          </w:p>
        </w:tc>
      </w:tr>
      <w:tr w:rsidR="00DE12A3" w:rsidRPr="00DE12A3" w14:paraId="059937D5" w14:textId="77777777" w:rsidTr="009F4766">
        <w:tc>
          <w:tcPr>
            <w:tcW w:w="1820" w:type="dxa"/>
            <w:tcBorders>
              <w:top w:val="single" w:sz="2" w:space="0" w:color="auto"/>
              <w:left w:val="single" w:sz="2" w:space="0" w:color="auto"/>
              <w:bottom w:val="single" w:sz="2" w:space="0" w:color="auto"/>
              <w:right w:val="single" w:sz="2" w:space="0" w:color="auto"/>
            </w:tcBorders>
          </w:tcPr>
          <w:p w14:paraId="6CED7EEB" w14:textId="77777777" w:rsidR="009F4766" w:rsidRPr="00DE12A3" w:rsidRDefault="009F4766" w:rsidP="00C917D6">
            <w:pPr>
              <w:pStyle w:val="NormalLeft"/>
            </w:pPr>
            <w:r w:rsidRPr="00DE12A3">
              <w:t>G</w:t>
            </w:r>
            <w:r w:rsidRPr="00DE12A3">
              <w:rPr>
                <w:vertAlign w:val="subscript"/>
              </w:rPr>
              <w:t>R</w:t>
            </w:r>
            <w:r w:rsidR="00AD4BD7" w:rsidRPr="00DE12A3">
              <w:rPr>
                <w:vertAlign w:val="superscript"/>
              </w:rPr>
              <w:t>(</w:t>
            </w:r>
            <w:r w:rsidR="00AD4BD7" w:rsidRPr="00DE12A3">
              <w:rPr>
                <w:rStyle w:val="DipnotBavurusu"/>
              </w:rPr>
              <w:t>1</w:t>
            </w:r>
            <w:r w:rsidR="00AD4BD7" w:rsidRPr="00DE12A3">
              <w:rPr>
                <w:vertAlign w:val="superscript"/>
              </w:rPr>
              <w:t>)</w:t>
            </w:r>
          </w:p>
        </w:tc>
        <w:tc>
          <w:tcPr>
            <w:tcW w:w="1664" w:type="dxa"/>
            <w:tcBorders>
              <w:top w:val="single" w:sz="2" w:space="0" w:color="auto"/>
              <w:left w:val="single" w:sz="2" w:space="0" w:color="auto"/>
              <w:bottom w:val="single" w:sz="2" w:space="0" w:color="auto"/>
              <w:right w:val="single" w:sz="2" w:space="0" w:color="auto"/>
            </w:tcBorders>
          </w:tcPr>
          <w:p w14:paraId="6E2AE3B8" w14:textId="77777777" w:rsidR="009F4766" w:rsidRPr="00DE12A3" w:rsidRDefault="009F4766" w:rsidP="00C917D6">
            <w:pPr>
              <w:pStyle w:val="NormalLeft"/>
            </w:pPr>
            <w:r w:rsidRPr="00DE12A3">
              <w:t>0,87</w:t>
            </w:r>
          </w:p>
        </w:tc>
        <w:tc>
          <w:tcPr>
            <w:tcW w:w="1716" w:type="dxa"/>
            <w:tcBorders>
              <w:top w:val="single" w:sz="2" w:space="0" w:color="auto"/>
              <w:left w:val="single" w:sz="2" w:space="0" w:color="auto"/>
              <w:bottom w:val="single" w:sz="2" w:space="0" w:color="auto"/>
              <w:right w:val="single" w:sz="2" w:space="0" w:color="auto"/>
            </w:tcBorders>
          </w:tcPr>
          <w:p w14:paraId="7E6F0ED7" w14:textId="77777777" w:rsidR="009F4766" w:rsidRPr="00DE12A3" w:rsidRDefault="009F4766" w:rsidP="00C917D6">
            <w:pPr>
              <w:pStyle w:val="NormalLeft"/>
            </w:pPr>
            <w:r w:rsidRPr="00DE12A3">
              <w:t>0,95</w:t>
            </w:r>
          </w:p>
        </w:tc>
      </w:tr>
      <w:tr w:rsidR="00DE12A3" w:rsidRPr="00DE12A3" w14:paraId="792EF3B2" w14:textId="77777777" w:rsidTr="009F4766">
        <w:tc>
          <w:tcPr>
            <w:tcW w:w="1820" w:type="dxa"/>
            <w:tcBorders>
              <w:top w:val="single" w:sz="2" w:space="0" w:color="auto"/>
              <w:left w:val="single" w:sz="2" w:space="0" w:color="auto"/>
              <w:bottom w:val="single" w:sz="2" w:space="0" w:color="auto"/>
              <w:right w:val="single" w:sz="2" w:space="0" w:color="auto"/>
            </w:tcBorders>
          </w:tcPr>
          <w:p w14:paraId="61FFA53E" w14:textId="77777777" w:rsidR="009F4766" w:rsidRPr="00DE12A3" w:rsidRDefault="009F4766" w:rsidP="00C917D6">
            <w:pPr>
              <w:pStyle w:val="NormalLeft"/>
            </w:pPr>
            <w:r w:rsidRPr="00DE12A3">
              <w:t>G</w:t>
            </w:r>
            <w:r w:rsidRPr="00DE12A3">
              <w:rPr>
                <w:vertAlign w:val="subscript"/>
              </w:rPr>
              <w:t>20</w:t>
            </w:r>
          </w:p>
        </w:tc>
        <w:tc>
          <w:tcPr>
            <w:tcW w:w="1664" w:type="dxa"/>
            <w:tcBorders>
              <w:top w:val="single" w:sz="2" w:space="0" w:color="auto"/>
              <w:left w:val="single" w:sz="2" w:space="0" w:color="auto"/>
              <w:bottom w:val="single" w:sz="2" w:space="0" w:color="auto"/>
              <w:right w:val="single" w:sz="2" w:space="0" w:color="auto"/>
            </w:tcBorders>
          </w:tcPr>
          <w:p w14:paraId="27732493" w14:textId="77777777" w:rsidR="009F4766" w:rsidRPr="00DE12A3" w:rsidRDefault="009F4766" w:rsidP="00C917D6">
            <w:pPr>
              <w:pStyle w:val="NormalLeft"/>
            </w:pPr>
            <w:r w:rsidRPr="00DE12A3">
              <w:t>0,97</w:t>
            </w:r>
          </w:p>
        </w:tc>
        <w:tc>
          <w:tcPr>
            <w:tcW w:w="1716" w:type="dxa"/>
            <w:tcBorders>
              <w:top w:val="single" w:sz="2" w:space="0" w:color="auto"/>
              <w:left w:val="single" w:sz="2" w:space="0" w:color="auto"/>
              <w:bottom w:val="single" w:sz="2" w:space="0" w:color="auto"/>
              <w:right w:val="single" w:sz="2" w:space="0" w:color="auto"/>
            </w:tcBorders>
          </w:tcPr>
          <w:p w14:paraId="074EE835" w14:textId="77777777" w:rsidR="009F4766" w:rsidRPr="00DE12A3" w:rsidRDefault="009F4766" w:rsidP="00C917D6">
            <w:pPr>
              <w:pStyle w:val="NormalLeft"/>
            </w:pPr>
            <w:r w:rsidRPr="00DE12A3">
              <w:t>1,03</w:t>
            </w:r>
          </w:p>
        </w:tc>
      </w:tr>
      <w:tr w:rsidR="00DE12A3" w:rsidRPr="00DE12A3" w14:paraId="447777B9" w14:textId="77777777" w:rsidTr="009F4766">
        <w:tc>
          <w:tcPr>
            <w:tcW w:w="1820" w:type="dxa"/>
            <w:tcBorders>
              <w:top w:val="single" w:sz="2" w:space="0" w:color="auto"/>
              <w:left w:val="single" w:sz="2" w:space="0" w:color="auto"/>
              <w:bottom w:val="single" w:sz="2" w:space="0" w:color="auto"/>
              <w:right w:val="single" w:sz="2" w:space="0" w:color="auto"/>
            </w:tcBorders>
          </w:tcPr>
          <w:p w14:paraId="1947E795" w14:textId="77777777" w:rsidR="009F4766" w:rsidRPr="00DE12A3" w:rsidRDefault="009F4766" w:rsidP="00C917D6">
            <w:pPr>
              <w:pStyle w:val="NormalLeft"/>
            </w:pPr>
            <w:r w:rsidRPr="00DE12A3">
              <w:t>G</w:t>
            </w:r>
            <w:r w:rsidRPr="00DE12A3">
              <w:rPr>
                <w:vertAlign w:val="subscript"/>
              </w:rPr>
              <w:t>23</w:t>
            </w:r>
          </w:p>
        </w:tc>
        <w:tc>
          <w:tcPr>
            <w:tcW w:w="1664" w:type="dxa"/>
            <w:tcBorders>
              <w:top w:val="single" w:sz="2" w:space="0" w:color="auto"/>
              <w:left w:val="single" w:sz="2" w:space="0" w:color="auto"/>
              <w:bottom w:val="single" w:sz="2" w:space="0" w:color="auto"/>
              <w:right w:val="single" w:sz="2" w:space="0" w:color="auto"/>
            </w:tcBorders>
          </w:tcPr>
          <w:p w14:paraId="768BF29A" w14:textId="77777777" w:rsidR="009F4766" w:rsidRPr="00DE12A3" w:rsidRDefault="009F4766" w:rsidP="00C917D6">
            <w:pPr>
              <w:pStyle w:val="NormalLeft"/>
            </w:pPr>
            <w:r w:rsidRPr="00DE12A3">
              <w:t>1,05</w:t>
            </w:r>
          </w:p>
        </w:tc>
        <w:tc>
          <w:tcPr>
            <w:tcW w:w="1716" w:type="dxa"/>
            <w:tcBorders>
              <w:top w:val="single" w:sz="2" w:space="0" w:color="auto"/>
              <w:left w:val="single" w:sz="2" w:space="0" w:color="auto"/>
              <w:bottom w:val="single" w:sz="2" w:space="0" w:color="auto"/>
              <w:right w:val="single" w:sz="2" w:space="0" w:color="auto"/>
            </w:tcBorders>
          </w:tcPr>
          <w:p w14:paraId="71E6F5FA" w14:textId="77777777" w:rsidR="009F4766" w:rsidRPr="00DE12A3" w:rsidRDefault="009F4766" w:rsidP="00C917D6">
            <w:pPr>
              <w:pStyle w:val="NormalLeft"/>
            </w:pPr>
            <w:r w:rsidRPr="00DE12A3">
              <w:t>1,10</w:t>
            </w:r>
          </w:p>
        </w:tc>
      </w:tr>
      <w:tr w:rsidR="00DE12A3" w:rsidRPr="00DE12A3" w14:paraId="13B0A853" w14:textId="77777777" w:rsidTr="009F4766">
        <w:tc>
          <w:tcPr>
            <w:tcW w:w="1820" w:type="dxa"/>
            <w:tcBorders>
              <w:top w:val="single" w:sz="2" w:space="0" w:color="auto"/>
              <w:left w:val="single" w:sz="2" w:space="0" w:color="auto"/>
              <w:bottom w:val="single" w:sz="2" w:space="0" w:color="auto"/>
              <w:right w:val="single" w:sz="2" w:space="0" w:color="auto"/>
            </w:tcBorders>
          </w:tcPr>
          <w:p w14:paraId="3638D072" w14:textId="77777777" w:rsidR="009F4766" w:rsidRPr="00DE12A3" w:rsidRDefault="009F4766" w:rsidP="00C917D6">
            <w:pPr>
              <w:pStyle w:val="NormalLeft"/>
            </w:pPr>
            <w:r w:rsidRPr="00DE12A3">
              <w:t>G</w:t>
            </w:r>
            <w:r w:rsidRPr="00DE12A3">
              <w:rPr>
                <w:vertAlign w:val="subscript"/>
              </w:rPr>
              <w:t>25</w:t>
            </w:r>
          </w:p>
        </w:tc>
        <w:tc>
          <w:tcPr>
            <w:tcW w:w="1664" w:type="dxa"/>
            <w:tcBorders>
              <w:top w:val="single" w:sz="2" w:space="0" w:color="auto"/>
              <w:left w:val="single" w:sz="2" w:space="0" w:color="auto"/>
              <w:bottom w:val="single" w:sz="2" w:space="0" w:color="auto"/>
              <w:right w:val="single" w:sz="2" w:space="0" w:color="auto"/>
            </w:tcBorders>
          </w:tcPr>
          <w:p w14:paraId="3CA16FE5" w14:textId="77777777" w:rsidR="009F4766" w:rsidRPr="00DE12A3" w:rsidRDefault="009F4766" w:rsidP="00C917D6">
            <w:pPr>
              <w:pStyle w:val="NormalLeft"/>
            </w:pPr>
            <w:r w:rsidRPr="00DE12A3">
              <w:t>1,12</w:t>
            </w:r>
          </w:p>
        </w:tc>
        <w:tc>
          <w:tcPr>
            <w:tcW w:w="1716" w:type="dxa"/>
            <w:tcBorders>
              <w:top w:val="single" w:sz="2" w:space="0" w:color="auto"/>
              <w:left w:val="single" w:sz="2" w:space="0" w:color="auto"/>
              <w:bottom w:val="single" w:sz="2" w:space="0" w:color="auto"/>
              <w:right w:val="single" w:sz="2" w:space="0" w:color="auto"/>
            </w:tcBorders>
          </w:tcPr>
          <w:p w14:paraId="184E6CCD" w14:textId="77777777" w:rsidR="009F4766" w:rsidRPr="00DE12A3" w:rsidRDefault="009F4766" w:rsidP="00C917D6">
            <w:pPr>
              <w:pStyle w:val="NormalLeft"/>
            </w:pPr>
            <w:r w:rsidRPr="00DE12A3">
              <w:t>1,20</w:t>
            </w:r>
          </w:p>
        </w:tc>
      </w:tr>
      <w:tr w:rsidR="00DE12A3" w:rsidRPr="00DE12A3" w14:paraId="241677E1" w14:textId="77777777" w:rsidTr="00CA7FE3">
        <w:tc>
          <w:tcPr>
            <w:tcW w:w="5200" w:type="dxa"/>
            <w:gridSpan w:val="3"/>
            <w:tcBorders>
              <w:top w:val="single" w:sz="2" w:space="0" w:color="auto"/>
              <w:left w:val="single" w:sz="2" w:space="0" w:color="auto"/>
              <w:bottom w:val="single" w:sz="2" w:space="0" w:color="auto"/>
              <w:right w:val="single" w:sz="2" w:space="0" w:color="auto"/>
            </w:tcBorders>
          </w:tcPr>
          <w:p w14:paraId="0230C587" w14:textId="6F9D5A03" w:rsidR="005F4B63" w:rsidRPr="00DE12A3" w:rsidRDefault="005F4B63" w:rsidP="005F4B63">
            <w:pPr>
              <w:spacing w:before="120" w:after="120"/>
              <w:jc w:val="both"/>
              <w:rPr>
                <w:rFonts w:cs="Times New Roman"/>
                <w:color w:val="auto"/>
                <w:sz w:val="16"/>
                <w:szCs w:val="16"/>
              </w:rPr>
            </w:pPr>
            <w:r w:rsidRPr="00DE12A3">
              <w:rPr>
                <w:rStyle w:val="Tabloyazs7"/>
                <w:rFonts w:eastAsia="Courier New"/>
                <w:color w:val="auto"/>
                <w:sz w:val="16"/>
                <w:szCs w:val="16"/>
              </w:rPr>
              <w:t xml:space="preserve">(1) </w:t>
            </w:r>
            <w:r w:rsidRPr="00DE12A3">
              <w:rPr>
                <w:rFonts w:cs="Times New Roman"/>
                <w:color w:val="auto"/>
                <w:sz w:val="16"/>
                <w:szCs w:val="16"/>
              </w:rPr>
              <w:t>Motorun, Metan Numarası (MN) 70'den küçük olan bir gaz karışımı ile test edilmesi gerekmez. G</w:t>
            </w:r>
            <w:r w:rsidRPr="00DE12A3">
              <w:rPr>
                <w:rFonts w:cs="Times New Roman"/>
                <w:bCs/>
                <w:color w:val="auto"/>
                <w:sz w:val="16"/>
                <w:szCs w:val="16"/>
                <w:vertAlign w:val="subscript"/>
              </w:rPr>
              <w:t>R</w:t>
            </w:r>
            <w:r w:rsidRPr="00DE12A3">
              <w:rPr>
                <w:rFonts w:cs="Times New Roman"/>
                <w:b/>
                <w:bCs/>
                <w:color w:val="auto"/>
                <w:sz w:val="16"/>
                <w:szCs w:val="16"/>
              </w:rPr>
              <w:t xml:space="preserve"> </w:t>
            </w:r>
            <w:r w:rsidRPr="00DE12A3">
              <w:rPr>
                <w:rFonts w:cs="Times New Roman"/>
                <w:color w:val="auto"/>
                <w:sz w:val="16"/>
                <w:szCs w:val="16"/>
              </w:rPr>
              <w:t xml:space="preserve">için istenen </w:t>
            </w:r>
            <w:r w:rsidRPr="00DE12A3">
              <w:rPr>
                <w:rFonts w:cs="Times New Roman"/>
                <w:i/>
                <w:color w:val="auto"/>
                <w:sz w:val="16"/>
                <w:szCs w:val="16"/>
              </w:rPr>
              <w:t>S</w:t>
            </w:r>
            <w:r w:rsidRPr="00DE12A3">
              <w:rPr>
                <w:rFonts w:cs="Times New Roman"/>
                <w:i/>
                <w:color w:val="auto"/>
                <w:sz w:val="16"/>
                <w:szCs w:val="16"/>
                <w:vertAlign w:val="subscript"/>
              </w:rPr>
              <w:t>λ</w:t>
            </w:r>
            <w:r w:rsidRPr="00DE12A3">
              <w:rPr>
                <w:rFonts w:cs="Times New Roman"/>
                <w:color w:val="auto"/>
                <w:sz w:val="16"/>
                <w:szCs w:val="16"/>
              </w:rPr>
              <w:t xml:space="preserve"> aralığının 70'ten daha düşük bir MN ile sonuçlanması durumunda, MN değeri olarak en az 70 elde edilinceye kadar gerektikçe G</w:t>
            </w:r>
            <w:r w:rsidRPr="00DE12A3">
              <w:rPr>
                <w:rFonts w:cs="Times New Roman"/>
                <w:bCs/>
                <w:color w:val="auto"/>
                <w:sz w:val="16"/>
                <w:szCs w:val="16"/>
                <w:vertAlign w:val="subscript"/>
              </w:rPr>
              <w:t>R</w:t>
            </w:r>
            <w:r w:rsidRPr="00DE12A3">
              <w:rPr>
                <w:rFonts w:cs="Times New Roman"/>
                <w:b/>
                <w:bCs/>
                <w:color w:val="auto"/>
                <w:sz w:val="16"/>
                <w:szCs w:val="16"/>
              </w:rPr>
              <w:t xml:space="preserve"> </w:t>
            </w:r>
            <w:r w:rsidRPr="00DE12A3">
              <w:rPr>
                <w:rFonts w:cs="Times New Roman"/>
                <w:color w:val="auto"/>
                <w:sz w:val="16"/>
                <w:szCs w:val="16"/>
              </w:rPr>
              <w:t xml:space="preserve">için </w:t>
            </w:r>
            <w:r w:rsidRPr="00DE12A3">
              <w:rPr>
                <w:rFonts w:cs="Times New Roman"/>
                <w:i/>
                <w:color w:val="auto"/>
                <w:sz w:val="16"/>
                <w:szCs w:val="16"/>
              </w:rPr>
              <w:t>S</w:t>
            </w:r>
            <w:r w:rsidRPr="00DE12A3">
              <w:rPr>
                <w:rFonts w:cs="Times New Roman"/>
                <w:i/>
                <w:color w:val="auto"/>
                <w:sz w:val="16"/>
                <w:szCs w:val="16"/>
                <w:vertAlign w:val="subscript"/>
              </w:rPr>
              <w:t>λ</w:t>
            </w:r>
            <w:r w:rsidRPr="00DE12A3">
              <w:rPr>
                <w:rFonts w:cs="Times New Roman"/>
                <w:color w:val="auto"/>
                <w:sz w:val="16"/>
                <w:szCs w:val="16"/>
              </w:rPr>
              <w:t xml:space="preserve"> değeri ayarlanabilir</w:t>
            </w:r>
            <w:r w:rsidRPr="00DE12A3">
              <w:rPr>
                <w:rStyle w:val="Tabloyazs7"/>
                <w:rFonts w:eastAsia="Courier New"/>
                <w:color w:val="auto"/>
                <w:sz w:val="16"/>
                <w:szCs w:val="16"/>
              </w:rPr>
              <w:t>.</w:t>
            </w:r>
          </w:p>
        </w:tc>
      </w:tr>
    </w:tbl>
    <w:p w14:paraId="282A25BF" w14:textId="47DF9875" w:rsidR="00F253D4" w:rsidRPr="00DE12A3" w:rsidRDefault="009F4766" w:rsidP="00C917D6">
      <w:pPr>
        <w:spacing w:before="120" w:after="120"/>
        <w:ind w:left="1134" w:hanging="1134"/>
        <w:jc w:val="both"/>
        <w:rPr>
          <w:rFonts w:cs="Times New Roman"/>
          <w:color w:val="auto"/>
        </w:rPr>
      </w:pPr>
      <w:r w:rsidRPr="00DE12A3">
        <w:rPr>
          <w:rFonts w:cs="Times New Roman"/>
          <w:color w:val="auto"/>
        </w:rPr>
        <w:t>3.2.2.3.</w:t>
      </w:r>
      <w:r w:rsidR="00F253D4" w:rsidRPr="00DE12A3">
        <w:rPr>
          <w:rFonts w:cs="Times New Roman"/>
          <w:color w:val="auto"/>
        </w:rPr>
        <w:t xml:space="preserve"> Her test uygulamasına ilişkin motor testi raporu aşağıdakileri içerir:</w:t>
      </w:r>
    </w:p>
    <w:p w14:paraId="73F6E727" w14:textId="584225DE" w:rsidR="00F253D4" w:rsidRPr="00DE12A3" w:rsidRDefault="00F253D4" w:rsidP="005F4B63">
      <w:pPr>
        <w:spacing w:before="120" w:after="120"/>
        <w:jc w:val="both"/>
        <w:rPr>
          <w:rFonts w:cs="Times New Roman"/>
          <w:color w:val="auto"/>
        </w:rPr>
      </w:pPr>
      <w:r w:rsidRPr="00DE12A3">
        <w:rPr>
          <w:rFonts w:cs="Times New Roman"/>
          <w:color w:val="auto"/>
        </w:rPr>
        <w:t>(a)</w:t>
      </w:r>
      <w:r w:rsidR="005F4B63" w:rsidRPr="00DE12A3">
        <w:rPr>
          <w:rFonts w:cs="Times New Roman"/>
          <w:color w:val="auto"/>
        </w:rPr>
        <w:t xml:space="preserve"> </w:t>
      </w:r>
      <w:r w:rsidRPr="00DE12A3">
        <w:rPr>
          <w:rFonts w:cs="Times New Roman"/>
          <w:color w:val="auto"/>
        </w:rPr>
        <w:t>3.2.2.1 bendindeki listeden seçilen karışım gazları</w:t>
      </w:r>
      <w:r w:rsidR="00C13CC7" w:rsidRPr="00DE12A3">
        <w:rPr>
          <w:rFonts w:cs="Times New Roman"/>
          <w:color w:val="auto"/>
        </w:rPr>
        <w:t>.</w:t>
      </w:r>
    </w:p>
    <w:p w14:paraId="620EAA0B" w14:textId="7CB3AD75" w:rsidR="00F253D4" w:rsidRPr="00DE12A3" w:rsidRDefault="00F253D4" w:rsidP="005F4B63">
      <w:pPr>
        <w:spacing w:before="120" w:after="120"/>
        <w:jc w:val="both"/>
        <w:rPr>
          <w:rFonts w:cs="Times New Roman"/>
          <w:color w:val="auto"/>
        </w:rPr>
      </w:pPr>
      <w:r w:rsidRPr="00DE12A3">
        <w:rPr>
          <w:rFonts w:cs="Times New Roman"/>
          <w:color w:val="auto"/>
        </w:rPr>
        <w:t>(b)</w:t>
      </w:r>
      <w:r w:rsidR="005F4B63" w:rsidRPr="00DE12A3">
        <w:rPr>
          <w:rFonts w:cs="Times New Roman"/>
          <w:color w:val="auto"/>
        </w:rPr>
        <w:t xml:space="preserve"> </w:t>
      </w:r>
      <w:r w:rsidRPr="00DE12A3">
        <w:rPr>
          <w:rFonts w:cs="Times New Roman"/>
          <w:color w:val="auto"/>
        </w:rPr>
        <w:t>Elde edilen yakıt karışımı için S</w:t>
      </w:r>
      <w:r w:rsidRPr="00DE12A3">
        <w:rPr>
          <w:rFonts w:cs="Times New Roman"/>
          <w:color w:val="auto"/>
          <w:vertAlign w:val="subscript"/>
        </w:rPr>
        <w:t>λ</w:t>
      </w:r>
      <w:r w:rsidRPr="00DE12A3">
        <w:rPr>
          <w:rFonts w:cs="Times New Roman"/>
          <w:color w:val="auto"/>
        </w:rPr>
        <w:t xml:space="preserve"> değeri</w:t>
      </w:r>
      <w:r w:rsidR="00C13CC7" w:rsidRPr="00DE12A3">
        <w:rPr>
          <w:rFonts w:cs="Times New Roman"/>
          <w:color w:val="auto"/>
        </w:rPr>
        <w:t>.</w:t>
      </w:r>
    </w:p>
    <w:p w14:paraId="679E50F8" w14:textId="79182CD2" w:rsidR="00F253D4" w:rsidRPr="00DE12A3" w:rsidRDefault="00F253D4" w:rsidP="005F4B63">
      <w:pPr>
        <w:spacing w:before="120" w:after="120"/>
        <w:jc w:val="both"/>
        <w:rPr>
          <w:rFonts w:cs="Times New Roman"/>
          <w:color w:val="auto"/>
        </w:rPr>
      </w:pPr>
      <w:r w:rsidRPr="00DE12A3">
        <w:rPr>
          <w:rFonts w:cs="Times New Roman"/>
          <w:color w:val="auto"/>
        </w:rPr>
        <w:lastRenderedPageBreak/>
        <w:t>(c)</w:t>
      </w:r>
      <w:r w:rsidR="005F4B63" w:rsidRPr="00DE12A3">
        <w:rPr>
          <w:rFonts w:cs="Times New Roman"/>
          <w:color w:val="auto"/>
        </w:rPr>
        <w:t xml:space="preserve"> </w:t>
      </w:r>
      <w:r w:rsidRPr="00DE12A3">
        <w:rPr>
          <w:rFonts w:cs="Times New Roman"/>
          <w:color w:val="auto"/>
        </w:rPr>
        <w:t>Elde edilen yakıt karışımının Metan Numarası (MN).</w:t>
      </w:r>
    </w:p>
    <w:p w14:paraId="3F95264A" w14:textId="4D5D407F" w:rsidR="00F253D4" w:rsidRPr="00DE12A3" w:rsidRDefault="00F253D4" w:rsidP="005F4B63">
      <w:pPr>
        <w:spacing w:before="120" w:after="120"/>
        <w:jc w:val="both"/>
        <w:rPr>
          <w:rFonts w:cs="Times New Roman"/>
          <w:color w:val="auto"/>
        </w:rPr>
      </w:pPr>
      <w:r w:rsidRPr="00DE12A3">
        <w:rPr>
          <w:rFonts w:cs="Times New Roman"/>
          <w:color w:val="auto"/>
        </w:rPr>
        <w:t>3.2.2.4. Boru hattı ve karışım gazlarının özelliklerinin belirlenmesi, elde edilen gaz karışımı için S</w:t>
      </w:r>
      <w:r w:rsidRPr="00DE12A3">
        <w:rPr>
          <w:rFonts w:cs="Times New Roman"/>
          <w:color w:val="auto"/>
          <w:vertAlign w:val="subscript"/>
        </w:rPr>
        <w:t>λ</w:t>
      </w:r>
      <w:r w:rsidRPr="00DE12A3">
        <w:rPr>
          <w:rFonts w:cs="Times New Roman"/>
          <w:color w:val="auto"/>
        </w:rPr>
        <w:t xml:space="preserve"> ve MN değerlerinin belirlenmesi ve karışımın test sırasında muhafaza edildiğinin doğrulanması ile ilgili olarak 1. ve </w:t>
      </w:r>
      <w:r w:rsidR="00FA0678" w:rsidRPr="00DE12A3">
        <w:rPr>
          <w:rFonts w:cs="Times New Roman"/>
          <w:color w:val="auto"/>
        </w:rPr>
        <w:t>2. Açıklayıcı Ek</w:t>
      </w:r>
      <w:r w:rsidR="00BF5FC6" w:rsidRPr="00DE12A3">
        <w:rPr>
          <w:rFonts w:cs="Times New Roman"/>
          <w:color w:val="auto"/>
        </w:rPr>
        <w:t>ler</w:t>
      </w:r>
      <w:r w:rsidRPr="00DE12A3">
        <w:rPr>
          <w:rFonts w:cs="Times New Roman"/>
          <w:color w:val="auto"/>
        </w:rPr>
        <w:t xml:space="preserve">in </w:t>
      </w:r>
      <w:r w:rsidR="0053289F" w:rsidRPr="00DE12A3">
        <w:rPr>
          <w:rFonts w:cs="Times New Roman"/>
          <w:color w:val="auto"/>
        </w:rPr>
        <w:t>gereklilikleri</w:t>
      </w:r>
      <w:r w:rsidRPr="00DE12A3">
        <w:rPr>
          <w:rFonts w:cs="Times New Roman"/>
          <w:color w:val="auto"/>
        </w:rPr>
        <w:t xml:space="preserve"> yerine getirilir.</w:t>
      </w:r>
    </w:p>
    <w:p w14:paraId="57EAC9CF" w14:textId="14124C5B" w:rsidR="00F253D4" w:rsidRPr="00DE12A3" w:rsidRDefault="00F253D4" w:rsidP="005F4B63">
      <w:pPr>
        <w:spacing w:before="120" w:after="120"/>
        <w:jc w:val="both"/>
        <w:rPr>
          <w:rFonts w:cs="Times New Roman"/>
          <w:color w:val="auto"/>
        </w:rPr>
      </w:pPr>
      <w:r w:rsidRPr="00DE12A3">
        <w:rPr>
          <w:rFonts w:cs="Times New Roman"/>
          <w:color w:val="auto"/>
        </w:rPr>
        <w:t>3.2.2.5. Bir veya daha fazla gaz akışının (boru hattı gazı veya karışım gazları) önemsiz bir orandan daha büyük oranda CO</w:t>
      </w:r>
      <w:r w:rsidRPr="00DE12A3">
        <w:rPr>
          <w:rFonts w:cs="Times New Roman"/>
          <w:color w:val="auto"/>
          <w:vertAlign w:val="subscript"/>
        </w:rPr>
        <w:t>2</w:t>
      </w:r>
      <w:r w:rsidRPr="00DE12A3">
        <w:rPr>
          <w:rFonts w:cs="Times New Roman"/>
          <w:color w:val="auto"/>
        </w:rPr>
        <w:t xml:space="preserve"> içermesi durumunda, </w:t>
      </w:r>
      <w:r w:rsidR="00FA0678" w:rsidRPr="00DE12A3">
        <w:rPr>
          <w:rFonts w:cs="Times New Roman"/>
          <w:color w:val="auto"/>
        </w:rPr>
        <w:t xml:space="preserve">VII’nci </w:t>
      </w:r>
      <w:r w:rsidR="00C13CC7" w:rsidRPr="00DE12A3">
        <w:rPr>
          <w:rFonts w:cs="Times New Roman"/>
          <w:color w:val="auto"/>
        </w:rPr>
        <w:t>E</w:t>
      </w:r>
      <w:r w:rsidR="00FA0678" w:rsidRPr="00DE12A3">
        <w:rPr>
          <w:rFonts w:cs="Times New Roman"/>
          <w:color w:val="auto"/>
        </w:rPr>
        <w:t>k</w:t>
      </w:r>
      <w:r w:rsidRPr="00DE12A3">
        <w:rPr>
          <w:rFonts w:cs="Times New Roman"/>
          <w:color w:val="auto"/>
        </w:rPr>
        <w:t xml:space="preserve"> içindeki spesifik CO</w:t>
      </w:r>
      <w:r w:rsidRPr="00DE12A3">
        <w:rPr>
          <w:rFonts w:cs="Times New Roman"/>
          <w:color w:val="auto"/>
          <w:vertAlign w:val="subscript"/>
        </w:rPr>
        <w:t xml:space="preserve">2 </w:t>
      </w:r>
      <w:r w:rsidRPr="00DE12A3">
        <w:rPr>
          <w:rFonts w:cs="Times New Roman"/>
          <w:color w:val="auto"/>
        </w:rPr>
        <w:t>emisyonları hesaplaması</w:t>
      </w:r>
      <w:r w:rsidR="007C32B1" w:rsidRPr="00DE12A3">
        <w:rPr>
          <w:rFonts w:cs="Times New Roman"/>
          <w:color w:val="auto"/>
        </w:rPr>
        <w:t xml:space="preserve">, </w:t>
      </w:r>
      <w:r w:rsidRPr="00DE12A3">
        <w:rPr>
          <w:rFonts w:cs="Times New Roman"/>
          <w:color w:val="auto"/>
        </w:rPr>
        <w:t xml:space="preserve"> </w:t>
      </w:r>
      <w:r w:rsidR="0007544E" w:rsidRPr="00DE12A3">
        <w:rPr>
          <w:rFonts w:cs="Times New Roman"/>
          <w:color w:val="auto"/>
        </w:rPr>
        <w:t>3. Açıklayıcı Ek</w:t>
      </w:r>
      <w:r w:rsidR="00BF5FC6" w:rsidRPr="00DE12A3">
        <w:rPr>
          <w:rFonts w:cs="Times New Roman"/>
          <w:color w:val="auto"/>
        </w:rPr>
        <w:t xml:space="preserve"> </w:t>
      </w:r>
      <w:r w:rsidRPr="00DE12A3">
        <w:rPr>
          <w:rFonts w:cs="Times New Roman"/>
          <w:color w:val="auto"/>
        </w:rPr>
        <w:t>uyarınca düzeltilir.</w:t>
      </w:r>
    </w:p>
    <w:p w14:paraId="654CFDBD" w14:textId="77777777" w:rsidR="00F253D4" w:rsidRPr="00DE12A3" w:rsidRDefault="00F253D4" w:rsidP="00C917D6">
      <w:pPr>
        <w:spacing w:before="120" w:after="120"/>
        <w:rPr>
          <w:rFonts w:cs="Times New Roman"/>
          <w:color w:val="auto"/>
        </w:rPr>
      </w:pPr>
    </w:p>
    <w:p w14:paraId="3A52F558" w14:textId="77777777" w:rsidR="00BF28FA" w:rsidRPr="00DE12A3" w:rsidRDefault="00BF28FA" w:rsidP="00051047">
      <w:pPr>
        <w:rPr>
          <w:color w:val="auto"/>
        </w:rPr>
      </w:pPr>
    </w:p>
    <w:p w14:paraId="46F4F6A8" w14:textId="77777777" w:rsidR="009E122C" w:rsidRPr="00DE12A3" w:rsidRDefault="009E122C" w:rsidP="009E122C">
      <w:pPr>
        <w:spacing w:before="120" w:after="120"/>
        <w:rPr>
          <w:rFonts w:cs="Times New Roman"/>
          <w:color w:val="auto"/>
          <w:vertAlign w:val="superscript"/>
        </w:rPr>
      </w:pPr>
    </w:p>
    <w:p w14:paraId="3EA769F7" w14:textId="7848E865" w:rsidR="009E122C" w:rsidRPr="00DE12A3" w:rsidRDefault="009E122C" w:rsidP="00E20716">
      <w:pPr>
        <w:pStyle w:val="ListeParagraf"/>
        <w:numPr>
          <w:ilvl w:val="0"/>
          <w:numId w:val="467"/>
        </w:numPr>
        <w:spacing w:before="120" w:after="120"/>
        <w:rPr>
          <w:rFonts w:cs="Times New Roman"/>
          <w:color w:val="auto"/>
          <w:sz w:val="20"/>
          <w:szCs w:val="20"/>
        </w:rPr>
      </w:pPr>
      <w:r w:rsidRPr="00DE12A3">
        <w:rPr>
          <w:rFonts w:cs="Times New Roman"/>
          <w:color w:val="auto"/>
          <w:sz w:val="20"/>
          <w:szCs w:val="20"/>
        </w:rPr>
        <w:t>Kalibrasyon gazının bu amaç için kullanılması gerekmez.</w:t>
      </w:r>
    </w:p>
    <w:p w14:paraId="0ECD6283" w14:textId="2AC6D32F" w:rsidR="00872F0E" w:rsidRPr="00DE12A3" w:rsidRDefault="00872F0E" w:rsidP="00872F0E">
      <w:pPr>
        <w:pStyle w:val="ListeParagraf"/>
        <w:spacing w:before="120" w:after="120"/>
        <w:rPr>
          <w:rFonts w:cs="Times New Roman"/>
          <w:color w:val="auto"/>
          <w:sz w:val="20"/>
          <w:szCs w:val="20"/>
        </w:rPr>
      </w:pPr>
    </w:p>
    <w:p w14:paraId="13D0A372" w14:textId="77777777" w:rsidR="007C32B1" w:rsidRPr="00DE12A3" w:rsidRDefault="007C32B1" w:rsidP="004940FF">
      <w:pPr>
        <w:pStyle w:val="Balk2"/>
        <w:rPr>
          <w:i/>
          <w:color w:val="auto"/>
        </w:rPr>
      </w:pPr>
    </w:p>
    <w:p w14:paraId="19829E1E" w14:textId="77777777" w:rsidR="007C32B1" w:rsidRPr="00DE12A3" w:rsidRDefault="007C32B1" w:rsidP="004940FF">
      <w:pPr>
        <w:pStyle w:val="Balk2"/>
        <w:rPr>
          <w:i/>
          <w:color w:val="auto"/>
        </w:rPr>
      </w:pPr>
    </w:p>
    <w:p w14:paraId="1F010BE9" w14:textId="77777777" w:rsidR="007C32B1" w:rsidRPr="00DE12A3" w:rsidRDefault="007C32B1" w:rsidP="004940FF">
      <w:pPr>
        <w:pStyle w:val="Balk2"/>
        <w:rPr>
          <w:i/>
          <w:color w:val="auto"/>
        </w:rPr>
      </w:pPr>
    </w:p>
    <w:p w14:paraId="60748C67" w14:textId="77777777" w:rsidR="007C32B1" w:rsidRPr="00DE12A3" w:rsidRDefault="007C32B1" w:rsidP="004940FF">
      <w:pPr>
        <w:pStyle w:val="Balk2"/>
        <w:rPr>
          <w:i/>
          <w:color w:val="auto"/>
        </w:rPr>
      </w:pPr>
    </w:p>
    <w:p w14:paraId="667AD3D2" w14:textId="77777777" w:rsidR="007C32B1" w:rsidRPr="00DE12A3" w:rsidRDefault="007C32B1" w:rsidP="004940FF">
      <w:pPr>
        <w:pStyle w:val="Balk2"/>
        <w:rPr>
          <w:i/>
          <w:color w:val="auto"/>
        </w:rPr>
      </w:pPr>
    </w:p>
    <w:p w14:paraId="24008573" w14:textId="77777777" w:rsidR="007C32B1" w:rsidRPr="00DE12A3" w:rsidRDefault="007C32B1" w:rsidP="004940FF">
      <w:pPr>
        <w:pStyle w:val="Balk2"/>
        <w:rPr>
          <w:i/>
          <w:color w:val="auto"/>
        </w:rPr>
      </w:pPr>
    </w:p>
    <w:p w14:paraId="4A9EF18A" w14:textId="77777777" w:rsidR="007C32B1" w:rsidRPr="00DE12A3" w:rsidRDefault="007C32B1" w:rsidP="004940FF">
      <w:pPr>
        <w:pStyle w:val="Balk2"/>
        <w:rPr>
          <w:i/>
          <w:color w:val="auto"/>
        </w:rPr>
      </w:pPr>
    </w:p>
    <w:p w14:paraId="1B5AEC71" w14:textId="77777777" w:rsidR="007C32B1" w:rsidRPr="00DE12A3" w:rsidRDefault="007C32B1" w:rsidP="004940FF">
      <w:pPr>
        <w:pStyle w:val="Balk2"/>
        <w:rPr>
          <w:i/>
          <w:color w:val="auto"/>
        </w:rPr>
      </w:pPr>
    </w:p>
    <w:p w14:paraId="254503CA" w14:textId="77777777" w:rsidR="007C32B1" w:rsidRPr="00DE12A3" w:rsidRDefault="007C32B1" w:rsidP="004940FF">
      <w:pPr>
        <w:pStyle w:val="Balk2"/>
        <w:rPr>
          <w:i/>
          <w:color w:val="auto"/>
        </w:rPr>
      </w:pPr>
    </w:p>
    <w:p w14:paraId="53A8FB6A" w14:textId="77777777" w:rsidR="007C32B1" w:rsidRPr="00DE12A3" w:rsidRDefault="007C32B1" w:rsidP="004940FF">
      <w:pPr>
        <w:pStyle w:val="Balk2"/>
        <w:rPr>
          <w:i/>
          <w:color w:val="auto"/>
        </w:rPr>
      </w:pPr>
    </w:p>
    <w:p w14:paraId="6D8E5117" w14:textId="77777777" w:rsidR="007C32B1" w:rsidRPr="00DE12A3" w:rsidRDefault="007C32B1" w:rsidP="004940FF">
      <w:pPr>
        <w:pStyle w:val="Balk2"/>
        <w:rPr>
          <w:i/>
          <w:color w:val="auto"/>
        </w:rPr>
      </w:pPr>
    </w:p>
    <w:p w14:paraId="62EEEC99" w14:textId="77777777" w:rsidR="007C32B1" w:rsidRPr="00DE12A3" w:rsidRDefault="007C32B1" w:rsidP="004940FF">
      <w:pPr>
        <w:pStyle w:val="Balk2"/>
        <w:rPr>
          <w:i/>
          <w:color w:val="auto"/>
        </w:rPr>
      </w:pPr>
    </w:p>
    <w:p w14:paraId="6C543996" w14:textId="77777777" w:rsidR="007C32B1" w:rsidRPr="00DE12A3" w:rsidRDefault="007C32B1" w:rsidP="004940FF">
      <w:pPr>
        <w:pStyle w:val="Balk2"/>
        <w:rPr>
          <w:i/>
          <w:color w:val="auto"/>
        </w:rPr>
      </w:pPr>
    </w:p>
    <w:p w14:paraId="7AD33126" w14:textId="77777777" w:rsidR="007C32B1" w:rsidRPr="00DE12A3" w:rsidRDefault="007C32B1" w:rsidP="004940FF">
      <w:pPr>
        <w:pStyle w:val="Balk2"/>
        <w:rPr>
          <w:i/>
          <w:color w:val="auto"/>
        </w:rPr>
      </w:pPr>
    </w:p>
    <w:p w14:paraId="1FF4D07A" w14:textId="77777777" w:rsidR="007C32B1" w:rsidRPr="00DE12A3" w:rsidRDefault="007C32B1" w:rsidP="004940FF">
      <w:pPr>
        <w:pStyle w:val="Balk2"/>
        <w:rPr>
          <w:i/>
          <w:color w:val="auto"/>
        </w:rPr>
      </w:pPr>
    </w:p>
    <w:p w14:paraId="17165903" w14:textId="77777777" w:rsidR="007C32B1" w:rsidRPr="00DE12A3" w:rsidRDefault="007C32B1" w:rsidP="004940FF">
      <w:pPr>
        <w:pStyle w:val="Balk2"/>
        <w:rPr>
          <w:i/>
          <w:color w:val="auto"/>
        </w:rPr>
      </w:pPr>
    </w:p>
    <w:p w14:paraId="6B7A8813" w14:textId="77777777" w:rsidR="007C32B1" w:rsidRPr="00DE12A3" w:rsidRDefault="007C32B1" w:rsidP="004940FF">
      <w:pPr>
        <w:pStyle w:val="Balk2"/>
        <w:rPr>
          <w:i/>
          <w:color w:val="auto"/>
        </w:rPr>
      </w:pPr>
    </w:p>
    <w:p w14:paraId="1B8B9BCC" w14:textId="77777777" w:rsidR="007C32B1" w:rsidRPr="00DE12A3" w:rsidRDefault="007C32B1" w:rsidP="004940FF">
      <w:pPr>
        <w:pStyle w:val="Balk2"/>
        <w:rPr>
          <w:i/>
          <w:color w:val="auto"/>
        </w:rPr>
      </w:pPr>
    </w:p>
    <w:p w14:paraId="64D92368" w14:textId="77777777" w:rsidR="007C32B1" w:rsidRPr="00DE12A3" w:rsidRDefault="007C32B1" w:rsidP="004940FF">
      <w:pPr>
        <w:pStyle w:val="Balk2"/>
        <w:rPr>
          <w:i/>
          <w:color w:val="auto"/>
        </w:rPr>
      </w:pPr>
    </w:p>
    <w:p w14:paraId="11E6075D" w14:textId="77777777" w:rsidR="007C32B1" w:rsidRPr="00DE12A3" w:rsidRDefault="007C32B1" w:rsidP="004940FF">
      <w:pPr>
        <w:pStyle w:val="Balk2"/>
        <w:rPr>
          <w:i/>
          <w:color w:val="auto"/>
        </w:rPr>
      </w:pPr>
    </w:p>
    <w:p w14:paraId="7AB4E674" w14:textId="77777777" w:rsidR="007C32B1" w:rsidRPr="00DE12A3" w:rsidRDefault="007C32B1" w:rsidP="004940FF">
      <w:pPr>
        <w:pStyle w:val="Balk2"/>
        <w:rPr>
          <w:i/>
          <w:color w:val="auto"/>
        </w:rPr>
      </w:pPr>
    </w:p>
    <w:p w14:paraId="30C97550" w14:textId="77777777" w:rsidR="007C32B1" w:rsidRPr="00DE12A3" w:rsidRDefault="007C32B1" w:rsidP="004940FF">
      <w:pPr>
        <w:pStyle w:val="Balk2"/>
        <w:rPr>
          <w:i/>
          <w:color w:val="auto"/>
        </w:rPr>
      </w:pPr>
    </w:p>
    <w:p w14:paraId="25CE6A9D" w14:textId="77777777" w:rsidR="007C32B1" w:rsidRPr="00DE12A3" w:rsidRDefault="007C32B1" w:rsidP="004940FF">
      <w:pPr>
        <w:pStyle w:val="Balk2"/>
        <w:rPr>
          <w:i/>
          <w:color w:val="auto"/>
        </w:rPr>
      </w:pPr>
    </w:p>
    <w:p w14:paraId="3B0B311D" w14:textId="77777777" w:rsidR="007C32B1" w:rsidRPr="00DE12A3" w:rsidRDefault="007C32B1" w:rsidP="004940FF">
      <w:pPr>
        <w:pStyle w:val="Balk2"/>
        <w:rPr>
          <w:i/>
          <w:color w:val="auto"/>
        </w:rPr>
      </w:pPr>
    </w:p>
    <w:p w14:paraId="050372D9" w14:textId="77777777" w:rsidR="007C32B1" w:rsidRPr="00DE12A3" w:rsidRDefault="007C32B1" w:rsidP="004940FF">
      <w:pPr>
        <w:pStyle w:val="Balk2"/>
        <w:rPr>
          <w:i/>
          <w:color w:val="auto"/>
        </w:rPr>
      </w:pPr>
    </w:p>
    <w:p w14:paraId="29E9DDC2" w14:textId="77777777" w:rsidR="007C32B1" w:rsidRPr="00DE12A3" w:rsidRDefault="007C32B1" w:rsidP="004940FF">
      <w:pPr>
        <w:pStyle w:val="Balk2"/>
        <w:rPr>
          <w:i/>
          <w:color w:val="auto"/>
        </w:rPr>
      </w:pPr>
    </w:p>
    <w:p w14:paraId="2313B66C" w14:textId="77777777" w:rsidR="007C32B1" w:rsidRPr="00DE12A3" w:rsidRDefault="007C32B1" w:rsidP="004940FF">
      <w:pPr>
        <w:pStyle w:val="Balk2"/>
        <w:rPr>
          <w:i/>
          <w:color w:val="auto"/>
        </w:rPr>
      </w:pPr>
    </w:p>
    <w:p w14:paraId="26D20F2C" w14:textId="44E1BCC5" w:rsidR="00F33E9D" w:rsidRPr="00DE12A3" w:rsidRDefault="00F33E9D" w:rsidP="004940FF">
      <w:pPr>
        <w:pStyle w:val="Balk2"/>
        <w:rPr>
          <w:color w:val="auto"/>
        </w:rPr>
      </w:pPr>
      <w:r w:rsidRPr="00DE12A3">
        <w:rPr>
          <w:color w:val="auto"/>
        </w:rPr>
        <w:t>1. Açıklayıcı Ek</w:t>
      </w:r>
    </w:p>
    <w:p w14:paraId="71DCE5B0" w14:textId="77777777" w:rsidR="00930EA5" w:rsidRPr="00DE12A3" w:rsidRDefault="00930EA5" w:rsidP="00930EA5">
      <w:pPr>
        <w:rPr>
          <w:b/>
          <w:color w:val="auto"/>
        </w:rPr>
      </w:pPr>
    </w:p>
    <w:p w14:paraId="639CE233" w14:textId="0F9F6B1D" w:rsidR="00F33E9D" w:rsidRPr="00DE12A3" w:rsidRDefault="00F33E9D" w:rsidP="00930EA5">
      <w:pPr>
        <w:rPr>
          <w:b/>
          <w:color w:val="auto"/>
        </w:rPr>
      </w:pPr>
      <w:r w:rsidRPr="00DE12A3">
        <w:rPr>
          <w:b/>
          <w:color w:val="auto"/>
        </w:rPr>
        <w:t>Boru hattı gazı ile diğer gaz karışımlarını içeren referans gaz yakıtlar kullanılarak emisyon testi yapılmasına ilişkin ilave şartlar</w:t>
      </w:r>
    </w:p>
    <w:p w14:paraId="149EA8DB" w14:textId="77777777" w:rsidR="00F33E9D" w:rsidRPr="00DE12A3" w:rsidRDefault="00F33E9D" w:rsidP="00FA490B">
      <w:pPr>
        <w:rPr>
          <w:color w:val="auto"/>
        </w:rPr>
      </w:pPr>
    </w:p>
    <w:p w14:paraId="25C0835F" w14:textId="3ED059BF" w:rsidR="00F33E9D" w:rsidRPr="00DE12A3" w:rsidRDefault="00930EA5" w:rsidP="00930EA5">
      <w:pPr>
        <w:pStyle w:val="Text2"/>
        <w:ind w:left="0"/>
        <w:rPr>
          <w:b/>
        </w:rPr>
      </w:pPr>
      <w:r w:rsidRPr="00DE12A3">
        <w:rPr>
          <w:b/>
        </w:rPr>
        <w:t xml:space="preserve">1. </w:t>
      </w:r>
      <w:r w:rsidR="00F33E9D" w:rsidRPr="00DE12A3">
        <w:rPr>
          <w:b/>
        </w:rPr>
        <w:t>Gaz analiz ve gaz akış ölçümü yöntemi</w:t>
      </w:r>
    </w:p>
    <w:p w14:paraId="657C949F" w14:textId="045F28E6" w:rsidR="00F33E9D" w:rsidRPr="00DE12A3" w:rsidRDefault="00930EA5" w:rsidP="00930EA5">
      <w:pPr>
        <w:pStyle w:val="Text2"/>
        <w:ind w:left="0"/>
      </w:pPr>
      <w:r w:rsidRPr="00DE12A3">
        <w:t xml:space="preserve">1.1. </w:t>
      </w:r>
      <w:r w:rsidR="00F33E9D" w:rsidRPr="00DE12A3">
        <w:t>Bu Açıklayıcı Ekin amaçları doğrultusunda, gerekirse gazın bileşimi, EN ISO 6974 uyarınca gaz kromatografisi kullanılarak gazın analiz edilmesi ile veya en azından benzer bir doğruluk ve tekrarlanabilirlik düzeyine ulaşan alternatif bir teknik ile belirlenmelidir.</w:t>
      </w:r>
    </w:p>
    <w:p w14:paraId="775E920B" w14:textId="32E23C10" w:rsidR="00F33E9D" w:rsidRPr="00DE12A3" w:rsidRDefault="00930EA5" w:rsidP="00930EA5">
      <w:pPr>
        <w:pStyle w:val="Text2"/>
        <w:ind w:left="0"/>
      </w:pPr>
      <w:r w:rsidRPr="00DE12A3">
        <w:t xml:space="preserve">1.2. </w:t>
      </w:r>
      <w:r w:rsidR="00F33E9D" w:rsidRPr="00DE12A3">
        <w:t>Bu Açıklayıcı Ekin amacı doğrultusunda, gerekirse gaz akışı ölçümü, kütle bazlı bir debimetre kullanılarak gerçekleştirilmelidir.</w:t>
      </w:r>
    </w:p>
    <w:p w14:paraId="02159AA0" w14:textId="1542D339" w:rsidR="00F33E9D" w:rsidRPr="00DE12A3" w:rsidRDefault="00930EA5" w:rsidP="00930EA5">
      <w:pPr>
        <w:pStyle w:val="Text2"/>
        <w:ind w:left="0"/>
        <w:rPr>
          <w:b/>
        </w:rPr>
      </w:pPr>
      <w:r w:rsidRPr="00DE12A3">
        <w:rPr>
          <w:b/>
        </w:rPr>
        <w:t>2.</w:t>
      </w:r>
      <w:r w:rsidR="00F33E9D" w:rsidRPr="00DE12A3">
        <w:rPr>
          <w:b/>
        </w:rPr>
        <w:t xml:space="preserve"> Gelen şebeke gazı arzının analizi ve akış hızı</w:t>
      </w:r>
    </w:p>
    <w:p w14:paraId="11D98B86" w14:textId="4BBD0171" w:rsidR="00F33E9D" w:rsidRPr="00DE12A3" w:rsidRDefault="00930EA5" w:rsidP="00930EA5">
      <w:pPr>
        <w:pStyle w:val="Text2"/>
        <w:ind w:left="0"/>
      </w:pPr>
      <w:r w:rsidRPr="00DE12A3">
        <w:t>2.1.</w:t>
      </w:r>
      <w:r w:rsidR="00F33E9D" w:rsidRPr="00DE12A3">
        <w:t xml:space="preserve"> Şebeke gazı arzının bileşimi, karışım harmanlama sisteminden önce analiz edilmelidir.</w:t>
      </w:r>
    </w:p>
    <w:p w14:paraId="61CA4B47" w14:textId="40F7967F" w:rsidR="00F33E9D" w:rsidRPr="00DE12A3" w:rsidRDefault="00930EA5" w:rsidP="00930EA5">
      <w:pPr>
        <w:pStyle w:val="Text2"/>
        <w:ind w:left="0"/>
      </w:pPr>
      <w:r w:rsidRPr="00DE12A3">
        <w:t xml:space="preserve">2.2. </w:t>
      </w:r>
      <w:r w:rsidR="00F33E9D" w:rsidRPr="00DE12A3">
        <w:t>Karışım harmanlama sistemine giren şebeke gazının akış hızı ölçülmelidir.</w:t>
      </w:r>
    </w:p>
    <w:p w14:paraId="28B6CB18" w14:textId="257B82BF" w:rsidR="00F33E9D" w:rsidRPr="00DE12A3" w:rsidRDefault="00930EA5" w:rsidP="00930EA5">
      <w:pPr>
        <w:pStyle w:val="Text2"/>
        <w:ind w:left="0"/>
        <w:rPr>
          <w:b/>
        </w:rPr>
      </w:pPr>
      <w:r w:rsidRPr="00DE12A3">
        <w:rPr>
          <w:b/>
        </w:rPr>
        <w:t xml:space="preserve">3. </w:t>
      </w:r>
      <w:r w:rsidR="00F33E9D" w:rsidRPr="00DE12A3">
        <w:rPr>
          <w:b/>
        </w:rPr>
        <w:t>Karışım analizi ve akış hızı</w:t>
      </w:r>
    </w:p>
    <w:p w14:paraId="079A2B91" w14:textId="57F9F28F" w:rsidR="00F33E9D" w:rsidRPr="00DE12A3" w:rsidRDefault="00930EA5" w:rsidP="00930EA5">
      <w:pPr>
        <w:pStyle w:val="Text2"/>
        <w:ind w:left="0"/>
      </w:pPr>
      <w:r w:rsidRPr="00DE12A3">
        <w:t xml:space="preserve">3.1. </w:t>
      </w:r>
      <w:r w:rsidR="00F33E9D" w:rsidRPr="00DE12A3">
        <w:t>Bir karışım için (örneğin, gaz tedarikçisi tarafından verilen) geçerli bir analiz sertifikası varsa, bu sertifika, söz konusu karışım bileşiminin kaynağı olarak kullanılabilir. Bu durumda, bu karışım bileşiminin yerinde analizine izin verilmeli, ancak bu şart koşulmamalıdır.</w:t>
      </w:r>
    </w:p>
    <w:p w14:paraId="408616F8" w14:textId="0C06166A" w:rsidR="00F33E9D" w:rsidRPr="00DE12A3" w:rsidRDefault="00930EA5" w:rsidP="00930EA5">
      <w:pPr>
        <w:pStyle w:val="Text2"/>
        <w:ind w:left="0"/>
      </w:pPr>
      <w:r w:rsidRPr="00DE12A3">
        <w:t xml:space="preserve">3.2. </w:t>
      </w:r>
      <w:r w:rsidR="00F33E9D" w:rsidRPr="00DE12A3">
        <w:t>Bir karışım için geçerli bir analiz sertifikası yoksa, söz konusu karışımın bileşimi analiz edilmelidir.</w:t>
      </w:r>
    </w:p>
    <w:p w14:paraId="732BF1E5" w14:textId="568EAE72" w:rsidR="00F33E9D" w:rsidRPr="00DE12A3" w:rsidRDefault="00930EA5" w:rsidP="00930EA5">
      <w:pPr>
        <w:pStyle w:val="Text2"/>
        <w:ind w:left="0"/>
      </w:pPr>
      <w:r w:rsidRPr="00DE12A3">
        <w:t xml:space="preserve">3.3. </w:t>
      </w:r>
      <w:r w:rsidR="00F33E9D" w:rsidRPr="00DE12A3">
        <w:t>Karışım harmanlama sistemine giren her karışımın akış hızı ölçülmelidir.</w:t>
      </w:r>
    </w:p>
    <w:p w14:paraId="77EBDB2B" w14:textId="6A0C12DA" w:rsidR="00F33E9D" w:rsidRPr="00DE12A3" w:rsidRDefault="00930EA5" w:rsidP="00930EA5">
      <w:pPr>
        <w:pStyle w:val="Text2"/>
        <w:ind w:left="0"/>
        <w:rPr>
          <w:b/>
        </w:rPr>
      </w:pPr>
      <w:r w:rsidRPr="00DE12A3">
        <w:rPr>
          <w:b/>
        </w:rPr>
        <w:t xml:space="preserve">4. </w:t>
      </w:r>
      <w:r w:rsidR="00F33E9D" w:rsidRPr="00DE12A3">
        <w:rPr>
          <w:b/>
        </w:rPr>
        <w:t>Harmanlanmış gaz analizi</w:t>
      </w:r>
    </w:p>
    <w:p w14:paraId="2E43FFED" w14:textId="29C6F7F1" w:rsidR="00F33E9D" w:rsidRPr="00DE12A3" w:rsidRDefault="00930EA5" w:rsidP="00930EA5">
      <w:pPr>
        <w:pStyle w:val="Text2"/>
        <w:ind w:left="0"/>
      </w:pPr>
      <w:r w:rsidRPr="00DE12A3">
        <w:t xml:space="preserve">4.1. </w:t>
      </w:r>
      <w:r w:rsidR="00F33E9D" w:rsidRPr="00DE12A3">
        <w:t>Karışım harmanlama sisteminden çıktıktan sonra motora beslenen gazın bileşiminin analizine, 2.1 ve 3.1 bentlerinin gerektirdiği analize ek olarak veya alternatif olarak izin verilmeli, ancak bu şart koşulmamalıdır.</w:t>
      </w:r>
    </w:p>
    <w:p w14:paraId="01BDF1F5" w14:textId="157A07EA" w:rsidR="00F33E9D" w:rsidRPr="00DE12A3" w:rsidRDefault="00930EA5" w:rsidP="00930EA5">
      <w:pPr>
        <w:pStyle w:val="Text2"/>
        <w:ind w:left="0"/>
        <w:rPr>
          <w:b/>
        </w:rPr>
      </w:pPr>
      <w:r w:rsidRPr="00DE12A3">
        <w:rPr>
          <w:b/>
        </w:rPr>
        <w:t xml:space="preserve">5. </w:t>
      </w:r>
      <w:r w:rsidR="00F33E9D" w:rsidRPr="00DE12A3">
        <w:rPr>
          <w:b/>
        </w:rPr>
        <w:t>Harmanlanmış gaza ait S</w:t>
      </w:r>
      <w:r w:rsidR="00F33E9D" w:rsidRPr="00DE12A3">
        <w:rPr>
          <w:b/>
          <w:vertAlign w:val="subscript"/>
        </w:rPr>
        <w:t>λ</w:t>
      </w:r>
      <w:r w:rsidR="00F33E9D" w:rsidRPr="00DE12A3">
        <w:rPr>
          <w:b/>
        </w:rPr>
        <w:t xml:space="preserve"> ve MN değerlerinin hesaplaması</w:t>
      </w:r>
    </w:p>
    <w:p w14:paraId="6EF7E2B9" w14:textId="07427995" w:rsidR="00F33E9D" w:rsidRPr="00DE12A3" w:rsidRDefault="00930EA5" w:rsidP="00930EA5">
      <w:pPr>
        <w:pStyle w:val="Text2"/>
        <w:ind w:left="0"/>
      </w:pPr>
      <w:r w:rsidRPr="00DE12A3">
        <w:t xml:space="preserve">5.1. </w:t>
      </w:r>
      <w:r w:rsidR="00F33E9D" w:rsidRPr="00DE12A3">
        <w:t xml:space="preserve">EN16726:2015 uyarınca MN değerini hesaplamak için, 2.1 bendi, 3.1 bendi veya 3.2 bendi ve yerine göre, 4.1 bendi uyarınca gaz analizi sonuçları ile birlikte 2.2 ve 3.3 bentleri uyarınca ölçülen gaz kütle akış hızı kullanılmalıdır. </w:t>
      </w:r>
      <w:r w:rsidR="00FA0678" w:rsidRPr="00DE12A3">
        <w:t>2. Açıklayıcı Ek</w:t>
      </w:r>
      <w:r w:rsidR="00F33E9D" w:rsidRPr="00DE12A3">
        <w:t>te belirtilen prosedür uyarınca S</w:t>
      </w:r>
      <w:r w:rsidR="00F33E9D" w:rsidRPr="00DE12A3">
        <w:rPr>
          <w:vertAlign w:val="subscript"/>
        </w:rPr>
        <w:t>λ</w:t>
      </w:r>
      <w:r w:rsidR="00F33E9D" w:rsidRPr="00DE12A3">
        <w:t xml:space="preserve"> değerini hesaplamak için aynı veri seti kullanılmalıdır.</w:t>
      </w:r>
    </w:p>
    <w:p w14:paraId="36C1BF2F" w14:textId="477F674E" w:rsidR="00F33E9D" w:rsidRPr="00DE12A3" w:rsidRDefault="00930EA5" w:rsidP="00930EA5">
      <w:pPr>
        <w:pStyle w:val="Text2"/>
        <w:ind w:left="0"/>
        <w:rPr>
          <w:b/>
        </w:rPr>
      </w:pPr>
      <w:r w:rsidRPr="00DE12A3">
        <w:rPr>
          <w:b/>
        </w:rPr>
        <w:t xml:space="preserve">6. </w:t>
      </w:r>
      <w:r w:rsidR="00F33E9D" w:rsidRPr="00DE12A3">
        <w:rPr>
          <w:b/>
        </w:rPr>
        <w:t>Test sırasında gaz karışımının kontrolü ve doğrulanması</w:t>
      </w:r>
    </w:p>
    <w:p w14:paraId="41D02EBD" w14:textId="2F293E20" w:rsidR="00F33E9D" w:rsidRPr="00DE12A3" w:rsidRDefault="00930EA5" w:rsidP="00930EA5">
      <w:pPr>
        <w:pStyle w:val="Text2"/>
        <w:ind w:left="0"/>
      </w:pPr>
      <w:r w:rsidRPr="00DE12A3">
        <w:t xml:space="preserve">6.1. </w:t>
      </w:r>
      <w:r w:rsidR="00F33E9D" w:rsidRPr="00DE12A3">
        <w:t xml:space="preserve">Test sırasında gaz karışımının kontrolü ve doğrulanması, ya bir açık </w:t>
      </w:r>
      <w:r w:rsidR="00F310B5" w:rsidRPr="00DE12A3">
        <w:t>çevrim</w:t>
      </w:r>
      <w:r w:rsidR="00F33E9D" w:rsidRPr="00DE12A3">
        <w:t xml:space="preserve"> ya da bir kapalı </w:t>
      </w:r>
      <w:r w:rsidR="00F310B5" w:rsidRPr="00DE12A3">
        <w:t>çevrim</w:t>
      </w:r>
      <w:r w:rsidR="00F33E9D" w:rsidRPr="00DE12A3">
        <w:t xml:space="preserve"> kontrol sistemi kullanılarak yapılmalıdır.</w:t>
      </w:r>
    </w:p>
    <w:p w14:paraId="6A9DD922" w14:textId="217D5209" w:rsidR="00F33E9D" w:rsidRPr="00DE12A3" w:rsidRDefault="00930EA5" w:rsidP="00930EA5">
      <w:pPr>
        <w:pStyle w:val="Text2"/>
        <w:ind w:left="0"/>
      </w:pPr>
      <w:r w:rsidRPr="00DE12A3">
        <w:t xml:space="preserve">6.2. </w:t>
      </w:r>
      <w:r w:rsidR="00F33E9D" w:rsidRPr="00DE12A3">
        <w:t xml:space="preserve">Açık </w:t>
      </w:r>
      <w:r w:rsidR="00F310B5" w:rsidRPr="00DE12A3">
        <w:t>çevrim</w:t>
      </w:r>
      <w:r w:rsidR="00F33E9D" w:rsidRPr="00DE12A3">
        <w:t xml:space="preserve"> karışım kontrol sistemi</w:t>
      </w:r>
    </w:p>
    <w:p w14:paraId="449FCA56" w14:textId="5512C1E3" w:rsidR="00F33E9D" w:rsidRPr="00DE12A3" w:rsidRDefault="00F33E9D" w:rsidP="00930EA5">
      <w:pPr>
        <w:pStyle w:val="Text2"/>
        <w:ind w:left="0"/>
      </w:pPr>
      <w:r w:rsidRPr="00DE12A3">
        <w:t>6.2.</w:t>
      </w:r>
      <w:r w:rsidR="00930EA5" w:rsidRPr="00DE12A3">
        <w:t>1.</w:t>
      </w:r>
      <w:r w:rsidRPr="00DE12A3">
        <w:t xml:space="preserve"> Bu durumda gaz analizi, akış ölçümleri ve 1</w:t>
      </w:r>
      <w:r w:rsidR="00C13CC7" w:rsidRPr="00DE12A3">
        <w:t xml:space="preserve"> ila </w:t>
      </w:r>
      <w:r w:rsidRPr="00DE12A3">
        <w:t xml:space="preserve">4. </w:t>
      </w:r>
      <w:r w:rsidR="00C13CC7" w:rsidRPr="00DE12A3">
        <w:t xml:space="preserve">Bölümlerde </w:t>
      </w:r>
      <w:r w:rsidRPr="00DE12A3">
        <w:t>belirtilen hesaplamalar emisyon analizinden önce yapılmalıdır.</w:t>
      </w:r>
    </w:p>
    <w:p w14:paraId="41222F0B" w14:textId="521EFBB4" w:rsidR="00F33E9D" w:rsidRPr="00DE12A3" w:rsidRDefault="00F33E9D" w:rsidP="00930EA5">
      <w:pPr>
        <w:pStyle w:val="Text2"/>
        <w:ind w:left="0"/>
      </w:pPr>
      <w:r w:rsidRPr="00DE12A3">
        <w:t>6.2.2</w:t>
      </w:r>
      <w:r w:rsidR="00930EA5" w:rsidRPr="00DE12A3">
        <w:t>.</w:t>
      </w:r>
      <w:r w:rsidRPr="00DE12A3">
        <w:t xml:space="preserve"> Şebeke gazının ve karışımların oranı, S</w:t>
      </w:r>
      <w:r w:rsidRPr="00DE12A3">
        <w:rPr>
          <w:vertAlign w:val="subscript"/>
        </w:rPr>
        <w:t>λ</w:t>
      </w:r>
      <w:r w:rsidRPr="00DE12A3">
        <w:t>'nın Tablo 9.1 içindeki ilgili referans yakıt için izin verilen aralık dahilinde olmasını sağlayacak şekilde ayarlanmalıdır.</w:t>
      </w:r>
    </w:p>
    <w:p w14:paraId="04D29014" w14:textId="09AB1138" w:rsidR="00FA1F41" w:rsidRPr="00DE12A3" w:rsidRDefault="00FA1F41" w:rsidP="00930EA5">
      <w:pPr>
        <w:pStyle w:val="Text2"/>
        <w:ind w:left="0"/>
      </w:pPr>
      <w:r w:rsidRPr="00DE12A3">
        <w:t>6.2.3. Nispi oranlar belirlendiğinde, bunlar emisyon testi boyunca korunmalıdır. Nispi oranların korunması için münferit akış hızlarında ayarlamalara izin verilmelidir.</w:t>
      </w:r>
    </w:p>
    <w:p w14:paraId="1CEDFA34" w14:textId="174EC2B6" w:rsidR="00FA1F41" w:rsidRPr="00DE12A3" w:rsidRDefault="00FA1F41" w:rsidP="00930EA5">
      <w:pPr>
        <w:pStyle w:val="Text2"/>
        <w:ind w:left="0"/>
      </w:pPr>
      <w:r w:rsidRPr="00DE12A3">
        <w:lastRenderedPageBreak/>
        <w:t>6.2.4. Emisyon testi tamamlandığında, gaz bileşimi analizi, akış ölçümleri ve 2</w:t>
      </w:r>
      <w:r w:rsidR="00C13CC7" w:rsidRPr="00DE12A3">
        <w:t xml:space="preserve"> ila</w:t>
      </w:r>
      <w:r w:rsidRPr="00DE12A3">
        <w:t xml:space="preserve"> 5. </w:t>
      </w:r>
      <w:r w:rsidR="00C13CC7" w:rsidRPr="00DE12A3">
        <w:t xml:space="preserve">Bölümlerde </w:t>
      </w:r>
      <w:r w:rsidRPr="00DE12A3">
        <w:t>belirtilen hesaplamalar tekrarlanmalıdır. Testin geçerli sayılması için S</w:t>
      </w:r>
      <w:r w:rsidRPr="00DE12A3">
        <w:rPr>
          <w:vertAlign w:val="subscript"/>
        </w:rPr>
        <w:t>λ</w:t>
      </w:r>
      <w:r w:rsidRPr="00DE12A3">
        <w:t xml:space="preserve"> değeri, Tablo 9.1 içindeki ilgili referans yakıt için belirtilen aralık dahilinde kalmalıdır.</w:t>
      </w:r>
    </w:p>
    <w:p w14:paraId="70A45370" w14:textId="2046BB4D" w:rsidR="00FA1F41" w:rsidRPr="00DE12A3" w:rsidRDefault="00FA1F41" w:rsidP="00930EA5">
      <w:pPr>
        <w:pStyle w:val="Text2"/>
        <w:ind w:left="0"/>
      </w:pPr>
      <w:r w:rsidRPr="00DE12A3">
        <w:t xml:space="preserve">6.3. Kapalı </w:t>
      </w:r>
      <w:r w:rsidR="00F310B5" w:rsidRPr="00DE12A3">
        <w:t>çevrim</w:t>
      </w:r>
      <w:r w:rsidRPr="00DE12A3">
        <w:t xml:space="preserve"> karışım kontrol sistemi</w:t>
      </w:r>
    </w:p>
    <w:p w14:paraId="6B21D284" w14:textId="1ABD3CB7" w:rsidR="00FA1F41" w:rsidRPr="00DE12A3" w:rsidRDefault="00FA1F41" w:rsidP="00930EA5">
      <w:pPr>
        <w:pStyle w:val="Text2"/>
        <w:ind w:left="0"/>
      </w:pPr>
      <w:r w:rsidRPr="00DE12A3">
        <w:t>6.3.1. Bu durumda, gaz bileşimi analizi, akış ölçümleri ve 2</w:t>
      </w:r>
      <w:r w:rsidR="00C13CC7" w:rsidRPr="00DE12A3">
        <w:t xml:space="preserve"> ila </w:t>
      </w:r>
      <w:r w:rsidRPr="00DE12A3">
        <w:t xml:space="preserve">5. </w:t>
      </w:r>
      <w:r w:rsidR="00C13CC7" w:rsidRPr="00DE12A3">
        <w:t xml:space="preserve">Bölümlerde </w:t>
      </w:r>
      <w:r w:rsidRPr="00DE12A3">
        <w:t>belirtilen hesaplamalar, emisyon testi sırasında aralıklarla gerçekleştirilmelidir. Aralıklar, gaz kromatografın frekans kabiliyeti ve ona karşılık gelen hesaplama sistemi göz önüne alınarak seçilmelidir.</w:t>
      </w:r>
    </w:p>
    <w:p w14:paraId="0B960246" w14:textId="24801C30" w:rsidR="00FA1F41" w:rsidRPr="00DE12A3" w:rsidRDefault="00FA1F41" w:rsidP="00930EA5">
      <w:pPr>
        <w:pStyle w:val="Text2"/>
        <w:ind w:left="0"/>
      </w:pPr>
      <w:r w:rsidRPr="00DE12A3">
        <w:t>6.3.2. Periyodik ölçümlerden ve hesaplamalardan elde edilen sonuçlar, ilgili referans yakıt için S</w:t>
      </w:r>
      <w:r w:rsidRPr="00DE12A3">
        <w:rPr>
          <w:vertAlign w:val="subscript"/>
        </w:rPr>
        <w:t>λ</w:t>
      </w:r>
      <w:r w:rsidRPr="00DE12A3">
        <w:t xml:space="preserve"> değerini Tablo 9.1 içinde belirtilen aralık dahilinde tutmak için şebeke gazının ve karışımın nispi oranlarını ayarlamak için kullanılmalıdır. Ayarlama sıklığı, ölçüm sıklığını aşmamalıdır.</w:t>
      </w:r>
    </w:p>
    <w:p w14:paraId="14E1F5B3" w14:textId="61C61FE6" w:rsidR="00F33E9D" w:rsidRPr="00DE12A3" w:rsidRDefault="00FA1F41" w:rsidP="00930EA5">
      <w:pPr>
        <w:pStyle w:val="Text2"/>
        <w:ind w:left="0"/>
      </w:pPr>
      <w:r w:rsidRPr="00DE12A3">
        <w:t>6.3.3. Testin geçerli sayılması için S</w:t>
      </w:r>
      <w:r w:rsidRPr="00DE12A3">
        <w:rPr>
          <w:vertAlign w:val="subscript"/>
        </w:rPr>
        <w:t>λ</w:t>
      </w:r>
      <w:r w:rsidRPr="00DE12A3">
        <w:t xml:space="preserve"> değeri, ölçüm noktalarının en az % 90'ında ilgili referans yakıt için Tablo 9.1 içinde belirtilen aralık dahilinde olmalıdır.</w:t>
      </w:r>
    </w:p>
    <w:p w14:paraId="16412F55" w14:textId="77777777" w:rsidR="00FA1F41" w:rsidRPr="00DE12A3" w:rsidRDefault="00FA1F41" w:rsidP="00C917D6">
      <w:pPr>
        <w:spacing w:before="120" w:after="120"/>
        <w:rPr>
          <w:rFonts w:cs="Times New Roman"/>
          <w:color w:val="auto"/>
        </w:rPr>
      </w:pPr>
    </w:p>
    <w:p w14:paraId="6AF38F24" w14:textId="35416022" w:rsidR="003A7EF8" w:rsidRPr="00DE12A3" w:rsidRDefault="003A7EF8">
      <w:pPr>
        <w:widowControl/>
        <w:rPr>
          <w:rFonts w:cs="Times New Roman"/>
          <w:color w:val="auto"/>
        </w:rPr>
      </w:pPr>
      <w:r w:rsidRPr="00DE12A3">
        <w:rPr>
          <w:rFonts w:cs="Times New Roman"/>
          <w:color w:val="auto"/>
        </w:rPr>
        <w:br w:type="page"/>
      </w:r>
    </w:p>
    <w:p w14:paraId="1CC74F5E" w14:textId="77777777" w:rsidR="00FA1F41" w:rsidRPr="00DE12A3" w:rsidRDefault="00FA1F41" w:rsidP="003A7EF8">
      <w:pPr>
        <w:pStyle w:val="Balk2"/>
        <w:rPr>
          <w:color w:val="auto"/>
        </w:rPr>
      </w:pPr>
      <w:r w:rsidRPr="00DE12A3">
        <w:rPr>
          <w:color w:val="auto"/>
        </w:rPr>
        <w:lastRenderedPageBreak/>
        <w:t>2. Açıklayıcı Ek</w:t>
      </w:r>
    </w:p>
    <w:p w14:paraId="2DE6B4A2" w14:textId="77777777" w:rsidR="005A58FA" w:rsidRPr="00DE12A3" w:rsidRDefault="005A58FA" w:rsidP="005A58FA">
      <w:pPr>
        <w:pStyle w:val="Annexetitreacte"/>
        <w:jc w:val="left"/>
        <w:rPr>
          <w:u w:val="none"/>
        </w:rPr>
      </w:pPr>
    </w:p>
    <w:p w14:paraId="253C8338" w14:textId="2D22DF8B" w:rsidR="00FA1F41" w:rsidRPr="00DE12A3" w:rsidRDefault="00FA1F41" w:rsidP="009849CC">
      <w:pPr>
        <w:pStyle w:val="Annexetitreacte"/>
        <w:rPr>
          <w:u w:val="none"/>
        </w:rPr>
      </w:pPr>
      <w:r w:rsidRPr="00DE12A3">
        <w:rPr>
          <w:u w:val="none"/>
        </w:rPr>
        <w:t>λ-</w:t>
      </w:r>
      <w:r w:rsidR="00C917D6" w:rsidRPr="00DE12A3">
        <w:rPr>
          <w:u w:val="none"/>
        </w:rPr>
        <w:t>değiştirme faktörü</w:t>
      </w:r>
      <w:r w:rsidRPr="00DE12A3">
        <w:rPr>
          <w:u w:val="none"/>
        </w:rPr>
        <w:t>nün (S</w:t>
      </w:r>
      <w:r w:rsidRPr="00DE12A3">
        <w:rPr>
          <w:u w:val="none"/>
          <w:vertAlign w:val="subscript"/>
        </w:rPr>
        <w:t>λ</w:t>
      </w:r>
      <w:r w:rsidRPr="00DE12A3">
        <w:rPr>
          <w:u w:val="none"/>
        </w:rPr>
        <w:t>) hesaplanması</w:t>
      </w:r>
    </w:p>
    <w:p w14:paraId="1D82CC6B" w14:textId="77777777" w:rsidR="00FA1F41" w:rsidRPr="00DE12A3" w:rsidRDefault="00FA1F41" w:rsidP="005A58FA">
      <w:pPr>
        <w:pStyle w:val="Annexetitreacte"/>
        <w:jc w:val="left"/>
        <w:rPr>
          <w:b w:val="0"/>
          <w:u w:val="none"/>
        </w:rPr>
      </w:pPr>
    </w:p>
    <w:p w14:paraId="3DE8ECE1" w14:textId="61FCA033" w:rsidR="00FA1F41" w:rsidRPr="00DE12A3" w:rsidRDefault="005A58FA" w:rsidP="005A58FA">
      <w:pPr>
        <w:pStyle w:val="Annexetitreacte"/>
        <w:jc w:val="both"/>
        <w:rPr>
          <w:u w:val="none"/>
        </w:rPr>
      </w:pPr>
      <w:r w:rsidRPr="00DE12A3">
        <w:rPr>
          <w:u w:val="none"/>
        </w:rPr>
        <w:t xml:space="preserve">1. </w:t>
      </w:r>
      <w:r w:rsidR="00FA1F41" w:rsidRPr="00DE12A3">
        <w:rPr>
          <w:u w:val="none"/>
        </w:rPr>
        <w:t>Hesaplama</w:t>
      </w:r>
    </w:p>
    <w:p w14:paraId="2BD43C92" w14:textId="69AB74B8" w:rsidR="00FA1F41" w:rsidRPr="00DE12A3" w:rsidRDefault="00FA1F41" w:rsidP="005A58FA">
      <w:pPr>
        <w:pStyle w:val="Annexetitreacte"/>
        <w:ind w:left="1134"/>
        <w:jc w:val="left"/>
        <w:rPr>
          <w:b w:val="0"/>
          <w:u w:val="none"/>
        </w:rPr>
      </w:pPr>
      <w:r w:rsidRPr="00DE12A3">
        <w:rPr>
          <w:b w:val="0"/>
          <w:u w:val="none"/>
        </w:rPr>
        <w:t>λ-</w:t>
      </w:r>
      <w:r w:rsidR="00C917D6" w:rsidRPr="00DE12A3">
        <w:rPr>
          <w:b w:val="0"/>
          <w:u w:val="none"/>
        </w:rPr>
        <w:t>değiştirme faktörü</w:t>
      </w:r>
      <w:r w:rsidRPr="00DE12A3">
        <w:rPr>
          <w:b w:val="0"/>
          <w:u w:val="none"/>
        </w:rPr>
        <w:t xml:space="preserve"> (S</w:t>
      </w:r>
      <w:r w:rsidRPr="00DE12A3">
        <w:rPr>
          <w:b w:val="0"/>
          <w:u w:val="none"/>
          <w:vertAlign w:val="subscript"/>
        </w:rPr>
        <w:t>λ</w:t>
      </w:r>
      <w:r w:rsidRPr="00DE12A3">
        <w:rPr>
          <w:b w:val="0"/>
          <w:u w:val="none"/>
        </w:rPr>
        <w:t xml:space="preserve">) , (9-1) </w:t>
      </w:r>
      <w:r w:rsidR="00C13CC7" w:rsidRPr="00DE12A3">
        <w:rPr>
          <w:b w:val="0"/>
          <w:u w:val="none"/>
        </w:rPr>
        <w:t xml:space="preserve">numaralı </w:t>
      </w:r>
      <w:r w:rsidRPr="00DE12A3">
        <w:rPr>
          <w:b w:val="0"/>
          <w:u w:val="none"/>
        </w:rPr>
        <w:t>denklem ile hesaplanmalıdır:</w:t>
      </w:r>
    </w:p>
    <w:p w14:paraId="082475CC" w14:textId="77777777" w:rsidR="00FA1F41" w:rsidRPr="00DE12A3" w:rsidRDefault="00FA1F41" w:rsidP="005A58FA">
      <w:pPr>
        <w:pStyle w:val="Annexetitreacte"/>
        <w:jc w:val="left"/>
        <w:rPr>
          <w:b w:val="0"/>
          <w:u w:val="none"/>
        </w:rPr>
      </w:pPr>
    </w:p>
    <w:p w14:paraId="79C7D4E5" w14:textId="77777777" w:rsidR="009F4766" w:rsidRPr="00DE12A3" w:rsidRDefault="009F4766" w:rsidP="005A58FA">
      <w:pPr>
        <w:spacing w:before="120" w:after="120"/>
        <w:rPr>
          <w:rFonts w:cs="Times New Roman"/>
          <w:color w:val="auto"/>
        </w:rPr>
      </w:pPr>
    </w:p>
    <w:tbl>
      <w:tblPr>
        <w:tblW w:w="0" w:type="auto"/>
        <w:jc w:val="center"/>
        <w:tblLayout w:type="fixed"/>
        <w:tblLook w:val="0000" w:firstRow="0" w:lastRow="0" w:firstColumn="0" w:lastColumn="0" w:noHBand="0" w:noVBand="0"/>
      </w:tblPr>
      <w:tblGrid>
        <w:gridCol w:w="4813"/>
        <w:gridCol w:w="1357"/>
      </w:tblGrid>
      <w:tr w:rsidR="009F4766" w:rsidRPr="00DE12A3" w14:paraId="75CE0321" w14:textId="77777777" w:rsidTr="002000F9">
        <w:trPr>
          <w:trHeight w:val="1265"/>
          <w:jc w:val="center"/>
        </w:trPr>
        <w:tc>
          <w:tcPr>
            <w:tcW w:w="4813" w:type="dxa"/>
          </w:tcPr>
          <w:p w14:paraId="023F4178" w14:textId="78416BD3" w:rsidR="009F4766" w:rsidRPr="00DE12A3" w:rsidRDefault="009F4766" w:rsidP="005A58FA">
            <w:pPr>
              <w:pStyle w:val="NormalLeft"/>
            </w:pPr>
            <w:r w:rsidRPr="00DE12A3">
              <w:rPr>
                <w:noProof/>
                <w:lang w:val="tr-TR"/>
              </w:rPr>
              <w:drawing>
                <wp:inline distT="0" distB="0" distL="0" distR="0" wp14:anchorId="24733394" wp14:editId="728E7EDE">
                  <wp:extent cx="2737338" cy="838200"/>
                  <wp:effectExtent l="0" t="0" r="6350" b="0"/>
                  <wp:docPr id="1987" name="Resim 19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pic:cNvPicPr>
                            <a:picLocks noChangeAspect="1" noChangeArrowheads="1"/>
                          </pic:cNvPicPr>
                        </pic:nvPicPr>
                        <pic:blipFill>
                          <a:blip r:embed="rId269">
                            <a:extLst>
                              <a:ext uri="{28A0092B-C50C-407E-A947-70E740481C1C}">
                                <a14:useLocalDpi xmlns:a14="http://schemas.microsoft.com/office/drawing/2010/main" val="0"/>
                              </a:ext>
                            </a:extLst>
                          </a:blip>
                          <a:srcRect/>
                          <a:stretch>
                            <a:fillRect/>
                          </a:stretch>
                        </pic:blipFill>
                        <pic:spPr bwMode="auto">
                          <a:xfrm>
                            <a:off x="0" y="0"/>
                            <a:ext cx="2743736" cy="840159"/>
                          </a:xfrm>
                          <a:prstGeom prst="rect">
                            <a:avLst/>
                          </a:prstGeom>
                          <a:noFill/>
                          <a:ln>
                            <a:noFill/>
                          </a:ln>
                        </pic:spPr>
                      </pic:pic>
                    </a:graphicData>
                  </a:graphic>
                </wp:inline>
              </w:drawing>
            </w:r>
          </w:p>
        </w:tc>
        <w:tc>
          <w:tcPr>
            <w:tcW w:w="1357" w:type="dxa"/>
          </w:tcPr>
          <w:p w14:paraId="4FBF37D7" w14:textId="77777777" w:rsidR="009F4766" w:rsidRPr="00DE12A3" w:rsidRDefault="009F4766" w:rsidP="005A58FA">
            <w:pPr>
              <w:pStyle w:val="NormalLeft"/>
            </w:pPr>
            <w:r w:rsidRPr="00DE12A3">
              <w:t>(9-1)</w:t>
            </w:r>
          </w:p>
        </w:tc>
      </w:tr>
    </w:tbl>
    <w:p w14:paraId="7B5AF987" w14:textId="77777777" w:rsidR="009F4766" w:rsidRPr="00DE12A3" w:rsidRDefault="009F4766" w:rsidP="005A58FA">
      <w:pPr>
        <w:spacing w:before="120" w:after="120"/>
        <w:rPr>
          <w:rFonts w:cs="Times New Roman"/>
          <w:color w:val="auto"/>
        </w:rPr>
      </w:pPr>
    </w:p>
    <w:p w14:paraId="6C23A9A6" w14:textId="77777777" w:rsidR="009F4766" w:rsidRPr="00DE12A3" w:rsidRDefault="008B3D9F" w:rsidP="005A58FA">
      <w:pPr>
        <w:spacing w:before="120" w:after="120"/>
        <w:rPr>
          <w:rFonts w:cs="Times New Roman"/>
          <w:color w:val="auto"/>
        </w:rPr>
      </w:pPr>
      <w:r w:rsidRPr="00DE12A3">
        <w:rPr>
          <w:rFonts w:cs="Times New Roman"/>
          <w:color w:val="auto"/>
        </w:rPr>
        <w:t>Burada</w:t>
      </w:r>
      <w:r w:rsidR="009F4766" w:rsidRPr="00DE12A3">
        <w:rPr>
          <w:rFonts w:cs="Times New Roman"/>
          <w:color w:val="auto"/>
        </w:rPr>
        <w:t>:</w:t>
      </w:r>
    </w:p>
    <w:tbl>
      <w:tblPr>
        <w:tblW w:w="0" w:type="auto"/>
        <w:jc w:val="center"/>
        <w:tblLayout w:type="fixed"/>
        <w:tblLook w:val="0000" w:firstRow="0" w:lastRow="0" w:firstColumn="0" w:lastColumn="0" w:noHBand="0" w:noVBand="0"/>
      </w:tblPr>
      <w:tblGrid>
        <w:gridCol w:w="1198"/>
        <w:gridCol w:w="559"/>
        <w:gridCol w:w="6229"/>
      </w:tblGrid>
      <w:tr w:rsidR="00DE12A3" w:rsidRPr="00DE12A3" w14:paraId="7F093CC0" w14:textId="77777777" w:rsidTr="002000F9">
        <w:trPr>
          <w:jc w:val="center"/>
        </w:trPr>
        <w:tc>
          <w:tcPr>
            <w:tcW w:w="1198" w:type="dxa"/>
          </w:tcPr>
          <w:p w14:paraId="2F303E04" w14:textId="77777777" w:rsidR="00FA1F41" w:rsidRPr="00DE12A3" w:rsidRDefault="00FA1F41" w:rsidP="005A58FA">
            <w:pPr>
              <w:pStyle w:val="NormalLeft"/>
            </w:pPr>
            <w:r w:rsidRPr="00DE12A3">
              <w:t>S</w:t>
            </w:r>
            <w:r w:rsidRPr="00DE12A3">
              <w:rPr>
                <w:vertAlign w:val="subscript"/>
              </w:rPr>
              <w:t>λ</w:t>
            </w:r>
          </w:p>
        </w:tc>
        <w:tc>
          <w:tcPr>
            <w:tcW w:w="559" w:type="dxa"/>
          </w:tcPr>
          <w:p w14:paraId="68C7EAE7" w14:textId="77777777" w:rsidR="00FA1F41" w:rsidRPr="00DE12A3" w:rsidRDefault="00FA1F41" w:rsidP="005A58FA">
            <w:pPr>
              <w:pStyle w:val="NormalLeft"/>
            </w:pPr>
            <w:r w:rsidRPr="00DE12A3">
              <w:t>=</w:t>
            </w:r>
          </w:p>
        </w:tc>
        <w:tc>
          <w:tcPr>
            <w:tcW w:w="6229" w:type="dxa"/>
          </w:tcPr>
          <w:p w14:paraId="588B9CBF" w14:textId="77777777" w:rsidR="00FA1F41" w:rsidRPr="00DE12A3" w:rsidRDefault="00FA1F41" w:rsidP="005A58FA">
            <w:pPr>
              <w:spacing w:before="120" w:after="120"/>
              <w:rPr>
                <w:rFonts w:cs="Times New Roman"/>
                <w:color w:val="auto"/>
              </w:rPr>
            </w:pPr>
            <w:r w:rsidRPr="00DE12A3">
              <w:rPr>
                <w:rFonts w:cs="Times New Roman"/>
                <w:color w:val="auto"/>
              </w:rPr>
              <w:t>λ-</w:t>
            </w:r>
            <w:r w:rsidR="00C917D6" w:rsidRPr="00DE12A3">
              <w:rPr>
                <w:rFonts w:cs="Times New Roman"/>
                <w:color w:val="auto"/>
              </w:rPr>
              <w:t>değiştirme faktörü</w:t>
            </w:r>
            <w:r w:rsidRPr="00DE12A3">
              <w:rPr>
                <w:rFonts w:cs="Times New Roman"/>
                <w:color w:val="auto"/>
              </w:rPr>
              <w:t>;</w:t>
            </w:r>
          </w:p>
        </w:tc>
      </w:tr>
      <w:tr w:rsidR="00DE12A3" w:rsidRPr="00DE12A3" w14:paraId="5A4E3310" w14:textId="77777777" w:rsidTr="002000F9">
        <w:trPr>
          <w:jc w:val="center"/>
        </w:trPr>
        <w:tc>
          <w:tcPr>
            <w:tcW w:w="1198" w:type="dxa"/>
          </w:tcPr>
          <w:p w14:paraId="206C8B23" w14:textId="77777777" w:rsidR="00FA1F41" w:rsidRPr="00DE12A3" w:rsidRDefault="00FA1F41" w:rsidP="005A58FA">
            <w:pPr>
              <w:pStyle w:val="NormalLeft"/>
            </w:pPr>
            <w:r w:rsidRPr="00DE12A3">
              <w:t>inert %</w:t>
            </w:r>
          </w:p>
        </w:tc>
        <w:tc>
          <w:tcPr>
            <w:tcW w:w="559" w:type="dxa"/>
          </w:tcPr>
          <w:p w14:paraId="7F227B14" w14:textId="77777777" w:rsidR="00FA1F41" w:rsidRPr="00DE12A3" w:rsidRDefault="00FA1F41" w:rsidP="005A58FA">
            <w:pPr>
              <w:pStyle w:val="NormalLeft"/>
            </w:pPr>
            <w:r w:rsidRPr="00DE12A3">
              <w:t>=</w:t>
            </w:r>
          </w:p>
        </w:tc>
        <w:tc>
          <w:tcPr>
            <w:tcW w:w="6229" w:type="dxa"/>
          </w:tcPr>
          <w:p w14:paraId="68D8A566" w14:textId="16DDFC41" w:rsidR="00FA1F41" w:rsidRPr="00DE12A3" w:rsidRDefault="00BF5FC6" w:rsidP="005A58FA">
            <w:pPr>
              <w:spacing w:before="120" w:after="120"/>
              <w:rPr>
                <w:rFonts w:cs="Times New Roman"/>
                <w:color w:val="auto"/>
              </w:rPr>
            </w:pPr>
            <w:r w:rsidRPr="00DE12A3">
              <w:rPr>
                <w:rFonts w:cs="Times New Roman"/>
                <w:color w:val="auto"/>
              </w:rPr>
              <w:t>Yakıttaki</w:t>
            </w:r>
            <w:r w:rsidR="00FA1F41" w:rsidRPr="00DE12A3">
              <w:rPr>
                <w:rFonts w:cs="Times New Roman"/>
                <w:color w:val="auto"/>
              </w:rPr>
              <w:t xml:space="preserve"> soy gazların (yani N</w:t>
            </w:r>
            <w:r w:rsidR="00FA1F41" w:rsidRPr="00DE12A3">
              <w:rPr>
                <w:rFonts w:cs="Times New Roman"/>
                <w:color w:val="auto"/>
                <w:vertAlign w:val="subscript"/>
              </w:rPr>
              <w:t>2</w:t>
            </w:r>
            <w:r w:rsidR="00FA1F41" w:rsidRPr="00DE12A3">
              <w:rPr>
                <w:rFonts w:cs="Times New Roman"/>
                <w:color w:val="auto"/>
              </w:rPr>
              <w:t>, CO</w:t>
            </w:r>
            <w:r w:rsidR="00FA1F41" w:rsidRPr="00DE12A3">
              <w:rPr>
                <w:rFonts w:cs="Times New Roman"/>
                <w:color w:val="auto"/>
                <w:vertAlign w:val="subscript"/>
              </w:rPr>
              <w:t>2</w:t>
            </w:r>
            <w:r w:rsidR="00FA1F41" w:rsidRPr="00DE12A3">
              <w:rPr>
                <w:rFonts w:cs="Times New Roman"/>
                <w:color w:val="auto"/>
              </w:rPr>
              <w:t>, He v</w:t>
            </w:r>
            <w:r w:rsidR="00C13CC7" w:rsidRPr="00DE12A3">
              <w:rPr>
                <w:rFonts w:cs="Times New Roman"/>
                <w:color w:val="auto"/>
              </w:rPr>
              <w:t>e benzeri</w:t>
            </w:r>
            <w:r w:rsidR="00FA1F41" w:rsidRPr="00DE12A3">
              <w:rPr>
                <w:rFonts w:cs="Times New Roman"/>
                <w:color w:val="auto"/>
              </w:rPr>
              <w:t>) hacimce yüzdesi</w:t>
            </w:r>
            <w:r w:rsidR="00C13CC7" w:rsidRPr="00DE12A3">
              <w:rPr>
                <w:rFonts w:cs="Times New Roman"/>
                <w:color w:val="auto"/>
              </w:rPr>
              <w:t>.</w:t>
            </w:r>
          </w:p>
        </w:tc>
      </w:tr>
      <w:tr w:rsidR="00DE12A3" w:rsidRPr="00DE12A3" w14:paraId="7091A928" w14:textId="77777777" w:rsidTr="002000F9">
        <w:trPr>
          <w:jc w:val="center"/>
        </w:trPr>
        <w:tc>
          <w:tcPr>
            <w:tcW w:w="1198" w:type="dxa"/>
          </w:tcPr>
          <w:p w14:paraId="0509D411" w14:textId="5ECEAE18" w:rsidR="00FA1F41" w:rsidRPr="00DE12A3" w:rsidRDefault="00FA1F41" w:rsidP="005A58FA">
            <w:pPr>
              <w:pStyle w:val="NormalLeft"/>
            </w:pPr>
            <w:r w:rsidRPr="00DE12A3">
              <w:rPr>
                <w:noProof/>
                <w:lang w:val="tr-TR"/>
              </w:rPr>
              <w:drawing>
                <wp:inline distT="0" distB="0" distL="0" distR="0" wp14:anchorId="5FA5FD23" wp14:editId="7DED1688">
                  <wp:extent cx="292833" cy="167640"/>
                  <wp:effectExtent l="0" t="0" r="0" b="3810"/>
                  <wp:docPr id="1986" name="Resim 19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pic:cNvPicPr>
                            <a:picLocks noChangeAspect="1" noChangeArrowheads="1"/>
                          </pic:cNvPicPr>
                        </pic:nvPicPr>
                        <pic:blipFill>
                          <a:blip r:embed="rId270">
                            <a:extLst>
                              <a:ext uri="{28A0092B-C50C-407E-A947-70E740481C1C}">
                                <a14:useLocalDpi xmlns:a14="http://schemas.microsoft.com/office/drawing/2010/main" val="0"/>
                              </a:ext>
                            </a:extLst>
                          </a:blip>
                          <a:srcRect/>
                          <a:stretch>
                            <a:fillRect/>
                          </a:stretch>
                        </pic:blipFill>
                        <pic:spPr bwMode="auto">
                          <a:xfrm>
                            <a:off x="0" y="0"/>
                            <a:ext cx="306155" cy="175267"/>
                          </a:xfrm>
                          <a:prstGeom prst="rect">
                            <a:avLst/>
                          </a:prstGeom>
                          <a:noFill/>
                          <a:ln>
                            <a:noFill/>
                          </a:ln>
                        </pic:spPr>
                      </pic:pic>
                    </a:graphicData>
                  </a:graphic>
                </wp:inline>
              </w:drawing>
            </w:r>
          </w:p>
        </w:tc>
        <w:tc>
          <w:tcPr>
            <w:tcW w:w="559" w:type="dxa"/>
          </w:tcPr>
          <w:p w14:paraId="65194F30" w14:textId="77777777" w:rsidR="00FA1F41" w:rsidRPr="00DE12A3" w:rsidRDefault="00FA1F41" w:rsidP="005A58FA">
            <w:pPr>
              <w:pStyle w:val="NormalLeft"/>
            </w:pPr>
            <w:r w:rsidRPr="00DE12A3">
              <w:t>=</w:t>
            </w:r>
          </w:p>
        </w:tc>
        <w:tc>
          <w:tcPr>
            <w:tcW w:w="6229" w:type="dxa"/>
          </w:tcPr>
          <w:p w14:paraId="16FFDB6D" w14:textId="2484B3D0" w:rsidR="00FA1F41" w:rsidRPr="00DE12A3" w:rsidRDefault="00BF5FC6">
            <w:pPr>
              <w:spacing w:before="120" w:after="120"/>
              <w:rPr>
                <w:rFonts w:cs="Times New Roman"/>
                <w:color w:val="auto"/>
              </w:rPr>
            </w:pPr>
            <w:r w:rsidRPr="00DE12A3">
              <w:rPr>
                <w:rFonts w:cs="Times New Roman"/>
                <w:color w:val="auto"/>
              </w:rPr>
              <w:t>Yakıttaki</w:t>
            </w:r>
            <w:r w:rsidR="00FA1F41" w:rsidRPr="00DE12A3">
              <w:rPr>
                <w:rFonts w:cs="Times New Roman"/>
                <w:color w:val="auto"/>
              </w:rPr>
              <w:t xml:space="preserve"> </w:t>
            </w:r>
            <w:r w:rsidR="00C13CC7" w:rsidRPr="00DE12A3">
              <w:rPr>
                <w:rFonts w:cs="Times New Roman"/>
                <w:color w:val="auto"/>
              </w:rPr>
              <w:t xml:space="preserve">orjinal </w:t>
            </w:r>
            <w:r w:rsidR="00FA1F41" w:rsidRPr="00DE12A3">
              <w:rPr>
                <w:rFonts w:cs="Times New Roman"/>
                <w:color w:val="auto"/>
              </w:rPr>
              <w:t>oksijenin hacimce yüzdesi</w:t>
            </w:r>
            <w:r w:rsidR="00C13CC7" w:rsidRPr="00DE12A3">
              <w:rPr>
                <w:rFonts w:cs="Times New Roman"/>
                <w:color w:val="auto"/>
              </w:rPr>
              <w:t>.</w:t>
            </w:r>
          </w:p>
        </w:tc>
      </w:tr>
      <w:tr w:rsidR="009F4766" w:rsidRPr="00DE12A3" w14:paraId="330DBF1F" w14:textId="77777777" w:rsidTr="002000F9">
        <w:trPr>
          <w:trHeight w:val="1294"/>
          <w:jc w:val="center"/>
        </w:trPr>
        <w:tc>
          <w:tcPr>
            <w:tcW w:w="1198" w:type="dxa"/>
          </w:tcPr>
          <w:p w14:paraId="1F134517" w14:textId="77777777" w:rsidR="009F4766" w:rsidRPr="00DE12A3" w:rsidRDefault="009F4766" w:rsidP="005A58FA">
            <w:pPr>
              <w:pStyle w:val="NormalLeft"/>
            </w:pPr>
            <w:r w:rsidRPr="00DE12A3">
              <w:t>n and m</w:t>
            </w:r>
          </w:p>
        </w:tc>
        <w:tc>
          <w:tcPr>
            <w:tcW w:w="559" w:type="dxa"/>
          </w:tcPr>
          <w:p w14:paraId="414E4A03" w14:textId="77777777" w:rsidR="009F4766" w:rsidRPr="00DE12A3" w:rsidRDefault="009F4766" w:rsidP="005A58FA">
            <w:pPr>
              <w:pStyle w:val="NormalLeft"/>
            </w:pPr>
            <w:r w:rsidRPr="00DE12A3">
              <w:t>=</w:t>
            </w:r>
          </w:p>
        </w:tc>
        <w:tc>
          <w:tcPr>
            <w:tcW w:w="6229" w:type="dxa"/>
          </w:tcPr>
          <w:p w14:paraId="737A39F1" w14:textId="330A8128" w:rsidR="009F4766" w:rsidRPr="00DE12A3" w:rsidRDefault="00BF5FC6" w:rsidP="005A58FA">
            <w:pPr>
              <w:pStyle w:val="NormalLeft"/>
            </w:pPr>
            <w:r w:rsidRPr="00DE12A3">
              <w:t>Yakıt</w:t>
            </w:r>
            <w:r w:rsidR="00FA1F41" w:rsidRPr="00DE12A3">
              <w:t xml:space="preserve"> hidrokarbonlarını temsil eden ortalama CnHm, yani:</w:t>
            </w:r>
          </w:p>
        </w:tc>
      </w:tr>
    </w:tbl>
    <w:p w14:paraId="3169E9BF" w14:textId="77777777" w:rsidR="009F4766" w:rsidRPr="00DE12A3" w:rsidRDefault="009F4766" w:rsidP="005A58FA">
      <w:pPr>
        <w:spacing w:before="120" w:after="120"/>
        <w:rPr>
          <w:rFonts w:cs="Times New Roman"/>
          <w:color w:val="auto"/>
        </w:rPr>
      </w:pPr>
    </w:p>
    <w:tbl>
      <w:tblPr>
        <w:tblW w:w="8737" w:type="dxa"/>
        <w:jc w:val="center"/>
        <w:tblLayout w:type="fixed"/>
        <w:tblLook w:val="0000" w:firstRow="0" w:lastRow="0" w:firstColumn="0" w:lastColumn="0" w:noHBand="0" w:noVBand="0"/>
      </w:tblPr>
      <w:tblGrid>
        <w:gridCol w:w="7689"/>
        <w:gridCol w:w="1048"/>
      </w:tblGrid>
      <w:tr w:rsidR="00DE12A3" w:rsidRPr="00DE12A3" w14:paraId="69B8EACA" w14:textId="77777777" w:rsidTr="002000F9">
        <w:trPr>
          <w:trHeight w:val="1679"/>
          <w:jc w:val="center"/>
        </w:trPr>
        <w:tc>
          <w:tcPr>
            <w:tcW w:w="7689" w:type="dxa"/>
          </w:tcPr>
          <w:p w14:paraId="473903ED" w14:textId="3CCEF94F" w:rsidR="009F4766" w:rsidRPr="00DE12A3" w:rsidRDefault="009F4766" w:rsidP="005A58FA">
            <w:pPr>
              <w:pStyle w:val="NormalLeft"/>
            </w:pPr>
            <w:r w:rsidRPr="00DE12A3">
              <w:rPr>
                <w:noProof/>
                <w:lang w:val="tr-TR"/>
              </w:rPr>
              <w:drawing>
                <wp:inline distT="0" distB="0" distL="0" distR="0" wp14:anchorId="0B86520D" wp14:editId="3B066CE7">
                  <wp:extent cx="4461363" cy="920115"/>
                  <wp:effectExtent l="0" t="0" r="0" b="0"/>
                  <wp:docPr id="1985" name="Resim 19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pic:cNvPicPr>
                            <a:picLocks noChangeAspect="1" noChangeArrowheads="1"/>
                          </pic:cNvPicPr>
                        </pic:nvPicPr>
                        <pic:blipFill>
                          <a:blip r:embed="rId271">
                            <a:extLst>
                              <a:ext uri="{28A0092B-C50C-407E-A947-70E740481C1C}">
                                <a14:useLocalDpi xmlns:a14="http://schemas.microsoft.com/office/drawing/2010/main" val="0"/>
                              </a:ext>
                            </a:extLst>
                          </a:blip>
                          <a:srcRect/>
                          <a:stretch>
                            <a:fillRect/>
                          </a:stretch>
                        </pic:blipFill>
                        <pic:spPr bwMode="auto">
                          <a:xfrm>
                            <a:off x="0" y="0"/>
                            <a:ext cx="4482080" cy="924388"/>
                          </a:xfrm>
                          <a:prstGeom prst="rect">
                            <a:avLst/>
                          </a:prstGeom>
                          <a:noFill/>
                          <a:ln>
                            <a:noFill/>
                          </a:ln>
                        </pic:spPr>
                      </pic:pic>
                    </a:graphicData>
                  </a:graphic>
                </wp:inline>
              </w:drawing>
            </w:r>
          </w:p>
        </w:tc>
        <w:tc>
          <w:tcPr>
            <w:tcW w:w="1048" w:type="dxa"/>
          </w:tcPr>
          <w:p w14:paraId="71587622" w14:textId="77777777" w:rsidR="009F4766" w:rsidRPr="00DE12A3" w:rsidRDefault="009F4766" w:rsidP="005A58FA">
            <w:pPr>
              <w:pStyle w:val="NormalLeft"/>
            </w:pPr>
            <w:r w:rsidRPr="00DE12A3">
              <w:t>(9-2)</w:t>
            </w:r>
          </w:p>
        </w:tc>
      </w:tr>
      <w:tr w:rsidR="009F4766" w:rsidRPr="00DE12A3" w14:paraId="1D32A079" w14:textId="77777777" w:rsidTr="002000F9">
        <w:trPr>
          <w:trHeight w:val="1670"/>
          <w:jc w:val="center"/>
        </w:trPr>
        <w:tc>
          <w:tcPr>
            <w:tcW w:w="7689" w:type="dxa"/>
          </w:tcPr>
          <w:p w14:paraId="76142BB5" w14:textId="0F34D59A" w:rsidR="009F4766" w:rsidRPr="00DE12A3" w:rsidRDefault="009F4766" w:rsidP="005A58FA">
            <w:pPr>
              <w:pStyle w:val="NormalLeft"/>
            </w:pPr>
            <w:r w:rsidRPr="00DE12A3">
              <w:rPr>
                <w:noProof/>
                <w:lang w:val="tr-TR"/>
              </w:rPr>
              <w:drawing>
                <wp:inline distT="0" distB="0" distL="0" distR="0" wp14:anchorId="008CABE5" wp14:editId="2FAB18BB">
                  <wp:extent cx="4314092" cy="920115"/>
                  <wp:effectExtent l="0" t="0" r="0" b="0"/>
                  <wp:docPr id="1984" name="Resim 19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272">
                            <a:extLst>
                              <a:ext uri="{28A0092B-C50C-407E-A947-70E740481C1C}">
                                <a14:useLocalDpi xmlns:a14="http://schemas.microsoft.com/office/drawing/2010/main" val="0"/>
                              </a:ext>
                            </a:extLst>
                          </a:blip>
                          <a:srcRect/>
                          <a:stretch>
                            <a:fillRect/>
                          </a:stretch>
                        </pic:blipFill>
                        <pic:spPr bwMode="auto">
                          <a:xfrm>
                            <a:off x="0" y="0"/>
                            <a:ext cx="4325068" cy="922456"/>
                          </a:xfrm>
                          <a:prstGeom prst="rect">
                            <a:avLst/>
                          </a:prstGeom>
                          <a:noFill/>
                          <a:ln>
                            <a:noFill/>
                          </a:ln>
                        </pic:spPr>
                      </pic:pic>
                    </a:graphicData>
                  </a:graphic>
                </wp:inline>
              </w:drawing>
            </w:r>
          </w:p>
        </w:tc>
        <w:tc>
          <w:tcPr>
            <w:tcW w:w="1048" w:type="dxa"/>
          </w:tcPr>
          <w:p w14:paraId="7EDDC745" w14:textId="77777777" w:rsidR="009F4766" w:rsidRPr="00DE12A3" w:rsidRDefault="009F4766" w:rsidP="005A58FA">
            <w:pPr>
              <w:pStyle w:val="NormalLeft"/>
            </w:pPr>
            <w:r w:rsidRPr="00DE12A3">
              <w:t>(9- 3)</w:t>
            </w:r>
          </w:p>
        </w:tc>
      </w:tr>
    </w:tbl>
    <w:p w14:paraId="3A4305EB" w14:textId="77777777" w:rsidR="009F4766" w:rsidRPr="00DE12A3" w:rsidRDefault="009F4766" w:rsidP="005A58FA">
      <w:pPr>
        <w:spacing w:before="120" w:after="120"/>
        <w:rPr>
          <w:rFonts w:cs="Times New Roman"/>
          <w:color w:val="auto"/>
        </w:rPr>
      </w:pPr>
    </w:p>
    <w:p w14:paraId="3846D88C" w14:textId="77777777" w:rsidR="0075111D" w:rsidRPr="00DE12A3" w:rsidRDefault="0075111D" w:rsidP="005A58FA">
      <w:pPr>
        <w:spacing w:before="120" w:after="120"/>
        <w:rPr>
          <w:rFonts w:cs="Times New Roman"/>
          <w:color w:val="auto"/>
        </w:rPr>
      </w:pPr>
    </w:p>
    <w:p w14:paraId="10EE33FA" w14:textId="77777777" w:rsidR="0075111D" w:rsidRPr="00DE12A3" w:rsidRDefault="0075111D" w:rsidP="005A58FA">
      <w:pPr>
        <w:spacing w:before="120" w:after="120"/>
        <w:rPr>
          <w:rFonts w:cs="Times New Roman"/>
          <w:color w:val="auto"/>
        </w:rPr>
      </w:pPr>
    </w:p>
    <w:p w14:paraId="1D4CAB61" w14:textId="77777777" w:rsidR="0075111D" w:rsidRPr="00DE12A3" w:rsidRDefault="0075111D" w:rsidP="005A58FA">
      <w:pPr>
        <w:spacing w:before="120" w:after="120"/>
        <w:rPr>
          <w:rFonts w:cs="Times New Roman"/>
          <w:color w:val="auto"/>
        </w:rPr>
      </w:pPr>
    </w:p>
    <w:p w14:paraId="21576C80" w14:textId="77777777" w:rsidR="009F4766" w:rsidRPr="00DE12A3" w:rsidRDefault="008B3D9F" w:rsidP="005A58FA">
      <w:pPr>
        <w:spacing w:before="120" w:after="120"/>
        <w:rPr>
          <w:rFonts w:cs="Times New Roman"/>
          <w:color w:val="auto"/>
        </w:rPr>
      </w:pPr>
      <w:r w:rsidRPr="00DE12A3">
        <w:rPr>
          <w:rFonts w:cs="Times New Roman"/>
          <w:color w:val="auto"/>
        </w:rPr>
        <w:lastRenderedPageBreak/>
        <w:t>Burada</w:t>
      </w:r>
      <w:r w:rsidR="009F4766" w:rsidRPr="00DE12A3">
        <w:rPr>
          <w:rFonts w:cs="Times New Roman"/>
          <w:color w:val="auto"/>
        </w:rPr>
        <w:t>:</w:t>
      </w:r>
    </w:p>
    <w:tbl>
      <w:tblPr>
        <w:tblW w:w="0" w:type="auto"/>
        <w:tblInd w:w="279" w:type="dxa"/>
        <w:tblLayout w:type="fixed"/>
        <w:tblLook w:val="0000" w:firstRow="0" w:lastRow="0" w:firstColumn="0" w:lastColumn="0" w:noHBand="0" w:noVBand="0"/>
      </w:tblPr>
      <w:tblGrid>
        <w:gridCol w:w="1047"/>
        <w:gridCol w:w="611"/>
        <w:gridCol w:w="7071"/>
      </w:tblGrid>
      <w:tr w:rsidR="00DE12A3" w:rsidRPr="00DE12A3" w14:paraId="45A942C2" w14:textId="77777777" w:rsidTr="002000F9">
        <w:tc>
          <w:tcPr>
            <w:tcW w:w="1047" w:type="dxa"/>
          </w:tcPr>
          <w:p w14:paraId="31EA302F" w14:textId="77777777" w:rsidR="00FA1F41" w:rsidRPr="00DE12A3" w:rsidRDefault="00FA1F41" w:rsidP="005A58FA">
            <w:pPr>
              <w:pStyle w:val="NormalLeft"/>
            </w:pPr>
            <w:r w:rsidRPr="00DE12A3">
              <w:t>CH</w:t>
            </w:r>
            <w:r w:rsidRPr="00DE12A3">
              <w:rPr>
                <w:vertAlign w:val="subscript"/>
              </w:rPr>
              <w:t>4</w:t>
            </w:r>
          </w:p>
        </w:tc>
        <w:tc>
          <w:tcPr>
            <w:tcW w:w="611" w:type="dxa"/>
          </w:tcPr>
          <w:p w14:paraId="00475212" w14:textId="77777777" w:rsidR="00FA1F41" w:rsidRPr="00DE12A3" w:rsidRDefault="00FA1F41" w:rsidP="005A58FA">
            <w:pPr>
              <w:pStyle w:val="NormalLeft"/>
            </w:pPr>
            <w:r w:rsidRPr="00DE12A3">
              <w:t>=</w:t>
            </w:r>
          </w:p>
        </w:tc>
        <w:tc>
          <w:tcPr>
            <w:tcW w:w="7071" w:type="dxa"/>
          </w:tcPr>
          <w:p w14:paraId="4B242B98" w14:textId="52D3FE9B" w:rsidR="00FA1F41" w:rsidRPr="00DE12A3" w:rsidRDefault="00872F0E" w:rsidP="005A58FA">
            <w:pPr>
              <w:spacing w:before="120" w:after="120"/>
              <w:rPr>
                <w:rFonts w:cs="Times New Roman"/>
                <w:color w:val="auto"/>
              </w:rPr>
            </w:pPr>
            <w:r w:rsidRPr="00DE12A3">
              <w:rPr>
                <w:rFonts w:cs="Times New Roman"/>
                <w:color w:val="auto"/>
              </w:rPr>
              <w:t>Yakıttaki</w:t>
            </w:r>
            <w:r w:rsidR="00FA1F41" w:rsidRPr="00DE12A3">
              <w:rPr>
                <w:rFonts w:cs="Times New Roman"/>
                <w:color w:val="auto"/>
              </w:rPr>
              <w:t xml:space="preserve"> metanın hacim yüzdesi;</w:t>
            </w:r>
          </w:p>
        </w:tc>
      </w:tr>
      <w:tr w:rsidR="00DE12A3" w:rsidRPr="00DE12A3" w14:paraId="71821428" w14:textId="77777777" w:rsidTr="002000F9">
        <w:tc>
          <w:tcPr>
            <w:tcW w:w="1047" w:type="dxa"/>
          </w:tcPr>
          <w:p w14:paraId="0972DADB" w14:textId="77777777" w:rsidR="00FA1F41" w:rsidRPr="00DE12A3" w:rsidRDefault="00FA1F41" w:rsidP="005A58FA">
            <w:pPr>
              <w:pStyle w:val="NormalLeft"/>
            </w:pPr>
            <w:r w:rsidRPr="00DE12A3">
              <w:t>C</w:t>
            </w:r>
            <w:r w:rsidRPr="00DE12A3">
              <w:rPr>
                <w:vertAlign w:val="subscript"/>
              </w:rPr>
              <w:t>2</w:t>
            </w:r>
          </w:p>
        </w:tc>
        <w:tc>
          <w:tcPr>
            <w:tcW w:w="611" w:type="dxa"/>
          </w:tcPr>
          <w:p w14:paraId="1642B6E3" w14:textId="77777777" w:rsidR="00FA1F41" w:rsidRPr="00DE12A3" w:rsidRDefault="00FA1F41" w:rsidP="005A58FA">
            <w:pPr>
              <w:pStyle w:val="NormalLeft"/>
            </w:pPr>
            <w:r w:rsidRPr="00DE12A3">
              <w:t>=</w:t>
            </w:r>
          </w:p>
        </w:tc>
        <w:tc>
          <w:tcPr>
            <w:tcW w:w="7071" w:type="dxa"/>
          </w:tcPr>
          <w:p w14:paraId="186EE634" w14:textId="11F2E79D" w:rsidR="00FA1F41" w:rsidRPr="00DE12A3" w:rsidRDefault="00872F0E">
            <w:pPr>
              <w:spacing w:before="120" w:after="120"/>
              <w:rPr>
                <w:rFonts w:cs="Times New Roman"/>
                <w:color w:val="auto"/>
              </w:rPr>
            </w:pPr>
            <w:r w:rsidRPr="00DE12A3">
              <w:rPr>
                <w:rFonts w:cs="Times New Roman"/>
                <w:color w:val="auto"/>
              </w:rPr>
              <w:t>Yakıttaki</w:t>
            </w:r>
            <w:r w:rsidR="00FA1F41" w:rsidRPr="00DE12A3">
              <w:rPr>
                <w:rFonts w:cs="Times New Roman"/>
                <w:color w:val="auto"/>
              </w:rPr>
              <w:t xml:space="preserve"> tüm C2 hidrokarbonların (</w:t>
            </w:r>
            <w:r w:rsidR="005B014A" w:rsidRPr="00DE12A3">
              <w:rPr>
                <w:rFonts w:cs="Times New Roman"/>
                <w:color w:val="auto"/>
              </w:rPr>
              <w:t>örneğin</w:t>
            </w:r>
            <w:r w:rsidR="00FA1F41" w:rsidRPr="00DE12A3">
              <w:rPr>
                <w:rFonts w:cs="Times New Roman"/>
                <w:color w:val="auto"/>
              </w:rPr>
              <w:t>: C</w:t>
            </w:r>
            <w:r w:rsidR="00FA1F41" w:rsidRPr="00DE12A3">
              <w:rPr>
                <w:rFonts w:cs="Times New Roman"/>
                <w:color w:val="auto"/>
                <w:vertAlign w:val="subscript"/>
              </w:rPr>
              <w:t>2</w:t>
            </w:r>
            <w:r w:rsidR="00FA1F41" w:rsidRPr="00DE12A3">
              <w:rPr>
                <w:rFonts w:cs="Times New Roman"/>
                <w:color w:val="auto"/>
              </w:rPr>
              <w:t>H</w:t>
            </w:r>
            <w:r w:rsidR="00FA1F41" w:rsidRPr="00DE12A3">
              <w:rPr>
                <w:rFonts w:cs="Times New Roman"/>
                <w:color w:val="auto"/>
                <w:vertAlign w:val="subscript"/>
              </w:rPr>
              <w:t>6</w:t>
            </w:r>
            <w:r w:rsidR="00FA1F41" w:rsidRPr="00DE12A3">
              <w:rPr>
                <w:rFonts w:cs="Times New Roman"/>
                <w:color w:val="auto"/>
              </w:rPr>
              <w:t>, C</w:t>
            </w:r>
            <w:r w:rsidR="00FA1F41" w:rsidRPr="00DE12A3">
              <w:rPr>
                <w:rFonts w:cs="Times New Roman"/>
                <w:color w:val="auto"/>
                <w:vertAlign w:val="subscript"/>
              </w:rPr>
              <w:t>2</w:t>
            </w:r>
            <w:r w:rsidR="00FA1F41" w:rsidRPr="00DE12A3">
              <w:rPr>
                <w:rFonts w:cs="Times New Roman"/>
                <w:color w:val="auto"/>
              </w:rPr>
              <w:t>H</w:t>
            </w:r>
            <w:r w:rsidR="00FA1F41" w:rsidRPr="00DE12A3">
              <w:rPr>
                <w:rFonts w:cs="Times New Roman"/>
                <w:color w:val="auto"/>
                <w:vertAlign w:val="subscript"/>
              </w:rPr>
              <w:t>4</w:t>
            </w:r>
            <w:r w:rsidR="0002143D" w:rsidRPr="00DE12A3">
              <w:rPr>
                <w:rFonts w:cs="Times New Roman"/>
                <w:color w:val="auto"/>
              </w:rPr>
              <w:t xml:space="preserve"> ve benzeri</w:t>
            </w:r>
            <w:r w:rsidR="00FA1F41" w:rsidRPr="00DE12A3">
              <w:rPr>
                <w:rFonts w:cs="Times New Roman"/>
                <w:color w:val="auto"/>
              </w:rPr>
              <w:t>) hacimce yüzdesi;</w:t>
            </w:r>
          </w:p>
        </w:tc>
      </w:tr>
      <w:tr w:rsidR="00DE12A3" w:rsidRPr="00DE12A3" w14:paraId="371E8B99" w14:textId="77777777" w:rsidTr="002000F9">
        <w:tc>
          <w:tcPr>
            <w:tcW w:w="1047" w:type="dxa"/>
          </w:tcPr>
          <w:p w14:paraId="264C365F" w14:textId="77777777" w:rsidR="00FA1F41" w:rsidRPr="00DE12A3" w:rsidRDefault="00FA1F41" w:rsidP="005A58FA">
            <w:pPr>
              <w:pStyle w:val="NormalLeft"/>
            </w:pPr>
            <w:r w:rsidRPr="00DE12A3">
              <w:t>C</w:t>
            </w:r>
            <w:r w:rsidRPr="00DE12A3">
              <w:rPr>
                <w:vertAlign w:val="subscript"/>
              </w:rPr>
              <w:t>3</w:t>
            </w:r>
          </w:p>
        </w:tc>
        <w:tc>
          <w:tcPr>
            <w:tcW w:w="611" w:type="dxa"/>
          </w:tcPr>
          <w:p w14:paraId="54CEAD75" w14:textId="77777777" w:rsidR="00FA1F41" w:rsidRPr="00DE12A3" w:rsidRDefault="00FA1F41" w:rsidP="005A58FA">
            <w:pPr>
              <w:pStyle w:val="NormalLeft"/>
            </w:pPr>
            <w:r w:rsidRPr="00DE12A3">
              <w:t>=</w:t>
            </w:r>
          </w:p>
        </w:tc>
        <w:tc>
          <w:tcPr>
            <w:tcW w:w="7071" w:type="dxa"/>
          </w:tcPr>
          <w:p w14:paraId="17E13E45" w14:textId="2EAC3C97" w:rsidR="00FA1F41" w:rsidRPr="00DE12A3" w:rsidRDefault="00872F0E" w:rsidP="005A58FA">
            <w:pPr>
              <w:spacing w:before="120" w:after="120"/>
              <w:rPr>
                <w:rFonts w:cs="Times New Roman"/>
                <w:color w:val="auto"/>
              </w:rPr>
            </w:pPr>
            <w:r w:rsidRPr="00DE12A3">
              <w:rPr>
                <w:rFonts w:cs="Times New Roman"/>
                <w:color w:val="auto"/>
              </w:rPr>
              <w:t>Yakıttaki</w:t>
            </w:r>
            <w:r w:rsidR="00FA1F41" w:rsidRPr="00DE12A3">
              <w:rPr>
                <w:rFonts w:cs="Times New Roman"/>
                <w:color w:val="auto"/>
              </w:rPr>
              <w:t xml:space="preserve"> tüm C3 hidrokarbonların (</w:t>
            </w:r>
            <w:r w:rsidR="005B014A" w:rsidRPr="00DE12A3">
              <w:rPr>
                <w:rFonts w:cs="Times New Roman"/>
                <w:color w:val="auto"/>
              </w:rPr>
              <w:t>örneğin</w:t>
            </w:r>
            <w:r w:rsidR="00FA1F41" w:rsidRPr="00DE12A3">
              <w:rPr>
                <w:rFonts w:cs="Times New Roman"/>
                <w:color w:val="auto"/>
              </w:rPr>
              <w:t>: C</w:t>
            </w:r>
            <w:r w:rsidR="00FA1F41" w:rsidRPr="00DE12A3">
              <w:rPr>
                <w:rFonts w:cs="Times New Roman"/>
                <w:color w:val="auto"/>
                <w:vertAlign w:val="subscript"/>
              </w:rPr>
              <w:t>3</w:t>
            </w:r>
            <w:r w:rsidR="00FA1F41" w:rsidRPr="00DE12A3">
              <w:rPr>
                <w:rFonts w:cs="Times New Roman"/>
                <w:color w:val="auto"/>
              </w:rPr>
              <w:t>H</w:t>
            </w:r>
            <w:r w:rsidR="00FA1F41" w:rsidRPr="00DE12A3">
              <w:rPr>
                <w:rFonts w:cs="Times New Roman"/>
                <w:color w:val="auto"/>
                <w:vertAlign w:val="subscript"/>
              </w:rPr>
              <w:t>8</w:t>
            </w:r>
            <w:r w:rsidR="00FA1F41" w:rsidRPr="00DE12A3">
              <w:rPr>
                <w:rFonts w:cs="Times New Roman"/>
                <w:color w:val="auto"/>
              </w:rPr>
              <w:t>, C</w:t>
            </w:r>
            <w:r w:rsidR="00FA1F41" w:rsidRPr="00DE12A3">
              <w:rPr>
                <w:rFonts w:cs="Times New Roman"/>
                <w:color w:val="auto"/>
                <w:vertAlign w:val="subscript"/>
              </w:rPr>
              <w:t>3</w:t>
            </w:r>
            <w:r w:rsidR="00FA1F41" w:rsidRPr="00DE12A3">
              <w:rPr>
                <w:rFonts w:cs="Times New Roman"/>
                <w:color w:val="auto"/>
              </w:rPr>
              <w:t>H</w:t>
            </w:r>
            <w:r w:rsidR="00FA1F41" w:rsidRPr="00DE12A3">
              <w:rPr>
                <w:rFonts w:cs="Times New Roman"/>
                <w:color w:val="auto"/>
                <w:vertAlign w:val="subscript"/>
              </w:rPr>
              <w:t>6</w:t>
            </w:r>
            <w:r w:rsidR="0002143D" w:rsidRPr="00DE12A3">
              <w:rPr>
                <w:rFonts w:cs="Times New Roman"/>
                <w:color w:val="auto"/>
              </w:rPr>
              <w:t xml:space="preserve"> ve benzeri</w:t>
            </w:r>
            <w:r w:rsidR="00FA1F41" w:rsidRPr="00DE12A3">
              <w:rPr>
                <w:rFonts w:cs="Times New Roman"/>
                <w:color w:val="auto"/>
              </w:rPr>
              <w:t>) hacimce yüzdesi;</w:t>
            </w:r>
          </w:p>
        </w:tc>
      </w:tr>
      <w:tr w:rsidR="00DE12A3" w:rsidRPr="00DE12A3" w14:paraId="15D8B6D4" w14:textId="77777777" w:rsidTr="002000F9">
        <w:tc>
          <w:tcPr>
            <w:tcW w:w="1047" w:type="dxa"/>
          </w:tcPr>
          <w:p w14:paraId="29DE3EB5" w14:textId="77777777" w:rsidR="00FA1F41" w:rsidRPr="00DE12A3" w:rsidRDefault="00FA1F41" w:rsidP="005A58FA">
            <w:pPr>
              <w:pStyle w:val="NormalLeft"/>
            </w:pPr>
            <w:r w:rsidRPr="00DE12A3">
              <w:t>C</w:t>
            </w:r>
            <w:r w:rsidRPr="00DE12A3">
              <w:rPr>
                <w:vertAlign w:val="subscript"/>
              </w:rPr>
              <w:t>4</w:t>
            </w:r>
          </w:p>
        </w:tc>
        <w:tc>
          <w:tcPr>
            <w:tcW w:w="611" w:type="dxa"/>
          </w:tcPr>
          <w:p w14:paraId="4E185C3A" w14:textId="77777777" w:rsidR="00FA1F41" w:rsidRPr="00DE12A3" w:rsidRDefault="00FA1F41" w:rsidP="005A58FA">
            <w:pPr>
              <w:pStyle w:val="NormalLeft"/>
            </w:pPr>
            <w:r w:rsidRPr="00DE12A3">
              <w:t>=</w:t>
            </w:r>
          </w:p>
        </w:tc>
        <w:tc>
          <w:tcPr>
            <w:tcW w:w="7071" w:type="dxa"/>
          </w:tcPr>
          <w:p w14:paraId="1796F8EF" w14:textId="209D3C6E" w:rsidR="00FA1F41" w:rsidRPr="00DE12A3" w:rsidRDefault="00872F0E" w:rsidP="005A58FA">
            <w:pPr>
              <w:spacing w:before="120" w:after="120"/>
              <w:rPr>
                <w:rFonts w:cs="Times New Roman"/>
                <w:color w:val="auto"/>
              </w:rPr>
            </w:pPr>
            <w:r w:rsidRPr="00DE12A3">
              <w:rPr>
                <w:rFonts w:cs="Times New Roman"/>
                <w:color w:val="auto"/>
              </w:rPr>
              <w:t>Yakıttaki</w:t>
            </w:r>
            <w:r w:rsidR="00FA1F41" w:rsidRPr="00DE12A3">
              <w:rPr>
                <w:rFonts w:cs="Times New Roman"/>
                <w:color w:val="auto"/>
              </w:rPr>
              <w:t xml:space="preserve"> tüm C4 hidrokarbonların (</w:t>
            </w:r>
            <w:r w:rsidR="005B014A" w:rsidRPr="00DE12A3">
              <w:rPr>
                <w:rFonts w:cs="Times New Roman"/>
                <w:color w:val="auto"/>
              </w:rPr>
              <w:t>örneğin</w:t>
            </w:r>
            <w:r w:rsidR="00FA1F41" w:rsidRPr="00DE12A3">
              <w:rPr>
                <w:rFonts w:cs="Times New Roman"/>
                <w:color w:val="auto"/>
              </w:rPr>
              <w:t>: C</w:t>
            </w:r>
            <w:r w:rsidR="00FA1F41" w:rsidRPr="00DE12A3">
              <w:rPr>
                <w:rFonts w:cs="Times New Roman"/>
                <w:color w:val="auto"/>
                <w:vertAlign w:val="subscript"/>
              </w:rPr>
              <w:t>4</w:t>
            </w:r>
            <w:r w:rsidR="00FA1F41" w:rsidRPr="00DE12A3">
              <w:rPr>
                <w:rFonts w:cs="Times New Roman"/>
                <w:color w:val="auto"/>
              </w:rPr>
              <w:t>H</w:t>
            </w:r>
            <w:r w:rsidR="00FA1F41" w:rsidRPr="00DE12A3">
              <w:rPr>
                <w:rFonts w:cs="Times New Roman"/>
                <w:color w:val="auto"/>
                <w:vertAlign w:val="subscript"/>
              </w:rPr>
              <w:t>10</w:t>
            </w:r>
            <w:r w:rsidR="00FA1F41" w:rsidRPr="00DE12A3">
              <w:rPr>
                <w:rFonts w:cs="Times New Roman"/>
                <w:color w:val="auto"/>
              </w:rPr>
              <w:t>, C</w:t>
            </w:r>
            <w:r w:rsidR="00FA1F41" w:rsidRPr="00DE12A3">
              <w:rPr>
                <w:rFonts w:cs="Times New Roman"/>
                <w:color w:val="auto"/>
                <w:vertAlign w:val="subscript"/>
              </w:rPr>
              <w:t>4</w:t>
            </w:r>
            <w:r w:rsidR="00FA1F41" w:rsidRPr="00DE12A3">
              <w:rPr>
                <w:rFonts w:cs="Times New Roman"/>
                <w:color w:val="auto"/>
              </w:rPr>
              <w:t>H</w:t>
            </w:r>
            <w:r w:rsidR="00FA1F41" w:rsidRPr="00DE12A3">
              <w:rPr>
                <w:rFonts w:cs="Times New Roman"/>
                <w:color w:val="auto"/>
                <w:vertAlign w:val="subscript"/>
              </w:rPr>
              <w:t>8</w:t>
            </w:r>
            <w:r w:rsidR="0002143D" w:rsidRPr="00DE12A3">
              <w:rPr>
                <w:rFonts w:cs="Times New Roman"/>
                <w:color w:val="auto"/>
              </w:rPr>
              <w:t xml:space="preserve"> ve bnezeri</w:t>
            </w:r>
            <w:r w:rsidR="00FA1F41" w:rsidRPr="00DE12A3">
              <w:rPr>
                <w:rFonts w:cs="Times New Roman"/>
                <w:color w:val="auto"/>
              </w:rPr>
              <w:t>) hacimce yüzdesi;</w:t>
            </w:r>
          </w:p>
        </w:tc>
      </w:tr>
      <w:tr w:rsidR="00DE12A3" w:rsidRPr="00DE12A3" w14:paraId="2F98B530" w14:textId="77777777" w:rsidTr="002000F9">
        <w:tc>
          <w:tcPr>
            <w:tcW w:w="1047" w:type="dxa"/>
          </w:tcPr>
          <w:p w14:paraId="35EA99DD" w14:textId="77777777" w:rsidR="00FA1F41" w:rsidRPr="00DE12A3" w:rsidRDefault="00FA1F41" w:rsidP="005A58FA">
            <w:pPr>
              <w:pStyle w:val="NormalLeft"/>
            </w:pPr>
            <w:r w:rsidRPr="00DE12A3">
              <w:t>C</w:t>
            </w:r>
            <w:r w:rsidRPr="00DE12A3">
              <w:rPr>
                <w:vertAlign w:val="subscript"/>
              </w:rPr>
              <w:t>5</w:t>
            </w:r>
          </w:p>
        </w:tc>
        <w:tc>
          <w:tcPr>
            <w:tcW w:w="611" w:type="dxa"/>
          </w:tcPr>
          <w:p w14:paraId="041D8BA1" w14:textId="77777777" w:rsidR="00FA1F41" w:rsidRPr="00DE12A3" w:rsidRDefault="00FA1F41" w:rsidP="005A58FA">
            <w:pPr>
              <w:pStyle w:val="NormalLeft"/>
            </w:pPr>
            <w:r w:rsidRPr="00DE12A3">
              <w:t>=</w:t>
            </w:r>
          </w:p>
        </w:tc>
        <w:tc>
          <w:tcPr>
            <w:tcW w:w="7071" w:type="dxa"/>
          </w:tcPr>
          <w:p w14:paraId="7C8258E1" w14:textId="4B241E0E" w:rsidR="00FA1F41" w:rsidRPr="00DE12A3" w:rsidRDefault="00872F0E" w:rsidP="005A58FA">
            <w:pPr>
              <w:spacing w:before="120" w:after="120"/>
              <w:rPr>
                <w:rFonts w:cs="Times New Roman"/>
                <w:color w:val="auto"/>
              </w:rPr>
            </w:pPr>
            <w:r w:rsidRPr="00DE12A3">
              <w:rPr>
                <w:rFonts w:cs="Times New Roman"/>
                <w:color w:val="auto"/>
              </w:rPr>
              <w:t>Yakıttaki</w:t>
            </w:r>
            <w:r w:rsidR="00FA1F41" w:rsidRPr="00DE12A3">
              <w:rPr>
                <w:rFonts w:cs="Times New Roman"/>
                <w:color w:val="auto"/>
              </w:rPr>
              <w:t xml:space="preserve"> tüm C5 hidrokarbonların (</w:t>
            </w:r>
            <w:r w:rsidR="005B014A" w:rsidRPr="00DE12A3">
              <w:rPr>
                <w:rFonts w:cs="Times New Roman"/>
                <w:color w:val="auto"/>
              </w:rPr>
              <w:t>örneğin</w:t>
            </w:r>
            <w:r w:rsidR="00FA1F41" w:rsidRPr="00DE12A3">
              <w:rPr>
                <w:rFonts w:cs="Times New Roman"/>
                <w:color w:val="auto"/>
              </w:rPr>
              <w:t>: C</w:t>
            </w:r>
            <w:r w:rsidR="00FA1F41" w:rsidRPr="00DE12A3">
              <w:rPr>
                <w:rFonts w:cs="Times New Roman"/>
                <w:color w:val="auto"/>
                <w:vertAlign w:val="subscript"/>
              </w:rPr>
              <w:t>5</w:t>
            </w:r>
            <w:r w:rsidR="00FA1F41" w:rsidRPr="00DE12A3">
              <w:rPr>
                <w:rFonts w:cs="Times New Roman"/>
                <w:color w:val="auto"/>
              </w:rPr>
              <w:t>H</w:t>
            </w:r>
            <w:r w:rsidR="00FA1F41" w:rsidRPr="00DE12A3">
              <w:rPr>
                <w:rFonts w:cs="Times New Roman"/>
                <w:color w:val="auto"/>
                <w:vertAlign w:val="subscript"/>
              </w:rPr>
              <w:t>12</w:t>
            </w:r>
            <w:r w:rsidR="00FA1F41" w:rsidRPr="00DE12A3">
              <w:rPr>
                <w:rFonts w:cs="Times New Roman"/>
                <w:color w:val="auto"/>
              </w:rPr>
              <w:t>, C</w:t>
            </w:r>
            <w:r w:rsidR="00FA1F41" w:rsidRPr="00DE12A3">
              <w:rPr>
                <w:rFonts w:cs="Times New Roman"/>
                <w:color w:val="auto"/>
                <w:vertAlign w:val="subscript"/>
              </w:rPr>
              <w:t>5</w:t>
            </w:r>
            <w:r w:rsidR="00FA1F41" w:rsidRPr="00DE12A3">
              <w:rPr>
                <w:rFonts w:cs="Times New Roman"/>
                <w:color w:val="auto"/>
              </w:rPr>
              <w:t>H</w:t>
            </w:r>
            <w:r w:rsidR="00FA1F41" w:rsidRPr="00DE12A3">
              <w:rPr>
                <w:rFonts w:cs="Times New Roman"/>
                <w:color w:val="auto"/>
                <w:vertAlign w:val="subscript"/>
              </w:rPr>
              <w:t>10</w:t>
            </w:r>
            <w:r w:rsidR="0002143D" w:rsidRPr="00DE12A3">
              <w:rPr>
                <w:rFonts w:cs="Times New Roman"/>
                <w:color w:val="auto"/>
              </w:rPr>
              <w:t xml:space="preserve"> ve benzeri</w:t>
            </w:r>
            <w:r w:rsidR="00FA1F41" w:rsidRPr="00DE12A3">
              <w:rPr>
                <w:rFonts w:cs="Times New Roman"/>
                <w:color w:val="auto"/>
              </w:rPr>
              <w:t>) hacimce yüzdesi;</w:t>
            </w:r>
          </w:p>
        </w:tc>
      </w:tr>
      <w:tr w:rsidR="00FA1F41" w:rsidRPr="00DE12A3" w14:paraId="4CAD1D7C" w14:textId="77777777" w:rsidTr="002000F9">
        <w:tc>
          <w:tcPr>
            <w:tcW w:w="1047" w:type="dxa"/>
          </w:tcPr>
          <w:p w14:paraId="106BB93F" w14:textId="355C5560" w:rsidR="00FA1F41" w:rsidRPr="00DE12A3" w:rsidRDefault="00AD20E2" w:rsidP="005A58FA">
            <w:pPr>
              <w:pStyle w:val="NormalLeft"/>
            </w:pPr>
            <w:r w:rsidRPr="00DE12A3">
              <w:t>Diluent</w:t>
            </w:r>
          </w:p>
        </w:tc>
        <w:tc>
          <w:tcPr>
            <w:tcW w:w="611" w:type="dxa"/>
          </w:tcPr>
          <w:p w14:paraId="0FAE7251" w14:textId="77777777" w:rsidR="00FA1F41" w:rsidRPr="00DE12A3" w:rsidRDefault="00FA1F41" w:rsidP="005A58FA">
            <w:pPr>
              <w:pStyle w:val="NormalLeft"/>
            </w:pPr>
            <w:r w:rsidRPr="00DE12A3">
              <w:t>=</w:t>
            </w:r>
          </w:p>
        </w:tc>
        <w:tc>
          <w:tcPr>
            <w:tcW w:w="7071" w:type="dxa"/>
          </w:tcPr>
          <w:p w14:paraId="32644B65" w14:textId="43A1CD9C" w:rsidR="00FA1F41" w:rsidRPr="00DE12A3" w:rsidRDefault="00872F0E" w:rsidP="005A58FA">
            <w:pPr>
              <w:spacing w:before="120" w:after="120"/>
              <w:rPr>
                <w:rFonts w:cs="Times New Roman"/>
                <w:color w:val="auto"/>
              </w:rPr>
            </w:pPr>
            <w:r w:rsidRPr="00DE12A3">
              <w:rPr>
                <w:rFonts w:cs="Times New Roman"/>
                <w:color w:val="auto"/>
              </w:rPr>
              <w:t>Yakıttaki</w:t>
            </w:r>
            <w:r w:rsidR="00FA1F41" w:rsidRPr="00DE12A3">
              <w:rPr>
                <w:rFonts w:cs="Times New Roman"/>
                <w:color w:val="auto"/>
              </w:rPr>
              <w:t xml:space="preserve"> seyreltme gazlarının (yani O</w:t>
            </w:r>
            <w:r w:rsidR="00FA1F41" w:rsidRPr="00DE12A3">
              <w:rPr>
                <w:rFonts w:cs="Times New Roman"/>
                <w:color w:val="auto"/>
                <w:vertAlign w:val="subscript"/>
              </w:rPr>
              <w:t>2</w:t>
            </w:r>
            <w:r w:rsidR="00FA1F41" w:rsidRPr="00DE12A3">
              <w:rPr>
                <w:rFonts w:cs="Times New Roman"/>
                <w:color w:val="auto"/>
              </w:rPr>
              <w:t>*, N</w:t>
            </w:r>
            <w:r w:rsidR="00FA1F41" w:rsidRPr="00DE12A3">
              <w:rPr>
                <w:rFonts w:cs="Times New Roman"/>
                <w:color w:val="auto"/>
                <w:vertAlign w:val="subscript"/>
              </w:rPr>
              <w:t>2</w:t>
            </w:r>
            <w:r w:rsidR="00FA1F41" w:rsidRPr="00DE12A3">
              <w:rPr>
                <w:rFonts w:cs="Times New Roman"/>
                <w:color w:val="auto"/>
              </w:rPr>
              <w:t>, CO</w:t>
            </w:r>
            <w:r w:rsidR="00FA1F41" w:rsidRPr="00DE12A3">
              <w:rPr>
                <w:rFonts w:cs="Times New Roman"/>
                <w:color w:val="auto"/>
                <w:vertAlign w:val="subscript"/>
              </w:rPr>
              <w:t>2</w:t>
            </w:r>
            <w:r w:rsidR="00FA1F41" w:rsidRPr="00DE12A3">
              <w:rPr>
                <w:rFonts w:cs="Times New Roman"/>
                <w:color w:val="auto"/>
              </w:rPr>
              <w:t>, He</w:t>
            </w:r>
            <w:r w:rsidR="0002143D" w:rsidRPr="00DE12A3">
              <w:rPr>
                <w:rFonts w:cs="Times New Roman"/>
                <w:color w:val="auto"/>
              </w:rPr>
              <w:t xml:space="preserve"> ve benzeri</w:t>
            </w:r>
            <w:r w:rsidR="00FA1F41" w:rsidRPr="00DE12A3">
              <w:rPr>
                <w:rFonts w:cs="Times New Roman"/>
                <w:color w:val="auto"/>
              </w:rPr>
              <w:t>).</w:t>
            </w:r>
          </w:p>
        </w:tc>
      </w:tr>
    </w:tbl>
    <w:p w14:paraId="2850F5F1" w14:textId="77777777" w:rsidR="009F4766" w:rsidRPr="00DE12A3" w:rsidRDefault="009F4766" w:rsidP="005A58FA">
      <w:pPr>
        <w:spacing w:before="120" w:after="120"/>
        <w:rPr>
          <w:rFonts w:cs="Times New Roman"/>
          <w:color w:val="auto"/>
        </w:rPr>
      </w:pPr>
    </w:p>
    <w:p w14:paraId="44F7D480" w14:textId="1DCC2606" w:rsidR="00FA1F41" w:rsidRPr="00DE12A3" w:rsidRDefault="005A58FA" w:rsidP="005A58FA">
      <w:pPr>
        <w:rPr>
          <w:b/>
          <w:color w:val="auto"/>
        </w:rPr>
      </w:pPr>
      <w:r w:rsidRPr="00DE12A3">
        <w:rPr>
          <w:b/>
          <w:color w:val="auto"/>
        </w:rPr>
        <w:t xml:space="preserve">2. </w:t>
      </w:r>
      <w:r w:rsidR="00FA1F41" w:rsidRPr="00DE12A3">
        <w:rPr>
          <w:b/>
          <w:color w:val="auto"/>
        </w:rPr>
        <w:t>λ-</w:t>
      </w:r>
      <w:r w:rsidR="00C917D6" w:rsidRPr="00DE12A3">
        <w:rPr>
          <w:b/>
          <w:color w:val="auto"/>
        </w:rPr>
        <w:t>değiştirme faktörü</w:t>
      </w:r>
      <w:r w:rsidR="00FA1F41" w:rsidRPr="00DE12A3">
        <w:rPr>
          <w:b/>
          <w:color w:val="auto"/>
        </w:rPr>
        <w:t xml:space="preserve"> S</w:t>
      </w:r>
      <w:r w:rsidR="00FA1F41" w:rsidRPr="00DE12A3">
        <w:rPr>
          <w:b/>
          <w:color w:val="auto"/>
          <w:vertAlign w:val="subscript"/>
        </w:rPr>
        <w:t>λ</w:t>
      </w:r>
      <w:r w:rsidR="00FA1F41" w:rsidRPr="00DE12A3">
        <w:rPr>
          <w:b/>
          <w:color w:val="auto"/>
        </w:rPr>
        <w:t>'nın hesaplanmasına ilişkin örnekler:</w:t>
      </w:r>
    </w:p>
    <w:p w14:paraId="74BE38EC" w14:textId="77777777" w:rsidR="00445E7B" w:rsidRPr="00DE12A3" w:rsidRDefault="00445E7B" w:rsidP="00445E7B">
      <w:pPr>
        <w:rPr>
          <w:color w:val="auto"/>
        </w:rPr>
      </w:pPr>
    </w:p>
    <w:p w14:paraId="72A003F2" w14:textId="2993B254" w:rsidR="00FA1F41" w:rsidRPr="00DE12A3" w:rsidRDefault="00FA1F41" w:rsidP="00445E7B">
      <w:pPr>
        <w:rPr>
          <w:color w:val="auto"/>
        </w:rPr>
      </w:pPr>
      <w:r w:rsidRPr="00DE12A3">
        <w:rPr>
          <w:color w:val="auto"/>
        </w:rPr>
        <w:t>Örnek 1: G</w:t>
      </w:r>
      <w:r w:rsidRPr="00DE12A3">
        <w:rPr>
          <w:color w:val="auto"/>
          <w:vertAlign w:val="subscript"/>
        </w:rPr>
        <w:t>25</w:t>
      </w:r>
      <w:r w:rsidRPr="00DE12A3">
        <w:rPr>
          <w:color w:val="auto"/>
        </w:rPr>
        <w:t>: CH</w:t>
      </w:r>
      <w:r w:rsidRPr="00DE12A3">
        <w:rPr>
          <w:color w:val="auto"/>
          <w:vertAlign w:val="subscript"/>
        </w:rPr>
        <w:t>4</w:t>
      </w:r>
      <w:r w:rsidRPr="00DE12A3">
        <w:rPr>
          <w:color w:val="auto"/>
        </w:rPr>
        <w:t xml:space="preserve"> = </w:t>
      </w:r>
      <w:r w:rsidR="00BF5FC6" w:rsidRPr="00DE12A3">
        <w:rPr>
          <w:color w:val="auto"/>
        </w:rPr>
        <w:t>%86</w:t>
      </w:r>
      <w:r w:rsidRPr="00DE12A3">
        <w:rPr>
          <w:color w:val="auto"/>
        </w:rPr>
        <w:t>, N</w:t>
      </w:r>
      <w:r w:rsidRPr="00DE12A3">
        <w:rPr>
          <w:color w:val="auto"/>
          <w:vertAlign w:val="subscript"/>
        </w:rPr>
        <w:t>2</w:t>
      </w:r>
      <w:r w:rsidRPr="00DE12A3">
        <w:rPr>
          <w:color w:val="auto"/>
        </w:rPr>
        <w:t xml:space="preserve"> = </w:t>
      </w:r>
      <w:r w:rsidR="00BF5FC6" w:rsidRPr="00DE12A3">
        <w:rPr>
          <w:color w:val="auto"/>
        </w:rPr>
        <w:t>%14</w:t>
      </w:r>
      <w:r w:rsidRPr="00DE12A3">
        <w:rPr>
          <w:color w:val="auto"/>
        </w:rPr>
        <w:t xml:space="preserve"> (hacimce)</w:t>
      </w:r>
    </w:p>
    <w:p w14:paraId="7FC445C2" w14:textId="77777777" w:rsidR="009F4766" w:rsidRPr="00DE12A3" w:rsidRDefault="009F4766" w:rsidP="005A58FA">
      <w:pPr>
        <w:spacing w:before="120" w:after="120"/>
        <w:rPr>
          <w:rFonts w:cs="Times New Roman"/>
          <w:color w:val="auto"/>
        </w:rPr>
      </w:pPr>
    </w:p>
    <w:p w14:paraId="27B52494" w14:textId="1FADBE89" w:rsidR="009F4766" w:rsidRPr="00DE12A3" w:rsidRDefault="009F4766" w:rsidP="005A58FA">
      <w:pPr>
        <w:spacing w:before="120" w:after="120"/>
        <w:jc w:val="center"/>
        <w:rPr>
          <w:rFonts w:cs="Times New Roman"/>
          <w:color w:val="auto"/>
        </w:rPr>
      </w:pPr>
      <w:r w:rsidRPr="00DE12A3">
        <w:rPr>
          <w:rFonts w:cs="Times New Roman"/>
          <w:noProof/>
          <w:color w:val="auto"/>
        </w:rPr>
        <w:drawing>
          <wp:inline distT="0" distB="0" distL="0" distR="0" wp14:anchorId="51E07BAD" wp14:editId="2BF5749A">
            <wp:extent cx="4425461" cy="920115"/>
            <wp:effectExtent l="0" t="0" r="0" b="0"/>
            <wp:docPr id="2431" name="Resim 2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pic:cNvPicPr>
                      <a:picLocks noChangeAspect="1" noChangeArrowheads="1"/>
                    </pic:cNvPicPr>
                  </pic:nvPicPr>
                  <pic:blipFill>
                    <a:blip r:embed="rId273">
                      <a:extLst>
                        <a:ext uri="{28A0092B-C50C-407E-A947-70E740481C1C}">
                          <a14:useLocalDpi xmlns:a14="http://schemas.microsoft.com/office/drawing/2010/main" val="0"/>
                        </a:ext>
                      </a:extLst>
                    </a:blip>
                    <a:srcRect/>
                    <a:stretch>
                      <a:fillRect/>
                    </a:stretch>
                  </pic:blipFill>
                  <pic:spPr bwMode="auto">
                    <a:xfrm>
                      <a:off x="0" y="0"/>
                      <a:ext cx="4433127" cy="921709"/>
                    </a:xfrm>
                    <a:prstGeom prst="rect">
                      <a:avLst/>
                    </a:prstGeom>
                    <a:noFill/>
                    <a:ln>
                      <a:noFill/>
                    </a:ln>
                  </pic:spPr>
                </pic:pic>
              </a:graphicData>
            </a:graphic>
          </wp:inline>
        </w:drawing>
      </w:r>
    </w:p>
    <w:p w14:paraId="6E86DD0C" w14:textId="77777777" w:rsidR="009F4766" w:rsidRPr="00DE12A3" w:rsidRDefault="009F4766" w:rsidP="005A58FA">
      <w:pPr>
        <w:spacing w:before="120" w:after="120"/>
        <w:rPr>
          <w:rFonts w:cs="Times New Roman"/>
          <w:color w:val="auto"/>
        </w:rPr>
      </w:pPr>
    </w:p>
    <w:p w14:paraId="46DB0A79" w14:textId="0212A5CC" w:rsidR="009F4766" w:rsidRPr="00DE12A3" w:rsidRDefault="009F4766" w:rsidP="005A58FA">
      <w:pPr>
        <w:spacing w:before="120" w:after="120"/>
        <w:jc w:val="center"/>
        <w:rPr>
          <w:rFonts w:cs="Times New Roman"/>
          <w:color w:val="auto"/>
        </w:rPr>
      </w:pPr>
      <w:r w:rsidRPr="00DE12A3">
        <w:rPr>
          <w:rFonts w:cs="Times New Roman"/>
          <w:noProof/>
          <w:color w:val="auto"/>
        </w:rPr>
        <w:drawing>
          <wp:inline distT="0" distB="0" distL="0" distR="0" wp14:anchorId="02870487" wp14:editId="10C55496">
            <wp:extent cx="4730261" cy="920115"/>
            <wp:effectExtent l="0" t="0" r="0" b="0"/>
            <wp:docPr id="2430" name="Resim 2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a:picLocks noChangeAspect="1" noChangeArrowheads="1"/>
                    </pic:cNvPicPr>
                  </pic:nvPicPr>
                  <pic:blipFill>
                    <a:blip r:embed="rId274">
                      <a:extLst>
                        <a:ext uri="{28A0092B-C50C-407E-A947-70E740481C1C}">
                          <a14:useLocalDpi xmlns:a14="http://schemas.microsoft.com/office/drawing/2010/main" val="0"/>
                        </a:ext>
                      </a:extLst>
                    </a:blip>
                    <a:srcRect/>
                    <a:stretch>
                      <a:fillRect/>
                    </a:stretch>
                  </pic:blipFill>
                  <pic:spPr bwMode="auto">
                    <a:xfrm>
                      <a:off x="0" y="0"/>
                      <a:ext cx="4736039" cy="921239"/>
                    </a:xfrm>
                    <a:prstGeom prst="rect">
                      <a:avLst/>
                    </a:prstGeom>
                    <a:noFill/>
                    <a:ln>
                      <a:noFill/>
                    </a:ln>
                  </pic:spPr>
                </pic:pic>
              </a:graphicData>
            </a:graphic>
          </wp:inline>
        </w:drawing>
      </w:r>
    </w:p>
    <w:p w14:paraId="5C8172FD" w14:textId="77777777" w:rsidR="009F4766" w:rsidRPr="00DE12A3" w:rsidRDefault="009F4766" w:rsidP="005A58FA">
      <w:pPr>
        <w:spacing w:before="120" w:after="120"/>
        <w:rPr>
          <w:rFonts w:cs="Times New Roman"/>
          <w:color w:val="auto"/>
        </w:rPr>
      </w:pPr>
    </w:p>
    <w:p w14:paraId="6D25334B" w14:textId="57858F14" w:rsidR="009F4766" w:rsidRPr="00DE12A3" w:rsidRDefault="009F4766" w:rsidP="005A58FA">
      <w:pPr>
        <w:spacing w:before="120" w:after="120"/>
        <w:jc w:val="center"/>
        <w:rPr>
          <w:rFonts w:cs="Times New Roman"/>
          <w:color w:val="auto"/>
        </w:rPr>
      </w:pPr>
      <w:r w:rsidRPr="00DE12A3">
        <w:rPr>
          <w:rFonts w:cs="Times New Roman"/>
          <w:noProof/>
          <w:color w:val="auto"/>
        </w:rPr>
        <w:drawing>
          <wp:inline distT="0" distB="0" distL="0" distR="0" wp14:anchorId="7D4AB20B" wp14:editId="359D3FA4">
            <wp:extent cx="5158252" cy="838200"/>
            <wp:effectExtent l="0" t="0" r="4445" b="0"/>
            <wp:docPr id="2429" name="Resim 24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pic:cNvPicPr>
                      <a:picLocks noChangeAspect="1" noChangeArrowheads="1"/>
                    </pic:cNvPicPr>
                  </pic:nvPicPr>
                  <pic:blipFill>
                    <a:blip r:embed="rId275">
                      <a:extLst>
                        <a:ext uri="{28A0092B-C50C-407E-A947-70E740481C1C}">
                          <a14:useLocalDpi xmlns:a14="http://schemas.microsoft.com/office/drawing/2010/main" val="0"/>
                        </a:ext>
                      </a:extLst>
                    </a:blip>
                    <a:srcRect/>
                    <a:stretch>
                      <a:fillRect/>
                    </a:stretch>
                  </pic:blipFill>
                  <pic:spPr bwMode="auto">
                    <a:xfrm>
                      <a:off x="0" y="0"/>
                      <a:ext cx="5163400" cy="839037"/>
                    </a:xfrm>
                    <a:prstGeom prst="rect">
                      <a:avLst/>
                    </a:prstGeom>
                    <a:noFill/>
                    <a:ln>
                      <a:noFill/>
                    </a:ln>
                  </pic:spPr>
                </pic:pic>
              </a:graphicData>
            </a:graphic>
          </wp:inline>
        </w:drawing>
      </w:r>
    </w:p>
    <w:p w14:paraId="472DA6DA" w14:textId="77777777" w:rsidR="009F4766" w:rsidRPr="00DE12A3" w:rsidRDefault="009F4766" w:rsidP="005A58FA">
      <w:pPr>
        <w:spacing w:before="120" w:after="120"/>
        <w:rPr>
          <w:rFonts w:cs="Times New Roman"/>
          <w:color w:val="auto"/>
        </w:rPr>
      </w:pPr>
    </w:p>
    <w:p w14:paraId="3D66D489" w14:textId="77777777" w:rsidR="009F4766" w:rsidRPr="00DE12A3" w:rsidRDefault="00FA1F41" w:rsidP="005A58FA">
      <w:pPr>
        <w:spacing w:before="120" w:after="120"/>
        <w:rPr>
          <w:rFonts w:cs="Times New Roman"/>
          <w:color w:val="auto"/>
        </w:rPr>
      </w:pPr>
      <w:r w:rsidRPr="00DE12A3">
        <w:rPr>
          <w:rFonts w:cs="Times New Roman"/>
          <w:color w:val="auto"/>
        </w:rPr>
        <w:t>Örnek</w:t>
      </w:r>
      <w:r w:rsidR="009F4766" w:rsidRPr="00DE12A3">
        <w:rPr>
          <w:rFonts w:cs="Times New Roman"/>
          <w:color w:val="auto"/>
        </w:rPr>
        <w:t xml:space="preserve"> 2: G</w:t>
      </w:r>
      <w:r w:rsidR="009F4766" w:rsidRPr="00DE12A3">
        <w:rPr>
          <w:rFonts w:cs="Times New Roman"/>
          <w:color w:val="auto"/>
          <w:vertAlign w:val="subscript"/>
        </w:rPr>
        <w:t>R</w:t>
      </w:r>
      <w:r w:rsidR="009F4766" w:rsidRPr="00DE12A3">
        <w:rPr>
          <w:rFonts w:cs="Times New Roman"/>
          <w:color w:val="auto"/>
        </w:rPr>
        <w:t>: CH</w:t>
      </w:r>
      <w:r w:rsidR="009F4766" w:rsidRPr="00DE12A3">
        <w:rPr>
          <w:rFonts w:cs="Times New Roman"/>
          <w:color w:val="auto"/>
          <w:vertAlign w:val="subscript"/>
        </w:rPr>
        <w:t>4</w:t>
      </w:r>
      <w:r w:rsidR="009F4766" w:rsidRPr="00DE12A3">
        <w:rPr>
          <w:rFonts w:cs="Times New Roman"/>
          <w:color w:val="auto"/>
        </w:rPr>
        <w:t xml:space="preserve"> = 87 %, C</w:t>
      </w:r>
      <w:r w:rsidR="009F4766" w:rsidRPr="00DE12A3">
        <w:rPr>
          <w:rFonts w:cs="Times New Roman"/>
          <w:color w:val="auto"/>
          <w:vertAlign w:val="subscript"/>
        </w:rPr>
        <w:t>2</w:t>
      </w:r>
      <w:r w:rsidR="009F4766" w:rsidRPr="00DE12A3">
        <w:rPr>
          <w:rFonts w:cs="Times New Roman"/>
          <w:color w:val="auto"/>
        </w:rPr>
        <w:t>H</w:t>
      </w:r>
      <w:r w:rsidR="009F4766" w:rsidRPr="00DE12A3">
        <w:rPr>
          <w:rFonts w:cs="Times New Roman"/>
          <w:color w:val="auto"/>
          <w:vertAlign w:val="subscript"/>
        </w:rPr>
        <w:t>6</w:t>
      </w:r>
      <w:r w:rsidR="009F4766" w:rsidRPr="00DE12A3">
        <w:rPr>
          <w:rFonts w:cs="Times New Roman"/>
          <w:color w:val="auto"/>
        </w:rPr>
        <w:t xml:space="preserve"> = 13 % (</w:t>
      </w:r>
      <w:r w:rsidRPr="00DE12A3">
        <w:rPr>
          <w:rFonts w:cs="Times New Roman"/>
          <w:color w:val="auto"/>
        </w:rPr>
        <w:t>hacimce</w:t>
      </w:r>
      <w:r w:rsidR="009F4766" w:rsidRPr="00DE12A3">
        <w:rPr>
          <w:rFonts w:cs="Times New Roman"/>
          <w:color w:val="auto"/>
        </w:rPr>
        <w:t>)</w:t>
      </w:r>
    </w:p>
    <w:p w14:paraId="2CF44F5B" w14:textId="77777777" w:rsidR="009F4766" w:rsidRPr="00DE12A3" w:rsidRDefault="009F4766" w:rsidP="005A58FA">
      <w:pPr>
        <w:spacing w:before="120" w:after="120"/>
        <w:rPr>
          <w:rFonts w:cs="Times New Roman"/>
          <w:color w:val="auto"/>
        </w:rPr>
      </w:pPr>
    </w:p>
    <w:p w14:paraId="339529C1" w14:textId="25EFB042" w:rsidR="009F4766" w:rsidRPr="00DE12A3" w:rsidRDefault="009F4766" w:rsidP="005A58FA">
      <w:pPr>
        <w:spacing w:before="120" w:after="120"/>
        <w:rPr>
          <w:rFonts w:cs="Times New Roman"/>
          <w:color w:val="auto"/>
        </w:rPr>
      </w:pPr>
      <w:r w:rsidRPr="00DE12A3">
        <w:rPr>
          <w:rFonts w:cs="Times New Roman"/>
          <w:noProof/>
          <w:color w:val="auto"/>
        </w:rPr>
        <w:drawing>
          <wp:inline distT="0" distB="0" distL="0" distR="0" wp14:anchorId="6C9F42ED" wp14:editId="34D781D3">
            <wp:extent cx="5779428" cy="920115"/>
            <wp:effectExtent l="0" t="0" r="0" b="0"/>
            <wp:docPr id="2428" name="Resim 2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pic:cNvPicPr>
                      <a:picLocks noChangeAspect="1" noChangeArrowheads="1"/>
                    </pic:cNvPicPr>
                  </pic:nvPicPr>
                  <pic:blipFill>
                    <a:blip r:embed="rId276">
                      <a:extLst>
                        <a:ext uri="{28A0092B-C50C-407E-A947-70E740481C1C}">
                          <a14:useLocalDpi xmlns:a14="http://schemas.microsoft.com/office/drawing/2010/main" val="0"/>
                        </a:ext>
                      </a:extLst>
                    </a:blip>
                    <a:srcRect/>
                    <a:stretch>
                      <a:fillRect/>
                    </a:stretch>
                  </pic:blipFill>
                  <pic:spPr bwMode="auto">
                    <a:xfrm>
                      <a:off x="0" y="0"/>
                      <a:ext cx="5786721" cy="921276"/>
                    </a:xfrm>
                    <a:prstGeom prst="rect">
                      <a:avLst/>
                    </a:prstGeom>
                    <a:noFill/>
                    <a:ln>
                      <a:noFill/>
                    </a:ln>
                  </pic:spPr>
                </pic:pic>
              </a:graphicData>
            </a:graphic>
          </wp:inline>
        </w:drawing>
      </w:r>
    </w:p>
    <w:p w14:paraId="62600B6C" w14:textId="77777777" w:rsidR="009F4766" w:rsidRPr="00DE12A3" w:rsidRDefault="009F4766" w:rsidP="005A58FA">
      <w:pPr>
        <w:spacing w:before="120" w:after="120"/>
        <w:rPr>
          <w:rFonts w:cs="Times New Roman"/>
          <w:color w:val="auto"/>
        </w:rPr>
      </w:pPr>
    </w:p>
    <w:p w14:paraId="19A32A8B" w14:textId="0BD5FD71" w:rsidR="009F4766" w:rsidRPr="00DE12A3" w:rsidRDefault="009F4766" w:rsidP="005A58FA">
      <w:pPr>
        <w:spacing w:before="120" w:after="120"/>
        <w:rPr>
          <w:rFonts w:cs="Times New Roman"/>
          <w:color w:val="auto"/>
        </w:rPr>
      </w:pPr>
      <w:r w:rsidRPr="00DE12A3">
        <w:rPr>
          <w:rFonts w:cs="Times New Roman"/>
          <w:noProof/>
          <w:color w:val="auto"/>
        </w:rPr>
        <w:drawing>
          <wp:inline distT="0" distB="0" distL="0" distR="0" wp14:anchorId="4A9C3BB7" wp14:editId="66ABC0EE">
            <wp:extent cx="5503789" cy="920115"/>
            <wp:effectExtent l="0" t="0" r="1905" b="0"/>
            <wp:docPr id="2427" name="Resim 24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pic:cNvPicPr>
                      <a:picLocks noChangeAspect="1" noChangeArrowheads="1"/>
                    </pic:cNvPicPr>
                  </pic:nvPicPr>
                  <pic:blipFill>
                    <a:blip r:embed="rId277">
                      <a:extLst>
                        <a:ext uri="{28A0092B-C50C-407E-A947-70E740481C1C}">
                          <a14:useLocalDpi xmlns:a14="http://schemas.microsoft.com/office/drawing/2010/main" val="0"/>
                        </a:ext>
                      </a:extLst>
                    </a:blip>
                    <a:srcRect/>
                    <a:stretch>
                      <a:fillRect/>
                    </a:stretch>
                  </pic:blipFill>
                  <pic:spPr bwMode="auto">
                    <a:xfrm>
                      <a:off x="0" y="0"/>
                      <a:ext cx="5508665" cy="920930"/>
                    </a:xfrm>
                    <a:prstGeom prst="rect">
                      <a:avLst/>
                    </a:prstGeom>
                    <a:noFill/>
                    <a:ln>
                      <a:noFill/>
                    </a:ln>
                  </pic:spPr>
                </pic:pic>
              </a:graphicData>
            </a:graphic>
          </wp:inline>
        </w:drawing>
      </w:r>
    </w:p>
    <w:p w14:paraId="5F7F307F" w14:textId="77777777" w:rsidR="009F4766" w:rsidRPr="00DE12A3" w:rsidRDefault="009F4766" w:rsidP="005A58FA">
      <w:pPr>
        <w:spacing w:before="120" w:after="120"/>
        <w:rPr>
          <w:rFonts w:cs="Times New Roman"/>
          <w:color w:val="auto"/>
        </w:rPr>
      </w:pPr>
    </w:p>
    <w:p w14:paraId="2D74593F" w14:textId="5843C453" w:rsidR="009F4766" w:rsidRPr="00DE12A3" w:rsidRDefault="009F4766" w:rsidP="005A58FA">
      <w:pPr>
        <w:spacing w:before="120" w:after="120"/>
        <w:rPr>
          <w:rFonts w:cs="Times New Roman"/>
          <w:color w:val="auto"/>
        </w:rPr>
      </w:pPr>
      <w:r w:rsidRPr="00DE12A3">
        <w:rPr>
          <w:rFonts w:cs="Times New Roman"/>
          <w:noProof/>
          <w:color w:val="auto"/>
        </w:rPr>
        <w:drawing>
          <wp:inline distT="0" distB="0" distL="0" distR="0" wp14:anchorId="6615686A" wp14:editId="5E53914F">
            <wp:extent cx="5767559" cy="838200"/>
            <wp:effectExtent l="0" t="0" r="5080" b="0"/>
            <wp:docPr id="2426" name="Resim 24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pic:cNvPicPr>
                      <a:picLocks noChangeAspect="1" noChangeArrowheads="1"/>
                    </pic:cNvPicPr>
                  </pic:nvPicPr>
                  <pic:blipFill>
                    <a:blip r:embed="rId278">
                      <a:extLst>
                        <a:ext uri="{28A0092B-C50C-407E-A947-70E740481C1C}">
                          <a14:useLocalDpi xmlns:a14="http://schemas.microsoft.com/office/drawing/2010/main" val="0"/>
                        </a:ext>
                      </a:extLst>
                    </a:blip>
                    <a:srcRect/>
                    <a:stretch>
                      <a:fillRect/>
                    </a:stretch>
                  </pic:blipFill>
                  <pic:spPr bwMode="auto">
                    <a:xfrm>
                      <a:off x="0" y="0"/>
                      <a:ext cx="5777725" cy="839677"/>
                    </a:xfrm>
                    <a:prstGeom prst="rect">
                      <a:avLst/>
                    </a:prstGeom>
                    <a:noFill/>
                    <a:ln>
                      <a:noFill/>
                    </a:ln>
                  </pic:spPr>
                </pic:pic>
              </a:graphicData>
            </a:graphic>
          </wp:inline>
        </w:drawing>
      </w:r>
    </w:p>
    <w:p w14:paraId="639088F2" w14:textId="77777777" w:rsidR="009F4766" w:rsidRPr="00DE12A3" w:rsidRDefault="009F4766" w:rsidP="005A58FA">
      <w:pPr>
        <w:spacing w:before="120" w:after="120"/>
        <w:rPr>
          <w:rFonts w:cs="Times New Roman"/>
          <w:color w:val="auto"/>
        </w:rPr>
      </w:pPr>
    </w:p>
    <w:p w14:paraId="3AE29B8F" w14:textId="3C2E02F2" w:rsidR="009F4766" w:rsidRPr="00DE12A3" w:rsidRDefault="00FA1F41" w:rsidP="005A58FA">
      <w:pPr>
        <w:spacing w:before="120" w:after="120"/>
        <w:ind w:left="1134"/>
        <w:rPr>
          <w:rFonts w:cs="Times New Roman"/>
          <w:color w:val="auto"/>
        </w:rPr>
      </w:pPr>
      <w:r w:rsidRPr="00DE12A3">
        <w:rPr>
          <w:rFonts w:cs="Times New Roman"/>
          <w:color w:val="auto"/>
        </w:rPr>
        <w:t>Örnek</w:t>
      </w:r>
      <w:r w:rsidR="009F4766" w:rsidRPr="00DE12A3">
        <w:rPr>
          <w:rFonts w:cs="Times New Roman"/>
          <w:color w:val="auto"/>
        </w:rPr>
        <w:t xml:space="preserve"> 3: USA: CH</w:t>
      </w:r>
      <w:r w:rsidR="009F4766" w:rsidRPr="00DE12A3">
        <w:rPr>
          <w:rFonts w:cs="Times New Roman"/>
          <w:color w:val="auto"/>
          <w:vertAlign w:val="subscript"/>
        </w:rPr>
        <w:t>4</w:t>
      </w:r>
      <w:r w:rsidR="009F4766" w:rsidRPr="00DE12A3">
        <w:rPr>
          <w:rFonts w:cs="Times New Roman"/>
          <w:color w:val="auto"/>
        </w:rPr>
        <w:t xml:space="preserve"> = </w:t>
      </w:r>
      <w:r w:rsidR="00AD20E2" w:rsidRPr="00DE12A3">
        <w:rPr>
          <w:rFonts w:cs="Times New Roman"/>
          <w:color w:val="auto"/>
        </w:rPr>
        <w:t>%89</w:t>
      </w:r>
      <w:r w:rsidR="009F4766" w:rsidRPr="00DE12A3">
        <w:rPr>
          <w:rFonts w:cs="Times New Roman"/>
          <w:color w:val="auto"/>
        </w:rPr>
        <w:t xml:space="preserve"> C</w:t>
      </w:r>
      <w:r w:rsidR="009F4766" w:rsidRPr="00DE12A3">
        <w:rPr>
          <w:rFonts w:cs="Times New Roman"/>
          <w:color w:val="auto"/>
          <w:vertAlign w:val="subscript"/>
        </w:rPr>
        <w:t>2</w:t>
      </w:r>
      <w:r w:rsidR="009F4766" w:rsidRPr="00DE12A3">
        <w:rPr>
          <w:rFonts w:cs="Times New Roman"/>
          <w:color w:val="auto"/>
        </w:rPr>
        <w:t>H</w:t>
      </w:r>
      <w:r w:rsidR="009F4766" w:rsidRPr="00DE12A3">
        <w:rPr>
          <w:rFonts w:cs="Times New Roman"/>
          <w:color w:val="auto"/>
          <w:vertAlign w:val="subscript"/>
        </w:rPr>
        <w:t>6</w:t>
      </w:r>
      <w:r w:rsidR="009F4766" w:rsidRPr="00DE12A3">
        <w:rPr>
          <w:rFonts w:cs="Times New Roman"/>
          <w:color w:val="auto"/>
        </w:rPr>
        <w:t xml:space="preserve"> </w:t>
      </w:r>
      <w:r w:rsidR="00AD20E2" w:rsidRPr="00DE12A3">
        <w:rPr>
          <w:rFonts w:cs="Times New Roman"/>
          <w:color w:val="auto"/>
        </w:rPr>
        <w:t>= %</w:t>
      </w:r>
      <w:r w:rsidR="00BF5FC6" w:rsidRPr="00DE12A3">
        <w:rPr>
          <w:rFonts w:cs="Times New Roman"/>
          <w:color w:val="auto"/>
        </w:rPr>
        <w:t>4,5</w:t>
      </w:r>
      <w:r w:rsidR="009F4766" w:rsidRPr="00DE12A3">
        <w:rPr>
          <w:rFonts w:cs="Times New Roman"/>
          <w:color w:val="auto"/>
        </w:rPr>
        <w:t>, C</w:t>
      </w:r>
      <w:r w:rsidR="009F4766" w:rsidRPr="00DE12A3">
        <w:rPr>
          <w:rFonts w:cs="Times New Roman"/>
          <w:color w:val="auto"/>
          <w:vertAlign w:val="subscript"/>
        </w:rPr>
        <w:t>3</w:t>
      </w:r>
      <w:r w:rsidR="009F4766" w:rsidRPr="00DE12A3">
        <w:rPr>
          <w:rFonts w:cs="Times New Roman"/>
          <w:color w:val="auto"/>
        </w:rPr>
        <w:t>H</w:t>
      </w:r>
      <w:r w:rsidR="009F4766" w:rsidRPr="00DE12A3">
        <w:rPr>
          <w:rFonts w:cs="Times New Roman"/>
          <w:color w:val="auto"/>
          <w:vertAlign w:val="subscript"/>
        </w:rPr>
        <w:t>8</w:t>
      </w:r>
      <w:r w:rsidR="009F4766" w:rsidRPr="00DE12A3">
        <w:rPr>
          <w:rFonts w:cs="Times New Roman"/>
          <w:color w:val="auto"/>
        </w:rPr>
        <w:t xml:space="preserve"> = %</w:t>
      </w:r>
      <w:r w:rsidR="00BF5FC6" w:rsidRPr="00DE12A3">
        <w:rPr>
          <w:rFonts w:cs="Times New Roman"/>
          <w:color w:val="auto"/>
        </w:rPr>
        <w:t>2,3</w:t>
      </w:r>
      <w:r w:rsidR="009F4766" w:rsidRPr="00DE12A3">
        <w:rPr>
          <w:rFonts w:cs="Times New Roman"/>
          <w:color w:val="auto"/>
        </w:rPr>
        <w:t>, C</w:t>
      </w:r>
      <w:r w:rsidR="009F4766" w:rsidRPr="00DE12A3">
        <w:rPr>
          <w:rFonts w:cs="Times New Roman"/>
          <w:color w:val="auto"/>
          <w:vertAlign w:val="subscript"/>
        </w:rPr>
        <w:t>6</w:t>
      </w:r>
      <w:r w:rsidR="009F4766" w:rsidRPr="00DE12A3">
        <w:rPr>
          <w:rFonts w:cs="Times New Roman"/>
          <w:color w:val="auto"/>
        </w:rPr>
        <w:t>H</w:t>
      </w:r>
      <w:r w:rsidR="009F4766" w:rsidRPr="00DE12A3">
        <w:rPr>
          <w:rFonts w:cs="Times New Roman"/>
          <w:color w:val="auto"/>
          <w:vertAlign w:val="subscript"/>
        </w:rPr>
        <w:t>14</w:t>
      </w:r>
      <w:r w:rsidR="009F4766" w:rsidRPr="00DE12A3">
        <w:rPr>
          <w:rFonts w:cs="Times New Roman"/>
          <w:color w:val="auto"/>
        </w:rPr>
        <w:t xml:space="preserve"> </w:t>
      </w:r>
      <w:r w:rsidR="00AD20E2" w:rsidRPr="00DE12A3">
        <w:rPr>
          <w:rFonts w:cs="Times New Roman"/>
          <w:color w:val="auto"/>
        </w:rPr>
        <w:t>= %</w:t>
      </w:r>
      <w:r w:rsidR="00BF5FC6" w:rsidRPr="00DE12A3">
        <w:rPr>
          <w:rFonts w:cs="Times New Roman"/>
          <w:color w:val="auto"/>
        </w:rPr>
        <w:t>0,2</w:t>
      </w:r>
      <w:r w:rsidR="009F4766" w:rsidRPr="00DE12A3">
        <w:rPr>
          <w:rFonts w:cs="Times New Roman"/>
          <w:color w:val="auto"/>
        </w:rPr>
        <w:t>, O</w:t>
      </w:r>
      <w:r w:rsidR="009F4766" w:rsidRPr="00DE12A3">
        <w:rPr>
          <w:rFonts w:cs="Times New Roman"/>
          <w:color w:val="auto"/>
          <w:vertAlign w:val="subscript"/>
        </w:rPr>
        <w:t>2</w:t>
      </w:r>
      <w:r w:rsidR="009F4766" w:rsidRPr="00DE12A3">
        <w:rPr>
          <w:rFonts w:cs="Times New Roman"/>
          <w:color w:val="auto"/>
        </w:rPr>
        <w:t xml:space="preserve"> </w:t>
      </w:r>
      <w:r w:rsidR="00AD20E2" w:rsidRPr="00DE12A3">
        <w:rPr>
          <w:rFonts w:cs="Times New Roman"/>
          <w:color w:val="auto"/>
        </w:rPr>
        <w:t>= %</w:t>
      </w:r>
      <w:r w:rsidR="00BF5FC6" w:rsidRPr="00DE12A3">
        <w:rPr>
          <w:rFonts w:cs="Times New Roman"/>
          <w:color w:val="auto"/>
        </w:rPr>
        <w:t>0,6</w:t>
      </w:r>
      <w:r w:rsidR="009F4766" w:rsidRPr="00DE12A3">
        <w:rPr>
          <w:rFonts w:cs="Times New Roman"/>
          <w:color w:val="auto"/>
        </w:rPr>
        <w:t>, N</w:t>
      </w:r>
      <w:r w:rsidR="009F4766" w:rsidRPr="00DE12A3">
        <w:rPr>
          <w:rFonts w:cs="Times New Roman"/>
          <w:color w:val="auto"/>
          <w:vertAlign w:val="subscript"/>
        </w:rPr>
        <w:t>2</w:t>
      </w:r>
      <w:r w:rsidR="009F4766" w:rsidRPr="00DE12A3">
        <w:rPr>
          <w:rFonts w:cs="Times New Roman"/>
          <w:color w:val="auto"/>
        </w:rPr>
        <w:t xml:space="preserve"> </w:t>
      </w:r>
      <w:r w:rsidR="00AD20E2" w:rsidRPr="00DE12A3">
        <w:rPr>
          <w:rFonts w:cs="Times New Roman"/>
          <w:color w:val="auto"/>
        </w:rPr>
        <w:t>= %</w:t>
      </w:r>
      <w:r w:rsidR="00BF5FC6" w:rsidRPr="00DE12A3">
        <w:rPr>
          <w:rFonts w:cs="Times New Roman"/>
          <w:color w:val="auto"/>
        </w:rPr>
        <w:t>4</w:t>
      </w:r>
    </w:p>
    <w:p w14:paraId="22768927" w14:textId="77777777" w:rsidR="009F4766" w:rsidRPr="00DE12A3" w:rsidRDefault="009F4766" w:rsidP="005A58FA">
      <w:pPr>
        <w:spacing w:before="120" w:after="120"/>
        <w:rPr>
          <w:rFonts w:cs="Times New Roman"/>
          <w:color w:val="auto"/>
        </w:rPr>
      </w:pPr>
    </w:p>
    <w:p w14:paraId="38786C98" w14:textId="3346552D" w:rsidR="009F4766" w:rsidRPr="00DE12A3" w:rsidRDefault="009F4766" w:rsidP="005A58FA">
      <w:pPr>
        <w:spacing w:before="120" w:after="120"/>
        <w:ind w:left="1134"/>
        <w:rPr>
          <w:rFonts w:cs="Times New Roman"/>
          <w:color w:val="auto"/>
        </w:rPr>
      </w:pPr>
      <w:r w:rsidRPr="00DE12A3">
        <w:rPr>
          <w:rFonts w:cs="Times New Roman"/>
          <w:noProof/>
          <w:color w:val="auto"/>
        </w:rPr>
        <w:drawing>
          <wp:inline distT="0" distB="0" distL="0" distR="0" wp14:anchorId="46FA65A1" wp14:editId="0F19BAD7">
            <wp:extent cx="4536733" cy="920077"/>
            <wp:effectExtent l="0" t="0" r="0" b="0"/>
            <wp:docPr id="2425" name="Resim 24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pic:cNvPicPr>
                      <a:picLocks noChangeAspect="1" noChangeArrowheads="1"/>
                    </pic:cNvPicPr>
                  </pic:nvPicPr>
                  <pic:blipFill>
                    <a:blip r:embed="rId279">
                      <a:extLst>
                        <a:ext uri="{28A0092B-C50C-407E-A947-70E740481C1C}">
                          <a14:useLocalDpi xmlns:a14="http://schemas.microsoft.com/office/drawing/2010/main" val="0"/>
                        </a:ext>
                      </a:extLst>
                    </a:blip>
                    <a:srcRect/>
                    <a:stretch>
                      <a:fillRect/>
                    </a:stretch>
                  </pic:blipFill>
                  <pic:spPr bwMode="auto">
                    <a:xfrm>
                      <a:off x="0" y="0"/>
                      <a:ext cx="4589068" cy="930691"/>
                    </a:xfrm>
                    <a:prstGeom prst="rect">
                      <a:avLst/>
                    </a:prstGeom>
                    <a:noFill/>
                    <a:ln>
                      <a:noFill/>
                    </a:ln>
                  </pic:spPr>
                </pic:pic>
              </a:graphicData>
            </a:graphic>
          </wp:inline>
        </w:drawing>
      </w:r>
    </w:p>
    <w:p w14:paraId="7EEACB5F" w14:textId="77777777" w:rsidR="009F4766" w:rsidRPr="00DE12A3" w:rsidRDefault="009F4766" w:rsidP="005A58FA">
      <w:pPr>
        <w:spacing w:before="120" w:after="120"/>
        <w:rPr>
          <w:rFonts w:cs="Times New Roman"/>
          <w:color w:val="auto"/>
        </w:rPr>
      </w:pPr>
    </w:p>
    <w:p w14:paraId="71B7929A" w14:textId="18D837C7" w:rsidR="009F4766" w:rsidRPr="00DE12A3" w:rsidRDefault="009F4766" w:rsidP="005A58FA">
      <w:pPr>
        <w:spacing w:before="120" w:after="120"/>
        <w:ind w:left="1134"/>
        <w:rPr>
          <w:rFonts w:cs="Times New Roman"/>
          <w:color w:val="auto"/>
        </w:rPr>
      </w:pPr>
      <w:r w:rsidRPr="00DE12A3">
        <w:rPr>
          <w:rFonts w:cs="Times New Roman"/>
          <w:noProof/>
          <w:color w:val="auto"/>
        </w:rPr>
        <w:drawing>
          <wp:inline distT="0" distB="0" distL="0" distR="0" wp14:anchorId="69218C6A" wp14:editId="4714B532">
            <wp:extent cx="5151951" cy="920078"/>
            <wp:effectExtent l="0" t="0" r="0" b="0"/>
            <wp:docPr id="2424" name="Resim 2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pic:cNvPicPr>
                      <a:picLocks noChangeAspect="1" noChangeArrowheads="1"/>
                    </pic:cNvPicPr>
                  </pic:nvPicPr>
                  <pic:blipFill>
                    <a:blip r:embed="rId280">
                      <a:extLst>
                        <a:ext uri="{28A0092B-C50C-407E-A947-70E740481C1C}">
                          <a14:useLocalDpi xmlns:a14="http://schemas.microsoft.com/office/drawing/2010/main" val="0"/>
                        </a:ext>
                      </a:extLst>
                    </a:blip>
                    <a:srcRect/>
                    <a:stretch>
                      <a:fillRect/>
                    </a:stretch>
                  </pic:blipFill>
                  <pic:spPr bwMode="auto">
                    <a:xfrm>
                      <a:off x="0" y="0"/>
                      <a:ext cx="5225873" cy="933280"/>
                    </a:xfrm>
                    <a:prstGeom prst="rect">
                      <a:avLst/>
                    </a:prstGeom>
                    <a:noFill/>
                    <a:ln>
                      <a:noFill/>
                    </a:ln>
                  </pic:spPr>
                </pic:pic>
              </a:graphicData>
            </a:graphic>
          </wp:inline>
        </w:drawing>
      </w:r>
    </w:p>
    <w:p w14:paraId="2A8014C9" w14:textId="77777777" w:rsidR="009F4766" w:rsidRPr="00DE12A3" w:rsidRDefault="009F4766" w:rsidP="005A58FA">
      <w:pPr>
        <w:spacing w:before="120" w:after="120"/>
        <w:rPr>
          <w:rFonts w:cs="Times New Roman"/>
          <w:color w:val="auto"/>
        </w:rPr>
      </w:pPr>
    </w:p>
    <w:p w14:paraId="2EAC521F" w14:textId="4507C8F4" w:rsidR="009F4766" w:rsidRPr="00DE12A3" w:rsidRDefault="009F4766" w:rsidP="005A58FA">
      <w:pPr>
        <w:spacing w:before="120" w:after="120"/>
        <w:ind w:left="1134"/>
        <w:rPr>
          <w:rFonts w:cs="Times New Roman"/>
          <w:color w:val="auto"/>
        </w:rPr>
      </w:pPr>
      <w:r w:rsidRPr="00DE12A3">
        <w:rPr>
          <w:rFonts w:cs="Times New Roman"/>
          <w:noProof/>
          <w:color w:val="auto"/>
        </w:rPr>
        <w:drawing>
          <wp:inline distT="0" distB="0" distL="0" distR="0" wp14:anchorId="00780E38" wp14:editId="18C61FA9">
            <wp:extent cx="4900198" cy="838193"/>
            <wp:effectExtent l="0" t="0" r="0" b="635"/>
            <wp:docPr id="2423" name="Resim 24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pic:cNvPicPr>
                      <a:picLocks noChangeAspect="1" noChangeArrowheads="1"/>
                    </pic:cNvPicPr>
                  </pic:nvPicPr>
                  <pic:blipFill>
                    <a:blip r:embed="rId281">
                      <a:extLst>
                        <a:ext uri="{28A0092B-C50C-407E-A947-70E740481C1C}">
                          <a14:useLocalDpi xmlns:a14="http://schemas.microsoft.com/office/drawing/2010/main" val="0"/>
                        </a:ext>
                      </a:extLst>
                    </a:blip>
                    <a:srcRect/>
                    <a:stretch>
                      <a:fillRect/>
                    </a:stretch>
                  </pic:blipFill>
                  <pic:spPr bwMode="auto">
                    <a:xfrm>
                      <a:off x="0" y="0"/>
                      <a:ext cx="4969960" cy="850126"/>
                    </a:xfrm>
                    <a:prstGeom prst="rect">
                      <a:avLst/>
                    </a:prstGeom>
                    <a:noFill/>
                    <a:ln>
                      <a:noFill/>
                    </a:ln>
                  </pic:spPr>
                </pic:pic>
              </a:graphicData>
            </a:graphic>
          </wp:inline>
        </w:drawing>
      </w:r>
    </w:p>
    <w:p w14:paraId="23D72CC8" w14:textId="77777777" w:rsidR="009F4766" w:rsidRPr="00DE12A3" w:rsidRDefault="009F4766" w:rsidP="005A58FA">
      <w:pPr>
        <w:spacing w:before="120" w:after="120"/>
        <w:rPr>
          <w:rFonts w:cs="Times New Roman"/>
          <w:color w:val="auto"/>
        </w:rPr>
      </w:pPr>
    </w:p>
    <w:p w14:paraId="10DDAD01" w14:textId="77777777" w:rsidR="00FA1F41" w:rsidRPr="00DE12A3" w:rsidRDefault="00FA1F41" w:rsidP="005A58FA">
      <w:pPr>
        <w:spacing w:before="120" w:after="120"/>
        <w:jc w:val="both"/>
        <w:rPr>
          <w:rFonts w:cs="Times New Roman"/>
          <w:color w:val="auto"/>
        </w:rPr>
      </w:pPr>
      <w:r w:rsidRPr="00DE12A3">
        <w:rPr>
          <w:rFonts w:cs="Times New Roman"/>
          <w:color w:val="auto"/>
        </w:rPr>
        <w:t>Yukarıdaki denkleme alternatif olarak, S</w:t>
      </w:r>
      <w:r w:rsidRPr="00DE12A3">
        <w:rPr>
          <w:rFonts w:cs="Times New Roman"/>
          <w:color w:val="auto"/>
          <w:vertAlign w:val="subscript"/>
        </w:rPr>
        <w:t>λ</w:t>
      </w:r>
      <w:r w:rsidRPr="00DE12A3">
        <w:rPr>
          <w:rFonts w:cs="Times New Roman"/>
          <w:color w:val="auto"/>
        </w:rPr>
        <w:t xml:space="preserve"> değeri, saf metanın stokiyometrik hava talebinin, aşağıda belirtilen motora beslenen yakıt harmanının stokiyometrik hava talebine oranı kullanılarak hesaplanabilir.</w:t>
      </w:r>
    </w:p>
    <w:p w14:paraId="2342C99F" w14:textId="77777777" w:rsidR="00FA1F41" w:rsidRPr="00DE12A3" w:rsidRDefault="00FA1F41" w:rsidP="005A58FA">
      <w:pPr>
        <w:spacing w:before="120" w:after="120"/>
        <w:jc w:val="both"/>
        <w:rPr>
          <w:rFonts w:cs="Times New Roman"/>
          <w:color w:val="auto"/>
        </w:rPr>
      </w:pPr>
      <w:r w:rsidRPr="00DE12A3">
        <w:rPr>
          <w:rFonts w:cs="Times New Roman"/>
          <w:color w:val="auto"/>
        </w:rPr>
        <w:t xml:space="preserve">Lambda </w:t>
      </w:r>
      <w:r w:rsidR="00C917D6" w:rsidRPr="00DE12A3">
        <w:rPr>
          <w:rFonts w:cs="Times New Roman"/>
          <w:color w:val="auto"/>
        </w:rPr>
        <w:t>değiştirme faktörü</w:t>
      </w:r>
      <w:r w:rsidRPr="00DE12A3">
        <w:rPr>
          <w:rFonts w:cs="Times New Roman"/>
          <w:color w:val="auto"/>
        </w:rPr>
        <w:t xml:space="preserve"> (S</w:t>
      </w:r>
      <w:r w:rsidRPr="00DE12A3">
        <w:rPr>
          <w:rFonts w:cs="Times New Roman"/>
          <w:color w:val="auto"/>
          <w:vertAlign w:val="subscript"/>
        </w:rPr>
        <w:t>λ</w:t>
      </w:r>
      <w:r w:rsidRPr="00DE12A3">
        <w:rPr>
          <w:rFonts w:cs="Times New Roman"/>
          <w:color w:val="auto"/>
        </w:rPr>
        <w:t>), saf metanın oksijen talebine bağlı olarak tüm yakıt harmanlarının oksijen talebini ifade eder. Oksijen talebi, reaksiyon ortaklarının stokiyometrik bir bileşiminde metanı tam yanma ürünlerine (yani karbon dioksit ve suya) oksitlemek için gereken oksijen miktarı anlamına gelir.</w:t>
      </w:r>
    </w:p>
    <w:p w14:paraId="543D8C76" w14:textId="3159C14D" w:rsidR="00FA1F41" w:rsidRPr="00DE12A3" w:rsidRDefault="00FA1F41" w:rsidP="005A58FA">
      <w:pPr>
        <w:spacing w:before="120" w:after="120"/>
        <w:jc w:val="both"/>
        <w:rPr>
          <w:rFonts w:cs="Times New Roman"/>
          <w:color w:val="auto"/>
        </w:rPr>
      </w:pPr>
      <w:r w:rsidRPr="00DE12A3">
        <w:rPr>
          <w:rFonts w:cs="Times New Roman"/>
          <w:color w:val="auto"/>
        </w:rPr>
        <w:t xml:space="preserve">Saf metanın yanmasına ilişkin reaksiyon (9-4) </w:t>
      </w:r>
      <w:r w:rsidR="0002143D" w:rsidRPr="00DE12A3">
        <w:rPr>
          <w:rFonts w:cs="Times New Roman"/>
          <w:color w:val="auto"/>
        </w:rPr>
        <w:t xml:space="preserve">numaralı </w:t>
      </w:r>
      <w:r w:rsidRPr="00DE12A3">
        <w:rPr>
          <w:rFonts w:cs="Times New Roman"/>
          <w:color w:val="auto"/>
        </w:rPr>
        <w:t>denklemde belirtildiği gibidir:</w:t>
      </w:r>
    </w:p>
    <w:p w14:paraId="0806EF72" w14:textId="77777777" w:rsidR="00FA1F41" w:rsidRPr="00DE12A3" w:rsidRDefault="00FA1F41" w:rsidP="005A58FA">
      <w:pPr>
        <w:spacing w:before="120" w:after="120"/>
        <w:ind w:left="1134"/>
        <w:rPr>
          <w:rFonts w:cs="Times New Roman"/>
          <w:color w:val="auto"/>
        </w:rPr>
      </w:pPr>
    </w:p>
    <w:tbl>
      <w:tblPr>
        <w:tblW w:w="0" w:type="auto"/>
        <w:tblInd w:w="1838" w:type="dxa"/>
        <w:tblLayout w:type="fixed"/>
        <w:tblLook w:val="0000" w:firstRow="0" w:lastRow="0" w:firstColumn="0" w:lastColumn="0" w:noHBand="0" w:noVBand="0"/>
      </w:tblPr>
      <w:tblGrid>
        <w:gridCol w:w="5130"/>
        <w:gridCol w:w="1103"/>
      </w:tblGrid>
      <w:tr w:rsidR="009F4766" w:rsidRPr="00DE12A3" w14:paraId="34FC5E33" w14:textId="77777777" w:rsidTr="00AD20E2">
        <w:trPr>
          <w:trHeight w:val="695"/>
        </w:trPr>
        <w:tc>
          <w:tcPr>
            <w:tcW w:w="5130" w:type="dxa"/>
          </w:tcPr>
          <w:p w14:paraId="0D1C9167" w14:textId="77777777" w:rsidR="009F4766" w:rsidRPr="00DE12A3" w:rsidRDefault="009F4766" w:rsidP="005A58FA">
            <w:pPr>
              <w:pStyle w:val="NormalLeft"/>
            </w:pPr>
            <w:r w:rsidRPr="00DE12A3">
              <w:lastRenderedPageBreak/>
              <w:t xml:space="preserve">1 · </w:t>
            </w:r>
            <w:r w:rsidRPr="00DE12A3">
              <w:rPr>
                <w:i/>
                <w:iCs/>
              </w:rPr>
              <w:t>CH</w:t>
            </w:r>
            <w:r w:rsidRPr="00DE12A3">
              <w:rPr>
                <w:vertAlign w:val="subscript"/>
              </w:rPr>
              <w:t>4</w:t>
            </w:r>
            <w:r w:rsidRPr="00DE12A3">
              <w:t xml:space="preserve"> + 2 · </w:t>
            </w:r>
            <w:r w:rsidRPr="00DE12A3">
              <w:rPr>
                <w:i/>
                <w:iCs/>
              </w:rPr>
              <w:t>O</w:t>
            </w:r>
            <w:r w:rsidRPr="00DE12A3">
              <w:rPr>
                <w:vertAlign w:val="subscript"/>
              </w:rPr>
              <w:t>2</w:t>
            </w:r>
            <w:r w:rsidRPr="00DE12A3">
              <w:t xml:space="preserve"> → 1 · </w:t>
            </w:r>
            <w:r w:rsidRPr="00DE12A3">
              <w:rPr>
                <w:i/>
                <w:iCs/>
              </w:rPr>
              <w:t>CO</w:t>
            </w:r>
            <w:r w:rsidRPr="00DE12A3">
              <w:rPr>
                <w:vertAlign w:val="subscript"/>
              </w:rPr>
              <w:t>2</w:t>
            </w:r>
            <w:r w:rsidRPr="00DE12A3">
              <w:t xml:space="preserve"> + 2 · </w:t>
            </w:r>
            <w:r w:rsidRPr="00DE12A3">
              <w:rPr>
                <w:i/>
                <w:iCs/>
              </w:rPr>
              <w:t>H</w:t>
            </w:r>
            <w:r w:rsidRPr="00DE12A3">
              <w:rPr>
                <w:vertAlign w:val="subscript"/>
              </w:rPr>
              <w:t>2</w:t>
            </w:r>
            <w:r w:rsidRPr="00DE12A3">
              <w:rPr>
                <w:i/>
                <w:iCs/>
              </w:rPr>
              <w:t>O</w:t>
            </w:r>
          </w:p>
        </w:tc>
        <w:tc>
          <w:tcPr>
            <w:tcW w:w="1103" w:type="dxa"/>
          </w:tcPr>
          <w:p w14:paraId="1C02DD9C" w14:textId="77777777" w:rsidR="009F4766" w:rsidRPr="00DE12A3" w:rsidRDefault="009F4766" w:rsidP="005A58FA">
            <w:pPr>
              <w:pStyle w:val="NormalLeft"/>
            </w:pPr>
            <w:r w:rsidRPr="00DE12A3">
              <w:t>(9-4)</w:t>
            </w:r>
          </w:p>
        </w:tc>
      </w:tr>
    </w:tbl>
    <w:p w14:paraId="50B68AAA" w14:textId="77777777" w:rsidR="009F4766" w:rsidRPr="00DE12A3" w:rsidRDefault="009F4766" w:rsidP="005A58FA">
      <w:pPr>
        <w:spacing w:before="120" w:after="120"/>
        <w:rPr>
          <w:rFonts w:cs="Times New Roman"/>
          <w:color w:val="auto"/>
        </w:rPr>
      </w:pPr>
    </w:p>
    <w:p w14:paraId="05F2882F" w14:textId="77777777" w:rsidR="00016271" w:rsidRPr="00DE12A3" w:rsidRDefault="00016271" w:rsidP="005A58FA">
      <w:pPr>
        <w:spacing w:before="120" w:after="120"/>
        <w:rPr>
          <w:rFonts w:cs="Times New Roman"/>
          <w:color w:val="auto"/>
        </w:rPr>
      </w:pPr>
      <w:r w:rsidRPr="00DE12A3">
        <w:rPr>
          <w:rFonts w:cs="Times New Roman"/>
          <w:color w:val="auto"/>
        </w:rPr>
        <w:t>Bu durumda, reaksiyon ortaklarının stokiyometrik bileşimi içindeki moleküllerin oranı tam 2'dir:</w:t>
      </w:r>
    </w:p>
    <w:p w14:paraId="445F202E" w14:textId="77777777" w:rsidR="00016271" w:rsidRPr="00DE12A3" w:rsidRDefault="00016271" w:rsidP="005A58FA">
      <w:pPr>
        <w:spacing w:before="120" w:after="120"/>
        <w:rPr>
          <w:rFonts w:cs="Times New Roman"/>
          <w:color w:val="auto"/>
        </w:rPr>
      </w:pPr>
    </w:p>
    <w:p w14:paraId="10626BE4" w14:textId="4078E82B" w:rsidR="009F4766" w:rsidRPr="00DE12A3" w:rsidRDefault="009F4766" w:rsidP="005A58FA">
      <w:pPr>
        <w:spacing w:before="120" w:after="120"/>
        <w:jc w:val="center"/>
        <w:rPr>
          <w:rFonts w:cs="Times New Roman"/>
          <w:color w:val="auto"/>
        </w:rPr>
      </w:pPr>
      <w:r w:rsidRPr="00DE12A3">
        <w:rPr>
          <w:rFonts w:cs="Times New Roman"/>
          <w:noProof/>
          <w:color w:val="auto"/>
        </w:rPr>
        <w:drawing>
          <wp:inline distT="0" distB="0" distL="0" distR="0" wp14:anchorId="03B95B69" wp14:editId="78F46EEB">
            <wp:extent cx="1101725" cy="591820"/>
            <wp:effectExtent l="0" t="0" r="3175" b="0"/>
            <wp:docPr id="2422" name="Resim 24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pic:cNvPicPr>
                      <a:picLocks noChangeAspect="1" noChangeArrowheads="1"/>
                    </pic:cNvPicPr>
                  </pic:nvPicPr>
                  <pic:blipFill>
                    <a:blip r:embed="rId282">
                      <a:extLst>
                        <a:ext uri="{28A0092B-C50C-407E-A947-70E740481C1C}">
                          <a14:useLocalDpi xmlns:a14="http://schemas.microsoft.com/office/drawing/2010/main" val="0"/>
                        </a:ext>
                      </a:extLst>
                    </a:blip>
                    <a:srcRect/>
                    <a:stretch>
                      <a:fillRect/>
                    </a:stretch>
                  </pic:blipFill>
                  <pic:spPr bwMode="auto">
                    <a:xfrm>
                      <a:off x="0" y="0"/>
                      <a:ext cx="1101725" cy="591820"/>
                    </a:xfrm>
                    <a:prstGeom prst="rect">
                      <a:avLst/>
                    </a:prstGeom>
                    <a:noFill/>
                    <a:ln>
                      <a:noFill/>
                    </a:ln>
                  </pic:spPr>
                </pic:pic>
              </a:graphicData>
            </a:graphic>
          </wp:inline>
        </w:drawing>
      </w:r>
    </w:p>
    <w:p w14:paraId="2AD1C1E0" w14:textId="77777777" w:rsidR="009F4766" w:rsidRPr="00DE12A3" w:rsidRDefault="008B3D9F" w:rsidP="005A58FA">
      <w:pPr>
        <w:spacing w:before="120" w:after="120"/>
        <w:ind w:left="1134"/>
        <w:rPr>
          <w:rFonts w:cs="Times New Roman"/>
          <w:color w:val="auto"/>
        </w:rPr>
      </w:pPr>
      <w:r w:rsidRPr="00DE12A3">
        <w:rPr>
          <w:rFonts w:cs="Times New Roman"/>
          <w:color w:val="auto"/>
        </w:rPr>
        <w:t>Burada</w:t>
      </w:r>
      <w:r w:rsidR="009F4766" w:rsidRPr="00DE12A3">
        <w:rPr>
          <w:rFonts w:cs="Times New Roman"/>
          <w:color w:val="auto"/>
        </w:rPr>
        <w:t>:</w:t>
      </w:r>
    </w:p>
    <w:tbl>
      <w:tblPr>
        <w:tblW w:w="0" w:type="auto"/>
        <w:tblInd w:w="2089" w:type="dxa"/>
        <w:tblLayout w:type="fixed"/>
        <w:tblLook w:val="0000" w:firstRow="0" w:lastRow="0" w:firstColumn="0" w:lastColumn="0" w:noHBand="0" w:noVBand="0"/>
      </w:tblPr>
      <w:tblGrid>
        <w:gridCol w:w="970"/>
        <w:gridCol w:w="613"/>
        <w:gridCol w:w="3524"/>
      </w:tblGrid>
      <w:tr w:rsidR="00DE12A3" w:rsidRPr="00DE12A3" w14:paraId="2DCD8EE3" w14:textId="77777777" w:rsidTr="002000F9">
        <w:tc>
          <w:tcPr>
            <w:tcW w:w="970" w:type="dxa"/>
          </w:tcPr>
          <w:p w14:paraId="4C07831E" w14:textId="77777777" w:rsidR="00016271" w:rsidRPr="00DE12A3" w:rsidRDefault="00016271" w:rsidP="005A58FA">
            <w:pPr>
              <w:pStyle w:val="NormalLeft"/>
            </w:pPr>
            <w:r w:rsidRPr="00DE12A3">
              <w:rPr>
                <w:i/>
                <w:iCs/>
              </w:rPr>
              <w:t>n</w:t>
            </w:r>
            <w:r w:rsidRPr="00DE12A3">
              <w:rPr>
                <w:i/>
                <w:iCs/>
                <w:vertAlign w:val="subscript"/>
              </w:rPr>
              <w:t>O2</w:t>
            </w:r>
          </w:p>
        </w:tc>
        <w:tc>
          <w:tcPr>
            <w:tcW w:w="613" w:type="dxa"/>
          </w:tcPr>
          <w:p w14:paraId="573E0072" w14:textId="77777777" w:rsidR="00016271" w:rsidRPr="00DE12A3" w:rsidRDefault="00016271" w:rsidP="005A58FA">
            <w:pPr>
              <w:pStyle w:val="NormalLeft"/>
            </w:pPr>
            <w:r w:rsidRPr="00DE12A3">
              <w:t>=</w:t>
            </w:r>
          </w:p>
        </w:tc>
        <w:tc>
          <w:tcPr>
            <w:tcW w:w="3524" w:type="dxa"/>
          </w:tcPr>
          <w:p w14:paraId="00A3FA7F" w14:textId="79FA6F07" w:rsidR="00016271" w:rsidRPr="00DE12A3" w:rsidRDefault="00AD20E2" w:rsidP="005A58FA">
            <w:pPr>
              <w:spacing w:before="120" w:after="120"/>
              <w:rPr>
                <w:rFonts w:cs="Times New Roman"/>
                <w:color w:val="auto"/>
              </w:rPr>
            </w:pPr>
            <w:r w:rsidRPr="00DE12A3">
              <w:rPr>
                <w:rFonts w:cs="Times New Roman"/>
                <w:color w:val="auto"/>
              </w:rPr>
              <w:t>Oksijen</w:t>
            </w:r>
            <w:r w:rsidR="00016271" w:rsidRPr="00DE12A3">
              <w:rPr>
                <w:rFonts w:cs="Times New Roman"/>
                <w:color w:val="auto"/>
              </w:rPr>
              <w:t xml:space="preserve"> molekülü sayısı</w:t>
            </w:r>
          </w:p>
        </w:tc>
      </w:tr>
      <w:tr w:rsidR="00016271" w:rsidRPr="00DE12A3" w14:paraId="0324726F" w14:textId="77777777" w:rsidTr="002000F9">
        <w:tc>
          <w:tcPr>
            <w:tcW w:w="970" w:type="dxa"/>
          </w:tcPr>
          <w:p w14:paraId="41EF6F83" w14:textId="77777777" w:rsidR="00016271" w:rsidRPr="00DE12A3" w:rsidRDefault="00016271" w:rsidP="005A58FA">
            <w:pPr>
              <w:pStyle w:val="NormalLeft"/>
            </w:pPr>
            <w:r w:rsidRPr="00DE12A3">
              <w:rPr>
                <w:i/>
                <w:iCs/>
              </w:rPr>
              <w:t>n</w:t>
            </w:r>
            <w:r w:rsidRPr="00DE12A3">
              <w:rPr>
                <w:i/>
                <w:iCs/>
                <w:vertAlign w:val="subscript"/>
              </w:rPr>
              <w:t>CH4</w:t>
            </w:r>
          </w:p>
        </w:tc>
        <w:tc>
          <w:tcPr>
            <w:tcW w:w="613" w:type="dxa"/>
          </w:tcPr>
          <w:p w14:paraId="1995B9CA" w14:textId="77777777" w:rsidR="00016271" w:rsidRPr="00DE12A3" w:rsidRDefault="00016271" w:rsidP="005A58FA">
            <w:pPr>
              <w:pStyle w:val="NormalLeft"/>
            </w:pPr>
            <w:r w:rsidRPr="00DE12A3">
              <w:t>=</w:t>
            </w:r>
          </w:p>
        </w:tc>
        <w:tc>
          <w:tcPr>
            <w:tcW w:w="3524" w:type="dxa"/>
          </w:tcPr>
          <w:p w14:paraId="2005373A" w14:textId="7C8C5791" w:rsidR="00016271" w:rsidRPr="00DE12A3" w:rsidRDefault="00AD20E2" w:rsidP="005A58FA">
            <w:pPr>
              <w:spacing w:before="120" w:after="120"/>
              <w:rPr>
                <w:rFonts w:cs="Times New Roman"/>
                <w:color w:val="auto"/>
              </w:rPr>
            </w:pPr>
            <w:r w:rsidRPr="00DE12A3">
              <w:rPr>
                <w:rFonts w:cs="Times New Roman"/>
                <w:color w:val="auto"/>
              </w:rPr>
              <w:t>Metan</w:t>
            </w:r>
            <w:r w:rsidR="00016271" w:rsidRPr="00DE12A3">
              <w:rPr>
                <w:rFonts w:cs="Times New Roman"/>
                <w:color w:val="auto"/>
              </w:rPr>
              <w:t xml:space="preserve"> molekülü sayısı</w:t>
            </w:r>
          </w:p>
        </w:tc>
      </w:tr>
    </w:tbl>
    <w:p w14:paraId="2846AEF1" w14:textId="77777777" w:rsidR="009F4766" w:rsidRPr="00DE12A3" w:rsidRDefault="009F4766" w:rsidP="005A58FA">
      <w:pPr>
        <w:spacing w:before="120" w:after="120"/>
        <w:rPr>
          <w:rFonts w:cs="Times New Roman"/>
          <w:color w:val="auto"/>
        </w:rPr>
      </w:pPr>
    </w:p>
    <w:p w14:paraId="3AB22A3F" w14:textId="77777777" w:rsidR="009F4766" w:rsidRPr="00DE12A3" w:rsidRDefault="00016271" w:rsidP="005A58FA">
      <w:pPr>
        <w:spacing w:before="120" w:after="120"/>
        <w:ind w:left="1134"/>
        <w:rPr>
          <w:rFonts w:cs="Times New Roman"/>
          <w:color w:val="auto"/>
        </w:rPr>
      </w:pPr>
      <w:r w:rsidRPr="00DE12A3">
        <w:rPr>
          <w:rFonts w:cs="Times New Roman"/>
          <w:color w:val="auto"/>
        </w:rPr>
        <w:t>Bu nedenle, saf metan için oksijen talebi:</w:t>
      </w:r>
    </w:p>
    <w:tbl>
      <w:tblPr>
        <w:tblW w:w="0" w:type="auto"/>
        <w:tblInd w:w="1393" w:type="dxa"/>
        <w:tblLayout w:type="fixed"/>
        <w:tblLook w:val="0000" w:firstRow="0" w:lastRow="0" w:firstColumn="0" w:lastColumn="0" w:noHBand="0" w:noVBand="0"/>
      </w:tblPr>
      <w:tblGrid>
        <w:gridCol w:w="845"/>
        <w:gridCol w:w="585"/>
        <w:gridCol w:w="5070"/>
      </w:tblGrid>
      <w:tr w:rsidR="009F4766" w:rsidRPr="00DE12A3" w14:paraId="58AF7217" w14:textId="77777777" w:rsidTr="00AD20E2">
        <w:tc>
          <w:tcPr>
            <w:tcW w:w="845" w:type="dxa"/>
          </w:tcPr>
          <w:p w14:paraId="600B836F" w14:textId="77777777" w:rsidR="009F4766" w:rsidRPr="00DE12A3" w:rsidRDefault="009F4766" w:rsidP="005A58FA">
            <w:pPr>
              <w:pStyle w:val="NormalLeft"/>
            </w:pPr>
            <w:r w:rsidRPr="00DE12A3">
              <w:rPr>
                <w:i/>
                <w:iCs/>
              </w:rPr>
              <w:t>n</w:t>
            </w:r>
            <w:r w:rsidRPr="00DE12A3">
              <w:rPr>
                <w:i/>
                <w:iCs/>
                <w:vertAlign w:val="subscript"/>
              </w:rPr>
              <w:t>O2</w:t>
            </w:r>
          </w:p>
        </w:tc>
        <w:tc>
          <w:tcPr>
            <w:tcW w:w="585" w:type="dxa"/>
          </w:tcPr>
          <w:p w14:paraId="34BE1D48" w14:textId="77777777" w:rsidR="009F4766" w:rsidRPr="00DE12A3" w:rsidRDefault="009F4766" w:rsidP="005A58FA">
            <w:pPr>
              <w:pStyle w:val="NormalLeft"/>
            </w:pPr>
            <w:r w:rsidRPr="00DE12A3">
              <w:t>=</w:t>
            </w:r>
          </w:p>
        </w:tc>
        <w:tc>
          <w:tcPr>
            <w:tcW w:w="5070" w:type="dxa"/>
          </w:tcPr>
          <w:p w14:paraId="7C761278" w14:textId="58FEBA77" w:rsidR="009F4766" w:rsidRPr="00DE12A3" w:rsidRDefault="009F4766" w:rsidP="005A58FA">
            <w:pPr>
              <w:pStyle w:val="NormalLeft"/>
            </w:pPr>
            <w:r w:rsidRPr="00DE12A3">
              <w:t>2 ·</w:t>
            </w:r>
            <w:r w:rsidRPr="00DE12A3">
              <w:rPr>
                <w:i/>
                <w:iCs/>
              </w:rPr>
              <w:t>n</w:t>
            </w:r>
            <w:r w:rsidRPr="00DE12A3">
              <w:rPr>
                <w:i/>
                <w:iCs/>
                <w:vertAlign w:val="subscript"/>
              </w:rPr>
              <w:t>CH</w:t>
            </w:r>
            <w:r w:rsidRPr="00DE12A3">
              <w:rPr>
                <w:vertAlign w:val="subscript"/>
              </w:rPr>
              <w:t>4</w:t>
            </w:r>
            <w:r w:rsidRPr="00DE12A3">
              <w:t xml:space="preserve">  [</w:t>
            </w:r>
            <w:r w:rsidRPr="00DE12A3">
              <w:rPr>
                <w:i/>
                <w:iCs/>
              </w:rPr>
              <w:t>n</w:t>
            </w:r>
            <w:r w:rsidRPr="00DE12A3">
              <w:rPr>
                <w:i/>
                <w:iCs/>
                <w:vertAlign w:val="subscript"/>
              </w:rPr>
              <w:t>CH4</w:t>
            </w:r>
            <w:r w:rsidRPr="00DE12A3">
              <w:t>]= 1 kmol</w:t>
            </w:r>
            <w:r w:rsidR="00587CB1" w:rsidRPr="00DE12A3">
              <w:t>’ün referans değeri ile birlikte.</w:t>
            </w:r>
          </w:p>
        </w:tc>
      </w:tr>
    </w:tbl>
    <w:p w14:paraId="5DB8B6CB" w14:textId="77777777" w:rsidR="00016271" w:rsidRPr="00DE12A3" w:rsidRDefault="00016271" w:rsidP="005A58FA">
      <w:pPr>
        <w:spacing w:before="120" w:after="120"/>
        <w:rPr>
          <w:rFonts w:cs="Times New Roman"/>
          <w:color w:val="auto"/>
        </w:rPr>
      </w:pPr>
    </w:p>
    <w:p w14:paraId="12496CCE" w14:textId="3F445D8B" w:rsidR="00016271" w:rsidRPr="00DE12A3" w:rsidRDefault="00016271" w:rsidP="005A58FA">
      <w:pPr>
        <w:spacing w:before="120" w:after="120"/>
        <w:rPr>
          <w:rFonts w:cs="Times New Roman"/>
          <w:color w:val="auto"/>
        </w:rPr>
      </w:pPr>
      <w:r w:rsidRPr="00DE12A3">
        <w:rPr>
          <w:rFonts w:cs="Times New Roman"/>
          <w:color w:val="auto"/>
        </w:rPr>
        <w:t>S</w:t>
      </w:r>
      <w:r w:rsidRPr="00DE12A3">
        <w:rPr>
          <w:rFonts w:cs="Times New Roman"/>
          <w:color w:val="auto"/>
          <w:vertAlign w:val="subscript"/>
        </w:rPr>
        <w:t>λ</w:t>
      </w:r>
      <w:r w:rsidRPr="00DE12A3">
        <w:rPr>
          <w:rFonts w:cs="Times New Roman"/>
          <w:color w:val="auto"/>
        </w:rPr>
        <w:t>'in değeri, oksijen ve metanın stokiyometrik bileşim oranının, motora beslenen oksijen ve yakıt karışımının stoki</w:t>
      </w:r>
      <w:r w:rsidR="0002143D" w:rsidRPr="00DE12A3">
        <w:rPr>
          <w:rFonts w:cs="Times New Roman"/>
          <w:color w:val="auto"/>
        </w:rPr>
        <w:t>y</w:t>
      </w:r>
      <w:r w:rsidRPr="00DE12A3">
        <w:rPr>
          <w:rFonts w:cs="Times New Roman"/>
          <w:color w:val="auto"/>
        </w:rPr>
        <w:t xml:space="preserve">ometrik bileşim oranına oranı kullanılarak (9-5) </w:t>
      </w:r>
      <w:r w:rsidR="0002143D" w:rsidRPr="00DE12A3">
        <w:rPr>
          <w:rFonts w:cs="Times New Roman"/>
          <w:color w:val="auto"/>
        </w:rPr>
        <w:t xml:space="preserve">numaralı </w:t>
      </w:r>
      <w:r w:rsidRPr="00DE12A3">
        <w:rPr>
          <w:rFonts w:cs="Times New Roman"/>
          <w:color w:val="auto"/>
        </w:rPr>
        <w:t>denklemde belirtilen şekilde belirlenebilir:</w:t>
      </w:r>
    </w:p>
    <w:p w14:paraId="16B85C34" w14:textId="77777777" w:rsidR="00016271" w:rsidRPr="00DE12A3" w:rsidRDefault="00016271" w:rsidP="005A58FA">
      <w:pPr>
        <w:spacing w:before="120" w:after="120"/>
        <w:rPr>
          <w:rFonts w:cs="Times New Roman"/>
          <w:color w:val="auto"/>
        </w:rPr>
      </w:pPr>
    </w:p>
    <w:tbl>
      <w:tblPr>
        <w:tblW w:w="7437" w:type="dxa"/>
        <w:tblInd w:w="2368" w:type="dxa"/>
        <w:tblLayout w:type="fixed"/>
        <w:tblLook w:val="0000" w:firstRow="0" w:lastRow="0" w:firstColumn="0" w:lastColumn="0" w:noHBand="0" w:noVBand="0"/>
      </w:tblPr>
      <w:tblGrid>
        <w:gridCol w:w="6025"/>
        <w:gridCol w:w="1412"/>
      </w:tblGrid>
      <w:tr w:rsidR="009F4766" w:rsidRPr="00DE12A3" w14:paraId="3F85745D" w14:textId="77777777" w:rsidTr="002000F9">
        <w:trPr>
          <w:trHeight w:val="2030"/>
        </w:trPr>
        <w:tc>
          <w:tcPr>
            <w:tcW w:w="6025" w:type="dxa"/>
          </w:tcPr>
          <w:p w14:paraId="39B5E679" w14:textId="02E2D021" w:rsidR="009F4766" w:rsidRPr="00DE12A3" w:rsidRDefault="009F4766" w:rsidP="005A58FA">
            <w:pPr>
              <w:pStyle w:val="NormalLeft"/>
            </w:pPr>
            <w:r w:rsidRPr="00DE12A3">
              <w:rPr>
                <w:noProof/>
                <w:lang w:val="tr-TR"/>
              </w:rPr>
              <w:drawing>
                <wp:inline distT="0" distB="0" distL="0" distR="0" wp14:anchorId="54503687" wp14:editId="2448B2BC">
                  <wp:extent cx="3082925" cy="1061085"/>
                  <wp:effectExtent l="0" t="0" r="3175" b="5715"/>
                  <wp:docPr id="2421" name="Resim 2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noChangeArrowheads="1"/>
                          </pic:cNvPicPr>
                        </pic:nvPicPr>
                        <pic:blipFill>
                          <a:blip r:embed="rId283">
                            <a:extLst>
                              <a:ext uri="{28A0092B-C50C-407E-A947-70E740481C1C}">
                                <a14:useLocalDpi xmlns:a14="http://schemas.microsoft.com/office/drawing/2010/main" val="0"/>
                              </a:ext>
                            </a:extLst>
                          </a:blip>
                          <a:srcRect/>
                          <a:stretch>
                            <a:fillRect/>
                          </a:stretch>
                        </pic:blipFill>
                        <pic:spPr bwMode="auto">
                          <a:xfrm>
                            <a:off x="0" y="0"/>
                            <a:ext cx="3082925" cy="1061085"/>
                          </a:xfrm>
                          <a:prstGeom prst="rect">
                            <a:avLst/>
                          </a:prstGeom>
                          <a:noFill/>
                          <a:ln>
                            <a:noFill/>
                          </a:ln>
                        </pic:spPr>
                      </pic:pic>
                    </a:graphicData>
                  </a:graphic>
                </wp:inline>
              </w:drawing>
            </w:r>
          </w:p>
        </w:tc>
        <w:tc>
          <w:tcPr>
            <w:tcW w:w="1412" w:type="dxa"/>
          </w:tcPr>
          <w:p w14:paraId="1257708C" w14:textId="77777777" w:rsidR="009F4766" w:rsidRPr="00DE12A3" w:rsidRDefault="009F4766" w:rsidP="005A58FA">
            <w:pPr>
              <w:pStyle w:val="NormalLeft"/>
            </w:pPr>
            <w:r w:rsidRPr="00DE12A3">
              <w:t>(9-5)</w:t>
            </w:r>
          </w:p>
        </w:tc>
      </w:tr>
    </w:tbl>
    <w:p w14:paraId="7DCDF4E4" w14:textId="77777777" w:rsidR="009F4766" w:rsidRPr="00DE12A3" w:rsidRDefault="009F4766" w:rsidP="005A58FA">
      <w:pPr>
        <w:spacing w:before="120" w:after="120"/>
        <w:rPr>
          <w:rFonts w:cs="Times New Roman"/>
          <w:color w:val="auto"/>
        </w:rPr>
      </w:pPr>
    </w:p>
    <w:p w14:paraId="6138B840" w14:textId="77777777" w:rsidR="009F4766" w:rsidRPr="00DE12A3" w:rsidRDefault="008B3D9F" w:rsidP="005A58FA">
      <w:pPr>
        <w:spacing w:before="120" w:after="120"/>
        <w:ind w:left="1134"/>
        <w:rPr>
          <w:rFonts w:cs="Times New Roman"/>
          <w:color w:val="auto"/>
        </w:rPr>
      </w:pPr>
      <w:r w:rsidRPr="00DE12A3">
        <w:rPr>
          <w:rFonts w:cs="Times New Roman"/>
          <w:color w:val="auto"/>
        </w:rPr>
        <w:t>Burada</w:t>
      </w:r>
      <w:r w:rsidR="009F4766" w:rsidRPr="00DE12A3">
        <w:rPr>
          <w:rFonts w:cs="Times New Roman"/>
          <w:color w:val="auto"/>
        </w:rPr>
        <w:t>:</w:t>
      </w:r>
    </w:p>
    <w:tbl>
      <w:tblPr>
        <w:tblW w:w="0" w:type="auto"/>
        <w:tblInd w:w="1242" w:type="dxa"/>
        <w:tblLayout w:type="fixed"/>
        <w:tblLook w:val="0000" w:firstRow="0" w:lastRow="0" w:firstColumn="0" w:lastColumn="0" w:noHBand="0" w:noVBand="0"/>
      </w:tblPr>
      <w:tblGrid>
        <w:gridCol w:w="1134"/>
        <w:gridCol w:w="567"/>
        <w:gridCol w:w="6343"/>
      </w:tblGrid>
      <w:tr w:rsidR="00DE12A3" w:rsidRPr="00DE12A3" w14:paraId="244E1C42" w14:textId="77777777" w:rsidTr="002000F9">
        <w:tc>
          <w:tcPr>
            <w:tcW w:w="1134" w:type="dxa"/>
          </w:tcPr>
          <w:p w14:paraId="58015EF8" w14:textId="77777777" w:rsidR="00016271" w:rsidRPr="00DE12A3" w:rsidRDefault="00016271" w:rsidP="005A58FA">
            <w:pPr>
              <w:pStyle w:val="NormalLeft"/>
            </w:pPr>
            <w:r w:rsidRPr="00DE12A3">
              <w:rPr>
                <w:i/>
                <w:iCs/>
              </w:rPr>
              <w:t>n</w:t>
            </w:r>
            <w:r w:rsidRPr="00DE12A3">
              <w:rPr>
                <w:i/>
                <w:iCs/>
                <w:vertAlign w:val="subscript"/>
              </w:rPr>
              <w:t>blend</w:t>
            </w:r>
          </w:p>
        </w:tc>
        <w:tc>
          <w:tcPr>
            <w:tcW w:w="567" w:type="dxa"/>
          </w:tcPr>
          <w:p w14:paraId="47A52344" w14:textId="77777777" w:rsidR="00016271" w:rsidRPr="00DE12A3" w:rsidRDefault="00016271" w:rsidP="005A58FA">
            <w:pPr>
              <w:pStyle w:val="NormalLeft"/>
            </w:pPr>
            <w:r w:rsidRPr="00DE12A3">
              <w:t>=</w:t>
            </w:r>
          </w:p>
        </w:tc>
        <w:tc>
          <w:tcPr>
            <w:tcW w:w="6343" w:type="dxa"/>
          </w:tcPr>
          <w:p w14:paraId="2546B302" w14:textId="18E25147" w:rsidR="00016271" w:rsidRPr="00DE12A3" w:rsidRDefault="002000F9" w:rsidP="005A58FA">
            <w:pPr>
              <w:spacing w:before="120" w:after="120"/>
              <w:rPr>
                <w:rFonts w:cs="Times New Roman"/>
                <w:color w:val="auto"/>
              </w:rPr>
            </w:pPr>
            <w:r w:rsidRPr="00DE12A3">
              <w:rPr>
                <w:rFonts w:cs="Times New Roman"/>
                <w:color w:val="auto"/>
              </w:rPr>
              <w:t>Yakıt</w:t>
            </w:r>
            <w:r w:rsidR="00016271" w:rsidRPr="00DE12A3">
              <w:rPr>
                <w:rFonts w:cs="Times New Roman"/>
                <w:color w:val="auto"/>
              </w:rPr>
              <w:t xml:space="preserve"> harmanının molekül sayısı</w:t>
            </w:r>
          </w:p>
        </w:tc>
      </w:tr>
      <w:tr w:rsidR="00016271" w:rsidRPr="00DE12A3" w14:paraId="4FFA82D7" w14:textId="77777777" w:rsidTr="002000F9">
        <w:tc>
          <w:tcPr>
            <w:tcW w:w="1134" w:type="dxa"/>
          </w:tcPr>
          <w:p w14:paraId="639EE338" w14:textId="77777777" w:rsidR="00016271" w:rsidRPr="00DE12A3" w:rsidRDefault="00016271" w:rsidP="005A58FA">
            <w:pPr>
              <w:pStyle w:val="NormalLeft"/>
            </w:pPr>
            <w:r w:rsidRPr="00DE12A3">
              <w:rPr>
                <w:i/>
                <w:iCs/>
              </w:rPr>
              <w:t>(n</w:t>
            </w:r>
            <w:r w:rsidRPr="00DE12A3">
              <w:rPr>
                <w:i/>
                <w:iCs/>
                <w:vertAlign w:val="subscript"/>
              </w:rPr>
              <w:t>O2</w:t>
            </w:r>
            <w:r w:rsidRPr="00DE12A3">
              <w:rPr>
                <w:i/>
                <w:iCs/>
              </w:rPr>
              <w:t>)</w:t>
            </w:r>
            <w:r w:rsidRPr="00DE12A3">
              <w:rPr>
                <w:i/>
                <w:iCs/>
                <w:vertAlign w:val="subscript"/>
              </w:rPr>
              <w:t>blend</w:t>
            </w:r>
          </w:p>
        </w:tc>
        <w:tc>
          <w:tcPr>
            <w:tcW w:w="567" w:type="dxa"/>
          </w:tcPr>
          <w:p w14:paraId="617FD3FA" w14:textId="77777777" w:rsidR="00016271" w:rsidRPr="00DE12A3" w:rsidRDefault="00016271" w:rsidP="005A58FA">
            <w:pPr>
              <w:pStyle w:val="NormalLeft"/>
            </w:pPr>
            <w:r w:rsidRPr="00DE12A3">
              <w:t>=</w:t>
            </w:r>
          </w:p>
        </w:tc>
        <w:tc>
          <w:tcPr>
            <w:tcW w:w="6343" w:type="dxa"/>
          </w:tcPr>
          <w:p w14:paraId="7FF40897" w14:textId="78B6A444" w:rsidR="00016271" w:rsidRPr="00DE12A3" w:rsidRDefault="002000F9" w:rsidP="005A58FA">
            <w:pPr>
              <w:spacing w:before="120" w:after="120"/>
              <w:rPr>
                <w:rFonts w:cs="Times New Roman"/>
                <w:color w:val="auto"/>
              </w:rPr>
            </w:pPr>
            <w:r w:rsidRPr="00DE12A3">
              <w:rPr>
                <w:rFonts w:cs="Times New Roman"/>
                <w:color w:val="auto"/>
              </w:rPr>
              <w:t>Oksijen</w:t>
            </w:r>
            <w:r w:rsidR="00016271" w:rsidRPr="00DE12A3">
              <w:rPr>
                <w:rFonts w:cs="Times New Roman"/>
                <w:color w:val="auto"/>
              </w:rPr>
              <w:t xml:space="preserve"> ve motora beslenen yakıt harmanının stokiyometrik bileşimi içindeki moleküllerin oranı</w:t>
            </w:r>
          </w:p>
        </w:tc>
      </w:tr>
    </w:tbl>
    <w:p w14:paraId="587A40DB" w14:textId="77777777" w:rsidR="009F4766" w:rsidRPr="00DE12A3" w:rsidRDefault="009F4766" w:rsidP="005A58FA">
      <w:pPr>
        <w:spacing w:before="120" w:after="120"/>
        <w:rPr>
          <w:rFonts w:cs="Times New Roman"/>
          <w:color w:val="auto"/>
        </w:rPr>
      </w:pPr>
    </w:p>
    <w:p w14:paraId="6516E7B9" w14:textId="3CC57011" w:rsidR="00016271" w:rsidRPr="00DE12A3" w:rsidRDefault="00016271" w:rsidP="005A58FA">
      <w:pPr>
        <w:spacing w:before="120" w:after="120"/>
        <w:rPr>
          <w:rFonts w:cs="Times New Roman"/>
          <w:color w:val="auto"/>
        </w:rPr>
      </w:pPr>
      <w:r w:rsidRPr="00DE12A3">
        <w:rPr>
          <w:rFonts w:cs="Times New Roman"/>
          <w:color w:val="auto"/>
        </w:rPr>
        <w:t xml:space="preserve">Hava </w:t>
      </w:r>
      <w:r w:rsidR="00966EFF" w:rsidRPr="00DE12A3">
        <w:rPr>
          <w:rFonts w:cs="Times New Roman"/>
          <w:color w:val="auto"/>
        </w:rPr>
        <w:t>%21</w:t>
      </w:r>
      <w:r w:rsidRPr="00DE12A3">
        <w:rPr>
          <w:rFonts w:cs="Times New Roman"/>
          <w:color w:val="auto"/>
        </w:rPr>
        <w:t xml:space="preserve"> oksijen içerdiğinden, herhangi bir yakıtın stokiyometrik hava talebi Lst, (9-6) </w:t>
      </w:r>
      <w:r w:rsidR="0002143D" w:rsidRPr="00DE12A3">
        <w:rPr>
          <w:rFonts w:cs="Times New Roman"/>
          <w:color w:val="auto"/>
        </w:rPr>
        <w:t xml:space="preserve">numaralı </w:t>
      </w:r>
      <w:r w:rsidRPr="00DE12A3">
        <w:rPr>
          <w:rFonts w:cs="Times New Roman"/>
          <w:color w:val="auto"/>
        </w:rPr>
        <w:t>denklem ile hesaplanmalıdır:</w:t>
      </w:r>
    </w:p>
    <w:p w14:paraId="3AC4A010" w14:textId="77777777" w:rsidR="009F4766" w:rsidRPr="00DE12A3" w:rsidRDefault="009F4766" w:rsidP="005A58FA">
      <w:pPr>
        <w:spacing w:before="120" w:after="120"/>
        <w:rPr>
          <w:rFonts w:cs="Times New Roman"/>
          <w:color w:val="auto"/>
        </w:rPr>
      </w:pPr>
    </w:p>
    <w:tbl>
      <w:tblPr>
        <w:tblW w:w="0" w:type="auto"/>
        <w:jc w:val="center"/>
        <w:tblLayout w:type="fixed"/>
        <w:tblLook w:val="0000" w:firstRow="0" w:lastRow="0" w:firstColumn="0" w:lastColumn="0" w:noHBand="0" w:noVBand="0"/>
      </w:tblPr>
      <w:tblGrid>
        <w:gridCol w:w="3908"/>
        <w:gridCol w:w="1444"/>
      </w:tblGrid>
      <w:tr w:rsidR="009F4766" w:rsidRPr="00DE12A3" w14:paraId="4BB74DE4" w14:textId="77777777" w:rsidTr="002000F9">
        <w:trPr>
          <w:trHeight w:val="1199"/>
          <w:jc w:val="center"/>
        </w:trPr>
        <w:tc>
          <w:tcPr>
            <w:tcW w:w="3908" w:type="dxa"/>
          </w:tcPr>
          <w:p w14:paraId="243D6952" w14:textId="5E90BEB1" w:rsidR="009F4766" w:rsidRPr="00DE12A3" w:rsidRDefault="009F4766" w:rsidP="005A58FA">
            <w:pPr>
              <w:pStyle w:val="NormalLeft"/>
            </w:pPr>
            <w:r w:rsidRPr="00DE12A3">
              <w:rPr>
                <w:noProof/>
                <w:lang w:val="tr-TR"/>
              </w:rPr>
              <w:lastRenderedPageBreak/>
              <w:drawing>
                <wp:inline distT="0" distB="0" distL="0" distR="0" wp14:anchorId="13FD9A09" wp14:editId="030B068B">
                  <wp:extent cx="1963420" cy="586105"/>
                  <wp:effectExtent l="0" t="0" r="0" b="4445"/>
                  <wp:docPr id="2420" name="Resim 24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pic:cNvPicPr>
                            <a:picLocks noChangeAspect="1" noChangeArrowheads="1"/>
                          </pic:cNvPicPr>
                        </pic:nvPicPr>
                        <pic:blipFill>
                          <a:blip r:embed="rId284">
                            <a:extLst>
                              <a:ext uri="{28A0092B-C50C-407E-A947-70E740481C1C}">
                                <a14:useLocalDpi xmlns:a14="http://schemas.microsoft.com/office/drawing/2010/main" val="0"/>
                              </a:ext>
                            </a:extLst>
                          </a:blip>
                          <a:srcRect/>
                          <a:stretch>
                            <a:fillRect/>
                          </a:stretch>
                        </pic:blipFill>
                        <pic:spPr bwMode="auto">
                          <a:xfrm>
                            <a:off x="0" y="0"/>
                            <a:ext cx="1963420" cy="586105"/>
                          </a:xfrm>
                          <a:prstGeom prst="rect">
                            <a:avLst/>
                          </a:prstGeom>
                          <a:noFill/>
                          <a:ln>
                            <a:noFill/>
                          </a:ln>
                        </pic:spPr>
                      </pic:pic>
                    </a:graphicData>
                  </a:graphic>
                </wp:inline>
              </w:drawing>
            </w:r>
          </w:p>
        </w:tc>
        <w:tc>
          <w:tcPr>
            <w:tcW w:w="1444" w:type="dxa"/>
          </w:tcPr>
          <w:p w14:paraId="62FE2AA8" w14:textId="77777777" w:rsidR="009F4766" w:rsidRPr="00DE12A3" w:rsidRDefault="009F4766" w:rsidP="005A58FA">
            <w:pPr>
              <w:pStyle w:val="NormalLeft"/>
            </w:pPr>
            <w:r w:rsidRPr="00DE12A3">
              <w:t>(9-6)</w:t>
            </w:r>
          </w:p>
        </w:tc>
      </w:tr>
    </w:tbl>
    <w:p w14:paraId="5233FC05" w14:textId="77777777" w:rsidR="009F4766" w:rsidRPr="00DE12A3" w:rsidRDefault="009F4766" w:rsidP="005A58FA">
      <w:pPr>
        <w:spacing w:before="120" w:after="120"/>
        <w:rPr>
          <w:rFonts w:cs="Times New Roman"/>
          <w:color w:val="auto"/>
        </w:rPr>
      </w:pPr>
    </w:p>
    <w:p w14:paraId="2F581DA4" w14:textId="77777777" w:rsidR="009F4766" w:rsidRPr="00DE12A3" w:rsidRDefault="008B3D9F" w:rsidP="005A58FA">
      <w:pPr>
        <w:spacing w:before="120" w:after="120"/>
        <w:ind w:left="1134"/>
        <w:rPr>
          <w:rFonts w:cs="Times New Roman"/>
          <w:color w:val="auto"/>
        </w:rPr>
      </w:pPr>
      <w:r w:rsidRPr="00DE12A3">
        <w:rPr>
          <w:rFonts w:cs="Times New Roman"/>
          <w:color w:val="auto"/>
        </w:rPr>
        <w:t>Burada</w:t>
      </w:r>
      <w:r w:rsidR="009F4766" w:rsidRPr="00DE12A3">
        <w:rPr>
          <w:rFonts w:cs="Times New Roman"/>
          <w:color w:val="auto"/>
        </w:rPr>
        <w:t>:</w:t>
      </w:r>
    </w:p>
    <w:tbl>
      <w:tblPr>
        <w:tblW w:w="0" w:type="auto"/>
        <w:tblInd w:w="1393" w:type="dxa"/>
        <w:tblLayout w:type="fixed"/>
        <w:tblLook w:val="0000" w:firstRow="0" w:lastRow="0" w:firstColumn="0" w:lastColumn="0" w:noHBand="0" w:noVBand="0"/>
      </w:tblPr>
      <w:tblGrid>
        <w:gridCol w:w="1170"/>
        <w:gridCol w:w="585"/>
        <w:gridCol w:w="4745"/>
      </w:tblGrid>
      <w:tr w:rsidR="00DE12A3" w:rsidRPr="00DE12A3" w14:paraId="4237A05F" w14:textId="77777777" w:rsidTr="002000F9">
        <w:tc>
          <w:tcPr>
            <w:tcW w:w="1170" w:type="dxa"/>
          </w:tcPr>
          <w:p w14:paraId="6275DD8A" w14:textId="77777777" w:rsidR="00016271" w:rsidRPr="00DE12A3" w:rsidRDefault="00016271" w:rsidP="005A58FA">
            <w:pPr>
              <w:pStyle w:val="NormalLeft"/>
            </w:pPr>
            <w:r w:rsidRPr="00DE12A3">
              <w:t>L</w:t>
            </w:r>
            <w:r w:rsidRPr="00DE12A3">
              <w:rPr>
                <w:vertAlign w:val="subscript"/>
              </w:rPr>
              <w:t>st,fuel</w:t>
            </w:r>
          </w:p>
        </w:tc>
        <w:tc>
          <w:tcPr>
            <w:tcW w:w="585" w:type="dxa"/>
          </w:tcPr>
          <w:p w14:paraId="5EC0E37A" w14:textId="77777777" w:rsidR="00016271" w:rsidRPr="00DE12A3" w:rsidRDefault="00016271" w:rsidP="005A58FA">
            <w:pPr>
              <w:pStyle w:val="NormalLeft"/>
            </w:pPr>
            <w:r w:rsidRPr="00DE12A3">
              <w:t>=</w:t>
            </w:r>
          </w:p>
        </w:tc>
        <w:tc>
          <w:tcPr>
            <w:tcW w:w="4745" w:type="dxa"/>
          </w:tcPr>
          <w:p w14:paraId="28E3B230" w14:textId="5B0F0E71" w:rsidR="00016271" w:rsidRPr="00DE12A3" w:rsidRDefault="002000F9" w:rsidP="005A58FA">
            <w:pPr>
              <w:spacing w:before="120" w:after="120"/>
              <w:rPr>
                <w:rFonts w:cs="Times New Roman"/>
                <w:color w:val="auto"/>
              </w:rPr>
            </w:pPr>
            <w:r w:rsidRPr="00DE12A3">
              <w:rPr>
                <w:rFonts w:cs="Times New Roman"/>
                <w:color w:val="auto"/>
              </w:rPr>
              <w:t>Yakıt</w:t>
            </w:r>
            <w:r w:rsidR="00016271" w:rsidRPr="00DE12A3">
              <w:rPr>
                <w:rFonts w:cs="Times New Roman"/>
                <w:color w:val="auto"/>
              </w:rPr>
              <w:t xml:space="preserve"> için stokiyometrik hava talebi</w:t>
            </w:r>
          </w:p>
        </w:tc>
      </w:tr>
      <w:tr w:rsidR="00016271" w:rsidRPr="00DE12A3" w14:paraId="54D9E674" w14:textId="77777777" w:rsidTr="002000F9">
        <w:tc>
          <w:tcPr>
            <w:tcW w:w="1170" w:type="dxa"/>
          </w:tcPr>
          <w:p w14:paraId="6B103A8B" w14:textId="77777777" w:rsidR="00016271" w:rsidRPr="00DE12A3" w:rsidRDefault="00016271" w:rsidP="005A58FA">
            <w:pPr>
              <w:pStyle w:val="NormalLeft"/>
            </w:pPr>
            <w:r w:rsidRPr="00DE12A3">
              <w:rPr>
                <w:i/>
                <w:iCs/>
              </w:rPr>
              <w:t>n</w:t>
            </w:r>
            <w:r w:rsidRPr="00DE12A3">
              <w:rPr>
                <w:i/>
                <w:iCs/>
                <w:vertAlign w:val="subscript"/>
              </w:rPr>
              <w:t>O</w:t>
            </w:r>
            <w:r w:rsidRPr="00DE12A3">
              <w:rPr>
                <w:vertAlign w:val="subscript"/>
              </w:rPr>
              <w:t>2</w:t>
            </w:r>
            <w:r w:rsidRPr="00DE12A3">
              <w:rPr>
                <w:i/>
                <w:iCs/>
                <w:vertAlign w:val="subscript"/>
              </w:rPr>
              <w:t>fuel</w:t>
            </w:r>
          </w:p>
        </w:tc>
        <w:tc>
          <w:tcPr>
            <w:tcW w:w="585" w:type="dxa"/>
          </w:tcPr>
          <w:p w14:paraId="68A2E51F" w14:textId="77777777" w:rsidR="00016271" w:rsidRPr="00DE12A3" w:rsidRDefault="00016271" w:rsidP="005A58FA">
            <w:pPr>
              <w:pStyle w:val="NormalLeft"/>
            </w:pPr>
            <w:r w:rsidRPr="00DE12A3">
              <w:t>=</w:t>
            </w:r>
          </w:p>
        </w:tc>
        <w:tc>
          <w:tcPr>
            <w:tcW w:w="4745" w:type="dxa"/>
          </w:tcPr>
          <w:p w14:paraId="4C3CD591" w14:textId="71EF1EEF" w:rsidR="00016271" w:rsidRPr="00DE12A3" w:rsidRDefault="002000F9" w:rsidP="005A58FA">
            <w:pPr>
              <w:spacing w:before="120" w:after="120"/>
              <w:rPr>
                <w:rFonts w:cs="Times New Roman"/>
                <w:color w:val="auto"/>
              </w:rPr>
            </w:pPr>
            <w:r w:rsidRPr="00DE12A3">
              <w:rPr>
                <w:rFonts w:cs="Times New Roman"/>
                <w:color w:val="auto"/>
              </w:rPr>
              <w:t>Yakıt</w:t>
            </w:r>
            <w:r w:rsidR="00016271" w:rsidRPr="00DE12A3">
              <w:rPr>
                <w:rFonts w:cs="Times New Roman"/>
                <w:color w:val="auto"/>
              </w:rPr>
              <w:t xml:space="preserve"> için stokiyometrik oksijen ihtiyacı</w:t>
            </w:r>
          </w:p>
        </w:tc>
      </w:tr>
    </w:tbl>
    <w:p w14:paraId="466AD49F" w14:textId="77777777" w:rsidR="009F4766" w:rsidRPr="00DE12A3" w:rsidRDefault="009F4766" w:rsidP="005A58FA">
      <w:pPr>
        <w:spacing w:before="120" w:after="120"/>
        <w:rPr>
          <w:rFonts w:cs="Times New Roman"/>
          <w:color w:val="auto"/>
        </w:rPr>
      </w:pPr>
    </w:p>
    <w:p w14:paraId="0B6BA17F" w14:textId="7D691C75" w:rsidR="00016271" w:rsidRPr="00DE12A3" w:rsidRDefault="00016271" w:rsidP="005A58FA">
      <w:pPr>
        <w:spacing w:before="120" w:after="120"/>
        <w:jc w:val="both"/>
        <w:rPr>
          <w:rFonts w:cs="Times New Roman"/>
          <w:color w:val="auto"/>
        </w:rPr>
      </w:pPr>
      <w:r w:rsidRPr="00DE12A3">
        <w:rPr>
          <w:rFonts w:cs="Times New Roman"/>
          <w:color w:val="auto"/>
        </w:rPr>
        <w:t>Sonuç olarak S</w:t>
      </w:r>
      <w:r w:rsidRPr="00DE12A3">
        <w:rPr>
          <w:rFonts w:cs="Times New Roman"/>
          <w:color w:val="auto"/>
          <w:vertAlign w:val="subscript"/>
        </w:rPr>
        <w:t>λ</w:t>
      </w:r>
      <w:r w:rsidRPr="00DE12A3">
        <w:rPr>
          <w:rFonts w:cs="Times New Roman"/>
          <w:color w:val="auto"/>
        </w:rPr>
        <w:t xml:space="preserve">'in değeri, hava ve metanın stokiyometrik bileşim oranının, motora beslenen hava ve yakıt karışımının stokiyometrik bileşim oranına oranı, yani metanın stokiyometrik hava talebi oranının, motora beslenen yakıt karışımının stokiyometrik hava talebine oranına oranı kullanılarak (9-7) </w:t>
      </w:r>
      <w:r w:rsidR="0002143D" w:rsidRPr="00DE12A3">
        <w:rPr>
          <w:rFonts w:cs="Times New Roman"/>
          <w:color w:val="auto"/>
        </w:rPr>
        <w:t xml:space="preserve">numaralı </w:t>
      </w:r>
      <w:r w:rsidRPr="00DE12A3">
        <w:rPr>
          <w:rFonts w:cs="Times New Roman"/>
          <w:color w:val="auto"/>
        </w:rPr>
        <w:t>denklemde belirtilen şekilde</w:t>
      </w:r>
      <w:r w:rsidR="0002143D" w:rsidRPr="00DE12A3">
        <w:rPr>
          <w:rFonts w:cs="Times New Roman"/>
          <w:color w:val="auto"/>
        </w:rPr>
        <w:t xml:space="preserve"> belirlenebilir:</w:t>
      </w:r>
    </w:p>
    <w:p w14:paraId="3B1F2E6C" w14:textId="77777777" w:rsidR="00016271" w:rsidRPr="00DE12A3" w:rsidRDefault="00016271" w:rsidP="005A58FA">
      <w:pPr>
        <w:spacing w:before="120" w:after="120"/>
        <w:rPr>
          <w:rFonts w:cs="Times New Roman"/>
          <w:color w:val="auto"/>
        </w:rPr>
      </w:pPr>
    </w:p>
    <w:p w14:paraId="06DEA804" w14:textId="77777777" w:rsidR="00016271" w:rsidRPr="00DE12A3" w:rsidRDefault="00016271" w:rsidP="005A58FA">
      <w:pPr>
        <w:spacing w:before="120" w:after="120"/>
        <w:rPr>
          <w:rFonts w:cs="Times New Roman"/>
          <w:color w:val="auto"/>
        </w:rPr>
      </w:pPr>
    </w:p>
    <w:tbl>
      <w:tblPr>
        <w:tblW w:w="7748" w:type="dxa"/>
        <w:tblInd w:w="1242" w:type="dxa"/>
        <w:tblLayout w:type="fixed"/>
        <w:tblLook w:val="0000" w:firstRow="0" w:lastRow="0" w:firstColumn="0" w:lastColumn="0" w:noHBand="0" w:noVBand="0"/>
      </w:tblPr>
      <w:tblGrid>
        <w:gridCol w:w="6804"/>
        <w:gridCol w:w="944"/>
      </w:tblGrid>
      <w:tr w:rsidR="009F4766" w:rsidRPr="00DE12A3" w14:paraId="68391F13" w14:textId="77777777" w:rsidTr="002000F9">
        <w:trPr>
          <w:trHeight w:val="1380"/>
        </w:trPr>
        <w:tc>
          <w:tcPr>
            <w:tcW w:w="6804" w:type="dxa"/>
          </w:tcPr>
          <w:p w14:paraId="26E06318" w14:textId="200EAA8C" w:rsidR="009F4766" w:rsidRPr="00DE12A3" w:rsidRDefault="009F4766" w:rsidP="005A58FA">
            <w:pPr>
              <w:pStyle w:val="NormalLeft"/>
            </w:pPr>
            <w:r w:rsidRPr="00DE12A3">
              <w:rPr>
                <w:noProof/>
                <w:lang w:val="tr-TR"/>
              </w:rPr>
              <w:drawing>
                <wp:inline distT="0" distB="0" distL="0" distR="0" wp14:anchorId="5906A99C" wp14:editId="6FA59878">
                  <wp:extent cx="4191000" cy="1107440"/>
                  <wp:effectExtent l="0" t="0" r="0" b="0"/>
                  <wp:docPr id="2395" name="Resim 2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pic:cNvPicPr>
                            <a:picLocks noChangeAspect="1" noChangeArrowheads="1"/>
                          </pic:cNvPicPr>
                        </pic:nvPicPr>
                        <pic:blipFill>
                          <a:blip r:embed="rId285">
                            <a:extLst>
                              <a:ext uri="{28A0092B-C50C-407E-A947-70E740481C1C}">
                                <a14:useLocalDpi xmlns:a14="http://schemas.microsoft.com/office/drawing/2010/main" val="0"/>
                              </a:ext>
                            </a:extLst>
                          </a:blip>
                          <a:srcRect/>
                          <a:stretch>
                            <a:fillRect/>
                          </a:stretch>
                        </pic:blipFill>
                        <pic:spPr bwMode="auto">
                          <a:xfrm>
                            <a:off x="0" y="0"/>
                            <a:ext cx="4252402" cy="1123665"/>
                          </a:xfrm>
                          <a:prstGeom prst="rect">
                            <a:avLst/>
                          </a:prstGeom>
                          <a:noFill/>
                          <a:ln>
                            <a:noFill/>
                          </a:ln>
                        </pic:spPr>
                      </pic:pic>
                    </a:graphicData>
                  </a:graphic>
                </wp:inline>
              </w:drawing>
            </w:r>
          </w:p>
        </w:tc>
        <w:tc>
          <w:tcPr>
            <w:tcW w:w="944" w:type="dxa"/>
          </w:tcPr>
          <w:p w14:paraId="094647B2" w14:textId="77777777" w:rsidR="009F4766" w:rsidRPr="00DE12A3" w:rsidRDefault="009F4766" w:rsidP="005A58FA">
            <w:pPr>
              <w:pStyle w:val="NormalLeft"/>
            </w:pPr>
            <w:r w:rsidRPr="00DE12A3">
              <w:t>(9-7)</w:t>
            </w:r>
          </w:p>
        </w:tc>
      </w:tr>
    </w:tbl>
    <w:p w14:paraId="726A0A92" w14:textId="77777777" w:rsidR="009F4766" w:rsidRPr="00DE12A3" w:rsidRDefault="009F4766" w:rsidP="005A58FA">
      <w:pPr>
        <w:spacing w:before="120" w:after="120"/>
        <w:rPr>
          <w:rFonts w:cs="Times New Roman"/>
          <w:color w:val="auto"/>
        </w:rPr>
      </w:pPr>
    </w:p>
    <w:p w14:paraId="692467BE" w14:textId="77777777" w:rsidR="00016271" w:rsidRPr="00DE12A3" w:rsidRDefault="00016271" w:rsidP="005A58FA">
      <w:pPr>
        <w:spacing w:before="120" w:after="120"/>
        <w:rPr>
          <w:rFonts w:cs="Times New Roman"/>
          <w:color w:val="auto"/>
        </w:rPr>
      </w:pPr>
      <w:r w:rsidRPr="00DE12A3">
        <w:rPr>
          <w:rFonts w:cs="Times New Roman"/>
          <w:color w:val="auto"/>
        </w:rPr>
        <w:t>Bu nedenle, stokiyometrik hava talebini gösteren her hesaplama, Lambda-</w:t>
      </w:r>
      <w:r w:rsidR="00C917D6" w:rsidRPr="00DE12A3">
        <w:rPr>
          <w:rFonts w:cs="Times New Roman"/>
          <w:color w:val="auto"/>
        </w:rPr>
        <w:t>değiştirme faktörü</w:t>
      </w:r>
      <w:r w:rsidRPr="00DE12A3">
        <w:rPr>
          <w:rFonts w:cs="Times New Roman"/>
          <w:color w:val="auto"/>
        </w:rPr>
        <w:t>nü ifade etmek için kullanılabilir.</w:t>
      </w:r>
    </w:p>
    <w:p w14:paraId="34ACC2A9" w14:textId="45E137B0" w:rsidR="003A7EF8" w:rsidRPr="00DE12A3" w:rsidRDefault="003A7EF8" w:rsidP="005A58FA">
      <w:pPr>
        <w:widowControl/>
        <w:rPr>
          <w:rFonts w:cs="Times New Roman"/>
          <w:color w:val="auto"/>
        </w:rPr>
      </w:pPr>
      <w:r w:rsidRPr="00DE12A3">
        <w:rPr>
          <w:rFonts w:cs="Times New Roman"/>
          <w:color w:val="auto"/>
        </w:rPr>
        <w:br w:type="page"/>
      </w:r>
    </w:p>
    <w:p w14:paraId="441F4165" w14:textId="10813B38" w:rsidR="00DC0707" w:rsidRPr="00DE12A3" w:rsidRDefault="003A7EF8" w:rsidP="003A7EF8">
      <w:pPr>
        <w:pStyle w:val="Balk2"/>
        <w:rPr>
          <w:color w:val="auto"/>
        </w:rPr>
      </w:pPr>
      <w:r w:rsidRPr="00DE12A3">
        <w:rPr>
          <w:color w:val="auto"/>
        </w:rPr>
        <w:lastRenderedPageBreak/>
        <w:t xml:space="preserve">3. </w:t>
      </w:r>
      <w:r w:rsidR="00DC0707" w:rsidRPr="00DE12A3">
        <w:rPr>
          <w:color w:val="auto"/>
        </w:rPr>
        <w:t>Açıklayıcı Ek</w:t>
      </w:r>
    </w:p>
    <w:p w14:paraId="7E1CA5E4" w14:textId="77777777" w:rsidR="00DC0707" w:rsidRPr="00DE12A3" w:rsidRDefault="00DC0707" w:rsidP="005A58FA">
      <w:pPr>
        <w:rPr>
          <w:b/>
          <w:color w:val="auto"/>
        </w:rPr>
      </w:pPr>
      <w:r w:rsidRPr="00DE12A3">
        <w:rPr>
          <w:b/>
          <w:color w:val="auto"/>
        </w:rPr>
        <w:t>Gaz yakıt içindeki CO</w:t>
      </w:r>
      <w:r w:rsidRPr="00DE12A3">
        <w:rPr>
          <w:b/>
          <w:color w:val="auto"/>
          <w:vertAlign w:val="subscript"/>
        </w:rPr>
        <w:t>2</w:t>
      </w:r>
      <w:r w:rsidRPr="00DE12A3">
        <w:rPr>
          <w:b/>
          <w:color w:val="auto"/>
        </w:rPr>
        <w:t>'den kaynaklanan, egzoz gazı içindeki CO</w:t>
      </w:r>
      <w:r w:rsidRPr="00DE12A3">
        <w:rPr>
          <w:b/>
          <w:color w:val="auto"/>
          <w:vertAlign w:val="subscript"/>
        </w:rPr>
        <w:t>2</w:t>
      </w:r>
      <w:r w:rsidRPr="00DE12A3">
        <w:rPr>
          <w:b/>
          <w:color w:val="auto"/>
        </w:rPr>
        <w:t xml:space="preserve"> bakımından düzeltme</w:t>
      </w:r>
    </w:p>
    <w:p w14:paraId="2C1512BE" w14:textId="77777777" w:rsidR="00DC0707" w:rsidRPr="00DE12A3" w:rsidRDefault="00DC0707" w:rsidP="00681DA7">
      <w:pPr>
        <w:rPr>
          <w:color w:val="auto"/>
        </w:rPr>
      </w:pPr>
    </w:p>
    <w:p w14:paraId="3F7CC0B1" w14:textId="23A14EAB" w:rsidR="00DC0707" w:rsidRPr="00DE12A3" w:rsidRDefault="00681DA7" w:rsidP="00681DA7">
      <w:pPr>
        <w:rPr>
          <w:b/>
          <w:color w:val="auto"/>
        </w:rPr>
      </w:pPr>
      <w:r w:rsidRPr="00DE12A3">
        <w:rPr>
          <w:b/>
          <w:color w:val="auto"/>
        </w:rPr>
        <w:t xml:space="preserve">1. </w:t>
      </w:r>
      <w:r w:rsidR="00DC0707" w:rsidRPr="00DE12A3">
        <w:rPr>
          <w:b/>
          <w:color w:val="auto"/>
        </w:rPr>
        <w:t>Gaz yakıt akışı içindeki anlık CO</w:t>
      </w:r>
      <w:r w:rsidR="00DC0707" w:rsidRPr="00DE12A3">
        <w:rPr>
          <w:b/>
          <w:color w:val="auto"/>
          <w:vertAlign w:val="subscript"/>
        </w:rPr>
        <w:t>2</w:t>
      </w:r>
      <w:r w:rsidR="00DC0707" w:rsidRPr="00DE12A3">
        <w:rPr>
          <w:b/>
          <w:color w:val="auto"/>
        </w:rPr>
        <w:t xml:space="preserve"> kütle akış hızı</w:t>
      </w:r>
    </w:p>
    <w:p w14:paraId="3C86A3F7" w14:textId="77777777" w:rsidR="00681DA7" w:rsidRPr="00DE12A3" w:rsidRDefault="00681DA7" w:rsidP="00681DA7">
      <w:pPr>
        <w:rPr>
          <w:color w:val="auto"/>
        </w:rPr>
      </w:pPr>
    </w:p>
    <w:p w14:paraId="2FF90C96" w14:textId="227F36DF" w:rsidR="00DC0707" w:rsidRPr="00DE12A3" w:rsidRDefault="00681DA7" w:rsidP="00681DA7">
      <w:pPr>
        <w:rPr>
          <w:color w:val="auto"/>
        </w:rPr>
      </w:pPr>
      <w:r w:rsidRPr="00DE12A3">
        <w:rPr>
          <w:color w:val="auto"/>
        </w:rPr>
        <w:t xml:space="preserve">1.1. </w:t>
      </w:r>
      <w:r w:rsidR="00DC0707" w:rsidRPr="00DE12A3">
        <w:rPr>
          <w:color w:val="auto"/>
        </w:rPr>
        <w:t xml:space="preserve">Gaz bileşimi ve gaz akışı, </w:t>
      </w:r>
      <w:r w:rsidR="00FA0678" w:rsidRPr="00DE12A3">
        <w:rPr>
          <w:color w:val="auto"/>
        </w:rPr>
        <w:t>1. Açıklayıcı Ekin</w:t>
      </w:r>
      <w:r w:rsidR="00DC0707" w:rsidRPr="00DE12A3">
        <w:rPr>
          <w:color w:val="auto"/>
        </w:rPr>
        <w:t xml:space="preserve"> 1 ila 4. </w:t>
      </w:r>
      <w:r w:rsidR="00A610FC" w:rsidRPr="00DE12A3">
        <w:rPr>
          <w:color w:val="auto"/>
        </w:rPr>
        <w:t>Bölüm</w:t>
      </w:r>
      <w:r w:rsidR="00DC0707" w:rsidRPr="00DE12A3">
        <w:rPr>
          <w:color w:val="auto"/>
        </w:rPr>
        <w:t>lerindeki şartlar uyarınca belirlenmelidir.</w:t>
      </w:r>
    </w:p>
    <w:p w14:paraId="6885FFF7" w14:textId="77777777" w:rsidR="00681DA7" w:rsidRPr="00DE12A3" w:rsidRDefault="00681DA7" w:rsidP="00681DA7">
      <w:pPr>
        <w:rPr>
          <w:color w:val="auto"/>
        </w:rPr>
      </w:pPr>
    </w:p>
    <w:p w14:paraId="00649882" w14:textId="6F3B5C9C" w:rsidR="00DC0707" w:rsidRPr="00DE12A3" w:rsidRDefault="00681DA7" w:rsidP="00681DA7">
      <w:pPr>
        <w:rPr>
          <w:color w:val="auto"/>
        </w:rPr>
      </w:pPr>
      <w:r w:rsidRPr="00DE12A3">
        <w:rPr>
          <w:color w:val="auto"/>
        </w:rPr>
        <w:t xml:space="preserve">1.2. </w:t>
      </w:r>
      <w:r w:rsidR="00DC0707" w:rsidRPr="00DE12A3">
        <w:rPr>
          <w:color w:val="auto"/>
        </w:rPr>
        <w:t>Motora beslenen bir gaz akışında anlık CO</w:t>
      </w:r>
      <w:r w:rsidR="00DC0707" w:rsidRPr="00DE12A3">
        <w:rPr>
          <w:color w:val="auto"/>
          <w:vertAlign w:val="subscript"/>
        </w:rPr>
        <w:t>2</w:t>
      </w:r>
      <w:r w:rsidR="00DC0707" w:rsidRPr="00DE12A3">
        <w:rPr>
          <w:color w:val="auto"/>
        </w:rPr>
        <w:t xml:space="preserve"> kütle akış hızı (9-8) </w:t>
      </w:r>
      <w:r w:rsidR="00343A91" w:rsidRPr="00DE12A3">
        <w:rPr>
          <w:color w:val="auto"/>
        </w:rPr>
        <w:t xml:space="preserve">numaralı </w:t>
      </w:r>
      <w:r w:rsidR="00DC0707" w:rsidRPr="00DE12A3">
        <w:rPr>
          <w:color w:val="auto"/>
        </w:rPr>
        <w:t>denklem ile hesaplanmalıdır</w:t>
      </w:r>
      <w:r w:rsidR="00343A91" w:rsidRPr="00DE12A3">
        <w:rPr>
          <w:color w:val="auto"/>
        </w:rPr>
        <w:t>:</w:t>
      </w:r>
    </w:p>
    <w:p w14:paraId="2E3B67AE" w14:textId="77777777" w:rsidR="009F4766" w:rsidRPr="00DE12A3" w:rsidRDefault="009F4766" w:rsidP="00681DA7">
      <w:pPr>
        <w:spacing w:before="120" w:after="120"/>
        <w:rPr>
          <w:rFonts w:cs="Times New Roman"/>
          <w:color w:val="auto"/>
        </w:rPr>
      </w:pPr>
    </w:p>
    <w:tbl>
      <w:tblPr>
        <w:tblW w:w="0" w:type="auto"/>
        <w:jc w:val="center"/>
        <w:tblLayout w:type="fixed"/>
        <w:tblLook w:val="0000" w:firstRow="0" w:lastRow="0" w:firstColumn="0" w:lastColumn="0" w:noHBand="0" w:noVBand="0"/>
      </w:tblPr>
      <w:tblGrid>
        <w:gridCol w:w="4368"/>
        <w:gridCol w:w="832"/>
      </w:tblGrid>
      <w:tr w:rsidR="009F4766" w:rsidRPr="00DE12A3" w14:paraId="68F6D6EB" w14:textId="77777777" w:rsidTr="00857130">
        <w:trPr>
          <w:jc w:val="center"/>
        </w:trPr>
        <w:tc>
          <w:tcPr>
            <w:tcW w:w="4368" w:type="dxa"/>
          </w:tcPr>
          <w:p w14:paraId="38053762" w14:textId="53606826" w:rsidR="009F4766" w:rsidRPr="00DE12A3" w:rsidRDefault="009F4766" w:rsidP="00681DA7">
            <w:pPr>
              <w:pStyle w:val="NormalLeft"/>
            </w:pPr>
            <w:r w:rsidRPr="00DE12A3">
              <w:rPr>
                <w:i/>
                <w:iCs/>
              </w:rPr>
              <w:t>ṁ</w:t>
            </w:r>
            <w:r w:rsidR="00767500" w:rsidRPr="00DE12A3">
              <w:rPr>
                <w:i/>
                <w:iCs/>
              </w:rPr>
              <w:t xml:space="preserve"> </w:t>
            </w:r>
            <w:r w:rsidRPr="00DE12A3">
              <w:rPr>
                <w:vertAlign w:val="subscript"/>
              </w:rPr>
              <w:t>CO2i</w:t>
            </w:r>
            <w:r w:rsidRPr="00DE12A3">
              <w:t xml:space="preserve"> = (</w:t>
            </w:r>
            <w:r w:rsidRPr="00DE12A3">
              <w:rPr>
                <w:i/>
                <w:iCs/>
              </w:rPr>
              <w:t>M</w:t>
            </w:r>
            <w:r w:rsidRPr="00DE12A3">
              <w:rPr>
                <w:vertAlign w:val="subscript"/>
              </w:rPr>
              <w:t>CO2</w:t>
            </w:r>
            <w:r w:rsidRPr="00DE12A3">
              <w:t>/</w:t>
            </w:r>
            <w:r w:rsidRPr="00DE12A3">
              <w:rPr>
                <w:i/>
                <w:iCs/>
              </w:rPr>
              <w:t>M</w:t>
            </w:r>
            <w:r w:rsidRPr="00DE12A3">
              <w:rPr>
                <w:vertAlign w:val="subscript"/>
              </w:rPr>
              <w:t>stream</w:t>
            </w:r>
            <w:r w:rsidRPr="00DE12A3">
              <w:t xml:space="preserve">) · </w:t>
            </w:r>
            <w:r w:rsidRPr="00DE12A3">
              <w:rPr>
                <w:i/>
                <w:iCs/>
              </w:rPr>
              <w:t>x</w:t>
            </w:r>
            <w:r w:rsidRPr="00DE12A3">
              <w:rPr>
                <w:vertAlign w:val="subscript"/>
              </w:rPr>
              <w:t>CO2i</w:t>
            </w:r>
            <w:r w:rsidRPr="00DE12A3">
              <w:t xml:space="preserve"> · </w:t>
            </w:r>
            <w:r w:rsidRPr="00DE12A3">
              <w:rPr>
                <w:i/>
                <w:iCs/>
              </w:rPr>
              <w:t>ṁ</w:t>
            </w:r>
            <w:r w:rsidRPr="00DE12A3">
              <w:rPr>
                <w:vertAlign w:val="subscript"/>
              </w:rPr>
              <w:t>streami</w:t>
            </w:r>
          </w:p>
        </w:tc>
        <w:tc>
          <w:tcPr>
            <w:tcW w:w="832" w:type="dxa"/>
          </w:tcPr>
          <w:p w14:paraId="3B2A832B" w14:textId="77777777" w:rsidR="009F4766" w:rsidRPr="00DE12A3" w:rsidRDefault="009F4766" w:rsidP="00681DA7">
            <w:pPr>
              <w:pStyle w:val="NormalLeft"/>
            </w:pPr>
            <w:r w:rsidRPr="00DE12A3">
              <w:t>(9-8)</w:t>
            </w:r>
          </w:p>
        </w:tc>
      </w:tr>
    </w:tbl>
    <w:p w14:paraId="609FEE74" w14:textId="77777777" w:rsidR="009F4766" w:rsidRPr="00DE12A3" w:rsidRDefault="009F4766" w:rsidP="00681DA7">
      <w:pPr>
        <w:spacing w:before="120" w:after="120"/>
        <w:rPr>
          <w:rFonts w:cs="Times New Roman"/>
          <w:color w:val="auto"/>
        </w:rPr>
      </w:pPr>
    </w:p>
    <w:p w14:paraId="728BC65B" w14:textId="77777777" w:rsidR="009F4766" w:rsidRPr="00DE12A3" w:rsidRDefault="008B3D9F" w:rsidP="00681DA7">
      <w:pPr>
        <w:spacing w:before="120" w:after="120"/>
        <w:ind w:left="1134"/>
        <w:rPr>
          <w:rFonts w:cs="Times New Roman"/>
          <w:color w:val="auto"/>
        </w:rPr>
      </w:pPr>
      <w:r w:rsidRPr="00DE12A3">
        <w:rPr>
          <w:rFonts w:cs="Times New Roman"/>
          <w:color w:val="auto"/>
        </w:rPr>
        <w:t>Burada</w:t>
      </w:r>
      <w:r w:rsidR="009F4766" w:rsidRPr="00DE12A3">
        <w:rPr>
          <w:rFonts w:cs="Times New Roman"/>
          <w:color w:val="auto"/>
        </w:rPr>
        <w:t>:</w:t>
      </w:r>
    </w:p>
    <w:tbl>
      <w:tblPr>
        <w:tblW w:w="0" w:type="auto"/>
        <w:tblInd w:w="1242" w:type="dxa"/>
        <w:tblLayout w:type="fixed"/>
        <w:tblLook w:val="0000" w:firstRow="0" w:lastRow="0" w:firstColumn="0" w:lastColumn="0" w:noHBand="0" w:noVBand="0"/>
      </w:tblPr>
      <w:tblGrid>
        <w:gridCol w:w="1701"/>
        <w:gridCol w:w="567"/>
        <w:gridCol w:w="5126"/>
      </w:tblGrid>
      <w:tr w:rsidR="00DE12A3" w:rsidRPr="00DE12A3" w14:paraId="055121A3" w14:textId="77777777" w:rsidTr="00857130">
        <w:tc>
          <w:tcPr>
            <w:tcW w:w="1701" w:type="dxa"/>
          </w:tcPr>
          <w:p w14:paraId="774598AD" w14:textId="77777777" w:rsidR="00236715" w:rsidRPr="00DE12A3" w:rsidRDefault="00236715" w:rsidP="00681DA7">
            <w:pPr>
              <w:pStyle w:val="NormalLeft"/>
            </w:pPr>
            <w:r w:rsidRPr="00DE12A3">
              <w:rPr>
                <w:i/>
                <w:iCs/>
              </w:rPr>
              <w:t>ṁ</w:t>
            </w:r>
            <w:r w:rsidRPr="00DE12A3">
              <w:rPr>
                <w:vertAlign w:val="subscript"/>
              </w:rPr>
              <w:t>CO2i</w:t>
            </w:r>
          </w:p>
        </w:tc>
        <w:tc>
          <w:tcPr>
            <w:tcW w:w="567" w:type="dxa"/>
          </w:tcPr>
          <w:p w14:paraId="43FF1C5C" w14:textId="77777777" w:rsidR="00236715" w:rsidRPr="00DE12A3" w:rsidRDefault="00236715" w:rsidP="00681DA7">
            <w:pPr>
              <w:pStyle w:val="NormalLeft"/>
            </w:pPr>
            <w:r w:rsidRPr="00DE12A3">
              <w:t>=</w:t>
            </w:r>
          </w:p>
        </w:tc>
        <w:tc>
          <w:tcPr>
            <w:tcW w:w="5126" w:type="dxa"/>
          </w:tcPr>
          <w:p w14:paraId="2CEFC479" w14:textId="535CBB1E" w:rsidR="00236715" w:rsidRPr="00DE12A3" w:rsidRDefault="00236715">
            <w:pPr>
              <w:spacing w:before="120" w:after="120"/>
              <w:rPr>
                <w:rFonts w:cs="Times New Roman"/>
                <w:color w:val="auto"/>
              </w:rPr>
            </w:pPr>
            <w:r w:rsidRPr="00DE12A3">
              <w:rPr>
                <w:rFonts w:cs="Times New Roman"/>
                <w:color w:val="auto"/>
              </w:rPr>
              <w:t>Gaz akışından kaynaklanan anlık CO</w:t>
            </w:r>
            <w:r w:rsidRPr="00DE12A3">
              <w:rPr>
                <w:rFonts w:cs="Times New Roman"/>
                <w:color w:val="auto"/>
                <w:vertAlign w:val="subscript"/>
              </w:rPr>
              <w:t>2</w:t>
            </w:r>
            <w:r w:rsidRPr="00DE12A3">
              <w:rPr>
                <w:rFonts w:cs="Times New Roman"/>
                <w:color w:val="auto"/>
              </w:rPr>
              <w:t xml:space="preserve"> kütle akış hızı [g/s]</w:t>
            </w:r>
          </w:p>
        </w:tc>
      </w:tr>
      <w:tr w:rsidR="00DE12A3" w:rsidRPr="00DE12A3" w14:paraId="3C986781" w14:textId="77777777" w:rsidTr="00857130">
        <w:tc>
          <w:tcPr>
            <w:tcW w:w="1701" w:type="dxa"/>
          </w:tcPr>
          <w:p w14:paraId="14842F3A" w14:textId="77777777" w:rsidR="00236715" w:rsidRPr="00DE12A3" w:rsidRDefault="00236715" w:rsidP="00681DA7">
            <w:pPr>
              <w:pStyle w:val="NormalLeft"/>
            </w:pPr>
            <w:r w:rsidRPr="00DE12A3">
              <w:rPr>
                <w:i/>
                <w:iCs/>
              </w:rPr>
              <w:t>ṁ</w:t>
            </w:r>
            <w:r w:rsidRPr="00DE12A3">
              <w:rPr>
                <w:vertAlign w:val="subscript"/>
              </w:rPr>
              <w:t>streami,</w:t>
            </w:r>
          </w:p>
        </w:tc>
        <w:tc>
          <w:tcPr>
            <w:tcW w:w="567" w:type="dxa"/>
          </w:tcPr>
          <w:p w14:paraId="2E1482B6" w14:textId="77777777" w:rsidR="00236715" w:rsidRPr="00DE12A3" w:rsidRDefault="00236715" w:rsidP="00681DA7">
            <w:pPr>
              <w:pStyle w:val="NormalLeft"/>
            </w:pPr>
            <w:r w:rsidRPr="00DE12A3">
              <w:t>=</w:t>
            </w:r>
          </w:p>
        </w:tc>
        <w:tc>
          <w:tcPr>
            <w:tcW w:w="5126" w:type="dxa"/>
          </w:tcPr>
          <w:p w14:paraId="63E75443" w14:textId="77777777" w:rsidR="00236715" w:rsidRPr="00DE12A3" w:rsidRDefault="00236715" w:rsidP="00681DA7">
            <w:pPr>
              <w:spacing w:before="120" w:after="120"/>
              <w:rPr>
                <w:rFonts w:cs="Times New Roman"/>
                <w:color w:val="auto"/>
              </w:rPr>
            </w:pPr>
            <w:r w:rsidRPr="00DE12A3">
              <w:rPr>
                <w:rFonts w:cs="Times New Roman"/>
                <w:color w:val="auto"/>
              </w:rPr>
              <w:t>Gaz akışının anlık kütle akış hızı [g/s]</w:t>
            </w:r>
          </w:p>
        </w:tc>
      </w:tr>
      <w:tr w:rsidR="00DE12A3" w:rsidRPr="00DE12A3" w14:paraId="1BC44BEF" w14:textId="77777777" w:rsidTr="00857130">
        <w:tc>
          <w:tcPr>
            <w:tcW w:w="1701" w:type="dxa"/>
          </w:tcPr>
          <w:p w14:paraId="3DC79F8C" w14:textId="77777777" w:rsidR="00236715" w:rsidRPr="00DE12A3" w:rsidRDefault="00236715" w:rsidP="00681DA7">
            <w:pPr>
              <w:pStyle w:val="NormalLeft"/>
            </w:pPr>
            <w:r w:rsidRPr="00DE12A3">
              <w:rPr>
                <w:i/>
                <w:iCs/>
              </w:rPr>
              <w:t>x</w:t>
            </w:r>
            <w:r w:rsidRPr="00DE12A3">
              <w:rPr>
                <w:vertAlign w:val="subscript"/>
              </w:rPr>
              <w:t>CO2i</w:t>
            </w:r>
          </w:p>
        </w:tc>
        <w:tc>
          <w:tcPr>
            <w:tcW w:w="567" w:type="dxa"/>
          </w:tcPr>
          <w:p w14:paraId="2E4095FA" w14:textId="77777777" w:rsidR="00236715" w:rsidRPr="00DE12A3" w:rsidRDefault="00236715" w:rsidP="00681DA7">
            <w:pPr>
              <w:pStyle w:val="NormalLeft"/>
            </w:pPr>
            <w:r w:rsidRPr="00DE12A3">
              <w:t>=</w:t>
            </w:r>
          </w:p>
        </w:tc>
        <w:tc>
          <w:tcPr>
            <w:tcW w:w="5126" w:type="dxa"/>
          </w:tcPr>
          <w:p w14:paraId="7EC662AC" w14:textId="77777777" w:rsidR="00236715" w:rsidRPr="00DE12A3" w:rsidRDefault="00236715" w:rsidP="00681DA7">
            <w:pPr>
              <w:spacing w:before="120" w:after="120"/>
              <w:rPr>
                <w:rFonts w:cs="Times New Roman"/>
                <w:color w:val="auto"/>
              </w:rPr>
            </w:pPr>
            <w:r w:rsidRPr="00DE12A3">
              <w:rPr>
                <w:rFonts w:cs="Times New Roman"/>
                <w:color w:val="auto"/>
              </w:rPr>
              <w:t>Gaz akışı içindeki molar CO</w:t>
            </w:r>
            <w:r w:rsidRPr="00DE12A3">
              <w:rPr>
                <w:rFonts w:cs="Times New Roman"/>
                <w:color w:val="auto"/>
                <w:vertAlign w:val="subscript"/>
              </w:rPr>
              <w:t>2</w:t>
            </w:r>
            <w:r w:rsidRPr="00DE12A3">
              <w:rPr>
                <w:rFonts w:cs="Times New Roman"/>
                <w:color w:val="auto"/>
              </w:rPr>
              <w:t xml:space="preserve"> oranı [-]</w:t>
            </w:r>
          </w:p>
        </w:tc>
      </w:tr>
      <w:tr w:rsidR="00DE12A3" w:rsidRPr="00DE12A3" w14:paraId="171DA595" w14:textId="77777777" w:rsidTr="00857130">
        <w:tc>
          <w:tcPr>
            <w:tcW w:w="1701" w:type="dxa"/>
          </w:tcPr>
          <w:p w14:paraId="54A1D595" w14:textId="77777777" w:rsidR="00236715" w:rsidRPr="00DE12A3" w:rsidRDefault="00236715" w:rsidP="00681DA7">
            <w:pPr>
              <w:pStyle w:val="NormalLeft"/>
            </w:pPr>
            <w:r w:rsidRPr="00DE12A3">
              <w:rPr>
                <w:i/>
                <w:iCs/>
              </w:rPr>
              <w:t>M</w:t>
            </w:r>
            <w:r w:rsidRPr="00DE12A3">
              <w:rPr>
                <w:vertAlign w:val="subscript"/>
              </w:rPr>
              <w:t>CO2</w:t>
            </w:r>
          </w:p>
        </w:tc>
        <w:tc>
          <w:tcPr>
            <w:tcW w:w="567" w:type="dxa"/>
          </w:tcPr>
          <w:p w14:paraId="5F8B9316" w14:textId="77777777" w:rsidR="00236715" w:rsidRPr="00DE12A3" w:rsidRDefault="00236715" w:rsidP="00681DA7">
            <w:pPr>
              <w:pStyle w:val="NormalLeft"/>
            </w:pPr>
            <w:r w:rsidRPr="00DE12A3">
              <w:t>=</w:t>
            </w:r>
          </w:p>
        </w:tc>
        <w:tc>
          <w:tcPr>
            <w:tcW w:w="5126" w:type="dxa"/>
          </w:tcPr>
          <w:p w14:paraId="0896AAA8" w14:textId="77777777" w:rsidR="00236715" w:rsidRPr="00DE12A3" w:rsidRDefault="00236715" w:rsidP="00681DA7">
            <w:pPr>
              <w:spacing w:before="120" w:after="120"/>
              <w:rPr>
                <w:rFonts w:cs="Times New Roman"/>
                <w:color w:val="auto"/>
              </w:rPr>
            </w:pPr>
            <w:r w:rsidRPr="00DE12A3">
              <w:rPr>
                <w:rFonts w:cs="Times New Roman"/>
                <w:color w:val="auto"/>
              </w:rPr>
              <w:t>Molar CO</w:t>
            </w:r>
            <w:r w:rsidRPr="00DE12A3">
              <w:rPr>
                <w:rFonts w:cs="Times New Roman"/>
                <w:color w:val="auto"/>
                <w:vertAlign w:val="subscript"/>
              </w:rPr>
              <w:t>2</w:t>
            </w:r>
            <w:r w:rsidRPr="00DE12A3">
              <w:rPr>
                <w:rFonts w:cs="Times New Roman"/>
                <w:color w:val="auto"/>
              </w:rPr>
              <w:t xml:space="preserve"> kütlesi [g/mol]</w:t>
            </w:r>
          </w:p>
        </w:tc>
      </w:tr>
      <w:tr w:rsidR="00236715" w:rsidRPr="00DE12A3" w14:paraId="3CEAC6F6" w14:textId="77777777" w:rsidTr="00857130">
        <w:tc>
          <w:tcPr>
            <w:tcW w:w="1701" w:type="dxa"/>
          </w:tcPr>
          <w:p w14:paraId="67660198" w14:textId="77777777" w:rsidR="00236715" w:rsidRPr="00DE12A3" w:rsidRDefault="00236715" w:rsidP="00681DA7">
            <w:pPr>
              <w:pStyle w:val="NormalLeft"/>
            </w:pPr>
            <w:r w:rsidRPr="00DE12A3">
              <w:rPr>
                <w:i/>
                <w:iCs/>
              </w:rPr>
              <w:t>M</w:t>
            </w:r>
            <w:r w:rsidRPr="00DE12A3">
              <w:rPr>
                <w:vertAlign w:val="subscript"/>
              </w:rPr>
              <w:t>stream</w:t>
            </w:r>
          </w:p>
        </w:tc>
        <w:tc>
          <w:tcPr>
            <w:tcW w:w="567" w:type="dxa"/>
          </w:tcPr>
          <w:p w14:paraId="4F581476" w14:textId="77777777" w:rsidR="00236715" w:rsidRPr="00DE12A3" w:rsidRDefault="00236715" w:rsidP="00681DA7">
            <w:pPr>
              <w:pStyle w:val="NormalLeft"/>
            </w:pPr>
            <w:r w:rsidRPr="00DE12A3">
              <w:t>=</w:t>
            </w:r>
          </w:p>
        </w:tc>
        <w:tc>
          <w:tcPr>
            <w:tcW w:w="5126" w:type="dxa"/>
          </w:tcPr>
          <w:p w14:paraId="0115D075" w14:textId="77777777" w:rsidR="00236715" w:rsidRPr="00DE12A3" w:rsidRDefault="00236715" w:rsidP="00681DA7">
            <w:pPr>
              <w:spacing w:before="120" w:after="120"/>
              <w:rPr>
                <w:rFonts w:cs="Times New Roman"/>
                <w:color w:val="auto"/>
              </w:rPr>
            </w:pPr>
            <w:r w:rsidRPr="00DE12A3">
              <w:rPr>
                <w:rFonts w:cs="Times New Roman"/>
                <w:color w:val="auto"/>
              </w:rPr>
              <w:t>Molar gaz akışı kütlesi [g/mol]</w:t>
            </w:r>
          </w:p>
        </w:tc>
      </w:tr>
    </w:tbl>
    <w:p w14:paraId="15DF9686" w14:textId="77777777" w:rsidR="009F4766" w:rsidRPr="00DE12A3" w:rsidRDefault="009F4766" w:rsidP="005A58FA">
      <w:pPr>
        <w:spacing w:before="120" w:after="120"/>
        <w:jc w:val="both"/>
        <w:rPr>
          <w:rFonts w:cs="Times New Roman"/>
          <w:color w:val="auto"/>
        </w:rPr>
      </w:pPr>
    </w:p>
    <w:p w14:paraId="3D9E58BD" w14:textId="27833DD9" w:rsidR="009F4766" w:rsidRPr="00DE12A3" w:rsidRDefault="00236715" w:rsidP="005A58FA">
      <w:pPr>
        <w:spacing w:before="120" w:after="120"/>
        <w:ind w:left="1134"/>
        <w:jc w:val="both"/>
        <w:rPr>
          <w:rFonts w:cs="Times New Roman"/>
          <w:iCs/>
          <w:color w:val="auto"/>
        </w:rPr>
      </w:pPr>
      <w:r w:rsidRPr="00DE12A3">
        <w:rPr>
          <w:rFonts w:cs="Times New Roman"/>
          <w:iCs/>
          <w:color w:val="auto"/>
        </w:rPr>
        <w:t>M</w:t>
      </w:r>
      <w:r w:rsidRPr="00DE12A3">
        <w:rPr>
          <w:rFonts w:cs="Times New Roman"/>
          <w:iCs/>
          <w:color w:val="auto"/>
          <w:vertAlign w:val="subscript"/>
        </w:rPr>
        <w:t>stream</w:t>
      </w:r>
      <w:r w:rsidRPr="00DE12A3">
        <w:rPr>
          <w:rFonts w:cs="Times New Roman"/>
          <w:iCs/>
          <w:color w:val="auto"/>
        </w:rPr>
        <w:t xml:space="preserve">, (9-9) </w:t>
      </w:r>
      <w:r w:rsidR="00343A91" w:rsidRPr="00DE12A3">
        <w:rPr>
          <w:rFonts w:cs="Times New Roman"/>
          <w:iCs/>
          <w:color w:val="auto"/>
        </w:rPr>
        <w:t>numaralı</w:t>
      </w:r>
      <w:r w:rsidRPr="00DE12A3">
        <w:rPr>
          <w:rFonts w:cs="Times New Roman"/>
          <w:iCs/>
          <w:color w:val="auto"/>
        </w:rPr>
        <w:t xml:space="preserve"> denklem ile, ölçülen tüm bileşenlerden (1, 2, ..., n) hesaplanmalıdır.</w:t>
      </w:r>
    </w:p>
    <w:p w14:paraId="7EBF1E20" w14:textId="77777777" w:rsidR="00236715" w:rsidRPr="00DE12A3" w:rsidRDefault="00236715" w:rsidP="005A58FA">
      <w:pPr>
        <w:spacing w:before="120" w:after="120"/>
        <w:jc w:val="both"/>
        <w:rPr>
          <w:rFonts w:cs="Times New Roman"/>
          <w:color w:val="auto"/>
        </w:rPr>
      </w:pPr>
    </w:p>
    <w:tbl>
      <w:tblPr>
        <w:tblW w:w="0" w:type="auto"/>
        <w:tblInd w:w="2368" w:type="dxa"/>
        <w:tblLayout w:type="fixed"/>
        <w:tblLook w:val="0000" w:firstRow="0" w:lastRow="0" w:firstColumn="0" w:lastColumn="0" w:noHBand="0" w:noVBand="0"/>
      </w:tblPr>
      <w:tblGrid>
        <w:gridCol w:w="4772"/>
        <w:gridCol w:w="1118"/>
      </w:tblGrid>
      <w:tr w:rsidR="009F4766" w:rsidRPr="00DE12A3" w14:paraId="219930BD" w14:textId="77777777" w:rsidTr="009849CC">
        <w:trPr>
          <w:trHeight w:val="886"/>
        </w:trPr>
        <w:tc>
          <w:tcPr>
            <w:tcW w:w="4772" w:type="dxa"/>
          </w:tcPr>
          <w:p w14:paraId="04F3BF2B" w14:textId="70E88066" w:rsidR="009F4766" w:rsidRPr="00DE12A3" w:rsidRDefault="009F4766" w:rsidP="00681DA7">
            <w:pPr>
              <w:pStyle w:val="NormalLeft"/>
            </w:pPr>
            <w:r w:rsidRPr="00DE12A3">
              <w:rPr>
                <w:i/>
                <w:iCs/>
              </w:rPr>
              <w:t>M</w:t>
            </w:r>
            <w:r w:rsidRPr="00DE12A3">
              <w:rPr>
                <w:vertAlign w:val="subscript"/>
              </w:rPr>
              <w:t>stream</w:t>
            </w:r>
            <w:r w:rsidRPr="00DE12A3">
              <w:t xml:space="preserve"> = </w:t>
            </w:r>
            <w:r w:rsidRPr="00DE12A3">
              <w:rPr>
                <w:i/>
                <w:iCs/>
              </w:rPr>
              <w:t>x</w:t>
            </w:r>
            <w:r w:rsidRPr="00DE12A3">
              <w:rPr>
                <w:vertAlign w:val="subscript"/>
              </w:rPr>
              <w:t>1</w:t>
            </w:r>
            <w:r w:rsidRPr="00DE12A3">
              <w:t xml:space="preserve"> · </w:t>
            </w:r>
            <w:r w:rsidRPr="00DE12A3">
              <w:rPr>
                <w:i/>
                <w:iCs/>
              </w:rPr>
              <w:t>M</w:t>
            </w:r>
            <w:r w:rsidRPr="00DE12A3">
              <w:rPr>
                <w:vertAlign w:val="subscript"/>
              </w:rPr>
              <w:t>1</w:t>
            </w:r>
            <w:r w:rsidRPr="00DE12A3">
              <w:t xml:space="preserve"> + </w:t>
            </w:r>
            <w:r w:rsidRPr="00DE12A3">
              <w:rPr>
                <w:i/>
                <w:iCs/>
              </w:rPr>
              <w:t>x</w:t>
            </w:r>
            <w:r w:rsidRPr="00DE12A3">
              <w:rPr>
                <w:vertAlign w:val="subscript"/>
              </w:rPr>
              <w:t>2</w:t>
            </w:r>
            <w:r w:rsidRPr="00DE12A3">
              <w:t xml:space="preserve"> · </w:t>
            </w:r>
            <w:r w:rsidRPr="00DE12A3">
              <w:rPr>
                <w:i/>
                <w:iCs/>
              </w:rPr>
              <w:t>M</w:t>
            </w:r>
            <w:r w:rsidRPr="00DE12A3">
              <w:rPr>
                <w:vertAlign w:val="subscript"/>
              </w:rPr>
              <w:t>2</w:t>
            </w:r>
            <w:r w:rsidRPr="00DE12A3">
              <w:t xml:space="preserve"> + … + </w:t>
            </w:r>
            <w:r w:rsidRPr="00DE12A3">
              <w:rPr>
                <w:i/>
                <w:iCs/>
              </w:rPr>
              <w:t>x</w:t>
            </w:r>
            <w:r w:rsidRPr="00DE12A3">
              <w:rPr>
                <w:vertAlign w:val="subscript"/>
              </w:rPr>
              <w:t>n</w:t>
            </w:r>
            <w:r w:rsidRPr="00DE12A3">
              <w:t xml:space="preserve">· </w:t>
            </w:r>
            <w:r w:rsidRPr="00DE12A3">
              <w:rPr>
                <w:i/>
                <w:iCs/>
              </w:rPr>
              <w:t>M</w:t>
            </w:r>
            <w:r w:rsidRPr="00DE12A3">
              <w:rPr>
                <w:vertAlign w:val="subscript"/>
              </w:rPr>
              <w:t>n</w:t>
            </w:r>
          </w:p>
        </w:tc>
        <w:tc>
          <w:tcPr>
            <w:tcW w:w="1118" w:type="dxa"/>
          </w:tcPr>
          <w:p w14:paraId="15F98CBF" w14:textId="39DA9178" w:rsidR="009F4766" w:rsidRPr="00DE12A3" w:rsidRDefault="00343A91" w:rsidP="00681DA7">
            <w:pPr>
              <w:pStyle w:val="NormalLeft"/>
            </w:pPr>
            <w:r w:rsidRPr="00DE12A3">
              <w:t xml:space="preserve">           </w:t>
            </w:r>
            <w:r w:rsidR="009F4766" w:rsidRPr="00DE12A3">
              <w:t>(9-9)</w:t>
            </w:r>
          </w:p>
        </w:tc>
      </w:tr>
    </w:tbl>
    <w:p w14:paraId="0CEF82BA" w14:textId="77777777" w:rsidR="009F4766" w:rsidRPr="00DE12A3" w:rsidRDefault="009F4766" w:rsidP="00681DA7">
      <w:pPr>
        <w:spacing w:before="120" w:after="120"/>
        <w:rPr>
          <w:rFonts w:cs="Times New Roman"/>
          <w:color w:val="auto"/>
        </w:rPr>
      </w:pPr>
    </w:p>
    <w:p w14:paraId="5B76D8A9" w14:textId="77777777" w:rsidR="009F4766" w:rsidRPr="00DE12A3" w:rsidRDefault="008B3D9F" w:rsidP="00681DA7">
      <w:pPr>
        <w:spacing w:before="120" w:after="120"/>
        <w:ind w:left="1134"/>
        <w:rPr>
          <w:rFonts w:cs="Times New Roman"/>
          <w:color w:val="auto"/>
        </w:rPr>
      </w:pPr>
      <w:r w:rsidRPr="00DE12A3">
        <w:rPr>
          <w:rFonts w:cs="Times New Roman"/>
          <w:color w:val="auto"/>
        </w:rPr>
        <w:t>Burada</w:t>
      </w:r>
      <w:r w:rsidR="009F4766" w:rsidRPr="00DE12A3">
        <w:rPr>
          <w:rFonts w:cs="Times New Roman"/>
          <w:color w:val="auto"/>
        </w:rPr>
        <w:t>:</w:t>
      </w:r>
    </w:p>
    <w:tbl>
      <w:tblPr>
        <w:tblW w:w="0" w:type="auto"/>
        <w:jc w:val="center"/>
        <w:tblLayout w:type="fixed"/>
        <w:tblLook w:val="0000" w:firstRow="0" w:lastRow="0" w:firstColumn="0" w:lastColumn="0" w:noHBand="0" w:noVBand="0"/>
      </w:tblPr>
      <w:tblGrid>
        <w:gridCol w:w="992"/>
        <w:gridCol w:w="426"/>
        <w:gridCol w:w="5350"/>
      </w:tblGrid>
      <w:tr w:rsidR="00DE12A3" w:rsidRPr="00DE12A3" w14:paraId="63B3EFB0" w14:textId="77777777" w:rsidTr="00857130">
        <w:trPr>
          <w:jc w:val="center"/>
        </w:trPr>
        <w:tc>
          <w:tcPr>
            <w:tcW w:w="992" w:type="dxa"/>
          </w:tcPr>
          <w:p w14:paraId="7962A2FC" w14:textId="77777777" w:rsidR="00236715" w:rsidRPr="00DE12A3" w:rsidRDefault="00236715" w:rsidP="00681DA7">
            <w:pPr>
              <w:pStyle w:val="NormalLeft"/>
            </w:pPr>
            <w:r w:rsidRPr="00DE12A3">
              <w:rPr>
                <w:i/>
                <w:iCs/>
              </w:rPr>
              <w:t>X</w:t>
            </w:r>
            <w:r w:rsidRPr="00DE12A3">
              <w:rPr>
                <w:vertAlign w:val="subscript"/>
              </w:rPr>
              <w:t>1, 2,</w:t>
            </w:r>
            <w:r w:rsidRPr="00DE12A3">
              <w:rPr>
                <w:i/>
                <w:iCs/>
              </w:rPr>
              <w:t>…</w:t>
            </w:r>
            <w:r w:rsidRPr="00DE12A3">
              <w:rPr>
                <w:vertAlign w:val="subscript"/>
              </w:rPr>
              <w:t>n</w:t>
            </w:r>
          </w:p>
        </w:tc>
        <w:tc>
          <w:tcPr>
            <w:tcW w:w="426" w:type="dxa"/>
          </w:tcPr>
          <w:p w14:paraId="58138459" w14:textId="77777777" w:rsidR="00236715" w:rsidRPr="00DE12A3" w:rsidRDefault="00236715" w:rsidP="00681DA7">
            <w:pPr>
              <w:pStyle w:val="NormalLeft"/>
            </w:pPr>
            <w:r w:rsidRPr="00DE12A3">
              <w:t>=</w:t>
            </w:r>
          </w:p>
        </w:tc>
        <w:tc>
          <w:tcPr>
            <w:tcW w:w="5350" w:type="dxa"/>
          </w:tcPr>
          <w:p w14:paraId="7FC92C42" w14:textId="77777777" w:rsidR="00236715" w:rsidRPr="00DE12A3" w:rsidRDefault="00236715" w:rsidP="00681DA7">
            <w:pPr>
              <w:spacing w:before="120" w:after="120"/>
              <w:rPr>
                <w:rFonts w:cs="Times New Roman"/>
                <w:color w:val="auto"/>
              </w:rPr>
            </w:pPr>
            <w:r w:rsidRPr="00DE12A3">
              <w:rPr>
                <w:rFonts w:cs="Times New Roman"/>
                <w:color w:val="auto"/>
              </w:rPr>
              <w:t>Gaz akışı içinde ölçülen her bileşenin (CH</w:t>
            </w:r>
            <w:r w:rsidRPr="00DE12A3">
              <w:rPr>
                <w:rFonts w:cs="Times New Roman"/>
                <w:color w:val="auto"/>
                <w:vertAlign w:val="subscript"/>
              </w:rPr>
              <w:t>4</w:t>
            </w:r>
            <w:r w:rsidRPr="00DE12A3">
              <w:rPr>
                <w:rFonts w:cs="Times New Roman"/>
                <w:color w:val="auto"/>
              </w:rPr>
              <w:t>, CO</w:t>
            </w:r>
            <w:r w:rsidRPr="00DE12A3">
              <w:rPr>
                <w:rFonts w:cs="Times New Roman"/>
                <w:color w:val="auto"/>
                <w:vertAlign w:val="subscript"/>
              </w:rPr>
              <w:t>2</w:t>
            </w:r>
            <w:r w:rsidRPr="00DE12A3">
              <w:rPr>
                <w:rFonts w:cs="Times New Roman"/>
                <w:color w:val="auto"/>
              </w:rPr>
              <w:t>, ...) molar oranı [-]</w:t>
            </w:r>
          </w:p>
        </w:tc>
      </w:tr>
      <w:tr w:rsidR="00236715" w:rsidRPr="00DE12A3" w14:paraId="34C79C0B" w14:textId="77777777" w:rsidTr="00857130">
        <w:trPr>
          <w:jc w:val="center"/>
        </w:trPr>
        <w:tc>
          <w:tcPr>
            <w:tcW w:w="992" w:type="dxa"/>
          </w:tcPr>
          <w:p w14:paraId="08FF1BC4" w14:textId="77777777" w:rsidR="00236715" w:rsidRPr="00DE12A3" w:rsidRDefault="00236715" w:rsidP="00681DA7">
            <w:pPr>
              <w:pStyle w:val="NormalLeft"/>
            </w:pPr>
            <w:r w:rsidRPr="00DE12A3">
              <w:rPr>
                <w:i/>
                <w:iCs/>
              </w:rPr>
              <w:t>M</w:t>
            </w:r>
            <w:r w:rsidRPr="00DE12A3">
              <w:rPr>
                <w:vertAlign w:val="subscript"/>
              </w:rPr>
              <w:t>1, 2,</w:t>
            </w:r>
            <w:r w:rsidRPr="00DE12A3">
              <w:rPr>
                <w:i/>
                <w:iCs/>
              </w:rPr>
              <w:t>…</w:t>
            </w:r>
            <w:r w:rsidRPr="00DE12A3">
              <w:rPr>
                <w:vertAlign w:val="subscript"/>
              </w:rPr>
              <w:t>n</w:t>
            </w:r>
          </w:p>
        </w:tc>
        <w:tc>
          <w:tcPr>
            <w:tcW w:w="426" w:type="dxa"/>
          </w:tcPr>
          <w:p w14:paraId="3DD8E61A" w14:textId="77777777" w:rsidR="00236715" w:rsidRPr="00DE12A3" w:rsidRDefault="00236715" w:rsidP="00681DA7">
            <w:pPr>
              <w:pStyle w:val="NormalLeft"/>
            </w:pPr>
            <w:r w:rsidRPr="00DE12A3">
              <w:t>=</w:t>
            </w:r>
          </w:p>
        </w:tc>
        <w:tc>
          <w:tcPr>
            <w:tcW w:w="5350" w:type="dxa"/>
          </w:tcPr>
          <w:p w14:paraId="45003A41" w14:textId="77777777" w:rsidR="00236715" w:rsidRPr="00DE12A3" w:rsidRDefault="00236715" w:rsidP="00681DA7">
            <w:pPr>
              <w:spacing w:before="120" w:after="120"/>
              <w:rPr>
                <w:rFonts w:cs="Times New Roman"/>
                <w:color w:val="auto"/>
              </w:rPr>
            </w:pPr>
            <w:r w:rsidRPr="00DE12A3">
              <w:rPr>
                <w:rFonts w:cs="Times New Roman"/>
                <w:color w:val="auto"/>
              </w:rPr>
              <w:t>Gaz akışı içinde ölçülen her bileşenin molar kütlesi [g/mol]</w:t>
            </w:r>
          </w:p>
        </w:tc>
      </w:tr>
    </w:tbl>
    <w:p w14:paraId="68BA0FF6" w14:textId="77777777" w:rsidR="009F4766" w:rsidRPr="00DE12A3" w:rsidRDefault="009F4766" w:rsidP="00681DA7">
      <w:pPr>
        <w:spacing w:before="120" w:after="120"/>
        <w:rPr>
          <w:rFonts w:cs="Times New Roman"/>
          <w:color w:val="auto"/>
        </w:rPr>
      </w:pPr>
    </w:p>
    <w:p w14:paraId="45033286" w14:textId="7536EF99" w:rsidR="00236715" w:rsidRPr="00DE12A3" w:rsidRDefault="00236715" w:rsidP="00681DA7">
      <w:pPr>
        <w:spacing w:before="120" w:after="120"/>
        <w:jc w:val="both"/>
        <w:rPr>
          <w:rFonts w:cs="Times New Roman"/>
          <w:color w:val="auto"/>
        </w:rPr>
      </w:pPr>
      <w:r w:rsidRPr="00DE12A3">
        <w:rPr>
          <w:rFonts w:cs="Times New Roman"/>
          <w:color w:val="auto"/>
        </w:rPr>
        <w:t>1.3. Motora giren gaz yakıtın içindeki toplam CO</w:t>
      </w:r>
      <w:r w:rsidRPr="00DE12A3">
        <w:rPr>
          <w:rFonts w:cs="Times New Roman"/>
          <w:color w:val="auto"/>
          <w:vertAlign w:val="subscript"/>
        </w:rPr>
        <w:t>2</w:t>
      </w:r>
      <w:r w:rsidRPr="00DE12A3">
        <w:rPr>
          <w:rFonts w:cs="Times New Roman"/>
          <w:color w:val="auto"/>
        </w:rPr>
        <w:t xml:space="preserve"> kütle akış hızını belirlemek için, gaz harmanlama sistemine giren, CO</w:t>
      </w:r>
      <w:r w:rsidRPr="00DE12A3">
        <w:rPr>
          <w:rFonts w:cs="Times New Roman"/>
          <w:color w:val="auto"/>
          <w:vertAlign w:val="subscript"/>
        </w:rPr>
        <w:t>2</w:t>
      </w:r>
      <w:r w:rsidRPr="00DE12A3">
        <w:rPr>
          <w:rFonts w:cs="Times New Roman"/>
          <w:color w:val="auto"/>
        </w:rPr>
        <w:t xml:space="preserve"> içeren her münferit gaz akışı için (9-8) </w:t>
      </w:r>
      <w:r w:rsidR="00343A91" w:rsidRPr="00DE12A3">
        <w:rPr>
          <w:rFonts w:cs="Times New Roman"/>
          <w:color w:val="auto"/>
        </w:rPr>
        <w:t xml:space="preserve">numaralı </w:t>
      </w:r>
      <w:r w:rsidRPr="00DE12A3">
        <w:rPr>
          <w:rFonts w:cs="Times New Roman"/>
          <w:color w:val="auto"/>
        </w:rPr>
        <w:t xml:space="preserve">denklemdeki hesaplama yapılmalı ve her gaz akışı için sonuç birbiriyle toplanmalı veya harmanlama sisteminden çıkan ve motora giren harmanlanmış gaz için (9-10) </w:t>
      </w:r>
      <w:r w:rsidR="00343A91" w:rsidRPr="00DE12A3">
        <w:rPr>
          <w:rFonts w:cs="Times New Roman"/>
          <w:color w:val="auto"/>
        </w:rPr>
        <w:t xml:space="preserve">numaralı </w:t>
      </w:r>
      <w:r w:rsidRPr="00DE12A3">
        <w:rPr>
          <w:rFonts w:cs="Times New Roman"/>
          <w:color w:val="auto"/>
        </w:rPr>
        <w:t>denklem ile hesaplama yapılmalıdır:</w:t>
      </w:r>
    </w:p>
    <w:p w14:paraId="26B61693" w14:textId="77777777" w:rsidR="009F4766" w:rsidRPr="00DE12A3" w:rsidRDefault="009F4766" w:rsidP="00681DA7">
      <w:pPr>
        <w:spacing w:before="120" w:after="120"/>
        <w:rPr>
          <w:rFonts w:cs="Times New Roman"/>
          <w:color w:val="auto"/>
        </w:rPr>
      </w:pPr>
    </w:p>
    <w:tbl>
      <w:tblPr>
        <w:tblW w:w="0" w:type="auto"/>
        <w:tblInd w:w="1857" w:type="dxa"/>
        <w:tblLayout w:type="fixed"/>
        <w:tblLook w:val="0000" w:firstRow="0" w:lastRow="0" w:firstColumn="0" w:lastColumn="0" w:noHBand="0" w:noVBand="0"/>
      </w:tblPr>
      <w:tblGrid>
        <w:gridCol w:w="4680"/>
        <w:gridCol w:w="892"/>
      </w:tblGrid>
      <w:tr w:rsidR="009F4766" w:rsidRPr="00DE12A3" w14:paraId="76C278EC" w14:textId="77777777" w:rsidTr="00857130">
        <w:tc>
          <w:tcPr>
            <w:tcW w:w="4680" w:type="dxa"/>
          </w:tcPr>
          <w:p w14:paraId="328CBB5A" w14:textId="77777777" w:rsidR="009F4766" w:rsidRPr="00DE12A3" w:rsidRDefault="009F4766" w:rsidP="00681DA7">
            <w:pPr>
              <w:pStyle w:val="NormalLeft"/>
            </w:pPr>
            <w:r w:rsidRPr="00DE12A3">
              <w:rPr>
                <w:i/>
                <w:iCs/>
              </w:rPr>
              <w:t>ṁ</w:t>
            </w:r>
            <w:r w:rsidRPr="00DE12A3">
              <w:rPr>
                <w:vertAlign w:val="subscript"/>
              </w:rPr>
              <w:t>CO2i, fuel</w:t>
            </w:r>
            <w:r w:rsidRPr="00DE12A3">
              <w:t xml:space="preserve"> = </w:t>
            </w:r>
            <w:r w:rsidRPr="00DE12A3">
              <w:rPr>
                <w:i/>
                <w:iCs/>
              </w:rPr>
              <w:t>ṁ</w:t>
            </w:r>
            <w:r w:rsidRPr="00DE12A3">
              <w:rPr>
                <w:vertAlign w:val="subscript"/>
              </w:rPr>
              <w:t>CO2i, a</w:t>
            </w:r>
            <w:r w:rsidRPr="00DE12A3">
              <w:t xml:space="preserve"> + </w:t>
            </w:r>
            <w:r w:rsidRPr="00DE12A3">
              <w:rPr>
                <w:i/>
                <w:iCs/>
              </w:rPr>
              <w:t>ṁ</w:t>
            </w:r>
            <w:r w:rsidRPr="00DE12A3">
              <w:rPr>
                <w:vertAlign w:val="subscript"/>
              </w:rPr>
              <w:t>CO2i, b</w:t>
            </w:r>
            <w:r w:rsidRPr="00DE12A3">
              <w:t xml:space="preserve"> + … + </w:t>
            </w:r>
            <w:r w:rsidRPr="00DE12A3">
              <w:rPr>
                <w:i/>
                <w:iCs/>
              </w:rPr>
              <w:t>ṁ</w:t>
            </w:r>
            <w:r w:rsidRPr="00DE12A3">
              <w:rPr>
                <w:vertAlign w:val="subscript"/>
              </w:rPr>
              <w:t>CO2i, n</w:t>
            </w:r>
          </w:p>
        </w:tc>
        <w:tc>
          <w:tcPr>
            <w:tcW w:w="892" w:type="dxa"/>
          </w:tcPr>
          <w:p w14:paraId="5BFC3D24" w14:textId="77777777" w:rsidR="009F4766" w:rsidRPr="00DE12A3" w:rsidRDefault="009F4766" w:rsidP="00681DA7">
            <w:pPr>
              <w:pStyle w:val="NormalLeft"/>
            </w:pPr>
            <w:r w:rsidRPr="00DE12A3">
              <w:t>(9-10)</w:t>
            </w:r>
          </w:p>
        </w:tc>
      </w:tr>
    </w:tbl>
    <w:p w14:paraId="1DA5F6B0" w14:textId="77777777" w:rsidR="009F4766" w:rsidRPr="00DE12A3" w:rsidRDefault="009F4766" w:rsidP="00681DA7">
      <w:pPr>
        <w:spacing w:before="120" w:after="120"/>
        <w:rPr>
          <w:rFonts w:cs="Times New Roman"/>
          <w:color w:val="auto"/>
        </w:rPr>
      </w:pPr>
    </w:p>
    <w:p w14:paraId="02F588A5" w14:textId="77777777" w:rsidR="009F4766" w:rsidRPr="00DE12A3" w:rsidRDefault="008B3D9F" w:rsidP="00681DA7">
      <w:pPr>
        <w:spacing w:before="120" w:after="120"/>
        <w:ind w:left="1134"/>
        <w:rPr>
          <w:rFonts w:cs="Times New Roman"/>
          <w:color w:val="auto"/>
        </w:rPr>
      </w:pPr>
      <w:r w:rsidRPr="00DE12A3">
        <w:rPr>
          <w:rFonts w:cs="Times New Roman"/>
          <w:color w:val="auto"/>
        </w:rPr>
        <w:t>Burada</w:t>
      </w:r>
      <w:r w:rsidR="009F4766" w:rsidRPr="00DE12A3">
        <w:rPr>
          <w:rFonts w:cs="Times New Roman"/>
          <w:color w:val="auto"/>
        </w:rPr>
        <w:t>:</w:t>
      </w:r>
    </w:p>
    <w:tbl>
      <w:tblPr>
        <w:tblW w:w="7328" w:type="dxa"/>
        <w:jc w:val="center"/>
        <w:tblLayout w:type="fixed"/>
        <w:tblLook w:val="0000" w:firstRow="0" w:lastRow="0" w:firstColumn="0" w:lastColumn="0" w:noHBand="0" w:noVBand="0"/>
      </w:tblPr>
      <w:tblGrid>
        <w:gridCol w:w="1701"/>
        <w:gridCol w:w="277"/>
        <w:gridCol w:w="5350"/>
      </w:tblGrid>
      <w:tr w:rsidR="00DE12A3" w:rsidRPr="00DE12A3" w14:paraId="27CED0ED" w14:textId="77777777" w:rsidTr="00857130">
        <w:trPr>
          <w:jc w:val="center"/>
        </w:trPr>
        <w:tc>
          <w:tcPr>
            <w:tcW w:w="1701" w:type="dxa"/>
          </w:tcPr>
          <w:p w14:paraId="2087D917" w14:textId="77777777" w:rsidR="009F4766" w:rsidRPr="00DE12A3" w:rsidRDefault="009F4766" w:rsidP="00681DA7">
            <w:pPr>
              <w:pStyle w:val="NormalLeft"/>
            </w:pPr>
            <w:r w:rsidRPr="00DE12A3">
              <w:rPr>
                <w:i/>
                <w:iCs/>
              </w:rPr>
              <w:t>ṁ</w:t>
            </w:r>
            <w:r w:rsidRPr="00DE12A3">
              <w:rPr>
                <w:vertAlign w:val="subscript"/>
              </w:rPr>
              <w:t>CO2i, fuel</w:t>
            </w:r>
          </w:p>
        </w:tc>
        <w:tc>
          <w:tcPr>
            <w:tcW w:w="277" w:type="dxa"/>
          </w:tcPr>
          <w:p w14:paraId="16A01536" w14:textId="77777777" w:rsidR="009F4766" w:rsidRPr="00DE12A3" w:rsidRDefault="009F4766" w:rsidP="00681DA7">
            <w:pPr>
              <w:pStyle w:val="NormalLeft"/>
            </w:pPr>
            <w:r w:rsidRPr="00DE12A3">
              <w:t>=</w:t>
            </w:r>
          </w:p>
        </w:tc>
        <w:tc>
          <w:tcPr>
            <w:tcW w:w="5350" w:type="dxa"/>
          </w:tcPr>
          <w:p w14:paraId="165A7889" w14:textId="35B91DD5" w:rsidR="009F4766" w:rsidRPr="00DE12A3" w:rsidRDefault="00966EFF" w:rsidP="00681DA7">
            <w:pPr>
              <w:pStyle w:val="NormalLeft"/>
            </w:pPr>
            <w:r w:rsidRPr="00DE12A3">
              <w:t>Motora</w:t>
            </w:r>
            <w:r w:rsidR="00236715" w:rsidRPr="00DE12A3">
              <w:t xml:space="preserve"> giren gaz yakıt içindeki CO</w:t>
            </w:r>
            <w:r w:rsidR="00236715" w:rsidRPr="00DE12A3">
              <w:rPr>
                <w:vertAlign w:val="subscript"/>
              </w:rPr>
              <w:t>2</w:t>
            </w:r>
            <w:r w:rsidR="00236715" w:rsidRPr="00DE12A3">
              <w:t>'den kaynaklanan anlık birleşik CO</w:t>
            </w:r>
            <w:r w:rsidR="00236715" w:rsidRPr="00DE12A3">
              <w:rPr>
                <w:vertAlign w:val="subscript"/>
              </w:rPr>
              <w:t>2</w:t>
            </w:r>
            <w:r w:rsidR="00236715" w:rsidRPr="00DE12A3">
              <w:t xml:space="preserve"> kütle akış hızı [g/s]</w:t>
            </w:r>
          </w:p>
        </w:tc>
      </w:tr>
      <w:tr w:rsidR="009F4766" w:rsidRPr="00DE12A3" w14:paraId="791309B0" w14:textId="77777777" w:rsidTr="00857130">
        <w:trPr>
          <w:jc w:val="center"/>
        </w:trPr>
        <w:tc>
          <w:tcPr>
            <w:tcW w:w="1701" w:type="dxa"/>
          </w:tcPr>
          <w:p w14:paraId="4431CD91" w14:textId="77777777" w:rsidR="009F4766" w:rsidRPr="00DE12A3" w:rsidRDefault="009F4766" w:rsidP="00681DA7">
            <w:pPr>
              <w:pStyle w:val="NormalLeft"/>
            </w:pPr>
            <w:r w:rsidRPr="00DE12A3">
              <w:rPr>
                <w:i/>
                <w:iCs/>
              </w:rPr>
              <w:t>ṁ</w:t>
            </w:r>
            <w:r w:rsidRPr="00DE12A3">
              <w:rPr>
                <w:vertAlign w:val="subscript"/>
              </w:rPr>
              <w:t>CO2i, a, b, …, n</w:t>
            </w:r>
          </w:p>
        </w:tc>
        <w:tc>
          <w:tcPr>
            <w:tcW w:w="277" w:type="dxa"/>
          </w:tcPr>
          <w:p w14:paraId="45A819BA" w14:textId="77777777" w:rsidR="009F4766" w:rsidRPr="00DE12A3" w:rsidRDefault="009F4766" w:rsidP="00681DA7">
            <w:pPr>
              <w:pStyle w:val="NormalLeft"/>
            </w:pPr>
            <w:r w:rsidRPr="00DE12A3">
              <w:t>=</w:t>
            </w:r>
          </w:p>
        </w:tc>
        <w:tc>
          <w:tcPr>
            <w:tcW w:w="5350" w:type="dxa"/>
          </w:tcPr>
          <w:p w14:paraId="5CEFDD8B" w14:textId="1AED30CE" w:rsidR="009F4766" w:rsidRPr="00DE12A3" w:rsidRDefault="00966EFF" w:rsidP="00681DA7">
            <w:pPr>
              <w:pStyle w:val="NormalLeft"/>
            </w:pPr>
            <w:r w:rsidRPr="00DE12A3">
              <w:t>Her</w:t>
            </w:r>
            <w:r w:rsidR="00236715" w:rsidRPr="00DE12A3">
              <w:t xml:space="preserve"> münferit gaz akışı içindeki CO</w:t>
            </w:r>
            <w:r w:rsidR="00236715" w:rsidRPr="00DE12A3">
              <w:rPr>
                <w:vertAlign w:val="subscript"/>
              </w:rPr>
              <w:t>2</w:t>
            </w:r>
            <w:r w:rsidR="00236715" w:rsidRPr="00DE12A3">
              <w:t>'den kaynaklanan anlık CO</w:t>
            </w:r>
            <w:r w:rsidR="00236715" w:rsidRPr="00DE12A3">
              <w:rPr>
                <w:vertAlign w:val="subscript"/>
              </w:rPr>
              <w:t>2</w:t>
            </w:r>
            <w:r w:rsidR="00236715" w:rsidRPr="00DE12A3">
              <w:t xml:space="preserve"> kütle akış hızı a, b, ..., n [g/s]</w:t>
            </w:r>
          </w:p>
        </w:tc>
      </w:tr>
    </w:tbl>
    <w:p w14:paraId="6A67B03A" w14:textId="77777777" w:rsidR="009F4766" w:rsidRPr="00DE12A3" w:rsidRDefault="009F4766" w:rsidP="00681DA7">
      <w:pPr>
        <w:spacing w:before="120" w:after="120"/>
        <w:rPr>
          <w:rFonts w:cs="Times New Roman"/>
          <w:color w:val="auto"/>
        </w:rPr>
      </w:pPr>
    </w:p>
    <w:p w14:paraId="26E094B0" w14:textId="0F017E5B" w:rsidR="00236715" w:rsidRPr="00DE12A3" w:rsidRDefault="00681DA7" w:rsidP="00767500">
      <w:pPr>
        <w:jc w:val="both"/>
        <w:rPr>
          <w:b/>
          <w:color w:val="auto"/>
        </w:rPr>
      </w:pPr>
      <w:r w:rsidRPr="00DE12A3">
        <w:rPr>
          <w:b/>
          <w:color w:val="auto"/>
        </w:rPr>
        <w:t xml:space="preserve">2. </w:t>
      </w:r>
      <w:r w:rsidR="004D1FEF" w:rsidRPr="00DE12A3">
        <w:rPr>
          <w:b/>
          <w:color w:val="auto"/>
        </w:rPr>
        <w:t>Süreksiz (</w:t>
      </w:r>
      <w:r w:rsidR="00236715" w:rsidRPr="00DE12A3">
        <w:rPr>
          <w:b/>
          <w:color w:val="auto"/>
        </w:rPr>
        <w:t xml:space="preserve">NRTC ve LSI-NRTC) test </w:t>
      </w:r>
      <w:r w:rsidR="00F310B5" w:rsidRPr="00DE12A3">
        <w:rPr>
          <w:b/>
          <w:color w:val="auto"/>
        </w:rPr>
        <w:t>çevrim</w:t>
      </w:r>
      <w:r w:rsidR="00236715" w:rsidRPr="00DE12A3">
        <w:rPr>
          <w:b/>
          <w:color w:val="auto"/>
        </w:rPr>
        <w:t>leri ve RMC için spesifik CO</w:t>
      </w:r>
      <w:r w:rsidR="00236715" w:rsidRPr="00DE12A3">
        <w:rPr>
          <w:b/>
          <w:color w:val="auto"/>
          <w:vertAlign w:val="subscript"/>
        </w:rPr>
        <w:t>2</w:t>
      </w:r>
      <w:r w:rsidR="00236715" w:rsidRPr="00DE12A3">
        <w:rPr>
          <w:b/>
          <w:color w:val="auto"/>
        </w:rPr>
        <w:t xml:space="preserve"> emisyonlarının hesaplanması</w:t>
      </w:r>
    </w:p>
    <w:p w14:paraId="47592C92" w14:textId="77777777" w:rsidR="00681DA7" w:rsidRPr="00DE12A3" w:rsidRDefault="00681DA7" w:rsidP="00767500">
      <w:pPr>
        <w:jc w:val="both"/>
        <w:rPr>
          <w:b/>
          <w:color w:val="auto"/>
        </w:rPr>
      </w:pPr>
    </w:p>
    <w:p w14:paraId="10B4E1D5" w14:textId="5792BE29" w:rsidR="00236715" w:rsidRPr="00DE12A3" w:rsidRDefault="00681DA7" w:rsidP="00767500">
      <w:pPr>
        <w:jc w:val="both"/>
        <w:rPr>
          <w:color w:val="auto"/>
        </w:rPr>
      </w:pPr>
      <w:r w:rsidRPr="00DE12A3">
        <w:rPr>
          <w:color w:val="auto"/>
        </w:rPr>
        <w:t xml:space="preserve">2.1. </w:t>
      </w:r>
      <w:r w:rsidR="00236715" w:rsidRPr="00DE12A3">
        <w:rPr>
          <w:color w:val="auto"/>
        </w:rPr>
        <w:t>Test başına yakıtın içindeki CO</w:t>
      </w:r>
      <w:r w:rsidR="00236715" w:rsidRPr="00DE12A3">
        <w:rPr>
          <w:color w:val="auto"/>
          <w:vertAlign w:val="subscript"/>
        </w:rPr>
        <w:t>2</w:t>
      </w:r>
      <w:r w:rsidR="00236715" w:rsidRPr="00DE12A3">
        <w:rPr>
          <w:color w:val="auto"/>
        </w:rPr>
        <w:t>'den kaynaklanan toplam CO</w:t>
      </w:r>
      <w:r w:rsidR="00236715" w:rsidRPr="00DE12A3">
        <w:rPr>
          <w:color w:val="auto"/>
          <w:vertAlign w:val="subscript"/>
        </w:rPr>
        <w:t>2</w:t>
      </w:r>
      <w:r w:rsidR="00236715" w:rsidRPr="00DE12A3">
        <w:rPr>
          <w:color w:val="auto"/>
        </w:rPr>
        <w:t xml:space="preserve"> emisyonu kütlesi m</w:t>
      </w:r>
      <w:r w:rsidR="00236715" w:rsidRPr="00DE12A3">
        <w:rPr>
          <w:color w:val="auto"/>
          <w:vertAlign w:val="subscript"/>
        </w:rPr>
        <w:t>CO2,fuel</w:t>
      </w:r>
      <w:r w:rsidR="00236715" w:rsidRPr="00DE12A3">
        <w:rPr>
          <w:color w:val="auto"/>
        </w:rPr>
        <w:t xml:space="preserve"> [g/test], motora giren gaz yakıt içindeki CO</w:t>
      </w:r>
      <w:r w:rsidR="00236715" w:rsidRPr="00DE12A3">
        <w:rPr>
          <w:color w:val="auto"/>
          <w:vertAlign w:val="subscript"/>
        </w:rPr>
        <w:t>2</w:t>
      </w:r>
      <w:r w:rsidR="00236715" w:rsidRPr="00DE12A3">
        <w:rPr>
          <w:color w:val="auto"/>
        </w:rPr>
        <w:t>'nin anlık kütle akış hızının ṁ</w:t>
      </w:r>
      <w:r w:rsidR="00236715" w:rsidRPr="00DE12A3">
        <w:rPr>
          <w:color w:val="auto"/>
          <w:vertAlign w:val="subscript"/>
        </w:rPr>
        <w:t>CO2i,fuel</w:t>
      </w:r>
      <w:r w:rsidR="00236715" w:rsidRPr="00DE12A3">
        <w:rPr>
          <w:color w:val="auto"/>
        </w:rPr>
        <w:t xml:space="preserve"> [g/s], (9-11) </w:t>
      </w:r>
      <w:r w:rsidR="00343A91" w:rsidRPr="00DE12A3">
        <w:rPr>
          <w:color w:val="auto"/>
        </w:rPr>
        <w:t xml:space="preserve">numaralı </w:t>
      </w:r>
      <w:r w:rsidR="00236715" w:rsidRPr="00DE12A3">
        <w:rPr>
          <w:color w:val="auto"/>
        </w:rPr>
        <w:t xml:space="preserve">denklem vasıtasıyla test </w:t>
      </w:r>
      <w:r w:rsidR="00F310B5" w:rsidRPr="00DE12A3">
        <w:rPr>
          <w:color w:val="auto"/>
        </w:rPr>
        <w:t>çevrimi</w:t>
      </w:r>
      <w:r w:rsidR="00236715" w:rsidRPr="00DE12A3">
        <w:rPr>
          <w:color w:val="auto"/>
        </w:rPr>
        <w:t xml:space="preserve"> boyunca toplanmasıyla hesaplanmalıdır:</w:t>
      </w:r>
    </w:p>
    <w:p w14:paraId="06485D35" w14:textId="77777777" w:rsidR="009F4766" w:rsidRPr="00DE12A3" w:rsidRDefault="009F4766" w:rsidP="00681DA7">
      <w:pPr>
        <w:spacing w:before="120" w:after="120"/>
        <w:rPr>
          <w:rFonts w:cs="Times New Roman"/>
          <w:color w:val="auto"/>
        </w:rPr>
      </w:pPr>
    </w:p>
    <w:p w14:paraId="212C6FE8" w14:textId="25D205CB" w:rsidR="009060A9" w:rsidRPr="00DE12A3" w:rsidRDefault="009060A9" w:rsidP="00681DA7">
      <w:pPr>
        <w:spacing w:before="120" w:after="120"/>
        <w:jc w:val="center"/>
        <w:rPr>
          <w:rFonts w:cs="Times New Roman"/>
          <w:color w:val="auto"/>
        </w:rPr>
      </w:pPr>
      <w:r w:rsidRPr="00DE12A3">
        <w:rPr>
          <w:rFonts w:cs="Times New Roman"/>
          <w:noProof/>
          <w:color w:val="auto"/>
        </w:rPr>
        <w:drawing>
          <wp:inline distT="0" distB="0" distL="0" distR="0" wp14:anchorId="3ED7196C" wp14:editId="5CF71861">
            <wp:extent cx="4469130" cy="567666"/>
            <wp:effectExtent l="0" t="0" r="0" b="4445"/>
            <wp:docPr id="130" name="Resim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86">
                      <a:extLst>
                        <a:ext uri="{28A0092B-C50C-407E-A947-70E740481C1C}">
                          <a14:useLocalDpi xmlns:a14="http://schemas.microsoft.com/office/drawing/2010/main" val="0"/>
                        </a:ext>
                      </a:extLst>
                    </a:blip>
                    <a:srcRect/>
                    <a:stretch>
                      <a:fillRect/>
                    </a:stretch>
                  </pic:blipFill>
                  <pic:spPr bwMode="auto">
                    <a:xfrm>
                      <a:off x="0" y="0"/>
                      <a:ext cx="4504541" cy="572164"/>
                    </a:xfrm>
                    <a:prstGeom prst="rect">
                      <a:avLst/>
                    </a:prstGeom>
                    <a:noFill/>
                    <a:ln>
                      <a:noFill/>
                    </a:ln>
                  </pic:spPr>
                </pic:pic>
              </a:graphicData>
            </a:graphic>
          </wp:inline>
        </w:drawing>
      </w:r>
    </w:p>
    <w:p w14:paraId="40CDCCDB" w14:textId="77777777" w:rsidR="009F4766" w:rsidRPr="00DE12A3" w:rsidRDefault="008B3D9F" w:rsidP="00681DA7">
      <w:pPr>
        <w:spacing w:before="120" w:after="120"/>
        <w:ind w:left="1134"/>
        <w:rPr>
          <w:rFonts w:cs="Times New Roman"/>
          <w:color w:val="auto"/>
        </w:rPr>
      </w:pPr>
      <w:r w:rsidRPr="00DE12A3">
        <w:rPr>
          <w:rFonts w:cs="Times New Roman"/>
          <w:color w:val="auto"/>
        </w:rPr>
        <w:t>Burada</w:t>
      </w:r>
      <w:r w:rsidR="009F4766" w:rsidRPr="00DE12A3">
        <w:rPr>
          <w:rFonts w:cs="Times New Roman"/>
          <w:color w:val="auto"/>
        </w:rPr>
        <w:t>:</w:t>
      </w:r>
    </w:p>
    <w:tbl>
      <w:tblPr>
        <w:tblW w:w="0" w:type="auto"/>
        <w:tblInd w:w="2507" w:type="dxa"/>
        <w:tblLayout w:type="fixed"/>
        <w:tblLook w:val="0000" w:firstRow="0" w:lastRow="0" w:firstColumn="0" w:lastColumn="0" w:noHBand="0" w:noVBand="0"/>
      </w:tblPr>
      <w:tblGrid>
        <w:gridCol w:w="598"/>
        <w:gridCol w:w="598"/>
        <w:gridCol w:w="3076"/>
      </w:tblGrid>
      <w:tr w:rsidR="00DE12A3" w:rsidRPr="00DE12A3" w14:paraId="77C27369" w14:textId="77777777" w:rsidTr="00857130">
        <w:tc>
          <w:tcPr>
            <w:tcW w:w="598" w:type="dxa"/>
          </w:tcPr>
          <w:p w14:paraId="3238C287" w14:textId="77777777" w:rsidR="00236715" w:rsidRPr="00DE12A3" w:rsidRDefault="00236715" w:rsidP="00681DA7">
            <w:pPr>
              <w:pStyle w:val="NormalLeft"/>
            </w:pPr>
            <w:r w:rsidRPr="00DE12A3">
              <w:rPr>
                <w:i/>
                <w:iCs/>
              </w:rPr>
              <w:t>ƒ</w:t>
            </w:r>
          </w:p>
        </w:tc>
        <w:tc>
          <w:tcPr>
            <w:tcW w:w="598" w:type="dxa"/>
          </w:tcPr>
          <w:p w14:paraId="468B8E22" w14:textId="77777777" w:rsidR="00236715" w:rsidRPr="00DE12A3" w:rsidRDefault="00236715" w:rsidP="00681DA7">
            <w:pPr>
              <w:pStyle w:val="NormalLeft"/>
            </w:pPr>
            <w:r w:rsidRPr="00DE12A3">
              <w:t>=</w:t>
            </w:r>
          </w:p>
        </w:tc>
        <w:tc>
          <w:tcPr>
            <w:tcW w:w="3076" w:type="dxa"/>
          </w:tcPr>
          <w:p w14:paraId="72D88710" w14:textId="2B2DED91" w:rsidR="00236715" w:rsidRPr="00DE12A3" w:rsidRDefault="00857130" w:rsidP="00681DA7">
            <w:pPr>
              <w:spacing w:before="120" w:after="120"/>
              <w:rPr>
                <w:rFonts w:cs="Times New Roman"/>
                <w:color w:val="auto"/>
              </w:rPr>
            </w:pPr>
            <w:r w:rsidRPr="00DE12A3">
              <w:rPr>
                <w:rFonts w:cs="Times New Roman"/>
                <w:color w:val="auto"/>
              </w:rPr>
              <w:t>Veri</w:t>
            </w:r>
            <w:r w:rsidR="00236715" w:rsidRPr="00DE12A3">
              <w:rPr>
                <w:rFonts w:cs="Times New Roman"/>
                <w:color w:val="auto"/>
              </w:rPr>
              <w:t xml:space="preserve"> örnekleme hızı [Hz]</w:t>
            </w:r>
          </w:p>
        </w:tc>
      </w:tr>
      <w:tr w:rsidR="00236715" w:rsidRPr="00DE12A3" w14:paraId="69BBB4BC" w14:textId="77777777" w:rsidTr="00857130">
        <w:tc>
          <w:tcPr>
            <w:tcW w:w="598" w:type="dxa"/>
          </w:tcPr>
          <w:p w14:paraId="79D2740F" w14:textId="77777777" w:rsidR="00236715" w:rsidRPr="00DE12A3" w:rsidRDefault="00236715" w:rsidP="00681DA7">
            <w:pPr>
              <w:pStyle w:val="NormalLeft"/>
            </w:pPr>
            <w:r w:rsidRPr="00DE12A3">
              <w:t>N</w:t>
            </w:r>
          </w:p>
        </w:tc>
        <w:tc>
          <w:tcPr>
            <w:tcW w:w="598" w:type="dxa"/>
          </w:tcPr>
          <w:p w14:paraId="19BB5977" w14:textId="77777777" w:rsidR="00236715" w:rsidRPr="00DE12A3" w:rsidRDefault="00236715" w:rsidP="00681DA7">
            <w:pPr>
              <w:pStyle w:val="NormalLeft"/>
            </w:pPr>
            <w:r w:rsidRPr="00DE12A3">
              <w:t>=</w:t>
            </w:r>
          </w:p>
        </w:tc>
        <w:tc>
          <w:tcPr>
            <w:tcW w:w="3076" w:type="dxa"/>
          </w:tcPr>
          <w:p w14:paraId="4363E101" w14:textId="3AC491B8" w:rsidR="00236715" w:rsidRPr="00DE12A3" w:rsidRDefault="00857130" w:rsidP="00681DA7">
            <w:pPr>
              <w:spacing w:before="120" w:after="120"/>
              <w:rPr>
                <w:rFonts w:cs="Times New Roman"/>
                <w:color w:val="auto"/>
              </w:rPr>
            </w:pPr>
            <w:r w:rsidRPr="00DE12A3">
              <w:rPr>
                <w:rFonts w:cs="Times New Roman"/>
                <w:color w:val="auto"/>
              </w:rPr>
              <w:t>Ölçüm</w:t>
            </w:r>
            <w:r w:rsidR="00236715" w:rsidRPr="00DE12A3">
              <w:rPr>
                <w:rFonts w:cs="Times New Roman"/>
                <w:color w:val="auto"/>
              </w:rPr>
              <w:t xml:space="preserve"> sayısı [-]</w:t>
            </w:r>
          </w:p>
        </w:tc>
      </w:tr>
    </w:tbl>
    <w:p w14:paraId="6111742D" w14:textId="77777777" w:rsidR="009F4766" w:rsidRPr="00DE12A3" w:rsidRDefault="009F4766" w:rsidP="00681DA7">
      <w:pPr>
        <w:spacing w:before="120" w:after="120"/>
        <w:rPr>
          <w:rFonts w:cs="Times New Roman"/>
          <w:color w:val="auto"/>
        </w:rPr>
      </w:pPr>
    </w:p>
    <w:p w14:paraId="75A2C10E" w14:textId="10E4106F" w:rsidR="009060A9" w:rsidRPr="00DE12A3" w:rsidRDefault="00236715" w:rsidP="00681DA7">
      <w:pPr>
        <w:spacing w:before="120" w:after="120"/>
        <w:jc w:val="both"/>
        <w:rPr>
          <w:rFonts w:cs="Times New Roman"/>
          <w:color w:val="auto"/>
        </w:rPr>
      </w:pPr>
      <w:r w:rsidRPr="00DE12A3">
        <w:rPr>
          <w:rFonts w:cs="Times New Roman"/>
          <w:color w:val="auto"/>
        </w:rPr>
        <w:t>2.2. VII</w:t>
      </w:r>
      <w:r w:rsidR="009060A9" w:rsidRPr="00DE12A3">
        <w:rPr>
          <w:rFonts w:cs="Times New Roman"/>
          <w:color w:val="auto"/>
        </w:rPr>
        <w:t>’</w:t>
      </w:r>
      <w:r w:rsidR="00195051" w:rsidRPr="00DE12A3">
        <w:rPr>
          <w:rFonts w:cs="Times New Roman"/>
          <w:color w:val="auto"/>
        </w:rPr>
        <w:t>nci</w:t>
      </w:r>
      <w:r w:rsidR="009060A9" w:rsidRPr="00DE12A3">
        <w:rPr>
          <w:rFonts w:cs="Times New Roman"/>
          <w:color w:val="auto"/>
        </w:rPr>
        <w:t xml:space="preserve"> </w:t>
      </w:r>
      <w:r w:rsidR="00343A91" w:rsidRPr="00DE12A3">
        <w:rPr>
          <w:rFonts w:cs="Times New Roman"/>
          <w:color w:val="auto"/>
        </w:rPr>
        <w:t>E</w:t>
      </w:r>
      <w:r w:rsidRPr="00DE12A3">
        <w:rPr>
          <w:rFonts w:cs="Times New Roman"/>
          <w:color w:val="auto"/>
        </w:rPr>
        <w:t>kte</w:t>
      </w:r>
      <w:r w:rsidR="00343A91" w:rsidRPr="00DE12A3">
        <w:rPr>
          <w:rFonts w:cs="Times New Roman"/>
          <w:color w:val="auto"/>
        </w:rPr>
        <w:t xml:space="preserve"> yer alan</w:t>
      </w:r>
      <w:r w:rsidRPr="00DE12A3">
        <w:rPr>
          <w:rFonts w:cs="Times New Roman"/>
          <w:color w:val="auto"/>
        </w:rPr>
        <w:t xml:space="preserve"> (7-61), (7-63), (7-128) veya (7-130) </w:t>
      </w:r>
      <w:r w:rsidR="00343A91" w:rsidRPr="00DE12A3">
        <w:rPr>
          <w:rFonts w:cs="Times New Roman"/>
          <w:color w:val="auto"/>
        </w:rPr>
        <w:t xml:space="preserve">numaralı </w:t>
      </w:r>
      <w:r w:rsidRPr="00DE12A3">
        <w:rPr>
          <w:rFonts w:cs="Times New Roman"/>
          <w:color w:val="auto"/>
        </w:rPr>
        <w:t>denklem</w:t>
      </w:r>
      <w:r w:rsidR="00343A91" w:rsidRPr="00DE12A3">
        <w:rPr>
          <w:rFonts w:cs="Times New Roman"/>
          <w:color w:val="auto"/>
        </w:rPr>
        <w:t>ler</w:t>
      </w:r>
      <w:r w:rsidRPr="00DE12A3">
        <w:rPr>
          <w:rFonts w:cs="Times New Roman"/>
          <w:color w:val="auto"/>
        </w:rPr>
        <w:t>de spesifik emisyon sonucu CO</w:t>
      </w:r>
      <w:r w:rsidRPr="00DE12A3">
        <w:rPr>
          <w:rFonts w:cs="Times New Roman"/>
          <w:color w:val="auto"/>
          <w:vertAlign w:val="subscript"/>
        </w:rPr>
        <w:t>2'</w:t>
      </w:r>
      <w:r w:rsidRPr="00DE12A3">
        <w:rPr>
          <w:rFonts w:cs="Times New Roman"/>
          <w:color w:val="auto"/>
        </w:rPr>
        <w:t>yi [g/kWh] hesaplamak için kullanılan toplam CO</w:t>
      </w:r>
      <w:r w:rsidRPr="00DE12A3">
        <w:rPr>
          <w:rFonts w:cs="Times New Roman"/>
          <w:color w:val="auto"/>
          <w:vertAlign w:val="subscript"/>
        </w:rPr>
        <w:t xml:space="preserve">2 </w:t>
      </w:r>
      <w:r w:rsidRPr="00DE12A3">
        <w:rPr>
          <w:rFonts w:cs="Times New Roman"/>
          <w:color w:val="auto"/>
        </w:rPr>
        <w:t>emisyonu kütlesi m</w:t>
      </w:r>
      <w:r w:rsidRPr="00DE12A3">
        <w:rPr>
          <w:rFonts w:cs="Times New Roman"/>
          <w:color w:val="auto"/>
          <w:vertAlign w:val="subscript"/>
        </w:rPr>
        <w:t xml:space="preserve">CO2 </w:t>
      </w:r>
      <w:r w:rsidRPr="00DE12A3">
        <w:rPr>
          <w:rFonts w:cs="Times New Roman"/>
          <w:color w:val="auto"/>
        </w:rPr>
        <w:t>[g/test], bu denklemlerde düzeltilmiş m</w:t>
      </w:r>
      <w:r w:rsidRPr="00DE12A3">
        <w:rPr>
          <w:rFonts w:cs="Times New Roman"/>
          <w:color w:val="auto"/>
          <w:vertAlign w:val="subscript"/>
        </w:rPr>
        <w:t>CO2</w:t>
      </w:r>
      <w:r w:rsidRPr="00DE12A3">
        <w:rPr>
          <w:rFonts w:cs="Times New Roman"/>
          <w:color w:val="auto"/>
        </w:rPr>
        <w:t xml:space="preserve"> değeri, denklem (9-12)</w:t>
      </w:r>
      <w:r w:rsidR="00343A91" w:rsidRPr="00DE12A3">
        <w:rPr>
          <w:rFonts w:cs="Times New Roman"/>
          <w:color w:val="auto"/>
        </w:rPr>
        <w:t xml:space="preserve"> numaralı denklem</w:t>
      </w:r>
      <w:r w:rsidRPr="00DE12A3">
        <w:rPr>
          <w:rFonts w:cs="Times New Roman"/>
          <w:color w:val="auto"/>
        </w:rPr>
        <w:t xml:space="preserve"> ile hesaplanan düzeltilmiş m</w:t>
      </w:r>
      <w:r w:rsidRPr="00DE12A3">
        <w:rPr>
          <w:rFonts w:cs="Times New Roman"/>
          <w:color w:val="auto"/>
          <w:vertAlign w:val="subscript"/>
        </w:rPr>
        <w:t xml:space="preserve">CO2,corr </w:t>
      </w:r>
      <w:r w:rsidRPr="00DE12A3">
        <w:rPr>
          <w:rFonts w:cs="Times New Roman"/>
          <w:color w:val="auto"/>
        </w:rPr>
        <w:t>[g/test] değeri ile değiştirilmelidir.</w:t>
      </w:r>
    </w:p>
    <w:p w14:paraId="79E94E0E" w14:textId="77777777" w:rsidR="003A7EF8" w:rsidRPr="00DE12A3" w:rsidRDefault="003A7EF8" w:rsidP="00681DA7">
      <w:pPr>
        <w:spacing w:before="120" w:after="120"/>
        <w:ind w:left="1134" w:hanging="1134"/>
        <w:jc w:val="both"/>
        <w:rPr>
          <w:rFonts w:cs="Times New Roman"/>
          <w:color w:val="auto"/>
        </w:rPr>
      </w:pPr>
    </w:p>
    <w:tbl>
      <w:tblPr>
        <w:tblW w:w="0" w:type="auto"/>
        <w:jc w:val="center"/>
        <w:tblLayout w:type="fixed"/>
        <w:tblLook w:val="0000" w:firstRow="0" w:lastRow="0" w:firstColumn="0" w:lastColumn="0" w:noHBand="0" w:noVBand="0"/>
      </w:tblPr>
      <w:tblGrid>
        <w:gridCol w:w="3448"/>
        <w:gridCol w:w="916"/>
      </w:tblGrid>
      <w:tr w:rsidR="009060A9" w:rsidRPr="00DE12A3" w14:paraId="7753A5A9" w14:textId="77777777" w:rsidTr="0099786D">
        <w:trPr>
          <w:jc w:val="center"/>
        </w:trPr>
        <w:tc>
          <w:tcPr>
            <w:tcW w:w="3448" w:type="dxa"/>
          </w:tcPr>
          <w:p w14:paraId="7FD526B3" w14:textId="77777777" w:rsidR="009060A9" w:rsidRPr="00DE12A3" w:rsidRDefault="009060A9" w:rsidP="00681DA7">
            <w:pPr>
              <w:pStyle w:val="NormalLeft"/>
            </w:pPr>
            <w:r w:rsidRPr="00DE12A3">
              <w:rPr>
                <w:i/>
                <w:iCs/>
              </w:rPr>
              <w:t>m</w:t>
            </w:r>
            <w:r w:rsidRPr="00DE12A3">
              <w:rPr>
                <w:vertAlign w:val="subscript"/>
              </w:rPr>
              <w:t>CO2, corr</w:t>
            </w:r>
            <w:r w:rsidRPr="00DE12A3">
              <w:t xml:space="preserve"> = </w:t>
            </w:r>
            <w:r w:rsidRPr="00DE12A3">
              <w:rPr>
                <w:i/>
                <w:iCs/>
              </w:rPr>
              <w:t>m</w:t>
            </w:r>
            <w:r w:rsidRPr="00DE12A3">
              <w:rPr>
                <w:vertAlign w:val="subscript"/>
              </w:rPr>
              <w:t>CO2</w:t>
            </w:r>
            <w:r w:rsidRPr="00DE12A3">
              <w:t xml:space="preserve"> – </w:t>
            </w:r>
            <w:r w:rsidRPr="00DE12A3">
              <w:rPr>
                <w:i/>
                <w:iCs/>
              </w:rPr>
              <w:t>m</w:t>
            </w:r>
            <w:r w:rsidRPr="00DE12A3">
              <w:rPr>
                <w:vertAlign w:val="subscript"/>
              </w:rPr>
              <w:t>CO2, fuel</w:t>
            </w:r>
          </w:p>
        </w:tc>
        <w:tc>
          <w:tcPr>
            <w:tcW w:w="916" w:type="dxa"/>
          </w:tcPr>
          <w:p w14:paraId="2F3AA188" w14:textId="77777777" w:rsidR="009060A9" w:rsidRPr="00DE12A3" w:rsidRDefault="009060A9" w:rsidP="00681DA7">
            <w:pPr>
              <w:pStyle w:val="NormalLeft"/>
            </w:pPr>
            <w:r w:rsidRPr="00DE12A3">
              <w:t>(9-12)</w:t>
            </w:r>
          </w:p>
        </w:tc>
      </w:tr>
    </w:tbl>
    <w:p w14:paraId="5F073AA1" w14:textId="77777777" w:rsidR="009060A9" w:rsidRPr="00DE12A3" w:rsidRDefault="009060A9" w:rsidP="00681DA7">
      <w:pPr>
        <w:spacing w:before="120" w:after="120"/>
        <w:ind w:left="1134" w:hanging="1134"/>
        <w:jc w:val="both"/>
        <w:rPr>
          <w:rFonts w:cs="Times New Roman"/>
          <w:color w:val="auto"/>
        </w:rPr>
      </w:pPr>
    </w:p>
    <w:p w14:paraId="3AEB4367" w14:textId="57A60416" w:rsidR="00236715" w:rsidRPr="00DE12A3" w:rsidRDefault="00681DA7" w:rsidP="00681DA7">
      <w:pPr>
        <w:rPr>
          <w:b/>
          <w:color w:val="auto"/>
        </w:rPr>
      </w:pPr>
      <w:r w:rsidRPr="00DE12A3">
        <w:rPr>
          <w:b/>
          <w:color w:val="auto"/>
        </w:rPr>
        <w:t>3.</w:t>
      </w:r>
      <w:r w:rsidR="00236715" w:rsidRPr="00DE12A3">
        <w:rPr>
          <w:b/>
          <w:color w:val="auto"/>
        </w:rPr>
        <w:t xml:space="preserve"> Ayrık mod NRSC için spesifik CO</w:t>
      </w:r>
      <w:r w:rsidR="00236715" w:rsidRPr="00DE12A3">
        <w:rPr>
          <w:b/>
          <w:color w:val="auto"/>
          <w:vertAlign w:val="subscript"/>
        </w:rPr>
        <w:t xml:space="preserve">2 </w:t>
      </w:r>
      <w:r w:rsidR="00236715" w:rsidRPr="00DE12A3">
        <w:rPr>
          <w:b/>
          <w:color w:val="auto"/>
        </w:rPr>
        <w:t>emisyonlarının hesaplanması</w:t>
      </w:r>
    </w:p>
    <w:p w14:paraId="54A82227" w14:textId="77777777" w:rsidR="00681DA7" w:rsidRPr="00DE12A3" w:rsidRDefault="00681DA7" w:rsidP="00681DA7">
      <w:pPr>
        <w:jc w:val="both"/>
        <w:rPr>
          <w:color w:val="auto"/>
        </w:rPr>
      </w:pPr>
    </w:p>
    <w:p w14:paraId="6E859AEF" w14:textId="616EE55C" w:rsidR="00236715" w:rsidRPr="00DE12A3" w:rsidRDefault="00681DA7" w:rsidP="00681DA7">
      <w:pPr>
        <w:jc w:val="both"/>
        <w:rPr>
          <w:color w:val="auto"/>
        </w:rPr>
      </w:pPr>
      <w:r w:rsidRPr="00DE12A3">
        <w:rPr>
          <w:color w:val="auto"/>
        </w:rPr>
        <w:t xml:space="preserve">3.1. </w:t>
      </w:r>
      <w:r w:rsidR="00236715" w:rsidRPr="00DE12A3">
        <w:rPr>
          <w:color w:val="auto"/>
        </w:rPr>
        <w:t>Saat başına yakıt içindeki CO</w:t>
      </w:r>
      <w:r w:rsidR="00236715" w:rsidRPr="00DE12A3">
        <w:rPr>
          <w:color w:val="auto"/>
          <w:vertAlign w:val="subscript"/>
        </w:rPr>
        <w:t>2</w:t>
      </w:r>
      <w:r w:rsidR="00236715" w:rsidRPr="00DE12A3">
        <w:rPr>
          <w:color w:val="auto"/>
        </w:rPr>
        <w:t>'den kaynaklanan ortalama CO</w:t>
      </w:r>
      <w:r w:rsidR="00236715" w:rsidRPr="00DE12A3">
        <w:rPr>
          <w:color w:val="auto"/>
          <w:vertAlign w:val="subscript"/>
        </w:rPr>
        <w:t>2</w:t>
      </w:r>
      <w:r w:rsidR="00236715" w:rsidRPr="00DE12A3">
        <w:rPr>
          <w:color w:val="auto"/>
        </w:rPr>
        <w:t xml:space="preserve"> emisyonu q</w:t>
      </w:r>
      <w:r w:rsidR="00236715" w:rsidRPr="00DE12A3">
        <w:rPr>
          <w:color w:val="auto"/>
          <w:vertAlign w:val="subscript"/>
        </w:rPr>
        <w:t>m</w:t>
      </w:r>
      <w:r w:rsidRPr="00DE12A3">
        <w:rPr>
          <w:color w:val="auto"/>
          <w:vertAlign w:val="subscript"/>
        </w:rPr>
        <w:t xml:space="preserve"> </w:t>
      </w:r>
      <w:r w:rsidR="00236715" w:rsidRPr="00DE12A3">
        <w:rPr>
          <w:color w:val="auto"/>
          <w:vertAlign w:val="subscript"/>
        </w:rPr>
        <w:t>CO2,fuel</w:t>
      </w:r>
      <w:r w:rsidR="00236715" w:rsidRPr="00DE12A3">
        <w:rPr>
          <w:color w:val="auto"/>
        </w:rPr>
        <w:t xml:space="preserve"> veya ṁ</w:t>
      </w:r>
      <w:r w:rsidR="00236715" w:rsidRPr="00DE12A3">
        <w:rPr>
          <w:color w:val="auto"/>
          <w:vertAlign w:val="subscript"/>
        </w:rPr>
        <w:t>CO2</w:t>
      </w:r>
      <w:r w:rsidR="00236715" w:rsidRPr="00DE12A3">
        <w:rPr>
          <w:color w:val="auto"/>
        </w:rPr>
        <w:t xml:space="preserve"> yakıt [g/saat], her münferit test modu için, ilgili test modunun örnekleme dönemi sırasında alınan, (9-10) </w:t>
      </w:r>
      <w:r w:rsidR="00343A91" w:rsidRPr="00DE12A3">
        <w:rPr>
          <w:color w:val="auto"/>
        </w:rPr>
        <w:t>numaralı</w:t>
      </w:r>
      <w:r w:rsidR="00236715" w:rsidRPr="00DE12A3">
        <w:rPr>
          <w:color w:val="auto"/>
        </w:rPr>
        <w:t xml:space="preserve"> denklemle bulunan anlık CO</w:t>
      </w:r>
      <w:r w:rsidR="00236715" w:rsidRPr="00DE12A3">
        <w:rPr>
          <w:color w:val="auto"/>
          <w:vertAlign w:val="subscript"/>
        </w:rPr>
        <w:t>2ṁCO2i,fuel</w:t>
      </w:r>
      <w:r w:rsidR="00236715" w:rsidRPr="00DE12A3">
        <w:rPr>
          <w:color w:val="auto"/>
        </w:rPr>
        <w:t xml:space="preserve"> [g/s] </w:t>
      </w:r>
      <w:r w:rsidR="009D7C89" w:rsidRPr="00DE12A3">
        <w:rPr>
          <w:color w:val="auto"/>
        </w:rPr>
        <w:t xml:space="preserve">kütle akış hızı </w:t>
      </w:r>
      <w:r w:rsidR="00236715" w:rsidRPr="00DE12A3">
        <w:rPr>
          <w:color w:val="auto"/>
        </w:rPr>
        <w:t xml:space="preserve">ölçümleri kullanılarak (9-13) </w:t>
      </w:r>
      <w:r w:rsidR="00343A91" w:rsidRPr="00DE12A3">
        <w:rPr>
          <w:color w:val="auto"/>
        </w:rPr>
        <w:t>numaralı</w:t>
      </w:r>
      <w:r w:rsidR="00236715" w:rsidRPr="00DE12A3">
        <w:rPr>
          <w:color w:val="auto"/>
        </w:rPr>
        <w:t xml:space="preserve"> denklem ile hesaplanmalıdır:</w:t>
      </w:r>
    </w:p>
    <w:p w14:paraId="4580D6B8" w14:textId="77777777" w:rsidR="009D7C89" w:rsidRPr="00DE12A3" w:rsidRDefault="009D7C89" w:rsidP="009D7C89">
      <w:pPr>
        <w:widowControl/>
        <w:autoSpaceDE w:val="0"/>
        <w:autoSpaceDN w:val="0"/>
        <w:adjustRightInd w:val="0"/>
        <w:spacing w:before="200" w:after="200"/>
        <w:jc w:val="center"/>
        <w:rPr>
          <w:rFonts w:eastAsia="SimSun" w:cs="Times New Roman"/>
          <w:color w:val="auto"/>
        </w:rPr>
      </w:pPr>
    </w:p>
    <w:p w14:paraId="7ABA2A15" w14:textId="77777777" w:rsidR="009D7C89" w:rsidRPr="00DE12A3" w:rsidRDefault="009D7C89" w:rsidP="009D7C89">
      <w:pPr>
        <w:widowControl/>
        <w:autoSpaceDE w:val="0"/>
        <w:autoSpaceDN w:val="0"/>
        <w:adjustRightInd w:val="0"/>
        <w:spacing w:before="200" w:after="200"/>
        <w:jc w:val="center"/>
        <w:rPr>
          <w:rFonts w:eastAsia="SimSun" w:cs="Times New Roman"/>
          <w:color w:val="auto"/>
        </w:rPr>
      </w:pPr>
    </w:p>
    <w:p w14:paraId="52ED4E48" w14:textId="77777777" w:rsidR="009D7C89" w:rsidRPr="00DE12A3" w:rsidRDefault="009D7C89" w:rsidP="009D7C89">
      <w:pPr>
        <w:widowControl/>
        <w:autoSpaceDE w:val="0"/>
        <w:autoSpaceDN w:val="0"/>
        <w:adjustRightInd w:val="0"/>
        <w:spacing w:before="60" w:after="60"/>
        <w:rPr>
          <w:rFonts w:eastAsia="SimSun" w:cs="Times New Roman"/>
          <w:color w:val="auto"/>
        </w:rPr>
      </w:pPr>
    </w:p>
    <w:p w14:paraId="09C6BC89" w14:textId="13D06007" w:rsidR="009060A9" w:rsidRPr="00DE12A3" w:rsidRDefault="009060A9" w:rsidP="00681DA7">
      <w:pPr>
        <w:pStyle w:val="Text2"/>
      </w:pPr>
      <w:r w:rsidRPr="00DE12A3">
        <w:rPr>
          <w:noProof/>
          <w:lang w:val="tr-TR"/>
        </w:rPr>
        <w:drawing>
          <wp:inline distT="0" distB="0" distL="0" distR="0" wp14:anchorId="0E6F1A68" wp14:editId="5754C11A">
            <wp:extent cx="5579745" cy="535704"/>
            <wp:effectExtent l="0" t="0" r="1905" b="0"/>
            <wp:docPr id="131" name="Resim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87">
                      <a:extLst>
                        <a:ext uri="{28A0092B-C50C-407E-A947-70E740481C1C}">
                          <a14:useLocalDpi xmlns:a14="http://schemas.microsoft.com/office/drawing/2010/main" val="0"/>
                        </a:ext>
                      </a:extLst>
                    </a:blip>
                    <a:srcRect/>
                    <a:stretch>
                      <a:fillRect/>
                    </a:stretch>
                  </pic:blipFill>
                  <pic:spPr bwMode="auto">
                    <a:xfrm>
                      <a:off x="0" y="0"/>
                      <a:ext cx="5579745" cy="535704"/>
                    </a:xfrm>
                    <a:prstGeom prst="rect">
                      <a:avLst/>
                    </a:prstGeom>
                    <a:noFill/>
                    <a:ln>
                      <a:noFill/>
                    </a:ln>
                  </pic:spPr>
                </pic:pic>
              </a:graphicData>
            </a:graphic>
          </wp:inline>
        </w:drawing>
      </w:r>
    </w:p>
    <w:p w14:paraId="283B8E5E" w14:textId="77777777" w:rsidR="009F4766" w:rsidRPr="00DE12A3" w:rsidRDefault="008B3D9F" w:rsidP="00681DA7">
      <w:pPr>
        <w:spacing w:before="120" w:after="120"/>
        <w:ind w:left="1134"/>
        <w:rPr>
          <w:rFonts w:cs="Times New Roman"/>
          <w:color w:val="auto"/>
        </w:rPr>
      </w:pPr>
      <w:r w:rsidRPr="00DE12A3">
        <w:rPr>
          <w:rFonts w:cs="Times New Roman"/>
          <w:color w:val="auto"/>
        </w:rPr>
        <w:t>Burada</w:t>
      </w:r>
      <w:r w:rsidR="009F4766" w:rsidRPr="00DE12A3">
        <w:rPr>
          <w:rFonts w:cs="Times New Roman"/>
          <w:color w:val="auto"/>
        </w:rPr>
        <w:t>:</w:t>
      </w:r>
    </w:p>
    <w:tbl>
      <w:tblPr>
        <w:tblW w:w="0" w:type="auto"/>
        <w:tblInd w:w="1254" w:type="dxa"/>
        <w:tblLayout w:type="fixed"/>
        <w:tblLook w:val="0000" w:firstRow="0" w:lastRow="0" w:firstColumn="0" w:lastColumn="0" w:noHBand="0" w:noVBand="0"/>
      </w:tblPr>
      <w:tblGrid>
        <w:gridCol w:w="610"/>
        <w:gridCol w:w="542"/>
        <w:gridCol w:w="5627"/>
      </w:tblGrid>
      <w:tr w:rsidR="009F4766" w:rsidRPr="00DE12A3" w14:paraId="5167FE43" w14:textId="77777777" w:rsidTr="0099786D">
        <w:tc>
          <w:tcPr>
            <w:tcW w:w="610" w:type="dxa"/>
          </w:tcPr>
          <w:p w14:paraId="0FD16147" w14:textId="77777777" w:rsidR="009F4766" w:rsidRPr="00DE12A3" w:rsidRDefault="009F4766" w:rsidP="00681DA7">
            <w:pPr>
              <w:pStyle w:val="NormalLeft"/>
            </w:pPr>
            <w:r w:rsidRPr="00DE12A3">
              <w:t>N</w:t>
            </w:r>
          </w:p>
        </w:tc>
        <w:tc>
          <w:tcPr>
            <w:tcW w:w="542" w:type="dxa"/>
          </w:tcPr>
          <w:p w14:paraId="6E8D8BF3" w14:textId="77777777" w:rsidR="009F4766" w:rsidRPr="00DE12A3" w:rsidRDefault="009F4766" w:rsidP="00681DA7">
            <w:pPr>
              <w:pStyle w:val="NormalLeft"/>
            </w:pPr>
            <w:r w:rsidRPr="00DE12A3">
              <w:t>=</w:t>
            </w:r>
          </w:p>
        </w:tc>
        <w:tc>
          <w:tcPr>
            <w:tcW w:w="5627" w:type="dxa"/>
          </w:tcPr>
          <w:p w14:paraId="473EDB18" w14:textId="77777777" w:rsidR="009F4766" w:rsidRPr="00DE12A3" w:rsidRDefault="00D25387" w:rsidP="00681DA7">
            <w:pPr>
              <w:pStyle w:val="NormalLeft"/>
            </w:pPr>
            <w:r w:rsidRPr="00DE12A3">
              <w:t>Test modu sırasında alınan ölçüm sayısı [-]</w:t>
            </w:r>
          </w:p>
        </w:tc>
      </w:tr>
    </w:tbl>
    <w:p w14:paraId="1D922250" w14:textId="77777777" w:rsidR="009F4766" w:rsidRPr="00DE12A3" w:rsidRDefault="009F4766" w:rsidP="00767500">
      <w:pPr>
        <w:spacing w:before="120" w:after="120"/>
        <w:rPr>
          <w:rFonts w:cs="Times New Roman"/>
          <w:color w:val="auto"/>
        </w:rPr>
      </w:pPr>
    </w:p>
    <w:p w14:paraId="0A3B25F7" w14:textId="5C2D2FFC" w:rsidR="00D25387" w:rsidRPr="00DE12A3" w:rsidRDefault="009F4766" w:rsidP="00767500">
      <w:pPr>
        <w:spacing w:before="120" w:after="120"/>
        <w:jc w:val="both"/>
        <w:rPr>
          <w:rFonts w:cs="Times New Roman"/>
          <w:color w:val="auto"/>
        </w:rPr>
      </w:pPr>
      <w:r w:rsidRPr="00DE12A3">
        <w:rPr>
          <w:rFonts w:cs="Times New Roman"/>
          <w:color w:val="auto"/>
        </w:rPr>
        <w:t>3.2</w:t>
      </w:r>
      <w:r w:rsidR="00767500" w:rsidRPr="00DE12A3">
        <w:rPr>
          <w:rFonts w:cs="Times New Roman"/>
          <w:color w:val="auto"/>
        </w:rPr>
        <w:t>.</w:t>
      </w:r>
      <w:r w:rsidR="00D25387" w:rsidRPr="00DE12A3">
        <w:rPr>
          <w:rFonts w:cs="Times New Roman"/>
          <w:color w:val="auto"/>
        </w:rPr>
        <w:t xml:space="preserve"> Spesifik emisyon sonucu CO</w:t>
      </w:r>
      <w:r w:rsidR="00D25387" w:rsidRPr="00DE12A3">
        <w:rPr>
          <w:rFonts w:cs="Times New Roman"/>
          <w:color w:val="auto"/>
          <w:vertAlign w:val="subscript"/>
        </w:rPr>
        <w:t>2</w:t>
      </w:r>
      <w:r w:rsidR="00D25387" w:rsidRPr="00DE12A3">
        <w:rPr>
          <w:rFonts w:cs="Times New Roman"/>
          <w:color w:val="auto"/>
        </w:rPr>
        <w:t xml:space="preserve">'yi [g/kWh] hesaplamak için </w:t>
      </w:r>
      <w:r w:rsidR="00FA0678" w:rsidRPr="00DE12A3">
        <w:rPr>
          <w:rFonts w:cs="Times New Roman"/>
          <w:color w:val="auto"/>
        </w:rPr>
        <w:t xml:space="preserve">VII’nci </w:t>
      </w:r>
      <w:r w:rsidR="00343A91" w:rsidRPr="00DE12A3">
        <w:rPr>
          <w:rFonts w:cs="Times New Roman"/>
          <w:color w:val="auto"/>
        </w:rPr>
        <w:t>E</w:t>
      </w:r>
      <w:r w:rsidR="00FA0678" w:rsidRPr="00DE12A3">
        <w:rPr>
          <w:rFonts w:cs="Times New Roman"/>
          <w:color w:val="auto"/>
        </w:rPr>
        <w:t>k</w:t>
      </w:r>
      <w:r w:rsidR="00D25387" w:rsidRPr="00DE12A3">
        <w:rPr>
          <w:rFonts w:cs="Times New Roman"/>
          <w:color w:val="auto"/>
        </w:rPr>
        <w:t>te</w:t>
      </w:r>
      <w:r w:rsidR="00343A91" w:rsidRPr="00DE12A3">
        <w:rPr>
          <w:rFonts w:cs="Times New Roman"/>
          <w:color w:val="auto"/>
        </w:rPr>
        <w:t xml:space="preserve"> yer alan</w:t>
      </w:r>
      <w:r w:rsidR="00D25387" w:rsidRPr="00DE12A3">
        <w:rPr>
          <w:rFonts w:cs="Times New Roman"/>
          <w:color w:val="auto"/>
        </w:rPr>
        <w:t xml:space="preserve"> (7-64) veya (7-131) </w:t>
      </w:r>
      <w:r w:rsidR="00343A91" w:rsidRPr="00DE12A3">
        <w:rPr>
          <w:rFonts w:cs="Times New Roman"/>
          <w:color w:val="auto"/>
        </w:rPr>
        <w:t xml:space="preserve">numaralı </w:t>
      </w:r>
      <w:r w:rsidR="00D25387" w:rsidRPr="00DE12A3">
        <w:rPr>
          <w:rFonts w:cs="Times New Roman"/>
          <w:color w:val="auto"/>
        </w:rPr>
        <w:t>denklem</w:t>
      </w:r>
      <w:r w:rsidR="00343A91" w:rsidRPr="00DE12A3">
        <w:rPr>
          <w:rFonts w:cs="Times New Roman"/>
          <w:color w:val="auto"/>
        </w:rPr>
        <w:t>ler</w:t>
      </w:r>
      <w:r w:rsidR="00D25387" w:rsidRPr="00DE12A3">
        <w:rPr>
          <w:rFonts w:cs="Times New Roman"/>
          <w:color w:val="auto"/>
        </w:rPr>
        <w:t>de kullanılan her münferit test modu için ortalama CO</w:t>
      </w:r>
      <w:r w:rsidR="00D25387" w:rsidRPr="00DE12A3">
        <w:rPr>
          <w:rFonts w:cs="Times New Roman"/>
          <w:color w:val="auto"/>
          <w:vertAlign w:val="subscript"/>
        </w:rPr>
        <w:t xml:space="preserve">2 </w:t>
      </w:r>
      <w:r w:rsidR="00D25387" w:rsidRPr="00DE12A3">
        <w:rPr>
          <w:rFonts w:cs="Times New Roman"/>
          <w:color w:val="auto"/>
        </w:rPr>
        <w:t>emisyonu kütle akış hızı q</w:t>
      </w:r>
      <w:r w:rsidR="00D25387" w:rsidRPr="00DE12A3">
        <w:rPr>
          <w:rFonts w:cs="Times New Roman"/>
          <w:color w:val="auto"/>
          <w:vertAlign w:val="subscript"/>
        </w:rPr>
        <w:t>mCO2</w:t>
      </w:r>
      <w:r w:rsidR="00D25387" w:rsidRPr="00DE12A3">
        <w:rPr>
          <w:rFonts w:cs="Times New Roman"/>
          <w:color w:val="auto"/>
        </w:rPr>
        <w:t xml:space="preserve"> veya ṁ</w:t>
      </w:r>
      <w:r w:rsidR="00D25387" w:rsidRPr="00DE12A3">
        <w:rPr>
          <w:rFonts w:cs="Times New Roman"/>
          <w:color w:val="auto"/>
          <w:vertAlign w:val="subscript"/>
        </w:rPr>
        <w:t>CO2</w:t>
      </w:r>
      <w:r w:rsidR="00D25387" w:rsidRPr="00DE12A3">
        <w:rPr>
          <w:rFonts w:cs="Times New Roman"/>
          <w:color w:val="auto"/>
        </w:rPr>
        <w:t xml:space="preserve"> [g/saat], bu denklemlerde, (9-14) veya (9-15) </w:t>
      </w:r>
      <w:r w:rsidR="00343A91" w:rsidRPr="00DE12A3">
        <w:rPr>
          <w:rFonts w:cs="Times New Roman"/>
          <w:color w:val="auto"/>
        </w:rPr>
        <w:t xml:space="preserve">numaralı </w:t>
      </w:r>
      <w:r w:rsidR="00D25387" w:rsidRPr="00DE12A3">
        <w:rPr>
          <w:rFonts w:cs="Times New Roman"/>
          <w:color w:val="auto"/>
        </w:rPr>
        <w:t>denklem</w:t>
      </w:r>
      <w:r w:rsidR="00343A91" w:rsidRPr="00DE12A3">
        <w:rPr>
          <w:rFonts w:cs="Times New Roman"/>
          <w:color w:val="auto"/>
        </w:rPr>
        <w:t>ler</w:t>
      </w:r>
      <w:r w:rsidR="00D25387" w:rsidRPr="00DE12A3">
        <w:rPr>
          <w:rFonts w:cs="Times New Roman"/>
          <w:color w:val="auto"/>
        </w:rPr>
        <w:t xml:space="preserve"> ile hesaplanan her münferit test modu için düzeltilmiş değer q</w:t>
      </w:r>
      <w:r w:rsidR="00D25387" w:rsidRPr="00DE12A3">
        <w:rPr>
          <w:rFonts w:cs="Times New Roman"/>
          <w:color w:val="auto"/>
          <w:vertAlign w:val="subscript"/>
        </w:rPr>
        <w:t xml:space="preserve">mCO2,corr </w:t>
      </w:r>
      <w:r w:rsidR="00D25387" w:rsidRPr="00DE12A3">
        <w:rPr>
          <w:rFonts w:cs="Times New Roman"/>
          <w:color w:val="auto"/>
        </w:rPr>
        <w:t>veya ṁ</w:t>
      </w:r>
      <w:r w:rsidR="00D25387" w:rsidRPr="00DE12A3">
        <w:rPr>
          <w:rFonts w:cs="Times New Roman"/>
          <w:color w:val="auto"/>
          <w:vertAlign w:val="subscript"/>
        </w:rPr>
        <w:t xml:space="preserve">CO2,corr </w:t>
      </w:r>
      <w:r w:rsidR="00D25387" w:rsidRPr="00DE12A3">
        <w:rPr>
          <w:rFonts w:cs="Times New Roman"/>
          <w:color w:val="auto"/>
        </w:rPr>
        <w:t>[g/saat] ile değiştirilmelidir.</w:t>
      </w:r>
    </w:p>
    <w:p w14:paraId="1A2C3279" w14:textId="77777777" w:rsidR="00D25387" w:rsidRPr="00DE12A3" w:rsidRDefault="00D25387" w:rsidP="00681DA7">
      <w:pPr>
        <w:spacing w:before="120" w:after="120"/>
        <w:ind w:left="1134" w:hanging="1134"/>
        <w:jc w:val="both"/>
        <w:rPr>
          <w:rFonts w:cs="Times New Roman"/>
          <w:color w:val="auto"/>
        </w:rPr>
      </w:pPr>
    </w:p>
    <w:tbl>
      <w:tblPr>
        <w:tblW w:w="0" w:type="auto"/>
        <w:tblInd w:w="2275" w:type="dxa"/>
        <w:tblLayout w:type="fixed"/>
        <w:tblLook w:val="0000" w:firstRow="0" w:lastRow="0" w:firstColumn="0" w:lastColumn="0" w:noHBand="0" w:noVBand="0"/>
      </w:tblPr>
      <w:tblGrid>
        <w:gridCol w:w="3836"/>
        <w:gridCol w:w="900"/>
      </w:tblGrid>
      <w:tr w:rsidR="00DE12A3" w:rsidRPr="00DE12A3" w14:paraId="3BF9586A" w14:textId="77777777" w:rsidTr="00857130">
        <w:tc>
          <w:tcPr>
            <w:tcW w:w="3836" w:type="dxa"/>
          </w:tcPr>
          <w:p w14:paraId="2C991936" w14:textId="77777777" w:rsidR="009F4766" w:rsidRPr="00DE12A3" w:rsidRDefault="009F4766" w:rsidP="00681DA7">
            <w:pPr>
              <w:pStyle w:val="NormalLeft"/>
            </w:pPr>
            <w:r w:rsidRPr="00DE12A3">
              <w:rPr>
                <w:i/>
                <w:iCs/>
              </w:rPr>
              <w:t>q</w:t>
            </w:r>
            <w:r w:rsidRPr="00DE12A3">
              <w:rPr>
                <w:i/>
                <w:iCs/>
                <w:vertAlign w:val="subscript"/>
              </w:rPr>
              <w:t>m</w:t>
            </w:r>
            <w:r w:rsidRPr="00DE12A3">
              <w:rPr>
                <w:vertAlign w:val="subscript"/>
              </w:rPr>
              <w:t>CO2, corr</w:t>
            </w:r>
            <w:r w:rsidRPr="00DE12A3">
              <w:t xml:space="preserve"> = </w:t>
            </w:r>
            <w:r w:rsidRPr="00DE12A3">
              <w:rPr>
                <w:i/>
                <w:iCs/>
              </w:rPr>
              <w:t>q</w:t>
            </w:r>
            <w:r w:rsidRPr="00DE12A3">
              <w:rPr>
                <w:i/>
                <w:iCs/>
                <w:vertAlign w:val="subscript"/>
              </w:rPr>
              <w:t>m</w:t>
            </w:r>
            <w:r w:rsidRPr="00DE12A3">
              <w:rPr>
                <w:vertAlign w:val="subscript"/>
              </w:rPr>
              <w:t>CO2</w:t>
            </w:r>
            <w:r w:rsidRPr="00DE12A3">
              <w:t xml:space="preserve"> – </w:t>
            </w:r>
            <w:r w:rsidRPr="00DE12A3">
              <w:rPr>
                <w:i/>
                <w:iCs/>
              </w:rPr>
              <w:t>q</w:t>
            </w:r>
            <w:r w:rsidRPr="00DE12A3">
              <w:rPr>
                <w:i/>
                <w:iCs/>
                <w:vertAlign w:val="subscript"/>
              </w:rPr>
              <w:t>m</w:t>
            </w:r>
            <w:r w:rsidRPr="00DE12A3">
              <w:rPr>
                <w:vertAlign w:val="subscript"/>
              </w:rPr>
              <w:t>CO2, fuel</w:t>
            </w:r>
          </w:p>
        </w:tc>
        <w:tc>
          <w:tcPr>
            <w:tcW w:w="900" w:type="dxa"/>
          </w:tcPr>
          <w:p w14:paraId="0868EA83" w14:textId="77777777" w:rsidR="009F4766" w:rsidRPr="00DE12A3" w:rsidRDefault="009F4766" w:rsidP="00681DA7">
            <w:pPr>
              <w:pStyle w:val="NormalLeft"/>
            </w:pPr>
            <w:r w:rsidRPr="00DE12A3">
              <w:t>(9-14)</w:t>
            </w:r>
          </w:p>
        </w:tc>
      </w:tr>
      <w:tr w:rsidR="009F4766" w:rsidRPr="00DE12A3" w14:paraId="1871DA96" w14:textId="77777777" w:rsidTr="00857130">
        <w:tc>
          <w:tcPr>
            <w:tcW w:w="3836" w:type="dxa"/>
          </w:tcPr>
          <w:p w14:paraId="67C1B685" w14:textId="77777777" w:rsidR="009F4766" w:rsidRPr="00DE12A3" w:rsidRDefault="009F4766" w:rsidP="00681DA7">
            <w:pPr>
              <w:pStyle w:val="NormalLeft"/>
            </w:pPr>
            <w:r w:rsidRPr="00DE12A3">
              <w:rPr>
                <w:i/>
                <w:iCs/>
              </w:rPr>
              <w:t>ṁ</w:t>
            </w:r>
            <w:r w:rsidRPr="00DE12A3">
              <w:rPr>
                <w:vertAlign w:val="subscript"/>
              </w:rPr>
              <w:t>CO2, corr</w:t>
            </w:r>
            <w:r w:rsidRPr="00DE12A3">
              <w:t xml:space="preserve"> = </w:t>
            </w:r>
            <w:r w:rsidRPr="00DE12A3">
              <w:rPr>
                <w:i/>
                <w:iCs/>
              </w:rPr>
              <w:t>ṁ</w:t>
            </w:r>
            <w:r w:rsidRPr="00DE12A3">
              <w:rPr>
                <w:vertAlign w:val="subscript"/>
              </w:rPr>
              <w:t>CO2</w:t>
            </w:r>
            <w:r w:rsidRPr="00DE12A3">
              <w:t xml:space="preserve">– </w:t>
            </w:r>
            <w:r w:rsidRPr="00DE12A3">
              <w:rPr>
                <w:i/>
                <w:iCs/>
              </w:rPr>
              <w:t>ṁ</w:t>
            </w:r>
            <w:r w:rsidRPr="00DE12A3">
              <w:rPr>
                <w:vertAlign w:val="subscript"/>
              </w:rPr>
              <w:t>CO2, fuel</w:t>
            </w:r>
          </w:p>
        </w:tc>
        <w:tc>
          <w:tcPr>
            <w:tcW w:w="900" w:type="dxa"/>
          </w:tcPr>
          <w:p w14:paraId="0D83E842" w14:textId="77777777" w:rsidR="009F4766" w:rsidRPr="00DE12A3" w:rsidRDefault="009F4766" w:rsidP="00681DA7">
            <w:pPr>
              <w:pStyle w:val="NormalLeft"/>
            </w:pPr>
            <w:r w:rsidRPr="00DE12A3">
              <w:t>(9-15)</w:t>
            </w:r>
          </w:p>
        </w:tc>
      </w:tr>
    </w:tbl>
    <w:p w14:paraId="62DB5F38" w14:textId="78ED5191" w:rsidR="003A7EF8" w:rsidRPr="00DE12A3" w:rsidRDefault="003A7EF8" w:rsidP="00681DA7">
      <w:pPr>
        <w:spacing w:before="120" w:after="120"/>
        <w:rPr>
          <w:rFonts w:cs="Times New Roman"/>
          <w:color w:val="auto"/>
        </w:rPr>
      </w:pPr>
    </w:p>
    <w:p w14:paraId="435F14FF" w14:textId="77777777" w:rsidR="003A7EF8" w:rsidRPr="00DE12A3" w:rsidRDefault="003A7EF8" w:rsidP="00681DA7">
      <w:pPr>
        <w:widowControl/>
        <w:rPr>
          <w:rFonts w:cs="Times New Roman"/>
          <w:color w:val="auto"/>
        </w:rPr>
      </w:pPr>
      <w:r w:rsidRPr="00DE12A3">
        <w:rPr>
          <w:rFonts w:cs="Times New Roman"/>
          <w:color w:val="auto"/>
        </w:rPr>
        <w:br w:type="page"/>
      </w:r>
    </w:p>
    <w:p w14:paraId="0D34DBB0" w14:textId="77777777" w:rsidR="00966A45" w:rsidRPr="00DE12A3" w:rsidRDefault="00966A45" w:rsidP="003A7EF8">
      <w:pPr>
        <w:pStyle w:val="Balk1"/>
        <w:rPr>
          <w:color w:val="auto"/>
        </w:rPr>
      </w:pPr>
      <w:r w:rsidRPr="00DE12A3">
        <w:rPr>
          <w:color w:val="auto"/>
        </w:rPr>
        <w:lastRenderedPageBreak/>
        <w:t>EK X</w:t>
      </w:r>
    </w:p>
    <w:p w14:paraId="3FDCB96B" w14:textId="77777777" w:rsidR="00966A45" w:rsidRPr="00DE12A3" w:rsidRDefault="00966A45" w:rsidP="00980275">
      <w:pPr>
        <w:pStyle w:val="Annexetitreacte"/>
        <w:spacing w:before="240" w:after="240"/>
        <w:rPr>
          <w:u w:val="none"/>
        </w:rPr>
      </w:pPr>
      <w:r w:rsidRPr="00DE12A3">
        <w:rPr>
          <w:u w:val="none"/>
        </w:rPr>
        <w:t xml:space="preserve">Bir motorun, egzoz </w:t>
      </w:r>
      <w:r w:rsidR="007E2039" w:rsidRPr="00DE12A3">
        <w:rPr>
          <w:u w:val="none"/>
        </w:rPr>
        <w:t xml:space="preserve">arıtma </w:t>
      </w:r>
      <w:r w:rsidRPr="00DE12A3">
        <w:rPr>
          <w:u w:val="none"/>
        </w:rPr>
        <w:t>sisteminden ayrı olarak teslim edilmesine ilişkin ayrıntılı teknik şartnameler ve koşullar</w:t>
      </w:r>
    </w:p>
    <w:p w14:paraId="11C2067B" w14:textId="77777777" w:rsidR="002C26E8" w:rsidRPr="00DE12A3" w:rsidRDefault="009F4766" w:rsidP="00980275">
      <w:pPr>
        <w:spacing w:before="240" w:after="240"/>
        <w:ind w:left="1134" w:hanging="1134"/>
        <w:jc w:val="both"/>
        <w:rPr>
          <w:rFonts w:cs="Times New Roman"/>
          <w:color w:val="auto"/>
        </w:rPr>
      </w:pPr>
      <w:r w:rsidRPr="00DE12A3">
        <w:rPr>
          <w:rFonts w:cs="Times New Roman"/>
          <w:color w:val="auto"/>
        </w:rPr>
        <w:t>1.</w:t>
      </w:r>
      <w:r w:rsidRPr="00DE12A3">
        <w:rPr>
          <w:rFonts w:cs="Times New Roman"/>
          <w:color w:val="auto"/>
        </w:rPr>
        <w:tab/>
      </w:r>
      <w:r w:rsidR="002C26E8" w:rsidRPr="00DE12A3">
        <w:rPr>
          <w:rFonts w:cs="Times New Roman"/>
          <w:color w:val="auto"/>
        </w:rPr>
        <w:t xml:space="preserve">2016/1628/AB   </w:t>
      </w:r>
      <w:r w:rsidR="0075111D" w:rsidRPr="00DE12A3">
        <w:rPr>
          <w:rFonts w:cs="Times New Roman"/>
          <w:color w:val="auto"/>
        </w:rPr>
        <w:t xml:space="preserve">Yönetmeliğinin 35 </w:t>
      </w:r>
      <w:r w:rsidR="002C26E8" w:rsidRPr="00DE12A3">
        <w:rPr>
          <w:rFonts w:cs="Times New Roman"/>
          <w:color w:val="auto"/>
        </w:rPr>
        <w:t xml:space="preserve">inci maddesinin üçüncü fıkrasında belirtilen ayrı sevkiyat, imalatçı ve motoru monte eden OEM ayrı tüzel kişilikler olduğunda ve motor, imalatçı tarafından bir yerden egzoz </w:t>
      </w:r>
      <w:r w:rsidR="007E2039" w:rsidRPr="00DE12A3">
        <w:rPr>
          <w:rFonts w:cs="Times New Roman"/>
          <w:color w:val="auto"/>
        </w:rPr>
        <w:t xml:space="preserve">arıtma </w:t>
      </w:r>
      <w:r w:rsidR="002C26E8" w:rsidRPr="00DE12A3">
        <w:rPr>
          <w:rFonts w:cs="Times New Roman"/>
          <w:color w:val="auto"/>
        </w:rPr>
        <w:t xml:space="preserve">sisteminden ayrı olarak sevk edildiğinde ve egzoz </w:t>
      </w:r>
      <w:r w:rsidR="007E2039" w:rsidRPr="00DE12A3">
        <w:rPr>
          <w:rFonts w:cs="Times New Roman"/>
          <w:color w:val="auto"/>
        </w:rPr>
        <w:t xml:space="preserve">arıtma </w:t>
      </w:r>
      <w:r w:rsidR="002C26E8" w:rsidRPr="00DE12A3">
        <w:rPr>
          <w:rFonts w:cs="Times New Roman"/>
          <w:color w:val="auto"/>
        </w:rPr>
        <w:t>sistemi farklı bir yerden ve/veya farklı bir zamanda teslim edildiğinde gerçekleşir.</w:t>
      </w:r>
    </w:p>
    <w:p w14:paraId="5B7F5088" w14:textId="4C96BA0D" w:rsidR="002C26E8" w:rsidRPr="00DE12A3" w:rsidRDefault="002C26E8" w:rsidP="00E20716">
      <w:pPr>
        <w:pStyle w:val="ListeParagraf"/>
        <w:numPr>
          <w:ilvl w:val="0"/>
          <w:numId w:val="462"/>
        </w:numPr>
        <w:spacing w:before="240" w:after="240"/>
        <w:jc w:val="both"/>
        <w:rPr>
          <w:rFonts w:cs="Times New Roman"/>
          <w:b/>
          <w:iCs/>
          <w:color w:val="auto"/>
        </w:rPr>
      </w:pPr>
      <w:r w:rsidRPr="00DE12A3">
        <w:rPr>
          <w:rFonts w:cs="Times New Roman"/>
          <w:b/>
          <w:i/>
          <w:iCs/>
          <w:color w:val="auto"/>
        </w:rPr>
        <w:t xml:space="preserve">      </w:t>
      </w:r>
      <w:r w:rsidRPr="00DE12A3">
        <w:rPr>
          <w:rFonts w:cs="Times New Roman"/>
          <w:b/>
          <w:iCs/>
          <w:color w:val="auto"/>
        </w:rPr>
        <w:t>Bu durumda, imalatçı</w:t>
      </w:r>
      <w:r w:rsidR="00343A91" w:rsidRPr="00DE12A3">
        <w:rPr>
          <w:rFonts w:cs="Times New Roman"/>
          <w:b/>
          <w:iCs/>
          <w:color w:val="auto"/>
        </w:rPr>
        <w:t>;</w:t>
      </w:r>
    </w:p>
    <w:p w14:paraId="45E232B0" w14:textId="4D6C66F4" w:rsidR="00872F0E" w:rsidRPr="00DE12A3" w:rsidRDefault="00872F0E" w:rsidP="00872F0E">
      <w:pPr>
        <w:spacing w:before="240" w:after="240"/>
        <w:jc w:val="both"/>
        <w:rPr>
          <w:rFonts w:cs="Times New Roman"/>
          <w:iCs/>
          <w:color w:val="auto"/>
        </w:rPr>
      </w:pPr>
      <w:r w:rsidRPr="00DE12A3">
        <w:rPr>
          <w:rFonts w:cs="Times New Roman"/>
          <w:iCs/>
          <w:color w:val="auto"/>
        </w:rPr>
        <w:t>2.1       Motorun piyasaya arzından ve onaylanmış motor tipine uygun hale getirilmesinden sorumlu kabul edilir</w:t>
      </w:r>
      <w:r w:rsidR="00343A91" w:rsidRPr="00DE12A3">
        <w:rPr>
          <w:rFonts w:cs="Times New Roman"/>
          <w:iCs/>
          <w:color w:val="auto"/>
        </w:rPr>
        <w:t>.</w:t>
      </w:r>
    </w:p>
    <w:p w14:paraId="21EC1314" w14:textId="77777777" w:rsidR="00872F0E" w:rsidRPr="00DE12A3" w:rsidRDefault="00872F0E" w:rsidP="00E20716">
      <w:pPr>
        <w:pStyle w:val="ListeParagraf"/>
        <w:numPr>
          <w:ilvl w:val="1"/>
          <w:numId w:val="462"/>
        </w:numPr>
        <w:spacing w:before="240" w:after="240"/>
        <w:jc w:val="both"/>
        <w:rPr>
          <w:rFonts w:cs="Times New Roman"/>
          <w:iCs/>
          <w:vanish/>
          <w:color w:val="auto"/>
        </w:rPr>
      </w:pPr>
    </w:p>
    <w:p w14:paraId="3E4165EC" w14:textId="52B67D80" w:rsidR="002C26E8" w:rsidRPr="00DE12A3" w:rsidRDefault="002C26E8" w:rsidP="00E20716">
      <w:pPr>
        <w:pStyle w:val="ListeParagraf"/>
        <w:numPr>
          <w:ilvl w:val="1"/>
          <w:numId w:val="462"/>
        </w:numPr>
        <w:spacing w:before="240" w:after="240"/>
        <w:jc w:val="both"/>
        <w:rPr>
          <w:rFonts w:cs="Times New Roman"/>
          <w:iCs/>
          <w:color w:val="auto"/>
        </w:rPr>
      </w:pPr>
      <w:r w:rsidRPr="00DE12A3">
        <w:rPr>
          <w:rFonts w:cs="Times New Roman"/>
          <w:iCs/>
          <w:color w:val="auto"/>
        </w:rPr>
        <w:t xml:space="preserve">      Motoru, OEM'e egzoz </w:t>
      </w:r>
      <w:r w:rsidR="007E2039" w:rsidRPr="00DE12A3">
        <w:rPr>
          <w:rFonts w:cs="Times New Roman"/>
          <w:iCs/>
          <w:color w:val="auto"/>
        </w:rPr>
        <w:t xml:space="preserve">arıtma </w:t>
      </w:r>
      <w:r w:rsidRPr="00DE12A3">
        <w:rPr>
          <w:rFonts w:cs="Times New Roman"/>
          <w:iCs/>
          <w:color w:val="auto"/>
        </w:rPr>
        <w:t>sisteminden ayrı olarak göndermeden önce, ayrı olarak sevk edilen parçalara ilişkin tüm siparişleri vermelidir</w:t>
      </w:r>
      <w:r w:rsidR="00343A91" w:rsidRPr="00DE12A3">
        <w:rPr>
          <w:rFonts w:cs="Times New Roman"/>
          <w:iCs/>
          <w:color w:val="auto"/>
        </w:rPr>
        <w:t>.</w:t>
      </w:r>
    </w:p>
    <w:p w14:paraId="6DEFD384" w14:textId="77777777" w:rsidR="002C26E8" w:rsidRPr="00DE12A3" w:rsidRDefault="002C26E8" w:rsidP="00E20716">
      <w:pPr>
        <w:pStyle w:val="ListeParagraf"/>
        <w:numPr>
          <w:ilvl w:val="1"/>
          <w:numId w:val="462"/>
        </w:numPr>
        <w:spacing w:before="240" w:after="240"/>
        <w:ind w:left="1134" w:hanging="1134"/>
        <w:jc w:val="both"/>
        <w:rPr>
          <w:rFonts w:cs="Times New Roman"/>
          <w:iCs/>
          <w:color w:val="auto"/>
        </w:rPr>
      </w:pPr>
      <w:r w:rsidRPr="00DE12A3">
        <w:rPr>
          <w:rFonts w:cs="Times New Roman"/>
          <w:iCs/>
          <w:color w:val="auto"/>
        </w:rPr>
        <w:t xml:space="preserve">       OEM'e, egzoz </w:t>
      </w:r>
      <w:r w:rsidR="007E2039" w:rsidRPr="00DE12A3">
        <w:rPr>
          <w:rFonts w:cs="Times New Roman"/>
          <w:iCs/>
          <w:color w:val="auto"/>
        </w:rPr>
        <w:t xml:space="preserve">arıtma </w:t>
      </w:r>
      <w:r w:rsidRPr="00DE12A3">
        <w:rPr>
          <w:rFonts w:cs="Times New Roman"/>
          <w:iCs/>
          <w:color w:val="auto"/>
        </w:rPr>
        <w:t>sistemi de dahil olmak üzere, motora ait montaj talimatlarını ve ayrı olarak gönderilen parçalara ait tanıtıcı işaretleri ve motorun onaylı motor tipine veya motor ailesine göre düzgün çalışıp çalışmadığını kontrol etmek için gerekli bilgileri hazırlamalıdır.</w:t>
      </w:r>
    </w:p>
    <w:p w14:paraId="2492656B" w14:textId="77777777" w:rsidR="002C26E8" w:rsidRPr="00DE12A3" w:rsidRDefault="002C26E8" w:rsidP="00980275">
      <w:pPr>
        <w:spacing w:before="240" w:after="240"/>
        <w:ind w:left="1134" w:hanging="1134"/>
        <w:jc w:val="both"/>
        <w:rPr>
          <w:rFonts w:cs="Times New Roman"/>
          <w:iCs/>
          <w:color w:val="auto"/>
        </w:rPr>
      </w:pPr>
      <w:r w:rsidRPr="00DE12A3">
        <w:rPr>
          <w:rFonts w:cs="Times New Roman"/>
          <w:iCs/>
          <w:color w:val="auto"/>
        </w:rPr>
        <w:t>2.4.             Aşağıdakilere ait kayıtları tutmalıdır:</w:t>
      </w:r>
    </w:p>
    <w:p w14:paraId="1F497418" w14:textId="3DF96FB1" w:rsidR="002C26E8" w:rsidRPr="00DE12A3" w:rsidRDefault="002C26E8" w:rsidP="00980275">
      <w:pPr>
        <w:spacing w:before="240" w:after="240"/>
        <w:ind w:left="1701" w:hanging="567"/>
        <w:jc w:val="both"/>
        <w:rPr>
          <w:rFonts w:cs="Times New Roman"/>
          <w:iCs/>
          <w:color w:val="auto"/>
        </w:rPr>
      </w:pPr>
      <w:r w:rsidRPr="00DE12A3">
        <w:rPr>
          <w:rFonts w:cs="Times New Roman"/>
          <w:iCs/>
          <w:color w:val="auto"/>
        </w:rPr>
        <w:t>(1)</w:t>
      </w:r>
      <w:r w:rsidRPr="00DE12A3">
        <w:rPr>
          <w:rFonts w:cs="Times New Roman"/>
          <w:iCs/>
          <w:color w:val="auto"/>
        </w:rPr>
        <w:tab/>
        <w:t>OEM'e sunulan talimatlar</w:t>
      </w:r>
      <w:r w:rsidR="00343A91" w:rsidRPr="00DE12A3">
        <w:rPr>
          <w:rFonts w:cs="Times New Roman"/>
          <w:iCs/>
          <w:color w:val="auto"/>
        </w:rPr>
        <w:t>.</w:t>
      </w:r>
    </w:p>
    <w:p w14:paraId="5FF7755D" w14:textId="253EAB20" w:rsidR="002C26E8" w:rsidRPr="00DE12A3" w:rsidRDefault="002C26E8" w:rsidP="00980275">
      <w:pPr>
        <w:spacing w:before="240" w:after="240"/>
        <w:ind w:left="1701" w:hanging="567"/>
        <w:jc w:val="both"/>
        <w:rPr>
          <w:rFonts w:cs="Times New Roman"/>
          <w:iCs/>
          <w:color w:val="auto"/>
        </w:rPr>
      </w:pPr>
      <w:r w:rsidRPr="00DE12A3">
        <w:rPr>
          <w:rFonts w:cs="Times New Roman"/>
          <w:iCs/>
          <w:color w:val="auto"/>
        </w:rPr>
        <w:t>(2)</w:t>
      </w:r>
      <w:r w:rsidRPr="00DE12A3">
        <w:rPr>
          <w:rFonts w:cs="Times New Roman"/>
          <w:iCs/>
          <w:color w:val="auto"/>
        </w:rPr>
        <w:tab/>
      </w:r>
      <w:r w:rsidR="007D252A" w:rsidRPr="00DE12A3">
        <w:rPr>
          <w:rFonts w:cs="Times New Roman"/>
          <w:iCs/>
          <w:color w:val="auto"/>
        </w:rPr>
        <w:t>A</w:t>
      </w:r>
      <w:r w:rsidRPr="00DE12A3">
        <w:rPr>
          <w:rFonts w:cs="Times New Roman"/>
          <w:iCs/>
          <w:color w:val="auto"/>
        </w:rPr>
        <w:t>yrı olarak teslim edilen tüm parçaların listesi</w:t>
      </w:r>
      <w:r w:rsidR="00343A91" w:rsidRPr="00DE12A3">
        <w:rPr>
          <w:rFonts w:cs="Times New Roman"/>
          <w:iCs/>
          <w:color w:val="auto"/>
        </w:rPr>
        <w:t>.</w:t>
      </w:r>
    </w:p>
    <w:p w14:paraId="335E56EA" w14:textId="19F9B646" w:rsidR="002C26E8" w:rsidRPr="00DE12A3" w:rsidRDefault="002C26E8" w:rsidP="00980275">
      <w:pPr>
        <w:spacing w:before="240" w:after="240"/>
        <w:ind w:left="1701" w:hanging="567"/>
        <w:jc w:val="both"/>
        <w:rPr>
          <w:rFonts w:cs="Times New Roman"/>
          <w:iCs/>
          <w:color w:val="auto"/>
        </w:rPr>
      </w:pPr>
      <w:r w:rsidRPr="00DE12A3">
        <w:rPr>
          <w:rFonts w:cs="Times New Roman"/>
          <w:iCs/>
          <w:color w:val="auto"/>
        </w:rPr>
        <w:t>(3)</w:t>
      </w:r>
      <w:r w:rsidRPr="00DE12A3">
        <w:rPr>
          <w:rFonts w:cs="Times New Roman"/>
          <w:iCs/>
          <w:color w:val="auto"/>
        </w:rPr>
        <w:tab/>
        <w:t xml:space="preserve">OEM'den geri gönderilen, teslim edilen motorların 3. </w:t>
      </w:r>
      <w:r w:rsidR="00A610FC" w:rsidRPr="00DE12A3">
        <w:rPr>
          <w:rFonts w:cs="Times New Roman"/>
          <w:iCs/>
          <w:color w:val="auto"/>
        </w:rPr>
        <w:t>Bölüm</w:t>
      </w:r>
      <w:r w:rsidRPr="00DE12A3">
        <w:rPr>
          <w:rFonts w:cs="Times New Roman"/>
          <w:iCs/>
          <w:color w:val="auto"/>
        </w:rPr>
        <w:t xml:space="preserve"> uyarınca uygun hale getirilmiş olduklarını onaylayan kayıtlar</w:t>
      </w:r>
      <w:r w:rsidR="00980275" w:rsidRPr="00DE12A3">
        <w:rPr>
          <w:rFonts w:cs="Times New Roman"/>
          <w:iCs/>
          <w:color w:val="auto"/>
        </w:rPr>
        <w:t>.</w:t>
      </w:r>
    </w:p>
    <w:p w14:paraId="45391896" w14:textId="7037AB96" w:rsidR="002C26E8" w:rsidRPr="00DE12A3" w:rsidRDefault="002C26E8" w:rsidP="00980275">
      <w:pPr>
        <w:spacing w:before="240" w:after="240"/>
        <w:ind w:left="1134" w:hanging="1134"/>
        <w:jc w:val="both"/>
        <w:rPr>
          <w:rFonts w:cs="Times New Roman"/>
          <w:iCs/>
          <w:color w:val="auto"/>
        </w:rPr>
      </w:pPr>
      <w:r w:rsidRPr="00DE12A3">
        <w:rPr>
          <w:rFonts w:cs="Times New Roman"/>
          <w:iCs/>
          <w:color w:val="auto"/>
        </w:rPr>
        <w:t>2.4.1           Bu kayıtları en az 10 yıl saklamalıdır</w:t>
      </w:r>
      <w:r w:rsidR="00343A91" w:rsidRPr="00DE12A3">
        <w:rPr>
          <w:rFonts w:cs="Times New Roman"/>
          <w:iCs/>
          <w:color w:val="auto"/>
        </w:rPr>
        <w:t>.</w:t>
      </w:r>
    </w:p>
    <w:p w14:paraId="3A711A91" w14:textId="77777777" w:rsidR="002C26E8" w:rsidRPr="00DE12A3" w:rsidRDefault="002C26E8" w:rsidP="00980275">
      <w:pPr>
        <w:spacing w:before="240" w:after="240"/>
        <w:ind w:left="1134" w:hanging="1134"/>
        <w:jc w:val="both"/>
        <w:rPr>
          <w:rFonts w:cs="Times New Roman"/>
          <w:iCs/>
          <w:color w:val="auto"/>
        </w:rPr>
      </w:pPr>
      <w:r w:rsidRPr="00DE12A3">
        <w:rPr>
          <w:rFonts w:cs="Times New Roman"/>
          <w:iCs/>
          <w:color w:val="auto"/>
        </w:rPr>
        <w:t xml:space="preserve">2.4.2.       Talep üzerine onay </w:t>
      </w:r>
      <w:r w:rsidR="00886888" w:rsidRPr="00DE12A3">
        <w:rPr>
          <w:rFonts w:cs="Times New Roman"/>
          <w:iCs/>
          <w:color w:val="auto"/>
        </w:rPr>
        <w:t>kuruluşuna,</w:t>
      </w:r>
      <w:r w:rsidRPr="00DE12A3">
        <w:rPr>
          <w:rFonts w:cs="Times New Roman"/>
          <w:iCs/>
          <w:color w:val="auto"/>
        </w:rPr>
        <w:t xml:space="preserve"> </w:t>
      </w:r>
      <w:r w:rsidR="00886888" w:rsidRPr="00DE12A3">
        <w:rPr>
          <w:rFonts w:cs="Times New Roman"/>
          <w:iCs/>
          <w:color w:val="auto"/>
        </w:rPr>
        <w:t>Bakanlığa veya</w:t>
      </w:r>
      <w:r w:rsidRPr="00DE12A3">
        <w:rPr>
          <w:rFonts w:cs="Times New Roman"/>
          <w:iCs/>
          <w:color w:val="auto"/>
        </w:rPr>
        <w:t xml:space="preserve"> piyasa gözetimi otoritelerine bu kayıtları sunmalıdır.</w:t>
      </w:r>
    </w:p>
    <w:p w14:paraId="201511FB" w14:textId="22BE85D7" w:rsidR="002C26E8" w:rsidRPr="00DE12A3" w:rsidRDefault="002C26E8" w:rsidP="00980275">
      <w:pPr>
        <w:tabs>
          <w:tab w:val="left" w:pos="1276"/>
        </w:tabs>
        <w:spacing w:before="240" w:after="240"/>
        <w:ind w:left="1134" w:hanging="1134"/>
        <w:jc w:val="both"/>
        <w:rPr>
          <w:rFonts w:cs="Times New Roman"/>
          <w:iCs/>
          <w:color w:val="auto"/>
        </w:rPr>
      </w:pPr>
      <w:r w:rsidRPr="00DE12A3">
        <w:rPr>
          <w:rFonts w:cs="Times New Roman"/>
          <w:iCs/>
          <w:color w:val="auto"/>
        </w:rPr>
        <w:t xml:space="preserve">2.5.        </w:t>
      </w:r>
      <w:r w:rsidR="00886888" w:rsidRPr="00DE12A3">
        <w:rPr>
          <w:rFonts w:cs="Times New Roman"/>
          <w:iCs/>
          <w:color w:val="auto"/>
        </w:rPr>
        <w:t xml:space="preserve">  </w:t>
      </w:r>
      <w:r w:rsidRPr="00DE12A3">
        <w:rPr>
          <w:rFonts w:cs="Times New Roman"/>
          <w:iCs/>
          <w:color w:val="auto"/>
        </w:rPr>
        <w:t>2016/1628/AB   Yönetmeliği</w:t>
      </w:r>
      <w:r w:rsidR="00211788" w:rsidRPr="00DE12A3">
        <w:rPr>
          <w:rFonts w:cs="Times New Roman"/>
          <w:iCs/>
          <w:color w:val="auto"/>
        </w:rPr>
        <w:t>nin</w:t>
      </w:r>
      <w:r w:rsidRPr="00DE12A3">
        <w:rPr>
          <w:rFonts w:cs="Times New Roman"/>
          <w:iCs/>
          <w:color w:val="auto"/>
        </w:rPr>
        <w:t xml:space="preserve">   33</w:t>
      </w:r>
      <w:r w:rsidR="00886888" w:rsidRPr="00DE12A3">
        <w:rPr>
          <w:rFonts w:cs="Times New Roman"/>
          <w:iCs/>
          <w:color w:val="auto"/>
        </w:rPr>
        <w:t xml:space="preserve"> </w:t>
      </w:r>
      <w:r w:rsidR="00560CDA" w:rsidRPr="00DE12A3">
        <w:rPr>
          <w:rFonts w:cs="Times New Roman"/>
          <w:iCs/>
          <w:color w:val="auto"/>
        </w:rPr>
        <w:t>üncü maddesinin</w:t>
      </w:r>
      <w:r w:rsidRPr="00DE12A3">
        <w:rPr>
          <w:rFonts w:cs="Times New Roman"/>
          <w:iCs/>
          <w:color w:val="auto"/>
        </w:rPr>
        <w:t xml:space="preserve"> gerektirdiği yasal işaretlerin yanı sıra, söz konusu Yönetmeliğin     34</w:t>
      </w:r>
      <w:r w:rsidR="00886888" w:rsidRPr="00DE12A3">
        <w:rPr>
          <w:rFonts w:cs="Times New Roman"/>
          <w:iCs/>
          <w:color w:val="auto"/>
        </w:rPr>
        <w:t xml:space="preserve"> </w:t>
      </w:r>
      <w:r w:rsidRPr="00DE12A3">
        <w:rPr>
          <w:rFonts w:cs="Times New Roman"/>
          <w:iCs/>
          <w:color w:val="auto"/>
        </w:rPr>
        <w:t>üncü maddesinin birinci fıkrası gereğince ve 2017/656/AB Tebliğin</w:t>
      </w:r>
      <w:r w:rsidR="00BB5D22" w:rsidRPr="00DE12A3">
        <w:rPr>
          <w:rFonts w:cs="Times New Roman"/>
          <w:iCs/>
          <w:color w:val="auto"/>
        </w:rPr>
        <w:t>in</w:t>
      </w:r>
      <w:r w:rsidRPr="00DE12A3">
        <w:rPr>
          <w:rFonts w:cs="Times New Roman"/>
          <w:iCs/>
          <w:color w:val="auto"/>
        </w:rPr>
        <w:t xml:space="preserve"> III</w:t>
      </w:r>
      <w:r w:rsidR="007D252A" w:rsidRPr="00DE12A3">
        <w:rPr>
          <w:rFonts w:cs="Times New Roman"/>
          <w:iCs/>
          <w:color w:val="auto"/>
        </w:rPr>
        <w:t xml:space="preserve">’üncü </w:t>
      </w:r>
      <w:r w:rsidR="00EC3EF0" w:rsidRPr="00DE12A3">
        <w:rPr>
          <w:rFonts w:cs="Times New Roman"/>
          <w:iCs/>
          <w:color w:val="auto"/>
        </w:rPr>
        <w:t>Ekinde</w:t>
      </w:r>
      <w:r w:rsidRPr="00DE12A3">
        <w:rPr>
          <w:rFonts w:cs="Times New Roman"/>
          <w:iCs/>
          <w:color w:val="auto"/>
        </w:rPr>
        <w:t xml:space="preserve"> belirtilen hükümler uyarınca, </w:t>
      </w:r>
      <w:r w:rsidR="007E2039" w:rsidRPr="00DE12A3">
        <w:rPr>
          <w:rFonts w:cs="Times New Roman"/>
          <w:iCs/>
          <w:color w:val="auto"/>
        </w:rPr>
        <w:t xml:space="preserve">arıtma </w:t>
      </w:r>
      <w:r w:rsidRPr="00DE12A3">
        <w:rPr>
          <w:rFonts w:cs="Times New Roman"/>
          <w:iCs/>
          <w:color w:val="auto"/>
        </w:rPr>
        <w:t>sistemi olmayan motora geçici bir işaret yapıştırılmasını sağlamalıdır.</w:t>
      </w:r>
    </w:p>
    <w:p w14:paraId="635F93D6" w14:textId="77777777" w:rsidR="002C26E8" w:rsidRPr="00DE12A3" w:rsidRDefault="002C26E8" w:rsidP="00980275">
      <w:pPr>
        <w:spacing w:before="240" w:after="240"/>
        <w:ind w:left="1134" w:hanging="1134"/>
        <w:jc w:val="both"/>
        <w:rPr>
          <w:rFonts w:cs="Times New Roman"/>
          <w:iCs/>
          <w:color w:val="auto"/>
        </w:rPr>
      </w:pPr>
      <w:r w:rsidRPr="00DE12A3">
        <w:rPr>
          <w:rFonts w:cs="Times New Roman"/>
          <w:iCs/>
          <w:color w:val="auto"/>
        </w:rPr>
        <w:t>2.6.       Motorlardan ayrı olarak gönderilen parçaların tanıtıcı işaretlere (örneğin parça numaralarına) sahip olmasını sağlamalıdır.</w:t>
      </w:r>
    </w:p>
    <w:p w14:paraId="64B767C9" w14:textId="022155C3" w:rsidR="002C26E8" w:rsidRPr="00DE12A3" w:rsidRDefault="002C26E8" w:rsidP="00980275">
      <w:pPr>
        <w:tabs>
          <w:tab w:val="left" w:pos="0"/>
          <w:tab w:val="left" w:pos="567"/>
        </w:tabs>
        <w:spacing w:before="240" w:after="240"/>
        <w:ind w:left="1134" w:hanging="1134"/>
        <w:jc w:val="both"/>
        <w:rPr>
          <w:rFonts w:cs="Times New Roman"/>
          <w:iCs/>
          <w:color w:val="auto"/>
        </w:rPr>
      </w:pPr>
      <w:r w:rsidRPr="00DE12A3">
        <w:rPr>
          <w:rFonts w:cs="Times New Roman"/>
          <w:iCs/>
          <w:color w:val="auto"/>
        </w:rPr>
        <w:t xml:space="preserve">2.7.    </w:t>
      </w:r>
      <w:r w:rsidR="00886888" w:rsidRPr="00DE12A3">
        <w:rPr>
          <w:rFonts w:cs="Times New Roman"/>
          <w:iCs/>
          <w:color w:val="auto"/>
        </w:rPr>
        <w:t xml:space="preserve"> </w:t>
      </w:r>
      <w:r w:rsidRPr="00DE12A3">
        <w:rPr>
          <w:rFonts w:cs="Times New Roman"/>
          <w:iCs/>
          <w:color w:val="auto"/>
        </w:rPr>
        <w:t xml:space="preserve"> </w:t>
      </w:r>
      <w:r w:rsidR="00886888" w:rsidRPr="00DE12A3">
        <w:rPr>
          <w:rFonts w:cs="Times New Roman"/>
          <w:iCs/>
          <w:color w:val="auto"/>
        </w:rPr>
        <w:t xml:space="preserve"> </w:t>
      </w:r>
      <w:r w:rsidR="00980275" w:rsidRPr="00DE12A3">
        <w:rPr>
          <w:rFonts w:cs="Times New Roman"/>
          <w:iCs/>
          <w:color w:val="auto"/>
        </w:rPr>
        <w:t xml:space="preserve">     </w:t>
      </w:r>
      <w:r w:rsidRPr="00DE12A3">
        <w:rPr>
          <w:rFonts w:cs="Times New Roman"/>
          <w:iCs/>
          <w:color w:val="auto"/>
        </w:rPr>
        <w:t xml:space="preserve">Bir geçiş motoru durumunda, motorun (egzoz </w:t>
      </w:r>
      <w:r w:rsidR="007E2039" w:rsidRPr="00DE12A3">
        <w:rPr>
          <w:rFonts w:cs="Times New Roman"/>
          <w:iCs/>
          <w:color w:val="auto"/>
        </w:rPr>
        <w:t xml:space="preserve">arıtma </w:t>
      </w:r>
      <w:r w:rsidRPr="00DE12A3">
        <w:rPr>
          <w:rFonts w:cs="Times New Roman"/>
          <w:iCs/>
          <w:color w:val="auto"/>
        </w:rPr>
        <w:t>sistemi dahil), 2016/1628/AB   Yönetmeliği    III</w:t>
      </w:r>
      <w:r w:rsidR="00EC3EF0" w:rsidRPr="00DE12A3">
        <w:rPr>
          <w:rFonts w:cs="Times New Roman"/>
          <w:iCs/>
          <w:color w:val="auto"/>
        </w:rPr>
        <w:t>’üncü</w:t>
      </w:r>
      <w:r w:rsidRPr="00DE12A3">
        <w:rPr>
          <w:rFonts w:cs="Times New Roman"/>
          <w:iCs/>
          <w:color w:val="auto"/>
        </w:rPr>
        <w:t xml:space="preserve"> Ekinde belirtilen motorların, </w:t>
      </w:r>
      <w:r w:rsidR="00343A91" w:rsidRPr="00DE12A3">
        <w:rPr>
          <w:rFonts w:cs="Times New Roman"/>
          <w:iCs/>
          <w:color w:val="auto"/>
        </w:rPr>
        <w:t xml:space="preserve">anılan </w:t>
      </w:r>
      <w:r w:rsidR="00A84241" w:rsidRPr="00DE12A3">
        <w:rPr>
          <w:rFonts w:cs="Times New Roman"/>
          <w:iCs/>
          <w:color w:val="auto"/>
        </w:rPr>
        <w:t xml:space="preserve">Yönetmeliğin </w:t>
      </w:r>
      <w:r w:rsidR="00274519" w:rsidRPr="00DE12A3">
        <w:rPr>
          <w:rFonts w:cs="Times New Roman"/>
          <w:iCs/>
          <w:color w:val="auto"/>
        </w:rPr>
        <w:t>4 üncü</w:t>
      </w:r>
      <w:r w:rsidR="00560CDA" w:rsidRPr="00DE12A3">
        <w:rPr>
          <w:rFonts w:cs="Times New Roman"/>
          <w:iCs/>
          <w:color w:val="auto"/>
        </w:rPr>
        <w:t xml:space="preserve"> </w:t>
      </w:r>
      <w:r w:rsidR="00B76C5F" w:rsidRPr="00DE12A3">
        <w:rPr>
          <w:rFonts w:cs="Times New Roman"/>
          <w:iCs/>
          <w:color w:val="auto"/>
        </w:rPr>
        <w:t>maddesi</w:t>
      </w:r>
      <w:r w:rsidR="00274519" w:rsidRPr="00DE12A3">
        <w:rPr>
          <w:rFonts w:cs="Times New Roman"/>
          <w:iCs/>
          <w:color w:val="auto"/>
        </w:rPr>
        <w:t>nin</w:t>
      </w:r>
      <w:r w:rsidR="00255910" w:rsidRPr="00DE12A3">
        <w:rPr>
          <w:rFonts w:cs="Times New Roman"/>
          <w:iCs/>
          <w:color w:val="auto"/>
        </w:rPr>
        <w:t xml:space="preserve"> birinci fıkrası</w:t>
      </w:r>
      <w:r w:rsidR="00343A91" w:rsidRPr="00DE12A3">
        <w:rPr>
          <w:rFonts w:cs="Times New Roman"/>
          <w:iCs/>
          <w:color w:val="auto"/>
        </w:rPr>
        <w:t>nın</w:t>
      </w:r>
      <w:r w:rsidR="00B76C5F" w:rsidRPr="00DE12A3">
        <w:rPr>
          <w:rFonts w:cs="Times New Roman"/>
          <w:iCs/>
          <w:color w:val="auto"/>
        </w:rPr>
        <w:t xml:space="preserve"> (</w:t>
      </w:r>
      <w:r w:rsidR="00A84241" w:rsidRPr="00DE12A3">
        <w:rPr>
          <w:rFonts w:cs="Times New Roman"/>
          <w:iCs/>
          <w:color w:val="auto"/>
        </w:rPr>
        <w:t>ü), (</w:t>
      </w:r>
      <w:r w:rsidR="00B76C5F" w:rsidRPr="00DE12A3">
        <w:rPr>
          <w:rFonts w:cs="Times New Roman"/>
          <w:iCs/>
          <w:color w:val="auto"/>
        </w:rPr>
        <w:t xml:space="preserve">oo) </w:t>
      </w:r>
      <w:r w:rsidR="00343A91" w:rsidRPr="00DE12A3">
        <w:rPr>
          <w:rFonts w:cs="Times New Roman"/>
          <w:iCs/>
          <w:color w:val="auto"/>
        </w:rPr>
        <w:t xml:space="preserve">bentleri </w:t>
      </w:r>
      <w:r w:rsidR="00B76C5F" w:rsidRPr="00DE12A3">
        <w:rPr>
          <w:rFonts w:cs="Times New Roman"/>
          <w:iCs/>
          <w:color w:val="auto"/>
        </w:rPr>
        <w:t>gereğince</w:t>
      </w:r>
      <w:r w:rsidRPr="00DE12A3">
        <w:rPr>
          <w:rFonts w:cs="Times New Roman"/>
          <w:iCs/>
          <w:color w:val="auto"/>
        </w:rPr>
        <w:t xml:space="preserve"> motor üretim tarihinin, piyasaya sürülme tarihinden önce olduğundan emin olmalıdır.</w:t>
      </w:r>
    </w:p>
    <w:p w14:paraId="6B156B33" w14:textId="77777777" w:rsidR="002C26E8" w:rsidRPr="00DE12A3" w:rsidRDefault="002C26E8" w:rsidP="00980275">
      <w:pPr>
        <w:spacing w:before="240" w:after="240"/>
        <w:ind w:left="1134" w:hanging="1134"/>
        <w:jc w:val="both"/>
        <w:rPr>
          <w:rFonts w:cs="Times New Roman"/>
          <w:iCs/>
          <w:color w:val="auto"/>
        </w:rPr>
      </w:pPr>
      <w:r w:rsidRPr="00DE12A3">
        <w:rPr>
          <w:rFonts w:cs="Times New Roman"/>
          <w:iCs/>
          <w:color w:val="auto"/>
        </w:rPr>
        <w:t xml:space="preserve">2.7.1       </w:t>
      </w:r>
      <w:r w:rsidR="00980275" w:rsidRPr="00DE12A3">
        <w:rPr>
          <w:rFonts w:cs="Times New Roman"/>
          <w:iCs/>
          <w:color w:val="auto"/>
        </w:rPr>
        <w:t>2.</w:t>
      </w:r>
      <w:r w:rsidRPr="00DE12A3">
        <w:rPr>
          <w:rFonts w:cs="Times New Roman"/>
          <w:iCs/>
          <w:color w:val="auto"/>
        </w:rPr>
        <w:t xml:space="preserve">4 bendinde belirtilen kayıtlar, bir geçiş motorunun parçası olan egzoz </w:t>
      </w:r>
      <w:r w:rsidR="007E2039" w:rsidRPr="00DE12A3">
        <w:rPr>
          <w:rFonts w:cs="Times New Roman"/>
          <w:iCs/>
          <w:color w:val="auto"/>
        </w:rPr>
        <w:t xml:space="preserve">arıtma </w:t>
      </w:r>
      <w:r w:rsidRPr="00DE12A3">
        <w:rPr>
          <w:rFonts w:cs="Times New Roman"/>
          <w:iCs/>
          <w:color w:val="auto"/>
        </w:rPr>
        <w:t xml:space="preserve">sisteminin, üretim tarihinin egzoz </w:t>
      </w:r>
      <w:r w:rsidR="007E2039" w:rsidRPr="00DE12A3">
        <w:rPr>
          <w:rFonts w:cs="Times New Roman"/>
          <w:iCs/>
          <w:color w:val="auto"/>
        </w:rPr>
        <w:t xml:space="preserve">arıtma </w:t>
      </w:r>
      <w:r w:rsidRPr="00DE12A3">
        <w:rPr>
          <w:rFonts w:cs="Times New Roman"/>
          <w:iCs/>
          <w:color w:val="auto"/>
        </w:rPr>
        <w:t>sistemi üzerindeki işaretten açıkça görülmemesi durumunda, söz konusu tarihten önce üretildiğine dair kanıtı içermelidir.</w:t>
      </w:r>
    </w:p>
    <w:p w14:paraId="3871E9E5" w14:textId="77777777" w:rsidR="002C26E8" w:rsidRPr="00DE12A3" w:rsidRDefault="002C26E8" w:rsidP="00980275">
      <w:pPr>
        <w:spacing w:before="240" w:after="240"/>
        <w:ind w:left="1134" w:hanging="1134"/>
        <w:jc w:val="both"/>
        <w:rPr>
          <w:rFonts w:cs="Times New Roman"/>
          <w:b/>
          <w:iCs/>
          <w:color w:val="auto"/>
        </w:rPr>
      </w:pPr>
      <w:r w:rsidRPr="00DE12A3">
        <w:rPr>
          <w:rFonts w:cs="Times New Roman"/>
          <w:b/>
          <w:iCs/>
          <w:color w:val="auto"/>
        </w:rPr>
        <w:lastRenderedPageBreak/>
        <w:t>3.                 OEM:</w:t>
      </w:r>
    </w:p>
    <w:p w14:paraId="0526C2C6" w14:textId="77777777" w:rsidR="002C26E8" w:rsidRPr="00DE12A3" w:rsidRDefault="002C26E8" w:rsidP="00980275">
      <w:pPr>
        <w:spacing w:before="240" w:after="240"/>
        <w:ind w:left="1134" w:hanging="1134"/>
        <w:jc w:val="both"/>
        <w:rPr>
          <w:rFonts w:cs="Times New Roman"/>
          <w:iCs/>
          <w:color w:val="auto"/>
        </w:rPr>
      </w:pPr>
      <w:r w:rsidRPr="00DE12A3">
        <w:rPr>
          <w:rFonts w:cs="Times New Roman"/>
          <w:iCs/>
          <w:color w:val="auto"/>
        </w:rPr>
        <w:t>3. 1.           Alınan talimatlara göre motorun onaylanan motor tipine veya motor ailesine uygun olduğunu ve monte edilen motorun onaylanan motor tipine göre düzgün çalışmasını sağlamak için gerekli tüm kontrollerin yapıldığını imalatçıya onaylamalıdır.</w:t>
      </w:r>
    </w:p>
    <w:p w14:paraId="3B0ACB78" w14:textId="77777777" w:rsidR="002C26E8" w:rsidRPr="00DE12A3" w:rsidRDefault="002C26E8" w:rsidP="00980275">
      <w:pPr>
        <w:spacing w:before="240" w:after="240"/>
        <w:ind w:left="1134" w:hanging="1134"/>
        <w:jc w:val="both"/>
        <w:rPr>
          <w:rFonts w:cs="Times New Roman"/>
          <w:iCs/>
          <w:color w:val="auto"/>
        </w:rPr>
      </w:pPr>
      <w:r w:rsidRPr="00DE12A3">
        <w:rPr>
          <w:rFonts w:cs="Times New Roman"/>
          <w:iCs/>
          <w:color w:val="auto"/>
        </w:rPr>
        <w:t>3.2.             Bir OEM, bir imalatçıdan düzenli bir motor arzı aldığında, 3.1 bendinde belirtilen onay, taraflar arasında kararlaştırılan, ancak bir yılı geçmeyen düzenli aralıklarla sağlanabilir.</w:t>
      </w:r>
    </w:p>
    <w:p w14:paraId="282C9482" w14:textId="0DB16969" w:rsidR="003A7EF8" w:rsidRPr="00DE12A3" w:rsidRDefault="003A7EF8">
      <w:pPr>
        <w:widowControl/>
        <w:rPr>
          <w:color w:val="auto"/>
        </w:rPr>
      </w:pPr>
      <w:r w:rsidRPr="00DE12A3">
        <w:rPr>
          <w:color w:val="auto"/>
        </w:rPr>
        <w:br w:type="page"/>
      </w:r>
    </w:p>
    <w:p w14:paraId="228274EB" w14:textId="77777777" w:rsidR="00886888" w:rsidRPr="00DE12A3" w:rsidRDefault="00886888" w:rsidP="003A7EF8">
      <w:pPr>
        <w:pStyle w:val="Balk1"/>
        <w:rPr>
          <w:color w:val="auto"/>
        </w:rPr>
      </w:pPr>
      <w:r w:rsidRPr="00DE12A3">
        <w:rPr>
          <w:rStyle w:val="Resimyazs210ptbolukbraklyor"/>
          <w:i w:val="0"/>
          <w:iCs/>
          <w:color w:val="auto"/>
          <w:spacing w:val="-6"/>
          <w:sz w:val="24"/>
          <w:szCs w:val="24"/>
          <w:lang w:val="tr-TR"/>
        </w:rPr>
        <w:lastRenderedPageBreak/>
        <w:t>EK XI</w:t>
      </w:r>
    </w:p>
    <w:p w14:paraId="01CC29FA" w14:textId="77777777" w:rsidR="00886888" w:rsidRPr="00DE12A3" w:rsidRDefault="00886888" w:rsidP="00C917D6">
      <w:pPr>
        <w:pStyle w:val="Gvdemetni50"/>
        <w:shd w:val="clear" w:color="auto" w:fill="auto"/>
        <w:spacing w:before="120" w:after="120" w:line="240" w:lineRule="auto"/>
        <w:jc w:val="center"/>
        <w:rPr>
          <w:sz w:val="24"/>
          <w:szCs w:val="24"/>
        </w:rPr>
      </w:pPr>
      <w:r w:rsidRPr="00DE12A3">
        <w:rPr>
          <w:rFonts w:eastAsia="Courier New"/>
          <w:bCs w:val="0"/>
          <w:spacing w:val="0"/>
          <w:sz w:val="24"/>
          <w:szCs w:val="24"/>
        </w:rPr>
        <w:t>Saha testi amacıyla geçici olarak piyasaya arza ilişkin ayrıntılı teknik şartnameler ve koşullar</w:t>
      </w:r>
    </w:p>
    <w:p w14:paraId="1072FDB1" w14:textId="53E3C659" w:rsidR="00886888" w:rsidRPr="00DE12A3" w:rsidRDefault="00886888" w:rsidP="00471D54">
      <w:pPr>
        <w:pStyle w:val="Gvdemetni250"/>
        <w:shd w:val="clear" w:color="auto" w:fill="auto"/>
        <w:spacing w:before="120" w:after="120" w:line="240" w:lineRule="auto"/>
        <w:ind w:left="142" w:right="-2" w:firstLine="0"/>
        <w:rPr>
          <w:sz w:val="24"/>
          <w:szCs w:val="24"/>
        </w:rPr>
      </w:pPr>
      <w:r w:rsidRPr="00DE12A3">
        <w:rPr>
          <w:rFonts w:eastAsia="Courier New"/>
          <w:spacing w:val="0"/>
          <w:sz w:val="24"/>
          <w:szCs w:val="24"/>
        </w:rPr>
        <w:t>Aşağıdaki koşullar, 2016/1628/AB   Yönetmeliğinin</w:t>
      </w:r>
      <w:r w:rsidR="002A548C" w:rsidRPr="00DE12A3">
        <w:rPr>
          <w:rFonts w:eastAsia="Courier New"/>
          <w:spacing w:val="0"/>
          <w:sz w:val="24"/>
          <w:szCs w:val="24"/>
        </w:rPr>
        <w:t xml:space="preserve"> </w:t>
      </w:r>
      <w:r w:rsidRPr="00DE12A3">
        <w:rPr>
          <w:rFonts w:eastAsia="Courier New"/>
          <w:spacing w:val="0"/>
          <w:sz w:val="24"/>
          <w:szCs w:val="24"/>
        </w:rPr>
        <w:t xml:space="preserve">35 inci maddesinin </w:t>
      </w:r>
      <w:r w:rsidR="00274519" w:rsidRPr="00DE12A3">
        <w:rPr>
          <w:rFonts w:eastAsia="Courier New"/>
          <w:spacing w:val="0"/>
          <w:sz w:val="24"/>
          <w:szCs w:val="24"/>
        </w:rPr>
        <w:t>4 üncü</w:t>
      </w:r>
      <w:r w:rsidRPr="00DE12A3">
        <w:rPr>
          <w:rFonts w:eastAsia="Courier New"/>
          <w:spacing w:val="0"/>
          <w:sz w:val="24"/>
          <w:szCs w:val="24"/>
        </w:rPr>
        <w:t xml:space="preserve"> fı</w:t>
      </w:r>
      <w:r w:rsidR="0099786D" w:rsidRPr="00DE12A3">
        <w:rPr>
          <w:rFonts w:eastAsia="Courier New"/>
          <w:spacing w:val="0"/>
          <w:sz w:val="24"/>
          <w:szCs w:val="24"/>
        </w:rPr>
        <w:t>k</w:t>
      </w:r>
      <w:r w:rsidRPr="00DE12A3">
        <w:rPr>
          <w:rFonts w:eastAsia="Courier New"/>
          <w:spacing w:val="0"/>
          <w:sz w:val="24"/>
          <w:szCs w:val="24"/>
        </w:rPr>
        <w:t>rası uyarınca saha testi yapılması amacıyla motorların geçici olarak piyasaya sürülmesi için uygulanır</w:t>
      </w:r>
      <w:r w:rsidRPr="00DE12A3">
        <w:rPr>
          <w:sz w:val="24"/>
          <w:szCs w:val="24"/>
        </w:rPr>
        <w:t>:</w:t>
      </w:r>
    </w:p>
    <w:p w14:paraId="267B26AD" w14:textId="643D1A20" w:rsidR="00886888" w:rsidRPr="00DE12A3" w:rsidRDefault="00886888" w:rsidP="00471D54">
      <w:pPr>
        <w:pStyle w:val="Gvdemetni250"/>
        <w:shd w:val="clear" w:color="auto" w:fill="auto"/>
        <w:spacing w:before="120" w:after="120" w:line="240" w:lineRule="auto"/>
        <w:ind w:left="142" w:right="-2" w:firstLine="0"/>
        <w:rPr>
          <w:sz w:val="24"/>
          <w:szCs w:val="24"/>
        </w:rPr>
      </w:pPr>
      <w:r w:rsidRPr="00DE12A3">
        <w:rPr>
          <w:rFonts w:eastAsia="Courier New"/>
          <w:spacing w:val="0"/>
          <w:sz w:val="24"/>
          <w:szCs w:val="24"/>
        </w:rPr>
        <w:t xml:space="preserve">1.  </w:t>
      </w:r>
      <w:r w:rsidR="00471D54" w:rsidRPr="00DE12A3">
        <w:rPr>
          <w:rFonts w:eastAsia="Courier New"/>
          <w:spacing w:val="0"/>
          <w:sz w:val="24"/>
          <w:szCs w:val="24"/>
        </w:rPr>
        <w:t xml:space="preserve"> </w:t>
      </w:r>
      <w:r w:rsidRPr="00DE12A3">
        <w:rPr>
          <w:rFonts w:eastAsia="Courier New"/>
          <w:spacing w:val="0"/>
          <w:sz w:val="24"/>
          <w:szCs w:val="24"/>
        </w:rPr>
        <w:t xml:space="preserve"> </w:t>
      </w:r>
      <w:r w:rsidR="00471D54" w:rsidRPr="00DE12A3">
        <w:rPr>
          <w:rFonts w:eastAsia="Courier New"/>
          <w:spacing w:val="0"/>
          <w:sz w:val="24"/>
          <w:szCs w:val="24"/>
        </w:rPr>
        <w:t xml:space="preserve"> </w:t>
      </w:r>
      <w:r w:rsidRPr="00DE12A3">
        <w:rPr>
          <w:rFonts w:eastAsia="Courier New"/>
          <w:spacing w:val="0"/>
          <w:sz w:val="24"/>
          <w:szCs w:val="24"/>
        </w:rPr>
        <w:t xml:space="preserve">Motorun mülkiyeti, </w:t>
      </w:r>
      <w:r w:rsidR="002A548C" w:rsidRPr="00DE12A3">
        <w:rPr>
          <w:rFonts w:eastAsia="Courier New"/>
          <w:spacing w:val="0"/>
          <w:sz w:val="24"/>
          <w:szCs w:val="24"/>
        </w:rPr>
        <w:t>5. bentte</w:t>
      </w:r>
      <w:r w:rsidRPr="00DE12A3">
        <w:rPr>
          <w:rFonts w:eastAsia="Courier New"/>
          <w:spacing w:val="0"/>
          <w:sz w:val="24"/>
          <w:szCs w:val="24"/>
        </w:rPr>
        <w:t xml:space="preserve"> belirtilen prosedür tamamlanıncaya kadar imalatçıda kalır. Bu, OEM veya test prosedürüne katılan son kullanıcılarla bir finansal düzenleme yapılmasını engellemez.</w:t>
      </w:r>
    </w:p>
    <w:p w14:paraId="5D878E3E" w14:textId="4883DB9F" w:rsidR="00886888" w:rsidRPr="00DE12A3" w:rsidRDefault="00886888" w:rsidP="00471D54">
      <w:pPr>
        <w:pStyle w:val="Gvdemetni250"/>
        <w:shd w:val="clear" w:color="auto" w:fill="auto"/>
        <w:spacing w:before="120" w:after="120" w:line="240" w:lineRule="auto"/>
        <w:ind w:left="142" w:right="-2" w:firstLine="0"/>
        <w:rPr>
          <w:sz w:val="24"/>
          <w:szCs w:val="24"/>
        </w:rPr>
      </w:pPr>
      <w:r w:rsidRPr="00DE12A3">
        <w:rPr>
          <w:sz w:val="24"/>
          <w:szCs w:val="24"/>
        </w:rPr>
        <w:t xml:space="preserve">2. </w:t>
      </w:r>
      <w:r w:rsidR="00471D54" w:rsidRPr="00DE12A3">
        <w:rPr>
          <w:sz w:val="24"/>
          <w:szCs w:val="24"/>
        </w:rPr>
        <w:t xml:space="preserve"> </w:t>
      </w:r>
      <w:r w:rsidRPr="00DE12A3">
        <w:rPr>
          <w:sz w:val="24"/>
          <w:szCs w:val="24"/>
        </w:rPr>
        <w:t xml:space="preserve">İmalatçı, motoru piyasaya sürmeden önce, adını veya ticari markasını, motorun benzersiz motor kimlik numarasını, motorun üretim tarihini, motorun emisyon performansı ve OEM veya test prosedürüne katılan son kullanıcılar ile ilgili bilgileri belirterek bir </w:t>
      </w:r>
      <w:r w:rsidR="002A548C" w:rsidRPr="00DE12A3">
        <w:rPr>
          <w:sz w:val="24"/>
          <w:szCs w:val="24"/>
        </w:rPr>
        <w:t>ü</w:t>
      </w:r>
      <w:r w:rsidRPr="00DE12A3">
        <w:rPr>
          <w:sz w:val="24"/>
          <w:szCs w:val="24"/>
        </w:rPr>
        <w:t xml:space="preserve">ye </w:t>
      </w:r>
      <w:r w:rsidR="002A548C" w:rsidRPr="00DE12A3">
        <w:rPr>
          <w:sz w:val="24"/>
          <w:szCs w:val="24"/>
        </w:rPr>
        <w:t>d</w:t>
      </w:r>
      <w:r w:rsidRPr="00DE12A3">
        <w:rPr>
          <w:sz w:val="24"/>
          <w:szCs w:val="24"/>
        </w:rPr>
        <w:t>evletin onay kuruluşunu bilgilendirmelidir.</w:t>
      </w:r>
    </w:p>
    <w:p w14:paraId="3468C0BB" w14:textId="177464F2" w:rsidR="00886888" w:rsidRPr="00DE12A3" w:rsidRDefault="00886888" w:rsidP="00471D54">
      <w:pPr>
        <w:pStyle w:val="Gvdemetni250"/>
        <w:shd w:val="clear" w:color="auto" w:fill="auto"/>
        <w:tabs>
          <w:tab w:val="left" w:pos="1276"/>
        </w:tabs>
        <w:spacing w:before="120" w:after="120" w:line="240" w:lineRule="auto"/>
        <w:ind w:left="142" w:right="-2" w:firstLine="0"/>
        <w:rPr>
          <w:sz w:val="24"/>
          <w:szCs w:val="24"/>
        </w:rPr>
      </w:pPr>
      <w:r w:rsidRPr="00DE12A3">
        <w:rPr>
          <w:rFonts w:eastAsia="Courier New"/>
          <w:spacing w:val="0"/>
          <w:sz w:val="24"/>
          <w:szCs w:val="24"/>
        </w:rPr>
        <w:t>3.  Motorla beraber imalatçı tarafından verilen ve 2017/656/AB Tebliği</w:t>
      </w:r>
      <w:r w:rsidR="001B6225" w:rsidRPr="00DE12A3">
        <w:rPr>
          <w:rFonts w:eastAsia="Courier New"/>
          <w:spacing w:val="0"/>
          <w:sz w:val="24"/>
          <w:szCs w:val="24"/>
        </w:rPr>
        <w:t>nin</w:t>
      </w:r>
      <w:r w:rsidRPr="00DE12A3">
        <w:rPr>
          <w:rFonts w:eastAsia="Courier New"/>
          <w:spacing w:val="0"/>
          <w:sz w:val="24"/>
          <w:szCs w:val="24"/>
        </w:rPr>
        <w:t xml:space="preserve"> II’</w:t>
      </w:r>
      <w:r w:rsidR="00195051" w:rsidRPr="00DE12A3">
        <w:rPr>
          <w:rFonts w:eastAsia="Courier New"/>
          <w:spacing w:val="0"/>
          <w:sz w:val="24"/>
          <w:szCs w:val="24"/>
        </w:rPr>
        <w:t>nci</w:t>
      </w:r>
      <w:r w:rsidRPr="00DE12A3">
        <w:rPr>
          <w:rFonts w:eastAsia="Courier New"/>
          <w:spacing w:val="0"/>
          <w:sz w:val="24"/>
          <w:szCs w:val="24"/>
        </w:rPr>
        <w:t xml:space="preserve"> </w:t>
      </w:r>
      <w:r w:rsidR="00EC3EF0" w:rsidRPr="00DE12A3">
        <w:rPr>
          <w:rFonts w:eastAsia="Courier New"/>
          <w:spacing w:val="0"/>
          <w:sz w:val="24"/>
          <w:szCs w:val="24"/>
        </w:rPr>
        <w:t>Ekinde</w:t>
      </w:r>
      <w:r w:rsidRPr="00DE12A3">
        <w:rPr>
          <w:rFonts w:eastAsia="Courier New"/>
          <w:spacing w:val="0"/>
          <w:sz w:val="24"/>
          <w:szCs w:val="24"/>
        </w:rPr>
        <w:t xml:space="preserve"> belirtilen hükümlerle uyumlu bir uygunluk beyanı teslim edilmelidir; bu uygunluk beyanında özellikle 2016/1628/AB   Yönetmeliği</w:t>
      </w:r>
      <w:r w:rsidR="00195051" w:rsidRPr="00DE12A3">
        <w:rPr>
          <w:rFonts w:eastAsia="Courier New"/>
          <w:spacing w:val="0"/>
          <w:sz w:val="24"/>
          <w:szCs w:val="24"/>
        </w:rPr>
        <w:t>nin</w:t>
      </w:r>
      <w:r w:rsidRPr="00DE12A3">
        <w:rPr>
          <w:rFonts w:eastAsia="Courier New"/>
          <w:spacing w:val="0"/>
          <w:sz w:val="24"/>
          <w:szCs w:val="24"/>
        </w:rPr>
        <w:t xml:space="preserve"> 35 inci maddesinin dördüncü fıkrası uyarınca geçici olarak piyasaya sürülen bir saha testi motoru olduğu belirtilmelidir</w:t>
      </w:r>
      <w:r w:rsidRPr="00DE12A3">
        <w:rPr>
          <w:sz w:val="24"/>
          <w:szCs w:val="24"/>
        </w:rPr>
        <w:t>.</w:t>
      </w:r>
    </w:p>
    <w:p w14:paraId="31B6A877" w14:textId="67515D12" w:rsidR="00886888" w:rsidRPr="00DE12A3" w:rsidRDefault="00886888" w:rsidP="00471D54">
      <w:pPr>
        <w:pStyle w:val="Gvdemetni250"/>
        <w:shd w:val="clear" w:color="auto" w:fill="auto"/>
        <w:tabs>
          <w:tab w:val="left" w:pos="1418"/>
        </w:tabs>
        <w:spacing w:before="120" w:after="120" w:line="240" w:lineRule="auto"/>
        <w:ind w:left="142" w:right="-2" w:firstLine="0"/>
        <w:rPr>
          <w:sz w:val="24"/>
          <w:szCs w:val="24"/>
        </w:rPr>
      </w:pPr>
      <w:r w:rsidRPr="00DE12A3">
        <w:rPr>
          <w:sz w:val="24"/>
          <w:szCs w:val="24"/>
        </w:rPr>
        <w:t>4. Motor, 2017/656/AB Tebliği</w:t>
      </w:r>
      <w:r w:rsidR="001B6225" w:rsidRPr="00DE12A3">
        <w:rPr>
          <w:sz w:val="24"/>
          <w:szCs w:val="24"/>
        </w:rPr>
        <w:t>nin</w:t>
      </w:r>
      <w:r w:rsidRPr="00DE12A3">
        <w:rPr>
          <w:sz w:val="24"/>
          <w:szCs w:val="24"/>
        </w:rPr>
        <w:t xml:space="preserve"> III’üncü </w:t>
      </w:r>
      <w:r w:rsidR="00EC3EF0" w:rsidRPr="00DE12A3">
        <w:rPr>
          <w:sz w:val="24"/>
          <w:szCs w:val="24"/>
        </w:rPr>
        <w:t>Ekinde</w:t>
      </w:r>
      <w:r w:rsidRPr="00DE12A3">
        <w:rPr>
          <w:sz w:val="24"/>
          <w:szCs w:val="24"/>
        </w:rPr>
        <w:t xml:space="preserve"> belirtilen yasal işaretleri taşımalıdır;</w:t>
      </w:r>
    </w:p>
    <w:p w14:paraId="4769B199" w14:textId="376C6E7B" w:rsidR="00886888" w:rsidRPr="00DE12A3" w:rsidRDefault="00886888" w:rsidP="00471D54">
      <w:pPr>
        <w:pStyle w:val="Gvdemetni250"/>
        <w:shd w:val="clear" w:color="auto" w:fill="auto"/>
        <w:spacing w:before="120" w:after="120" w:line="240" w:lineRule="auto"/>
        <w:ind w:left="142" w:right="-2" w:firstLine="0"/>
        <w:rPr>
          <w:sz w:val="24"/>
          <w:szCs w:val="24"/>
        </w:rPr>
      </w:pPr>
      <w:r w:rsidRPr="00DE12A3">
        <w:rPr>
          <w:sz w:val="24"/>
          <w:szCs w:val="24"/>
        </w:rPr>
        <w:t xml:space="preserve">5. Testler tamamlandığında ve her </w:t>
      </w:r>
      <w:r w:rsidR="001B3C5A" w:rsidRPr="00DE12A3">
        <w:rPr>
          <w:sz w:val="24"/>
          <w:szCs w:val="24"/>
        </w:rPr>
        <w:t>halükârda</w:t>
      </w:r>
      <w:r w:rsidRPr="00DE12A3">
        <w:rPr>
          <w:sz w:val="24"/>
          <w:szCs w:val="24"/>
        </w:rPr>
        <w:t xml:space="preserve"> motor piyasaya sürülme</w:t>
      </w:r>
      <w:r w:rsidR="002A548C" w:rsidRPr="00DE12A3">
        <w:rPr>
          <w:sz w:val="24"/>
          <w:szCs w:val="24"/>
        </w:rPr>
        <w:t>sin</w:t>
      </w:r>
      <w:r w:rsidRPr="00DE12A3">
        <w:rPr>
          <w:sz w:val="24"/>
          <w:szCs w:val="24"/>
        </w:rPr>
        <w:t>den 24 ay sonra, imalatçı, motorun ya piyasadan çekilmesini ya da 2016/1628/AB   Yönetmeliğ</w:t>
      </w:r>
      <w:r w:rsidR="002A548C" w:rsidRPr="00DE12A3">
        <w:rPr>
          <w:sz w:val="24"/>
          <w:szCs w:val="24"/>
        </w:rPr>
        <w:t>in</w:t>
      </w:r>
      <w:r w:rsidRPr="00DE12A3">
        <w:rPr>
          <w:sz w:val="24"/>
          <w:szCs w:val="24"/>
        </w:rPr>
        <w:t>e uygun hale getirilmesini sağlamalıdır. İmalatçı</w:t>
      </w:r>
      <w:r w:rsidR="002A548C" w:rsidRPr="00DE12A3">
        <w:rPr>
          <w:sz w:val="24"/>
          <w:szCs w:val="24"/>
        </w:rPr>
        <w:t>;</w:t>
      </w:r>
      <w:r w:rsidRPr="00DE12A3">
        <w:rPr>
          <w:sz w:val="24"/>
          <w:szCs w:val="24"/>
        </w:rPr>
        <w:t xml:space="preserve"> yapılan tercihi, yetkilendiren onay kuruluşuna   bildirmelidir.</w:t>
      </w:r>
    </w:p>
    <w:p w14:paraId="3CCF28A7" w14:textId="49CEA26C" w:rsidR="00886888" w:rsidRPr="00DE12A3" w:rsidRDefault="00886888" w:rsidP="00471D54">
      <w:pPr>
        <w:pStyle w:val="Gvdemetni250"/>
        <w:shd w:val="clear" w:color="auto" w:fill="auto"/>
        <w:spacing w:before="120" w:after="120" w:line="240" w:lineRule="auto"/>
        <w:ind w:left="142" w:right="-2" w:firstLine="0"/>
        <w:rPr>
          <w:sz w:val="24"/>
          <w:szCs w:val="24"/>
        </w:rPr>
      </w:pPr>
      <w:r w:rsidRPr="00DE12A3">
        <w:rPr>
          <w:sz w:val="24"/>
          <w:szCs w:val="24"/>
        </w:rPr>
        <w:t>6.</w:t>
      </w:r>
      <w:r w:rsidR="00471D54" w:rsidRPr="00DE12A3">
        <w:rPr>
          <w:sz w:val="24"/>
          <w:szCs w:val="24"/>
        </w:rPr>
        <w:t xml:space="preserve">  </w:t>
      </w:r>
      <w:r w:rsidRPr="00DE12A3">
        <w:rPr>
          <w:sz w:val="24"/>
          <w:szCs w:val="24"/>
        </w:rPr>
        <w:t xml:space="preserve"> 5. bende bakılmaksızın imalatçı, uzatma talebi için gereken gerekçeyi sağlayarak aynı onay kuruluşu   nezdinde, test süresinin 24 ay kadar daha uzatılması için başvuruda bulunabilir.</w:t>
      </w:r>
    </w:p>
    <w:p w14:paraId="725761FC" w14:textId="1739DE81" w:rsidR="00886888" w:rsidRPr="00DE12A3" w:rsidRDefault="00886888" w:rsidP="00471D54">
      <w:pPr>
        <w:pStyle w:val="Gvdemetni250"/>
        <w:shd w:val="clear" w:color="auto" w:fill="auto"/>
        <w:spacing w:before="120" w:after="120" w:line="240" w:lineRule="auto"/>
        <w:ind w:left="142" w:right="-2" w:firstLine="0"/>
        <w:rPr>
          <w:sz w:val="24"/>
          <w:szCs w:val="24"/>
        </w:rPr>
      </w:pPr>
      <w:r w:rsidRPr="00DE12A3">
        <w:rPr>
          <w:sz w:val="24"/>
          <w:szCs w:val="24"/>
        </w:rPr>
        <w:t>6.1.  Onay kuruluşu   haklı gördüğü takdirde uzatmaya izin verebilir. Bu durumda</w:t>
      </w:r>
      <w:r w:rsidR="002A548C" w:rsidRPr="00DE12A3">
        <w:rPr>
          <w:sz w:val="24"/>
          <w:szCs w:val="24"/>
        </w:rPr>
        <w:t>;</w:t>
      </w:r>
    </w:p>
    <w:p w14:paraId="1D570027" w14:textId="77777777" w:rsidR="00886888" w:rsidRPr="00DE12A3" w:rsidRDefault="00886888" w:rsidP="00E20716">
      <w:pPr>
        <w:pStyle w:val="Gvdemetni250"/>
        <w:numPr>
          <w:ilvl w:val="0"/>
          <w:numId w:val="463"/>
        </w:numPr>
        <w:shd w:val="clear" w:color="auto" w:fill="auto"/>
        <w:spacing w:before="120" w:after="120" w:line="240" w:lineRule="auto"/>
        <w:ind w:left="709" w:right="-2" w:firstLine="0"/>
        <w:jc w:val="left"/>
        <w:rPr>
          <w:sz w:val="24"/>
          <w:szCs w:val="24"/>
        </w:rPr>
      </w:pPr>
      <w:r w:rsidRPr="00DE12A3">
        <w:rPr>
          <w:sz w:val="24"/>
          <w:szCs w:val="24"/>
        </w:rPr>
        <w:t>Ek süre için imalatçı tarafından yeni bir uygunluk beyanı verilir ve</w:t>
      </w:r>
    </w:p>
    <w:p w14:paraId="2DAD9888" w14:textId="37772E96" w:rsidR="00886888" w:rsidRPr="00DE12A3" w:rsidRDefault="00886888" w:rsidP="00E20716">
      <w:pPr>
        <w:pStyle w:val="Gvdemetni250"/>
        <w:numPr>
          <w:ilvl w:val="0"/>
          <w:numId w:val="463"/>
        </w:numPr>
        <w:shd w:val="clear" w:color="auto" w:fill="auto"/>
        <w:spacing w:before="120" w:after="120" w:line="240" w:lineRule="auto"/>
        <w:ind w:left="1418" w:right="-2" w:hanging="709"/>
        <w:rPr>
          <w:sz w:val="24"/>
          <w:szCs w:val="24"/>
        </w:rPr>
      </w:pPr>
      <w:r w:rsidRPr="00DE12A3">
        <w:rPr>
          <w:sz w:val="24"/>
          <w:szCs w:val="24"/>
        </w:rPr>
        <w:t xml:space="preserve">Uzatma süresi sonunda veya her </w:t>
      </w:r>
      <w:r w:rsidR="0075111D" w:rsidRPr="00DE12A3">
        <w:rPr>
          <w:sz w:val="24"/>
          <w:szCs w:val="24"/>
        </w:rPr>
        <w:t>halükârda</w:t>
      </w:r>
      <w:r w:rsidRPr="00DE12A3">
        <w:rPr>
          <w:sz w:val="24"/>
          <w:szCs w:val="24"/>
        </w:rPr>
        <w:t xml:space="preserve"> motor piyasaya sürüldükten 48 ay </w:t>
      </w:r>
      <w:r w:rsidR="00471D54" w:rsidRPr="00DE12A3">
        <w:rPr>
          <w:sz w:val="24"/>
          <w:szCs w:val="24"/>
        </w:rPr>
        <w:t xml:space="preserve"> </w:t>
      </w:r>
      <w:r w:rsidRPr="00DE12A3">
        <w:rPr>
          <w:sz w:val="24"/>
          <w:szCs w:val="24"/>
        </w:rPr>
        <w:t>sonra, 5. bentte belirtilen hükümler uygulanır.</w:t>
      </w:r>
    </w:p>
    <w:p w14:paraId="77C1745E" w14:textId="77777777" w:rsidR="00886888" w:rsidRPr="00DE12A3" w:rsidRDefault="00886888" w:rsidP="00471D54">
      <w:pPr>
        <w:pStyle w:val="Annexetitreacte"/>
        <w:ind w:left="142"/>
        <w:jc w:val="left"/>
      </w:pPr>
    </w:p>
    <w:p w14:paraId="539A279E" w14:textId="77777777" w:rsidR="00886888" w:rsidRPr="00DE12A3" w:rsidRDefault="00886888" w:rsidP="003A7EF8">
      <w:pPr>
        <w:pStyle w:val="Annexetitreacte"/>
        <w:jc w:val="left"/>
      </w:pPr>
    </w:p>
    <w:p w14:paraId="7D77129F" w14:textId="77777777" w:rsidR="003A7EF8" w:rsidRPr="00DE12A3" w:rsidRDefault="003A7EF8">
      <w:pPr>
        <w:widowControl/>
        <w:rPr>
          <w:rFonts w:eastAsia="Times New Roman" w:cs="Times New Roman"/>
          <w:b/>
          <w:bCs/>
          <w:color w:val="auto"/>
          <w:u w:val="single"/>
          <w:lang w:val="fr-FR"/>
        </w:rPr>
      </w:pPr>
      <w:r w:rsidRPr="00DE12A3">
        <w:rPr>
          <w:color w:val="auto"/>
        </w:rPr>
        <w:br w:type="page"/>
      </w:r>
    </w:p>
    <w:p w14:paraId="26EA8BC1" w14:textId="60036643" w:rsidR="0069783E" w:rsidRPr="00DE12A3" w:rsidRDefault="0069783E" w:rsidP="003A7EF8">
      <w:pPr>
        <w:pStyle w:val="Balk1"/>
        <w:rPr>
          <w:color w:val="auto"/>
        </w:rPr>
      </w:pPr>
      <w:r w:rsidRPr="00DE12A3">
        <w:rPr>
          <w:color w:val="auto"/>
        </w:rPr>
        <w:lastRenderedPageBreak/>
        <w:t>EK XII</w:t>
      </w:r>
    </w:p>
    <w:p w14:paraId="0F002D21" w14:textId="77777777" w:rsidR="0069783E" w:rsidRPr="00DE12A3" w:rsidRDefault="0069783E" w:rsidP="00C917D6">
      <w:pPr>
        <w:pStyle w:val="Annexetitreacte"/>
        <w:ind w:left="1134" w:hanging="1134"/>
        <w:rPr>
          <w:u w:val="none"/>
        </w:rPr>
      </w:pPr>
      <w:r w:rsidRPr="00DE12A3">
        <w:rPr>
          <w:u w:val="none"/>
        </w:rPr>
        <w:t>Özel amaçlı motorlara ilişkin ayrıntılı teknik şartnameler ve koşullar</w:t>
      </w:r>
    </w:p>
    <w:p w14:paraId="14CFFF71" w14:textId="2219C977" w:rsidR="0069783E" w:rsidRPr="00DE12A3" w:rsidRDefault="0069783E" w:rsidP="00C917D6">
      <w:pPr>
        <w:pStyle w:val="Annexetitreacte"/>
        <w:ind w:left="1134" w:hanging="1134"/>
        <w:jc w:val="both"/>
        <w:rPr>
          <w:b w:val="0"/>
          <w:u w:val="none"/>
        </w:rPr>
      </w:pPr>
      <w:r w:rsidRPr="00DE12A3">
        <w:rPr>
          <w:b w:val="0"/>
          <w:u w:val="none"/>
        </w:rPr>
        <w:t xml:space="preserve">                  2016/1628/AB   </w:t>
      </w:r>
      <w:r w:rsidR="001B3C5A" w:rsidRPr="00DE12A3">
        <w:rPr>
          <w:b w:val="0"/>
          <w:u w:val="none"/>
        </w:rPr>
        <w:t>Yönetmeliği</w:t>
      </w:r>
      <w:r w:rsidR="002A548C" w:rsidRPr="00DE12A3">
        <w:rPr>
          <w:b w:val="0"/>
          <w:u w:val="none"/>
        </w:rPr>
        <w:t>nin</w:t>
      </w:r>
      <w:r w:rsidR="001B3C5A" w:rsidRPr="00DE12A3">
        <w:rPr>
          <w:b w:val="0"/>
          <w:u w:val="none"/>
        </w:rPr>
        <w:t xml:space="preserve"> VI’ncı</w:t>
      </w:r>
      <w:r w:rsidRPr="00DE12A3">
        <w:rPr>
          <w:b w:val="0"/>
          <w:u w:val="none"/>
        </w:rPr>
        <w:t xml:space="preserve"> </w:t>
      </w:r>
      <w:r w:rsidR="00EC3EF0" w:rsidRPr="00DE12A3">
        <w:rPr>
          <w:b w:val="0"/>
          <w:u w:val="none"/>
        </w:rPr>
        <w:t>Ekinde</w:t>
      </w:r>
      <w:r w:rsidRPr="00DE12A3">
        <w:rPr>
          <w:b w:val="0"/>
          <w:u w:val="none"/>
        </w:rPr>
        <w:t xml:space="preserve"> belirtilen özel amaçlı motorlar için gaz ve </w:t>
      </w:r>
      <w:r w:rsidR="007E2039" w:rsidRPr="00DE12A3">
        <w:rPr>
          <w:b w:val="0"/>
          <w:u w:val="none"/>
        </w:rPr>
        <w:t xml:space="preserve">partikül </w:t>
      </w:r>
      <w:r w:rsidRPr="00DE12A3">
        <w:rPr>
          <w:b w:val="0"/>
          <w:u w:val="none"/>
        </w:rPr>
        <w:t xml:space="preserve">halindeki kirletici emisyon sınır değerlerini sağlayan motorların piyasaya sürülmesi için aşağıdaki koşullar </w:t>
      </w:r>
      <w:r w:rsidR="0075111D" w:rsidRPr="00DE12A3">
        <w:rPr>
          <w:b w:val="0"/>
          <w:u w:val="none"/>
        </w:rPr>
        <w:t>geçerlidir :</w:t>
      </w:r>
    </w:p>
    <w:p w14:paraId="0A874B3A" w14:textId="008004B4" w:rsidR="0069783E" w:rsidRPr="00DE12A3" w:rsidRDefault="0069783E" w:rsidP="00C917D6">
      <w:pPr>
        <w:pStyle w:val="Annexetitreacte"/>
        <w:ind w:left="1134" w:hanging="1134"/>
        <w:jc w:val="both"/>
        <w:rPr>
          <w:b w:val="0"/>
          <w:u w:val="none"/>
        </w:rPr>
      </w:pPr>
      <w:r w:rsidRPr="00DE12A3">
        <w:rPr>
          <w:b w:val="0"/>
          <w:u w:val="none"/>
        </w:rPr>
        <w:t>1.</w:t>
      </w:r>
      <w:r w:rsidRPr="00DE12A3">
        <w:rPr>
          <w:b w:val="0"/>
          <w:u w:val="none"/>
        </w:rPr>
        <w:tab/>
        <w:t>İmalatçı, motoru piyasaya sürmeden önce, söz konusu Yönetmeliğin</w:t>
      </w:r>
      <w:r w:rsidR="002A548C" w:rsidRPr="00DE12A3">
        <w:rPr>
          <w:b w:val="0"/>
          <w:u w:val="none"/>
        </w:rPr>
        <w:t xml:space="preserve"> </w:t>
      </w:r>
      <w:r w:rsidRPr="00DE12A3">
        <w:rPr>
          <w:b w:val="0"/>
          <w:u w:val="none"/>
        </w:rPr>
        <w:t>35 inci maddesinin beşinci fıkrası uyarınca motorun sadece potansiyel olarak patlayıcı ortamlarda kullanılacak karayolu dışında kullanılan bir hareketli makinaya monte edileceğinden emin olmak için veya söz konusu Yönetmeliğin 35</w:t>
      </w:r>
      <w:r w:rsidR="002A548C" w:rsidRPr="00DE12A3">
        <w:rPr>
          <w:b w:val="0"/>
          <w:u w:val="none"/>
        </w:rPr>
        <w:t xml:space="preserve"> </w:t>
      </w:r>
      <w:r w:rsidRPr="00DE12A3">
        <w:rPr>
          <w:b w:val="0"/>
          <w:u w:val="none"/>
        </w:rPr>
        <w:t>inci maddesinin altıncı fıkrası uyarınca bir ulusal kurtarma servisi tarafından kullanılan filikaların suya indirilmesi ve geri çekilmesi için makul tedbirleri almalıdır.</w:t>
      </w:r>
    </w:p>
    <w:p w14:paraId="035D93E4" w14:textId="77777777" w:rsidR="0069783E" w:rsidRPr="00DE12A3" w:rsidRDefault="0069783E" w:rsidP="00C917D6">
      <w:pPr>
        <w:pStyle w:val="Annexetitreacte"/>
        <w:ind w:left="1134" w:hanging="1134"/>
        <w:jc w:val="both"/>
        <w:rPr>
          <w:b w:val="0"/>
          <w:u w:val="none"/>
        </w:rPr>
      </w:pPr>
      <w:r w:rsidRPr="00DE12A3">
        <w:rPr>
          <w:b w:val="0"/>
          <w:u w:val="none"/>
        </w:rPr>
        <w:t>2.</w:t>
      </w:r>
      <w:r w:rsidRPr="00DE12A3">
        <w:rPr>
          <w:b w:val="0"/>
          <w:u w:val="none"/>
        </w:rPr>
        <w:tab/>
        <w:t>Birinci bendin amaçları açısından, motoru alan OEM veya iktisadi işletmeciden alınan, yalnızca bu tür özel amaçlar için kullanılacak olan karayolu dışında kullanılan bir hareketli makinaya monte edileceğini doğrulayan bir yazılı açıklama makul bir tedbir olarak kabul edilir.</w:t>
      </w:r>
    </w:p>
    <w:p w14:paraId="37FF3E90" w14:textId="4A41304D" w:rsidR="0069783E" w:rsidRPr="00DE12A3" w:rsidRDefault="0069783E" w:rsidP="00C917D6">
      <w:pPr>
        <w:pStyle w:val="Annexetitreacte"/>
        <w:ind w:left="1134" w:hanging="1134"/>
        <w:jc w:val="both"/>
        <w:rPr>
          <w:b w:val="0"/>
          <w:u w:val="none"/>
        </w:rPr>
      </w:pPr>
      <w:r w:rsidRPr="00DE12A3">
        <w:rPr>
          <w:b w:val="0"/>
          <w:u w:val="none"/>
        </w:rPr>
        <w:t>3.</w:t>
      </w:r>
      <w:r w:rsidRPr="00DE12A3">
        <w:rPr>
          <w:b w:val="0"/>
          <w:u w:val="none"/>
        </w:rPr>
        <w:tab/>
      </w:r>
      <w:r w:rsidR="001B3C5A" w:rsidRPr="00DE12A3">
        <w:rPr>
          <w:b w:val="0"/>
          <w:u w:val="none"/>
        </w:rPr>
        <w:t>İmalatçı</w:t>
      </w:r>
      <w:r w:rsidR="002A548C" w:rsidRPr="00DE12A3">
        <w:rPr>
          <w:b w:val="0"/>
          <w:u w:val="none"/>
        </w:rPr>
        <w:t> ;</w:t>
      </w:r>
    </w:p>
    <w:p w14:paraId="560FDEA5" w14:textId="41E6DBAE" w:rsidR="0069783E" w:rsidRPr="00DE12A3" w:rsidRDefault="0069783E" w:rsidP="00C917D6">
      <w:pPr>
        <w:pStyle w:val="Annexetitreacte"/>
        <w:ind w:left="1701" w:hanging="567"/>
        <w:jc w:val="both"/>
        <w:rPr>
          <w:b w:val="0"/>
          <w:u w:val="none"/>
        </w:rPr>
      </w:pPr>
      <w:r w:rsidRPr="00DE12A3">
        <w:rPr>
          <w:b w:val="0"/>
          <w:u w:val="none"/>
        </w:rPr>
        <w:t>(1)</w:t>
      </w:r>
      <w:r w:rsidRPr="00DE12A3">
        <w:rPr>
          <w:b w:val="0"/>
          <w:u w:val="none"/>
        </w:rPr>
        <w:tab/>
      </w:r>
      <w:r w:rsidR="002A548C" w:rsidRPr="00DE12A3">
        <w:rPr>
          <w:b w:val="0"/>
          <w:u w:val="none"/>
        </w:rPr>
        <w:t xml:space="preserve">2. </w:t>
      </w:r>
      <w:r w:rsidRPr="00DE12A3">
        <w:rPr>
          <w:b w:val="0"/>
          <w:u w:val="none"/>
        </w:rPr>
        <w:t>bentte belirtilen yazılı açıklamayı en az 10 yıl boyunca saklamalı ve</w:t>
      </w:r>
    </w:p>
    <w:p w14:paraId="39DD52F5" w14:textId="77777777" w:rsidR="0069783E" w:rsidRPr="00DE12A3" w:rsidRDefault="0069783E" w:rsidP="00C917D6">
      <w:pPr>
        <w:pStyle w:val="Annexetitreacte"/>
        <w:ind w:left="1701" w:hanging="567"/>
        <w:jc w:val="both"/>
        <w:rPr>
          <w:b w:val="0"/>
          <w:u w:val="none"/>
        </w:rPr>
      </w:pPr>
      <w:r w:rsidRPr="00DE12A3">
        <w:rPr>
          <w:b w:val="0"/>
          <w:u w:val="none"/>
        </w:rPr>
        <w:t>(2)</w:t>
      </w:r>
      <w:r w:rsidRPr="00DE12A3">
        <w:rPr>
          <w:b w:val="0"/>
          <w:u w:val="none"/>
        </w:rPr>
        <w:tab/>
        <w:t>Talep üzerine onay kuruluşuna, Bakanlığa veya piyasa gözetimi otoritelerine sunmalıdır.</w:t>
      </w:r>
    </w:p>
    <w:p w14:paraId="7AC453DF" w14:textId="530CF533" w:rsidR="0069783E" w:rsidRPr="00DE12A3" w:rsidRDefault="0069783E" w:rsidP="00C917D6">
      <w:pPr>
        <w:pStyle w:val="Annexetitreacte"/>
        <w:ind w:left="1134" w:hanging="1134"/>
        <w:jc w:val="both"/>
        <w:rPr>
          <w:b w:val="0"/>
          <w:u w:val="none"/>
        </w:rPr>
      </w:pPr>
      <w:r w:rsidRPr="00DE12A3">
        <w:rPr>
          <w:b w:val="0"/>
          <w:u w:val="none"/>
        </w:rPr>
        <w:t>4.</w:t>
      </w:r>
      <w:r w:rsidRPr="00DE12A3">
        <w:rPr>
          <w:b w:val="0"/>
          <w:u w:val="none"/>
        </w:rPr>
        <w:tab/>
        <w:t>Motorla beraber imalatçı tarafından verilen ve 2017/656/AB Tebliği</w:t>
      </w:r>
      <w:r w:rsidR="001B6225" w:rsidRPr="00DE12A3">
        <w:rPr>
          <w:b w:val="0"/>
          <w:u w:val="none"/>
        </w:rPr>
        <w:t>nin</w:t>
      </w:r>
      <w:r w:rsidRPr="00DE12A3">
        <w:rPr>
          <w:b w:val="0"/>
          <w:u w:val="none"/>
        </w:rPr>
        <w:t xml:space="preserve"> II</w:t>
      </w:r>
      <w:r w:rsidR="00EC3EF0" w:rsidRPr="00DE12A3">
        <w:rPr>
          <w:b w:val="0"/>
          <w:u w:val="none"/>
        </w:rPr>
        <w:t>’</w:t>
      </w:r>
      <w:r w:rsidR="00195051" w:rsidRPr="00DE12A3">
        <w:rPr>
          <w:b w:val="0"/>
          <w:u w:val="none"/>
        </w:rPr>
        <w:t>nci</w:t>
      </w:r>
      <w:r w:rsidRPr="00DE12A3">
        <w:rPr>
          <w:b w:val="0"/>
          <w:u w:val="none"/>
        </w:rPr>
        <w:t xml:space="preserve"> Ekinde belirtilen hükümlerle uyumlu bir uygunluk beyanı teslim edilmelidir</w:t>
      </w:r>
      <w:r w:rsidR="002A548C" w:rsidRPr="00DE12A3">
        <w:rPr>
          <w:b w:val="0"/>
          <w:u w:val="none"/>
        </w:rPr>
        <w:t>.</w:t>
      </w:r>
      <w:r w:rsidRPr="00DE12A3">
        <w:rPr>
          <w:b w:val="0"/>
          <w:u w:val="none"/>
        </w:rPr>
        <w:t xml:space="preserve"> </w:t>
      </w:r>
      <w:r w:rsidR="002A548C" w:rsidRPr="00DE12A3">
        <w:rPr>
          <w:b w:val="0"/>
          <w:u w:val="none"/>
        </w:rPr>
        <w:t>B</w:t>
      </w:r>
      <w:r w:rsidRPr="00DE12A3">
        <w:rPr>
          <w:b w:val="0"/>
          <w:u w:val="none"/>
        </w:rPr>
        <w:t>u uygunluk beyanında özellikle 2016/1628/AB   Yönetmeliği</w:t>
      </w:r>
      <w:r w:rsidR="00195051" w:rsidRPr="00DE12A3">
        <w:rPr>
          <w:b w:val="0"/>
          <w:u w:val="none"/>
        </w:rPr>
        <w:t>nin</w:t>
      </w:r>
      <w:r w:rsidRPr="00DE12A3">
        <w:rPr>
          <w:b w:val="0"/>
          <w:u w:val="none"/>
        </w:rPr>
        <w:t xml:space="preserve">  35</w:t>
      </w:r>
      <w:r w:rsidR="002A548C" w:rsidRPr="00DE12A3">
        <w:rPr>
          <w:b w:val="0"/>
          <w:u w:val="none"/>
        </w:rPr>
        <w:t xml:space="preserve"> </w:t>
      </w:r>
      <w:r w:rsidRPr="00DE12A3">
        <w:rPr>
          <w:b w:val="0"/>
          <w:u w:val="none"/>
        </w:rPr>
        <w:t>inci maddesinin beşinci veya altıncı fıkralarında belirtilen koşullar altında piyasaya sürülen bir özel amaçlı motor olduğu belirtilmelidir.</w:t>
      </w:r>
    </w:p>
    <w:p w14:paraId="58D28E2B" w14:textId="33278476" w:rsidR="00886888" w:rsidRPr="00DE12A3" w:rsidRDefault="0069783E" w:rsidP="00C917D6">
      <w:pPr>
        <w:pStyle w:val="Annexetitreacte"/>
        <w:ind w:left="1134" w:hanging="1134"/>
        <w:jc w:val="both"/>
        <w:rPr>
          <w:b w:val="0"/>
          <w:u w:val="none"/>
        </w:rPr>
      </w:pPr>
      <w:r w:rsidRPr="00DE12A3">
        <w:rPr>
          <w:b w:val="0"/>
          <w:u w:val="none"/>
        </w:rPr>
        <w:t>5.</w:t>
      </w:r>
      <w:r w:rsidRPr="00DE12A3">
        <w:rPr>
          <w:b w:val="0"/>
          <w:u w:val="none"/>
        </w:rPr>
        <w:tab/>
        <w:t>Motor, 2017/656/AB Tebliği</w:t>
      </w:r>
      <w:r w:rsidR="001B6225" w:rsidRPr="00DE12A3">
        <w:rPr>
          <w:b w:val="0"/>
          <w:u w:val="none"/>
        </w:rPr>
        <w:t>nin</w:t>
      </w:r>
      <w:r w:rsidR="002A548C" w:rsidRPr="00DE12A3">
        <w:rPr>
          <w:b w:val="0"/>
          <w:u w:val="none"/>
        </w:rPr>
        <w:t xml:space="preserve"> </w:t>
      </w:r>
      <w:r w:rsidRPr="00DE12A3">
        <w:rPr>
          <w:b w:val="0"/>
          <w:u w:val="none"/>
        </w:rPr>
        <w:t xml:space="preserve">III’üncü </w:t>
      </w:r>
      <w:r w:rsidR="00EC3EF0" w:rsidRPr="00DE12A3">
        <w:rPr>
          <w:b w:val="0"/>
          <w:u w:val="none"/>
        </w:rPr>
        <w:t>Ekinde</w:t>
      </w:r>
      <w:r w:rsidRPr="00DE12A3">
        <w:rPr>
          <w:b w:val="0"/>
          <w:u w:val="none"/>
        </w:rPr>
        <w:t xml:space="preserve"> belirtilen yasal işaretleri taşımalıdır.</w:t>
      </w:r>
    </w:p>
    <w:p w14:paraId="20A4E0B7" w14:textId="77777777" w:rsidR="00886888" w:rsidRPr="00DE12A3" w:rsidRDefault="00886888" w:rsidP="00C917D6">
      <w:pPr>
        <w:pStyle w:val="Annexetitreacte"/>
        <w:ind w:left="1134" w:hanging="1134"/>
        <w:jc w:val="both"/>
        <w:rPr>
          <w:b w:val="0"/>
          <w:u w:val="none"/>
        </w:rPr>
      </w:pPr>
    </w:p>
    <w:p w14:paraId="704D7ED4" w14:textId="77777777" w:rsidR="00886888" w:rsidRPr="00DE12A3" w:rsidRDefault="00886888" w:rsidP="00C917D6">
      <w:pPr>
        <w:pStyle w:val="Annexetitreacte"/>
        <w:ind w:left="1134" w:hanging="1134"/>
        <w:jc w:val="both"/>
        <w:rPr>
          <w:b w:val="0"/>
          <w:u w:val="none"/>
        </w:rPr>
      </w:pPr>
    </w:p>
    <w:p w14:paraId="64247C39" w14:textId="77777777" w:rsidR="003A7EF8" w:rsidRPr="00DE12A3" w:rsidRDefault="003A7EF8">
      <w:pPr>
        <w:widowControl/>
        <w:rPr>
          <w:rFonts w:eastAsia="Times New Roman" w:cs="Times New Roman"/>
          <w:b/>
          <w:bCs/>
          <w:color w:val="auto"/>
          <w:u w:val="single"/>
          <w:lang w:val="fr-FR"/>
        </w:rPr>
      </w:pPr>
      <w:r w:rsidRPr="00DE12A3">
        <w:rPr>
          <w:color w:val="auto"/>
        </w:rPr>
        <w:br w:type="page"/>
      </w:r>
    </w:p>
    <w:p w14:paraId="0444CFB5" w14:textId="5CD48EC4" w:rsidR="00313CC8" w:rsidRDefault="00313CC8" w:rsidP="00313CC8">
      <w:pPr>
        <w:ind w:firstLine="709"/>
        <w:jc w:val="center"/>
        <w:rPr>
          <w:rFonts w:cs="Times New Roman"/>
          <w:b/>
          <w:iCs/>
        </w:rPr>
      </w:pPr>
      <w:r w:rsidRPr="00B73BA2">
        <w:rPr>
          <w:rFonts w:cs="Times New Roman"/>
          <w:b/>
          <w:iCs/>
        </w:rPr>
        <w:lastRenderedPageBreak/>
        <w:t>EK XIII</w:t>
      </w:r>
    </w:p>
    <w:p w14:paraId="3A7DF0F6" w14:textId="4C4624CB" w:rsidR="00313CC8" w:rsidRDefault="007A5B54" w:rsidP="00313CC8">
      <w:pPr>
        <w:ind w:firstLine="709"/>
        <w:jc w:val="center"/>
        <w:rPr>
          <w:rFonts w:cs="Times New Roman"/>
          <w:b/>
          <w:iCs/>
          <w:vertAlign w:val="superscript"/>
        </w:rPr>
      </w:pPr>
      <w:r>
        <w:rPr>
          <w:rFonts w:cs="Times New Roman"/>
          <w:b/>
          <w:iCs/>
        </w:rPr>
        <w:t>(Değişik</w:t>
      </w:r>
      <w:bookmarkStart w:id="38" w:name="_GoBack"/>
      <w:bookmarkEnd w:id="38"/>
      <w:r w:rsidR="00313CC8">
        <w:rPr>
          <w:rFonts w:cs="Times New Roman"/>
          <w:b/>
          <w:iCs/>
        </w:rPr>
        <w:t>:RG-27/9/2022-31966)</w:t>
      </w:r>
      <w:r w:rsidR="00313CC8" w:rsidRPr="00313CC8">
        <w:rPr>
          <w:rFonts w:cs="Times New Roman"/>
          <w:b/>
          <w:iCs/>
          <w:vertAlign w:val="superscript"/>
        </w:rPr>
        <w:t>(Bu değişiklik 1/10/2022 tarihinde yürürlüğe girer.)</w:t>
      </w:r>
    </w:p>
    <w:p w14:paraId="45427AAA" w14:textId="77777777" w:rsidR="00313CC8" w:rsidRPr="00B73BA2" w:rsidRDefault="00313CC8" w:rsidP="00313CC8">
      <w:pPr>
        <w:ind w:firstLine="709"/>
        <w:jc w:val="center"/>
        <w:rPr>
          <w:rFonts w:cs="Times New Roman"/>
          <w:b/>
          <w:iCs/>
        </w:rPr>
      </w:pPr>
    </w:p>
    <w:p w14:paraId="5EE106D4" w14:textId="77777777" w:rsidR="00313CC8" w:rsidRPr="00A302B9" w:rsidRDefault="00313CC8" w:rsidP="00313CC8">
      <w:pPr>
        <w:ind w:firstLine="709"/>
        <w:jc w:val="center"/>
        <w:rPr>
          <w:rFonts w:cs="Times New Roman"/>
          <w:b/>
          <w:bCs/>
        </w:rPr>
      </w:pPr>
      <w:r w:rsidRPr="00A302B9">
        <w:rPr>
          <w:rFonts w:cs="Times New Roman"/>
          <w:b/>
          <w:bCs/>
        </w:rPr>
        <w:t>Muadil motor tip onaylarının kabulü</w:t>
      </w:r>
    </w:p>
    <w:p w14:paraId="79CFD611" w14:textId="77777777" w:rsidR="00313CC8" w:rsidRPr="00A302B9" w:rsidRDefault="00313CC8" w:rsidP="00313CC8">
      <w:pPr>
        <w:ind w:left="709"/>
        <w:jc w:val="both"/>
        <w:rPr>
          <w:rFonts w:cs="Times New Roman"/>
          <w:bCs/>
        </w:rPr>
      </w:pPr>
      <w:r w:rsidRPr="00A302B9">
        <w:rPr>
          <w:rFonts w:cs="Times New Roman"/>
          <w:bCs/>
        </w:rPr>
        <w:t xml:space="preserve">1. NRE kategorisindeki motor aileleri veya motor tipleri için aşağıdaki tip onayları ve yerine göre ilgili yasal işaretleme, 2016/1628/AB Yönetmeliği uyarınca verilen AB tip onaylarına ve gereken yasal işaretlere denk </w:t>
      </w:r>
      <w:r>
        <w:rPr>
          <w:rFonts w:cs="Times New Roman"/>
          <w:bCs/>
        </w:rPr>
        <w:t>olarak kabul edilmelidir</w:t>
      </w:r>
      <w:r w:rsidRPr="00A302B9">
        <w:rPr>
          <w:rFonts w:cs="Times New Roman"/>
          <w:bCs/>
        </w:rPr>
        <w:t>:</w:t>
      </w:r>
    </w:p>
    <w:p w14:paraId="35544F53" w14:textId="77777777" w:rsidR="00313CC8" w:rsidRPr="00A302B9" w:rsidRDefault="00313CC8" w:rsidP="00313CC8">
      <w:pPr>
        <w:ind w:left="709"/>
        <w:jc w:val="both"/>
        <w:rPr>
          <w:rFonts w:cs="Times New Roman"/>
          <w:bCs/>
        </w:rPr>
      </w:pPr>
      <w:r w:rsidRPr="00A302B9">
        <w:rPr>
          <w:rFonts w:cs="Times New Roman"/>
          <w:bCs/>
        </w:rPr>
        <w:t>(1)</w:t>
      </w:r>
      <w:r w:rsidRPr="00A302B9">
        <w:rPr>
          <w:rFonts w:cs="Times New Roman"/>
          <w:bCs/>
        </w:rPr>
        <w:tab/>
        <w:t>Bir teknik servis, motor tipinin aşağıdaki gereklilikleri sağladığını teyit ettiğinde, 3/8/2011 tarihli ve 28014 sayılı Resmî Gazete’de yayımlanan Ağır Hizmet Araçlarından Çıkan Emisyonlar (Euro 6) Bakımından ve Araç Tamir ve Bakım Bilgilerine Erişim Konusunda Motorlu Araçların Tip Onayına İlişkin Yönetmeliğe ((AT) 595/2009) ve onun uygulama gereklerine uygun olarak verilmiş AB tip onayları:</w:t>
      </w:r>
    </w:p>
    <w:p w14:paraId="7E73F472" w14:textId="77777777" w:rsidR="00313CC8" w:rsidRPr="00A302B9" w:rsidRDefault="00313CC8" w:rsidP="00313CC8">
      <w:pPr>
        <w:ind w:left="1843" w:hanging="425"/>
        <w:jc w:val="both"/>
        <w:rPr>
          <w:rFonts w:cs="Times New Roman"/>
          <w:bCs/>
        </w:rPr>
      </w:pPr>
      <w:r>
        <w:rPr>
          <w:rFonts w:cs="Times New Roman"/>
          <w:bCs/>
        </w:rPr>
        <w:t>(a)</w:t>
      </w:r>
      <w:r>
        <w:rPr>
          <w:rFonts w:cs="Times New Roman"/>
          <w:bCs/>
        </w:rPr>
        <w:tab/>
        <w:t xml:space="preserve">2016/1628/AB Yönetmeliğinin </w:t>
      </w:r>
      <w:r w:rsidRPr="00A302B9">
        <w:rPr>
          <w:rFonts w:cs="Times New Roman"/>
          <w:bCs/>
        </w:rPr>
        <w:t xml:space="preserve">5 inci maddesinin birinci fıkrasının (b) bendi uyarınca, motorun sadece IWP ve IWA kategorilerindeki </w:t>
      </w:r>
      <w:r w:rsidRPr="00A302B9">
        <w:rPr>
          <w:rFonts w:cs="Times New Roman"/>
          <w:b/>
          <w:bCs/>
          <w:u w:val="single"/>
        </w:rPr>
        <w:t>V. faz</w:t>
      </w:r>
      <w:r w:rsidRPr="00A302B9">
        <w:rPr>
          <w:rFonts w:cs="Times New Roman"/>
          <w:bCs/>
        </w:rPr>
        <w:t xml:space="preserve"> motorların yerine özellikle kullanılması amaçlandığında, bu Tebliğin IV’üncü Ekinin 2. Açıklayıcı Ekinde belirtilen şartları veya</w:t>
      </w:r>
      <w:r>
        <w:rPr>
          <w:rFonts w:cs="Times New Roman"/>
          <w:bCs/>
        </w:rPr>
        <w:t>,</w:t>
      </w:r>
    </w:p>
    <w:p w14:paraId="4175BCB0" w14:textId="51A1E8D1" w:rsidR="00313CC8" w:rsidRDefault="00313CC8" w:rsidP="00313CC8">
      <w:pPr>
        <w:ind w:left="1843" w:hanging="425"/>
        <w:jc w:val="both"/>
        <w:rPr>
          <w:rFonts w:cs="Times New Roman"/>
          <w:bCs/>
        </w:rPr>
      </w:pPr>
      <w:r w:rsidRPr="00A302B9">
        <w:rPr>
          <w:rFonts w:cs="Times New Roman"/>
          <w:bCs/>
        </w:rPr>
        <w:t>(b)</w:t>
      </w:r>
      <w:r w:rsidRPr="00A302B9">
        <w:rPr>
          <w:rFonts w:cs="Times New Roman"/>
          <w:bCs/>
        </w:rPr>
        <w:tab/>
        <w:t>(a) alt bendi kapsamına girmeyen motorlar için bu Tebliğin IV’üncü Ekin 1. Açıklayıcı Ekinde belirtilen şartlar.</w:t>
      </w:r>
    </w:p>
    <w:p w14:paraId="3CF19AF0" w14:textId="77777777" w:rsidR="00313CC8" w:rsidRDefault="00313CC8" w:rsidP="00313CC8">
      <w:pPr>
        <w:tabs>
          <w:tab w:val="left" w:pos="567"/>
          <w:tab w:val="left" w:pos="851"/>
        </w:tabs>
        <w:ind w:left="709"/>
        <w:jc w:val="both"/>
        <w:rPr>
          <w:rFonts w:cs="Times New Roman"/>
        </w:rPr>
      </w:pPr>
      <w:r w:rsidRPr="00B47DC9">
        <w:rPr>
          <w:rFonts w:cs="Times New Roman"/>
        </w:rPr>
        <w:t>(2)</w:t>
      </w:r>
      <w:r>
        <w:rPr>
          <w:rFonts w:cs="Times New Roman"/>
        </w:rPr>
        <w:t xml:space="preserve"> B</w:t>
      </w:r>
      <w:r w:rsidRPr="00B47DC9">
        <w:rPr>
          <w:rFonts w:cs="Times New Roman"/>
        </w:rPr>
        <w:t xml:space="preserve">ir </w:t>
      </w:r>
      <w:r>
        <w:rPr>
          <w:rFonts w:cs="Times New Roman"/>
        </w:rPr>
        <w:t>o</w:t>
      </w:r>
      <w:r w:rsidRPr="00B47DC9">
        <w:rPr>
          <w:rFonts w:cs="Times New Roman"/>
        </w:rPr>
        <w:t xml:space="preserve">nay </w:t>
      </w:r>
      <w:r>
        <w:rPr>
          <w:rFonts w:cs="Times New Roman"/>
        </w:rPr>
        <w:t>k</w:t>
      </w:r>
      <w:r w:rsidRPr="00B47DC9">
        <w:rPr>
          <w:rFonts w:cs="Times New Roman"/>
        </w:rPr>
        <w:t>uruluşunun</w:t>
      </w:r>
      <w:r>
        <w:rPr>
          <w:rFonts w:cs="Times New Roman"/>
        </w:rPr>
        <w:t>,</w:t>
      </w:r>
      <w:r w:rsidRPr="00B47DC9">
        <w:rPr>
          <w:rFonts w:cs="Times New Roman"/>
        </w:rPr>
        <w:t xml:space="preserve"> imalatçının 2016/1628/AB Yönetmeliğinin 2</w:t>
      </w:r>
      <w:r>
        <w:rPr>
          <w:rFonts w:cs="Times New Roman"/>
        </w:rPr>
        <w:t>0 nci</w:t>
      </w:r>
      <w:r w:rsidRPr="00B47DC9">
        <w:rPr>
          <w:rFonts w:cs="Times New Roman"/>
        </w:rPr>
        <w:t xml:space="preserve"> </w:t>
      </w:r>
      <w:r>
        <w:rPr>
          <w:rFonts w:cs="Times New Roman"/>
        </w:rPr>
        <w:t>m</w:t>
      </w:r>
      <w:r w:rsidRPr="00B47DC9">
        <w:rPr>
          <w:rFonts w:cs="Times New Roman"/>
        </w:rPr>
        <w:t>addesinde belirtilen yükümlülüklere uyduğunu teyit etmesi durumunda</w:t>
      </w:r>
      <w:r>
        <w:rPr>
          <w:rFonts w:cs="Times New Roman"/>
        </w:rPr>
        <w:t xml:space="preserve"> ve b</w:t>
      </w:r>
      <w:r w:rsidRPr="00B47DC9">
        <w:rPr>
          <w:rFonts w:cs="Times New Roman"/>
        </w:rPr>
        <w:t>ir teknik servis, motor tipinin aşağıdaki gereklilikleri sağladığını teyit ettiğinde, 49</w:t>
      </w:r>
      <w:r w:rsidRPr="00B47DC9">
        <w:t xml:space="preserve"> </w:t>
      </w:r>
      <w:r w:rsidRPr="00B47DC9">
        <w:rPr>
          <w:rFonts w:cs="Times New Roman"/>
        </w:rPr>
        <w:t>sayılı BM/AEK Düzenlemesi değişiklikleri 06 serisine uygun tip onayları:</w:t>
      </w:r>
    </w:p>
    <w:p w14:paraId="57E00B9A" w14:textId="0DC80AEB" w:rsidR="00313CC8" w:rsidRPr="00787C84" w:rsidRDefault="00313CC8" w:rsidP="00313CC8">
      <w:pPr>
        <w:pStyle w:val="ListeParagraf"/>
        <w:widowControl/>
        <w:tabs>
          <w:tab w:val="left" w:pos="1134"/>
          <w:tab w:val="left" w:pos="1418"/>
        </w:tabs>
        <w:ind w:left="1985" w:hanging="567"/>
        <w:jc w:val="both"/>
        <w:rPr>
          <w:rFonts w:cs="Times New Roman"/>
        </w:rPr>
      </w:pPr>
      <w:r>
        <w:rPr>
          <w:rFonts w:cs="Times New Roman"/>
        </w:rPr>
        <w:t xml:space="preserve">(a)  </w:t>
      </w:r>
      <w:r w:rsidRPr="00787C84">
        <w:rPr>
          <w:rFonts w:cs="Times New Roman"/>
        </w:rPr>
        <w:t xml:space="preserve">2016/1628/AB Yönetmeliğinin 5 inci maddesinin birinci fıkrasının (b) bendi uyarınca, motorun sadece IWP ve IWA kategorilerindeki faz </w:t>
      </w:r>
      <w:r>
        <w:rPr>
          <w:rFonts w:cs="Times New Roman"/>
        </w:rPr>
        <w:t xml:space="preserve">V </w:t>
      </w:r>
      <w:r w:rsidRPr="00787C84">
        <w:rPr>
          <w:rFonts w:cs="Times New Roman"/>
        </w:rPr>
        <w:t>motorların yerine özellikle kullanılması amaçlandığında, bu Tebliğin IV’üncü Ekinin 2. Açıklayıcı Ekinde belirtilen şartlar veya</w:t>
      </w:r>
      <w:r>
        <w:rPr>
          <w:rFonts w:cs="Times New Roman"/>
        </w:rPr>
        <w:t>,</w:t>
      </w:r>
    </w:p>
    <w:p w14:paraId="4929FA32" w14:textId="4E578BB9" w:rsidR="00313CC8" w:rsidRDefault="00313CC8" w:rsidP="00313CC8">
      <w:pPr>
        <w:pStyle w:val="ListeParagraf"/>
        <w:widowControl/>
        <w:tabs>
          <w:tab w:val="left" w:pos="993"/>
        </w:tabs>
        <w:ind w:left="1985" w:hanging="567"/>
        <w:jc w:val="both"/>
        <w:rPr>
          <w:rFonts w:cs="Times New Roman"/>
        </w:rPr>
      </w:pPr>
      <w:r>
        <w:rPr>
          <w:rFonts w:cs="Times New Roman"/>
        </w:rPr>
        <w:t xml:space="preserve">(b)  </w:t>
      </w:r>
      <w:r w:rsidRPr="00CA06B3">
        <w:rPr>
          <w:rFonts w:cs="Times New Roman"/>
        </w:rPr>
        <w:t>(a) alt bendi kapsamına girmeyen motorlar için bu Tebliğin IV’üncü Ekinin 1. Açıklayıcı Ekinde belirtilen şartlar.</w:t>
      </w:r>
    </w:p>
    <w:p w14:paraId="409A9C90" w14:textId="77777777" w:rsidR="00313CC8" w:rsidRPr="00B47DC9" w:rsidRDefault="00313CC8" w:rsidP="00313CC8">
      <w:pPr>
        <w:ind w:left="709"/>
        <w:jc w:val="both"/>
        <w:rPr>
          <w:rFonts w:cs="Times New Roman"/>
        </w:rPr>
      </w:pPr>
      <w:r w:rsidRPr="00B47DC9">
        <w:rPr>
          <w:rFonts w:cs="Times New Roman"/>
        </w:rPr>
        <w:t>(3) 2016/1628/AB Yönetmeliğinin 20</w:t>
      </w:r>
      <w:r>
        <w:rPr>
          <w:rFonts w:cs="Times New Roman"/>
        </w:rPr>
        <w:t xml:space="preserve"> nci</w:t>
      </w:r>
      <w:r w:rsidRPr="00B47DC9">
        <w:rPr>
          <w:rFonts w:cs="Times New Roman"/>
        </w:rPr>
        <w:t xml:space="preserve"> </w:t>
      </w:r>
      <w:r>
        <w:rPr>
          <w:rFonts w:cs="Times New Roman"/>
        </w:rPr>
        <w:t>m</w:t>
      </w:r>
      <w:r w:rsidRPr="00B47DC9">
        <w:rPr>
          <w:rFonts w:cs="Times New Roman"/>
        </w:rPr>
        <w:t>addesinde belirtilen yükümlülüklere imalatçının uyduğunu bir onay kuruluşu teyit etmesi durumunda, 2016/1626/AB Yönetmeliğinin Ek I’nin Tablo I-1'de belirtildiği gibi, motor ailelerinin veya NRE kategorisinin motor tiplerinin 96 sayılı BM/AEK Düzenlemesi değişiklikleri 05 serisine uygun tip onayları.</w:t>
      </w:r>
    </w:p>
    <w:p w14:paraId="06751FC6" w14:textId="77777777" w:rsidR="00313CC8" w:rsidRPr="00B47DC9" w:rsidRDefault="00313CC8" w:rsidP="00313CC8">
      <w:pPr>
        <w:pStyle w:val="ListeParagraf"/>
        <w:ind w:left="709"/>
        <w:jc w:val="both"/>
        <w:rPr>
          <w:rFonts w:cs="Times New Roman"/>
        </w:rPr>
      </w:pPr>
    </w:p>
    <w:p w14:paraId="5650B224" w14:textId="77777777" w:rsidR="00313CC8" w:rsidRPr="00B47DC9" w:rsidRDefault="00313CC8" w:rsidP="00313CC8">
      <w:pPr>
        <w:ind w:left="709" w:hanging="567"/>
        <w:jc w:val="both"/>
        <w:rPr>
          <w:rFonts w:cs="Times New Roman"/>
        </w:rPr>
      </w:pPr>
      <w:r>
        <w:rPr>
          <w:rFonts w:cs="Times New Roman"/>
        </w:rPr>
        <w:tab/>
      </w:r>
      <w:r w:rsidRPr="00B47DC9">
        <w:rPr>
          <w:rFonts w:cs="Times New Roman"/>
        </w:rPr>
        <w:t>2. NRG, NRSh, NRS, SMB ve ATS kategorilerindeki motor aileleri veya motor tipleri için, 2016/1628/AB Yönetmeliğinin Ek I'inde  Tablo I-2, I-3, I-4 ve I-9 ila I-10'unda belirtilen motor kategorilerine karşılık gelen motorların 96 Sayılı BM/AEK Düzenlemesi değişiklikleri 05 serisine  uygun tip onayları uygulanabilir olduğunda ilgili yasal işaretlemesi</w:t>
      </w:r>
      <w:r>
        <w:rPr>
          <w:rFonts w:cs="Times New Roman"/>
        </w:rPr>
        <w:t>,</w:t>
      </w:r>
      <w:r w:rsidRPr="00B47DC9">
        <w:rPr>
          <w:rFonts w:cs="Times New Roman"/>
        </w:rPr>
        <w:t xml:space="preserve"> 2016/1628/AB Yönetmeliği uyarınca verilen AB tip onaylarına ve gerekli yasal işaretlemeye bir onay kuruluşunun imalatçının 2016/1628/AB Yönetmeliğinin </w:t>
      </w:r>
      <w:r>
        <w:rPr>
          <w:rFonts w:cs="Times New Roman"/>
        </w:rPr>
        <w:t xml:space="preserve">20 </w:t>
      </w:r>
      <w:r w:rsidRPr="00B47DC9">
        <w:rPr>
          <w:rFonts w:cs="Times New Roman"/>
        </w:rPr>
        <w:t xml:space="preserve">nci </w:t>
      </w:r>
      <w:r>
        <w:rPr>
          <w:rFonts w:cs="Times New Roman"/>
        </w:rPr>
        <w:t>m</w:t>
      </w:r>
      <w:r w:rsidRPr="00B47DC9">
        <w:rPr>
          <w:rFonts w:cs="Times New Roman"/>
        </w:rPr>
        <w:t>addesinde belirtilen yükümlülüklere uyduğunu onaylaması durumunda eşdeğer olarak kabul edilecektir.</w:t>
      </w:r>
    </w:p>
    <w:p w14:paraId="70CEE64B" w14:textId="77777777" w:rsidR="00313CC8" w:rsidRPr="00B47DC9" w:rsidRDefault="00313CC8" w:rsidP="00313CC8">
      <w:pPr>
        <w:ind w:left="709" w:hanging="567"/>
        <w:jc w:val="both"/>
        <w:rPr>
          <w:rFonts w:cs="Times New Roman"/>
        </w:rPr>
      </w:pPr>
    </w:p>
    <w:p w14:paraId="4C65B592" w14:textId="77777777" w:rsidR="00313CC8" w:rsidRPr="00B47DC9" w:rsidRDefault="00313CC8" w:rsidP="00313CC8">
      <w:pPr>
        <w:ind w:left="709" w:hanging="567"/>
        <w:jc w:val="both"/>
        <w:rPr>
          <w:rFonts w:cs="Times New Roman"/>
        </w:rPr>
      </w:pPr>
      <w:r>
        <w:rPr>
          <w:rFonts w:cs="Times New Roman"/>
        </w:rPr>
        <w:tab/>
      </w:r>
      <w:r w:rsidRPr="00B47DC9">
        <w:rPr>
          <w:rFonts w:cs="Times New Roman"/>
        </w:rPr>
        <w:t xml:space="preserve">3. Referans gücü 19 kW'tan az ve 560 kW'dan fazla olmayan NRE kategorisine ait, 2016/1628/AB Yönetmeliğin </w:t>
      </w:r>
      <w:r>
        <w:rPr>
          <w:rFonts w:cs="Times New Roman"/>
        </w:rPr>
        <w:t xml:space="preserve">35 </w:t>
      </w:r>
      <w:r w:rsidRPr="00B47DC9">
        <w:rPr>
          <w:rFonts w:cs="Times New Roman"/>
        </w:rPr>
        <w:t xml:space="preserve">inci </w:t>
      </w:r>
      <w:r>
        <w:rPr>
          <w:rFonts w:cs="Times New Roman"/>
        </w:rPr>
        <w:t>m</w:t>
      </w:r>
      <w:r w:rsidRPr="00B47DC9">
        <w:rPr>
          <w:rFonts w:cs="Times New Roman"/>
        </w:rPr>
        <w:t xml:space="preserve">addesinin </w:t>
      </w:r>
      <w:r>
        <w:rPr>
          <w:rFonts w:cs="Times New Roman"/>
        </w:rPr>
        <w:t>beşinci ve altıncı</w:t>
      </w:r>
      <w:r w:rsidRPr="00B47DC9">
        <w:rPr>
          <w:rFonts w:cs="Times New Roman"/>
        </w:rPr>
        <w:t xml:space="preserve"> fıkraları kapsamına giren özel amaçlı motorlar (SPE) için 2016/1628/AB Yönetmeliğinin Ek VI'sı Tablo VI-1’de belirtilen NRE kategorisi motor tipleri ve ailelerinin 96 Sayılı BM/AEK Düzenlemesi değişiklikleri 02, 03 veya 04 serisine uygun Faz III A tip onayları ve uygulanabilir olduğunda ilgili yasal işaretlemesi, 2016/1628/AB Yönetmeliği uyarınca verilen AB tip onaylarına ve gerekli yasal işaretlemeye eşdeğer olarak kabul edilecektir.</w:t>
      </w:r>
    </w:p>
    <w:p w14:paraId="74F37249" w14:textId="77777777" w:rsidR="00313CC8" w:rsidRPr="00B47DC9" w:rsidRDefault="00313CC8" w:rsidP="00313CC8">
      <w:pPr>
        <w:ind w:left="709" w:hanging="567"/>
        <w:jc w:val="both"/>
        <w:rPr>
          <w:rFonts w:cs="Times New Roman"/>
        </w:rPr>
      </w:pPr>
    </w:p>
    <w:p w14:paraId="3A7448F7" w14:textId="77777777" w:rsidR="00313CC8" w:rsidRPr="00B47DC9" w:rsidRDefault="00313CC8" w:rsidP="00313CC8">
      <w:pPr>
        <w:ind w:left="709"/>
        <w:jc w:val="both"/>
        <w:rPr>
          <w:rFonts w:cs="Times New Roman"/>
        </w:rPr>
      </w:pPr>
      <w:r w:rsidRPr="00B47DC9">
        <w:rPr>
          <w:rFonts w:cs="Times New Roman"/>
        </w:rPr>
        <w:t>3.1.</w:t>
      </w:r>
      <w:r>
        <w:rPr>
          <w:rFonts w:cs="Times New Roman"/>
        </w:rPr>
        <w:t xml:space="preserve"> </w:t>
      </w:r>
      <w:r w:rsidRPr="00B47DC9">
        <w:rPr>
          <w:rFonts w:cs="Times New Roman"/>
        </w:rPr>
        <w:t>İlave şartlar</w:t>
      </w:r>
    </w:p>
    <w:p w14:paraId="1A1FFBAE" w14:textId="77777777" w:rsidR="00313CC8" w:rsidRPr="00B47DC9" w:rsidRDefault="00313CC8" w:rsidP="00313CC8">
      <w:pPr>
        <w:ind w:left="709"/>
        <w:jc w:val="both"/>
        <w:rPr>
          <w:rFonts w:cs="Times New Roman"/>
        </w:rPr>
      </w:pPr>
      <w:r>
        <w:rPr>
          <w:rFonts w:cs="Times New Roman"/>
        </w:rPr>
        <w:lastRenderedPageBreak/>
        <w:t>Üçüncü</w:t>
      </w:r>
      <w:r w:rsidRPr="00B47DC9">
        <w:rPr>
          <w:rFonts w:cs="Times New Roman"/>
        </w:rPr>
        <w:t xml:space="preserve"> ben</w:t>
      </w:r>
      <w:r>
        <w:rPr>
          <w:rFonts w:cs="Times New Roman"/>
        </w:rPr>
        <w:t>t</w:t>
      </w:r>
      <w:r w:rsidRPr="00B47DC9">
        <w:rPr>
          <w:rFonts w:cs="Times New Roman"/>
        </w:rPr>
        <w:t xml:space="preserve"> uyarınca bir AB tip onayına eşdeğer olarak kabul edilen bir tip onayına sahip motorlar, 2017/654/AB Tebliğinin Ek XII’sinde belirtilen gereklilikleri karşılamalıdır.</w:t>
      </w:r>
    </w:p>
    <w:p w14:paraId="580714C8" w14:textId="77777777" w:rsidR="00313CC8" w:rsidRPr="00B47DC9" w:rsidRDefault="00313CC8" w:rsidP="00313CC8">
      <w:pPr>
        <w:ind w:left="709"/>
        <w:jc w:val="both"/>
        <w:rPr>
          <w:rFonts w:cs="Times New Roman"/>
        </w:rPr>
      </w:pPr>
    </w:p>
    <w:p w14:paraId="22B51CF1" w14:textId="77777777" w:rsidR="00313CC8" w:rsidRPr="00B47DC9" w:rsidRDefault="00313CC8" w:rsidP="00313CC8">
      <w:pPr>
        <w:ind w:left="709" w:hanging="709"/>
        <w:jc w:val="both"/>
        <w:rPr>
          <w:rFonts w:cs="Times New Roman"/>
        </w:rPr>
      </w:pPr>
      <w:r>
        <w:rPr>
          <w:rFonts w:cs="Times New Roman"/>
        </w:rPr>
        <w:tab/>
      </w:r>
      <w:r w:rsidRPr="00B47DC9">
        <w:rPr>
          <w:rFonts w:cs="Times New Roman"/>
        </w:rPr>
        <w:t>4.</w:t>
      </w:r>
      <w:r>
        <w:rPr>
          <w:rFonts w:cs="Times New Roman"/>
        </w:rPr>
        <w:t xml:space="preserve"> </w:t>
      </w:r>
      <w:r w:rsidRPr="00B47DC9">
        <w:rPr>
          <w:rFonts w:cs="Times New Roman"/>
        </w:rPr>
        <w:t xml:space="preserve">Aşağıda verilen emisyon fazları için   aşağıda listelenen kategorilere ait motor ailelerinin veya motor tiplerinin BM/AEK Düzenlemelerine dayalı tip onayları ve uygulanabilir olduğunda ilgili yasal işaretlemeleri, 2016/1628/AB Yönetmeliğinin uygulama ile ilgili </w:t>
      </w:r>
      <w:r>
        <w:rPr>
          <w:rFonts w:cs="Times New Roman"/>
        </w:rPr>
        <w:t>g</w:t>
      </w:r>
      <w:r w:rsidRPr="00B47DC9">
        <w:rPr>
          <w:rFonts w:cs="Times New Roman"/>
        </w:rPr>
        <w:t>eçici birinci maddesine uygun olarak 97/68/AT Yönetmeliği kapsamında verilen AB tip onaylarına ve gerekli yasal işaretlemeye eşdeğer olarak kabul edilecektir.</w:t>
      </w:r>
    </w:p>
    <w:p w14:paraId="19240CB0" w14:textId="77777777" w:rsidR="00313CC8" w:rsidRPr="00B47DC9" w:rsidRDefault="00313CC8" w:rsidP="00313CC8">
      <w:pPr>
        <w:ind w:left="709"/>
        <w:jc w:val="both"/>
        <w:rPr>
          <w:rFonts w:cs="Times New Roman"/>
        </w:rPr>
      </w:pPr>
    </w:p>
    <w:p w14:paraId="17078C30" w14:textId="77777777" w:rsidR="00313CC8" w:rsidRPr="00B47DC9" w:rsidRDefault="00313CC8" w:rsidP="00313CC8">
      <w:pPr>
        <w:tabs>
          <w:tab w:val="left" w:pos="993"/>
        </w:tabs>
        <w:ind w:left="709"/>
        <w:jc w:val="both"/>
        <w:rPr>
          <w:rFonts w:cs="Times New Roman"/>
        </w:rPr>
      </w:pPr>
      <w:r w:rsidRPr="00B47DC9">
        <w:rPr>
          <w:rFonts w:cs="Times New Roman"/>
        </w:rPr>
        <w:t>(1)</w:t>
      </w:r>
      <w:r w:rsidRPr="00B47DC9">
        <w:rPr>
          <w:rFonts w:cs="Times New Roman"/>
        </w:rPr>
        <w:tab/>
      </w:r>
      <w:r>
        <w:rPr>
          <w:rFonts w:cs="Times New Roman"/>
        </w:rPr>
        <w:t xml:space="preserve"> </w:t>
      </w:r>
      <w:r w:rsidRPr="00B47DC9">
        <w:rPr>
          <w:rFonts w:cs="Times New Roman"/>
        </w:rPr>
        <w:t>Faz</w:t>
      </w:r>
      <w:r>
        <w:rPr>
          <w:rFonts w:cs="Times New Roman"/>
        </w:rPr>
        <w:t xml:space="preserve"> </w:t>
      </w:r>
      <w:r w:rsidRPr="00B47DC9">
        <w:rPr>
          <w:rFonts w:cs="Times New Roman"/>
        </w:rPr>
        <w:t>IV:</w:t>
      </w:r>
      <w:r>
        <w:rPr>
          <w:rFonts w:cs="Times New Roman"/>
        </w:rPr>
        <w:t xml:space="preserve"> </w:t>
      </w:r>
      <w:r w:rsidRPr="00B47DC9">
        <w:rPr>
          <w:rFonts w:cs="Times New Roman"/>
        </w:rPr>
        <w:t>97/68/AT Yönetmeliğinde belirtildiği üzere, 96 Sayılı BM/AEK Düzenlemesi değişiklikleri 04 serisine uygun olarak Q ve R kategorisine ait motorların tip onayları.</w:t>
      </w:r>
    </w:p>
    <w:p w14:paraId="1799D585" w14:textId="77777777" w:rsidR="00313CC8" w:rsidRPr="00B47DC9" w:rsidRDefault="00313CC8" w:rsidP="00313CC8">
      <w:pPr>
        <w:ind w:left="709"/>
        <w:jc w:val="both"/>
        <w:rPr>
          <w:rFonts w:cs="Times New Roman"/>
        </w:rPr>
      </w:pPr>
    </w:p>
    <w:p w14:paraId="03A11F1E" w14:textId="77777777" w:rsidR="00313CC8" w:rsidRPr="00B47DC9" w:rsidRDefault="00313CC8" w:rsidP="00313CC8">
      <w:pPr>
        <w:tabs>
          <w:tab w:val="left" w:pos="851"/>
          <w:tab w:val="left" w:pos="993"/>
        </w:tabs>
        <w:ind w:left="709"/>
        <w:jc w:val="both"/>
        <w:rPr>
          <w:rFonts w:cs="Times New Roman"/>
        </w:rPr>
      </w:pPr>
      <w:r w:rsidRPr="00B47DC9">
        <w:rPr>
          <w:rFonts w:cs="Times New Roman"/>
        </w:rPr>
        <w:t>(2)</w:t>
      </w:r>
      <w:r>
        <w:rPr>
          <w:rFonts w:cs="Times New Roman"/>
        </w:rPr>
        <w:t xml:space="preserve"> </w:t>
      </w:r>
      <w:r w:rsidRPr="00B47DC9">
        <w:rPr>
          <w:rFonts w:cs="Times New Roman"/>
        </w:rPr>
        <w:tab/>
        <w:t xml:space="preserve">Faz IIIB: 96 Sayılı BM/AEK Düzenlemesi değişiklikleri 03 veya 04 serisine uygun olarak 97/68/AT Yönetmeliğinde belirtilen L, M, N ve P kategorilerine ait motorların tip onayları. </w:t>
      </w:r>
    </w:p>
    <w:p w14:paraId="57338688" w14:textId="77777777" w:rsidR="00313CC8" w:rsidRPr="00B47DC9" w:rsidRDefault="00313CC8" w:rsidP="00313CC8">
      <w:pPr>
        <w:ind w:left="709"/>
        <w:jc w:val="both"/>
        <w:rPr>
          <w:rFonts w:cs="Times New Roman"/>
        </w:rPr>
      </w:pPr>
    </w:p>
    <w:p w14:paraId="6EBCF7EE" w14:textId="77777777" w:rsidR="00313CC8" w:rsidRPr="00B47DC9" w:rsidRDefault="00313CC8" w:rsidP="00313CC8">
      <w:pPr>
        <w:tabs>
          <w:tab w:val="left" w:pos="709"/>
          <w:tab w:val="left" w:pos="851"/>
          <w:tab w:val="left" w:pos="1134"/>
        </w:tabs>
        <w:ind w:left="709"/>
        <w:jc w:val="both"/>
        <w:rPr>
          <w:rFonts w:cs="Times New Roman"/>
        </w:rPr>
      </w:pPr>
      <w:r w:rsidRPr="00B47DC9">
        <w:rPr>
          <w:rFonts w:cs="Times New Roman"/>
        </w:rPr>
        <w:t>(3)</w:t>
      </w:r>
      <w:r>
        <w:rPr>
          <w:rFonts w:cs="Times New Roman"/>
        </w:rPr>
        <w:t xml:space="preserve"> </w:t>
      </w:r>
      <w:r w:rsidRPr="00B47DC9">
        <w:rPr>
          <w:rFonts w:cs="Times New Roman"/>
        </w:rPr>
        <w:t>Faz IIIA: 96 Sayılı BM/AEK Düzenlemesi değişiklikleri 02, 03 veya 04 serisine uygun olarak 97/68/AT Yönetmeliğinde belirtilen H, I, J ve K kategorilerine ait motorların tip onayları.</w:t>
      </w:r>
    </w:p>
    <w:p w14:paraId="62804E35" w14:textId="77777777" w:rsidR="00313CC8" w:rsidRPr="00B47DC9" w:rsidRDefault="00313CC8" w:rsidP="00313CC8">
      <w:pPr>
        <w:ind w:left="709"/>
        <w:jc w:val="both"/>
        <w:rPr>
          <w:rFonts w:cs="Times New Roman"/>
        </w:rPr>
      </w:pPr>
    </w:p>
    <w:p w14:paraId="6F45450E" w14:textId="77777777" w:rsidR="00313CC8" w:rsidRPr="00B47DC9" w:rsidRDefault="00313CC8" w:rsidP="00313CC8">
      <w:pPr>
        <w:ind w:left="709"/>
        <w:jc w:val="both"/>
        <w:rPr>
          <w:rFonts w:cs="Times New Roman"/>
        </w:rPr>
      </w:pPr>
      <w:r w:rsidRPr="00B47DC9">
        <w:rPr>
          <w:rFonts w:cs="Times New Roman"/>
        </w:rPr>
        <w:t>(4)</w:t>
      </w:r>
      <w:r>
        <w:rPr>
          <w:rFonts w:cs="Times New Roman"/>
        </w:rPr>
        <w:t xml:space="preserve"> </w:t>
      </w:r>
      <w:r w:rsidRPr="00B47DC9">
        <w:rPr>
          <w:rFonts w:cs="Times New Roman"/>
        </w:rPr>
        <w:t>Faz II: 96 Sayılı BM/AEK Düzenlemesi değişiklikleri 01,</w:t>
      </w:r>
      <w:r>
        <w:rPr>
          <w:rFonts w:cs="Times New Roman"/>
        </w:rPr>
        <w:t xml:space="preserve"> </w:t>
      </w:r>
      <w:r w:rsidRPr="00B47DC9">
        <w:rPr>
          <w:rFonts w:cs="Times New Roman"/>
        </w:rPr>
        <w:t>02,</w:t>
      </w:r>
      <w:r>
        <w:rPr>
          <w:rFonts w:cs="Times New Roman"/>
        </w:rPr>
        <w:t xml:space="preserve"> </w:t>
      </w:r>
      <w:r w:rsidRPr="00B47DC9">
        <w:rPr>
          <w:rFonts w:cs="Times New Roman"/>
        </w:rPr>
        <w:t>03 ve 04 serisine uygun olarak 97/68/AT Yönetmeliğinde belirtilen D, E, F ve G kategorilerine ait motorların tip onayları.</w:t>
      </w:r>
    </w:p>
    <w:p w14:paraId="4F772950" w14:textId="77777777" w:rsidR="00313CC8" w:rsidRPr="00B47DC9" w:rsidRDefault="00313CC8" w:rsidP="00313CC8">
      <w:pPr>
        <w:ind w:left="709"/>
        <w:jc w:val="both"/>
        <w:rPr>
          <w:rFonts w:cs="Times New Roman"/>
        </w:rPr>
      </w:pPr>
    </w:p>
    <w:p w14:paraId="2978CC63" w14:textId="77777777" w:rsidR="00313CC8" w:rsidRPr="00B47DC9" w:rsidRDefault="00313CC8" w:rsidP="00313CC8">
      <w:pPr>
        <w:ind w:left="709"/>
        <w:jc w:val="both"/>
        <w:rPr>
          <w:rFonts w:cs="Times New Roman"/>
        </w:rPr>
      </w:pPr>
      <w:r w:rsidRPr="00B47DC9">
        <w:rPr>
          <w:rFonts w:cs="Times New Roman"/>
        </w:rPr>
        <w:t>(5)</w:t>
      </w:r>
      <w:r>
        <w:rPr>
          <w:rFonts w:cs="Times New Roman"/>
        </w:rPr>
        <w:t xml:space="preserve"> </w:t>
      </w:r>
      <w:r w:rsidRPr="00B47DC9">
        <w:rPr>
          <w:rFonts w:cs="Times New Roman"/>
        </w:rPr>
        <w:t>Faz I: 96 Sayılı BM/AEK Düzenlemesi değişiklikleri 00 serisine uygun olarak 97/68/AT Yönetmeliğinde belirtilen A, B ve C kategorilerine ait motorların tip onayları.</w:t>
      </w:r>
    </w:p>
    <w:p w14:paraId="1A45C224" w14:textId="77777777" w:rsidR="00313CC8" w:rsidRPr="00B47DC9" w:rsidRDefault="00313CC8" w:rsidP="00313CC8">
      <w:pPr>
        <w:ind w:left="709" w:hanging="567"/>
        <w:jc w:val="both"/>
        <w:rPr>
          <w:rFonts w:cs="Times New Roman"/>
        </w:rPr>
      </w:pPr>
    </w:p>
    <w:p w14:paraId="0135A032" w14:textId="77777777" w:rsidR="00313CC8" w:rsidRPr="00B47DC9" w:rsidRDefault="00313CC8" w:rsidP="00313CC8">
      <w:pPr>
        <w:ind w:left="709"/>
        <w:jc w:val="both"/>
        <w:rPr>
          <w:rFonts w:cs="Times New Roman"/>
        </w:rPr>
      </w:pPr>
      <w:r w:rsidRPr="00B47DC9">
        <w:rPr>
          <w:rFonts w:cs="Times New Roman"/>
        </w:rPr>
        <w:t>4.1.</w:t>
      </w:r>
      <w:r>
        <w:rPr>
          <w:rFonts w:cs="Times New Roman"/>
        </w:rPr>
        <w:t xml:space="preserve"> </w:t>
      </w:r>
      <w:r w:rsidRPr="00B47DC9">
        <w:rPr>
          <w:rFonts w:cs="Times New Roman"/>
        </w:rPr>
        <w:t>Ek şartlar</w:t>
      </w:r>
    </w:p>
    <w:p w14:paraId="6C16D712" w14:textId="020318C8" w:rsidR="00313CC8" w:rsidRPr="00313CC8" w:rsidRDefault="00313CC8" w:rsidP="00313CC8">
      <w:pPr>
        <w:widowControl/>
        <w:tabs>
          <w:tab w:val="left" w:pos="993"/>
        </w:tabs>
        <w:ind w:left="709"/>
        <w:jc w:val="both"/>
        <w:rPr>
          <w:rFonts w:cs="Times New Roman"/>
        </w:rPr>
      </w:pPr>
      <w:r>
        <w:rPr>
          <w:rFonts w:cs="Times New Roman"/>
        </w:rPr>
        <w:t>Dörd</w:t>
      </w:r>
      <w:r w:rsidRPr="00B47DC9">
        <w:rPr>
          <w:rFonts w:cs="Times New Roman"/>
        </w:rPr>
        <w:t xml:space="preserve">üncü </w:t>
      </w:r>
      <w:r>
        <w:rPr>
          <w:rFonts w:cs="Times New Roman"/>
        </w:rPr>
        <w:t>bent</w:t>
      </w:r>
      <w:r w:rsidRPr="00B47DC9">
        <w:rPr>
          <w:rFonts w:cs="Times New Roman"/>
        </w:rPr>
        <w:t xml:space="preserve"> uyarınca AB tip </w:t>
      </w:r>
      <w:r w:rsidRPr="00F8711C">
        <w:rPr>
          <w:rFonts w:cs="Times New Roman"/>
        </w:rPr>
        <w:t>onayına eşdeğer olarak kabul edilen bir tip onayına sahip motorlara, 2016/1628/AB Yönetmeliği 32</w:t>
      </w:r>
      <w:r>
        <w:rPr>
          <w:rFonts w:cs="Times New Roman"/>
        </w:rPr>
        <w:t xml:space="preserve"> </w:t>
      </w:r>
      <w:r w:rsidRPr="00F8711C">
        <w:rPr>
          <w:rFonts w:cs="Times New Roman"/>
        </w:rPr>
        <w:t xml:space="preserve">nci </w:t>
      </w:r>
      <w:r>
        <w:rPr>
          <w:rFonts w:cs="Times New Roman"/>
        </w:rPr>
        <w:t xml:space="preserve">maddesi </w:t>
      </w:r>
      <w:r w:rsidRPr="00F8711C">
        <w:rPr>
          <w:rFonts w:cs="Times New Roman"/>
        </w:rPr>
        <w:t>ve 33 üncü maddesi</w:t>
      </w:r>
      <w:r>
        <w:rPr>
          <w:rFonts w:cs="Times New Roman"/>
        </w:rPr>
        <w:t>nin</w:t>
      </w:r>
      <w:r w:rsidRPr="00F8711C">
        <w:rPr>
          <w:rFonts w:cs="Times New Roman"/>
        </w:rPr>
        <w:t xml:space="preserve"> ikinci fıkrası ve 2017/656/AB Tebliğinin Ek II ve Ek III’ünde belirtildiği şekilde yasal işaretlemesinde tamamlayıcı ilave bilgiler ve uygunluk ifadesi eşlik </w:t>
      </w:r>
      <w:r w:rsidRPr="00B47DC9">
        <w:rPr>
          <w:rFonts w:cs="Times New Roman"/>
        </w:rPr>
        <w:t>etmelidir.</w:t>
      </w:r>
    </w:p>
    <w:p w14:paraId="0CA6037A" w14:textId="77777777" w:rsidR="00313CC8" w:rsidRDefault="00313CC8" w:rsidP="00313CC8">
      <w:pPr>
        <w:tabs>
          <w:tab w:val="left" w:pos="567"/>
          <w:tab w:val="left" w:pos="851"/>
        </w:tabs>
        <w:ind w:left="709"/>
        <w:jc w:val="both"/>
        <w:rPr>
          <w:rFonts w:cs="Times New Roman"/>
        </w:rPr>
      </w:pPr>
    </w:p>
    <w:p w14:paraId="32D55383" w14:textId="77777777" w:rsidR="00313CC8" w:rsidRDefault="00313CC8" w:rsidP="00313CC8">
      <w:pPr>
        <w:jc w:val="both"/>
        <w:rPr>
          <w:rFonts w:cs="Times New Roman"/>
          <w:bCs/>
        </w:rPr>
      </w:pPr>
    </w:p>
    <w:p w14:paraId="4B6D8B72" w14:textId="77777777" w:rsidR="00313CC8" w:rsidRDefault="00313CC8">
      <w:pPr>
        <w:widowControl/>
        <w:rPr>
          <w:rFonts w:cs="Times New Roman"/>
          <w:bCs/>
        </w:rPr>
      </w:pPr>
      <w:r>
        <w:rPr>
          <w:rFonts w:cs="Times New Roman"/>
          <w:bCs/>
        </w:rPr>
        <w:br w:type="page"/>
      </w:r>
    </w:p>
    <w:p w14:paraId="02F02401" w14:textId="77777777" w:rsidR="00313CC8" w:rsidRPr="00A302B9" w:rsidRDefault="00313CC8" w:rsidP="00313CC8">
      <w:pPr>
        <w:ind w:left="1843" w:hanging="425"/>
        <w:jc w:val="both"/>
        <w:rPr>
          <w:rFonts w:cs="Times New Roman"/>
          <w:bCs/>
        </w:rPr>
      </w:pPr>
    </w:p>
    <w:p w14:paraId="4816FCBC" w14:textId="77777777" w:rsidR="00313CC8" w:rsidRDefault="00313CC8">
      <w:pPr>
        <w:widowControl/>
        <w:rPr>
          <w:rFonts w:eastAsia="Times New Roman" w:cs="Times New Roman"/>
          <w:b/>
          <w:iCs/>
          <w:color w:val="auto"/>
          <w:spacing w:val="-6"/>
        </w:rPr>
      </w:pPr>
    </w:p>
    <w:p w14:paraId="0FB0541D" w14:textId="36CF41AB" w:rsidR="0069783E" w:rsidRPr="00DE12A3" w:rsidRDefault="0069783E" w:rsidP="003A7EF8">
      <w:pPr>
        <w:pStyle w:val="Balk1"/>
        <w:rPr>
          <w:color w:val="auto"/>
        </w:rPr>
      </w:pPr>
      <w:r w:rsidRPr="00DE12A3">
        <w:rPr>
          <w:color w:val="auto"/>
        </w:rPr>
        <w:t>EK XIV</w:t>
      </w:r>
    </w:p>
    <w:p w14:paraId="7A97A510" w14:textId="77777777" w:rsidR="0069783E" w:rsidRPr="00DE12A3" w:rsidRDefault="0069783E" w:rsidP="00C917D6">
      <w:pPr>
        <w:spacing w:before="120" w:after="120"/>
        <w:ind w:left="1134" w:hanging="1134"/>
        <w:jc w:val="center"/>
        <w:rPr>
          <w:rFonts w:cs="Times New Roman"/>
          <w:b/>
          <w:color w:val="auto"/>
        </w:rPr>
      </w:pPr>
      <w:r w:rsidRPr="00DE12A3">
        <w:rPr>
          <w:rFonts w:cs="Times New Roman"/>
          <w:b/>
          <w:color w:val="auto"/>
        </w:rPr>
        <w:t xml:space="preserve">OEM'lere </w:t>
      </w:r>
      <w:r w:rsidR="00514309" w:rsidRPr="00DE12A3">
        <w:rPr>
          <w:rFonts w:cs="Times New Roman"/>
          <w:b/>
          <w:color w:val="auto"/>
        </w:rPr>
        <w:t xml:space="preserve">ilişkin ilgili </w:t>
      </w:r>
      <w:r w:rsidRPr="00DE12A3">
        <w:rPr>
          <w:rFonts w:cs="Times New Roman"/>
          <w:b/>
          <w:color w:val="auto"/>
        </w:rPr>
        <w:t>bilgilerin ve talimatların ayrıntıları</w:t>
      </w:r>
    </w:p>
    <w:p w14:paraId="26A4506C" w14:textId="53F64DE4" w:rsidR="0069783E" w:rsidRPr="00DE12A3" w:rsidRDefault="0069783E" w:rsidP="00C917D6">
      <w:pPr>
        <w:spacing w:before="120" w:after="120"/>
        <w:ind w:left="1134" w:hanging="1134"/>
        <w:jc w:val="both"/>
        <w:rPr>
          <w:rFonts w:cs="Times New Roman"/>
          <w:color w:val="auto"/>
        </w:rPr>
      </w:pPr>
      <w:r w:rsidRPr="00DE12A3">
        <w:rPr>
          <w:rFonts w:cs="Times New Roman"/>
          <w:color w:val="auto"/>
        </w:rPr>
        <w:t>1.</w:t>
      </w:r>
      <w:r w:rsidRPr="00DE12A3">
        <w:rPr>
          <w:rFonts w:cs="Times New Roman"/>
          <w:color w:val="auto"/>
        </w:rPr>
        <w:tab/>
        <w:t xml:space="preserve">2016/1628/AB Yönetmeliğinin </w:t>
      </w:r>
      <w:r w:rsidR="009E122C" w:rsidRPr="00DE12A3">
        <w:rPr>
          <w:rFonts w:cs="Times New Roman"/>
          <w:color w:val="auto"/>
        </w:rPr>
        <w:t>44 üncü</w:t>
      </w:r>
      <w:r w:rsidRPr="00DE12A3">
        <w:rPr>
          <w:rFonts w:cs="Times New Roman"/>
          <w:color w:val="auto"/>
        </w:rPr>
        <w:t xml:space="preserve"> maddesinin ikinci fıkrası gereğince imalatçı, karayolu dışında kullanılan hareketli makinalara monte edildiğinde motorun onaylanan motor tipine uygun olmasını sağlamak için ilgili tüm bilgileri ve talimatları OEM'e sağlamalıdır. Bu amaca yönelik talimatlar OEM'e açıkça belirtilmelidir.</w:t>
      </w:r>
    </w:p>
    <w:p w14:paraId="08AE1196" w14:textId="77777777" w:rsidR="0069783E" w:rsidRPr="00DE12A3" w:rsidRDefault="0069783E" w:rsidP="00C917D6">
      <w:pPr>
        <w:spacing w:before="120" w:after="120"/>
        <w:ind w:left="1134" w:hanging="1134"/>
        <w:jc w:val="both"/>
        <w:rPr>
          <w:rFonts w:cs="Times New Roman"/>
          <w:color w:val="auto"/>
        </w:rPr>
      </w:pPr>
      <w:r w:rsidRPr="00DE12A3">
        <w:rPr>
          <w:rFonts w:cs="Times New Roman"/>
          <w:color w:val="auto"/>
        </w:rPr>
        <w:t>2.</w:t>
      </w:r>
      <w:r w:rsidRPr="00DE12A3">
        <w:rPr>
          <w:rFonts w:cs="Times New Roman"/>
          <w:color w:val="auto"/>
        </w:rPr>
        <w:tab/>
        <w:t>Talimatlar basılı olarak veya yaygın olarak kullanılan bir elektronik formatta sağlanabilir.</w:t>
      </w:r>
    </w:p>
    <w:p w14:paraId="18E54C82" w14:textId="77777777" w:rsidR="0069783E" w:rsidRPr="00DE12A3" w:rsidRDefault="0069783E" w:rsidP="00C917D6">
      <w:pPr>
        <w:spacing w:before="120" w:after="120"/>
        <w:ind w:left="1134" w:hanging="1134"/>
        <w:jc w:val="both"/>
        <w:rPr>
          <w:rFonts w:cs="Times New Roman"/>
          <w:color w:val="auto"/>
        </w:rPr>
      </w:pPr>
      <w:r w:rsidRPr="00DE12A3">
        <w:rPr>
          <w:rFonts w:cs="Times New Roman"/>
          <w:color w:val="auto"/>
        </w:rPr>
        <w:t>3.</w:t>
      </w:r>
      <w:r w:rsidRPr="00DE12A3">
        <w:rPr>
          <w:rFonts w:cs="Times New Roman"/>
          <w:color w:val="auto"/>
        </w:rPr>
        <w:tab/>
        <w:t>Aynı talimatları gerektiren birkaç motorun aynı OEM'e satılması durumunda, yalnızca bir set talimat sağlanması gerekir.</w:t>
      </w:r>
    </w:p>
    <w:p w14:paraId="2FB4E6BA" w14:textId="77777777" w:rsidR="0069783E" w:rsidRPr="00DE12A3" w:rsidRDefault="0069783E" w:rsidP="00C917D6">
      <w:pPr>
        <w:spacing w:before="120" w:after="120"/>
        <w:ind w:left="1134" w:hanging="1134"/>
        <w:jc w:val="both"/>
        <w:rPr>
          <w:rFonts w:cs="Times New Roman"/>
          <w:color w:val="auto"/>
        </w:rPr>
      </w:pPr>
      <w:r w:rsidRPr="00DE12A3">
        <w:rPr>
          <w:rFonts w:cs="Times New Roman"/>
          <w:color w:val="auto"/>
        </w:rPr>
        <w:t>4.</w:t>
      </w:r>
      <w:r w:rsidRPr="00DE12A3">
        <w:rPr>
          <w:rFonts w:cs="Times New Roman"/>
          <w:color w:val="auto"/>
        </w:rPr>
        <w:tab/>
        <w:t>OEM’e sağlanacak bilgi ve talimatlar en azından aşağıdakileri içermelidir:</w:t>
      </w:r>
    </w:p>
    <w:p w14:paraId="4A043CB2" w14:textId="3E91D5BA" w:rsidR="0069783E" w:rsidRPr="00DE12A3" w:rsidRDefault="0069783E" w:rsidP="00C917D6">
      <w:pPr>
        <w:spacing w:before="120" w:after="120"/>
        <w:ind w:left="1701" w:hanging="567"/>
        <w:jc w:val="both"/>
        <w:rPr>
          <w:rFonts w:cs="Times New Roman"/>
          <w:color w:val="auto"/>
        </w:rPr>
      </w:pPr>
      <w:r w:rsidRPr="00DE12A3">
        <w:rPr>
          <w:rFonts w:cs="Times New Roman"/>
          <w:color w:val="auto"/>
        </w:rPr>
        <w:t>(1)</w:t>
      </w:r>
      <w:r w:rsidRPr="00DE12A3">
        <w:rPr>
          <w:rFonts w:cs="Times New Roman"/>
          <w:color w:val="auto"/>
        </w:rPr>
        <w:tab/>
        <w:t xml:space="preserve">Emisyon kontrol sistemi de dahil olmak üzere motor tipinin emisyon performansına ulaşmak için emisyon kontrol sisteminin doğru çalışmasını sağlamak amacıyla dikkate alınması gereken montaj </w:t>
      </w:r>
      <w:r w:rsidR="0053289F" w:rsidRPr="00DE12A3">
        <w:rPr>
          <w:rFonts w:cs="Times New Roman"/>
          <w:color w:val="auto"/>
        </w:rPr>
        <w:t>gereklilikleri</w:t>
      </w:r>
      <w:r w:rsidR="00D437C4" w:rsidRPr="00DE12A3">
        <w:rPr>
          <w:rFonts w:cs="Times New Roman"/>
          <w:color w:val="auto"/>
        </w:rPr>
        <w:t>.</w:t>
      </w:r>
    </w:p>
    <w:p w14:paraId="1F994B50" w14:textId="3506C2B7" w:rsidR="0069783E" w:rsidRPr="00DE12A3" w:rsidRDefault="0069783E" w:rsidP="00C917D6">
      <w:pPr>
        <w:spacing w:before="120" w:after="120"/>
        <w:ind w:left="1701" w:hanging="567"/>
        <w:jc w:val="both"/>
        <w:rPr>
          <w:rFonts w:cs="Times New Roman"/>
          <w:color w:val="auto"/>
        </w:rPr>
      </w:pPr>
      <w:r w:rsidRPr="00DE12A3">
        <w:rPr>
          <w:rFonts w:cs="Times New Roman"/>
          <w:color w:val="auto"/>
        </w:rPr>
        <w:t>(2)</w:t>
      </w:r>
      <w:r w:rsidRPr="00DE12A3">
        <w:rPr>
          <w:rFonts w:cs="Times New Roman"/>
          <w:color w:val="auto"/>
        </w:rPr>
        <w:tab/>
        <w:t>2017/656/AB Tebliği</w:t>
      </w:r>
      <w:r w:rsidR="00E74C7A" w:rsidRPr="00DE12A3">
        <w:rPr>
          <w:rFonts w:cs="Times New Roman"/>
          <w:color w:val="auto"/>
        </w:rPr>
        <w:t>nin</w:t>
      </w:r>
      <w:r w:rsidR="00D437C4" w:rsidRPr="00DE12A3">
        <w:rPr>
          <w:rFonts w:cs="Times New Roman"/>
          <w:color w:val="auto"/>
        </w:rPr>
        <w:t xml:space="preserve"> </w:t>
      </w:r>
      <w:r w:rsidRPr="00DE12A3">
        <w:rPr>
          <w:rFonts w:cs="Times New Roman"/>
          <w:color w:val="auto"/>
        </w:rPr>
        <w:t xml:space="preserve"> </w:t>
      </w:r>
      <w:r w:rsidR="00FA0678" w:rsidRPr="00DE12A3">
        <w:rPr>
          <w:rFonts w:cs="Times New Roman"/>
          <w:color w:val="auto"/>
        </w:rPr>
        <w:t>IV’</w:t>
      </w:r>
      <w:r w:rsidR="00D437C4" w:rsidRPr="00DE12A3">
        <w:rPr>
          <w:rFonts w:cs="Times New Roman"/>
          <w:color w:val="auto"/>
        </w:rPr>
        <w:t>ü</w:t>
      </w:r>
      <w:r w:rsidR="00FA0678" w:rsidRPr="00DE12A3">
        <w:rPr>
          <w:rFonts w:cs="Times New Roman"/>
          <w:color w:val="auto"/>
        </w:rPr>
        <w:t xml:space="preserve">ncü </w:t>
      </w:r>
      <w:r w:rsidR="00EC3EF0" w:rsidRPr="00DE12A3">
        <w:rPr>
          <w:rFonts w:cs="Times New Roman"/>
          <w:color w:val="auto"/>
        </w:rPr>
        <w:t>Ekinde</w:t>
      </w:r>
      <w:r w:rsidRPr="00DE12A3">
        <w:rPr>
          <w:rFonts w:cs="Times New Roman"/>
          <w:color w:val="auto"/>
        </w:rPr>
        <w:t xml:space="preserve"> belirtilen AB tip onayı sertifikasında belirtildiği gibi motorun montajı veya kullanımı ile ilgili özel koşullara veya kısıtlamalara dair bir tarif</w:t>
      </w:r>
      <w:r w:rsidR="00D437C4" w:rsidRPr="00DE12A3">
        <w:rPr>
          <w:rFonts w:cs="Times New Roman"/>
          <w:color w:val="auto"/>
        </w:rPr>
        <w:t>.</w:t>
      </w:r>
    </w:p>
    <w:p w14:paraId="56EAFCF3" w14:textId="5F68C93C" w:rsidR="0069783E" w:rsidRPr="00DE12A3" w:rsidRDefault="0069783E" w:rsidP="00C917D6">
      <w:pPr>
        <w:spacing w:before="120" w:after="120"/>
        <w:ind w:left="1701" w:hanging="567"/>
        <w:jc w:val="both"/>
        <w:rPr>
          <w:rFonts w:cs="Times New Roman"/>
          <w:color w:val="auto"/>
        </w:rPr>
      </w:pPr>
      <w:r w:rsidRPr="00DE12A3">
        <w:rPr>
          <w:rFonts w:cs="Times New Roman"/>
          <w:color w:val="auto"/>
        </w:rPr>
        <w:t>(3)</w:t>
      </w:r>
      <w:r w:rsidRPr="00DE12A3">
        <w:rPr>
          <w:rFonts w:cs="Times New Roman"/>
          <w:color w:val="auto"/>
        </w:rPr>
        <w:tab/>
        <w:t xml:space="preserve">Motor montajının, motorun sadece ait olduğu (alt) kategoriden daha katı gaz ve </w:t>
      </w:r>
      <w:r w:rsidR="007E2039" w:rsidRPr="00DE12A3">
        <w:rPr>
          <w:rFonts w:cs="Times New Roman"/>
          <w:color w:val="auto"/>
        </w:rPr>
        <w:t xml:space="preserve">partikül </w:t>
      </w:r>
      <w:r w:rsidRPr="00DE12A3">
        <w:rPr>
          <w:rFonts w:cs="Times New Roman"/>
          <w:color w:val="auto"/>
        </w:rPr>
        <w:t>kirletici emisyon sınırlarına sahip bir (alt) kategoriye karşılık gelen bir güç aralığında çalıştırılması için motoru kalıcı olarak kısıtlamaması gerektiğini belirten bir açıklama</w:t>
      </w:r>
      <w:r w:rsidR="00D437C4" w:rsidRPr="00DE12A3">
        <w:rPr>
          <w:rFonts w:cs="Times New Roman"/>
          <w:color w:val="auto"/>
        </w:rPr>
        <w:t>.</w:t>
      </w:r>
    </w:p>
    <w:p w14:paraId="0FF6DBA9" w14:textId="51FCEC12" w:rsidR="0069783E" w:rsidRPr="00DE12A3" w:rsidRDefault="0069783E" w:rsidP="00C917D6">
      <w:pPr>
        <w:spacing w:before="120" w:after="120"/>
        <w:ind w:left="1701" w:hanging="567"/>
        <w:jc w:val="both"/>
        <w:rPr>
          <w:rFonts w:cs="Times New Roman"/>
          <w:color w:val="auto"/>
        </w:rPr>
      </w:pPr>
      <w:r w:rsidRPr="00DE12A3">
        <w:rPr>
          <w:rFonts w:cs="Times New Roman"/>
          <w:color w:val="auto"/>
        </w:rPr>
        <w:t>(4)</w:t>
      </w:r>
      <w:r w:rsidRPr="00DE12A3">
        <w:rPr>
          <w:rFonts w:cs="Times New Roman"/>
          <w:color w:val="auto"/>
        </w:rPr>
        <w:tab/>
      </w:r>
      <w:r w:rsidR="00D437C4" w:rsidRPr="00DE12A3">
        <w:rPr>
          <w:rFonts w:cs="Times New Roman"/>
          <w:color w:val="auto"/>
        </w:rPr>
        <w:t xml:space="preserve">Bu Tebliğin </w:t>
      </w:r>
      <w:r w:rsidR="00FA0678" w:rsidRPr="00DE12A3">
        <w:rPr>
          <w:rFonts w:cs="Times New Roman"/>
          <w:color w:val="auto"/>
        </w:rPr>
        <w:t xml:space="preserve">V’inci </w:t>
      </w:r>
      <w:r w:rsidR="000A5707" w:rsidRPr="00DE12A3">
        <w:rPr>
          <w:rFonts w:cs="Times New Roman"/>
          <w:color w:val="auto"/>
        </w:rPr>
        <w:t>E</w:t>
      </w:r>
      <w:r w:rsidR="00FA0678" w:rsidRPr="00DE12A3">
        <w:rPr>
          <w:rFonts w:cs="Times New Roman"/>
          <w:color w:val="auto"/>
        </w:rPr>
        <w:t>k</w:t>
      </w:r>
      <w:r w:rsidRPr="00DE12A3">
        <w:rPr>
          <w:rFonts w:cs="Times New Roman"/>
          <w:color w:val="auto"/>
        </w:rPr>
        <w:t>in</w:t>
      </w:r>
      <w:r w:rsidR="00D437C4" w:rsidRPr="00DE12A3">
        <w:rPr>
          <w:rFonts w:cs="Times New Roman"/>
          <w:color w:val="auto"/>
        </w:rPr>
        <w:t>in</w:t>
      </w:r>
      <w:r w:rsidRPr="00DE12A3">
        <w:rPr>
          <w:rFonts w:cs="Times New Roman"/>
          <w:color w:val="auto"/>
        </w:rPr>
        <w:t xml:space="preserve"> uygulandığı motor aileleri için, geçerli kontrol alanının üst ve alt sınırları ve motor montajının, motorun sadece motorun tork eğrisi için kontrol alanının dışındaki devir ve yük noktalarında çalışmasını engellememesi gerektiğini belirten bir açıklama</w:t>
      </w:r>
      <w:r w:rsidR="00D437C4" w:rsidRPr="00DE12A3">
        <w:rPr>
          <w:rFonts w:cs="Times New Roman"/>
          <w:color w:val="auto"/>
        </w:rPr>
        <w:t>.</w:t>
      </w:r>
    </w:p>
    <w:p w14:paraId="0C558CA8" w14:textId="6EF9503E" w:rsidR="0069783E" w:rsidRPr="00DE12A3" w:rsidRDefault="0069783E" w:rsidP="00C917D6">
      <w:pPr>
        <w:spacing w:before="120" w:after="120"/>
        <w:ind w:left="1701" w:hanging="567"/>
        <w:jc w:val="both"/>
        <w:rPr>
          <w:rFonts w:cs="Times New Roman"/>
          <w:color w:val="auto"/>
        </w:rPr>
      </w:pPr>
      <w:r w:rsidRPr="00DE12A3">
        <w:rPr>
          <w:rFonts w:cs="Times New Roman"/>
          <w:color w:val="auto"/>
        </w:rPr>
        <w:t>(5)</w:t>
      </w:r>
      <w:r w:rsidRPr="00DE12A3">
        <w:rPr>
          <w:rFonts w:cs="Times New Roman"/>
          <w:color w:val="auto"/>
        </w:rPr>
        <w:tab/>
        <w:t xml:space="preserve">Yerine göre, OEM tarafından sağlanan ve motorun parçası olmayan ve takıldığında motorun onaylı motor tipine uygun olmasını sağlamak için gerekli olan bileşenlere ilişkin tasarım </w:t>
      </w:r>
      <w:r w:rsidR="0053289F" w:rsidRPr="00DE12A3">
        <w:rPr>
          <w:rFonts w:cs="Times New Roman"/>
          <w:color w:val="auto"/>
        </w:rPr>
        <w:t>gereklilikleri</w:t>
      </w:r>
      <w:r w:rsidR="00D437C4" w:rsidRPr="00DE12A3">
        <w:rPr>
          <w:rFonts w:cs="Times New Roman"/>
          <w:color w:val="auto"/>
        </w:rPr>
        <w:t>.</w:t>
      </w:r>
    </w:p>
    <w:p w14:paraId="4901CD97" w14:textId="6D885554" w:rsidR="0069783E" w:rsidRPr="00DE12A3" w:rsidRDefault="0069783E" w:rsidP="00C917D6">
      <w:pPr>
        <w:spacing w:before="120" w:after="120"/>
        <w:ind w:left="1701" w:hanging="567"/>
        <w:jc w:val="both"/>
        <w:rPr>
          <w:rFonts w:cs="Times New Roman"/>
          <w:color w:val="auto"/>
        </w:rPr>
      </w:pPr>
      <w:r w:rsidRPr="00DE12A3">
        <w:rPr>
          <w:rFonts w:cs="Times New Roman"/>
          <w:color w:val="auto"/>
        </w:rPr>
        <w:t>(6)</w:t>
      </w:r>
      <w:r w:rsidRPr="00DE12A3">
        <w:rPr>
          <w:rFonts w:cs="Times New Roman"/>
          <w:color w:val="auto"/>
        </w:rPr>
        <w:tab/>
        <w:t xml:space="preserve">Yerine göre, donmaya karşı koruma, ayıraç seviyesinin izlenmesi ve ayıraç numunelerinin alınması için araçlar da dahil olmak üzere ayıraç tankı için tasarım </w:t>
      </w:r>
      <w:r w:rsidR="0053289F" w:rsidRPr="00DE12A3">
        <w:rPr>
          <w:rFonts w:cs="Times New Roman"/>
          <w:color w:val="auto"/>
        </w:rPr>
        <w:t>gereklilikleri</w:t>
      </w:r>
      <w:r w:rsidR="00D437C4" w:rsidRPr="00DE12A3">
        <w:rPr>
          <w:rFonts w:cs="Times New Roman"/>
          <w:color w:val="auto"/>
        </w:rPr>
        <w:t>.</w:t>
      </w:r>
    </w:p>
    <w:p w14:paraId="6538FB69" w14:textId="223E6CA1" w:rsidR="0069783E" w:rsidRPr="00DE12A3" w:rsidRDefault="0069783E" w:rsidP="00C917D6">
      <w:pPr>
        <w:spacing w:before="120" w:after="120"/>
        <w:ind w:left="1701" w:hanging="567"/>
        <w:jc w:val="both"/>
        <w:rPr>
          <w:rFonts w:cs="Times New Roman"/>
          <w:color w:val="auto"/>
        </w:rPr>
      </w:pPr>
      <w:r w:rsidRPr="00DE12A3">
        <w:rPr>
          <w:rFonts w:cs="Times New Roman"/>
          <w:color w:val="auto"/>
        </w:rPr>
        <w:t>(7)</w:t>
      </w:r>
      <w:r w:rsidRPr="00DE12A3">
        <w:rPr>
          <w:rFonts w:cs="Times New Roman"/>
          <w:color w:val="auto"/>
        </w:rPr>
        <w:tab/>
        <w:t>Yerine göre, ısıtılmamış bir ayıraç sisteminin olası montajı hakkında bilgi</w:t>
      </w:r>
      <w:r w:rsidR="00D437C4" w:rsidRPr="00DE12A3">
        <w:rPr>
          <w:rFonts w:cs="Times New Roman"/>
          <w:color w:val="auto"/>
        </w:rPr>
        <w:t>.</w:t>
      </w:r>
    </w:p>
    <w:p w14:paraId="5611D804" w14:textId="4FDA32BB" w:rsidR="0069783E" w:rsidRPr="00DE12A3" w:rsidRDefault="0069783E" w:rsidP="00C917D6">
      <w:pPr>
        <w:spacing w:before="120" w:after="120"/>
        <w:ind w:left="1701" w:hanging="567"/>
        <w:jc w:val="both"/>
        <w:rPr>
          <w:rFonts w:cs="Times New Roman"/>
          <w:color w:val="auto"/>
        </w:rPr>
      </w:pPr>
      <w:r w:rsidRPr="00DE12A3">
        <w:rPr>
          <w:rFonts w:cs="Times New Roman"/>
          <w:color w:val="auto"/>
        </w:rPr>
        <w:t>(8)</w:t>
      </w:r>
      <w:r w:rsidRPr="00DE12A3">
        <w:rPr>
          <w:rFonts w:cs="Times New Roman"/>
          <w:color w:val="auto"/>
        </w:rPr>
        <w:tab/>
        <w:t>Yerine göre, motorun yalnızca kar püskürtücülere monte edilmek üzere tasarlandığını belirten bir açıklama</w:t>
      </w:r>
      <w:r w:rsidR="00D437C4" w:rsidRPr="00DE12A3">
        <w:rPr>
          <w:rFonts w:cs="Times New Roman"/>
          <w:color w:val="auto"/>
        </w:rPr>
        <w:t>.</w:t>
      </w:r>
    </w:p>
    <w:p w14:paraId="0598E860" w14:textId="78CEE182" w:rsidR="0069783E" w:rsidRPr="00DE12A3" w:rsidRDefault="0069783E" w:rsidP="00C917D6">
      <w:pPr>
        <w:spacing w:before="120" w:after="120"/>
        <w:ind w:left="1701" w:hanging="567"/>
        <w:jc w:val="both"/>
        <w:rPr>
          <w:rFonts w:cs="Times New Roman"/>
          <w:color w:val="auto"/>
        </w:rPr>
      </w:pPr>
      <w:r w:rsidRPr="00DE12A3">
        <w:rPr>
          <w:rFonts w:cs="Times New Roman"/>
          <w:color w:val="auto"/>
        </w:rPr>
        <w:t>(9)</w:t>
      </w:r>
      <w:r w:rsidRPr="00DE12A3">
        <w:rPr>
          <w:rFonts w:cs="Times New Roman"/>
          <w:color w:val="auto"/>
        </w:rPr>
        <w:tab/>
        <w:t xml:space="preserve">Yerine göre, OEM’in </w:t>
      </w:r>
      <w:r w:rsidR="00D437C4" w:rsidRPr="00DE12A3">
        <w:rPr>
          <w:rFonts w:cs="Times New Roman"/>
          <w:color w:val="auto"/>
        </w:rPr>
        <w:t xml:space="preserve">bu Tebliğin </w:t>
      </w:r>
      <w:r w:rsidRPr="00DE12A3">
        <w:rPr>
          <w:rFonts w:cs="Times New Roman"/>
          <w:color w:val="auto"/>
        </w:rPr>
        <w:t>IV</w:t>
      </w:r>
      <w:r w:rsidR="00D437C4" w:rsidRPr="00DE12A3">
        <w:rPr>
          <w:rFonts w:cs="Times New Roman"/>
          <w:color w:val="auto"/>
        </w:rPr>
        <w:t>’</w:t>
      </w:r>
      <w:r w:rsidR="007F6E28" w:rsidRPr="00DE12A3">
        <w:rPr>
          <w:rFonts w:cs="Times New Roman"/>
          <w:color w:val="auto"/>
        </w:rPr>
        <w:t>ün</w:t>
      </w:r>
      <w:r w:rsidR="00D437C4" w:rsidRPr="00DE12A3">
        <w:rPr>
          <w:rFonts w:cs="Times New Roman"/>
          <w:color w:val="auto"/>
        </w:rPr>
        <w:t>cü</w:t>
      </w:r>
      <w:r w:rsidR="007F6E28" w:rsidRPr="00DE12A3">
        <w:rPr>
          <w:rFonts w:cs="Times New Roman"/>
          <w:color w:val="auto"/>
        </w:rPr>
        <w:t xml:space="preserve"> </w:t>
      </w:r>
      <w:r w:rsidR="00E74C7A" w:rsidRPr="00DE12A3">
        <w:rPr>
          <w:rFonts w:cs="Times New Roman"/>
          <w:color w:val="auto"/>
        </w:rPr>
        <w:t>E</w:t>
      </w:r>
      <w:r w:rsidRPr="00DE12A3">
        <w:rPr>
          <w:rFonts w:cs="Times New Roman"/>
          <w:color w:val="auto"/>
        </w:rPr>
        <w:t>kin</w:t>
      </w:r>
      <w:r w:rsidR="00D437C4" w:rsidRPr="00DE12A3">
        <w:rPr>
          <w:rFonts w:cs="Times New Roman"/>
          <w:color w:val="auto"/>
        </w:rPr>
        <w:t>in</w:t>
      </w:r>
      <w:r w:rsidRPr="00DE12A3">
        <w:rPr>
          <w:rFonts w:cs="Times New Roman"/>
          <w:color w:val="auto"/>
        </w:rPr>
        <w:t xml:space="preserve"> 1 ila </w:t>
      </w:r>
      <w:r w:rsidR="00CD23C3" w:rsidRPr="00DE12A3">
        <w:rPr>
          <w:rFonts w:cs="Times New Roman"/>
          <w:color w:val="auto"/>
        </w:rPr>
        <w:t>4. Açıklayıcı Ek</w:t>
      </w:r>
      <w:r w:rsidRPr="00DE12A3">
        <w:rPr>
          <w:rFonts w:cs="Times New Roman"/>
          <w:color w:val="auto"/>
        </w:rPr>
        <w:t>lerinde belirtildiği gibi bir uyarı sistemi sağlaması gerektiğini belirten bir açıklama</w:t>
      </w:r>
      <w:r w:rsidR="00D437C4" w:rsidRPr="00DE12A3">
        <w:rPr>
          <w:rFonts w:cs="Times New Roman"/>
          <w:color w:val="auto"/>
        </w:rPr>
        <w:t>.</w:t>
      </w:r>
    </w:p>
    <w:p w14:paraId="561752F6" w14:textId="39EAA186" w:rsidR="009F4766" w:rsidRPr="00DE12A3" w:rsidRDefault="0069783E" w:rsidP="00C917D6">
      <w:pPr>
        <w:spacing w:before="120" w:after="120"/>
        <w:ind w:left="1701" w:hanging="567"/>
        <w:jc w:val="both"/>
        <w:rPr>
          <w:rFonts w:cs="Times New Roman"/>
          <w:color w:val="auto"/>
        </w:rPr>
      </w:pPr>
      <w:r w:rsidRPr="00DE12A3">
        <w:rPr>
          <w:rFonts w:cs="Times New Roman"/>
          <w:color w:val="auto"/>
        </w:rPr>
        <w:t>(10)</w:t>
      </w:r>
      <w:r w:rsidRPr="00DE12A3">
        <w:rPr>
          <w:rFonts w:cs="Times New Roman"/>
          <w:color w:val="auto"/>
        </w:rPr>
        <w:tab/>
        <w:t xml:space="preserve">Yerine göre, motor ile karayolu dışında kullanılan hareketli makina arasındaki, (9) </w:t>
      </w:r>
      <w:r w:rsidR="00D437C4" w:rsidRPr="00DE12A3">
        <w:rPr>
          <w:rFonts w:cs="Times New Roman"/>
          <w:color w:val="auto"/>
        </w:rPr>
        <w:t xml:space="preserve">numaralı bentte </w:t>
      </w:r>
      <w:r w:rsidRPr="00DE12A3">
        <w:rPr>
          <w:rFonts w:cs="Times New Roman"/>
          <w:color w:val="auto"/>
        </w:rPr>
        <w:t>belirtilen operatör uyarı sistemi arayüzü hakkında bilgi</w:t>
      </w:r>
      <w:r w:rsidR="00D437C4" w:rsidRPr="00DE12A3">
        <w:rPr>
          <w:rFonts w:cs="Times New Roman"/>
          <w:color w:val="auto"/>
        </w:rPr>
        <w:t>.</w:t>
      </w:r>
    </w:p>
    <w:p w14:paraId="57D68806" w14:textId="79435D0E" w:rsidR="007F6E28" w:rsidRPr="00DE12A3" w:rsidRDefault="007F6E28" w:rsidP="00C917D6">
      <w:pPr>
        <w:spacing w:before="120" w:after="120"/>
        <w:ind w:left="1701" w:hanging="567"/>
        <w:jc w:val="both"/>
        <w:rPr>
          <w:rFonts w:cs="Times New Roman"/>
          <w:color w:val="auto"/>
        </w:rPr>
      </w:pPr>
      <w:r w:rsidRPr="00DE12A3">
        <w:rPr>
          <w:rFonts w:cs="Times New Roman"/>
          <w:color w:val="auto"/>
        </w:rPr>
        <w:t>(11)</w:t>
      </w:r>
      <w:r w:rsidRPr="00DE12A3">
        <w:rPr>
          <w:rFonts w:cs="Times New Roman"/>
          <w:color w:val="auto"/>
        </w:rPr>
        <w:tab/>
        <w:t xml:space="preserve">Yerine göre, motor ile karayolu dışında kullanılan hareketli makina arasındaki, </w:t>
      </w:r>
      <w:r w:rsidR="00FA0678" w:rsidRPr="00DE12A3">
        <w:rPr>
          <w:rFonts w:cs="Times New Roman"/>
          <w:color w:val="auto"/>
        </w:rPr>
        <w:t>IV’</w:t>
      </w:r>
      <w:r w:rsidR="00D437C4" w:rsidRPr="00DE12A3">
        <w:rPr>
          <w:rFonts w:cs="Times New Roman"/>
          <w:color w:val="auto"/>
        </w:rPr>
        <w:t>ü</w:t>
      </w:r>
      <w:r w:rsidR="00FA0678" w:rsidRPr="00DE12A3">
        <w:rPr>
          <w:rFonts w:cs="Times New Roman"/>
          <w:color w:val="auto"/>
        </w:rPr>
        <w:t xml:space="preserve">ncü </w:t>
      </w:r>
      <w:r w:rsidR="00BF5FC6" w:rsidRPr="00DE12A3">
        <w:rPr>
          <w:rFonts w:cs="Times New Roman"/>
          <w:color w:val="auto"/>
        </w:rPr>
        <w:t>E</w:t>
      </w:r>
      <w:r w:rsidR="00FA0678" w:rsidRPr="00DE12A3">
        <w:rPr>
          <w:rFonts w:cs="Times New Roman"/>
          <w:color w:val="auto"/>
        </w:rPr>
        <w:t>k</w:t>
      </w:r>
      <w:r w:rsidRPr="00DE12A3">
        <w:rPr>
          <w:rFonts w:cs="Times New Roman"/>
          <w:color w:val="auto"/>
        </w:rPr>
        <w:t xml:space="preserve">in </w:t>
      </w:r>
      <w:r w:rsidR="00FA0678" w:rsidRPr="00DE12A3">
        <w:rPr>
          <w:rFonts w:cs="Times New Roman"/>
          <w:color w:val="auto"/>
        </w:rPr>
        <w:t>1. Açıklayıcı Ekin</w:t>
      </w:r>
      <w:r w:rsidRPr="00DE12A3">
        <w:rPr>
          <w:rFonts w:cs="Times New Roman"/>
          <w:color w:val="auto"/>
        </w:rPr>
        <w:t xml:space="preserve">in 5. </w:t>
      </w:r>
      <w:r w:rsidR="00A610FC" w:rsidRPr="00DE12A3">
        <w:rPr>
          <w:rFonts w:cs="Times New Roman"/>
          <w:color w:val="auto"/>
        </w:rPr>
        <w:t>Bölüm</w:t>
      </w:r>
      <w:r w:rsidRPr="00DE12A3">
        <w:rPr>
          <w:rFonts w:cs="Times New Roman"/>
          <w:color w:val="auto"/>
        </w:rPr>
        <w:t xml:space="preserve">ünde belirtilen </w:t>
      </w:r>
      <w:r w:rsidRPr="00DE12A3">
        <w:rPr>
          <w:rFonts w:cs="Times New Roman"/>
          <w:color w:val="auto"/>
        </w:rPr>
        <w:lastRenderedPageBreak/>
        <w:t>operatör ikna sistemi arayüzü hakkında bilgi</w:t>
      </w:r>
      <w:r w:rsidR="00D437C4" w:rsidRPr="00DE12A3">
        <w:rPr>
          <w:rFonts w:cs="Times New Roman"/>
          <w:color w:val="auto"/>
        </w:rPr>
        <w:t>.</w:t>
      </w:r>
    </w:p>
    <w:p w14:paraId="5C2D3428" w14:textId="2855D7F3" w:rsidR="007F6E28" w:rsidRPr="00DE12A3" w:rsidRDefault="007F6E28" w:rsidP="00C917D6">
      <w:pPr>
        <w:spacing w:before="120" w:after="120"/>
        <w:ind w:left="1701" w:hanging="567"/>
        <w:jc w:val="both"/>
        <w:rPr>
          <w:rFonts w:cs="Times New Roman"/>
          <w:color w:val="auto"/>
        </w:rPr>
      </w:pPr>
      <w:r w:rsidRPr="00DE12A3">
        <w:rPr>
          <w:rFonts w:cs="Times New Roman"/>
          <w:color w:val="auto"/>
        </w:rPr>
        <w:t>(12)</w:t>
      </w:r>
      <w:r w:rsidRPr="00DE12A3">
        <w:rPr>
          <w:rFonts w:cs="Times New Roman"/>
          <w:color w:val="auto"/>
        </w:rPr>
        <w:tab/>
        <w:t xml:space="preserve">Yerine göre, </w:t>
      </w:r>
      <w:r w:rsidR="00FA0678" w:rsidRPr="00DE12A3">
        <w:rPr>
          <w:rFonts w:cs="Times New Roman"/>
          <w:color w:val="auto"/>
        </w:rPr>
        <w:t>IV’</w:t>
      </w:r>
      <w:r w:rsidR="00D437C4" w:rsidRPr="00DE12A3">
        <w:rPr>
          <w:rFonts w:cs="Times New Roman"/>
          <w:color w:val="auto"/>
        </w:rPr>
        <w:t>ü</w:t>
      </w:r>
      <w:r w:rsidR="00FA0678" w:rsidRPr="00DE12A3">
        <w:rPr>
          <w:rFonts w:cs="Times New Roman"/>
          <w:color w:val="auto"/>
        </w:rPr>
        <w:t xml:space="preserve">ncü </w:t>
      </w:r>
      <w:r w:rsidR="00BF5FC6" w:rsidRPr="00DE12A3">
        <w:rPr>
          <w:rFonts w:cs="Times New Roman"/>
          <w:color w:val="auto"/>
        </w:rPr>
        <w:t>E</w:t>
      </w:r>
      <w:r w:rsidR="00FA0678" w:rsidRPr="00DE12A3">
        <w:rPr>
          <w:rFonts w:cs="Times New Roman"/>
          <w:color w:val="auto"/>
        </w:rPr>
        <w:t>k</w:t>
      </w:r>
      <w:r w:rsidRPr="00DE12A3">
        <w:rPr>
          <w:rFonts w:cs="Times New Roman"/>
          <w:color w:val="auto"/>
        </w:rPr>
        <w:t xml:space="preserve">in </w:t>
      </w:r>
      <w:r w:rsidR="00FA0678" w:rsidRPr="00DE12A3">
        <w:rPr>
          <w:rFonts w:cs="Times New Roman"/>
          <w:color w:val="auto"/>
        </w:rPr>
        <w:t>1. Açıklayıcı Ekin</w:t>
      </w:r>
      <w:r w:rsidRPr="00DE12A3">
        <w:rPr>
          <w:rFonts w:cs="Times New Roman"/>
          <w:color w:val="auto"/>
        </w:rPr>
        <w:t>in 5.2.1 bendinde tanımlanan operatör ikna sisteminin geçici olarak devre dışı bırakılmasına yönelik bir imkan hakkında bilgi</w:t>
      </w:r>
      <w:r w:rsidR="00D437C4" w:rsidRPr="00DE12A3">
        <w:rPr>
          <w:rFonts w:cs="Times New Roman"/>
          <w:color w:val="auto"/>
        </w:rPr>
        <w:t>.</w:t>
      </w:r>
    </w:p>
    <w:p w14:paraId="4D36C489" w14:textId="004A547B" w:rsidR="007F6E28" w:rsidRPr="00DE12A3" w:rsidRDefault="007F6E28" w:rsidP="00C917D6">
      <w:pPr>
        <w:spacing w:before="120" w:after="120"/>
        <w:ind w:left="1701" w:hanging="567"/>
        <w:jc w:val="both"/>
        <w:rPr>
          <w:rFonts w:cs="Times New Roman"/>
          <w:color w:val="auto"/>
        </w:rPr>
      </w:pPr>
      <w:r w:rsidRPr="00DE12A3">
        <w:rPr>
          <w:rFonts w:cs="Times New Roman"/>
          <w:color w:val="auto"/>
        </w:rPr>
        <w:t>(13)</w:t>
      </w:r>
      <w:r w:rsidRPr="00DE12A3">
        <w:rPr>
          <w:rFonts w:cs="Times New Roman"/>
          <w:color w:val="auto"/>
        </w:rPr>
        <w:tab/>
        <w:t>Yerine göre, IV</w:t>
      </w:r>
      <w:r w:rsidR="003F124E" w:rsidRPr="00DE12A3">
        <w:rPr>
          <w:rFonts w:cs="Times New Roman"/>
          <w:color w:val="auto"/>
        </w:rPr>
        <w:t xml:space="preserve">’üncü </w:t>
      </w:r>
      <w:r w:rsidR="00BF5FC6" w:rsidRPr="00DE12A3">
        <w:rPr>
          <w:rFonts w:cs="Times New Roman"/>
          <w:color w:val="auto"/>
        </w:rPr>
        <w:t>E</w:t>
      </w:r>
      <w:r w:rsidRPr="00DE12A3">
        <w:rPr>
          <w:rFonts w:cs="Times New Roman"/>
          <w:color w:val="auto"/>
        </w:rPr>
        <w:t xml:space="preserve">kin </w:t>
      </w:r>
      <w:r w:rsidR="00FA0678" w:rsidRPr="00DE12A3">
        <w:rPr>
          <w:rFonts w:cs="Times New Roman"/>
          <w:color w:val="auto"/>
        </w:rPr>
        <w:t>1. Açıklayıcı Ekin</w:t>
      </w:r>
      <w:r w:rsidRPr="00DE12A3">
        <w:rPr>
          <w:rFonts w:cs="Times New Roman"/>
          <w:color w:val="auto"/>
        </w:rPr>
        <w:t>in 5.5 bendinde tanımlanan ikna geçersiz kılma işlevi hakkında bilgi</w:t>
      </w:r>
      <w:r w:rsidR="00D437C4" w:rsidRPr="00DE12A3">
        <w:rPr>
          <w:rFonts w:cs="Times New Roman"/>
          <w:color w:val="auto"/>
        </w:rPr>
        <w:t>.</w:t>
      </w:r>
    </w:p>
    <w:p w14:paraId="491EAC16" w14:textId="3E97A5EF" w:rsidR="007F6E28" w:rsidRPr="00DE12A3" w:rsidRDefault="007F6E28" w:rsidP="00C917D6">
      <w:pPr>
        <w:spacing w:before="120" w:after="120"/>
        <w:ind w:left="1701" w:hanging="567"/>
        <w:jc w:val="both"/>
        <w:rPr>
          <w:rFonts w:cs="Times New Roman"/>
          <w:color w:val="auto"/>
        </w:rPr>
      </w:pPr>
      <w:r w:rsidRPr="00DE12A3">
        <w:rPr>
          <w:rFonts w:cs="Times New Roman"/>
          <w:color w:val="auto"/>
        </w:rPr>
        <w:t>(14)</w:t>
      </w:r>
      <w:r w:rsidRPr="00DE12A3">
        <w:rPr>
          <w:rFonts w:cs="Times New Roman"/>
          <w:color w:val="auto"/>
        </w:rPr>
        <w:tab/>
        <w:t>Iki yakıtlı motorlar durumunda</w:t>
      </w:r>
      <w:r w:rsidR="00D437C4" w:rsidRPr="00DE12A3">
        <w:rPr>
          <w:rFonts w:cs="Times New Roman"/>
          <w:color w:val="auto"/>
        </w:rPr>
        <w:t>;</w:t>
      </w:r>
    </w:p>
    <w:p w14:paraId="38BCAC8C" w14:textId="5AC5A4F4" w:rsidR="007F6E28" w:rsidRPr="00DE12A3" w:rsidRDefault="007F6E28" w:rsidP="00C917D6">
      <w:pPr>
        <w:spacing w:before="120" w:after="120"/>
        <w:ind w:left="2410" w:hanging="709"/>
        <w:jc w:val="both"/>
        <w:rPr>
          <w:rFonts w:cs="Times New Roman"/>
          <w:color w:val="auto"/>
        </w:rPr>
      </w:pPr>
      <w:r w:rsidRPr="00DE12A3">
        <w:rPr>
          <w:rFonts w:cs="Times New Roman"/>
          <w:color w:val="auto"/>
        </w:rPr>
        <w:t>(a)</w:t>
      </w:r>
      <w:r w:rsidRPr="00DE12A3">
        <w:rPr>
          <w:rFonts w:cs="Times New Roman"/>
          <w:color w:val="auto"/>
        </w:rPr>
        <w:tab/>
        <w:t>OEM’in, VIII</w:t>
      </w:r>
      <w:r w:rsidR="003F124E" w:rsidRPr="00DE12A3">
        <w:rPr>
          <w:rFonts w:cs="Times New Roman"/>
          <w:color w:val="auto"/>
        </w:rPr>
        <w:t xml:space="preserve">’inci </w:t>
      </w:r>
      <w:r w:rsidR="00A82A16" w:rsidRPr="00DE12A3">
        <w:rPr>
          <w:rFonts w:cs="Times New Roman"/>
          <w:color w:val="auto"/>
        </w:rPr>
        <w:t>E</w:t>
      </w:r>
      <w:r w:rsidRPr="00DE12A3">
        <w:rPr>
          <w:rFonts w:cs="Times New Roman"/>
          <w:color w:val="auto"/>
        </w:rPr>
        <w:t>kin 4.3.1 bendinde belirtilen şekilde bir iki yakıtlı işletim modu göstergesi sağlaması gerektiğini belirten bir açıklama</w:t>
      </w:r>
      <w:r w:rsidR="00D437C4" w:rsidRPr="00DE12A3">
        <w:rPr>
          <w:rFonts w:cs="Times New Roman"/>
          <w:color w:val="auto"/>
        </w:rPr>
        <w:t>.</w:t>
      </w:r>
    </w:p>
    <w:p w14:paraId="3934478F" w14:textId="6B5618C7" w:rsidR="007F6E28" w:rsidRPr="00DE12A3" w:rsidRDefault="007F6E28" w:rsidP="00C917D6">
      <w:pPr>
        <w:spacing w:before="120" w:after="120"/>
        <w:ind w:left="2410" w:hanging="709"/>
        <w:jc w:val="both"/>
        <w:rPr>
          <w:rFonts w:cs="Times New Roman"/>
          <w:color w:val="auto"/>
        </w:rPr>
      </w:pPr>
      <w:r w:rsidRPr="00DE12A3">
        <w:rPr>
          <w:rFonts w:cs="Times New Roman"/>
          <w:color w:val="auto"/>
        </w:rPr>
        <w:t>(b)</w:t>
      </w:r>
      <w:r w:rsidRPr="00DE12A3">
        <w:rPr>
          <w:rFonts w:cs="Times New Roman"/>
          <w:color w:val="auto"/>
        </w:rPr>
        <w:tab/>
        <w:t>OEM’in, VIII</w:t>
      </w:r>
      <w:r w:rsidR="003F124E" w:rsidRPr="00DE12A3">
        <w:rPr>
          <w:rFonts w:cs="Times New Roman"/>
          <w:color w:val="auto"/>
        </w:rPr>
        <w:t xml:space="preserve">’inci </w:t>
      </w:r>
      <w:r w:rsidR="00A82A16" w:rsidRPr="00DE12A3">
        <w:rPr>
          <w:rFonts w:cs="Times New Roman"/>
          <w:color w:val="auto"/>
        </w:rPr>
        <w:t>E</w:t>
      </w:r>
      <w:r w:rsidRPr="00DE12A3">
        <w:rPr>
          <w:rFonts w:cs="Times New Roman"/>
          <w:color w:val="auto"/>
        </w:rPr>
        <w:t>kin 4.3.2 bendinde belirtilen şekilde bir iki yakıtlı uyarı sistemi sağlaması gerektiğini belirten bir açıklama</w:t>
      </w:r>
      <w:r w:rsidR="00D437C4" w:rsidRPr="00DE12A3">
        <w:rPr>
          <w:rFonts w:cs="Times New Roman"/>
          <w:color w:val="auto"/>
        </w:rPr>
        <w:t>.</w:t>
      </w:r>
    </w:p>
    <w:p w14:paraId="25AA047B" w14:textId="108A5A26" w:rsidR="007F6E28" w:rsidRPr="00DE12A3" w:rsidRDefault="007F6E28" w:rsidP="00C917D6">
      <w:pPr>
        <w:spacing w:before="120" w:after="120"/>
        <w:ind w:left="2410" w:hanging="709"/>
        <w:jc w:val="both"/>
        <w:rPr>
          <w:rFonts w:cs="Times New Roman"/>
          <w:color w:val="auto"/>
        </w:rPr>
      </w:pPr>
      <w:r w:rsidRPr="00DE12A3">
        <w:rPr>
          <w:rFonts w:cs="Times New Roman"/>
          <w:color w:val="auto"/>
        </w:rPr>
        <w:t>(c)</w:t>
      </w:r>
      <w:r w:rsidRPr="00DE12A3">
        <w:rPr>
          <w:rFonts w:cs="Times New Roman"/>
          <w:color w:val="auto"/>
        </w:rPr>
        <w:tab/>
        <w:t xml:space="preserve">Motor ile karayolu dışında kullanılan hareketli makina arasındaki, </w:t>
      </w:r>
      <w:r w:rsidR="00D437C4" w:rsidRPr="00DE12A3">
        <w:rPr>
          <w:rFonts w:cs="Times New Roman"/>
          <w:color w:val="auto"/>
        </w:rPr>
        <w:t>(</w:t>
      </w:r>
      <w:r w:rsidRPr="00DE12A3">
        <w:rPr>
          <w:rFonts w:cs="Times New Roman"/>
          <w:color w:val="auto"/>
        </w:rPr>
        <w:t xml:space="preserve">a) ve (b) </w:t>
      </w:r>
      <w:r w:rsidR="00D437C4" w:rsidRPr="00DE12A3">
        <w:rPr>
          <w:rFonts w:cs="Times New Roman"/>
          <w:color w:val="auto"/>
        </w:rPr>
        <w:t xml:space="preserve">alt </w:t>
      </w:r>
      <w:r w:rsidRPr="00DE12A3">
        <w:rPr>
          <w:rFonts w:cs="Times New Roman"/>
          <w:color w:val="auto"/>
        </w:rPr>
        <w:t>bentlerinde belirtilen operatör gösterge ve uyarı sistemi arayüzü hakkında bilgi</w:t>
      </w:r>
      <w:r w:rsidR="00D437C4" w:rsidRPr="00DE12A3">
        <w:rPr>
          <w:rFonts w:cs="Times New Roman"/>
          <w:color w:val="auto"/>
        </w:rPr>
        <w:t>.</w:t>
      </w:r>
    </w:p>
    <w:p w14:paraId="067A99C2" w14:textId="26B1230C" w:rsidR="007F6E28" w:rsidRPr="00DE12A3" w:rsidRDefault="007F6E28" w:rsidP="00C917D6">
      <w:pPr>
        <w:spacing w:before="120" w:after="120"/>
        <w:ind w:left="1701" w:hanging="567"/>
        <w:jc w:val="both"/>
        <w:rPr>
          <w:rFonts w:cs="Times New Roman"/>
          <w:color w:val="auto"/>
        </w:rPr>
      </w:pPr>
      <w:r w:rsidRPr="00DE12A3">
        <w:rPr>
          <w:rFonts w:cs="Times New Roman"/>
          <w:color w:val="auto"/>
        </w:rPr>
        <w:t>(15)</w:t>
      </w:r>
      <w:r w:rsidRPr="00DE12A3">
        <w:rPr>
          <w:rFonts w:cs="Times New Roman"/>
          <w:color w:val="auto"/>
        </w:rPr>
        <w:tab/>
        <w:t xml:space="preserve">2017/656/AB </w:t>
      </w:r>
      <w:r w:rsidR="00970747" w:rsidRPr="00DE12A3">
        <w:rPr>
          <w:rFonts w:cs="Times New Roman"/>
          <w:color w:val="auto"/>
        </w:rPr>
        <w:t>Tebliği</w:t>
      </w:r>
      <w:r w:rsidR="00E74C7A" w:rsidRPr="00DE12A3">
        <w:rPr>
          <w:rFonts w:cs="Times New Roman"/>
          <w:color w:val="auto"/>
        </w:rPr>
        <w:t>nin</w:t>
      </w:r>
      <w:r w:rsidR="00970747" w:rsidRPr="00DE12A3">
        <w:rPr>
          <w:rFonts w:cs="Times New Roman"/>
          <w:color w:val="auto"/>
        </w:rPr>
        <w:t xml:space="preserve"> IX’uncu </w:t>
      </w:r>
      <w:r w:rsidR="00EC3EF0" w:rsidRPr="00DE12A3">
        <w:rPr>
          <w:rFonts w:cs="Times New Roman"/>
          <w:color w:val="auto"/>
        </w:rPr>
        <w:t>Ekinin</w:t>
      </w:r>
      <w:r w:rsidR="00EE5D5E" w:rsidRPr="00DE12A3">
        <w:rPr>
          <w:rFonts w:cs="Times New Roman"/>
          <w:color w:val="auto"/>
        </w:rPr>
        <w:t xml:space="preserve"> </w:t>
      </w:r>
      <w:r w:rsidRPr="00DE12A3">
        <w:rPr>
          <w:rFonts w:cs="Times New Roman"/>
          <w:color w:val="auto"/>
        </w:rPr>
        <w:t>1.1.1.2 bendinde belirtilen bir veya birk</w:t>
      </w:r>
      <w:r w:rsidR="00E74C7A" w:rsidRPr="00DE12A3">
        <w:rPr>
          <w:rFonts w:cs="Times New Roman"/>
          <w:color w:val="auto"/>
        </w:rPr>
        <w:t>a</w:t>
      </w:r>
      <w:r w:rsidRPr="00DE12A3">
        <w:rPr>
          <w:rFonts w:cs="Times New Roman"/>
          <w:color w:val="auto"/>
        </w:rPr>
        <w:t>ç başka iç su yolu uygulamasında kullanılması onaylanmış olan, IWP kategorisindeki değişken devirli bir motor durumunda, motorun tip onayı aldığı ve monte edildiğinde ayarlanabilecek her (alt) kategori ve çalışma modu (devir çalışması) ile ilgili ayrıntılar</w:t>
      </w:r>
      <w:r w:rsidR="00D437C4" w:rsidRPr="00DE12A3">
        <w:rPr>
          <w:rFonts w:cs="Times New Roman"/>
          <w:color w:val="auto"/>
        </w:rPr>
        <w:t>.</w:t>
      </w:r>
    </w:p>
    <w:p w14:paraId="28696E5C" w14:textId="07F81FFF" w:rsidR="007F6E28" w:rsidRPr="00DE12A3" w:rsidRDefault="007F6E28" w:rsidP="00C917D6">
      <w:pPr>
        <w:spacing w:before="120" w:after="120"/>
        <w:ind w:left="1701" w:hanging="567"/>
        <w:jc w:val="both"/>
        <w:rPr>
          <w:rFonts w:cs="Times New Roman"/>
          <w:color w:val="auto"/>
        </w:rPr>
      </w:pPr>
      <w:r w:rsidRPr="00DE12A3">
        <w:rPr>
          <w:rFonts w:cs="Times New Roman"/>
          <w:color w:val="auto"/>
        </w:rPr>
        <w:t>(16)</w:t>
      </w:r>
      <w:r w:rsidRPr="00DE12A3">
        <w:rPr>
          <w:rFonts w:cs="Times New Roman"/>
          <w:color w:val="auto"/>
        </w:rPr>
        <w:tab/>
        <w:t>2017/656/AB Tebliği</w:t>
      </w:r>
      <w:r w:rsidR="00E74C7A" w:rsidRPr="00DE12A3">
        <w:rPr>
          <w:rFonts w:cs="Times New Roman"/>
          <w:color w:val="auto"/>
        </w:rPr>
        <w:t>ni</w:t>
      </w:r>
      <w:r w:rsidR="00D437C4" w:rsidRPr="00DE12A3">
        <w:rPr>
          <w:rFonts w:cs="Times New Roman"/>
          <w:color w:val="auto"/>
        </w:rPr>
        <w:t xml:space="preserve">n </w:t>
      </w:r>
      <w:r w:rsidR="00970747" w:rsidRPr="00DE12A3">
        <w:rPr>
          <w:rFonts w:cs="Times New Roman"/>
          <w:color w:val="auto"/>
        </w:rPr>
        <w:t xml:space="preserve">IX’uncu </w:t>
      </w:r>
      <w:r w:rsidR="00EC3EF0" w:rsidRPr="00DE12A3">
        <w:rPr>
          <w:rFonts w:cs="Times New Roman"/>
          <w:color w:val="auto"/>
        </w:rPr>
        <w:t>Ekinin</w:t>
      </w:r>
      <w:r w:rsidR="00EE5D5E" w:rsidRPr="00DE12A3">
        <w:rPr>
          <w:rFonts w:cs="Times New Roman"/>
          <w:color w:val="auto"/>
        </w:rPr>
        <w:t xml:space="preserve"> </w:t>
      </w:r>
      <w:r w:rsidRPr="00DE12A3">
        <w:rPr>
          <w:rFonts w:cs="Times New Roman"/>
          <w:color w:val="auto"/>
        </w:rPr>
        <w:t>1.1.2.3 bendinde belirtilen alternatif devirlerle donatılmış bir sabit devirli motor olması durumunda</w:t>
      </w:r>
      <w:r w:rsidR="00D437C4" w:rsidRPr="00DE12A3">
        <w:rPr>
          <w:rFonts w:cs="Times New Roman"/>
          <w:color w:val="auto"/>
        </w:rPr>
        <w:t>;</w:t>
      </w:r>
    </w:p>
    <w:p w14:paraId="6FBB92D1" w14:textId="77777777" w:rsidR="007F6E28" w:rsidRPr="00DE12A3" w:rsidRDefault="007F6E28" w:rsidP="00C917D6">
      <w:pPr>
        <w:spacing w:before="120" w:after="120"/>
        <w:ind w:left="2268" w:hanging="567"/>
        <w:jc w:val="both"/>
        <w:rPr>
          <w:rFonts w:cs="Times New Roman"/>
          <w:color w:val="auto"/>
        </w:rPr>
      </w:pPr>
      <w:r w:rsidRPr="00DE12A3">
        <w:rPr>
          <w:rFonts w:cs="Times New Roman"/>
          <w:color w:val="auto"/>
        </w:rPr>
        <w:t>(a)</w:t>
      </w:r>
      <w:r w:rsidRPr="00DE12A3">
        <w:rPr>
          <w:rFonts w:cs="Times New Roman"/>
          <w:color w:val="auto"/>
        </w:rPr>
        <w:tab/>
        <w:t>Motorun montajının aşağıdakileri sağlayacağına dair bir açıklama:</w:t>
      </w:r>
    </w:p>
    <w:p w14:paraId="09FC3C23" w14:textId="77777777" w:rsidR="007F6E28" w:rsidRPr="00DE12A3" w:rsidRDefault="007F6E28" w:rsidP="00C917D6">
      <w:pPr>
        <w:spacing w:before="120" w:after="120"/>
        <w:ind w:left="2835" w:hanging="567"/>
        <w:jc w:val="both"/>
        <w:rPr>
          <w:rFonts w:cs="Times New Roman"/>
          <w:color w:val="auto"/>
        </w:rPr>
      </w:pPr>
      <w:r w:rsidRPr="00DE12A3">
        <w:rPr>
          <w:rFonts w:cs="Times New Roman"/>
          <w:color w:val="auto"/>
        </w:rPr>
        <w:t>(i)</w:t>
      </w:r>
      <w:r w:rsidRPr="00DE12A3">
        <w:rPr>
          <w:rFonts w:cs="Times New Roman"/>
          <w:color w:val="auto"/>
        </w:rPr>
        <w:tab/>
        <w:t xml:space="preserve">Sabit devir </w:t>
      </w:r>
      <w:r w:rsidR="00EF0D08" w:rsidRPr="00DE12A3">
        <w:rPr>
          <w:rFonts w:cs="Times New Roman"/>
          <w:color w:val="auto"/>
        </w:rPr>
        <w:t>motor kontrol ünitesini</w:t>
      </w:r>
      <w:r w:rsidRPr="00DE12A3">
        <w:rPr>
          <w:rFonts w:cs="Times New Roman"/>
          <w:color w:val="auto"/>
        </w:rPr>
        <w:t xml:space="preserve"> alternatif bir devire sıfırlamadan önce motor durdurulur ve</w:t>
      </w:r>
    </w:p>
    <w:p w14:paraId="2C9BC6E2" w14:textId="54F01D27" w:rsidR="007F6E28" w:rsidRPr="00DE12A3" w:rsidRDefault="007F6E28" w:rsidP="00C917D6">
      <w:pPr>
        <w:spacing w:before="120" w:after="120"/>
        <w:ind w:left="2835" w:hanging="567"/>
        <w:jc w:val="both"/>
        <w:rPr>
          <w:rFonts w:cs="Times New Roman"/>
          <w:color w:val="auto"/>
        </w:rPr>
      </w:pPr>
      <w:r w:rsidRPr="00DE12A3">
        <w:rPr>
          <w:rFonts w:cs="Times New Roman"/>
          <w:color w:val="auto"/>
        </w:rPr>
        <w:t>(ii)</w:t>
      </w:r>
      <w:r w:rsidRPr="00DE12A3">
        <w:rPr>
          <w:rFonts w:cs="Times New Roman"/>
          <w:color w:val="auto"/>
        </w:rPr>
        <w:tab/>
        <w:t xml:space="preserve">Sabit devir </w:t>
      </w:r>
      <w:r w:rsidR="00EF0D08" w:rsidRPr="00DE12A3">
        <w:rPr>
          <w:rFonts w:cs="Times New Roman"/>
          <w:color w:val="auto"/>
        </w:rPr>
        <w:t>motor kontrol ünitesini</w:t>
      </w:r>
      <w:r w:rsidRPr="00DE12A3">
        <w:rPr>
          <w:rFonts w:cs="Times New Roman"/>
          <w:color w:val="auto"/>
        </w:rPr>
        <w:t>, sadece motor imalatçısı tarafından izin verilen alternatif devirlere ayarlanır</w:t>
      </w:r>
      <w:r w:rsidR="00D437C4" w:rsidRPr="00DE12A3">
        <w:rPr>
          <w:rFonts w:cs="Times New Roman"/>
          <w:color w:val="auto"/>
        </w:rPr>
        <w:t>.</w:t>
      </w:r>
    </w:p>
    <w:p w14:paraId="6F29A078" w14:textId="1A9B3EC2" w:rsidR="007F6E28" w:rsidRPr="00DE12A3" w:rsidRDefault="007F6E28" w:rsidP="00C917D6">
      <w:pPr>
        <w:spacing w:before="120" w:after="120"/>
        <w:ind w:left="2268" w:hanging="567"/>
        <w:jc w:val="both"/>
        <w:rPr>
          <w:rFonts w:cs="Times New Roman"/>
          <w:color w:val="auto"/>
        </w:rPr>
      </w:pPr>
      <w:r w:rsidRPr="00DE12A3">
        <w:rPr>
          <w:rFonts w:cs="Times New Roman"/>
          <w:color w:val="auto"/>
        </w:rPr>
        <w:t>(b)</w:t>
      </w:r>
      <w:r w:rsidRPr="00DE12A3">
        <w:rPr>
          <w:rFonts w:cs="Times New Roman"/>
          <w:color w:val="auto"/>
        </w:rPr>
        <w:tab/>
        <w:t>Motorun tip onayı aldığı ve monte edildiğinde ayarlanabilecek her (alt) kategori ve çalışma moduna (devir çalışması) ilişkin ayrıntılar</w:t>
      </w:r>
      <w:r w:rsidR="00D437C4" w:rsidRPr="00DE12A3">
        <w:rPr>
          <w:rFonts w:cs="Times New Roman"/>
          <w:color w:val="auto"/>
        </w:rPr>
        <w:t>.</w:t>
      </w:r>
    </w:p>
    <w:p w14:paraId="2AFE09AA" w14:textId="6E8509FA" w:rsidR="007F6E28" w:rsidRPr="00DE12A3" w:rsidRDefault="007F6E28" w:rsidP="00C917D6">
      <w:pPr>
        <w:spacing w:before="120" w:after="120"/>
        <w:ind w:left="1701" w:hanging="567"/>
        <w:jc w:val="both"/>
        <w:rPr>
          <w:rFonts w:cs="Times New Roman"/>
          <w:color w:val="auto"/>
        </w:rPr>
      </w:pPr>
      <w:r w:rsidRPr="00DE12A3">
        <w:rPr>
          <w:rFonts w:cs="Times New Roman"/>
          <w:color w:val="auto"/>
        </w:rPr>
        <w:t>(17)</w:t>
      </w:r>
      <w:r w:rsidRPr="00DE12A3">
        <w:rPr>
          <w:rFonts w:cs="Times New Roman"/>
          <w:color w:val="auto"/>
        </w:rPr>
        <w:tab/>
        <w:t xml:space="preserve">2016/1628/AB   </w:t>
      </w:r>
      <w:r w:rsidR="00970747" w:rsidRPr="00DE12A3">
        <w:rPr>
          <w:rFonts w:cs="Times New Roman"/>
          <w:color w:val="auto"/>
        </w:rPr>
        <w:t>Yönetmeliği</w:t>
      </w:r>
      <w:r w:rsidR="00211788" w:rsidRPr="00DE12A3">
        <w:rPr>
          <w:rFonts w:cs="Times New Roman"/>
          <w:color w:val="auto"/>
        </w:rPr>
        <w:t>nin</w:t>
      </w:r>
      <w:r w:rsidR="00D437C4" w:rsidRPr="00DE12A3">
        <w:rPr>
          <w:rFonts w:cs="Times New Roman"/>
          <w:color w:val="auto"/>
        </w:rPr>
        <w:t xml:space="preserve"> 4 üncü</w:t>
      </w:r>
      <w:r w:rsidRPr="00DE12A3">
        <w:rPr>
          <w:rFonts w:cs="Times New Roman"/>
          <w:color w:val="auto"/>
        </w:rPr>
        <w:t xml:space="preserve"> maddesi</w:t>
      </w:r>
      <w:r w:rsidR="00211788" w:rsidRPr="00DE12A3">
        <w:rPr>
          <w:rFonts w:cs="Times New Roman"/>
          <w:color w:val="auto"/>
        </w:rPr>
        <w:t>nin</w:t>
      </w:r>
      <w:r w:rsidR="00250B85" w:rsidRPr="00DE12A3">
        <w:rPr>
          <w:rFonts w:cs="Times New Roman"/>
          <w:color w:val="auto"/>
        </w:rPr>
        <w:t xml:space="preserve"> birinci fıkrası</w:t>
      </w:r>
      <w:r w:rsidR="00D437C4" w:rsidRPr="00DE12A3">
        <w:rPr>
          <w:rFonts w:cs="Times New Roman"/>
          <w:color w:val="auto"/>
        </w:rPr>
        <w:t>nın</w:t>
      </w:r>
      <w:r w:rsidRPr="00DE12A3">
        <w:rPr>
          <w:rFonts w:cs="Times New Roman"/>
          <w:color w:val="auto"/>
        </w:rPr>
        <w:t xml:space="preserve"> </w:t>
      </w:r>
      <w:r w:rsidR="000A1221" w:rsidRPr="00DE12A3">
        <w:rPr>
          <w:rFonts w:cs="Times New Roman"/>
          <w:color w:val="auto"/>
        </w:rPr>
        <w:t>(v) bendinde</w:t>
      </w:r>
      <w:r w:rsidRPr="00DE12A3">
        <w:rPr>
          <w:rFonts w:cs="Times New Roman"/>
          <w:color w:val="auto"/>
        </w:rPr>
        <w:t xml:space="preserve"> izin verilen şekilde motorun çalıştır</w:t>
      </w:r>
      <w:r w:rsidR="00E74C7A" w:rsidRPr="00DE12A3">
        <w:rPr>
          <w:rFonts w:cs="Times New Roman"/>
          <w:color w:val="auto"/>
        </w:rPr>
        <w:t>ıl</w:t>
      </w:r>
      <w:r w:rsidRPr="00DE12A3">
        <w:rPr>
          <w:rFonts w:cs="Times New Roman"/>
          <w:color w:val="auto"/>
        </w:rPr>
        <w:t>ma</w:t>
      </w:r>
      <w:r w:rsidR="00E74C7A" w:rsidRPr="00DE12A3">
        <w:rPr>
          <w:rFonts w:cs="Times New Roman"/>
          <w:color w:val="auto"/>
        </w:rPr>
        <w:t>sı</w:t>
      </w:r>
      <w:r w:rsidRPr="00DE12A3">
        <w:rPr>
          <w:rFonts w:cs="Times New Roman"/>
          <w:color w:val="auto"/>
        </w:rPr>
        <w:t xml:space="preserve"> ve kapat</w:t>
      </w:r>
      <w:r w:rsidR="00E74C7A" w:rsidRPr="00DE12A3">
        <w:rPr>
          <w:rFonts w:cs="Times New Roman"/>
          <w:color w:val="auto"/>
        </w:rPr>
        <w:t>ıl</w:t>
      </w:r>
      <w:r w:rsidRPr="00DE12A3">
        <w:rPr>
          <w:rFonts w:cs="Times New Roman"/>
          <w:color w:val="auto"/>
        </w:rPr>
        <w:t>ma</w:t>
      </w:r>
      <w:r w:rsidR="00E74C7A" w:rsidRPr="00DE12A3">
        <w:rPr>
          <w:rFonts w:cs="Times New Roman"/>
          <w:color w:val="auto"/>
        </w:rPr>
        <w:t>sı</w:t>
      </w:r>
      <w:r w:rsidRPr="00DE12A3">
        <w:rPr>
          <w:rFonts w:cs="Times New Roman"/>
          <w:color w:val="auto"/>
        </w:rPr>
        <w:t xml:space="preserve"> için bir rölanti devri ile donatılmış olması durumunda, motorun </w:t>
      </w:r>
      <w:r w:rsidR="00555BA3" w:rsidRPr="00DE12A3">
        <w:rPr>
          <w:rFonts w:cs="Times New Roman"/>
          <w:color w:val="auto"/>
        </w:rPr>
        <w:t>kurulumunun</w:t>
      </w:r>
      <w:r w:rsidRPr="00DE12A3">
        <w:rPr>
          <w:rFonts w:cs="Times New Roman"/>
          <w:color w:val="auto"/>
        </w:rPr>
        <w:t xml:space="preserve">, motora yük talebini yüksüz ayardan artırmadan önce </w:t>
      </w:r>
      <w:r w:rsidR="00555BA3" w:rsidRPr="00DE12A3">
        <w:rPr>
          <w:rFonts w:cs="Times New Roman"/>
          <w:color w:val="auto"/>
        </w:rPr>
        <w:t xml:space="preserve">sabit devirli motor kontrol ünitesi işlevinin </w:t>
      </w:r>
      <w:r w:rsidRPr="00DE12A3">
        <w:rPr>
          <w:rFonts w:cs="Times New Roman"/>
          <w:color w:val="auto"/>
        </w:rPr>
        <w:t>devreye girmesini sağlaması gerektiğini belirten bir açıklama.</w:t>
      </w:r>
    </w:p>
    <w:p w14:paraId="073772C4" w14:textId="77777777" w:rsidR="000918AA" w:rsidRPr="00DE12A3" w:rsidRDefault="000918AA" w:rsidP="00C917D6">
      <w:pPr>
        <w:spacing w:before="120" w:after="120"/>
        <w:ind w:left="1701" w:hanging="567"/>
        <w:jc w:val="both"/>
        <w:rPr>
          <w:rFonts w:cs="Times New Roman"/>
          <w:color w:val="auto"/>
        </w:rPr>
      </w:pPr>
    </w:p>
    <w:p w14:paraId="6EC59227" w14:textId="00DC9CC8" w:rsidR="007F6E28" w:rsidRPr="00DE12A3" w:rsidRDefault="007F6E28" w:rsidP="00C917D6">
      <w:pPr>
        <w:spacing w:before="120" w:after="120"/>
        <w:ind w:left="1134" w:hanging="1134"/>
        <w:jc w:val="both"/>
        <w:rPr>
          <w:rFonts w:cs="Times New Roman"/>
          <w:color w:val="auto"/>
        </w:rPr>
      </w:pPr>
      <w:r w:rsidRPr="00DE12A3">
        <w:rPr>
          <w:rFonts w:cs="Times New Roman"/>
          <w:color w:val="auto"/>
        </w:rPr>
        <w:t>5.</w:t>
      </w:r>
      <w:r w:rsidRPr="00DE12A3">
        <w:rPr>
          <w:rFonts w:cs="Times New Roman"/>
          <w:color w:val="auto"/>
        </w:rPr>
        <w:tab/>
        <w:t xml:space="preserve">2016/1628/AB   Yönetmeliğinin </w:t>
      </w:r>
      <w:r w:rsidR="00857130" w:rsidRPr="00DE12A3">
        <w:rPr>
          <w:rFonts w:cs="Times New Roman"/>
          <w:color w:val="auto"/>
        </w:rPr>
        <w:t>44</w:t>
      </w:r>
      <w:r w:rsidR="00A77976" w:rsidRPr="00DE12A3">
        <w:rPr>
          <w:rFonts w:cs="Times New Roman"/>
          <w:color w:val="auto"/>
        </w:rPr>
        <w:t xml:space="preserve"> </w:t>
      </w:r>
      <w:r w:rsidR="00857130" w:rsidRPr="00DE12A3">
        <w:rPr>
          <w:rFonts w:cs="Times New Roman"/>
          <w:color w:val="auto"/>
        </w:rPr>
        <w:t>üncü</w:t>
      </w:r>
      <w:r w:rsidRPr="00DE12A3">
        <w:rPr>
          <w:rFonts w:cs="Times New Roman"/>
          <w:color w:val="auto"/>
        </w:rPr>
        <w:t xml:space="preserve"> maddesinin üçüncü fıkrası gereğince imalatçı, </w:t>
      </w:r>
      <w:r w:rsidR="00A77976" w:rsidRPr="00DE12A3">
        <w:rPr>
          <w:rFonts w:cs="Times New Roman"/>
          <w:color w:val="auto"/>
        </w:rPr>
        <w:t xml:space="preserve">bu Tebliğin </w:t>
      </w:r>
      <w:r w:rsidRPr="00DE12A3">
        <w:rPr>
          <w:rFonts w:cs="Times New Roman"/>
          <w:color w:val="auto"/>
        </w:rPr>
        <w:t>XV</w:t>
      </w:r>
      <w:r w:rsidR="003F124E" w:rsidRPr="00DE12A3">
        <w:rPr>
          <w:rFonts w:cs="Times New Roman"/>
          <w:color w:val="auto"/>
        </w:rPr>
        <w:t xml:space="preserve">’inci </w:t>
      </w:r>
      <w:r w:rsidR="00850EBE" w:rsidRPr="00DE12A3">
        <w:rPr>
          <w:rFonts w:cs="Times New Roman"/>
          <w:color w:val="auto"/>
        </w:rPr>
        <w:t>E</w:t>
      </w:r>
      <w:r w:rsidRPr="00DE12A3">
        <w:rPr>
          <w:rFonts w:cs="Times New Roman"/>
          <w:color w:val="auto"/>
        </w:rPr>
        <w:t>k</w:t>
      </w:r>
      <w:r w:rsidR="00A77976" w:rsidRPr="00DE12A3">
        <w:rPr>
          <w:rFonts w:cs="Times New Roman"/>
          <w:color w:val="auto"/>
        </w:rPr>
        <w:t>i</w:t>
      </w:r>
      <w:r w:rsidRPr="00DE12A3">
        <w:rPr>
          <w:rFonts w:cs="Times New Roman"/>
          <w:color w:val="auto"/>
        </w:rPr>
        <w:t xml:space="preserve"> uyarınca OEM'in son kullanıcılara sağlayacağı tüm bilgileri ve gerekli talimatları OEM'e sağlamalıdır.</w:t>
      </w:r>
    </w:p>
    <w:p w14:paraId="59ADC063" w14:textId="77777777" w:rsidR="00A77976" w:rsidRPr="00DE12A3" w:rsidRDefault="00042A48" w:rsidP="00C917D6">
      <w:pPr>
        <w:spacing w:before="120" w:after="120"/>
        <w:ind w:left="1134" w:hanging="1134"/>
        <w:jc w:val="both"/>
        <w:rPr>
          <w:rFonts w:cs="Times New Roman"/>
          <w:color w:val="auto"/>
        </w:rPr>
      </w:pPr>
      <w:r w:rsidRPr="00DE12A3">
        <w:rPr>
          <w:rFonts w:cs="Times New Roman"/>
          <w:color w:val="auto"/>
        </w:rPr>
        <w:t>6.</w:t>
      </w:r>
      <w:r w:rsidRPr="00DE12A3">
        <w:rPr>
          <w:rFonts w:cs="Times New Roman"/>
          <w:color w:val="auto"/>
        </w:rPr>
        <w:tab/>
        <w:t>2016/1628/AB   Yönetmeliğinin 44 üncü maddesinin dördüncü fıkrası gereğince imalatçı, AB tip onayı sürecinde belirlenen ve AB tip onayı sertifikası içinde kaydedilen g/kWh cinsinden karbondioksit (CO</w:t>
      </w:r>
      <w:r w:rsidRPr="00DE12A3">
        <w:rPr>
          <w:rFonts w:cs="Times New Roman"/>
          <w:color w:val="auto"/>
          <w:vertAlign w:val="subscript"/>
        </w:rPr>
        <w:t>2</w:t>
      </w:r>
      <w:r w:rsidRPr="00DE12A3">
        <w:rPr>
          <w:rFonts w:cs="Times New Roman"/>
          <w:color w:val="auto"/>
        </w:rPr>
        <w:t xml:space="preserve">) emisyonları değerini OEM'e sağlamalıdır. Bu değer, OEM tarafından aşağıdaki açıklamayla birlikte son kullanıcılara sağlanmalıdır: </w:t>
      </w:r>
    </w:p>
    <w:p w14:paraId="35B8CD27" w14:textId="2A7759EF" w:rsidR="00042A48" w:rsidRPr="00DE12A3" w:rsidRDefault="00042A48" w:rsidP="009849CC">
      <w:pPr>
        <w:spacing w:before="120" w:after="120"/>
        <w:ind w:left="1134"/>
        <w:jc w:val="both"/>
        <w:rPr>
          <w:rFonts w:cs="Times New Roman"/>
          <w:color w:val="auto"/>
        </w:rPr>
      </w:pPr>
      <w:r w:rsidRPr="00DE12A3">
        <w:rPr>
          <w:rFonts w:cs="Times New Roman"/>
          <w:color w:val="auto"/>
        </w:rPr>
        <w:t>"Bu CO</w:t>
      </w:r>
      <w:r w:rsidRPr="00DE12A3">
        <w:rPr>
          <w:rFonts w:cs="Times New Roman"/>
          <w:color w:val="auto"/>
          <w:vertAlign w:val="subscript"/>
        </w:rPr>
        <w:t>2</w:t>
      </w:r>
      <w:r w:rsidRPr="00DE12A3">
        <w:rPr>
          <w:rFonts w:cs="Times New Roman"/>
          <w:color w:val="auto"/>
        </w:rPr>
        <w:t xml:space="preserve"> ölçümü, bir motor tipini (motor ailesi) temsil eden bir (ana) motorun laboratuvar koşullarında </w:t>
      </w:r>
      <w:r w:rsidR="00951351" w:rsidRPr="00DE12A3">
        <w:rPr>
          <w:rFonts w:cs="Times New Roman"/>
          <w:color w:val="auto"/>
        </w:rPr>
        <w:t>kararlı</w:t>
      </w:r>
      <w:r w:rsidRPr="00DE12A3">
        <w:rPr>
          <w:rFonts w:cs="Times New Roman"/>
          <w:color w:val="auto"/>
        </w:rPr>
        <w:t xml:space="preserve"> bir test </w:t>
      </w:r>
      <w:r w:rsidR="009A3C33" w:rsidRPr="00DE12A3">
        <w:rPr>
          <w:rFonts w:cs="Times New Roman"/>
          <w:color w:val="auto"/>
        </w:rPr>
        <w:t>çevrimi boyunca</w:t>
      </w:r>
      <w:r w:rsidRPr="00DE12A3">
        <w:rPr>
          <w:rFonts w:cs="Times New Roman"/>
          <w:color w:val="auto"/>
        </w:rPr>
        <w:t xml:space="preserve"> test edilmesi ile bulunur </w:t>
      </w:r>
      <w:r w:rsidRPr="00DE12A3">
        <w:rPr>
          <w:rFonts w:cs="Times New Roman"/>
          <w:color w:val="auto"/>
        </w:rPr>
        <w:lastRenderedPageBreak/>
        <w:t>ve belirli bir motorun performansına ilişkin herhangi bir garanti ima veya ifade etmez</w:t>
      </w:r>
      <w:r w:rsidR="00A77976" w:rsidRPr="00DE12A3">
        <w:rPr>
          <w:rFonts w:cs="Times New Roman"/>
          <w:color w:val="auto"/>
        </w:rPr>
        <w:t>.</w:t>
      </w:r>
      <w:r w:rsidRPr="00DE12A3">
        <w:rPr>
          <w:rFonts w:cs="Times New Roman"/>
          <w:color w:val="auto"/>
        </w:rPr>
        <w:t>"</w:t>
      </w:r>
    </w:p>
    <w:p w14:paraId="0DA31907" w14:textId="77777777" w:rsidR="00042A48" w:rsidRPr="00DE12A3" w:rsidRDefault="00042A48" w:rsidP="00C82856">
      <w:pPr>
        <w:pStyle w:val="Balk1"/>
        <w:rPr>
          <w:color w:val="auto"/>
        </w:rPr>
      </w:pPr>
      <w:r w:rsidRPr="00DE12A3">
        <w:rPr>
          <w:color w:val="auto"/>
        </w:rPr>
        <w:t>EK XV</w:t>
      </w:r>
    </w:p>
    <w:p w14:paraId="4503DC70" w14:textId="77777777" w:rsidR="00042A48" w:rsidRPr="00DE12A3" w:rsidRDefault="00042A48" w:rsidP="00C917D6">
      <w:pPr>
        <w:spacing w:before="120" w:after="120"/>
        <w:ind w:left="1134" w:hanging="1134"/>
        <w:jc w:val="center"/>
        <w:rPr>
          <w:rFonts w:cs="Times New Roman"/>
          <w:b/>
          <w:color w:val="auto"/>
        </w:rPr>
      </w:pPr>
      <w:r w:rsidRPr="00DE12A3">
        <w:rPr>
          <w:rFonts w:cs="Times New Roman"/>
          <w:b/>
          <w:color w:val="auto"/>
        </w:rPr>
        <w:t xml:space="preserve">Son kullanıcılara ilişkin </w:t>
      </w:r>
      <w:r w:rsidR="00514309" w:rsidRPr="00DE12A3">
        <w:rPr>
          <w:rFonts w:cs="Times New Roman"/>
          <w:b/>
          <w:color w:val="auto"/>
        </w:rPr>
        <w:t>ilgili bilgiler</w:t>
      </w:r>
      <w:r w:rsidRPr="00DE12A3">
        <w:rPr>
          <w:rFonts w:cs="Times New Roman"/>
          <w:b/>
          <w:color w:val="auto"/>
        </w:rPr>
        <w:t>in ve talimatların ayrıntıları</w:t>
      </w:r>
    </w:p>
    <w:p w14:paraId="402C85AF" w14:textId="77777777" w:rsidR="00042A48" w:rsidRPr="00DE12A3" w:rsidRDefault="00042A48" w:rsidP="00D172C2">
      <w:pPr>
        <w:spacing w:before="120" w:after="120"/>
        <w:jc w:val="both"/>
        <w:rPr>
          <w:rFonts w:cs="Times New Roman"/>
          <w:color w:val="auto"/>
        </w:rPr>
      </w:pPr>
      <w:r w:rsidRPr="00DE12A3">
        <w:rPr>
          <w:rFonts w:cs="Times New Roman"/>
          <w:b/>
          <w:color w:val="auto"/>
        </w:rPr>
        <w:t>1</w:t>
      </w:r>
      <w:r w:rsidR="00D172C2" w:rsidRPr="00DE12A3">
        <w:rPr>
          <w:rFonts w:cs="Times New Roman"/>
          <w:color w:val="auto"/>
        </w:rPr>
        <w:t xml:space="preserve">. </w:t>
      </w:r>
      <w:r w:rsidRPr="00DE12A3">
        <w:rPr>
          <w:rFonts w:cs="Times New Roman"/>
          <w:color w:val="auto"/>
        </w:rPr>
        <w:t xml:space="preserve">OEM, motorun gaz ve </w:t>
      </w:r>
      <w:r w:rsidR="007E2039" w:rsidRPr="00DE12A3">
        <w:rPr>
          <w:rFonts w:cs="Times New Roman"/>
          <w:color w:val="auto"/>
        </w:rPr>
        <w:t xml:space="preserve">partikül </w:t>
      </w:r>
      <w:r w:rsidRPr="00DE12A3">
        <w:rPr>
          <w:rFonts w:cs="Times New Roman"/>
          <w:color w:val="auto"/>
        </w:rPr>
        <w:t>kirletici emisyonlarını onaylı motor tipi veya motor ailesi sınırları dahilinde tutmak amacıyla motorun doğru çalışması için gereken tüm bilgileri ve talimatları son kullanıcılara sağlamalıdır. Bu amaca yönelik talimatlar son kullanıcılara açıkça belirtilmelidir.</w:t>
      </w:r>
    </w:p>
    <w:p w14:paraId="071171FB" w14:textId="3FC1DEEC" w:rsidR="00042A48" w:rsidRPr="00DE12A3" w:rsidRDefault="00042A48" w:rsidP="00C917D6">
      <w:pPr>
        <w:spacing w:before="120" w:after="120"/>
        <w:ind w:left="1134" w:hanging="1134"/>
        <w:jc w:val="both"/>
        <w:rPr>
          <w:rFonts w:cs="Times New Roman"/>
          <w:color w:val="auto"/>
        </w:rPr>
      </w:pPr>
      <w:r w:rsidRPr="00DE12A3">
        <w:rPr>
          <w:rFonts w:cs="Times New Roman"/>
          <w:b/>
          <w:color w:val="auto"/>
        </w:rPr>
        <w:t>2.</w:t>
      </w:r>
      <w:r w:rsidR="00D172C2" w:rsidRPr="00DE12A3">
        <w:rPr>
          <w:rFonts w:cs="Times New Roman"/>
          <w:color w:val="auto"/>
        </w:rPr>
        <w:t xml:space="preserve"> </w:t>
      </w:r>
      <w:r w:rsidRPr="00DE12A3">
        <w:rPr>
          <w:rFonts w:cs="Times New Roman"/>
          <w:color w:val="auto"/>
        </w:rPr>
        <w:t>Son kullanıcılara yönelik talimatlar</w:t>
      </w:r>
    </w:p>
    <w:p w14:paraId="434E50C6" w14:textId="74434550" w:rsidR="00042A48" w:rsidRPr="00DE12A3" w:rsidRDefault="00042A48" w:rsidP="00D172C2">
      <w:pPr>
        <w:spacing w:before="120" w:after="120"/>
        <w:jc w:val="both"/>
        <w:rPr>
          <w:rFonts w:cs="Times New Roman"/>
          <w:color w:val="auto"/>
        </w:rPr>
      </w:pPr>
      <w:r w:rsidRPr="00DE12A3">
        <w:rPr>
          <w:rFonts w:cs="Times New Roman"/>
          <w:color w:val="auto"/>
        </w:rPr>
        <w:t>2.1.</w:t>
      </w:r>
      <w:r w:rsidR="00D172C2" w:rsidRPr="00DE12A3">
        <w:rPr>
          <w:rFonts w:cs="Times New Roman"/>
          <w:color w:val="auto"/>
        </w:rPr>
        <w:t xml:space="preserve"> </w:t>
      </w:r>
      <w:r w:rsidRPr="00DE12A3">
        <w:rPr>
          <w:rFonts w:cs="Times New Roman"/>
          <w:color w:val="auto"/>
        </w:rPr>
        <w:t>Karayolu dışında kullanılan hareketli makinaların son kullanıcılarına yönelik talimatlarda kullanılan dilin aynısı kullanılarak teknik olmayan ve açık bir şekilde yazılmış olmalıdır</w:t>
      </w:r>
      <w:r w:rsidR="00A77976" w:rsidRPr="00DE12A3">
        <w:rPr>
          <w:rFonts w:cs="Times New Roman"/>
          <w:color w:val="auto"/>
        </w:rPr>
        <w:t>.</w:t>
      </w:r>
    </w:p>
    <w:p w14:paraId="2E7D8450" w14:textId="53C70F76" w:rsidR="00042A48" w:rsidRPr="00DE12A3" w:rsidRDefault="00042A48" w:rsidP="00D172C2">
      <w:pPr>
        <w:spacing w:before="120" w:after="120"/>
        <w:jc w:val="both"/>
        <w:rPr>
          <w:rFonts w:cs="Times New Roman"/>
          <w:color w:val="auto"/>
        </w:rPr>
      </w:pPr>
      <w:r w:rsidRPr="00DE12A3">
        <w:rPr>
          <w:rFonts w:cs="Times New Roman"/>
          <w:color w:val="auto"/>
        </w:rPr>
        <w:t>2.2.</w:t>
      </w:r>
      <w:r w:rsidR="00D172C2" w:rsidRPr="00DE12A3">
        <w:rPr>
          <w:rFonts w:cs="Times New Roman"/>
          <w:color w:val="auto"/>
        </w:rPr>
        <w:t xml:space="preserve"> </w:t>
      </w:r>
      <w:r w:rsidRPr="00DE12A3">
        <w:rPr>
          <w:rFonts w:cs="Times New Roman"/>
          <w:color w:val="auto"/>
        </w:rPr>
        <w:t>Basılı olarak veya alternatif olarak yaygın olarak kullanılan bir elektronik formatta sağlanmalıdır</w:t>
      </w:r>
      <w:r w:rsidR="00A77976" w:rsidRPr="00DE12A3">
        <w:rPr>
          <w:rFonts w:cs="Times New Roman"/>
          <w:color w:val="auto"/>
        </w:rPr>
        <w:t>.</w:t>
      </w:r>
    </w:p>
    <w:p w14:paraId="2049B660" w14:textId="16A91662" w:rsidR="00042A48" w:rsidRPr="00DE12A3" w:rsidRDefault="00042A48" w:rsidP="00D172C2">
      <w:pPr>
        <w:spacing w:before="120" w:after="120"/>
        <w:jc w:val="both"/>
        <w:rPr>
          <w:rFonts w:cs="Times New Roman"/>
          <w:color w:val="auto"/>
        </w:rPr>
      </w:pPr>
      <w:r w:rsidRPr="00DE12A3">
        <w:rPr>
          <w:rFonts w:cs="Times New Roman"/>
          <w:color w:val="auto"/>
        </w:rPr>
        <w:t>2.3.</w:t>
      </w:r>
      <w:r w:rsidR="00D172C2" w:rsidRPr="00DE12A3">
        <w:rPr>
          <w:rFonts w:cs="Times New Roman"/>
          <w:color w:val="auto"/>
        </w:rPr>
        <w:t xml:space="preserve"> </w:t>
      </w:r>
      <w:r w:rsidRPr="00DE12A3">
        <w:rPr>
          <w:rFonts w:cs="Times New Roman"/>
          <w:color w:val="auto"/>
        </w:rPr>
        <w:t>Karayolu dışında kullanılan makinalar için son kullanıcı talimatlarının bir parçası veya alternatif olarak ayrı bir doküman olabilir</w:t>
      </w:r>
      <w:r w:rsidR="00A77976" w:rsidRPr="00DE12A3">
        <w:rPr>
          <w:rFonts w:cs="Times New Roman"/>
          <w:color w:val="auto"/>
        </w:rPr>
        <w:t>.</w:t>
      </w:r>
    </w:p>
    <w:p w14:paraId="46E63506" w14:textId="6FCC7262" w:rsidR="00042A48" w:rsidRPr="00DE12A3" w:rsidRDefault="00042A48" w:rsidP="00D172C2">
      <w:pPr>
        <w:spacing w:before="120" w:after="120"/>
        <w:jc w:val="both"/>
        <w:rPr>
          <w:rFonts w:cs="Times New Roman"/>
          <w:color w:val="auto"/>
        </w:rPr>
      </w:pPr>
      <w:r w:rsidRPr="00DE12A3">
        <w:rPr>
          <w:rFonts w:cs="Times New Roman"/>
          <w:color w:val="auto"/>
        </w:rPr>
        <w:t>2.3.1.</w:t>
      </w:r>
      <w:r w:rsidR="00D172C2" w:rsidRPr="00DE12A3">
        <w:rPr>
          <w:rFonts w:cs="Times New Roman"/>
          <w:color w:val="auto"/>
        </w:rPr>
        <w:t xml:space="preserve"> </w:t>
      </w:r>
      <w:r w:rsidRPr="00DE12A3">
        <w:rPr>
          <w:rFonts w:cs="Times New Roman"/>
          <w:color w:val="auto"/>
        </w:rPr>
        <w:t>Son kullanıcılara, karayolu dışında kullanılan makinalara yönelik talimatlardan ayrı olarak teslim edildiğinde, aynı biçimde sağlanmalıdır</w:t>
      </w:r>
      <w:r w:rsidR="00A77976" w:rsidRPr="00DE12A3">
        <w:rPr>
          <w:rFonts w:cs="Times New Roman"/>
          <w:color w:val="auto"/>
        </w:rPr>
        <w:t>.</w:t>
      </w:r>
    </w:p>
    <w:p w14:paraId="088D1135" w14:textId="77777777" w:rsidR="00042A48" w:rsidRPr="00DE12A3" w:rsidRDefault="00042A48" w:rsidP="00C917D6">
      <w:pPr>
        <w:spacing w:before="120" w:after="120"/>
        <w:ind w:left="1134" w:hanging="1134"/>
        <w:jc w:val="both"/>
        <w:rPr>
          <w:rFonts w:cs="Times New Roman"/>
          <w:color w:val="auto"/>
        </w:rPr>
      </w:pPr>
      <w:r w:rsidRPr="00DE12A3">
        <w:rPr>
          <w:rFonts w:cs="Times New Roman"/>
          <w:b/>
          <w:color w:val="auto"/>
        </w:rPr>
        <w:t>3.</w:t>
      </w:r>
      <w:r w:rsidR="00D172C2" w:rsidRPr="00DE12A3">
        <w:rPr>
          <w:rFonts w:cs="Times New Roman"/>
          <w:color w:val="auto"/>
        </w:rPr>
        <w:t xml:space="preserve"> </w:t>
      </w:r>
      <w:r w:rsidRPr="00DE12A3">
        <w:rPr>
          <w:rFonts w:cs="Times New Roman"/>
          <w:color w:val="auto"/>
        </w:rPr>
        <w:t>Son kullanıcılara sağlanacak bilgi ve talimatlar en azından aşağıdakileri içermelidir:</w:t>
      </w:r>
    </w:p>
    <w:p w14:paraId="26D9D28E" w14:textId="114D1011" w:rsidR="00042A48" w:rsidRPr="00DE12A3" w:rsidRDefault="00042A48" w:rsidP="00C917D6">
      <w:pPr>
        <w:spacing w:before="120" w:after="120"/>
        <w:ind w:left="1701" w:hanging="567"/>
        <w:jc w:val="both"/>
        <w:rPr>
          <w:rFonts w:cs="Times New Roman"/>
          <w:color w:val="auto"/>
        </w:rPr>
      </w:pPr>
      <w:r w:rsidRPr="00DE12A3">
        <w:rPr>
          <w:rFonts w:cs="Times New Roman"/>
          <w:color w:val="auto"/>
        </w:rPr>
        <w:t>(1)</w:t>
      </w:r>
      <w:r w:rsidRPr="00DE12A3">
        <w:rPr>
          <w:rFonts w:cs="Times New Roman"/>
          <w:color w:val="auto"/>
        </w:rPr>
        <w:tab/>
        <w:t>2017/656/AB Tebliği</w:t>
      </w:r>
      <w:r w:rsidR="00BB5D22" w:rsidRPr="00DE12A3">
        <w:rPr>
          <w:rFonts w:cs="Times New Roman"/>
          <w:color w:val="auto"/>
        </w:rPr>
        <w:t>nin</w:t>
      </w:r>
      <w:r w:rsidRPr="00DE12A3">
        <w:rPr>
          <w:rFonts w:cs="Times New Roman"/>
          <w:color w:val="auto"/>
        </w:rPr>
        <w:t xml:space="preserve"> IV</w:t>
      </w:r>
      <w:r w:rsidR="00BB5D22" w:rsidRPr="00DE12A3">
        <w:rPr>
          <w:rFonts w:cs="Times New Roman"/>
          <w:color w:val="auto"/>
        </w:rPr>
        <w:t>’</w:t>
      </w:r>
      <w:r w:rsidRPr="00DE12A3">
        <w:rPr>
          <w:rFonts w:cs="Times New Roman"/>
          <w:color w:val="auto"/>
        </w:rPr>
        <w:t xml:space="preserve">üncü </w:t>
      </w:r>
      <w:r w:rsidR="00EC3EF0" w:rsidRPr="00DE12A3">
        <w:rPr>
          <w:rFonts w:cs="Times New Roman"/>
          <w:color w:val="auto"/>
        </w:rPr>
        <w:t>Ekinde</w:t>
      </w:r>
      <w:r w:rsidRPr="00DE12A3">
        <w:rPr>
          <w:rFonts w:cs="Times New Roman"/>
          <w:color w:val="auto"/>
        </w:rPr>
        <w:t xml:space="preserve"> belirtilen AB tip onayı sertifikasında belirtildiği gibi, motorun kullanımı ile ilgili özel koşullara veya kısıtlamalara dair bir tarif</w:t>
      </w:r>
      <w:r w:rsidR="00A77976" w:rsidRPr="00DE12A3">
        <w:rPr>
          <w:rFonts w:cs="Times New Roman"/>
          <w:color w:val="auto"/>
        </w:rPr>
        <w:t>.</w:t>
      </w:r>
    </w:p>
    <w:p w14:paraId="0D6F6330" w14:textId="546E1665" w:rsidR="00042A48" w:rsidRPr="00DE12A3" w:rsidRDefault="00042A48" w:rsidP="00C917D6">
      <w:pPr>
        <w:spacing w:before="120" w:after="120"/>
        <w:ind w:left="1701" w:hanging="567"/>
        <w:jc w:val="both"/>
        <w:rPr>
          <w:rFonts w:cs="Times New Roman"/>
          <w:color w:val="auto"/>
        </w:rPr>
      </w:pPr>
      <w:r w:rsidRPr="00DE12A3">
        <w:rPr>
          <w:rFonts w:cs="Times New Roman"/>
          <w:color w:val="auto"/>
        </w:rPr>
        <w:t>(2)</w:t>
      </w:r>
      <w:r w:rsidRPr="00DE12A3">
        <w:rPr>
          <w:rFonts w:cs="Times New Roman"/>
          <w:color w:val="auto"/>
        </w:rPr>
        <w:tab/>
        <w:t>Motorun emisyon performansını motor kategorisi için geçerli olan şartlar dahilinde tutmak amacıyla, emisyon kontrol sistemi dahil motorun işletilmesinin, kullanımının ve bakımının son kullanıcılara verilen talimatlar uyarınca yapılması gerektiğini belirten bir açıklama</w:t>
      </w:r>
      <w:r w:rsidR="00A77976" w:rsidRPr="00DE12A3">
        <w:rPr>
          <w:rFonts w:cs="Times New Roman"/>
          <w:color w:val="auto"/>
        </w:rPr>
        <w:t>.</w:t>
      </w:r>
    </w:p>
    <w:p w14:paraId="053CD480" w14:textId="36410455" w:rsidR="00042A48" w:rsidRPr="00DE12A3" w:rsidRDefault="00042A48" w:rsidP="00C917D6">
      <w:pPr>
        <w:spacing w:before="120" w:after="120"/>
        <w:ind w:left="1701" w:hanging="567"/>
        <w:jc w:val="both"/>
        <w:rPr>
          <w:rFonts w:cs="Times New Roman"/>
          <w:color w:val="auto"/>
        </w:rPr>
      </w:pPr>
      <w:r w:rsidRPr="00DE12A3">
        <w:rPr>
          <w:rFonts w:cs="Times New Roman"/>
          <w:color w:val="auto"/>
        </w:rPr>
        <w:t>(3)</w:t>
      </w:r>
      <w:r w:rsidRPr="00DE12A3">
        <w:rPr>
          <w:rFonts w:cs="Times New Roman"/>
          <w:color w:val="auto"/>
        </w:rPr>
        <w:tab/>
        <w:t>Özellikle bir egzoz gazı devri</w:t>
      </w:r>
      <w:r w:rsidR="003638DD" w:rsidRPr="00DE12A3">
        <w:rPr>
          <w:rFonts w:cs="Times New Roman"/>
          <w:color w:val="auto"/>
        </w:rPr>
        <w:t xml:space="preserve"> </w:t>
      </w:r>
      <w:r w:rsidRPr="00DE12A3">
        <w:rPr>
          <w:rFonts w:cs="Times New Roman"/>
          <w:color w:val="auto"/>
        </w:rPr>
        <w:t>daiminin (EGR) veya bir ayıraç dozaj sisteminin devre dışı bırakılması veya bakımının yapılmaması ile ilgili olarak, motor emisyon kontrol sisteminin kasıtlı kurcalanmaması veya yanlış kullanılmaması gerektiğini belirten bir açıklama.</w:t>
      </w:r>
    </w:p>
    <w:p w14:paraId="09B0DE7D" w14:textId="1E5DFFB4" w:rsidR="00042A48" w:rsidRPr="00DE12A3" w:rsidRDefault="00042A48" w:rsidP="00C917D6">
      <w:pPr>
        <w:spacing w:before="120" w:after="120"/>
        <w:ind w:left="1701" w:hanging="567"/>
        <w:jc w:val="both"/>
        <w:rPr>
          <w:rFonts w:cs="Times New Roman"/>
          <w:color w:val="auto"/>
        </w:rPr>
      </w:pPr>
      <w:r w:rsidRPr="00DE12A3">
        <w:rPr>
          <w:rFonts w:cs="Times New Roman"/>
          <w:color w:val="auto"/>
        </w:rPr>
        <w:t>(4)</w:t>
      </w:r>
      <w:r w:rsidRPr="00DE12A3">
        <w:rPr>
          <w:rFonts w:cs="Times New Roman"/>
          <w:color w:val="auto"/>
        </w:rPr>
        <w:tab/>
      </w:r>
      <w:r w:rsidR="009C6D59" w:rsidRPr="00DE12A3">
        <w:rPr>
          <w:rFonts w:cs="Times New Roman"/>
          <w:color w:val="auto"/>
        </w:rPr>
        <w:t>B</w:t>
      </w:r>
      <w:r w:rsidR="00A77976" w:rsidRPr="00DE12A3">
        <w:rPr>
          <w:rFonts w:cs="Times New Roman"/>
          <w:color w:val="auto"/>
        </w:rPr>
        <w:t xml:space="preserve">u Bölümün </w:t>
      </w:r>
      <w:r w:rsidRPr="00DE12A3">
        <w:rPr>
          <w:rFonts w:cs="Times New Roman"/>
          <w:color w:val="auto"/>
        </w:rPr>
        <w:t xml:space="preserve">(5) ve (6) </w:t>
      </w:r>
      <w:r w:rsidR="009C6D59" w:rsidRPr="00DE12A3">
        <w:rPr>
          <w:rFonts w:cs="Times New Roman"/>
          <w:color w:val="auto"/>
        </w:rPr>
        <w:t xml:space="preserve">numaralı </w:t>
      </w:r>
      <w:r w:rsidRPr="00DE12A3">
        <w:rPr>
          <w:rFonts w:cs="Times New Roman"/>
          <w:color w:val="auto"/>
        </w:rPr>
        <w:t>bentlerinde anılan uyarılarda belirtilen düzeltme tedbirleri uyarınca emisyon kontrol sisteminin yanlış her çalıştırma, kullanım veya bakımı düzeltmek için derhal harekete geçmenin gerekli olduğunu belirten bir açıklama</w:t>
      </w:r>
      <w:r w:rsidR="00A77976" w:rsidRPr="00DE12A3">
        <w:rPr>
          <w:rFonts w:cs="Times New Roman"/>
          <w:color w:val="auto"/>
        </w:rPr>
        <w:t>.</w:t>
      </w:r>
    </w:p>
    <w:p w14:paraId="6154066C" w14:textId="5C07341C" w:rsidR="00042A48" w:rsidRPr="00DE12A3" w:rsidRDefault="00042A48" w:rsidP="00C917D6">
      <w:pPr>
        <w:spacing w:before="120" w:after="120"/>
        <w:ind w:left="1701" w:hanging="567"/>
        <w:jc w:val="both"/>
        <w:rPr>
          <w:rFonts w:cs="Times New Roman"/>
          <w:color w:val="auto"/>
        </w:rPr>
      </w:pPr>
      <w:r w:rsidRPr="00DE12A3">
        <w:rPr>
          <w:rFonts w:cs="Times New Roman"/>
          <w:color w:val="auto"/>
        </w:rPr>
        <w:t>(5)</w:t>
      </w:r>
      <w:r w:rsidRPr="00DE12A3">
        <w:rPr>
          <w:rFonts w:cs="Times New Roman"/>
          <w:color w:val="auto"/>
        </w:rPr>
        <w:tab/>
      </w:r>
      <w:r w:rsidR="009C6D59" w:rsidRPr="00DE12A3">
        <w:rPr>
          <w:rFonts w:cs="Times New Roman"/>
          <w:color w:val="auto"/>
        </w:rPr>
        <w:t>İ</w:t>
      </w:r>
      <w:r w:rsidRPr="00DE12A3">
        <w:rPr>
          <w:rFonts w:cs="Times New Roman"/>
          <w:color w:val="auto"/>
        </w:rPr>
        <w:t>lgili uyarı sinyalleri ve ilgili düzeltme tedbirleri ile birlikte, monte edilen motorun yanlış çalışması, kullanımı veya bakımı ile oluşan olası emisyon kontrol sistemi arızalarına ilişkin ayrıntılı açıklamalar</w:t>
      </w:r>
      <w:r w:rsidR="00A77976" w:rsidRPr="00DE12A3">
        <w:rPr>
          <w:rFonts w:cs="Times New Roman"/>
          <w:color w:val="auto"/>
        </w:rPr>
        <w:t>.</w:t>
      </w:r>
    </w:p>
    <w:p w14:paraId="6F875318" w14:textId="59349C30" w:rsidR="00042A48" w:rsidRPr="00DE12A3" w:rsidRDefault="00042A48" w:rsidP="00C917D6">
      <w:pPr>
        <w:spacing w:before="120" w:after="120"/>
        <w:ind w:left="1701" w:hanging="567"/>
        <w:jc w:val="both"/>
        <w:rPr>
          <w:rFonts w:cs="Times New Roman"/>
          <w:color w:val="auto"/>
        </w:rPr>
      </w:pPr>
      <w:r w:rsidRPr="00DE12A3">
        <w:rPr>
          <w:rFonts w:cs="Times New Roman"/>
          <w:color w:val="auto"/>
        </w:rPr>
        <w:t>(6)</w:t>
      </w:r>
      <w:r w:rsidRPr="00DE12A3">
        <w:rPr>
          <w:rFonts w:cs="Times New Roman"/>
          <w:color w:val="auto"/>
        </w:rPr>
        <w:tab/>
      </w:r>
      <w:r w:rsidR="009C6D59" w:rsidRPr="00DE12A3">
        <w:rPr>
          <w:rFonts w:cs="Times New Roman"/>
          <w:color w:val="auto"/>
        </w:rPr>
        <w:t>İ</w:t>
      </w:r>
      <w:r w:rsidRPr="00DE12A3">
        <w:rPr>
          <w:rFonts w:cs="Times New Roman"/>
          <w:color w:val="auto"/>
        </w:rPr>
        <w:t>lgili uyarı sinyalleri ve ilgili düzeltme tedbirleri ile birlikte, karayolu dışında kullanılan hareketli makinaların, motor emisyon kontrol sisteminin arızalanmasına yol açacak olası yanlış kullanımına ilişkin ayrıntılı açıklamalar</w:t>
      </w:r>
      <w:r w:rsidR="00A77976" w:rsidRPr="00DE12A3">
        <w:rPr>
          <w:rFonts w:cs="Times New Roman"/>
          <w:color w:val="auto"/>
        </w:rPr>
        <w:t>.</w:t>
      </w:r>
    </w:p>
    <w:p w14:paraId="358BB535" w14:textId="5258CD74" w:rsidR="00042A48" w:rsidRPr="00DE12A3" w:rsidRDefault="00042A48" w:rsidP="00C917D6">
      <w:pPr>
        <w:spacing w:before="120" w:after="120"/>
        <w:ind w:left="1701" w:hanging="567"/>
        <w:jc w:val="both"/>
        <w:rPr>
          <w:rFonts w:cs="Times New Roman"/>
          <w:color w:val="auto"/>
        </w:rPr>
      </w:pPr>
      <w:r w:rsidRPr="00DE12A3">
        <w:rPr>
          <w:rFonts w:cs="Times New Roman"/>
          <w:color w:val="auto"/>
        </w:rPr>
        <w:t>(7)</w:t>
      </w:r>
      <w:r w:rsidRPr="00DE12A3">
        <w:rPr>
          <w:rFonts w:cs="Times New Roman"/>
          <w:color w:val="auto"/>
        </w:rPr>
        <w:tab/>
        <w:t>Yerine göre, ısıtmasız bir ayıraç tankı ve dozaj sisteminin olası kullanımı hakkında bilgi</w:t>
      </w:r>
      <w:r w:rsidR="00A77976" w:rsidRPr="00DE12A3">
        <w:rPr>
          <w:rFonts w:cs="Times New Roman"/>
          <w:color w:val="auto"/>
        </w:rPr>
        <w:t>.</w:t>
      </w:r>
    </w:p>
    <w:p w14:paraId="4BB384E6" w14:textId="33CECA2F" w:rsidR="00042A48" w:rsidRPr="00DE12A3" w:rsidRDefault="00042A48" w:rsidP="00C917D6">
      <w:pPr>
        <w:spacing w:before="120" w:after="120"/>
        <w:ind w:left="1701" w:hanging="567"/>
        <w:jc w:val="both"/>
        <w:rPr>
          <w:rFonts w:cs="Times New Roman"/>
          <w:color w:val="auto"/>
        </w:rPr>
      </w:pPr>
      <w:r w:rsidRPr="00DE12A3">
        <w:rPr>
          <w:rFonts w:cs="Times New Roman"/>
          <w:color w:val="auto"/>
        </w:rPr>
        <w:t>(8)</w:t>
      </w:r>
      <w:r w:rsidRPr="00DE12A3">
        <w:rPr>
          <w:rFonts w:cs="Times New Roman"/>
          <w:color w:val="auto"/>
        </w:rPr>
        <w:tab/>
        <w:t>Yerine göre, motorun yalnızca kar püskürtücülerde kullanılmak üzere tasarlandığını belirten bir açıklama</w:t>
      </w:r>
      <w:r w:rsidR="00A77976" w:rsidRPr="00DE12A3">
        <w:rPr>
          <w:rFonts w:cs="Times New Roman"/>
          <w:color w:val="auto"/>
        </w:rPr>
        <w:t>.</w:t>
      </w:r>
    </w:p>
    <w:p w14:paraId="40FE52CE" w14:textId="1F2F4E42" w:rsidR="00042A48" w:rsidRPr="00DE12A3" w:rsidRDefault="00042A48" w:rsidP="00C917D6">
      <w:pPr>
        <w:spacing w:before="120" w:after="120"/>
        <w:ind w:left="1701" w:hanging="567"/>
        <w:jc w:val="both"/>
        <w:rPr>
          <w:rFonts w:cs="Times New Roman"/>
          <w:color w:val="auto"/>
        </w:rPr>
      </w:pPr>
      <w:r w:rsidRPr="00DE12A3">
        <w:rPr>
          <w:rFonts w:cs="Times New Roman"/>
          <w:color w:val="auto"/>
        </w:rPr>
        <w:lastRenderedPageBreak/>
        <w:t>(9)</w:t>
      </w:r>
      <w:r w:rsidRPr="00DE12A3">
        <w:rPr>
          <w:rFonts w:cs="Times New Roman"/>
          <w:color w:val="auto"/>
        </w:rPr>
        <w:tab/>
      </w:r>
      <w:r w:rsidR="009C6D59" w:rsidRPr="00DE12A3">
        <w:rPr>
          <w:rFonts w:cs="Times New Roman"/>
          <w:color w:val="auto"/>
        </w:rPr>
        <w:t xml:space="preserve">Bu Tebliğin </w:t>
      </w:r>
      <w:r w:rsidR="00FA0678" w:rsidRPr="00DE12A3">
        <w:rPr>
          <w:rFonts w:cs="Times New Roman"/>
          <w:color w:val="auto"/>
        </w:rPr>
        <w:t>IV’</w:t>
      </w:r>
      <w:r w:rsidR="009C6D59" w:rsidRPr="00DE12A3">
        <w:rPr>
          <w:rFonts w:cs="Times New Roman"/>
          <w:color w:val="auto"/>
        </w:rPr>
        <w:t>ü</w:t>
      </w:r>
      <w:r w:rsidR="00FA0678" w:rsidRPr="00DE12A3">
        <w:rPr>
          <w:rFonts w:cs="Times New Roman"/>
          <w:color w:val="auto"/>
        </w:rPr>
        <w:t xml:space="preserve">ncü </w:t>
      </w:r>
      <w:r w:rsidR="00BF5FC6" w:rsidRPr="00DE12A3">
        <w:rPr>
          <w:rFonts w:cs="Times New Roman"/>
          <w:color w:val="auto"/>
        </w:rPr>
        <w:t>E</w:t>
      </w:r>
      <w:r w:rsidR="00FA0678" w:rsidRPr="00DE12A3">
        <w:rPr>
          <w:rFonts w:cs="Times New Roman"/>
          <w:color w:val="auto"/>
        </w:rPr>
        <w:t>k</w:t>
      </w:r>
      <w:r w:rsidRPr="00DE12A3">
        <w:rPr>
          <w:rFonts w:cs="Times New Roman"/>
          <w:color w:val="auto"/>
        </w:rPr>
        <w:t>in</w:t>
      </w:r>
      <w:r w:rsidR="009C6D59" w:rsidRPr="00DE12A3">
        <w:rPr>
          <w:rFonts w:cs="Times New Roman"/>
          <w:color w:val="auto"/>
        </w:rPr>
        <w:t>in</w:t>
      </w:r>
      <w:r w:rsidRPr="00DE12A3">
        <w:rPr>
          <w:rFonts w:cs="Times New Roman"/>
          <w:color w:val="auto"/>
        </w:rPr>
        <w:t xml:space="preserve"> </w:t>
      </w:r>
      <w:r w:rsidR="00FA0678" w:rsidRPr="00DE12A3">
        <w:rPr>
          <w:rFonts w:cs="Times New Roman"/>
          <w:color w:val="auto"/>
        </w:rPr>
        <w:t>1. Açıklayıcı Ekin</w:t>
      </w:r>
      <w:r w:rsidRPr="00DE12A3">
        <w:rPr>
          <w:rFonts w:cs="Times New Roman"/>
          <w:color w:val="auto"/>
        </w:rPr>
        <w:t xml:space="preserve">in 4. </w:t>
      </w:r>
      <w:r w:rsidR="00A610FC" w:rsidRPr="00DE12A3">
        <w:rPr>
          <w:rFonts w:cs="Times New Roman"/>
          <w:color w:val="auto"/>
        </w:rPr>
        <w:t>Bölüm</w:t>
      </w:r>
      <w:r w:rsidRPr="00DE12A3">
        <w:rPr>
          <w:rFonts w:cs="Times New Roman"/>
          <w:color w:val="auto"/>
        </w:rPr>
        <w:t xml:space="preserve">ü (kategori: NRE, NRG, IWP, IWA veya RLR) ve/veya </w:t>
      </w:r>
      <w:r w:rsidR="00FA0678" w:rsidRPr="00DE12A3">
        <w:rPr>
          <w:rFonts w:cs="Times New Roman"/>
          <w:color w:val="auto"/>
        </w:rPr>
        <w:t>IV’</w:t>
      </w:r>
      <w:r w:rsidR="009C6D59" w:rsidRPr="00DE12A3">
        <w:rPr>
          <w:rFonts w:cs="Times New Roman"/>
          <w:color w:val="auto"/>
        </w:rPr>
        <w:t>ü</w:t>
      </w:r>
      <w:r w:rsidR="00FA0678" w:rsidRPr="00DE12A3">
        <w:rPr>
          <w:rFonts w:cs="Times New Roman"/>
          <w:color w:val="auto"/>
        </w:rPr>
        <w:t xml:space="preserve">ncü </w:t>
      </w:r>
      <w:r w:rsidR="00A610FC" w:rsidRPr="00DE12A3">
        <w:rPr>
          <w:rFonts w:cs="Times New Roman"/>
          <w:color w:val="auto"/>
        </w:rPr>
        <w:t>E</w:t>
      </w:r>
      <w:r w:rsidR="00FA0678" w:rsidRPr="00DE12A3">
        <w:rPr>
          <w:rFonts w:cs="Times New Roman"/>
          <w:color w:val="auto"/>
        </w:rPr>
        <w:t>k</w:t>
      </w:r>
      <w:r w:rsidRPr="00DE12A3">
        <w:rPr>
          <w:rFonts w:cs="Times New Roman"/>
          <w:color w:val="auto"/>
        </w:rPr>
        <w:t xml:space="preserve">in </w:t>
      </w:r>
      <w:r w:rsidR="00CD23C3" w:rsidRPr="00DE12A3">
        <w:rPr>
          <w:rFonts w:cs="Times New Roman"/>
          <w:color w:val="auto"/>
        </w:rPr>
        <w:t>4. Açıklayıcı Ek</w:t>
      </w:r>
      <w:r w:rsidRPr="00DE12A3">
        <w:rPr>
          <w:rFonts w:cs="Times New Roman"/>
          <w:color w:val="auto"/>
        </w:rPr>
        <w:t xml:space="preserve">inin 4. </w:t>
      </w:r>
      <w:r w:rsidR="00A610FC" w:rsidRPr="00DE12A3">
        <w:rPr>
          <w:rFonts w:cs="Times New Roman"/>
          <w:color w:val="auto"/>
        </w:rPr>
        <w:t>Bölüm</w:t>
      </w:r>
      <w:r w:rsidRPr="00DE12A3">
        <w:rPr>
          <w:rFonts w:cs="Times New Roman"/>
          <w:color w:val="auto"/>
        </w:rPr>
        <w:t xml:space="preserve">ü (kategori: NRE, NRG, IWP, IWA veya RLR) veya </w:t>
      </w:r>
      <w:r w:rsidR="00FA0678" w:rsidRPr="00DE12A3">
        <w:rPr>
          <w:rFonts w:cs="Times New Roman"/>
          <w:color w:val="auto"/>
        </w:rPr>
        <w:t>IV’</w:t>
      </w:r>
      <w:r w:rsidR="009C6D59" w:rsidRPr="00DE12A3">
        <w:rPr>
          <w:rFonts w:cs="Times New Roman"/>
          <w:color w:val="auto"/>
        </w:rPr>
        <w:t>ü</w:t>
      </w:r>
      <w:r w:rsidR="00FA0678" w:rsidRPr="00DE12A3">
        <w:rPr>
          <w:rFonts w:cs="Times New Roman"/>
          <w:color w:val="auto"/>
        </w:rPr>
        <w:t xml:space="preserve">ncü </w:t>
      </w:r>
      <w:r w:rsidR="00A610FC" w:rsidRPr="00DE12A3">
        <w:rPr>
          <w:rFonts w:cs="Times New Roman"/>
          <w:color w:val="auto"/>
        </w:rPr>
        <w:t>E</w:t>
      </w:r>
      <w:r w:rsidR="00FA0678" w:rsidRPr="00DE12A3">
        <w:rPr>
          <w:rFonts w:cs="Times New Roman"/>
          <w:color w:val="auto"/>
        </w:rPr>
        <w:t>k</w:t>
      </w:r>
      <w:r w:rsidRPr="00DE12A3">
        <w:rPr>
          <w:rFonts w:cs="Times New Roman"/>
          <w:color w:val="auto"/>
        </w:rPr>
        <w:t xml:space="preserve">in </w:t>
      </w:r>
      <w:r w:rsidR="00CD23C3" w:rsidRPr="00DE12A3">
        <w:rPr>
          <w:rFonts w:cs="Times New Roman"/>
          <w:color w:val="auto"/>
        </w:rPr>
        <w:t>3. Açıklayıcı Ek</w:t>
      </w:r>
      <w:r w:rsidRPr="00DE12A3">
        <w:rPr>
          <w:rFonts w:cs="Times New Roman"/>
          <w:color w:val="auto"/>
        </w:rPr>
        <w:t xml:space="preserve">inin 3. </w:t>
      </w:r>
      <w:r w:rsidR="00A610FC" w:rsidRPr="00DE12A3">
        <w:rPr>
          <w:rFonts w:cs="Times New Roman"/>
          <w:color w:val="auto"/>
        </w:rPr>
        <w:t>Bölüm</w:t>
      </w:r>
      <w:r w:rsidRPr="00DE12A3">
        <w:rPr>
          <w:rFonts w:cs="Times New Roman"/>
          <w:color w:val="auto"/>
        </w:rPr>
        <w:t>ü (kategori: RLL) içinde tanımlanan operatör uyarı sistemine sahip karayolu dışında kullanılan hareketli makinalar için, emisyon kontrol sistemi doğru çalışmadığında operatörün operatör uyarı sistemi tarafından bilgilendirileceğini belirten bir açıklama</w:t>
      </w:r>
      <w:r w:rsidR="009C6D59" w:rsidRPr="00DE12A3">
        <w:rPr>
          <w:rFonts w:cs="Times New Roman"/>
          <w:color w:val="auto"/>
        </w:rPr>
        <w:t>.</w:t>
      </w:r>
    </w:p>
    <w:p w14:paraId="77BB8E36" w14:textId="74DA0401" w:rsidR="00042A48" w:rsidRPr="00DE12A3" w:rsidRDefault="00042A48" w:rsidP="00C917D6">
      <w:pPr>
        <w:spacing w:before="120" w:after="120"/>
        <w:ind w:left="1701" w:hanging="567"/>
        <w:jc w:val="both"/>
        <w:rPr>
          <w:rFonts w:cs="Times New Roman"/>
          <w:color w:val="auto"/>
        </w:rPr>
      </w:pPr>
      <w:r w:rsidRPr="00DE12A3">
        <w:rPr>
          <w:rFonts w:cs="Times New Roman"/>
          <w:color w:val="auto"/>
        </w:rPr>
        <w:t>(10)</w:t>
      </w:r>
      <w:r w:rsidRPr="00DE12A3">
        <w:rPr>
          <w:rFonts w:cs="Times New Roman"/>
          <w:color w:val="auto"/>
        </w:rPr>
        <w:tab/>
      </w:r>
      <w:r w:rsidR="00FA0678" w:rsidRPr="00DE12A3">
        <w:rPr>
          <w:rFonts w:cs="Times New Roman"/>
          <w:color w:val="auto"/>
        </w:rPr>
        <w:t>IV’</w:t>
      </w:r>
      <w:r w:rsidR="009C6D59" w:rsidRPr="00DE12A3">
        <w:rPr>
          <w:rFonts w:cs="Times New Roman"/>
          <w:color w:val="auto"/>
        </w:rPr>
        <w:t>ü</w:t>
      </w:r>
      <w:r w:rsidR="00FA0678" w:rsidRPr="00DE12A3">
        <w:rPr>
          <w:rFonts w:cs="Times New Roman"/>
          <w:color w:val="auto"/>
        </w:rPr>
        <w:t xml:space="preserve">ncü </w:t>
      </w:r>
      <w:r w:rsidR="0007544E" w:rsidRPr="00DE12A3">
        <w:rPr>
          <w:rFonts w:cs="Times New Roman"/>
          <w:color w:val="auto"/>
        </w:rPr>
        <w:t>E</w:t>
      </w:r>
      <w:r w:rsidR="00FA0678" w:rsidRPr="00DE12A3">
        <w:rPr>
          <w:rFonts w:cs="Times New Roman"/>
          <w:color w:val="auto"/>
        </w:rPr>
        <w:t>k</w:t>
      </w:r>
      <w:r w:rsidRPr="00DE12A3">
        <w:rPr>
          <w:rFonts w:cs="Times New Roman"/>
          <w:color w:val="auto"/>
        </w:rPr>
        <w:t xml:space="preserve">in </w:t>
      </w:r>
      <w:r w:rsidR="00FA0678" w:rsidRPr="00DE12A3">
        <w:rPr>
          <w:rFonts w:cs="Times New Roman"/>
          <w:color w:val="auto"/>
        </w:rPr>
        <w:t>1. Açıklayıcı Ekinin</w:t>
      </w:r>
      <w:r w:rsidRPr="00DE12A3">
        <w:rPr>
          <w:rFonts w:cs="Times New Roman"/>
          <w:color w:val="auto"/>
        </w:rPr>
        <w:t xml:space="preserve"> 5. </w:t>
      </w:r>
      <w:r w:rsidR="00A610FC" w:rsidRPr="00DE12A3">
        <w:rPr>
          <w:rFonts w:cs="Times New Roman"/>
          <w:color w:val="auto"/>
        </w:rPr>
        <w:t>Bölüm</w:t>
      </w:r>
      <w:r w:rsidRPr="00DE12A3">
        <w:rPr>
          <w:rFonts w:cs="Times New Roman"/>
          <w:color w:val="auto"/>
        </w:rPr>
        <w:t>ü (kategori NRE, NRG) içinde tanımlanan operatör ikna sistemine sahip karayolu dışında kullanılan hareketli makinalar için, operatör uyarı sinyallerini görmezden gelmenin, operatör ikna sisteminin devreye girmesine, karayolu dışında kullanılan hareketli makinaların etkili şekilde çalışmaz hale gelmesine yol açacağını belirten bir açıklama</w:t>
      </w:r>
      <w:r w:rsidR="009C6D59" w:rsidRPr="00DE12A3">
        <w:rPr>
          <w:rFonts w:cs="Times New Roman"/>
          <w:color w:val="auto"/>
        </w:rPr>
        <w:t>.</w:t>
      </w:r>
    </w:p>
    <w:p w14:paraId="714BA49A" w14:textId="0F95221F" w:rsidR="00042A48" w:rsidRPr="00DE12A3" w:rsidRDefault="00042A48" w:rsidP="00C917D6">
      <w:pPr>
        <w:spacing w:before="120" w:after="120"/>
        <w:ind w:left="1701" w:hanging="567"/>
        <w:jc w:val="both"/>
        <w:rPr>
          <w:rFonts w:cs="Times New Roman"/>
          <w:color w:val="auto"/>
        </w:rPr>
      </w:pPr>
      <w:r w:rsidRPr="00DE12A3">
        <w:rPr>
          <w:rFonts w:cs="Times New Roman"/>
          <w:color w:val="auto"/>
        </w:rPr>
        <w:t>(11)</w:t>
      </w:r>
      <w:r w:rsidRPr="00DE12A3">
        <w:rPr>
          <w:rFonts w:cs="Times New Roman"/>
          <w:color w:val="auto"/>
        </w:rPr>
        <w:tab/>
      </w:r>
      <w:r w:rsidR="00FA0678" w:rsidRPr="00DE12A3">
        <w:rPr>
          <w:rFonts w:cs="Times New Roman"/>
          <w:color w:val="auto"/>
        </w:rPr>
        <w:t>IV’</w:t>
      </w:r>
      <w:r w:rsidR="009C6D59" w:rsidRPr="00DE12A3">
        <w:rPr>
          <w:rFonts w:cs="Times New Roman"/>
          <w:color w:val="auto"/>
        </w:rPr>
        <w:t>ü</w:t>
      </w:r>
      <w:r w:rsidR="00FA0678" w:rsidRPr="00DE12A3">
        <w:rPr>
          <w:rFonts w:cs="Times New Roman"/>
          <w:color w:val="auto"/>
        </w:rPr>
        <w:t xml:space="preserve">ncü </w:t>
      </w:r>
      <w:r w:rsidR="00BF5FC6" w:rsidRPr="00DE12A3">
        <w:rPr>
          <w:rFonts w:cs="Times New Roman"/>
          <w:color w:val="auto"/>
        </w:rPr>
        <w:t>E</w:t>
      </w:r>
      <w:r w:rsidR="00FA0678" w:rsidRPr="00DE12A3">
        <w:rPr>
          <w:rFonts w:cs="Times New Roman"/>
          <w:color w:val="auto"/>
        </w:rPr>
        <w:t>k</w:t>
      </w:r>
      <w:r w:rsidRPr="00DE12A3">
        <w:rPr>
          <w:rFonts w:cs="Times New Roman"/>
          <w:color w:val="auto"/>
        </w:rPr>
        <w:t xml:space="preserve">in </w:t>
      </w:r>
      <w:r w:rsidR="00FA0678" w:rsidRPr="00DE12A3">
        <w:rPr>
          <w:rFonts w:cs="Times New Roman"/>
          <w:color w:val="auto"/>
        </w:rPr>
        <w:t>1. Açıklayıcı Ek</w:t>
      </w:r>
      <w:r w:rsidR="0007544E" w:rsidRPr="00DE12A3">
        <w:rPr>
          <w:rFonts w:cs="Times New Roman"/>
          <w:color w:val="auto"/>
        </w:rPr>
        <w:t>i</w:t>
      </w:r>
      <w:r w:rsidR="00FA0678" w:rsidRPr="00DE12A3">
        <w:rPr>
          <w:rFonts w:cs="Times New Roman"/>
          <w:color w:val="auto"/>
        </w:rPr>
        <w:t>n</w:t>
      </w:r>
      <w:r w:rsidRPr="00DE12A3">
        <w:rPr>
          <w:rFonts w:cs="Times New Roman"/>
          <w:color w:val="auto"/>
        </w:rPr>
        <w:t>in 5.5 bendinde tanımlanan ikna geçersiz kılma işlevine sahip karayolu dışında kullanılan hareketli makinaların tüm motor gücünün açığa çıkarılması için bu işlevin çalışması hakkında bilgi</w:t>
      </w:r>
      <w:r w:rsidR="009C6D59" w:rsidRPr="00DE12A3">
        <w:rPr>
          <w:rFonts w:cs="Times New Roman"/>
          <w:color w:val="auto"/>
        </w:rPr>
        <w:t>.</w:t>
      </w:r>
    </w:p>
    <w:p w14:paraId="7DF692DD" w14:textId="36AF5A3B" w:rsidR="00042A48" w:rsidRPr="00DE12A3" w:rsidRDefault="00042A48" w:rsidP="00C917D6">
      <w:pPr>
        <w:spacing w:before="120" w:after="120"/>
        <w:ind w:left="1701" w:hanging="567"/>
        <w:jc w:val="both"/>
        <w:rPr>
          <w:rFonts w:cs="Times New Roman"/>
          <w:color w:val="auto"/>
        </w:rPr>
      </w:pPr>
      <w:r w:rsidRPr="00DE12A3">
        <w:rPr>
          <w:rFonts w:cs="Times New Roman"/>
          <w:color w:val="auto"/>
        </w:rPr>
        <w:t>(12)</w:t>
      </w:r>
      <w:r w:rsidRPr="00DE12A3">
        <w:rPr>
          <w:rFonts w:cs="Times New Roman"/>
          <w:color w:val="auto"/>
        </w:rPr>
        <w:tab/>
        <w:t>Yerine göre, uyarı sistemi sinyallerini dikkate almamanın ve kullanılıyorsa ayıracın yenilenmemesinin veya belirlenen sorunun düzeltilmesinin, performans ve arıza kayıtları bakımından sonuçları da dahil olmak üzere</w:t>
      </w:r>
      <w:r w:rsidR="0003150C" w:rsidRPr="00DE12A3">
        <w:rPr>
          <w:rFonts w:cs="Times New Roman"/>
          <w:color w:val="auto"/>
        </w:rPr>
        <w:t>; Bu Bölümün</w:t>
      </w:r>
      <w:r w:rsidRPr="00DE12A3">
        <w:rPr>
          <w:rFonts w:cs="Times New Roman"/>
          <w:color w:val="auto"/>
        </w:rPr>
        <w:t xml:space="preserve"> (9), (10) ve (11) </w:t>
      </w:r>
      <w:r w:rsidR="009C6D59" w:rsidRPr="00DE12A3">
        <w:rPr>
          <w:rFonts w:cs="Times New Roman"/>
          <w:color w:val="auto"/>
        </w:rPr>
        <w:t>numaralı</w:t>
      </w:r>
      <w:r w:rsidR="0003150C" w:rsidRPr="00DE12A3">
        <w:rPr>
          <w:rFonts w:cs="Times New Roman"/>
          <w:color w:val="auto"/>
        </w:rPr>
        <w:t xml:space="preserve"> </w:t>
      </w:r>
      <w:r w:rsidRPr="00DE12A3">
        <w:rPr>
          <w:rFonts w:cs="Times New Roman"/>
          <w:color w:val="auto"/>
        </w:rPr>
        <w:t>bentlerinde belirtilen operatör uyarı ve ikna sistemlerinin nasıl çalıştığına dair açıklamalar</w:t>
      </w:r>
      <w:r w:rsidR="009C6D59" w:rsidRPr="00DE12A3">
        <w:rPr>
          <w:rFonts w:cs="Times New Roman"/>
          <w:color w:val="auto"/>
        </w:rPr>
        <w:t>.</w:t>
      </w:r>
    </w:p>
    <w:p w14:paraId="776D3047" w14:textId="00255E55" w:rsidR="00042A48" w:rsidRPr="00DE12A3" w:rsidRDefault="00042A48" w:rsidP="00C917D6">
      <w:pPr>
        <w:spacing w:before="120" w:after="120"/>
        <w:ind w:left="1701" w:hanging="567"/>
        <w:jc w:val="both"/>
        <w:rPr>
          <w:rFonts w:cs="Times New Roman"/>
          <w:color w:val="auto"/>
        </w:rPr>
      </w:pPr>
      <w:r w:rsidRPr="00DE12A3">
        <w:rPr>
          <w:rFonts w:cs="Times New Roman"/>
          <w:color w:val="auto"/>
        </w:rPr>
        <w:t>(13)</w:t>
      </w:r>
      <w:r w:rsidRPr="00DE12A3">
        <w:rPr>
          <w:rFonts w:cs="Times New Roman"/>
          <w:color w:val="auto"/>
        </w:rPr>
        <w:tab/>
        <w:t xml:space="preserve">Yetersiz ayıraç enjeksiyonu veya ayıraç kalitesine ilişkin dahili bilgisayar günlüklerindeki kayıtların, </w:t>
      </w:r>
      <w:r w:rsidR="00FA0678" w:rsidRPr="00DE12A3">
        <w:rPr>
          <w:rFonts w:cs="Times New Roman"/>
          <w:color w:val="auto"/>
        </w:rPr>
        <w:t xml:space="preserve">IV’ncü </w:t>
      </w:r>
      <w:r w:rsidR="00BF5FC6" w:rsidRPr="00DE12A3">
        <w:rPr>
          <w:rFonts w:cs="Times New Roman"/>
          <w:color w:val="auto"/>
        </w:rPr>
        <w:t>E</w:t>
      </w:r>
      <w:r w:rsidR="00FA0678" w:rsidRPr="00DE12A3">
        <w:rPr>
          <w:rFonts w:cs="Times New Roman"/>
          <w:color w:val="auto"/>
        </w:rPr>
        <w:t>k</w:t>
      </w:r>
      <w:r w:rsidRPr="00DE12A3">
        <w:rPr>
          <w:rFonts w:cs="Times New Roman"/>
          <w:color w:val="auto"/>
        </w:rPr>
        <w:t xml:space="preserve">in </w:t>
      </w:r>
      <w:r w:rsidR="00FA0678" w:rsidRPr="00DE12A3">
        <w:rPr>
          <w:rFonts w:cs="Times New Roman"/>
          <w:color w:val="auto"/>
        </w:rPr>
        <w:t>2. Açıklayıcı Ek</w:t>
      </w:r>
      <w:r w:rsidRPr="00DE12A3">
        <w:rPr>
          <w:rFonts w:cs="Times New Roman"/>
          <w:color w:val="auto"/>
        </w:rPr>
        <w:t>inin 4.1 bendi (kategori: IWP, IWA, RLR) uyarınca yapılması durumunda, ulusal denetim otoritelerinin bu kayıtları bir tarama aleti ile okuyabileceğini belirten bir açıklama</w:t>
      </w:r>
      <w:r w:rsidR="009C6D59" w:rsidRPr="00DE12A3">
        <w:rPr>
          <w:rFonts w:cs="Times New Roman"/>
          <w:color w:val="auto"/>
        </w:rPr>
        <w:t>.</w:t>
      </w:r>
    </w:p>
    <w:p w14:paraId="32E207B5" w14:textId="34A08EA3" w:rsidR="00042A48" w:rsidRPr="00DE12A3" w:rsidRDefault="00042A48" w:rsidP="00C917D6">
      <w:pPr>
        <w:spacing w:before="120" w:after="120"/>
        <w:ind w:left="1701" w:hanging="567"/>
        <w:jc w:val="both"/>
        <w:rPr>
          <w:rFonts w:cs="Times New Roman"/>
          <w:color w:val="auto"/>
        </w:rPr>
      </w:pPr>
      <w:r w:rsidRPr="00DE12A3">
        <w:rPr>
          <w:rFonts w:cs="Times New Roman"/>
          <w:color w:val="auto"/>
        </w:rPr>
        <w:t>(14)</w:t>
      </w:r>
      <w:r w:rsidRPr="00DE12A3">
        <w:rPr>
          <w:rFonts w:cs="Times New Roman"/>
          <w:color w:val="auto"/>
        </w:rPr>
        <w:tab/>
      </w:r>
      <w:r w:rsidR="00FA0678" w:rsidRPr="00DE12A3">
        <w:rPr>
          <w:rFonts w:cs="Times New Roman"/>
          <w:color w:val="auto"/>
        </w:rPr>
        <w:t>IV’</w:t>
      </w:r>
      <w:r w:rsidR="0003150C" w:rsidRPr="00DE12A3">
        <w:rPr>
          <w:rFonts w:cs="Times New Roman"/>
          <w:color w:val="auto"/>
        </w:rPr>
        <w:t>ü</w:t>
      </w:r>
      <w:r w:rsidR="00FA0678" w:rsidRPr="00DE12A3">
        <w:rPr>
          <w:rFonts w:cs="Times New Roman"/>
          <w:color w:val="auto"/>
        </w:rPr>
        <w:t xml:space="preserve">ncü </w:t>
      </w:r>
      <w:r w:rsidR="00BF5FC6" w:rsidRPr="00DE12A3">
        <w:rPr>
          <w:rFonts w:cs="Times New Roman"/>
          <w:color w:val="auto"/>
        </w:rPr>
        <w:t>E</w:t>
      </w:r>
      <w:r w:rsidR="00FA0678" w:rsidRPr="00DE12A3">
        <w:rPr>
          <w:rFonts w:cs="Times New Roman"/>
          <w:color w:val="auto"/>
        </w:rPr>
        <w:t>k</w:t>
      </w:r>
      <w:r w:rsidRPr="00DE12A3">
        <w:rPr>
          <w:rFonts w:cs="Times New Roman"/>
          <w:color w:val="auto"/>
        </w:rPr>
        <w:t xml:space="preserve">in </w:t>
      </w:r>
      <w:r w:rsidR="00FA0678" w:rsidRPr="00DE12A3">
        <w:rPr>
          <w:rFonts w:cs="Times New Roman"/>
          <w:color w:val="auto"/>
        </w:rPr>
        <w:t>1. Açıklayıcı Ekin</w:t>
      </w:r>
      <w:r w:rsidRPr="00DE12A3">
        <w:rPr>
          <w:rFonts w:cs="Times New Roman"/>
          <w:color w:val="auto"/>
        </w:rPr>
        <w:t>in 5.2.1 bendinde tanımlanan operatör ikna sistemini devre dışı bırakma işlevine sahip karayolu dışında kullanılan hareketli makinalar için, bu işlevin çalışması hakkında bilgi ve bu işlevin sadece acil durumlarda devreye gireceğini, her devreye girmenin dahili bilgisayar günlüğüne kaydedileceğini ve ulusal denetim otoritelerinin bu kayıtları bir tarama aleti ile okuyabileceğini belirten bir açıklama</w:t>
      </w:r>
      <w:r w:rsidR="009C6D59" w:rsidRPr="00DE12A3">
        <w:rPr>
          <w:rFonts w:cs="Times New Roman"/>
          <w:color w:val="auto"/>
        </w:rPr>
        <w:t>.</w:t>
      </w:r>
    </w:p>
    <w:p w14:paraId="244E8498" w14:textId="4D7C3CF8" w:rsidR="00042A48" w:rsidRPr="00DE12A3" w:rsidRDefault="00042A48" w:rsidP="00C917D6">
      <w:pPr>
        <w:spacing w:before="120" w:after="120"/>
        <w:ind w:left="1701" w:hanging="567"/>
        <w:jc w:val="both"/>
        <w:rPr>
          <w:rFonts w:cs="Times New Roman"/>
          <w:color w:val="auto"/>
        </w:rPr>
      </w:pPr>
      <w:r w:rsidRPr="00DE12A3">
        <w:rPr>
          <w:rFonts w:cs="Times New Roman"/>
          <w:color w:val="auto"/>
        </w:rPr>
        <w:t>(15)</w:t>
      </w:r>
      <w:r w:rsidRPr="00DE12A3">
        <w:rPr>
          <w:rFonts w:cs="Times New Roman"/>
          <w:color w:val="auto"/>
        </w:rPr>
        <w:tab/>
        <w:t>I</w:t>
      </w:r>
      <w:r w:rsidR="0003150C" w:rsidRPr="00DE12A3">
        <w:rPr>
          <w:rFonts w:cs="Times New Roman"/>
          <w:color w:val="auto"/>
        </w:rPr>
        <w:t xml:space="preserve">’inci </w:t>
      </w:r>
      <w:r w:rsidRPr="00DE12A3">
        <w:rPr>
          <w:rFonts w:cs="Times New Roman"/>
          <w:color w:val="auto"/>
        </w:rPr>
        <w:t xml:space="preserve"> Ekin </w:t>
      </w:r>
      <w:r w:rsidR="0053289F" w:rsidRPr="00DE12A3">
        <w:rPr>
          <w:rFonts w:cs="Times New Roman"/>
          <w:color w:val="auto"/>
        </w:rPr>
        <w:t>gerekliliklerini</w:t>
      </w:r>
      <w:r w:rsidRPr="00DE12A3">
        <w:rPr>
          <w:rFonts w:cs="Times New Roman"/>
          <w:color w:val="auto"/>
        </w:rPr>
        <w:t xml:space="preserve"> izleyen ve varsa uygun AB veya uluslararası standarda yapılan atıf da dahil olmak üzere, motor AB tip onayında belirtilen şartnamelere uygun olan emisyon kontrol sisteminin performansını korumak için gereken yakıt özellikleri hakkında bilgi, özellikle</w:t>
      </w:r>
      <w:r w:rsidR="0003150C" w:rsidRPr="00DE12A3">
        <w:rPr>
          <w:rFonts w:cs="Times New Roman"/>
          <w:color w:val="auto"/>
        </w:rPr>
        <w:t>;</w:t>
      </w:r>
    </w:p>
    <w:p w14:paraId="73418CE3" w14:textId="3EE66FFE" w:rsidR="00042A48" w:rsidRPr="00DE12A3" w:rsidRDefault="00042A48" w:rsidP="00C917D6">
      <w:pPr>
        <w:spacing w:before="120" w:after="120"/>
        <w:ind w:left="2268" w:hanging="567"/>
        <w:jc w:val="both"/>
        <w:rPr>
          <w:rFonts w:cs="Times New Roman"/>
          <w:color w:val="auto"/>
        </w:rPr>
      </w:pPr>
      <w:r w:rsidRPr="00DE12A3">
        <w:rPr>
          <w:rFonts w:cs="Times New Roman"/>
          <w:color w:val="auto"/>
        </w:rPr>
        <w:t>(a)</w:t>
      </w:r>
      <w:r w:rsidRPr="00DE12A3">
        <w:rPr>
          <w:rFonts w:cs="Times New Roman"/>
          <w:color w:val="auto"/>
        </w:rPr>
        <w:tab/>
        <w:t xml:space="preserve">Motorun dizel veya karayolu dışı </w:t>
      </w:r>
      <w:r w:rsidR="00FE3D3B" w:rsidRPr="00DE12A3">
        <w:rPr>
          <w:rFonts w:cs="Times New Roman"/>
          <w:color w:val="auto"/>
        </w:rPr>
        <w:t>dizel</w:t>
      </w:r>
      <w:r w:rsidRPr="00DE12A3">
        <w:rPr>
          <w:rFonts w:cs="Times New Roman"/>
          <w:color w:val="auto"/>
        </w:rPr>
        <w:t xml:space="preserve"> yakıt ile çalıştırılması durumunda, en çok 10 mg/kg kükürt içeriğine (son dağıtım noktasında 20 mg/kg), en az 45 setan sayısına ve en çok %8 v/v FAME içeriğine sahip bir yakıtın kullanılması gerektiğini belirten bir açıklama.</w:t>
      </w:r>
    </w:p>
    <w:p w14:paraId="34C6E038" w14:textId="136632D5" w:rsidR="00042A48" w:rsidRPr="00DE12A3" w:rsidRDefault="00042A48" w:rsidP="00C917D6">
      <w:pPr>
        <w:spacing w:before="120" w:after="120"/>
        <w:ind w:left="2268" w:hanging="567"/>
        <w:jc w:val="both"/>
        <w:rPr>
          <w:rFonts w:cs="Times New Roman"/>
          <w:color w:val="auto"/>
        </w:rPr>
      </w:pPr>
      <w:r w:rsidRPr="00DE12A3">
        <w:rPr>
          <w:rFonts w:cs="Times New Roman"/>
          <w:color w:val="auto"/>
        </w:rPr>
        <w:t>(b)</w:t>
      </w:r>
      <w:r w:rsidRPr="00DE12A3">
        <w:rPr>
          <w:rFonts w:cs="Times New Roman"/>
          <w:color w:val="auto"/>
        </w:rPr>
        <w:tab/>
        <w:t>İmalatçının beyan ettiği ve AB tip onayı belgesinde belirtildiği gibi ek yakıtların, yakıt karışımlarının veya yakıt emülsiyonlarının motorda kullanılmaya uygun olmaları durumunda bunlar belirtilmelidir</w:t>
      </w:r>
      <w:r w:rsidR="0003150C" w:rsidRPr="00DE12A3">
        <w:rPr>
          <w:rFonts w:cs="Times New Roman"/>
          <w:color w:val="auto"/>
        </w:rPr>
        <w:t>.</w:t>
      </w:r>
    </w:p>
    <w:p w14:paraId="4C9492A5" w14:textId="52B8C422" w:rsidR="00042A48" w:rsidRPr="00DE12A3" w:rsidRDefault="00042A48" w:rsidP="00D172C2">
      <w:pPr>
        <w:spacing w:before="120" w:after="120"/>
        <w:ind w:left="1701" w:hanging="567"/>
        <w:jc w:val="both"/>
        <w:rPr>
          <w:rFonts w:cs="Times New Roman"/>
          <w:color w:val="auto"/>
        </w:rPr>
      </w:pPr>
      <w:r w:rsidRPr="00DE12A3">
        <w:rPr>
          <w:rFonts w:cs="Times New Roman"/>
          <w:color w:val="auto"/>
        </w:rPr>
        <w:t>(16)</w:t>
      </w:r>
      <w:r w:rsidRPr="00DE12A3">
        <w:rPr>
          <w:rFonts w:cs="Times New Roman"/>
          <w:color w:val="auto"/>
        </w:rPr>
        <w:tab/>
        <w:t>Emisyon kontrol sisteminin performansını korumak için gereken yağlama yağı özellikleri hakkında bilgi</w:t>
      </w:r>
      <w:r w:rsidR="0003150C" w:rsidRPr="00DE12A3">
        <w:rPr>
          <w:rFonts w:cs="Times New Roman"/>
          <w:color w:val="auto"/>
        </w:rPr>
        <w:t>.</w:t>
      </w:r>
    </w:p>
    <w:p w14:paraId="7ACA96A9" w14:textId="77777777" w:rsidR="00042A48" w:rsidRPr="00DE12A3" w:rsidRDefault="00042A48" w:rsidP="00D172C2">
      <w:pPr>
        <w:spacing w:before="120" w:after="120"/>
        <w:ind w:left="1701" w:hanging="567"/>
        <w:jc w:val="both"/>
        <w:rPr>
          <w:rFonts w:cs="Times New Roman"/>
          <w:color w:val="auto"/>
        </w:rPr>
      </w:pPr>
      <w:r w:rsidRPr="00DE12A3">
        <w:rPr>
          <w:rFonts w:cs="Times New Roman"/>
          <w:color w:val="auto"/>
        </w:rPr>
        <w:t>(17)</w:t>
      </w:r>
      <w:r w:rsidRPr="00DE12A3">
        <w:rPr>
          <w:rFonts w:cs="Times New Roman"/>
          <w:color w:val="auto"/>
        </w:rPr>
        <w:tab/>
        <w:t xml:space="preserve">Emisyon kontrol sisteminin bir ayıraç gerektirdiği durumlarda, ayıracın tipi, ayıracın solüsyon içindeki konsantrasyonu hakkında bilgi, çalışma sıcaklığı koşulları ve motorun AB tip onayında belirlenen şartlara uygun olarak </w:t>
      </w:r>
      <w:r w:rsidRPr="00DE12A3">
        <w:rPr>
          <w:rFonts w:cs="Times New Roman"/>
          <w:color w:val="auto"/>
        </w:rPr>
        <w:lastRenderedPageBreak/>
        <w:t>kompozisyon ve kaliteye ilişkin uluslararası standartlara atıf da dahil olmak üzere söz konusu ayıracın özellikleri.</w:t>
      </w:r>
    </w:p>
    <w:p w14:paraId="4902BF9D" w14:textId="77777777" w:rsidR="00042A48" w:rsidRPr="00DE12A3" w:rsidRDefault="00042A48" w:rsidP="00D172C2">
      <w:pPr>
        <w:spacing w:before="120" w:after="120"/>
        <w:ind w:left="1701" w:hanging="567"/>
        <w:jc w:val="both"/>
        <w:rPr>
          <w:rFonts w:cs="Times New Roman"/>
          <w:color w:val="auto"/>
        </w:rPr>
      </w:pPr>
      <w:r w:rsidRPr="00DE12A3">
        <w:rPr>
          <w:rFonts w:cs="Times New Roman"/>
          <w:color w:val="auto"/>
        </w:rPr>
        <w:t>(18)</w:t>
      </w:r>
      <w:r w:rsidRPr="00DE12A3">
        <w:rPr>
          <w:rFonts w:cs="Times New Roman"/>
          <w:color w:val="auto"/>
        </w:rPr>
        <w:tab/>
        <w:t>Yerine göre, normal bakım aralıkları arasında sarf malzemesi ayıraçların operatör tarafından nasıl doldurulması gerektiğini belirten talimatlar. Bu talimatlarda, karayolu dışında kullanılan hareketli makinaların kullanımına bağlı olarak operatörün ayıraç tankını nasıl doldurması gerektiği ve beklenen dolum sıklığı belirtilmelidir.</w:t>
      </w:r>
    </w:p>
    <w:p w14:paraId="097DCB5F" w14:textId="15493362" w:rsidR="00042A48" w:rsidRPr="00DE12A3" w:rsidRDefault="00042A48" w:rsidP="00D172C2">
      <w:pPr>
        <w:spacing w:before="120" w:after="120"/>
        <w:ind w:left="1701" w:hanging="567"/>
        <w:jc w:val="both"/>
        <w:rPr>
          <w:rFonts w:cs="Times New Roman"/>
          <w:color w:val="auto"/>
        </w:rPr>
      </w:pPr>
      <w:r w:rsidRPr="00DE12A3">
        <w:rPr>
          <w:rFonts w:cs="Times New Roman"/>
          <w:color w:val="auto"/>
        </w:rPr>
        <w:t>(19)</w:t>
      </w:r>
      <w:r w:rsidRPr="00DE12A3">
        <w:rPr>
          <w:rFonts w:cs="Times New Roman"/>
          <w:color w:val="auto"/>
        </w:rPr>
        <w:tab/>
        <w:t>Motorun emisyon performansını korumak amacıyla, ayıracın</w:t>
      </w:r>
      <w:r w:rsidR="0003150C" w:rsidRPr="00DE12A3">
        <w:rPr>
          <w:rFonts w:cs="Times New Roman"/>
          <w:color w:val="auto"/>
        </w:rPr>
        <w:t xml:space="preserve"> bu Bölümün</w:t>
      </w:r>
      <w:r w:rsidRPr="00DE12A3">
        <w:rPr>
          <w:rFonts w:cs="Times New Roman"/>
          <w:color w:val="auto"/>
        </w:rPr>
        <w:t xml:space="preserve"> (17) ve (18) </w:t>
      </w:r>
      <w:r w:rsidR="0003150C" w:rsidRPr="00DE12A3">
        <w:rPr>
          <w:rFonts w:cs="Times New Roman"/>
          <w:color w:val="auto"/>
        </w:rPr>
        <w:t xml:space="preserve">numaralı </w:t>
      </w:r>
      <w:r w:rsidRPr="00DE12A3">
        <w:rPr>
          <w:rFonts w:cs="Times New Roman"/>
          <w:color w:val="auto"/>
        </w:rPr>
        <w:t>bentlerinde belirtilen şartlar uyarınca kullanılması ve yeniden doldurulması gerektiğini belirten bir açıklama</w:t>
      </w:r>
      <w:r w:rsidR="0003150C" w:rsidRPr="00DE12A3">
        <w:rPr>
          <w:rFonts w:cs="Times New Roman"/>
          <w:color w:val="auto"/>
        </w:rPr>
        <w:t>.</w:t>
      </w:r>
    </w:p>
    <w:p w14:paraId="39EFAD1D" w14:textId="3444E0B6" w:rsidR="00042A48" w:rsidRPr="00DE12A3" w:rsidRDefault="00042A48" w:rsidP="00D172C2">
      <w:pPr>
        <w:spacing w:before="120" w:after="120"/>
        <w:ind w:left="1701" w:hanging="567"/>
        <w:jc w:val="both"/>
        <w:rPr>
          <w:rFonts w:cs="Times New Roman"/>
          <w:color w:val="auto"/>
        </w:rPr>
      </w:pPr>
      <w:r w:rsidRPr="00DE12A3">
        <w:rPr>
          <w:rFonts w:cs="Times New Roman"/>
          <w:color w:val="auto"/>
        </w:rPr>
        <w:t>(20)</w:t>
      </w:r>
      <w:r w:rsidRPr="00DE12A3">
        <w:rPr>
          <w:rFonts w:cs="Times New Roman"/>
          <w:color w:val="auto"/>
        </w:rPr>
        <w:tab/>
        <w:t xml:space="preserve">Emisyonla ilgili kritik bileşenlerin planlı herhangi bir değişimi de dahil olmak üzere emisyonla ilgili planlı bakım </w:t>
      </w:r>
      <w:r w:rsidR="0053289F" w:rsidRPr="00DE12A3">
        <w:rPr>
          <w:rFonts w:cs="Times New Roman"/>
          <w:color w:val="auto"/>
        </w:rPr>
        <w:t>gereklilikleri</w:t>
      </w:r>
      <w:r w:rsidR="0003150C" w:rsidRPr="00DE12A3">
        <w:rPr>
          <w:rFonts w:cs="Times New Roman"/>
          <w:color w:val="auto"/>
        </w:rPr>
        <w:t>.</w:t>
      </w:r>
    </w:p>
    <w:p w14:paraId="3AD114D1" w14:textId="77777777" w:rsidR="00042A48" w:rsidRPr="00DE12A3" w:rsidRDefault="00042A48" w:rsidP="00D172C2">
      <w:pPr>
        <w:spacing w:before="120" w:after="120"/>
        <w:ind w:left="1701" w:hanging="567"/>
        <w:jc w:val="both"/>
        <w:rPr>
          <w:rFonts w:cs="Times New Roman"/>
          <w:color w:val="auto"/>
        </w:rPr>
      </w:pPr>
      <w:r w:rsidRPr="00DE12A3">
        <w:rPr>
          <w:rFonts w:cs="Times New Roman"/>
          <w:color w:val="auto"/>
        </w:rPr>
        <w:t>(21)</w:t>
      </w:r>
      <w:r w:rsidRPr="00DE12A3">
        <w:rPr>
          <w:rFonts w:cs="Times New Roman"/>
          <w:color w:val="auto"/>
        </w:rPr>
        <w:tab/>
      </w:r>
      <w:r w:rsidR="00D172C2" w:rsidRPr="00DE12A3">
        <w:rPr>
          <w:rFonts w:cs="Times New Roman"/>
          <w:color w:val="auto"/>
        </w:rPr>
        <w:t>İ</w:t>
      </w:r>
      <w:r w:rsidRPr="00DE12A3">
        <w:rPr>
          <w:rFonts w:cs="Times New Roman"/>
          <w:color w:val="auto"/>
        </w:rPr>
        <w:t>ki yakıtlı motorlar durumunda:</w:t>
      </w:r>
    </w:p>
    <w:p w14:paraId="02186342" w14:textId="714B663E" w:rsidR="00042A48" w:rsidRPr="00DE12A3" w:rsidRDefault="00042A48" w:rsidP="00D172C2">
      <w:pPr>
        <w:spacing w:before="120" w:after="120"/>
        <w:ind w:left="2268" w:hanging="567"/>
        <w:jc w:val="both"/>
        <w:rPr>
          <w:rFonts w:cs="Times New Roman"/>
          <w:color w:val="auto"/>
        </w:rPr>
      </w:pPr>
      <w:r w:rsidRPr="00DE12A3">
        <w:rPr>
          <w:rFonts w:cs="Times New Roman"/>
          <w:color w:val="auto"/>
        </w:rPr>
        <w:t>(a)</w:t>
      </w:r>
      <w:r w:rsidRPr="00DE12A3">
        <w:rPr>
          <w:rFonts w:cs="Times New Roman"/>
          <w:color w:val="auto"/>
        </w:rPr>
        <w:tab/>
        <w:t xml:space="preserve">Yerine göre, VIII’inci </w:t>
      </w:r>
      <w:r w:rsidR="00A82A16" w:rsidRPr="00DE12A3">
        <w:rPr>
          <w:rFonts w:cs="Times New Roman"/>
          <w:color w:val="auto"/>
        </w:rPr>
        <w:t>E</w:t>
      </w:r>
      <w:r w:rsidRPr="00DE12A3">
        <w:rPr>
          <w:rFonts w:cs="Times New Roman"/>
          <w:color w:val="auto"/>
        </w:rPr>
        <w:t xml:space="preserve">kin 4.3 </w:t>
      </w:r>
      <w:r w:rsidR="0003150C" w:rsidRPr="00DE12A3">
        <w:rPr>
          <w:rFonts w:cs="Times New Roman"/>
          <w:color w:val="auto"/>
        </w:rPr>
        <w:t xml:space="preserve">bendinde </w:t>
      </w:r>
      <w:r w:rsidRPr="00DE12A3">
        <w:rPr>
          <w:rFonts w:cs="Times New Roman"/>
          <w:color w:val="auto"/>
        </w:rPr>
        <w:t>belirtilen iki yakıt göstergeleri hakkında bilgi.</w:t>
      </w:r>
    </w:p>
    <w:p w14:paraId="7CA47978" w14:textId="749E44A4" w:rsidR="00042A48" w:rsidRPr="00DE12A3" w:rsidRDefault="00042A48" w:rsidP="00D172C2">
      <w:pPr>
        <w:spacing w:before="120" w:after="120"/>
        <w:ind w:left="2268" w:hanging="567"/>
        <w:jc w:val="both"/>
        <w:rPr>
          <w:rFonts w:cs="Times New Roman"/>
          <w:color w:val="auto"/>
        </w:rPr>
      </w:pPr>
      <w:r w:rsidRPr="00DE12A3">
        <w:rPr>
          <w:rFonts w:cs="Times New Roman"/>
          <w:color w:val="auto"/>
        </w:rPr>
        <w:t>(b)</w:t>
      </w:r>
      <w:r w:rsidRPr="00DE12A3">
        <w:rPr>
          <w:rFonts w:cs="Times New Roman"/>
          <w:color w:val="auto"/>
        </w:rPr>
        <w:tab/>
        <w:t xml:space="preserve">İki yakıtlı bir motorun, VIII’inci </w:t>
      </w:r>
      <w:r w:rsidR="00A82A16" w:rsidRPr="00DE12A3">
        <w:rPr>
          <w:rFonts w:cs="Times New Roman"/>
          <w:color w:val="auto"/>
        </w:rPr>
        <w:t>E</w:t>
      </w:r>
      <w:r w:rsidRPr="00DE12A3">
        <w:rPr>
          <w:rFonts w:cs="Times New Roman"/>
          <w:color w:val="auto"/>
        </w:rPr>
        <w:t>kin 4.2.2.1 bendinde tanımlanan servis modunda işlerlik kısıtlamaları olduğu durumlarda (IWP, IWA, RLL ve RLR kategorileri hariç), servis modunun devreye girmesinin, karayolu dışında kullanılan hareketli makinaların etkili şekilde çalışmaz hale gelmesine yol açacağını belirten bir açıklama</w:t>
      </w:r>
      <w:r w:rsidR="0003150C" w:rsidRPr="00DE12A3">
        <w:rPr>
          <w:rFonts w:cs="Times New Roman"/>
          <w:color w:val="auto"/>
        </w:rPr>
        <w:t>.</w:t>
      </w:r>
    </w:p>
    <w:p w14:paraId="4CD4EE07" w14:textId="76BC4BF9" w:rsidR="00042A48" w:rsidRPr="00DE12A3" w:rsidRDefault="00042A48" w:rsidP="00D172C2">
      <w:pPr>
        <w:spacing w:before="120" w:after="120"/>
        <w:ind w:left="2268" w:hanging="567"/>
        <w:jc w:val="both"/>
        <w:rPr>
          <w:rFonts w:cs="Times New Roman"/>
          <w:color w:val="auto"/>
        </w:rPr>
      </w:pPr>
      <w:r w:rsidRPr="00DE12A3">
        <w:rPr>
          <w:rFonts w:cs="Times New Roman"/>
          <w:color w:val="auto"/>
        </w:rPr>
        <w:t>(c)</w:t>
      </w:r>
      <w:r w:rsidRPr="00DE12A3">
        <w:rPr>
          <w:rFonts w:cs="Times New Roman"/>
          <w:color w:val="auto"/>
        </w:rPr>
        <w:tab/>
        <w:t>Tam motor gücünü açığa çıkarmak için bir ikna geçersiz kılma işlevi olduğunda, bu işlevin çalışması hakkında bilgi sağlanmalıdır</w:t>
      </w:r>
      <w:r w:rsidR="0003150C" w:rsidRPr="00DE12A3">
        <w:rPr>
          <w:rFonts w:cs="Times New Roman"/>
          <w:color w:val="auto"/>
        </w:rPr>
        <w:t>.</w:t>
      </w:r>
    </w:p>
    <w:p w14:paraId="1FBC4FA5" w14:textId="07C385E9" w:rsidR="00042A48" w:rsidRPr="00DE12A3" w:rsidRDefault="00042A48" w:rsidP="00D172C2">
      <w:pPr>
        <w:spacing w:before="120" w:after="120"/>
        <w:ind w:left="2268" w:hanging="567"/>
        <w:jc w:val="both"/>
        <w:rPr>
          <w:rFonts w:cs="Times New Roman"/>
          <w:color w:val="auto"/>
        </w:rPr>
      </w:pPr>
      <w:r w:rsidRPr="00DE12A3">
        <w:rPr>
          <w:rFonts w:cs="Times New Roman"/>
          <w:color w:val="auto"/>
        </w:rPr>
        <w:t>(d)</w:t>
      </w:r>
      <w:r w:rsidRPr="00DE12A3">
        <w:rPr>
          <w:rFonts w:cs="Times New Roman"/>
          <w:color w:val="auto"/>
        </w:rPr>
        <w:tab/>
        <w:t xml:space="preserve">VIII’inci </w:t>
      </w:r>
      <w:r w:rsidR="00A82A16" w:rsidRPr="00DE12A3">
        <w:rPr>
          <w:rFonts w:cs="Times New Roman"/>
          <w:color w:val="auto"/>
        </w:rPr>
        <w:t>E</w:t>
      </w:r>
      <w:r w:rsidRPr="00DE12A3">
        <w:rPr>
          <w:rFonts w:cs="Times New Roman"/>
          <w:color w:val="auto"/>
        </w:rPr>
        <w:t>kin 4.2.2.2 bendi uyarınca iki yakıtlı bir motorun servis modunda çalışması durumunda (kategoriler: IWP, IWA, RLL ve RLR), servis modunun devreye girmesinin dahili bilgisayar günlüğüne kaydedileceğini ve ulusal denetim otoritelerinin bu kayıtları bir tarama aleti ile okuyabileceğini belirten bir açıklama.</w:t>
      </w:r>
    </w:p>
    <w:p w14:paraId="5093B813" w14:textId="77777777" w:rsidR="0003150C" w:rsidRPr="00DE12A3" w:rsidRDefault="00EF7BBE" w:rsidP="00D172C2">
      <w:pPr>
        <w:spacing w:before="120" w:after="120"/>
        <w:jc w:val="both"/>
        <w:rPr>
          <w:rFonts w:cs="Times New Roman"/>
          <w:color w:val="auto"/>
        </w:rPr>
      </w:pPr>
      <w:r w:rsidRPr="00DE12A3">
        <w:rPr>
          <w:rFonts w:cs="Times New Roman"/>
          <w:color w:val="auto"/>
        </w:rPr>
        <w:t xml:space="preserve">4. </w:t>
      </w:r>
      <w:r w:rsidR="00042A48" w:rsidRPr="00DE12A3">
        <w:rPr>
          <w:rFonts w:cs="Times New Roman"/>
          <w:color w:val="auto"/>
        </w:rPr>
        <w:t>2016/1628/AB Yönetmeliğinin 44 üncü maddesinin dördüncü fıkrası gereğince OEM, AB tip onayı sürecinde belirlenen ve AB tip onayı sertifikası içinde kaydedilen g/kWh cinsinden karbondioksit (CO</w:t>
      </w:r>
      <w:r w:rsidR="00042A48" w:rsidRPr="00DE12A3">
        <w:rPr>
          <w:rFonts w:cs="Times New Roman"/>
          <w:color w:val="auto"/>
          <w:vertAlign w:val="subscript"/>
        </w:rPr>
        <w:t>2</w:t>
      </w:r>
      <w:r w:rsidR="00042A48" w:rsidRPr="00DE12A3">
        <w:rPr>
          <w:rFonts w:cs="Times New Roman"/>
          <w:color w:val="auto"/>
        </w:rPr>
        <w:t xml:space="preserve">) emisyonları değerini, aşağıdaki açıklama eşliğinde son kullanıcılara sağlamalıdır: </w:t>
      </w:r>
    </w:p>
    <w:p w14:paraId="16484343" w14:textId="4E098FD6" w:rsidR="00042A48" w:rsidRPr="00DE12A3" w:rsidRDefault="00042A48" w:rsidP="00D172C2">
      <w:pPr>
        <w:spacing w:before="120" w:after="120"/>
        <w:jc w:val="both"/>
        <w:rPr>
          <w:rFonts w:cs="Times New Roman"/>
          <w:color w:val="auto"/>
        </w:rPr>
      </w:pPr>
      <w:r w:rsidRPr="00DE12A3">
        <w:rPr>
          <w:rFonts w:cs="Times New Roman"/>
          <w:color w:val="auto"/>
        </w:rPr>
        <w:t>"Bu CO</w:t>
      </w:r>
      <w:r w:rsidRPr="00DE12A3">
        <w:rPr>
          <w:rFonts w:cs="Times New Roman"/>
          <w:color w:val="auto"/>
          <w:vertAlign w:val="subscript"/>
        </w:rPr>
        <w:t>2</w:t>
      </w:r>
      <w:r w:rsidRPr="00DE12A3">
        <w:rPr>
          <w:rFonts w:cs="Times New Roman"/>
          <w:color w:val="auto"/>
        </w:rPr>
        <w:t xml:space="preserve"> ölçümü, bir motor tipini (motor ailesi) temsil eden bir (ana) motorun laboratuvar koşullarında </w:t>
      </w:r>
      <w:r w:rsidR="00951351" w:rsidRPr="00DE12A3">
        <w:rPr>
          <w:rFonts w:cs="Times New Roman"/>
          <w:color w:val="auto"/>
        </w:rPr>
        <w:t xml:space="preserve">kararlı </w:t>
      </w:r>
      <w:r w:rsidRPr="00DE12A3">
        <w:rPr>
          <w:rFonts w:cs="Times New Roman"/>
          <w:color w:val="auto"/>
        </w:rPr>
        <w:t xml:space="preserve">bir test </w:t>
      </w:r>
      <w:r w:rsidR="00951351" w:rsidRPr="00DE12A3">
        <w:rPr>
          <w:rFonts w:cs="Times New Roman"/>
          <w:color w:val="auto"/>
        </w:rPr>
        <w:t xml:space="preserve">çevrimi </w:t>
      </w:r>
      <w:r w:rsidRPr="00DE12A3">
        <w:rPr>
          <w:rFonts w:cs="Times New Roman"/>
          <w:color w:val="auto"/>
        </w:rPr>
        <w:t xml:space="preserve"> boyunca test edilmesi ile bulunur ve belirli bir motorun performansına ilişkin herhangi bir garanti ima veya ifade etmez."</w:t>
      </w:r>
    </w:p>
    <w:p w14:paraId="6D491E67" w14:textId="77777777" w:rsidR="00EF7BBE" w:rsidRPr="00DE12A3" w:rsidRDefault="00EF7BBE" w:rsidP="00C917D6">
      <w:pPr>
        <w:spacing w:before="120" w:after="120"/>
        <w:ind w:left="1134" w:hanging="1134"/>
        <w:jc w:val="both"/>
        <w:rPr>
          <w:rFonts w:cs="Times New Roman"/>
          <w:color w:val="auto"/>
        </w:rPr>
      </w:pPr>
    </w:p>
    <w:p w14:paraId="2920570C" w14:textId="77777777" w:rsidR="00D172C2" w:rsidRPr="00DE12A3" w:rsidRDefault="00D172C2">
      <w:pPr>
        <w:widowControl/>
        <w:rPr>
          <w:rFonts w:cs="Times New Roman"/>
          <w:color w:val="auto"/>
        </w:rPr>
      </w:pPr>
      <w:r w:rsidRPr="00DE12A3">
        <w:rPr>
          <w:rFonts w:cs="Times New Roman"/>
          <w:color w:val="auto"/>
        </w:rPr>
        <w:br w:type="page"/>
      </w:r>
    </w:p>
    <w:p w14:paraId="58B82420" w14:textId="77777777" w:rsidR="00EF7BBE" w:rsidRPr="00DE12A3" w:rsidRDefault="00EF7BBE" w:rsidP="00C82856">
      <w:pPr>
        <w:pStyle w:val="Balk1"/>
        <w:rPr>
          <w:color w:val="auto"/>
        </w:rPr>
      </w:pPr>
      <w:r w:rsidRPr="00DE12A3">
        <w:rPr>
          <w:color w:val="auto"/>
        </w:rPr>
        <w:lastRenderedPageBreak/>
        <w:t>EK XVI</w:t>
      </w:r>
    </w:p>
    <w:p w14:paraId="2B4EC561" w14:textId="77777777" w:rsidR="00EF7BBE" w:rsidRPr="00DE12A3" w:rsidRDefault="00EF7BBE" w:rsidP="00C917D6">
      <w:pPr>
        <w:spacing w:before="120" w:after="120"/>
        <w:ind w:left="1134" w:hanging="1134"/>
        <w:jc w:val="center"/>
        <w:rPr>
          <w:rFonts w:cs="Times New Roman"/>
          <w:b/>
          <w:color w:val="auto"/>
        </w:rPr>
      </w:pPr>
      <w:r w:rsidRPr="00DE12A3">
        <w:rPr>
          <w:rFonts w:cs="Times New Roman"/>
          <w:b/>
          <w:color w:val="auto"/>
        </w:rPr>
        <w:t>Performans standartları ve teknik hizmetlerin değerlendirilmesi</w:t>
      </w:r>
    </w:p>
    <w:p w14:paraId="07F6E758" w14:textId="30BB8E29" w:rsidR="00EF7BBE" w:rsidRPr="00DE12A3" w:rsidRDefault="00441E80" w:rsidP="00C917D6">
      <w:pPr>
        <w:spacing w:before="120" w:after="120"/>
        <w:ind w:left="1134" w:hanging="1134"/>
        <w:jc w:val="both"/>
        <w:rPr>
          <w:rFonts w:cs="Times New Roman"/>
          <w:b/>
          <w:color w:val="auto"/>
        </w:rPr>
      </w:pPr>
      <w:r w:rsidRPr="00DE12A3">
        <w:rPr>
          <w:rFonts w:cs="Times New Roman"/>
          <w:b/>
          <w:color w:val="auto"/>
        </w:rPr>
        <w:t xml:space="preserve">1. </w:t>
      </w:r>
      <w:r w:rsidR="00EF7BBE" w:rsidRPr="00DE12A3">
        <w:rPr>
          <w:rFonts w:cs="Times New Roman"/>
          <w:b/>
          <w:color w:val="auto"/>
        </w:rPr>
        <w:t xml:space="preserve">Genel </w:t>
      </w:r>
      <w:r w:rsidR="0003150C" w:rsidRPr="00DE12A3">
        <w:rPr>
          <w:rFonts w:cs="Times New Roman"/>
          <w:b/>
          <w:color w:val="auto"/>
        </w:rPr>
        <w:t>ş</w:t>
      </w:r>
      <w:r w:rsidR="00EF7BBE" w:rsidRPr="00DE12A3">
        <w:rPr>
          <w:rFonts w:cs="Times New Roman"/>
          <w:b/>
          <w:color w:val="auto"/>
        </w:rPr>
        <w:t>artlar</w:t>
      </w:r>
    </w:p>
    <w:p w14:paraId="2615CAED" w14:textId="571D0183" w:rsidR="00EF7BBE" w:rsidRPr="00DE12A3" w:rsidRDefault="00EF7BBE" w:rsidP="00441E80">
      <w:pPr>
        <w:spacing w:before="120" w:after="120"/>
        <w:jc w:val="both"/>
        <w:rPr>
          <w:rFonts w:cs="Times New Roman"/>
          <w:color w:val="auto"/>
        </w:rPr>
      </w:pPr>
      <w:r w:rsidRPr="00DE12A3">
        <w:rPr>
          <w:rFonts w:cs="Times New Roman"/>
          <w:color w:val="auto"/>
        </w:rPr>
        <w:t>Teknik servisler, 2016/1628/AB Yönetmeli</w:t>
      </w:r>
      <w:r w:rsidR="00105FCA" w:rsidRPr="00DE12A3">
        <w:rPr>
          <w:rFonts w:cs="Times New Roman"/>
          <w:color w:val="auto"/>
        </w:rPr>
        <w:t>ği</w:t>
      </w:r>
      <w:r w:rsidRPr="00DE12A3">
        <w:rPr>
          <w:rFonts w:cs="Times New Roman"/>
          <w:color w:val="auto"/>
        </w:rPr>
        <w:t xml:space="preserve"> ve bu Tebliğ uyarınca belirli yeterlilik alanlarında uygun becerilerini, özel teknik bilgilerini ve kanıtlanmış deneyimlerini göstermelidir.</w:t>
      </w:r>
    </w:p>
    <w:p w14:paraId="2D16A32A" w14:textId="77777777" w:rsidR="00EF7BBE" w:rsidRPr="00DE12A3" w:rsidRDefault="00EF7BBE" w:rsidP="00C917D6">
      <w:pPr>
        <w:spacing w:before="120" w:after="120"/>
        <w:ind w:left="1134" w:hanging="1134"/>
        <w:jc w:val="both"/>
        <w:rPr>
          <w:rFonts w:cs="Times New Roman"/>
          <w:b/>
          <w:color w:val="auto"/>
        </w:rPr>
      </w:pPr>
      <w:r w:rsidRPr="00DE12A3">
        <w:rPr>
          <w:rFonts w:cs="Times New Roman"/>
          <w:b/>
          <w:color w:val="auto"/>
        </w:rPr>
        <w:t>2.</w:t>
      </w:r>
      <w:r w:rsidR="00441E80" w:rsidRPr="00DE12A3">
        <w:rPr>
          <w:rFonts w:cs="Times New Roman"/>
          <w:b/>
          <w:color w:val="auto"/>
        </w:rPr>
        <w:t xml:space="preserve"> </w:t>
      </w:r>
      <w:r w:rsidRPr="00DE12A3">
        <w:rPr>
          <w:rFonts w:cs="Times New Roman"/>
          <w:b/>
          <w:color w:val="auto"/>
        </w:rPr>
        <w:t>Teknik servislerin uyması gereken standartlar</w:t>
      </w:r>
    </w:p>
    <w:p w14:paraId="587E5D85" w14:textId="26499ABB" w:rsidR="00136F2B" w:rsidRPr="00DE12A3" w:rsidRDefault="00EF7BBE" w:rsidP="00441E80">
      <w:pPr>
        <w:spacing w:before="120" w:after="120"/>
        <w:jc w:val="both"/>
        <w:rPr>
          <w:rFonts w:cs="Times New Roman"/>
          <w:color w:val="auto"/>
        </w:rPr>
      </w:pPr>
      <w:r w:rsidRPr="00DE12A3">
        <w:rPr>
          <w:rFonts w:cs="Times New Roman"/>
          <w:color w:val="auto"/>
        </w:rPr>
        <w:t>2.1</w:t>
      </w:r>
      <w:r w:rsidR="00441E80" w:rsidRPr="00DE12A3">
        <w:rPr>
          <w:rFonts w:cs="Times New Roman"/>
          <w:color w:val="auto"/>
        </w:rPr>
        <w:t xml:space="preserve">. </w:t>
      </w:r>
      <w:r w:rsidRPr="00DE12A3">
        <w:rPr>
          <w:rFonts w:cs="Times New Roman"/>
          <w:color w:val="auto"/>
        </w:rPr>
        <w:t xml:space="preserve">2016/1628/AB Yönetmeliğinin 46 ncı maddesinde belirtilen farklı kategorilerdeki teknik servisler, 2007/46/AT </w:t>
      </w:r>
      <w:r w:rsidR="003E22D2" w:rsidRPr="00DE12A3">
        <w:rPr>
          <w:rFonts w:cs="Times New Roman"/>
          <w:color w:val="auto"/>
        </w:rPr>
        <w:t>Yönetmeliği</w:t>
      </w:r>
      <w:r w:rsidR="0003150C" w:rsidRPr="00DE12A3">
        <w:rPr>
          <w:rFonts w:cs="Times New Roman"/>
          <w:color w:val="auto"/>
        </w:rPr>
        <w:t>nin</w:t>
      </w:r>
      <w:r w:rsidR="003E22D2" w:rsidRPr="00DE12A3">
        <w:rPr>
          <w:rFonts w:cs="Times New Roman"/>
          <w:color w:val="auto"/>
          <w:vertAlign w:val="superscript"/>
        </w:rPr>
        <w:t xml:space="preserve"> (</w:t>
      </w:r>
      <w:r w:rsidR="00136F2B" w:rsidRPr="00DE12A3">
        <w:rPr>
          <w:rStyle w:val="SonnotBavurusu"/>
          <w:rFonts w:cs="Times New Roman"/>
          <w:color w:val="auto"/>
        </w:rPr>
        <w:endnoteReference w:id="1"/>
      </w:r>
      <w:r w:rsidR="00651EFF" w:rsidRPr="00DE12A3">
        <w:rPr>
          <w:rFonts w:cs="Times New Roman"/>
          <w:color w:val="auto"/>
          <w:vertAlign w:val="superscript"/>
        </w:rPr>
        <w:t>)</w:t>
      </w:r>
      <w:r w:rsidR="00136F2B" w:rsidRPr="00DE12A3">
        <w:rPr>
          <w:rFonts w:cs="Times New Roman"/>
          <w:color w:val="auto"/>
        </w:rPr>
        <w:t xml:space="preserve"> V’inci </w:t>
      </w:r>
      <w:r w:rsidR="00EC3EF0" w:rsidRPr="00DE12A3">
        <w:rPr>
          <w:rFonts w:cs="Times New Roman"/>
          <w:color w:val="auto"/>
        </w:rPr>
        <w:t>Ekinin</w:t>
      </w:r>
      <w:r w:rsidR="00136F2B" w:rsidRPr="00DE12A3">
        <w:rPr>
          <w:rFonts w:cs="Times New Roman"/>
          <w:color w:val="auto"/>
        </w:rPr>
        <w:t xml:space="preserve"> </w:t>
      </w:r>
      <w:r w:rsidR="00FA0678" w:rsidRPr="00DE12A3">
        <w:rPr>
          <w:rFonts w:cs="Times New Roman"/>
          <w:color w:val="auto"/>
        </w:rPr>
        <w:t>1. Açıklayıcı Ekin</w:t>
      </w:r>
      <w:r w:rsidR="00136F2B" w:rsidRPr="00DE12A3">
        <w:rPr>
          <w:rFonts w:cs="Times New Roman"/>
          <w:color w:val="auto"/>
        </w:rPr>
        <w:t>de listelenen, yürüttükleri faaliyetler bakımından ilgili olan standartlarla uyumlu olmalıdır.</w:t>
      </w:r>
    </w:p>
    <w:p w14:paraId="02D69A4D" w14:textId="0716783F" w:rsidR="00136F2B" w:rsidRPr="00DE12A3" w:rsidRDefault="00136F2B" w:rsidP="00441E80">
      <w:pPr>
        <w:spacing w:before="120" w:after="120"/>
        <w:jc w:val="both"/>
        <w:rPr>
          <w:rFonts w:cs="Times New Roman"/>
          <w:color w:val="auto"/>
        </w:rPr>
      </w:pPr>
      <w:r w:rsidRPr="00DE12A3">
        <w:rPr>
          <w:rFonts w:cs="Times New Roman"/>
          <w:color w:val="auto"/>
        </w:rPr>
        <w:t>2.2</w:t>
      </w:r>
      <w:r w:rsidR="00441E80" w:rsidRPr="00DE12A3">
        <w:rPr>
          <w:rFonts w:cs="Times New Roman"/>
          <w:color w:val="auto"/>
        </w:rPr>
        <w:t xml:space="preserve">. </w:t>
      </w:r>
      <w:r w:rsidRPr="00DE12A3">
        <w:rPr>
          <w:rFonts w:cs="Times New Roman"/>
          <w:color w:val="auto"/>
        </w:rPr>
        <w:t>Söz konusu Açıklayıcı Ekte</w:t>
      </w:r>
      <w:r w:rsidR="00BB33FF" w:rsidRPr="00DE12A3">
        <w:rPr>
          <w:rFonts w:cs="Times New Roman"/>
          <w:color w:val="auto"/>
        </w:rPr>
        <w:t>,0</w:t>
      </w:r>
      <w:r w:rsidRPr="00DE12A3">
        <w:rPr>
          <w:rFonts w:cs="Times New Roman"/>
          <w:color w:val="auto"/>
        </w:rPr>
        <w:t xml:space="preserve"> 2007/46/AT </w:t>
      </w:r>
      <w:r w:rsidR="003E22D2" w:rsidRPr="00DE12A3">
        <w:rPr>
          <w:rFonts w:cs="Times New Roman"/>
          <w:color w:val="auto"/>
        </w:rPr>
        <w:t>Yönetmeliği</w:t>
      </w:r>
      <w:r w:rsidR="00195051" w:rsidRPr="00DE12A3">
        <w:rPr>
          <w:rFonts w:cs="Times New Roman"/>
          <w:color w:val="auto"/>
        </w:rPr>
        <w:t>nin</w:t>
      </w:r>
      <w:r w:rsidR="003E22D2" w:rsidRPr="00DE12A3">
        <w:rPr>
          <w:rFonts w:cs="Times New Roman"/>
          <w:color w:val="auto"/>
        </w:rPr>
        <w:t xml:space="preserve"> 41</w:t>
      </w:r>
      <w:r w:rsidRPr="00DE12A3">
        <w:rPr>
          <w:rFonts w:cs="Times New Roman"/>
          <w:color w:val="auto"/>
        </w:rPr>
        <w:t xml:space="preserve"> inci maddesine yapılan atıf, 2016/1628/AB Yönetmeliğinin 46 ncı maddesine yapılmış bir atıf olarak anlaşılmalıdır.</w:t>
      </w:r>
    </w:p>
    <w:p w14:paraId="7DEA2D6C" w14:textId="4FE90881" w:rsidR="00136F2B" w:rsidRPr="00DE12A3" w:rsidRDefault="00136F2B" w:rsidP="00441E80">
      <w:pPr>
        <w:spacing w:before="120" w:after="120"/>
        <w:jc w:val="both"/>
        <w:rPr>
          <w:rFonts w:cs="Times New Roman"/>
          <w:color w:val="auto"/>
        </w:rPr>
      </w:pPr>
      <w:r w:rsidRPr="00DE12A3">
        <w:rPr>
          <w:rFonts w:cs="Times New Roman"/>
          <w:color w:val="auto"/>
        </w:rPr>
        <w:t>2.3</w:t>
      </w:r>
      <w:r w:rsidR="00441E80" w:rsidRPr="00DE12A3">
        <w:rPr>
          <w:rFonts w:cs="Times New Roman"/>
          <w:color w:val="auto"/>
        </w:rPr>
        <w:t xml:space="preserve">. </w:t>
      </w:r>
      <w:r w:rsidRPr="00DE12A3">
        <w:rPr>
          <w:rFonts w:cs="Times New Roman"/>
          <w:color w:val="auto"/>
        </w:rPr>
        <w:t>Söz konusu Açıklayıcı Ekte 2007/46/</w:t>
      </w:r>
      <w:r w:rsidR="00BB5D22" w:rsidRPr="00DE12A3">
        <w:rPr>
          <w:rFonts w:cs="Times New Roman"/>
          <w:color w:val="auto"/>
        </w:rPr>
        <w:t>AT Yönetmeliği</w:t>
      </w:r>
      <w:r w:rsidRPr="00DE12A3">
        <w:rPr>
          <w:rFonts w:cs="Times New Roman"/>
          <w:color w:val="auto"/>
        </w:rPr>
        <w:t xml:space="preserve"> IV’üncü </w:t>
      </w:r>
      <w:r w:rsidR="00BB5D22" w:rsidRPr="00DE12A3">
        <w:rPr>
          <w:rFonts w:cs="Times New Roman"/>
          <w:color w:val="auto"/>
        </w:rPr>
        <w:t>E</w:t>
      </w:r>
      <w:r w:rsidRPr="00DE12A3">
        <w:rPr>
          <w:rFonts w:cs="Times New Roman"/>
          <w:color w:val="auto"/>
        </w:rPr>
        <w:t xml:space="preserve">kine yapılan atıf, 2016/1628/AB </w:t>
      </w:r>
      <w:r w:rsidR="00105FCA" w:rsidRPr="00DE12A3">
        <w:rPr>
          <w:rFonts w:cs="Times New Roman"/>
          <w:color w:val="auto"/>
        </w:rPr>
        <w:t>Yönetmeliği</w:t>
      </w:r>
      <w:r w:rsidRPr="00DE12A3">
        <w:rPr>
          <w:rFonts w:cs="Times New Roman"/>
          <w:color w:val="auto"/>
        </w:rPr>
        <w:t xml:space="preserve"> ve bu Tebliğ uyarınca kabul edilen ve uygulama tasarruflarına yapılmış bir atıf olarak anlaşılmalıdır.</w:t>
      </w:r>
    </w:p>
    <w:p w14:paraId="1BDD83F2" w14:textId="77777777" w:rsidR="00136F2B" w:rsidRPr="00DE12A3" w:rsidRDefault="00136F2B" w:rsidP="00C917D6">
      <w:pPr>
        <w:spacing w:before="120" w:after="120"/>
        <w:ind w:left="1134" w:hanging="1134"/>
        <w:jc w:val="both"/>
        <w:rPr>
          <w:rFonts w:cs="Times New Roman"/>
          <w:b/>
          <w:color w:val="auto"/>
        </w:rPr>
      </w:pPr>
      <w:r w:rsidRPr="00DE12A3">
        <w:rPr>
          <w:rFonts w:cs="Times New Roman"/>
          <w:b/>
          <w:color w:val="auto"/>
        </w:rPr>
        <w:t>3.</w:t>
      </w:r>
      <w:r w:rsidR="00441E80" w:rsidRPr="00DE12A3">
        <w:rPr>
          <w:rFonts w:cs="Times New Roman"/>
          <w:b/>
          <w:color w:val="auto"/>
        </w:rPr>
        <w:t xml:space="preserve"> </w:t>
      </w:r>
      <w:r w:rsidRPr="00DE12A3">
        <w:rPr>
          <w:rFonts w:cs="Times New Roman"/>
          <w:b/>
          <w:color w:val="auto"/>
        </w:rPr>
        <w:t>Teknik servislerin değerlendirilmesine ilişkin prosedür</w:t>
      </w:r>
    </w:p>
    <w:p w14:paraId="1C1BA120" w14:textId="0ECFDA28" w:rsidR="00136F2B" w:rsidRPr="00DE12A3" w:rsidRDefault="00136F2B" w:rsidP="00441E80">
      <w:pPr>
        <w:spacing w:before="120" w:after="120"/>
        <w:jc w:val="both"/>
        <w:rPr>
          <w:rFonts w:cs="Times New Roman"/>
          <w:color w:val="auto"/>
        </w:rPr>
      </w:pPr>
      <w:r w:rsidRPr="00DE12A3">
        <w:rPr>
          <w:rFonts w:cs="Times New Roman"/>
          <w:color w:val="auto"/>
        </w:rPr>
        <w:t>3.1</w:t>
      </w:r>
      <w:r w:rsidR="00441E80" w:rsidRPr="00DE12A3">
        <w:rPr>
          <w:rFonts w:cs="Times New Roman"/>
          <w:color w:val="auto"/>
        </w:rPr>
        <w:t xml:space="preserve">. </w:t>
      </w:r>
      <w:r w:rsidRPr="00DE12A3">
        <w:rPr>
          <w:rFonts w:cs="Times New Roman"/>
          <w:color w:val="auto"/>
        </w:rPr>
        <w:t xml:space="preserve">Teknik servislerin 2016/1628/AB Yönetmeliğinin ve bu Tebliğ </w:t>
      </w:r>
      <w:r w:rsidR="0053289F" w:rsidRPr="00DE12A3">
        <w:rPr>
          <w:rFonts w:cs="Times New Roman"/>
          <w:color w:val="auto"/>
        </w:rPr>
        <w:t>gerekliliklerine</w:t>
      </w:r>
      <w:r w:rsidRPr="00DE12A3">
        <w:rPr>
          <w:rFonts w:cs="Times New Roman"/>
          <w:color w:val="auto"/>
        </w:rPr>
        <w:t xml:space="preserve"> uygunluğu, 2007/46/AT </w:t>
      </w:r>
      <w:r w:rsidR="0003607C" w:rsidRPr="00DE12A3">
        <w:rPr>
          <w:rFonts w:cs="Times New Roman"/>
          <w:color w:val="auto"/>
        </w:rPr>
        <w:t>Yönetmeliği</w:t>
      </w:r>
      <w:r w:rsidR="00195051" w:rsidRPr="00DE12A3">
        <w:rPr>
          <w:rFonts w:cs="Times New Roman"/>
          <w:color w:val="auto"/>
        </w:rPr>
        <w:t>nin</w:t>
      </w:r>
      <w:r w:rsidRPr="00DE12A3">
        <w:rPr>
          <w:rFonts w:cs="Times New Roman"/>
          <w:color w:val="auto"/>
        </w:rPr>
        <w:t xml:space="preserve"> V’inci </w:t>
      </w:r>
      <w:r w:rsidR="00EC3EF0" w:rsidRPr="00DE12A3">
        <w:rPr>
          <w:rFonts w:cs="Times New Roman"/>
          <w:color w:val="auto"/>
        </w:rPr>
        <w:t>Ekinin</w:t>
      </w:r>
      <w:r w:rsidRPr="00DE12A3">
        <w:rPr>
          <w:rFonts w:cs="Times New Roman"/>
          <w:color w:val="auto"/>
        </w:rPr>
        <w:t xml:space="preserve"> </w:t>
      </w:r>
      <w:r w:rsidR="00FA0678" w:rsidRPr="00DE12A3">
        <w:rPr>
          <w:rFonts w:cs="Times New Roman"/>
          <w:color w:val="auto"/>
        </w:rPr>
        <w:t>2. Açıklayıcı Ek</w:t>
      </w:r>
      <w:r w:rsidRPr="00DE12A3">
        <w:rPr>
          <w:rFonts w:cs="Times New Roman"/>
          <w:color w:val="auto"/>
        </w:rPr>
        <w:t>inde belirtilen prosedür uyarınca değerlendirilir.</w:t>
      </w:r>
    </w:p>
    <w:p w14:paraId="6B0103AB" w14:textId="011B0012" w:rsidR="00136F2B" w:rsidRPr="00DE12A3" w:rsidRDefault="00136F2B" w:rsidP="00441E80">
      <w:pPr>
        <w:spacing w:before="120" w:after="120"/>
        <w:jc w:val="both"/>
        <w:rPr>
          <w:rFonts w:cs="Times New Roman"/>
          <w:color w:val="auto"/>
        </w:rPr>
      </w:pPr>
      <w:r w:rsidRPr="00DE12A3">
        <w:rPr>
          <w:rFonts w:cs="Times New Roman"/>
          <w:color w:val="auto"/>
        </w:rPr>
        <w:t>3.2</w:t>
      </w:r>
      <w:r w:rsidR="00441E80" w:rsidRPr="00DE12A3">
        <w:rPr>
          <w:rFonts w:cs="Times New Roman"/>
          <w:color w:val="auto"/>
        </w:rPr>
        <w:t xml:space="preserve">. </w:t>
      </w:r>
      <w:r w:rsidRPr="00DE12A3">
        <w:rPr>
          <w:rFonts w:cs="Times New Roman"/>
          <w:color w:val="auto"/>
        </w:rPr>
        <w:t xml:space="preserve">2007/46/AT </w:t>
      </w:r>
      <w:r w:rsidR="0003607C" w:rsidRPr="00DE12A3">
        <w:rPr>
          <w:rFonts w:cs="Times New Roman"/>
          <w:color w:val="auto"/>
        </w:rPr>
        <w:t>Yönetmeliği</w:t>
      </w:r>
      <w:r w:rsidR="00195051" w:rsidRPr="00DE12A3">
        <w:rPr>
          <w:rFonts w:cs="Times New Roman"/>
          <w:color w:val="auto"/>
        </w:rPr>
        <w:t>nin</w:t>
      </w:r>
      <w:r w:rsidRPr="00DE12A3">
        <w:rPr>
          <w:rFonts w:cs="Times New Roman"/>
          <w:color w:val="auto"/>
        </w:rPr>
        <w:t xml:space="preserve"> V’inci </w:t>
      </w:r>
      <w:r w:rsidR="00EC3EF0" w:rsidRPr="00DE12A3">
        <w:rPr>
          <w:rFonts w:cs="Times New Roman"/>
          <w:color w:val="auto"/>
        </w:rPr>
        <w:t>Ekinin</w:t>
      </w:r>
      <w:r w:rsidRPr="00DE12A3">
        <w:rPr>
          <w:rFonts w:cs="Times New Roman"/>
          <w:color w:val="auto"/>
        </w:rPr>
        <w:t xml:space="preserve"> </w:t>
      </w:r>
      <w:r w:rsidR="00FA0678" w:rsidRPr="00DE12A3">
        <w:rPr>
          <w:rFonts w:cs="Times New Roman"/>
          <w:color w:val="auto"/>
        </w:rPr>
        <w:t>2. Açıklayıcı Ek</w:t>
      </w:r>
      <w:r w:rsidRPr="00DE12A3">
        <w:rPr>
          <w:rFonts w:cs="Times New Roman"/>
          <w:color w:val="auto"/>
        </w:rPr>
        <w:t xml:space="preserve">inde, 2007/46/AT </w:t>
      </w:r>
      <w:r w:rsidR="0003607C" w:rsidRPr="00DE12A3">
        <w:rPr>
          <w:rFonts w:cs="Times New Roman"/>
          <w:color w:val="auto"/>
        </w:rPr>
        <w:t>Yönetmeliği</w:t>
      </w:r>
      <w:r w:rsidR="00211788" w:rsidRPr="00DE12A3">
        <w:rPr>
          <w:rFonts w:cs="Times New Roman"/>
          <w:color w:val="auto"/>
        </w:rPr>
        <w:t>nin</w:t>
      </w:r>
      <w:r w:rsidRPr="00DE12A3">
        <w:rPr>
          <w:rFonts w:cs="Times New Roman"/>
          <w:color w:val="auto"/>
        </w:rPr>
        <w:t xml:space="preserve"> 4</w:t>
      </w:r>
      <w:r w:rsidR="0003607C" w:rsidRPr="00DE12A3">
        <w:rPr>
          <w:rFonts w:cs="Times New Roman"/>
          <w:color w:val="auto"/>
        </w:rPr>
        <w:t>1</w:t>
      </w:r>
      <w:r w:rsidRPr="00DE12A3">
        <w:rPr>
          <w:rFonts w:cs="Times New Roman"/>
          <w:color w:val="auto"/>
        </w:rPr>
        <w:t xml:space="preserve"> inci maddesine yapılan atıflar, 2016/1628/AB Yönetmeliğinin 49 uncu maddesine yapılmış atıflar olarak anlaşılmalıdır.</w:t>
      </w:r>
    </w:p>
    <w:p w14:paraId="20F6960F" w14:textId="77777777" w:rsidR="00136F2B" w:rsidRPr="00DE12A3" w:rsidRDefault="00136F2B" w:rsidP="00C917D6">
      <w:pPr>
        <w:spacing w:before="120" w:after="120"/>
        <w:ind w:left="1134" w:hanging="1134"/>
        <w:jc w:val="both"/>
        <w:rPr>
          <w:rFonts w:cs="Times New Roman"/>
          <w:color w:val="auto"/>
        </w:rPr>
      </w:pPr>
    </w:p>
    <w:p w14:paraId="2EE77652" w14:textId="77777777" w:rsidR="00441E80" w:rsidRPr="00DE12A3" w:rsidRDefault="00441E80">
      <w:pPr>
        <w:widowControl/>
        <w:rPr>
          <w:rFonts w:cs="Times New Roman"/>
          <w:color w:val="auto"/>
        </w:rPr>
      </w:pPr>
      <w:r w:rsidRPr="00DE12A3">
        <w:rPr>
          <w:rFonts w:cs="Times New Roman"/>
          <w:color w:val="auto"/>
        </w:rPr>
        <w:br w:type="page"/>
      </w:r>
    </w:p>
    <w:p w14:paraId="00B2FC76" w14:textId="77777777" w:rsidR="00136F2B" w:rsidRPr="00DE12A3" w:rsidRDefault="00136F2B" w:rsidP="00C917D6">
      <w:pPr>
        <w:adjustRightInd w:val="0"/>
        <w:spacing w:before="120" w:after="120"/>
        <w:rPr>
          <w:rFonts w:cs="Times New Roman"/>
          <w:color w:val="auto"/>
        </w:rPr>
        <w:sectPr w:rsidR="00136F2B" w:rsidRPr="00DE12A3" w:rsidSect="001E0274">
          <w:footnotePr>
            <w:numRestart w:val="eachPage"/>
          </w:footnotePr>
          <w:type w:val="continuous"/>
          <w:pgSz w:w="11906" w:h="16838"/>
          <w:pgMar w:top="1134" w:right="1418" w:bottom="1134" w:left="1418" w:header="709" w:footer="709" w:gutter="0"/>
          <w:pgNumType w:start="0"/>
          <w:cols w:space="709"/>
        </w:sectPr>
      </w:pPr>
    </w:p>
    <w:p w14:paraId="6D8BF815" w14:textId="77777777" w:rsidR="00651EFF" w:rsidRPr="00DE12A3" w:rsidRDefault="00651EFF" w:rsidP="00C82856">
      <w:pPr>
        <w:pStyle w:val="Balk1"/>
        <w:rPr>
          <w:color w:val="auto"/>
        </w:rPr>
      </w:pPr>
      <w:r w:rsidRPr="00DE12A3">
        <w:rPr>
          <w:color w:val="auto"/>
        </w:rPr>
        <w:lastRenderedPageBreak/>
        <w:t>EK XVII</w:t>
      </w:r>
    </w:p>
    <w:p w14:paraId="2DB926D5" w14:textId="77777777" w:rsidR="00651EFF" w:rsidRPr="00DE12A3" w:rsidRDefault="00651EFF" w:rsidP="00A71EA8">
      <w:pPr>
        <w:spacing w:before="240" w:after="240"/>
        <w:jc w:val="center"/>
        <w:rPr>
          <w:rFonts w:cs="Times New Roman"/>
          <w:b/>
          <w:color w:val="auto"/>
        </w:rPr>
      </w:pPr>
      <w:r w:rsidRPr="00DE12A3">
        <w:rPr>
          <w:rFonts w:cs="Times New Roman"/>
          <w:b/>
          <w:color w:val="auto"/>
        </w:rPr>
        <w:t xml:space="preserve">Kararlı durum ve süreksiz test </w:t>
      </w:r>
      <w:r w:rsidR="00F310B5" w:rsidRPr="00DE12A3">
        <w:rPr>
          <w:rFonts w:cs="Times New Roman"/>
          <w:b/>
          <w:color w:val="auto"/>
        </w:rPr>
        <w:t>çevrim</w:t>
      </w:r>
      <w:r w:rsidRPr="00DE12A3">
        <w:rPr>
          <w:rFonts w:cs="Times New Roman"/>
          <w:b/>
          <w:color w:val="auto"/>
        </w:rPr>
        <w:t>lerinin özellikleri</w:t>
      </w:r>
    </w:p>
    <w:p w14:paraId="3313794B" w14:textId="77777777" w:rsidR="00651EFF" w:rsidRPr="00DE12A3" w:rsidRDefault="00441E80" w:rsidP="00441E80">
      <w:pPr>
        <w:spacing w:before="240" w:after="240"/>
        <w:jc w:val="both"/>
        <w:rPr>
          <w:rFonts w:cs="Times New Roman"/>
          <w:color w:val="auto"/>
        </w:rPr>
      </w:pPr>
      <w:r w:rsidRPr="00DE12A3">
        <w:rPr>
          <w:rFonts w:cs="Times New Roman"/>
          <w:color w:val="auto"/>
        </w:rPr>
        <w:t xml:space="preserve">1. </w:t>
      </w:r>
      <w:r w:rsidR="00651EFF" w:rsidRPr="00DE12A3">
        <w:rPr>
          <w:rFonts w:cs="Times New Roman"/>
          <w:color w:val="auto"/>
        </w:rPr>
        <w:t>Ayrık mod NRSC için test modlarına ve ağırlıklandırma faktörlerine ait tablolar 1. Açıklayıcı Ekte verilmiştir.</w:t>
      </w:r>
    </w:p>
    <w:p w14:paraId="0D2109C4" w14:textId="6830FAF7" w:rsidR="00651EFF" w:rsidRPr="00DE12A3" w:rsidRDefault="00441E80" w:rsidP="00441E80">
      <w:pPr>
        <w:spacing w:before="240" w:after="240"/>
        <w:jc w:val="both"/>
        <w:rPr>
          <w:rFonts w:cs="Times New Roman"/>
          <w:color w:val="auto"/>
        </w:rPr>
      </w:pPr>
      <w:r w:rsidRPr="00DE12A3">
        <w:rPr>
          <w:rFonts w:cs="Times New Roman"/>
          <w:color w:val="auto"/>
        </w:rPr>
        <w:t xml:space="preserve">2. </w:t>
      </w:r>
      <w:r w:rsidR="00651EFF" w:rsidRPr="00DE12A3">
        <w:rPr>
          <w:rFonts w:cs="Times New Roman"/>
          <w:color w:val="auto"/>
        </w:rPr>
        <w:t xml:space="preserve">RMC için test modları ve ağırlıklandırma faktörleri tabloları </w:t>
      </w:r>
      <w:r w:rsidR="00FA0678" w:rsidRPr="00DE12A3">
        <w:rPr>
          <w:rFonts w:cs="Times New Roman"/>
          <w:color w:val="auto"/>
        </w:rPr>
        <w:t>2. Açıklayıcı Ek</w:t>
      </w:r>
      <w:r w:rsidR="00651EFF" w:rsidRPr="00DE12A3">
        <w:rPr>
          <w:rFonts w:cs="Times New Roman"/>
          <w:color w:val="auto"/>
        </w:rPr>
        <w:t>te verilmiştir.</w:t>
      </w:r>
    </w:p>
    <w:p w14:paraId="47805DAC" w14:textId="617B958B" w:rsidR="00651EFF" w:rsidRPr="00DE12A3" w:rsidRDefault="00441E80" w:rsidP="00441E80">
      <w:pPr>
        <w:pStyle w:val="ListeParagraf"/>
        <w:tabs>
          <w:tab w:val="left" w:pos="567"/>
          <w:tab w:val="left" w:pos="851"/>
        </w:tabs>
        <w:spacing w:before="240" w:after="240"/>
        <w:ind w:left="0"/>
        <w:jc w:val="both"/>
        <w:rPr>
          <w:rFonts w:cs="Times New Roman"/>
          <w:color w:val="auto"/>
        </w:rPr>
      </w:pPr>
      <w:r w:rsidRPr="00DE12A3">
        <w:rPr>
          <w:rFonts w:cs="Times New Roman"/>
          <w:color w:val="auto"/>
        </w:rPr>
        <w:t xml:space="preserve">3. </w:t>
      </w:r>
      <w:r w:rsidR="00651EFF" w:rsidRPr="00DE12A3">
        <w:rPr>
          <w:rFonts w:cs="Times New Roman"/>
          <w:color w:val="auto"/>
        </w:rPr>
        <w:t xml:space="preserve">Süreksiz (NRTC ve LSI-NRTC) test </w:t>
      </w:r>
      <w:r w:rsidR="00F310B5" w:rsidRPr="00DE12A3">
        <w:rPr>
          <w:rFonts w:cs="Times New Roman"/>
          <w:color w:val="auto"/>
        </w:rPr>
        <w:t>çevrim</w:t>
      </w:r>
      <w:r w:rsidR="00651EFF" w:rsidRPr="00DE12A3">
        <w:rPr>
          <w:rFonts w:cs="Times New Roman"/>
          <w:color w:val="auto"/>
        </w:rPr>
        <w:t xml:space="preserve">leri için motor dinamometre programlarına ait tablolar </w:t>
      </w:r>
      <w:r w:rsidR="00CD23C3" w:rsidRPr="00DE12A3">
        <w:rPr>
          <w:rFonts w:cs="Times New Roman"/>
          <w:color w:val="auto"/>
        </w:rPr>
        <w:t>3. Açıklayıcı Ek</w:t>
      </w:r>
      <w:r w:rsidR="00651EFF" w:rsidRPr="00DE12A3">
        <w:rPr>
          <w:rFonts w:cs="Times New Roman"/>
          <w:color w:val="auto"/>
        </w:rPr>
        <w:t>te verilmiştir.</w:t>
      </w:r>
    </w:p>
    <w:p w14:paraId="2296758A" w14:textId="77777777" w:rsidR="00441E80" w:rsidRPr="00DE12A3" w:rsidRDefault="00441E80" w:rsidP="00441E80">
      <w:pPr>
        <w:pStyle w:val="ListeParagraf"/>
        <w:tabs>
          <w:tab w:val="left" w:pos="567"/>
          <w:tab w:val="left" w:pos="851"/>
        </w:tabs>
        <w:spacing w:before="240" w:after="240"/>
        <w:ind w:left="0"/>
        <w:jc w:val="both"/>
        <w:rPr>
          <w:rFonts w:cs="Times New Roman"/>
          <w:color w:val="auto"/>
        </w:rPr>
      </w:pPr>
    </w:p>
    <w:p w14:paraId="0127F1C0" w14:textId="70F89D41" w:rsidR="003A7EF8" w:rsidRPr="00DE12A3" w:rsidRDefault="003A7EF8">
      <w:pPr>
        <w:widowControl/>
        <w:rPr>
          <w:rFonts w:cs="Times New Roman"/>
          <w:color w:val="auto"/>
        </w:rPr>
      </w:pPr>
      <w:r w:rsidRPr="00DE12A3">
        <w:rPr>
          <w:rFonts w:cs="Times New Roman"/>
          <w:color w:val="auto"/>
        </w:rPr>
        <w:br w:type="page"/>
      </w:r>
    </w:p>
    <w:p w14:paraId="52663346" w14:textId="77777777" w:rsidR="00B7106D" w:rsidRPr="00DE12A3" w:rsidRDefault="00B7106D" w:rsidP="00F71ECF">
      <w:pPr>
        <w:pStyle w:val="Balk2"/>
        <w:rPr>
          <w:i/>
          <w:color w:val="auto"/>
        </w:rPr>
      </w:pPr>
      <w:r w:rsidRPr="00DE12A3">
        <w:rPr>
          <w:i/>
          <w:color w:val="auto"/>
        </w:rPr>
        <w:lastRenderedPageBreak/>
        <w:t>1. Açıklayıcı Ek</w:t>
      </w:r>
    </w:p>
    <w:p w14:paraId="35C9DD38" w14:textId="77777777" w:rsidR="00B7106D" w:rsidRPr="00DE12A3" w:rsidRDefault="00B7106D" w:rsidP="00441E80">
      <w:pPr>
        <w:jc w:val="center"/>
        <w:rPr>
          <w:b/>
          <w:color w:val="auto"/>
        </w:rPr>
      </w:pPr>
      <w:r w:rsidRPr="00DE12A3">
        <w:rPr>
          <w:b/>
          <w:color w:val="auto"/>
        </w:rPr>
        <w:t>Kararlı durum ayrık mod NRSC</w:t>
      </w:r>
    </w:p>
    <w:p w14:paraId="1C38908D" w14:textId="77777777" w:rsidR="00441E80" w:rsidRPr="00DE12A3" w:rsidRDefault="00441E80" w:rsidP="00051047">
      <w:pPr>
        <w:jc w:val="center"/>
        <w:rPr>
          <w:b/>
          <w:color w:val="auto"/>
        </w:rPr>
      </w:pPr>
    </w:p>
    <w:p w14:paraId="410E3795" w14:textId="77777777" w:rsidR="00B7106D" w:rsidRPr="00DE12A3" w:rsidRDefault="00B7106D" w:rsidP="00051047">
      <w:pPr>
        <w:jc w:val="center"/>
        <w:rPr>
          <w:b/>
          <w:color w:val="auto"/>
        </w:rPr>
      </w:pPr>
      <w:r w:rsidRPr="00DE12A3">
        <w:rPr>
          <w:b/>
          <w:color w:val="auto"/>
        </w:rPr>
        <w:t xml:space="preserve">Tip C test </w:t>
      </w:r>
      <w:r w:rsidR="00F310B5" w:rsidRPr="00DE12A3">
        <w:rPr>
          <w:b/>
          <w:color w:val="auto"/>
        </w:rPr>
        <w:t>çevrim</w:t>
      </w:r>
      <w:r w:rsidRPr="00DE12A3">
        <w:rPr>
          <w:b/>
          <w:color w:val="auto"/>
        </w:rPr>
        <w:t>leri</w:t>
      </w:r>
    </w:p>
    <w:tbl>
      <w:tblPr>
        <w:tblW w:w="0" w:type="auto"/>
        <w:tblInd w:w="789" w:type="dxa"/>
        <w:tblLayout w:type="fixed"/>
        <w:tblLook w:val="0000" w:firstRow="0" w:lastRow="0" w:firstColumn="0" w:lastColumn="0" w:noHBand="0" w:noVBand="0"/>
      </w:tblPr>
      <w:tblGrid>
        <w:gridCol w:w="2081"/>
        <w:gridCol w:w="694"/>
        <w:gridCol w:w="770"/>
        <w:gridCol w:w="771"/>
        <w:gridCol w:w="617"/>
        <w:gridCol w:w="693"/>
        <w:gridCol w:w="694"/>
        <w:gridCol w:w="543"/>
        <w:gridCol w:w="992"/>
      </w:tblGrid>
      <w:tr w:rsidR="00DE12A3" w:rsidRPr="00DE12A3" w14:paraId="48E4C0DD" w14:textId="77777777" w:rsidTr="009849CC">
        <w:tc>
          <w:tcPr>
            <w:tcW w:w="7855" w:type="dxa"/>
            <w:gridSpan w:val="9"/>
            <w:tcBorders>
              <w:top w:val="single" w:sz="2" w:space="0" w:color="auto"/>
              <w:left w:val="single" w:sz="2" w:space="0" w:color="auto"/>
              <w:bottom w:val="single" w:sz="2" w:space="0" w:color="auto"/>
              <w:right w:val="single" w:sz="2" w:space="0" w:color="auto"/>
            </w:tcBorders>
          </w:tcPr>
          <w:p w14:paraId="5977181C" w14:textId="77777777" w:rsidR="009F4766" w:rsidRPr="00DE12A3" w:rsidRDefault="00B7106D" w:rsidP="00C917D6">
            <w:pPr>
              <w:pStyle w:val="NormalCentered"/>
            </w:pPr>
            <w:r w:rsidRPr="00DE12A3">
              <w:rPr>
                <w:iCs/>
              </w:rPr>
              <w:t xml:space="preserve">C1 </w:t>
            </w:r>
            <w:r w:rsidR="00951351" w:rsidRPr="00DE12A3">
              <w:rPr>
                <w:iCs/>
              </w:rPr>
              <w:t xml:space="preserve">çevrimi </w:t>
            </w:r>
            <w:r w:rsidRPr="00DE12A3">
              <w:rPr>
                <w:iCs/>
              </w:rPr>
              <w:t>test modları ve ağırlıklandırma faktörleri tablosu</w:t>
            </w:r>
          </w:p>
        </w:tc>
      </w:tr>
      <w:tr w:rsidR="00DE12A3" w:rsidRPr="00DE12A3" w14:paraId="042E3F04" w14:textId="77777777" w:rsidTr="009849CC">
        <w:tc>
          <w:tcPr>
            <w:tcW w:w="2081" w:type="dxa"/>
            <w:tcBorders>
              <w:top w:val="single" w:sz="2" w:space="0" w:color="auto"/>
              <w:left w:val="single" w:sz="2" w:space="0" w:color="auto"/>
              <w:bottom w:val="single" w:sz="2" w:space="0" w:color="auto"/>
              <w:right w:val="single" w:sz="2" w:space="0" w:color="auto"/>
            </w:tcBorders>
          </w:tcPr>
          <w:p w14:paraId="0AC7BE32" w14:textId="77777777" w:rsidR="00B7106D" w:rsidRPr="00DE12A3" w:rsidRDefault="00B7106D" w:rsidP="00C917D6">
            <w:pPr>
              <w:spacing w:before="120" w:after="120"/>
              <w:rPr>
                <w:rFonts w:cs="Times New Roman"/>
                <w:color w:val="auto"/>
              </w:rPr>
            </w:pPr>
            <w:r w:rsidRPr="00DE12A3">
              <w:rPr>
                <w:rFonts w:cs="Times New Roman"/>
                <w:color w:val="auto"/>
              </w:rPr>
              <w:t>Mod numarası</w:t>
            </w:r>
          </w:p>
        </w:tc>
        <w:tc>
          <w:tcPr>
            <w:tcW w:w="694" w:type="dxa"/>
            <w:tcBorders>
              <w:top w:val="single" w:sz="2" w:space="0" w:color="auto"/>
              <w:left w:val="single" w:sz="2" w:space="0" w:color="auto"/>
              <w:bottom w:val="single" w:sz="2" w:space="0" w:color="auto"/>
              <w:right w:val="single" w:sz="2" w:space="0" w:color="auto"/>
            </w:tcBorders>
          </w:tcPr>
          <w:p w14:paraId="2BD84AD3" w14:textId="77777777" w:rsidR="00B7106D" w:rsidRPr="00DE12A3" w:rsidRDefault="00B7106D" w:rsidP="00C917D6">
            <w:pPr>
              <w:pStyle w:val="NormalLeft"/>
            </w:pPr>
            <w:r w:rsidRPr="00DE12A3">
              <w:t>1</w:t>
            </w:r>
          </w:p>
        </w:tc>
        <w:tc>
          <w:tcPr>
            <w:tcW w:w="770" w:type="dxa"/>
            <w:tcBorders>
              <w:top w:val="single" w:sz="2" w:space="0" w:color="auto"/>
              <w:left w:val="single" w:sz="2" w:space="0" w:color="auto"/>
              <w:bottom w:val="single" w:sz="2" w:space="0" w:color="auto"/>
              <w:right w:val="single" w:sz="2" w:space="0" w:color="auto"/>
            </w:tcBorders>
          </w:tcPr>
          <w:p w14:paraId="23BB3F25" w14:textId="77777777" w:rsidR="00B7106D" w:rsidRPr="00DE12A3" w:rsidRDefault="00B7106D" w:rsidP="00C917D6">
            <w:pPr>
              <w:pStyle w:val="NormalLeft"/>
            </w:pPr>
            <w:r w:rsidRPr="00DE12A3">
              <w:t>2</w:t>
            </w:r>
          </w:p>
        </w:tc>
        <w:tc>
          <w:tcPr>
            <w:tcW w:w="771" w:type="dxa"/>
            <w:tcBorders>
              <w:top w:val="single" w:sz="2" w:space="0" w:color="auto"/>
              <w:left w:val="single" w:sz="2" w:space="0" w:color="auto"/>
              <w:bottom w:val="single" w:sz="2" w:space="0" w:color="auto"/>
              <w:right w:val="single" w:sz="2" w:space="0" w:color="auto"/>
            </w:tcBorders>
          </w:tcPr>
          <w:p w14:paraId="617234A6" w14:textId="77777777" w:rsidR="00B7106D" w:rsidRPr="00DE12A3" w:rsidRDefault="00B7106D" w:rsidP="00C917D6">
            <w:pPr>
              <w:pStyle w:val="NormalLeft"/>
            </w:pPr>
            <w:r w:rsidRPr="00DE12A3">
              <w:t>3</w:t>
            </w:r>
          </w:p>
        </w:tc>
        <w:tc>
          <w:tcPr>
            <w:tcW w:w="617" w:type="dxa"/>
            <w:tcBorders>
              <w:top w:val="single" w:sz="2" w:space="0" w:color="auto"/>
              <w:left w:val="single" w:sz="2" w:space="0" w:color="auto"/>
              <w:bottom w:val="single" w:sz="2" w:space="0" w:color="auto"/>
              <w:right w:val="single" w:sz="2" w:space="0" w:color="auto"/>
            </w:tcBorders>
          </w:tcPr>
          <w:p w14:paraId="755AA5B5" w14:textId="77777777" w:rsidR="00B7106D" w:rsidRPr="00DE12A3" w:rsidRDefault="00B7106D" w:rsidP="00C917D6">
            <w:pPr>
              <w:pStyle w:val="NormalLeft"/>
            </w:pPr>
            <w:r w:rsidRPr="00DE12A3">
              <w:t>4</w:t>
            </w:r>
          </w:p>
        </w:tc>
        <w:tc>
          <w:tcPr>
            <w:tcW w:w="693" w:type="dxa"/>
            <w:tcBorders>
              <w:top w:val="single" w:sz="2" w:space="0" w:color="auto"/>
              <w:left w:val="single" w:sz="2" w:space="0" w:color="auto"/>
              <w:bottom w:val="single" w:sz="2" w:space="0" w:color="auto"/>
              <w:right w:val="single" w:sz="2" w:space="0" w:color="auto"/>
            </w:tcBorders>
          </w:tcPr>
          <w:p w14:paraId="3194160D" w14:textId="77777777" w:rsidR="00B7106D" w:rsidRPr="00DE12A3" w:rsidRDefault="00B7106D" w:rsidP="00C917D6">
            <w:pPr>
              <w:pStyle w:val="NormalLeft"/>
            </w:pPr>
            <w:r w:rsidRPr="00DE12A3">
              <w:t>5</w:t>
            </w:r>
          </w:p>
        </w:tc>
        <w:tc>
          <w:tcPr>
            <w:tcW w:w="694" w:type="dxa"/>
            <w:tcBorders>
              <w:top w:val="single" w:sz="2" w:space="0" w:color="auto"/>
              <w:left w:val="single" w:sz="2" w:space="0" w:color="auto"/>
              <w:bottom w:val="single" w:sz="2" w:space="0" w:color="auto"/>
              <w:right w:val="single" w:sz="2" w:space="0" w:color="auto"/>
            </w:tcBorders>
          </w:tcPr>
          <w:p w14:paraId="191ECFF6" w14:textId="77777777" w:rsidR="00B7106D" w:rsidRPr="00DE12A3" w:rsidRDefault="00B7106D" w:rsidP="00C917D6">
            <w:pPr>
              <w:pStyle w:val="NormalLeft"/>
            </w:pPr>
            <w:r w:rsidRPr="00DE12A3">
              <w:t>6</w:t>
            </w:r>
          </w:p>
        </w:tc>
        <w:tc>
          <w:tcPr>
            <w:tcW w:w="543" w:type="dxa"/>
            <w:tcBorders>
              <w:top w:val="single" w:sz="2" w:space="0" w:color="auto"/>
              <w:left w:val="single" w:sz="2" w:space="0" w:color="auto"/>
              <w:bottom w:val="single" w:sz="2" w:space="0" w:color="auto"/>
              <w:right w:val="single" w:sz="2" w:space="0" w:color="auto"/>
            </w:tcBorders>
          </w:tcPr>
          <w:p w14:paraId="4E1CBEAC" w14:textId="77777777" w:rsidR="00B7106D" w:rsidRPr="00DE12A3" w:rsidRDefault="00B7106D" w:rsidP="00C917D6">
            <w:pPr>
              <w:pStyle w:val="NormalLeft"/>
            </w:pPr>
            <w:r w:rsidRPr="00DE12A3">
              <w:t>7</w:t>
            </w:r>
          </w:p>
        </w:tc>
        <w:tc>
          <w:tcPr>
            <w:tcW w:w="992" w:type="dxa"/>
            <w:tcBorders>
              <w:top w:val="single" w:sz="2" w:space="0" w:color="auto"/>
              <w:left w:val="single" w:sz="2" w:space="0" w:color="auto"/>
              <w:bottom w:val="single" w:sz="2" w:space="0" w:color="auto"/>
              <w:right w:val="single" w:sz="2" w:space="0" w:color="auto"/>
            </w:tcBorders>
          </w:tcPr>
          <w:p w14:paraId="3FCBB010" w14:textId="77777777" w:rsidR="00B7106D" w:rsidRPr="00DE12A3" w:rsidRDefault="00B7106D" w:rsidP="00C917D6">
            <w:pPr>
              <w:pStyle w:val="NormalLeft"/>
            </w:pPr>
            <w:r w:rsidRPr="00DE12A3">
              <w:t>8</w:t>
            </w:r>
          </w:p>
        </w:tc>
      </w:tr>
      <w:tr w:rsidR="00DE12A3" w:rsidRPr="00DE12A3" w14:paraId="480F1E36" w14:textId="77777777" w:rsidTr="009849CC">
        <w:tc>
          <w:tcPr>
            <w:tcW w:w="2081" w:type="dxa"/>
            <w:tcBorders>
              <w:top w:val="single" w:sz="2" w:space="0" w:color="auto"/>
              <w:left w:val="single" w:sz="2" w:space="0" w:color="auto"/>
              <w:bottom w:val="single" w:sz="2" w:space="0" w:color="auto"/>
              <w:right w:val="single" w:sz="2" w:space="0" w:color="auto"/>
            </w:tcBorders>
          </w:tcPr>
          <w:p w14:paraId="7D3430D3" w14:textId="77777777" w:rsidR="00B7106D" w:rsidRPr="00DE12A3" w:rsidRDefault="00B7106D" w:rsidP="00C917D6">
            <w:pPr>
              <w:spacing w:before="120" w:after="120"/>
              <w:rPr>
                <w:rFonts w:cs="Times New Roman"/>
                <w:color w:val="auto"/>
              </w:rPr>
            </w:pPr>
            <w:r w:rsidRPr="00DE12A3">
              <w:rPr>
                <w:rFonts w:cs="Times New Roman"/>
                <w:color w:val="auto"/>
              </w:rPr>
              <w:t xml:space="preserve">Devir </w:t>
            </w:r>
            <w:r w:rsidRPr="00DE12A3">
              <w:rPr>
                <w:rFonts w:cs="Times New Roman"/>
                <w:color w:val="auto"/>
                <w:vertAlign w:val="superscript"/>
              </w:rPr>
              <w:t>(a)</w:t>
            </w:r>
          </w:p>
        </w:tc>
        <w:tc>
          <w:tcPr>
            <w:tcW w:w="2852" w:type="dxa"/>
            <w:gridSpan w:val="4"/>
            <w:tcBorders>
              <w:top w:val="single" w:sz="2" w:space="0" w:color="auto"/>
              <w:left w:val="single" w:sz="2" w:space="0" w:color="auto"/>
              <w:bottom w:val="single" w:sz="2" w:space="0" w:color="auto"/>
              <w:right w:val="single" w:sz="2" w:space="0" w:color="auto"/>
            </w:tcBorders>
          </w:tcPr>
          <w:p w14:paraId="56420D94" w14:textId="7BEF0A61" w:rsidR="00B7106D" w:rsidRPr="00DE12A3" w:rsidRDefault="00BB33FF" w:rsidP="00C917D6">
            <w:pPr>
              <w:pStyle w:val="NormalLeft"/>
            </w:pPr>
            <w:r w:rsidRPr="00DE12A3">
              <w:t xml:space="preserve">                </w:t>
            </w:r>
            <w:r w:rsidR="00B7106D" w:rsidRPr="00DE12A3">
              <w:t>100 %</w:t>
            </w:r>
          </w:p>
        </w:tc>
        <w:tc>
          <w:tcPr>
            <w:tcW w:w="1930" w:type="dxa"/>
            <w:gridSpan w:val="3"/>
            <w:tcBorders>
              <w:top w:val="single" w:sz="2" w:space="0" w:color="auto"/>
              <w:left w:val="single" w:sz="2" w:space="0" w:color="auto"/>
              <w:bottom w:val="single" w:sz="2" w:space="0" w:color="auto"/>
              <w:right w:val="single" w:sz="2" w:space="0" w:color="auto"/>
            </w:tcBorders>
          </w:tcPr>
          <w:p w14:paraId="3F0FDB94" w14:textId="1C6E1364" w:rsidR="00B7106D" w:rsidRPr="00DE12A3" w:rsidRDefault="00BB33FF" w:rsidP="00C917D6">
            <w:pPr>
              <w:spacing w:before="120" w:after="120"/>
              <w:rPr>
                <w:rFonts w:cs="Times New Roman"/>
                <w:color w:val="auto"/>
              </w:rPr>
            </w:pPr>
            <w:r w:rsidRPr="00DE12A3">
              <w:rPr>
                <w:rFonts w:cs="Times New Roman"/>
                <w:color w:val="auto"/>
              </w:rPr>
              <w:t xml:space="preserve">             </w:t>
            </w:r>
            <w:r w:rsidR="00B7106D" w:rsidRPr="00DE12A3">
              <w:rPr>
                <w:rFonts w:cs="Times New Roman"/>
                <w:color w:val="auto"/>
              </w:rPr>
              <w:t>Orta</w:t>
            </w:r>
          </w:p>
        </w:tc>
        <w:tc>
          <w:tcPr>
            <w:tcW w:w="992" w:type="dxa"/>
            <w:tcBorders>
              <w:top w:val="single" w:sz="2" w:space="0" w:color="auto"/>
              <w:left w:val="single" w:sz="2" w:space="0" w:color="auto"/>
              <w:bottom w:val="single" w:sz="2" w:space="0" w:color="auto"/>
              <w:right w:val="single" w:sz="2" w:space="0" w:color="auto"/>
            </w:tcBorders>
          </w:tcPr>
          <w:p w14:paraId="5E679D6C" w14:textId="77777777" w:rsidR="00B7106D" w:rsidRPr="00DE12A3" w:rsidRDefault="00B7106D" w:rsidP="00C917D6">
            <w:pPr>
              <w:spacing w:before="120" w:after="120"/>
              <w:rPr>
                <w:rFonts w:cs="Times New Roman"/>
                <w:color w:val="auto"/>
              </w:rPr>
            </w:pPr>
            <w:r w:rsidRPr="00DE12A3">
              <w:rPr>
                <w:rFonts w:cs="Times New Roman"/>
                <w:color w:val="auto"/>
              </w:rPr>
              <w:t>Rölanti</w:t>
            </w:r>
          </w:p>
        </w:tc>
      </w:tr>
      <w:tr w:rsidR="00DE12A3" w:rsidRPr="00DE12A3" w14:paraId="57C2F092" w14:textId="77777777" w:rsidTr="009849CC">
        <w:tc>
          <w:tcPr>
            <w:tcW w:w="2081" w:type="dxa"/>
            <w:tcBorders>
              <w:top w:val="single" w:sz="2" w:space="0" w:color="auto"/>
              <w:left w:val="single" w:sz="2" w:space="0" w:color="auto"/>
              <w:bottom w:val="single" w:sz="2" w:space="0" w:color="auto"/>
              <w:right w:val="single" w:sz="2" w:space="0" w:color="auto"/>
            </w:tcBorders>
          </w:tcPr>
          <w:p w14:paraId="0706DFA1" w14:textId="77777777" w:rsidR="00B7106D" w:rsidRPr="00DE12A3" w:rsidRDefault="00B7106D" w:rsidP="00C917D6">
            <w:pPr>
              <w:spacing w:before="120" w:after="120"/>
              <w:rPr>
                <w:rFonts w:cs="Times New Roman"/>
                <w:color w:val="auto"/>
              </w:rPr>
            </w:pPr>
            <w:r w:rsidRPr="00DE12A3">
              <w:rPr>
                <w:rFonts w:cs="Times New Roman"/>
                <w:color w:val="auto"/>
              </w:rPr>
              <w:t xml:space="preserve">Tork </w:t>
            </w:r>
            <w:r w:rsidRPr="00DE12A3">
              <w:rPr>
                <w:rFonts w:cs="Times New Roman"/>
                <w:color w:val="auto"/>
                <w:vertAlign w:val="superscript"/>
              </w:rPr>
              <w:t>(b)</w:t>
            </w:r>
            <w:r w:rsidRPr="00DE12A3">
              <w:rPr>
                <w:rFonts w:cs="Times New Roman"/>
                <w:color w:val="auto"/>
              </w:rPr>
              <w:t xml:space="preserve"> (%)</w:t>
            </w:r>
          </w:p>
        </w:tc>
        <w:tc>
          <w:tcPr>
            <w:tcW w:w="694" w:type="dxa"/>
            <w:tcBorders>
              <w:top w:val="single" w:sz="2" w:space="0" w:color="auto"/>
              <w:left w:val="single" w:sz="2" w:space="0" w:color="auto"/>
              <w:bottom w:val="single" w:sz="2" w:space="0" w:color="auto"/>
              <w:right w:val="single" w:sz="2" w:space="0" w:color="auto"/>
            </w:tcBorders>
          </w:tcPr>
          <w:p w14:paraId="2DBDC715" w14:textId="77777777" w:rsidR="00B7106D" w:rsidRPr="00DE12A3" w:rsidRDefault="00B7106D" w:rsidP="00C917D6">
            <w:pPr>
              <w:pStyle w:val="NormalLeft"/>
            </w:pPr>
            <w:r w:rsidRPr="00DE12A3">
              <w:t>100</w:t>
            </w:r>
          </w:p>
        </w:tc>
        <w:tc>
          <w:tcPr>
            <w:tcW w:w="770" w:type="dxa"/>
            <w:tcBorders>
              <w:top w:val="single" w:sz="2" w:space="0" w:color="auto"/>
              <w:left w:val="single" w:sz="2" w:space="0" w:color="auto"/>
              <w:bottom w:val="single" w:sz="2" w:space="0" w:color="auto"/>
              <w:right w:val="single" w:sz="2" w:space="0" w:color="auto"/>
            </w:tcBorders>
          </w:tcPr>
          <w:p w14:paraId="648B2ED1" w14:textId="77777777" w:rsidR="00B7106D" w:rsidRPr="00DE12A3" w:rsidRDefault="00B7106D" w:rsidP="00C917D6">
            <w:pPr>
              <w:pStyle w:val="NormalLeft"/>
            </w:pPr>
            <w:r w:rsidRPr="00DE12A3">
              <w:t>75</w:t>
            </w:r>
          </w:p>
        </w:tc>
        <w:tc>
          <w:tcPr>
            <w:tcW w:w="771" w:type="dxa"/>
            <w:tcBorders>
              <w:top w:val="single" w:sz="2" w:space="0" w:color="auto"/>
              <w:left w:val="single" w:sz="2" w:space="0" w:color="auto"/>
              <w:bottom w:val="single" w:sz="2" w:space="0" w:color="auto"/>
              <w:right w:val="single" w:sz="2" w:space="0" w:color="auto"/>
            </w:tcBorders>
          </w:tcPr>
          <w:p w14:paraId="4A8FFEFD" w14:textId="77777777" w:rsidR="00B7106D" w:rsidRPr="00DE12A3" w:rsidRDefault="00B7106D" w:rsidP="00C917D6">
            <w:pPr>
              <w:pStyle w:val="NormalLeft"/>
            </w:pPr>
            <w:r w:rsidRPr="00DE12A3">
              <w:t>50</w:t>
            </w:r>
          </w:p>
        </w:tc>
        <w:tc>
          <w:tcPr>
            <w:tcW w:w="617" w:type="dxa"/>
            <w:tcBorders>
              <w:top w:val="single" w:sz="2" w:space="0" w:color="auto"/>
              <w:left w:val="single" w:sz="2" w:space="0" w:color="auto"/>
              <w:bottom w:val="single" w:sz="2" w:space="0" w:color="auto"/>
              <w:right w:val="single" w:sz="2" w:space="0" w:color="auto"/>
            </w:tcBorders>
          </w:tcPr>
          <w:p w14:paraId="1135FB71" w14:textId="77777777" w:rsidR="00B7106D" w:rsidRPr="00DE12A3" w:rsidRDefault="00B7106D" w:rsidP="00C917D6">
            <w:pPr>
              <w:pStyle w:val="NormalLeft"/>
            </w:pPr>
            <w:r w:rsidRPr="00DE12A3">
              <w:t>10</w:t>
            </w:r>
          </w:p>
        </w:tc>
        <w:tc>
          <w:tcPr>
            <w:tcW w:w="693" w:type="dxa"/>
            <w:tcBorders>
              <w:top w:val="single" w:sz="2" w:space="0" w:color="auto"/>
              <w:left w:val="single" w:sz="2" w:space="0" w:color="auto"/>
              <w:bottom w:val="single" w:sz="2" w:space="0" w:color="auto"/>
              <w:right w:val="single" w:sz="2" w:space="0" w:color="auto"/>
            </w:tcBorders>
          </w:tcPr>
          <w:p w14:paraId="5EFBD51F" w14:textId="77777777" w:rsidR="00B7106D" w:rsidRPr="00DE12A3" w:rsidRDefault="00B7106D" w:rsidP="00C917D6">
            <w:pPr>
              <w:pStyle w:val="NormalLeft"/>
            </w:pPr>
            <w:r w:rsidRPr="00DE12A3">
              <w:t>100</w:t>
            </w:r>
          </w:p>
        </w:tc>
        <w:tc>
          <w:tcPr>
            <w:tcW w:w="694" w:type="dxa"/>
            <w:tcBorders>
              <w:top w:val="single" w:sz="2" w:space="0" w:color="auto"/>
              <w:left w:val="single" w:sz="2" w:space="0" w:color="auto"/>
              <w:bottom w:val="single" w:sz="2" w:space="0" w:color="auto"/>
              <w:right w:val="single" w:sz="2" w:space="0" w:color="auto"/>
            </w:tcBorders>
          </w:tcPr>
          <w:p w14:paraId="7E2BF381" w14:textId="77777777" w:rsidR="00B7106D" w:rsidRPr="00DE12A3" w:rsidRDefault="00B7106D" w:rsidP="00C917D6">
            <w:pPr>
              <w:pStyle w:val="NormalLeft"/>
            </w:pPr>
            <w:r w:rsidRPr="00DE12A3">
              <w:t>75</w:t>
            </w:r>
          </w:p>
        </w:tc>
        <w:tc>
          <w:tcPr>
            <w:tcW w:w="543" w:type="dxa"/>
            <w:tcBorders>
              <w:top w:val="single" w:sz="2" w:space="0" w:color="auto"/>
              <w:left w:val="single" w:sz="2" w:space="0" w:color="auto"/>
              <w:bottom w:val="single" w:sz="2" w:space="0" w:color="auto"/>
              <w:right w:val="single" w:sz="2" w:space="0" w:color="auto"/>
            </w:tcBorders>
          </w:tcPr>
          <w:p w14:paraId="7729959E" w14:textId="77777777" w:rsidR="00B7106D" w:rsidRPr="00DE12A3" w:rsidRDefault="00B7106D" w:rsidP="00C917D6">
            <w:pPr>
              <w:pStyle w:val="NormalLeft"/>
            </w:pPr>
            <w:r w:rsidRPr="00DE12A3">
              <w:t>50</w:t>
            </w:r>
          </w:p>
        </w:tc>
        <w:tc>
          <w:tcPr>
            <w:tcW w:w="992" w:type="dxa"/>
            <w:tcBorders>
              <w:top w:val="single" w:sz="2" w:space="0" w:color="auto"/>
              <w:left w:val="single" w:sz="2" w:space="0" w:color="auto"/>
              <w:bottom w:val="single" w:sz="2" w:space="0" w:color="auto"/>
              <w:right w:val="single" w:sz="2" w:space="0" w:color="auto"/>
            </w:tcBorders>
          </w:tcPr>
          <w:p w14:paraId="115DD50C" w14:textId="77777777" w:rsidR="00B7106D" w:rsidRPr="00DE12A3" w:rsidRDefault="00B7106D" w:rsidP="00C917D6">
            <w:pPr>
              <w:pStyle w:val="NormalLeft"/>
            </w:pPr>
            <w:r w:rsidRPr="00DE12A3">
              <w:t>0</w:t>
            </w:r>
          </w:p>
        </w:tc>
      </w:tr>
      <w:tr w:rsidR="00DE12A3" w:rsidRPr="00DE12A3" w14:paraId="08595183" w14:textId="77777777" w:rsidTr="009849CC">
        <w:tc>
          <w:tcPr>
            <w:tcW w:w="2081" w:type="dxa"/>
            <w:tcBorders>
              <w:top w:val="single" w:sz="2" w:space="0" w:color="auto"/>
              <w:left w:val="single" w:sz="2" w:space="0" w:color="auto"/>
              <w:bottom w:val="single" w:sz="2" w:space="0" w:color="auto"/>
              <w:right w:val="single" w:sz="2" w:space="0" w:color="auto"/>
            </w:tcBorders>
          </w:tcPr>
          <w:p w14:paraId="6C93E841" w14:textId="77777777" w:rsidR="00B7106D" w:rsidRPr="00DE12A3" w:rsidRDefault="00B7106D" w:rsidP="00C917D6">
            <w:pPr>
              <w:spacing w:before="120" w:after="120"/>
              <w:rPr>
                <w:rFonts w:cs="Times New Roman"/>
                <w:color w:val="auto"/>
              </w:rPr>
            </w:pPr>
            <w:r w:rsidRPr="00DE12A3">
              <w:rPr>
                <w:rFonts w:cs="Times New Roman"/>
                <w:color w:val="auto"/>
              </w:rPr>
              <w:t>Ağırlıklandırma faktörü</w:t>
            </w:r>
          </w:p>
        </w:tc>
        <w:tc>
          <w:tcPr>
            <w:tcW w:w="694" w:type="dxa"/>
            <w:tcBorders>
              <w:top w:val="single" w:sz="2" w:space="0" w:color="auto"/>
              <w:left w:val="single" w:sz="2" w:space="0" w:color="auto"/>
              <w:bottom w:val="single" w:sz="2" w:space="0" w:color="auto"/>
              <w:right w:val="single" w:sz="2" w:space="0" w:color="auto"/>
            </w:tcBorders>
          </w:tcPr>
          <w:p w14:paraId="0141EFF1" w14:textId="77777777" w:rsidR="00B7106D" w:rsidRPr="00DE12A3" w:rsidRDefault="00B7106D" w:rsidP="00C917D6">
            <w:pPr>
              <w:pStyle w:val="NormalLeft"/>
            </w:pPr>
            <w:r w:rsidRPr="00DE12A3">
              <w:t>0,15</w:t>
            </w:r>
          </w:p>
        </w:tc>
        <w:tc>
          <w:tcPr>
            <w:tcW w:w="770" w:type="dxa"/>
            <w:tcBorders>
              <w:top w:val="single" w:sz="2" w:space="0" w:color="auto"/>
              <w:left w:val="single" w:sz="2" w:space="0" w:color="auto"/>
              <w:bottom w:val="single" w:sz="2" w:space="0" w:color="auto"/>
              <w:right w:val="single" w:sz="2" w:space="0" w:color="auto"/>
            </w:tcBorders>
          </w:tcPr>
          <w:p w14:paraId="599E9A6F" w14:textId="77777777" w:rsidR="00B7106D" w:rsidRPr="00DE12A3" w:rsidRDefault="00B7106D" w:rsidP="00C917D6">
            <w:pPr>
              <w:pStyle w:val="NormalLeft"/>
            </w:pPr>
            <w:r w:rsidRPr="00DE12A3">
              <w:t>0,15</w:t>
            </w:r>
          </w:p>
        </w:tc>
        <w:tc>
          <w:tcPr>
            <w:tcW w:w="771" w:type="dxa"/>
            <w:tcBorders>
              <w:top w:val="single" w:sz="2" w:space="0" w:color="auto"/>
              <w:left w:val="single" w:sz="2" w:space="0" w:color="auto"/>
              <w:bottom w:val="single" w:sz="2" w:space="0" w:color="auto"/>
              <w:right w:val="single" w:sz="2" w:space="0" w:color="auto"/>
            </w:tcBorders>
          </w:tcPr>
          <w:p w14:paraId="349782C5" w14:textId="77777777" w:rsidR="00B7106D" w:rsidRPr="00DE12A3" w:rsidRDefault="00B7106D" w:rsidP="00C917D6">
            <w:pPr>
              <w:pStyle w:val="NormalLeft"/>
            </w:pPr>
            <w:r w:rsidRPr="00DE12A3">
              <w:t>0,15</w:t>
            </w:r>
          </w:p>
        </w:tc>
        <w:tc>
          <w:tcPr>
            <w:tcW w:w="617" w:type="dxa"/>
            <w:tcBorders>
              <w:top w:val="single" w:sz="2" w:space="0" w:color="auto"/>
              <w:left w:val="single" w:sz="2" w:space="0" w:color="auto"/>
              <w:bottom w:val="single" w:sz="2" w:space="0" w:color="auto"/>
              <w:right w:val="single" w:sz="2" w:space="0" w:color="auto"/>
            </w:tcBorders>
          </w:tcPr>
          <w:p w14:paraId="33809AD5" w14:textId="77777777" w:rsidR="00B7106D" w:rsidRPr="00DE12A3" w:rsidRDefault="00B7106D" w:rsidP="00C917D6">
            <w:pPr>
              <w:pStyle w:val="NormalLeft"/>
            </w:pPr>
            <w:r w:rsidRPr="00DE12A3">
              <w:t>0,1</w:t>
            </w:r>
          </w:p>
        </w:tc>
        <w:tc>
          <w:tcPr>
            <w:tcW w:w="693" w:type="dxa"/>
            <w:tcBorders>
              <w:top w:val="single" w:sz="2" w:space="0" w:color="auto"/>
              <w:left w:val="single" w:sz="2" w:space="0" w:color="auto"/>
              <w:bottom w:val="single" w:sz="2" w:space="0" w:color="auto"/>
              <w:right w:val="single" w:sz="2" w:space="0" w:color="auto"/>
            </w:tcBorders>
          </w:tcPr>
          <w:p w14:paraId="67C099FE" w14:textId="77777777" w:rsidR="00B7106D" w:rsidRPr="00DE12A3" w:rsidRDefault="00B7106D" w:rsidP="00C917D6">
            <w:pPr>
              <w:pStyle w:val="NormalLeft"/>
            </w:pPr>
            <w:r w:rsidRPr="00DE12A3">
              <w:t>0,1</w:t>
            </w:r>
          </w:p>
        </w:tc>
        <w:tc>
          <w:tcPr>
            <w:tcW w:w="694" w:type="dxa"/>
            <w:tcBorders>
              <w:top w:val="single" w:sz="2" w:space="0" w:color="auto"/>
              <w:left w:val="single" w:sz="2" w:space="0" w:color="auto"/>
              <w:bottom w:val="single" w:sz="2" w:space="0" w:color="auto"/>
              <w:right w:val="single" w:sz="2" w:space="0" w:color="auto"/>
            </w:tcBorders>
          </w:tcPr>
          <w:p w14:paraId="62E0A373" w14:textId="77777777" w:rsidR="00B7106D" w:rsidRPr="00DE12A3" w:rsidRDefault="00B7106D" w:rsidP="00C917D6">
            <w:pPr>
              <w:pStyle w:val="NormalLeft"/>
            </w:pPr>
            <w:r w:rsidRPr="00DE12A3">
              <w:t>0,1</w:t>
            </w:r>
          </w:p>
        </w:tc>
        <w:tc>
          <w:tcPr>
            <w:tcW w:w="543" w:type="dxa"/>
            <w:tcBorders>
              <w:top w:val="single" w:sz="2" w:space="0" w:color="auto"/>
              <w:left w:val="single" w:sz="2" w:space="0" w:color="auto"/>
              <w:bottom w:val="single" w:sz="2" w:space="0" w:color="auto"/>
              <w:right w:val="single" w:sz="2" w:space="0" w:color="auto"/>
            </w:tcBorders>
          </w:tcPr>
          <w:p w14:paraId="5EEB6E7B" w14:textId="77777777" w:rsidR="00B7106D" w:rsidRPr="00DE12A3" w:rsidRDefault="00B7106D" w:rsidP="00C917D6">
            <w:pPr>
              <w:pStyle w:val="NormalLeft"/>
            </w:pPr>
            <w:r w:rsidRPr="00DE12A3">
              <w:t>0,1</w:t>
            </w:r>
          </w:p>
        </w:tc>
        <w:tc>
          <w:tcPr>
            <w:tcW w:w="992" w:type="dxa"/>
            <w:tcBorders>
              <w:top w:val="single" w:sz="2" w:space="0" w:color="auto"/>
              <w:left w:val="single" w:sz="2" w:space="0" w:color="auto"/>
              <w:bottom w:val="single" w:sz="2" w:space="0" w:color="auto"/>
              <w:right w:val="single" w:sz="2" w:space="0" w:color="auto"/>
            </w:tcBorders>
          </w:tcPr>
          <w:p w14:paraId="08FA609E" w14:textId="77777777" w:rsidR="00B7106D" w:rsidRPr="00DE12A3" w:rsidRDefault="00B7106D" w:rsidP="00C917D6">
            <w:pPr>
              <w:pStyle w:val="NormalLeft"/>
            </w:pPr>
            <w:r w:rsidRPr="00DE12A3">
              <w:t>0,15</w:t>
            </w:r>
          </w:p>
        </w:tc>
      </w:tr>
    </w:tbl>
    <w:p w14:paraId="6598C656" w14:textId="009D1393" w:rsidR="00B7106D" w:rsidRPr="00DE12A3" w:rsidRDefault="00B7106D" w:rsidP="00C917D6">
      <w:pPr>
        <w:spacing w:before="120" w:after="120"/>
        <w:ind w:left="1134"/>
        <w:jc w:val="both"/>
        <w:rPr>
          <w:rFonts w:cs="Times New Roman"/>
          <w:color w:val="auto"/>
          <w:sz w:val="16"/>
          <w:szCs w:val="16"/>
        </w:rPr>
      </w:pPr>
      <w:r w:rsidRPr="00DE12A3">
        <w:rPr>
          <w:rFonts w:cs="Times New Roman"/>
          <w:color w:val="auto"/>
          <w:sz w:val="16"/>
          <w:szCs w:val="16"/>
        </w:rPr>
        <w:t>(a)</w:t>
      </w:r>
      <w:r w:rsidRPr="00DE12A3">
        <w:rPr>
          <w:rFonts w:cs="Times New Roman"/>
          <w:color w:val="auto"/>
          <w:sz w:val="16"/>
          <w:szCs w:val="16"/>
        </w:rPr>
        <w:tab/>
        <w:t xml:space="preserve">Gereken test devirlerinin belirlenmesi için </w:t>
      </w:r>
      <w:r w:rsidR="00FA0678" w:rsidRPr="00DE12A3">
        <w:rPr>
          <w:rFonts w:cs="Times New Roman"/>
          <w:color w:val="auto"/>
          <w:sz w:val="16"/>
          <w:szCs w:val="16"/>
        </w:rPr>
        <w:t>VI’ncı ek</w:t>
      </w:r>
      <w:r w:rsidRPr="00DE12A3">
        <w:rPr>
          <w:rFonts w:cs="Times New Roman"/>
          <w:color w:val="auto"/>
          <w:sz w:val="16"/>
          <w:szCs w:val="16"/>
        </w:rPr>
        <w:t xml:space="preserve">in 5.2.5, 7.6 ve 7.7 </w:t>
      </w:r>
      <w:r w:rsidR="00BB33FF" w:rsidRPr="00DE12A3">
        <w:rPr>
          <w:rFonts w:cs="Times New Roman"/>
          <w:color w:val="auto"/>
          <w:sz w:val="16"/>
          <w:szCs w:val="16"/>
        </w:rPr>
        <w:t xml:space="preserve">bentlerine </w:t>
      </w:r>
      <w:r w:rsidRPr="00DE12A3">
        <w:rPr>
          <w:rFonts w:cs="Times New Roman"/>
          <w:color w:val="auto"/>
          <w:sz w:val="16"/>
          <w:szCs w:val="16"/>
        </w:rPr>
        <w:t>bakınız.</w:t>
      </w:r>
    </w:p>
    <w:p w14:paraId="30FDB07A" w14:textId="77777777" w:rsidR="009F4766" w:rsidRPr="00DE12A3" w:rsidRDefault="00B7106D" w:rsidP="00C917D6">
      <w:pPr>
        <w:spacing w:before="120" w:after="120"/>
        <w:ind w:left="1134"/>
        <w:jc w:val="both"/>
        <w:rPr>
          <w:rFonts w:cs="Times New Roman"/>
          <w:color w:val="auto"/>
          <w:sz w:val="16"/>
          <w:szCs w:val="16"/>
        </w:rPr>
      </w:pPr>
      <w:r w:rsidRPr="00DE12A3">
        <w:rPr>
          <w:rFonts w:cs="Times New Roman"/>
          <w:color w:val="auto"/>
          <w:sz w:val="16"/>
          <w:szCs w:val="16"/>
        </w:rPr>
        <w:t>(b)</w:t>
      </w:r>
      <w:r w:rsidRPr="00DE12A3">
        <w:rPr>
          <w:rFonts w:cs="Times New Roman"/>
          <w:color w:val="auto"/>
          <w:sz w:val="16"/>
          <w:szCs w:val="16"/>
        </w:rPr>
        <w:tab/>
        <w:t>% tork, komut verilen motor devrindeki azami torka bağlıdır.</w:t>
      </w:r>
    </w:p>
    <w:p w14:paraId="0F680CFE" w14:textId="77777777" w:rsidR="00B7106D" w:rsidRPr="00DE12A3" w:rsidRDefault="00B7106D" w:rsidP="00C917D6">
      <w:pPr>
        <w:spacing w:before="120" w:after="120"/>
        <w:rPr>
          <w:rFonts w:cs="Times New Roman"/>
          <w:color w:val="auto"/>
        </w:rPr>
      </w:pPr>
    </w:p>
    <w:tbl>
      <w:tblPr>
        <w:tblW w:w="0" w:type="auto"/>
        <w:tblInd w:w="836" w:type="dxa"/>
        <w:tblLayout w:type="fixed"/>
        <w:tblLook w:val="0000" w:firstRow="0" w:lastRow="0" w:firstColumn="0" w:lastColumn="0" w:noHBand="0" w:noVBand="0"/>
      </w:tblPr>
      <w:tblGrid>
        <w:gridCol w:w="2056"/>
        <w:gridCol w:w="914"/>
        <w:gridCol w:w="837"/>
        <w:gridCol w:w="762"/>
        <w:gridCol w:w="761"/>
        <w:gridCol w:w="762"/>
        <w:gridCol w:w="761"/>
        <w:gridCol w:w="955"/>
      </w:tblGrid>
      <w:tr w:rsidR="00DE12A3" w:rsidRPr="00DE12A3" w14:paraId="648F899C" w14:textId="77777777" w:rsidTr="009849CC">
        <w:tc>
          <w:tcPr>
            <w:tcW w:w="7808" w:type="dxa"/>
            <w:gridSpan w:val="8"/>
            <w:tcBorders>
              <w:top w:val="single" w:sz="2" w:space="0" w:color="auto"/>
              <w:left w:val="single" w:sz="2" w:space="0" w:color="auto"/>
              <w:bottom w:val="single" w:sz="2" w:space="0" w:color="auto"/>
              <w:right w:val="single" w:sz="2" w:space="0" w:color="auto"/>
            </w:tcBorders>
          </w:tcPr>
          <w:p w14:paraId="25C7297E" w14:textId="0841CB0E" w:rsidR="009F4766" w:rsidRPr="00DE12A3" w:rsidRDefault="00B7106D" w:rsidP="00C917D6">
            <w:pPr>
              <w:pStyle w:val="NormalCentered"/>
            </w:pPr>
            <w:r w:rsidRPr="00DE12A3">
              <w:rPr>
                <w:iCs/>
              </w:rPr>
              <w:t xml:space="preserve">C2 </w:t>
            </w:r>
            <w:r w:rsidR="00D20C73" w:rsidRPr="00DE12A3">
              <w:rPr>
                <w:iCs/>
              </w:rPr>
              <w:t>çevrimi test</w:t>
            </w:r>
            <w:r w:rsidRPr="00DE12A3">
              <w:rPr>
                <w:iCs/>
              </w:rPr>
              <w:t xml:space="preserve"> modları ve ağırlıklandırma faktörleri tablosu</w:t>
            </w:r>
          </w:p>
        </w:tc>
      </w:tr>
      <w:tr w:rsidR="00DE12A3" w:rsidRPr="00DE12A3" w14:paraId="2287FF0D" w14:textId="77777777" w:rsidTr="009849CC">
        <w:tc>
          <w:tcPr>
            <w:tcW w:w="2056" w:type="dxa"/>
            <w:tcBorders>
              <w:top w:val="single" w:sz="2" w:space="0" w:color="auto"/>
              <w:left w:val="single" w:sz="2" w:space="0" w:color="auto"/>
              <w:bottom w:val="single" w:sz="2" w:space="0" w:color="auto"/>
              <w:right w:val="single" w:sz="2" w:space="0" w:color="auto"/>
            </w:tcBorders>
          </w:tcPr>
          <w:p w14:paraId="719F0068" w14:textId="77777777" w:rsidR="00B7106D" w:rsidRPr="00DE12A3" w:rsidRDefault="00B7106D" w:rsidP="00C917D6">
            <w:pPr>
              <w:spacing w:before="120" w:after="120"/>
              <w:rPr>
                <w:rFonts w:cs="Times New Roman"/>
                <w:color w:val="auto"/>
              </w:rPr>
            </w:pPr>
            <w:r w:rsidRPr="00DE12A3">
              <w:rPr>
                <w:rFonts w:cs="Times New Roman"/>
                <w:color w:val="auto"/>
              </w:rPr>
              <w:t>Mod numarası</w:t>
            </w:r>
          </w:p>
        </w:tc>
        <w:tc>
          <w:tcPr>
            <w:tcW w:w="914" w:type="dxa"/>
            <w:tcBorders>
              <w:top w:val="single" w:sz="2" w:space="0" w:color="auto"/>
              <w:left w:val="single" w:sz="2" w:space="0" w:color="auto"/>
              <w:bottom w:val="single" w:sz="2" w:space="0" w:color="auto"/>
              <w:right w:val="single" w:sz="2" w:space="0" w:color="auto"/>
            </w:tcBorders>
          </w:tcPr>
          <w:p w14:paraId="7BDF94B5" w14:textId="77777777" w:rsidR="00B7106D" w:rsidRPr="00DE12A3" w:rsidRDefault="00B7106D" w:rsidP="00C917D6">
            <w:pPr>
              <w:pStyle w:val="NormalLeft"/>
            </w:pPr>
            <w:r w:rsidRPr="00DE12A3">
              <w:t>1</w:t>
            </w:r>
          </w:p>
        </w:tc>
        <w:tc>
          <w:tcPr>
            <w:tcW w:w="837" w:type="dxa"/>
            <w:tcBorders>
              <w:top w:val="single" w:sz="2" w:space="0" w:color="auto"/>
              <w:left w:val="single" w:sz="2" w:space="0" w:color="auto"/>
              <w:bottom w:val="single" w:sz="2" w:space="0" w:color="auto"/>
              <w:right w:val="single" w:sz="2" w:space="0" w:color="auto"/>
            </w:tcBorders>
          </w:tcPr>
          <w:p w14:paraId="4B58D891" w14:textId="77777777" w:rsidR="00B7106D" w:rsidRPr="00DE12A3" w:rsidRDefault="00B7106D" w:rsidP="00C917D6">
            <w:pPr>
              <w:pStyle w:val="NormalLeft"/>
            </w:pPr>
            <w:r w:rsidRPr="00DE12A3">
              <w:t>2</w:t>
            </w:r>
          </w:p>
        </w:tc>
        <w:tc>
          <w:tcPr>
            <w:tcW w:w="762" w:type="dxa"/>
            <w:tcBorders>
              <w:top w:val="single" w:sz="2" w:space="0" w:color="auto"/>
              <w:left w:val="single" w:sz="2" w:space="0" w:color="auto"/>
              <w:bottom w:val="single" w:sz="2" w:space="0" w:color="auto"/>
              <w:right w:val="single" w:sz="2" w:space="0" w:color="auto"/>
            </w:tcBorders>
          </w:tcPr>
          <w:p w14:paraId="2A791369" w14:textId="77777777" w:rsidR="00B7106D" w:rsidRPr="00DE12A3" w:rsidRDefault="00B7106D" w:rsidP="00C917D6">
            <w:pPr>
              <w:pStyle w:val="NormalLeft"/>
            </w:pPr>
            <w:r w:rsidRPr="00DE12A3">
              <w:t>3</w:t>
            </w:r>
          </w:p>
        </w:tc>
        <w:tc>
          <w:tcPr>
            <w:tcW w:w="761" w:type="dxa"/>
            <w:tcBorders>
              <w:top w:val="single" w:sz="2" w:space="0" w:color="auto"/>
              <w:left w:val="single" w:sz="2" w:space="0" w:color="auto"/>
              <w:bottom w:val="single" w:sz="2" w:space="0" w:color="auto"/>
              <w:right w:val="single" w:sz="2" w:space="0" w:color="auto"/>
            </w:tcBorders>
          </w:tcPr>
          <w:p w14:paraId="01EA69BB" w14:textId="77777777" w:rsidR="00B7106D" w:rsidRPr="00DE12A3" w:rsidRDefault="00B7106D" w:rsidP="00C917D6">
            <w:pPr>
              <w:pStyle w:val="NormalLeft"/>
            </w:pPr>
            <w:r w:rsidRPr="00DE12A3">
              <w:t>4</w:t>
            </w:r>
          </w:p>
        </w:tc>
        <w:tc>
          <w:tcPr>
            <w:tcW w:w="762" w:type="dxa"/>
            <w:tcBorders>
              <w:top w:val="single" w:sz="2" w:space="0" w:color="auto"/>
              <w:left w:val="single" w:sz="2" w:space="0" w:color="auto"/>
              <w:bottom w:val="single" w:sz="2" w:space="0" w:color="auto"/>
              <w:right w:val="single" w:sz="2" w:space="0" w:color="auto"/>
            </w:tcBorders>
          </w:tcPr>
          <w:p w14:paraId="18E6E275" w14:textId="77777777" w:rsidR="00B7106D" w:rsidRPr="00DE12A3" w:rsidRDefault="00B7106D" w:rsidP="00C917D6">
            <w:pPr>
              <w:pStyle w:val="NormalLeft"/>
            </w:pPr>
            <w:r w:rsidRPr="00DE12A3">
              <w:t>5</w:t>
            </w:r>
          </w:p>
        </w:tc>
        <w:tc>
          <w:tcPr>
            <w:tcW w:w="761" w:type="dxa"/>
            <w:tcBorders>
              <w:top w:val="single" w:sz="2" w:space="0" w:color="auto"/>
              <w:left w:val="single" w:sz="2" w:space="0" w:color="auto"/>
              <w:bottom w:val="single" w:sz="2" w:space="0" w:color="auto"/>
              <w:right w:val="single" w:sz="2" w:space="0" w:color="auto"/>
            </w:tcBorders>
          </w:tcPr>
          <w:p w14:paraId="6C8A6CD5" w14:textId="77777777" w:rsidR="00B7106D" w:rsidRPr="00DE12A3" w:rsidRDefault="00B7106D" w:rsidP="00C917D6">
            <w:pPr>
              <w:pStyle w:val="NormalLeft"/>
            </w:pPr>
            <w:r w:rsidRPr="00DE12A3">
              <w:t>6</w:t>
            </w:r>
          </w:p>
        </w:tc>
        <w:tc>
          <w:tcPr>
            <w:tcW w:w="955" w:type="dxa"/>
            <w:tcBorders>
              <w:top w:val="single" w:sz="2" w:space="0" w:color="auto"/>
              <w:left w:val="single" w:sz="2" w:space="0" w:color="auto"/>
              <w:bottom w:val="single" w:sz="2" w:space="0" w:color="auto"/>
              <w:right w:val="single" w:sz="2" w:space="0" w:color="auto"/>
            </w:tcBorders>
          </w:tcPr>
          <w:p w14:paraId="157E1F6B" w14:textId="77777777" w:rsidR="00B7106D" w:rsidRPr="00DE12A3" w:rsidRDefault="00B7106D" w:rsidP="00C917D6">
            <w:pPr>
              <w:pStyle w:val="NormalLeft"/>
            </w:pPr>
            <w:r w:rsidRPr="00DE12A3">
              <w:t>7</w:t>
            </w:r>
          </w:p>
        </w:tc>
      </w:tr>
      <w:tr w:rsidR="00DE12A3" w:rsidRPr="00DE12A3" w14:paraId="3AADAAC6" w14:textId="77777777" w:rsidTr="009849CC">
        <w:tc>
          <w:tcPr>
            <w:tcW w:w="2056" w:type="dxa"/>
            <w:tcBorders>
              <w:top w:val="single" w:sz="2" w:space="0" w:color="auto"/>
              <w:left w:val="single" w:sz="2" w:space="0" w:color="auto"/>
              <w:bottom w:val="single" w:sz="2" w:space="0" w:color="auto"/>
              <w:right w:val="single" w:sz="2" w:space="0" w:color="auto"/>
            </w:tcBorders>
          </w:tcPr>
          <w:p w14:paraId="56504B85" w14:textId="77777777" w:rsidR="00B7106D" w:rsidRPr="00DE12A3" w:rsidRDefault="00B7106D" w:rsidP="00C917D6">
            <w:pPr>
              <w:spacing w:before="120" w:after="120"/>
              <w:rPr>
                <w:rFonts w:cs="Times New Roman"/>
                <w:color w:val="auto"/>
              </w:rPr>
            </w:pPr>
            <w:r w:rsidRPr="00DE12A3">
              <w:rPr>
                <w:rFonts w:cs="Times New Roman"/>
                <w:color w:val="auto"/>
              </w:rPr>
              <w:t xml:space="preserve">Devir </w:t>
            </w:r>
            <w:r w:rsidRPr="00DE12A3">
              <w:rPr>
                <w:rFonts w:cs="Times New Roman"/>
                <w:color w:val="auto"/>
                <w:vertAlign w:val="superscript"/>
              </w:rPr>
              <w:t>(a)</w:t>
            </w:r>
          </w:p>
        </w:tc>
        <w:tc>
          <w:tcPr>
            <w:tcW w:w="914" w:type="dxa"/>
            <w:tcBorders>
              <w:top w:val="single" w:sz="2" w:space="0" w:color="auto"/>
              <w:left w:val="single" w:sz="2" w:space="0" w:color="auto"/>
              <w:bottom w:val="single" w:sz="2" w:space="0" w:color="auto"/>
              <w:right w:val="single" w:sz="2" w:space="0" w:color="auto"/>
            </w:tcBorders>
          </w:tcPr>
          <w:p w14:paraId="616E1730" w14:textId="77777777" w:rsidR="00B7106D" w:rsidRPr="00DE12A3" w:rsidRDefault="00B7106D" w:rsidP="00C917D6">
            <w:pPr>
              <w:pStyle w:val="NormalLeft"/>
            </w:pPr>
            <w:r w:rsidRPr="00DE12A3">
              <w:t>100 %</w:t>
            </w:r>
          </w:p>
        </w:tc>
        <w:tc>
          <w:tcPr>
            <w:tcW w:w="3883" w:type="dxa"/>
            <w:gridSpan w:val="5"/>
            <w:tcBorders>
              <w:top w:val="single" w:sz="2" w:space="0" w:color="auto"/>
              <w:left w:val="single" w:sz="2" w:space="0" w:color="auto"/>
              <w:bottom w:val="single" w:sz="2" w:space="0" w:color="auto"/>
              <w:right w:val="single" w:sz="2" w:space="0" w:color="auto"/>
            </w:tcBorders>
          </w:tcPr>
          <w:p w14:paraId="577C7F87" w14:textId="54EA1493" w:rsidR="00B7106D" w:rsidRPr="00DE12A3" w:rsidRDefault="00BB33FF" w:rsidP="00C917D6">
            <w:pPr>
              <w:spacing w:before="120" w:after="120"/>
              <w:rPr>
                <w:rFonts w:cs="Times New Roman"/>
                <w:color w:val="auto"/>
              </w:rPr>
            </w:pPr>
            <w:r w:rsidRPr="00DE12A3">
              <w:rPr>
                <w:rFonts w:cs="Times New Roman"/>
                <w:color w:val="auto"/>
              </w:rPr>
              <w:t xml:space="preserve">                               </w:t>
            </w:r>
            <w:r w:rsidR="00B7106D" w:rsidRPr="00DE12A3">
              <w:rPr>
                <w:rFonts w:cs="Times New Roman"/>
                <w:color w:val="auto"/>
              </w:rPr>
              <w:t>Orta</w:t>
            </w:r>
          </w:p>
        </w:tc>
        <w:tc>
          <w:tcPr>
            <w:tcW w:w="955" w:type="dxa"/>
            <w:tcBorders>
              <w:top w:val="single" w:sz="2" w:space="0" w:color="auto"/>
              <w:left w:val="single" w:sz="2" w:space="0" w:color="auto"/>
              <w:bottom w:val="single" w:sz="2" w:space="0" w:color="auto"/>
              <w:right w:val="single" w:sz="2" w:space="0" w:color="auto"/>
            </w:tcBorders>
          </w:tcPr>
          <w:p w14:paraId="5E3537E1" w14:textId="77777777" w:rsidR="00B7106D" w:rsidRPr="00DE12A3" w:rsidRDefault="00B7106D" w:rsidP="00C917D6">
            <w:pPr>
              <w:spacing w:before="120" w:after="120"/>
              <w:rPr>
                <w:rFonts w:cs="Times New Roman"/>
                <w:color w:val="auto"/>
              </w:rPr>
            </w:pPr>
            <w:r w:rsidRPr="00DE12A3">
              <w:rPr>
                <w:rFonts w:cs="Times New Roman"/>
                <w:color w:val="auto"/>
              </w:rPr>
              <w:t>Rölanti</w:t>
            </w:r>
          </w:p>
        </w:tc>
      </w:tr>
      <w:tr w:rsidR="00DE12A3" w:rsidRPr="00DE12A3" w14:paraId="40B2BC88" w14:textId="77777777" w:rsidTr="009849CC">
        <w:tc>
          <w:tcPr>
            <w:tcW w:w="2056" w:type="dxa"/>
            <w:tcBorders>
              <w:top w:val="single" w:sz="2" w:space="0" w:color="auto"/>
              <w:left w:val="single" w:sz="2" w:space="0" w:color="auto"/>
              <w:bottom w:val="single" w:sz="2" w:space="0" w:color="auto"/>
              <w:right w:val="single" w:sz="2" w:space="0" w:color="auto"/>
            </w:tcBorders>
          </w:tcPr>
          <w:p w14:paraId="337D4752" w14:textId="77777777" w:rsidR="00B7106D" w:rsidRPr="00DE12A3" w:rsidRDefault="00B7106D" w:rsidP="00C917D6">
            <w:pPr>
              <w:spacing w:before="120" w:after="120"/>
              <w:rPr>
                <w:rFonts w:cs="Times New Roman"/>
                <w:color w:val="auto"/>
              </w:rPr>
            </w:pPr>
            <w:r w:rsidRPr="00DE12A3">
              <w:rPr>
                <w:rFonts w:cs="Times New Roman"/>
                <w:color w:val="auto"/>
              </w:rPr>
              <w:t xml:space="preserve">Tork </w:t>
            </w:r>
            <w:r w:rsidRPr="00DE12A3">
              <w:rPr>
                <w:rFonts w:cs="Times New Roman"/>
                <w:color w:val="auto"/>
                <w:vertAlign w:val="superscript"/>
              </w:rPr>
              <w:t>(b)</w:t>
            </w:r>
            <w:r w:rsidRPr="00DE12A3">
              <w:rPr>
                <w:rFonts w:cs="Times New Roman"/>
                <w:color w:val="auto"/>
              </w:rPr>
              <w:t xml:space="preserve"> (%)</w:t>
            </w:r>
          </w:p>
        </w:tc>
        <w:tc>
          <w:tcPr>
            <w:tcW w:w="914" w:type="dxa"/>
            <w:tcBorders>
              <w:top w:val="single" w:sz="2" w:space="0" w:color="auto"/>
              <w:left w:val="single" w:sz="2" w:space="0" w:color="auto"/>
              <w:bottom w:val="single" w:sz="2" w:space="0" w:color="auto"/>
              <w:right w:val="single" w:sz="2" w:space="0" w:color="auto"/>
            </w:tcBorders>
          </w:tcPr>
          <w:p w14:paraId="6825E303" w14:textId="77777777" w:rsidR="00B7106D" w:rsidRPr="00DE12A3" w:rsidRDefault="00B7106D" w:rsidP="00C917D6">
            <w:pPr>
              <w:pStyle w:val="NormalLeft"/>
            </w:pPr>
            <w:r w:rsidRPr="00DE12A3">
              <w:t>25</w:t>
            </w:r>
          </w:p>
        </w:tc>
        <w:tc>
          <w:tcPr>
            <w:tcW w:w="837" w:type="dxa"/>
            <w:tcBorders>
              <w:top w:val="single" w:sz="2" w:space="0" w:color="auto"/>
              <w:left w:val="single" w:sz="2" w:space="0" w:color="auto"/>
              <w:bottom w:val="single" w:sz="2" w:space="0" w:color="auto"/>
              <w:right w:val="single" w:sz="2" w:space="0" w:color="auto"/>
            </w:tcBorders>
          </w:tcPr>
          <w:p w14:paraId="1082DC35" w14:textId="77777777" w:rsidR="00B7106D" w:rsidRPr="00DE12A3" w:rsidRDefault="00B7106D" w:rsidP="00C917D6">
            <w:pPr>
              <w:pStyle w:val="NormalLeft"/>
            </w:pPr>
            <w:r w:rsidRPr="00DE12A3">
              <w:t>100</w:t>
            </w:r>
          </w:p>
        </w:tc>
        <w:tc>
          <w:tcPr>
            <w:tcW w:w="762" w:type="dxa"/>
            <w:tcBorders>
              <w:top w:val="single" w:sz="2" w:space="0" w:color="auto"/>
              <w:left w:val="single" w:sz="2" w:space="0" w:color="auto"/>
              <w:bottom w:val="single" w:sz="2" w:space="0" w:color="auto"/>
              <w:right w:val="single" w:sz="2" w:space="0" w:color="auto"/>
            </w:tcBorders>
          </w:tcPr>
          <w:p w14:paraId="0746A93C" w14:textId="77777777" w:rsidR="00B7106D" w:rsidRPr="00DE12A3" w:rsidRDefault="00B7106D" w:rsidP="00C917D6">
            <w:pPr>
              <w:pStyle w:val="NormalLeft"/>
            </w:pPr>
            <w:r w:rsidRPr="00DE12A3">
              <w:t>75</w:t>
            </w:r>
          </w:p>
        </w:tc>
        <w:tc>
          <w:tcPr>
            <w:tcW w:w="761" w:type="dxa"/>
            <w:tcBorders>
              <w:top w:val="single" w:sz="2" w:space="0" w:color="auto"/>
              <w:left w:val="single" w:sz="2" w:space="0" w:color="auto"/>
              <w:bottom w:val="single" w:sz="2" w:space="0" w:color="auto"/>
              <w:right w:val="single" w:sz="2" w:space="0" w:color="auto"/>
            </w:tcBorders>
          </w:tcPr>
          <w:p w14:paraId="3CD71D51" w14:textId="77777777" w:rsidR="00B7106D" w:rsidRPr="00DE12A3" w:rsidRDefault="00B7106D" w:rsidP="00C917D6">
            <w:pPr>
              <w:pStyle w:val="NormalLeft"/>
            </w:pPr>
            <w:r w:rsidRPr="00DE12A3">
              <w:t>50</w:t>
            </w:r>
          </w:p>
        </w:tc>
        <w:tc>
          <w:tcPr>
            <w:tcW w:w="762" w:type="dxa"/>
            <w:tcBorders>
              <w:top w:val="single" w:sz="2" w:space="0" w:color="auto"/>
              <w:left w:val="single" w:sz="2" w:space="0" w:color="auto"/>
              <w:bottom w:val="single" w:sz="2" w:space="0" w:color="auto"/>
              <w:right w:val="single" w:sz="2" w:space="0" w:color="auto"/>
            </w:tcBorders>
          </w:tcPr>
          <w:p w14:paraId="238C80F2" w14:textId="77777777" w:rsidR="00B7106D" w:rsidRPr="00DE12A3" w:rsidRDefault="00B7106D" w:rsidP="00C917D6">
            <w:pPr>
              <w:pStyle w:val="NormalLeft"/>
            </w:pPr>
            <w:r w:rsidRPr="00DE12A3">
              <w:t>25</w:t>
            </w:r>
          </w:p>
        </w:tc>
        <w:tc>
          <w:tcPr>
            <w:tcW w:w="761" w:type="dxa"/>
            <w:tcBorders>
              <w:top w:val="single" w:sz="2" w:space="0" w:color="auto"/>
              <w:left w:val="single" w:sz="2" w:space="0" w:color="auto"/>
              <w:bottom w:val="single" w:sz="2" w:space="0" w:color="auto"/>
              <w:right w:val="single" w:sz="2" w:space="0" w:color="auto"/>
            </w:tcBorders>
          </w:tcPr>
          <w:p w14:paraId="603B998E" w14:textId="77777777" w:rsidR="00B7106D" w:rsidRPr="00DE12A3" w:rsidRDefault="00B7106D" w:rsidP="00C917D6">
            <w:pPr>
              <w:pStyle w:val="NormalLeft"/>
            </w:pPr>
            <w:r w:rsidRPr="00DE12A3">
              <w:t>10</w:t>
            </w:r>
          </w:p>
        </w:tc>
        <w:tc>
          <w:tcPr>
            <w:tcW w:w="955" w:type="dxa"/>
            <w:tcBorders>
              <w:top w:val="single" w:sz="2" w:space="0" w:color="auto"/>
              <w:left w:val="single" w:sz="2" w:space="0" w:color="auto"/>
              <w:bottom w:val="single" w:sz="2" w:space="0" w:color="auto"/>
              <w:right w:val="single" w:sz="2" w:space="0" w:color="auto"/>
            </w:tcBorders>
          </w:tcPr>
          <w:p w14:paraId="697ECE06" w14:textId="77777777" w:rsidR="00B7106D" w:rsidRPr="00DE12A3" w:rsidRDefault="00B7106D" w:rsidP="00C917D6">
            <w:pPr>
              <w:pStyle w:val="NormalLeft"/>
            </w:pPr>
            <w:r w:rsidRPr="00DE12A3">
              <w:t>0</w:t>
            </w:r>
          </w:p>
        </w:tc>
      </w:tr>
      <w:tr w:rsidR="00DE12A3" w:rsidRPr="00DE12A3" w14:paraId="74EDF775" w14:textId="77777777" w:rsidTr="009849CC">
        <w:tc>
          <w:tcPr>
            <w:tcW w:w="2056" w:type="dxa"/>
            <w:tcBorders>
              <w:top w:val="single" w:sz="2" w:space="0" w:color="auto"/>
              <w:left w:val="single" w:sz="2" w:space="0" w:color="auto"/>
              <w:bottom w:val="single" w:sz="2" w:space="0" w:color="auto"/>
              <w:right w:val="single" w:sz="2" w:space="0" w:color="auto"/>
            </w:tcBorders>
          </w:tcPr>
          <w:p w14:paraId="23F78D04" w14:textId="77777777" w:rsidR="00B7106D" w:rsidRPr="00DE12A3" w:rsidRDefault="00B7106D" w:rsidP="00C917D6">
            <w:pPr>
              <w:spacing w:before="120" w:after="120"/>
              <w:rPr>
                <w:rFonts w:cs="Times New Roman"/>
                <w:color w:val="auto"/>
              </w:rPr>
            </w:pPr>
            <w:r w:rsidRPr="00DE12A3">
              <w:rPr>
                <w:rFonts w:cs="Times New Roman"/>
                <w:color w:val="auto"/>
              </w:rPr>
              <w:t>Ağırlıklandırma faktörü</w:t>
            </w:r>
          </w:p>
        </w:tc>
        <w:tc>
          <w:tcPr>
            <w:tcW w:w="914" w:type="dxa"/>
            <w:tcBorders>
              <w:top w:val="single" w:sz="2" w:space="0" w:color="auto"/>
              <w:left w:val="single" w:sz="2" w:space="0" w:color="auto"/>
              <w:bottom w:val="single" w:sz="2" w:space="0" w:color="auto"/>
              <w:right w:val="single" w:sz="2" w:space="0" w:color="auto"/>
            </w:tcBorders>
          </w:tcPr>
          <w:p w14:paraId="6AE9A399" w14:textId="77777777" w:rsidR="00B7106D" w:rsidRPr="00DE12A3" w:rsidRDefault="00B7106D" w:rsidP="00C917D6">
            <w:pPr>
              <w:pStyle w:val="NormalLeft"/>
            </w:pPr>
            <w:r w:rsidRPr="00DE12A3">
              <w:t>0,06</w:t>
            </w:r>
          </w:p>
        </w:tc>
        <w:tc>
          <w:tcPr>
            <w:tcW w:w="837" w:type="dxa"/>
            <w:tcBorders>
              <w:top w:val="single" w:sz="2" w:space="0" w:color="auto"/>
              <w:left w:val="single" w:sz="2" w:space="0" w:color="auto"/>
              <w:bottom w:val="single" w:sz="2" w:space="0" w:color="auto"/>
              <w:right w:val="single" w:sz="2" w:space="0" w:color="auto"/>
            </w:tcBorders>
          </w:tcPr>
          <w:p w14:paraId="203619EC" w14:textId="77777777" w:rsidR="00B7106D" w:rsidRPr="00DE12A3" w:rsidRDefault="00B7106D" w:rsidP="00C917D6">
            <w:pPr>
              <w:pStyle w:val="NormalLeft"/>
            </w:pPr>
            <w:r w:rsidRPr="00DE12A3">
              <w:t>0,02</w:t>
            </w:r>
          </w:p>
        </w:tc>
        <w:tc>
          <w:tcPr>
            <w:tcW w:w="762" w:type="dxa"/>
            <w:tcBorders>
              <w:top w:val="single" w:sz="2" w:space="0" w:color="auto"/>
              <w:left w:val="single" w:sz="2" w:space="0" w:color="auto"/>
              <w:bottom w:val="single" w:sz="2" w:space="0" w:color="auto"/>
              <w:right w:val="single" w:sz="2" w:space="0" w:color="auto"/>
            </w:tcBorders>
          </w:tcPr>
          <w:p w14:paraId="568D3798" w14:textId="77777777" w:rsidR="00B7106D" w:rsidRPr="00DE12A3" w:rsidRDefault="00B7106D" w:rsidP="00C917D6">
            <w:pPr>
              <w:pStyle w:val="NormalLeft"/>
            </w:pPr>
            <w:r w:rsidRPr="00DE12A3">
              <w:t>0,05</w:t>
            </w:r>
          </w:p>
        </w:tc>
        <w:tc>
          <w:tcPr>
            <w:tcW w:w="761" w:type="dxa"/>
            <w:tcBorders>
              <w:top w:val="single" w:sz="2" w:space="0" w:color="auto"/>
              <w:left w:val="single" w:sz="2" w:space="0" w:color="auto"/>
              <w:bottom w:val="single" w:sz="2" w:space="0" w:color="auto"/>
              <w:right w:val="single" w:sz="2" w:space="0" w:color="auto"/>
            </w:tcBorders>
          </w:tcPr>
          <w:p w14:paraId="029A994A" w14:textId="77777777" w:rsidR="00B7106D" w:rsidRPr="00DE12A3" w:rsidRDefault="00B7106D" w:rsidP="00C917D6">
            <w:pPr>
              <w:pStyle w:val="NormalLeft"/>
            </w:pPr>
            <w:r w:rsidRPr="00DE12A3">
              <w:t>0,32</w:t>
            </w:r>
          </w:p>
        </w:tc>
        <w:tc>
          <w:tcPr>
            <w:tcW w:w="762" w:type="dxa"/>
            <w:tcBorders>
              <w:top w:val="single" w:sz="2" w:space="0" w:color="auto"/>
              <w:left w:val="single" w:sz="2" w:space="0" w:color="auto"/>
              <w:bottom w:val="single" w:sz="2" w:space="0" w:color="auto"/>
              <w:right w:val="single" w:sz="2" w:space="0" w:color="auto"/>
            </w:tcBorders>
          </w:tcPr>
          <w:p w14:paraId="7FF761E7" w14:textId="77777777" w:rsidR="00B7106D" w:rsidRPr="00DE12A3" w:rsidRDefault="00B7106D" w:rsidP="00C917D6">
            <w:pPr>
              <w:pStyle w:val="NormalLeft"/>
            </w:pPr>
            <w:r w:rsidRPr="00DE12A3">
              <w:t>0,30</w:t>
            </w:r>
          </w:p>
        </w:tc>
        <w:tc>
          <w:tcPr>
            <w:tcW w:w="761" w:type="dxa"/>
            <w:tcBorders>
              <w:top w:val="single" w:sz="2" w:space="0" w:color="auto"/>
              <w:left w:val="single" w:sz="2" w:space="0" w:color="auto"/>
              <w:bottom w:val="single" w:sz="2" w:space="0" w:color="auto"/>
              <w:right w:val="single" w:sz="2" w:space="0" w:color="auto"/>
            </w:tcBorders>
          </w:tcPr>
          <w:p w14:paraId="5073D9B3" w14:textId="77777777" w:rsidR="00B7106D" w:rsidRPr="00DE12A3" w:rsidRDefault="00B7106D" w:rsidP="00C917D6">
            <w:pPr>
              <w:pStyle w:val="NormalLeft"/>
            </w:pPr>
            <w:r w:rsidRPr="00DE12A3">
              <w:t>0,10</w:t>
            </w:r>
          </w:p>
        </w:tc>
        <w:tc>
          <w:tcPr>
            <w:tcW w:w="955" w:type="dxa"/>
            <w:tcBorders>
              <w:top w:val="single" w:sz="2" w:space="0" w:color="auto"/>
              <w:left w:val="single" w:sz="2" w:space="0" w:color="auto"/>
              <w:bottom w:val="single" w:sz="2" w:space="0" w:color="auto"/>
              <w:right w:val="single" w:sz="2" w:space="0" w:color="auto"/>
            </w:tcBorders>
          </w:tcPr>
          <w:p w14:paraId="07737F79" w14:textId="77777777" w:rsidR="00B7106D" w:rsidRPr="00DE12A3" w:rsidRDefault="00B7106D" w:rsidP="00C917D6">
            <w:pPr>
              <w:pStyle w:val="NormalLeft"/>
            </w:pPr>
            <w:r w:rsidRPr="00DE12A3">
              <w:t>0,15</w:t>
            </w:r>
          </w:p>
        </w:tc>
      </w:tr>
    </w:tbl>
    <w:p w14:paraId="683B2DAD" w14:textId="3AB80976" w:rsidR="00B7106D" w:rsidRPr="00DE12A3" w:rsidRDefault="00B7106D" w:rsidP="00C917D6">
      <w:pPr>
        <w:spacing w:before="120" w:after="120"/>
        <w:ind w:left="1134"/>
        <w:jc w:val="both"/>
        <w:rPr>
          <w:rFonts w:cs="Times New Roman"/>
          <w:color w:val="auto"/>
          <w:sz w:val="16"/>
          <w:szCs w:val="16"/>
        </w:rPr>
      </w:pPr>
      <w:r w:rsidRPr="00DE12A3">
        <w:rPr>
          <w:rFonts w:cs="Times New Roman"/>
          <w:color w:val="auto"/>
          <w:sz w:val="16"/>
          <w:szCs w:val="16"/>
        </w:rPr>
        <w:t>(a)</w:t>
      </w:r>
      <w:r w:rsidRPr="00DE12A3">
        <w:rPr>
          <w:rFonts w:cs="Times New Roman"/>
          <w:color w:val="auto"/>
          <w:sz w:val="16"/>
          <w:szCs w:val="16"/>
        </w:rPr>
        <w:tab/>
        <w:t xml:space="preserve">Gereken test devirlerinin belirlenmesi için </w:t>
      </w:r>
      <w:r w:rsidR="00FA0678" w:rsidRPr="00DE12A3">
        <w:rPr>
          <w:rFonts w:cs="Times New Roman"/>
          <w:color w:val="auto"/>
          <w:sz w:val="16"/>
          <w:szCs w:val="16"/>
        </w:rPr>
        <w:t>VI’ncı ek</w:t>
      </w:r>
      <w:r w:rsidRPr="00DE12A3">
        <w:rPr>
          <w:rFonts w:cs="Times New Roman"/>
          <w:color w:val="auto"/>
          <w:sz w:val="16"/>
          <w:szCs w:val="16"/>
        </w:rPr>
        <w:t xml:space="preserve">in 5.2.5, 7.6 ve 7.7 </w:t>
      </w:r>
      <w:r w:rsidR="00BB33FF" w:rsidRPr="00DE12A3">
        <w:rPr>
          <w:rFonts w:cs="Times New Roman"/>
          <w:color w:val="auto"/>
          <w:sz w:val="16"/>
          <w:szCs w:val="16"/>
        </w:rPr>
        <w:t xml:space="preserve">bentlerine </w:t>
      </w:r>
      <w:r w:rsidRPr="00DE12A3">
        <w:rPr>
          <w:rFonts w:cs="Times New Roman"/>
          <w:color w:val="auto"/>
          <w:sz w:val="16"/>
          <w:szCs w:val="16"/>
        </w:rPr>
        <w:t>bakınız.</w:t>
      </w:r>
    </w:p>
    <w:p w14:paraId="41542E86" w14:textId="77777777" w:rsidR="00B7106D" w:rsidRPr="00DE12A3" w:rsidRDefault="00B7106D" w:rsidP="00C917D6">
      <w:pPr>
        <w:spacing w:before="120" w:after="120"/>
        <w:ind w:left="1134"/>
        <w:jc w:val="both"/>
        <w:rPr>
          <w:rFonts w:cs="Times New Roman"/>
          <w:color w:val="auto"/>
          <w:sz w:val="16"/>
          <w:szCs w:val="16"/>
        </w:rPr>
      </w:pPr>
      <w:r w:rsidRPr="00DE12A3">
        <w:rPr>
          <w:rFonts w:cs="Times New Roman"/>
          <w:color w:val="auto"/>
          <w:sz w:val="16"/>
          <w:szCs w:val="16"/>
        </w:rPr>
        <w:t>(b)</w:t>
      </w:r>
      <w:r w:rsidRPr="00DE12A3">
        <w:rPr>
          <w:rFonts w:cs="Times New Roman"/>
          <w:color w:val="auto"/>
          <w:sz w:val="16"/>
          <w:szCs w:val="16"/>
        </w:rPr>
        <w:tab/>
        <w:t>% tork, komut verilen motor devrindeki azami torka bağlıdır.</w:t>
      </w:r>
    </w:p>
    <w:p w14:paraId="55899B00" w14:textId="77777777" w:rsidR="00B7106D" w:rsidRPr="00DE12A3" w:rsidRDefault="00B7106D" w:rsidP="00C917D6">
      <w:pPr>
        <w:spacing w:before="120" w:after="120"/>
        <w:ind w:left="1134"/>
        <w:jc w:val="both"/>
        <w:rPr>
          <w:rFonts w:cs="Times New Roman"/>
          <w:color w:val="auto"/>
          <w:sz w:val="16"/>
          <w:szCs w:val="16"/>
        </w:rPr>
      </w:pPr>
    </w:p>
    <w:p w14:paraId="1B0C446A" w14:textId="77777777" w:rsidR="009F4766" w:rsidRPr="00DE12A3" w:rsidRDefault="00B7106D" w:rsidP="00441E80">
      <w:pPr>
        <w:spacing w:before="120" w:after="120"/>
        <w:jc w:val="center"/>
        <w:rPr>
          <w:rFonts w:cs="Times New Roman"/>
          <w:b/>
          <w:color w:val="auto"/>
        </w:rPr>
      </w:pPr>
      <w:r w:rsidRPr="00DE12A3">
        <w:rPr>
          <w:rFonts w:cs="Times New Roman"/>
          <w:b/>
          <w:color w:val="auto"/>
        </w:rPr>
        <w:t xml:space="preserve">Tip D test </w:t>
      </w:r>
      <w:r w:rsidR="00F310B5" w:rsidRPr="00DE12A3">
        <w:rPr>
          <w:rFonts w:cs="Times New Roman"/>
          <w:b/>
          <w:color w:val="auto"/>
        </w:rPr>
        <w:t>çevrim</w:t>
      </w:r>
      <w:r w:rsidRPr="00DE12A3">
        <w:rPr>
          <w:rFonts w:cs="Times New Roman"/>
          <w:b/>
          <w:color w:val="auto"/>
        </w:rPr>
        <w:t>leri</w:t>
      </w:r>
    </w:p>
    <w:tbl>
      <w:tblPr>
        <w:tblW w:w="0" w:type="auto"/>
        <w:tblInd w:w="1114" w:type="dxa"/>
        <w:tblLayout w:type="fixed"/>
        <w:tblLook w:val="0000" w:firstRow="0" w:lastRow="0" w:firstColumn="0" w:lastColumn="0" w:noHBand="0" w:noVBand="0"/>
      </w:tblPr>
      <w:tblGrid>
        <w:gridCol w:w="2682"/>
        <w:gridCol w:w="917"/>
        <w:gridCol w:w="847"/>
        <w:gridCol w:w="847"/>
        <w:gridCol w:w="917"/>
        <w:gridCol w:w="847"/>
      </w:tblGrid>
      <w:tr w:rsidR="00DE12A3" w:rsidRPr="00DE12A3" w14:paraId="3D289072" w14:textId="77777777" w:rsidTr="009F4766">
        <w:tc>
          <w:tcPr>
            <w:tcW w:w="7057" w:type="dxa"/>
            <w:gridSpan w:val="6"/>
            <w:tcBorders>
              <w:top w:val="single" w:sz="2" w:space="0" w:color="auto"/>
              <w:left w:val="single" w:sz="2" w:space="0" w:color="auto"/>
              <w:bottom w:val="single" w:sz="2" w:space="0" w:color="auto"/>
              <w:right w:val="single" w:sz="2" w:space="0" w:color="auto"/>
            </w:tcBorders>
          </w:tcPr>
          <w:p w14:paraId="40A96230" w14:textId="77777777" w:rsidR="009F4766" w:rsidRPr="00DE12A3" w:rsidRDefault="00B7106D" w:rsidP="00C917D6">
            <w:pPr>
              <w:pStyle w:val="NormalCentered"/>
            </w:pPr>
            <w:r w:rsidRPr="00DE12A3">
              <w:rPr>
                <w:iCs/>
              </w:rPr>
              <w:t xml:space="preserve">D2 </w:t>
            </w:r>
            <w:r w:rsidR="00A71EA8" w:rsidRPr="00DE12A3">
              <w:rPr>
                <w:iCs/>
              </w:rPr>
              <w:t>çevrimi test</w:t>
            </w:r>
            <w:r w:rsidRPr="00DE12A3">
              <w:rPr>
                <w:iCs/>
              </w:rPr>
              <w:t xml:space="preserve"> modları ve ağırlıklandırma faktörleri tablosu</w:t>
            </w:r>
          </w:p>
        </w:tc>
      </w:tr>
      <w:tr w:rsidR="00DE12A3" w:rsidRPr="00DE12A3" w14:paraId="68C0DC9B" w14:textId="77777777" w:rsidTr="009F4766">
        <w:tc>
          <w:tcPr>
            <w:tcW w:w="2682" w:type="dxa"/>
            <w:tcBorders>
              <w:top w:val="single" w:sz="2" w:space="0" w:color="auto"/>
              <w:left w:val="single" w:sz="2" w:space="0" w:color="auto"/>
              <w:bottom w:val="single" w:sz="2" w:space="0" w:color="auto"/>
              <w:right w:val="single" w:sz="2" w:space="0" w:color="auto"/>
            </w:tcBorders>
          </w:tcPr>
          <w:p w14:paraId="583A4A6B" w14:textId="77777777" w:rsidR="00B7106D" w:rsidRPr="00DE12A3" w:rsidRDefault="00B7106D" w:rsidP="00C917D6">
            <w:pPr>
              <w:spacing w:before="120" w:after="120"/>
              <w:rPr>
                <w:rFonts w:cs="Times New Roman"/>
                <w:color w:val="auto"/>
              </w:rPr>
            </w:pPr>
            <w:r w:rsidRPr="00DE12A3">
              <w:rPr>
                <w:rFonts w:cs="Times New Roman"/>
                <w:color w:val="auto"/>
              </w:rPr>
              <w:t>Mod numarası (</w:t>
            </w:r>
            <w:r w:rsidR="00F310B5" w:rsidRPr="00DE12A3">
              <w:rPr>
                <w:rFonts w:cs="Times New Roman"/>
                <w:color w:val="auto"/>
              </w:rPr>
              <w:t>çevrim</w:t>
            </w:r>
            <w:r w:rsidRPr="00DE12A3">
              <w:rPr>
                <w:rFonts w:cs="Times New Roman"/>
                <w:color w:val="auto"/>
              </w:rPr>
              <w:t xml:space="preserve"> D2)</w:t>
            </w:r>
          </w:p>
        </w:tc>
        <w:tc>
          <w:tcPr>
            <w:tcW w:w="917" w:type="dxa"/>
            <w:tcBorders>
              <w:top w:val="single" w:sz="2" w:space="0" w:color="auto"/>
              <w:left w:val="single" w:sz="2" w:space="0" w:color="auto"/>
              <w:bottom w:val="single" w:sz="2" w:space="0" w:color="auto"/>
              <w:right w:val="single" w:sz="2" w:space="0" w:color="auto"/>
            </w:tcBorders>
          </w:tcPr>
          <w:p w14:paraId="4F45BF04" w14:textId="77777777" w:rsidR="00B7106D" w:rsidRPr="00DE12A3" w:rsidRDefault="00B7106D" w:rsidP="00C917D6">
            <w:pPr>
              <w:pStyle w:val="NormalLeft"/>
            </w:pPr>
            <w:r w:rsidRPr="00DE12A3">
              <w:t>1</w:t>
            </w:r>
          </w:p>
        </w:tc>
        <w:tc>
          <w:tcPr>
            <w:tcW w:w="847" w:type="dxa"/>
            <w:tcBorders>
              <w:top w:val="single" w:sz="2" w:space="0" w:color="auto"/>
              <w:left w:val="single" w:sz="2" w:space="0" w:color="auto"/>
              <w:bottom w:val="single" w:sz="2" w:space="0" w:color="auto"/>
              <w:right w:val="single" w:sz="2" w:space="0" w:color="auto"/>
            </w:tcBorders>
          </w:tcPr>
          <w:p w14:paraId="41BDD59E" w14:textId="77777777" w:rsidR="00B7106D" w:rsidRPr="00DE12A3" w:rsidRDefault="00B7106D" w:rsidP="00C917D6">
            <w:pPr>
              <w:pStyle w:val="NormalLeft"/>
            </w:pPr>
            <w:r w:rsidRPr="00DE12A3">
              <w:t>2</w:t>
            </w:r>
          </w:p>
        </w:tc>
        <w:tc>
          <w:tcPr>
            <w:tcW w:w="847" w:type="dxa"/>
            <w:tcBorders>
              <w:top w:val="single" w:sz="2" w:space="0" w:color="auto"/>
              <w:left w:val="single" w:sz="2" w:space="0" w:color="auto"/>
              <w:bottom w:val="single" w:sz="2" w:space="0" w:color="auto"/>
              <w:right w:val="single" w:sz="2" w:space="0" w:color="auto"/>
            </w:tcBorders>
          </w:tcPr>
          <w:p w14:paraId="2AB8EE15" w14:textId="77777777" w:rsidR="00B7106D" w:rsidRPr="00DE12A3" w:rsidRDefault="00B7106D" w:rsidP="00C917D6">
            <w:pPr>
              <w:pStyle w:val="NormalLeft"/>
            </w:pPr>
            <w:r w:rsidRPr="00DE12A3">
              <w:t>3</w:t>
            </w:r>
          </w:p>
        </w:tc>
        <w:tc>
          <w:tcPr>
            <w:tcW w:w="917" w:type="dxa"/>
            <w:tcBorders>
              <w:top w:val="single" w:sz="2" w:space="0" w:color="auto"/>
              <w:left w:val="single" w:sz="2" w:space="0" w:color="auto"/>
              <w:bottom w:val="single" w:sz="2" w:space="0" w:color="auto"/>
              <w:right w:val="single" w:sz="2" w:space="0" w:color="auto"/>
            </w:tcBorders>
          </w:tcPr>
          <w:p w14:paraId="139273BF" w14:textId="77777777" w:rsidR="00B7106D" w:rsidRPr="00DE12A3" w:rsidRDefault="00B7106D" w:rsidP="00C917D6">
            <w:pPr>
              <w:pStyle w:val="NormalLeft"/>
            </w:pPr>
            <w:r w:rsidRPr="00DE12A3">
              <w:t>4</w:t>
            </w:r>
          </w:p>
        </w:tc>
        <w:tc>
          <w:tcPr>
            <w:tcW w:w="847" w:type="dxa"/>
            <w:tcBorders>
              <w:top w:val="single" w:sz="2" w:space="0" w:color="auto"/>
              <w:left w:val="single" w:sz="2" w:space="0" w:color="auto"/>
              <w:bottom w:val="single" w:sz="2" w:space="0" w:color="auto"/>
              <w:right w:val="single" w:sz="2" w:space="0" w:color="auto"/>
            </w:tcBorders>
          </w:tcPr>
          <w:p w14:paraId="746F313D" w14:textId="77777777" w:rsidR="00B7106D" w:rsidRPr="00DE12A3" w:rsidRDefault="00B7106D" w:rsidP="00C917D6">
            <w:pPr>
              <w:pStyle w:val="NormalLeft"/>
            </w:pPr>
            <w:r w:rsidRPr="00DE12A3">
              <w:t>5</w:t>
            </w:r>
          </w:p>
        </w:tc>
      </w:tr>
      <w:tr w:rsidR="00DE12A3" w:rsidRPr="00DE12A3" w14:paraId="3523A608" w14:textId="77777777" w:rsidTr="009F4766">
        <w:tc>
          <w:tcPr>
            <w:tcW w:w="2682" w:type="dxa"/>
            <w:tcBorders>
              <w:top w:val="single" w:sz="2" w:space="0" w:color="auto"/>
              <w:left w:val="single" w:sz="2" w:space="0" w:color="auto"/>
              <w:bottom w:val="single" w:sz="2" w:space="0" w:color="auto"/>
              <w:right w:val="single" w:sz="2" w:space="0" w:color="auto"/>
            </w:tcBorders>
          </w:tcPr>
          <w:p w14:paraId="49DC126E" w14:textId="77777777" w:rsidR="00B7106D" w:rsidRPr="00DE12A3" w:rsidRDefault="00B7106D" w:rsidP="00C917D6">
            <w:pPr>
              <w:spacing w:before="120" w:after="120"/>
              <w:rPr>
                <w:rFonts w:cs="Times New Roman"/>
                <w:color w:val="auto"/>
              </w:rPr>
            </w:pPr>
            <w:r w:rsidRPr="00DE12A3">
              <w:rPr>
                <w:rFonts w:cs="Times New Roman"/>
                <w:color w:val="auto"/>
              </w:rPr>
              <w:t xml:space="preserve">Devir </w:t>
            </w:r>
            <w:r w:rsidRPr="00DE12A3">
              <w:rPr>
                <w:rFonts w:cs="Times New Roman"/>
                <w:color w:val="auto"/>
                <w:vertAlign w:val="superscript"/>
              </w:rPr>
              <w:t>(a)</w:t>
            </w:r>
          </w:p>
        </w:tc>
        <w:tc>
          <w:tcPr>
            <w:tcW w:w="4375" w:type="dxa"/>
            <w:gridSpan w:val="5"/>
            <w:tcBorders>
              <w:top w:val="single" w:sz="2" w:space="0" w:color="auto"/>
              <w:left w:val="single" w:sz="2" w:space="0" w:color="auto"/>
              <w:bottom w:val="single" w:sz="2" w:space="0" w:color="auto"/>
              <w:right w:val="single" w:sz="2" w:space="0" w:color="auto"/>
            </w:tcBorders>
          </w:tcPr>
          <w:p w14:paraId="1ABBE3EC" w14:textId="33243CD8" w:rsidR="00B7106D" w:rsidRPr="00DE12A3" w:rsidRDefault="00BB33FF" w:rsidP="00C917D6">
            <w:pPr>
              <w:pStyle w:val="NormalLeft"/>
            </w:pPr>
            <w:r w:rsidRPr="00DE12A3">
              <w:t xml:space="preserve">                             </w:t>
            </w:r>
            <w:r w:rsidR="00B7106D" w:rsidRPr="00DE12A3">
              <w:t>100 %</w:t>
            </w:r>
          </w:p>
        </w:tc>
      </w:tr>
      <w:tr w:rsidR="00DE12A3" w:rsidRPr="00DE12A3" w14:paraId="2041DB3C" w14:textId="77777777" w:rsidTr="009F4766">
        <w:tc>
          <w:tcPr>
            <w:tcW w:w="2682" w:type="dxa"/>
            <w:tcBorders>
              <w:top w:val="single" w:sz="2" w:space="0" w:color="auto"/>
              <w:left w:val="single" w:sz="2" w:space="0" w:color="auto"/>
              <w:bottom w:val="single" w:sz="2" w:space="0" w:color="auto"/>
              <w:right w:val="single" w:sz="2" w:space="0" w:color="auto"/>
            </w:tcBorders>
          </w:tcPr>
          <w:p w14:paraId="33A55DD2" w14:textId="77777777" w:rsidR="00B7106D" w:rsidRPr="00DE12A3" w:rsidRDefault="00B7106D" w:rsidP="00C917D6">
            <w:pPr>
              <w:spacing w:before="120" w:after="120"/>
              <w:rPr>
                <w:rFonts w:cs="Times New Roman"/>
                <w:color w:val="auto"/>
              </w:rPr>
            </w:pPr>
            <w:r w:rsidRPr="00DE12A3">
              <w:rPr>
                <w:rFonts w:cs="Times New Roman"/>
                <w:color w:val="auto"/>
              </w:rPr>
              <w:t xml:space="preserve">Tork </w:t>
            </w:r>
            <w:r w:rsidRPr="00DE12A3">
              <w:rPr>
                <w:rFonts w:cs="Times New Roman"/>
                <w:color w:val="auto"/>
                <w:vertAlign w:val="superscript"/>
              </w:rPr>
              <w:t>(b)</w:t>
            </w:r>
            <w:r w:rsidRPr="00DE12A3">
              <w:rPr>
                <w:rFonts w:cs="Times New Roman"/>
                <w:color w:val="auto"/>
              </w:rPr>
              <w:t xml:space="preserve"> (%)</w:t>
            </w:r>
          </w:p>
        </w:tc>
        <w:tc>
          <w:tcPr>
            <w:tcW w:w="917" w:type="dxa"/>
            <w:tcBorders>
              <w:top w:val="single" w:sz="2" w:space="0" w:color="auto"/>
              <w:left w:val="single" w:sz="2" w:space="0" w:color="auto"/>
              <w:bottom w:val="single" w:sz="2" w:space="0" w:color="auto"/>
              <w:right w:val="single" w:sz="2" w:space="0" w:color="auto"/>
            </w:tcBorders>
          </w:tcPr>
          <w:p w14:paraId="6A0CFDC1" w14:textId="77777777" w:rsidR="00B7106D" w:rsidRPr="00DE12A3" w:rsidRDefault="00B7106D" w:rsidP="00C917D6">
            <w:pPr>
              <w:pStyle w:val="NormalLeft"/>
            </w:pPr>
            <w:r w:rsidRPr="00DE12A3">
              <w:t>100</w:t>
            </w:r>
          </w:p>
        </w:tc>
        <w:tc>
          <w:tcPr>
            <w:tcW w:w="847" w:type="dxa"/>
            <w:tcBorders>
              <w:top w:val="single" w:sz="2" w:space="0" w:color="auto"/>
              <w:left w:val="single" w:sz="2" w:space="0" w:color="auto"/>
              <w:bottom w:val="single" w:sz="2" w:space="0" w:color="auto"/>
              <w:right w:val="single" w:sz="2" w:space="0" w:color="auto"/>
            </w:tcBorders>
          </w:tcPr>
          <w:p w14:paraId="0F6FC55C" w14:textId="77777777" w:rsidR="00B7106D" w:rsidRPr="00DE12A3" w:rsidRDefault="00B7106D" w:rsidP="00C917D6">
            <w:pPr>
              <w:pStyle w:val="NormalLeft"/>
            </w:pPr>
            <w:r w:rsidRPr="00DE12A3">
              <w:t>75</w:t>
            </w:r>
          </w:p>
        </w:tc>
        <w:tc>
          <w:tcPr>
            <w:tcW w:w="847" w:type="dxa"/>
            <w:tcBorders>
              <w:top w:val="single" w:sz="2" w:space="0" w:color="auto"/>
              <w:left w:val="single" w:sz="2" w:space="0" w:color="auto"/>
              <w:bottom w:val="single" w:sz="2" w:space="0" w:color="auto"/>
              <w:right w:val="single" w:sz="2" w:space="0" w:color="auto"/>
            </w:tcBorders>
          </w:tcPr>
          <w:p w14:paraId="4DF311A5" w14:textId="77777777" w:rsidR="00B7106D" w:rsidRPr="00DE12A3" w:rsidRDefault="00B7106D" w:rsidP="00C917D6">
            <w:pPr>
              <w:pStyle w:val="NormalLeft"/>
            </w:pPr>
            <w:r w:rsidRPr="00DE12A3">
              <w:t>50</w:t>
            </w:r>
          </w:p>
        </w:tc>
        <w:tc>
          <w:tcPr>
            <w:tcW w:w="917" w:type="dxa"/>
            <w:tcBorders>
              <w:top w:val="single" w:sz="2" w:space="0" w:color="auto"/>
              <w:left w:val="single" w:sz="2" w:space="0" w:color="auto"/>
              <w:bottom w:val="single" w:sz="2" w:space="0" w:color="auto"/>
              <w:right w:val="single" w:sz="2" w:space="0" w:color="auto"/>
            </w:tcBorders>
          </w:tcPr>
          <w:p w14:paraId="00F8BBC4" w14:textId="77777777" w:rsidR="00B7106D" w:rsidRPr="00DE12A3" w:rsidRDefault="00B7106D" w:rsidP="00C917D6">
            <w:pPr>
              <w:pStyle w:val="NormalLeft"/>
            </w:pPr>
            <w:r w:rsidRPr="00DE12A3">
              <w:t>25</w:t>
            </w:r>
          </w:p>
        </w:tc>
        <w:tc>
          <w:tcPr>
            <w:tcW w:w="847" w:type="dxa"/>
            <w:tcBorders>
              <w:top w:val="single" w:sz="2" w:space="0" w:color="auto"/>
              <w:left w:val="single" w:sz="2" w:space="0" w:color="auto"/>
              <w:bottom w:val="single" w:sz="2" w:space="0" w:color="auto"/>
              <w:right w:val="single" w:sz="2" w:space="0" w:color="auto"/>
            </w:tcBorders>
          </w:tcPr>
          <w:p w14:paraId="6147F2FE" w14:textId="77777777" w:rsidR="00B7106D" w:rsidRPr="00DE12A3" w:rsidRDefault="00B7106D" w:rsidP="00C917D6">
            <w:pPr>
              <w:pStyle w:val="NormalLeft"/>
            </w:pPr>
            <w:r w:rsidRPr="00DE12A3">
              <w:t>10</w:t>
            </w:r>
          </w:p>
        </w:tc>
      </w:tr>
      <w:tr w:rsidR="00B7106D" w:rsidRPr="00DE12A3" w14:paraId="6D838A2F" w14:textId="77777777" w:rsidTr="009F4766">
        <w:tc>
          <w:tcPr>
            <w:tcW w:w="2682" w:type="dxa"/>
            <w:tcBorders>
              <w:top w:val="single" w:sz="2" w:space="0" w:color="auto"/>
              <w:left w:val="single" w:sz="2" w:space="0" w:color="auto"/>
              <w:bottom w:val="single" w:sz="2" w:space="0" w:color="auto"/>
              <w:right w:val="single" w:sz="2" w:space="0" w:color="auto"/>
            </w:tcBorders>
          </w:tcPr>
          <w:p w14:paraId="19844D63" w14:textId="77777777" w:rsidR="00B7106D" w:rsidRPr="00DE12A3" w:rsidRDefault="00B7106D" w:rsidP="00C917D6">
            <w:pPr>
              <w:spacing w:before="120" w:after="120"/>
              <w:rPr>
                <w:rFonts w:cs="Times New Roman"/>
                <w:color w:val="auto"/>
              </w:rPr>
            </w:pPr>
            <w:r w:rsidRPr="00DE12A3">
              <w:rPr>
                <w:rFonts w:cs="Times New Roman"/>
                <w:color w:val="auto"/>
              </w:rPr>
              <w:t>Ağırlıklandırma faktörü</w:t>
            </w:r>
          </w:p>
        </w:tc>
        <w:tc>
          <w:tcPr>
            <w:tcW w:w="917" w:type="dxa"/>
            <w:tcBorders>
              <w:top w:val="single" w:sz="2" w:space="0" w:color="auto"/>
              <w:left w:val="single" w:sz="2" w:space="0" w:color="auto"/>
              <w:bottom w:val="single" w:sz="2" w:space="0" w:color="auto"/>
              <w:right w:val="single" w:sz="2" w:space="0" w:color="auto"/>
            </w:tcBorders>
          </w:tcPr>
          <w:p w14:paraId="03999879" w14:textId="77777777" w:rsidR="00B7106D" w:rsidRPr="00DE12A3" w:rsidRDefault="00B7106D" w:rsidP="00C917D6">
            <w:pPr>
              <w:pStyle w:val="NormalLeft"/>
            </w:pPr>
            <w:r w:rsidRPr="00DE12A3">
              <w:t>0,05</w:t>
            </w:r>
          </w:p>
        </w:tc>
        <w:tc>
          <w:tcPr>
            <w:tcW w:w="847" w:type="dxa"/>
            <w:tcBorders>
              <w:top w:val="single" w:sz="2" w:space="0" w:color="auto"/>
              <w:left w:val="single" w:sz="2" w:space="0" w:color="auto"/>
              <w:bottom w:val="single" w:sz="2" w:space="0" w:color="auto"/>
              <w:right w:val="single" w:sz="2" w:space="0" w:color="auto"/>
            </w:tcBorders>
          </w:tcPr>
          <w:p w14:paraId="367B14B4" w14:textId="77777777" w:rsidR="00B7106D" w:rsidRPr="00DE12A3" w:rsidRDefault="00B7106D" w:rsidP="00C917D6">
            <w:pPr>
              <w:pStyle w:val="NormalLeft"/>
            </w:pPr>
            <w:r w:rsidRPr="00DE12A3">
              <w:t>0,25</w:t>
            </w:r>
          </w:p>
        </w:tc>
        <w:tc>
          <w:tcPr>
            <w:tcW w:w="847" w:type="dxa"/>
            <w:tcBorders>
              <w:top w:val="single" w:sz="2" w:space="0" w:color="auto"/>
              <w:left w:val="single" w:sz="2" w:space="0" w:color="auto"/>
              <w:bottom w:val="single" w:sz="2" w:space="0" w:color="auto"/>
              <w:right w:val="single" w:sz="2" w:space="0" w:color="auto"/>
            </w:tcBorders>
          </w:tcPr>
          <w:p w14:paraId="2AD60074" w14:textId="77777777" w:rsidR="00B7106D" w:rsidRPr="00DE12A3" w:rsidRDefault="00B7106D" w:rsidP="00C917D6">
            <w:pPr>
              <w:pStyle w:val="NormalLeft"/>
            </w:pPr>
            <w:r w:rsidRPr="00DE12A3">
              <w:t>0,3</w:t>
            </w:r>
          </w:p>
        </w:tc>
        <w:tc>
          <w:tcPr>
            <w:tcW w:w="917" w:type="dxa"/>
            <w:tcBorders>
              <w:top w:val="single" w:sz="2" w:space="0" w:color="auto"/>
              <w:left w:val="single" w:sz="2" w:space="0" w:color="auto"/>
              <w:bottom w:val="single" w:sz="2" w:space="0" w:color="auto"/>
              <w:right w:val="single" w:sz="2" w:space="0" w:color="auto"/>
            </w:tcBorders>
          </w:tcPr>
          <w:p w14:paraId="6EDC2B6B" w14:textId="77777777" w:rsidR="00B7106D" w:rsidRPr="00DE12A3" w:rsidRDefault="00B7106D" w:rsidP="00C917D6">
            <w:pPr>
              <w:pStyle w:val="NormalLeft"/>
            </w:pPr>
            <w:r w:rsidRPr="00DE12A3">
              <w:t>0,3</w:t>
            </w:r>
          </w:p>
        </w:tc>
        <w:tc>
          <w:tcPr>
            <w:tcW w:w="847" w:type="dxa"/>
            <w:tcBorders>
              <w:top w:val="single" w:sz="2" w:space="0" w:color="auto"/>
              <w:left w:val="single" w:sz="2" w:space="0" w:color="auto"/>
              <w:bottom w:val="single" w:sz="2" w:space="0" w:color="auto"/>
              <w:right w:val="single" w:sz="2" w:space="0" w:color="auto"/>
            </w:tcBorders>
          </w:tcPr>
          <w:p w14:paraId="0F7A9A71" w14:textId="77777777" w:rsidR="00B7106D" w:rsidRPr="00DE12A3" w:rsidRDefault="00B7106D" w:rsidP="00C917D6">
            <w:pPr>
              <w:pStyle w:val="NormalLeft"/>
            </w:pPr>
            <w:r w:rsidRPr="00DE12A3">
              <w:t>0,1</w:t>
            </w:r>
          </w:p>
        </w:tc>
      </w:tr>
    </w:tbl>
    <w:p w14:paraId="6A59228F" w14:textId="77777777" w:rsidR="009F4766" w:rsidRPr="00DE12A3" w:rsidRDefault="009F4766" w:rsidP="00C917D6">
      <w:pPr>
        <w:spacing w:before="120" w:after="120"/>
        <w:rPr>
          <w:rFonts w:cs="Times New Roman"/>
          <w:color w:val="auto"/>
        </w:rPr>
      </w:pPr>
    </w:p>
    <w:p w14:paraId="788FC0F5" w14:textId="2A1F8228" w:rsidR="005F4B71" w:rsidRPr="00DE12A3" w:rsidRDefault="005F4B71" w:rsidP="00C917D6">
      <w:pPr>
        <w:spacing w:before="120" w:after="120"/>
        <w:ind w:left="1134"/>
        <w:jc w:val="both"/>
        <w:rPr>
          <w:rFonts w:cs="Times New Roman"/>
          <w:color w:val="auto"/>
          <w:sz w:val="16"/>
          <w:szCs w:val="16"/>
        </w:rPr>
      </w:pPr>
      <w:r w:rsidRPr="00DE12A3">
        <w:rPr>
          <w:rFonts w:cs="Times New Roman"/>
          <w:color w:val="auto"/>
          <w:sz w:val="16"/>
          <w:szCs w:val="16"/>
        </w:rPr>
        <w:t>(a)</w:t>
      </w:r>
      <w:r w:rsidRPr="00DE12A3">
        <w:rPr>
          <w:rFonts w:cs="Times New Roman"/>
          <w:color w:val="auto"/>
          <w:sz w:val="16"/>
          <w:szCs w:val="16"/>
        </w:rPr>
        <w:tab/>
        <w:t xml:space="preserve">Gereken test devirlerinin belirlenmesi için </w:t>
      </w:r>
      <w:r w:rsidR="00FA0678" w:rsidRPr="00DE12A3">
        <w:rPr>
          <w:rFonts w:cs="Times New Roman"/>
          <w:color w:val="auto"/>
          <w:sz w:val="16"/>
          <w:szCs w:val="16"/>
        </w:rPr>
        <w:t>VI’ncı ek</w:t>
      </w:r>
      <w:r w:rsidRPr="00DE12A3">
        <w:rPr>
          <w:rFonts w:cs="Times New Roman"/>
          <w:color w:val="auto"/>
          <w:sz w:val="16"/>
          <w:szCs w:val="16"/>
        </w:rPr>
        <w:t xml:space="preserve">in 5.2.5, 7.6 ve 7.7 </w:t>
      </w:r>
      <w:r w:rsidR="00BB33FF" w:rsidRPr="00DE12A3">
        <w:rPr>
          <w:rFonts w:cs="Times New Roman"/>
          <w:color w:val="auto"/>
          <w:sz w:val="16"/>
          <w:szCs w:val="16"/>
        </w:rPr>
        <w:t xml:space="preserve">bentlerine </w:t>
      </w:r>
      <w:r w:rsidRPr="00DE12A3">
        <w:rPr>
          <w:rFonts w:cs="Times New Roman"/>
          <w:color w:val="auto"/>
          <w:sz w:val="16"/>
          <w:szCs w:val="16"/>
        </w:rPr>
        <w:t>bakınız.</w:t>
      </w:r>
    </w:p>
    <w:p w14:paraId="3DEA5E41" w14:textId="77777777" w:rsidR="005F4B71" w:rsidRPr="00DE12A3" w:rsidRDefault="005F4B71" w:rsidP="00C917D6">
      <w:pPr>
        <w:spacing w:before="120" w:after="120"/>
        <w:ind w:left="1134"/>
        <w:jc w:val="both"/>
        <w:rPr>
          <w:rFonts w:cs="Times New Roman"/>
          <w:color w:val="auto"/>
          <w:sz w:val="16"/>
          <w:szCs w:val="16"/>
        </w:rPr>
      </w:pPr>
      <w:r w:rsidRPr="00DE12A3">
        <w:rPr>
          <w:rFonts w:cs="Times New Roman"/>
          <w:color w:val="auto"/>
          <w:sz w:val="16"/>
          <w:szCs w:val="16"/>
        </w:rPr>
        <w:t>(b)</w:t>
      </w:r>
      <w:r w:rsidRPr="00DE12A3">
        <w:rPr>
          <w:rFonts w:cs="Times New Roman"/>
          <w:color w:val="auto"/>
          <w:sz w:val="16"/>
          <w:szCs w:val="16"/>
        </w:rPr>
        <w:tab/>
        <w:t>% tork, komut verilen motor devrindeki azami torka bağlıdır.</w:t>
      </w:r>
    </w:p>
    <w:p w14:paraId="632EC924" w14:textId="77777777" w:rsidR="005F4B71" w:rsidRPr="00DE12A3" w:rsidRDefault="005F4B71" w:rsidP="00441E80">
      <w:pPr>
        <w:pStyle w:val="Text2"/>
        <w:ind w:left="0"/>
      </w:pPr>
    </w:p>
    <w:p w14:paraId="14E748A4" w14:textId="77777777" w:rsidR="00B7106D" w:rsidRPr="00DE12A3" w:rsidRDefault="00B7106D" w:rsidP="00051047">
      <w:pPr>
        <w:jc w:val="center"/>
        <w:rPr>
          <w:b/>
          <w:color w:val="auto"/>
        </w:rPr>
      </w:pPr>
      <w:r w:rsidRPr="00DE12A3">
        <w:rPr>
          <w:b/>
          <w:color w:val="auto"/>
        </w:rPr>
        <w:t xml:space="preserve">Tip E test </w:t>
      </w:r>
      <w:r w:rsidR="00F310B5" w:rsidRPr="00DE12A3">
        <w:rPr>
          <w:b/>
          <w:color w:val="auto"/>
        </w:rPr>
        <w:t>çevrim</w:t>
      </w:r>
      <w:r w:rsidRPr="00DE12A3">
        <w:rPr>
          <w:b/>
          <w:color w:val="auto"/>
        </w:rPr>
        <w:t>leri</w:t>
      </w:r>
    </w:p>
    <w:tbl>
      <w:tblPr>
        <w:tblW w:w="0" w:type="auto"/>
        <w:tblInd w:w="139" w:type="dxa"/>
        <w:tblLayout w:type="fixed"/>
        <w:tblLook w:val="0000" w:firstRow="0" w:lastRow="0" w:firstColumn="0" w:lastColumn="0" w:noHBand="0" w:noVBand="0"/>
      </w:tblPr>
      <w:tblGrid>
        <w:gridCol w:w="2702"/>
        <w:gridCol w:w="721"/>
        <w:gridCol w:w="630"/>
        <w:gridCol w:w="721"/>
        <w:gridCol w:w="811"/>
        <w:gridCol w:w="360"/>
        <w:gridCol w:w="450"/>
        <w:gridCol w:w="451"/>
        <w:gridCol w:w="450"/>
        <w:gridCol w:w="450"/>
        <w:gridCol w:w="361"/>
        <w:gridCol w:w="450"/>
        <w:gridCol w:w="450"/>
      </w:tblGrid>
      <w:tr w:rsidR="00DE12A3" w:rsidRPr="00DE12A3" w14:paraId="63366E7F" w14:textId="77777777" w:rsidTr="009F4766">
        <w:tc>
          <w:tcPr>
            <w:tcW w:w="9007" w:type="dxa"/>
            <w:gridSpan w:val="13"/>
            <w:tcBorders>
              <w:top w:val="single" w:sz="2" w:space="0" w:color="auto"/>
              <w:left w:val="single" w:sz="2" w:space="0" w:color="auto"/>
              <w:bottom w:val="single" w:sz="2" w:space="0" w:color="auto"/>
              <w:right w:val="single" w:sz="2" w:space="0" w:color="auto"/>
            </w:tcBorders>
          </w:tcPr>
          <w:p w14:paraId="07DA77E6" w14:textId="77777777" w:rsidR="009F4766" w:rsidRPr="00DE12A3" w:rsidRDefault="005F4B71" w:rsidP="00C917D6">
            <w:pPr>
              <w:pStyle w:val="NormalCentered"/>
            </w:pPr>
            <w:r w:rsidRPr="00DE12A3">
              <w:rPr>
                <w:iCs/>
              </w:rPr>
              <w:lastRenderedPageBreak/>
              <w:t xml:space="preserve">Tip E </w:t>
            </w:r>
            <w:r w:rsidR="00F310B5" w:rsidRPr="00DE12A3">
              <w:rPr>
                <w:iCs/>
              </w:rPr>
              <w:t>çevrim</w:t>
            </w:r>
            <w:r w:rsidRPr="00DE12A3">
              <w:rPr>
                <w:iCs/>
              </w:rPr>
              <w:t xml:space="preserve"> test modları ve ağırlıklandırma faktörleri tablosu</w:t>
            </w:r>
          </w:p>
        </w:tc>
      </w:tr>
      <w:tr w:rsidR="00DE12A3" w:rsidRPr="00DE12A3" w14:paraId="6A48C435" w14:textId="77777777" w:rsidTr="009F4766">
        <w:tc>
          <w:tcPr>
            <w:tcW w:w="2702" w:type="dxa"/>
            <w:tcBorders>
              <w:top w:val="single" w:sz="2" w:space="0" w:color="auto"/>
              <w:left w:val="single" w:sz="2" w:space="0" w:color="auto"/>
              <w:bottom w:val="single" w:sz="2" w:space="0" w:color="auto"/>
              <w:right w:val="single" w:sz="2" w:space="0" w:color="auto"/>
            </w:tcBorders>
          </w:tcPr>
          <w:p w14:paraId="3A39E3F7" w14:textId="77777777" w:rsidR="005F4B71" w:rsidRPr="00DE12A3" w:rsidRDefault="005F4B71" w:rsidP="00C917D6">
            <w:pPr>
              <w:spacing w:before="120" w:after="120"/>
              <w:rPr>
                <w:rFonts w:cs="Times New Roman"/>
                <w:color w:val="auto"/>
              </w:rPr>
            </w:pPr>
            <w:r w:rsidRPr="00DE12A3">
              <w:rPr>
                <w:rFonts w:cs="Times New Roman"/>
                <w:color w:val="auto"/>
              </w:rPr>
              <w:t>Mod numarası (</w:t>
            </w:r>
            <w:r w:rsidR="00F310B5" w:rsidRPr="00DE12A3">
              <w:rPr>
                <w:rFonts w:cs="Times New Roman"/>
                <w:color w:val="auto"/>
              </w:rPr>
              <w:t>çevrim</w:t>
            </w:r>
            <w:r w:rsidRPr="00DE12A3">
              <w:rPr>
                <w:rFonts w:cs="Times New Roman"/>
                <w:color w:val="auto"/>
              </w:rPr>
              <w:t xml:space="preserve"> E2)</w:t>
            </w:r>
          </w:p>
        </w:tc>
        <w:tc>
          <w:tcPr>
            <w:tcW w:w="721" w:type="dxa"/>
            <w:tcBorders>
              <w:top w:val="single" w:sz="2" w:space="0" w:color="auto"/>
              <w:left w:val="single" w:sz="2" w:space="0" w:color="auto"/>
              <w:bottom w:val="single" w:sz="2" w:space="0" w:color="auto"/>
              <w:right w:val="single" w:sz="2" w:space="0" w:color="auto"/>
            </w:tcBorders>
          </w:tcPr>
          <w:p w14:paraId="59EB4ECC" w14:textId="77777777" w:rsidR="005F4B71" w:rsidRPr="00DE12A3" w:rsidRDefault="005F4B71" w:rsidP="00C917D6">
            <w:pPr>
              <w:pStyle w:val="NormalLeft"/>
            </w:pPr>
            <w:r w:rsidRPr="00DE12A3">
              <w:t>1</w:t>
            </w:r>
          </w:p>
        </w:tc>
        <w:tc>
          <w:tcPr>
            <w:tcW w:w="630" w:type="dxa"/>
            <w:tcBorders>
              <w:top w:val="single" w:sz="2" w:space="0" w:color="auto"/>
              <w:left w:val="single" w:sz="2" w:space="0" w:color="auto"/>
              <w:bottom w:val="single" w:sz="2" w:space="0" w:color="auto"/>
              <w:right w:val="single" w:sz="2" w:space="0" w:color="auto"/>
            </w:tcBorders>
          </w:tcPr>
          <w:p w14:paraId="333AE0AC" w14:textId="77777777" w:rsidR="005F4B71" w:rsidRPr="00DE12A3" w:rsidRDefault="005F4B71" w:rsidP="00C917D6">
            <w:pPr>
              <w:pStyle w:val="NormalLeft"/>
            </w:pPr>
            <w:r w:rsidRPr="00DE12A3">
              <w:t>2</w:t>
            </w:r>
          </w:p>
        </w:tc>
        <w:tc>
          <w:tcPr>
            <w:tcW w:w="721" w:type="dxa"/>
            <w:tcBorders>
              <w:top w:val="single" w:sz="2" w:space="0" w:color="auto"/>
              <w:left w:val="single" w:sz="2" w:space="0" w:color="auto"/>
              <w:bottom w:val="single" w:sz="2" w:space="0" w:color="auto"/>
              <w:right w:val="single" w:sz="2" w:space="0" w:color="auto"/>
            </w:tcBorders>
          </w:tcPr>
          <w:p w14:paraId="74C9E3EC" w14:textId="77777777" w:rsidR="005F4B71" w:rsidRPr="00DE12A3" w:rsidRDefault="005F4B71" w:rsidP="00C917D6">
            <w:pPr>
              <w:pStyle w:val="NormalLeft"/>
            </w:pPr>
            <w:r w:rsidRPr="00DE12A3">
              <w:t>3</w:t>
            </w:r>
          </w:p>
        </w:tc>
        <w:tc>
          <w:tcPr>
            <w:tcW w:w="811" w:type="dxa"/>
            <w:tcBorders>
              <w:top w:val="single" w:sz="2" w:space="0" w:color="auto"/>
              <w:left w:val="single" w:sz="2" w:space="0" w:color="auto"/>
              <w:bottom w:val="single" w:sz="2" w:space="0" w:color="auto"/>
              <w:right w:val="single" w:sz="2" w:space="0" w:color="auto"/>
            </w:tcBorders>
          </w:tcPr>
          <w:p w14:paraId="0039D2D8" w14:textId="77777777" w:rsidR="005F4B71" w:rsidRPr="00DE12A3" w:rsidRDefault="005F4B71" w:rsidP="00C917D6">
            <w:pPr>
              <w:pStyle w:val="NormalLeft"/>
            </w:pPr>
            <w:r w:rsidRPr="00DE12A3">
              <w:t>4</w:t>
            </w:r>
          </w:p>
        </w:tc>
        <w:tc>
          <w:tcPr>
            <w:tcW w:w="360" w:type="dxa"/>
            <w:tcBorders>
              <w:top w:val="single" w:sz="2" w:space="0" w:color="auto"/>
              <w:left w:val="single" w:sz="2" w:space="0" w:color="auto"/>
              <w:bottom w:val="single" w:sz="2" w:space="0" w:color="auto"/>
              <w:right w:val="single" w:sz="2" w:space="0" w:color="auto"/>
            </w:tcBorders>
          </w:tcPr>
          <w:p w14:paraId="455A508E" w14:textId="77777777" w:rsidR="005F4B71" w:rsidRPr="00DE12A3" w:rsidRDefault="005F4B71" w:rsidP="00C917D6">
            <w:pPr>
              <w:pStyle w:val="NormalLeft"/>
            </w:pPr>
          </w:p>
        </w:tc>
        <w:tc>
          <w:tcPr>
            <w:tcW w:w="450" w:type="dxa"/>
            <w:tcBorders>
              <w:top w:val="single" w:sz="2" w:space="0" w:color="auto"/>
              <w:left w:val="single" w:sz="2" w:space="0" w:color="auto"/>
              <w:bottom w:val="single" w:sz="2" w:space="0" w:color="auto"/>
              <w:right w:val="single" w:sz="2" w:space="0" w:color="auto"/>
            </w:tcBorders>
          </w:tcPr>
          <w:p w14:paraId="34D1383F" w14:textId="77777777" w:rsidR="005F4B71" w:rsidRPr="00DE12A3" w:rsidRDefault="005F4B71" w:rsidP="00C917D6">
            <w:pPr>
              <w:pStyle w:val="NormalLeft"/>
            </w:pPr>
          </w:p>
        </w:tc>
        <w:tc>
          <w:tcPr>
            <w:tcW w:w="451" w:type="dxa"/>
            <w:tcBorders>
              <w:top w:val="single" w:sz="2" w:space="0" w:color="auto"/>
              <w:left w:val="single" w:sz="2" w:space="0" w:color="auto"/>
              <w:bottom w:val="single" w:sz="2" w:space="0" w:color="auto"/>
              <w:right w:val="single" w:sz="2" w:space="0" w:color="auto"/>
            </w:tcBorders>
          </w:tcPr>
          <w:p w14:paraId="596796E3" w14:textId="77777777" w:rsidR="005F4B71" w:rsidRPr="00DE12A3" w:rsidRDefault="005F4B71" w:rsidP="00C917D6">
            <w:pPr>
              <w:pStyle w:val="NormalLeft"/>
            </w:pPr>
          </w:p>
        </w:tc>
        <w:tc>
          <w:tcPr>
            <w:tcW w:w="450" w:type="dxa"/>
            <w:tcBorders>
              <w:top w:val="single" w:sz="2" w:space="0" w:color="auto"/>
              <w:left w:val="single" w:sz="2" w:space="0" w:color="auto"/>
              <w:bottom w:val="single" w:sz="2" w:space="0" w:color="auto"/>
              <w:right w:val="single" w:sz="2" w:space="0" w:color="auto"/>
            </w:tcBorders>
          </w:tcPr>
          <w:p w14:paraId="76145FAC" w14:textId="77777777" w:rsidR="005F4B71" w:rsidRPr="00DE12A3" w:rsidRDefault="005F4B71" w:rsidP="00C917D6">
            <w:pPr>
              <w:pStyle w:val="NormalLeft"/>
            </w:pPr>
          </w:p>
        </w:tc>
        <w:tc>
          <w:tcPr>
            <w:tcW w:w="450" w:type="dxa"/>
            <w:tcBorders>
              <w:top w:val="single" w:sz="2" w:space="0" w:color="auto"/>
              <w:left w:val="single" w:sz="2" w:space="0" w:color="auto"/>
              <w:bottom w:val="single" w:sz="2" w:space="0" w:color="auto"/>
              <w:right w:val="single" w:sz="2" w:space="0" w:color="auto"/>
            </w:tcBorders>
          </w:tcPr>
          <w:p w14:paraId="06A74831" w14:textId="77777777" w:rsidR="005F4B71" w:rsidRPr="00DE12A3" w:rsidRDefault="005F4B71" w:rsidP="00C917D6">
            <w:pPr>
              <w:pStyle w:val="NormalLeft"/>
            </w:pPr>
          </w:p>
        </w:tc>
        <w:tc>
          <w:tcPr>
            <w:tcW w:w="361" w:type="dxa"/>
            <w:tcBorders>
              <w:top w:val="single" w:sz="2" w:space="0" w:color="auto"/>
              <w:left w:val="single" w:sz="2" w:space="0" w:color="auto"/>
              <w:bottom w:val="single" w:sz="2" w:space="0" w:color="auto"/>
              <w:right w:val="single" w:sz="2" w:space="0" w:color="auto"/>
            </w:tcBorders>
          </w:tcPr>
          <w:p w14:paraId="5A893945" w14:textId="77777777" w:rsidR="005F4B71" w:rsidRPr="00DE12A3" w:rsidRDefault="005F4B71" w:rsidP="00C917D6">
            <w:pPr>
              <w:pStyle w:val="NormalLeft"/>
            </w:pPr>
          </w:p>
        </w:tc>
        <w:tc>
          <w:tcPr>
            <w:tcW w:w="450" w:type="dxa"/>
            <w:tcBorders>
              <w:top w:val="single" w:sz="2" w:space="0" w:color="auto"/>
              <w:left w:val="single" w:sz="2" w:space="0" w:color="auto"/>
              <w:bottom w:val="single" w:sz="2" w:space="0" w:color="auto"/>
              <w:right w:val="single" w:sz="2" w:space="0" w:color="auto"/>
            </w:tcBorders>
          </w:tcPr>
          <w:p w14:paraId="5D66F21E" w14:textId="77777777" w:rsidR="005F4B71" w:rsidRPr="00DE12A3" w:rsidRDefault="005F4B71" w:rsidP="00C917D6">
            <w:pPr>
              <w:pStyle w:val="NormalLeft"/>
            </w:pPr>
          </w:p>
        </w:tc>
        <w:tc>
          <w:tcPr>
            <w:tcW w:w="450" w:type="dxa"/>
            <w:tcBorders>
              <w:top w:val="single" w:sz="2" w:space="0" w:color="auto"/>
              <w:left w:val="single" w:sz="2" w:space="0" w:color="auto"/>
              <w:bottom w:val="single" w:sz="2" w:space="0" w:color="auto"/>
              <w:right w:val="single" w:sz="2" w:space="0" w:color="auto"/>
            </w:tcBorders>
          </w:tcPr>
          <w:p w14:paraId="516351DF" w14:textId="77777777" w:rsidR="005F4B71" w:rsidRPr="00DE12A3" w:rsidRDefault="005F4B71" w:rsidP="00C917D6">
            <w:pPr>
              <w:pStyle w:val="NormalLeft"/>
            </w:pPr>
          </w:p>
        </w:tc>
      </w:tr>
      <w:tr w:rsidR="00DE12A3" w:rsidRPr="00DE12A3" w14:paraId="156A5528" w14:textId="77777777" w:rsidTr="009F4766">
        <w:tc>
          <w:tcPr>
            <w:tcW w:w="2702" w:type="dxa"/>
            <w:tcBorders>
              <w:top w:val="single" w:sz="2" w:space="0" w:color="auto"/>
              <w:left w:val="single" w:sz="2" w:space="0" w:color="auto"/>
              <w:bottom w:val="single" w:sz="2" w:space="0" w:color="auto"/>
              <w:right w:val="single" w:sz="2" w:space="0" w:color="auto"/>
            </w:tcBorders>
          </w:tcPr>
          <w:p w14:paraId="049C0A30" w14:textId="77777777" w:rsidR="005F4B71" w:rsidRPr="00DE12A3" w:rsidRDefault="005F4B71" w:rsidP="00C917D6">
            <w:pPr>
              <w:spacing w:before="120" w:after="120"/>
              <w:rPr>
                <w:rFonts w:cs="Times New Roman"/>
                <w:color w:val="auto"/>
              </w:rPr>
            </w:pPr>
            <w:r w:rsidRPr="00DE12A3">
              <w:rPr>
                <w:rFonts w:cs="Times New Roman"/>
                <w:color w:val="auto"/>
              </w:rPr>
              <w:t xml:space="preserve">Devir </w:t>
            </w:r>
            <w:r w:rsidRPr="00DE12A3">
              <w:rPr>
                <w:rFonts w:cs="Times New Roman"/>
                <w:color w:val="auto"/>
                <w:vertAlign w:val="superscript"/>
              </w:rPr>
              <w:t>(a)</w:t>
            </w:r>
          </w:p>
        </w:tc>
        <w:tc>
          <w:tcPr>
            <w:tcW w:w="3243" w:type="dxa"/>
            <w:gridSpan w:val="5"/>
            <w:tcBorders>
              <w:top w:val="single" w:sz="2" w:space="0" w:color="auto"/>
              <w:left w:val="single" w:sz="2" w:space="0" w:color="auto"/>
              <w:bottom w:val="single" w:sz="2" w:space="0" w:color="auto"/>
              <w:right w:val="single" w:sz="2" w:space="0" w:color="auto"/>
            </w:tcBorders>
          </w:tcPr>
          <w:p w14:paraId="713F7A3F" w14:textId="77777777" w:rsidR="005F4B71" w:rsidRPr="00DE12A3" w:rsidRDefault="005F4B71" w:rsidP="00C917D6">
            <w:pPr>
              <w:pStyle w:val="NormalLeft"/>
            </w:pPr>
            <w:r w:rsidRPr="00DE12A3">
              <w:t>100 %</w:t>
            </w:r>
          </w:p>
        </w:tc>
        <w:tc>
          <w:tcPr>
            <w:tcW w:w="3062" w:type="dxa"/>
            <w:gridSpan w:val="7"/>
            <w:tcBorders>
              <w:top w:val="single" w:sz="2" w:space="0" w:color="auto"/>
              <w:left w:val="single" w:sz="2" w:space="0" w:color="auto"/>
              <w:bottom w:val="single" w:sz="2" w:space="0" w:color="auto"/>
              <w:right w:val="single" w:sz="2" w:space="0" w:color="auto"/>
            </w:tcBorders>
          </w:tcPr>
          <w:p w14:paraId="2B41C68A" w14:textId="77777777" w:rsidR="005F4B71" w:rsidRPr="00DE12A3" w:rsidRDefault="005F4B71" w:rsidP="00C917D6">
            <w:pPr>
              <w:pStyle w:val="NormalLeft"/>
            </w:pPr>
            <w:r w:rsidRPr="00DE12A3">
              <w:t>Orta</w:t>
            </w:r>
          </w:p>
        </w:tc>
      </w:tr>
      <w:tr w:rsidR="00DE12A3" w:rsidRPr="00DE12A3" w14:paraId="40827092" w14:textId="77777777" w:rsidTr="009F4766">
        <w:tc>
          <w:tcPr>
            <w:tcW w:w="2702" w:type="dxa"/>
            <w:tcBorders>
              <w:top w:val="single" w:sz="2" w:space="0" w:color="auto"/>
              <w:left w:val="single" w:sz="2" w:space="0" w:color="auto"/>
              <w:bottom w:val="single" w:sz="2" w:space="0" w:color="auto"/>
              <w:right w:val="single" w:sz="2" w:space="0" w:color="auto"/>
            </w:tcBorders>
          </w:tcPr>
          <w:p w14:paraId="2B519BC6" w14:textId="77777777" w:rsidR="005F4B71" w:rsidRPr="00DE12A3" w:rsidRDefault="005F4B71" w:rsidP="00C917D6">
            <w:pPr>
              <w:spacing w:before="120" w:after="120"/>
              <w:rPr>
                <w:rFonts w:cs="Times New Roman"/>
                <w:color w:val="auto"/>
              </w:rPr>
            </w:pPr>
            <w:r w:rsidRPr="00DE12A3">
              <w:rPr>
                <w:rFonts w:cs="Times New Roman"/>
                <w:color w:val="auto"/>
              </w:rPr>
              <w:t xml:space="preserve">Tork </w:t>
            </w:r>
            <w:r w:rsidRPr="00DE12A3">
              <w:rPr>
                <w:rFonts w:cs="Times New Roman"/>
                <w:color w:val="auto"/>
                <w:vertAlign w:val="superscript"/>
              </w:rPr>
              <w:t>(b)</w:t>
            </w:r>
            <w:r w:rsidRPr="00DE12A3">
              <w:rPr>
                <w:rFonts w:cs="Times New Roman"/>
                <w:color w:val="auto"/>
              </w:rPr>
              <w:t>(%)</w:t>
            </w:r>
          </w:p>
        </w:tc>
        <w:tc>
          <w:tcPr>
            <w:tcW w:w="721" w:type="dxa"/>
            <w:tcBorders>
              <w:top w:val="single" w:sz="2" w:space="0" w:color="auto"/>
              <w:left w:val="single" w:sz="2" w:space="0" w:color="auto"/>
              <w:bottom w:val="single" w:sz="2" w:space="0" w:color="auto"/>
              <w:right w:val="single" w:sz="2" w:space="0" w:color="auto"/>
            </w:tcBorders>
          </w:tcPr>
          <w:p w14:paraId="74D1D644" w14:textId="77777777" w:rsidR="005F4B71" w:rsidRPr="00DE12A3" w:rsidRDefault="005F4B71" w:rsidP="00C917D6">
            <w:pPr>
              <w:pStyle w:val="NormalLeft"/>
            </w:pPr>
            <w:r w:rsidRPr="00DE12A3">
              <w:t>100</w:t>
            </w:r>
          </w:p>
        </w:tc>
        <w:tc>
          <w:tcPr>
            <w:tcW w:w="630" w:type="dxa"/>
            <w:tcBorders>
              <w:top w:val="single" w:sz="2" w:space="0" w:color="auto"/>
              <w:left w:val="single" w:sz="2" w:space="0" w:color="auto"/>
              <w:bottom w:val="single" w:sz="2" w:space="0" w:color="auto"/>
              <w:right w:val="single" w:sz="2" w:space="0" w:color="auto"/>
            </w:tcBorders>
          </w:tcPr>
          <w:p w14:paraId="3115D8A7" w14:textId="77777777" w:rsidR="005F4B71" w:rsidRPr="00DE12A3" w:rsidRDefault="005F4B71" w:rsidP="00C917D6">
            <w:pPr>
              <w:pStyle w:val="NormalLeft"/>
            </w:pPr>
            <w:r w:rsidRPr="00DE12A3">
              <w:t>75</w:t>
            </w:r>
          </w:p>
        </w:tc>
        <w:tc>
          <w:tcPr>
            <w:tcW w:w="721" w:type="dxa"/>
            <w:tcBorders>
              <w:top w:val="single" w:sz="2" w:space="0" w:color="auto"/>
              <w:left w:val="single" w:sz="2" w:space="0" w:color="auto"/>
              <w:bottom w:val="single" w:sz="2" w:space="0" w:color="auto"/>
              <w:right w:val="single" w:sz="2" w:space="0" w:color="auto"/>
            </w:tcBorders>
          </w:tcPr>
          <w:p w14:paraId="2E255284" w14:textId="77777777" w:rsidR="005F4B71" w:rsidRPr="00DE12A3" w:rsidRDefault="005F4B71" w:rsidP="00C917D6">
            <w:pPr>
              <w:pStyle w:val="NormalLeft"/>
            </w:pPr>
            <w:r w:rsidRPr="00DE12A3">
              <w:t>50</w:t>
            </w:r>
          </w:p>
        </w:tc>
        <w:tc>
          <w:tcPr>
            <w:tcW w:w="811" w:type="dxa"/>
            <w:tcBorders>
              <w:top w:val="single" w:sz="2" w:space="0" w:color="auto"/>
              <w:left w:val="single" w:sz="2" w:space="0" w:color="auto"/>
              <w:bottom w:val="single" w:sz="2" w:space="0" w:color="auto"/>
              <w:right w:val="single" w:sz="2" w:space="0" w:color="auto"/>
            </w:tcBorders>
          </w:tcPr>
          <w:p w14:paraId="68DB4F3E" w14:textId="77777777" w:rsidR="005F4B71" w:rsidRPr="00DE12A3" w:rsidRDefault="005F4B71" w:rsidP="00C917D6">
            <w:pPr>
              <w:pStyle w:val="NormalLeft"/>
            </w:pPr>
            <w:r w:rsidRPr="00DE12A3">
              <w:t>25</w:t>
            </w:r>
          </w:p>
        </w:tc>
        <w:tc>
          <w:tcPr>
            <w:tcW w:w="360" w:type="dxa"/>
            <w:tcBorders>
              <w:top w:val="single" w:sz="2" w:space="0" w:color="auto"/>
              <w:left w:val="single" w:sz="2" w:space="0" w:color="auto"/>
              <w:bottom w:val="single" w:sz="2" w:space="0" w:color="auto"/>
              <w:right w:val="single" w:sz="2" w:space="0" w:color="auto"/>
            </w:tcBorders>
          </w:tcPr>
          <w:p w14:paraId="407BEDB1" w14:textId="77777777" w:rsidR="005F4B71" w:rsidRPr="00DE12A3" w:rsidRDefault="005F4B71" w:rsidP="00C917D6">
            <w:pPr>
              <w:pStyle w:val="NormalLeft"/>
            </w:pPr>
          </w:p>
        </w:tc>
        <w:tc>
          <w:tcPr>
            <w:tcW w:w="450" w:type="dxa"/>
            <w:tcBorders>
              <w:top w:val="single" w:sz="2" w:space="0" w:color="auto"/>
              <w:left w:val="single" w:sz="2" w:space="0" w:color="auto"/>
              <w:bottom w:val="single" w:sz="2" w:space="0" w:color="auto"/>
              <w:right w:val="single" w:sz="2" w:space="0" w:color="auto"/>
            </w:tcBorders>
          </w:tcPr>
          <w:p w14:paraId="6D5A75EA" w14:textId="77777777" w:rsidR="005F4B71" w:rsidRPr="00DE12A3" w:rsidRDefault="005F4B71" w:rsidP="00C917D6">
            <w:pPr>
              <w:pStyle w:val="NormalLeft"/>
            </w:pPr>
          </w:p>
        </w:tc>
        <w:tc>
          <w:tcPr>
            <w:tcW w:w="451" w:type="dxa"/>
            <w:tcBorders>
              <w:top w:val="single" w:sz="2" w:space="0" w:color="auto"/>
              <w:left w:val="single" w:sz="2" w:space="0" w:color="auto"/>
              <w:bottom w:val="single" w:sz="2" w:space="0" w:color="auto"/>
              <w:right w:val="single" w:sz="2" w:space="0" w:color="auto"/>
            </w:tcBorders>
          </w:tcPr>
          <w:p w14:paraId="426A9150" w14:textId="77777777" w:rsidR="005F4B71" w:rsidRPr="00DE12A3" w:rsidRDefault="005F4B71" w:rsidP="00C917D6">
            <w:pPr>
              <w:pStyle w:val="NormalLeft"/>
            </w:pPr>
          </w:p>
        </w:tc>
        <w:tc>
          <w:tcPr>
            <w:tcW w:w="450" w:type="dxa"/>
            <w:tcBorders>
              <w:top w:val="single" w:sz="2" w:space="0" w:color="auto"/>
              <w:left w:val="single" w:sz="2" w:space="0" w:color="auto"/>
              <w:bottom w:val="single" w:sz="2" w:space="0" w:color="auto"/>
              <w:right w:val="single" w:sz="2" w:space="0" w:color="auto"/>
            </w:tcBorders>
          </w:tcPr>
          <w:p w14:paraId="0D5574EB" w14:textId="77777777" w:rsidR="005F4B71" w:rsidRPr="00DE12A3" w:rsidRDefault="005F4B71" w:rsidP="00C917D6">
            <w:pPr>
              <w:pStyle w:val="NormalLeft"/>
            </w:pPr>
          </w:p>
        </w:tc>
        <w:tc>
          <w:tcPr>
            <w:tcW w:w="450" w:type="dxa"/>
            <w:tcBorders>
              <w:top w:val="single" w:sz="2" w:space="0" w:color="auto"/>
              <w:left w:val="single" w:sz="2" w:space="0" w:color="auto"/>
              <w:bottom w:val="single" w:sz="2" w:space="0" w:color="auto"/>
              <w:right w:val="single" w:sz="2" w:space="0" w:color="auto"/>
            </w:tcBorders>
          </w:tcPr>
          <w:p w14:paraId="22732075" w14:textId="77777777" w:rsidR="005F4B71" w:rsidRPr="00DE12A3" w:rsidRDefault="005F4B71" w:rsidP="00C917D6">
            <w:pPr>
              <w:pStyle w:val="NormalLeft"/>
            </w:pPr>
          </w:p>
        </w:tc>
        <w:tc>
          <w:tcPr>
            <w:tcW w:w="361" w:type="dxa"/>
            <w:tcBorders>
              <w:top w:val="single" w:sz="2" w:space="0" w:color="auto"/>
              <w:left w:val="single" w:sz="2" w:space="0" w:color="auto"/>
              <w:bottom w:val="single" w:sz="2" w:space="0" w:color="auto"/>
              <w:right w:val="single" w:sz="2" w:space="0" w:color="auto"/>
            </w:tcBorders>
          </w:tcPr>
          <w:p w14:paraId="35B0EE1D" w14:textId="77777777" w:rsidR="005F4B71" w:rsidRPr="00DE12A3" w:rsidRDefault="005F4B71" w:rsidP="00C917D6">
            <w:pPr>
              <w:pStyle w:val="NormalLeft"/>
            </w:pPr>
          </w:p>
        </w:tc>
        <w:tc>
          <w:tcPr>
            <w:tcW w:w="450" w:type="dxa"/>
            <w:tcBorders>
              <w:top w:val="single" w:sz="2" w:space="0" w:color="auto"/>
              <w:left w:val="single" w:sz="2" w:space="0" w:color="auto"/>
              <w:bottom w:val="single" w:sz="2" w:space="0" w:color="auto"/>
              <w:right w:val="single" w:sz="2" w:space="0" w:color="auto"/>
            </w:tcBorders>
          </w:tcPr>
          <w:p w14:paraId="5FAB9E8F" w14:textId="77777777" w:rsidR="005F4B71" w:rsidRPr="00DE12A3" w:rsidRDefault="005F4B71" w:rsidP="00C917D6">
            <w:pPr>
              <w:pStyle w:val="NormalLeft"/>
            </w:pPr>
          </w:p>
        </w:tc>
        <w:tc>
          <w:tcPr>
            <w:tcW w:w="450" w:type="dxa"/>
            <w:tcBorders>
              <w:top w:val="single" w:sz="2" w:space="0" w:color="auto"/>
              <w:left w:val="single" w:sz="2" w:space="0" w:color="auto"/>
              <w:bottom w:val="single" w:sz="2" w:space="0" w:color="auto"/>
              <w:right w:val="single" w:sz="2" w:space="0" w:color="auto"/>
            </w:tcBorders>
          </w:tcPr>
          <w:p w14:paraId="55EEAD7D" w14:textId="77777777" w:rsidR="005F4B71" w:rsidRPr="00DE12A3" w:rsidRDefault="005F4B71" w:rsidP="00C917D6">
            <w:pPr>
              <w:pStyle w:val="NormalLeft"/>
            </w:pPr>
          </w:p>
        </w:tc>
      </w:tr>
      <w:tr w:rsidR="00DE12A3" w:rsidRPr="00DE12A3" w14:paraId="525DF288" w14:textId="77777777" w:rsidTr="009F4766">
        <w:tc>
          <w:tcPr>
            <w:tcW w:w="2702" w:type="dxa"/>
            <w:tcBorders>
              <w:top w:val="single" w:sz="2" w:space="0" w:color="auto"/>
              <w:left w:val="single" w:sz="2" w:space="0" w:color="auto"/>
              <w:bottom w:val="single" w:sz="2" w:space="0" w:color="auto"/>
              <w:right w:val="single" w:sz="2" w:space="0" w:color="auto"/>
            </w:tcBorders>
          </w:tcPr>
          <w:p w14:paraId="67257AE9" w14:textId="77777777" w:rsidR="005F4B71" w:rsidRPr="00DE12A3" w:rsidRDefault="005F4B71" w:rsidP="00C917D6">
            <w:pPr>
              <w:spacing w:before="120" w:after="120"/>
              <w:rPr>
                <w:rFonts w:cs="Times New Roman"/>
                <w:color w:val="auto"/>
              </w:rPr>
            </w:pPr>
            <w:r w:rsidRPr="00DE12A3">
              <w:rPr>
                <w:rFonts w:cs="Times New Roman"/>
                <w:color w:val="auto"/>
              </w:rPr>
              <w:t>Ağırlıklandırma faktörü</w:t>
            </w:r>
          </w:p>
        </w:tc>
        <w:tc>
          <w:tcPr>
            <w:tcW w:w="721" w:type="dxa"/>
            <w:tcBorders>
              <w:top w:val="single" w:sz="2" w:space="0" w:color="auto"/>
              <w:left w:val="single" w:sz="2" w:space="0" w:color="auto"/>
              <w:bottom w:val="single" w:sz="2" w:space="0" w:color="auto"/>
              <w:right w:val="single" w:sz="2" w:space="0" w:color="auto"/>
            </w:tcBorders>
          </w:tcPr>
          <w:p w14:paraId="23E92FBD" w14:textId="77777777" w:rsidR="005F4B71" w:rsidRPr="00DE12A3" w:rsidRDefault="005F4B71" w:rsidP="00C917D6">
            <w:pPr>
              <w:pStyle w:val="NormalLeft"/>
            </w:pPr>
            <w:r w:rsidRPr="00DE12A3">
              <w:t>0,2</w:t>
            </w:r>
          </w:p>
        </w:tc>
        <w:tc>
          <w:tcPr>
            <w:tcW w:w="630" w:type="dxa"/>
            <w:tcBorders>
              <w:top w:val="single" w:sz="2" w:space="0" w:color="auto"/>
              <w:left w:val="single" w:sz="2" w:space="0" w:color="auto"/>
              <w:bottom w:val="single" w:sz="2" w:space="0" w:color="auto"/>
              <w:right w:val="single" w:sz="2" w:space="0" w:color="auto"/>
            </w:tcBorders>
          </w:tcPr>
          <w:p w14:paraId="43D91923" w14:textId="77777777" w:rsidR="005F4B71" w:rsidRPr="00DE12A3" w:rsidRDefault="005F4B71" w:rsidP="00C917D6">
            <w:pPr>
              <w:pStyle w:val="NormalLeft"/>
            </w:pPr>
            <w:r w:rsidRPr="00DE12A3">
              <w:t>0,5</w:t>
            </w:r>
          </w:p>
        </w:tc>
        <w:tc>
          <w:tcPr>
            <w:tcW w:w="721" w:type="dxa"/>
            <w:tcBorders>
              <w:top w:val="single" w:sz="2" w:space="0" w:color="auto"/>
              <w:left w:val="single" w:sz="2" w:space="0" w:color="auto"/>
              <w:bottom w:val="single" w:sz="2" w:space="0" w:color="auto"/>
              <w:right w:val="single" w:sz="2" w:space="0" w:color="auto"/>
            </w:tcBorders>
          </w:tcPr>
          <w:p w14:paraId="7AA62562" w14:textId="77777777" w:rsidR="005F4B71" w:rsidRPr="00DE12A3" w:rsidRDefault="005F4B71" w:rsidP="00C917D6">
            <w:pPr>
              <w:pStyle w:val="NormalLeft"/>
            </w:pPr>
            <w:r w:rsidRPr="00DE12A3">
              <w:t>0,15</w:t>
            </w:r>
          </w:p>
        </w:tc>
        <w:tc>
          <w:tcPr>
            <w:tcW w:w="811" w:type="dxa"/>
            <w:tcBorders>
              <w:top w:val="single" w:sz="2" w:space="0" w:color="auto"/>
              <w:left w:val="single" w:sz="2" w:space="0" w:color="auto"/>
              <w:bottom w:val="single" w:sz="2" w:space="0" w:color="auto"/>
              <w:right w:val="single" w:sz="2" w:space="0" w:color="auto"/>
            </w:tcBorders>
          </w:tcPr>
          <w:p w14:paraId="52F5205A" w14:textId="77777777" w:rsidR="005F4B71" w:rsidRPr="00DE12A3" w:rsidRDefault="005F4B71" w:rsidP="00C917D6">
            <w:pPr>
              <w:pStyle w:val="NormalLeft"/>
            </w:pPr>
            <w:r w:rsidRPr="00DE12A3">
              <w:t>0,15</w:t>
            </w:r>
          </w:p>
        </w:tc>
        <w:tc>
          <w:tcPr>
            <w:tcW w:w="360" w:type="dxa"/>
            <w:tcBorders>
              <w:top w:val="single" w:sz="2" w:space="0" w:color="auto"/>
              <w:left w:val="single" w:sz="2" w:space="0" w:color="auto"/>
              <w:bottom w:val="single" w:sz="2" w:space="0" w:color="auto"/>
              <w:right w:val="single" w:sz="2" w:space="0" w:color="auto"/>
            </w:tcBorders>
          </w:tcPr>
          <w:p w14:paraId="20E7115C" w14:textId="77777777" w:rsidR="005F4B71" w:rsidRPr="00DE12A3" w:rsidRDefault="005F4B71" w:rsidP="00C917D6">
            <w:pPr>
              <w:pStyle w:val="NormalLeft"/>
            </w:pPr>
          </w:p>
        </w:tc>
        <w:tc>
          <w:tcPr>
            <w:tcW w:w="450" w:type="dxa"/>
            <w:tcBorders>
              <w:top w:val="single" w:sz="2" w:space="0" w:color="auto"/>
              <w:left w:val="single" w:sz="2" w:space="0" w:color="auto"/>
              <w:bottom w:val="single" w:sz="2" w:space="0" w:color="auto"/>
              <w:right w:val="single" w:sz="2" w:space="0" w:color="auto"/>
            </w:tcBorders>
          </w:tcPr>
          <w:p w14:paraId="5B91C924" w14:textId="77777777" w:rsidR="005F4B71" w:rsidRPr="00DE12A3" w:rsidRDefault="005F4B71" w:rsidP="00C917D6">
            <w:pPr>
              <w:pStyle w:val="NormalLeft"/>
            </w:pPr>
          </w:p>
        </w:tc>
        <w:tc>
          <w:tcPr>
            <w:tcW w:w="451" w:type="dxa"/>
            <w:tcBorders>
              <w:top w:val="single" w:sz="2" w:space="0" w:color="auto"/>
              <w:left w:val="single" w:sz="2" w:space="0" w:color="auto"/>
              <w:bottom w:val="single" w:sz="2" w:space="0" w:color="auto"/>
              <w:right w:val="single" w:sz="2" w:space="0" w:color="auto"/>
            </w:tcBorders>
          </w:tcPr>
          <w:p w14:paraId="02DE584D" w14:textId="77777777" w:rsidR="005F4B71" w:rsidRPr="00DE12A3" w:rsidRDefault="005F4B71" w:rsidP="00C917D6">
            <w:pPr>
              <w:pStyle w:val="NormalLeft"/>
            </w:pPr>
          </w:p>
        </w:tc>
        <w:tc>
          <w:tcPr>
            <w:tcW w:w="450" w:type="dxa"/>
            <w:tcBorders>
              <w:top w:val="single" w:sz="2" w:space="0" w:color="auto"/>
              <w:left w:val="single" w:sz="2" w:space="0" w:color="auto"/>
              <w:bottom w:val="single" w:sz="2" w:space="0" w:color="auto"/>
              <w:right w:val="single" w:sz="2" w:space="0" w:color="auto"/>
            </w:tcBorders>
          </w:tcPr>
          <w:p w14:paraId="26EE3CDE" w14:textId="77777777" w:rsidR="005F4B71" w:rsidRPr="00DE12A3" w:rsidRDefault="005F4B71" w:rsidP="00C917D6">
            <w:pPr>
              <w:pStyle w:val="NormalLeft"/>
            </w:pPr>
          </w:p>
        </w:tc>
        <w:tc>
          <w:tcPr>
            <w:tcW w:w="450" w:type="dxa"/>
            <w:tcBorders>
              <w:top w:val="single" w:sz="2" w:space="0" w:color="auto"/>
              <w:left w:val="single" w:sz="2" w:space="0" w:color="auto"/>
              <w:bottom w:val="single" w:sz="2" w:space="0" w:color="auto"/>
              <w:right w:val="single" w:sz="2" w:space="0" w:color="auto"/>
            </w:tcBorders>
          </w:tcPr>
          <w:p w14:paraId="1CA1E1A7" w14:textId="77777777" w:rsidR="005F4B71" w:rsidRPr="00DE12A3" w:rsidRDefault="005F4B71" w:rsidP="00C917D6">
            <w:pPr>
              <w:pStyle w:val="NormalLeft"/>
            </w:pPr>
          </w:p>
        </w:tc>
        <w:tc>
          <w:tcPr>
            <w:tcW w:w="361" w:type="dxa"/>
            <w:tcBorders>
              <w:top w:val="single" w:sz="2" w:space="0" w:color="auto"/>
              <w:left w:val="single" w:sz="2" w:space="0" w:color="auto"/>
              <w:bottom w:val="single" w:sz="2" w:space="0" w:color="auto"/>
              <w:right w:val="single" w:sz="2" w:space="0" w:color="auto"/>
            </w:tcBorders>
          </w:tcPr>
          <w:p w14:paraId="095A7559" w14:textId="77777777" w:rsidR="005F4B71" w:rsidRPr="00DE12A3" w:rsidRDefault="005F4B71" w:rsidP="00C917D6">
            <w:pPr>
              <w:pStyle w:val="NormalLeft"/>
            </w:pPr>
          </w:p>
        </w:tc>
        <w:tc>
          <w:tcPr>
            <w:tcW w:w="450" w:type="dxa"/>
            <w:tcBorders>
              <w:top w:val="single" w:sz="2" w:space="0" w:color="auto"/>
              <w:left w:val="single" w:sz="2" w:space="0" w:color="auto"/>
              <w:bottom w:val="single" w:sz="2" w:space="0" w:color="auto"/>
              <w:right w:val="single" w:sz="2" w:space="0" w:color="auto"/>
            </w:tcBorders>
          </w:tcPr>
          <w:p w14:paraId="6E549B37" w14:textId="77777777" w:rsidR="005F4B71" w:rsidRPr="00DE12A3" w:rsidRDefault="005F4B71" w:rsidP="00C917D6">
            <w:pPr>
              <w:pStyle w:val="NormalLeft"/>
            </w:pPr>
          </w:p>
        </w:tc>
        <w:tc>
          <w:tcPr>
            <w:tcW w:w="450" w:type="dxa"/>
            <w:tcBorders>
              <w:top w:val="single" w:sz="2" w:space="0" w:color="auto"/>
              <w:left w:val="single" w:sz="2" w:space="0" w:color="auto"/>
              <w:bottom w:val="single" w:sz="2" w:space="0" w:color="auto"/>
              <w:right w:val="single" w:sz="2" w:space="0" w:color="auto"/>
            </w:tcBorders>
          </w:tcPr>
          <w:p w14:paraId="3ED37C8D" w14:textId="77777777" w:rsidR="005F4B71" w:rsidRPr="00DE12A3" w:rsidRDefault="005F4B71" w:rsidP="00C917D6">
            <w:pPr>
              <w:pStyle w:val="NormalLeft"/>
            </w:pPr>
          </w:p>
        </w:tc>
      </w:tr>
      <w:tr w:rsidR="00DE12A3" w:rsidRPr="00DE12A3" w14:paraId="3D6EA874" w14:textId="77777777" w:rsidTr="009F4766">
        <w:tc>
          <w:tcPr>
            <w:tcW w:w="2702" w:type="dxa"/>
            <w:tcBorders>
              <w:top w:val="single" w:sz="2" w:space="0" w:color="auto"/>
              <w:left w:val="single" w:sz="2" w:space="0" w:color="auto"/>
              <w:bottom w:val="single" w:sz="2" w:space="0" w:color="auto"/>
              <w:right w:val="single" w:sz="2" w:space="0" w:color="auto"/>
            </w:tcBorders>
          </w:tcPr>
          <w:p w14:paraId="792E25EB" w14:textId="77777777" w:rsidR="005F4B71" w:rsidRPr="00DE12A3" w:rsidRDefault="005F4B71" w:rsidP="00C917D6">
            <w:pPr>
              <w:spacing w:before="120" w:after="120"/>
              <w:rPr>
                <w:rFonts w:cs="Times New Roman"/>
                <w:color w:val="auto"/>
              </w:rPr>
            </w:pPr>
            <w:r w:rsidRPr="00DE12A3">
              <w:rPr>
                <w:rFonts w:cs="Times New Roman"/>
                <w:color w:val="auto"/>
              </w:rPr>
              <w:t>Mod numarası (</w:t>
            </w:r>
            <w:r w:rsidR="00F310B5" w:rsidRPr="00DE12A3">
              <w:rPr>
                <w:rFonts w:cs="Times New Roman"/>
                <w:color w:val="auto"/>
              </w:rPr>
              <w:t>çevrim</w:t>
            </w:r>
            <w:r w:rsidRPr="00DE12A3">
              <w:rPr>
                <w:rFonts w:cs="Times New Roman"/>
                <w:color w:val="auto"/>
              </w:rPr>
              <w:t xml:space="preserve"> E3)</w:t>
            </w:r>
          </w:p>
        </w:tc>
        <w:tc>
          <w:tcPr>
            <w:tcW w:w="3243" w:type="dxa"/>
            <w:gridSpan w:val="5"/>
            <w:tcBorders>
              <w:top w:val="single" w:sz="2" w:space="0" w:color="auto"/>
              <w:left w:val="single" w:sz="2" w:space="0" w:color="auto"/>
              <w:bottom w:val="single" w:sz="2" w:space="0" w:color="auto"/>
              <w:right w:val="single" w:sz="2" w:space="0" w:color="auto"/>
            </w:tcBorders>
          </w:tcPr>
          <w:p w14:paraId="7A719264" w14:textId="77777777" w:rsidR="005F4B71" w:rsidRPr="00DE12A3" w:rsidRDefault="005F4B71" w:rsidP="00C917D6">
            <w:pPr>
              <w:pStyle w:val="NormalLeft"/>
            </w:pPr>
            <w:r w:rsidRPr="00DE12A3">
              <w:t>1</w:t>
            </w:r>
          </w:p>
        </w:tc>
        <w:tc>
          <w:tcPr>
            <w:tcW w:w="901" w:type="dxa"/>
            <w:gridSpan w:val="2"/>
            <w:tcBorders>
              <w:top w:val="single" w:sz="2" w:space="0" w:color="auto"/>
              <w:left w:val="single" w:sz="2" w:space="0" w:color="auto"/>
              <w:bottom w:val="single" w:sz="2" w:space="0" w:color="auto"/>
              <w:right w:val="single" w:sz="2" w:space="0" w:color="auto"/>
            </w:tcBorders>
          </w:tcPr>
          <w:p w14:paraId="720A076D" w14:textId="77777777" w:rsidR="005F4B71" w:rsidRPr="00DE12A3" w:rsidRDefault="005F4B71" w:rsidP="00C917D6">
            <w:pPr>
              <w:pStyle w:val="NormalLeft"/>
            </w:pPr>
            <w:r w:rsidRPr="00DE12A3">
              <w:t>2</w:t>
            </w:r>
          </w:p>
        </w:tc>
        <w:tc>
          <w:tcPr>
            <w:tcW w:w="1261" w:type="dxa"/>
            <w:gridSpan w:val="3"/>
            <w:tcBorders>
              <w:top w:val="single" w:sz="2" w:space="0" w:color="auto"/>
              <w:left w:val="single" w:sz="2" w:space="0" w:color="auto"/>
              <w:bottom w:val="single" w:sz="2" w:space="0" w:color="auto"/>
              <w:right w:val="single" w:sz="2" w:space="0" w:color="auto"/>
            </w:tcBorders>
          </w:tcPr>
          <w:p w14:paraId="05CBDF9B" w14:textId="77777777" w:rsidR="005F4B71" w:rsidRPr="00DE12A3" w:rsidRDefault="005F4B71" w:rsidP="00C917D6">
            <w:pPr>
              <w:pStyle w:val="NormalLeft"/>
            </w:pPr>
            <w:r w:rsidRPr="00DE12A3">
              <w:t>3</w:t>
            </w:r>
          </w:p>
        </w:tc>
        <w:tc>
          <w:tcPr>
            <w:tcW w:w="900" w:type="dxa"/>
            <w:gridSpan w:val="2"/>
            <w:tcBorders>
              <w:top w:val="single" w:sz="2" w:space="0" w:color="auto"/>
              <w:left w:val="single" w:sz="2" w:space="0" w:color="auto"/>
              <w:bottom w:val="single" w:sz="2" w:space="0" w:color="auto"/>
              <w:right w:val="single" w:sz="2" w:space="0" w:color="auto"/>
            </w:tcBorders>
          </w:tcPr>
          <w:p w14:paraId="794DEC49" w14:textId="77777777" w:rsidR="005F4B71" w:rsidRPr="00DE12A3" w:rsidRDefault="005F4B71" w:rsidP="00C917D6">
            <w:pPr>
              <w:pStyle w:val="NormalLeft"/>
            </w:pPr>
            <w:r w:rsidRPr="00DE12A3">
              <w:t>4</w:t>
            </w:r>
          </w:p>
        </w:tc>
      </w:tr>
      <w:tr w:rsidR="00DE12A3" w:rsidRPr="00DE12A3" w14:paraId="6942F352" w14:textId="77777777" w:rsidTr="009F4766">
        <w:tc>
          <w:tcPr>
            <w:tcW w:w="2702" w:type="dxa"/>
            <w:tcBorders>
              <w:top w:val="single" w:sz="2" w:space="0" w:color="auto"/>
              <w:left w:val="single" w:sz="2" w:space="0" w:color="auto"/>
              <w:bottom w:val="single" w:sz="2" w:space="0" w:color="auto"/>
              <w:right w:val="single" w:sz="2" w:space="0" w:color="auto"/>
            </w:tcBorders>
          </w:tcPr>
          <w:p w14:paraId="59412E66" w14:textId="77777777" w:rsidR="005F4B71" w:rsidRPr="00DE12A3" w:rsidRDefault="005F4B71" w:rsidP="00C917D6">
            <w:pPr>
              <w:spacing w:before="120" w:after="120"/>
              <w:rPr>
                <w:rFonts w:cs="Times New Roman"/>
                <w:color w:val="auto"/>
              </w:rPr>
            </w:pPr>
            <w:r w:rsidRPr="00DE12A3">
              <w:rPr>
                <w:rFonts w:cs="Times New Roman"/>
                <w:color w:val="auto"/>
              </w:rPr>
              <w:t xml:space="preserve">Devir </w:t>
            </w:r>
            <w:r w:rsidRPr="00DE12A3">
              <w:rPr>
                <w:rFonts w:cs="Times New Roman"/>
                <w:color w:val="auto"/>
                <w:vertAlign w:val="superscript"/>
              </w:rPr>
              <w:t>(a)</w:t>
            </w:r>
            <w:r w:rsidRPr="00DE12A3">
              <w:rPr>
                <w:rFonts w:cs="Times New Roman"/>
                <w:color w:val="auto"/>
              </w:rPr>
              <w:t>(%)</w:t>
            </w:r>
          </w:p>
        </w:tc>
        <w:tc>
          <w:tcPr>
            <w:tcW w:w="3243" w:type="dxa"/>
            <w:gridSpan w:val="5"/>
            <w:tcBorders>
              <w:top w:val="single" w:sz="2" w:space="0" w:color="auto"/>
              <w:left w:val="single" w:sz="2" w:space="0" w:color="auto"/>
              <w:bottom w:val="single" w:sz="2" w:space="0" w:color="auto"/>
              <w:right w:val="single" w:sz="2" w:space="0" w:color="auto"/>
            </w:tcBorders>
          </w:tcPr>
          <w:p w14:paraId="349DEB1A" w14:textId="77777777" w:rsidR="005F4B71" w:rsidRPr="00DE12A3" w:rsidRDefault="005F4B71" w:rsidP="00C917D6">
            <w:pPr>
              <w:pStyle w:val="NormalLeft"/>
            </w:pPr>
            <w:r w:rsidRPr="00DE12A3">
              <w:t>100</w:t>
            </w:r>
          </w:p>
        </w:tc>
        <w:tc>
          <w:tcPr>
            <w:tcW w:w="901" w:type="dxa"/>
            <w:gridSpan w:val="2"/>
            <w:tcBorders>
              <w:top w:val="single" w:sz="2" w:space="0" w:color="auto"/>
              <w:left w:val="single" w:sz="2" w:space="0" w:color="auto"/>
              <w:bottom w:val="single" w:sz="2" w:space="0" w:color="auto"/>
              <w:right w:val="single" w:sz="2" w:space="0" w:color="auto"/>
            </w:tcBorders>
          </w:tcPr>
          <w:p w14:paraId="29511B70" w14:textId="77777777" w:rsidR="005F4B71" w:rsidRPr="00DE12A3" w:rsidRDefault="005F4B71" w:rsidP="00C917D6">
            <w:pPr>
              <w:pStyle w:val="NormalLeft"/>
            </w:pPr>
            <w:r w:rsidRPr="00DE12A3">
              <w:t>91</w:t>
            </w:r>
          </w:p>
        </w:tc>
        <w:tc>
          <w:tcPr>
            <w:tcW w:w="1261" w:type="dxa"/>
            <w:gridSpan w:val="3"/>
            <w:tcBorders>
              <w:top w:val="single" w:sz="2" w:space="0" w:color="auto"/>
              <w:left w:val="single" w:sz="2" w:space="0" w:color="auto"/>
              <w:bottom w:val="single" w:sz="2" w:space="0" w:color="auto"/>
              <w:right w:val="single" w:sz="2" w:space="0" w:color="auto"/>
            </w:tcBorders>
          </w:tcPr>
          <w:p w14:paraId="27966D1C" w14:textId="77777777" w:rsidR="005F4B71" w:rsidRPr="00DE12A3" w:rsidRDefault="005F4B71" w:rsidP="00C917D6">
            <w:pPr>
              <w:pStyle w:val="NormalLeft"/>
            </w:pPr>
            <w:r w:rsidRPr="00DE12A3">
              <w:t>80</w:t>
            </w:r>
          </w:p>
        </w:tc>
        <w:tc>
          <w:tcPr>
            <w:tcW w:w="900" w:type="dxa"/>
            <w:gridSpan w:val="2"/>
            <w:tcBorders>
              <w:top w:val="single" w:sz="2" w:space="0" w:color="auto"/>
              <w:left w:val="single" w:sz="2" w:space="0" w:color="auto"/>
              <w:bottom w:val="single" w:sz="2" w:space="0" w:color="auto"/>
              <w:right w:val="single" w:sz="2" w:space="0" w:color="auto"/>
            </w:tcBorders>
          </w:tcPr>
          <w:p w14:paraId="50E48158" w14:textId="77777777" w:rsidR="005F4B71" w:rsidRPr="00DE12A3" w:rsidRDefault="005F4B71" w:rsidP="00C917D6">
            <w:pPr>
              <w:pStyle w:val="NormalLeft"/>
            </w:pPr>
            <w:r w:rsidRPr="00DE12A3">
              <w:t>63</w:t>
            </w:r>
          </w:p>
        </w:tc>
      </w:tr>
      <w:tr w:rsidR="00DE12A3" w:rsidRPr="00DE12A3" w14:paraId="76F81C54" w14:textId="77777777" w:rsidTr="009F4766">
        <w:tc>
          <w:tcPr>
            <w:tcW w:w="2702" w:type="dxa"/>
            <w:tcBorders>
              <w:top w:val="single" w:sz="2" w:space="0" w:color="auto"/>
              <w:left w:val="single" w:sz="2" w:space="0" w:color="auto"/>
              <w:bottom w:val="single" w:sz="2" w:space="0" w:color="auto"/>
              <w:right w:val="single" w:sz="2" w:space="0" w:color="auto"/>
            </w:tcBorders>
          </w:tcPr>
          <w:p w14:paraId="487D6F46" w14:textId="77777777" w:rsidR="005F4B71" w:rsidRPr="00DE12A3" w:rsidRDefault="005F4B71" w:rsidP="00C917D6">
            <w:pPr>
              <w:spacing w:before="120" w:after="120"/>
              <w:rPr>
                <w:rFonts w:cs="Times New Roman"/>
                <w:color w:val="auto"/>
              </w:rPr>
            </w:pPr>
            <w:r w:rsidRPr="00DE12A3">
              <w:rPr>
                <w:rFonts w:cs="Times New Roman"/>
                <w:color w:val="auto"/>
              </w:rPr>
              <w:t xml:space="preserve">Güç </w:t>
            </w:r>
            <w:r w:rsidRPr="00DE12A3">
              <w:rPr>
                <w:rFonts w:cs="Times New Roman"/>
                <w:color w:val="auto"/>
                <w:vertAlign w:val="superscript"/>
              </w:rPr>
              <w:t>(c)</w:t>
            </w:r>
            <w:r w:rsidRPr="00DE12A3">
              <w:rPr>
                <w:rFonts w:cs="Times New Roman"/>
                <w:color w:val="auto"/>
              </w:rPr>
              <w:t>(%)</w:t>
            </w:r>
          </w:p>
        </w:tc>
        <w:tc>
          <w:tcPr>
            <w:tcW w:w="3243" w:type="dxa"/>
            <w:gridSpan w:val="5"/>
            <w:tcBorders>
              <w:top w:val="single" w:sz="2" w:space="0" w:color="auto"/>
              <w:left w:val="single" w:sz="2" w:space="0" w:color="auto"/>
              <w:bottom w:val="single" w:sz="2" w:space="0" w:color="auto"/>
              <w:right w:val="single" w:sz="2" w:space="0" w:color="auto"/>
            </w:tcBorders>
          </w:tcPr>
          <w:p w14:paraId="0F22AC25" w14:textId="77777777" w:rsidR="005F4B71" w:rsidRPr="00DE12A3" w:rsidRDefault="005F4B71" w:rsidP="00C917D6">
            <w:pPr>
              <w:pStyle w:val="NormalLeft"/>
            </w:pPr>
            <w:r w:rsidRPr="00DE12A3">
              <w:t>100</w:t>
            </w:r>
          </w:p>
        </w:tc>
        <w:tc>
          <w:tcPr>
            <w:tcW w:w="901" w:type="dxa"/>
            <w:gridSpan w:val="2"/>
            <w:tcBorders>
              <w:top w:val="single" w:sz="2" w:space="0" w:color="auto"/>
              <w:left w:val="single" w:sz="2" w:space="0" w:color="auto"/>
              <w:bottom w:val="single" w:sz="2" w:space="0" w:color="auto"/>
              <w:right w:val="single" w:sz="2" w:space="0" w:color="auto"/>
            </w:tcBorders>
          </w:tcPr>
          <w:p w14:paraId="4032C781" w14:textId="77777777" w:rsidR="005F4B71" w:rsidRPr="00DE12A3" w:rsidRDefault="005F4B71" w:rsidP="00C917D6">
            <w:pPr>
              <w:pStyle w:val="NormalLeft"/>
            </w:pPr>
            <w:r w:rsidRPr="00DE12A3">
              <w:t>75</w:t>
            </w:r>
          </w:p>
        </w:tc>
        <w:tc>
          <w:tcPr>
            <w:tcW w:w="1261" w:type="dxa"/>
            <w:gridSpan w:val="3"/>
            <w:tcBorders>
              <w:top w:val="single" w:sz="2" w:space="0" w:color="auto"/>
              <w:left w:val="single" w:sz="2" w:space="0" w:color="auto"/>
              <w:bottom w:val="single" w:sz="2" w:space="0" w:color="auto"/>
              <w:right w:val="single" w:sz="2" w:space="0" w:color="auto"/>
            </w:tcBorders>
          </w:tcPr>
          <w:p w14:paraId="771C8550" w14:textId="77777777" w:rsidR="005F4B71" w:rsidRPr="00DE12A3" w:rsidRDefault="005F4B71" w:rsidP="00C917D6">
            <w:pPr>
              <w:pStyle w:val="NormalLeft"/>
            </w:pPr>
            <w:r w:rsidRPr="00DE12A3">
              <w:t>50</w:t>
            </w:r>
          </w:p>
        </w:tc>
        <w:tc>
          <w:tcPr>
            <w:tcW w:w="900" w:type="dxa"/>
            <w:gridSpan w:val="2"/>
            <w:tcBorders>
              <w:top w:val="single" w:sz="2" w:space="0" w:color="auto"/>
              <w:left w:val="single" w:sz="2" w:space="0" w:color="auto"/>
              <w:bottom w:val="single" w:sz="2" w:space="0" w:color="auto"/>
              <w:right w:val="single" w:sz="2" w:space="0" w:color="auto"/>
            </w:tcBorders>
          </w:tcPr>
          <w:p w14:paraId="1C334C05" w14:textId="77777777" w:rsidR="005F4B71" w:rsidRPr="00DE12A3" w:rsidRDefault="005F4B71" w:rsidP="00C917D6">
            <w:pPr>
              <w:pStyle w:val="NormalLeft"/>
            </w:pPr>
            <w:r w:rsidRPr="00DE12A3">
              <w:t>25</w:t>
            </w:r>
          </w:p>
        </w:tc>
      </w:tr>
      <w:tr w:rsidR="00DE12A3" w:rsidRPr="00DE12A3" w14:paraId="348B1172" w14:textId="77777777" w:rsidTr="009F4766">
        <w:tc>
          <w:tcPr>
            <w:tcW w:w="2702" w:type="dxa"/>
            <w:tcBorders>
              <w:top w:val="single" w:sz="2" w:space="0" w:color="auto"/>
              <w:left w:val="single" w:sz="2" w:space="0" w:color="auto"/>
              <w:bottom w:val="single" w:sz="2" w:space="0" w:color="auto"/>
              <w:right w:val="single" w:sz="2" w:space="0" w:color="auto"/>
            </w:tcBorders>
          </w:tcPr>
          <w:p w14:paraId="2763AB6B" w14:textId="77777777" w:rsidR="005F4B71" w:rsidRPr="00DE12A3" w:rsidRDefault="005F4B71" w:rsidP="00C917D6">
            <w:pPr>
              <w:spacing w:before="120" w:after="120"/>
              <w:rPr>
                <w:rFonts w:cs="Times New Roman"/>
                <w:color w:val="auto"/>
              </w:rPr>
            </w:pPr>
            <w:r w:rsidRPr="00DE12A3">
              <w:rPr>
                <w:rFonts w:cs="Times New Roman"/>
                <w:color w:val="auto"/>
              </w:rPr>
              <w:t>Ağırlıklandırma faktörü</w:t>
            </w:r>
          </w:p>
        </w:tc>
        <w:tc>
          <w:tcPr>
            <w:tcW w:w="3243" w:type="dxa"/>
            <w:gridSpan w:val="5"/>
            <w:tcBorders>
              <w:top w:val="single" w:sz="2" w:space="0" w:color="auto"/>
              <w:left w:val="single" w:sz="2" w:space="0" w:color="auto"/>
              <w:bottom w:val="single" w:sz="2" w:space="0" w:color="auto"/>
              <w:right w:val="single" w:sz="2" w:space="0" w:color="auto"/>
            </w:tcBorders>
          </w:tcPr>
          <w:p w14:paraId="35B3E6BD" w14:textId="77777777" w:rsidR="005F4B71" w:rsidRPr="00DE12A3" w:rsidRDefault="005F4B71" w:rsidP="00C917D6">
            <w:pPr>
              <w:pStyle w:val="NormalLeft"/>
            </w:pPr>
            <w:r w:rsidRPr="00DE12A3">
              <w:t>0,2</w:t>
            </w:r>
          </w:p>
        </w:tc>
        <w:tc>
          <w:tcPr>
            <w:tcW w:w="901" w:type="dxa"/>
            <w:gridSpan w:val="2"/>
            <w:tcBorders>
              <w:top w:val="single" w:sz="2" w:space="0" w:color="auto"/>
              <w:left w:val="single" w:sz="2" w:space="0" w:color="auto"/>
              <w:bottom w:val="single" w:sz="2" w:space="0" w:color="auto"/>
              <w:right w:val="single" w:sz="2" w:space="0" w:color="auto"/>
            </w:tcBorders>
          </w:tcPr>
          <w:p w14:paraId="51A7A358" w14:textId="77777777" w:rsidR="005F4B71" w:rsidRPr="00DE12A3" w:rsidRDefault="005F4B71" w:rsidP="00C917D6">
            <w:pPr>
              <w:pStyle w:val="NormalLeft"/>
            </w:pPr>
            <w:r w:rsidRPr="00DE12A3">
              <w:t>0,5</w:t>
            </w:r>
          </w:p>
        </w:tc>
        <w:tc>
          <w:tcPr>
            <w:tcW w:w="1261" w:type="dxa"/>
            <w:gridSpan w:val="3"/>
            <w:tcBorders>
              <w:top w:val="single" w:sz="2" w:space="0" w:color="auto"/>
              <w:left w:val="single" w:sz="2" w:space="0" w:color="auto"/>
              <w:bottom w:val="single" w:sz="2" w:space="0" w:color="auto"/>
              <w:right w:val="single" w:sz="2" w:space="0" w:color="auto"/>
            </w:tcBorders>
          </w:tcPr>
          <w:p w14:paraId="27325A23" w14:textId="77777777" w:rsidR="005F4B71" w:rsidRPr="00DE12A3" w:rsidRDefault="005F4B71" w:rsidP="00C917D6">
            <w:pPr>
              <w:pStyle w:val="NormalLeft"/>
            </w:pPr>
            <w:r w:rsidRPr="00DE12A3">
              <w:t>0,15</w:t>
            </w:r>
          </w:p>
        </w:tc>
        <w:tc>
          <w:tcPr>
            <w:tcW w:w="900" w:type="dxa"/>
            <w:gridSpan w:val="2"/>
            <w:tcBorders>
              <w:top w:val="single" w:sz="2" w:space="0" w:color="auto"/>
              <w:left w:val="single" w:sz="2" w:space="0" w:color="auto"/>
              <w:bottom w:val="single" w:sz="2" w:space="0" w:color="auto"/>
              <w:right w:val="single" w:sz="2" w:space="0" w:color="auto"/>
            </w:tcBorders>
          </w:tcPr>
          <w:p w14:paraId="51B8AB28" w14:textId="77777777" w:rsidR="005F4B71" w:rsidRPr="00DE12A3" w:rsidRDefault="005F4B71" w:rsidP="00C917D6">
            <w:pPr>
              <w:pStyle w:val="NormalLeft"/>
            </w:pPr>
            <w:r w:rsidRPr="00DE12A3">
              <w:t>0,15</w:t>
            </w:r>
          </w:p>
        </w:tc>
      </w:tr>
    </w:tbl>
    <w:p w14:paraId="56291C2D" w14:textId="10531CD8" w:rsidR="005F4B71" w:rsidRPr="00DE12A3" w:rsidRDefault="005F4B71" w:rsidP="00C917D6">
      <w:pPr>
        <w:pStyle w:val="Tabloyazs50"/>
        <w:shd w:val="clear" w:color="auto" w:fill="auto"/>
        <w:tabs>
          <w:tab w:val="left" w:pos="235"/>
        </w:tabs>
        <w:spacing w:before="120" w:after="120" w:line="240" w:lineRule="auto"/>
        <w:jc w:val="both"/>
      </w:pPr>
      <w:r w:rsidRPr="00DE12A3">
        <w:rPr>
          <w:rStyle w:val="Gvdemetni95pt0ptbolukbraklyor"/>
          <w:color w:val="auto"/>
        </w:rPr>
        <w:t>(</w:t>
      </w:r>
      <w:r w:rsidRPr="00DE12A3">
        <w:rPr>
          <w:rStyle w:val="Gvdemetni95pt0ptbolukbraklyor"/>
          <w:color w:val="auto"/>
          <w:vertAlign w:val="superscript"/>
        </w:rPr>
        <w:t>a</w:t>
      </w:r>
      <w:r w:rsidRPr="00DE12A3">
        <w:rPr>
          <w:rStyle w:val="Gvdemetni95pt0ptbolukbraklyor"/>
          <w:color w:val="auto"/>
        </w:rPr>
        <w:t>)</w:t>
      </w:r>
      <w:r w:rsidRPr="00DE12A3">
        <w:rPr>
          <w:rStyle w:val="Gvdemetni95pt0ptbolukbraklyor"/>
          <w:color w:val="auto"/>
        </w:rPr>
        <w:tab/>
      </w:r>
      <w:r w:rsidRPr="00DE12A3">
        <w:rPr>
          <w:rStyle w:val="Tabloyazs50ptbolukbraklyor"/>
          <w:rFonts w:eastAsia="Sylfaen"/>
          <w:color w:val="auto"/>
        </w:rPr>
        <w:t xml:space="preserve">Gereken test devirlerinin belirlenmesi için </w:t>
      </w:r>
      <w:r w:rsidR="00FA0678" w:rsidRPr="00DE12A3">
        <w:rPr>
          <w:rStyle w:val="Tabloyazs50ptbolukbraklyor"/>
          <w:rFonts w:eastAsia="Sylfaen"/>
          <w:color w:val="auto"/>
        </w:rPr>
        <w:t>VI’ncı ek</w:t>
      </w:r>
      <w:r w:rsidRPr="00DE12A3">
        <w:rPr>
          <w:rStyle w:val="Tabloyazs50ptbolukbraklyor"/>
          <w:rFonts w:eastAsia="Sylfaen"/>
          <w:color w:val="auto"/>
        </w:rPr>
        <w:t xml:space="preserve">in 5.2.5, 7.6 ve 7.7 </w:t>
      </w:r>
      <w:r w:rsidR="00BB33FF" w:rsidRPr="00DE12A3">
        <w:rPr>
          <w:rStyle w:val="Tabloyazs50ptbolukbraklyor"/>
          <w:rFonts w:eastAsia="Sylfaen"/>
          <w:color w:val="auto"/>
        </w:rPr>
        <w:t xml:space="preserve">bentlerine </w:t>
      </w:r>
      <w:r w:rsidRPr="00DE12A3">
        <w:rPr>
          <w:rStyle w:val="Tabloyazs50ptbolukbraklyor"/>
          <w:rFonts w:eastAsia="Sylfaen"/>
          <w:color w:val="auto"/>
        </w:rPr>
        <w:t>bakınız.</w:t>
      </w:r>
    </w:p>
    <w:p w14:paraId="022ADB6B" w14:textId="77777777" w:rsidR="005F4B71" w:rsidRPr="00DE12A3" w:rsidRDefault="005F4B71" w:rsidP="00C917D6">
      <w:pPr>
        <w:pStyle w:val="Tabloyazs50"/>
        <w:shd w:val="clear" w:color="auto" w:fill="auto"/>
        <w:tabs>
          <w:tab w:val="left" w:pos="230"/>
        </w:tabs>
        <w:spacing w:before="120" w:after="120" w:line="240" w:lineRule="auto"/>
        <w:jc w:val="both"/>
      </w:pPr>
      <w:r w:rsidRPr="00DE12A3">
        <w:rPr>
          <w:rStyle w:val="Gvdemetni95pt0ptbolukbraklyor"/>
          <w:color w:val="auto"/>
        </w:rPr>
        <w:t>(</w:t>
      </w:r>
      <w:r w:rsidRPr="00DE12A3">
        <w:rPr>
          <w:rStyle w:val="Gvdemetni95pt0ptbolukbraklyor"/>
          <w:color w:val="auto"/>
          <w:vertAlign w:val="superscript"/>
        </w:rPr>
        <w:t>b</w:t>
      </w:r>
      <w:r w:rsidRPr="00DE12A3">
        <w:rPr>
          <w:rStyle w:val="Gvdemetni95pt0ptbolukbraklyor"/>
          <w:color w:val="auto"/>
        </w:rPr>
        <w:t>)</w:t>
      </w:r>
      <w:r w:rsidRPr="00DE12A3">
        <w:rPr>
          <w:rStyle w:val="Gvdemetni95pt0ptbolukbraklyor"/>
          <w:color w:val="auto"/>
        </w:rPr>
        <w:tab/>
      </w:r>
      <w:r w:rsidRPr="00DE12A3">
        <w:rPr>
          <w:rStyle w:val="Tabloyazs50ptbolukbraklyor"/>
          <w:rFonts w:eastAsia="Sylfaen"/>
          <w:color w:val="auto"/>
        </w:rPr>
        <w:t>% tork, komut verilen motor devrinde imalatçı tarafından beyan edilen nominal net güce karşılık gelen torka bağlıdır.</w:t>
      </w:r>
    </w:p>
    <w:p w14:paraId="41304F05" w14:textId="77777777" w:rsidR="005F4B71" w:rsidRPr="00DE12A3" w:rsidRDefault="005F4B71" w:rsidP="00C917D6">
      <w:pPr>
        <w:pStyle w:val="Tabloyazs50"/>
        <w:shd w:val="clear" w:color="auto" w:fill="auto"/>
        <w:tabs>
          <w:tab w:val="left" w:pos="230"/>
        </w:tabs>
        <w:spacing w:before="120" w:after="120" w:line="240" w:lineRule="auto"/>
        <w:jc w:val="both"/>
      </w:pPr>
      <w:r w:rsidRPr="00DE12A3">
        <w:rPr>
          <w:rStyle w:val="Gvdemetni95pt0ptbolukbraklyor"/>
          <w:color w:val="auto"/>
        </w:rPr>
        <w:t>(</w:t>
      </w:r>
      <w:r w:rsidRPr="00DE12A3">
        <w:rPr>
          <w:rStyle w:val="Gvdemetni95pt0ptbolukbraklyor"/>
          <w:color w:val="auto"/>
          <w:vertAlign w:val="superscript"/>
        </w:rPr>
        <w:t>c</w:t>
      </w:r>
      <w:r w:rsidRPr="00DE12A3">
        <w:rPr>
          <w:rStyle w:val="Gvdemetni95pt0ptbolukbraklyor"/>
          <w:color w:val="auto"/>
        </w:rPr>
        <w:t>)</w:t>
      </w:r>
      <w:r w:rsidRPr="00DE12A3">
        <w:rPr>
          <w:rStyle w:val="Gvdemetni95pt0ptbolukbraklyor"/>
          <w:color w:val="auto"/>
        </w:rPr>
        <w:tab/>
      </w:r>
      <w:r w:rsidRPr="00DE12A3">
        <w:rPr>
          <w:rStyle w:val="Tabloyazs50ptbolukbraklyor"/>
          <w:rFonts w:eastAsia="Sylfaen"/>
          <w:color w:val="auto"/>
        </w:rPr>
        <w:t>% güç, % 100 devirdeki azami nominal güce bağlıdır.</w:t>
      </w:r>
    </w:p>
    <w:p w14:paraId="755440AB" w14:textId="77777777" w:rsidR="00441E80" w:rsidRPr="00DE12A3" w:rsidRDefault="00441E80" w:rsidP="00441E80">
      <w:pPr>
        <w:rPr>
          <w:b/>
          <w:color w:val="auto"/>
        </w:rPr>
      </w:pPr>
    </w:p>
    <w:p w14:paraId="3C41C666" w14:textId="77777777" w:rsidR="005F4B71" w:rsidRPr="00DE12A3" w:rsidRDefault="005F4B71" w:rsidP="00051047">
      <w:pPr>
        <w:jc w:val="center"/>
        <w:rPr>
          <w:b/>
          <w:color w:val="auto"/>
        </w:rPr>
      </w:pPr>
      <w:r w:rsidRPr="00DE12A3">
        <w:rPr>
          <w:b/>
          <w:color w:val="auto"/>
        </w:rPr>
        <w:t xml:space="preserve">Tip F test </w:t>
      </w:r>
      <w:r w:rsidR="00F310B5" w:rsidRPr="00DE12A3">
        <w:rPr>
          <w:b/>
          <w:color w:val="auto"/>
        </w:rPr>
        <w:t>çevrim</w:t>
      </w:r>
      <w:r w:rsidRPr="00DE12A3">
        <w:rPr>
          <w:b/>
          <w:color w:val="auto"/>
        </w:rPr>
        <w:t>leri</w:t>
      </w:r>
    </w:p>
    <w:tbl>
      <w:tblPr>
        <w:tblW w:w="0" w:type="auto"/>
        <w:tblInd w:w="1439" w:type="dxa"/>
        <w:tblLayout w:type="fixed"/>
        <w:tblLook w:val="0000" w:firstRow="0" w:lastRow="0" w:firstColumn="0" w:lastColumn="0" w:noHBand="0" w:noVBand="0"/>
      </w:tblPr>
      <w:tblGrid>
        <w:gridCol w:w="2050"/>
        <w:gridCol w:w="1346"/>
        <w:gridCol w:w="1602"/>
        <w:gridCol w:w="1184"/>
      </w:tblGrid>
      <w:tr w:rsidR="00DE12A3" w:rsidRPr="00DE12A3" w14:paraId="39EFB6BE" w14:textId="77777777" w:rsidTr="0047668F">
        <w:tc>
          <w:tcPr>
            <w:tcW w:w="6182" w:type="dxa"/>
            <w:gridSpan w:val="4"/>
            <w:tcBorders>
              <w:top w:val="single" w:sz="2" w:space="0" w:color="auto"/>
              <w:left w:val="single" w:sz="2" w:space="0" w:color="auto"/>
              <w:bottom w:val="single" w:sz="2" w:space="0" w:color="auto"/>
              <w:right w:val="single" w:sz="2" w:space="0" w:color="auto"/>
            </w:tcBorders>
          </w:tcPr>
          <w:p w14:paraId="42650EA5" w14:textId="77777777" w:rsidR="005F4B71" w:rsidRPr="00DE12A3" w:rsidRDefault="005F4B71" w:rsidP="00C917D6">
            <w:pPr>
              <w:pStyle w:val="NormalCentered"/>
            </w:pPr>
            <w:r w:rsidRPr="00DE12A3">
              <w:rPr>
                <w:iCs/>
              </w:rPr>
              <w:t xml:space="preserve">Tip F </w:t>
            </w:r>
            <w:r w:rsidR="00F310B5" w:rsidRPr="00DE12A3">
              <w:rPr>
                <w:iCs/>
              </w:rPr>
              <w:t>çevrim</w:t>
            </w:r>
            <w:r w:rsidRPr="00DE12A3">
              <w:rPr>
                <w:iCs/>
              </w:rPr>
              <w:t xml:space="preserve"> test modları ve ağırlıklandırma faktörleri tablosu</w:t>
            </w:r>
          </w:p>
        </w:tc>
      </w:tr>
      <w:tr w:rsidR="00DE12A3" w:rsidRPr="00DE12A3" w14:paraId="1BF639FA" w14:textId="77777777" w:rsidTr="0047668F">
        <w:tc>
          <w:tcPr>
            <w:tcW w:w="2050" w:type="dxa"/>
            <w:tcBorders>
              <w:top w:val="single" w:sz="2" w:space="0" w:color="auto"/>
              <w:left w:val="single" w:sz="2" w:space="0" w:color="auto"/>
              <w:bottom w:val="single" w:sz="2" w:space="0" w:color="auto"/>
              <w:right w:val="single" w:sz="2" w:space="0" w:color="auto"/>
            </w:tcBorders>
          </w:tcPr>
          <w:p w14:paraId="3C4278F5" w14:textId="77777777" w:rsidR="005F4B71" w:rsidRPr="00DE12A3" w:rsidRDefault="005F4B71" w:rsidP="00C917D6">
            <w:pPr>
              <w:spacing w:before="120" w:after="120"/>
              <w:rPr>
                <w:rFonts w:cs="Times New Roman"/>
                <w:color w:val="auto"/>
              </w:rPr>
            </w:pPr>
            <w:r w:rsidRPr="00DE12A3">
              <w:rPr>
                <w:rFonts w:cs="Times New Roman"/>
                <w:color w:val="auto"/>
              </w:rPr>
              <w:t>Mod numarası</w:t>
            </w:r>
          </w:p>
        </w:tc>
        <w:tc>
          <w:tcPr>
            <w:tcW w:w="1346" w:type="dxa"/>
            <w:tcBorders>
              <w:top w:val="single" w:sz="2" w:space="0" w:color="auto"/>
              <w:left w:val="single" w:sz="2" w:space="0" w:color="auto"/>
              <w:bottom w:val="single" w:sz="2" w:space="0" w:color="auto"/>
              <w:right w:val="single" w:sz="2" w:space="0" w:color="auto"/>
            </w:tcBorders>
          </w:tcPr>
          <w:p w14:paraId="5D2711FD" w14:textId="77777777" w:rsidR="005F4B71" w:rsidRPr="00DE12A3" w:rsidRDefault="005F4B71" w:rsidP="00C917D6">
            <w:pPr>
              <w:pStyle w:val="NormalLeft"/>
            </w:pPr>
            <w:r w:rsidRPr="00DE12A3">
              <w:t>1</w:t>
            </w:r>
          </w:p>
        </w:tc>
        <w:tc>
          <w:tcPr>
            <w:tcW w:w="1602" w:type="dxa"/>
            <w:tcBorders>
              <w:top w:val="single" w:sz="2" w:space="0" w:color="auto"/>
              <w:left w:val="single" w:sz="2" w:space="0" w:color="auto"/>
              <w:bottom w:val="single" w:sz="2" w:space="0" w:color="auto"/>
              <w:right w:val="single" w:sz="2" w:space="0" w:color="auto"/>
            </w:tcBorders>
          </w:tcPr>
          <w:p w14:paraId="3EE9FF96" w14:textId="77777777" w:rsidR="005F4B71" w:rsidRPr="00DE12A3" w:rsidRDefault="005F4B71" w:rsidP="00C917D6">
            <w:pPr>
              <w:pStyle w:val="NormalLeft"/>
            </w:pPr>
            <w:r w:rsidRPr="00DE12A3">
              <w:t>2</w:t>
            </w:r>
            <w:r w:rsidRPr="00DE12A3">
              <w:rPr>
                <w:rStyle w:val="DipnotBavurusu"/>
              </w:rPr>
              <w:t>d</w:t>
            </w:r>
          </w:p>
        </w:tc>
        <w:tc>
          <w:tcPr>
            <w:tcW w:w="1184" w:type="dxa"/>
            <w:tcBorders>
              <w:top w:val="single" w:sz="2" w:space="0" w:color="auto"/>
              <w:left w:val="single" w:sz="2" w:space="0" w:color="auto"/>
              <w:bottom w:val="single" w:sz="2" w:space="0" w:color="auto"/>
              <w:right w:val="single" w:sz="2" w:space="0" w:color="auto"/>
            </w:tcBorders>
          </w:tcPr>
          <w:p w14:paraId="31FEEDD1" w14:textId="77777777" w:rsidR="005F4B71" w:rsidRPr="00DE12A3" w:rsidRDefault="005F4B71" w:rsidP="00C917D6">
            <w:pPr>
              <w:pStyle w:val="NormalLeft"/>
            </w:pPr>
            <w:r w:rsidRPr="00DE12A3">
              <w:t>3</w:t>
            </w:r>
          </w:p>
        </w:tc>
      </w:tr>
      <w:tr w:rsidR="00DE12A3" w:rsidRPr="00DE12A3" w14:paraId="628BEBEE" w14:textId="77777777" w:rsidTr="0047668F">
        <w:tc>
          <w:tcPr>
            <w:tcW w:w="2050" w:type="dxa"/>
            <w:tcBorders>
              <w:top w:val="single" w:sz="2" w:space="0" w:color="auto"/>
              <w:left w:val="single" w:sz="2" w:space="0" w:color="auto"/>
              <w:bottom w:val="single" w:sz="2" w:space="0" w:color="auto"/>
              <w:right w:val="single" w:sz="2" w:space="0" w:color="auto"/>
            </w:tcBorders>
          </w:tcPr>
          <w:p w14:paraId="501AF77F" w14:textId="77777777" w:rsidR="005F4B71" w:rsidRPr="00DE12A3" w:rsidRDefault="005F4B71" w:rsidP="00C917D6">
            <w:pPr>
              <w:spacing w:before="120" w:after="120"/>
              <w:rPr>
                <w:rFonts w:cs="Times New Roman"/>
                <w:color w:val="auto"/>
              </w:rPr>
            </w:pPr>
            <w:r w:rsidRPr="00DE12A3">
              <w:rPr>
                <w:rFonts w:cs="Times New Roman"/>
                <w:color w:val="auto"/>
              </w:rPr>
              <w:t xml:space="preserve">Devir </w:t>
            </w:r>
            <w:r w:rsidRPr="00DE12A3">
              <w:rPr>
                <w:rFonts w:cs="Times New Roman"/>
                <w:color w:val="auto"/>
                <w:vertAlign w:val="superscript"/>
              </w:rPr>
              <w:t>(a)</w:t>
            </w:r>
          </w:p>
        </w:tc>
        <w:tc>
          <w:tcPr>
            <w:tcW w:w="1346" w:type="dxa"/>
            <w:tcBorders>
              <w:top w:val="single" w:sz="2" w:space="0" w:color="auto"/>
              <w:left w:val="single" w:sz="2" w:space="0" w:color="auto"/>
              <w:bottom w:val="single" w:sz="2" w:space="0" w:color="auto"/>
              <w:right w:val="single" w:sz="2" w:space="0" w:color="auto"/>
            </w:tcBorders>
          </w:tcPr>
          <w:p w14:paraId="3595AE83" w14:textId="77777777" w:rsidR="005F4B71" w:rsidRPr="00DE12A3" w:rsidRDefault="005F4B71" w:rsidP="00C917D6">
            <w:pPr>
              <w:pStyle w:val="NormalLeft"/>
            </w:pPr>
            <w:r w:rsidRPr="00DE12A3">
              <w:t>100 %</w:t>
            </w:r>
          </w:p>
        </w:tc>
        <w:tc>
          <w:tcPr>
            <w:tcW w:w="1602" w:type="dxa"/>
            <w:tcBorders>
              <w:top w:val="single" w:sz="2" w:space="0" w:color="auto"/>
              <w:left w:val="single" w:sz="2" w:space="0" w:color="auto"/>
              <w:bottom w:val="single" w:sz="2" w:space="0" w:color="auto"/>
              <w:right w:val="single" w:sz="2" w:space="0" w:color="auto"/>
            </w:tcBorders>
          </w:tcPr>
          <w:p w14:paraId="4A54963B" w14:textId="77777777" w:rsidR="005F4B71" w:rsidRPr="00DE12A3" w:rsidRDefault="005F4B71" w:rsidP="00C917D6">
            <w:pPr>
              <w:pStyle w:val="NormalLeft"/>
            </w:pPr>
            <w:r w:rsidRPr="00DE12A3">
              <w:t>Orta</w:t>
            </w:r>
          </w:p>
        </w:tc>
        <w:tc>
          <w:tcPr>
            <w:tcW w:w="1184" w:type="dxa"/>
            <w:tcBorders>
              <w:top w:val="single" w:sz="2" w:space="0" w:color="auto"/>
              <w:left w:val="single" w:sz="2" w:space="0" w:color="auto"/>
              <w:bottom w:val="single" w:sz="2" w:space="0" w:color="auto"/>
              <w:right w:val="single" w:sz="2" w:space="0" w:color="auto"/>
            </w:tcBorders>
          </w:tcPr>
          <w:p w14:paraId="2A142994" w14:textId="77777777" w:rsidR="005F4B71" w:rsidRPr="00DE12A3" w:rsidRDefault="005F4B71" w:rsidP="00C917D6">
            <w:pPr>
              <w:pStyle w:val="NormalLeft"/>
            </w:pPr>
            <w:r w:rsidRPr="00DE12A3">
              <w:t>Rölanti</w:t>
            </w:r>
          </w:p>
        </w:tc>
      </w:tr>
      <w:tr w:rsidR="00DE12A3" w:rsidRPr="00DE12A3" w14:paraId="7B697A57" w14:textId="77777777" w:rsidTr="0047668F">
        <w:tc>
          <w:tcPr>
            <w:tcW w:w="2050" w:type="dxa"/>
            <w:tcBorders>
              <w:top w:val="single" w:sz="2" w:space="0" w:color="auto"/>
              <w:left w:val="single" w:sz="2" w:space="0" w:color="auto"/>
              <w:bottom w:val="single" w:sz="2" w:space="0" w:color="auto"/>
              <w:right w:val="single" w:sz="2" w:space="0" w:color="auto"/>
            </w:tcBorders>
          </w:tcPr>
          <w:p w14:paraId="2CE6E925" w14:textId="77777777" w:rsidR="005F4B71" w:rsidRPr="00DE12A3" w:rsidRDefault="005F4B71" w:rsidP="00C917D6">
            <w:pPr>
              <w:spacing w:before="120" w:after="120"/>
              <w:rPr>
                <w:rFonts w:cs="Times New Roman"/>
                <w:color w:val="auto"/>
              </w:rPr>
            </w:pPr>
            <w:r w:rsidRPr="00DE12A3">
              <w:rPr>
                <w:rFonts w:cs="Times New Roman"/>
                <w:color w:val="auto"/>
              </w:rPr>
              <w:t>Güç (%)</w:t>
            </w:r>
          </w:p>
        </w:tc>
        <w:tc>
          <w:tcPr>
            <w:tcW w:w="1346" w:type="dxa"/>
            <w:tcBorders>
              <w:top w:val="single" w:sz="2" w:space="0" w:color="auto"/>
              <w:left w:val="single" w:sz="2" w:space="0" w:color="auto"/>
              <w:bottom w:val="single" w:sz="2" w:space="0" w:color="auto"/>
              <w:right w:val="single" w:sz="2" w:space="0" w:color="auto"/>
            </w:tcBorders>
          </w:tcPr>
          <w:p w14:paraId="318B088F" w14:textId="77777777" w:rsidR="005F4B71" w:rsidRPr="00DE12A3" w:rsidRDefault="005F4B71" w:rsidP="00C917D6">
            <w:pPr>
              <w:pStyle w:val="NormalLeft"/>
            </w:pPr>
            <w:r w:rsidRPr="00DE12A3">
              <w:t>100</w:t>
            </w:r>
            <w:r w:rsidRPr="00DE12A3">
              <w:rPr>
                <w:rStyle w:val="DipnotBavurusu"/>
              </w:rPr>
              <w:t>c</w:t>
            </w:r>
          </w:p>
        </w:tc>
        <w:tc>
          <w:tcPr>
            <w:tcW w:w="1602" w:type="dxa"/>
            <w:tcBorders>
              <w:top w:val="single" w:sz="2" w:space="0" w:color="auto"/>
              <w:left w:val="single" w:sz="2" w:space="0" w:color="auto"/>
              <w:bottom w:val="single" w:sz="2" w:space="0" w:color="auto"/>
              <w:right w:val="single" w:sz="2" w:space="0" w:color="auto"/>
            </w:tcBorders>
          </w:tcPr>
          <w:p w14:paraId="3DD420CE" w14:textId="77777777" w:rsidR="005F4B71" w:rsidRPr="00DE12A3" w:rsidRDefault="005F4B71" w:rsidP="00C917D6">
            <w:pPr>
              <w:pStyle w:val="NormalLeft"/>
            </w:pPr>
            <w:r w:rsidRPr="00DE12A3">
              <w:t>50</w:t>
            </w:r>
            <w:r w:rsidRPr="00DE12A3">
              <w:rPr>
                <w:rStyle w:val="DipnotBavurusu"/>
              </w:rPr>
              <w:t>c</w:t>
            </w:r>
          </w:p>
        </w:tc>
        <w:tc>
          <w:tcPr>
            <w:tcW w:w="1184" w:type="dxa"/>
            <w:tcBorders>
              <w:top w:val="single" w:sz="2" w:space="0" w:color="auto"/>
              <w:left w:val="single" w:sz="2" w:space="0" w:color="auto"/>
              <w:bottom w:val="single" w:sz="2" w:space="0" w:color="auto"/>
              <w:right w:val="single" w:sz="2" w:space="0" w:color="auto"/>
            </w:tcBorders>
          </w:tcPr>
          <w:p w14:paraId="0DFB43EC" w14:textId="77777777" w:rsidR="005F4B71" w:rsidRPr="00DE12A3" w:rsidRDefault="005F4B71" w:rsidP="00C917D6">
            <w:pPr>
              <w:pStyle w:val="NormalLeft"/>
            </w:pPr>
            <w:r w:rsidRPr="00DE12A3">
              <w:t>5</w:t>
            </w:r>
            <w:r w:rsidRPr="00DE12A3">
              <w:rPr>
                <w:rStyle w:val="DipnotBavurusu"/>
              </w:rPr>
              <w:t>b</w:t>
            </w:r>
          </w:p>
        </w:tc>
      </w:tr>
      <w:tr w:rsidR="005F4B71" w:rsidRPr="00DE12A3" w14:paraId="01D8565C" w14:textId="77777777" w:rsidTr="0047668F">
        <w:tc>
          <w:tcPr>
            <w:tcW w:w="2050" w:type="dxa"/>
            <w:tcBorders>
              <w:top w:val="single" w:sz="2" w:space="0" w:color="auto"/>
              <w:left w:val="single" w:sz="2" w:space="0" w:color="auto"/>
              <w:bottom w:val="single" w:sz="2" w:space="0" w:color="auto"/>
              <w:right w:val="single" w:sz="2" w:space="0" w:color="auto"/>
            </w:tcBorders>
          </w:tcPr>
          <w:p w14:paraId="188751FF" w14:textId="77777777" w:rsidR="005F4B71" w:rsidRPr="00DE12A3" w:rsidRDefault="005F4B71" w:rsidP="00C917D6">
            <w:pPr>
              <w:spacing w:before="120" w:after="120"/>
              <w:rPr>
                <w:rFonts w:cs="Times New Roman"/>
                <w:color w:val="auto"/>
              </w:rPr>
            </w:pPr>
            <w:r w:rsidRPr="00DE12A3">
              <w:rPr>
                <w:rFonts w:cs="Times New Roman"/>
                <w:color w:val="auto"/>
              </w:rPr>
              <w:t>Ağırlıklandırma faktörü</w:t>
            </w:r>
          </w:p>
        </w:tc>
        <w:tc>
          <w:tcPr>
            <w:tcW w:w="1346" w:type="dxa"/>
            <w:tcBorders>
              <w:top w:val="single" w:sz="2" w:space="0" w:color="auto"/>
              <w:left w:val="single" w:sz="2" w:space="0" w:color="auto"/>
              <w:bottom w:val="single" w:sz="2" w:space="0" w:color="auto"/>
              <w:right w:val="single" w:sz="2" w:space="0" w:color="auto"/>
            </w:tcBorders>
          </w:tcPr>
          <w:p w14:paraId="1A6156D1" w14:textId="77777777" w:rsidR="005F4B71" w:rsidRPr="00DE12A3" w:rsidRDefault="005F4B71" w:rsidP="00C917D6">
            <w:pPr>
              <w:pStyle w:val="NormalLeft"/>
            </w:pPr>
            <w:r w:rsidRPr="00DE12A3">
              <w:t>0,15</w:t>
            </w:r>
          </w:p>
        </w:tc>
        <w:tc>
          <w:tcPr>
            <w:tcW w:w="1602" w:type="dxa"/>
            <w:tcBorders>
              <w:top w:val="single" w:sz="2" w:space="0" w:color="auto"/>
              <w:left w:val="single" w:sz="2" w:space="0" w:color="auto"/>
              <w:bottom w:val="single" w:sz="2" w:space="0" w:color="auto"/>
              <w:right w:val="single" w:sz="2" w:space="0" w:color="auto"/>
            </w:tcBorders>
          </w:tcPr>
          <w:p w14:paraId="234C45BA" w14:textId="77777777" w:rsidR="005F4B71" w:rsidRPr="00DE12A3" w:rsidRDefault="005F4B71" w:rsidP="00C917D6">
            <w:pPr>
              <w:pStyle w:val="NormalLeft"/>
            </w:pPr>
            <w:r w:rsidRPr="00DE12A3">
              <w:t>0,25</w:t>
            </w:r>
          </w:p>
        </w:tc>
        <w:tc>
          <w:tcPr>
            <w:tcW w:w="1184" w:type="dxa"/>
            <w:tcBorders>
              <w:top w:val="single" w:sz="2" w:space="0" w:color="auto"/>
              <w:left w:val="single" w:sz="2" w:space="0" w:color="auto"/>
              <w:bottom w:val="single" w:sz="2" w:space="0" w:color="auto"/>
              <w:right w:val="single" w:sz="2" w:space="0" w:color="auto"/>
            </w:tcBorders>
          </w:tcPr>
          <w:p w14:paraId="401BB415" w14:textId="77777777" w:rsidR="005F4B71" w:rsidRPr="00DE12A3" w:rsidRDefault="005F4B71" w:rsidP="00C917D6">
            <w:pPr>
              <w:pStyle w:val="NormalLeft"/>
            </w:pPr>
            <w:r w:rsidRPr="00DE12A3">
              <w:t>0,6</w:t>
            </w:r>
          </w:p>
        </w:tc>
      </w:tr>
    </w:tbl>
    <w:p w14:paraId="6375BAE5" w14:textId="77777777" w:rsidR="009F4766" w:rsidRPr="00DE12A3" w:rsidRDefault="009F4766" w:rsidP="00C917D6">
      <w:pPr>
        <w:spacing w:before="120" w:after="120"/>
        <w:rPr>
          <w:rFonts w:cs="Times New Roman"/>
          <w:color w:val="auto"/>
        </w:rPr>
      </w:pPr>
    </w:p>
    <w:p w14:paraId="368FDB3B" w14:textId="3B2E8828" w:rsidR="005F4B71" w:rsidRPr="00DE12A3" w:rsidRDefault="005F4B71" w:rsidP="00C917D6">
      <w:pPr>
        <w:pStyle w:val="Gvdemetni21"/>
        <w:shd w:val="clear" w:color="auto" w:fill="auto"/>
        <w:spacing w:after="120" w:line="240" w:lineRule="auto"/>
        <w:ind w:left="1701" w:firstLine="0"/>
        <w:jc w:val="both"/>
        <w:rPr>
          <w:sz w:val="16"/>
          <w:szCs w:val="16"/>
        </w:rPr>
      </w:pPr>
      <w:r w:rsidRPr="00DE12A3">
        <w:rPr>
          <w:rStyle w:val="Gvdemetni95pt0ptbolukbraklyor"/>
          <w:color w:val="auto"/>
        </w:rPr>
        <w:t>(</w:t>
      </w:r>
      <w:r w:rsidRPr="00DE12A3">
        <w:rPr>
          <w:rStyle w:val="Gvdemetni95pt0ptbolukbraklyor"/>
          <w:color w:val="auto"/>
          <w:vertAlign w:val="superscript"/>
        </w:rPr>
        <w:t>a</w:t>
      </w:r>
      <w:r w:rsidRPr="00DE12A3">
        <w:rPr>
          <w:rStyle w:val="Gvdemetni95pt0ptbolukbraklyor"/>
          <w:color w:val="auto"/>
        </w:rPr>
        <w:t>)</w:t>
      </w:r>
      <w:r w:rsidRPr="00DE12A3">
        <w:rPr>
          <w:sz w:val="16"/>
          <w:szCs w:val="16"/>
        </w:rPr>
        <w:t xml:space="preserve">Gereken test devirlerinin belirlenmesi için </w:t>
      </w:r>
      <w:r w:rsidR="00FA0678" w:rsidRPr="00DE12A3">
        <w:rPr>
          <w:sz w:val="16"/>
          <w:szCs w:val="16"/>
        </w:rPr>
        <w:t>VI’ncı ek</w:t>
      </w:r>
      <w:r w:rsidRPr="00DE12A3">
        <w:rPr>
          <w:sz w:val="16"/>
          <w:szCs w:val="16"/>
        </w:rPr>
        <w:t xml:space="preserve">in 5.2.5, 7.6 ve 7.7 </w:t>
      </w:r>
      <w:r w:rsidR="00BB33FF" w:rsidRPr="00DE12A3">
        <w:rPr>
          <w:sz w:val="16"/>
          <w:szCs w:val="16"/>
        </w:rPr>
        <w:t xml:space="preserve">bentlerine </w:t>
      </w:r>
      <w:r w:rsidRPr="00DE12A3">
        <w:rPr>
          <w:sz w:val="16"/>
          <w:szCs w:val="16"/>
        </w:rPr>
        <w:t>bakınız.</w:t>
      </w:r>
    </w:p>
    <w:p w14:paraId="47DA3076" w14:textId="77777777" w:rsidR="005F4B71" w:rsidRPr="00DE12A3" w:rsidRDefault="005F4B71" w:rsidP="00C917D6">
      <w:pPr>
        <w:pStyle w:val="Gvdemetni21"/>
        <w:shd w:val="clear" w:color="auto" w:fill="auto"/>
        <w:tabs>
          <w:tab w:val="right" w:pos="2327"/>
          <w:tab w:val="left" w:pos="2442"/>
          <w:tab w:val="left" w:pos="2459"/>
          <w:tab w:val="left" w:pos="2727"/>
        </w:tabs>
        <w:spacing w:after="120" w:line="240" w:lineRule="auto"/>
        <w:ind w:left="1701" w:firstLine="0"/>
        <w:jc w:val="both"/>
        <w:rPr>
          <w:sz w:val="16"/>
          <w:szCs w:val="16"/>
        </w:rPr>
      </w:pPr>
      <w:r w:rsidRPr="00DE12A3">
        <w:rPr>
          <w:rStyle w:val="Gvdemetni95pt0ptbolukbraklyor"/>
          <w:color w:val="auto"/>
        </w:rPr>
        <w:t>(</w:t>
      </w:r>
      <w:r w:rsidRPr="00DE12A3">
        <w:rPr>
          <w:rStyle w:val="Gvdemetni95pt0ptbolukbraklyor"/>
          <w:color w:val="auto"/>
          <w:vertAlign w:val="superscript"/>
        </w:rPr>
        <w:t>b</w:t>
      </w:r>
      <w:r w:rsidRPr="00DE12A3">
        <w:rPr>
          <w:rStyle w:val="Gvdemetni95pt0ptbolukbraklyor"/>
          <w:color w:val="auto"/>
        </w:rPr>
        <w:t>)</w:t>
      </w:r>
      <w:r w:rsidRPr="00DE12A3">
        <w:rPr>
          <w:rStyle w:val="Gvdemetni95pt0ptbolukbraklyor"/>
          <w:color w:val="auto"/>
        </w:rPr>
        <w:tab/>
      </w:r>
      <w:r w:rsidRPr="00DE12A3">
        <w:rPr>
          <w:sz w:val="16"/>
          <w:szCs w:val="16"/>
        </w:rPr>
        <w:t>Bu moddaki % güç, mod 1'deki güce bağlıdır.</w:t>
      </w:r>
    </w:p>
    <w:p w14:paraId="18820A64" w14:textId="77777777" w:rsidR="005F4B71" w:rsidRPr="00DE12A3" w:rsidRDefault="005F4B71" w:rsidP="00C917D6">
      <w:pPr>
        <w:pStyle w:val="Gvdemetni21"/>
        <w:shd w:val="clear" w:color="auto" w:fill="auto"/>
        <w:tabs>
          <w:tab w:val="right" w:pos="2327"/>
          <w:tab w:val="left" w:pos="2442"/>
          <w:tab w:val="left" w:pos="2459"/>
          <w:tab w:val="left" w:pos="2727"/>
          <w:tab w:val="center" w:pos="4227"/>
          <w:tab w:val="center" w:pos="4228"/>
          <w:tab w:val="center" w:pos="4681"/>
          <w:tab w:val="center" w:pos="5396"/>
          <w:tab w:val="left" w:pos="5732"/>
        </w:tabs>
        <w:spacing w:after="120" w:line="240" w:lineRule="auto"/>
        <w:ind w:left="1701" w:firstLine="0"/>
        <w:jc w:val="both"/>
        <w:rPr>
          <w:sz w:val="16"/>
          <w:szCs w:val="16"/>
        </w:rPr>
      </w:pPr>
      <w:r w:rsidRPr="00DE12A3">
        <w:rPr>
          <w:rStyle w:val="Gvdemetni95pt0ptbolukbraklyor"/>
          <w:color w:val="auto"/>
        </w:rPr>
        <w:t>(</w:t>
      </w:r>
      <w:r w:rsidRPr="00DE12A3">
        <w:rPr>
          <w:rStyle w:val="Gvdemetni95pt0ptbolukbraklyor"/>
          <w:color w:val="auto"/>
          <w:vertAlign w:val="superscript"/>
        </w:rPr>
        <w:t>c</w:t>
      </w:r>
      <w:r w:rsidRPr="00DE12A3">
        <w:rPr>
          <w:rStyle w:val="Gvdemetni95pt0ptbolukbraklyor"/>
          <w:color w:val="auto"/>
        </w:rPr>
        <w:t>)</w:t>
      </w:r>
      <w:r w:rsidRPr="00DE12A3">
        <w:rPr>
          <w:rStyle w:val="Gvdemetni95pt0ptbolukbraklyor"/>
          <w:color w:val="auto"/>
        </w:rPr>
        <w:tab/>
      </w:r>
      <w:r w:rsidRPr="00DE12A3">
        <w:rPr>
          <w:sz w:val="16"/>
          <w:szCs w:val="16"/>
        </w:rPr>
        <w:t>Bu moddaki % güç, komut verilen motor devrindeki azami net güce bağlıdır.</w:t>
      </w:r>
    </w:p>
    <w:p w14:paraId="4FD56AE7" w14:textId="06985253" w:rsidR="005F4B71" w:rsidRPr="00DE12A3" w:rsidRDefault="005F4B71" w:rsidP="00C917D6">
      <w:pPr>
        <w:pStyle w:val="Gvdemetni21"/>
        <w:shd w:val="clear" w:color="auto" w:fill="auto"/>
        <w:tabs>
          <w:tab w:val="center" w:pos="4431"/>
          <w:tab w:val="center" w:pos="5055"/>
          <w:tab w:val="center" w:pos="5056"/>
          <w:tab w:val="right" w:pos="5698"/>
          <w:tab w:val="left" w:pos="5732"/>
        </w:tabs>
        <w:spacing w:after="120" w:line="240" w:lineRule="auto"/>
        <w:ind w:left="1701" w:firstLine="0"/>
        <w:jc w:val="both"/>
        <w:rPr>
          <w:sz w:val="16"/>
          <w:szCs w:val="16"/>
        </w:rPr>
      </w:pPr>
      <w:r w:rsidRPr="00DE12A3">
        <w:rPr>
          <w:rStyle w:val="Gvdemetni95pt0ptbolukbraklyor"/>
          <w:color w:val="auto"/>
        </w:rPr>
        <w:t>(</w:t>
      </w:r>
      <w:r w:rsidRPr="00DE12A3">
        <w:rPr>
          <w:rStyle w:val="Gvdemetni95pt0ptbolukbraklyor"/>
          <w:color w:val="auto"/>
          <w:vertAlign w:val="superscript"/>
        </w:rPr>
        <w:t>d</w:t>
      </w:r>
      <w:r w:rsidRPr="00DE12A3">
        <w:rPr>
          <w:rStyle w:val="Gvdemetni95pt0ptbolukbraklyor"/>
          <w:color w:val="auto"/>
        </w:rPr>
        <w:t>)</w:t>
      </w:r>
      <w:r w:rsidRPr="00DE12A3">
        <w:rPr>
          <w:rStyle w:val="Gvdemetni95pt0ptbolukbraklyor"/>
          <w:color w:val="auto"/>
        </w:rPr>
        <w:tab/>
      </w:r>
      <w:r w:rsidRPr="00DE12A3">
        <w:rPr>
          <w:sz w:val="16"/>
          <w:szCs w:val="16"/>
        </w:rPr>
        <w:t xml:space="preserve"> Bir </w:t>
      </w:r>
      <w:r w:rsidR="00856833" w:rsidRPr="00DE12A3">
        <w:rPr>
          <w:sz w:val="16"/>
          <w:szCs w:val="16"/>
        </w:rPr>
        <w:t xml:space="preserve">münferit </w:t>
      </w:r>
      <w:r w:rsidRPr="00DE12A3">
        <w:rPr>
          <w:sz w:val="16"/>
          <w:szCs w:val="16"/>
        </w:rPr>
        <w:t>kontrol sistemi (yani çentik tipi kontroller) kullanan motorlar için mod 2, mod 2'ye en yakın çentikte veya nominal gücün % 35'inde çalışma olarak tanımlanır.</w:t>
      </w:r>
    </w:p>
    <w:p w14:paraId="4973122F" w14:textId="77777777" w:rsidR="005F4B71" w:rsidRPr="00DE12A3" w:rsidRDefault="005F4B71" w:rsidP="00C917D6">
      <w:pPr>
        <w:spacing w:before="120" w:after="120"/>
        <w:rPr>
          <w:rFonts w:cs="Times New Roman"/>
          <w:color w:val="auto"/>
        </w:rPr>
      </w:pPr>
    </w:p>
    <w:p w14:paraId="5E8D6EFD" w14:textId="77777777" w:rsidR="00E730D6" w:rsidRPr="00DE12A3" w:rsidRDefault="005F4B71" w:rsidP="00051047">
      <w:pPr>
        <w:jc w:val="center"/>
        <w:rPr>
          <w:b/>
          <w:color w:val="auto"/>
        </w:rPr>
      </w:pPr>
      <w:r w:rsidRPr="00DE12A3">
        <w:rPr>
          <w:b/>
          <w:color w:val="auto"/>
        </w:rPr>
        <w:t xml:space="preserve">Tip G test </w:t>
      </w:r>
      <w:r w:rsidR="00F310B5" w:rsidRPr="00DE12A3">
        <w:rPr>
          <w:b/>
          <w:color w:val="auto"/>
        </w:rPr>
        <w:t>çevrim</w:t>
      </w:r>
      <w:r w:rsidRPr="00DE12A3">
        <w:rPr>
          <w:b/>
          <w:color w:val="auto"/>
        </w:rPr>
        <w:t>leri</w:t>
      </w:r>
    </w:p>
    <w:tbl>
      <w:tblPr>
        <w:tblW w:w="10298" w:type="dxa"/>
        <w:tblLayout w:type="fixed"/>
        <w:tblLook w:val="0000" w:firstRow="0" w:lastRow="0" w:firstColumn="0" w:lastColumn="0" w:noHBand="0" w:noVBand="0"/>
      </w:tblPr>
      <w:tblGrid>
        <w:gridCol w:w="1809"/>
        <w:gridCol w:w="740"/>
        <w:gridCol w:w="709"/>
        <w:gridCol w:w="708"/>
        <w:gridCol w:w="709"/>
        <w:gridCol w:w="709"/>
        <w:gridCol w:w="709"/>
        <w:gridCol w:w="708"/>
        <w:gridCol w:w="709"/>
        <w:gridCol w:w="709"/>
        <w:gridCol w:w="709"/>
        <w:gridCol w:w="1134"/>
        <w:gridCol w:w="236"/>
      </w:tblGrid>
      <w:tr w:rsidR="00DE12A3" w:rsidRPr="00DE12A3" w14:paraId="13C18687" w14:textId="77777777" w:rsidTr="009849CC">
        <w:trPr>
          <w:trHeight w:val="595"/>
        </w:trPr>
        <w:tc>
          <w:tcPr>
            <w:tcW w:w="10062" w:type="dxa"/>
            <w:gridSpan w:val="12"/>
            <w:tcBorders>
              <w:top w:val="single" w:sz="2" w:space="0" w:color="auto"/>
              <w:left w:val="single" w:sz="2" w:space="0" w:color="auto"/>
              <w:bottom w:val="single" w:sz="2" w:space="0" w:color="auto"/>
              <w:right w:val="single" w:sz="2" w:space="0" w:color="auto"/>
            </w:tcBorders>
          </w:tcPr>
          <w:p w14:paraId="72E7B88C" w14:textId="77777777" w:rsidR="009F4766" w:rsidRPr="00DE12A3" w:rsidRDefault="005F4B71" w:rsidP="00C917D6">
            <w:pPr>
              <w:pStyle w:val="NormalCentered"/>
              <w:tabs>
                <w:tab w:val="left" w:pos="8483"/>
              </w:tabs>
            </w:pPr>
            <w:r w:rsidRPr="00DE12A3">
              <w:rPr>
                <w:iCs/>
              </w:rPr>
              <w:t xml:space="preserve">Tip G </w:t>
            </w:r>
            <w:r w:rsidR="00F310B5" w:rsidRPr="00DE12A3">
              <w:rPr>
                <w:iCs/>
              </w:rPr>
              <w:t>çevrim</w:t>
            </w:r>
            <w:r w:rsidRPr="00DE12A3">
              <w:rPr>
                <w:iCs/>
              </w:rPr>
              <w:t xml:space="preserve"> test modları ve ağırlıklandırma faktörleri tablosu</w:t>
            </w:r>
          </w:p>
        </w:tc>
        <w:tc>
          <w:tcPr>
            <w:tcW w:w="236" w:type="dxa"/>
          </w:tcPr>
          <w:p w14:paraId="3E9FCE7E" w14:textId="77777777" w:rsidR="009F4766" w:rsidRPr="00DE12A3" w:rsidRDefault="005F4B71" w:rsidP="00C917D6">
            <w:pPr>
              <w:widowControl/>
              <w:tabs>
                <w:tab w:val="left" w:pos="8483"/>
              </w:tabs>
              <w:spacing w:before="120" w:after="120"/>
              <w:ind w:left="-7300"/>
              <w:rPr>
                <w:rFonts w:cs="Times New Roman"/>
                <w:color w:val="auto"/>
              </w:rPr>
            </w:pPr>
            <w:r w:rsidRPr="00DE12A3">
              <w:rPr>
                <w:rFonts w:cs="Times New Roman"/>
                <w:color w:val="auto"/>
              </w:rPr>
              <w:t>Tip G döngü test modları ve ağırlıklandırma faktörleri tablosu</w:t>
            </w:r>
          </w:p>
        </w:tc>
      </w:tr>
      <w:tr w:rsidR="00DE12A3" w:rsidRPr="00DE12A3" w14:paraId="727FB35A" w14:textId="77777777" w:rsidTr="009849CC">
        <w:trPr>
          <w:gridAfter w:val="1"/>
          <w:wAfter w:w="236" w:type="dxa"/>
        </w:trPr>
        <w:tc>
          <w:tcPr>
            <w:tcW w:w="1809" w:type="dxa"/>
            <w:tcBorders>
              <w:top w:val="single" w:sz="2" w:space="0" w:color="auto"/>
              <w:left w:val="single" w:sz="2" w:space="0" w:color="auto"/>
              <w:bottom w:val="single" w:sz="2" w:space="0" w:color="auto"/>
              <w:right w:val="single" w:sz="2" w:space="0" w:color="auto"/>
            </w:tcBorders>
          </w:tcPr>
          <w:p w14:paraId="025298DA" w14:textId="77777777" w:rsidR="00861C3B" w:rsidRPr="00DE12A3" w:rsidRDefault="00861C3B" w:rsidP="00C917D6">
            <w:pPr>
              <w:spacing w:before="120" w:after="120"/>
              <w:rPr>
                <w:rFonts w:cs="Times New Roman"/>
                <w:color w:val="auto"/>
              </w:rPr>
            </w:pPr>
            <w:r w:rsidRPr="00DE12A3">
              <w:rPr>
                <w:rFonts w:cs="Times New Roman"/>
                <w:color w:val="auto"/>
              </w:rPr>
              <w:t>Mod numarası (</w:t>
            </w:r>
            <w:r w:rsidR="00F310B5" w:rsidRPr="00DE12A3">
              <w:rPr>
                <w:rFonts w:cs="Times New Roman"/>
                <w:color w:val="auto"/>
              </w:rPr>
              <w:t>çevrim</w:t>
            </w:r>
            <w:r w:rsidRPr="00DE12A3">
              <w:rPr>
                <w:rFonts w:cs="Times New Roman"/>
                <w:color w:val="auto"/>
              </w:rPr>
              <w:t xml:space="preserve"> G1)</w:t>
            </w:r>
          </w:p>
        </w:tc>
        <w:tc>
          <w:tcPr>
            <w:tcW w:w="740" w:type="dxa"/>
            <w:tcBorders>
              <w:top w:val="single" w:sz="2" w:space="0" w:color="auto"/>
              <w:left w:val="single" w:sz="2" w:space="0" w:color="auto"/>
              <w:bottom w:val="single" w:sz="2" w:space="0" w:color="auto"/>
              <w:right w:val="single" w:sz="2" w:space="0" w:color="auto"/>
            </w:tcBorders>
          </w:tcPr>
          <w:p w14:paraId="35BE9253" w14:textId="77777777" w:rsidR="00861C3B" w:rsidRPr="00DE12A3" w:rsidRDefault="00861C3B" w:rsidP="00C917D6">
            <w:pPr>
              <w:pStyle w:val="NormalLeft"/>
            </w:pPr>
          </w:p>
        </w:tc>
        <w:tc>
          <w:tcPr>
            <w:tcW w:w="709" w:type="dxa"/>
            <w:tcBorders>
              <w:top w:val="single" w:sz="2" w:space="0" w:color="auto"/>
              <w:left w:val="single" w:sz="2" w:space="0" w:color="auto"/>
              <w:bottom w:val="single" w:sz="2" w:space="0" w:color="auto"/>
              <w:right w:val="single" w:sz="2" w:space="0" w:color="auto"/>
            </w:tcBorders>
          </w:tcPr>
          <w:p w14:paraId="6B005DA8" w14:textId="77777777" w:rsidR="00861C3B" w:rsidRPr="00DE12A3" w:rsidRDefault="00861C3B" w:rsidP="00C917D6">
            <w:pPr>
              <w:pStyle w:val="NormalLeft"/>
            </w:pPr>
          </w:p>
        </w:tc>
        <w:tc>
          <w:tcPr>
            <w:tcW w:w="708" w:type="dxa"/>
            <w:tcBorders>
              <w:top w:val="single" w:sz="2" w:space="0" w:color="auto"/>
              <w:left w:val="single" w:sz="2" w:space="0" w:color="auto"/>
              <w:bottom w:val="single" w:sz="2" w:space="0" w:color="auto"/>
              <w:right w:val="single" w:sz="2" w:space="0" w:color="auto"/>
            </w:tcBorders>
          </w:tcPr>
          <w:p w14:paraId="0815EF45" w14:textId="77777777" w:rsidR="00861C3B" w:rsidRPr="00DE12A3" w:rsidRDefault="00861C3B" w:rsidP="00C917D6">
            <w:pPr>
              <w:pStyle w:val="NormalLeft"/>
            </w:pPr>
          </w:p>
        </w:tc>
        <w:tc>
          <w:tcPr>
            <w:tcW w:w="709" w:type="dxa"/>
            <w:tcBorders>
              <w:top w:val="single" w:sz="2" w:space="0" w:color="auto"/>
              <w:left w:val="single" w:sz="2" w:space="0" w:color="auto"/>
              <w:bottom w:val="single" w:sz="2" w:space="0" w:color="auto"/>
              <w:right w:val="single" w:sz="2" w:space="0" w:color="auto"/>
            </w:tcBorders>
          </w:tcPr>
          <w:p w14:paraId="4C88D9A5" w14:textId="77777777" w:rsidR="00861C3B" w:rsidRPr="00DE12A3" w:rsidRDefault="00861C3B" w:rsidP="00C917D6">
            <w:pPr>
              <w:pStyle w:val="NormalLeft"/>
            </w:pPr>
          </w:p>
        </w:tc>
        <w:tc>
          <w:tcPr>
            <w:tcW w:w="709" w:type="dxa"/>
            <w:tcBorders>
              <w:top w:val="single" w:sz="2" w:space="0" w:color="auto"/>
              <w:left w:val="single" w:sz="2" w:space="0" w:color="auto"/>
              <w:bottom w:val="single" w:sz="2" w:space="0" w:color="auto"/>
              <w:right w:val="single" w:sz="2" w:space="0" w:color="auto"/>
            </w:tcBorders>
          </w:tcPr>
          <w:p w14:paraId="391275E5" w14:textId="77777777" w:rsidR="00861C3B" w:rsidRPr="00DE12A3" w:rsidRDefault="00861C3B" w:rsidP="00C917D6">
            <w:pPr>
              <w:pStyle w:val="NormalLeft"/>
            </w:pPr>
          </w:p>
        </w:tc>
        <w:tc>
          <w:tcPr>
            <w:tcW w:w="709" w:type="dxa"/>
            <w:tcBorders>
              <w:top w:val="single" w:sz="2" w:space="0" w:color="auto"/>
              <w:left w:val="single" w:sz="2" w:space="0" w:color="auto"/>
              <w:bottom w:val="single" w:sz="2" w:space="0" w:color="auto"/>
              <w:right w:val="single" w:sz="2" w:space="0" w:color="auto"/>
            </w:tcBorders>
          </w:tcPr>
          <w:p w14:paraId="14419BB3" w14:textId="77777777" w:rsidR="00861C3B" w:rsidRPr="00DE12A3" w:rsidRDefault="00861C3B" w:rsidP="00C917D6">
            <w:pPr>
              <w:pStyle w:val="NormalLeft"/>
            </w:pPr>
            <w:r w:rsidRPr="00DE12A3">
              <w:t>1</w:t>
            </w:r>
          </w:p>
        </w:tc>
        <w:tc>
          <w:tcPr>
            <w:tcW w:w="708" w:type="dxa"/>
            <w:tcBorders>
              <w:top w:val="single" w:sz="2" w:space="0" w:color="auto"/>
              <w:left w:val="single" w:sz="2" w:space="0" w:color="auto"/>
              <w:bottom w:val="single" w:sz="2" w:space="0" w:color="auto"/>
              <w:right w:val="single" w:sz="2" w:space="0" w:color="auto"/>
            </w:tcBorders>
          </w:tcPr>
          <w:p w14:paraId="33FEDCC6" w14:textId="77777777" w:rsidR="00861C3B" w:rsidRPr="00DE12A3" w:rsidRDefault="00861C3B" w:rsidP="00C917D6">
            <w:pPr>
              <w:pStyle w:val="NormalLeft"/>
            </w:pPr>
            <w:r w:rsidRPr="00DE12A3">
              <w:t>2</w:t>
            </w:r>
          </w:p>
        </w:tc>
        <w:tc>
          <w:tcPr>
            <w:tcW w:w="709" w:type="dxa"/>
            <w:tcBorders>
              <w:top w:val="single" w:sz="2" w:space="0" w:color="auto"/>
              <w:left w:val="single" w:sz="2" w:space="0" w:color="auto"/>
              <w:bottom w:val="single" w:sz="2" w:space="0" w:color="auto"/>
              <w:right w:val="single" w:sz="2" w:space="0" w:color="auto"/>
            </w:tcBorders>
          </w:tcPr>
          <w:p w14:paraId="53685AFD" w14:textId="77777777" w:rsidR="00861C3B" w:rsidRPr="00DE12A3" w:rsidRDefault="00861C3B" w:rsidP="00C917D6">
            <w:pPr>
              <w:pStyle w:val="NormalLeft"/>
            </w:pPr>
            <w:r w:rsidRPr="00DE12A3">
              <w:t>3</w:t>
            </w:r>
          </w:p>
        </w:tc>
        <w:tc>
          <w:tcPr>
            <w:tcW w:w="709" w:type="dxa"/>
            <w:tcBorders>
              <w:top w:val="single" w:sz="2" w:space="0" w:color="auto"/>
              <w:left w:val="single" w:sz="2" w:space="0" w:color="auto"/>
              <w:bottom w:val="single" w:sz="2" w:space="0" w:color="auto"/>
              <w:right w:val="single" w:sz="2" w:space="0" w:color="auto"/>
            </w:tcBorders>
          </w:tcPr>
          <w:p w14:paraId="65778B8D" w14:textId="77777777" w:rsidR="00861C3B" w:rsidRPr="00DE12A3" w:rsidRDefault="00861C3B" w:rsidP="00C917D6">
            <w:pPr>
              <w:pStyle w:val="NormalLeft"/>
            </w:pPr>
            <w:r w:rsidRPr="00DE12A3">
              <w:t>4</w:t>
            </w:r>
          </w:p>
        </w:tc>
        <w:tc>
          <w:tcPr>
            <w:tcW w:w="709" w:type="dxa"/>
            <w:tcBorders>
              <w:top w:val="single" w:sz="2" w:space="0" w:color="auto"/>
              <w:left w:val="single" w:sz="2" w:space="0" w:color="auto"/>
              <w:bottom w:val="single" w:sz="2" w:space="0" w:color="auto"/>
              <w:right w:val="single" w:sz="2" w:space="0" w:color="auto"/>
            </w:tcBorders>
          </w:tcPr>
          <w:p w14:paraId="363192CA" w14:textId="77777777" w:rsidR="00861C3B" w:rsidRPr="00DE12A3" w:rsidRDefault="00861C3B" w:rsidP="00C917D6">
            <w:pPr>
              <w:pStyle w:val="NormalLeft"/>
            </w:pPr>
            <w:r w:rsidRPr="00DE12A3">
              <w:t>5</w:t>
            </w:r>
          </w:p>
        </w:tc>
        <w:tc>
          <w:tcPr>
            <w:tcW w:w="1134" w:type="dxa"/>
            <w:tcBorders>
              <w:top w:val="single" w:sz="2" w:space="0" w:color="auto"/>
              <w:left w:val="single" w:sz="2" w:space="0" w:color="auto"/>
              <w:bottom w:val="single" w:sz="2" w:space="0" w:color="auto"/>
              <w:right w:val="single" w:sz="2" w:space="0" w:color="auto"/>
            </w:tcBorders>
          </w:tcPr>
          <w:p w14:paraId="26D91ECF" w14:textId="77777777" w:rsidR="00861C3B" w:rsidRPr="00DE12A3" w:rsidRDefault="00861C3B" w:rsidP="00C917D6">
            <w:pPr>
              <w:pStyle w:val="NormalLeft"/>
            </w:pPr>
            <w:r w:rsidRPr="00DE12A3">
              <w:t>6</w:t>
            </w:r>
          </w:p>
        </w:tc>
      </w:tr>
      <w:tr w:rsidR="00DE12A3" w:rsidRPr="00DE12A3" w14:paraId="7177A9BF" w14:textId="77777777" w:rsidTr="009849CC">
        <w:trPr>
          <w:gridAfter w:val="1"/>
          <w:wAfter w:w="236" w:type="dxa"/>
        </w:trPr>
        <w:tc>
          <w:tcPr>
            <w:tcW w:w="1809" w:type="dxa"/>
            <w:tcBorders>
              <w:top w:val="single" w:sz="2" w:space="0" w:color="auto"/>
              <w:left w:val="single" w:sz="2" w:space="0" w:color="auto"/>
              <w:bottom w:val="single" w:sz="2" w:space="0" w:color="auto"/>
              <w:right w:val="single" w:sz="2" w:space="0" w:color="auto"/>
            </w:tcBorders>
          </w:tcPr>
          <w:p w14:paraId="281080D4" w14:textId="77777777" w:rsidR="00861C3B" w:rsidRPr="00DE12A3" w:rsidRDefault="00861C3B" w:rsidP="00C917D6">
            <w:pPr>
              <w:spacing w:before="120" w:after="120"/>
              <w:rPr>
                <w:rFonts w:cs="Times New Roman"/>
                <w:color w:val="auto"/>
              </w:rPr>
            </w:pPr>
            <w:r w:rsidRPr="00DE12A3">
              <w:rPr>
                <w:rFonts w:cs="Times New Roman"/>
                <w:color w:val="auto"/>
              </w:rPr>
              <w:lastRenderedPageBreak/>
              <w:t>Devir (a)</w:t>
            </w:r>
          </w:p>
        </w:tc>
        <w:tc>
          <w:tcPr>
            <w:tcW w:w="3575" w:type="dxa"/>
            <w:gridSpan w:val="5"/>
            <w:tcBorders>
              <w:top w:val="single" w:sz="2" w:space="0" w:color="auto"/>
              <w:left w:val="single" w:sz="2" w:space="0" w:color="auto"/>
              <w:bottom w:val="single" w:sz="2" w:space="0" w:color="auto"/>
              <w:right w:val="single" w:sz="2" w:space="0" w:color="auto"/>
            </w:tcBorders>
          </w:tcPr>
          <w:p w14:paraId="1C2B05AE" w14:textId="77777777" w:rsidR="00861C3B" w:rsidRPr="00DE12A3" w:rsidRDefault="00861C3B" w:rsidP="00C917D6">
            <w:pPr>
              <w:pStyle w:val="NormalLeft"/>
            </w:pPr>
            <w:r w:rsidRPr="00DE12A3">
              <w:t>100 %</w:t>
            </w:r>
          </w:p>
        </w:tc>
        <w:tc>
          <w:tcPr>
            <w:tcW w:w="3544" w:type="dxa"/>
            <w:gridSpan w:val="5"/>
            <w:tcBorders>
              <w:top w:val="single" w:sz="2" w:space="0" w:color="auto"/>
              <w:left w:val="single" w:sz="2" w:space="0" w:color="auto"/>
              <w:bottom w:val="single" w:sz="2" w:space="0" w:color="auto"/>
              <w:right w:val="single" w:sz="2" w:space="0" w:color="auto"/>
            </w:tcBorders>
          </w:tcPr>
          <w:p w14:paraId="3985B4AF" w14:textId="77777777" w:rsidR="00861C3B" w:rsidRPr="00DE12A3" w:rsidRDefault="00861C3B" w:rsidP="00C917D6">
            <w:pPr>
              <w:spacing w:before="120" w:after="120"/>
              <w:rPr>
                <w:rFonts w:cs="Times New Roman"/>
                <w:color w:val="auto"/>
              </w:rPr>
            </w:pPr>
            <w:r w:rsidRPr="00DE12A3">
              <w:rPr>
                <w:rFonts w:cs="Times New Roman"/>
                <w:color w:val="auto"/>
              </w:rPr>
              <w:t>Orta</w:t>
            </w:r>
          </w:p>
        </w:tc>
        <w:tc>
          <w:tcPr>
            <w:tcW w:w="1134" w:type="dxa"/>
            <w:tcBorders>
              <w:top w:val="single" w:sz="2" w:space="0" w:color="auto"/>
              <w:left w:val="single" w:sz="2" w:space="0" w:color="auto"/>
              <w:bottom w:val="single" w:sz="2" w:space="0" w:color="auto"/>
              <w:right w:val="single" w:sz="2" w:space="0" w:color="auto"/>
            </w:tcBorders>
          </w:tcPr>
          <w:p w14:paraId="59717A8F" w14:textId="77777777" w:rsidR="00861C3B" w:rsidRPr="00DE12A3" w:rsidRDefault="00861C3B" w:rsidP="00C917D6">
            <w:pPr>
              <w:spacing w:before="120" w:after="120"/>
              <w:rPr>
                <w:rFonts w:cs="Times New Roman"/>
                <w:color w:val="auto"/>
              </w:rPr>
            </w:pPr>
            <w:r w:rsidRPr="00DE12A3">
              <w:rPr>
                <w:rFonts w:cs="Times New Roman"/>
                <w:color w:val="auto"/>
              </w:rPr>
              <w:t>Rölanti</w:t>
            </w:r>
          </w:p>
        </w:tc>
      </w:tr>
      <w:tr w:rsidR="00DE12A3" w:rsidRPr="00DE12A3" w14:paraId="7B1FA01B" w14:textId="77777777" w:rsidTr="009849CC">
        <w:trPr>
          <w:gridAfter w:val="1"/>
          <w:wAfter w:w="236" w:type="dxa"/>
        </w:trPr>
        <w:tc>
          <w:tcPr>
            <w:tcW w:w="1809" w:type="dxa"/>
            <w:tcBorders>
              <w:top w:val="single" w:sz="2" w:space="0" w:color="auto"/>
              <w:left w:val="single" w:sz="2" w:space="0" w:color="auto"/>
              <w:bottom w:val="single" w:sz="2" w:space="0" w:color="auto"/>
              <w:right w:val="single" w:sz="2" w:space="0" w:color="auto"/>
            </w:tcBorders>
          </w:tcPr>
          <w:p w14:paraId="16B7F083" w14:textId="77777777" w:rsidR="00861C3B" w:rsidRPr="00DE12A3" w:rsidRDefault="00861C3B" w:rsidP="00C917D6">
            <w:pPr>
              <w:spacing w:before="120" w:after="120"/>
              <w:rPr>
                <w:rFonts w:cs="Times New Roman"/>
                <w:color w:val="auto"/>
              </w:rPr>
            </w:pPr>
            <w:r w:rsidRPr="00DE12A3">
              <w:rPr>
                <w:rFonts w:cs="Times New Roman"/>
                <w:color w:val="auto"/>
              </w:rPr>
              <w:t>Tork (b) %</w:t>
            </w:r>
          </w:p>
        </w:tc>
        <w:tc>
          <w:tcPr>
            <w:tcW w:w="740" w:type="dxa"/>
            <w:tcBorders>
              <w:top w:val="single" w:sz="2" w:space="0" w:color="auto"/>
              <w:left w:val="single" w:sz="2" w:space="0" w:color="auto"/>
              <w:bottom w:val="single" w:sz="2" w:space="0" w:color="auto"/>
              <w:right w:val="single" w:sz="2" w:space="0" w:color="auto"/>
            </w:tcBorders>
          </w:tcPr>
          <w:p w14:paraId="29928943" w14:textId="77777777" w:rsidR="00861C3B" w:rsidRPr="00DE12A3" w:rsidRDefault="00861C3B" w:rsidP="00C917D6">
            <w:pPr>
              <w:pStyle w:val="NormalLeft"/>
            </w:pPr>
          </w:p>
        </w:tc>
        <w:tc>
          <w:tcPr>
            <w:tcW w:w="709" w:type="dxa"/>
            <w:tcBorders>
              <w:top w:val="single" w:sz="2" w:space="0" w:color="auto"/>
              <w:left w:val="single" w:sz="2" w:space="0" w:color="auto"/>
              <w:bottom w:val="single" w:sz="2" w:space="0" w:color="auto"/>
              <w:right w:val="single" w:sz="2" w:space="0" w:color="auto"/>
            </w:tcBorders>
          </w:tcPr>
          <w:p w14:paraId="75A8A79A" w14:textId="77777777" w:rsidR="00861C3B" w:rsidRPr="00DE12A3" w:rsidRDefault="00861C3B" w:rsidP="00C917D6">
            <w:pPr>
              <w:pStyle w:val="NormalLeft"/>
            </w:pPr>
          </w:p>
        </w:tc>
        <w:tc>
          <w:tcPr>
            <w:tcW w:w="708" w:type="dxa"/>
            <w:tcBorders>
              <w:top w:val="single" w:sz="2" w:space="0" w:color="auto"/>
              <w:left w:val="single" w:sz="2" w:space="0" w:color="auto"/>
              <w:bottom w:val="single" w:sz="2" w:space="0" w:color="auto"/>
              <w:right w:val="single" w:sz="2" w:space="0" w:color="auto"/>
            </w:tcBorders>
          </w:tcPr>
          <w:p w14:paraId="6232BE19" w14:textId="77777777" w:rsidR="00861C3B" w:rsidRPr="00DE12A3" w:rsidRDefault="00861C3B" w:rsidP="00C917D6">
            <w:pPr>
              <w:pStyle w:val="NormalLeft"/>
            </w:pPr>
          </w:p>
        </w:tc>
        <w:tc>
          <w:tcPr>
            <w:tcW w:w="709" w:type="dxa"/>
            <w:tcBorders>
              <w:top w:val="single" w:sz="2" w:space="0" w:color="auto"/>
              <w:left w:val="single" w:sz="2" w:space="0" w:color="auto"/>
              <w:bottom w:val="single" w:sz="2" w:space="0" w:color="auto"/>
              <w:right w:val="single" w:sz="2" w:space="0" w:color="auto"/>
            </w:tcBorders>
          </w:tcPr>
          <w:p w14:paraId="4FB3A85D" w14:textId="77777777" w:rsidR="00861C3B" w:rsidRPr="00DE12A3" w:rsidRDefault="00861C3B" w:rsidP="00C917D6">
            <w:pPr>
              <w:pStyle w:val="NormalLeft"/>
            </w:pPr>
          </w:p>
        </w:tc>
        <w:tc>
          <w:tcPr>
            <w:tcW w:w="709" w:type="dxa"/>
            <w:tcBorders>
              <w:top w:val="single" w:sz="2" w:space="0" w:color="auto"/>
              <w:left w:val="single" w:sz="2" w:space="0" w:color="auto"/>
              <w:bottom w:val="single" w:sz="2" w:space="0" w:color="auto"/>
              <w:right w:val="single" w:sz="2" w:space="0" w:color="auto"/>
            </w:tcBorders>
          </w:tcPr>
          <w:p w14:paraId="3A4EC51D" w14:textId="77777777" w:rsidR="00861C3B" w:rsidRPr="00DE12A3" w:rsidRDefault="00861C3B" w:rsidP="00C917D6">
            <w:pPr>
              <w:pStyle w:val="NormalLeft"/>
            </w:pPr>
          </w:p>
        </w:tc>
        <w:tc>
          <w:tcPr>
            <w:tcW w:w="709" w:type="dxa"/>
            <w:tcBorders>
              <w:top w:val="single" w:sz="2" w:space="0" w:color="auto"/>
              <w:left w:val="single" w:sz="2" w:space="0" w:color="auto"/>
              <w:bottom w:val="single" w:sz="2" w:space="0" w:color="auto"/>
              <w:right w:val="single" w:sz="2" w:space="0" w:color="auto"/>
            </w:tcBorders>
          </w:tcPr>
          <w:p w14:paraId="7AECAE64" w14:textId="77777777" w:rsidR="00861C3B" w:rsidRPr="00DE12A3" w:rsidRDefault="00861C3B" w:rsidP="00C917D6">
            <w:pPr>
              <w:pStyle w:val="NormalLeft"/>
            </w:pPr>
            <w:r w:rsidRPr="00DE12A3">
              <w:t>100</w:t>
            </w:r>
          </w:p>
        </w:tc>
        <w:tc>
          <w:tcPr>
            <w:tcW w:w="708" w:type="dxa"/>
            <w:tcBorders>
              <w:top w:val="single" w:sz="2" w:space="0" w:color="auto"/>
              <w:left w:val="single" w:sz="2" w:space="0" w:color="auto"/>
              <w:bottom w:val="single" w:sz="2" w:space="0" w:color="auto"/>
              <w:right w:val="single" w:sz="2" w:space="0" w:color="auto"/>
            </w:tcBorders>
          </w:tcPr>
          <w:p w14:paraId="64EB2FC2" w14:textId="77777777" w:rsidR="00861C3B" w:rsidRPr="00DE12A3" w:rsidRDefault="00861C3B" w:rsidP="00C917D6">
            <w:pPr>
              <w:pStyle w:val="NormalLeft"/>
            </w:pPr>
            <w:r w:rsidRPr="00DE12A3">
              <w:t>75</w:t>
            </w:r>
          </w:p>
        </w:tc>
        <w:tc>
          <w:tcPr>
            <w:tcW w:w="709" w:type="dxa"/>
            <w:tcBorders>
              <w:top w:val="single" w:sz="2" w:space="0" w:color="auto"/>
              <w:left w:val="single" w:sz="2" w:space="0" w:color="auto"/>
              <w:bottom w:val="single" w:sz="2" w:space="0" w:color="auto"/>
              <w:right w:val="single" w:sz="2" w:space="0" w:color="auto"/>
            </w:tcBorders>
          </w:tcPr>
          <w:p w14:paraId="2D940204" w14:textId="77777777" w:rsidR="00861C3B" w:rsidRPr="00DE12A3" w:rsidRDefault="00861C3B" w:rsidP="00C917D6">
            <w:pPr>
              <w:pStyle w:val="NormalLeft"/>
            </w:pPr>
            <w:r w:rsidRPr="00DE12A3">
              <w:t>50</w:t>
            </w:r>
          </w:p>
        </w:tc>
        <w:tc>
          <w:tcPr>
            <w:tcW w:w="709" w:type="dxa"/>
            <w:tcBorders>
              <w:top w:val="single" w:sz="2" w:space="0" w:color="auto"/>
              <w:left w:val="single" w:sz="2" w:space="0" w:color="auto"/>
              <w:bottom w:val="single" w:sz="2" w:space="0" w:color="auto"/>
              <w:right w:val="single" w:sz="2" w:space="0" w:color="auto"/>
            </w:tcBorders>
          </w:tcPr>
          <w:p w14:paraId="221E1372" w14:textId="77777777" w:rsidR="00861C3B" w:rsidRPr="00DE12A3" w:rsidRDefault="00861C3B" w:rsidP="00C917D6">
            <w:pPr>
              <w:pStyle w:val="NormalLeft"/>
            </w:pPr>
            <w:r w:rsidRPr="00DE12A3">
              <w:t>25</w:t>
            </w:r>
          </w:p>
        </w:tc>
        <w:tc>
          <w:tcPr>
            <w:tcW w:w="709" w:type="dxa"/>
            <w:tcBorders>
              <w:top w:val="single" w:sz="2" w:space="0" w:color="auto"/>
              <w:left w:val="single" w:sz="2" w:space="0" w:color="auto"/>
              <w:bottom w:val="single" w:sz="2" w:space="0" w:color="auto"/>
              <w:right w:val="single" w:sz="2" w:space="0" w:color="auto"/>
            </w:tcBorders>
          </w:tcPr>
          <w:p w14:paraId="76DCB488" w14:textId="77777777" w:rsidR="00861C3B" w:rsidRPr="00DE12A3" w:rsidRDefault="00861C3B" w:rsidP="00C917D6">
            <w:pPr>
              <w:pStyle w:val="NormalLeft"/>
            </w:pPr>
            <w:r w:rsidRPr="00DE12A3">
              <w:t>10</w:t>
            </w:r>
          </w:p>
        </w:tc>
        <w:tc>
          <w:tcPr>
            <w:tcW w:w="1134" w:type="dxa"/>
            <w:tcBorders>
              <w:top w:val="single" w:sz="2" w:space="0" w:color="auto"/>
              <w:left w:val="single" w:sz="2" w:space="0" w:color="auto"/>
              <w:bottom w:val="single" w:sz="2" w:space="0" w:color="auto"/>
              <w:right w:val="single" w:sz="2" w:space="0" w:color="auto"/>
            </w:tcBorders>
          </w:tcPr>
          <w:p w14:paraId="0C06C77C" w14:textId="77777777" w:rsidR="00861C3B" w:rsidRPr="00DE12A3" w:rsidRDefault="00861C3B" w:rsidP="00C917D6">
            <w:pPr>
              <w:pStyle w:val="NormalLeft"/>
            </w:pPr>
            <w:r w:rsidRPr="00DE12A3">
              <w:t>0</w:t>
            </w:r>
          </w:p>
        </w:tc>
      </w:tr>
      <w:tr w:rsidR="00DE12A3" w:rsidRPr="00DE12A3" w14:paraId="233B6B77" w14:textId="77777777" w:rsidTr="009849CC">
        <w:trPr>
          <w:gridAfter w:val="1"/>
          <w:wAfter w:w="236" w:type="dxa"/>
        </w:trPr>
        <w:tc>
          <w:tcPr>
            <w:tcW w:w="1809" w:type="dxa"/>
            <w:tcBorders>
              <w:top w:val="single" w:sz="2" w:space="0" w:color="auto"/>
              <w:left w:val="single" w:sz="2" w:space="0" w:color="auto"/>
              <w:bottom w:val="single" w:sz="2" w:space="0" w:color="auto"/>
              <w:right w:val="single" w:sz="2" w:space="0" w:color="auto"/>
            </w:tcBorders>
          </w:tcPr>
          <w:p w14:paraId="074E37A1" w14:textId="77777777" w:rsidR="00861C3B" w:rsidRPr="00DE12A3" w:rsidRDefault="00861C3B" w:rsidP="00C917D6">
            <w:pPr>
              <w:spacing w:before="120" w:after="120"/>
              <w:rPr>
                <w:rFonts w:cs="Times New Roman"/>
                <w:color w:val="auto"/>
              </w:rPr>
            </w:pPr>
            <w:r w:rsidRPr="00DE12A3">
              <w:rPr>
                <w:rFonts w:cs="Times New Roman"/>
                <w:color w:val="auto"/>
              </w:rPr>
              <w:t>Ağırlıklandırma faktörü</w:t>
            </w:r>
          </w:p>
        </w:tc>
        <w:tc>
          <w:tcPr>
            <w:tcW w:w="740" w:type="dxa"/>
            <w:tcBorders>
              <w:top w:val="single" w:sz="2" w:space="0" w:color="auto"/>
              <w:left w:val="single" w:sz="2" w:space="0" w:color="auto"/>
              <w:bottom w:val="single" w:sz="2" w:space="0" w:color="auto"/>
              <w:right w:val="single" w:sz="2" w:space="0" w:color="auto"/>
            </w:tcBorders>
          </w:tcPr>
          <w:p w14:paraId="5EB8CCDD" w14:textId="77777777" w:rsidR="00861C3B" w:rsidRPr="00DE12A3" w:rsidRDefault="00861C3B" w:rsidP="00C917D6">
            <w:pPr>
              <w:pStyle w:val="NormalLeft"/>
            </w:pPr>
          </w:p>
        </w:tc>
        <w:tc>
          <w:tcPr>
            <w:tcW w:w="709" w:type="dxa"/>
            <w:tcBorders>
              <w:top w:val="single" w:sz="2" w:space="0" w:color="auto"/>
              <w:left w:val="single" w:sz="2" w:space="0" w:color="auto"/>
              <w:bottom w:val="single" w:sz="2" w:space="0" w:color="auto"/>
              <w:right w:val="single" w:sz="2" w:space="0" w:color="auto"/>
            </w:tcBorders>
          </w:tcPr>
          <w:p w14:paraId="72982F05" w14:textId="77777777" w:rsidR="00861C3B" w:rsidRPr="00DE12A3" w:rsidRDefault="00861C3B" w:rsidP="00C917D6">
            <w:pPr>
              <w:pStyle w:val="NormalLeft"/>
            </w:pPr>
          </w:p>
        </w:tc>
        <w:tc>
          <w:tcPr>
            <w:tcW w:w="708" w:type="dxa"/>
            <w:tcBorders>
              <w:top w:val="single" w:sz="2" w:space="0" w:color="auto"/>
              <w:left w:val="single" w:sz="2" w:space="0" w:color="auto"/>
              <w:bottom w:val="single" w:sz="2" w:space="0" w:color="auto"/>
              <w:right w:val="single" w:sz="2" w:space="0" w:color="auto"/>
            </w:tcBorders>
          </w:tcPr>
          <w:p w14:paraId="5350D2DE" w14:textId="77777777" w:rsidR="00861C3B" w:rsidRPr="00DE12A3" w:rsidRDefault="00861C3B" w:rsidP="00C917D6">
            <w:pPr>
              <w:pStyle w:val="NormalLeft"/>
            </w:pPr>
          </w:p>
        </w:tc>
        <w:tc>
          <w:tcPr>
            <w:tcW w:w="709" w:type="dxa"/>
            <w:tcBorders>
              <w:top w:val="single" w:sz="2" w:space="0" w:color="auto"/>
              <w:left w:val="single" w:sz="2" w:space="0" w:color="auto"/>
              <w:bottom w:val="single" w:sz="2" w:space="0" w:color="auto"/>
              <w:right w:val="single" w:sz="2" w:space="0" w:color="auto"/>
            </w:tcBorders>
          </w:tcPr>
          <w:p w14:paraId="5EB678D2" w14:textId="77777777" w:rsidR="00861C3B" w:rsidRPr="00DE12A3" w:rsidRDefault="00861C3B" w:rsidP="00C917D6">
            <w:pPr>
              <w:pStyle w:val="NormalLeft"/>
            </w:pPr>
          </w:p>
        </w:tc>
        <w:tc>
          <w:tcPr>
            <w:tcW w:w="709" w:type="dxa"/>
            <w:tcBorders>
              <w:top w:val="single" w:sz="2" w:space="0" w:color="auto"/>
              <w:left w:val="single" w:sz="2" w:space="0" w:color="auto"/>
              <w:bottom w:val="single" w:sz="2" w:space="0" w:color="auto"/>
              <w:right w:val="single" w:sz="2" w:space="0" w:color="auto"/>
            </w:tcBorders>
          </w:tcPr>
          <w:p w14:paraId="1945F8E4" w14:textId="77777777" w:rsidR="00861C3B" w:rsidRPr="00DE12A3" w:rsidRDefault="00861C3B" w:rsidP="00C917D6">
            <w:pPr>
              <w:pStyle w:val="NormalLeft"/>
            </w:pPr>
          </w:p>
        </w:tc>
        <w:tc>
          <w:tcPr>
            <w:tcW w:w="709" w:type="dxa"/>
            <w:tcBorders>
              <w:top w:val="single" w:sz="2" w:space="0" w:color="auto"/>
              <w:left w:val="single" w:sz="2" w:space="0" w:color="auto"/>
              <w:bottom w:val="single" w:sz="2" w:space="0" w:color="auto"/>
              <w:right w:val="single" w:sz="2" w:space="0" w:color="auto"/>
            </w:tcBorders>
          </w:tcPr>
          <w:p w14:paraId="2C6A0C2F" w14:textId="77777777" w:rsidR="00861C3B" w:rsidRPr="00DE12A3" w:rsidRDefault="00861C3B" w:rsidP="00C917D6">
            <w:pPr>
              <w:pStyle w:val="NormalLeft"/>
            </w:pPr>
            <w:r w:rsidRPr="00DE12A3">
              <w:t>0,09</w:t>
            </w:r>
          </w:p>
        </w:tc>
        <w:tc>
          <w:tcPr>
            <w:tcW w:w="708" w:type="dxa"/>
            <w:tcBorders>
              <w:top w:val="single" w:sz="2" w:space="0" w:color="auto"/>
              <w:left w:val="single" w:sz="2" w:space="0" w:color="auto"/>
              <w:bottom w:val="single" w:sz="2" w:space="0" w:color="auto"/>
              <w:right w:val="single" w:sz="2" w:space="0" w:color="auto"/>
            </w:tcBorders>
          </w:tcPr>
          <w:p w14:paraId="7B623A3E" w14:textId="77777777" w:rsidR="00861C3B" w:rsidRPr="00DE12A3" w:rsidRDefault="00861C3B" w:rsidP="00C917D6">
            <w:pPr>
              <w:pStyle w:val="NormalLeft"/>
            </w:pPr>
            <w:r w:rsidRPr="00DE12A3">
              <w:t>0,20</w:t>
            </w:r>
          </w:p>
        </w:tc>
        <w:tc>
          <w:tcPr>
            <w:tcW w:w="709" w:type="dxa"/>
            <w:tcBorders>
              <w:top w:val="single" w:sz="2" w:space="0" w:color="auto"/>
              <w:left w:val="single" w:sz="2" w:space="0" w:color="auto"/>
              <w:bottom w:val="single" w:sz="2" w:space="0" w:color="auto"/>
              <w:right w:val="single" w:sz="2" w:space="0" w:color="auto"/>
            </w:tcBorders>
          </w:tcPr>
          <w:p w14:paraId="02614E32" w14:textId="77777777" w:rsidR="00861C3B" w:rsidRPr="00DE12A3" w:rsidRDefault="00861C3B" w:rsidP="00C917D6">
            <w:pPr>
              <w:pStyle w:val="NormalLeft"/>
            </w:pPr>
            <w:r w:rsidRPr="00DE12A3">
              <w:t>0,29</w:t>
            </w:r>
          </w:p>
        </w:tc>
        <w:tc>
          <w:tcPr>
            <w:tcW w:w="709" w:type="dxa"/>
            <w:tcBorders>
              <w:top w:val="single" w:sz="2" w:space="0" w:color="auto"/>
              <w:left w:val="single" w:sz="2" w:space="0" w:color="auto"/>
              <w:bottom w:val="single" w:sz="2" w:space="0" w:color="auto"/>
              <w:right w:val="single" w:sz="2" w:space="0" w:color="auto"/>
            </w:tcBorders>
          </w:tcPr>
          <w:p w14:paraId="6A017667" w14:textId="77777777" w:rsidR="00861C3B" w:rsidRPr="00DE12A3" w:rsidRDefault="00861C3B" w:rsidP="00C917D6">
            <w:pPr>
              <w:pStyle w:val="NormalLeft"/>
            </w:pPr>
            <w:r w:rsidRPr="00DE12A3">
              <w:t>0,30</w:t>
            </w:r>
          </w:p>
        </w:tc>
        <w:tc>
          <w:tcPr>
            <w:tcW w:w="709" w:type="dxa"/>
            <w:tcBorders>
              <w:top w:val="single" w:sz="2" w:space="0" w:color="auto"/>
              <w:left w:val="single" w:sz="2" w:space="0" w:color="auto"/>
              <w:bottom w:val="single" w:sz="2" w:space="0" w:color="auto"/>
              <w:right w:val="single" w:sz="2" w:space="0" w:color="auto"/>
            </w:tcBorders>
          </w:tcPr>
          <w:p w14:paraId="55284DFF" w14:textId="77777777" w:rsidR="00861C3B" w:rsidRPr="00DE12A3" w:rsidRDefault="00861C3B" w:rsidP="00C917D6">
            <w:pPr>
              <w:pStyle w:val="NormalLeft"/>
            </w:pPr>
            <w:r w:rsidRPr="00DE12A3">
              <w:t>0,07</w:t>
            </w:r>
          </w:p>
        </w:tc>
        <w:tc>
          <w:tcPr>
            <w:tcW w:w="1134" w:type="dxa"/>
            <w:tcBorders>
              <w:top w:val="single" w:sz="2" w:space="0" w:color="auto"/>
              <w:left w:val="single" w:sz="2" w:space="0" w:color="auto"/>
              <w:bottom w:val="single" w:sz="2" w:space="0" w:color="auto"/>
              <w:right w:val="single" w:sz="2" w:space="0" w:color="auto"/>
            </w:tcBorders>
          </w:tcPr>
          <w:p w14:paraId="064514CB" w14:textId="77777777" w:rsidR="00861C3B" w:rsidRPr="00DE12A3" w:rsidRDefault="00861C3B" w:rsidP="00C917D6">
            <w:pPr>
              <w:pStyle w:val="NormalLeft"/>
            </w:pPr>
            <w:r w:rsidRPr="00DE12A3">
              <w:t>0,05</w:t>
            </w:r>
          </w:p>
        </w:tc>
      </w:tr>
      <w:tr w:rsidR="00DE12A3" w:rsidRPr="00DE12A3" w14:paraId="62B3A673" w14:textId="77777777" w:rsidTr="009849CC">
        <w:trPr>
          <w:gridAfter w:val="1"/>
          <w:wAfter w:w="236" w:type="dxa"/>
        </w:trPr>
        <w:tc>
          <w:tcPr>
            <w:tcW w:w="1809" w:type="dxa"/>
            <w:tcBorders>
              <w:top w:val="single" w:sz="2" w:space="0" w:color="auto"/>
              <w:left w:val="single" w:sz="2" w:space="0" w:color="auto"/>
              <w:bottom w:val="single" w:sz="2" w:space="0" w:color="auto"/>
              <w:right w:val="single" w:sz="2" w:space="0" w:color="auto"/>
            </w:tcBorders>
          </w:tcPr>
          <w:p w14:paraId="39968527" w14:textId="77777777" w:rsidR="00861C3B" w:rsidRPr="00DE12A3" w:rsidRDefault="00861C3B" w:rsidP="00C917D6">
            <w:pPr>
              <w:spacing w:before="120" w:after="120"/>
              <w:rPr>
                <w:rFonts w:cs="Times New Roman"/>
                <w:color w:val="auto"/>
              </w:rPr>
            </w:pPr>
            <w:r w:rsidRPr="00DE12A3">
              <w:rPr>
                <w:rFonts w:cs="Times New Roman"/>
                <w:color w:val="auto"/>
              </w:rPr>
              <w:t>Mod numarası (</w:t>
            </w:r>
            <w:r w:rsidR="00F310B5" w:rsidRPr="00DE12A3">
              <w:rPr>
                <w:rFonts w:cs="Times New Roman"/>
                <w:color w:val="auto"/>
              </w:rPr>
              <w:t>çevrim</w:t>
            </w:r>
            <w:r w:rsidRPr="00DE12A3">
              <w:rPr>
                <w:rFonts w:cs="Times New Roman"/>
                <w:color w:val="auto"/>
              </w:rPr>
              <w:t xml:space="preserve"> G2)</w:t>
            </w:r>
          </w:p>
        </w:tc>
        <w:tc>
          <w:tcPr>
            <w:tcW w:w="740" w:type="dxa"/>
            <w:tcBorders>
              <w:top w:val="single" w:sz="2" w:space="0" w:color="auto"/>
              <w:left w:val="single" w:sz="2" w:space="0" w:color="auto"/>
              <w:bottom w:val="single" w:sz="2" w:space="0" w:color="auto"/>
              <w:right w:val="single" w:sz="2" w:space="0" w:color="auto"/>
            </w:tcBorders>
          </w:tcPr>
          <w:p w14:paraId="5E7F0999" w14:textId="77777777" w:rsidR="00861C3B" w:rsidRPr="00DE12A3" w:rsidRDefault="00861C3B" w:rsidP="00C917D6">
            <w:pPr>
              <w:pStyle w:val="NormalLeft"/>
            </w:pPr>
            <w:r w:rsidRPr="00DE12A3">
              <w:t>1</w:t>
            </w:r>
          </w:p>
        </w:tc>
        <w:tc>
          <w:tcPr>
            <w:tcW w:w="709" w:type="dxa"/>
            <w:tcBorders>
              <w:top w:val="single" w:sz="2" w:space="0" w:color="auto"/>
              <w:left w:val="single" w:sz="2" w:space="0" w:color="auto"/>
              <w:bottom w:val="single" w:sz="2" w:space="0" w:color="auto"/>
              <w:right w:val="single" w:sz="2" w:space="0" w:color="auto"/>
            </w:tcBorders>
          </w:tcPr>
          <w:p w14:paraId="4AA02A04" w14:textId="77777777" w:rsidR="00861C3B" w:rsidRPr="00DE12A3" w:rsidRDefault="00861C3B" w:rsidP="00C917D6">
            <w:pPr>
              <w:pStyle w:val="NormalLeft"/>
            </w:pPr>
            <w:r w:rsidRPr="00DE12A3">
              <w:t>2</w:t>
            </w:r>
          </w:p>
        </w:tc>
        <w:tc>
          <w:tcPr>
            <w:tcW w:w="708" w:type="dxa"/>
            <w:tcBorders>
              <w:top w:val="single" w:sz="2" w:space="0" w:color="auto"/>
              <w:left w:val="single" w:sz="2" w:space="0" w:color="auto"/>
              <w:bottom w:val="single" w:sz="2" w:space="0" w:color="auto"/>
              <w:right w:val="single" w:sz="2" w:space="0" w:color="auto"/>
            </w:tcBorders>
          </w:tcPr>
          <w:p w14:paraId="7D78C9D2" w14:textId="77777777" w:rsidR="00861C3B" w:rsidRPr="00DE12A3" w:rsidRDefault="00861C3B" w:rsidP="00C917D6">
            <w:pPr>
              <w:pStyle w:val="NormalLeft"/>
            </w:pPr>
            <w:r w:rsidRPr="00DE12A3">
              <w:t>3</w:t>
            </w:r>
          </w:p>
        </w:tc>
        <w:tc>
          <w:tcPr>
            <w:tcW w:w="709" w:type="dxa"/>
            <w:tcBorders>
              <w:top w:val="single" w:sz="2" w:space="0" w:color="auto"/>
              <w:left w:val="single" w:sz="2" w:space="0" w:color="auto"/>
              <w:bottom w:val="single" w:sz="2" w:space="0" w:color="auto"/>
              <w:right w:val="single" w:sz="2" w:space="0" w:color="auto"/>
            </w:tcBorders>
          </w:tcPr>
          <w:p w14:paraId="1DE36C7C" w14:textId="77777777" w:rsidR="00861C3B" w:rsidRPr="00DE12A3" w:rsidRDefault="00861C3B" w:rsidP="00C917D6">
            <w:pPr>
              <w:pStyle w:val="NormalLeft"/>
            </w:pPr>
            <w:r w:rsidRPr="00DE12A3">
              <w:t>4</w:t>
            </w:r>
          </w:p>
        </w:tc>
        <w:tc>
          <w:tcPr>
            <w:tcW w:w="709" w:type="dxa"/>
            <w:tcBorders>
              <w:top w:val="single" w:sz="2" w:space="0" w:color="auto"/>
              <w:left w:val="single" w:sz="2" w:space="0" w:color="auto"/>
              <w:bottom w:val="single" w:sz="2" w:space="0" w:color="auto"/>
              <w:right w:val="single" w:sz="2" w:space="0" w:color="auto"/>
            </w:tcBorders>
          </w:tcPr>
          <w:p w14:paraId="38C599CE" w14:textId="77777777" w:rsidR="00861C3B" w:rsidRPr="00DE12A3" w:rsidRDefault="00861C3B" w:rsidP="00C917D6">
            <w:pPr>
              <w:pStyle w:val="NormalLeft"/>
            </w:pPr>
            <w:r w:rsidRPr="00DE12A3">
              <w:t>5</w:t>
            </w:r>
          </w:p>
        </w:tc>
        <w:tc>
          <w:tcPr>
            <w:tcW w:w="709" w:type="dxa"/>
            <w:tcBorders>
              <w:top w:val="single" w:sz="2" w:space="0" w:color="auto"/>
              <w:left w:val="single" w:sz="2" w:space="0" w:color="auto"/>
              <w:bottom w:val="single" w:sz="2" w:space="0" w:color="auto"/>
              <w:right w:val="single" w:sz="2" w:space="0" w:color="auto"/>
            </w:tcBorders>
          </w:tcPr>
          <w:p w14:paraId="0FAA35A0" w14:textId="77777777" w:rsidR="00861C3B" w:rsidRPr="00DE12A3" w:rsidRDefault="00861C3B" w:rsidP="00C917D6">
            <w:pPr>
              <w:pStyle w:val="NormalLeft"/>
            </w:pPr>
          </w:p>
        </w:tc>
        <w:tc>
          <w:tcPr>
            <w:tcW w:w="708" w:type="dxa"/>
            <w:tcBorders>
              <w:top w:val="single" w:sz="2" w:space="0" w:color="auto"/>
              <w:left w:val="single" w:sz="2" w:space="0" w:color="auto"/>
              <w:bottom w:val="single" w:sz="2" w:space="0" w:color="auto"/>
              <w:right w:val="single" w:sz="2" w:space="0" w:color="auto"/>
            </w:tcBorders>
          </w:tcPr>
          <w:p w14:paraId="0FD80109" w14:textId="77777777" w:rsidR="00861C3B" w:rsidRPr="00DE12A3" w:rsidRDefault="00861C3B" w:rsidP="00C917D6">
            <w:pPr>
              <w:pStyle w:val="NormalLeft"/>
            </w:pPr>
          </w:p>
        </w:tc>
        <w:tc>
          <w:tcPr>
            <w:tcW w:w="709" w:type="dxa"/>
            <w:tcBorders>
              <w:top w:val="single" w:sz="2" w:space="0" w:color="auto"/>
              <w:left w:val="single" w:sz="2" w:space="0" w:color="auto"/>
              <w:bottom w:val="single" w:sz="2" w:space="0" w:color="auto"/>
              <w:right w:val="single" w:sz="2" w:space="0" w:color="auto"/>
            </w:tcBorders>
          </w:tcPr>
          <w:p w14:paraId="6CAC7BCD" w14:textId="77777777" w:rsidR="00861C3B" w:rsidRPr="00DE12A3" w:rsidRDefault="00861C3B" w:rsidP="00C917D6">
            <w:pPr>
              <w:pStyle w:val="NormalLeft"/>
            </w:pPr>
          </w:p>
        </w:tc>
        <w:tc>
          <w:tcPr>
            <w:tcW w:w="709" w:type="dxa"/>
            <w:tcBorders>
              <w:top w:val="single" w:sz="2" w:space="0" w:color="auto"/>
              <w:left w:val="single" w:sz="2" w:space="0" w:color="auto"/>
              <w:bottom w:val="single" w:sz="2" w:space="0" w:color="auto"/>
              <w:right w:val="single" w:sz="2" w:space="0" w:color="auto"/>
            </w:tcBorders>
          </w:tcPr>
          <w:p w14:paraId="301656E4" w14:textId="77777777" w:rsidR="00861C3B" w:rsidRPr="00DE12A3" w:rsidRDefault="00861C3B" w:rsidP="00C917D6">
            <w:pPr>
              <w:pStyle w:val="NormalLeft"/>
            </w:pPr>
          </w:p>
        </w:tc>
        <w:tc>
          <w:tcPr>
            <w:tcW w:w="709" w:type="dxa"/>
            <w:tcBorders>
              <w:top w:val="single" w:sz="2" w:space="0" w:color="auto"/>
              <w:left w:val="single" w:sz="2" w:space="0" w:color="auto"/>
              <w:bottom w:val="single" w:sz="2" w:space="0" w:color="auto"/>
              <w:right w:val="single" w:sz="2" w:space="0" w:color="auto"/>
            </w:tcBorders>
          </w:tcPr>
          <w:p w14:paraId="64104690" w14:textId="77777777" w:rsidR="00861C3B" w:rsidRPr="00DE12A3" w:rsidRDefault="00861C3B" w:rsidP="00C917D6">
            <w:pPr>
              <w:pStyle w:val="NormalLeft"/>
            </w:pPr>
          </w:p>
        </w:tc>
        <w:tc>
          <w:tcPr>
            <w:tcW w:w="1134" w:type="dxa"/>
            <w:tcBorders>
              <w:top w:val="single" w:sz="2" w:space="0" w:color="auto"/>
              <w:left w:val="single" w:sz="2" w:space="0" w:color="auto"/>
              <w:bottom w:val="single" w:sz="2" w:space="0" w:color="auto"/>
              <w:right w:val="single" w:sz="2" w:space="0" w:color="auto"/>
            </w:tcBorders>
          </w:tcPr>
          <w:p w14:paraId="5F6FE511" w14:textId="77777777" w:rsidR="00861C3B" w:rsidRPr="00DE12A3" w:rsidRDefault="00861C3B" w:rsidP="00C917D6">
            <w:pPr>
              <w:pStyle w:val="NormalLeft"/>
            </w:pPr>
            <w:r w:rsidRPr="00DE12A3">
              <w:t>6</w:t>
            </w:r>
          </w:p>
        </w:tc>
      </w:tr>
      <w:tr w:rsidR="00DE12A3" w:rsidRPr="00DE12A3" w14:paraId="0B878A70" w14:textId="77777777" w:rsidTr="009849CC">
        <w:trPr>
          <w:gridAfter w:val="1"/>
          <w:wAfter w:w="236" w:type="dxa"/>
        </w:trPr>
        <w:tc>
          <w:tcPr>
            <w:tcW w:w="1809" w:type="dxa"/>
            <w:tcBorders>
              <w:top w:val="single" w:sz="2" w:space="0" w:color="auto"/>
              <w:left w:val="single" w:sz="2" w:space="0" w:color="auto"/>
              <w:bottom w:val="single" w:sz="2" w:space="0" w:color="auto"/>
              <w:right w:val="single" w:sz="2" w:space="0" w:color="auto"/>
            </w:tcBorders>
          </w:tcPr>
          <w:p w14:paraId="21056B7C" w14:textId="77777777" w:rsidR="00861C3B" w:rsidRPr="00DE12A3" w:rsidRDefault="00861C3B" w:rsidP="00C917D6">
            <w:pPr>
              <w:spacing w:before="120" w:after="120"/>
              <w:rPr>
                <w:rFonts w:cs="Times New Roman"/>
                <w:color w:val="auto"/>
              </w:rPr>
            </w:pPr>
            <w:r w:rsidRPr="00DE12A3">
              <w:rPr>
                <w:rFonts w:cs="Times New Roman"/>
                <w:color w:val="auto"/>
              </w:rPr>
              <w:t xml:space="preserve">Devir </w:t>
            </w:r>
            <w:r w:rsidRPr="00DE12A3">
              <w:rPr>
                <w:rFonts w:cs="Times New Roman"/>
                <w:color w:val="auto"/>
                <w:vertAlign w:val="superscript"/>
              </w:rPr>
              <w:t>(a)</w:t>
            </w:r>
          </w:p>
        </w:tc>
        <w:tc>
          <w:tcPr>
            <w:tcW w:w="3575" w:type="dxa"/>
            <w:gridSpan w:val="5"/>
            <w:tcBorders>
              <w:top w:val="single" w:sz="2" w:space="0" w:color="auto"/>
              <w:left w:val="single" w:sz="2" w:space="0" w:color="auto"/>
              <w:bottom w:val="single" w:sz="2" w:space="0" w:color="auto"/>
              <w:right w:val="single" w:sz="2" w:space="0" w:color="auto"/>
            </w:tcBorders>
          </w:tcPr>
          <w:p w14:paraId="67F9487D" w14:textId="77777777" w:rsidR="00861C3B" w:rsidRPr="00DE12A3" w:rsidRDefault="00861C3B" w:rsidP="00C917D6">
            <w:pPr>
              <w:pStyle w:val="NormalLeft"/>
            </w:pPr>
            <w:r w:rsidRPr="00DE12A3">
              <w:t>100 %</w:t>
            </w:r>
          </w:p>
        </w:tc>
        <w:tc>
          <w:tcPr>
            <w:tcW w:w="3544" w:type="dxa"/>
            <w:gridSpan w:val="5"/>
            <w:tcBorders>
              <w:top w:val="single" w:sz="2" w:space="0" w:color="auto"/>
              <w:left w:val="single" w:sz="2" w:space="0" w:color="auto"/>
              <w:bottom w:val="single" w:sz="2" w:space="0" w:color="auto"/>
              <w:right w:val="single" w:sz="2" w:space="0" w:color="auto"/>
            </w:tcBorders>
          </w:tcPr>
          <w:p w14:paraId="615ED872" w14:textId="77777777" w:rsidR="00861C3B" w:rsidRPr="00DE12A3" w:rsidRDefault="00861C3B" w:rsidP="00C917D6">
            <w:pPr>
              <w:spacing w:before="120" w:after="120"/>
              <w:rPr>
                <w:rFonts w:cs="Times New Roman"/>
                <w:color w:val="auto"/>
              </w:rPr>
            </w:pPr>
            <w:r w:rsidRPr="00DE12A3">
              <w:rPr>
                <w:rFonts w:cs="Times New Roman"/>
                <w:color w:val="auto"/>
              </w:rPr>
              <w:t>Orta</w:t>
            </w:r>
          </w:p>
        </w:tc>
        <w:tc>
          <w:tcPr>
            <w:tcW w:w="1134" w:type="dxa"/>
            <w:tcBorders>
              <w:top w:val="single" w:sz="2" w:space="0" w:color="auto"/>
              <w:left w:val="single" w:sz="2" w:space="0" w:color="auto"/>
              <w:bottom w:val="single" w:sz="2" w:space="0" w:color="auto"/>
              <w:right w:val="single" w:sz="2" w:space="0" w:color="auto"/>
            </w:tcBorders>
          </w:tcPr>
          <w:p w14:paraId="0EA282FB" w14:textId="77777777" w:rsidR="00861C3B" w:rsidRPr="00DE12A3" w:rsidRDefault="00861C3B" w:rsidP="00C917D6">
            <w:pPr>
              <w:spacing w:before="120" w:after="120"/>
              <w:rPr>
                <w:rFonts w:cs="Times New Roman"/>
                <w:color w:val="auto"/>
              </w:rPr>
            </w:pPr>
            <w:r w:rsidRPr="00DE12A3">
              <w:rPr>
                <w:rFonts w:cs="Times New Roman"/>
                <w:color w:val="auto"/>
              </w:rPr>
              <w:t>Rölanti</w:t>
            </w:r>
          </w:p>
        </w:tc>
      </w:tr>
      <w:tr w:rsidR="00DE12A3" w:rsidRPr="00DE12A3" w14:paraId="1BAD5C63" w14:textId="77777777" w:rsidTr="009849CC">
        <w:trPr>
          <w:gridAfter w:val="1"/>
          <w:wAfter w:w="236" w:type="dxa"/>
        </w:trPr>
        <w:tc>
          <w:tcPr>
            <w:tcW w:w="1809" w:type="dxa"/>
            <w:tcBorders>
              <w:top w:val="single" w:sz="2" w:space="0" w:color="auto"/>
              <w:left w:val="single" w:sz="2" w:space="0" w:color="auto"/>
              <w:bottom w:val="single" w:sz="2" w:space="0" w:color="auto"/>
              <w:right w:val="single" w:sz="2" w:space="0" w:color="auto"/>
            </w:tcBorders>
          </w:tcPr>
          <w:p w14:paraId="69D6A774" w14:textId="77777777" w:rsidR="00861C3B" w:rsidRPr="00DE12A3" w:rsidRDefault="00861C3B" w:rsidP="00C917D6">
            <w:pPr>
              <w:spacing w:before="120" w:after="120"/>
              <w:rPr>
                <w:rFonts w:cs="Times New Roman"/>
                <w:color w:val="auto"/>
              </w:rPr>
            </w:pPr>
            <w:r w:rsidRPr="00DE12A3">
              <w:rPr>
                <w:rFonts w:cs="Times New Roman"/>
                <w:color w:val="auto"/>
              </w:rPr>
              <w:t xml:space="preserve">Tork </w:t>
            </w:r>
            <w:r w:rsidRPr="00DE12A3">
              <w:rPr>
                <w:rFonts w:cs="Times New Roman"/>
                <w:color w:val="auto"/>
                <w:vertAlign w:val="superscript"/>
              </w:rPr>
              <w:t>(b)</w:t>
            </w:r>
            <w:r w:rsidRPr="00DE12A3">
              <w:rPr>
                <w:rFonts w:cs="Times New Roman"/>
                <w:color w:val="auto"/>
              </w:rPr>
              <w:t xml:space="preserve"> %</w:t>
            </w:r>
          </w:p>
        </w:tc>
        <w:tc>
          <w:tcPr>
            <w:tcW w:w="740" w:type="dxa"/>
            <w:tcBorders>
              <w:top w:val="single" w:sz="2" w:space="0" w:color="auto"/>
              <w:left w:val="single" w:sz="2" w:space="0" w:color="auto"/>
              <w:bottom w:val="single" w:sz="2" w:space="0" w:color="auto"/>
              <w:right w:val="single" w:sz="2" w:space="0" w:color="auto"/>
            </w:tcBorders>
          </w:tcPr>
          <w:p w14:paraId="6AE2F2E4" w14:textId="77777777" w:rsidR="00861C3B" w:rsidRPr="00DE12A3" w:rsidRDefault="00861C3B" w:rsidP="00C917D6">
            <w:pPr>
              <w:pStyle w:val="NormalLeft"/>
            </w:pPr>
            <w:r w:rsidRPr="00DE12A3">
              <w:t>100</w:t>
            </w:r>
          </w:p>
        </w:tc>
        <w:tc>
          <w:tcPr>
            <w:tcW w:w="709" w:type="dxa"/>
            <w:tcBorders>
              <w:top w:val="single" w:sz="2" w:space="0" w:color="auto"/>
              <w:left w:val="single" w:sz="2" w:space="0" w:color="auto"/>
              <w:bottom w:val="single" w:sz="2" w:space="0" w:color="auto"/>
              <w:right w:val="single" w:sz="2" w:space="0" w:color="auto"/>
            </w:tcBorders>
          </w:tcPr>
          <w:p w14:paraId="1F8D084C" w14:textId="77777777" w:rsidR="00861C3B" w:rsidRPr="00DE12A3" w:rsidRDefault="00861C3B" w:rsidP="00C917D6">
            <w:pPr>
              <w:pStyle w:val="NormalLeft"/>
            </w:pPr>
            <w:r w:rsidRPr="00DE12A3">
              <w:t>75</w:t>
            </w:r>
          </w:p>
        </w:tc>
        <w:tc>
          <w:tcPr>
            <w:tcW w:w="708" w:type="dxa"/>
            <w:tcBorders>
              <w:top w:val="single" w:sz="2" w:space="0" w:color="auto"/>
              <w:left w:val="single" w:sz="2" w:space="0" w:color="auto"/>
              <w:bottom w:val="single" w:sz="2" w:space="0" w:color="auto"/>
              <w:right w:val="single" w:sz="2" w:space="0" w:color="auto"/>
            </w:tcBorders>
          </w:tcPr>
          <w:p w14:paraId="0083FBA5" w14:textId="77777777" w:rsidR="00861C3B" w:rsidRPr="00DE12A3" w:rsidRDefault="00861C3B" w:rsidP="00C917D6">
            <w:pPr>
              <w:pStyle w:val="NormalLeft"/>
            </w:pPr>
            <w:r w:rsidRPr="00DE12A3">
              <w:t>50</w:t>
            </w:r>
          </w:p>
        </w:tc>
        <w:tc>
          <w:tcPr>
            <w:tcW w:w="709" w:type="dxa"/>
            <w:tcBorders>
              <w:top w:val="single" w:sz="2" w:space="0" w:color="auto"/>
              <w:left w:val="single" w:sz="2" w:space="0" w:color="auto"/>
              <w:bottom w:val="single" w:sz="2" w:space="0" w:color="auto"/>
              <w:right w:val="single" w:sz="2" w:space="0" w:color="auto"/>
            </w:tcBorders>
          </w:tcPr>
          <w:p w14:paraId="6259869C" w14:textId="77777777" w:rsidR="00861C3B" w:rsidRPr="00DE12A3" w:rsidRDefault="00861C3B" w:rsidP="00C917D6">
            <w:pPr>
              <w:pStyle w:val="NormalLeft"/>
            </w:pPr>
            <w:r w:rsidRPr="00DE12A3">
              <w:t>25</w:t>
            </w:r>
          </w:p>
        </w:tc>
        <w:tc>
          <w:tcPr>
            <w:tcW w:w="709" w:type="dxa"/>
            <w:tcBorders>
              <w:top w:val="single" w:sz="2" w:space="0" w:color="auto"/>
              <w:left w:val="single" w:sz="2" w:space="0" w:color="auto"/>
              <w:bottom w:val="single" w:sz="2" w:space="0" w:color="auto"/>
              <w:right w:val="single" w:sz="2" w:space="0" w:color="auto"/>
            </w:tcBorders>
          </w:tcPr>
          <w:p w14:paraId="1F8E0C2E" w14:textId="77777777" w:rsidR="00861C3B" w:rsidRPr="00DE12A3" w:rsidRDefault="00861C3B" w:rsidP="00C917D6">
            <w:pPr>
              <w:pStyle w:val="NormalLeft"/>
            </w:pPr>
            <w:r w:rsidRPr="00DE12A3">
              <w:t>10</w:t>
            </w:r>
          </w:p>
        </w:tc>
        <w:tc>
          <w:tcPr>
            <w:tcW w:w="709" w:type="dxa"/>
            <w:tcBorders>
              <w:top w:val="single" w:sz="2" w:space="0" w:color="auto"/>
              <w:left w:val="single" w:sz="2" w:space="0" w:color="auto"/>
              <w:bottom w:val="single" w:sz="2" w:space="0" w:color="auto"/>
              <w:right w:val="single" w:sz="2" w:space="0" w:color="auto"/>
            </w:tcBorders>
          </w:tcPr>
          <w:p w14:paraId="2776092B" w14:textId="77777777" w:rsidR="00861C3B" w:rsidRPr="00DE12A3" w:rsidRDefault="00861C3B" w:rsidP="00C917D6">
            <w:pPr>
              <w:pStyle w:val="NormalLeft"/>
            </w:pPr>
          </w:p>
        </w:tc>
        <w:tc>
          <w:tcPr>
            <w:tcW w:w="708" w:type="dxa"/>
            <w:tcBorders>
              <w:top w:val="single" w:sz="2" w:space="0" w:color="auto"/>
              <w:left w:val="single" w:sz="2" w:space="0" w:color="auto"/>
              <w:bottom w:val="single" w:sz="2" w:space="0" w:color="auto"/>
              <w:right w:val="single" w:sz="2" w:space="0" w:color="auto"/>
            </w:tcBorders>
          </w:tcPr>
          <w:p w14:paraId="764A82E5" w14:textId="77777777" w:rsidR="00861C3B" w:rsidRPr="00DE12A3" w:rsidRDefault="00861C3B" w:rsidP="00C917D6">
            <w:pPr>
              <w:pStyle w:val="NormalLeft"/>
            </w:pPr>
          </w:p>
        </w:tc>
        <w:tc>
          <w:tcPr>
            <w:tcW w:w="709" w:type="dxa"/>
            <w:tcBorders>
              <w:top w:val="single" w:sz="2" w:space="0" w:color="auto"/>
              <w:left w:val="single" w:sz="2" w:space="0" w:color="auto"/>
              <w:bottom w:val="single" w:sz="2" w:space="0" w:color="auto"/>
              <w:right w:val="single" w:sz="2" w:space="0" w:color="auto"/>
            </w:tcBorders>
          </w:tcPr>
          <w:p w14:paraId="238C87F3" w14:textId="77777777" w:rsidR="00861C3B" w:rsidRPr="00DE12A3" w:rsidRDefault="00861C3B" w:rsidP="00C917D6">
            <w:pPr>
              <w:pStyle w:val="NormalLeft"/>
            </w:pPr>
          </w:p>
        </w:tc>
        <w:tc>
          <w:tcPr>
            <w:tcW w:w="709" w:type="dxa"/>
            <w:tcBorders>
              <w:top w:val="single" w:sz="2" w:space="0" w:color="auto"/>
              <w:left w:val="single" w:sz="2" w:space="0" w:color="auto"/>
              <w:bottom w:val="single" w:sz="2" w:space="0" w:color="auto"/>
              <w:right w:val="single" w:sz="2" w:space="0" w:color="auto"/>
            </w:tcBorders>
          </w:tcPr>
          <w:p w14:paraId="61483963" w14:textId="77777777" w:rsidR="00861C3B" w:rsidRPr="00DE12A3" w:rsidRDefault="00861C3B" w:rsidP="00C917D6">
            <w:pPr>
              <w:pStyle w:val="NormalLeft"/>
            </w:pPr>
          </w:p>
        </w:tc>
        <w:tc>
          <w:tcPr>
            <w:tcW w:w="709" w:type="dxa"/>
            <w:tcBorders>
              <w:top w:val="single" w:sz="2" w:space="0" w:color="auto"/>
              <w:left w:val="single" w:sz="2" w:space="0" w:color="auto"/>
              <w:bottom w:val="single" w:sz="2" w:space="0" w:color="auto"/>
              <w:right w:val="single" w:sz="2" w:space="0" w:color="auto"/>
            </w:tcBorders>
          </w:tcPr>
          <w:p w14:paraId="2ACE6914" w14:textId="77777777" w:rsidR="00861C3B" w:rsidRPr="00DE12A3" w:rsidRDefault="00861C3B" w:rsidP="00C917D6">
            <w:pPr>
              <w:pStyle w:val="NormalLeft"/>
            </w:pPr>
          </w:p>
        </w:tc>
        <w:tc>
          <w:tcPr>
            <w:tcW w:w="1134" w:type="dxa"/>
            <w:tcBorders>
              <w:top w:val="single" w:sz="2" w:space="0" w:color="auto"/>
              <w:left w:val="single" w:sz="2" w:space="0" w:color="auto"/>
              <w:bottom w:val="single" w:sz="2" w:space="0" w:color="auto"/>
              <w:right w:val="single" w:sz="2" w:space="0" w:color="auto"/>
            </w:tcBorders>
          </w:tcPr>
          <w:p w14:paraId="4BA1DD23" w14:textId="77777777" w:rsidR="00861C3B" w:rsidRPr="00DE12A3" w:rsidRDefault="00861C3B" w:rsidP="00C917D6">
            <w:pPr>
              <w:pStyle w:val="NormalLeft"/>
            </w:pPr>
            <w:r w:rsidRPr="00DE12A3">
              <w:t>0</w:t>
            </w:r>
          </w:p>
        </w:tc>
      </w:tr>
      <w:tr w:rsidR="00DE12A3" w:rsidRPr="00DE12A3" w14:paraId="29F53651" w14:textId="77777777" w:rsidTr="009849CC">
        <w:trPr>
          <w:gridAfter w:val="1"/>
          <w:wAfter w:w="236" w:type="dxa"/>
          <w:trHeight w:val="1323"/>
        </w:trPr>
        <w:tc>
          <w:tcPr>
            <w:tcW w:w="1809" w:type="dxa"/>
            <w:tcBorders>
              <w:top w:val="single" w:sz="2" w:space="0" w:color="auto"/>
              <w:left w:val="single" w:sz="2" w:space="0" w:color="auto"/>
              <w:bottom w:val="single" w:sz="2" w:space="0" w:color="auto"/>
              <w:right w:val="single" w:sz="2" w:space="0" w:color="auto"/>
            </w:tcBorders>
          </w:tcPr>
          <w:p w14:paraId="64BDFF2E" w14:textId="77777777" w:rsidR="00861C3B" w:rsidRPr="00DE12A3" w:rsidRDefault="00861C3B" w:rsidP="00C917D6">
            <w:pPr>
              <w:spacing w:before="120" w:after="120"/>
              <w:rPr>
                <w:rFonts w:cs="Times New Roman"/>
                <w:color w:val="auto"/>
              </w:rPr>
            </w:pPr>
            <w:r w:rsidRPr="00DE12A3">
              <w:rPr>
                <w:rFonts w:cs="Times New Roman"/>
                <w:color w:val="auto"/>
              </w:rPr>
              <w:t>Ağırlıklandırma faktörü</w:t>
            </w:r>
          </w:p>
        </w:tc>
        <w:tc>
          <w:tcPr>
            <w:tcW w:w="740" w:type="dxa"/>
            <w:tcBorders>
              <w:top w:val="single" w:sz="2" w:space="0" w:color="auto"/>
              <w:left w:val="single" w:sz="2" w:space="0" w:color="auto"/>
              <w:bottom w:val="single" w:sz="2" w:space="0" w:color="auto"/>
              <w:right w:val="single" w:sz="2" w:space="0" w:color="auto"/>
            </w:tcBorders>
          </w:tcPr>
          <w:p w14:paraId="67F370E8" w14:textId="77777777" w:rsidR="00861C3B" w:rsidRPr="00DE12A3" w:rsidRDefault="00861C3B" w:rsidP="00C917D6">
            <w:pPr>
              <w:pStyle w:val="NormalLeft"/>
            </w:pPr>
            <w:r w:rsidRPr="00DE12A3">
              <w:t>0,09</w:t>
            </w:r>
          </w:p>
        </w:tc>
        <w:tc>
          <w:tcPr>
            <w:tcW w:w="709" w:type="dxa"/>
            <w:tcBorders>
              <w:top w:val="single" w:sz="2" w:space="0" w:color="auto"/>
              <w:left w:val="single" w:sz="2" w:space="0" w:color="auto"/>
              <w:bottom w:val="single" w:sz="2" w:space="0" w:color="auto"/>
              <w:right w:val="single" w:sz="2" w:space="0" w:color="auto"/>
            </w:tcBorders>
          </w:tcPr>
          <w:p w14:paraId="013F7563" w14:textId="77777777" w:rsidR="00861C3B" w:rsidRPr="00DE12A3" w:rsidRDefault="00861C3B" w:rsidP="00C917D6">
            <w:pPr>
              <w:pStyle w:val="NormalLeft"/>
            </w:pPr>
            <w:r w:rsidRPr="00DE12A3">
              <w:t>0,20</w:t>
            </w:r>
          </w:p>
        </w:tc>
        <w:tc>
          <w:tcPr>
            <w:tcW w:w="708" w:type="dxa"/>
            <w:tcBorders>
              <w:top w:val="single" w:sz="2" w:space="0" w:color="auto"/>
              <w:left w:val="single" w:sz="2" w:space="0" w:color="auto"/>
              <w:bottom w:val="single" w:sz="2" w:space="0" w:color="auto"/>
              <w:right w:val="single" w:sz="2" w:space="0" w:color="auto"/>
            </w:tcBorders>
          </w:tcPr>
          <w:p w14:paraId="7A87092A" w14:textId="77777777" w:rsidR="00861C3B" w:rsidRPr="00DE12A3" w:rsidRDefault="00861C3B" w:rsidP="00C917D6">
            <w:pPr>
              <w:pStyle w:val="NormalLeft"/>
            </w:pPr>
            <w:r w:rsidRPr="00DE12A3">
              <w:t>0,29</w:t>
            </w:r>
          </w:p>
        </w:tc>
        <w:tc>
          <w:tcPr>
            <w:tcW w:w="709" w:type="dxa"/>
            <w:tcBorders>
              <w:top w:val="single" w:sz="2" w:space="0" w:color="auto"/>
              <w:left w:val="single" w:sz="2" w:space="0" w:color="auto"/>
              <w:bottom w:val="single" w:sz="2" w:space="0" w:color="auto"/>
              <w:right w:val="single" w:sz="2" w:space="0" w:color="auto"/>
            </w:tcBorders>
          </w:tcPr>
          <w:p w14:paraId="297784ED" w14:textId="77777777" w:rsidR="00861C3B" w:rsidRPr="00DE12A3" w:rsidRDefault="00861C3B" w:rsidP="00C917D6">
            <w:pPr>
              <w:pStyle w:val="NormalLeft"/>
            </w:pPr>
            <w:r w:rsidRPr="00DE12A3">
              <w:t>0,30</w:t>
            </w:r>
          </w:p>
        </w:tc>
        <w:tc>
          <w:tcPr>
            <w:tcW w:w="709" w:type="dxa"/>
            <w:tcBorders>
              <w:top w:val="single" w:sz="2" w:space="0" w:color="auto"/>
              <w:left w:val="single" w:sz="2" w:space="0" w:color="auto"/>
              <w:bottom w:val="single" w:sz="2" w:space="0" w:color="auto"/>
              <w:right w:val="single" w:sz="2" w:space="0" w:color="auto"/>
            </w:tcBorders>
          </w:tcPr>
          <w:p w14:paraId="69333011" w14:textId="77777777" w:rsidR="00861C3B" w:rsidRPr="00DE12A3" w:rsidRDefault="00861C3B" w:rsidP="00C917D6">
            <w:pPr>
              <w:pStyle w:val="NormalLeft"/>
            </w:pPr>
            <w:r w:rsidRPr="00DE12A3">
              <w:t>0,07</w:t>
            </w:r>
          </w:p>
        </w:tc>
        <w:tc>
          <w:tcPr>
            <w:tcW w:w="709" w:type="dxa"/>
            <w:tcBorders>
              <w:top w:val="single" w:sz="2" w:space="0" w:color="auto"/>
              <w:left w:val="single" w:sz="2" w:space="0" w:color="auto"/>
              <w:bottom w:val="single" w:sz="2" w:space="0" w:color="auto"/>
              <w:right w:val="single" w:sz="2" w:space="0" w:color="auto"/>
            </w:tcBorders>
          </w:tcPr>
          <w:p w14:paraId="6BC7F050" w14:textId="77777777" w:rsidR="00861C3B" w:rsidRPr="00DE12A3" w:rsidRDefault="00861C3B" w:rsidP="00C917D6">
            <w:pPr>
              <w:pStyle w:val="NormalLeft"/>
            </w:pPr>
          </w:p>
        </w:tc>
        <w:tc>
          <w:tcPr>
            <w:tcW w:w="708" w:type="dxa"/>
            <w:tcBorders>
              <w:top w:val="single" w:sz="2" w:space="0" w:color="auto"/>
              <w:left w:val="single" w:sz="2" w:space="0" w:color="auto"/>
              <w:bottom w:val="single" w:sz="2" w:space="0" w:color="auto"/>
              <w:right w:val="single" w:sz="2" w:space="0" w:color="auto"/>
            </w:tcBorders>
          </w:tcPr>
          <w:p w14:paraId="705B1BBB" w14:textId="77777777" w:rsidR="00861C3B" w:rsidRPr="00DE12A3" w:rsidRDefault="00861C3B" w:rsidP="00C917D6">
            <w:pPr>
              <w:pStyle w:val="NormalLeft"/>
            </w:pPr>
          </w:p>
        </w:tc>
        <w:tc>
          <w:tcPr>
            <w:tcW w:w="709" w:type="dxa"/>
            <w:tcBorders>
              <w:top w:val="single" w:sz="2" w:space="0" w:color="auto"/>
              <w:left w:val="single" w:sz="2" w:space="0" w:color="auto"/>
              <w:bottom w:val="single" w:sz="2" w:space="0" w:color="auto"/>
              <w:right w:val="single" w:sz="2" w:space="0" w:color="auto"/>
            </w:tcBorders>
          </w:tcPr>
          <w:p w14:paraId="7243B9B6" w14:textId="77777777" w:rsidR="00861C3B" w:rsidRPr="00DE12A3" w:rsidRDefault="00861C3B" w:rsidP="00C917D6">
            <w:pPr>
              <w:pStyle w:val="NormalLeft"/>
            </w:pPr>
          </w:p>
        </w:tc>
        <w:tc>
          <w:tcPr>
            <w:tcW w:w="709" w:type="dxa"/>
            <w:tcBorders>
              <w:top w:val="single" w:sz="2" w:space="0" w:color="auto"/>
              <w:left w:val="single" w:sz="2" w:space="0" w:color="auto"/>
              <w:bottom w:val="single" w:sz="2" w:space="0" w:color="auto"/>
              <w:right w:val="single" w:sz="2" w:space="0" w:color="auto"/>
            </w:tcBorders>
          </w:tcPr>
          <w:p w14:paraId="2B3860CC" w14:textId="77777777" w:rsidR="00861C3B" w:rsidRPr="00DE12A3" w:rsidRDefault="00861C3B" w:rsidP="00C917D6">
            <w:pPr>
              <w:pStyle w:val="NormalLeft"/>
            </w:pPr>
          </w:p>
        </w:tc>
        <w:tc>
          <w:tcPr>
            <w:tcW w:w="709" w:type="dxa"/>
            <w:tcBorders>
              <w:top w:val="single" w:sz="2" w:space="0" w:color="auto"/>
              <w:left w:val="single" w:sz="2" w:space="0" w:color="auto"/>
              <w:bottom w:val="single" w:sz="2" w:space="0" w:color="auto"/>
              <w:right w:val="single" w:sz="2" w:space="0" w:color="auto"/>
            </w:tcBorders>
          </w:tcPr>
          <w:p w14:paraId="2CE63852" w14:textId="77777777" w:rsidR="00861C3B" w:rsidRPr="00DE12A3" w:rsidRDefault="00861C3B" w:rsidP="00C917D6">
            <w:pPr>
              <w:pStyle w:val="NormalLeft"/>
            </w:pPr>
          </w:p>
        </w:tc>
        <w:tc>
          <w:tcPr>
            <w:tcW w:w="1134" w:type="dxa"/>
            <w:tcBorders>
              <w:top w:val="single" w:sz="2" w:space="0" w:color="auto"/>
              <w:left w:val="single" w:sz="2" w:space="0" w:color="auto"/>
              <w:bottom w:val="single" w:sz="2" w:space="0" w:color="auto"/>
              <w:right w:val="single" w:sz="2" w:space="0" w:color="auto"/>
            </w:tcBorders>
          </w:tcPr>
          <w:p w14:paraId="170B5CD6" w14:textId="77777777" w:rsidR="00861C3B" w:rsidRPr="00DE12A3" w:rsidRDefault="00861C3B" w:rsidP="00C917D6">
            <w:pPr>
              <w:pStyle w:val="NormalLeft"/>
            </w:pPr>
            <w:r w:rsidRPr="00DE12A3">
              <w:t>0,05</w:t>
            </w:r>
          </w:p>
        </w:tc>
      </w:tr>
      <w:tr w:rsidR="00DE12A3" w:rsidRPr="00DE12A3" w14:paraId="05909B6E" w14:textId="77777777" w:rsidTr="009849CC">
        <w:trPr>
          <w:gridAfter w:val="1"/>
          <w:wAfter w:w="236" w:type="dxa"/>
        </w:trPr>
        <w:tc>
          <w:tcPr>
            <w:tcW w:w="1809" w:type="dxa"/>
            <w:tcBorders>
              <w:top w:val="single" w:sz="2" w:space="0" w:color="auto"/>
              <w:left w:val="single" w:sz="2" w:space="0" w:color="auto"/>
              <w:bottom w:val="single" w:sz="2" w:space="0" w:color="auto"/>
              <w:right w:val="single" w:sz="2" w:space="0" w:color="auto"/>
            </w:tcBorders>
          </w:tcPr>
          <w:p w14:paraId="3F317A39" w14:textId="77777777" w:rsidR="00861C3B" w:rsidRPr="00DE12A3" w:rsidRDefault="00861C3B" w:rsidP="00C917D6">
            <w:pPr>
              <w:spacing w:before="120" w:after="120"/>
              <w:rPr>
                <w:rFonts w:cs="Times New Roman"/>
                <w:color w:val="auto"/>
              </w:rPr>
            </w:pPr>
            <w:r w:rsidRPr="00DE12A3">
              <w:rPr>
                <w:rFonts w:cs="Times New Roman"/>
                <w:color w:val="auto"/>
              </w:rPr>
              <w:t>Mod numarası (</w:t>
            </w:r>
            <w:r w:rsidR="00F310B5" w:rsidRPr="00DE12A3">
              <w:rPr>
                <w:rFonts w:cs="Times New Roman"/>
                <w:color w:val="auto"/>
              </w:rPr>
              <w:t>çevrim</w:t>
            </w:r>
            <w:r w:rsidRPr="00DE12A3">
              <w:rPr>
                <w:rFonts w:cs="Times New Roman"/>
                <w:color w:val="auto"/>
              </w:rPr>
              <w:t xml:space="preserve"> G3)</w:t>
            </w:r>
          </w:p>
        </w:tc>
        <w:tc>
          <w:tcPr>
            <w:tcW w:w="740" w:type="dxa"/>
            <w:tcBorders>
              <w:top w:val="single" w:sz="2" w:space="0" w:color="auto"/>
              <w:left w:val="single" w:sz="2" w:space="0" w:color="auto"/>
              <w:bottom w:val="single" w:sz="2" w:space="0" w:color="auto"/>
              <w:right w:val="single" w:sz="2" w:space="0" w:color="auto"/>
            </w:tcBorders>
          </w:tcPr>
          <w:p w14:paraId="682AAA68" w14:textId="77777777" w:rsidR="00861C3B" w:rsidRPr="00DE12A3" w:rsidRDefault="00861C3B" w:rsidP="00C917D6">
            <w:pPr>
              <w:pStyle w:val="NormalLeft"/>
            </w:pPr>
            <w:r w:rsidRPr="00DE12A3">
              <w:t>1</w:t>
            </w:r>
          </w:p>
        </w:tc>
        <w:tc>
          <w:tcPr>
            <w:tcW w:w="709" w:type="dxa"/>
            <w:tcBorders>
              <w:top w:val="single" w:sz="2" w:space="0" w:color="auto"/>
              <w:left w:val="single" w:sz="2" w:space="0" w:color="auto"/>
              <w:bottom w:val="single" w:sz="2" w:space="0" w:color="auto"/>
              <w:right w:val="single" w:sz="2" w:space="0" w:color="auto"/>
            </w:tcBorders>
          </w:tcPr>
          <w:p w14:paraId="47D83F7B" w14:textId="77777777" w:rsidR="00861C3B" w:rsidRPr="00DE12A3" w:rsidRDefault="00861C3B" w:rsidP="00C917D6">
            <w:pPr>
              <w:pStyle w:val="NormalLeft"/>
            </w:pPr>
          </w:p>
        </w:tc>
        <w:tc>
          <w:tcPr>
            <w:tcW w:w="708" w:type="dxa"/>
            <w:tcBorders>
              <w:top w:val="single" w:sz="2" w:space="0" w:color="auto"/>
              <w:left w:val="single" w:sz="2" w:space="0" w:color="auto"/>
              <w:bottom w:val="single" w:sz="2" w:space="0" w:color="auto"/>
              <w:right w:val="single" w:sz="2" w:space="0" w:color="auto"/>
            </w:tcBorders>
          </w:tcPr>
          <w:p w14:paraId="4E083A82" w14:textId="77777777" w:rsidR="00861C3B" w:rsidRPr="00DE12A3" w:rsidRDefault="00861C3B" w:rsidP="00C917D6">
            <w:pPr>
              <w:pStyle w:val="NormalLeft"/>
            </w:pPr>
          </w:p>
        </w:tc>
        <w:tc>
          <w:tcPr>
            <w:tcW w:w="709" w:type="dxa"/>
            <w:tcBorders>
              <w:top w:val="single" w:sz="2" w:space="0" w:color="auto"/>
              <w:left w:val="single" w:sz="2" w:space="0" w:color="auto"/>
              <w:bottom w:val="single" w:sz="2" w:space="0" w:color="auto"/>
              <w:right w:val="single" w:sz="2" w:space="0" w:color="auto"/>
            </w:tcBorders>
          </w:tcPr>
          <w:p w14:paraId="2CB96B7D" w14:textId="77777777" w:rsidR="00861C3B" w:rsidRPr="00DE12A3" w:rsidRDefault="00861C3B" w:rsidP="00C917D6">
            <w:pPr>
              <w:pStyle w:val="NormalLeft"/>
            </w:pPr>
          </w:p>
        </w:tc>
        <w:tc>
          <w:tcPr>
            <w:tcW w:w="709" w:type="dxa"/>
            <w:tcBorders>
              <w:top w:val="single" w:sz="2" w:space="0" w:color="auto"/>
              <w:left w:val="single" w:sz="2" w:space="0" w:color="auto"/>
              <w:bottom w:val="single" w:sz="2" w:space="0" w:color="auto"/>
              <w:right w:val="single" w:sz="2" w:space="0" w:color="auto"/>
            </w:tcBorders>
          </w:tcPr>
          <w:p w14:paraId="605D6137" w14:textId="77777777" w:rsidR="00861C3B" w:rsidRPr="00DE12A3" w:rsidRDefault="00861C3B" w:rsidP="00C917D6">
            <w:pPr>
              <w:pStyle w:val="NormalLeft"/>
            </w:pPr>
          </w:p>
        </w:tc>
        <w:tc>
          <w:tcPr>
            <w:tcW w:w="709" w:type="dxa"/>
            <w:tcBorders>
              <w:top w:val="single" w:sz="2" w:space="0" w:color="auto"/>
              <w:left w:val="single" w:sz="2" w:space="0" w:color="auto"/>
              <w:bottom w:val="single" w:sz="2" w:space="0" w:color="auto"/>
              <w:right w:val="single" w:sz="2" w:space="0" w:color="auto"/>
            </w:tcBorders>
          </w:tcPr>
          <w:p w14:paraId="79676DC4" w14:textId="77777777" w:rsidR="00861C3B" w:rsidRPr="00DE12A3" w:rsidRDefault="00861C3B" w:rsidP="00C917D6">
            <w:pPr>
              <w:pStyle w:val="NormalLeft"/>
            </w:pPr>
          </w:p>
        </w:tc>
        <w:tc>
          <w:tcPr>
            <w:tcW w:w="708" w:type="dxa"/>
            <w:tcBorders>
              <w:top w:val="single" w:sz="2" w:space="0" w:color="auto"/>
              <w:left w:val="single" w:sz="2" w:space="0" w:color="auto"/>
              <w:bottom w:val="single" w:sz="2" w:space="0" w:color="auto"/>
              <w:right w:val="single" w:sz="2" w:space="0" w:color="auto"/>
            </w:tcBorders>
          </w:tcPr>
          <w:p w14:paraId="0FEB02E6" w14:textId="77777777" w:rsidR="00861C3B" w:rsidRPr="00DE12A3" w:rsidRDefault="00861C3B" w:rsidP="00C917D6">
            <w:pPr>
              <w:pStyle w:val="NormalLeft"/>
            </w:pPr>
          </w:p>
        </w:tc>
        <w:tc>
          <w:tcPr>
            <w:tcW w:w="709" w:type="dxa"/>
            <w:tcBorders>
              <w:top w:val="single" w:sz="2" w:space="0" w:color="auto"/>
              <w:left w:val="single" w:sz="2" w:space="0" w:color="auto"/>
              <w:bottom w:val="single" w:sz="2" w:space="0" w:color="auto"/>
              <w:right w:val="single" w:sz="2" w:space="0" w:color="auto"/>
            </w:tcBorders>
          </w:tcPr>
          <w:p w14:paraId="45DAED6C" w14:textId="77777777" w:rsidR="00861C3B" w:rsidRPr="00DE12A3" w:rsidRDefault="00861C3B" w:rsidP="00C917D6">
            <w:pPr>
              <w:pStyle w:val="NormalLeft"/>
            </w:pPr>
          </w:p>
        </w:tc>
        <w:tc>
          <w:tcPr>
            <w:tcW w:w="709" w:type="dxa"/>
            <w:tcBorders>
              <w:top w:val="single" w:sz="2" w:space="0" w:color="auto"/>
              <w:left w:val="single" w:sz="2" w:space="0" w:color="auto"/>
              <w:bottom w:val="single" w:sz="2" w:space="0" w:color="auto"/>
              <w:right w:val="single" w:sz="2" w:space="0" w:color="auto"/>
            </w:tcBorders>
          </w:tcPr>
          <w:p w14:paraId="7AD32717" w14:textId="77777777" w:rsidR="00861C3B" w:rsidRPr="00DE12A3" w:rsidRDefault="00861C3B" w:rsidP="00C917D6">
            <w:pPr>
              <w:pStyle w:val="NormalLeft"/>
            </w:pPr>
          </w:p>
        </w:tc>
        <w:tc>
          <w:tcPr>
            <w:tcW w:w="709" w:type="dxa"/>
            <w:tcBorders>
              <w:top w:val="single" w:sz="2" w:space="0" w:color="auto"/>
              <w:left w:val="single" w:sz="2" w:space="0" w:color="auto"/>
              <w:bottom w:val="single" w:sz="2" w:space="0" w:color="auto"/>
              <w:right w:val="single" w:sz="2" w:space="0" w:color="auto"/>
            </w:tcBorders>
          </w:tcPr>
          <w:p w14:paraId="118F9BEA" w14:textId="77777777" w:rsidR="00861C3B" w:rsidRPr="00DE12A3" w:rsidRDefault="00861C3B" w:rsidP="00C917D6">
            <w:pPr>
              <w:pStyle w:val="NormalLeft"/>
            </w:pPr>
          </w:p>
        </w:tc>
        <w:tc>
          <w:tcPr>
            <w:tcW w:w="1134" w:type="dxa"/>
            <w:tcBorders>
              <w:top w:val="single" w:sz="2" w:space="0" w:color="auto"/>
              <w:left w:val="single" w:sz="2" w:space="0" w:color="auto"/>
              <w:bottom w:val="single" w:sz="2" w:space="0" w:color="auto"/>
              <w:right w:val="single" w:sz="2" w:space="0" w:color="auto"/>
            </w:tcBorders>
          </w:tcPr>
          <w:p w14:paraId="4D5D0B8A" w14:textId="77777777" w:rsidR="00861C3B" w:rsidRPr="00DE12A3" w:rsidRDefault="00861C3B" w:rsidP="00C917D6">
            <w:pPr>
              <w:pStyle w:val="NormalLeft"/>
            </w:pPr>
            <w:r w:rsidRPr="00DE12A3">
              <w:t>2</w:t>
            </w:r>
          </w:p>
        </w:tc>
      </w:tr>
      <w:tr w:rsidR="00DE12A3" w:rsidRPr="00DE12A3" w14:paraId="52931EFB" w14:textId="77777777" w:rsidTr="009849CC">
        <w:trPr>
          <w:gridAfter w:val="1"/>
          <w:wAfter w:w="236" w:type="dxa"/>
        </w:trPr>
        <w:tc>
          <w:tcPr>
            <w:tcW w:w="1809" w:type="dxa"/>
            <w:tcBorders>
              <w:top w:val="single" w:sz="2" w:space="0" w:color="auto"/>
              <w:left w:val="single" w:sz="2" w:space="0" w:color="auto"/>
              <w:bottom w:val="single" w:sz="2" w:space="0" w:color="auto"/>
              <w:right w:val="single" w:sz="2" w:space="0" w:color="auto"/>
            </w:tcBorders>
          </w:tcPr>
          <w:p w14:paraId="17A78CD3" w14:textId="77777777" w:rsidR="00861C3B" w:rsidRPr="00DE12A3" w:rsidRDefault="00861C3B" w:rsidP="00C917D6">
            <w:pPr>
              <w:spacing w:before="120" w:after="120"/>
              <w:rPr>
                <w:rFonts w:cs="Times New Roman"/>
                <w:color w:val="auto"/>
              </w:rPr>
            </w:pPr>
            <w:r w:rsidRPr="00DE12A3">
              <w:rPr>
                <w:rFonts w:cs="Times New Roman"/>
                <w:color w:val="auto"/>
              </w:rPr>
              <w:t>Devir (a)</w:t>
            </w:r>
          </w:p>
        </w:tc>
        <w:tc>
          <w:tcPr>
            <w:tcW w:w="3575" w:type="dxa"/>
            <w:gridSpan w:val="5"/>
            <w:tcBorders>
              <w:top w:val="single" w:sz="2" w:space="0" w:color="auto"/>
              <w:left w:val="single" w:sz="2" w:space="0" w:color="auto"/>
              <w:bottom w:val="single" w:sz="2" w:space="0" w:color="auto"/>
              <w:right w:val="single" w:sz="2" w:space="0" w:color="auto"/>
            </w:tcBorders>
          </w:tcPr>
          <w:p w14:paraId="11D24788" w14:textId="77777777" w:rsidR="00861C3B" w:rsidRPr="00DE12A3" w:rsidRDefault="00861C3B" w:rsidP="00C917D6">
            <w:pPr>
              <w:pStyle w:val="NormalLeft"/>
            </w:pPr>
            <w:r w:rsidRPr="00DE12A3">
              <w:t>100 %</w:t>
            </w:r>
          </w:p>
        </w:tc>
        <w:tc>
          <w:tcPr>
            <w:tcW w:w="3544" w:type="dxa"/>
            <w:gridSpan w:val="5"/>
            <w:tcBorders>
              <w:top w:val="single" w:sz="2" w:space="0" w:color="auto"/>
              <w:left w:val="single" w:sz="2" w:space="0" w:color="auto"/>
              <w:bottom w:val="single" w:sz="2" w:space="0" w:color="auto"/>
              <w:right w:val="single" w:sz="2" w:space="0" w:color="auto"/>
            </w:tcBorders>
          </w:tcPr>
          <w:p w14:paraId="4B0EEDD1" w14:textId="77777777" w:rsidR="00861C3B" w:rsidRPr="00DE12A3" w:rsidRDefault="00861C3B" w:rsidP="00C917D6">
            <w:pPr>
              <w:spacing w:before="120" w:after="120"/>
              <w:rPr>
                <w:rFonts w:cs="Times New Roman"/>
                <w:color w:val="auto"/>
              </w:rPr>
            </w:pPr>
            <w:r w:rsidRPr="00DE12A3">
              <w:rPr>
                <w:rFonts w:cs="Times New Roman"/>
                <w:color w:val="auto"/>
              </w:rPr>
              <w:t>Orta</w:t>
            </w:r>
          </w:p>
        </w:tc>
        <w:tc>
          <w:tcPr>
            <w:tcW w:w="1134" w:type="dxa"/>
            <w:tcBorders>
              <w:top w:val="single" w:sz="2" w:space="0" w:color="auto"/>
              <w:left w:val="single" w:sz="2" w:space="0" w:color="auto"/>
              <w:bottom w:val="single" w:sz="2" w:space="0" w:color="auto"/>
              <w:right w:val="single" w:sz="2" w:space="0" w:color="auto"/>
            </w:tcBorders>
          </w:tcPr>
          <w:p w14:paraId="16C65AB9" w14:textId="77777777" w:rsidR="00861C3B" w:rsidRPr="00DE12A3" w:rsidRDefault="00861C3B" w:rsidP="00C917D6">
            <w:pPr>
              <w:spacing w:before="120" w:after="120"/>
              <w:rPr>
                <w:rFonts w:cs="Times New Roman"/>
                <w:color w:val="auto"/>
              </w:rPr>
            </w:pPr>
            <w:r w:rsidRPr="00DE12A3">
              <w:rPr>
                <w:rFonts w:cs="Times New Roman"/>
                <w:color w:val="auto"/>
              </w:rPr>
              <w:t>Rölanti</w:t>
            </w:r>
          </w:p>
        </w:tc>
      </w:tr>
      <w:tr w:rsidR="00DE12A3" w:rsidRPr="00DE12A3" w14:paraId="1C00A932" w14:textId="77777777" w:rsidTr="009849CC">
        <w:trPr>
          <w:gridAfter w:val="1"/>
          <w:wAfter w:w="236" w:type="dxa"/>
        </w:trPr>
        <w:tc>
          <w:tcPr>
            <w:tcW w:w="1809" w:type="dxa"/>
            <w:tcBorders>
              <w:top w:val="single" w:sz="2" w:space="0" w:color="auto"/>
              <w:left w:val="single" w:sz="2" w:space="0" w:color="auto"/>
              <w:bottom w:val="single" w:sz="2" w:space="0" w:color="auto"/>
              <w:right w:val="single" w:sz="2" w:space="0" w:color="auto"/>
            </w:tcBorders>
          </w:tcPr>
          <w:p w14:paraId="711870BA" w14:textId="77777777" w:rsidR="00861C3B" w:rsidRPr="00DE12A3" w:rsidRDefault="00861C3B" w:rsidP="00C917D6">
            <w:pPr>
              <w:spacing w:before="120" w:after="120"/>
              <w:rPr>
                <w:rFonts w:cs="Times New Roman"/>
                <w:color w:val="auto"/>
              </w:rPr>
            </w:pPr>
            <w:r w:rsidRPr="00DE12A3">
              <w:rPr>
                <w:rFonts w:cs="Times New Roman"/>
                <w:color w:val="auto"/>
              </w:rPr>
              <w:t xml:space="preserve">Tork </w:t>
            </w:r>
            <w:r w:rsidRPr="00DE12A3">
              <w:rPr>
                <w:rFonts w:cs="Times New Roman"/>
                <w:color w:val="auto"/>
                <w:vertAlign w:val="superscript"/>
              </w:rPr>
              <w:t>(b)</w:t>
            </w:r>
            <w:r w:rsidRPr="00DE12A3">
              <w:rPr>
                <w:rFonts w:cs="Times New Roman"/>
                <w:color w:val="auto"/>
              </w:rPr>
              <w:t xml:space="preserve"> %</w:t>
            </w:r>
          </w:p>
        </w:tc>
        <w:tc>
          <w:tcPr>
            <w:tcW w:w="740" w:type="dxa"/>
            <w:tcBorders>
              <w:top w:val="single" w:sz="2" w:space="0" w:color="auto"/>
              <w:left w:val="single" w:sz="2" w:space="0" w:color="auto"/>
              <w:bottom w:val="single" w:sz="2" w:space="0" w:color="auto"/>
              <w:right w:val="single" w:sz="2" w:space="0" w:color="auto"/>
            </w:tcBorders>
          </w:tcPr>
          <w:p w14:paraId="51A97ED7" w14:textId="77777777" w:rsidR="00861C3B" w:rsidRPr="00DE12A3" w:rsidRDefault="00861C3B" w:rsidP="00C917D6">
            <w:pPr>
              <w:pStyle w:val="NormalLeft"/>
            </w:pPr>
            <w:r w:rsidRPr="00DE12A3">
              <w:t>100</w:t>
            </w:r>
          </w:p>
        </w:tc>
        <w:tc>
          <w:tcPr>
            <w:tcW w:w="709" w:type="dxa"/>
            <w:tcBorders>
              <w:top w:val="single" w:sz="2" w:space="0" w:color="auto"/>
              <w:left w:val="single" w:sz="2" w:space="0" w:color="auto"/>
              <w:bottom w:val="single" w:sz="2" w:space="0" w:color="auto"/>
              <w:right w:val="single" w:sz="2" w:space="0" w:color="auto"/>
            </w:tcBorders>
          </w:tcPr>
          <w:p w14:paraId="6E73CDE7" w14:textId="77777777" w:rsidR="00861C3B" w:rsidRPr="00DE12A3" w:rsidRDefault="00861C3B" w:rsidP="00C917D6">
            <w:pPr>
              <w:pStyle w:val="NormalLeft"/>
            </w:pPr>
          </w:p>
        </w:tc>
        <w:tc>
          <w:tcPr>
            <w:tcW w:w="708" w:type="dxa"/>
            <w:tcBorders>
              <w:top w:val="single" w:sz="2" w:space="0" w:color="auto"/>
              <w:left w:val="single" w:sz="2" w:space="0" w:color="auto"/>
              <w:bottom w:val="single" w:sz="2" w:space="0" w:color="auto"/>
              <w:right w:val="single" w:sz="2" w:space="0" w:color="auto"/>
            </w:tcBorders>
          </w:tcPr>
          <w:p w14:paraId="6BAF01EA" w14:textId="77777777" w:rsidR="00861C3B" w:rsidRPr="00DE12A3" w:rsidRDefault="00861C3B" w:rsidP="00C917D6">
            <w:pPr>
              <w:pStyle w:val="NormalLeft"/>
            </w:pPr>
          </w:p>
        </w:tc>
        <w:tc>
          <w:tcPr>
            <w:tcW w:w="709" w:type="dxa"/>
            <w:tcBorders>
              <w:top w:val="single" w:sz="2" w:space="0" w:color="auto"/>
              <w:left w:val="single" w:sz="2" w:space="0" w:color="auto"/>
              <w:bottom w:val="single" w:sz="2" w:space="0" w:color="auto"/>
              <w:right w:val="single" w:sz="2" w:space="0" w:color="auto"/>
            </w:tcBorders>
          </w:tcPr>
          <w:p w14:paraId="33E95689" w14:textId="77777777" w:rsidR="00861C3B" w:rsidRPr="00DE12A3" w:rsidRDefault="00861C3B" w:rsidP="00C917D6">
            <w:pPr>
              <w:pStyle w:val="NormalLeft"/>
            </w:pPr>
          </w:p>
        </w:tc>
        <w:tc>
          <w:tcPr>
            <w:tcW w:w="709" w:type="dxa"/>
            <w:tcBorders>
              <w:top w:val="single" w:sz="2" w:space="0" w:color="auto"/>
              <w:left w:val="single" w:sz="2" w:space="0" w:color="auto"/>
              <w:bottom w:val="single" w:sz="2" w:space="0" w:color="auto"/>
              <w:right w:val="single" w:sz="2" w:space="0" w:color="auto"/>
            </w:tcBorders>
          </w:tcPr>
          <w:p w14:paraId="19A9883C" w14:textId="77777777" w:rsidR="00861C3B" w:rsidRPr="00DE12A3" w:rsidRDefault="00861C3B" w:rsidP="00C917D6">
            <w:pPr>
              <w:pStyle w:val="NormalLeft"/>
            </w:pPr>
          </w:p>
        </w:tc>
        <w:tc>
          <w:tcPr>
            <w:tcW w:w="709" w:type="dxa"/>
            <w:tcBorders>
              <w:top w:val="single" w:sz="2" w:space="0" w:color="auto"/>
              <w:left w:val="single" w:sz="2" w:space="0" w:color="auto"/>
              <w:bottom w:val="single" w:sz="2" w:space="0" w:color="auto"/>
              <w:right w:val="single" w:sz="2" w:space="0" w:color="auto"/>
            </w:tcBorders>
          </w:tcPr>
          <w:p w14:paraId="17DC1DB2" w14:textId="77777777" w:rsidR="00861C3B" w:rsidRPr="00DE12A3" w:rsidRDefault="00861C3B" w:rsidP="00C917D6">
            <w:pPr>
              <w:pStyle w:val="NormalLeft"/>
            </w:pPr>
          </w:p>
        </w:tc>
        <w:tc>
          <w:tcPr>
            <w:tcW w:w="708" w:type="dxa"/>
            <w:tcBorders>
              <w:top w:val="single" w:sz="2" w:space="0" w:color="auto"/>
              <w:left w:val="single" w:sz="2" w:space="0" w:color="auto"/>
              <w:bottom w:val="single" w:sz="2" w:space="0" w:color="auto"/>
              <w:right w:val="single" w:sz="2" w:space="0" w:color="auto"/>
            </w:tcBorders>
          </w:tcPr>
          <w:p w14:paraId="726BFC78" w14:textId="77777777" w:rsidR="00861C3B" w:rsidRPr="00DE12A3" w:rsidRDefault="00861C3B" w:rsidP="00C917D6">
            <w:pPr>
              <w:pStyle w:val="NormalLeft"/>
            </w:pPr>
          </w:p>
        </w:tc>
        <w:tc>
          <w:tcPr>
            <w:tcW w:w="709" w:type="dxa"/>
            <w:tcBorders>
              <w:top w:val="single" w:sz="2" w:space="0" w:color="auto"/>
              <w:left w:val="single" w:sz="2" w:space="0" w:color="auto"/>
              <w:bottom w:val="single" w:sz="2" w:space="0" w:color="auto"/>
              <w:right w:val="single" w:sz="2" w:space="0" w:color="auto"/>
            </w:tcBorders>
          </w:tcPr>
          <w:p w14:paraId="33C17A63" w14:textId="77777777" w:rsidR="00861C3B" w:rsidRPr="00DE12A3" w:rsidRDefault="00861C3B" w:rsidP="00C917D6">
            <w:pPr>
              <w:pStyle w:val="NormalLeft"/>
            </w:pPr>
          </w:p>
        </w:tc>
        <w:tc>
          <w:tcPr>
            <w:tcW w:w="709" w:type="dxa"/>
            <w:tcBorders>
              <w:top w:val="single" w:sz="2" w:space="0" w:color="auto"/>
              <w:left w:val="single" w:sz="2" w:space="0" w:color="auto"/>
              <w:bottom w:val="single" w:sz="2" w:space="0" w:color="auto"/>
              <w:right w:val="single" w:sz="2" w:space="0" w:color="auto"/>
            </w:tcBorders>
          </w:tcPr>
          <w:p w14:paraId="2080E5EF" w14:textId="77777777" w:rsidR="00861C3B" w:rsidRPr="00DE12A3" w:rsidRDefault="00861C3B" w:rsidP="00C917D6">
            <w:pPr>
              <w:pStyle w:val="NormalLeft"/>
            </w:pPr>
          </w:p>
        </w:tc>
        <w:tc>
          <w:tcPr>
            <w:tcW w:w="709" w:type="dxa"/>
            <w:tcBorders>
              <w:top w:val="single" w:sz="2" w:space="0" w:color="auto"/>
              <w:left w:val="single" w:sz="2" w:space="0" w:color="auto"/>
              <w:bottom w:val="single" w:sz="2" w:space="0" w:color="auto"/>
              <w:right w:val="single" w:sz="2" w:space="0" w:color="auto"/>
            </w:tcBorders>
          </w:tcPr>
          <w:p w14:paraId="0C01BD9F" w14:textId="77777777" w:rsidR="00861C3B" w:rsidRPr="00DE12A3" w:rsidRDefault="00861C3B" w:rsidP="00C917D6">
            <w:pPr>
              <w:pStyle w:val="NormalLeft"/>
            </w:pPr>
          </w:p>
        </w:tc>
        <w:tc>
          <w:tcPr>
            <w:tcW w:w="1134" w:type="dxa"/>
            <w:tcBorders>
              <w:top w:val="single" w:sz="2" w:space="0" w:color="auto"/>
              <w:left w:val="single" w:sz="2" w:space="0" w:color="auto"/>
              <w:bottom w:val="single" w:sz="2" w:space="0" w:color="auto"/>
              <w:right w:val="single" w:sz="2" w:space="0" w:color="auto"/>
            </w:tcBorders>
          </w:tcPr>
          <w:p w14:paraId="39D42E4A" w14:textId="77777777" w:rsidR="00861C3B" w:rsidRPr="00DE12A3" w:rsidRDefault="00861C3B" w:rsidP="00C917D6">
            <w:pPr>
              <w:pStyle w:val="NormalLeft"/>
            </w:pPr>
            <w:r w:rsidRPr="00DE12A3">
              <w:t>0</w:t>
            </w:r>
          </w:p>
        </w:tc>
      </w:tr>
      <w:tr w:rsidR="00DE12A3" w:rsidRPr="00DE12A3" w14:paraId="27A3204E" w14:textId="77777777" w:rsidTr="009849CC">
        <w:trPr>
          <w:gridAfter w:val="1"/>
          <w:wAfter w:w="236" w:type="dxa"/>
        </w:trPr>
        <w:tc>
          <w:tcPr>
            <w:tcW w:w="1809" w:type="dxa"/>
            <w:tcBorders>
              <w:top w:val="single" w:sz="2" w:space="0" w:color="auto"/>
              <w:left w:val="single" w:sz="2" w:space="0" w:color="auto"/>
              <w:bottom w:val="single" w:sz="2" w:space="0" w:color="auto"/>
              <w:right w:val="single" w:sz="2" w:space="0" w:color="auto"/>
            </w:tcBorders>
          </w:tcPr>
          <w:p w14:paraId="6067B49C" w14:textId="77777777" w:rsidR="00861C3B" w:rsidRPr="00DE12A3" w:rsidRDefault="00861C3B" w:rsidP="00C917D6">
            <w:pPr>
              <w:spacing w:before="120" w:after="120"/>
              <w:rPr>
                <w:rFonts w:cs="Times New Roman"/>
                <w:color w:val="auto"/>
              </w:rPr>
            </w:pPr>
            <w:r w:rsidRPr="00DE12A3">
              <w:rPr>
                <w:rFonts w:cs="Times New Roman"/>
                <w:color w:val="auto"/>
              </w:rPr>
              <w:t>Ağırlıklandırma faktörü</w:t>
            </w:r>
          </w:p>
        </w:tc>
        <w:tc>
          <w:tcPr>
            <w:tcW w:w="740" w:type="dxa"/>
            <w:tcBorders>
              <w:top w:val="single" w:sz="2" w:space="0" w:color="auto"/>
              <w:left w:val="single" w:sz="2" w:space="0" w:color="auto"/>
              <w:bottom w:val="single" w:sz="2" w:space="0" w:color="auto"/>
              <w:right w:val="single" w:sz="2" w:space="0" w:color="auto"/>
            </w:tcBorders>
          </w:tcPr>
          <w:p w14:paraId="0588AF86" w14:textId="77777777" w:rsidR="00861C3B" w:rsidRPr="00DE12A3" w:rsidRDefault="00861C3B" w:rsidP="00C917D6">
            <w:pPr>
              <w:pStyle w:val="NormalLeft"/>
            </w:pPr>
            <w:r w:rsidRPr="00DE12A3">
              <w:t>0,85</w:t>
            </w:r>
          </w:p>
        </w:tc>
        <w:tc>
          <w:tcPr>
            <w:tcW w:w="709" w:type="dxa"/>
            <w:tcBorders>
              <w:top w:val="single" w:sz="2" w:space="0" w:color="auto"/>
              <w:left w:val="single" w:sz="2" w:space="0" w:color="auto"/>
              <w:bottom w:val="single" w:sz="2" w:space="0" w:color="auto"/>
              <w:right w:val="single" w:sz="2" w:space="0" w:color="auto"/>
            </w:tcBorders>
          </w:tcPr>
          <w:p w14:paraId="67C25BE7" w14:textId="77777777" w:rsidR="00861C3B" w:rsidRPr="00DE12A3" w:rsidRDefault="00861C3B" w:rsidP="00C917D6">
            <w:pPr>
              <w:pStyle w:val="NormalLeft"/>
            </w:pPr>
          </w:p>
        </w:tc>
        <w:tc>
          <w:tcPr>
            <w:tcW w:w="708" w:type="dxa"/>
            <w:tcBorders>
              <w:top w:val="single" w:sz="2" w:space="0" w:color="auto"/>
              <w:left w:val="single" w:sz="2" w:space="0" w:color="auto"/>
              <w:bottom w:val="single" w:sz="2" w:space="0" w:color="auto"/>
              <w:right w:val="single" w:sz="2" w:space="0" w:color="auto"/>
            </w:tcBorders>
          </w:tcPr>
          <w:p w14:paraId="264C9DE9" w14:textId="77777777" w:rsidR="00861C3B" w:rsidRPr="00DE12A3" w:rsidRDefault="00861C3B" w:rsidP="00C917D6">
            <w:pPr>
              <w:pStyle w:val="NormalLeft"/>
            </w:pPr>
          </w:p>
        </w:tc>
        <w:tc>
          <w:tcPr>
            <w:tcW w:w="709" w:type="dxa"/>
            <w:tcBorders>
              <w:top w:val="single" w:sz="2" w:space="0" w:color="auto"/>
              <w:left w:val="single" w:sz="2" w:space="0" w:color="auto"/>
              <w:bottom w:val="single" w:sz="2" w:space="0" w:color="auto"/>
              <w:right w:val="single" w:sz="2" w:space="0" w:color="auto"/>
            </w:tcBorders>
          </w:tcPr>
          <w:p w14:paraId="6452CA2F" w14:textId="77777777" w:rsidR="00861C3B" w:rsidRPr="00DE12A3" w:rsidRDefault="00861C3B" w:rsidP="00C917D6">
            <w:pPr>
              <w:pStyle w:val="NormalLeft"/>
            </w:pPr>
          </w:p>
        </w:tc>
        <w:tc>
          <w:tcPr>
            <w:tcW w:w="709" w:type="dxa"/>
            <w:tcBorders>
              <w:top w:val="single" w:sz="2" w:space="0" w:color="auto"/>
              <w:left w:val="single" w:sz="2" w:space="0" w:color="auto"/>
              <w:bottom w:val="single" w:sz="2" w:space="0" w:color="auto"/>
              <w:right w:val="single" w:sz="2" w:space="0" w:color="auto"/>
            </w:tcBorders>
          </w:tcPr>
          <w:p w14:paraId="57236568" w14:textId="77777777" w:rsidR="00861C3B" w:rsidRPr="00DE12A3" w:rsidRDefault="00861C3B" w:rsidP="00C917D6">
            <w:pPr>
              <w:pStyle w:val="NormalLeft"/>
            </w:pPr>
          </w:p>
        </w:tc>
        <w:tc>
          <w:tcPr>
            <w:tcW w:w="709" w:type="dxa"/>
            <w:tcBorders>
              <w:top w:val="single" w:sz="2" w:space="0" w:color="auto"/>
              <w:left w:val="single" w:sz="2" w:space="0" w:color="auto"/>
              <w:bottom w:val="single" w:sz="2" w:space="0" w:color="auto"/>
              <w:right w:val="single" w:sz="2" w:space="0" w:color="auto"/>
            </w:tcBorders>
          </w:tcPr>
          <w:p w14:paraId="03F63C0C" w14:textId="77777777" w:rsidR="00861C3B" w:rsidRPr="00DE12A3" w:rsidRDefault="00861C3B" w:rsidP="00C917D6">
            <w:pPr>
              <w:pStyle w:val="NormalLeft"/>
            </w:pPr>
          </w:p>
        </w:tc>
        <w:tc>
          <w:tcPr>
            <w:tcW w:w="708" w:type="dxa"/>
            <w:tcBorders>
              <w:top w:val="single" w:sz="2" w:space="0" w:color="auto"/>
              <w:left w:val="single" w:sz="2" w:space="0" w:color="auto"/>
              <w:bottom w:val="single" w:sz="2" w:space="0" w:color="auto"/>
              <w:right w:val="single" w:sz="2" w:space="0" w:color="auto"/>
            </w:tcBorders>
          </w:tcPr>
          <w:p w14:paraId="186A561A" w14:textId="77777777" w:rsidR="00861C3B" w:rsidRPr="00DE12A3" w:rsidRDefault="00861C3B" w:rsidP="00C917D6">
            <w:pPr>
              <w:pStyle w:val="NormalLeft"/>
            </w:pPr>
          </w:p>
        </w:tc>
        <w:tc>
          <w:tcPr>
            <w:tcW w:w="709" w:type="dxa"/>
            <w:tcBorders>
              <w:top w:val="single" w:sz="2" w:space="0" w:color="auto"/>
              <w:left w:val="single" w:sz="2" w:space="0" w:color="auto"/>
              <w:bottom w:val="single" w:sz="2" w:space="0" w:color="auto"/>
              <w:right w:val="single" w:sz="2" w:space="0" w:color="auto"/>
            </w:tcBorders>
          </w:tcPr>
          <w:p w14:paraId="4275F0B2" w14:textId="77777777" w:rsidR="00861C3B" w:rsidRPr="00DE12A3" w:rsidRDefault="00861C3B" w:rsidP="00C917D6">
            <w:pPr>
              <w:pStyle w:val="NormalLeft"/>
            </w:pPr>
          </w:p>
        </w:tc>
        <w:tc>
          <w:tcPr>
            <w:tcW w:w="709" w:type="dxa"/>
            <w:tcBorders>
              <w:top w:val="single" w:sz="2" w:space="0" w:color="auto"/>
              <w:left w:val="single" w:sz="2" w:space="0" w:color="auto"/>
              <w:bottom w:val="single" w:sz="2" w:space="0" w:color="auto"/>
              <w:right w:val="single" w:sz="2" w:space="0" w:color="auto"/>
            </w:tcBorders>
          </w:tcPr>
          <w:p w14:paraId="419FC0EB" w14:textId="77777777" w:rsidR="00861C3B" w:rsidRPr="00DE12A3" w:rsidRDefault="00861C3B" w:rsidP="00C917D6">
            <w:pPr>
              <w:pStyle w:val="NormalLeft"/>
            </w:pPr>
          </w:p>
        </w:tc>
        <w:tc>
          <w:tcPr>
            <w:tcW w:w="709" w:type="dxa"/>
            <w:tcBorders>
              <w:top w:val="single" w:sz="2" w:space="0" w:color="auto"/>
              <w:left w:val="single" w:sz="2" w:space="0" w:color="auto"/>
              <w:bottom w:val="single" w:sz="2" w:space="0" w:color="auto"/>
              <w:right w:val="single" w:sz="2" w:space="0" w:color="auto"/>
            </w:tcBorders>
          </w:tcPr>
          <w:p w14:paraId="28B8D290" w14:textId="77777777" w:rsidR="00861C3B" w:rsidRPr="00DE12A3" w:rsidRDefault="00861C3B" w:rsidP="00C917D6">
            <w:pPr>
              <w:pStyle w:val="NormalLeft"/>
            </w:pPr>
          </w:p>
        </w:tc>
        <w:tc>
          <w:tcPr>
            <w:tcW w:w="1134" w:type="dxa"/>
            <w:tcBorders>
              <w:top w:val="single" w:sz="2" w:space="0" w:color="auto"/>
              <w:left w:val="single" w:sz="2" w:space="0" w:color="auto"/>
              <w:bottom w:val="single" w:sz="2" w:space="0" w:color="auto"/>
              <w:right w:val="single" w:sz="2" w:space="0" w:color="auto"/>
            </w:tcBorders>
          </w:tcPr>
          <w:p w14:paraId="557293F6" w14:textId="77777777" w:rsidR="00861C3B" w:rsidRPr="00DE12A3" w:rsidRDefault="00861C3B" w:rsidP="00C917D6">
            <w:pPr>
              <w:pStyle w:val="NormalLeft"/>
            </w:pPr>
            <w:r w:rsidRPr="00DE12A3">
              <w:t>0,15</w:t>
            </w:r>
          </w:p>
        </w:tc>
      </w:tr>
    </w:tbl>
    <w:p w14:paraId="381B254E" w14:textId="010DC5F7" w:rsidR="00861C3B" w:rsidRPr="00DE12A3" w:rsidRDefault="00861C3B" w:rsidP="00C917D6">
      <w:pPr>
        <w:pStyle w:val="Gvdemetni21"/>
        <w:shd w:val="clear" w:color="auto" w:fill="auto"/>
        <w:spacing w:after="120" w:line="240" w:lineRule="auto"/>
        <w:ind w:left="284" w:hanging="264"/>
        <w:jc w:val="both"/>
        <w:rPr>
          <w:sz w:val="18"/>
          <w:szCs w:val="18"/>
        </w:rPr>
      </w:pPr>
      <w:r w:rsidRPr="00DE12A3">
        <w:rPr>
          <w:rStyle w:val="Gvdemetni95pt0ptbolukbraklyor"/>
          <w:color w:val="auto"/>
          <w:sz w:val="18"/>
          <w:szCs w:val="18"/>
        </w:rPr>
        <w:t>(</w:t>
      </w:r>
      <w:r w:rsidRPr="00DE12A3">
        <w:rPr>
          <w:rStyle w:val="Gvdemetni95pt0ptbolukbraklyor"/>
          <w:color w:val="auto"/>
          <w:sz w:val="18"/>
          <w:szCs w:val="18"/>
          <w:vertAlign w:val="superscript"/>
        </w:rPr>
        <w:t>a</w:t>
      </w:r>
      <w:r w:rsidRPr="00DE12A3">
        <w:rPr>
          <w:rStyle w:val="Gvdemetni95pt0ptbolukbraklyor"/>
          <w:color w:val="auto"/>
          <w:sz w:val="18"/>
          <w:szCs w:val="18"/>
        </w:rPr>
        <w:t>)</w:t>
      </w:r>
      <w:r w:rsidRPr="00DE12A3">
        <w:rPr>
          <w:rStyle w:val="Gvdemetni95pt0ptbolukbraklyor"/>
          <w:color w:val="auto"/>
          <w:sz w:val="18"/>
          <w:szCs w:val="18"/>
        </w:rPr>
        <w:tab/>
      </w:r>
      <w:r w:rsidRPr="00DE12A3">
        <w:rPr>
          <w:sz w:val="18"/>
          <w:szCs w:val="18"/>
        </w:rPr>
        <w:t xml:space="preserve">Gereken test devirlerinin belirlenmesi için </w:t>
      </w:r>
      <w:r w:rsidR="00FA0678" w:rsidRPr="00DE12A3">
        <w:rPr>
          <w:sz w:val="18"/>
          <w:szCs w:val="18"/>
        </w:rPr>
        <w:t>VI’ncı ek</w:t>
      </w:r>
      <w:r w:rsidRPr="00DE12A3">
        <w:rPr>
          <w:sz w:val="18"/>
          <w:szCs w:val="18"/>
        </w:rPr>
        <w:t xml:space="preserve">in 5.2.5, 7.6 ve 7.7 </w:t>
      </w:r>
      <w:r w:rsidR="00E1361C" w:rsidRPr="00DE12A3">
        <w:rPr>
          <w:sz w:val="18"/>
          <w:szCs w:val="18"/>
        </w:rPr>
        <w:t xml:space="preserve">bentlerine </w:t>
      </w:r>
      <w:r w:rsidRPr="00DE12A3">
        <w:rPr>
          <w:sz w:val="18"/>
          <w:szCs w:val="18"/>
        </w:rPr>
        <w:t>bakınız.</w:t>
      </w:r>
    </w:p>
    <w:p w14:paraId="0472FA6E" w14:textId="77777777" w:rsidR="00861C3B" w:rsidRPr="00DE12A3" w:rsidRDefault="00861C3B" w:rsidP="00C917D6">
      <w:pPr>
        <w:pStyle w:val="Gvdemetni21"/>
        <w:shd w:val="clear" w:color="auto" w:fill="auto"/>
        <w:spacing w:after="120" w:line="240" w:lineRule="auto"/>
        <w:ind w:left="284" w:hanging="264"/>
        <w:jc w:val="both"/>
        <w:rPr>
          <w:sz w:val="18"/>
          <w:szCs w:val="18"/>
        </w:rPr>
      </w:pPr>
      <w:r w:rsidRPr="00DE12A3">
        <w:rPr>
          <w:rStyle w:val="Gvdemetni95pt0ptbolukbraklyor"/>
          <w:color w:val="auto"/>
          <w:sz w:val="18"/>
          <w:szCs w:val="18"/>
        </w:rPr>
        <w:t>(</w:t>
      </w:r>
      <w:r w:rsidRPr="00DE12A3">
        <w:rPr>
          <w:rStyle w:val="Gvdemetni95pt0ptbolukbraklyor"/>
          <w:color w:val="auto"/>
          <w:sz w:val="18"/>
          <w:szCs w:val="18"/>
          <w:vertAlign w:val="superscript"/>
        </w:rPr>
        <w:t>b</w:t>
      </w:r>
      <w:r w:rsidRPr="00DE12A3">
        <w:rPr>
          <w:rStyle w:val="Gvdemetni95pt0ptbolukbraklyor"/>
          <w:color w:val="auto"/>
          <w:sz w:val="18"/>
          <w:szCs w:val="18"/>
        </w:rPr>
        <w:t>)</w:t>
      </w:r>
      <w:r w:rsidRPr="00DE12A3">
        <w:rPr>
          <w:rStyle w:val="Gvdemetni95pt0ptbolukbraklyor"/>
          <w:color w:val="auto"/>
          <w:sz w:val="18"/>
          <w:szCs w:val="18"/>
        </w:rPr>
        <w:tab/>
      </w:r>
      <w:r w:rsidRPr="00DE12A3">
        <w:rPr>
          <w:sz w:val="18"/>
          <w:szCs w:val="18"/>
        </w:rPr>
        <w:t>% tork, komut verilen motor devrindeki azami torka bağlıdır.</w:t>
      </w:r>
    </w:p>
    <w:p w14:paraId="49FE0050" w14:textId="77777777" w:rsidR="00441E80" w:rsidRPr="00DE12A3" w:rsidRDefault="00441E80" w:rsidP="00441E80">
      <w:pPr>
        <w:rPr>
          <w:b/>
          <w:color w:val="auto"/>
        </w:rPr>
      </w:pPr>
    </w:p>
    <w:p w14:paraId="305ED94D" w14:textId="77777777" w:rsidR="009F4766" w:rsidRPr="00DE12A3" w:rsidRDefault="00861C3B" w:rsidP="00051047">
      <w:pPr>
        <w:jc w:val="center"/>
        <w:rPr>
          <w:b/>
          <w:color w:val="auto"/>
        </w:rPr>
      </w:pPr>
      <w:r w:rsidRPr="00DE12A3">
        <w:rPr>
          <w:b/>
          <w:color w:val="auto"/>
        </w:rPr>
        <w:t xml:space="preserve">Tip H test </w:t>
      </w:r>
      <w:r w:rsidR="00F310B5" w:rsidRPr="00DE12A3">
        <w:rPr>
          <w:b/>
          <w:color w:val="auto"/>
        </w:rPr>
        <w:t>çevrim</w:t>
      </w:r>
      <w:r w:rsidRPr="00DE12A3">
        <w:rPr>
          <w:b/>
          <w:color w:val="auto"/>
        </w:rPr>
        <w:t>leri</w:t>
      </w:r>
    </w:p>
    <w:tbl>
      <w:tblPr>
        <w:tblW w:w="0" w:type="auto"/>
        <w:tblInd w:w="1300" w:type="dxa"/>
        <w:tblLayout w:type="fixed"/>
        <w:tblLook w:val="0000" w:firstRow="0" w:lastRow="0" w:firstColumn="0" w:lastColumn="0" w:noHBand="0" w:noVBand="0"/>
      </w:tblPr>
      <w:tblGrid>
        <w:gridCol w:w="2073"/>
        <w:gridCol w:w="869"/>
        <w:gridCol w:w="936"/>
        <w:gridCol w:w="936"/>
        <w:gridCol w:w="936"/>
        <w:gridCol w:w="936"/>
      </w:tblGrid>
      <w:tr w:rsidR="00DE12A3" w:rsidRPr="00DE12A3" w14:paraId="771A0FBE" w14:textId="77777777" w:rsidTr="009F4766">
        <w:tc>
          <w:tcPr>
            <w:tcW w:w="6686" w:type="dxa"/>
            <w:gridSpan w:val="6"/>
            <w:tcBorders>
              <w:top w:val="single" w:sz="2" w:space="0" w:color="auto"/>
              <w:left w:val="single" w:sz="2" w:space="0" w:color="auto"/>
              <w:bottom w:val="single" w:sz="2" w:space="0" w:color="auto"/>
              <w:right w:val="single" w:sz="2" w:space="0" w:color="auto"/>
            </w:tcBorders>
          </w:tcPr>
          <w:p w14:paraId="41C32974" w14:textId="77777777" w:rsidR="009F4766" w:rsidRPr="00DE12A3" w:rsidRDefault="00861C3B" w:rsidP="00C917D6">
            <w:pPr>
              <w:pStyle w:val="NormalCentered"/>
            </w:pPr>
            <w:r w:rsidRPr="00DE12A3">
              <w:rPr>
                <w:iCs/>
              </w:rPr>
              <w:t xml:space="preserve">Tip H </w:t>
            </w:r>
            <w:r w:rsidR="00F310B5" w:rsidRPr="00DE12A3">
              <w:rPr>
                <w:iCs/>
              </w:rPr>
              <w:t>çevrim</w:t>
            </w:r>
            <w:r w:rsidRPr="00DE12A3">
              <w:rPr>
                <w:iCs/>
              </w:rPr>
              <w:t xml:space="preserve"> test modları ve ağırlıklandırma faktörleri tablosu</w:t>
            </w:r>
          </w:p>
        </w:tc>
      </w:tr>
      <w:tr w:rsidR="00DE12A3" w:rsidRPr="00DE12A3" w14:paraId="6FACFAAE" w14:textId="77777777" w:rsidTr="009F4766">
        <w:tc>
          <w:tcPr>
            <w:tcW w:w="2073" w:type="dxa"/>
            <w:tcBorders>
              <w:top w:val="single" w:sz="2" w:space="0" w:color="auto"/>
              <w:left w:val="single" w:sz="2" w:space="0" w:color="auto"/>
              <w:bottom w:val="single" w:sz="2" w:space="0" w:color="auto"/>
              <w:right w:val="single" w:sz="2" w:space="0" w:color="auto"/>
            </w:tcBorders>
          </w:tcPr>
          <w:p w14:paraId="3DDAEC9A" w14:textId="77777777" w:rsidR="00861C3B" w:rsidRPr="00DE12A3" w:rsidRDefault="00861C3B" w:rsidP="00C917D6">
            <w:pPr>
              <w:spacing w:before="120" w:after="120"/>
              <w:rPr>
                <w:rFonts w:cs="Times New Roman"/>
                <w:color w:val="auto"/>
              </w:rPr>
            </w:pPr>
            <w:r w:rsidRPr="00DE12A3">
              <w:rPr>
                <w:rFonts w:cs="Times New Roman"/>
                <w:color w:val="auto"/>
              </w:rPr>
              <w:t>Mod numarası</w:t>
            </w:r>
          </w:p>
        </w:tc>
        <w:tc>
          <w:tcPr>
            <w:tcW w:w="869" w:type="dxa"/>
            <w:tcBorders>
              <w:top w:val="single" w:sz="2" w:space="0" w:color="auto"/>
              <w:left w:val="single" w:sz="2" w:space="0" w:color="auto"/>
              <w:bottom w:val="single" w:sz="2" w:space="0" w:color="auto"/>
              <w:right w:val="single" w:sz="2" w:space="0" w:color="auto"/>
            </w:tcBorders>
          </w:tcPr>
          <w:p w14:paraId="12B39E19" w14:textId="77777777" w:rsidR="00861C3B" w:rsidRPr="00DE12A3" w:rsidRDefault="00861C3B" w:rsidP="00C917D6">
            <w:pPr>
              <w:pStyle w:val="NormalLeft"/>
            </w:pPr>
            <w:r w:rsidRPr="00DE12A3">
              <w:t>1</w:t>
            </w:r>
          </w:p>
        </w:tc>
        <w:tc>
          <w:tcPr>
            <w:tcW w:w="936" w:type="dxa"/>
            <w:tcBorders>
              <w:top w:val="single" w:sz="2" w:space="0" w:color="auto"/>
              <w:left w:val="single" w:sz="2" w:space="0" w:color="auto"/>
              <w:bottom w:val="single" w:sz="2" w:space="0" w:color="auto"/>
              <w:right w:val="single" w:sz="2" w:space="0" w:color="auto"/>
            </w:tcBorders>
          </w:tcPr>
          <w:p w14:paraId="0FC4E9DF" w14:textId="77777777" w:rsidR="00861C3B" w:rsidRPr="00DE12A3" w:rsidRDefault="00861C3B" w:rsidP="00C917D6">
            <w:pPr>
              <w:pStyle w:val="NormalLeft"/>
            </w:pPr>
            <w:r w:rsidRPr="00DE12A3">
              <w:t>2</w:t>
            </w:r>
          </w:p>
        </w:tc>
        <w:tc>
          <w:tcPr>
            <w:tcW w:w="936" w:type="dxa"/>
            <w:tcBorders>
              <w:top w:val="single" w:sz="2" w:space="0" w:color="auto"/>
              <w:left w:val="single" w:sz="2" w:space="0" w:color="auto"/>
              <w:bottom w:val="single" w:sz="2" w:space="0" w:color="auto"/>
              <w:right w:val="single" w:sz="2" w:space="0" w:color="auto"/>
            </w:tcBorders>
          </w:tcPr>
          <w:p w14:paraId="104CB9C0" w14:textId="77777777" w:rsidR="00861C3B" w:rsidRPr="00DE12A3" w:rsidRDefault="00861C3B" w:rsidP="00C917D6">
            <w:pPr>
              <w:pStyle w:val="NormalLeft"/>
            </w:pPr>
            <w:r w:rsidRPr="00DE12A3">
              <w:t>3</w:t>
            </w:r>
          </w:p>
        </w:tc>
        <w:tc>
          <w:tcPr>
            <w:tcW w:w="936" w:type="dxa"/>
            <w:tcBorders>
              <w:top w:val="single" w:sz="2" w:space="0" w:color="auto"/>
              <w:left w:val="single" w:sz="2" w:space="0" w:color="auto"/>
              <w:bottom w:val="single" w:sz="2" w:space="0" w:color="auto"/>
              <w:right w:val="single" w:sz="2" w:space="0" w:color="auto"/>
            </w:tcBorders>
          </w:tcPr>
          <w:p w14:paraId="6A7EB4E4" w14:textId="77777777" w:rsidR="00861C3B" w:rsidRPr="00DE12A3" w:rsidRDefault="00861C3B" w:rsidP="00C917D6">
            <w:pPr>
              <w:pStyle w:val="NormalLeft"/>
            </w:pPr>
            <w:r w:rsidRPr="00DE12A3">
              <w:t>4</w:t>
            </w:r>
          </w:p>
        </w:tc>
        <w:tc>
          <w:tcPr>
            <w:tcW w:w="936" w:type="dxa"/>
            <w:tcBorders>
              <w:top w:val="single" w:sz="2" w:space="0" w:color="auto"/>
              <w:left w:val="single" w:sz="2" w:space="0" w:color="auto"/>
              <w:bottom w:val="single" w:sz="2" w:space="0" w:color="auto"/>
              <w:right w:val="single" w:sz="2" w:space="0" w:color="auto"/>
            </w:tcBorders>
          </w:tcPr>
          <w:p w14:paraId="19EE8D3C" w14:textId="77777777" w:rsidR="00861C3B" w:rsidRPr="00DE12A3" w:rsidRDefault="00861C3B" w:rsidP="00C917D6">
            <w:pPr>
              <w:pStyle w:val="NormalLeft"/>
            </w:pPr>
            <w:r w:rsidRPr="00DE12A3">
              <w:t>5</w:t>
            </w:r>
          </w:p>
        </w:tc>
      </w:tr>
      <w:tr w:rsidR="00DE12A3" w:rsidRPr="00DE12A3" w14:paraId="373FEFF5" w14:textId="77777777" w:rsidTr="009F4766">
        <w:tc>
          <w:tcPr>
            <w:tcW w:w="2073" w:type="dxa"/>
            <w:tcBorders>
              <w:top w:val="single" w:sz="2" w:space="0" w:color="auto"/>
              <w:left w:val="single" w:sz="2" w:space="0" w:color="auto"/>
              <w:bottom w:val="single" w:sz="2" w:space="0" w:color="auto"/>
              <w:right w:val="single" w:sz="2" w:space="0" w:color="auto"/>
            </w:tcBorders>
          </w:tcPr>
          <w:p w14:paraId="5A19D4C7" w14:textId="77777777" w:rsidR="00861C3B" w:rsidRPr="00DE12A3" w:rsidRDefault="00861C3B" w:rsidP="00C917D6">
            <w:pPr>
              <w:spacing w:before="120" w:after="120"/>
              <w:rPr>
                <w:rFonts w:cs="Times New Roman"/>
                <w:color w:val="auto"/>
              </w:rPr>
            </w:pPr>
            <w:r w:rsidRPr="00DE12A3">
              <w:rPr>
                <w:rFonts w:cs="Times New Roman"/>
                <w:color w:val="auto"/>
              </w:rPr>
              <w:t xml:space="preserve">Devir </w:t>
            </w:r>
            <w:r w:rsidRPr="00DE12A3">
              <w:rPr>
                <w:rFonts w:cs="Times New Roman"/>
                <w:color w:val="auto"/>
                <w:vertAlign w:val="superscript"/>
              </w:rPr>
              <w:t>(a)</w:t>
            </w:r>
            <w:r w:rsidRPr="00DE12A3">
              <w:rPr>
                <w:rFonts w:cs="Times New Roman"/>
                <w:color w:val="auto"/>
              </w:rPr>
              <w:t xml:space="preserve"> (%)</w:t>
            </w:r>
          </w:p>
        </w:tc>
        <w:tc>
          <w:tcPr>
            <w:tcW w:w="869" w:type="dxa"/>
            <w:tcBorders>
              <w:top w:val="single" w:sz="2" w:space="0" w:color="auto"/>
              <w:left w:val="single" w:sz="2" w:space="0" w:color="auto"/>
              <w:bottom w:val="single" w:sz="2" w:space="0" w:color="auto"/>
              <w:right w:val="single" w:sz="2" w:space="0" w:color="auto"/>
            </w:tcBorders>
          </w:tcPr>
          <w:p w14:paraId="2C04C1F7" w14:textId="77777777" w:rsidR="00861C3B" w:rsidRPr="00DE12A3" w:rsidRDefault="00861C3B" w:rsidP="00C917D6">
            <w:pPr>
              <w:pStyle w:val="NormalLeft"/>
            </w:pPr>
            <w:r w:rsidRPr="00DE12A3">
              <w:t>100</w:t>
            </w:r>
          </w:p>
        </w:tc>
        <w:tc>
          <w:tcPr>
            <w:tcW w:w="936" w:type="dxa"/>
            <w:tcBorders>
              <w:top w:val="single" w:sz="2" w:space="0" w:color="auto"/>
              <w:left w:val="single" w:sz="2" w:space="0" w:color="auto"/>
              <w:bottom w:val="single" w:sz="2" w:space="0" w:color="auto"/>
              <w:right w:val="single" w:sz="2" w:space="0" w:color="auto"/>
            </w:tcBorders>
          </w:tcPr>
          <w:p w14:paraId="4D91FB3E" w14:textId="77777777" w:rsidR="00861C3B" w:rsidRPr="00DE12A3" w:rsidRDefault="00861C3B" w:rsidP="00C917D6">
            <w:pPr>
              <w:pStyle w:val="NormalLeft"/>
            </w:pPr>
            <w:r w:rsidRPr="00DE12A3">
              <w:t>85</w:t>
            </w:r>
          </w:p>
        </w:tc>
        <w:tc>
          <w:tcPr>
            <w:tcW w:w="936" w:type="dxa"/>
            <w:tcBorders>
              <w:top w:val="single" w:sz="2" w:space="0" w:color="auto"/>
              <w:left w:val="single" w:sz="2" w:space="0" w:color="auto"/>
              <w:bottom w:val="single" w:sz="2" w:space="0" w:color="auto"/>
              <w:right w:val="single" w:sz="2" w:space="0" w:color="auto"/>
            </w:tcBorders>
          </w:tcPr>
          <w:p w14:paraId="7460638B" w14:textId="77777777" w:rsidR="00861C3B" w:rsidRPr="00DE12A3" w:rsidRDefault="00861C3B" w:rsidP="00C917D6">
            <w:pPr>
              <w:pStyle w:val="NormalLeft"/>
            </w:pPr>
            <w:r w:rsidRPr="00DE12A3">
              <w:t>75</w:t>
            </w:r>
          </w:p>
        </w:tc>
        <w:tc>
          <w:tcPr>
            <w:tcW w:w="936" w:type="dxa"/>
            <w:tcBorders>
              <w:top w:val="single" w:sz="2" w:space="0" w:color="auto"/>
              <w:left w:val="single" w:sz="2" w:space="0" w:color="auto"/>
              <w:bottom w:val="single" w:sz="2" w:space="0" w:color="auto"/>
              <w:right w:val="single" w:sz="2" w:space="0" w:color="auto"/>
            </w:tcBorders>
          </w:tcPr>
          <w:p w14:paraId="30D7CC86" w14:textId="77777777" w:rsidR="00861C3B" w:rsidRPr="00DE12A3" w:rsidRDefault="00861C3B" w:rsidP="00C917D6">
            <w:pPr>
              <w:pStyle w:val="NormalLeft"/>
            </w:pPr>
            <w:r w:rsidRPr="00DE12A3">
              <w:t>65</w:t>
            </w:r>
          </w:p>
        </w:tc>
        <w:tc>
          <w:tcPr>
            <w:tcW w:w="936" w:type="dxa"/>
            <w:tcBorders>
              <w:top w:val="single" w:sz="2" w:space="0" w:color="auto"/>
              <w:left w:val="single" w:sz="2" w:space="0" w:color="auto"/>
              <w:bottom w:val="single" w:sz="2" w:space="0" w:color="auto"/>
              <w:right w:val="single" w:sz="2" w:space="0" w:color="auto"/>
            </w:tcBorders>
          </w:tcPr>
          <w:p w14:paraId="61CE026D" w14:textId="77777777" w:rsidR="00861C3B" w:rsidRPr="00DE12A3" w:rsidRDefault="00861C3B" w:rsidP="00C917D6">
            <w:pPr>
              <w:pStyle w:val="NormalLeft"/>
            </w:pPr>
            <w:r w:rsidRPr="00DE12A3">
              <w:t>Rölanti</w:t>
            </w:r>
          </w:p>
        </w:tc>
      </w:tr>
      <w:tr w:rsidR="00DE12A3" w:rsidRPr="00DE12A3" w14:paraId="458BA7E7" w14:textId="77777777" w:rsidTr="009F4766">
        <w:tc>
          <w:tcPr>
            <w:tcW w:w="2073" w:type="dxa"/>
            <w:tcBorders>
              <w:top w:val="single" w:sz="2" w:space="0" w:color="auto"/>
              <w:left w:val="single" w:sz="2" w:space="0" w:color="auto"/>
              <w:bottom w:val="single" w:sz="2" w:space="0" w:color="auto"/>
              <w:right w:val="single" w:sz="2" w:space="0" w:color="auto"/>
            </w:tcBorders>
          </w:tcPr>
          <w:p w14:paraId="2AE5541C" w14:textId="77777777" w:rsidR="00861C3B" w:rsidRPr="00DE12A3" w:rsidRDefault="00861C3B" w:rsidP="00C917D6">
            <w:pPr>
              <w:spacing w:before="120" w:after="120"/>
              <w:rPr>
                <w:rFonts w:cs="Times New Roman"/>
                <w:color w:val="auto"/>
              </w:rPr>
            </w:pPr>
            <w:r w:rsidRPr="00DE12A3">
              <w:rPr>
                <w:rFonts w:cs="Times New Roman"/>
                <w:color w:val="auto"/>
              </w:rPr>
              <w:t xml:space="preserve">Tork </w:t>
            </w:r>
            <w:r w:rsidRPr="00DE12A3">
              <w:rPr>
                <w:rFonts w:cs="Times New Roman"/>
                <w:color w:val="auto"/>
                <w:vertAlign w:val="superscript"/>
              </w:rPr>
              <w:t>(b)</w:t>
            </w:r>
            <w:r w:rsidRPr="00DE12A3">
              <w:rPr>
                <w:rFonts w:cs="Times New Roman"/>
                <w:color w:val="auto"/>
              </w:rPr>
              <w:t xml:space="preserve"> (%)</w:t>
            </w:r>
          </w:p>
        </w:tc>
        <w:tc>
          <w:tcPr>
            <w:tcW w:w="869" w:type="dxa"/>
            <w:tcBorders>
              <w:top w:val="single" w:sz="2" w:space="0" w:color="auto"/>
              <w:left w:val="single" w:sz="2" w:space="0" w:color="auto"/>
              <w:bottom w:val="single" w:sz="2" w:space="0" w:color="auto"/>
              <w:right w:val="single" w:sz="2" w:space="0" w:color="auto"/>
            </w:tcBorders>
          </w:tcPr>
          <w:p w14:paraId="3AD8824D" w14:textId="77777777" w:rsidR="00861C3B" w:rsidRPr="00DE12A3" w:rsidRDefault="00861C3B" w:rsidP="00C917D6">
            <w:pPr>
              <w:pStyle w:val="NormalLeft"/>
            </w:pPr>
            <w:r w:rsidRPr="00DE12A3">
              <w:t>100</w:t>
            </w:r>
          </w:p>
        </w:tc>
        <w:tc>
          <w:tcPr>
            <w:tcW w:w="936" w:type="dxa"/>
            <w:tcBorders>
              <w:top w:val="single" w:sz="2" w:space="0" w:color="auto"/>
              <w:left w:val="single" w:sz="2" w:space="0" w:color="auto"/>
              <w:bottom w:val="single" w:sz="2" w:space="0" w:color="auto"/>
              <w:right w:val="single" w:sz="2" w:space="0" w:color="auto"/>
            </w:tcBorders>
          </w:tcPr>
          <w:p w14:paraId="1F0B8C6E" w14:textId="77777777" w:rsidR="00861C3B" w:rsidRPr="00DE12A3" w:rsidRDefault="00861C3B" w:rsidP="00C917D6">
            <w:pPr>
              <w:pStyle w:val="NormalLeft"/>
            </w:pPr>
            <w:r w:rsidRPr="00DE12A3">
              <w:t>51</w:t>
            </w:r>
          </w:p>
        </w:tc>
        <w:tc>
          <w:tcPr>
            <w:tcW w:w="936" w:type="dxa"/>
            <w:tcBorders>
              <w:top w:val="single" w:sz="2" w:space="0" w:color="auto"/>
              <w:left w:val="single" w:sz="2" w:space="0" w:color="auto"/>
              <w:bottom w:val="single" w:sz="2" w:space="0" w:color="auto"/>
              <w:right w:val="single" w:sz="2" w:space="0" w:color="auto"/>
            </w:tcBorders>
          </w:tcPr>
          <w:p w14:paraId="1917243E" w14:textId="77777777" w:rsidR="00861C3B" w:rsidRPr="00DE12A3" w:rsidRDefault="00861C3B" w:rsidP="00C917D6">
            <w:pPr>
              <w:pStyle w:val="NormalLeft"/>
            </w:pPr>
            <w:r w:rsidRPr="00DE12A3">
              <w:t>33</w:t>
            </w:r>
          </w:p>
        </w:tc>
        <w:tc>
          <w:tcPr>
            <w:tcW w:w="936" w:type="dxa"/>
            <w:tcBorders>
              <w:top w:val="single" w:sz="2" w:space="0" w:color="auto"/>
              <w:left w:val="single" w:sz="2" w:space="0" w:color="auto"/>
              <w:bottom w:val="single" w:sz="2" w:space="0" w:color="auto"/>
              <w:right w:val="single" w:sz="2" w:space="0" w:color="auto"/>
            </w:tcBorders>
          </w:tcPr>
          <w:p w14:paraId="27D60E8E" w14:textId="77777777" w:rsidR="00861C3B" w:rsidRPr="00DE12A3" w:rsidRDefault="00861C3B" w:rsidP="00C917D6">
            <w:pPr>
              <w:pStyle w:val="NormalLeft"/>
            </w:pPr>
            <w:r w:rsidRPr="00DE12A3">
              <w:t>19</w:t>
            </w:r>
          </w:p>
        </w:tc>
        <w:tc>
          <w:tcPr>
            <w:tcW w:w="936" w:type="dxa"/>
            <w:tcBorders>
              <w:top w:val="single" w:sz="2" w:space="0" w:color="auto"/>
              <w:left w:val="single" w:sz="2" w:space="0" w:color="auto"/>
              <w:bottom w:val="single" w:sz="2" w:space="0" w:color="auto"/>
              <w:right w:val="single" w:sz="2" w:space="0" w:color="auto"/>
            </w:tcBorders>
          </w:tcPr>
          <w:p w14:paraId="59F9219F" w14:textId="77777777" w:rsidR="00861C3B" w:rsidRPr="00DE12A3" w:rsidRDefault="00861C3B" w:rsidP="00C917D6">
            <w:pPr>
              <w:pStyle w:val="NormalLeft"/>
            </w:pPr>
            <w:r w:rsidRPr="00DE12A3">
              <w:t>0</w:t>
            </w:r>
          </w:p>
        </w:tc>
      </w:tr>
      <w:tr w:rsidR="00DE12A3" w:rsidRPr="00DE12A3" w14:paraId="10D660CF" w14:textId="77777777" w:rsidTr="009F4766">
        <w:tc>
          <w:tcPr>
            <w:tcW w:w="2073" w:type="dxa"/>
            <w:tcBorders>
              <w:top w:val="single" w:sz="2" w:space="0" w:color="auto"/>
              <w:left w:val="single" w:sz="2" w:space="0" w:color="auto"/>
              <w:bottom w:val="single" w:sz="2" w:space="0" w:color="auto"/>
              <w:right w:val="single" w:sz="2" w:space="0" w:color="auto"/>
            </w:tcBorders>
          </w:tcPr>
          <w:p w14:paraId="19B52C47" w14:textId="77777777" w:rsidR="00861C3B" w:rsidRPr="00DE12A3" w:rsidRDefault="00861C3B" w:rsidP="00C917D6">
            <w:pPr>
              <w:spacing w:before="120" w:after="120"/>
              <w:rPr>
                <w:rFonts w:cs="Times New Roman"/>
                <w:color w:val="auto"/>
              </w:rPr>
            </w:pPr>
            <w:r w:rsidRPr="00DE12A3">
              <w:rPr>
                <w:rFonts w:cs="Times New Roman"/>
                <w:color w:val="auto"/>
              </w:rPr>
              <w:t>Ağırlıklandırma faktörü</w:t>
            </w:r>
          </w:p>
        </w:tc>
        <w:tc>
          <w:tcPr>
            <w:tcW w:w="869" w:type="dxa"/>
            <w:tcBorders>
              <w:top w:val="single" w:sz="2" w:space="0" w:color="auto"/>
              <w:left w:val="single" w:sz="2" w:space="0" w:color="auto"/>
              <w:bottom w:val="single" w:sz="2" w:space="0" w:color="auto"/>
              <w:right w:val="single" w:sz="2" w:space="0" w:color="auto"/>
            </w:tcBorders>
          </w:tcPr>
          <w:p w14:paraId="56704DB9" w14:textId="77777777" w:rsidR="00861C3B" w:rsidRPr="00DE12A3" w:rsidRDefault="00861C3B" w:rsidP="00C917D6">
            <w:pPr>
              <w:pStyle w:val="NormalLeft"/>
            </w:pPr>
            <w:r w:rsidRPr="00DE12A3">
              <w:t>0,12</w:t>
            </w:r>
          </w:p>
        </w:tc>
        <w:tc>
          <w:tcPr>
            <w:tcW w:w="936" w:type="dxa"/>
            <w:tcBorders>
              <w:top w:val="single" w:sz="2" w:space="0" w:color="auto"/>
              <w:left w:val="single" w:sz="2" w:space="0" w:color="auto"/>
              <w:bottom w:val="single" w:sz="2" w:space="0" w:color="auto"/>
              <w:right w:val="single" w:sz="2" w:space="0" w:color="auto"/>
            </w:tcBorders>
          </w:tcPr>
          <w:p w14:paraId="2D62994F" w14:textId="77777777" w:rsidR="00861C3B" w:rsidRPr="00DE12A3" w:rsidRDefault="00861C3B" w:rsidP="00C917D6">
            <w:pPr>
              <w:pStyle w:val="NormalLeft"/>
            </w:pPr>
            <w:r w:rsidRPr="00DE12A3">
              <w:t>0,27</w:t>
            </w:r>
          </w:p>
        </w:tc>
        <w:tc>
          <w:tcPr>
            <w:tcW w:w="936" w:type="dxa"/>
            <w:tcBorders>
              <w:top w:val="single" w:sz="2" w:space="0" w:color="auto"/>
              <w:left w:val="single" w:sz="2" w:space="0" w:color="auto"/>
              <w:bottom w:val="single" w:sz="2" w:space="0" w:color="auto"/>
              <w:right w:val="single" w:sz="2" w:space="0" w:color="auto"/>
            </w:tcBorders>
          </w:tcPr>
          <w:p w14:paraId="3AA04324" w14:textId="77777777" w:rsidR="00861C3B" w:rsidRPr="00DE12A3" w:rsidRDefault="00861C3B" w:rsidP="00C917D6">
            <w:pPr>
              <w:pStyle w:val="NormalLeft"/>
            </w:pPr>
            <w:r w:rsidRPr="00DE12A3">
              <w:t>0,25</w:t>
            </w:r>
          </w:p>
        </w:tc>
        <w:tc>
          <w:tcPr>
            <w:tcW w:w="936" w:type="dxa"/>
            <w:tcBorders>
              <w:top w:val="single" w:sz="2" w:space="0" w:color="auto"/>
              <w:left w:val="single" w:sz="2" w:space="0" w:color="auto"/>
              <w:bottom w:val="single" w:sz="2" w:space="0" w:color="auto"/>
              <w:right w:val="single" w:sz="2" w:space="0" w:color="auto"/>
            </w:tcBorders>
          </w:tcPr>
          <w:p w14:paraId="313C94F2" w14:textId="77777777" w:rsidR="00861C3B" w:rsidRPr="00DE12A3" w:rsidRDefault="00861C3B" w:rsidP="00C917D6">
            <w:pPr>
              <w:pStyle w:val="NormalLeft"/>
            </w:pPr>
            <w:r w:rsidRPr="00DE12A3">
              <w:t>0,31</w:t>
            </w:r>
          </w:p>
        </w:tc>
        <w:tc>
          <w:tcPr>
            <w:tcW w:w="936" w:type="dxa"/>
            <w:tcBorders>
              <w:top w:val="single" w:sz="2" w:space="0" w:color="auto"/>
              <w:left w:val="single" w:sz="2" w:space="0" w:color="auto"/>
              <w:bottom w:val="single" w:sz="2" w:space="0" w:color="auto"/>
              <w:right w:val="single" w:sz="2" w:space="0" w:color="auto"/>
            </w:tcBorders>
          </w:tcPr>
          <w:p w14:paraId="7C2ACBB9" w14:textId="77777777" w:rsidR="00861C3B" w:rsidRPr="00DE12A3" w:rsidRDefault="00861C3B" w:rsidP="00C917D6">
            <w:pPr>
              <w:pStyle w:val="NormalLeft"/>
            </w:pPr>
            <w:r w:rsidRPr="00DE12A3">
              <w:t>0,05</w:t>
            </w:r>
          </w:p>
        </w:tc>
      </w:tr>
    </w:tbl>
    <w:p w14:paraId="0B4CAE8F" w14:textId="56317F21" w:rsidR="00861C3B" w:rsidRPr="00DE12A3" w:rsidRDefault="00861C3B" w:rsidP="00C917D6">
      <w:pPr>
        <w:pStyle w:val="Gvdemetni21"/>
        <w:shd w:val="clear" w:color="auto" w:fill="auto"/>
        <w:spacing w:after="120" w:line="240" w:lineRule="auto"/>
        <w:ind w:left="1134" w:firstLine="0"/>
        <w:jc w:val="both"/>
        <w:rPr>
          <w:sz w:val="18"/>
          <w:szCs w:val="18"/>
        </w:rPr>
      </w:pPr>
      <w:r w:rsidRPr="00DE12A3">
        <w:rPr>
          <w:rStyle w:val="Gvdemetni95pt0ptbolukbraklyor"/>
          <w:color w:val="auto"/>
          <w:sz w:val="18"/>
          <w:szCs w:val="18"/>
        </w:rPr>
        <w:t>(</w:t>
      </w:r>
      <w:r w:rsidRPr="00DE12A3">
        <w:rPr>
          <w:rStyle w:val="Gvdemetni95pt0ptbolukbraklyor"/>
          <w:color w:val="auto"/>
          <w:sz w:val="18"/>
          <w:szCs w:val="18"/>
          <w:vertAlign w:val="superscript"/>
        </w:rPr>
        <w:t>a</w:t>
      </w:r>
      <w:r w:rsidRPr="00DE12A3">
        <w:rPr>
          <w:rStyle w:val="Gvdemetni95pt0ptbolukbraklyor"/>
          <w:color w:val="auto"/>
          <w:sz w:val="18"/>
          <w:szCs w:val="18"/>
        </w:rPr>
        <w:t>)</w:t>
      </w:r>
      <w:r w:rsidRPr="00DE12A3">
        <w:rPr>
          <w:rStyle w:val="Gvdemetni95pt0ptbolukbraklyor"/>
          <w:color w:val="auto"/>
          <w:sz w:val="18"/>
          <w:szCs w:val="18"/>
        </w:rPr>
        <w:tab/>
      </w:r>
      <w:r w:rsidRPr="00DE12A3">
        <w:rPr>
          <w:sz w:val="18"/>
          <w:szCs w:val="18"/>
        </w:rPr>
        <w:t xml:space="preserve">Gereken test devirlerinin belirlenmesi için </w:t>
      </w:r>
      <w:r w:rsidR="00FA0678" w:rsidRPr="00DE12A3">
        <w:rPr>
          <w:sz w:val="18"/>
          <w:szCs w:val="18"/>
        </w:rPr>
        <w:t>VI’ncı ek</w:t>
      </w:r>
      <w:r w:rsidRPr="00DE12A3">
        <w:rPr>
          <w:sz w:val="18"/>
          <w:szCs w:val="18"/>
        </w:rPr>
        <w:t xml:space="preserve">in 5.2.5, 7.6 ve 7.7 </w:t>
      </w:r>
      <w:r w:rsidR="00E1361C" w:rsidRPr="00DE12A3">
        <w:rPr>
          <w:sz w:val="18"/>
          <w:szCs w:val="18"/>
        </w:rPr>
        <w:t xml:space="preserve">bentlerine </w:t>
      </w:r>
      <w:r w:rsidRPr="00DE12A3">
        <w:rPr>
          <w:sz w:val="18"/>
          <w:szCs w:val="18"/>
        </w:rPr>
        <w:t>bakınız.</w:t>
      </w:r>
    </w:p>
    <w:p w14:paraId="17D150C2" w14:textId="77777777" w:rsidR="00861C3B" w:rsidRPr="00DE12A3" w:rsidRDefault="00861C3B" w:rsidP="00C917D6">
      <w:pPr>
        <w:pStyle w:val="Gvdemetni21"/>
        <w:shd w:val="clear" w:color="auto" w:fill="auto"/>
        <w:spacing w:after="120" w:line="240" w:lineRule="auto"/>
        <w:ind w:left="1134" w:firstLine="0"/>
        <w:jc w:val="both"/>
        <w:rPr>
          <w:sz w:val="18"/>
          <w:szCs w:val="18"/>
        </w:rPr>
      </w:pPr>
      <w:r w:rsidRPr="00DE12A3">
        <w:rPr>
          <w:rStyle w:val="Gvdemetni95pt0ptbolukbraklyor"/>
          <w:color w:val="auto"/>
          <w:sz w:val="18"/>
          <w:szCs w:val="18"/>
        </w:rPr>
        <w:t>(</w:t>
      </w:r>
      <w:r w:rsidRPr="00DE12A3">
        <w:rPr>
          <w:rStyle w:val="Gvdemetni95pt0ptbolukbraklyor"/>
          <w:color w:val="auto"/>
          <w:sz w:val="18"/>
          <w:szCs w:val="18"/>
          <w:vertAlign w:val="superscript"/>
        </w:rPr>
        <w:t>b</w:t>
      </w:r>
      <w:r w:rsidRPr="00DE12A3">
        <w:rPr>
          <w:rStyle w:val="Gvdemetni95pt0ptbolukbraklyor"/>
          <w:color w:val="auto"/>
          <w:sz w:val="18"/>
          <w:szCs w:val="18"/>
        </w:rPr>
        <w:t>)</w:t>
      </w:r>
      <w:r w:rsidRPr="00DE12A3">
        <w:rPr>
          <w:rStyle w:val="Gvdemetni95pt0ptbolukbraklyor"/>
          <w:color w:val="auto"/>
          <w:sz w:val="18"/>
          <w:szCs w:val="18"/>
        </w:rPr>
        <w:tab/>
      </w:r>
      <w:r w:rsidRPr="00DE12A3">
        <w:rPr>
          <w:sz w:val="18"/>
          <w:szCs w:val="18"/>
        </w:rPr>
        <w:t>% tork, komut verilen motor devrindeki azami torka bağlıdır.</w:t>
      </w:r>
    </w:p>
    <w:p w14:paraId="5413EDC7" w14:textId="77777777" w:rsidR="009F4766" w:rsidRPr="00DE12A3" w:rsidRDefault="009F4766" w:rsidP="00C917D6">
      <w:pPr>
        <w:adjustRightInd w:val="0"/>
        <w:spacing w:before="120" w:after="120"/>
        <w:rPr>
          <w:rFonts w:cs="Times New Roman"/>
          <w:color w:val="auto"/>
        </w:rPr>
        <w:sectPr w:rsidR="009F4766" w:rsidRPr="00DE12A3">
          <w:pgSz w:w="11906" w:h="16838"/>
          <w:pgMar w:top="1134" w:right="1418" w:bottom="1134" w:left="1418" w:header="709" w:footer="709" w:gutter="0"/>
          <w:pgNumType w:start="0"/>
          <w:cols w:space="709"/>
        </w:sectPr>
      </w:pPr>
    </w:p>
    <w:p w14:paraId="1B95DA30" w14:textId="77777777" w:rsidR="00861C3B" w:rsidRPr="00DE12A3" w:rsidRDefault="00861C3B" w:rsidP="00F71ECF">
      <w:pPr>
        <w:pStyle w:val="Balk2"/>
        <w:rPr>
          <w:color w:val="auto"/>
        </w:rPr>
      </w:pPr>
      <w:r w:rsidRPr="00DE12A3">
        <w:rPr>
          <w:color w:val="auto"/>
        </w:rPr>
        <w:lastRenderedPageBreak/>
        <w:t>2. Açıklayıcı Ek</w:t>
      </w:r>
    </w:p>
    <w:p w14:paraId="5EE036AE" w14:textId="77777777" w:rsidR="00861C3B" w:rsidRPr="00DE12A3" w:rsidRDefault="00861C3B" w:rsidP="00051047">
      <w:pPr>
        <w:jc w:val="center"/>
        <w:rPr>
          <w:b/>
          <w:color w:val="auto"/>
        </w:rPr>
      </w:pPr>
      <w:r w:rsidRPr="00DE12A3">
        <w:rPr>
          <w:b/>
          <w:color w:val="auto"/>
        </w:rPr>
        <w:t>Kararlı durum artırımlı mod</w:t>
      </w:r>
      <w:r w:rsidR="007D252A" w:rsidRPr="00DE12A3">
        <w:rPr>
          <w:b/>
          <w:color w:val="auto"/>
        </w:rPr>
        <w:t>e</w:t>
      </w:r>
      <w:r w:rsidRPr="00DE12A3">
        <w:rPr>
          <w:b/>
          <w:color w:val="auto"/>
        </w:rPr>
        <w:t xml:space="preserve">l </w:t>
      </w:r>
      <w:r w:rsidR="00F310B5" w:rsidRPr="00DE12A3">
        <w:rPr>
          <w:b/>
          <w:color w:val="auto"/>
        </w:rPr>
        <w:t>çevrim</w:t>
      </w:r>
      <w:r w:rsidRPr="00DE12A3">
        <w:rPr>
          <w:b/>
          <w:color w:val="auto"/>
        </w:rPr>
        <w:t>ler</w:t>
      </w:r>
      <w:r w:rsidR="007D252A" w:rsidRPr="00DE12A3">
        <w:rPr>
          <w:b/>
          <w:color w:val="auto"/>
        </w:rPr>
        <w:t>i</w:t>
      </w:r>
      <w:r w:rsidRPr="00DE12A3">
        <w:rPr>
          <w:b/>
          <w:color w:val="auto"/>
        </w:rPr>
        <w:t xml:space="preserve"> (RMC)</w:t>
      </w:r>
    </w:p>
    <w:p w14:paraId="5A9EA9D8" w14:textId="77777777" w:rsidR="00861C3B" w:rsidRPr="00DE12A3" w:rsidRDefault="00861C3B" w:rsidP="00051047">
      <w:pPr>
        <w:rPr>
          <w:color w:val="auto"/>
        </w:rPr>
      </w:pPr>
    </w:p>
    <w:p w14:paraId="13E6AE3F" w14:textId="77777777" w:rsidR="009F4766" w:rsidRPr="00DE12A3" w:rsidRDefault="00861C3B" w:rsidP="00051047">
      <w:pPr>
        <w:jc w:val="center"/>
        <w:rPr>
          <w:b/>
          <w:color w:val="auto"/>
        </w:rPr>
      </w:pPr>
      <w:r w:rsidRPr="00DE12A3">
        <w:rPr>
          <w:b/>
          <w:color w:val="auto"/>
        </w:rPr>
        <w:t xml:space="preserve">Tip C test </w:t>
      </w:r>
      <w:r w:rsidR="00F310B5" w:rsidRPr="00DE12A3">
        <w:rPr>
          <w:b/>
          <w:color w:val="auto"/>
        </w:rPr>
        <w:t>çevrim</w:t>
      </w:r>
      <w:r w:rsidRPr="00DE12A3">
        <w:rPr>
          <w:b/>
          <w:color w:val="auto"/>
        </w:rPr>
        <w:t>leri</w:t>
      </w:r>
    </w:p>
    <w:tbl>
      <w:tblPr>
        <w:tblW w:w="0" w:type="auto"/>
        <w:tblInd w:w="186" w:type="dxa"/>
        <w:tblLayout w:type="fixed"/>
        <w:tblLook w:val="0000" w:firstRow="0" w:lastRow="0" w:firstColumn="0" w:lastColumn="0" w:noHBand="0" w:noVBand="0"/>
      </w:tblPr>
      <w:tblGrid>
        <w:gridCol w:w="2318"/>
        <w:gridCol w:w="2674"/>
        <w:gridCol w:w="1961"/>
        <w:gridCol w:w="1962"/>
      </w:tblGrid>
      <w:tr w:rsidR="00DE12A3" w:rsidRPr="00DE12A3" w14:paraId="7B23DE30" w14:textId="77777777" w:rsidTr="009F4766">
        <w:tc>
          <w:tcPr>
            <w:tcW w:w="8915" w:type="dxa"/>
            <w:gridSpan w:val="4"/>
            <w:tcBorders>
              <w:top w:val="single" w:sz="2" w:space="0" w:color="auto"/>
              <w:left w:val="single" w:sz="2" w:space="0" w:color="auto"/>
              <w:bottom w:val="single" w:sz="2" w:space="0" w:color="auto"/>
              <w:right w:val="single" w:sz="2" w:space="0" w:color="auto"/>
            </w:tcBorders>
          </w:tcPr>
          <w:p w14:paraId="13B75425" w14:textId="77777777" w:rsidR="009F4766" w:rsidRPr="00DE12A3" w:rsidRDefault="0047668F" w:rsidP="00C917D6">
            <w:pPr>
              <w:pStyle w:val="NormalCentered"/>
            </w:pPr>
            <w:r w:rsidRPr="00DE12A3">
              <w:rPr>
                <w:iCs/>
              </w:rPr>
              <w:t>RMC-C1 test modları tablosu</w:t>
            </w:r>
          </w:p>
        </w:tc>
      </w:tr>
      <w:tr w:rsidR="00DE12A3" w:rsidRPr="00DE12A3" w14:paraId="3F55BEEA" w14:textId="77777777" w:rsidTr="009F4766">
        <w:tc>
          <w:tcPr>
            <w:tcW w:w="2318" w:type="dxa"/>
            <w:tcBorders>
              <w:top w:val="single" w:sz="2" w:space="0" w:color="auto"/>
              <w:left w:val="single" w:sz="2" w:space="0" w:color="auto"/>
              <w:bottom w:val="single" w:sz="2" w:space="0" w:color="auto"/>
              <w:right w:val="single" w:sz="2" w:space="0" w:color="auto"/>
            </w:tcBorders>
          </w:tcPr>
          <w:p w14:paraId="2A0FD3F8" w14:textId="77777777" w:rsidR="0047668F" w:rsidRPr="00DE12A3" w:rsidRDefault="0047668F" w:rsidP="00C917D6">
            <w:pPr>
              <w:spacing w:before="120" w:after="120"/>
              <w:rPr>
                <w:rFonts w:cs="Times New Roman"/>
                <w:color w:val="auto"/>
              </w:rPr>
            </w:pPr>
            <w:r w:rsidRPr="00DE12A3">
              <w:rPr>
                <w:rFonts w:cs="Times New Roman"/>
                <w:color w:val="auto"/>
              </w:rPr>
              <w:t>RMC Mod Numarası</w:t>
            </w:r>
          </w:p>
        </w:tc>
        <w:tc>
          <w:tcPr>
            <w:tcW w:w="2674" w:type="dxa"/>
            <w:tcBorders>
              <w:top w:val="single" w:sz="2" w:space="0" w:color="auto"/>
              <w:left w:val="single" w:sz="2" w:space="0" w:color="auto"/>
              <w:bottom w:val="single" w:sz="2" w:space="0" w:color="auto"/>
              <w:right w:val="single" w:sz="2" w:space="0" w:color="auto"/>
            </w:tcBorders>
          </w:tcPr>
          <w:p w14:paraId="3C43A6BD" w14:textId="77777777" w:rsidR="0047668F" w:rsidRPr="00DE12A3" w:rsidRDefault="0047668F" w:rsidP="00C917D6">
            <w:pPr>
              <w:spacing w:before="120" w:after="120"/>
              <w:rPr>
                <w:rFonts w:cs="Times New Roman"/>
                <w:color w:val="auto"/>
              </w:rPr>
            </w:pPr>
            <w:r w:rsidRPr="00DE12A3">
              <w:rPr>
                <w:rFonts w:cs="Times New Roman"/>
                <w:color w:val="auto"/>
              </w:rPr>
              <w:t>Mod süresi (saniye)</w:t>
            </w:r>
          </w:p>
        </w:tc>
        <w:tc>
          <w:tcPr>
            <w:tcW w:w="1961" w:type="dxa"/>
            <w:tcBorders>
              <w:top w:val="single" w:sz="2" w:space="0" w:color="auto"/>
              <w:left w:val="single" w:sz="2" w:space="0" w:color="auto"/>
              <w:bottom w:val="single" w:sz="2" w:space="0" w:color="auto"/>
              <w:right w:val="single" w:sz="2" w:space="0" w:color="auto"/>
            </w:tcBorders>
          </w:tcPr>
          <w:p w14:paraId="0A606BBE" w14:textId="77777777" w:rsidR="0047668F" w:rsidRPr="00DE12A3" w:rsidRDefault="0047668F" w:rsidP="00C917D6">
            <w:pPr>
              <w:spacing w:before="120" w:after="120"/>
              <w:rPr>
                <w:rFonts w:cs="Times New Roman"/>
                <w:color w:val="auto"/>
              </w:rPr>
            </w:pPr>
            <w:r w:rsidRPr="00DE12A3">
              <w:rPr>
                <w:rFonts w:cs="Times New Roman"/>
                <w:color w:val="auto"/>
              </w:rPr>
              <w:t xml:space="preserve">Motor devri </w:t>
            </w:r>
            <w:r w:rsidRPr="00DE12A3">
              <w:rPr>
                <w:rFonts w:cs="Times New Roman"/>
                <w:color w:val="auto"/>
                <w:vertAlign w:val="superscript"/>
              </w:rPr>
              <w:t>(a) (c)</w:t>
            </w:r>
          </w:p>
        </w:tc>
        <w:tc>
          <w:tcPr>
            <w:tcW w:w="1962" w:type="dxa"/>
            <w:tcBorders>
              <w:top w:val="single" w:sz="2" w:space="0" w:color="auto"/>
              <w:left w:val="single" w:sz="2" w:space="0" w:color="auto"/>
              <w:bottom w:val="single" w:sz="2" w:space="0" w:color="auto"/>
              <w:right w:val="single" w:sz="2" w:space="0" w:color="auto"/>
            </w:tcBorders>
          </w:tcPr>
          <w:p w14:paraId="30120BA6" w14:textId="77777777" w:rsidR="0047668F" w:rsidRPr="00DE12A3" w:rsidRDefault="0047668F" w:rsidP="00C917D6">
            <w:pPr>
              <w:spacing w:before="120" w:after="120"/>
              <w:rPr>
                <w:rFonts w:cs="Times New Roman"/>
                <w:color w:val="auto"/>
              </w:rPr>
            </w:pPr>
            <w:r w:rsidRPr="00DE12A3">
              <w:rPr>
                <w:rFonts w:cs="Times New Roman"/>
                <w:color w:val="auto"/>
              </w:rPr>
              <w:t xml:space="preserve">Tork (%) </w:t>
            </w:r>
            <w:r w:rsidRPr="00DE12A3">
              <w:rPr>
                <w:rFonts w:cs="Times New Roman"/>
                <w:color w:val="auto"/>
                <w:vertAlign w:val="superscript"/>
              </w:rPr>
              <w:t>(b) (c)</w:t>
            </w:r>
          </w:p>
        </w:tc>
      </w:tr>
      <w:tr w:rsidR="00DE12A3" w:rsidRPr="00DE12A3" w14:paraId="7697A80D" w14:textId="77777777" w:rsidTr="009F4766">
        <w:tc>
          <w:tcPr>
            <w:tcW w:w="2318" w:type="dxa"/>
            <w:tcBorders>
              <w:top w:val="single" w:sz="2" w:space="0" w:color="auto"/>
              <w:left w:val="single" w:sz="2" w:space="0" w:color="auto"/>
              <w:bottom w:val="single" w:sz="2" w:space="0" w:color="auto"/>
              <w:right w:val="single" w:sz="2" w:space="0" w:color="auto"/>
            </w:tcBorders>
          </w:tcPr>
          <w:p w14:paraId="5789E827" w14:textId="77777777" w:rsidR="0047668F" w:rsidRPr="00DE12A3" w:rsidRDefault="0047668F" w:rsidP="00C917D6">
            <w:pPr>
              <w:spacing w:before="120" w:after="120"/>
              <w:rPr>
                <w:rFonts w:cs="Times New Roman"/>
                <w:color w:val="auto"/>
              </w:rPr>
            </w:pPr>
            <w:r w:rsidRPr="00DE12A3">
              <w:rPr>
                <w:rFonts w:cs="Times New Roman"/>
                <w:color w:val="auto"/>
              </w:rPr>
              <w:t>1a Kararlı durum</w:t>
            </w:r>
          </w:p>
        </w:tc>
        <w:tc>
          <w:tcPr>
            <w:tcW w:w="2674" w:type="dxa"/>
            <w:tcBorders>
              <w:top w:val="single" w:sz="2" w:space="0" w:color="auto"/>
              <w:left w:val="single" w:sz="2" w:space="0" w:color="auto"/>
              <w:bottom w:val="single" w:sz="2" w:space="0" w:color="auto"/>
              <w:right w:val="single" w:sz="2" w:space="0" w:color="auto"/>
            </w:tcBorders>
          </w:tcPr>
          <w:p w14:paraId="609C1581" w14:textId="77777777" w:rsidR="0047668F" w:rsidRPr="00DE12A3" w:rsidRDefault="0047668F" w:rsidP="00C917D6">
            <w:pPr>
              <w:pStyle w:val="NormalLeft"/>
            </w:pPr>
            <w:r w:rsidRPr="00DE12A3">
              <w:t>126</w:t>
            </w:r>
          </w:p>
        </w:tc>
        <w:tc>
          <w:tcPr>
            <w:tcW w:w="1961" w:type="dxa"/>
            <w:tcBorders>
              <w:top w:val="single" w:sz="2" w:space="0" w:color="auto"/>
              <w:left w:val="single" w:sz="2" w:space="0" w:color="auto"/>
              <w:bottom w:val="single" w:sz="2" w:space="0" w:color="auto"/>
              <w:right w:val="single" w:sz="2" w:space="0" w:color="auto"/>
            </w:tcBorders>
          </w:tcPr>
          <w:p w14:paraId="5EF1E0EF" w14:textId="77777777" w:rsidR="0047668F" w:rsidRPr="00DE12A3" w:rsidRDefault="0047668F" w:rsidP="00C917D6">
            <w:pPr>
              <w:pStyle w:val="NormalLeft"/>
            </w:pPr>
            <w:r w:rsidRPr="00DE12A3">
              <w:t>Rölanti</w:t>
            </w:r>
          </w:p>
        </w:tc>
        <w:tc>
          <w:tcPr>
            <w:tcW w:w="1962" w:type="dxa"/>
            <w:tcBorders>
              <w:top w:val="single" w:sz="2" w:space="0" w:color="auto"/>
              <w:left w:val="single" w:sz="2" w:space="0" w:color="auto"/>
              <w:bottom w:val="single" w:sz="2" w:space="0" w:color="auto"/>
              <w:right w:val="single" w:sz="2" w:space="0" w:color="auto"/>
            </w:tcBorders>
          </w:tcPr>
          <w:p w14:paraId="004F2052" w14:textId="77777777" w:rsidR="0047668F" w:rsidRPr="00DE12A3" w:rsidRDefault="0047668F" w:rsidP="00C917D6">
            <w:pPr>
              <w:pStyle w:val="NormalLeft"/>
            </w:pPr>
            <w:r w:rsidRPr="00DE12A3">
              <w:t>0</w:t>
            </w:r>
          </w:p>
        </w:tc>
      </w:tr>
      <w:tr w:rsidR="00DE12A3" w:rsidRPr="00DE12A3" w14:paraId="5A30466A" w14:textId="77777777" w:rsidTr="009F4766">
        <w:tc>
          <w:tcPr>
            <w:tcW w:w="2318" w:type="dxa"/>
            <w:tcBorders>
              <w:top w:val="single" w:sz="2" w:space="0" w:color="auto"/>
              <w:left w:val="single" w:sz="2" w:space="0" w:color="auto"/>
              <w:bottom w:val="single" w:sz="2" w:space="0" w:color="auto"/>
              <w:right w:val="single" w:sz="2" w:space="0" w:color="auto"/>
            </w:tcBorders>
          </w:tcPr>
          <w:p w14:paraId="3316F8C1" w14:textId="77777777" w:rsidR="0047668F" w:rsidRPr="00DE12A3" w:rsidRDefault="0047668F" w:rsidP="00C917D6">
            <w:pPr>
              <w:spacing w:before="120" w:after="120"/>
              <w:rPr>
                <w:rFonts w:cs="Times New Roman"/>
                <w:color w:val="auto"/>
              </w:rPr>
            </w:pPr>
            <w:r w:rsidRPr="00DE12A3">
              <w:rPr>
                <w:rFonts w:cs="Times New Roman"/>
                <w:color w:val="auto"/>
              </w:rPr>
              <w:t>1b Geçiş</w:t>
            </w:r>
          </w:p>
        </w:tc>
        <w:tc>
          <w:tcPr>
            <w:tcW w:w="2674" w:type="dxa"/>
            <w:tcBorders>
              <w:top w:val="single" w:sz="2" w:space="0" w:color="auto"/>
              <w:left w:val="single" w:sz="2" w:space="0" w:color="auto"/>
              <w:bottom w:val="single" w:sz="2" w:space="0" w:color="auto"/>
              <w:right w:val="single" w:sz="2" w:space="0" w:color="auto"/>
            </w:tcBorders>
          </w:tcPr>
          <w:p w14:paraId="1351D9E9" w14:textId="77777777" w:rsidR="0047668F" w:rsidRPr="00DE12A3" w:rsidRDefault="0047668F" w:rsidP="00C917D6">
            <w:pPr>
              <w:pStyle w:val="NormalLeft"/>
            </w:pPr>
            <w:r w:rsidRPr="00DE12A3">
              <w:t>20</w:t>
            </w:r>
          </w:p>
        </w:tc>
        <w:tc>
          <w:tcPr>
            <w:tcW w:w="1961" w:type="dxa"/>
            <w:tcBorders>
              <w:top w:val="single" w:sz="2" w:space="0" w:color="auto"/>
              <w:left w:val="single" w:sz="2" w:space="0" w:color="auto"/>
              <w:bottom w:val="single" w:sz="2" w:space="0" w:color="auto"/>
              <w:right w:val="single" w:sz="2" w:space="0" w:color="auto"/>
            </w:tcBorders>
          </w:tcPr>
          <w:p w14:paraId="4621724C" w14:textId="77777777" w:rsidR="0047668F" w:rsidRPr="00DE12A3" w:rsidRDefault="0047668F" w:rsidP="00C917D6">
            <w:pPr>
              <w:spacing w:before="120" w:after="120"/>
              <w:rPr>
                <w:rFonts w:cs="Times New Roman"/>
                <w:color w:val="auto"/>
              </w:rPr>
            </w:pPr>
            <w:r w:rsidRPr="00DE12A3">
              <w:rPr>
                <w:rFonts w:cs="Times New Roman"/>
                <w:color w:val="auto"/>
              </w:rPr>
              <w:t>Doğrusal geçiş</w:t>
            </w:r>
          </w:p>
        </w:tc>
        <w:tc>
          <w:tcPr>
            <w:tcW w:w="1962" w:type="dxa"/>
            <w:tcBorders>
              <w:top w:val="single" w:sz="2" w:space="0" w:color="auto"/>
              <w:left w:val="single" w:sz="2" w:space="0" w:color="auto"/>
              <w:bottom w:val="single" w:sz="2" w:space="0" w:color="auto"/>
              <w:right w:val="single" w:sz="2" w:space="0" w:color="auto"/>
            </w:tcBorders>
          </w:tcPr>
          <w:p w14:paraId="0C2A9F5C" w14:textId="77777777" w:rsidR="0047668F" w:rsidRPr="00DE12A3" w:rsidRDefault="0047668F" w:rsidP="00C917D6">
            <w:pPr>
              <w:spacing w:before="120" w:after="120"/>
              <w:rPr>
                <w:rFonts w:cs="Times New Roman"/>
                <w:color w:val="auto"/>
              </w:rPr>
            </w:pPr>
            <w:r w:rsidRPr="00DE12A3">
              <w:rPr>
                <w:rFonts w:cs="Times New Roman"/>
                <w:color w:val="auto"/>
              </w:rPr>
              <w:t>Doğrusal geçiş</w:t>
            </w:r>
          </w:p>
        </w:tc>
      </w:tr>
      <w:tr w:rsidR="00DE12A3" w:rsidRPr="00DE12A3" w14:paraId="3A08C1CC" w14:textId="77777777" w:rsidTr="009F4766">
        <w:tc>
          <w:tcPr>
            <w:tcW w:w="2318" w:type="dxa"/>
            <w:tcBorders>
              <w:top w:val="single" w:sz="2" w:space="0" w:color="auto"/>
              <w:left w:val="single" w:sz="2" w:space="0" w:color="auto"/>
              <w:bottom w:val="single" w:sz="2" w:space="0" w:color="auto"/>
              <w:right w:val="single" w:sz="2" w:space="0" w:color="auto"/>
            </w:tcBorders>
          </w:tcPr>
          <w:p w14:paraId="090A40FB" w14:textId="77777777" w:rsidR="0047668F" w:rsidRPr="00DE12A3" w:rsidRDefault="0047668F" w:rsidP="00C917D6">
            <w:pPr>
              <w:spacing w:before="120" w:after="120"/>
              <w:rPr>
                <w:rFonts w:cs="Times New Roman"/>
                <w:color w:val="auto"/>
              </w:rPr>
            </w:pPr>
            <w:r w:rsidRPr="00DE12A3">
              <w:rPr>
                <w:rFonts w:cs="Times New Roman"/>
                <w:color w:val="auto"/>
              </w:rPr>
              <w:t>2a Kararlı durum</w:t>
            </w:r>
          </w:p>
        </w:tc>
        <w:tc>
          <w:tcPr>
            <w:tcW w:w="2674" w:type="dxa"/>
            <w:tcBorders>
              <w:top w:val="single" w:sz="2" w:space="0" w:color="auto"/>
              <w:left w:val="single" w:sz="2" w:space="0" w:color="auto"/>
              <w:bottom w:val="single" w:sz="2" w:space="0" w:color="auto"/>
              <w:right w:val="single" w:sz="2" w:space="0" w:color="auto"/>
            </w:tcBorders>
          </w:tcPr>
          <w:p w14:paraId="696B82F2" w14:textId="77777777" w:rsidR="0047668F" w:rsidRPr="00DE12A3" w:rsidRDefault="0047668F" w:rsidP="00C917D6">
            <w:pPr>
              <w:pStyle w:val="NormalLeft"/>
            </w:pPr>
            <w:r w:rsidRPr="00DE12A3">
              <w:t>159</w:t>
            </w:r>
          </w:p>
        </w:tc>
        <w:tc>
          <w:tcPr>
            <w:tcW w:w="1961" w:type="dxa"/>
            <w:tcBorders>
              <w:top w:val="single" w:sz="2" w:space="0" w:color="auto"/>
              <w:left w:val="single" w:sz="2" w:space="0" w:color="auto"/>
              <w:bottom w:val="single" w:sz="2" w:space="0" w:color="auto"/>
              <w:right w:val="single" w:sz="2" w:space="0" w:color="auto"/>
            </w:tcBorders>
          </w:tcPr>
          <w:p w14:paraId="5C8B6CBB" w14:textId="77777777" w:rsidR="0047668F" w:rsidRPr="00DE12A3" w:rsidRDefault="0047668F" w:rsidP="00C917D6">
            <w:pPr>
              <w:pStyle w:val="NormalLeft"/>
            </w:pPr>
            <w:r w:rsidRPr="00DE12A3">
              <w:t>Orta</w:t>
            </w:r>
          </w:p>
        </w:tc>
        <w:tc>
          <w:tcPr>
            <w:tcW w:w="1962" w:type="dxa"/>
            <w:tcBorders>
              <w:top w:val="single" w:sz="2" w:space="0" w:color="auto"/>
              <w:left w:val="single" w:sz="2" w:space="0" w:color="auto"/>
              <w:bottom w:val="single" w:sz="2" w:space="0" w:color="auto"/>
              <w:right w:val="single" w:sz="2" w:space="0" w:color="auto"/>
            </w:tcBorders>
          </w:tcPr>
          <w:p w14:paraId="6BD73492" w14:textId="77777777" w:rsidR="0047668F" w:rsidRPr="00DE12A3" w:rsidRDefault="0047668F" w:rsidP="00C917D6">
            <w:pPr>
              <w:pStyle w:val="NormalLeft"/>
            </w:pPr>
            <w:r w:rsidRPr="00DE12A3">
              <w:t>100</w:t>
            </w:r>
          </w:p>
        </w:tc>
      </w:tr>
      <w:tr w:rsidR="00DE12A3" w:rsidRPr="00DE12A3" w14:paraId="5ABBC8F2" w14:textId="77777777" w:rsidTr="009F4766">
        <w:tc>
          <w:tcPr>
            <w:tcW w:w="2318" w:type="dxa"/>
            <w:tcBorders>
              <w:top w:val="single" w:sz="2" w:space="0" w:color="auto"/>
              <w:left w:val="single" w:sz="2" w:space="0" w:color="auto"/>
              <w:bottom w:val="single" w:sz="2" w:space="0" w:color="auto"/>
              <w:right w:val="single" w:sz="2" w:space="0" w:color="auto"/>
            </w:tcBorders>
          </w:tcPr>
          <w:p w14:paraId="7CFF7337" w14:textId="77777777" w:rsidR="0047668F" w:rsidRPr="00DE12A3" w:rsidRDefault="0047668F" w:rsidP="00C917D6">
            <w:pPr>
              <w:spacing w:before="120" w:after="120"/>
              <w:rPr>
                <w:rFonts w:cs="Times New Roman"/>
                <w:color w:val="auto"/>
              </w:rPr>
            </w:pPr>
            <w:r w:rsidRPr="00DE12A3">
              <w:rPr>
                <w:rFonts w:cs="Times New Roman"/>
                <w:color w:val="auto"/>
              </w:rPr>
              <w:t>2b Geçiş</w:t>
            </w:r>
          </w:p>
        </w:tc>
        <w:tc>
          <w:tcPr>
            <w:tcW w:w="2674" w:type="dxa"/>
            <w:tcBorders>
              <w:top w:val="single" w:sz="2" w:space="0" w:color="auto"/>
              <w:left w:val="single" w:sz="2" w:space="0" w:color="auto"/>
              <w:bottom w:val="single" w:sz="2" w:space="0" w:color="auto"/>
              <w:right w:val="single" w:sz="2" w:space="0" w:color="auto"/>
            </w:tcBorders>
          </w:tcPr>
          <w:p w14:paraId="6EF40973" w14:textId="77777777" w:rsidR="0047668F" w:rsidRPr="00DE12A3" w:rsidRDefault="0047668F" w:rsidP="00C917D6">
            <w:pPr>
              <w:pStyle w:val="NormalLeft"/>
            </w:pPr>
            <w:r w:rsidRPr="00DE12A3">
              <w:t>20</w:t>
            </w:r>
          </w:p>
        </w:tc>
        <w:tc>
          <w:tcPr>
            <w:tcW w:w="1961" w:type="dxa"/>
            <w:tcBorders>
              <w:top w:val="single" w:sz="2" w:space="0" w:color="auto"/>
              <w:left w:val="single" w:sz="2" w:space="0" w:color="auto"/>
              <w:bottom w:val="single" w:sz="2" w:space="0" w:color="auto"/>
              <w:right w:val="single" w:sz="2" w:space="0" w:color="auto"/>
            </w:tcBorders>
          </w:tcPr>
          <w:p w14:paraId="231B8660" w14:textId="77777777" w:rsidR="0047668F" w:rsidRPr="00DE12A3" w:rsidRDefault="0047668F" w:rsidP="00C917D6">
            <w:pPr>
              <w:pStyle w:val="NormalLeft"/>
            </w:pPr>
            <w:r w:rsidRPr="00DE12A3">
              <w:t>Orta</w:t>
            </w:r>
          </w:p>
        </w:tc>
        <w:tc>
          <w:tcPr>
            <w:tcW w:w="1962" w:type="dxa"/>
            <w:tcBorders>
              <w:top w:val="single" w:sz="2" w:space="0" w:color="auto"/>
              <w:left w:val="single" w:sz="2" w:space="0" w:color="auto"/>
              <w:bottom w:val="single" w:sz="2" w:space="0" w:color="auto"/>
              <w:right w:val="single" w:sz="2" w:space="0" w:color="auto"/>
            </w:tcBorders>
          </w:tcPr>
          <w:p w14:paraId="71FEE59E" w14:textId="77777777" w:rsidR="0047668F" w:rsidRPr="00DE12A3" w:rsidRDefault="0047668F" w:rsidP="00C917D6">
            <w:pPr>
              <w:pStyle w:val="NormalLeft"/>
            </w:pPr>
            <w:r w:rsidRPr="00DE12A3">
              <w:t>Doğrusal geçiş</w:t>
            </w:r>
          </w:p>
        </w:tc>
      </w:tr>
      <w:tr w:rsidR="00DE12A3" w:rsidRPr="00DE12A3" w14:paraId="69CB1C21" w14:textId="77777777" w:rsidTr="009F4766">
        <w:tc>
          <w:tcPr>
            <w:tcW w:w="2318" w:type="dxa"/>
            <w:tcBorders>
              <w:top w:val="single" w:sz="2" w:space="0" w:color="auto"/>
              <w:left w:val="single" w:sz="2" w:space="0" w:color="auto"/>
              <w:bottom w:val="single" w:sz="2" w:space="0" w:color="auto"/>
              <w:right w:val="single" w:sz="2" w:space="0" w:color="auto"/>
            </w:tcBorders>
          </w:tcPr>
          <w:p w14:paraId="7118D124" w14:textId="77777777" w:rsidR="0047668F" w:rsidRPr="00DE12A3" w:rsidRDefault="0047668F" w:rsidP="00C917D6">
            <w:pPr>
              <w:spacing w:before="120" w:after="120"/>
              <w:rPr>
                <w:rFonts w:cs="Times New Roman"/>
                <w:color w:val="auto"/>
              </w:rPr>
            </w:pPr>
            <w:r w:rsidRPr="00DE12A3">
              <w:rPr>
                <w:rFonts w:cs="Times New Roman"/>
                <w:color w:val="auto"/>
              </w:rPr>
              <w:t>3a Kararlı durum</w:t>
            </w:r>
          </w:p>
        </w:tc>
        <w:tc>
          <w:tcPr>
            <w:tcW w:w="2674" w:type="dxa"/>
            <w:tcBorders>
              <w:top w:val="single" w:sz="2" w:space="0" w:color="auto"/>
              <w:left w:val="single" w:sz="2" w:space="0" w:color="auto"/>
              <w:bottom w:val="single" w:sz="2" w:space="0" w:color="auto"/>
              <w:right w:val="single" w:sz="2" w:space="0" w:color="auto"/>
            </w:tcBorders>
          </w:tcPr>
          <w:p w14:paraId="601C3B20" w14:textId="77777777" w:rsidR="0047668F" w:rsidRPr="00DE12A3" w:rsidRDefault="0047668F" w:rsidP="00C917D6">
            <w:pPr>
              <w:pStyle w:val="NormalLeft"/>
            </w:pPr>
            <w:r w:rsidRPr="00DE12A3">
              <w:t>160</w:t>
            </w:r>
          </w:p>
        </w:tc>
        <w:tc>
          <w:tcPr>
            <w:tcW w:w="1961" w:type="dxa"/>
            <w:tcBorders>
              <w:top w:val="single" w:sz="2" w:space="0" w:color="auto"/>
              <w:left w:val="single" w:sz="2" w:space="0" w:color="auto"/>
              <w:bottom w:val="single" w:sz="2" w:space="0" w:color="auto"/>
              <w:right w:val="single" w:sz="2" w:space="0" w:color="auto"/>
            </w:tcBorders>
          </w:tcPr>
          <w:p w14:paraId="36152DF1" w14:textId="77777777" w:rsidR="0047668F" w:rsidRPr="00DE12A3" w:rsidRDefault="0047668F" w:rsidP="00C917D6">
            <w:pPr>
              <w:pStyle w:val="NormalLeft"/>
            </w:pPr>
            <w:r w:rsidRPr="00DE12A3">
              <w:t>Orta</w:t>
            </w:r>
          </w:p>
        </w:tc>
        <w:tc>
          <w:tcPr>
            <w:tcW w:w="1962" w:type="dxa"/>
            <w:tcBorders>
              <w:top w:val="single" w:sz="2" w:space="0" w:color="auto"/>
              <w:left w:val="single" w:sz="2" w:space="0" w:color="auto"/>
              <w:bottom w:val="single" w:sz="2" w:space="0" w:color="auto"/>
              <w:right w:val="single" w:sz="2" w:space="0" w:color="auto"/>
            </w:tcBorders>
          </w:tcPr>
          <w:p w14:paraId="65903EEE" w14:textId="77777777" w:rsidR="0047668F" w:rsidRPr="00DE12A3" w:rsidRDefault="0047668F" w:rsidP="00C917D6">
            <w:pPr>
              <w:pStyle w:val="NormalLeft"/>
            </w:pPr>
            <w:r w:rsidRPr="00DE12A3">
              <w:t>50</w:t>
            </w:r>
          </w:p>
        </w:tc>
      </w:tr>
      <w:tr w:rsidR="00DE12A3" w:rsidRPr="00DE12A3" w14:paraId="464D5507" w14:textId="77777777" w:rsidTr="009F4766">
        <w:tc>
          <w:tcPr>
            <w:tcW w:w="2318" w:type="dxa"/>
            <w:tcBorders>
              <w:top w:val="single" w:sz="2" w:space="0" w:color="auto"/>
              <w:left w:val="single" w:sz="2" w:space="0" w:color="auto"/>
              <w:bottom w:val="single" w:sz="2" w:space="0" w:color="auto"/>
              <w:right w:val="single" w:sz="2" w:space="0" w:color="auto"/>
            </w:tcBorders>
          </w:tcPr>
          <w:p w14:paraId="30031EDE" w14:textId="77777777" w:rsidR="0047668F" w:rsidRPr="00DE12A3" w:rsidRDefault="0047668F" w:rsidP="00C917D6">
            <w:pPr>
              <w:spacing w:before="120" w:after="120"/>
              <w:rPr>
                <w:rFonts w:cs="Times New Roman"/>
                <w:color w:val="auto"/>
              </w:rPr>
            </w:pPr>
            <w:r w:rsidRPr="00DE12A3">
              <w:rPr>
                <w:rFonts w:cs="Times New Roman"/>
                <w:color w:val="auto"/>
              </w:rPr>
              <w:t>3b Geçiş</w:t>
            </w:r>
          </w:p>
        </w:tc>
        <w:tc>
          <w:tcPr>
            <w:tcW w:w="2674" w:type="dxa"/>
            <w:tcBorders>
              <w:top w:val="single" w:sz="2" w:space="0" w:color="auto"/>
              <w:left w:val="single" w:sz="2" w:space="0" w:color="auto"/>
              <w:bottom w:val="single" w:sz="2" w:space="0" w:color="auto"/>
              <w:right w:val="single" w:sz="2" w:space="0" w:color="auto"/>
            </w:tcBorders>
          </w:tcPr>
          <w:p w14:paraId="02C3EE50" w14:textId="77777777" w:rsidR="0047668F" w:rsidRPr="00DE12A3" w:rsidRDefault="0047668F" w:rsidP="00C917D6">
            <w:pPr>
              <w:pStyle w:val="NormalLeft"/>
            </w:pPr>
            <w:r w:rsidRPr="00DE12A3">
              <w:t>20</w:t>
            </w:r>
          </w:p>
        </w:tc>
        <w:tc>
          <w:tcPr>
            <w:tcW w:w="1961" w:type="dxa"/>
            <w:tcBorders>
              <w:top w:val="single" w:sz="2" w:space="0" w:color="auto"/>
              <w:left w:val="single" w:sz="2" w:space="0" w:color="auto"/>
              <w:bottom w:val="single" w:sz="2" w:space="0" w:color="auto"/>
              <w:right w:val="single" w:sz="2" w:space="0" w:color="auto"/>
            </w:tcBorders>
          </w:tcPr>
          <w:p w14:paraId="319A275D" w14:textId="77777777" w:rsidR="0047668F" w:rsidRPr="00DE12A3" w:rsidRDefault="0047668F" w:rsidP="00C917D6">
            <w:pPr>
              <w:pStyle w:val="NormalLeft"/>
            </w:pPr>
            <w:r w:rsidRPr="00DE12A3">
              <w:t>Orta</w:t>
            </w:r>
          </w:p>
        </w:tc>
        <w:tc>
          <w:tcPr>
            <w:tcW w:w="1962" w:type="dxa"/>
            <w:tcBorders>
              <w:top w:val="single" w:sz="2" w:space="0" w:color="auto"/>
              <w:left w:val="single" w:sz="2" w:space="0" w:color="auto"/>
              <w:bottom w:val="single" w:sz="2" w:space="0" w:color="auto"/>
              <w:right w:val="single" w:sz="2" w:space="0" w:color="auto"/>
            </w:tcBorders>
          </w:tcPr>
          <w:p w14:paraId="01E4EC63" w14:textId="77777777" w:rsidR="0047668F" w:rsidRPr="00DE12A3" w:rsidRDefault="0047668F" w:rsidP="00C917D6">
            <w:pPr>
              <w:pStyle w:val="NormalLeft"/>
            </w:pPr>
            <w:r w:rsidRPr="00DE12A3">
              <w:t>Doğrusal Geçiş</w:t>
            </w:r>
          </w:p>
        </w:tc>
      </w:tr>
      <w:tr w:rsidR="00DE12A3" w:rsidRPr="00DE12A3" w14:paraId="5D4CC568" w14:textId="77777777" w:rsidTr="009F4766">
        <w:tc>
          <w:tcPr>
            <w:tcW w:w="2318" w:type="dxa"/>
            <w:tcBorders>
              <w:top w:val="single" w:sz="2" w:space="0" w:color="auto"/>
              <w:left w:val="single" w:sz="2" w:space="0" w:color="auto"/>
              <w:bottom w:val="single" w:sz="2" w:space="0" w:color="auto"/>
              <w:right w:val="single" w:sz="2" w:space="0" w:color="auto"/>
            </w:tcBorders>
          </w:tcPr>
          <w:p w14:paraId="1FC3B6D4" w14:textId="77777777" w:rsidR="0047668F" w:rsidRPr="00DE12A3" w:rsidRDefault="0047668F" w:rsidP="00C917D6">
            <w:pPr>
              <w:spacing w:before="120" w:after="120"/>
              <w:rPr>
                <w:rFonts w:cs="Times New Roman"/>
                <w:color w:val="auto"/>
              </w:rPr>
            </w:pPr>
            <w:r w:rsidRPr="00DE12A3">
              <w:rPr>
                <w:rFonts w:cs="Times New Roman"/>
                <w:color w:val="auto"/>
              </w:rPr>
              <w:t>4a Kararlı durum</w:t>
            </w:r>
          </w:p>
        </w:tc>
        <w:tc>
          <w:tcPr>
            <w:tcW w:w="2674" w:type="dxa"/>
            <w:tcBorders>
              <w:top w:val="single" w:sz="2" w:space="0" w:color="auto"/>
              <w:left w:val="single" w:sz="2" w:space="0" w:color="auto"/>
              <w:bottom w:val="single" w:sz="2" w:space="0" w:color="auto"/>
              <w:right w:val="single" w:sz="2" w:space="0" w:color="auto"/>
            </w:tcBorders>
          </w:tcPr>
          <w:p w14:paraId="32499FDC" w14:textId="77777777" w:rsidR="0047668F" w:rsidRPr="00DE12A3" w:rsidRDefault="0047668F" w:rsidP="00C917D6">
            <w:pPr>
              <w:pStyle w:val="NormalLeft"/>
            </w:pPr>
            <w:r w:rsidRPr="00DE12A3">
              <w:t>162</w:t>
            </w:r>
          </w:p>
        </w:tc>
        <w:tc>
          <w:tcPr>
            <w:tcW w:w="1961" w:type="dxa"/>
            <w:tcBorders>
              <w:top w:val="single" w:sz="2" w:space="0" w:color="auto"/>
              <w:left w:val="single" w:sz="2" w:space="0" w:color="auto"/>
              <w:bottom w:val="single" w:sz="2" w:space="0" w:color="auto"/>
              <w:right w:val="single" w:sz="2" w:space="0" w:color="auto"/>
            </w:tcBorders>
          </w:tcPr>
          <w:p w14:paraId="4D868147" w14:textId="77777777" w:rsidR="0047668F" w:rsidRPr="00DE12A3" w:rsidRDefault="0047668F" w:rsidP="00C917D6">
            <w:pPr>
              <w:pStyle w:val="NormalLeft"/>
            </w:pPr>
            <w:r w:rsidRPr="00DE12A3">
              <w:t>Orta</w:t>
            </w:r>
          </w:p>
        </w:tc>
        <w:tc>
          <w:tcPr>
            <w:tcW w:w="1962" w:type="dxa"/>
            <w:tcBorders>
              <w:top w:val="single" w:sz="2" w:space="0" w:color="auto"/>
              <w:left w:val="single" w:sz="2" w:space="0" w:color="auto"/>
              <w:bottom w:val="single" w:sz="2" w:space="0" w:color="auto"/>
              <w:right w:val="single" w:sz="2" w:space="0" w:color="auto"/>
            </w:tcBorders>
          </w:tcPr>
          <w:p w14:paraId="3C1A7023" w14:textId="77777777" w:rsidR="0047668F" w:rsidRPr="00DE12A3" w:rsidRDefault="0047668F" w:rsidP="00C917D6">
            <w:pPr>
              <w:pStyle w:val="NormalLeft"/>
            </w:pPr>
            <w:r w:rsidRPr="00DE12A3">
              <w:t>75</w:t>
            </w:r>
          </w:p>
        </w:tc>
      </w:tr>
      <w:tr w:rsidR="00DE12A3" w:rsidRPr="00DE12A3" w14:paraId="1E76EE66" w14:textId="77777777" w:rsidTr="009F4766">
        <w:tc>
          <w:tcPr>
            <w:tcW w:w="2318" w:type="dxa"/>
            <w:tcBorders>
              <w:top w:val="single" w:sz="2" w:space="0" w:color="auto"/>
              <w:left w:val="single" w:sz="2" w:space="0" w:color="auto"/>
              <w:bottom w:val="single" w:sz="2" w:space="0" w:color="auto"/>
              <w:right w:val="single" w:sz="2" w:space="0" w:color="auto"/>
            </w:tcBorders>
          </w:tcPr>
          <w:p w14:paraId="653E06B0" w14:textId="77777777" w:rsidR="0047668F" w:rsidRPr="00DE12A3" w:rsidRDefault="0047668F" w:rsidP="00C917D6">
            <w:pPr>
              <w:spacing w:before="120" w:after="120"/>
              <w:rPr>
                <w:rFonts w:cs="Times New Roman"/>
                <w:color w:val="auto"/>
              </w:rPr>
            </w:pPr>
            <w:r w:rsidRPr="00DE12A3">
              <w:rPr>
                <w:rFonts w:cs="Times New Roman"/>
                <w:color w:val="auto"/>
              </w:rPr>
              <w:t>4b Geçiş</w:t>
            </w:r>
          </w:p>
        </w:tc>
        <w:tc>
          <w:tcPr>
            <w:tcW w:w="2674" w:type="dxa"/>
            <w:tcBorders>
              <w:top w:val="single" w:sz="2" w:space="0" w:color="auto"/>
              <w:left w:val="single" w:sz="2" w:space="0" w:color="auto"/>
              <w:bottom w:val="single" w:sz="2" w:space="0" w:color="auto"/>
              <w:right w:val="single" w:sz="2" w:space="0" w:color="auto"/>
            </w:tcBorders>
          </w:tcPr>
          <w:p w14:paraId="17937AF6" w14:textId="77777777" w:rsidR="0047668F" w:rsidRPr="00DE12A3" w:rsidRDefault="0047668F" w:rsidP="00C917D6">
            <w:pPr>
              <w:pStyle w:val="NormalLeft"/>
            </w:pPr>
            <w:r w:rsidRPr="00DE12A3">
              <w:t>20</w:t>
            </w:r>
          </w:p>
        </w:tc>
        <w:tc>
          <w:tcPr>
            <w:tcW w:w="1961" w:type="dxa"/>
            <w:tcBorders>
              <w:top w:val="single" w:sz="2" w:space="0" w:color="auto"/>
              <w:left w:val="single" w:sz="2" w:space="0" w:color="auto"/>
              <w:bottom w:val="single" w:sz="2" w:space="0" w:color="auto"/>
              <w:right w:val="single" w:sz="2" w:space="0" w:color="auto"/>
            </w:tcBorders>
          </w:tcPr>
          <w:p w14:paraId="0FE0EDDC" w14:textId="77777777" w:rsidR="0047668F" w:rsidRPr="00DE12A3" w:rsidRDefault="0047668F" w:rsidP="00C917D6">
            <w:pPr>
              <w:spacing w:before="120" w:after="120"/>
              <w:rPr>
                <w:rFonts w:cs="Times New Roman"/>
                <w:color w:val="auto"/>
              </w:rPr>
            </w:pPr>
            <w:r w:rsidRPr="00DE12A3">
              <w:rPr>
                <w:rFonts w:cs="Times New Roman"/>
                <w:color w:val="auto"/>
              </w:rPr>
              <w:t>Doğrusal geçiş</w:t>
            </w:r>
          </w:p>
        </w:tc>
        <w:tc>
          <w:tcPr>
            <w:tcW w:w="1962" w:type="dxa"/>
            <w:tcBorders>
              <w:top w:val="single" w:sz="2" w:space="0" w:color="auto"/>
              <w:left w:val="single" w:sz="2" w:space="0" w:color="auto"/>
              <w:bottom w:val="single" w:sz="2" w:space="0" w:color="auto"/>
              <w:right w:val="single" w:sz="2" w:space="0" w:color="auto"/>
            </w:tcBorders>
          </w:tcPr>
          <w:p w14:paraId="4311D721" w14:textId="77777777" w:rsidR="0047668F" w:rsidRPr="00DE12A3" w:rsidRDefault="0047668F" w:rsidP="00C917D6">
            <w:pPr>
              <w:spacing w:before="120" w:after="120"/>
              <w:rPr>
                <w:rFonts w:cs="Times New Roman"/>
                <w:color w:val="auto"/>
              </w:rPr>
            </w:pPr>
            <w:r w:rsidRPr="00DE12A3">
              <w:rPr>
                <w:rFonts w:cs="Times New Roman"/>
                <w:color w:val="auto"/>
              </w:rPr>
              <w:t>Doğrusal geçiş</w:t>
            </w:r>
          </w:p>
        </w:tc>
      </w:tr>
      <w:tr w:rsidR="00DE12A3" w:rsidRPr="00DE12A3" w14:paraId="2B63BCD3" w14:textId="77777777" w:rsidTr="009F4766">
        <w:tc>
          <w:tcPr>
            <w:tcW w:w="2318" w:type="dxa"/>
            <w:tcBorders>
              <w:top w:val="single" w:sz="2" w:space="0" w:color="auto"/>
              <w:left w:val="single" w:sz="2" w:space="0" w:color="auto"/>
              <w:bottom w:val="single" w:sz="2" w:space="0" w:color="auto"/>
              <w:right w:val="single" w:sz="2" w:space="0" w:color="auto"/>
            </w:tcBorders>
          </w:tcPr>
          <w:p w14:paraId="53A477A0" w14:textId="77777777" w:rsidR="0047668F" w:rsidRPr="00DE12A3" w:rsidRDefault="0047668F" w:rsidP="00C917D6">
            <w:pPr>
              <w:spacing w:before="120" w:after="120"/>
              <w:rPr>
                <w:rFonts w:cs="Times New Roman"/>
                <w:color w:val="auto"/>
              </w:rPr>
            </w:pPr>
            <w:r w:rsidRPr="00DE12A3">
              <w:rPr>
                <w:rFonts w:cs="Times New Roman"/>
                <w:color w:val="auto"/>
              </w:rPr>
              <w:t>5a Kararlı durum</w:t>
            </w:r>
          </w:p>
        </w:tc>
        <w:tc>
          <w:tcPr>
            <w:tcW w:w="2674" w:type="dxa"/>
            <w:tcBorders>
              <w:top w:val="single" w:sz="2" w:space="0" w:color="auto"/>
              <w:left w:val="single" w:sz="2" w:space="0" w:color="auto"/>
              <w:bottom w:val="single" w:sz="2" w:space="0" w:color="auto"/>
              <w:right w:val="single" w:sz="2" w:space="0" w:color="auto"/>
            </w:tcBorders>
          </w:tcPr>
          <w:p w14:paraId="678E1448" w14:textId="77777777" w:rsidR="0047668F" w:rsidRPr="00DE12A3" w:rsidRDefault="0047668F" w:rsidP="00C917D6">
            <w:pPr>
              <w:pStyle w:val="NormalLeft"/>
            </w:pPr>
            <w:r w:rsidRPr="00DE12A3">
              <w:t>246</w:t>
            </w:r>
          </w:p>
        </w:tc>
        <w:tc>
          <w:tcPr>
            <w:tcW w:w="1961" w:type="dxa"/>
            <w:tcBorders>
              <w:top w:val="single" w:sz="2" w:space="0" w:color="auto"/>
              <w:left w:val="single" w:sz="2" w:space="0" w:color="auto"/>
              <w:bottom w:val="single" w:sz="2" w:space="0" w:color="auto"/>
              <w:right w:val="single" w:sz="2" w:space="0" w:color="auto"/>
            </w:tcBorders>
          </w:tcPr>
          <w:p w14:paraId="50AD0238" w14:textId="77777777" w:rsidR="0047668F" w:rsidRPr="00DE12A3" w:rsidRDefault="0047668F" w:rsidP="00C917D6">
            <w:pPr>
              <w:pStyle w:val="NormalLeft"/>
            </w:pPr>
            <w:r w:rsidRPr="00DE12A3">
              <w:t>100 %</w:t>
            </w:r>
          </w:p>
        </w:tc>
        <w:tc>
          <w:tcPr>
            <w:tcW w:w="1962" w:type="dxa"/>
            <w:tcBorders>
              <w:top w:val="single" w:sz="2" w:space="0" w:color="auto"/>
              <w:left w:val="single" w:sz="2" w:space="0" w:color="auto"/>
              <w:bottom w:val="single" w:sz="2" w:space="0" w:color="auto"/>
              <w:right w:val="single" w:sz="2" w:space="0" w:color="auto"/>
            </w:tcBorders>
          </w:tcPr>
          <w:p w14:paraId="183B060C" w14:textId="77777777" w:rsidR="0047668F" w:rsidRPr="00DE12A3" w:rsidRDefault="0047668F" w:rsidP="00C917D6">
            <w:pPr>
              <w:pStyle w:val="NormalLeft"/>
            </w:pPr>
            <w:r w:rsidRPr="00DE12A3">
              <w:t>100</w:t>
            </w:r>
          </w:p>
        </w:tc>
      </w:tr>
      <w:tr w:rsidR="00DE12A3" w:rsidRPr="00DE12A3" w14:paraId="49A5517C" w14:textId="77777777" w:rsidTr="009F4766">
        <w:tc>
          <w:tcPr>
            <w:tcW w:w="2318" w:type="dxa"/>
            <w:tcBorders>
              <w:top w:val="single" w:sz="2" w:space="0" w:color="auto"/>
              <w:left w:val="single" w:sz="2" w:space="0" w:color="auto"/>
              <w:bottom w:val="single" w:sz="2" w:space="0" w:color="auto"/>
              <w:right w:val="single" w:sz="2" w:space="0" w:color="auto"/>
            </w:tcBorders>
          </w:tcPr>
          <w:p w14:paraId="2C4FA28D" w14:textId="77777777" w:rsidR="0047668F" w:rsidRPr="00DE12A3" w:rsidRDefault="0047668F" w:rsidP="00C917D6">
            <w:pPr>
              <w:spacing w:before="120" w:after="120"/>
              <w:rPr>
                <w:rFonts w:cs="Times New Roman"/>
                <w:color w:val="auto"/>
              </w:rPr>
            </w:pPr>
            <w:r w:rsidRPr="00DE12A3">
              <w:rPr>
                <w:rFonts w:cs="Times New Roman"/>
                <w:color w:val="auto"/>
              </w:rPr>
              <w:t>5b Geçiş</w:t>
            </w:r>
          </w:p>
        </w:tc>
        <w:tc>
          <w:tcPr>
            <w:tcW w:w="2674" w:type="dxa"/>
            <w:tcBorders>
              <w:top w:val="single" w:sz="2" w:space="0" w:color="auto"/>
              <w:left w:val="single" w:sz="2" w:space="0" w:color="auto"/>
              <w:bottom w:val="single" w:sz="2" w:space="0" w:color="auto"/>
              <w:right w:val="single" w:sz="2" w:space="0" w:color="auto"/>
            </w:tcBorders>
          </w:tcPr>
          <w:p w14:paraId="061BC209" w14:textId="77777777" w:rsidR="0047668F" w:rsidRPr="00DE12A3" w:rsidRDefault="0047668F" w:rsidP="00C917D6">
            <w:pPr>
              <w:pStyle w:val="NormalLeft"/>
            </w:pPr>
            <w:r w:rsidRPr="00DE12A3">
              <w:t>20</w:t>
            </w:r>
          </w:p>
        </w:tc>
        <w:tc>
          <w:tcPr>
            <w:tcW w:w="1961" w:type="dxa"/>
            <w:tcBorders>
              <w:top w:val="single" w:sz="2" w:space="0" w:color="auto"/>
              <w:left w:val="single" w:sz="2" w:space="0" w:color="auto"/>
              <w:bottom w:val="single" w:sz="2" w:space="0" w:color="auto"/>
              <w:right w:val="single" w:sz="2" w:space="0" w:color="auto"/>
            </w:tcBorders>
          </w:tcPr>
          <w:p w14:paraId="71EF7955" w14:textId="77777777" w:rsidR="0047668F" w:rsidRPr="00DE12A3" w:rsidRDefault="0047668F" w:rsidP="00C917D6">
            <w:pPr>
              <w:pStyle w:val="NormalLeft"/>
            </w:pPr>
            <w:r w:rsidRPr="00DE12A3">
              <w:t>100 %</w:t>
            </w:r>
          </w:p>
        </w:tc>
        <w:tc>
          <w:tcPr>
            <w:tcW w:w="1962" w:type="dxa"/>
            <w:tcBorders>
              <w:top w:val="single" w:sz="2" w:space="0" w:color="auto"/>
              <w:left w:val="single" w:sz="2" w:space="0" w:color="auto"/>
              <w:bottom w:val="single" w:sz="2" w:space="0" w:color="auto"/>
              <w:right w:val="single" w:sz="2" w:space="0" w:color="auto"/>
            </w:tcBorders>
          </w:tcPr>
          <w:p w14:paraId="0B0E9636" w14:textId="77777777" w:rsidR="0047668F" w:rsidRPr="00DE12A3" w:rsidRDefault="0047668F" w:rsidP="00C917D6">
            <w:pPr>
              <w:pStyle w:val="NormalLeft"/>
            </w:pPr>
            <w:r w:rsidRPr="00DE12A3">
              <w:t>Doğrusal geçiş</w:t>
            </w:r>
          </w:p>
        </w:tc>
      </w:tr>
      <w:tr w:rsidR="00DE12A3" w:rsidRPr="00DE12A3" w14:paraId="601B85BE" w14:textId="77777777" w:rsidTr="009F4766">
        <w:tc>
          <w:tcPr>
            <w:tcW w:w="2318" w:type="dxa"/>
            <w:tcBorders>
              <w:top w:val="single" w:sz="2" w:space="0" w:color="auto"/>
              <w:left w:val="single" w:sz="2" w:space="0" w:color="auto"/>
              <w:bottom w:val="single" w:sz="2" w:space="0" w:color="auto"/>
              <w:right w:val="single" w:sz="2" w:space="0" w:color="auto"/>
            </w:tcBorders>
          </w:tcPr>
          <w:p w14:paraId="6633E0E7" w14:textId="77777777" w:rsidR="0047668F" w:rsidRPr="00DE12A3" w:rsidRDefault="0047668F" w:rsidP="00C917D6">
            <w:pPr>
              <w:spacing w:before="120" w:after="120"/>
              <w:rPr>
                <w:rFonts w:cs="Times New Roman"/>
                <w:color w:val="auto"/>
              </w:rPr>
            </w:pPr>
            <w:r w:rsidRPr="00DE12A3">
              <w:rPr>
                <w:rFonts w:cs="Times New Roman"/>
                <w:color w:val="auto"/>
              </w:rPr>
              <w:t>6a Kararlı durum</w:t>
            </w:r>
          </w:p>
        </w:tc>
        <w:tc>
          <w:tcPr>
            <w:tcW w:w="2674" w:type="dxa"/>
            <w:tcBorders>
              <w:top w:val="single" w:sz="2" w:space="0" w:color="auto"/>
              <w:left w:val="single" w:sz="2" w:space="0" w:color="auto"/>
              <w:bottom w:val="single" w:sz="2" w:space="0" w:color="auto"/>
              <w:right w:val="single" w:sz="2" w:space="0" w:color="auto"/>
            </w:tcBorders>
          </w:tcPr>
          <w:p w14:paraId="6F47FC78" w14:textId="77777777" w:rsidR="0047668F" w:rsidRPr="00DE12A3" w:rsidRDefault="0047668F" w:rsidP="00C917D6">
            <w:pPr>
              <w:pStyle w:val="NormalLeft"/>
            </w:pPr>
            <w:r w:rsidRPr="00DE12A3">
              <w:t>164</w:t>
            </w:r>
          </w:p>
        </w:tc>
        <w:tc>
          <w:tcPr>
            <w:tcW w:w="1961" w:type="dxa"/>
            <w:tcBorders>
              <w:top w:val="single" w:sz="2" w:space="0" w:color="auto"/>
              <w:left w:val="single" w:sz="2" w:space="0" w:color="auto"/>
              <w:bottom w:val="single" w:sz="2" w:space="0" w:color="auto"/>
              <w:right w:val="single" w:sz="2" w:space="0" w:color="auto"/>
            </w:tcBorders>
          </w:tcPr>
          <w:p w14:paraId="37AD7FC8" w14:textId="77777777" w:rsidR="0047668F" w:rsidRPr="00DE12A3" w:rsidRDefault="0047668F" w:rsidP="00C917D6">
            <w:pPr>
              <w:pStyle w:val="NormalLeft"/>
            </w:pPr>
            <w:r w:rsidRPr="00DE12A3">
              <w:t>100 %</w:t>
            </w:r>
          </w:p>
        </w:tc>
        <w:tc>
          <w:tcPr>
            <w:tcW w:w="1962" w:type="dxa"/>
            <w:tcBorders>
              <w:top w:val="single" w:sz="2" w:space="0" w:color="auto"/>
              <w:left w:val="single" w:sz="2" w:space="0" w:color="auto"/>
              <w:bottom w:val="single" w:sz="2" w:space="0" w:color="auto"/>
              <w:right w:val="single" w:sz="2" w:space="0" w:color="auto"/>
            </w:tcBorders>
          </w:tcPr>
          <w:p w14:paraId="160BDC9F" w14:textId="77777777" w:rsidR="0047668F" w:rsidRPr="00DE12A3" w:rsidRDefault="0047668F" w:rsidP="00C917D6">
            <w:pPr>
              <w:pStyle w:val="NormalLeft"/>
            </w:pPr>
            <w:r w:rsidRPr="00DE12A3">
              <w:t>10</w:t>
            </w:r>
          </w:p>
        </w:tc>
      </w:tr>
      <w:tr w:rsidR="00DE12A3" w:rsidRPr="00DE12A3" w14:paraId="2A86FE5F" w14:textId="77777777" w:rsidTr="009F4766">
        <w:tc>
          <w:tcPr>
            <w:tcW w:w="2318" w:type="dxa"/>
            <w:tcBorders>
              <w:top w:val="single" w:sz="2" w:space="0" w:color="auto"/>
              <w:left w:val="single" w:sz="2" w:space="0" w:color="auto"/>
              <w:bottom w:val="single" w:sz="2" w:space="0" w:color="auto"/>
              <w:right w:val="single" w:sz="2" w:space="0" w:color="auto"/>
            </w:tcBorders>
          </w:tcPr>
          <w:p w14:paraId="1AE6BCE4" w14:textId="77777777" w:rsidR="0047668F" w:rsidRPr="00DE12A3" w:rsidRDefault="0047668F" w:rsidP="00C917D6">
            <w:pPr>
              <w:spacing w:before="120" w:after="120"/>
              <w:rPr>
                <w:rFonts w:cs="Times New Roman"/>
                <w:color w:val="auto"/>
              </w:rPr>
            </w:pPr>
            <w:r w:rsidRPr="00DE12A3">
              <w:rPr>
                <w:rFonts w:cs="Times New Roman"/>
                <w:color w:val="auto"/>
              </w:rPr>
              <w:t>6b Geçiş</w:t>
            </w:r>
          </w:p>
        </w:tc>
        <w:tc>
          <w:tcPr>
            <w:tcW w:w="2674" w:type="dxa"/>
            <w:tcBorders>
              <w:top w:val="single" w:sz="2" w:space="0" w:color="auto"/>
              <w:left w:val="single" w:sz="2" w:space="0" w:color="auto"/>
              <w:bottom w:val="single" w:sz="2" w:space="0" w:color="auto"/>
              <w:right w:val="single" w:sz="2" w:space="0" w:color="auto"/>
            </w:tcBorders>
          </w:tcPr>
          <w:p w14:paraId="20E93BC4" w14:textId="77777777" w:rsidR="0047668F" w:rsidRPr="00DE12A3" w:rsidRDefault="0047668F" w:rsidP="00C917D6">
            <w:pPr>
              <w:pStyle w:val="NormalLeft"/>
            </w:pPr>
            <w:r w:rsidRPr="00DE12A3">
              <w:t>20</w:t>
            </w:r>
          </w:p>
        </w:tc>
        <w:tc>
          <w:tcPr>
            <w:tcW w:w="1961" w:type="dxa"/>
            <w:tcBorders>
              <w:top w:val="single" w:sz="2" w:space="0" w:color="auto"/>
              <w:left w:val="single" w:sz="2" w:space="0" w:color="auto"/>
              <w:bottom w:val="single" w:sz="2" w:space="0" w:color="auto"/>
              <w:right w:val="single" w:sz="2" w:space="0" w:color="auto"/>
            </w:tcBorders>
          </w:tcPr>
          <w:p w14:paraId="2EA685E0" w14:textId="77777777" w:rsidR="0047668F" w:rsidRPr="00DE12A3" w:rsidRDefault="0047668F" w:rsidP="00C917D6">
            <w:pPr>
              <w:pStyle w:val="NormalLeft"/>
            </w:pPr>
            <w:r w:rsidRPr="00DE12A3">
              <w:t>100 %</w:t>
            </w:r>
          </w:p>
        </w:tc>
        <w:tc>
          <w:tcPr>
            <w:tcW w:w="1962" w:type="dxa"/>
            <w:tcBorders>
              <w:top w:val="single" w:sz="2" w:space="0" w:color="auto"/>
              <w:left w:val="single" w:sz="2" w:space="0" w:color="auto"/>
              <w:bottom w:val="single" w:sz="2" w:space="0" w:color="auto"/>
              <w:right w:val="single" w:sz="2" w:space="0" w:color="auto"/>
            </w:tcBorders>
          </w:tcPr>
          <w:p w14:paraId="456ABAA4" w14:textId="77777777" w:rsidR="0047668F" w:rsidRPr="00DE12A3" w:rsidRDefault="0047668F" w:rsidP="00C917D6">
            <w:pPr>
              <w:pStyle w:val="NormalLeft"/>
            </w:pPr>
            <w:r w:rsidRPr="00DE12A3">
              <w:t>Doğrusal geçiş</w:t>
            </w:r>
          </w:p>
        </w:tc>
      </w:tr>
      <w:tr w:rsidR="00DE12A3" w:rsidRPr="00DE12A3" w14:paraId="300B5673" w14:textId="77777777" w:rsidTr="009F4766">
        <w:tc>
          <w:tcPr>
            <w:tcW w:w="2318" w:type="dxa"/>
            <w:tcBorders>
              <w:top w:val="single" w:sz="2" w:space="0" w:color="auto"/>
              <w:left w:val="single" w:sz="2" w:space="0" w:color="auto"/>
              <w:bottom w:val="single" w:sz="2" w:space="0" w:color="auto"/>
              <w:right w:val="single" w:sz="2" w:space="0" w:color="auto"/>
            </w:tcBorders>
          </w:tcPr>
          <w:p w14:paraId="17D93F5B" w14:textId="77777777" w:rsidR="0047668F" w:rsidRPr="00DE12A3" w:rsidRDefault="0047668F" w:rsidP="00C917D6">
            <w:pPr>
              <w:spacing w:before="120" w:after="120"/>
              <w:rPr>
                <w:rFonts w:cs="Times New Roman"/>
                <w:color w:val="auto"/>
              </w:rPr>
            </w:pPr>
            <w:r w:rsidRPr="00DE12A3">
              <w:rPr>
                <w:rFonts w:cs="Times New Roman"/>
                <w:color w:val="auto"/>
              </w:rPr>
              <w:t>7a Kararlı durum</w:t>
            </w:r>
          </w:p>
        </w:tc>
        <w:tc>
          <w:tcPr>
            <w:tcW w:w="2674" w:type="dxa"/>
            <w:tcBorders>
              <w:top w:val="single" w:sz="2" w:space="0" w:color="auto"/>
              <w:left w:val="single" w:sz="2" w:space="0" w:color="auto"/>
              <w:bottom w:val="single" w:sz="2" w:space="0" w:color="auto"/>
              <w:right w:val="single" w:sz="2" w:space="0" w:color="auto"/>
            </w:tcBorders>
          </w:tcPr>
          <w:p w14:paraId="04604C6C" w14:textId="77777777" w:rsidR="0047668F" w:rsidRPr="00DE12A3" w:rsidRDefault="0047668F" w:rsidP="00C917D6">
            <w:pPr>
              <w:pStyle w:val="NormalLeft"/>
            </w:pPr>
            <w:r w:rsidRPr="00DE12A3">
              <w:t>248</w:t>
            </w:r>
          </w:p>
        </w:tc>
        <w:tc>
          <w:tcPr>
            <w:tcW w:w="1961" w:type="dxa"/>
            <w:tcBorders>
              <w:top w:val="single" w:sz="2" w:space="0" w:color="auto"/>
              <w:left w:val="single" w:sz="2" w:space="0" w:color="auto"/>
              <w:bottom w:val="single" w:sz="2" w:space="0" w:color="auto"/>
              <w:right w:val="single" w:sz="2" w:space="0" w:color="auto"/>
            </w:tcBorders>
          </w:tcPr>
          <w:p w14:paraId="7D606DD9" w14:textId="77777777" w:rsidR="0047668F" w:rsidRPr="00DE12A3" w:rsidRDefault="0047668F" w:rsidP="00C917D6">
            <w:pPr>
              <w:pStyle w:val="NormalLeft"/>
            </w:pPr>
            <w:r w:rsidRPr="00DE12A3">
              <w:t>100 %</w:t>
            </w:r>
          </w:p>
        </w:tc>
        <w:tc>
          <w:tcPr>
            <w:tcW w:w="1962" w:type="dxa"/>
            <w:tcBorders>
              <w:top w:val="single" w:sz="2" w:space="0" w:color="auto"/>
              <w:left w:val="single" w:sz="2" w:space="0" w:color="auto"/>
              <w:bottom w:val="single" w:sz="2" w:space="0" w:color="auto"/>
              <w:right w:val="single" w:sz="2" w:space="0" w:color="auto"/>
            </w:tcBorders>
          </w:tcPr>
          <w:p w14:paraId="77631AE2" w14:textId="77777777" w:rsidR="0047668F" w:rsidRPr="00DE12A3" w:rsidRDefault="0047668F" w:rsidP="00C917D6">
            <w:pPr>
              <w:pStyle w:val="NormalLeft"/>
            </w:pPr>
            <w:r w:rsidRPr="00DE12A3">
              <w:t>75</w:t>
            </w:r>
          </w:p>
        </w:tc>
      </w:tr>
      <w:tr w:rsidR="00DE12A3" w:rsidRPr="00DE12A3" w14:paraId="4134DB10" w14:textId="77777777" w:rsidTr="009F4766">
        <w:tc>
          <w:tcPr>
            <w:tcW w:w="2318" w:type="dxa"/>
            <w:tcBorders>
              <w:top w:val="single" w:sz="2" w:space="0" w:color="auto"/>
              <w:left w:val="single" w:sz="2" w:space="0" w:color="auto"/>
              <w:bottom w:val="single" w:sz="2" w:space="0" w:color="auto"/>
              <w:right w:val="single" w:sz="2" w:space="0" w:color="auto"/>
            </w:tcBorders>
          </w:tcPr>
          <w:p w14:paraId="3E00477A" w14:textId="77777777" w:rsidR="0047668F" w:rsidRPr="00DE12A3" w:rsidRDefault="0047668F" w:rsidP="00C917D6">
            <w:pPr>
              <w:spacing w:before="120" w:after="120"/>
              <w:rPr>
                <w:rFonts w:cs="Times New Roman"/>
                <w:color w:val="auto"/>
              </w:rPr>
            </w:pPr>
            <w:r w:rsidRPr="00DE12A3">
              <w:rPr>
                <w:rFonts w:cs="Times New Roman"/>
                <w:color w:val="auto"/>
              </w:rPr>
              <w:t>7b Geçiş</w:t>
            </w:r>
          </w:p>
        </w:tc>
        <w:tc>
          <w:tcPr>
            <w:tcW w:w="2674" w:type="dxa"/>
            <w:tcBorders>
              <w:top w:val="single" w:sz="2" w:space="0" w:color="auto"/>
              <w:left w:val="single" w:sz="2" w:space="0" w:color="auto"/>
              <w:bottom w:val="single" w:sz="2" w:space="0" w:color="auto"/>
              <w:right w:val="single" w:sz="2" w:space="0" w:color="auto"/>
            </w:tcBorders>
          </w:tcPr>
          <w:p w14:paraId="2BC2FB06" w14:textId="77777777" w:rsidR="0047668F" w:rsidRPr="00DE12A3" w:rsidRDefault="0047668F" w:rsidP="00C917D6">
            <w:pPr>
              <w:pStyle w:val="NormalLeft"/>
            </w:pPr>
            <w:r w:rsidRPr="00DE12A3">
              <w:t>20</w:t>
            </w:r>
          </w:p>
        </w:tc>
        <w:tc>
          <w:tcPr>
            <w:tcW w:w="1961" w:type="dxa"/>
            <w:tcBorders>
              <w:top w:val="single" w:sz="2" w:space="0" w:color="auto"/>
              <w:left w:val="single" w:sz="2" w:space="0" w:color="auto"/>
              <w:bottom w:val="single" w:sz="2" w:space="0" w:color="auto"/>
              <w:right w:val="single" w:sz="2" w:space="0" w:color="auto"/>
            </w:tcBorders>
          </w:tcPr>
          <w:p w14:paraId="7224D7A3" w14:textId="77777777" w:rsidR="0047668F" w:rsidRPr="00DE12A3" w:rsidRDefault="0047668F" w:rsidP="00C917D6">
            <w:pPr>
              <w:pStyle w:val="NormalLeft"/>
            </w:pPr>
            <w:r w:rsidRPr="00DE12A3">
              <w:t>100 %</w:t>
            </w:r>
          </w:p>
        </w:tc>
        <w:tc>
          <w:tcPr>
            <w:tcW w:w="1962" w:type="dxa"/>
            <w:tcBorders>
              <w:top w:val="single" w:sz="2" w:space="0" w:color="auto"/>
              <w:left w:val="single" w:sz="2" w:space="0" w:color="auto"/>
              <w:bottom w:val="single" w:sz="2" w:space="0" w:color="auto"/>
              <w:right w:val="single" w:sz="2" w:space="0" w:color="auto"/>
            </w:tcBorders>
          </w:tcPr>
          <w:p w14:paraId="0A718CD7" w14:textId="77777777" w:rsidR="0047668F" w:rsidRPr="00DE12A3" w:rsidRDefault="0047668F" w:rsidP="00C917D6">
            <w:pPr>
              <w:pStyle w:val="NormalLeft"/>
            </w:pPr>
            <w:r w:rsidRPr="00DE12A3">
              <w:t>Doğrusal geçiş</w:t>
            </w:r>
          </w:p>
        </w:tc>
      </w:tr>
      <w:tr w:rsidR="00DE12A3" w:rsidRPr="00DE12A3" w14:paraId="01EC19A0" w14:textId="77777777" w:rsidTr="009F4766">
        <w:tc>
          <w:tcPr>
            <w:tcW w:w="2318" w:type="dxa"/>
            <w:tcBorders>
              <w:top w:val="single" w:sz="2" w:space="0" w:color="auto"/>
              <w:left w:val="single" w:sz="2" w:space="0" w:color="auto"/>
              <w:bottom w:val="single" w:sz="2" w:space="0" w:color="auto"/>
              <w:right w:val="single" w:sz="2" w:space="0" w:color="auto"/>
            </w:tcBorders>
          </w:tcPr>
          <w:p w14:paraId="23C4CF2E" w14:textId="77777777" w:rsidR="0047668F" w:rsidRPr="00DE12A3" w:rsidRDefault="0047668F" w:rsidP="00C917D6">
            <w:pPr>
              <w:spacing w:before="120" w:after="120"/>
              <w:rPr>
                <w:rFonts w:cs="Times New Roman"/>
                <w:color w:val="auto"/>
              </w:rPr>
            </w:pPr>
            <w:r w:rsidRPr="00DE12A3">
              <w:rPr>
                <w:rFonts w:cs="Times New Roman"/>
                <w:color w:val="auto"/>
              </w:rPr>
              <w:t>8a Kararlı durum</w:t>
            </w:r>
          </w:p>
        </w:tc>
        <w:tc>
          <w:tcPr>
            <w:tcW w:w="2674" w:type="dxa"/>
            <w:tcBorders>
              <w:top w:val="single" w:sz="2" w:space="0" w:color="auto"/>
              <w:left w:val="single" w:sz="2" w:space="0" w:color="auto"/>
              <w:bottom w:val="single" w:sz="2" w:space="0" w:color="auto"/>
              <w:right w:val="single" w:sz="2" w:space="0" w:color="auto"/>
            </w:tcBorders>
          </w:tcPr>
          <w:p w14:paraId="504CCD6F" w14:textId="77777777" w:rsidR="0047668F" w:rsidRPr="00DE12A3" w:rsidRDefault="0047668F" w:rsidP="00C917D6">
            <w:pPr>
              <w:pStyle w:val="NormalLeft"/>
            </w:pPr>
            <w:r w:rsidRPr="00DE12A3">
              <w:t>247</w:t>
            </w:r>
          </w:p>
        </w:tc>
        <w:tc>
          <w:tcPr>
            <w:tcW w:w="1961" w:type="dxa"/>
            <w:tcBorders>
              <w:top w:val="single" w:sz="2" w:space="0" w:color="auto"/>
              <w:left w:val="single" w:sz="2" w:space="0" w:color="auto"/>
              <w:bottom w:val="single" w:sz="2" w:space="0" w:color="auto"/>
              <w:right w:val="single" w:sz="2" w:space="0" w:color="auto"/>
            </w:tcBorders>
          </w:tcPr>
          <w:p w14:paraId="2D71FE3B" w14:textId="77777777" w:rsidR="0047668F" w:rsidRPr="00DE12A3" w:rsidRDefault="0047668F" w:rsidP="00C917D6">
            <w:pPr>
              <w:pStyle w:val="NormalLeft"/>
            </w:pPr>
            <w:r w:rsidRPr="00DE12A3">
              <w:t>100 %</w:t>
            </w:r>
          </w:p>
        </w:tc>
        <w:tc>
          <w:tcPr>
            <w:tcW w:w="1962" w:type="dxa"/>
            <w:tcBorders>
              <w:top w:val="single" w:sz="2" w:space="0" w:color="auto"/>
              <w:left w:val="single" w:sz="2" w:space="0" w:color="auto"/>
              <w:bottom w:val="single" w:sz="2" w:space="0" w:color="auto"/>
              <w:right w:val="single" w:sz="2" w:space="0" w:color="auto"/>
            </w:tcBorders>
          </w:tcPr>
          <w:p w14:paraId="0932EE49" w14:textId="77777777" w:rsidR="0047668F" w:rsidRPr="00DE12A3" w:rsidRDefault="0047668F" w:rsidP="00C917D6">
            <w:pPr>
              <w:pStyle w:val="NormalLeft"/>
            </w:pPr>
            <w:r w:rsidRPr="00DE12A3">
              <w:t>50</w:t>
            </w:r>
          </w:p>
        </w:tc>
      </w:tr>
      <w:tr w:rsidR="00DE12A3" w:rsidRPr="00DE12A3" w14:paraId="46CAF7FB" w14:textId="77777777" w:rsidTr="009F4766">
        <w:tc>
          <w:tcPr>
            <w:tcW w:w="2318" w:type="dxa"/>
            <w:tcBorders>
              <w:top w:val="single" w:sz="2" w:space="0" w:color="auto"/>
              <w:left w:val="single" w:sz="2" w:space="0" w:color="auto"/>
              <w:bottom w:val="single" w:sz="2" w:space="0" w:color="auto"/>
              <w:right w:val="single" w:sz="2" w:space="0" w:color="auto"/>
            </w:tcBorders>
          </w:tcPr>
          <w:p w14:paraId="599FBDF4" w14:textId="77777777" w:rsidR="0047668F" w:rsidRPr="00DE12A3" w:rsidRDefault="0047668F" w:rsidP="00C917D6">
            <w:pPr>
              <w:spacing w:before="120" w:after="120"/>
              <w:rPr>
                <w:rFonts w:cs="Times New Roman"/>
                <w:color w:val="auto"/>
              </w:rPr>
            </w:pPr>
            <w:r w:rsidRPr="00DE12A3">
              <w:rPr>
                <w:rFonts w:cs="Times New Roman"/>
                <w:color w:val="auto"/>
              </w:rPr>
              <w:t>8b Geçiş</w:t>
            </w:r>
          </w:p>
        </w:tc>
        <w:tc>
          <w:tcPr>
            <w:tcW w:w="2674" w:type="dxa"/>
            <w:tcBorders>
              <w:top w:val="single" w:sz="2" w:space="0" w:color="auto"/>
              <w:left w:val="single" w:sz="2" w:space="0" w:color="auto"/>
              <w:bottom w:val="single" w:sz="2" w:space="0" w:color="auto"/>
              <w:right w:val="single" w:sz="2" w:space="0" w:color="auto"/>
            </w:tcBorders>
          </w:tcPr>
          <w:p w14:paraId="604727A3" w14:textId="77777777" w:rsidR="0047668F" w:rsidRPr="00DE12A3" w:rsidRDefault="0047668F" w:rsidP="00C917D6">
            <w:pPr>
              <w:pStyle w:val="NormalLeft"/>
            </w:pPr>
            <w:r w:rsidRPr="00DE12A3">
              <w:t>20</w:t>
            </w:r>
          </w:p>
        </w:tc>
        <w:tc>
          <w:tcPr>
            <w:tcW w:w="1961" w:type="dxa"/>
            <w:tcBorders>
              <w:top w:val="single" w:sz="2" w:space="0" w:color="auto"/>
              <w:left w:val="single" w:sz="2" w:space="0" w:color="auto"/>
              <w:bottom w:val="single" w:sz="2" w:space="0" w:color="auto"/>
              <w:right w:val="single" w:sz="2" w:space="0" w:color="auto"/>
            </w:tcBorders>
          </w:tcPr>
          <w:p w14:paraId="24C87B92" w14:textId="77777777" w:rsidR="0047668F" w:rsidRPr="00DE12A3" w:rsidRDefault="0047668F" w:rsidP="00C917D6">
            <w:pPr>
              <w:spacing w:before="120" w:after="120"/>
              <w:rPr>
                <w:rFonts w:cs="Times New Roman"/>
                <w:color w:val="auto"/>
              </w:rPr>
            </w:pPr>
            <w:r w:rsidRPr="00DE12A3">
              <w:rPr>
                <w:rFonts w:cs="Times New Roman"/>
                <w:color w:val="auto"/>
              </w:rPr>
              <w:t>Doğrusal geçiş</w:t>
            </w:r>
          </w:p>
        </w:tc>
        <w:tc>
          <w:tcPr>
            <w:tcW w:w="1962" w:type="dxa"/>
            <w:tcBorders>
              <w:top w:val="single" w:sz="2" w:space="0" w:color="auto"/>
              <w:left w:val="single" w:sz="2" w:space="0" w:color="auto"/>
              <w:bottom w:val="single" w:sz="2" w:space="0" w:color="auto"/>
              <w:right w:val="single" w:sz="2" w:space="0" w:color="auto"/>
            </w:tcBorders>
          </w:tcPr>
          <w:p w14:paraId="3A396456" w14:textId="77777777" w:rsidR="0047668F" w:rsidRPr="00DE12A3" w:rsidRDefault="0047668F" w:rsidP="00C917D6">
            <w:pPr>
              <w:spacing w:before="120" w:after="120"/>
              <w:rPr>
                <w:rFonts w:cs="Times New Roman"/>
                <w:color w:val="auto"/>
              </w:rPr>
            </w:pPr>
            <w:r w:rsidRPr="00DE12A3">
              <w:rPr>
                <w:rFonts w:cs="Times New Roman"/>
                <w:color w:val="auto"/>
              </w:rPr>
              <w:t>Doğrusal geçiş</w:t>
            </w:r>
          </w:p>
        </w:tc>
      </w:tr>
      <w:tr w:rsidR="00DE12A3" w:rsidRPr="00DE12A3" w14:paraId="17E77793" w14:textId="77777777" w:rsidTr="009F4766">
        <w:tc>
          <w:tcPr>
            <w:tcW w:w="2318" w:type="dxa"/>
            <w:tcBorders>
              <w:top w:val="single" w:sz="2" w:space="0" w:color="auto"/>
              <w:left w:val="single" w:sz="2" w:space="0" w:color="auto"/>
              <w:bottom w:val="single" w:sz="2" w:space="0" w:color="auto"/>
              <w:right w:val="single" w:sz="2" w:space="0" w:color="auto"/>
            </w:tcBorders>
          </w:tcPr>
          <w:p w14:paraId="73982F9F" w14:textId="77777777" w:rsidR="0047668F" w:rsidRPr="00DE12A3" w:rsidRDefault="0047668F" w:rsidP="00C917D6">
            <w:pPr>
              <w:spacing w:before="120" w:after="120"/>
              <w:rPr>
                <w:rFonts w:cs="Times New Roman"/>
                <w:color w:val="auto"/>
              </w:rPr>
            </w:pPr>
            <w:r w:rsidRPr="00DE12A3">
              <w:rPr>
                <w:rFonts w:cs="Times New Roman"/>
                <w:color w:val="auto"/>
              </w:rPr>
              <w:t>9 Kararlı durum</w:t>
            </w:r>
          </w:p>
        </w:tc>
        <w:tc>
          <w:tcPr>
            <w:tcW w:w="2674" w:type="dxa"/>
            <w:tcBorders>
              <w:top w:val="single" w:sz="2" w:space="0" w:color="auto"/>
              <w:left w:val="single" w:sz="2" w:space="0" w:color="auto"/>
              <w:bottom w:val="single" w:sz="2" w:space="0" w:color="auto"/>
              <w:right w:val="single" w:sz="2" w:space="0" w:color="auto"/>
            </w:tcBorders>
          </w:tcPr>
          <w:p w14:paraId="3067E5FE" w14:textId="77777777" w:rsidR="0047668F" w:rsidRPr="00DE12A3" w:rsidRDefault="0047668F" w:rsidP="00C917D6">
            <w:pPr>
              <w:pStyle w:val="NormalLeft"/>
            </w:pPr>
            <w:r w:rsidRPr="00DE12A3">
              <w:t>128</w:t>
            </w:r>
          </w:p>
        </w:tc>
        <w:tc>
          <w:tcPr>
            <w:tcW w:w="1961" w:type="dxa"/>
            <w:tcBorders>
              <w:top w:val="single" w:sz="2" w:space="0" w:color="auto"/>
              <w:left w:val="single" w:sz="2" w:space="0" w:color="auto"/>
              <w:bottom w:val="single" w:sz="2" w:space="0" w:color="auto"/>
              <w:right w:val="single" w:sz="2" w:space="0" w:color="auto"/>
            </w:tcBorders>
          </w:tcPr>
          <w:p w14:paraId="1CEF053C" w14:textId="77777777" w:rsidR="0047668F" w:rsidRPr="00DE12A3" w:rsidRDefault="0047668F" w:rsidP="00C917D6">
            <w:pPr>
              <w:pStyle w:val="NormalLeft"/>
            </w:pPr>
            <w:r w:rsidRPr="00DE12A3">
              <w:t>Rölanti</w:t>
            </w:r>
          </w:p>
        </w:tc>
        <w:tc>
          <w:tcPr>
            <w:tcW w:w="1962" w:type="dxa"/>
            <w:tcBorders>
              <w:top w:val="single" w:sz="2" w:space="0" w:color="auto"/>
              <w:left w:val="single" w:sz="2" w:space="0" w:color="auto"/>
              <w:bottom w:val="single" w:sz="2" w:space="0" w:color="auto"/>
              <w:right w:val="single" w:sz="2" w:space="0" w:color="auto"/>
            </w:tcBorders>
          </w:tcPr>
          <w:p w14:paraId="18A89EF9" w14:textId="77777777" w:rsidR="0047668F" w:rsidRPr="00DE12A3" w:rsidRDefault="0047668F" w:rsidP="00C917D6">
            <w:pPr>
              <w:pStyle w:val="NormalLeft"/>
            </w:pPr>
            <w:r w:rsidRPr="00DE12A3">
              <w:t>0</w:t>
            </w:r>
          </w:p>
        </w:tc>
      </w:tr>
    </w:tbl>
    <w:p w14:paraId="25E2EFF6" w14:textId="0F001A32" w:rsidR="000D0CF9" w:rsidRPr="00DE12A3" w:rsidRDefault="000D0CF9" w:rsidP="00C917D6">
      <w:pPr>
        <w:pStyle w:val="Gvdemetni21"/>
        <w:shd w:val="clear" w:color="auto" w:fill="auto"/>
        <w:spacing w:after="120" w:line="240" w:lineRule="auto"/>
        <w:ind w:left="284" w:hanging="284"/>
        <w:jc w:val="both"/>
      </w:pPr>
      <w:r w:rsidRPr="00DE12A3">
        <w:rPr>
          <w:rStyle w:val="Gvdemetni95pt0ptbolukbraklyor"/>
          <w:color w:val="auto"/>
        </w:rPr>
        <w:t>(</w:t>
      </w:r>
      <w:r w:rsidRPr="00DE12A3">
        <w:rPr>
          <w:rStyle w:val="Gvdemetni95pt0ptbolukbraklyor"/>
          <w:color w:val="auto"/>
          <w:vertAlign w:val="superscript"/>
        </w:rPr>
        <w:t>a</w:t>
      </w:r>
      <w:r w:rsidRPr="00DE12A3">
        <w:rPr>
          <w:rStyle w:val="Gvdemetni95pt0ptbolukbraklyor"/>
          <w:color w:val="auto"/>
        </w:rPr>
        <w:t>)</w:t>
      </w:r>
      <w:r w:rsidRPr="00DE12A3">
        <w:rPr>
          <w:rStyle w:val="Gvdemetni95pt0ptbolukbraklyor"/>
          <w:color w:val="auto"/>
        </w:rPr>
        <w:tab/>
      </w:r>
      <w:r w:rsidRPr="00DE12A3">
        <w:t xml:space="preserve">Gereken test devirlerinin belirlenmesi için </w:t>
      </w:r>
      <w:r w:rsidR="00FA0678" w:rsidRPr="00DE12A3">
        <w:t>VI’ncı ek</w:t>
      </w:r>
      <w:r w:rsidRPr="00DE12A3">
        <w:t xml:space="preserve">in 5.2.5, 7.6 ve 7.7 </w:t>
      </w:r>
      <w:r w:rsidR="00E1361C" w:rsidRPr="00DE12A3">
        <w:t>bentlerine</w:t>
      </w:r>
      <w:r w:rsidRPr="00DE12A3">
        <w:t>bakınız.</w:t>
      </w:r>
    </w:p>
    <w:p w14:paraId="0E1C74A1" w14:textId="77777777" w:rsidR="000D0CF9" w:rsidRPr="00DE12A3" w:rsidRDefault="000D0CF9" w:rsidP="00C917D6">
      <w:pPr>
        <w:pStyle w:val="Gvdemetni21"/>
        <w:shd w:val="clear" w:color="auto" w:fill="auto"/>
        <w:spacing w:after="120" w:line="240" w:lineRule="auto"/>
        <w:ind w:left="284" w:hanging="284"/>
        <w:jc w:val="both"/>
      </w:pPr>
      <w:r w:rsidRPr="00DE12A3">
        <w:rPr>
          <w:rStyle w:val="Gvdemetni95pt0ptbolukbraklyor"/>
          <w:color w:val="auto"/>
        </w:rPr>
        <w:t>(</w:t>
      </w:r>
      <w:r w:rsidRPr="00DE12A3">
        <w:rPr>
          <w:rStyle w:val="Gvdemetni95pt0ptbolukbraklyor"/>
          <w:color w:val="auto"/>
          <w:vertAlign w:val="superscript"/>
        </w:rPr>
        <w:t>b</w:t>
      </w:r>
      <w:r w:rsidRPr="00DE12A3">
        <w:rPr>
          <w:rStyle w:val="Gvdemetni95pt0ptbolukbraklyor"/>
          <w:color w:val="auto"/>
        </w:rPr>
        <w:t>)</w:t>
      </w:r>
      <w:r w:rsidRPr="00DE12A3">
        <w:rPr>
          <w:rStyle w:val="Gvdemetni95pt0ptbolukbraklyor"/>
          <w:color w:val="auto"/>
        </w:rPr>
        <w:tab/>
      </w:r>
      <w:r w:rsidRPr="00DE12A3">
        <w:t>% tork, komut verilen motor devrindeki azami torka bağlıdır.</w:t>
      </w:r>
    </w:p>
    <w:p w14:paraId="74B30A2B" w14:textId="77777777" w:rsidR="000D0CF9" w:rsidRPr="00DE12A3" w:rsidRDefault="000D0CF9" w:rsidP="00C917D6">
      <w:pPr>
        <w:pStyle w:val="Gvdemetni21"/>
        <w:shd w:val="clear" w:color="auto" w:fill="auto"/>
        <w:spacing w:after="120" w:line="240" w:lineRule="auto"/>
        <w:ind w:left="284" w:right="20" w:hanging="284"/>
        <w:jc w:val="both"/>
      </w:pPr>
      <w:r w:rsidRPr="00DE12A3">
        <w:rPr>
          <w:rStyle w:val="Gvdemetni95pt0ptbolukbraklyor"/>
          <w:color w:val="auto"/>
        </w:rPr>
        <w:t>(</w:t>
      </w:r>
      <w:r w:rsidRPr="00DE12A3">
        <w:rPr>
          <w:rStyle w:val="Gvdemetni95pt0ptbolukbraklyor"/>
          <w:color w:val="auto"/>
          <w:vertAlign w:val="superscript"/>
        </w:rPr>
        <w:t>c</w:t>
      </w:r>
      <w:r w:rsidRPr="00DE12A3">
        <w:rPr>
          <w:rStyle w:val="Gvdemetni95pt0ptbolukbraklyor"/>
          <w:color w:val="auto"/>
        </w:rPr>
        <w:t>)</w:t>
      </w:r>
      <w:r w:rsidRPr="00DE12A3">
        <w:rPr>
          <w:rStyle w:val="Gvdemetni95pt0ptbolukbraklyor"/>
          <w:color w:val="auto"/>
        </w:rPr>
        <w:tab/>
      </w:r>
      <w:r w:rsidRPr="00DE12A3">
        <w:t>Bir moddan diğerine 20 saniyelik bir geçiş aşaması içinde ilerlenir. Geçiş aşamasında, mevcut modun tork ayarından bir sonraki modun tork ayarına doğrusal bir ilerleme komutu verilir ve devir ayarında bir değişiklik olursa, aynı anda motor devri için de benzer bir doğrusal ilerleme komutu verilir.</w:t>
      </w:r>
    </w:p>
    <w:p w14:paraId="139A10FB" w14:textId="77777777" w:rsidR="009F4766" w:rsidRPr="00DE12A3" w:rsidRDefault="009F4766" w:rsidP="00C917D6">
      <w:pPr>
        <w:spacing w:before="120" w:after="120"/>
        <w:rPr>
          <w:rFonts w:cs="Times New Roman"/>
          <w:color w:val="auto"/>
        </w:rPr>
      </w:pPr>
    </w:p>
    <w:p w14:paraId="188A1C51" w14:textId="77777777" w:rsidR="000D0CF9" w:rsidRPr="00DE12A3" w:rsidRDefault="000D0CF9" w:rsidP="00C917D6">
      <w:pPr>
        <w:spacing w:before="120" w:after="120"/>
        <w:rPr>
          <w:rFonts w:cs="Times New Roman"/>
          <w:color w:val="auto"/>
        </w:rPr>
      </w:pPr>
    </w:p>
    <w:p w14:paraId="056D0C92" w14:textId="77777777" w:rsidR="000D0CF9" w:rsidRPr="00DE12A3" w:rsidRDefault="000D0CF9" w:rsidP="00C917D6">
      <w:pPr>
        <w:spacing w:before="120" w:after="120"/>
        <w:rPr>
          <w:rFonts w:cs="Times New Roman"/>
          <w:color w:val="auto"/>
        </w:rPr>
      </w:pPr>
    </w:p>
    <w:tbl>
      <w:tblPr>
        <w:tblW w:w="0" w:type="auto"/>
        <w:tblInd w:w="186" w:type="dxa"/>
        <w:tblLayout w:type="fixed"/>
        <w:tblLook w:val="0000" w:firstRow="0" w:lastRow="0" w:firstColumn="0" w:lastColumn="0" w:noHBand="0" w:noVBand="0"/>
      </w:tblPr>
      <w:tblGrid>
        <w:gridCol w:w="2318"/>
        <w:gridCol w:w="2585"/>
        <w:gridCol w:w="2050"/>
        <w:gridCol w:w="1962"/>
      </w:tblGrid>
      <w:tr w:rsidR="00DE12A3" w:rsidRPr="00DE12A3" w14:paraId="5264BB24" w14:textId="77777777" w:rsidTr="009F4766">
        <w:tc>
          <w:tcPr>
            <w:tcW w:w="8915" w:type="dxa"/>
            <w:gridSpan w:val="4"/>
            <w:tcBorders>
              <w:top w:val="single" w:sz="2" w:space="0" w:color="auto"/>
              <w:left w:val="single" w:sz="2" w:space="0" w:color="auto"/>
              <w:bottom w:val="single" w:sz="2" w:space="0" w:color="auto"/>
              <w:right w:val="single" w:sz="2" w:space="0" w:color="auto"/>
            </w:tcBorders>
          </w:tcPr>
          <w:p w14:paraId="4387F8E8" w14:textId="77777777" w:rsidR="009F4766" w:rsidRPr="00DE12A3" w:rsidRDefault="0047668F" w:rsidP="00C917D6">
            <w:pPr>
              <w:pStyle w:val="NormalCentered"/>
            </w:pPr>
            <w:r w:rsidRPr="00DE12A3">
              <w:rPr>
                <w:iCs/>
              </w:rPr>
              <w:t>RMC-C2 test modları tablosu</w:t>
            </w:r>
          </w:p>
        </w:tc>
      </w:tr>
      <w:tr w:rsidR="00DE12A3" w:rsidRPr="00DE12A3" w14:paraId="352CD670" w14:textId="77777777" w:rsidTr="009F4766">
        <w:tc>
          <w:tcPr>
            <w:tcW w:w="2318" w:type="dxa"/>
            <w:tcBorders>
              <w:top w:val="single" w:sz="2" w:space="0" w:color="auto"/>
              <w:left w:val="single" w:sz="2" w:space="0" w:color="auto"/>
              <w:bottom w:val="single" w:sz="2" w:space="0" w:color="auto"/>
              <w:right w:val="single" w:sz="2" w:space="0" w:color="auto"/>
            </w:tcBorders>
          </w:tcPr>
          <w:p w14:paraId="7D6C2C44" w14:textId="77777777" w:rsidR="0047668F" w:rsidRPr="00DE12A3" w:rsidRDefault="0047668F" w:rsidP="00C917D6">
            <w:pPr>
              <w:spacing w:before="120" w:after="120"/>
              <w:rPr>
                <w:rFonts w:cs="Times New Roman"/>
                <w:color w:val="auto"/>
              </w:rPr>
            </w:pPr>
            <w:r w:rsidRPr="00DE12A3">
              <w:rPr>
                <w:rFonts w:cs="Times New Roman"/>
                <w:color w:val="auto"/>
              </w:rPr>
              <w:t>RMC Mod Numarası</w:t>
            </w:r>
          </w:p>
        </w:tc>
        <w:tc>
          <w:tcPr>
            <w:tcW w:w="2585" w:type="dxa"/>
            <w:tcBorders>
              <w:top w:val="single" w:sz="2" w:space="0" w:color="auto"/>
              <w:left w:val="single" w:sz="2" w:space="0" w:color="auto"/>
              <w:bottom w:val="single" w:sz="2" w:space="0" w:color="auto"/>
              <w:right w:val="single" w:sz="2" w:space="0" w:color="auto"/>
            </w:tcBorders>
          </w:tcPr>
          <w:p w14:paraId="39EB24E4" w14:textId="77777777" w:rsidR="0047668F" w:rsidRPr="00DE12A3" w:rsidRDefault="0047668F" w:rsidP="00C917D6">
            <w:pPr>
              <w:spacing w:before="120" w:after="120"/>
              <w:rPr>
                <w:rFonts w:cs="Times New Roman"/>
                <w:color w:val="auto"/>
              </w:rPr>
            </w:pPr>
            <w:r w:rsidRPr="00DE12A3">
              <w:rPr>
                <w:rFonts w:cs="Times New Roman"/>
                <w:color w:val="auto"/>
              </w:rPr>
              <w:t>Mod süresi (saniye)</w:t>
            </w:r>
          </w:p>
        </w:tc>
        <w:tc>
          <w:tcPr>
            <w:tcW w:w="2050" w:type="dxa"/>
            <w:tcBorders>
              <w:top w:val="single" w:sz="2" w:space="0" w:color="auto"/>
              <w:left w:val="single" w:sz="2" w:space="0" w:color="auto"/>
              <w:bottom w:val="single" w:sz="2" w:space="0" w:color="auto"/>
              <w:right w:val="single" w:sz="2" w:space="0" w:color="auto"/>
            </w:tcBorders>
          </w:tcPr>
          <w:p w14:paraId="0CF2FFCB" w14:textId="77777777" w:rsidR="0047668F" w:rsidRPr="00DE12A3" w:rsidRDefault="0047668F" w:rsidP="00C917D6">
            <w:pPr>
              <w:spacing w:before="120" w:after="120"/>
              <w:rPr>
                <w:rFonts w:cs="Times New Roman"/>
                <w:color w:val="auto"/>
              </w:rPr>
            </w:pPr>
            <w:r w:rsidRPr="00DE12A3">
              <w:rPr>
                <w:rFonts w:cs="Times New Roman"/>
                <w:color w:val="auto"/>
              </w:rPr>
              <w:t xml:space="preserve">Motor devri </w:t>
            </w:r>
            <w:r w:rsidRPr="00DE12A3">
              <w:rPr>
                <w:rFonts w:cs="Times New Roman"/>
                <w:color w:val="auto"/>
                <w:vertAlign w:val="superscript"/>
              </w:rPr>
              <w:t>(a) (c)</w:t>
            </w:r>
          </w:p>
        </w:tc>
        <w:tc>
          <w:tcPr>
            <w:tcW w:w="1962" w:type="dxa"/>
            <w:tcBorders>
              <w:top w:val="single" w:sz="2" w:space="0" w:color="auto"/>
              <w:left w:val="single" w:sz="2" w:space="0" w:color="auto"/>
              <w:bottom w:val="single" w:sz="2" w:space="0" w:color="auto"/>
              <w:right w:val="single" w:sz="2" w:space="0" w:color="auto"/>
            </w:tcBorders>
          </w:tcPr>
          <w:p w14:paraId="614BD4BA" w14:textId="77777777" w:rsidR="0047668F" w:rsidRPr="00DE12A3" w:rsidRDefault="0047668F" w:rsidP="00C917D6">
            <w:pPr>
              <w:spacing w:before="120" w:after="120"/>
              <w:rPr>
                <w:rFonts w:cs="Times New Roman"/>
                <w:color w:val="auto"/>
              </w:rPr>
            </w:pPr>
            <w:r w:rsidRPr="00DE12A3">
              <w:rPr>
                <w:rFonts w:cs="Times New Roman"/>
                <w:color w:val="auto"/>
              </w:rPr>
              <w:t xml:space="preserve">Tork (%) </w:t>
            </w:r>
            <w:r w:rsidRPr="00DE12A3">
              <w:rPr>
                <w:rFonts w:cs="Times New Roman"/>
                <w:color w:val="auto"/>
                <w:vertAlign w:val="superscript"/>
              </w:rPr>
              <w:t>(b) (c)</w:t>
            </w:r>
          </w:p>
        </w:tc>
      </w:tr>
      <w:tr w:rsidR="00DE12A3" w:rsidRPr="00DE12A3" w14:paraId="4EA9B5F6" w14:textId="77777777" w:rsidTr="009F4766">
        <w:tc>
          <w:tcPr>
            <w:tcW w:w="2318" w:type="dxa"/>
            <w:tcBorders>
              <w:top w:val="single" w:sz="2" w:space="0" w:color="auto"/>
              <w:left w:val="single" w:sz="2" w:space="0" w:color="auto"/>
              <w:bottom w:val="single" w:sz="2" w:space="0" w:color="auto"/>
              <w:right w:val="single" w:sz="2" w:space="0" w:color="auto"/>
            </w:tcBorders>
          </w:tcPr>
          <w:p w14:paraId="142B4BA0" w14:textId="77777777" w:rsidR="0047668F" w:rsidRPr="00DE12A3" w:rsidRDefault="0047668F" w:rsidP="00C917D6">
            <w:pPr>
              <w:spacing w:before="120" w:after="120"/>
              <w:rPr>
                <w:rFonts w:cs="Times New Roman"/>
                <w:color w:val="auto"/>
              </w:rPr>
            </w:pPr>
            <w:r w:rsidRPr="00DE12A3">
              <w:rPr>
                <w:rFonts w:cs="Times New Roman"/>
                <w:color w:val="auto"/>
              </w:rPr>
              <w:t>1a Kararlı durum</w:t>
            </w:r>
          </w:p>
        </w:tc>
        <w:tc>
          <w:tcPr>
            <w:tcW w:w="2585" w:type="dxa"/>
            <w:tcBorders>
              <w:top w:val="single" w:sz="2" w:space="0" w:color="auto"/>
              <w:left w:val="single" w:sz="2" w:space="0" w:color="auto"/>
              <w:bottom w:val="single" w:sz="2" w:space="0" w:color="auto"/>
              <w:right w:val="single" w:sz="2" w:space="0" w:color="auto"/>
            </w:tcBorders>
          </w:tcPr>
          <w:p w14:paraId="5C00F0CC" w14:textId="77777777" w:rsidR="0047668F" w:rsidRPr="00DE12A3" w:rsidRDefault="0047668F" w:rsidP="00C917D6">
            <w:pPr>
              <w:pStyle w:val="NormalLeft"/>
            </w:pPr>
            <w:r w:rsidRPr="00DE12A3">
              <w:t>119</w:t>
            </w:r>
          </w:p>
        </w:tc>
        <w:tc>
          <w:tcPr>
            <w:tcW w:w="2050" w:type="dxa"/>
            <w:tcBorders>
              <w:top w:val="single" w:sz="2" w:space="0" w:color="auto"/>
              <w:left w:val="single" w:sz="2" w:space="0" w:color="auto"/>
              <w:bottom w:val="single" w:sz="2" w:space="0" w:color="auto"/>
              <w:right w:val="single" w:sz="2" w:space="0" w:color="auto"/>
            </w:tcBorders>
          </w:tcPr>
          <w:p w14:paraId="2B229A60" w14:textId="77777777" w:rsidR="0047668F" w:rsidRPr="00DE12A3" w:rsidRDefault="0047668F" w:rsidP="00C917D6">
            <w:pPr>
              <w:pStyle w:val="NormalLeft"/>
            </w:pPr>
            <w:r w:rsidRPr="00DE12A3">
              <w:t>Rölanti</w:t>
            </w:r>
          </w:p>
        </w:tc>
        <w:tc>
          <w:tcPr>
            <w:tcW w:w="1962" w:type="dxa"/>
            <w:tcBorders>
              <w:top w:val="single" w:sz="2" w:space="0" w:color="auto"/>
              <w:left w:val="single" w:sz="2" w:space="0" w:color="auto"/>
              <w:bottom w:val="single" w:sz="2" w:space="0" w:color="auto"/>
              <w:right w:val="single" w:sz="2" w:space="0" w:color="auto"/>
            </w:tcBorders>
          </w:tcPr>
          <w:p w14:paraId="69892DAA" w14:textId="77777777" w:rsidR="0047668F" w:rsidRPr="00DE12A3" w:rsidRDefault="0047668F" w:rsidP="00C917D6">
            <w:pPr>
              <w:pStyle w:val="NormalLeft"/>
            </w:pPr>
            <w:r w:rsidRPr="00DE12A3">
              <w:t>0</w:t>
            </w:r>
          </w:p>
        </w:tc>
      </w:tr>
      <w:tr w:rsidR="00DE12A3" w:rsidRPr="00DE12A3" w14:paraId="4E20A5E6" w14:textId="77777777" w:rsidTr="009F4766">
        <w:tc>
          <w:tcPr>
            <w:tcW w:w="2318" w:type="dxa"/>
            <w:tcBorders>
              <w:top w:val="single" w:sz="2" w:space="0" w:color="auto"/>
              <w:left w:val="single" w:sz="2" w:space="0" w:color="auto"/>
              <w:bottom w:val="single" w:sz="2" w:space="0" w:color="auto"/>
              <w:right w:val="single" w:sz="2" w:space="0" w:color="auto"/>
            </w:tcBorders>
          </w:tcPr>
          <w:p w14:paraId="5FB68B16" w14:textId="77777777" w:rsidR="0047668F" w:rsidRPr="00DE12A3" w:rsidRDefault="0047668F" w:rsidP="00C917D6">
            <w:pPr>
              <w:spacing w:before="120" w:after="120"/>
              <w:rPr>
                <w:rFonts w:cs="Times New Roman"/>
                <w:color w:val="auto"/>
              </w:rPr>
            </w:pPr>
            <w:r w:rsidRPr="00DE12A3">
              <w:rPr>
                <w:rFonts w:cs="Times New Roman"/>
                <w:color w:val="auto"/>
              </w:rPr>
              <w:t>1b Geçiş</w:t>
            </w:r>
          </w:p>
        </w:tc>
        <w:tc>
          <w:tcPr>
            <w:tcW w:w="2585" w:type="dxa"/>
            <w:tcBorders>
              <w:top w:val="single" w:sz="2" w:space="0" w:color="auto"/>
              <w:left w:val="single" w:sz="2" w:space="0" w:color="auto"/>
              <w:bottom w:val="single" w:sz="2" w:space="0" w:color="auto"/>
              <w:right w:val="single" w:sz="2" w:space="0" w:color="auto"/>
            </w:tcBorders>
          </w:tcPr>
          <w:p w14:paraId="7902BA55" w14:textId="77777777" w:rsidR="0047668F" w:rsidRPr="00DE12A3" w:rsidRDefault="0047668F" w:rsidP="00C917D6">
            <w:pPr>
              <w:pStyle w:val="NormalLeft"/>
            </w:pPr>
            <w:r w:rsidRPr="00DE12A3">
              <w:t>20</w:t>
            </w:r>
          </w:p>
        </w:tc>
        <w:tc>
          <w:tcPr>
            <w:tcW w:w="2050" w:type="dxa"/>
            <w:tcBorders>
              <w:top w:val="single" w:sz="2" w:space="0" w:color="auto"/>
              <w:left w:val="single" w:sz="2" w:space="0" w:color="auto"/>
              <w:bottom w:val="single" w:sz="2" w:space="0" w:color="auto"/>
              <w:right w:val="single" w:sz="2" w:space="0" w:color="auto"/>
            </w:tcBorders>
          </w:tcPr>
          <w:p w14:paraId="78B34BEE" w14:textId="77777777" w:rsidR="0047668F" w:rsidRPr="00DE12A3" w:rsidRDefault="0047668F" w:rsidP="00C917D6">
            <w:pPr>
              <w:spacing w:before="120" w:after="120"/>
              <w:rPr>
                <w:rFonts w:cs="Times New Roman"/>
                <w:color w:val="auto"/>
              </w:rPr>
            </w:pPr>
            <w:r w:rsidRPr="00DE12A3">
              <w:rPr>
                <w:rFonts w:cs="Times New Roman"/>
                <w:color w:val="auto"/>
              </w:rPr>
              <w:t>Doğrusal geçiş</w:t>
            </w:r>
          </w:p>
        </w:tc>
        <w:tc>
          <w:tcPr>
            <w:tcW w:w="1962" w:type="dxa"/>
            <w:tcBorders>
              <w:top w:val="single" w:sz="2" w:space="0" w:color="auto"/>
              <w:left w:val="single" w:sz="2" w:space="0" w:color="auto"/>
              <w:bottom w:val="single" w:sz="2" w:space="0" w:color="auto"/>
              <w:right w:val="single" w:sz="2" w:space="0" w:color="auto"/>
            </w:tcBorders>
          </w:tcPr>
          <w:p w14:paraId="1174EFCF" w14:textId="77777777" w:rsidR="0047668F" w:rsidRPr="00DE12A3" w:rsidRDefault="0047668F" w:rsidP="00C917D6">
            <w:pPr>
              <w:spacing w:before="120" w:after="120"/>
              <w:rPr>
                <w:rFonts w:cs="Times New Roman"/>
                <w:color w:val="auto"/>
              </w:rPr>
            </w:pPr>
            <w:r w:rsidRPr="00DE12A3">
              <w:rPr>
                <w:rFonts w:cs="Times New Roman"/>
                <w:color w:val="auto"/>
              </w:rPr>
              <w:t>Doğrusal geçiş</w:t>
            </w:r>
          </w:p>
        </w:tc>
      </w:tr>
      <w:tr w:rsidR="00DE12A3" w:rsidRPr="00DE12A3" w14:paraId="7075C96B" w14:textId="77777777" w:rsidTr="009F4766">
        <w:tc>
          <w:tcPr>
            <w:tcW w:w="2318" w:type="dxa"/>
            <w:tcBorders>
              <w:top w:val="single" w:sz="2" w:space="0" w:color="auto"/>
              <w:left w:val="single" w:sz="2" w:space="0" w:color="auto"/>
              <w:bottom w:val="single" w:sz="2" w:space="0" w:color="auto"/>
              <w:right w:val="single" w:sz="2" w:space="0" w:color="auto"/>
            </w:tcBorders>
          </w:tcPr>
          <w:p w14:paraId="55895041" w14:textId="77777777" w:rsidR="009F4766" w:rsidRPr="00DE12A3" w:rsidRDefault="0047668F" w:rsidP="00C917D6">
            <w:pPr>
              <w:pStyle w:val="NormalLeft"/>
            </w:pPr>
            <w:r w:rsidRPr="00DE12A3">
              <w:t>2a Kararlı durum</w:t>
            </w:r>
          </w:p>
        </w:tc>
        <w:tc>
          <w:tcPr>
            <w:tcW w:w="2585" w:type="dxa"/>
            <w:tcBorders>
              <w:top w:val="single" w:sz="2" w:space="0" w:color="auto"/>
              <w:left w:val="single" w:sz="2" w:space="0" w:color="auto"/>
              <w:bottom w:val="single" w:sz="2" w:space="0" w:color="auto"/>
              <w:right w:val="single" w:sz="2" w:space="0" w:color="auto"/>
            </w:tcBorders>
          </w:tcPr>
          <w:p w14:paraId="0FD8B671" w14:textId="77777777" w:rsidR="009F4766" w:rsidRPr="00DE12A3" w:rsidRDefault="009F4766" w:rsidP="00C917D6">
            <w:pPr>
              <w:pStyle w:val="NormalLeft"/>
            </w:pPr>
            <w:r w:rsidRPr="00DE12A3">
              <w:t>29</w:t>
            </w:r>
          </w:p>
        </w:tc>
        <w:tc>
          <w:tcPr>
            <w:tcW w:w="2050" w:type="dxa"/>
            <w:tcBorders>
              <w:top w:val="single" w:sz="2" w:space="0" w:color="auto"/>
              <w:left w:val="single" w:sz="2" w:space="0" w:color="auto"/>
              <w:bottom w:val="single" w:sz="2" w:space="0" w:color="auto"/>
              <w:right w:val="single" w:sz="2" w:space="0" w:color="auto"/>
            </w:tcBorders>
          </w:tcPr>
          <w:p w14:paraId="07DBC4F3" w14:textId="77777777" w:rsidR="009F4766" w:rsidRPr="00DE12A3" w:rsidRDefault="00861C3B" w:rsidP="00C917D6">
            <w:pPr>
              <w:pStyle w:val="NormalLeft"/>
            </w:pPr>
            <w:r w:rsidRPr="00DE12A3">
              <w:t>Orta</w:t>
            </w:r>
          </w:p>
        </w:tc>
        <w:tc>
          <w:tcPr>
            <w:tcW w:w="1962" w:type="dxa"/>
            <w:tcBorders>
              <w:top w:val="single" w:sz="2" w:space="0" w:color="auto"/>
              <w:left w:val="single" w:sz="2" w:space="0" w:color="auto"/>
              <w:bottom w:val="single" w:sz="2" w:space="0" w:color="auto"/>
              <w:right w:val="single" w:sz="2" w:space="0" w:color="auto"/>
            </w:tcBorders>
          </w:tcPr>
          <w:p w14:paraId="151F6516" w14:textId="77777777" w:rsidR="009F4766" w:rsidRPr="00DE12A3" w:rsidRDefault="009F4766" w:rsidP="00C917D6">
            <w:pPr>
              <w:pStyle w:val="NormalLeft"/>
            </w:pPr>
            <w:r w:rsidRPr="00DE12A3">
              <w:t>100</w:t>
            </w:r>
          </w:p>
        </w:tc>
      </w:tr>
      <w:tr w:rsidR="00DE12A3" w:rsidRPr="00DE12A3" w14:paraId="701315E8" w14:textId="77777777" w:rsidTr="009F4766">
        <w:tc>
          <w:tcPr>
            <w:tcW w:w="2318" w:type="dxa"/>
            <w:tcBorders>
              <w:top w:val="single" w:sz="2" w:space="0" w:color="auto"/>
              <w:left w:val="single" w:sz="2" w:space="0" w:color="auto"/>
              <w:bottom w:val="single" w:sz="2" w:space="0" w:color="auto"/>
              <w:right w:val="single" w:sz="2" w:space="0" w:color="auto"/>
            </w:tcBorders>
          </w:tcPr>
          <w:p w14:paraId="71BCF233" w14:textId="77777777" w:rsidR="0047668F" w:rsidRPr="00DE12A3" w:rsidRDefault="0047668F" w:rsidP="00C917D6">
            <w:pPr>
              <w:spacing w:before="120" w:after="120"/>
              <w:rPr>
                <w:rFonts w:cs="Times New Roman"/>
                <w:color w:val="auto"/>
              </w:rPr>
            </w:pPr>
            <w:r w:rsidRPr="00DE12A3">
              <w:rPr>
                <w:rFonts w:cs="Times New Roman"/>
                <w:color w:val="auto"/>
              </w:rPr>
              <w:t>2b Geçiş</w:t>
            </w:r>
          </w:p>
        </w:tc>
        <w:tc>
          <w:tcPr>
            <w:tcW w:w="2585" w:type="dxa"/>
            <w:tcBorders>
              <w:top w:val="single" w:sz="2" w:space="0" w:color="auto"/>
              <w:left w:val="single" w:sz="2" w:space="0" w:color="auto"/>
              <w:bottom w:val="single" w:sz="2" w:space="0" w:color="auto"/>
              <w:right w:val="single" w:sz="2" w:space="0" w:color="auto"/>
            </w:tcBorders>
          </w:tcPr>
          <w:p w14:paraId="78A470C1" w14:textId="77777777" w:rsidR="0047668F" w:rsidRPr="00DE12A3" w:rsidRDefault="0047668F" w:rsidP="00C917D6">
            <w:pPr>
              <w:pStyle w:val="NormalLeft"/>
            </w:pPr>
            <w:r w:rsidRPr="00DE12A3">
              <w:t>20</w:t>
            </w:r>
          </w:p>
        </w:tc>
        <w:tc>
          <w:tcPr>
            <w:tcW w:w="2050" w:type="dxa"/>
            <w:tcBorders>
              <w:top w:val="single" w:sz="2" w:space="0" w:color="auto"/>
              <w:left w:val="single" w:sz="2" w:space="0" w:color="auto"/>
              <w:bottom w:val="single" w:sz="2" w:space="0" w:color="auto"/>
              <w:right w:val="single" w:sz="2" w:space="0" w:color="auto"/>
            </w:tcBorders>
          </w:tcPr>
          <w:p w14:paraId="5786A169" w14:textId="77777777" w:rsidR="0047668F" w:rsidRPr="00DE12A3" w:rsidRDefault="0047668F" w:rsidP="00C917D6">
            <w:pPr>
              <w:pStyle w:val="NormalLeft"/>
            </w:pPr>
            <w:r w:rsidRPr="00DE12A3">
              <w:t>Orta</w:t>
            </w:r>
          </w:p>
        </w:tc>
        <w:tc>
          <w:tcPr>
            <w:tcW w:w="1962" w:type="dxa"/>
            <w:tcBorders>
              <w:top w:val="single" w:sz="2" w:space="0" w:color="auto"/>
              <w:left w:val="single" w:sz="2" w:space="0" w:color="auto"/>
              <w:bottom w:val="single" w:sz="2" w:space="0" w:color="auto"/>
              <w:right w:val="single" w:sz="2" w:space="0" w:color="auto"/>
            </w:tcBorders>
          </w:tcPr>
          <w:p w14:paraId="62EB1860" w14:textId="77777777" w:rsidR="0047668F" w:rsidRPr="00DE12A3" w:rsidRDefault="0047668F" w:rsidP="00C917D6">
            <w:pPr>
              <w:pStyle w:val="NormalLeft"/>
            </w:pPr>
            <w:r w:rsidRPr="00DE12A3">
              <w:t>Doğrusal geçiş</w:t>
            </w:r>
          </w:p>
        </w:tc>
      </w:tr>
      <w:tr w:rsidR="00DE12A3" w:rsidRPr="00DE12A3" w14:paraId="2242FE2E" w14:textId="77777777" w:rsidTr="009F4766">
        <w:tc>
          <w:tcPr>
            <w:tcW w:w="2318" w:type="dxa"/>
            <w:tcBorders>
              <w:top w:val="single" w:sz="2" w:space="0" w:color="auto"/>
              <w:left w:val="single" w:sz="2" w:space="0" w:color="auto"/>
              <w:bottom w:val="single" w:sz="2" w:space="0" w:color="auto"/>
              <w:right w:val="single" w:sz="2" w:space="0" w:color="auto"/>
            </w:tcBorders>
          </w:tcPr>
          <w:p w14:paraId="273C48DD" w14:textId="77777777" w:rsidR="0047668F" w:rsidRPr="00DE12A3" w:rsidRDefault="0047668F" w:rsidP="00C917D6">
            <w:pPr>
              <w:spacing w:before="120" w:after="120"/>
              <w:rPr>
                <w:rFonts w:cs="Times New Roman"/>
                <w:color w:val="auto"/>
              </w:rPr>
            </w:pPr>
            <w:r w:rsidRPr="00DE12A3">
              <w:rPr>
                <w:rFonts w:cs="Times New Roman"/>
                <w:color w:val="auto"/>
              </w:rPr>
              <w:t>3a Kararlı durum</w:t>
            </w:r>
          </w:p>
        </w:tc>
        <w:tc>
          <w:tcPr>
            <w:tcW w:w="2585" w:type="dxa"/>
            <w:tcBorders>
              <w:top w:val="single" w:sz="2" w:space="0" w:color="auto"/>
              <w:left w:val="single" w:sz="2" w:space="0" w:color="auto"/>
              <w:bottom w:val="single" w:sz="2" w:space="0" w:color="auto"/>
              <w:right w:val="single" w:sz="2" w:space="0" w:color="auto"/>
            </w:tcBorders>
          </w:tcPr>
          <w:p w14:paraId="4EC40932" w14:textId="77777777" w:rsidR="0047668F" w:rsidRPr="00DE12A3" w:rsidRDefault="0047668F" w:rsidP="00C917D6">
            <w:pPr>
              <w:pStyle w:val="NormalLeft"/>
            </w:pPr>
            <w:r w:rsidRPr="00DE12A3">
              <w:t>150</w:t>
            </w:r>
          </w:p>
        </w:tc>
        <w:tc>
          <w:tcPr>
            <w:tcW w:w="2050" w:type="dxa"/>
            <w:tcBorders>
              <w:top w:val="single" w:sz="2" w:space="0" w:color="auto"/>
              <w:left w:val="single" w:sz="2" w:space="0" w:color="auto"/>
              <w:bottom w:val="single" w:sz="2" w:space="0" w:color="auto"/>
              <w:right w:val="single" w:sz="2" w:space="0" w:color="auto"/>
            </w:tcBorders>
          </w:tcPr>
          <w:p w14:paraId="51A1A4DF" w14:textId="77777777" w:rsidR="0047668F" w:rsidRPr="00DE12A3" w:rsidRDefault="0047668F" w:rsidP="00C917D6">
            <w:pPr>
              <w:pStyle w:val="NormalLeft"/>
            </w:pPr>
            <w:r w:rsidRPr="00DE12A3">
              <w:t>Orta</w:t>
            </w:r>
          </w:p>
        </w:tc>
        <w:tc>
          <w:tcPr>
            <w:tcW w:w="1962" w:type="dxa"/>
            <w:tcBorders>
              <w:top w:val="single" w:sz="2" w:space="0" w:color="auto"/>
              <w:left w:val="single" w:sz="2" w:space="0" w:color="auto"/>
              <w:bottom w:val="single" w:sz="2" w:space="0" w:color="auto"/>
              <w:right w:val="single" w:sz="2" w:space="0" w:color="auto"/>
            </w:tcBorders>
          </w:tcPr>
          <w:p w14:paraId="413ED375" w14:textId="77777777" w:rsidR="0047668F" w:rsidRPr="00DE12A3" w:rsidRDefault="0047668F" w:rsidP="00C917D6">
            <w:pPr>
              <w:pStyle w:val="NormalLeft"/>
            </w:pPr>
            <w:r w:rsidRPr="00DE12A3">
              <w:t>10</w:t>
            </w:r>
          </w:p>
        </w:tc>
      </w:tr>
      <w:tr w:rsidR="00DE12A3" w:rsidRPr="00DE12A3" w14:paraId="5E934A6A" w14:textId="77777777" w:rsidTr="009F4766">
        <w:tc>
          <w:tcPr>
            <w:tcW w:w="2318" w:type="dxa"/>
            <w:tcBorders>
              <w:top w:val="single" w:sz="2" w:space="0" w:color="auto"/>
              <w:left w:val="single" w:sz="2" w:space="0" w:color="auto"/>
              <w:bottom w:val="single" w:sz="2" w:space="0" w:color="auto"/>
              <w:right w:val="single" w:sz="2" w:space="0" w:color="auto"/>
            </w:tcBorders>
          </w:tcPr>
          <w:p w14:paraId="7F1DF9E8" w14:textId="77777777" w:rsidR="0047668F" w:rsidRPr="00DE12A3" w:rsidRDefault="0047668F" w:rsidP="00C917D6">
            <w:pPr>
              <w:spacing w:before="120" w:after="120"/>
              <w:rPr>
                <w:rFonts w:cs="Times New Roman"/>
                <w:color w:val="auto"/>
              </w:rPr>
            </w:pPr>
            <w:r w:rsidRPr="00DE12A3">
              <w:rPr>
                <w:rFonts w:cs="Times New Roman"/>
                <w:color w:val="auto"/>
              </w:rPr>
              <w:t>3b Geçiş</w:t>
            </w:r>
          </w:p>
        </w:tc>
        <w:tc>
          <w:tcPr>
            <w:tcW w:w="2585" w:type="dxa"/>
            <w:tcBorders>
              <w:top w:val="single" w:sz="2" w:space="0" w:color="auto"/>
              <w:left w:val="single" w:sz="2" w:space="0" w:color="auto"/>
              <w:bottom w:val="single" w:sz="2" w:space="0" w:color="auto"/>
              <w:right w:val="single" w:sz="2" w:space="0" w:color="auto"/>
            </w:tcBorders>
          </w:tcPr>
          <w:p w14:paraId="3C093942" w14:textId="77777777" w:rsidR="0047668F" w:rsidRPr="00DE12A3" w:rsidRDefault="0047668F" w:rsidP="00C917D6">
            <w:pPr>
              <w:pStyle w:val="NormalLeft"/>
            </w:pPr>
            <w:r w:rsidRPr="00DE12A3">
              <w:t>20</w:t>
            </w:r>
          </w:p>
        </w:tc>
        <w:tc>
          <w:tcPr>
            <w:tcW w:w="2050" w:type="dxa"/>
            <w:tcBorders>
              <w:top w:val="single" w:sz="2" w:space="0" w:color="auto"/>
              <w:left w:val="single" w:sz="2" w:space="0" w:color="auto"/>
              <w:bottom w:val="single" w:sz="2" w:space="0" w:color="auto"/>
              <w:right w:val="single" w:sz="2" w:space="0" w:color="auto"/>
            </w:tcBorders>
          </w:tcPr>
          <w:p w14:paraId="48E67C1B" w14:textId="77777777" w:rsidR="0047668F" w:rsidRPr="00DE12A3" w:rsidRDefault="0047668F" w:rsidP="00C917D6">
            <w:pPr>
              <w:pStyle w:val="NormalLeft"/>
            </w:pPr>
            <w:r w:rsidRPr="00DE12A3">
              <w:t>Orta</w:t>
            </w:r>
          </w:p>
        </w:tc>
        <w:tc>
          <w:tcPr>
            <w:tcW w:w="1962" w:type="dxa"/>
            <w:tcBorders>
              <w:top w:val="single" w:sz="2" w:space="0" w:color="auto"/>
              <w:left w:val="single" w:sz="2" w:space="0" w:color="auto"/>
              <w:bottom w:val="single" w:sz="2" w:space="0" w:color="auto"/>
              <w:right w:val="single" w:sz="2" w:space="0" w:color="auto"/>
            </w:tcBorders>
          </w:tcPr>
          <w:p w14:paraId="4D33FD90" w14:textId="77777777" w:rsidR="0047668F" w:rsidRPr="00DE12A3" w:rsidRDefault="0047668F" w:rsidP="00C917D6">
            <w:pPr>
              <w:pStyle w:val="NormalLeft"/>
            </w:pPr>
            <w:r w:rsidRPr="00DE12A3">
              <w:t>Doğrusal geçiş</w:t>
            </w:r>
          </w:p>
        </w:tc>
      </w:tr>
      <w:tr w:rsidR="00DE12A3" w:rsidRPr="00DE12A3" w14:paraId="2F6399C2" w14:textId="77777777" w:rsidTr="009F4766">
        <w:tc>
          <w:tcPr>
            <w:tcW w:w="2318" w:type="dxa"/>
            <w:tcBorders>
              <w:top w:val="single" w:sz="2" w:space="0" w:color="auto"/>
              <w:left w:val="single" w:sz="2" w:space="0" w:color="auto"/>
              <w:bottom w:val="single" w:sz="2" w:space="0" w:color="auto"/>
              <w:right w:val="single" w:sz="2" w:space="0" w:color="auto"/>
            </w:tcBorders>
          </w:tcPr>
          <w:p w14:paraId="539A9AD3" w14:textId="77777777" w:rsidR="0047668F" w:rsidRPr="00DE12A3" w:rsidRDefault="0047668F" w:rsidP="00C917D6">
            <w:pPr>
              <w:spacing w:before="120" w:after="120"/>
              <w:rPr>
                <w:rFonts w:cs="Times New Roman"/>
                <w:color w:val="auto"/>
              </w:rPr>
            </w:pPr>
            <w:r w:rsidRPr="00DE12A3">
              <w:rPr>
                <w:rFonts w:cs="Times New Roman"/>
                <w:color w:val="auto"/>
              </w:rPr>
              <w:t>4a Kararlı durum</w:t>
            </w:r>
          </w:p>
        </w:tc>
        <w:tc>
          <w:tcPr>
            <w:tcW w:w="2585" w:type="dxa"/>
            <w:tcBorders>
              <w:top w:val="single" w:sz="2" w:space="0" w:color="auto"/>
              <w:left w:val="single" w:sz="2" w:space="0" w:color="auto"/>
              <w:bottom w:val="single" w:sz="2" w:space="0" w:color="auto"/>
              <w:right w:val="single" w:sz="2" w:space="0" w:color="auto"/>
            </w:tcBorders>
          </w:tcPr>
          <w:p w14:paraId="6D327414" w14:textId="77777777" w:rsidR="0047668F" w:rsidRPr="00DE12A3" w:rsidRDefault="0047668F" w:rsidP="00C917D6">
            <w:pPr>
              <w:pStyle w:val="NormalLeft"/>
            </w:pPr>
            <w:r w:rsidRPr="00DE12A3">
              <w:t>80</w:t>
            </w:r>
          </w:p>
        </w:tc>
        <w:tc>
          <w:tcPr>
            <w:tcW w:w="2050" w:type="dxa"/>
            <w:tcBorders>
              <w:top w:val="single" w:sz="2" w:space="0" w:color="auto"/>
              <w:left w:val="single" w:sz="2" w:space="0" w:color="auto"/>
              <w:bottom w:val="single" w:sz="2" w:space="0" w:color="auto"/>
              <w:right w:val="single" w:sz="2" w:space="0" w:color="auto"/>
            </w:tcBorders>
          </w:tcPr>
          <w:p w14:paraId="439C24E4" w14:textId="77777777" w:rsidR="0047668F" w:rsidRPr="00DE12A3" w:rsidRDefault="0047668F" w:rsidP="00C917D6">
            <w:pPr>
              <w:pStyle w:val="NormalLeft"/>
            </w:pPr>
            <w:r w:rsidRPr="00DE12A3">
              <w:t>Orta</w:t>
            </w:r>
          </w:p>
        </w:tc>
        <w:tc>
          <w:tcPr>
            <w:tcW w:w="1962" w:type="dxa"/>
            <w:tcBorders>
              <w:top w:val="single" w:sz="2" w:space="0" w:color="auto"/>
              <w:left w:val="single" w:sz="2" w:space="0" w:color="auto"/>
              <w:bottom w:val="single" w:sz="2" w:space="0" w:color="auto"/>
              <w:right w:val="single" w:sz="2" w:space="0" w:color="auto"/>
            </w:tcBorders>
          </w:tcPr>
          <w:p w14:paraId="584021F5" w14:textId="77777777" w:rsidR="0047668F" w:rsidRPr="00DE12A3" w:rsidRDefault="0047668F" w:rsidP="00C917D6">
            <w:pPr>
              <w:pStyle w:val="NormalLeft"/>
            </w:pPr>
            <w:r w:rsidRPr="00DE12A3">
              <w:t>75</w:t>
            </w:r>
          </w:p>
        </w:tc>
      </w:tr>
      <w:tr w:rsidR="00DE12A3" w:rsidRPr="00DE12A3" w14:paraId="1104741A" w14:textId="77777777" w:rsidTr="009F4766">
        <w:tc>
          <w:tcPr>
            <w:tcW w:w="2318" w:type="dxa"/>
            <w:tcBorders>
              <w:top w:val="single" w:sz="2" w:space="0" w:color="auto"/>
              <w:left w:val="single" w:sz="2" w:space="0" w:color="auto"/>
              <w:bottom w:val="single" w:sz="2" w:space="0" w:color="auto"/>
              <w:right w:val="single" w:sz="2" w:space="0" w:color="auto"/>
            </w:tcBorders>
          </w:tcPr>
          <w:p w14:paraId="1B0E7495" w14:textId="77777777" w:rsidR="0047668F" w:rsidRPr="00DE12A3" w:rsidRDefault="0047668F" w:rsidP="00C917D6">
            <w:pPr>
              <w:spacing w:before="120" w:after="120"/>
              <w:rPr>
                <w:rFonts w:cs="Times New Roman"/>
                <w:color w:val="auto"/>
              </w:rPr>
            </w:pPr>
            <w:r w:rsidRPr="00DE12A3">
              <w:rPr>
                <w:rFonts w:cs="Times New Roman"/>
                <w:color w:val="auto"/>
              </w:rPr>
              <w:t>4b Geçiş</w:t>
            </w:r>
          </w:p>
        </w:tc>
        <w:tc>
          <w:tcPr>
            <w:tcW w:w="2585" w:type="dxa"/>
            <w:tcBorders>
              <w:top w:val="single" w:sz="2" w:space="0" w:color="auto"/>
              <w:left w:val="single" w:sz="2" w:space="0" w:color="auto"/>
              <w:bottom w:val="single" w:sz="2" w:space="0" w:color="auto"/>
              <w:right w:val="single" w:sz="2" w:space="0" w:color="auto"/>
            </w:tcBorders>
          </w:tcPr>
          <w:p w14:paraId="149B2816" w14:textId="77777777" w:rsidR="0047668F" w:rsidRPr="00DE12A3" w:rsidRDefault="0047668F" w:rsidP="00C917D6">
            <w:pPr>
              <w:pStyle w:val="NormalLeft"/>
            </w:pPr>
            <w:r w:rsidRPr="00DE12A3">
              <w:t>20</w:t>
            </w:r>
          </w:p>
        </w:tc>
        <w:tc>
          <w:tcPr>
            <w:tcW w:w="2050" w:type="dxa"/>
            <w:tcBorders>
              <w:top w:val="single" w:sz="2" w:space="0" w:color="auto"/>
              <w:left w:val="single" w:sz="2" w:space="0" w:color="auto"/>
              <w:bottom w:val="single" w:sz="2" w:space="0" w:color="auto"/>
              <w:right w:val="single" w:sz="2" w:space="0" w:color="auto"/>
            </w:tcBorders>
          </w:tcPr>
          <w:p w14:paraId="1F5D9110" w14:textId="77777777" w:rsidR="0047668F" w:rsidRPr="00DE12A3" w:rsidRDefault="0047668F" w:rsidP="00C917D6">
            <w:pPr>
              <w:pStyle w:val="NormalLeft"/>
            </w:pPr>
            <w:r w:rsidRPr="00DE12A3">
              <w:t>Orta</w:t>
            </w:r>
          </w:p>
        </w:tc>
        <w:tc>
          <w:tcPr>
            <w:tcW w:w="1962" w:type="dxa"/>
            <w:tcBorders>
              <w:top w:val="single" w:sz="2" w:space="0" w:color="auto"/>
              <w:left w:val="single" w:sz="2" w:space="0" w:color="auto"/>
              <w:bottom w:val="single" w:sz="2" w:space="0" w:color="auto"/>
              <w:right w:val="single" w:sz="2" w:space="0" w:color="auto"/>
            </w:tcBorders>
          </w:tcPr>
          <w:p w14:paraId="6392C7B6" w14:textId="77777777" w:rsidR="0047668F" w:rsidRPr="00DE12A3" w:rsidRDefault="0047668F" w:rsidP="00C917D6">
            <w:pPr>
              <w:pStyle w:val="NormalLeft"/>
            </w:pPr>
            <w:r w:rsidRPr="00DE12A3">
              <w:t>Doğrusal geçiş</w:t>
            </w:r>
          </w:p>
        </w:tc>
      </w:tr>
      <w:tr w:rsidR="00DE12A3" w:rsidRPr="00DE12A3" w14:paraId="3387324C" w14:textId="77777777" w:rsidTr="009F4766">
        <w:tc>
          <w:tcPr>
            <w:tcW w:w="2318" w:type="dxa"/>
            <w:tcBorders>
              <w:top w:val="single" w:sz="2" w:space="0" w:color="auto"/>
              <w:left w:val="single" w:sz="2" w:space="0" w:color="auto"/>
              <w:bottom w:val="single" w:sz="2" w:space="0" w:color="auto"/>
              <w:right w:val="single" w:sz="2" w:space="0" w:color="auto"/>
            </w:tcBorders>
          </w:tcPr>
          <w:p w14:paraId="72E6BAE5" w14:textId="77777777" w:rsidR="0047668F" w:rsidRPr="00DE12A3" w:rsidRDefault="0047668F" w:rsidP="00C917D6">
            <w:pPr>
              <w:spacing w:before="120" w:after="120"/>
              <w:rPr>
                <w:rFonts w:cs="Times New Roman"/>
                <w:color w:val="auto"/>
              </w:rPr>
            </w:pPr>
            <w:r w:rsidRPr="00DE12A3">
              <w:rPr>
                <w:rFonts w:cs="Times New Roman"/>
                <w:color w:val="auto"/>
              </w:rPr>
              <w:t>5a Kararlı durum</w:t>
            </w:r>
          </w:p>
        </w:tc>
        <w:tc>
          <w:tcPr>
            <w:tcW w:w="2585" w:type="dxa"/>
            <w:tcBorders>
              <w:top w:val="single" w:sz="2" w:space="0" w:color="auto"/>
              <w:left w:val="single" w:sz="2" w:space="0" w:color="auto"/>
              <w:bottom w:val="single" w:sz="2" w:space="0" w:color="auto"/>
              <w:right w:val="single" w:sz="2" w:space="0" w:color="auto"/>
            </w:tcBorders>
          </w:tcPr>
          <w:p w14:paraId="189CDEE7" w14:textId="77777777" w:rsidR="0047668F" w:rsidRPr="00DE12A3" w:rsidRDefault="0047668F" w:rsidP="00C917D6">
            <w:pPr>
              <w:pStyle w:val="NormalLeft"/>
            </w:pPr>
            <w:r w:rsidRPr="00DE12A3">
              <w:t>513</w:t>
            </w:r>
          </w:p>
        </w:tc>
        <w:tc>
          <w:tcPr>
            <w:tcW w:w="2050" w:type="dxa"/>
            <w:tcBorders>
              <w:top w:val="single" w:sz="2" w:space="0" w:color="auto"/>
              <w:left w:val="single" w:sz="2" w:space="0" w:color="auto"/>
              <w:bottom w:val="single" w:sz="2" w:space="0" w:color="auto"/>
              <w:right w:val="single" w:sz="2" w:space="0" w:color="auto"/>
            </w:tcBorders>
          </w:tcPr>
          <w:p w14:paraId="551FF332" w14:textId="77777777" w:rsidR="0047668F" w:rsidRPr="00DE12A3" w:rsidRDefault="0047668F" w:rsidP="00C917D6">
            <w:pPr>
              <w:pStyle w:val="NormalLeft"/>
            </w:pPr>
            <w:r w:rsidRPr="00DE12A3">
              <w:t>Orta</w:t>
            </w:r>
          </w:p>
        </w:tc>
        <w:tc>
          <w:tcPr>
            <w:tcW w:w="1962" w:type="dxa"/>
            <w:tcBorders>
              <w:top w:val="single" w:sz="2" w:space="0" w:color="auto"/>
              <w:left w:val="single" w:sz="2" w:space="0" w:color="auto"/>
              <w:bottom w:val="single" w:sz="2" w:space="0" w:color="auto"/>
              <w:right w:val="single" w:sz="2" w:space="0" w:color="auto"/>
            </w:tcBorders>
          </w:tcPr>
          <w:p w14:paraId="45C1B69B" w14:textId="77777777" w:rsidR="0047668F" w:rsidRPr="00DE12A3" w:rsidRDefault="0047668F" w:rsidP="00C917D6">
            <w:pPr>
              <w:pStyle w:val="NormalLeft"/>
            </w:pPr>
            <w:r w:rsidRPr="00DE12A3">
              <w:t>25</w:t>
            </w:r>
          </w:p>
        </w:tc>
      </w:tr>
      <w:tr w:rsidR="00DE12A3" w:rsidRPr="00DE12A3" w14:paraId="26F9D000" w14:textId="77777777" w:rsidTr="009F4766">
        <w:tc>
          <w:tcPr>
            <w:tcW w:w="2318" w:type="dxa"/>
            <w:tcBorders>
              <w:top w:val="single" w:sz="2" w:space="0" w:color="auto"/>
              <w:left w:val="single" w:sz="2" w:space="0" w:color="auto"/>
              <w:bottom w:val="single" w:sz="2" w:space="0" w:color="auto"/>
              <w:right w:val="single" w:sz="2" w:space="0" w:color="auto"/>
            </w:tcBorders>
          </w:tcPr>
          <w:p w14:paraId="64A16D37" w14:textId="77777777" w:rsidR="0047668F" w:rsidRPr="00DE12A3" w:rsidRDefault="0047668F" w:rsidP="00C917D6">
            <w:pPr>
              <w:spacing w:before="120" w:after="120"/>
              <w:rPr>
                <w:rFonts w:cs="Times New Roman"/>
                <w:color w:val="auto"/>
              </w:rPr>
            </w:pPr>
            <w:r w:rsidRPr="00DE12A3">
              <w:rPr>
                <w:rFonts w:cs="Times New Roman"/>
                <w:color w:val="auto"/>
              </w:rPr>
              <w:t>5b Geçiş</w:t>
            </w:r>
          </w:p>
        </w:tc>
        <w:tc>
          <w:tcPr>
            <w:tcW w:w="2585" w:type="dxa"/>
            <w:tcBorders>
              <w:top w:val="single" w:sz="2" w:space="0" w:color="auto"/>
              <w:left w:val="single" w:sz="2" w:space="0" w:color="auto"/>
              <w:bottom w:val="single" w:sz="2" w:space="0" w:color="auto"/>
              <w:right w:val="single" w:sz="2" w:space="0" w:color="auto"/>
            </w:tcBorders>
          </w:tcPr>
          <w:p w14:paraId="1FE7CE7E" w14:textId="77777777" w:rsidR="0047668F" w:rsidRPr="00DE12A3" w:rsidRDefault="0047668F" w:rsidP="00C917D6">
            <w:pPr>
              <w:pStyle w:val="NormalLeft"/>
            </w:pPr>
            <w:r w:rsidRPr="00DE12A3">
              <w:t>20</w:t>
            </w:r>
          </w:p>
        </w:tc>
        <w:tc>
          <w:tcPr>
            <w:tcW w:w="2050" w:type="dxa"/>
            <w:tcBorders>
              <w:top w:val="single" w:sz="2" w:space="0" w:color="auto"/>
              <w:left w:val="single" w:sz="2" w:space="0" w:color="auto"/>
              <w:bottom w:val="single" w:sz="2" w:space="0" w:color="auto"/>
              <w:right w:val="single" w:sz="2" w:space="0" w:color="auto"/>
            </w:tcBorders>
          </w:tcPr>
          <w:p w14:paraId="1AE986C0" w14:textId="77777777" w:rsidR="0047668F" w:rsidRPr="00DE12A3" w:rsidRDefault="0047668F" w:rsidP="00C917D6">
            <w:pPr>
              <w:pStyle w:val="NormalLeft"/>
            </w:pPr>
            <w:r w:rsidRPr="00DE12A3">
              <w:t>Orta</w:t>
            </w:r>
          </w:p>
        </w:tc>
        <w:tc>
          <w:tcPr>
            <w:tcW w:w="1962" w:type="dxa"/>
            <w:tcBorders>
              <w:top w:val="single" w:sz="2" w:space="0" w:color="auto"/>
              <w:left w:val="single" w:sz="2" w:space="0" w:color="auto"/>
              <w:bottom w:val="single" w:sz="2" w:space="0" w:color="auto"/>
              <w:right w:val="single" w:sz="2" w:space="0" w:color="auto"/>
            </w:tcBorders>
          </w:tcPr>
          <w:p w14:paraId="0BE33876" w14:textId="77777777" w:rsidR="0047668F" w:rsidRPr="00DE12A3" w:rsidRDefault="0047668F" w:rsidP="00C917D6">
            <w:pPr>
              <w:pStyle w:val="NormalLeft"/>
            </w:pPr>
            <w:r w:rsidRPr="00DE12A3">
              <w:t>Doğrusal geçiş</w:t>
            </w:r>
          </w:p>
        </w:tc>
      </w:tr>
      <w:tr w:rsidR="00DE12A3" w:rsidRPr="00DE12A3" w14:paraId="12A7A070" w14:textId="77777777" w:rsidTr="009F4766">
        <w:tc>
          <w:tcPr>
            <w:tcW w:w="2318" w:type="dxa"/>
            <w:tcBorders>
              <w:top w:val="single" w:sz="2" w:space="0" w:color="auto"/>
              <w:left w:val="single" w:sz="2" w:space="0" w:color="auto"/>
              <w:bottom w:val="single" w:sz="2" w:space="0" w:color="auto"/>
              <w:right w:val="single" w:sz="2" w:space="0" w:color="auto"/>
            </w:tcBorders>
          </w:tcPr>
          <w:p w14:paraId="58AD4E44" w14:textId="77777777" w:rsidR="0047668F" w:rsidRPr="00DE12A3" w:rsidRDefault="0047668F" w:rsidP="00C917D6">
            <w:pPr>
              <w:spacing w:before="120" w:after="120"/>
              <w:rPr>
                <w:rFonts w:cs="Times New Roman"/>
                <w:color w:val="auto"/>
              </w:rPr>
            </w:pPr>
            <w:r w:rsidRPr="00DE12A3">
              <w:rPr>
                <w:rFonts w:cs="Times New Roman"/>
                <w:color w:val="auto"/>
              </w:rPr>
              <w:t>6a Kararlı durum</w:t>
            </w:r>
          </w:p>
        </w:tc>
        <w:tc>
          <w:tcPr>
            <w:tcW w:w="2585" w:type="dxa"/>
            <w:tcBorders>
              <w:top w:val="single" w:sz="2" w:space="0" w:color="auto"/>
              <w:left w:val="single" w:sz="2" w:space="0" w:color="auto"/>
              <w:bottom w:val="single" w:sz="2" w:space="0" w:color="auto"/>
              <w:right w:val="single" w:sz="2" w:space="0" w:color="auto"/>
            </w:tcBorders>
          </w:tcPr>
          <w:p w14:paraId="0BA05E5F" w14:textId="77777777" w:rsidR="0047668F" w:rsidRPr="00DE12A3" w:rsidRDefault="0047668F" w:rsidP="00C917D6">
            <w:pPr>
              <w:pStyle w:val="NormalLeft"/>
            </w:pPr>
            <w:r w:rsidRPr="00DE12A3">
              <w:t>549</w:t>
            </w:r>
          </w:p>
        </w:tc>
        <w:tc>
          <w:tcPr>
            <w:tcW w:w="2050" w:type="dxa"/>
            <w:tcBorders>
              <w:top w:val="single" w:sz="2" w:space="0" w:color="auto"/>
              <w:left w:val="single" w:sz="2" w:space="0" w:color="auto"/>
              <w:bottom w:val="single" w:sz="2" w:space="0" w:color="auto"/>
              <w:right w:val="single" w:sz="2" w:space="0" w:color="auto"/>
            </w:tcBorders>
          </w:tcPr>
          <w:p w14:paraId="225129EC" w14:textId="77777777" w:rsidR="0047668F" w:rsidRPr="00DE12A3" w:rsidRDefault="0047668F" w:rsidP="00C917D6">
            <w:pPr>
              <w:pStyle w:val="NormalLeft"/>
            </w:pPr>
            <w:r w:rsidRPr="00DE12A3">
              <w:t>Orta</w:t>
            </w:r>
          </w:p>
        </w:tc>
        <w:tc>
          <w:tcPr>
            <w:tcW w:w="1962" w:type="dxa"/>
            <w:tcBorders>
              <w:top w:val="single" w:sz="2" w:space="0" w:color="auto"/>
              <w:left w:val="single" w:sz="2" w:space="0" w:color="auto"/>
              <w:bottom w:val="single" w:sz="2" w:space="0" w:color="auto"/>
              <w:right w:val="single" w:sz="2" w:space="0" w:color="auto"/>
            </w:tcBorders>
          </w:tcPr>
          <w:p w14:paraId="1EC1FA2F" w14:textId="77777777" w:rsidR="0047668F" w:rsidRPr="00DE12A3" w:rsidRDefault="0047668F" w:rsidP="00C917D6">
            <w:pPr>
              <w:pStyle w:val="NormalLeft"/>
            </w:pPr>
            <w:r w:rsidRPr="00DE12A3">
              <w:t>50</w:t>
            </w:r>
          </w:p>
        </w:tc>
      </w:tr>
      <w:tr w:rsidR="00DE12A3" w:rsidRPr="00DE12A3" w14:paraId="3229BBB5" w14:textId="77777777" w:rsidTr="009F4766">
        <w:tc>
          <w:tcPr>
            <w:tcW w:w="2318" w:type="dxa"/>
            <w:tcBorders>
              <w:top w:val="single" w:sz="2" w:space="0" w:color="auto"/>
              <w:left w:val="single" w:sz="2" w:space="0" w:color="auto"/>
              <w:bottom w:val="single" w:sz="2" w:space="0" w:color="auto"/>
              <w:right w:val="single" w:sz="2" w:space="0" w:color="auto"/>
            </w:tcBorders>
          </w:tcPr>
          <w:p w14:paraId="43C2A77A" w14:textId="77777777" w:rsidR="0047668F" w:rsidRPr="00DE12A3" w:rsidRDefault="0047668F" w:rsidP="00C917D6">
            <w:pPr>
              <w:spacing w:before="120" w:after="120"/>
              <w:rPr>
                <w:rFonts w:cs="Times New Roman"/>
                <w:color w:val="auto"/>
              </w:rPr>
            </w:pPr>
            <w:r w:rsidRPr="00DE12A3">
              <w:rPr>
                <w:rFonts w:cs="Times New Roman"/>
                <w:color w:val="auto"/>
              </w:rPr>
              <w:t>6b Geçiş</w:t>
            </w:r>
          </w:p>
        </w:tc>
        <w:tc>
          <w:tcPr>
            <w:tcW w:w="2585" w:type="dxa"/>
            <w:tcBorders>
              <w:top w:val="single" w:sz="2" w:space="0" w:color="auto"/>
              <w:left w:val="single" w:sz="2" w:space="0" w:color="auto"/>
              <w:bottom w:val="single" w:sz="2" w:space="0" w:color="auto"/>
              <w:right w:val="single" w:sz="2" w:space="0" w:color="auto"/>
            </w:tcBorders>
          </w:tcPr>
          <w:p w14:paraId="1D9FD567" w14:textId="77777777" w:rsidR="0047668F" w:rsidRPr="00DE12A3" w:rsidRDefault="0047668F" w:rsidP="00C917D6">
            <w:pPr>
              <w:pStyle w:val="NormalLeft"/>
            </w:pPr>
            <w:r w:rsidRPr="00DE12A3">
              <w:t>20</w:t>
            </w:r>
          </w:p>
        </w:tc>
        <w:tc>
          <w:tcPr>
            <w:tcW w:w="2050" w:type="dxa"/>
            <w:tcBorders>
              <w:top w:val="single" w:sz="2" w:space="0" w:color="auto"/>
              <w:left w:val="single" w:sz="2" w:space="0" w:color="auto"/>
              <w:bottom w:val="single" w:sz="2" w:space="0" w:color="auto"/>
              <w:right w:val="single" w:sz="2" w:space="0" w:color="auto"/>
            </w:tcBorders>
          </w:tcPr>
          <w:p w14:paraId="17CAA158" w14:textId="77777777" w:rsidR="0047668F" w:rsidRPr="00DE12A3" w:rsidRDefault="0047668F" w:rsidP="00C917D6">
            <w:pPr>
              <w:pStyle w:val="NormalLeft"/>
            </w:pPr>
            <w:r w:rsidRPr="00DE12A3">
              <w:t>Doğrusal geçiş</w:t>
            </w:r>
          </w:p>
        </w:tc>
        <w:tc>
          <w:tcPr>
            <w:tcW w:w="1962" w:type="dxa"/>
            <w:tcBorders>
              <w:top w:val="single" w:sz="2" w:space="0" w:color="auto"/>
              <w:left w:val="single" w:sz="2" w:space="0" w:color="auto"/>
              <w:bottom w:val="single" w:sz="2" w:space="0" w:color="auto"/>
              <w:right w:val="single" w:sz="2" w:space="0" w:color="auto"/>
            </w:tcBorders>
          </w:tcPr>
          <w:p w14:paraId="539C670A" w14:textId="77777777" w:rsidR="0047668F" w:rsidRPr="00DE12A3" w:rsidRDefault="0047668F" w:rsidP="00C917D6">
            <w:pPr>
              <w:pStyle w:val="NormalLeft"/>
            </w:pPr>
            <w:r w:rsidRPr="00DE12A3">
              <w:t>Doğrusal geçiş</w:t>
            </w:r>
          </w:p>
        </w:tc>
      </w:tr>
      <w:tr w:rsidR="00DE12A3" w:rsidRPr="00DE12A3" w14:paraId="26D120F9" w14:textId="77777777" w:rsidTr="009F4766">
        <w:tc>
          <w:tcPr>
            <w:tcW w:w="2318" w:type="dxa"/>
            <w:tcBorders>
              <w:top w:val="single" w:sz="2" w:space="0" w:color="auto"/>
              <w:left w:val="single" w:sz="2" w:space="0" w:color="auto"/>
              <w:bottom w:val="single" w:sz="2" w:space="0" w:color="auto"/>
              <w:right w:val="single" w:sz="2" w:space="0" w:color="auto"/>
            </w:tcBorders>
          </w:tcPr>
          <w:p w14:paraId="0612D6C4" w14:textId="77777777" w:rsidR="0047668F" w:rsidRPr="00DE12A3" w:rsidRDefault="0047668F" w:rsidP="00C917D6">
            <w:pPr>
              <w:spacing w:before="120" w:after="120"/>
              <w:rPr>
                <w:rFonts w:cs="Times New Roman"/>
                <w:color w:val="auto"/>
              </w:rPr>
            </w:pPr>
            <w:r w:rsidRPr="00DE12A3">
              <w:rPr>
                <w:rFonts w:cs="Times New Roman"/>
                <w:color w:val="auto"/>
              </w:rPr>
              <w:t>7a Kararlı durum</w:t>
            </w:r>
          </w:p>
        </w:tc>
        <w:tc>
          <w:tcPr>
            <w:tcW w:w="2585" w:type="dxa"/>
            <w:tcBorders>
              <w:top w:val="single" w:sz="2" w:space="0" w:color="auto"/>
              <w:left w:val="single" w:sz="2" w:space="0" w:color="auto"/>
              <w:bottom w:val="single" w:sz="2" w:space="0" w:color="auto"/>
              <w:right w:val="single" w:sz="2" w:space="0" w:color="auto"/>
            </w:tcBorders>
          </w:tcPr>
          <w:p w14:paraId="1BC5BFAC" w14:textId="77777777" w:rsidR="0047668F" w:rsidRPr="00DE12A3" w:rsidRDefault="0047668F" w:rsidP="00C917D6">
            <w:pPr>
              <w:pStyle w:val="NormalLeft"/>
            </w:pPr>
            <w:r w:rsidRPr="00DE12A3">
              <w:t>96</w:t>
            </w:r>
          </w:p>
        </w:tc>
        <w:tc>
          <w:tcPr>
            <w:tcW w:w="2050" w:type="dxa"/>
            <w:tcBorders>
              <w:top w:val="single" w:sz="2" w:space="0" w:color="auto"/>
              <w:left w:val="single" w:sz="2" w:space="0" w:color="auto"/>
              <w:bottom w:val="single" w:sz="2" w:space="0" w:color="auto"/>
              <w:right w:val="single" w:sz="2" w:space="0" w:color="auto"/>
            </w:tcBorders>
          </w:tcPr>
          <w:p w14:paraId="0C56F23E" w14:textId="77777777" w:rsidR="0047668F" w:rsidRPr="00DE12A3" w:rsidRDefault="0047668F" w:rsidP="00C917D6">
            <w:pPr>
              <w:pStyle w:val="NormalLeft"/>
            </w:pPr>
            <w:r w:rsidRPr="00DE12A3">
              <w:t>100 %</w:t>
            </w:r>
          </w:p>
        </w:tc>
        <w:tc>
          <w:tcPr>
            <w:tcW w:w="1962" w:type="dxa"/>
            <w:tcBorders>
              <w:top w:val="single" w:sz="2" w:space="0" w:color="auto"/>
              <w:left w:val="single" w:sz="2" w:space="0" w:color="auto"/>
              <w:bottom w:val="single" w:sz="2" w:space="0" w:color="auto"/>
              <w:right w:val="single" w:sz="2" w:space="0" w:color="auto"/>
            </w:tcBorders>
          </w:tcPr>
          <w:p w14:paraId="7E97F64F" w14:textId="77777777" w:rsidR="0047668F" w:rsidRPr="00DE12A3" w:rsidRDefault="0047668F" w:rsidP="00C917D6">
            <w:pPr>
              <w:pStyle w:val="NormalLeft"/>
            </w:pPr>
            <w:r w:rsidRPr="00DE12A3">
              <w:t>25</w:t>
            </w:r>
          </w:p>
        </w:tc>
      </w:tr>
      <w:tr w:rsidR="00DE12A3" w:rsidRPr="00DE12A3" w14:paraId="5844E544" w14:textId="77777777" w:rsidTr="009F4766">
        <w:tc>
          <w:tcPr>
            <w:tcW w:w="2318" w:type="dxa"/>
            <w:tcBorders>
              <w:top w:val="single" w:sz="2" w:space="0" w:color="auto"/>
              <w:left w:val="single" w:sz="2" w:space="0" w:color="auto"/>
              <w:bottom w:val="single" w:sz="2" w:space="0" w:color="auto"/>
              <w:right w:val="single" w:sz="2" w:space="0" w:color="auto"/>
            </w:tcBorders>
          </w:tcPr>
          <w:p w14:paraId="3FEAB611" w14:textId="77777777" w:rsidR="0047668F" w:rsidRPr="00DE12A3" w:rsidRDefault="0047668F" w:rsidP="00C917D6">
            <w:pPr>
              <w:spacing w:before="120" w:after="120"/>
              <w:rPr>
                <w:rFonts w:cs="Times New Roman"/>
                <w:color w:val="auto"/>
              </w:rPr>
            </w:pPr>
            <w:r w:rsidRPr="00DE12A3">
              <w:rPr>
                <w:rFonts w:cs="Times New Roman"/>
                <w:color w:val="auto"/>
              </w:rPr>
              <w:t>7b Geçiş</w:t>
            </w:r>
          </w:p>
        </w:tc>
        <w:tc>
          <w:tcPr>
            <w:tcW w:w="2585" w:type="dxa"/>
            <w:tcBorders>
              <w:top w:val="single" w:sz="2" w:space="0" w:color="auto"/>
              <w:left w:val="single" w:sz="2" w:space="0" w:color="auto"/>
              <w:bottom w:val="single" w:sz="2" w:space="0" w:color="auto"/>
              <w:right w:val="single" w:sz="2" w:space="0" w:color="auto"/>
            </w:tcBorders>
          </w:tcPr>
          <w:p w14:paraId="2A577A33" w14:textId="77777777" w:rsidR="0047668F" w:rsidRPr="00DE12A3" w:rsidRDefault="0047668F" w:rsidP="00C917D6">
            <w:pPr>
              <w:pStyle w:val="NormalLeft"/>
            </w:pPr>
            <w:r w:rsidRPr="00DE12A3">
              <w:t>20</w:t>
            </w:r>
          </w:p>
        </w:tc>
        <w:tc>
          <w:tcPr>
            <w:tcW w:w="2050" w:type="dxa"/>
            <w:tcBorders>
              <w:top w:val="single" w:sz="2" w:space="0" w:color="auto"/>
              <w:left w:val="single" w:sz="2" w:space="0" w:color="auto"/>
              <w:bottom w:val="single" w:sz="2" w:space="0" w:color="auto"/>
              <w:right w:val="single" w:sz="2" w:space="0" w:color="auto"/>
            </w:tcBorders>
          </w:tcPr>
          <w:p w14:paraId="78F7D010" w14:textId="77777777" w:rsidR="0047668F" w:rsidRPr="00DE12A3" w:rsidRDefault="0047668F" w:rsidP="00C917D6">
            <w:pPr>
              <w:spacing w:before="120" w:after="120"/>
              <w:rPr>
                <w:rFonts w:cs="Times New Roman"/>
                <w:color w:val="auto"/>
              </w:rPr>
            </w:pPr>
            <w:r w:rsidRPr="00DE12A3">
              <w:rPr>
                <w:rFonts w:cs="Times New Roman"/>
                <w:color w:val="auto"/>
              </w:rPr>
              <w:t>Doğrusal geçiş</w:t>
            </w:r>
          </w:p>
        </w:tc>
        <w:tc>
          <w:tcPr>
            <w:tcW w:w="1962" w:type="dxa"/>
            <w:tcBorders>
              <w:top w:val="single" w:sz="2" w:space="0" w:color="auto"/>
              <w:left w:val="single" w:sz="2" w:space="0" w:color="auto"/>
              <w:bottom w:val="single" w:sz="2" w:space="0" w:color="auto"/>
              <w:right w:val="single" w:sz="2" w:space="0" w:color="auto"/>
            </w:tcBorders>
          </w:tcPr>
          <w:p w14:paraId="55F5F856" w14:textId="77777777" w:rsidR="0047668F" w:rsidRPr="00DE12A3" w:rsidRDefault="0047668F" w:rsidP="00C917D6">
            <w:pPr>
              <w:spacing w:before="120" w:after="120"/>
              <w:rPr>
                <w:rFonts w:cs="Times New Roman"/>
                <w:color w:val="auto"/>
              </w:rPr>
            </w:pPr>
            <w:r w:rsidRPr="00DE12A3">
              <w:rPr>
                <w:rFonts w:cs="Times New Roman"/>
                <w:color w:val="auto"/>
              </w:rPr>
              <w:t>Doğrusal geçiş</w:t>
            </w:r>
          </w:p>
        </w:tc>
      </w:tr>
      <w:tr w:rsidR="00DE12A3" w:rsidRPr="00DE12A3" w14:paraId="611F193C" w14:textId="77777777" w:rsidTr="009F4766">
        <w:tc>
          <w:tcPr>
            <w:tcW w:w="2318" w:type="dxa"/>
            <w:tcBorders>
              <w:top w:val="single" w:sz="2" w:space="0" w:color="auto"/>
              <w:left w:val="single" w:sz="2" w:space="0" w:color="auto"/>
              <w:bottom w:val="single" w:sz="2" w:space="0" w:color="auto"/>
              <w:right w:val="single" w:sz="2" w:space="0" w:color="auto"/>
            </w:tcBorders>
          </w:tcPr>
          <w:p w14:paraId="661C3C5D" w14:textId="77777777" w:rsidR="0047668F" w:rsidRPr="00DE12A3" w:rsidRDefault="0047668F" w:rsidP="00C917D6">
            <w:pPr>
              <w:spacing w:before="120" w:after="120"/>
              <w:rPr>
                <w:rFonts w:cs="Times New Roman"/>
                <w:color w:val="auto"/>
              </w:rPr>
            </w:pPr>
            <w:r w:rsidRPr="00DE12A3">
              <w:rPr>
                <w:rFonts w:cs="Times New Roman"/>
                <w:color w:val="auto"/>
              </w:rPr>
              <w:t>8 Kararlı durum</w:t>
            </w:r>
          </w:p>
        </w:tc>
        <w:tc>
          <w:tcPr>
            <w:tcW w:w="2585" w:type="dxa"/>
            <w:tcBorders>
              <w:top w:val="single" w:sz="2" w:space="0" w:color="auto"/>
              <w:left w:val="single" w:sz="2" w:space="0" w:color="auto"/>
              <w:bottom w:val="single" w:sz="2" w:space="0" w:color="auto"/>
              <w:right w:val="single" w:sz="2" w:space="0" w:color="auto"/>
            </w:tcBorders>
          </w:tcPr>
          <w:p w14:paraId="6444B3BE" w14:textId="77777777" w:rsidR="0047668F" w:rsidRPr="00DE12A3" w:rsidRDefault="0047668F" w:rsidP="00C917D6">
            <w:pPr>
              <w:pStyle w:val="NormalLeft"/>
            </w:pPr>
            <w:r w:rsidRPr="00DE12A3">
              <w:t>124</w:t>
            </w:r>
          </w:p>
        </w:tc>
        <w:tc>
          <w:tcPr>
            <w:tcW w:w="2050" w:type="dxa"/>
            <w:tcBorders>
              <w:top w:val="single" w:sz="2" w:space="0" w:color="auto"/>
              <w:left w:val="single" w:sz="2" w:space="0" w:color="auto"/>
              <w:bottom w:val="single" w:sz="2" w:space="0" w:color="auto"/>
              <w:right w:val="single" w:sz="2" w:space="0" w:color="auto"/>
            </w:tcBorders>
          </w:tcPr>
          <w:p w14:paraId="3AB078CF" w14:textId="77777777" w:rsidR="0047668F" w:rsidRPr="00DE12A3" w:rsidRDefault="0047668F" w:rsidP="00C917D6">
            <w:pPr>
              <w:pStyle w:val="NormalLeft"/>
            </w:pPr>
            <w:r w:rsidRPr="00DE12A3">
              <w:t>Rölanti</w:t>
            </w:r>
          </w:p>
        </w:tc>
        <w:tc>
          <w:tcPr>
            <w:tcW w:w="1962" w:type="dxa"/>
            <w:tcBorders>
              <w:top w:val="single" w:sz="2" w:space="0" w:color="auto"/>
              <w:left w:val="single" w:sz="2" w:space="0" w:color="auto"/>
              <w:bottom w:val="single" w:sz="2" w:space="0" w:color="auto"/>
              <w:right w:val="single" w:sz="2" w:space="0" w:color="auto"/>
            </w:tcBorders>
          </w:tcPr>
          <w:p w14:paraId="1F176F8C" w14:textId="77777777" w:rsidR="0047668F" w:rsidRPr="00DE12A3" w:rsidRDefault="0047668F" w:rsidP="00C917D6">
            <w:pPr>
              <w:pStyle w:val="NormalLeft"/>
            </w:pPr>
            <w:r w:rsidRPr="00DE12A3">
              <w:t>0</w:t>
            </w:r>
          </w:p>
        </w:tc>
      </w:tr>
    </w:tbl>
    <w:p w14:paraId="011808AA" w14:textId="34A252BD" w:rsidR="000D0CF9" w:rsidRPr="00DE12A3" w:rsidRDefault="000D0CF9" w:rsidP="00C917D6">
      <w:pPr>
        <w:pStyle w:val="Gvdemetni21"/>
        <w:shd w:val="clear" w:color="auto" w:fill="auto"/>
        <w:spacing w:after="120" w:line="240" w:lineRule="auto"/>
        <w:ind w:left="284" w:hanging="284"/>
        <w:jc w:val="both"/>
      </w:pPr>
      <w:r w:rsidRPr="00DE12A3">
        <w:rPr>
          <w:rStyle w:val="Gvdemetni95pt0ptbolukbraklyor"/>
          <w:color w:val="auto"/>
        </w:rPr>
        <w:t>(</w:t>
      </w:r>
      <w:r w:rsidRPr="00DE12A3">
        <w:rPr>
          <w:rStyle w:val="Gvdemetni95pt0ptbolukbraklyor"/>
          <w:color w:val="auto"/>
          <w:vertAlign w:val="superscript"/>
        </w:rPr>
        <w:t>a</w:t>
      </w:r>
      <w:r w:rsidRPr="00DE12A3">
        <w:rPr>
          <w:rStyle w:val="Gvdemetni95pt0ptbolukbraklyor"/>
          <w:color w:val="auto"/>
        </w:rPr>
        <w:t>)</w:t>
      </w:r>
      <w:r w:rsidRPr="00DE12A3">
        <w:rPr>
          <w:rStyle w:val="Gvdemetni95pt0ptbolukbraklyor"/>
          <w:color w:val="auto"/>
        </w:rPr>
        <w:tab/>
      </w:r>
      <w:r w:rsidRPr="00DE12A3">
        <w:t xml:space="preserve">Gereken test devirlerinin belirlenmesi için </w:t>
      </w:r>
      <w:r w:rsidR="00FA0678" w:rsidRPr="00DE12A3">
        <w:t>VI’ncı ek</w:t>
      </w:r>
      <w:r w:rsidRPr="00DE12A3">
        <w:t xml:space="preserve">in 5.2.5, 7.6 ve 7.7 </w:t>
      </w:r>
      <w:r w:rsidR="00E1361C" w:rsidRPr="00DE12A3">
        <w:t xml:space="preserve">bentlerine </w:t>
      </w:r>
      <w:r w:rsidRPr="00DE12A3">
        <w:t>bakınız.</w:t>
      </w:r>
    </w:p>
    <w:p w14:paraId="12110A86" w14:textId="77777777" w:rsidR="000D0CF9" w:rsidRPr="00DE12A3" w:rsidRDefault="000D0CF9" w:rsidP="00C917D6">
      <w:pPr>
        <w:pStyle w:val="Gvdemetni21"/>
        <w:shd w:val="clear" w:color="auto" w:fill="auto"/>
        <w:spacing w:after="120" w:line="240" w:lineRule="auto"/>
        <w:ind w:left="284" w:hanging="284"/>
        <w:jc w:val="both"/>
      </w:pPr>
      <w:r w:rsidRPr="00DE12A3">
        <w:rPr>
          <w:rStyle w:val="Gvdemetni95pt0ptbolukbraklyor"/>
          <w:color w:val="auto"/>
        </w:rPr>
        <w:t>(</w:t>
      </w:r>
      <w:r w:rsidRPr="00DE12A3">
        <w:rPr>
          <w:rStyle w:val="Gvdemetni95pt0ptbolukbraklyor"/>
          <w:color w:val="auto"/>
          <w:vertAlign w:val="superscript"/>
        </w:rPr>
        <w:t>b</w:t>
      </w:r>
      <w:r w:rsidRPr="00DE12A3">
        <w:rPr>
          <w:rStyle w:val="Gvdemetni95pt0ptbolukbraklyor"/>
          <w:color w:val="auto"/>
        </w:rPr>
        <w:t>)</w:t>
      </w:r>
      <w:r w:rsidRPr="00DE12A3">
        <w:rPr>
          <w:rStyle w:val="Gvdemetni95pt0ptbolukbraklyor"/>
          <w:color w:val="auto"/>
        </w:rPr>
        <w:tab/>
      </w:r>
      <w:r w:rsidRPr="00DE12A3">
        <w:t>% tork, komut verilen motor devrindeki azami torka bağlıdır.</w:t>
      </w:r>
    </w:p>
    <w:p w14:paraId="32CD62F7" w14:textId="77777777" w:rsidR="000D0CF9" w:rsidRPr="00DE12A3" w:rsidRDefault="000D0CF9" w:rsidP="00C917D6">
      <w:pPr>
        <w:pStyle w:val="Gvdemetni21"/>
        <w:shd w:val="clear" w:color="auto" w:fill="auto"/>
        <w:spacing w:after="120" w:line="240" w:lineRule="auto"/>
        <w:ind w:left="284" w:right="20" w:hanging="284"/>
        <w:jc w:val="both"/>
      </w:pPr>
      <w:r w:rsidRPr="00DE12A3">
        <w:rPr>
          <w:rStyle w:val="Gvdemetni95pt0ptbolukbraklyor"/>
          <w:color w:val="auto"/>
        </w:rPr>
        <w:t>(</w:t>
      </w:r>
      <w:r w:rsidRPr="00DE12A3">
        <w:rPr>
          <w:rStyle w:val="Gvdemetni95pt0ptbolukbraklyor"/>
          <w:color w:val="auto"/>
          <w:vertAlign w:val="superscript"/>
        </w:rPr>
        <w:t>c</w:t>
      </w:r>
      <w:r w:rsidRPr="00DE12A3">
        <w:rPr>
          <w:rStyle w:val="Gvdemetni95pt0ptbolukbraklyor"/>
          <w:color w:val="auto"/>
        </w:rPr>
        <w:t>)</w:t>
      </w:r>
      <w:r w:rsidRPr="00DE12A3">
        <w:rPr>
          <w:rStyle w:val="Gvdemetni95pt0ptbolukbraklyor"/>
          <w:color w:val="auto"/>
        </w:rPr>
        <w:tab/>
      </w:r>
      <w:r w:rsidRPr="00DE12A3">
        <w:t>Bir moddan diğerine 20 saniyelik bir geçiş aşaması içinde ilerlenir. Geçiş aşamasında, mevcut modun tork ayarından bir sonraki modun tork ayarına doğrusal bir ilerleme komutu verilir ve devir ayarında bir değişiklik olursa, aynı anda motor devri için de benzer bir doğrusal ilerleme komutu verilir.</w:t>
      </w:r>
    </w:p>
    <w:p w14:paraId="0C5A6A20" w14:textId="5F1797C6" w:rsidR="00E730D6" w:rsidRPr="00DE12A3" w:rsidRDefault="00E730D6" w:rsidP="00C917D6">
      <w:pPr>
        <w:pStyle w:val="Gvdemetni21"/>
        <w:shd w:val="clear" w:color="auto" w:fill="auto"/>
        <w:spacing w:after="120" w:line="240" w:lineRule="auto"/>
        <w:ind w:left="284" w:right="20" w:hanging="284"/>
        <w:jc w:val="both"/>
      </w:pPr>
    </w:p>
    <w:p w14:paraId="27266FE8" w14:textId="089FDD1E" w:rsidR="00D20C73" w:rsidRPr="00DE12A3" w:rsidRDefault="00D20C73" w:rsidP="00C917D6">
      <w:pPr>
        <w:pStyle w:val="Gvdemetni21"/>
        <w:shd w:val="clear" w:color="auto" w:fill="auto"/>
        <w:spacing w:after="120" w:line="240" w:lineRule="auto"/>
        <w:ind w:left="284" w:right="20" w:hanging="284"/>
        <w:jc w:val="both"/>
      </w:pPr>
    </w:p>
    <w:p w14:paraId="77F28676" w14:textId="2E1D5068" w:rsidR="00D20C73" w:rsidRPr="00DE12A3" w:rsidRDefault="00D20C73" w:rsidP="00C917D6">
      <w:pPr>
        <w:pStyle w:val="Gvdemetni21"/>
        <w:shd w:val="clear" w:color="auto" w:fill="auto"/>
        <w:spacing w:after="120" w:line="240" w:lineRule="auto"/>
        <w:ind w:left="284" w:right="20" w:hanging="284"/>
        <w:jc w:val="both"/>
      </w:pPr>
    </w:p>
    <w:p w14:paraId="35A28338" w14:textId="77777777" w:rsidR="00D20C73" w:rsidRPr="00DE12A3" w:rsidRDefault="00D20C73" w:rsidP="00C917D6">
      <w:pPr>
        <w:pStyle w:val="Gvdemetni21"/>
        <w:shd w:val="clear" w:color="auto" w:fill="auto"/>
        <w:spacing w:after="120" w:line="240" w:lineRule="auto"/>
        <w:ind w:left="284" w:right="20" w:hanging="284"/>
        <w:jc w:val="both"/>
      </w:pPr>
    </w:p>
    <w:p w14:paraId="03A5F4EE" w14:textId="77777777" w:rsidR="00E730D6" w:rsidRPr="00DE12A3" w:rsidRDefault="00E730D6" w:rsidP="00C917D6">
      <w:pPr>
        <w:pStyle w:val="Gvdemetni21"/>
        <w:shd w:val="clear" w:color="auto" w:fill="auto"/>
        <w:spacing w:after="120" w:line="240" w:lineRule="auto"/>
        <w:ind w:left="284" w:right="20" w:hanging="284"/>
        <w:jc w:val="both"/>
      </w:pPr>
    </w:p>
    <w:p w14:paraId="10B1F923" w14:textId="77777777" w:rsidR="009F4766" w:rsidRPr="00DE12A3" w:rsidRDefault="00861C3B" w:rsidP="00051047">
      <w:pPr>
        <w:jc w:val="center"/>
        <w:rPr>
          <w:b/>
          <w:color w:val="auto"/>
        </w:rPr>
      </w:pPr>
      <w:r w:rsidRPr="00DE12A3">
        <w:rPr>
          <w:b/>
          <w:color w:val="auto"/>
        </w:rPr>
        <w:lastRenderedPageBreak/>
        <w:t xml:space="preserve">Tip D test </w:t>
      </w:r>
      <w:r w:rsidR="00F310B5" w:rsidRPr="00DE12A3">
        <w:rPr>
          <w:b/>
          <w:color w:val="auto"/>
        </w:rPr>
        <w:t>çevrim</w:t>
      </w:r>
      <w:r w:rsidRPr="00DE12A3">
        <w:rPr>
          <w:b/>
          <w:color w:val="auto"/>
        </w:rPr>
        <w:t>leri</w:t>
      </w:r>
    </w:p>
    <w:tbl>
      <w:tblPr>
        <w:tblW w:w="0" w:type="auto"/>
        <w:tblInd w:w="139" w:type="dxa"/>
        <w:tblLayout w:type="fixed"/>
        <w:tblLook w:val="0000" w:firstRow="0" w:lastRow="0" w:firstColumn="0" w:lastColumn="0" w:noHBand="0" w:noVBand="0"/>
      </w:tblPr>
      <w:tblGrid>
        <w:gridCol w:w="2342"/>
        <w:gridCol w:w="2612"/>
        <w:gridCol w:w="2072"/>
        <w:gridCol w:w="1981"/>
      </w:tblGrid>
      <w:tr w:rsidR="00DE12A3" w:rsidRPr="00DE12A3" w14:paraId="61C4A828" w14:textId="77777777" w:rsidTr="009F4766">
        <w:tc>
          <w:tcPr>
            <w:tcW w:w="9007" w:type="dxa"/>
            <w:gridSpan w:val="4"/>
            <w:tcBorders>
              <w:top w:val="single" w:sz="2" w:space="0" w:color="auto"/>
              <w:left w:val="single" w:sz="2" w:space="0" w:color="auto"/>
              <w:bottom w:val="single" w:sz="2" w:space="0" w:color="auto"/>
              <w:right w:val="single" w:sz="2" w:space="0" w:color="auto"/>
            </w:tcBorders>
          </w:tcPr>
          <w:p w14:paraId="16AF650F" w14:textId="77777777" w:rsidR="009F4766" w:rsidRPr="00DE12A3" w:rsidRDefault="0047668F" w:rsidP="00C917D6">
            <w:pPr>
              <w:pStyle w:val="NormalCentered"/>
            </w:pPr>
            <w:r w:rsidRPr="00DE12A3">
              <w:rPr>
                <w:iCs/>
              </w:rPr>
              <w:t>RMC-D2 test modları tablosu</w:t>
            </w:r>
          </w:p>
        </w:tc>
      </w:tr>
      <w:tr w:rsidR="00DE12A3" w:rsidRPr="00DE12A3" w14:paraId="1D17AFBC" w14:textId="77777777" w:rsidTr="009F4766">
        <w:tc>
          <w:tcPr>
            <w:tcW w:w="2342" w:type="dxa"/>
            <w:tcBorders>
              <w:top w:val="single" w:sz="2" w:space="0" w:color="auto"/>
              <w:left w:val="single" w:sz="2" w:space="0" w:color="auto"/>
              <w:bottom w:val="single" w:sz="2" w:space="0" w:color="auto"/>
              <w:right w:val="single" w:sz="2" w:space="0" w:color="auto"/>
            </w:tcBorders>
          </w:tcPr>
          <w:p w14:paraId="5073F576" w14:textId="77777777" w:rsidR="0047668F" w:rsidRPr="00DE12A3" w:rsidRDefault="0047668F" w:rsidP="00C917D6">
            <w:pPr>
              <w:spacing w:before="120" w:after="120"/>
              <w:rPr>
                <w:rFonts w:cs="Times New Roman"/>
                <w:color w:val="auto"/>
              </w:rPr>
            </w:pPr>
            <w:r w:rsidRPr="00DE12A3">
              <w:rPr>
                <w:rFonts w:cs="Times New Roman"/>
                <w:color w:val="auto"/>
              </w:rPr>
              <w:t>RMC Mod Numarası</w:t>
            </w:r>
          </w:p>
        </w:tc>
        <w:tc>
          <w:tcPr>
            <w:tcW w:w="2612" w:type="dxa"/>
            <w:tcBorders>
              <w:top w:val="single" w:sz="2" w:space="0" w:color="auto"/>
              <w:left w:val="single" w:sz="2" w:space="0" w:color="auto"/>
              <w:bottom w:val="single" w:sz="2" w:space="0" w:color="auto"/>
              <w:right w:val="single" w:sz="2" w:space="0" w:color="auto"/>
            </w:tcBorders>
          </w:tcPr>
          <w:p w14:paraId="0B9C99D2" w14:textId="77777777" w:rsidR="0047668F" w:rsidRPr="00DE12A3" w:rsidRDefault="0047668F" w:rsidP="00C917D6">
            <w:pPr>
              <w:spacing w:before="120" w:after="120"/>
              <w:rPr>
                <w:rFonts w:cs="Times New Roman"/>
                <w:color w:val="auto"/>
              </w:rPr>
            </w:pPr>
            <w:r w:rsidRPr="00DE12A3">
              <w:rPr>
                <w:rFonts w:cs="Times New Roman"/>
                <w:color w:val="auto"/>
              </w:rPr>
              <w:t>Mod süresi (saniye)</w:t>
            </w:r>
          </w:p>
        </w:tc>
        <w:tc>
          <w:tcPr>
            <w:tcW w:w="2072" w:type="dxa"/>
            <w:tcBorders>
              <w:top w:val="single" w:sz="2" w:space="0" w:color="auto"/>
              <w:left w:val="single" w:sz="2" w:space="0" w:color="auto"/>
              <w:bottom w:val="single" w:sz="2" w:space="0" w:color="auto"/>
              <w:right w:val="single" w:sz="2" w:space="0" w:color="auto"/>
            </w:tcBorders>
          </w:tcPr>
          <w:p w14:paraId="11C5BAA0" w14:textId="77777777" w:rsidR="0047668F" w:rsidRPr="00DE12A3" w:rsidRDefault="0047668F" w:rsidP="00C917D6">
            <w:pPr>
              <w:spacing w:before="120" w:after="120"/>
              <w:rPr>
                <w:rFonts w:cs="Times New Roman"/>
                <w:color w:val="auto"/>
              </w:rPr>
            </w:pPr>
            <w:r w:rsidRPr="00DE12A3">
              <w:rPr>
                <w:rFonts w:cs="Times New Roman"/>
                <w:color w:val="auto"/>
              </w:rPr>
              <w:t xml:space="preserve">Motor devri </w:t>
            </w:r>
            <w:r w:rsidRPr="00DE12A3">
              <w:rPr>
                <w:rFonts w:cs="Times New Roman"/>
                <w:color w:val="auto"/>
                <w:vertAlign w:val="superscript"/>
              </w:rPr>
              <w:t>(a) (c)</w:t>
            </w:r>
          </w:p>
        </w:tc>
        <w:tc>
          <w:tcPr>
            <w:tcW w:w="1981" w:type="dxa"/>
            <w:tcBorders>
              <w:top w:val="single" w:sz="2" w:space="0" w:color="auto"/>
              <w:left w:val="single" w:sz="2" w:space="0" w:color="auto"/>
              <w:bottom w:val="single" w:sz="2" w:space="0" w:color="auto"/>
              <w:right w:val="single" w:sz="2" w:space="0" w:color="auto"/>
            </w:tcBorders>
          </w:tcPr>
          <w:p w14:paraId="69953B7A" w14:textId="77777777" w:rsidR="0047668F" w:rsidRPr="00DE12A3" w:rsidRDefault="0047668F" w:rsidP="00C917D6">
            <w:pPr>
              <w:spacing w:before="120" w:after="120"/>
              <w:rPr>
                <w:rFonts w:cs="Times New Roman"/>
                <w:color w:val="auto"/>
              </w:rPr>
            </w:pPr>
            <w:r w:rsidRPr="00DE12A3">
              <w:rPr>
                <w:rFonts w:cs="Times New Roman"/>
                <w:color w:val="auto"/>
              </w:rPr>
              <w:t xml:space="preserve">Tork (%) </w:t>
            </w:r>
            <w:r w:rsidRPr="00DE12A3">
              <w:rPr>
                <w:rFonts w:cs="Times New Roman"/>
                <w:color w:val="auto"/>
                <w:vertAlign w:val="superscript"/>
              </w:rPr>
              <w:t>(b) (c)</w:t>
            </w:r>
          </w:p>
        </w:tc>
      </w:tr>
      <w:tr w:rsidR="00DE12A3" w:rsidRPr="00DE12A3" w14:paraId="10A015CB" w14:textId="77777777" w:rsidTr="009F4766">
        <w:tc>
          <w:tcPr>
            <w:tcW w:w="2342" w:type="dxa"/>
            <w:tcBorders>
              <w:top w:val="single" w:sz="2" w:space="0" w:color="auto"/>
              <w:left w:val="single" w:sz="2" w:space="0" w:color="auto"/>
              <w:bottom w:val="single" w:sz="2" w:space="0" w:color="auto"/>
              <w:right w:val="single" w:sz="2" w:space="0" w:color="auto"/>
            </w:tcBorders>
          </w:tcPr>
          <w:p w14:paraId="30BD6ECD" w14:textId="77777777" w:rsidR="0047668F" w:rsidRPr="00DE12A3" w:rsidRDefault="0047668F" w:rsidP="00C917D6">
            <w:pPr>
              <w:spacing w:before="120" w:after="120"/>
              <w:rPr>
                <w:rFonts w:cs="Times New Roman"/>
                <w:color w:val="auto"/>
              </w:rPr>
            </w:pPr>
            <w:r w:rsidRPr="00DE12A3">
              <w:rPr>
                <w:rFonts w:cs="Times New Roman"/>
                <w:color w:val="auto"/>
              </w:rPr>
              <w:t>1a Kararlı durum</w:t>
            </w:r>
          </w:p>
        </w:tc>
        <w:tc>
          <w:tcPr>
            <w:tcW w:w="2612" w:type="dxa"/>
            <w:tcBorders>
              <w:top w:val="single" w:sz="2" w:space="0" w:color="auto"/>
              <w:left w:val="single" w:sz="2" w:space="0" w:color="auto"/>
              <w:bottom w:val="single" w:sz="2" w:space="0" w:color="auto"/>
              <w:right w:val="single" w:sz="2" w:space="0" w:color="auto"/>
            </w:tcBorders>
          </w:tcPr>
          <w:p w14:paraId="6E508E74" w14:textId="77777777" w:rsidR="0047668F" w:rsidRPr="00DE12A3" w:rsidRDefault="0047668F" w:rsidP="00C917D6">
            <w:pPr>
              <w:pStyle w:val="NormalLeft"/>
            </w:pPr>
            <w:r w:rsidRPr="00DE12A3">
              <w:t>53</w:t>
            </w:r>
          </w:p>
        </w:tc>
        <w:tc>
          <w:tcPr>
            <w:tcW w:w="2072" w:type="dxa"/>
            <w:tcBorders>
              <w:top w:val="single" w:sz="2" w:space="0" w:color="auto"/>
              <w:left w:val="single" w:sz="2" w:space="0" w:color="auto"/>
              <w:bottom w:val="single" w:sz="2" w:space="0" w:color="auto"/>
              <w:right w:val="single" w:sz="2" w:space="0" w:color="auto"/>
            </w:tcBorders>
          </w:tcPr>
          <w:p w14:paraId="2375EC22" w14:textId="77777777" w:rsidR="0047668F" w:rsidRPr="00DE12A3" w:rsidRDefault="0047668F" w:rsidP="00C917D6">
            <w:pPr>
              <w:pStyle w:val="NormalLeft"/>
            </w:pPr>
            <w:r w:rsidRPr="00DE12A3">
              <w:t>100</w:t>
            </w:r>
          </w:p>
        </w:tc>
        <w:tc>
          <w:tcPr>
            <w:tcW w:w="1981" w:type="dxa"/>
            <w:tcBorders>
              <w:top w:val="single" w:sz="2" w:space="0" w:color="auto"/>
              <w:left w:val="single" w:sz="2" w:space="0" w:color="auto"/>
              <w:bottom w:val="single" w:sz="2" w:space="0" w:color="auto"/>
              <w:right w:val="single" w:sz="2" w:space="0" w:color="auto"/>
            </w:tcBorders>
          </w:tcPr>
          <w:p w14:paraId="7DF08EB8" w14:textId="77777777" w:rsidR="0047668F" w:rsidRPr="00DE12A3" w:rsidRDefault="0047668F" w:rsidP="00C917D6">
            <w:pPr>
              <w:pStyle w:val="NormalLeft"/>
            </w:pPr>
            <w:r w:rsidRPr="00DE12A3">
              <w:t>100</w:t>
            </w:r>
          </w:p>
        </w:tc>
      </w:tr>
      <w:tr w:rsidR="00DE12A3" w:rsidRPr="00DE12A3" w14:paraId="308748E6" w14:textId="77777777" w:rsidTr="009F4766">
        <w:tc>
          <w:tcPr>
            <w:tcW w:w="2342" w:type="dxa"/>
            <w:tcBorders>
              <w:top w:val="single" w:sz="2" w:space="0" w:color="auto"/>
              <w:left w:val="single" w:sz="2" w:space="0" w:color="auto"/>
              <w:bottom w:val="single" w:sz="2" w:space="0" w:color="auto"/>
              <w:right w:val="single" w:sz="2" w:space="0" w:color="auto"/>
            </w:tcBorders>
          </w:tcPr>
          <w:p w14:paraId="6870C46A" w14:textId="77777777" w:rsidR="0047668F" w:rsidRPr="00DE12A3" w:rsidRDefault="0047668F" w:rsidP="00C917D6">
            <w:pPr>
              <w:spacing w:before="120" w:after="120"/>
              <w:rPr>
                <w:rFonts w:cs="Times New Roman"/>
                <w:color w:val="auto"/>
              </w:rPr>
            </w:pPr>
            <w:r w:rsidRPr="00DE12A3">
              <w:rPr>
                <w:rFonts w:cs="Times New Roman"/>
                <w:color w:val="auto"/>
              </w:rPr>
              <w:t>1b Geçiş</w:t>
            </w:r>
          </w:p>
        </w:tc>
        <w:tc>
          <w:tcPr>
            <w:tcW w:w="2612" w:type="dxa"/>
            <w:tcBorders>
              <w:top w:val="single" w:sz="2" w:space="0" w:color="auto"/>
              <w:left w:val="single" w:sz="2" w:space="0" w:color="auto"/>
              <w:bottom w:val="single" w:sz="2" w:space="0" w:color="auto"/>
              <w:right w:val="single" w:sz="2" w:space="0" w:color="auto"/>
            </w:tcBorders>
          </w:tcPr>
          <w:p w14:paraId="492C1523" w14:textId="77777777" w:rsidR="0047668F" w:rsidRPr="00DE12A3" w:rsidRDefault="0047668F" w:rsidP="00C917D6">
            <w:pPr>
              <w:pStyle w:val="NormalLeft"/>
            </w:pPr>
            <w:r w:rsidRPr="00DE12A3">
              <w:t>20</w:t>
            </w:r>
          </w:p>
        </w:tc>
        <w:tc>
          <w:tcPr>
            <w:tcW w:w="2072" w:type="dxa"/>
            <w:tcBorders>
              <w:top w:val="single" w:sz="2" w:space="0" w:color="auto"/>
              <w:left w:val="single" w:sz="2" w:space="0" w:color="auto"/>
              <w:bottom w:val="single" w:sz="2" w:space="0" w:color="auto"/>
              <w:right w:val="single" w:sz="2" w:space="0" w:color="auto"/>
            </w:tcBorders>
          </w:tcPr>
          <w:p w14:paraId="3B33B881" w14:textId="77777777" w:rsidR="0047668F" w:rsidRPr="00DE12A3" w:rsidRDefault="0047668F" w:rsidP="00C917D6">
            <w:pPr>
              <w:pStyle w:val="NormalLeft"/>
            </w:pPr>
            <w:r w:rsidRPr="00DE12A3">
              <w:t>100</w:t>
            </w:r>
          </w:p>
        </w:tc>
        <w:tc>
          <w:tcPr>
            <w:tcW w:w="1981" w:type="dxa"/>
            <w:tcBorders>
              <w:top w:val="single" w:sz="2" w:space="0" w:color="auto"/>
              <w:left w:val="single" w:sz="2" w:space="0" w:color="auto"/>
              <w:bottom w:val="single" w:sz="2" w:space="0" w:color="auto"/>
              <w:right w:val="single" w:sz="2" w:space="0" w:color="auto"/>
            </w:tcBorders>
          </w:tcPr>
          <w:p w14:paraId="4A3A1011" w14:textId="77777777" w:rsidR="0047668F" w:rsidRPr="00DE12A3" w:rsidRDefault="0047668F" w:rsidP="00C917D6">
            <w:pPr>
              <w:pStyle w:val="NormalLeft"/>
            </w:pPr>
            <w:r w:rsidRPr="00DE12A3">
              <w:t>Doğrusal geçiş</w:t>
            </w:r>
          </w:p>
        </w:tc>
      </w:tr>
      <w:tr w:rsidR="00DE12A3" w:rsidRPr="00DE12A3" w14:paraId="1595C322" w14:textId="77777777" w:rsidTr="009F4766">
        <w:tc>
          <w:tcPr>
            <w:tcW w:w="2342" w:type="dxa"/>
            <w:tcBorders>
              <w:top w:val="single" w:sz="2" w:space="0" w:color="auto"/>
              <w:left w:val="single" w:sz="2" w:space="0" w:color="auto"/>
              <w:bottom w:val="single" w:sz="2" w:space="0" w:color="auto"/>
              <w:right w:val="single" w:sz="2" w:space="0" w:color="auto"/>
            </w:tcBorders>
          </w:tcPr>
          <w:p w14:paraId="51046889" w14:textId="77777777" w:rsidR="0047668F" w:rsidRPr="00DE12A3" w:rsidRDefault="0047668F" w:rsidP="00C917D6">
            <w:pPr>
              <w:spacing w:before="120" w:after="120"/>
              <w:rPr>
                <w:rFonts w:cs="Times New Roman"/>
                <w:color w:val="auto"/>
              </w:rPr>
            </w:pPr>
            <w:r w:rsidRPr="00DE12A3">
              <w:rPr>
                <w:rFonts w:cs="Times New Roman"/>
                <w:color w:val="auto"/>
              </w:rPr>
              <w:t>2a Kararlı durum</w:t>
            </w:r>
          </w:p>
        </w:tc>
        <w:tc>
          <w:tcPr>
            <w:tcW w:w="2612" w:type="dxa"/>
            <w:tcBorders>
              <w:top w:val="single" w:sz="2" w:space="0" w:color="auto"/>
              <w:left w:val="single" w:sz="2" w:space="0" w:color="auto"/>
              <w:bottom w:val="single" w:sz="2" w:space="0" w:color="auto"/>
              <w:right w:val="single" w:sz="2" w:space="0" w:color="auto"/>
            </w:tcBorders>
          </w:tcPr>
          <w:p w14:paraId="312B2676" w14:textId="77777777" w:rsidR="0047668F" w:rsidRPr="00DE12A3" w:rsidRDefault="0047668F" w:rsidP="00C917D6">
            <w:pPr>
              <w:pStyle w:val="NormalLeft"/>
            </w:pPr>
            <w:r w:rsidRPr="00DE12A3">
              <w:t>101</w:t>
            </w:r>
          </w:p>
        </w:tc>
        <w:tc>
          <w:tcPr>
            <w:tcW w:w="2072" w:type="dxa"/>
            <w:tcBorders>
              <w:top w:val="single" w:sz="2" w:space="0" w:color="auto"/>
              <w:left w:val="single" w:sz="2" w:space="0" w:color="auto"/>
              <w:bottom w:val="single" w:sz="2" w:space="0" w:color="auto"/>
              <w:right w:val="single" w:sz="2" w:space="0" w:color="auto"/>
            </w:tcBorders>
          </w:tcPr>
          <w:p w14:paraId="5F6F5CC6" w14:textId="77777777" w:rsidR="0047668F" w:rsidRPr="00DE12A3" w:rsidRDefault="0047668F" w:rsidP="00C917D6">
            <w:pPr>
              <w:pStyle w:val="NormalLeft"/>
            </w:pPr>
            <w:r w:rsidRPr="00DE12A3">
              <w:t>100</w:t>
            </w:r>
          </w:p>
        </w:tc>
        <w:tc>
          <w:tcPr>
            <w:tcW w:w="1981" w:type="dxa"/>
            <w:tcBorders>
              <w:top w:val="single" w:sz="2" w:space="0" w:color="auto"/>
              <w:left w:val="single" w:sz="2" w:space="0" w:color="auto"/>
              <w:bottom w:val="single" w:sz="2" w:space="0" w:color="auto"/>
              <w:right w:val="single" w:sz="2" w:space="0" w:color="auto"/>
            </w:tcBorders>
          </w:tcPr>
          <w:p w14:paraId="4E4704F3" w14:textId="77777777" w:rsidR="0047668F" w:rsidRPr="00DE12A3" w:rsidRDefault="0047668F" w:rsidP="00C917D6">
            <w:pPr>
              <w:pStyle w:val="NormalLeft"/>
            </w:pPr>
            <w:r w:rsidRPr="00DE12A3">
              <w:t>10</w:t>
            </w:r>
          </w:p>
        </w:tc>
      </w:tr>
      <w:tr w:rsidR="00DE12A3" w:rsidRPr="00DE12A3" w14:paraId="2149DC07" w14:textId="77777777" w:rsidTr="009F4766">
        <w:tc>
          <w:tcPr>
            <w:tcW w:w="2342" w:type="dxa"/>
            <w:tcBorders>
              <w:top w:val="single" w:sz="2" w:space="0" w:color="auto"/>
              <w:left w:val="single" w:sz="2" w:space="0" w:color="auto"/>
              <w:bottom w:val="single" w:sz="2" w:space="0" w:color="auto"/>
              <w:right w:val="single" w:sz="2" w:space="0" w:color="auto"/>
            </w:tcBorders>
          </w:tcPr>
          <w:p w14:paraId="2D6BB590" w14:textId="77777777" w:rsidR="0047668F" w:rsidRPr="00DE12A3" w:rsidRDefault="0047668F" w:rsidP="00C917D6">
            <w:pPr>
              <w:spacing w:before="120" w:after="120"/>
              <w:rPr>
                <w:rFonts w:cs="Times New Roman"/>
                <w:color w:val="auto"/>
              </w:rPr>
            </w:pPr>
            <w:r w:rsidRPr="00DE12A3">
              <w:rPr>
                <w:rFonts w:cs="Times New Roman"/>
                <w:color w:val="auto"/>
              </w:rPr>
              <w:t>2b Geçiş</w:t>
            </w:r>
          </w:p>
        </w:tc>
        <w:tc>
          <w:tcPr>
            <w:tcW w:w="2612" w:type="dxa"/>
            <w:tcBorders>
              <w:top w:val="single" w:sz="2" w:space="0" w:color="auto"/>
              <w:left w:val="single" w:sz="2" w:space="0" w:color="auto"/>
              <w:bottom w:val="single" w:sz="2" w:space="0" w:color="auto"/>
              <w:right w:val="single" w:sz="2" w:space="0" w:color="auto"/>
            </w:tcBorders>
          </w:tcPr>
          <w:p w14:paraId="1821105C" w14:textId="77777777" w:rsidR="0047668F" w:rsidRPr="00DE12A3" w:rsidRDefault="0047668F" w:rsidP="00C917D6">
            <w:pPr>
              <w:pStyle w:val="NormalLeft"/>
            </w:pPr>
            <w:r w:rsidRPr="00DE12A3">
              <w:t>20</w:t>
            </w:r>
          </w:p>
        </w:tc>
        <w:tc>
          <w:tcPr>
            <w:tcW w:w="2072" w:type="dxa"/>
            <w:tcBorders>
              <w:top w:val="single" w:sz="2" w:space="0" w:color="auto"/>
              <w:left w:val="single" w:sz="2" w:space="0" w:color="auto"/>
              <w:bottom w:val="single" w:sz="2" w:space="0" w:color="auto"/>
              <w:right w:val="single" w:sz="2" w:space="0" w:color="auto"/>
            </w:tcBorders>
          </w:tcPr>
          <w:p w14:paraId="477D51FE" w14:textId="77777777" w:rsidR="0047668F" w:rsidRPr="00DE12A3" w:rsidRDefault="0047668F" w:rsidP="00C917D6">
            <w:pPr>
              <w:pStyle w:val="NormalLeft"/>
            </w:pPr>
            <w:r w:rsidRPr="00DE12A3">
              <w:t>100</w:t>
            </w:r>
          </w:p>
        </w:tc>
        <w:tc>
          <w:tcPr>
            <w:tcW w:w="1981" w:type="dxa"/>
            <w:tcBorders>
              <w:top w:val="single" w:sz="2" w:space="0" w:color="auto"/>
              <w:left w:val="single" w:sz="2" w:space="0" w:color="auto"/>
              <w:bottom w:val="single" w:sz="2" w:space="0" w:color="auto"/>
              <w:right w:val="single" w:sz="2" w:space="0" w:color="auto"/>
            </w:tcBorders>
          </w:tcPr>
          <w:p w14:paraId="2DBF5C6F" w14:textId="77777777" w:rsidR="0047668F" w:rsidRPr="00DE12A3" w:rsidRDefault="0047668F" w:rsidP="00C917D6">
            <w:pPr>
              <w:pStyle w:val="NormalLeft"/>
            </w:pPr>
            <w:r w:rsidRPr="00DE12A3">
              <w:t>Doğrusal geçiş</w:t>
            </w:r>
          </w:p>
        </w:tc>
      </w:tr>
      <w:tr w:rsidR="00DE12A3" w:rsidRPr="00DE12A3" w14:paraId="1B1C651F" w14:textId="77777777" w:rsidTr="009F4766">
        <w:tc>
          <w:tcPr>
            <w:tcW w:w="2342" w:type="dxa"/>
            <w:tcBorders>
              <w:top w:val="single" w:sz="2" w:space="0" w:color="auto"/>
              <w:left w:val="single" w:sz="2" w:space="0" w:color="auto"/>
              <w:bottom w:val="single" w:sz="2" w:space="0" w:color="auto"/>
              <w:right w:val="single" w:sz="2" w:space="0" w:color="auto"/>
            </w:tcBorders>
          </w:tcPr>
          <w:p w14:paraId="298AB9E2" w14:textId="77777777" w:rsidR="0047668F" w:rsidRPr="00DE12A3" w:rsidRDefault="0047668F" w:rsidP="00C917D6">
            <w:pPr>
              <w:spacing w:before="120" w:after="120"/>
              <w:rPr>
                <w:rFonts w:cs="Times New Roman"/>
                <w:color w:val="auto"/>
              </w:rPr>
            </w:pPr>
            <w:r w:rsidRPr="00DE12A3">
              <w:rPr>
                <w:rFonts w:cs="Times New Roman"/>
                <w:color w:val="auto"/>
              </w:rPr>
              <w:t>3a Kararlı durum</w:t>
            </w:r>
          </w:p>
        </w:tc>
        <w:tc>
          <w:tcPr>
            <w:tcW w:w="2612" w:type="dxa"/>
            <w:tcBorders>
              <w:top w:val="single" w:sz="2" w:space="0" w:color="auto"/>
              <w:left w:val="single" w:sz="2" w:space="0" w:color="auto"/>
              <w:bottom w:val="single" w:sz="2" w:space="0" w:color="auto"/>
              <w:right w:val="single" w:sz="2" w:space="0" w:color="auto"/>
            </w:tcBorders>
          </w:tcPr>
          <w:p w14:paraId="4A09D590" w14:textId="77777777" w:rsidR="0047668F" w:rsidRPr="00DE12A3" w:rsidRDefault="0047668F" w:rsidP="00C917D6">
            <w:pPr>
              <w:pStyle w:val="NormalLeft"/>
            </w:pPr>
            <w:r w:rsidRPr="00DE12A3">
              <w:t>277</w:t>
            </w:r>
          </w:p>
        </w:tc>
        <w:tc>
          <w:tcPr>
            <w:tcW w:w="2072" w:type="dxa"/>
            <w:tcBorders>
              <w:top w:val="single" w:sz="2" w:space="0" w:color="auto"/>
              <w:left w:val="single" w:sz="2" w:space="0" w:color="auto"/>
              <w:bottom w:val="single" w:sz="2" w:space="0" w:color="auto"/>
              <w:right w:val="single" w:sz="2" w:space="0" w:color="auto"/>
            </w:tcBorders>
          </w:tcPr>
          <w:p w14:paraId="7652D392" w14:textId="77777777" w:rsidR="0047668F" w:rsidRPr="00DE12A3" w:rsidRDefault="0047668F" w:rsidP="00C917D6">
            <w:pPr>
              <w:pStyle w:val="NormalLeft"/>
            </w:pPr>
            <w:r w:rsidRPr="00DE12A3">
              <w:t>100</w:t>
            </w:r>
          </w:p>
        </w:tc>
        <w:tc>
          <w:tcPr>
            <w:tcW w:w="1981" w:type="dxa"/>
            <w:tcBorders>
              <w:top w:val="single" w:sz="2" w:space="0" w:color="auto"/>
              <w:left w:val="single" w:sz="2" w:space="0" w:color="auto"/>
              <w:bottom w:val="single" w:sz="2" w:space="0" w:color="auto"/>
              <w:right w:val="single" w:sz="2" w:space="0" w:color="auto"/>
            </w:tcBorders>
          </w:tcPr>
          <w:p w14:paraId="628B7535" w14:textId="77777777" w:rsidR="0047668F" w:rsidRPr="00DE12A3" w:rsidRDefault="0047668F" w:rsidP="00C917D6">
            <w:pPr>
              <w:pStyle w:val="NormalLeft"/>
            </w:pPr>
            <w:r w:rsidRPr="00DE12A3">
              <w:t>75</w:t>
            </w:r>
          </w:p>
        </w:tc>
      </w:tr>
      <w:tr w:rsidR="00DE12A3" w:rsidRPr="00DE12A3" w14:paraId="042B51FB" w14:textId="77777777" w:rsidTr="009F4766">
        <w:tc>
          <w:tcPr>
            <w:tcW w:w="2342" w:type="dxa"/>
            <w:tcBorders>
              <w:top w:val="single" w:sz="2" w:space="0" w:color="auto"/>
              <w:left w:val="single" w:sz="2" w:space="0" w:color="auto"/>
              <w:bottom w:val="single" w:sz="2" w:space="0" w:color="auto"/>
              <w:right w:val="single" w:sz="2" w:space="0" w:color="auto"/>
            </w:tcBorders>
          </w:tcPr>
          <w:p w14:paraId="2B601B33" w14:textId="77777777" w:rsidR="0047668F" w:rsidRPr="00DE12A3" w:rsidRDefault="0047668F" w:rsidP="00C917D6">
            <w:pPr>
              <w:spacing w:before="120" w:after="120"/>
              <w:rPr>
                <w:rFonts w:cs="Times New Roman"/>
                <w:color w:val="auto"/>
              </w:rPr>
            </w:pPr>
            <w:r w:rsidRPr="00DE12A3">
              <w:rPr>
                <w:rFonts w:cs="Times New Roman"/>
                <w:color w:val="auto"/>
              </w:rPr>
              <w:t>3b Geçiş</w:t>
            </w:r>
          </w:p>
        </w:tc>
        <w:tc>
          <w:tcPr>
            <w:tcW w:w="2612" w:type="dxa"/>
            <w:tcBorders>
              <w:top w:val="single" w:sz="2" w:space="0" w:color="auto"/>
              <w:left w:val="single" w:sz="2" w:space="0" w:color="auto"/>
              <w:bottom w:val="single" w:sz="2" w:space="0" w:color="auto"/>
              <w:right w:val="single" w:sz="2" w:space="0" w:color="auto"/>
            </w:tcBorders>
          </w:tcPr>
          <w:p w14:paraId="21002B34" w14:textId="77777777" w:rsidR="0047668F" w:rsidRPr="00DE12A3" w:rsidRDefault="0047668F" w:rsidP="00C917D6">
            <w:pPr>
              <w:pStyle w:val="NormalLeft"/>
            </w:pPr>
            <w:r w:rsidRPr="00DE12A3">
              <w:t>20</w:t>
            </w:r>
          </w:p>
        </w:tc>
        <w:tc>
          <w:tcPr>
            <w:tcW w:w="2072" w:type="dxa"/>
            <w:tcBorders>
              <w:top w:val="single" w:sz="2" w:space="0" w:color="auto"/>
              <w:left w:val="single" w:sz="2" w:space="0" w:color="auto"/>
              <w:bottom w:val="single" w:sz="2" w:space="0" w:color="auto"/>
              <w:right w:val="single" w:sz="2" w:space="0" w:color="auto"/>
            </w:tcBorders>
          </w:tcPr>
          <w:p w14:paraId="1E861BCC" w14:textId="77777777" w:rsidR="0047668F" w:rsidRPr="00DE12A3" w:rsidRDefault="0047668F" w:rsidP="00C917D6">
            <w:pPr>
              <w:pStyle w:val="NormalLeft"/>
            </w:pPr>
            <w:r w:rsidRPr="00DE12A3">
              <w:t>100</w:t>
            </w:r>
          </w:p>
        </w:tc>
        <w:tc>
          <w:tcPr>
            <w:tcW w:w="1981" w:type="dxa"/>
            <w:tcBorders>
              <w:top w:val="single" w:sz="2" w:space="0" w:color="auto"/>
              <w:left w:val="single" w:sz="2" w:space="0" w:color="auto"/>
              <w:bottom w:val="single" w:sz="2" w:space="0" w:color="auto"/>
              <w:right w:val="single" w:sz="2" w:space="0" w:color="auto"/>
            </w:tcBorders>
          </w:tcPr>
          <w:p w14:paraId="19E5138A" w14:textId="77777777" w:rsidR="0047668F" w:rsidRPr="00DE12A3" w:rsidRDefault="0047668F" w:rsidP="00C917D6">
            <w:pPr>
              <w:pStyle w:val="NormalLeft"/>
            </w:pPr>
            <w:r w:rsidRPr="00DE12A3">
              <w:t>Doğrusal geçiş</w:t>
            </w:r>
          </w:p>
        </w:tc>
      </w:tr>
      <w:tr w:rsidR="00DE12A3" w:rsidRPr="00DE12A3" w14:paraId="52B768BB" w14:textId="77777777" w:rsidTr="009F4766">
        <w:tc>
          <w:tcPr>
            <w:tcW w:w="2342" w:type="dxa"/>
            <w:tcBorders>
              <w:top w:val="single" w:sz="2" w:space="0" w:color="auto"/>
              <w:left w:val="single" w:sz="2" w:space="0" w:color="auto"/>
              <w:bottom w:val="single" w:sz="2" w:space="0" w:color="auto"/>
              <w:right w:val="single" w:sz="2" w:space="0" w:color="auto"/>
            </w:tcBorders>
          </w:tcPr>
          <w:p w14:paraId="0CF4AA2E" w14:textId="77777777" w:rsidR="0047668F" w:rsidRPr="00DE12A3" w:rsidRDefault="0047668F" w:rsidP="00C917D6">
            <w:pPr>
              <w:spacing w:before="120" w:after="120"/>
              <w:rPr>
                <w:rFonts w:cs="Times New Roman"/>
                <w:color w:val="auto"/>
              </w:rPr>
            </w:pPr>
            <w:r w:rsidRPr="00DE12A3">
              <w:rPr>
                <w:rFonts w:cs="Times New Roman"/>
                <w:color w:val="auto"/>
              </w:rPr>
              <w:t>4a Kararlı durum</w:t>
            </w:r>
          </w:p>
        </w:tc>
        <w:tc>
          <w:tcPr>
            <w:tcW w:w="2612" w:type="dxa"/>
            <w:tcBorders>
              <w:top w:val="single" w:sz="2" w:space="0" w:color="auto"/>
              <w:left w:val="single" w:sz="2" w:space="0" w:color="auto"/>
              <w:bottom w:val="single" w:sz="2" w:space="0" w:color="auto"/>
              <w:right w:val="single" w:sz="2" w:space="0" w:color="auto"/>
            </w:tcBorders>
          </w:tcPr>
          <w:p w14:paraId="21316FB1" w14:textId="77777777" w:rsidR="0047668F" w:rsidRPr="00DE12A3" w:rsidRDefault="0047668F" w:rsidP="00C917D6">
            <w:pPr>
              <w:pStyle w:val="NormalLeft"/>
            </w:pPr>
            <w:r w:rsidRPr="00DE12A3">
              <w:t>339</w:t>
            </w:r>
          </w:p>
        </w:tc>
        <w:tc>
          <w:tcPr>
            <w:tcW w:w="2072" w:type="dxa"/>
            <w:tcBorders>
              <w:top w:val="single" w:sz="2" w:space="0" w:color="auto"/>
              <w:left w:val="single" w:sz="2" w:space="0" w:color="auto"/>
              <w:bottom w:val="single" w:sz="2" w:space="0" w:color="auto"/>
              <w:right w:val="single" w:sz="2" w:space="0" w:color="auto"/>
            </w:tcBorders>
          </w:tcPr>
          <w:p w14:paraId="0096AFFF" w14:textId="77777777" w:rsidR="0047668F" w:rsidRPr="00DE12A3" w:rsidRDefault="0047668F" w:rsidP="00C917D6">
            <w:pPr>
              <w:pStyle w:val="NormalLeft"/>
            </w:pPr>
            <w:r w:rsidRPr="00DE12A3">
              <w:t>100</w:t>
            </w:r>
          </w:p>
        </w:tc>
        <w:tc>
          <w:tcPr>
            <w:tcW w:w="1981" w:type="dxa"/>
            <w:tcBorders>
              <w:top w:val="single" w:sz="2" w:space="0" w:color="auto"/>
              <w:left w:val="single" w:sz="2" w:space="0" w:color="auto"/>
              <w:bottom w:val="single" w:sz="2" w:space="0" w:color="auto"/>
              <w:right w:val="single" w:sz="2" w:space="0" w:color="auto"/>
            </w:tcBorders>
          </w:tcPr>
          <w:p w14:paraId="2FEA832F" w14:textId="77777777" w:rsidR="0047668F" w:rsidRPr="00DE12A3" w:rsidRDefault="0047668F" w:rsidP="00C917D6">
            <w:pPr>
              <w:pStyle w:val="NormalLeft"/>
            </w:pPr>
            <w:r w:rsidRPr="00DE12A3">
              <w:t>25</w:t>
            </w:r>
          </w:p>
        </w:tc>
      </w:tr>
      <w:tr w:rsidR="00DE12A3" w:rsidRPr="00DE12A3" w14:paraId="24D07780" w14:textId="77777777" w:rsidTr="009F4766">
        <w:tc>
          <w:tcPr>
            <w:tcW w:w="2342" w:type="dxa"/>
            <w:tcBorders>
              <w:top w:val="single" w:sz="2" w:space="0" w:color="auto"/>
              <w:left w:val="single" w:sz="2" w:space="0" w:color="auto"/>
              <w:bottom w:val="single" w:sz="2" w:space="0" w:color="auto"/>
              <w:right w:val="single" w:sz="2" w:space="0" w:color="auto"/>
            </w:tcBorders>
          </w:tcPr>
          <w:p w14:paraId="6139BE49" w14:textId="77777777" w:rsidR="0047668F" w:rsidRPr="00DE12A3" w:rsidRDefault="0047668F" w:rsidP="00C917D6">
            <w:pPr>
              <w:spacing w:before="120" w:after="120"/>
              <w:rPr>
                <w:rFonts w:cs="Times New Roman"/>
                <w:color w:val="auto"/>
              </w:rPr>
            </w:pPr>
            <w:r w:rsidRPr="00DE12A3">
              <w:rPr>
                <w:rFonts w:cs="Times New Roman"/>
                <w:color w:val="auto"/>
              </w:rPr>
              <w:t>4b Geçiş</w:t>
            </w:r>
          </w:p>
        </w:tc>
        <w:tc>
          <w:tcPr>
            <w:tcW w:w="2612" w:type="dxa"/>
            <w:tcBorders>
              <w:top w:val="single" w:sz="2" w:space="0" w:color="auto"/>
              <w:left w:val="single" w:sz="2" w:space="0" w:color="auto"/>
              <w:bottom w:val="single" w:sz="2" w:space="0" w:color="auto"/>
              <w:right w:val="single" w:sz="2" w:space="0" w:color="auto"/>
            </w:tcBorders>
          </w:tcPr>
          <w:p w14:paraId="7F45F1B3" w14:textId="77777777" w:rsidR="0047668F" w:rsidRPr="00DE12A3" w:rsidRDefault="0047668F" w:rsidP="00C917D6">
            <w:pPr>
              <w:pStyle w:val="NormalLeft"/>
            </w:pPr>
            <w:r w:rsidRPr="00DE12A3">
              <w:t>20</w:t>
            </w:r>
          </w:p>
        </w:tc>
        <w:tc>
          <w:tcPr>
            <w:tcW w:w="2072" w:type="dxa"/>
            <w:tcBorders>
              <w:top w:val="single" w:sz="2" w:space="0" w:color="auto"/>
              <w:left w:val="single" w:sz="2" w:space="0" w:color="auto"/>
              <w:bottom w:val="single" w:sz="2" w:space="0" w:color="auto"/>
              <w:right w:val="single" w:sz="2" w:space="0" w:color="auto"/>
            </w:tcBorders>
          </w:tcPr>
          <w:p w14:paraId="3956518B" w14:textId="77777777" w:rsidR="0047668F" w:rsidRPr="00DE12A3" w:rsidRDefault="0047668F" w:rsidP="00C917D6">
            <w:pPr>
              <w:pStyle w:val="NormalLeft"/>
            </w:pPr>
            <w:r w:rsidRPr="00DE12A3">
              <w:t>100</w:t>
            </w:r>
          </w:p>
        </w:tc>
        <w:tc>
          <w:tcPr>
            <w:tcW w:w="1981" w:type="dxa"/>
            <w:tcBorders>
              <w:top w:val="single" w:sz="2" w:space="0" w:color="auto"/>
              <w:left w:val="single" w:sz="2" w:space="0" w:color="auto"/>
              <w:bottom w:val="single" w:sz="2" w:space="0" w:color="auto"/>
              <w:right w:val="single" w:sz="2" w:space="0" w:color="auto"/>
            </w:tcBorders>
          </w:tcPr>
          <w:p w14:paraId="3F832287" w14:textId="77777777" w:rsidR="0047668F" w:rsidRPr="00DE12A3" w:rsidRDefault="0047668F" w:rsidP="00C917D6">
            <w:pPr>
              <w:pStyle w:val="NormalLeft"/>
            </w:pPr>
            <w:r w:rsidRPr="00DE12A3">
              <w:t>Doğrusal geçiş</w:t>
            </w:r>
          </w:p>
        </w:tc>
      </w:tr>
      <w:tr w:rsidR="00DE12A3" w:rsidRPr="00DE12A3" w14:paraId="494CA279" w14:textId="77777777" w:rsidTr="009F4766">
        <w:tc>
          <w:tcPr>
            <w:tcW w:w="2342" w:type="dxa"/>
            <w:tcBorders>
              <w:top w:val="single" w:sz="2" w:space="0" w:color="auto"/>
              <w:left w:val="single" w:sz="2" w:space="0" w:color="auto"/>
              <w:bottom w:val="single" w:sz="2" w:space="0" w:color="auto"/>
              <w:right w:val="single" w:sz="2" w:space="0" w:color="auto"/>
            </w:tcBorders>
          </w:tcPr>
          <w:p w14:paraId="6C8536E6" w14:textId="77777777" w:rsidR="0047668F" w:rsidRPr="00DE12A3" w:rsidRDefault="0047668F" w:rsidP="00C917D6">
            <w:pPr>
              <w:spacing w:before="120" w:after="120"/>
              <w:rPr>
                <w:rFonts w:cs="Times New Roman"/>
                <w:color w:val="auto"/>
              </w:rPr>
            </w:pPr>
            <w:r w:rsidRPr="00DE12A3">
              <w:rPr>
                <w:rFonts w:cs="Times New Roman"/>
                <w:color w:val="auto"/>
              </w:rPr>
              <w:t>5 Kararlı durum</w:t>
            </w:r>
          </w:p>
        </w:tc>
        <w:tc>
          <w:tcPr>
            <w:tcW w:w="2612" w:type="dxa"/>
            <w:tcBorders>
              <w:top w:val="single" w:sz="2" w:space="0" w:color="auto"/>
              <w:left w:val="single" w:sz="2" w:space="0" w:color="auto"/>
              <w:bottom w:val="single" w:sz="2" w:space="0" w:color="auto"/>
              <w:right w:val="single" w:sz="2" w:space="0" w:color="auto"/>
            </w:tcBorders>
          </w:tcPr>
          <w:p w14:paraId="4D9807BF" w14:textId="77777777" w:rsidR="0047668F" w:rsidRPr="00DE12A3" w:rsidRDefault="0047668F" w:rsidP="00C917D6">
            <w:pPr>
              <w:pStyle w:val="NormalLeft"/>
            </w:pPr>
            <w:r w:rsidRPr="00DE12A3">
              <w:t>350</w:t>
            </w:r>
          </w:p>
        </w:tc>
        <w:tc>
          <w:tcPr>
            <w:tcW w:w="2072" w:type="dxa"/>
            <w:tcBorders>
              <w:top w:val="single" w:sz="2" w:space="0" w:color="auto"/>
              <w:left w:val="single" w:sz="2" w:space="0" w:color="auto"/>
              <w:bottom w:val="single" w:sz="2" w:space="0" w:color="auto"/>
              <w:right w:val="single" w:sz="2" w:space="0" w:color="auto"/>
            </w:tcBorders>
          </w:tcPr>
          <w:p w14:paraId="5C6DFD55" w14:textId="77777777" w:rsidR="0047668F" w:rsidRPr="00DE12A3" w:rsidRDefault="0047668F" w:rsidP="00C917D6">
            <w:pPr>
              <w:pStyle w:val="NormalLeft"/>
            </w:pPr>
            <w:r w:rsidRPr="00DE12A3">
              <w:t>100</w:t>
            </w:r>
          </w:p>
        </w:tc>
        <w:tc>
          <w:tcPr>
            <w:tcW w:w="1981" w:type="dxa"/>
            <w:tcBorders>
              <w:top w:val="single" w:sz="2" w:space="0" w:color="auto"/>
              <w:left w:val="single" w:sz="2" w:space="0" w:color="auto"/>
              <w:bottom w:val="single" w:sz="2" w:space="0" w:color="auto"/>
              <w:right w:val="single" w:sz="2" w:space="0" w:color="auto"/>
            </w:tcBorders>
          </w:tcPr>
          <w:p w14:paraId="029C82A5" w14:textId="77777777" w:rsidR="0047668F" w:rsidRPr="00DE12A3" w:rsidRDefault="0047668F" w:rsidP="00C917D6">
            <w:pPr>
              <w:pStyle w:val="NormalLeft"/>
            </w:pPr>
            <w:r w:rsidRPr="00DE12A3">
              <w:t>50</w:t>
            </w:r>
          </w:p>
        </w:tc>
      </w:tr>
    </w:tbl>
    <w:p w14:paraId="1C01CE15" w14:textId="6AC21EE4" w:rsidR="000D0CF9" w:rsidRPr="00DE12A3" w:rsidRDefault="000D0CF9" w:rsidP="00C917D6">
      <w:pPr>
        <w:pStyle w:val="Gvdemetni21"/>
        <w:shd w:val="clear" w:color="auto" w:fill="auto"/>
        <w:spacing w:after="120" w:line="240" w:lineRule="auto"/>
        <w:ind w:left="284" w:hanging="284"/>
        <w:jc w:val="both"/>
      </w:pPr>
      <w:r w:rsidRPr="00DE12A3">
        <w:rPr>
          <w:rStyle w:val="Gvdemetni95pt0ptbolukbraklyor"/>
          <w:color w:val="auto"/>
        </w:rPr>
        <w:t>(</w:t>
      </w:r>
      <w:r w:rsidRPr="00DE12A3">
        <w:rPr>
          <w:rStyle w:val="Gvdemetni95pt0ptbolukbraklyor"/>
          <w:color w:val="auto"/>
          <w:vertAlign w:val="superscript"/>
        </w:rPr>
        <w:t>a</w:t>
      </w:r>
      <w:r w:rsidRPr="00DE12A3">
        <w:rPr>
          <w:rStyle w:val="Gvdemetni95pt0ptbolukbraklyor"/>
          <w:color w:val="auto"/>
        </w:rPr>
        <w:t>)</w:t>
      </w:r>
      <w:r w:rsidRPr="00DE12A3">
        <w:rPr>
          <w:rStyle w:val="Gvdemetni95pt0ptbolukbraklyor"/>
          <w:color w:val="auto"/>
        </w:rPr>
        <w:tab/>
      </w:r>
      <w:r w:rsidRPr="00DE12A3">
        <w:t xml:space="preserve">Gereken test devirlerinin belirlenmesi için </w:t>
      </w:r>
      <w:r w:rsidR="00FA0678" w:rsidRPr="00DE12A3">
        <w:t>VI’ncı ek</w:t>
      </w:r>
      <w:r w:rsidRPr="00DE12A3">
        <w:t xml:space="preserve">in 5.2.5, 7.6 ve 7.7 </w:t>
      </w:r>
      <w:r w:rsidR="00E1361C" w:rsidRPr="00DE12A3">
        <w:t xml:space="preserve">bentlerine </w:t>
      </w:r>
      <w:r w:rsidRPr="00DE12A3">
        <w:t>bakınız.</w:t>
      </w:r>
    </w:p>
    <w:p w14:paraId="0C4BC91C" w14:textId="77777777" w:rsidR="000D0CF9" w:rsidRPr="00DE12A3" w:rsidRDefault="000D0CF9" w:rsidP="00C917D6">
      <w:pPr>
        <w:pStyle w:val="Gvdemetni21"/>
        <w:shd w:val="clear" w:color="auto" w:fill="auto"/>
        <w:spacing w:after="120" w:line="240" w:lineRule="auto"/>
        <w:ind w:left="284" w:hanging="284"/>
        <w:jc w:val="both"/>
      </w:pPr>
      <w:r w:rsidRPr="00DE12A3">
        <w:rPr>
          <w:rStyle w:val="Gvdemetni95pt0ptbolukbraklyor"/>
          <w:color w:val="auto"/>
        </w:rPr>
        <w:t>(</w:t>
      </w:r>
      <w:r w:rsidRPr="00DE12A3">
        <w:rPr>
          <w:rStyle w:val="Gvdemetni95pt0ptbolukbraklyor"/>
          <w:color w:val="auto"/>
          <w:vertAlign w:val="superscript"/>
        </w:rPr>
        <w:t>b</w:t>
      </w:r>
      <w:r w:rsidRPr="00DE12A3">
        <w:rPr>
          <w:rStyle w:val="Gvdemetni95pt0ptbolukbraklyor"/>
          <w:color w:val="auto"/>
        </w:rPr>
        <w:t>)</w:t>
      </w:r>
      <w:r w:rsidRPr="00DE12A3">
        <w:rPr>
          <w:rStyle w:val="Gvdemetni95pt0ptbolukbraklyor"/>
          <w:color w:val="auto"/>
        </w:rPr>
        <w:tab/>
      </w:r>
      <w:r w:rsidRPr="00DE12A3">
        <w:t>% tork, komut verilen motor devrindeki azami torka bağlıdır.</w:t>
      </w:r>
    </w:p>
    <w:p w14:paraId="526EE39B" w14:textId="77777777" w:rsidR="000D0CF9" w:rsidRPr="00DE12A3" w:rsidRDefault="000D0CF9" w:rsidP="00C917D6">
      <w:pPr>
        <w:pStyle w:val="Gvdemetni21"/>
        <w:shd w:val="clear" w:color="auto" w:fill="auto"/>
        <w:spacing w:after="120" w:line="240" w:lineRule="auto"/>
        <w:ind w:left="284" w:right="20" w:hanging="284"/>
        <w:jc w:val="both"/>
      </w:pPr>
      <w:r w:rsidRPr="00DE12A3">
        <w:rPr>
          <w:rStyle w:val="Gvdemetni95pt0ptbolukbraklyor"/>
          <w:color w:val="auto"/>
        </w:rPr>
        <w:t>(</w:t>
      </w:r>
      <w:r w:rsidRPr="00DE12A3">
        <w:rPr>
          <w:rStyle w:val="Gvdemetni95pt0ptbolukbraklyor"/>
          <w:color w:val="auto"/>
          <w:vertAlign w:val="superscript"/>
        </w:rPr>
        <w:t>c</w:t>
      </w:r>
      <w:r w:rsidRPr="00DE12A3">
        <w:rPr>
          <w:rStyle w:val="Gvdemetni95pt0ptbolukbraklyor"/>
          <w:color w:val="auto"/>
        </w:rPr>
        <w:t>)</w:t>
      </w:r>
      <w:r w:rsidRPr="00DE12A3">
        <w:rPr>
          <w:rStyle w:val="Gvdemetni95pt0ptbolukbraklyor"/>
          <w:color w:val="auto"/>
        </w:rPr>
        <w:tab/>
      </w:r>
      <w:r w:rsidRPr="00DE12A3">
        <w:t>Bir moddan diğerine 20 saniyelik bir geçiş aşaması içinde ilerlenir. Geçiş aşamasında, mevcut modun tork ayarından bir sonraki modun tork ayarına doğrusal bir ilerleme komutu verilir ve devir ayarında bir değişiklik olursa, aynı anda motor devri için de benzer bir doğrusal ilerleme komutu verilir.</w:t>
      </w:r>
    </w:p>
    <w:p w14:paraId="031E8023" w14:textId="77777777" w:rsidR="00441E80" w:rsidRPr="00DE12A3" w:rsidRDefault="00441E80" w:rsidP="00441E80">
      <w:pPr>
        <w:rPr>
          <w:b/>
          <w:color w:val="auto"/>
        </w:rPr>
      </w:pPr>
    </w:p>
    <w:p w14:paraId="4426757D" w14:textId="77777777" w:rsidR="009F4766" w:rsidRPr="00DE12A3" w:rsidRDefault="00861C3B" w:rsidP="00051047">
      <w:pPr>
        <w:jc w:val="center"/>
        <w:rPr>
          <w:b/>
          <w:color w:val="auto"/>
        </w:rPr>
      </w:pPr>
      <w:r w:rsidRPr="00DE12A3">
        <w:rPr>
          <w:b/>
          <w:color w:val="auto"/>
        </w:rPr>
        <w:t xml:space="preserve">Tip E test </w:t>
      </w:r>
      <w:r w:rsidR="00F310B5" w:rsidRPr="00DE12A3">
        <w:rPr>
          <w:b/>
          <w:color w:val="auto"/>
        </w:rPr>
        <w:t>çevrim</w:t>
      </w:r>
      <w:r w:rsidRPr="00DE12A3">
        <w:rPr>
          <w:b/>
          <w:color w:val="auto"/>
        </w:rPr>
        <w:t>leri</w:t>
      </w:r>
    </w:p>
    <w:tbl>
      <w:tblPr>
        <w:tblW w:w="0" w:type="auto"/>
        <w:tblInd w:w="139" w:type="dxa"/>
        <w:tblLayout w:type="fixed"/>
        <w:tblLook w:val="0000" w:firstRow="0" w:lastRow="0" w:firstColumn="0" w:lastColumn="0" w:noHBand="0" w:noVBand="0"/>
      </w:tblPr>
      <w:tblGrid>
        <w:gridCol w:w="2342"/>
        <w:gridCol w:w="2612"/>
        <w:gridCol w:w="2072"/>
        <w:gridCol w:w="1981"/>
      </w:tblGrid>
      <w:tr w:rsidR="00DE12A3" w:rsidRPr="00DE12A3" w14:paraId="55FBAC8A" w14:textId="77777777" w:rsidTr="009F4766">
        <w:tc>
          <w:tcPr>
            <w:tcW w:w="9007" w:type="dxa"/>
            <w:gridSpan w:val="4"/>
            <w:tcBorders>
              <w:top w:val="single" w:sz="2" w:space="0" w:color="auto"/>
              <w:left w:val="single" w:sz="2" w:space="0" w:color="auto"/>
              <w:bottom w:val="single" w:sz="2" w:space="0" w:color="auto"/>
              <w:right w:val="single" w:sz="2" w:space="0" w:color="auto"/>
            </w:tcBorders>
          </w:tcPr>
          <w:p w14:paraId="12760DCA" w14:textId="77777777" w:rsidR="009F4766" w:rsidRPr="00DE12A3" w:rsidRDefault="0047668F" w:rsidP="00C917D6">
            <w:pPr>
              <w:pStyle w:val="NormalCentered"/>
            </w:pPr>
            <w:r w:rsidRPr="00DE12A3">
              <w:rPr>
                <w:iCs/>
              </w:rPr>
              <w:t>RMC-E2 test modları tablosu</w:t>
            </w:r>
          </w:p>
        </w:tc>
      </w:tr>
      <w:tr w:rsidR="00DE12A3" w:rsidRPr="00DE12A3" w14:paraId="79289F51" w14:textId="77777777" w:rsidTr="009F4766">
        <w:tc>
          <w:tcPr>
            <w:tcW w:w="2342" w:type="dxa"/>
            <w:tcBorders>
              <w:top w:val="single" w:sz="2" w:space="0" w:color="auto"/>
              <w:left w:val="single" w:sz="2" w:space="0" w:color="auto"/>
              <w:bottom w:val="single" w:sz="2" w:space="0" w:color="auto"/>
              <w:right w:val="single" w:sz="2" w:space="0" w:color="auto"/>
            </w:tcBorders>
          </w:tcPr>
          <w:p w14:paraId="3316FFC7" w14:textId="77777777" w:rsidR="0047668F" w:rsidRPr="00DE12A3" w:rsidRDefault="0047668F" w:rsidP="00C917D6">
            <w:pPr>
              <w:spacing w:before="120" w:after="120"/>
              <w:rPr>
                <w:rFonts w:cs="Times New Roman"/>
                <w:color w:val="auto"/>
              </w:rPr>
            </w:pPr>
            <w:r w:rsidRPr="00DE12A3">
              <w:rPr>
                <w:rFonts w:cs="Times New Roman"/>
                <w:color w:val="auto"/>
              </w:rPr>
              <w:t>RMC Mod Numarası</w:t>
            </w:r>
          </w:p>
        </w:tc>
        <w:tc>
          <w:tcPr>
            <w:tcW w:w="2612" w:type="dxa"/>
            <w:tcBorders>
              <w:top w:val="single" w:sz="2" w:space="0" w:color="auto"/>
              <w:left w:val="single" w:sz="2" w:space="0" w:color="auto"/>
              <w:bottom w:val="single" w:sz="2" w:space="0" w:color="auto"/>
              <w:right w:val="single" w:sz="2" w:space="0" w:color="auto"/>
            </w:tcBorders>
          </w:tcPr>
          <w:p w14:paraId="145F4060" w14:textId="77777777" w:rsidR="0047668F" w:rsidRPr="00DE12A3" w:rsidRDefault="0047668F" w:rsidP="00C917D6">
            <w:pPr>
              <w:spacing w:before="120" w:after="120"/>
              <w:rPr>
                <w:rFonts w:cs="Times New Roman"/>
                <w:color w:val="auto"/>
              </w:rPr>
            </w:pPr>
            <w:r w:rsidRPr="00DE12A3">
              <w:rPr>
                <w:rFonts w:cs="Times New Roman"/>
                <w:color w:val="auto"/>
              </w:rPr>
              <w:t>Mod süresi (saniye)</w:t>
            </w:r>
          </w:p>
        </w:tc>
        <w:tc>
          <w:tcPr>
            <w:tcW w:w="2072" w:type="dxa"/>
            <w:tcBorders>
              <w:top w:val="single" w:sz="2" w:space="0" w:color="auto"/>
              <w:left w:val="single" w:sz="2" w:space="0" w:color="auto"/>
              <w:bottom w:val="single" w:sz="2" w:space="0" w:color="auto"/>
              <w:right w:val="single" w:sz="2" w:space="0" w:color="auto"/>
            </w:tcBorders>
          </w:tcPr>
          <w:p w14:paraId="25355681" w14:textId="77777777" w:rsidR="0047668F" w:rsidRPr="00DE12A3" w:rsidRDefault="0047668F" w:rsidP="00C917D6">
            <w:pPr>
              <w:spacing w:before="120" w:after="120"/>
              <w:rPr>
                <w:rFonts w:cs="Times New Roman"/>
                <w:color w:val="auto"/>
              </w:rPr>
            </w:pPr>
            <w:r w:rsidRPr="00DE12A3">
              <w:rPr>
                <w:rFonts w:cs="Times New Roman"/>
                <w:color w:val="auto"/>
              </w:rPr>
              <w:t xml:space="preserve">Motor devri </w:t>
            </w:r>
            <w:r w:rsidRPr="00DE12A3">
              <w:rPr>
                <w:rFonts w:cs="Times New Roman"/>
                <w:color w:val="auto"/>
                <w:vertAlign w:val="superscript"/>
              </w:rPr>
              <w:t>(a) (c)</w:t>
            </w:r>
          </w:p>
        </w:tc>
        <w:tc>
          <w:tcPr>
            <w:tcW w:w="1981" w:type="dxa"/>
            <w:tcBorders>
              <w:top w:val="single" w:sz="2" w:space="0" w:color="auto"/>
              <w:left w:val="single" w:sz="2" w:space="0" w:color="auto"/>
              <w:bottom w:val="single" w:sz="2" w:space="0" w:color="auto"/>
              <w:right w:val="single" w:sz="2" w:space="0" w:color="auto"/>
            </w:tcBorders>
          </w:tcPr>
          <w:p w14:paraId="0A444C1D" w14:textId="77777777" w:rsidR="0047668F" w:rsidRPr="00DE12A3" w:rsidRDefault="0047668F" w:rsidP="00C917D6">
            <w:pPr>
              <w:spacing w:before="120" w:after="120"/>
              <w:rPr>
                <w:rFonts w:cs="Times New Roman"/>
                <w:color w:val="auto"/>
              </w:rPr>
            </w:pPr>
            <w:r w:rsidRPr="00DE12A3">
              <w:rPr>
                <w:rFonts w:cs="Times New Roman"/>
                <w:color w:val="auto"/>
              </w:rPr>
              <w:t xml:space="preserve">Tork (%) </w:t>
            </w:r>
            <w:r w:rsidRPr="00DE12A3">
              <w:rPr>
                <w:rFonts w:cs="Times New Roman"/>
                <w:color w:val="auto"/>
                <w:vertAlign w:val="superscript"/>
              </w:rPr>
              <w:t>(b) (c)</w:t>
            </w:r>
          </w:p>
        </w:tc>
      </w:tr>
      <w:tr w:rsidR="00DE12A3" w:rsidRPr="00DE12A3" w14:paraId="10B3C2C9" w14:textId="77777777" w:rsidTr="009F4766">
        <w:tc>
          <w:tcPr>
            <w:tcW w:w="2342" w:type="dxa"/>
            <w:tcBorders>
              <w:top w:val="single" w:sz="2" w:space="0" w:color="auto"/>
              <w:left w:val="single" w:sz="2" w:space="0" w:color="auto"/>
              <w:bottom w:val="single" w:sz="2" w:space="0" w:color="auto"/>
              <w:right w:val="single" w:sz="2" w:space="0" w:color="auto"/>
            </w:tcBorders>
          </w:tcPr>
          <w:p w14:paraId="2674DBC4" w14:textId="77777777" w:rsidR="0047668F" w:rsidRPr="00DE12A3" w:rsidRDefault="0047668F" w:rsidP="00C917D6">
            <w:pPr>
              <w:spacing w:before="120" w:after="120"/>
              <w:rPr>
                <w:rFonts w:cs="Times New Roman"/>
                <w:color w:val="auto"/>
              </w:rPr>
            </w:pPr>
            <w:r w:rsidRPr="00DE12A3">
              <w:rPr>
                <w:rFonts w:cs="Times New Roman"/>
                <w:color w:val="auto"/>
              </w:rPr>
              <w:t>1a Kararlı durum</w:t>
            </w:r>
          </w:p>
        </w:tc>
        <w:tc>
          <w:tcPr>
            <w:tcW w:w="2612" w:type="dxa"/>
            <w:tcBorders>
              <w:top w:val="single" w:sz="2" w:space="0" w:color="auto"/>
              <w:left w:val="single" w:sz="2" w:space="0" w:color="auto"/>
              <w:bottom w:val="single" w:sz="2" w:space="0" w:color="auto"/>
              <w:right w:val="single" w:sz="2" w:space="0" w:color="auto"/>
            </w:tcBorders>
          </w:tcPr>
          <w:p w14:paraId="6C1FB30F" w14:textId="77777777" w:rsidR="0047668F" w:rsidRPr="00DE12A3" w:rsidRDefault="0047668F" w:rsidP="00C917D6">
            <w:pPr>
              <w:pStyle w:val="NormalLeft"/>
            </w:pPr>
            <w:r w:rsidRPr="00DE12A3">
              <w:t>229</w:t>
            </w:r>
          </w:p>
        </w:tc>
        <w:tc>
          <w:tcPr>
            <w:tcW w:w="2072" w:type="dxa"/>
            <w:tcBorders>
              <w:top w:val="single" w:sz="2" w:space="0" w:color="auto"/>
              <w:left w:val="single" w:sz="2" w:space="0" w:color="auto"/>
              <w:bottom w:val="single" w:sz="2" w:space="0" w:color="auto"/>
              <w:right w:val="single" w:sz="2" w:space="0" w:color="auto"/>
            </w:tcBorders>
          </w:tcPr>
          <w:p w14:paraId="172543E2" w14:textId="77777777" w:rsidR="0047668F" w:rsidRPr="00DE12A3" w:rsidRDefault="0047668F" w:rsidP="00C917D6">
            <w:pPr>
              <w:pStyle w:val="NormalLeft"/>
            </w:pPr>
            <w:r w:rsidRPr="00DE12A3">
              <w:t>100</w:t>
            </w:r>
          </w:p>
        </w:tc>
        <w:tc>
          <w:tcPr>
            <w:tcW w:w="1981" w:type="dxa"/>
            <w:tcBorders>
              <w:top w:val="single" w:sz="2" w:space="0" w:color="auto"/>
              <w:left w:val="single" w:sz="2" w:space="0" w:color="auto"/>
              <w:bottom w:val="single" w:sz="2" w:space="0" w:color="auto"/>
              <w:right w:val="single" w:sz="2" w:space="0" w:color="auto"/>
            </w:tcBorders>
          </w:tcPr>
          <w:p w14:paraId="0BA9EB47" w14:textId="77777777" w:rsidR="0047668F" w:rsidRPr="00DE12A3" w:rsidRDefault="0047668F" w:rsidP="00C917D6">
            <w:pPr>
              <w:pStyle w:val="NormalLeft"/>
            </w:pPr>
            <w:r w:rsidRPr="00DE12A3">
              <w:t>100</w:t>
            </w:r>
          </w:p>
        </w:tc>
      </w:tr>
      <w:tr w:rsidR="00DE12A3" w:rsidRPr="00DE12A3" w14:paraId="70320442" w14:textId="77777777" w:rsidTr="009F4766">
        <w:tc>
          <w:tcPr>
            <w:tcW w:w="2342" w:type="dxa"/>
            <w:tcBorders>
              <w:top w:val="single" w:sz="2" w:space="0" w:color="auto"/>
              <w:left w:val="single" w:sz="2" w:space="0" w:color="auto"/>
              <w:bottom w:val="single" w:sz="2" w:space="0" w:color="auto"/>
              <w:right w:val="single" w:sz="2" w:space="0" w:color="auto"/>
            </w:tcBorders>
          </w:tcPr>
          <w:p w14:paraId="5B445124" w14:textId="77777777" w:rsidR="0047668F" w:rsidRPr="00DE12A3" w:rsidRDefault="0047668F" w:rsidP="00C917D6">
            <w:pPr>
              <w:spacing w:before="120" w:after="120"/>
              <w:rPr>
                <w:rFonts w:cs="Times New Roman"/>
                <w:color w:val="auto"/>
              </w:rPr>
            </w:pPr>
            <w:r w:rsidRPr="00DE12A3">
              <w:rPr>
                <w:rFonts w:cs="Times New Roman"/>
                <w:color w:val="auto"/>
              </w:rPr>
              <w:t>1b Geçiş</w:t>
            </w:r>
          </w:p>
        </w:tc>
        <w:tc>
          <w:tcPr>
            <w:tcW w:w="2612" w:type="dxa"/>
            <w:tcBorders>
              <w:top w:val="single" w:sz="2" w:space="0" w:color="auto"/>
              <w:left w:val="single" w:sz="2" w:space="0" w:color="auto"/>
              <w:bottom w:val="single" w:sz="2" w:space="0" w:color="auto"/>
              <w:right w:val="single" w:sz="2" w:space="0" w:color="auto"/>
            </w:tcBorders>
          </w:tcPr>
          <w:p w14:paraId="66E9ADCA" w14:textId="77777777" w:rsidR="0047668F" w:rsidRPr="00DE12A3" w:rsidRDefault="0047668F" w:rsidP="00C917D6">
            <w:pPr>
              <w:pStyle w:val="NormalLeft"/>
            </w:pPr>
            <w:r w:rsidRPr="00DE12A3">
              <w:t>20</w:t>
            </w:r>
          </w:p>
        </w:tc>
        <w:tc>
          <w:tcPr>
            <w:tcW w:w="2072" w:type="dxa"/>
            <w:tcBorders>
              <w:top w:val="single" w:sz="2" w:space="0" w:color="auto"/>
              <w:left w:val="single" w:sz="2" w:space="0" w:color="auto"/>
              <w:bottom w:val="single" w:sz="2" w:space="0" w:color="auto"/>
              <w:right w:val="single" w:sz="2" w:space="0" w:color="auto"/>
            </w:tcBorders>
          </w:tcPr>
          <w:p w14:paraId="2DBD04D0" w14:textId="77777777" w:rsidR="0047668F" w:rsidRPr="00DE12A3" w:rsidRDefault="0047668F" w:rsidP="00C917D6">
            <w:pPr>
              <w:pStyle w:val="NormalLeft"/>
            </w:pPr>
            <w:r w:rsidRPr="00DE12A3">
              <w:t>100</w:t>
            </w:r>
          </w:p>
        </w:tc>
        <w:tc>
          <w:tcPr>
            <w:tcW w:w="1981" w:type="dxa"/>
            <w:tcBorders>
              <w:top w:val="single" w:sz="2" w:space="0" w:color="auto"/>
              <w:left w:val="single" w:sz="2" w:space="0" w:color="auto"/>
              <w:bottom w:val="single" w:sz="2" w:space="0" w:color="auto"/>
              <w:right w:val="single" w:sz="2" w:space="0" w:color="auto"/>
            </w:tcBorders>
          </w:tcPr>
          <w:p w14:paraId="476E5EA7" w14:textId="77777777" w:rsidR="0047668F" w:rsidRPr="00DE12A3" w:rsidRDefault="0047668F" w:rsidP="00C917D6">
            <w:pPr>
              <w:pStyle w:val="NormalLeft"/>
            </w:pPr>
            <w:r w:rsidRPr="00DE12A3">
              <w:t>Doğrusal geçiş</w:t>
            </w:r>
          </w:p>
        </w:tc>
      </w:tr>
      <w:tr w:rsidR="00DE12A3" w:rsidRPr="00DE12A3" w14:paraId="6AD39C29" w14:textId="77777777" w:rsidTr="009F4766">
        <w:tc>
          <w:tcPr>
            <w:tcW w:w="2342" w:type="dxa"/>
            <w:tcBorders>
              <w:top w:val="single" w:sz="2" w:space="0" w:color="auto"/>
              <w:left w:val="single" w:sz="2" w:space="0" w:color="auto"/>
              <w:bottom w:val="single" w:sz="2" w:space="0" w:color="auto"/>
              <w:right w:val="single" w:sz="2" w:space="0" w:color="auto"/>
            </w:tcBorders>
          </w:tcPr>
          <w:p w14:paraId="49DA3EC7" w14:textId="77777777" w:rsidR="0047668F" w:rsidRPr="00DE12A3" w:rsidRDefault="0047668F" w:rsidP="00C917D6">
            <w:pPr>
              <w:spacing w:before="120" w:after="120"/>
              <w:rPr>
                <w:rFonts w:cs="Times New Roman"/>
                <w:color w:val="auto"/>
              </w:rPr>
            </w:pPr>
            <w:r w:rsidRPr="00DE12A3">
              <w:rPr>
                <w:rFonts w:cs="Times New Roman"/>
                <w:color w:val="auto"/>
              </w:rPr>
              <w:t>2a Kararlı durum</w:t>
            </w:r>
          </w:p>
        </w:tc>
        <w:tc>
          <w:tcPr>
            <w:tcW w:w="2612" w:type="dxa"/>
            <w:tcBorders>
              <w:top w:val="single" w:sz="2" w:space="0" w:color="auto"/>
              <w:left w:val="single" w:sz="2" w:space="0" w:color="auto"/>
              <w:bottom w:val="single" w:sz="2" w:space="0" w:color="auto"/>
              <w:right w:val="single" w:sz="2" w:space="0" w:color="auto"/>
            </w:tcBorders>
          </w:tcPr>
          <w:p w14:paraId="54A73A39" w14:textId="77777777" w:rsidR="0047668F" w:rsidRPr="00DE12A3" w:rsidRDefault="0047668F" w:rsidP="00C917D6">
            <w:pPr>
              <w:pStyle w:val="NormalLeft"/>
            </w:pPr>
            <w:r w:rsidRPr="00DE12A3">
              <w:t>166</w:t>
            </w:r>
          </w:p>
        </w:tc>
        <w:tc>
          <w:tcPr>
            <w:tcW w:w="2072" w:type="dxa"/>
            <w:tcBorders>
              <w:top w:val="single" w:sz="2" w:space="0" w:color="auto"/>
              <w:left w:val="single" w:sz="2" w:space="0" w:color="auto"/>
              <w:bottom w:val="single" w:sz="2" w:space="0" w:color="auto"/>
              <w:right w:val="single" w:sz="2" w:space="0" w:color="auto"/>
            </w:tcBorders>
          </w:tcPr>
          <w:p w14:paraId="2E71860F" w14:textId="77777777" w:rsidR="0047668F" w:rsidRPr="00DE12A3" w:rsidRDefault="0047668F" w:rsidP="00C917D6">
            <w:pPr>
              <w:pStyle w:val="NormalLeft"/>
            </w:pPr>
            <w:r w:rsidRPr="00DE12A3">
              <w:t>100</w:t>
            </w:r>
          </w:p>
        </w:tc>
        <w:tc>
          <w:tcPr>
            <w:tcW w:w="1981" w:type="dxa"/>
            <w:tcBorders>
              <w:top w:val="single" w:sz="2" w:space="0" w:color="auto"/>
              <w:left w:val="single" w:sz="2" w:space="0" w:color="auto"/>
              <w:bottom w:val="single" w:sz="2" w:space="0" w:color="auto"/>
              <w:right w:val="single" w:sz="2" w:space="0" w:color="auto"/>
            </w:tcBorders>
          </w:tcPr>
          <w:p w14:paraId="5430AFC3" w14:textId="77777777" w:rsidR="0047668F" w:rsidRPr="00DE12A3" w:rsidRDefault="0047668F" w:rsidP="00C917D6">
            <w:pPr>
              <w:pStyle w:val="NormalLeft"/>
            </w:pPr>
            <w:r w:rsidRPr="00DE12A3">
              <w:t>25</w:t>
            </w:r>
          </w:p>
        </w:tc>
      </w:tr>
      <w:tr w:rsidR="00DE12A3" w:rsidRPr="00DE12A3" w14:paraId="13CD3E2E" w14:textId="77777777" w:rsidTr="009F4766">
        <w:tc>
          <w:tcPr>
            <w:tcW w:w="2342" w:type="dxa"/>
            <w:tcBorders>
              <w:top w:val="single" w:sz="2" w:space="0" w:color="auto"/>
              <w:left w:val="single" w:sz="2" w:space="0" w:color="auto"/>
              <w:bottom w:val="single" w:sz="2" w:space="0" w:color="auto"/>
              <w:right w:val="single" w:sz="2" w:space="0" w:color="auto"/>
            </w:tcBorders>
          </w:tcPr>
          <w:p w14:paraId="531AC64E" w14:textId="77777777" w:rsidR="0047668F" w:rsidRPr="00DE12A3" w:rsidRDefault="0047668F" w:rsidP="00C917D6">
            <w:pPr>
              <w:spacing w:before="120" w:after="120"/>
              <w:rPr>
                <w:rFonts w:cs="Times New Roman"/>
                <w:color w:val="auto"/>
              </w:rPr>
            </w:pPr>
            <w:r w:rsidRPr="00DE12A3">
              <w:rPr>
                <w:rFonts w:cs="Times New Roman"/>
                <w:color w:val="auto"/>
              </w:rPr>
              <w:t>2b Geçiş</w:t>
            </w:r>
          </w:p>
        </w:tc>
        <w:tc>
          <w:tcPr>
            <w:tcW w:w="2612" w:type="dxa"/>
            <w:tcBorders>
              <w:top w:val="single" w:sz="2" w:space="0" w:color="auto"/>
              <w:left w:val="single" w:sz="2" w:space="0" w:color="auto"/>
              <w:bottom w:val="single" w:sz="2" w:space="0" w:color="auto"/>
              <w:right w:val="single" w:sz="2" w:space="0" w:color="auto"/>
            </w:tcBorders>
          </w:tcPr>
          <w:p w14:paraId="45369074" w14:textId="77777777" w:rsidR="0047668F" w:rsidRPr="00DE12A3" w:rsidRDefault="0047668F" w:rsidP="00C917D6">
            <w:pPr>
              <w:pStyle w:val="NormalLeft"/>
            </w:pPr>
            <w:r w:rsidRPr="00DE12A3">
              <w:t>20</w:t>
            </w:r>
          </w:p>
        </w:tc>
        <w:tc>
          <w:tcPr>
            <w:tcW w:w="2072" w:type="dxa"/>
            <w:tcBorders>
              <w:top w:val="single" w:sz="2" w:space="0" w:color="auto"/>
              <w:left w:val="single" w:sz="2" w:space="0" w:color="auto"/>
              <w:bottom w:val="single" w:sz="2" w:space="0" w:color="auto"/>
              <w:right w:val="single" w:sz="2" w:space="0" w:color="auto"/>
            </w:tcBorders>
          </w:tcPr>
          <w:p w14:paraId="59507E1E" w14:textId="77777777" w:rsidR="0047668F" w:rsidRPr="00DE12A3" w:rsidRDefault="0047668F" w:rsidP="00C917D6">
            <w:pPr>
              <w:pStyle w:val="NormalLeft"/>
            </w:pPr>
            <w:r w:rsidRPr="00DE12A3">
              <w:t>100</w:t>
            </w:r>
          </w:p>
        </w:tc>
        <w:tc>
          <w:tcPr>
            <w:tcW w:w="1981" w:type="dxa"/>
            <w:tcBorders>
              <w:top w:val="single" w:sz="2" w:space="0" w:color="auto"/>
              <w:left w:val="single" w:sz="2" w:space="0" w:color="auto"/>
              <w:bottom w:val="single" w:sz="2" w:space="0" w:color="auto"/>
              <w:right w:val="single" w:sz="2" w:space="0" w:color="auto"/>
            </w:tcBorders>
          </w:tcPr>
          <w:p w14:paraId="000325C9" w14:textId="77777777" w:rsidR="0047668F" w:rsidRPr="00DE12A3" w:rsidRDefault="0047668F" w:rsidP="00C917D6">
            <w:pPr>
              <w:pStyle w:val="NormalLeft"/>
            </w:pPr>
            <w:r w:rsidRPr="00DE12A3">
              <w:t>Doğrusal geçiş</w:t>
            </w:r>
          </w:p>
        </w:tc>
      </w:tr>
      <w:tr w:rsidR="00DE12A3" w:rsidRPr="00DE12A3" w14:paraId="528D2994" w14:textId="77777777" w:rsidTr="009F4766">
        <w:tc>
          <w:tcPr>
            <w:tcW w:w="2342" w:type="dxa"/>
            <w:tcBorders>
              <w:top w:val="single" w:sz="2" w:space="0" w:color="auto"/>
              <w:left w:val="single" w:sz="2" w:space="0" w:color="auto"/>
              <w:bottom w:val="single" w:sz="2" w:space="0" w:color="auto"/>
              <w:right w:val="single" w:sz="2" w:space="0" w:color="auto"/>
            </w:tcBorders>
          </w:tcPr>
          <w:p w14:paraId="43D719FE" w14:textId="77777777" w:rsidR="0047668F" w:rsidRPr="00DE12A3" w:rsidRDefault="0047668F" w:rsidP="00C917D6">
            <w:pPr>
              <w:spacing w:before="120" w:after="120"/>
              <w:rPr>
                <w:rFonts w:cs="Times New Roman"/>
                <w:color w:val="auto"/>
              </w:rPr>
            </w:pPr>
            <w:r w:rsidRPr="00DE12A3">
              <w:rPr>
                <w:rFonts w:cs="Times New Roman"/>
                <w:color w:val="auto"/>
              </w:rPr>
              <w:t>3a Kararlı durum</w:t>
            </w:r>
          </w:p>
        </w:tc>
        <w:tc>
          <w:tcPr>
            <w:tcW w:w="2612" w:type="dxa"/>
            <w:tcBorders>
              <w:top w:val="single" w:sz="2" w:space="0" w:color="auto"/>
              <w:left w:val="single" w:sz="2" w:space="0" w:color="auto"/>
              <w:bottom w:val="single" w:sz="2" w:space="0" w:color="auto"/>
              <w:right w:val="single" w:sz="2" w:space="0" w:color="auto"/>
            </w:tcBorders>
          </w:tcPr>
          <w:p w14:paraId="2E0CFE2D" w14:textId="77777777" w:rsidR="0047668F" w:rsidRPr="00DE12A3" w:rsidRDefault="0047668F" w:rsidP="00C917D6">
            <w:pPr>
              <w:pStyle w:val="NormalLeft"/>
            </w:pPr>
            <w:r w:rsidRPr="00DE12A3">
              <w:t>570</w:t>
            </w:r>
          </w:p>
        </w:tc>
        <w:tc>
          <w:tcPr>
            <w:tcW w:w="2072" w:type="dxa"/>
            <w:tcBorders>
              <w:top w:val="single" w:sz="2" w:space="0" w:color="auto"/>
              <w:left w:val="single" w:sz="2" w:space="0" w:color="auto"/>
              <w:bottom w:val="single" w:sz="2" w:space="0" w:color="auto"/>
              <w:right w:val="single" w:sz="2" w:space="0" w:color="auto"/>
            </w:tcBorders>
          </w:tcPr>
          <w:p w14:paraId="437FDEDC" w14:textId="77777777" w:rsidR="0047668F" w:rsidRPr="00DE12A3" w:rsidRDefault="0047668F" w:rsidP="00C917D6">
            <w:pPr>
              <w:pStyle w:val="NormalLeft"/>
            </w:pPr>
            <w:r w:rsidRPr="00DE12A3">
              <w:t>100</w:t>
            </w:r>
          </w:p>
        </w:tc>
        <w:tc>
          <w:tcPr>
            <w:tcW w:w="1981" w:type="dxa"/>
            <w:tcBorders>
              <w:top w:val="single" w:sz="2" w:space="0" w:color="auto"/>
              <w:left w:val="single" w:sz="2" w:space="0" w:color="auto"/>
              <w:bottom w:val="single" w:sz="2" w:space="0" w:color="auto"/>
              <w:right w:val="single" w:sz="2" w:space="0" w:color="auto"/>
            </w:tcBorders>
          </w:tcPr>
          <w:p w14:paraId="1B9587F3" w14:textId="77777777" w:rsidR="0047668F" w:rsidRPr="00DE12A3" w:rsidRDefault="0047668F" w:rsidP="00C917D6">
            <w:pPr>
              <w:pStyle w:val="NormalLeft"/>
            </w:pPr>
            <w:r w:rsidRPr="00DE12A3">
              <w:t>75</w:t>
            </w:r>
          </w:p>
        </w:tc>
      </w:tr>
      <w:tr w:rsidR="00DE12A3" w:rsidRPr="00DE12A3" w14:paraId="448B4BA7" w14:textId="77777777" w:rsidTr="009F4766">
        <w:tc>
          <w:tcPr>
            <w:tcW w:w="2342" w:type="dxa"/>
            <w:tcBorders>
              <w:top w:val="single" w:sz="2" w:space="0" w:color="auto"/>
              <w:left w:val="single" w:sz="2" w:space="0" w:color="auto"/>
              <w:bottom w:val="single" w:sz="2" w:space="0" w:color="auto"/>
              <w:right w:val="single" w:sz="2" w:space="0" w:color="auto"/>
            </w:tcBorders>
          </w:tcPr>
          <w:p w14:paraId="0C80E45E" w14:textId="77777777" w:rsidR="0047668F" w:rsidRPr="00DE12A3" w:rsidRDefault="0047668F" w:rsidP="00C917D6">
            <w:pPr>
              <w:spacing w:before="120" w:after="120"/>
              <w:rPr>
                <w:rFonts w:cs="Times New Roman"/>
                <w:color w:val="auto"/>
              </w:rPr>
            </w:pPr>
            <w:r w:rsidRPr="00DE12A3">
              <w:rPr>
                <w:rFonts w:cs="Times New Roman"/>
                <w:color w:val="auto"/>
              </w:rPr>
              <w:t>3b Geçiş</w:t>
            </w:r>
          </w:p>
        </w:tc>
        <w:tc>
          <w:tcPr>
            <w:tcW w:w="2612" w:type="dxa"/>
            <w:tcBorders>
              <w:top w:val="single" w:sz="2" w:space="0" w:color="auto"/>
              <w:left w:val="single" w:sz="2" w:space="0" w:color="auto"/>
              <w:bottom w:val="single" w:sz="2" w:space="0" w:color="auto"/>
              <w:right w:val="single" w:sz="2" w:space="0" w:color="auto"/>
            </w:tcBorders>
          </w:tcPr>
          <w:p w14:paraId="47C59635" w14:textId="77777777" w:rsidR="0047668F" w:rsidRPr="00DE12A3" w:rsidRDefault="0047668F" w:rsidP="00C917D6">
            <w:pPr>
              <w:pStyle w:val="NormalLeft"/>
            </w:pPr>
            <w:r w:rsidRPr="00DE12A3">
              <w:t>20</w:t>
            </w:r>
          </w:p>
        </w:tc>
        <w:tc>
          <w:tcPr>
            <w:tcW w:w="2072" w:type="dxa"/>
            <w:tcBorders>
              <w:top w:val="single" w:sz="2" w:space="0" w:color="auto"/>
              <w:left w:val="single" w:sz="2" w:space="0" w:color="auto"/>
              <w:bottom w:val="single" w:sz="2" w:space="0" w:color="auto"/>
              <w:right w:val="single" w:sz="2" w:space="0" w:color="auto"/>
            </w:tcBorders>
          </w:tcPr>
          <w:p w14:paraId="0220419B" w14:textId="77777777" w:rsidR="0047668F" w:rsidRPr="00DE12A3" w:rsidRDefault="0047668F" w:rsidP="00C917D6">
            <w:pPr>
              <w:pStyle w:val="NormalLeft"/>
            </w:pPr>
            <w:r w:rsidRPr="00DE12A3">
              <w:t>100</w:t>
            </w:r>
          </w:p>
        </w:tc>
        <w:tc>
          <w:tcPr>
            <w:tcW w:w="1981" w:type="dxa"/>
            <w:tcBorders>
              <w:top w:val="single" w:sz="2" w:space="0" w:color="auto"/>
              <w:left w:val="single" w:sz="2" w:space="0" w:color="auto"/>
              <w:bottom w:val="single" w:sz="2" w:space="0" w:color="auto"/>
              <w:right w:val="single" w:sz="2" w:space="0" w:color="auto"/>
            </w:tcBorders>
          </w:tcPr>
          <w:p w14:paraId="2A817C53" w14:textId="77777777" w:rsidR="0047668F" w:rsidRPr="00DE12A3" w:rsidRDefault="0047668F" w:rsidP="00C917D6">
            <w:pPr>
              <w:pStyle w:val="NormalLeft"/>
            </w:pPr>
            <w:r w:rsidRPr="00DE12A3">
              <w:t>Doğrusal geçiş</w:t>
            </w:r>
          </w:p>
        </w:tc>
      </w:tr>
      <w:tr w:rsidR="00DE12A3" w:rsidRPr="00DE12A3" w14:paraId="01E74E5A" w14:textId="77777777" w:rsidTr="009F4766">
        <w:tc>
          <w:tcPr>
            <w:tcW w:w="2342" w:type="dxa"/>
            <w:tcBorders>
              <w:top w:val="single" w:sz="2" w:space="0" w:color="auto"/>
              <w:left w:val="single" w:sz="2" w:space="0" w:color="auto"/>
              <w:bottom w:val="single" w:sz="2" w:space="0" w:color="auto"/>
              <w:right w:val="single" w:sz="2" w:space="0" w:color="auto"/>
            </w:tcBorders>
          </w:tcPr>
          <w:p w14:paraId="2EE22BCC" w14:textId="77777777" w:rsidR="0047668F" w:rsidRPr="00DE12A3" w:rsidRDefault="0047668F" w:rsidP="00C917D6">
            <w:pPr>
              <w:spacing w:before="120" w:after="120"/>
              <w:rPr>
                <w:rFonts w:cs="Times New Roman"/>
                <w:color w:val="auto"/>
              </w:rPr>
            </w:pPr>
            <w:r w:rsidRPr="00DE12A3">
              <w:rPr>
                <w:rFonts w:cs="Times New Roman"/>
                <w:color w:val="auto"/>
              </w:rPr>
              <w:t>4 Kararlı durum</w:t>
            </w:r>
          </w:p>
        </w:tc>
        <w:tc>
          <w:tcPr>
            <w:tcW w:w="2612" w:type="dxa"/>
            <w:tcBorders>
              <w:top w:val="single" w:sz="2" w:space="0" w:color="auto"/>
              <w:left w:val="single" w:sz="2" w:space="0" w:color="auto"/>
              <w:bottom w:val="single" w:sz="2" w:space="0" w:color="auto"/>
              <w:right w:val="single" w:sz="2" w:space="0" w:color="auto"/>
            </w:tcBorders>
          </w:tcPr>
          <w:p w14:paraId="35B6FAB1" w14:textId="77777777" w:rsidR="0047668F" w:rsidRPr="00DE12A3" w:rsidRDefault="0047668F" w:rsidP="00C917D6">
            <w:pPr>
              <w:pStyle w:val="NormalLeft"/>
            </w:pPr>
            <w:r w:rsidRPr="00DE12A3">
              <w:t>175</w:t>
            </w:r>
          </w:p>
        </w:tc>
        <w:tc>
          <w:tcPr>
            <w:tcW w:w="2072" w:type="dxa"/>
            <w:tcBorders>
              <w:top w:val="single" w:sz="2" w:space="0" w:color="auto"/>
              <w:left w:val="single" w:sz="2" w:space="0" w:color="auto"/>
              <w:bottom w:val="single" w:sz="2" w:space="0" w:color="auto"/>
              <w:right w:val="single" w:sz="2" w:space="0" w:color="auto"/>
            </w:tcBorders>
          </w:tcPr>
          <w:p w14:paraId="47BC1A03" w14:textId="77777777" w:rsidR="0047668F" w:rsidRPr="00DE12A3" w:rsidRDefault="0047668F" w:rsidP="00C917D6">
            <w:pPr>
              <w:pStyle w:val="NormalLeft"/>
            </w:pPr>
            <w:r w:rsidRPr="00DE12A3">
              <w:t>100</w:t>
            </w:r>
          </w:p>
        </w:tc>
        <w:tc>
          <w:tcPr>
            <w:tcW w:w="1981" w:type="dxa"/>
            <w:tcBorders>
              <w:top w:val="single" w:sz="2" w:space="0" w:color="auto"/>
              <w:left w:val="single" w:sz="2" w:space="0" w:color="auto"/>
              <w:bottom w:val="single" w:sz="2" w:space="0" w:color="auto"/>
              <w:right w:val="single" w:sz="2" w:space="0" w:color="auto"/>
            </w:tcBorders>
          </w:tcPr>
          <w:p w14:paraId="163ECA65" w14:textId="77777777" w:rsidR="0047668F" w:rsidRPr="00DE12A3" w:rsidRDefault="0047668F" w:rsidP="00C917D6">
            <w:pPr>
              <w:pStyle w:val="NormalLeft"/>
            </w:pPr>
            <w:r w:rsidRPr="00DE12A3">
              <w:t>50</w:t>
            </w:r>
          </w:p>
        </w:tc>
      </w:tr>
    </w:tbl>
    <w:p w14:paraId="21B57504" w14:textId="7B56C8CC" w:rsidR="000D0CF9" w:rsidRPr="00DE12A3" w:rsidRDefault="000D0CF9" w:rsidP="00C917D6">
      <w:pPr>
        <w:pStyle w:val="Gvdemetni21"/>
        <w:shd w:val="clear" w:color="auto" w:fill="auto"/>
        <w:spacing w:after="120" w:line="240" w:lineRule="auto"/>
        <w:ind w:left="284" w:hanging="284"/>
        <w:jc w:val="both"/>
      </w:pPr>
      <w:r w:rsidRPr="00DE12A3">
        <w:rPr>
          <w:rStyle w:val="Gvdemetni95pt0ptbolukbraklyor"/>
          <w:color w:val="auto"/>
        </w:rPr>
        <w:lastRenderedPageBreak/>
        <w:t>(</w:t>
      </w:r>
      <w:r w:rsidRPr="00DE12A3">
        <w:rPr>
          <w:rStyle w:val="Gvdemetni95pt0ptbolukbraklyor"/>
          <w:color w:val="auto"/>
          <w:vertAlign w:val="superscript"/>
        </w:rPr>
        <w:t>a</w:t>
      </w:r>
      <w:r w:rsidRPr="00DE12A3">
        <w:rPr>
          <w:rStyle w:val="Gvdemetni95pt0ptbolukbraklyor"/>
          <w:color w:val="auto"/>
        </w:rPr>
        <w:t>)</w:t>
      </w:r>
      <w:r w:rsidRPr="00DE12A3">
        <w:rPr>
          <w:rStyle w:val="Gvdemetni95pt0ptbolukbraklyor"/>
          <w:color w:val="auto"/>
        </w:rPr>
        <w:tab/>
      </w:r>
      <w:r w:rsidRPr="00DE12A3">
        <w:t xml:space="preserve">Gereken test devirlerinin belirlenmesi için </w:t>
      </w:r>
      <w:r w:rsidR="00FA0678" w:rsidRPr="00DE12A3">
        <w:t>VI’ncı ek</w:t>
      </w:r>
      <w:r w:rsidRPr="00DE12A3">
        <w:t xml:space="preserve">in 5.2.5, 7.6 ve 7.7 </w:t>
      </w:r>
      <w:r w:rsidR="00E1361C" w:rsidRPr="00DE12A3">
        <w:t xml:space="preserve">bentlerine </w:t>
      </w:r>
      <w:r w:rsidRPr="00DE12A3">
        <w:t>bakınız.</w:t>
      </w:r>
    </w:p>
    <w:p w14:paraId="4956D546" w14:textId="77777777" w:rsidR="000D0CF9" w:rsidRPr="00DE12A3" w:rsidRDefault="000D0CF9" w:rsidP="00C917D6">
      <w:pPr>
        <w:pStyle w:val="Gvdemetni21"/>
        <w:shd w:val="clear" w:color="auto" w:fill="auto"/>
        <w:spacing w:after="120" w:line="240" w:lineRule="auto"/>
        <w:ind w:left="284" w:hanging="284"/>
        <w:jc w:val="both"/>
      </w:pPr>
      <w:r w:rsidRPr="00DE12A3">
        <w:rPr>
          <w:rStyle w:val="Gvdemetni95pt0ptbolukbraklyor"/>
          <w:color w:val="auto"/>
        </w:rPr>
        <w:t>(</w:t>
      </w:r>
      <w:r w:rsidRPr="00DE12A3">
        <w:rPr>
          <w:rStyle w:val="Gvdemetni95pt0ptbolukbraklyor"/>
          <w:color w:val="auto"/>
          <w:vertAlign w:val="superscript"/>
        </w:rPr>
        <w:t>b</w:t>
      </w:r>
      <w:r w:rsidRPr="00DE12A3">
        <w:rPr>
          <w:rStyle w:val="Gvdemetni95pt0ptbolukbraklyor"/>
          <w:color w:val="auto"/>
        </w:rPr>
        <w:t>)</w:t>
      </w:r>
      <w:r w:rsidRPr="00DE12A3">
        <w:rPr>
          <w:rStyle w:val="Gvdemetni95pt0ptbolukbraklyor"/>
          <w:color w:val="auto"/>
        </w:rPr>
        <w:tab/>
      </w:r>
      <w:r w:rsidRPr="00DE12A3">
        <w:t>% tork, komut verilen motor devrindeki azami torka bağlıdır.</w:t>
      </w:r>
    </w:p>
    <w:p w14:paraId="2340BF77" w14:textId="77777777" w:rsidR="000D0CF9" w:rsidRPr="00DE12A3" w:rsidRDefault="000D0CF9" w:rsidP="00C917D6">
      <w:pPr>
        <w:pStyle w:val="Gvdemetni21"/>
        <w:shd w:val="clear" w:color="auto" w:fill="auto"/>
        <w:spacing w:after="120" w:line="240" w:lineRule="auto"/>
        <w:ind w:left="284" w:right="20" w:hanging="284"/>
        <w:jc w:val="both"/>
      </w:pPr>
      <w:r w:rsidRPr="00DE12A3">
        <w:rPr>
          <w:rStyle w:val="Gvdemetni95pt0ptbolukbraklyor"/>
          <w:color w:val="auto"/>
        </w:rPr>
        <w:t>(</w:t>
      </w:r>
      <w:r w:rsidRPr="00DE12A3">
        <w:rPr>
          <w:rStyle w:val="Gvdemetni95pt0ptbolukbraklyor"/>
          <w:color w:val="auto"/>
          <w:vertAlign w:val="superscript"/>
        </w:rPr>
        <w:t>c</w:t>
      </w:r>
      <w:r w:rsidRPr="00DE12A3">
        <w:rPr>
          <w:rStyle w:val="Gvdemetni95pt0ptbolukbraklyor"/>
          <w:color w:val="auto"/>
        </w:rPr>
        <w:t>)</w:t>
      </w:r>
      <w:r w:rsidRPr="00DE12A3">
        <w:rPr>
          <w:rStyle w:val="Gvdemetni95pt0ptbolukbraklyor"/>
          <w:color w:val="auto"/>
        </w:rPr>
        <w:tab/>
      </w:r>
      <w:r w:rsidRPr="00DE12A3">
        <w:t>Bir moddan diğerine 20 saniyelik bir geçiş aşaması içinde ilerlenir. Geçiş aşamasında, mevcut modun tork ayarından bir sonraki modun tork ayarına doğrusal bir ilerleme komutu verilir ve devir ayarında bir değişiklik olursa, aynı anda motor devri için de benzer bir doğrusal ilerleme komutu verilir.</w:t>
      </w:r>
    </w:p>
    <w:p w14:paraId="05FDF454" w14:textId="77777777" w:rsidR="000D0CF9" w:rsidRPr="00DE12A3" w:rsidRDefault="000D0CF9" w:rsidP="00C917D6">
      <w:pPr>
        <w:spacing w:before="120" w:after="120"/>
        <w:rPr>
          <w:rFonts w:cs="Times New Roman"/>
          <w:color w:val="auto"/>
        </w:rPr>
      </w:pPr>
    </w:p>
    <w:tbl>
      <w:tblPr>
        <w:tblW w:w="0" w:type="auto"/>
        <w:tblInd w:w="139" w:type="dxa"/>
        <w:tblLayout w:type="fixed"/>
        <w:tblLook w:val="0000" w:firstRow="0" w:lastRow="0" w:firstColumn="0" w:lastColumn="0" w:noHBand="0" w:noVBand="0"/>
      </w:tblPr>
      <w:tblGrid>
        <w:gridCol w:w="2342"/>
        <w:gridCol w:w="2612"/>
        <w:gridCol w:w="2072"/>
        <w:gridCol w:w="1981"/>
      </w:tblGrid>
      <w:tr w:rsidR="00DE12A3" w:rsidRPr="00DE12A3" w14:paraId="6FE3D069" w14:textId="77777777" w:rsidTr="009F4766">
        <w:tc>
          <w:tcPr>
            <w:tcW w:w="9007" w:type="dxa"/>
            <w:gridSpan w:val="4"/>
            <w:tcBorders>
              <w:top w:val="single" w:sz="2" w:space="0" w:color="auto"/>
              <w:left w:val="single" w:sz="2" w:space="0" w:color="auto"/>
              <w:bottom w:val="single" w:sz="2" w:space="0" w:color="auto"/>
              <w:right w:val="single" w:sz="2" w:space="0" w:color="auto"/>
            </w:tcBorders>
          </w:tcPr>
          <w:p w14:paraId="7A92E18D" w14:textId="77777777" w:rsidR="009F4766" w:rsidRPr="00DE12A3" w:rsidRDefault="0047668F" w:rsidP="00C917D6">
            <w:pPr>
              <w:pStyle w:val="NormalCentered"/>
            </w:pPr>
            <w:r w:rsidRPr="00DE12A3">
              <w:rPr>
                <w:iCs/>
              </w:rPr>
              <w:t>RMC-E3 test modları tablosu</w:t>
            </w:r>
          </w:p>
        </w:tc>
      </w:tr>
      <w:tr w:rsidR="00DE12A3" w:rsidRPr="00DE12A3" w14:paraId="465E1C5B" w14:textId="77777777" w:rsidTr="009F4766">
        <w:tc>
          <w:tcPr>
            <w:tcW w:w="2342" w:type="dxa"/>
            <w:tcBorders>
              <w:top w:val="single" w:sz="2" w:space="0" w:color="auto"/>
              <w:left w:val="single" w:sz="2" w:space="0" w:color="auto"/>
              <w:bottom w:val="single" w:sz="2" w:space="0" w:color="auto"/>
              <w:right w:val="single" w:sz="2" w:space="0" w:color="auto"/>
            </w:tcBorders>
          </w:tcPr>
          <w:p w14:paraId="11BF4575" w14:textId="77777777" w:rsidR="0047668F" w:rsidRPr="00DE12A3" w:rsidRDefault="0047668F" w:rsidP="00C917D6">
            <w:pPr>
              <w:spacing w:before="120" w:after="120"/>
              <w:rPr>
                <w:rFonts w:cs="Times New Roman"/>
                <w:color w:val="auto"/>
              </w:rPr>
            </w:pPr>
            <w:r w:rsidRPr="00DE12A3">
              <w:rPr>
                <w:rFonts w:cs="Times New Roman"/>
                <w:color w:val="auto"/>
              </w:rPr>
              <w:t>RMC Mod Numarası</w:t>
            </w:r>
          </w:p>
        </w:tc>
        <w:tc>
          <w:tcPr>
            <w:tcW w:w="2612" w:type="dxa"/>
            <w:tcBorders>
              <w:top w:val="single" w:sz="2" w:space="0" w:color="auto"/>
              <w:left w:val="single" w:sz="2" w:space="0" w:color="auto"/>
              <w:bottom w:val="single" w:sz="2" w:space="0" w:color="auto"/>
              <w:right w:val="single" w:sz="2" w:space="0" w:color="auto"/>
            </w:tcBorders>
          </w:tcPr>
          <w:p w14:paraId="71D84FF9" w14:textId="77777777" w:rsidR="0047668F" w:rsidRPr="00DE12A3" w:rsidRDefault="0047668F" w:rsidP="00C917D6">
            <w:pPr>
              <w:spacing w:before="120" w:after="120"/>
              <w:rPr>
                <w:rFonts w:cs="Times New Roman"/>
                <w:color w:val="auto"/>
              </w:rPr>
            </w:pPr>
            <w:r w:rsidRPr="00DE12A3">
              <w:rPr>
                <w:rFonts w:cs="Times New Roman"/>
                <w:color w:val="auto"/>
              </w:rPr>
              <w:t>Mod süresi (saniye)</w:t>
            </w:r>
          </w:p>
        </w:tc>
        <w:tc>
          <w:tcPr>
            <w:tcW w:w="2072" w:type="dxa"/>
            <w:tcBorders>
              <w:top w:val="single" w:sz="2" w:space="0" w:color="auto"/>
              <w:left w:val="single" w:sz="2" w:space="0" w:color="auto"/>
              <w:bottom w:val="single" w:sz="2" w:space="0" w:color="auto"/>
              <w:right w:val="single" w:sz="2" w:space="0" w:color="auto"/>
            </w:tcBorders>
          </w:tcPr>
          <w:p w14:paraId="128105AF" w14:textId="77777777" w:rsidR="0047668F" w:rsidRPr="00DE12A3" w:rsidRDefault="0047668F" w:rsidP="00C917D6">
            <w:pPr>
              <w:spacing w:before="120" w:after="120"/>
              <w:rPr>
                <w:rFonts w:cs="Times New Roman"/>
                <w:color w:val="auto"/>
              </w:rPr>
            </w:pPr>
            <w:r w:rsidRPr="00DE12A3">
              <w:rPr>
                <w:rFonts w:cs="Times New Roman"/>
                <w:color w:val="auto"/>
              </w:rPr>
              <w:t xml:space="preserve">Motor devri </w:t>
            </w:r>
            <w:r w:rsidRPr="00DE12A3">
              <w:rPr>
                <w:rFonts w:cs="Times New Roman"/>
                <w:color w:val="auto"/>
                <w:vertAlign w:val="superscript"/>
              </w:rPr>
              <w:t>(a) (c)</w:t>
            </w:r>
          </w:p>
        </w:tc>
        <w:tc>
          <w:tcPr>
            <w:tcW w:w="1981" w:type="dxa"/>
            <w:tcBorders>
              <w:top w:val="single" w:sz="2" w:space="0" w:color="auto"/>
              <w:left w:val="single" w:sz="2" w:space="0" w:color="auto"/>
              <w:bottom w:val="single" w:sz="2" w:space="0" w:color="auto"/>
              <w:right w:val="single" w:sz="2" w:space="0" w:color="auto"/>
            </w:tcBorders>
          </w:tcPr>
          <w:p w14:paraId="7AC3D8B9" w14:textId="77777777" w:rsidR="0047668F" w:rsidRPr="00DE12A3" w:rsidRDefault="0047668F" w:rsidP="00C917D6">
            <w:pPr>
              <w:spacing w:before="120" w:after="120"/>
              <w:rPr>
                <w:rFonts w:cs="Times New Roman"/>
                <w:color w:val="auto"/>
              </w:rPr>
            </w:pPr>
            <w:r w:rsidRPr="00DE12A3">
              <w:rPr>
                <w:rFonts w:cs="Times New Roman"/>
                <w:color w:val="auto"/>
              </w:rPr>
              <w:t xml:space="preserve">Tork (%) </w:t>
            </w:r>
            <w:r w:rsidRPr="00DE12A3">
              <w:rPr>
                <w:rFonts w:cs="Times New Roman"/>
                <w:color w:val="auto"/>
                <w:vertAlign w:val="superscript"/>
              </w:rPr>
              <w:t>(b) (c)</w:t>
            </w:r>
          </w:p>
        </w:tc>
      </w:tr>
      <w:tr w:rsidR="00DE12A3" w:rsidRPr="00DE12A3" w14:paraId="023BED1D" w14:textId="77777777" w:rsidTr="009F4766">
        <w:tc>
          <w:tcPr>
            <w:tcW w:w="2342" w:type="dxa"/>
            <w:tcBorders>
              <w:top w:val="single" w:sz="2" w:space="0" w:color="auto"/>
              <w:left w:val="single" w:sz="2" w:space="0" w:color="auto"/>
              <w:bottom w:val="single" w:sz="2" w:space="0" w:color="auto"/>
              <w:right w:val="single" w:sz="2" w:space="0" w:color="auto"/>
            </w:tcBorders>
          </w:tcPr>
          <w:p w14:paraId="23729F4F" w14:textId="77777777" w:rsidR="0047668F" w:rsidRPr="00DE12A3" w:rsidRDefault="0047668F" w:rsidP="00C917D6">
            <w:pPr>
              <w:spacing w:before="120" w:after="120"/>
              <w:rPr>
                <w:rFonts w:cs="Times New Roman"/>
                <w:color w:val="auto"/>
              </w:rPr>
            </w:pPr>
            <w:r w:rsidRPr="00DE12A3">
              <w:rPr>
                <w:rFonts w:cs="Times New Roman"/>
                <w:color w:val="auto"/>
              </w:rPr>
              <w:t>1a Kararlı durum</w:t>
            </w:r>
          </w:p>
        </w:tc>
        <w:tc>
          <w:tcPr>
            <w:tcW w:w="2612" w:type="dxa"/>
            <w:tcBorders>
              <w:top w:val="single" w:sz="2" w:space="0" w:color="auto"/>
              <w:left w:val="single" w:sz="2" w:space="0" w:color="auto"/>
              <w:bottom w:val="single" w:sz="2" w:space="0" w:color="auto"/>
              <w:right w:val="single" w:sz="2" w:space="0" w:color="auto"/>
            </w:tcBorders>
          </w:tcPr>
          <w:p w14:paraId="7F5661C7" w14:textId="77777777" w:rsidR="0047668F" w:rsidRPr="00DE12A3" w:rsidRDefault="0047668F" w:rsidP="00C917D6">
            <w:pPr>
              <w:pStyle w:val="NormalLeft"/>
            </w:pPr>
            <w:r w:rsidRPr="00DE12A3">
              <w:t>229</w:t>
            </w:r>
          </w:p>
        </w:tc>
        <w:tc>
          <w:tcPr>
            <w:tcW w:w="2072" w:type="dxa"/>
            <w:tcBorders>
              <w:top w:val="single" w:sz="2" w:space="0" w:color="auto"/>
              <w:left w:val="single" w:sz="2" w:space="0" w:color="auto"/>
              <w:bottom w:val="single" w:sz="2" w:space="0" w:color="auto"/>
              <w:right w:val="single" w:sz="2" w:space="0" w:color="auto"/>
            </w:tcBorders>
          </w:tcPr>
          <w:p w14:paraId="2FF20575" w14:textId="77777777" w:rsidR="0047668F" w:rsidRPr="00DE12A3" w:rsidRDefault="0047668F" w:rsidP="00C917D6">
            <w:pPr>
              <w:pStyle w:val="NormalLeft"/>
            </w:pPr>
            <w:r w:rsidRPr="00DE12A3">
              <w:t>100</w:t>
            </w:r>
          </w:p>
        </w:tc>
        <w:tc>
          <w:tcPr>
            <w:tcW w:w="1981" w:type="dxa"/>
            <w:tcBorders>
              <w:top w:val="single" w:sz="2" w:space="0" w:color="auto"/>
              <w:left w:val="single" w:sz="2" w:space="0" w:color="auto"/>
              <w:bottom w:val="single" w:sz="2" w:space="0" w:color="auto"/>
              <w:right w:val="single" w:sz="2" w:space="0" w:color="auto"/>
            </w:tcBorders>
          </w:tcPr>
          <w:p w14:paraId="72C81E36" w14:textId="77777777" w:rsidR="0047668F" w:rsidRPr="00DE12A3" w:rsidRDefault="0047668F" w:rsidP="00C917D6">
            <w:pPr>
              <w:pStyle w:val="NormalLeft"/>
            </w:pPr>
            <w:r w:rsidRPr="00DE12A3">
              <w:t>100</w:t>
            </w:r>
          </w:p>
        </w:tc>
      </w:tr>
      <w:tr w:rsidR="00DE12A3" w:rsidRPr="00DE12A3" w14:paraId="0164DCCC" w14:textId="77777777" w:rsidTr="009F4766">
        <w:tc>
          <w:tcPr>
            <w:tcW w:w="2342" w:type="dxa"/>
            <w:tcBorders>
              <w:top w:val="single" w:sz="2" w:space="0" w:color="auto"/>
              <w:left w:val="single" w:sz="2" w:space="0" w:color="auto"/>
              <w:bottom w:val="single" w:sz="2" w:space="0" w:color="auto"/>
              <w:right w:val="single" w:sz="2" w:space="0" w:color="auto"/>
            </w:tcBorders>
          </w:tcPr>
          <w:p w14:paraId="50042FCD" w14:textId="77777777" w:rsidR="0047668F" w:rsidRPr="00DE12A3" w:rsidRDefault="0047668F" w:rsidP="00C917D6">
            <w:pPr>
              <w:spacing w:before="120" w:after="120"/>
              <w:rPr>
                <w:rFonts w:cs="Times New Roman"/>
                <w:color w:val="auto"/>
              </w:rPr>
            </w:pPr>
            <w:r w:rsidRPr="00DE12A3">
              <w:rPr>
                <w:rFonts w:cs="Times New Roman"/>
                <w:color w:val="auto"/>
              </w:rPr>
              <w:t>1b Geçiş</w:t>
            </w:r>
          </w:p>
        </w:tc>
        <w:tc>
          <w:tcPr>
            <w:tcW w:w="2612" w:type="dxa"/>
            <w:tcBorders>
              <w:top w:val="single" w:sz="2" w:space="0" w:color="auto"/>
              <w:left w:val="single" w:sz="2" w:space="0" w:color="auto"/>
              <w:bottom w:val="single" w:sz="2" w:space="0" w:color="auto"/>
              <w:right w:val="single" w:sz="2" w:space="0" w:color="auto"/>
            </w:tcBorders>
          </w:tcPr>
          <w:p w14:paraId="4BAAA324" w14:textId="77777777" w:rsidR="0047668F" w:rsidRPr="00DE12A3" w:rsidRDefault="0047668F" w:rsidP="00C917D6">
            <w:pPr>
              <w:pStyle w:val="NormalLeft"/>
            </w:pPr>
            <w:r w:rsidRPr="00DE12A3">
              <w:t>20</w:t>
            </w:r>
          </w:p>
        </w:tc>
        <w:tc>
          <w:tcPr>
            <w:tcW w:w="2072" w:type="dxa"/>
            <w:tcBorders>
              <w:top w:val="single" w:sz="2" w:space="0" w:color="auto"/>
              <w:left w:val="single" w:sz="2" w:space="0" w:color="auto"/>
              <w:bottom w:val="single" w:sz="2" w:space="0" w:color="auto"/>
              <w:right w:val="single" w:sz="2" w:space="0" w:color="auto"/>
            </w:tcBorders>
          </w:tcPr>
          <w:p w14:paraId="6C417A7C" w14:textId="77777777" w:rsidR="0047668F" w:rsidRPr="00DE12A3" w:rsidRDefault="0047668F" w:rsidP="00C917D6">
            <w:pPr>
              <w:spacing w:before="120" w:after="120"/>
              <w:rPr>
                <w:rFonts w:cs="Times New Roman"/>
                <w:color w:val="auto"/>
              </w:rPr>
            </w:pPr>
            <w:r w:rsidRPr="00DE12A3">
              <w:rPr>
                <w:rFonts w:cs="Times New Roman"/>
                <w:color w:val="auto"/>
              </w:rPr>
              <w:t>Doğrusal geçiş</w:t>
            </w:r>
          </w:p>
        </w:tc>
        <w:tc>
          <w:tcPr>
            <w:tcW w:w="1981" w:type="dxa"/>
            <w:tcBorders>
              <w:top w:val="single" w:sz="2" w:space="0" w:color="auto"/>
              <w:left w:val="single" w:sz="2" w:space="0" w:color="auto"/>
              <w:bottom w:val="single" w:sz="2" w:space="0" w:color="auto"/>
              <w:right w:val="single" w:sz="2" w:space="0" w:color="auto"/>
            </w:tcBorders>
          </w:tcPr>
          <w:p w14:paraId="2704E228" w14:textId="77777777" w:rsidR="0047668F" w:rsidRPr="00DE12A3" w:rsidRDefault="0047668F" w:rsidP="00C917D6">
            <w:pPr>
              <w:spacing w:before="120" w:after="120"/>
              <w:rPr>
                <w:rFonts w:cs="Times New Roman"/>
                <w:color w:val="auto"/>
              </w:rPr>
            </w:pPr>
            <w:r w:rsidRPr="00DE12A3">
              <w:rPr>
                <w:rFonts w:cs="Times New Roman"/>
                <w:color w:val="auto"/>
              </w:rPr>
              <w:t>Doğrusal geçiş</w:t>
            </w:r>
          </w:p>
        </w:tc>
      </w:tr>
      <w:tr w:rsidR="00DE12A3" w:rsidRPr="00DE12A3" w14:paraId="518D5427" w14:textId="77777777" w:rsidTr="009F4766">
        <w:tc>
          <w:tcPr>
            <w:tcW w:w="2342" w:type="dxa"/>
            <w:tcBorders>
              <w:top w:val="single" w:sz="2" w:space="0" w:color="auto"/>
              <w:left w:val="single" w:sz="2" w:space="0" w:color="auto"/>
              <w:bottom w:val="single" w:sz="2" w:space="0" w:color="auto"/>
              <w:right w:val="single" w:sz="2" w:space="0" w:color="auto"/>
            </w:tcBorders>
          </w:tcPr>
          <w:p w14:paraId="15771D6F" w14:textId="77777777" w:rsidR="0047668F" w:rsidRPr="00DE12A3" w:rsidRDefault="0047668F" w:rsidP="00C917D6">
            <w:pPr>
              <w:spacing w:before="120" w:after="120"/>
              <w:rPr>
                <w:rFonts w:cs="Times New Roman"/>
                <w:color w:val="auto"/>
              </w:rPr>
            </w:pPr>
            <w:r w:rsidRPr="00DE12A3">
              <w:rPr>
                <w:rFonts w:cs="Times New Roman"/>
                <w:color w:val="auto"/>
              </w:rPr>
              <w:t>2a Kararlı durum</w:t>
            </w:r>
          </w:p>
        </w:tc>
        <w:tc>
          <w:tcPr>
            <w:tcW w:w="2612" w:type="dxa"/>
            <w:tcBorders>
              <w:top w:val="single" w:sz="2" w:space="0" w:color="auto"/>
              <w:left w:val="single" w:sz="2" w:space="0" w:color="auto"/>
              <w:bottom w:val="single" w:sz="2" w:space="0" w:color="auto"/>
              <w:right w:val="single" w:sz="2" w:space="0" w:color="auto"/>
            </w:tcBorders>
          </w:tcPr>
          <w:p w14:paraId="15B0DBF5" w14:textId="77777777" w:rsidR="0047668F" w:rsidRPr="00DE12A3" w:rsidRDefault="0047668F" w:rsidP="00C917D6">
            <w:pPr>
              <w:pStyle w:val="NormalLeft"/>
            </w:pPr>
            <w:r w:rsidRPr="00DE12A3">
              <w:t>166</w:t>
            </w:r>
          </w:p>
        </w:tc>
        <w:tc>
          <w:tcPr>
            <w:tcW w:w="2072" w:type="dxa"/>
            <w:tcBorders>
              <w:top w:val="single" w:sz="2" w:space="0" w:color="auto"/>
              <w:left w:val="single" w:sz="2" w:space="0" w:color="auto"/>
              <w:bottom w:val="single" w:sz="2" w:space="0" w:color="auto"/>
              <w:right w:val="single" w:sz="2" w:space="0" w:color="auto"/>
            </w:tcBorders>
          </w:tcPr>
          <w:p w14:paraId="3CF30090" w14:textId="77777777" w:rsidR="0047668F" w:rsidRPr="00DE12A3" w:rsidRDefault="0047668F" w:rsidP="00C917D6">
            <w:pPr>
              <w:pStyle w:val="NormalLeft"/>
            </w:pPr>
            <w:r w:rsidRPr="00DE12A3">
              <w:t>63</w:t>
            </w:r>
          </w:p>
        </w:tc>
        <w:tc>
          <w:tcPr>
            <w:tcW w:w="1981" w:type="dxa"/>
            <w:tcBorders>
              <w:top w:val="single" w:sz="2" w:space="0" w:color="auto"/>
              <w:left w:val="single" w:sz="2" w:space="0" w:color="auto"/>
              <w:bottom w:val="single" w:sz="2" w:space="0" w:color="auto"/>
              <w:right w:val="single" w:sz="2" w:space="0" w:color="auto"/>
            </w:tcBorders>
          </w:tcPr>
          <w:p w14:paraId="51695922" w14:textId="77777777" w:rsidR="0047668F" w:rsidRPr="00DE12A3" w:rsidRDefault="0047668F" w:rsidP="00C917D6">
            <w:pPr>
              <w:pStyle w:val="NormalLeft"/>
            </w:pPr>
            <w:r w:rsidRPr="00DE12A3">
              <w:t>25</w:t>
            </w:r>
          </w:p>
        </w:tc>
      </w:tr>
      <w:tr w:rsidR="00DE12A3" w:rsidRPr="00DE12A3" w14:paraId="5ED8102F" w14:textId="77777777" w:rsidTr="009F4766">
        <w:tc>
          <w:tcPr>
            <w:tcW w:w="2342" w:type="dxa"/>
            <w:tcBorders>
              <w:top w:val="single" w:sz="2" w:space="0" w:color="auto"/>
              <w:left w:val="single" w:sz="2" w:space="0" w:color="auto"/>
              <w:bottom w:val="single" w:sz="2" w:space="0" w:color="auto"/>
              <w:right w:val="single" w:sz="2" w:space="0" w:color="auto"/>
            </w:tcBorders>
          </w:tcPr>
          <w:p w14:paraId="35E23E1A" w14:textId="77777777" w:rsidR="0047668F" w:rsidRPr="00DE12A3" w:rsidRDefault="0047668F" w:rsidP="00C917D6">
            <w:pPr>
              <w:spacing w:before="120" w:after="120"/>
              <w:rPr>
                <w:rFonts w:cs="Times New Roman"/>
                <w:color w:val="auto"/>
              </w:rPr>
            </w:pPr>
            <w:r w:rsidRPr="00DE12A3">
              <w:rPr>
                <w:rFonts w:cs="Times New Roman"/>
                <w:color w:val="auto"/>
              </w:rPr>
              <w:t>2b Geçiş</w:t>
            </w:r>
          </w:p>
        </w:tc>
        <w:tc>
          <w:tcPr>
            <w:tcW w:w="2612" w:type="dxa"/>
            <w:tcBorders>
              <w:top w:val="single" w:sz="2" w:space="0" w:color="auto"/>
              <w:left w:val="single" w:sz="2" w:space="0" w:color="auto"/>
              <w:bottom w:val="single" w:sz="2" w:space="0" w:color="auto"/>
              <w:right w:val="single" w:sz="2" w:space="0" w:color="auto"/>
            </w:tcBorders>
          </w:tcPr>
          <w:p w14:paraId="43752E6E" w14:textId="77777777" w:rsidR="0047668F" w:rsidRPr="00DE12A3" w:rsidRDefault="0047668F" w:rsidP="00C917D6">
            <w:pPr>
              <w:pStyle w:val="NormalLeft"/>
            </w:pPr>
            <w:r w:rsidRPr="00DE12A3">
              <w:t>20</w:t>
            </w:r>
          </w:p>
        </w:tc>
        <w:tc>
          <w:tcPr>
            <w:tcW w:w="2072" w:type="dxa"/>
            <w:tcBorders>
              <w:top w:val="single" w:sz="2" w:space="0" w:color="auto"/>
              <w:left w:val="single" w:sz="2" w:space="0" w:color="auto"/>
              <w:bottom w:val="single" w:sz="2" w:space="0" w:color="auto"/>
              <w:right w:val="single" w:sz="2" w:space="0" w:color="auto"/>
            </w:tcBorders>
          </w:tcPr>
          <w:p w14:paraId="01831AA4" w14:textId="77777777" w:rsidR="0047668F" w:rsidRPr="00DE12A3" w:rsidRDefault="0047668F" w:rsidP="00C917D6">
            <w:pPr>
              <w:spacing w:before="120" w:after="120"/>
              <w:rPr>
                <w:rFonts w:cs="Times New Roman"/>
                <w:color w:val="auto"/>
              </w:rPr>
            </w:pPr>
            <w:r w:rsidRPr="00DE12A3">
              <w:rPr>
                <w:rFonts w:cs="Times New Roman"/>
                <w:color w:val="auto"/>
              </w:rPr>
              <w:t>Doğrusal geçiş</w:t>
            </w:r>
          </w:p>
        </w:tc>
        <w:tc>
          <w:tcPr>
            <w:tcW w:w="1981" w:type="dxa"/>
            <w:tcBorders>
              <w:top w:val="single" w:sz="2" w:space="0" w:color="auto"/>
              <w:left w:val="single" w:sz="2" w:space="0" w:color="auto"/>
              <w:bottom w:val="single" w:sz="2" w:space="0" w:color="auto"/>
              <w:right w:val="single" w:sz="2" w:space="0" w:color="auto"/>
            </w:tcBorders>
          </w:tcPr>
          <w:p w14:paraId="1DA1AF8A" w14:textId="77777777" w:rsidR="0047668F" w:rsidRPr="00DE12A3" w:rsidRDefault="0047668F" w:rsidP="00C917D6">
            <w:pPr>
              <w:spacing w:before="120" w:after="120"/>
              <w:rPr>
                <w:rFonts w:cs="Times New Roman"/>
                <w:color w:val="auto"/>
              </w:rPr>
            </w:pPr>
            <w:r w:rsidRPr="00DE12A3">
              <w:rPr>
                <w:rFonts w:cs="Times New Roman"/>
                <w:color w:val="auto"/>
              </w:rPr>
              <w:t>Doğrusal geçiş</w:t>
            </w:r>
          </w:p>
        </w:tc>
      </w:tr>
      <w:tr w:rsidR="00DE12A3" w:rsidRPr="00DE12A3" w14:paraId="6BBF2209" w14:textId="77777777" w:rsidTr="009F4766">
        <w:tc>
          <w:tcPr>
            <w:tcW w:w="2342" w:type="dxa"/>
            <w:tcBorders>
              <w:top w:val="single" w:sz="2" w:space="0" w:color="auto"/>
              <w:left w:val="single" w:sz="2" w:space="0" w:color="auto"/>
              <w:bottom w:val="single" w:sz="2" w:space="0" w:color="auto"/>
              <w:right w:val="single" w:sz="2" w:space="0" w:color="auto"/>
            </w:tcBorders>
          </w:tcPr>
          <w:p w14:paraId="21F1B241" w14:textId="77777777" w:rsidR="0047668F" w:rsidRPr="00DE12A3" w:rsidRDefault="0047668F" w:rsidP="00C917D6">
            <w:pPr>
              <w:spacing w:before="120" w:after="120"/>
              <w:rPr>
                <w:rFonts w:cs="Times New Roman"/>
                <w:color w:val="auto"/>
              </w:rPr>
            </w:pPr>
            <w:r w:rsidRPr="00DE12A3">
              <w:rPr>
                <w:rFonts w:cs="Times New Roman"/>
                <w:color w:val="auto"/>
              </w:rPr>
              <w:t>3a Kararlı durum</w:t>
            </w:r>
          </w:p>
        </w:tc>
        <w:tc>
          <w:tcPr>
            <w:tcW w:w="2612" w:type="dxa"/>
            <w:tcBorders>
              <w:top w:val="single" w:sz="2" w:space="0" w:color="auto"/>
              <w:left w:val="single" w:sz="2" w:space="0" w:color="auto"/>
              <w:bottom w:val="single" w:sz="2" w:space="0" w:color="auto"/>
              <w:right w:val="single" w:sz="2" w:space="0" w:color="auto"/>
            </w:tcBorders>
          </w:tcPr>
          <w:p w14:paraId="50503B3C" w14:textId="77777777" w:rsidR="0047668F" w:rsidRPr="00DE12A3" w:rsidRDefault="0047668F" w:rsidP="00C917D6">
            <w:pPr>
              <w:pStyle w:val="NormalLeft"/>
            </w:pPr>
            <w:r w:rsidRPr="00DE12A3">
              <w:t>570</w:t>
            </w:r>
          </w:p>
        </w:tc>
        <w:tc>
          <w:tcPr>
            <w:tcW w:w="2072" w:type="dxa"/>
            <w:tcBorders>
              <w:top w:val="single" w:sz="2" w:space="0" w:color="auto"/>
              <w:left w:val="single" w:sz="2" w:space="0" w:color="auto"/>
              <w:bottom w:val="single" w:sz="2" w:space="0" w:color="auto"/>
              <w:right w:val="single" w:sz="2" w:space="0" w:color="auto"/>
            </w:tcBorders>
          </w:tcPr>
          <w:p w14:paraId="30FD3B8C" w14:textId="77777777" w:rsidR="0047668F" w:rsidRPr="00DE12A3" w:rsidRDefault="0047668F" w:rsidP="00C917D6">
            <w:pPr>
              <w:pStyle w:val="NormalLeft"/>
            </w:pPr>
            <w:r w:rsidRPr="00DE12A3">
              <w:t>91</w:t>
            </w:r>
          </w:p>
        </w:tc>
        <w:tc>
          <w:tcPr>
            <w:tcW w:w="1981" w:type="dxa"/>
            <w:tcBorders>
              <w:top w:val="single" w:sz="2" w:space="0" w:color="auto"/>
              <w:left w:val="single" w:sz="2" w:space="0" w:color="auto"/>
              <w:bottom w:val="single" w:sz="2" w:space="0" w:color="auto"/>
              <w:right w:val="single" w:sz="2" w:space="0" w:color="auto"/>
            </w:tcBorders>
          </w:tcPr>
          <w:p w14:paraId="7DE24006" w14:textId="77777777" w:rsidR="0047668F" w:rsidRPr="00DE12A3" w:rsidRDefault="0047668F" w:rsidP="00C917D6">
            <w:pPr>
              <w:pStyle w:val="NormalLeft"/>
            </w:pPr>
            <w:r w:rsidRPr="00DE12A3">
              <w:t>75</w:t>
            </w:r>
          </w:p>
        </w:tc>
      </w:tr>
      <w:tr w:rsidR="00DE12A3" w:rsidRPr="00DE12A3" w14:paraId="18E074BB" w14:textId="77777777" w:rsidTr="009F4766">
        <w:tc>
          <w:tcPr>
            <w:tcW w:w="2342" w:type="dxa"/>
            <w:tcBorders>
              <w:top w:val="single" w:sz="2" w:space="0" w:color="auto"/>
              <w:left w:val="single" w:sz="2" w:space="0" w:color="auto"/>
              <w:bottom w:val="single" w:sz="2" w:space="0" w:color="auto"/>
              <w:right w:val="single" w:sz="2" w:space="0" w:color="auto"/>
            </w:tcBorders>
          </w:tcPr>
          <w:p w14:paraId="1E8996DA" w14:textId="77777777" w:rsidR="0047668F" w:rsidRPr="00DE12A3" w:rsidRDefault="0047668F" w:rsidP="00C917D6">
            <w:pPr>
              <w:spacing w:before="120" w:after="120"/>
              <w:rPr>
                <w:rFonts w:cs="Times New Roman"/>
                <w:color w:val="auto"/>
              </w:rPr>
            </w:pPr>
            <w:r w:rsidRPr="00DE12A3">
              <w:rPr>
                <w:rFonts w:cs="Times New Roman"/>
                <w:color w:val="auto"/>
              </w:rPr>
              <w:t>3b Geçiş</w:t>
            </w:r>
          </w:p>
        </w:tc>
        <w:tc>
          <w:tcPr>
            <w:tcW w:w="2612" w:type="dxa"/>
            <w:tcBorders>
              <w:top w:val="single" w:sz="2" w:space="0" w:color="auto"/>
              <w:left w:val="single" w:sz="2" w:space="0" w:color="auto"/>
              <w:bottom w:val="single" w:sz="2" w:space="0" w:color="auto"/>
              <w:right w:val="single" w:sz="2" w:space="0" w:color="auto"/>
            </w:tcBorders>
          </w:tcPr>
          <w:p w14:paraId="1F6CEC1C" w14:textId="77777777" w:rsidR="0047668F" w:rsidRPr="00DE12A3" w:rsidRDefault="0047668F" w:rsidP="00C917D6">
            <w:pPr>
              <w:pStyle w:val="NormalLeft"/>
            </w:pPr>
            <w:r w:rsidRPr="00DE12A3">
              <w:t>20</w:t>
            </w:r>
          </w:p>
        </w:tc>
        <w:tc>
          <w:tcPr>
            <w:tcW w:w="2072" w:type="dxa"/>
            <w:tcBorders>
              <w:top w:val="single" w:sz="2" w:space="0" w:color="auto"/>
              <w:left w:val="single" w:sz="2" w:space="0" w:color="auto"/>
              <w:bottom w:val="single" w:sz="2" w:space="0" w:color="auto"/>
              <w:right w:val="single" w:sz="2" w:space="0" w:color="auto"/>
            </w:tcBorders>
          </w:tcPr>
          <w:p w14:paraId="30AAA984" w14:textId="77777777" w:rsidR="0047668F" w:rsidRPr="00DE12A3" w:rsidRDefault="0047668F" w:rsidP="00C917D6">
            <w:pPr>
              <w:spacing w:before="120" w:after="120"/>
              <w:rPr>
                <w:rFonts w:cs="Times New Roman"/>
                <w:color w:val="auto"/>
              </w:rPr>
            </w:pPr>
            <w:r w:rsidRPr="00DE12A3">
              <w:rPr>
                <w:rFonts w:cs="Times New Roman"/>
                <w:color w:val="auto"/>
              </w:rPr>
              <w:t>Doğrusal geçiş</w:t>
            </w:r>
          </w:p>
        </w:tc>
        <w:tc>
          <w:tcPr>
            <w:tcW w:w="1981" w:type="dxa"/>
            <w:tcBorders>
              <w:top w:val="single" w:sz="2" w:space="0" w:color="auto"/>
              <w:left w:val="single" w:sz="2" w:space="0" w:color="auto"/>
              <w:bottom w:val="single" w:sz="2" w:space="0" w:color="auto"/>
              <w:right w:val="single" w:sz="2" w:space="0" w:color="auto"/>
            </w:tcBorders>
          </w:tcPr>
          <w:p w14:paraId="1E360166" w14:textId="77777777" w:rsidR="0047668F" w:rsidRPr="00DE12A3" w:rsidRDefault="0047668F" w:rsidP="00C917D6">
            <w:pPr>
              <w:spacing w:before="120" w:after="120"/>
              <w:rPr>
                <w:rFonts w:cs="Times New Roman"/>
                <w:color w:val="auto"/>
              </w:rPr>
            </w:pPr>
            <w:r w:rsidRPr="00DE12A3">
              <w:rPr>
                <w:rFonts w:cs="Times New Roman"/>
                <w:color w:val="auto"/>
              </w:rPr>
              <w:t>Doğrusal geçiş</w:t>
            </w:r>
          </w:p>
        </w:tc>
      </w:tr>
      <w:tr w:rsidR="00DE12A3" w:rsidRPr="00DE12A3" w14:paraId="323F971A" w14:textId="77777777" w:rsidTr="009F4766">
        <w:tc>
          <w:tcPr>
            <w:tcW w:w="2342" w:type="dxa"/>
            <w:tcBorders>
              <w:top w:val="single" w:sz="2" w:space="0" w:color="auto"/>
              <w:left w:val="single" w:sz="2" w:space="0" w:color="auto"/>
              <w:bottom w:val="single" w:sz="2" w:space="0" w:color="auto"/>
              <w:right w:val="single" w:sz="2" w:space="0" w:color="auto"/>
            </w:tcBorders>
          </w:tcPr>
          <w:p w14:paraId="75EAF921" w14:textId="77777777" w:rsidR="0047668F" w:rsidRPr="00DE12A3" w:rsidRDefault="0047668F" w:rsidP="00C917D6">
            <w:pPr>
              <w:spacing w:before="120" w:after="120"/>
              <w:rPr>
                <w:rFonts w:cs="Times New Roman"/>
                <w:color w:val="auto"/>
              </w:rPr>
            </w:pPr>
            <w:r w:rsidRPr="00DE12A3">
              <w:rPr>
                <w:rFonts w:cs="Times New Roman"/>
                <w:color w:val="auto"/>
              </w:rPr>
              <w:t>4 Kararlı durum</w:t>
            </w:r>
          </w:p>
        </w:tc>
        <w:tc>
          <w:tcPr>
            <w:tcW w:w="2612" w:type="dxa"/>
            <w:tcBorders>
              <w:top w:val="single" w:sz="2" w:space="0" w:color="auto"/>
              <w:left w:val="single" w:sz="2" w:space="0" w:color="auto"/>
              <w:bottom w:val="single" w:sz="2" w:space="0" w:color="auto"/>
              <w:right w:val="single" w:sz="2" w:space="0" w:color="auto"/>
            </w:tcBorders>
          </w:tcPr>
          <w:p w14:paraId="526466F7" w14:textId="77777777" w:rsidR="0047668F" w:rsidRPr="00DE12A3" w:rsidRDefault="0047668F" w:rsidP="00C917D6">
            <w:pPr>
              <w:pStyle w:val="NormalLeft"/>
            </w:pPr>
            <w:r w:rsidRPr="00DE12A3">
              <w:t>175</w:t>
            </w:r>
          </w:p>
        </w:tc>
        <w:tc>
          <w:tcPr>
            <w:tcW w:w="2072" w:type="dxa"/>
            <w:tcBorders>
              <w:top w:val="single" w:sz="2" w:space="0" w:color="auto"/>
              <w:left w:val="single" w:sz="2" w:space="0" w:color="auto"/>
              <w:bottom w:val="single" w:sz="2" w:space="0" w:color="auto"/>
              <w:right w:val="single" w:sz="2" w:space="0" w:color="auto"/>
            </w:tcBorders>
          </w:tcPr>
          <w:p w14:paraId="70CEF4DC" w14:textId="77777777" w:rsidR="0047668F" w:rsidRPr="00DE12A3" w:rsidRDefault="0047668F" w:rsidP="00C917D6">
            <w:pPr>
              <w:pStyle w:val="NormalLeft"/>
            </w:pPr>
            <w:r w:rsidRPr="00DE12A3">
              <w:t>80</w:t>
            </w:r>
          </w:p>
        </w:tc>
        <w:tc>
          <w:tcPr>
            <w:tcW w:w="1981" w:type="dxa"/>
            <w:tcBorders>
              <w:top w:val="single" w:sz="2" w:space="0" w:color="auto"/>
              <w:left w:val="single" w:sz="2" w:space="0" w:color="auto"/>
              <w:bottom w:val="single" w:sz="2" w:space="0" w:color="auto"/>
              <w:right w:val="single" w:sz="2" w:space="0" w:color="auto"/>
            </w:tcBorders>
          </w:tcPr>
          <w:p w14:paraId="4E9481AD" w14:textId="77777777" w:rsidR="0047668F" w:rsidRPr="00DE12A3" w:rsidRDefault="0047668F" w:rsidP="00C917D6">
            <w:pPr>
              <w:pStyle w:val="NormalLeft"/>
            </w:pPr>
            <w:r w:rsidRPr="00DE12A3">
              <w:t>50</w:t>
            </w:r>
          </w:p>
        </w:tc>
      </w:tr>
    </w:tbl>
    <w:p w14:paraId="4C947E56" w14:textId="11920A54" w:rsidR="000D0CF9" w:rsidRPr="00DE12A3" w:rsidRDefault="000D0CF9" w:rsidP="00C917D6">
      <w:pPr>
        <w:pStyle w:val="Gvdemetni21"/>
        <w:shd w:val="clear" w:color="auto" w:fill="auto"/>
        <w:spacing w:after="120" w:line="240" w:lineRule="auto"/>
        <w:ind w:left="284" w:hanging="284"/>
        <w:jc w:val="both"/>
      </w:pPr>
      <w:r w:rsidRPr="00DE12A3">
        <w:rPr>
          <w:rStyle w:val="Gvdemetni95pt0ptbolukbraklyor"/>
          <w:color w:val="auto"/>
        </w:rPr>
        <w:t>(</w:t>
      </w:r>
      <w:r w:rsidRPr="00DE12A3">
        <w:rPr>
          <w:rStyle w:val="Gvdemetni95pt0ptbolukbraklyor"/>
          <w:color w:val="auto"/>
          <w:vertAlign w:val="superscript"/>
        </w:rPr>
        <w:t>a</w:t>
      </w:r>
      <w:r w:rsidRPr="00DE12A3">
        <w:rPr>
          <w:rStyle w:val="Gvdemetni95pt0ptbolukbraklyor"/>
          <w:color w:val="auto"/>
        </w:rPr>
        <w:t>)</w:t>
      </w:r>
      <w:r w:rsidRPr="00DE12A3">
        <w:rPr>
          <w:rStyle w:val="Gvdemetni95pt0ptbolukbraklyor"/>
          <w:color w:val="auto"/>
        </w:rPr>
        <w:tab/>
      </w:r>
      <w:r w:rsidRPr="00DE12A3">
        <w:t xml:space="preserve">Gereken test devirlerinin belirlenmesi için </w:t>
      </w:r>
      <w:r w:rsidR="00FA0678" w:rsidRPr="00DE12A3">
        <w:t>VI’ncı ek</w:t>
      </w:r>
      <w:r w:rsidRPr="00DE12A3">
        <w:t xml:space="preserve">in 5.2.5, 7.6 ve 7.7 </w:t>
      </w:r>
      <w:r w:rsidR="00E1361C" w:rsidRPr="00DE12A3">
        <w:t xml:space="preserve">bentlerine </w:t>
      </w:r>
      <w:r w:rsidRPr="00DE12A3">
        <w:t>bakınız.</w:t>
      </w:r>
    </w:p>
    <w:p w14:paraId="77BF846D" w14:textId="77777777" w:rsidR="000D0CF9" w:rsidRPr="00DE12A3" w:rsidRDefault="000D0CF9" w:rsidP="00C917D6">
      <w:pPr>
        <w:pStyle w:val="Gvdemetni21"/>
        <w:shd w:val="clear" w:color="auto" w:fill="auto"/>
        <w:spacing w:after="120" w:line="240" w:lineRule="auto"/>
        <w:ind w:left="284" w:hanging="284"/>
        <w:jc w:val="both"/>
      </w:pPr>
      <w:r w:rsidRPr="00DE12A3">
        <w:rPr>
          <w:rStyle w:val="Gvdemetni95pt0ptbolukbraklyor"/>
          <w:color w:val="auto"/>
        </w:rPr>
        <w:t>(</w:t>
      </w:r>
      <w:r w:rsidRPr="00DE12A3">
        <w:rPr>
          <w:rStyle w:val="Gvdemetni95pt0ptbolukbraklyor"/>
          <w:color w:val="auto"/>
          <w:vertAlign w:val="superscript"/>
        </w:rPr>
        <w:t>b</w:t>
      </w:r>
      <w:r w:rsidRPr="00DE12A3">
        <w:rPr>
          <w:rStyle w:val="Gvdemetni95pt0ptbolukbraklyor"/>
          <w:color w:val="auto"/>
        </w:rPr>
        <w:t>)</w:t>
      </w:r>
      <w:r w:rsidRPr="00DE12A3">
        <w:rPr>
          <w:rStyle w:val="Gvdemetni95pt0ptbolukbraklyor"/>
          <w:color w:val="auto"/>
        </w:rPr>
        <w:tab/>
      </w:r>
      <w:r w:rsidRPr="00DE12A3">
        <w:t>% tork, komut verilen motor devrindeki azami torka bağlıdır.</w:t>
      </w:r>
    </w:p>
    <w:p w14:paraId="35976B65" w14:textId="3690C23A" w:rsidR="009F4766" w:rsidRPr="00DE12A3" w:rsidRDefault="000D0CF9" w:rsidP="00D20C73">
      <w:pPr>
        <w:pStyle w:val="Gvdemetni21"/>
        <w:shd w:val="clear" w:color="auto" w:fill="auto"/>
        <w:spacing w:after="120" w:line="240" w:lineRule="auto"/>
        <w:ind w:left="284" w:right="20" w:hanging="284"/>
        <w:jc w:val="both"/>
      </w:pPr>
      <w:r w:rsidRPr="00DE12A3">
        <w:rPr>
          <w:rStyle w:val="Gvdemetni95pt0ptbolukbraklyor"/>
          <w:color w:val="auto"/>
        </w:rPr>
        <w:t>(</w:t>
      </w:r>
      <w:r w:rsidRPr="00DE12A3">
        <w:rPr>
          <w:rStyle w:val="Gvdemetni95pt0ptbolukbraklyor"/>
          <w:color w:val="auto"/>
          <w:vertAlign w:val="superscript"/>
        </w:rPr>
        <w:t>c</w:t>
      </w:r>
      <w:r w:rsidRPr="00DE12A3">
        <w:rPr>
          <w:rStyle w:val="Gvdemetni95pt0ptbolukbraklyor"/>
          <w:color w:val="auto"/>
        </w:rPr>
        <w:t>)</w:t>
      </w:r>
      <w:r w:rsidRPr="00DE12A3">
        <w:rPr>
          <w:rStyle w:val="Gvdemetni95pt0ptbolukbraklyor"/>
          <w:color w:val="auto"/>
        </w:rPr>
        <w:tab/>
      </w:r>
      <w:r w:rsidRPr="00DE12A3">
        <w:t>Bir moddan diğerine 20 saniyelik bir geçiş aşaması içinde ilerlenir. Geçiş aşamasında, mevcut modun tork ayarından bir sonraki modun tork ayarına doğrusal bir ilerleme komutu verilir ve devir ayarında bir değişiklik olursa, aynı anda motor devri için de benzer bir doğrusal ilerleme komutu verilir.</w:t>
      </w:r>
    </w:p>
    <w:p w14:paraId="0CFFD6AA" w14:textId="77777777" w:rsidR="009F4766" w:rsidRPr="00DE12A3" w:rsidRDefault="00861C3B" w:rsidP="00051047">
      <w:pPr>
        <w:jc w:val="center"/>
        <w:rPr>
          <w:b/>
          <w:color w:val="auto"/>
        </w:rPr>
      </w:pPr>
      <w:r w:rsidRPr="00DE12A3">
        <w:rPr>
          <w:b/>
          <w:color w:val="auto"/>
        </w:rPr>
        <w:t xml:space="preserve">Tip F test </w:t>
      </w:r>
      <w:r w:rsidR="00F310B5" w:rsidRPr="00DE12A3">
        <w:rPr>
          <w:b/>
          <w:color w:val="auto"/>
        </w:rPr>
        <w:t>çevrim</w:t>
      </w:r>
      <w:r w:rsidRPr="00DE12A3">
        <w:rPr>
          <w:b/>
          <w:color w:val="auto"/>
        </w:rPr>
        <w:t>leri</w:t>
      </w:r>
    </w:p>
    <w:tbl>
      <w:tblPr>
        <w:tblW w:w="0" w:type="auto"/>
        <w:tblInd w:w="139" w:type="dxa"/>
        <w:tblLayout w:type="fixed"/>
        <w:tblLook w:val="0000" w:firstRow="0" w:lastRow="0" w:firstColumn="0" w:lastColumn="0" w:noHBand="0" w:noVBand="0"/>
      </w:tblPr>
      <w:tblGrid>
        <w:gridCol w:w="2342"/>
        <w:gridCol w:w="2612"/>
        <w:gridCol w:w="2072"/>
        <w:gridCol w:w="1981"/>
      </w:tblGrid>
      <w:tr w:rsidR="00DE12A3" w:rsidRPr="00DE12A3" w14:paraId="62626FC3" w14:textId="77777777" w:rsidTr="009F4766">
        <w:tc>
          <w:tcPr>
            <w:tcW w:w="9007" w:type="dxa"/>
            <w:gridSpan w:val="4"/>
            <w:tcBorders>
              <w:top w:val="single" w:sz="2" w:space="0" w:color="auto"/>
              <w:left w:val="single" w:sz="2" w:space="0" w:color="auto"/>
              <w:bottom w:val="single" w:sz="2" w:space="0" w:color="auto"/>
              <w:right w:val="single" w:sz="2" w:space="0" w:color="auto"/>
            </w:tcBorders>
          </w:tcPr>
          <w:p w14:paraId="4DDAEA7C" w14:textId="77777777" w:rsidR="009F4766" w:rsidRPr="00DE12A3" w:rsidRDefault="0047668F" w:rsidP="00C917D6">
            <w:pPr>
              <w:pStyle w:val="NormalCentered"/>
            </w:pPr>
            <w:r w:rsidRPr="00DE12A3">
              <w:rPr>
                <w:iCs/>
              </w:rPr>
              <w:t>RMC-F test modları tablosu</w:t>
            </w:r>
          </w:p>
        </w:tc>
      </w:tr>
      <w:tr w:rsidR="00DE12A3" w:rsidRPr="00DE12A3" w14:paraId="3940F337" w14:textId="77777777" w:rsidTr="009F4766">
        <w:tc>
          <w:tcPr>
            <w:tcW w:w="2342" w:type="dxa"/>
            <w:tcBorders>
              <w:top w:val="single" w:sz="2" w:space="0" w:color="auto"/>
              <w:left w:val="single" w:sz="2" w:space="0" w:color="auto"/>
              <w:bottom w:val="single" w:sz="2" w:space="0" w:color="auto"/>
              <w:right w:val="single" w:sz="2" w:space="0" w:color="auto"/>
            </w:tcBorders>
          </w:tcPr>
          <w:p w14:paraId="75666813" w14:textId="77777777" w:rsidR="0047668F" w:rsidRPr="00DE12A3" w:rsidRDefault="0047668F" w:rsidP="00C917D6">
            <w:pPr>
              <w:spacing w:before="120" w:after="120"/>
              <w:rPr>
                <w:rFonts w:cs="Times New Roman"/>
                <w:color w:val="auto"/>
              </w:rPr>
            </w:pPr>
            <w:r w:rsidRPr="00DE12A3">
              <w:rPr>
                <w:rFonts w:cs="Times New Roman"/>
                <w:color w:val="auto"/>
              </w:rPr>
              <w:t>RMC Mod Numarası</w:t>
            </w:r>
          </w:p>
        </w:tc>
        <w:tc>
          <w:tcPr>
            <w:tcW w:w="2612" w:type="dxa"/>
            <w:tcBorders>
              <w:top w:val="single" w:sz="2" w:space="0" w:color="auto"/>
              <w:left w:val="single" w:sz="2" w:space="0" w:color="auto"/>
              <w:bottom w:val="single" w:sz="2" w:space="0" w:color="auto"/>
              <w:right w:val="single" w:sz="2" w:space="0" w:color="auto"/>
            </w:tcBorders>
          </w:tcPr>
          <w:p w14:paraId="74B391BE" w14:textId="77777777" w:rsidR="0047668F" w:rsidRPr="00DE12A3" w:rsidRDefault="0047668F" w:rsidP="00C917D6">
            <w:pPr>
              <w:spacing w:before="120" w:after="120"/>
              <w:rPr>
                <w:rFonts w:cs="Times New Roman"/>
                <w:color w:val="auto"/>
              </w:rPr>
            </w:pPr>
            <w:r w:rsidRPr="00DE12A3">
              <w:rPr>
                <w:rFonts w:cs="Times New Roman"/>
                <w:color w:val="auto"/>
              </w:rPr>
              <w:t>Mod süresi (saniye)</w:t>
            </w:r>
          </w:p>
        </w:tc>
        <w:tc>
          <w:tcPr>
            <w:tcW w:w="2072" w:type="dxa"/>
            <w:tcBorders>
              <w:top w:val="single" w:sz="2" w:space="0" w:color="auto"/>
              <w:left w:val="single" w:sz="2" w:space="0" w:color="auto"/>
              <w:bottom w:val="single" w:sz="2" w:space="0" w:color="auto"/>
              <w:right w:val="single" w:sz="2" w:space="0" w:color="auto"/>
            </w:tcBorders>
          </w:tcPr>
          <w:p w14:paraId="27EB1525" w14:textId="77777777" w:rsidR="0047668F" w:rsidRPr="00DE12A3" w:rsidRDefault="0047668F" w:rsidP="00C917D6">
            <w:pPr>
              <w:spacing w:before="120" w:after="120"/>
              <w:rPr>
                <w:rFonts w:cs="Times New Roman"/>
                <w:color w:val="auto"/>
              </w:rPr>
            </w:pPr>
            <w:r w:rsidRPr="00DE12A3">
              <w:rPr>
                <w:rFonts w:cs="Times New Roman"/>
                <w:color w:val="auto"/>
              </w:rPr>
              <w:t xml:space="preserve">Motor devri </w:t>
            </w:r>
            <w:r w:rsidRPr="00DE12A3">
              <w:rPr>
                <w:rFonts w:cs="Times New Roman"/>
                <w:color w:val="auto"/>
                <w:vertAlign w:val="superscript"/>
              </w:rPr>
              <w:t>(a) (</w:t>
            </w:r>
            <w:r w:rsidR="00CD4C1E" w:rsidRPr="00DE12A3">
              <w:rPr>
                <w:rFonts w:cs="Times New Roman"/>
                <w:color w:val="auto"/>
                <w:vertAlign w:val="superscript"/>
              </w:rPr>
              <w:t>e</w:t>
            </w:r>
            <w:r w:rsidRPr="00DE12A3">
              <w:rPr>
                <w:rFonts w:cs="Times New Roman"/>
                <w:color w:val="auto"/>
                <w:vertAlign w:val="superscript"/>
              </w:rPr>
              <w:t>)</w:t>
            </w:r>
          </w:p>
        </w:tc>
        <w:tc>
          <w:tcPr>
            <w:tcW w:w="1981" w:type="dxa"/>
            <w:tcBorders>
              <w:top w:val="single" w:sz="2" w:space="0" w:color="auto"/>
              <w:left w:val="single" w:sz="2" w:space="0" w:color="auto"/>
              <w:bottom w:val="single" w:sz="2" w:space="0" w:color="auto"/>
              <w:right w:val="single" w:sz="2" w:space="0" w:color="auto"/>
            </w:tcBorders>
          </w:tcPr>
          <w:p w14:paraId="0096EE4F" w14:textId="77777777" w:rsidR="0047668F" w:rsidRPr="00DE12A3" w:rsidRDefault="0047668F" w:rsidP="00C917D6">
            <w:pPr>
              <w:spacing w:before="120" w:after="120"/>
              <w:rPr>
                <w:rFonts w:cs="Times New Roman"/>
                <w:color w:val="auto"/>
              </w:rPr>
            </w:pPr>
            <w:r w:rsidRPr="00DE12A3">
              <w:rPr>
                <w:rFonts w:cs="Times New Roman"/>
                <w:color w:val="auto"/>
              </w:rPr>
              <w:t xml:space="preserve">Tork (%) </w:t>
            </w:r>
            <w:r w:rsidRPr="00DE12A3">
              <w:rPr>
                <w:rFonts w:cs="Times New Roman"/>
                <w:color w:val="auto"/>
                <w:vertAlign w:val="superscript"/>
              </w:rPr>
              <w:t xml:space="preserve"> (</w:t>
            </w:r>
            <w:r w:rsidR="00CD4C1E" w:rsidRPr="00DE12A3">
              <w:rPr>
                <w:rFonts w:cs="Times New Roman"/>
                <w:color w:val="auto"/>
                <w:vertAlign w:val="superscript"/>
              </w:rPr>
              <w:t>e</w:t>
            </w:r>
            <w:r w:rsidRPr="00DE12A3">
              <w:rPr>
                <w:rFonts w:cs="Times New Roman"/>
                <w:color w:val="auto"/>
                <w:vertAlign w:val="superscript"/>
              </w:rPr>
              <w:t>)</w:t>
            </w:r>
          </w:p>
        </w:tc>
      </w:tr>
      <w:tr w:rsidR="00DE12A3" w:rsidRPr="00DE12A3" w14:paraId="31C0E2E0" w14:textId="77777777" w:rsidTr="009F4766">
        <w:tc>
          <w:tcPr>
            <w:tcW w:w="2342" w:type="dxa"/>
            <w:tcBorders>
              <w:top w:val="single" w:sz="2" w:space="0" w:color="auto"/>
              <w:left w:val="single" w:sz="2" w:space="0" w:color="auto"/>
              <w:bottom w:val="single" w:sz="2" w:space="0" w:color="auto"/>
              <w:right w:val="single" w:sz="2" w:space="0" w:color="auto"/>
            </w:tcBorders>
          </w:tcPr>
          <w:p w14:paraId="0BBF4666" w14:textId="77777777" w:rsidR="0047668F" w:rsidRPr="00DE12A3" w:rsidRDefault="0047668F" w:rsidP="00C917D6">
            <w:pPr>
              <w:spacing w:before="120" w:after="120"/>
              <w:rPr>
                <w:rFonts w:cs="Times New Roman"/>
                <w:color w:val="auto"/>
              </w:rPr>
            </w:pPr>
            <w:r w:rsidRPr="00DE12A3">
              <w:rPr>
                <w:rFonts w:cs="Times New Roman"/>
                <w:color w:val="auto"/>
              </w:rPr>
              <w:t>1a Kararlı durum</w:t>
            </w:r>
          </w:p>
        </w:tc>
        <w:tc>
          <w:tcPr>
            <w:tcW w:w="2612" w:type="dxa"/>
            <w:tcBorders>
              <w:top w:val="single" w:sz="2" w:space="0" w:color="auto"/>
              <w:left w:val="single" w:sz="2" w:space="0" w:color="auto"/>
              <w:bottom w:val="single" w:sz="2" w:space="0" w:color="auto"/>
              <w:right w:val="single" w:sz="2" w:space="0" w:color="auto"/>
            </w:tcBorders>
          </w:tcPr>
          <w:p w14:paraId="43FC6596" w14:textId="77777777" w:rsidR="0047668F" w:rsidRPr="00DE12A3" w:rsidRDefault="0047668F" w:rsidP="00C917D6">
            <w:pPr>
              <w:pStyle w:val="NormalLeft"/>
            </w:pPr>
            <w:r w:rsidRPr="00DE12A3">
              <w:t>350</w:t>
            </w:r>
          </w:p>
        </w:tc>
        <w:tc>
          <w:tcPr>
            <w:tcW w:w="2072" w:type="dxa"/>
            <w:tcBorders>
              <w:top w:val="single" w:sz="2" w:space="0" w:color="auto"/>
              <w:left w:val="single" w:sz="2" w:space="0" w:color="auto"/>
              <w:bottom w:val="single" w:sz="2" w:space="0" w:color="auto"/>
              <w:right w:val="single" w:sz="2" w:space="0" w:color="auto"/>
            </w:tcBorders>
          </w:tcPr>
          <w:p w14:paraId="44D1FD9D" w14:textId="77777777" w:rsidR="0047668F" w:rsidRPr="00DE12A3" w:rsidRDefault="0047668F" w:rsidP="00C917D6">
            <w:pPr>
              <w:pStyle w:val="NormalLeft"/>
            </w:pPr>
            <w:r w:rsidRPr="00DE12A3">
              <w:t>Rölanti</w:t>
            </w:r>
          </w:p>
        </w:tc>
        <w:tc>
          <w:tcPr>
            <w:tcW w:w="1981" w:type="dxa"/>
            <w:tcBorders>
              <w:top w:val="single" w:sz="2" w:space="0" w:color="auto"/>
              <w:left w:val="single" w:sz="2" w:space="0" w:color="auto"/>
              <w:bottom w:val="single" w:sz="2" w:space="0" w:color="auto"/>
              <w:right w:val="single" w:sz="2" w:space="0" w:color="auto"/>
            </w:tcBorders>
          </w:tcPr>
          <w:p w14:paraId="46FB4CDF" w14:textId="77777777" w:rsidR="0047668F" w:rsidRPr="00DE12A3" w:rsidRDefault="0047668F" w:rsidP="00C917D6">
            <w:pPr>
              <w:pStyle w:val="NormalLeft"/>
            </w:pPr>
            <w:r w:rsidRPr="00DE12A3">
              <w:t>5</w:t>
            </w:r>
            <w:r w:rsidR="00CD4C1E" w:rsidRPr="00DE12A3">
              <w:rPr>
                <w:rStyle w:val="DipnotBavurusu"/>
              </w:rPr>
              <w:t>b</w:t>
            </w:r>
          </w:p>
        </w:tc>
      </w:tr>
      <w:tr w:rsidR="00DE12A3" w:rsidRPr="00DE12A3" w14:paraId="6304252B" w14:textId="77777777" w:rsidTr="009F4766">
        <w:tc>
          <w:tcPr>
            <w:tcW w:w="2342" w:type="dxa"/>
            <w:tcBorders>
              <w:top w:val="single" w:sz="2" w:space="0" w:color="auto"/>
              <w:left w:val="single" w:sz="2" w:space="0" w:color="auto"/>
              <w:bottom w:val="single" w:sz="2" w:space="0" w:color="auto"/>
              <w:right w:val="single" w:sz="2" w:space="0" w:color="auto"/>
            </w:tcBorders>
          </w:tcPr>
          <w:p w14:paraId="4FCC7960" w14:textId="77777777" w:rsidR="0047668F" w:rsidRPr="00DE12A3" w:rsidRDefault="0047668F" w:rsidP="00C917D6">
            <w:pPr>
              <w:spacing w:before="120" w:after="120"/>
              <w:rPr>
                <w:rFonts w:cs="Times New Roman"/>
                <w:color w:val="auto"/>
              </w:rPr>
            </w:pPr>
            <w:r w:rsidRPr="00DE12A3">
              <w:rPr>
                <w:rFonts w:cs="Times New Roman"/>
                <w:color w:val="auto"/>
              </w:rPr>
              <w:t>1b Geçiş</w:t>
            </w:r>
          </w:p>
        </w:tc>
        <w:tc>
          <w:tcPr>
            <w:tcW w:w="2612" w:type="dxa"/>
            <w:tcBorders>
              <w:top w:val="single" w:sz="2" w:space="0" w:color="auto"/>
              <w:left w:val="single" w:sz="2" w:space="0" w:color="auto"/>
              <w:bottom w:val="single" w:sz="2" w:space="0" w:color="auto"/>
              <w:right w:val="single" w:sz="2" w:space="0" w:color="auto"/>
            </w:tcBorders>
          </w:tcPr>
          <w:p w14:paraId="72593515" w14:textId="77777777" w:rsidR="0047668F" w:rsidRPr="00DE12A3" w:rsidRDefault="0047668F" w:rsidP="00C917D6">
            <w:pPr>
              <w:pStyle w:val="NormalLeft"/>
            </w:pPr>
            <w:r w:rsidRPr="00DE12A3">
              <w:t>20</w:t>
            </w:r>
          </w:p>
        </w:tc>
        <w:tc>
          <w:tcPr>
            <w:tcW w:w="2072" w:type="dxa"/>
            <w:tcBorders>
              <w:top w:val="single" w:sz="2" w:space="0" w:color="auto"/>
              <w:left w:val="single" w:sz="2" w:space="0" w:color="auto"/>
              <w:bottom w:val="single" w:sz="2" w:space="0" w:color="auto"/>
              <w:right w:val="single" w:sz="2" w:space="0" w:color="auto"/>
            </w:tcBorders>
          </w:tcPr>
          <w:p w14:paraId="63566555" w14:textId="77777777" w:rsidR="0047668F" w:rsidRPr="00DE12A3" w:rsidRDefault="0047668F" w:rsidP="00C917D6">
            <w:pPr>
              <w:pStyle w:val="NormalLeft"/>
            </w:pPr>
            <w:r w:rsidRPr="00DE12A3">
              <w:t>Doğrusal Geçiş</w:t>
            </w:r>
          </w:p>
        </w:tc>
        <w:tc>
          <w:tcPr>
            <w:tcW w:w="1981" w:type="dxa"/>
            <w:tcBorders>
              <w:top w:val="single" w:sz="2" w:space="0" w:color="auto"/>
              <w:left w:val="single" w:sz="2" w:space="0" w:color="auto"/>
              <w:bottom w:val="single" w:sz="2" w:space="0" w:color="auto"/>
              <w:right w:val="single" w:sz="2" w:space="0" w:color="auto"/>
            </w:tcBorders>
          </w:tcPr>
          <w:p w14:paraId="047A4DB7" w14:textId="77777777" w:rsidR="0047668F" w:rsidRPr="00DE12A3" w:rsidRDefault="0047668F" w:rsidP="00C917D6">
            <w:pPr>
              <w:pStyle w:val="NormalLeft"/>
            </w:pPr>
            <w:r w:rsidRPr="00DE12A3">
              <w:t>Doğrusal Geçiş</w:t>
            </w:r>
          </w:p>
        </w:tc>
      </w:tr>
      <w:tr w:rsidR="00DE12A3" w:rsidRPr="00DE12A3" w14:paraId="4F1D9592" w14:textId="77777777" w:rsidTr="009F4766">
        <w:tc>
          <w:tcPr>
            <w:tcW w:w="2342" w:type="dxa"/>
            <w:tcBorders>
              <w:top w:val="single" w:sz="2" w:space="0" w:color="auto"/>
              <w:left w:val="single" w:sz="2" w:space="0" w:color="auto"/>
              <w:bottom w:val="single" w:sz="2" w:space="0" w:color="auto"/>
              <w:right w:val="single" w:sz="2" w:space="0" w:color="auto"/>
            </w:tcBorders>
          </w:tcPr>
          <w:p w14:paraId="3112CB99" w14:textId="77777777" w:rsidR="0047668F" w:rsidRPr="00DE12A3" w:rsidRDefault="0047668F" w:rsidP="00C917D6">
            <w:pPr>
              <w:spacing w:before="120" w:after="120"/>
              <w:rPr>
                <w:rFonts w:cs="Times New Roman"/>
                <w:color w:val="auto"/>
              </w:rPr>
            </w:pPr>
            <w:r w:rsidRPr="00DE12A3">
              <w:rPr>
                <w:rFonts w:cs="Times New Roman"/>
                <w:color w:val="auto"/>
              </w:rPr>
              <w:t xml:space="preserve">2a Kararlı durum </w:t>
            </w:r>
            <w:r w:rsidRPr="00DE12A3">
              <w:rPr>
                <w:rFonts w:cs="Times New Roman"/>
                <w:color w:val="auto"/>
                <w:vertAlign w:val="superscript"/>
              </w:rPr>
              <w:t>(d)</w:t>
            </w:r>
          </w:p>
        </w:tc>
        <w:tc>
          <w:tcPr>
            <w:tcW w:w="2612" w:type="dxa"/>
            <w:tcBorders>
              <w:top w:val="single" w:sz="2" w:space="0" w:color="auto"/>
              <w:left w:val="single" w:sz="2" w:space="0" w:color="auto"/>
              <w:bottom w:val="single" w:sz="2" w:space="0" w:color="auto"/>
              <w:right w:val="single" w:sz="2" w:space="0" w:color="auto"/>
            </w:tcBorders>
          </w:tcPr>
          <w:p w14:paraId="3919726A" w14:textId="77777777" w:rsidR="0047668F" w:rsidRPr="00DE12A3" w:rsidRDefault="0047668F" w:rsidP="00C917D6">
            <w:pPr>
              <w:pStyle w:val="NormalLeft"/>
            </w:pPr>
            <w:r w:rsidRPr="00DE12A3">
              <w:t>280</w:t>
            </w:r>
          </w:p>
        </w:tc>
        <w:tc>
          <w:tcPr>
            <w:tcW w:w="2072" w:type="dxa"/>
            <w:tcBorders>
              <w:top w:val="single" w:sz="2" w:space="0" w:color="auto"/>
              <w:left w:val="single" w:sz="2" w:space="0" w:color="auto"/>
              <w:bottom w:val="single" w:sz="2" w:space="0" w:color="auto"/>
              <w:right w:val="single" w:sz="2" w:space="0" w:color="auto"/>
            </w:tcBorders>
          </w:tcPr>
          <w:p w14:paraId="20473170" w14:textId="77777777" w:rsidR="0047668F" w:rsidRPr="00DE12A3" w:rsidRDefault="0047668F" w:rsidP="00C917D6">
            <w:pPr>
              <w:pStyle w:val="NormalLeft"/>
            </w:pPr>
            <w:r w:rsidRPr="00DE12A3">
              <w:t>Orta</w:t>
            </w:r>
          </w:p>
        </w:tc>
        <w:tc>
          <w:tcPr>
            <w:tcW w:w="1981" w:type="dxa"/>
            <w:tcBorders>
              <w:top w:val="single" w:sz="2" w:space="0" w:color="auto"/>
              <w:left w:val="single" w:sz="2" w:space="0" w:color="auto"/>
              <w:bottom w:val="single" w:sz="2" w:space="0" w:color="auto"/>
              <w:right w:val="single" w:sz="2" w:space="0" w:color="auto"/>
            </w:tcBorders>
          </w:tcPr>
          <w:p w14:paraId="664062DD" w14:textId="77777777" w:rsidR="0047668F" w:rsidRPr="00DE12A3" w:rsidRDefault="0047668F" w:rsidP="00C917D6">
            <w:pPr>
              <w:pStyle w:val="NormalLeft"/>
            </w:pPr>
            <w:r w:rsidRPr="00DE12A3">
              <w:t>50</w:t>
            </w:r>
            <w:r w:rsidR="00CD4C1E" w:rsidRPr="00DE12A3">
              <w:rPr>
                <w:rStyle w:val="DipnotBavurusu"/>
              </w:rPr>
              <w:t>c</w:t>
            </w:r>
          </w:p>
        </w:tc>
      </w:tr>
      <w:tr w:rsidR="00DE12A3" w:rsidRPr="00DE12A3" w14:paraId="472BC253" w14:textId="77777777" w:rsidTr="009F4766">
        <w:tc>
          <w:tcPr>
            <w:tcW w:w="2342" w:type="dxa"/>
            <w:tcBorders>
              <w:top w:val="single" w:sz="2" w:space="0" w:color="auto"/>
              <w:left w:val="single" w:sz="2" w:space="0" w:color="auto"/>
              <w:bottom w:val="single" w:sz="2" w:space="0" w:color="auto"/>
              <w:right w:val="single" w:sz="2" w:space="0" w:color="auto"/>
            </w:tcBorders>
          </w:tcPr>
          <w:p w14:paraId="3CFFE159" w14:textId="77777777" w:rsidR="0047668F" w:rsidRPr="00DE12A3" w:rsidRDefault="0047668F" w:rsidP="00C917D6">
            <w:pPr>
              <w:spacing w:before="120" w:after="120"/>
              <w:rPr>
                <w:rFonts w:cs="Times New Roman"/>
                <w:color w:val="auto"/>
              </w:rPr>
            </w:pPr>
            <w:r w:rsidRPr="00DE12A3">
              <w:rPr>
                <w:rFonts w:cs="Times New Roman"/>
                <w:color w:val="auto"/>
              </w:rPr>
              <w:t>2b Geçiş</w:t>
            </w:r>
          </w:p>
        </w:tc>
        <w:tc>
          <w:tcPr>
            <w:tcW w:w="2612" w:type="dxa"/>
            <w:tcBorders>
              <w:top w:val="single" w:sz="2" w:space="0" w:color="auto"/>
              <w:left w:val="single" w:sz="2" w:space="0" w:color="auto"/>
              <w:bottom w:val="single" w:sz="2" w:space="0" w:color="auto"/>
              <w:right w:val="single" w:sz="2" w:space="0" w:color="auto"/>
            </w:tcBorders>
          </w:tcPr>
          <w:p w14:paraId="3F74EEF8" w14:textId="77777777" w:rsidR="0047668F" w:rsidRPr="00DE12A3" w:rsidRDefault="0047668F" w:rsidP="00C917D6">
            <w:pPr>
              <w:pStyle w:val="NormalLeft"/>
            </w:pPr>
            <w:r w:rsidRPr="00DE12A3">
              <w:t>20</w:t>
            </w:r>
          </w:p>
        </w:tc>
        <w:tc>
          <w:tcPr>
            <w:tcW w:w="2072" w:type="dxa"/>
            <w:tcBorders>
              <w:top w:val="single" w:sz="2" w:space="0" w:color="auto"/>
              <w:left w:val="single" w:sz="2" w:space="0" w:color="auto"/>
              <w:bottom w:val="single" w:sz="2" w:space="0" w:color="auto"/>
              <w:right w:val="single" w:sz="2" w:space="0" w:color="auto"/>
            </w:tcBorders>
          </w:tcPr>
          <w:p w14:paraId="04007F8E" w14:textId="77777777" w:rsidR="0047668F" w:rsidRPr="00DE12A3" w:rsidRDefault="0047668F" w:rsidP="00C917D6">
            <w:pPr>
              <w:pStyle w:val="NormalLeft"/>
            </w:pPr>
            <w:r w:rsidRPr="00DE12A3">
              <w:t>Doğrusal Geçiş</w:t>
            </w:r>
          </w:p>
        </w:tc>
        <w:tc>
          <w:tcPr>
            <w:tcW w:w="1981" w:type="dxa"/>
            <w:tcBorders>
              <w:top w:val="single" w:sz="2" w:space="0" w:color="auto"/>
              <w:left w:val="single" w:sz="2" w:space="0" w:color="auto"/>
              <w:bottom w:val="single" w:sz="2" w:space="0" w:color="auto"/>
              <w:right w:val="single" w:sz="2" w:space="0" w:color="auto"/>
            </w:tcBorders>
          </w:tcPr>
          <w:p w14:paraId="222A2DCC" w14:textId="77777777" w:rsidR="0047668F" w:rsidRPr="00DE12A3" w:rsidRDefault="0047668F" w:rsidP="00C917D6">
            <w:pPr>
              <w:pStyle w:val="NormalLeft"/>
            </w:pPr>
            <w:r w:rsidRPr="00DE12A3">
              <w:t>Doğrusal Geçiş</w:t>
            </w:r>
          </w:p>
        </w:tc>
      </w:tr>
      <w:tr w:rsidR="00DE12A3" w:rsidRPr="00DE12A3" w14:paraId="6C3F6C06" w14:textId="77777777" w:rsidTr="009F4766">
        <w:tc>
          <w:tcPr>
            <w:tcW w:w="2342" w:type="dxa"/>
            <w:tcBorders>
              <w:top w:val="single" w:sz="2" w:space="0" w:color="auto"/>
              <w:left w:val="single" w:sz="2" w:space="0" w:color="auto"/>
              <w:bottom w:val="single" w:sz="2" w:space="0" w:color="auto"/>
              <w:right w:val="single" w:sz="2" w:space="0" w:color="auto"/>
            </w:tcBorders>
          </w:tcPr>
          <w:p w14:paraId="74CAD479" w14:textId="77777777" w:rsidR="0047668F" w:rsidRPr="00DE12A3" w:rsidRDefault="0047668F" w:rsidP="00C917D6">
            <w:pPr>
              <w:spacing w:before="120" w:after="120"/>
              <w:rPr>
                <w:rFonts w:cs="Times New Roman"/>
                <w:color w:val="auto"/>
              </w:rPr>
            </w:pPr>
            <w:r w:rsidRPr="00DE12A3">
              <w:rPr>
                <w:rFonts w:cs="Times New Roman"/>
                <w:color w:val="auto"/>
              </w:rPr>
              <w:t>3a Kararlı durum</w:t>
            </w:r>
          </w:p>
        </w:tc>
        <w:tc>
          <w:tcPr>
            <w:tcW w:w="2612" w:type="dxa"/>
            <w:tcBorders>
              <w:top w:val="single" w:sz="2" w:space="0" w:color="auto"/>
              <w:left w:val="single" w:sz="2" w:space="0" w:color="auto"/>
              <w:bottom w:val="single" w:sz="2" w:space="0" w:color="auto"/>
              <w:right w:val="single" w:sz="2" w:space="0" w:color="auto"/>
            </w:tcBorders>
          </w:tcPr>
          <w:p w14:paraId="24461C7F" w14:textId="77777777" w:rsidR="0047668F" w:rsidRPr="00DE12A3" w:rsidRDefault="0047668F" w:rsidP="00C917D6">
            <w:pPr>
              <w:pStyle w:val="NormalLeft"/>
            </w:pPr>
            <w:r w:rsidRPr="00DE12A3">
              <w:t>160</w:t>
            </w:r>
          </w:p>
        </w:tc>
        <w:tc>
          <w:tcPr>
            <w:tcW w:w="2072" w:type="dxa"/>
            <w:tcBorders>
              <w:top w:val="single" w:sz="2" w:space="0" w:color="auto"/>
              <w:left w:val="single" w:sz="2" w:space="0" w:color="auto"/>
              <w:bottom w:val="single" w:sz="2" w:space="0" w:color="auto"/>
              <w:right w:val="single" w:sz="2" w:space="0" w:color="auto"/>
            </w:tcBorders>
          </w:tcPr>
          <w:p w14:paraId="30BFF567" w14:textId="77777777" w:rsidR="0047668F" w:rsidRPr="00DE12A3" w:rsidRDefault="0047668F" w:rsidP="00C917D6">
            <w:pPr>
              <w:pStyle w:val="NormalLeft"/>
            </w:pPr>
            <w:r w:rsidRPr="00DE12A3">
              <w:t>100 %</w:t>
            </w:r>
          </w:p>
        </w:tc>
        <w:tc>
          <w:tcPr>
            <w:tcW w:w="1981" w:type="dxa"/>
            <w:tcBorders>
              <w:top w:val="single" w:sz="2" w:space="0" w:color="auto"/>
              <w:left w:val="single" w:sz="2" w:space="0" w:color="auto"/>
              <w:bottom w:val="single" w:sz="2" w:space="0" w:color="auto"/>
              <w:right w:val="single" w:sz="2" w:space="0" w:color="auto"/>
            </w:tcBorders>
          </w:tcPr>
          <w:p w14:paraId="4F362BE9" w14:textId="77777777" w:rsidR="0047668F" w:rsidRPr="00DE12A3" w:rsidRDefault="0047668F" w:rsidP="00C917D6">
            <w:pPr>
              <w:pStyle w:val="NormalLeft"/>
            </w:pPr>
            <w:r w:rsidRPr="00DE12A3">
              <w:t>100</w:t>
            </w:r>
            <w:r w:rsidR="00CD4C1E" w:rsidRPr="00DE12A3">
              <w:rPr>
                <w:rStyle w:val="DipnotBavurusu"/>
              </w:rPr>
              <w:t>c</w:t>
            </w:r>
          </w:p>
        </w:tc>
      </w:tr>
      <w:tr w:rsidR="00DE12A3" w:rsidRPr="00DE12A3" w14:paraId="78EBEA22" w14:textId="77777777" w:rsidTr="009F4766">
        <w:tc>
          <w:tcPr>
            <w:tcW w:w="2342" w:type="dxa"/>
            <w:tcBorders>
              <w:top w:val="single" w:sz="2" w:space="0" w:color="auto"/>
              <w:left w:val="single" w:sz="2" w:space="0" w:color="auto"/>
              <w:bottom w:val="single" w:sz="2" w:space="0" w:color="auto"/>
              <w:right w:val="single" w:sz="2" w:space="0" w:color="auto"/>
            </w:tcBorders>
          </w:tcPr>
          <w:p w14:paraId="58200EF9" w14:textId="77777777" w:rsidR="0047668F" w:rsidRPr="00DE12A3" w:rsidRDefault="0047668F" w:rsidP="00C917D6">
            <w:pPr>
              <w:spacing w:before="120" w:after="120"/>
              <w:rPr>
                <w:rFonts w:cs="Times New Roman"/>
                <w:color w:val="auto"/>
              </w:rPr>
            </w:pPr>
            <w:r w:rsidRPr="00DE12A3">
              <w:rPr>
                <w:rFonts w:cs="Times New Roman"/>
                <w:color w:val="auto"/>
              </w:rPr>
              <w:t>3b Geçiş</w:t>
            </w:r>
          </w:p>
        </w:tc>
        <w:tc>
          <w:tcPr>
            <w:tcW w:w="2612" w:type="dxa"/>
            <w:tcBorders>
              <w:top w:val="single" w:sz="2" w:space="0" w:color="auto"/>
              <w:left w:val="single" w:sz="2" w:space="0" w:color="auto"/>
              <w:bottom w:val="single" w:sz="2" w:space="0" w:color="auto"/>
              <w:right w:val="single" w:sz="2" w:space="0" w:color="auto"/>
            </w:tcBorders>
          </w:tcPr>
          <w:p w14:paraId="60EB5CC4" w14:textId="77777777" w:rsidR="0047668F" w:rsidRPr="00DE12A3" w:rsidRDefault="0047668F" w:rsidP="00C917D6">
            <w:pPr>
              <w:pStyle w:val="NormalLeft"/>
            </w:pPr>
            <w:r w:rsidRPr="00DE12A3">
              <w:t>20</w:t>
            </w:r>
          </w:p>
        </w:tc>
        <w:tc>
          <w:tcPr>
            <w:tcW w:w="2072" w:type="dxa"/>
            <w:tcBorders>
              <w:top w:val="single" w:sz="2" w:space="0" w:color="auto"/>
              <w:left w:val="single" w:sz="2" w:space="0" w:color="auto"/>
              <w:bottom w:val="single" w:sz="2" w:space="0" w:color="auto"/>
              <w:right w:val="single" w:sz="2" w:space="0" w:color="auto"/>
            </w:tcBorders>
          </w:tcPr>
          <w:p w14:paraId="4052C423" w14:textId="77777777" w:rsidR="0047668F" w:rsidRPr="00DE12A3" w:rsidRDefault="0047668F" w:rsidP="00C917D6">
            <w:pPr>
              <w:pStyle w:val="NormalLeft"/>
            </w:pPr>
            <w:r w:rsidRPr="00DE12A3">
              <w:t>Doğrusal Geçiş</w:t>
            </w:r>
          </w:p>
        </w:tc>
        <w:tc>
          <w:tcPr>
            <w:tcW w:w="1981" w:type="dxa"/>
            <w:tcBorders>
              <w:top w:val="single" w:sz="2" w:space="0" w:color="auto"/>
              <w:left w:val="single" w:sz="2" w:space="0" w:color="auto"/>
              <w:bottom w:val="single" w:sz="2" w:space="0" w:color="auto"/>
              <w:right w:val="single" w:sz="2" w:space="0" w:color="auto"/>
            </w:tcBorders>
          </w:tcPr>
          <w:p w14:paraId="423B52FF" w14:textId="77777777" w:rsidR="0047668F" w:rsidRPr="00DE12A3" w:rsidRDefault="0047668F" w:rsidP="00C917D6">
            <w:pPr>
              <w:pStyle w:val="NormalLeft"/>
            </w:pPr>
            <w:r w:rsidRPr="00DE12A3">
              <w:t>Doğrusal Geçiş</w:t>
            </w:r>
          </w:p>
        </w:tc>
      </w:tr>
      <w:tr w:rsidR="00DE12A3" w:rsidRPr="00DE12A3" w14:paraId="1BDBBFAD" w14:textId="77777777" w:rsidTr="009F4766">
        <w:tc>
          <w:tcPr>
            <w:tcW w:w="2342" w:type="dxa"/>
            <w:tcBorders>
              <w:top w:val="single" w:sz="2" w:space="0" w:color="auto"/>
              <w:left w:val="single" w:sz="2" w:space="0" w:color="auto"/>
              <w:bottom w:val="single" w:sz="2" w:space="0" w:color="auto"/>
              <w:right w:val="single" w:sz="2" w:space="0" w:color="auto"/>
            </w:tcBorders>
          </w:tcPr>
          <w:p w14:paraId="0D8210F7" w14:textId="77777777" w:rsidR="0047668F" w:rsidRPr="00DE12A3" w:rsidRDefault="0047668F" w:rsidP="00C917D6">
            <w:pPr>
              <w:spacing w:before="120" w:after="120"/>
              <w:rPr>
                <w:rFonts w:cs="Times New Roman"/>
                <w:color w:val="auto"/>
              </w:rPr>
            </w:pPr>
            <w:r w:rsidRPr="00DE12A3">
              <w:rPr>
                <w:rFonts w:cs="Times New Roman"/>
                <w:color w:val="auto"/>
              </w:rPr>
              <w:t>4 Kararlı durum</w:t>
            </w:r>
          </w:p>
        </w:tc>
        <w:tc>
          <w:tcPr>
            <w:tcW w:w="2612" w:type="dxa"/>
            <w:tcBorders>
              <w:top w:val="single" w:sz="2" w:space="0" w:color="auto"/>
              <w:left w:val="single" w:sz="2" w:space="0" w:color="auto"/>
              <w:bottom w:val="single" w:sz="2" w:space="0" w:color="auto"/>
              <w:right w:val="single" w:sz="2" w:space="0" w:color="auto"/>
            </w:tcBorders>
          </w:tcPr>
          <w:p w14:paraId="51D19BE3" w14:textId="77777777" w:rsidR="0047668F" w:rsidRPr="00DE12A3" w:rsidRDefault="0047668F" w:rsidP="00C917D6">
            <w:pPr>
              <w:pStyle w:val="NormalLeft"/>
            </w:pPr>
            <w:r w:rsidRPr="00DE12A3">
              <w:t>350</w:t>
            </w:r>
          </w:p>
        </w:tc>
        <w:tc>
          <w:tcPr>
            <w:tcW w:w="2072" w:type="dxa"/>
            <w:tcBorders>
              <w:top w:val="single" w:sz="2" w:space="0" w:color="auto"/>
              <w:left w:val="single" w:sz="2" w:space="0" w:color="auto"/>
              <w:bottom w:val="single" w:sz="2" w:space="0" w:color="auto"/>
              <w:right w:val="single" w:sz="2" w:space="0" w:color="auto"/>
            </w:tcBorders>
          </w:tcPr>
          <w:p w14:paraId="71562A3B" w14:textId="77777777" w:rsidR="0047668F" w:rsidRPr="00DE12A3" w:rsidRDefault="0047668F" w:rsidP="00C917D6">
            <w:pPr>
              <w:pStyle w:val="NormalLeft"/>
            </w:pPr>
            <w:r w:rsidRPr="00DE12A3">
              <w:t>Rölanti</w:t>
            </w:r>
          </w:p>
        </w:tc>
        <w:tc>
          <w:tcPr>
            <w:tcW w:w="1981" w:type="dxa"/>
            <w:tcBorders>
              <w:top w:val="single" w:sz="2" w:space="0" w:color="auto"/>
              <w:left w:val="single" w:sz="2" w:space="0" w:color="auto"/>
              <w:bottom w:val="single" w:sz="2" w:space="0" w:color="auto"/>
              <w:right w:val="single" w:sz="2" w:space="0" w:color="auto"/>
            </w:tcBorders>
          </w:tcPr>
          <w:p w14:paraId="119F0050" w14:textId="77777777" w:rsidR="0047668F" w:rsidRPr="00DE12A3" w:rsidRDefault="0047668F" w:rsidP="00C917D6">
            <w:pPr>
              <w:pStyle w:val="NormalLeft"/>
            </w:pPr>
            <w:r w:rsidRPr="00DE12A3">
              <w:t>5</w:t>
            </w:r>
            <w:r w:rsidR="00CD4C1E" w:rsidRPr="00DE12A3">
              <w:rPr>
                <w:rStyle w:val="DipnotBavurusu"/>
              </w:rPr>
              <w:t>c</w:t>
            </w:r>
          </w:p>
        </w:tc>
      </w:tr>
    </w:tbl>
    <w:p w14:paraId="585515AE" w14:textId="4860D424" w:rsidR="000D0CF9" w:rsidRPr="00DE12A3" w:rsidRDefault="000D0CF9" w:rsidP="00C917D6">
      <w:pPr>
        <w:pStyle w:val="Gvdemetni21"/>
        <w:shd w:val="clear" w:color="auto" w:fill="auto"/>
        <w:tabs>
          <w:tab w:val="left" w:pos="357"/>
        </w:tabs>
        <w:spacing w:after="120" w:line="240" w:lineRule="auto"/>
        <w:ind w:left="100" w:firstLine="0"/>
        <w:jc w:val="both"/>
        <w:rPr>
          <w:sz w:val="16"/>
          <w:szCs w:val="16"/>
        </w:rPr>
      </w:pPr>
      <w:r w:rsidRPr="00DE12A3">
        <w:rPr>
          <w:rStyle w:val="Gvdemetni95pt0ptbolukbraklyor"/>
          <w:color w:val="auto"/>
          <w:sz w:val="16"/>
          <w:szCs w:val="15"/>
        </w:rPr>
        <w:lastRenderedPageBreak/>
        <w:t>(</w:t>
      </w:r>
      <w:r w:rsidRPr="00DE12A3">
        <w:rPr>
          <w:rStyle w:val="Gvdemetni95pt0ptbolukbraklyor"/>
          <w:color w:val="auto"/>
          <w:sz w:val="16"/>
          <w:szCs w:val="15"/>
          <w:vertAlign w:val="superscript"/>
        </w:rPr>
        <w:t>a</w:t>
      </w:r>
      <w:r w:rsidRPr="00DE12A3">
        <w:rPr>
          <w:rStyle w:val="Gvdemetni95pt0ptbolukbraklyor"/>
          <w:color w:val="auto"/>
          <w:sz w:val="16"/>
          <w:szCs w:val="15"/>
        </w:rPr>
        <w:t>)</w:t>
      </w:r>
      <w:r w:rsidRPr="00DE12A3">
        <w:rPr>
          <w:rStyle w:val="Gvdemetni95pt0ptbolukbraklyor"/>
          <w:color w:val="auto"/>
          <w:sz w:val="16"/>
          <w:szCs w:val="15"/>
        </w:rPr>
        <w:tab/>
      </w:r>
      <w:r w:rsidRPr="00DE12A3">
        <w:rPr>
          <w:sz w:val="16"/>
          <w:szCs w:val="16"/>
        </w:rPr>
        <w:t xml:space="preserve">Gereken test devirlerinin belirlenmesi için </w:t>
      </w:r>
      <w:r w:rsidR="00FA0678" w:rsidRPr="00DE12A3">
        <w:rPr>
          <w:sz w:val="16"/>
          <w:szCs w:val="16"/>
        </w:rPr>
        <w:t>VI’ncı ek</w:t>
      </w:r>
      <w:r w:rsidRPr="00DE12A3">
        <w:rPr>
          <w:sz w:val="16"/>
          <w:szCs w:val="16"/>
        </w:rPr>
        <w:t xml:space="preserve">in 5.2.5, 7.6 ve 7.7 </w:t>
      </w:r>
      <w:r w:rsidR="00E1361C" w:rsidRPr="00DE12A3">
        <w:rPr>
          <w:sz w:val="16"/>
          <w:szCs w:val="16"/>
        </w:rPr>
        <w:t xml:space="preserve">bentlerine </w:t>
      </w:r>
      <w:r w:rsidRPr="00DE12A3">
        <w:rPr>
          <w:sz w:val="16"/>
          <w:szCs w:val="16"/>
        </w:rPr>
        <w:t>bakınız.</w:t>
      </w:r>
    </w:p>
    <w:p w14:paraId="532D9923" w14:textId="77777777" w:rsidR="000D0CF9" w:rsidRPr="00DE12A3" w:rsidRDefault="000D0CF9" w:rsidP="00C917D6">
      <w:pPr>
        <w:pStyle w:val="Gvdemetni21"/>
        <w:shd w:val="clear" w:color="auto" w:fill="auto"/>
        <w:tabs>
          <w:tab w:val="left" w:pos="357"/>
          <w:tab w:val="left" w:pos="2567"/>
        </w:tabs>
        <w:spacing w:after="120" w:line="240" w:lineRule="auto"/>
        <w:ind w:left="100" w:firstLine="0"/>
        <w:jc w:val="both"/>
        <w:rPr>
          <w:sz w:val="16"/>
          <w:szCs w:val="16"/>
        </w:rPr>
      </w:pPr>
      <w:r w:rsidRPr="00DE12A3">
        <w:rPr>
          <w:rStyle w:val="Gvdemetni95pt0ptbolukbraklyor"/>
          <w:color w:val="auto"/>
          <w:sz w:val="16"/>
          <w:szCs w:val="15"/>
        </w:rPr>
        <w:t>(</w:t>
      </w:r>
      <w:r w:rsidRPr="00DE12A3">
        <w:rPr>
          <w:rStyle w:val="Gvdemetni95pt0ptbolukbraklyor"/>
          <w:color w:val="auto"/>
          <w:sz w:val="16"/>
          <w:szCs w:val="15"/>
          <w:vertAlign w:val="superscript"/>
        </w:rPr>
        <w:t>b</w:t>
      </w:r>
      <w:r w:rsidRPr="00DE12A3">
        <w:rPr>
          <w:rStyle w:val="Gvdemetni95pt0ptbolukbraklyor"/>
          <w:color w:val="auto"/>
          <w:sz w:val="16"/>
          <w:szCs w:val="15"/>
        </w:rPr>
        <w:t>)</w:t>
      </w:r>
      <w:r w:rsidRPr="00DE12A3">
        <w:rPr>
          <w:rStyle w:val="Gvdemetni95pt0ptbolukbraklyor"/>
          <w:color w:val="auto"/>
          <w:sz w:val="16"/>
          <w:szCs w:val="15"/>
        </w:rPr>
        <w:tab/>
      </w:r>
      <w:r w:rsidRPr="00DE12A3">
        <w:rPr>
          <w:sz w:val="16"/>
          <w:szCs w:val="16"/>
        </w:rPr>
        <w:t>Bu moddaki % güç, mod 3a'daki net güce bağlıdır.</w:t>
      </w:r>
    </w:p>
    <w:p w14:paraId="1758C742" w14:textId="77777777" w:rsidR="000D0CF9" w:rsidRPr="00DE12A3" w:rsidRDefault="000D0CF9" w:rsidP="00C917D6">
      <w:pPr>
        <w:pStyle w:val="Gvdemetni21"/>
        <w:shd w:val="clear" w:color="auto" w:fill="auto"/>
        <w:tabs>
          <w:tab w:val="left" w:pos="357"/>
          <w:tab w:val="left" w:pos="2567"/>
        </w:tabs>
        <w:spacing w:after="120" w:line="240" w:lineRule="auto"/>
        <w:ind w:left="100" w:firstLine="0"/>
        <w:jc w:val="both"/>
        <w:rPr>
          <w:sz w:val="16"/>
          <w:szCs w:val="16"/>
        </w:rPr>
      </w:pPr>
      <w:r w:rsidRPr="00DE12A3">
        <w:rPr>
          <w:rStyle w:val="Gvdemetni95pt0ptbolukbraklyor"/>
          <w:color w:val="auto"/>
          <w:sz w:val="16"/>
          <w:szCs w:val="15"/>
        </w:rPr>
        <w:t>(</w:t>
      </w:r>
      <w:r w:rsidRPr="00DE12A3">
        <w:rPr>
          <w:rStyle w:val="Gvdemetni95pt0ptbolukbraklyor"/>
          <w:color w:val="auto"/>
          <w:sz w:val="16"/>
          <w:szCs w:val="15"/>
          <w:vertAlign w:val="superscript"/>
        </w:rPr>
        <w:t>c</w:t>
      </w:r>
      <w:r w:rsidRPr="00DE12A3">
        <w:rPr>
          <w:rStyle w:val="Gvdemetni95pt0ptbolukbraklyor"/>
          <w:color w:val="auto"/>
          <w:sz w:val="16"/>
          <w:szCs w:val="15"/>
        </w:rPr>
        <w:t>)</w:t>
      </w:r>
      <w:r w:rsidRPr="00DE12A3">
        <w:rPr>
          <w:rStyle w:val="Gvdemetni95pt0ptbolukbraklyor"/>
          <w:color w:val="auto"/>
          <w:sz w:val="16"/>
          <w:szCs w:val="15"/>
        </w:rPr>
        <w:tab/>
      </w:r>
      <w:r w:rsidRPr="00DE12A3">
        <w:rPr>
          <w:sz w:val="16"/>
          <w:szCs w:val="16"/>
        </w:rPr>
        <w:t>Bu moddaki % güç, komut verilen motor devrindeki azami net güce bağlıdır.</w:t>
      </w:r>
    </w:p>
    <w:p w14:paraId="43E0E5E6" w14:textId="77777777" w:rsidR="000D0CF9" w:rsidRPr="00DE12A3" w:rsidRDefault="000D0CF9" w:rsidP="00C917D6">
      <w:pPr>
        <w:pStyle w:val="Gvdemetni21"/>
        <w:shd w:val="clear" w:color="auto" w:fill="auto"/>
        <w:tabs>
          <w:tab w:val="left" w:pos="357"/>
        </w:tabs>
        <w:spacing w:after="120" w:line="240" w:lineRule="auto"/>
        <w:ind w:left="100" w:right="20" w:firstLine="0"/>
        <w:jc w:val="both"/>
        <w:rPr>
          <w:sz w:val="16"/>
          <w:szCs w:val="16"/>
        </w:rPr>
      </w:pPr>
      <w:r w:rsidRPr="00DE12A3">
        <w:rPr>
          <w:rStyle w:val="Gvdemetni95pt0ptbolukbraklyor"/>
          <w:color w:val="auto"/>
          <w:sz w:val="16"/>
          <w:szCs w:val="15"/>
        </w:rPr>
        <w:t>(</w:t>
      </w:r>
      <w:r w:rsidRPr="00DE12A3">
        <w:rPr>
          <w:rStyle w:val="Gvdemetni95pt0ptbolukbraklyor"/>
          <w:color w:val="auto"/>
          <w:sz w:val="16"/>
          <w:szCs w:val="15"/>
          <w:vertAlign w:val="superscript"/>
        </w:rPr>
        <w:t>d</w:t>
      </w:r>
      <w:r w:rsidRPr="00DE12A3">
        <w:rPr>
          <w:rStyle w:val="Gvdemetni95pt0ptbolukbraklyor"/>
          <w:color w:val="auto"/>
          <w:sz w:val="16"/>
          <w:szCs w:val="15"/>
        </w:rPr>
        <w:t>)</w:t>
      </w:r>
      <w:r w:rsidRPr="00DE12A3">
        <w:rPr>
          <w:rStyle w:val="Gvdemetni95pt0ptbolukbraklyor"/>
          <w:color w:val="auto"/>
          <w:sz w:val="16"/>
          <w:szCs w:val="15"/>
        </w:rPr>
        <w:tab/>
      </w:r>
      <w:r w:rsidRPr="00DE12A3">
        <w:rPr>
          <w:sz w:val="16"/>
          <w:szCs w:val="16"/>
        </w:rPr>
        <w:t>Bir ayrık kontrol sistemi (yani çentik tipi kontroller) kullanan motorlar için mod 2a, mod 2a'ya en yakın çentikte veya nominal gücün % 35'inde çalışma olarak tanımlanır.</w:t>
      </w:r>
    </w:p>
    <w:p w14:paraId="25E087DE" w14:textId="77777777" w:rsidR="000D0CF9" w:rsidRPr="00DE12A3" w:rsidRDefault="000D0CF9" w:rsidP="00C917D6">
      <w:pPr>
        <w:pStyle w:val="Gvdemetni21"/>
        <w:shd w:val="clear" w:color="auto" w:fill="auto"/>
        <w:tabs>
          <w:tab w:val="left" w:pos="357"/>
          <w:tab w:val="left" w:pos="2567"/>
          <w:tab w:val="left" w:pos="4396"/>
          <w:tab w:val="center" w:pos="6743"/>
          <w:tab w:val="center" w:pos="7881"/>
        </w:tabs>
        <w:spacing w:after="120" w:line="240" w:lineRule="auto"/>
        <w:ind w:left="100" w:firstLine="0"/>
        <w:jc w:val="both"/>
        <w:rPr>
          <w:sz w:val="16"/>
          <w:szCs w:val="16"/>
        </w:rPr>
      </w:pPr>
      <w:r w:rsidRPr="00DE12A3">
        <w:rPr>
          <w:rStyle w:val="Gvdemetni95pt0ptbolukbraklyor"/>
          <w:color w:val="auto"/>
          <w:sz w:val="16"/>
          <w:szCs w:val="15"/>
        </w:rPr>
        <w:t>(</w:t>
      </w:r>
      <w:r w:rsidRPr="00DE12A3">
        <w:rPr>
          <w:rStyle w:val="Gvdemetni95pt0ptbolukbraklyor"/>
          <w:color w:val="auto"/>
          <w:sz w:val="16"/>
          <w:szCs w:val="15"/>
          <w:vertAlign w:val="superscript"/>
        </w:rPr>
        <w:t>e</w:t>
      </w:r>
      <w:r w:rsidRPr="00DE12A3">
        <w:rPr>
          <w:rStyle w:val="Gvdemetni95pt0ptbolukbraklyor"/>
          <w:color w:val="auto"/>
          <w:sz w:val="16"/>
          <w:szCs w:val="15"/>
        </w:rPr>
        <w:t>)</w:t>
      </w:r>
      <w:r w:rsidRPr="00DE12A3">
        <w:rPr>
          <w:rStyle w:val="Gvdemetni95pt0ptbolukbraklyor"/>
          <w:color w:val="auto"/>
          <w:sz w:val="16"/>
          <w:szCs w:val="15"/>
        </w:rPr>
        <w:tab/>
      </w:r>
      <w:r w:rsidRPr="00DE12A3">
        <w:rPr>
          <w:sz w:val="16"/>
          <w:szCs w:val="16"/>
        </w:rPr>
        <w:t>Bir moddan diğerine 20 saniyelik bir geçiş aşaması içinde ilerlenir. Geçiş aşamasında, mevcut modun tork ayarından bir sonraki modun tork ayarına doğrusal bir ilerleme komutu verilir ve devir ayarında bir değişiklik olursa, aynı anda motor devri için de benzer bir doğrusal ilerleme komutu verilir.</w:t>
      </w:r>
    </w:p>
    <w:p w14:paraId="31C904EC" w14:textId="77777777" w:rsidR="00441E80" w:rsidRPr="00DE12A3" w:rsidRDefault="00441E80" w:rsidP="00441E80">
      <w:pPr>
        <w:rPr>
          <w:b/>
          <w:color w:val="auto"/>
        </w:rPr>
      </w:pPr>
    </w:p>
    <w:p w14:paraId="07CEB132" w14:textId="77777777" w:rsidR="009F4766" w:rsidRPr="00DE12A3" w:rsidRDefault="00861C3B" w:rsidP="00051047">
      <w:pPr>
        <w:jc w:val="center"/>
        <w:rPr>
          <w:b/>
          <w:color w:val="auto"/>
        </w:rPr>
      </w:pPr>
      <w:r w:rsidRPr="00DE12A3">
        <w:rPr>
          <w:b/>
          <w:color w:val="auto"/>
        </w:rPr>
        <w:t xml:space="preserve">Tip G test </w:t>
      </w:r>
      <w:r w:rsidR="00F310B5" w:rsidRPr="00DE12A3">
        <w:rPr>
          <w:b/>
          <w:color w:val="auto"/>
        </w:rPr>
        <w:t>çevrim</w:t>
      </w:r>
      <w:r w:rsidRPr="00DE12A3">
        <w:rPr>
          <w:b/>
          <w:color w:val="auto"/>
        </w:rPr>
        <w:t>leri</w:t>
      </w:r>
    </w:p>
    <w:tbl>
      <w:tblPr>
        <w:tblW w:w="0" w:type="auto"/>
        <w:tblInd w:w="186" w:type="dxa"/>
        <w:tblLayout w:type="fixed"/>
        <w:tblLook w:val="0000" w:firstRow="0" w:lastRow="0" w:firstColumn="0" w:lastColumn="0" w:noHBand="0" w:noVBand="0"/>
      </w:tblPr>
      <w:tblGrid>
        <w:gridCol w:w="2318"/>
        <w:gridCol w:w="2674"/>
        <w:gridCol w:w="1961"/>
        <w:gridCol w:w="1962"/>
      </w:tblGrid>
      <w:tr w:rsidR="00DE12A3" w:rsidRPr="00DE12A3" w14:paraId="3C12D018" w14:textId="77777777" w:rsidTr="009F4766">
        <w:tc>
          <w:tcPr>
            <w:tcW w:w="8915" w:type="dxa"/>
            <w:gridSpan w:val="4"/>
            <w:tcBorders>
              <w:top w:val="single" w:sz="2" w:space="0" w:color="auto"/>
              <w:left w:val="single" w:sz="2" w:space="0" w:color="auto"/>
              <w:bottom w:val="single" w:sz="2" w:space="0" w:color="auto"/>
              <w:right w:val="single" w:sz="2" w:space="0" w:color="auto"/>
            </w:tcBorders>
          </w:tcPr>
          <w:p w14:paraId="1F708E61" w14:textId="77777777" w:rsidR="009F4766" w:rsidRPr="00DE12A3" w:rsidRDefault="0047668F" w:rsidP="00C917D6">
            <w:pPr>
              <w:pStyle w:val="NormalCentered"/>
            </w:pPr>
            <w:r w:rsidRPr="00DE12A3">
              <w:rPr>
                <w:iCs/>
              </w:rPr>
              <w:t>RMC-G1 test modları tablosu</w:t>
            </w:r>
          </w:p>
        </w:tc>
      </w:tr>
      <w:tr w:rsidR="00DE12A3" w:rsidRPr="00DE12A3" w14:paraId="16EE46B3" w14:textId="77777777" w:rsidTr="009F4766">
        <w:tc>
          <w:tcPr>
            <w:tcW w:w="2318" w:type="dxa"/>
            <w:tcBorders>
              <w:top w:val="single" w:sz="2" w:space="0" w:color="auto"/>
              <w:left w:val="single" w:sz="2" w:space="0" w:color="auto"/>
              <w:bottom w:val="single" w:sz="2" w:space="0" w:color="auto"/>
              <w:right w:val="single" w:sz="2" w:space="0" w:color="auto"/>
            </w:tcBorders>
          </w:tcPr>
          <w:p w14:paraId="38C5ECAE" w14:textId="77777777" w:rsidR="0047668F" w:rsidRPr="00DE12A3" w:rsidRDefault="0047668F" w:rsidP="00C917D6">
            <w:pPr>
              <w:spacing w:before="120" w:after="120"/>
              <w:rPr>
                <w:rFonts w:cs="Times New Roman"/>
                <w:color w:val="auto"/>
              </w:rPr>
            </w:pPr>
            <w:r w:rsidRPr="00DE12A3">
              <w:rPr>
                <w:rFonts w:cs="Times New Roman"/>
                <w:color w:val="auto"/>
              </w:rPr>
              <w:t>RMC Mod Numarası</w:t>
            </w:r>
          </w:p>
        </w:tc>
        <w:tc>
          <w:tcPr>
            <w:tcW w:w="2674" w:type="dxa"/>
            <w:tcBorders>
              <w:top w:val="single" w:sz="2" w:space="0" w:color="auto"/>
              <w:left w:val="single" w:sz="2" w:space="0" w:color="auto"/>
              <w:bottom w:val="single" w:sz="2" w:space="0" w:color="auto"/>
              <w:right w:val="single" w:sz="2" w:space="0" w:color="auto"/>
            </w:tcBorders>
          </w:tcPr>
          <w:p w14:paraId="1C159F63" w14:textId="77777777" w:rsidR="0047668F" w:rsidRPr="00DE12A3" w:rsidRDefault="0047668F" w:rsidP="00C917D6">
            <w:pPr>
              <w:spacing w:before="120" w:after="120"/>
              <w:rPr>
                <w:rFonts w:cs="Times New Roman"/>
                <w:color w:val="auto"/>
              </w:rPr>
            </w:pPr>
            <w:r w:rsidRPr="00DE12A3">
              <w:rPr>
                <w:rFonts w:cs="Times New Roman"/>
                <w:color w:val="auto"/>
              </w:rPr>
              <w:t>Mod süresi (saniye)</w:t>
            </w:r>
          </w:p>
        </w:tc>
        <w:tc>
          <w:tcPr>
            <w:tcW w:w="1961" w:type="dxa"/>
            <w:tcBorders>
              <w:top w:val="single" w:sz="2" w:space="0" w:color="auto"/>
              <w:left w:val="single" w:sz="2" w:space="0" w:color="auto"/>
              <w:bottom w:val="single" w:sz="2" w:space="0" w:color="auto"/>
              <w:right w:val="single" w:sz="2" w:space="0" w:color="auto"/>
            </w:tcBorders>
          </w:tcPr>
          <w:p w14:paraId="04905A15" w14:textId="77777777" w:rsidR="0047668F" w:rsidRPr="00DE12A3" w:rsidRDefault="0047668F" w:rsidP="00C917D6">
            <w:pPr>
              <w:spacing w:before="120" w:after="120"/>
              <w:rPr>
                <w:rFonts w:cs="Times New Roman"/>
                <w:color w:val="auto"/>
              </w:rPr>
            </w:pPr>
            <w:r w:rsidRPr="00DE12A3">
              <w:rPr>
                <w:rFonts w:cs="Times New Roman"/>
                <w:color w:val="auto"/>
              </w:rPr>
              <w:t xml:space="preserve">Motor devri </w:t>
            </w:r>
            <w:r w:rsidRPr="00DE12A3">
              <w:rPr>
                <w:rFonts w:cs="Times New Roman"/>
                <w:color w:val="auto"/>
                <w:vertAlign w:val="superscript"/>
              </w:rPr>
              <w:t>(a) (c)</w:t>
            </w:r>
          </w:p>
        </w:tc>
        <w:tc>
          <w:tcPr>
            <w:tcW w:w="1962" w:type="dxa"/>
            <w:tcBorders>
              <w:top w:val="single" w:sz="2" w:space="0" w:color="auto"/>
              <w:left w:val="single" w:sz="2" w:space="0" w:color="auto"/>
              <w:bottom w:val="single" w:sz="2" w:space="0" w:color="auto"/>
              <w:right w:val="single" w:sz="2" w:space="0" w:color="auto"/>
            </w:tcBorders>
          </w:tcPr>
          <w:p w14:paraId="30DC8530" w14:textId="77777777" w:rsidR="0047668F" w:rsidRPr="00DE12A3" w:rsidRDefault="0047668F" w:rsidP="00C917D6">
            <w:pPr>
              <w:spacing w:before="120" w:after="120"/>
              <w:rPr>
                <w:rFonts w:cs="Times New Roman"/>
                <w:color w:val="auto"/>
              </w:rPr>
            </w:pPr>
            <w:r w:rsidRPr="00DE12A3">
              <w:rPr>
                <w:rFonts w:cs="Times New Roman"/>
                <w:color w:val="auto"/>
              </w:rPr>
              <w:t xml:space="preserve">Tork (%) </w:t>
            </w:r>
            <w:r w:rsidRPr="00DE12A3">
              <w:rPr>
                <w:rFonts w:cs="Times New Roman"/>
                <w:color w:val="auto"/>
                <w:vertAlign w:val="superscript"/>
              </w:rPr>
              <w:t>(b) (c)</w:t>
            </w:r>
          </w:p>
        </w:tc>
      </w:tr>
      <w:tr w:rsidR="00DE12A3" w:rsidRPr="00DE12A3" w14:paraId="700241AD" w14:textId="77777777" w:rsidTr="009F4766">
        <w:tc>
          <w:tcPr>
            <w:tcW w:w="2318" w:type="dxa"/>
            <w:tcBorders>
              <w:top w:val="single" w:sz="2" w:space="0" w:color="auto"/>
              <w:left w:val="single" w:sz="2" w:space="0" w:color="auto"/>
              <w:bottom w:val="single" w:sz="2" w:space="0" w:color="auto"/>
              <w:right w:val="single" w:sz="2" w:space="0" w:color="auto"/>
            </w:tcBorders>
          </w:tcPr>
          <w:p w14:paraId="4E1B06B6" w14:textId="77777777" w:rsidR="000D0CF9" w:rsidRPr="00DE12A3" w:rsidRDefault="000D0CF9" w:rsidP="00C917D6">
            <w:pPr>
              <w:spacing w:before="120" w:after="120"/>
              <w:rPr>
                <w:rFonts w:cs="Times New Roman"/>
                <w:color w:val="auto"/>
              </w:rPr>
            </w:pPr>
            <w:r w:rsidRPr="00DE12A3">
              <w:rPr>
                <w:rFonts w:cs="Times New Roman"/>
                <w:color w:val="auto"/>
              </w:rPr>
              <w:t>1a Kararlı durum</w:t>
            </w:r>
          </w:p>
        </w:tc>
        <w:tc>
          <w:tcPr>
            <w:tcW w:w="2674" w:type="dxa"/>
            <w:tcBorders>
              <w:top w:val="single" w:sz="2" w:space="0" w:color="auto"/>
              <w:left w:val="single" w:sz="2" w:space="0" w:color="auto"/>
              <w:bottom w:val="single" w:sz="2" w:space="0" w:color="auto"/>
              <w:right w:val="single" w:sz="2" w:space="0" w:color="auto"/>
            </w:tcBorders>
          </w:tcPr>
          <w:p w14:paraId="7DDD4B1B" w14:textId="77777777" w:rsidR="000D0CF9" w:rsidRPr="00DE12A3" w:rsidRDefault="000D0CF9" w:rsidP="00C917D6">
            <w:pPr>
              <w:pStyle w:val="NormalLeft"/>
            </w:pPr>
            <w:r w:rsidRPr="00DE12A3">
              <w:t>41</w:t>
            </w:r>
          </w:p>
        </w:tc>
        <w:tc>
          <w:tcPr>
            <w:tcW w:w="1961" w:type="dxa"/>
            <w:tcBorders>
              <w:top w:val="single" w:sz="2" w:space="0" w:color="auto"/>
              <w:left w:val="single" w:sz="2" w:space="0" w:color="auto"/>
              <w:bottom w:val="single" w:sz="2" w:space="0" w:color="auto"/>
              <w:right w:val="single" w:sz="2" w:space="0" w:color="auto"/>
            </w:tcBorders>
          </w:tcPr>
          <w:p w14:paraId="2D974697" w14:textId="77777777" w:rsidR="000D0CF9" w:rsidRPr="00DE12A3" w:rsidRDefault="000D0CF9" w:rsidP="00C917D6">
            <w:pPr>
              <w:pStyle w:val="NormalLeft"/>
            </w:pPr>
            <w:r w:rsidRPr="00DE12A3">
              <w:t>Rölanti</w:t>
            </w:r>
          </w:p>
        </w:tc>
        <w:tc>
          <w:tcPr>
            <w:tcW w:w="1962" w:type="dxa"/>
            <w:tcBorders>
              <w:top w:val="single" w:sz="2" w:space="0" w:color="auto"/>
              <w:left w:val="single" w:sz="2" w:space="0" w:color="auto"/>
              <w:bottom w:val="single" w:sz="2" w:space="0" w:color="auto"/>
              <w:right w:val="single" w:sz="2" w:space="0" w:color="auto"/>
            </w:tcBorders>
          </w:tcPr>
          <w:p w14:paraId="1F7BEB65" w14:textId="77777777" w:rsidR="000D0CF9" w:rsidRPr="00DE12A3" w:rsidRDefault="000D0CF9" w:rsidP="00C917D6">
            <w:pPr>
              <w:pStyle w:val="NormalLeft"/>
            </w:pPr>
            <w:r w:rsidRPr="00DE12A3">
              <w:t>0</w:t>
            </w:r>
          </w:p>
        </w:tc>
      </w:tr>
      <w:tr w:rsidR="00DE12A3" w:rsidRPr="00DE12A3" w14:paraId="7AAEB763" w14:textId="77777777" w:rsidTr="009F4766">
        <w:tc>
          <w:tcPr>
            <w:tcW w:w="2318" w:type="dxa"/>
            <w:tcBorders>
              <w:top w:val="single" w:sz="2" w:space="0" w:color="auto"/>
              <w:left w:val="single" w:sz="2" w:space="0" w:color="auto"/>
              <w:bottom w:val="single" w:sz="2" w:space="0" w:color="auto"/>
              <w:right w:val="single" w:sz="2" w:space="0" w:color="auto"/>
            </w:tcBorders>
          </w:tcPr>
          <w:p w14:paraId="219E8EB3" w14:textId="77777777" w:rsidR="000D0CF9" w:rsidRPr="00DE12A3" w:rsidRDefault="000D0CF9" w:rsidP="00C917D6">
            <w:pPr>
              <w:spacing w:before="120" w:after="120"/>
              <w:rPr>
                <w:rFonts w:cs="Times New Roman"/>
                <w:color w:val="auto"/>
              </w:rPr>
            </w:pPr>
            <w:r w:rsidRPr="00DE12A3">
              <w:rPr>
                <w:rFonts w:cs="Times New Roman"/>
                <w:color w:val="auto"/>
              </w:rPr>
              <w:t>1b Geçiş</w:t>
            </w:r>
          </w:p>
        </w:tc>
        <w:tc>
          <w:tcPr>
            <w:tcW w:w="2674" w:type="dxa"/>
            <w:tcBorders>
              <w:top w:val="single" w:sz="2" w:space="0" w:color="auto"/>
              <w:left w:val="single" w:sz="2" w:space="0" w:color="auto"/>
              <w:bottom w:val="single" w:sz="2" w:space="0" w:color="auto"/>
              <w:right w:val="single" w:sz="2" w:space="0" w:color="auto"/>
            </w:tcBorders>
          </w:tcPr>
          <w:p w14:paraId="5AD51E73" w14:textId="77777777" w:rsidR="000D0CF9" w:rsidRPr="00DE12A3" w:rsidRDefault="000D0CF9" w:rsidP="00C917D6">
            <w:pPr>
              <w:pStyle w:val="NormalLeft"/>
            </w:pPr>
            <w:r w:rsidRPr="00DE12A3">
              <w:t>20</w:t>
            </w:r>
          </w:p>
        </w:tc>
        <w:tc>
          <w:tcPr>
            <w:tcW w:w="1961" w:type="dxa"/>
            <w:tcBorders>
              <w:top w:val="single" w:sz="2" w:space="0" w:color="auto"/>
              <w:left w:val="single" w:sz="2" w:space="0" w:color="auto"/>
              <w:bottom w:val="single" w:sz="2" w:space="0" w:color="auto"/>
              <w:right w:val="single" w:sz="2" w:space="0" w:color="auto"/>
            </w:tcBorders>
          </w:tcPr>
          <w:p w14:paraId="3CFE0F2C" w14:textId="77777777" w:rsidR="000D0CF9" w:rsidRPr="00DE12A3" w:rsidRDefault="000D0CF9" w:rsidP="00C917D6">
            <w:pPr>
              <w:pStyle w:val="NormalLeft"/>
            </w:pPr>
            <w:r w:rsidRPr="00DE12A3">
              <w:t>Doğrusal Geçiş</w:t>
            </w:r>
          </w:p>
        </w:tc>
        <w:tc>
          <w:tcPr>
            <w:tcW w:w="1962" w:type="dxa"/>
            <w:tcBorders>
              <w:top w:val="single" w:sz="2" w:space="0" w:color="auto"/>
              <w:left w:val="single" w:sz="2" w:space="0" w:color="auto"/>
              <w:bottom w:val="single" w:sz="2" w:space="0" w:color="auto"/>
              <w:right w:val="single" w:sz="2" w:space="0" w:color="auto"/>
            </w:tcBorders>
          </w:tcPr>
          <w:p w14:paraId="7998EC50" w14:textId="77777777" w:rsidR="000D0CF9" w:rsidRPr="00DE12A3" w:rsidRDefault="000D0CF9" w:rsidP="00C917D6">
            <w:pPr>
              <w:pStyle w:val="NormalLeft"/>
            </w:pPr>
            <w:r w:rsidRPr="00DE12A3">
              <w:t>Doğrusal Geçiş</w:t>
            </w:r>
          </w:p>
        </w:tc>
      </w:tr>
      <w:tr w:rsidR="00DE12A3" w:rsidRPr="00DE12A3" w14:paraId="6FFA9EFA" w14:textId="77777777" w:rsidTr="009F4766">
        <w:tc>
          <w:tcPr>
            <w:tcW w:w="2318" w:type="dxa"/>
            <w:tcBorders>
              <w:top w:val="single" w:sz="2" w:space="0" w:color="auto"/>
              <w:left w:val="single" w:sz="2" w:space="0" w:color="auto"/>
              <w:bottom w:val="single" w:sz="2" w:space="0" w:color="auto"/>
              <w:right w:val="single" w:sz="2" w:space="0" w:color="auto"/>
            </w:tcBorders>
          </w:tcPr>
          <w:p w14:paraId="1BBE5AC3" w14:textId="77777777" w:rsidR="000D0CF9" w:rsidRPr="00DE12A3" w:rsidRDefault="000D0CF9" w:rsidP="00C917D6">
            <w:pPr>
              <w:spacing w:before="120" w:after="120"/>
              <w:rPr>
                <w:rFonts w:cs="Times New Roman"/>
                <w:color w:val="auto"/>
              </w:rPr>
            </w:pPr>
            <w:r w:rsidRPr="00DE12A3">
              <w:rPr>
                <w:rFonts w:cs="Times New Roman"/>
                <w:color w:val="auto"/>
              </w:rPr>
              <w:t>2a Kararlı durum</w:t>
            </w:r>
          </w:p>
        </w:tc>
        <w:tc>
          <w:tcPr>
            <w:tcW w:w="2674" w:type="dxa"/>
            <w:tcBorders>
              <w:top w:val="single" w:sz="2" w:space="0" w:color="auto"/>
              <w:left w:val="single" w:sz="2" w:space="0" w:color="auto"/>
              <w:bottom w:val="single" w:sz="2" w:space="0" w:color="auto"/>
              <w:right w:val="single" w:sz="2" w:space="0" w:color="auto"/>
            </w:tcBorders>
          </w:tcPr>
          <w:p w14:paraId="70AC9FD0" w14:textId="77777777" w:rsidR="000D0CF9" w:rsidRPr="00DE12A3" w:rsidRDefault="000D0CF9" w:rsidP="00C917D6">
            <w:pPr>
              <w:pStyle w:val="NormalLeft"/>
            </w:pPr>
            <w:r w:rsidRPr="00DE12A3">
              <w:t>135</w:t>
            </w:r>
          </w:p>
        </w:tc>
        <w:tc>
          <w:tcPr>
            <w:tcW w:w="1961" w:type="dxa"/>
            <w:tcBorders>
              <w:top w:val="single" w:sz="2" w:space="0" w:color="auto"/>
              <w:left w:val="single" w:sz="2" w:space="0" w:color="auto"/>
              <w:bottom w:val="single" w:sz="2" w:space="0" w:color="auto"/>
              <w:right w:val="single" w:sz="2" w:space="0" w:color="auto"/>
            </w:tcBorders>
          </w:tcPr>
          <w:p w14:paraId="297BD883" w14:textId="77777777" w:rsidR="000D0CF9" w:rsidRPr="00DE12A3" w:rsidRDefault="000D0CF9" w:rsidP="00C917D6">
            <w:pPr>
              <w:pStyle w:val="NormalLeft"/>
            </w:pPr>
            <w:r w:rsidRPr="00DE12A3">
              <w:t>Orta</w:t>
            </w:r>
          </w:p>
        </w:tc>
        <w:tc>
          <w:tcPr>
            <w:tcW w:w="1962" w:type="dxa"/>
            <w:tcBorders>
              <w:top w:val="single" w:sz="2" w:space="0" w:color="auto"/>
              <w:left w:val="single" w:sz="2" w:space="0" w:color="auto"/>
              <w:bottom w:val="single" w:sz="2" w:space="0" w:color="auto"/>
              <w:right w:val="single" w:sz="2" w:space="0" w:color="auto"/>
            </w:tcBorders>
          </w:tcPr>
          <w:p w14:paraId="0F2DED70" w14:textId="77777777" w:rsidR="000D0CF9" w:rsidRPr="00DE12A3" w:rsidRDefault="000D0CF9" w:rsidP="00C917D6">
            <w:pPr>
              <w:pStyle w:val="NormalLeft"/>
            </w:pPr>
            <w:r w:rsidRPr="00DE12A3">
              <w:t>100</w:t>
            </w:r>
          </w:p>
        </w:tc>
      </w:tr>
      <w:tr w:rsidR="00DE12A3" w:rsidRPr="00DE12A3" w14:paraId="1855DBBA" w14:textId="77777777" w:rsidTr="009F4766">
        <w:tc>
          <w:tcPr>
            <w:tcW w:w="2318" w:type="dxa"/>
            <w:tcBorders>
              <w:top w:val="single" w:sz="2" w:space="0" w:color="auto"/>
              <w:left w:val="single" w:sz="2" w:space="0" w:color="auto"/>
              <w:bottom w:val="single" w:sz="2" w:space="0" w:color="auto"/>
              <w:right w:val="single" w:sz="2" w:space="0" w:color="auto"/>
            </w:tcBorders>
          </w:tcPr>
          <w:p w14:paraId="7CB1CCFC" w14:textId="77777777" w:rsidR="000D0CF9" w:rsidRPr="00DE12A3" w:rsidRDefault="000D0CF9" w:rsidP="00C917D6">
            <w:pPr>
              <w:spacing w:before="120" w:after="120"/>
              <w:rPr>
                <w:rFonts w:cs="Times New Roman"/>
                <w:color w:val="auto"/>
              </w:rPr>
            </w:pPr>
            <w:r w:rsidRPr="00DE12A3">
              <w:rPr>
                <w:rFonts w:cs="Times New Roman"/>
                <w:color w:val="auto"/>
              </w:rPr>
              <w:t>2b Geçiş</w:t>
            </w:r>
          </w:p>
        </w:tc>
        <w:tc>
          <w:tcPr>
            <w:tcW w:w="2674" w:type="dxa"/>
            <w:tcBorders>
              <w:top w:val="single" w:sz="2" w:space="0" w:color="auto"/>
              <w:left w:val="single" w:sz="2" w:space="0" w:color="auto"/>
              <w:bottom w:val="single" w:sz="2" w:space="0" w:color="auto"/>
              <w:right w:val="single" w:sz="2" w:space="0" w:color="auto"/>
            </w:tcBorders>
          </w:tcPr>
          <w:p w14:paraId="4C11DC9A" w14:textId="77777777" w:rsidR="000D0CF9" w:rsidRPr="00DE12A3" w:rsidRDefault="000D0CF9" w:rsidP="00C917D6">
            <w:pPr>
              <w:pStyle w:val="NormalLeft"/>
            </w:pPr>
            <w:r w:rsidRPr="00DE12A3">
              <w:t>20</w:t>
            </w:r>
          </w:p>
        </w:tc>
        <w:tc>
          <w:tcPr>
            <w:tcW w:w="1961" w:type="dxa"/>
            <w:tcBorders>
              <w:top w:val="single" w:sz="2" w:space="0" w:color="auto"/>
              <w:left w:val="single" w:sz="2" w:space="0" w:color="auto"/>
              <w:bottom w:val="single" w:sz="2" w:space="0" w:color="auto"/>
              <w:right w:val="single" w:sz="2" w:space="0" w:color="auto"/>
            </w:tcBorders>
          </w:tcPr>
          <w:p w14:paraId="6448DFED" w14:textId="77777777" w:rsidR="000D0CF9" w:rsidRPr="00DE12A3" w:rsidRDefault="000D0CF9" w:rsidP="00C917D6">
            <w:pPr>
              <w:pStyle w:val="NormalLeft"/>
            </w:pPr>
            <w:r w:rsidRPr="00DE12A3">
              <w:t>Orta</w:t>
            </w:r>
          </w:p>
        </w:tc>
        <w:tc>
          <w:tcPr>
            <w:tcW w:w="1962" w:type="dxa"/>
            <w:tcBorders>
              <w:top w:val="single" w:sz="2" w:space="0" w:color="auto"/>
              <w:left w:val="single" w:sz="2" w:space="0" w:color="auto"/>
              <w:bottom w:val="single" w:sz="2" w:space="0" w:color="auto"/>
              <w:right w:val="single" w:sz="2" w:space="0" w:color="auto"/>
            </w:tcBorders>
          </w:tcPr>
          <w:p w14:paraId="5AC37B16" w14:textId="77777777" w:rsidR="000D0CF9" w:rsidRPr="00DE12A3" w:rsidRDefault="000D0CF9" w:rsidP="00C917D6">
            <w:pPr>
              <w:pStyle w:val="NormalLeft"/>
            </w:pPr>
            <w:r w:rsidRPr="00DE12A3">
              <w:t>Doğrusal Geçiş</w:t>
            </w:r>
          </w:p>
        </w:tc>
      </w:tr>
      <w:tr w:rsidR="00DE12A3" w:rsidRPr="00DE12A3" w14:paraId="2FA475AA" w14:textId="77777777" w:rsidTr="009F4766">
        <w:tc>
          <w:tcPr>
            <w:tcW w:w="2318" w:type="dxa"/>
            <w:tcBorders>
              <w:top w:val="single" w:sz="2" w:space="0" w:color="auto"/>
              <w:left w:val="single" w:sz="2" w:space="0" w:color="auto"/>
              <w:bottom w:val="single" w:sz="2" w:space="0" w:color="auto"/>
              <w:right w:val="single" w:sz="2" w:space="0" w:color="auto"/>
            </w:tcBorders>
          </w:tcPr>
          <w:p w14:paraId="30DB3527" w14:textId="77777777" w:rsidR="000D0CF9" w:rsidRPr="00DE12A3" w:rsidRDefault="000D0CF9" w:rsidP="00C917D6">
            <w:pPr>
              <w:spacing w:before="120" w:after="120"/>
              <w:rPr>
                <w:rFonts w:cs="Times New Roman"/>
                <w:color w:val="auto"/>
              </w:rPr>
            </w:pPr>
            <w:r w:rsidRPr="00DE12A3">
              <w:rPr>
                <w:rFonts w:cs="Times New Roman"/>
                <w:color w:val="auto"/>
              </w:rPr>
              <w:t>3a Kararlı durum</w:t>
            </w:r>
          </w:p>
        </w:tc>
        <w:tc>
          <w:tcPr>
            <w:tcW w:w="2674" w:type="dxa"/>
            <w:tcBorders>
              <w:top w:val="single" w:sz="2" w:space="0" w:color="auto"/>
              <w:left w:val="single" w:sz="2" w:space="0" w:color="auto"/>
              <w:bottom w:val="single" w:sz="2" w:space="0" w:color="auto"/>
              <w:right w:val="single" w:sz="2" w:space="0" w:color="auto"/>
            </w:tcBorders>
          </w:tcPr>
          <w:p w14:paraId="6492F70D" w14:textId="77777777" w:rsidR="000D0CF9" w:rsidRPr="00DE12A3" w:rsidRDefault="000D0CF9" w:rsidP="00C917D6">
            <w:pPr>
              <w:pStyle w:val="NormalLeft"/>
            </w:pPr>
            <w:r w:rsidRPr="00DE12A3">
              <w:t>112</w:t>
            </w:r>
          </w:p>
        </w:tc>
        <w:tc>
          <w:tcPr>
            <w:tcW w:w="1961" w:type="dxa"/>
            <w:tcBorders>
              <w:top w:val="single" w:sz="2" w:space="0" w:color="auto"/>
              <w:left w:val="single" w:sz="2" w:space="0" w:color="auto"/>
              <w:bottom w:val="single" w:sz="2" w:space="0" w:color="auto"/>
              <w:right w:val="single" w:sz="2" w:space="0" w:color="auto"/>
            </w:tcBorders>
          </w:tcPr>
          <w:p w14:paraId="751C9E69" w14:textId="77777777" w:rsidR="000D0CF9" w:rsidRPr="00DE12A3" w:rsidRDefault="000D0CF9" w:rsidP="00C917D6">
            <w:pPr>
              <w:pStyle w:val="NormalLeft"/>
            </w:pPr>
            <w:r w:rsidRPr="00DE12A3">
              <w:t>Orta</w:t>
            </w:r>
          </w:p>
        </w:tc>
        <w:tc>
          <w:tcPr>
            <w:tcW w:w="1962" w:type="dxa"/>
            <w:tcBorders>
              <w:top w:val="single" w:sz="2" w:space="0" w:color="auto"/>
              <w:left w:val="single" w:sz="2" w:space="0" w:color="auto"/>
              <w:bottom w:val="single" w:sz="2" w:space="0" w:color="auto"/>
              <w:right w:val="single" w:sz="2" w:space="0" w:color="auto"/>
            </w:tcBorders>
          </w:tcPr>
          <w:p w14:paraId="65F6298A" w14:textId="77777777" w:rsidR="000D0CF9" w:rsidRPr="00DE12A3" w:rsidRDefault="000D0CF9" w:rsidP="00C917D6">
            <w:pPr>
              <w:pStyle w:val="NormalLeft"/>
            </w:pPr>
            <w:r w:rsidRPr="00DE12A3">
              <w:t>10</w:t>
            </w:r>
          </w:p>
        </w:tc>
      </w:tr>
      <w:tr w:rsidR="00DE12A3" w:rsidRPr="00DE12A3" w14:paraId="513004AC" w14:textId="77777777" w:rsidTr="009F4766">
        <w:tc>
          <w:tcPr>
            <w:tcW w:w="2318" w:type="dxa"/>
            <w:tcBorders>
              <w:top w:val="single" w:sz="2" w:space="0" w:color="auto"/>
              <w:left w:val="single" w:sz="2" w:space="0" w:color="auto"/>
              <w:bottom w:val="single" w:sz="2" w:space="0" w:color="auto"/>
              <w:right w:val="single" w:sz="2" w:space="0" w:color="auto"/>
            </w:tcBorders>
          </w:tcPr>
          <w:p w14:paraId="5342CF20" w14:textId="77777777" w:rsidR="000D0CF9" w:rsidRPr="00DE12A3" w:rsidRDefault="000D0CF9" w:rsidP="00C917D6">
            <w:pPr>
              <w:spacing w:before="120" w:after="120"/>
              <w:rPr>
                <w:rFonts w:cs="Times New Roman"/>
                <w:color w:val="auto"/>
              </w:rPr>
            </w:pPr>
            <w:r w:rsidRPr="00DE12A3">
              <w:rPr>
                <w:rFonts w:cs="Times New Roman"/>
                <w:color w:val="auto"/>
              </w:rPr>
              <w:t>3b Geçiş</w:t>
            </w:r>
          </w:p>
        </w:tc>
        <w:tc>
          <w:tcPr>
            <w:tcW w:w="2674" w:type="dxa"/>
            <w:tcBorders>
              <w:top w:val="single" w:sz="2" w:space="0" w:color="auto"/>
              <w:left w:val="single" w:sz="2" w:space="0" w:color="auto"/>
              <w:bottom w:val="single" w:sz="2" w:space="0" w:color="auto"/>
              <w:right w:val="single" w:sz="2" w:space="0" w:color="auto"/>
            </w:tcBorders>
          </w:tcPr>
          <w:p w14:paraId="4510ECB2" w14:textId="77777777" w:rsidR="000D0CF9" w:rsidRPr="00DE12A3" w:rsidRDefault="000D0CF9" w:rsidP="00C917D6">
            <w:pPr>
              <w:pStyle w:val="NormalLeft"/>
            </w:pPr>
            <w:r w:rsidRPr="00DE12A3">
              <w:t>20</w:t>
            </w:r>
          </w:p>
        </w:tc>
        <w:tc>
          <w:tcPr>
            <w:tcW w:w="1961" w:type="dxa"/>
            <w:tcBorders>
              <w:top w:val="single" w:sz="2" w:space="0" w:color="auto"/>
              <w:left w:val="single" w:sz="2" w:space="0" w:color="auto"/>
              <w:bottom w:val="single" w:sz="2" w:space="0" w:color="auto"/>
              <w:right w:val="single" w:sz="2" w:space="0" w:color="auto"/>
            </w:tcBorders>
          </w:tcPr>
          <w:p w14:paraId="35553BFC" w14:textId="77777777" w:rsidR="000D0CF9" w:rsidRPr="00DE12A3" w:rsidRDefault="000D0CF9" w:rsidP="00C917D6">
            <w:pPr>
              <w:pStyle w:val="NormalLeft"/>
            </w:pPr>
            <w:r w:rsidRPr="00DE12A3">
              <w:t>Orta</w:t>
            </w:r>
          </w:p>
        </w:tc>
        <w:tc>
          <w:tcPr>
            <w:tcW w:w="1962" w:type="dxa"/>
            <w:tcBorders>
              <w:top w:val="single" w:sz="2" w:space="0" w:color="auto"/>
              <w:left w:val="single" w:sz="2" w:space="0" w:color="auto"/>
              <w:bottom w:val="single" w:sz="2" w:space="0" w:color="auto"/>
              <w:right w:val="single" w:sz="2" w:space="0" w:color="auto"/>
            </w:tcBorders>
          </w:tcPr>
          <w:p w14:paraId="21EB0BCA" w14:textId="77777777" w:rsidR="000D0CF9" w:rsidRPr="00DE12A3" w:rsidRDefault="000D0CF9" w:rsidP="00C917D6">
            <w:pPr>
              <w:pStyle w:val="NormalLeft"/>
            </w:pPr>
            <w:r w:rsidRPr="00DE12A3">
              <w:t>Doğrusal Geçiş</w:t>
            </w:r>
          </w:p>
        </w:tc>
      </w:tr>
      <w:tr w:rsidR="00DE12A3" w:rsidRPr="00DE12A3" w14:paraId="70A0ACAD" w14:textId="77777777" w:rsidTr="009F4766">
        <w:tc>
          <w:tcPr>
            <w:tcW w:w="2318" w:type="dxa"/>
            <w:tcBorders>
              <w:top w:val="single" w:sz="2" w:space="0" w:color="auto"/>
              <w:left w:val="single" w:sz="2" w:space="0" w:color="auto"/>
              <w:bottom w:val="single" w:sz="2" w:space="0" w:color="auto"/>
              <w:right w:val="single" w:sz="2" w:space="0" w:color="auto"/>
            </w:tcBorders>
          </w:tcPr>
          <w:p w14:paraId="3A300E7B" w14:textId="77777777" w:rsidR="000D0CF9" w:rsidRPr="00DE12A3" w:rsidRDefault="000D0CF9" w:rsidP="00C917D6">
            <w:pPr>
              <w:spacing w:before="120" w:after="120"/>
              <w:rPr>
                <w:rFonts w:cs="Times New Roman"/>
                <w:color w:val="auto"/>
              </w:rPr>
            </w:pPr>
            <w:r w:rsidRPr="00DE12A3">
              <w:rPr>
                <w:rFonts w:cs="Times New Roman"/>
                <w:color w:val="auto"/>
              </w:rPr>
              <w:t>4a Kararlı durum</w:t>
            </w:r>
          </w:p>
        </w:tc>
        <w:tc>
          <w:tcPr>
            <w:tcW w:w="2674" w:type="dxa"/>
            <w:tcBorders>
              <w:top w:val="single" w:sz="2" w:space="0" w:color="auto"/>
              <w:left w:val="single" w:sz="2" w:space="0" w:color="auto"/>
              <w:bottom w:val="single" w:sz="2" w:space="0" w:color="auto"/>
              <w:right w:val="single" w:sz="2" w:space="0" w:color="auto"/>
            </w:tcBorders>
          </w:tcPr>
          <w:p w14:paraId="60A84FE9" w14:textId="77777777" w:rsidR="000D0CF9" w:rsidRPr="00DE12A3" w:rsidRDefault="000D0CF9" w:rsidP="00C917D6">
            <w:pPr>
              <w:pStyle w:val="NormalLeft"/>
            </w:pPr>
            <w:r w:rsidRPr="00DE12A3">
              <w:t>337</w:t>
            </w:r>
          </w:p>
        </w:tc>
        <w:tc>
          <w:tcPr>
            <w:tcW w:w="1961" w:type="dxa"/>
            <w:tcBorders>
              <w:top w:val="single" w:sz="2" w:space="0" w:color="auto"/>
              <w:left w:val="single" w:sz="2" w:space="0" w:color="auto"/>
              <w:bottom w:val="single" w:sz="2" w:space="0" w:color="auto"/>
              <w:right w:val="single" w:sz="2" w:space="0" w:color="auto"/>
            </w:tcBorders>
          </w:tcPr>
          <w:p w14:paraId="340E8592" w14:textId="77777777" w:rsidR="000D0CF9" w:rsidRPr="00DE12A3" w:rsidRDefault="000D0CF9" w:rsidP="00C917D6">
            <w:pPr>
              <w:pStyle w:val="NormalLeft"/>
            </w:pPr>
            <w:r w:rsidRPr="00DE12A3">
              <w:t>Orta</w:t>
            </w:r>
          </w:p>
        </w:tc>
        <w:tc>
          <w:tcPr>
            <w:tcW w:w="1962" w:type="dxa"/>
            <w:tcBorders>
              <w:top w:val="single" w:sz="2" w:space="0" w:color="auto"/>
              <w:left w:val="single" w:sz="2" w:space="0" w:color="auto"/>
              <w:bottom w:val="single" w:sz="2" w:space="0" w:color="auto"/>
              <w:right w:val="single" w:sz="2" w:space="0" w:color="auto"/>
            </w:tcBorders>
          </w:tcPr>
          <w:p w14:paraId="2C270968" w14:textId="77777777" w:rsidR="000D0CF9" w:rsidRPr="00DE12A3" w:rsidRDefault="000D0CF9" w:rsidP="00C917D6">
            <w:pPr>
              <w:pStyle w:val="NormalLeft"/>
            </w:pPr>
            <w:r w:rsidRPr="00DE12A3">
              <w:t>75</w:t>
            </w:r>
          </w:p>
        </w:tc>
      </w:tr>
      <w:tr w:rsidR="00DE12A3" w:rsidRPr="00DE12A3" w14:paraId="4F823C1F" w14:textId="77777777" w:rsidTr="009F4766">
        <w:tc>
          <w:tcPr>
            <w:tcW w:w="2318" w:type="dxa"/>
            <w:tcBorders>
              <w:top w:val="single" w:sz="2" w:space="0" w:color="auto"/>
              <w:left w:val="single" w:sz="2" w:space="0" w:color="auto"/>
              <w:bottom w:val="single" w:sz="2" w:space="0" w:color="auto"/>
              <w:right w:val="single" w:sz="2" w:space="0" w:color="auto"/>
            </w:tcBorders>
          </w:tcPr>
          <w:p w14:paraId="5F0D5724" w14:textId="77777777" w:rsidR="000D0CF9" w:rsidRPr="00DE12A3" w:rsidRDefault="000D0CF9" w:rsidP="00C917D6">
            <w:pPr>
              <w:spacing w:before="120" w:after="120"/>
              <w:rPr>
                <w:rFonts w:cs="Times New Roman"/>
                <w:color w:val="auto"/>
              </w:rPr>
            </w:pPr>
            <w:r w:rsidRPr="00DE12A3">
              <w:rPr>
                <w:rFonts w:cs="Times New Roman"/>
                <w:color w:val="auto"/>
              </w:rPr>
              <w:t>4b Geçiş</w:t>
            </w:r>
          </w:p>
        </w:tc>
        <w:tc>
          <w:tcPr>
            <w:tcW w:w="2674" w:type="dxa"/>
            <w:tcBorders>
              <w:top w:val="single" w:sz="2" w:space="0" w:color="auto"/>
              <w:left w:val="single" w:sz="2" w:space="0" w:color="auto"/>
              <w:bottom w:val="single" w:sz="2" w:space="0" w:color="auto"/>
              <w:right w:val="single" w:sz="2" w:space="0" w:color="auto"/>
            </w:tcBorders>
          </w:tcPr>
          <w:p w14:paraId="1DD4E84E" w14:textId="77777777" w:rsidR="000D0CF9" w:rsidRPr="00DE12A3" w:rsidRDefault="000D0CF9" w:rsidP="00C917D6">
            <w:pPr>
              <w:pStyle w:val="NormalLeft"/>
            </w:pPr>
            <w:r w:rsidRPr="00DE12A3">
              <w:t>20</w:t>
            </w:r>
          </w:p>
        </w:tc>
        <w:tc>
          <w:tcPr>
            <w:tcW w:w="1961" w:type="dxa"/>
            <w:tcBorders>
              <w:top w:val="single" w:sz="2" w:space="0" w:color="auto"/>
              <w:left w:val="single" w:sz="2" w:space="0" w:color="auto"/>
              <w:bottom w:val="single" w:sz="2" w:space="0" w:color="auto"/>
              <w:right w:val="single" w:sz="2" w:space="0" w:color="auto"/>
            </w:tcBorders>
          </w:tcPr>
          <w:p w14:paraId="0BE0C537" w14:textId="77777777" w:rsidR="000D0CF9" w:rsidRPr="00DE12A3" w:rsidRDefault="000D0CF9" w:rsidP="00C917D6">
            <w:pPr>
              <w:pStyle w:val="NormalLeft"/>
            </w:pPr>
            <w:r w:rsidRPr="00DE12A3">
              <w:t>Orta</w:t>
            </w:r>
          </w:p>
        </w:tc>
        <w:tc>
          <w:tcPr>
            <w:tcW w:w="1962" w:type="dxa"/>
            <w:tcBorders>
              <w:top w:val="single" w:sz="2" w:space="0" w:color="auto"/>
              <w:left w:val="single" w:sz="2" w:space="0" w:color="auto"/>
              <w:bottom w:val="single" w:sz="2" w:space="0" w:color="auto"/>
              <w:right w:val="single" w:sz="2" w:space="0" w:color="auto"/>
            </w:tcBorders>
          </w:tcPr>
          <w:p w14:paraId="48FA9065" w14:textId="77777777" w:rsidR="000D0CF9" w:rsidRPr="00DE12A3" w:rsidRDefault="000D0CF9" w:rsidP="00C917D6">
            <w:pPr>
              <w:pStyle w:val="NormalLeft"/>
            </w:pPr>
            <w:r w:rsidRPr="00DE12A3">
              <w:t>Doğrusal Geçiş</w:t>
            </w:r>
          </w:p>
        </w:tc>
      </w:tr>
      <w:tr w:rsidR="00DE12A3" w:rsidRPr="00DE12A3" w14:paraId="46257266" w14:textId="77777777" w:rsidTr="009F4766">
        <w:tc>
          <w:tcPr>
            <w:tcW w:w="2318" w:type="dxa"/>
            <w:tcBorders>
              <w:top w:val="single" w:sz="2" w:space="0" w:color="auto"/>
              <w:left w:val="single" w:sz="2" w:space="0" w:color="auto"/>
              <w:bottom w:val="single" w:sz="2" w:space="0" w:color="auto"/>
              <w:right w:val="single" w:sz="2" w:space="0" w:color="auto"/>
            </w:tcBorders>
          </w:tcPr>
          <w:p w14:paraId="52494B66" w14:textId="77777777" w:rsidR="000D0CF9" w:rsidRPr="00DE12A3" w:rsidRDefault="000D0CF9" w:rsidP="00C917D6">
            <w:pPr>
              <w:spacing w:before="120" w:after="120"/>
              <w:rPr>
                <w:rFonts w:cs="Times New Roman"/>
                <w:color w:val="auto"/>
              </w:rPr>
            </w:pPr>
            <w:r w:rsidRPr="00DE12A3">
              <w:rPr>
                <w:rFonts w:cs="Times New Roman"/>
                <w:color w:val="auto"/>
              </w:rPr>
              <w:t>5a Kararlı durum</w:t>
            </w:r>
          </w:p>
        </w:tc>
        <w:tc>
          <w:tcPr>
            <w:tcW w:w="2674" w:type="dxa"/>
            <w:tcBorders>
              <w:top w:val="single" w:sz="2" w:space="0" w:color="auto"/>
              <w:left w:val="single" w:sz="2" w:space="0" w:color="auto"/>
              <w:bottom w:val="single" w:sz="2" w:space="0" w:color="auto"/>
              <w:right w:val="single" w:sz="2" w:space="0" w:color="auto"/>
            </w:tcBorders>
          </w:tcPr>
          <w:p w14:paraId="60DE7599" w14:textId="77777777" w:rsidR="000D0CF9" w:rsidRPr="00DE12A3" w:rsidRDefault="000D0CF9" w:rsidP="00C917D6">
            <w:pPr>
              <w:pStyle w:val="NormalLeft"/>
            </w:pPr>
            <w:r w:rsidRPr="00DE12A3">
              <w:t>518</w:t>
            </w:r>
          </w:p>
        </w:tc>
        <w:tc>
          <w:tcPr>
            <w:tcW w:w="1961" w:type="dxa"/>
            <w:tcBorders>
              <w:top w:val="single" w:sz="2" w:space="0" w:color="auto"/>
              <w:left w:val="single" w:sz="2" w:space="0" w:color="auto"/>
              <w:bottom w:val="single" w:sz="2" w:space="0" w:color="auto"/>
              <w:right w:val="single" w:sz="2" w:space="0" w:color="auto"/>
            </w:tcBorders>
          </w:tcPr>
          <w:p w14:paraId="51525DDA" w14:textId="77777777" w:rsidR="000D0CF9" w:rsidRPr="00DE12A3" w:rsidRDefault="000D0CF9" w:rsidP="00C917D6">
            <w:pPr>
              <w:pStyle w:val="NormalLeft"/>
            </w:pPr>
            <w:r w:rsidRPr="00DE12A3">
              <w:t>Orta</w:t>
            </w:r>
          </w:p>
        </w:tc>
        <w:tc>
          <w:tcPr>
            <w:tcW w:w="1962" w:type="dxa"/>
            <w:tcBorders>
              <w:top w:val="single" w:sz="2" w:space="0" w:color="auto"/>
              <w:left w:val="single" w:sz="2" w:space="0" w:color="auto"/>
              <w:bottom w:val="single" w:sz="2" w:space="0" w:color="auto"/>
              <w:right w:val="single" w:sz="2" w:space="0" w:color="auto"/>
            </w:tcBorders>
          </w:tcPr>
          <w:p w14:paraId="5FE743EB" w14:textId="77777777" w:rsidR="000D0CF9" w:rsidRPr="00DE12A3" w:rsidRDefault="000D0CF9" w:rsidP="00C917D6">
            <w:pPr>
              <w:pStyle w:val="NormalLeft"/>
            </w:pPr>
            <w:r w:rsidRPr="00DE12A3">
              <w:t>25</w:t>
            </w:r>
          </w:p>
        </w:tc>
      </w:tr>
      <w:tr w:rsidR="00DE12A3" w:rsidRPr="00DE12A3" w14:paraId="478CA246" w14:textId="77777777" w:rsidTr="009F4766">
        <w:tc>
          <w:tcPr>
            <w:tcW w:w="2318" w:type="dxa"/>
            <w:tcBorders>
              <w:top w:val="single" w:sz="2" w:space="0" w:color="auto"/>
              <w:left w:val="single" w:sz="2" w:space="0" w:color="auto"/>
              <w:bottom w:val="single" w:sz="2" w:space="0" w:color="auto"/>
              <w:right w:val="single" w:sz="2" w:space="0" w:color="auto"/>
            </w:tcBorders>
          </w:tcPr>
          <w:p w14:paraId="25A29FB4" w14:textId="77777777" w:rsidR="000D0CF9" w:rsidRPr="00DE12A3" w:rsidRDefault="000D0CF9" w:rsidP="00C917D6">
            <w:pPr>
              <w:spacing w:before="120" w:after="120"/>
              <w:rPr>
                <w:rFonts w:cs="Times New Roman"/>
                <w:color w:val="auto"/>
              </w:rPr>
            </w:pPr>
            <w:r w:rsidRPr="00DE12A3">
              <w:rPr>
                <w:rFonts w:cs="Times New Roman"/>
                <w:color w:val="auto"/>
              </w:rPr>
              <w:t>5b Geçiş</w:t>
            </w:r>
          </w:p>
        </w:tc>
        <w:tc>
          <w:tcPr>
            <w:tcW w:w="2674" w:type="dxa"/>
            <w:tcBorders>
              <w:top w:val="single" w:sz="2" w:space="0" w:color="auto"/>
              <w:left w:val="single" w:sz="2" w:space="0" w:color="auto"/>
              <w:bottom w:val="single" w:sz="2" w:space="0" w:color="auto"/>
              <w:right w:val="single" w:sz="2" w:space="0" w:color="auto"/>
            </w:tcBorders>
          </w:tcPr>
          <w:p w14:paraId="6AD57E66" w14:textId="77777777" w:rsidR="000D0CF9" w:rsidRPr="00DE12A3" w:rsidRDefault="000D0CF9" w:rsidP="00C917D6">
            <w:pPr>
              <w:pStyle w:val="NormalLeft"/>
            </w:pPr>
            <w:r w:rsidRPr="00DE12A3">
              <w:t>20</w:t>
            </w:r>
          </w:p>
        </w:tc>
        <w:tc>
          <w:tcPr>
            <w:tcW w:w="1961" w:type="dxa"/>
            <w:tcBorders>
              <w:top w:val="single" w:sz="2" w:space="0" w:color="auto"/>
              <w:left w:val="single" w:sz="2" w:space="0" w:color="auto"/>
              <w:bottom w:val="single" w:sz="2" w:space="0" w:color="auto"/>
              <w:right w:val="single" w:sz="2" w:space="0" w:color="auto"/>
            </w:tcBorders>
          </w:tcPr>
          <w:p w14:paraId="1B5F103C" w14:textId="77777777" w:rsidR="000D0CF9" w:rsidRPr="00DE12A3" w:rsidRDefault="000D0CF9" w:rsidP="00C917D6">
            <w:pPr>
              <w:pStyle w:val="NormalLeft"/>
            </w:pPr>
            <w:r w:rsidRPr="00DE12A3">
              <w:t>Orta</w:t>
            </w:r>
          </w:p>
        </w:tc>
        <w:tc>
          <w:tcPr>
            <w:tcW w:w="1962" w:type="dxa"/>
            <w:tcBorders>
              <w:top w:val="single" w:sz="2" w:space="0" w:color="auto"/>
              <w:left w:val="single" w:sz="2" w:space="0" w:color="auto"/>
              <w:bottom w:val="single" w:sz="2" w:space="0" w:color="auto"/>
              <w:right w:val="single" w:sz="2" w:space="0" w:color="auto"/>
            </w:tcBorders>
          </w:tcPr>
          <w:p w14:paraId="28FE86F8" w14:textId="77777777" w:rsidR="000D0CF9" w:rsidRPr="00DE12A3" w:rsidRDefault="000D0CF9" w:rsidP="00C917D6">
            <w:pPr>
              <w:pStyle w:val="NormalLeft"/>
            </w:pPr>
            <w:r w:rsidRPr="00DE12A3">
              <w:t>Doğrusal Geçiş</w:t>
            </w:r>
          </w:p>
        </w:tc>
      </w:tr>
      <w:tr w:rsidR="00DE12A3" w:rsidRPr="00DE12A3" w14:paraId="713D93D1" w14:textId="77777777" w:rsidTr="009F4766">
        <w:tc>
          <w:tcPr>
            <w:tcW w:w="2318" w:type="dxa"/>
            <w:tcBorders>
              <w:top w:val="single" w:sz="2" w:space="0" w:color="auto"/>
              <w:left w:val="single" w:sz="2" w:space="0" w:color="auto"/>
              <w:bottom w:val="single" w:sz="2" w:space="0" w:color="auto"/>
              <w:right w:val="single" w:sz="2" w:space="0" w:color="auto"/>
            </w:tcBorders>
          </w:tcPr>
          <w:p w14:paraId="793A2A86" w14:textId="77777777" w:rsidR="000D0CF9" w:rsidRPr="00DE12A3" w:rsidRDefault="000D0CF9" w:rsidP="00C917D6">
            <w:pPr>
              <w:spacing w:before="120" w:after="120"/>
              <w:rPr>
                <w:rFonts w:cs="Times New Roman"/>
                <w:color w:val="auto"/>
              </w:rPr>
            </w:pPr>
            <w:r w:rsidRPr="00DE12A3">
              <w:rPr>
                <w:rFonts w:cs="Times New Roman"/>
                <w:color w:val="auto"/>
              </w:rPr>
              <w:t>6a Kararlı durum</w:t>
            </w:r>
          </w:p>
        </w:tc>
        <w:tc>
          <w:tcPr>
            <w:tcW w:w="2674" w:type="dxa"/>
            <w:tcBorders>
              <w:top w:val="single" w:sz="2" w:space="0" w:color="auto"/>
              <w:left w:val="single" w:sz="2" w:space="0" w:color="auto"/>
              <w:bottom w:val="single" w:sz="2" w:space="0" w:color="auto"/>
              <w:right w:val="single" w:sz="2" w:space="0" w:color="auto"/>
            </w:tcBorders>
          </w:tcPr>
          <w:p w14:paraId="477E4161" w14:textId="77777777" w:rsidR="000D0CF9" w:rsidRPr="00DE12A3" w:rsidRDefault="000D0CF9" w:rsidP="00C917D6">
            <w:pPr>
              <w:pStyle w:val="NormalLeft"/>
            </w:pPr>
            <w:r w:rsidRPr="00DE12A3">
              <w:t>494</w:t>
            </w:r>
          </w:p>
        </w:tc>
        <w:tc>
          <w:tcPr>
            <w:tcW w:w="1961" w:type="dxa"/>
            <w:tcBorders>
              <w:top w:val="single" w:sz="2" w:space="0" w:color="auto"/>
              <w:left w:val="single" w:sz="2" w:space="0" w:color="auto"/>
              <w:bottom w:val="single" w:sz="2" w:space="0" w:color="auto"/>
              <w:right w:val="single" w:sz="2" w:space="0" w:color="auto"/>
            </w:tcBorders>
          </w:tcPr>
          <w:p w14:paraId="519EF2E4" w14:textId="77777777" w:rsidR="000D0CF9" w:rsidRPr="00DE12A3" w:rsidRDefault="000D0CF9" w:rsidP="00C917D6">
            <w:pPr>
              <w:pStyle w:val="NormalLeft"/>
            </w:pPr>
            <w:r w:rsidRPr="00DE12A3">
              <w:t>Orta</w:t>
            </w:r>
          </w:p>
        </w:tc>
        <w:tc>
          <w:tcPr>
            <w:tcW w:w="1962" w:type="dxa"/>
            <w:tcBorders>
              <w:top w:val="single" w:sz="2" w:space="0" w:color="auto"/>
              <w:left w:val="single" w:sz="2" w:space="0" w:color="auto"/>
              <w:bottom w:val="single" w:sz="2" w:space="0" w:color="auto"/>
              <w:right w:val="single" w:sz="2" w:space="0" w:color="auto"/>
            </w:tcBorders>
          </w:tcPr>
          <w:p w14:paraId="59D8E7B3" w14:textId="77777777" w:rsidR="000D0CF9" w:rsidRPr="00DE12A3" w:rsidRDefault="000D0CF9" w:rsidP="00C917D6">
            <w:pPr>
              <w:pStyle w:val="NormalLeft"/>
            </w:pPr>
            <w:r w:rsidRPr="00DE12A3">
              <w:t>50</w:t>
            </w:r>
          </w:p>
        </w:tc>
      </w:tr>
      <w:tr w:rsidR="00DE12A3" w:rsidRPr="00DE12A3" w14:paraId="403A7895" w14:textId="77777777" w:rsidTr="009F4766">
        <w:tc>
          <w:tcPr>
            <w:tcW w:w="2318" w:type="dxa"/>
            <w:tcBorders>
              <w:top w:val="single" w:sz="2" w:space="0" w:color="auto"/>
              <w:left w:val="single" w:sz="2" w:space="0" w:color="auto"/>
              <w:bottom w:val="single" w:sz="2" w:space="0" w:color="auto"/>
              <w:right w:val="single" w:sz="2" w:space="0" w:color="auto"/>
            </w:tcBorders>
          </w:tcPr>
          <w:p w14:paraId="625CB84D" w14:textId="77777777" w:rsidR="000D0CF9" w:rsidRPr="00DE12A3" w:rsidRDefault="000D0CF9" w:rsidP="00C917D6">
            <w:pPr>
              <w:spacing w:before="120" w:after="120"/>
              <w:rPr>
                <w:rFonts w:cs="Times New Roman"/>
                <w:color w:val="auto"/>
              </w:rPr>
            </w:pPr>
            <w:r w:rsidRPr="00DE12A3">
              <w:rPr>
                <w:rFonts w:cs="Times New Roman"/>
                <w:color w:val="auto"/>
              </w:rPr>
              <w:t>6b Geçiş</w:t>
            </w:r>
          </w:p>
        </w:tc>
        <w:tc>
          <w:tcPr>
            <w:tcW w:w="2674" w:type="dxa"/>
            <w:tcBorders>
              <w:top w:val="single" w:sz="2" w:space="0" w:color="auto"/>
              <w:left w:val="single" w:sz="2" w:space="0" w:color="auto"/>
              <w:bottom w:val="single" w:sz="2" w:space="0" w:color="auto"/>
              <w:right w:val="single" w:sz="2" w:space="0" w:color="auto"/>
            </w:tcBorders>
          </w:tcPr>
          <w:p w14:paraId="1A175A16" w14:textId="77777777" w:rsidR="000D0CF9" w:rsidRPr="00DE12A3" w:rsidRDefault="000D0CF9" w:rsidP="00C917D6">
            <w:pPr>
              <w:pStyle w:val="NormalLeft"/>
            </w:pPr>
            <w:r w:rsidRPr="00DE12A3">
              <w:t>20</w:t>
            </w:r>
          </w:p>
        </w:tc>
        <w:tc>
          <w:tcPr>
            <w:tcW w:w="1961" w:type="dxa"/>
            <w:tcBorders>
              <w:top w:val="single" w:sz="2" w:space="0" w:color="auto"/>
              <w:left w:val="single" w:sz="2" w:space="0" w:color="auto"/>
              <w:bottom w:val="single" w:sz="2" w:space="0" w:color="auto"/>
              <w:right w:val="single" w:sz="2" w:space="0" w:color="auto"/>
            </w:tcBorders>
          </w:tcPr>
          <w:p w14:paraId="0CE7B7FD" w14:textId="77777777" w:rsidR="000D0CF9" w:rsidRPr="00DE12A3" w:rsidRDefault="000D0CF9" w:rsidP="00C917D6">
            <w:pPr>
              <w:pStyle w:val="NormalLeft"/>
            </w:pPr>
            <w:r w:rsidRPr="00DE12A3">
              <w:t>Doğrusal Geçiş</w:t>
            </w:r>
          </w:p>
        </w:tc>
        <w:tc>
          <w:tcPr>
            <w:tcW w:w="1962" w:type="dxa"/>
            <w:tcBorders>
              <w:top w:val="single" w:sz="2" w:space="0" w:color="auto"/>
              <w:left w:val="single" w:sz="2" w:space="0" w:color="auto"/>
              <w:bottom w:val="single" w:sz="2" w:space="0" w:color="auto"/>
              <w:right w:val="single" w:sz="2" w:space="0" w:color="auto"/>
            </w:tcBorders>
          </w:tcPr>
          <w:p w14:paraId="308A2F04" w14:textId="77777777" w:rsidR="000D0CF9" w:rsidRPr="00DE12A3" w:rsidRDefault="000D0CF9" w:rsidP="00C917D6">
            <w:pPr>
              <w:pStyle w:val="NormalLeft"/>
            </w:pPr>
            <w:r w:rsidRPr="00DE12A3">
              <w:t>Doğrusal Geçiş</w:t>
            </w:r>
          </w:p>
        </w:tc>
      </w:tr>
      <w:tr w:rsidR="000D0CF9" w:rsidRPr="00DE12A3" w14:paraId="5F09888F" w14:textId="77777777" w:rsidTr="009F4766">
        <w:tc>
          <w:tcPr>
            <w:tcW w:w="2318" w:type="dxa"/>
            <w:tcBorders>
              <w:top w:val="single" w:sz="2" w:space="0" w:color="auto"/>
              <w:left w:val="single" w:sz="2" w:space="0" w:color="auto"/>
              <w:bottom w:val="single" w:sz="2" w:space="0" w:color="auto"/>
              <w:right w:val="single" w:sz="2" w:space="0" w:color="auto"/>
            </w:tcBorders>
          </w:tcPr>
          <w:p w14:paraId="1E30B496" w14:textId="77777777" w:rsidR="000D0CF9" w:rsidRPr="00DE12A3" w:rsidRDefault="000D0CF9" w:rsidP="00C917D6">
            <w:pPr>
              <w:spacing w:before="120" w:after="120"/>
              <w:rPr>
                <w:rFonts w:cs="Times New Roman"/>
                <w:color w:val="auto"/>
              </w:rPr>
            </w:pPr>
            <w:r w:rsidRPr="00DE12A3">
              <w:rPr>
                <w:rFonts w:cs="Times New Roman"/>
                <w:color w:val="auto"/>
              </w:rPr>
              <w:t>7 Kararlı durum</w:t>
            </w:r>
          </w:p>
        </w:tc>
        <w:tc>
          <w:tcPr>
            <w:tcW w:w="2674" w:type="dxa"/>
            <w:tcBorders>
              <w:top w:val="single" w:sz="2" w:space="0" w:color="auto"/>
              <w:left w:val="single" w:sz="2" w:space="0" w:color="auto"/>
              <w:bottom w:val="single" w:sz="2" w:space="0" w:color="auto"/>
              <w:right w:val="single" w:sz="2" w:space="0" w:color="auto"/>
            </w:tcBorders>
          </w:tcPr>
          <w:p w14:paraId="4D8CAAC5" w14:textId="77777777" w:rsidR="000D0CF9" w:rsidRPr="00DE12A3" w:rsidRDefault="000D0CF9" w:rsidP="00C917D6">
            <w:pPr>
              <w:pStyle w:val="NormalLeft"/>
            </w:pPr>
            <w:r w:rsidRPr="00DE12A3">
              <w:t>43</w:t>
            </w:r>
          </w:p>
        </w:tc>
        <w:tc>
          <w:tcPr>
            <w:tcW w:w="1961" w:type="dxa"/>
            <w:tcBorders>
              <w:top w:val="single" w:sz="2" w:space="0" w:color="auto"/>
              <w:left w:val="single" w:sz="2" w:space="0" w:color="auto"/>
              <w:bottom w:val="single" w:sz="2" w:space="0" w:color="auto"/>
              <w:right w:val="single" w:sz="2" w:space="0" w:color="auto"/>
            </w:tcBorders>
          </w:tcPr>
          <w:p w14:paraId="28801DF6" w14:textId="77777777" w:rsidR="000D0CF9" w:rsidRPr="00DE12A3" w:rsidRDefault="000D0CF9" w:rsidP="00C917D6">
            <w:pPr>
              <w:pStyle w:val="NormalLeft"/>
            </w:pPr>
            <w:r w:rsidRPr="00DE12A3">
              <w:t>Rölanti</w:t>
            </w:r>
          </w:p>
        </w:tc>
        <w:tc>
          <w:tcPr>
            <w:tcW w:w="1962" w:type="dxa"/>
            <w:tcBorders>
              <w:top w:val="single" w:sz="2" w:space="0" w:color="auto"/>
              <w:left w:val="single" w:sz="2" w:space="0" w:color="auto"/>
              <w:bottom w:val="single" w:sz="2" w:space="0" w:color="auto"/>
              <w:right w:val="single" w:sz="2" w:space="0" w:color="auto"/>
            </w:tcBorders>
          </w:tcPr>
          <w:p w14:paraId="560A2A67" w14:textId="77777777" w:rsidR="000D0CF9" w:rsidRPr="00DE12A3" w:rsidRDefault="000D0CF9" w:rsidP="00C917D6">
            <w:pPr>
              <w:pStyle w:val="NormalLeft"/>
            </w:pPr>
            <w:r w:rsidRPr="00DE12A3">
              <w:t>0</w:t>
            </w:r>
          </w:p>
        </w:tc>
      </w:tr>
    </w:tbl>
    <w:p w14:paraId="0BC8B94F" w14:textId="77777777" w:rsidR="009F4766" w:rsidRPr="00DE12A3" w:rsidRDefault="009F4766" w:rsidP="00C917D6">
      <w:pPr>
        <w:spacing w:before="120" w:after="120"/>
        <w:rPr>
          <w:rFonts w:cs="Times New Roman"/>
          <w:color w:val="auto"/>
        </w:rPr>
      </w:pPr>
    </w:p>
    <w:p w14:paraId="2E79B9A2" w14:textId="24974BA3" w:rsidR="000D0CF9" w:rsidRPr="00DE12A3" w:rsidRDefault="000D0CF9" w:rsidP="00C917D6">
      <w:pPr>
        <w:pStyle w:val="Gvdemetni21"/>
        <w:shd w:val="clear" w:color="auto" w:fill="auto"/>
        <w:spacing w:after="120" w:line="240" w:lineRule="auto"/>
        <w:ind w:left="284" w:hanging="284"/>
        <w:jc w:val="both"/>
      </w:pPr>
      <w:r w:rsidRPr="00DE12A3">
        <w:rPr>
          <w:rStyle w:val="Gvdemetni95pt0ptbolukbraklyor"/>
          <w:color w:val="auto"/>
        </w:rPr>
        <w:t>(</w:t>
      </w:r>
      <w:r w:rsidRPr="00DE12A3">
        <w:rPr>
          <w:rStyle w:val="Gvdemetni95pt0ptbolukbraklyor"/>
          <w:color w:val="auto"/>
          <w:vertAlign w:val="superscript"/>
        </w:rPr>
        <w:t>a</w:t>
      </w:r>
      <w:r w:rsidRPr="00DE12A3">
        <w:rPr>
          <w:rStyle w:val="Gvdemetni95pt0ptbolukbraklyor"/>
          <w:color w:val="auto"/>
        </w:rPr>
        <w:t>)</w:t>
      </w:r>
      <w:r w:rsidRPr="00DE12A3">
        <w:rPr>
          <w:rStyle w:val="Gvdemetni95pt0ptbolukbraklyor"/>
          <w:color w:val="auto"/>
        </w:rPr>
        <w:tab/>
      </w:r>
      <w:r w:rsidRPr="00DE12A3">
        <w:t xml:space="preserve">Gereken test devirlerinin belirlenmesi için </w:t>
      </w:r>
      <w:r w:rsidR="00FA0678" w:rsidRPr="00DE12A3">
        <w:t>VI’ncı ek</w:t>
      </w:r>
      <w:r w:rsidRPr="00DE12A3">
        <w:t xml:space="preserve">in 5.2.5, 7.6 ve 7.7 </w:t>
      </w:r>
      <w:r w:rsidR="00E1361C" w:rsidRPr="00DE12A3">
        <w:t xml:space="preserve">bentlerine </w:t>
      </w:r>
      <w:r w:rsidRPr="00DE12A3">
        <w:t>bakınız.</w:t>
      </w:r>
    </w:p>
    <w:p w14:paraId="0ED33C98" w14:textId="77777777" w:rsidR="000D0CF9" w:rsidRPr="00DE12A3" w:rsidRDefault="000D0CF9" w:rsidP="00C917D6">
      <w:pPr>
        <w:pStyle w:val="Gvdemetni21"/>
        <w:shd w:val="clear" w:color="auto" w:fill="auto"/>
        <w:spacing w:after="120" w:line="240" w:lineRule="auto"/>
        <w:ind w:left="284" w:hanging="284"/>
        <w:jc w:val="both"/>
      </w:pPr>
      <w:r w:rsidRPr="00DE12A3">
        <w:rPr>
          <w:rStyle w:val="Gvdemetni95pt0ptbolukbraklyor"/>
          <w:color w:val="auto"/>
        </w:rPr>
        <w:t>(</w:t>
      </w:r>
      <w:r w:rsidRPr="00DE12A3">
        <w:rPr>
          <w:rStyle w:val="Gvdemetni95pt0ptbolukbraklyor"/>
          <w:color w:val="auto"/>
          <w:vertAlign w:val="superscript"/>
        </w:rPr>
        <w:t>b</w:t>
      </w:r>
      <w:r w:rsidRPr="00DE12A3">
        <w:rPr>
          <w:rStyle w:val="Gvdemetni95pt0ptbolukbraklyor"/>
          <w:color w:val="auto"/>
        </w:rPr>
        <w:t>)</w:t>
      </w:r>
      <w:r w:rsidRPr="00DE12A3">
        <w:rPr>
          <w:rStyle w:val="Gvdemetni95pt0ptbolukbraklyor"/>
          <w:color w:val="auto"/>
        </w:rPr>
        <w:tab/>
      </w:r>
      <w:r w:rsidRPr="00DE12A3">
        <w:t>% tork, komut verilen motor devrindeki azami torka bağlıdır.</w:t>
      </w:r>
    </w:p>
    <w:p w14:paraId="58C8444C" w14:textId="2B16FBB8" w:rsidR="000D0CF9" w:rsidRPr="00DE12A3" w:rsidRDefault="000D0CF9" w:rsidP="00C917D6">
      <w:pPr>
        <w:pStyle w:val="Gvdemetni21"/>
        <w:shd w:val="clear" w:color="auto" w:fill="auto"/>
        <w:spacing w:after="120" w:line="240" w:lineRule="auto"/>
        <w:ind w:left="284" w:right="20" w:hanging="284"/>
        <w:jc w:val="both"/>
      </w:pPr>
      <w:r w:rsidRPr="00DE12A3">
        <w:rPr>
          <w:rStyle w:val="Gvdemetni95pt0ptbolukbraklyor"/>
          <w:color w:val="auto"/>
        </w:rPr>
        <w:t>(</w:t>
      </w:r>
      <w:r w:rsidRPr="00DE12A3">
        <w:rPr>
          <w:rStyle w:val="Gvdemetni95pt0ptbolukbraklyor"/>
          <w:color w:val="auto"/>
          <w:vertAlign w:val="superscript"/>
        </w:rPr>
        <w:t>c</w:t>
      </w:r>
      <w:r w:rsidRPr="00DE12A3">
        <w:rPr>
          <w:rStyle w:val="Gvdemetni95pt0ptbolukbraklyor"/>
          <w:color w:val="auto"/>
        </w:rPr>
        <w:t>)</w:t>
      </w:r>
      <w:r w:rsidRPr="00DE12A3">
        <w:rPr>
          <w:rStyle w:val="Gvdemetni95pt0ptbolukbraklyor"/>
          <w:color w:val="auto"/>
        </w:rPr>
        <w:tab/>
      </w:r>
      <w:r w:rsidRPr="00DE12A3">
        <w:t>Bir moddan diğerine 20 saniyelik bir geçiş aşaması içinde ilerlenir. Geçiş aşamasında, mevcut modun tork ayarından bir sonraki modun tork ayarına doğrusal bir ilerleme komutu verilir ve devir ayarında bir değişiklik olursa, aynı anda motor devri için de benzer bir doğrusal ilerleme komutu verilir.</w:t>
      </w:r>
    </w:p>
    <w:p w14:paraId="2BC39E28" w14:textId="77777777" w:rsidR="009E122C" w:rsidRPr="00DE12A3" w:rsidRDefault="009E122C" w:rsidP="00C917D6">
      <w:pPr>
        <w:pStyle w:val="Gvdemetni21"/>
        <w:shd w:val="clear" w:color="auto" w:fill="auto"/>
        <w:spacing w:after="120" w:line="240" w:lineRule="auto"/>
        <w:ind w:left="284" w:right="20" w:hanging="284"/>
        <w:jc w:val="both"/>
      </w:pPr>
    </w:p>
    <w:p w14:paraId="15F0F07A" w14:textId="77777777" w:rsidR="000D0CF9" w:rsidRPr="00DE12A3" w:rsidRDefault="000D0CF9" w:rsidP="00C917D6">
      <w:pPr>
        <w:spacing w:before="120" w:after="120"/>
        <w:rPr>
          <w:rFonts w:cs="Times New Roman"/>
          <w:color w:val="auto"/>
        </w:rPr>
      </w:pPr>
    </w:p>
    <w:tbl>
      <w:tblPr>
        <w:tblW w:w="0" w:type="auto"/>
        <w:tblInd w:w="186" w:type="dxa"/>
        <w:tblLayout w:type="fixed"/>
        <w:tblLook w:val="0000" w:firstRow="0" w:lastRow="0" w:firstColumn="0" w:lastColumn="0" w:noHBand="0" w:noVBand="0"/>
      </w:tblPr>
      <w:tblGrid>
        <w:gridCol w:w="2318"/>
        <w:gridCol w:w="2674"/>
        <w:gridCol w:w="1961"/>
        <w:gridCol w:w="1962"/>
      </w:tblGrid>
      <w:tr w:rsidR="00DE12A3" w:rsidRPr="00DE12A3" w14:paraId="3C7DA697" w14:textId="77777777" w:rsidTr="009F4766">
        <w:tc>
          <w:tcPr>
            <w:tcW w:w="8915" w:type="dxa"/>
            <w:gridSpan w:val="4"/>
            <w:tcBorders>
              <w:top w:val="single" w:sz="2" w:space="0" w:color="auto"/>
              <w:left w:val="single" w:sz="2" w:space="0" w:color="auto"/>
              <w:bottom w:val="single" w:sz="2" w:space="0" w:color="auto"/>
              <w:right w:val="single" w:sz="2" w:space="0" w:color="auto"/>
            </w:tcBorders>
          </w:tcPr>
          <w:p w14:paraId="57463C21" w14:textId="77777777" w:rsidR="009F4766" w:rsidRPr="00DE12A3" w:rsidRDefault="0047668F" w:rsidP="00C917D6">
            <w:pPr>
              <w:pStyle w:val="NormalCentered"/>
            </w:pPr>
            <w:r w:rsidRPr="00DE12A3">
              <w:rPr>
                <w:iCs/>
              </w:rPr>
              <w:lastRenderedPageBreak/>
              <w:t>RMC-G2 test modları tablosu</w:t>
            </w:r>
          </w:p>
        </w:tc>
      </w:tr>
      <w:tr w:rsidR="00DE12A3" w:rsidRPr="00DE12A3" w14:paraId="55EAB0D7" w14:textId="77777777" w:rsidTr="009F4766">
        <w:tc>
          <w:tcPr>
            <w:tcW w:w="2318" w:type="dxa"/>
            <w:tcBorders>
              <w:top w:val="single" w:sz="2" w:space="0" w:color="auto"/>
              <w:left w:val="single" w:sz="2" w:space="0" w:color="auto"/>
              <w:bottom w:val="single" w:sz="2" w:space="0" w:color="auto"/>
              <w:right w:val="single" w:sz="2" w:space="0" w:color="auto"/>
            </w:tcBorders>
          </w:tcPr>
          <w:p w14:paraId="3B6CB836" w14:textId="77777777" w:rsidR="0047668F" w:rsidRPr="00DE12A3" w:rsidRDefault="0047668F" w:rsidP="00C917D6">
            <w:pPr>
              <w:spacing w:before="120" w:after="120"/>
              <w:rPr>
                <w:rFonts w:cs="Times New Roman"/>
                <w:color w:val="auto"/>
              </w:rPr>
            </w:pPr>
            <w:r w:rsidRPr="00DE12A3">
              <w:rPr>
                <w:rFonts w:cs="Times New Roman"/>
                <w:color w:val="auto"/>
              </w:rPr>
              <w:t>RMC Mod Numarası</w:t>
            </w:r>
          </w:p>
        </w:tc>
        <w:tc>
          <w:tcPr>
            <w:tcW w:w="2674" w:type="dxa"/>
            <w:tcBorders>
              <w:top w:val="single" w:sz="2" w:space="0" w:color="auto"/>
              <w:left w:val="single" w:sz="2" w:space="0" w:color="auto"/>
              <w:bottom w:val="single" w:sz="2" w:space="0" w:color="auto"/>
              <w:right w:val="single" w:sz="2" w:space="0" w:color="auto"/>
            </w:tcBorders>
          </w:tcPr>
          <w:p w14:paraId="54E3C2C9" w14:textId="77777777" w:rsidR="0047668F" w:rsidRPr="00DE12A3" w:rsidRDefault="0047668F" w:rsidP="00C917D6">
            <w:pPr>
              <w:spacing w:before="120" w:after="120"/>
              <w:rPr>
                <w:rFonts w:cs="Times New Roman"/>
                <w:color w:val="auto"/>
              </w:rPr>
            </w:pPr>
            <w:r w:rsidRPr="00DE12A3">
              <w:rPr>
                <w:rFonts w:cs="Times New Roman"/>
                <w:color w:val="auto"/>
              </w:rPr>
              <w:t>Mod süresi (saniye)</w:t>
            </w:r>
          </w:p>
        </w:tc>
        <w:tc>
          <w:tcPr>
            <w:tcW w:w="1961" w:type="dxa"/>
            <w:tcBorders>
              <w:top w:val="single" w:sz="2" w:space="0" w:color="auto"/>
              <w:left w:val="single" w:sz="2" w:space="0" w:color="auto"/>
              <w:bottom w:val="single" w:sz="2" w:space="0" w:color="auto"/>
              <w:right w:val="single" w:sz="2" w:space="0" w:color="auto"/>
            </w:tcBorders>
          </w:tcPr>
          <w:p w14:paraId="40B48AB0" w14:textId="77777777" w:rsidR="0047668F" w:rsidRPr="00DE12A3" w:rsidRDefault="0047668F" w:rsidP="00C917D6">
            <w:pPr>
              <w:spacing w:before="120" w:after="120"/>
              <w:rPr>
                <w:rFonts w:cs="Times New Roman"/>
                <w:color w:val="auto"/>
              </w:rPr>
            </w:pPr>
            <w:r w:rsidRPr="00DE12A3">
              <w:rPr>
                <w:rFonts w:cs="Times New Roman"/>
                <w:color w:val="auto"/>
              </w:rPr>
              <w:t xml:space="preserve">Motor devri </w:t>
            </w:r>
            <w:r w:rsidRPr="00DE12A3">
              <w:rPr>
                <w:rFonts w:cs="Times New Roman"/>
                <w:color w:val="auto"/>
                <w:vertAlign w:val="superscript"/>
              </w:rPr>
              <w:t>(a) (c)</w:t>
            </w:r>
          </w:p>
        </w:tc>
        <w:tc>
          <w:tcPr>
            <w:tcW w:w="1962" w:type="dxa"/>
            <w:tcBorders>
              <w:top w:val="single" w:sz="2" w:space="0" w:color="auto"/>
              <w:left w:val="single" w:sz="2" w:space="0" w:color="auto"/>
              <w:bottom w:val="single" w:sz="2" w:space="0" w:color="auto"/>
              <w:right w:val="single" w:sz="2" w:space="0" w:color="auto"/>
            </w:tcBorders>
          </w:tcPr>
          <w:p w14:paraId="69394A77" w14:textId="77777777" w:rsidR="0047668F" w:rsidRPr="00DE12A3" w:rsidRDefault="0047668F" w:rsidP="00C917D6">
            <w:pPr>
              <w:spacing w:before="120" w:after="120"/>
              <w:rPr>
                <w:rFonts w:cs="Times New Roman"/>
                <w:color w:val="auto"/>
              </w:rPr>
            </w:pPr>
            <w:r w:rsidRPr="00DE12A3">
              <w:rPr>
                <w:rFonts w:cs="Times New Roman"/>
                <w:color w:val="auto"/>
              </w:rPr>
              <w:t xml:space="preserve">Tork (%) </w:t>
            </w:r>
            <w:r w:rsidRPr="00DE12A3">
              <w:rPr>
                <w:rFonts w:cs="Times New Roman"/>
                <w:color w:val="auto"/>
                <w:vertAlign w:val="superscript"/>
              </w:rPr>
              <w:t>(b) (c)</w:t>
            </w:r>
          </w:p>
        </w:tc>
      </w:tr>
      <w:tr w:rsidR="00DE12A3" w:rsidRPr="00DE12A3" w14:paraId="3FA84B00" w14:textId="77777777" w:rsidTr="009F4766">
        <w:tc>
          <w:tcPr>
            <w:tcW w:w="2318" w:type="dxa"/>
            <w:tcBorders>
              <w:top w:val="single" w:sz="2" w:space="0" w:color="auto"/>
              <w:left w:val="single" w:sz="2" w:space="0" w:color="auto"/>
              <w:bottom w:val="single" w:sz="2" w:space="0" w:color="auto"/>
              <w:right w:val="single" w:sz="2" w:space="0" w:color="auto"/>
            </w:tcBorders>
          </w:tcPr>
          <w:p w14:paraId="278EFA61" w14:textId="77777777" w:rsidR="000D0CF9" w:rsidRPr="00DE12A3" w:rsidRDefault="000D0CF9" w:rsidP="00C917D6">
            <w:pPr>
              <w:spacing w:before="120" w:after="120"/>
              <w:rPr>
                <w:rFonts w:cs="Times New Roman"/>
                <w:color w:val="auto"/>
              </w:rPr>
            </w:pPr>
            <w:r w:rsidRPr="00DE12A3">
              <w:rPr>
                <w:rFonts w:cs="Times New Roman"/>
                <w:color w:val="auto"/>
              </w:rPr>
              <w:t>1a Kararlı durum</w:t>
            </w:r>
          </w:p>
        </w:tc>
        <w:tc>
          <w:tcPr>
            <w:tcW w:w="2674" w:type="dxa"/>
            <w:tcBorders>
              <w:top w:val="single" w:sz="2" w:space="0" w:color="auto"/>
              <w:left w:val="single" w:sz="2" w:space="0" w:color="auto"/>
              <w:bottom w:val="single" w:sz="2" w:space="0" w:color="auto"/>
              <w:right w:val="single" w:sz="2" w:space="0" w:color="auto"/>
            </w:tcBorders>
          </w:tcPr>
          <w:p w14:paraId="33281FA6" w14:textId="77777777" w:rsidR="000D0CF9" w:rsidRPr="00DE12A3" w:rsidRDefault="000D0CF9" w:rsidP="00C917D6">
            <w:pPr>
              <w:pStyle w:val="NormalLeft"/>
            </w:pPr>
            <w:r w:rsidRPr="00DE12A3">
              <w:t>41</w:t>
            </w:r>
          </w:p>
        </w:tc>
        <w:tc>
          <w:tcPr>
            <w:tcW w:w="1961" w:type="dxa"/>
            <w:tcBorders>
              <w:top w:val="single" w:sz="2" w:space="0" w:color="auto"/>
              <w:left w:val="single" w:sz="2" w:space="0" w:color="auto"/>
              <w:bottom w:val="single" w:sz="2" w:space="0" w:color="auto"/>
              <w:right w:val="single" w:sz="2" w:space="0" w:color="auto"/>
            </w:tcBorders>
          </w:tcPr>
          <w:p w14:paraId="2552F6ED" w14:textId="77777777" w:rsidR="000D0CF9" w:rsidRPr="00DE12A3" w:rsidRDefault="000D0CF9" w:rsidP="00C917D6">
            <w:pPr>
              <w:pStyle w:val="NormalLeft"/>
            </w:pPr>
            <w:r w:rsidRPr="00DE12A3">
              <w:t>Rölanti</w:t>
            </w:r>
          </w:p>
        </w:tc>
        <w:tc>
          <w:tcPr>
            <w:tcW w:w="1962" w:type="dxa"/>
            <w:tcBorders>
              <w:top w:val="single" w:sz="2" w:space="0" w:color="auto"/>
              <w:left w:val="single" w:sz="2" w:space="0" w:color="auto"/>
              <w:bottom w:val="single" w:sz="2" w:space="0" w:color="auto"/>
              <w:right w:val="single" w:sz="2" w:space="0" w:color="auto"/>
            </w:tcBorders>
          </w:tcPr>
          <w:p w14:paraId="7AD7B0D8" w14:textId="77777777" w:rsidR="000D0CF9" w:rsidRPr="00DE12A3" w:rsidRDefault="000D0CF9" w:rsidP="00C917D6">
            <w:pPr>
              <w:pStyle w:val="NormalLeft"/>
            </w:pPr>
            <w:r w:rsidRPr="00DE12A3">
              <w:t>0</w:t>
            </w:r>
          </w:p>
        </w:tc>
      </w:tr>
      <w:tr w:rsidR="00DE12A3" w:rsidRPr="00DE12A3" w14:paraId="3C89FA90" w14:textId="77777777" w:rsidTr="009F4766">
        <w:tc>
          <w:tcPr>
            <w:tcW w:w="2318" w:type="dxa"/>
            <w:tcBorders>
              <w:top w:val="single" w:sz="2" w:space="0" w:color="auto"/>
              <w:left w:val="single" w:sz="2" w:space="0" w:color="auto"/>
              <w:bottom w:val="single" w:sz="2" w:space="0" w:color="auto"/>
              <w:right w:val="single" w:sz="2" w:space="0" w:color="auto"/>
            </w:tcBorders>
          </w:tcPr>
          <w:p w14:paraId="365214A5" w14:textId="77777777" w:rsidR="000D0CF9" w:rsidRPr="00DE12A3" w:rsidRDefault="000D0CF9" w:rsidP="00C917D6">
            <w:pPr>
              <w:spacing w:before="120" w:after="120"/>
              <w:rPr>
                <w:rFonts w:cs="Times New Roman"/>
                <w:color w:val="auto"/>
              </w:rPr>
            </w:pPr>
            <w:r w:rsidRPr="00DE12A3">
              <w:rPr>
                <w:rFonts w:cs="Times New Roman"/>
                <w:color w:val="auto"/>
              </w:rPr>
              <w:t>1b Geçiş</w:t>
            </w:r>
          </w:p>
        </w:tc>
        <w:tc>
          <w:tcPr>
            <w:tcW w:w="2674" w:type="dxa"/>
            <w:tcBorders>
              <w:top w:val="single" w:sz="2" w:space="0" w:color="auto"/>
              <w:left w:val="single" w:sz="2" w:space="0" w:color="auto"/>
              <w:bottom w:val="single" w:sz="2" w:space="0" w:color="auto"/>
              <w:right w:val="single" w:sz="2" w:space="0" w:color="auto"/>
            </w:tcBorders>
          </w:tcPr>
          <w:p w14:paraId="05EEC906" w14:textId="77777777" w:rsidR="000D0CF9" w:rsidRPr="00DE12A3" w:rsidRDefault="000D0CF9" w:rsidP="00C917D6">
            <w:pPr>
              <w:pStyle w:val="NormalLeft"/>
            </w:pPr>
            <w:r w:rsidRPr="00DE12A3">
              <w:t>20</w:t>
            </w:r>
          </w:p>
        </w:tc>
        <w:tc>
          <w:tcPr>
            <w:tcW w:w="1961" w:type="dxa"/>
            <w:tcBorders>
              <w:top w:val="single" w:sz="2" w:space="0" w:color="auto"/>
              <w:left w:val="single" w:sz="2" w:space="0" w:color="auto"/>
              <w:bottom w:val="single" w:sz="2" w:space="0" w:color="auto"/>
              <w:right w:val="single" w:sz="2" w:space="0" w:color="auto"/>
            </w:tcBorders>
          </w:tcPr>
          <w:p w14:paraId="34A29ECE" w14:textId="77777777" w:rsidR="000D0CF9" w:rsidRPr="00DE12A3" w:rsidRDefault="000D0CF9" w:rsidP="00C917D6">
            <w:pPr>
              <w:pStyle w:val="NormalLeft"/>
            </w:pPr>
            <w:r w:rsidRPr="00DE12A3">
              <w:t>Doğrusal Geçiş</w:t>
            </w:r>
          </w:p>
        </w:tc>
        <w:tc>
          <w:tcPr>
            <w:tcW w:w="1962" w:type="dxa"/>
            <w:tcBorders>
              <w:top w:val="single" w:sz="2" w:space="0" w:color="auto"/>
              <w:left w:val="single" w:sz="2" w:space="0" w:color="auto"/>
              <w:bottom w:val="single" w:sz="2" w:space="0" w:color="auto"/>
              <w:right w:val="single" w:sz="2" w:space="0" w:color="auto"/>
            </w:tcBorders>
          </w:tcPr>
          <w:p w14:paraId="5DB32471" w14:textId="77777777" w:rsidR="000D0CF9" w:rsidRPr="00DE12A3" w:rsidRDefault="000D0CF9" w:rsidP="00C917D6">
            <w:pPr>
              <w:pStyle w:val="NormalLeft"/>
            </w:pPr>
            <w:r w:rsidRPr="00DE12A3">
              <w:t>Doğrusal Geçiş</w:t>
            </w:r>
          </w:p>
        </w:tc>
      </w:tr>
      <w:tr w:rsidR="00DE12A3" w:rsidRPr="00DE12A3" w14:paraId="2C5C6309" w14:textId="77777777" w:rsidTr="009F4766">
        <w:tc>
          <w:tcPr>
            <w:tcW w:w="2318" w:type="dxa"/>
            <w:tcBorders>
              <w:top w:val="single" w:sz="2" w:space="0" w:color="auto"/>
              <w:left w:val="single" w:sz="2" w:space="0" w:color="auto"/>
              <w:bottom w:val="single" w:sz="2" w:space="0" w:color="auto"/>
              <w:right w:val="single" w:sz="2" w:space="0" w:color="auto"/>
            </w:tcBorders>
          </w:tcPr>
          <w:p w14:paraId="145E354A" w14:textId="77777777" w:rsidR="000D0CF9" w:rsidRPr="00DE12A3" w:rsidRDefault="000D0CF9" w:rsidP="00C917D6">
            <w:pPr>
              <w:spacing w:before="120" w:after="120"/>
              <w:rPr>
                <w:rFonts w:cs="Times New Roman"/>
                <w:color w:val="auto"/>
              </w:rPr>
            </w:pPr>
            <w:r w:rsidRPr="00DE12A3">
              <w:rPr>
                <w:rFonts w:cs="Times New Roman"/>
                <w:color w:val="auto"/>
              </w:rPr>
              <w:t>2a Kararlı durum</w:t>
            </w:r>
          </w:p>
        </w:tc>
        <w:tc>
          <w:tcPr>
            <w:tcW w:w="2674" w:type="dxa"/>
            <w:tcBorders>
              <w:top w:val="single" w:sz="2" w:space="0" w:color="auto"/>
              <w:left w:val="single" w:sz="2" w:space="0" w:color="auto"/>
              <w:bottom w:val="single" w:sz="2" w:space="0" w:color="auto"/>
              <w:right w:val="single" w:sz="2" w:space="0" w:color="auto"/>
            </w:tcBorders>
          </w:tcPr>
          <w:p w14:paraId="7D2F1C97" w14:textId="77777777" w:rsidR="000D0CF9" w:rsidRPr="00DE12A3" w:rsidRDefault="000D0CF9" w:rsidP="00C917D6">
            <w:pPr>
              <w:pStyle w:val="NormalLeft"/>
            </w:pPr>
            <w:r w:rsidRPr="00DE12A3">
              <w:t>135</w:t>
            </w:r>
          </w:p>
        </w:tc>
        <w:tc>
          <w:tcPr>
            <w:tcW w:w="1961" w:type="dxa"/>
            <w:tcBorders>
              <w:top w:val="single" w:sz="2" w:space="0" w:color="auto"/>
              <w:left w:val="single" w:sz="2" w:space="0" w:color="auto"/>
              <w:bottom w:val="single" w:sz="2" w:space="0" w:color="auto"/>
              <w:right w:val="single" w:sz="2" w:space="0" w:color="auto"/>
            </w:tcBorders>
          </w:tcPr>
          <w:p w14:paraId="1368BC5A" w14:textId="77777777" w:rsidR="000D0CF9" w:rsidRPr="00DE12A3" w:rsidRDefault="000D0CF9" w:rsidP="00C917D6">
            <w:pPr>
              <w:pStyle w:val="NormalLeft"/>
            </w:pPr>
            <w:r w:rsidRPr="00DE12A3">
              <w:t>100 %</w:t>
            </w:r>
          </w:p>
        </w:tc>
        <w:tc>
          <w:tcPr>
            <w:tcW w:w="1962" w:type="dxa"/>
            <w:tcBorders>
              <w:top w:val="single" w:sz="2" w:space="0" w:color="auto"/>
              <w:left w:val="single" w:sz="2" w:space="0" w:color="auto"/>
              <w:bottom w:val="single" w:sz="2" w:space="0" w:color="auto"/>
              <w:right w:val="single" w:sz="2" w:space="0" w:color="auto"/>
            </w:tcBorders>
          </w:tcPr>
          <w:p w14:paraId="340E86F6" w14:textId="77777777" w:rsidR="000D0CF9" w:rsidRPr="00DE12A3" w:rsidRDefault="000D0CF9" w:rsidP="00C917D6">
            <w:pPr>
              <w:pStyle w:val="NormalLeft"/>
            </w:pPr>
            <w:r w:rsidRPr="00DE12A3">
              <w:t>100</w:t>
            </w:r>
          </w:p>
        </w:tc>
      </w:tr>
      <w:tr w:rsidR="00DE12A3" w:rsidRPr="00DE12A3" w14:paraId="54ABDEA7" w14:textId="77777777" w:rsidTr="009F4766">
        <w:tc>
          <w:tcPr>
            <w:tcW w:w="2318" w:type="dxa"/>
            <w:tcBorders>
              <w:top w:val="single" w:sz="2" w:space="0" w:color="auto"/>
              <w:left w:val="single" w:sz="2" w:space="0" w:color="auto"/>
              <w:bottom w:val="single" w:sz="2" w:space="0" w:color="auto"/>
              <w:right w:val="single" w:sz="2" w:space="0" w:color="auto"/>
            </w:tcBorders>
          </w:tcPr>
          <w:p w14:paraId="6F5017AC" w14:textId="77777777" w:rsidR="000D0CF9" w:rsidRPr="00DE12A3" w:rsidRDefault="000D0CF9" w:rsidP="00C917D6">
            <w:pPr>
              <w:spacing w:before="120" w:after="120"/>
              <w:rPr>
                <w:rFonts w:cs="Times New Roman"/>
                <w:color w:val="auto"/>
              </w:rPr>
            </w:pPr>
            <w:r w:rsidRPr="00DE12A3">
              <w:rPr>
                <w:rFonts w:cs="Times New Roman"/>
                <w:color w:val="auto"/>
              </w:rPr>
              <w:t>2b Geçiş</w:t>
            </w:r>
          </w:p>
        </w:tc>
        <w:tc>
          <w:tcPr>
            <w:tcW w:w="2674" w:type="dxa"/>
            <w:tcBorders>
              <w:top w:val="single" w:sz="2" w:space="0" w:color="auto"/>
              <w:left w:val="single" w:sz="2" w:space="0" w:color="auto"/>
              <w:bottom w:val="single" w:sz="2" w:space="0" w:color="auto"/>
              <w:right w:val="single" w:sz="2" w:space="0" w:color="auto"/>
            </w:tcBorders>
          </w:tcPr>
          <w:p w14:paraId="6EA925A8" w14:textId="77777777" w:rsidR="000D0CF9" w:rsidRPr="00DE12A3" w:rsidRDefault="000D0CF9" w:rsidP="00C917D6">
            <w:pPr>
              <w:pStyle w:val="NormalLeft"/>
            </w:pPr>
            <w:r w:rsidRPr="00DE12A3">
              <w:t>20</w:t>
            </w:r>
          </w:p>
        </w:tc>
        <w:tc>
          <w:tcPr>
            <w:tcW w:w="1961" w:type="dxa"/>
            <w:tcBorders>
              <w:top w:val="single" w:sz="2" w:space="0" w:color="auto"/>
              <w:left w:val="single" w:sz="2" w:space="0" w:color="auto"/>
              <w:bottom w:val="single" w:sz="2" w:space="0" w:color="auto"/>
              <w:right w:val="single" w:sz="2" w:space="0" w:color="auto"/>
            </w:tcBorders>
          </w:tcPr>
          <w:p w14:paraId="6A1687C1" w14:textId="77777777" w:rsidR="000D0CF9" w:rsidRPr="00DE12A3" w:rsidRDefault="000D0CF9" w:rsidP="00C917D6">
            <w:pPr>
              <w:pStyle w:val="NormalLeft"/>
            </w:pPr>
            <w:r w:rsidRPr="00DE12A3">
              <w:t>100 %</w:t>
            </w:r>
          </w:p>
        </w:tc>
        <w:tc>
          <w:tcPr>
            <w:tcW w:w="1962" w:type="dxa"/>
            <w:tcBorders>
              <w:top w:val="single" w:sz="2" w:space="0" w:color="auto"/>
              <w:left w:val="single" w:sz="2" w:space="0" w:color="auto"/>
              <w:bottom w:val="single" w:sz="2" w:space="0" w:color="auto"/>
              <w:right w:val="single" w:sz="2" w:space="0" w:color="auto"/>
            </w:tcBorders>
          </w:tcPr>
          <w:p w14:paraId="7D62DC57" w14:textId="77777777" w:rsidR="000D0CF9" w:rsidRPr="00DE12A3" w:rsidRDefault="000D0CF9" w:rsidP="00C917D6">
            <w:pPr>
              <w:pStyle w:val="NormalLeft"/>
            </w:pPr>
            <w:r w:rsidRPr="00DE12A3">
              <w:t>Doğrusal Geçiş</w:t>
            </w:r>
          </w:p>
        </w:tc>
      </w:tr>
      <w:tr w:rsidR="00DE12A3" w:rsidRPr="00DE12A3" w14:paraId="5497764A" w14:textId="77777777" w:rsidTr="009F4766">
        <w:tc>
          <w:tcPr>
            <w:tcW w:w="2318" w:type="dxa"/>
            <w:tcBorders>
              <w:top w:val="single" w:sz="2" w:space="0" w:color="auto"/>
              <w:left w:val="single" w:sz="2" w:space="0" w:color="auto"/>
              <w:bottom w:val="single" w:sz="2" w:space="0" w:color="auto"/>
              <w:right w:val="single" w:sz="2" w:space="0" w:color="auto"/>
            </w:tcBorders>
          </w:tcPr>
          <w:p w14:paraId="60899FFB" w14:textId="77777777" w:rsidR="000D0CF9" w:rsidRPr="00DE12A3" w:rsidRDefault="000D0CF9" w:rsidP="00C917D6">
            <w:pPr>
              <w:spacing w:before="120" w:after="120"/>
              <w:rPr>
                <w:rFonts w:cs="Times New Roman"/>
                <w:color w:val="auto"/>
              </w:rPr>
            </w:pPr>
            <w:r w:rsidRPr="00DE12A3">
              <w:rPr>
                <w:rFonts w:cs="Times New Roman"/>
                <w:color w:val="auto"/>
              </w:rPr>
              <w:t>3a Kararlı durum</w:t>
            </w:r>
          </w:p>
        </w:tc>
        <w:tc>
          <w:tcPr>
            <w:tcW w:w="2674" w:type="dxa"/>
            <w:tcBorders>
              <w:top w:val="single" w:sz="2" w:space="0" w:color="auto"/>
              <w:left w:val="single" w:sz="2" w:space="0" w:color="auto"/>
              <w:bottom w:val="single" w:sz="2" w:space="0" w:color="auto"/>
              <w:right w:val="single" w:sz="2" w:space="0" w:color="auto"/>
            </w:tcBorders>
          </w:tcPr>
          <w:p w14:paraId="1ACB4EEE" w14:textId="77777777" w:rsidR="000D0CF9" w:rsidRPr="00DE12A3" w:rsidRDefault="000D0CF9" w:rsidP="00C917D6">
            <w:pPr>
              <w:pStyle w:val="NormalLeft"/>
            </w:pPr>
            <w:r w:rsidRPr="00DE12A3">
              <w:t>112</w:t>
            </w:r>
          </w:p>
        </w:tc>
        <w:tc>
          <w:tcPr>
            <w:tcW w:w="1961" w:type="dxa"/>
            <w:tcBorders>
              <w:top w:val="single" w:sz="2" w:space="0" w:color="auto"/>
              <w:left w:val="single" w:sz="2" w:space="0" w:color="auto"/>
              <w:bottom w:val="single" w:sz="2" w:space="0" w:color="auto"/>
              <w:right w:val="single" w:sz="2" w:space="0" w:color="auto"/>
            </w:tcBorders>
          </w:tcPr>
          <w:p w14:paraId="049FC5C6" w14:textId="77777777" w:rsidR="000D0CF9" w:rsidRPr="00DE12A3" w:rsidRDefault="000D0CF9" w:rsidP="00C917D6">
            <w:pPr>
              <w:pStyle w:val="NormalLeft"/>
            </w:pPr>
            <w:r w:rsidRPr="00DE12A3">
              <w:t>100 %</w:t>
            </w:r>
          </w:p>
        </w:tc>
        <w:tc>
          <w:tcPr>
            <w:tcW w:w="1962" w:type="dxa"/>
            <w:tcBorders>
              <w:top w:val="single" w:sz="2" w:space="0" w:color="auto"/>
              <w:left w:val="single" w:sz="2" w:space="0" w:color="auto"/>
              <w:bottom w:val="single" w:sz="2" w:space="0" w:color="auto"/>
              <w:right w:val="single" w:sz="2" w:space="0" w:color="auto"/>
            </w:tcBorders>
          </w:tcPr>
          <w:p w14:paraId="0072F116" w14:textId="77777777" w:rsidR="000D0CF9" w:rsidRPr="00DE12A3" w:rsidRDefault="000D0CF9" w:rsidP="00C917D6">
            <w:pPr>
              <w:pStyle w:val="NormalLeft"/>
            </w:pPr>
            <w:r w:rsidRPr="00DE12A3">
              <w:t>10</w:t>
            </w:r>
          </w:p>
        </w:tc>
      </w:tr>
      <w:tr w:rsidR="00DE12A3" w:rsidRPr="00DE12A3" w14:paraId="2CBFB2D1" w14:textId="77777777" w:rsidTr="009F4766">
        <w:tc>
          <w:tcPr>
            <w:tcW w:w="2318" w:type="dxa"/>
            <w:tcBorders>
              <w:top w:val="single" w:sz="2" w:space="0" w:color="auto"/>
              <w:left w:val="single" w:sz="2" w:space="0" w:color="auto"/>
              <w:bottom w:val="single" w:sz="2" w:space="0" w:color="auto"/>
              <w:right w:val="single" w:sz="2" w:space="0" w:color="auto"/>
            </w:tcBorders>
          </w:tcPr>
          <w:p w14:paraId="51A1CF8C" w14:textId="77777777" w:rsidR="000D0CF9" w:rsidRPr="00DE12A3" w:rsidRDefault="000D0CF9" w:rsidP="00C917D6">
            <w:pPr>
              <w:spacing w:before="120" w:after="120"/>
              <w:rPr>
                <w:rFonts w:cs="Times New Roman"/>
                <w:color w:val="auto"/>
              </w:rPr>
            </w:pPr>
            <w:r w:rsidRPr="00DE12A3">
              <w:rPr>
                <w:rFonts w:cs="Times New Roman"/>
                <w:color w:val="auto"/>
              </w:rPr>
              <w:t>3b Geçiş</w:t>
            </w:r>
          </w:p>
        </w:tc>
        <w:tc>
          <w:tcPr>
            <w:tcW w:w="2674" w:type="dxa"/>
            <w:tcBorders>
              <w:top w:val="single" w:sz="2" w:space="0" w:color="auto"/>
              <w:left w:val="single" w:sz="2" w:space="0" w:color="auto"/>
              <w:bottom w:val="single" w:sz="2" w:space="0" w:color="auto"/>
              <w:right w:val="single" w:sz="2" w:space="0" w:color="auto"/>
            </w:tcBorders>
          </w:tcPr>
          <w:p w14:paraId="47A40AEC" w14:textId="77777777" w:rsidR="000D0CF9" w:rsidRPr="00DE12A3" w:rsidRDefault="000D0CF9" w:rsidP="00C917D6">
            <w:pPr>
              <w:pStyle w:val="NormalLeft"/>
            </w:pPr>
            <w:r w:rsidRPr="00DE12A3">
              <w:t>20</w:t>
            </w:r>
          </w:p>
        </w:tc>
        <w:tc>
          <w:tcPr>
            <w:tcW w:w="1961" w:type="dxa"/>
            <w:tcBorders>
              <w:top w:val="single" w:sz="2" w:space="0" w:color="auto"/>
              <w:left w:val="single" w:sz="2" w:space="0" w:color="auto"/>
              <w:bottom w:val="single" w:sz="2" w:space="0" w:color="auto"/>
              <w:right w:val="single" w:sz="2" w:space="0" w:color="auto"/>
            </w:tcBorders>
          </w:tcPr>
          <w:p w14:paraId="7B43CA23" w14:textId="77777777" w:rsidR="000D0CF9" w:rsidRPr="00DE12A3" w:rsidRDefault="000D0CF9" w:rsidP="00C917D6">
            <w:pPr>
              <w:pStyle w:val="NormalLeft"/>
            </w:pPr>
            <w:r w:rsidRPr="00DE12A3">
              <w:t>100 %</w:t>
            </w:r>
          </w:p>
        </w:tc>
        <w:tc>
          <w:tcPr>
            <w:tcW w:w="1962" w:type="dxa"/>
            <w:tcBorders>
              <w:top w:val="single" w:sz="2" w:space="0" w:color="auto"/>
              <w:left w:val="single" w:sz="2" w:space="0" w:color="auto"/>
              <w:bottom w:val="single" w:sz="2" w:space="0" w:color="auto"/>
              <w:right w:val="single" w:sz="2" w:space="0" w:color="auto"/>
            </w:tcBorders>
          </w:tcPr>
          <w:p w14:paraId="72AE88B6" w14:textId="77777777" w:rsidR="000D0CF9" w:rsidRPr="00DE12A3" w:rsidRDefault="000D0CF9" w:rsidP="00C917D6">
            <w:pPr>
              <w:pStyle w:val="NormalLeft"/>
            </w:pPr>
            <w:r w:rsidRPr="00DE12A3">
              <w:t>Doğrusal Geçiş</w:t>
            </w:r>
          </w:p>
        </w:tc>
      </w:tr>
      <w:tr w:rsidR="00DE12A3" w:rsidRPr="00DE12A3" w14:paraId="5B2BF48B" w14:textId="77777777" w:rsidTr="009F4766">
        <w:tc>
          <w:tcPr>
            <w:tcW w:w="2318" w:type="dxa"/>
            <w:tcBorders>
              <w:top w:val="single" w:sz="2" w:space="0" w:color="auto"/>
              <w:left w:val="single" w:sz="2" w:space="0" w:color="auto"/>
              <w:bottom w:val="single" w:sz="2" w:space="0" w:color="auto"/>
              <w:right w:val="single" w:sz="2" w:space="0" w:color="auto"/>
            </w:tcBorders>
          </w:tcPr>
          <w:p w14:paraId="513BC9C7" w14:textId="77777777" w:rsidR="000D0CF9" w:rsidRPr="00DE12A3" w:rsidRDefault="000D0CF9" w:rsidP="00C917D6">
            <w:pPr>
              <w:spacing w:before="120" w:after="120"/>
              <w:rPr>
                <w:rFonts w:cs="Times New Roman"/>
                <w:color w:val="auto"/>
              </w:rPr>
            </w:pPr>
            <w:r w:rsidRPr="00DE12A3">
              <w:rPr>
                <w:rFonts w:cs="Times New Roman"/>
                <w:color w:val="auto"/>
              </w:rPr>
              <w:t>4a Kararlı durum</w:t>
            </w:r>
          </w:p>
        </w:tc>
        <w:tc>
          <w:tcPr>
            <w:tcW w:w="2674" w:type="dxa"/>
            <w:tcBorders>
              <w:top w:val="single" w:sz="2" w:space="0" w:color="auto"/>
              <w:left w:val="single" w:sz="2" w:space="0" w:color="auto"/>
              <w:bottom w:val="single" w:sz="2" w:space="0" w:color="auto"/>
              <w:right w:val="single" w:sz="2" w:space="0" w:color="auto"/>
            </w:tcBorders>
          </w:tcPr>
          <w:p w14:paraId="7DB8A690" w14:textId="77777777" w:rsidR="000D0CF9" w:rsidRPr="00DE12A3" w:rsidRDefault="000D0CF9" w:rsidP="00C917D6">
            <w:pPr>
              <w:pStyle w:val="NormalLeft"/>
            </w:pPr>
            <w:r w:rsidRPr="00DE12A3">
              <w:t>337</w:t>
            </w:r>
          </w:p>
        </w:tc>
        <w:tc>
          <w:tcPr>
            <w:tcW w:w="1961" w:type="dxa"/>
            <w:tcBorders>
              <w:top w:val="single" w:sz="2" w:space="0" w:color="auto"/>
              <w:left w:val="single" w:sz="2" w:space="0" w:color="auto"/>
              <w:bottom w:val="single" w:sz="2" w:space="0" w:color="auto"/>
              <w:right w:val="single" w:sz="2" w:space="0" w:color="auto"/>
            </w:tcBorders>
          </w:tcPr>
          <w:p w14:paraId="2FDAE942" w14:textId="77777777" w:rsidR="000D0CF9" w:rsidRPr="00DE12A3" w:rsidRDefault="000D0CF9" w:rsidP="00C917D6">
            <w:pPr>
              <w:pStyle w:val="NormalLeft"/>
            </w:pPr>
            <w:r w:rsidRPr="00DE12A3">
              <w:t>100 %</w:t>
            </w:r>
          </w:p>
        </w:tc>
        <w:tc>
          <w:tcPr>
            <w:tcW w:w="1962" w:type="dxa"/>
            <w:tcBorders>
              <w:top w:val="single" w:sz="2" w:space="0" w:color="auto"/>
              <w:left w:val="single" w:sz="2" w:space="0" w:color="auto"/>
              <w:bottom w:val="single" w:sz="2" w:space="0" w:color="auto"/>
              <w:right w:val="single" w:sz="2" w:space="0" w:color="auto"/>
            </w:tcBorders>
          </w:tcPr>
          <w:p w14:paraId="7C33680F" w14:textId="77777777" w:rsidR="000D0CF9" w:rsidRPr="00DE12A3" w:rsidRDefault="000D0CF9" w:rsidP="00C917D6">
            <w:pPr>
              <w:pStyle w:val="NormalLeft"/>
            </w:pPr>
            <w:r w:rsidRPr="00DE12A3">
              <w:t>75</w:t>
            </w:r>
          </w:p>
        </w:tc>
      </w:tr>
      <w:tr w:rsidR="00DE12A3" w:rsidRPr="00DE12A3" w14:paraId="17630978" w14:textId="77777777" w:rsidTr="009F4766">
        <w:tc>
          <w:tcPr>
            <w:tcW w:w="2318" w:type="dxa"/>
            <w:tcBorders>
              <w:top w:val="single" w:sz="2" w:space="0" w:color="auto"/>
              <w:left w:val="single" w:sz="2" w:space="0" w:color="auto"/>
              <w:bottom w:val="single" w:sz="2" w:space="0" w:color="auto"/>
              <w:right w:val="single" w:sz="2" w:space="0" w:color="auto"/>
            </w:tcBorders>
          </w:tcPr>
          <w:p w14:paraId="40516451" w14:textId="77777777" w:rsidR="000D0CF9" w:rsidRPr="00DE12A3" w:rsidRDefault="000D0CF9" w:rsidP="00C917D6">
            <w:pPr>
              <w:spacing w:before="120" w:after="120"/>
              <w:rPr>
                <w:rFonts w:cs="Times New Roman"/>
                <w:color w:val="auto"/>
              </w:rPr>
            </w:pPr>
            <w:r w:rsidRPr="00DE12A3">
              <w:rPr>
                <w:rFonts w:cs="Times New Roman"/>
                <w:color w:val="auto"/>
              </w:rPr>
              <w:t>4b Geçiş</w:t>
            </w:r>
          </w:p>
        </w:tc>
        <w:tc>
          <w:tcPr>
            <w:tcW w:w="2674" w:type="dxa"/>
            <w:tcBorders>
              <w:top w:val="single" w:sz="2" w:space="0" w:color="auto"/>
              <w:left w:val="single" w:sz="2" w:space="0" w:color="auto"/>
              <w:bottom w:val="single" w:sz="2" w:space="0" w:color="auto"/>
              <w:right w:val="single" w:sz="2" w:space="0" w:color="auto"/>
            </w:tcBorders>
          </w:tcPr>
          <w:p w14:paraId="0D825FE1" w14:textId="77777777" w:rsidR="000D0CF9" w:rsidRPr="00DE12A3" w:rsidRDefault="000D0CF9" w:rsidP="00C917D6">
            <w:pPr>
              <w:pStyle w:val="NormalLeft"/>
            </w:pPr>
            <w:r w:rsidRPr="00DE12A3">
              <w:t>20</w:t>
            </w:r>
          </w:p>
        </w:tc>
        <w:tc>
          <w:tcPr>
            <w:tcW w:w="1961" w:type="dxa"/>
            <w:tcBorders>
              <w:top w:val="single" w:sz="2" w:space="0" w:color="auto"/>
              <w:left w:val="single" w:sz="2" w:space="0" w:color="auto"/>
              <w:bottom w:val="single" w:sz="2" w:space="0" w:color="auto"/>
              <w:right w:val="single" w:sz="2" w:space="0" w:color="auto"/>
            </w:tcBorders>
          </w:tcPr>
          <w:p w14:paraId="5DA4F628" w14:textId="77777777" w:rsidR="000D0CF9" w:rsidRPr="00DE12A3" w:rsidRDefault="000D0CF9" w:rsidP="00C917D6">
            <w:pPr>
              <w:pStyle w:val="NormalLeft"/>
            </w:pPr>
            <w:r w:rsidRPr="00DE12A3">
              <w:t>100 %</w:t>
            </w:r>
          </w:p>
        </w:tc>
        <w:tc>
          <w:tcPr>
            <w:tcW w:w="1962" w:type="dxa"/>
            <w:tcBorders>
              <w:top w:val="single" w:sz="2" w:space="0" w:color="auto"/>
              <w:left w:val="single" w:sz="2" w:space="0" w:color="auto"/>
              <w:bottom w:val="single" w:sz="2" w:space="0" w:color="auto"/>
              <w:right w:val="single" w:sz="2" w:space="0" w:color="auto"/>
            </w:tcBorders>
          </w:tcPr>
          <w:p w14:paraId="1C8437F2" w14:textId="77777777" w:rsidR="000D0CF9" w:rsidRPr="00DE12A3" w:rsidRDefault="000D0CF9" w:rsidP="00C917D6">
            <w:pPr>
              <w:pStyle w:val="NormalLeft"/>
            </w:pPr>
            <w:r w:rsidRPr="00DE12A3">
              <w:t>Doğrusal Geçiş</w:t>
            </w:r>
          </w:p>
        </w:tc>
      </w:tr>
      <w:tr w:rsidR="00DE12A3" w:rsidRPr="00DE12A3" w14:paraId="6CF84AC4" w14:textId="77777777" w:rsidTr="009F4766">
        <w:tc>
          <w:tcPr>
            <w:tcW w:w="2318" w:type="dxa"/>
            <w:tcBorders>
              <w:top w:val="single" w:sz="2" w:space="0" w:color="auto"/>
              <w:left w:val="single" w:sz="2" w:space="0" w:color="auto"/>
              <w:bottom w:val="single" w:sz="2" w:space="0" w:color="auto"/>
              <w:right w:val="single" w:sz="2" w:space="0" w:color="auto"/>
            </w:tcBorders>
          </w:tcPr>
          <w:p w14:paraId="4D6F102B" w14:textId="77777777" w:rsidR="000D0CF9" w:rsidRPr="00DE12A3" w:rsidRDefault="000D0CF9" w:rsidP="00C917D6">
            <w:pPr>
              <w:spacing w:before="120" w:after="120"/>
              <w:rPr>
                <w:rFonts w:cs="Times New Roman"/>
                <w:color w:val="auto"/>
              </w:rPr>
            </w:pPr>
            <w:r w:rsidRPr="00DE12A3">
              <w:rPr>
                <w:rFonts w:cs="Times New Roman"/>
                <w:color w:val="auto"/>
              </w:rPr>
              <w:t>5a Kararlı durum</w:t>
            </w:r>
          </w:p>
        </w:tc>
        <w:tc>
          <w:tcPr>
            <w:tcW w:w="2674" w:type="dxa"/>
            <w:tcBorders>
              <w:top w:val="single" w:sz="2" w:space="0" w:color="auto"/>
              <w:left w:val="single" w:sz="2" w:space="0" w:color="auto"/>
              <w:bottom w:val="single" w:sz="2" w:space="0" w:color="auto"/>
              <w:right w:val="single" w:sz="2" w:space="0" w:color="auto"/>
            </w:tcBorders>
          </w:tcPr>
          <w:p w14:paraId="38CC17B7" w14:textId="77777777" w:rsidR="000D0CF9" w:rsidRPr="00DE12A3" w:rsidRDefault="000D0CF9" w:rsidP="00C917D6">
            <w:pPr>
              <w:pStyle w:val="NormalLeft"/>
            </w:pPr>
            <w:r w:rsidRPr="00DE12A3">
              <w:t>518</w:t>
            </w:r>
          </w:p>
        </w:tc>
        <w:tc>
          <w:tcPr>
            <w:tcW w:w="1961" w:type="dxa"/>
            <w:tcBorders>
              <w:top w:val="single" w:sz="2" w:space="0" w:color="auto"/>
              <w:left w:val="single" w:sz="2" w:space="0" w:color="auto"/>
              <w:bottom w:val="single" w:sz="2" w:space="0" w:color="auto"/>
              <w:right w:val="single" w:sz="2" w:space="0" w:color="auto"/>
            </w:tcBorders>
          </w:tcPr>
          <w:p w14:paraId="08B69602" w14:textId="77777777" w:rsidR="000D0CF9" w:rsidRPr="00DE12A3" w:rsidRDefault="000D0CF9" w:rsidP="00C917D6">
            <w:pPr>
              <w:pStyle w:val="NormalLeft"/>
            </w:pPr>
            <w:r w:rsidRPr="00DE12A3">
              <w:t>100 %</w:t>
            </w:r>
          </w:p>
        </w:tc>
        <w:tc>
          <w:tcPr>
            <w:tcW w:w="1962" w:type="dxa"/>
            <w:tcBorders>
              <w:top w:val="single" w:sz="2" w:space="0" w:color="auto"/>
              <w:left w:val="single" w:sz="2" w:space="0" w:color="auto"/>
              <w:bottom w:val="single" w:sz="2" w:space="0" w:color="auto"/>
              <w:right w:val="single" w:sz="2" w:space="0" w:color="auto"/>
            </w:tcBorders>
          </w:tcPr>
          <w:p w14:paraId="5FA58BFD" w14:textId="77777777" w:rsidR="000D0CF9" w:rsidRPr="00DE12A3" w:rsidRDefault="000D0CF9" w:rsidP="00C917D6">
            <w:pPr>
              <w:pStyle w:val="NormalLeft"/>
            </w:pPr>
            <w:r w:rsidRPr="00DE12A3">
              <w:t>25</w:t>
            </w:r>
          </w:p>
        </w:tc>
      </w:tr>
      <w:tr w:rsidR="00DE12A3" w:rsidRPr="00DE12A3" w14:paraId="74C107F2" w14:textId="77777777" w:rsidTr="009F4766">
        <w:tc>
          <w:tcPr>
            <w:tcW w:w="2318" w:type="dxa"/>
            <w:tcBorders>
              <w:top w:val="single" w:sz="2" w:space="0" w:color="auto"/>
              <w:left w:val="single" w:sz="2" w:space="0" w:color="auto"/>
              <w:bottom w:val="single" w:sz="2" w:space="0" w:color="auto"/>
              <w:right w:val="single" w:sz="2" w:space="0" w:color="auto"/>
            </w:tcBorders>
          </w:tcPr>
          <w:p w14:paraId="0C592396" w14:textId="77777777" w:rsidR="000D0CF9" w:rsidRPr="00DE12A3" w:rsidRDefault="000D0CF9" w:rsidP="00C917D6">
            <w:pPr>
              <w:spacing w:before="120" w:after="120"/>
              <w:rPr>
                <w:rFonts w:cs="Times New Roman"/>
                <w:color w:val="auto"/>
              </w:rPr>
            </w:pPr>
            <w:r w:rsidRPr="00DE12A3">
              <w:rPr>
                <w:rFonts w:cs="Times New Roman"/>
                <w:color w:val="auto"/>
              </w:rPr>
              <w:t>5b Geçiş</w:t>
            </w:r>
          </w:p>
        </w:tc>
        <w:tc>
          <w:tcPr>
            <w:tcW w:w="2674" w:type="dxa"/>
            <w:tcBorders>
              <w:top w:val="single" w:sz="2" w:space="0" w:color="auto"/>
              <w:left w:val="single" w:sz="2" w:space="0" w:color="auto"/>
              <w:bottom w:val="single" w:sz="2" w:space="0" w:color="auto"/>
              <w:right w:val="single" w:sz="2" w:space="0" w:color="auto"/>
            </w:tcBorders>
          </w:tcPr>
          <w:p w14:paraId="52B6F800" w14:textId="77777777" w:rsidR="000D0CF9" w:rsidRPr="00DE12A3" w:rsidRDefault="000D0CF9" w:rsidP="00C917D6">
            <w:pPr>
              <w:pStyle w:val="NormalLeft"/>
            </w:pPr>
            <w:r w:rsidRPr="00DE12A3">
              <w:t>20</w:t>
            </w:r>
          </w:p>
        </w:tc>
        <w:tc>
          <w:tcPr>
            <w:tcW w:w="1961" w:type="dxa"/>
            <w:tcBorders>
              <w:top w:val="single" w:sz="2" w:space="0" w:color="auto"/>
              <w:left w:val="single" w:sz="2" w:space="0" w:color="auto"/>
              <w:bottom w:val="single" w:sz="2" w:space="0" w:color="auto"/>
              <w:right w:val="single" w:sz="2" w:space="0" w:color="auto"/>
            </w:tcBorders>
          </w:tcPr>
          <w:p w14:paraId="5054EEEB" w14:textId="77777777" w:rsidR="000D0CF9" w:rsidRPr="00DE12A3" w:rsidRDefault="000D0CF9" w:rsidP="00C917D6">
            <w:pPr>
              <w:pStyle w:val="NormalLeft"/>
            </w:pPr>
            <w:r w:rsidRPr="00DE12A3">
              <w:t>100 %</w:t>
            </w:r>
          </w:p>
        </w:tc>
        <w:tc>
          <w:tcPr>
            <w:tcW w:w="1962" w:type="dxa"/>
            <w:tcBorders>
              <w:top w:val="single" w:sz="2" w:space="0" w:color="auto"/>
              <w:left w:val="single" w:sz="2" w:space="0" w:color="auto"/>
              <w:bottom w:val="single" w:sz="2" w:space="0" w:color="auto"/>
              <w:right w:val="single" w:sz="2" w:space="0" w:color="auto"/>
            </w:tcBorders>
          </w:tcPr>
          <w:p w14:paraId="655E7BD2" w14:textId="77777777" w:rsidR="000D0CF9" w:rsidRPr="00DE12A3" w:rsidRDefault="000D0CF9" w:rsidP="00C917D6">
            <w:pPr>
              <w:pStyle w:val="NormalLeft"/>
            </w:pPr>
            <w:r w:rsidRPr="00DE12A3">
              <w:t>Doğrusal Geçiş</w:t>
            </w:r>
          </w:p>
        </w:tc>
      </w:tr>
      <w:tr w:rsidR="00DE12A3" w:rsidRPr="00DE12A3" w14:paraId="15F2553F" w14:textId="77777777" w:rsidTr="009F4766">
        <w:tc>
          <w:tcPr>
            <w:tcW w:w="2318" w:type="dxa"/>
            <w:tcBorders>
              <w:top w:val="single" w:sz="2" w:space="0" w:color="auto"/>
              <w:left w:val="single" w:sz="2" w:space="0" w:color="auto"/>
              <w:bottom w:val="single" w:sz="2" w:space="0" w:color="auto"/>
              <w:right w:val="single" w:sz="2" w:space="0" w:color="auto"/>
            </w:tcBorders>
          </w:tcPr>
          <w:p w14:paraId="2C5AB4E5" w14:textId="77777777" w:rsidR="000D0CF9" w:rsidRPr="00DE12A3" w:rsidRDefault="000D0CF9" w:rsidP="00C917D6">
            <w:pPr>
              <w:spacing w:before="120" w:after="120"/>
              <w:rPr>
                <w:rFonts w:cs="Times New Roman"/>
                <w:color w:val="auto"/>
              </w:rPr>
            </w:pPr>
            <w:r w:rsidRPr="00DE12A3">
              <w:rPr>
                <w:rFonts w:cs="Times New Roman"/>
                <w:color w:val="auto"/>
              </w:rPr>
              <w:t>6a Kararlı durum</w:t>
            </w:r>
          </w:p>
        </w:tc>
        <w:tc>
          <w:tcPr>
            <w:tcW w:w="2674" w:type="dxa"/>
            <w:tcBorders>
              <w:top w:val="single" w:sz="2" w:space="0" w:color="auto"/>
              <w:left w:val="single" w:sz="2" w:space="0" w:color="auto"/>
              <w:bottom w:val="single" w:sz="2" w:space="0" w:color="auto"/>
              <w:right w:val="single" w:sz="2" w:space="0" w:color="auto"/>
            </w:tcBorders>
          </w:tcPr>
          <w:p w14:paraId="2EDA70E9" w14:textId="77777777" w:rsidR="000D0CF9" w:rsidRPr="00DE12A3" w:rsidRDefault="000D0CF9" w:rsidP="00C917D6">
            <w:pPr>
              <w:pStyle w:val="NormalLeft"/>
            </w:pPr>
            <w:r w:rsidRPr="00DE12A3">
              <w:t>494</w:t>
            </w:r>
          </w:p>
        </w:tc>
        <w:tc>
          <w:tcPr>
            <w:tcW w:w="1961" w:type="dxa"/>
            <w:tcBorders>
              <w:top w:val="single" w:sz="2" w:space="0" w:color="auto"/>
              <w:left w:val="single" w:sz="2" w:space="0" w:color="auto"/>
              <w:bottom w:val="single" w:sz="2" w:space="0" w:color="auto"/>
              <w:right w:val="single" w:sz="2" w:space="0" w:color="auto"/>
            </w:tcBorders>
          </w:tcPr>
          <w:p w14:paraId="0D2A6B92" w14:textId="77777777" w:rsidR="000D0CF9" w:rsidRPr="00DE12A3" w:rsidRDefault="000D0CF9" w:rsidP="00C917D6">
            <w:pPr>
              <w:pStyle w:val="NormalLeft"/>
            </w:pPr>
            <w:r w:rsidRPr="00DE12A3">
              <w:t>100 %</w:t>
            </w:r>
          </w:p>
        </w:tc>
        <w:tc>
          <w:tcPr>
            <w:tcW w:w="1962" w:type="dxa"/>
            <w:tcBorders>
              <w:top w:val="single" w:sz="2" w:space="0" w:color="auto"/>
              <w:left w:val="single" w:sz="2" w:space="0" w:color="auto"/>
              <w:bottom w:val="single" w:sz="2" w:space="0" w:color="auto"/>
              <w:right w:val="single" w:sz="2" w:space="0" w:color="auto"/>
            </w:tcBorders>
          </w:tcPr>
          <w:p w14:paraId="2F6D7A1C" w14:textId="77777777" w:rsidR="000D0CF9" w:rsidRPr="00DE12A3" w:rsidRDefault="000D0CF9" w:rsidP="00C917D6">
            <w:pPr>
              <w:pStyle w:val="NormalLeft"/>
            </w:pPr>
            <w:r w:rsidRPr="00DE12A3">
              <w:t>50</w:t>
            </w:r>
          </w:p>
        </w:tc>
      </w:tr>
      <w:tr w:rsidR="00DE12A3" w:rsidRPr="00DE12A3" w14:paraId="3E149DBB" w14:textId="77777777" w:rsidTr="009F4766">
        <w:tc>
          <w:tcPr>
            <w:tcW w:w="2318" w:type="dxa"/>
            <w:tcBorders>
              <w:top w:val="single" w:sz="2" w:space="0" w:color="auto"/>
              <w:left w:val="single" w:sz="2" w:space="0" w:color="auto"/>
              <w:bottom w:val="single" w:sz="2" w:space="0" w:color="auto"/>
              <w:right w:val="single" w:sz="2" w:space="0" w:color="auto"/>
            </w:tcBorders>
          </w:tcPr>
          <w:p w14:paraId="0CBD19E5" w14:textId="77777777" w:rsidR="000D0CF9" w:rsidRPr="00DE12A3" w:rsidRDefault="000D0CF9" w:rsidP="00C917D6">
            <w:pPr>
              <w:spacing w:before="120" w:after="120"/>
              <w:rPr>
                <w:rFonts w:cs="Times New Roman"/>
                <w:color w:val="auto"/>
              </w:rPr>
            </w:pPr>
            <w:r w:rsidRPr="00DE12A3">
              <w:rPr>
                <w:rFonts w:cs="Times New Roman"/>
                <w:color w:val="auto"/>
              </w:rPr>
              <w:t>6b Geçiş</w:t>
            </w:r>
          </w:p>
        </w:tc>
        <w:tc>
          <w:tcPr>
            <w:tcW w:w="2674" w:type="dxa"/>
            <w:tcBorders>
              <w:top w:val="single" w:sz="2" w:space="0" w:color="auto"/>
              <w:left w:val="single" w:sz="2" w:space="0" w:color="auto"/>
              <w:bottom w:val="single" w:sz="2" w:space="0" w:color="auto"/>
              <w:right w:val="single" w:sz="2" w:space="0" w:color="auto"/>
            </w:tcBorders>
          </w:tcPr>
          <w:p w14:paraId="4D972F05" w14:textId="77777777" w:rsidR="000D0CF9" w:rsidRPr="00DE12A3" w:rsidRDefault="000D0CF9" w:rsidP="00C917D6">
            <w:pPr>
              <w:pStyle w:val="NormalLeft"/>
            </w:pPr>
            <w:r w:rsidRPr="00DE12A3">
              <w:t>20</w:t>
            </w:r>
          </w:p>
        </w:tc>
        <w:tc>
          <w:tcPr>
            <w:tcW w:w="1961" w:type="dxa"/>
            <w:tcBorders>
              <w:top w:val="single" w:sz="2" w:space="0" w:color="auto"/>
              <w:left w:val="single" w:sz="2" w:space="0" w:color="auto"/>
              <w:bottom w:val="single" w:sz="2" w:space="0" w:color="auto"/>
              <w:right w:val="single" w:sz="2" w:space="0" w:color="auto"/>
            </w:tcBorders>
          </w:tcPr>
          <w:p w14:paraId="3BF3C1F0" w14:textId="77777777" w:rsidR="000D0CF9" w:rsidRPr="00DE12A3" w:rsidRDefault="000D0CF9" w:rsidP="00C917D6">
            <w:pPr>
              <w:pStyle w:val="NormalLeft"/>
            </w:pPr>
            <w:r w:rsidRPr="00DE12A3">
              <w:t>Doğrusal Geçiş</w:t>
            </w:r>
          </w:p>
        </w:tc>
        <w:tc>
          <w:tcPr>
            <w:tcW w:w="1962" w:type="dxa"/>
            <w:tcBorders>
              <w:top w:val="single" w:sz="2" w:space="0" w:color="auto"/>
              <w:left w:val="single" w:sz="2" w:space="0" w:color="auto"/>
              <w:bottom w:val="single" w:sz="2" w:space="0" w:color="auto"/>
              <w:right w:val="single" w:sz="2" w:space="0" w:color="auto"/>
            </w:tcBorders>
          </w:tcPr>
          <w:p w14:paraId="1163D5FA" w14:textId="77777777" w:rsidR="000D0CF9" w:rsidRPr="00DE12A3" w:rsidRDefault="000D0CF9" w:rsidP="00C917D6">
            <w:pPr>
              <w:pStyle w:val="NormalLeft"/>
            </w:pPr>
            <w:r w:rsidRPr="00DE12A3">
              <w:t>Doğrusal Geçiş</w:t>
            </w:r>
          </w:p>
        </w:tc>
      </w:tr>
      <w:tr w:rsidR="00DE12A3" w:rsidRPr="00DE12A3" w14:paraId="78990558" w14:textId="77777777" w:rsidTr="009F4766">
        <w:tc>
          <w:tcPr>
            <w:tcW w:w="2318" w:type="dxa"/>
            <w:tcBorders>
              <w:top w:val="single" w:sz="2" w:space="0" w:color="auto"/>
              <w:left w:val="single" w:sz="2" w:space="0" w:color="auto"/>
              <w:bottom w:val="single" w:sz="2" w:space="0" w:color="auto"/>
              <w:right w:val="single" w:sz="2" w:space="0" w:color="auto"/>
            </w:tcBorders>
          </w:tcPr>
          <w:p w14:paraId="37F3D478" w14:textId="77777777" w:rsidR="000D0CF9" w:rsidRPr="00DE12A3" w:rsidRDefault="000D0CF9" w:rsidP="00C917D6">
            <w:pPr>
              <w:spacing w:before="120" w:after="120"/>
              <w:rPr>
                <w:rFonts w:cs="Times New Roman"/>
                <w:color w:val="auto"/>
              </w:rPr>
            </w:pPr>
            <w:r w:rsidRPr="00DE12A3">
              <w:rPr>
                <w:rFonts w:cs="Times New Roman"/>
                <w:color w:val="auto"/>
              </w:rPr>
              <w:t>7 Kararlı durum</w:t>
            </w:r>
          </w:p>
        </w:tc>
        <w:tc>
          <w:tcPr>
            <w:tcW w:w="2674" w:type="dxa"/>
            <w:tcBorders>
              <w:top w:val="single" w:sz="2" w:space="0" w:color="auto"/>
              <w:left w:val="single" w:sz="2" w:space="0" w:color="auto"/>
              <w:bottom w:val="single" w:sz="2" w:space="0" w:color="auto"/>
              <w:right w:val="single" w:sz="2" w:space="0" w:color="auto"/>
            </w:tcBorders>
          </w:tcPr>
          <w:p w14:paraId="202AC8A7" w14:textId="77777777" w:rsidR="000D0CF9" w:rsidRPr="00DE12A3" w:rsidRDefault="000D0CF9" w:rsidP="00C917D6">
            <w:pPr>
              <w:pStyle w:val="NormalLeft"/>
            </w:pPr>
            <w:r w:rsidRPr="00DE12A3">
              <w:t>43</w:t>
            </w:r>
          </w:p>
        </w:tc>
        <w:tc>
          <w:tcPr>
            <w:tcW w:w="1961" w:type="dxa"/>
            <w:tcBorders>
              <w:top w:val="single" w:sz="2" w:space="0" w:color="auto"/>
              <w:left w:val="single" w:sz="2" w:space="0" w:color="auto"/>
              <w:bottom w:val="single" w:sz="2" w:space="0" w:color="auto"/>
              <w:right w:val="single" w:sz="2" w:space="0" w:color="auto"/>
            </w:tcBorders>
          </w:tcPr>
          <w:p w14:paraId="246065F8" w14:textId="77777777" w:rsidR="000D0CF9" w:rsidRPr="00DE12A3" w:rsidRDefault="000D0CF9" w:rsidP="00C917D6">
            <w:pPr>
              <w:pStyle w:val="NormalLeft"/>
            </w:pPr>
            <w:r w:rsidRPr="00DE12A3">
              <w:t>Rölanti</w:t>
            </w:r>
          </w:p>
        </w:tc>
        <w:tc>
          <w:tcPr>
            <w:tcW w:w="1962" w:type="dxa"/>
            <w:tcBorders>
              <w:top w:val="single" w:sz="2" w:space="0" w:color="auto"/>
              <w:left w:val="single" w:sz="2" w:space="0" w:color="auto"/>
              <w:bottom w:val="single" w:sz="2" w:space="0" w:color="auto"/>
              <w:right w:val="single" w:sz="2" w:space="0" w:color="auto"/>
            </w:tcBorders>
          </w:tcPr>
          <w:p w14:paraId="21349085" w14:textId="77777777" w:rsidR="000D0CF9" w:rsidRPr="00DE12A3" w:rsidRDefault="000D0CF9" w:rsidP="00C917D6">
            <w:pPr>
              <w:pStyle w:val="NormalLeft"/>
            </w:pPr>
            <w:r w:rsidRPr="00DE12A3">
              <w:t>0</w:t>
            </w:r>
          </w:p>
        </w:tc>
      </w:tr>
    </w:tbl>
    <w:p w14:paraId="216F08AB" w14:textId="5FAED6E4" w:rsidR="000D0CF9" w:rsidRPr="00DE12A3" w:rsidRDefault="000D0CF9" w:rsidP="00C917D6">
      <w:pPr>
        <w:pStyle w:val="Gvdemetni21"/>
        <w:shd w:val="clear" w:color="auto" w:fill="auto"/>
        <w:spacing w:after="120" w:line="240" w:lineRule="auto"/>
        <w:ind w:left="284" w:hanging="284"/>
        <w:jc w:val="both"/>
      </w:pPr>
      <w:r w:rsidRPr="00DE12A3">
        <w:rPr>
          <w:rStyle w:val="Gvdemetni95pt0ptbolukbraklyor"/>
          <w:color w:val="auto"/>
        </w:rPr>
        <w:t>(</w:t>
      </w:r>
      <w:r w:rsidRPr="00DE12A3">
        <w:rPr>
          <w:rStyle w:val="Gvdemetni95pt0ptbolukbraklyor"/>
          <w:color w:val="auto"/>
          <w:vertAlign w:val="superscript"/>
        </w:rPr>
        <w:t>a</w:t>
      </w:r>
      <w:r w:rsidRPr="00DE12A3">
        <w:rPr>
          <w:rStyle w:val="Gvdemetni95pt0ptbolukbraklyor"/>
          <w:color w:val="auto"/>
        </w:rPr>
        <w:t>)</w:t>
      </w:r>
      <w:r w:rsidRPr="00DE12A3">
        <w:rPr>
          <w:rStyle w:val="Gvdemetni95pt0ptbolukbraklyor"/>
          <w:color w:val="auto"/>
        </w:rPr>
        <w:tab/>
      </w:r>
      <w:r w:rsidRPr="00DE12A3">
        <w:t xml:space="preserve">Gereken test devirlerinin belirlenmesi için </w:t>
      </w:r>
      <w:r w:rsidR="00FA0678" w:rsidRPr="00DE12A3">
        <w:t>VI’ncı ek</w:t>
      </w:r>
      <w:r w:rsidRPr="00DE12A3">
        <w:t xml:space="preserve">in 5.2.5, 7.6 ve 7.7 </w:t>
      </w:r>
      <w:r w:rsidR="00E1361C" w:rsidRPr="00DE12A3">
        <w:t xml:space="preserve">bentlerine </w:t>
      </w:r>
      <w:r w:rsidRPr="00DE12A3">
        <w:t>bakınız.</w:t>
      </w:r>
    </w:p>
    <w:p w14:paraId="3BAC39CD" w14:textId="77777777" w:rsidR="000D0CF9" w:rsidRPr="00DE12A3" w:rsidRDefault="000D0CF9" w:rsidP="00C917D6">
      <w:pPr>
        <w:pStyle w:val="Gvdemetni21"/>
        <w:shd w:val="clear" w:color="auto" w:fill="auto"/>
        <w:spacing w:after="120" w:line="240" w:lineRule="auto"/>
        <w:ind w:left="284" w:hanging="284"/>
        <w:jc w:val="both"/>
      </w:pPr>
      <w:r w:rsidRPr="00DE12A3">
        <w:rPr>
          <w:rStyle w:val="Gvdemetni95pt0ptbolukbraklyor"/>
          <w:color w:val="auto"/>
        </w:rPr>
        <w:t>(</w:t>
      </w:r>
      <w:r w:rsidRPr="00DE12A3">
        <w:rPr>
          <w:rStyle w:val="Gvdemetni95pt0ptbolukbraklyor"/>
          <w:color w:val="auto"/>
          <w:vertAlign w:val="superscript"/>
        </w:rPr>
        <w:t>b</w:t>
      </w:r>
      <w:r w:rsidRPr="00DE12A3">
        <w:rPr>
          <w:rStyle w:val="Gvdemetni95pt0ptbolukbraklyor"/>
          <w:color w:val="auto"/>
        </w:rPr>
        <w:t>)</w:t>
      </w:r>
      <w:r w:rsidRPr="00DE12A3">
        <w:rPr>
          <w:rStyle w:val="Gvdemetni95pt0ptbolukbraklyor"/>
          <w:color w:val="auto"/>
        </w:rPr>
        <w:tab/>
      </w:r>
      <w:r w:rsidRPr="00DE12A3">
        <w:t>% tork, komut verilen motor devrindeki azami torka bağlıdır.</w:t>
      </w:r>
    </w:p>
    <w:p w14:paraId="5932315B" w14:textId="77777777" w:rsidR="000D0CF9" w:rsidRPr="00DE12A3" w:rsidRDefault="000D0CF9" w:rsidP="00C917D6">
      <w:pPr>
        <w:pStyle w:val="Gvdemetni21"/>
        <w:shd w:val="clear" w:color="auto" w:fill="auto"/>
        <w:spacing w:after="120" w:line="240" w:lineRule="auto"/>
        <w:ind w:left="284" w:right="20" w:hanging="284"/>
        <w:jc w:val="both"/>
      </w:pPr>
      <w:r w:rsidRPr="00DE12A3">
        <w:rPr>
          <w:rStyle w:val="Gvdemetni95pt0ptbolukbraklyor"/>
          <w:color w:val="auto"/>
        </w:rPr>
        <w:t>(</w:t>
      </w:r>
      <w:r w:rsidRPr="00DE12A3">
        <w:rPr>
          <w:rStyle w:val="Gvdemetni95pt0ptbolukbraklyor"/>
          <w:color w:val="auto"/>
          <w:vertAlign w:val="superscript"/>
        </w:rPr>
        <w:t>c</w:t>
      </w:r>
      <w:r w:rsidRPr="00DE12A3">
        <w:rPr>
          <w:rStyle w:val="Gvdemetni95pt0ptbolukbraklyor"/>
          <w:color w:val="auto"/>
        </w:rPr>
        <w:t>)</w:t>
      </w:r>
      <w:r w:rsidRPr="00DE12A3">
        <w:rPr>
          <w:rStyle w:val="Gvdemetni95pt0ptbolukbraklyor"/>
          <w:color w:val="auto"/>
        </w:rPr>
        <w:tab/>
      </w:r>
      <w:r w:rsidRPr="00DE12A3">
        <w:t>Bir moddan diğerine 20 saniyelik bir geçiş aşaması içinde ilerlenir. Geçiş aşamasında, mevcut modun tork ayarından bir sonraki modun tork ayarına doğrusal bir ilerleme komutu verilir ve devir ayarında bir değişiklik olursa, aynı anda motor devri için de benzer bir doğrusal ilerleme komutu verilir.</w:t>
      </w:r>
    </w:p>
    <w:p w14:paraId="759C5FA0" w14:textId="77777777" w:rsidR="00441E80" w:rsidRPr="00DE12A3" w:rsidRDefault="00441E80" w:rsidP="00441E80">
      <w:pPr>
        <w:rPr>
          <w:b/>
          <w:color w:val="auto"/>
        </w:rPr>
      </w:pPr>
    </w:p>
    <w:p w14:paraId="0B0D68BA" w14:textId="77777777" w:rsidR="009F4766" w:rsidRPr="00DE12A3" w:rsidRDefault="00861C3B" w:rsidP="00051047">
      <w:pPr>
        <w:jc w:val="center"/>
        <w:rPr>
          <w:b/>
          <w:color w:val="auto"/>
        </w:rPr>
      </w:pPr>
      <w:r w:rsidRPr="00DE12A3">
        <w:rPr>
          <w:b/>
          <w:color w:val="auto"/>
        </w:rPr>
        <w:t xml:space="preserve">Tip H test </w:t>
      </w:r>
      <w:r w:rsidR="00F310B5" w:rsidRPr="00DE12A3">
        <w:rPr>
          <w:b/>
          <w:color w:val="auto"/>
        </w:rPr>
        <w:t>çevrim</w:t>
      </w:r>
      <w:r w:rsidRPr="00DE12A3">
        <w:rPr>
          <w:b/>
          <w:color w:val="auto"/>
        </w:rPr>
        <w:t>leri</w:t>
      </w:r>
    </w:p>
    <w:tbl>
      <w:tblPr>
        <w:tblW w:w="0" w:type="auto"/>
        <w:tblInd w:w="186" w:type="dxa"/>
        <w:tblLayout w:type="fixed"/>
        <w:tblLook w:val="0000" w:firstRow="0" w:lastRow="0" w:firstColumn="0" w:lastColumn="0" w:noHBand="0" w:noVBand="0"/>
      </w:tblPr>
      <w:tblGrid>
        <w:gridCol w:w="2318"/>
        <w:gridCol w:w="2674"/>
        <w:gridCol w:w="1961"/>
        <w:gridCol w:w="1962"/>
      </w:tblGrid>
      <w:tr w:rsidR="00DE12A3" w:rsidRPr="00DE12A3" w14:paraId="28FB37E5" w14:textId="77777777" w:rsidTr="009F4766">
        <w:tc>
          <w:tcPr>
            <w:tcW w:w="8915" w:type="dxa"/>
            <w:gridSpan w:val="4"/>
            <w:tcBorders>
              <w:top w:val="single" w:sz="2" w:space="0" w:color="auto"/>
              <w:left w:val="single" w:sz="2" w:space="0" w:color="auto"/>
              <w:bottom w:val="single" w:sz="2" w:space="0" w:color="auto"/>
              <w:right w:val="single" w:sz="2" w:space="0" w:color="auto"/>
            </w:tcBorders>
          </w:tcPr>
          <w:p w14:paraId="1C7754C1" w14:textId="77777777" w:rsidR="009F4766" w:rsidRPr="00DE12A3" w:rsidRDefault="0047668F" w:rsidP="00C917D6">
            <w:pPr>
              <w:pStyle w:val="NormalCentered"/>
            </w:pPr>
            <w:r w:rsidRPr="00DE12A3">
              <w:rPr>
                <w:iCs/>
              </w:rPr>
              <w:t>RMC-H test modları tablosu</w:t>
            </w:r>
          </w:p>
        </w:tc>
      </w:tr>
      <w:tr w:rsidR="00DE12A3" w:rsidRPr="00DE12A3" w14:paraId="67E19F71" w14:textId="77777777" w:rsidTr="009F4766">
        <w:tc>
          <w:tcPr>
            <w:tcW w:w="2318" w:type="dxa"/>
            <w:tcBorders>
              <w:top w:val="single" w:sz="2" w:space="0" w:color="auto"/>
              <w:left w:val="single" w:sz="2" w:space="0" w:color="auto"/>
              <w:bottom w:val="single" w:sz="2" w:space="0" w:color="auto"/>
              <w:right w:val="single" w:sz="2" w:space="0" w:color="auto"/>
            </w:tcBorders>
          </w:tcPr>
          <w:p w14:paraId="489C267B" w14:textId="77777777" w:rsidR="0047668F" w:rsidRPr="00DE12A3" w:rsidRDefault="0047668F" w:rsidP="00C917D6">
            <w:pPr>
              <w:spacing w:before="120" w:after="120"/>
              <w:rPr>
                <w:rFonts w:cs="Times New Roman"/>
                <w:color w:val="auto"/>
              </w:rPr>
            </w:pPr>
            <w:r w:rsidRPr="00DE12A3">
              <w:rPr>
                <w:rFonts w:cs="Times New Roman"/>
                <w:color w:val="auto"/>
              </w:rPr>
              <w:t>RMC Mod Numarası</w:t>
            </w:r>
          </w:p>
        </w:tc>
        <w:tc>
          <w:tcPr>
            <w:tcW w:w="2674" w:type="dxa"/>
            <w:tcBorders>
              <w:top w:val="single" w:sz="2" w:space="0" w:color="auto"/>
              <w:left w:val="single" w:sz="2" w:space="0" w:color="auto"/>
              <w:bottom w:val="single" w:sz="2" w:space="0" w:color="auto"/>
              <w:right w:val="single" w:sz="2" w:space="0" w:color="auto"/>
            </w:tcBorders>
          </w:tcPr>
          <w:p w14:paraId="297D11CE" w14:textId="77777777" w:rsidR="0047668F" w:rsidRPr="00DE12A3" w:rsidRDefault="0047668F" w:rsidP="00C917D6">
            <w:pPr>
              <w:spacing w:before="120" w:after="120"/>
              <w:rPr>
                <w:rFonts w:cs="Times New Roman"/>
                <w:color w:val="auto"/>
              </w:rPr>
            </w:pPr>
            <w:r w:rsidRPr="00DE12A3">
              <w:rPr>
                <w:rFonts w:cs="Times New Roman"/>
                <w:color w:val="auto"/>
              </w:rPr>
              <w:t>Mod süresi (saniye)</w:t>
            </w:r>
          </w:p>
        </w:tc>
        <w:tc>
          <w:tcPr>
            <w:tcW w:w="1961" w:type="dxa"/>
            <w:tcBorders>
              <w:top w:val="single" w:sz="2" w:space="0" w:color="auto"/>
              <w:left w:val="single" w:sz="2" w:space="0" w:color="auto"/>
              <w:bottom w:val="single" w:sz="2" w:space="0" w:color="auto"/>
              <w:right w:val="single" w:sz="2" w:space="0" w:color="auto"/>
            </w:tcBorders>
          </w:tcPr>
          <w:p w14:paraId="3E20CC80" w14:textId="77777777" w:rsidR="0047668F" w:rsidRPr="00DE12A3" w:rsidRDefault="0047668F" w:rsidP="00C917D6">
            <w:pPr>
              <w:spacing w:before="120" w:after="120"/>
              <w:rPr>
                <w:rFonts w:cs="Times New Roman"/>
                <w:color w:val="auto"/>
              </w:rPr>
            </w:pPr>
            <w:r w:rsidRPr="00DE12A3">
              <w:rPr>
                <w:rFonts w:cs="Times New Roman"/>
                <w:color w:val="auto"/>
              </w:rPr>
              <w:t xml:space="preserve">Motor devri </w:t>
            </w:r>
            <w:r w:rsidRPr="00DE12A3">
              <w:rPr>
                <w:rFonts w:cs="Times New Roman"/>
                <w:color w:val="auto"/>
                <w:vertAlign w:val="superscript"/>
              </w:rPr>
              <w:t>(a) (c)</w:t>
            </w:r>
          </w:p>
        </w:tc>
        <w:tc>
          <w:tcPr>
            <w:tcW w:w="1962" w:type="dxa"/>
            <w:tcBorders>
              <w:top w:val="single" w:sz="2" w:space="0" w:color="auto"/>
              <w:left w:val="single" w:sz="2" w:space="0" w:color="auto"/>
              <w:bottom w:val="single" w:sz="2" w:space="0" w:color="auto"/>
              <w:right w:val="single" w:sz="2" w:space="0" w:color="auto"/>
            </w:tcBorders>
          </w:tcPr>
          <w:p w14:paraId="0B521AFA" w14:textId="77777777" w:rsidR="0047668F" w:rsidRPr="00DE12A3" w:rsidRDefault="0047668F" w:rsidP="00C917D6">
            <w:pPr>
              <w:spacing w:before="120" w:after="120"/>
              <w:rPr>
                <w:rFonts w:cs="Times New Roman"/>
                <w:color w:val="auto"/>
              </w:rPr>
            </w:pPr>
            <w:r w:rsidRPr="00DE12A3">
              <w:rPr>
                <w:rFonts w:cs="Times New Roman"/>
                <w:color w:val="auto"/>
              </w:rPr>
              <w:t xml:space="preserve">Tork (%) </w:t>
            </w:r>
            <w:r w:rsidRPr="00DE12A3">
              <w:rPr>
                <w:rFonts w:cs="Times New Roman"/>
                <w:color w:val="auto"/>
                <w:vertAlign w:val="superscript"/>
              </w:rPr>
              <w:t>(b) (c)</w:t>
            </w:r>
          </w:p>
        </w:tc>
      </w:tr>
      <w:tr w:rsidR="00DE12A3" w:rsidRPr="00DE12A3" w14:paraId="20707170" w14:textId="77777777" w:rsidTr="009F4766">
        <w:tc>
          <w:tcPr>
            <w:tcW w:w="2318" w:type="dxa"/>
            <w:tcBorders>
              <w:top w:val="single" w:sz="2" w:space="0" w:color="auto"/>
              <w:left w:val="single" w:sz="2" w:space="0" w:color="auto"/>
              <w:bottom w:val="single" w:sz="2" w:space="0" w:color="auto"/>
              <w:right w:val="single" w:sz="2" w:space="0" w:color="auto"/>
            </w:tcBorders>
          </w:tcPr>
          <w:p w14:paraId="55AE9BD9" w14:textId="77777777" w:rsidR="000D0CF9" w:rsidRPr="00DE12A3" w:rsidRDefault="000D0CF9" w:rsidP="00C917D6">
            <w:pPr>
              <w:spacing w:before="120" w:after="120"/>
              <w:rPr>
                <w:rFonts w:cs="Times New Roman"/>
                <w:color w:val="auto"/>
              </w:rPr>
            </w:pPr>
            <w:r w:rsidRPr="00DE12A3">
              <w:rPr>
                <w:rFonts w:cs="Times New Roman"/>
                <w:color w:val="auto"/>
              </w:rPr>
              <w:t>1a Kararlı durum</w:t>
            </w:r>
          </w:p>
        </w:tc>
        <w:tc>
          <w:tcPr>
            <w:tcW w:w="2674" w:type="dxa"/>
            <w:tcBorders>
              <w:top w:val="single" w:sz="2" w:space="0" w:color="auto"/>
              <w:left w:val="single" w:sz="2" w:space="0" w:color="auto"/>
              <w:bottom w:val="single" w:sz="2" w:space="0" w:color="auto"/>
              <w:right w:val="single" w:sz="2" w:space="0" w:color="auto"/>
            </w:tcBorders>
          </w:tcPr>
          <w:p w14:paraId="269DBFF5" w14:textId="77777777" w:rsidR="000D0CF9" w:rsidRPr="00DE12A3" w:rsidRDefault="000D0CF9" w:rsidP="00C917D6">
            <w:pPr>
              <w:pStyle w:val="NormalLeft"/>
            </w:pPr>
            <w:r w:rsidRPr="00DE12A3">
              <w:t>27</w:t>
            </w:r>
          </w:p>
        </w:tc>
        <w:tc>
          <w:tcPr>
            <w:tcW w:w="1961" w:type="dxa"/>
            <w:tcBorders>
              <w:top w:val="single" w:sz="2" w:space="0" w:color="auto"/>
              <w:left w:val="single" w:sz="2" w:space="0" w:color="auto"/>
              <w:bottom w:val="single" w:sz="2" w:space="0" w:color="auto"/>
              <w:right w:val="single" w:sz="2" w:space="0" w:color="auto"/>
            </w:tcBorders>
          </w:tcPr>
          <w:p w14:paraId="0CD9D19B" w14:textId="77777777" w:rsidR="000D0CF9" w:rsidRPr="00DE12A3" w:rsidRDefault="000D0CF9" w:rsidP="00C917D6">
            <w:pPr>
              <w:pStyle w:val="NormalLeft"/>
            </w:pPr>
            <w:r w:rsidRPr="00DE12A3">
              <w:t>Rölanti</w:t>
            </w:r>
          </w:p>
        </w:tc>
        <w:tc>
          <w:tcPr>
            <w:tcW w:w="1962" w:type="dxa"/>
            <w:tcBorders>
              <w:top w:val="single" w:sz="2" w:space="0" w:color="auto"/>
              <w:left w:val="single" w:sz="2" w:space="0" w:color="auto"/>
              <w:bottom w:val="single" w:sz="2" w:space="0" w:color="auto"/>
              <w:right w:val="single" w:sz="2" w:space="0" w:color="auto"/>
            </w:tcBorders>
          </w:tcPr>
          <w:p w14:paraId="1B4AD23F" w14:textId="77777777" w:rsidR="000D0CF9" w:rsidRPr="00DE12A3" w:rsidRDefault="000D0CF9" w:rsidP="00C917D6">
            <w:pPr>
              <w:pStyle w:val="NormalLeft"/>
            </w:pPr>
            <w:r w:rsidRPr="00DE12A3">
              <w:t>0</w:t>
            </w:r>
          </w:p>
        </w:tc>
      </w:tr>
      <w:tr w:rsidR="00DE12A3" w:rsidRPr="00DE12A3" w14:paraId="2F152445" w14:textId="77777777" w:rsidTr="009F4766">
        <w:tc>
          <w:tcPr>
            <w:tcW w:w="2318" w:type="dxa"/>
            <w:tcBorders>
              <w:top w:val="single" w:sz="2" w:space="0" w:color="auto"/>
              <w:left w:val="single" w:sz="2" w:space="0" w:color="auto"/>
              <w:bottom w:val="single" w:sz="2" w:space="0" w:color="auto"/>
              <w:right w:val="single" w:sz="2" w:space="0" w:color="auto"/>
            </w:tcBorders>
          </w:tcPr>
          <w:p w14:paraId="14BC9228" w14:textId="77777777" w:rsidR="000D0CF9" w:rsidRPr="00DE12A3" w:rsidRDefault="000D0CF9" w:rsidP="00C917D6">
            <w:pPr>
              <w:spacing w:before="120" w:after="120"/>
              <w:rPr>
                <w:rFonts w:cs="Times New Roman"/>
                <w:color w:val="auto"/>
              </w:rPr>
            </w:pPr>
            <w:r w:rsidRPr="00DE12A3">
              <w:rPr>
                <w:rFonts w:cs="Times New Roman"/>
                <w:color w:val="auto"/>
              </w:rPr>
              <w:t>1b Geçiş</w:t>
            </w:r>
          </w:p>
        </w:tc>
        <w:tc>
          <w:tcPr>
            <w:tcW w:w="2674" w:type="dxa"/>
            <w:tcBorders>
              <w:top w:val="single" w:sz="2" w:space="0" w:color="auto"/>
              <w:left w:val="single" w:sz="2" w:space="0" w:color="auto"/>
              <w:bottom w:val="single" w:sz="2" w:space="0" w:color="auto"/>
              <w:right w:val="single" w:sz="2" w:space="0" w:color="auto"/>
            </w:tcBorders>
          </w:tcPr>
          <w:p w14:paraId="213FD26A" w14:textId="77777777" w:rsidR="000D0CF9" w:rsidRPr="00DE12A3" w:rsidRDefault="000D0CF9" w:rsidP="00C917D6">
            <w:pPr>
              <w:pStyle w:val="NormalLeft"/>
            </w:pPr>
            <w:r w:rsidRPr="00DE12A3">
              <w:t>20</w:t>
            </w:r>
          </w:p>
        </w:tc>
        <w:tc>
          <w:tcPr>
            <w:tcW w:w="1961" w:type="dxa"/>
            <w:tcBorders>
              <w:top w:val="single" w:sz="2" w:space="0" w:color="auto"/>
              <w:left w:val="single" w:sz="2" w:space="0" w:color="auto"/>
              <w:bottom w:val="single" w:sz="2" w:space="0" w:color="auto"/>
              <w:right w:val="single" w:sz="2" w:space="0" w:color="auto"/>
            </w:tcBorders>
          </w:tcPr>
          <w:p w14:paraId="2877E3BB" w14:textId="77777777" w:rsidR="000D0CF9" w:rsidRPr="00DE12A3" w:rsidRDefault="000D0CF9" w:rsidP="00C917D6">
            <w:pPr>
              <w:pStyle w:val="NormalLeft"/>
            </w:pPr>
            <w:r w:rsidRPr="00DE12A3">
              <w:t>Doğrusal Geçiş</w:t>
            </w:r>
          </w:p>
        </w:tc>
        <w:tc>
          <w:tcPr>
            <w:tcW w:w="1962" w:type="dxa"/>
            <w:tcBorders>
              <w:top w:val="single" w:sz="2" w:space="0" w:color="auto"/>
              <w:left w:val="single" w:sz="2" w:space="0" w:color="auto"/>
              <w:bottom w:val="single" w:sz="2" w:space="0" w:color="auto"/>
              <w:right w:val="single" w:sz="2" w:space="0" w:color="auto"/>
            </w:tcBorders>
          </w:tcPr>
          <w:p w14:paraId="1A6851C1" w14:textId="77777777" w:rsidR="000D0CF9" w:rsidRPr="00DE12A3" w:rsidRDefault="000D0CF9" w:rsidP="00C917D6">
            <w:pPr>
              <w:pStyle w:val="NormalLeft"/>
            </w:pPr>
            <w:r w:rsidRPr="00DE12A3">
              <w:t>Doğrusal Geçiş</w:t>
            </w:r>
          </w:p>
        </w:tc>
      </w:tr>
      <w:tr w:rsidR="00DE12A3" w:rsidRPr="00DE12A3" w14:paraId="2CF4173C" w14:textId="77777777" w:rsidTr="009F4766">
        <w:tc>
          <w:tcPr>
            <w:tcW w:w="2318" w:type="dxa"/>
            <w:tcBorders>
              <w:top w:val="single" w:sz="2" w:space="0" w:color="auto"/>
              <w:left w:val="single" w:sz="2" w:space="0" w:color="auto"/>
              <w:bottom w:val="single" w:sz="2" w:space="0" w:color="auto"/>
              <w:right w:val="single" w:sz="2" w:space="0" w:color="auto"/>
            </w:tcBorders>
          </w:tcPr>
          <w:p w14:paraId="591D25A9" w14:textId="77777777" w:rsidR="000D0CF9" w:rsidRPr="00DE12A3" w:rsidRDefault="000D0CF9" w:rsidP="00C917D6">
            <w:pPr>
              <w:spacing w:before="120" w:after="120"/>
              <w:rPr>
                <w:rFonts w:cs="Times New Roman"/>
                <w:color w:val="auto"/>
              </w:rPr>
            </w:pPr>
            <w:r w:rsidRPr="00DE12A3">
              <w:rPr>
                <w:rFonts w:cs="Times New Roman"/>
                <w:color w:val="auto"/>
              </w:rPr>
              <w:t>2a Kararlı durum</w:t>
            </w:r>
          </w:p>
        </w:tc>
        <w:tc>
          <w:tcPr>
            <w:tcW w:w="2674" w:type="dxa"/>
            <w:tcBorders>
              <w:top w:val="single" w:sz="2" w:space="0" w:color="auto"/>
              <w:left w:val="single" w:sz="2" w:space="0" w:color="auto"/>
              <w:bottom w:val="single" w:sz="2" w:space="0" w:color="auto"/>
              <w:right w:val="single" w:sz="2" w:space="0" w:color="auto"/>
            </w:tcBorders>
          </w:tcPr>
          <w:p w14:paraId="4E3A9FE2" w14:textId="77777777" w:rsidR="000D0CF9" w:rsidRPr="00DE12A3" w:rsidRDefault="000D0CF9" w:rsidP="00C917D6">
            <w:pPr>
              <w:pStyle w:val="NormalLeft"/>
            </w:pPr>
            <w:r w:rsidRPr="00DE12A3">
              <w:t>121</w:t>
            </w:r>
          </w:p>
        </w:tc>
        <w:tc>
          <w:tcPr>
            <w:tcW w:w="1961" w:type="dxa"/>
            <w:tcBorders>
              <w:top w:val="single" w:sz="2" w:space="0" w:color="auto"/>
              <w:left w:val="single" w:sz="2" w:space="0" w:color="auto"/>
              <w:bottom w:val="single" w:sz="2" w:space="0" w:color="auto"/>
              <w:right w:val="single" w:sz="2" w:space="0" w:color="auto"/>
            </w:tcBorders>
          </w:tcPr>
          <w:p w14:paraId="3A1472A0" w14:textId="77777777" w:rsidR="000D0CF9" w:rsidRPr="00DE12A3" w:rsidRDefault="000D0CF9" w:rsidP="00C917D6">
            <w:pPr>
              <w:pStyle w:val="NormalLeft"/>
            </w:pPr>
            <w:r w:rsidRPr="00DE12A3">
              <w:t>100 %</w:t>
            </w:r>
          </w:p>
        </w:tc>
        <w:tc>
          <w:tcPr>
            <w:tcW w:w="1962" w:type="dxa"/>
            <w:tcBorders>
              <w:top w:val="single" w:sz="2" w:space="0" w:color="auto"/>
              <w:left w:val="single" w:sz="2" w:space="0" w:color="auto"/>
              <w:bottom w:val="single" w:sz="2" w:space="0" w:color="auto"/>
              <w:right w:val="single" w:sz="2" w:space="0" w:color="auto"/>
            </w:tcBorders>
          </w:tcPr>
          <w:p w14:paraId="3D7E2F94" w14:textId="77777777" w:rsidR="000D0CF9" w:rsidRPr="00DE12A3" w:rsidRDefault="000D0CF9" w:rsidP="00C917D6">
            <w:pPr>
              <w:pStyle w:val="NormalLeft"/>
            </w:pPr>
            <w:r w:rsidRPr="00DE12A3">
              <w:t>100</w:t>
            </w:r>
          </w:p>
        </w:tc>
      </w:tr>
      <w:tr w:rsidR="00DE12A3" w:rsidRPr="00DE12A3" w14:paraId="7542A7B5" w14:textId="77777777" w:rsidTr="009F4766">
        <w:tc>
          <w:tcPr>
            <w:tcW w:w="2318" w:type="dxa"/>
            <w:tcBorders>
              <w:top w:val="single" w:sz="2" w:space="0" w:color="auto"/>
              <w:left w:val="single" w:sz="2" w:space="0" w:color="auto"/>
              <w:bottom w:val="single" w:sz="2" w:space="0" w:color="auto"/>
              <w:right w:val="single" w:sz="2" w:space="0" w:color="auto"/>
            </w:tcBorders>
          </w:tcPr>
          <w:p w14:paraId="2B2C23CD" w14:textId="77777777" w:rsidR="000D0CF9" w:rsidRPr="00DE12A3" w:rsidRDefault="000D0CF9" w:rsidP="00C917D6">
            <w:pPr>
              <w:spacing w:before="120" w:after="120"/>
              <w:rPr>
                <w:rFonts w:cs="Times New Roman"/>
                <w:color w:val="auto"/>
              </w:rPr>
            </w:pPr>
            <w:r w:rsidRPr="00DE12A3">
              <w:rPr>
                <w:rFonts w:cs="Times New Roman"/>
                <w:color w:val="auto"/>
              </w:rPr>
              <w:lastRenderedPageBreak/>
              <w:t>2b Geçiş</w:t>
            </w:r>
          </w:p>
        </w:tc>
        <w:tc>
          <w:tcPr>
            <w:tcW w:w="2674" w:type="dxa"/>
            <w:tcBorders>
              <w:top w:val="single" w:sz="2" w:space="0" w:color="auto"/>
              <w:left w:val="single" w:sz="2" w:space="0" w:color="auto"/>
              <w:bottom w:val="single" w:sz="2" w:space="0" w:color="auto"/>
              <w:right w:val="single" w:sz="2" w:space="0" w:color="auto"/>
            </w:tcBorders>
          </w:tcPr>
          <w:p w14:paraId="5766427E" w14:textId="77777777" w:rsidR="000D0CF9" w:rsidRPr="00DE12A3" w:rsidRDefault="000D0CF9" w:rsidP="00C917D6">
            <w:pPr>
              <w:pStyle w:val="NormalLeft"/>
            </w:pPr>
            <w:r w:rsidRPr="00DE12A3">
              <w:t>20</w:t>
            </w:r>
          </w:p>
        </w:tc>
        <w:tc>
          <w:tcPr>
            <w:tcW w:w="1961" w:type="dxa"/>
            <w:tcBorders>
              <w:top w:val="single" w:sz="2" w:space="0" w:color="auto"/>
              <w:left w:val="single" w:sz="2" w:space="0" w:color="auto"/>
              <w:bottom w:val="single" w:sz="2" w:space="0" w:color="auto"/>
              <w:right w:val="single" w:sz="2" w:space="0" w:color="auto"/>
            </w:tcBorders>
          </w:tcPr>
          <w:p w14:paraId="0911BF82" w14:textId="77777777" w:rsidR="000D0CF9" w:rsidRPr="00DE12A3" w:rsidRDefault="000D0CF9" w:rsidP="00C917D6">
            <w:pPr>
              <w:pStyle w:val="NormalLeft"/>
            </w:pPr>
            <w:r w:rsidRPr="00DE12A3">
              <w:t>Doğrusal Geçiş</w:t>
            </w:r>
          </w:p>
        </w:tc>
        <w:tc>
          <w:tcPr>
            <w:tcW w:w="1962" w:type="dxa"/>
            <w:tcBorders>
              <w:top w:val="single" w:sz="2" w:space="0" w:color="auto"/>
              <w:left w:val="single" w:sz="2" w:space="0" w:color="auto"/>
              <w:bottom w:val="single" w:sz="2" w:space="0" w:color="auto"/>
              <w:right w:val="single" w:sz="2" w:space="0" w:color="auto"/>
            </w:tcBorders>
          </w:tcPr>
          <w:p w14:paraId="08EC88A4" w14:textId="77777777" w:rsidR="000D0CF9" w:rsidRPr="00DE12A3" w:rsidRDefault="000D0CF9" w:rsidP="00C917D6">
            <w:pPr>
              <w:pStyle w:val="NormalLeft"/>
            </w:pPr>
            <w:r w:rsidRPr="00DE12A3">
              <w:t>Doğrusal Geçiş</w:t>
            </w:r>
          </w:p>
        </w:tc>
      </w:tr>
      <w:tr w:rsidR="00DE12A3" w:rsidRPr="00DE12A3" w14:paraId="3704B023" w14:textId="77777777" w:rsidTr="009F4766">
        <w:tc>
          <w:tcPr>
            <w:tcW w:w="2318" w:type="dxa"/>
            <w:tcBorders>
              <w:top w:val="single" w:sz="2" w:space="0" w:color="auto"/>
              <w:left w:val="single" w:sz="2" w:space="0" w:color="auto"/>
              <w:bottom w:val="single" w:sz="2" w:space="0" w:color="auto"/>
              <w:right w:val="single" w:sz="2" w:space="0" w:color="auto"/>
            </w:tcBorders>
          </w:tcPr>
          <w:p w14:paraId="1928CA6F" w14:textId="77777777" w:rsidR="000D0CF9" w:rsidRPr="00DE12A3" w:rsidRDefault="000D0CF9" w:rsidP="00C917D6">
            <w:pPr>
              <w:spacing w:before="120" w:after="120"/>
              <w:rPr>
                <w:rFonts w:cs="Times New Roman"/>
                <w:color w:val="auto"/>
              </w:rPr>
            </w:pPr>
            <w:r w:rsidRPr="00DE12A3">
              <w:rPr>
                <w:rFonts w:cs="Times New Roman"/>
                <w:color w:val="auto"/>
              </w:rPr>
              <w:t>3a Kararlı durum</w:t>
            </w:r>
          </w:p>
        </w:tc>
        <w:tc>
          <w:tcPr>
            <w:tcW w:w="2674" w:type="dxa"/>
            <w:tcBorders>
              <w:top w:val="single" w:sz="2" w:space="0" w:color="auto"/>
              <w:left w:val="single" w:sz="2" w:space="0" w:color="auto"/>
              <w:bottom w:val="single" w:sz="2" w:space="0" w:color="auto"/>
              <w:right w:val="single" w:sz="2" w:space="0" w:color="auto"/>
            </w:tcBorders>
          </w:tcPr>
          <w:p w14:paraId="4CEACB95" w14:textId="77777777" w:rsidR="000D0CF9" w:rsidRPr="00DE12A3" w:rsidRDefault="000D0CF9" w:rsidP="00C917D6">
            <w:pPr>
              <w:pStyle w:val="NormalLeft"/>
            </w:pPr>
            <w:r w:rsidRPr="00DE12A3">
              <w:t>347</w:t>
            </w:r>
          </w:p>
        </w:tc>
        <w:tc>
          <w:tcPr>
            <w:tcW w:w="1961" w:type="dxa"/>
            <w:tcBorders>
              <w:top w:val="single" w:sz="2" w:space="0" w:color="auto"/>
              <w:left w:val="single" w:sz="2" w:space="0" w:color="auto"/>
              <w:bottom w:val="single" w:sz="2" w:space="0" w:color="auto"/>
              <w:right w:val="single" w:sz="2" w:space="0" w:color="auto"/>
            </w:tcBorders>
          </w:tcPr>
          <w:p w14:paraId="6690E300" w14:textId="77777777" w:rsidR="000D0CF9" w:rsidRPr="00DE12A3" w:rsidRDefault="000D0CF9" w:rsidP="00C917D6">
            <w:pPr>
              <w:pStyle w:val="NormalLeft"/>
            </w:pPr>
            <w:r w:rsidRPr="00DE12A3">
              <w:t>65 %</w:t>
            </w:r>
          </w:p>
        </w:tc>
        <w:tc>
          <w:tcPr>
            <w:tcW w:w="1962" w:type="dxa"/>
            <w:tcBorders>
              <w:top w:val="single" w:sz="2" w:space="0" w:color="auto"/>
              <w:left w:val="single" w:sz="2" w:space="0" w:color="auto"/>
              <w:bottom w:val="single" w:sz="2" w:space="0" w:color="auto"/>
              <w:right w:val="single" w:sz="2" w:space="0" w:color="auto"/>
            </w:tcBorders>
          </w:tcPr>
          <w:p w14:paraId="5F6168F7" w14:textId="77777777" w:rsidR="000D0CF9" w:rsidRPr="00DE12A3" w:rsidRDefault="000D0CF9" w:rsidP="00C917D6">
            <w:pPr>
              <w:pStyle w:val="NormalLeft"/>
            </w:pPr>
            <w:r w:rsidRPr="00DE12A3">
              <w:t>19</w:t>
            </w:r>
          </w:p>
        </w:tc>
      </w:tr>
      <w:tr w:rsidR="00DE12A3" w:rsidRPr="00DE12A3" w14:paraId="31CF4EFA" w14:textId="77777777" w:rsidTr="009F4766">
        <w:tc>
          <w:tcPr>
            <w:tcW w:w="2318" w:type="dxa"/>
            <w:tcBorders>
              <w:top w:val="single" w:sz="2" w:space="0" w:color="auto"/>
              <w:left w:val="single" w:sz="2" w:space="0" w:color="auto"/>
              <w:bottom w:val="single" w:sz="2" w:space="0" w:color="auto"/>
              <w:right w:val="single" w:sz="2" w:space="0" w:color="auto"/>
            </w:tcBorders>
          </w:tcPr>
          <w:p w14:paraId="49E5F17A" w14:textId="77777777" w:rsidR="000D0CF9" w:rsidRPr="00DE12A3" w:rsidRDefault="000D0CF9" w:rsidP="00C917D6">
            <w:pPr>
              <w:spacing w:before="120" w:after="120"/>
              <w:rPr>
                <w:rFonts w:cs="Times New Roman"/>
                <w:color w:val="auto"/>
              </w:rPr>
            </w:pPr>
            <w:r w:rsidRPr="00DE12A3">
              <w:rPr>
                <w:rFonts w:cs="Times New Roman"/>
                <w:color w:val="auto"/>
              </w:rPr>
              <w:t>3b Geçiş</w:t>
            </w:r>
          </w:p>
        </w:tc>
        <w:tc>
          <w:tcPr>
            <w:tcW w:w="2674" w:type="dxa"/>
            <w:tcBorders>
              <w:top w:val="single" w:sz="2" w:space="0" w:color="auto"/>
              <w:left w:val="single" w:sz="2" w:space="0" w:color="auto"/>
              <w:bottom w:val="single" w:sz="2" w:space="0" w:color="auto"/>
              <w:right w:val="single" w:sz="2" w:space="0" w:color="auto"/>
            </w:tcBorders>
          </w:tcPr>
          <w:p w14:paraId="156DA918" w14:textId="77777777" w:rsidR="000D0CF9" w:rsidRPr="00DE12A3" w:rsidRDefault="000D0CF9" w:rsidP="00C917D6">
            <w:pPr>
              <w:pStyle w:val="NormalLeft"/>
            </w:pPr>
            <w:r w:rsidRPr="00DE12A3">
              <w:t>20</w:t>
            </w:r>
          </w:p>
        </w:tc>
        <w:tc>
          <w:tcPr>
            <w:tcW w:w="1961" w:type="dxa"/>
            <w:tcBorders>
              <w:top w:val="single" w:sz="2" w:space="0" w:color="auto"/>
              <w:left w:val="single" w:sz="2" w:space="0" w:color="auto"/>
              <w:bottom w:val="single" w:sz="2" w:space="0" w:color="auto"/>
              <w:right w:val="single" w:sz="2" w:space="0" w:color="auto"/>
            </w:tcBorders>
          </w:tcPr>
          <w:p w14:paraId="2AFCB40B" w14:textId="77777777" w:rsidR="000D0CF9" w:rsidRPr="00DE12A3" w:rsidRDefault="000D0CF9" w:rsidP="00C917D6">
            <w:pPr>
              <w:pStyle w:val="NormalLeft"/>
            </w:pPr>
            <w:r w:rsidRPr="00DE12A3">
              <w:t>Doğrusal Geçiş</w:t>
            </w:r>
          </w:p>
        </w:tc>
        <w:tc>
          <w:tcPr>
            <w:tcW w:w="1962" w:type="dxa"/>
            <w:tcBorders>
              <w:top w:val="single" w:sz="2" w:space="0" w:color="auto"/>
              <w:left w:val="single" w:sz="2" w:space="0" w:color="auto"/>
              <w:bottom w:val="single" w:sz="2" w:space="0" w:color="auto"/>
              <w:right w:val="single" w:sz="2" w:space="0" w:color="auto"/>
            </w:tcBorders>
          </w:tcPr>
          <w:p w14:paraId="3B93D7EC" w14:textId="77777777" w:rsidR="000D0CF9" w:rsidRPr="00DE12A3" w:rsidRDefault="000D0CF9" w:rsidP="00C917D6">
            <w:pPr>
              <w:pStyle w:val="NormalLeft"/>
            </w:pPr>
            <w:r w:rsidRPr="00DE12A3">
              <w:t>Doğrusal Geçiş</w:t>
            </w:r>
          </w:p>
        </w:tc>
      </w:tr>
      <w:tr w:rsidR="00DE12A3" w:rsidRPr="00DE12A3" w14:paraId="08F3397B" w14:textId="77777777" w:rsidTr="009F4766">
        <w:tc>
          <w:tcPr>
            <w:tcW w:w="2318" w:type="dxa"/>
            <w:tcBorders>
              <w:top w:val="single" w:sz="2" w:space="0" w:color="auto"/>
              <w:left w:val="single" w:sz="2" w:space="0" w:color="auto"/>
              <w:bottom w:val="single" w:sz="2" w:space="0" w:color="auto"/>
              <w:right w:val="single" w:sz="2" w:space="0" w:color="auto"/>
            </w:tcBorders>
          </w:tcPr>
          <w:p w14:paraId="7915A947" w14:textId="77777777" w:rsidR="000D0CF9" w:rsidRPr="00DE12A3" w:rsidRDefault="000D0CF9" w:rsidP="00C917D6">
            <w:pPr>
              <w:spacing w:before="120" w:after="120"/>
              <w:rPr>
                <w:rFonts w:cs="Times New Roman"/>
                <w:color w:val="auto"/>
              </w:rPr>
            </w:pPr>
            <w:r w:rsidRPr="00DE12A3">
              <w:rPr>
                <w:rFonts w:cs="Times New Roman"/>
                <w:color w:val="auto"/>
              </w:rPr>
              <w:t>4a Kararlı durum</w:t>
            </w:r>
          </w:p>
        </w:tc>
        <w:tc>
          <w:tcPr>
            <w:tcW w:w="2674" w:type="dxa"/>
            <w:tcBorders>
              <w:top w:val="single" w:sz="2" w:space="0" w:color="auto"/>
              <w:left w:val="single" w:sz="2" w:space="0" w:color="auto"/>
              <w:bottom w:val="single" w:sz="2" w:space="0" w:color="auto"/>
              <w:right w:val="single" w:sz="2" w:space="0" w:color="auto"/>
            </w:tcBorders>
          </w:tcPr>
          <w:p w14:paraId="4F0C0E8A" w14:textId="77777777" w:rsidR="000D0CF9" w:rsidRPr="00DE12A3" w:rsidRDefault="000D0CF9" w:rsidP="00C917D6">
            <w:pPr>
              <w:pStyle w:val="NormalLeft"/>
            </w:pPr>
            <w:r w:rsidRPr="00DE12A3">
              <w:t>305</w:t>
            </w:r>
          </w:p>
        </w:tc>
        <w:tc>
          <w:tcPr>
            <w:tcW w:w="1961" w:type="dxa"/>
            <w:tcBorders>
              <w:top w:val="single" w:sz="2" w:space="0" w:color="auto"/>
              <w:left w:val="single" w:sz="2" w:space="0" w:color="auto"/>
              <w:bottom w:val="single" w:sz="2" w:space="0" w:color="auto"/>
              <w:right w:val="single" w:sz="2" w:space="0" w:color="auto"/>
            </w:tcBorders>
          </w:tcPr>
          <w:p w14:paraId="1C96A6D1" w14:textId="77777777" w:rsidR="000D0CF9" w:rsidRPr="00DE12A3" w:rsidRDefault="000D0CF9" w:rsidP="00C917D6">
            <w:pPr>
              <w:pStyle w:val="NormalLeft"/>
            </w:pPr>
            <w:r w:rsidRPr="00DE12A3">
              <w:t>85 %</w:t>
            </w:r>
          </w:p>
        </w:tc>
        <w:tc>
          <w:tcPr>
            <w:tcW w:w="1962" w:type="dxa"/>
            <w:tcBorders>
              <w:top w:val="single" w:sz="2" w:space="0" w:color="auto"/>
              <w:left w:val="single" w:sz="2" w:space="0" w:color="auto"/>
              <w:bottom w:val="single" w:sz="2" w:space="0" w:color="auto"/>
              <w:right w:val="single" w:sz="2" w:space="0" w:color="auto"/>
            </w:tcBorders>
          </w:tcPr>
          <w:p w14:paraId="5A8A5BDE" w14:textId="77777777" w:rsidR="000D0CF9" w:rsidRPr="00DE12A3" w:rsidRDefault="000D0CF9" w:rsidP="00C917D6">
            <w:pPr>
              <w:pStyle w:val="NormalLeft"/>
            </w:pPr>
            <w:r w:rsidRPr="00DE12A3">
              <w:t>51</w:t>
            </w:r>
          </w:p>
        </w:tc>
      </w:tr>
      <w:tr w:rsidR="00DE12A3" w:rsidRPr="00DE12A3" w14:paraId="120B18A7" w14:textId="77777777" w:rsidTr="009F4766">
        <w:tc>
          <w:tcPr>
            <w:tcW w:w="2318" w:type="dxa"/>
            <w:tcBorders>
              <w:top w:val="single" w:sz="2" w:space="0" w:color="auto"/>
              <w:left w:val="single" w:sz="2" w:space="0" w:color="auto"/>
              <w:bottom w:val="single" w:sz="2" w:space="0" w:color="auto"/>
              <w:right w:val="single" w:sz="2" w:space="0" w:color="auto"/>
            </w:tcBorders>
          </w:tcPr>
          <w:p w14:paraId="75F0D163" w14:textId="77777777" w:rsidR="000D0CF9" w:rsidRPr="00DE12A3" w:rsidRDefault="000D0CF9" w:rsidP="00C917D6">
            <w:pPr>
              <w:spacing w:before="120" w:after="120"/>
              <w:rPr>
                <w:rFonts w:cs="Times New Roman"/>
                <w:color w:val="auto"/>
              </w:rPr>
            </w:pPr>
            <w:r w:rsidRPr="00DE12A3">
              <w:rPr>
                <w:rFonts w:cs="Times New Roman"/>
                <w:color w:val="auto"/>
              </w:rPr>
              <w:t>4b Geçiş</w:t>
            </w:r>
          </w:p>
        </w:tc>
        <w:tc>
          <w:tcPr>
            <w:tcW w:w="2674" w:type="dxa"/>
            <w:tcBorders>
              <w:top w:val="single" w:sz="2" w:space="0" w:color="auto"/>
              <w:left w:val="single" w:sz="2" w:space="0" w:color="auto"/>
              <w:bottom w:val="single" w:sz="2" w:space="0" w:color="auto"/>
              <w:right w:val="single" w:sz="2" w:space="0" w:color="auto"/>
            </w:tcBorders>
          </w:tcPr>
          <w:p w14:paraId="329DBB87" w14:textId="77777777" w:rsidR="000D0CF9" w:rsidRPr="00DE12A3" w:rsidRDefault="000D0CF9" w:rsidP="00C917D6">
            <w:pPr>
              <w:pStyle w:val="NormalLeft"/>
            </w:pPr>
            <w:r w:rsidRPr="00DE12A3">
              <w:t>20</w:t>
            </w:r>
          </w:p>
        </w:tc>
        <w:tc>
          <w:tcPr>
            <w:tcW w:w="1961" w:type="dxa"/>
            <w:tcBorders>
              <w:top w:val="single" w:sz="2" w:space="0" w:color="auto"/>
              <w:left w:val="single" w:sz="2" w:space="0" w:color="auto"/>
              <w:bottom w:val="single" w:sz="2" w:space="0" w:color="auto"/>
              <w:right w:val="single" w:sz="2" w:space="0" w:color="auto"/>
            </w:tcBorders>
          </w:tcPr>
          <w:p w14:paraId="682FE78F" w14:textId="77777777" w:rsidR="000D0CF9" w:rsidRPr="00DE12A3" w:rsidRDefault="000D0CF9" w:rsidP="00C917D6">
            <w:pPr>
              <w:pStyle w:val="NormalLeft"/>
            </w:pPr>
            <w:r w:rsidRPr="00DE12A3">
              <w:t>Doğrusal Geçiş</w:t>
            </w:r>
          </w:p>
        </w:tc>
        <w:tc>
          <w:tcPr>
            <w:tcW w:w="1962" w:type="dxa"/>
            <w:tcBorders>
              <w:top w:val="single" w:sz="2" w:space="0" w:color="auto"/>
              <w:left w:val="single" w:sz="2" w:space="0" w:color="auto"/>
              <w:bottom w:val="single" w:sz="2" w:space="0" w:color="auto"/>
              <w:right w:val="single" w:sz="2" w:space="0" w:color="auto"/>
            </w:tcBorders>
          </w:tcPr>
          <w:p w14:paraId="10D337A9" w14:textId="77777777" w:rsidR="000D0CF9" w:rsidRPr="00DE12A3" w:rsidRDefault="000D0CF9" w:rsidP="00C917D6">
            <w:pPr>
              <w:pStyle w:val="NormalLeft"/>
            </w:pPr>
            <w:r w:rsidRPr="00DE12A3">
              <w:t>Doğrusal Geçiş</w:t>
            </w:r>
          </w:p>
        </w:tc>
      </w:tr>
      <w:tr w:rsidR="00DE12A3" w:rsidRPr="00DE12A3" w14:paraId="04EDE804" w14:textId="77777777" w:rsidTr="009F4766">
        <w:tc>
          <w:tcPr>
            <w:tcW w:w="2318" w:type="dxa"/>
            <w:tcBorders>
              <w:top w:val="single" w:sz="2" w:space="0" w:color="auto"/>
              <w:left w:val="single" w:sz="2" w:space="0" w:color="auto"/>
              <w:bottom w:val="single" w:sz="2" w:space="0" w:color="auto"/>
              <w:right w:val="single" w:sz="2" w:space="0" w:color="auto"/>
            </w:tcBorders>
          </w:tcPr>
          <w:p w14:paraId="4EBD725E" w14:textId="77777777" w:rsidR="000D0CF9" w:rsidRPr="00DE12A3" w:rsidRDefault="000D0CF9" w:rsidP="00C917D6">
            <w:pPr>
              <w:spacing w:before="120" w:after="120"/>
              <w:rPr>
                <w:rFonts w:cs="Times New Roman"/>
                <w:color w:val="auto"/>
              </w:rPr>
            </w:pPr>
            <w:r w:rsidRPr="00DE12A3">
              <w:rPr>
                <w:rFonts w:cs="Times New Roman"/>
                <w:color w:val="auto"/>
              </w:rPr>
              <w:t>5a Kararlı durum</w:t>
            </w:r>
          </w:p>
        </w:tc>
        <w:tc>
          <w:tcPr>
            <w:tcW w:w="2674" w:type="dxa"/>
            <w:tcBorders>
              <w:top w:val="single" w:sz="2" w:space="0" w:color="auto"/>
              <w:left w:val="single" w:sz="2" w:space="0" w:color="auto"/>
              <w:bottom w:val="single" w:sz="2" w:space="0" w:color="auto"/>
              <w:right w:val="single" w:sz="2" w:space="0" w:color="auto"/>
            </w:tcBorders>
          </w:tcPr>
          <w:p w14:paraId="54D966B9" w14:textId="77777777" w:rsidR="000D0CF9" w:rsidRPr="00DE12A3" w:rsidRDefault="000D0CF9" w:rsidP="00C917D6">
            <w:pPr>
              <w:pStyle w:val="NormalLeft"/>
            </w:pPr>
            <w:r w:rsidRPr="00DE12A3">
              <w:t>272</w:t>
            </w:r>
          </w:p>
        </w:tc>
        <w:tc>
          <w:tcPr>
            <w:tcW w:w="1961" w:type="dxa"/>
            <w:tcBorders>
              <w:top w:val="single" w:sz="2" w:space="0" w:color="auto"/>
              <w:left w:val="single" w:sz="2" w:space="0" w:color="auto"/>
              <w:bottom w:val="single" w:sz="2" w:space="0" w:color="auto"/>
              <w:right w:val="single" w:sz="2" w:space="0" w:color="auto"/>
            </w:tcBorders>
          </w:tcPr>
          <w:p w14:paraId="3346BA99" w14:textId="77777777" w:rsidR="000D0CF9" w:rsidRPr="00DE12A3" w:rsidRDefault="000D0CF9" w:rsidP="00C917D6">
            <w:pPr>
              <w:pStyle w:val="NormalLeft"/>
            </w:pPr>
            <w:r w:rsidRPr="00DE12A3">
              <w:t>75 %</w:t>
            </w:r>
          </w:p>
        </w:tc>
        <w:tc>
          <w:tcPr>
            <w:tcW w:w="1962" w:type="dxa"/>
            <w:tcBorders>
              <w:top w:val="single" w:sz="2" w:space="0" w:color="auto"/>
              <w:left w:val="single" w:sz="2" w:space="0" w:color="auto"/>
              <w:bottom w:val="single" w:sz="2" w:space="0" w:color="auto"/>
              <w:right w:val="single" w:sz="2" w:space="0" w:color="auto"/>
            </w:tcBorders>
          </w:tcPr>
          <w:p w14:paraId="3B714EEF" w14:textId="77777777" w:rsidR="000D0CF9" w:rsidRPr="00DE12A3" w:rsidRDefault="000D0CF9" w:rsidP="00C917D6">
            <w:pPr>
              <w:pStyle w:val="NormalLeft"/>
            </w:pPr>
            <w:r w:rsidRPr="00DE12A3">
              <w:t>33</w:t>
            </w:r>
          </w:p>
        </w:tc>
      </w:tr>
      <w:tr w:rsidR="00DE12A3" w:rsidRPr="00DE12A3" w14:paraId="484F6E2B" w14:textId="77777777" w:rsidTr="009F4766">
        <w:tc>
          <w:tcPr>
            <w:tcW w:w="2318" w:type="dxa"/>
            <w:tcBorders>
              <w:top w:val="single" w:sz="2" w:space="0" w:color="auto"/>
              <w:left w:val="single" w:sz="2" w:space="0" w:color="auto"/>
              <w:bottom w:val="single" w:sz="2" w:space="0" w:color="auto"/>
              <w:right w:val="single" w:sz="2" w:space="0" w:color="auto"/>
            </w:tcBorders>
          </w:tcPr>
          <w:p w14:paraId="35EA95FB" w14:textId="77777777" w:rsidR="000D0CF9" w:rsidRPr="00DE12A3" w:rsidRDefault="000D0CF9" w:rsidP="00C917D6">
            <w:pPr>
              <w:spacing w:before="120" w:after="120"/>
              <w:rPr>
                <w:rFonts w:cs="Times New Roman"/>
                <w:color w:val="auto"/>
              </w:rPr>
            </w:pPr>
            <w:r w:rsidRPr="00DE12A3">
              <w:rPr>
                <w:rFonts w:cs="Times New Roman"/>
                <w:color w:val="auto"/>
              </w:rPr>
              <w:t>5b Geçiş</w:t>
            </w:r>
          </w:p>
        </w:tc>
        <w:tc>
          <w:tcPr>
            <w:tcW w:w="2674" w:type="dxa"/>
            <w:tcBorders>
              <w:top w:val="single" w:sz="2" w:space="0" w:color="auto"/>
              <w:left w:val="single" w:sz="2" w:space="0" w:color="auto"/>
              <w:bottom w:val="single" w:sz="2" w:space="0" w:color="auto"/>
              <w:right w:val="single" w:sz="2" w:space="0" w:color="auto"/>
            </w:tcBorders>
          </w:tcPr>
          <w:p w14:paraId="03887E54" w14:textId="77777777" w:rsidR="000D0CF9" w:rsidRPr="00DE12A3" w:rsidRDefault="000D0CF9" w:rsidP="00C917D6">
            <w:pPr>
              <w:pStyle w:val="NormalLeft"/>
            </w:pPr>
            <w:r w:rsidRPr="00DE12A3">
              <w:t>20</w:t>
            </w:r>
          </w:p>
        </w:tc>
        <w:tc>
          <w:tcPr>
            <w:tcW w:w="1961" w:type="dxa"/>
            <w:tcBorders>
              <w:top w:val="single" w:sz="2" w:space="0" w:color="auto"/>
              <w:left w:val="single" w:sz="2" w:space="0" w:color="auto"/>
              <w:bottom w:val="single" w:sz="2" w:space="0" w:color="auto"/>
              <w:right w:val="single" w:sz="2" w:space="0" w:color="auto"/>
            </w:tcBorders>
          </w:tcPr>
          <w:p w14:paraId="2662FC36" w14:textId="77777777" w:rsidR="000D0CF9" w:rsidRPr="00DE12A3" w:rsidRDefault="000D0CF9" w:rsidP="00C917D6">
            <w:pPr>
              <w:pStyle w:val="NormalLeft"/>
            </w:pPr>
            <w:r w:rsidRPr="00DE12A3">
              <w:t>Doğrusal Geçiş</w:t>
            </w:r>
          </w:p>
        </w:tc>
        <w:tc>
          <w:tcPr>
            <w:tcW w:w="1962" w:type="dxa"/>
            <w:tcBorders>
              <w:top w:val="single" w:sz="2" w:space="0" w:color="auto"/>
              <w:left w:val="single" w:sz="2" w:space="0" w:color="auto"/>
              <w:bottom w:val="single" w:sz="2" w:space="0" w:color="auto"/>
              <w:right w:val="single" w:sz="2" w:space="0" w:color="auto"/>
            </w:tcBorders>
          </w:tcPr>
          <w:p w14:paraId="3E727716" w14:textId="77777777" w:rsidR="000D0CF9" w:rsidRPr="00DE12A3" w:rsidRDefault="000D0CF9" w:rsidP="00C917D6">
            <w:pPr>
              <w:pStyle w:val="NormalLeft"/>
            </w:pPr>
            <w:r w:rsidRPr="00DE12A3">
              <w:t>Doğrusal Geçiş</w:t>
            </w:r>
          </w:p>
        </w:tc>
      </w:tr>
      <w:tr w:rsidR="00DE12A3" w:rsidRPr="00DE12A3" w14:paraId="56D58B8B" w14:textId="77777777" w:rsidTr="009F4766">
        <w:tc>
          <w:tcPr>
            <w:tcW w:w="2318" w:type="dxa"/>
            <w:tcBorders>
              <w:top w:val="single" w:sz="2" w:space="0" w:color="auto"/>
              <w:left w:val="single" w:sz="2" w:space="0" w:color="auto"/>
              <w:bottom w:val="single" w:sz="2" w:space="0" w:color="auto"/>
              <w:right w:val="single" w:sz="2" w:space="0" w:color="auto"/>
            </w:tcBorders>
          </w:tcPr>
          <w:p w14:paraId="2A424608" w14:textId="77777777" w:rsidR="000D0CF9" w:rsidRPr="00DE12A3" w:rsidRDefault="000D0CF9" w:rsidP="00C917D6">
            <w:pPr>
              <w:spacing w:before="120" w:after="120"/>
              <w:rPr>
                <w:rFonts w:cs="Times New Roman"/>
                <w:color w:val="auto"/>
              </w:rPr>
            </w:pPr>
            <w:r w:rsidRPr="00DE12A3">
              <w:rPr>
                <w:rFonts w:cs="Times New Roman"/>
                <w:color w:val="auto"/>
              </w:rPr>
              <w:t>6 Kararlı durum</w:t>
            </w:r>
          </w:p>
        </w:tc>
        <w:tc>
          <w:tcPr>
            <w:tcW w:w="2674" w:type="dxa"/>
            <w:tcBorders>
              <w:top w:val="single" w:sz="2" w:space="0" w:color="auto"/>
              <w:left w:val="single" w:sz="2" w:space="0" w:color="auto"/>
              <w:bottom w:val="single" w:sz="2" w:space="0" w:color="auto"/>
              <w:right w:val="single" w:sz="2" w:space="0" w:color="auto"/>
            </w:tcBorders>
          </w:tcPr>
          <w:p w14:paraId="4B8575A6" w14:textId="77777777" w:rsidR="000D0CF9" w:rsidRPr="00DE12A3" w:rsidRDefault="000D0CF9" w:rsidP="00C917D6">
            <w:pPr>
              <w:pStyle w:val="NormalLeft"/>
            </w:pPr>
            <w:r w:rsidRPr="00DE12A3">
              <w:t>28</w:t>
            </w:r>
          </w:p>
        </w:tc>
        <w:tc>
          <w:tcPr>
            <w:tcW w:w="1961" w:type="dxa"/>
            <w:tcBorders>
              <w:top w:val="single" w:sz="2" w:space="0" w:color="auto"/>
              <w:left w:val="single" w:sz="2" w:space="0" w:color="auto"/>
              <w:bottom w:val="single" w:sz="2" w:space="0" w:color="auto"/>
              <w:right w:val="single" w:sz="2" w:space="0" w:color="auto"/>
            </w:tcBorders>
          </w:tcPr>
          <w:p w14:paraId="59FF4BDA" w14:textId="77777777" w:rsidR="000D0CF9" w:rsidRPr="00DE12A3" w:rsidRDefault="000D0CF9" w:rsidP="00C917D6">
            <w:pPr>
              <w:pStyle w:val="NormalLeft"/>
            </w:pPr>
            <w:r w:rsidRPr="00DE12A3">
              <w:t>Rölanti</w:t>
            </w:r>
          </w:p>
        </w:tc>
        <w:tc>
          <w:tcPr>
            <w:tcW w:w="1962" w:type="dxa"/>
            <w:tcBorders>
              <w:top w:val="single" w:sz="2" w:space="0" w:color="auto"/>
              <w:left w:val="single" w:sz="2" w:space="0" w:color="auto"/>
              <w:bottom w:val="single" w:sz="2" w:space="0" w:color="auto"/>
              <w:right w:val="single" w:sz="2" w:space="0" w:color="auto"/>
            </w:tcBorders>
          </w:tcPr>
          <w:p w14:paraId="320DCF46" w14:textId="77777777" w:rsidR="000D0CF9" w:rsidRPr="00DE12A3" w:rsidRDefault="000D0CF9" w:rsidP="00C917D6">
            <w:pPr>
              <w:pStyle w:val="NormalLeft"/>
            </w:pPr>
            <w:r w:rsidRPr="00DE12A3">
              <w:t>0</w:t>
            </w:r>
          </w:p>
        </w:tc>
      </w:tr>
    </w:tbl>
    <w:p w14:paraId="5957288A" w14:textId="5430CAA1" w:rsidR="000D0CF9" w:rsidRPr="00DE12A3" w:rsidRDefault="000D0CF9" w:rsidP="00C917D6">
      <w:pPr>
        <w:pStyle w:val="Gvdemetni21"/>
        <w:shd w:val="clear" w:color="auto" w:fill="auto"/>
        <w:spacing w:after="120" w:line="240" w:lineRule="auto"/>
        <w:ind w:left="284" w:hanging="284"/>
        <w:jc w:val="both"/>
      </w:pPr>
      <w:r w:rsidRPr="00DE12A3">
        <w:rPr>
          <w:rStyle w:val="Gvdemetni95pt0ptbolukbraklyor"/>
          <w:color w:val="auto"/>
        </w:rPr>
        <w:t>(</w:t>
      </w:r>
      <w:r w:rsidRPr="00DE12A3">
        <w:rPr>
          <w:rStyle w:val="Gvdemetni95pt0ptbolukbraklyor"/>
          <w:color w:val="auto"/>
          <w:vertAlign w:val="superscript"/>
        </w:rPr>
        <w:t>a</w:t>
      </w:r>
      <w:r w:rsidRPr="00DE12A3">
        <w:rPr>
          <w:rStyle w:val="Gvdemetni95pt0ptbolukbraklyor"/>
          <w:color w:val="auto"/>
        </w:rPr>
        <w:t>)</w:t>
      </w:r>
      <w:r w:rsidRPr="00DE12A3">
        <w:rPr>
          <w:rStyle w:val="Gvdemetni95pt0ptbolukbraklyor"/>
          <w:color w:val="auto"/>
        </w:rPr>
        <w:tab/>
      </w:r>
      <w:r w:rsidRPr="00DE12A3">
        <w:t xml:space="preserve">Gereken test devirlerinin belirlenmesi için </w:t>
      </w:r>
      <w:r w:rsidR="00FA0678" w:rsidRPr="00DE12A3">
        <w:t>VI’ncı ek</w:t>
      </w:r>
      <w:r w:rsidRPr="00DE12A3">
        <w:t xml:space="preserve">in 5.2.5, 7.6 ve 7.7 </w:t>
      </w:r>
      <w:r w:rsidR="00E1361C" w:rsidRPr="00DE12A3">
        <w:t xml:space="preserve">bentlerine </w:t>
      </w:r>
      <w:r w:rsidRPr="00DE12A3">
        <w:t>bakınız.</w:t>
      </w:r>
    </w:p>
    <w:p w14:paraId="7FBB1630" w14:textId="77777777" w:rsidR="000D0CF9" w:rsidRPr="00DE12A3" w:rsidRDefault="000D0CF9" w:rsidP="00C917D6">
      <w:pPr>
        <w:pStyle w:val="Gvdemetni21"/>
        <w:shd w:val="clear" w:color="auto" w:fill="auto"/>
        <w:spacing w:after="120" w:line="240" w:lineRule="auto"/>
        <w:ind w:left="284" w:hanging="284"/>
        <w:jc w:val="both"/>
      </w:pPr>
      <w:r w:rsidRPr="00DE12A3">
        <w:rPr>
          <w:rStyle w:val="Gvdemetni95pt0ptbolukbraklyor"/>
          <w:color w:val="auto"/>
        </w:rPr>
        <w:t>(</w:t>
      </w:r>
      <w:r w:rsidRPr="00DE12A3">
        <w:rPr>
          <w:rStyle w:val="Gvdemetni95pt0ptbolukbraklyor"/>
          <w:color w:val="auto"/>
          <w:vertAlign w:val="superscript"/>
        </w:rPr>
        <w:t>b</w:t>
      </w:r>
      <w:r w:rsidRPr="00DE12A3">
        <w:rPr>
          <w:rStyle w:val="Gvdemetni95pt0ptbolukbraklyor"/>
          <w:color w:val="auto"/>
        </w:rPr>
        <w:t>)</w:t>
      </w:r>
      <w:r w:rsidRPr="00DE12A3">
        <w:rPr>
          <w:rStyle w:val="Gvdemetni95pt0ptbolukbraklyor"/>
          <w:color w:val="auto"/>
        </w:rPr>
        <w:tab/>
      </w:r>
      <w:r w:rsidRPr="00DE12A3">
        <w:t>% tork, komut verilen motor devrindeki azami torka bağlıdır.</w:t>
      </w:r>
    </w:p>
    <w:p w14:paraId="474F2A65" w14:textId="77777777" w:rsidR="000D0CF9" w:rsidRPr="00DE12A3" w:rsidRDefault="000D0CF9" w:rsidP="00C917D6">
      <w:pPr>
        <w:pStyle w:val="Gvdemetni21"/>
        <w:shd w:val="clear" w:color="auto" w:fill="auto"/>
        <w:spacing w:after="120" w:line="240" w:lineRule="auto"/>
        <w:ind w:left="284" w:right="20" w:hanging="284"/>
        <w:jc w:val="both"/>
      </w:pPr>
      <w:r w:rsidRPr="00DE12A3">
        <w:rPr>
          <w:rStyle w:val="Gvdemetni95pt0ptbolukbraklyor"/>
          <w:color w:val="auto"/>
        </w:rPr>
        <w:t>(</w:t>
      </w:r>
      <w:r w:rsidRPr="00DE12A3">
        <w:rPr>
          <w:rStyle w:val="Gvdemetni95pt0ptbolukbraklyor"/>
          <w:color w:val="auto"/>
          <w:vertAlign w:val="superscript"/>
        </w:rPr>
        <w:t>c</w:t>
      </w:r>
      <w:r w:rsidRPr="00DE12A3">
        <w:rPr>
          <w:rStyle w:val="Gvdemetni95pt0ptbolukbraklyor"/>
          <w:color w:val="auto"/>
        </w:rPr>
        <w:t>)</w:t>
      </w:r>
      <w:r w:rsidRPr="00DE12A3">
        <w:rPr>
          <w:rStyle w:val="Gvdemetni95pt0ptbolukbraklyor"/>
          <w:color w:val="auto"/>
        </w:rPr>
        <w:tab/>
      </w:r>
      <w:r w:rsidRPr="00DE12A3">
        <w:t>Bir moddan diğerine 20 saniyelik bir geçiş aşaması içinde ilerlenir. Geçiş aşamasında, mevcut modun tork ayarından bir sonraki modun tork ayarına doğrusal bir ilerleme komutu verilir ve devir ayarında bir değişiklik olursa, aynı anda motor devri için de benzer bir doğrusal ilerleme komutu verilir.</w:t>
      </w:r>
    </w:p>
    <w:p w14:paraId="431A4161" w14:textId="77777777" w:rsidR="009F4766" w:rsidRPr="00DE12A3" w:rsidRDefault="009F4766" w:rsidP="00C917D6">
      <w:pPr>
        <w:adjustRightInd w:val="0"/>
        <w:spacing w:before="120" w:after="120"/>
        <w:rPr>
          <w:rFonts w:cs="Times New Roman"/>
          <w:color w:val="auto"/>
        </w:rPr>
      </w:pPr>
    </w:p>
    <w:p w14:paraId="614AF429" w14:textId="77777777" w:rsidR="00441E80" w:rsidRPr="00DE12A3" w:rsidRDefault="00441E80">
      <w:pPr>
        <w:widowControl/>
        <w:rPr>
          <w:rFonts w:cs="Times New Roman"/>
          <w:color w:val="auto"/>
        </w:rPr>
      </w:pPr>
      <w:r w:rsidRPr="00DE12A3">
        <w:rPr>
          <w:rFonts w:cs="Times New Roman"/>
          <w:color w:val="auto"/>
        </w:rPr>
        <w:br w:type="page"/>
      </w:r>
    </w:p>
    <w:p w14:paraId="1385C581" w14:textId="77777777" w:rsidR="00CD4C1E" w:rsidRPr="00DE12A3" w:rsidRDefault="00CD4C1E" w:rsidP="00F71ECF">
      <w:pPr>
        <w:pStyle w:val="Balk2"/>
        <w:rPr>
          <w:color w:val="auto"/>
        </w:rPr>
      </w:pPr>
      <w:r w:rsidRPr="00DE12A3">
        <w:rPr>
          <w:color w:val="auto"/>
        </w:rPr>
        <w:lastRenderedPageBreak/>
        <w:t>3. Açıklayıcı Ek</w:t>
      </w:r>
    </w:p>
    <w:p w14:paraId="0DF69BF7" w14:textId="77777777" w:rsidR="00CD4C1E" w:rsidRPr="00DE12A3" w:rsidRDefault="00CD4C1E" w:rsidP="00C917D6">
      <w:pPr>
        <w:pStyle w:val="Annexetitreacte"/>
        <w:rPr>
          <w:u w:val="none"/>
        </w:rPr>
      </w:pPr>
      <w:r w:rsidRPr="00DE12A3">
        <w:rPr>
          <w:u w:val="none"/>
        </w:rPr>
        <w:t>2.4.2.1</w:t>
      </w:r>
      <w:r w:rsidR="00DF3BEF" w:rsidRPr="00DE12A3">
        <w:rPr>
          <w:u w:val="none"/>
        </w:rPr>
        <w:tab/>
        <w:t xml:space="preserve"> Süreksiz</w:t>
      </w:r>
      <w:r w:rsidR="00951351" w:rsidRPr="00DE12A3">
        <w:rPr>
          <w:u w:val="none"/>
        </w:rPr>
        <w:t xml:space="preserve"> </w:t>
      </w:r>
      <w:r w:rsidRPr="00DE12A3">
        <w:rPr>
          <w:u w:val="none"/>
        </w:rPr>
        <w:t xml:space="preserve">(NRTC ve LSI-NRTC) test </w:t>
      </w:r>
      <w:r w:rsidR="00F310B5" w:rsidRPr="00DE12A3">
        <w:rPr>
          <w:u w:val="none"/>
        </w:rPr>
        <w:t>çevrim</w:t>
      </w:r>
      <w:r w:rsidRPr="00DE12A3">
        <w:rPr>
          <w:u w:val="none"/>
        </w:rPr>
        <w:t>leri</w:t>
      </w:r>
    </w:p>
    <w:p w14:paraId="48CA0BC0" w14:textId="77777777" w:rsidR="00CD4C1E" w:rsidRPr="00DE12A3" w:rsidRDefault="00CD4C1E" w:rsidP="00C917D6">
      <w:pPr>
        <w:pStyle w:val="Annexetitreacte"/>
        <w:rPr>
          <w:u w:val="none"/>
        </w:rPr>
      </w:pPr>
    </w:p>
    <w:p w14:paraId="0A31A75C" w14:textId="77777777" w:rsidR="00CD4C1E" w:rsidRPr="00DE12A3" w:rsidRDefault="00CD4C1E" w:rsidP="00441E80">
      <w:pPr>
        <w:pStyle w:val="Annexetitreacte"/>
        <w:rPr>
          <w:u w:val="none"/>
        </w:rPr>
      </w:pPr>
      <w:r w:rsidRPr="00DE12A3">
        <w:rPr>
          <w:u w:val="none"/>
        </w:rPr>
        <w:t>NRTC motor dinamometresi programı</w:t>
      </w:r>
    </w:p>
    <w:p w14:paraId="2DEE2966" w14:textId="77777777" w:rsidR="009F4766" w:rsidRPr="00DE12A3" w:rsidRDefault="009F4766" w:rsidP="00051047">
      <w:pPr>
        <w:rPr>
          <w:color w:val="auto"/>
        </w:rPr>
      </w:pPr>
    </w:p>
    <w:tbl>
      <w:tblPr>
        <w:tblW w:w="0" w:type="auto"/>
        <w:tblInd w:w="1532" w:type="dxa"/>
        <w:tblLayout w:type="fixed"/>
        <w:tblLook w:val="0000" w:firstRow="0" w:lastRow="0" w:firstColumn="0" w:lastColumn="0" w:noHBand="0" w:noVBand="0"/>
      </w:tblPr>
      <w:tblGrid>
        <w:gridCol w:w="1182"/>
        <w:gridCol w:w="2489"/>
        <w:gridCol w:w="2551"/>
      </w:tblGrid>
      <w:tr w:rsidR="00DE12A3" w:rsidRPr="00DE12A3" w14:paraId="76213ED9" w14:textId="77777777" w:rsidTr="009F4766">
        <w:tc>
          <w:tcPr>
            <w:tcW w:w="1182" w:type="dxa"/>
            <w:tcBorders>
              <w:top w:val="single" w:sz="2" w:space="0" w:color="auto"/>
              <w:left w:val="single" w:sz="2" w:space="0" w:color="auto"/>
              <w:bottom w:val="single" w:sz="2" w:space="0" w:color="auto"/>
              <w:right w:val="single" w:sz="2" w:space="0" w:color="auto"/>
            </w:tcBorders>
          </w:tcPr>
          <w:p w14:paraId="24B6F1A4" w14:textId="77777777" w:rsidR="009F4766" w:rsidRPr="00DE12A3" w:rsidRDefault="00CD4C1E" w:rsidP="00C917D6">
            <w:pPr>
              <w:pStyle w:val="NormalCentered"/>
            </w:pPr>
            <w:r w:rsidRPr="00DE12A3">
              <w:t>Süre</w:t>
            </w:r>
            <w:r w:rsidR="009F4766" w:rsidRPr="00DE12A3">
              <w:t xml:space="preserve"> (s)</w:t>
            </w:r>
          </w:p>
        </w:tc>
        <w:tc>
          <w:tcPr>
            <w:tcW w:w="2489" w:type="dxa"/>
            <w:tcBorders>
              <w:top w:val="single" w:sz="2" w:space="0" w:color="auto"/>
              <w:left w:val="single" w:sz="2" w:space="0" w:color="auto"/>
              <w:bottom w:val="single" w:sz="2" w:space="0" w:color="auto"/>
              <w:right w:val="single" w:sz="2" w:space="0" w:color="auto"/>
            </w:tcBorders>
          </w:tcPr>
          <w:p w14:paraId="1960F447" w14:textId="77777777" w:rsidR="009F4766" w:rsidRPr="00DE12A3" w:rsidRDefault="009F4766" w:rsidP="00C917D6">
            <w:pPr>
              <w:pStyle w:val="NormalCentered"/>
            </w:pPr>
            <w:r w:rsidRPr="00DE12A3">
              <w:t>Normaliz</w:t>
            </w:r>
            <w:r w:rsidR="00CD4C1E" w:rsidRPr="00DE12A3">
              <w:t>e edilmiş devir</w:t>
            </w:r>
            <w:r w:rsidRPr="00DE12A3">
              <w:t xml:space="preserve"> (%)</w:t>
            </w:r>
          </w:p>
        </w:tc>
        <w:tc>
          <w:tcPr>
            <w:tcW w:w="2551" w:type="dxa"/>
            <w:tcBorders>
              <w:top w:val="single" w:sz="2" w:space="0" w:color="auto"/>
              <w:left w:val="single" w:sz="2" w:space="0" w:color="auto"/>
              <w:bottom w:val="single" w:sz="2" w:space="0" w:color="auto"/>
              <w:right w:val="single" w:sz="2" w:space="0" w:color="auto"/>
            </w:tcBorders>
          </w:tcPr>
          <w:p w14:paraId="3787F726" w14:textId="77777777" w:rsidR="009F4766" w:rsidRPr="00DE12A3" w:rsidRDefault="009F4766" w:rsidP="00C917D6">
            <w:pPr>
              <w:pStyle w:val="NormalCentered"/>
            </w:pPr>
            <w:r w:rsidRPr="00DE12A3">
              <w:t>Normalize</w:t>
            </w:r>
            <w:r w:rsidR="00CD4C1E" w:rsidRPr="00DE12A3">
              <w:t xml:space="preserve"> </w:t>
            </w:r>
            <w:r w:rsidR="00E730D6" w:rsidRPr="00DE12A3">
              <w:t>edilmiş tork</w:t>
            </w:r>
            <w:r w:rsidRPr="00DE12A3">
              <w:t xml:space="preserve"> (%)</w:t>
            </w:r>
          </w:p>
        </w:tc>
      </w:tr>
      <w:tr w:rsidR="00DE12A3" w:rsidRPr="00DE12A3" w14:paraId="3F4393AF" w14:textId="77777777" w:rsidTr="009F4766">
        <w:tc>
          <w:tcPr>
            <w:tcW w:w="1182" w:type="dxa"/>
            <w:tcBorders>
              <w:top w:val="single" w:sz="2" w:space="0" w:color="auto"/>
              <w:left w:val="single" w:sz="2" w:space="0" w:color="auto"/>
              <w:bottom w:val="single" w:sz="2" w:space="0" w:color="auto"/>
              <w:right w:val="single" w:sz="2" w:space="0" w:color="auto"/>
            </w:tcBorders>
          </w:tcPr>
          <w:p w14:paraId="7475070F" w14:textId="77777777" w:rsidR="009F4766" w:rsidRPr="00DE12A3" w:rsidRDefault="009F4766" w:rsidP="00C917D6">
            <w:pPr>
              <w:pStyle w:val="NormalLeft"/>
            </w:pPr>
            <w:r w:rsidRPr="00DE12A3">
              <w:t>1</w:t>
            </w:r>
          </w:p>
        </w:tc>
        <w:tc>
          <w:tcPr>
            <w:tcW w:w="2489" w:type="dxa"/>
            <w:tcBorders>
              <w:top w:val="single" w:sz="2" w:space="0" w:color="auto"/>
              <w:left w:val="single" w:sz="2" w:space="0" w:color="auto"/>
              <w:bottom w:val="single" w:sz="2" w:space="0" w:color="auto"/>
              <w:right w:val="single" w:sz="2" w:space="0" w:color="auto"/>
            </w:tcBorders>
          </w:tcPr>
          <w:p w14:paraId="489CD0F2" w14:textId="77777777" w:rsidR="009F4766" w:rsidRPr="00DE12A3" w:rsidRDefault="009F4766" w:rsidP="00C917D6">
            <w:pPr>
              <w:pStyle w:val="NormalLeft"/>
            </w:pPr>
            <w:r w:rsidRPr="00DE12A3">
              <w:t>0</w:t>
            </w:r>
          </w:p>
        </w:tc>
        <w:tc>
          <w:tcPr>
            <w:tcW w:w="2551" w:type="dxa"/>
            <w:tcBorders>
              <w:top w:val="single" w:sz="2" w:space="0" w:color="auto"/>
              <w:left w:val="single" w:sz="2" w:space="0" w:color="auto"/>
              <w:bottom w:val="single" w:sz="2" w:space="0" w:color="auto"/>
              <w:right w:val="single" w:sz="2" w:space="0" w:color="auto"/>
            </w:tcBorders>
          </w:tcPr>
          <w:p w14:paraId="4308AF8D" w14:textId="77777777" w:rsidR="009F4766" w:rsidRPr="00DE12A3" w:rsidRDefault="009F4766" w:rsidP="00C917D6">
            <w:pPr>
              <w:pStyle w:val="NormalLeft"/>
            </w:pPr>
            <w:r w:rsidRPr="00DE12A3">
              <w:t>0</w:t>
            </w:r>
          </w:p>
        </w:tc>
      </w:tr>
      <w:tr w:rsidR="00DE12A3" w:rsidRPr="00DE12A3" w14:paraId="2FC2D283" w14:textId="77777777" w:rsidTr="009F4766">
        <w:tc>
          <w:tcPr>
            <w:tcW w:w="1182" w:type="dxa"/>
            <w:tcBorders>
              <w:top w:val="single" w:sz="2" w:space="0" w:color="auto"/>
              <w:left w:val="single" w:sz="2" w:space="0" w:color="auto"/>
              <w:bottom w:val="single" w:sz="2" w:space="0" w:color="auto"/>
              <w:right w:val="single" w:sz="2" w:space="0" w:color="auto"/>
            </w:tcBorders>
          </w:tcPr>
          <w:p w14:paraId="1E8563CA" w14:textId="77777777" w:rsidR="009F4766" w:rsidRPr="00DE12A3" w:rsidRDefault="009F4766" w:rsidP="00C917D6">
            <w:pPr>
              <w:pStyle w:val="NormalLeft"/>
            </w:pPr>
            <w:r w:rsidRPr="00DE12A3">
              <w:t>2</w:t>
            </w:r>
          </w:p>
        </w:tc>
        <w:tc>
          <w:tcPr>
            <w:tcW w:w="2489" w:type="dxa"/>
            <w:tcBorders>
              <w:top w:val="single" w:sz="2" w:space="0" w:color="auto"/>
              <w:left w:val="single" w:sz="2" w:space="0" w:color="auto"/>
              <w:bottom w:val="single" w:sz="2" w:space="0" w:color="auto"/>
              <w:right w:val="single" w:sz="2" w:space="0" w:color="auto"/>
            </w:tcBorders>
          </w:tcPr>
          <w:p w14:paraId="7E51ED3C" w14:textId="77777777" w:rsidR="009F4766" w:rsidRPr="00DE12A3" w:rsidRDefault="009F4766" w:rsidP="00C917D6">
            <w:pPr>
              <w:pStyle w:val="NormalLeft"/>
            </w:pPr>
            <w:r w:rsidRPr="00DE12A3">
              <w:t>0</w:t>
            </w:r>
          </w:p>
        </w:tc>
        <w:tc>
          <w:tcPr>
            <w:tcW w:w="2551" w:type="dxa"/>
            <w:tcBorders>
              <w:top w:val="single" w:sz="2" w:space="0" w:color="auto"/>
              <w:left w:val="single" w:sz="2" w:space="0" w:color="auto"/>
              <w:bottom w:val="single" w:sz="2" w:space="0" w:color="auto"/>
              <w:right w:val="single" w:sz="2" w:space="0" w:color="auto"/>
            </w:tcBorders>
          </w:tcPr>
          <w:p w14:paraId="2807011F" w14:textId="77777777" w:rsidR="009F4766" w:rsidRPr="00DE12A3" w:rsidRDefault="009F4766" w:rsidP="00C917D6">
            <w:pPr>
              <w:pStyle w:val="NormalLeft"/>
            </w:pPr>
            <w:r w:rsidRPr="00DE12A3">
              <w:t>0</w:t>
            </w:r>
          </w:p>
        </w:tc>
      </w:tr>
      <w:tr w:rsidR="00DE12A3" w:rsidRPr="00DE12A3" w14:paraId="34CCC6B2" w14:textId="77777777" w:rsidTr="009F4766">
        <w:tc>
          <w:tcPr>
            <w:tcW w:w="1182" w:type="dxa"/>
            <w:tcBorders>
              <w:top w:val="single" w:sz="2" w:space="0" w:color="auto"/>
              <w:left w:val="single" w:sz="2" w:space="0" w:color="auto"/>
              <w:bottom w:val="single" w:sz="2" w:space="0" w:color="auto"/>
              <w:right w:val="single" w:sz="2" w:space="0" w:color="auto"/>
            </w:tcBorders>
          </w:tcPr>
          <w:p w14:paraId="6012B3AB" w14:textId="77777777" w:rsidR="009F4766" w:rsidRPr="00DE12A3" w:rsidRDefault="009F4766" w:rsidP="00C917D6">
            <w:pPr>
              <w:pStyle w:val="NormalLeft"/>
            </w:pPr>
            <w:r w:rsidRPr="00DE12A3">
              <w:t>3</w:t>
            </w:r>
          </w:p>
        </w:tc>
        <w:tc>
          <w:tcPr>
            <w:tcW w:w="2489" w:type="dxa"/>
            <w:tcBorders>
              <w:top w:val="single" w:sz="2" w:space="0" w:color="auto"/>
              <w:left w:val="single" w:sz="2" w:space="0" w:color="auto"/>
              <w:bottom w:val="single" w:sz="2" w:space="0" w:color="auto"/>
              <w:right w:val="single" w:sz="2" w:space="0" w:color="auto"/>
            </w:tcBorders>
          </w:tcPr>
          <w:p w14:paraId="48839D48" w14:textId="77777777" w:rsidR="009F4766" w:rsidRPr="00DE12A3" w:rsidRDefault="009F4766" w:rsidP="00C917D6">
            <w:pPr>
              <w:pStyle w:val="NormalLeft"/>
            </w:pPr>
            <w:r w:rsidRPr="00DE12A3">
              <w:t>0</w:t>
            </w:r>
          </w:p>
        </w:tc>
        <w:tc>
          <w:tcPr>
            <w:tcW w:w="2551" w:type="dxa"/>
            <w:tcBorders>
              <w:top w:val="single" w:sz="2" w:space="0" w:color="auto"/>
              <w:left w:val="single" w:sz="2" w:space="0" w:color="auto"/>
              <w:bottom w:val="single" w:sz="2" w:space="0" w:color="auto"/>
              <w:right w:val="single" w:sz="2" w:space="0" w:color="auto"/>
            </w:tcBorders>
          </w:tcPr>
          <w:p w14:paraId="7C35BE27" w14:textId="77777777" w:rsidR="009F4766" w:rsidRPr="00DE12A3" w:rsidRDefault="009F4766" w:rsidP="00C917D6">
            <w:pPr>
              <w:pStyle w:val="NormalLeft"/>
            </w:pPr>
            <w:r w:rsidRPr="00DE12A3">
              <w:t>0</w:t>
            </w:r>
          </w:p>
        </w:tc>
      </w:tr>
      <w:tr w:rsidR="00DE12A3" w:rsidRPr="00DE12A3" w14:paraId="61308ADB" w14:textId="77777777" w:rsidTr="009F4766">
        <w:tc>
          <w:tcPr>
            <w:tcW w:w="1182" w:type="dxa"/>
            <w:tcBorders>
              <w:top w:val="single" w:sz="2" w:space="0" w:color="auto"/>
              <w:left w:val="single" w:sz="2" w:space="0" w:color="auto"/>
              <w:bottom w:val="single" w:sz="2" w:space="0" w:color="auto"/>
              <w:right w:val="single" w:sz="2" w:space="0" w:color="auto"/>
            </w:tcBorders>
          </w:tcPr>
          <w:p w14:paraId="2EEF5D20" w14:textId="77777777" w:rsidR="009F4766" w:rsidRPr="00DE12A3" w:rsidRDefault="009F4766" w:rsidP="00C917D6">
            <w:pPr>
              <w:pStyle w:val="NormalLeft"/>
            </w:pPr>
            <w:r w:rsidRPr="00DE12A3">
              <w:t>4</w:t>
            </w:r>
          </w:p>
        </w:tc>
        <w:tc>
          <w:tcPr>
            <w:tcW w:w="2489" w:type="dxa"/>
            <w:tcBorders>
              <w:top w:val="single" w:sz="2" w:space="0" w:color="auto"/>
              <w:left w:val="single" w:sz="2" w:space="0" w:color="auto"/>
              <w:bottom w:val="single" w:sz="2" w:space="0" w:color="auto"/>
              <w:right w:val="single" w:sz="2" w:space="0" w:color="auto"/>
            </w:tcBorders>
          </w:tcPr>
          <w:p w14:paraId="2FD472E3" w14:textId="77777777" w:rsidR="009F4766" w:rsidRPr="00DE12A3" w:rsidRDefault="009F4766" w:rsidP="00C917D6">
            <w:pPr>
              <w:pStyle w:val="NormalLeft"/>
            </w:pPr>
            <w:r w:rsidRPr="00DE12A3">
              <w:t>0</w:t>
            </w:r>
          </w:p>
        </w:tc>
        <w:tc>
          <w:tcPr>
            <w:tcW w:w="2551" w:type="dxa"/>
            <w:tcBorders>
              <w:top w:val="single" w:sz="2" w:space="0" w:color="auto"/>
              <w:left w:val="single" w:sz="2" w:space="0" w:color="auto"/>
              <w:bottom w:val="single" w:sz="2" w:space="0" w:color="auto"/>
              <w:right w:val="single" w:sz="2" w:space="0" w:color="auto"/>
            </w:tcBorders>
          </w:tcPr>
          <w:p w14:paraId="04483547" w14:textId="77777777" w:rsidR="009F4766" w:rsidRPr="00DE12A3" w:rsidRDefault="009F4766" w:rsidP="00C917D6">
            <w:pPr>
              <w:pStyle w:val="NormalLeft"/>
            </w:pPr>
            <w:r w:rsidRPr="00DE12A3">
              <w:t>0</w:t>
            </w:r>
          </w:p>
        </w:tc>
      </w:tr>
      <w:tr w:rsidR="00DE12A3" w:rsidRPr="00DE12A3" w14:paraId="06EDCAFC" w14:textId="77777777" w:rsidTr="009F4766">
        <w:tc>
          <w:tcPr>
            <w:tcW w:w="1182" w:type="dxa"/>
            <w:tcBorders>
              <w:top w:val="single" w:sz="2" w:space="0" w:color="auto"/>
              <w:left w:val="single" w:sz="2" w:space="0" w:color="auto"/>
              <w:bottom w:val="single" w:sz="2" w:space="0" w:color="auto"/>
              <w:right w:val="single" w:sz="2" w:space="0" w:color="auto"/>
            </w:tcBorders>
          </w:tcPr>
          <w:p w14:paraId="1E4BD7E4" w14:textId="77777777" w:rsidR="009F4766" w:rsidRPr="00DE12A3" w:rsidRDefault="009F4766" w:rsidP="00C917D6">
            <w:pPr>
              <w:pStyle w:val="NormalLeft"/>
            </w:pPr>
            <w:r w:rsidRPr="00DE12A3">
              <w:t>5</w:t>
            </w:r>
          </w:p>
        </w:tc>
        <w:tc>
          <w:tcPr>
            <w:tcW w:w="2489" w:type="dxa"/>
            <w:tcBorders>
              <w:top w:val="single" w:sz="2" w:space="0" w:color="auto"/>
              <w:left w:val="single" w:sz="2" w:space="0" w:color="auto"/>
              <w:bottom w:val="single" w:sz="2" w:space="0" w:color="auto"/>
              <w:right w:val="single" w:sz="2" w:space="0" w:color="auto"/>
            </w:tcBorders>
          </w:tcPr>
          <w:p w14:paraId="5EA6019F" w14:textId="77777777" w:rsidR="009F4766" w:rsidRPr="00DE12A3" w:rsidRDefault="009F4766" w:rsidP="00C917D6">
            <w:pPr>
              <w:pStyle w:val="NormalLeft"/>
            </w:pPr>
            <w:r w:rsidRPr="00DE12A3">
              <w:t>0</w:t>
            </w:r>
          </w:p>
        </w:tc>
        <w:tc>
          <w:tcPr>
            <w:tcW w:w="2551" w:type="dxa"/>
            <w:tcBorders>
              <w:top w:val="single" w:sz="2" w:space="0" w:color="auto"/>
              <w:left w:val="single" w:sz="2" w:space="0" w:color="auto"/>
              <w:bottom w:val="single" w:sz="2" w:space="0" w:color="auto"/>
              <w:right w:val="single" w:sz="2" w:space="0" w:color="auto"/>
            </w:tcBorders>
          </w:tcPr>
          <w:p w14:paraId="219908A8" w14:textId="77777777" w:rsidR="009F4766" w:rsidRPr="00DE12A3" w:rsidRDefault="009F4766" w:rsidP="00C917D6">
            <w:pPr>
              <w:pStyle w:val="NormalLeft"/>
            </w:pPr>
            <w:r w:rsidRPr="00DE12A3">
              <w:t>0</w:t>
            </w:r>
          </w:p>
        </w:tc>
      </w:tr>
      <w:tr w:rsidR="00DE12A3" w:rsidRPr="00DE12A3" w14:paraId="5022D1C0" w14:textId="77777777" w:rsidTr="009F4766">
        <w:tc>
          <w:tcPr>
            <w:tcW w:w="1182" w:type="dxa"/>
            <w:tcBorders>
              <w:top w:val="single" w:sz="2" w:space="0" w:color="auto"/>
              <w:left w:val="single" w:sz="2" w:space="0" w:color="auto"/>
              <w:bottom w:val="single" w:sz="2" w:space="0" w:color="auto"/>
              <w:right w:val="single" w:sz="2" w:space="0" w:color="auto"/>
            </w:tcBorders>
          </w:tcPr>
          <w:p w14:paraId="6B90D0A1" w14:textId="77777777" w:rsidR="009F4766" w:rsidRPr="00DE12A3" w:rsidRDefault="009F4766" w:rsidP="00C917D6">
            <w:pPr>
              <w:pStyle w:val="NormalLeft"/>
            </w:pPr>
            <w:r w:rsidRPr="00DE12A3">
              <w:t>6</w:t>
            </w:r>
          </w:p>
        </w:tc>
        <w:tc>
          <w:tcPr>
            <w:tcW w:w="2489" w:type="dxa"/>
            <w:tcBorders>
              <w:top w:val="single" w:sz="2" w:space="0" w:color="auto"/>
              <w:left w:val="single" w:sz="2" w:space="0" w:color="auto"/>
              <w:bottom w:val="single" w:sz="2" w:space="0" w:color="auto"/>
              <w:right w:val="single" w:sz="2" w:space="0" w:color="auto"/>
            </w:tcBorders>
          </w:tcPr>
          <w:p w14:paraId="2DA09B56" w14:textId="77777777" w:rsidR="009F4766" w:rsidRPr="00DE12A3" w:rsidRDefault="009F4766" w:rsidP="00C917D6">
            <w:pPr>
              <w:pStyle w:val="NormalLeft"/>
            </w:pPr>
            <w:r w:rsidRPr="00DE12A3">
              <w:t>0</w:t>
            </w:r>
          </w:p>
        </w:tc>
        <w:tc>
          <w:tcPr>
            <w:tcW w:w="2551" w:type="dxa"/>
            <w:tcBorders>
              <w:top w:val="single" w:sz="2" w:space="0" w:color="auto"/>
              <w:left w:val="single" w:sz="2" w:space="0" w:color="auto"/>
              <w:bottom w:val="single" w:sz="2" w:space="0" w:color="auto"/>
              <w:right w:val="single" w:sz="2" w:space="0" w:color="auto"/>
            </w:tcBorders>
          </w:tcPr>
          <w:p w14:paraId="05740CFC" w14:textId="77777777" w:rsidR="009F4766" w:rsidRPr="00DE12A3" w:rsidRDefault="009F4766" w:rsidP="00C917D6">
            <w:pPr>
              <w:pStyle w:val="NormalLeft"/>
            </w:pPr>
            <w:r w:rsidRPr="00DE12A3">
              <w:t>0</w:t>
            </w:r>
          </w:p>
        </w:tc>
      </w:tr>
      <w:tr w:rsidR="00DE12A3" w:rsidRPr="00DE12A3" w14:paraId="12BBB354" w14:textId="77777777" w:rsidTr="009F4766">
        <w:tc>
          <w:tcPr>
            <w:tcW w:w="1182" w:type="dxa"/>
            <w:tcBorders>
              <w:top w:val="single" w:sz="2" w:space="0" w:color="auto"/>
              <w:left w:val="single" w:sz="2" w:space="0" w:color="auto"/>
              <w:bottom w:val="single" w:sz="2" w:space="0" w:color="auto"/>
              <w:right w:val="single" w:sz="2" w:space="0" w:color="auto"/>
            </w:tcBorders>
          </w:tcPr>
          <w:p w14:paraId="62D5810C" w14:textId="77777777" w:rsidR="009F4766" w:rsidRPr="00DE12A3" w:rsidRDefault="009F4766" w:rsidP="00C917D6">
            <w:pPr>
              <w:pStyle w:val="NormalLeft"/>
            </w:pPr>
            <w:r w:rsidRPr="00DE12A3">
              <w:t>7</w:t>
            </w:r>
          </w:p>
        </w:tc>
        <w:tc>
          <w:tcPr>
            <w:tcW w:w="2489" w:type="dxa"/>
            <w:tcBorders>
              <w:top w:val="single" w:sz="2" w:space="0" w:color="auto"/>
              <w:left w:val="single" w:sz="2" w:space="0" w:color="auto"/>
              <w:bottom w:val="single" w:sz="2" w:space="0" w:color="auto"/>
              <w:right w:val="single" w:sz="2" w:space="0" w:color="auto"/>
            </w:tcBorders>
          </w:tcPr>
          <w:p w14:paraId="33C4A272" w14:textId="77777777" w:rsidR="009F4766" w:rsidRPr="00DE12A3" w:rsidRDefault="009F4766" w:rsidP="00C917D6">
            <w:pPr>
              <w:pStyle w:val="NormalLeft"/>
            </w:pPr>
            <w:r w:rsidRPr="00DE12A3">
              <w:t>0</w:t>
            </w:r>
          </w:p>
        </w:tc>
        <w:tc>
          <w:tcPr>
            <w:tcW w:w="2551" w:type="dxa"/>
            <w:tcBorders>
              <w:top w:val="single" w:sz="2" w:space="0" w:color="auto"/>
              <w:left w:val="single" w:sz="2" w:space="0" w:color="auto"/>
              <w:bottom w:val="single" w:sz="2" w:space="0" w:color="auto"/>
              <w:right w:val="single" w:sz="2" w:space="0" w:color="auto"/>
            </w:tcBorders>
          </w:tcPr>
          <w:p w14:paraId="1998B746" w14:textId="77777777" w:rsidR="009F4766" w:rsidRPr="00DE12A3" w:rsidRDefault="009F4766" w:rsidP="00C917D6">
            <w:pPr>
              <w:pStyle w:val="NormalLeft"/>
            </w:pPr>
            <w:r w:rsidRPr="00DE12A3">
              <w:t>0</w:t>
            </w:r>
          </w:p>
        </w:tc>
      </w:tr>
      <w:tr w:rsidR="00DE12A3" w:rsidRPr="00DE12A3" w14:paraId="2EE948A3" w14:textId="77777777" w:rsidTr="009F4766">
        <w:tc>
          <w:tcPr>
            <w:tcW w:w="1182" w:type="dxa"/>
            <w:tcBorders>
              <w:top w:val="single" w:sz="2" w:space="0" w:color="auto"/>
              <w:left w:val="single" w:sz="2" w:space="0" w:color="auto"/>
              <w:bottom w:val="single" w:sz="2" w:space="0" w:color="auto"/>
              <w:right w:val="single" w:sz="2" w:space="0" w:color="auto"/>
            </w:tcBorders>
          </w:tcPr>
          <w:p w14:paraId="45DB4826" w14:textId="77777777" w:rsidR="009F4766" w:rsidRPr="00DE12A3" w:rsidRDefault="009F4766" w:rsidP="00C917D6">
            <w:pPr>
              <w:pStyle w:val="NormalLeft"/>
            </w:pPr>
            <w:r w:rsidRPr="00DE12A3">
              <w:t>8</w:t>
            </w:r>
          </w:p>
        </w:tc>
        <w:tc>
          <w:tcPr>
            <w:tcW w:w="2489" w:type="dxa"/>
            <w:tcBorders>
              <w:top w:val="single" w:sz="2" w:space="0" w:color="auto"/>
              <w:left w:val="single" w:sz="2" w:space="0" w:color="auto"/>
              <w:bottom w:val="single" w:sz="2" w:space="0" w:color="auto"/>
              <w:right w:val="single" w:sz="2" w:space="0" w:color="auto"/>
            </w:tcBorders>
          </w:tcPr>
          <w:p w14:paraId="086BC136" w14:textId="77777777" w:rsidR="009F4766" w:rsidRPr="00DE12A3" w:rsidRDefault="009F4766" w:rsidP="00C917D6">
            <w:pPr>
              <w:pStyle w:val="NormalLeft"/>
            </w:pPr>
            <w:r w:rsidRPr="00DE12A3">
              <w:t>0</w:t>
            </w:r>
          </w:p>
        </w:tc>
        <w:tc>
          <w:tcPr>
            <w:tcW w:w="2551" w:type="dxa"/>
            <w:tcBorders>
              <w:top w:val="single" w:sz="2" w:space="0" w:color="auto"/>
              <w:left w:val="single" w:sz="2" w:space="0" w:color="auto"/>
              <w:bottom w:val="single" w:sz="2" w:space="0" w:color="auto"/>
              <w:right w:val="single" w:sz="2" w:space="0" w:color="auto"/>
            </w:tcBorders>
          </w:tcPr>
          <w:p w14:paraId="28DFDB35" w14:textId="77777777" w:rsidR="009F4766" w:rsidRPr="00DE12A3" w:rsidRDefault="009F4766" w:rsidP="00C917D6">
            <w:pPr>
              <w:pStyle w:val="NormalLeft"/>
            </w:pPr>
            <w:r w:rsidRPr="00DE12A3">
              <w:t>0</w:t>
            </w:r>
          </w:p>
        </w:tc>
      </w:tr>
      <w:tr w:rsidR="00DE12A3" w:rsidRPr="00DE12A3" w14:paraId="56B27F51" w14:textId="77777777" w:rsidTr="009F4766">
        <w:tc>
          <w:tcPr>
            <w:tcW w:w="1182" w:type="dxa"/>
            <w:tcBorders>
              <w:top w:val="single" w:sz="2" w:space="0" w:color="auto"/>
              <w:left w:val="single" w:sz="2" w:space="0" w:color="auto"/>
              <w:bottom w:val="single" w:sz="2" w:space="0" w:color="auto"/>
              <w:right w:val="single" w:sz="2" w:space="0" w:color="auto"/>
            </w:tcBorders>
          </w:tcPr>
          <w:p w14:paraId="46945A86" w14:textId="77777777" w:rsidR="009F4766" w:rsidRPr="00DE12A3" w:rsidRDefault="009F4766" w:rsidP="00C917D6">
            <w:pPr>
              <w:pStyle w:val="NormalLeft"/>
            </w:pPr>
            <w:r w:rsidRPr="00DE12A3">
              <w:t>9</w:t>
            </w:r>
          </w:p>
        </w:tc>
        <w:tc>
          <w:tcPr>
            <w:tcW w:w="2489" w:type="dxa"/>
            <w:tcBorders>
              <w:top w:val="single" w:sz="2" w:space="0" w:color="auto"/>
              <w:left w:val="single" w:sz="2" w:space="0" w:color="auto"/>
              <w:bottom w:val="single" w:sz="2" w:space="0" w:color="auto"/>
              <w:right w:val="single" w:sz="2" w:space="0" w:color="auto"/>
            </w:tcBorders>
          </w:tcPr>
          <w:p w14:paraId="4461A131" w14:textId="77777777" w:rsidR="009F4766" w:rsidRPr="00DE12A3" w:rsidRDefault="009F4766" w:rsidP="00C917D6">
            <w:pPr>
              <w:pStyle w:val="NormalLeft"/>
            </w:pPr>
            <w:r w:rsidRPr="00DE12A3">
              <w:t>0</w:t>
            </w:r>
          </w:p>
        </w:tc>
        <w:tc>
          <w:tcPr>
            <w:tcW w:w="2551" w:type="dxa"/>
            <w:tcBorders>
              <w:top w:val="single" w:sz="2" w:space="0" w:color="auto"/>
              <w:left w:val="single" w:sz="2" w:space="0" w:color="auto"/>
              <w:bottom w:val="single" w:sz="2" w:space="0" w:color="auto"/>
              <w:right w:val="single" w:sz="2" w:space="0" w:color="auto"/>
            </w:tcBorders>
          </w:tcPr>
          <w:p w14:paraId="7071BED2" w14:textId="77777777" w:rsidR="009F4766" w:rsidRPr="00DE12A3" w:rsidRDefault="009F4766" w:rsidP="00C917D6">
            <w:pPr>
              <w:pStyle w:val="NormalLeft"/>
            </w:pPr>
            <w:r w:rsidRPr="00DE12A3">
              <w:t>0</w:t>
            </w:r>
          </w:p>
        </w:tc>
      </w:tr>
      <w:tr w:rsidR="00DE12A3" w:rsidRPr="00DE12A3" w14:paraId="67342707" w14:textId="77777777" w:rsidTr="009F4766">
        <w:tc>
          <w:tcPr>
            <w:tcW w:w="1182" w:type="dxa"/>
            <w:tcBorders>
              <w:top w:val="single" w:sz="2" w:space="0" w:color="auto"/>
              <w:left w:val="single" w:sz="2" w:space="0" w:color="auto"/>
              <w:bottom w:val="single" w:sz="2" w:space="0" w:color="auto"/>
              <w:right w:val="single" w:sz="2" w:space="0" w:color="auto"/>
            </w:tcBorders>
          </w:tcPr>
          <w:p w14:paraId="18CB182D" w14:textId="77777777" w:rsidR="009F4766" w:rsidRPr="00DE12A3" w:rsidRDefault="009F4766" w:rsidP="00C917D6">
            <w:pPr>
              <w:pStyle w:val="NormalLeft"/>
            </w:pPr>
            <w:r w:rsidRPr="00DE12A3">
              <w:t>10</w:t>
            </w:r>
          </w:p>
        </w:tc>
        <w:tc>
          <w:tcPr>
            <w:tcW w:w="2489" w:type="dxa"/>
            <w:tcBorders>
              <w:top w:val="single" w:sz="2" w:space="0" w:color="auto"/>
              <w:left w:val="single" w:sz="2" w:space="0" w:color="auto"/>
              <w:bottom w:val="single" w:sz="2" w:space="0" w:color="auto"/>
              <w:right w:val="single" w:sz="2" w:space="0" w:color="auto"/>
            </w:tcBorders>
          </w:tcPr>
          <w:p w14:paraId="426B3058" w14:textId="77777777" w:rsidR="009F4766" w:rsidRPr="00DE12A3" w:rsidRDefault="009F4766" w:rsidP="00C917D6">
            <w:pPr>
              <w:pStyle w:val="NormalLeft"/>
            </w:pPr>
            <w:r w:rsidRPr="00DE12A3">
              <w:t>0</w:t>
            </w:r>
          </w:p>
        </w:tc>
        <w:tc>
          <w:tcPr>
            <w:tcW w:w="2551" w:type="dxa"/>
            <w:tcBorders>
              <w:top w:val="single" w:sz="2" w:space="0" w:color="auto"/>
              <w:left w:val="single" w:sz="2" w:space="0" w:color="auto"/>
              <w:bottom w:val="single" w:sz="2" w:space="0" w:color="auto"/>
              <w:right w:val="single" w:sz="2" w:space="0" w:color="auto"/>
            </w:tcBorders>
          </w:tcPr>
          <w:p w14:paraId="252A6A13" w14:textId="77777777" w:rsidR="009F4766" w:rsidRPr="00DE12A3" w:rsidRDefault="009F4766" w:rsidP="00C917D6">
            <w:pPr>
              <w:pStyle w:val="NormalLeft"/>
            </w:pPr>
            <w:r w:rsidRPr="00DE12A3">
              <w:t>0</w:t>
            </w:r>
          </w:p>
        </w:tc>
      </w:tr>
      <w:tr w:rsidR="00DE12A3" w:rsidRPr="00DE12A3" w14:paraId="6CF1DB49" w14:textId="77777777" w:rsidTr="009F4766">
        <w:tc>
          <w:tcPr>
            <w:tcW w:w="1182" w:type="dxa"/>
            <w:tcBorders>
              <w:top w:val="single" w:sz="2" w:space="0" w:color="auto"/>
              <w:left w:val="single" w:sz="2" w:space="0" w:color="auto"/>
              <w:bottom w:val="single" w:sz="2" w:space="0" w:color="auto"/>
              <w:right w:val="single" w:sz="2" w:space="0" w:color="auto"/>
            </w:tcBorders>
          </w:tcPr>
          <w:p w14:paraId="56CA265C" w14:textId="77777777" w:rsidR="009F4766" w:rsidRPr="00DE12A3" w:rsidRDefault="009F4766" w:rsidP="00C917D6">
            <w:pPr>
              <w:pStyle w:val="NormalLeft"/>
            </w:pPr>
            <w:r w:rsidRPr="00DE12A3">
              <w:t>11</w:t>
            </w:r>
          </w:p>
        </w:tc>
        <w:tc>
          <w:tcPr>
            <w:tcW w:w="2489" w:type="dxa"/>
            <w:tcBorders>
              <w:top w:val="single" w:sz="2" w:space="0" w:color="auto"/>
              <w:left w:val="single" w:sz="2" w:space="0" w:color="auto"/>
              <w:bottom w:val="single" w:sz="2" w:space="0" w:color="auto"/>
              <w:right w:val="single" w:sz="2" w:space="0" w:color="auto"/>
            </w:tcBorders>
          </w:tcPr>
          <w:p w14:paraId="242E8A10" w14:textId="77777777" w:rsidR="009F4766" w:rsidRPr="00DE12A3" w:rsidRDefault="009F4766" w:rsidP="00C917D6">
            <w:pPr>
              <w:pStyle w:val="NormalLeft"/>
            </w:pPr>
            <w:r w:rsidRPr="00DE12A3">
              <w:t>0</w:t>
            </w:r>
          </w:p>
        </w:tc>
        <w:tc>
          <w:tcPr>
            <w:tcW w:w="2551" w:type="dxa"/>
            <w:tcBorders>
              <w:top w:val="single" w:sz="2" w:space="0" w:color="auto"/>
              <w:left w:val="single" w:sz="2" w:space="0" w:color="auto"/>
              <w:bottom w:val="single" w:sz="2" w:space="0" w:color="auto"/>
              <w:right w:val="single" w:sz="2" w:space="0" w:color="auto"/>
            </w:tcBorders>
          </w:tcPr>
          <w:p w14:paraId="28735E35" w14:textId="77777777" w:rsidR="009F4766" w:rsidRPr="00DE12A3" w:rsidRDefault="009F4766" w:rsidP="00C917D6">
            <w:pPr>
              <w:pStyle w:val="NormalLeft"/>
            </w:pPr>
            <w:r w:rsidRPr="00DE12A3">
              <w:t>0</w:t>
            </w:r>
          </w:p>
        </w:tc>
      </w:tr>
      <w:tr w:rsidR="00DE12A3" w:rsidRPr="00DE12A3" w14:paraId="3E4C64F4" w14:textId="77777777" w:rsidTr="009F4766">
        <w:tc>
          <w:tcPr>
            <w:tcW w:w="1182" w:type="dxa"/>
            <w:tcBorders>
              <w:top w:val="single" w:sz="2" w:space="0" w:color="auto"/>
              <w:left w:val="single" w:sz="2" w:space="0" w:color="auto"/>
              <w:bottom w:val="single" w:sz="2" w:space="0" w:color="auto"/>
              <w:right w:val="single" w:sz="2" w:space="0" w:color="auto"/>
            </w:tcBorders>
          </w:tcPr>
          <w:p w14:paraId="15767D07" w14:textId="77777777" w:rsidR="009F4766" w:rsidRPr="00DE12A3" w:rsidRDefault="009F4766" w:rsidP="00C917D6">
            <w:pPr>
              <w:pStyle w:val="NormalLeft"/>
            </w:pPr>
            <w:r w:rsidRPr="00DE12A3">
              <w:t>12</w:t>
            </w:r>
          </w:p>
        </w:tc>
        <w:tc>
          <w:tcPr>
            <w:tcW w:w="2489" w:type="dxa"/>
            <w:tcBorders>
              <w:top w:val="single" w:sz="2" w:space="0" w:color="auto"/>
              <w:left w:val="single" w:sz="2" w:space="0" w:color="auto"/>
              <w:bottom w:val="single" w:sz="2" w:space="0" w:color="auto"/>
              <w:right w:val="single" w:sz="2" w:space="0" w:color="auto"/>
            </w:tcBorders>
          </w:tcPr>
          <w:p w14:paraId="7DA7329B" w14:textId="77777777" w:rsidR="009F4766" w:rsidRPr="00DE12A3" w:rsidRDefault="009F4766" w:rsidP="00C917D6">
            <w:pPr>
              <w:pStyle w:val="NormalLeft"/>
            </w:pPr>
            <w:r w:rsidRPr="00DE12A3">
              <w:t>0</w:t>
            </w:r>
          </w:p>
        </w:tc>
        <w:tc>
          <w:tcPr>
            <w:tcW w:w="2551" w:type="dxa"/>
            <w:tcBorders>
              <w:top w:val="single" w:sz="2" w:space="0" w:color="auto"/>
              <w:left w:val="single" w:sz="2" w:space="0" w:color="auto"/>
              <w:bottom w:val="single" w:sz="2" w:space="0" w:color="auto"/>
              <w:right w:val="single" w:sz="2" w:space="0" w:color="auto"/>
            </w:tcBorders>
          </w:tcPr>
          <w:p w14:paraId="124D65F0" w14:textId="77777777" w:rsidR="009F4766" w:rsidRPr="00DE12A3" w:rsidRDefault="009F4766" w:rsidP="00C917D6">
            <w:pPr>
              <w:pStyle w:val="NormalLeft"/>
            </w:pPr>
            <w:r w:rsidRPr="00DE12A3">
              <w:t>0</w:t>
            </w:r>
          </w:p>
        </w:tc>
      </w:tr>
      <w:tr w:rsidR="00DE12A3" w:rsidRPr="00DE12A3" w14:paraId="25B4DC3F" w14:textId="77777777" w:rsidTr="009F4766">
        <w:tc>
          <w:tcPr>
            <w:tcW w:w="1182" w:type="dxa"/>
            <w:tcBorders>
              <w:top w:val="single" w:sz="2" w:space="0" w:color="auto"/>
              <w:left w:val="single" w:sz="2" w:space="0" w:color="auto"/>
              <w:bottom w:val="single" w:sz="2" w:space="0" w:color="auto"/>
              <w:right w:val="single" w:sz="2" w:space="0" w:color="auto"/>
            </w:tcBorders>
          </w:tcPr>
          <w:p w14:paraId="13C9CA65" w14:textId="77777777" w:rsidR="009F4766" w:rsidRPr="00DE12A3" w:rsidRDefault="009F4766" w:rsidP="00C917D6">
            <w:pPr>
              <w:pStyle w:val="NormalLeft"/>
            </w:pPr>
            <w:r w:rsidRPr="00DE12A3">
              <w:t>13</w:t>
            </w:r>
          </w:p>
        </w:tc>
        <w:tc>
          <w:tcPr>
            <w:tcW w:w="2489" w:type="dxa"/>
            <w:tcBorders>
              <w:top w:val="single" w:sz="2" w:space="0" w:color="auto"/>
              <w:left w:val="single" w:sz="2" w:space="0" w:color="auto"/>
              <w:bottom w:val="single" w:sz="2" w:space="0" w:color="auto"/>
              <w:right w:val="single" w:sz="2" w:space="0" w:color="auto"/>
            </w:tcBorders>
          </w:tcPr>
          <w:p w14:paraId="3F6651CB" w14:textId="77777777" w:rsidR="009F4766" w:rsidRPr="00DE12A3" w:rsidRDefault="009F4766" w:rsidP="00C917D6">
            <w:pPr>
              <w:pStyle w:val="NormalLeft"/>
            </w:pPr>
            <w:r w:rsidRPr="00DE12A3">
              <w:t>0</w:t>
            </w:r>
          </w:p>
        </w:tc>
        <w:tc>
          <w:tcPr>
            <w:tcW w:w="2551" w:type="dxa"/>
            <w:tcBorders>
              <w:top w:val="single" w:sz="2" w:space="0" w:color="auto"/>
              <w:left w:val="single" w:sz="2" w:space="0" w:color="auto"/>
              <w:bottom w:val="single" w:sz="2" w:space="0" w:color="auto"/>
              <w:right w:val="single" w:sz="2" w:space="0" w:color="auto"/>
            </w:tcBorders>
          </w:tcPr>
          <w:p w14:paraId="535CAF10" w14:textId="77777777" w:rsidR="009F4766" w:rsidRPr="00DE12A3" w:rsidRDefault="009F4766" w:rsidP="00C917D6">
            <w:pPr>
              <w:pStyle w:val="NormalLeft"/>
            </w:pPr>
            <w:r w:rsidRPr="00DE12A3">
              <w:t>0</w:t>
            </w:r>
          </w:p>
        </w:tc>
      </w:tr>
      <w:tr w:rsidR="00DE12A3" w:rsidRPr="00DE12A3" w14:paraId="4A812945" w14:textId="77777777" w:rsidTr="009F4766">
        <w:tc>
          <w:tcPr>
            <w:tcW w:w="1182" w:type="dxa"/>
            <w:tcBorders>
              <w:top w:val="single" w:sz="2" w:space="0" w:color="auto"/>
              <w:left w:val="single" w:sz="2" w:space="0" w:color="auto"/>
              <w:bottom w:val="single" w:sz="2" w:space="0" w:color="auto"/>
              <w:right w:val="single" w:sz="2" w:space="0" w:color="auto"/>
            </w:tcBorders>
          </w:tcPr>
          <w:p w14:paraId="267211CA" w14:textId="77777777" w:rsidR="009F4766" w:rsidRPr="00DE12A3" w:rsidRDefault="009F4766" w:rsidP="00C917D6">
            <w:pPr>
              <w:pStyle w:val="NormalLeft"/>
            </w:pPr>
            <w:r w:rsidRPr="00DE12A3">
              <w:t>14</w:t>
            </w:r>
          </w:p>
        </w:tc>
        <w:tc>
          <w:tcPr>
            <w:tcW w:w="2489" w:type="dxa"/>
            <w:tcBorders>
              <w:top w:val="single" w:sz="2" w:space="0" w:color="auto"/>
              <w:left w:val="single" w:sz="2" w:space="0" w:color="auto"/>
              <w:bottom w:val="single" w:sz="2" w:space="0" w:color="auto"/>
              <w:right w:val="single" w:sz="2" w:space="0" w:color="auto"/>
            </w:tcBorders>
          </w:tcPr>
          <w:p w14:paraId="01212F01" w14:textId="77777777" w:rsidR="009F4766" w:rsidRPr="00DE12A3" w:rsidRDefault="009F4766" w:rsidP="00C917D6">
            <w:pPr>
              <w:pStyle w:val="NormalLeft"/>
            </w:pPr>
            <w:r w:rsidRPr="00DE12A3">
              <w:t>0</w:t>
            </w:r>
          </w:p>
        </w:tc>
        <w:tc>
          <w:tcPr>
            <w:tcW w:w="2551" w:type="dxa"/>
            <w:tcBorders>
              <w:top w:val="single" w:sz="2" w:space="0" w:color="auto"/>
              <w:left w:val="single" w:sz="2" w:space="0" w:color="auto"/>
              <w:bottom w:val="single" w:sz="2" w:space="0" w:color="auto"/>
              <w:right w:val="single" w:sz="2" w:space="0" w:color="auto"/>
            </w:tcBorders>
          </w:tcPr>
          <w:p w14:paraId="7114EAD0" w14:textId="77777777" w:rsidR="009F4766" w:rsidRPr="00DE12A3" w:rsidRDefault="009F4766" w:rsidP="00C917D6">
            <w:pPr>
              <w:pStyle w:val="NormalLeft"/>
            </w:pPr>
            <w:r w:rsidRPr="00DE12A3">
              <w:t>0</w:t>
            </w:r>
          </w:p>
        </w:tc>
      </w:tr>
      <w:tr w:rsidR="00DE12A3" w:rsidRPr="00DE12A3" w14:paraId="59369D00" w14:textId="77777777" w:rsidTr="009F4766">
        <w:tc>
          <w:tcPr>
            <w:tcW w:w="1182" w:type="dxa"/>
            <w:tcBorders>
              <w:top w:val="single" w:sz="2" w:space="0" w:color="auto"/>
              <w:left w:val="single" w:sz="2" w:space="0" w:color="auto"/>
              <w:bottom w:val="single" w:sz="2" w:space="0" w:color="auto"/>
              <w:right w:val="single" w:sz="2" w:space="0" w:color="auto"/>
            </w:tcBorders>
          </w:tcPr>
          <w:p w14:paraId="58191D3F" w14:textId="77777777" w:rsidR="009F4766" w:rsidRPr="00DE12A3" w:rsidRDefault="009F4766" w:rsidP="00C917D6">
            <w:pPr>
              <w:pStyle w:val="NormalLeft"/>
            </w:pPr>
            <w:r w:rsidRPr="00DE12A3">
              <w:t>15</w:t>
            </w:r>
          </w:p>
        </w:tc>
        <w:tc>
          <w:tcPr>
            <w:tcW w:w="2489" w:type="dxa"/>
            <w:tcBorders>
              <w:top w:val="single" w:sz="2" w:space="0" w:color="auto"/>
              <w:left w:val="single" w:sz="2" w:space="0" w:color="auto"/>
              <w:bottom w:val="single" w:sz="2" w:space="0" w:color="auto"/>
              <w:right w:val="single" w:sz="2" w:space="0" w:color="auto"/>
            </w:tcBorders>
          </w:tcPr>
          <w:p w14:paraId="5683EA47" w14:textId="77777777" w:rsidR="009F4766" w:rsidRPr="00DE12A3" w:rsidRDefault="009F4766" w:rsidP="00C917D6">
            <w:pPr>
              <w:pStyle w:val="NormalLeft"/>
            </w:pPr>
            <w:r w:rsidRPr="00DE12A3">
              <w:t>0</w:t>
            </w:r>
          </w:p>
        </w:tc>
        <w:tc>
          <w:tcPr>
            <w:tcW w:w="2551" w:type="dxa"/>
            <w:tcBorders>
              <w:top w:val="single" w:sz="2" w:space="0" w:color="auto"/>
              <w:left w:val="single" w:sz="2" w:space="0" w:color="auto"/>
              <w:bottom w:val="single" w:sz="2" w:space="0" w:color="auto"/>
              <w:right w:val="single" w:sz="2" w:space="0" w:color="auto"/>
            </w:tcBorders>
          </w:tcPr>
          <w:p w14:paraId="1DBF9151" w14:textId="77777777" w:rsidR="009F4766" w:rsidRPr="00DE12A3" w:rsidRDefault="009F4766" w:rsidP="00C917D6">
            <w:pPr>
              <w:pStyle w:val="NormalLeft"/>
            </w:pPr>
            <w:r w:rsidRPr="00DE12A3">
              <w:t>0</w:t>
            </w:r>
          </w:p>
        </w:tc>
      </w:tr>
      <w:tr w:rsidR="00DE12A3" w:rsidRPr="00DE12A3" w14:paraId="29C1C3E7" w14:textId="77777777" w:rsidTr="009F4766">
        <w:tc>
          <w:tcPr>
            <w:tcW w:w="1182" w:type="dxa"/>
            <w:tcBorders>
              <w:top w:val="single" w:sz="2" w:space="0" w:color="auto"/>
              <w:left w:val="single" w:sz="2" w:space="0" w:color="auto"/>
              <w:bottom w:val="single" w:sz="2" w:space="0" w:color="auto"/>
              <w:right w:val="single" w:sz="2" w:space="0" w:color="auto"/>
            </w:tcBorders>
          </w:tcPr>
          <w:p w14:paraId="1F31FB45" w14:textId="77777777" w:rsidR="009F4766" w:rsidRPr="00DE12A3" w:rsidRDefault="009F4766" w:rsidP="00C917D6">
            <w:pPr>
              <w:pStyle w:val="NormalLeft"/>
            </w:pPr>
            <w:r w:rsidRPr="00DE12A3">
              <w:t>16</w:t>
            </w:r>
          </w:p>
        </w:tc>
        <w:tc>
          <w:tcPr>
            <w:tcW w:w="2489" w:type="dxa"/>
            <w:tcBorders>
              <w:top w:val="single" w:sz="2" w:space="0" w:color="auto"/>
              <w:left w:val="single" w:sz="2" w:space="0" w:color="auto"/>
              <w:bottom w:val="single" w:sz="2" w:space="0" w:color="auto"/>
              <w:right w:val="single" w:sz="2" w:space="0" w:color="auto"/>
            </w:tcBorders>
          </w:tcPr>
          <w:p w14:paraId="5B81399E" w14:textId="77777777" w:rsidR="009F4766" w:rsidRPr="00DE12A3" w:rsidRDefault="009F4766" w:rsidP="00C917D6">
            <w:pPr>
              <w:pStyle w:val="NormalLeft"/>
            </w:pPr>
            <w:r w:rsidRPr="00DE12A3">
              <w:t>0</w:t>
            </w:r>
          </w:p>
        </w:tc>
        <w:tc>
          <w:tcPr>
            <w:tcW w:w="2551" w:type="dxa"/>
            <w:tcBorders>
              <w:top w:val="single" w:sz="2" w:space="0" w:color="auto"/>
              <w:left w:val="single" w:sz="2" w:space="0" w:color="auto"/>
              <w:bottom w:val="single" w:sz="2" w:space="0" w:color="auto"/>
              <w:right w:val="single" w:sz="2" w:space="0" w:color="auto"/>
            </w:tcBorders>
          </w:tcPr>
          <w:p w14:paraId="078C3B0B" w14:textId="77777777" w:rsidR="009F4766" w:rsidRPr="00DE12A3" w:rsidRDefault="009F4766" w:rsidP="00C917D6">
            <w:pPr>
              <w:pStyle w:val="NormalLeft"/>
            </w:pPr>
            <w:r w:rsidRPr="00DE12A3">
              <w:t>0</w:t>
            </w:r>
          </w:p>
        </w:tc>
      </w:tr>
      <w:tr w:rsidR="00DE12A3" w:rsidRPr="00DE12A3" w14:paraId="3E7E56FA" w14:textId="77777777" w:rsidTr="009F4766">
        <w:tc>
          <w:tcPr>
            <w:tcW w:w="1182" w:type="dxa"/>
            <w:tcBorders>
              <w:top w:val="single" w:sz="2" w:space="0" w:color="auto"/>
              <w:left w:val="single" w:sz="2" w:space="0" w:color="auto"/>
              <w:bottom w:val="single" w:sz="2" w:space="0" w:color="auto"/>
              <w:right w:val="single" w:sz="2" w:space="0" w:color="auto"/>
            </w:tcBorders>
          </w:tcPr>
          <w:p w14:paraId="09854385" w14:textId="77777777" w:rsidR="009F4766" w:rsidRPr="00DE12A3" w:rsidRDefault="009F4766" w:rsidP="00C917D6">
            <w:pPr>
              <w:pStyle w:val="NormalLeft"/>
            </w:pPr>
            <w:r w:rsidRPr="00DE12A3">
              <w:t>17</w:t>
            </w:r>
          </w:p>
        </w:tc>
        <w:tc>
          <w:tcPr>
            <w:tcW w:w="2489" w:type="dxa"/>
            <w:tcBorders>
              <w:top w:val="single" w:sz="2" w:space="0" w:color="auto"/>
              <w:left w:val="single" w:sz="2" w:space="0" w:color="auto"/>
              <w:bottom w:val="single" w:sz="2" w:space="0" w:color="auto"/>
              <w:right w:val="single" w:sz="2" w:space="0" w:color="auto"/>
            </w:tcBorders>
          </w:tcPr>
          <w:p w14:paraId="587C0D8C" w14:textId="77777777" w:rsidR="009F4766" w:rsidRPr="00DE12A3" w:rsidRDefault="009F4766" w:rsidP="00C917D6">
            <w:pPr>
              <w:pStyle w:val="NormalLeft"/>
            </w:pPr>
            <w:r w:rsidRPr="00DE12A3">
              <w:t>0</w:t>
            </w:r>
          </w:p>
        </w:tc>
        <w:tc>
          <w:tcPr>
            <w:tcW w:w="2551" w:type="dxa"/>
            <w:tcBorders>
              <w:top w:val="single" w:sz="2" w:space="0" w:color="auto"/>
              <w:left w:val="single" w:sz="2" w:space="0" w:color="auto"/>
              <w:bottom w:val="single" w:sz="2" w:space="0" w:color="auto"/>
              <w:right w:val="single" w:sz="2" w:space="0" w:color="auto"/>
            </w:tcBorders>
          </w:tcPr>
          <w:p w14:paraId="2A209199" w14:textId="77777777" w:rsidR="009F4766" w:rsidRPr="00DE12A3" w:rsidRDefault="009F4766" w:rsidP="00C917D6">
            <w:pPr>
              <w:pStyle w:val="NormalLeft"/>
            </w:pPr>
            <w:r w:rsidRPr="00DE12A3">
              <w:t>0</w:t>
            </w:r>
          </w:p>
        </w:tc>
      </w:tr>
      <w:tr w:rsidR="00DE12A3" w:rsidRPr="00DE12A3" w14:paraId="3CFE2EEE" w14:textId="77777777" w:rsidTr="009F4766">
        <w:tc>
          <w:tcPr>
            <w:tcW w:w="1182" w:type="dxa"/>
            <w:tcBorders>
              <w:top w:val="single" w:sz="2" w:space="0" w:color="auto"/>
              <w:left w:val="single" w:sz="2" w:space="0" w:color="auto"/>
              <w:bottom w:val="single" w:sz="2" w:space="0" w:color="auto"/>
              <w:right w:val="single" w:sz="2" w:space="0" w:color="auto"/>
            </w:tcBorders>
          </w:tcPr>
          <w:p w14:paraId="0FDB77BC" w14:textId="77777777" w:rsidR="009F4766" w:rsidRPr="00DE12A3" w:rsidRDefault="009F4766" w:rsidP="00C917D6">
            <w:pPr>
              <w:pStyle w:val="NormalLeft"/>
            </w:pPr>
            <w:r w:rsidRPr="00DE12A3">
              <w:t>18</w:t>
            </w:r>
          </w:p>
        </w:tc>
        <w:tc>
          <w:tcPr>
            <w:tcW w:w="2489" w:type="dxa"/>
            <w:tcBorders>
              <w:top w:val="single" w:sz="2" w:space="0" w:color="auto"/>
              <w:left w:val="single" w:sz="2" w:space="0" w:color="auto"/>
              <w:bottom w:val="single" w:sz="2" w:space="0" w:color="auto"/>
              <w:right w:val="single" w:sz="2" w:space="0" w:color="auto"/>
            </w:tcBorders>
          </w:tcPr>
          <w:p w14:paraId="718D22A3" w14:textId="77777777" w:rsidR="009F4766" w:rsidRPr="00DE12A3" w:rsidRDefault="009F4766" w:rsidP="00C917D6">
            <w:pPr>
              <w:pStyle w:val="NormalLeft"/>
            </w:pPr>
            <w:r w:rsidRPr="00DE12A3">
              <w:t>0</w:t>
            </w:r>
          </w:p>
        </w:tc>
        <w:tc>
          <w:tcPr>
            <w:tcW w:w="2551" w:type="dxa"/>
            <w:tcBorders>
              <w:top w:val="single" w:sz="2" w:space="0" w:color="auto"/>
              <w:left w:val="single" w:sz="2" w:space="0" w:color="auto"/>
              <w:bottom w:val="single" w:sz="2" w:space="0" w:color="auto"/>
              <w:right w:val="single" w:sz="2" w:space="0" w:color="auto"/>
            </w:tcBorders>
          </w:tcPr>
          <w:p w14:paraId="4E76C206" w14:textId="77777777" w:rsidR="009F4766" w:rsidRPr="00DE12A3" w:rsidRDefault="009F4766" w:rsidP="00C917D6">
            <w:pPr>
              <w:pStyle w:val="NormalLeft"/>
            </w:pPr>
            <w:r w:rsidRPr="00DE12A3">
              <w:t>0</w:t>
            </w:r>
          </w:p>
        </w:tc>
      </w:tr>
      <w:tr w:rsidR="00DE12A3" w:rsidRPr="00DE12A3" w14:paraId="1B600D0B" w14:textId="77777777" w:rsidTr="009F4766">
        <w:tc>
          <w:tcPr>
            <w:tcW w:w="1182" w:type="dxa"/>
            <w:tcBorders>
              <w:top w:val="single" w:sz="2" w:space="0" w:color="auto"/>
              <w:left w:val="single" w:sz="2" w:space="0" w:color="auto"/>
              <w:bottom w:val="single" w:sz="2" w:space="0" w:color="auto"/>
              <w:right w:val="single" w:sz="2" w:space="0" w:color="auto"/>
            </w:tcBorders>
          </w:tcPr>
          <w:p w14:paraId="7E5B36A0" w14:textId="77777777" w:rsidR="009F4766" w:rsidRPr="00DE12A3" w:rsidRDefault="009F4766" w:rsidP="00C917D6">
            <w:pPr>
              <w:pStyle w:val="NormalLeft"/>
            </w:pPr>
            <w:r w:rsidRPr="00DE12A3">
              <w:t>19</w:t>
            </w:r>
          </w:p>
        </w:tc>
        <w:tc>
          <w:tcPr>
            <w:tcW w:w="2489" w:type="dxa"/>
            <w:tcBorders>
              <w:top w:val="single" w:sz="2" w:space="0" w:color="auto"/>
              <w:left w:val="single" w:sz="2" w:space="0" w:color="auto"/>
              <w:bottom w:val="single" w:sz="2" w:space="0" w:color="auto"/>
              <w:right w:val="single" w:sz="2" w:space="0" w:color="auto"/>
            </w:tcBorders>
          </w:tcPr>
          <w:p w14:paraId="0C4B93FC" w14:textId="77777777" w:rsidR="009F4766" w:rsidRPr="00DE12A3" w:rsidRDefault="009F4766" w:rsidP="00C917D6">
            <w:pPr>
              <w:pStyle w:val="NormalLeft"/>
            </w:pPr>
            <w:r w:rsidRPr="00DE12A3">
              <w:t>0</w:t>
            </w:r>
          </w:p>
        </w:tc>
        <w:tc>
          <w:tcPr>
            <w:tcW w:w="2551" w:type="dxa"/>
            <w:tcBorders>
              <w:top w:val="single" w:sz="2" w:space="0" w:color="auto"/>
              <w:left w:val="single" w:sz="2" w:space="0" w:color="auto"/>
              <w:bottom w:val="single" w:sz="2" w:space="0" w:color="auto"/>
              <w:right w:val="single" w:sz="2" w:space="0" w:color="auto"/>
            </w:tcBorders>
          </w:tcPr>
          <w:p w14:paraId="4A78E7C3" w14:textId="77777777" w:rsidR="009F4766" w:rsidRPr="00DE12A3" w:rsidRDefault="009F4766" w:rsidP="00C917D6">
            <w:pPr>
              <w:pStyle w:val="NormalLeft"/>
            </w:pPr>
            <w:r w:rsidRPr="00DE12A3">
              <w:t>0</w:t>
            </w:r>
          </w:p>
        </w:tc>
      </w:tr>
      <w:tr w:rsidR="00DE12A3" w:rsidRPr="00DE12A3" w14:paraId="444FE266" w14:textId="77777777" w:rsidTr="009F4766">
        <w:tc>
          <w:tcPr>
            <w:tcW w:w="1182" w:type="dxa"/>
            <w:tcBorders>
              <w:top w:val="single" w:sz="2" w:space="0" w:color="auto"/>
              <w:left w:val="single" w:sz="2" w:space="0" w:color="auto"/>
              <w:bottom w:val="single" w:sz="2" w:space="0" w:color="auto"/>
              <w:right w:val="single" w:sz="2" w:space="0" w:color="auto"/>
            </w:tcBorders>
          </w:tcPr>
          <w:p w14:paraId="4EE1135F" w14:textId="77777777" w:rsidR="009F4766" w:rsidRPr="00DE12A3" w:rsidRDefault="009F4766" w:rsidP="00C917D6">
            <w:pPr>
              <w:pStyle w:val="NormalLeft"/>
            </w:pPr>
            <w:r w:rsidRPr="00DE12A3">
              <w:lastRenderedPageBreak/>
              <w:t>20</w:t>
            </w:r>
          </w:p>
        </w:tc>
        <w:tc>
          <w:tcPr>
            <w:tcW w:w="2489" w:type="dxa"/>
            <w:tcBorders>
              <w:top w:val="single" w:sz="2" w:space="0" w:color="auto"/>
              <w:left w:val="single" w:sz="2" w:space="0" w:color="auto"/>
              <w:bottom w:val="single" w:sz="2" w:space="0" w:color="auto"/>
              <w:right w:val="single" w:sz="2" w:space="0" w:color="auto"/>
            </w:tcBorders>
          </w:tcPr>
          <w:p w14:paraId="2BB0FC14" w14:textId="77777777" w:rsidR="009F4766" w:rsidRPr="00DE12A3" w:rsidRDefault="009F4766" w:rsidP="00C917D6">
            <w:pPr>
              <w:pStyle w:val="NormalLeft"/>
            </w:pPr>
            <w:r w:rsidRPr="00DE12A3">
              <w:t>0</w:t>
            </w:r>
          </w:p>
        </w:tc>
        <w:tc>
          <w:tcPr>
            <w:tcW w:w="2551" w:type="dxa"/>
            <w:tcBorders>
              <w:top w:val="single" w:sz="2" w:space="0" w:color="auto"/>
              <w:left w:val="single" w:sz="2" w:space="0" w:color="auto"/>
              <w:bottom w:val="single" w:sz="2" w:space="0" w:color="auto"/>
              <w:right w:val="single" w:sz="2" w:space="0" w:color="auto"/>
            </w:tcBorders>
          </w:tcPr>
          <w:p w14:paraId="3FC35991" w14:textId="77777777" w:rsidR="009F4766" w:rsidRPr="00DE12A3" w:rsidRDefault="009F4766" w:rsidP="00C917D6">
            <w:pPr>
              <w:pStyle w:val="NormalLeft"/>
            </w:pPr>
            <w:r w:rsidRPr="00DE12A3">
              <w:t>0</w:t>
            </w:r>
          </w:p>
        </w:tc>
      </w:tr>
      <w:tr w:rsidR="00DE12A3" w:rsidRPr="00DE12A3" w14:paraId="69562368" w14:textId="77777777" w:rsidTr="009F4766">
        <w:tc>
          <w:tcPr>
            <w:tcW w:w="1182" w:type="dxa"/>
            <w:tcBorders>
              <w:top w:val="single" w:sz="2" w:space="0" w:color="auto"/>
              <w:left w:val="single" w:sz="2" w:space="0" w:color="auto"/>
              <w:bottom w:val="single" w:sz="2" w:space="0" w:color="auto"/>
              <w:right w:val="single" w:sz="2" w:space="0" w:color="auto"/>
            </w:tcBorders>
          </w:tcPr>
          <w:p w14:paraId="47AD2AE9" w14:textId="77777777" w:rsidR="009F4766" w:rsidRPr="00DE12A3" w:rsidRDefault="009F4766" w:rsidP="00C917D6">
            <w:pPr>
              <w:pStyle w:val="NormalLeft"/>
            </w:pPr>
            <w:r w:rsidRPr="00DE12A3">
              <w:t>21</w:t>
            </w:r>
          </w:p>
        </w:tc>
        <w:tc>
          <w:tcPr>
            <w:tcW w:w="2489" w:type="dxa"/>
            <w:tcBorders>
              <w:top w:val="single" w:sz="2" w:space="0" w:color="auto"/>
              <w:left w:val="single" w:sz="2" w:space="0" w:color="auto"/>
              <w:bottom w:val="single" w:sz="2" w:space="0" w:color="auto"/>
              <w:right w:val="single" w:sz="2" w:space="0" w:color="auto"/>
            </w:tcBorders>
          </w:tcPr>
          <w:p w14:paraId="59540DE6" w14:textId="77777777" w:rsidR="009F4766" w:rsidRPr="00DE12A3" w:rsidRDefault="009F4766" w:rsidP="00C917D6">
            <w:pPr>
              <w:pStyle w:val="NormalLeft"/>
            </w:pPr>
            <w:r w:rsidRPr="00DE12A3">
              <w:t>0</w:t>
            </w:r>
          </w:p>
        </w:tc>
        <w:tc>
          <w:tcPr>
            <w:tcW w:w="2551" w:type="dxa"/>
            <w:tcBorders>
              <w:top w:val="single" w:sz="2" w:space="0" w:color="auto"/>
              <w:left w:val="single" w:sz="2" w:space="0" w:color="auto"/>
              <w:bottom w:val="single" w:sz="2" w:space="0" w:color="auto"/>
              <w:right w:val="single" w:sz="2" w:space="0" w:color="auto"/>
            </w:tcBorders>
          </w:tcPr>
          <w:p w14:paraId="08A627EB" w14:textId="77777777" w:rsidR="009F4766" w:rsidRPr="00DE12A3" w:rsidRDefault="009F4766" w:rsidP="00C917D6">
            <w:pPr>
              <w:pStyle w:val="NormalLeft"/>
            </w:pPr>
            <w:r w:rsidRPr="00DE12A3">
              <w:t>0</w:t>
            </w:r>
          </w:p>
        </w:tc>
      </w:tr>
      <w:tr w:rsidR="00DE12A3" w:rsidRPr="00DE12A3" w14:paraId="71BEB9A5" w14:textId="77777777" w:rsidTr="009F4766">
        <w:tc>
          <w:tcPr>
            <w:tcW w:w="1182" w:type="dxa"/>
            <w:tcBorders>
              <w:top w:val="single" w:sz="2" w:space="0" w:color="auto"/>
              <w:left w:val="single" w:sz="2" w:space="0" w:color="auto"/>
              <w:bottom w:val="single" w:sz="2" w:space="0" w:color="auto"/>
              <w:right w:val="single" w:sz="2" w:space="0" w:color="auto"/>
            </w:tcBorders>
          </w:tcPr>
          <w:p w14:paraId="28994019" w14:textId="77777777" w:rsidR="009F4766" w:rsidRPr="00DE12A3" w:rsidRDefault="009F4766" w:rsidP="00C917D6">
            <w:pPr>
              <w:pStyle w:val="NormalLeft"/>
            </w:pPr>
            <w:r w:rsidRPr="00DE12A3">
              <w:t>22</w:t>
            </w:r>
          </w:p>
        </w:tc>
        <w:tc>
          <w:tcPr>
            <w:tcW w:w="2489" w:type="dxa"/>
            <w:tcBorders>
              <w:top w:val="single" w:sz="2" w:space="0" w:color="auto"/>
              <w:left w:val="single" w:sz="2" w:space="0" w:color="auto"/>
              <w:bottom w:val="single" w:sz="2" w:space="0" w:color="auto"/>
              <w:right w:val="single" w:sz="2" w:space="0" w:color="auto"/>
            </w:tcBorders>
          </w:tcPr>
          <w:p w14:paraId="1A3CC777" w14:textId="77777777" w:rsidR="009F4766" w:rsidRPr="00DE12A3" w:rsidRDefault="009F4766" w:rsidP="00C917D6">
            <w:pPr>
              <w:pStyle w:val="NormalLeft"/>
            </w:pPr>
            <w:r w:rsidRPr="00DE12A3">
              <w:t>0</w:t>
            </w:r>
          </w:p>
        </w:tc>
        <w:tc>
          <w:tcPr>
            <w:tcW w:w="2551" w:type="dxa"/>
            <w:tcBorders>
              <w:top w:val="single" w:sz="2" w:space="0" w:color="auto"/>
              <w:left w:val="single" w:sz="2" w:space="0" w:color="auto"/>
              <w:bottom w:val="single" w:sz="2" w:space="0" w:color="auto"/>
              <w:right w:val="single" w:sz="2" w:space="0" w:color="auto"/>
            </w:tcBorders>
          </w:tcPr>
          <w:p w14:paraId="28BCE58A" w14:textId="77777777" w:rsidR="009F4766" w:rsidRPr="00DE12A3" w:rsidRDefault="009F4766" w:rsidP="00C917D6">
            <w:pPr>
              <w:pStyle w:val="NormalLeft"/>
            </w:pPr>
            <w:r w:rsidRPr="00DE12A3">
              <w:t>0</w:t>
            </w:r>
          </w:p>
        </w:tc>
      </w:tr>
      <w:tr w:rsidR="00DE12A3" w:rsidRPr="00DE12A3" w14:paraId="57037D32" w14:textId="77777777" w:rsidTr="009F4766">
        <w:tc>
          <w:tcPr>
            <w:tcW w:w="1182" w:type="dxa"/>
            <w:tcBorders>
              <w:top w:val="single" w:sz="2" w:space="0" w:color="auto"/>
              <w:left w:val="single" w:sz="2" w:space="0" w:color="auto"/>
              <w:bottom w:val="single" w:sz="2" w:space="0" w:color="auto"/>
              <w:right w:val="single" w:sz="2" w:space="0" w:color="auto"/>
            </w:tcBorders>
          </w:tcPr>
          <w:p w14:paraId="3CE4D8F7" w14:textId="77777777" w:rsidR="009F4766" w:rsidRPr="00DE12A3" w:rsidRDefault="009F4766" w:rsidP="00C917D6">
            <w:pPr>
              <w:pStyle w:val="NormalLeft"/>
            </w:pPr>
            <w:r w:rsidRPr="00DE12A3">
              <w:t>23</w:t>
            </w:r>
          </w:p>
        </w:tc>
        <w:tc>
          <w:tcPr>
            <w:tcW w:w="2489" w:type="dxa"/>
            <w:tcBorders>
              <w:top w:val="single" w:sz="2" w:space="0" w:color="auto"/>
              <w:left w:val="single" w:sz="2" w:space="0" w:color="auto"/>
              <w:bottom w:val="single" w:sz="2" w:space="0" w:color="auto"/>
              <w:right w:val="single" w:sz="2" w:space="0" w:color="auto"/>
            </w:tcBorders>
          </w:tcPr>
          <w:p w14:paraId="32645678" w14:textId="77777777" w:rsidR="009F4766" w:rsidRPr="00DE12A3" w:rsidRDefault="009F4766" w:rsidP="00C917D6">
            <w:pPr>
              <w:pStyle w:val="NormalLeft"/>
            </w:pPr>
            <w:r w:rsidRPr="00DE12A3">
              <w:t>0</w:t>
            </w:r>
          </w:p>
        </w:tc>
        <w:tc>
          <w:tcPr>
            <w:tcW w:w="2551" w:type="dxa"/>
            <w:tcBorders>
              <w:top w:val="single" w:sz="2" w:space="0" w:color="auto"/>
              <w:left w:val="single" w:sz="2" w:space="0" w:color="auto"/>
              <w:bottom w:val="single" w:sz="2" w:space="0" w:color="auto"/>
              <w:right w:val="single" w:sz="2" w:space="0" w:color="auto"/>
            </w:tcBorders>
          </w:tcPr>
          <w:p w14:paraId="4E561229" w14:textId="77777777" w:rsidR="009F4766" w:rsidRPr="00DE12A3" w:rsidRDefault="009F4766" w:rsidP="00C917D6">
            <w:pPr>
              <w:pStyle w:val="NormalLeft"/>
            </w:pPr>
            <w:r w:rsidRPr="00DE12A3">
              <w:t>0</w:t>
            </w:r>
          </w:p>
        </w:tc>
      </w:tr>
      <w:tr w:rsidR="00DE12A3" w:rsidRPr="00DE12A3" w14:paraId="2EF9055C" w14:textId="77777777" w:rsidTr="009F4766">
        <w:tc>
          <w:tcPr>
            <w:tcW w:w="1182" w:type="dxa"/>
            <w:tcBorders>
              <w:top w:val="single" w:sz="2" w:space="0" w:color="auto"/>
              <w:left w:val="single" w:sz="2" w:space="0" w:color="auto"/>
              <w:bottom w:val="single" w:sz="2" w:space="0" w:color="auto"/>
              <w:right w:val="single" w:sz="2" w:space="0" w:color="auto"/>
            </w:tcBorders>
          </w:tcPr>
          <w:p w14:paraId="3BE6B9E3" w14:textId="77777777" w:rsidR="009F4766" w:rsidRPr="00DE12A3" w:rsidRDefault="009F4766" w:rsidP="00C917D6">
            <w:pPr>
              <w:pStyle w:val="NormalLeft"/>
            </w:pPr>
            <w:r w:rsidRPr="00DE12A3">
              <w:t>24</w:t>
            </w:r>
          </w:p>
        </w:tc>
        <w:tc>
          <w:tcPr>
            <w:tcW w:w="2489" w:type="dxa"/>
            <w:tcBorders>
              <w:top w:val="single" w:sz="2" w:space="0" w:color="auto"/>
              <w:left w:val="single" w:sz="2" w:space="0" w:color="auto"/>
              <w:bottom w:val="single" w:sz="2" w:space="0" w:color="auto"/>
              <w:right w:val="single" w:sz="2" w:space="0" w:color="auto"/>
            </w:tcBorders>
          </w:tcPr>
          <w:p w14:paraId="1D760153" w14:textId="77777777" w:rsidR="009F4766" w:rsidRPr="00DE12A3" w:rsidRDefault="009F4766" w:rsidP="00C917D6">
            <w:pPr>
              <w:pStyle w:val="NormalLeft"/>
            </w:pPr>
            <w:r w:rsidRPr="00DE12A3">
              <w:t>1</w:t>
            </w:r>
          </w:p>
        </w:tc>
        <w:tc>
          <w:tcPr>
            <w:tcW w:w="2551" w:type="dxa"/>
            <w:tcBorders>
              <w:top w:val="single" w:sz="2" w:space="0" w:color="auto"/>
              <w:left w:val="single" w:sz="2" w:space="0" w:color="auto"/>
              <w:bottom w:val="single" w:sz="2" w:space="0" w:color="auto"/>
              <w:right w:val="single" w:sz="2" w:space="0" w:color="auto"/>
            </w:tcBorders>
          </w:tcPr>
          <w:p w14:paraId="531D880C" w14:textId="77777777" w:rsidR="009F4766" w:rsidRPr="00DE12A3" w:rsidRDefault="009F4766" w:rsidP="00C917D6">
            <w:pPr>
              <w:pStyle w:val="NormalLeft"/>
            </w:pPr>
            <w:r w:rsidRPr="00DE12A3">
              <w:t>3</w:t>
            </w:r>
          </w:p>
        </w:tc>
      </w:tr>
      <w:tr w:rsidR="00DE12A3" w:rsidRPr="00DE12A3" w14:paraId="481C25CB" w14:textId="77777777" w:rsidTr="009F4766">
        <w:tc>
          <w:tcPr>
            <w:tcW w:w="1182" w:type="dxa"/>
            <w:tcBorders>
              <w:top w:val="single" w:sz="2" w:space="0" w:color="auto"/>
              <w:left w:val="single" w:sz="2" w:space="0" w:color="auto"/>
              <w:bottom w:val="single" w:sz="2" w:space="0" w:color="auto"/>
              <w:right w:val="single" w:sz="2" w:space="0" w:color="auto"/>
            </w:tcBorders>
          </w:tcPr>
          <w:p w14:paraId="224F5B76" w14:textId="77777777" w:rsidR="009F4766" w:rsidRPr="00DE12A3" w:rsidRDefault="009F4766" w:rsidP="00C917D6">
            <w:pPr>
              <w:pStyle w:val="NormalLeft"/>
            </w:pPr>
            <w:r w:rsidRPr="00DE12A3">
              <w:t>25</w:t>
            </w:r>
          </w:p>
        </w:tc>
        <w:tc>
          <w:tcPr>
            <w:tcW w:w="2489" w:type="dxa"/>
            <w:tcBorders>
              <w:top w:val="single" w:sz="2" w:space="0" w:color="auto"/>
              <w:left w:val="single" w:sz="2" w:space="0" w:color="auto"/>
              <w:bottom w:val="single" w:sz="2" w:space="0" w:color="auto"/>
              <w:right w:val="single" w:sz="2" w:space="0" w:color="auto"/>
            </w:tcBorders>
          </w:tcPr>
          <w:p w14:paraId="59748AD1" w14:textId="77777777" w:rsidR="009F4766" w:rsidRPr="00DE12A3" w:rsidRDefault="009F4766" w:rsidP="00C917D6">
            <w:pPr>
              <w:pStyle w:val="NormalLeft"/>
            </w:pPr>
            <w:r w:rsidRPr="00DE12A3">
              <w:t>1</w:t>
            </w:r>
          </w:p>
        </w:tc>
        <w:tc>
          <w:tcPr>
            <w:tcW w:w="2551" w:type="dxa"/>
            <w:tcBorders>
              <w:top w:val="single" w:sz="2" w:space="0" w:color="auto"/>
              <w:left w:val="single" w:sz="2" w:space="0" w:color="auto"/>
              <w:bottom w:val="single" w:sz="2" w:space="0" w:color="auto"/>
              <w:right w:val="single" w:sz="2" w:space="0" w:color="auto"/>
            </w:tcBorders>
          </w:tcPr>
          <w:p w14:paraId="66FE62AB" w14:textId="77777777" w:rsidR="009F4766" w:rsidRPr="00DE12A3" w:rsidRDefault="009F4766" w:rsidP="00C917D6">
            <w:pPr>
              <w:pStyle w:val="NormalLeft"/>
            </w:pPr>
            <w:r w:rsidRPr="00DE12A3">
              <w:t>3</w:t>
            </w:r>
          </w:p>
        </w:tc>
      </w:tr>
      <w:tr w:rsidR="00DE12A3" w:rsidRPr="00DE12A3" w14:paraId="7E93AE39" w14:textId="77777777" w:rsidTr="009F4766">
        <w:tc>
          <w:tcPr>
            <w:tcW w:w="1182" w:type="dxa"/>
            <w:tcBorders>
              <w:top w:val="single" w:sz="2" w:space="0" w:color="auto"/>
              <w:left w:val="single" w:sz="2" w:space="0" w:color="auto"/>
              <w:bottom w:val="single" w:sz="2" w:space="0" w:color="auto"/>
              <w:right w:val="single" w:sz="2" w:space="0" w:color="auto"/>
            </w:tcBorders>
          </w:tcPr>
          <w:p w14:paraId="7AE2B742" w14:textId="77777777" w:rsidR="009F4766" w:rsidRPr="00DE12A3" w:rsidRDefault="009F4766" w:rsidP="00C917D6">
            <w:pPr>
              <w:pStyle w:val="NormalLeft"/>
            </w:pPr>
            <w:r w:rsidRPr="00DE12A3">
              <w:t>26</w:t>
            </w:r>
          </w:p>
        </w:tc>
        <w:tc>
          <w:tcPr>
            <w:tcW w:w="2489" w:type="dxa"/>
            <w:tcBorders>
              <w:top w:val="single" w:sz="2" w:space="0" w:color="auto"/>
              <w:left w:val="single" w:sz="2" w:space="0" w:color="auto"/>
              <w:bottom w:val="single" w:sz="2" w:space="0" w:color="auto"/>
              <w:right w:val="single" w:sz="2" w:space="0" w:color="auto"/>
            </w:tcBorders>
          </w:tcPr>
          <w:p w14:paraId="669D4900" w14:textId="77777777" w:rsidR="009F4766" w:rsidRPr="00DE12A3" w:rsidRDefault="009F4766" w:rsidP="00C917D6">
            <w:pPr>
              <w:pStyle w:val="NormalLeft"/>
            </w:pPr>
            <w:r w:rsidRPr="00DE12A3">
              <w:t>1</w:t>
            </w:r>
          </w:p>
        </w:tc>
        <w:tc>
          <w:tcPr>
            <w:tcW w:w="2551" w:type="dxa"/>
            <w:tcBorders>
              <w:top w:val="single" w:sz="2" w:space="0" w:color="auto"/>
              <w:left w:val="single" w:sz="2" w:space="0" w:color="auto"/>
              <w:bottom w:val="single" w:sz="2" w:space="0" w:color="auto"/>
              <w:right w:val="single" w:sz="2" w:space="0" w:color="auto"/>
            </w:tcBorders>
          </w:tcPr>
          <w:p w14:paraId="3B065FBD" w14:textId="77777777" w:rsidR="009F4766" w:rsidRPr="00DE12A3" w:rsidRDefault="009F4766" w:rsidP="00C917D6">
            <w:pPr>
              <w:pStyle w:val="NormalLeft"/>
            </w:pPr>
            <w:r w:rsidRPr="00DE12A3">
              <w:t>3</w:t>
            </w:r>
          </w:p>
        </w:tc>
      </w:tr>
      <w:tr w:rsidR="00DE12A3" w:rsidRPr="00DE12A3" w14:paraId="101B49D2" w14:textId="77777777" w:rsidTr="009F4766">
        <w:tc>
          <w:tcPr>
            <w:tcW w:w="1182" w:type="dxa"/>
            <w:tcBorders>
              <w:top w:val="single" w:sz="2" w:space="0" w:color="auto"/>
              <w:left w:val="single" w:sz="2" w:space="0" w:color="auto"/>
              <w:bottom w:val="single" w:sz="2" w:space="0" w:color="auto"/>
              <w:right w:val="single" w:sz="2" w:space="0" w:color="auto"/>
            </w:tcBorders>
          </w:tcPr>
          <w:p w14:paraId="028FB560" w14:textId="77777777" w:rsidR="009F4766" w:rsidRPr="00DE12A3" w:rsidRDefault="009F4766" w:rsidP="00C917D6">
            <w:pPr>
              <w:pStyle w:val="NormalLeft"/>
            </w:pPr>
            <w:r w:rsidRPr="00DE12A3">
              <w:t>27</w:t>
            </w:r>
          </w:p>
        </w:tc>
        <w:tc>
          <w:tcPr>
            <w:tcW w:w="2489" w:type="dxa"/>
            <w:tcBorders>
              <w:top w:val="single" w:sz="2" w:space="0" w:color="auto"/>
              <w:left w:val="single" w:sz="2" w:space="0" w:color="auto"/>
              <w:bottom w:val="single" w:sz="2" w:space="0" w:color="auto"/>
              <w:right w:val="single" w:sz="2" w:space="0" w:color="auto"/>
            </w:tcBorders>
          </w:tcPr>
          <w:p w14:paraId="5E2DD04E" w14:textId="77777777" w:rsidR="009F4766" w:rsidRPr="00DE12A3" w:rsidRDefault="009F4766" w:rsidP="00C917D6">
            <w:pPr>
              <w:pStyle w:val="NormalLeft"/>
            </w:pPr>
            <w:r w:rsidRPr="00DE12A3">
              <w:t>1</w:t>
            </w:r>
          </w:p>
        </w:tc>
        <w:tc>
          <w:tcPr>
            <w:tcW w:w="2551" w:type="dxa"/>
            <w:tcBorders>
              <w:top w:val="single" w:sz="2" w:space="0" w:color="auto"/>
              <w:left w:val="single" w:sz="2" w:space="0" w:color="auto"/>
              <w:bottom w:val="single" w:sz="2" w:space="0" w:color="auto"/>
              <w:right w:val="single" w:sz="2" w:space="0" w:color="auto"/>
            </w:tcBorders>
          </w:tcPr>
          <w:p w14:paraId="1E9D3587" w14:textId="77777777" w:rsidR="009F4766" w:rsidRPr="00DE12A3" w:rsidRDefault="009F4766" w:rsidP="00C917D6">
            <w:pPr>
              <w:pStyle w:val="NormalLeft"/>
            </w:pPr>
            <w:r w:rsidRPr="00DE12A3">
              <w:t>3</w:t>
            </w:r>
          </w:p>
        </w:tc>
      </w:tr>
      <w:tr w:rsidR="00DE12A3" w:rsidRPr="00DE12A3" w14:paraId="784BFECC" w14:textId="77777777" w:rsidTr="009F4766">
        <w:tc>
          <w:tcPr>
            <w:tcW w:w="1182" w:type="dxa"/>
            <w:tcBorders>
              <w:top w:val="single" w:sz="2" w:space="0" w:color="auto"/>
              <w:left w:val="single" w:sz="2" w:space="0" w:color="auto"/>
              <w:bottom w:val="single" w:sz="2" w:space="0" w:color="auto"/>
              <w:right w:val="single" w:sz="2" w:space="0" w:color="auto"/>
            </w:tcBorders>
          </w:tcPr>
          <w:p w14:paraId="01EBC599" w14:textId="77777777" w:rsidR="009F4766" w:rsidRPr="00DE12A3" w:rsidRDefault="009F4766" w:rsidP="00C917D6">
            <w:pPr>
              <w:pStyle w:val="NormalLeft"/>
            </w:pPr>
            <w:r w:rsidRPr="00DE12A3">
              <w:t>28</w:t>
            </w:r>
          </w:p>
        </w:tc>
        <w:tc>
          <w:tcPr>
            <w:tcW w:w="2489" w:type="dxa"/>
            <w:tcBorders>
              <w:top w:val="single" w:sz="2" w:space="0" w:color="auto"/>
              <w:left w:val="single" w:sz="2" w:space="0" w:color="auto"/>
              <w:bottom w:val="single" w:sz="2" w:space="0" w:color="auto"/>
              <w:right w:val="single" w:sz="2" w:space="0" w:color="auto"/>
            </w:tcBorders>
          </w:tcPr>
          <w:p w14:paraId="4D083CEC" w14:textId="77777777" w:rsidR="009F4766" w:rsidRPr="00DE12A3" w:rsidRDefault="009F4766" w:rsidP="00C917D6">
            <w:pPr>
              <w:pStyle w:val="NormalLeft"/>
            </w:pPr>
            <w:r w:rsidRPr="00DE12A3">
              <w:t>1</w:t>
            </w:r>
          </w:p>
        </w:tc>
        <w:tc>
          <w:tcPr>
            <w:tcW w:w="2551" w:type="dxa"/>
            <w:tcBorders>
              <w:top w:val="single" w:sz="2" w:space="0" w:color="auto"/>
              <w:left w:val="single" w:sz="2" w:space="0" w:color="auto"/>
              <w:bottom w:val="single" w:sz="2" w:space="0" w:color="auto"/>
              <w:right w:val="single" w:sz="2" w:space="0" w:color="auto"/>
            </w:tcBorders>
          </w:tcPr>
          <w:p w14:paraId="5016085F" w14:textId="77777777" w:rsidR="009F4766" w:rsidRPr="00DE12A3" w:rsidRDefault="009F4766" w:rsidP="00C917D6">
            <w:pPr>
              <w:pStyle w:val="NormalLeft"/>
            </w:pPr>
            <w:r w:rsidRPr="00DE12A3">
              <w:t>3</w:t>
            </w:r>
          </w:p>
        </w:tc>
      </w:tr>
      <w:tr w:rsidR="00DE12A3" w:rsidRPr="00DE12A3" w14:paraId="79BA3863" w14:textId="77777777" w:rsidTr="009F4766">
        <w:tc>
          <w:tcPr>
            <w:tcW w:w="1182" w:type="dxa"/>
            <w:tcBorders>
              <w:top w:val="single" w:sz="2" w:space="0" w:color="auto"/>
              <w:left w:val="single" w:sz="2" w:space="0" w:color="auto"/>
              <w:bottom w:val="single" w:sz="2" w:space="0" w:color="auto"/>
              <w:right w:val="single" w:sz="2" w:space="0" w:color="auto"/>
            </w:tcBorders>
          </w:tcPr>
          <w:p w14:paraId="167AD398" w14:textId="77777777" w:rsidR="009F4766" w:rsidRPr="00DE12A3" w:rsidRDefault="009F4766" w:rsidP="00C917D6">
            <w:pPr>
              <w:pStyle w:val="NormalLeft"/>
            </w:pPr>
            <w:r w:rsidRPr="00DE12A3">
              <w:t>29</w:t>
            </w:r>
          </w:p>
        </w:tc>
        <w:tc>
          <w:tcPr>
            <w:tcW w:w="2489" w:type="dxa"/>
            <w:tcBorders>
              <w:top w:val="single" w:sz="2" w:space="0" w:color="auto"/>
              <w:left w:val="single" w:sz="2" w:space="0" w:color="auto"/>
              <w:bottom w:val="single" w:sz="2" w:space="0" w:color="auto"/>
              <w:right w:val="single" w:sz="2" w:space="0" w:color="auto"/>
            </w:tcBorders>
          </w:tcPr>
          <w:p w14:paraId="01142EE3" w14:textId="77777777" w:rsidR="009F4766" w:rsidRPr="00DE12A3" w:rsidRDefault="009F4766" w:rsidP="00C917D6">
            <w:pPr>
              <w:pStyle w:val="NormalLeft"/>
            </w:pPr>
            <w:r w:rsidRPr="00DE12A3">
              <w:t>1</w:t>
            </w:r>
          </w:p>
        </w:tc>
        <w:tc>
          <w:tcPr>
            <w:tcW w:w="2551" w:type="dxa"/>
            <w:tcBorders>
              <w:top w:val="single" w:sz="2" w:space="0" w:color="auto"/>
              <w:left w:val="single" w:sz="2" w:space="0" w:color="auto"/>
              <w:bottom w:val="single" w:sz="2" w:space="0" w:color="auto"/>
              <w:right w:val="single" w:sz="2" w:space="0" w:color="auto"/>
            </w:tcBorders>
          </w:tcPr>
          <w:p w14:paraId="7E576492" w14:textId="77777777" w:rsidR="009F4766" w:rsidRPr="00DE12A3" w:rsidRDefault="009F4766" w:rsidP="00C917D6">
            <w:pPr>
              <w:pStyle w:val="NormalLeft"/>
            </w:pPr>
            <w:r w:rsidRPr="00DE12A3">
              <w:t>3</w:t>
            </w:r>
          </w:p>
        </w:tc>
      </w:tr>
      <w:tr w:rsidR="00DE12A3" w:rsidRPr="00DE12A3" w14:paraId="0766E715" w14:textId="77777777" w:rsidTr="009F4766">
        <w:tc>
          <w:tcPr>
            <w:tcW w:w="1182" w:type="dxa"/>
            <w:tcBorders>
              <w:top w:val="single" w:sz="2" w:space="0" w:color="auto"/>
              <w:left w:val="single" w:sz="2" w:space="0" w:color="auto"/>
              <w:bottom w:val="single" w:sz="2" w:space="0" w:color="auto"/>
              <w:right w:val="single" w:sz="2" w:space="0" w:color="auto"/>
            </w:tcBorders>
          </w:tcPr>
          <w:p w14:paraId="78122360" w14:textId="77777777" w:rsidR="009F4766" w:rsidRPr="00DE12A3" w:rsidRDefault="009F4766" w:rsidP="00C917D6">
            <w:pPr>
              <w:pStyle w:val="NormalLeft"/>
            </w:pPr>
            <w:r w:rsidRPr="00DE12A3">
              <w:t>30</w:t>
            </w:r>
          </w:p>
        </w:tc>
        <w:tc>
          <w:tcPr>
            <w:tcW w:w="2489" w:type="dxa"/>
            <w:tcBorders>
              <w:top w:val="single" w:sz="2" w:space="0" w:color="auto"/>
              <w:left w:val="single" w:sz="2" w:space="0" w:color="auto"/>
              <w:bottom w:val="single" w:sz="2" w:space="0" w:color="auto"/>
              <w:right w:val="single" w:sz="2" w:space="0" w:color="auto"/>
            </w:tcBorders>
          </w:tcPr>
          <w:p w14:paraId="6AE40BFD" w14:textId="77777777" w:rsidR="009F4766" w:rsidRPr="00DE12A3" w:rsidRDefault="009F4766" w:rsidP="00C917D6">
            <w:pPr>
              <w:pStyle w:val="NormalLeft"/>
            </w:pPr>
            <w:r w:rsidRPr="00DE12A3">
              <w:t>1</w:t>
            </w:r>
          </w:p>
        </w:tc>
        <w:tc>
          <w:tcPr>
            <w:tcW w:w="2551" w:type="dxa"/>
            <w:tcBorders>
              <w:top w:val="single" w:sz="2" w:space="0" w:color="auto"/>
              <w:left w:val="single" w:sz="2" w:space="0" w:color="auto"/>
              <w:bottom w:val="single" w:sz="2" w:space="0" w:color="auto"/>
              <w:right w:val="single" w:sz="2" w:space="0" w:color="auto"/>
            </w:tcBorders>
          </w:tcPr>
          <w:p w14:paraId="49ACDB53" w14:textId="77777777" w:rsidR="009F4766" w:rsidRPr="00DE12A3" w:rsidRDefault="009F4766" w:rsidP="00C917D6">
            <w:pPr>
              <w:pStyle w:val="NormalLeft"/>
            </w:pPr>
            <w:r w:rsidRPr="00DE12A3">
              <w:t>6</w:t>
            </w:r>
          </w:p>
        </w:tc>
      </w:tr>
      <w:tr w:rsidR="00DE12A3" w:rsidRPr="00DE12A3" w14:paraId="5977D16F" w14:textId="77777777" w:rsidTr="009F4766">
        <w:tc>
          <w:tcPr>
            <w:tcW w:w="1182" w:type="dxa"/>
            <w:tcBorders>
              <w:top w:val="single" w:sz="2" w:space="0" w:color="auto"/>
              <w:left w:val="single" w:sz="2" w:space="0" w:color="auto"/>
              <w:bottom w:val="single" w:sz="2" w:space="0" w:color="auto"/>
              <w:right w:val="single" w:sz="2" w:space="0" w:color="auto"/>
            </w:tcBorders>
          </w:tcPr>
          <w:p w14:paraId="11BBC1A3" w14:textId="77777777" w:rsidR="009F4766" w:rsidRPr="00DE12A3" w:rsidRDefault="009F4766" w:rsidP="00C917D6">
            <w:pPr>
              <w:pStyle w:val="NormalLeft"/>
            </w:pPr>
            <w:r w:rsidRPr="00DE12A3">
              <w:t>31</w:t>
            </w:r>
          </w:p>
        </w:tc>
        <w:tc>
          <w:tcPr>
            <w:tcW w:w="2489" w:type="dxa"/>
            <w:tcBorders>
              <w:top w:val="single" w:sz="2" w:space="0" w:color="auto"/>
              <w:left w:val="single" w:sz="2" w:space="0" w:color="auto"/>
              <w:bottom w:val="single" w:sz="2" w:space="0" w:color="auto"/>
              <w:right w:val="single" w:sz="2" w:space="0" w:color="auto"/>
            </w:tcBorders>
          </w:tcPr>
          <w:p w14:paraId="6B0035BF" w14:textId="77777777" w:rsidR="009F4766" w:rsidRPr="00DE12A3" w:rsidRDefault="009F4766" w:rsidP="00C917D6">
            <w:pPr>
              <w:pStyle w:val="NormalLeft"/>
            </w:pPr>
            <w:r w:rsidRPr="00DE12A3">
              <w:t>1</w:t>
            </w:r>
          </w:p>
        </w:tc>
        <w:tc>
          <w:tcPr>
            <w:tcW w:w="2551" w:type="dxa"/>
            <w:tcBorders>
              <w:top w:val="single" w:sz="2" w:space="0" w:color="auto"/>
              <w:left w:val="single" w:sz="2" w:space="0" w:color="auto"/>
              <w:bottom w:val="single" w:sz="2" w:space="0" w:color="auto"/>
              <w:right w:val="single" w:sz="2" w:space="0" w:color="auto"/>
            </w:tcBorders>
          </w:tcPr>
          <w:p w14:paraId="021ACEAF" w14:textId="77777777" w:rsidR="009F4766" w:rsidRPr="00DE12A3" w:rsidRDefault="009F4766" w:rsidP="00C917D6">
            <w:pPr>
              <w:pStyle w:val="NormalLeft"/>
            </w:pPr>
            <w:r w:rsidRPr="00DE12A3">
              <w:t>6</w:t>
            </w:r>
          </w:p>
        </w:tc>
      </w:tr>
      <w:tr w:rsidR="00DE12A3" w:rsidRPr="00DE12A3" w14:paraId="31C74AAB" w14:textId="77777777" w:rsidTr="009F4766">
        <w:tc>
          <w:tcPr>
            <w:tcW w:w="1182" w:type="dxa"/>
            <w:tcBorders>
              <w:top w:val="single" w:sz="2" w:space="0" w:color="auto"/>
              <w:left w:val="single" w:sz="2" w:space="0" w:color="auto"/>
              <w:bottom w:val="single" w:sz="2" w:space="0" w:color="auto"/>
              <w:right w:val="single" w:sz="2" w:space="0" w:color="auto"/>
            </w:tcBorders>
          </w:tcPr>
          <w:p w14:paraId="64AA8290" w14:textId="77777777" w:rsidR="009F4766" w:rsidRPr="00DE12A3" w:rsidRDefault="009F4766" w:rsidP="00C917D6">
            <w:pPr>
              <w:pStyle w:val="NormalLeft"/>
            </w:pPr>
            <w:r w:rsidRPr="00DE12A3">
              <w:t>32</w:t>
            </w:r>
          </w:p>
        </w:tc>
        <w:tc>
          <w:tcPr>
            <w:tcW w:w="2489" w:type="dxa"/>
            <w:tcBorders>
              <w:top w:val="single" w:sz="2" w:space="0" w:color="auto"/>
              <w:left w:val="single" w:sz="2" w:space="0" w:color="auto"/>
              <w:bottom w:val="single" w:sz="2" w:space="0" w:color="auto"/>
              <w:right w:val="single" w:sz="2" w:space="0" w:color="auto"/>
            </w:tcBorders>
          </w:tcPr>
          <w:p w14:paraId="7C5FCD16" w14:textId="77777777" w:rsidR="009F4766" w:rsidRPr="00DE12A3" w:rsidRDefault="009F4766" w:rsidP="00C917D6">
            <w:pPr>
              <w:pStyle w:val="NormalLeft"/>
            </w:pPr>
            <w:r w:rsidRPr="00DE12A3">
              <w:t>2</w:t>
            </w:r>
          </w:p>
        </w:tc>
        <w:tc>
          <w:tcPr>
            <w:tcW w:w="2551" w:type="dxa"/>
            <w:tcBorders>
              <w:top w:val="single" w:sz="2" w:space="0" w:color="auto"/>
              <w:left w:val="single" w:sz="2" w:space="0" w:color="auto"/>
              <w:bottom w:val="single" w:sz="2" w:space="0" w:color="auto"/>
              <w:right w:val="single" w:sz="2" w:space="0" w:color="auto"/>
            </w:tcBorders>
          </w:tcPr>
          <w:p w14:paraId="024BD216" w14:textId="77777777" w:rsidR="009F4766" w:rsidRPr="00DE12A3" w:rsidRDefault="009F4766" w:rsidP="00C917D6">
            <w:pPr>
              <w:pStyle w:val="NormalLeft"/>
            </w:pPr>
            <w:r w:rsidRPr="00DE12A3">
              <w:t>1</w:t>
            </w:r>
          </w:p>
        </w:tc>
      </w:tr>
      <w:tr w:rsidR="00DE12A3" w:rsidRPr="00DE12A3" w14:paraId="46150401" w14:textId="77777777" w:rsidTr="009F4766">
        <w:tc>
          <w:tcPr>
            <w:tcW w:w="1182" w:type="dxa"/>
            <w:tcBorders>
              <w:top w:val="single" w:sz="2" w:space="0" w:color="auto"/>
              <w:left w:val="single" w:sz="2" w:space="0" w:color="auto"/>
              <w:bottom w:val="single" w:sz="2" w:space="0" w:color="auto"/>
              <w:right w:val="single" w:sz="2" w:space="0" w:color="auto"/>
            </w:tcBorders>
          </w:tcPr>
          <w:p w14:paraId="45885033" w14:textId="77777777" w:rsidR="009F4766" w:rsidRPr="00DE12A3" w:rsidRDefault="009F4766" w:rsidP="00C917D6">
            <w:pPr>
              <w:pStyle w:val="NormalLeft"/>
            </w:pPr>
            <w:r w:rsidRPr="00DE12A3">
              <w:t>33</w:t>
            </w:r>
          </w:p>
        </w:tc>
        <w:tc>
          <w:tcPr>
            <w:tcW w:w="2489" w:type="dxa"/>
            <w:tcBorders>
              <w:top w:val="single" w:sz="2" w:space="0" w:color="auto"/>
              <w:left w:val="single" w:sz="2" w:space="0" w:color="auto"/>
              <w:bottom w:val="single" w:sz="2" w:space="0" w:color="auto"/>
              <w:right w:val="single" w:sz="2" w:space="0" w:color="auto"/>
            </w:tcBorders>
          </w:tcPr>
          <w:p w14:paraId="19798959" w14:textId="77777777" w:rsidR="009F4766" w:rsidRPr="00DE12A3" w:rsidRDefault="009F4766" w:rsidP="00C917D6">
            <w:pPr>
              <w:pStyle w:val="NormalLeft"/>
            </w:pPr>
            <w:r w:rsidRPr="00DE12A3">
              <w:t>4</w:t>
            </w:r>
          </w:p>
        </w:tc>
        <w:tc>
          <w:tcPr>
            <w:tcW w:w="2551" w:type="dxa"/>
            <w:tcBorders>
              <w:top w:val="single" w:sz="2" w:space="0" w:color="auto"/>
              <w:left w:val="single" w:sz="2" w:space="0" w:color="auto"/>
              <w:bottom w:val="single" w:sz="2" w:space="0" w:color="auto"/>
              <w:right w:val="single" w:sz="2" w:space="0" w:color="auto"/>
            </w:tcBorders>
          </w:tcPr>
          <w:p w14:paraId="6696E67C" w14:textId="77777777" w:rsidR="009F4766" w:rsidRPr="00DE12A3" w:rsidRDefault="009F4766" w:rsidP="00C917D6">
            <w:pPr>
              <w:pStyle w:val="NormalLeft"/>
            </w:pPr>
            <w:r w:rsidRPr="00DE12A3">
              <w:t>13</w:t>
            </w:r>
          </w:p>
        </w:tc>
      </w:tr>
      <w:tr w:rsidR="00DE12A3" w:rsidRPr="00DE12A3" w14:paraId="14C60514" w14:textId="77777777" w:rsidTr="009F4766">
        <w:tc>
          <w:tcPr>
            <w:tcW w:w="1182" w:type="dxa"/>
            <w:tcBorders>
              <w:top w:val="single" w:sz="2" w:space="0" w:color="auto"/>
              <w:left w:val="single" w:sz="2" w:space="0" w:color="auto"/>
              <w:bottom w:val="single" w:sz="2" w:space="0" w:color="auto"/>
              <w:right w:val="single" w:sz="2" w:space="0" w:color="auto"/>
            </w:tcBorders>
          </w:tcPr>
          <w:p w14:paraId="2F4775DA" w14:textId="77777777" w:rsidR="009F4766" w:rsidRPr="00DE12A3" w:rsidRDefault="009F4766" w:rsidP="00C917D6">
            <w:pPr>
              <w:pStyle w:val="NormalLeft"/>
            </w:pPr>
            <w:r w:rsidRPr="00DE12A3">
              <w:t>34</w:t>
            </w:r>
          </w:p>
        </w:tc>
        <w:tc>
          <w:tcPr>
            <w:tcW w:w="2489" w:type="dxa"/>
            <w:tcBorders>
              <w:top w:val="single" w:sz="2" w:space="0" w:color="auto"/>
              <w:left w:val="single" w:sz="2" w:space="0" w:color="auto"/>
              <w:bottom w:val="single" w:sz="2" w:space="0" w:color="auto"/>
              <w:right w:val="single" w:sz="2" w:space="0" w:color="auto"/>
            </w:tcBorders>
          </w:tcPr>
          <w:p w14:paraId="6380FDB7" w14:textId="77777777" w:rsidR="009F4766" w:rsidRPr="00DE12A3" w:rsidRDefault="009F4766" w:rsidP="00C917D6">
            <w:pPr>
              <w:pStyle w:val="NormalLeft"/>
            </w:pPr>
            <w:r w:rsidRPr="00DE12A3">
              <w:t>7</w:t>
            </w:r>
          </w:p>
        </w:tc>
        <w:tc>
          <w:tcPr>
            <w:tcW w:w="2551" w:type="dxa"/>
            <w:tcBorders>
              <w:top w:val="single" w:sz="2" w:space="0" w:color="auto"/>
              <w:left w:val="single" w:sz="2" w:space="0" w:color="auto"/>
              <w:bottom w:val="single" w:sz="2" w:space="0" w:color="auto"/>
              <w:right w:val="single" w:sz="2" w:space="0" w:color="auto"/>
            </w:tcBorders>
          </w:tcPr>
          <w:p w14:paraId="6692474B" w14:textId="77777777" w:rsidR="009F4766" w:rsidRPr="00DE12A3" w:rsidRDefault="009F4766" w:rsidP="00C917D6">
            <w:pPr>
              <w:pStyle w:val="NormalLeft"/>
            </w:pPr>
            <w:r w:rsidRPr="00DE12A3">
              <w:t>18</w:t>
            </w:r>
          </w:p>
        </w:tc>
      </w:tr>
      <w:tr w:rsidR="00DE12A3" w:rsidRPr="00DE12A3" w14:paraId="29019DFB" w14:textId="77777777" w:rsidTr="009F4766">
        <w:tc>
          <w:tcPr>
            <w:tcW w:w="1182" w:type="dxa"/>
            <w:tcBorders>
              <w:top w:val="single" w:sz="2" w:space="0" w:color="auto"/>
              <w:left w:val="single" w:sz="2" w:space="0" w:color="auto"/>
              <w:bottom w:val="single" w:sz="2" w:space="0" w:color="auto"/>
              <w:right w:val="single" w:sz="2" w:space="0" w:color="auto"/>
            </w:tcBorders>
          </w:tcPr>
          <w:p w14:paraId="0BBD9B46" w14:textId="77777777" w:rsidR="009F4766" w:rsidRPr="00DE12A3" w:rsidRDefault="009F4766" w:rsidP="00C917D6">
            <w:pPr>
              <w:pStyle w:val="NormalLeft"/>
            </w:pPr>
            <w:r w:rsidRPr="00DE12A3">
              <w:t>35</w:t>
            </w:r>
          </w:p>
        </w:tc>
        <w:tc>
          <w:tcPr>
            <w:tcW w:w="2489" w:type="dxa"/>
            <w:tcBorders>
              <w:top w:val="single" w:sz="2" w:space="0" w:color="auto"/>
              <w:left w:val="single" w:sz="2" w:space="0" w:color="auto"/>
              <w:bottom w:val="single" w:sz="2" w:space="0" w:color="auto"/>
              <w:right w:val="single" w:sz="2" w:space="0" w:color="auto"/>
            </w:tcBorders>
          </w:tcPr>
          <w:p w14:paraId="03FA7917" w14:textId="77777777" w:rsidR="009F4766" w:rsidRPr="00DE12A3" w:rsidRDefault="009F4766" w:rsidP="00C917D6">
            <w:pPr>
              <w:pStyle w:val="NormalLeft"/>
            </w:pPr>
            <w:r w:rsidRPr="00DE12A3">
              <w:t>9</w:t>
            </w:r>
          </w:p>
        </w:tc>
        <w:tc>
          <w:tcPr>
            <w:tcW w:w="2551" w:type="dxa"/>
            <w:tcBorders>
              <w:top w:val="single" w:sz="2" w:space="0" w:color="auto"/>
              <w:left w:val="single" w:sz="2" w:space="0" w:color="auto"/>
              <w:bottom w:val="single" w:sz="2" w:space="0" w:color="auto"/>
              <w:right w:val="single" w:sz="2" w:space="0" w:color="auto"/>
            </w:tcBorders>
          </w:tcPr>
          <w:p w14:paraId="3B0424B9" w14:textId="77777777" w:rsidR="009F4766" w:rsidRPr="00DE12A3" w:rsidRDefault="009F4766" w:rsidP="00C917D6">
            <w:pPr>
              <w:pStyle w:val="NormalLeft"/>
            </w:pPr>
            <w:r w:rsidRPr="00DE12A3">
              <w:t>21</w:t>
            </w:r>
          </w:p>
        </w:tc>
      </w:tr>
      <w:tr w:rsidR="00DE12A3" w:rsidRPr="00DE12A3" w14:paraId="2A5DB7EC" w14:textId="77777777" w:rsidTr="009F4766">
        <w:tc>
          <w:tcPr>
            <w:tcW w:w="1182" w:type="dxa"/>
            <w:tcBorders>
              <w:top w:val="single" w:sz="2" w:space="0" w:color="auto"/>
              <w:left w:val="single" w:sz="2" w:space="0" w:color="auto"/>
              <w:bottom w:val="single" w:sz="2" w:space="0" w:color="auto"/>
              <w:right w:val="single" w:sz="2" w:space="0" w:color="auto"/>
            </w:tcBorders>
          </w:tcPr>
          <w:p w14:paraId="3E1678AE" w14:textId="77777777" w:rsidR="009F4766" w:rsidRPr="00DE12A3" w:rsidRDefault="009F4766" w:rsidP="00C917D6">
            <w:pPr>
              <w:pStyle w:val="NormalLeft"/>
            </w:pPr>
            <w:r w:rsidRPr="00DE12A3">
              <w:t>36</w:t>
            </w:r>
          </w:p>
        </w:tc>
        <w:tc>
          <w:tcPr>
            <w:tcW w:w="2489" w:type="dxa"/>
            <w:tcBorders>
              <w:top w:val="single" w:sz="2" w:space="0" w:color="auto"/>
              <w:left w:val="single" w:sz="2" w:space="0" w:color="auto"/>
              <w:bottom w:val="single" w:sz="2" w:space="0" w:color="auto"/>
              <w:right w:val="single" w:sz="2" w:space="0" w:color="auto"/>
            </w:tcBorders>
          </w:tcPr>
          <w:p w14:paraId="7F208486" w14:textId="77777777" w:rsidR="009F4766" w:rsidRPr="00DE12A3" w:rsidRDefault="009F4766" w:rsidP="00C917D6">
            <w:pPr>
              <w:pStyle w:val="NormalLeft"/>
            </w:pPr>
            <w:r w:rsidRPr="00DE12A3">
              <w:t>17</w:t>
            </w:r>
          </w:p>
        </w:tc>
        <w:tc>
          <w:tcPr>
            <w:tcW w:w="2551" w:type="dxa"/>
            <w:tcBorders>
              <w:top w:val="single" w:sz="2" w:space="0" w:color="auto"/>
              <w:left w:val="single" w:sz="2" w:space="0" w:color="auto"/>
              <w:bottom w:val="single" w:sz="2" w:space="0" w:color="auto"/>
              <w:right w:val="single" w:sz="2" w:space="0" w:color="auto"/>
            </w:tcBorders>
          </w:tcPr>
          <w:p w14:paraId="1D88F64D" w14:textId="77777777" w:rsidR="009F4766" w:rsidRPr="00DE12A3" w:rsidRDefault="009F4766" w:rsidP="00C917D6">
            <w:pPr>
              <w:pStyle w:val="NormalLeft"/>
            </w:pPr>
            <w:r w:rsidRPr="00DE12A3">
              <w:t>20</w:t>
            </w:r>
          </w:p>
        </w:tc>
      </w:tr>
      <w:tr w:rsidR="00DE12A3" w:rsidRPr="00DE12A3" w14:paraId="26EB2CCE" w14:textId="77777777" w:rsidTr="009F4766">
        <w:tc>
          <w:tcPr>
            <w:tcW w:w="1182" w:type="dxa"/>
            <w:tcBorders>
              <w:top w:val="single" w:sz="2" w:space="0" w:color="auto"/>
              <w:left w:val="single" w:sz="2" w:space="0" w:color="auto"/>
              <w:bottom w:val="single" w:sz="2" w:space="0" w:color="auto"/>
              <w:right w:val="single" w:sz="2" w:space="0" w:color="auto"/>
            </w:tcBorders>
          </w:tcPr>
          <w:p w14:paraId="6865AB4E" w14:textId="77777777" w:rsidR="009F4766" w:rsidRPr="00DE12A3" w:rsidRDefault="009F4766" w:rsidP="00C917D6">
            <w:pPr>
              <w:pStyle w:val="NormalLeft"/>
            </w:pPr>
            <w:r w:rsidRPr="00DE12A3">
              <w:t>37</w:t>
            </w:r>
          </w:p>
        </w:tc>
        <w:tc>
          <w:tcPr>
            <w:tcW w:w="2489" w:type="dxa"/>
            <w:tcBorders>
              <w:top w:val="single" w:sz="2" w:space="0" w:color="auto"/>
              <w:left w:val="single" w:sz="2" w:space="0" w:color="auto"/>
              <w:bottom w:val="single" w:sz="2" w:space="0" w:color="auto"/>
              <w:right w:val="single" w:sz="2" w:space="0" w:color="auto"/>
            </w:tcBorders>
          </w:tcPr>
          <w:p w14:paraId="1F69AF9F" w14:textId="77777777" w:rsidR="009F4766" w:rsidRPr="00DE12A3" w:rsidRDefault="009F4766" w:rsidP="00C917D6">
            <w:pPr>
              <w:pStyle w:val="NormalLeft"/>
            </w:pPr>
            <w:r w:rsidRPr="00DE12A3">
              <w:t>33</w:t>
            </w:r>
          </w:p>
        </w:tc>
        <w:tc>
          <w:tcPr>
            <w:tcW w:w="2551" w:type="dxa"/>
            <w:tcBorders>
              <w:top w:val="single" w:sz="2" w:space="0" w:color="auto"/>
              <w:left w:val="single" w:sz="2" w:space="0" w:color="auto"/>
              <w:bottom w:val="single" w:sz="2" w:space="0" w:color="auto"/>
              <w:right w:val="single" w:sz="2" w:space="0" w:color="auto"/>
            </w:tcBorders>
          </w:tcPr>
          <w:p w14:paraId="348329E6" w14:textId="77777777" w:rsidR="009F4766" w:rsidRPr="00DE12A3" w:rsidRDefault="009F4766" w:rsidP="00C917D6">
            <w:pPr>
              <w:pStyle w:val="NormalLeft"/>
            </w:pPr>
            <w:r w:rsidRPr="00DE12A3">
              <w:t>42</w:t>
            </w:r>
          </w:p>
        </w:tc>
      </w:tr>
      <w:tr w:rsidR="00DE12A3" w:rsidRPr="00DE12A3" w14:paraId="2FF2AAED" w14:textId="77777777" w:rsidTr="009F4766">
        <w:tc>
          <w:tcPr>
            <w:tcW w:w="1182" w:type="dxa"/>
            <w:tcBorders>
              <w:top w:val="single" w:sz="2" w:space="0" w:color="auto"/>
              <w:left w:val="single" w:sz="2" w:space="0" w:color="auto"/>
              <w:bottom w:val="single" w:sz="2" w:space="0" w:color="auto"/>
              <w:right w:val="single" w:sz="2" w:space="0" w:color="auto"/>
            </w:tcBorders>
          </w:tcPr>
          <w:p w14:paraId="2722A2EB" w14:textId="77777777" w:rsidR="009F4766" w:rsidRPr="00DE12A3" w:rsidRDefault="009F4766" w:rsidP="00C917D6">
            <w:pPr>
              <w:pStyle w:val="NormalLeft"/>
            </w:pPr>
            <w:r w:rsidRPr="00DE12A3">
              <w:t>38</w:t>
            </w:r>
          </w:p>
        </w:tc>
        <w:tc>
          <w:tcPr>
            <w:tcW w:w="2489" w:type="dxa"/>
            <w:tcBorders>
              <w:top w:val="single" w:sz="2" w:space="0" w:color="auto"/>
              <w:left w:val="single" w:sz="2" w:space="0" w:color="auto"/>
              <w:bottom w:val="single" w:sz="2" w:space="0" w:color="auto"/>
              <w:right w:val="single" w:sz="2" w:space="0" w:color="auto"/>
            </w:tcBorders>
          </w:tcPr>
          <w:p w14:paraId="76D0E12B" w14:textId="77777777" w:rsidR="009F4766" w:rsidRPr="00DE12A3" w:rsidRDefault="009F4766" w:rsidP="00C917D6">
            <w:pPr>
              <w:pStyle w:val="NormalLeft"/>
            </w:pPr>
            <w:r w:rsidRPr="00DE12A3">
              <w:t>57</w:t>
            </w:r>
          </w:p>
        </w:tc>
        <w:tc>
          <w:tcPr>
            <w:tcW w:w="2551" w:type="dxa"/>
            <w:tcBorders>
              <w:top w:val="single" w:sz="2" w:space="0" w:color="auto"/>
              <w:left w:val="single" w:sz="2" w:space="0" w:color="auto"/>
              <w:bottom w:val="single" w:sz="2" w:space="0" w:color="auto"/>
              <w:right w:val="single" w:sz="2" w:space="0" w:color="auto"/>
            </w:tcBorders>
          </w:tcPr>
          <w:p w14:paraId="465B199E" w14:textId="77777777" w:rsidR="009F4766" w:rsidRPr="00DE12A3" w:rsidRDefault="009F4766" w:rsidP="00C917D6">
            <w:pPr>
              <w:pStyle w:val="NormalLeft"/>
            </w:pPr>
            <w:r w:rsidRPr="00DE12A3">
              <w:t>46</w:t>
            </w:r>
          </w:p>
        </w:tc>
      </w:tr>
      <w:tr w:rsidR="00DE12A3" w:rsidRPr="00DE12A3" w14:paraId="53874BD2" w14:textId="77777777" w:rsidTr="009F4766">
        <w:tc>
          <w:tcPr>
            <w:tcW w:w="1182" w:type="dxa"/>
            <w:tcBorders>
              <w:top w:val="single" w:sz="2" w:space="0" w:color="auto"/>
              <w:left w:val="single" w:sz="2" w:space="0" w:color="auto"/>
              <w:bottom w:val="single" w:sz="2" w:space="0" w:color="auto"/>
              <w:right w:val="single" w:sz="2" w:space="0" w:color="auto"/>
            </w:tcBorders>
          </w:tcPr>
          <w:p w14:paraId="0B94087D" w14:textId="77777777" w:rsidR="009F4766" w:rsidRPr="00DE12A3" w:rsidRDefault="009F4766" w:rsidP="00C917D6">
            <w:pPr>
              <w:pStyle w:val="NormalLeft"/>
            </w:pPr>
            <w:r w:rsidRPr="00DE12A3">
              <w:t>39</w:t>
            </w:r>
          </w:p>
        </w:tc>
        <w:tc>
          <w:tcPr>
            <w:tcW w:w="2489" w:type="dxa"/>
            <w:tcBorders>
              <w:top w:val="single" w:sz="2" w:space="0" w:color="auto"/>
              <w:left w:val="single" w:sz="2" w:space="0" w:color="auto"/>
              <w:bottom w:val="single" w:sz="2" w:space="0" w:color="auto"/>
              <w:right w:val="single" w:sz="2" w:space="0" w:color="auto"/>
            </w:tcBorders>
          </w:tcPr>
          <w:p w14:paraId="49165457" w14:textId="77777777" w:rsidR="009F4766" w:rsidRPr="00DE12A3" w:rsidRDefault="009F4766" w:rsidP="00C917D6">
            <w:pPr>
              <w:pStyle w:val="NormalLeft"/>
            </w:pPr>
            <w:r w:rsidRPr="00DE12A3">
              <w:t>44</w:t>
            </w:r>
          </w:p>
        </w:tc>
        <w:tc>
          <w:tcPr>
            <w:tcW w:w="2551" w:type="dxa"/>
            <w:tcBorders>
              <w:top w:val="single" w:sz="2" w:space="0" w:color="auto"/>
              <w:left w:val="single" w:sz="2" w:space="0" w:color="auto"/>
              <w:bottom w:val="single" w:sz="2" w:space="0" w:color="auto"/>
              <w:right w:val="single" w:sz="2" w:space="0" w:color="auto"/>
            </w:tcBorders>
          </w:tcPr>
          <w:p w14:paraId="78AE5888" w14:textId="77777777" w:rsidR="009F4766" w:rsidRPr="00DE12A3" w:rsidRDefault="009F4766" w:rsidP="00C917D6">
            <w:pPr>
              <w:pStyle w:val="NormalLeft"/>
            </w:pPr>
            <w:r w:rsidRPr="00DE12A3">
              <w:t>33</w:t>
            </w:r>
          </w:p>
        </w:tc>
      </w:tr>
      <w:tr w:rsidR="00DE12A3" w:rsidRPr="00DE12A3" w14:paraId="2813BF71" w14:textId="77777777" w:rsidTr="009F4766">
        <w:tc>
          <w:tcPr>
            <w:tcW w:w="1182" w:type="dxa"/>
            <w:tcBorders>
              <w:top w:val="single" w:sz="2" w:space="0" w:color="auto"/>
              <w:left w:val="single" w:sz="2" w:space="0" w:color="auto"/>
              <w:bottom w:val="single" w:sz="2" w:space="0" w:color="auto"/>
              <w:right w:val="single" w:sz="2" w:space="0" w:color="auto"/>
            </w:tcBorders>
          </w:tcPr>
          <w:p w14:paraId="08749F38" w14:textId="77777777" w:rsidR="009F4766" w:rsidRPr="00DE12A3" w:rsidRDefault="009F4766" w:rsidP="00C917D6">
            <w:pPr>
              <w:pStyle w:val="NormalLeft"/>
            </w:pPr>
            <w:r w:rsidRPr="00DE12A3">
              <w:t>40</w:t>
            </w:r>
          </w:p>
        </w:tc>
        <w:tc>
          <w:tcPr>
            <w:tcW w:w="2489" w:type="dxa"/>
            <w:tcBorders>
              <w:top w:val="single" w:sz="2" w:space="0" w:color="auto"/>
              <w:left w:val="single" w:sz="2" w:space="0" w:color="auto"/>
              <w:bottom w:val="single" w:sz="2" w:space="0" w:color="auto"/>
              <w:right w:val="single" w:sz="2" w:space="0" w:color="auto"/>
            </w:tcBorders>
          </w:tcPr>
          <w:p w14:paraId="7D0CD858" w14:textId="77777777" w:rsidR="009F4766" w:rsidRPr="00DE12A3" w:rsidRDefault="009F4766" w:rsidP="00C917D6">
            <w:pPr>
              <w:pStyle w:val="NormalLeft"/>
            </w:pPr>
            <w:r w:rsidRPr="00DE12A3">
              <w:t>31</w:t>
            </w:r>
          </w:p>
        </w:tc>
        <w:tc>
          <w:tcPr>
            <w:tcW w:w="2551" w:type="dxa"/>
            <w:tcBorders>
              <w:top w:val="single" w:sz="2" w:space="0" w:color="auto"/>
              <w:left w:val="single" w:sz="2" w:space="0" w:color="auto"/>
              <w:bottom w:val="single" w:sz="2" w:space="0" w:color="auto"/>
              <w:right w:val="single" w:sz="2" w:space="0" w:color="auto"/>
            </w:tcBorders>
          </w:tcPr>
          <w:p w14:paraId="70D4A03A" w14:textId="77777777" w:rsidR="009F4766" w:rsidRPr="00DE12A3" w:rsidRDefault="009F4766" w:rsidP="00C917D6">
            <w:pPr>
              <w:pStyle w:val="NormalLeft"/>
            </w:pPr>
            <w:r w:rsidRPr="00DE12A3">
              <w:t>0</w:t>
            </w:r>
          </w:p>
        </w:tc>
      </w:tr>
      <w:tr w:rsidR="00DE12A3" w:rsidRPr="00DE12A3" w14:paraId="0739693B" w14:textId="77777777" w:rsidTr="009F4766">
        <w:tc>
          <w:tcPr>
            <w:tcW w:w="1182" w:type="dxa"/>
            <w:tcBorders>
              <w:top w:val="single" w:sz="2" w:space="0" w:color="auto"/>
              <w:left w:val="single" w:sz="2" w:space="0" w:color="auto"/>
              <w:bottom w:val="single" w:sz="2" w:space="0" w:color="auto"/>
              <w:right w:val="single" w:sz="2" w:space="0" w:color="auto"/>
            </w:tcBorders>
          </w:tcPr>
          <w:p w14:paraId="18A41AF5" w14:textId="77777777" w:rsidR="009F4766" w:rsidRPr="00DE12A3" w:rsidRDefault="009F4766" w:rsidP="00C917D6">
            <w:pPr>
              <w:pStyle w:val="NormalLeft"/>
            </w:pPr>
            <w:r w:rsidRPr="00DE12A3">
              <w:t>41</w:t>
            </w:r>
          </w:p>
        </w:tc>
        <w:tc>
          <w:tcPr>
            <w:tcW w:w="2489" w:type="dxa"/>
            <w:tcBorders>
              <w:top w:val="single" w:sz="2" w:space="0" w:color="auto"/>
              <w:left w:val="single" w:sz="2" w:space="0" w:color="auto"/>
              <w:bottom w:val="single" w:sz="2" w:space="0" w:color="auto"/>
              <w:right w:val="single" w:sz="2" w:space="0" w:color="auto"/>
            </w:tcBorders>
          </w:tcPr>
          <w:p w14:paraId="6AAAF8BA" w14:textId="77777777" w:rsidR="009F4766" w:rsidRPr="00DE12A3" w:rsidRDefault="009F4766" w:rsidP="00C917D6">
            <w:pPr>
              <w:pStyle w:val="NormalLeft"/>
            </w:pPr>
            <w:r w:rsidRPr="00DE12A3">
              <w:t>22</w:t>
            </w:r>
          </w:p>
        </w:tc>
        <w:tc>
          <w:tcPr>
            <w:tcW w:w="2551" w:type="dxa"/>
            <w:tcBorders>
              <w:top w:val="single" w:sz="2" w:space="0" w:color="auto"/>
              <w:left w:val="single" w:sz="2" w:space="0" w:color="auto"/>
              <w:bottom w:val="single" w:sz="2" w:space="0" w:color="auto"/>
              <w:right w:val="single" w:sz="2" w:space="0" w:color="auto"/>
            </w:tcBorders>
          </w:tcPr>
          <w:p w14:paraId="3C14DB9A" w14:textId="77777777" w:rsidR="009F4766" w:rsidRPr="00DE12A3" w:rsidRDefault="009F4766" w:rsidP="00C917D6">
            <w:pPr>
              <w:pStyle w:val="NormalLeft"/>
            </w:pPr>
            <w:r w:rsidRPr="00DE12A3">
              <w:t>27</w:t>
            </w:r>
          </w:p>
        </w:tc>
      </w:tr>
      <w:tr w:rsidR="00DE12A3" w:rsidRPr="00DE12A3" w14:paraId="3B1C7A7D" w14:textId="77777777" w:rsidTr="009F4766">
        <w:tc>
          <w:tcPr>
            <w:tcW w:w="1182" w:type="dxa"/>
            <w:tcBorders>
              <w:top w:val="single" w:sz="2" w:space="0" w:color="auto"/>
              <w:left w:val="single" w:sz="2" w:space="0" w:color="auto"/>
              <w:bottom w:val="single" w:sz="2" w:space="0" w:color="auto"/>
              <w:right w:val="single" w:sz="2" w:space="0" w:color="auto"/>
            </w:tcBorders>
          </w:tcPr>
          <w:p w14:paraId="4086BE72" w14:textId="77777777" w:rsidR="009F4766" w:rsidRPr="00DE12A3" w:rsidRDefault="009F4766" w:rsidP="00C917D6">
            <w:pPr>
              <w:pStyle w:val="NormalLeft"/>
            </w:pPr>
            <w:r w:rsidRPr="00DE12A3">
              <w:t>42</w:t>
            </w:r>
          </w:p>
        </w:tc>
        <w:tc>
          <w:tcPr>
            <w:tcW w:w="2489" w:type="dxa"/>
            <w:tcBorders>
              <w:top w:val="single" w:sz="2" w:space="0" w:color="auto"/>
              <w:left w:val="single" w:sz="2" w:space="0" w:color="auto"/>
              <w:bottom w:val="single" w:sz="2" w:space="0" w:color="auto"/>
              <w:right w:val="single" w:sz="2" w:space="0" w:color="auto"/>
            </w:tcBorders>
          </w:tcPr>
          <w:p w14:paraId="0C44F63B" w14:textId="77777777" w:rsidR="009F4766" w:rsidRPr="00DE12A3" w:rsidRDefault="009F4766" w:rsidP="00C917D6">
            <w:pPr>
              <w:pStyle w:val="NormalLeft"/>
            </w:pPr>
            <w:r w:rsidRPr="00DE12A3">
              <w:t>33</w:t>
            </w:r>
          </w:p>
        </w:tc>
        <w:tc>
          <w:tcPr>
            <w:tcW w:w="2551" w:type="dxa"/>
            <w:tcBorders>
              <w:top w:val="single" w:sz="2" w:space="0" w:color="auto"/>
              <w:left w:val="single" w:sz="2" w:space="0" w:color="auto"/>
              <w:bottom w:val="single" w:sz="2" w:space="0" w:color="auto"/>
              <w:right w:val="single" w:sz="2" w:space="0" w:color="auto"/>
            </w:tcBorders>
          </w:tcPr>
          <w:p w14:paraId="4CA6EE9A" w14:textId="77777777" w:rsidR="009F4766" w:rsidRPr="00DE12A3" w:rsidRDefault="009F4766" w:rsidP="00C917D6">
            <w:pPr>
              <w:pStyle w:val="NormalLeft"/>
            </w:pPr>
            <w:r w:rsidRPr="00DE12A3">
              <w:t>43</w:t>
            </w:r>
          </w:p>
        </w:tc>
      </w:tr>
      <w:tr w:rsidR="00DE12A3" w:rsidRPr="00DE12A3" w14:paraId="5CA68D9A" w14:textId="77777777" w:rsidTr="009F4766">
        <w:tc>
          <w:tcPr>
            <w:tcW w:w="1182" w:type="dxa"/>
            <w:tcBorders>
              <w:top w:val="single" w:sz="2" w:space="0" w:color="auto"/>
              <w:left w:val="single" w:sz="2" w:space="0" w:color="auto"/>
              <w:bottom w:val="single" w:sz="2" w:space="0" w:color="auto"/>
              <w:right w:val="single" w:sz="2" w:space="0" w:color="auto"/>
            </w:tcBorders>
          </w:tcPr>
          <w:p w14:paraId="4E93E081" w14:textId="77777777" w:rsidR="009F4766" w:rsidRPr="00DE12A3" w:rsidRDefault="009F4766" w:rsidP="00C917D6">
            <w:pPr>
              <w:pStyle w:val="NormalLeft"/>
            </w:pPr>
            <w:r w:rsidRPr="00DE12A3">
              <w:t>43</w:t>
            </w:r>
          </w:p>
        </w:tc>
        <w:tc>
          <w:tcPr>
            <w:tcW w:w="2489" w:type="dxa"/>
            <w:tcBorders>
              <w:top w:val="single" w:sz="2" w:space="0" w:color="auto"/>
              <w:left w:val="single" w:sz="2" w:space="0" w:color="auto"/>
              <w:bottom w:val="single" w:sz="2" w:space="0" w:color="auto"/>
              <w:right w:val="single" w:sz="2" w:space="0" w:color="auto"/>
            </w:tcBorders>
          </w:tcPr>
          <w:p w14:paraId="1A189F90" w14:textId="77777777" w:rsidR="009F4766" w:rsidRPr="00DE12A3" w:rsidRDefault="009F4766" w:rsidP="00C917D6">
            <w:pPr>
              <w:pStyle w:val="NormalLeft"/>
            </w:pPr>
            <w:r w:rsidRPr="00DE12A3">
              <w:t>80</w:t>
            </w:r>
          </w:p>
        </w:tc>
        <w:tc>
          <w:tcPr>
            <w:tcW w:w="2551" w:type="dxa"/>
            <w:tcBorders>
              <w:top w:val="single" w:sz="2" w:space="0" w:color="auto"/>
              <w:left w:val="single" w:sz="2" w:space="0" w:color="auto"/>
              <w:bottom w:val="single" w:sz="2" w:space="0" w:color="auto"/>
              <w:right w:val="single" w:sz="2" w:space="0" w:color="auto"/>
            </w:tcBorders>
          </w:tcPr>
          <w:p w14:paraId="3DAE23F7" w14:textId="77777777" w:rsidR="009F4766" w:rsidRPr="00DE12A3" w:rsidRDefault="009F4766" w:rsidP="00C917D6">
            <w:pPr>
              <w:pStyle w:val="NormalLeft"/>
            </w:pPr>
            <w:r w:rsidRPr="00DE12A3">
              <w:t>49</w:t>
            </w:r>
          </w:p>
        </w:tc>
      </w:tr>
      <w:tr w:rsidR="00DE12A3" w:rsidRPr="00DE12A3" w14:paraId="6CEC1A93" w14:textId="77777777" w:rsidTr="009F4766">
        <w:tc>
          <w:tcPr>
            <w:tcW w:w="1182" w:type="dxa"/>
            <w:tcBorders>
              <w:top w:val="single" w:sz="2" w:space="0" w:color="auto"/>
              <w:left w:val="single" w:sz="2" w:space="0" w:color="auto"/>
              <w:bottom w:val="single" w:sz="2" w:space="0" w:color="auto"/>
              <w:right w:val="single" w:sz="2" w:space="0" w:color="auto"/>
            </w:tcBorders>
          </w:tcPr>
          <w:p w14:paraId="7C9322BC" w14:textId="77777777" w:rsidR="009F4766" w:rsidRPr="00DE12A3" w:rsidRDefault="009F4766" w:rsidP="00C917D6">
            <w:pPr>
              <w:pStyle w:val="NormalLeft"/>
            </w:pPr>
            <w:r w:rsidRPr="00DE12A3">
              <w:lastRenderedPageBreak/>
              <w:t>44</w:t>
            </w:r>
          </w:p>
        </w:tc>
        <w:tc>
          <w:tcPr>
            <w:tcW w:w="2489" w:type="dxa"/>
            <w:tcBorders>
              <w:top w:val="single" w:sz="2" w:space="0" w:color="auto"/>
              <w:left w:val="single" w:sz="2" w:space="0" w:color="auto"/>
              <w:bottom w:val="single" w:sz="2" w:space="0" w:color="auto"/>
              <w:right w:val="single" w:sz="2" w:space="0" w:color="auto"/>
            </w:tcBorders>
          </w:tcPr>
          <w:p w14:paraId="33A885AD" w14:textId="77777777" w:rsidR="009F4766" w:rsidRPr="00DE12A3" w:rsidRDefault="009F4766" w:rsidP="00C917D6">
            <w:pPr>
              <w:pStyle w:val="NormalLeft"/>
            </w:pPr>
            <w:r w:rsidRPr="00DE12A3">
              <w:t>105</w:t>
            </w:r>
          </w:p>
        </w:tc>
        <w:tc>
          <w:tcPr>
            <w:tcW w:w="2551" w:type="dxa"/>
            <w:tcBorders>
              <w:top w:val="single" w:sz="2" w:space="0" w:color="auto"/>
              <w:left w:val="single" w:sz="2" w:space="0" w:color="auto"/>
              <w:bottom w:val="single" w:sz="2" w:space="0" w:color="auto"/>
              <w:right w:val="single" w:sz="2" w:space="0" w:color="auto"/>
            </w:tcBorders>
          </w:tcPr>
          <w:p w14:paraId="631D0F98" w14:textId="77777777" w:rsidR="009F4766" w:rsidRPr="00DE12A3" w:rsidRDefault="009F4766" w:rsidP="00C917D6">
            <w:pPr>
              <w:pStyle w:val="NormalLeft"/>
            </w:pPr>
            <w:r w:rsidRPr="00DE12A3">
              <w:t>47</w:t>
            </w:r>
          </w:p>
        </w:tc>
      </w:tr>
      <w:tr w:rsidR="00DE12A3" w:rsidRPr="00DE12A3" w14:paraId="297252F0" w14:textId="77777777" w:rsidTr="009F4766">
        <w:tc>
          <w:tcPr>
            <w:tcW w:w="1182" w:type="dxa"/>
            <w:tcBorders>
              <w:top w:val="single" w:sz="2" w:space="0" w:color="auto"/>
              <w:left w:val="single" w:sz="2" w:space="0" w:color="auto"/>
              <w:bottom w:val="single" w:sz="2" w:space="0" w:color="auto"/>
              <w:right w:val="single" w:sz="2" w:space="0" w:color="auto"/>
            </w:tcBorders>
          </w:tcPr>
          <w:p w14:paraId="38C469DF" w14:textId="77777777" w:rsidR="009F4766" w:rsidRPr="00DE12A3" w:rsidRDefault="009F4766" w:rsidP="00C917D6">
            <w:pPr>
              <w:pStyle w:val="NormalLeft"/>
            </w:pPr>
            <w:r w:rsidRPr="00DE12A3">
              <w:t>45</w:t>
            </w:r>
          </w:p>
        </w:tc>
        <w:tc>
          <w:tcPr>
            <w:tcW w:w="2489" w:type="dxa"/>
            <w:tcBorders>
              <w:top w:val="single" w:sz="2" w:space="0" w:color="auto"/>
              <w:left w:val="single" w:sz="2" w:space="0" w:color="auto"/>
              <w:bottom w:val="single" w:sz="2" w:space="0" w:color="auto"/>
              <w:right w:val="single" w:sz="2" w:space="0" w:color="auto"/>
            </w:tcBorders>
          </w:tcPr>
          <w:p w14:paraId="621E5C36" w14:textId="77777777" w:rsidR="009F4766" w:rsidRPr="00DE12A3" w:rsidRDefault="009F4766" w:rsidP="00C917D6">
            <w:pPr>
              <w:pStyle w:val="NormalLeft"/>
            </w:pPr>
            <w:r w:rsidRPr="00DE12A3">
              <w:t>98</w:t>
            </w:r>
          </w:p>
        </w:tc>
        <w:tc>
          <w:tcPr>
            <w:tcW w:w="2551" w:type="dxa"/>
            <w:tcBorders>
              <w:top w:val="single" w:sz="2" w:space="0" w:color="auto"/>
              <w:left w:val="single" w:sz="2" w:space="0" w:color="auto"/>
              <w:bottom w:val="single" w:sz="2" w:space="0" w:color="auto"/>
              <w:right w:val="single" w:sz="2" w:space="0" w:color="auto"/>
            </w:tcBorders>
          </w:tcPr>
          <w:p w14:paraId="41C47968" w14:textId="77777777" w:rsidR="009F4766" w:rsidRPr="00DE12A3" w:rsidRDefault="009F4766" w:rsidP="00C917D6">
            <w:pPr>
              <w:pStyle w:val="NormalLeft"/>
            </w:pPr>
            <w:r w:rsidRPr="00DE12A3">
              <w:t>70</w:t>
            </w:r>
          </w:p>
        </w:tc>
      </w:tr>
      <w:tr w:rsidR="00DE12A3" w:rsidRPr="00DE12A3" w14:paraId="2C4DE26D" w14:textId="77777777" w:rsidTr="009F4766">
        <w:tc>
          <w:tcPr>
            <w:tcW w:w="1182" w:type="dxa"/>
            <w:tcBorders>
              <w:top w:val="single" w:sz="2" w:space="0" w:color="auto"/>
              <w:left w:val="single" w:sz="2" w:space="0" w:color="auto"/>
              <w:bottom w:val="single" w:sz="2" w:space="0" w:color="auto"/>
              <w:right w:val="single" w:sz="2" w:space="0" w:color="auto"/>
            </w:tcBorders>
          </w:tcPr>
          <w:p w14:paraId="21E497F5" w14:textId="77777777" w:rsidR="009F4766" w:rsidRPr="00DE12A3" w:rsidRDefault="009F4766" w:rsidP="00C917D6">
            <w:pPr>
              <w:pStyle w:val="NormalLeft"/>
            </w:pPr>
            <w:r w:rsidRPr="00DE12A3">
              <w:t>46</w:t>
            </w:r>
          </w:p>
        </w:tc>
        <w:tc>
          <w:tcPr>
            <w:tcW w:w="2489" w:type="dxa"/>
            <w:tcBorders>
              <w:top w:val="single" w:sz="2" w:space="0" w:color="auto"/>
              <w:left w:val="single" w:sz="2" w:space="0" w:color="auto"/>
              <w:bottom w:val="single" w:sz="2" w:space="0" w:color="auto"/>
              <w:right w:val="single" w:sz="2" w:space="0" w:color="auto"/>
            </w:tcBorders>
          </w:tcPr>
          <w:p w14:paraId="59A65284" w14:textId="77777777" w:rsidR="009F4766" w:rsidRPr="00DE12A3" w:rsidRDefault="009F4766" w:rsidP="00C917D6">
            <w:pPr>
              <w:pStyle w:val="NormalLeft"/>
            </w:pPr>
            <w:r w:rsidRPr="00DE12A3">
              <w:t>104</w:t>
            </w:r>
          </w:p>
        </w:tc>
        <w:tc>
          <w:tcPr>
            <w:tcW w:w="2551" w:type="dxa"/>
            <w:tcBorders>
              <w:top w:val="single" w:sz="2" w:space="0" w:color="auto"/>
              <w:left w:val="single" w:sz="2" w:space="0" w:color="auto"/>
              <w:bottom w:val="single" w:sz="2" w:space="0" w:color="auto"/>
              <w:right w:val="single" w:sz="2" w:space="0" w:color="auto"/>
            </w:tcBorders>
          </w:tcPr>
          <w:p w14:paraId="5CB87ADA" w14:textId="77777777" w:rsidR="009F4766" w:rsidRPr="00DE12A3" w:rsidRDefault="009F4766" w:rsidP="00C917D6">
            <w:pPr>
              <w:pStyle w:val="NormalLeft"/>
            </w:pPr>
            <w:r w:rsidRPr="00DE12A3">
              <w:t>36</w:t>
            </w:r>
          </w:p>
        </w:tc>
      </w:tr>
      <w:tr w:rsidR="00DE12A3" w:rsidRPr="00DE12A3" w14:paraId="4A855C22" w14:textId="77777777" w:rsidTr="009F4766">
        <w:tc>
          <w:tcPr>
            <w:tcW w:w="1182" w:type="dxa"/>
            <w:tcBorders>
              <w:top w:val="single" w:sz="2" w:space="0" w:color="auto"/>
              <w:left w:val="single" w:sz="2" w:space="0" w:color="auto"/>
              <w:bottom w:val="single" w:sz="2" w:space="0" w:color="auto"/>
              <w:right w:val="single" w:sz="2" w:space="0" w:color="auto"/>
            </w:tcBorders>
          </w:tcPr>
          <w:p w14:paraId="42F43249" w14:textId="77777777" w:rsidR="009F4766" w:rsidRPr="00DE12A3" w:rsidRDefault="009F4766" w:rsidP="00C917D6">
            <w:pPr>
              <w:pStyle w:val="NormalLeft"/>
            </w:pPr>
            <w:r w:rsidRPr="00DE12A3">
              <w:t>47</w:t>
            </w:r>
          </w:p>
        </w:tc>
        <w:tc>
          <w:tcPr>
            <w:tcW w:w="2489" w:type="dxa"/>
            <w:tcBorders>
              <w:top w:val="single" w:sz="2" w:space="0" w:color="auto"/>
              <w:left w:val="single" w:sz="2" w:space="0" w:color="auto"/>
              <w:bottom w:val="single" w:sz="2" w:space="0" w:color="auto"/>
              <w:right w:val="single" w:sz="2" w:space="0" w:color="auto"/>
            </w:tcBorders>
          </w:tcPr>
          <w:p w14:paraId="2D39E753" w14:textId="77777777" w:rsidR="009F4766" w:rsidRPr="00DE12A3" w:rsidRDefault="009F4766" w:rsidP="00C917D6">
            <w:pPr>
              <w:pStyle w:val="NormalLeft"/>
            </w:pPr>
            <w:r w:rsidRPr="00DE12A3">
              <w:t>104</w:t>
            </w:r>
          </w:p>
        </w:tc>
        <w:tc>
          <w:tcPr>
            <w:tcW w:w="2551" w:type="dxa"/>
            <w:tcBorders>
              <w:top w:val="single" w:sz="2" w:space="0" w:color="auto"/>
              <w:left w:val="single" w:sz="2" w:space="0" w:color="auto"/>
              <w:bottom w:val="single" w:sz="2" w:space="0" w:color="auto"/>
              <w:right w:val="single" w:sz="2" w:space="0" w:color="auto"/>
            </w:tcBorders>
          </w:tcPr>
          <w:p w14:paraId="216C1599" w14:textId="77777777" w:rsidR="009F4766" w:rsidRPr="00DE12A3" w:rsidRDefault="009F4766" w:rsidP="00C917D6">
            <w:pPr>
              <w:pStyle w:val="NormalLeft"/>
            </w:pPr>
            <w:r w:rsidRPr="00DE12A3">
              <w:t>65</w:t>
            </w:r>
          </w:p>
        </w:tc>
      </w:tr>
      <w:tr w:rsidR="00DE12A3" w:rsidRPr="00DE12A3" w14:paraId="48BAEA3A" w14:textId="77777777" w:rsidTr="009F4766">
        <w:tc>
          <w:tcPr>
            <w:tcW w:w="1182" w:type="dxa"/>
            <w:tcBorders>
              <w:top w:val="single" w:sz="2" w:space="0" w:color="auto"/>
              <w:left w:val="single" w:sz="2" w:space="0" w:color="auto"/>
              <w:bottom w:val="single" w:sz="2" w:space="0" w:color="auto"/>
              <w:right w:val="single" w:sz="2" w:space="0" w:color="auto"/>
            </w:tcBorders>
          </w:tcPr>
          <w:p w14:paraId="792C5E1D" w14:textId="77777777" w:rsidR="009F4766" w:rsidRPr="00DE12A3" w:rsidRDefault="009F4766" w:rsidP="00C917D6">
            <w:pPr>
              <w:pStyle w:val="NormalLeft"/>
            </w:pPr>
            <w:r w:rsidRPr="00DE12A3">
              <w:t>48</w:t>
            </w:r>
          </w:p>
        </w:tc>
        <w:tc>
          <w:tcPr>
            <w:tcW w:w="2489" w:type="dxa"/>
            <w:tcBorders>
              <w:top w:val="single" w:sz="2" w:space="0" w:color="auto"/>
              <w:left w:val="single" w:sz="2" w:space="0" w:color="auto"/>
              <w:bottom w:val="single" w:sz="2" w:space="0" w:color="auto"/>
              <w:right w:val="single" w:sz="2" w:space="0" w:color="auto"/>
            </w:tcBorders>
          </w:tcPr>
          <w:p w14:paraId="36236F9A" w14:textId="77777777" w:rsidR="009F4766" w:rsidRPr="00DE12A3" w:rsidRDefault="009F4766" w:rsidP="00C917D6">
            <w:pPr>
              <w:pStyle w:val="NormalLeft"/>
            </w:pPr>
            <w:r w:rsidRPr="00DE12A3">
              <w:t>96</w:t>
            </w:r>
          </w:p>
        </w:tc>
        <w:tc>
          <w:tcPr>
            <w:tcW w:w="2551" w:type="dxa"/>
            <w:tcBorders>
              <w:top w:val="single" w:sz="2" w:space="0" w:color="auto"/>
              <w:left w:val="single" w:sz="2" w:space="0" w:color="auto"/>
              <w:bottom w:val="single" w:sz="2" w:space="0" w:color="auto"/>
              <w:right w:val="single" w:sz="2" w:space="0" w:color="auto"/>
            </w:tcBorders>
          </w:tcPr>
          <w:p w14:paraId="087D4489" w14:textId="77777777" w:rsidR="009F4766" w:rsidRPr="00DE12A3" w:rsidRDefault="009F4766" w:rsidP="00C917D6">
            <w:pPr>
              <w:pStyle w:val="NormalLeft"/>
            </w:pPr>
            <w:r w:rsidRPr="00DE12A3">
              <w:t>71</w:t>
            </w:r>
          </w:p>
        </w:tc>
      </w:tr>
      <w:tr w:rsidR="00DE12A3" w:rsidRPr="00DE12A3" w14:paraId="6A7B9C68" w14:textId="77777777" w:rsidTr="009F4766">
        <w:tc>
          <w:tcPr>
            <w:tcW w:w="1182" w:type="dxa"/>
            <w:tcBorders>
              <w:top w:val="single" w:sz="2" w:space="0" w:color="auto"/>
              <w:left w:val="single" w:sz="2" w:space="0" w:color="auto"/>
              <w:bottom w:val="single" w:sz="2" w:space="0" w:color="auto"/>
              <w:right w:val="single" w:sz="2" w:space="0" w:color="auto"/>
            </w:tcBorders>
          </w:tcPr>
          <w:p w14:paraId="45B87E39" w14:textId="77777777" w:rsidR="009F4766" w:rsidRPr="00DE12A3" w:rsidRDefault="009F4766" w:rsidP="00C917D6">
            <w:pPr>
              <w:pStyle w:val="NormalLeft"/>
            </w:pPr>
            <w:r w:rsidRPr="00DE12A3">
              <w:t>49</w:t>
            </w:r>
          </w:p>
        </w:tc>
        <w:tc>
          <w:tcPr>
            <w:tcW w:w="2489" w:type="dxa"/>
            <w:tcBorders>
              <w:top w:val="single" w:sz="2" w:space="0" w:color="auto"/>
              <w:left w:val="single" w:sz="2" w:space="0" w:color="auto"/>
              <w:bottom w:val="single" w:sz="2" w:space="0" w:color="auto"/>
              <w:right w:val="single" w:sz="2" w:space="0" w:color="auto"/>
            </w:tcBorders>
          </w:tcPr>
          <w:p w14:paraId="51CF31AA" w14:textId="77777777" w:rsidR="009F4766" w:rsidRPr="00DE12A3" w:rsidRDefault="009F4766" w:rsidP="00C917D6">
            <w:pPr>
              <w:pStyle w:val="NormalLeft"/>
            </w:pPr>
            <w:r w:rsidRPr="00DE12A3">
              <w:t>101</w:t>
            </w:r>
          </w:p>
        </w:tc>
        <w:tc>
          <w:tcPr>
            <w:tcW w:w="2551" w:type="dxa"/>
            <w:tcBorders>
              <w:top w:val="single" w:sz="2" w:space="0" w:color="auto"/>
              <w:left w:val="single" w:sz="2" w:space="0" w:color="auto"/>
              <w:bottom w:val="single" w:sz="2" w:space="0" w:color="auto"/>
              <w:right w:val="single" w:sz="2" w:space="0" w:color="auto"/>
            </w:tcBorders>
          </w:tcPr>
          <w:p w14:paraId="14B12240" w14:textId="77777777" w:rsidR="009F4766" w:rsidRPr="00DE12A3" w:rsidRDefault="009F4766" w:rsidP="00C917D6">
            <w:pPr>
              <w:pStyle w:val="NormalLeft"/>
            </w:pPr>
            <w:r w:rsidRPr="00DE12A3">
              <w:t>62</w:t>
            </w:r>
          </w:p>
        </w:tc>
      </w:tr>
      <w:tr w:rsidR="00DE12A3" w:rsidRPr="00DE12A3" w14:paraId="530F3EAA" w14:textId="77777777" w:rsidTr="009F4766">
        <w:tc>
          <w:tcPr>
            <w:tcW w:w="1182" w:type="dxa"/>
            <w:tcBorders>
              <w:top w:val="single" w:sz="2" w:space="0" w:color="auto"/>
              <w:left w:val="single" w:sz="2" w:space="0" w:color="auto"/>
              <w:bottom w:val="single" w:sz="2" w:space="0" w:color="auto"/>
              <w:right w:val="single" w:sz="2" w:space="0" w:color="auto"/>
            </w:tcBorders>
          </w:tcPr>
          <w:p w14:paraId="232C3399" w14:textId="77777777" w:rsidR="009F4766" w:rsidRPr="00DE12A3" w:rsidRDefault="009F4766" w:rsidP="00C917D6">
            <w:pPr>
              <w:pStyle w:val="NormalLeft"/>
            </w:pPr>
            <w:r w:rsidRPr="00DE12A3">
              <w:t>50</w:t>
            </w:r>
          </w:p>
        </w:tc>
        <w:tc>
          <w:tcPr>
            <w:tcW w:w="2489" w:type="dxa"/>
            <w:tcBorders>
              <w:top w:val="single" w:sz="2" w:space="0" w:color="auto"/>
              <w:left w:val="single" w:sz="2" w:space="0" w:color="auto"/>
              <w:bottom w:val="single" w:sz="2" w:space="0" w:color="auto"/>
              <w:right w:val="single" w:sz="2" w:space="0" w:color="auto"/>
            </w:tcBorders>
          </w:tcPr>
          <w:p w14:paraId="71C44B0C" w14:textId="77777777" w:rsidR="009F4766" w:rsidRPr="00DE12A3" w:rsidRDefault="009F4766" w:rsidP="00C917D6">
            <w:pPr>
              <w:pStyle w:val="NormalLeft"/>
            </w:pPr>
            <w:r w:rsidRPr="00DE12A3">
              <w:t>102</w:t>
            </w:r>
          </w:p>
        </w:tc>
        <w:tc>
          <w:tcPr>
            <w:tcW w:w="2551" w:type="dxa"/>
            <w:tcBorders>
              <w:top w:val="single" w:sz="2" w:space="0" w:color="auto"/>
              <w:left w:val="single" w:sz="2" w:space="0" w:color="auto"/>
              <w:bottom w:val="single" w:sz="2" w:space="0" w:color="auto"/>
              <w:right w:val="single" w:sz="2" w:space="0" w:color="auto"/>
            </w:tcBorders>
          </w:tcPr>
          <w:p w14:paraId="127FFCBB" w14:textId="77777777" w:rsidR="009F4766" w:rsidRPr="00DE12A3" w:rsidRDefault="009F4766" w:rsidP="00C917D6">
            <w:pPr>
              <w:pStyle w:val="NormalLeft"/>
            </w:pPr>
            <w:r w:rsidRPr="00DE12A3">
              <w:t>51</w:t>
            </w:r>
          </w:p>
        </w:tc>
      </w:tr>
      <w:tr w:rsidR="00DE12A3" w:rsidRPr="00DE12A3" w14:paraId="79CD8135" w14:textId="77777777" w:rsidTr="009F4766">
        <w:tc>
          <w:tcPr>
            <w:tcW w:w="1182" w:type="dxa"/>
            <w:tcBorders>
              <w:top w:val="single" w:sz="2" w:space="0" w:color="auto"/>
              <w:left w:val="single" w:sz="2" w:space="0" w:color="auto"/>
              <w:bottom w:val="single" w:sz="2" w:space="0" w:color="auto"/>
              <w:right w:val="single" w:sz="2" w:space="0" w:color="auto"/>
            </w:tcBorders>
          </w:tcPr>
          <w:p w14:paraId="0AE3EA76" w14:textId="77777777" w:rsidR="009F4766" w:rsidRPr="00DE12A3" w:rsidRDefault="009F4766" w:rsidP="00C917D6">
            <w:pPr>
              <w:pStyle w:val="NormalLeft"/>
            </w:pPr>
            <w:r w:rsidRPr="00DE12A3">
              <w:t>51</w:t>
            </w:r>
          </w:p>
        </w:tc>
        <w:tc>
          <w:tcPr>
            <w:tcW w:w="2489" w:type="dxa"/>
            <w:tcBorders>
              <w:top w:val="single" w:sz="2" w:space="0" w:color="auto"/>
              <w:left w:val="single" w:sz="2" w:space="0" w:color="auto"/>
              <w:bottom w:val="single" w:sz="2" w:space="0" w:color="auto"/>
              <w:right w:val="single" w:sz="2" w:space="0" w:color="auto"/>
            </w:tcBorders>
          </w:tcPr>
          <w:p w14:paraId="64A65727" w14:textId="77777777" w:rsidR="009F4766" w:rsidRPr="00DE12A3" w:rsidRDefault="009F4766" w:rsidP="00C917D6">
            <w:pPr>
              <w:pStyle w:val="NormalLeft"/>
            </w:pPr>
            <w:r w:rsidRPr="00DE12A3">
              <w:t>102</w:t>
            </w:r>
          </w:p>
        </w:tc>
        <w:tc>
          <w:tcPr>
            <w:tcW w:w="2551" w:type="dxa"/>
            <w:tcBorders>
              <w:top w:val="single" w:sz="2" w:space="0" w:color="auto"/>
              <w:left w:val="single" w:sz="2" w:space="0" w:color="auto"/>
              <w:bottom w:val="single" w:sz="2" w:space="0" w:color="auto"/>
              <w:right w:val="single" w:sz="2" w:space="0" w:color="auto"/>
            </w:tcBorders>
          </w:tcPr>
          <w:p w14:paraId="5C6A6C67" w14:textId="77777777" w:rsidR="009F4766" w:rsidRPr="00DE12A3" w:rsidRDefault="009F4766" w:rsidP="00C917D6">
            <w:pPr>
              <w:pStyle w:val="NormalLeft"/>
            </w:pPr>
            <w:r w:rsidRPr="00DE12A3">
              <w:t>50</w:t>
            </w:r>
          </w:p>
        </w:tc>
      </w:tr>
      <w:tr w:rsidR="00DE12A3" w:rsidRPr="00DE12A3" w14:paraId="550E39A7" w14:textId="77777777" w:rsidTr="009F4766">
        <w:tc>
          <w:tcPr>
            <w:tcW w:w="1182" w:type="dxa"/>
            <w:tcBorders>
              <w:top w:val="single" w:sz="2" w:space="0" w:color="auto"/>
              <w:left w:val="single" w:sz="2" w:space="0" w:color="auto"/>
              <w:bottom w:val="single" w:sz="2" w:space="0" w:color="auto"/>
              <w:right w:val="single" w:sz="2" w:space="0" w:color="auto"/>
            </w:tcBorders>
          </w:tcPr>
          <w:p w14:paraId="5BE2CDA1" w14:textId="77777777" w:rsidR="009F4766" w:rsidRPr="00DE12A3" w:rsidRDefault="009F4766" w:rsidP="00C917D6">
            <w:pPr>
              <w:pStyle w:val="NormalLeft"/>
            </w:pPr>
            <w:r w:rsidRPr="00DE12A3">
              <w:t>52</w:t>
            </w:r>
          </w:p>
        </w:tc>
        <w:tc>
          <w:tcPr>
            <w:tcW w:w="2489" w:type="dxa"/>
            <w:tcBorders>
              <w:top w:val="single" w:sz="2" w:space="0" w:color="auto"/>
              <w:left w:val="single" w:sz="2" w:space="0" w:color="auto"/>
              <w:bottom w:val="single" w:sz="2" w:space="0" w:color="auto"/>
              <w:right w:val="single" w:sz="2" w:space="0" w:color="auto"/>
            </w:tcBorders>
          </w:tcPr>
          <w:p w14:paraId="26F7919A" w14:textId="77777777" w:rsidR="009F4766" w:rsidRPr="00DE12A3" w:rsidRDefault="009F4766" w:rsidP="00C917D6">
            <w:pPr>
              <w:pStyle w:val="NormalLeft"/>
            </w:pPr>
            <w:r w:rsidRPr="00DE12A3">
              <w:t>102</w:t>
            </w:r>
          </w:p>
        </w:tc>
        <w:tc>
          <w:tcPr>
            <w:tcW w:w="2551" w:type="dxa"/>
            <w:tcBorders>
              <w:top w:val="single" w:sz="2" w:space="0" w:color="auto"/>
              <w:left w:val="single" w:sz="2" w:space="0" w:color="auto"/>
              <w:bottom w:val="single" w:sz="2" w:space="0" w:color="auto"/>
              <w:right w:val="single" w:sz="2" w:space="0" w:color="auto"/>
            </w:tcBorders>
          </w:tcPr>
          <w:p w14:paraId="02997AF2" w14:textId="77777777" w:rsidR="009F4766" w:rsidRPr="00DE12A3" w:rsidRDefault="009F4766" w:rsidP="00C917D6">
            <w:pPr>
              <w:pStyle w:val="NormalLeft"/>
            </w:pPr>
            <w:r w:rsidRPr="00DE12A3">
              <w:t>46</w:t>
            </w:r>
          </w:p>
        </w:tc>
      </w:tr>
      <w:tr w:rsidR="00DE12A3" w:rsidRPr="00DE12A3" w14:paraId="5D85C648" w14:textId="77777777" w:rsidTr="009F4766">
        <w:tc>
          <w:tcPr>
            <w:tcW w:w="1182" w:type="dxa"/>
            <w:tcBorders>
              <w:top w:val="single" w:sz="2" w:space="0" w:color="auto"/>
              <w:left w:val="single" w:sz="2" w:space="0" w:color="auto"/>
              <w:bottom w:val="single" w:sz="2" w:space="0" w:color="auto"/>
              <w:right w:val="single" w:sz="2" w:space="0" w:color="auto"/>
            </w:tcBorders>
          </w:tcPr>
          <w:p w14:paraId="1DC6AE2A" w14:textId="77777777" w:rsidR="009F4766" w:rsidRPr="00DE12A3" w:rsidRDefault="009F4766" w:rsidP="00C917D6">
            <w:pPr>
              <w:pStyle w:val="NormalLeft"/>
            </w:pPr>
            <w:r w:rsidRPr="00DE12A3">
              <w:t>53</w:t>
            </w:r>
          </w:p>
        </w:tc>
        <w:tc>
          <w:tcPr>
            <w:tcW w:w="2489" w:type="dxa"/>
            <w:tcBorders>
              <w:top w:val="single" w:sz="2" w:space="0" w:color="auto"/>
              <w:left w:val="single" w:sz="2" w:space="0" w:color="auto"/>
              <w:bottom w:val="single" w:sz="2" w:space="0" w:color="auto"/>
              <w:right w:val="single" w:sz="2" w:space="0" w:color="auto"/>
            </w:tcBorders>
          </w:tcPr>
          <w:p w14:paraId="6A143A5A" w14:textId="77777777" w:rsidR="009F4766" w:rsidRPr="00DE12A3" w:rsidRDefault="009F4766" w:rsidP="00C917D6">
            <w:pPr>
              <w:pStyle w:val="NormalLeft"/>
            </w:pPr>
            <w:r w:rsidRPr="00DE12A3">
              <w:t>102</w:t>
            </w:r>
          </w:p>
        </w:tc>
        <w:tc>
          <w:tcPr>
            <w:tcW w:w="2551" w:type="dxa"/>
            <w:tcBorders>
              <w:top w:val="single" w:sz="2" w:space="0" w:color="auto"/>
              <w:left w:val="single" w:sz="2" w:space="0" w:color="auto"/>
              <w:bottom w:val="single" w:sz="2" w:space="0" w:color="auto"/>
              <w:right w:val="single" w:sz="2" w:space="0" w:color="auto"/>
            </w:tcBorders>
          </w:tcPr>
          <w:p w14:paraId="250F7845" w14:textId="77777777" w:rsidR="009F4766" w:rsidRPr="00DE12A3" w:rsidRDefault="009F4766" w:rsidP="00C917D6">
            <w:pPr>
              <w:pStyle w:val="NormalLeft"/>
            </w:pPr>
            <w:r w:rsidRPr="00DE12A3">
              <w:t>41</w:t>
            </w:r>
          </w:p>
        </w:tc>
      </w:tr>
      <w:tr w:rsidR="00DE12A3" w:rsidRPr="00DE12A3" w14:paraId="376AF9EE" w14:textId="77777777" w:rsidTr="009F4766">
        <w:tc>
          <w:tcPr>
            <w:tcW w:w="1182" w:type="dxa"/>
            <w:tcBorders>
              <w:top w:val="single" w:sz="2" w:space="0" w:color="auto"/>
              <w:left w:val="single" w:sz="2" w:space="0" w:color="auto"/>
              <w:bottom w:val="single" w:sz="2" w:space="0" w:color="auto"/>
              <w:right w:val="single" w:sz="2" w:space="0" w:color="auto"/>
            </w:tcBorders>
          </w:tcPr>
          <w:p w14:paraId="7014A27A" w14:textId="77777777" w:rsidR="009F4766" w:rsidRPr="00DE12A3" w:rsidRDefault="009F4766" w:rsidP="00C917D6">
            <w:pPr>
              <w:pStyle w:val="NormalLeft"/>
            </w:pPr>
            <w:r w:rsidRPr="00DE12A3">
              <w:t>54</w:t>
            </w:r>
          </w:p>
        </w:tc>
        <w:tc>
          <w:tcPr>
            <w:tcW w:w="2489" w:type="dxa"/>
            <w:tcBorders>
              <w:top w:val="single" w:sz="2" w:space="0" w:color="auto"/>
              <w:left w:val="single" w:sz="2" w:space="0" w:color="auto"/>
              <w:bottom w:val="single" w:sz="2" w:space="0" w:color="auto"/>
              <w:right w:val="single" w:sz="2" w:space="0" w:color="auto"/>
            </w:tcBorders>
          </w:tcPr>
          <w:p w14:paraId="62AA18DB" w14:textId="77777777" w:rsidR="009F4766" w:rsidRPr="00DE12A3" w:rsidRDefault="009F4766" w:rsidP="00C917D6">
            <w:pPr>
              <w:pStyle w:val="NormalLeft"/>
            </w:pPr>
            <w:r w:rsidRPr="00DE12A3">
              <w:t>102</w:t>
            </w:r>
          </w:p>
        </w:tc>
        <w:tc>
          <w:tcPr>
            <w:tcW w:w="2551" w:type="dxa"/>
            <w:tcBorders>
              <w:top w:val="single" w:sz="2" w:space="0" w:color="auto"/>
              <w:left w:val="single" w:sz="2" w:space="0" w:color="auto"/>
              <w:bottom w:val="single" w:sz="2" w:space="0" w:color="auto"/>
              <w:right w:val="single" w:sz="2" w:space="0" w:color="auto"/>
            </w:tcBorders>
          </w:tcPr>
          <w:p w14:paraId="32887130" w14:textId="77777777" w:rsidR="009F4766" w:rsidRPr="00DE12A3" w:rsidRDefault="009F4766" w:rsidP="00C917D6">
            <w:pPr>
              <w:pStyle w:val="NormalLeft"/>
            </w:pPr>
            <w:r w:rsidRPr="00DE12A3">
              <w:t>31</w:t>
            </w:r>
          </w:p>
        </w:tc>
      </w:tr>
      <w:tr w:rsidR="00DE12A3" w:rsidRPr="00DE12A3" w14:paraId="4D72F94B" w14:textId="77777777" w:rsidTr="009F4766">
        <w:tc>
          <w:tcPr>
            <w:tcW w:w="1182" w:type="dxa"/>
            <w:tcBorders>
              <w:top w:val="single" w:sz="2" w:space="0" w:color="auto"/>
              <w:left w:val="single" w:sz="2" w:space="0" w:color="auto"/>
              <w:bottom w:val="single" w:sz="2" w:space="0" w:color="auto"/>
              <w:right w:val="single" w:sz="2" w:space="0" w:color="auto"/>
            </w:tcBorders>
          </w:tcPr>
          <w:p w14:paraId="1E0301D8" w14:textId="77777777" w:rsidR="009F4766" w:rsidRPr="00DE12A3" w:rsidRDefault="009F4766" w:rsidP="00C917D6">
            <w:pPr>
              <w:pStyle w:val="NormalLeft"/>
            </w:pPr>
            <w:r w:rsidRPr="00DE12A3">
              <w:t>55</w:t>
            </w:r>
          </w:p>
        </w:tc>
        <w:tc>
          <w:tcPr>
            <w:tcW w:w="2489" w:type="dxa"/>
            <w:tcBorders>
              <w:top w:val="single" w:sz="2" w:space="0" w:color="auto"/>
              <w:left w:val="single" w:sz="2" w:space="0" w:color="auto"/>
              <w:bottom w:val="single" w:sz="2" w:space="0" w:color="auto"/>
              <w:right w:val="single" w:sz="2" w:space="0" w:color="auto"/>
            </w:tcBorders>
          </w:tcPr>
          <w:p w14:paraId="746A81E6" w14:textId="77777777" w:rsidR="009F4766" w:rsidRPr="00DE12A3" w:rsidRDefault="009F4766" w:rsidP="00C917D6">
            <w:pPr>
              <w:pStyle w:val="NormalLeft"/>
            </w:pPr>
            <w:r w:rsidRPr="00DE12A3">
              <w:t>89</w:t>
            </w:r>
          </w:p>
        </w:tc>
        <w:tc>
          <w:tcPr>
            <w:tcW w:w="2551" w:type="dxa"/>
            <w:tcBorders>
              <w:top w:val="single" w:sz="2" w:space="0" w:color="auto"/>
              <w:left w:val="single" w:sz="2" w:space="0" w:color="auto"/>
              <w:bottom w:val="single" w:sz="2" w:space="0" w:color="auto"/>
              <w:right w:val="single" w:sz="2" w:space="0" w:color="auto"/>
            </w:tcBorders>
          </w:tcPr>
          <w:p w14:paraId="35064ADE" w14:textId="77777777" w:rsidR="009F4766" w:rsidRPr="00DE12A3" w:rsidRDefault="009F4766" w:rsidP="00C917D6">
            <w:pPr>
              <w:pStyle w:val="NormalLeft"/>
            </w:pPr>
            <w:r w:rsidRPr="00DE12A3">
              <w:t>2</w:t>
            </w:r>
          </w:p>
        </w:tc>
      </w:tr>
      <w:tr w:rsidR="00DE12A3" w:rsidRPr="00DE12A3" w14:paraId="2A393C54" w14:textId="77777777" w:rsidTr="009F4766">
        <w:tc>
          <w:tcPr>
            <w:tcW w:w="1182" w:type="dxa"/>
            <w:tcBorders>
              <w:top w:val="single" w:sz="2" w:space="0" w:color="auto"/>
              <w:left w:val="single" w:sz="2" w:space="0" w:color="auto"/>
              <w:bottom w:val="single" w:sz="2" w:space="0" w:color="auto"/>
              <w:right w:val="single" w:sz="2" w:space="0" w:color="auto"/>
            </w:tcBorders>
          </w:tcPr>
          <w:p w14:paraId="4ED2997F" w14:textId="77777777" w:rsidR="009F4766" w:rsidRPr="00DE12A3" w:rsidRDefault="009F4766" w:rsidP="00C917D6">
            <w:pPr>
              <w:pStyle w:val="NormalLeft"/>
            </w:pPr>
            <w:r w:rsidRPr="00DE12A3">
              <w:t>56</w:t>
            </w:r>
          </w:p>
        </w:tc>
        <w:tc>
          <w:tcPr>
            <w:tcW w:w="2489" w:type="dxa"/>
            <w:tcBorders>
              <w:top w:val="single" w:sz="2" w:space="0" w:color="auto"/>
              <w:left w:val="single" w:sz="2" w:space="0" w:color="auto"/>
              <w:bottom w:val="single" w:sz="2" w:space="0" w:color="auto"/>
              <w:right w:val="single" w:sz="2" w:space="0" w:color="auto"/>
            </w:tcBorders>
          </w:tcPr>
          <w:p w14:paraId="00578285" w14:textId="77777777" w:rsidR="009F4766" w:rsidRPr="00DE12A3" w:rsidRDefault="009F4766" w:rsidP="00C917D6">
            <w:pPr>
              <w:pStyle w:val="NormalLeft"/>
            </w:pPr>
            <w:r w:rsidRPr="00DE12A3">
              <w:t>82</w:t>
            </w:r>
          </w:p>
        </w:tc>
        <w:tc>
          <w:tcPr>
            <w:tcW w:w="2551" w:type="dxa"/>
            <w:tcBorders>
              <w:top w:val="single" w:sz="2" w:space="0" w:color="auto"/>
              <w:left w:val="single" w:sz="2" w:space="0" w:color="auto"/>
              <w:bottom w:val="single" w:sz="2" w:space="0" w:color="auto"/>
              <w:right w:val="single" w:sz="2" w:space="0" w:color="auto"/>
            </w:tcBorders>
          </w:tcPr>
          <w:p w14:paraId="3836D294" w14:textId="77777777" w:rsidR="009F4766" w:rsidRPr="00DE12A3" w:rsidRDefault="009F4766" w:rsidP="00C917D6">
            <w:pPr>
              <w:pStyle w:val="NormalLeft"/>
            </w:pPr>
            <w:r w:rsidRPr="00DE12A3">
              <w:t>0</w:t>
            </w:r>
          </w:p>
        </w:tc>
      </w:tr>
      <w:tr w:rsidR="00DE12A3" w:rsidRPr="00DE12A3" w14:paraId="50A5653F" w14:textId="77777777" w:rsidTr="009F4766">
        <w:tc>
          <w:tcPr>
            <w:tcW w:w="1182" w:type="dxa"/>
            <w:tcBorders>
              <w:top w:val="single" w:sz="2" w:space="0" w:color="auto"/>
              <w:left w:val="single" w:sz="2" w:space="0" w:color="auto"/>
              <w:bottom w:val="single" w:sz="2" w:space="0" w:color="auto"/>
              <w:right w:val="single" w:sz="2" w:space="0" w:color="auto"/>
            </w:tcBorders>
          </w:tcPr>
          <w:p w14:paraId="70CC2C18" w14:textId="77777777" w:rsidR="009F4766" w:rsidRPr="00DE12A3" w:rsidRDefault="009F4766" w:rsidP="00C917D6">
            <w:pPr>
              <w:pStyle w:val="NormalLeft"/>
            </w:pPr>
            <w:r w:rsidRPr="00DE12A3">
              <w:t>57</w:t>
            </w:r>
          </w:p>
        </w:tc>
        <w:tc>
          <w:tcPr>
            <w:tcW w:w="2489" w:type="dxa"/>
            <w:tcBorders>
              <w:top w:val="single" w:sz="2" w:space="0" w:color="auto"/>
              <w:left w:val="single" w:sz="2" w:space="0" w:color="auto"/>
              <w:bottom w:val="single" w:sz="2" w:space="0" w:color="auto"/>
              <w:right w:val="single" w:sz="2" w:space="0" w:color="auto"/>
            </w:tcBorders>
          </w:tcPr>
          <w:p w14:paraId="63C47CCB" w14:textId="77777777" w:rsidR="009F4766" w:rsidRPr="00DE12A3" w:rsidRDefault="009F4766" w:rsidP="00C917D6">
            <w:pPr>
              <w:pStyle w:val="NormalLeft"/>
            </w:pPr>
            <w:r w:rsidRPr="00DE12A3">
              <w:t>47</w:t>
            </w:r>
          </w:p>
        </w:tc>
        <w:tc>
          <w:tcPr>
            <w:tcW w:w="2551" w:type="dxa"/>
            <w:tcBorders>
              <w:top w:val="single" w:sz="2" w:space="0" w:color="auto"/>
              <w:left w:val="single" w:sz="2" w:space="0" w:color="auto"/>
              <w:bottom w:val="single" w:sz="2" w:space="0" w:color="auto"/>
              <w:right w:val="single" w:sz="2" w:space="0" w:color="auto"/>
            </w:tcBorders>
          </w:tcPr>
          <w:p w14:paraId="03F45D21" w14:textId="77777777" w:rsidR="009F4766" w:rsidRPr="00DE12A3" w:rsidRDefault="009F4766" w:rsidP="00C917D6">
            <w:pPr>
              <w:pStyle w:val="NormalLeft"/>
            </w:pPr>
            <w:r w:rsidRPr="00DE12A3">
              <w:t>1</w:t>
            </w:r>
          </w:p>
        </w:tc>
      </w:tr>
      <w:tr w:rsidR="00DE12A3" w:rsidRPr="00DE12A3" w14:paraId="09F3A435" w14:textId="77777777" w:rsidTr="009F4766">
        <w:tc>
          <w:tcPr>
            <w:tcW w:w="1182" w:type="dxa"/>
            <w:tcBorders>
              <w:top w:val="single" w:sz="2" w:space="0" w:color="auto"/>
              <w:left w:val="single" w:sz="2" w:space="0" w:color="auto"/>
              <w:bottom w:val="single" w:sz="2" w:space="0" w:color="auto"/>
              <w:right w:val="single" w:sz="2" w:space="0" w:color="auto"/>
            </w:tcBorders>
          </w:tcPr>
          <w:p w14:paraId="742A0CCE" w14:textId="77777777" w:rsidR="009F4766" w:rsidRPr="00DE12A3" w:rsidRDefault="009F4766" w:rsidP="00C917D6">
            <w:pPr>
              <w:pStyle w:val="NormalLeft"/>
            </w:pPr>
            <w:r w:rsidRPr="00DE12A3">
              <w:t>58</w:t>
            </w:r>
          </w:p>
        </w:tc>
        <w:tc>
          <w:tcPr>
            <w:tcW w:w="2489" w:type="dxa"/>
            <w:tcBorders>
              <w:top w:val="single" w:sz="2" w:space="0" w:color="auto"/>
              <w:left w:val="single" w:sz="2" w:space="0" w:color="auto"/>
              <w:bottom w:val="single" w:sz="2" w:space="0" w:color="auto"/>
              <w:right w:val="single" w:sz="2" w:space="0" w:color="auto"/>
            </w:tcBorders>
          </w:tcPr>
          <w:p w14:paraId="0C3A42C2" w14:textId="77777777" w:rsidR="009F4766" w:rsidRPr="00DE12A3" w:rsidRDefault="009F4766" w:rsidP="00C917D6">
            <w:pPr>
              <w:pStyle w:val="NormalLeft"/>
            </w:pPr>
            <w:r w:rsidRPr="00DE12A3">
              <w:t>23</w:t>
            </w:r>
          </w:p>
        </w:tc>
        <w:tc>
          <w:tcPr>
            <w:tcW w:w="2551" w:type="dxa"/>
            <w:tcBorders>
              <w:top w:val="single" w:sz="2" w:space="0" w:color="auto"/>
              <w:left w:val="single" w:sz="2" w:space="0" w:color="auto"/>
              <w:bottom w:val="single" w:sz="2" w:space="0" w:color="auto"/>
              <w:right w:val="single" w:sz="2" w:space="0" w:color="auto"/>
            </w:tcBorders>
          </w:tcPr>
          <w:p w14:paraId="321FD323" w14:textId="77777777" w:rsidR="009F4766" w:rsidRPr="00DE12A3" w:rsidRDefault="009F4766" w:rsidP="00C917D6">
            <w:pPr>
              <w:pStyle w:val="NormalLeft"/>
            </w:pPr>
            <w:r w:rsidRPr="00DE12A3">
              <w:t>1</w:t>
            </w:r>
          </w:p>
        </w:tc>
      </w:tr>
      <w:tr w:rsidR="00DE12A3" w:rsidRPr="00DE12A3" w14:paraId="67D2C1F1" w14:textId="77777777" w:rsidTr="009F4766">
        <w:tc>
          <w:tcPr>
            <w:tcW w:w="1182" w:type="dxa"/>
            <w:tcBorders>
              <w:top w:val="single" w:sz="2" w:space="0" w:color="auto"/>
              <w:left w:val="single" w:sz="2" w:space="0" w:color="auto"/>
              <w:bottom w:val="single" w:sz="2" w:space="0" w:color="auto"/>
              <w:right w:val="single" w:sz="2" w:space="0" w:color="auto"/>
            </w:tcBorders>
          </w:tcPr>
          <w:p w14:paraId="62EF4B76" w14:textId="77777777" w:rsidR="009F4766" w:rsidRPr="00DE12A3" w:rsidRDefault="009F4766" w:rsidP="00C917D6">
            <w:pPr>
              <w:pStyle w:val="NormalLeft"/>
            </w:pPr>
            <w:r w:rsidRPr="00DE12A3">
              <w:t>59</w:t>
            </w:r>
          </w:p>
        </w:tc>
        <w:tc>
          <w:tcPr>
            <w:tcW w:w="2489" w:type="dxa"/>
            <w:tcBorders>
              <w:top w:val="single" w:sz="2" w:space="0" w:color="auto"/>
              <w:left w:val="single" w:sz="2" w:space="0" w:color="auto"/>
              <w:bottom w:val="single" w:sz="2" w:space="0" w:color="auto"/>
              <w:right w:val="single" w:sz="2" w:space="0" w:color="auto"/>
            </w:tcBorders>
          </w:tcPr>
          <w:p w14:paraId="112ECF47" w14:textId="77777777" w:rsidR="009F4766" w:rsidRPr="00DE12A3" w:rsidRDefault="009F4766" w:rsidP="00C917D6">
            <w:pPr>
              <w:pStyle w:val="NormalLeft"/>
            </w:pPr>
            <w:r w:rsidRPr="00DE12A3">
              <w:t>1</w:t>
            </w:r>
          </w:p>
        </w:tc>
        <w:tc>
          <w:tcPr>
            <w:tcW w:w="2551" w:type="dxa"/>
            <w:tcBorders>
              <w:top w:val="single" w:sz="2" w:space="0" w:color="auto"/>
              <w:left w:val="single" w:sz="2" w:space="0" w:color="auto"/>
              <w:bottom w:val="single" w:sz="2" w:space="0" w:color="auto"/>
              <w:right w:val="single" w:sz="2" w:space="0" w:color="auto"/>
            </w:tcBorders>
          </w:tcPr>
          <w:p w14:paraId="4BD28F5D" w14:textId="77777777" w:rsidR="009F4766" w:rsidRPr="00DE12A3" w:rsidRDefault="009F4766" w:rsidP="00C917D6">
            <w:pPr>
              <w:pStyle w:val="NormalLeft"/>
            </w:pPr>
            <w:r w:rsidRPr="00DE12A3">
              <w:t>3</w:t>
            </w:r>
          </w:p>
        </w:tc>
      </w:tr>
      <w:tr w:rsidR="00DE12A3" w:rsidRPr="00DE12A3" w14:paraId="67E06885" w14:textId="77777777" w:rsidTr="009F4766">
        <w:tc>
          <w:tcPr>
            <w:tcW w:w="1182" w:type="dxa"/>
            <w:tcBorders>
              <w:top w:val="single" w:sz="2" w:space="0" w:color="auto"/>
              <w:left w:val="single" w:sz="2" w:space="0" w:color="auto"/>
              <w:bottom w:val="single" w:sz="2" w:space="0" w:color="auto"/>
              <w:right w:val="single" w:sz="2" w:space="0" w:color="auto"/>
            </w:tcBorders>
          </w:tcPr>
          <w:p w14:paraId="1B672E9E" w14:textId="77777777" w:rsidR="009F4766" w:rsidRPr="00DE12A3" w:rsidRDefault="009F4766" w:rsidP="00C917D6">
            <w:pPr>
              <w:pStyle w:val="NormalLeft"/>
            </w:pPr>
            <w:r w:rsidRPr="00DE12A3">
              <w:t>60</w:t>
            </w:r>
          </w:p>
        </w:tc>
        <w:tc>
          <w:tcPr>
            <w:tcW w:w="2489" w:type="dxa"/>
            <w:tcBorders>
              <w:top w:val="single" w:sz="2" w:space="0" w:color="auto"/>
              <w:left w:val="single" w:sz="2" w:space="0" w:color="auto"/>
              <w:bottom w:val="single" w:sz="2" w:space="0" w:color="auto"/>
              <w:right w:val="single" w:sz="2" w:space="0" w:color="auto"/>
            </w:tcBorders>
          </w:tcPr>
          <w:p w14:paraId="607424BC" w14:textId="77777777" w:rsidR="009F4766" w:rsidRPr="00DE12A3" w:rsidRDefault="009F4766" w:rsidP="00C917D6">
            <w:pPr>
              <w:pStyle w:val="NormalLeft"/>
            </w:pPr>
            <w:r w:rsidRPr="00DE12A3">
              <w:t>1</w:t>
            </w:r>
          </w:p>
        </w:tc>
        <w:tc>
          <w:tcPr>
            <w:tcW w:w="2551" w:type="dxa"/>
            <w:tcBorders>
              <w:top w:val="single" w:sz="2" w:space="0" w:color="auto"/>
              <w:left w:val="single" w:sz="2" w:space="0" w:color="auto"/>
              <w:bottom w:val="single" w:sz="2" w:space="0" w:color="auto"/>
              <w:right w:val="single" w:sz="2" w:space="0" w:color="auto"/>
            </w:tcBorders>
          </w:tcPr>
          <w:p w14:paraId="62B2291F" w14:textId="77777777" w:rsidR="009F4766" w:rsidRPr="00DE12A3" w:rsidRDefault="009F4766" w:rsidP="00C917D6">
            <w:pPr>
              <w:pStyle w:val="NormalLeft"/>
            </w:pPr>
            <w:r w:rsidRPr="00DE12A3">
              <w:t>8</w:t>
            </w:r>
          </w:p>
        </w:tc>
      </w:tr>
      <w:tr w:rsidR="00DE12A3" w:rsidRPr="00DE12A3" w14:paraId="3E1E20B2" w14:textId="77777777" w:rsidTr="009F4766">
        <w:tc>
          <w:tcPr>
            <w:tcW w:w="1182" w:type="dxa"/>
            <w:tcBorders>
              <w:top w:val="single" w:sz="2" w:space="0" w:color="auto"/>
              <w:left w:val="single" w:sz="2" w:space="0" w:color="auto"/>
              <w:bottom w:val="single" w:sz="2" w:space="0" w:color="auto"/>
              <w:right w:val="single" w:sz="2" w:space="0" w:color="auto"/>
            </w:tcBorders>
          </w:tcPr>
          <w:p w14:paraId="2716A37D" w14:textId="77777777" w:rsidR="009F4766" w:rsidRPr="00DE12A3" w:rsidRDefault="009F4766" w:rsidP="00C917D6">
            <w:pPr>
              <w:pStyle w:val="NormalLeft"/>
            </w:pPr>
            <w:r w:rsidRPr="00DE12A3">
              <w:t>61</w:t>
            </w:r>
          </w:p>
        </w:tc>
        <w:tc>
          <w:tcPr>
            <w:tcW w:w="2489" w:type="dxa"/>
            <w:tcBorders>
              <w:top w:val="single" w:sz="2" w:space="0" w:color="auto"/>
              <w:left w:val="single" w:sz="2" w:space="0" w:color="auto"/>
              <w:bottom w:val="single" w:sz="2" w:space="0" w:color="auto"/>
              <w:right w:val="single" w:sz="2" w:space="0" w:color="auto"/>
            </w:tcBorders>
          </w:tcPr>
          <w:p w14:paraId="2A8ABED7" w14:textId="77777777" w:rsidR="009F4766" w:rsidRPr="00DE12A3" w:rsidRDefault="009F4766" w:rsidP="00C917D6">
            <w:pPr>
              <w:pStyle w:val="NormalLeft"/>
            </w:pPr>
            <w:r w:rsidRPr="00DE12A3">
              <w:t>1</w:t>
            </w:r>
          </w:p>
        </w:tc>
        <w:tc>
          <w:tcPr>
            <w:tcW w:w="2551" w:type="dxa"/>
            <w:tcBorders>
              <w:top w:val="single" w:sz="2" w:space="0" w:color="auto"/>
              <w:left w:val="single" w:sz="2" w:space="0" w:color="auto"/>
              <w:bottom w:val="single" w:sz="2" w:space="0" w:color="auto"/>
              <w:right w:val="single" w:sz="2" w:space="0" w:color="auto"/>
            </w:tcBorders>
          </w:tcPr>
          <w:p w14:paraId="27C7FC13" w14:textId="77777777" w:rsidR="009F4766" w:rsidRPr="00DE12A3" w:rsidRDefault="009F4766" w:rsidP="00C917D6">
            <w:pPr>
              <w:pStyle w:val="NormalLeft"/>
            </w:pPr>
            <w:r w:rsidRPr="00DE12A3">
              <w:t>3</w:t>
            </w:r>
          </w:p>
        </w:tc>
      </w:tr>
      <w:tr w:rsidR="00DE12A3" w:rsidRPr="00DE12A3" w14:paraId="27129ED9" w14:textId="77777777" w:rsidTr="009F4766">
        <w:tc>
          <w:tcPr>
            <w:tcW w:w="1182" w:type="dxa"/>
            <w:tcBorders>
              <w:top w:val="single" w:sz="2" w:space="0" w:color="auto"/>
              <w:left w:val="single" w:sz="2" w:space="0" w:color="auto"/>
              <w:bottom w:val="single" w:sz="2" w:space="0" w:color="auto"/>
              <w:right w:val="single" w:sz="2" w:space="0" w:color="auto"/>
            </w:tcBorders>
          </w:tcPr>
          <w:p w14:paraId="24D9248F" w14:textId="77777777" w:rsidR="009F4766" w:rsidRPr="00DE12A3" w:rsidRDefault="009F4766" w:rsidP="00C917D6">
            <w:pPr>
              <w:pStyle w:val="NormalLeft"/>
            </w:pPr>
            <w:r w:rsidRPr="00DE12A3">
              <w:t>62</w:t>
            </w:r>
          </w:p>
        </w:tc>
        <w:tc>
          <w:tcPr>
            <w:tcW w:w="2489" w:type="dxa"/>
            <w:tcBorders>
              <w:top w:val="single" w:sz="2" w:space="0" w:color="auto"/>
              <w:left w:val="single" w:sz="2" w:space="0" w:color="auto"/>
              <w:bottom w:val="single" w:sz="2" w:space="0" w:color="auto"/>
              <w:right w:val="single" w:sz="2" w:space="0" w:color="auto"/>
            </w:tcBorders>
          </w:tcPr>
          <w:p w14:paraId="395C37E6" w14:textId="77777777" w:rsidR="009F4766" w:rsidRPr="00DE12A3" w:rsidRDefault="009F4766" w:rsidP="00C917D6">
            <w:pPr>
              <w:pStyle w:val="NormalLeft"/>
            </w:pPr>
            <w:r w:rsidRPr="00DE12A3">
              <w:t>1</w:t>
            </w:r>
          </w:p>
        </w:tc>
        <w:tc>
          <w:tcPr>
            <w:tcW w:w="2551" w:type="dxa"/>
            <w:tcBorders>
              <w:top w:val="single" w:sz="2" w:space="0" w:color="auto"/>
              <w:left w:val="single" w:sz="2" w:space="0" w:color="auto"/>
              <w:bottom w:val="single" w:sz="2" w:space="0" w:color="auto"/>
              <w:right w:val="single" w:sz="2" w:space="0" w:color="auto"/>
            </w:tcBorders>
          </w:tcPr>
          <w:p w14:paraId="21D94401" w14:textId="77777777" w:rsidR="009F4766" w:rsidRPr="00DE12A3" w:rsidRDefault="009F4766" w:rsidP="00C917D6">
            <w:pPr>
              <w:pStyle w:val="NormalLeft"/>
            </w:pPr>
            <w:r w:rsidRPr="00DE12A3">
              <w:t>5</w:t>
            </w:r>
          </w:p>
        </w:tc>
      </w:tr>
      <w:tr w:rsidR="00DE12A3" w:rsidRPr="00DE12A3" w14:paraId="2C8A94FD" w14:textId="77777777" w:rsidTr="009F4766">
        <w:tc>
          <w:tcPr>
            <w:tcW w:w="1182" w:type="dxa"/>
            <w:tcBorders>
              <w:top w:val="single" w:sz="2" w:space="0" w:color="auto"/>
              <w:left w:val="single" w:sz="2" w:space="0" w:color="auto"/>
              <w:bottom w:val="single" w:sz="2" w:space="0" w:color="auto"/>
              <w:right w:val="single" w:sz="2" w:space="0" w:color="auto"/>
            </w:tcBorders>
          </w:tcPr>
          <w:p w14:paraId="1064C56C" w14:textId="77777777" w:rsidR="009F4766" w:rsidRPr="00DE12A3" w:rsidRDefault="009F4766" w:rsidP="00C917D6">
            <w:pPr>
              <w:pStyle w:val="NormalLeft"/>
            </w:pPr>
            <w:r w:rsidRPr="00DE12A3">
              <w:t>63</w:t>
            </w:r>
          </w:p>
        </w:tc>
        <w:tc>
          <w:tcPr>
            <w:tcW w:w="2489" w:type="dxa"/>
            <w:tcBorders>
              <w:top w:val="single" w:sz="2" w:space="0" w:color="auto"/>
              <w:left w:val="single" w:sz="2" w:space="0" w:color="auto"/>
              <w:bottom w:val="single" w:sz="2" w:space="0" w:color="auto"/>
              <w:right w:val="single" w:sz="2" w:space="0" w:color="auto"/>
            </w:tcBorders>
          </w:tcPr>
          <w:p w14:paraId="04F68ADE" w14:textId="77777777" w:rsidR="009F4766" w:rsidRPr="00DE12A3" w:rsidRDefault="009F4766" w:rsidP="00C917D6">
            <w:pPr>
              <w:pStyle w:val="NormalLeft"/>
            </w:pPr>
            <w:r w:rsidRPr="00DE12A3">
              <w:t>1</w:t>
            </w:r>
          </w:p>
        </w:tc>
        <w:tc>
          <w:tcPr>
            <w:tcW w:w="2551" w:type="dxa"/>
            <w:tcBorders>
              <w:top w:val="single" w:sz="2" w:space="0" w:color="auto"/>
              <w:left w:val="single" w:sz="2" w:space="0" w:color="auto"/>
              <w:bottom w:val="single" w:sz="2" w:space="0" w:color="auto"/>
              <w:right w:val="single" w:sz="2" w:space="0" w:color="auto"/>
            </w:tcBorders>
          </w:tcPr>
          <w:p w14:paraId="013A16D5" w14:textId="77777777" w:rsidR="009F4766" w:rsidRPr="00DE12A3" w:rsidRDefault="009F4766" w:rsidP="00C917D6">
            <w:pPr>
              <w:pStyle w:val="NormalLeft"/>
            </w:pPr>
            <w:r w:rsidRPr="00DE12A3">
              <w:t>6</w:t>
            </w:r>
          </w:p>
        </w:tc>
      </w:tr>
      <w:tr w:rsidR="00DE12A3" w:rsidRPr="00DE12A3" w14:paraId="3AB93307" w14:textId="77777777" w:rsidTr="009F4766">
        <w:tc>
          <w:tcPr>
            <w:tcW w:w="1182" w:type="dxa"/>
            <w:tcBorders>
              <w:top w:val="single" w:sz="2" w:space="0" w:color="auto"/>
              <w:left w:val="single" w:sz="2" w:space="0" w:color="auto"/>
              <w:bottom w:val="single" w:sz="2" w:space="0" w:color="auto"/>
              <w:right w:val="single" w:sz="2" w:space="0" w:color="auto"/>
            </w:tcBorders>
          </w:tcPr>
          <w:p w14:paraId="5B827CCF" w14:textId="77777777" w:rsidR="009F4766" w:rsidRPr="00DE12A3" w:rsidRDefault="009F4766" w:rsidP="00C917D6">
            <w:pPr>
              <w:pStyle w:val="NormalLeft"/>
            </w:pPr>
            <w:r w:rsidRPr="00DE12A3">
              <w:t>64</w:t>
            </w:r>
          </w:p>
        </w:tc>
        <w:tc>
          <w:tcPr>
            <w:tcW w:w="2489" w:type="dxa"/>
            <w:tcBorders>
              <w:top w:val="single" w:sz="2" w:space="0" w:color="auto"/>
              <w:left w:val="single" w:sz="2" w:space="0" w:color="auto"/>
              <w:bottom w:val="single" w:sz="2" w:space="0" w:color="auto"/>
              <w:right w:val="single" w:sz="2" w:space="0" w:color="auto"/>
            </w:tcBorders>
          </w:tcPr>
          <w:p w14:paraId="37FB00CE" w14:textId="77777777" w:rsidR="009F4766" w:rsidRPr="00DE12A3" w:rsidRDefault="009F4766" w:rsidP="00C917D6">
            <w:pPr>
              <w:pStyle w:val="NormalLeft"/>
            </w:pPr>
            <w:r w:rsidRPr="00DE12A3">
              <w:t>1</w:t>
            </w:r>
          </w:p>
        </w:tc>
        <w:tc>
          <w:tcPr>
            <w:tcW w:w="2551" w:type="dxa"/>
            <w:tcBorders>
              <w:top w:val="single" w:sz="2" w:space="0" w:color="auto"/>
              <w:left w:val="single" w:sz="2" w:space="0" w:color="auto"/>
              <w:bottom w:val="single" w:sz="2" w:space="0" w:color="auto"/>
              <w:right w:val="single" w:sz="2" w:space="0" w:color="auto"/>
            </w:tcBorders>
          </w:tcPr>
          <w:p w14:paraId="335ABAB3" w14:textId="77777777" w:rsidR="009F4766" w:rsidRPr="00DE12A3" w:rsidRDefault="009F4766" w:rsidP="00C917D6">
            <w:pPr>
              <w:pStyle w:val="NormalLeft"/>
            </w:pPr>
            <w:r w:rsidRPr="00DE12A3">
              <w:t>4</w:t>
            </w:r>
          </w:p>
        </w:tc>
      </w:tr>
      <w:tr w:rsidR="00DE12A3" w:rsidRPr="00DE12A3" w14:paraId="1D59E783" w14:textId="77777777" w:rsidTr="009F4766">
        <w:tc>
          <w:tcPr>
            <w:tcW w:w="1182" w:type="dxa"/>
            <w:tcBorders>
              <w:top w:val="single" w:sz="2" w:space="0" w:color="auto"/>
              <w:left w:val="single" w:sz="2" w:space="0" w:color="auto"/>
              <w:bottom w:val="single" w:sz="2" w:space="0" w:color="auto"/>
              <w:right w:val="single" w:sz="2" w:space="0" w:color="auto"/>
            </w:tcBorders>
          </w:tcPr>
          <w:p w14:paraId="6DE770C0" w14:textId="77777777" w:rsidR="009F4766" w:rsidRPr="00DE12A3" w:rsidRDefault="009F4766" w:rsidP="00C917D6">
            <w:pPr>
              <w:pStyle w:val="NormalLeft"/>
            </w:pPr>
            <w:r w:rsidRPr="00DE12A3">
              <w:t>65</w:t>
            </w:r>
          </w:p>
        </w:tc>
        <w:tc>
          <w:tcPr>
            <w:tcW w:w="2489" w:type="dxa"/>
            <w:tcBorders>
              <w:top w:val="single" w:sz="2" w:space="0" w:color="auto"/>
              <w:left w:val="single" w:sz="2" w:space="0" w:color="auto"/>
              <w:bottom w:val="single" w:sz="2" w:space="0" w:color="auto"/>
              <w:right w:val="single" w:sz="2" w:space="0" w:color="auto"/>
            </w:tcBorders>
          </w:tcPr>
          <w:p w14:paraId="62DD7474" w14:textId="77777777" w:rsidR="009F4766" w:rsidRPr="00DE12A3" w:rsidRDefault="009F4766" w:rsidP="00C917D6">
            <w:pPr>
              <w:pStyle w:val="NormalLeft"/>
            </w:pPr>
            <w:r w:rsidRPr="00DE12A3">
              <w:t>1</w:t>
            </w:r>
          </w:p>
        </w:tc>
        <w:tc>
          <w:tcPr>
            <w:tcW w:w="2551" w:type="dxa"/>
            <w:tcBorders>
              <w:top w:val="single" w:sz="2" w:space="0" w:color="auto"/>
              <w:left w:val="single" w:sz="2" w:space="0" w:color="auto"/>
              <w:bottom w:val="single" w:sz="2" w:space="0" w:color="auto"/>
              <w:right w:val="single" w:sz="2" w:space="0" w:color="auto"/>
            </w:tcBorders>
          </w:tcPr>
          <w:p w14:paraId="64C965F9" w14:textId="77777777" w:rsidR="009F4766" w:rsidRPr="00DE12A3" w:rsidRDefault="009F4766" w:rsidP="00C917D6">
            <w:pPr>
              <w:pStyle w:val="NormalLeft"/>
            </w:pPr>
            <w:r w:rsidRPr="00DE12A3">
              <w:t>4</w:t>
            </w:r>
          </w:p>
        </w:tc>
      </w:tr>
      <w:tr w:rsidR="00DE12A3" w:rsidRPr="00DE12A3" w14:paraId="25D50CE5" w14:textId="77777777" w:rsidTr="009F4766">
        <w:tc>
          <w:tcPr>
            <w:tcW w:w="1182" w:type="dxa"/>
            <w:tcBorders>
              <w:top w:val="single" w:sz="2" w:space="0" w:color="auto"/>
              <w:left w:val="single" w:sz="2" w:space="0" w:color="auto"/>
              <w:bottom w:val="single" w:sz="2" w:space="0" w:color="auto"/>
              <w:right w:val="single" w:sz="2" w:space="0" w:color="auto"/>
            </w:tcBorders>
          </w:tcPr>
          <w:p w14:paraId="1D134F34" w14:textId="77777777" w:rsidR="009F4766" w:rsidRPr="00DE12A3" w:rsidRDefault="009F4766" w:rsidP="00C917D6">
            <w:pPr>
              <w:pStyle w:val="NormalLeft"/>
            </w:pPr>
            <w:r w:rsidRPr="00DE12A3">
              <w:t>66</w:t>
            </w:r>
          </w:p>
        </w:tc>
        <w:tc>
          <w:tcPr>
            <w:tcW w:w="2489" w:type="dxa"/>
            <w:tcBorders>
              <w:top w:val="single" w:sz="2" w:space="0" w:color="auto"/>
              <w:left w:val="single" w:sz="2" w:space="0" w:color="auto"/>
              <w:bottom w:val="single" w:sz="2" w:space="0" w:color="auto"/>
              <w:right w:val="single" w:sz="2" w:space="0" w:color="auto"/>
            </w:tcBorders>
          </w:tcPr>
          <w:p w14:paraId="08D243BA" w14:textId="77777777" w:rsidR="009F4766" w:rsidRPr="00DE12A3" w:rsidRDefault="009F4766" w:rsidP="00C917D6">
            <w:pPr>
              <w:pStyle w:val="NormalLeft"/>
            </w:pPr>
            <w:r w:rsidRPr="00DE12A3">
              <w:t>0</w:t>
            </w:r>
          </w:p>
        </w:tc>
        <w:tc>
          <w:tcPr>
            <w:tcW w:w="2551" w:type="dxa"/>
            <w:tcBorders>
              <w:top w:val="single" w:sz="2" w:space="0" w:color="auto"/>
              <w:left w:val="single" w:sz="2" w:space="0" w:color="auto"/>
              <w:bottom w:val="single" w:sz="2" w:space="0" w:color="auto"/>
              <w:right w:val="single" w:sz="2" w:space="0" w:color="auto"/>
            </w:tcBorders>
          </w:tcPr>
          <w:p w14:paraId="057CF524" w14:textId="77777777" w:rsidR="009F4766" w:rsidRPr="00DE12A3" w:rsidRDefault="009F4766" w:rsidP="00C917D6">
            <w:pPr>
              <w:pStyle w:val="NormalLeft"/>
            </w:pPr>
            <w:r w:rsidRPr="00DE12A3">
              <w:t>6</w:t>
            </w:r>
          </w:p>
        </w:tc>
      </w:tr>
      <w:tr w:rsidR="00DE12A3" w:rsidRPr="00DE12A3" w14:paraId="29282045" w14:textId="77777777" w:rsidTr="009F4766">
        <w:tc>
          <w:tcPr>
            <w:tcW w:w="1182" w:type="dxa"/>
            <w:tcBorders>
              <w:top w:val="single" w:sz="2" w:space="0" w:color="auto"/>
              <w:left w:val="single" w:sz="2" w:space="0" w:color="auto"/>
              <w:bottom w:val="single" w:sz="2" w:space="0" w:color="auto"/>
              <w:right w:val="single" w:sz="2" w:space="0" w:color="auto"/>
            </w:tcBorders>
          </w:tcPr>
          <w:p w14:paraId="795C641C" w14:textId="77777777" w:rsidR="009F4766" w:rsidRPr="00DE12A3" w:rsidRDefault="009F4766" w:rsidP="00C917D6">
            <w:pPr>
              <w:pStyle w:val="NormalLeft"/>
            </w:pPr>
            <w:r w:rsidRPr="00DE12A3">
              <w:t>67</w:t>
            </w:r>
          </w:p>
        </w:tc>
        <w:tc>
          <w:tcPr>
            <w:tcW w:w="2489" w:type="dxa"/>
            <w:tcBorders>
              <w:top w:val="single" w:sz="2" w:space="0" w:color="auto"/>
              <w:left w:val="single" w:sz="2" w:space="0" w:color="auto"/>
              <w:bottom w:val="single" w:sz="2" w:space="0" w:color="auto"/>
              <w:right w:val="single" w:sz="2" w:space="0" w:color="auto"/>
            </w:tcBorders>
          </w:tcPr>
          <w:p w14:paraId="68798BD8" w14:textId="77777777" w:rsidR="009F4766" w:rsidRPr="00DE12A3" w:rsidRDefault="009F4766" w:rsidP="00C917D6">
            <w:pPr>
              <w:pStyle w:val="NormalLeft"/>
            </w:pPr>
            <w:r w:rsidRPr="00DE12A3">
              <w:t>1</w:t>
            </w:r>
          </w:p>
        </w:tc>
        <w:tc>
          <w:tcPr>
            <w:tcW w:w="2551" w:type="dxa"/>
            <w:tcBorders>
              <w:top w:val="single" w:sz="2" w:space="0" w:color="auto"/>
              <w:left w:val="single" w:sz="2" w:space="0" w:color="auto"/>
              <w:bottom w:val="single" w:sz="2" w:space="0" w:color="auto"/>
              <w:right w:val="single" w:sz="2" w:space="0" w:color="auto"/>
            </w:tcBorders>
          </w:tcPr>
          <w:p w14:paraId="19F6B91C" w14:textId="77777777" w:rsidR="009F4766" w:rsidRPr="00DE12A3" w:rsidRDefault="009F4766" w:rsidP="00C917D6">
            <w:pPr>
              <w:pStyle w:val="NormalLeft"/>
            </w:pPr>
            <w:r w:rsidRPr="00DE12A3">
              <w:t>4</w:t>
            </w:r>
          </w:p>
        </w:tc>
      </w:tr>
      <w:tr w:rsidR="00DE12A3" w:rsidRPr="00DE12A3" w14:paraId="05A9F2E6" w14:textId="77777777" w:rsidTr="009F4766">
        <w:tc>
          <w:tcPr>
            <w:tcW w:w="1182" w:type="dxa"/>
            <w:tcBorders>
              <w:top w:val="single" w:sz="2" w:space="0" w:color="auto"/>
              <w:left w:val="single" w:sz="2" w:space="0" w:color="auto"/>
              <w:bottom w:val="single" w:sz="2" w:space="0" w:color="auto"/>
              <w:right w:val="single" w:sz="2" w:space="0" w:color="auto"/>
            </w:tcBorders>
          </w:tcPr>
          <w:p w14:paraId="036ABA48" w14:textId="77777777" w:rsidR="009F4766" w:rsidRPr="00DE12A3" w:rsidRDefault="009F4766" w:rsidP="00C917D6">
            <w:pPr>
              <w:pStyle w:val="NormalLeft"/>
            </w:pPr>
            <w:r w:rsidRPr="00DE12A3">
              <w:lastRenderedPageBreak/>
              <w:t>68</w:t>
            </w:r>
          </w:p>
        </w:tc>
        <w:tc>
          <w:tcPr>
            <w:tcW w:w="2489" w:type="dxa"/>
            <w:tcBorders>
              <w:top w:val="single" w:sz="2" w:space="0" w:color="auto"/>
              <w:left w:val="single" w:sz="2" w:space="0" w:color="auto"/>
              <w:bottom w:val="single" w:sz="2" w:space="0" w:color="auto"/>
              <w:right w:val="single" w:sz="2" w:space="0" w:color="auto"/>
            </w:tcBorders>
          </w:tcPr>
          <w:p w14:paraId="30790D03" w14:textId="77777777" w:rsidR="009F4766" w:rsidRPr="00DE12A3" w:rsidRDefault="009F4766" w:rsidP="00C917D6">
            <w:pPr>
              <w:pStyle w:val="NormalLeft"/>
            </w:pPr>
            <w:r w:rsidRPr="00DE12A3">
              <w:t>9</w:t>
            </w:r>
          </w:p>
        </w:tc>
        <w:tc>
          <w:tcPr>
            <w:tcW w:w="2551" w:type="dxa"/>
            <w:tcBorders>
              <w:top w:val="single" w:sz="2" w:space="0" w:color="auto"/>
              <w:left w:val="single" w:sz="2" w:space="0" w:color="auto"/>
              <w:bottom w:val="single" w:sz="2" w:space="0" w:color="auto"/>
              <w:right w:val="single" w:sz="2" w:space="0" w:color="auto"/>
            </w:tcBorders>
          </w:tcPr>
          <w:p w14:paraId="2EF4F00D" w14:textId="77777777" w:rsidR="009F4766" w:rsidRPr="00DE12A3" w:rsidRDefault="009F4766" w:rsidP="00C917D6">
            <w:pPr>
              <w:pStyle w:val="NormalLeft"/>
            </w:pPr>
            <w:r w:rsidRPr="00DE12A3">
              <w:t>21</w:t>
            </w:r>
          </w:p>
        </w:tc>
      </w:tr>
      <w:tr w:rsidR="00DE12A3" w:rsidRPr="00DE12A3" w14:paraId="27ACE9BD" w14:textId="77777777" w:rsidTr="009F4766">
        <w:tc>
          <w:tcPr>
            <w:tcW w:w="1182" w:type="dxa"/>
            <w:tcBorders>
              <w:top w:val="single" w:sz="2" w:space="0" w:color="auto"/>
              <w:left w:val="single" w:sz="2" w:space="0" w:color="auto"/>
              <w:bottom w:val="single" w:sz="2" w:space="0" w:color="auto"/>
              <w:right w:val="single" w:sz="2" w:space="0" w:color="auto"/>
            </w:tcBorders>
          </w:tcPr>
          <w:p w14:paraId="63D822AA" w14:textId="77777777" w:rsidR="009F4766" w:rsidRPr="00DE12A3" w:rsidRDefault="009F4766" w:rsidP="00C917D6">
            <w:pPr>
              <w:pStyle w:val="NormalLeft"/>
            </w:pPr>
            <w:r w:rsidRPr="00DE12A3">
              <w:t>69</w:t>
            </w:r>
          </w:p>
        </w:tc>
        <w:tc>
          <w:tcPr>
            <w:tcW w:w="2489" w:type="dxa"/>
            <w:tcBorders>
              <w:top w:val="single" w:sz="2" w:space="0" w:color="auto"/>
              <w:left w:val="single" w:sz="2" w:space="0" w:color="auto"/>
              <w:bottom w:val="single" w:sz="2" w:space="0" w:color="auto"/>
              <w:right w:val="single" w:sz="2" w:space="0" w:color="auto"/>
            </w:tcBorders>
          </w:tcPr>
          <w:p w14:paraId="75B6CE0A" w14:textId="77777777" w:rsidR="009F4766" w:rsidRPr="00DE12A3" w:rsidRDefault="009F4766" w:rsidP="00C917D6">
            <w:pPr>
              <w:pStyle w:val="NormalLeft"/>
            </w:pPr>
            <w:r w:rsidRPr="00DE12A3">
              <w:t>25</w:t>
            </w:r>
          </w:p>
        </w:tc>
        <w:tc>
          <w:tcPr>
            <w:tcW w:w="2551" w:type="dxa"/>
            <w:tcBorders>
              <w:top w:val="single" w:sz="2" w:space="0" w:color="auto"/>
              <w:left w:val="single" w:sz="2" w:space="0" w:color="auto"/>
              <w:bottom w:val="single" w:sz="2" w:space="0" w:color="auto"/>
              <w:right w:val="single" w:sz="2" w:space="0" w:color="auto"/>
            </w:tcBorders>
          </w:tcPr>
          <w:p w14:paraId="010B4043" w14:textId="77777777" w:rsidR="009F4766" w:rsidRPr="00DE12A3" w:rsidRDefault="009F4766" w:rsidP="00C917D6">
            <w:pPr>
              <w:pStyle w:val="NormalLeft"/>
            </w:pPr>
            <w:r w:rsidRPr="00DE12A3">
              <w:t>56</w:t>
            </w:r>
          </w:p>
        </w:tc>
      </w:tr>
      <w:tr w:rsidR="00DE12A3" w:rsidRPr="00DE12A3" w14:paraId="0825A49E" w14:textId="77777777" w:rsidTr="009F4766">
        <w:tc>
          <w:tcPr>
            <w:tcW w:w="1182" w:type="dxa"/>
            <w:tcBorders>
              <w:top w:val="single" w:sz="2" w:space="0" w:color="auto"/>
              <w:left w:val="single" w:sz="2" w:space="0" w:color="auto"/>
              <w:bottom w:val="single" w:sz="2" w:space="0" w:color="auto"/>
              <w:right w:val="single" w:sz="2" w:space="0" w:color="auto"/>
            </w:tcBorders>
          </w:tcPr>
          <w:p w14:paraId="2F8FAF42" w14:textId="77777777" w:rsidR="009F4766" w:rsidRPr="00DE12A3" w:rsidRDefault="009F4766" w:rsidP="00C917D6">
            <w:pPr>
              <w:pStyle w:val="NormalLeft"/>
            </w:pPr>
            <w:r w:rsidRPr="00DE12A3">
              <w:t>70</w:t>
            </w:r>
          </w:p>
        </w:tc>
        <w:tc>
          <w:tcPr>
            <w:tcW w:w="2489" w:type="dxa"/>
            <w:tcBorders>
              <w:top w:val="single" w:sz="2" w:space="0" w:color="auto"/>
              <w:left w:val="single" w:sz="2" w:space="0" w:color="auto"/>
              <w:bottom w:val="single" w:sz="2" w:space="0" w:color="auto"/>
              <w:right w:val="single" w:sz="2" w:space="0" w:color="auto"/>
            </w:tcBorders>
          </w:tcPr>
          <w:p w14:paraId="364353C7" w14:textId="77777777" w:rsidR="009F4766" w:rsidRPr="00DE12A3" w:rsidRDefault="009F4766" w:rsidP="00C917D6">
            <w:pPr>
              <w:pStyle w:val="NormalLeft"/>
            </w:pPr>
            <w:r w:rsidRPr="00DE12A3">
              <w:t>64</w:t>
            </w:r>
          </w:p>
        </w:tc>
        <w:tc>
          <w:tcPr>
            <w:tcW w:w="2551" w:type="dxa"/>
            <w:tcBorders>
              <w:top w:val="single" w:sz="2" w:space="0" w:color="auto"/>
              <w:left w:val="single" w:sz="2" w:space="0" w:color="auto"/>
              <w:bottom w:val="single" w:sz="2" w:space="0" w:color="auto"/>
              <w:right w:val="single" w:sz="2" w:space="0" w:color="auto"/>
            </w:tcBorders>
          </w:tcPr>
          <w:p w14:paraId="4FF1BE7D" w14:textId="77777777" w:rsidR="009F4766" w:rsidRPr="00DE12A3" w:rsidRDefault="009F4766" w:rsidP="00C917D6">
            <w:pPr>
              <w:pStyle w:val="NormalLeft"/>
            </w:pPr>
            <w:r w:rsidRPr="00DE12A3">
              <w:t>26</w:t>
            </w:r>
          </w:p>
        </w:tc>
      </w:tr>
      <w:tr w:rsidR="00DE12A3" w:rsidRPr="00DE12A3" w14:paraId="2D07F726" w14:textId="77777777" w:rsidTr="009F4766">
        <w:tc>
          <w:tcPr>
            <w:tcW w:w="1182" w:type="dxa"/>
            <w:tcBorders>
              <w:top w:val="single" w:sz="2" w:space="0" w:color="auto"/>
              <w:left w:val="single" w:sz="2" w:space="0" w:color="auto"/>
              <w:bottom w:val="single" w:sz="2" w:space="0" w:color="auto"/>
              <w:right w:val="single" w:sz="2" w:space="0" w:color="auto"/>
            </w:tcBorders>
          </w:tcPr>
          <w:p w14:paraId="272907C2" w14:textId="77777777" w:rsidR="009F4766" w:rsidRPr="00DE12A3" w:rsidRDefault="009F4766" w:rsidP="00C917D6">
            <w:pPr>
              <w:pStyle w:val="NormalLeft"/>
            </w:pPr>
            <w:r w:rsidRPr="00DE12A3">
              <w:t>71</w:t>
            </w:r>
          </w:p>
        </w:tc>
        <w:tc>
          <w:tcPr>
            <w:tcW w:w="2489" w:type="dxa"/>
            <w:tcBorders>
              <w:top w:val="single" w:sz="2" w:space="0" w:color="auto"/>
              <w:left w:val="single" w:sz="2" w:space="0" w:color="auto"/>
              <w:bottom w:val="single" w:sz="2" w:space="0" w:color="auto"/>
              <w:right w:val="single" w:sz="2" w:space="0" w:color="auto"/>
            </w:tcBorders>
          </w:tcPr>
          <w:p w14:paraId="6C1B6674" w14:textId="77777777" w:rsidR="009F4766" w:rsidRPr="00DE12A3" w:rsidRDefault="009F4766" w:rsidP="00C917D6">
            <w:pPr>
              <w:pStyle w:val="NormalLeft"/>
            </w:pPr>
            <w:r w:rsidRPr="00DE12A3">
              <w:t>60</w:t>
            </w:r>
          </w:p>
        </w:tc>
        <w:tc>
          <w:tcPr>
            <w:tcW w:w="2551" w:type="dxa"/>
            <w:tcBorders>
              <w:top w:val="single" w:sz="2" w:space="0" w:color="auto"/>
              <w:left w:val="single" w:sz="2" w:space="0" w:color="auto"/>
              <w:bottom w:val="single" w:sz="2" w:space="0" w:color="auto"/>
              <w:right w:val="single" w:sz="2" w:space="0" w:color="auto"/>
            </w:tcBorders>
          </w:tcPr>
          <w:p w14:paraId="72366D31" w14:textId="77777777" w:rsidR="009F4766" w:rsidRPr="00DE12A3" w:rsidRDefault="009F4766" w:rsidP="00C917D6">
            <w:pPr>
              <w:pStyle w:val="NormalLeft"/>
            </w:pPr>
            <w:r w:rsidRPr="00DE12A3">
              <w:t>31</w:t>
            </w:r>
          </w:p>
        </w:tc>
      </w:tr>
      <w:tr w:rsidR="00DE12A3" w:rsidRPr="00DE12A3" w14:paraId="7138C3F9" w14:textId="77777777" w:rsidTr="009F4766">
        <w:tc>
          <w:tcPr>
            <w:tcW w:w="1182" w:type="dxa"/>
            <w:tcBorders>
              <w:top w:val="single" w:sz="2" w:space="0" w:color="auto"/>
              <w:left w:val="single" w:sz="2" w:space="0" w:color="auto"/>
              <w:bottom w:val="single" w:sz="2" w:space="0" w:color="auto"/>
              <w:right w:val="single" w:sz="2" w:space="0" w:color="auto"/>
            </w:tcBorders>
          </w:tcPr>
          <w:p w14:paraId="25A13A82" w14:textId="77777777" w:rsidR="009F4766" w:rsidRPr="00DE12A3" w:rsidRDefault="009F4766" w:rsidP="00C917D6">
            <w:pPr>
              <w:pStyle w:val="NormalLeft"/>
            </w:pPr>
            <w:r w:rsidRPr="00DE12A3">
              <w:t>72</w:t>
            </w:r>
          </w:p>
        </w:tc>
        <w:tc>
          <w:tcPr>
            <w:tcW w:w="2489" w:type="dxa"/>
            <w:tcBorders>
              <w:top w:val="single" w:sz="2" w:space="0" w:color="auto"/>
              <w:left w:val="single" w:sz="2" w:space="0" w:color="auto"/>
              <w:bottom w:val="single" w:sz="2" w:space="0" w:color="auto"/>
              <w:right w:val="single" w:sz="2" w:space="0" w:color="auto"/>
            </w:tcBorders>
          </w:tcPr>
          <w:p w14:paraId="354E4E91" w14:textId="77777777" w:rsidR="009F4766" w:rsidRPr="00DE12A3" w:rsidRDefault="009F4766" w:rsidP="00C917D6">
            <w:pPr>
              <w:pStyle w:val="NormalLeft"/>
            </w:pPr>
            <w:r w:rsidRPr="00DE12A3">
              <w:t>63</w:t>
            </w:r>
          </w:p>
        </w:tc>
        <w:tc>
          <w:tcPr>
            <w:tcW w:w="2551" w:type="dxa"/>
            <w:tcBorders>
              <w:top w:val="single" w:sz="2" w:space="0" w:color="auto"/>
              <w:left w:val="single" w:sz="2" w:space="0" w:color="auto"/>
              <w:bottom w:val="single" w:sz="2" w:space="0" w:color="auto"/>
              <w:right w:val="single" w:sz="2" w:space="0" w:color="auto"/>
            </w:tcBorders>
          </w:tcPr>
          <w:p w14:paraId="1828D324" w14:textId="77777777" w:rsidR="009F4766" w:rsidRPr="00DE12A3" w:rsidRDefault="009F4766" w:rsidP="00C917D6">
            <w:pPr>
              <w:pStyle w:val="NormalLeft"/>
            </w:pPr>
            <w:r w:rsidRPr="00DE12A3">
              <w:t>20</w:t>
            </w:r>
          </w:p>
        </w:tc>
      </w:tr>
      <w:tr w:rsidR="00DE12A3" w:rsidRPr="00DE12A3" w14:paraId="62D2E04A" w14:textId="77777777" w:rsidTr="009F4766">
        <w:tc>
          <w:tcPr>
            <w:tcW w:w="1182" w:type="dxa"/>
            <w:tcBorders>
              <w:top w:val="single" w:sz="2" w:space="0" w:color="auto"/>
              <w:left w:val="single" w:sz="2" w:space="0" w:color="auto"/>
              <w:bottom w:val="single" w:sz="2" w:space="0" w:color="auto"/>
              <w:right w:val="single" w:sz="2" w:space="0" w:color="auto"/>
            </w:tcBorders>
          </w:tcPr>
          <w:p w14:paraId="29C314A1" w14:textId="77777777" w:rsidR="009F4766" w:rsidRPr="00DE12A3" w:rsidRDefault="009F4766" w:rsidP="00C917D6">
            <w:pPr>
              <w:pStyle w:val="NormalLeft"/>
            </w:pPr>
            <w:r w:rsidRPr="00DE12A3">
              <w:t>73</w:t>
            </w:r>
          </w:p>
        </w:tc>
        <w:tc>
          <w:tcPr>
            <w:tcW w:w="2489" w:type="dxa"/>
            <w:tcBorders>
              <w:top w:val="single" w:sz="2" w:space="0" w:color="auto"/>
              <w:left w:val="single" w:sz="2" w:space="0" w:color="auto"/>
              <w:bottom w:val="single" w:sz="2" w:space="0" w:color="auto"/>
              <w:right w:val="single" w:sz="2" w:space="0" w:color="auto"/>
            </w:tcBorders>
          </w:tcPr>
          <w:p w14:paraId="3BFB30FE" w14:textId="77777777" w:rsidR="009F4766" w:rsidRPr="00DE12A3" w:rsidRDefault="009F4766" w:rsidP="00C917D6">
            <w:pPr>
              <w:pStyle w:val="NormalLeft"/>
            </w:pPr>
            <w:r w:rsidRPr="00DE12A3">
              <w:t>62</w:t>
            </w:r>
          </w:p>
        </w:tc>
        <w:tc>
          <w:tcPr>
            <w:tcW w:w="2551" w:type="dxa"/>
            <w:tcBorders>
              <w:top w:val="single" w:sz="2" w:space="0" w:color="auto"/>
              <w:left w:val="single" w:sz="2" w:space="0" w:color="auto"/>
              <w:bottom w:val="single" w:sz="2" w:space="0" w:color="auto"/>
              <w:right w:val="single" w:sz="2" w:space="0" w:color="auto"/>
            </w:tcBorders>
          </w:tcPr>
          <w:p w14:paraId="2E934535" w14:textId="77777777" w:rsidR="009F4766" w:rsidRPr="00DE12A3" w:rsidRDefault="009F4766" w:rsidP="00C917D6">
            <w:pPr>
              <w:pStyle w:val="NormalLeft"/>
            </w:pPr>
            <w:r w:rsidRPr="00DE12A3">
              <w:t>24</w:t>
            </w:r>
          </w:p>
        </w:tc>
      </w:tr>
      <w:tr w:rsidR="00DE12A3" w:rsidRPr="00DE12A3" w14:paraId="6736C2F4" w14:textId="77777777" w:rsidTr="009F4766">
        <w:tc>
          <w:tcPr>
            <w:tcW w:w="1182" w:type="dxa"/>
            <w:tcBorders>
              <w:top w:val="single" w:sz="2" w:space="0" w:color="auto"/>
              <w:left w:val="single" w:sz="2" w:space="0" w:color="auto"/>
              <w:bottom w:val="single" w:sz="2" w:space="0" w:color="auto"/>
              <w:right w:val="single" w:sz="2" w:space="0" w:color="auto"/>
            </w:tcBorders>
          </w:tcPr>
          <w:p w14:paraId="4EF34F26" w14:textId="77777777" w:rsidR="009F4766" w:rsidRPr="00DE12A3" w:rsidRDefault="009F4766" w:rsidP="00C917D6">
            <w:pPr>
              <w:pStyle w:val="NormalLeft"/>
            </w:pPr>
            <w:r w:rsidRPr="00DE12A3">
              <w:t>74</w:t>
            </w:r>
          </w:p>
        </w:tc>
        <w:tc>
          <w:tcPr>
            <w:tcW w:w="2489" w:type="dxa"/>
            <w:tcBorders>
              <w:top w:val="single" w:sz="2" w:space="0" w:color="auto"/>
              <w:left w:val="single" w:sz="2" w:space="0" w:color="auto"/>
              <w:bottom w:val="single" w:sz="2" w:space="0" w:color="auto"/>
              <w:right w:val="single" w:sz="2" w:space="0" w:color="auto"/>
            </w:tcBorders>
          </w:tcPr>
          <w:p w14:paraId="67303D98" w14:textId="77777777" w:rsidR="009F4766" w:rsidRPr="00DE12A3" w:rsidRDefault="009F4766" w:rsidP="00C917D6">
            <w:pPr>
              <w:pStyle w:val="NormalLeft"/>
            </w:pPr>
            <w:r w:rsidRPr="00DE12A3">
              <w:t>64</w:t>
            </w:r>
          </w:p>
        </w:tc>
        <w:tc>
          <w:tcPr>
            <w:tcW w:w="2551" w:type="dxa"/>
            <w:tcBorders>
              <w:top w:val="single" w:sz="2" w:space="0" w:color="auto"/>
              <w:left w:val="single" w:sz="2" w:space="0" w:color="auto"/>
              <w:bottom w:val="single" w:sz="2" w:space="0" w:color="auto"/>
              <w:right w:val="single" w:sz="2" w:space="0" w:color="auto"/>
            </w:tcBorders>
          </w:tcPr>
          <w:p w14:paraId="40B7D36D" w14:textId="77777777" w:rsidR="009F4766" w:rsidRPr="00DE12A3" w:rsidRDefault="009F4766" w:rsidP="00C917D6">
            <w:pPr>
              <w:pStyle w:val="NormalLeft"/>
            </w:pPr>
            <w:r w:rsidRPr="00DE12A3">
              <w:t>8</w:t>
            </w:r>
          </w:p>
        </w:tc>
      </w:tr>
      <w:tr w:rsidR="00DE12A3" w:rsidRPr="00DE12A3" w14:paraId="3F05B432" w14:textId="77777777" w:rsidTr="009F4766">
        <w:tc>
          <w:tcPr>
            <w:tcW w:w="1182" w:type="dxa"/>
            <w:tcBorders>
              <w:top w:val="single" w:sz="2" w:space="0" w:color="auto"/>
              <w:left w:val="single" w:sz="2" w:space="0" w:color="auto"/>
              <w:bottom w:val="single" w:sz="2" w:space="0" w:color="auto"/>
              <w:right w:val="single" w:sz="2" w:space="0" w:color="auto"/>
            </w:tcBorders>
          </w:tcPr>
          <w:p w14:paraId="3AE1F9FC" w14:textId="77777777" w:rsidR="009F4766" w:rsidRPr="00DE12A3" w:rsidRDefault="009F4766" w:rsidP="00C917D6">
            <w:pPr>
              <w:pStyle w:val="NormalLeft"/>
            </w:pPr>
            <w:r w:rsidRPr="00DE12A3">
              <w:t>75</w:t>
            </w:r>
          </w:p>
        </w:tc>
        <w:tc>
          <w:tcPr>
            <w:tcW w:w="2489" w:type="dxa"/>
            <w:tcBorders>
              <w:top w:val="single" w:sz="2" w:space="0" w:color="auto"/>
              <w:left w:val="single" w:sz="2" w:space="0" w:color="auto"/>
              <w:bottom w:val="single" w:sz="2" w:space="0" w:color="auto"/>
              <w:right w:val="single" w:sz="2" w:space="0" w:color="auto"/>
            </w:tcBorders>
          </w:tcPr>
          <w:p w14:paraId="0A400F3E" w14:textId="77777777" w:rsidR="009F4766" w:rsidRPr="00DE12A3" w:rsidRDefault="009F4766" w:rsidP="00C917D6">
            <w:pPr>
              <w:pStyle w:val="NormalLeft"/>
            </w:pPr>
            <w:r w:rsidRPr="00DE12A3">
              <w:t>58</w:t>
            </w:r>
          </w:p>
        </w:tc>
        <w:tc>
          <w:tcPr>
            <w:tcW w:w="2551" w:type="dxa"/>
            <w:tcBorders>
              <w:top w:val="single" w:sz="2" w:space="0" w:color="auto"/>
              <w:left w:val="single" w:sz="2" w:space="0" w:color="auto"/>
              <w:bottom w:val="single" w:sz="2" w:space="0" w:color="auto"/>
              <w:right w:val="single" w:sz="2" w:space="0" w:color="auto"/>
            </w:tcBorders>
          </w:tcPr>
          <w:p w14:paraId="56957711" w14:textId="77777777" w:rsidR="009F4766" w:rsidRPr="00DE12A3" w:rsidRDefault="009F4766" w:rsidP="00C917D6">
            <w:pPr>
              <w:pStyle w:val="NormalLeft"/>
            </w:pPr>
            <w:r w:rsidRPr="00DE12A3">
              <w:t>44</w:t>
            </w:r>
          </w:p>
        </w:tc>
      </w:tr>
      <w:tr w:rsidR="00DE12A3" w:rsidRPr="00DE12A3" w14:paraId="7B0CBD6C" w14:textId="77777777" w:rsidTr="009F4766">
        <w:tc>
          <w:tcPr>
            <w:tcW w:w="1182" w:type="dxa"/>
            <w:tcBorders>
              <w:top w:val="single" w:sz="2" w:space="0" w:color="auto"/>
              <w:left w:val="single" w:sz="2" w:space="0" w:color="auto"/>
              <w:bottom w:val="single" w:sz="2" w:space="0" w:color="auto"/>
              <w:right w:val="single" w:sz="2" w:space="0" w:color="auto"/>
            </w:tcBorders>
          </w:tcPr>
          <w:p w14:paraId="58DEC704" w14:textId="77777777" w:rsidR="009F4766" w:rsidRPr="00DE12A3" w:rsidRDefault="009F4766" w:rsidP="00C917D6">
            <w:pPr>
              <w:pStyle w:val="NormalLeft"/>
            </w:pPr>
            <w:r w:rsidRPr="00DE12A3">
              <w:t>76</w:t>
            </w:r>
          </w:p>
        </w:tc>
        <w:tc>
          <w:tcPr>
            <w:tcW w:w="2489" w:type="dxa"/>
            <w:tcBorders>
              <w:top w:val="single" w:sz="2" w:space="0" w:color="auto"/>
              <w:left w:val="single" w:sz="2" w:space="0" w:color="auto"/>
              <w:bottom w:val="single" w:sz="2" w:space="0" w:color="auto"/>
              <w:right w:val="single" w:sz="2" w:space="0" w:color="auto"/>
            </w:tcBorders>
          </w:tcPr>
          <w:p w14:paraId="7585D105" w14:textId="77777777" w:rsidR="009F4766" w:rsidRPr="00DE12A3" w:rsidRDefault="009F4766" w:rsidP="00C917D6">
            <w:pPr>
              <w:pStyle w:val="NormalLeft"/>
            </w:pPr>
            <w:r w:rsidRPr="00DE12A3">
              <w:t>65</w:t>
            </w:r>
          </w:p>
        </w:tc>
        <w:tc>
          <w:tcPr>
            <w:tcW w:w="2551" w:type="dxa"/>
            <w:tcBorders>
              <w:top w:val="single" w:sz="2" w:space="0" w:color="auto"/>
              <w:left w:val="single" w:sz="2" w:space="0" w:color="auto"/>
              <w:bottom w:val="single" w:sz="2" w:space="0" w:color="auto"/>
              <w:right w:val="single" w:sz="2" w:space="0" w:color="auto"/>
            </w:tcBorders>
          </w:tcPr>
          <w:p w14:paraId="29B0B497" w14:textId="77777777" w:rsidR="009F4766" w:rsidRPr="00DE12A3" w:rsidRDefault="009F4766" w:rsidP="00C917D6">
            <w:pPr>
              <w:pStyle w:val="NormalLeft"/>
            </w:pPr>
            <w:r w:rsidRPr="00DE12A3">
              <w:t>10</w:t>
            </w:r>
          </w:p>
        </w:tc>
      </w:tr>
      <w:tr w:rsidR="00DE12A3" w:rsidRPr="00DE12A3" w14:paraId="004707F8" w14:textId="77777777" w:rsidTr="009F4766">
        <w:tc>
          <w:tcPr>
            <w:tcW w:w="1182" w:type="dxa"/>
            <w:tcBorders>
              <w:top w:val="single" w:sz="2" w:space="0" w:color="auto"/>
              <w:left w:val="single" w:sz="2" w:space="0" w:color="auto"/>
              <w:bottom w:val="single" w:sz="2" w:space="0" w:color="auto"/>
              <w:right w:val="single" w:sz="2" w:space="0" w:color="auto"/>
            </w:tcBorders>
          </w:tcPr>
          <w:p w14:paraId="32CBDDC2" w14:textId="77777777" w:rsidR="009F4766" w:rsidRPr="00DE12A3" w:rsidRDefault="009F4766" w:rsidP="00C917D6">
            <w:pPr>
              <w:pStyle w:val="NormalLeft"/>
            </w:pPr>
            <w:r w:rsidRPr="00DE12A3">
              <w:t>77</w:t>
            </w:r>
          </w:p>
        </w:tc>
        <w:tc>
          <w:tcPr>
            <w:tcW w:w="2489" w:type="dxa"/>
            <w:tcBorders>
              <w:top w:val="single" w:sz="2" w:space="0" w:color="auto"/>
              <w:left w:val="single" w:sz="2" w:space="0" w:color="auto"/>
              <w:bottom w:val="single" w:sz="2" w:space="0" w:color="auto"/>
              <w:right w:val="single" w:sz="2" w:space="0" w:color="auto"/>
            </w:tcBorders>
          </w:tcPr>
          <w:p w14:paraId="52072954" w14:textId="77777777" w:rsidR="009F4766" w:rsidRPr="00DE12A3" w:rsidRDefault="009F4766" w:rsidP="00C917D6">
            <w:pPr>
              <w:pStyle w:val="NormalLeft"/>
            </w:pPr>
            <w:r w:rsidRPr="00DE12A3">
              <w:t>65</w:t>
            </w:r>
          </w:p>
        </w:tc>
        <w:tc>
          <w:tcPr>
            <w:tcW w:w="2551" w:type="dxa"/>
            <w:tcBorders>
              <w:top w:val="single" w:sz="2" w:space="0" w:color="auto"/>
              <w:left w:val="single" w:sz="2" w:space="0" w:color="auto"/>
              <w:bottom w:val="single" w:sz="2" w:space="0" w:color="auto"/>
              <w:right w:val="single" w:sz="2" w:space="0" w:color="auto"/>
            </w:tcBorders>
          </w:tcPr>
          <w:p w14:paraId="77C94AC9" w14:textId="77777777" w:rsidR="009F4766" w:rsidRPr="00DE12A3" w:rsidRDefault="009F4766" w:rsidP="00C917D6">
            <w:pPr>
              <w:pStyle w:val="NormalLeft"/>
            </w:pPr>
            <w:r w:rsidRPr="00DE12A3">
              <w:t>12</w:t>
            </w:r>
          </w:p>
        </w:tc>
      </w:tr>
      <w:tr w:rsidR="00DE12A3" w:rsidRPr="00DE12A3" w14:paraId="616A2BD0" w14:textId="77777777" w:rsidTr="009F4766">
        <w:tc>
          <w:tcPr>
            <w:tcW w:w="1182" w:type="dxa"/>
            <w:tcBorders>
              <w:top w:val="single" w:sz="2" w:space="0" w:color="auto"/>
              <w:left w:val="single" w:sz="2" w:space="0" w:color="auto"/>
              <w:bottom w:val="single" w:sz="2" w:space="0" w:color="auto"/>
              <w:right w:val="single" w:sz="2" w:space="0" w:color="auto"/>
            </w:tcBorders>
          </w:tcPr>
          <w:p w14:paraId="40096DD1" w14:textId="77777777" w:rsidR="009F4766" w:rsidRPr="00DE12A3" w:rsidRDefault="009F4766" w:rsidP="00C917D6">
            <w:pPr>
              <w:pStyle w:val="NormalLeft"/>
            </w:pPr>
            <w:r w:rsidRPr="00DE12A3">
              <w:t>78</w:t>
            </w:r>
          </w:p>
        </w:tc>
        <w:tc>
          <w:tcPr>
            <w:tcW w:w="2489" w:type="dxa"/>
            <w:tcBorders>
              <w:top w:val="single" w:sz="2" w:space="0" w:color="auto"/>
              <w:left w:val="single" w:sz="2" w:space="0" w:color="auto"/>
              <w:bottom w:val="single" w:sz="2" w:space="0" w:color="auto"/>
              <w:right w:val="single" w:sz="2" w:space="0" w:color="auto"/>
            </w:tcBorders>
          </w:tcPr>
          <w:p w14:paraId="44C6B1A9" w14:textId="77777777" w:rsidR="009F4766" w:rsidRPr="00DE12A3" w:rsidRDefault="009F4766" w:rsidP="00C917D6">
            <w:pPr>
              <w:pStyle w:val="NormalLeft"/>
            </w:pPr>
            <w:r w:rsidRPr="00DE12A3">
              <w:t>68</w:t>
            </w:r>
          </w:p>
        </w:tc>
        <w:tc>
          <w:tcPr>
            <w:tcW w:w="2551" w:type="dxa"/>
            <w:tcBorders>
              <w:top w:val="single" w:sz="2" w:space="0" w:color="auto"/>
              <w:left w:val="single" w:sz="2" w:space="0" w:color="auto"/>
              <w:bottom w:val="single" w:sz="2" w:space="0" w:color="auto"/>
              <w:right w:val="single" w:sz="2" w:space="0" w:color="auto"/>
            </w:tcBorders>
          </w:tcPr>
          <w:p w14:paraId="159A743E" w14:textId="77777777" w:rsidR="009F4766" w:rsidRPr="00DE12A3" w:rsidRDefault="009F4766" w:rsidP="00C917D6">
            <w:pPr>
              <w:pStyle w:val="NormalLeft"/>
            </w:pPr>
            <w:r w:rsidRPr="00DE12A3">
              <w:t>23</w:t>
            </w:r>
          </w:p>
        </w:tc>
      </w:tr>
      <w:tr w:rsidR="00DE12A3" w:rsidRPr="00DE12A3" w14:paraId="7FF6461C" w14:textId="77777777" w:rsidTr="009F4766">
        <w:tc>
          <w:tcPr>
            <w:tcW w:w="1182" w:type="dxa"/>
            <w:tcBorders>
              <w:top w:val="single" w:sz="2" w:space="0" w:color="auto"/>
              <w:left w:val="single" w:sz="2" w:space="0" w:color="auto"/>
              <w:bottom w:val="single" w:sz="2" w:space="0" w:color="auto"/>
              <w:right w:val="single" w:sz="2" w:space="0" w:color="auto"/>
            </w:tcBorders>
          </w:tcPr>
          <w:p w14:paraId="411FBABB" w14:textId="77777777" w:rsidR="009F4766" w:rsidRPr="00DE12A3" w:rsidRDefault="009F4766" w:rsidP="00C917D6">
            <w:pPr>
              <w:pStyle w:val="NormalLeft"/>
            </w:pPr>
            <w:r w:rsidRPr="00DE12A3">
              <w:t>79</w:t>
            </w:r>
          </w:p>
        </w:tc>
        <w:tc>
          <w:tcPr>
            <w:tcW w:w="2489" w:type="dxa"/>
            <w:tcBorders>
              <w:top w:val="single" w:sz="2" w:space="0" w:color="auto"/>
              <w:left w:val="single" w:sz="2" w:space="0" w:color="auto"/>
              <w:bottom w:val="single" w:sz="2" w:space="0" w:color="auto"/>
              <w:right w:val="single" w:sz="2" w:space="0" w:color="auto"/>
            </w:tcBorders>
          </w:tcPr>
          <w:p w14:paraId="794B6E8C" w14:textId="77777777" w:rsidR="009F4766" w:rsidRPr="00DE12A3" w:rsidRDefault="009F4766" w:rsidP="00C917D6">
            <w:pPr>
              <w:pStyle w:val="NormalLeft"/>
            </w:pPr>
            <w:r w:rsidRPr="00DE12A3">
              <w:t>69</w:t>
            </w:r>
          </w:p>
        </w:tc>
        <w:tc>
          <w:tcPr>
            <w:tcW w:w="2551" w:type="dxa"/>
            <w:tcBorders>
              <w:top w:val="single" w:sz="2" w:space="0" w:color="auto"/>
              <w:left w:val="single" w:sz="2" w:space="0" w:color="auto"/>
              <w:bottom w:val="single" w:sz="2" w:space="0" w:color="auto"/>
              <w:right w:val="single" w:sz="2" w:space="0" w:color="auto"/>
            </w:tcBorders>
          </w:tcPr>
          <w:p w14:paraId="5DDCF029" w14:textId="77777777" w:rsidR="009F4766" w:rsidRPr="00DE12A3" w:rsidRDefault="009F4766" w:rsidP="00C917D6">
            <w:pPr>
              <w:pStyle w:val="NormalLeft"/>
            </w:pPr>
            <w:r w:rsidRPr="00DE12A3">
              <w:t>30</w:t>
            </w:r>
          </w:p>
        </w:tc>
      </w:tr>
      <w:tr w:rsidR="00DE12A3" w:rsidRPr="00DE12A3" w14:paraId="6B31693D" w14:textId="77777777" w:rsidTr="009F4766">
        <w:tc>
          <w:tcPr>
            <w:tcW w:w="1182" w:type="dxa"/>
            <w:tcBorders>
              <w:top w:val="single" w:sz="2" w:space="0" w:color="auto"/>
              <w:left w:val="single" w:sz="2" w:space="0" w:color="auto"/>
              <w:bottom w:val="single" w:sz="2" w:space="0" w:color="auto"/>
              <w:right w:val="single" w:sz="2" w:space="0" w:color="auto"/>
            </w:tcBorders>
          </w:tcPr>
          <w:p w14:paraId="25EC8B9F" w14:textId="77777777" w:rsidR="009F4766" w:rsidRPr="00DE12A3" w:rsidRDefault="009F4766" w:rsidP="00C917D6">
            <w:pPr>
              <w:pStyle w:val="NormalLeft"/>
            </w:pPr>
            <w:r w:rsidRPr="00DE12A3">
              <w:t>80</w:t>
            </w:r>
          </w:p>
        </w:tc>
        <w:tc>
          <w:tcPr>
            <w:tcW w:w="2489" w:type="dxa"/>
            <w:tcBorders>
              <w:top w:val="single" w:sz="2" w:space="0" w:color="auto"/>
              <w:left w:val="single" w:sz="2" w:space="0" w:color="auto"/>
              <w:bottom w:val="single" w:sz="2" w:space="0" w:color="auto"/>
              <w:right w:val="single" w:sz="2" w:space="0" w:color="auto"/>
            </w:tcBorders>
          </w:tcPr>
          <w:p w14:paraId="7EB51884" w14:textId="77777777" w:rsidR="009F4766" w:rsidRPr="00DE12A3" w:rsidRDefault="009F4766" w:rsidP="00C917D6">
            <w:pPr>
              <w:pStyle w:val="NormalLeft"/>
            </w:pPr>
            <w:r w:rsidRPr="00DE12A3">
              <w:t>71</w:t>
            </w:r>
          </w:p>
        </w:tc>
        <w:tc>
          <w:tcPr>
            <w:tcW w:w="2551" w:type="dxa"/>
            <w:tcBorders>
              <w:top w:val="single" w:sz="2" w:space="0" w:color="auto"/>
              <w:left w:val="single" w:sz="2" w:space="0" w:color="auto"/>
              <w:bottom w:val="single" w:sz="2" w:space="0" w:color="auto"/>
              <w:right w:val="single" w:sz="2" w:space="0" w:color="auto"/>
            </w:tcBorders>
          </w:tcPr>
          <w:p w14:paraId="047A8448" w14:textId="77777777" w:rsidR="009F4766" w:rsidRPr="00DE12A3" w:rsidRDefault="009F4766" w:rsidP="00C917D6">
            <w:pPr>
              <w:pStyle w:val="NormalLeft"/>
            </w:pPr>
            <w:r w:rsidRPr="00DE12A3">
              <w:t>30</w:t>
            </w:r>
          </w:p>
        </w:tc>
      </w:tr>
      <w:tr w:rsidR="00DE12A3" w:rsidRPr="00DE12A3" w14:paraId="33D8DC69" w14:textId="77777777" w:rsidTr="009F4766">
        <w:tc>
          <w:tcPr>
            <w:tcW w:w="1182" w:type="dxa"/>
            <w:tcBorders>
              <w:top w:val="single" w:sz="2" w:space="0" w:color="auto"/>
              <w:left w:val="single" w:sz="2" w:space="0" w:color="auto"/>
              <w:bottom w:val="single" w:sz="2" w:space="0" w:color="auto"/>
              <w:right w:val="single" w:sz="2" w:space="0" w:color="auto"/>
            </w:tcBorders>
          </w:tcPr>
          <w:p w14:paraId="619F3402" w14:textId="77777777" w:rsidR="009F4766" w:rsidRPr="00DE12A3" w:rsidRDefault="009F4766" w:rsidP="00C917D6">
            <w:pPr>
              <w:pStyle w:val="NormalLeft"/>
            </w:pPr>
            <w:r w:rsidRPr="00DE12A3">
              <w:t>81</w:t>
            </w:r>
          </w:p>
        </w:tc>
        <w:tc>
          <w:tcPr>
            <w:tcW w:w="2489" w:type="dxa"/>
            <w:tcBorders>
              <w:top w:val="single" w:sz="2" w:space="0" w:color="auto"/>
              <w:left w:val="single" w:sz="2" w:space="0" w:color="auto"/>
              <w:bottom w:val="single" w:sz="2" w:space="0" w:color="auto"/>
              <w:right w:val="single" w:sz="2" w:space="0" w:color="auto"/>
            </w:tcBorders>
          </w:tcPr>
          <w:p w14:paraId="339B0B77" w14:textId="77777777" w:rsidR="009F4766" w:rsidRPr="00DE12A3" w:rsidRDefault="009F4766" w:rsidP="00C917D6">
            <w:pPr>
              <w:pStyle w:val="NormalLeft"/>
            </w:pPr>
            <w:r w:rsidRPr="00DE12A3">
              <w:t>74</w:t>
            </w:r>
          </w:p>
        </w:tc>
        <w:tc>
          <w:tcPr>
            <w:tcW w:w="2551" w:type="dxa"/>
            <w:tcBorders>
              <w:top w:val="single" w:sz="2" w:space="0" w:color="auto"/>
              <w:left w:val="single" w:sz="2" w:space="0" w:color="auto"/>
              <w:bottom w:val="single" w:sz="2" w:space="0" w:color="auto"/>
              <w:right w:val="single" w:sz="2" w:space="0" w:color="auto"/>
            </w:tcBorders>
          </w:tcPr>
          <w:p w14:paraId="5E13ACCB" w14:textId="77777777" w:rsidR="009F4766" w:rsidRPr="00DE12A3" w:rsidRDefault="009F4766" w:rsidP="00C917D6">
            <w:pPr>
              <w:pStyle w:val="NormalLeft"/>
            </w:pPr>
            <w:r w:rsidRPr="00DE12A3">
              <w:t>15</w:t>
            </w:r>
          </w:p>
        </w:tc>
      </w:tr>
      <w:tr w:rsidR="00DE12A3" w:rsidRPr="00DE12A3" w14:paraId="7CDAE241" w14:textId="77777777" w:rsidTr="009F4766">
        <w:tc>
          <w:tcPr>
            <w:tcW w:w="1182" w:type="dxa"/>
            <w:tcBorders>
              <w:top w:val="single" w:sz="2" w:space="0" w:color="auto"/>
              <w:left w:val="single" w:sz="2" w:space="0" w:color="auto"/>
              <w:bottom w:val="single" w:sz="2" w:space="0" w:color="auto"/>
              <w:right w:val="single" w:sz="2" w:space="0" w:color="auto"/>
            </w:tcBorders>
          </w:tcPr>
          <w:p w14:paraId="218C7ADE" w14:textId="77777777" w:rsidR="009F4766" w:rsidRPr="00DE12A3" w:rsidRDefault="009F4766" w:rsidP="00C917D6">
            <w:pPr>
              <w:pStyle w:val="NormalLeft"/>
            </w:pPr>
            <w:r w:rsidRPr="00DE12A3">
              <w:t>82</w:t>
            </w:r>
          </w:p>
        </w:tc>
        <w:tc>
          <w:tcPr>
            <w:tcW w:w="2489" w:type="dxa"/>
            <w:tcBorders>
              <w:top w:val="single" w:sz="2" w:space="0" w:color="auto"/>
              <w:left w:val="single" w:sz="2" w:space="0" w:color="auto"/>
              <w:bottom w:val="single" w:sz="2" w:space="0" w:color="auto"/>
              <w:right w:val="single" w:sz="2" w:space="0" w:color="auto"/>
            </w:tcBorders>
          </w:tcPr>
          <w:p w14:paraId="25525E82" w14:textId="77777777" w:rsidR="009F4766" w:rsidRPr="00DE12A3" w:rsidRDefault="009F4766" w:rsidP="00C917D6">
            <w:pPr>
              <w:pStyle w:val="NormalLeft"/>
            </w:pPr>
            <w:r w:rsidRPr="00DE12A3">
              <w:t>71</w:t>
            </w:r>
          </w:p>
        </w:tc>
        <w:tc>
          <w:tcPr>
            <w:tcW w:w="2551" w:type="dxa"/>
            <w:tcBorders>
              <w:top w:val="single" w:sz="2" w:space="0" w:color="auto"/>
              <w:left w:val="single" w:sz="2" w:space="0" w:color="auto"/>
              <w:bottom w:val="single" w:sz="2" w:space="0" w:color="auto"/>
              <w:right w:val="single" w:sz="2" w:space="0" w:color="auto"/>
            </w:tcBorders>
          </w:tcPr>
          <w:p w14:paraId="64005C1E" w14:textId="77777777" w:rsidR="009F4766" w:rsidRPr="00DE12A3" w:rsidRDefault="009F4766" w:rsidP="00C917D6">
            <w:pPr>
              <w:pStyle w:val="NormalLeft"/>
            </w:pPr>
            <w:r w:rsidRPr="00DE12A3">
              <w:t>23</w:t>
            </w:r>
          </w:p>
        </w:tc>
      </w:tr>
      <w:tr w:rsidR="00DE12A3" w:rsidRPr="00DE12A3" w14:paraId="75C54F40" w14:textId="77777777" w:rsidTr="009F4766">
        <w:tc>
          <w:tcPr>
            <w:tcW w:w="1182" w:type="dxa"/>
            <w:tcBorders>
              <w:top w:val="single" w:sz="2" w:space="0" w:color="auto"/>
              <w:left w:val="single" w:sz="2" w:space="0" w:color="auto"/>
              <w:bottom w:val="single" w:sz="2" w:space="0" w:color="auto"/>
              <w:right w:val="single" w:sz="2" w:space="0" w:color="auto"/>
            </w:tcBorders>
          </w:tcPr>
          <w:p w14:paraId="7426E560" w14:textId="77777777" w:rsidR="009F4766" w:rsidRPr="00DE12A3" w:rsidRDefault="009F4766" w:rsidP="00C917D6">
            <w:pPr>
              <w:pStyle w:val="NormalLeft"/>
            </w:pPr>
            <w:r w:rsidRPr="00DE12A3">
              <w:t>83</w:t>
            </w:r>
          </w:p>
        </w:tc>
        <w:tc>
          <w:tcPr>
            <w:tcW w:w="2489" w:type="dxa"/>
            <w:tcBorders>
              <w:top w:val="single" w:sz="2" w:space="0" w:color="auto"/>
              <w:left w:val="single" w:sz="2" w:space="0" w:color="auto"/>
              <w:bottom w:val="single" w:sz="2" w:space="0" w:color="auto"/>
              <w:right w:val="single" w:sz="2" w:space="0" w:color="auto"/>
            </w:tcBorders>
          </w:tcPr>
          <w:p w14:paraId="133A8731" w14:textId="77777777" w:rsidR="009F4766" w:rsidRPr="00DE12A3" w:rsidRDefault="009F4766" w:rsidP="00C917D6">
            <w:pPr>
              <w:pStyle w:val="NormalLeft"/>
            </w:pPr>
            <w:r w:rsidRPr="00DE12A3">
              <w:t>73</w:t>
            </w:r>
          </w:p>
        </w:tc>
        <w:tc>
          <w:tcPr>
            <w:tcW w:w="2551" w:type="dxa"/>
            <w:tcBorders>
              <w:top w:val="single" w:sz="2" w:space="0" w:color="auto"/>
              <w:left w:val="single" w:sz="2" w:space="0" w:color="auto"/>
              <w:bottom w:val="single" w:sz="2" w:space="0" w:color="auto"/>
              <w:right w:val="single" w:sz="2" w:space="0" w:color="auto"/>
            </w:tcBorders>
          </w:tcPr>
          <w:p w14:paraId="47612B42" w14:textId="77777777" w:rsidR="009F4766" w:rsidRPr="00DE12A3" w:rsidRDefault="009F4766" w:rsidP="00C917D6">
            <w:pPr>
              <w:pStyle w:val="NormalLeft"/>
            </w:pPr>
            <w:r w:rsidRPr="00DE12A3">
              <w:t>20</w:t>
            </w:r>
          </w:p>
        </w:tc>
      </w:tr>
      <w:tr w:rsidR="00DE12A3" w:rsidRPr="00DE12A3" w14:paraId="07FB506F" w14:textId="77777777" w:rsidTr="009F4766">
        <w:tc>
          <w:tcPr>
            <w:tcW w:w="1182" w:type="dxa"/>
            <w:tcBorders>
              <w:top w:val="single" w:sz="2" w:space="0" w:color="auto"/>
              <w:left w:val="single" w:sz="2" w:space="0" w:color="auto"/>
              <w:bottom w:val="single" w:sz="2" w:space="0" w:color="auto"/>
              <w:right w:val="single" w:sz="2" w:space="0" w:color="auto"/>
            </w:tcBorders>
          </w:tcPr>
          <w:p w14:paraId="2D7E4702" w14:textId="77777777" w:rsidR="009F4766" w:rsidRPr="00DE12A3" w:rsidRDefault="009F4766" w:rsidP="00C917D6">
            <w:pPr>
              <w:pStyle w:val="NormalLeft"/>
            </w:pPr>
            <w:r w:rsidRPr="00DE12A3">
              <w:t>84</w:t>
            </w:r>
          </w:p>
        </w:tc>
        <w:tc>
          <w:tcPr>
            <w:tcW w:w="2489" w:type="dxa"/>
            <w:tcBorders>
              <w:top w:val="single" w:sz="2" w:space="0" w:color="auto"/>
              <w:left w:val="single" w:sz="2" w:space="0" w:color="auto"/>
              <w:bottom w:val="single" w:sz="2" w:space="0" w:color="auto"/>
              <w:right w:val="single" w:sz="2" w:space="0" w:color="auto"/>
            </w:tcBorders>
          </w:tcPr>
          <w:p w14:paraId="6076DBD6" w14:textId="77777777" w:rsidR="009F4766" w:rsidRPr="00DE12A3" w:rsidRDefault="009F4766" w:rsidP="00C917D6">
            <w:pPr>
              <w:pStyle w:val="NormalLeft"/>
            </w:pPr>
            <w:r w:rsidRPr="00DE12A3">
              <w:t>73</w:t>
            </w:r>
          </w:p>
        </w:tc>
        <w:tc>
          <w:tcPr>
            <w:tcW w:w="2551" w:type="dxa"/>
            <w:tcBorders>
              <w:top w:val="single" w:sz="2" w:space="0" w:color="auto"/>
              <w:left w:val="single" w:sz="2" w:space="0" w:color="auto"/>
              <w:bottom w:val="single" w:sz="2" w:space="0" w:color="auto"/>
              <w:right w:val="single" w:sz="2" w:space="0" w:color="auto"/>
            </w:tcBorders>
          </w:tcPr>
          <w:p w14:paraId="4ADC7EDA" w14:textId="77777777" w:rsidR="009F4766" w:rsidRPr="00DE12A3" w:rsidRDefault="009F4766" w:rsidP="00C917D6">
            <w:pPr>
              <w:pStyle w:val="NormalLeft"/>
            </w:pPr>
            <w:r w:rsidRPr="00DE12A3">
              <w:t>21</w:t>
            </w:r>
          </w:p>
        </w:tc>
      </w:tr>
      <w:tr w:rsidR="00DE12A3" w:rsidRPr="00DE12A3" w14:paraId="5A89C29D" w14:textId="77777777" w:rsidTr="009F4766">
        <w:tc>
          <w:tcPr>
            <w:tcW w:w="1182" w:type="dxa"/>
            <w:tcBorders>
              <w:top w:val="single" w:sz="2" w:space="0" w:color="auto"/>
              <w:left w:val="single" w:sz="2" w:space="0" w:color="auto"/>
              <w:bottom w:val="single" w:sz="2" w:space="0" w:color="auto"/>
              <w:right w:val="single" w:sz="2" w:space="0" w:color="auto"/>
            </w:tcBorders>
          </w:tcPr>
          <w:p w14:paraId="4F4960A1" w14:textId="77777777" w:rsidR="009F4766" w:rsidRPr="00DE12A3" w:rsidRDefault="009F4766" w:rsidP="00C917D6">
            <w:pPr>
              <w:pStyle w:val="NormalLeft"/>
            </w:pPr>
            <w:r w:rsidRPr="00DE12A3">
              <w:t>85</w:t>
            </w:r>
          </w:p>
        </w:tc>
        <w:tc>
          <w:tcPr>
            <w:tcW w:w="2489" w:type="dxa"/>
            <w:tcBorders>
              <w:top w:val="single" w:sz="2" w:space="0" w:color="auto"/>
              <w:left w:val="single" w:sz="2" w:space="0" w:color="auto"/>
              <w:bottom w:val="single" w:sz="2" w:space="0" w:color="auto"/>
              <w:right w:val="single" w:sz="2" w:space="0" w:color="auto"/>
            </w:tcBorders>
          </w:tcPr>
          <w:p w14:paraId="4D0CE411" w14:textId="77777777" w:rsidR="009F4766" w:rsidRPr="00DE12A3" w:rsidRDefault="009F4766" w:rsidP="00C917D6">
            <w:pPr>
              <w:pStyle w:val="NormalLeft"/>
            </w:pPr>
            <w:r w:rsidRPr="00DE12A3">
              <w:t>73</w:t>
            </w:r>
          </w:p>
        </w:tc>
        <w:tc>
          <w:tcPr>
            <w:tcW w:w="2551" w:type="dxa"/>
            <w:tcBorders>
              <w:top w:val="single" w:sz="2" w:space="0" w:color="auto"/>
              <w:left w:val="single" w:sz="2" w:space="0" w:color="auto"/>
              <w:bottom w:val="single" w:sz="2" w:space="0" w:color="auto"/>
              <w:right w:val="single" w:sz="2" w:space="0" w:color="auto"/>
            </w:tcBorders>
          </w:tcPr>
          <w:p w14:paraId="02964961" w14:textId="77777777" w:rsidR="009F4766" w:rsidRPr="00DE12A3" w:rsidRDefault="009F4766" w:rsidP="00C917D6">
            <w:pPr>
              <w:pStyle w:val="NormalLeft"/>
            </w:pPr>
            <w:r w:rsidRPr="00DE12A3">
              <w:t>19</w:t>
            </w:r>
          </w:p>
        </w:tc>
      </w:tr>
      <w:tr w:rsidR="00DE12A3" w:rsidRPr="00DE12A3" w14:paraId="40172AF6" w14:textId="77777777" w:rsidTr="009F4766">
        <w:tc>
          <w:tcPr>
            <w:tcW w:w="1182" w:type="dxa"/>
            <w:tcBorders>
              <w:top w:val="single" w:sz="2" w:space="0" w:color="auto"/>
              <w:left w:val="single" w:sz="2" w:space="0" w:color="auto"/>
              <w:bottom w:val="single" w:sz="2" w:space="0" w:color="auto"/>
              <w:right w:val="single" w:sz="2" w:space="0" w:color="auto"/>
            </w:tcBorders>
          </w:tcPr>
          <w:p w14:paraId="71FBD99A" w14:textId="77777777" w:rsidR="009F4766" w:rsidRPr="00DE12A3" w:rsidRDefault="009F4766" w:rsidP="00C917D6">
            <w:pPr>
              <w:pStyle w:val="NormalLeft"/>
            </w:pPr>
            <w:r w:rsidRPr="00DE12A3">
              <w:t>86</w:t>
            </w:r>
          </w:p>
        </w:tc>
        <w:tc>
          <w:tcPr>
            <w:tcW w:w="2489" w:type="dxa"/>
            <w:tcBorders>
              <w:top w:val="single" w:sz="2" w:space="0" w:color="auto"/>
              <w:left w:val="single" w:sz="2" w:space="0" w:color="auto"/>
              <w:bottom w:val="single" w:sz="2" w:space="0" w:color="auto"/>
              <w:right w:val="single" w:sz="2" w:space="0" w:color="auto"/>
            </w:tcBorders>
          </w:tcPr>
          <w:p w14:paraId="65D7CE3F" w14:textId="77777777" w:rsidR="009F4766" w:rsidRPr="00DE12A3" w:rsidRDefault="009F4766" w:rsidP="00C917D6">
            <w:pPr>
              <w:pStyle w:val="NormalLeft"/>
            </w:pPr>
            <w:r w:rsidRPr="00DE12A3">
              <w:t>70</w:t>
            </w:r>
          </w:p>
        </w:tc>
        <w:tc>
          <w:tcPr>
            <w:tcW w:w="2551" w:type="dxa"/>
            <w:tcBorders>
              <w:top w:val="single" w:sz="2" w:space="0" w:color="auto"/>
              <w:left w:val="single" w:sz="2" w:space="0" w:color="auto"/>
              <w:bottom w:val="single" w:sz="2" w:space="0" w:color="auto"/>
              <w:right w:val="single" w:sz="2" w:space="0" w:color="auto"/>
            </w:tcBorders>
          </w:tcPr>
          <w:p w14:paraId="231036E8" w14:textId="77777777" w:rsidR="009F4766" w:rsidRPr="00DE12A3" w:rsidRDefault="009F4766" w:rsidP="00C917D6">
            <w:pPr>
              <w:pStyle w:val="NormalLeft"/>
            </w:pPr>
            <w:r w:rsidRPr="00DE12A3">
              <w:t>33</w:t>
            </w:r>
          </w:p>
        </w:tc>
      </w:tr>
      <w:tr w:rsidR="00DE12A3" w:rsidRPr="00DE12A3" w14:paraId="59FC3581" w14:textId="77777777" w:rsidTr="009F4766">
        <w:tc>
          <w:tcPr>
            <w:tcW w:w="1182" w:type="dxa"/>
            <w:tcBorders>
              <w:top w:val="single" w:sz="2" w:space="0" w:color="auto"/>
              <w:left w:val="single" w:sz="2" w:space="0" w:color="auto"/>
              <w:bottom w:val="single" w:sz="2" w:space="0" w:color="auto"/>
              <w:right w:val="single" w:sz="2" w:space="0" w:color="auto"/>
            </w:tcBorders>
          </w:tcPr>
          <w:p w14:paraId="53D8008C" w14:textId="77777777" w:rsidR="009F4766" w:rsidRPr="00DE12A3" w:rsidRDefault="009F4766" w:rsidP="00C917D6">
            <w:pPr>
              <w:pStyle w:val="NormalLeft"/>
            </w:pPr>
            <w:r w:rsidRPr="00DE12A3">
              <w:t>87</w:t>
            </w:r>
          </w:p>
        </w:tc>
        <w:tc>
          <w:tcPr>
            <w:tcW w:w="2489" w:type="dxa"/>
            <w:tcBorders>
              <w:top w:val="single" w:sz="2" w:space="0" w:color="auto"/>
              <w:left w:val="single" w:sz="2" w:space="0" w:color="auto"/>
              <w:bottom w:val="single" w:sz="2" w:space="0" w:color="auto"/>
              <w:right w:val="single" w:sz="2" w:space="0" w:color="auto"/>
            </w:tcBorders>
          </w:tcPr>
          <w:p w14:paraId="2099EB41" w14:textId="77777777" w:rsidR="009F4766" w:rsidRPr="00DE12A3" w:rsidRDefault="009F4766" w:rsidP="00C917D6">
            <w:pPr>
              <w:pStyle w:val="NormalLeft"/>
            </w:pPr>
            <w:r w:rsidRPr="00DE12A3">
              <w:t>70</w:t>
            </w:r>
          </w:p>
        </w:tc>
        <w:tc>
          <w:tcPr>
            <w:tcW w:w="2551" w:type="dxa"/>
            <w:tcBorders>
              <w:top w:val="single" w:sz="2" w:space="0" w:color="auto"/>
              <w:left w:val="single" w:sz="2" w:space="0" w:color="auto"/>
              <w:bottom w:val="single" w:sz="2" w:space="0" w:color="auto"/>
              <w:right w:val="single" w:sz="2" w:space="0" w:color="auto"/>
            </w:tcBorders>
          </w:tcPr>
          <w:p w14:paraId="4BE2E1C6" w14:textId="77777777" w:rsidR="009F4766" w:rsidRPr="00DE12A3" w:rsidRDefault="009F4766" w:rsidP="00C917D6">
            <w:pPr>
              <w:pStyle w:val="NormalLeft"/>
            </w:pPr>
            <w:r w:rsidRPr="00DE12A3">
              <w:t>34</w:t>
            </w:r>
          </w:p>
        </w:tc>
      </w:tr>
      <w:tr w:rsidR="00DE12A3" w:rsidRPr="00DE12A3" w14:paraId="340F2C38" w14:textId="77777777" w:rsidTr="009F4766">
        <w:tc>
          <w:tcPr>
            <w:tcW w:w="1182" w:type="dxa"/>
            <w:tcBorders>
              <w:top w:val="single" w:sz="2" w:space="0" w:color="auto"/>
              <w:left w:val="single" w:sz="2" w:space="0" w:color="auto"/>
              <w:bottom w:val="single" w:sz="2" w:space="0" w:color="auto"/>
              <w:right w:val="single" w:sz="2" w:space="0" w:color="auto"/>
            </w:tcBorders>
          </w:tcPr>
          <w:p w14:paraId="3B9D8821" w14:textId="77777777" w:rsidR="009F4766" w:rsidRPr="00DE12A3" w:rsidRDefault="009F4766" w:rsidP="00C917D6">
            <w:pPr>
              <w:pStyle w:val="NormalLeft"/>
            </w:pPr>
            <w:r w:rsidRPr="00DE12A3">
              <w:t>88</w:t>
            </w:r>
          </w:p>
        </w:tc>
        <w:tc>
          <w:tcPr>
            <w:tcW w:w="2489" w:type="dxa"/>
            <w:tcBorders>
              <w:top w:val="single" w:sz="2" w:space="0" w:color="auto"/>
              <w:left w:val="single" w:sz="2" w:space="0" w:color="auto"/>
              <w:bottom w:val="single" w:sz="2" w:space="0" w:color="auto"/>
              <w:right w:val="single" w:sz="2" w:space="0" w:color="auto"/>
            </w:tcBorders>
          </w:tcPr>
          <w:p w14:paraId="257C33E7" w14:textId="77777777" w:rsidR="009F4766" w:rsidRPr="00DE12A3" w:rsidRDefault="009F4766" w:rsidP="00C917D6">
            <w:pPr>
              <w:pStyle w:val="NormalLeft"/>
            </w:pPr>
            <w:r w:rsidRPr="00DE12A3">
              <w:t>65</w:t>
            </w:r>
          </w:p>
        </w:tc>
        <w:tc>
          <w:tcPr>
            <w:tcW w:w="2551" w:type="dxa"/>
            <w:tcBorders>
              <w:top w:val="single" w:sz="2" w:space="0" w:color="auto"/>
              <w:left w:val="single" w:sz="2" w:space="0" w:color="auto"/>
              <w:bottom w:val="single" w:sz="2" w:space="0" w:color="auto"/>
              <w:right w:val="single" w:sz="2" w:space="0" w:color="auto"/>
            </w:tcBorders>
          </w:tcPr>
          <w:p w14:paraId="28DFFD8F" w14:textId="77777777" w:rsidR="009F4766" w:rsidRPr="00DE12A3" w:rsidRDefault="009F4766" w:rsidP="00C917D6">
            <w:pPr>
              <w:pStyle w:val="NormalLeft"/>
            </w:pPr>
            <w:r w:rsidRPr="00DE12A3">
              <w:t>47</w:t>
            </w:r>
          </w:p>
        </w:tc>
      </w:tr>
      <w:tr w:rsidR="00DE12A3" w:rsidRPr="00DE12A3" w14:paraId="1749182E" w14:textId="77777777" w:rsidTr="009F4766">
        <w:tc>
          <w:tcPr>
            <w:tcW w:w="1182" w:type="dxa"/>
            <w:tcBorders>
              <w:top w:val="single" w:sz="2" w:space="0" w:color="auto"/>
              <w:left w:val="single" w:sz="2" w:space="0" w:color="auto"/>
              <w:bottom w:val="single" w:sz="2" w:space="0" w:color="auto"/>
              <w:right w:val="single" w:sz="2" w:space="0" w:color="auto"/>
            </w:tcBorders>
          </w:tcPr>
          <w:p w14:paraId="45202EF2" w14:textId="77777777" w:rsidR="009F4766" w:rsidRPr="00DE12A3" w:rsidRDefault="009F4766" w:rsidP="00C917D6">
            <w:pPr>
              <w:pStyle w:val="NormalLeft"/>
            </w:pPr>
            <w:r w:rsidRPr="00DE12A3">
              <w:t>89</w:t>
            </w:r>
          </w:p>
        </w:tc>
        <w:tc>
          <w:tcPr>
            <w:tcW w:w="2489" w:type="dxa"/>
            <w:tcBorders>
              <w:top w:val="single" w:sz="2" w:space="0" w:color="auto"/>
              <w:left w:val="single" w:sz="2" w:space="0" w:color="auto"/>
              <w:bottom w:val="single" w:sz="2" w:space="0" w:color="auto"/>
              <w:right w:val="single" w:sz="2" w:space="0" w:color="auto"/>
            </w:tcBorders>
          </w:tcPr>
          <w:p w14:paraId="7EB5C224" w14:textId="77777777" w:rsidR="009F4766" w:rsidRPr="00DE12A3" w:rsidRDefault="009F4766" w:rsidP="00C917D6">
            <w:pPr>
              <w:pStyle w:val="NormalLeft"/>
            </w:pPr>
            <w:r w:rsidRPr="00DE12A3">
              <w:t>66</w:t>
            </w:r>
          </w:p>
        </w:tc>
        <w:tc>
          <w:tcPr>
            <w:tcW w:w="2551" w:type="dxa"/>
            <w:tcBorders>
              <w:top w:val="single" w:sz="2" w:space="0" w:color="auto"/>
              <w:left w:val="single" w:sz="2" w:space="0" w:color="auto"/>
              <w:bottom w:val="single" w:sz="2" w:space="0" w:color="auto"/>
              <w:right w:val="single" w:sz="2" w:space="0" w:color="auto"/>
            </w:tcBorders>
          </w:tcPr>
          <w:p w14:paraId="1DE5E32E" w14:textId="77777777" w:rsidR="009F4766" w:rsidRPr="00DE12A3" w:rsidRDefault="009F4766" w:rsidP="00C917D6">
            <w:pPr>
              <w:pStyle w:val="NormalLeft"/>
            </w:pPr>
            <w:r w:rsidRPr="00DE12A3">
              <w:t>47</w:t>
            </w:r>
          </w:p>
        </w:tc>
      </w:tr>
      <w:tr w:rsidR="00DE12A3" w:rsidRPr="00DE12A3" w14:paraId="217AF92B" w14:textId="77777777" w:rsidTr="009F4766">
        <w:tc>
          <w:tcPr>
            <w:tcW w:w="1182" w:type="dxa"/>
            <w:tcBorders>
              <w:top w:val="single" w:sz="2" w:space="0" w:color="auto"/>
              <w:left w:val="single" w:sz="2" w:space="0" w:color="auto"/>
              <w:bottom w:val="single" w:sz="2" w:space="0" w:color="auto"/>
              <w:right w:val="single" w:sz="2" w:space="0" w:color="auto"/>
            </w:tcBorders>
          </w:tcPr>
          <w:p w14:paraId="6A316697" w14:textId="77777777" w:rsidR="009F4766" w:rsidRPr="00DE12A3" w:rsidRDefault="009F4766" w:rsidP="00C917D6">
            <w:pPr>
              <w:pStyle w:val="NormalLeft"/>
            </w:pPr>
            <w:r w:rsidRPr="00DE12A3">
              <w:t>90</w:t>
            </w:r>
          </w:p>
        </w:tc>
        <w:tc>
          <w:tcPr>
            <w:tcW w:w="2489" w:type="dxa"/>
            <w:tcBorders>
              <w:top w:val="single" w:sz="2" w:space="0" w:color="auto"/>
              <w:left w:val="single" w:sz="2" w:space="0" w:color="auto"/>
              <w:bottom w:val="single" w:sz="2" w:space="0" w:color="auto"/>
              <w:right w:val="single" w:sz="2" w:space="0" w:color="auto"/>
            </w:tcBorders>
          </w:tcPr>
          <w:p w14:paraId="04398C72" w14:textId="77777777" w:rsidR="009F4766" w:rsidRPr="00DE12A3" w:rsidRDefault="009F4766" w:rsidP="00C917D6">
            <w:pPr>
              <w:pStyle w:val="NormalLeft"/>
            </w:pPr>
            <w:r w:rsidRPr="00DE12A3">
              <w:t>64</w:t>
            </w:r>
          </w:p>
        </w:tc>
        <w:tc>
          <w:tcPr>
            <w:tcW w:w="2551" w:type="dxa"/>
            <w:tcBorders>
              <w:top w:val="single" w:sz="2" w:space="0" w:color="auto"/>
              <w:left w:val="single" w:sz="2" w:space="0" w:color="auto"/>
              <w:bottom w:val="single" w:sz="2" w:space="0" w:color="auto"/>
              <w:right w:val="single" w:sz="2" w:space="0" w:color="auto"/>
            </w:tcBorders>
          </w:tcPr>
          <w:p w14:paraId="2ECD9FDF" w14:textId="77777777" w:rsidR="009F4766" w:rsidRPr="00DE12A3" w:rsidRDefault="009F4766" w:rsidP="00C917D6">
            <w:pPr>
              <w:pStyle w:val="NormalLeft"/>
            </w:pPr>
            <w:r w:rsidRPr="00DE12A3">
              <w:t>53</w:t>
            </w:r>
          </w:p>
        </w:tc>
      </w:tr>
      <w:tr w:rsidR="00DE12A3" w:rsidRPr="00DE12A3" w14:paraId="3B09895A" w14:textId="77777777" w:rsidTr="009F4766">
        <w:tc>
          <w:tcPr>
            <w:tcW w:w="1182" w:type="dxa"/>
            <w:tcBorders>
              <w:top w:val="single" w:sz="2" w:space="0" w:color="auto"/>
              <w:left w:val="single" w:sz="2" w:space="0" w:color="auto"/>
              <w:bottom w:val="single" w:sz="2" w:space="0" w:color="auto"/>
              <w:right w:val="single" w:sz="2" w:space="0" w:color="auto"/>
            </w:tcBorders>
          </w:tcPr>
          <w:p w14:paraId="05B5A138" w14:textId="77777777" w:rsidR="009F4766" w:rsidRPr="00DE12A3" w:rsidRDefault="009F4766" w:rsidP="00C917D6">
            <w:pPr>
              <w:pStyle w:val="NormalLeft"/>
            </w:pPr>
            <w:r w:rsidRPr="00DE12A3">
              <w:t>91</w:t>
            </w:r>
          </w:p>
        </w:tc>
        <w:tc>
          <w:tcPr>
            <w:tcW w:w="2489" w:type="dxa"/>
            <w:tcBorders>
              <w:top w:val="single" w:sz="2" w:space="0" w:color="auto"/>
              <w:left w:val="single" w:sz="2" w:space="0" w:color="auto"/>
              <w:bottom w:val="single" w:sz="2" w:space="0" w:color="auto"/>
              <w:right w:val="single" w:sz="2" w:space="0" w:color="auto"/>
            </w:tcBorders>
          </w:tcPr>
          <w:p w14:paraId="23F69678" w14:textId="77777777" w:rsidR="009F4766" w:rsidRPr="00DE12A3" w:rsidRDefault="009F4766" w:rsidP="00C917D6">
            <w:pPr>
              <w:pStyle w:val="NormalLeft"/>
            </w:pPr>
            <w:r w:rsidRPr="00DE12A3">
              <w:t>65</w:t>
            </w:r>
          </w:p>
        </w:tc>
        <w:tc>
          <w:tcPr>
            <w:tcW w:w="2551" w:type="dxa"/>
            <w:tcBorders>
              <w:top w:val="single" w:sz="2" w:space="0" w:color="auto"/>
              <w:left w:val="single" w:sz="2" w:space="0" w:color="auto"/>
              <w:bottom w:val="single" w:sz="2" w:space="0" w:color="auto"/>
              <w:right w:val="single" w:sz="2" w:space="0" w:color="auto"/>
            </w:tcBorders>
          </w:tcPr>
          <w:p w14:paraId="45F74B1E" w14:textId="77777777" w:rsidR="009F4766" w:rsidRPr="00DE12A3" w:rsidRDefault="009F4766" w:rsidP="00C917D6">
            <w:pPr>
              <w:pStyle w:val="NormalLeft"/>
            </w:pPr>
            <w:r w:rsidRPr="00DE12A3">
              <w:t>45</w:t>
            </w:r>
          </w:p>
        </w:tc>
      </w:tr>
      <w:tr w:rsidR="00DE12A3" w:rsidRPr="00DE12A3" w14:paraId="44B79419" w14:textId="77777777" w:rsidTr="009F4766">
        <w:tc>
          <w:tcPr>
            <w:tcW w:w="1182" w:type="dxa"/>
            <w:tcBorders>
              <w:top w:val="single" w:sz="2" w:space="0" w:color="auto"/>
              <w:left w:val="single" w:sz="2" w:space="0" w:color="auto"/>
              <w:bottom w:val="single" w:sz="2" w:space="0" w:color="auto"/>
              <w:right w:val="single" w:sz="2" w:space="0" w:color="auto"/>
            </w:tcBorders>
          </w:tcPr>
          <w:p w14:paraId="77E71829" w14:textId="77777777" w:rsidR="009F4766" w:rsidRPr="00DE12A3" w:rsidRDefault="009F4766" w:rsidP="00C917D6">
            <w:pPr>
              <w:pStyle w:val="NormalLeft"/>
            </w:pPr>
            <w:r w:rsidRPr="00DE12A3">
              <w:lastRenderedPageBreak/>
              <w:t>92</w:t>
            </w:r>
          </w:p>
        </w:tc>
        <w:tc>
          <w:tcPr>
            <w:tcW w:w="2489" w:type="dxa"/>
            <w:tcBorders>
              <w:top w:val="single" w:sz="2" w:space="0" w:color="auto"/>
              <w:left w:val="single" w:sz="2" w:space="0" w:color="auto"/>
              <w:bottom w:val="single" w:sz="2" w:space="0" w:color="auto"/>
              <w:right w:val="single" w:sz="2" w:space="0" w:color="auto"/>
            </w:tcBorders>
          </w:tcPr>
          <w:p w14:paraId="7796CE42" w14:textId="77777777" w:rsidR="009F4766" w:rsidRPr="00DE12A3" w:rsidRDefault="009F4766" w:rsidP="00C917D6">
            <w:pPr>
              <w:pStyle w:val="NormalLeft"/>
            </w:pPr>
            <w:r w:rsidRPr="00DE12A3">
              <w:t>66</w:t>
            </w:r>
          </w:p>
        </w:tc>
        <w:tc>
          <w:tcPr>
            <w:tcW w:w="2551" w:type="dxa"/>
            <w:tcBorders>
              <w:top w:val="single" w:sz="2" w:space="0" w:color="auto"/>
              <w:left w:val="single" w:sz="2" w:space="0" w:color="auto"/>
              <w:bottom w:val="single" w:sz="2" w:space="0" w:color="auto"/>
              <w:right w:val="single" w:sz="2" w:space="0" w:color="auto"/>
            </w:tcBorders>
          </w:tcPr>
          <w:p w14:paraId="6F73B36F" w14:textId="77777777" w:rsidR="009F4766" w:rsidRPr="00DE12A3" w:rsidRDefault="009F4766" w:rsidP="00C917D6">
            <w:pPr>
              <w:pStyle w:val="NormalLeft"/>
            </w:pPr>
            <w:r w:rsidRPr="00DE12A3">
              <w:t>38</w:t>
            </w:r>
          </w:p>
        </w:tc>
      </w:tr>
      <w:tr w:rsidR="00DE12A3" w:rsidRPr="00DE12A3" w14:paraId="5776BB95" w14:textId="77777777" w:rsidTr="009F4766">
        <w:tc>
          <w:tcPr>
            <w:tcW w:w="1182" w:type="dxa"/>
            <w:tcBorders>
              <w:top w:val="single" w:sz="2" w:space="0" w:color="auto"/>
              <w:left w:val="single" w:sz="2" w:space="0" w:color="auto"/>
              <w:bottom w:val="single" w:sz="2" w:space="0" w:color="auto"/>
              <w:right w:val="single" w:sz="2" w:space="0" w:color="auto"/>
            </w:tcBorders>
          </w:tcPr>
          <w:p w14:paraId="51B956C7" w14:textId="77777777" w:rsidR="009F4766" w:rsidRPr="00DE12A3" w:rsidRDefault="009F4766" w:rsidP="00C917D6">
            <w:pPr>
              <w:pStyle w:val="NormalLeft"/>
            </w:pPr>
            <w:r w:rsidRPr="00DE12A3">
              <w:t>93</w:t>
            </w:r>
          </w:p>
        </w:tc>
        <w:tc>
          <w:tcPr>
            <w:tcW w:w="2489" w:type="dxa"/>
            <w:tcBorders>
              <w:top w:val="single" w:sz="2" w:space="0" w:color="auto"/>
              <w:left w:val="single" w:sz="2" w:space="0" w:color="auto"/>
              <w:bottom w:val="single" w:sz="2" w:space="0" w:color="auto"/>
              <w:right w:val="single" w:sz="2" w:space="0" w:color="auto"/>
            </w:tcBorders>
          </w:tcPr>
          <w:p w14:paraId="4E42E603" w14:textId="77777777" w:rsidR="009F4766" w:rsidRPr="00DE12A3" w:rsidRDefault="009F4766" w:rsidP="00C917D6">
            <w:pPr>
              <w:pStyle w:val="NormalLeft"/>
            </w:pPr>
            <w:r w:rsidRPr="00DE12A3">
              <w:t>67</w:t>
            </w:r>
          </w:p>
        </w:tc>
        <w:tc>
          <w:tcPr>
            <w:tcW w:w="2551" w:type="dxa"/>
            <w:tcBorders>
              <w:top w:val="single" w:sz="2" w:space="0" w:color="auto"/>
              <w:left w:val="single" w:sz="2" w:space="0" w:color="auto"/>
              <w:bottom w:val="single" w:sz="2" w:space="0" w:color="auto"/>
              <w:right w:val="single" w:sz="2" w:space="0" w:color="auto"/>
            </w:tcBorders>
          </w:tcPr>
          <w:p w14:paraId="777ED322" w14:textId="77777777" w:rsidR="009F4766" w:rsidRPr="00DE12A3" w:rsidRDefault="009F4766" w:rsidP="00C917D6">
            <w:pPr>
              <w:pStyle w:val="NormalLeft"/>
            </w:pPr>
            <w:r w:rsidRPr="00DE12A3">
              <w:t>49</w:t>
            </w:r>
          </w:p>
        </w:tc>
      </w:tr>
      <w:tr w:rsidR="00DE12A3" w:rsidRPr="00DE12A3" w14:paraId="7F64E8F9" w14:textId="77777777" w:rsidTr="009F4766">
        <w:tc>
          <w:tcPr>
            <w:tcW w:w="1182" w:type="dxa"/>
            <w:tcBorders>
              <w:top w:val="single" w:sz="2" w:space="0" w:color="auto"/>
              <w:left w:val="single" w:sz="2" w:space="0" w:color="auto"/>
              <w:bottom w:val="single" w:sz="2" w:space="0" w:color="auto"/>
              <w:right w:val="single" w:sz="2" w:space="0" w:color="auto"/>
            </w:tcBorders>
          </w:tcPr>
          <w:p w14:paraId="01072344" w14:textId="77777777" w:rsidR="009F4766" w:rsidRPr="00DE12A3" w:rsidRDefault="009F4766" w:rsidP="00C917D6">
            <w:pPr>
              <w:pStyle w:val="NormalLeft"/>
            </w:pPr>
            <w:r w:rsidRPr="00DE12A3">
              <w:t>94</w:t>
            </w:r>
          </w:p>
        </w:tc>
        <w:tc>
          <w:tcPr>
            <w:tcW w:w="2489" w:type="dxa"/>
            <w:tcBorders>
              <w:top w:val="single" w:sz="2" w:space="0" w:color="auto"/>
              <w:left w:val="single" w:sz="2" w:space="0" w:color="auto"/>
              <w:bottom w:val="single" w:sz="2" w:space="0" w:color="auto"/>
              <w:right w:val="single" w:sz="2" w:space="0" w:color="auto"/>
            </w:tcBorders>
          </w:tcPr>
          <w:p w14:paraId="09E09CE8" w14:textId="77777777" w:rsidR="009F4766" w:rsidRPr="00DE12A3" w:rsidRDefault="009F4766" w:rsidP="00C917D6">
            <w:pPr>
              <w:pStyle w:val="NormalLeft"/>
            </w:pPr>
            <w:r w:rsidRPr="00DE12A3">
              <w:t>69</w:t>
            </w:r>
          </w:p>
        </w:tc>
        <w:tc>
          <w:tcPr>
            <w:tcW w:w="2551" w:type="dxa"/>
            <w:tcBorders>
              <w:top w:val="single" w:sz="2" w:space="0" w:color="auto"/>
              <w:left w:val="single" w:sz="2" w:space="0" w:color="auto"/>
              <w:bottom w:val="single" w:sz="2" w:space="0" w:color="auto"/>
              <w:right w:val="single" w:sz="2" w:space="0" w:color="auto"/>
            </w:tcBorders>
          </w:tcPr>
          <w:p w14:paraId="08F0226A" w14:textId="77777777" w:rsidR="009F4766" w:rsidRPr="00DE12A3" w:rsidRDefault="009F4766" w:rsidP="00C917D6">
            <w:pPr>
              <w:pStyle w:val="NormalLeft"/>
            </w:pPr>
            <w:r w:rsidRPr="00DE12A3">
              <w:t>39</w:t>
            </w:r>
          </w:p>
        </w:tc>
      </w:tr>
      <w:tr w:rsidR="00DE12A3" w:rsidRPr="00DE12A3" w14:paraId="15759545" w14:textId="77777777" w:rsidTr="009F4766">
        <w:tc>
          <w:tcPr>
            <w:tcW w:w="1182" w:type="dxa"/>
            <w:tcBorders>
              <w:top w:val="single" w:sz="2" w:space="0" w:color="auto"/>
              <w:left w:val="single" w:sz="2" w:space="0" w:color="auto"/>
              <w:bottom w:val="single" w:sz="2" w:space="0" w:color="auto"/>
              <w:right w:val="single" w:sz="2" w:space="0" w:color="auto"/>
            </w:tcBorders>
          </w:tcPr>
          <w:p w14:paraId="5D4AA44F" w14:textId="77777777" w:rsidR="009F4766" w:rsidRPr="00DE12A3" w:rsidRDefault="009F4766" w:rsidP="00C917D6">
            <w:pPr>
              <w:pStyle w:val="NormalLeft"/>
            </w:pPr>
            <w:r w:rsidRPr="00DE12A3">
              <w:t>95</w:t>
            </w:r>
          </w:p>
        </w:tc>
        <w:tc>
          <w:tcPr>
            <w:tcW w:w="2489" w:type="dxa"/>
            <w:tcBorders>
              <w:top w:val="single" w:sz="2" w:space="0" w:color="auto"/>
              <w:left w:val="single" w:sz="2" w:space="0" w:color="auto"/>
              <w:bottom w:val="single" w:sz="2" w:space="0" w:color="auto"/>
              <w:right w:val="single" w:sz="2" w:space="0" w:color="auto"/>
            </w:tcBorders>
          </w:tcPr>
          <w:p w14:paraId="138E5912" w14:textId="77777777" w:rsidR="009F4766" w:rsidRPr="00DE12A3" w:rsidRDefault="009F4766" w:rsidP="00C917D6">
            <w:pPr>
              <w:pStyle w:val="NormalLeft"/>
            </w:pPr>
            <w:r w:rsidRPr="00DE12A3">
              <w:t>69</w:t>
            </w:r>
          </w:p>
        </w:tc>
        <w:tc>
          <w:tcPr>
            <w:tcW w:w="2551" w:type="dxa"/>
            <w:tcBorders>
              <w:top w:val="single" w:sz="2" w:space="0" w:color="auto"/>
              <w:left w:val="single" w:sz="2" w:space="0" w:color="auto"/>
              <w:bottom w:val="single" w:sz="2" w:space="0" w:color="auto"/>
              <w:right w:val="single" w:sz="2" w:space="0" w:color="auto"/>
            </w:tcBorders>
          </w:tcPr>
          <w:p w14:paraId="56FBD05E" w14:textId="77777777" w:rsidR="009F4766" w:rsidRPr="00DE12A3" w:rsidRDefault="009F4766" w:rsidP="00C917D6">
            <w:pPr>
              <w:pStyle w:val="NormalLeft"/>
            </w:pPr>
            <w:r w:rsidRPr="00DE12A3">
              <w:t>39</w:t>
            </w:r>
          </w:p>
        </w:tc>
      </w:tr>
      <w:tr w:rsidR="00DE12A3" w:rsidRPr="00DE12A3" w14:paraId="7C4F840A" w14:textId="77777777" w:rsidTr="009F4766">
        <w:tc>
          <w:tcPr>
            <w:tcW w:w="1182" w:type="dxa"/>
            <w:tcBorders>
              <w:top w:val="single" w:sz="2" w:space="0" w:color="auto"/>
              <w:left w:val="single" w:sz="2" w:space="0" w:color="auto"/>
              <w:bottom w:val="single" w:sz="2" w:space="0" w:color="auto"/>
              <w:right w:val="single" w:sz="2" w:space="0" w:color="auto"/>
            </w:tcBorders>
          </w:tcPr>
          <w:p w14:paraId="5AEC39DA" w14:textId="77777777" w:rsidR="009F4766" w:rsidRPr="00DE12A3" w:rsidRDefault="009F4766" w:rsidP="00C917D6">
            <w:pPr>
              <w:pStyle w:val="NormalLeft"/>
            </w:pPr>
            <w:r w:rsidRPr="00DE12A3">
              <w:t>96</w:t>
            </w:r>
          </w:p>
        </w:tc>
        <w:tc>
          <w:tcPr>
            <w:tcW w:w="2489" w:type="dxa"/>
            <w:tcBorders>
              <w:top w:val="single" w:sz="2" w:space="0" w:color="auto"/>
              <w:left w:val="single" w:sz="2" w:space="0" w:color="auto"/>
              <w:bottom w:val="single" w:sz="2" w:space="0" w:color="auto"/>
              <w:right w:val="single" w:sz="2" w:space="0" w:color="auto"/>
            </w:tcBorders>
          </w:tcPr>
          <w:p w14:paraId="33744C78" w14:textId="77777777" w:rsidR="009F4766" w:rsidRPr="00DE12A3" w:rsidRDefault="009F4766" w:rsidP="00C917D6">
            <w:pPr>
              <w:pStyle w:val="NormalLeft"/>
            </w:pPr>
            <w:r w:rsidRPr="00DE12A3">
              <w:t>66</w:t>
            </w:r>
          </w:p>
        </w:tc>
        <w:tc>
          <w:tcPr>
            <w:tcW w:w="2551" w:type="dxa"/>
            <w:tcBorders>
              <w:top w:val="single" w:sz="2" w:space="0" w:color="auto"/>
              <w:left w:val="single" w:sz="2" w:space="0" w:color="auto"/>
              <w:bottom w:val="single" w:sz="2" w:space="0" w:color="auto"/>
              <w:right w:val="single" w:sz="2" w:space="0" w:color="auto"/>
            </w:tcBorders>
          </w:tcPr>
          <w:p w14:paraId="0FA65D21" w14:textId="77777777" w:rsidR="009F4766" w:rsidRPr="00DE12A3" w:rsidRDefault="009F4766" w:rsidP="00C917D6">
            <w:pPr>
              <w:pStyle w:val="NormalLeft"/>
            </w:pPr>
            <w:r w:rsidRPr="00DE12A3">
              <w:t>42</w:t>
            </w:r>
          </w:p>
        </w:tc>
      </w:tr>
      <w:tr w:rsidR="00DE12A3" w:rsidRPr="00DE12A3" w14:paraId="167E7CE8" w14:textId="77777777" w:rsidTr="009F4766">
        <w:tc>
          <w:tcPr>
            <w:tcW w:w="1182" w:type="dxa"/>
            <w:tcBorders>
              <w:top w:val="single" w:sz="2" w:space="0" w:color="auto"/>
              <w:left w:val="single" w:sz="2" w:space="0" w:color="auto"/>
              <w:bottom w:val="single" w:sz="2" w:space="0" w:color="auto"/>
              <w:right w:val="single" w:sz="2" w:space="0" w:color="auto"/>
            </w:tcBorders>
          </w:tcPr>
          <w:p w14:paraId="118977A9" w14:textId="77777777" w:rsidR="009F4766" w:rsidRPr="00DE12A3" w:rsidRDefault="009F4766" w:rsidP="00C917D6">
            <w:pPr>
              <w:pStyle w:val="NormalLeft"/>
            </w:pPr>
            <w:r w:rsidRPr="00DE12A3">
              <w:t>97</w:t>
            </w:r>
          </w:p>
        </w:tc>
        <w:tc>
          <w:tcPr>
            <w:tcW w:w="2489" w:type="dxa"/>
            <w:tcBorders>
              <w:top w:val="single" w:sz="2" w:space="0" w:color="auto"/>
              <w:left w:val="single" w:sz="2" w:space="0" w:color="auto"/>
              <w:bottom w:val="single" w:sz="2" w:space="0" w:color="auto"/>
              <w:right w:val="single" w:sz="2" w:space="0" w:color="auto"/>
            </w:tcBorders>
          </w:tcPr>
          <w:p w14:paraId="61C043F7" w14:textId="77777777" w:rsidR="009F4766" w:rsidRPr="00DE12A3" w:rsidRDefault="009F4766" w:rsidP="00C917D6">
            <w:pPr>
              <w:pStyle w:val="NormalLeft"/>
            </w:pPr>
            <w:r w:rsidRPr="00DE12A3">
              <w:t>71</w:t>
            </w:r>
          </w:p>
        </w:tc>
        <w:tc>
          <w:tcPr>
            <w:tcW w:w="2551" w:type="dxa"/>
            <w:tcBorders>
              <w:top w:val="single" w:sz="2" w:space="0" w:color="auto"/>
              <w:left w:val="single" w:sz="2" w:space="0" w:color="auto"/>
              <w:bottom w:val="single" w:sz="2" w:space="0" w:color="auto"/>
              <w:right w:val="single" w:sz="2" w:space="0" w:color="auto"/>
            </w:tcBorders>
          </w:tcPr>
          <w:p w14:paraId="27FC5610" w14:textId="77777777" w:rsidR="009F4766" w:rsidRPr="00DE12A3" w:rsidRDefault="009F4766" w:rsidP="00C917D6">
            <w:pPr>
              <w:pStyle w:val="NormalLeft"/>
            </w:pPr>
            <w:r w:rsidRPr="00DE12A3">
              <w:t>29</w:t>
            </w:r>
          </w:p>
        </w:tc>
      </w:tr>
      <w:tr w:rsidR="00DE12A3" w:rsidRPr="00DE12A3" w14:paraId="503EAB59" w14:textId="77777777" w:rsidTr="009F4766">
        <w:tc>
          <w:tcPr>
            <w:tcW w:w="1182" w:type="dxa"/>
            <w:tcBorders>
              <w:top w:val="single" w:sz="2" w:space="0" w:color="auto"/>
              <w:left w:val="single" w:sz="2" w:space="0" w:color="auto"/>
              <w:bottom w:val="single" w:sz="2" w:space="0" w:color="auto"/>
              <w:right w:val="single" w:sz="2" w:space="0" w:color="auto"/>
            </w:tcBorders>
          </w:tcPr>
          <w:p w14:paraId="0D8A82A3" w14:textId="77777777" w:rsidR="009F4766" w:rsidRPr="00DE12A3" w:rsidRDefault="009F4766" w:rsidP="00C917D6">
            <w:pPr>
              <w:pStyle w:val="NormalLeft"/>
            </w:pPr>
            <w:r w:rsidRPr="00DE12A3">
              <w:t>98</w:t>
            </w:r>
          </w:p>
        </w:tc>
        <w:tc>
          <w:tcPr>
            <w:tcW w:w="2489" w:type="dxa"/>
            <w:tcBorders>
              <w:top w:val="single" w:sz="2" w:space="0" w:color="auto"/>
              <w:left w:val="single" w:sz="2" w:space="0" w:color="auto"/>
              <w:bottom w:val="single" w:sz="2" w:space="0" w:color="auto"/>
              <w:right w:val="single" w:sz="2" w:space="0" w:color="auto"/>
            </w:tcBorders>
          </w:tcPr>
          <w:p w14:paraId="15C25D17" w14:textId="77777777" w:rsidR="009F4766" w:rsidRPr="00DE12A3" w:rsidRDefault="009F4766" w:rsidP="00C917D6">
            <w:pPr>
              <w:pStyle w:val="NormalLeft"/>
            </w:pPr>
            <w:r w:rsidRPr="00DE12A3">
              <w:t>75</w:t>
            </w:r>
          </w:p>
        </w:tc>
        <w:tc>
          <w:tcPr>
            <w:tcW w:w="2551" w:type="dxa"/>
            <w:tcBorders>
              <w:top w:val="single" w:sz="2" w:space="0" w:color="auto"/>
              <w:left w:val="single" w:sz="2" w:space="0" w:color="auto"/>
              <w:bottom w:val="single" w:sz="2" w:space="0" w:color="auto"/>
              <w:right w:val="single" w:sz="2" w:space="0" w:color="auto"/>
            </w:tcBorders>
          </w:tcPr>
          <w:p w14:paraId="5C7A05D5" w14:textId="77777777" w:rsidR="009F4766" w:rsidRPr="00DE12A3" w:rsidRDefault="009F4766" w:rsidP="00C917D6">
            <w:pPr>
              <w:pStyle w:val="NormalLeft"/>
            </w:pPr>
            <w:r w:rsidRPr="00DE12A3">
              <w:t>29</w:t>
            </w:r>
          </w:p>
        </w:tc>
      </w:tr>
      <w:tr w:rsidR="00DE12A3" w:rsidRPr="00DE12A3" w14:paraId="420AB879" w14:textId="77777777" w:rsidTr="009F4766">
        <w:tc>
          <w:tcPr>
            <w:tcW w:w="1182" w:type="dxa"/>
            <w:tcBorders>
              <w:top w:val="single" w:sz="2" w:space="0" w:color="auto"/>
              <w:left w:val="single" w:sz="2" w:space="0" w:color="auto"/>
              <w:bottom w:val="single" w:sz="2" w:space="0" w:color="auto"/>
              <w:right w:val="single" w:sz="2" w:space="0" w:color="auto"/>
            </w:tcBorders>
          </w:tcPr>
          <w:p w14:paraId="0F404F8D" w14:textId="77777777" w:rsidR="009F4766" w:rsidRPr="00DE12A3" w:rsidRDefault="009F4766" w:rsidP="00C917D6">
            <w:pPr>
              <w:pStyle w:val="NormalLeft"/>
            </w:pPr>
            <w:r w:rsidRPr="00DE12A3">
              <w:t>99</w:t>
            </w:r>
          </w:p>
        </w:tc>
        <w:tc>
          <w:tcPr>
            <w:tcW w:w="2489" w:type="dxa"/>
            <w:tcBorders>
              <w:top w:val="single" w:sz="2" w:space="0" w:color="auto"/>
              <w:left w:val="single" w:sz="2" w:space="0" w:color="auto"/>
              <w:bottom w:val="single" w:sz="2" w:space="0" w:color="auto"/>
              <w:right w:val="single" w:sz="2" w:space="0" w:color="auto"/>
            </w:tcBorders>
          </w:tcPr>
          <w:p w14:paraId="31387C03" w14:textId="77777777" w:rsidR="009F4766" w:rsidRPr="00DE12A3" w:rsidRDefault="009F4766" w:rsidP="00C917D6">
            <w:pPr>
              <w:pStyle w:val="NormalLeft"/>
            </w:pPr>
            <w:r w:rsidRPr="00DE12A3">
              <w:t>72</w:t>
            </w:r>
          </w:p>
        </w:tc>
        <w:tc>
          <w:tcPr>
            <w:tcW w:w="2551" w:type="dxa"/>
            <w:tcBorders>
              <w:top w:val="single" w:sz="2" w:space="0" w:color="auto"/>
              <w:left w:val="single" w:sz="2" w:space="0" w:color="auto"/>
              <w:bottom w:val="single" w:sz="2" w:space="0" w:color="auto"/>
              <w:right w:val="single" w:sz="2" w:space="0" w:color="auto"/>
            </w:tcBorders>
          </w:tcPr>
          <w:p w14:paraId="5EFA43DF" w14:textId="77777777" w:rsidR="009F4766" w:rsidRPr="00DE12A3" w:rsidRDefault="009F4766" w:rsidP="00C917D6">
            <w:pPr>
              <w:pStyle w:val="NormalLeft"/>
            </w:pPr>
            <w:r w:rsidRPr="00DE12A3">
              <w:t>23</w:t>
            </w:r>
          </w:p>
        </w:tc>
      </w:tr>
      <w:tr w:rsidR="00DE12A3" w:rsidRPr="00DE12A3" w14:paraId="0BF3A0A2" w14:textId="77777777" w:rsidTr="009F4766">
        <w:tc>
          <w:tcPr>
            <w:tcW w:w="1182" w:type="dxa"/>
            <w:tcBorders>
              <w:top w:val="single" w:sz="2" w:space="0" w:color="auto"/>
              <w:left w:val="single" w:sz="2" w:space="0" w:color="auto"/>
              <w:bottom w:val="single" w:sz="2" w:space="0" w:color="auto"/>
              <w:right w:val="single" w:sz="2" w:space="0" w:color="auto"/>
            </w:tcBorders>
          </w:tcPr>
          <w:p w14:paraId="3053DA77" w14:textId="77777777" w:rsidR="009F4766" w:rsidRPr="00DE12A3" w:rsidRDefault="009F4766" w:rsidP="00C917D6">
            <w:pPr>
              <w:pStyle w:val="NormalLeft"/>
            </w:pPr>
            <w:r w:rsidRPr="00DE12A3">
              <w:t>100</w:t>
            </w:r>
          </w:p>
        </w:tc>
        <w:tc>
          <w:tcPr>
            <w:tcW w:w="2489" w:type="dxa"/>
            <w:tcBorders>
              <w:top w:val="single" w:sz="2" w:space="0" w:color="auto"/>
              <w:left w:val="single" w:sz="2" w:space="0" w:color="auto"/>
              <w:bottom w:val="single" w:sz="2" w:space="0" w:color="auto"/>
              <w:right w:val="single" w:sz="2" w:space="0" w:color="auto"/>
            </w:tcBorders>
          </w:tcPr>
          <w:p w14:paraId="1BF0DF46" w14:textId="77777777" w:rsidR="009F4766" w:rsidRPr="00DE12A3" w:rsidRDefault="009F4766" w:rsidP="00C917D6">
            <w:pPr>
              <w:pStyle w:val="NormalLeft"/>
            </w:pPr>
            <w:r w:rsidRPr="00DE12A3">
              <w:t>74</w:t>
            </w:r>
          </w:p>
        </w:tc>
        <w:tc>
          <w:tcPr>
            <w:tcW w:w="2551" w:type="dxa"/>
            <w:tcBorders>
              <w:top w:val="single" w:sz="2" w:space="0" w:color="auto"/>
              <w:left w:val="single" w:sz="2" w:space="0" w:color="auto"/>
              <w:bottom w:val="single" w:sz="2" w:space="0" w:color="auto"/>
              <w:right w:val="single" w:sz="2" w:space="0" w:color="auto"/>
            </w:tcBorders>
          </w:tcPr>
          <w:p w14:paraId="02B24452" w14:textId="77777777" w:rsidR="009F4766" w:rsidRPr="00DE12A3" w:rsidRDefault="009F4766" w:rsidP="00C917D6">
            <w:pPr>
              <w:pStyle w:val="NormalLeft"/>
            </w:pPr>
            <w:r w:rsidRPr="00DE12A3">
              <w:t>22</w:t>
            </w:r>
          </w:p>
        </w:tc>
      </w:tr>
      <w:tr w:rsidR="00DE12A3" w:rsidRPr="00DE12A3" w14:paraId="0A482A7B" w14:textId="77777777" w:rsidTr="009F4766">
        <w:tc>
          <w:tcPr>
            <w:tcW w:w="1182" w:type="dxa"/>
            <w:tcBorders>
              <w:top w:val="single" w:sz="2" w:space="0" w:color="auto"/>
              <w:left w:val="single" w:sz="2" w:space="0" w:color="auto"/>
              <w:bottom w:val="single" w:sz="2" w:space="0" w:color="auto"/>
              <w:right w:val="single" w:sz="2" w:space="0" w:color="auto"/>
            </w:tcBorders>
          </w:tcPr>
          <w:p w14:paraId="1C662C17" w14:textId="77777777" w:rsidR="009F4766" w:rsidRPr="00DE12A3" w:rsidRDefault="009F4766" w:rsidP="00C917D6">
            <w:pPr>
              <w:pStyle w:val="NormalLeft"/>
            </w:pPr>
            <w:r w:rsidRPr="00DE12A3">
              <w:t>101</w:t>
            </w:r>
          </w:p>
        </w:tc>
        <w:tc>
          <w:tcPr>
            <w:tcW w:w="2489" w:type="dxa"/>
            <w:tcBorders>
              <w:top w:val="single" w:sz="2" w:space="0" w:color="auto"/>
              <w:left w:val="single" w:sz="2" w:space="0" w:color="auto"/>
              <w:bottom w:val="single" w:sz="2" w:space="0" w:color="auto"/>
              <w:right w:val="single" w:sz="2" w:space="0" w:color="auto"/>
            </w:tcBorders>
          </w:tcPr>
          <w:p w14:paraId="16B63289" w14:textId="77777777" w:rsidR="009F4766" w:rsidRPr="00DE12A3" w:rsidRDefault="009F4766" w:rsidP="00C917D6">
            <w:pPr>
              <w:pStyle w:val="NormalLeft"/>
            </w:pPr>
            <w:r w:rsidRPr="00DE12A3">
              <w:t>75</w:t>
            </w:r>
          </w:p>
        </w:tc>
        <w:tc>
          <w:tcPr>
            <w:tcW w:w="2551" w:type="dxa"/>
            <w:tcBorders>
              <w:top w:val="single" w:sz="2" w:space="0" w:color="auto"/>
              <w:left w:val="single" w:sz="2" w:space="0" w:color="auto"/>
              <w:bottom w:val="single" w:sz="2" w:space="0" w:color="auto"/>
              <w:right w:val="single" w:sz="2" w:space="0" w:color="auto"/>
            </w:tcBorders>
          </w:tcPr>
          <w:p w14:paraId="66BD613C" w14:textId="77777777" w:rsidR="009F4766" w:rsidRPr="00DE12A3" w:rsidRDefault="009F4766" w:rsidP="00C917D6">
            <w:pPr>
              <w:pStyle w:val="NormalLeft"/>
            </w:pPr>
            <w:r w:rsidRPr="00DE12A3">
              <w:t>24</w:t>
            </w:r>
          </w:p>
        </w:tc>
      </w:tr>
      <w:tr w:rsidR="00DE12A3" w:rsidRPr="00DE12A3" w14:paraId="012620F1" w14:textId="77777777" w:rsidTr="009F4766">
        <w:tc>
          <w:tcPr>
            <w:tcW w:w="1182" w:type="dxa"/>
            <w:tcBorders>
              <w:top w:val="single" w:sz="2" w:space="0" w:color="auto"/>
              <w:left w:val="single" w:sz="2" w:space="0" w:color="auto"/>
              <w:bottom w:val="single" w:sz="2" w:space="0" w:color="auto"/>
              <w:right w:val="single" w:sz="2" w:space="0" w:color="auto"/>
            </w:tcBorders>
          </w:tcPr>
          <w:p w14:paraId="0D926D3B" w14:textId="77777777" w:rsidR="009F4766" w:rsidRPr="00DE12A3" w:rsidRDefault="009F4766" w:rsidP="00C917D6">
            <w:pPr>
              <w:pStyle w:val="NormalLeft"/>
            </w:pPr>
            <w:r w:rsidRPr="00DE12A3">
              <w:t>102</w:t>
            </w:r>
          </w:p>
        </w:tc>
        <w:tc>
          <w:tcPr>
            <w:tcW w:w="2489" w:type="dxa"/>
            <w:tcBorders>
              <w:top w:val="single" w:sz="2" w:space="0" w:color="auto"/>
              <w:left w:val="single" w:sz="2" w:space="0" w:color="auto"/>
              <w:bottom w:val="single" w:sz="2" w:space="0" w:color="auto"/>
              <w:right w:val="single" w:sz="2" w:space="0" w:color="auto"/>
            </w:tcBorders>
          </w:tcPr>
          <w:p w14:paraId="45751AEB" w14:textId="77777777" w:rsidR="009F4766" w:rsidRPr="00DE12A3" w:rsidRDefault="009F4766" w:rsidP="00C917D6">
            <w:pPr>
              <w:pStyle w:val="NormalLeft"/>
            </w:pPr>
            <w:r w:rsidRPr="00DE12A3">
              <w:t>73</w:t>
            </w:r>
          </w:p>
        </w:tc>
        <w:tc>
          <w:tcPr>
            <w:tcW w:w="2551" w:type="dxa"/>
            <w:tcBorders>
              <w:top w:val="single" w:sz="2" w:space="0" w:color="auto"/>
              <w:left w:val="single" w:sz="2" w:space="0" w:color="auto"/>
              <w:bottom w:val="single" w:sz="2" w:space="0" w:color="auto"/>
              <w:right w:val="single" w:sz="2" w:space="0" w:color="auto"/>
            </w:tcBorders>
          </w:tcPr>
          <w:p w14:paraId="389682D6" w14:textId="77777777" w:rsidR="009F4766" w:rsidRPr="00DE12A3" w:rsidRDefault="009F4766" w:rsidP="00C917D6">
            <w:pPr>
              <w:pStyle w:val="NormalLeft"/>
            </w:pPr>
            <w:r w:rsidRPr="00DE12A3">
              <w:t>30</w:t>
            </w:r>
          </w:p>
        </w:tc>
      </w:tr>
      <w:tr w:rsidR="00DE12A3" w:rsidRPr="00DE12A3" w14:paraId="457D039D" w14:textId="77777777" w:rsidTr="009F4766">
        <w:tc>
          <w:tcPr>
            <w:tcW w:w="1182" w:type="dxa"/>
            <w:tcBorders>
              <w:top w:val="single" w:sz="2" w:space="0" w:color="auto"/>
              <w:left w:val="single" w:sz="2" w:space="0" w:color="auto"/>
              <w:bottom w:val="single" w:sz="2" w:space="0" w:color="auto"/>
              <w:right w:val="single" w:sz="2" w:space="0" w:color="auto"/>
            </w:tcBorders>
          </w:tcPr>
          <w:p w14:paraId="2ECA5ED2" w14:textId="77777777" w:rsidR="009F4766" w:rsidRPr="00DE12A3" w:rsidRDefault="009F4766" w:rsidP="00C917D6">
            <w:pPr>
              <w:pStyle w:val="NormalLeft"/>
            </w:pPr>
            <w:r w:rsidRPr="00DE12A3">
              <w:t>103</w:t>
            </w:r>
          </w:p>
        </w:tc>
        <w:tc>
          <w:tcPr>
            <w:tcW w:w="2489" w:type="dxa"/>
            <w:tcBorders>
              <w:top w:val="single" w:sz="2" w:space="0" w:color="auto"/>
              <w:left w:val="single" w:sz="2" w:space="0" w:color="auto"/>
              <w:bottom w:val="single" w:sz="2" w:space="0" w:color="auto"/>
              <w:right w:val="single" w:sz="2" w:space="0" w:color="auto"/>
            </w:tcBorders>
          </w:tcPr>
          <w:p w14:paraId="24A46AA5" w14:textId="77777777" w:rsidR="009F4766" w:rsidRPr="00DE12A3" w:rsidRDefault="009F4766" w:rsidP="00C917D6">
            <w:pPr>
              <w:pStyle w:val="NormalLeft"/>
            </w:pPr>
            <w:r w:rsidRPr="00DE12A3">
              <w:t>74</w:t>
            </w:r>
          </w:p>
        </w:tc>
        <w:tc>
          <w:tcPr>
            <w:tcW w:w="2551" w:type="dxa"/>
            <w:tcBorders>
              <w:top w:val="single" w:sz="2" w:space="0" w:color="auto"/>
              <w:left w:val="single" w:sz="2" w:space="0" w:color="auto"/>
              <w:bottom w:val="single" w:sz="2" w:space="0" w:color="auto"/>
              <w:right w:val="single" w:sz="2" w:space="0" w:color="auto"/>
            </w:tcBorders>
          </w:tcPr>
          <w:p w14:paraId="529BFE71" w14:textId="77777777" w:rsidR="009F4766" w:rsidRPr="00DE12A3" w:rsidRDefault="009F4766" w:rsidP="00C917D6">
            <w:pPr>
              <w:pStyle w:val="NormalLeft"/>
            </w:pPr>
            <w:r w:rsidRPr="00DE12A3">
              <w:t>24</w:t>
            </w:r>
          </w:p>
        </w:tc>
      </w:tr>
      <w:tr w:rsidR="00DE12A3" w:rsidRPr="00DE12A3" w14:paraId="3702BDE8" w14:textId="77777777" w:rsidTr="009F4766">
        <w:tc>
          <w:tcPr>
            <w:tcW w:w="1182" w:type="dxa"/>
            <w:tcBorders>
              <w:top w:val="single" w:sz="2" w:space="0" w:color="auto"/>
              <w:left w:val="single" w:sz="2" w:space="0" w:color="auto"/>
              <w:bottom w:val="single" w:sz="2" w:space="0" w:color="auto"/>
              <w:right w:val="single" w:sz="2" w:space="0" w:color="auto"/>
            </w:tcBorders>
          </w:tcPr>
          <w:p w14:paraId="68007600" w14:textId="77777777" w:rsidR="009F4766" w:rsidRPr="00DE12A3" w:rsidRDefault="009F4766" w:rsidP="00C917D6">
            <w:pPr>
              <w:pStyle w:val="NormalLeft"/>
            </w:pPr>
            <w:r w:rsidRPr="00DE12A3">
              <w:t>104</w:t>
            </w:r>
          </w:p>
        </w:tc>
        <w:tc>
          <w:tcPr>
            <w:tcW w:w="2489" w:type="dxa"/>
            <w:tcBorders>
              <w:top w:val="single" w:sz="2" w:space="0" w:color="auto"/>
              <w:left w:val="single" w:sz="2" w:space="0" w:color="auto"/>
              <w:bottom w:val="single" w:sz="2" w:space="0" w:color="auto"/>
              <w:right w:val="single" w:sz="2" w:space="0" w:color="auto"/>
            </w:tcBorders>
          </w:tcPr>
          <w:p w14:paraId="74BBC147" w14:textId="77777777" w:rsidR="009F4766" w:rsidRPr="00DE12A3" w:rsidRDefault="009F4766" w:rsidP="00C917D6">
            <w:pPr>
              <w:pStyle w:val="NormalLeft"/>
            </w:pPr>
            <w:r w:rsidRPr="00DE12A3">
              <w:t>77</w:t>
            </w:r>
          </w:p>
        </w:tc>
        <w:tc>
          <w:tcPr>
            <w:tcW w:w="2551" w:type="dxa"/>
            <w:tcBorders>
              <w:top w:val="single" w:sz="2" w:space="0" w:color="auto"/>
              <w:left w:val="single" w:sz="2" w:space="0" w:color="auto"/>
              <w:bottom w:val="single" w:sz="2" w:space="0" w:color="auto"/>
              <w:right w:val="single" w:sz="2" w:space="0" w:color="auto"/>
            </w:tcBorders>
          </w:tcPr>
          <w:p w14:paraId="61F2B47B" w14:textId="77777777" w:rsidR="009F4766" w:rsidRPr="00DE12A3" w:rsidRDefault="009F4766" w:rsidP="00C917D6">
            <w:pPr>
              <w:pStyle w:val="NormalLeft"/>
            </w:pPr>
            <w:r w:rsidRPr="00DE12A3">
              <w:t>6</w:t>
            </w:r>
          </w:p>
        </w:tc>
      </w:tr>
      <w:tr w:rsidR="00DE12A3" w:rsidRPr="00DE12A3" w14:paraId="02731F94" w14:textId="77777777" w:rsidTr="009F4766">
        <w:tc>
          <w:tcPr>
            <w:tcW w:w="1182" w:type="dxa"/>
            <w:tcBorders>
              <w:top w:val="single" w:sz="2" w:space="0" w:color="auto"/>
              <w:left w:val="single" w:sz="2" w:space="0" w:color="auto"/>
              <w:bottom w:val="single" w:sz="2" w:space="0" w:color="auto"/>
              <w:right w:val="single" w:sz="2" w:space="0" w:color="auto"/>
            </w:tcBorders>
          </w:tcPr>
          <w:p w14:paraId="7F3C4458" w14:textId="77777777" w:rsidR="009F4766" w:rsidRPr="00DE12A3" w:rsidRDefault="009F4766" w:rsidP="00C917D6">
            <w:pPr>
              <w:pStyle w:val="NormalLeft"/>
            </w:pPr>
            <w:r w:rsidRPr="00DE12A3">
              <w:t>105</w:t>
            </w:r>
          </w:p>
        </w:tc>
        <w:tc>
          <w:tcPr>
            <w:tcW w:w="2489" w:type="dxa"/>
            <w:tcBorders>
              <w:top w:val="single" w:sz="2" w:space="0" w:color="auto"/>
              <w:left w:val="single" w:sz="2" w:space="0" w:color="auto"/>
              <w:bottom w:val="single" w:sz="2" w:space="0" w:color="auto"/>
              <w:right w:val="single" w:sz="2" w:space="0" w:color="auto"/>
            </w:tcBorders>
          </w:tcPr>
          <w:p w14:paraId="4616E6B8" w14:textId="77777777" w:rsidR="009F4766" w:rsidRPr="00DE12A3" w:rsidRDefault="009F4766" w:rsidP="00C917D6">
            <w:pPr>
              <w:pStyle w:val="NormalLeft"/>
            </w:pPr>
            <w:r w:rsidRPr="00DE12A3">
              <w:t>76</w:t>
            </w:r>
          </w:p>
        </w:tc>
        <w:tc>
          <w:tcPr>
            <w:tcW w:w="2551" w:type="dxa"/>
            <w:tcBorders>
              <w:top w:val="single" w:sz="2" w:space="0" w:color="auto"/>
              <w:left w:val="single" w:sz="2" w:space="0" w:color="auto"/>
              <w:bottom w:val="single" w:sz="2" w:space="0" w:color="auto"/>
              <w:right w:val="single" w:sz="2" w:space="0" w:color="auto"/>
            </w:tcBorders>
          </w:tcPr>
          <w:p w14:paraId="779DF955" w14:textId="77777777" w:rsidR="009F4766" w:rsidRPr="00DE12A3" w:rsidRDefault="009F4766" w:rsidP="00C917D6">
            <w:pPr>
              <w:pStyle w:val="NormalLeft"/>
            </w:pPr>
            <w:r w:rsidRPr="00DE12A3">
              <w:t>12</w:t>
            </w:r>
          </w:p>
        </w:tc>
      </w:tr>
      <w:tr w:rsidR="00DE12A3" w:rsidRPr="00DE12A3" w14:paraId="5CE950FF" w14:textId="77777777" w:rsidTr="009F4766">
        <w:tc>
          <w:tcPr>
            <w:tcW w:w="1182" w:type="dxa"/>
            <w:tcBorders>
              <w:top w:val="single" w:sz="2" w:space="0" w:color="auto"/>
              <w:left w:val="single" w:sz="2" w:space="0" w:color="auto"/>
              <w:bottom w:val="single" w:sz="2" w:space="0" w:color="auto"/>
              <w:right w:val="single" w:sz="2" w:space="0" w:color="auto"/>
            </w:tcBorders>
          </w:tcPr>
          <w:p w14:paraId="158F213F" w14:textId="77777777" w:rsidR="009F4766" w:rsidRPr="00DE12A3" w:rsidRDefault="009F4766" w:rsidP="00C917D6">
            <w:pPr>
              <w:pStyle w:val="NormalLeft"/>
            </w:pPr>
            <w:r w:rsidRPr="00DE12A3">
              <w:t>106</w:t>
            </w:r>
          </w:p>
        </w:tc>
        <w:tc>
          <w:tcPr>
            <w:tcW w:w="2489" w:type="dxa"/>
            <w:tcBorders>
              <w:top w:val="single" w:sz="2" w:space="0" w:color="auto"/>
              <w:left w:val="single" w:sz="2" w:space="0" w:color="auto"/>
              <w:bottom w:val="single" w:sz="2" w:space="0" w:color="auto"/>
              <w:right w:val="single" w:sz="2" w:space="0" w:color="auto"/>
            </w:tcBorders>
          </w:tcPr>
          <w:p w14:paraId="2EFB355F" w14:textId="77777777" w:rsidR="009F4766" w:rsidRPr="00DE12A3" w:rsidRDefault="009F4766" w:rsidP="00C917D6">
            <w:pPr>
              <w:pStyle w:val="NormalLeft"/>
            </w:pPr>
            <w:r w:rsidRPr="00DE12A3">
              <w:t>74</w:t>
            </w:r>
          </w:p>
        </w:tc>
        <w:tc>
          <w:tcPr>
            <w:tcW w:w="2551" w:type="dxa"/>
            <w:tcBorders>
              <w:top w:val="single" w:sz="2" w:space="0" w:color="auto"/>
              <w:left w:val="single" w:sz="2" w:space="0" w:color="auto"/>
              <w:bottom w:val="single" w:sz="2" w:space="0" w:color="auto"/>
              <w:right w:val="single" w:sz="2" w:space="0" w:color="auto"/>
            </w:tcBorders>
          </w:tcPr>
          <w:p w14:paraId="763B52ED" w14:textId="77777777" w:rsidR="009F4766" w:rsidRPr="00DE12A3" w:rsidRDefault="009F4766" w:rsidP="00C917D6">
            <w:pPr>
              <w:pStyle w:val="NormalLeft"/>
            </w:pPr>
            <w:r w:rsidRPr="00DE12A3">
              <w:t>39</w:t>
            </w:r>
          </w:p>
        </w:tc>
      </w:tr>
      <w:tr w:rsidR="00DE12A3" w:rsidRPr="00DE12A3" w14:paraId="735E8FDC" w14:textId="77777777" w:rsidTr="009F4766">
        <w:tc>
          <w:tcPr>
            <w:tcW w:w="1182" w:type="dxa"/>
            <w:tcBorders>
              <w:top w:val="single" w:sz="2" w:space="0" w:color="auto"/>
              <w:left w:val="single" w:sz="2" w:space="0" w:color="auto"/>
              <w:bottom w:val="single" w:sz="2" w:space="0" w:color="auto"/>
              <w:right w:val="single" w:sz="2" w:space="0" w:color="auto"/>
            </w:tcBorders>
          </w:tcPr>
          <w:p w14:paraId="7DD52D0F" w14:textId="77777777" w:rsidR="009F4766" w:rsidRPr="00DE12A3" w:rsidRDefault="009F4766" w:rsidP="00C917D6">
            <w:pPr>
              <w:pStyle w:val="NormalLeft"/>
            </w:pPr>
            <w:r w:rsidRPr="00DE12A3">
              <w:t>107</w:t>
            </w:r>
          </w:p>
        </w:tc>
        <w:tc>
          <w:tcPr>
            <w:tcW w:w="2489" w:type="dxa"/>
            <w:tcBorders>
              <w:top w:val="single" w:sz="2" w:space="0" w:color="auto"/>
              <w:left w:val="single" w:sz="2" w:space="0" w:color="auto"/>
              <w:bottom w:val="single" w:sz="2" w:space="0" w:color="auto"/>
              <w:right w:val="single" w:sz="2" w:space="0" w:color="auto"/>
            </w:tcBorders>
          </w:tcPr>
          <w:p w14:paraId="762EA443" w14:textId="77777777" w:rsidR="009F4766" w:rsidRPr="00DE12A3" w:rsidRDefault="009F4766" w:rsidP="00C917D6">
            <w:pPr>
              <w:pStyle w:val="NormalLeft"/>
            </w:pPr>
            <w:r w:rsidRPr="00DE12A3">
              <w:t>72</w:t>
            </w:r>
          </w:p>
        </w:tc>
        <w:tc>
          <w:tcPr>
            <w:tcW w:w="2551" w:type="dxa"/>
            <w:tcBorders>
              <w:top w:val="single" w:sz="2" w:space="0" w:color="auto"/>
              <w:left w:val="single" w:sz="2" w:space="0" w:color="auto"/>
              <w:bottom w:val="single" w:sz="2" w:space="0" w:color="auto"/>
              <w:right w:val="single" w:sz="2" w:space="0" w:color="auto"/>
            </w:tcBorders>
          </w:tcPr>
          <w:p w14:paraId="76609C71" w14:textId="77777777" w:rsidR="009F4766" w:rsidRPr="00DE12A3" w:rsidRDefault="009F4766" w:rsidP="00C917D6">
            <w:pPr>
              <w:pStyle w:val="NormalLeft"/>
            </w:pPr>
            <w:r w:rsidRPr="00DE12A3">
              <w:t>30</w:t>
            </w:r>
          </w:p>
        </w:tc>
      </w:tr>
      <w:tr w:rsidR="00DE12A3" w:rsidRPr="00DE12A3" w14:paraId="03BB0FC6" w14:textId="77777777" w:rsidTr="009F4766">
        <w:tc>
          <w:tcPr>
            <w:tcW w:w="1182" w:type="dxa"/>
            <w:tcBorders>
              <w:top w:val="single" w:sz="2" w:space="0" w:color="auto"/>
              <w:left w:val="single" w:sz="2" w:space="0" w:color="auto"/>
              <w:bottom w:val="single" w:sz="2" w:space="0" w:color="auto"/>
              <w:right w:val="single" w:sz="2" w:space="0" w:color="auto"/>
            </w:tcBorders>
          </w:tcPr>
          <w:p w14:paraId="0DC1F205" w14:textId="77777777" w:rsidR="009F4766" w:rsidRPr="00DE12A3" w:rsidRDefault="009F4766" w:rsidP="00C917D6">
            <w:pPr>
              <w:pStyle w:val="NormalLeft"/>
            </w:pPr>
            <w:r w:rsidRPr="00DE12A3">
              <w:t>108</w:t>
            </w:r>
          </w:p>
        </w:tc>
        <w:tc>
          <w:tcPr>
            <w:tcW w:w="2489" w:type="dxa"/>
            <w:tcBorders>
              <w:top w:val="single" w:sz="2" w:space="0" w:color="auto"/>
              <w:left w:val="single" w:sz="2" w:space="0" w:color="auto"/>
              <w:bottom w:val="single" w:sz="2" w:space="0" w:color="auto"/>
              <w:right w:val="single" w:sz="2" w:space="0" w:color="auto"/>
            </w:tcBorders>
          </w:tcPr>
          <w:p w14:paraId="646E7079" w14:textId="77777777" w:rsidR="009F4766" w:rsidRPr="00DE12A3" w:rsidRDefault="009F4766" w:rsidP="00C917D6">
            <w:pPr>
              <w:pStyle w:val="NormalLeft"/>
            </w:pPr>
            <w:r w:rsidRPr="00DE12A3">
              <w:t>75</w:t>
            </w:r>
          </w:p>
        </w:tc>
        <w:tc>
          <w:tcPr>
            <w:tcW w:w="2551" w:type="dxa"/>
            <w:tcBorders>
              <w:top w:val="single" w:sz="2" w:space="0" w:color="auto"/>
              <w:left w:val="single" w:sz="2" w:space="0" w:color="auto"/>
              <w:bottom w:val="single" w:sz="2" w:space="0" w:color="auto"/>
              <w:right w:val="single" w:sz="2" w:space="0" w:color="auto"/>
            </w:tcBorders>
          </w:tcPr>
          <w:p w14:paraId="7BDDB6CF" w14:textId="77777777" w:rsidR="009F4766" w:rsidRPr="00DE12A3" w:rsidRDefault="009F4766" w:rsidP="00C917D6">
            <w:pPr>
              <w:pStyle w:val="NormalLeft"/>
            </w:pPr>
            <w:r w:rsidRPr="00DE12A3">
              <w:t>22</w:t>
            </w:r>
          </w:p>
        </w:tc>
      </w:tr>
      <w:tr w:rsidR="00DE12A3" w:rsidRPr="00DE12A3" w14:paraId="7A6A8C63" w14:textId="77777777" w:rsidTr="009F4766">
        <w:tc>
          <w:tcPr>
            <w:tcW w:w="1182" w:type="dxa"/>
            <w:tcBorders>
              <w:top w:val="single" w:sz="2" w:space="0" w:color="auto"/>
              <w:left w:val="single" w:sz="2" w:space="0" w:color="auto"/>
              <w:bottom w:val="single" w:sz="2" w:space="0" w:color="auto"/>
              <w:right w:val="single" w:sz="2" w:space="0" w:color="auto"/>
            </w:tcBorders>
          </w:tcPr>
          <w:p w14:paraId="3A58DA0C" w14:textId="77777777" w:rsidR="009F4766" w:rsidRPr="00DE12A3" w:rsidRDefault="009F4766" w:rsidP="00C917D6">
            <w:pPr>
              <w:pStyle w:val="NormalLeft"/>
            </w:pPr>
            <w:r w:rsidRPr="00DE12A3">
              <w:t>109</w:t>
            </w:r>
          </w:p>
        </w:tc>
        <w:tc>
          <w:tcPr>
            <w:tcW w:w="2489" w:type="dxa"/>
            <w:tcBorders>
              <w:top w:val="single" w:sz="2" w:space="0" w:color="auto"/>
              <w:left w:val="single" w:sz="2" w:space="0" w:color="auto"/>
              <w:bottom w:val="single" w:sz="2" w:space="0" w:color="auto"/>
              <w:right w:val="single" w:sz="2" w:space="0" w:color="auto"/>
            </w:tcBorders>
          </w:tcPr>
          <w:p w14:paraId="7DB1E442" w14:textId="77777777" w:rsidR="009F4766" w:rsidRPr="00DE12A3" w:rsidRDefault="009F4766" w:rsidP="00C917D6">
            <w:pPr>
              <w:pStyle w:val="NormalLeft"/>
            </w:pPr>
            <w:r w:rsidRPr="00DE12A3">
              <w:t>78</w:t>
            </w:r>
          </w:p>
        </w:tc>
        <w:tc>
          <w:tcPr>
            <w:tcW w:w="2551" w:type="dxa"/>
            <w:tcBorders>
              <w:top w:val="single" w:sz="2" w:space="0" w:color="auto"/>
              <w:left w:val="single" w:sz="2" w:space="0" w:color="auto"/>
              <w:bottom w:val="single" w:sz="2" w:space="0" w:color="auto"/>
              <w:right w:val="single" w:sz="2" w:space="0" w:color="auto"/>
            </w:tcBorders>
          </w:tcPr>
          <w:p w14:paraId="2C8EB961" w14:textId="77777777" w:rsidR="009F4766" w:rsidRPr="00DE12A3" w:rsidRDefault="009F4766" w:rsidP="00C917D6">
            <w:pPr>
              <w:pStyle w:val="NormalLeft"/>
            </w:pPr>
            <w:r w:rsidRPr="00DE12A3">
              <w:t>64</w:t>
            </w:r>
          </w:p>
        </w:tc>
      </w:tr>
      <w:tr w:rsidR="00DE12A3" w:rsidRPr="00DE12A3" w14:paraId="3394193F" w14:textId="77777777" w:rsidTr="009F4766">
        <w:tc>
          <w:tcPr>
            <w:tcW w:w="1182" w:type="dxa"/>
            <w:tcBorders>
              <w:top w:val="single" w:sz="2" w:space="0" w:color="auto"/>
              <w:left w:val="single" w:sz="2" w:space="0" w:color="auto"/>
              <w:bottom w:val="single" w:sz="2" w:space="0" w:color="auto"/>
              <w:right w:val="single" w:sz="2" w:space="0" w:color="auto"/>
            </w:tcBorders>
          </w:tcPr>
          <w:p w14:paraId="64989D1C" w14:textId="77777777" w:rsidR="009F4766" w:rsidRPr="00DE12A3" w:rsidRDefault="009F4766" w:rsidP="00C917D6">
            <w:pPr>
              <w:pStyle w:val="NormalLeft"/>
            </w:pPr>
            <w:r w:rsidRPr="00DE12A3">
              <w:t>110</w:t>
            </w:r>
          </w:p>
        </w:tc>
        <w:tc>
          <w:tcPr>
            <w:tcW w:w="2489" w:type="dxa"/>
            <w:tcBorders>
              <w:top w:val="single" w:sz="2" w:space="0" w:color="auto"/>
              <w:left w:val="single" w:sz="2" w:space="0" w:color="auto"/>
              <w:bottom w:val="single" w:sz="2" w:space="0" w:color="auto"/>
              <w:right w:val="single" w:sz="2" w:space="0" w:color="auto"/>
            </w:tcBorders>
          </w:tcPr>
          <w:p w14:paraId="4DD031C8" w14:textId="77777777" w:rsidR="009F4766" w:rsidRPr="00DE12A3" w:rsidRDefault="009F4766" w:rsidP="00C917D6">
            <w:pPr>
              <w:pStyle w:val="NormalLeft"/>
            </w:pPr>
            <w:r w:rsidRPr="00DE12A3">
              <w:t>102</w:t>
            </w:r>
          </w:p>
        </w:tc>
        <w:tc>
          <w:tcPr>
            <w:tcW w:w="2551" w:type="dxa"/>
            <w:tcBorders>
              <w:top w:val="single" w:sz="2" w:space="0" w:color="auto"/>
              <w:left w:val="single" w:sz="2" w:space="0" w:color="auto"/>
              <w:bottom w:val="single" w:sz="2" w:space="0" w:color="auto"/>
              <w:right w:val="single" w:sz="2" w:space="0" w:color="auto"/>
            </w:tcBorders>
          </w:tcPr>
          <w:p w14:paraId="4712B41A" w14:textId="77777777" w:rsidR="009F4766" w:rsidRPr="00DE12A3" w:rsidRDefault="009F4766" w:rsidP="00C917D6">
            <w:pPr>
              <w:pStyle w:val="NormalLeft"/>
            </w:pPr>
            <w:r w:rsidRPr="00DE12A3">
              <w:t>34</w:t>
            </w:r>
          </w:p>
        </w:tc>
      </w:tr>
      <w:tr w:rsidR="00DE12A3" w:rsidRPr="00DE12A3" w14:paraId="43E6C0DA" w14:textId="77777777" w:rsidTr="009F4766">
        <w:tc>
          <w:tcPr>
            <w:tcW w:w="1182" w:type="dxa"/>
            <w:tcBorders>
              <w:top w:val="single" w:sz="2" w:space="0" w:color="auto"/>
              <w:left w:val="single" w:sz="2" w:space="0" w:color="auto"/>
              <w:bottom w:val="single" w:sz="2" w:space="0" w:color="auto"/>
              <w:right w:val="single" w:sz="2" w:space="0" w:color="auto"/>
            </w:tcBorders>
          </w:tcPr>
          <w:p w14:paraId="53994A85" w14:textId="77777777" w:rsidR="009F4766" w:rsidRPr="00DE12A3" w:rsidRDefault="009F4766" w:rsidP="00C917D6">
            <w:pPr>
              <w:pStyle w:val="NormalLeft"/>
            </w:pPr>
            <w:r w:rsidRPr="00DE12A3">
              <w:t>111</w:t>
            </w:r>
          </w:p>
        </w:tc>
        <w:tc>
          <w:tcPr>
            <w:tcW w:w="2489" w:type="dxa"/>
            <w:tcBorders>
              <w:top w:val="single" w:sz="2" w:space="0" w:color="auto"/>
              <w:left w:val="single" w:sz="2" w:space="0" w:color="auto"/>
              <w:bottom w:val="single" w:sz="2" w:space="0" w:color="auto"/>
              <w:right w:val="single" w:sz="2" w:space="0" w:color="auto"/>
            </w:tcBorders>
          </w:tcPr>
          <w:p w14:paraId="3ACCB8D8" w14:textId="77777777" w:rsidR="009F4766" w:rsidRPr="00DE12A3" w:rsidRDefault="009F4766" w:rsidP="00C917D6">
            <w:pPr>
              <w:pStyle w:val="NormalLeft"/>
            </w:pPr>
            <w:r w:rsidRPr="00DE12A3">
              <w:t>103</w:t>
            </w:r>
          </w:p>
        </w:tc>
        <w:tc>
          <w:tcPr>
            <w:tcW w:w="2551" w:type="dxa"/>
            <w:tcBorders>
              <w:top w:val="single" w:sz="2" w:space="0" w:color="auto"/>
              <w:left w:val="single" w:sz="2" w:space="0" w:color="auto"/>
              <w:bottom w:val="single" w:sz="2" w:space="0" w:color="auto"/>
              <w:right w:val="single" w:sz="2" w:space="0" w:color="auto"/>
            </w:tcBorders>
          </w:tcPr>
          <w:p w14:paraId="5ADBF8DB" w14:textId="77777777" w:rsidR="009F4766" w:rsidRPr="00DE12A3" w:rsidRDefault="009F4766" w:rsidP="00C917D6">
            <w:pPr>
              <w:pStyle w:val="NormalLeft"/>
            </w:pPr>
            <w:r w:rsidRPr="00DE12A3">
              <w:t>28</w:t>
            </w:r>
          </w:p>
        </w:tc>
      </w:tr>
      <w:tr w:rsidR="00DE12A3" w:rsidRPr="00DE12A3" w14:paraId="36BB446D" w14:textId="77777777" w:rsidTr="009F4766">
        <w:tc>
          <w:tcPr>
            <w:tcW w:w="1182" w:type="dxa"/>
            <w:tcBorders>
              <w:top w:val="single" w:sz="2" w:space="0" w:color="auto"/>
              <w:left w:val="single" w:sz="2" w:space="0" w:color="auto"/>
              <w:bottom w:val="single" w:sz="2" w:space="0" w:color="auto"/>
              <w:right w:val="single" w:sz="2" w:space="0" w:color="auto"/>
            </w:tcBorders>
          </w:tcPr>
          <w:p w14:paraId="06813621" w14:textId="77777777" w:rsidR="009F4766" w:rsidRPr="00DE12A3" w:rsidRDefault="009F4766" w:rsidP="00C917D6">
            <w:pPr>
              <w:pStyle w:val="NormalLeft"/>
            </w:pPr>
            <w:r w:rsidRPr="00DE12A3">
              <w:t>112</w:t>
            </w:r>
          </w:p>
        </w:tc>
        <w:tc>
          <w:tcPr>
            <w:tcW w:w="2489" w:type="dxa"/>
            <w:tcBorders>
              <w:top w:val="single" w:sz="2" w:space="0" w:color="auto"/>
              <w:left w:val="single" w:sz="2" w:space="0" w:color="auto"/>
              <w:bottom w:val="single" w:sz="2" w:space="0" w:color="auto"/>
              <w:right w:val="single" w:sz="2" w:space="0" w:color="auto"/>
            </w:tcBorders>
          </w:tcPr>
          <w:p w14:paraId="260635AE" w14:textId="77777777" w:rsidR="009F4766" w:rsidRPr="00DE12A3" w:rsidRDefault="009F4766" w:rsidP="00C917D6">
            <w:pPr>
              <w:pStyle w:val="NormalLeft"/>
            </w:pPr>
            <w:r w:rsidRPr="00DE12A3">
              <w:t>103</w:t>
            </w:r>
          </w:p>
        </w:tc>
        <w:tc>
          <w:tcPr>
            <w:tcW w:w="2551" w:type="dxa"/>
            <w:tcBorders>
              <w:top w:val="single" w:sz="2" w:space="0" w:color="auto"/>
              <w:left w:val="single" w:sz="2" w:space="0" w:color="auto"/>
              <w:bottom w:val="single" w:sz="2" w:space="0" w:color="auto"/>
              <w:right w:val="single" w:sz="2" w:space="0" w:color="auto"/>
            </w:tcBorders>
          </w:tcPr>
          <w:p w14:paraId="574615B2" w14:textId="77777777" w:rsidR="009F4766" w:rsidRPr="00DE12A3" w:rsidRDefault="009F4766" w:rsidP="00C917D6">
            <w:pPr>
              <w:pStyle w:val="NormalLeft"/>
            </w:pPr>
            <w:r w:rsidRPr="00DE12A3">
              <w:t>28</w:t>
            </w:r>
          </w:p>
        </w:tc>
      </w:tr>
      <w:tr w:rsidR="00DE12A3" w:rsidRPr="00DE12A3" w14:paraId="63293272" w14:textId="77777777" w:rsidTr="009F4766">
        <w:tc>
          <w:tcPr>
            <w:tcW w:w="1182" w:type="dxa"/>
            <w:tcBorders>
              <w:top w:val="single" w:sz="2" w:space="0" w:color="auto"/>
              <w:left w:val="single" w:sz="2" w:space="0" w:color="auto"/>
              <w:bottom w:val="single" w:sz="2" w:space="0" w:color="auto"/>
              <w:right w:val="single" w:sz="2" w:space="0" w:color="auto"/>
            </w:tcBorders>
          </w:tcPr>
          <w:p w14:paraId="493CDF9D" w14:textId="77777777" w:rsidR="009F4766" w:rsidRPr="00DE12A3" w:rsidRDefault="009F4766" w:rsidP="00C917D6">
            <w:pPr>
              <w:pStyle w:val="NormalLeft"/>
            </w:pPr>
            <w:r w:rsidRPr="00DE12A3">
              <w:t>113</w:t>
            </w:r>
          </w:p>
        </w:tc>
        <w:tc>
          <w:tcPr>
            <w:tcW w:w="2489" w:type="dxa"/>
            <w:tcBorders>
              <w:top w:val="single" w:sz="2" w:space="0" w:color="auto"/>
              <w:left w:val="single" w:sz="2" w:space="0" w:color="auto"/>
              <w:bottom w:val="single" w:sz="2" w:space="0" w:color="auto"/>
              <w:right w:val="single" w:sz="2" w:space="0" w:color="auto"/>
            </w:tcBorders>
          </w:tcPr>
          <w:p w14:paraId="3F5B77F5" w14:textId="77777777" w:rsidR="009F4766" w:rsidRPr="00DE12A3" w:rsidRDefault="009F4766" w:rsidP="00C917D6">
            <w:pPr>
              <w:pStyle w:val="NormalLeft"/>
            </w:pPr>
            <w:r w:rsidRPr="00DE12A3">
              <w:t>103</w:t>
            </w:r>
          </w:p>
        </w:tc>
        <w:tc>
          <w:tcPr>
            <w:tcW w:w="2551" w:type="dxa"/>
            <w:tcBorders>
              <w:top w:val="single" w:sz="2" w:space="0" w:color="auto"/>
              <w:left w:val="single" w:sz="2" w:space="0" w:color="auto"/>
              <w:bottom w:val="single" w:sz="2" w:space="0" w:color="auto"/>
              <w:right w:val="single" w:sz="2" w:space="0" w:color="auto"/>
            </w:tcBorders>
          </w:tcPr>
          <w:p w14:paraId="3315B763" w14:textId="77777777" w:rsidR="009F4766" w:rsidRPr="00DE12A3" w:rsidRDefault="009F4766" w:rsidP="00C917D6">
            <w:pPr>
              <w:pStyle w:val="NormalLeft"/>
            </w:pPr>
            <w:r w:rsidRPr="00DE12A3">
              <w:t>19</w:t>
            </w:r>
          </w:p>
        </w:tc>
      </w:tr>
      <w:tr w:rsidR="00DE12A3" w:rsidRPr="00DE12A3" w14:paraId="59FEF2AA" w14:textId="77777777" w:rsidTr="009F4766">
        <w:tc>
          <w:tcPr>
            <w:tcW w:w="1182" w:type="dxa"/>
            <w:tcBorders>
              <w:top w:val="single" w:sz="2" w:space="0" w:color="auto"/>
              <w:left w:val="single" w:sz="2" w:space="0" w:color="auto"/>
              <w:bottom w:val="single" w:sz="2" w:space="0" w:color="auto"/>
              <w:right w:val="single" w:sz="2" w:space="0" w:color="auto"/>
            </w:tcBorders>
          </w:tcPr>
          <w:p w14:paraId="3E812551" w14:textId="77777777" w:rsidR="009F4766" w:rsidRPr="00DE12A3" w:rsidRDefault="009F4766" w:rsidP="00C917D6">
            <w:pPr>
              <w:pStyle w:val="NormalLeft"/>
            </w:pPr>
            <w:r w:rsidRPr="00DE12A3">
              <w:t>114</w:t>
            </w:r>
          </w:p>
        </w:tc>
        <w:tc>
          <w:tcPr>
            <w:tcW w:w="2489" w:type="dxa"/>
            <w:tcBorders>
              <w:top w:val="single" w:sz="2" w:space="0" w:color="auto"/>
              <w:left w:val="single" w:sz="2" w:space="0" w:color="auto"/>
              <w:bottom w:val="single" w:sz="2" w:space="0" w:color="auto"/>
              <w:right w:val="single" w:sz="2" w:space="0" w:color="auto"/>
            </w:tcBorders>
          </w:tcPr>
          <w:p w14:paraId="7B816F76" w14:textId="77777777" w:rsidR="009F4766" w:rsidRPr="00DE12A3" w:rsidRDefault="009F4766" w:rsidP="00C917D6">
            <w:pPr>
              <w:pStyle w:val="NormalLeft"/>
            </w:pPr>
            <w:r w:rsidRPr="00DE12A3">
              <w:t>103</w:t>
            </w:r>
          </w:p>
        </w:tc>
        <w:tc>
          <w:tcPr>
            <w:tcW w:w="2551" w:type="dxa"/>
            <w:tcBorders>
              <w:top w:val="single" w:sz="2" w:space="0" w:color="auto"/>
              <w:left w:val="single" w:sz="2" w:space="0" w:color="auto"/>
              <w:bottom w:val="single" w:sz="2" w:space="0" w:color="auto"/>
              <w:right w:val="single" w:sz="2" w:space="0" w:color="auto"/>
            </w:tcBorders>
          </w:tcPr>
          <w:p w14:paraId="2F9DF64F" w14:textId="77777777" w:rsidR="009F4766" w:rsidRPr="00DE12A3" w:rsidRDefault="009F4766" w:rsidP="00C917D6">
            <w:pPr>
              <w:pStyle w:val="NormalLeft"/>
            </w:pPr>
            <w:r w:rsidRPr="00DE12A3">
              <w:t>32</w:t>
            </w:r>
          </w:p>
        </w:tc>
      </w:tr>
      <w:tr w:rsidR="00DE12A3" w:rsidRPr="00DE12A3" w14:paraId="1CEFBE19" w14:textId="77777777" w:rsidTr="009F4766">
        <w:tc>
          <w:tcPr>
            <w:tcW w:w="1182" w:type="dxa"/>
            <w:tcBorders>
              <w:top w:val="single" w:sz="2" w:space="0" w:color="auto"/>
              <w:left w:val="single" w:sz="2" w:space="0" w:color="auto"/>
              <w:bottom w:val="single" w:sz="2" w:space="0" w:color="auto"/>
              <w:right w:val="single" w:sz="2" w:space="0" w:color="auto"/>
            </w:tcBorders>
          </w:tcPr>
          <w:p w14:paraId="24B045EA" w14:textId="77777777" w:rsidR="009F4766" w:rsidRPr="00DE12A3" w:rsidRDefault="009F4766" w:rsidP="00C917D6">
            <w:pPr>
              <w:pStyle w:val="NormalLeft"/>
            </w:pPr>
            <w:r w:rsidRPr="00DE12A3">
              <w:t>115</w:t>
            </w:r>
          </w:p>
        </w:tc>
        <w:tc>
          <w:tcPr>
            <w:tcW w:w="2489" w:type="dxa"/>
            <w:tcBorders>
              <w:top w:val="single" w:sz="2" w:space="0" w:color="auto"/>
              <w:left w:val="single" w:sz="2" w:space="0" w:color="auto"/>
              <w:bottom w:val="single" w:sz="2" w:space="0" w:color="auto"/>
              <w:right w:val="single" w:sz="2" w:space="0" w:color="auto"/>
            </w:tcBorders>
          </w:tcPr>
          <w:p w14:paraId="1976F9E7" w14:textId="77777777" w:rsidR="009F4766" w:rsidRPr="00DE12A3" w:rsidRDefault="009F4766" w:rsidP="00C917D6">
            <w:pPr>
              <w:pStyle w:val="NormalLeft"/>
            </w:pPr>
            <w:r w:rsidRPr="00DE12A3">
              <w:t>104</w:t>
            </w:r>
          </w:p>
        </w:tc>
        <w:tc>
          <w:tcPr>
            <w:tcW w:w="2551" w:type="dxa"/>
            <w:tcBorders>
              <w:top w:val="single" w:sz="2" w:space="0" w:color="auto"/>
              <w:left w:val="single" w:sz="2" w:space="0" w:color="auto"/>
              <w:bottom w:val="single" w:sz="2" w:space="0" w:color="auto"/>
              <w:right w:val="single" w:sz="2" w:space="0" w:color="auto"/>
            </w:tcBorders>
          </w:tcPr>
          <w:p w14:paraId="045DC8DF" w14:textId="77777777" w:rsidR="009F4766" w:rsidRPr="00DE12A3" w:rsidRDefault="009F4766" w:rsidP="00C917D6">
            <w:pPr>
              <w:pStyle w:val="NormalLeft"/>
            </w:pPr>
            <w:r w:rsidRPr="00DE12A3">
              <w:t>25</w:t>
            </w:r>
          </w:p>
        </w:tc>
      </w:tr>
      <w:tr w:rsidR="00DE12A3" w:rsidRPr="00DE12A3" w14:paraId="18B36C6C" w14:textId="77777777" w:rsidTr="009F4766">
        <w:tc>
          <w:tcPr>
            <w:tcW w:w="1182" w:type="dxa"/>
            <w:tcBorders>
              <w:top w:val="single" w:sz="2" w:space="0" w:color="auto"/>
              <w:left w:val="single" w:sz="2" w:space="0" w:color="auto"/>
              <w:bottom w:val="single" w:sz="2" w:space="0" w:color="auto"/>
              <w:right w:val="single" w:sz="2" w:space="0" w:color="auto"/>
            </w:tcBorders>
          </w:tcPr>
          <w:p w14:paraId="345C8991" w14:textId="77777777" w:rsidR="009F4766" w:rsidRPr="00DE12A3" w:rsidRDefault="009F4766" w:rsidP="00C917D6">
            <w:pPr>
              <w:pStyle w:val="NormalLeft"/>
            </w:pPr>
            <w:r w:rsidRPr="00DE12A3">
              <w:lastRenderedPageBreak/>
              <w:t>116</w:t>
            </w:r>
          </w:p>
        </w:tc>
        <w:tc>
          <w:tcPr>
            <w:tcW w:w="2489" w:type="dxa"/>
            <w:tcBorders>
              <w:top w:val="single" w:sz="2" w:space="0" w:color="auto"/>
              <w:left w:val="single" w:sz="2" w:space="0" w:color="auto"/>
              <w:bottom w:val="single" w:sz="2" w:space="0" w:color="auto"/>
              <w:right w:val="single" w:sz="2" w:space="0" w:color="auto"/>
            </w:tcBorders>
          </w:tcPr>
          <w:p w14:paraId="5D165A43" w14:textId="77777777" w:rsidR="009F4766" w:rsidRPr="00DE12A3" w:rsidRDefault="009F4766" w:rsidP="00C917D6">
            <w:pPr>
              <w:pStyle w:val="NormalLeft"/>
            </w:pPr>
            <w:r w:rsidRPr="00DE12A3">
              <w:t>103</w:t>
            </w:r>
          </w:p>
        </w:tc>
        <w:tc>
          <w:tcPr>
            <w:tcW w:w="2551" w:type="dxa"/>
            <w:tcBorders>
              <w:top w:val="single" w:sz="2" w:space="0" w:color="auto"/>
              <w:left w:val="single" w:sz="2" w:space="0" w:color="auto"/>
              <w:bottom w:val="single" w:sz="2" w:space="0" w:color="auto"/>
              <w:right w:val="single" w:sz="2" w:space="0" w:color="auto"/>
            </w:tcBorders>
          </w:tcPr>
          <w:p w14:paraId="3D91AD55" w14:textId="77777777" w:rsidR="009F4766" w:rsidRPr="00DE12A3" w:rsidRDefault="009F4766" w:rsidP="00C917D6">
            <w:pPr>
              <w:pStyle w:val="NormalLeft"/>
            </w:pPr>
            <w:r w:rsidRPr="00DE12A3">
              <w:t>38</w:t>
            </w:r>
          </w:p>
        </w:tc>
      </w:tr>
      <w:tr w:rsidR="00DE12A3" w:rsidRPr="00DE12A3" w14:paraId="6C2087AE" w14:textId="77777777" w:rsidTr="009F4766">
        <w:tc>
          <w:tcPr>
            <w:tcW w:w="1182" w:type="dxa"/>
            <w:tcBorders>
              <w:top w:val="single" w:sz="2" w:space="0" w:color="auto"/>
              <w:left w:val="single" w:sz="2" w:space="0" w:color="auto"/>
              <w:bottom w:val="single" w:sz="2" w:space="0" w:color="auto"/>
              <w:right w:val="single" w:sz="2" w:space="0" w:color="auto"/>
            </w:tcBorders>
          </w:tcPr>
          <w:p w14:paraId="36533D35" w14:textId="77777777" w:rsidR="009F4766" w:rsidRPr="00DE12A3" w:rsidRDefault="009F4766" w:rsidP="00C917D6">
            <w:pPr>
              <w:pStyle w:val="NormalLeft"/>
            </w:pPr>
            <w:r w:rsidRPr="00DE12A3">
              <w:t>117</w:t>
            </w:r>
          </w:p>
        </w:tc>
        <w:tc>
          <w:tcPr>
            <w:tcW w:w="2489" w:type="dxa"/>
            <w:tcBorders>
              <w:top w:val="single" w:sz="2" w:space="0" w:color="auto"/>
              <w:left w:val="single" w:sz="2" w:space="0" w:color="auto"/>
              <w:bottom w:val="single" w:sz="2" w:space="0" w:color="auto"/>
              <w:right w:val="single" w:sz="2" w:space="0" w:color="auto"/>
            </w:tcBorders>
          </w:tcPr>
          <w:p w14:paraId="325FE928" w14:textId="77777777" w:rsidR="009F4766" w:rsidRPr="00DE12A3" w:rsidRDefault="009F4766" w:rsidP="00C917D6">
            <w:pPr>
              <w:pStyle w:val="NormalLeft"/>
            </w:pPr>
            <w:r w:rsidRPr="00DE12A3">
              <w:t>103</w:t>
            </w:r>
          </w:p>
        </w:tc>
        <w:tc>
          <w:tcPr>
            <w:tcW w:w="2551" w:type="dxa"/>
            <w:tcBorders>
              <w:top w:val="single" w:sz="2" w:space="0" w:color="auto"/>
              <w:left w:val="single" w:sz="2" w:space="0" w:color="auto"/>
              <w:bottom w:val="single" w:sz="2" w:space="0" w:color="auto"/>
              <w:right w:val="single" w:sz="2" w:space="0" w:color="auto"/>
            </w:tcBorders>
          </w:tcPr>
          <w:p w14:paraId="24806146" w14:textId="77777777" w:rsidR="009F4766" w:rsidRPr="00DE12A3" w:rsidRDefault="009F4766" w:rsidP="00C917D6">
            <w:pPr>
              <w:pStyle w:val="NormalLeft"/>
            </w:pPr>
            <w:r w:rsidRPr="00DE12A3">
              <w:t>39</w:t>
            </w:r>
          </w:p>
        </w:tc>
      </w:tr>
      <w:tr w:rsidR="00DE12A3" w:rsidRPr="00DE12A3" w14:paraId="28B49BD2" w14:textId="77777777" w:rsidTr="009F4766">
        <w:tc>
          <w:tcPr>
            <w:tcW w:w="1182" w:type="dxa"/>
            <w:tcBorders>
              <w:top w:val="single" w:sz="2" w:space="0" w:color="auto"/>
              <w:left w:val="single" w:sz="2" w:space="0" w:color="auto"/>
              <w:bottom w:val="single" w:sz="2" w:space="0" w:color="auto"/>
              <w:right w:val="single" w:sz="2" w:space="0" w:color="auto"/>
            </w:tcBorders>
          </w:tcPr>
          <w:p w14:paraId="37020277" w14:textId="77777777" w:rsidR="009F4766" w:rsidRPr="00DE12A3" w:rsidRDefault="009F4766" w:rsidP="00C917D6">
            <w:pPr>
              <w:pStyle w:val="NormalLeft"/>
            </w:pPr>
            <w:r w:rsidRPr="00DE12A3">
              <w:t>118</w:t>
            </w:r>
          </w:p>
        </w:tc>
        <w:tc>
          <w:tcPr>
            <w:tcW w:w="2489" w:type="dxa"/>
            <w:tcBorders>
              <w:top w:val="single" w:sz="2" w:space="0" w:color="auto"/>
              <w:left w:val="single" w:sz="2" w:space="0" w:color="auto"/>
              <w:bottom w:val="single" w:sz="2" w:space="0" w:color="auto"/>
              <w:right w:val="single" w:sz="2" w:space="0" w:color="auto"/>
            </w:tcBorders>
          </w:tcPr>
          <w:p w14:paraId="63256A91" w14:textId="77777777" w:rsidR="009F4766" w:rsidRPr="00DE12A3" w:rsidRDefault="009F4766" w:rsidP="00C917D6">
            <w:pPr>
              <w:pStyle w:val="NormalLeft"/>
            </w:pPr>
            <w:r w:rsidRPr="00DE12A3">
              <w:t>103</w:t>
            </w:r>
          </w:p>
        </w:tc>
        <w:tc>
          <w:tcPr>
            <w:tcW w:w="2551" w:type="dxa"/>
            <w:tcBorders>
              <w:top w:val="single" w:sz="2" w:space="0" w:color="auto"/>
              <w:left w:val="single" w:sz="2" w:space="0" w:color="auto"/>
              <w:bottom w:val="single" w:sz="2" w:space="0" w:color="auto"/>
              <w:right w:val="single" w:sz="2" w:space="0" w:color="auto"/>
            </w:tcBorders>
          </w:tcPr>
          <w:p w14:paraId="2D7626A0" w14:textId="77777777" w:rsidR="009F4766" w:rsidRPr="00DE12A3" w:rsidRDefault="009F4766" w:rsidP="00C917D6">
            <w:pPr>
              <w:pStyle w:val="NormalLeft"/>
            </w:pPr>
            <w:r w:rsidRPr="00DE12A3">
              <w:t>34</w:t>
            </w:r>
          </w:p>
        </w:tc>
      </w:tr>
      <w:tr w:rsidR="00DE12A3" w:rsidRPr="00DE12A3" w14:paraId="4BD1EE3E" w14:textId="77777777" w:rsidTr="009F4766">
        <w:tc>
          <w:tcPr>
            <w:tcW w:w="1182" w:type="dxa"/>
            <w:tcBorders>
              <w:top w:val="single" w:sz="2" w:space="0" w:color="auto"/>
              <w:left w:val="single" w:sz="2" w:space="0" w:color="auto"/>
              <w:bottom w:val="single" w:sz="2" w:space="0" w:color="auto"/>
              <w:right w:val="single" w:sz="2" w:space="0" w:color="auto"/>
            </w:tcBorders>
          </w:tcPr>
          <w:p w14:paraId="33CA9D02" w14:textId="77777777" w:rsidR="009F4766" w:rsidRPr="00DE12A3" w:rsidRDefault="009F4766" w:rsidP="00C917D6">
            <w:pPr>
              <w:pStyle w:val="NormalLeft"/>
            </w:pPr>
            <w:r w:rsidRPr="00DE12A3">
              <w:t>119</w:t>
            </w:r>
          </w:p>
        </w:tc>
        <w:tc>
          <w:tcPr>
            <w:tcW w:w="2489" w:type="dxa"/>
            <w:tcBorders>
              <w:top w:val="single" w:sz="2" w:space="0" w:color="auto"/>
              <w:left w:val="single" w:sz="2" w:space="0" w:color="auto"/>
              <w:bottom w:val="single" w:sz="2" w:space="0" w:color="auto"/>
              <w:right w:val="single" w:sz="2" w:space="0" w:color="auto"/>
            </w:tcBorders>
          </w:tcPr>
          <w:p w14:paraId="7EF627C5" w14:textId="77777777" w:rsidR="009F4766" w:rsidRPr="00DE12A3" w:rsidRDefault="009F4766" w:rsidP="00C917D6">
            <w:pPr>
              <w:pStyle w:val="NormalLeft"/>
            </w:pPr>
            <w:r w:rsidRPr="00DE12A3">
              <w:t>102</w:t>
            </w:r>
          </w:p>
        </w:tc>
        <w:tc>
          <w:tcPr>
            <w:tcW w:w="2551" w:type="dxa"/>
            <w:tcBorders>
              <w:top w:val="single" w:sz="2" w:space="0" w:color="auto"/>
              <w:left w:val="single" w:sz="2" w:space="0" w:color="auto"/>
              <w:bottom w:val="single" w:sz="2" w:space="0" w:color="auto"/>
              <w:right w:val="single" w:sz="2" w:space="0" w:color="auto"/>
            </w:tcBorders>
          </w:tcPr>
          <w:p w14:paraId="4460ACCC" w14:textId="77777777" w:rsidR="009F4766" w:rsidRPr="00DE12A3" w:rsidRDefault="009F4766" w:rsidP="00C917D6">
            <w:pPr>
              <w:pStyle w:val="NormalLeft"/>
            </w:pPr>
            <w:r w:rsidRPr="00DE12A3">
              <w:t>44</w:t>
            </w:r>
          </w:p>
        </w:tc>
      </w:tr>
      <w:tr w:rsidR="00DE12A3" w:rsidRPr="00DE12A3" w14:paraId="67AC1C14" w14:textId="77777777" w:rsidTr="009F4766">
        <w:tc>
          <w:tcPr>
            <w:tcW w:w="1182" w:type="dxa"/>
            <w:tcBorders>
              <w:top w:val="single" w:sz="2" w:space="0" w:color="auto"/>
              <w:left w:val="single" w:sz="2" w:space="0" w:color="auto"/>
              <w:bottom w:val="single" w:sz="2" w:space="0" w:color="auto"/>
              <w:right w:val="single" w:sz="2" w:space="0" w:color="auto"/>
            </w:tcBorders>
          </w:tcPr>
          <w:p w14:paraId="4FAD9C16" w14:textId="77777777" w:rsidR="009F4766" w:rsidRPr="00DE12A3" w:rsidRDefault="009F4766" w:rsidP="00C917D6">
            <w:pPr>
              <w:pStyle w:val="NormalLeft"/>
            </w:pPr>
            <w:r w:rsidRPr="00DE12A3">
              <w:t>120</w:t>
            </w:r>
          </w:p>
        </w:tc>
        <w:tc>
          <w:tcPr>
            <w:tcW w:w="2489" w:type="dxa"/>
            <w:tcBorders>
              <w:top w:val="single" w:sz="2" w:space="0" w:color="auto"/>
              <w:left w:val="single" w:sz="2" w:space="0" w:color="auto"/>
              <w:bottom w:val="single" w:sz="2" w:space="0" w:color="auto"/>
              <w:right w:val="single" w:sz="2" w:space="0" w:color="auto"/>
            </w:tcBorders>
          </w:tcPr>
          <w:p w14:paraId="5249D07B" w14:textId="77777777" w:rsidR="009F4766" w:rsidRPr="00DE12A3" w:rsidRDefault="009F4766" w:rsidP="00C917D6">
            <w:pPr>
              <w:pStyle w:val="NormalLeft"/>
            </w:pPr>
            <w:r w:rsidRPr="00DE12A3">
              <w:t>103</w:t>
            </w:r>
          </w:p>
        </w:tc>
        <w:tc>
          <w:tcPr>
            <w:tcW w:w="2551" w:type="dxa"/>
            <w:tcBorders>
              <w:top w:val="single" w:sz="2" w:space="0" w:color="auto"/>
              <w:left w:val="single" w:sz="2" w:space="0" w:color="auto"/>
              <w:bottom w:val="single" w:sz="2" w:space="0" w:color="auto"/>
              <w:right w:val="single" w:sz="2" w:space="0" w:color="auto"/>
            </w:tcBorders>
          </w:tcPr>
          <w:p w14:paraId="74CFEC60" w14:textId="77777777" w:rsidR="009F4766" w:rsidRPr="00DE12A3" w:rsidRDefault="009F4766" w:rsidP="00C917D6">
            <w:pPr>
              <w:pStyle w:val="NormalLeft"/>
            </w:pPr>
            <w:r w:rsidRPr="00DE12A3">
              <w:t>38</w:t>
            </w:r>
          </w:p>
        </w:tc>
      </w:tr>
      <w:tr w:rsidR="00DE12A3" w:rsidRPr="00DE12A3" w14:paraId="4B056378" w14:textId="77777777" w:rsidTr="009F4766">
        <w:tc>
          <w:tcPr>
            <w:tcW w:w="1182" w:type="dxa"/>
            <w:tcBorders>
              <w:top w:val="single" w:sz="2" w:space="0" w:color="auto"/>
              <w:left w:val="single" w:sz="2" w:space="0" w:color="auto"/>
              <w:bottom w:val="single" w:sz="2" w:space="0" w:color="auto"/>
              <w:right w:val="single" w:sz="2" w:space="0" w:color="auto"/>
            </w:tcBorders>
          </w:tcPr>
          <w:p w14:paraId="50BE192F" w14:textId="77777777" w:rsidR="009F4766" w:rsidRPr="00DE12A3" w:rsidRDefault="009F4766" w:rsidP="00C917D6">
            <w:pPr>
              <w:pStyle w:val="NormalLeft"/>
            </w:pPr>
            <w:r w:rsidRPr="00DE12A3">
              <w:t>121</w:t>
            </w:r>
          </w:p>
        </w:tc>
        <w:tc>
          <w:tcPr>
            <w:tcW w:w="2489" w:type="dxa"/>
            <w:tcBorders>
              <w:top w:val="single" w:sz="2" w:space="0" w:color="auto"/>
              <w:left w:val="single" w:sz="2" w:space="0" w:color="auto"/>
              <w:bottom w:val="single" w:sz="2" w:space="0" w:color="auto"/>
              <w:right w:val="single" w:sz="2" w:space="0" w:color="auto"/>
            </w:tcBorders>
          </w:tcPr>
          <w:p w14:paraId="27D90BD3" w14:textId="77777777" w:rsidR="009F4766" w:rsidRPr="00DE12A3" w:rsidRDefault="009F4766" w:rsidP="00C917D6">
            <w:pPr>
              <w:pStyle w:val="NormalLeft"/>
            </w:pPr>
            <w:r w:rsidRPr="00DE12A3">
              <w:t>102</w:t>
            </w:r>
          </w:p>
        </w:tc>
        <w:tc>
          <w:tcPr>
            <w:tcW w:w="2551" w:type="dxa"/>
            <w:tcBorders>
              <w:top w:val="single" w:sz="2" w:space="0" w:color="auto"/>
              <w:left w:val="single" w:sz="2" w:space="0" w:color="auto"/>
              <w:bottom w:val="single" w:sz="2" w:space="0" w:color="auto"/>
              <w:right w:val="single" w:sz="2" w:space="0" w:color="auto"/>
            </w:tcBorders>
          </w:tcPr>
          <w:p w14:paraId="4CA758C5" w14:textId="77777777" w:rsidR="009F4766" w:rsidRPr="00DE12A3" w:rsidRDefault="009F4766" w:rsidP="00C917D6">
            <w:pPr>
              <w:pStyle w:val="NormalLeft"/>
            </w:pPr>
            <w:r w:rsidRPr="00DE12A3">
              <w:t>43</w:t>
            </w:r>
          </w:p>
        </w:tc>
      </w:tr>
      <w:tr w:rsidR="00DE12A3" w:rsidRPr="00DE12A3" w14:paraId="1202F504" w14:textId="77777777" w:rsidTr="009F4766">
        <w:tc>
          <w:tcPr>
            <w:tcW w:w="1182" w:type="dxa"/>
            <w:tcBorders>
              <w:top w:val="single" w:sz="2" w:space="0" w:color="auto"/>
              <w:left w:val="single" w:sz="2" w:space="0" w:color="auto"/>
              <w:bottom w:val="single" w:sz="2" w:space="0" w:color="auto"/>
              <w:right w:val="single" w:sz="2" w:space="0" w:color="auto"/>
            </w:tcBorders>
          </w:tcPr>
          <w:p w14:paraId="28C5CDA2" w14:textId="77777777" w:rsidR="009F4766" w:rsidRPr="00DE12A3" w:rsidRDefault="009F4766" w:rsidP="00C917D6">
            <w:pPr>
              <w:pStyle w:val="NormalLeft"/>
            </w:pPr>
            <w:r w:rsidRPr="00DE12A3">
              <w:t>122</w:t>
            </w:r>
          </w:p>
        </w:tc>
        <w:tc>
          <w:tcPr>
            <w:tcW w:w="2489" w:type="dxa"/>
            <w:tcBorders>
              <w:top w:val="single" w:sz="2" w:space="0" w:color="auto"/>
              <w:left w:val="single" w:sz="2" w:space="0" w:color="auto"/>
              <w:bottom w:val="single" w:sz="2" w:space="0" w:color="auto"/>
              <w:right w:val="single" w:sz="2" w:space="0" w:color="auto"/>
            </w:tcBorders>
          </w:tcPr>
          <w:p w14:paraId="476E8DED" w14:textId="77777777" w:rsidR="009F4766" w:rsidRPr="00DE12A3" w:rsidRDefault="009F4766" w:rsidP="00C917D6">
            <w:pPr>
              <w:pStyle w:val="NormalLeft"/>
            </w:pPr>
            <w:r w:rsidRPr="00DE12A3">
              <w:t>103</w:t>
            </w:r>
          </w:p>
        </w:tc>
        <w:tc>
          <w:tcPr>
            <w:tcW w:w="2551" w:type="dxa"/>
            <w:tcBorders>
              <w:top w:val="single" w:sz="2" w:space="0" w:color="auto"/>
              <w:left w:val="single" w:sz="2" w:space="0" w:color="auto"/>
              <w:bottom w:val="single" w:sz="2" w:space="0" w:color="auto"/>
              <w:right w:val="single" w:sz="2" w:space="0" w:color="auto"/>
            </w:tcBorders>
          </w:tcPr>
          <w:p w14:paraId="7747A146" w14:textId="77777777" w:rsidR="009F4766" w:rsidRPr="00DE12A3" w:rsidRDefault="009F4766" w:rsidP="00C917D6">
            <w:pPr>
              <w:pStyle w:val="NormalLeft"/>
            </w:pPr>
            <w:r w:rsidRPr="00DE12A3">
              <w:t>34</w:t>
            </w:r>
          </w:p>
        </w:tc>
      </w:tr>
      <w:tr w:rsidR="00DE12A3" w:rsidRPr="00DE12A3" w14:paraId="6BBB0247" w14:textId="77777777" w:rsidTr="009F4766">
        <w:tc>
          <w:tcPr>
            <w:tcW w:w="1182" w:type="dxa"/>
            <w:tcBorders>
              <w:top w:val="single" w:sz="2" w:space="0" w:color="auto"/>
              <w:left w:val="single" w:sz="2" w:space="0" w:color="auto"/>
              <w:bottom w:val="single" w:sz="2" w:space="0" w:color="auto"/>
              <w:right w:val="single" w:sz="2" w:space="0" w:color="auto"/>
            </w:tcBorders>
          </w:tcPr>
          <w:p w14:paraId="167E543A" w14:textId="77777777" w:rsidR="009F4766" w:rsidRPr="00DE12A3" w:rsidRDefault="009F4766" w:rsidP="00C917D6">
            <w:pPr>
              <w:pStyle w:val="NormalLeft"/>
            </w:pPr>
            <w:r w:rsidRPr="00DE12A3">
              <w:t>123</w:t>
            </w:r>
          </w:p>
        </w:tc>
        <w:tc>
          <w:tcPr>
            <w:tcW w:w="2489" w:type="dxa"/>
            <w:tcBorders>
              <w:top w:val="single" w:sz="2" w:space="0" w:color="auto"/>
              <w:left w:val="single" w:sz="2" w:space="0" w:color="auto"/>
              <w:bottom w:val="single" w:sz="2" w:space="0" w:color="auto"/>
              <w:right w:val="single" w:sz="2" w:space="0" w:color="auto"/>
            </w:tcBorders>
          </w:tcPr>
          <w:p w14:paraId="0771EA46" w14:textId="77777777" w:rsidR="009F4766" w:rsidRPr="00DE12A3" w:rsidRDefault="009F4766" w:rsidP="00C917D6">
            <w:pPr>
              <w:pStyle w:val="NormalLeft"/>
            </w:pPr>
            <w:r w:rsidRPr="00DE12A3">
              <w:t>102</w:t>
            </w:r>
          </w:p>
        </w:tc>
        <w:tc>
          <w:tcPr>
            <w:tcW w:w="2551" w:type="dxa"/>
            <w:tcBorders>
              <w:top w:val="single" w:sz="2" w:space="0" w:color="auto"/>
              <w:left w:val="single" w:sz="2" w:space="0" w:color="auto"/>
              <w:bottom w:val="single" w:sz="2" w:space="0" w:color="auto"/>
              <w:right w:val="single" w:sz="2" w:space="0" w:color="auto"/>
            </w:tcBorders>
          </w:tcPr>
          <w:p w14:paraId="3835318F" w14:textId="77777777" w:rsidR="009F4766" w:rsidRPr="00DE12A3" w:rsidRDefault="009F4766" w:rsidP="00C917D6">
            <w:pPr>
              <w:pStyle w:val="NormalLeft"/>
            </w:pPr>
            <w:r w:rsidRPr="00DE12A3">
              <w:t>41</w:t>
            </w:r>
          </w:p>
        </w:tc>
      </w:tr>
      <w:tr w:rsidR="00DE12A3" w:rsidRPr="00DE12A3" w14:paraId="50C439BA" w14:textId="77777777" w:rsidTr="009F4766">
        <w:tc>
          <w:tcPr>
            <w:tcW w:w="1182" w:type="dxa"/>
            <w:tcBorders>
              <w:top w:val="single" w:sz="2" w:space="0" w:color="auto"/>
              <w:left w:val="single" w:sz="2" w:space="0" w:color="auto"/>
              <w:bottom w:val="single" w:sz="2" w:space="0" w:color="auto"/>
              <w:right w:val="single" w:sz="2" w:space="0" w:color="auto"/>
            </w:tcBorders>
          </w:tcPr>
          <w:p w14:paraId="00535B01" w14:textId="77777777" w:rsidR="009F4766" w:rsidRPr="00DE12A3" w:rsidRDefault="009F4766" w:rsidP="00C917D6">
            <w:pPr>
              <w:pStyle w:val="NormalLeft"/>
            </w:pPr>
            <w:r w:rsidRPr="00DE12A3">
              <w:t>124</w:t>
            </w:r>
          </w:p>
        </w:tc>
        <w:tc>
          <w:tcPr>
            <w:tcW w:w="2489" w:type="dxa"/>
            <w:tcBorders>
              <w:top w:val="single" w:sz="2" w:space="0" w:color="auto"/>
              <w:left w:val="single" w:sz="2" w:space="0" w:color="auto"/>
              <w:bottom w:val="single" w:sz="2" w:space="0" w:color="auto"/>
              <w:right w:val="single" w:sz="2" w:space="0" w:color="auto"/>
            </w:tcBorders>
          </w:tcPr>
          <w:p w14:paraId="18D6D68F" w14:textId="77777777" w:rsidR="009F4766" w:rsidRPr="00DE12A3" w:rsidRDefault="009F4766" w:rsidP="00C917D6">
            <w:pPr>
              <w:pStyle w:val="NormalLeft"/>
            </w:pPr>
            <w:r w:rsidRPr="00DE12A3">
              <w:t>103</w:t>
            </w:r>
          </w:p>
        </w:tc>
        <w:tc>
          <w:tcPr>
            <w:tcW w:w="2551" w:type="dxa"/>
            <w:tcBorders>
              <w:top w:val="single" w:sz="2" w:space="0" w:color="auto"/>
              <w:left w:val="single" w:sz="2" w:space="0" w:color="auto"/>
              <w:bottom w:val="single" w:sz="2" w:space="0" w:color="auto"/>
              <w:right w:val="single" w:sz="2" w:space="0" w:color="auto"/>
            </w:tcBorders>
          </w:tcPr>
          <w:p w14:paraId="04F1F157" w14:textId="77777777" w:rsidR="009F4766" w:rsidRPr="00DE12A3" w:rsidRDefault="009F4766" w:rsidP="00C917D6">
            <w:pPr>
              <w:pStyle w:val="NormalLeft"/>
            </w:pPr>
            <w:r w:rsidRPr="00DE12A3">
              <w:t>44</w:t>
            </w:r>
          </w:p>
        </w:tc>
      </w:tr>
      <w:tr w:rsidR="00DE12A3" w:rsidRPr="00DE12A3" w14:paraId="04753B09" w14:textId="77777777" w:rsidTr="009F4766">
        <w:tc>
          <w:tcPr>
            <w:tcW w:w="1182" w:type="dxa"/>
            <w:tcBorders>
              <w:top w:val="single" w:sz="2" w:space="0" w:color="auto"/>
              <w:left w:val="single" w:sz="2" w:space="0" w:color="auto"/>
              <w:bottom w:val="single" w:sz="2" w:space="0" w:color="auto"/>
              <w:right w:val="single" w:sz="2" w:space="0" w:color="auto"/>
            </w:tcBorders>
          </w:tcPr>
          <w:p w14:paraId="12E77D87" w14:textId="77777777" w:rsidR="009F4766" w:rsidRPr="00DE12A3" w:rsidRDefault="009F4766" w:rsidP="00C917D6">
            <w:pPr>
              <w:pStyle w:val="NormalLeft"/>
            </w:pPr>
            <w:r w:rsidRPr="00DE12A3">
              <w:t>125</w:t>
            </w:r>
          </w:p>
        </w:tc>
        <w:tc>
          <w:tcPr>
            <w:tcW w:w="2489" w:type="dxa"/>
            <w:tcBorders>
              <w:top w:val="single" w:sz="2" w:space="0" w:color="auto"/>
              <w:left w:val="single" w:sz="2" w:space="0" w:color="auto"/>
              <w:bottom w:val="single" w:sz="2" w:space="0" w:color="auto"/>
              <w:right w:val="single" w:sz="2" w:space="0" w:color="auto"/>
            </w:tcBorders>
          </w:tcPr>
          <w:p w14:paraId="55C771BE" w14:textId="77777777" w:rsidR="009F4766" w:rsidRPr="00DE12A3" w:rsidRDefault="009F4766" w:rsidP="00C917D6">
            <w:pPr>
              <w:pStyle w:val="NormalLeft"/>
            </w:pPr>
            <w:r w:rsidRPr="00DE12A3">
              <w:t>103</w:t>
            </w:r>
          </w:p>
        </w:tc>
        <w:tc>
          <w:tcPr>
            <w:tcW w:w="2551" w:type="dxa"/>
            <w:tcBorders>
              <w:top w:val="single" w:sz="2" w:space="0" w:color="auto"/>
              <w:left w:val="single" w:sz="2" w:space="0" w:color="auto"/>
              <w:bottom w:val="single" w:sz="2" w:space="0" w:color="auto"/>
              <w:right w:val="single" w:sz="2" w:space="0" w:color="auto"/>
            </w:tcBorders>
          </w:tcPr>
          <w:p w14:paraId="5F636DB9" w14:textId="77777777" w:rsidR="009F4766" w:rsidRPr="00DE12A3" w:rsidRDefault="009F4766" w:rsidP="00C917D6">
            <w:pPr>
              <w:pStyle w:val="NormalLeft"/>
            </w:pPr>
            <w:r w:rsidRPr="00DE12A3">
              <w:t>37</w:t>
            </w:r>
          </w:p>
        </w:tc>
      </w:tr>
      <w:tr w:rsidR="00DE12A3" w:rsidRPr="00DE12A3" w14:paraId="3DDE5A4B" w14:textId="77777777" w:rsidTr="009F4766">
        <w:tc>
          <w:tcPr>
            <w:tcW w:w="1182" w:type="dxa"/>
            <w:tcBorders>
              <w:top w:val="single" w:sz="2" w:space="0" w:color="auto"/>
              <w:left w:val="single" w:sz="2" w:space="0" w:color="auto"/>
              <w:bottom w:val="single" w:sz="2" w:space="0" w:color="auto"/>
              <w:right w:val="single" w:sz="2" w:space="0" w:color="auto"/>
            </w:tcBorders>
          </w:tcPr>
          <w:p w14:paraId="2066802B" w14:textId="77777777" w:rsidR="009F4766" w:rsidRPr="00DE12A3" w:rsidRDefault="009F4766" w:rsidP="00C917D6">
            <w:pPr>
              <w:pStyle w:val="NormalLeft"/>
            </w:pPr>
            <w:r w:rsidRPr="00DE12A3">
              <w:t>126</w:t>
            </w:r>
          </w:p>
        </w:tc>
        <w:tc>
          <w:tcPr>
            <w:tcW w:w="2489" w:type="dxa"/>
            <w:tcBorders>
              <w:top w:val="single" w:sz="2" w:space="0" w:color="auto"/>
              <w:left w:val="single" w:sz="2" w:space="0" w:color="auto"/>
              <w:bottom w:val="single" w:sz="2" w:space="0" w:color="auto"/>
              <w:right w:val="single" w:sz="2" w:space="0" w:color="auto"/>
            </w:tcBorders>
          </w:tcPr>
          <w:p w14:paraId="174FB86E" w14:textId="77777777" w:rsidR="009F4766" w:rsidRPr="00DE12A3" w:rsidRDefault="009F4766" w:rsidP="00C917D6">
            <w:pPr>
              <w:pStyle w:val="NormalLeft"/>
            </w:pPr>
            <w:r w:rsidRPr="00DE12A3">
              <w:t>103</w:t>
            </w:r>
          </w:p>
        </w:tc>
        <w:tc>
          <w:tcPr>
            <w:tcW w:w="2551" w:type="dxa"/>
            <w:tcBorders>
              <w:top w:val="single" w:sz="2" w:space="0" w:color="auto"/>
              <w:left w:val="single" w:sz="2" w:space="0" w:color="auto"/>
              <w:bottom w:val="single" w:sz="2" w:space="0" w:color="auto"/>
              <w:right w:val="single" w:sz="2" w:space="0" w:color="auto"/>
            </w:tcBorders>
          </w:tcPr>
          <w:p w14:paraId="68632063" w14:textId="77777777" w:rsidR="009F4766" w:rsidRPr="00DE12A3" w:rsidRDefault="009F4766" w:rsidP="00C917D6">
            <w:pPr>
              <w:pStyle w:val="NormalLeft"/>
            </w:pPr>
            <w:r w:rsidRPr="00DE12A3">
              <w:t>27</w:t>
            </w:r>
          </w:p>
        </w:tc>
      </w:tr>
      <w:tr w:rsidR="00DE12A3" w:rsidRPr="00DE12A3" w14:paraId="65A51F89" w14:textId="77777777" w:rsidTr="009F4766">
        <w:tc>
          <w:tcPr>
            <w:tcW w:w="1182" w:type="dxa"/>
            <w:tcBorders>
              <w:top w:val="single" w:sz="2" w:space="0" w:color="auto"/>
              <w:left w:val="single" w:sz="2" w:space="0" w:color="auto"/>
              <w:bottom w:val="single" w:sz="2" w:space="0" w:color="auto"/>
              <w:right w:val="single" w:sz="2" w:space="0" w:color="auto"/>
            </w:tcBorders>
          </w:tcPr>
          <w:p w14:paraId="163AD168" w14:textId="77777777" w:rsidR="009F4766" w:rsidRPr="00DE12A3" w:rsidRDefault="009F4766" w:rsidP="00C917D6">
            <w:pPr>
              <w:pStyle w:val="NormalLeft"/>
            </w:pPr>
            <w:r w:rsidRPr="00DE12A3">
              <w:t>127</w:t>
            </w:r>
          </w:p>
        </w:tc>
        <w:tc>
          <w:tcPr>
            <w:tcW w:w="2489" w:type="dxa"/>
            <w:tcBorders>
              <w:top w:val="single" w:sz="2" w:space="0" w:color="auto"/>
              <w:left w:val="single" w:sz="2" w:space="0" w:color="auto"/>
              <w:bottom w:val="single" w:sz="2" w:space="0" w:color="auto"/>
              <w:right w:val="single" w:sz="2" w:space="0" w:color="auto"/>
            </w:tcBorders>
          </w:tcPr>
          <w:p w14:paraId="6980344F" w14:textId="77777777" w:rsidR="009F4766" w:rsidRPr="00DE12A3" w:rsidRDefault="009F4766" w:rsidP="00C917D6">
            <w:pPr>
              <w:pStyle w:val="NormalLeft"/>
            </w:pPr>
            <w:r w:rsidRPr="00DE12A3">
              <w:t>104</w:t>
            </w:r>
          </w:p>
        </w:tc>
        <w:tc>
          <w:tcPr>
            <w:tcW w:w="2551" w:type="dxa"/>
            <w:tcBorders>
              <w:top w:val="single" w:sz="2" w:space="0" w:color="auto"/>
              <w:left w:val="single" w:sz="2" w:space="0" w:color="auto"/>
              <w:bottom w:val="single" w:sz="2" w:space="0" w:color="auto"/>
              <w:right w:val="single" w:sz="2" w:space="0" w:color="auto"/>
            </w:tcBorders>
          </w:tcPr>
          <w:p w14:paraId="76639702" w14:textId="77777777" w:rsidR="009F4766" w:rsidRPr="00DE12A3" w:rsidRDefault="009F4766" w:rsidP="00C917D6">
            <w:pPr>
              <w:pStyle w:val="NormalLeft"/>
            </w:pPr>
            <w:r w:rsidRPr="00DE12A3">
              <w:t>13</w:t>
            </w:r>
          </w:p>
        </w:tc>
      </w:tr>
      <w:tr w:rsidR="00DE12A3" w:rsidRPr="00DE12A3" w14:paraId="70E8C0E0" w14:textId="77777777" w:rsidTr="009F4766">
        <w:tc>
          <w:tcPr>
            <w:tcW w:w="1182" w:type="dxa"/>
            <w:tcBorders>
              <w:top w:val="single" w:sz="2" w:space="0" w:color="auto"/>
              <w:left w:val="single" w:sz="2" w:space="0" w:color="auto"/>
              <w:bottom w:val="single" w:sz="2" w:space="0" w:color="auto"/>
              <w:right w:val="single" w:sz="2" w:space="0" w:color="auto"/>
            </w:tcBorders>
          </w:tcPr>
          <w:p w14:paraId="0AB7B5B2" w14:textId="77777777" w:rsidR="009F4766" w:rsidRPr="00DE12A3" w:rsidRDefault="009F4766" w:rsidP="00C917D6">
            <w:pPr>
              <w:pStyle w:val="NormalLeft"/>
            </w:pPr>
            <w:r w:rsidRPr="00DE12A3">
              <w:t>128</w:t>
            </w:r>
          </w:p>
        </w:tc>
        <w:tc>
          <w:tcPr>
            <w:tcW w:w="2489" w:type="dxa"/>
            <w:tcBorders>
              <w:top w:val="single" w:sz="2" w:space="0" w:color="auto"/>
              <w:left w:val="single" w:sz="2" w:space="0" w:color="auto"/>
              <w:bottom w:val="single" w:sz="2" w:space="0" w:color="auto"/>
              <w:right w:val="single" w:sz="2" w:space="0" w:color="auto"/>
            </w:tcBorders>
          </w:tcPr>
          <w:p w14:paraId="44C228DC" w14:textId="77777777" w:rsidR="009F4766" w:rsidRPr="00DE12A3" w:rsidRDefault="009F4766" w:rsidP="00C917D6">
            <w:pPr>
              <w:pStyle w:val="NormalLeft"/>
            </w:pPr>
            <w:r w:rsidRPr="00DE12A3">
              <w:t>104</w:t>
            </w:r>
          </w:p>
        </w:tc>
        <w:tc>
          <w:tcPr>
            <w:tcW w:w="2551" w:type="dxa"/>
            <w:tcBorders>
              <w:top w:val="single" w:sz="2" w:space="0" w:color="auto"/>
              <w:left w:val="single" w:sz="2" w:space="0" w:color="auto"/>
              <w:bottom w:val="single" w:sz="2" w:space="0" w:color="auto"/>
              <w:right w:val="single" w:sz="2" w:space="0" w:color="auto"/>
            </w:tcBorders>
          </w:tcPr>
          <w:p w14:paraId="67A6466D" w14:textId="77777777" w:rsidR="009F4766" w:rsidRPr="00DE12A3" w:rsidRDefault="009F4766" w:rsidP="00C917D6">
            <w:pPr>
              <w:pStyle w:val="NormalLeft"/>
            </w:pPr>
            <w:r w:rsidRPr="00DE12A3">
              <w:t>30</w:t>
            </w:r>
          </w:p>
        </w:tc>
      </w:tr>
      <w:tr w:rsidR="00DE12A3" w:rsidRPr="00DE12A3" w14:paraId="79093E8F" w14:textId="77777777" w:rsidTr="009F4766">
        <w:tc>
          <w:tcPr>
            <w:tcW w:w="1182" w:type="dxa"/>
            <w:tcBorders>
              <w:top w:val="single" w:sz="2" w:space="0" w:color="auto"/>
              <w:left w:val="single" w:sz="2" w:space="0" w:color="auto"/>
              <w:bottom w:val="single" w:sz="2" w:space="0" w:color="auto"/>
              <w:right w:val="single" w:sz="2" w:space="0" w:color="auto"/>
            </w:tcBorders>
          </w:tcPr>
          <w:p w14:paraId="2C3C4631" w14:textId="77777777" w:rsidR="009F4766" w:rsidRPr="00DE12A3" w:rsidRDefault="009F4766" w:rsidP="00C917D6">
            <w:pPr>
              <w:pStyle w:val="NormalLeft"/>
            </w:pPr>
            <w:r w:rsidRPr="00DE12A3">
              <w:t>129</w:t>
            </w:r>
          </w:p>
        </w:tc>
        <w:tc>
          <w:tcPr>
            <w:tcW w:w="2489" w:type="dxa"/>
            <w:tcBorders>
              <w:top w:val="single" w:sz="2" w:space="0" w:color="auto"/>
              <w:left w:val="single" w:sz="2" w:space="0" w:color="auto"/>
              <w:bottom w:val="single" w:sz="2" w:space="0" w:color="auto"/>
              <w:right w:val="single" w:sz="2" w:space="0" w:color="auto"/>
            </w:tcBorders>
          </w:tcPr>
          <w:p w14:paraId="1F5D802C" w14:textId="77777777" w:rsidR="009F4766" w:rsidRPr="00DE12A3" w:rsidRDefault="009F4766" w:rsidP="00C917D6">
            <w:pPr>
              <w:pStyle w:val="NormalLeft"/>
            </w:pPr>
            <w:r w:rsidRPr="00DE12A3">
              <w:t>104</w:t>
            </w:r>
          </w:p>
        </w:tc>
        <w:tc>
          <w:tcPr>
            <w:tcW w:w="2551" w:type="dxa"/>
            <w:tcBorders>
              <w:top w:val="single" w:sz="2" w:space="0" w:color="auto"/>
              <w:left w:val="single" w:sz="2" w:space="0" w:color="auto"/>
              <w:bottom w:val="single" w:sz="2" w:space="0" w:color="auto"/>
              <w:right w:val="single" w:sz="2" w:space="0" w:color="auto"/>
            </w:tcBorders>
          </w:tcPr>
          <w:p w14:paraId="610ADE91" w14:textId="77777777" w:rsidR="009F4766" w:rsidRPr="00DE12A3" w:rsidRDefault="009F4766" w:rsidP="00C917D6">
            <w:pPr>
              <w:pStyle w:val="NormalLeft"/>
            </w:pPr>
            <w:r w:rsidRPr="00DE12A3">
              <w:t>19</w:t>
            </w:r>
          </w:p>
        </w:tc>
      </w:tr>
      <w:tr w:rsidR="00DE12A3" w:rsidRPr="00DE12A3" w14:paraId="7FD87E42" w14:textId="77777777" w:rsidTr="009F4766">
        <w:tc>
          <w:tcPr>
            <w:tcW w:w="1182" w:type="dxa"/>
            <w:tcBorders>
              <w:top w:val="single" w:sz="2" w:space="0" w:color="auto"/>
              <w:left w:val="single" w:sz="2" w:space="0" w:color="auto"/>
              <w:bottom w:val="single" w:sz="2" w:space="0" w:color="auto"/>
              <w:right w:val="single" w:sz="2" w:space="0" w:color="auto"/>
            </w:tcBorders>
          </w:tcPr>
          <w:p w14:paraId="72B1E4A3" w14:textId="77777777" w:rsidR="009F4766" w:rsidRPr="00DE12A3" w:rsidRDefault="009F4766" w:rsidP="00C917D6">
            <w:pPr>
              <w:pStyle w:val="NormalLeft"/>
            </w:pPr>
            <w:r w:rsidRPr="00DE12A3">
              <w:t>130</w:t>
            </w:r>
          </w:p>
        </w:tc>
        <w:tc>
          <w:tcPr>
            <w:tcW w:w="2489" w:type="dxa"/>
            <w:tcBorders>
              <w:top w:val="single" w:sz="2" w:space="0" w:color="auto"/>
              <w:left w:val="single" w:sz="2" w:space="0" w:color="auto"/>
              <w:bottom w:val="single" w:sz="2" w:space="0" w:color="auto"/>
              <w:right w:val="single" w:sz="2" w:space="0" w:color="auto"/>
            </w:tcBorders>
          </w:tcPr>
          <w:p w14:paraId="2D9D489D" w14:textId="77777777" w:rsidR="009F4766" w:rsidRPr="00DE12A3" w:rsidRDefault="009F4766" w:rsidP="00C917D6">
            <w:pPr>
              <w:pStyle w:val="NormalLeft"/>
            </w:pPr>
            <w:r w:rsidRPr="00DE12A3">
              <w:t>103</w:t>
            </w:r>
          </w:p>
        </w:tc>
        <w:tc>
          <w:tcPr>
            <w:tcW w:w="2551" w:type="dxa"/>
            <w:tcBorders>
              <w:top w:val="single" w:sz="2" w:space="0" w:color="auto"/>
              <w:left w:val="single" w:sz="2" w:space="0" w:color="auto"/>
              <w:bottom w:val="single" w:sz="2" w:space="0" w:color="auto"/>
              <w:right w:val="single" w:sz="2" w:space="0" w:color="auto"/>
            </w:tcBorders>
          </w:tcPr>
          <w:p w14:paraId="05F76B35" w14:textId="77777777" w:rsidR="009F4766" w:rsidRPr="00DE12A3" w:rsidRDefault="009F4766" w:rsidP="00C917D6">
            <w:pPr>
              <w:pStyle w:val="NormalLeft"/>
            </w:pPr>
            <w:r w:rsidRPr="00DE12A3">
              <w:t>28</w:t>
            </w:r>
          </w:p>
        </w:tc>
      </w:tr>
      <w:tr w:rsidR="00DE12A3" w:rsidRPr="00DE12A3" w14:paraId="04611753" w14:textId="77777777" w:rsidTr="009F4766">
        <w:tc>
          <w:tcPr>
            <w:tcW w:w="1182" w:type="dxa"/>
            <w:tcBorders>
              <w:top w:val="single" w:sz="2" w:space="0" w:color="auto"/>
              <w:left w:val="single" w:sz="2" w:space="0" w:color="auto"/>
              <w:bottom w:val="single" w:sz="2" w:space="0" w:color="auto"/>
              <w:right w:val="single" w:sz="2" w:space="0" w:color="auto"/>
            </w:tcBorders>
          </w:tcPr>
          <w:p w14:paraId="2F70980C" w14:textId="77777777" w:rsidR="009F4766" w:rsidRPr="00DE12A3" w:rsidRDefault="009F4766" w:rsidP="00C917D6">
            <w:pPr>
              <w:pStyle w:val="NormalLeft"/>
            </w:pPr>
            <w:r w:rsidRPr="00DE12A3">
              <w:t>131</w:t>
            </w:r>
          </w:p>
        </w:tc>
        <w:tc>
          <w:tcPr>
            <w:tcW w:w="2489" w:type="dxa"/>
            <w:tcBorders>
              <w:top w:val="single" w:sz="2" w:space="0" w:color="auto"/>
              <w:left w:val="single" w:sz="2" w:space="0" w:color="auto"/>
              <w:bottom w:val="single" w:sz="2" w:space="0" w:color="auto"/>
              <w:right w:val="single" w:sz="2" w:space="0" w:color="auto"/>
            </w:tcBorders>
          </w:tcPr>
          <w:p w14:paraId="0D85D7C2" w14:textId="77777777" w:rsidR="009F4766" w:rsidRPr="00DE12A3" w:rsidRDefault="009F4766" w:rsidP="00C917D6">
            <w:pPr>
              <w:pStyle w:val="NormalLeft"/>
            </w:pPr>
            <w:r w:rsidRPr="00DE12A3">
              <w:t>104</w:t>
            </w:r>
          </w:p>
        </w:tc>
        <w:tc>
          <w:tcPr>
            <w:tcW w:w="2551" w:type="dxa"/>
            <w:tcBorders>
              <w:top w:val="single" w:sz="2" w:space="0" w:color="auto"/>
              <w:left w:val="single" w:sz="2" w:space="0" w:color="auto"/>
              <w:bottom w:val="single" w:sz="2" w:space="0" w:color="auto"/>
              <w:right w:val="single" w:sz="2" w:space="0" w:color="auto"/>
            </w:tcBorders>
          </w:tcPr>
          <w:p w14:paraId="62B2E752" w14:textId="77777777" w:rsidR="009F4766" w:rsidRPr="00DE12A3" w:rsidRDefault="009F4766" w:rsidP="00C917D6">
            <w:pPr>
              <w:pStyle w:val="NormalLeft"/>
            </w:pPr>
            <w:r w:rsidRPr="00DE12A3">
              <w:t>40</w:t>
            </w:r>
          </w:p>
        </w:tc>
      </w:tr>
      <w:tr w:rsidR="00DE12A3" w:rsidRPr="00DE12A3" w14:paraId="7DF59DF0" w14:textId="77777777" w:rsidTr="009F4766">
        <w:tc>
          <w:tcPr>
            <w:tcW w:w="1182" w:type="dxa"/>
            <w:tcBorders>
              <w:top w:val="single" w:sz="2" w:space="0" w:color="auto"/>
              <w:left w:val="single" w:sz="2" w:space="0" w:color="auto"/>
              <w:bottom w:val="single" w:sz="2" w:space="0" w:color="auto"/>
              <w:right w:val="single" w:sz="2" w:space="0" w:color="auto"/>
            </w:tcBorders>
          </w:tcPr>
          <w:p w14:paraId="1BC87929" w14:textId="77777777" w:rsidR="009F4766" w:rsidRPr="00DE12A3" w:rsidRDefault="009F4766" w:rsidP="00C917D6">
            <w:pPr>
              <w:pStyle w:val="NormalLeft"/>
            </w:pPr>
            <w:r w:rsidRPr="00DE12A3">
              <w:t>132</w:t>
            </w:r>
          </w:p>
        </w:tc>
        <w:tc>
          <w:tcPr>
            <w:tcW w:w="2489" w:type="dxa"/>
            <w:tcBorders>
              <w:top w:val="single" w:sz="2" w:space="0" w:color="auto"/>
              <w:left w:val="single" w:sz="2" w:space="0" w:color="auto"/>
              <w:bottom w:val="single" w:sz="2" w:space="0" w:color="auto"/>
              <w:right w:val="single" w:sz="2" w:space="0" w:color="auto"/>
            </w:tcBorders>
          </w:tcPr>
          <w:p w14:paraId="74DCE199" w14:textId="77777777" w:rsidR="009F4766" w:rsidRPr="00DE12A3" w:rsidRDefault="009F4766" w:rsidP="00C917D6">
            <w:pPr>
              <w:pStyle w:val="NormalLeft"/>
            </w:pPr>
            <w:r w:rsidRPr="00DE12A3">
              <w:t>104</w:t>
            </w:r>
          </w:p>
        </w:tc>
        <w:tc>
          <w:tcPr>
            <w:tcW w:w="2551" w:type="dxa"/>
            <w:tcBorders>
              <w:top w:val="single" w:sz="2" w:space="0" w:color="auto"/>
              <w:left w:val="single" w:sz="2" w:space="0" w:color="auto"/>
              <w:bottom w:val="single" w:sz="2" w:space="0" w:color="auto"/>
              <w:right w:val="single" w:sz="2" w:space="0" w:color="auto"/>
            </w:tcBorders>
          </w:tcPr>
          <w:p w14:paraId="58C7A444" w14:textId="77777777" w:rsidR="009F4766" w:rsidRPr="00DE12A3" w:rsidRDefault="009F4766" w:rsidP="00C917D6">
            <w:pPr>
              <w:pStyle w:val="NormalLeft"/>
            </w:pPr>
            <w:r w:rsidRPr="00DE12A3">
              <w:t>32</w:t>
            </w:r>
          </w:p>
        </w:tc>
      </w:tr>
      <w:tr w:rsidR="00DE12A3" w:rsidRPr="00DE12A3" w14:paraId="0F0AC403" w14:textId="77777777" w:rsidTr="009F4766">
        <w:tc>
          <w:tcPr>
            <w:tcW w:w="1182" w:type="dxa"/>
            <w:tcBorders>
              <w:top w:val="single" w:sz="2" w:space="0" w:color="auto"/>
              <w:left w:val="single" w:sz="2" w:space="0" w:color="auto"/>
              <w:bottom w:val="single" w:sz="2" w:space="0" w:color="auto"/>
              <w:right w:val="single" w:sz="2" w:space="0" w:color="auto"/>
            </w:tcBorders>
          </w:tcPr>
          <w:p w14:paraId="52B90D34" w14:textId="77777777" w:rsidR="009F4766" w:rsidRPr="00DE12A3" w:rsidRDefault="009F4766" w:rsidP="00C917D6">
            <w:pPr>
              <w:pStyle w:val="NormalLeft"/>
            </w:pPr>
            <w:r w:rsidRPr="00DE12A3">
              <w:t>133</w:t>
            </w:r>
          </w:p>
        </w:tc>
        <w:tc>
          <w:tcPr>
            <w:tcW w:w="2489" w:type="dxa"/>
            <w:tcBorders>
              <w:top w:val="single" w:sz="2" w:space="0" w:color="auto"/>
              <w:left w:val="single" w:sz="2" w:space="0" w:color="auto"/>
              <w:bottom w:val="single" w:sz="2" w:space="0" w:color="auto"/>
              <w:right w:val="single" w:sz="2" w:space="0" w:color="auto"/>
            </w:tcBorders>
          </w:tcPr>
          <w:p w14:paraId="203C580A" w14:textId="77777777" w:rsidR="009F4766" w:rsidRPr="00DE12A3" w:rsidRDefault="009F4766" w:rsidP="00C917D6">
            <w:pPr>
              <w:pStyle w:val="NormalLeft"/>
            </w:pPr>
            <w:r w:rsidRPr="00DE12A3">
              <w:t>101</w:t>
            </w:r>
          </w:p>
        </w:tc>
        <w:tc>
          <w:tcPr>
            <w:tcW w:w="2551" w:type="dxa"/>
            <w:tcBorders>
              <w:top w:val="single" w:sz="2" w:space="0" w:color="auto"/>
              <w:left w:val="single" w:sz="2" w:space="0" w:color="auto"/>
              <w:bottom w:val="single" w:sz="2" w:space="0" w:color="auto"/>
              <w:right w:val="single" w:sz="2" w:space="0" w:color="auto"/>
            </w:tcBorders>
          </w:tcPr>
          <w:p w14:paraId="460A2A6F" w14:textId="77777777" w:rsidR="009F4766" w:rsidRPr="00DE12A3" w:rsidRDefault="009F4766" w:rsidP="00C917D6">
            <w:pPr>
              <w:pStyle w:val="NormalLeft"/>
            </w:pPr>
            <w:r w:rsidRPr="00DE12A3">
              <w:t>63</w:t>
            </w:r>
          </w:p>
        </w:tc>
      </w:tr>
      <w:tr w:rsidR="00DE12A3" w:rsidRPr="00DE12A3" w14:paraId="09DE13C6" w14:textId="77777777" w:rsidTr="009F4766">
        <w:tc>
          <w:tcPr>
            <w:tcW w:w="1182" w:type="dxa"/>
            <w:tcBorders>
              <w:top w:val="single" w:sz="2" w:space="0" w:color="auto"/>
              <w:left w:val="single" w:sz="2" w:space="0" w:color="auto"/>
              <w:bottom w:val="single" w:sz="2" w:space="0" w:color="auto"/>
              <w:right w:val="single" w:sz="2" w:space="0" w:color="auto"/>
            </w:tcBorders>
          </w:tcPr>
          <w:p w14:paraId="2B0E58D8" w14:textId="77777777" w:rsidR="009F4766" w:rsidRPr="00DE12A3" w:rsidRDefault="009F4766" w:rsidP="00C917D6">
            <w:pPr>
              <w:pStyle w:val="NormalLeft"/>
            </w:pPr>
            <w:r w:rsidRPr="00DE12A3">
              <w:t>134</w:t>
            </w:r>
          </w:p>
        </w:tc>
        <w:tc>
          <w:tcPr>
            <w:tcW w:w="2489" w:type="dxa"/>
            <w:tcBorders>
              <w:top w:val="single" w:sz="2" w:space="0" w:color="auto"/>
              <w:left w:val="single" w:sz="2" w:space="0" w:color="auto"/>
              <w:bottom w:val="single" w:sz="2" w:space="0" w:color="auto"/>
              <w:right w:val="single" w:sz="2" w:space="0" w:color="auto"/>
            </w:tcBorders>
          </w:tcPr>
          <w:p w14:paraId="60732152" w14:textId="77777777" w:rsidR="009F4766" w:rsidRPr="00DE12A3" w:rsidRDefault="009F4766" w:rsidP="00C917D6">
            <w:pPr>
              <w:pStyle w:val="NormalLeft"/>
            </w:pPr>
            <w:r w:rsidRPr="00DE12A3">
              <w:t>102</w:t>
            </w:r>
          </w:p>
        </w:tc>
        <w:tc>
          <w:tcPr>
            <w:tcW w:w="2551" w:type="dxa"/>
            <w:tcBorders>
              <w:top w:val="single" w:sz="2" w:space="0" w:color="auto"/>
              <w:left w:val="single" w:sz="2" w:space="0" w:color="auto"/>
              <w:bottom w:val="single" w:sz="2" w:space="0" w:color="auto"/>
              <w:right w:val="single" w:sz="2" w:space="0" w:color="auto"/>
            </w:tcBorders>
          </w:tcPr>
          <w:p w14:paraId="3BD2323D" w14:textId="77777777" w:rsidR="009F4766" w:rsidRPr="00DE12A3" w:rsidRDefault="009F4766" w:rsidP="00C917D6">
            <w:pPr>
              <w:pStyle w:val="NormalLeft"/>
            </w:pPr>
            <w:r w:rsidRPr="00DE12A3">
              <w:t>54</w:t>
            </w:r>
          </w:p>
        </w:tc>
      </w:tr>
      <w:tr w:rsidR="00DE12A3" w:rsidRPr="00DE12A3" w14:paraId="1327D112" w14:textId="77777777" w:rsidTr="009F4766">
        <w:tc>
          <w:tcPr>
            <w:tcW w:w="1182" w:type="dxa"/>
            <w:tcBorders>
              <w:top w:val="single" w:sz="2" w:space="0" w:color="auto"/>
              <w:left w:val="single" w:sz="2" w:space="0" w:color="auto"/>
              <w:bottom w:val="single" w:sz="2" w:space="0" w:color="auto"/>
              <w:right w:val="single" w:sz="2" w:space="0" w:color="auto"/>
            </w:tcBorders>
          </w:tcPr>
          <w:p w14:paraId="27A93C97" w14:textId="77777777" w:rsidR="009F4766" w:rsidRPr="00DE12A3" w:rsidRDefault="009F4766" w:rsidP="00C917D6">
            <w:pPr>
              <w:pStyle w:val="NormalLeft"/>
            </w:pPr>
            <w:r w:rsidRPr="00DE12A3">
              <w:t>135</w:t>
            </w:r>
          </w:p>
        </w:tc>
        <w:tc>
          <w:tcPr>
            <w:tcW w:w="2489" w:type="dxa"/>
            <w:tcBorders>
              <w:top w:val="single" w:sz="2" w:space="0" w:color="auto"/>
              <w:left w:val="single" w:sz="2" w:space="0" w:color="auto"/>
              <w:bottom w:val="single" w:sz="2" w:space="0" w:color="auto"/>
              <w:right w:val="single" w:sz="2" w:space="0" w:color="auto"/>
            </w:tcBorders>
          </w:tcPr>
          <w:p w14:paraId="22864666" w14:textId="77777777" w:rsidR="009F4766" w:rsidRPr="00DE12A3" w:rsidRDefault="009F4766" w:rsidP="00C917D6">
            <w:pPr>
              <w:pStyle w:val="NormalLeft"/>
            </w:pPr>
            <w:r w:rsidRPr="00DE12A3">
              <w:t>102</w:t>
            </w:r>
          </w:p>
        </w:tc>
        <w:tc>
          <w:tcPr>
            <w:tcW w:w="2551" w:type="dxa"/>
            <w:tcBorders>
              <w:top w:val="single" w:sz="2" w:space="0" w:color="auto"/>
              <w:left w:val="single" w:sz="2" w:space="0" w:color="auto"/>
              <w:bottom w:val="single" w:sz="2" w:space="0" w:color="auto"/>
              <w:right w:val="single" w:sz="2" w:space="0" w:color="auto"/>
            </w:tcBorders>
          </w:tcPr>
          <w:p w14:paraId="14476CDB" w14:textId="77777777" w:rsidR="009F4766" w:rsidRPr="00DE12A3" w:rsidRDefault="009F4766" w:rsidP="00C917D6">
            <w:pPr>
              <w:pStyle w:val="NormalLeft"/>
            </w:pPr>
            <w:r w:rsidRPr="00DE12A3">
              <w:t>52</w:t>
            </w:r>
          </w:p>
        </w:tc>
      </w:tr>
      <w:tr w:rsidR="00DE12A3" w:rsidRPr="00DE12A3" w14:paraId="4A8A6EE2" w14:textId="77777777" w:rsidTr="009F4766">
        <w:tc>
          <w:tcPr>
            <w:tcW w:w="1182" w:type="dxa"/>
            <w:tcBorders>
              <w:top w:val="single" w:sz="2" w:space="0" w:color="auto"/>
              <w:left w:val="single" w:sz="2" w:space="0" w:color="auto"/>
              <w:bottom w:val="single" w:sz="2" w:space="0" w:color="auto"/>
              <w:right w:val="single" w:sz="2" w:space="0" w:color="auto"/>
            </w:tcBorders>
          </w:tcPr>
          <w:p w14:paraId="798C6C43" w14:textId="77777777" w:rsidR="009F4766" w:rsidRPr="00DE12A3" w:rsidRDefault="009F4766" w:rsidP="00C917D6">
            <w:pPr>
              <w:pStyle w:val="NormalLeft"/>
            </w:pPr>
            <w:r w:rsidRPr="00DE12A3">
              <w:t>136</w:t>
            </w:r>
          </w:p>
        </w:tc>
        <w:tc>
          <w:tcPr>
            <w:tcW w:w="2489" w:type="dxa"/>
            <w:tcBorders>
              <w:top w:val="single" w:sz="2" w:space="0" w:color="auto"/>
              <w:left w:val="single" w:sz="2" w:space="0" w:color="auto"/>
              <w:bottom w:val="single" w:sz="2" w:space="0" w:color="auto"/>
              <w:right w:val="single" w:sz="2" w:space="0" w:color="auto"/>
            </w:tcBorders>
          </w:tcPr>
          <w:p w14:paraId="1B22468B" w14:textId="77777777" w:rsidR="009F4766" w:rsidRPr="00DE12A3" w:rsidRDefault="009F4766" w:rsidP="00C917D6">
            <w:pPr>
              <w:pStyle w:val="NormalLeft"/>
            </w:pPr>
            <w:r w:rsidRPr="00DE12A3">
              <w:t>102</w:t>
            </w:r>
          </w:p>
        </w:tc>
        <w:tc>
          <w:tcPr>
            <w:tcW w:w="2551" w:type="dxa"/>
            <w:tcBorders>
              <w:top w:val="single" w:sz="2" w:space="0" w:color="auto"/>
              <w:left w:val="single" w:sz="2" w:space="0" w:color="auto"/>
              <w:bottom w:val="single" w:sz="2" w:space="0" w:color="auto"/>
              <w:right w:val="single" w:sz="2" w:space="0" w:color="auto"/>
            </w:tcBorders>
          </w:tcPr>
          <w:p w14:paraId="0CF9143F" w14:textId="77777777" w:rsidR="009F4766" w:rsidRPr="00DE12A3" w:rsidRDefault="009F4766" w:rsidP="00C917D6">
            <w:pPr>
              <w:pStyle w:val="NormalLeft"/>
            </w:pPr>
            <w:r w:rsidRPr="00DE12A3">
              <w:t>51</w:t>
            </w:r>
          </w:p>
        </w:tc>
      </w:tr>
      <w:tr w:rsidR="00DE12A3" w:rsidRPr="00DE12A3" w14:paraId="5E1A1EBA" w14:textId="77777777" w:rsidTr="009F4766">
        <w:tc>
          <w:tcPr>
            <w:tcW w:w="1182" w:type="dxa"/>
            <w:tcBorders>
              <w:top w:val="single" w:sz="2" w:space="0" w:color="auto"/>
              <w:left w:val="single" w:sz="2" w:space="0" w:color="auto"/>
              <w:bottom w:val="single" w:sz="2" w:space="0" w:color="auto"/>
              <w:right w:val="single" w:sz="2" w:space="0" w:color="auto"/>
            </w:tcBorders>
          </w:tcPr>
          <w:p w14:paraId="3BCC9E35" w14:textId="77777777" w:rsidR="009F4766" w:rsidRPr="00DE12A3" w:rsidRDefault="009F4766" w:rsidP="00C917D6">
            <w:pPr>
              <w:pStyle w:val="NormalLeft"/>
            </w:pPr>
            <w:r w:rsidRPr="00DE12A3">
              <w:t>137</w:t>
            </w:r>
          </w:p>
        </w:tc>
        <w:tc>
          <w:tcPr>
            <w:tcW w:w="2489" w:type="dxa"/>
            <w:tcBorders>
              <w:top w:val="single" w:sz="2" w:space="0" w:color="auto"/>
              <w:left w:val="single" w:sz="2" w:space="0" w:color="auto"/>
              <w:bottom w:val="single" w:sz="2" w:space="0" w:color="auto"/>
              <w:right w:val="single" w:sz="2" w:space="0" w:color="auto"/>
            </w:tcBorders>
          </w:tcPr>
          <w:p w14:paraId="33DE2362" w14:textId="77777777" w:rsidR="009F4766" w:rsidRPr="00DE12A3" w:rsidRDefault="009F4766" w:rsidP="00C917D6">
            <w:pPr>
              <w:pStyle w:val="NormalLeft"/>
            </w:pPr>
            <w:r w:rsidRPr="00DE12A3">
              <w:t>103</w:t>
            </w:r>
          </w:p>
        </w:tc>
        <w:tc>
          <w:tcPr>
            <w:tcW w:w="2551" w:type="dxa"/>
            <w:tcBorders>
              <w:top w:val="single" w:sz="2" w:space="0" w:color="auto"/>
              <w:left w:val="single" w:sz="2" w:space="0" w:color="auto"/>
              <w:bottom w:val="single" w:sz="2" w:space="0" w:color="auto"/>
              <w:right w:val="single" w:sz="2" w:space="0" w:color="auto"/>
            </w:tcBorders>
          </w:tcPr>
          <w:p w14:paraId="6C002F0E" w14:textId="77777777" w:rsidR="009F4766" w:rsidRPr="00DE12A3" w:rsidRDefault="009F4766" w:rsidP="00C917D6">
            <w:pPr>
              <w:pStyle w:val="NormalLeft"/>
            </w:pPr>
            <w:r w:rsidRPr="00DE12A3">
              <w:t>40</w:t>
            </w:r>
          </w:p>
        </w:tc>
      </w:tr>
      <w:tr w:rsidR="00DE12A3" w:rsidRPr="00DE12A3" w14:paraId="70A497BA" w14:textId="77777777" w:rsidTr="009F4766">
        <w:tc>
          <w:tcPr>
            <w:tcW w:w="1182" w:type="dxa"/>
            <w:tcBorders>
              <w:top w:val="single" w:sz="2" w:space="0" w:color="auto"/>
              <w:left w:val="single" w:sz="2" w:space="0" w:color="auto"/>
              <w:bottom w:val="single" w:sz="2" w:space="0" w:color="auto"/>
              <w:right w:val="single" w:sz="2" w:space="0" w:color="auto"/>
            </w:tcBorders>
          </w:tcPr>
          <w:p w14:paraId="2B199C1D" w14:textId="77777777" w:rsidR="009F4766" w:rsidRPr="00DE12A3" w:rsidRDefault="009F4766" w:rsidP="00C917D6">
            <w:pPr>
              <w:pStyle w:val="NormalLeft"/>
            </w:pPr>
            <w:r w:rsidRPr="00DE12A3">
              <w:t>138</w:t>
            </w:r>
          </w:p>
        </w:tc>
        <w:tc>
          <w:tcPr>
            <w:tcW w:w="2489" w:type="dxa"/>
            <w:tcBorders>
              <w:top w:val="single" w:sz="2" w:space="0" w:color="auto"/>
              <w:left w:val="single" w:sz="2" w:space="0" w:color="auto"/>
              <w:bottom w:val="single" w:sz="2" w:space="0" w:color="auto"/>
              <w:right w:val="single" w:sz="2" w:space="0" w:color="auto"/>
            </w:tcBorders>
          </w:tcPr>
          <w:p w14:paraId="1086D683" w14:textId="77777777" w:rsidR="009F4766" w:rsidRPr="00DE12A3" w:rsidRDefault="009F4766" w:rsidP="00C917D6">
            <w:pPr>
              <w:pStyle w:val="NormalLeft"/>
            </w:pPr>
            <w:r w:rsidRPr="00DE12A3">
              <w:t>104</w:t>
            </w:r>
          </w:p>
        </w:tc>
        <w:tc>
          <w:tcPr>
            <w:tcW w:w="2551" w:type="dxa"/>
            <w:tcBorders>
              <w:top w:val="single" w:sz="2" w:space="0" w:color="auto"/>
              <w:left w:val="single" w:sz="2" w:space="0" w:color="auto"/>
              <w:bottom w:val="single" w:sz="2" w:space="0" w:color="auto"/>
              <w:right w:val="single" w:sz="2" w:space="0" w:color="auto"/>
            </w:tcBorders>
          </w:tcPr>
          <w:p w14:paraId="1FE00821" w14:textId="77777777" w:rsidR="009F4766" w:rsidRPr="00DE12A3" w:rsidRDefault="009F4766" w:rsidP="00C917D6">
            <w:pPr>
              <w:pStyle w:val="NormalLeft"/>
            </w:pPr>
            <w:r w:rsidRPr="00DE12A3">
              <w:t>34</w:t>
            </w:r>
          </w:p>
        </w:tc>
      </w:tr>
      <w:tr w:rsidR="00DE12A3" w:rsidRPr="00DE12A3" w14:paraId="5853392A" w14:textId="77777777" w:rsidTr="009F4766">
        <w:tc>
          <w:tcPr>
            <w:tcW w:w="1182" w:type="dxa"/>
            <w:tcBorders>
              <w:top w:val="single" w:sz="2" w:space="0" w:color="auto"/>
              <w:left w:val="single" w:sz="2" w:space="0" w:color="auto"/>
              <w:bottom w:val="single" w:sz="2" w:space="0" w:color="auto"/>
              <w:right w:val="single" w:sz="2" w:space="0" w:color="auto"/>
            </w:tcBorders>
          </w:tcPr>
          <w:p w14:paraId="755DAE2F" w14:textId="77777777" w:rsidR="009F4766" w:rsidRPr="00DE12A3" w:rsidRDefault="009F4766" w:rsidP="00C917D6">
            <w:pPr>
              <w:pStyle w:val="NormalLeft"/>
            </w:pPr>
            <w:r w:rsidRPr="00DE12A3">
              <w:t>139</w:t>
            </w:r>
          </w:p>
        </w:tc>
        <w:tc>
          <w:tcPr>
            <w:tcW w:w="2489" w:type="dxa"/>
            <w:tcBorders>
              <w:top w:val="single" w:sz="2" w:space="0" w:color="auto"/>
              <w:left w:val="single" w:sz="2" w:space="0" w:color="auto"/>
              <w:bottom w:val="single" w:sz="2" w:space="0" w:color="auto"/>
              <w:right w:val="single" w:sz="2" w:space="0" w:color="auto"/>
            </w:tcBorders>
          </w:tcPr>
          <w:p w14:paraId="25F02568" w14:textId="77777777" w:rsidR="009F4766" w:rsidRPr="00DE12A3" w:rsidRDefault="009F4766" w:rsidP="00C917D6">
            <w:pPr>
              <w:pStyle w:val="NormalLeft"/>
            </w:pPr>
            <w:r w:rsidRPr="00DE12A3">
              <w:t>102</w:t>
            </w:r>
          </w:p>
        </w:tc>
        <w:tc>
          <w:tcPr>
            <w:tcW w:w="2551" w:type="dxa"/>
            <w:tcBorders>
              <w:top w:val="single" w:sz="2" w:space="0" w:color="auto"/>
              <w:left w:val="single" w:sz="2" w:space="0" w:color="auto"/>
              <w:bottom w:val="single" w:sz="2" w:space="0" w:color="auto"/>
              <w:right w:val="single" w:sz="2" w:space="0" w:color="auto"/>
            </w:tcBorders>
          </w:tcPr>
          <w:p w14:paraId="08D7C2A7" w14:textId="77777777" w:rsidR="009F4766" w:rsidRPr="00DE12A3" w:rsidRDefault="009F4766" w:rsidP="00C917D6">
            <w:pPr>
              <w:pStyle w:val="NormalLeft"/>
            </w:pPr>
            <w:r w:rsidRPr="00DE12A3">
              <w:t>36</w:t>
            </w:r>
          </w:p>
        </w:tc>
      </w:tr>
      <w:tr w:rsidR="00DE12A3" w:rsidRPr="00DE12A3" w14:paraId="017521A2" w14:textId="77777777" w:rsidTr="009F4766">
        <w:tc>
          <w:tcPr>
            <w:tcW w:w="1182" w:type="dxa"/>
            <w:tcBorders>
              <w:top w:val="single" w:sz="2" w:space="0" w:color="auto"/>
              <w:left w:val="single" w:sz="2" w:space="0" w:color="auto"/>
              <w:bottom w:val="single" w:sz="2" w:space="0" w:color="auto"/>
              <w:right w:val="single" w:sz="2" w:space="0" w:color="auto"/>
            </w:tcBorders>
          </w:tcPr>
          <w:p w14:paraId="0BC4D874" w14:textId="77777777" w:rsidR="009F4766" w:rsidRPr="00DE12A3" w:rsidRDefault="009F4766" w:rsidP="00C917D6">
            <w:pPr>
              <w:pStyle w:val="NormalLeft"/>
            </w:pPr>
            <w:r w:rsidRPr="00DE12A3">
              <w:lastRenderedPageBreak/>
              <w:t>140</w:t>
            </w:r>
          </w:p>
        </w:tc>
        <w:tc>
          <w:tcPr>
            <w:tcW w:w="2489" w:type="dxa"/>
            <w:tcBorders>
              <w:top w:val="single" w:sz="2" w:space="0" w:color="auto"/>
              <w:left w:val="single" w:sz="2" w:space="0" w:color="auto"/>
              <w:bottom w:val="single" w:sz="2" w:space="0" w:color="auto"/>
              <w:right w:val="single" w:sz="2" w:space="0" w:color="auto"/>
            </w:tcBorders>
          </w:tcPr>
          <w:p w14:paraId="19B0859A" w14:textId="77777777" w:rsidR="009F4766" w:rsidRPr="00DE12A3" w:rsidRDefault="009F4766" w:rsidP="00C917D6">
            <w:pPr>
              <w:pStyle w:val="NormalLeft"/>
            </w:pPr>
            <w:r w:rsidRPr="00DE12A3">
              <w:t>104</w:t>
            </w:r>
          </w:p>
        </w:tc>
        <w:tc>
          <w:tcPr>
            <w:tcW w:w="2551" w:type="dxa"/>
            <w:tcBorders>
              <w:top w:val="single" w:sz="2" w:space="0" w:color="auto"/>
              <w:left w:val="single" w:sz="2" w:space="0" w:color="auto"/>
              <w:bottom w:val="single" w:sz="2" w:space="0" w:color="auto"/>
              <w:right w:val="single" w:sz="2" w:space="0" w:color="auto"/>
            </w:tcBorders>
          </w:tcPr>
          <w:p w14:paraId="240225E9" w14:textId="77777777" w:rsidR="009F4766" w:rsidRPr="00DE12A3" w:rsidRDefault="009F4766" w:rsidP="00C917D6">
            <w:pPr>
              <w:pStyle w:val="NormalLeft"/>
            </w:pPr>
            <w:r w:rsidRPr="00DE12A3">
              <w:t>44</w:t>
            </w:r>
          </w:p>
        </w:tc>
      </w:tr>
      <w:tr w:rsidR="00DE12A3" w:rsidRPr="00DE12A3" w14:paraId="2C43FA4B" w14:textId="77777777" w:rsidTr="009F4766">
        <w:tc>
          <w:tcPr>
            <w:tcW w:w="1182" w:type="dxa"/>
            <w:tcBorders>
              <w:top w:val="single" w:sz="2" w:space="0" w:color="auto"/>
              <w:left w:val="single" w:sz="2" w:space="0" w:color="auto"/>
              <w:bottom w:val="single" w:sz="2" w:space="0" w:color="auto"/>
              <w:right w:val="single" w:sz="2" w:space="0" w:color="auto"/>
            </w:tcBorders>
          </w:tcPr>
          <w:p w14:paraId="0597E9FE" w14:textId="77777777" w:rsidR="009F4766" w:rsidRPr="00DE12A3" w:rsidRDefault="009F4766" w:rsidP="00C917D6">
            <w:pPr>
              <w:pStyle w:val="NormalLeft"/>
            </w:pPr>
            <w:r w:rsidRPr="00DE12A3">
              <w:t>141</w:t>
            </w:r>
          </w:p>
        </w:tc>
        <w:tc>
          <w:tcPr>
            <w:tcW w:w="2489" w:type="dxa"/>
            <w:tcBorders>
              <w:top w:val="single" w:sz="2" w:space="0" w:color="auto"/>
              <w:left w:val="single" w:sz="2" w:space="0" w:color="auto"/>
              <w:bottom w:val="single" w:sz="2" w:space="0" w:color="auto"/>
              <w:right w:val="single" w:sz="2" w:space="0" w:color="auto"/>
            </w:tcBorders>
          </w:tcPr>
          <w:p w14:paraId="2FF87A36" w14:textId="77777777" w:rsidR="009F4766" w:rsidRPr="00DE12A3" w:rsidRDefault="009F4766" w:rsidP="00C917D6">
            <w:pPr>
              <w:pStyle w:val="NormalLeft"/>
            </w:pPr>
            <w:r w:rsidRPr="00DE12A3">
              <w:t>103</w:t>
            </w:r>
          </w:p>
        </w:tc>
        <w:tc>
          <w:tcPr>
            <w:tcW w:w="2551" w:type="dxa"/>
            <w:tcBorders>
              <w:top w:val="single" w:sz="2" w:space="0" w:color="auto"/>
              <w:left w:val="single" w:sz="2" w:space="0" w:color="auto"/>
              <w:bottom w:val="single" w:sz="2" w:space="0" w:color="auto"/>
              <w:right w:val="single" w:sz="2" w:space="0" w:color="auto"/>
            </w:tcBorders>
          </w:tcPr>
          <w:p w14:paraId="6A752CC9" w14:textId="77777777" w:rsidR="009F4766" w:rsidRPr="00DE12A3" w:rsidRDefault="009F4766" w:rsidP="00C917D6">
            <w:pPr>
              <w:pStyle w:val="NormalLeft"/>
            </w:pPr>
            <w:r w:rsidRPr="00DE12A3">
              <w:t>44</w:t>
            </w:r>
          </w:p>
        </w:tc>
      </w:tr>
      <w:tr w:rsidR="00DE12A3" w:rsidRPr="00DE12A3" w14:paraId="63BA909B" w14:textId="77777777" w:rsidTr="009F4766">
        <w:tc>
          <w:tcPr>
            <w:tcW w:w="1182" w:type="dxa"/>
            <w:tcBorders>
              <w:top w:val="single" w:sz="2" w:space="0" w:color="auto"/>
              <w:left w:val="single" w:sz="2" w:space="0" w:color="auto"/>
              <w:bottom w:val="single" w:sz="2" w:space="0" w:color="auto"/>
              <w:right w:val="single" w:sz="2" w:space="0" w:color="auto"/>
            </w:tcBorders>
          </w:tcPr>
          <w:p w14:paraId="46E5D42E" w14:textId="77777777" w:rsidR="009F4766" w:rsidRPr="00DE12A3" w:rsidRDefault="009F4766" w:rsidP="00C917D6">
            <w:pPr>
              <w:pStyle w:val="NormalLeft"/>
            </w:pPr>
            <w:r w:rsidRPr="00DE12A3">
              <w:t>142</w:t>
            </w:r>
          </w:p>
        </w:tc>
        <w:tc>
          <w:tcPr>
            <w:tcW w:w="2489" w:type="dxa"/>
            <w:tcBorders>
              <w:top w:val="single" w:sz="2" w:space="0" w:color="auto"/>
              <w:left w:val="single" w:sz="2" w:space="0" w:color="auto"/>
              <w:bottom w:val="single" w:sz="2" w:space="0" w:color="auto"/>
              <w:right w:val="single" w:sz="2" w:space="0" w:color="auto"/>
            </w:tcBorders>
          </w:tcPr>
          <w:p w14:paraId="7A09C6BE" w14:textId="77777777" w:rsidR="009F4766" w:rsidRPr="00DE12A3" w:rsidRDefault="009F4766" w:rsidP="00C917D6">
            <w:pPr>
              <w:pStyle w:val="NormalLeft"/>
            </w:pPr>
            <w:r w:rsidRPr="00DE12A3">
              <w:t>104</w:t>
            </w:r>
          </w:p>
        </w:tc>
        <w:tc>
          <w:tcPr>
            <w:tcW w:w="2551" w:type="dxa"/>
            <w:tcBorders>
              <w:top w:val="single" w:sz="2" w:space="0" w:color="auto"/>
              <w:left w:val="single" w:sz="2" w:space="0" w:color="auto"/>
              <w:bottom w:val="single" w:sz="2" w:space="0" w:color="auto"/>
              <w:right w:val="single" w:sz="2" w:space="0" w:color="auto"/>
            </w:tcBorders>
          </w:tcPr>
          <w:p w14:paraId="641A65A6" w14:textId="77777777" w:rsidR="009F4766" w:rsidRPr="00DE12A3" w:rsidRDefault="009F4766" w:rsidP="00C917D6">
            <w:pPr>
              <w:pStyle w:val="NormalLeft"/>
            </w:pPr>
            <w:r w:rsidRPr="00DE12A3">
              <w:t>33</w:t>
            </w:r>
          </w:p>
        </w:tc>
      </w:tr>
      <w:tr w:rsidR="00DE12A3" w:rsidRPr="00DE12A3" w14:paraId="6DE64F66" w14:textId="77777777" w:rsidTr="009F4766">
        <w:tc>
          <w:tcPr>
            <w:tcW w:w="1182" w:type="dxa"/>
            <w:tcBorders>
              <w:top w:val="single" w:sz="2" w:space="0" w:color="auto"/>
              <w:left w:val="single" w:sz="2" w:space="0" w:color="auto"/>
              <w:bottom w:val="single" w:sz="2" w:space="0" w:color="auto"/>
              <w:right w:val="single" w:sz="2" w:space="0" w:color="auto"/>
            </w:tcBorders>
          </w:tcPr>
          <w:p w14:paraId="074A7B74" w14:textId="77777777" w:rsidR="009F4766" w:rsidRPr="00DE12A3" w:rsidRDefault="009F4766" w:rsidP="00C917D6">
            <w:pPr>
              <w:pStyle w:val="NormalLeft"/>
            </w:pPr>
            <w:r w:rsidRPr="00DE12A3">
              <w:t>143</w:t>
            </w:r>
          </w:p>
        </w:tc>
        <w:tc>
          <w:tcPr>
            <w:tcW w:w="2489" w:type="dxa"/>
            <w:tcBorders>
              <w:top w:val="single" w:sz="2" w:space="0" w:color="auto"/>
              <w:left w:val="single" w:sz="2" w:space="0" w:color="auto"/>
              <w:bottom w:val="single" w:sz="2" w:space="0" w:color="auto"/>
              <w:right w:val="single" w:sz="2" w:space="0" w:color="auto"/>
            </w:tcBorders>
          </w:tcPr>
          <w:p w14:paraId="4F6ECF41" w14:textId="77777777" w:rsidR="009F4766" w:rsidRPr="00DE12A3" w:rsidRDefault="009F4766" w:rsidP="00C917D6">
            <w:pPr>
              <w:pStyle w:val="NormalLeft"/>
            </w:pPr>
            <w:r w:rsidRPr="00DE12A3">
              <w:t>102</w:t>
            </w:r>
          </w:p>
        </w:tc>
        <w:tc>
          <w:tcPr>
            <w:tcW w:w="2551" w:type="dxa"/>
            <w:tcBorders>
              <w:top w:val="single" w:sz="2" w:space="0" w:color="auto"/>
              <w:left w:val="single" w:sz="2" w:space="0" w:color="auto"/>
              <w:bottom w:val="single" w:sz="2" w:space="0" w:color="auto"/>
              <w:right w:val="single" w:sz="2" w:space="0" w:color="auto"/>
            </w:tcBorders>
          </w:tcPr>
          <w:p w14:paraId="6911E0B4" w14:textId="77777777" w:rsidR="009F4766" w:rsidRPr="00DE12A3" w:rsidRDefault="009F4766" w:rsidP="00C917D6">
            <w:pPr>
              <w:pStyle w:val="NormalLeft"/>
            </w:pPr>
            <w:r w:rsidRPr="00DE12A3">
              <w:t>27</w:t>
            </w:r>
          </w:p>
        </w:tc>
      </w:tr>
      <w:tr w:rsidR="00DE12A3" w:rsidRPr="00DE12A3" w14:paraId="1D8A058B" w14:textId="77777777" w:rsidTr="009F4766">
        <w:tc>
          <w:tcPr>
            <w:tcW w:w="1182" w:type="dxa"/>
            <w:tcBorders>
              <w:top w:val="single" w:sz="2" w:space="0" w:color="auto"/>
              <w:left w:val="single" w:sz="2" w:space="0" w:color="auto"/>
              <w:bottom w:val="single" w:sz="2" w:space="0" w:color="auto"/>
              <w:right w:val="single" w:sz="2" w:space="0" w:color="auto"/>
            </w:tcBorders>
          </w:tcPr>
          <w:p w14:paraId="3780FF7B" w14:textId="77777777" w:rsidR="009F4766" w:rsidRPr="00DE12A3" w:rsidRDefault="009F4766" w:rsidP="00C917D6">
            <w:pPr>
              <w:pStyle w:val="NormalLeft"/>
            </w:pPr>
            <w:r w:rsidRPr="00DE12A3">
              <w:t>144</w:t>
            </w:r>
          </w:p>
        </w:tc>
        <w:tc>
          <w:tcPr>
            <w:tcW w:w="2489" w:type="dxa"/>
            <w:tcBorders>
              <w:top w:val="single" w:sz="2" w:space="0" w:color="auto"/>
              <w:left w:val="single" w:sz="2" w:space="0" w:color="auto"/>
              <w:bottom w:val="single" w:sz="2" w:space="0" w:color="auto"/>
              <w:right w:val="single" w:sz="2" w:space="0" w:color="auto"/>
            </w:tcBorders>
          </w:tcPr>
          <w:p w14:paraId="6AD5DC3C" w14:textId="77777777" w:rsidR="009F4766" w:rsidRPr="00DE12A3" w:rsidRDefault="009F4766" w:rsidP="00C917D6">
            <w:pPr>
              <w:pStyle w:val="NormalLeft"/>
            </w:pPr>
            <w:r w:rsidRPr="00DE12A3">
              <w:t>103</w:t>
            </w:r>
          </w:p>
        </w:tc>
        <w:tc>
          <w:tcPr>
            <w:tcW w:w="2551" w:type="dxa"/>
            <w:tcBorders>
              <w:top w:val="single" w:sz="2" w:space="0" w:color="auto"/>
              <w:left w:val="single" w:sz="2" w:space="0" w:color="auto"/>
              <w:bottom w:val="single" w:sz="2" w:space="0" w:color="auto"/>
              <w:right w:val="single" w:sz="2" w:space="0" w:color="auto"/>
            </w:tcBorders>
          </w:tcPr>
          <w:p w14:paraId="296EDFBC" w14:textId="77777777" w:rsidR="009F4766" w:rsidRPr="00DE12A3" w:rsidRDefault="009F4766" w:rsidP="00C917D6">
            <w:pPr>
              <w:pStyle w:val="NormalLeft"/>
            </w:pPr>
            <w:r w:rsidRPr="00DE12A3">
              <w:t>26</w:t>
            </w:r>
          </w:p>
        </w:tc>
      </w:tr>
      <w:tr w:rsidR="00DE12A3" w:rsidRPr="00DE12A3" w14:paraId="076A7790" w14:textId="77777777" w:rsidTr="009F4766">
        <w:tc>
          <w:tcPr>
            <w:tcW w:w="1182" w:type="dxa"/>
            <w:tcBorders>
              <w:top w:val="single" w:sz="2" w:space="0" w:color="auto"/>
              <w:left w:val="single" w:sz="2" w:space="0" w:color="auto"/>
              <w:bottom w:val="single" w:sz="2" w:space="0" w:color="auto"/>
              <w:right w:val="single" w:sz="2" w:space="0" w:color="auto"/>
            </w:tcBorders>
          </w:tcPr>
          <w:p w14:paraId="53035B98" w14:textId="77777777" w:rsidR="009F4766" w:rsidRPr="00DE12A3" w:rsidRDefault="009F4766" w:rsidP="00C917D6">
            <w:pPr>
              <w:pStyle w:val="NormalLeft"/>
            </w:pPr>
            <w:r w:rsidRPr="00DE12A3">
              <w:t>145</w:t>
            </w:r>
          </w:p>
        </w:tc>
        <w:tc>
          <w:tcPr>
            <w:tcW w:w="2489" w:type="dxa"/>
            <w:tcBorders>
              <w:top w:val="single" w:sz="2" w:space="0" w:color="auto"/>
              <w:left w:val="single" w:sz="2" w:space="0" w:color="auto"/>
              <w:bottom w:val="single" w:sz="2" w:space="0" w:color="auto"/>
              <w:right w:val="single" w:sz="2" w:space="0" w:color="auto"/>
            </w:tcBorders>
          </w:tcPr>
          <w:p w14:paraId="42DDB59A" w14:textId="77777777" w:rsidR="009F4766" w:rsidRPr="00DE12A3" w:rsidRDefault="009F4766" w:rsidP="00C917D6">
            <w:pPr>
              <w:pStyle w:val="NormalLeft"/>
            </w:pPr>
            <w:r w:rsidRPr="00DE12A3">
              <w:t>79</w:t>
            </w:r>
          </w:p>
        </w:tc>
        <w:tc>
          <w:tcPr>
            <w:tcW w:w="2551" w:type="dxa"/>
            <w:tcBorders>
              <w:top w:val="single" w:sz="2" w:space="0" w:color="auto"/>
              <w:left w:val="single" w:sz="2" w:space="0" w:color="auto"/>
              <w:bottom w:val="single" w:sz="2" w:space="0" w:color="auto"/>
              <w:right w:val="single" w:sz="2" w:space="0" w:color="auto"/>
            </w:tcBorders>
          </w:tcPr>
          <w:p w14:paraId="4E8CB78D" w14:textId="77777777" w:rsidR="009F4766" w:rsidRPr="00DE12A3" w:rsidRDefault="009F4766" w:rsidP="00C917D6">
            <w:pPr>
              <w:pStyle w:val="NormalLeft"/>
            </w:pPr>
            <w:r w:rsidRPr="00DE12A3">
              <w:t>53</w:t>
            </w:r>
          </w:p>
        </w:tc>
      </w:tr>
      <w:tr w:rsidR="00DE12A3" w:rsidRPr="00DE12A3" w14:paraId="524FF524" w14:textId="77777777" w:rsidTr="009F4766">
        <w:tc>
          <w:tcPr>
            <w:tcW w:w="1182" w:type="dxa"/>
            <w:tcBorders>
              <w:top w:val="single" w:sz="2" w:space="0" w:color="auto"/>
              <w:left w:val="single" w:sz="2" w:space="0" w:color="auto"/>
              <w:bottom w:val="single" w:sz="2" w:space="0" w:color="auto"/>
              <w:right w:val="single" w:sz="2" w:space="0" w:color="auto"/>
            </w:tcBorders>
          </w:tcPr>
          <w:p w14:paraId="1A7992E7" w14:textId="77777777" w:rsidR="009F4766" w:rsidRPr="00DE12A3" w:rsidRDefault="009F4766" w:rsidP="00C917D6">
            <w:pPr>
              <w:pStyle w:val="NormalLeft"/>
            </w:pPr>
            <w:r w:rsidRPr="00DE12A3">
              <w:t>146</w:t>
            </w:r>
          </w:p>
        </w:tc>
        <w:tc>
          <w:tcPr>
            <w:tcW w:w="2489" w:type="dxa"/>
            <w:tcBorders>
              <w:top w:val="single" w:sz="2" w:space="0" w:color="auto"/>
              <w:left w:val="single" w:sz="2" w:space="0" w:color="auto"/>
              <w:bottom w:val="single" w:sz="2" w:space="0" w:color="auto"/>
              <w:right w:val="single" w:sz="2" w:space="0" w:color="auto"/>
            </w:tcBorders>
          </w:tcPr>
          <w:p w14:paraId="45055540" w14:textId="77777777" w:rsidR="009F4766" w:rsidRPr="00DE12A3" w:rsidRDefault="009F4766" w:rsidP="00C917D6">
            <w:pPr>
              <w:pStyle w:val="NormalLeft"/>
            </w:pPr>
            <w:r w:rsidRPr="00DE12A3">
              <w:t>51</w:t>
            </w:r>
          </w:p>
        </w:tc>
        <w:tc>
          <w:tcPr>
            <w:tcW w:w="2551" w:type="dxa"/>
            <w:tcBorders>
              <w:top w:val="single" w:sz="2" w:space="0" w:color="auto"/>
              <w:left w:val="single" w:sz="2" w:space="0" w:color="auto"/>
              <w:bottom w:val="single" w:sz="2" w:space="0" w:color="auto"/>
              <w:right w:val="single" w:sz="2" w:space="0" w:color="auto"/>
            </w:tcBorders>
          </w:tcPr>
          <w:p w14:paraId="78A44DF7" w14:textId="77777777" w:rsidR="009F4766" w:rsidRPr="00DE12A3" w:rsidRDefault="009F4766" w:rsidP="00C917D6">
            <w:pPr>
              <w:pStyle w:val="NormalLeft"/>
            </w:pPr>
            <w:r w:rsidRPr="00DE12A3">
              <w:t>37</w:t>
            </w:r>
          </w:p>
        </w:tc>
      </w:tr>
      <w:tr w:rsidR="00DE12A3" w:rsidRPr="00DE12A3" w14:paraId="51BAC8A5" w14:textId="77777777" w:rsidTr="009F4766">
        <w:tc>
          <w:tcPr>
            <w:tcW w:w="1182" w:type="dxa"/>
            <w:tcBorders>
              <w:top w:val="single" w:sz="2" w:space="0" w:color="auto"/>
              <w:left w:val="single" w:sz="2" w:space="0" w:color="auto"/>
              <w:bottom w:val="single" w:sz="2" w:space="0" w:color="auto"/>
              <w:right w:val="single" w:sz="2" w:space="0" w:color="auto"/>
            </w:tcBorders>
          </w:tcPr>
          <w:p w14:paraId="607C3C05" w14:textId="77777777" w:rsidR="009F4766" w:rsidRPr="00DE12A3" w:rsidRDefault="009F4766" w:rsidP="00C917D6">
            <w:pPr>
              <w:pStyle w:val="NormalLeft"/>
            </w:pPr>
            <w:r w:rsidRPr="00DE12A3">
              <w:t>147</w:t>
            </w:r>
          </w:p>
        </w:tc>
        <w:tc>
          <w:tcPr>
            <w:tcW w:w="2489" w:type="dxa"/>
            <w:tcBorders>
              <w:top w:val="single" w:sz="2" w:space="0" w:color="auto"/>
              <w:left w:val="single" w:sz="2" w:space="0" w:color="auto"/>
              <w:bottom w:val="single" w:sz="2" w:space="0" w:color="auto"/>
              <w:right w:val="single" w:sz="2" w:space="0" w:color="auto"/>
            </w:tcBorders>
          </w:tcPr>
          <w:p w14:paraId="191772C5" w14:textId="77777777" w:rsidR="009F4766" w:rsidRPr="00DE12A3" w:rsidRDefault="009F4766" w:rsidP="00C917D6">
            <w:pPr>
              <w:pStyle w:val="NormalLeft"/>
            </w:pPr>
            <w:r w:rsidRPr="00DE12A3">
              <w:t>24</w:t>
            </w:r>
          </w:p>
        </w:tc>
        <w:tc>
          <w:tcPr>
            <w:tcW w:w="2551" w:type="dxa"/>
            <w:tcBorders>
              <w:top w:val="single" w:sz="2" w:space="0" w:color="auto"/>
              <w:left w:val="single" w:sz="2" w:space="0" w:color="auto"/>
              <w:bottom w:val="single" w:sz="2" w:space="0" w:color="auto"/>
              <w:right w:val="single" w:sz="2" w:space="0" w:color="auto"/>
            </w:tcBorders>
          </w:tcPr>
          <w:p w14:paraId="339AB912" w14:textId="77777777" w:rsidR="009F4766" w:rsidRPr="00DE12A3" w:rsidRDefault="009F4766" w:rsidP="00C917D6">
            <w:pPr>
              <w:pStyle w:val="NormalLeft"/>
            </w:pPr>
            <w:r w:rsidRPr="00DE12A3">
              <w:t>23</w:t>
            </w:r>
          </w:p>
        </w:tc>
      </w:tr>
      <w:tr w:rsidR="00DE12A3" w:rsidRPr="00DE12A3" w14:paraId="752BD0AE" w14:textId="77777777" w:rsidTr="009F4766">
        <w:tc>
          <w:tcPr>
            <w:tcW w:w="1182" w:type="dxa"/>
            <w:tcBorders>
              <w:top w:val="single" w:sz="2" w:space="0" w:color="auto"/>
              <w:left w:val="single" w:sz="2" w:space="0" w:color="auto"/>
              <w:bottom w:val="single" w:sz="2" w:space="0" w:color="auto"/>
              <w:right w:val="single" w:sz="2" w:space="0" w:color="auto"/>
            </w:tcBorders>
          </w:tcPr>
          <w:p w14:paraId="05B04B5F" w14:textId="77777777" w:rsidR="009F4766" w:rsidRPr="00DE12A3" w:rsidRDefault="009F4766" w:rsidP="00C917D6">
            <w:pPr>
              <w:pStyle w:val="NormalLeft"/>
            </w:pPr>
            <w:r w:rsidRPr="00DE12A3">
              <w:t>148</w:t>
            </w:r>
          </w:p>
        </w:tc>
        <w:tc>
          <w:tcPr>
            <w:tcW w:w="2489" w:type="dxa"/>
            <w:tcBorders>
              <w:top w:val="single" w:sz="2" w:space="0" w:color="auto"/>
              <w:left w:val="single" w:sz="2" w:space="0" w:color="auto"/>
              <w:bottom w:val="single" w:sz="2" w:space="0" w:color="auto"/>
              <w:right w:val="single" w:sz="2" w:space="0" w:color="auto"/>
            </w:tcBorders>
          </w:tcPr>
          <w:p w14:paraId="57481E6D" w14:textId="77777777" w:rsidR="009F4766" w:rsidRPr="00DE12A3" w:rsidRDefault="009F4766" w:rsidP="00C917D6">
            <w:pPr>
              <w:pStyle w:val="NormalLeft"/>
            </w:pPr>
            <w:r w:rsidRPr="00DE12A3">
              <w:t>13</w:t>
            </w:r>
          </w:p>
        </w:tc>
        <w:tc>
          <w:tcPr>
            <w:tcW w:w="2551" w:type="dxa"/>
            <w:tcBorders>
              <w:top w:val="single" w:sz="2" w:space="0" w:color="auto"/>
              <w:left w:val="single" w:sz="2" w:space="0" w:color="auto"/>
              <w:bottom w:val="single" w:sz="2" w:space="0" w:color="auto"/>
              <w:right w:val="single" w:sz="2" w:space="0" w:color="auto"/>
            </w:tcBorders>
          </w:tcPr>
          <w:p w14:paraId="04C42E2B" w14:textId="77777777" w:rsidR="009F4766" w:rsidRPr="00DE12A3" w:rsidRDefault="009F4766" w:rsidP="00C917D6">
            <w:pPr>
              <w:pStyle w:val="NormalLeft"/>
            </w:pPr>
            <w:r w:rsidRPr="00DE12A3">
              <w:t>33</w:t>
            </w:r>
          </w:p>
        </w:tc>
      </w:tr>
      <w:tr w:rsidR="00DE12A3" w:rsidRPr="00DE12A3" w14:paraId="0ADAB6B6" w14:textId="77777777" w:rsidTr="009F4766">
        <w:tc>
          <w:tcPr>
            <w:tcW w:w="1182" w:type="dxa"/>
            <w:tcBorders>
              <w:top w:val="single" w:sz="2" w:space="0" w:color="auto"/>
              <w:left w:val="single" w:sz="2" w:space="0" w:color="auto"/>
              <w:bottom w:val="single" w:sz="2" w:space="0" w:color="auto"/>
              <w:right w:val="single" w:sz="2" w:space="0" w:color="auto"/>
            </w:tcBorders>
          </w:tcPr>
          <w:p w14:paraId="2CF191BB" w14:textId="77777777" w:rsidR="009F4766" w:rsidRPr="00DE12A3" w:rsidRDefault="009F4766" w:rsidP="00C917D6">
            <w:pPr>
              <w:pStyle w:val="NormalLeft"/>
            </w:pPr>
            <w:r w:rsidRPr="00DE12A3">
              <w:t>149</w:t>
            </w:r>
          </w:p>
        </w:tc>
        <w:tc>
          <w:tcPr>
            <w:tcW w:w="2489" w:type="dxa"/>
            <w:tcBorders>
              <w:top w:val="single" w:sz="2" w:space="0" w:color="auto"/>
              <w:left w:val="single" w:sz="2" w:space="0" w:color="auto"/>
              <w:bottom w:val="single" w:sz="2" w:space="0" w:color="auto"/>
              <w:right w:val="single" w:sz="2" w:space="0" w:color="auto"/>
            </w:tcBorders>
          </w:tcPr>
          <w:p w14:paraId="4A7089C6" w14:textId="77777777" w:rsidR="009F4766" w:rsidRPr="00DE12A3" w:rsidRDefault="009F4766" w:rsidP="00C917D6">
            <w:pPr>
              <w:pStyle w:val="NormalLeft"/>
            </w:pPr>
            <w:r w:rsidRPr="00DE12A3">
              <w:t>19</w:t>
            </w:r>
          </w:p>
        </w:tc>
        <w:tc>
          <w:tcPr>
            <w:tcW w:w="2551" w:type="dxa"/>
            <w:tcBorders>
              <w:top w:val="single" w:sz="2" w:space="0" w:color="auto"/>
              <w:left w:val="single" w:sz="2" w:space="0" w:color="auto"/>
              <w:bottom w:val="single" w:sz="2" w:space="0" w:color="auto"/>
              <w:right w:val="single" w:sz="2" w:space="0" w:color="auto"/>
            </w:tcBorders>
          </w:tcPr>
          <w:p w14:paraId="5A625EC6" w14:textId="77777777" w:rsidR="009F4766" w:rsidRPr="00DE12A3" w:rsidRDefault="009F4766" w:rsidP="00C917D6">
            <w:pPr>
              <w:pStyle w:val="NormalLeft"/>
            </w:pPr>
            <w:r w:rsidRPr="00DE12A3">
              <w:t>55</w:t>
            </w:r>
          </w:p>
        </w:tc>
      </w:tr>
      <w:tr w:rsidR="00DE12A3" w:rsidRPr="00DE12A3" w14:paraId="12D1A168" w14:textId="77777777" w:rsidTr="009F4766">
        <w:tc>
          <w:tcPr>
            <w:tcW w:w="1182" w:type="dxa"/>
            <w:tcBorders>
              <w:top w:val="single" w:sz="2" w:space="0" w:color="auto"/>
              <w:left w:val="single" w:sz="2" w:space="0" w:color="auto"/>
              <w:bottom w:val="single" w:sz="2" w:space="0" w:color="auto"/>
              <w:right w:val="single" w:sz="2" w:space="0" w:color="auto"/>
            </w:tcBorders>
          </w:tcPr>
          <w:p w14:paraId="03A0235C" w14:textId="77777777" w:rsidR="009F4766" w:rsidRPr="00DE12A3" w:rsidRDefault="009F4766" w:rsidP="00C917D6">
            <w:pPr>
              <w:pStyle w:val="NormalLeft"/>
            </w:pPr>
            <w:r w:rsidRPr="00DE12A3">
              <w:t>150</w:t>
            </w:r>
          </w:p>
        </w:tc>
        <w:tc>
          <w:tcPr>
            <w:tcW w:w="2489" w:type="dxa"/>
            <w:tcBorders>
              <w:top w:val="single" w:sz="2" w:space="0" w:color="auto"/>
              <w:left w:val="single" w:sz="2" w:space="0" w:color="auto"/>
              <w:bottom w:val="single" w:sz="2" w:space="0" w:color="auto"/>
              <w:right w:val="single" w:sz="2" w:space="0" w:color="auto"/>
            </w:tcBorders>
          </w:tcPr>
          <w:p w14:paraId="31793F96" w14:textId="77777777" w:rsidR="009F4766" w:rsidRPr="00DE12A3" w:rsidRDefault="009F4766" w:rsidP="00C917D6">
            <w:pPr>
              <w:pStyle w:val="NormalLeft"/>
            </w:pPr>
            <w:r w:rsidRPr="00DE12A3">
              <w:t>45</w:t>
            </w:r>
          </w:p>
        </w:tc>
        <w:tc>
          <w:tcPr>
            <w:tcW w:w="2551" w:type="dxa"/>
            <w:tcBorders>
              <w:top w:val="single" w:sz="2" w:space="0" w:color="auto"/>
              <w:left w:val="single" w:sz="2" w:space="0" w:color="auto"/>
              <w:bottom w:val="single" w:sz="2" w:space="0" w:color="auto"/>
              <w:right w:val="single" w:sz="2" w:space="0" w:color="auto"/>
            </w:tcBorders>
          </w:tcPr>
          <w:p w14:paraId="13893C0E" w14:textId="77777777" w:rsidR="009F4766" w:rsidRPr="00DE12A3" w:rsidRDefault="009F4766" w:rsidP="00C917D6">
            <w:pPr>
              <w:pStyle w:val="NormalLeft"/>
            </w:pPr>
            <w:r w:rsidRPr="00DE12A3">
              <w:t>30</w:t>
            </w:r>
          </w:p>
        </w:tc>
      </w:tr>
      <w:tr w:rsidR="00DE12A3" w:rsidRPr="00DE12A3" w14:paraId="39F711CD" w14:textId="77777777" w:rsidTr="009F4766">
        <w:tc>
          <w:tcPr>
            <w:tcW w:w="1182" w:type="dxa"/>
            <w:tcBorders>
              <w:top w:val="single" w:sz="2" w:space="0" w:color="auto"/>
              <w:left w:val="single" w:sz="2" w:space="0" w:color="auto"/>
              <w:bottom w:val="single" w:sz="2" w:space="0" w:color="auto"/>
              <w:right w:val="single" w:sz="2" w:space="0" w:color="auto"/>
            </w:tcBorders>
          </w:tcPr>
          <w:p w14:paraId="0F29CEBA" w14:textId="77777777" w:rsidR="009F4766" w:rsidRPr="00DE12A3" w:rsidRDefault="009F4766" w:rsidP="00C917D6">
            <w:pPr>
              <w:pStyle w:val="NormalLeft"/>
            </w:pPr>
            <w:r w:rsidRPr="00DE12A3">
              <w:t>151</w:t>
            </w:r>
          </w:p>
        </w:tc>
        <w:tc>
          <w:tcPr>
            <w:tcW w:w="2489" w:type="dxa"/>
            <w:tcBorders>
              <w:top w:val="single" w:sz="2" w:space="0" w:color="auto"/>
              <w:left w:val="single" w:sz="2" w:space="0" w:color="auto"/>
              <w:bottom w:val="single" w:sz="2" w:space="0" w:color="auto"/>
              <w:right w:val="single" w:sz="2" w:space="0" w:color="auto"/>
            </w:tcBorders>
          </w:tcPr>
          <w:p w14:paraId="51EC7509" w14:textId="77777777" w:rsidR="009F4766" w:rsidRPr="00DE12A3" w:rsidRDefault="009F4766" w:rsidP="00C917D6">
            <w:pPr>
              <w:pStyle w:val="NormalLeft"/>
            </w:pPr>
            <w:r w:rsidRPr="00DE12A3">
              <w:t>34</w:t>
            </w:r>
          </w:p>
        </w:tc>
        <w:tc>
          <w:tcPr>
            <w:tcW w:w="2551" w:type="dxa"/>
            <w:tcBorders>
              <w:top w:val="single" w:sz="2" w:space="0" w:color="auto"/>
              <w:left w:val="single" w:sz="2" w:space="0" w:color="auto"/>
              <w:bottom w:val="single" w:sz="2" w:space="0" w:color="auto"/>
              <w:right w:val="single" w:sz="2" w:space="0" w:color="auto"/>
            </w:tcBorders>
          </w:tcPr>
          <w:p w14:paraId="7752AE56" w14:textId="77777777" w:rsidR="009F4766" w:rsidRPr="00DE12A3" w:rsidRDefault="009F4766" w:rsidP="00C917D6">
            <w:pPr>
              <w:pStyle w:val="NormalLeft"/>
            </w:pPr>
            <w:r w:rsidRPr="00DE12A3">
              <w:t>7</w:t>
            </w:r>
          </w:p>
        </w:tc>
      </w:tr>
      <w:tr w:rsidR="00DE12A3" w:rsidRPr="00DE12A3" w14:paraId="54C37355" w14:textId="77777777" w:rsidTr="009F4766">
        <w:tc>
          <w:tcPr>
            <w:tcW w:w="1182" w:type="dxa"/>
            <w:tcBorders>
              <w:top w:val="single" w:sz="2" w:space="0" w:color="auto"/>
              <w:left w:val="single" w:sz="2" w:space="0" w:color="auto"/>
              <w:bottom w:val="single" w:sz="2" w:space="0" w:color="auto"/>
              <w:right w:val="single" w:sz="2" w:space="0" w:color="auto"/>
            </w:tcBorders>
          </w:tcPr>
          <w:p w14:paraId="5672C95A" w14:textId="77777777" w:rsidR="009F4766" w:rsidRPr="00DE12A3" w:rsidRDefault="009F4766" w:rsidP="00C917D6">
            <w:pPr>
              <w:pStyle w:val="NormalLeft"/>
            </w:pPr>
            <w:r w:rsidRPr="00DE12A3">
              <w:t>152</w:t>
            </w:r>
          </w:p>
        </w:tc>
        <w:tc>
          <w:tcPr>
            <w:tcW w:w="2489" w:type="dxa"/>
            <w:tcBorders>
              <w:top w:val="single" w:sz="2" w:space="0" w:color="auto"/>
              <w:left w:val="single" w:sz="2" w:space="0" w:color="auto"/>
              <w:bottom w:val="single" w:sz="2" w:space="0" w:color="auto"/>
              <w:right w:val="single" w:sz="2" w:space="0" w:color="auto"/>
            </w:tcBorders>
          </w:tcPr>
          <w:p w14:paraId="0CA36068" w14:textId="77777777" w:rsidR="009F4766" w:rsidRPr="00DE12A3" w:rsidRDefault="009F4766" w:rsidP="00C917D6">
            <w:pPr>
              <w:pStyle w:val="NormalLeft"/>
            </w:pPr>
            <w:r w:rsidRPr="00DE12A3">
              <w:t>14</w:t>
            </w:r>
          </w:p>
        </w:tc>
        <w:tc>
          <w:tcPr>
            <w:tcW w:w="2551" w:type="dxa"/>
            <w:tcBorders>
              <w:top w:val="single" w:sz="2" w:space="0" w:color="auto"/>
              <w:left w:val="single" w:sz="2" w:space="0" w:color="auto"/>
              <w:bottom w:val="single" w:sz="2" w:space="0" w:color="auto"/>
              <w:right w:val="single" w:sz="2" w:space="0" w:color="auto"/>
            </w:tcBorders>
          </w:tcPr>
          <w:p w14:paraId="72B64008" w14:textId="77777777" w:rsidR="009F4766" w:rsidRPr="00DE12A3" w:rsidRDefault="009F4766" w:rsidP="00C917D6">
            <w:pPr>
              <w:pStyle w:val="NormalLeft"/>
            </w:pPr>
            <w:r w:rsidRPr="00DE12A3">
              <w:t>4</w:t>
            </w:r>
          </w:p>
        </w:tc>
      </w:tr>
      <w:tr w:rsidR="00DE12A3" w:rsidRPr="00DE12A3" w14:paraId="2330B312" w14:textId="77777777" w:rsidTr="009F4766">
        <w:tc>
          <w:tcPr>
            <w:tcW w:w="1182" w:type="dxa"/>
            <w:tcBorders>
              <w:top w:val="single" w:sz="2" w:space="0" w:color="auto"/>
              <w:left w:val="single" w:sz="2" w:space="0" w:color="auto"/>
              <w:bottom w:val="single" w:sz="2" w:space="0" w:color="auto"/>
              <w:right w:val="single" w:sz="2" w:space="0" w:color="auto"/>
            </w:tcBorders>
          </w:tcPr>
          <w:p w14:paraId="692C6A9A" w14:textId="77777777" w:rsidR="009F4766" w:rsidRPr="00DE12A3" w:rsidRDefault="009F4766" w:rsidP="00C917D6">
            <w:pPr>
              <w:pStyle w:val="NormalLeft"/>
            </w:pPr>
            <w:r w:rsidRPr="00DE12A3">
              <w:t>153</w:t>
            </w:r>
          </w:p>
        </w:tc>
        <w:tc>
          <w:tcPr>
            <w:tcW w:w="2489" w:type="dxa"/>
            <w:tcBorders>
              <w:top w:val="single" w:sz="2" w:space="0" w:color="auto"/>
              <w:left w:val="single" w:sz="2" w:space="0" w:color="auto"/>
              <w:bottom w:val="single" w:sz="2" w:space="0" w:color="auto"/>
              <w:right w:val="single" w:sz="2" w:space="0" w:color="auto"/>
            </w:tcBorders>
          </w:tcPr>
          <w:p w14:paraId="68029745" w14:textId="77777777" w:rsidR="009F4766" w:rsidRPr="00DE12A3" w:rsidRDefault="009F4766" w:rsidP="00C917D6">
            <w:pPr>
              <w:pStyle w:val="NormalLeft"/>
            </w:pPr>
            <w:r w:rsidRPr="00DE12A3">
              <w:t>8</w:t>
            </w:r>
          </w:p>
        </w:tc>
        <w:tc>
          <w:tcPr>
            <w:tcW w:w="2551" w:type="dxa"/>
            <w:tcBorders>
              <w:top w:val="single" w:sz="2" w:space="0" w:color="auto"/>
              <w:left w:val="single" w:sz="2" w:space="0" w:color="auto"/>
              <w:bottom w:val="single" w:sz="2" w:space="0" w:color="auto"/>
              <w:right w:val="single" w:sz="2" w:space="0" w:color="auto"/>
            </w:tcBorders>
          </w:tcPr>
          <w:p w14:paraId="46721F89" w14:textId="77777777" w:rsidR="009F4766" w:rsidRPr="00DE12A3" w:rsidRDefault="009F4766" w:rsidP="00C917D6">
            <w:pPr>
              <w:pStyle w:val="NormalLeft"/>
            </w:pPr>
            <w:r w:rsidRPr="00DE12A3">
              <w:t>16</w:t>
            </w:r>
          </w:p>
        </w:tc>
      </w:tr>
      <w:tr w:rsidR="00DE12A3" w:rsidRPr="00DE12A3" w14:paraId="6E07D445" w14:textId="77777777" w:rsidTr="009F4766">
        <w:tc>
          <w:tcPr>
            <w:tcW w:w="1182" w:type="dxa"/>
            <w:tcBorders>
              <w:top w:val="single" w:sz="2" w:space="0" w:color="auto"/>
              <w:left w:val="single" w:sz="2" w:space="0" w:color="auto"/>
              <w:bottom w:val="single" w:sz="2" w:space="0" w:color="auto"/>
              <w:right w:val="single" w:sz="2" w:space="0" w:color="auto"/>
            </w:tcBorders>
          </w:tcPr>
          <w:p w14:paraId="1E528D63" w14:textId="77777777" w:rsidR="009F4766" w:rsidRPr="00DE12A3" w:rsidRDefault="009F4766" w:rsidP="00C917D6">
            <w:pPr>
              <w:pStyle w:val="NormalLeft"/>
            </w:pPr>
            <w:r w:rsidRPr="00DE12A3">
              <w:t>154</w:t>
            </w:r>
          </w:p>
        </w:tc>
        <w:tc>
          <w:tcPr>
            <w:tcW w:w="2489" w:type="dxa"/>
            <w:tcBorders>
              <w:top w:val="single" w:sz="2" w:space="0" w:color="auto"/>
              <w:left w:val="single" w:sz="2" w:space="0" w:color="auto"/>
              <w:bottom w:val="single" w:sz="2" w:space="0" w:color="auto"/>
              <w:right w:val="single" w:sz="2" w:space="0" w:color="auto"/>
            </w:tcBorders>
          </w:tcPr>
          <w:p w14:paraId="6006CC41" w14:textId="77777777" w:rsidR="009F4766" w:rsidRPr="00DE12A3" w:rsidRDefault="009F4766" w:rsidP="00C917D6">
            <w:pPr>
              <w:pStyle w:val="NormalLeft"/>
            </w:pPr>
            <w:r w:rsidRPr="00DE12A3">
              <w:t>15</w:t>
            </w:r>
          </w:p>
        </w:tc>
        <w:tc>
          <w:tcPr>
            <w:tcW w:w="2551" w:type="dxa"/>
            <w:tcBorders>
              <w:top w:val="single" w:sz="2" w:space="0" w:color="auto"/>
              <w:left w:val="single" w:sz="2" w:space="0" w:color="auto"/>
              <w:bottom w:val="single" w:sz="2" w:space="0" w:color="auto"/>
              <w:right w:val="single" w:sz="2" w:space="0" w:color="auto"/>
            </w:tcBorders>
          </w:tcPr>
          <w:p w14:paraId="7FD6C9C7" w14:textId="77777777" w:rsidR="009F4766" w:rsidRPr="00DE12A3" w:rsidRDefault="009F4766" w:rsidP="00C917D6">
            <w:pPr>
              <w:pStyle w:val="NormalLeft"/>
            </w:pPr>
            <w:r w:rsidRPr="00DE12A3">
              <w:t>6</w:t>
            </w:r>
          </w:p>
        </w:tc>
      </w:tr>
      <w:tr w:rsidR="00DE12A3" w:rsidRPr="00DE12A3" w14:paraId="05119369" w14:textId="77777777" w:rsidTr="009F4766">
        <w:tc>
          <w:tcPr>
            <w:tcW w:w="1182" w:type="dxa"/>
            <w:tcBorders>
              <w:top w:val="single" w:sz="2" w:space="0" w:color="auto"/>
              <w:left w:val="single" w:sz="2" w:space="0" w:color="auto"/>
              <w:bottom w:val="single" w:sz="2" w:space="0" w:color="auto"/>
              <w:right w:val="single" w:sz="2" w:space="0" w:color="auto"/>
            </w:tcBorders>
          </w:tcPr>
          <w:p w14:paraId="3D675A5F" w14:textId="77777777" w:rsidR="009F4766" w:rsidRPr="00DE12A3" w:rsidRDefault="009F4766" w:rsidP="00C917D6">
            <w:pPr>
              <w:pStyle w:val="NormalLeft"/>
            </w:pPr>
            <w:r w:rsidRPr="00DE12A3">
              <w:t>155</w:t>
            </w:r>
          </w:p>
        </w:tc>
        <w:tc>
          <w:tcPr>
            <w:tcW w:w="2489" w:type="dxa"/>
            <w:tcBorders>
              <w:top w:val="single" w:sz="2" w:space="0" w:color="auto"/>
              <w:left w:val="single" w:sz="2" w:space="0" w:color="auto"/>
              <w:bottom w:val="single" w:sz="2" w:space="0" w:color="auto"/>
              <w:right w:val="single" w:sz="2" w:space="0" w:color="auto"/>
            </w:tcBorders>
          </w:tcPr>
          <w:p w14:paraId="4102B95E" w14:textId="77777777" w:rsidR="009F4766" w:rsidRPr="00DE12A3" w:rsidRDefault="009F4766" w:rsidP="00C917D6">
            <w:pPr>
              <w:pStyle w:val="NormalLeft"/>
            </w:pPr>
            <w:r w:rsidRPr="00DE12A3">
              <w:t>39</w:t>
            </w:r>
          </w:p>
        </w:tc>
        <w:tc>
          <w:tcPr>
            <w:tcW w:w="2551" w:type="dxa"/>
            <w:tcBorders>
              <w:top w:val="single" w:sz="2" w:space="0" w:color="auto"/>
              <w:left w:val="single" w:sz="2" w:space="0" w:color="auto"/>
              <w:bottom w:val="single" w:sz="2" w:space="0" w:color="auto"/>
              <w:right w:val="single" w:sz="2" w:space="0" w:color="auto"/>
            </w:tcBorders>
          </w:tcPr>
          <w:p w14:paraId="208E103C" w14:textId="77777777" w:rsidR="009F4766" w:rsidRPr="00DE12A3" w:rsidRDefault="009F4766" w:rsidP="00C917D6">
            <w:pPr>
              <w:pStyle w:val="NormalLeft"/>
            </w:pPr>
            <w:r w:rsidRPr="00DE12A3">
              <w:t>47</w:t>
            </w:r>
          </w:p>
        </w:tc>
      </w:tr>
      <w:tr w:rsidR="00DE12A3" w:rsidRPr="00DE12A3" w14:paraId="6E6D9A24" w14:textId="77777777" w:rsidTr="009F4766">
        <w:tc>
          <w:tcPr>
            <w:tcW w:w="1182" w:type="dxa"/>
            <w:tcBorders>
              <w:top w:val="single" w:sz="2" w:space="0" w:color="auto"/>
              <w:left w:val="single" w:sz="2" w:space="0" w:color="auto"/>
              <w:bottom w:val="single" w:sz="2" w:space="0" w:color="auto"/>
              <w:right w:val="single" w:sz="2" w:space="0" w:color="auto"/>
            </w:tcBorders>
          </w:tcPr>
          <w:p w14:paraId="0E50CCCF" w14:textId="77777777" w:rsidR="009F4766" w:rsidRPr="00DE12A3" w:rsidRDefault="009F4766" w:rsidP="00C917D6">
            <w:pPr>
              <w:pStyle w:val="NormalLeft"/>
            </w:pPr>
            <w:r w:rsidRPr="00DE12A3">
              <w:t>156</w:t>
            </w:r>
          </w:p>
        </w:tc>
        <w:tc>
          <w:tcPr>
            <w:tcW w:w="2489" w:type="dxa"/>
            <w:tcBorders>
              <w:top w:val="single" w:sz="2" w:space="0" w:color="auto"/>
              <w:left w:val="single" w:sz="2" w:space="0" w:color="auto"/>
              <w:bottom w:val="single" w:sz="2" w:space="0" w:color="auto"/>
              <w:right w:val="single" w:sz="2" w:space="0" w:color="auto"/>
            </w:tcBorders>
          </w:tcPr>
          <w:p w14:paraId="4CCDD460" w14:textId="77777777" w:rsidR="009F4766" w:rsidRPr="00DE12A3" w:rsidRDefault="009F4766" w:rsidP="00C917D6">
            <w:pPr>
              <w:pStyle w:val="NormalLeft"/>
            </w:pPr>
            <w:r w:rsidRPr="00DE12A3">
              <w:t>39</w:t>
            </w:r>
          </w:p>
        </w:tc>
        <w:tc>
          <w:tcPr>
            <w:tcW w:w="2551" w:type="dxa"/>
            <w:tcBorders>
              <w:top w:val="single" w:sz="2" w:space="0" w:color="auto"/>
              <w:left w:val="single" w:sz="2" w:space="0" w:color="auto"/>
              <w:bottom w:val="single" w:sz="2" w:space="0" w:color="auto"/>
              <w:right w:val="single" w:sz="2" w:space="0" w:color="auto"/>
            </w:tcBorders>
          </w:tcPr>
          <w:p w14:paraId="0F59430A" w14:textId="77777777" w:rsidR="009F4766" w:rsidRPr="00DE12A3" w:rsidRDefault="009F4766" w:rsidP="00C917D6">
            <w:pPr>
              <w:pStyle w:val="NormalLeft"/>
            </w:pPr>
            <w:r w:rsidRPr="00DE12A3">
              <w:t>4</w:t>
            </w:r>
          </w:p>
        </w:tc>
      </w:tr>
      <w:tr w:rsidR="00DE12A3" w:rsidRPr="00DE12A3" w14:paraId="564A3C64" w14:textId="77777777" w:rsidTr="009F4766">
        <w:tc>
          <w:tcPr>
            <w:tcW w:w="1182" w:type="dxa"/>
            <w:tcBorders>
              <w:top w:val="single" w:sz="2" w:space="0" w:color="auto"/>
              <w:left w:val="single" w:sz="2" w:space="0" w:color="auto"/>
              <w:bottom w:val="single" w:sz="2" w:space="0" w:color="auto"/>
              <w:right w:val="single" w:sz="2" w:space="0" w:color="auto"/>
            </w:tcBorders>
          </w:tcPr>
          <w:p w14:paraId="7DBF4A2A" w14:textId="77777777" w:rsidR="009F4766" w:rsidRPr="00DE12A3" w:rsidRDefault="009F4766" w:rsidP="00C917D6">
            <w:pPr>
              <w:pStyle w:val="NormalLeft"/>
            </w:pPr>
            <w:r w:rsidRPr="00DE12A3">
              <w:t>157</w:t>
            </w:r>
          </w:p>
        </w:tc>
        <w:tc>
          <w:tcPr>
            <w:tcW w:w="2489" w:type="dxa"/>
            <w:tcBorders>
              <w:top w:val="single" w:sz="2" w:space="0" w:color="auto"/>
              <w:left w:val="single" w:sz="2" w:space="0" w:color="auto"/>
              <w:bottom w:val="single" w:sz="2" w:space="0" w:color="auto"/>
              <w:right w:val="single" w:sz="2" w:space="0" w:color="auto"/>
            </w:tcBorders>
          </w:tcPr>
          <w:p w14:paraId="2E8D2D76" w14:textId="77777777" w:rsidR="009F4766" w:rsidRPr="00DE12A3" w:rsidRDefault="009F4766" w:rsidP="00C917D6">
            <w:pPr>
              <w:pStyle w:val="NormalLeft"/>
            </w:pPr>
            <w:r w:rsidRPr="00DE12A3">
              <w:t>35</w:t>
            </w:r>
          </w:p>
        </w:tc>
        <w:tc>
          <w:tcPr>
            <w:tcW w:w="2551" w:type="dxa"/>
            <w:tcBorders>
              <w:top w:val="single" w:sz="2" w:space="0" w:color="auto"/>
              <w:left w:val="single" w:sz="2" w:space="0" w:color="auto"/>
              <w:bottom w:val="single" w:sz="2" w:space="0" w:color="auto"/>
              <w:right w:val="single" w:sz="2" w:space="0" w:color="auto"/>
            </w:tcBorders>
          </w:tcPr>
          <w:p w14:paraId="7915D99C" w14:textId="77777777" w:rsidR="009F4766" w:rsidRPr="00DE12A3" w:rsidRDefault="009F4766" w:rsidP="00C917D6">
            <w:pPr>
              <w:pStyle w:val="NormalLeft"/>
            </w:pPr>
            <w:r w:rsidRPr="00DE12A3">
              <w:t>26</w:t>
            </w:r>
          </w:p>
        </w:tc>
      </w:tr>
      <w:tr w:rsidR="00DE12A3" w:rsidRPr="00DE12A3" w14:paraId="61DEFBE5" w14:textId="77777777" w:rsidTr="009F4766">
        <w:tc>
          <w:tcPr>
            <w:tcW w:w="1182" w:type="dxa"/>
            <w:tcBorders>
              <w:top w:val="single" w:sz="2" w:space="0" w:color="auto"/>
              <w:left w:val="single" w:sz="2" w:space="0" w:color="auto"/>
              <w:bottom w:val="single" w:sz="2" w:space="0" w:color="auto"/>
              <w:right w:val="single" w:sz="2" w:space="0" w:color="auto"/>
            </w:tcBorders>
          </w:tcPr>
          <w:p w14:paraId="78FBB8F1" w14:textId="77777777" w:rsidR="009F4766" w:rsidRPr="00DE12A3" w:rsidRDefault="009F4766" w:rsidP="00C917D6">
            <w:pPr>
              <w:pStyle w:val="NormalLeft"/>
            </w:pPr>
            <w:r w:rsidRPr="00DE12A3">
              <w:t>158</w:t>
            </w:r>
          </w:p>
        </w:tc>
        <w:tc>
          <w:tcPr>
            <w:tcW w:w="2489" w:type="dxa"/>
            <w:tcBorders>
              <w:top w:val="single" w:sz="2" w:space="0" w:color="auto"/>
              <w:left w:val="single" w:sz="2" w:space="0" w:color="auto"/>
              <w:bottom w:val="single" w:sz="2" w:space="0" w:color="auto"/>
              <w:right w:val="single" w:sz="2" w:space="0" w:color="auto"/>
            </w:tcBorders>
          </w:tcPr>
          <w:p w14:paraId="6BF2F5FA" w14:textId="77777777" w:rsidR="009F4766" w:rsidRPr="00DE12A3" w:rsidRDefault="009F4766" w:rsidP="00C917D6">
            <w:pPr>
              <w:pStyle w:val="NormalLeft"/>
            </w:pPr>
            <w:r w:rsidRPr="00DE12A3">
              <w:t>27</w:t>
            </w:r>
          </w:p>
        </w:tc>
        <w:tc>
          <w:tcPr>
            <w:tcW w:w="2551" w:type="dxa"/>
            <w:tcBorders>
              <w:top w:val="single" w:sz="2" w:space="0" w:color="auto"/>
              <w:left w:val="single" w:sz="2" w:space="0" w:color="auto"/>
              <w:bottom w:val="single" w:sz="2" w:space="0" w:color="auto"/>
              <w:right w:val="single" w:sz="2" w:space="0" w:color="auto"/>
            </w:tcBorders>
          </w:tcPr>
          <w:p w14:paraId="62D35E8C" w14:textId="77777777" w:rsidR="009F4766" w:rsidRPr="00DE12A3" w:rsidRDefault="009F4766" w:rsidP="00C917D6">
            <w:pPr>
              <w:pStyle w:val="NormalLeft"/>
            </w:pPr>
            <w:r w:rsidRPr="00DE12A3">
              <w:t>38</w:t>
            </w:r>
          </w:p>
        </w:tc>
      </w:tr>
      <w:tr w:rsidR="00DE12A3" w:rsidRPr="00DE12A3" w14:paraId="202A75BE" w14:textId="77777777" w:rsidTr="009F4766">
        <w:tc>
          <w:tcPr>
            <w:tcW w:w="1182" w:type="dxa"/>
            <w:tcBorders>
              <w:top w:val="single" w:sz="2" w:space="0" w:color="auto"/>
              <w:left w:val="single" w:sz="2" w:space="0" w:color="auto"/>
              <w:bottom w:val="single" w:sz="2" w:space="0" w:color="auto"/>
              <w:right w:val="single" w:sz="2" w:space="0" w:color="auto"/>
            </w:tcBorders>
          </w:tcPr>
          <w:p w14:paraId="427274A1" w14:textId="77777777" w:rsidR="009F4766" w:rsidRPr="00DE12A3" w:rsidRDefault="009F4766" w:rsidP="00C917D6">
            <w:pPr>
              <w:pStyle w:val="NormalLeft"/>
            </w:pPr>
            <w:r w:rsidRPr="00DE12A3">
              <w:t>159</w:t>
            </w:r>
          </w:p>
        </w:tc>
        <w:tc>
          <w:tcPr>
            <w:tcW w:w="2489" w:type="dxa"/>
            <w:tcBorders>
              <w:top w:val="single" w:sz="2" w:space="0" w:color="auto"/>
              <w:left w:val="single" w:sz="2" w:space="0" w:color="auto"/>
              <w:bottom w:val="single" w:sz="2" w:space="0" w:color="auto"/>
              <w:right w:val="single" w:sz="2" w:space="0" w:color="auto"/>
            </w:tcBorders>
          </w:tcPr>
          <w:p w14:paraId="3BF128AB" w14:textId="77777777" w:rsidR="009F4766" w:rsidRPr="00DE12A3" w:rsidRDefault="009F4766" w:rsidP="00C917D6">
            <w:pPr>
              <w:pStyle w:val="NormalLeft"/>
            </w:pPr>
            <w:r w:rsidRPr="00DE12A3">
              <w:t>43</w:t>
            </w:r>
          </w:p>
        </w:tc>
        <w:tc>
          <w:tcPr>
            <w:tcW w:w="2551" w:type="dxa"/>
            <w:tcBorders>
              <w:top w:val="single" w:sz="2" w:space="0" w:color="auto"/>
              <w:left w:val="single" w:sz="2" w:space="0" w:color="auto"/>
              <w:bottom w:val="single" w:sz="2" w:space="0" w:color="auto"/>
              <w:right w:val="single" w:sz="2" w:space="0" w:color="auto"/>
            </w:tcBorders>
          </w:tcPr>
          <w:p w14:paraId="2DB1FC58" w14:textId="77777777" w:rsidR="009F4766" w:rsidRPr="00DE12A3" w:rsidRDefault="009F4766" w:rsidP="00C917D6">
            <w:pPr>
              <w:pStyle w:val="NormalLeft"/>
            </w:pPr>
            <w:r w:rsidRPr="00DE12A3">
              <w:t>40</w:t>
            </w:r>
          </w:p>
        </w:tc>
      </w:tr>
      <w:tr w:rsidR="00DE12A3" w:rsidRPr="00DE12A3" w14:paraId="79D6D3C3" w14:textId="77777777" w:rsidTr="009F4766">
        <w:tc>
          <w:tcPr>
            <w:tcW w:w="1182" w:type="dxa"/>
            <w:tcBorders>
              <w:top w:val="single" w:sz="2" w:space="0" w:color="auto"/>
              <w:left w:val="single" w:sz="2" w:space="0" w:color="auto"/>
              <w:bottom w:val="single" w:sz="2" w:space="0" w:color="auto"/>
              <w:right w:val="single" w:sz="2" w:space="0" w:color="auto"/>
            </w:tcBorders>
          </w:tcPr>
          <w:p w14:paraId="17F3AF3A" w14:textId="77777777" w:rsidR="009F4766" w:rsidRPr="00DE12A3" w:rsidRDefault="009F4766" w:rsidP="00C917D6">
            <w:pPr>
              <w:pStyle w:val="NormalLeft"/>
            </w:pPr>
            <w:r w:rsidRPr="00DE12A3">
              <w:t>160</w:t>
            </w:r>
          </w:p>
        </w:tc>
        <w:tc>
          <w:tcPr>
            <w:tcW w:w="2489" w:type="dxa"/>
            <w:tcBorders>
              <w:top w:val="single" w:sz="2" w:space="0" w:color="auto"/>
              <w:left w:val="single" w:sz="2" w:space="0" w:color="auto"/>
              <w:bottom w:val="single" w:sz="2" w:space="0" w:color="auto"/>
              <w:right w:val="single" w:sz="2" w:space="0" w:color="auto"/>
            </w:tcBorders>
          </w:tcPr>
          <w:p w14:paraId="7A95F632" w14:textId="77777777" w:rsidR="009F4766" w:rsidRPr="00DE12A3" w:rsidRDefault="009F4766" w:rsidP="00C917D6">
            <w:pPr>
              <w:pStyle w:val="NormalLeft"/>
            </w:pPr>
            <w:r w:rsidRPr="00DE12A3">
              <w:t>14</w:t>
            </w:r>
          </w:p>
        </w:tc>
        <w:tc>
          <w:tcPr>
            <w:tcW w:w="2551" w:type="dxa"/>
            <w:tcBorders>
              <w:top w:val="single" w:sz="2" w:space="0" w:color="auto"/>
              <w:left w:val="single" w:sz="2" w:space="0" w:color="auto"/>
              <w:bottom w:val="single" w:sz="2" w:space="0" w:color="auto"/>
              <w:right w:val="single" w:sz="2" w:space="0" w:color="auto"/>
            </w:tcBorders>
          </w:tcPr>
          <w:p w14:paraId="6612C9DB" w14:textId="77777777" w:rsidR="009F4766" w:rsidRPr="00DE12A3" w:rsidRDefault="009F4766" w:rsidP="00C917D6">
            <w:pPr>
              <w:pStyle w:val="NormalLeft"/>
            </w:pPr>
            <w:r w:rsidRPr="00DE12A3">
              <w:t>23</w:t>
            </w:r>
          </w:p>
        </w:tc>
      </w:tr>
      <w:tr w:rsidR="00DE12A3" w:rsidRPr="00DE12A3" w14:paraId="5E6D4611" w14:textId="77777777" w:rsidTr="009F4766">
        <w:tc>
          <w:tcPr>
            <w:tcW w:w="1182" w:type="dxa"/>
            <w:tcBorders>
              <w:top w:val="single" w:sz="2" w:space="0" w:color="auto"/>
              <w:left w:val="single" w:sz="2" w:space="0" w:color="auto"/>
              <w:bottom w:val="single" w:sz="2" w:space="0" w:color="auto"/>
              <w:right w:val="single" w:sz="2" w:space="0" w:color="auto"/>
            </w:tcBorders>
          </w:tcPr>
          <w:p w14:paraId="4186CDAF" w14:textId="77777777" w:rsidR="009F4766" w:rsidRPr="00DE12A3" w:rsidRDefault="009F4766" w:rsidP="00C917D6">
            <w:pPr>
              <w:pStyle w:val="NormalLeft"/>
            </w:pPr>
            <w:r w:rsidRPr="00DE12A3">
              <w:t>161</w:t>
            </w:r>
          </w:p>
        </w:tc>
        <w:tc>
          <w:tcPr>
            <w:tcW w:w="2489" w:type="dxa"/>
            <w:tcBorders>
              <w:top w:val="single" w:sz="2" w:space="0" w:color="auto"/>
              <w:left w:val="single" w:sz="2" w:space="0" w:color="auto"/>
              <w:bottom w:val="single" w:sz="2" w:space="0" w:color="auto"/>
              <w:right w:val="single" w:sz="2" w:space="0" w:color="auto"/>
            </w:tcBorders>
          </w:tcPr>
          <w:p w14:paraId="6B8D9780" w14:textId="77777777" w:rsidR="009F4766" w:rsidRPr="00DE12A3" w:rsidRDefault="009F4766" w:rsidP="00C917D6">
            <w:pPr>
              <w:pStyle w:val="NormalLeft"/>
            </w:pPr>
            <w:r w:rsidRPr="00DE12A3">
              <w:t>10</w:t>
            </w:r>
          </w:p>
        </w:tc>
        <w:tc>
          <w:tcPr>
            <w:tcW w:w="2551" w:type="dxa"/>
            <w:tcBorders>
              <w:top w:val="single" w:sz="2" w:space="0" w:color="auto"/>
              <w:left w:val="single" w:sz="2" w:space="0" w:color="auto"/>
              <w:bottom w:val="single" w:sz="2" w:space="0" w:color="auto"/>
              <w:right w:val="single" w:sz="2" w:space="0" w:color="auto"/>
            </w:tcBorders>
          </w:tcPr>
          <w:p w14:paraId="31F9FD0A" w14:textId="77777777" w:rsidR="009F4766" w:rsidRPr="00DE12A3" w:rsidRDefault="009F4766" w:rsidP="00C917D6">
            <w:pPr>
              <w:pStyle w:val="NormalLeft"/>
            </w:pPr>
            <w:r w:rsidRPr="00DE12A3">
              <w:t>10</w:t>
            </w:r>
          </w:p>
        </w:tc>
      </w:tr>
      <w:tr w:rsidR="00DE12A3" w:rsidRPr="00DE12A3" w14:paraId="4F0EA432" w14:textId="77777777" w:rsidTr="009F4766">
        <w:tc>
          <w:tcPr>
            <w:tcW w:w="1182" w:type="dxa"/>
            <w:tcBorders>
              <w:top w:val="single" w:sz="2" w:space="0" w:color="auto"/>
              <w:left w:val="single" w:sz="2" w:space="0" w:color="auto"/>
              <w:bottom w:val="single" w:sz="2" w:space="0" w:color="auto"/>
              <w:right w:val="single" w:sz="2" w:space="0" w:color="auto"/>
            </w:tcBorders>
          </w:tcPr>
          <w:p w14:paraId="2125E76C" w14:textId="77777777" w:rsidR="009F4766" w:rsidRPr="00DE12A3" w:rsidRDefault="009F4766" w:rsidP="00C917D6">
            <w:pPr>
              <w:pStyle w:val="NormalLeft"/>
            </w:pPr>
            <w:r w:rsidRPr="00DE12A3">
              <w:t>162</w:t>
            </w:r>
          </w:p>
        </w:tc>
        <w:tc>
          <w:tcPr>
            <w:tcW w:w="2489" w:type="dxa"/>
            <w:tcBorders>
              <w:top w:val="single" w:sz="2" w:space="0" w:color="auto"/>
              <w:left w:val="single" w:sz="2" w:space="0" w:color="auto"/>
              <w:bottom w:val="single" w:sz="2" w:space="0" w:color="auto"/>
              <w:right w:val="single" w:sz="2" w:space="0" w:color="auto"/>
            </w:tcBorders>
          </w:tcPr>
          <w:p w14:paraId="462BEDA1" w14:textId="77777777" w:rsidR="009F4766" w:rsidRPr="00DE12A3" w:rsidRDefault="009F4766" w:rsidP="00C917D6">
            <w:pPr>
              <w:pStyle w:val="NormalLeft"/>
            </w:pPr>
            <w:r w:rsidRPr="00DE12A3">
              <w:t>15</w:t>
            </w:r>
          </w:p>
        </w:tc>
        <w:tc>
          <w:tcPr>
            <w:tcW w:w="2551" w:type="dxa"/>
            <w:tcBorders>
              <w:top w:val="single" w:sz="2" w:space="0" w:color="auto"/>
              <w:left w:val="single" w:sz="2" w:space="0" w:color="auto"/>
              <w:bottom w:val="single" w:sz="2" w:space="0" w:color="auto"/>
              <w:right w:val="single" w:sz="2" w:space="0" w:color="auto"/>
            </w:tcBorders>
          </w:tcPr>
          <w:p w14:paraId="1E4819B3" w14:textId="77777777" w:rsidR="009F4766" w:rsidRPr="00DE12A3" w:rsidRDefault="009F4766" w:rsidP="00C917D6">
            <w:pPr>
              <w:pStyle w:val="NormalLeft"/>
            </w:pPr>
            <w:r w:rsidRPr="00DE12A3">
              <w:t>33</w:t>
            </w:r>
          </w:p>
        </w:tc>
      </w:tr>
      <w:tr w:rsidR="00DE12A3" w:rsidRPr="00DE12A3" w14:paraId="5556A0B0" w14:textId="77777777" w:rsidTr="009F4766">
        <w:tc>
          <w:tcPr>
            <w:tcW w:w="1182" w:type="dxa"/>
            <w:tcBorders>
              <w:top w:val="single" w:sz="2" w:space="0" w:color="auto"/>
              <w:left w:val="single" w:sz="2" w:space="0" w:color="auto"/>
              <w:bottom w:val="single" w:sz="2" w:space="0" w:color="auto"/>
              <w:right w:val="single" w:sz="2" w:space="0" w:color="auto"/>
            </w:tcBorders>
          </w:tcPr>
          <w:p w14:paraId="7FBDE688" w14:textId="77777777" w:rsidR="009F4766" w:rsidRPr="00DE12A3" w:rsidRDefault="009F4766" w:rsidP="00C917D6">
            <w:pPr>
              <w:pStyle w:val="NormalLeft"/>
            </w:pPr>
            <w:r w:rsidRPr="00DE12A3">
              <w:t>163</w:t>
            </w:r>
          </w:p>
        </w:tc>
        <w:tc>
          <w:tcPr>
            <w:tcW w:w="2489" w:type="dxa"/>
            <w:tcBorders>
              <w:top w:val="single" w:sz="2" w:space="0" w:color="auto"/>
              <w:left w:val="single" w:sz="2" w:space="0" w:color="auto"/>
              <w:bottom w:val="single" w:sz="2" w:space="0" w:color="auto"/>
              <w:right w:val="single" w:sz="2" w:space="0" w:color="auto"/>
            </w:tcBorders>
          </w:tcPr>
          <w:p w14:paraId="3341DD7A" w14:textId="77777777" w:rsidR="009F4766" w:rsidRPr="00DE12A3" w:rsidRDefault="009F4766" w:rsidP="00C917D6">
            <w:pPr>
              <w:pStyle w:val="NormalLeft"/>
            </w:pPr>
            <w:r w:rsidRPr="00DE12A3">
              <w:t>35</w:t>
            </w:r>
          </w:p>
        </w:tc>
        <w:tc>
          <w:tcPr>
            <w:tcW w:w="2551" w:type="dxa"/>
            <w:tcBorders>
              <w:top w:val="single" w:sz="2" w:space="0" w:color="auto"/>
              <w:left w:val="single" w:sz="2" w:space="0" w:color="auto"/>
              <w:bottom w:val="single" w:sz="2" w:space="0" w:color="auto"/>
              <w:right w:val="single" w:sz="2" w:space="0" w:color="auto"/>
            </w:tcBorders>
          </w:tcPr>
          <w:p w14:paraId="00DA64B8" w14:textId="77777777" w:rsidR="009F4766" w:rsidRPr="00DE12A3" w:rsidRDefault="009F4766" w:rsidP="00C917D6">
            <w:pPr>
              <w:pStyle w:val="NormalLeft"/>
            </w:pPr>
            <w:r w:rsidRPr="00DE12A3">
              <w:t>72</w:t>
            </w:r>
          </w:p>
        </w:tc>
      </w:tr>
      <w:tr w:rsidR="00DE12A3" w:rsidRPr="00DE12A3" w14:paraId="62DEF526" w14:textId="77777777" w:rsidTr="009F4766">
        <w:tc>
          <w:tcPr>
            <w:tcW w:w="1182" w:type="dxa"/>
            <w:tcBorders>
              <w:top w:val="single" w:sz="2" w:space="0" w:color="auto"/>
              <w:left w:val="single" w:sz="2" w:space="0" w:color="auto"/>
              <w:bottom w:val="single" w:sz="2" w:space="0" w:color="auto"/>
              <w:right w:val="single" w:sz="2" w:space="0" w:color="auto"/>
            </w:tcBorders>
          </w:tcPr>
          <w:p w14:paraId="775F6277" w14:textId="77777777" w:rsidR="009F4766" w:rsidRPr="00DE12A3" w:rsidRDefault="009F4766" w:rsidP="00C917D6">
            <w:pPr>
              <w:pStyle w:val="NormalLeft"/>
            </w:pPr>
            <w:r w:rsidRPr="00DE12A3">
              <w:lastRenderedPageBreak/>
              <w:t>164</w:t>
            </w:r>
          </w:p>
        </w:tc>
        <w:tc>
          <w:tcPr>
            <w:tcW w:w="2489" w:type="dxa"/>
            <w:tcBorders>
              <w:top w:val="single" w:sz="2" w:space="0" w:color="auto"/>
              <w:left w:val="single" w:sz="2" w:space="0" w:color="auto"/>
              <w:bottom w:val="single" w:sz="2" w:space="0" w:color="auto"/>
              <w:right w:val="single" w:sz="2" w:space="0" w:color="auto"/>
            </w:tcBorders>
          </w:tcPr>
          <w:p w14:paraId="2151756E" w14:textId="77777777" w:rsidR="009F4766" w:rsidRPr="00DE12A3" w:rsidRDefault="009F4766" w:rsidP="00C917D6">
            <w:pPr>
              <w:pStyle w:val="NormalLeft"/>
            </w:pPr>
            <w:r w:rsidRPr="00DE12A3">
              <w:t>60</w:t>
            </w:r>
          </w:p>
        </w:tc>
        <w:tc>
          <w:tcPr>
            <w:tcW w:w="2551" w:type="dxa"/>
            <w:tcBorders>
              <w:top w:val="single" w:sz="2" w:space="0" w:color="auto"/>
              <w:left w:val="single" w:sz="2" w:space="0" w:color="auto"/>
              <w:bottom w:val="single" w:sz="2" w:space="0" w:color="auto"/>
              <w:right w:val="single" w:sz="2" w:space="0" w:color="auto"/>
            </w:tcBorders>
          </w:tcPr>
          <w:p w14:paraId="4D12BCB9" w14:textId="77777777" w:rsidR="009F4766" w:rsidRPr="00DE12A3" w:rsidRDefault="009F4766" w:rsidP="00C917D6">
            <w:pPr>
              <w:pStyle w:val="NormalLeft"/>
            </w:pPr>
            <w:r w:rsidRPr="00DE12A3">
              <w:t>39</w:t>
            </w:r>
          </w:p>
        </w:tc>
      </w:tr>
      <w:tr w:rsidR="00DE12A3" w:rsidRPr="00DE12A3" w14:paraId="2EDE695A" w14:textId="77777777" w:rsidTr="009F4766">
        <w:tc>
          <w:tcPr>
            <w:tcW w:w="1182" w:type="dxa"/>
            <w:tcBorders>
              <w:top w:val="single" w:sz="2" w:space="0" w:color="auto"/>
              <w:left w:val="single" w:sz="2" w:space="0" w:color="auto"/>
              <w:bottom w:val="single" w:sz="2" w:space="0" w:color="auto"/>
              <w:right w:val="single" w:sz="2" w:space="0" w:color="auto"/>
            </w:tcBorders>
          </w:tcPr>
          <w:p w14:paraId="1E6F9AE2" w14:textId="77777777" w:rsidR="009F4766" w:rsidRPr="00DE12A3" w:rsidRDefault="009F4766" w:rsidP="00C917D6">
            <w:pPr>
              <w:pStyle w:val="NormalLeft"/>
            </w:pPr>
            <w:r w:rsidRPr="00DE12A3">
              <w:t>165</w:t>
            </w:r>
          </w:p>
        </w:tc>
        <w:tc>
          <w:tcPr>
            <w:tcW w:w="2489" w:type="dxa"/>
            <w:tcBorders>
              <w:top w:val="single" w:sz="2" w:space="0" w:color="auto"/>
              <w:left w:val="single" w:sz="2" w:space="0" w:color="auto"/>
              <w:bottom w:val="single" w:sz="2" w:space="0" w:color="auto"/>
              <w:right w:val="single" w:sz="2" w:space="0" w:color="auto"/>
            </w:tcBorders>
          </w:tcPr>
          <w:p w14:paraId="3A958F0B" w14:textId="77777777" w:rsidR="009F4766" w:rsidRPr="00DE12A3" w:rsidRDefault="009F4766" w:rsidP="00C917D6">
            <w:pPr>
              <w:pStyle w:val="NormalLeft"/>
            </w:pPr>
            <w:r w:rsidRPr="00DE12A3">
              <w:t>55</w:t>
            </w:r>
          </w:p>
        </w:tc>
        <w:tc>
          <w:tcPr>
            <w:tcW w:w="2551" w:type="dxa"/>
            <w:tcBorders>
              <w:top w:val="single" w:sz="2" w:space="0" w:color="auto"/>
              <w:left w:val="single" w:sz="2" w:space="0" w:color="auto"/>
              <w:bottom w:val="single" w:sz="2" w:space="0" w:color="auto"/>
              <w:right w:val="single" w:sz="2" w:space="0" w:color="auto"/>
            </w:tcBorders>
          </w:tcPr>
          <w:p w14:paraId="169D62A7" w14:textId="77777777" w:rsidR="009F4766" w:rsidRPr="00DE12A3" w:rsidRDefault="009F4766" w:rsidP="00C917D6">
            <w:pPr>
              <w:pStyle w:val="NormalLeft"/>
            </w:pPr>
            <w:r w:rsidRPr="00DE12A3">
              <w:t>31</w:t>
            </w:r>
          </w:p>
        </w:tc>
      </w:tr>
      <w:tr w:rsidR="00DE12A3" w:rsidRPr="00DE12A3" w14:paraId="3A9FF955" w14:textId="77777777" w:rsidTr="009F4766">
        <w:tc>
          <w:tcPr>
            <w:tcW w:w="1182" w:type="dxa"/>
            <w:tcBorders>
              <w:top w:val="single" w:sz="2" w:space="0" w:color="auto"/>
              <w:left w:val="single" w:sz="2" w:space="0" w:color="auto"/>
              <w:bottom w:val="single" w:sz="2" w:space="0" w:color="auto"/>
              <w:right w:val="single" w:sz="2" w:space="0" w:color="auto"/>
            </w:tcBorders>
          </w:tcPr>
          <w:p w14:paraId="257C5C84" w14:textId="77777777" w:rsidR="009F4766" w:rsidRPr="00DE12A3" w:rsidRDefault="009F4766" w:rsidP="00C917D6">
            <w:pPr>
              <w:pStyle w:val="NormalLeft"/>
            </w:pPr>
            <w:r w:rsidRPr="00DE12A3">
              <w:t>166</w:t>
            </w:r>
          </w:p>
        </w:tc>
        <w:tc>
          <w:tcPr>
            <w:tcW w:w="2489" w:type="dxa"/>
            <w:tcBorders>
              <w:top w:val="single" w:sz="2" w:space="0" w:color="auto"/>
              <w:left w:val="single" w:sz="2" w:space="0" w:color="auto"/>
              <w:bottom w:val="single" w:sz="2" w:space="0" w:color="auto"/>
              <w:right w:val="single" w:sz="2" w:space="0" w:color="auto"/>
            </w:tcBorders>
          </w:tcPr>
          <w:p w14:paraId="2EF5FDFC" w14:textId="77777777" w:rsidR="009F4766" w:rsidRPr="00DE12A3" w:rsidRDefault="009F4766" w:rsidP="00C917D6">
            <w:pPr>
              <w:pStyle w:val="NormalLeft"/>
            </w:pPr>
            <w:r w:rsidRPr="00DE12A3">
              <w:t>47</w:t>
            </w:r>
          </w:p>
        </w:tc>
        <w:tc>
          <w:tcPr>
            <w:tcW w:w="2551" w:type="dxa"/>
            <w:tcBorders>
              <w:top w:val="single" w:sz="2" w:space="0" w:color="auto"/>
              <w:left w:val="single" w:sz="2" w:space="0" w:color="auto"/>
              <w:bottom w:val="single" w:sz="2" w:space="0" w:color="auto"/>
              <w:right w:val="single" w:sz="2" w:space="0" w:color="auto"/>
            </w:tcBorders>
          </w:tcPr>
          <w:p w14:paraId="2E1D71B5" w14:textId="77777777" w:rsidR="009F4766" w:rsidRPr="00DE12A3" w:rsidRDefault="009F4766" w:rsidP="00C917D6">
            <w:pPr>
              <w:pStyle w:val="NormalLeft"/>
            </w:pPr>
            <w:r w:rsidRPr="00DE12A3">
              <w:t>30</w:t>
            </w:r>
          </w:p>
        </w:tc>
      </w:tr>
      <w:tr w:rsidR="00DE12A3" w:rsidRPr="00DE12A3" w14:paraId="296BF07B" w14:textId="77777777" w:rsidTr="009F4766">
        <w:tc>
          <w:tcPr>
            <w:tcW w:w="1182" w:type="dxa"/>
            <w:tcBorders>
              <w:top w:val="single" w:sz="2" w:space="0" w:color="auto"/>
              <w:left w:val="single" w:sz="2" w:space="0" w:color="auto"/>
              <w:bottom w:val="single" w:sz="2" w:space="0" w:color="auto"/>
              <w:right w:val="single" w:sz="2" w:space="0" w:color="auto"/>
            </w:tcBorders>
          </w:tcPr>
          <w:p w14:paraId="262CFDC8" w14:textId="77777777" w:rsidR="009F4766" w:rsidRPr="00DE12A3" w:rsidRDefault="009F4766" w:rsidP="00C917D6">
            <w:pPr>
              <w:pStyle w:val="NormalLeft"/>
            </w:pPr>
            <w:r w:rsidRPr="00DE12A3">
              <w:t>167</w:t>
            </w:r>
          </w:p>
        </w:tc>
        <w:tc>
          <w:tcPr>
            <w:tcW w:w="2489" w:type="dxa"/>
            <w:tcBorders>
              <w:top w:val="single" w:sz="2" w:space="0" w:color="auto"/>
              <w:left w:val="single" w:sz="2" w:space="0" w:color="auto"/>
              <w:bottom w:val="single" w:sz="2" w:space="0" w:color="auto"/>
              <w:right w:val="single" w:sz="2" w:space="0" w:color="auto"/>
            </w:tcBorders>
          </w:tcPr>
          <w:p w14:paraId="2710BB92" w14:textId="77777777" w:rsidR="009F4766" w:rsidRPr="00DE12A3" w:rsidRDefault="009F4766" w:rsidP="00C917D6">
            <w:pPr>
              <w:pStyle w:val="NormalLeft"/>
            </w:pPr>
            <w:r w:rsidRPr="00DE12A3">
              <w:t>16</w:t>
            </w:r>
          </w:p>
        </w:tc>
        <w:tc>
          <w:tcPr>
            <w:tcW w:w="2551" w:type="dxa"/>
            <w:tcBorders>
              <w:top w:val="single" w:sz="2" w:space="0" w:color="auto"/>
              <w:left w:val="single" w:sz="2" w:space="0" w:color="auto"/>
              <w:bottom w:val="single" w:sz="2" w:space="0" w:color="auto"/>
              <w:right w:val="single" w:sz="2" w:space="0" w:color="auto"/>
            </w:tcBorders>
          </w:tcPr>
          <w:p w14:paraId="47F8A8AE" w14:textId="77777777" w:rsidR="009F4766" w:rsidRPr="00DE12A3" w:rsidRDefault="009F4766" w:rsidP="00C917D6">
            <w:pPr>
              <w:pStyle w:val="NormalLeft"/>
            </w:pPr>
            <w:r w:rsidRPr="00DE12A3">
              <w:t>7</w:t>
            </w:r>
          </w:p>
        </w:tc>
      </w:tr>
      <w:tr w:rsidR="00DE12A3" w:rsidRPr="00DE12A3" w14:paraId="2CDC47CE" w14:textId="77777777" w:rsidTr="009F4766">
        <w:tc>
          <w:tcPr>
            <w:tcW w:w="1182" w:type="dxa"/>
            <w:tcBorders>
              <w:top w:val="single" w:sz="2" w:space="0" w:color="auto"/>
              <w:left w:val="single" w:sz="2" w:space="0" w:color="auto"/>
              <w:bottom w:val="single" w:sz="2" w:space="0" w:color="auto"/>
              <w:right w:val="single" w:sz="2" w:space="0" w:color="auto"/>
            </w:tcBorders>
          </w:tcPr>
          <w:p w14:paraId="2CF56D49" w14:textId="77777777" w:rsidR="009F4766" w:rsidRPr="00DE12A3" w:rsidRDefault="009F4766" w:rsidP="00C917D6">
            <w:pPr>
              <w:pStyle w:val="NormalLeft"/>
            </w:pPr>
            <w:r w:rsidRPr="00DE12A3">
              <w:t>168</w:t>
            </w:r>
          </w:p>
        </w:tc>
        <w:tc>
          <w:tcPr>
            <w:tcW w:w="2489" w:type="dxa"/>
            <w:tcBorders>
              <w:top w:val="single" w:sz="2" w:space="0" w:color="auto"/>
              <w:left w:val="single" w:sz="2" w:space="0" w:color="auto"/>
              <w:bottom w:val="single" w:sz="2" w:space="0" w:color="auto"/>
              <w:right w:val="single" w:sz="2" w:space="0" w:color="auto"/>
            </w:tcBorders>
          </w:tcPr>
          <w:p w14:paraId="5E6E51C0" w14:textId="77777777" w:rsidR="009F4766" w:rsidRPr="00DE12A3" w:rsidRDefault="009F4766" w:rsidP="00C917D6">
            <w:pPr>
              <w:pStyle w:val="NormalLeft"/>
            </w:pPr>
            <w:r w:rsidRPr="00DE12A3">
              <w:t>0</w:t>
            </w:r>
          </w:p>
        </w:tc>
        <w:tc>
          <w:tcPr>
            <w:tcW w:w="2551" w:type="dxa"/>
            <w:tcBorders>
              <w:top w:val="single" w:sz="2" w:space="0" w:color="auto"/>
              <w:left w:val="single" w:sz="2" w:space="0" w:color="auto"/>
              <w:bottom w:val="single" w:sz="2" w:space="0" w:color="auto"/>
              <w:right w:val="single" w:sz="2" w:space="0" w:color="auto"/>
            </w:tcBorders>
          </w:tcPr>
          <w:p w14:paraId="4943107C" w14:textId="77777777" w:rsidR="009F4766" w:rsidRPr="00DE12A3" w:rsidRDefault="009F4766" w:rsidP="00C917D6">
            <w:pPr>
              <w:pStyle w:val="NormalLeft"/>
            </w:pPr>
            <w:r w:rsidRPr="00DE12A3">
              <w:t>6</w:t>
            </w:r>
          </w:p>
        </w:tc>
      </w:tr>
      <w:tr w:rsidR="00DE12A3" w:rsidRPr="00DE12A3" w14:paraId="081517F0" w14:textId="77777777" w:rsidTr="009F4766">
        <w:tc>
          <w:tcPr>
            <w:tcW w:w="1182" w:type="dxa"/>
            <w:tcBorders>
              <w:top w:val="single" w:sz="2" w:space="0" w:color="auto"/>
              <w:left w:val="single" w:sz="2" w:space="0" w:color="auto"/>
              <w:bottom w:val="single" w:sz="2" w:space="0" w:color="auto"/>
              <w:right w:val="single" w:sz="2" w:space="0" w:color="auto"/>
            </w:tcBorders>
          </w:tcPr>
          <w:p w14:paraId="19BB6CC0" w14:textId="77777777" w:rsidR="009F4766" w:rsidRPr="00DE12A3" w:rsidRDefault="009F4766" w:rsidP="00C917D6">
            <w:pPr>
              <w:pStyle w:val="NormalLeft"/>
            </w:pPr>
            <w:r w:rsidRPr="00DE12A3">
              <w:t>169</w:t>
            </w:r>
          </w:p>
        </w:tc>
        <w:tc>
          <w:tcPr>
            <w:tcW w:w="2489" w:type="dxa"/>
            <w:tcBorders>
              <w:top w:val="single" w:sz="2" w:space="0" w:color="auto"/>
              <w:left w:val="single" w:sz="2" w:space="0" w:color="auto"/>
              <w:bottom w:val="single" w:sz="2" w:space="0" w:color="auto"/>
              <w:right w:val="single" w:sz="2" w:space="0" w:color="auto"/>
            </w:tcBorders>
          </w:tcPr>
          <w:p w14:paraId="4647BD18" w14:textId="77777777" w:rsidR="009F4766" w:rsidRPr="00DE12A3" w:rsidRDefault="009F4766" w:rsidP="00C917D6">
            <w:pPr>
              <w:pStyle w:val="NormalLeft"/>
            </w:pPr>
            <w:r w:rsidRPr="00DE12A3">
              <w:t>0</w:t>
            </w:r>
          </w:p>
        </w:tc>
        <w:tc>
          <w:tcPr>
            <w:tcW w:w="2551" w:type="dxa"/>
            <w:tcBorders>
              <w:top w:val="single" w:sz="2" w:space="0" w:color="auto"/>
              <w:left w:val="single" w:sz="2" w:space="0" w:color="auto"/>
              <w:bottom w:val="single" w:sz="2" w:space="0" w:color="auto"/>
              <w:right w:val="single" w:sz="2" w:space="0" w:color="auto"/>
            </w:tcBorders>
          </w:tcPr>
          <w:p w14:paraId="492E162A" w14:textId="77777777" w:rsidR="009F4766" w:rsidRPr="00DE12A3" w:rsidRDefault="009F4766" w:rsidP="00C917D6">
            <w:pPr>
              <w:pStyle w:val="NormalLeft"/>
            </w:pPr>
            <w:r w:rsidRPr="00DE12A3">
              <w:t>8</w:t>
            </w:r>
          </w:p>
        </w:tc>
      </w:tr>
      <w:tr w:rsidR="00DE12A3" w:rsidRPr="00DE12A3" w14:paraId="26B7AB21" w14:textId="77777777" w:rsidTr="009F4766">
        <w:tc>
          <w:tcPr>
            <w:tcW w:w="1182" w:type="dxa"/>
            <w:tcBorders>
              <w:top w:val="single" w:sz="2" w:space="0" w:color="auto"/>
              <w:left w:val="single" w:sz="2" w:space="0" w:color="auto"/>
              <w:bottom w:val="single" w:sz="2" w:space="0" w:color="auto"/>
              <w:right w:val="single" w:sz="2" w:space="0" w:color="auto"/>
            </w:tcBorders>
          </w:tcPr>
          <w:p w14:paraId="2C43FB06" w14:textId="77777777" w:rsidR="009F4766" w:rsidRPr="00DE12A3" w:rsidRDefault="009F4766" w:rsidP="00C917D6">
            <w:pPr>
              <w:pStyle w:val="NormalLeft"/>
            </w:pPr>
            <w:r w:rsidRPr="00DE12A3">
              <w:t>170</w:t>
            </w:r>
          </w:p>
        </w:tc>
        <w:tc>
          <w:tcPr>
            <w:tcW w:w="2489" w:type="dxa"/>
            <w:tcBorders>
              <w:top w:val="single" w:sz="2" w:space="0" w:color="auto"/>
              <w:left w:val="single" w:sz="2" w:space="0" w:color="auto"/>
              <w:bottom w:val="single" w:sz="2" w:space="0" w:color="auto"/>
              <w:right w:val="single" w:sz="2" w:space="0" w:color="auto"/>
            </w:tcBorders>
          </w:tcPr>
          <w:p w14:paraId="4701EECB" w14:textId="77777777" w:rsidR="009F4766" w:rsidRPr="00DE12A3" w:rsidRDefault="009F4766" w:rsidP="00C917D6">
            <w:pPr>
              <w:pStyle w:val="NormalLeft"/>
            </w:pPr>
            <w:r w:rsidRPr="00DE12A3">
              <w:t>0</w:t>
            </w:r>
          </w:p>
        </w:tc>
        <w:tc>
          <w:tcPr>
            <w:tcW w:w="2551" w:type="dxa"/>
            <w:tcBorders>
              <w:top w:val="single" w:sz="2" w:space="0" w:color="auto"/>
              <w:left w:val="single" w:sz="2" w:space="0" w:color="auto"/>
              <w:bottom w:val="single" w:sz="2" w:space="0" w:color="auto"/>
              <w:right w:val="single" w:sz="2" w:space="0" w:color="auto"/>
            </w:tcBorders>
          </w:tcPr>
          <w:p w14:paraId="3032C4E1" w14:textId="77777777" w:rsidR="009F4766" w:rsidRPr="00DE12A3" w:rsidRDefault="009F4766" w:rsidP="00C917D6">
            <w:pPr>
              <w:pStyle w:val="NormalLeft"/>
            </w:pPr>
            <w:r w:rsidRPr="00DE12A3">
              <w:t>8</w:t>
            </w:r>
          </w:p>
        </w:tc>
      </w:tr>
      <w:tr w:rsidR="00DE12A3" w:rsidRPr="00DE12A3" w14:paraId="65922F45" w14:textId="77777777" w:rsidTr="009F4766">
        <w:tc>
          <w:tcPr>
            <w:tcW w:w="1182" w:type="dxa"/>
            <w:tcBorders>
              <w:top w:val="single" w:sz="2" w:space="0" w:color="auto"/>
              <w:left w:val="single" w:sz="2" w:space="0" w:color="auto"/>
              <w:bottom w:val="single" w:sz="2" w:space="0" w:color="auto"/>
              <w:right w:val="single" w:sz="2" w:space="0" w:color="auto"/>
            </w:tcBorders>
          </w:tcPr>
          <w:p w14:paraId="6F2CDE16" w14:textId="77777777" w:rsidR="009F4766" w:rsidRPr="00DE12A3" w:rsidRDefault="009F4766" w:rsidP="00C917D6">
            <w:pPr>
              <w:pStyle w:val="NormalLeft"/>
            </w:pPr>
            <w:r w:rsidRPr="00DE12A3">
              <w:t>171</w:t>
            </w:r>
          </w:p>
        </w:tc>
        <w:tc>
          <w:tcPr>
            <w:tcW w:w="2489" w:type="dxa"/>
            <w:tcBorders>
              <w:top w:val="single" w:sz="2" w:space="0" w:color="auto"/>
              <w:left w:val="single" w:sz="2" w:space="0" w:color="auto"/>
              <w:bottom w:val="single" w:sz="2" w:space="0" w:color="auto"/>
              <w:right w:val="single" w:sz="2" w:space="0" w:color="auto"/>
            </w:tcBorders>
          </w:tcPr>
          <w:p w14:paraId="2750EEAD" w14:textId="77777777" w:rsidR="009F4766" w:rsidRPr="00DE12A3" w:rsidRDefault="009F4766" w:rsidP="00C917D6">
            <w:pPr>
              <w:pStyle w:val="NormalLeft"/>
            </w:pPr>
            <w:r w:rsidRPr="00DE12A3">
              <w:t>0</w:t>
            </w:r>
          </w:p>
        </w:tc>
        <w:tc>
          <w:tcPr>
            <w:tcW w:w="2551" w:type="dxa"/>
            <w:tcBorders>
              <w:top w:val="single" w:sz="2" w:space="0" w:color="auto"/>
              <w:left w:val="single" w:sz="2" w:space="0" w:color="auto"/>
              <w:bottom w:val="single" w:sz="2" w:space="0" w:color="auto"/>
              <w:right w:val="single" w:sz="2" w:space="0" w:color="auto"/>
            </w:tcBorders>
          </w:tcPr>
          <w:p w14:paraId="66E11FEA" w14:textId="77777777" w:rsidR="009F4766" w:rsidRPr="00DE12A3" w:rsidRDefault="009F4766" w:rsidP="00C917D6">
            <w:pPr>
              <w:pStyle w:val="NormalLeft"/>
            </w:pPr>
            <w:r w:rsidRPr="00DE12A3">
              <w:t>2</w:t>
            </w:r>
          </w:p>
        </w:tc>
      </w:tr>
      <w:tr w:rsidR="00DE12A3" w:rsidRPr="00DE12A3" w14:paraId="5AAE07DE" w14:textId="77777777" w:rsidTr="009F4766">
        <w:tc>
          <w:tcPr>
            <w:tcW w:w="1182" w:type="dxa"/>
            <w:tcBorders>
              <w:top w:val="single" w:sz="2" w:space="0" w:color="auto"/>
              <w:left w:val="single" w:sz="2" w:space="0" w:color="auto"/>
              <w:bottom w:val="single" w:sz="2" w:space="0" w:color="auto"/>
              <w:right w:val="single" w:sz="2" w:space="0" w:color="auto"/>
            </w:tcBorders>
          </w:tcPr>
          <w:p w14:paraId="342C4D0C" w14:textId="77777777" w:rsidR="009F4766" w:rsidRPr="00DE12A3" w:rsidRDefault="009F4766" w:rsidP="00C917D6">
            <w:pPr>
              <w:pStyle w:val="NormalLeft"/>
            </w:pPr>
            <w:r w:rsidRPr="00DE12A3">
              <w:t>172</w:t>
            </w:r>
          </w:p>
        </w:tc>
        <w:tc>
          <w:tcPr>
            <w:tcW w:w="2489" w:type="dxa"/>
            <w:tcBorders>
              <w:top w:val="single" w:sz="2" w:space="0" w:color="auto"/>
              <w:left w:val="single" w:sz="2" w:space="0" w:color="auto"/>
              <w:bottom w:val="single" w:sz="2" w:space="0" w:color="auto"/>
              <w:right w:val="single" w:sz="2" w:space="0" w:color="auto"/>
            </w:tcBorders>
          </w:tcPr>
          <w:p w14:paraId="22949D2D" w14:textId="77777777" w:rsidR="009F4766" w:rsidRPr="00DE12A3" w:rsidRDefault="009F4766" w:rsidP="00C917D6">
            <w:pPr>
              <w:pStyle w:val="NormalLeft"/>
            </w:pPr>
            <w:r w:rsidRPr="00DE12A3">
              <w:t>2</w:t>
            </w:r>
          </w:p>
        </w:tc>
        <w:tc>
          <w:tcPr>
            <w:tcW w:w="2551" w:type="dxa"/>
            <w:tcBorders>
              <w:top w:val="single" w:sz="2" w:space="0" w:color="auto"/>
              <w:left w:val="single" w:sz="2" w:space="0" w:color="auto"/>
              <w:bottom w:val="single" w:sz="2" w:space="0" w:color="auto"/>
              <w:right w:val="single" w:sz="2" w:space="0" w:color="auto"/>
            </w:tcBorders>
          </w:tcPr>
          <w:p w14:paraId="3A5E9CB1" w14:textId="77777777" w:rsidR="009F4766" w:rsidRPr="00DE12A3" w:rsidRDefault="009F4766" w:rsidP="00C917D6">
            <w:pPr>
              <w:pStyle w:val="NormalLeft"/>
            </w:pPr>
            <w:r w:rsidRPr="00DE12A3">
              <w:t>17</w:t>
            </w:r>
          </w:p>
        </w:tc>
      </w:tr>
      <w:tr w:rsidR="00DE12A3" w:rsidRPr="00DE12A3" w14:paraId="2BFEC00F" w14:textId="77777777" w:rsidTr="009F4766">
        <w:tc>
          <w:tcPr>
            <w:tcW w:w="1182" w:type="dxa"/>
            <w:tcBorders>
              <w:top w:val="single" w:sz="2" w:space="0" w:color="auto"/>
              <w:left w:val="single" w:sz="2" w:space="0" w:color="auto"/>
              <w:bottom w:val="single" w:sz="2" w:space="0" w:color="auto"/>
              <w:right w:val="single" w:sz="2" w:space="0" w:color="auto"/>
            </w:tcBorders>
          </w:tcPr>
          <w:p w14:paraId="6170BA1F" w14:textId="77777777" w:rsidR="009F4766" w:rsidRPr="00DE12A3" w:rsidRDefault="009F4766" w:rsidP="00C917D6">
            <w:pPr>
              <w:pStyle w:val="NormalLeft"/>
            </w:pPr>
            <w:r w:rsidRPr="00DE12A3">
              <w:t>173</w:t>
            </w:r>
          </w:p>
        </w:tc>
        <w:tc>
          <w:tcPr>
            <w:tcW w:w="2489" w:type="dxa"/>
            <w:tcBorders>
              <w:top w:val="single" w:sz="2" w:space="0" w:color="auto"/>
              <w:left w:val="single" w:sz="2" w:space="0" w:color="auto"/>
              <w:bottom w:val="single" w:sz="2" w:space="0" w:color="auto"/>
              <w:right w:val="single" w:sz="2" w:space="0" w:color="auto"/>
            </w:tcBorders>
          </w:tcPr>
          <w:p w14:paraId="3CA1155F" w14:textId="77777777" w:rsidR="009F4766" w:rsidRPr="00DE12A3" w:rsidRDefault="009F4766" w:rsidP="00C917D6">
            <w:pPr>
              <w:pStyle w:val="NormalLeft"/>
            </w:pPr>
            <w:r w:rsidRPr="00DE12A3">
              <w:t>10</w:t>
            </w:r>
          </w:p>
        </w:tc>
        <w:tc>
          <w:tcPr>
            <w:tcW w:w="2551" w:type="dxa"/>
            <w:tcBorders>
              <w:top w:val="single" w:sz="2" w:space="0" w:color="auto"/>
              <w:left w:val="single" w:sz="2" w:space="0" w:color="auto"/>
              <w:bottom w:val="single" w:sz="2" w:space="0" w:color="auto"/>
              <w:right w:val="single" w:sz="2" w:space="0" w:color="auto"/>
            </w:tcBorders>
          </w:tcPr>
          <w:p w14:paraId="0ABDBCC0" w14:textId="77777777" w:rsidR="009F4766" w:rsidRPr="00DE12A3" w:rsidRDefault="009F4766" w:rsidP="00C917D6">
            <w:pPr>
              <w:pStyle w:val="NormalLeft"/>
            </w:pPr>
            <w:r w:rsidRPr="00DE12A3">
              <w:t>28</w:t>
            </w:r>
          </w:p>
        </w:tc>
      </w:tr>
      <w:tr w:rsidR="00DE12A3" w:rsidRPr="00DE12A3" w14:paraId="77939C96" w14:textId="77777777" w:rsidTr="009F4766">
        <w:tc>
          <w:tcPr>
            <w:tcW w:w="1182" w:type="dxa"/>
            <w:tcBorders>
              <w:top w:val="single" w:sz="2" w:space="0" w:color="auto"/>
              <w:left w:val="single" w:sz="2" w:space="0" w:color="auto"/>
              <w:bottom w:val="single" w:sz="2" w:space="0" w:color="auto"/>
              <w:right w:val="single" w:sz="2" w:space="0" w:color="auto"/>
            </w:tcBorders>
          </w:tcPr>
          <w:p w14:paraId="671ABCAA" w14:textId="77777777" w:rsidR="009F4766" w:rsidRPr="00DE12A3" w:rsidRDefault="009F4766" w:rsidP="00C917D6">
            <w:pPr>
              <w:pStyle w:val="NormalLeft"/>
            </w:pPr>
            <w:r w:rsidRPr="00DE12A3">
              <w:t>174</w:t>
            </w:r>
          </w:p>
        </w:tc>
        <w:tc>
          <w:tcPr>
            <w:tcW w:w="2489" w:type="dxa"/>
            <w:tcBorders>
              <w:top w:val="single" w:sz="2" w:space="0" w:color="auto"/>
              <w:left w:val="single" w:sz="2" w:space="0" w:color="auto"/>
              <w:bottom w:val="single" w:sz="2" w:space="0" w:color="auto"/>
              <w:right w:val="single" w:sz="2" w:space="0" w:color="auto"/>
            </w:tcBorders>
          </w:tcPr>
          <w:p w14:paraId="07C4AEF6" w14:textId="77777777" w:rsidR="009F4766" w:rsidRPr="00DE12A3" w:rsidRDefault="009F4766" w:rsidP="00C917D6">
            <w:pPr>
              <w:pStyle w:val="NormalLeft"/>
            </w:pPr>
            <w:r w:rsidRPr="00DE12A3">
              <w:t>28</w:t>
            </w:r>
          </w:p>
        </w:tc>
        <w:tc>
          <w:tcPr>
            <w:tcW w:w="2551" w:type="dxa"/>
            <w:tcBorders>
              <w:top w:val="single" w:sz="2" w:space="0" w:color="auto"/>
              <w:left w:val="single" w:sz="2" w:space="0" w:color="auto"/>
              <w:bottom w:val="single" w:sz="2" w:space="0" w:color="auto"/>
              <w:right w:val="single" w:sz="2" w:space="0" w:color="auto"/>
            </w:tcBorders>
          </w:tcPr>
          <w:p w14:paraId="1F78C7BF" w14:textId="77777777" w:rsidR="009F4766" w:rsidRPr="00DE12A3" w:rsidRDefault="009F4766" w:rsidP="00C917D6">
            <w:pPr>
              <w:pStyle w:val="NormalLeft"/>
            </w:pPr>
            <w:r w:rsidRPr="00DE12A3">
              <w:t>31</w:t>
            </w:r>
          </w:p>
        </w:tc>
      </w:tr>
      <w:tr w:rsidR="00DE12A3" w:rsidRPr="00DE12A3" w14:paraId="041717B1" w14:textId="77777777" w:rsidTr="009F4766">
        <w:tc>
          <w:tcPr>
            <w:tcW w:w="1182" w:type="dxa"/>
            <w:tcBorders>
              <w:top w:val="single" w:sz="2" w:space="0" w:color="auto"/>
              <w:left w:val="single" w:sz="2" w:space="0" w:color="auto"/>
              <w:bottom w:val="single" w:sz="2" w:space="0" w:color="auto"/>
              <w:right w:val="single" w:sz="2" w:space="0" w:color="auto"/>
            </w:tcBorders>
          </w:tcPr>
          <w:p w14:paraId="74EB1B27" w14:textId="77777777" w:rsidR="009F4766" w:rsidRPr="00DE12A3" w:rsidRDefault="009F4766" w:rsidP="00C917D6">
            <w:pPr>
              <w:pStyle w:val="NormalLeft"/>
            </w:pPr>
            <w:r w:rsidRPr="00DE12A3">
              <w:t>175</w:t>
            </w:r>
          </w:p>
        </w:tc>
        <w:tc>
          <w:tcPr>
            <w:tcW w:w="2489" w:type="dxa"/>
            <w:tcBorders>
              <w:top w:val="single" w:sz="2" w:space="0" w:color="auto"/>
              <w:left w:val="single" w:sz="2" w:space="0" w:color="auto"/>
              <w:bottom w:val="single" w:sz="2" w:space="0" w:color="auto"/>
              <w:right w:val="single" w:sz="2" w:space="0" w:color="auto"/>
            </w:tcBorders>
          </w:tcPr>
          <w:p w14:paraId="7A7DA053" w14:textId="77777777" w:rsidR="009F4766" w:rsidRPr="00DE12A3" w:rsidRDefault="009F4766" w:rsidP="00C917D6">
            <w:pPr>
              <w:pStyle w:val="NormalLeft"/>
            </w:pPr>
            <w:r w:rsidRPr="00DE12A3">
              <w:t>33</w:t>
            </w:r>
          </w:p>
        </w:tc>
        <w:tc>
          <w:tcPr>
            <w:tcW w:w="2551" w:type="dxa"/>
            <w:tcBorders>
              <w:top w:val="single" w:sz="2" w:space="0" w:color="auto"/>
              <w:left w:val="single" w:sz="2" w:space="0" w:color="auto"/>
              <w:bottom w:val="single" w:sz="2" w:space="0" w:color="auto"/>
              <w:right w:val="single" w:sz="2" w:space="0" w:color="auto"/>
            </w:tcBorders>
          </w:tcPr>
          <w:p w14:paraId="407C856A" w14:textId="77777777" w:rsidR="009F4766" w:rsidRPr="00DE12A3" w:rsidRDefault="009F4766" w:rsidP="00C917D6">
            <w:pPr>
              <w:pStyle w:val="NormalLeft"/>
            </w:pPr>
            <w:r w:rsidRPr="00DE12A3">
              <w:t>30</w:t>
            </w:r>
          </w:p>
        </w:tc>
      </w:tr>
      <w:tr w:rsidR="00DE12A3" w:rsidRPr="00DE12A3" w14:paraId="7FD91C47" w14:textId="77777777" w:rsidTr="009F4766">
        <w:tc>
          <w:tcPr>
            <w:tcW w:w="1182" w:type="dxa"/>
            <w:tcBorders>
              <w:top w:val="single" w:sz="2" w:space="0" w:color="auto"/>
              <w:left w:val="single" w:sz="2" w:space="0" w:color="auto"/>
              <w:bottom w:val="single" w:sz="2" w:space="0" w:color="auto"/>
              <w:right w:val="single" w:sz="2" w:space="0" w:color="auto"/>
            </w:tcBorders>
          </w:tcPr>
          <w:p w14:paraId="04F48F29" w14:textId="77777777" w:rsidR="009F4766" w:rsidRPr="00DE12A3" w:rsidRDefault="009F4766" w:rsidP="00C917D6">
            <w:pPr>
              <w:pStyle w:val="NormalLeft"/>
            </w:pPr>
            <w:r w:rsidRPr="00DE12A3">
              <w:t>176</w:t>
            </w:r>
          </w:p>
        </w:tc>
        <w:tc>
          <w:tcPr>
            <w:tcW w:w="2489" w:type="dxa"/>
            <w:tcBorders>
              <w:top w:val="single" w:sz="2" w:space="0" w:color="auto"/>
              <w:left w:val="single" w:sz="2" w:space="0" w:color="auto"/>
              <w:bottom w:val="single" w:sz="2" w:space="0" w:color="auto"/>
              <w:right w:val="single" w:sz="2" w:space="0" w:color="auto"/>
            </w:tcBorders>
          </w:tcPr>
          <w:p w14:paraId="3524D1AA" w14:textId="77777777" w:rsidR="009F4766" w:rsidRPr="00DE12A3" w:rsidRDefault="009F4766" w:rsidP="00C917D6">
            <w:pPr>
              <w:pStyle w:val="NormalLeft"/>
            </w:pPr>
            <w:r w:rsidRPr="00DE12A3">
              <w:t>36</w:t>
            </w:r>
          </w:p>
        </w:tc>
        <w:tc>
          <w:tcPr>
            <w:tcW w:w="2551" w:type="dxa"/>
            <w:tcBorders>
              <w:top w:val="single" w:sz="2" w:space="0" w:color="auto"/>
              <w:left w:val="single" w:sz="2" w:space="0" w:color="auto"/>
              <w:bottom w:val="single" w:sz="2" w:space="0" w:color="auto"/>
              <w:right w:val="single" w:sz="2" w:space="0" w:color="auto"/>
            </w:tcBorders>
          </w:tcPr>
          <w:p w14:paraId="608C4252" w14:textId="77777777" w:rsidR="009F4766" w:rsidRPr="00DE12A3" w:rsidRDefault="009F4766" w:rsidP="00C917D6">
            <w:pPr>
              <w:pStyle w:val="NormalLeft"/>
            </w:pPr>
            <w:r w:rsidRPr="00DE12A3">
              <w:t>0</w:t>
            </w:r>
          </w:p>
        </w:tc>
      </w:tr>
      <w:tr w:rsidR="00DE12A3" w:rsidRPr="00DE12A3" w14:paraId="00D22181" w14:textId="77777777" w:rsidTr="009F4766">
        <w:tc>
          <w:tcPr>
            <w:tcW w:w="1182" w:type="dxa"/>
            <w:tcBorders>
              <w:top w:val="single" w:sz="2" w:space="0" w:color="auto"/>
              <w:left w:val="single" w:sz="2" w:space="0" w:color="auto"/>
              <w:bottom w:val="single" w:sz="2" w:space="0" w:color="auto"/>
              <w:right w:val="single" w:sz="2" w:space="0" w:color="auto"/>
            </w:tcBorders>
          </w:tcPr>
          <w:p w14:paraId="471EBD7D" w14:textId="77777777" w:rsidR="009F4766" w:rsidRPr="00DE12A3" w:rsidRDefault="009F4766" w:rsidP="00C917D6">
            <w:pPr>
              <w:pStyle w:val="NormalLeft"/>
            </w:pPr>
            <w:r w:rsidRPr="00DE12A3">
              <w:t>177</w:t>
            </w:r>
          </w:p>
        </w:tc>
        <w:tc>
          <w:tcPr>
            <w:tcW w:w="2489" w:type="dxa"/>
            <w:tcBorders>
              <w:top w:val="single" w:sz="2" w:space="0" w:color="auto"/>
              <w:left w:val="single" w:sz="2" w:space="0" w:color="auto"/>
              <w:bottom w:val="single" w:sz="2" w:space="0" w:color="auto"/>
              <w:right w:val="single" w:sz="2" w:space="0" w:color="auto"/>
            </w:tcBorders>
          </w:tcPr>
          <w:p w14:paraId="01583B42" w14:textId="77777777" w:rsidR="009F4766" w:rsidRPr="00DE12A3" w:rsidRDefault="009F4766" w:rsidP="00C917D6">
            <w:pPr>
              <w:pStyle w:val="NormalLeft"/>
            </w:pPr>
            <w:r w:rsidRPr="00DE12A3">
              <w:t>19</w:t>
            </w:r>
          </w:p>
        </w:tc>
        <w:tc>
          <w:tcPr>
            <w:tcW w:w="2551" w:type="dxa"/>
            <w:tcBorders>
              <w:top w:val="single" w:sz="2" w:space="0" w:color="auto"/>
              <w:left w:val="single" w:sz="2" w:space="0" w:color="auto"/>
              <w:bottom w:val="single" w:sz="2" w:space="0" w:color="auto"/>
              <w:right w:val="single" w:sz="2" w:space="0" w:color="auto"/>
            </w:tcBorders>
          </w:tcPr>
          <w:p w14:paraId="30E5F419" w14:textId="77777777" w:rsidR="009F4766" w:rsidRPr="00DE12A3" w:rsidRDefault="009F4766" w:rsidP="00C917D6">
            <w:pPr>
              <w:pStyle w:val="NormalLeft"/>
            </w:pPr>
            <w:r w:rsidRPr="00DE12A3">
              <w:t>10</w:t>
            </w:r>
          </w:p>
        </w:tc>
      </w:tr>
      <w:tr w:rsidR="00DE12A3" w:rsidRPr="00DE12A3" w14:paraId="58026997" w14:textId="77777777" w:rsidTr="009F4766">
        <w:tc>
          <w:tcPr>
            <w:tcW w:w="1182" w:type="dxa"/>
            <w:tcBorders>
              <w:top w:val="single" w:sz="2" w:space="0" w:color="auto"/>
              <w:left w:val="single" w:sz="2" w:space="0" w:color="auto"/>
              <w:bottom w:val="single" w:sz="2" w:space="0" w:color="auto"/>
              <w:right w:val="single" w:sz="2" w:space="0" w:color="auto"/>
            </w:tcBorders>
          </w:tcPr>
          <w:p w14:paraId="185BF63E" w14:textId="77777777" w:rsidR="009F4766" w:rsidRPr="00DE12A3" w:rsidRDefault="009F4766" w:rsidP="00C917D6">
            <w:pPr>
              <w:pStyle w:val="NormalLeft"/>
            </w:pPr>
            <w:r w:rsidRPr="00DE12A3">
              <w:t>178</w:t>
            </w:r>
          </w:p>
        </w:tc>
        <w:tc>
          <w:tcPr>
            <w:tcW w:w="2489" w:type="dxa"/>
            <w:tcBorders>
              <w:top w:val="single" w:sz="2" w:space="0" w:color="auto"/>
              <w:left w:val="single" w:sz="2" w:space="0" w:color="auto"/>
              <w:bottom w:val="single" w:sz="2" w:space="0" w:color="auto"/>
              <w:right w:val="single" w:sz="2" w:space="0" w:color="auto"/>
            </w:tcBorders>
          </w:tcPr>
          <w:p w14:paraId="1B027657" w14:textId="77777777" w:rsidR="009F4766" w:rsidRPr="00DE12A3" w:rsidRDefault="009F4766" w:rsidP="00C917D6">
            <w:pPr>
              <w:pStyle w:val="NormalLeft"/>
            </w:pPr>
            <w:r w:rsidRPr="00DE12A3">
              <w:t>1</w:t>
            </w:r>
          </w:p>
        </w:tc>
        <w:tc>
          <w:tcPr>
            <w:tcW w:w="2551" w:type="dxa"/>
            <w:tcBorders>
              <w:top w:val="single" w:sz="2" w:space="0" w:color="auto"/>
              <w:left w:val="single" w:sz="2" w:space="0" w:color="auto"/>
              <w:bottom w:val="single" w:sz="2" w:space="0" w:color="auto"/>
              <w:right w:val="single" w:sz="2" w:space="0" w:color="auto"/>
            </w:tcBorders>
          </w:tcPr>
          <w:p w14:paraId="4882ABB7" w14:textId="77777777" w:rsidR="009F4766" w:rsidRPr="00DE12A3" w:rsidRDefault="009F4766" w:rsidP="00C917D6">
            <w:pPr>
              <w:pStyle w:val="NormalLeft"/>
            </w:pPr>
            <w:r w:rsidRPr="00DE12A3">
              <w:t>18</w:t>
            </w:r>
          </w:p>
        </w:tc>
      </w:tr>
      <w:tr w:rsidR="00DE12A3" w:rsidRPr="00DE12A3" w14:paraId="6E22B87D" w14:textId="77777777" w:rsidTr="009F4766">
        <w:tc>
          <w:tcPr>
            <w:tcW w:w="1182" w:type="dxa"/>
            <w:tcBorders>
              <w:top w:val="single" w:sz="2" w:space="0" w:color="auto"/>
              <w:left w:val="single" w:sz="2" w:space="0" w:color="auto"/>
              <w:bottom w:val="single" w:sz="2" w:space="0" w:color="auto"/>
              <w:right w:val="single" w:sz="2" w:space="0" w:color="auto"/>
            </w:tcBorders>
          </w:tcPr>
          <w:p w14:paraId="6F99A516" w14:textId="77777777" w:rsidR="009F4766" w:rsidRPr="00DE12A3" w:rsidRDefault="009F4766" w:rsidP="00C917D6">
            <w:pPr>
              <w:pStyle w:val="NormalLeft"/>
            </w:pPr>
            <w:r w:rsidRPr="00DE12A3">
              <w:t>179</w:t>
            </w:r>
          </w:p>
        </w:tc>
        <w:tc>
          <w:tcPr>
            <w:tcW w:w="2489" w:type="dxa"/>
            <w:tcBorders>
              <w:top w:val="single" w:sz="2" w:space="0" w:color="auto"/>
              <w:left w:val="single" w:sz="2" w:space="0" w:color="auto"/>
              <w:bottom w:val="single" w:sz="2" w:space="0" w:color="auto"/>
              <w:right w:val="single" w:sz="2" w:space="0" w:color="auto"/>
            </w:tcBorders>
          </w:tcPr>
          <w:p w14:paraId="745F3806" w14:textId="77777777" w:rsidR="009F4766" w:rsidRPr="00DE12A3" w:rsidRDefault="009F4766" w:rsidP="00C917D6">
            <w:pPr>
              <w:pStyle w:val="NormalLeft"/>
            </w:pPr>
            <w:r w:rsidRPr="00DE12A3">
              <w:t>0</w:t>
            </w:r>
          </w:p>
        </w:tc>
        <w:tc>
          <w:tcPr>
            <w:tcW w:w="2551" w:type="dxa"/>
            <w:tcBorders>
              <w:top w:val="single" w:sz="2" w:space="0" w:color="auto"/>
              <w:left w:val="single" w:sz="2" w:space="0" w:color="auto"/>
              <w:bottom w:val="single" w:sz="2" w:space="0" w:color="auto"/>
              <w:right w:val="single" w:sz="2" w:space="0" w:color="auto"/>
            </w:tcBorders>
          </w:tcPr>
          <w:p w14:paraId="03F521EA" w14:textId="77777777" w:rsidR="009F4766" w:rsidRPr="00DE12A3" w:rsidRDefault="009F4766" w:rsidP="00C917D6">
            <w:pPr>
              <w:pStyle w:val="NormalLeft"/>
            </w:pPr>
            <w:r w:rsidRPr="00DE12A3">
              <w:t>16</w:t>
            </w:r>
          </w:p>
        </w:tc>
      </w:tr>
      <w:tr w:rsidR="00DE12A3" w:rsidRPr="00DE12A3" w14:paraId="5535086F" w14:textId="77777777" w:rsidTr="009F4766">
        <w:tc>
          <w:tcPr>
            <w:tcW w:w="1182" w:type="dxa"/>
            <w:tcBorders>
              <w:top w:val="single" w:sz="2" w:space="0" w:color="auto"/>
              <w:left w:val="single" w:sz="2" w:space="0" w:color="auto"/>
              <w:bottom w:val="single" w:sz="2" w:space="0" w:color="auto"/>
              <w:right w:val="single" w:sz="2" w:space="0" w:color="auto"/>
            </w:tcBorders>
          </w:tcPr>
          <w:p w14:paraId="450C933D" w14:textId="77777777" w:rsidR="009F4766" w:rsidRPr="00DE12A3" w:rsidRDefault="009F4766" w:rsidP="00C917D6">
            <w:pPr>
              <w:pStyle w:val="NormalLeft"/>
            </w:pPr>
            <w:r w:rsidRPr="00DE12A3">
              <w:t>180</w:t>
            </w:r>
          </w:p>
        </w:tc>
        <w:tc>
          <w:tcPr>
            <w:tcW w:w="2489" w:type="dxa"/>
            <w:tcBorders>
              <w:top w:val="single" w:sz="2" w:space="0" w:color="auto"/>
              <w:left w:val="single" w:sz="2" w:space="0" w:color="auto"/>
              <w:bottom w:val="single" w:sz="2" w:space="0" w:color="auto"/>
              <w:right w:val="single" w:sz="2" w:space="0" w:color="auto"/>
            </w:tcBorders>
          </w:tcPr>
          <w:p w14:paraId="0E796082" w14:textId="77777777" w:rsidR="009F4766" w:rsidRPr="00DE12A3" w:rsidRDefault="009F4766" w:rsidP="00C917D6">
            <w:pPr>
              <w:pStyle w:val="NormalLeft"/>
            </w:pPr>
            <w:r w:rsidRPr="00DE12A3">
              <w:t>1</w:t>
            </w:r>
          </w:p>
        </w:tc>
        <w:tc>
          <w:tcPr>
            <w:tcW w:w="2551" w:type="dxa"/>
            <w:tcBorders>
              <w:top w:val="single" w:sz="2" w:space="0" w:color="auto"/>
              <w:left w:val="single" w:sz="2" w:space="0" w:color="auto"/>
              <w:bottom w:val="single" w:sz="2" w:space="0" w:color="auto"/>
              <w:right w:val="single" w:sz="2" w:space="0" w:color="auto"/>
            </w:tcBorders>
          </w:tcPr>
          <w:p w14:paraId="61780A6E" w14:textId="77777777" w:rsidR="009F4766" w:rsidRPr="00DE12A3" w:rsidRDefault="009F4766" w:rsidP="00C917D6">
            <w:pPr>
              <w:pStyle w:val="NormalLeft"/>
            </w:pPr>
            <w:r w:rsidRPr="00DE12A3">
              <w:t>3</w:t>
            </w:r>
          </w:p>
        </w:tc>
      </w:tr>
      <w:tr w:rsidR="00DE12A3" w:rsidRPr="00DE12A3" w14:paraId="57E3BBD9" w14:textId="77777777" w:rsidTr="009F4766">
        <w:tc>
          <w:tcPr>
            <w:tcW w:w="1182" w:type="dxa"/>
            <w:tcBorders>
              <w:top w:val="single" w:sz="2" w:space="0" w:color="auto"/>
              <w:left w:val="single" w:sz="2" w:space="0" w:color="auto"/>
              <w:bottom w:val="single" w:sz="2" w:space="0" w:color="auto"/>
              <w:right w:val="single" w:sz="2" w:space="0" w:color="auto"/>
            </w:tcBorders>
          </w:tcPr>
          <w:p w14:paraId="6E91686E" w14:textId="77777777" w:rsidR="009F4766" w:rsidRPr="00DE12A3" w:rsidRDefault="009F4766" w:rsidP="00C917D6">
            <w:pPr>
              <w:pStyle w:val="NormalLeft"/>
            </w:pPr>
            <w:r w:rsidRPr="00DE12A3">
              <w:t>181</w:t>
            </w:r>
          </w:p>
        </w:tc>
        <w:tc>
          <w:tcPr>
            <w:tcW w:w="2489" w:type="dxa"/>
            <w:tcBorders>
              <w:top w:val="single" w:sz="2" w:space="0" w:color="auto"/>
              <w:left w:val="single" w:sz="2" w:space="0" w:color="auto"/>
              <w:bottom w:val="single" w:sz="2" w:space="0" w:color="auto"/>
              <w:right w:val="single" w:sz="2" w:space="0" w:color="auto"/>
            </w:tcBorders>
          </w:tcPr>
          <w:p w14:paraId="5B60498F" w14:textId="77777777" w:rsidR="009F4766" w:rsidRPr="00DE12A3" w:rsidRDefault="009F4766" w:rsidP="00C917D6">
            <w:pPr>
              <w:pStyle w:val="NormalLeft"/>
            </w:pPr>
            <w:r w:rsidRPr="00DE12A3">
              <w:t>1</w:t>
            </w:r>
          </w:p>
        </w:tc>
        <w:tc>
          <w:tcPr>
            <w:tcW w:w="2551" w:type="dxa"/>
            <w:tcBorders>
              <w:top w:val="single" w:sz="2" w:space="0" w:color="auto"/>
              <w:left w:val="single" w:sz="2" w:space="0" w:color="auto"/>
              <w:bottom w:val="single" w:sz="2" w:space="0" w:color="auto"/>
              <w:right w:val="single" w:sz="2" w:space="0" w:color="auto"/>
            </w:tcBorders>
          </w:tcPr>
          <w:p w14:paraId="17F2C7B2" w14:textId="77777777" w:rsidR="009F4766" w:rsidRPr="00DE12A3" w:rsidRDefault="009F4766" w:rsidP="00C917D6">
            <w:pPr>
              <w:pStyle w:val="NormalLeft"/>
            </w:pPr>
            <w:r w:rsidRPr="00DE12A3">
              <w:t>4</w:t>
            </w:r>
          </w:p>
        </w:tc>
      </w:tr>
      <w:tr w:rsidR="00DE12A3" w:rsidRPr="00DE12A3" w14:paraId="17AA1E61" w14:textId="77777777" w:rsidTr="009F4766">
        <w:tc>
          <w:tcPr>
            <w:tcW w:w="1182" w:type="dxa"/>
            <w:tcBorders>
              <w:top w:val="single" w:sz="2" w:space="0" w:color="auto"/>
              <w:left w:val="single" w:sz="2" w:space="0" w:color="auto"/>
              <w:bottom w:val="single" w:sz="2" w:space="0" w:color="auto"/>
              <w:right w:val="single" w:sz="2" w:space="0" w:color="auto"/>
            </w:tcBorders>
          </w:tcPr>
          <w:p w14:paraId="56AA58E9" w14:textId="77777777" w:rsidR="009F4766" w:rsidRPr="00DE12A3" w:rsidRDefault="009F4766" w:rsidP="00C917D6">
            <w:pPr>
              <w:pStyle w:val="NormalLeft"/>
            </w:pPr>
            <w:r w:rsidRPr="00DE12A3">
              <w:t>182</w:t>
            </w:r>
          </w:p>
        </w:tc>
        <w:tc>
          <w:tcPr>
            <w:tcW w:w="2489" w:type="dxa"/>
            <w:tcBorders>
              <w:top w:val="single" w:sz="2" w:space="0" w:color="auto"/>
              <w:left w:val="single" w:sz="2" w:space="0" w:color="auto"/>
              <w:bottom w:val="single" w:sz="2" w:space="0" w:color="auto"/>
              <w:right w:val="single" w:sz="2" w:space="0" w:color="auto"/>
            </w:tcBorders>
          </w:tcPr>
          <w:p w14:paraId="6021BDC1" w14:textId="77777777" w:rsidR="009F4766" w:rsidRPr="00DE12A3" w:rsidRDefault="009F4766" w:rsidP="00C917D6">
            <w:pPr>
              <w:pStyle w:val="NormalLeft"/>
            </w:pPr>
            <w:r w:rsidRPr="00DE12A3">
              <w:t>1</w:t>
            </w:r>
          </w:p>
        </w:tc>
        <w:tc>
          <w:tcPr>
            <w:tcW w:w="2551" w:type="dxa"/>
            <w:tcBorders>
              <w:top w:val="single" w:sz="2" w:space="0" w:color="auto"/>
              <w:left w:val="single" w:sz="2" w:space="0" w:color="auto"/>
              <w:bottom w:val="single" w:sz="2" w:space="0" w:color="auto"/>
              <w:right w:val="single" w:sz="2" w:space="0" w:color="auto"/>
            </w:tcBorders>
          </w:tcPr>
          <w:p w14:paraId="09799086" w14:textId="77777777" w:rsidR="009F4766" w:rsidRPr="00DE12A3" w:rsidRDefault="009F4766" w:rsidP="00C917D6">
            <w:pPr>
              <w:pStyle w:val="NormalLeft"/>
            </w:pPr>
            <w:r w:rsidRPr="00DE12A3">
              <w:t>5</w:t>
            </w:r>
          </w:p>
        </w:tc>
      </w:tr>
      <w:tr w:rsidR="00DE12A3" w:rsidRPr="00DE12A3" w14:paraId="610FF2FB" w14:textId="77777777" w:rsidTr="009F4766">
        <w:tc>
          <w:tcPr>
            <w:tcW w:w="1182" w:type="dxa"/>
            <w:tcBorders>
              <w:top w:val="single" w:sz="2" w:space="0" w:color="auto"/>
              <w:left w:val="single" w:sz="2" w:space="0" w:color="auto"/>
              <w:bottom w:val="single" w:sz="2" w:space="0" w:color="auto"/>
              <w:right w:val="single" w:sz="2" w:space="0" w:color="auto"/>
            </w:tcBorders>
          </w:tcPr>
          <w:p w14:paraId="745C1D77" w14:textId="77777777" w:rsidR="009F4766" w:rsidRPr="00DE12A3" w:rsidRDefault="009F4766" w:rsidP="00C917D6">
            <w:pPr>
              <w:pStyle w:val="NormalLeft"/>
            </w:pPr>
            <w:r w:rsidRPr="00DE12A3">
              <w:t>183</w:t>
            </w:r>
          </w:p>
        </w:tc>
        <w:tc>
          <w:tcPr>
            <w:tcW w:w="2489" w:type="dxa"/>
            <w:tcBorders>
              <w:top w:val="single" w:sz="2" w:space="0" w:color="auto"/>
              <w:left w:val="single" w:sz="2" w:space="0" w:color="auto"/>
              <w:bottom w:val="single" w:sz="2" w:space="0" w:color="auto"/>
              <w:right w:val="single" w:sz="2" w:space="0" w:color="auto"/>
            </w:tcBorders>
          </w:tcPr>
          <w:p w14:paraId="0CE36135" w14:textId="77777777" w:rsidR="009F4766" w:rsidRPr="00DE12A3" w:rsidRDefault="009F4766" w:rsidP="00C917D6">
            <w:pPr>
              <w:pStyle w:val="NormalLeft"/>
            </w:pPr>
            <w:r w:rsidRPr="00DE12A3">
              <w:t>1</w:t>
            </w:r>
          </w:p>
        </w:tc>
        <w:tc>
          <w:tcPr>
            <w:tcW w:w="2551" w:type="dxa"/>
            <w:tcBorders>
              <w:top w:val="single" w:sz="2" w:space="0" w:color="auto"/>
              <w:left w:val="single" w:sz="2" w:space="0" w:color="auto"/>
              <w:bottom w:val="single" w:sz="2" w:space="0" w:color="auto"/>
              <w:right w:val="single" w:sz="2" w:space="0" w:color="auto"/>
            </w:tcBorders>
          </w:tcPr>
          <w:p w14:paraId="0A14F537" w14:textId="77777777" w:rsidR="009F4766" w:rsidRPr="00DE12A3" w:rsidRDefault="009F4766" w:rsidP="00C917D6">
            <w:pPr>
              <w:pStyle w:val="NormalLeft"/>
            </w:pPr>
            <w:r w:rsidRPr="00DE12A3">
              <w:t>6</w:t>
            </w:r>
          </w:p>
        </w:tc>
      </w:tr>
      <w:tr w:rsidR="00DE12A3" w:rsidRPr="00DE12A3" w14:paraId="786C36CC" w14:textId="77777777" w:rsidTr="009F4766">
        <w:tc>
          <w:tcPr>
            <w:tcW w:w="1182" w:type="dxa"/>
            <w:tcBorders>
              <w:top w:val="single" w:sz="2" w:space="0" w:color="auto"/>
              <w:left w:val="single" w:sz="2" w:space="0" w:color="auto"/>
              <w:bottom w:val="single" w:sz="2" w:space="0" w:color="auto"/>
              <w:right w:val="single" w:sz="2" w:space="0" w:color="auto"/>
            </w:tcBorders>
          </w:tcPr>
          <w:p w14:paraId="3BE96345" w14:textId="77777777" w:rsidR="009F4766" w:rsidRPr="00DE12A3" w:rsidRDefault="009F4766" w:rsidP="00C917D6">
            <w:pPr>
              <w:pStyle w:val="NormalLeft"/>
            </w:pPr>
            <w:r w:rsidRPr="00DE12A3">
              <w:t>184</w:t>
            </w:r>
          </w:p>
        </w:tc>
        <w:tc>
          <w:tcPr>
            <w:tcW w:w="2489" w:type="dxa"/>
            <w:tcBorders>
              <w:top w:val="single" w:sz="2" w:space="0" w:color="auto"/>
              <w:left w:val="single" w:sz="2" w:space="0" w:color="auto"/>
              <w:bottom w:val="single" w:sz="2" w:space="0" w:color="auto"/>
              <w:right w:val="single" w:sz="2" w:space="0" w:color="auto"/>
            </w:tcBorders>
          </w:tcPr>
          <w:p w14:paraId="039230FA" w14:textId="77777777" w:rsidR="009F4766" w:rsidRPr="00DE12A3" w:rsidRDefault="009F4766" w:rsidP="00C917D6">
            <w:pPr>
              <w:pStyle w:val="NormalLeft"/>
            </w:pPr>
            <w:r w:rsidRPr="00DE12A3">
              <w:t>1</w:t>
            </w:r>
          </w:p>
        </w:tc>
        <w:tc>
          <w:tcPr>
            <w:tcW w:w="2551" w:type="dxa"/>
            <w:tcBorders>
              <w:top w:val="single" w:sz="2" w:space="0" w:color="auto"/>
              <w:left w:val="single" w:sz="2" w:space="0" w:color="auto"/>
              <w:bottom w:val="single" w:sz="2" w:space="0" w:color="auto"/>
              <w:right w:val="single" w:sz="2" w:space="0" w:color="auto"/>
            </w:tcBorders>
          </w:tcPr>
          <w:p w14:paraId="1A6D914F" w14:textId="77777777" w:rsidR="009F4766" w:rsidRPr="00DE12A3" w:rsidRDefault="009F4766" w:rsidP="00C917D6">
            <w:pPr>
              <w:pStyle w:val="NormalLeft"/>
            </w:pPr>
            <w:r w:rsidRPr="00DE12A3">
              <w:t>5</w:t>
            </w:r>
          </w:p>
        </w:tc>
      </w:tr>
      <w:tr w:rsidR="00DE12A3" w:rsidRPr="00DE12A3" w14:paraId="7C22AA7A" w14:textId="77777777" w:rsidTr="009F4766">
        <w:tc>
          <w:tcPr>
            <w:tcW w:w="1182" w:type="dxa"/>
            <w:tcBorders>
              <w:top w:val="single" w:sz="2" w:space="0" w:color="auto"/>
              <w:left w:val="single" w:sz="2" w:space="0" w:color="auto"/>
              <w:bottom w:val="single" w:sz="2" w:space="0" w:color="auto"/>
              <w:right w:val="single" w:sz="2" w:space="0" w:color="auto"/>
            </w:tcBorders>
          </w:tcPr>
          <w:p w14:paraId="6A7F2BAA" w14:textId="77777777" w:rsidR="009F4766" w:rsidRPr="00DE12A3" w:rsidRDefault="009F4766" w:rsidP="00C917D6">
            <w:pPr>
              <w:pStyle w:val="NormalLeft"/>
            </w:pPr>
            <w:r w:rsidRPr="00DE12A3">
              <w:t>185</w:t>
            </w:r>
          </w:p>
        </w:tc>
        <w:tc>
          <w:tcPr>
            <w:tcW w:w="2489" w:type="dxa"/>
            <w:tcBorders>
              <w:top w:val="single" w:sz="2" w:space="0" w:color="auto"/>
              <w:left w:val="single" w:sz="2" w:space="0" w:color="auto"/>
              <w:bottom w:val="single" w:sz="2" w:space="0" w:color="auto"/>
              <w:right w:val="single" w:sz="2" w:space="0" w:color="auto"/>
            </w:tcBorders>
          </w:tcPr>
          <w:p w14:paraId="2BBB06D4" w14:textId="77777777" w:rsidR="009F4766" w:rsidRPr="00DE12A3" w:rsidRDefault="009F4766" w:rsidP="00C917D6">
            <w:pPr>
              <w:pStyle w:val="NormalLeft"/>
            </w:pPr>
            <w:r w:rsidRPr="00DE12A3">
              <w:t>1</w:t>
            </w:r>
          </w:p>
        </w:tc>
        <w:tc>
          <w:tcPr>
            <w:tcW w:w="2551" w:type="dxa"/>
            <w:tcBorders>
              <w:top w:val="single" w:sz="2" w:space="0" w:color="auto"/>
              <w:left w:val="single" w:sz="2" w:space="0" w:color="auto"/>
              <w:bottom w:val="single" w:sz="2" w:space="0" w:color="auto"/>
              <w:right w:val="single" w:sz="2" w:space="0" w:color="auto"/>
            </w:tcBorders>
          </w:tcPr>
          <w:p w14:paraId="4101C656" w14:textId="77777777" w:rsidR="009F4766" w:rsidRPr="00DE12A3" w:rsidRDefault="009F4766" w:rsidP="00C917D6">
            <w:pPr>
              <w:pStyle w:val="NormalLeft"/>
            </w:pPr>
            <w:r w:rsidRPr="00DE12A3">
              <w:t>3</w:t>
            </w:r>
          </w:p>
        </w:tc>
      </w:tr>
      <w:tr w:rsidR="00DE12A3" w:rsidRPr="00DE12A3" w14:paraId="781D86AB" w14:textId="77777777" w:rsidTr="009F4766">
        <w:tc>
          <w:tcPr>
            <w:tcW w:w="1182" w:type="dxa"/>
            <w:tcBorders>
              <w:top w:val="single" w:sz="2" w:space="0" w:color="auto"/>
              <w:left w:val="single" w:sz="2" w:space="0" w:color="auto"/>
              <w:bottom w:val="single" w:sz="2" w:space="0" w:color="auto"/>
              <w:right w:val="single" w:sz="2" w:space="0" w:color="auto"/>
            </w:tcBorders>
          </w:tcPr>
          <w:p w14:paraId="58F31756" w14:textId="77777777" w:rsidR="009F4766" w:rsidRPr="00DE12A3" w:rsidRDefault="009F4766" w:rsidP="00C917D6">
            <w:pPr>
              <w:pStyle w:val="NormalLeft"/>
            </w:pPr>
            <w:r w:rsidRPr="00DE12A3">
              <w:t>186</w:t>
            </w:r>
          </w:p>
        </w:tc>
        <w:tc>
          <w:tcPr>
            <w:tcW w:w="2489" w:type="dxa"/>
            <w:tcBorders>
              <w:top w:val="single" w:sz="2" w:space="0" w:color="auto"/>
              <w:left w:val="single" w:sz="2" w:space="0" w:color="auto"/>
              <w:bottom w:val="single" w:sz="2" w:space="0" w:color="auto"/>
              <w:right w:val="single" w:sz="2" w:space="0" w:color="auto"/>
            </w:tcBorders>
          </w:tcPr>
          <w:p w14:paraId="00D31264" w14:textId="77777777" w:rsidR="009F4766" w:rsidRPr="00DE12A3" w:rsidRDefault="009F4766" w:rsidP="00C917D6">
            <w:pPr>
              <w:pStyle w:val="NormalLeft"/>
            </w:pPr>
            <w:r w:rsidRPr="00DE12A3">
              <w:t>1</w:t>
            </w:r>
          </w:p>
        </w:tc>
        <w:tc>
          <w:tcPr>
            <w:tcW w:w="2551" w:type="dxa"/>
            <w:tcBorders>
              <w:top w:val="single" w:sz="2" w:space="0" w:color="auto"/>
              <w:left w:val="single" w:sz="2" w:space="0" w:color="auto"/>
              <w:bottom w:val="single" w:sz="2" w:space="0" w:color="auto"/>
              <w:right w:val="single" w:sz="2" w:space="0" w:color="auto"/>
            </w:tcBorders>
          </w:tcPr>
          <w:p w14:paraId="3C753921" w14:textId="77777777" w:rsidR="009F4766" w:rsidRPr="00DE12A3" w:rsidRDefault="009F4766" w:rsidP="00C917D6">
            <w:pPr>
              <w:pStyle w:val="NormalLeft"/>
            </w:pPr>
            <w:r w:rsidRPr="00DE12A3">
              <w:t>4</w:t>
            </w:r>
          </w:p>
        </w:tc>
      </w:tr>
      <w:tr w:rsidR="00DE12A3" w:rsidRPr="00DE12A3" w14:paraId="5FA3BF78" w14:textId="77777777" w:rsidTr="009F4766">
        <w:tc>
          <w:tcPr>
            <w:tcW w:w="1182" w:type="dxa"/>
            <w:tcBorders>
              <w:top w:val="single" w:sz="2" w:space="0" w:color="auto"/>
              <w:left w:val="single" w:sz="2" w:space="0" w:color="auto"/>
              <w:bottom w:val="single" w:sz="2" w:space="0" w:color="auto"/>
              <w:right w:val="single" w:sz="2" w:space="0" w:color="auto"/>
            </w:tcBorders>
          </w:tcPr>
          <w:p w14:paraId="1FC45811" w14:textId="77777777" w:rsidR="009F4766" w:rsidRPr="00DE12A3" w:rsidRDefault="009F4766" w:rsidP="00C917D6">
            <w:pPr>
              <w:pStyle w:val="NormalLeft"/>
            </w:pPr>
            <w:r w:rsidRPr="00DE12A3">
              <w:t>187</w:t>
            </w:r>
          </w:p>
        </w:tc>
        <w:tc>
          <w:tcPr>
            <w:tcW w:w="2489" w:type="dxa"/>
            <w:tcBorders>
              <w:top w:val="single" w:sz="2" w:space="0" w:color="auto"/>
              <w:left w:val="single" w:sz="2" w:space="0" w:color="auto"/>
              <w:bottom w:val="single" w:sz="2" w:space="0" w:color="auto"/>
              <w:right w:val="single" w:sz="2" w:space="0" w:color="auto"/>
            </w:tcBorders>
          </w:tcPr>
          <w:p w14:paraId="4A734716" w14:textId="77777777" w:rsidR="009F4766" w:rsidRPr="00DE12A3" w:rsidRDefault="009F4766" w:rsidP="00C917D6">
            <w:pPr>
              <w:pStyle w:val="NormalLeft"/>
            </w:pPr>
            <w:r w:rsidRPr="00DE12A3">
              <w:t>1</w:t>
            </w:r>
          </w:p>
        </w:tc>
        <w:tc>
          <w:tcPr>
            <w:tcW w:w="2551" w:type="dxa"/>
            <w:tcBorders>
              <w:top w:val="single" w:sz="2" w:space="0" w:color="auto"/>
              <w:left w:val="single" w:sz="2" w:space="0" w:color="auto"/>
              <w:bottom w:val="single" w:sz="2" w:space="0" w:color="auto"/>
              <w:right w:val="single" w:sz="2" w:space="0" w:color="auto"/>
            </w:tcBorders>
          </w:tcPr>
          <w:p w14:paraId="437AF8B3" w14:textId="77777777" w:rsidR="009F4766" w:rsidRPr="00DE12A3" w:rsidRDefault="009F4766" w:rsidP="00C917D6">
            <w:pPr>
              <w:pStyle w:val="NormalLeft"/>
            </w:pPr>
            <w:r w:rsidRPr="00DE12A3">
              <w:t>4</w:t>
            </w:r>
          </w:p>
        </w:tc>
      </w:tr>
      <w:tr w:rsidR="00DE12A3" w:rsidRPr="00DE12A3" w14:paraId="16C0C760" w14:textId="77777777" w:rsidTr="009F4766">
        <w:tc>
          <w:tcPr>
            <w:tcW w:w="1182" w:type="dxa"/>
            <w:tcBorders>
              <w:top w:val="single" w:sz="2" w:space="0" w:color="auto"/>
              <w:left w:val="single" w:sz="2" w:space="0" w:color="auto"/>
              <w:bottom w:val="single" w:sz="2" w:space="0" w:color="auto"/>
              <w:right w:val="single" w:sz="2" w:space="0" w:color="auto"/>
            </w:tcBorders>
          </w:tcPr>
          <w:p w14:paraId="27F553A2" w14:textId="77777777" w:rsidR="009F4766" w:rsidRPr="00DE12A3" w:rsidRDefault="009F4766" w:rsidP="00C917D6">
            <w:pPr>
              <w:pStyle w:val="NormalLeft"/>
            </w:pPr>
            <w:r w:rsidRPr="00DE12A3">
              <w:lastRenderedPageBreak/>
              <w:t>188</w:t>
            </w:r>
          </w:p>
        </w:tc>
        <w:tc>
          <w:tcPr>
            <w:tcW w:w="2489" w:type="dxa"/>
            <w:tcBorders>
              <w:top w:val="single" w:sz="2" w:space="0" w:color="auto"/>
              <w:left w:val="single" w:sz="2" w:space="0" w:color="auto"/>
              <w:bottom w:val="single" w:sz="2" w:space="0" w:color="auto"/>
              <w:right w:val="single" w:sz="2" w:space="0" w:color="auto"/>
            </w:tcBorders>
          </w:tcPr>
          <w:p w14:paraId="09963D0E" w14:textId="77777777" w:rsidR="009F4766" w:rsidRPr="00DE12A3" w:rsidRDefault="009F4766" w:rsidP="00C917D6">
            <w:pPr>
              <w:pStyle w:val="NormalLeft"/>
            </w:pPr>
            <w:r w:rsidRPr="00DE12A3">
              <w:t>1</w:t>
            </w:r>
          </w:p>
        </w:tc>
        <w:tc>
          <w:tcPr>
            <w:tcW w:w="2551" w:type="dxa"/>
            <w:tcBorders>
              <w:top w:val="single" w:sz="2" w:space="0" w:color="auto"/>
              <w:left w:val="single" w:sz="2" w:space="0" w:color="auto"/>
              <w:bottom w:val="single" w:sz="2" w:space="0" w:color="auto"/>
              <w:right w:val="single" w:sz="2" w:space="0" w:color="auto"/>
            </w:tcBorders>
          </w:tcPr>
          <w:p w14:paraId="63B0F556" w14:textId="77777777" w:rsidR="009F4766" w:rsidRPr="00DE12A3" w:rsidRDefault="009F4766" w:rsidP="00C917D6">
            <w:pPr>
              <w:pStyle w:val="NormalLeft"/>
            </w:pPr>
            <w:r w:rsidRPr="00DE12A3">
              <w:t>6</w:t>
            </w:r>
          </w:p>
        </w:tc>
      </w:tr>
      <w:tr w:rsidR="00DE12A3" w:rsidRPr="00DE12A3" w14:paraId="3B352278" w14:textId="77777777" w:rsidTr="009F4766">
        <w:tc>
          <w:tcPr>
            <w:tcW w:w="1182" w:type="dxa"/>
            <w:tcBorders>
              <w:top w:val="single" w:sz="2" w:space="0" w:color="auto"/>
              <w:left w:val="single" w:sz="2" w:space="0" w:color="auto"/>
              <w:bottom w:val="single" w:sz="2" w:space="0" w:color="auto"/>
              <w:right w:val="single" w:sz="2" w:space="0" w:color="auto"/>
            </w:tcBorders>
          </w:tcPr>
          <w:p w14:paraId="7CAD6D43" w14:textId="77777777" w:rsidR="009F4766" w:rsidRPr="00DE12A3" w:rsidRDefault="009F4766" w:rsidP="00C917D6">
            <w:pPr>
              <w:pStyle w:val="NormalLeft"/>
            </w:pPr>
            <w:r w:rsidRPr="00DE12A3">
              <w:t>189</w:t>
            </w:r>
          </w:p>
        </w:tc>
        <w:tc>
          <w:tcPr>
            <w:tcW w:w="2489" w:type="dxa"/>
            <w:tcBorders>
              <w:top w:val="single" w:sz="2" w:space="0" w:color="auto"/>
              <w:left w:val="single" w:sz="2" w:space="0" w:color="auto"/>
              <w:bottom w:val="single" w:sz="2" w:space="0" w:color="auto"/>
              <w:right w:val="single" w:sz="2" w:space="0" w:color="auto"/>
            </w:tcBorders>
          </w:tcPr>
          <w:p w14:paraId="244596CE" w14:textId="77777777" w:rsidR="009F4766" w:rsidRPr="00DE12A3" w:rsidRDefault="009F4766" w:rsidP="00C917D6">
            <w:pPr>
              <w:pStyle w:val="NormalLeft"/>
            </w:pPr>
            <w:r w:rsidRPr="00DE12A3">
              <w:t>8</w:t>
            </w:r>
          </w:p>
        </w:tc>
        <w:tc>
          <w:tcPr>
            <w:tcW w:w="2551" w:type="dxa"/>
            <w:tcBorders>
              <w:top w:val="single" w:sz="2" w:space="0" w:color="auto"/>
              <w:left w:val="single" w:sz="2" w:space="0" w:color="auto"/>
              <w:bottom w:val="single" w:sz="2" w:space="0" w:color="auto"/>
              <w:right w:val="single" w:sz="2" w:space="0" w:color="auto"/>
            </w:tcBorders>
          </w:tcPr>
          <w:p w14:paraId="1CB7333B" w14:textId="77777777" w:rsidR="009F4766" w:rsidRPr="00DE12A3" w:rsidRDefault="009F4766" w:rsidP="00C917D6">
            <w:pPr>
              <w:pStyle w:val="NormalLeft"/>
            </w:pPr>
            <w:r w:rsidRPr="00DE12A3">
              <w:t>18</w:t>
            </w:r>
          </w:p>
        </w:tc>
      </w:tr>
      <w:tr w:rsidR="00DE12A3" w:rsidRPr="00DE12A3" w14:paraId="1356A4F9" w14:textId="77777777" w:rsidTr="009F4766">
        <w:tc>
          <w:tcPr>
            <w:tcW w:w="1182" w:type="dxa"/>
            <w:tcBorders>
              <w:top w:val="single" w:sz="2" w:space="0" w:color="auto"/>
              <w:left w:val="single" w:sz="2" w:space="0" w:color="auto"/>
              <w:bottom w:val="single" w:sz="2" w:space="0" w:color="auto"/>
              <w:right w:val="single" w:sz="2" w:space="0" w:color="auto"/>
            </w:tcBorders>
          </w:tcPr>
          <w:p w14:paraId="00782CBD" w14:textId="77777777" w:rsidR="009F4766" w:rsidRPr="00DE12A3" w:rsidRDefault="009F4766" w:rsidP="00C917D6">
            <w:pPr>
              <w:pStyle w:val="NormalLeft"/>
            </w:pPr>
            <w:r w:rsidRPr="00DE12A3">
              <w:t>190</w:t>
            </w:r>
          </w:p>
        </w:tc>
        <w:tc>
          <w:tcPr>
            <w:tcW w:w="2489" w:type="dxa"/>
            <w:tcBorders>
              <w:top w:val="single" w:sz="2" w:space="0" w:color="auto"/>
              <w:left w:val="single" w:sz="2" w:space="0" w:color="auto"/>
              <w:bottom w:val="single" w:sz="2" w:space="0" w:color="auto"/>
              <w:right w:val="single" w:sz="2" w:space="0" w:color="auto"/>
            </w:tcBorders>
          </w:tcPr>
          <w:p w14:paraId="1D590BA7" w14:textId="77777777" w:rsidR="009F4766" w:rsidRPr="00DE12A3" w:rsidRDefault="009F4766" w:rsidP="00C917D6">
            <w:pPr>
              <w:pStyle w:val="NormalLeft"/>
            </w:pPr>
            <w:r w:rsidRPr="00DE12A3">
              <w:t>20</w:t>
            </w:r>
          </w:p>
        </w:tc>
        <w:tc>
          <w:tcPr>
            <w:tcW w:w="2551" w:type="dxa"/>
            <w:tcBorders>
              <w:top w:val="single" w:sz="2" w:space="0" w:color="auto"/>
              <w:left w:val="single" w:sz="2" w:space="0" w:color="auto"/>
              <w:bottom w:val="single" w:sz="2" w:space="0" w:color="auto"/>
              <w:right w:val="single" w:sz="2" w:space="0" w:color="auto"/>
            </w:tcBorders>
          </w:tcPr>
          <w:p w14:paraId="7C20D9F6" w14:textId="77777777" w:rsidR="009F4766" w:rsidRPr="00DE12A3" w:rsidRDefault="009F4766" w:rsidP="00C917D6">
            <w:pPr>
              <w:pStyle w:val="NormalLeft"/>
            </w:pPr>
            <w:r w:rsidRPr="00DE12A3">
              <w:t>51</w:t>
            </w:r>
          </w:p>
        </w:tc>
      </w:tr>
      <w:tr w:rsidR="00DE12A3" w:rsidRPr="00DE12A3" w14:paraId="25D80C57" w14:textId="77777777" w:rsidTr="009F4766">
        <w:tc>
          <w:tcPr>
            <w:tcW w:w="1182" w:type="dxa"/>
            <w:tcBorders>
              <w:top w:val="single" w:sz="2" w:space="0" w:color="auto"/>
              <w:left w:val="single" w:sz="2" w:space="0" w:color="auto"/>
              <w:bottom w:val="single" w:sz="2" w:space="0" w:color="auto"/>
              <w:right w:val="single" w:sz="2" w:space="0" w:color="auto"/>
            </w:tcBorders>
          </w:tcPr>
          <w:p w14:paraId="7E03A438" w14:textId="77777777" w:rsidR="009F4766" w:rsidRPr="00DE12A3" w:rsidRDefault="009F4766" w:rsidP="00C917D6">
            <w:pPr>
              <w:pStyle w:val="NormalLeft"/>
            </w:pPr>
            <w:r w:rsidRPr="00DE12A3">
              <w:t>191</w:t>
            </w:r>
          </w:p>
        </w:tc>
        <w:tc>
          <w:tcPr>
            <w:tcW w:w="2489" w:type="dxa"/>
            <w:tcBorders>
              <w:top w:val="single" w:sz="2" w:space="0" w:color="auto"/>
              <w:left w:val="single" w:sz="2" w:space="0" w:color="auto"/>
              <w:bottom w:val="single" w:sz="2" w:space="0" w:color="auto"/>
              <w:right w:val="single" w:sz="2" w:space="0" w:color="auto"/>
            </w:tcBorders>
          </w:tcPr>
          <w:p w14:paraId="6CBFE849" w14:textId="77777777" w:rsidR="009F4766" w:rsidRPr="00DE12A3" w:rsidRDefault="009F4766" w:rsidP="00C917D6">
            <w:pPr>
              <w:pStyle w:val="NormalLeft"/>
            </w:pPr>
            <w:r w:rsidRPr="00DE12A3">
              <w:t>49</w:t>
            </w:r>
          </w:p>
        </w:tc>
        <w:tc>
          <w:tcPr>
            <w:tcW w:w="2551" w:type="dxa"/>
            <w:tcBorders>
              <w:top w:val="single" w:sz="2" w:space="0" w:color="auto"/>
              <w:left w:val="single" w:sz="2" w:space="0" w:color="auto"/>
              <w:bottom w:val="single" w:sz="2" w:space="0" w:color="auto"/>
              <w:right w:val="single" w:sz="2" w:space="0" w:color="auto"/>
            </w:tcBorders>
          </w:tcPr>
          <w:p w14:paraId="193F20BF" w14:textId="77777777" w:rsidR="009F4766" w:rsidRPr="00DE12A3" w:rsidRDefault="009F4766" w:rsidP="00C917D6">
            <w:pPr>
              <w:pStyle w:val="NormalLeft"/>
            </w:pPr>
            <w:r w:rsidRPr="00DE12A3">
              <w:t>19</w:t>
            </w:r>
          </w:p>
        </w:tc>
      </w:tr>
      <w:tr w:rsidR="00DE12A3" w:rsidRPr="00DE12A3" w14:paraId="38196987" w14:textId="77777777" w:rsidTr="009F4766">
        <w:tc>
          <w:tcPr>
            <w:tcW w:w="1182" w:type="dxa"/>
            <w:tcBorders>
              <w:top w:val="single" w:sz="2" w:space="0" w:color="auto"/>
              <w:left w:val="single" w:sz="2" w:space="0" w:color="auto"/>
              <w:bottom w:val="single" w:sz="2" w:space="0" w:color="auto"/>
              <w:right w:val="single" w:sz="2" w:space="0" w:color="auto"/>
            </w:tcBorders>
          </w:tcPr>
          <w:p w14:paraId="6C5E2DFC" w14:textId="77777777" w:rsidR="009F4766" w:rsidRPr="00DE12A3" w:rsidRDefault="009F4766" w:rsidP="00C917D6">
            <w:pPr>
              <w:pStyle w:val="NormalLeft"/>
            </w:pPr>
            <w:r w:rsidRPr="00DE12A3">
              <w:t>192</w:t>
            </w:r>
          </w:p>
        </w:tc>
        <w:tc>
          <w:tcPr>
            <w:tcW w:w="2489" w:type="dxa"/>
            <w:tcBorders>
              <w:top w:val="single" w:sz="2" w:space="0" w:color="auto"/>
              <w:left w:val="single" w:sz="2" w:space="0" w:color="auto"/>
              <w:bottom w:val="single" w:sz="2" w:space="0" w:color="auto"/>
              <w:right w:val="single" w:sz="2" w:space="0" w:color="auto"/>
            </w:tcBorders>
          </w:tcPr>
          <w:p w14:paraId="74170837" w14:textId="77777777" w:rsidR="009F4766" w:rsidRPr="00DE12A3" w:rsidRDefault="009F4766" w:rsidP="00C917D6">
            <w:pPr>
              <w:pStyle w:val="NormalLeft"/>
            </w:pPr>
            <w:r w:rsidRPr="00DE12A3">
              <w:t>41</w:t>
            </w:r>
          </w:p>
        </w:tc>
        <w:tc>
          <w:tcPr>
            <w:tcW w:w="2551" w:type="dxa"/>
            <w:tcBorders>
              <w:top w:val="single" w:sz="2" w:space="0" w:color="auto"/>
              <w:left w:val="single" w:sz="2" w:space="0" w:color="auto"/>
              <w:bottom w:val="single" w:sz="2" w:space="0" w:color="auto"/>
              <w:right w:val="single" w:sz="2" w:space="0" w:color="auto"/>
            </w:tcBorders>
          </w:tcPr>
          <w:p w14:paraId="32A326EF" w14:textId="77777777" w:rsidR="009F4766" w:rsidRPr="00DE12A3" w:rsidRDefault="009F4766" w:rsidP="00C917D6">
            <w:pPr>
              <w:pStyle w:val="NormalLeft"/>
            </w:pPr>
            <w:r w:rsidRPr="00DE12A3">
              <w:t>13</w:t>
            </w:r>
          </w:p>
        </w:tc>
      </w:tr>
      <w:tr w:rsidR="00DE12A3" w:rsidRPr="00DE12A3" w14:paraId="4C0246F3" w14:textId="77777777" w:rsidTr="009F4766">
        <w:tc>
          <w:tcPr>
            <w:tcW w:w="1182" w:type="dxa"/>
            <w:tcBorders>
              <w:top w:val="single" w:sz="2" w:space="0" w:color="auto"/>
              <w:left w:val="single" w:sz="2" w:space="0" w:color="auto"/>
              <w:bottom w:val="single" w:sz="2" w:space="0" w:color="auto"/>
              <w:right w:val="single" w:sz="2" w:space="0" w:color="auto"/>
            </w:tcBorders>
          </w:tcPr>
          <w:p w14:paraId="41F23D8E" w14:textId="77777777" w:rsidR="009F4766" w:rsidRPr="00DE12A3" w:rsidRDefault="009F4766" w:rsidP="00C917D6">
            <w:pPr>
              <w:pStyle w:val="NormalLeft"/>
            </w:pPr>
            <w:r w:rsidRPr="00DE12A3">
              <w:t>193</w:t>
            </w:r>
          </w:p>
        </w:tc>
        <w:tc>
          <w:tcPr>
            <w:tcW w:w="2489" w:type="dxa"/>
            <w:tcBorders>
              <w:top w:val="single" w:sz="2" w:space="0" w:color="auto"/>
              <w:left w:val="single" w:sz="2" w:space="0" w:color="auto"/>
              <w:bottom w:val="single" w:sz="2" w:space="0" w:color="auto"/>
              <w:right w:val="single" w:sz="2" w:space="0" w:color="auto"/>
            </w:tcBorders>
          </w:tcPr>
          <w:p w14:paraId="05303E71" w14:textId="77777777" w:rsidR="009F4766" w:rsidRPr="00DE12A3" w:rsidRDefault="009F4766" w:rsidP="00C917D6">
            <w:pPr>
              <w:pStyle w:val="NormalLeft"/>
            </w:pPr>
            <w:r w:rsidRPr="00DE12A3">
              <w:t>31</w:t>
            </w:r>
          </w:p>
        </w:tc>
        <w:tc>
          <w:tcPr>
            <w:tcW w:w="2551" w:type="dxa"/>
            <w:tcBorders>
              <w:top w:val="single" w:sz="2" w:space="0" w:color="auto"/>
              <w:left w:val="single" w:sz="2" w:space="0" w:color="auto"/>
              <w:bottom w:val="single" w:sz="2" w:space="0" w:color="auto"/>
              <w:right w:val="single" w:sz="2" w:space="0" w:color="auto"/>
            </w:tcBorders>
          </w:tcPr>
          <w:p w14:paraId="26D81DF7" w14:textId="77777777" w:rsidR="009F4766" w:rsidRPr="00DE12A3" w:rsidRDefault="009F4766" w:rsidP="00C917D6">
            <w:pPr>
              <w:pStyle w:val="NormalLeft"/>
            </w:pPr>
            <w:r w:rsidRPr="00DE12A3">
              <w:t>16</w:t>
            </w:r>
          </w:p>
        </w:tc>
      </w:tr>
      <w:tr w:rsidR="00DE12A3" w:rsidRPr="00DE12A3" w14:paraId="03ABC42E" w14:textId="77777777" w:rsidTr="009F4766">
        <w:tc>
          <w:tcPr>
            <w:tcW w:w="1182" w:type="dxa"/>
            <w:tcBorders>
              <w:top w:val="single" w:sz="2" w:space="0" w:color="auto"/>
              <w:left w:val="single" w:sz="2" w:space="0" w:color="auto"/>
              <w:bottom w:val="single" w:sz="2" w:space="0" w:color="auto"/>
              <w:right w:val="single" w:sz="2" w:space="0" w:color="auto"/>
            </w:tcBorders>
          </w:tcPr>
          <w:p w14:paraId="0E68B74A" w14:textId="77777777" w:rsidR="009F4766" w:rsidRPr="00DE12A3" w:rsidRDefault="009F4766" w:rsidP="00C917D6">
            <w:pPr>
              <w:pStyle w:val="NormalLeft"/>
            </w:pPr>
            <w:r w:rsidRPr="00DE12A3">
              <w:t>194</w:t>
            </w:r>
          </w:p>
        </w:tc>
        <w:tc>
          <w:tcPr>
            <w:tcW w:w="2489" w:type="dxa"/>
            <w:tcBorders>
              <w:top w:val="single" w:sz="2" w:space="0" w:color="auto"/>
              <w:left w:val="single" w:sz="2" w:space="0" w:color="auto"/>
              <w:bottom w:val="single" w:sz="2" w:space="0" w:color="auto"/>
              <w:right w:val="single" w:sz="2" w:space="0" w:color="auto"/>
            </w:tcBorders>
          </w:tcPr>
          <w:p w14:paraId="624C51A5" w14:textId="77777777" w:rsidR="009F4766" w:rsidRPr="00DE12A3" w:rsidRDefault="009F4766" w:rsidP="00C917D6">
            <w:pPr>
              <w:pStyle w:val="NormalLeft"/>
            </w:pPr>
            <w:r w:rsidRPr="00DE12A3">
              <w:t>28</w:t>
            </w:r>
          </w:p>
        </w:tc>
        <w:tc>
          <w:tcPr>
            <w:tcW w:w="2551" w:type="dxa"/>
            <w:tcBorders>
              <w:top w:val="single" w:sz="2" w:space="0" w:color="auto"/>
              <w:left w:val="single" w:sz="2" w:space="0" w:color="auto"/>
              <w:bottom w:val="single" w:sz="2" w:space="0" w:color="auto"/>
              <w:right w:val="single" w:sz="2" w:space="0" w:color="auto"/>
            </w:tcBorders>
          </w:tcPr>
          <w:p w14:paraId="24E516E3" w14:textId="77777777" w:rsidR="009F4766" w:rsidRPr="00DE12A3" w:rsidRDefault="009F4766" w:rsidP="00C917D6">
            <w:pPr>
              <w:pStyle w:val="NormalLeft"/>
            </w:pPr>
            <w:r w:rsidRPr="00DE12A3">
              <w:t>21</w:t>
            </w:r>
          </w:p>
        </w:tc>
      </w:tr>
      <w:tr w:rsidR="00DE12A3" w:rsidRPr="00DE12A3" w14:paraId="6FBA876E" w14:textId="77777777" w:rsidTr="009F4766">
        <w:tc>
          <w:tcPr>
            <w:tcW w:w="1182" w:type="dxa"/>
            <w:tcBorders>
              <w:top w:val="single" w:sz="2" w:space="0" w:color="auto"/>
              <w:left w:val="single" w:sz="2" w:space="0" w:color="auto"/>
              <w:bottom w:val="single" w:sz="2" w:space="0" w:color="auto"/>
              <w:right w:val="single" w:sz="2" w:space="0" w:color="auto"/>
            </w:tcBorders>
          </w:tcPr>
          <w:p w14:paraId="6F91D7A6" w14:textId="77777777" w:rsidR="009F4766" w:rsidRPr="00DE12A3" w:rsidRDefault="009F4766" w:rsidP="00C917D6">
            <w:pPr>
              <w:pStyle w:val="NormalLeft"/>
            </w:pPr>
            <w:r w:rsidRPr="00DE12A3">
              <w:t>195</w:t>
            </w:r>
          </w:p>
        </w:tc>
        <w:tc>
          <w:tcPr>
            <w:tcW w:w="2489" w:type="dxa"/>
            <w:tcBorders>
              <w:top w:val="single" w:sz="2" w:space="0" w:color="auto"/>
              <w:left w:val="single" w:sz="2" w:space="0" w:color="auto"/>
              <w:bottom w:val="single" w:sz="2" w:space="0" w:color="auto"/>
              <w:right w:val="single" w:sz="2" w:space="0" w:color="auto"/>
            </w:tcBorders>
          </w:tcPr>
          <w:p w14:paraId="490AEB52" w14:textId="77777777" w:rsidR="009F4766" w:rsidRPr="00DE12A3" w:rsidRDefault="009F4766" w:rsidP="00C917D6">
            <w:pPr>
              <w:pStyle w:val="NormalLeft"/>
            </w:pPr>
            <w:r w:rsidRPr="00DE12A3">
              <w:t>21</w:t>
            </w:r>
          </w:p>
        </w:tc>
        <w:tc>
          <w:tcPr>
            <w:tcW w:w="2551" w:type="dxa"/>
            <w:tcBorders>
              <w:top w:val="single" w:sz="2" w:space="0" w:color="auto"/>
              <w:left w:val="single" w:sz="2" w:space="0" w:color="auto"/>
              <w:bottom w:val="single" w:sz="2" w:space="0" w:color="auto"/>
              <w:right w:val="single" w:sz="2" w:space="0" w:color="auto"/>
            </w:tcBorders>
          </w:tcPr>
          <w:p w14:paraId="42F297E8" w14:textId="77777777" w:rsidR="009F4766" w:rsidRPr="00DE12A3" w:rsidRDefault="009F4766" w:rsidP="00C917D6">
            <w:pPr>
              <w:pStyle w:val="NormalLeft"/>
            </w:pPr>
            <w:r w:rsidRPr="00DE12A3">
              <w:t>17</w:t>
            </w:r>
          </w:p>
        </w:tc>
      </w:tr>
      <w:tr w:rsidR="00DE12A3" w:rsidRPr="00DE12A3" w14:paraId="59F3C360" w14:textId="77777777" w:rsidTr="009F4766">
        <w:tc>
          <w:tcPr>
            <w:tcW w:w="1182" w:type="dxa"/>
            <w:tcBorders>
              <w:top w:val="single" w:sz="2" w:space="0" w:color="auto"/>
              <w:left w:val="single" w:sz="2" w:space="0" w:color="auto"/>
              <w:bottom w:val="single" w:sz="2" w:space="0" w:color="auto"/>
              <w:right w:val="single" w:sz="2" w:space="0" w:color="auto"/>
            </w:tcBorders>
          </w:tcPr>
          <w:p w14:paraId="61EA733B" w14:textId="77777777" w:rsidR="009F4766" w:rsidRPr="00DE12A3" w:rsidRDefault="009F4766" w:rsidP="00C917D6">
            <w:pPr>
              <w:pStyle w:val="NormalLeft"/>
            </w:pPr>
            <w:r w:rsidRPr="00DE12A3">
              <w:t>196</w:t>
            </w:r>
          </w:p>
        </w:tc>
        <w:tc>
          <w:tcPr>
            <w:tcW w:w="2489" w:type="dxa"/>
            <w:tcBorders>
              <w:top w:val="single" w:sz="2" w:space="0" w:color="auto"/>
              <w:left w:val="single" w:sz="2" w:space="0" w:color="auto"/>
              <w:bottom w:val="single" w:sz="2" w:space="0" w:color="auto"/>
              <w:right w:val="single" w:sz="2" w:space="0" w:color="auto"/>
            </w:tcBorders>
          </w:tcPr>
          <w:p w14:paraId="7A538A67" w14:textId="77777777" w:rsidR="009F4766" w:rsidRPr="00DE12A3" w:rsidRDefault="009F4766" w:rsidP="00C917D6">
            <w:pPr>
              <w:pStyle w:val="NormalLeft"/>
            </w:pPr>
            <w:r w:rsidRPr="00DE12A3">
              <w:t>31</w:t>
            </w:r>
          </w:p>
        </w:tc>
        <w:tc>
          <w:tcPr>
            <w:tcW w:w="2551" w:type="dxa"/>
            <w:tcBorders>
              <w:top w:val="single" w:sz="2" w:space="0" w:color="auto"/>
              <w:left w:val="single" w:sz="2" w:space="0" w:color="auto"/>
              <w:bottom w:val="single" w:sz="2" w:space="0" w:color="auto"/>
              <w:right w:val="single" w:sz="2" w:space="0" w:color="auto"/>
            </w:tcBorders>
          </w:tcPr>
          <w:p w14:paraId="71F187CD" w14:textId="77777777" w:rsidR="009F4766" w:rsidRPr="00DE12A3" w:rsidRDefault="009F4766" w:rsidP="00C917D6">
            <w:pPr>
              <w:pStyle w:val="NormalLeft"/>
            </w:pPr>
            <w:r w:rsidRPr="00DE12A3">
              <w:t>21</w:t>
            </w:r>
          </w:p>
        </w:tc>
      </w:tr>
      <w:tr w:rsidR="00DE12A3" w:rsidRPr="00DE12A3" w14:paraId="11005C68" w14:textId="77777777" w:rsidTr="009F4766">
        <w:tc>
          <w:tcPr>
            <w:tcW w:w="1182" w:type="dxa"/>
            <w:tcBorders>
              <w:top w:val="single" w:sz="2" w:space="0" w:color="auto"/>
              <w:left w:val="single" w:sz="2" w:space="0" w:color="auto"/>
              <w:bottom w:val="single" w:sz="2" w:space="0" w:color="auto"/>
              <w:right w:val="single" w:sz="2" w:space="0" w:color="auto"/>
            </w:tcBorders>
          </w:tcPr>
          <w:p w14:paraId="779B161C" w14:textId="77777777" w:rsidR="009F4766" w:rsidRPr="00DE12A3" w:rsidRDefault="009F4766" w:rsidP="00C917D6">
            <w:pPr>
              <w:pStyle w:val="NormalLeft"/>
            </w:pPr>
            <w:r w:rsidRPr="00DE12A3">
              <w:t>197</w:t>
            </w:r>
          </w:p>
        </w:tc>
        <w:tc>
          <w:tcPr>
            <w:tcW w:w="2489" w:type="dxa"/>
            <w:tcBorders>
              <w:top w:val="single" w:sz="2" w:space="0" w:color="auto"/>
              <w:left w:val="single" w:sz="2" w:space="0" w:color="auto"/>
              <w:bottom w:val="single" w:sz="2" w:space="0" w:color="auto"/>
              <w:right w:val="single" w:sz="2" w:space="0" w:color="auto"/>
            </w:tcBorders>
          </w:tcPr>
          <w:p w14:paraId="13AC2104" w14:textId="77777777" w:rsidR="009F4766" w:rsidRPr="00DE12A3" w:rsidRDefault="009F4766" w:rsidP="00C917D6">
            <w:pPr>
              <w:pStyle w:val="NormalLeft"/>
            </w:pPr>
            <w:r w:rsidRPr="00DE12A3">
              <w:t>21</w:t>
            </w:r>
          </w:p>
        </w:tc>
        <w:tc>
          <w:tcPr>
            <w:tcW w:w="2551" w:type="dxa"/>
            <w:tcBorders>
              <w:top w:val="single" w:sz="2" w:space="0" w:color="auto"/>
              <w:left w:val="single" w:sz="2" w:space="0" w:color="auto"/>
              <w:bottom w:val="single" w:sz="2" w:space="0" w:color="auto"/>
              <w:right w:val="single" w:sz="2" w:space="0" w:color="auto"/>
            </w:tcBorders>
          </w:tcPr>
          <w:p w14:paraId="4D7B5F35" w14:textId="77777777" w:rsidR="009F4766" w:rsidRPr="00DE12A3" w:rsidRDefault="009F4766" w:rsidP="00C917D6">
            <w:pPr>
              <w:pStyle w:val="NormalLeft"/>
            </w:pPr>
            <w:r w:rsidRPr="00DE12A3">
              <w:t>8</w:t>
            </w:r>
          </w:p>
        </w:tc>
      </w:tr>
      <w:tr w:rsidR="00DE12A3" w:rsidRPr="00DE12A3" w14:paraId="220067D9" w14:textId="77777777" w:rsidTr="009F4766">
        <w:tc>
          <w:tcPr>
            <w:tcW w:w="1182" w:type="dxa"/>
            <w:tcBorders>
              <w:top w:val="single" w:sz="2" w:space="0" w:color="auto"/>
              <w:left w:val="single" w:sz="2" w:space="0" w:color="auto"/>
              <w:bottom w:val="single" w:sz="2" w:space="0" w:color="auto"/>
              <w:right w:val="single" w:sz="2" w:space="0" w:color="auto"/>
            </w:tcBorders>
          </w:tcPr>
          <w:p w14:paraId="55E5C7B0" w14:textId="77777777" w:rsidR="009F4766" w:rsidRPr="00DE12A3" w:rsidRDefault="009F4766" w:rsidP="00C917D6">
            <w:pPr>
              <w:pStyle w:val="NormalLeft"/>
            </w:pPr>
            <w:r w:rsidRPr="00DE12A3">
              <w:t>198</w:t>
            </w:r>
          </w:p>
        </w:tc>
        <w:tc>
          <w:tcPr>
            <w:tcW w:w="2489" w:type="dxa"/>
            <w:tcBorders>
              <w:top w:val="single" w:sz="2" w:space="0" w:color="auto"/>
              <w:left w:val="single" w:sz="2" w:space="0" w:color="auto"/>
              <w:bottom w:val="single" w:sz="2" w:space="0" w:color="auto"/>
              <w:right w:val="single" w:sz="2" w:space="0" w:color="auto"/>
            </w:tcBorders>
          </w:tcPr>
          <w:p w14:paraId="6B2A96D5" w14:textId="77777777" w:rsidR="009F4766" w:rsidRPr="00DE12A3" w:rsidRDefault="009F4766" w:rsidP="00C917D6">
            <w:pPr>
              <w:pStyle w:val="NormalLeft"/>
            </w:pPr>
            <w:r w:rsidRPr="00DE12A3">
              <w:t>0</w:t>
            </w:r>
          </w:p>
        </w:tc>
        <w:tc>
          <w:tcPr>
            <w:tcW w:w="2551" w:type="dxa"/>
            <w:tcBorders>
              <w:top w:val="single" w:sz="2" w:space="0" w:color="auto"/>
              <w:left w:val="single" w:sz="2" w:space="0" w:color="auto"/>
              <w:bottom w:val="single" w:sz="2" w:space="0" w:color="auto"/>
              <w:right w:val="single" w:sz="2" w:space="0" w:color="auto"/>
            </w:tcBorders>
          </w:tcPr>
          <w:p w14:paraId="5BE958CC" w14:textId="77777777" w:rsidR="009F4766" w:rsidRPr="00DE12A3" w:rsidRDefault="009F4766" w:rsidP="00C917D6">
            <w:pPr>
              <w:pStyle w:val="NormalLeft"/>
            </w:pPr>
            <w:r w:rsidRPr="00DE12A3">
              <w:t>14</w:t>
            </w:r>
          </w:p>
        </w:tc>
      </w:tr>
      <w:tr w:rsidR="00DE12A3" w:rsidRPr="00DE12A3" w14:paraId="23686C46" w14:textId="77777777" w:rsidTr="009F4766">
        <w:tc>
          <w:tcPr>
            <w:tcW w:w="1182" w:type="dxa"/>
            <w:tcBorders>
              <w:top w:val="single" w:sz="2" w:space="0" w:color="auto"/>
              <w:left w:val="single" w:sz="2" w:space="0" w:color="auto"/>
              <w:bottom w:val="single" w:sz="2" w:space="0" w:color="auto"/>
              <w:right w:val="single" w:sz="2" w:space="0" w:color="auto"/>
            </w:tcBorders>
          </w:tcPr>
          <w:p w14:paraId="049CAC3A" w14:textId="77777777" w:rsidR="009F4766" w:rsidRPr="00DE12A3" w:rsidRDefault="009F4766" w:rsidP="00C917D6">
            <w:pPr>
              <w:pStyle w:val="NormalLeft"/>
            </w:pPr>
            <w:r w:rsidRPr="00DE12A3">
              <w:t>199</w:t>
            </w:r>
          </w:p>
        </w:tc>
        <w:tc>
          <w:tcPr>
            <w:tcW w:w="2489" w:type="dxa"/>
            <w:tcBorders>
              <w:top w:val="single" w:sz="2" w:space="0" w:color="auto"/>
              <w:left w:val="single" w:sz="2" w:space="0" w:color="auto"/>
              <w:bottom w:val="single" w:sz="2" w:space="0" w:color="auto"/>
              <w:right w:val="single" w:sz="2" w:space="0" w:color="auto"/>
            </w:tcBorders>
          </w:tcPr>
          <w:p w14:paraId="0987EFFC" w14:textId="77777777" w:rsidR="009F4766" w:rsidRPr="00DE12A3" w:rsidRDefault="009F4766" w:rsidP="00C917D6">
            <w:pPr>
              <w:pStyle w:val="NormalLeft"/>
            </w:pPr>
            <w:r w:rsidRPr="00DE12A3">
              <w:t>0</w:t>
            </w:r>
          </w:p>
        </w:tc>
        <w:tc>
          <w:tcPr>
            <w:tcW w:w="2551" w:type="dxa"/>
            <w:tcBorders>
              <w:top w:val="single" w:sz="2" w:space="0" w:color="auto"/>
              <w:left w:val="single" w:sz="2" w:space="0" w:color="auto"/>
              <w:bottom w:val="single" w:sz="2" w:space="0" w:color="auto"/>
              <w:right w:val="single" w:sz="2" w:space="0" w:color="auto"/>
            </w:tcBorders>
          </w:tcPr>
          <w:p w14:paraId="3F0E51E4" w14:textId="77777777" w:rsidR="009F4766" w:rsidRPr="00DE12A3" w:rsidRDefault="009F4766" w:rsidP="00C917D6">
            <w:pPr>
              <w:pStyle w:val="NormalLeft"/>
            </w:pPr>
            <w:r w:rsidRPr="00DE12A3">
              <w:t>12</w:t>
            </w:r>
          </w:p>
        </w:tc>
      </w:tr>
      <w:tr w:rsidR="00DE12A3" w:rsidRPr="00DE12A3" w14:paraId="43FB359B" w14:textId="77777777" w:rsidTr="009F4766">
        <w:tc>
          <w:tcPr>
            <w:tcW w:w="1182" w:type="dxa"/>
            <w:tcBorders>
              <w:top w:val="single" w:sz="2" w:space="0" w:color="auto"/>
              <w:left w:val="single" w:sz="2" w:space="0" w:color="auto"/>
              <w:bottom w:val="single" w:sz="2" w:space="0" w:color="auto"/>
              <w:right w:val="single" w:sz="2" w:space="0" w:color="auto"/>
            </w:tcBorders>
          </w:tcPr>
          <w:p w14:paraId="780E881A" w14:textId="77777777" w:rsidR="009F4766" w:rsidRPr="00DE12A3" w:rsidRDefault="009F4766" w:rsidP="00C917D6">
            <w:pPr>
              <w:pStyle w:val="NormalLeft"/>
            </w:pPr>
            <w:r w:rsidRPr="00DE12A3">
              <w:t>200</w:t>
            </w:r>
          </w:p>
        </w:tc>
        <w:tc>
          <w:tcPr>
            <w:tcW w:w="2489" w:type="dxa"/>
            <w:tcBorders>
              <w:top w:val="single" w:sz="2" w:space="0" w:color="auto"/>
              <w:left w:val="single" w:sz="2" w:space="0" w:color="auto"/>
              <w:bottom w:val="single" w:sz="2" w:space="0" w:color="auto"/>
              <w:right w:val="single" w:sz="2" w:space="0" w:color="auto"/>
            </w:tcBorders>
          </w:tcPr>
          <w:p w14:paraId="60884302" w14:textId="77777777" w:rsidR="009F4766" w:rsidRPr="00DE12A3" w:rsidRDefault="009F4766" w:rsidP="00C917D6">
            <w:pPr>
              <w:pStyle w:val="NormalLeft"/>
            </w:pPr>
            <w:r w:rsidRPr="00DE12A3">
              <w:t>3</w:t>
            </w:r>
          </w:p>
        </w:tc>
        <w:tc>
          <w:tcPr>
            <w:tcW w:w="2551" w:type="dxa"/>
            <w:tcBorders>
              <w:top w:val="single" w:sz="2" w:space="0" w:color="auto"/>
              <w:left w:val="single" w:sz="2" w:space="0" w:color="auto"/>
              <w:bottom w:val="single" w:sz="2" w:space="0" w:color="auto"/>
              <w:right w:val="single" w:sz="2" w:space="0" w:color="auto"/>
            </w:tcBorders>
          </w:tcPr>
          <w:p w14:paraId="667F7D6A" w14:textId="77777777" w:rsidR="009F4766" w:rsidRPr="00DE12A3" w:rsidRDefault="009F4766" w:rsidP="00C917D6">
            <w:pPr>
              <w:pStyle w:val="NormalLeft"/>
            </w:pPr>
            <w:r w:rsidRPr="00DE12A3">
              <w:t>8</w:t>
            </w:r>
          </w:p>
        </w:tc>
      </w:tr>
      <w:tr w:rsidR="00DE12A3" w:rsidRPr="00DE12A3" w14:paraId="7A5B2A6D" w14:textId="77777777" w:rsidTr="009F4766">
        <w:tc>
          <w:tcPr>
            <w:tcW w:w="1182" w:type="dxa"/>
            <w:tcBorders>
              <w:top w:val="single" w:sz="2" w:space="0" w:color="auto"/>
              <w:left w:val="single" w:sz="2" w:space="0" w:color="auto"/>
              <w:bottom w:val="single" w:sz="2" w:space="0" w:color="auto"/>
              <w:right w:val="single" w:sz="2" w:space="0" w:color="auto"/>
            </w:tcBorders>
          </w:tcPr>
          <w:p w14:paraId="17445CF1" w14:textId="77777777" w:rsidR="009F4766" w:rsidRPr="00DE12A3" w:rsidRDefault="009F4766" w:rsidP="00C917D6">
            <w:pPr>
              <w:pStyle w:val="NormalLeft"/>
            </w:pPr>
            <w:r w:rsidRPr="00DE12A3">
              <w:t>201</w:t>
            </w:r>
          </w:p>
        </w:tc>
        <w:tc>
          <w:tcPr>
            <w:tcW w:w="2489" w:type="dxa"/>
            <w:tcBorders>
              <w:top w:val="single" w:sz="2" w:space="0" w:color="auto"/>
              <w:left w:val="single" w:sz="2" w:space="0" w:color="auto"/>
              <w:bottom w:val="single" w:sz="2" w:space="0" w:color="auto"/>
              <w:right w:val="single" w:sz="2" w:space="0" w:color="auto"/>
            </w:tcBorders>
          </w:tcPr>
          <w:p w14:paraId="34AE5707" w14:textId="77777777" w:rsidR="009F4766" w:rsidRPr="00DE12A3" w:rsidRDefault="009F4766" w:rsidP="00C917D6">
            <w:pPr>
              <w:pStyle w:val="NormalLeft"/>
            </w:pPr>
            <w:r w:rsidRPr="00DE12A3">
              <w:t>3</w:t>
            </w:r>
          </w:p>
        </w:tc>
        <w:tc>
          <w:tcPr>
            <w:tcW w:w="2551" w:type="dxa"/>
            <w:tcBorders>
              <w:top w:val="single" w:sz="2" w:space="0" w:color="auto"/>
              <w:left w:val="single" w:sz="2" w:space="0" w:color="auto"/>
              <w:bottom w:val="single" w:sz="2" w:space="0" w:color="auto"/>
              <w:right w:val="single" w:sz="2" w:space="0" w:color="auto"/>
            </w:tcBorders>
          </w:tcPr>
          <w:p w14:paraId="1F4D7A57" w14:textId="77777777" w:rsidR="009F4766" w:rsidRPr="00DE12A3" w:rsidRDefault="009F4766" w:rsidP="00C917D6">
            <w:pPr>
              <w:pStyle w:val="NormalLeft"/>
            </w:pPr>
            <w:r w:rsidRPr="00DE12A3">
              <w:t>22</w:t>
            </w:r>
          </w:p>
        </w:tc>
      </w:tr>
      <w:tr w:rsidR="00DE12A3" w:rsidRPr="00DE12A3" w14:paraId="6E768D6A" w14:textId="77777777" w:rsidTr="009F4766">
        <w:tc>
          <w:tcPr>
            <w:tcW w:w="1182" w:type="dxa"/>
            <w:tcBorders>
              <w:top w:val="single" w:sz="2" w:space="0" w:color="auto"/>
              <w:left w:val="single" w:sz="2" w:space="0" w:color="auto"/>
              <w:bottom w:val="single" w:sz="2" w:space="0" w:color="auto"/>
              <w:right w:val="single" w:sz="2" w:space="0" w:color="auto"/>
            </w:tcBorders>
          </w:tcPr>
          <w:p w14:paraId="16779B1A" w14:textId="77777777" w:rsidR="009F4766" w:rsidRPr="00DE12A3" w:rsidRDefault="009F4766" w:rsidP="00C917D6">
            <w:pPr>
              <w:pStyle w:val="NormalLeft"/>
            </w:pPr>
            <w:r w:rsidRPr="00DE12A3">
              <w:t>202</w:t>
            </w:r>
          </w:p>
        </w:tc>
        <w:tc>
          <w:tcPr>
            <w:tcW w:w="2489" w:type="dxa"/>
            <w:tcBorders>
              <w:top w:val="single" w:sz="2" w:space="0" w:color="auto"/>
              <w:left w:val="single" w:sz="2" w:space="0" w:color="auto"/>
              <w:bottom w:val="single" w:sz="2" w:space="0" w:color="auto"/>
              <w:right w:val="single" w:sz="2" w:space="0" w:color="auto"/>
            </w:tcBorders>
          </w:tcPr>
          <w:p w14:paraId="0585DF88" w14:textId="77777777" w:rsidR="009F4766" w:rsidRPr="00DE12A3" w:rsidRDefault="009F4766" w:rsidP="00C917D6">
            <w:pPr>
              <w:pStyle w:val="NormalLeft"/>
            </w:pPr>
            <w:r w:rsidRPr="00DE12A3">
              <w:t>12</w:t>
            </w:r>
          </w:p>
        </w:tc>
        <w:tc>
          <w:tcPr>
            <w:tcW w:w="2551" w:type="dxa"/>
            <w:tcBorders>
              <w:top w:val="single" w:sz="2" w:space="0" w:color="auto"/>
              <w:left w:val="single" w:sz="2" w:space="0" w:color="auto"/>
              <w:bottom w:val="single" w:sz="2" w:space="0" w:color="auto"/>
              <w:right w:val="single" w:sz="2" w:space="0" w:color="auto"/>
            </w:tcBorders>
          </w:tcPr>
          <w:p w14:paraId="7BDD28E3" w14:textId="77777777" w:rsidR="009F4766" w:rsidRPr="00DE12A3" w:rsidRDefault="009F4766" w:rsidP="00C917D6">
            <w:pPr>
              <w:pStyle w:val="NormalLeft"/>
            </w:pPr>
            <w:r w:rsidRPr="00DE12A3">
              <w:t>20</w:t>
            </w:r>
          </w:p>
        </w:tc>
      </w:tr>
      <w:tr w:rsidR="00DE12A3" w:rsidRPr="00DE12A3" w14:paraId="28711717" w14:textId="77777777" w:rsidTr="009F4766">
        <w:tc>
          <w:tcPr>
            <w:tcW w:w="1182" w:type="dxa"/>
            <w:tcBorders>
              <w:top w:val="single" w:sz="2" w:space="0" w:color="auto"/>
              <w:left w:val="single" w:sz="2" w:space="0" w:color="auto"/>
              <w:bottom w:val="single" w:sz="2" w:space="0" w:color="auto"/>
              <w:right w:val="single" w:sz="2" w:space="0" w:color="auto"/>
            </w:tcBorders>
          </w:tcPr>
          <w:p w14:paraId="551C0C93" w14:textId="77777777" w:rsidR="009F4766" w:rsidRPr="00DE12A3" w:rsidRDefault="009F4766" w:rsidP="00C917D6">
            <w:pPr>
              <w:pStyle w:val="NormalLeft"/>
            </w:pPr>
            <w:r w:rsidRPr="00DE12A3">
              <w:t>203</w:t>
            </w:r>
          </w:p>
        </w:tc>
        <w:tc>
          <w:tcPr>
            <w:tcW w:w="2489" w:type="dxa"/>
            <w:tcBorders>
              <w:top w:val="single" w:sz="2" w:space="0" w:color="auto"/>
              <w:left w:val="single" w:sz="2" w:space="0" w:color="auto"/>
              <w:bottom w:val="single" w:sz="2" w:space="0" w:color="auto"/>
              <w:right w:val="single" w:sz="2" w:space="0" w:color="auto"/>
            </w:tcBorders>
          </w:tcPr>
          <w:p w14:paraId="301B40FD" w14:textId="77777777" w:rsidR="009F4766" w:rsidRPr="00DE12A3" w:rsidRDefault="009F4766" w:rsidP="00C917D6">
            <w:pPr>
              <w:pStyle w:val="NormalLeft"/>
            </w:pPr>
            <w:r w:rsidRPr="00DE12A3">
              <w:t>14</w:t>
            </w:r>
          </w:p>
        </w:tc>
        <w:tc>
          <w:tcPr>
            <w:tcW w:w="2551" w:type="dxa"/>
            <w:tcBorders>
              <w:top w:val="single" w:sz="2" w:space="0" w:color="auto"/>
              <w:left w:val="single" w:sz="2" w:space="0" w:color="auto"/>
              <w:bottom w:val="single" w:sz="2" w:space="0" w:color="auto"/>
              <w:right w:val="single" w:sz="2" w:space="0" w:color="auto"/>
            </w:tcBorders>
          </w:tcPr>
          <w:p w14:paraId="2098FEBB" w14:textId="77777777" w:rsidR="009F4766" w:rsidRPr="00DE12A3" w:rsidRDefault="009F4766" w:rsidP="00C917D6">
            <w:pPr>
              <w:pStyle w:val="NormalLeft"/>
            </w:pPr>
            <w:r w:rsidRPr="00DE12A3">
              <w:t>20</w:t>
            </w:r>
          </w:p>
        </w:tc>
      </w:tr>
      <w:tr w:rsidR="00DE12A3" w:rsidRPr="00DE12A3" w14:paraId="4381EB06" w14:textId="77777777" w:rsidTr="009F4766">
        <w:tc>
          <w:tcPr>
            <w:tcW w:w="1182" w:type="dxa"/>
            <w:tcBorders>
              <w:top w:val="single" w:sz="2" w:space="0" w:color="auto"/>
              <w:left w:val="single" w:sz="2" w:space="0" w:color="auto"/>
              <w:bottom w:val="single" w:sz="2" w:space="0" w:color="auto"/>
              <w:right w:val="single" w:sz="2" w:space="0" w:color="auto"/>
            </w:tcBorders>
          </w:tcPr>
          <w:p w14:paraId="158F87F4" w14:textId="77777777" w:rsidR="009F4766" w:rsidRPr="00DE12A3" w:rsidRDefault="009F4766" w:rsidP="00C917D6">
            <w:pPr>
              <w:pStyle w:val="NormalLeft"/>
            </w:pPr>
            <w:r w:rsidRPr="00DE12A3">
              <w:t>204</w:t>
            </w:r>
          </w:p>
        </w:tc>
        <w:tc>
          <w:tcPr>
            <w:tcW w:w="2489" w:type="dxa"/>
            <w:tcBorders>
              <w:top w:val="single" w:sz="2" w:space="0" w:color="auto"/>
              <w:left w:val="single" w:sz="2" w:space="0" w:color="auto"/>
              <w:bottom w:val="single" w:sz="2" w:space="0" w:color="auto"/>
              <w:right w:val="single" w:sz="2" w:space="0" w:color="auto"/>
            </w:tcBorders>
          </w:tcPr>
          <w:p w14:paraId="3E5F50C4" w14:textId="77777777" w:rsidR="009F4766" w:rsidRPr="00DE12A3" w:rsidRDefault="009F4766" w:rsidP="00C917D6">
            <w:pPr>
              <w:pStyle w:val="NormalLeft"/>
            </w:pPr>
            <w:r w:rsidRPr="00DE12A3">
              <w:t>16</w:t>
            </w:r>
          </w:p>
        </w:tc>
        <w:tc>
          <w:tcPr>
            <w:tcW w:w="2551" w:type="dxa"/>
            <w:tcBorders>
              <w:top w:val="single" w:sz="2" w:space="0" w:color="auto"/>
              <w:left w:val="single" w:sz="2" w:space="0" w:color="auto"/>
              <w:bottom w:val="single" w:sz="2" w:space="0" w:color="auto"/>
              <w:right w:val="single" w:sz="2" w:space="0" w:color="auto"/>
            </w:tcBorders>
          </w:tcPr>
          <w:p w14:paraId="69AA40B9" w14:textId="77777777" w:rsidR="009F4766" w:rsidRPr="00DE12A3" w:rsidRDefault="009F4766" w:rsidP="00C917D6">
            <w:pPr>
              <w:pStyle w:val="NormalLeft"/>
            </w:pPr>
            <w:r w:rsidRPr="00DE12A3">
              <w:t>17</w:t>
            </w:r>
          </w:p>
        </w:tc>
      </w:tr>
      <w:tr w:rsidR="00DE12A3" w:rsidRPr="00DE12A3" w14:paraId="49C8A593" w14:textId="77777777" w:rsidTr="009F4766">
        <w:tc>
          <w:tcPr>
            <w:tcW w:w="1182" w:type="dxa"/>
            <w:tcBorders>
              <w:top w:val="single" w:sz="2" w:space="0" w:color="auto"/>
              <w:left w:val="single" w:sz="2" w:space="0" w:color="auto"/>
              <w:bottom w:val="single" w:sz="2" w:space="0" w:color="auto"/>
              <w:right w:val="single" w:sz="2" w:space="0" w:color="auto"/>
            </w:tcBorders>
          </w:tcPr>
          <w:p w14:paraId="6A221BA5" w14:textId="77777777" w:rsidR="009F4766" w:rsidRPr="00DE12A3" w:rsidRDefault="009F4766" w:rsidP="00C917D6">
            <w:pPr>
              <w:pStyle w:val="NormalLeft"/>
            </w:pPr>
            <w:r w:rsidRPr="00DE12A3">
              <w:t>205</w:t>
            </w:r>
          </w:p>
        </w:tc>
        <w:tc>
          <w:tcPr>
            <w:tcW w:w="2489" w:type="dxa"/>
            <w:tcBorders>
              <w:top w:val="single" w:sz="2" w:space="0" w:color="auto"/>
              <w:left w:val="single" w:sz="2" w:space="0" w:color="auto"/>
              <w:bottom w:val="single" w:sz="2" w:space="0" w:color="auto"/>
              <w:right w:val="single" w:sz="2" w:space="0" w:color="auto"/>
            </w:tcBorders>
          </w:tcPr>
          <w:p w14:paraId="398B7A4F" w14:textId="77777777" w:rsidR="009F4766" w:rsidRPr="00DE12A3" w:rsidRDefault="009F4766" w:rsidP="00C917D6">
            <w:pPr>
              <w:pStyle w:val="NormalLeft"/>
            </w:pPr>
            <w:r w:rsidRPr="00DE12A3">
              <w:t>20</w:t>
            </w:r>
          </w:p>
        </w:tc>
        <w:tc>
          <w:tcPr>
            <w:tcW w:w="2551" w:type="dxa"/>
            <w:tcBorders>
              <w:top w:val="single" w:sz="2" w:space="0" w:color="auto"/>
              <w:left w:val="single" w:sz="2" w:space="0" w:color="auto"/>
              <w:bottom w:val="single" w:sz="2" w:space="0" w:color="auto"/>
              <w:right w:val="single" w:sz="2" w:space="0" w:color="auto"/>
            </w:tcBorders>
          </w:tcPr>
          <w:p w14:paraId="36DFFBB8" w14:textId="77777777" w:rsidR="009F4766" w:rsidRPr="00DE12A3" w:rsidRDefault="009F4766" w:rsidP="00C917D6">
            <w:pPr>
              <w:pStyle w:val="NormalLeft"/>
            </w:pPr>
            <w:r w:rsidRPr="00DE12A3">
              <w:t>18</w:t>
            </w:r>
          </w:p>
        </w:tc>
      </w:tr>
      <w:tr w:rsidR="00DE12A3" w:rsidRPr="00DE12A3" w14:paraId="340DDE47" w14:textId="77777777" w:rsidTr="009F4766">
        <w:tc>
          <w:tcPr>
            <w:tcW w:w="1182" w:type="dxa"/>
            <w:tcBorders>
              <w:top w:val="single" w:sz="2" w:space="0" w:color="auto"/>
              <w:left w:val="single" w:sz="2" w:space="0" w:color="auto"/>
              <w:bottom w:val="single" w:sz="2" w:space="0" w:color="auto"/>
              <w:right w:val="single" w:sz="2" w:space="0" w:color="auto"/>
            </w:tcBorders>
          </w:tcPr>
          <w:p w14:paraId="3184C92D" w14:textId="77777777" w:rsidR="009F4766" w:rsidRPr="00DE12A3" w:rsidRDefault="009F4766" w:rsidP="00C917D6">
            <w:pPr>
              <w:pStyle w:val="NormalLeft"/>
            </w:pPr>
            <w:r w:rsidRPr="00DE12A3">
              <w:t>206</w:t>
            </w:r>
          </w:p>
        </w:tc>
        <w:tc>
          <w:tcPr>
            <w:tcW w:w="2489" w:type="dxa"/>
            <w:tcBorders>
              <w:top w:val="single" w:sz="2" w:space="0" w:color="auto"/>
              <w:left w:val="single" w:sz="2" w:space="0" w:color="auto"/>
              <w:bottom w:val="single" w:sz="2" w:space="0" w:color="auto"/>
              <w:right w:val="single" w:sz="2" w:space="0" w:color="auto"/>
            </w:tcBorders>
          </w:tcPr>
          <w:p w14:paraId="4E2695D8" w14:textId="77777777" w:rsidR="009F4766" w:rsidRPr="00DE12A3" w:rsidRDefault="009F4766" w:rsidP="00C917D6">
            <w:pPr>
              <w:pStyle w:val="NormalLeft"/>
            </w:pPr>
            <w:r w:rsidRPr="00DE12A3">
              <w:t>27</w:t>
            </w:r>
          </w:p>
        </w:tc>
        <w:tc>
          <w:tcPr>
            <w:tcW w:w="2551" w:type="dxa"/>
            <w:tcBorders>
              <w:top w:val="single" w:sz="2" w:space="0" w:color="auto"/>
              <w:left w:val="single" w:sz="2" w:space="0" w:color="auto"/>
              <w:bottom w:val="single" w:sz="2" w:space="0" w:color="auto"/>
              <w:right w:val="single" w:sz="2" w:space="0" w:color="auto"/>
            </w:tcBorders>
          </w:tcPr>
          <w:p w14:paraId="394F58C9" w14:textId="77777777" w:rsidR="009F4766" w:rsidRPr="00DE12A3" w:rsidRDefault="009F4766" w:rsidP="00C917D6">
            <w:pPr>
              <w:pStyle w:val="NormalLeft"/>
            </w:pPr>
            <w:r w:rsidRPr="00DE12A3">
              <w:t>34</w:t>
            </w:r>
          </w:p>
        </w:tc>
      </w:tr>
      <w:tr w:rsidR="00DE12A3" w:rsidRPr="00DE12A3" w14:paraId="794DD2CB" w14:textId="77777777" w:rsidTr="009F4766">
        <w:tc>
          <w:tcPr>
            <w:tcW w:w="1182" w:type="dxa"/>
            <w:tcBorders>
              <w:top w:val="single" w:sz="2" w:space="0" w:color="auto"/>
              <w:left w:val="single" w:sz="2" w:space="0" w:color="auto"/>
              <w:bottom w:val="single" w:sz="2" w:space="0" w:color="auto"/>
              <w:right w:val="single" w:sz="2" w:space="0" w:color="auto"/>
            </w:tcBorders>
          </w:tcPr>
          <w:p w14:paraId="131519AB" w14:textId="77777777" w:rsidR="009F4766" w:rsidRPr="00DE12A3" w:rsidRDefault="009F4766" w:rsidP="00C917D6">
            <w:pPr>
              <w:pStyle w:val="NormalLeft"/>
            </w:pPr>
            <w:r w:rsidRPr="00DE12A3">
              <w:t>207</w:t>
            </w:r>
          </w:p>
        </w:tc>
        <w:tc>
          <w:tcPr>
            <w:tcW w:w="2489" w:type="dxa"/>
            <w:tcBorders>
              <w:top w:val="single" w:sz="2" w:space="0" w:color="auto"/>
              <w:left w:val="single" w:sz="2" w:space="0" w:color="auto"/>
              <w:bottom w:val="single" w:sz="2" w:space="0" w:color="auto"/>
              <w:right w:val="single" w:sz="2" w:space="0" w:color="auto"/>
            </w:tcBorders>
          </w:tcPr>
          <w:p w14:paraId="2B8680BA" w14:textId="77777777" w:rsidR="009F4766" w:rsidRPr="00DE12A3" w:rsidRDefault="009F4766" w:rsidP="00C917D6">
            <w:pPr>
              <w:pStyle w:val="NormalLeft"/>
            </w:pPr>
            <w:r w:rsidRPr="00DE12A3">
              <w:t>32</w:t>
            </w:r>
          </w:p>
        </w:tc>
        <w:tc>
          <w:tcPr>
            <w:tcW w:w="2551" w:type="dxa"/>
            <w:tcBorders>
              <w:top w:val="single" w:sz="2" w:space="0" w:color="auto"/>
              <w:left w:val="single" w:sz="2" w:space="0" w:color="auto"/>
              <w:bottom w:val="single" w:sz="2" w:space="0" w:color="auto"/>
              <w:right w:val="single" w:sz="2" w:space="0" w:color="auto"/>
            </w:tcBorders>
          </w:tcPr>
          <w:p w14:paraId="62051D9C" w14:textId="77777777" w:rsidR="009F4766" w:rsidRPr="00DE12A3" w:rsidRDefault="009F4766" w:rsidP="00C917D6">
            <w:pPr>
              <w:pStyle w:val="NormalLeft"/>
            </w:pPr>
            <w:r w:rsidRPr="00DE12A3">
              <w:t>33</w:t>
            </w:r>
          </w:p>
        </w:tc>
      </w:tr>
      <w:tr w:rsidR="00DE12A3" w:rsidRPr="00DE12A3" w14:paraId="111314B5" w14:textId="77777777" w:rsidTr="009F4766">
        <w:tc>
          <w:tcPr>
            <w:tcW w:w="1182" w:type="dxa"/>
            <w:tcBorders>
              <w:top w:val="single" w:sz="2" w:space="0" w:color="auto"/>
              <w:left w:val="single" w:sz="2" w:space="0" w:color="auto"/>
              <w:bottom w:val="single" w:sz="2" w:space="0" w:color="auto"/>
              <w:right w:val="single" w:sz="2" w:space="0" w:color="auto"/>
            </w:tcBorders>
          </w:tcPr>
          <w:p w14:paraId="399CAFE1" w14:textId="77777777" w:rsidR="009F4766" w:rsidRPr="00DE12A3" w:rsidRDefault="009F4766" w:rsidP="00C917D6">
            <w:pPr>
              <w:pStyle w:val="NormalLeft"/>
            </w:pPr>
            <w:r w:rsidRPr="00DE12A3">
              <w:t>208</w:t>
            </w:r>
          </w:p>
        </w:tc>
        <w:tc>
          <w:tcPr>
            <w:tcW w:w="2489" w:type="dxa"/>
            <w:tcBorders>
              <w:top w:val="single" w:sz="2" w:space="0" w:color="auto"/>
              <w:left w:val="single" w:sz="2" w:space="0" w:color="auto"/>
              <w:bottom w:val="single" w:sz="2" w:space="0" w:color="auto"/>
              <w:right w:val="single" w:sz="2" w:space="0" w:color="auto"/>
            </w:tcBorders>
          </w:tcPr>
          <w:p w14:paraId="4B142793" w14:textId="77777777" w:rsidR="009F4766" w:rsidRPr="00DE12A3" w:rsidRDefault="009F4766" w:rsidP="00C917D6">
            <w:pPr>
              <w:pStyle w:val="NormalLeft"/>
            </w:pPr>
            <w:r w:rsidRPr="00DE12A3">
              <w:t>41</w:t>
            </w:r>
          </w:p>
        </w:tc>
        <w:tc>
          <w:tcPr>
            <w:tcW w:w="2551" w:type="dxa"/>
            <w:tcBorders>
              <w:top w:val="single" w:sz="2" w:space="0" w:color="auto"/>
              <w:left w:val="single" w:sz="2" w:space="0" w:color="auto"/>
              <w:bottom w:val="single" w:sz="2" w:space="0" w:color="auto"/>
              <w:right w:val="single" w:sz="2" w:space="0" w:color="auto"/>
            </w:tcBorders>
          </w:tcPr>
          <w:p w14:paraId="5F3F0E43" w14:textId="77777777" w:rsidR="009F4766" w:rsidRPr="00DE12A3" w:rsidRDefault="009F4766" w:rsidP="00C917D6">
            <w:pPr>
              <w:pStyle w:val="NormalLeft"/>
            </w:pPr>
            <w:r w:rsidRPr="00DE12A3">
              <w:t>31</w:t>
            </w:r>
          </w:p>
        </w:tc>
      </w:tr>
      <w:tr w:rsidR="00DE12A3" w:rsidRPr="00DE12A3" w14:paraId="0AA4E0E1" w14:textId="77777777" w:rsidTr="009F4766">
        <w:tc>
          <w:tcPr>
            <w:tcW w:w="1182" w:type="dxa"/>
            <w:tcBorders>
              <w:top w:val="single" w:sz="2" w:space="0" w:color="auto"/>
              <w:left w:val="single" w:sz="2" w:space="0" w:color="auto"/>
              <w:bottom w:val="single" w:sz="2" w:space="0" w:color="auto"/>
              <w:right w:val="single" w:sz="2" w:space="0" w:color="auto"/>
            </w:tcBorders>
          </w:tcPr>
          <w:p w14:paraId="240E1A9A" w14:textId="77777777" w:rsidR="009F4766" w:rsidRPr="00DE12A3" w:rsidRDefault="009F4766" w:rsidP="00C917D6">
            <w:pPr>
              <w:pStyle w:val="NormalLeft"/>
            </w:pPr>
            <w:r w:rsidRPr="00DE12A3">
              <w:t>209</w:t>
            </w:r>
          </w:p>
        </w:tc>
        <w:tc>
          <w:tcPr>
            <w:tcW w:w="2489" w:type="dxa"/>
            <w:tcBorders>
              <w:top w:val="single" w:sz="2" w:space="0" w:color="auto"/>
              <w:left w:val="single" w:sz="2" w:space="0" w:color="auto"/>
              <w:bottom w:val="single" w:sz="2" w:space="0" w:color="auto"/>
              <w:right w:val="single" w:sz="2" w:space="0" w:color="auto"/>
            </w:tcBorders>
          </w:tcPr>
          <w:p w14:paraId="4C1F5E49" w14:textId="77777777" w:rsidR="009F4766" w:rsidRPr="00DE12A3" w:rsidRDefault="009F4766" w:rsidP="00C917D6">
            <w:pPr>
              <w:pStyle w:val="NormalLeft"/>
            </w:pPr>
            <w:r w:rsidRPr="00DE12A3">
              <w:t>43</w:t>
            </w:r>
          </w:p>
        </w:tc>
        <w:tc>
          <w:tcPr>
            <w:tcW w:w="2551" w:type="dxa"/>
            <w:tcBorders>
              <w:top w:val="single" w:sz="2" w:space="0" w:color="auto"/>
              <w:left w:val="single" w:sz="2" w:space="0" w:color="auto"/>
              <w:bottom w:val="single" w:sz="2" w:space="0" w:color="auto"/>
              <w:right w:val="single" w:sz="2" w:space="0" w:color="auto"/>
            </w:tcBorders>
          </w:tcPr>
          <w:p w14:paraId="6A70F647" w14:textId="77777777" w:rsidR="009F4766" w:rsidRPr="00DE12A3" w:rsidRDefault="009F4766" w:rsidP="00C917D6">
            <w:pPr>
              <w:pStyle w:val="NormalLeft"/>
            </w:pPr>
            <w:r w:rsidRPr="00DE12A3">
              <w:t>31</w:t>
            </w:r>
          </w:p>
        </w:tc>
      </w:tr>
      <w:tr w:rsidR="00DE12A3" w:rsidRPr="00DE12A3" w14:paraId="6A878FA7" w14:textId="77777777" w:rsidTr="009F4766">
        <w:tc>
          <w:tcPr>
            <w:tcW w:w="1182" w:type="dxa"/>
            <w:tcBorders>
              <w:top w:val="single" w:sz="2" w:space="0" w:color="auto"/>
              <w:left w:val="single" w:sz="2" w:space="0" w:color="auto"/>
              <w:bottom w:val="single" w:sz="2" w:space="0" w:color="auto"/>
              <w:right w:val="single" w:sz="2" w:space="0" w:color="auto"/>
            </w:tcBorders>
          </w:tcPr>
          <w:p w14:paraId="7253DE78" w14:textId="77777777" w:rsidR="009F4766" w:rsidRPr="00DE12A3" w:rsidRDefault="009F4766" w:rsidP="00C917D6">
            <w:pPr>
              <w:pStyle w:val="NormalLeft"/>
            </w:pPr>
            <w:r w:rsidRPr="00DE12A3">
              <w:t>210</w:t>
            </w:r>
          </w:p>
        </w:tc>
        <w:tc>
          <w:tcPr>
            <w:tcW w:w="2489" w:type="dxa"/>
            <w:tcBorders>
              <w:top w:val="single" w:sz="2" w:space="0" w:color="auto"/>
              <w:left w:val="single" w:sz="2" w:space="0" w:color="auto"/>
              <w:bottom w:val="single" w:sz="2" w:space="0" w:color="auto"/>
              <w:right w:val="single" w:sz="2" w:space="0" w:color="auto"/>
            </w:tcBorders>
          </w:tcPr>
          <w:p w14:paraId="168A8D6B" w14:textId="77777777" w:rsidR="009F4766" w:rsidRPr="00DE12A3" w:rsidRDefault="009F4766" w:rsidP="00C917D6">
            <w:pPr>
              <w:pStyle w:val="NormalLeft"/>
            </w:pPr>
            <w:r w:rsidRPr="00DE12A3">
              <w:t>37</w:t>
            </w:r>
          </w:p>
        </w:tc>
        <w:tc>
          <w:tcPr>
            <w:tcW w:w="2551" w:type="dxa"/>
            <w:tcBorders>
              <w:top w:val="single" w:sz="2" w:space="0" w:color="auto"/>
              <w:left w:val="single" w:sz="2" w:space="0" w:color="auto"/>
              <w:bottom w:val="single" w:sz="2" w:space="0" w:color="auto"/>
              <w:right w:val="single" w:sz="2" w:space="0" w:color="auto"/>
            </w:tcBorders>
          </w:tcPr>
          <w:p w14:paraId="5C600408" w14:textId="77777777" w:rsidR="009F4766" w:rsidRPr="00DE12A3" w:rsidRDefault="009F4766" w:rsidP="00C917D6">
            <w:pPr>
              <w:pStyle w:val="NormalLeft"/>
            </w:pPr>
            <w:r w:rsidRPr="00DE12A3">
              <w:t>33</w:t>
            </w:r>
          </w:p>
        </w:tc>
      </w:tr>
      <w:tr w:rsidR="00DE12A3" w:rsidRPr="00DE12A3" w14:paraId="2428AE10" w14:textId="77777777" w:rsidTr="009F4766">
        <w:tc>
          <w:tcPr>
            <w:tcW w:w="1182" w:type="dxa"/>
            <w:tcBorders>
              <w:top w:val="single" w:sz="2" w:space="0" w:color="auto"/>
              <w:left w:val="single" w:sz="2" w:space="0" w:color="auto"/>
              <w:bottom w:val="single" w:sz="2" w:space="0" w:color="auto"/>
              <w:right w:val="single" w:sz="2" w:space="0" w:color="auto"/>
            </w:tcBorders>
          </w:tcPr>
          <w:p w14:paraId="6D9EF752" w14:textId="77777777" w:rsidR="009F4766" w:rsidRPr="00DE12A3" w:rsidRDefault="009F4766" w:rsidP="00C917D6">
            <w:pPr>
              <w:pStyle w:val="NormalLeft"/>
            </w:pPr>
            <w:r w:rsidRPr="00DE12A3">
              <w:t>211</w:t>
            </w:r>
          </w:p>
        </w:tc>
        <w:tc>
          <w:tcPr>
            <w:tcW w:w="2489" w:type="dxa"/>
            <w:tcBorders>
              <w:top w:val="single" w:sz="2" w:space="0" w:color="auto"/>
              <w:left w:val="single" w:sz="2" w:space="0" w:color="auto"/>
              <w:bottom w:val="single" w:sz="2" w:space="0" w:color="auto"/>
              <w:right w:val="single" w:sz="2" w:space="0" w:color="auto"/>
            </w:tcBorders>
          </w:tcPr>
          <w:p w14:paraId="0682F616" w14:textId="77777777" w:rsidR="009F4766" w:rsidRPr="00DE12A3" w:rsidRDefault="009F4766" w:rsidP="00C917D6">
            <w:pPr>
              <w:pStyle w:val="NormalLeft"/>
            </w:pPr>
            <w:r w:rsidRPr="00DE12A3">
              <w:t>26</w:t>
            </w:r>
          </w:p>
        </w:tc>
        <w:tc>
          <w:tcPr>
            <w:tcW w:w="2551" w:type="dxa"/>
            <w:tcBorders>
              <w:top w:val="single" w:sz="2" w:space="0" w:color="auto"/>
              <w:left w:val="single" w:sz="2" w:space="0" w:color="auto"/>
              <w:bottom w:val="single" w:sz="2" w:space="0" w:color="auto"/>
              <w:right w:val="single" w:sz="2" w:space="0" w:color="auto"/>
            </w:tcBorders>
          </w:tcPr>
          <w:p w14:paraId="69274FAE" w14:textId="77777777" w:rsidR="009F4766" w:rsidRPr="00DE12A3" w:rsidRDefault="009F4766" w:rsidP="00C917D6">
            <w:pPr>
              <w:pStyle w:val="NormalLeft"/>
            </w:pPr>
            <w:r w:rsidRPr="00DE12A3">
              <w:t>18</w:t>
            </w:r>
          </w:p>
        </w:tc>
      </w:tr>
      <w:tr w:rsidR="00DE12A3" w:rsidRPr="00DE12A3" w14:paraId="15818664" w14:textId="77777777" w:rsidTr="009F4766">
        <w:tc>
          <w:tcPr>
            <w:tcW w:w="1182" w:type="dxa"/>
            <w:tcBorders>
              <w:top w:val="single" w:sz="2" w:space="0" w:color="auto"/>
              <w:left w:val="single" w:sz="2" w:space="0" w:color="auto"/>
              <w:bottom w:val="single" w:sz="2" w:space="0" w:color="auto"/>
              <w:right w:val="single" w:sz="2" w:space="0" w:color="auto"/>
            </w:tcBorders>
          </w:tcPr>
          <w:p w14:paraId="47AA6C36" w14:textId="77777777" w:rsidR="009F4766" w:rsidRPr="00DE12A3" w:rsidRDefault="009F4766" w:rsidP="00C917D6">
            <w:pPr>
              <w:pStyle w:val="NormalLeft"/>
            </w:pPr>
            <w:r w:rsidRPr="00DE12A3">
              <w:lastRenderedPageBreak/>
              <w:t>212</w:t>
            </w:r>
          </w:p>
        </w:tc>
        <w:tc>
          <w:tcPr>
            <w:tcW w:w="2489" w:type="dxa"/>
            <w:tcBorders>
              <w:top w:val="single" w:sz="2" w:space="0" w:color="auto"/>
              <w:left w:val="single" w:sz="2" w:space="0" w:color="auto"/>
              <w:bottom w:val="single" w:sz="2" w:space="0" w:color="auto"/>
              <w:right w:val="single" w:sz="2" w:space="0" w:color="auto"/>
            </w:tcBorders>
          </w:tcPr>
          <w:p w14:paraId="700629A2" w14:textId="77777777" w:rsidR="009F4766" w:rsidRPr="00DE12A3" w:rsidRDefault="009F4766" w:rsidP="00C917D6">
            <w:pPr>
              <w:pStyle w:val="NormalLeft"/>
            </w:pPr>
            <w:r w:rsidRPr="00DE12A3">
              <w:t>18</w:t>
            </w:r>
          </w:p>
        </w:tc>
        <w:tc>
          <w:tcPr>
            <w:tcW w:w="2551" w:type="dxa"/>
            <w:tcBorders>
              <w:top w:val="single" w:sz="2" w:space="0" w:color="auto"/>
              <w:left w:val="single" w:sz="2" w:space="0" w:color="auto"/>
              <w:bottom w:val="single" w:sz="2" w:space="0" w:color="auto"/>
              <w:right w:val="single" w:sz="2" w:space="0" w:color="auto"/>
            </w:tcBorders>
          </w:tcPr>
          <w:p w14:paraId="377819C6" w14:textId="77777777" w:rsidR="009F4766" w:rsidRPr="00DE12A3" w:rsidRDefault="009F4766" w:rsidP="00C917D6">
            <w:pPr>
              <w:pStyle w:val="NormalLeft"/>
            </w:pPr>
            <w:r w:rsidRPr="00DE12A3">
              <w:t>29</w:t>
            </w:r>
          </w:p>
        </w:tc>
      </w:tr>
      <w:tr w:rsidR="00DE12A3" w:rsidRPr="00DE12A3" w14:paraId="7CA41829" w14:textId="77777777" w:rsidTr="009F4766">
        <w:tc>
          <w:tcPr>
            <w:tcW w:w="1182" w:type="dxa"/>
            <w:tcBorders>
              <w:top w:val="single" w:sz="2" w:space="0" w:color="auto"/>
              <w:left w:val="single" w:sz="2" w:space="0" w:color="auto"/>
              <w:bottom w:val="single" w:sz="2" w:space="0" w:color="auto"/>
              <w:right w:val="single" w:sz="2" w:space="0" w:color="auto"/>
            </w:tcBorders>
          </w:tcPr>
          <w:p w14:paraId="250D6C6B" w14:textId="77777777" w:rsidR="009F4766" w:rsidRPr="00DE12A3" w:rsidRDefault="009F4766" w:rsidP="00C917D6">
            <w:pPr>
              <w:pStyle w:val="NormalLeft"/>
            </w:pPr>
            <w:r w:rsidRPr="00DE12A3">
              <w:t>213</w:t>
            </w:r>
          </w:p>
        </w:tc>
        <w:tc>
          <w:tcPr>
            <w:tcW w:w="2489" w:type="dxa"/>
            <w:tcBorders>
              <w:top w:val="single" w:sz="2" w:space="0" w:color="auto"/>
              <w:left w:val="single" w:sz="2" w:space="0" w:color="auto"/>
              <w:bottom w:val="single" w:sz="2" w:space="0" w:color="auto"/>
              <w:right w:val="single" w:sz="2" w:space="0" w:color="auto"/>
            </w:tcBorders>
          </w:tcPr>
          <w:p w14:paraId="0F05004B" w14:textId="77777777" w:rsidR="009F4766" w:rsidRPr="00DE12A3" w:rsidRDefault="009F4766" w:rsidP="00C917D6">
            <w:pPr>
              <w:pStyle w:val="NormalLeft"/>
            </w:pPr>
            <w:r w:rsidRPr="00DE12A3">
              <w:t>14</w:t>
            </w:r>
          </w:p>
        </w:tc>
        <w:tc>
          <w:tcPr>
            <w:tcW w:w="2551" w:type="dxa"/>
            <w:tcBorders>
              <w:top w:val="single" w:sz="2" w:space="0" w:color="auto"/>
              <w:left w:val="single" w:sz="2" w:space="0" w:color="auto"/>
              <w:bottom w:val="single" w:sz="2" w:space="0" w:color="auto"/>
              <w:right w:val="single" w:sz="2" w:space="0" w:color="auto"/>
            </w:tcBorders>
          </w:tcPr>
          <w:p w14:paraId="4DE8F24B" w14:textId="77777777" w:rsidR="009F4766" w:rsidRPr="00DE12A3" w:rsidRDefault="009F4766" w:rsidP="00C917D6">
            <w:pPr>
              <w:pStyle w:val="NormalLeft"/>
            </w:pPr>
            <w:r w:rsidRPr="00DE12A3">
              <w:t>51</w:t>
            </w:r>
          </w:p>
        </w:tc>
      </w:tr>
      <w:tr w:rsidR="00DE12A3" w:rsidRPr="00DE12A3" w14:paraId="7278FD17" w14:textId="77777777" w:rsidTr="009F4766">
        <w:tc>
          <w:tcPr>
            <w:tcW w:w="1182" w:type="dxa"/>
            <w:tcBorders>
              <w:top w:val="single" w:sz="2" w:space="0" w:color="auto"/>
              <w:left w:val="single" w:sz="2" w:space="0" w:color="auto"/>
              <w:bottom w:val="single" w:sz="2" w:space="0" w:color="auto"/>
              <w:right w:val="single" w:sz="2" w:space="0" w:color="auto"/>
            </w:tcBorders>
          </w:tcPr>
          <w:p w14:paraId="3E3FD2D5" w14:textId="77777777" w:rsidR="009F4766" w:rsidRPr="00DE12A3" w:rsidRDefault="009F4766" w:rsidP="00C917D6">
            <w:pPr>
              <w:pStyle w:val="NormalLeft"/>
            </w:pPr>
            <w:r w:rsidRPr="00DE12A3">
              <w:t>214</w:t>
            </w:r>
          </w:p>
        </w:tc>
        <w:tc>
          <w:tcPr>
            <w:tcW w:w="2489" w:type="dxa"/>
            <w:tcBorders>
              <w:top w:val="single" w:sz="2" w:space="0" w:color="auto"/>
              <w:left w:val="single" w:sz="2" w:space="0" w:color="auto"/>
              <w:bottom w:val="single" w:sz="2" w:space="0" w:color="auto"/>
              <w:right w:val="single" w:sz="2" w:space="0" w:color="auto"/>
            </w:tcBorders>
          </w:tcPr>
          <w:p w14:paraId="31880B9F" w14:textId="77777777" w:rsidR="009F4766" w:rsidRPr="00DE12A3" w:rsidRDefault="009F4766" w:rsidP="00C917D6">
            <w:pPr>
              <w:pStyle w:val="NormalLeft"/>
            </w:pPr>
            <w:r w:rsidRPr="00DE12A3">
              <w:t>13</w:t>
            </w:r>
          </w:p>
        </w:tc>
        <w:tc>
          <w:tcPr>
            <w:tcW w:w="2551" w:type="dxa"/>
            <w:tcBorders>
              <w:top w:val="single" w:sz="2" w:space="0" w:color="auto"/>
              <w:left w:val="single" w:sz="2" w:space="0" w:color="auto"/>
              <w:bottom w:val="single" w:sz="2" w:space="0" w:color="auto"/>
              <w:right w:val="single" w:sz="2" w:space="0" w:color="auto"/>
            </w:tcBorders>
          </w:tcPr>
          <w:p w14:paraId="4B32AF39" w14:textId="77777777" w:rsidR="009F4766" w:rsidRPr="00DE12A3" w:rsidRDefault="009F4766" w:rsidP="00C917D6">
            <w:pPr>
              <w:pStyle w:val="NormalLeft"/>
            </w:pPr>
            <w:r w:rsidRPr="00DE12A3">
              <w:t>11</w:t>
            </w:r>
          </w:p>
        </w:tc>
      </w:tr>
      <w:tr w:rsidR="00DE12A3" w:rsidRPr="00DE12A3" w14:paraId="02ADFD4E" w14:textId="77777777" w:rsidTr="009F4766">
        <w:tc>
          <w:tcPr>
            <w:tcW w:w="1182" w:type="dxa"/>
            <w:tcBorders>
              <w:top w:val="single" w:sz="2" w:space="0" w:color="auto"/>
              <w:left w:val="single" w:sz="2" w:space="0" w:color="auto"/>
              <w:bottom w:val="single" w:sz="2" w:space="0" w:color="auto"/>
              <w:right w:val="single" w:sz="2" w:space="0" w:color="auto"/>
            </w:tcBorders>
          </w:tcPr>
          <w:p w14:paraId="26923DF7" w14:textId="77777777" w:rsidR="009F4766" w:rsidRPr="00DE12A3" w:rsidRDefault="009F4766" w:rsidP="00C917D6">
            <w:pPr>
              <w:pStyle w:val="NormalLeft"/>
            </w:pPr>
            <w:r w:rsidRPr="00DE12A3">
              <w:t>215</w:t>
            </w:r>
          </w:p>
        </w:tc>
        <w:tc>
          <w:tcPr>
            <w:tcW w:w="2489" w:type="dxa"/>
            <w:tcBorders>
              <w:top w:val="single" w:sz="2" w:space="0" w:color="auto"/>
              <w:left w:val="single" w:sz="2" w:space="0" w:color="auto"/>
              <w:bottom w:val="single" w:sz="2" w:space="0" w:color="auto"/>
              <w:right w:val="single" w:sz="2" w:space="0" w:color="auto"/>
            </w:tcBorders>
          </w:tcPr>
          <w:p w14:paraId="535FE1B4" w14:textId="77777777" w:rsidR="009F4766" w:rsidRPr="00DE12A3" w:rsidRDefault="009F4766" w:rsidP="00C917D6">
            <w:pPr>
              <w:pStyle w:val="NormalLeft"/>
            </w:pPr>
            <w:r w:rsidRPr="00DE12A3">
              <w:t>12</w:t>
            </w:r>
          </w:p>
        </w:tc>
        <w:tc>
          <w:tcPr>
            <w:tcW w:w="2551" w:type="dxa"/>
            <w:tcBorders>
              <w:top w:val="single" w:sz="2" w:space="0" w:color="auto"/>
              <w:left w:val="single" w:sz="2" w:space="0" w:color="auto"/>
              <w:bottom w:val="single" w:sz="2" w:space="0" w:color="auto"/>
              <w:right w:val="single" w:sz="2" w:space="0" w:color="auto"/>
            </w:tcBorders>
          </w:tcPr>
          <w:p w14:paraId="2062A057" w14:textId="77777777" w:rsidR="009F4766" w:rsidRPr="00DE12A3" w:rsidRDefault="009F4766" w:rsidP="00C917D6">
            <w:pPr>
              <w:pStyle w:val="NormalLeft"/>
            </w:pPr>
            <w:r w:rsidRPr="00DE12A3">
              <w:t>9</w:t>
            </w:r>
          </w:p>
        </w:tc>
      </w:tr>
      <w:tr w:rsidR="00DE12A3" w:rsidRPr="00DE12A3" w14:paraId="0EF578D0" w14:textId="77777777" w:rsidTr="009F4766">
        <w:tc>
          <w:tcPr>
            <w:tcW w:w="1182" w:type="dxa"/>
            <w:tcBorders>
              <w:top w:val="single" w:sz="2" w:space="0" w:color="auto"/>
              <w:left w:val="single" w:sz="2" w:space="0" w:color="auto"/>
              <w:bottom w:val="single" w:sz="2" w:space="0" w:color="auto"/>
              <w:right w:val="single" w:sz="2" w:space="0" w:color="auto"/>
            </w:tcBorders>
          </w:tcPr>
          <w:p w14:paraId="67DB48B0" w14:textId="77777777" w:rsidR="009F4766" w:rsidRPr="00DE12A3" w:rsidRDefault="009F4766" w:rsidP="00C917D6">
            <w:pPr>
              <w:pStyle w:val="NormalLeft"/>
            </w:pPr>
            <w:r w:rsidRPr="00DE12A3">
              <w:t>216</w:t>
            </w:r>
          </w:p>
        </w:tc>
        <w:tc>
          <w:tcPr>
            <w:tcW w:w="2489" w:type="dxa"/>
            <w:tcBorders>
              <w:top w:val="single" w:sz="2" w:space="0" w:color="auto"/>
              <w:left w:val="single" w:sz="2" w:space="0" w:color="auto"/>
              <w:bottom w:val="single" w:sz="2" w:space="0" w:color="auto"/>
              <w:right w:val="single" w:sz="2" w:space="0" w:color="auto"/>
            </w:tcBorders>
          </w:tcPr>
          <w:p w14:paraId="62808059" w14:textId="77777777" w:rsidR="009F4766" w:rsidRPr="00DE12A3" w:rsidRDefault="009F4766" w:rsidP="00C917D6">
            <w:pPr>
              <w:pStyle w:val="NormalLeft"/>
            </w:pPr>
            <w:r w:rsidRPr="00DE12A3">
              <w:t>15</w:t>
            </w:r>
          </w:p>
        </w:tc>
        <w:tc>
          <w:tcPr>
            <w:tcW w:w="2551" w:type="dxa"/>
            <w:tcBorders>
              <w:top w:val="single" w:sz="2" w:space="0" w:color="auto"/>
              <w:left w:val="single" w:sz="2" w:space="0" w:color="auto"/>
              <w:bottom w:val="single" w:sz="2" w:space="0" w:color="auto"/>
              <w:right w:val="single" w:sz="2" w:space="0" w:color="auto"/>
            </w:tcBorders>
          </w:tcPr>
          <w:p w14:paraId="76C8C333" w14:textId="77777777" w:rsidR="009F4766" w:rsidRPr="00DE12A3" w:rsidRDefault="009F4766" w:rsidP="00C917D6">
            <w:pPr>
              <w:pStyle w:val="NormalLeft"/>
            </w:pPr>
            <w:r w:rsidRPr="00DE12A3">
              <w:t>33</w:t>
            </w:r>
          </w:p>
        </w:tc>
      </w:tr>
      <w:tr w:rsidR="00DE12A3" w:rsidRPr="00DE12A3" w14:paraId="75EB7FCA" w14:textId="77777777" w:rsidTr="009F4766">
        <w:tc>
          <w:tcPr>
            <w:tcW w:w="1182" w:type="dxa"/>
            <w:tcBorders>
              <w:top w:val="single" w:sz="2" w:space="0" w:color="auto"/>
              <w:left w:val="single" w:sz="2" w:space="0" w:color="auto"/>
              <w:bottom w:val="single" w:sz="2" w:space="0" w:color="auto"/>
              <w:right w:val="single" w:sz="2" w:space="0" w:color="auto"/>
            </w:tcBorders>
          </w:tcPr>
          <w:p w14:paraId="7A286BA5" w14:textId="77777777" w:rsidR="009F4766" w:rsidRPr="00DE12A3" w:rsidRDefault="009F4766" w:rsidP="00C917D6">
            <w:pPr>
              <w:pStyle w:val="NormalLeft"/>
            </w:pPr>
            <w:r w:rsidRPr="00DE12A3">
              <w:t>217</w:t>
            </w:r>
          </w:p>
        </w:tc>
        <w:tc>
          <w:tcPr>
            <w:tcW w:w="2489" w:type="dxa"/>
            <w:tcBorders>
              <w:top w:val="single" w:sz="2" w:space="0" w:color="auto"/>
              <w:left w:val="single" w:sz="2" w:space="0" w:color="auto"/>
              <w:bottom w:val="single" w:sz="2" w:space="0" w:color="auto"/>
              <w:right w:val="single" w:sz="2" w:space="0" w:color="auto"/>
            </w:tcBorders>
          </w:tcPr>
          <w:p w14:paraId="7BB69FF5" w14:textId="77777777" w:rsidR="009F4766" w:rsidRPr="00DE12A3" w:rsidRDefault="009F4766" w:rsidP="00C917D6">
            <w:pPr>
              <w:pStyle w:val="NormalLeft"/>
            </w:pPr>
            <w:r w:rsidRPr="00DE12A3">
              <w:t>20</w:t>
            </w:r>
          </w:p>
        </w:tc>
        <w:tc>
          <w:tcPr>
            <w:tcW w:w="2551" w:type="dxa"/>
            <w:tcBorders>
              <w:top w:val="single" w:sz="2" w:space="0" w:color="auto"/>
              <w:left w:val="single" w:sz="2" w:space="0" w:color="auto"/>
              <w:bottom w:val="single" w:sz="2" w:space="0" w:color="auto"/>
              <w:right w:val="single" w:sz="2" w:space="0" w:color="auto"/>
            </w:tcBorders>
          </w:tcPr>
          <w:p w14:paraId="2823867F" w14:textId="77777777" w:rsidR="009F4766" w:rsidRPr="00DE12A3" w:rsidRDefault="009F4766" w:rsidP="00C917D6">
            <w:pPr>
              <w:pStyle w:val="NormalLeft"/>
            </w:pPr>
            <w:r w:rsidRPr="00DE12A3">
              <w:t>25</w:t>
            </w:r>
          </w:p>
        </w:tc>
      </w:tr>
      <w:tr w:rsidR="00DE12A3" w:rsidRPr="00DE12A3" w14:paraId="5DA98BE0" w14:textId="77777777" w:rsidTr="009F4766">
        <w:tc>
          <w:tcPr>
            <w:tcW w:w="1182" w:type="dxa"/>
            <w:tcBorders>
              <w:top w:val="single" w:sz="2" w:space="0" w:color="auto"/>
              <w:left w:val="single" w:sz="2" w:space="0" w:color="auto"/>
              <w:bottom w:val="single" w:sz="2" w:space="0" w:color="auto"/>
              <w:right w:val="single" w:sz="2" w:space="0" w:color="auto"/>
            </w:tcBorders>
          </w:tcPr>
          <w:p w14:paraId="6692576D" w14:textId="77777777" w:rsidR="009F4766" w:rsidRPr="00DE12A3" w:rsidRDefault="009F4766" w:rsidP="00C917D6">
            <w:pPr>
              <w:pStyle w:val="NormalLeft"/>
            </w:pPr>
            <w:r w:rsidRPr="00DE12A3">
              <w:t>218</w:t>
            </w:r>
          </w:p>
        </w:tc>
        <w:tc>
          <w:tcPr>
            <w:tcW w:w="2489" w:type="dxa"/>
            <w:tcBorders>
              <w:top w:val="single" w:sz="2" w:space="0" w:color="auto"/>
              <w:left w:val="single" w:sz="2" w:space="0" w:color="auto"/>
              <w:bottom w:val="single" w:sz="2" w:space="0" w:color="auto"/>
              <w:right w:val="single" w:sz="2" w:space="0" w:color="auto"/>
            </w:tcBorders>
          </w:tcPr>
          <w:p w14:paraId="1730D1EF" w14:textId="77777777" w:rsidR="009F4766" w:rsidRPr="00DE12A3" w:rsidRDefault="009F4766" w:rsidP="00C917D6">
            <w:pPr>
              <w:pStyle w:val="NormalLeft"/>
            </w:pPr>
            <w:r w:rsidRPr="00DE12A3">
              <w:t>25</w:t>
            </w:r>
          </w:p>
        </w:tc>
        <w:tc>
          <w:tcPr>
            <w:tcW w:w="2551" w:type="dxa"/>
            <w:tcBorders>
              <w:top w:val="single" w:sz="2" w:space="0" w:color="auto"/>
              <w:left w:val="single" w:sz="2" w:space="0" w:color="auto"/>
              <w:bottom w:val="single" w:sz="2" w:space="0" w:color="auto"/>
              <w:right w:val="single" w:sz="2" w:space="0" w:color="auto"/>
            </w:tcBorders>
          </w:tcPr>
          <w:p w14:paraId="46F26F6D" w14:textId="77777777" w:rsidR="009F4766" w:rsidRPr="00DE12A3" w:rsidRDefault="009F4766" w:rsidP="00C917D6">
            <w:pPr>
              <w:pStyle w:val="NormalLeft"/>
            </w:pPr>
            <w:r w:rsidRPr="00DE12A3">
              <w:t>17</w:t>
            </w:r>
          </w:p>
        </w:tc>
      </w:tr>
      <w:tr w:rsidR="00DE12A3" w:rsidRPr="00DE12A3" w14:paraId="145CDCA2" w14:textId="77777777" w:rsidTr="009F4766">
        <w:tc>
          <w:tcPr>
            <w:tcW w:w="1182" w:type="dxa"/>
            <w:tcBorders>
              <w:top w:val="single" w:sz="2" w:space="0" w:color="auto"/>
              <w:left w:val="single" w:sz="2" w:space="0" w:color="auto"/>
              <w:bottom w:val="single" w:sz="2" w:space="0" w:color="auto"/>
              <w:right w:val="single" w:sz="2" w:space="0" w:color="auto"/>
            </w:tcBorders>
          </w:tcPr>
          <w:p w14:paraId="4C680410" w14:textId="77777777" w:rsidR="009F4766" w:rsidRPr="00DE12A3" w:rsidRDefault="009F4766" w:rsidP="00C917D6">
            <w:pPr>
              <w:pStyle w:val="NormalLeft"/>
            </w:pPr>
            <w:r w:rsidRPr="00DE12A3">
              <w:t>219</w:t>
            </w:r>
          </w:p>
        </w:tc>
        <w:tc>
          <w:tcPr>
            <w:tcW w:w="2489" w:type="dxa"/>
            <w:tcBorders>
              <w:top w:val="single" w:sz="2" w:space="0" w:color="auto"/>
              <w:left w:val="single" w:sz="2" w:space="0" w:color="auto"/>
              <w:bottom w:val="single" w:sz="2" w:space="0" w:color="auto"/>
              <w:right w:val="single" w:sz="2" w:space="0" w:color="auto"/>
            </w:tcBorders>
          </w:tcPr>
          <w:p w14:paraId="4D70C509" w14:textId="77777777" w:rsidR="009F4766" w:rsidRPr="00DE12A3" w:rsidRDefault="009F4766" w:rsidP="00C917D6">
            <w:pPr>
              <w:pStyle w:val="NormalLeft"/>
            </w:pPr>
            <w:r w:rsidRPr="00DE12A3">
              <w:t>31</w:t>
            </w:r>
          </w:p>
        </w:tc>
        <w:tc>
          <w:tcPr>
            <w:tcW w:w="2551" w:type="dxa"/>
            <w:tcBorders>
              <w:top w:val="single" w:sz="2" w:space="0" w:color="auto"/>
              <w:left w:val="single" w:sz="2" w:space="0" w:color="auto"/>
              <w:bottom w:val="single" w:sz="2" w:space="0" w:color="auto"/>
              <w:right w:val="single" w:sz="2" w:space="0" w:color="auto"/>
            </w:tcBorders>
          </w:tcPr>
          <w:p w14:paraId="7A43C155" w14:textId="77777777" w:rsidR="009F4766" w:rsidRPr="00DE12A3" w:rsidRDefault="009F4766" w:rsidP="00C917D6">
            <w:pPr>
              <w:pStyle w:val="NormalLeft"/>
            </w:pPr>
            <w:r w:rsidRPr="00DE12A3">
              <w:t>29</w:t>
            </w:r>
          </w:p>
        </w:tc>
      </w:tr>
      <w:tr w:rsidR="00DE12A3" w:rsidRPr="00DE12A3" w14:paraId="45A9B797" w14:textId="77777777" w:rsidTr="009F4766">
        <w:tc>
          <w:tcPr>
            <w:tcW w:w="1182" w:type="dxa"/>
            <w:tcBorders>
              <w:top w:val="single" w:sz="2" w:space="0" w:color="auto"/>
              <w:left w:val="single" w:sz="2" w:space="0" w:color="auto"/>
              <w:bottom w:val="single" w:sz="2" w:space="0" w:color="auto"/>
              <w:right w:val="single" w:sz="2" w:space="0" w:color="auto"/>
            </w:tcBorders>
          </w:tcPr>
          <w:p w14:paraId="4988E4FA" w14:textId="77777777" w:rsidR="009F4766" w:rsidRPr="00DE12A3" w:rsidRDefault="009F4766" w:rsidP="00C917D6">
            <w:pPr>
              <w:pStyle w:val="NormalLeft"/>
            </w:pPr>
            <w:r w:rsidRPr="00DE12A3">
              <w:t>220</w:t>
            </w:r>
          </w:p>
        </w:tc>
        <w:tc>
          <w:tcPr>
            <w:tcW w:w="2489" w:type="dxa"/>
            <w:tcBorders>
              <w:top w:val="single" w:sz="2" w:space="0" w:color="auto"/>
              <w:left w:val="single" w:sz="2" w:space="0" w:color="auto"/>
              <w:bottom w:val="single" w:sz="2" w:space="0" w:color="auto"/>
              <w:right w:val="single" w:sz="2" w:space="0" w:color="auto"/>
            </w:tcBorders>
          </w:tcPr>
          <w:p w14:paraId="23C53884" w14:textId="77777777" w:rsidR="009F4766" w:rsidRPr="00DE12A3" w:rsidRDefault="009F4766" w:rsidP="00C917D6">
            <w:pPr>
              <w:pStyle w:val="NormalLeft"/>
            </w:pPr>
            <w:r w:rsidRPr="00DE12A3">
              <w:t>36</w:t>
            </w:r>
          </w:p>
        </w:tc>
        <w:tc>
          <w:tcPr>
            <w:tcW w:w="2551" w:type="dxa"/>
            <w:tcBorders>
              <w:top w:val="single" w:sz="2" w:space="0" w:color="auto"/>
              <w:left w:val="single" w:sz="2" w:space="0" w:color="auto"/>
              <w:bottom w:val="single" w:sz="2" w:space="0" w:color="auto"/>
              <w:right w:val="single" w:sz="2" w:space="0" w:color="auto"/>
            </w:tcBorders>
          </w:tcPr>
          <w:p w14:paraId="6015F6CB" w14:textId="77777777" w:rsidR="009F4766" w:rsidRPr="00DE12A3" w:rsidRDefault="009F4766" w:rsidP="00C917D6">
            <w:pPr>
              <w:pStyle w:val="NormalLeft"/>
            </w:pPr>
            <w:r w:rsidRPr="00DE12A3">
              <w:t>66</w:t>
            </w:r>
          </w:p>
        </w:tc>
      </w:tr>
      <w:tr w:rsidR="00DE12A3" w:rsidRPr="00DE12A3" w14:paraId="7824D5AD" w14:textId="77777777" w:rsidTr="009F4766">
        <w:tc>
          <w:tcPr>
            <w:tcW w:w="1182" w:type="dxa"/>
            <w:tcBorders>
              <w:top w:val="single" w:sz="2" w:space="0" w:color="auto"/>
              <w:left w:val="single" w:sz="2" w:space="0" w:color="auto"/>
              <w:bottom w:val="single" w:sz="2" w:space="0" w:color="auto"/>
              <w:right w:val="single" w:sz="2" w:space="0" w:color="auto"/>
            </w:tcBorders>
          </w:tcPr>
          <w:p w14:paraId="1AF500A3" w14:textId="77777777" w:rsidR="009F4766" w:rsidRPr="00DE12A3" w:rsidRDefault="009F4766" w:rsidP="00C917D6">
            <w:pPr>
              <w:pStyle w:val="NormalLeft"/>
            </w:pPr>
            <w:r w:rsidRPr="00DE12A3">
              <w:t>221</w:t>
            </w:r>
          </w:p>
        </w:tc>
        <w:tc>
          <w:tcPr>
            <w:tcW w:w="2489" w:type="dxa"/>
            <w:tcBorders>
              <w:top w:val="single" w:sz="2" w:space="0" w:color="auto"/>
              <w:left w:val="single" w:sz="2" w:space="0" w:color="auto"/>
              <w:bottom w:val="single" w:sz="2" w:space="0" w:color="auto"/>
              <w:right w:val="single" w:sz="2" w:space="0" w:color="auto"/>
            </w:tcBorders>
          </w:tcPr>
          <w:p w14:paraId="44262C74" w14:textId="77777777" w:rsidR="009F4766" w:rsidRPr="00DE12A3" w:rsidRDefault="009F4766" w:rsidP="00C917D6">
            <w:pPr>
              <w:pStyle w:val="NormalLeft"/>
            </w:pPr>
            <w:r w:rsidRPr="00DE12A3">
              <w:t>66</w:t>
            </w:r>
          </w:p>
        </w:tc>
        <w:tc>
          <w:tcPr>
            <w:tcW w:w="2551" w:type="dxa"/>
            <w:tcBorders>
              <w:top w:val="single" w:sz="2" w:space="0" w:color="auto"/>
              <w:left w:val="single" w:sz="2" w:space="0" w:color="auto"/>
              <w:bottom w:val="single" w:sz="2" w:space="0" w:color="auto"/>
              <w:right w:val="single" w:sz="2" w:space="0" w:color="auto"/>
            </w:tcBorders>
          </w:tcPr>
          <w:p w14:paraId="078443AC" w14:textId="77777777" w:rsidR="009F4766" w:rsidRPr="00DE12A3" w:rsidRDefault="009F4766" w:rsidP="00C917D6">
            <w:pPr>
              <w:pStyle w:val="NormalLeft"/>
            </w:pPr>
            <w:r w:rsidRPr="00DE12A3">
              <w:t>40</w:t>
            </w:r>
          </w:p>
        </w:tc>
      </w:tr>
      <w:tr w:rsidR="00DE12A3" w:rsidRPr="00DE12A3" w14:paraId="40114BAC" w14:textId="77777777" w:rsidTr="009F4766">
        <w:tc>
          <w:tcPr>
            <w:tcW w:w="1182" w:type="dxa"/>
            <w:tcBorders>
              <w:top w:val="single" w:sz="2" w:space="0" w:color="auto"/>
              <w:left w:val="single" w:sz="2" w:space="0" w:color="auto"/>
              <w:bottom w:val="single" w:sz="2" w:space="0" w:color="auto"/>
              <w:right w:val="single" w:sz="2" w:space="0" w:color="auto"/>
            </w:tcBorders>
          </w:tcPr>
          <w:p w14:paraId="382656E4" w14:textId="77777777" w:rsidR="009F4766" w:rsidRPr="00DE12A3" w:rsidRDefault="009F4766" w:rsidP="00C917D6">
            <w:pPr>
              <w:pStyle w:val="NormalLeft"/>
            </w:pPr>
            <w:r w:rsidRPr="00DE12A3">
              <w:t>222</w:t>
            </w:r>
          </w:p>
        </w:tc>
        <w:tc>
          <w:tcPr>
            <w:tcW w:w="2489" w:type="dxa"/>
            <w:tcBorders>
              <w:top w:val="single" w:sz="2" w:space="0" w:color="auto"/>
              <w:left w:val="single" w:sz="2" w:space="0" w:color="auto"/>
              <w:bottom w:val="single" w:sz="2" w:space="0" w:color="auto"/>
              <w:right w:val="single" w:sz="2" w:space="0" w:color="auto"/>
            </w:tcBorders>
          </w:tcPr>
          <w:p w14:paraId="31E04B36" w14:textId="77777777" w:rsidR="009F4766" w:rsidRPr="00DE12A3" w:rsidRDefault="009F4766" w:rsidP="00C917D6">
            <w:pPr>
              <w:pStyle w:val="NormalLeft"/>
            </w:pPr>
            <w:r w:rsidRPr="00DE12A3">
              <w:t>50</w:t>
            </w:r>
          </w:p>
        </w:tc>
        <w:tc>
          <w:tcPr>
            <w:tcW w:w="2551" w:type="dxa"/>
            <w:tcBorders>
              <w:top w:val="single" w:sz="2" w:space="0" w:color="auto"/>
              <w:left w:val="single" w:sz="2" w:space="0" w:color="auto"/>
              <w:bottom w:val="single" w:sz="2" w:space="0" w:color="auto"/>
              <w:right w:val="single" w:sz="2" w:space="0" w:color="auto"/>
            </w:tcBorders>
          </w:tcPr>
          <w:p w14:paraId="04B21D0E" w14:textId="77777777" w:rsidR="009F4766" w:rsidRPr="00DE12A3" w:rsidRDefault="009F4766" w:rsidP="00C917D6">
            <w:pPr>
              <w:pStyle w:val="NormalLeft"/>
            </w:pPr>
            <w:r w:rsidRPr="00DE12A3">
              <w:t>13</w:t>
            </w:r>
          </w:p>
        </w:tc>
      </w:tr>
      <w:tr w:rsidR="00DE12A3" w:rsidRPr="00DE12A3" w14:paraId="76FBEC6C" w14:textId="77777777" w:rsidTr="009F4766">
        <w:tc>
          <w:tcPr>
            <w:tcW w:w="1182" w:type="dxa"/>
            <w:tcBorders>
              <w:top w:val="single" w:sz="2" w:space="0" w:color="auto"/>
              <w:left w:val="single" w:sz="2" w:space="0" w:color="auto"/>
              <w:bottom w:val="single" w:sz="2" w:space="0" w:color="auto"/>
              <w:right w:val="single" w:sz="2" w:space="0" w:color="auto"/>
            </w:tcBorders>
          </w:tcPr>
          <w:p w14:paraId="7290D80D" w14:textId="77777777" w:rsidR="009F4766" w:rsidRPr="00DE12A3" w:rsidRDefault="009F4766" w:rsidP="00C917D6">
            <w:pPr>
              <w:pStyle w:val="NormalLeft"/>
            </w:pPr>
            <w:r w:rsidRPr="00DE12A3">
              <w:t>223</w:t>
            </w:r>
          </w:p>
        </w:tc>
        <w:tc>
          <w:tcPr>
            <w:tcW w:w="2489" w:type="dxa"/>
            <w:tcBorders>
              <w:top w:val="single" w:sz="2" w:space="0" w:color="auto"/>
              <w:left w:val="single" w:sz="2" w:space="0" w:color="auto"/>
              <w:bottom w:val="single" w:sz="2" w:space="0" w:color="auto"/>
              <w:right w:val="single" w:sz="2" w:space="0" w:color="auto"/>
            </w:tcBorders>
          </w:tcPr>
          <w:p w14:paraId="39BD715F" w14:textId="77777777" w:rsidR="009F4766" w:rsidRPr="00DE12A3" w:rsidRDefault="009F4766" w:rsidP="00C917D6">
            <w:pPr>
              <w:pStyle w:val="NormalLeft"/>
            </w:pPr>
            <w:r w:rsidRPr="00DE12A3">
              <w:t>16</w:t>
            </w:r>
          </w:p>
        </w:tc>
        <w:tc>
          <w:tcPr>
            <w:tcW w:w="2551" w:type="dxa"/>
            <w:tcBorders>
              <w:top w:val="single" w:sz="2" w:space="0" w:color="auto"/>
              <w:left w:val="single" w:sz="2" w:space="0" w:color="auto"/>
              <w:bottom w:val="single" w:sz="2" w:space="0" w:color="auto"/>
              <w:right w:val="single" w:sz="2" w:space="0" w:color="auto"/>
            </w:tcBorders>
          </w:tcPr>
          <w:p w14:paraId="33B30CB9" w14:textId="77777777" w:rsidR="009F4766" w:rsidRPr="00DE12A3" w:rsidRDefault="009F4766" w:rsidP="00C917D6">
            <w:pPr>
              <w:pStyle w:val="NormalLeft"/>
            </w:pPr>
            <w:r w:rsidRPr="00DE12A3">
              <w:t>24</w:t>
            </w:r>
          </w:p>
        </w:tc>
      </w:tr>
      <w:tr w:rsidR="00DE12A3" w:rsidRPr="00DE12A3" w14:paraId="2EF94379" w14:textId="77777777" w:rsidTr="009F4766">
        <w:tc>
          <w:tcPr>
            <w:tcW w:w="1182" w:type="dxa"/>
            <w:tcBorders>
              <w:top w:val="single" w:sz="2" w:space="0" w:color="auto"/>
              <w:left w:val="single" w:sz="2" w:space="0" w:color="auto"/>
              <w:bottom w:val="single" w:sz="2" w:space="0" w:color="auto"/>
              <w:right w:val="single" w:sz="2" w:space="0" w:color="auto"/>
            </w:tcBorders>
          </w:tcPr>
          <w:p w14:paraId="39A9D58F" w14:textId="77777777" w:rsidR="009F4766" w:rsidRPr="00DE12A3" w:rsidRDefault="009F4766" w:rsidP="00C917D6">
            <w:pPr>
              <w:pStyle w:val="NormalLeft"/>
            </w:pPr>
            <w:r w:rsidRPr="00DE12A3">
              <w:t>224</w:t>
            </w:r>
          </w:p>
        </w:tc>
        <w:tc>
          <w:tcPr>
            <w:tcW w:w="2489" w:type="dxa"/>
            <w:tcBorders>
              <w:top w:val="single" w:sz="2" w:space="0" w:color="auto"/>
              <w:left w:val="single" w:sz="2" w:space="0" w:color="auto"/>
              <w:bottom w:val="single" w:sz="2" w:space="0" w:color="auto"/>
              <w:right w:val="single" w:sz="2" w:space="0" w:color="auto"/>
            </w:tcBorders>
          </w:tcPr>
          <w:p w14:paraId="43729F33" w14:textId="77777777" w:rsidR="009F4766" w:rsidRPr="00DE12A3" w:rsidRDefault="009F4766" w:rsidP="00C917D6">
            <w:pPr>
              <w:pStyle w:val="NormalLeft"/>
            </w:pPr>
            <w:r w:rsidRPr="00DE12A3">
              <w:t>26</w:t>
            </w:r>
          </w:p>
        </w:tc>
        <w:tc>
          <w:tcPr>
            <w:tcW w:w="2551" w:type="dxa"/>
            <w:tcBorders>
              <w:top w:val="single" w:sz="2" w:space="0" w:color="auto"/>
              <w:left w:val="single" w:sz="2" w:space="0" w:color="auto"/>
              <w:bottom w:val="single" w:sz="2" w:space="0" w:color="auto"/>
              <w:right w:val="single" w:sz="2" w:space="0" w:color="auto"/>
            </w:tcBorders>
          </w:tcPr>
          <w:p w14:paraId="1F522F9C" w14:textId="77777777" w:rsidR="009F4766" w:rsidRPr="00DE12A3" w:rsidRDefault="009F4766" w:rsidP="00C917D6">
            <w:pPr>
              <w:pStyle w:val="NormalLeft"/>
            </w:pPr>
            <w:r w:rsidRPr="00DE12A3">
              <w:t>50</w:t>
            </w:r>
          </w:p>
        </w:tc>
      </w:tr>
      <w:tr w:rsidR="00DE12A3" w:rsidRPr="00DE12A3" w14:paraId="09BB905B" w14:textId="77777777" w:rsidTr="009F4766">
        <w:tc>
          <w:tcPr>
            <w:tcW w:w="1182" w:type="dxa"/>
            <w:tcBorders>
              <w:top w:val="single" w:sz="2" w:space="0" w:color="auto"/>
              <w:left w:val="single" w:sz="2" w:space="0" w:color="auto"/>
              <w:bottom w:val="single" w:sz="2" w:space="0" w:color="auto"/>
              <w:right w:val="single" w:sz="2" w:space="0" w:color="auto"/>
            </w:tcBorders>
          </w:tcPr>
          <w:p w14:paraId="2B9E3D98" w14:textId="77777777" w:rsidR="009F4766" w:rsidRPr="00DE12A3" w:rsidRDefault="009F4766" w:rsidP="00C917D6">
            <w:pPr>
              <w:pStyle w:val="NormalLeft"/>
            </w:pPr>
            <w:r w:rsidRPr="00DE12A3">
              <w:t>225</w:t>
            </w:r>
          </w:p>
        </w:tc>
        <w:tc>
          <w:tcPr>
            <w:tcW w:w="2489" w:type="dxa"/>
            <w:tcBorders>
              <w:top w:val="single" w:sz="2" w:space="0" w:color="auto"/>
              <w:left w:val="single" w:sz="2" w:space="0" w:color="auto"/>
              <w:bottom w:val="single" w:sz="2" w:space="0" w:color="auto"/>
              <w:right w:val="single" w:sz="2" w:space="0" w:color="auto"/>
            </w:tcBorders>
          </w:tcPr>
          <w:p w14:paraId="70ADB261" w14:textId="77777777" w:rsidR="009F4766" w:rsidRPr="00DE12A3" w:rsidRDefault="009F4766" w:rsidP="00C917D6">
            <w:pPr>
              <w:pStyle w:val="NormalLeft"/>
            </w:pPr>
            <w:r w:rsidRPr="00DE12A3">
              <w:t>64</w:t>
            </w:r>
          </w:p>
        </w:tc>
        <w:tc>
          <w:tcPr>
            <w:tcW w:w="2551" w:type="dxa"/>
            <w:tcBorders>
              <w:top w:val="single" w:sz="2" w:space="0" w:color="auto"/>
              <w:left w:val="single" w:sz="2" w:space="0" w:color="auto"/>
              <w:bottom w:val="single" w:sz="2" w:space="0" w:color="auto"/>
              <w:right w:val="single" w:sz="2" w:space="0" w:color="auto"/>
            </w:tcBorders>
          </w:tcPr>
          <w:p w14:paraId="52A11BFD" w14:textId="77777777" w:rsidR="009F4766" w:rsidRPr="00DE12A3" w:rsidRDefault="009F4766" w:rsidP="00C917D6">
            <w:pPr>
              <w:pStyle w:val="NormalLeft"/>
            </w:pPr>
            <w:r w:rsidRPr="00DE12A3">
              <w:t>23</w:t>
            </w:r>
          </w:p>
        </w:tc>
      </w:tr>
      <w:tr w:rsidR="00DE12A3" w:rsidRPr="00DE12A3" w14:paraId="6E6A5182" w14:textId="77777777" w:rsidTr="009F4766">
        <w:tc>
          <w:tcPr>
            <w:tcW w:w="1182" w:type="dxa"/>
            <w:tcBorders>
              <w:top w:val="single" w:sz="2" w:space="0" w:color="auto"/>
              <w:left w:val="single" w:sz="2" w:space="0" w:color="auto"/>
              <w:bottom w:val="single" w:sz="2" w:space="0" w:color="auto"/>
              <w:right w:val="single" w:sz="2" w:space="0" w:color="auto"/>
            </w:tcBorders>
          </w:tcPr>
          <w:p w14:paraId="7B9DA58F" w14:textId="77777777" w:rsidR="009F4766" w:rsidRPr="00DE12A3" w:rsidRDefault="009F4766" w:rsidP="00C917D6">
            <w:pPr>
              <w:pStyle w:val="NormalLeft"/>
            </w:pPr>
            <w:r w:rsidRPr="00DE12A3">
              <w:t>226</w:t>
            </w:r>
          </w:p>
        </w:tc>
        <w:tc>
          <w:tcPr>
            <w:tcW w:w="2489" w:type="dxa"/>
            <w:tcBorders>
              <w:top w:val="single" w:sz="2" w:space="0" w:color="auto"/>
              <w:left w:val="single" w:sz="2" w:space="0" w:color="auto"/>
              <w:bottom w:val="single" w:sz="2" w:space="0" w:color="auto"/>
              <w:right w:val="single" w:sz="2" w:space="0" w:color="auto"/>
            </w:tcBorders>
          </w:tcPr>
          <w:p w14:paraId="69E5491F" w14:textId="77777777" w:rsidR="009F4766" w:rsidRPr="00DE12A3" w:rsidRDefault="009F4766" w:rsidP="00C917D6">
            <w:pPr>
              <w:pStyle w:val="NormalLeft"/>
            </w:pPr>
            <w:r w:rsidRPr="00DE12A3">
              <w:t>81</w:t>
            </w:r>
          </w:p>
        </w:tc>
        <w:tc>
          <w:tcPr>
            <w:tcW w:w="2551" w:type="dxa"/>
            <w:tcBorders>
              <w:top w:val="single" w:sz="2" w:space="0" w:color="auto"/>
              <w:left w:val="single" w:sz="2" w:space="0" w:color="auto"/>
              <w:bottom w:val="single" w:sz="2" w:space="0" w:color="auto"/>
              <w:right w:val="single" w:sz="2" w:space="0" w:color="auto"/>
            </w:tcBorders>
          </w:tcPr>
          <w:p w14:paraId="1C3312F0" w14:textId="77777777" w:rsidR="009F4766" w:rsidRPr="00DE12A3" w:rsidRDefault="009F4766" w:rsidP="00C917D6">
            <w:pPr>
              <w:pStyle w:val="NormalLeft"/>
            </w:pPr>
            <w:r w:rsidRPr="00DE12A3">
              <w:t>20</w:t>
            </w:r>
          </w:p>
        </w:tc>
      </w:tr>
      <w:tr w:rsidR="00DE12A3" w:rsidRPr="00DE12A3" w14:paraId="40A6E250" w14:textId="77777777" w:rsidTr="009F4766">
        <w:tc>
          <w:tcPr>
            <w:tcW w:w="1182" w:type="dxa"/>
            <w:tcBorders>
              <w:top w:val="single" w:sz="2" w:space="0" w:color="auto"/>
              <w:left w:val="single" w:sz="2" w:space="0" w:color="auto"/>
              <w:bottom w:val="single" w:sz="2" w:space="0" w:color="auto"/>
              <w:right w:val="single" w:sz="2" w:space="0" w:color="auto"/>
            </w:tcBorders>
          </w:tcPr>
          <w:p w14:paraId="7FC5DDA3" w14:textId="77777777" w:rsidR="009F4766" w:rsidRPr="00DE12A3" w:rsidRDefault="009F4766" w:rsidP="00C917D6">
            <w:pPr>
              <w:pStyle w:val="NormalLeft"/>
            </w:pPr>
            <w:r w:rsidRPr="00DE12A3">
              <w:t>227</w:t>
            </w:r>
          </w:p>
        </w:tc>
        <w:tc>
          <w:tcPr>
            <w:tcW w:w="2489" w:type="dxa"/>
            <w:tcBorders>
              <w:top w:val="single" w:sz="2" w:space="0" w:color="auto"/>
              <w:left w:val="single" w:sz="2" w:space="0" w:color="auto"/>
              <w:bottom w:val="single" w:sz="2" w:space="0" w:color="auto"/>
              <w:right w:val="single" w:sz="2" w:space="0" w:color="auto"/>
            </w:tcBorders>
          </w:tcPr>
          <w:p w14:paraId="64D4A854" w14:textId="77777777" w:rsidR="009F4766" w:rsidRPr="00DE12A3" w:rsidRDefault="009F4766" w:rsidP="00C917D6">
            <w:pPr>
              <w:pStyle w:val="NormalLeft"/>
            </w:pPr>
            <w:r w:rsidRPr="00DE12A3">
              <w:t>83</w:t>
            </w:r>
          </w:p>
        </w:tc>
        <w:tc>
          <w:tcPr>
            <w:tcW w:w="2551" w:type="dxa"/>
            <w:tcBorders>
              <w:top w:val="single" w:sz="2" w:space="0" w:color="auto"/>
              <w:left w:val="single" w:sz="2" w:space="0" w:color="auto"/>
              <w:bottom w:val="single" w:sz="2" w:space="0" w:color="auto"/>
              <w:right w:val="single" w:sz="2" w:space="0" w:color="auto"/>
            </w:tcBorders>
          </w:tcPr>
          <w:p w14:paraId="4D4A90EE" w14:textId="77777777" w:rsidR="009F4766" w:rsidRPr="00DE12A3" w:rsidRDefault="009F4766" w:rsidP="00C917D6">
            <w:pPr>
              <w:pStyle w:val="NormalLeft"/>
            </w:pPr>
            <w:r w:rsidRPr="00DE12A3">
              <w:t>11</w:t>
            </w:r>
          </w:p>
        </w:tc>
      </w:tr>
      <w:tr w:rsidR="00DE12A3" w:rsidRPr="00DE12A3" w14:paraId="478FEE90" w14:textId="77777777" w:rsidTr="009F4766">
        <w:tc>
          <w:tcPr>
            <w:tcW w:w="1182" w:type="dxa"/>
            <w:tcBorders>
              <w:top w:val="single" w:sz="2" w:space="0" w:color="auto"/>
              <w:left w:val="single" w:sz="2" w:space="0" w:color="auto"/>
              <w:bottom w:val="single" w:sz="2" w:space="0" w:color="auto"/>
              <w:right w:val="single" w:sz="2" w:space="0" w:color="auto"/>
            </w:tcBorders>
          </w:tcPr>
          <w:p w14:paraId="5D44E776" w14:textId="77777777" w:rsidR="009F4766" w:rsidRPr="00DE12A3" w:rsidRDefault="009F4766" w:rsidP="00C917D6">
            <w:pPr>
              <w:pStyle w:val="NormalLeft"/>
            </w:pPr>
            <w:r w:rsidRPr="00DE12A3">
              <w:t>228</w:t>
            </w:r>
          </w:p>
        </w:tc>
        <w:tc>
          <w:tcPr>
            <w:tcW w:w="2489" w:type="dxa"/>
            <w:tcBorders>
              <w:top w:val="single" w:sz="2" w:space="0" w:color="auto"/>
              <w:left w:val="single" w:sz="2" w:space="0" w:color="auto"/>
              <w:bottom w:val="single" w:sz="2" w:space="0" w:color="auto"/>
              <w:right w:val="single" w:sz="2" w:space="0" w:color="auto"/>
            </w:tcBorders>
          </w:tcPr>
          <w:p w14:paraId="37706FE3" w14:textId="77777777" w:rsidR="009F4766" w:rsidRPr="00DE12A3" w:rsidRDefault="009F4766" w:rsidP="00C917D6">
            <w:pPr>
              <w:pStyle w:val="NormalLeft"/>
            </w:pPr>
            <w:r w:rsidRPr="00DE12A3">
              <w:t>79</w:t>
            </w:r>
          </w:p>
        </w:tc>
        <w:tc>
          <w:tcPr>
            <w:tcW w:w="2551" w:type="dxa"/>
            <w:tcBorders>
              <w:top w:val="single" w:sz="2" w:space="0" w:color="auto"/>
              <w:left w:val="single" w:sz="2" w:space="0" w:color="auto"/>
              <w:bottom w:val="single" w:sz="2" w:space="0" w:color="auto"/>
              <w:right w:val="single" w:sz="2" w:space="0" w:color="auto"/>
            </w:tcBorders>
          </w:tcPr>
          <w:p w14:paraId="6F811F05" w14:textId="77777777" w:rsidR="009F4766" w:rsidRPr="00DE12A3" w:rsidRDefault="009F4766" w:rsidP="00C917D6">
            <w:pPr>
              <w:pStyle w:val="NormalLeft"/>
            </w:pPr>
            <w:r w:rsidRPr="00DE12A3">
              <w:t>23</w:t>
            </w:r>
          </w:p>
        </w:tc>
      </w:tr>
      <w:tr w:rsidR="00DE12A3" w:rsidRPr="00DE12A3" w14:paraId="4E567D31" w14:textId="77777777" w:rsidTr="009F4766">
        <w:tc>
          <w:tcPr>
            <w:tcW w:w="1182" w:type="dxa"/>
            <w:tcBorders>
              <w:top w:val="single" w:sz="2" w:space="0" w:color="auto"/>
              <w:left w:val="single" w:sz="2" w:space="0" w:color="auto"/>
              <w:bottom w:val="single" w:sz="2" w:space="0" w:color="auto"/>
              <w:right w:val="single" w:sz="2" w:space="0" w:color="auto"/>
            </w:tcBorders>
          </w:tcPr>
          <w:p w14:paraId="77BFEBF1" w14:textId="77777777" w:rsidR="009F4766" w:rsidRPr="00DE12A3" w:rsidRDefault="009F4766" w:rsidP="00C917D6">
            <w:pPr>
              <w:pStyle w:val="NormalLeft"/>
            </w:pPr>
            <w:r w:rsidRPr="00DE12A3">
              <w:t>229</w:t>
            </w:r>
          </w:p>
        </w:tc>
        <w:tc>
          <w:tcPr>
            <w:tcW w:w="2489" w:type="dxa"/>
            <w:tcBorders>
              <w:top w:val="single" w:sz="2" w:space="0" w:color="auto"/>
              <w:left w:val="single" w:sz="2" w:space="0" w:color="auto"/>
              <w:bottom w:val="single" w:sz="2" w:space="0" w:color="auto"/>
              <w:right w:val="single" w:sz="2" w:space="0" w:color="auto"/>
            </w:tcBorders>
          </w:tcPr>
          <w:p w14:paraId="18CB7065" w14:textId="77777777" w:rsidR="009F4766" w:rsidRPr="00DE12A3" w:rsidRDefault="009F4766" w:rsidP="00C917D6">
            <w:pPr>
              <w:pStyle w:val="NormalLeft"/>
            </w:pPr>
            <w:r w:rsidRPr="00DE12A3">
              <w:t>76</w:t>
            </w:r>
          </w:p>
        </w:tc>
        <w:tc>
          <w:tcPr>
            <w:tcW w:w="2551" w:type="dxa"/>
            <w:tcBorders>
              <w:top w:val="single" w:sz="2" w:space="0" w:color="auto"/>
              <w:left w:val="single" w:sz="2" w:space="0" w:color="auto"/>
              <w:bottom w:val="single" w:sz="2" w:space="0" w:color="auto"/>
              <w:right w:val="single" w:sz="2" w:space="0" w:color="auto"/>
            </w:tcBorders>
          </w:tcPr>
          <w:p w14:paraId="4FA37F46" w14:textId="77777777" w:rsidR="009F4766" w:rsidRPr="00DE12A3" w:rsidRDefault="009F4766" w:rsidP="00C917D6">
            <w:pPr>
              <w:pStyle w:val="NormalLeft"/>
            </w:pPr>
            <w:r w:rsidRPr="00DE12A3">
              <w:t>31</w:t>
            </w:r>
          </w:p>
        </w:tc>
      </w:tr>
      <w:tr w:rsidR="00DE12A3" w:rsidRPr="00DE12A3" w14:paraId="45C0B36C" w14:textId="77777777" w:rsidTr="009F4766">
        <w:tc>
          <w:tcPr>
            <w:tcW w:w="1182" w:type="dxa"/>
            <w:tcBorders>
              <w:top w:val="single" w:sz="2" w:space="0" w:color="auto"/>
              <w:left w:val="single" w:sz="2" w:space="0" w:color="auto"/>
              <w:bottom w:val="single" w:sz="2" w:space="0" w:color="auto"/>
              <w:right w:val="single" w:sz="2" w:space="0" w:color="auto"/>
            </w:tcBorders>
          </w:tcPr>
          <w:p w14:paraId="670D95B1" w14:textId="77777777" w:rsidR="009F4766" w:rsidRPr="00DE12A3" w:rsidRDefault="009F4766" w:rsidP="00C917D6">
            <w:pPr>
              <w:pStyle w:val="NormalLeft"/>
            </w:pPr>
            <w:r w:rsidRPr="00DE12A3">
              <w:t>230</w:t>
            </w:r>
          </w:p>
        </w:tc>
        <w:tc>
          <w:tcPr>
            <w:tcW w:w="2489" w:type="dxa"/>
            <w:tcBorders>
              <w:top w:val="single" w:sz="2" w:space="0" w:color="auto"/>
              <w:left w:val="single" w:sz="2" w:space="0" w:color="auto"/>
              <w:bottom w:val="single" w:sz="2" w:space="0" w:color="auto"/>
              <w:right w:val="single" w:sz="2" w:space="0" w:color="auto"/>
            </w:tcBorders>
          </w:tcPr>
          <w:p w14:paraId="0F349FCA" w14:textId="77777777" w:rsidR="009F4766" w:rsidRPr="00DE12A3" w:rsidRDefault="009F4766" w:rsidP="00C917D6">
            <w:pPr>
              <w:pStyle w:val="NormalLeft"/>
            </w:pPr>
            <w:r w:rsidRPr="00DE12A3">
              <w:t>68</w:t>
            </w:r>
          </w:p>
        </w:tc>
        <w:tc>
          <w:tcPr>
            <w:tcW w:w="2551" w:type="dxa"/>
            <w:tcBorders>
              <w:top w:val="single" w:sz="2" w:space="0" w:color="auto"/>
              <w:left w:val="single" w:sz="2" w:space="0" w:color="auto"/>
              <w:bottom w:val="single" w:sz="2" w:space="0" w:color="auto"/>
              <w:right w:val="single" w:sz="2" w:space="0" w:color="auto"/>
            </w:tcBorders>
          </w:tcPr>
          <w:p w14:paraId="70E2BEDA" w14:textId="77777777" w:rsidR="009F4766" w:rsidRPr="00DE12A3" w:rsidRDefault="009F4766" w:rsidP="00C917D6">
            <w:pPr>
              <w:pStyle w:val="NormalLeft"/>
            </w:pPr>
            <w:r w:rsidRPr="00DE12A3">
              <w:t>24</w:t>
            </w:r>
          </w:p>
        </w:tc>
      </w:tr>
      <w:tr w:rsidR="00DE12A3" w:rsidRPr="00DE12A3" w14:paraId="43548457" w14:textId="77777777" w:rsidTr="009F4766">
        <w:tc>
          <w:tcPr>
            <w:tcW w:w="1182" w:type="dxa"/>
            <w:tcBorders>
              <w:top w:val="single" w:sz="2" w:space="0" w:color="auto"/>
              <w:left w:val="single" w:sz="2" w:space="0" w:color="auto"/>
              <w:bottom w:val="single" w:sz="2" w:space="0" w:color="auto"/>
              <w:right w:val="single" w:sz="2" w:space="0" w:color="auto"/>
            </w:tcBorders>
          </w:tcPr>
          <w:p w14:paraId="0CB00463" w14:textId="77777777" w:rsidR="009F4766" w:rsidRPr="00DE12A3" w:rsidRDefault="009F4766" w:rsidP="00C917D6">
            <w:pPr>
              <w:pStyle w:val="NormalLeft"/>
            </w:pPr>
            <w:r w:rsidRPr="00DE12A3">
              <w:t>231</w:t>
            </w:r>
          </w:p>
        </w:tc>
        <w:tc>
          <w:tcPr>
            <w:tcW w:w="2489" w:type="dxa"/>
            <w:tcBorders>
              <w:top w:val="single" w:sz="2" w:space="0" w:color="auto"/>
              <w:left w:val="single" w:sz="2" w:space="0" w:color="auto"/>
              <w:bottom w:val="single" w:sz="2" w:space="0" w:color="auto"/>
              <w:right w:val="single" w:sz="2" w:space="0" w:color="auto"/>
            </w:tcBorders>
          </w:tcPr>
          <w:p w14:paraId="57A50EBF" w14:textId="77777777" w:rsidR="009F4766" w:rsidRPr="00DE12A3" w:rsidRDefault="009F4766" w:rsidP="00C917D6">
            <w:pPr>
              <w:pStyle w:val="NormalLeft"/>
            </w:pPr>
            <w:r w:rsidRPr="00DE12A3">
              <w:t>59</w:t>
            </w:r>
          </w:p>
        </w:tc>
        <w:tc>
          <w:tcPr>
            <w:tcW w:w="2551" w:type="dxa"/>
            <w:tcBorders>
              <w:top w:val="single" w:sz="2" w:space="0" w:color="auto"/>
              <w:left w:val="single" w:sz="2" w:space="0" w:color="auto"/>
              <w:bottom w:val="single" w:sz="2" w:space="0" w:color="auto"/>
              <w:right w:val="single" w:sz="2" w:space="0" w:color="auto"/>
            </w:tcBorders>
          </w:tcPr>
          <w:p w14:paraId="7233ABD8" w14:textId="77777777" w:rsidR="009F4766" w:rsidRPr="00DE12A3" w:rsidRDefault="009F4766" w:rsidP="00C917D6">
            <w:pPr>
              <w:pStyle w:val="NormalLeft"/>
            </w:pPr>
            <w:r w:rsidRPr="00DE12A3">
              <w:t>33</w:t>
            </w:r>
          </w:p>
        </w:tc>
      </w:tr>
      <w:tr w:rsidR="00DE12A3" w:rsidRPr="00DE12A3" w14:paraId="1049FBF7" w14:textId="77777777" w:rsidTr="009F4766">
        <w:tc>
          <w:tcPr>
            <w:tcW w:w="1182" w:type="dxa"/>
            <w:tcBorders>
              <w:top w:val="single" w:sz="2" w:space="0" w:color="auto"/>
              <w:left w:val="single" w:sz="2" w:space="0" w:color="auto"/>
              <w:bottom w:val="single" w:sz="2" w:space="0" w:color="auto"/>
              <w:right w:val="single" w:sz="2" w:space="0" w:color="auto"/>
            </w:tcBorders>
          </w:tcPr>
          <w:p w14:paraId="1C65D5A6" w14:textId="77777777" w:rsidR="009F4766" w:rsidRPr="00DE12A3" w:rsidRDefault="009F4766" w:rsidP="00C917D6">
            <w:pPr>
              <w:pStyle w:val="NormalLeft"/>
            </w:pPr>
            <w:r w:rsidRPr="00DE12A3">
              <w:t>232</w:t>
            </w:r>
          </w:p>
        </w:tc>
        <w:tc>
          <w:tcPr>
            <w:tcW w:w="2489" w:type="dxa"/>
            <w:tcBorders>
              <w:top w:val="single" w:sz="2" w:space="0" w:color="auto"/>
              <w:left w:val="single" w:sz="2" w:space="0" w:color="auto"/>
              <w:bottom w:val="single" w:sz="2" w:space="0" w:color="auto"/>
              <w:right w:val="single" w:sz="2" w:space="0" w:color="auto"/>
            </w:tcBorders>
          </w:tcPr>
          <w:p w14:paraId="09C20531" w14:textId="77777777" w:rsidR="009F4766" w:rsidRPr="00DE12A3" w:rsidRDefault="009F4766" w:rsidP="00C917D6">
            <w:pPr>
              <w:pStyle w:val="NormalLeft"/>
            </w:pPr>
            <w:r w:rsidRPr="00DE12A3">
              <w:t>59</w:t>
            </w:r>
          </w:p>
        </w:tc>
        <w:tc>
          <w:tcPr>
            <w:tcW w:w="2551" w:type="dxa"/>
            <w:tcBorders>
              <w:top w:val="single" w:sz="2" w:space="0" w:color="auto"/>
              <w:left w:val="single" w:sz="2" w:space="0" w:color="auto"/>
              <w:bottom w:val="single" w:sz="2" w:space="0" w:color="auto"/>
              <w:right w:val="single" w:sz="2" w:space="0" w:color="auto"/>
            </w:tcBorders>
          </w:tcPr>
          <w:p w14:paraId="734DF201" w14:textId="77777777" w:rsidR="009F4766" w:rsidRPr="00DE12A3" w:rsidRDefault="009F4766" w:rsidP="00C917D6">
            <w:pPr>
              <w:pStyle w:val="NormalLeft"/>
            </w:pPr>
            <w:r w:rsidRPr="00DE12A3">
              <w:t>3</w:t>
            </w:r>
          </w:p>
        </w:tc>
      </w:tr>
      <w:tr w:rsidR="00DE12A3" w:rsidRPr="00DE12A3" w14:paraId="0D4EDD1C" w14:textId="77777777" w:rsidTr="009F4766">
        <w:tc>
          <w:tcPr>
            <w:tcW w:w="1182" w:type="dxa"/>
            <w:tcBorders>
              <w:top w:val="single" w:sz="2" w:space="0" w:color="auto"/>
              <w:left w:val="single" w:sz="2" w:space="0" w:color="auto"/>
              <w:bottom w:val="single" w:sz="2" w:space="0" w:color="auto"/>
              <w:right w:val="single" w:sz="2" w:space="0" w:color="auto"/>
            </w:tcBorders>
          </w:tcPr>
          <w:p w14:paraId="0153DFEB" w14:textId="77777777" w:rsidR="009F4766" w:rsidRPr="00DE12A3" w:rsidRDefault="009F4766" w:rsidP="00C917D6">
            <w:pPr>
              <w:pStyle w:val="NormalLeft"/>
            </w:pPr>
            <w:r w:rsidRPr="00DE12A3">
              <w:t>233</w:t>
            </w:r>
          </w:p>
        </w:tc>
        <w:tc>
          <w:tcPr>
            <w:tcW w:w="2489" w:type="dxa"/>
            <w:tcBorders>
              <w:top w:val="single" w:sz="2" w:space="0" w:color="auto"/>
              <w:left w:val="single" w:sz="2" w:space="0" w:color="auto"/>
              <w:bottom w:val="single" w:sz="2" w:space="0" w:color="auto"/>
              <w:right w:val="single" w:sz="2" w:space="0" w:color="auto"/>
            </w:tcBorders>
          </w:tcPr>
          <w:p w14:paraId="09C1DBCB" w14:textId="77777777" w:rsidR="009F4766" w:rsidRPr="00DE12A3" w:rsidRDefault="009F4766" w:rsidP="00C917D6">
            <w:pPr>
              <w:pStyle w:val="NormalLeft"/>
            </w:pPr>
            <w:r w:rsidRPr="00DE12A3">
              <w:t>25</w:t>
            </w:r>
          </w:p>
        </w:tc>
        <w:tc>
          <w:tcPr>
            <w:tcW w:w="2551" w:type="dxa"/>
            <w:tcBorders>
              <w:top w:val="single" w:sz="2" w:space="0" w:color="auto"/>
              <w:left w:val="single" w:sz="2" w:space="0" w:color="auto"/>
              <w:bottom w:val="single" w:sz="2" w:space="0" w:color="auto"/>
              <w:right w:val="single" w:sz="2" w:space="0" w:color="auto"/>
            </w:tcBorders>
          </w:tcPr>
          <w:p w14:paraId="6D19AEAC" w14:textId="77777777" w:rsidR="009F4766" w:rsidRPr="00DE12A3" w:rsidRDefault="009F4766" w:rsidP="00C917D6">
            <w:pPr>
              <w:pStyle w:val="NormalLeft"/>
            </w:pPr>
            <w:r w:rsidRPr="00DE12A3">
              <w:t>7</w:t>
            </w:r>
          </w:p>
        </w:tc>
      </w:tr>
      <w:tr w:rsidR="00DE12A3" w:rsidRPr="00DE12A3" w14:paraId="0B4EF889" w14:textId="77777777" w:rsidTr="009F4766">
        <w:tc>
          <w:tcPr>
            <w:tcW w:w="1182" w:type="dxa"/>
            <w:tcBorders>
              <w:top w:val="single" w:sz="2" w:space="0" w:color="auto"/>
              <w:left w:val="single" w:sz="2" w:space="0" w:color="auto"/>
              <w:bottom w:val="single" w:sz="2" w:space="0" w:color="auto"/>
              <w:right w:val="single" w:sz="2" w:space="0" w:color="auto"/>
            </w:tcBorders>
          </w:tcPr>
          <w:p w14:paraId="25852429" w14:textId="77777777" w:rsidR="009F4766" w:rsidRPr="00DE12A3" w:rsidRDefault="009F4766" w:rsidP="00C917D6">
            <w:pPr>
              <w:pStyle w:val="NormalLeft"/>
            </w:pPr>
            <w:r w:rsidRPr="00DE12A3">
              <w:t>234</w:t>
            </w:r>
          </w:p>
        </w:tc>
        <w:tc>
          <w:tcPr>
            <w:tcW w:w="2489" w:type="dxa"/>
            <w:tcBorders>
              <w:top w:val="single" w:sz="2" w:space="0" w:color="auto"/>
              <w:left w:val="single" w:sz="2" w:space="0" w:color="auto"/>
              <w:bottom w:val="single" w:sz="2" w:space="0" w:color="auto"/>
              <w:right w:val="single" w:sz="2" w:space="0" w:color="auto"/>
            </w:tcBorders>
          </w:tcPr>
          <w:p w14:paraId="7FC8FA14" w14:textId="77777777" w:rsidR="009F4766" w:rsidRPr="00DE12A3" w:rsidRDefault="009F4766" w:rsidP="00C917D6">
            <w:pPr>
              <w:pStyle w:val="NormalLeft"/>
            </w:pPr>
            <w:r w:rsidRPr="00DE12A3">
              <w:t>21</w:t>
            </w:r>
          </w:p>
        </w:tc>
        <w:tc>
          <w:tcPr>
            <w:tcW w:w="2551" w:type="dxa"/>
            <w:tcBorders>
              <w:top w:val="single" w:sz="2" w:space="0" w:color="auto"/>
              <w:left w:val="single" w:sz="2" w:space="0" w:color="auto"/>
              <w:bottom w:val="single" w:sz="2" w:space="0" w:color="auto"/>
              <w:right w:val="single" w:sz="2" w:space="0" w:color="auto"/>
            </w:tcBorders>
          </w:tcPr>
          <w:p w14:paraId="5C2ED284" w14:textId="77777777" w:rsidR="009F4766" w:rsidRPr="00DE12A3" w:rsidRDefault="009F4766" w:rsidP="00C917D6">
            <w:pPr>
              <w:pStyle w:val="NormalLeft"/>
            </w:pPr>
            <w:r w:rsidRPr="00DE12A3">
              <w:t>10</w:t>
            </w:r>
          </w:p>
        </w:tc>
      </w:tr>
      <w:tr w:rsidR="00DE12A3" w:rsidRPr="00DE12A3" w14:paraId="6A536107" w14:textId="77777777" w:rsidTr="009F4766">
        <w:tc>
          <w:tcPr>
            <w:tcW w:w="1182" w:type="dxa"/>
            <w:tcBorders>
              <w:top w:val="single" w:sz="2" w:space="0" w:color="auto"/>
              <w:left w:val="single" w:sz="2" w:space="0" w:color="auto"/>
              <w:bottom w:val="single" w:sz="2" w:space="0" w:color="auto"/>
              <w:right w:val="single" w:sz="2" w:space="0" w:color="auto"/>
            </w:tcBorders>
          </w:tcPr>
          <w:p w14:paraId="6FA1466E" w14:textId="77777777" w:rsidR="009F4766" w:rsidRPr="00DE12A3" w:rsidRDefault="009F4766" w:rsidP="00C917D6">
            <w:pPr>
              <w:pStyle w:val="NormalLeft"/>
            </w:pPr>
            <w:r w:rsidRPr="00DE12A3">
              <w:t>235</w:t>
            </w:r>
          </w:p>
        </w:tc>
        <w:tc>
          <w:tcPr>
            <w:tcW w:w="2489" w:type="dxa"/>
            <w:tcBorders>
              <w:top w:val="single" w:sz="2" w:space="0" w:color="auto"/>
              <w:left w:val="single" w:sz="2" w:space="0" w:color="auto"/>
              <w:bottom w:val="single" w:sz="2" w:space="0" w:color="auto"/>
              <w:right w:val="single" w:sz="2" w:space="0" w:color="auto"/>
            </w:tcBorders>
          </w:tcPr>
          <w:p w14:paraId="1917DFAD" w14:textId="77777777" w:rsidR="009F4766" w:rsidRPr="00DE12A3" w:rsidRDefault="009F4766" w:rsidP="00C917D6">
            <w:pPr>
              <w:pStyle w:val="NormalLeft"/>
            </w:pPr>
            <w:r w:rsidRPr="00DE12A3">
              <w:t>20</w:t>
            </w:r>
          </w:p>
        </w:tc>
        <w:tc>
          <w:tcPr>
            <w:tcW w:w="2551" w:type="dxa"/>
            <w:tcBorders>
              <w:top w:val="single" w:sz="2" w:space="0" w:color="auto"/>
              <w:left w:val="single" w:sz="2" w:space="0" w:color="auto"/>
              <w:bottom w:val="single" w:sz="2" w:space="0" w:color="auto"/>
              <w:right w:val="single" w:sz="2" w:space="0" w:color="auto"/>
            </w:tcBorders>
          </w:tcPr>
          <w:p w14:paraId="43ECB11C" w14:textId="77777777" w:rsidR="009F4766" w:rsidRPr="00DE12A3" w:rsidRDefault="009F4766" w:rsidP="00C917D6">
            <w:pPr>
              <w:pStyle w:val="NormalLeft"/>
            </w:pPr>
            <w:r w:rsidRPr="00DE12A3">
              <w:t>19</w:t>
            </w:r>
          </w:p>
        </w:tc>
      </w:tr>
      <w:tr w:rsidR="00DE12A3" w:rsidRPr="00DE12A3" w14:paraId="264A33A2" w14:textId="77777777" w:rsidTr="009F4766">
        <w:tc>
          <w:tcPr>
            <w:tcW w:w="1182" w:type="dxa"/>
            <w:tcBorders>
              <w:top w:val="single" w:sz="2" w:space="0" w:color="auto"/>
              <w:left w:val="single" w:sz="2" w:space="0" w:color="auto"/>
              <w:bottom w:val="single" w:sz="2" w:space="0" w:color="auto"/>
              <w:right w:val="single" w:sz="2" w:space="0" w:color="auto"/>
            </w:tcBorders>
          </w:tcPr>
          <w:p w14:paraId="1BBE2BED" w14:textId="77777777" w:rsidR="009F4766" w:rsidRPr="00DE12A3" w:rsidRDefault="009F4766" w:rsidP="00C917D6">
            <w:pPr>
              <w:pStyle w:val="NormalLeft"/>
            </w:pPr>
            <w:r w:rsidRPr="00DE12A3">
              <w:lastRenderedPageBreak/>
              <w:t>236</w:t>
            </w:r>
          </w:p>
        </w:tc>
        <w:tc>
          <w:tcPr>
            <w:tcW w:w="2489" w:type="dxa"/>
            <w:tcBorders>
              <w:top w:val="single" w:sz="2" w:space="0" w:color="auto"/>
              <w:left w:val="single" w:sz="2" w:space="0" w:color="auto"/>
              <w:bottom w:val="single" w:sz="2" w:space="0" w:color="auto"/>
              <w:right w:val="single" w:sz="2" w:space="0" w:color="auto"/>
            </w:tcBorders>
          </w:tcPr>
          <w:p w14:paraId="69A7E987" w14:textId="77777777" w:rsidR="009F4766" w:rsidRPr="00DE12A3" w:rsidRDefault="009F4766" w:rsidP="00C917D6">
            <w:pPr>
              <w:pStyle w:val="NormalLeft"/>
            </w:pPr>
            <w:r w:rsidRPr="00DE12A3">
              <w:t>4</w:t>
            </w:r>
          </w:p>
        </w:tc>
        <w:tc>
          <w:tcPr>
            <w:tcW w:w="2551" w:type="dxa"/>
            <w:tcBorders>
              <w:top w:val="single" w:sz="2" w:space="0" w:color="auto"/>
              <w:left w:val="single" w:sz="2" w:space="0" w:color="auto"/>
              <w:bottom w:val="single" w:sz="2" w:space="0" w:color="auto"/>
              <w:right w:val="single" w:sz="2" w:space="0" w:color="auto"/>
            </w:tcBorders>
          </w:tcPr>
          <w:p w14:paraId="69B6D65A" w14:textId="77777777" w:rsidR="009F4766" w:rsidRPr="00DE12A3" w:rsidRDefault="009F4766" w:rsidP="00C917D6">
            <w:pPr>
              <w:pStyle w:val="NormalLeft"/>
            </w:pPr>
            <w:r w:rsidRPr="00DE12A3">
              <w:t>10</w:t>
            </w:r>
          </w:p>
        </w:tc>
      </w:tr>
      <w:tr w:rsidR="00DE12A3" w:rsidRPr="00DE12A3" w14:paraId="1D6F53AE" w14:textId="77777777" w:rsidTr="009F4766">
        <w:tc>
          <w:tcPr>
            <w:tcW w:w="1182" w:type="dxa"/>
            <w:tcBorders>
              <w:top w:val="single" w:sz="2" w:space="0" w:color="auto"/>
              <w:left w:val="single" w:sz="2" w:space="0" w:color="auto"/>
              <w:bottom w:val="single" w:sz="2" w:space="0" w:color="auto"/>
              <w:right w:val="single" w:sz="2" w:space="0" w:color="auto"/>
            </w:tcBorders>
          </w:tcPr>
          <w:p w14:paraId="07AB87C6" w14:textId="77777777" w:rsidR="009F4766" w:rsidRPr="00DE12A3" w:rsidRDefault="009F4766" w:rsidP="00C917D6">
            <w:pPr>
              <w:pStyle w:val="NormalLeft"/>
            </w:pPr>
            <w:r w:rsidRPr="00DE12A3">
              <w:t>237</w:t>
            </w:r>
          </w:p>
        </w:tc>
        <w:tc>
          <w:tcPr>
            <w:tcW w:w="2489" w:type="dxa"/>
            <w:tcBorders>
              <w:top w:val="single" w:sz="2" w:space="0" w:color="auto"/>
              <w:left w:val="single" w:sz="2" w:space="0" w:color="auto"/>
              <w:bottom w:val="single" w:sz="2" w:space="0" w:color="auto"/>
              <w:right w:val="single" w:sz="2" w:space="0" w:color="auto"/>
            </w:tcBorders>
          </w:tcPr>
          <w:p w14:paraId="5A847A10" w14:textId="77777777" w:rsidR="009F4766" w:rsidRPr="00DE12A3" w:rsidRDefault="009F4766" w:rsidP="00C917D6">
            <w:pPr>
              <w:pStyle w:val="NormalLeft"/>
            </w:pPr>
            <w:r w:rsidRPr="00DE12A3">
              <w:t>5</w:t>
            </w:r>
          </w:p>
        </w:tc>
        <w:tc>
          <w:tcPr>
            <w:tcW w:w="2551" w:type="dxa"/>
            <w:tcBorders>
              <w:top w:val="single" w:sz="2" w:space="0" w:color="auto"/>
              <w:left w:val="single" w:sz="2" w:space="0" w:color="auto"/>
              <w:bottom w:val="single" w:sz="2" w:space="0" w:color="auto"/>
              <w:right w:val="single" w:sz="2" w:space="0" w:color="auto"/>
            </w:tcBorders>
          </w:tcPr>
          <w:p w14:paraId="274BAE6D" w14:textId="77777777" w:rsidR="009F4766" w:rsidRPr="00DE12A3" w:rsidRDefault="009F4766" w:rsidP="00C917D6">
            <w:pPr>
              <w:pStyle w:val="NormalLeft"/>
            </w:pPr>
            <w:r w:rsidRPr="00DE12A3">
              <w:t>7</w:t>
            </w:r>
          </w:p>
        </w:tc>
      </w:tr>
      <w:tr w:rsidR="00DE12A3" w:rsidRPr="00DE12A3" w14:paraId="3D2ECCC2" w14:textId="77777777" w:rsidTr="009F4766">
        <w:tc>
          <w:tcPr>
            <w:tcW w:w="1182" w:type="dxa"/>
            <w:tcBorders>
              <w:top w:val="single" w:sz="2" w:space="0" w:color="auto"/>
              <w:left w:val="single" w:sz="2" w:space="0" w:color="auto"/>
              <w:bottom w:val="single" w:sz="2" w:space="0" w:color="auto"/>
              <w:right w:val="single" w:sz="2" w:space="0" w:color="auto"/>
            </w:tcBorders>
          </w:tcPr>
          <w:p w14:paraId="52EA0A02" w14:textId="77777777" w:rsidR="009F4766" w:rsidRPr="00DE12A3" w:rsidRDefault="009F4766" w:rsidP="00C917D6">
            <w:pPr>
              <w:pStyle w:val="NormalLeft"/>
            </w:pPr>
            <w:r w:rsidRPr="00DE12A3">
              <w:t>238</w:t>
            </w:r>
          </w:p>
        </w:tc>
        <w:tc>
          <w:tcPr>
            <w:tcW w:w="2489" w:type="dxa"/>
            <w:tcBorders>
              <w:top w:val="single" w:sz="2" w:space="0" w:color="auto"/>
              <w:left w:val="single" w:sz="2" w:space="0" w:color="auto"/>
              <w:bottom w:val="single" w:sz="2" w:space="0" w:color="auto"/>
              <w:right w:val="single" w:sz="2" w:space="0" w:color="auto"/>
            </w:tcBorders>
          </w:tcPr>
          <w:p w14:paraId="778ED9B9" w14:textId="77777777" w:rsidR="009F4766" w:rsidRPr="00DE12A3" w:rsidRDefault="009F4766" w:rsidP="00C917D6">
            <w:pPr>
              <w:pStyle w:val="NormalLeft"/>
            </w:pPr>
            <w:r w:rsidRPr="00DE12A3">
              <w:t>4</w:t>
            </w:r>
          </w:p>
        </w:tc>
        <w:tc>
          <w:tcPr>
            <w:tcW w:w="2551" w:type="dxa"/>
            <w:tcBorders>
              <w:top w:val="single" w:sz="2" w:space="0" w:color="auto"/>
              <w:left w:val="single" w:sz="2" w:space="0" w:color="auto"/>
              <w:bottom w:val="single" w:sz="2" w:space="0" w:color="auto"/>
              <w:right w:val="single" w:sz="2" w:space="0" w:color="auto"/>
            </w:tcBorders>
          </w:tcPr>
          <w:p w14:paraId="3E4376BC" w14:textId="77777777" w:rsidR="009F4766" w:rsidRPr="00DE12A3" w:rsidRDefault="009F4766" w:rsidP="00C917D6">
            <w:pPr>
              <w:pStyle w:val="NormalLeft"/>
            </w:pPr>
            <w:r w:rsidRPr="00DE12A3">
              <w:t>5</w:t>
            </w:r>
          </w:p>
        </w:tc>
      </w:tr>
      <w:tr w:rsidR="00DE12A3" w:rsidRPr="00DE12A3" w14:paraId="3B402925" w14:textId="77777777" w:rsidTr="009F4766">
        <w:tc>
          <w:tcPr>
            <w:tcW w:w="1182" w:type="dxa"/>
            <w:tcBorders>
              <w:top w:val="single" w:sz="2" w:space="0" w:color="auto"/>
              <w:left w:val="single" w:sz="2" w:space="0" w:color="auto"/>
              <w:bottom w:val="single" w:sz="2" w:space="0" w:color="auto"/>
              <w:right w:val="single" w:sz="2" w:space="0" w:color="auto"/>
            </w:tcBorders>
          </w:tcPr>
          <w:p w14:paraId="47720CBC" w14:textId="77777777" w:rsidR="009F4766" w:rsidRPr="00DE12A3" w:rsidRDefault="009F4766" w:rsidP="00C917D6">
            <w:pPr>
              <w:pStyle w:val="NormalLeft"/>
            </w:pPr>
            <w:r w:rsidRPr="00DE12A3">
              <w:t>239</w:t>
            </w:r>
          </w:p>
        </w:tc>
        <w:tc>
          <w:tcPr>
            <w:tcW w:w="2489" w:type="dxa"/>
            <w:tcBorders>
              <w:top w:val="single" w:sz="2" w:space="0" w:color="auto"/>
              <w:left w:val="single" w:sz="2" w:space="0" w:color="auto"/>
              <w:bottom w:val="single" w:sz="2" w:space="0" w:color="auto"/>
              <w:right w:val="single" w:sz="2" w:space="0" w:color="auto"/>
            </w:tcBorders>
          </w:tcPr>
          <w:p w14:paraId="7D5F7577" w14:textId="77777777" w:rsidR="009F4766" w:rsidRPr="00DE12A3" w:rsidRDefault="009F4766" w:rsidP="00C917D6">
            <w:pPr>
              <w:pStyle w:val="NormalLeft"/>
            </w:pPr>
            <w:r w:rsidRPr="00DE12A3">
              <w:t>4</w:t>
            </w:r>
          </w:p>
        </w:tc>
        <w:tc>
          <w:tcPr>
            <w:tcW w:w="2551" w:type="dxa"/>
            <w:tcBorders>
              <w:top w:val="single" w:sz="2" w:space="0" w:color="auto"/>
              <w:left w:val="single" w:sz="2" w:space="0" w:color="auto"/>
              <w:bottom w:val="single" w:sz="2" w:space="0" w:color="auto"/>
              <w:right w:val="single" w:sz="2" w:space="0" w:color="auto"/>
            </w:tcBorders>
          </w:tcPr>
          <w:p w14:paraId="522A4905" w14:textId="77777777" w:rsidR="009F4766" w:rsidRPr="00DE12A3" w:rsidRDefault="009F4766" w:rsidP="00C917D6">
            <w:pPr>
              <w:pStyle w:val="NormalLeft"/>
            </w:pPr>
            <w:r w:rsidRPr="00DE12A3">
              <w:t>6</w:t>
            </w:r>
          </w:p>
        </w:tc>
      </w:tr>
      <w:tr w:rsidR="00DE12A3" w:rsidRPr="00DE12A3" w14:paraId="54F8B583" w14:textId="77777777" w:rsidTr="009F4766">
        <w:tc>
          <w:tcPr>
            <w:tcW w:w="1182" w:type="dxa"/>
            <w:tcBorders>
              <w:top w:val="single" w:sz="2" w:space="0" w:color="auto"/>
              <w:left w:val="single" w:sz="2" w:space="0" w:color="auto"/>
              <w:bottom w:val="single" w:sz="2" w:space="0" w:color="auto"/>
              <w:right w:val="single" w:sz="2" w:space="0" w:color="auto"/>
            </w:tcBorders>
          </w:tcPr>
          <w:p w14:paraId="27775299" w14:textId="77777777" w:rsidR="009F4766" w:rsidRPr="00DE12A3" w:rsidRDefault="009F4766" w:rsidP="00C917D6">
            <w:pPr>
              <w:pStyle w:val="NormalLeft"/>
            </w:pPr>
            <w:r w:rsidRPr="00DE12A3">
              <w:t>240</w:t>
            </w:r>
          </w:p>
        </w:tc>
        <w:tc>
          <w:tcPr>
            <w:tcW w:w="2489" w:type="dxa"/>
            <w:tcBorders>
              <w:top w:val="single" w:sz="2" w:space="0" w:color="auto"/>
              <w:left w:val="single" w:sz="2" w:space="0" w:color="auto"/>
              <w:bottom w:val="single" w:sz="2" w:space="0" w:color="auto"/>
              <w:right w:val="single" w:sz="2" w:space="0" w:color="auto"/>
            </w:tcBorders>
          </w:tcPr>
          <w:p w14:paraId="27A88F7A" w14:textId="77777777" w:rsidR="009F4766" w:rsidRPr="00DE12A3" w:rsidRDefault="009F4766" w:rsidP="00C917D6">
            <w:pPr>
              <w:pStyle w:val="NormalLeft"/>
            </w:pPr>
            <w:r w:rsidRPr="00DE12A3">
              <w:t>4</w:t>
            </w:r>
          </w:p>
        </w:tc>
        <w:tc>
          <w:tcPr>
            <w:tcW w:w="2551" w:type="dxa"/>
            <w:tcBorders>
              <w:top w:val="single" w:sz="2" w:space="0" w:color="auto"/>
              <w:left w:val="single" w:sz="2" w:space="0" w:color="auto"/>
              <w:bottom w:val="single" w:sz="2" w:space="0" w:color="auto"/>
              <w:right w:val="single" w:sz="2" w:space="0" w:color="auto"/>
            </w:tcBorders>
          </w:tcPr>
          <w:p w14:paraId="0894F146" w14:textId="77777777" w:rsidR="009F4766" w:rsidRPr="00DE12A3" w:rsidRDefault="009F4766" w:rsidP="00C917D6">
            <w:pPr>
              <w:pStyle w:val="NormalLeft"/>
            </w:pPr>
            <w:r w:rsidRPr="00DE12A3">
              <w:t>6</w:t>
            </w:r>
          </w:p>
        </w:tc>
      </w:tr>
      <w:tr w:rsidR="00DE12A3" w:rsidRPr="00DE12A3" w14:paraId="1E7177C7" w14:textId="77777777" w:rsidTr="009F4766">
        <w:tc>
          <w:tcPr>
            <w:tcW w:w="1182" w:type="dxa"/>
            <w:tcBorders>
              <w:top w:val="single" w:sz="2" w:space="0" w:color="auto"/>
              <w:left w:val="single" w:sz="2" w:space="0" w:color="auto"/>
              <w:bottom w:val="single" w:sz="2" w:space="0" w:color="auto"/>
              <w:right w:val="single" w:sz="2" w:space="0" w:color="auto"/>
            </w:tcBorders>
          </w:tcPr>
          <w:p w14:paraId="64584D70" w14:textId="77777777" w:rsidR="009F4766" w:rsidRPr="00DE12A3" w:rsidRDefault="009F4766" w:rsidP="00C917D6">
            <w:pPr>
              <w:pStyle w:val="NormalLeft"/>
            </w:pPr>
            <w:r w:rsidRPr="00DE12A3">
              <w:t>241</w:t>
            </w:r>
          </w:p>
        </w:tc>
        <w:tc>
          <w:tcPr>
            <w:tcW w:w="2489" w:type="dxa"/>
            <w:tcBorders>
              <w:top w:val="single" w:sz="2" w:space="0" w:color="auto"/>
              <w:left w:val="single" w:sz="2" w:space="0" w:color="auto"/>
              <w:bottom w:val="single" w:sz="2" w:space="0" w:color="auto"/>
              <w:right w:val="single" w:sz="2" w:space="0" w:color="auto"/>
            </w:tcBorders>
          </w:tcPr>
          <w:p w14:paraId="2A9F9C47" w14:textId="77777777" w:rsidR="009F4766" w:rsidRPr="00DE12A3" w:rsidRDefault="009F4766" w:rsidP="00C917D6">
            <w:pPr>
              <w:pStyle w:val="NormalLeft"/>
            </w:pPr>
            <w:r w:rsidRPr="00DE12A3">
              <w:t>4</w:t>
            </w:r>
          </w:p>
        </w:tc>
        <w:tc>
          <w:tcPr>
            <w:tcW w:w="2551" w:type="dxa"/>
            <w:tcBorders>
              <w:top w:val="single" w:sz="2" w:space="0" w:color="auto"/>
              <w:left w:val="single" w:sz="2" w:space="0" w:color="auto"/>
              <w:bottom w:val="single" w:sz="2" w:space="0" w:color="auto"/>
              <w:right w:val="single" w:sz="2" w:space="0" w:color="auto"/>
            </w:tcBorders>
          </w:tcPr>
          <w:p w14:paraId="483B1A6C" w14:textId="77777777" w:rsidR="009F4766" w:rsidRPr="00DE12A3" w:rsidRDefault="009F4766" w:rsidP="00C917D6">
            <w:pPr>
              <w:pStyle w:val="NormalLeft"/>
            </w:pPr>
            <w:r w:rsidRPr="00DE12A3">
              <w:t>5</w:t>
            </w:r>
          </w:p>
        </w:tc>
      </w:tr>
      <w:tr w:rsidR="00DE12A3" w:rsidRPr="00DE12A3" w14:paraId="33B980FA" w14:textId="77777777" w:rsidTr="009F4766">
        <w:tc>
          <w:tcPr>
            <w:tcW w:w="1182" w:type="dxa"/>
            <w:tcBorders>
              <w:top w:val="single" w:sz="2" w:space="0" w:color="auto"/>
              <w:left w:val="single" w:sz="2" w:space="0" w:color="auto"/>
              <w:bottom w:val="single" w:sz="2" w:space="0" w:color="auto"/>
              <w:right w:val="single" w:sz="2" w:space="0" w:color="auto"/>
            </w:tcBorders>
          </w:tcPr>
          <w:p w14:paraId="020CDF45" w14:textId="77777777" w:rsidR="009F4766" w:rsidRPr="00DE12A3" w:rsidRDefault="009F4766" w:rsidP="00C917D6">
            <w:pPr>
              <w:pStyle w:val="NormalLeft"/>
            </w:pPr>
            <w:r w:rsidRPr="00DE12A3">
              <w:t>242</w:t>
            </w:r>
          </w:p>
        </w:tc>
        <w:tc>
          <w:tcPr>
            <w:tcW w:w="2489" w:type="dxa"/>
            <w:tcBorders>
              <w:top w:val="single" w:sz="2" w:space="0" w:color="auto"/>
              <w:left w:val="single" w:sz="2" w:space="0" w:color="auto"/>
              <w:bottom w:val="single" w:sz="2" w:space="0" w:color="auto"/>
              <w:right w:val="single" w:sz="2" w:space="0" w:color="auto"/>
            </w:tcBorders>
          </w:tcPr>
          <w:p w14:paraId="42DE029A" w14:textId="77777777" w:rsidR="009F4766" w:rsidRPr="00DE12A3" w:rsidRDefault="009F4766" w:rsidP="00C917D6">
            <w:pPr>
              <w:pStyle w:val="NormalLeft"/>
            </w:pPr>
            <w:r w:rsidRPr="00DE12A3">
              <w:t>7</w:t>
            </w:r>
          </w:p>
        </w:tc>
        <w:tc>
          <w:tcPr>
            <w:tcW w:w="2551" w:type="dxa"/>
            <w:tcBorders>
              <w:top w:val="single" w:sz="2" w:space="0" w:color="auto"/>
              <w:left w:val="single" w:sz="2" w:space="0" w:color="auto"/>
              <w:bottom w:val="single" w:sz="2" w:space="0" w:color="auto"/>
              <w:right w:val="single" w:sz="2" w:space="0" w:color="auto"/>
            </w:tcBorders>
          </w:tcPr>
          <w:p w14:paraId="5A16B20D" w14:textId="77777777" w:rsidR="009F4766" w:rsidRPr="00DE12A3" w:rsidRDefault="009F4766" w:rsidP="00C917D6">
            <w:pPr>
              <w:pStyle w:val="NormalLeft"/>
            </w:pPr>
            <w:r w:rsidRPr="00DE12A3">
              <w:t>5</w:t>
            </w:r>
          </w:p>
        </w:tc>
      </w:tr>
      <w:tr w:rsidR="00DE12A3" w:rsidRPr="00DE12A3" w14:paraId="2CC6FA8D" w14:textId="77777777" w:rsidTr="009F4766">
        <w:tc>
          <w:tcPr>
            <w:tcW w:w="1182" w:type="dxa"/>
            <w:tcBorders>
              <w:top w:val="single" w:sz="2" w:space="0" w:color="auto"/>
              <w:left w:val="single" w:sz="2" w:space="0" w:color="auto"/>
              <w:bottom w:val="single" w:sz="2" w:space="0" w:color="auto"/>
              <w:right w:val="single" w:sz="2" w:space="0" w:color="auto"/>
            </w:tcBorders>
          </w:tcPr>
          <w:p w14:paraId="6E95D201" w14:textId="77777777" w:rsidR="009F4766" w:rsidRPr="00DE12A3" w:rsidRDefault="009F4766" w:rsidP="00C917D6">
            <w:pPr>
              <w:pStyle w:val="NormalLeft"/>
            </w:pPr>
            <w:r w:rsidRPr="00DE12A3">
              <w:t>243</w:t>
            </w:r>
          </w:p>
        </w:tc>
        <w:tc>
          <w:tcPr>
            <w:tcW w:w="2489" w:type="dxa"/>
            <w:tcBorders>
              <w:top w:val="single" w:sz="2" w:space="0" w:color="auto"/>
              <w:left w:val="single" w:sz="2" w:space="0" w:color="auto"/>
              <w:bottom w:val="single" w:sz="2" w:space="0" w:color="auto"/>
              <w:right w:val="single" w:sz="2" w:space="0" w:color="auto"/>
            </w:tcBorders>
          </w:tcPr>
          <w:p w14:paraId="04A672BE" w14:textId="77777777" w:rsidR="009F4766" w:rsidRPr="00DE12A3" w:rsidRDefault="009F4766" w:rsidP="00C917D6">
            <w:pPr>
              <w:pStyle w:val="NormalLeft"/>
            </w:pPr>
            <w:r w:rsidRPr="00DE12A3">
              <w:t>16</w:t>
            </w:r>
          </w:p>
        </w:tc>
        <w:tc>
          <w:tcPr>
            <w:tcW w:w="2551" w:type="dxa"/>
            <w:tcBorders>
              <w:top w:val="single" w:sz="2" w:space="0" w:color="auto"/>
              <w:left w:val="single" w:sz="2" w:space="0" w:color="auto"/>
              <w:bottom w:val="single" w:sz="2" w:space="0" w:color="auto"/>
              <w:right w:val="single" w:sz="2" w:space="0" w:color="auto"/>
            </w:tcBorders>
          </w:tcPr>
          <w:p w14:paraId="008C989A" w14:textId="77777777" w:rsidR="009F4766" w:rsidRPr="00DE12A3" w:rsidRDefault="009F4766" w:rsidP="00C917D6">
            <w:pPr>
              <w:pStyle w:val="NormalLeft"/>
            </w:pPr>
            <w:r w:rsidRPr="00DE12A3">
              <w:t>28</w:t>
            </w:r>
          </w:p>
        </w:tc>
      </w:tr>
      <w:tr w:rsidR="00DE12A3" w:rsidRPr="00DE12A3" w14:paraId="736FA92A" w14:textId="77777777" w:rsidTr="009F4766">
        <w:tc>
          <w:tcPr>
            <w:tcW w:w="1182" w:type="dxa"/>
            <w:tcBorders>
              <w:top w:val="single" w:sz="2" w:space="0" w:color="auto"/>
              <w:left w:val="single" w:sz="2" w:space="0" w:color="auto"/>
              <w:bottom w:val="single" w:sz="2" w:space="0" w:color="auto"/>
              <w:right w:val="single" w:sz="2" w:space="0" w:color="auto"/>
            </w:tcBorders>
          </w:tcPr>
          <w:p w14:paraId="6886CC50" w14:textId="77777777" w:rsidR="009F4766" w:rsidRPr="00DE12A3" w:rsidRDefault="009F4766" w:rsidP="00C917D6">
            <w:pPr>
              <w:pStyle w:val="NormalLeft"/>
            </w:pPr>
            <w:r w:rsidRPr="00DE12A3">
              <w:t>244</w:t>
            </w:r>
          </w:p>
        </w:tc>
        <w:tc>
          <w:tcPr>
            <w:tcW w:w="2489" w:type="dxa"/>
            <w:tcBorders>
              <w:top w:val="single" w:sz="2" w:space="0" w:color="auto"/>
              <w:left w:val="single" w:sz="2" w:space="0" w:color="auto"/>
              <w:bottom w:val="single" w:sz="2" w:space="0" w:color="auto"/>
              <w:right w:val="single" w:sz="2" w:space="0" w:color="auto"/>
            </w:tcBorders>
          </w:tcPr>
          <w:p w14:paraId="1658FD48" w14:textId="77777777" w:rsidR="009F4766" w:rsidRPr="00DE12A3" w:rsidRDefault="009F4766" w:rsidP="00C917D6">
            <w:pPr>
              <w:pStyle w:val="NormalLeft"/>
            </w:pPr>
            <w:r w:rsidRPr="00DE12A3">
              <w:t>28</w:t>
            </w:r>
          </w:p>
        </w:tc>
        <w:tc>
          <w:tcPr>
            <w:tcW w:w="2551" w:type="dxa"/>
            <w:tcBorders>
              <w:top w:val="single" w:sz="2" w:space="0" w:color="auto"/>
              <w:left w:val="single" w:sz="2" w:space="0" w:color="auto"/>
              <w:bottom w:val="single" w:sz="2" w:space="0" w:color="auto"/>
              <w:right w:val="single" w:sz="2" w:space="0" w:color="auto"/>
            </w:tcBorders>
          </w:tcPr>
          <w:p w14:paraId="6EF977A3" w14:textId="77777777" w:rsidR="009F4766" w:rsidRPr="00DE12A3" w:rsidRDefault="009F4766" w:rsidP="00C917D6">
            <w:pPr>
              <w:pStyle w:val="NormalLeft"/>
            </w:pPr>
            <w:r w:rsidRPr="00DE12A3">
              <w:t>25</w:t>
            </w:r>
          </w:p>
        </w:tc>
      </w:tr>
      <w:tr w:rsidR="00DE12A3" w:rsidRPr="00DE12A3" w14:paraId="49FAFED6" w14:textId="77777777" w:rsidTr="009F4766">
        <w:tc>
          <w:tcPr>
            <w:tcW w:w="1182" w:type="dxa"/>
            <w:tcBorders>
              <w:top w:val="single" w:sz="2" w:space="0" w:color="auto"/>
              <w:left w:val="single" w:sz="2" w:space="0" w:color="auto"/>
              <w:bottom w:val="single" w:sz="2" w:space="0" w:color="auto"/>
              <w:right w:val="single" w:sz="2" w:space="0" w:color="auto"/>
            </w:tcBorders>
          </w:tcPr>
          <w:p w14:paraId="1DB9A154" w14:textId="77777777" w:rsidR="009F4766" w:rsidRPr="00DE12A3" w:rsidRDefault="009F4766" w:rsidP="00C917D6">
            <w:pPr>
              <w:pStyle w:val="NormalLeft"/>
            </w:pPr>
            <w:r w:rsidRPr="00DE12A3">
              <w:t>245</w:t>
            </w:r>
          </w:p>
        </w:tc>
        <w:tc>
          <w:tcPr>
            <w:tcW w:w="2489" w:type="dxa"/>
            <w:tcBorders>
              <w:top w:val="single" w:sz="2" w:space="0" w:color="auto"/>
              <w:left w:val="single" w:sz="2" w:space="0" w:color="auto"/>
              <w:bottom w:val="single" w:sz="2" w:space="0" w:color="auto"/>
              <w:right w:val="single" w:sz="2" w:space="0" w:color="auto"/>
            </w:tcBorders>
          </w:tcPr>
          <w:p w14:paraId="756ECABC" w14:textId="77777777" w:rsidR="009F4766" w:rsidRPr="00DE12A3" w:rsidRDefault="009F4766" w:rsidP="00C917D6">
            <w:pPr>
              <w:pStyle w:val="NormalLeft"/>
            </w:pPr>
            <w:r w:rsidRPr="00DE12A3">
              <w:t>52</w:t>
            </w:r>
          </w:p>
        </w:tc>
        <w:tc>
          <w:tcPr>
            <w:tcW w:w="2551" w:type="dxa"/>
            <w:tcBorders>
              <w:top w:val="single" w:sz="2" w:space="0" w:color="auto"/>
              <w:left w:val="single" w:sz="2" w:space="0" w:color="auto"/>
              <w:bottom w:val="single" w:sz="2" w:space="0" w:color="auto"/>
              <w:right w:val="single" w:sz="2" w:space="0" w:color="auto"/>
            </w:tcBorders>
          </w:tcPr>
          <w:p w14:paraId="3664897B" w14:textId="77777777" w:rsidR="009F4766" w:rsidRPr="00DE12A3" w:rsidRDefault="009F4766" w:rsidP="00C917D6">
            <w:pPr>
              <w:pStyle w:val="NormalLeft"/>
            </w:pPr>
            <w:r w:rsidRPr="00DE12A3">
              <w:t>53</w:t>
            </w:r>
          </w:p>
        </w:tc>
      </w:tr>
      <w:tr w:rsidR="00DE12A3" w:rsidRPr="00DE12A3" w14:paraId="79565EC5" w14:textId="77777777" w:rsidTr="009F4766">
        <w:tc>
          <w:tcPr>
            <w:tcW w:w="1182" w:type="dxa"/>
            <w:tcBorders>
              <w:top w:val="single" w:sz="2" w:space="0" w:color="auto"/>
              <w:left w:val="single" w:sz="2" w:space="0" w:color="auto"/>
              <w:bottom w:val="single" w:sz="2" w:space="0" w:color="auto"/>
              <w:right w:val="single" w:sz="2" w:space="0" w:color="auto"/>
            </w:tcBorders>
          </w:tcPr>
          <w:p w14:paraId="3D0F38B3" w14:textId="77777777" w:rsidR="009F4766" w:rsidRPr="00DE12A3" w:rsidRDefault="009F4766" w:rsidP="00C917D6">
            <w:pPr>
              <w:pStyle w:val="NormalLeft"/>
            </w:pPr>
            <w:r w:rsidRPr="00DE12A3">
              <w:t>246</w:t>
            </w:r>
          </w:p>
        </w:tc>
        <w:tc>
          <w:tcPr>
            <w:tcW w:w="2489" w:type="dxa"/>
            <w:tcBorders>
              <w:top w:val="single" w:sz="2" w:space="0" w:color="auto"/>
              <w:left w:val="single" w:sz="2" w:space="0" w:color="auto"/>
              <w:bottom w:val="single" w:sz="2" w:space="0" w:color="auto"/>
              <w:right w:val="single" w:sz="2" w:space="0" w:color="auto"/>
            </w:tcBorders>
          </w:tcPr>
          <w:p w14:paraId="0BFF0685" w14:textId="77777777" w:rsidR="009F4766" w:rsidRPr="00DE12A3" w:rsidRDefault="009F4766" w:rsidP="00C917D6">
            <w:pPr>
              <w:pStyle w:val="NormalLeft"/>
            </w:pPr>
            <w:r w:rsidRPr="00DE12A3">
              <w:t>50</w:t>
            </w:r>
          </w:p>
        </w:tc>
        <w:tc>
          <w:tcPr>
            <w:tcW w:w="2551" w:type="dxa"/>
            <w:tcBorders>
              <w:top w:val="single" w:sz="2" w:space="0" w:color="auto"/>
              <w:left w:val="single" w:sz="2" w:space="0" w:color="auto"/>
              <w:bottom w:val="single" w:sz="2" w:space="0" w:color="auto"/>
              <w:right w:val="single" w:sz="2" w:space="0" w:color="auto"/>
            </w:tcBorders>
          </w:tcPr>
          <w:p w14:paraId="51A9C779" w14:textId="77777777" w:rsidR="009F4766" w:rsidRPr="00DE12A3" w:rsidRDefault="009F4766" w:rsidP="00C917D6">
            <w:pPr>
              <w:pStyle w:val="NormalLeft"/>
            </w:pPr>
            <w:r w:rsidRPr="00DE12A3">
              <w:t>8</w:t>
            </w:r>
          </w:p>
        </w:tc>
      </w:tr>
      <w:tr w:rsidR="00DE12A3" w:rsidRPr="00DE12A3" w14:paraId="6B5A44A4" w14:textId="77777777" w:rsidTr="009F4766">
        <w:tc>
          <w:tcPr>
            <w:tcW w:w="1182" w:type="dxa"/>
            <w:tcBorders>
              <w:top w:val="single" w:sz="2" w:space="0" w:color="auto"/>
              <w:left w:val="single" w:sz="2" w:space="0" w:color="auto"/>
              <w:bottom w:val="single" w:sz="2" w:space="0" w:color="auto"/>
              <w:right w:val="single" w:sz="2" w:space="0" w:color="auto"/>
            </w:tcBorders>
          </w:tcPr>
          <w:p w14:paraId="017EA867" w14:textId="77777777" w:rsidR="009F4766" w:rsidRPr="00DE12A3" w:rsidRDefault="009F4766" w:rsidP="00C917D6">
            <w:pPr>
              <w:pStyle w:val="NormalLeft"/>
            </w:pPr>
            <w:r w:rsidRPr="00DE12A3">
              <w:t>247</w:t>
            </w:r>
          </w:p>
        </w:tc>
        <w:tc>
          <w:tcPr>
            <w:tcW w:w="2489" w:type="dxa"/>
            <w:tcBorders>
              <w:top w:val="single" w:sz="2" w:space="0" w:color="auto"/>
              <w:left w:val="single" w:sz="2" w:space="0" w:color="auto"/>
              <w:bottom w:val="single" w:sz="2" w:space="0" w:color="auto"/>
              <w:right w:val="single" w:sz="2" w:space="0" w:color="auto"/>
            </w:tcBorders>
          </w:tcPr>
          <w:p w14:paraId="730F1C34" w14:textId="77777777" w:rsidR="009F4766" w:rsidRPr="00DE12A3" w:rsidRDefault="009F4766" w:rsidP="00C917D6">
            <w:pPr>
              <w:pStyle w:val="NormalLeft"/>
            </w:pPr>
            <w:r w:rsidRPr="00DE12A3">
              <w:t>26</w:t>
            </w:r>
          </w:p>
        </w:tc>
        <w:tc>
          <w:tcPr>
            <w:tcW w:w="2551" w:type="dxa"/>
            <w:tcBorders>
              <w:top w:val="single" w:sz="2" w:space="0" w:color="auto"/>
              <w:left w:val="single" w:sz="2" w:space="0" w:color="auto"/>
              <w:bottom w:val="single" w:sz="2" w:space="0" w:color="auto"/>
              <w:right w:val="single" w:sz="2" w:space="0" w:color="auto"/>
            </w:tcBorders>
          </w:tcPr>
          <w:p w14:paraId="25B9FE37" w14:textId="77777777" w:rsidR="009F4766" w:rsidRPr="00DE12A3" w:rsidRDefault="009F4766" w:rsidP="00C917D6">
            <w:pPr>
              <w:pStyle w:val="NormalLeft"/>
            </w:pPr>
            <w:r w:rsidRPr="00DE12A3">
              <w:t>40</w:t>
            </w:r>
          </w:p>
        </w:tc>
      </w:tr>
      <w:tr w:rsidR="00DE12A3" w:rsidRPr="00DE12A3" w14:paraId="1D8C9872" w14:textId="77777777" w:rsidTr="009F4766">
        <w:tc>
          <w:tcPr>
            <w:tcW w:w="1182" w:type="dxa"/>
            <w:tcBorders>
              <w:top w:val="single" w:sz="2" w:space="0" w:color="auto"/>
              <w:left w:val="single" w:sz="2" w:space="0" w:color="auto"/>
              <w:bottom w:val="single" w:sz="2" w:space="0" w:color="auto"/>
              <w:right w:val="single" w:sz="2" w:space="0" w:color="auto"/>
            </w:tcBorders>
          </w:tcPr>
          <w:p w14:paraId="01083E6B" w14:textId="77777777" w:rsidR="009F4766" w:rsidRPr="00DE12A3" w:rsidRDefault="009F4766" w:rsidP="00C917D6">
            <w:pPr>
              <w:pStyle w:val="NormalLeft"/>
            </w:pPr>
            <w:r w:rsidRPr="00DE12A3">
              <w:t>248</w:t>
            </w:r>
          </w:p>
        </w:tc>
        <w:tc>
          <w:tcPr>
            <w:tcW w:w="2489" w:type="dxa"/>
            <w:tcBorders>
              <w:top w:val="single" w:sz="2" w:space="0" w:color="auto"/>
              <w:left w:val="single" w:sz="2" w:space="0" w:color="auto"/>
              <w:bottom w:val="single" w:sz="2" w:space="0" w:color="auto"/>
              <w:right w:val="single" w:sz="2" w:space="0" w:color="auto"/>
            </w:tcBorders>
          </w:tcPr>
          <w:p w14:paraId="344F45A5" w14:textId="77777777" w:rsidR="009F4766" w:rsidRPr="00DE12A3" w:rsidRDefault="009F4766" w:rsidP="00C917D6">
            <w:pPr>
              <w:pStyle w:val="NormalLeft"/>
            </w:pPr>
            <w:r w:rsidRPr="00DE12A3">
              <w:t>48</w:t>
            </w:r>
          </w:p>
        </w:tc>
        <w:tc>
          <w:tcPr>
            <w:tcW w:w="2551" w:type="dxa"/>
            <w:tcBorders>
              <w:top w:val="single" w:sz="2" w:space="0" w:color="auto"/>
              <w:left w:val="single" w:sz="2" w:space="0" w:color="auto"/>
              <w:bottom w:val="single" w:sz="2" w:space="0" w:color="auto"/>
              <w:right w:val="single" w:sz="2" w:space="0" w:color="auto"/>
            </w:tcBorders>
          </w:tcPr>
          <w:p w14:paraId="602F9C50" w14:textId="77777777" w:rsidR="009F4766" w:rsidRPr="00DE12A3" w:rsidRDefault="009F4766" w:rsidP="00C917D6">
            <w:pPr>
              <w:pStyle w:val="NormalLeft"/>
            </w:pPr>
            <w:r w:rsidRPr="00DE12A3">
              <w:t>29</w:t>
            </w:r>
          </w:p>
        </w:tc>
      </w:tr>
      <w:tr w:rsidR="00DE12A3" w:rsidRPr="00DE12A3" w14:paraId="745E24F9" w14:textId="77777777" w:rsidTr="009F4766">
        <w:tc>
          <w:tcPr>
            <w:tcW w:w="1182" w:type="dxa"/>
            <w:tcBorders>
              <w:top w:val="single" w:sz="2" w:space="0" w:color="auto"/>
              <w:left w:val="single" w:sz="2" w:space="0" w:color="auto"/>
              <w:bottom w:val="single" w:sz="2" w:space="0" w:color="auto"/>
              <w:right w:val="single" w:sz="2" w:space="0" w:color="auto"/>
            </w:tcBorders>
          </w:tcPr>
          <w:p w14:paraId="35C11472" w14:textId="77777777" w:rsidR="009F4766" w:rsidRPr="00DE12A3" w:rsidRDefault="009F4766" w:rsidP="00C917D6">
            <w:pPr>
              <w:pStyle w:val="NormalLeft"/>
            </w:pPr>
            <w:r w:rsidRPr="00DE12A3">
              <w:t>249</w:t>
            </w:r>
          </w:p>
        </w:tc>
        <w:tc>
          <w:tcPr>
            <w:tcW w:w="2489" w:type="dxa"/>
            <w:tcBorders>
              <w:top w:val="single" w:sz="2" w:space="0" w:color="auto"/>
              <w:left w:val="single" w:sz="2" w:space="0" w:color="auto"/>
              <w:bottom w:val="single" w:sz="2" w:space="0" w:color="auto"/>
              <w:right w:val="single" w:sz="2" w:space="0" w:color="auto"/>
            </w:tcBorders>
          </w:tcPr>
          <w:p w14:paraId="4B3A3ABF" w14:textId="77777777" w:rsidR="009F4766" w:rsidRPr="00DE12A3" w:rsidRDefault="009F4766" w:rsidP="00C917D6">
            <w:pPr>
              <w:pStyle w:val="NormalLeft"/>
            </w:pPr>
            <w:r w:rsidRPr="00DE12A3">
              <w:t>54</w:t>
            </w:r>
          </w:p>
        </w:tc>
        <w:tc>
          <w:tcPr>
            <w:tcW w:w="2551" w:type="dxa"/>
            <w:tcBorders>
              <w:top w:val="single" w:sz="2" w:space="0" w:color="auto"/>
              <w:left w:val="single" w:sz="2" w:space="0" w:color="auto"/>
              <w:bottom w:val="single" w:sz="2" w:space="0" w:color="auto"/>
              <w:right w:val="single" w:sz="2" w:space="0" w:color="auto"/>
            </w:tcBorders>
          </w:tcPr>
          <w:p w14:paraId="13EC895B" w14:textId="77777777" w:rsidR="009F4766" w:rsidRPr="00DE12A3" w:rsidRDefault="009F4766" w:rsidP="00C917D6">
            <w:pPr>
              <w:pStyle w:val="NormalLeft"/>
            </w:pPr>
            <w:r w:rsidRPr="00DE12A3">
              <w:t>39</w:t>
            </w:r>
          </w:p>
        </w:tc>
      </w:tr>
      <w:tr w:rsidR="00DE12A3" w:rsidRPr="00DE12A3" w14:paraId="4F06E90A" w14:textId="77777777" w:rsidTr="009F4766">
        <w:tc>
          <w:tcPr>
            <w:tcW w:w="1182" w:type="dxa"/>
            <w:tcBorders>
              <w:top w:val="single" w:sz="2" w:space="0" w:color="auto"/>
              <w:left w:val="single" w:sz="2" w:space="0" w:color="auto"/>
              <w:bottom w:val="single" w:sz="2" w:space="0" w:color="auto"/>
              <w:right w:val="single" w:sz="2" w:space="0" w:color="auto"/>
            </w:tcBorders>
          </w:tcPr>
          <w:p w14:paraId="5ABD5825" w14:textId="77777777" w:rsidR="009F4766" w:rsidRPr="00DE12A3" w:rsidRDefault="009F4766" w:rsidP="00C917D6">
            <w:pPr>
              <w:pStyle w:val="NormalLeft"/>
            </w:pPr>
            <w:r w:rsidRPr="00DE12A3">
              <w:t>250</w:t>
            </w:r>
          </w:p>
        </w:tc>
        <w:tc>
          <w:tcPr>
            <w:tcW w:w="2489" w:type="dxa"/>
            <w:tcBorders>
              <w:top w:val="single" w:sz="2" w:space="0" w:color="auto"/>
              <w:left w:val="single" w:sz="2" w:space="0" w:color="auto"/>
              <w:bottom w:val="single" w:sz="2" w:space="0" w:color="auto"/>
              <w:right w:val="single" w:sz="2" w:space="0" w:color="auto"/>
            </w:tcBorders>
          </w:tcPr>
          <w:p w14:paraId="2CEB6EAA" w14:textId="77777777" w:rsidR="009F4766" w:rsidRPr="00DE12A3" w:rsidRDefault="009F4766" w:rsidP="00C917D6">
            <w:pPr>
              <w:pStyle w:val="NormalLeft"/>
            </w:pPr>
            <w:r w:rsidRPr="00DE12A3">
              <w:t>60</w:t>
            </w:r>
          </w:p>
        </w:tc>
        <w:tc>
          <w:tcPr>
            <w:tcW w:w="2551" w:type="dxa"/>
            <w:tcBorders>
              <w:top w:val="single" w:sz="2" w:space="0" w:color="auto"/>
              <w:left w:val="single" w:sz="2" w:space="0" w:color="auto"/>
              <w:bottom w:val="single" w:sz="2" w:space="0" w:color="auto"/>
              <w:right w:val="single" w:sz="2" w:space="0" w:color="auto"/>
            </w:tcBorders>
          </w:tcPr>
          <w:p w14:paraId="5F0146D3" w14:textId="77777777" w:rsidR="009F4766" w:rsidRPr="00DE12A3" w:rsidRDefault="009F4766" w:rsidP="00C917D6">
            <w:pPr>
              <w:pStyle w:val="NormalLeft"/>
            </w:pPr>
            <w:r w:rsidRPr="00DE12A3">
              <w:t>42</w:t>
            </w:r>
          </w:p>
        </w:tc>
      </w:tr>
      <w:tr w:rsidR="00DE12A3" w:rsidRPr="00DE12A3" w14:paraId="2BCFC81D" w14:textId="77777777" w:rsidTr="009F4766">
        <w:tc>
          <w:tcPr>
            <w:tcW w:w="1182" w:type="dxa"/>
            <w:tcBorders>
              <w:top w:val="single" w:sz="2" w:space="0" w:color="auto"/>
              <w:left w:val="single" w:sz="2" w:space="0" w:color="auto"/>
              <w:bottom w:val="single" w:sz="2" w:space="0" w:color="auto"/>
              <w:right w:val="single" w:sz="2" w:space="0" w:color="auto"/>
            </w:tcBorders>
          </w:tcPr>
          <w:p w14:paraId="5726FD0C" w14:textId="77777777" w:rsidR="009F4766" w:rsidRPr="00DE12A3" w:rsidRDefault="009F4766" w:rsidP="00C917D6">
            <w:pPr>
              <w:pStyle w:val="NormalLeft"/>
            </w:pPr>
            <w:r w:rsidRPr="00DE12A3">
              <w:t>251</w:t>
            </w:r>
          </w:p>
        </w:tc>
        <w:tc>
          <w:tcPr>
            <w:tcW w:w="2489" w:type="dxa"/>
            <w:tcBorders>
              <w:top w:val="single" w:sz="2" w:space="0" w:color="auto"/>
              <w:left w:val="single" w:sz="2" w:space="0" w:color="auto"/>
              <w:bottom w:val="single" w:sz="2" w:space="0" w:color="auto"/>
              <w:right w:val="single" w:sz="2" w:space="0" w:color="auto"/>
            </w:tcBorders>
          </w:tcPr>
          <w:p w14:paraId="0DC69C17" w14:textId="77777777" w:rsidR="009F4766" w:rsidRPr="00DE12A3" w:rsidRDefault="009F4766" w:rsidP="00C917D6">
            <w:pPr>
              <w:pStyle w:val="NormalLeft"/>
            </w:pPr>
            <w:r w:rsidRPr="00DE12A3">
              <w:t>48</w:t>
            </w:r>
          </w:p>
        </w:tc>
        <w:tc>
          <w:tcPr>
            <w:tcW w:w="2551" w:type="dxa"/>
            <w:tcBorders>
              <w:top w:val="single" w:sz="2" w:space="0" w:color="auto"/>
              <w:left w:val="single" w:sz="2" w:space="0" w:color="auto"/>
              <w:bottom w:val="single" w:sz="2" w:space="0" w:color="auto"/>
              <w:right w:val="single" w:sz="2" w:space="0" w:color="auto"/>
            </w:tcBorders>
          </w:tcPr>
          <w:p w14:paraId="175ED2F5" w14:textId="77777777" w:rsidR="009F4766" w:rsidRPr="00DE12A3" w:rsidRDefault="009F4766" w:rsidP="00C917D6">
            <w:pPr>
              <w:pStyle w:val="NormalLeft"/>
            </w:pPr>
            <w:r w:rsidRPr="00DE12A3">
              <w:t>18</w:t>
            </w:r>
          </w:p>
        </w:tc>
      </w:tr>
      <w:tr w:rsidR="00DE12A3" w:rsidRPr="00DE12A3" w14:paraId="14008EF2" w14:textId="77777777" w:rsidTr="009F4766">
        <w:tc>
          <w:tcPr>
            <w:tcW w:w="1182" w:type="dxa"/>
            <w:tcBorders>
              <w:top w:val="single" w:sz="2" w:space="0" w:color="auto"/>
              <w:left w:val="single" w:sz="2" w:space="0" w:color="auto"/>
              <w:bottom w:val="single" w:sz="2" w:space="0" w:color="auto"/>
              <w:right w:val="single" w:sz="2" w:space="0" w:color="auto"/>
            </w:tcBorders>
          </w:tcPr>
          <w:p w14:paraId="5D3CC278" w14:textId="77777777" w:rsidR="009F4766" w:rsidRPr="00DE12A3" w:rsidRDefault="009F4766" w:rsidP="00C917D6">
            <w:pPr>
              <w:pStyle w:val="NormalLeft"/>
            </w:pPr>
            <w:r w:rsidRPr="00DE12A3">
              <w:t>252</w:t>
            </w:r>
          </w:p>
        </w:tc>
        <w:tc>
          <w:tcPr>
            <w:tcW w:w="2489" w:type="dxa"/>
            <w:tcBorders>
              <w:top w:val="single" w:sz="2" w:space="0" w:color="auto"/>
              <w:left w:val="single" w:sz="2" w:space="0" w:color="auto"/>
              <w:bottom w:val="single" w:sz="2" w:space="0" w:color="auto"/>
              <w:right w:val="single" w:sz="2" w:space="0" w:color="auto"/>
            </w:tcBorders>
          </w:tcPr>
          <w:p w14:paraId="7EFD6FCC" w14:textId="77777777" w:rsidR="009F4766" w:rsidRPr="00DE12A3" w:rsidRDefault="009F4766" w:rsidP="00C917D6">
            <w:pPr>
              <w:pStyle w:val="NormalLeft"/>
            </w:pPr>
            <w:r w:rsidRPr="00DE12A3">
              <w:t>54</w:t>
            </w:r>
          </w:p>
        </w:tc>
        <w:tc>
          <w:tcPr>
            <w:tcW w:w="2551" w:type="dxa"/>
            <w:tcBorders>
              <w:top w:val="single" w:sz="2" w:space="0" w:color="auto"/>
              <w:left w:val="single" w:sz="2" w:space="0" w:color="auto"/>
              <w:bottom w:val="single" w:sz="2" w:space="0" w:color="auto"/>
              <w:right w:val="single" w:sz="2" w:space="0" w:color="auto"/>
            </w:tcBorders>
          </w:tcPr>
          <w:p w14:paraId="5BB6EF20" w14:textId="77777777" w:rsidR="009F4766" w:rsidRPr="00DE12A3" w:rsidRDefault="009F4766" w:rsidP="00C917D6">
            <w:pPr>
              <w:pStyle w:val="NormalLeft"/>
            </w:pPr>
            <w:r w:rsidRPr="00DE12A3">
              <w:t>51</w:t>
            </w:r>
          </w:p>
        </w:tc>
      </w:tr>
      <w:tr w:rsidR="00DE12A3" w:rsidRPr="00DE12A3" w14:paraId="5C0DCB6B" w14:textId="77777777" w:rsidTr="009F4766">
        <w:tc>
          <w:tcPr>
            <w:tcW w:w="1182" w:type="dxa"/>
            <w:tcBorders>
              <w:top w:val="single" w:sz="2" w:space="0" w:color="auto"/>
              <w:left w:val="single" w:sz="2" w:space="0" w:color="auto"/>
              <w:bottom w:val="single" w:sz="2" w:space="0" w:color="auto"/>
              <w:right w:val="single" w:sz="2" w:space="0" w:color="auto"/>
            </w:tcBorders>
          </w:tcPr>
          <w:p w14:paraId="7478981A" w14:textId="77777777" w:rsidR="009F4766" w:rsidRPr="00DE12A3" w:rsidRDefault="009F4766" w:rsidP="00C917D6">
            <w:pPr>
              <w:pStyle w:val="NormalLeft"/>
            </w:pPr>
            <w:r w:rsidRPr="00DE12A3">
              <w:t>253</w:t>
            </w:r>
          </w:p>
        </w:tc>
        <w:tc>
          <w:tcPr>
            <w:tcW w:w="2489" w:type="dxa"/>
            <w:tcBorders>
              <w:top w:val="single" w:sz="2" w:space="0" w:color="auto"/>
              <w:left w:val="single" w:sz="2" w:space="0" w:color="auto"/>
              <w:bottom w:val="single" w:sz="2" w:space="0" w:color="auto"/>
              <w:right w:val="single" w:sz="2" w:space="0" w:color="auto"/>
            </w:tcBorders>
          </w:tcPr>
          <w:p w14:paraId="51701481" w14:textId="77777777" w:rsidR="009F4766" w:rsidRPr="00DE12A3" w:rsidRDefault="009F4766" w:rsidP="00C917D6">
            <w:pPr>
              <w:pStyle w:val="NormalLeft"/>
            </w:pPr>
            <w:r w:rsidRPr="00DE12A3">
              <w:t>88</w:t>
            </w:r>
          </w:p>
        </w:tc>
        <w:tc>
          <w:tcPr>
            <w:tcW w:w="2551" w:type="dxa"/>
            <w:tcBorders>
              <w:top w:val="single" w:sz="2" w:space="0" w:color="auto"/>
              <w:left w:val="single" w:sz="2" w:space="0" w:color="auto"/>
              <w:bottom w:val="single" w:sz="2" w:space="0" w:color="auto"/>
              <w:right w:val="single" w:sz="2" w:space="0" w:color="auto"/>
            </w:tcBorders>
          </w:tcPr>
          <w:p w14:paraId="53CF8AD4" w14:textId="77777777" w:rsidR="009F4766" w:rsidRPr="00DE12A3" w:rsidRDefault="009F4766" w:rsidP="00C917D6">
            <w:pPr>
              <w:pStyle w:val="NormalLeft"/>
            </w:pPr>
            <w:r w:rsidRPr="00DE12A3">
              <w:t>90</w:t>
            </w:r>
          </w:p>
        </w:tc>
      </w:tr>
      <w:tr w:rsidR="00DE12A3" w:rsidRPr="00DE12A3" w14:paraId="079D7D86" w14:textId="77777777" w:rsidTr="009F4766">
        <w:tc>
          <w:tcPr>
            <w:tcW w:w="1182" w:type="dxa"/>
            <w:tcBorders>
              <w:top w:val="single" w:sz="2" w:space="0" w:color="auto"/>
              <w:left w:val="single" w:sz="2" w:space="0" w:color="auto"/>
              <w:bottom w:val="single" w:sz="2" w:space="0" w:color="auto"/>
              <w:right w:val="single" w:sz="2" w:space="0" w:color="auto"/>
            </w:tcBorders>
          </w:tcPr>
          <w:p w14:paraId="1841B100" w14:textId="77777777" w:rsidR="009F4766" w:rsidRPr="00DE12A3" w:rsidRDefault="009F4766" w:rsidP="00C917D6">
            <w:pPr>
              <w:pStyle w:val="NormalLeft"/>
            </w:pPr>
            <w:r w:rsidRPr="00DE12A3">
              <w:t>254</w:t>
            </w:r>
          </w:p>
        </w:tc>
        <w:tc>
          <w:tcPr>
            <w:tcW w:w="2489" w:type="dxa"/>
            <w:tcBorders>
              <w:top w:val="single" w:sz="2" w:space="0" w:color="auto"/>
              <w:left w:val="single" w:sz="2" w:space="0" w:color="auto"/>
              <w:bottom w:val="single" w:sz="2" w:space="0" w:color="auto"/>
              <w:right w:val="single" w:sz="2" w:space="0" w:color="auto"/>
            </w:tcBorders>
          </w:tcPr>
          <w:p w14:paraId="2B2FFA68" w14:textId="77777777" w:rsidR="009F4766" w:rsidRPr="00DE12A3" w:rsidRDefault="009F4766" w:rsidP="00C917D6">
            <w:pPr>
              <w:pStyle w:val="NormalLeft"/>
            </w:pPr>
            <w:r w:rsidRPr="00DE12A3">
              <w:t>103</w:t>
            </w:r>
          </w:p>
        </w:tc>
        <w:tc>
          <w:tcPr>
            <w:tcW w:w="2551" w:type="dxa"/>
            <w:tcBorders>
              <w:top w:val="single" w:sz="2" w:space="0" w:color="auto"/>
              <w:left w:val="single" w:sz="2" w:space="0" w:color="auto"/>
              <w:bottom w:val="single" w:sz="2" w:space="0" w:color="auto"/>
              <w:right w:val="single" w:sz="2" w:space="0" w:color="auto"/>
            </w:tcBorders>
          </w:tcPr>
          <w:p w14:paraId="6AA64477" w14:textId="77777777" w:rsidR="009F4766" w:rsidRPr="00DE12A3" w:rsidRDefault="009F4766" w:rsidP="00C917D6">
            <w:pPr>
              <w:pStyle w:val="NormalLeft"/>
            </w:pPr>
            <w:r w:rsidRPr="00DE12A3">
              <w:t>84</w:t>
            </w:r>
          </w:p>
        </w:tc>
      </w:tr>
      <w:tr w:rsidR="00DE12A3" w:rsidRPr="00DE12A3" w14:paraId="69B767A5" w14:textId="77777777" w:rsidTr="009F4766">
        <w:tc>
          <w:tcPr>
            <w:tcW w:w="1182" w:type="dxa"/>
            <w:tcBorders>
              <w:top w:val="single" w:sz="2" w:space="0" w:color="auto"/>
              <w:left w:val="single" w:sz="2" w:space="0" w:color="auto"/>
              <w:bottom w:val="single" w:sz="2" w:space="0" w:color="auto"/>
              <w:right w:val="single" w:sz="2" w:space="0" w:color="auto"/>
            </w:tcBorders>
          </w:tcPr>
          <w:p w14:paraId="3FE52D8F" w14:textId="77777777" w:rsidR="009F4766" w:rsidRPr="00DE12A3" w:rsidRDefault="009F4766" w:rsidP="00C917D6">
            <w:pPr>
              <w:pStyle w:val="NormalLeft"/>
            </w:pPr>
            <w:r w:rsidRPr="00DE12A3">
              <w:t>255</w:t>
            </w:r>
          </w:p>
        </w:tc>
        <w:tc>
          <w:tcPr>
            <w:tcW w:w="2489" w:type="dxa"/>
            <w:tcBorders>
              <w:top w:val="single" w:sz="2" w:space="0" w:color="auto"/>
              <w:left w:val="single" w:sz="2" w:space="0" w:color="auto"/>
              <w:bottom w:val="single" w:sz="2" w:space="0" w:color="auto"/>
              <w:right w:val="single" w:sz="2" w:space="0" w:color="auto"/>
            </w:tcBorders>
          </w:tcPr>
          <w:p w14:paraId="5611A369" w14:textId="77777777" w:rsidR="009F4766" w:rsidRPr="00DE12A3" w:rsidRDefault="009F4766" w:rsidP="00C917D6">
            <w:pPr>
              <w:pStyle w:val="NormalLeft"/>
            </w:pPr>
            <w:r w:rsidRPr="00DE12A3">
              <w:t>103</w:t>
            </w:r>
          </w:p>
        </w:tc>
        <w:tc>
          <w:tcPr>
            <w:tcW w:w="2551" w:type="dxa"/>
            <w:tcBorders>
              <w:top w:val="single" w:sz="2" w:space="0" w:color="auto"/>
              <w:left w:val="single" w:sz="2" w:space="0" w:color="auto"/>
              <w:bottom w:val="single" w:sz="2" w:space="0" w:color="auto"/>
              <w:right w:val="single" w:sz="2" w:space="0" w:color="auto"/>
            </w:tcBorders>
          </w:tcPr>
          <w:p w14:paraId="7DB6D286" w14:textId="77777777" w:rsidR="009F4766" w:rsidRPr="00DE12A3" w:rsidRDefault="009F4766" w:rsidP="00C917D6">
            <w:pPr>
              <w:pStyle w:val="NormalLeft"/>
            </w:pPr>
            <w:r w:rsidRPr="00DE12A3">
              <w:t>85</w:t>
            </w:r>
          </w:p>
        </w:tc>
      </w:tr>
      <w:tr w:rsidR="00DE12A3" w:rsidRPr="00DE12A3" w14:paraId="3AF82161" w14:textId="77777777" w:rsidTr="009F4766">
        <w:tc>
          <w:tcPr>
            <w:tcW w:w="1182" w:type="dxa"/>
            <w:tcBorders>
              <w:top w:val="single" w:sz="2" w:space="0" w:color="auto"/>
              <w:left w:val="single" w:sz="2" w:space="0" w:color="auto"/>
              <w:bottom w:val="single" w:sz="2" w:space="0" w:color="auto"/>
              <w:right w:val="single" w:sz="2" w:space="0" w:color="auto"/>
            </w:tcBorders>
          </w:tcPr>
          <w:p w14:paraId="3C1026A5" w14:textId="77777777" w:rsidR="009F4766" w:rsidRPr="00DE12A3" w:rsidRDefault="009F4766" w:rsidP="00C917D6">
            <w:pPr>
              <w:pStyle w:val="NormalLeft"/>
            </w:pPr>
            <w:r w:rsidRPr="00DE12A3">
              <w:t>256</w:t>
            </w:r>
          </w:p>
        </w:tc>
        <w:tc>
          <w:tcPr>
            <w:tcW w:w="2489" w:type="dxa"/>
            <w:tcBorders>
              <w:top w:val="single" w:sz="2" w:space="0" w:color="auto"/>
              <w:left w:val="single" w:sz="2" w:space="0" w:color="auto"/>
              <w:bottom w:val="single" w:sz="2" w:space="0" w:color="auto"/>
              <w:right w:val="single" w:sz="2" w:space="0" w:color="auto"/>
            </w:tcBorders>
          </w:tcPr>
          <w:p w14:paraId="52A74B87" w14:textId="77777777" w:rsidR="009F4766" w:rsidRPr="00DE12A3" w:rsidRDefault="009F4766" w:rsidP="00C917D6">
            <w:pPr>
              <w:pStyle w:val="NormalLeft"/>
            </w:pPr>
            <w:r w:rsidRPr="00DE12A3">
              <w:t>102</w:t>
            </w:r>
          </w:p>
        </w:tc>
        <w:tc>
          <w:tcPr>
            <w:tcW w:w="2551" w:type="dxa"/>
            <w:tcBorders>
              <w:top w:val="single" w:sz="2" w:space="0" w:color="auto"/>
              <w:left w:val="single" w:sz="2" w:space="0" w:color="auto"/>
              <w:bottom w:val="single" w:sz="2" w:space="0" w:color="auto"/>
              <w:right w:val="single" w:sz="2" w:space="0" w:color="auto"/>
            </w:tcBorders>
          </w:tcPr>
          <w:p w14:paraId="77094DBC" w14:textId="77777777" w:rsidR="009F4766" w:rsidRPr="00DE12A3" w:rsidRDefault="009F4766" w:rsidP="00C917D6">
            <w:pPr>
              <w:pStyle w:val="NormalLeft"/>
            </w:pPr>
            <w:r w:rsidRPr="00DE12A3">
              <w:t>84</w:t>
            </w:r>
          </w:p>
        </w:tc>
      </w:tr>
      <w:tr w:rsidR="00DE12A3" w:rsidRPr="00DE12A3" w14:paraId="1F7326E8" w14:textId="77777777" w:rsidTr="009F4766">
        <w:tc>
          <w:tcPr>
            <w:tcW w:w="1182" w:type="dxa"/>
            <w:tcBorders>
              <w:top w:val="single" w:sz="2" w:space="0" w:color="auto"/>
              <w:left w:val="single" w:sz="2" w:space="0" w:color="auto"/>
              <w:bottom w:val="single" w:sz="2" w:space="0" w:color="auto"/>
              <w:right w:val="single" w:sz="2" w:space="0" w:color="auto"/>
            </w:tcBorders>
          </w:tcPr>
          <w:p w14:paraId="5C255849" w14:textId="77777777" w:rsidR="009F4766" w:rsidRPr="00DE12A3" w:rsidRDefault="009F4766" w:rsidP="00C917D6">
            <w:pPr>
              <w:pStyle w:val="NormalLeft"/>
            </w:pPr>
            <w:r w:rsidRPr="00DE12A3">
              <w:t>257</w:t>
            </w:r>
          </w:p>
        </w:tc>
        <w:tc>
          <w:tcPr>
            <w:tcW w:w="2489" w:type="dxa"/>
            <w:tcBorders>
              <w:top w:val="single" w:sz="2" w:space="0" w:color="auto"/>
              <w:left w:val="single" w:sz="2" w:space="0" w:color="auto"/>
              <w:bottom w:val="single" w:sz="2" w:space="0" w:color="auto"/>
              <w:right w:val="single" w:sz="2" w:space="0" w:color="auto"/>
            </w:tcBorders>
          </w:tcPr>
          <w:p w14:paraId="1FB8BE64" w14:textId="77777777" w:rsidR="009F4766" w:rsidRPr="00DE12A3" w:rsidRDefault="009F4766" w:rsidP="00C917D6">
            <w:pPr>
              <w:pStyle w:val="NormalLeft"/>
            </w:pPr>
            <w:r w:rsidRPr="00DE12A3">
              <w:t>58</w:t>
            </w:r>
          </w:p>
        </w:tc>
        <w:tc>
          <w:tcPr>
            <w:tcW w:w="2551" w:type="dxa"/>
            <w:tcBorders>
              <w:top w:val="single" w:sz="2" w:space="0" w:color="auto"/>
              <w:left w:val="single" w:sz="2" w:space="0" w:color="auto"/>
              <w:bottom w:val="single" w:sz="2" w:space="0" w:color="auto"/>
              <w:right w:val="single" w:sz="2" w:space="0" w:color="auto"/>
            </w:tcBorders>
          </w:tcPr>
          <w:p w14:paraId="0D6CBBF4" w14:textId="77777777" w:rsidR="009F4766" w:rsidRPr="00DE12A3" w:rsidRDefault="009F4766" w:rsidP="00C917D6">
            <w:pPr>
              <w:pStyle w:val="NormalLeft"/>
            </w:pPr>
            <w:r w:rsidRPr="00DE12A3">
              <w:t>66</w:t>
            </w:r>
          </w:p>
        </w:tc>
      </w:tr>
      <w:tr w:rsidR="00DE12A3" w:rsidRPr="00DE12A3" w14:paraId="3148FB0C" w14:textId="77777777" w:rsidTr="009F4766">
        <w:tc>
          <w:tcPr>
            <w:tcW w:w="1182" w:type="dxa"/>
            <w:tcBorders>
              <w:top w:val="single" w:sz="2" w:space="0" w:color="auto"/>
              <w:left w:val="single" w:sz="2" w:space="0" w:color="auto"/>
              <w:bottom w:val="single" w:sz="2" w:space="0" w:color="auto"/>
              <w:right w:val="single" w:sz="2" w:space="0" w:color="auto"/>
            </w:tcBorders>
          </w:tcPr>
          <w:p w14:paraId="1FA84CA7" w14:textId="77777777" w:rsidR="009F4766" w:rsidRPr="00DE12A3" w:rsidRDefault="009F4766" w:rsidP="00C917D6">
            <w:pPr>
              <w:pStyle w:val="NormalLeft"/>
            </w:pPr>
            <w:r w:rsidRPr="00DE12A3">
              <w:t>258</w:t>
            </w:r>
          </w:p>
        </w:tc>
        <w:tc>
          <w:tcPr>
            <w:tcW w:w="2489" w:type="dxa"/>
            <w:tcBorders>
              <w:top w:val="single" w:sz="2" w:space="0" w:color="auto"/>
              <w:left w:val="single" w:sz="2" w:space="0" w:color="auto"/>
              <w:bottom w:val="single" w:sz="2" w:space="0" w:color="auto"/>
              <w:right w:val="single" w:sz="2" w:space="0" w:color="auto"/>
            </w:tcBorders>
          </w:tcPr>
          <w:p w14:paraId="16916941" w14:textId="77777777" w:rsidR="009F4766" w:rsidRPr="00DE12A3" w:rsidRDefault="009F4766" w:rsidP="00C917D6">
            <w:pPr>
              <w:pStyle w:val="NormalLeft"/>
            </w:pPr>
            <w:r w:rsidRPr="00DE12A3">
              <w:t>64</w:t>
            </w:r>
          </w:p>
        </w:tc>
        <w:tc>
          <w:tcPr>
            <w:tcW w:w="2551" w:type="dxa"/>
            <w:tcBorders>
              <w:top w:val="single" w:sz="2" w:space="0" w:color="auto"/>
              <w:left w:val="single" w:sz="2" w:space="0" w:color="auto"/>
              <w:bottom w:val="single" w:sz="2" w:space="0" w:color="auto"/>
              <w:right w:val="single" w:sz="2" w:space="0" w:color="auto"/>
            </w:tcBorders>
          </w:tcPr>
          <w:p w14:paraId="637F9A22" w14:textId="77777777" w:rsidR="009F4766" w:rsidRPr="00DE12A3" w:rsidRDefault="009F4766" w:rsidP="00C917D6">
            <w:pPr>
              <w:pStyle w:val="NormalLeft"/>
            </w:pPr>
            <w:r w:rsidRPr="00DE12A3">
              <w:t>97</w:t>
            </w:r>
          </w:p>
        </w:tc>
      </w:tr>
      <w:tr w:rsidR="00DE12A3" w:rsidRPr="00DE12A3" w14:paraId="4CE6E952" w14:textId="77777777" w:rsidTr="009F4766">
        <w:tc>
          <w:tcPr>
            <w:tcW w:w="1182" w:type="dxa"/>
            <w:tcBorders>
              <w:top w:val="single" w:sz="2" w:space="0" w:color="auto"/>
              <w:left w:val="single" w:sz="2" w:space="0" w:color="auto"/>
              <w:bottom w:val="single" w:sz="2" w:space="0" w:color="auto"/>
              <w:right w:val="single" w:sz="2" w:space="0" w:color="auto"/>
            </w:tcBorders>
          </w:tcPr>
          <w:p w14:paraId="57D3B607" w14:textId="77777777" w:rsidR="009F4766" w:rsidRPr="00DE12A3" w:rsidRDefault="009F4766" w:rsidP="00C917D6">
            <w:pPr>
              <w:pStyle w:val="NormalLeft"/>
            </w:pPr>
            <w:r w:rsidRPr="00DE12A3">
              <w:t>259</w:t>
            </w:r>
          </w:p>
        </w:tc>
        <w:tc>
          <w:tcPr>
            <w:tcW w:w="2489" w:type="dxa"/>
            <w:tcBorders>
              <w:top w:val="single" w:sz="2" w:space="0" w:color="auto"/>
              <w:left w:val="single" w:sz="2" w:space="0" w:color="auto"/>
              <w:bottom w:val="single" w:sz="2" w:space="0" w:color="auto"/>
              <w:right w:val="single" w:sz="2" w:space="0" w:color="auto"/>
            </w:tcBorders>
          </w:tcPr>
          <w:p w14:paraId="6FFB0CFF" w14:textId="77777777" w:rsidR="009F4766" w:rsidRPr="00DE12A3" w:rsidRDefault="009F4766" w:rsidP="00C917D6">
            <w:pPr>
              <w:pStyle w:val="NormalLeft"/>
            </w:pPr>
            <w:r w:rsidRPr="00DE12A3">
              <w:t>56</w:t>
            </w:r>
          </w:p>
        </w:tc>
        <w:tc>
          <w:tcPr>
            <w:tcW w:w="2551" w:type="dxa"/>
            <w:tcBorders>
              <w:top w:val="single" w:sz="2" w:space="0" w:color="auto"/>
              <w:left w:val="single" w:sz="2" w:space="0" w:color="auto"/>
              <w:bottom w:val="single" w:sz="2" w:space="0" w:color="auto"/>
              <w:right w:val="single" w:sz="2" w:space="0" w:color="auto"/>
            </w:tcBorders>
          </w:tcPr>
          <w:p w14:paraId="0D2E8668" w14:textId="77777777" w:rsidR="009F4766" w:rsidRPr="00DE12A3" w:rsidRDefault="009F4766" w:rsidP="00C917D6">
            <w:pPr>
              <w:pStyle w:val="NormalLeft"/>
            </w:pPr>
            <w:r w:rsidRPr="00DE12A3">
              <w:t>80</w:t>
            </w:r>
          </w:p>
        </w:tc>
      </w:tr>
      <w:tr w:rsidR="00DE12A3" w:rsidRPr="00DE12A3" w14:paraId="3EC33EF3" w14:textId="77777777" w:rsidTr="009F4766">
        <w:tc>
          <w:tcPr>
            <w:tcW w:w="1182" w:type="dxa"/>
            <w:tcBorders>
              <w:top w:val="single" w:sz="2" w:space="0" w:color="auto"/>
              <w:left w:val="single" w:sz="2" w:space="0" w:color="auto"/>
              <w:bottom w:val="single" w:sz="2" w:space="0" w:color="auto"/>
              <w:right w:val="single" w:sz="2" w:space="0" w:color="auto"/>
            </w:tcBorders>
          </w:tcPr>
          <w:p w14:paraId="5191C8B4" w14:textId="77777777" w:rsidR="009F4766" w:rsidRPr="00DE12A3" w:rsidRDefault="009F4766" w:rsidP="00C917D6">
            <w:pPr>
              <w:pStyle w:val="NormalLeft"/>
            </w:pPr>
            <w:r w:rsidRPr="00DE12A3">
              <w:lastRenderedPageBreak/>
              <w:t>260</w:t>
            </w:r>
          </w:p>
        </w:tc>
        <w:tc>
          <w:tcPr>
            <w:tcW w:w="2489" w:type="dxa"/>
            <w:tcBorders>
              <w:top w:val="single" w:sz="2" w:space="0" w:color="auto"/>
              <w:left w:val="single" w:sz="2" w:space="0" w:color="auto"/>
              <w:bottom w:val="single" w:sz="2" w:space="0" w:color="auto"/>
              <w:right w:val="single" w:sz="2" w:space="0" w:color="auto"/>
            </w:tcBorders>
          </w:tcPr>
          <w:p w14:paraId="60CD7A07" w14:textId="77777777" w:rsidR="009F4766" w:rsidRPr="00DE12A3" w:rsidRDefault="009F4766" w:rsidP="00C917D6">
            <w:pPr>
              <w:pStyle w:val="NormalLeft"/>
            </w:pPr>
            <w:r w:rsidRPr="00DE12A3">
              <w:t>51</w:t>
            </w:r>
          </w:p>
        </w:tc>
        <w:tc>
          <w:tcPr>
            <w:tcW w:w="2551" w:type="dxa"/>
            <w:tcBorders>
              <w:top w:val="single" w:sz="2" w:space="0" w:color="auto"/>
              <w:left w:val="single" w:sz="2" w:space="0" w:color="auto"/>
              <w:bottom w:val="single" w:sz="2" w:space="0" w:color="auto"/>
              <w:right w:val="single" w:sz="2" w:space="0" w:color="auto"/>
            </w:tcBorders>
          </w:tcPr>
          <w:p w14:paraId="45CF5A2D" w14:textId="77777777" w:rsidR="009F4766" w:rsidRPr="00DE12A3" w:rsidRDefault="009F4766" w:rsidP="00C917D6">
            <w:pPr>
              <w:pStyle w:val="NormalLeft"/>
            </w:pPr>
            <w:r w:rsidRPr="00DE12A3">
              <w:t>67</w:t>
            </w:r>
          </w:p>
        </w:tc>
      </w:tr>
      <w:tr w:rsidR="00DE12A3" w:rsidRPr="00DE12A3" w14:paraId="6C5EFEAF" w14:textId="77777777" w:rsidTr="009F4766">
        <w:tc>
          <w:tcPr>
            <w:tcW w:w="1182" w:type="dxa"/>
            <w:tcBorders>
              <w:top w:val="single" w:sz="2" w:space="0" w:color="auto"/>
              <w:left w:val="single" w:sz="2" w:space="0" w:color="auto"/>
              <w:bottom w:val="single" w:sz="2" w:space="0" w:color="auto"/>
              <w:right w:val="single" w:sz="2" w:space="0" w:color="auto"/>
            </w:tcBorders>
          </w:tcPr>
          <w:p w14:paraId="6352B882" w14:textId="77777777" w:rsidR="009F4766" w:rsidRPr="00DE12A3" w:rsidRDefault="009F4766" w:rsidP="00C917D6">
            <w:pPr>
              <w:pStyle w:val="NormalLeft"/>
            </w:pPr>
            <w:r w:rsidRPr="00DE12A3">
              <w:t>261</w:t>
            </w:r>
          </w:p>
        </w:tc>
        <w:tc>
          <w:tcPr>
            <w:tcW w:w="2489" w:type="dxa"/>
            <w:tcBorders>
              <w:top w:val="single" w:sz="2" w:space="0" w:color="auto"/>
              <w:left w:val="single" w:sz="2" w:space="0" w:color="auto"/>
              <w:bottom w:val="single" w:sz="2" w:space="0" w:color="auto"/>
              <w:right w:val="single" w:sz="2" w:space="0" w:color="auto"/>
            </w:tcBorders>
          </w:tcPr>
          <w:p w14:paraId="777D30F5" w14:textId="77777777" w:rsidR="009F4766" w:rsidRPr="00DE12A3" w:rsidRDefault="009F4766" w:rsidP="00C917D6">
            <w:pPr>
              <w:pStyle w:val="NormalLeft"/>
            </w:pPr>
            <w:r w:rsidRPr="00DE12A3">
              <w:t>52</w:t>
            </w:r>
          </w:p>
        </w:tc>
        <w:tc>
          <w:tcPr>
            <w:tcW w:w="2551" w:type="dxa"/>
            <w:tcBorders>
              <w:top w:val="single" w:sz="2" w:space="0" w:color="auto"/>
              <w:left w:val="single" w:sz="2" w:space="0" w:color="auto"/>
              <w:bottom w:val="single" w:sz="2" w:space="0" w:color="auto"/>
              <w:right w:val="single" w:sz="2" w:space="0" w:color="auto"/>
            </w:tcBorders>
          </w:tcPr>
          <w:p w14:paraId="18CC3020" w14:textId="77777777" w:rsidR="009F4766" w:rsidRPr="00DE12A3" w:rsidRDefault="009F4766" w:rsidP="00C917D6">
            <w:pPr>
              <w:pStyle w:val="NormalLeft"/>
            </w:pPr>
            <w:r w:rsidRPr="00DE12A3">
              <w:t>96</w:t>
            </w:r>
          </w:p>
        </w:tc>
      </w:tr>
      <w:tr w:rsidR="00DE12A3" w:rsidRPr="00DE12A3" w14:paraId="6B84C975" w14:textId="77777777" w:rsidTr="009F4766">
        <w:tc>
          <w:tcPr>
            <w:tcW w:w="1182" w:type="dxa"/>
            <w:tcBorders>
              <w:top w:val="single" w:sz="2" w:space="0" w:color="auto"/>
              <w:left w:val="single" w:sz="2" w:space="0" w:color="auto"/>
              <w:bottom w:val="single" w:sz="2" w:space="0" w:color="auto"/>
              <w:right w:val="single" w:sz="2" w:space="0" w:color="auto"/>
            </w:tcBorders>
          </w:tcPr>
          <w:p w14:paraId="135D6F38" w14:textId="77777777" w:rsidR="009F4766" w:rsidRPr="00DE12A3" w:rsidRDefault="009F4766" w:rsidP="00C917D6">
            <w:pPr>
              <w:pStyle w:val="NormalLeft"/>
            </w:pPr>
            <w:r w:rsidRPr="00DE12A3">
              <w:t>262</w:t>
            </w:r>
          </w:p>
        </w:tc>
        <w:tc>
          <w:tcPr>
            <w:tcW w:w="2489" w:type="dxa"/>
            <w:tcBorders>
              <w:top w:val="single" w:sz="2" w:space="0" w:color="auto"/>
              <w:left w:val="single" w:sz="2" w:space="0" w:color="auto"/>
              <w:bottom w:val="single" w:sz="2" w:space="0" w:color="auto"/>
              <w:right w:val="single" w:sz="2" w:space="0" w:color="auto"/>
            </w:tcBorders>
          </w:tcPr>
          <w:p w14:paraId="028083B3" w14:textId="77777777" w:rsidR="009F4766" w:rsidRPr="00DE12A3" w:rsidRDefault="009F4766" w:rsidP="00C917D6">
            <w:pPr>
              <w:pStyle w:val="NormalLeft"/>
            </w:pPr>
            <w:r w:rsidRPr="00DE12A3">
              <w:t>63</w:t>
            </w:r>
          </w:p>
        </w:tc>
        <w:tc>
          <w:tcPr>
            <w:tcW w:w="2551" w:type="dxa"/>
            <w:tcBorders>
              <w:top w:val="single" w:sz="2" w:space="0" w:color="auto"/>
              <w:left w:val="single" w:sz="2" w:space="0" w:color="auto"/>
              <w:bottom w:val="single" w:sz="2" w:space="0" w:color="auto"/>
              <w:right w:val="single" w:sz="2" w:space="0" w:color="auto"/>
            </w:tcBorders>
          </w:tcPr>
          <w:p w14:paraId="17492107" w14:textId="77777777" w:rsidR="009F4766" w:rsidRPr="00DE12A3" w:rsidRDefault="009F4766" w:rsidP="00C917D6">
            <w:pPr>
              <w:pStyle w:val="NormalLeft"/>
            </w:pPr>
            <w:r w:rsidRPr="00DE12A3">
              <w:t>62</w:t>
            </w:r>
          </w:p>
        </w:tc>
      </w:tr>
      <w:tr w:rsidR="00DE12A3" w:rsidRPr="00DE12A3" w14:paraId="19F5E22D" w14:textId="77777777" w:rsidTr="009F4766">
        <w:tc>
          <w:tcPr>
            <w:tcW w:w="1182" w:type="dxa"/>
            <w:tcBorders>
              <w:top w:val="single" w:sz="2" w:space="0" w:color="auto"/>
              <w:left w:val="single" w:sz="2" w:space="0" w:color="auto"/>
              <w:bottom w:val="single" w:sz="2" w:space="0" w:color="auto"/>
              <w:right w:val="single" w:sz="2" w:space="0" w:color="auto"/>
            </w:tcBorders>
          </w:tcPr>
          <w:p w14:paraId="60317C06" w14:textId="77777777" w:rsidR="009F4766" w:rsidRPr="00DE12A3" w:rsidRDefault="009F4766" w:rsidP="00C917D6">
            <w:pPr>
              <w:pStyle w:val="NormalLeft"/>
            </w:pPr>
            <w:r w:rsidRPr="00DE12A3">
              <w:t>263</w:t>
            </w:r>
          </w:p>
        </w:tc>
        <w:tc>
          <w:tcPr>
            <w:tcW w:w="2489" w:type="dxa"/>
            <w:tcBorders>
              <w:top w:val="single" w:sz="2" w:space="0" w:color="auto"/>
              <w:left w:val="single" w:sz="2" w:space="0" w:color="auto"/>
              <w:bottom w:val="single" w:sz="2" w:space="0" w:color="auto"/>
              <w:right w:val="single" w:sz="2" w:space="0" w:color="auto"/>
            </w:tcBorders>
          </w:tcPr>
          <w:p w14:paraId="656FC905" w14:textId="77777777" w:rsidR="009F4766" w:rsidRPr="00DE12A3" w:rsidRDefault="009F4766" w:rsidP="00C917D6">
            <w:pPr>
              <w:pStyle w:val="NormalLeft"/>
            </w:pPr>
            <w:r w:rsidRPr="00DE12A3">
              <w:t>71</w:t>
            </w:r>
          </w:p>
        </w:tc>
        <w:tc>
          <w:tcPr>
            <w:tcW w:w="2551" w:type="dxa"/>
            <w:tcBorders>
              <w:top w:val="single" w:sz="2" w:space="0" w:color="auto"/>
              <w:left w:val="single" w:sz="2" w:space="0" w:color="auto"/>
              <w:bottom w:val="single" w:sz="2" w:space="0" w:color="auto"/>
              <w:right w:val="single" w:sz="2" w:space="0" w:color="auto"/>
            </w:tcBorders>
          </w:tcPr>
          <w:p w14:paraId="0C7FB2AA" w14:textId="77777777" w:rsidR="009F4766" w:rsidRPr="00DE12A3" w:rsidRDefault="009F4766" w:rsidP="00C917D6">
            <w:pPr>
              <w:pStyle w:val="NormalLeft"/>
            </w:pPr>
            <w:r w:rsidRPr="00DE12A3">
              <w:t>6</w:t>
            </w:r>
          </w:p>
        </w:tc>
      </w:tr>
      <w:tr w:rsidR="00DE12A3" w:rsidRPr="00DE12A3" w14:paraId="28DCFE8F" w14:textId="77777777" w:rsidTr="009F4766">
        <w:tc>
          <w:tcPr>
            <w:tcW w:w="1182" w:type="dxa"/>
            <w:tcBorders>
              <w:top w:val="single" w:sz="2" w:space="0" w:color="auto"/>
              <w:left w:val="single" w:sz="2" w:space="0" w:color="auto"/>
              <w:bottom w:val="single" w:sz="2" w:space="0" w:color="auto"/>
              <w:right w:val="single" w:sz="2" w:space="0" w:color="auto"/>
            </w:tcBorders>
          </w:tcPr>
          <w:p w14:paraId="08F29797" w14:textId="77777777" w:rsidR="009F4766" w:rsidRPr="00DE12A3" w:rsidRDefault="009F4766" w:rsidP="00C917D6">
            <w:pPr>
              <w:pStyle w:val="NormalLeft"/>
            </w:pPr>
            <w:r w:rsidRPr="00DE12A3">
              <w:t>264</w:t>
            </w:r>
          </w:p>
        </w:tc>
        <w:tc>
          <w:tcPr>
            <w:tcW w:w="2489" w:type="dxa"/>
            <w:tcBorders>
              <w:top w:val="single" w:sz="2" w:space="0" w:color="auto"/>
              <w:left w:val="single" w:sz="2" w:space="0" w:color="auto"/>
              <w:bottom w:val="single" w:sz="2" w:space="0" w:color="auto"/>
              <w:right w:val="single" w:sz="2" w:space="0" w:color="auto"/>
            </w:tcBorders>
          </w:tcPr>
          <w:p w14:paraId="5DAE3B05" w14:textId="77777777" w:rsidR="009F4766" w:rsidRPr="00DE12A3" w:rsidRDefault="009F4766" w:rsidP="00C917D6">
            <w:pPr>
              <w:pStyle w:val="NormalLeft"/>
            </w:pPr>
            <w:r w:rsidRPr="00DE12A3">
              <w:t>33</w:t>
            </w:r>
          </w:p>
        </w:tc>
        <w:tc>
          <w:tcPr>
            <w:tcW w:w="2551" w:type="dxa"/>
            <w:tcBorders>
              <w:top w:val="single" w:sz="2" w:space="0" w:color="auto"/>
              <w:left w:val="single" w:sz="2" w:space="0" w:color="auto"/>
              <w:bottom w:val="single" w:sz="2" w:space="0" w:color="auto"/>
              <w:right w:val="single" w:sz="2" w:space="0" w:color="auto"/>
            </w:tcBorders>
          </w:tcPr>
          <w:p w14:paraId="001B0D61" w14:textId="77777777" w:rsidR="009F4766" w:rsidRPr="00DE12A3" w:rsidRDefault="009F4766" w:rsidP="00C917D6">
            <w:pPr>
              <w:pStyle w:val="NormalLeft"/>
            </w:pPr>
            <w:r w:rsidRPr="00DE12A3">
              <w:t>16</w:t>
            </w:r>
          </w:p>
        </w:tc>
      </w:tr>
      <w:tr w:rsidR="00DE12A3" w:rsidRPr="00DE12A3" w14:paraId="60E83AA6" w14:textId="77777777" w:rsidTr="009F4766">
        <w:tc>
          <w:tcPr>
            <w:tcW w:w="1182" w:type="dxa"/>
            <w:tcBorders>
              <w:top w:val="single" w:sz="2" w:space="0" w:color="auto"/>
              <w:left w:val="single" w:sz="2" w:space="0" w:color="auto"/>
              <w:bottom w:val="single" w:sz="2" w:space="0" w:color="auto"/>
              <w:right w:val="single" w:sz="2" w:space="0" w:color="auto"/>
            </w:tcBorders>
          </w:tcPr>
          <w:p w14:paraId="411E6FE5" w14:textId="77777777" w:rsidR="009F4766" w:rsidRPr="00DE12A3" w:rsidRDefault="009F4766" w:rsidP="00C917D6">
            <w:pPr>
              <w:pStyle w:val="NormalLeft"/>
            </w:pPr>
            <w:r w:rsidRPr="00DE12A3">
              <w:t>265</w:t>
            </w:r>
          </w:p>
        </w:tc>
        <w:tc>
          <w:tcPr>
            <w:tcW w:w="2489" w:type="dxa"/>
            <w:tcBorders>
              <w:top w:val="single" w:sz="2" w:space="0" w:color="auto"/>
              <w:left w:val="single" w:sz="2" w:space="0" w:color="auto"/>
              <w:bottom w:val="single" w:sz="2" w:space="0" w:color="auto"/>
              <w:right w:val="single" w:sz="2" w:space="0" w:color="auto"/>
            </w:tcBorders>
          </w:tcPr>
          <w:p w14:paraId="47B7720B" w14:textId="77777777" w:rsidR="009F4766" w:rsidRPr="00DE12A3" w:rsidRDefault="009F4766" w:rsidP="00C917D6">
            <w:pPr>
              <w:pStyle w:val="NormalLeft"/>
            </w:pPr>
            <w:r w:rsidRPr="00DE12A3">
              <w:t>47</w:t>
            </w:r>
          </w:p>
        </w:tc>
        <w:tc>
          <w:tcPr>
            <w:tcW w:w="2551" w:type="dxa"/>
            <w:tcBorders>
              <w:top w:val="single" w:sz="2" w:space="0" w:color="auto"/>
              <w:left w:val="single" w:sz="2" w:space="0" w:color="auto"/>
              <w:bottom w:val="single" w:sz="2" w:space="0" w:color="auto"/>
              <w:right w:val="single" w:sz="2" w:space="0" w:color="auto"/>
            </w:tcBorders>
          </w:tcPr>
          <w:p w14:paraId="639EDF45" w14:textId="77777777" w:rsidR="009F4766" w:rsidRPr="00DE12A3" w:rsidRDefault="009F4766" w:rsidP="00C917D6">
            <w:pPr>
              <w:pStyle w:val="NormalLeft"/>
            </w:pPr>
            <w:r w:rsidRPr="00DE12A3">
              <w:t>45</w:t>
            </w:r>
          </w:p>
        </w:tc>
      </w:tr>
      <w:tr w:rsidR="00DE12A3" w:rsidRPr="00DE12A3" w14:paraId="3054BE51" w14:textId="77777777" w:rsidTr="009F4766">
        <w:tc>
          <w:tcPr>
            <w:tcW w:w="1182" w:type="dxa"/>
            <w:tcBorders>
              <w:top w:val="single" w:sz="2" w:space="0" w:color="auto"/>
              <w:left w:val="single" w:sz="2" w:space="0" w:color="auto"/>
              <w:bottom w:val="single" w:sz="2" w:space="0" w:color="auto"/>
              <w:right w:val="single" w:sz="2" w:space="0" w:color="auto"/>
            </w:tcBorders>
          </w:tcPr>
          <w:p w14:paraId="481ED150" w14:textId="77777777" w:rsidR="009F4766" w:rsidRPr="00DE12A3" w:rsidRDefault="009F4766" w:rsidP="00C917D6">
            <w:pPr>
              <w:pStyle w:val="NormalLeft"/>
            </w:pPr>
            <w:r w:rsidRPr="00DE12A3">
              <w:t>266</w:t>
            </w:r>
          </w:p>
        </w:tc>
        <w:tc>
          <w:tcPr>
            <w:tcW w:w="2489" w:type="dxa"/>
            <w:tcBorders>
              <w:top w:val="single" w:sz="2" w:space="0" w:color="auto"/>
              <w:left w:val="single" w:sz="2" w:space="0" w:color="auto"/>
              <w:bottom w:val="single" w:sz="2" w:space="0" w:color="auto"/>
              <w:right w:val="single" w:sz="2" w:space="0" w:color="auto"/>
            </w:tcBorders>
          </w:tcPr>
          <w:p w14:paraId="6150D030" w14:textId="77777777" w:rsidR="009F4766" w:rsidRPr="00DE12A3" w:rsidRDefault="009F4766" w:rsidP="00C917D6">
            <w:pPr>
              <w:pStyle w:val="NormalLeft"/>
            </w:pPr>
            <w:r w:rsidRPr="00DE12A3">
              <w:t>43</w:t>
            </w:r>
          </w:p>
        </w:tc>
        <w:tc>
          <w:tcPr>
            <w:tcW w:w="2551" w:type="dxa"/>
            <w:tcBorders>
              <w:top w:val="single" w:sz="2" w:space="0" w:color="auto"/>
              <w:left w:val="single" w:sz="2" w:space="0" w:color="auto"/>
              <w:bottom w:val="single" w:sz="2" w:space="0" w:color="auto"/>
              <w:right w:val="single" w:sz="2" w:space="0" w:color="auto"/>
            </w:tcBorders>
          </w:tcPr>
          <w:p w14:paraId="744FB161" w14:textId="77777777" w:rsidR="009F4766" w:rsidRPr="00DE12A3" w:rsidRDefault="009F4766" w:rsidP="00C917D6">
            <w:pPr>
              <w:pStyle w:val="NormalLeft"/>
            </w:pPr>
            <w:r w:rsidRPr="00DE12A3">
              <w:t>56</w:t>
            </w:r>
          </w:p>
        </w:tc>
      </w:tr>
      <w:tr w:rsidR="00DE12A3" w:rsidRPr="00DE12A3" w14:paraId="037C4358" w14:textId="77777777" w:rsidTr="009F4766">
        <w:tc>
          <w:tcPr>
            <w:tcW w:w="1182" w:type="dxa"/>
            <w:tcBorders>
              <w:top w:val="single" w:sz="2" w:space="0" w:color="auto"/>
              <w:left w:val="single" w:sz="2" w:space="0" w:color="auto"/>
              <w:bottom w:val="single" w:sz="2" w:space="0" w:color="auto"/>
              <w:right w:val="single" w:sz="2" w:space="0" w:color="auto"/>
            </w:tcBorders>
          </w:tcPr>
          <w:p w14:paraId="3E15E871" w14:textId="77777777" w:rsidR="009F4766" w:rsidRPr="00DE12A3" w:rsidRDefault="009F4766" w:rsidP="00C917D6">
            <w:pPr>
              <w:pStyle w:val="NormalLeft"/>
            </w:pPr>
            <w:r w:rsidRPr="00DE12A3">
              <w:t>267</w:t>
            </w:r>
          </w:p>
        </w:tc>
        <w:tc>
          <w:tcPr>
            <w:tcW w:w="2489" w:type="dxa"/>
            <w:tcBorders>
              <w:top w:val="single" w:sz="2" w:space="0" w:color="auto"/>
              <w:left w:val="single" w:sz="2" w:space="0" w:color="auto"/>
              <w:bottom w:val="single" w:sz="2" w:space="0" w:color="auto"/>
              <w:right w:val="single" w:sz="2" w:space="0" w:color="auto"/>
            </w:tcBorders>
          </w:tcPr>
          <w:p w14:paraId="698307AC" w14:textId="77777777" w:rsidR="009F4766" w:rsidRPr="00DE12A3" w:rsidRDefault="009F4766" w:rsidP="00C917D6">
            <w:pPr>
              <w:pStyle w:val="NormalLeft"/>
            </w:pPr>
            <w:r w:rsidRPr="00DE12A3">
              <w:t>42</w:t>
            </w:r>
          </w:p>
        </w:tc>
        <w:tc>
          <w:tcPr>
            <w:tcW w:w="2551" w:type="dxa"/>
            <w:tcBorders>
              <w:top w:val="single" w:sz="2" w:space="0" w:color="auto"/>
              <w:left w:val="single" w:sz="2" w:space="0" w:color="auto"/>
              <w:bottom w:val="single" w:sz="2" w:space="0" w:color="auto"/>
              <w:right w:val="single" w:sz="2" w:space="0" w:color="auto"/>
            </w:tcBorders>
          </w:tcPr>
          <w:p w14:paraId="62CA3C68" w14:textId="77777777" w:rsidR="009F4766" w:rsidRPr="00DE12A3" w:rsidRDefault="009F4766" w:rsidP="00C917D6">
            <w:pPr>
              <w:pStyle w:val="NormalLeft"/>
            </w:pPr>
            <w:r w:rsidRPr="00DE12A3">
              <w:t>27</w:t>
            </w:r>
          </w:p>
        </w:tc>
      </w:tr>
      <w:tr w:rsidR="00DE12A3" w:rsidRPr="00DE12A3" w14:paraId="4AD49B83" w14:textId="77777777" w:rsidTr="009F4766">
        <w:tc>
          <w:tcPr>
            <w:tcW w:w="1182" w:type="dxa"/>
            <w:tcBorders>
              <w:top w:val="single" w:sz="2" w:space="0" w:color="auto"/>
              <w:left w:val="single" w:sz="2" w:space="0" w:color="auto"/>
              <w:bottom w:val="single" w:sz="2" w:space="0" w:color="auto"/>
              <w:right w:val="single" w:sz="2" w:space="0" w:color="auto"/>
            </w:tcBorders>
          </w:tcPr>
          <w:p w14:paraId="5130271D" w14:textId="77777777" w:rsidR="009F4766" w:rsidRPr="00DE12A3" w:rsidRDefault="009F4766" w:rsidP="00C917D6">
            <w:pPr>
              <w:pStyle w:val="NormalLeft"/>
            </w:pPr>
            <w:r w:rsidRPr="00DE12A3">
              <w:t>268</w:t>
            </w:r>
          </w:p>
        </w:tc>
        <w:tc>
          <w:tcPr>
            <w:tcW w:w="2489" w:type="dxa"/>
            <w:tcBorders>
              <w:top w:val="single" w:sz="2" w:space="0" w:color="auto"/>
              <w:left w:val="single" w:sz="2" w:space="0" w:color="auto"/>
              <w:bottom w:val="single" w:sz="2" w:space="0" w:color="auto"/>
              <w:right w:val="single" w:sz="2" w:space="0" w:color="auto"/>
            </w:tcBorders>
          </w:tcPr>
          <w:p w14:paraId="3F595A74" w14:textId="77777777" w:rsidR="009F4766" w:rsidRPr="00DE12A3" w:rsidRDefault="009F4766" w:rsidP="00C917D6">
            <w:pPr>
              <w:pStyle w:val="NormalLeft"/>
            </w:pPr>
            <w:r w:rsidRPr="00DE12A3">
              <w:t>42</w:t>
            </w:r>
          </w:p>
        </w:tc>
        <w:tc>
          <w:tcPr>
            <w:tcW w:w="2551" w:type="dxa"/>
            <w:tcBorders>
              <w:top w:val="single" w:sz="2" w:space="0" w:color="auto"/>
              <w:left w:val="single" w:sz="2" w:space="0" w:color="auto"/>
              <w:bottom w:val="single" w:sz="2" w:space="0" w:color="auto"/>
              <w:right w:val="single" w:sz="2" w:space="0" w:color="auto"/>
            </w:tcBorders>
          </w:tcPr>
          <w:p w14:paraId="61EFE297" w14:textId="77777777" w:rsidR="009F4766" w:rsidRPr="00DE12A3" w:rsidRDefault="009F4766" w:rsidP="00C917D6">
            <w:pPr>
              <w:pStyle w:val="NormalLeft"/>
            </w:pPr>
            <w:r w:rsidRPr="00DE12A3">
              <w:t>64</w:t>
            </w:r>
          </w:p>
        </w:tc>
      </w:tr>
      <w:tr w:rsidR="00DE12A3" w:rsidRPr="00DE12A3" w14:paraId="3A21E099" w14:textId="77777777" w:rsidTr="009F4766">
        <w:tc>
          <w:tcPr>
            <w:tcW w:w="1182" w:type="dxa"/>
            <w:tcBorders>
              <w:top w:val="single" w:sz="2" w:space="0" w:color="auto"/>
              <w:left w:val="single" w:sz="2" w:space="0" w:color="auto"/>
              <w:bottom w:val="single" w:sz="2" w:space="0" w:color="auto"/>
              <w:right w:val="single" w:sz="2" w:space="0" w:color="auto"/>
            </w:tcBorders>
          </w:tcPr>
          <w:p w14:paraId="595ED691" w14:textId="77777777" w:rsidR="009F4766" w:rsidRPr="00DE12A3" w:rsidRDefault="009F4766" w:rsidP="00C917D6">
            <w:pPr>
              <w:pStyle w:val="NormalLeft"/>
            </w:pPr>
            <w:r w:rsidRPr="00DE12A3">
              <w:t>269</w:t>
            </w:r>
          </w:p>
        </w:tc>
        <w:tc>
          <w:tcPr>
            <w:tcW w:w="2489" w:type="dxa"/>
            <w:tcBorders>
              <w:top w:val="single" w:sz="2" w:space="0" w:color="auto"/>
              <w:left w:val="single" w:sz="2" w:space="0" w:color="auto"/>
              <w:bottom w:val="single" w:sz="2" w:space="0" w:color="auto"/>
              <w:right w:val="single" w:sz="2" w:space="0" w:color="auto"/>
            </w:tcBorders>
          </w:tcPr>
          <w:p w14:paraId="265A5AAF" w14:textId="77777777" w:rsidR="009F4766" w:rsidRPr="00DE12A3" w:rsidRDefault="009F4766" w:rsidP="00C917D6">
            <w:pPr>
              <w:pStyle w:val="NormalLeft"/>
            </w:pPr>
            <w:r w:rsidRPr="00DE12A3">
              <w:t>75</w:t>
            </w:r>
          </w:p>
        </w:tc>
        <w:tc>
          <w:tcPr>
            <w:tcW w:w="2551" w:type="dxa"/>
            <w:tcBorders>
              <w:top w:val="single" w:sz="2" w:space="0" w:color="auto"/>
              <w:left w:val="single" w:sz="2" w:space="0" w:color="auto"/>
              <w:bottom w:val="single" w:sz="2" w:space="0" w:color="auto"/>
              <w:right w:val="single" w:sz="2" w:space="0" w:color="auto"/>
            </w:tcBorders>
          </w:tcPr>
          <w:p w14:paraId="7355B587" w14:textId="77777777" w:rsidR="009F4766" w:rsidRPr="00DE12A3" w:rsidRDefault="009F4766" w:rsidP="00C917D6">
            <w:pPr>
              <w:pStyle w:val="NormalLeft"/>
            </w:pPr>
            <w:r w:rsidRPr="00DE12A3">
              <w:t>74</w:t>
            </w:r>
          </w:p>
        </w:tc>
      </w:tr>
      <w:tr w:rsidR="00DE12A3" w:rsidRPr="00DE12A3" w14:paraId="4AB2C861" w14:textId="77777777" w:rsidTr="009F4766">
        <w:tc>
          <w:tcPr>
            <w:tcW w:w="1182" w:type="dxa"/>
            <w:tcBorders>
              <w:top w:val="single" w:sz="2" w:space="0" w:color="auto"/>
              <w:left w:val="single" w:sz="2" w:space="0" w:color="auto"/>
              <w:bottom w:val="single" w:sz="2" w:space="0" w:color="auto"/>
              <w:right w:val="single" w:sz="2" w:space="0" w:color="auto"/>
            </w:tcBorders>
          </w:tcPr>
          <w:p w14:paraId="40B21E6E" w14:textId="77777777" w:rsidR="009F4766" w:rsidRPr="00DE12A3" w:rsidRDefault="009F4766" w:rsidP="00C917D6">
            <w:pPr>
              <w:pStyle w:val="NormalLeft"/>
            </w:pPr>
            <w:r w:rsidRPr="00DE12A3">
              <w:t>270</w:t>
            </w:r>
          </w:p>
        </w:tc>
        <w:tc>
          <w:tcPr>
            <w:tcW w:w="2489" w:type="dxa"/>
            <w:tcBorders>
              <w:top w:val="single" w:sz="2" w:space="0" w:color="auto"/>
              <w:left w:val="single" w:sz="2" w:space="0" w:color="auto"/>
              <w:bottom w:val="single" w:sz="2" w:space="0" w:color="auto"/>
              <w:right w:val="single" w:sz="2" w:space="0" w:color="auto"/>
            </w:tcBorders>
          </w:tcPr>
          <w:p w14:paraId="0C463B6E" w14:textId="77777777" w:rsidR="009F4766" w:rsidRPr="00DE12A3" w:rsidRDefault="009F4766" w:rsidP="00C917D6">
            <w:pPr>
              <w:pStyle w:val="NormalLeft"/>
            </w:pPr>
            <w:r w:rsidRPr="00DE12A3">
              <w:t>68</w:t>
            </w:r>
          </w:p>
        </w:tc>
        <w:tc>
          <w:tcPr>
            <w:tcW w:w="2551" w:type="dxa"/>
            <w:tcBorders>
              <w:top w:val="single" w:sz="2" w:space="0" w:color="auto"/>
              <w:left w:val="single" w:sz="2" w:space="0" w:color="auto"/>
              <w:bottom w:val="single" w:sz="2" w:space="0" w:color="auto"/>
              <w:right w:val="single" w:sz="2" w:space="0" w:color="auto"/>
            </w:tcBorders>
          </w:tcPr>
          <w:p w14:paraId="7D6299CA" w14:textId="77777777" w:rsidR="009F4766" w:rsidRPr="00DE12A3" w:rsidRDefault="009F4766" w:rsidP="00C917D6">
            <w:pPr>
              <w:pStyle w:val="NormalLeft"/>
            </w:pPr>
            <w:r w:rsidRPr="00DE12A3">
              <w:t>96</w:t>
            </w:r>
          </w:p>
        </w:tc>
      </w:tr>
      <w:tr w:rsidR="00DE12A3" w:rsidRPr="00DE12A3" w14:paraId="755EAE7D" w14:textId="77777777" w:rsidTr="009F4766">
        <w:tc>
          <w:tcPr>
            <w:tcW w:w="1182" w:type="dxa"/>
            <w:tcBorders>
              <w:top w:val="single" w:sz="2" w:space="0" w:color="auto"/>
              <w:left w:val="single" w:sz="2" w:space="0" w:color="auto"/>
              <w:bottom w:val="single" w:sz="2" w:space="0" w:color="auto"/>
              <w:right w:val="single" w:sz="2" w:space="0" w:color="auto"/>
            </w:tcBorders>
          </w:tcPr>
          <w:p w14:paraId="47BDFD97" w14:textId="77777777" w:rsidR="009F4766" w:rsidRPr="00DE12A3" w:rsidRDefault="009F4766" w:rsidP="00C917D6">
            <w:pPr>
              <w:pStyle w:val="NormalLeft"/>
            </w:pPr>
            <w:r w:rsidRPr="00DE12A3">
              <w:t>271</w:t>
            </w:r>
          </w:p>
        </w:tc>
        <w:tc>
          <w:tcPr>
            <w:tcW w:w="2489" w:type="dxa"/>
            <w:tcBorders>
              <w:top w:val="single" w:sz="2" w:space="0" w:color="auto"/>
              <w:left w:val="single" w:sz="2" w:space="0" w:color="auto"/>
              <w:bottom w:val="single" w:sz="2" w:space="0" w:color="auto"/>
              <w:right w:val="single" w:sz="2" w:space="0" w:color="auto"/>
            </w:tcBorders>
          </w:tcPr>
          <w:p w14:paraId="5EB66737" w14:textId="77777777" w:rsidR="009F4766" w:rsidRPr="00DE12A3" w:rsidRDefault="009F4766" w:rsidP="00C917D6">
            <w:pPr>
              <w:pStyle w:val="NormalLeft"/>
            </w:pPr>
            <w:r w:rsidRPr="00DE12A3">
              <w:t>86</w:t>
            </w:r>
          </w:p>
        </w:tc>
        <w:tc>
          <w:tcPr>
            <w:tcW w:w="2551" w:type="dxa"/>
            <w:tcBorders>
              <w:top w:val="single" w:sz="2" w:space="0" w:color="auto"/>
              <w:left w:val="single" w:sz="2" w:space="0" w:color="auto"/>
              <w:bottom w:val="single" w:sz="2" w:space="0" w:color="auto"/>
              <w:right w:val="single" w:sz="2" w:space="0" w:color="auto"/>
            </w:tcBorders>
          </w:tcPr>
          <w:p w14:paraId="16A28F43" w14:textId="77777777" w:rsidR="009F4766" w:rsidRPr="00DE12A3" w:rsidRDefault="009F4766" w:rsidP="00C917D6">
            <w:pPr>
              <w:pStyle w:val="NormalLeft"/>
            </w:pPr>
            <w:r w:rsidRPr="00DE12A3">
              <w:t>61</w:t>
            </w:r>
          </w:p>
        </w:tc>
      </w:tr>
      <w:tr w:rsidR="00DE12A3" w:rsidRPr="00DE12A3" w14:paraId="473315C7" w14:textId="77777777" w:rsidTr="009F4766">
        <w:tc>
          <w:tcPr>
            <w:tcW w:w="1182" w:type="dxa"/>
            <w:tcBorders>
              <w:top w:val="single" w:sz="2" w:space="0" w:color="auto"/>
              <w:left w:val="single" w:sz="2" w:space="0" w:color="auto"/>
              <w:bottom w:val="single" w:sz="2" w:space="0" w:color="auto"/>
              <w:right w:val="single" w:sz="2" w:space="0" w:color="auto"/>
            </w:tcBorders>
          </w:tcPr>
          <w:p w14:paraId="4C58F79B" w14:textId="77777777" w:rsidR="009F4766" w:rsidRPr="00DE12A3" w:rsidRDefault="009F4766" w:rsidP="00C917D6">
            <w:pPr>
              <w:pStyle w:val="NormalLeft"/>
            </w:pPr>
            <w:r w:rsidRPr="00DE12A3">
              <w:t>272</w:t>
            </w:r>
          </w:p>
        </w:tc>
        <w:tc>
          <w:tcPr>
            <w:tcW w:w="2489" w:type="dxa"/>
            <w:tcBorders>
              <w:top w:val="single" w:sz="2" w:space="0" w:color="auto"/>
              <w:left w:val="single" w:sz="2" w:space="0" w:color="auto"/>
              <w:bottom w:val="single" w:sz="2" w:space="0" w:color="auto"/>
              <w:right w:val="single" w:sz="2" w:space="0" w:color="auto"/>
            </w:tcBorders>
          </w:tcPr>
          <w:p w14:paraId="0C1FDB70" w14:textId="77777777" w:rsidR="009F4766" w:rsidRPr="00DE12A3" w:rsidRDefault="009F4766" w:rsidP="00C917D6">
            <w:pPr>
              <w:pStyle w:val="NormalLeft"/>
            </w:pPr>
            <w:r w:rsidRPr="00DE12A3">
              <w:t>66</w:t>
            </w:r>
          </w:p>
        </w:tc>
        <w:tc>
          <w:tcPr>
            <w:tcW w:w="2551" w:type="dxa"/>
            <w:tcBorders>
              <w:top w:val="single" w:sz="2" w:space="0" w:color="auto"/>
              <w:left w:val="single" w:sz="2" w:space="0" w:color="auto"/>
              <w:bottom w:val="single" w:sz="2" w:space="0" w:color="auto"/>
              <w:right w:val="single" w:sz="2" w:space="0" w:color="auto"/>
            </w:tcBorders>
          </w:tcPr>
          <w:p w14:paraId="3D322145" w14:textId="77777777" w:rsidR="009F4766" w:rsidRPr="00DE12A3" w:rsidRDefault="009F4766" w:rsidP="00C917D6">
            <w:pPr>
              <w:pStyle w:val="NormalLeft"/>
            </w:pPr>
            <w:r w:rsidRPr="00DE12A3">
              <w:t>0</w:t>
            </w:r>
          </w:p>
        </w:tc>
      </w:tr>
      <w:tr w:rsidR="00DE12A3" w:rsidRPr="00DE12A3" w14:paraId="73463C49" w14:textId="77777777" w:rsidTr="009F4766">
        <w:tc>
          <w:tcPr>
            <w:tcW w:w="1182" w:type="dxa"/>
            <w:tcBorders>
              <w:top w:val="single" w:sz="2" w:space="0" w:color="auto"/>
              <w:left w:val="single" w:sz="2" w:space="0" w:color="auto"/>
              <w:bottom w:val="single" w:sz="2" w:space="0" w:color="auto"/>
              <w:right w:val="single" w:sz="2" w:space="0" w:color="auto"/>
            </w:tcBorders>
          </w:tcPr>
          <w:p w14:paraId="0DD75899" w14:textId="77777777" w:rsidR="009F4766" w:rsidRPr="00DE12A3" w:rsidRDefault="009F4766" w:rsidP="00C917D6">
            <w:pPr>
              <w:pStyle w:val="NormalLeft"/>
            </w:pPr>
            <w:r w:rsidRPr="00DE12A3">
              <w:t>273</w:t>
            </w:r>
          </w:p>
        </w:tc>
        <w:tc>
          <w:tcPr>
            <w:tcW w:w="2489" w:type="dxa"/>
            <w:tcBorders>
              <w:top w:val="single" w:sz="2" w:space="0" w:color="auto"/>
              <w:left w:val="single" w:sz="2" w:space="0" w:color="auto"/>
              <w:bottom w:val="single" w:sz="2" w:space="0" w:color="auto"/>
              <w:right w:val="single" w:sz="2" w:space="0" w:color="auto"/>
            </w:tcBorders>
          </w:tcPr>
          <w:p w14:paraId="196EAF3D" w14:textId="77777777" w:rsidR="009F4766" w:rsidRPr="00DE12A3" w:rsidRDefault="009F4766" w:rsidP="00C917D6">
            <w:pPr>
              <w:pStyle w:val="NormalLeft"/>
            </w:pPr>
            <w:r w:rsidRPr="00DE12A3">
              <w:t>37</w:t>
            </w:r>
          </w:p>
        </w:tc>
        <w:tc>
          <w:tcPr>
            <w:tcW w:w="2551" w:type="dxa"/>
            <w:tcBorders>
              <w:top w:val="single" w:sz="2" w:space="0" w:color="auto"/>
              <w:left w:val="single" w:sz="2" w:space="0" w:color="auto"/>
              <w:bottom w:val="single" w:sz="2" w:space="0" w:color="auto"/>
              <w:right w:val="single" w:sz="2" w:space="0" w:color="auto"/>
            </w:tcBorders>
          </w:tcPr>
          <w:p w14:paraId="46457FD7" w14:textId="77777777" w:rsidR="009F4766" w:rsidRPr="00DE12A3" w:rsidRDefault="009F4766" w:rsidP="00C917D6">
            <w:pPr>
              <w:pStyle w:val="NormalLeft"/>
            </w:pPr>
            <w:r w:rsidRPr="00DE12A3">
              <w:t>0</w:t>
            </w:r>
          </w:p>
        </w:tc>
      </w:tr>
      <w:tr w:rsidR="00DE12A3" w:rsidRPr="00DE12A3" w14:paraId="4CC5586E" w14:textId="77777777" w:rsidTr="009F4766">
        <w:tc>
          <w:tcPr>
            <w:tcW w:w="1182" w:type="dxa"/>
            <w:tcBorders>
              <w:top w:val="single" w:sz="2" w:space="0" w:color="auto"/>
              <w:left w:val="single" w:sz="2" w:space="0" w:color="auto"/>
              <w:bottom w:val="single" w:sz="2" w:space="0" w:color="auto"/>
              <w:right w:val="single" w:sz="2" w:space="0" w:color="auto"/>
            </w:tcBorders>
          </w:tcPr>
          <w:p w14:paraId="6883ACE9" w14:textId="77777777" w:rsidR="009F4766" w:rsidRPr="00DE12A3" w:rsidRDefault="009F4766" w:rsidP="00C917D6">
            <w:pPr>
              <w:pStyle w:val="NormalLeft"/>
            </w:pPr>
            <w:r w:rsidRPr="00DE12A3">
              <w:t>274</w:t>
            </w:r>
          </w:p>
        </w:tc>
        <w:tc>
          <w:tcPr>
            <w:tcW w:w="2489" w:type="dxa"/>
            <w:tcBorders>
              <w:top w:val="single" w:sz="2" w:space="0" w:color="auto"/>
              <w:left w:val="single" w:sz="2" w:space="0" w:color="auto"/>
              <w:bottom w:val="single" w:sz="2" w:space="0" w:color="auto"/>
              <w:right w:val="single" w:sz="2" w:space="0" w:color="auto"/>
            </w:tcBorders>
          </w:tcPr>
          <w:p w14:paraId="1E8D522B" w14:textId="77777777" w:rsidR="009F4766" w:rsidRPr="00DE12A3" w:rsidRDefault="009F4766" w:rsidP="00C917D6">
            <w:pPr>
              <w:pStyle w:val="NormalLeft"/>
            </w:pPr>
            <w:r w:rsidRPr="00DE12A3">
              <w:t>45</w:t>
            </w:r>
          </w:p>
        </w:tc>
        <w:tc>
          <w:tcPr>
            <w:tcW w:w="2551" w:type="dxa"/>
            <w:tcBorders>
              <w:top w:val="single" w:sz="2" w:space="0" w:color="auto"/>
              <w:left w:val="single" w:sz="2" w:space="0" w:color="auto"/>
              <w:bottom w:val="single" w:sz="2" w:space="0" w:color="auto"/>
              <w:right w:val="single" w:sz="2" w:space="0" w:color="auto"/>
            </w:tcBorders>
          </w:tcPr>
          <w:p w14:paraId="2E960833" w14:textId="77777777" w:rsidR="009F4766" w:rsidRPr="00DE12A3" w:rsidRDefault="009F4766" w:rsidP="00C917D6">
            <w:pPr>
              <w:pStyle w:val="NormalLeft"/>
            </w:pPr>
            <w:r w:rsidRPr="00DE12A3">
              <w:t>37</w:t>
            </w:r>
          </w:p>
        </w:tc>
      </w:tr>
      <w:tr w:rsidR="00DE12A3" w:rsidRPr="00DE12A3" w14:paraId="339038F5" w14:textId="77777777" w:rsidTr="009F4766">
        <w:tc>
          <w:tcPr>
            <w:tcW w:w="1182" w:type="dxa"/>
            <w:tcBorders>
              <w:top w:val="single" w:sz="2" w:space="0" w:color="auto"/>
              <w:left w:val="single" w:sz="2" w:space="0" w:color="auto"/>
              <w:bottom w:val="single" w:sz="2" w:space="0" w:color="auto"/>
              <w:right w:val="single" w:sz="2" w:space="0" w:color="auto"/>
            </w:tcBorders>
          </w:tcPr>
          <w:p w14:paraId="49DE4DE0" w14:textId="77777777" w:rsidR="009F4766" w:rsidRPr="00DE12A3" w:rsidRDefault="009F4766" w:rsidP="00C917D6">
            <w:pPr>
              <w:pStyle w:val="NormalLeft"/>
            </w:pPr>
            <w:r w:rsidRPr="00DE12A3">
              <w:t>275</w:t>
            </w:r>
          </w:p>
        </w:tc>
        <w:tc>
          <w:tcPr>
            <w:tcW w:w="2489" w:type="dxa"/>
            <w:tcBorders>
              <w:top w:val="single" w:sz="2" w:space="0" w:color="auto"/>
              <w:left w:val="single" w:sz="2" w:space="0" w:color="auto"/>
              <w:bottom w:val="single" w:sz="2" w:space="0" w:color="auto"/>
              <w:right w:val="single" w:sz="2" w:space="0" w:color="auto"/>
            </w:tcBorders>
          </w:tcPr>
          <w:p w14:paraId="705E6303" w14:textId="77777777" w:rsidR="009F4766" w:rsidRPr="00DE12A3" w:rsidRDefault="009F4766" w:rsidP="00C917D6">
            <w:pPr>
              <w:pStyle w:val="NormalLeft"/>
            </w:pPr>
            <w:r w:rsidRPr="00DE12A3">
              <w:t>68</w:t>
            </w:r>
          </w:p>
        </w:tc>
        <w:tc>
          <w:tcPr>
            <w:tcW w:w="2551" w:type="dxa"/>
            <w:tcBorders>
              <w:top w:val="single" w:sz="2" w:space="0" w:color="auto"/>
              <w:left w:val="single" w:sz="2" w:space="0" w:color="auto"/>
              <w:bottom w:val="single" w:sz="2" w:space="0" w:color="auto"/>
              <w:right w:val="single" w:sz="2" w:space="0" w:color="auto"/>
            </w:tcBorders>
          </w:tcPr>
          <w:p w14:paraId="700965B8" w14:textId="77777777" w:rsidR="009F4766" w:rsidRPr="00DE12A3" w:rsidRDefault="009F4766" w:rsidP="00C917D6">
            <w:pPr>
              <w:pStyle w:val="NormalLeft"/>
            </w:pPr>
            <w:r w:rsidRPr="00DE12A3">
              <w:t>96</w:t>
            </w:r>
          </w:p>
        </w:tc>
      </w:tr>
      <w:tr w:rsidR="00DE12A3" w:rsidRPr="00DE12A3" w14:paraId="1A4C7E17" w14:textId="77777777" w:rsidTr="009F4766">
        <w:tc>
          <w:tcPr>
            <w:tcW w:w="1182" w:type="dxa"/>
            <w:tcBorders>
              <w:top w:val="single" w:sz="2" w:space="0" w:color="auto"/>
              <w:left w:val="single" w:sz="2" w:space="0" w:color="auto"/>
              <w:bottom w:val="single" w:sz="2" w:space="0" w:color="auto"/>
              <w:right w:val="single" w:sz="2" w:space="0" w:color="auto"/>
            </w:tcBorders>
          </w:tcPr>
          <w:p w14:paraId="3EE5E53F" w14:textId="77777777" w:rsidR="009F4766" w:rsidRPr="00DE12A3" w:rsidRDefault="009F4766" w:rsidP="00C917D6">
            <w:pPr>
              <w:pStyle w:val="NormalLeft"/>
            </w:pPr>
            <w:r w:rsidRPr="00DE12A3">
              <w:t>276</w:t>
            </w:r>
          </w:p>
        </w:tc>
        <w:tc>
          <w:tcPr>
            <w:tcW w:w="2489" w:type="dxa"/>
            <w:tcBorders>
              <w:top w:val="single" w:sz="2" w:space="0" w:color="auto"/>
              <w:left w:val="single" w:sz="2" w:space="0" w:color="auto"/>
              <w:bottom w:val="single" w:sz="2" w:space="0" w:color="auto"/>
              <w:right w:val="single" w:sz="2" w:space="0" w:color="auto"/>
            </w:tcBorders>
          </w:tcPr>
          <w:p w14:paraId="14987E5A" w14:textId="77777777" w:rsidR="009F4766" w:rsidRPr="00DE12A3" w:rsidRDefault="009F4766" w:rsidP="00C917D6">
            <w:pPr>
              <w:pStyle w:val="NormalLeft"/>
            </w:pPr>
            <w:r w:rsidRPr="00DE12A3">
              <w:t>80</w:t>
            </w:r>
          </w:p>
        </w:tc>
        <w:tc>
          <w:tcPr>
            <w:tcW w:w="2551" w:type="dxa"/>
            <w:tcBorders>
              <w:top w:val="single" w:sz="2" w:space="0" w:color="auto"/>
              <w:left w:val="single" w:sz="2" w:space="0" w:color="auto"/>
              <w:bottom w:val="single" w:sz="2" w:space="0" w:color="auto"/>
              <w:right w:val="single" w:sz="2" w:space="0" w:color="auto"/>
            </w:tcBorders>
          </w:tcPr>
          <w:p w14:paraId="3933FBB7" w14:textId="77777777" w:rsidR="009F4766" w:rsidRPr="00DE12A3" w:rsidRDefault="009F4766" w:rsidP="00C917D6">
            <w:pPr>
              <w:pStyle w:val="NormalLeft"/>
            </w:pPr>
            <w:r w:rsidRPr="00DE12A3">
              <w:t>97</w:t>
            </w:r>
          </w:p>
        </w:tc>
      </w:tr>
      <w:tr w:rsidR="00DE12A3" w:rsidRPr="00DE12A3" w14:paraId="66B682E3" w14:textId="77777777" w:rsidTr="009F4766">
        <w:tc>
          <w:tcPr>
            <w:tcW w:w="1182" w:type="dxa"/>
            <w:tcBorders>
              <w:top w:val="single" w:sz="2" w:space="0" w:color="auto"/>
              <w:left w:val="single" w:sz="2" w:space="0" w:color="auto"/>
              <w:bottom w:val="single" w:sz="2" w:space="0" w:color="auto"/>
              <w:right w:val="single" w:sz="2" w:space="0" w:color="auto"/>
            </w:tcBorders>
          </w:tcPr>
          <w:p w14:paraId="038DED55" w14:textId="77777777" w:rsidR="009F4766" w:rsidRPr="00DE12A3" w:rsidRDefault="009F4766" w:rsidP="00C917D6">
            <w:pPr>
              <w:pStyle w:val="NormalLeft"/>
            </w:pPr>
            <w:r w:rsidRPr="00DE12A3">
              <w:t>277</w:t>
            </w:r>
          </w:p>
        </w:tc>
        <w:tc>
          <w:tcPr>
            <w:tcW w:w="2489" w:type="dxa"/>
            <w:tcBorders>
              <w:top w:val="single" w:sz="2" w:space="0" w:color="auto"/>
              <w:left w:val="single" w:sz="2" w:space="0" w:color="auto"/>
              <w:bottom w:val="single" w:sz="2" w:space="0" w:color="auto"/>
              <w:right w:val="single" w:sz="2" w:space="0" w:color="auto"/>
            </w:tcBorders>
          </w:tcPr>
          <w:p w14:paraId="76D69976" w14:textId="77777777" w:rsidR="009F4766" w:rsidRPr="00DE12A3" w:rsidRDefault="009F4766" w:rsidP="00C917D6">
            <w:pPr>
              <w:pStyle w:val="NormalLeft"/>
            </w:pPr>
            <w:r w:rsidRPr="00DE12A3">
              <w:t>92</w:t>
            </w:r>
          </w:p>
        </w:tc>
        <w:tc>
          <w:tcPr>
            <w:tcW w:w="2551" w:type="dxa"/>
            <w:tcBorders>
              <w:top w:val="single" w:sz="2" w:space="0" w:color="auto"/>
              <w:left w:val="single" w:sz="2" w:space="0" w:color="auto"/>
              <w:bottom w:val="single" w:sz="2" w:space="0" w:color="auto"/>
              <w:right w:val="single" w:sz="2" w:space="0" w:color="auto"/>
            </w:tcBorders>
          </w:tcPr>
          <w:p w14:paraId="21CA3DED" w14:textId="77777777" w:rsidR="009F4766" w:rsidRPr="00DE12A3" w:rsidRDefault="009F4766" w:rsidP="00C917D6">
            <w:pPr>
              <w:pStyle w:val="NormalLeft"/>
            </w:pPr>
            <w:r w:rsidRPr="00DE12A3">
              <w:t>96</w:t>
            </w:r>
          </w:p>
        </w:tc>
      </w:tr>
      <w:tr w:rsidR="00DE12A3" w:rsidRPr="00DE12A3" w14:paraId="5BB5B1B6" w14:textId="77777777" w:rsidTr="009F4766">
        <w:tc>
          <w:tcPr>
            <w:tcW w:w="1182" w:type="dxa"/>
            <w:tcBorders>
              <w:top w:val="single" w:sz="2" w:space="0" w:color="auto"/>
              <w:left w:val="single" w:sz="2" w:space="0" w:color="auto"/>
              <w:bottom w:val="single" w:sz="2" w:space="0" w:color="auto"/>
              <w:right w:val="single" w:sz="2" w:space="0" w:color="auto"/>
            </w:tcBorders>
          </w:tcPr>
          <w:p w14:paraId="02C83DD9" w14:textId="77777777" w:rsidR="009F4766" w:rsidRPr="00DE12A3" w:rsidRDefault="009F4766" w:rsidP="00C917D6">
            <w:pPr>
              <w:pStyle w:val="NormalLeft"/>
            </w:pPr>
            <w:r w:rsidRPr="00DE12A3">
              <w:t>278</w:t>
            </w:r>
          </w:p>
        </w:tc>
        <w:tc>
          <w:tcPr>
            <w:tcW w:w="2489" w:type="dxa"/>
            <w:tcBorders>
              <w:top w:val="single" w:sz="2" w:space="0" w:color="auto"/>
              <w:left w:val="single" w:sz="2" w:space="0" w:color="auto"/>
              <w:bottom w:val="single" w:sz="2" w:space="0" w:color="auto"/>
              <w:right w:val="single" w:sz="2" w:space="0" w:color="auto"/>
            </w:tcBorders>
          </w:tcPr>
          <w:p w14:paraId="56F95937" w14:textId="77777777" w:rsidR="009F4766" w:rsidRPr="00DE12A3" w:rsidRDefault="009F4766" w:rsidP="00C917D6">
            <w:pPr>
              <w:pStyle w:val="NormalLeft"/>
            </w:pPr>
            <w:r w:rsidRPr="00DE12A3">
              <w:t>90</w:t>
            </w:r>
          </w:p>
        </w:tc>
        <w:tc>
          <w:tcPr>
            <w:tcW w:w="2551" w:type="dxa"/>
            <w:tcBorders>
              <w:top w:val="single" w:sz="2" w:space="0" w:color="auto"/>
              <w:left w:val="single" w:sz="2" w:space="0" w:color="auto"/>
              <w:bottom w:val="single" w:sz="2" w:space="0" w:color="auto"/>
              <w:right w:val="single" w:sz="2" w:space="0" w:color="auto"/>
            </w:tcBorders>
          </w:tcPr>
          <w:p w14:paraId="36E07357" w14:textId="77777777" w:rsidR="009F4766" w:rsidRPr="00DE12A3" w:rsidRDefault="009F4766" w:rsidP="00C917D6">
            <w:pPr>
              <w:pStyle w:val="NormalLeft"/>
            </w:pPr>
            <w:r w:rsidRPr="00DE12A3">
              <w:t>97</w:t>
            </w:r>
          </w:p>
        </w:tc>
      </w:tr>
      <w:tr w:rsidR="00DE12A3" w:rsidRPr="00DE12A3" w14:paraId="5169EE8F" w14:textId="77777777" w:rsidTr="009F4766">
        <w:tc>
          <w:tcPr>
            <w:tcW w:w="1182" w:type="dxa"/>
            <w:tcBorders>
              <w:top w:val="single" w:sz="2" w:space="0" w:color="auto"/>
              <w:left w:val="single" w:sz="2" w:space="0" w:color="auto"/>
              <w:bottom w:val="single" w:sz="2" w:space="0" w:color="auto"/>
              <w:right w:val="single" w:sz="2" w:space="0" w:color="auto"/>
            </w:tcBorders>
          </w:tcPr>
          <w:p w14:paraId="646F7C8A" w14:textId="77777777" w:rsidR="009F4766" w:rsidRPr="00DE12A3" w:rsidRDefault="009F4766" w:rsidP="00C917D6">
            <w:pPr>
              <w:pStyle w:val="NormalLeft"/>
            </w:pPr>
            <w:r w:rsidRPr="00DE12A3">
              <w:t>279</w:t>
            </w:r>
          </w:p>
        </w:tc>
        <w:tc>
          <w:tcPr>
            <w:tcW w:w="2489" w:type="dxa"/>
            <w:tcBorders>
              <w:top w:val="single" w:sz="2" w:space="0" w:color="auto"/>
              <w:left w:val="single" w:sz="2" w:space="0" w:color="auto"/>
              <w:bottom w:val="single" w:sz="2" w:space="0" w:color="auto"/>
              <w:right w:val="single" w:sz="2" w:space="0" w:color="auto"/>
            </w:tcBorders>
          </w:tcPr>
          <w:p w14:paraId="2409A9C7" w14:textId="77777777" w:rsidR="009F4766" w:rsidRPr="00DE12A3" w:rsidRDefault="009F4766" w:rsidP="00C917D6">
            <w:pPr>
              <w:pStyle w:val="NormalLeft"/>
            </w:pPr>
            <w:r w:rsidRPr="00DE12A3">
              <w:t>82</w:t>
            </w:r>
          </w:p>
        </w:tc>
        <w:tc>
          <w:tcPr>
            <w:tcW w:w="2551" w:type="dxa"/>
            <w:tcBorders>
              <w:top w:val="single" w:sz="2" w:space="0" w:color="auto"/>
              <w:left w:val="single" w:sz="2" w:space="0" w:color="auto"/>
              <w:bottom w:val="single" w:sz="2" w:space="0" w:color="auto"/>
              <w:right w:val="single" w:sz="2" w:space="0" w:color="auto"/>
            </w:tcBorders>
          </w:tcPr>
          <w:p w14:paraId="21C3037F" w14:textId="77777777" w:rsidR="009F4766" w:rsidRPr="00DE12A3" w:rsidRDefault="009F4766" w:rsidP="00C917D6">
            <w:pPr>
              <w:pStyle w:val="NormalLeft"/>
            </w:pPr>
            <w:r w:rsidRPr="00DE12A3">
              <w:t>96</w:t>
            </w:r>
          </w:p>
        </w:tc>
      </w:tr>
      <w:tr w:rsidR="00DE12A3" w:rsidRPr="00DE12A3" w14:paraId="2DF03883" w14:textId="77777777" w:rsidTr="009F4766">
        <w:tc>
          <w:tcPr>
            <w:tcW w:w="1182" w:type="dxa"/>
            <w:tcBorders>
              <w:top w:val="single" w:sz="2" w:space="0" w:color="auto"/>
              <w:left w:val="single" w:sz="2" w:space="0" w:color="auto"/>
              <w:bottom w:val="single" w:sz="2" w:space="0" w:color="auto"/>
              <w:right w:val="single" w:sz="2" w:space="0" w:color="auto"/>
            </w:tcBorders>
          </w:tcPr>
          <w:p w14:paraId="67F1D277" w14:textId="77777777" w:rsidR="009F4766" w:rsidRPr="00DE12A3" w:rsidRDefault="009F4766" w:rsidP="00C917D6">
            <w:pPr>
              <w:pStyle w:val="NormalLeft"/>
            </w:pPr>
            <w:r w:rsidRPr="00DE12A3">
              <w:t>280</w:t>
            </w:r>
          </w:p>
        </w:tc>
        <w:tc>
          <w:tcPr>
            <w:tcW w:w="2489" w:type="dxa"/>
            <w:tcBorders>
              <w:top w:val="single" w:sz="2" w:space="0" w:color="auto"/>
              <w:left w:val="single" w:sz="2" w:space="0" w:color="auto"/>
              <w:bottom w:val="single" w:sz="2" w:space="0" w:color="auto"/>
              <w:right w:val="single" w:sz="2" w:space="0" w:color="auto"/>
            </w:tcBorders>
          </w:tcPr>
          <w:p w14:paraId="43241C5C" w14:textId="77777777" w:rsidR="009F4766" w:rsidRPr="00DE12A3" w:rsidRDefault="009F4766" w:rsidP="00C917D6">
            <w:pPr>
              <w:pStyle w:val="NormalLeft"/>
            </w:pPr>
            <w:r w:rsidRPr="00DE12A3">
              <w:t>94</w:t>
            </w:r>
          </w:p>
        </w:tc>
        <w:tc>
          <w:tcPr>
            <w:tcW w:w="2551" w:type="dxa"/>
            <w:tcBorders>
              <w:top w:val="single" w:sz="2" w:space="0" w:color="auto"/>
              <w:left w:val="single" w:sz="2" w:space="0" w:color="auto"/>
              <w:bottom w:val="single" w:sz="2" w:space="0" w:color="auto"/>
              <w:right w:val="single" w:sz="2" w:space="0" w:color="auto"/>
            </w:tcBorders>
          </w:tcPr>
          <w:p w14:paraId="5B60DC4C" w14:textId="77777777" w:rsidR="009F4766" w:rsidRPr="00DE12A3" w:rsidRDefault="009F4766" w:rsidP="00C917D6">
            <w:pPr>
              <w:pStyle w:val="NormalLeft"/>
            </w:pPr>
            <w:r w:rsidRPr="00DE12A3">
              <w:t>81</w:t>
            </w:r>
          </w:p>
        </w:tc>
      </w:tr>
      <w:tr w:rsidR="00DE12A3" w:rsidRPr="00DE12A3" w14:paraId="26424392" w14:textId="77777777" w:rsidTr="009F4766">
        <w:tc>
          <w:tcPr>
            <w:tcW w:w="1182" w:type="dxa"/>
            <w:tcBorders>
              <w:top w:val="single" w:sz="2" w:space="0" w:color="auto"/>
              <w:left w:val="single" w:sz="2" w:space="0" w:color="auto"/>
              <w:bottom w:val="single" w:sz="2" w:space="0" w:color="auto"/>
              <w:right w:val="single" w:sz="2" w:space="0" w:color="auto"/>
            </w:tcBorders>
          </w:tcPr>
          <w:p w14:paraId="73B4B874" w14:textId="77777777" w:rsidR="009F4766" w:rsidRPr="00DE12A3" w:rsidRDefault="009F4766" w:rsidP="00C917D6">
            <w:pPr>
              <w:pStyle w:val="NormalLeft"/>
            </w:pPr>
            <w:r w:rsidRPr="00DE12A3">
              <w:t>281</w:t>
            </w:r>
          </w:p>
        </w:tc>
        <w:tc>
          <w:tcPr>
            <w:tcW w:w="2489" w:type="dxa"/>
            <w:tcBorders>
              <w:top w:val="single" w:sz="2" w:space="0" w:color="auto"/>
              <w:left w:val="single" w:sz="2" w:space="0" w:color="auto"/>
              <w:bottom w:val="single" w:sz="2" w:space="0" w:color="auto"/>
              <w:right w:val="single" w:sz="2" w:space="0" w:color="auto"/>
            </w:tcBorders>
          </w:tcPr>
          <w:p w14:paraId="77152330" w14:textId="77777777" w:rsidR="009F4766" w:rsidRPr="00DE12A3" w:rsidRDefault="009F4766" w:rsidP="00C917D6">
            <w:pPr>
              <w:pStyle w:val="NormalLeft"/>
            </w:pPr>
            <w:r w:rsidRPr="00DE12A3">
              <w:t>90</w:t>
            </w:r>
          </w:p>
        </w:tc>
        <w:tc>
          <w:tcPr>
            <w:tcW w:w="2551" w:type="dxa"/>
            <w:tcBorders>
              <w:top w:val="single" w:sz="2" w:space="0" w:color="auto"/>
              <w:left w:val="single" w:sz="2" w:space="0" w:color="auto"/>
              <w:bottom w:val="single" w:sz="2" w:space="0" w:color="auto"/>
              <w:right w:val="single" w:sz="2" w:space="0" w:color="auto"/>
            </w:tcBorders>
          </w:tcPr>
          <w:p w14:paraId="00F3DBC2" w14:textId="77777777" w:rsidR="009F4766" w:rsidRPr="00DE12A3" w:rsidRDefault="009F4766" w:rsidP="00C917D6">
            <w:pPr>
              <w:pStyle w:val="NormalLeft"/>
            </w:pPr>
            <w:r w:rsidRPr="00DE12A3">
              <w:t>85</w:t>
            </w:r>
          </w:p>
        </w:tc>
      </w:tr>
      <w:tr w:rsidR="00DE12A3" w:rsidRPr="00DE12A3" w14:paraId="22A09673" w14:textId="77777777" w:rsidTr="009F4766">
        <w:tc>
          <w:tcPr>
            <w:tcW w:w="1182" w:type="dxa"/>
            <w:tcBorders>
              <w:top w:val="single" w:sz="2" w:space="0" w:color="auto"/>
              <w:left w:val="single" w:sz="2" w:space="0" w:color="auto"/>
              <w:bottom w:val="single" w:sz="2" w:space="0" w:color="auto"/>
              <w:right w:val="single" w:sz="2" w:space="0" w:color="auto"/>
            </w:tcBorders>
          </w:tcPr>
          <w:p w14:paraId="57270451" w14:textId="77777777" w:rsidR="009F4766" w:rsidRPr="00DE12A3" w:rsidRDefault="009F4766" w:rsidP="00C917D6">
            <w:pPr>
              <w:pStyle w:val="NormalLeft"/>
            </w:pPr>
            <w:r w:rsidRPr="00DE12A3">
              <w:t>282</w:t>
            </w:r>
          </w:p>
        </w:tc>
        <w:tc>
          <w:tcPr>
            <w:tcW w:w="2489" w:type="dxa"/>
            <w:tcBorders>
              <w:top w:val="single" w:sz="2" w:space="0" w:color="auto"/>
              <w:left w:val="single" w:sz="2" w:space="0" w:color="auto"/>
              <w:bottom w:val="single" w:sz="2" w:space="0" w:color="auto"/>
              <w:right w:val="single" w:sz="2" w:space="0" w:color="auto"/>
            </w:tcBorders>
          </w:tcPr>
          <w:p w14:paraId="0EDD7953" w14:textId="77777777" w:rsidR="009F4766" w:rsidRPr="00DE12A3" w:rsidRDefault="009F4766" w:rsidP="00C917D6">
            <w:pPr>
              <w:pStyle w:val="NormalLeft"/>
            </w:pPr>
            <w:r w:rsidRPr="00DE12A3">
              <w:t>96</w:t>
            </w:r>
          </w:p>
        </w:tc>
        <w:tc>
          <w:tcPr>
            <w:tcW w:w="2551" w:type="dxa"/>
            <w:tcBorders>
              <w:top w:val="single" w:sz="2" w:space="0" w:color="auto"/>
              <w:left w:val="single" w:sz="2" w:space="0" w:color="auto"/>
              <w:bottom w:val="single" w:sz="2" w:space="0" w:color="auto"/>
              <w:right w:val="single" w:sz="2" w:space="0" w:color="auto"/>
            </w:tcBorders>
          </w:tcPr>
          <w:p w14:paraId="61841182" w14:textId="77777777" w:rsidR="009F4766" w:rsidRPr="00DE12A3" w:rsidRDefault="009F4766" w:rsidP="00C917D6">
            <w:pPr>
              <w:pStyle w:val="NormalLeft"/>
            </w:pPr>
            <w:r w:rsidRPr="00DE12A3">
              <w:t>65</w:t>
            </w:r>
          </w:p>
        </w:tc>
      </w:tr>
      <w:tr w:rsidR="00DE12A3" w:rsidRPr="00DE12A3" w14:paraId="673829F1" w14:textId="77777777" w:rsidTr="009F4766">
        <w:tc>
          <w:tcPr>
            <w:tcW w:w="1182" w:type="dxa"/>
            <w:tcBorders>
              <w:top w:val="single" w:sz="2" w:space="0" w:color="auto"/>
              <w:left w:val="single" w:sz="2" w:space="0" w:color="auto"/>
              <w:bottom w:val="single" w:sz="2" w:space="0" w:color="auto"/>
              <w:right w:val="single" w:sz="2" w:space="0" w:color="auto"/>
            </w:tcBorders>
          </w:tcPr>
          <w:p w14:paraId="05B874AD" w14:textId="77777777" w:rsidR="009F4766" w:rsidRPr="00DE12A3" w:rsidRDefault="009F4766" w:rsidP="00C917D6">
            <w:pPr>
              <w:pStyle w:val="NormalLeft"/>
            </w:pPr>
            <w:r w:rsidRPr="00DE12A3">
              <w:t>283</w:t>
            </w:r>
          </w:p>
        </w:tc>
        <w:tc>
          <w:tcPr>
            <w:tcW w:w="2489" w:type="dxa"/>
            <w:tcBorders>
              <w:top w:val="single" w:sz="2" w:space="0" w:color="auto"/>
              <w:left w:val="single" w:sz="2" w:space="0" w:color="auto"/>
              <w:bottom w:val="single" w:sz="2" w:space="0" w:color="auto"/>
              <w:right w:val="single" w:sz="2" w:space="0" w:color="auto"/>
            </w:tcBorders>
          </w:tcPr>
          <w:p w14:paraId="1060BB7C" w14:textId="77777777" w:rsidR="009F4766" w:rsidRPr="00DE12A3" w:rsidRDefault="009F4766" w:rsidP="00C917D6">
            <w:pPr>
              <w:pStyle w:val="NormalLeft"/>
            </w:pPr>
            <w:r w:rsidRPr="00DE12A3">
              <w:t>70</w:t>
            </w:r>
          </w:p>
        </w:tc>
        <w:tc>
          <w:tcPr>
            <w:tcW w:w="2551" w:type="dxa"/>
            <w:tcBorders>
              <w:top w:val="single" w:sz="2" w:space="0" w:color="auto"/>
              <w:left w:val="single" w:sz="2" w:space="0" w:color="auto"/>
              <w:bottom w:val="single" w:sz="2" w:space="0" w:color="auto"/>
              <w:right w:val="single" w:sz="2" w:space="0" w:color="auto"/>
            </w:tcBorders>
          </w:tcPr>
          <w:p w14:paraId="6A054515" w14:textId="77777777" w:rsidR="009F4766" w:rsidRPr="00DE12A3" w:rsidRDefault="009F4766" w:rsidP="00C917D6">
            <w:pPr>
              <w:pStyle w:val="NormalLeft"/>
            </w:pPr>
            <w:r w:rsidRPr="00DE12A3">
              <w:t>96</w:t>
            </w:r>
          </w:p>
        </w:tc>
      </w:tr>
      <w:tr w:rsidR="00DE12A3" w:rsidRPr="00DE12A3" w14:paraId="4C5AF1FF" w14:textId="77777777" w:rsidTr="009F4766">
        <w:tc>
          <w:tcPr>
            <w:tcW w:w="1182" w:type="dxa"/>
            <w:tcBorders>
              <w:top w:val="single" w:sz="2" w:space="0" w:color="auto"/>
              <w:left w:val="single" w:sz="2" w:space="0" w:color="auto"/>
              <w:bottom w:val="single" w:sz="2" w:space="0" w:color="auto"/>
              <w:right w:val="single" w:sz="2" w:space="0" w:color="auto"/>
            </w:tcBorders>
          </w:tcPr>
          <w:p w14:paraId="70ADF14B" w14:textId="77777777" w:rsidR="009F4766" w:rsidRPr="00DE12A3" w:rsidRDefault="009F4766" w:rsidP="00C917D6">
            <w:pPr>
              <w:pStyle w:val="NormalLeft"/>
            </w:pPr>
            <w:r w:rsidRPr="00DE12A3">
              <w:lastRenderedPageBreak/>
              <w:t>284</w:t>
            </w:r>
          </w:p>
        </w:tc>
        <w:tc>
          <w:tcPr>
            <w:tcW w:w="2489" w:type="dxa"/>
            <w:tcBorders>
              <w:top w:val="single" w:sz="2" w:space="0" w:color="auto"/>
              <w:left w:val="single" w:sz="2" w:space="0" w:color="auto"/>
              <w:bottom w:val="single" w:sz="2" w:space="0" w:color="auto"/>
              <w:right w:val="single" w:sz="2" w:space="0" w:color="auto"/>
            </w:tcBorders>
          </w:tcPr>
          <w:p w14:paraId="5C0EB5EB" w14:textId="77777777" w:rsidR="009F4766" w:rsidRPr="00DE12A3" w:rsidRDefault="009F4766" w:rsidP="00C917D6">
            <w:pPr>
              <w:pStyle w:val="NormalLeft"/>
            </w:pPr>
            <w:r w:rsidRPr="00DE12A3">
              <w:t>55</w:t>
            </w:r>
          </w:p>
        </w:tc>
        <w:tc>
          <w:tcPr>
            <w:tcW w:w="2551" w:type="dxa"/>
            <w:tcBorders>
              <w:top w:val="single" w:sz="2" w:space="0" w:color="auto"/>
              <w:left w:val="single" w:sz="2" w:space="0" w:color="auto"/>
              <w:bottom w:val="single" w:sz="2" w:space="0" w:color="auto"/>
              <w:right w:val="single" w:sz="2" w:space="0" w:color="auto"/>
            </w:tcBorders>
          </w:tcPr>
          <w:p w14:paraId="3B65D2F6" w14:textId="77777777" w:rsidR="009F4766" w:rsidRPr="00DE12A3" w:rsidRDefault="009F4766" w:rsidP="00C917D6">
            <w:pPr>
              <w:pStyle w:val="NormalLeft"/>
            </w:pPr>
            <w:r w:rsidRPr="00DE12A3">
              <w:t>95</w:t>
            </w:r>
          </w:p>
        </w:tc>
      </w:tr>
      <w:tr w:rsidR="00DE12A3" w:rsidRPr="00DE12A3" w14:paraId="0BB1D624" w14:textId="77777777" w:rsidTr="009F4766">
        <w:tc>
          <w:tcPr>
            <w:tcW w:w="1182" w:type="dxa"/>
            <w:tcBorders>
              <w:top w:val="single" w:sz="2" w:space="0" w:color="auto"/>
              <w:left w:val="single" w:sz="2" w:space="0" w:color="auto"/>
              <w:bottom w:val="single" w:sz="2" w:space="0" w:color="auto"/>
              <w:right w:val="single" w:sz="2" w:space="0" w:color="auto"/>
            </w:tcBorders>
          </w:tcPr>
          <w:p w14:paraId="58029A2E" w14:textId="77777777" w:rsidR="009F4766" w:rsidRPr="00DE12A3" w:rsidRDefault="009F4766" w:rsidP="00C917D6">
            <w:pPr>
              <w:pStyle w:val="NormalLeft"/>
            </w:pPr>
            <w:r w:rsidRPr="00DE12A3">
              <w:t>285</w:t>
            </w:r>
          </w:p>
        </w:tc>
        <w:tc>
          <w:tcPr>
            <w:tcW w:w="2489" w:type="dxa"/>
            <w:tcBorders>
              <w:top w:val="single" w:sz="2" w:space="0" w:color="auto"/>
              <w:left w:val="single" w:sz="2" w:space="0" w:color="auto"/>
              <w:bottom w:val="single" w:sz="2" w:space="0" w:color="auto"/>
              <w:right w:val="single" w:sz="2" w:space="0" w:color="auto"/>
            </w:tcBorders>
          </w:tcPr>
          <w:p w14:paraId="76E1A8AE" w14:textId="77777777" w:rsidR="009F4766" w:rsidRPr="00DE12A3" w:rsidRDefault="009F4766" w:rsidP="00C917D6">
            <w:pPr>
              <w:pStyle w:val="NormalLeft"/>
            </w:pPr>
            <w:r w:rsidRPr="00DE12A3">
              <w:t>70</w:t>
            </w:r>
          </w:p>
        </w:tc>
        <w:tc>
          <w:tcPr>
            <w:tcW w:w="2551" w:type="dxa"/>
            <w:tcBorders>
              <w:top w:val="single" w:sz="2" w:space="0" w:color="auto"/>
              <w:left w:val="single" w:sz="2" w:space="0" w:color="auto"/>
              <w:bottom w:val="single" w:sz="2" w:space="0" w:color="auto"/>
              <w:right w:val="single" w:sz="2" w:space="0" w:color="auto"/>
            </w:tcBorders>
          </w:tcPr>
          <w:p w14:paraId="4A111079" w14:textId="77777777" w:rsidR="009F4766" w:rsidRPr="00DE12A3" w:rsidRDefault="009F4766" w:rsidP="00C917D6">
            <w:pPr>
              <w:pStyle w:val="NormalLeft"/>
            </w:pPr>
            <w:r w:rsidRPr="00DE12A3">
              <w:t>96</w:t>
            </w:r>
          </w:p>
        </w:tc>
      </w:tr>
      <w:tr w:rsidR="00DE12A3" w:rsidRPr="00DE12A3" w14:paraId="47AEDD2A" w14:textId="77777777" w:rsidTr="009F4766">
        <w:tc>
          <w:tcPr>
            <w:tcW w:w="1182" w:type="dxa"/>
            <w:tcBorders>
              <w:top w:val="single" w:sz="2" w:space="0" w:color="auto"/>
              <w:left w:val="single" w:sz="2" w:space="0" w:color="auto"/>
              <w:bottom w:val="single" w:sz="2" w:space="0" w:color="auto"/>
              <w:right w:val="single" w:sz="2" w:space="0" w:color="auto"/>
            </w:tcBorders>
          </w:tcPr>
          <w:p w14:paraId="4070D0EF" w14:textId="77777777" w:rsidR="009F4766" w:rsidRPr="00DE12A3" w:rsidRDefault="009F4766" w:rsidP="00C917D6">
            <w:pPr>
              <w:pStyle w:val="NormalLeft"/>
            </w:pPr>
            <w:r w:rsidRPr="00DE12A3">
              <w:t>286</w:t>
            </w:r>
          </w:p>
        </w:tc>
        <w:tc>
          <w:tcPr>
            <w:tcW w:w="2489" w:type="dxa"/>
            <w:tcBorders>
              <w:top w:val="single" w:sz="2" w:space="0" w:color="auto"/>
              <w:left w:val="single" w:sz="2" w:space="0" w:color="auto"/>
              <w:bottom w:val="single" w:sz="2" w:space="0" w:color="auto"/>
              <w:right w:val="single" w:sz="2" w:space="0" w:color="auto"/>
            </w:tcBorders>
          </w:tcPr>
          <w:p w14:paraId="430C40F5" w14:textId="77777777" w:rsidR="009F4766" w:rsidRPr="00DE12A3" w:rsidRDefault="009F4766" w:rsidP="00C917D6">
            <w:pPr>
              <w:pStyle w:val="NormalLeft"/>
            </w:pPr>
            <w:r w:rsidRPr="00DE12A3">
              <w:t>79</w:t>
            </w:r>
          </w:p>
        </w:tc>
        <w:tc>
          <w:tcPr>
            <w:tcW w:w="2551" w:type="dxa"/>
            <w:tcBorders>
              <w:top w:val="single" w:sz="2" w:space="0" w:color="auto"/>
              <w:left w:val="single" w:sz="2" w:space="0" w:color="auto"/>
              <w:bottom w:val="single" w:sz="2" w:space="0" w:color="auto"/>
              <w:right w:val="single" w:sz="2" w:space="0" w:color="auto"/>
            </w:tcBorders>
          </w:tcPr>
          <w:p w14:paraId="4824D291" w14:textId="77777777" w:rsidR="009F4766" w:rsidRPr="00DE12A3" w:rsidRDefault="009F4766" w:rsidP="00C917D6">
            <w:pPr>
              <w:pStyle w:val="NormalLeft"/>
            </w:pPr>
            <w:r w:rsidRPr="00DE12A3">
              <w:t>96</w:t>
            </w:r>
          </w:p>
        </w:tc>
      </w:tr>
      <w:tr w:rsidR="00DE12A3" w:rsidRPr="00DE12A3" w14:paraId="7CCFEFD1" w14:textId="77777777" w:rsidTr="009F4766">
        <w:tc>
          <w:tcPr>
            <w:tcW w:w="1182" w:type="dxa"/>
            <w:tcBorders>
              <w:top w:val="single" w:sz="2" w:space="0" w:color="auto"/>
              <w:left w:val="single" w:sz="2" w:space="0" w:color="auto"/>
              <w:bottom w:val="single" w:sz="2" w:space="0" w:color="auto"/>
              <w:right w:val="single" w:sz="2" w:space="0" w:color="auto"/>
            </w:tcBorders>
          </w:tcPr>
          <w:p w14:paraId="1A6781F5" w14:textId="77777777" w:rsidR="009F4766" w:rsidRPr="00DE12A3" w:rsidRDefault="009F4766" w:rsidP="00C917D6">
            <w:pPr>
              <w:pStyle w:val="NormalLeft"/>
            </w:pPr>
            <w:r w:rsidRPr="00DE12A3">
              <w:t>287</w:t>
            </w:r>
          </w:p>
        </w:tc>
        <w:tc>
          <w:tcPr>
            <w:tcW w:w="2489" w:type="dxa"/>
            <w:tcBorders>
              <w:top w:val="single" w:sz="2" w:space="0" w:color="auto"/>
              <w:left w:val="single" w:sz="2" w:space="0" w:color="auto"/>
              <w:bottom w:val="single" w:sz="2" w:space="0" w:color="auto"/>
              <w:right w:val="single" w:sz="2" w:space="0" w:color="auto"/>
            </w:tcBorders>
          </w:tcPr>
          <w:p w14:paraId="0FF1447C" w14:textId="77777777" w:rsidR="009F4766" w:rsidRPr="00DE12A3" w:rsidRDefault="009F4766" w:rsidP="00C917D6">
            <w:pPr>
              <w:pStyle w:val="NormalLeft"/>
            </w:pPr>
            <w:r w:rsidRPr="00DE12A3">
              <w:t>81</w:t>
            </w:r>
          </w:p>
        </w:tc>
        <w:tc>
          <w:tcPr>
            <w:tcW w:w="2551" w:type="dxa"/>
            <w:tcBorders>
              <w:top w:val="single" w:sz="2" w:space="0" w:color="auto"/>
              <w:left w:val="single" w:sz="2" w:space="0" w:color="auto"/>
              <w:bottom w:val="single" w:sz="2" w:space="0" w:color="auto"/>
              <w:right w:val="single" w:sz="2" w:space="0" w:color="auto"/>
            </w:tcBorders>
          </w:tcPr>
          <w:p w14:paraId="35DD1088" w14:textId="77777777" w:rsidR="009F4766" w:rsidRPr="00DE12A3" w:rsidRDefault="009F4766" w:rsidP="00C917D6">
            <w:pPr>
              <w:pStyle w:val="NormalLeft"/>
            </w:pPr>
            <w:r w:rsidRPr="00DE12A3">
              <w:t>71</w:t>
            </w:r>
          </w:p>
        </w:tc>
      </w:tr>
      <w:tr w:rsidR="00DE12A3" w:rsidRPr="00DE12A3" w14:paraId="301FED15" w14:textId="77777777" w:rsidTr="009F4766">
        <w:tc>
          <w:tcPr>
            <w:tcW w:w="1182" w:type="dxa"/>
            <w:tcBorders>
              <w:top w:val="single" w:sz="2" w:space="0" w:color="auto"/>
              <w:left w:val="single" w:sz="2" w:space="0" w:color="auto"/>
              <w:bottom w:val="single" w:sz="2" w:space="0" w:color="auto"/>
              <w:right w:val="single" w:sz="2" w:space="0" w:color="auto"/>
            </w:tcBorders>
          </w:tcPr>
          <w:p w14:paraId="503030E4" w14:textId="77777777" w:rsidR="009F4766" w:rsidRPr="00DE12A3" w:rsidRDefault="009F4766" w:rsidP="00C917D6">
            <w:pPr>
              <w:pStyle w:val="NormalLeft"/>
            </w:pPr>
            <w:r w:rsidRPr="00DE12A3">
              <w:t>288</w:t>
            </w:r>
          </w:p>
        </w:tc>
        <w:tc>
          <w:tcPr>
            <w:tcW w:w="2489" w:type="dxa"/>
            <w:tcBorders>
              <w:top w:val="single" w:sz="2" w:space="0" w:color="auto"/>
              <w:left w:val="single" w:sz="2" w:space="0" w:color="auto"/>
              <w:bottom w:val="single" w:sz="2" w:space="0" w:color="auto"/>
              <w:right w:val="single" w:sz="2" w:space="0" w:color="auto"/>
            </w:tcBorders>
          </w:tcPr>
          <w:p w14:paraId="63D0805B" w14:textId="77777777" w:rsidR="009F4766" w:rsidRPr="00DE12A3" w:rsidRDefault="009F4766" w:rsidP="00C917D6">
            <w:pPr>
              <w:pStyle w:val="NormalLeft"/>
            </w:pPr>
            <w:r w:rsidRPr="00DE12A3">
              <w:t>71</w:t>
            </w:r>
          </w:p>
        </w:tc>
        <w:tc>
          <w:tcPr>
            <w:tcW w:w="2551" w:type="dxa"/>
            <w:tcBorders>
              <w:top w:val="single" w:sz="2" w:space="0" w:color="auto"/>
              <w:left w:val="single" w:sz="2" w:space="0" w:color="auto"/>
              <w:bottom w:val="single" w:sz="2" w:space="0" w:color="auto"/>
              <w:right w:val="single" w:sz="2" w:space="0" w:color="auto"/>
            </w:tcBorders>
          </w:tcPr>
          <w:p w14:paraId="50D9019E" w14:textId="77777777" w:rsidR="009F4766" w:rsidRPr="00DE12A3" w:rsidRDefault="009F4766" w:rsidP="00C917D6">
            <w:pPr>
              <w:pStyle w:val="NormalLeft"/>
            </w:pPr>
            <w:r w:rsidRPr="00DE12A3">
              <w:t>60</w:t>
            </w:r>
          </w:p>
        </w:tc>
      </w:tr>
      <w:tr w:rsidR="00DE12A3" w:rsidRPr="00DE12A3" w14:paraId="2B757531" w14:textId="77777777" w:rsidTr="009F4766">
        <w:tc>
          <w:tcPr>
            <w:tcW w:w="1182" w:type="dxa"/>
            <w:tcBorders>
              <w:top w:val="single" w:sz="2" w:space="0" w:color="auto"/>
              <w:left w:val="single" w:sz="2" w:space="0" w:color="auto"/>
              <w:bottom w:val="single" w:sz="2" w:space="0" w:color="auto"/>
              <w:right w:val="single" w:sz="2" w:space="0" w:color="auto"/>
            </w:tcBorders>
          </w:tcPr>
          <w:p w14:paraId="53D6FA92" w14:textId="77777777" w:rsidR="009F4766" w:rsidRPr="00DE12A3" w:rsidRDefault="009F4766" w:rsidP="00C917D6">
            <w:pPr>
              <w:pStyle w:val="NormalLeft"/>
            </w:pPr>
            <w:r w:rsidRPr="00DE12A3">
              <w:t>289</w:t>
            </w:r>
          </w:p>
        </w:tc>
        <w:tc>
          <w:tcPr>
            <w:tcW w:w="2489" w:type="dxa"/>
            <w:tcBorders>
              <w:top w:val="single" w:sz="2" w:space="0" w:color="auto"/>
              <w:left w:val="single" w:sz="2" w:space="0" w:color="auto"/>
              <w:bottom w:val="single" w:sz="2" w:space="0" w:color="auto"/>
              <w:right w:val="single" w:sz="2" w:space="0" w:color="auto"/>
            </w:tcBorders>
          </w:tcPr>
          <w:p w14:paraId="795798DD" w14:textId="77777777" w:rsidR="009F4766" w:rsidRPr="00DE12A3" w:rsidRDefault="009F4766" w:rsidP="00C917D6">
            <w:pPr>
              <w:pStyle w:val="NormalLeft"/>
            </w:pPr>
            <w:r w:rsidRPr="00DE12A3">
              <w:t>92</w:t>
            </w:r>
          </w:p>
        </w:tc>
        <w:tc>
          <w:tcPr>
            <w:tcW w:w="2551" w:type="dxa"/>
            <w:tcBorders>
              <w:top w:val="single" w:sz="2" w:space="0" w:color="auto"/>
              <w:left w:val="single" w:sz="2" w:space="0" w:color="auto"/>
              <w:bottom w:val="single" w:sz="2" w:space="0" w:color="auto"/>
              <w:right w:val="single" w:sz="2" w:space="0" w:color="auto"/>
            </w:tcBorders>
          </w:tcPr>
          <w:p w14:paraId="309050B8" w14:textId="77777777" w:rsidR="009F4766" w:rsidRPr="00DE12A3" w:rsidRDefault="009F4766" w:rsidP="00C917D6">
            <w:pPr>
              <w:pStyle w:val="NormalLeft"/>
            </w:pPr>
            <w:r w:rsidRPr="00DE12A3">
              <w:t>65</w:t>
            </w:r>
          </w:p>
        </w:tc>
      </w:tr>
      <w:tr w:rsidR="00DE12A3" w:rsidRPr="00DE12A3" w14:paraId="1EF561AC" w14:textId="77777777" w:rsidTr="009F4766">
        <w:tc>
          <w:tcPr>
            <w:tcW w:w="1182" w:type="dxa"/>
            <w:tcBorders>
              <w:top w:val="single" w:sz="2" w:space="0" w:color="auto"/>
              <w:left w:val="single" w:sz="2" w:space="0" w:color="auto"/>
              <w:bottom w:val="single" w:sz="2" w:space="0" w:color="auto"/>
              <w:right w:val="single" w:sz="2" w:space="0" w:color="auto"/>
            </w:tcBorders>
          </w:tcPr>
          <w:p w14:paraId="541DA42E" w14:textId="77777777" w:rsidR="009F4766" w:rsidRPr="00DE12A3" w:rsidRDefault="009F4766" w:rsidP="00C917D6">
            <w:pPr>
              <w:pStyle w:val="NormalLeft"/>
            </w:pPr>
            <w:r w:rsidRPr="00DE12A3">
              <w:t>290</w:t>
            </w:r>
          </w:p>
        </w:tc>
        <w:tc>
          <w:tcPr>
            <w:tcW w:w="2489" w:type="dxa"/>
            <w:tcBorders>
              <w:top w:val="single" w:sz="2" w:space="0" w:color="auto"/>
              <w:left w:val="single" w:sz="2" w:space="0" w:color="auto"/>
              <w:bottom w:val="single" w:sz="2" w:space="0" w:color="auto"/>
              <w:right w:val="single" w:sz="2" w:space="0" w:color="auto"/>
            </w:tcBorders>
          </w:tcPr>
          <w:p w14:paraId="10304837" w14:textId="77777777" w:rsidR="009F4766" w:rsidRPr="00DE12A3" w:rsidRDefault="009F4766" w:rsidP="00C917D6">
            <w:pPr>
              <w:pStyle w:val="NormalLeft"/>
            </w:pPr>
            <w:r w:rsidRPr="00DE12A3">
              <w:t>82</w:t>
            </w:r>
          </w:p>
        </w:tc>
        <w:tc>
          <w:tcPr>
            <w:tcW w:w="2551" w:type="dxa"/>
            <w:tcBorders>
              <w:top w:val="single" w:sz="2" w:space="0" w:color="auto"/>
              <w:left w:val="single" w:sz="2" w:space="0" w:color="auto"/>
              <w:bottom w:val="single" w:sz="2" w:space="0" w:color="auto"/>
              <w:right w:val="single" w:sz="2" w:space="0" w:color="auto"/>
            </w:tcBorders>
          </w:tcPr>
          <w:p w14:paraId="274F0EBE" w14:textId="77777777" w:rsidR="009F4766" w:rsidRPr="00DE12A3" w:rsidRDefault="009F4766" w:rsidP="00C917D6">
            <w:pPr>
              <w:pStyle w:val="NormalLeft"/>
            </w:pPr>
            <w:r w:rsidRPr="00DE12A3">
              <w:t>63</w:t>
            </w:r>
          </w:p>
        </w:tc>
      </w:tr>
      <w:tr w:rsidR="00DE12A3" w:rsidRPr="00DE12A3" w14:paraId="69AF12B3" w14:textId="77777777" w:rsidTr="009F4766">
        <w:tc>
          <w:tcPr>
            <w:tcW w:w="1182" w:type="dxa"/>
            <w:tcBorders>
              <w:top w:val="single" w:sz="2" w:space="0" w:color="auto"/>
              <w:left w:val="single" w:sz="2" w:space="0" w:color="auto"/>
              <w:bottom w:val="single" w:sz="2" w:space="0" w:color="auto"/>
              <w:right w:val="single" w:sz="2" w:space="0" w:color="auto"/>
            </w:tcBorders>
          </w:tcPr>
          <w:p w14:paraId="46B0C45F" w14:textId="77777777" w:rsidR="009F4766" w:rsidRPr="00DE12A3" w:rsidRDefault="009F4766" w:rsidP="00C917D6">
            <w:pPr>
              <w:pStyle w:val="NormalLeft"/>
            </w:pPr>
            <w:r w:rsidRPr="00DE12A3">
              <w:t>291</w:t>
            </w:r>
          </w:p>
        </w:tc>
        <w:tc>
          <w:tcPr>
            <w:tcW w:w="2489" w:type="dxa"/>
            <w:tcBorders>
              <w:top w:val="single" w:sz="2" w:space="0" w:color="auto"/>
              <w:left w:val="single" w:sz="2" w:space="0" w:color="auto"/>
              <w:bottom w:val="single" w:sz="2" w:space="0" w:color="auto"/>
              <w:right w:val="single" w:sz="2" w:space="0" w:color="auto"/>
            </w:tcBorders>
          </w:tcPr>
          <w:p w14:paraId="066A55E5" w14:textId="77777777" w:rsidR="009F4766" w:rsidRPr="00DE12A3" w:rsidRDefault="009F4766" w:rsidP="00C917D6">
            <w:pPr>
              <w:pStyle w:val="NormalLeft"/>
            </w:pPr>
            <w:r w:rsidRPr="00DE12A3">
              <w:t>61</w:t>
            </w:r>
          </w:p>
        </w:tc>
        <w:tc>
          <w:tcPr>
            <w:tcW w:w="2551" w:type="dxa"/>
            <w:tcBorders>
              <w:top w:val="single" w:sz="2" w:space="0" w:color="auto"/>
              <w:left w:val="single" w:sz="2" w:space="0" w:color="auto"/>
              <w:bottom w:val="single" w:sz="2" w:space="0" w:color="auto"/>
              <w:right w:val="single" w:sz="2" w:space="0" w:color="auto"/>
            </w:tcBorders>
          </w:tcPr>
          <w:p w14:paraId="386DDC74" w14:textId="77777777" w:rsidR="009F4766" w:rsidRPr="00DE12A3" w:rsidRDefault="009F4766" w:rsidP="00C917D6">
            <w:pPr>
              <w:pStyle w:val="NormalLeft"/>
            </w:pPr>
            <w:r w:rsidRPr="00DE12A3">
              <w:t>47</w:t>
            </w:r>
          </w:p>
        </w:tc>
      </w:tr>
      <w:tr w:rsidR="00DE12A3" w:rsidRPr="00DE12A3" w14:paraId="0BDDE2B2" w14:textId="77777777" w:rsidTr="009F4766">
        <w:tc>
          <w:tcPr>
            <w:tcW w:w="1182" w:type="dxa"/>
            <w:tcBorders>
              <w:top w:val="single" w:sz="2" w:space="0" w:color="auto"/>
              <w:left w:val="single" w:sz="2" w:space="0" w:color="auto"/>
              <w:bottom w:val="single" w:sz="2" w:space="0" w:color="auto"/>
              <w:right w:val="single" w:sz="2" w:space="0" w:color="auto"/>
            </w:tcBorders>
          </w:tcPr>
          <w:p w14:paraId="7C6D3E95" w14:textId="77777777" w:rsidR="009F4766" w:rsidRPr="00DE12A3" w:rsidRDefault="009F4766" w:rsidP="00C917D6">
            <w:pPr>
              <w:pStyle w:val="NormalLeft"/>
            </w:pPr>
            <w:r w:rsidRPr="00DE12A3">
              <w:t>292</w:t>
            </w:r>
          </w:p>
        </w:tc>
        <w:tc>
          <w:tcPr>
            <w:tcW w:w="2489" w:type="dxa"/>
            <w:tcBorders>
              <w:top w:val="single" w:sz="2" w:space="0" w:color="auto"/>
              <w:left w:val="single" w:sz="2" w:space="0" w:color="auto"/>
              <w:bottom w:val="single" w:sz="2" w:space="0" w:color="auto"/>
              <w:right w:val="single" w:sz="2" w:space="0" w:color="auto"/>
            </w:tcBorders>
          </w:tcPr>
          <w:p w14:paraId="0606C701" w14:textId="77777777" w:rsidR="009F4766" w:rsidRPr="00DE12A3" w:rsidRDefault="009F4766" w:rsidP="00C917D6">
            <w:pPr>
              <w:pStyle w:val="NormalLeft"/>
            </w:pPr>
            <w:r w:rsidRPr="00DE12A3">
              <w:t>52</w:t>
            </w:r>
          </w:p>
        </w:tc>
        <w:tc>
          <w:tcPr>
            <w:tcW w:w="2551" w:type="dxa"/>
            <w:tcBorders>
              <w:top w:val="single" w:sz="2" w:space="0" w:color="auto"/>
              <w:left w:val="single" w:sz="2" w:space="0" w:color="auto"/>
              <w:bottom w:val="single" w:sz="2" w:space="0" w:color="auto"/>
              <w:right w:val="single" w:sz="2" w:space="0" w:color="auto"/>
            </w:tcBorders>
          </w:tcPr>
          <w:p w14:paraId="4D0D21FE" w14:textId="77777777" w:rsidR="009F4766" w:rsidRPr="00DE12A3" w:rsidRDefault="009F4766" w:rsidP="00C917D6">
            <w:pPr>
              <w:pStyle w:val="NormalLeft"/>
            </w:pPr>
            <w:r w:rsidRPr="00DE12A3">
              <w:t>37</w:t>
            </w:r>
          </w:p>
        </w:tc>
      </w:tr>
      <w:tr w:rsidR="00DE12A3" w:rsidRPr="00DE12A3" w14:paraId="3B89059A" w14:textId="77777777" w:rsidTr="009F4766">
        <w:tc>
          <w:tcPr>
            <w:tcW w:w="1182" w:type="dxa"/>
            <w:tcBorders>
              <w:top w:val="single" w:sz="2" w:space="0" w:color="auto"/>
              <w:left w:val="single" w:sz="2" w:space="0" w:color="auto"/>
              <w:bottom w:val="single" w:sz="2" w:space="0" w:color="auto"/>
              <w:right w:val="single" w:sz="2" w:space="0" w:color="auto"/>
            </w:tcBorders>
          </w:tcPr>
          <w:p w14:paraId="5A4E7CD6" w14:textId="77777777" w:rsidR="009F4766" w:rsidRPr="00DE12A3" w:rsidRDefault="009F4766" w:rsidP="00C917D6">
            <w:pPr>
              <w:pStyle w:val="NormalLeft"/>
            </w:pPr>
            <w:r w:rsidRPr="00DE12A3">
              <w:t>293</w:t>
            </w:r>
          </w:p>
        </w:tc>
        <w:tc>
          <w:tcPr>
            <w:tcW w:w="2489" w:type="dxa"/>
            <w:tcBorders>
              <w:top w:val="single" w:sz="2" w:space="0" w:color="auto"/>
              <w:left w:val="single" w:sz="2" w:space="0" w:color="auto"/>
              <w:bottom w:val="single" w:sz="2" w:space="0" w:color="auto"/>
              <w:right w:val="single" w:sz="2" w:space="0" w:color="auto"/>
            </w:tcBorders>
          </w:tcPr>
          <w:p w14:paraId="10180419" w14:textId="77777777" w:rsidR="009F4766" w:rsidRPr="00DE12A3" w:rsidRDefault="009F4766" w:rsidP="00C917D6">
            <w:pPr>
              <w:pStyle w:val="NormalLeft"/>
            </w:pPr>
            <w:r w:rsidRPr="00DE12A3">
              <w:t>24</w:t>
            </w:r>
          </w:p>
        </w:tc>
        <w:tc>
          <w:tcPr>
            <w:tcW w:w="2551" w:type="dxa"/>
            <w:tcBorders>
              <w:top w:val="single" w:sz="2" w:space="0" w:color="auto"/>
              <w:left w:val="single" w:sz="2" w:space="0" w:color="auto"/>
              <w:bottom w:val="single" w:sz="2" w:space="0" w:color="auto"/>
              <w:right w:val="single" w:sz="2" w:space="0" w:color="auto"/>
            </w:tcBorders>
          </w:tcPr>
          <w:p w14:paraId="0461EB35" w14:textId="77777777" w:rsidR="009F4766" w:rsidRPr="00DE12A3" w:rsidRDefault="009F4766" w:rsidP="00C917D6">
            <w:pPr>
              <w:pStyle w:val="NormalLeft"/>
            </w:pPr>
            <w:r w:rsidRPr="00DE12A3">
              <w:t>0</w:t>
            </w:r>
          </w:p>
        </w:tc>
      </w:tr>
      <w:tr w:rsidR="00DE12A3" w:rsidRPr="00DE12A3" w14:paraId="5E459FAA" w14:textId="77777777" w:rsidTr="009F4766">
        <w:tc>
          <w:tcPr>
            <w:tcW w:w="1182" w:type="dxa"/>
            <w:tcBorders>
              <w:top w:val="single" w:sz="2" w:space="0" w:color="auto"/>
              <w:left w:val="single" w:sz="2" w:space="0" w:color="auto"/>
              <w:bottom w:val="single" w:sz="2" w:space="0" w:color="auto"/>
              <w:right w:val="single" w:sz="2" w:space="0" w:color="auto"/>
            </w:tcBorders>
          </w:tcPr>
          <w:p w14:paraId="12A8CB60" w14:textId="77777777" w:rsidR="009F4766" w:rsidRPr="00DE12A3" w:rsidRDefault="009F4766" w:rsidP="00C917D6">
            <w:pPr>
              <w:pStyle w:val="NormalLeft"/>
            </w:pPr>
            <w:r w:rsidRPr="00DE12A3">
              <w:t>294</w:t>
            </w:r>
          </w:p>
        </w:tc>
        <w:tc>
          <w:tcPr>
            <w:tcW w:w="2489" w:type="dxa"/>
            <w:tcBorders>
              <w:top w:val="single" w:sz="2" w:space="0" w:color="auto"/>
              <w:left w:val="single" w:sz="2" w:space="0" w:color="auto"/>
              <w:bottom w:val="single" w:sz="2" w:space="0" w:color="auto"/>
              <w:right w:val="single" w:sz="2" w:space="0" w:color="auto"/>
            </w:tcBorders>
          </w:tcPr>
          <w:p w14:paraId="708EE0F6" w14:textId="77777777" w:rsidR="009F4766" w:rsidRPr="00DE12A3" w:rsidRDefault="009F4766" w:rsidP="00C917D6">
            <w:pPr>
              <w:pStyle w:val="NormalLeft"/>
            </w:pPr>
            <w:r w:rsidRPr="00DE12A3">
              <w:t>20</w:t>
            </w:r>
          </w:p>
        </w:tc>
        <w:tc>
          <w:tcPr>
            <w:tcW w:w="2551" w:type="dxa"/>
            <w:tcBorders>
              <w:top w:val="single" w:sz="2" w:space="0" w:color="auto"/>
              <w:left w:val="single" w:sz="2" w:space="0" w:color="auto"/>
              <w:bottom w:val="single" w:sz="2" w:space="0" w:color="auto"/>
              <w:right w:val="single" w:sz="2" w:space="0" w:color="auto"/>
            </w:tcBorders>
          </w:tcPr>
          <w:p w14:paraId="34593B53" w14:textId="77777777" w:rsidR="009F4766" w:rsidRPr="00DE12A3" w:rsidRDefault="009F4766" w:rsidP="00C917D6">
            <w:pPr>
              <w:pStyle w:val="NormalLeft"/>
            </w:pPr>
            <w:r w:rsidRPr="00DE12A3">
              <w:t>7</w:t>
            </w:r>
          </w:p>
        </w:tc>
      </w:tr>
      <w:tr w:rsidR="00DE12A3" w:rsidRPr="00DE12A3" w14:paraId="53122D58" w14:textId="77777777" w:rsidTr="009F4766">
        <w:tc>
          <w:tcPr>
            <w:tcW w:w="1182" w:type="dxa"/>
            <w:tcBorders>
              <w:top w:val="single" w:sz="2" w:space="0" w:color="auto"/>
              <w:left w:val="single" w:sz="2" w:space="0" w:color="auto"/>
              <w:bottom w:val="single" w:sz="2" w:space="0" w:color="auto"/>
              <w:right w:val="single" w:sz="2" w:space="0" w:color="auto"/>
            </w:tcBorders>
          </w:tcPr>
          <w:p w14:paraId="300B25A9" w14:textId="77777777" w:rsidR="009F4766" w:rsidRPr="00DE12A3" w:rsidRDefault="009F4766" w:rsidP="00C917D6">
            <w:pPr>
              <w:pStyle w:val="NormalLeft"/>
            </w:pPr>
            <w:r w:rsidRPr="00DE12A3">
              <w:t>295</w:t>
            </w:r>
          </w:p>
        </w:tc>
        <w:tc>
          <w:tcPr>
            <w:tcW w:w="2489" w:type="dxa"/>
            <w:tcBorders>
              <w:top w:val="single" w:sz="2" w:space="0" w:color="auto"/>
              <w:left w:val="single" w:sz="2" w:space="0" w:color="auto"/>
              <w:bottom w:val="single" w:sz="2" w:space="0" w:color="auto"/>
              <w:right w:val="single" w:sz="2" w:space="0" w:color="auto"/>
            </w:tcBorders>
          </w:tcPr>
          <w:p w14:paraId="36B08343" w14:textId="77777777" w:rsidR="009F4766" w:rsidRPr="00DE12A3" w:rsidRDefault="009F4766" w:rsidP="00C917D6">
            <w:pPr>
              <w:pStyle w:val="NormalLeft"/>
            </w:pPr>
            <w:r w:rsidRPr="00DE12A3">
              <w:t>39</w:t>
            </w:r>
          </w:p>
        </w:tc>
        <w:tc>
          <w:tcPr>
            <w:tcW w:w="2551" w:type="dxa"/>
            <w:tcBorders>
              <w:top w:val="single" w:sz="2" w:space="0" w:color="auto"/>
              <w:left w:val="single" w:sz="2" w:space="0" w:color="auto"/>
              <w:bottom w:val="single" w:sz="2" w:space="0" w:color="auto"/>
              <w:right w:val="single" w:sz="2" w:space="0" w:color="auto"/>
            </w:tcBorders>
          </w:tcPr>
          <w:p w14:paraId="2CA86407" w14:textId="77777777" w:rsidR="009F4766" w:rsidRPr="00DE12A3" w:rsidRDefault="009F4766" w:rsidP="00C917D6">
            <w:pPr>
              <w:pStyle w:val="NormalLeft"/>
            </w:pPr>
            <w:r w:rsidRPr="00DE12A3">
              <w:t>48</w:t>
            </w:r>
          </w:p>
        </w:tc>
      </w:tr>
      <w:tr w:rsidR="00DE12A3" w:rsidRPr="00DE12A3" w14:paraId="73A3E45E" w14:textId="77777777" w:rsidTr="009F4766">
        <w:tc>
          <w:tcPr>
            <w:tcW w:w="1182" w:type="dxa"/>
            <w:tcBorders>
              <w:top w:val="single" w:sz="2" w:space="0" w:color="auto"/>
              <w:left w:val="single" w:sz="2" w:space="0" w:color="auto"/>
              <w:bottom w:val="single" w:sz="2" w:space="0" w:color="auto"/>
              <w:right w:val="single" w:sz="2" w:space="0" w:color="auto"/>
            </w:tcBorders>
          </w:tcPr>
          <w:p w14:paraId="7B6269C6" w14:textId="77777777" w:rsidR="009F4766" w:rsidRPr="00DE12A3" w:rsidRDefault="009F4766" w:rsidP="00C917D6">
            <w:pPr>
              <w:pStyle w:val="NormalLeft"/>
            </w:pPr>
            <w:r w:rsidRPr="00DE12A3">
              <w:t>296</w:t>
            </w:r>
          </w:p>
        </w:tc>
        <w:tc>
          <w:tcPr>
            <w:tcW w:w="2489" w:type="dxa"/>
            <w:tcBorders>
              <w:top w:val="single" w:sz="2" w:space="0" w:color="auto"/>
              <w:left w:val="single" w:sz="2" w:space="0" w:color="auto"/>
              <w:bottom w:val="single" w:sz="2" w:space="0" w:color="auto"/>
              <w:right w:val="single" w:sz="2" w:space="0" w:color="auto"/>
            </w:tcBorders>
          </w:tcPr>
          <w:p w14:paraId="0980C4D9" w14:textId="77777777" w:rsidR="009F4766" w:rsidRPr="00DE12A3" w:rsidRDefault="009F4766" w:rsidP="00C917D6">
            <w:pPr>
              <w:pStyle w:val="NormalLeft"/>
            </w:pPr>
            <w:r w:rsidRPr="00DE12A3">
              <w:t>39</w:t>
            </w:r>
          </w:p>
        </w:tc>
        <w:tc>
          <w:tcPr>
            <w:tcW w:w="2551" w:type="dxa"/>
            <w:tcBorders>
              <w:top w:val="single" w:sz="2" w:space="0" w:color="auto"/>
              <w:left w:val="single" w:sz="2" w:space="0" w:color="auto"/>
              <w:bottom w:val="single" w:sz="2" w:space="0" w:color="auto"/>
              <w:right w:val="single" w:sz="2" w:space="0" w:color="auto"/>
            </w:tcBorders>
          </w:tcPr>
          <w:p w14:paraId="2C0C6C4F" w14:textId="77777777" w:rsidR="009F4766" w:rsidRPr="00DE12A3" w:rsidRDefault="009F4766" w:rsidP="00C917D6">
            <w:pPr>
              <w:pStyle w:val="NormalLeft"/>
            </w:pPr>
            <w:r w:rsidRPr="00DE12A3">
              <w:t>54</w:t>
            </w:r>
          </w:p>
        </w:tc>
      </w:tr>
      <w:tr w:rsidR="00DE12A3" w:rsidRPr="00DE12A3" w14:paraId="5F6187E7" w14:textId="77777777" w:rsidTr="009F4766">
        <w:tc>
          <w:tcPr>
            <w:tcW w:w="1182" w:type="dxa"/>
            <w:tcBorders>
              <w:top w:val="single" w:sz="2" w:space="0" w:color="auto"/>
              <w:left w:val="single" w:sz="2" w:space="0" w:color="auto"/>
              <w:bottom w:val="single" w:sz="2" w:space="0" w:color="auto"/>
              <w:right w:val="single" w:sz="2" w:space="0" w:color="auto"/>
            </w:tcBorders>
          </w:tcPr>
          <w:p w14:paraId="717CE9E6" w14:textId="77777777" w:rsidR="009F4766" w:rsidRPr="00DE12A3" w:rsidRDefault="009F4766" w:rsidP="00C917D6">
            <w:pPr>
              <w:pStyle w:val="NormalLeft"/>
            </w:pPr>
            <w:r w:rsidRPr="00DE12A3">
              <w:t>297</w:t>
            </w:r>
          </w:p>
        </w:tc>
        <w:tc>
          <w:tcPr>
            <w:tcW w:w="2489" w:type="dxa"/>
            <w:tcBorders>
              <w:top w:val="single" w:sz="2" w:space="0" w:color="auto"/>
              <w:left w:val="single" w:sz="2" w:space="0" w:color="auto"/>
              <w:bottom w:val="single" w:sz="2" w:space="0" w:color="auto"/>
              <w:right w:val="single" w:sz="2" w:space="0" w:color="auto"/>
            </w:tcBorders>
          </w:tcPr>
          <w:p w14:paraId="60261137" w14:textId="77777777" w:rsidR="009F4766" w:rsidRPr="00DE12A3" w:rsidRDefault="009F4766" w:rsidP="00C917D6">
            <w:pPr>
              <w:pStyle w:val="NormalLeft"/>
            </w:pPr>
            <w:r w:rsidRPr="00DE12A3">
              <w:t>63</w:t>
            </w:r>
          </w:p>
        </w:tc>
        <w:tc>
          <w:tcPr>
            <w:tcW w:w="2551" w:type="dxa"/>
            <w:tcBorders>
              <w:top w:val="single" w:sz="2" w:space="0" w:color="auto"/>
              <w:left w:val="single" w:sz="2" w:space="0" w:color="auto"/>
              <w:bottom w:val="single" w:sz="2" w:space="0" w:color="auto"/>
              <w:right w:val="single" w:sz="2" w:space="0" w:color="auto"/>
            </w:tcBorders>
          </w:tcPr>
          <w:p w14:paraId="2F6F6424" w14:textId="77777777" w:rsidR="009F4766" w:rsidRPr="00DE12A3" w:rsidRDefault="009F4766" w:rsidP="00C917D6">
            <w:pPr>
              <w:pStyle w:val="NormalLeft"/>
            </w:pPr>
            <w:r w:rsidRPr="00DE12A3">
              <w:t>58</w:t>
            </w:r>
          </w:p>
        </w:tc>
      </w:tr>
      <w:tr w:rsidR="00DE12A3" w:rsidRPr="00DE12A3" w14:paraId="4D9E224F" w14:textId="77777777" w:rsidTr="009F4766">
        <w:tc>
          <w:tcPr>
            <w:tcW w:w="1182" w:type="dxa"/>
            <w:tcBorders>
              <w:top w:val="single" w:sz="2" w:space="0" w:color="auto"/>
              <w:left w:val="single" w:sz="2" w:space="0" w:color="auto"/>
              <w:bottom w:val="single" w:sz="2" w:space="0" w:color="auto"/>
              <w:right w:val="single" w:sz="2" w:space="0" w:color="auto"/>
            </w:tcBorders>
          </w:tcPr>
          <w:p w14:paraId="3BA7860E" w14:textId="77777777" w:rsidR="009F4766" w:rsidRPr="00DE12A3" w:rsidRDefault="009F4766" w:rsidP="00C917D6">
            <w:pPr>
              <w:pStyle w:val="NormalLeft"/>
            </w:pPr>
            <w:r w:rsidRPr="00DE12A3">
              <w:t>298</w:t>
            </w:r>
          </w:p>
        </w:tc>
        <w:tc>
          <w:tcPr>
            <w:tcW w:w="2489" w:type="dxa"/>
            <w:tcBorders>
              <w:top w:val="single" w:sz="2" w:space="0" w:color="auto"/>
              <w:left w:val="single" w:sz="2" w:space="0" w:color="auto"/>
              <w:bottom w:val="single" w:sz="2" w:space="0" w:color="auto"/>
              <w:right w:val="single" w:sz="2" w:space="0" w:color="auto"/>
            </w:tcBorders>
          </w:tcPr>
          <w:p w14:paraId="24CE9876" w14:textId="77777777" w:rsidR="009F4766" w:rsidRPr="00DE12A3" w:rsidRDefault="009F4766" w:rsidP="00C917D6">
            <w:pPr>
              <w:pStyle w:val="NormalLeft"/>
            </w:pPr>
            <w:r w:rsidRPr="00DE12A3">
              <w:t>53</w:t>
            </w:r>
          </w:p>
        </w:tc>
        <w:tc>
          <w:tcPr>
            <w:tcW w:w="2551" w:type="dxa"/>
            <w:tcBorders>
              <w:top w:val="single" w:sz="2" w:space="0" w:color="auto"/>
              <w:left w:val="single" w:sz="2" w:space="0" w:color="auto"/>
              <w:bottom w:val="single" w:sz="2" w:space="0" w:color="auto"/>
              <w:right w:val="single" w:sz="2" w:space="0" w:color="auto"/>
            </w:tcBorders>
          </w:tcPr>
          <w:p w14:paraId="24BBA463" w14:textId="77777777" w:rsidR="009F4766" w:rsidRPr="00DE12A3" w:rsidRDefault="009F4766" w:rsidP="00C917D6">
            <w:pPr>
              <w:pStyle w:val="NormalLeft"/>
            </w:pPr>
            <w:r w:rsidRPr="00DE12A3">
              <w:t>31</w:t>
            </w:r>
          </w:p>
        </w:tc>
      </w:tr>
      <w:tr w:rsidR="00DE12A3" w:rsidRPr="00DE12A3" w14:paraId="49B97DF0" w14:textId="77777777" w:rsidTr="009F4766">
        <w:tc>
          <w:tcPr>
            <w:tcW w:w="1182" w:type="dxa"/>
            <w:tcBorders>
              <w:top w:val="single" w:sz="2" w:space="0" w:color="auto"/>
              <w:left w:val="single" w:sz="2" w:space="0" w:color="auto"/>
              <w:bottom w:val="single" w:sz="2" w:space="0" w:color="auto"/>
              <w:right w:val="single" w:sz="2" w:space="0" w:color="auto"/>
            </w:tcBorders>
          </w:tcPr>
          <w:p w14:paraId="46972151" w14:textId="77777777" w:rsidR="009F4766" w:rsidRPr="00DE12A3" w:rsidRDefault="009F4766" w:rsidP="00C917D6">
            <w:pPr>
              <w:pStyle w:val="NormalLeft"/>
            </w:pPr>
            <w:r w:rsidRPr="00DE12A3">
              <w:t>299</w:t>
            </w:r>
          </w:p>
        </w:tc>
        <w:tc>
          <w:tcPr>
            <w:tcW w:w="2489" w:type="dxa"/>
            <w:tcBorders>
              <w:top w:val="single" w:sz="2" w:space="0" w:color="auto"/>
              <w:left w:val="single" w:sz="2" w:space="0" w:color="auto"/>
              <w:bottom w:val="single" w:sz="2" w:space="0" w:color="auto"/>
              <w:right w:val="single" w:sz="2" w:space="0" w:color="auto"/>
            </w:tcBorders>
          </w:tcPr>
          <w:p w14:paraId="2EE5FA7E" w14:textId="77777777" w:rsidR="009F4766" w:rsidRPr="00DE12A3" w:rsidRDefault="009F4766" w:rsidP="00C917D6">
            <w:pPr>
              <w:pStyle w:val="NormalLeft"/>
            </w:pPr>
            <w:r w:rsidRPr="00DE12A3">
              <w:t>51</w:t>
            </w:r>
          </w:p>
        </w:tc>
        <w:tc>
          <w:tcPr>
            <w:tcW w:w="2551" w:type="dxa"/>
            <w:tcBorders>
              <w:top w:val="single" w:sz="2" w:space="0" w:color="auto"/>
              <w:left w:val="single" w:sz="2" w:space="0" w:color="auto"/>
              <w:bottom w:val="single" w:sz="2" w:space="0" w:color="auto"/>
              <w:right w:val="single" w:sz="2" w:space="0" w:color="auto"/>
            </w:tcBorders>
          </w:tcPr>
          <w:p w14:paraId="47C773FD" w14:textId="77777777" w:rsidR="009F4766" w:rsidRPr="00DE12A3" w:rsidRDefault="009F4766" w:rsidP="00C917D6">
            <w:pPr>
              <w:pStyle w:val="NormalLeft"/>
            </w:pPr>
            <w:r w:rsidRPr="00DE12A3">
              <w:t>24</w:t>
            </w:r>
          </w:p>
        </w:tc>
      </w:tr>
      <w:tr w:rsidR="00DE12A3" w:rsidRPr="00DE12A3" w14:paraId="4237B917" w14:textId="77777777" w:rsidTr="009F4766">
        <w:tc>
          <w:tcPr>
            <w:tcW w:w="1182" w:type="dxa"/>
            <w:tcBorders>
              <w:top w:val="single" w:sz="2" w:space="0" w:color="auto"/>
              <w:left w:val="single" w:sz="2" w:space="0" w:color="auto"/>
              <w:bottom w:val="single" w:sz="2" w:space="0" w:color="auto"/>
              <w:right w:val="single" w:sz="2" w:space="0" w:color="auto"/>
            </w:tcBorders>
          </w:tcPr>
          <w:p w14:paraId="6C212F89" w14:textId="77777777" w:rsidR="009F4766" w:rsidRPr="00DE12A3" w:rsidRDefault="009F4766" w:rsidP="00C917D6">
            <w:pPr>
              <w:pStyle w:val="NormalLeft"/>
            </w:pPr>
            <w:r w:rsidRPr="00DE12A3">
              <w:t>300</w:t>
            </w:r>
          </w:p>
        </w:tc>
        <w:tc>
          <w:tcPr>
            <w:tcW w:w="2489" w:type="dxa"/>
            <w:tcBorders>
              <w:top w:val="single" w:sz="2" w:space="0" w:color="auto"/>
              <w:left w:val="single" w:sz="2" w:space="0" w:color="auto"/>
              <w:bottom w:val="single" w:sz="2" w:space="0" w:color="auto"/>
              <w:right w:val="single" w:sz="2" w:space="0" w:color="auto"/>
            </w:tcBorders>
          </w:tcPr>
          <w:p w14:paraId="50298252" w14:textId="77777777" w:rsidR="009F4766" w:rsidRPr="00DE12A3" w:rsidRDefault="009F4766" w:rsidP="00C917D6">
            <w:pPr>
              <w:pStyle w:val="NormalLeft"/>
            </w:pPr>
            <w:r w:rsidRPr="00DE12A3">
              <w:t>48</w:t>
            </w:r>
          </w:p>
        </w:tc>
        <w:tc>
          <w:tcPr>
            <w:tcW w:w="2551" w:type="dxa"/>
            <w:tcBorders>
              <w:top w:val="single" w:sz="2" w:space="0" w:color="auto"/>
              <w:left w:val="single" w:sz="2" w:space="0" w:color="auto"/>
              <w:bottom w:val="single" w:sz="2" w:space="0" w:color="auto"/>
              <w:right w:val="single" w:sz="2" w:space="0" w:color="auto"/>
            </w:tcBorders>
          </w:tcPr>
          <w:p w14:paraId="63795ED3" w14:textId="77777777" w:rsidR="009F4766" w:rsidRPr="00DE12A3" w:rsidRDefault="009F4766" w:rsidP="00C917D6">
            <w:pPr>
              <w:pStyle w:val="NormalLeft"/>
            </w:pPr>
            <w:r w:rsidRPr="00DE12A3">
              <w:t>40</w:t>
            </w:r>
          </w:p>
        </w:tc>
      </w:tr>
      <w:tr w:rsidR="00DE12A3" w:rsidRPr="00DE12A3" w14:paraId="204C0D90" w14:textId="77777777" w:rsidTr="009F4766">
        <w:tc>
          <w:tcPr>
            <w:tcW w:w="1182" w:type="dxa"/>
            <w:tcBorders>
              <w:top w:val="single" w:sz="2" w:space="0" w:color="auto"/>
              <w:left w:val="single" w:sz="2" w:space="0" w:color="auto"/>
              <w:bottom w:val="single" w:sz="2" w:space="0" w:color="auto"/>
              <w:right w:val="single" w:sz="2" w:space="0" w:color="auto"/>
            </w:tcBorders>
          </w:tcPr>
          <w:p w14:paraId="6EC48B88" w14:textId="77777777" w:rsidR="009F4766" w:rsidRPr="00DE12A3" w:rsidRDefault="009F4766" w:rsidP="00C917D6">
            <w:pPr>
              <w:pStyle w:val="NormalLeft"/>
            </w:pPr>
            <w:r w:rsidRPr="00DE12A3">
              <w:t>301</w:t>
            </w:r>
          </w:p>
        </w:tc>
        <w:tc>
          <w:tcPr>
            <w:tcW w:w="2489" w:type="dxa"/>
            <w:tcBorders>
              <w:top w:val="single" w:sz="2" w:space="0" w:color="auto"/>
              <w:left w:val="single" w:sz="2" w:space="0" w:color="auto"/>
              <w:bottom w:val="single" w:sz="2" w:space="0" w:color="auto"/>
              <w:right w:val="single" w:sz="2" w:space="0" w:color="auto"/>
            </w:tcBorders>
          </w:tcPr>
          <w:p w14:paraId="0529DAFE" w14:textId="77777777" w:rsidR="009F4766" w:rsidRPr="00DE12A3" w:rsidRDefault="009F4766" w:rsidP="00C917D6">
            <w:pPr>
              <w:pStyle w:val="NormalLeft"/>
            </w:pPr>
            <w:r w:rsidRPr="00DE12A3">
              <w:t>39</w:t>
            </w:r>
          </w:p>
        </w:tc>
        <w:tc>
          <w:tcPr>
            <w:tcW w:w="2551" w:type="dxa"/>
            <w:tcBorders>
              <w:top w:val="single" w:sz="2" w:space="0" w:color="auto"/>
              <w:left w:val="single" w:sz="2" w:space="0" w:color="auto"/>
              <w:bottom w:val="single" w:sz="2" w:space="0" w:color="auto"/>
              <w:right w:val="single" w:sz="2" w:space="0" w:color="auto"/>
            </w:tcBorders>
          </w:tcPr>
          <w:p w14:paraId="31C2FC0B" w14:textId="77777777" w:rsidR="009F4766" w:rsidRPr="00DE12A3" w:rsidRDefault="009F4766" w:rsidP="00C917D6">
            <w:pPr>
              <w:pStyle w:val="NormalLeft"/>
            </w:pPr>
            <w:r w:rsidRPr="00DE12A3">
              <w:t>0</w:t>
            </w:r>
          </w:p>
        </w:tc>
      </w:tr>
      <w:tr w:rsidR="00DE12A3" w:rsidRPr="00DE12A3" w14:paraId="25606BE6" w14:textId="77777777" w:rsidTr="009F4766">
        <w:tc>
          <w:tcPr>
            <w:tcW w:w="1182" w:type="dxa"/>
            <w:tcBorders>
              <w:top w:val="single" w:sz="2" w:space="0" w:color="auto"/>
              <w:left w:val="single" w:sz="2" w:space="0" w:color="auto"/>
              <w:bottom w:val="single" w:sz="2" w:space="0" w:color="auto"/>
              <w:right w:val="single" w:sz="2" w:space="0" w:color="auto"/>
            </w:tcBorders>
          </w:tcPr>
          <w:p w14:paraId="20B0FF71" w14:textId="77777777" w:rsidR="009F4766" w:rsidRPr="00DE12A3" w:rsidRDefault="009F4766" w:rsidP="00C917D6">
            <w:pPr>
              <w:pStyle w:val="NormalLeft"/>
            </w:pPr>
            <w:r w:rsidRPr="00DE12A3">
              <w:t>302</w:t>
            </w:r>
          </w:p>
        </w:tc>
        <w:tc>
          <w:tcPr>
            <w:tcW w:w="2489" w:type="dxa"/>
            <w:tcBorders>
              <w:top w:val="single" w:sz="2" w:space="0" w:color="auto"/>
              <w:left w:val="single" w:sz="2" w:space="0" w:color="auto"/>
              <w:bottom w:val="single" w:sz="2" w:space="0" w:color="auto"/>
              <w:right w:val="single" w:sz="2" w:space="0" w:color="auto"/>
            </w:tcBorders>
          </w:tcPr>
          <w:p w14:paraId="41445962" w14:textId="77777777" w:rsidR="009F4766" w:rsidRPr="00DE12A3" w:rsidRDefault="009F4766" w:rsidP="00C917D6">
            <w:pPr>
              <w:pStyle w:val="NormalLeft"/>
            </w:pPr>
            <w:r w:rsidRPr="00DE12A3">
              <w:t>35</w:t>
            </w:r>
          </w:p>
        </w:tc>
        <w:tc>
          <w:tcPr>
            <w:tcW w:w="2551" w:type="dxa"/>
            <w:tcBorders>
              <w:top w:val="single" w:sz="2" w:space="0" w:color="auto"/>
              <w:left w:val="single" w:sz="2" w:space="0" w:color="auto"/>
              <w:bottom w:val="single" w:sz="2" w:space="0" w:color="auto"/>
              <w:right w:val="single" w:sz="2" w:space="0" w:color="auto"/>
            </w:tcBorders>
          </w:tcPr>
          <w:p w14:paraId="7625DB71" w14:textId="77777777" w:rsidR="009F4766" w:rsidRPr="00DE12A3" w:rsidRDefault="009F4766" w:rsidP="00C917D6">
            <w:pPr>
              <w:pStyle w:val="NormalLeft"/>
            </w:pPr>
            <w:r w:rsidRPr="00DE12A3">
              <w:t>18</w:t>
            </w:r>
          </w:p>
        </w:tc>
      </w:tr>
      <w:tr w:rsidR="00DE12A3" w:rsidRPr="00DE12A3" w14:paraId="2637CB82" w14:textId="77777777" w:rsidTr="009F4766">
        <w:tc>
          <w:tcPr>
            <w:tcW w:w="1182" w:type="dxa"/>
            <w:tcBorders>
              <w:top w:val="single" w:sz="2" w:space="0" w:color="auto"/>
              <w:left w:val="single" w:sz="2" w:space="0" w:color="auto"/>
              <w:bottom w:val="single" w:sz="2" w:space="0" w:color="auto"/>
              <w:right w:val="single" w:sz="2" w:space="0" w:color="auto"/>
            </w:tcBorders>
          </w:tcPr>
          <w:p w14:paraId="7F18151E" w14:textId="77777777" w:rsidR="009F4766" w:rsidRPr="00DE12A3" w:rsidRDefault="009F4766" w:rsidP="00C917D6">
            <w:pPr>
              <w:pStyle w:val="NormalLeft"/>
            </w:pPr>
            <w:r w:rsidRPr="00DE12A3">
              <w:t>303</w:t>
            </w:r>
          </w:p>
        </w:tc>
        <w:tc>
          <w:tcPr>
            <w:tcW w:w="2489" w:type="dxa"/>
            <w:tcBorders>
              <w:top w:val="single" w:sz="2" w:space="0" w:color="auto"/>
              <w:left w:val="single" w:sz="2" w:space="0" w:color="auto"/>
              <w:bottom w:val="single" w:sz="2" w:space="0" w:color="auto"/>
              <w:right w:val="single" w:sz="2" w:space="0" w:color="auto"/>
            </w:tcBorders>
          </w:tcPr>
          <w:p w14:paraId="59EF1370" w14:textId="77777777" w:rsidR="009F4766" w:rsidRPr="00DE12A3" w:rsidRDefault="009F4766" w:rsidP="00C917D6">
            <w:pPr>
              <w:pStyle w:val="NormalLeft"/>
            </w:pPr>
            <w:r w:rsidRPr="00DE12A3">
              <w:t>36</w:t>
            </w:r>
          </w:p>
        </w:tc>
        <w:tc>
          <w:tcPr>
            <w:tcW w:w="2551" w:type="dxa"/>
            <w:tcBorders>
              <w:top w:val="single" w:sz="2" w:space="0" w:color="auto"/>
              <w:left w:val="single" w:sz="2" w:space="0" w:color="auto"/>
              <w:bottom w:val="single" w:sz="2" w:space="0" w:color="auto"/>
              <w:right w:val="single" w:sz="2" w:space="0" w:color="auto"/>
            </w:tcBorders>
          </w:tcPr>
          <w:p w14:paraId="43C98D20" w14:textId="77777777" w:rsidR="009F4766" w:rsidRPr="00DE12A3" w:rsidRDefault="009F4766" w:rsidP="00C917D6">
            <w:pPr>
              <w:pStyle w:val="NormalLeft"/>
            </w:pPr>
            <w:r w:rsidRPr="00DE12A3">
              <w:t>16</w:t>
            </w:r>
          </w:p>
        </w:tc>
      </w:tr>
      <w:tr w:rsidR="00DE12A3" w:rsidRPr="00DE12A3" w14:paraId="73DDF67E" w14:textId="77777777" w:rsidTr="009F4766">
        <w:tc>
          <w:tcPr>
            <w:tcW w:w="1182" w:type="dxa"/>
            <w:tcBorders>
              <w:top w:val="single" w:sz="2" w:space="0" w:color="auto"/>
              <w:left w:val="single" w:sz="2" w:space="0" w:color="auto"/>
              <w:bottom w:val="single" w:sz="2" w:space="0" w:color="auto"/>
              <w:right w:val="single" w:sz="2" w:space="0" w:color="auto"/>
            </w:tcBorders>
          </w:tcPr>
          <w:p w14:paraId="45870D9F" w14:textId="77777777" w:rsidR="009F4766" w:rsidRPr="00DE12A3" w:rsidRDefault="009F4766" w:rsidP="00C917D6">
            <w:pPr>
              <w:pStyle w:val="NormalLeft"/>
            </w:pPr>
            <w:r w:rsidRPr="00DE12A3">
              <w:t>304</w:t>
            </w:r>
          </w:p>
        </w:tc>
        <w:tc>
          <w:tcPr>
            <w:tcW w:w="2489" w:type="dxa"/>
            <w:tcBorders>
              <w:top w:val="single" w:sz="2" w:space="0" w:color="auto"/>
              <w:left w:val="single" w:sz="2" w:space="0" w:color="auto"/>
              <w:bottom w:val="single" w:sz="2" w:space="0" w:color="auto"/>
              <w:right w:val="single" w:sz="2" w:space="0" w:color="auto"/>
            </w:tcBorders>
          </w:tcPr>
          <w:p w14:paraId="69226CF8" w14:textId="77777777" w:rsidR="009F4766" w:rsidRPr="00DE12A3" w:rsidRDefault="009F4766" w:rsidP="00C917D6">
            <w:pPr>
              <w:pStyle w:val="NormalLeft"/>
            </w:pPr>
            <w:r w:rsidRPr="00DE12A3">
              <w:t>29</w:t>
            </w:r>
          </w:p>
        </w:tc>
        <w:tc>
          <w:tcPr>
            <w:tcW w:w="2551" w:type="dxa"/>
            <w:tcBorders>
              <w:top w:val="single" w:sz="2" w:space="0" w:color="auto"/>
              <w:left w:val="single" w:sz="2" w:space="0" w:color="auto"/>
              <w:bottom w:val="single" w:sz="2" w:space="0" w:color="auto"/>
              <w:right w:val="single" w:sz="2" w:space="0" w:color="auto"/>
            </w:tcBorders>
          </w:tcPr>
          <w:p w14:paraId="68BB489F" w14:textId="77777777" w:rsidR="009F4766" w:rsidRPr="00DE12A3" w:rsidRDefault="009F4766" w:rsidP="00C917D6">
            <w:pPr>
              <w:pStyle w:val="NormalLeft"/>
            </w:pPr>
            <w:r w:rsidRPr="00DE12A3">
              <w:t>17</w:t>
            </w:r>
          </w:p>
        </w:tc>
      </w:tr>
      <w:tr w:rsidR="00DE12A3" w:rsidRPr="00DE12A3" w14:paraId="35B8644E" w14:textId="77777777" w:rsidTr="009F4766">
        <w:tc>
          <w:tcPr>
            <w:tcW w:w="1182" w:type="dxa"/>
            <w:tcBorders>
              <w:top w:val="single" w:sz="2" w:space="0" w:color="auto"/>
              <w:left w:val="single" w:sz="2" w:space="0" w:color="auto"/>
              <w:bottom w:val="single" w:sz="2" w:space="0" w:color="auto"/>
              <w:right w:val="single" w:sz="2" w:space="0" w:color="auto"/>
            </w:tcBorders>
          </w:tcPr>
          <w:p w14:paraId="25462DD8" w14:textId="77777777" w:rsidR="009F4766" w:rsidRPr="00DE12A3" w:rsidRDefault="009F4766" w:rsidP="00C917D6">
            <w:pPr>
              <w:pStyle w:val="NormalLeft"/>
            </w:pPr>
            <w:r w:rsidRPr="00DE12A3">
              <w:t>305</w:t>
            </w:r>
          </w:p>
        </w:tc>
        <w:tc>
          <w:tcPr>
            <w:tcW w:w="2489" w:type="dxa"/>
            <w:tcBorders>
              <w:top w:val="single" w:sz="2" w:space="0" w:color="auto"/>
              <w:left w:val="single" w:sz="2" w:space="0" w:color="auto"/>
              <w:bottom w:val="single" w:sz="2" w:space="0" w:color="auto"/>
              <w:right w:val="single" w:sz="2" w:space="0" w:color="auto"/>
            </w:tcBorders>
          </w:tcPr>
          <w:p w14:paraId="10598ADE" w14:textId="77777777" w:rsidR="009F4766" w:rsidRPr="00DE12A3" w:rsidRDefault="009F4766" w:rsidP="00C917D6">
            <w:pPr>
              <w:pStyle w:val="NormalLeft"/>
            </w:pPr>
            <w:r w:rsidRPr="00DE12A3">
              <w:t>28</w:t>
            </w:r>
          </w:p>
        </w:tc>
        <w:tc>
          <w:tcPr>
            <w:tcW w:w="2551" w:type="dxa"/>
            <w:tcBorders>
              <w:top w:val="single" w:sz="2" w:space="0" w:color="auto"/>
              <w:left w:val="single" w:sz="2" w:space="0" w:color="auto"/>
              <w:bottom w:val="single" w:sz="2" w:space="0" w:color="auto"/>
              <w:right w:val="single" w:sz="2" w:space="0" w:color="auto"/>
            </w:tcBorders>
          </w:tcPr>
          <w:p w14:paraId="5631207E" w14:textId="77777777" w:rsidR="009F4766" w:rsidRPr="00DE12A3" w:rsidRDefault="009F4766" w:rsidP="00C917D6">
            <w:pPr>
              <w:pStyle w:val="NormalLeft"/>
            </w:pPr>
            <w:r w:rsidRPr="00DE12A3">
              <w:t>21</w:t>
            </w:r>
          </w:p>
        </w:tc>
      </w:tr>
      <w:tr w:rsidR="00DE12A3" w:rsidRPr="00DE12A3" w14:paraId="23B7BB8D" w14:textId="77777777" w:rsidTr="009F4766">
        <w:tc>
          <w:tcPr>
            <w:tcW w:w="1182" w:type="dxa"/>
            <w:tcBorders>
              <w:top w:val="single" w:sz="2" w:space="0" w:color="auto"/>
              <w:left w:val="single" w:sz="2" w:space="0" w:color="auto"/>
              <w:bottom w:val="single" w:sz="2" w:space="0" w:color="auto"/>
              <w:right w:val="single" w:sz="2" w:space="0" w:color="auto"/>
            </w:tcBorders>
          </w:tcPr>
          <w:p w14:paraId="7DECD8B4" w14:textId="77777777" w:rsidR="009F4766" w:rsidRPr="00DE12A3" w:rsidRDefault="009F4766" w:rsidP="00C917D6">
            <w:pPr>
              <w:pStyle w:val="NormalLeft"/>
            </w:pPr>
            <w:r w:rsidRPr="00DE12A3">
              <w:t>306</w:t>
            </w:r>
          </w:p>
        </w:tc>
        <w:tc>
          <w:tcPr>
            <w:tcW w:w="2489" w:type="dxa"/>
            <w:tcBorders>
              <w:top w:val="single" w:sz="2" w:space="0" w:color="auto"/>
              <w:left w:val="single" w:sz="2" w:space="0" w:color="auto"/>
              <w:bottom w:val="single" w:sz="2" w:space="0" w:color="auto"/>
              <w:right w:val="single" w:sz="2" w:space="0" w:color="auto"/>
            </w:tcBorders>
          </w:tcPr>
          <w:p w14:paraId="02425F77" w14:textId="77777777" w:rsidR="009F4766" w:rsidRPr="00DE12A3" w:rsidRDefault="009F4766" w:rsidP="00C917D6">
            <w:pPr>
              <w:pStyle w:val="NormalLeft"/>
            </w:pPr>
            <w:r w:rsidRPr="00DE12A3">
              <w:t>31</w:t>
            </w:r>
          </w:p>
        </w:tc>
        <w:tc>
          <w:tcPr>
            <w:tcW w:w="2551" w:type="dxa"/>
            <w:tcBorders>
              <w:top w:val="single" w:sz="2" w:space="0" w:color="auto"/>
              <w:left w:val="single" w:sz="2" w:space="0" w:color="auto"/>
              <w:bottom w:val="single" w:sz="2" w:space="0" w:color="auto"/>
              <w:right w:val="single" w:sz="2" w:space="0" w:color="auto"/>
            </w:tcBorders>
          </w:tcPr>
          <w:p w14:paraId="47550543" w14:textId="77777777" w:rsidR="009F4766" w:rsidRPr="00DE12A3" w:rsidRDefault="009F4766" w:rsidP="00C917D6">
            <w:pPr>
              <w:pStyle w:val="NormalLeft"/>
            </w:pPr>
            <w:r w:rsidRPr="00DE12A3">
              <w:t>15</w:t>
            </w:r>
          </w:p>
        </w:tc>
      </w:tr>
      <w:tr w:rsidR="00DE12A3" w:rsidRPr="00DE12A3" w14:paraId="67E06BDD" w14:textId="77777777" w:rsidTr="009F4766">
        <w:tc>
          <w:tcPr>
            <w:tcW w:w="1182" w:type="dxa"/>
            <w:tcBorders>
              <w:top w:val="single" w:sz="2" w:space="0" w:color="auto"/>
              <w:left w:val="single" w:sz="2" w:space="0" w:color="auto"/>
              <w:bottom w:val="single" w:sz="2" w:space="0" w:color="auto"/>
              <w:right w:val="single" w:sz="2" w:space="0" w:color="auto"/>
            </w:tcBorders>
          </w:tcPr>
          <w:p w14:paraId="5AA2E364" w14:textId="77777777" w:rsidR="009F4766" w:rsidRPr="00DE12A3" w:rsidRDefault="009F4766" w:rsidP="00C917D6">
            <w:pPr>
              <w:pStyle w:val="NormalLeft"/>
            </w:pPr>
            <w:r w:rsidRPr="00DE12A3">
              <w:t>307</w:t>
            </w:r>
          </w:p>
        </w:tc>
        <w:tc>
          <w:tcPr>
            <w:tcW w:w="2489" w:type="dxa"/>
            <w:tcBorders>
              <w:top w:val="single" w:sz="2" w:space="0" w:color="auto"/>
              <w:left w:val="single" w:sz="2" w:space="0" w:color="auto"/>
              <w:bottom w:val="single" w:sz="2" w:space="0" w:color="auto"/>
              <w:right w:val="single" w:sz="2" w:space="0" w:color="auto"/>
            </w:tcBorders>
          </w:tcPr>
          <w:p w14:paraId="35FA64FF" w14:textId="77777777" w:rsidR="009F4766" w:rsidRPr="00DE12A3" w:rsidRDefault="009F4766" w:rsidP="00C917D6">
            <w:pPr>
              <w:pStyle w:val="NormalLeft"/>
            </w:pPr>
            <w:r w:rsidRPr="00DE12A3">
              <w:t>31</w:t>
            </w:r>
          </w:p>
        </w:tc>
        <w:tc>
          <w:tcPr>
            <w:tcW w:w="2551" w:type="dxa"/>
            <w:tcBorders>
              <w:top w:val="single" w:sz="2" w:space="0" w:color="auto"/>
              <w:left w:val="single" w:sz="2" w:space="0" w:color="auto"/>
              <w:bottom w:val="single" w:sz="2" w:space="0" w:color="auto"/>
              <w:right w:val="single" w:sz="2" w:space="0" w:color="auto"/>
            </w:tcBorders>
          </w:tcPr>
          <w:p w14:paraId="6201532A" w14:textId="77777777" w:rsidR="009F4766" w:rsidRPr="00DE12A3" w:rsidRDefault="009F4766" w:rsidP="00C917D6">
            <w:pPr>
              <w:pStyle w:val="NormalLeft"/>
            </w:pPr>
            <w:r w:rsidRPr="00DE12A3">
              <w:t>10</w:t>
            </w:r>
          </w:p>
        </w:tc>
      </w:tr>
      <w:tr w:rsidR="00DE12A3" w:rsidRPr="00DE12A3" w14:paraId="0F153291" w14:textId="77777777" w:rsidTr="009F4766">
        <w:tc>
          <w:tcPr>
            <w:tcW w:w="1182" w:type="dxa"/>
            <w:tcBorders>
              <w:top w:val="single" w:sz="2" w:space="0" w:color="auto"/>
              <w:left w:val="single" w:sz="2" w:space="0" w:color="auto"/>
              <w:bottom w:val="single" w:sz="2" w:space="0" w:color="auto"/>
              <w:right w:val="single" w:sz="2" w:space="0" w:color="auto"/>
            </w:tcBorders>
          </w:tcPr>
          <w:p w14:paraId="2796F5EC" w14:textId="77777777" w:rsidR="009F4766" w:rsidRPr="00DE12A3" w:rsidRDefault="009F4766" w:rsidP="00C917D6">
            <w:pPr>
              <w:pStyle w:val="NormalLeft"/>
            </w:pPr>
            <w:r w:rsidRPr="00DE12A3">
              <w:lastRenderedPageBreak/>
              <w:t>308</w:t>
            </w:r>
          </w:p>
        </w:tc>
        <w:tc>
          <w:tcPr>
            <w:tcW w:w="2489" w:type="dxa"/>
            <w:tcBorders>
              <w:top w:val="single" w:sz="2" w:space="0" w:color="auto"/>
              <w:left w:val="single" w:sz="2" w:space="0" w:color="auto"/>
              <w:bottom w:val="single" w:sz="2" w:space="0" w:color="auto"/>
              <w:right w:val="single" w:sz="2" w:space="0" w:color="auto"/>
            </w:tcBorders>
          </w:tcPr>
          <w:p w14:paraId="65652324" w14:textId="77777777" w:rsidR="009F4766" w:rsidRPr="00DE12A3" w:rsidRDefault="009F4766" w:rsidP="00C917D6">
            <w:pPr>
              <w:pStyle w:val="NormalLeft"/>
            </w:pPr>
            <w:r w:rsidRPr="00DE12A3">
              <w:t>43</w:t>
            </w:r>
          </w:p>
        </w:tc>
        <w:tc>
          <w:tcPr>
            <w:tcW w:w="2551" w:type="dxa"/>
            <w:tcBorders>
              <w:top w:val="single" w:sz="2" w:space="0" w:color="auto"/>
              <w:left w:val="single" w:sz="2" w:space="0" w:color="auto"/>
              <w:bottom w:val="single" w:sz="2" w:space="0" w:color="auto"/>
              <w:right w:val="single" w:sz="2" w:space="0" w:color="auto"/>
            </w:tcBorders>
          </w:tcPr>
          <w:p w14:paraId="7402160F" w14:textId="77777777" w:rsidR="009F4766" w:rsidRPr="00DE12A3" w:rsidRDefault="009F4766" w:rsidP="00C917D6">
            <w:pPr>
              <w:pStyle w:val="NormalLeft"/>
            </w:pPr>
            <w:r w:rsidRPr="00DE12A3">
              <w:t>19</w:t>
            </w:r>
          </w:p>
        </w:tc>
      </w:tr>
      <w:tr w:rsidR="00DE12A3" w:rsidRPr="00DE12A3" w14:paraId="5B29A2A1" w14:textId="77777777" w:rsidTr="009F4766">
        <w:tc>
          <w:tcPr>
            <w:tcW w:w="1182" w:type="dxa"/>
            <w:tcBorders>
              <w:top w:val="single" w:sz="2" w:space="0" w:color="auto"/>
              <w:left w:val="single" w:sz="2" w:space="0" w:color="auto"/>
              <w:bottom w:val="single" w:sz="2" w:space="0" w:color="auto"/>
              <w:right w:val="single" w:sz="2" w:space="0" w:color="auto"/>
            </w:tcBorders>
          </w:tcPr>
          <w:p w14:paraId="3B41948E" w14:textId="77777777" w:rsidR="009F4766" w:rsidRPr="00DE12A3" w:rsidRDefault="009F4766" w:rsidP="00C917D6">
            <w:pPr>
              <w:pStyle w:val="NormalLeft"/>
            </w:pPr>
            <w:r w:rsidRPr="00DE12A3">
              <w:t>309</w:t>
            </w:r>
          </w:p>
        </w:tc>
        <w:tc>
          <w:tcPr>
            <w:tcW w:w="2489" w:type="dxa"/>
            <w:tcBorders>
              <w:top w:val="single" w:sz="2" w:space="0" w:color="auto"/>
              <w:left w:val="single" w:sz="2" w:space="0" w:color="auto"/>
              <w:bottom w:val="single" w:sz="2" w:space="0" w:color="auto"/>
              <w:right w:val="single" w:sz="2" w:space="0" w:color="auto"/>
            </w:tcBorders>
          </w:tcPr>
          <w:p w14:paraId="5DECE80C" w14:textId="77777777" w:rsidR="009F4766" w:rsidRPr="00DE12A3" w:rsidRDefault="009F4766" w:rsidP="00C917D6">
            <w:pPr>
              <w:pStyle w:val="NormalLeft"/>
            </w:pPr>
            <w:r w:rsidRPr="00DE12A3">
              <w:t>49</w:t>
            </w:r>
          </w:p>
        </w:tc>
        <w:tc>
          <w:tcPr>
            <w:tcW w:w="2551" w:type="dxa"/>
            <w:tcBorders>
              <w:top w:val="single" w:sz="2" w:space="0" w:color="auto"/>
              <w:left w:val="single" w:sz="2" w:space="0" w:color="auto"/>
              <w:bottom w:val="single" w:sz="2" w:space="0" w:color="auto"/>
              <w:right w:val="single" w:sz="2" w:space="0" w:color="auto"/>
            </w:tcBorders>
          </w:tcPr>
          <w:p w14:paraId="648EF3BE" w14:textId="77777777" w:rsidR="009F4766" w:rsidRPr="00DE12A3" w:rsidRDefault="009F4766" w:rsidP="00C917D6">
            <w:pPr>
              <w:pStyle w:val="NormalLeft"/>
            </w:pPr>
            <w:r w:rsidRPr="00DE12A3">
              <w:t>63</w:t>
            </w:r>
          </w:p>
        </w:tc>
      </w:tr>
      <w:tr w:rsidR="00DE12A3" w:rsidRPr="00DE12A3" w14:paraId="33D5454C" w14:textId="77777777" w:rsidTr="009F4766">
        <w:tc>
          <w:tcPr>
            <w:tcW w:w="1182" w:type="dxa"/>
            <w:tcBorders>
              <w:top w:val="single" w:sz="2" w:space="0" w:color="auto"/>
              <w:left w:val="single" w:sz="2" w:space="0" w:color="auto"/>
              <w:bottom w:val="single" w:sz="2" w:space="0" w:color="auto"/>
              <w:right w:val="single" w:sz="2" w:space="0" w:color="auto"/>
            </w:tcBorders>
          </w:tcPr>
          <w:p w14:paraId="6750D5D3" w14:textId="77777777" w:rsidR="009F4766" w:rsidRPr="00DE12A3" w:rsidRDefault="009F4766" w:rsidP="00C917D6">
            <w:pPr>
              <w:pStyle w:val="NormalLeft"/>
            </w:pPr>
            <w:r w:rsidRPr="00DE12A3">
              <w:t>310</w:t>
            </w:r>
          </w:p>
        </w:tc>
        <w:tc>
          <w:tcPr>
            <w:tcW w:w="2489" w:type="dxa"/>
            <w:tcBorders>
              <w:top w:val="single" w:sz="2" w:space="0" w:color="auto"/>
              <w:left w:val="single" w:sz="2" w:space="0" w:color="auto"/>
              <w:bottom w:val="single" w:sz="2" w:space="0" w:color="auto"/>
              <w:right w:val="single" w:sz="2" w:space="0" w:color="auto"/>
            </w:tcBorders>
          </w:tcPr>
          <w:p w14:paraId="2327E99A" w14:textId="77777777" w:rsidR="009F4766" w:rsidRPr="00DE12A3" w:rsidRDefault="009F4766" w:rsidP="00C917D6">
            <w:pPr>
              <w:pStyle w:val="NormalLeft"/>
            </w:pPr>
            <w:r w:rsidRPr="00DE12A3">
              <w:t>78</w:t>
            </w:r>
          </w:p>
        </w:tc>
        <w:tc>
          <w:tcPr>
            <w:tcW w:w="2551" w:type="dxa"/>
            <w:tcBorders>
              <w:top w:val="single" w:sz="2" w:space="0" w:color="auto"/>
              <w:left w:val="single" w:sz="2" w:space="0" w:color="auto"/>
              <w:bottom w:val="single" w:sz="2" w:space="0" w:color="auto"/>
              <w:right w:val="single" w:sz="2" w:space="0" w:color="auto"/>
            </w:tcBorders>
          </w:tcPr>
          <w:p w14:paraId="4D398CA4" w14:textId="77777777" w:rsidR="009F4766" w:rsidRPr="00DE12A3" w:rsidRDefault="009F4766" w:rsidP="00C917D6">
            <w:pPr>
              <w:pStyle w:val="NormalLeft"/>
            </w:pPr>
            <w:r w:rsidRPr="00DE12A3">
              <w:t>61</w:t>
            </w:r>
          </w:p>
        </w:tc>
      </w:tr>
      <w:tr w:rsidR="00DE12A3" w:rsidRPr="00DE12A3" w14:paraId="405106C2" w14:textId="77777777" w:rsidTr="009F4766">
        <w:tc>
          <w:tcPr>
            <w:tcW w:w="1182" w:type="dxa"/>
            <w:tcBorders>
              <w:top w:val="single" w:sz="2" w:space="0" w:color="auto"/>
              <w:left w:val="single" w:sz="2" w:space="0" w:color="auto"/>
              <w:bottom w:val="single" w:sz="2" w:space="0" w:color="auto"/>
              <w:right w:val="single" w:sz="2" w:space="0" w:color="auto"/>
            </w:tcBorders>
          </w:tcPr>
          <w:p w14:paraId="17D046A9" w14:textId="77777777" w:rsidR="009F4766" w:rsidRPr="00DE12A3" w:rsidRDefault="009F4766" w:rsidP="00C917D6">
            <w:pPr>
              <w:pStyle w:val="NormalLeft"/>
            </w:pPr>
            <w:r w:rsidRPr="00DE12A3">
              <w:t>311</w:t>
            </w:r>
          </w:p>
        </w:tc>
        <w:tc>
          <w:tcPr>
            <w:tcW w:w="2489" w:type="dxa"/>
            <w:tcBorders>
              <w:top w:val="single" w:sz="2" w:space="0" w:color="auto"/>
              <w:left w:val="single" w:sz="2" w:space="0" w:color="auto"/>
              <w:bottom w:val="single" w:sz="2" w:space="0" w:color="auto"/>
              <w:right w:val="single" w:sz="2" w:space="0" w:color="auto"/>
            </w:tcBorders>
          </w:tcPr>
          <w:p w14:paraId="2C3370E7" w14:textId="77777777" w:rsidR="009F4766" w:rsidRPr="00DE12A3" w:rsidRDefault="009F4766" w:rsidP="00C917D6">
            <w:pPr>
              <w:pStyle w:val="NormalLeft"/>
            </w:pPr>
            <w:r w:rsidRPr="00DE12A3">
              <w:t>78</w:t>
            </w:r>
          </w:p>
        </w:tc>
        <w:tc>
          <w:tcPr>
            <w:tcW w:w="2551" w:type="dxa"/>
            <w:tcBorders>
              <w:top w:val="single" w:sz="2" w:space="0" w:color="auto"/>
              <w:left w:val="single" w:sz="2" w:space="0" w:color="auto"/>
              <w:bottom w:val="single" w:sz="2" w:space="0" w:color="auto"/>
              <w:right w:val="single" w:sz="2" w:space="0" w:color="auto"/>
            </w:tcBorders>
          </w:tcPr>
          <w:p w14:paraId="4C7F078A" w14:textId="77777777" w:rsidR="009F4766" w:rsidRPr="00DE12A3" w:rsidRDefault="009F4766" w:rsidP="00C917D6">
            <w:pPr>
              <w:pStyle w:val="NormalLeft"/>
            </w:pPr>
            <w:r w:rsidRPr="00DE12A3">
              <w:t>46</w:t>
            </w:r>
          </w:p>
        </w:tc>
      </w:tr>
      <w:tr w:rsidR="00DE12A3" w:rsidRPr="00DE12A3" w14:paraId="3C6399A7" w14:textId="77777777" w:rsidTr="009F4766">
        <w:tc>
          <w:tcPr>
            <w:tcW w:w="1182" w:type="dxa"/>
            <w:tcBorders>
              <w:top w:val="single" w:sz="2" w:space="0" w:color="auto"/>
              <w:left w:val="single" w:sz="2" w:space="0" w:color="auto"/>
              <w:bottom w:val="single" w:sz="2" w:space="0" w:color="auto"/>
              <w:right w:val="single" w:sz="2" w:space="0" w:color="auto"/>
            </w:tcBorders>
          </w:tcPr>
          <w:p w14:paraId="7F7D2135" w14:textId="77777777" w:rsidR="009F4766" w:rsidRPr="00DE12A3" w:rsidRDefault="009F4766" w:rsidP="00C917D6">
            <w:pPr>
              <w:pStyle w:val="NormalLeft"/>
            </w:pPr>
            <w:r w:rsidRPr="00DE12A3">
              <w:t>312</w:t>
            </w:r>
          </w:p>
        </w:tc>
        <w:tc>
          <w:tcPr>
            <w:tcW w:w="2489" w:type="dxa"/>
            <w:tcBorders>
              <w:top w:val="single" w:sz="2" w:space="0" w:color="auto"/>
              <w:left w:val="single" w:sz="2" w:space="0" w:color="auto"/>
              <w:bottom w:val="single" w:sz="2" w:space="0" w:color="auto"/>
              <w:right w:val="single" w:sz="2" w:space="0" w:color="auto"/>
            </w:tcBorders>
          </w:tcPr>
          <w:p w14:paraId="7E6FDB32" w14:textId="77777777" w:rsidR="009F4766" w:rsidRPr="00DE12A3" w:rsidRDefault="009F4766" w:rsidP="00C917D6">
            <w:pPr>
              <w:pStyle w:val="NormalLeft"/>
            </w:pPr>
            <w:r w:rsidRPr="00DE12A3">
              <w:t>66</w:t>
            </w:r>
          </w:p>
        </w:tc>
        <w:tc>
          <w:tcPr>
            <w:tcW w:w="2551" w:type="dxa"/>
            <w:tcBorders>
              <w:top w:val="single" w:sz="2" w:space="0" w:color="auto"/>
              <w:left w:val="single" w:sz="2" w:space="0" w:color="auto"/>
              <w:bottom w:val="single" w:sz="2" w:space="0" w:color="auto"/>
              <w:right w:val="single" w:sz="2" w:space="0" w:color="auto"/>
            </w:tcBorders>
          </w:tcPr>
          <w:p w14:paraId="24391190" w14:textId="77777777" w:rsidR="009F4766" w:rsidRPr="00DE12A3" w:rsidRDefault="009F4766" w:rsidP="00C917D6">
            <w:pPr>
              <w:pStyle w:val="NormalLeft"/>
            </w:pPr>
            <w:r w:rsidRPr="00DE12A3">
              <w:t>65</w:t>
            </w:r>
          </w:p>
        </w:tc>
      </w:tr>
      <w:tr w:rsidR="00DE12A3" w:rsidRPr="00DE12A3" w14:paraId="1CE1D729" w14:textId="77777777" w:rsidTr="009F4766">
        <w:tc>
          <w:tcPr>
            <w:tcW w:w="1182" w:type="dxa"/>
            <w:tcBorders>
              <w:top w:val="single" w:sz="2" w:space="0" w:color="auto"/>
              <w:left w:val="single" w:sz="2" w:space="0" w:color="auto"/>
              <w:bottom w:val="single" w:sz="2" w:space="0" w:color="auto"/>
              <w:right w:val="single" w:sz="2" w:space="0" w:color="auto"/>
            </w:tcBorders>
          </w:tcPr>
          <w:p w14:paraId="540A7B6D" w14:textId="77777777" w:rsidR="009F4766" w:rsidRPr="00DE12A3" w:rsidRDefault="009F4766" w:rsidP="00C917D6">
            <w:pPr>
              <w:pStyle w:val="NormalLeft"/>
            </w:pPr>
            <w:r w:rsidRPr="00DE12A3">
              <w:t>313</w:t>
            </w:r>
          </w:p>
        </w:tc>
        <w:tc>
          <w:tcPr>
            <w:tcW w:w="2489" w:type="dxa"/>
            <w:tcBorders>
              <w:top w:val="single" w:sz="2" w:space="0" w:color="auto"/>
              <w:left w:val="single" w:sz="2" w:space="0" w:color="auto"/>
              <w:bottom w:val="single" w:sz="2" w:space="0" w:color="auto"/>
              <w:right w:val="single" w:sz="2" w:space="0" w:color="auto"/>
            </w:tcBorders>
          </w:tcPr>
          <w:p w14:paraId="312DE3AF" w14:textId="77777777" w:rsidR="009F4766" w:rsidRPr="00DE12A3" w:rsidRDefault="009F4766" w:rsidP="00C917D6">
            <w:pPr>
              <w:pStyle w:val="NormalLeft"/>
            </w:pPr>
            <w:r w:rsidRPr="00DE12A3">
              <w:t>78</w:t>
            </w:r>
          </w:p>
        </w:tc>
        <w:tc>
          <w:tcPr>
            <w:tcW w:w="2551" w:type="dxa"/>
            <w:tcBorders>
              <w:top w:val="single" w:sz="2" w:space="0" w:color="auto"/>
              <w:left w:val="single" w:sz="2" w:space="0" w:color="auto"/>
              <w:bottom w:val="single" w:sz="2" w:space="0" w:color="auto"/>
              <w:right w:val="single" w:sz="2" w:space="0" w:color="auto"/>
            </w:tcBorders>
          </w:tcPr>
          <w:p w14:paraId="4884774E" w14:textId="77777777" w:rsidR="009F4766" w:rsidRPr="00DE12A3" w:rsidRDefault="009F4766" w:rsidP="00C917D6">
            <w:pPr>
              <w:pStyle w:val="NormalLeft"/>
            </w:pPr>
            <w:r w:rsidRPr="00DE12A3">
              <w:t>97</w:t>
            </w:r>
          </w:p>
        </w:tc>
      </w:tr>
      <w:tr w:rsidR="00DE12A3" w:rsidRPr="00DE12A3" w14:paraId="35E54BFF" w14:textId="77777777" w:rsidTr="009F4766">
        <w:tc>
          <w:tcPr>
            <w:tcW w:w="1182" w:type="dxa"/>
            <w:tcBorders>
              <w:top w:val="single" w:sz="2" w:space="0" w:color="auto"/>
              <w:left w:val="single" w:sz="2" w:space="0" w:color="auto"/>
              <w:bottom w:val="single" w:sz="2" w:space="0" w:color="auto"/>
              <w:right w:val="single" w:sz="2" w:space="0" w:color="auto"/>
            </w:tcBorders>
          </w:tcPr>
          <w:p w14:paraId="1F0801FC" w14:textId="77777777" w:rsidR="009F4766" w:rsidRPr="00DE12A3" w:rsidRDefault="009F4766" w:rsidP="00C917D6">
            <w:pPr>
              <w:pStyle w:val="NormalLeft"/>
            </w:pPr>
            <w:r w:rsidRPr="00DE12A3">
              <w:t>314</w:t>
            </w:r>
          </w:p>
        </w:tc>
        <w:tc>
          <w:tcPr>
            <w:tcW w:w="2489" w:type="dxa"/>
            <w:tcBorders>
              <w:top w:val="single" w:sz="2" w:space="0" w:color="auto"/>
              <w:left w:val="single" w:sz="2" w:space="0" w:color="auto"/>
              <w:bottom w:val="single" w:sz="2" w:space="0" w:color="auto"/>
              <w:right w:val="single" w:sz="2" w:space="0" w:color="auto"/>
            </w:tcBorders>
          </w:tcPr>
          <w:p w14:paraId="1140DBF8" w14:textId="77777777" w:rsidR="009F4766" w:rsidRPr="00DE12A3" w:rsidRDefault="009F4766" w:rsidP="00C917D6">
            <w:pPr>
              <w:pStyle w:val="NormalLeft"/>
            </w:pPr>
            <w:r w:rsidRPr="00DE12A3">
              <w:t>84</w:t>
            </w:r>
          </w:p>
        </w:tc>
        <w:tc>
          <w:tcPr>
            <w:tcW w:w="2551" w:type="dxa"/>
            <w:tcBorders>
              <w:top w:val="single" w:sz="2" w:space="0" w:color="auto"/>
              <w:left w:val="single" w:sz="2" w:space="0" w:color="auto"/>
              <w:bottom w:val="single" w:sz="2" w:space="0" w:color="auto"/>
              <w:right w:val="single" w:sz="2" w:space="0" w:color="auto"/>
            </w:tcBorders>
          </w:tcPr>
          <w:p w14:paraId="00436E26" w14:textId="77777777" w:rsidR="009F4766" w:rsidRPr="00DE12A3" w:rsidRDefault="009F4766" w:rsidP="00C917D6">
            <w:pPr>
              <w:pStyle w:val="NormalLeft"/>
            </w:pPr>
            <w:r w:rsidRPr="00DE12A3">
              <w:t>63</w:t>
            </w:r>
          </w:p>
        </w:tc>
      </w:tr>
      <w:tr w:rsidR="00DE12A3" w:rsidRPr="00DE12A3" w14:paraId="21F19837" w14:textId="77777777" w:rsidTr="009F4766">
        <w:tc>
          <w:tcPr>
            <w:tcW w:w="1182" w:type="dxa"/>
            <w:tcBorders>
              <w:top w:val="single" w:sz="2" w:space="0" w:color="auto"/>
              <w:left w:val="single" w:sz="2" w:space="0" w:color="auto"/>
              <w:bottom w:val="single" w:sz="2" w:space="0" w:color="auto"/>
              <w:right w:val="single" w:sz="2" w:space="0" w:color="auto"/>
            </w:tcBorders>
          </w:tcPr>
          <w:p w14:paraId="38A14536" w14:textId="77777777" w:rsidR="009F4766" w:rsidRPr="00DE12A3" w:rsidRDefault="009F4766" w:rsidP="00C917D6">
            <w:pPr>
              <w:pStyle w:val="NormalLeft"/>
            </w:pPr>
            <w:r w:rsidRPr="00DE12A3">
              <w:t>315</w:t>
            </w:r>
          </w:p>
        </w:tc>
        <w:tc>
          <w:tcPr>
            <w:tcW w:w="2489" w:type="dxa"/>
            <w:tcBorders>
              <w:top w:val="single" w:sz="2" w:space="0" w:color="auto"/>
              <w:left w:val="single" w:sz="2" w:space="0" w:color="auto"/>
              <w:bottom w:val="single" w:sz="2" w:space="0" w:color="auto"/>
              <w:right w:val="single" w:sz="2" w:space="0" w:color="auto"/>
            </w:tcBorders>
          </w:tcPr>
          <w:p w14:paraId="1DE90D19" w14:textId="77777777" w:rsidR="009F4766" w:rsidRPr="00DE12A3" w:rsidRDefault="009F4766" w:rsidP="00C917D6">
            <w:pPr>
              <w:pStyle w:val="NormalLeft"/>
            </w:pPr>
            <w:r w:rsidRPr="00DE12A3">
              <w:t>57</w:t>
            </w:r>
          </w:p>
        </w:tc>
        <w:tc>
          <w:tcPr>
            <w:tcW w:w="2551" w:type="dxa"/>
            <w:tcBorders>
              <w:top w:val="single" w:sz="2" w:space="0" w:color="auto"/>
              <w:left w:val="single" w:sz="2" w:space="0" w:color="auto"/>
              <w:bottom w:val="single" w:sz="2" w:space="0" w:color="auto"/>
              <w:right w:val="single" w:sz="2" w:space="0" w:color="auto"/>
            </w:tcBorders>
          </w:tcPr>
          <w:p w14:paraId="10A841D1" w14:textId="77777777" w:rsidR="009F4766" w:rsidRPr="00DE12A3" w:rsidRDefault="009F4766" w:rsidP="00C917D6">
            <w:pPr>
              <w:pStyle w:val="NormalLeft"/>
            </w:pPr>
            <w:r w:rsidRPr="00DE12A3">
              <w:t>26</w:t>
            </w:r>
          </w:p>
        </w:tc>
      </w:tr>
      <w:tr w:rsidR="00DE12A3" w:rsidRPr="00DE12A3" w14:paraId="31DEEB9B" w14:textId="77777777" w:rsidTr="009F4766">
        <w:tc>
          <w:tcPr>
            <w:tcW w:w="1182" w:type="dxa"/>
            <w:tcBorders>
              <w:top w:val="single" w:sz="2" w:space="0" w:color="auto"/>
              <w:left w:val="single" w:sz="2" w:space="0" w:color="auto"/>
              <w:bottom w:val="single" w:sz="2" w:space="0" w:color="auto"/>
              <w:right w:val="single" w:sz="2" w:space="0" w:color="auto"/>
            </w:tcBorders>
          </w:tcPr>
          <w:p w14:paraId="4C692CAD" w14:textId="77777777" w:rsidR="009F4766" w:rsidRPr="00DE12A3" w:rsidRDefault="009F4766" w:rsidP="00C917D6">
            <w:pPr>
              <w:pStyle w:val="NormalLeft"/>
            </w:pPr>
            <w:r w:rsidRPr="00DE12A3">
              <w:t>316</w:t>
            </w:r>
          </w:p>
        </w:tc>
        <w:tc>
          <w:tcPr>
            <w:tcW w:w="2489" w:type="dxa"/>
            <w:tcBorders>
              <w:top w:val="single" w:sz="2" w:space="0" w:color="auto"/>
              <w:left w:val="single" w:sz="2" w:space="0" w:color="auto"/>
              <w:bottom w:val="single" w:sz="2" w:space="0" w:color="auto"/>
              <w:right w:val="single" w:sz="2" w:space="0" w:color="auto"/>
            </w:tcBorders>
          </w:tcPr>
          <w:p w14:paraId="79E3D99D" w14:textId="77777777" w:rsidR="009F4766" w:rsidRPr="00DE12A3" w:rsidRDefault="009F4766" w:rsidP="00C917D6">
            <w:pPr>
              <w:pStyle w:val="NormalLeft"/>
            </w:pPr>
            <w:r w:rsidRPr="00DE12A3">
              <w:t>36</w:t>
            </w:r>
          </w:p>
        </w:tc>
        <w:tc>
          <w:tcPr>
            <w:tcW w:w="2551" w:type="dxa"/>
            <w:tcBorders>
              <w:top w:val="single" w:sz="2" w:space="0" w:color="auto"/>
              <w:left w:val="single" w:sz="2" w:space="0" w:color="auto"/>
              <w:bottom w:val="single" w:sz="2" w:space="0" w:color="auto"/>
              <w:right w:val="single" w:sz="2" w:space="0" w:color="auto"/>
            </w:tcBorders>
          </w:tcPr>
          <w:p w14:paraId="35204409" w14:textId="77777777" w:rsidR="009F4766" w:rsidRPr="00DE12A3" w:rsidRDefault="009F4766" w:rsidP="00C917D6">
            <w:pPr>
              <w:pStyle w:val="NormalLeft"/>
            </w:pPr>
            <w:r w:rsidRPr="00DE12A3">
              <w:t>22</w:t>
            </w:r>
          </w:p>
        </w:tc>
      </w:tr>
      <w:tr w:rsidR="00DE12A3" w:rsidRPr="00DE12A3" w14:paraId="257DBAB3" w14:textId="77777777" w:rsidTr="009F4766">
        <w:tc>
          <w:tcPr>
            <w:tcW w:w="1182" w:type="dxa"/>
            <w:tcBorders>
              <w:top w:val="single" w:sz="2" w:space="0" w:color="auto"/>
              <w:left w:val="single" w:sz="2" w:space="0" w:color="auto"/>
              <w:bottom w:val="single" w:sz="2" w:space="0" w:color="auto"/>
              <w:right w:val="single" w:sz="2" w:space="0" w:color="auto"/>
            </w:tcBorders>
          </w:tcPr>
          <w:p w14:paraId="50016715" w14:textId="77777777" w:rsidR="009F4766" w:rsidRPr="00DE12A3" w:rsidRDefault="009F4766" w:rsidP="00C917D6">
            <w:pPr>
              <w:pStyle w:val="NormalLeft"/>
            </w:pPr>
            <w:r w:rsidRPr="00DE12A3">
              <w:t>317</w:t>
            </w:r>
          </w:p>
        </w:tc>
        <w:tc>
          <w:tcPr>
            <w:tcW w:w="2489" w:type="dxa"/>
            <w:tcBorders>
              <w:top w:val="single" w:sz="2" w:space="0" w:color="auto"/>
              <w:left w:val="single" w:sz="2" w:space="0" w:color="auto"/>
              <w:bottom w:val="single" w:sz="2" w:space="0" w:color="auto"/>
              <w:right w:val="single" w:sz="2" w:space="0" w:color="auto"/>
            </w:tcBorders>
          </w:tcPr>
          <w:p w14:paraId="60DC7F4C" w14:textId="77777777" w:rsidR="009F4766" w:rsidRPr="00DE12A3" w:rsidRDefault="009F4766" w:rsidP="00C917D6">
            <w:pPr>
              <w:pStyle w:val="NormalLeft"/>
            </w:pPr>
            <w:r w:rsidRPr="00DE12A3">
              <w:t>20</w:t>
            </w:r>
          </w:p>
        </w:tc>
        <w:tc>
          <w:tcPr>
            <w:tcW w:w="2551" w:type="dxa"/>
            <w:tcBorders>
              <w:top w:val="single" w:sz="2" w:space="0" w:color="auto"/>
              <w:left w:val="single" w:sz="2" w:space="0" w:color="auto"/>
              <w:bottom w:val="single" w:sz="2" w:space="0" w:color="auto"/>
              <w:right w:val="single" w:sz="2" w:space="0" w:color="auto"/>
            </w:tcBorders>
          </w:tcPr>
          <w:p w14:paraId="060C6B51" w14:textId="77777777" w:rsidR="009F4766" w:rsidRPr="00DE12A3" w:rsidRDefault="009F4766" w:rsidP="00C917D6">
            <w:pPr>
              <w:pStyle w:val="NormalLeft"/>
            </w:pPr>
            <w:r w:rsidRPr="00DE12A3">
              <w:t>34</w:t>
            </w:r>
          </w:p>
        </w:tc>
      </w:tr>
      <w:tr w:rsidR="00DE12A3" w:rsidRPr="00DE12A3" w14:paraId="50BB98E7" w14:textId="77777777" w:rsidTr="009F4766">
        <w:tc>
          <w:tcPr>
            <w:tcW w:w="1182" w:type="dxa"/>
            <w:tcBorders>
              <w:top w:val="single" w:sz="2" w:space="0" w:color="auto"/>
              <w:left w:val="single" w:sz="2" w:space="0" w:color="auto"/>
              <w:bottom w:val="single" w:sz="2" w:space="0" w:color="auto"/>
              <w:right w:val="single" w:sz="2" w:space="0" w:color="auto"/>
            </w:tcBorders>
          </w:tcPr>
          <w:p w14:paraId="63702850" w14:textId="77777777" w:rsidR="009F4766" w:rsidRPr="00DE12A3" w:rsidRDefault="009F4766" w:rsidP="00C917D6">
            <w:pPr>
              <w:pStyle w:val="NormalLeft"/>
            </w:pPr>
            <w:r w:rsidRPr="00DE12A3">
              <w:t>318</w:t>
            </w:r>
          </w:p>
        </w:tc>
        <w:tc>
          <w:tcPr>
            <w:tcW w:w="2489" w:type="dxa"/>
            <w:tcBorders>
              <w:top w:val="single" w:sz="2" w:space="0" w:color="auto"/>
              <w:left w:val="single" w:sz="2" w:space="0" w:color="auto"/>
              <w:bottom w:val="single" w:sz="2" w:space="0" w:color="auto"/>
              <w:right w:val="single" w:sz="2" w:space="0" w:color="auto"/>
            </w:tcBorders>
          </w:tcPr>
          <w:p w14:paraId="60C7633F" w14:textId="77777777" w:rsidR="009F4766" w:rsidRPr="00DE12A3" w:rsidRDefault="009F4766" w:rsidP="00C917D6">
            <w:pPr>
              <w:pStyle w:val="NormalLeft"/>
            </w:pPr>
            <w:r w:rsidRPr="00DE12A3">
              <w:t>19</w:t>
            </w:r>
          </w:p>
        </w:tc>
        <w:tc>
          <w:tcPr>
            <w:tcW w:w="2551" w:type="dxa"/>
            <w:tcBorders>
              <w:top w:val="single" w:sz="2" w:space="0" w:color="auto"/>
              <w:left w:val="single" w:sz="2" w:space="0" w:color="auto"/>
              <w:bottom w:val="single" w:sz="2" w:space="0" w:color="auto"/>
              <w:right w:val="single" w:sz="2" w:space="0" w:color="auto"/>
            </w:tcBorders>
          </w:tcPr>
          <w:p w14:paraId="5C374E16" w14:textId="77777777" w:rsidR="009F4766" w:rsidRPr="00DE12A3" w:rsidRDefault="009F4766" w:rsidP="00C917D6">
            <w:pPr>
              <w:pStyle w:val="NormalLeft"/>
            </w:pPr>
            <w:r w:rsidRPr="00DE12A3">
              <w:t>8</w:t>
            </w:r>
          </w:p>
        </w:tc>
      </w:tr>
      <w:tr w:rsidR="00DE12A3" w:rsidRPr="00DE12A3" w14:paraId="611D85C3" w14:textId="77777777" w:rsidTr="009F4766">
        <w:tc>
          <w:tcPr>
            <w:tcW w:w="1182" w:type="dxa"/>
            <w:tcBorders>
              <w:top w:val="single" w:sz="2" w:space="0" w:color="auto"/>
              <w:left w:val="single" w:sz="2" w:space="0" w:color="auto"/>
              <w:bottom w:val="single" w:sz="2" w:space="0" w:color="auto"/>
              <w:right w:val="single" w:sz="2" w:space="0" w:color="auto"/>
            </w:tcBorders>
          </w:tcPr>
          <w:p w14:paraId="47E5B9DF" w14:textId="77777777" w:rsidR="009F4766" w:rsidRPr="00DE12A3" w:rsidRDefault="009F4766" w:rsidP="00C917D6">
            <w:pPr>
              <w:pStyle w:val="NormalLeft"/>
            </w:pPr>
            <w:r w:rsidRPr="00DE12A3">
              <w:t>319</w:t>
            </w:r>
          </w:p>
        </w:tc>
        <w:tc>
          <w:tcPr>
            <w:tcW w:w="2489" w:type="dxa"/>
            <w:tcBorders>
              <w:top w:val="single" w:sz="2" w:space="0" w:color="auto"/>
              <w:left w:val="single" w:sz="2" w:space="0" w:color="auto"/>
              <w:bottom w:val="single" w:sz="2" w:space="0" w:color="auto"/>
              <w:right w:val="single" w:sz="2" w:space="0" w:color="auto"/>
            </w:tcBorders>
          </w:tcPr>
          <w:p w14:paraId="531885B0" w14:textId="77777777" w:rsidR="009F4766" w:rsidRPr="00DE12A3" w:rsidRDefault="009F4766" w:rsidP="00C917D6">
            <w:pPr>
              <w:pStyle w:val="NormalLeft"/>
            </w:pPr>
            <w:r w:rsidRPr="00DE12A3">
              <w:t>9</w:t>
            </w:r>
          </w:p>
        </w:tc>
        <w:tc>
          <w:tcPr>
            <w:tcW w:w="2551" w:type="dxa"/>
            <w:tcBorders>
              <w:top w:val="single" w:sz="2" w:space="0" w:color="auto"/>
              <w:left w:val="single" w:sz="2" w:space="0" w:color="auto"/>
              <w:bottom w:val="single" w:sz="2" w:space="0" w:color="auto"/>
              <w:right w:val="single" w:sz="2" w:space="0" w:color="auto"/>
            </w:tcBorders>
          </w:tcPr>
          <w:p w14:paraId="6ECD9D6E" w14:textId="77777777" w:rsidR="009F4766" w:rsidRPr="00DE12A3" w:rsidRDefault="009F4766" w:rsidP="00C917D6">
            <w:pPr>
              <w:pStyle w:val="NormalLeft"/>
            </w:pPr>
            <w:r w:rsidRPr="00DE12A3">
              <w:t>10</w:t>
            </w:r>
          </w:p>
        </w:tc>
      </w:tr>
      <w:tr w:rsidR="00DE12A3" w:rsidRPr="00DE12A3" w14:paraId="2C94F738" w14:textId="77777777" w:rsidTr="009F4766">
        <w:tc>
          <w:tcPr>
            <w:tcW w:w="1182" w:type="dxa"/>
            <w:tcBorders>
              <w:top w:val="single" w:sz="2" w:space="0" w:color="auto"/>
              <w:left w:val="single" w:sz="2" w:space="0" w:color="auto"/>
              <w:bottom w:val="single" w:sz="2" w:space="0" w:color="auto"/>
              <w:right w:val="single" w:sz="2" w:space="0" w:color="auto"/>
            </w:tcBorders>
          </w:tcPr>
          <w:p w14:paraId="44A16CF8" w14:textId="77777777" w:rsidR="009F4766" w:rsidRPr="00DE12A3" w:rsidRDefault="009F4766" w:rsidP="00C917D6">
            <w:pPr>
              <w:pStyle w:val="NormalLeft"/>
            </w:pPr>
            <w:r w:rsidRPr="00DE12A3">
              <w:t>320</w:t>
            </w:r>
          </w:p>
        </w:tc>
        <w:tc>
          <w:tcPr>
            <w:tcW w:w="2489" w:type="dxa"/>
            <w:tcBorders>
              <w:top w:val="single" w:sz="2" w:space="0" w:color="auto"/>
              <w:left w:val="single" w:sz="2" w:space="0" w:color="auto"/>
              <w:bottom w:val="single" w:sz="2" w:space="0" w:color="auto"/>
              <w:right w:val="single" w:sz="2" w:space="0" w:color="auto"/>
            </w:tcBorders>
          </w:tcPr>
          <w:p w14:paraId="7FDE4BD8" w14:textId="77777777" w:rsidR="009F4766" w:rsidRPr="00DE12A3" w:rsidRDefault="009F4766" w:rsidP="00C917D6">
            <w:pPr>
              <w:pStyle w:val="NormalLeft"/>
            </w:pPr>
            <w:r w:rsidRPr="00DE12A3">
              <w:t>5</w:t>
            </w:r>
          </w:p>
        </w:tc>
        <w:tc>
          <w:tcPr>
            <w:tcW w:w="2551" w:type="dxa"/>
            <w:tcBorders>
              <w:top w:val="single" w:sz="2" w:space="0" w:color="auto"/>
              <w:left w:val="single" w:sz="2" w:space="0" w:color="auto"/>
              <w:bottom w:val="single" w:sz="2" w:space="0" w:color="auto"/>
              <w:right w:val="single" w:sz="2" w:space="0" w:color="auto"/>
            </w:tcBorders>
          </w:tcPr>
          <w:p w14:paraId="0E1090F0" w14:textId="77777777" w:rsidR="009F4766" w:rsidRPr="00DE12A3" w:rsidRDefault="009F4766" w:rsidP="00C917D6">
            <w:pPr>
              <w:pStyle w:val="NormalLeft"/>
            </w:pPr>
            <w:r w:rsidRPr="00DE12A3">
              <w:t>5</w:t>
            </w:r>
          </w:p>
        </w:tc>
      </w:tr>
      <w:tr w:rsidR="00DE12A3" w:rsidRPr="00DE12A3" w14:paraId="6028A683" w14:textId="77777777" w:rsidTr="009F4766">
        <w:tc>
          <w:tcPr>
            <w:tcW w:w="1182" w:type="dxa"/>
            <w:tcBorders>
              <w:top w:val="single" w:sz="2" w:space="0" w:color="auto"/>
              <w:left w:val="single" w:sz="2" w:space="0" w:color="auto"/>
              <w:bottom w:val="single" w:sz="2" w:space="0" w:color="auto"/>
              <w:right w:val="single" w:sz="2" w:space="0" w:color="auto"/>
            </w:tcBorders>
          </w:tcPr>
          <w:p w14:paraId="69DCE360" w14:textId="77777777" w:rsidR="009F4766" w:rsidRPr="00DE12A3" w:rsidRDefault="009F4766" w:rsidP="00C917D6">
            <w:pPr>
              <w:pStyle w:val="NormalLeft"/>
            </w:pPr>
            <w:r w:rsidRPr="00DE12A3">
              <w:t>321</w:t>
            </w:r>
          </w:p>
        </w:tc>
        <w:tc>
          <w:tcPr>
            <w:tcW w:w="2489" w:type="dxa"/>
            <w:tcBorders>
              <w:top w:val="single" w:sz="2" w:space="0" w:color="auto"/>
              <w:left w:val="single" w:sz="2" w:space="0" w:color="auto"/>
              <w:bottom w:val="single" w:sz="2" w:space="0" w:color="auto"/>
              <w:right w:val="single" w:sz="2" w:space="0" w:color="auto"/>
            </w:tcBorders>
          </w:tcPr>
          <w:p w14:paraId="5A0BD761" w14:textId="77777777" w:rsidR="009F4766" w:rsidRPr="00DE12A3" w:rsidRDefault="009F4766" w:rsidP="00C917D6">
            <w:pPr>
              <w:pStyle w:val="NormalLeft"/>
            </w:pPr>
            <w:r w:rsidRPr="00DE12A3">
              <w:t>7</w:t>
            </w:r>
          </w:p>
        </w:tc>
        <w:tc>
          <w:tcPr>
            <w:tcW w:w="2551" w:type="dxa"/>
            <w:tcBorders>
              <w:top w:val="single" w:sz="2" w:space="0" w:color="auto"/>
              <w:left w:val="single" w:sz="2" w:space="0" w:color="auto"/>
              <w:bottom w:val="single" w:sz="2" w:space="0" w:color="auto"/>
              <w:right w:val="single" w:sz="2" w:space="0" w:color="auto"/>
            </w:tcBorders>
          </w:tcPr>
          <w:p w14:paraId="13528799" w14:textId="77777777" w:rsidR="009F4766" w:rsidRPr="00DE12A3" w:rsidRDefault="009F4766" w:rsidP="00C917D6">
            <w:pPr>
              <w:pStyle w:val="NormalLeft"/>
            </w:pPr>
            <w:r w:rsidRPr="00DE12A3">
              <w:t>11</w:t>
            </w:r>
          </w:p>
        </w:tc>
      </w:tr>
      <w:tr w:rsidR="00DE12A3" w:rsidRPr="00DE12A3" w14:paraId="05A48EA4" w14:textId="77777777" w:rsidTr="009F4766">
        <w:tc>
          <w:tcPr>
            <w:tcW w:w="1182" w:type="dxa"/>
            <w:tcBorders>
              <w:top w:val="single" w:sz="2" w:space="0" w:color="auto"/>
              <w:left w:val="single" w:sz="2" w:space="0" w:color="auto"/>
              <w:bottom w:val="single" w:sz="2" w:space="0" w:color="auto"/>
              <w:right w:val="single" w:sz="2" w:space="0" w:color="auto"/>
            </w:tcBorders>
          </w:tcPr>
          <w:p w14:paraId="1288D6B2" w14:textId="77777777" w:rsidR="009F4766" w:rsidRPr="00DE12A3" w:rsidRDefault="009F4766" w:rsidP="00C917D6">
            <w:pPr>
              <w:pStyle w:val="NormalLeft"/>
            </w:pPr>
            <w:r w:rsidRPr="00DE12A3">
              <w:t>322</w:t>
            </w:r>
          </w:p>
        </w:tc>
        <w:tc>
          <w:tcPr>
            <w:tcW w:w="2489" w:type="dxa"/>
            <w:tcBorders>
              <w:top w:val="single" w:sz="2" w:space="0" w:color="auto"/>
              <w:left w:val="single" w:sz="2" w:space="0" w:color="auto"/>
              <w:bottom w:val="single" w:sz="2" w:space="0" w:color="auto"/>
              <w:right w:val="single" w:sz="2" w:space="0" w:color="auto"/>
            </w:tcBorders>
          </w:tcPr>
          <w:p w14:paraId="26A11BBE" w14:textId="77777777" w:rsidR="009F4766" w:rsidRPr="00DE12A3" w:rsidRDefault="009F4766" w:rsidP="00C917D6">
            <w:pPr>
              <w:pStyle w:val="NormalLeft"/>
            </w:pPr>
            <w:r w:rsidRPr="00DE12A3">
              <w:t>15</w:t>
            </w:r>
          </w:p>
        </w:tc>
        <w:tc>
          <w:tcPr>
            <w:tcW w:w="2551" w:type="dxa"/>
            <w:tcBorders>
              <w:top w:val="single" w:sz="2" w:space="0" w:color="auto"/>
              <w:left w:val="single" w:sz="2" w:space="0" w:color="auto"/>
              <w:bottom w:val="single" w:sz="2" w:space="0" w:color="auto"/>
              <w:right w:val="single" w:sz="2" w:space="0" w:color="auto"/>
            </w:tcBorders>
          </w:tcPr>
          <w:p w14:paraId="0DB220E4" w14:textId="77777777" w:rsidR="009F4766" w:rsidRPr="00DE12A3" w:rsidRDefault="009F4766" w:rsidP="00C917D6">
            <w:pPr>
              <w:pStyle w:val="NormalLeft"/>
            </w:pPr>
            <w:r w:rsidRPr="00DE12A3">
              <w:t>15</w:t>
            </w:r>
          </w:p>
        </w:tc>
      </w:tr>
      <w:tr w:rsidR="00DE12A3" w:rsidRPr="00DE12A3" w14:paraId="502834D1" w14:textId="77777777" w:rsidTr="009F4766">
        <w:tc>
          <w:tcPr>
            <w:tcW w:w="1182" w:type="dxa"/>
            <w:tcBorders>
              <w:top w:val="single" w:sz="2" w:space="0" w:color="auto"/>
              <w:left w:val="single" w:sz="2" w:space="0" w:color="auto"/>
              <w:bottom w:val="single" w:sz="2" w:space="0" w:color="auto"/>
              <w:right w:val="single" w:sz="2" w:space="0" w:color="auto"/>
            </w:tcBorders>
          </w:tcPr>
          <w:p w14:paraId="1500EBD1" w14:textId="77777777" w:rsidR="009F4766" w:rsidRPr="00DE12A3" w:rsidRDefault="009F4766" w:rsidP="00C917D6">
            <w:pPr>
              <w:pStyle w:val="NormalLeft"/>
            </w:pPr>
            <w:r w:rsidRPr="00DE12A3">
              <w:t>323</w:t>
            </w:r>
          </w:p>
        </w:tc>
        <w:tc>
          <w:tcPr>
            <w:tcW w:w="2489" w:type="dxa"/>
            <w:tcBorders>
              <w:top w:val="single" w:sz="2" w:space="0" w:color="auto"/>
              <w:left w:val="single" w:sz="2" w:space="0" w:color="auto"/>
              <w:bottom w:val="single" w:sz="2" w:space="0" w:color="auto"/>
              <w:right w:val="single" w:sz="2" w:space="0" w:color="auto"/>
            </w:tcBorders>
          </w:tcPr>
          <w:p w14:paraId="5F637A47" w14:textId="77777777" w:rsidR="009F4766" w:rsidRPr="00DE12A3" w:rsidRDefault="009F4766" w:rsidP="00C917D6">
            <w:pPr>
              <w:pStyle w:val="NormalLeft"/>
            </w:pPr>
            <w:r w:rsidRPr="00DE12A3">
              <w:t>12</w:t>
            </w:r>
          </w:p>
        </w:tc>
        <w:tc>
          <w:tcPr>
            <w:tcW w:w="2551" w:type="dxa"/>
            <w:tcBorders>
              <w:top w:val="single" w:sz="2" w:space="0" w:color="auto"/>
              <w:left w:val="single" w:sz="2" w:space="0" w:color="auto"/>
              <w:bottom w:val="single" w:sz="2" w:space="0" w:color="auto"/>
              <w:right w:val="single" w:sz="2" w:space="0" w:color="auto"/>
            </w:tcBorders>
          </w:tcPr>
          <w:p w14:paraId="0656EF55" w14:textId="77777777" w:rsidR="009F4766" w:rsidRPr="00DE12A3" w:rsidRDefault="009F4766" w:rsidP="00C917D6">
            <w:pPr>
              <w:pStyle w:val="NormalLeft"/>
            </w:pPr>
            <w:r w:rsidRPr="00DE12A3">
              <w:t>9</w:t>
            </w:r>
          </w:p>
        </w:tc>
      </w:tr>
      <w:tr w:rsidR="00DE12A3" w:rsidRPr="00DE12A3" w14:paraId="5F49B38E" w14:textId="77777777" w:rsidTr="009F4766">
        <w:tc>
          <w:tcPr>
            <w:tcW w:w="1182" w:type="dxa"/>
            <w:tcBorders>
              <w:top w:val="single" w:sz="2" w:space="0" w:color="auto"/>
              <w:left w:val="single" w:sz="2" w:space="0" w:color="auto"/>
              <w:bottom w:val="single" w:sz="2" w:space="0" w:color="auto"/>
              <w:right w:val="single" w:sz="2" w:space="0" w:color="auto"/>
            </w:tcBorders>
          </w:tcPr>
          <w:p w14:paraId="317F24D2" w14:textId="77777777" w:rsidR="009F4766" w:rsidRPr="00DE12A3" w:rsidRDefault="009F4766" w:rsidP="00C917D6">
            <w:pPr>
              <w:pStyle w:val="NormalLeft"/>
            </w:pPr>
            <w:r w:rsidRPr="00DE12A3">
              <w:t>324</w:t>
            </w:r>
          </w:p>
        </w:tc>
        <w:tc>
          <w:tcPr>
            <w:tcW w:w="2489" w:type="dxa"/>
            <w:tcBorders>
              <w:top w:val="single" w:sz="2" w:space="0" w:color="auto"/>
              <w:left w:val="single" w:sz="2" w:space="0" w:color="auto"/>
              <w:bottom w:val="single" w:sz="2" w:space="0" w:color="auto"/>
              <w:right w:val="single" w:sz="2" w:space="0" w:color="auto"/>
            </w:tcBorders>
          </w:tcPr>
          <w:p w14:paraId="75B45F88" w14:textId="77777777" w:rsidR="009F4766" w:rsidRPr="00DE12A3" w:rsidRDefault="009F4766" w:rsidP="00C917D6">
            <w:pPr>
              <w:pStyle w:val="NormalLeft"/>
            </w:pPr>
            <w:r w:rsidRPr="00DE12A3">
              <w:t>13</w:t>
            </w:r>
          </w:p>
        </w:tc>
        <w:tc>
          <w:tcPr>
            <w:tcW w:w="2551" w:type="dxa"/>
            <w:tcBorders>
              <w:top w:val="single" w:sz="2" w:space="0" w:color="auto"/>
              <w:left w:val="single" w:sz="2" w:space="0" w:color="auto"/>
              <w:bottom w:val="single" w:sz="2" w:space="0" w:color="auto"/>
              <w:right w:val="single" w:sz="2" w:space="0" w:color="auto"/>
            </w:tcBorders>
          </w:tcPr>
          <w:p w14:paraId="23C1DD0B" w14:textId="77777777" w:rsidR="009F4766" w:rsidRPr="00DE12A3" w:rsidRDefault="009F4766" w:rsidP="00C917D6">
            <w:pPr>
              <w:pStyle w:val="NormalLeft"/>
            </w:pPr>
            <w:r w:rsidRPr="00DE12A3">
              <w:t>27</w:t>
            </w:r>
          </w:p>
        </w:tc>
      </w:tr>
      <w:tr w:rsidR="00DE12A3" w:rsidRPr="00DE12A3" w14:paraId="56B0729D" w14:textId="77777777" w:rsidTr="009F4766">
        <w:tc>
          <w:tcPr>
            <w:tcW w:w="1182" w:type="dxa"/>
            <w:tcBorders>
              <w:top w:val="single" w:sz="2" w:space="0" w:color="auto"/>
              <w:left w:val="single" w:sz="2" w:space="0" w:color="auto"/>
              <w:bottom w:val="single" w:sz="2" w:space="0" w:color="auto"/>
              <w:right w:val="single" w:sz="2" w:space="0" w:color="auto"/>
            </w:tcBorders>
          </w:tcPr>
          <w:p w14:paraId="297A3025" w14:textId="77777777" w:rsidR="009F4766" w:rsidRPr="00DE12A3" w:rsidRDefault="009F4766" w:rsidP="00C917D6">
            <w:pPr>
              <w:pStyle w:val="NormalLeft"/>
            </w:pPr>
            <w:r w:rsidRPr="00DE12A3">
              <w:t>325</w:t>
            </w:r>
          </w:p>
        </w:tc>
        <w:tc>
          <w:tcPr>
            <w:tcW w:w="2489" w:type="dxa"/>
            <w:tcBorders>
              <w:top w:val="single" w:sz="2" w:space="0" w:color="auto"/>
              <w:left w:val="single" w:sz="2" w:space="0" w:color="auto"/>
              <w:bottom w:val="single" w:sz="2" w:space="0" w:color="auto"/>
              <w:right w:val="single" w:sz="2" w:space="0" w:color="auto"/>
            </w:tcBorders>
          </w:tcPr>
          <w:p w14:paraId="4F95C1F3" w14:textId="77777777" w:rsidR="009F4766" w:rsidRPr="00DE12A3" w:rsidRDefault="009F4766" w:rsidP="00C917D6">
            <w:pPr>
              <w:pStyle w:val="NormalLeft"/>
            </w:pPr>
            <w:r w:rsidRPr="00DE12A3">
              <w:t>15</w:t>
            </w:r>
          </w:p>
        </w:tc>
        <w:tc>
          <w:tcPr>
            <w:tcW w:w="2551" w:type="dxa"/>
            <w:tcBorders>
              <w:top w:val="single" w:sz="2" w:space="0" w:color="auto"/>
              <w:left w:val="single" w:sz="2" w:space="0" w:color="auto"/>
              <w:bottom w:val="single" w:sz="2" w:space="0" w:color="auto"/>
              <w:right w:val="single" w:sz="2" w:space="0" w:color="auto"/>
            </w:tcBorders>
          </w:tcPr>
          <w:p w14:paraId="3F3E5E32" w14:textId="77777777" w:rsidR="009F4766" w:rsidRPr="00DE12A3" w:rsidRDefault="009F4766" w:rsidP="00C917D6">
            <w:pPr>
              <w:pStyle w:val="NormalLeft"/>
            </w:pPr>
            <w:r w:rsidRPr="00DE12A3">
              <w:t>28</w:t>
            </w:r>
          </w:p>
        </w:tc>
      </w:tr>
      <w:tr w:rsidR="00DE12A3" w:rsidRPr="00DE12A3" w14:paraId="523DB46D" w14:textId="77777777" w:rsidTr="009F4766">
        <w:tc>
          <w:tcPr>
            <w:tcW w:w="1182" w:type="dxa"/>
            <w:tcBorders>
              <w:top w:val="single" w:sz="2" w:space="0" w:color="auto"/>
              <w:left w:val="single" w:sz="2" w:space="0" w:color="auto"/>
              <w:bottom w:val="single" w:sz="2" w:space="0" w:color="auto"/>
              <w:right w:val="single" w:sz="2" w:space="0" w:color="auto"/>
            </w:tcBorders>
          </w:tcPr>
          <w:p w14:paraId="4A29D1B1" w14:textId="77777777" w:rsidR="009F4766" w:rsidRPr="00DE12A3" w:rsidRDefault="009F4766" w:rsidP="00C917D6">
            <w:pPr>
              <w:pStyle w:val="NormalLeft"/>
            </w:pPr>
            <w:r w:rsidRPr="00DE12A3">
              <w:t>326</w:t>
            </w:r>
          </w:p>
        </w:tc>
        <w:tc>
          <w:tcPr>
            <w:tcW w:w="2489" w:type="dxa"/>
            <w:tcBorders>
              <w:top w:val="single" w:sz="2" w:space="0" w:color="auto"/>
              <w:left w:val="single" w:sz="2" w:space="0" w:color="auto"/>
              <w:bottom w:val="single" w:sz="2" w:space="0" w:color="auto"/>
              <w:right w:val="single" w:sz="2" w:space="0" w:color="auto"/>
            </w:tcBorders>
          </w:tcPr>
          <w:p w14:paraId="415E5947" w14:textId="77777777" w:rsidR="009F4766" w:rsidRPr="00DE12A3" w:rsidRDefault="009F4766" w:rsidP="00C917D6">
            <w:pPr>
              <w:pStyle w:val="NormalLeft"/>
            </w:pPr>
            <w:r w:rsidRPr="00DE12A3">
              <w:t>16</w:t>
            </w:r>
          </w:p>
        </w:tc>
        <w:tc>
          <w:tcPr>
            <w:tcW w:w="2551" w:type="dxa"/>
            <w:tcBorders>
              <w:top w:val="single" w:sz="2" w:space="0" w:color="auto"/>
              <w:left w:val="single" w:sz="2" w:space="0" w:color="auto"/>
              <w:bottom w:val="single" w:sz="2" w:space="0" w:color="auto"/>
              <w:right w:val="single" w:sz="2" w:space="0" w:color="auto"/>
            </w:tcBorders>
          </w:tcPr>
          <w:p w14:paraId="5B93DACC" w14:textId="77777777" w:rsidR="009F4766" w:rsidRPr="00DE12A3" w:rsidRDefault="009F4766" w:rsidP="00C917D6">
            <w:pPr>
              <w:pStyle w:val="NormalLeft"/>
            </w:pPr>
            <w:r w:rsidRPr="00DE12A3">
              <w:t>28</w:t>
            </w:r>
          </w:p>
        </w:tc>
      </w:tr>
      <w:tr w:rsidR="00DE12A3" w:rsidRPr="00DE12A3" w14:paraId="538B69C8" w14:textId="77777777" w:rsidTr="009F4766">
        <w:tc>
          <w:tcPr>
            <w:tcW w:w="1182" w:type="dxa"/>
            <w:tcBorders>
              <w:top w:val="single" w:sz="2" w:space="0" w:color="auto"/>
              <w:left w:val="single" w:sz="2" w:space="0" w:color="auto"/>
              <w:bottom w:val="single" w:sz="2" w:space="0" w:color="auto"/>
              <w:right w:val="single" w:sz="2" w:space="0" w:color="auto"/>
            </w:tcBorders>
          </w:tcPr>
          <w:p w14:paraId="243F9E27" w14:textId="77777777" w:rsidR="009F4766" w:rsidRPr="00DE12A3" w:rsidRDefault="009F4766" w:rsidP="00C917D6">
            <w:pPr>
              <w:pStyle w:val="NormalLeft"/>
            </w:pPr>
            <w:r w:rsidRPr="00DE12A3">
              <w:t>327</w:t>
            </w:r>
          </w:p>
        </w:tc>
        <w:tc>
          <w:tcPr>
            <w:tcW w:w="2489" w:type="dxa"/>
            <w:tcBorders>
              <w:top w:val="single" w:sz="2" w:space="0" w:color="auto"/>
              <w:left w:val="single" w:sz="2" w:space="0" w:color="auto"/>
              <w:bottom w:val="single" w:sz="2" w:space="0" w:color="auto"/>
              <w:right w:val="single" w:sz="2" w:space="0" w:color="auto"/>
            </w:tcBorders>
          </w:tcPr>
          <w:p w14:paraId="37A30EDE" w14:textId="77777777" w:rsidR="009F4766" w:rsidRPr="00DE12A3" w:rsidRDefault="009F4766" w:rsidP="00C917D6">
            <w:pPr>
              <w:pStyle w:val="NormalLeft"/>
            </w:pPr>
            <w:r w:rsidRPr="00DE12A3">
              <w:t>16</w:t>
            </w:r>
          </w:p>
        </w:tc>
        <w:tc>
          <w:tcPr>
            <w:tcW w:w="2551" w:type="dxa"/>
            <w:tcBorders>
              <w:top w:val="single" w:sz="2" w:space="0" w:color="auto"/>
              <w:left w:val="single" w:sz="2" w:space="0" w:color="auto"/>
              <w:bottom w:val="single" w:sz="2" w:space="0" w:color="auto"/>
              <w:right w:val="single" w:sz="2" w:space="0" w:color="auto"/>
            </w:tcBorders>
          </w:tcPr>
          <w:p w14:paraId="057E262E" w14:textId="77777777" w:rsidR="009F4766" w:rsidRPr="00DE12A3" w:rsidRDefault="009F4766" w:rsidP="00C917D6">
            <w:pPr>
              <w:pStyle w:val="NormalLeft"/>
            </w:pPr>
            <w:r w:rsidRPr="00DE12A3">
              <w:t>31</w:t>
            </w:r>
          </w:p>
        </w:tc>
      </w:tr>
      <w:tr w:rsidR="00DE12A3" w:rsidRPr="00DE12A3" w14:paraId="07686D9A" w14:textId="77777777" w:rsidTr="009F4766">
        <w:tc>
          <w:tcPr>
            <w:tcW w:w="1182" w:type="dxa"/>
            <w:tcBorders>
              <w:top w:val="single" w:sz="2" w:space="0" w:color="auto"/>
              <w:left w:val="single" w:sz="2" w:space="0" w:color="auto"/>
              <w:bottom w:val="single" w:sz="2" w:space="0" w:color="auto"/>
              <w:right w:val="single" w:sz="2" w:space="0" w:color="auto"/>
            </w:tcBorders>
          </w:tcPr>
          <w:p w14:paraId="26660AE7" w14:textId="77777777" w:rsidR="009F4766" w:rsidRPr="00DE12A3" w:rsidRDefault="009F4766" w:rsidP="00C917D6">
            <w:pPr>
              <w:pStyle w:val="NormalLeft"/>
            </w:pPr>
            <w:r w:rsidRPr="00DE12A3">
              <w:t>328</w:t>
            </w:r>
          </w:p>
        </w:tc>
        <w:tc>
          <w:tcPr>
            <w:tcW w:w="2489" w:type="dxa"/>
            <w:tcBorders>
              <w:top w:val="single" w:sz="2" w:space="0" w:color="auto"/>
              <w:left w:val="single" w:sz="2" w:space="0" w:color="auto"/>
              <w:bottom w:val="single" w:sz="2" w:space="0" w:color="auto"/>
              <w:right w:val="single" w:sz="2" w:space="0" w:color="auto"/>
            </w:tcBorders>
          </w:tcPr>
          <w:p w14:paraId="33BD1350" w14:textId="77777777" w:rsidR="009F4766" w:rsidRPr="00DE12A3" w:rsidRDefault="009F4766" w:rsidP="00C917D6">
            <w:pPr>
              <w:pStyle w:val="NormalLeft"/>
            </w:pPr>
            <w:r w:rsidRPr="00DE12A3">
              <w:t>15</w:t>
            </w:r>
          </w:p>
        </w:tc>
        <w:tc>
          <w:tcPr>
            <w:tcW w:w="2551" w:type="dxa"/>
            <w:tcBorders>
              <w:top w:val="single" w:sz="2" w:space="0" w:color="auto"/>
              <w:left w:val="single" w:sz="2" w:space="0" w:color="auto"/>
              <w:bottom w:val="single" w:sz="2" w:space="0" w:color="auto"/>
              <w:right w:val="single" w:sz="2" w:space="0" w:color="auto"/>
            </w:tcBorders>
          </w:tcPr>
          <w:p w14:paraId="779AC444" w14:textId="77777777" w:rsidR="009F4766" w:rsidRPr="00DE12A3" w:rsidRDefault="009F4766" w:rsidP="00C917D6">
            <w:pPr>
              <w:pStyle w:val="NormalLeft"/>
            </w:pPr>
            <w:r w:rsidRPr="00DE12A3">
              <w:t>20</w:t>
            </w:r>
          </w:p>
        </w:tc>
      </w:tr>
      <w:tr w:rsidR="00DE12A3" w:rsidRPr="00DE12A3" w14:paraId="0255EF1E" w14:textId="77777777" w:rsidTr="009F4766">
        <w:tc>
          <w:tcPr>
            <w:tcW w:w="1182" w:type="dxa"/>
            <w:tcBorders>
              <w:top w:val="single" w:sz="2" w:space="0" w:color="auto"/>
              <w:left w:val="single" w:sz="2" w:space="0" w:color="auto"/>
              <w:bottom w:val="single" w:sz="2" w:space="0" w:color="auto"/>
              <w:right w:val="single" w:sz="2" w:space="0" w:color="auto"/>
            </w:tcBorders>
          </w:tcPr>
          <w:p w14:paraId="4C415B07" w14:textId="77777777" w:rsidR="009F4766" w:rsidRPr="00DE12A3" w:rsidRDefault="009F4766" w:rsidP="00C917D6">
            <w:pPr>
              <w:pStyle w:val="NormalLeft"/>
            </w:pPr>
            <w:r w:rsidRPr="00DE12A3">
              <w:t>329</w:t>
            </w:r>
          </w:p>
        </w:tc>
        <w:tc>
          <w:tcPr>
            <w:tcW w:w="2489" w:type="dxa"/>
            <w:tcBorders>
              <w:top w:val="single" w:sz="2" w:space="0" w:color="auto"/>
              <w:left w:val="single" w:sz="2" w:space="0" w:color="auto"/>
              <w:bottom w:val="single" w:sz="2" w:space="0" w:color="auto"/>
              <w:right w:val="single" w:sz="2" w:space="0" w:color="auto"/>
            </w:tcBorders>
          </w:tcPr>
          <w:p w14:paraId="024DEA39" w14:textId="77777777" w:rsidR="009F4766" w:rsidRPr="00DE12A3" w:rsidRDefault="009F4766" w:rsidP="00C917D6">
            <w:pPr>
              <w:pStyle w:val="NormalLeft"/>
            </w:pPr>
            <w:r w:rsidRPr="00DE12A3">
              <w:t>17</w:t>
            </w:r>
          </w:p>
        </w:tc>
        <w:tc>
          <w:tcPr>
            <w:tcW w:w="2551" w:type="dxa"/>
            <w:tcBorders>
              <w:top w:val="single" w:sz="2" w:space="0" w:color="auto"/>
              <w:left w:val="single" w:sz="2" w:space="0" w:color="auto"/>
              <w:bottom w:val="single" w:sz="2" w:space="0" w:color="auto"/>
              <w:right w:val="single" w:sz="2" w:space="0" w:color="auto"/>
            </w:tcBorders>
          </w:tcPr>
          <w:p w14:paraId="021F358C" w14:textId="77777777" w:rsidR="009F4766" w:rsidRPr="00DE12A3" w:rsidRDefault="009F4766" w:rsidP="00C917D6">
            <w:pPr>
              <w:pStyle w:val="NormalLeft"/>
            </w:pPr>
            <w:r w:rsidRPr="00DE12A3">
              <w:t>0</w:t>
            </w:r>
          </w:p>
        </w:tc>
      </w:tr>
      <w:tr w:rsidR="00DE12A3" w:rsidRPr="00DE12A3" w14:paraId="3D666764" w14:textId="77777777" w:rsidTr="009F4766">
        <w:tc>
          <w:tcPr>
            <w:tcW w:w="1182" w:type="dxa"/>
            <w:tcBorders>
              <w:top w:val="single" w:sz="2" w:space="0" w:color="auto"/>
              <w:left w:val="single" w:sz="2" w:space="0" w:color="auto"/>
              <w:bottom w:val="single" w:sz="2" w:space="0" w:color="auto"/>
              <w:right w:val="single" w:sz="2" w:space="0" w:color="auto"/>
            </w:tcBorders>
          </w:tcPr>
          <w:p w14:paraId="35C2FF4D" w14:textId="77777777" w:rsidR="009F4766" w:rsidRPr="00DE12A3" w:rsidRDefault="009F4766" w:rsidP="00C917D6">
            <w:pPr>
              <w:pStyle w:val="NormalLeft"/>
            </w:pPr>
            <w:r w:rsidRPr="00DE12A3">
              <w:t>330</w:t>
            </w:r>
          </w:p>
        </w:tc>
        <w:tc>
          <w:tcPr>
            <w:tcW w:w="2489" w:type="dxa"/>
            <w:tcBorders>
              <w:top w:val="single" w:sz="2" w:space="0" w:color="auto"/>
              <w:left w:val="single" w:sz="2" w:space="0" w:color="auto"/>
              <w:bottom w:val="single" w:sz="2" w:space="0" w:color="auto"/>
              <w:right w:val="single" w:sz="2" w:space="0" w:color="auto"/>
            </w:tcBorders>
          </w:tcPr>
          <w:p w14:paraId="14C90209" w14:textId="77777777" w:rsidR="009F4766" w:rsidRPr="00DE12A3" w:rsidRDefault="009F4766" w:rsidP="00C917D6">
            <w:pPr>
              <w:pStyle w:val="NormalLeft"/>
            </w:pPr>
            <w:r w:rsidRPr="00DE12A3">
              <w:t>20</w:t>
            </w:r>
          </w:p>
        </w:tc>
        <w:tc>
          <w:tcPr>
            <w:tcW w:w="2551" w:type="dxa"/>
            <w:tcBorders>
              <w:top w:val="single" w:sz="2" w:space="0" w:color="auto"/>
              <w:left w:val="single" w:sz="2" w:space="0" w:color="auto"/>
              <w:bottom w:val="single" w:sz="2" w:space="0" w:color="auto"/>
              <w:right w:val="single" w:sz="2" w:space="0" w:color="auto"/>
            </w:tcBorders>
          </w:tcPr>
          <w:p w14:paraId="7E5FD474" w14:textId="77777777" w:rsidR="009F4766" w:rsidRPr="00DE12A3" w:rsidRDefault="009F4766" w:rsidP="00C917D6">
            <w:pPr>
              <w:pStyle w:val="NormalLeft"/>
            </w:pPr>
            <w:r w:rsidRPr="00DE12A3">
              <w:t>34</w:t>
            </w:r>
          </w:p>
        </w:tc>
      </w:tr>
      <w:tr w:rsidR="00DE12A3" w:rsidRPr="00DE12A3" w14:paraId="0B335BEA" w14:textId="77777777" w:rsidTr="009F4766">
        <w:tc>
          <w:tcPr>
            <w:tcW w:w="1182" w:type="dxa"/>
            <w:tcBorders>
              <w:top w:val="single" w:sz="2" w:space="0" w:color="auto"/>
              <w:left w:val="single" w:sz="2" w:space="0" w:color="auto"/>
              <w:bottom w:val="single" w:sz="2" w:space="0" w:color="auto"/>
              <w:right w:val="single" w:sz="2" w:space="0" w:color="auto"/>
            </w:tcBorders>
          </w:tcPr>
          <w:p w14:paraId="1C994DE8" w14:textId="77777777" w:rsidR="009F4766" w:rsidRPr="00DE12A3" w:rsidRDefault="009F4766" w:rsidP="00C917D6">
            <w:pPr>
              <w:pStyle w:val="NormalLeft"/>
            </w:pPr>
            <w:r w:rsidRPr="00DE12A3">
              <w:t>331</w:t>
            </w:r>
          </w:p>
        </w:tc>
        <w:tc>
          <w:tcPr>
            <w:tcW w:w="2489" w:type="dxa"/>
            <w:tcBorders>
              <w:top w:val="single" w:sz="2" w:space="0" w:color="auto"/>
              <w:left w:val="single" w:sz="2" w:space="0" w:color="auto"/>
              <w:bottom w:val="single" w:sz="2" w:space="0" w:color="auto"/>
              <w:right w:val="single" w:sz="2" w:space="0" w:color="auto"/>
            </w:tcBorders>
          </w:tcPr>
          <w:p w14:paraId="404E8A4F" w14:textId="77777777" w:rsidR="009F4766" w:rsidRPr="00DE12A3" w:rsidRDefault="009F4766" w:rsidP="00C917D6">
            <w:pPr>
              <w:pStyle w:val="NormalLeft"/>
            </w:pPr>
            <w:r w:rsidRPr="00DE12A3">
              <w:t>21</w:t>
            </w:r>
          </w:p>
        </w:tc>
        <w:tc>
          <w:tcPr>
            <w:tcW w:w="2551" w:type="dxa"/>
            <w:tcBorders>
              <w:top w:val="single" w:sz="2" w:space="0" w:color="auto"/>
              <w:left w:val="single" w:sz="2" w:space="0" w:color="auto"/>
              <w:bottom w:val="single" w:sz="2" w:space="0" w:color="auto"/>
              <w:right w:val="single" w:sz="2" w:space="0" w:color="auto"/>
            </w:tcBorders>
          </w:tcPr>
          <w:p w14:paraId="201CC80D" w14:textId="77777777" w:rsidR="009F4766" w:rsidRPr="00DE12A3" w:rsidRDefault="009F4766" w:rsidP="00C917D6">
            <w:pPr>
              <w:pStyle w:val="NormalLeft"/>
            </w:pPr>
            <w:r w:rsidRPr="00DE12A3">
              <w:t>25</w:t>
            </w:r>
          </w:p>
        </w:tc>
      </w:tr>
      <w:tr w:rsidR="00DE12A3" w:rsidRPr="00DE12A3" w14:paraId="4E879FDC" w14:textId="77777777" w:rsidTr="009F4766">
        <w:tc>
          <w:tcPr>
            <w:tcW w:w="1182" w:type="dxa"/>
            <w:tcBorders>
              <w:top w:val="single" w:sz="2" w:space="0" w:color="auto"/>
              <w:left w:val="single" w:sz="2" w:space="0" w:color="auto"/>
              <w:bottom w:val="single" w:sz="2" w:space="0" w:color="auto"/>
              <w:right w:val="single" w:sz="2" w:space="0" w:color="auto"/>
            </w:tcBorders>
          </w:tcPr>
          <w:p w14:paraId="4C59D488" w14:textId="77777777" w:rsidR="009F4766" w:rsidRPr="00DE12A3" w:rsidRDefault="009F4766" w:rsidP="00C917D6">
            <w:pPr>
              <w:pStyle w:val="NormalLeft"/>
            </w:pPr>
            <w:r w:rsidRPr="00DE12A3">
              <w:lastRenderedPageBreak/>
              <w:t>332</w:t>
            </w:r>
          </w:p>
        </w:tc>
        <w:tc>
          <w:tcPr>
            <w:tcW w:w="2489" w:type="dxa"/>
            <w:tcBorders>
              <w:top w:val="single" w:sz="2" w:space="0" w:color="auto"/>
              <w:left w:val="single" w:sz="2" w:space="0" w:color="auto"/>
              <w:bottom w:val="single" w:sz="2" w:space="0" w:color="auto"/>
              <w:right w:val="single" w:sz="2" w:space="0" w:color="auto"/>
            </w:tcBorders>
          </w:tcPr>
          <w:p w14:paraId="2D3B4BE9" w14:textId="77777777" w:rsidR="009F4766" w:rsidRPr="00DE12A3" w:rsidRDefault="009F4766" w:rsidP="00C917D6">
            <w:pPr>
              <w:pStyle w:val="NormalLeft"/>
            </w:pPr>
            <w:r w:rsidRPr="00DE12A3">
              <w:t>20</w:t>
            </w:r>
          </w:p>
        </w:tc>
        <w:tc>
          <w:tcPr>
            <w:tcW w:w="2551" w:type="dxa"/>
            <w:tcBorders>
              <w:top w:val="single" w:sz="2" w:space="0" w:color="auto"/>
              <w:left w:val="single" w:sz="2" w:space="0" w:color="auto"/>
              <w:bottom w:val="single" w:sz="2" w:space="0" w:color="auto"/>
              <w:right w:val="single" w:sz="2" w:space="0" w:color="auto"/>
            </w:tcBorders>
          </w:tcPr>
          <w:p w14:paraId="56DBEFB4" w14:textId="77777777" w:rsidR="009F4766" w:rsidRPr="00DE12A3" w:rsidRDefault="009F4766" w:rsidP="00C917D6">
            <w:pPr>
              <w:pStyle w:val="NormalLeft"/>
            </w:pPr>
            <w:r w:rsidRPr="00DE12A3">
              <w:t>0</w:t>
            </w:r>
          </w:p>
        </w:tc>
      </w:tr>
      <w:tr w:rsidR="00DE12A3" w:rsidRPr="00DE12A3" w14:paraId="0A6D3F81" w14:textId="77777777" w:rsidTr="009F4766">
        <w:tc>
          <w:tcPr>
            <w:tcW w:w="1182" w:type="dxa"/>
            <w:tcBorders>
              <w:top w:val="single" w:sz="2" w:space="0" w:color="auto"/>
              <w:left w:val="single" w:sz="2" w:space="0" w:color="auto"/>
              <w:bottom w:val="single" w:sz="2" w:space="0" w:color="auto"/>
              <w:right w:val="single" w:sz="2" w:space="0" w:color="auto"/>
            </w:tcBorders>
          </w:tcPr>
          <w:p w14:paraId="440CA219" w14:textId="77777777" w:rsidR="009F4766" w:rsidRPr="00DE12A3" w:rsidRDefault="009F4766" w:rsidP="00C917D6">
            <w:pPr>
              <w:pStyle w:val="NormalLeft"/>
            </w:pPr>
            <w:r w:rsidRPr="00DE12A3">
              <w:t>333</w:t>
            </w:r>
          </w:p>
        </w:tc>
        <w:tc>
          <w:tcPr>
            <w:tcW w:w="2489" w:type="dxa"/>
            <w:tcBorders>
              <w:top w:val="single" w:sz="2" w:space="0" w:color="auto"/>
              <w:left w:val="single" w:sz="2" w:space="0" w:color="auto"/>
              <w:bottom w:val="single" w:sz="2" w:space="0" w:color="auto"/>
              <w:right w:val="single" w:sz="2" w:space="0" w:color="auto"/>
            </w:tcBorders>
          </w:tcPr>
          <w:p w14:paraId="33B3777E" w14:textId="77777777" w:rsidR="009F4766" w:rsidRPr="00DE12A3" w:rsidRDefault="009F4766" w:rsidP="00C917D6">
            <w:pPr>
              <w:pStyle w:val="NormalLeft"/>
            </w:pPr>
            <w:r w:rsidRPr="00DE12A3">
              <w:t>23</w:t>
            </w:r>
          </w:p>
        </w:tc>
        <w:tc>
          <w:tcPr>
            <w:tcW w:w="2551" w:type="dxa"/>
            <w:tcBorders>
              <w:top w:val="single" w:sz="2" w:space="0" w:color="auto"/>
              <w:left w:val="single" w:sz="2" w:space="0" w:color="auto"/>
              <w:bottom w:val="single" w:sz="2" w:space="0" w:color="auto"/>
              <w:right w:val="single" w:sz="2" w:space="0" w:color="auto"/>
            </w:tcBorders>
          </w:tcPr>
          <w:p w14:paraId="06FBF185" w14:textId="77777777" w:rsidR="009F4766" w:rsidRPr="00DE12A3" w:rsidRDefault="009F4766" w:rsidP="00C917D6">
            <w:pPr>
              <w:pStyle w:val="NormalLeft"/>
            </w:pPr>
            <w:r w:rsidRPr="00DE12A3">
              <w:t>25</w:t>
            </w:r>
          </w:p>
        </w:tc>
      </w:tr>
      <w:tr w:rsidR="00DE12A3" w:rsidRPr="00DE12A3" w14:paraId="1E46CAB7" w14:textId="77777777" w:rsidTr="009F4766">
        <w:tc>
          <w:tcPr>
            <w:tcW w:w="1182" w:type="dxa"/>
            <w:tcBorders>
              <w:top w:val="single" w:sz="2" w:space="0" w:color="auto"/>
              <w:left w:val="single" w:sz="2" w:space="0" w:color="auto"/>
              <w:bottom w:val="single" w:sz="2" w:space="0" w:color="auto"/>
              <w:right w:val="single" w:sz="2" w:space="0" w:color="auto"/>
            </w:tcBorders>
          </w:tcPr>
          <w:p w14:paraId="1C29F695" w14:textId="77777777" w:rsidR="009F4766" w:rsidRPr="00DE12A3" w:rsidRDefault="009F4766" w:rsidP="00C917D6">
            <w:pPr>
              <w:pStyle w:val="NormalLeft"/>
            </w:pPr>
            <w:r w:rsidRPr="00DE12A3">
              <w:t>334</w:t>
            </w:r>
          </w:p>
        </w:tc>
        <w:tc>
          <w:tcPr>
            <w:tcW w:w="2489" w:type="dxa"/>
            <w:tcBorders>
              <w:top w:val="single" w:sz="2" w:space="0" w:color="auto"/>
              <w:left w:val="single" w:sz="2" w:space="0" w:color="auto"/>
              <w:bottom w:val="single" w:sz="2" w:space="0" w:color="auto"/>
              <w:right w:val="single" w:sz="2" w:space="0" w:color="auto"/>
            </w:tcBorders>
          </w:tcPr>
          <w:p w14:paraId="10E566E2" w14:textId="77777777" w:rsidR="009F4766" w:rsidRPr="00DE12A3" w:rsidRDefault="009F4766" w:rsidP="00C917D6">
            <w:pPr>
              <w:pStyle w:val="NormalLeft"/>
            </w:pPr>
            <w:r w:rsidRPr="00DE12A3">
              <w:t>30</w:t>
            </w:r>
          </w:p>
        </w:tc>
        <w:tc>
          <w:tcPr>
            <w:tcW w:w="2551" w:type="dxa"/>
            <w:tcBorders>
              <w:top w:val="single" w:sz="2" w:space="0" w:color="auto"/>
              <w:left w:val="single" w:sz="2" w:space="0" w:color="auto"/>
              <w:bottom w:val="single" w:sz="2" w:space="0" w:color="auto"/>
              <w:right w:val="single" w:sz="2" w:space="0" w:color="auto"/>
            </w:tcBorders>
          </w:tcPr>
          <w:p w14:paraId="4BA89AC8" w14:textId="77777777" w:rsidR="009F4766" w:rsidRPr="00DE12A3" w:rsidRDefault="009F4766" w:rsidP="00C917D6">
            <w:pPr>
              <w:pStyle w:val="NormalLeft"/>
            </w:pPr>
            <w:r w:rsidRPr="00DE12A3">
              <w:t>58</w:t>
            </w:r>
          </w:p>
        </w:tc>
      </w:tr>
      <w:tr w:rsidR="00DE12A3" w:rsidRPr="00DE12A3" w14:paraId="2EAFA702" w14:textId="77777777" w:rsidTr="009F4766">
        <w:tc>
          <w:tcPr>
            <w:tcW w:w="1182" w:type="dxa"/>
            <w:tcBorders>
              <w:top w:val="single" w:sz="2" w:space="0" w:color="auto"/>
              <w:left w:val="single" w:sz="2" w:space="0" w:color="auto"/>
              <w:bottom w:val="single" w:sz="2" w:space="0" w:color="auto"/>
              <w:right w:val="single" w:sz="2" w:space="0" w:color="auto"/>
            </w:tcBorders>
          </w:tcPr>
          <w:p w14:paraId="1CDBA314" w14:textId="77777777" w:rsidR="009F4766" w:rsidRPr="00DE12A3" w:rsidRDefault="009F4766" w:rsidP="00C917D6">
            <w:pPr>
              <w:pStyle w:val="NormalLeft"/>
            </w:pPr>
            <w:r w:rsidRPr="00DE12A3">
              <w:t>335</w:t>
            </w:r>
          </w:p>
        </w:tc>
        <w:tc>
          <w:tcPr>
            <w:tcW w:w="2489" w:type="dxa"/>
            <w:tcBorders>
              <w:top w:val="single" w:sz="2" w:space="0" w:color="auto"/>
              <w:left w:val="single" w:sz="2" w:space="0" w:color="auto"/>
              <w:bottom w:val="single" w:sz="2" w:space="0" w:color="auto"/>
              <w:right w:val="single" w:sz="2" w:space="0" w:color="auto"/>
            </w:tcBorders>
          </w:tcPr>
          <w:p w14:paraId="310BEC84" w14:textId="77777777" w:rsidR="009F4766" w:rsidRPr="00DE12A3" w:rsidRDefault="009F4766" w:rsidP="00C917D6">
            <w:pPr>
              <w:pStyle w:val="NormalLeft"/>
            </w:pPr>
            <w:r w:rsidRPr="00DE12A3">
              <w:t>63</w:t>
            </w:r>
          </w:p>
        </w:tc>
        <w:tc>
          <w:tcPr>
            <w:tcW w:w="2551" w:type="dxa"/>
            <w:tcBorders>
              <w:top w:val="single" w:sz="2" w:space="0" w:color="auto"/>
              <w:left w:val="single" w:sz="2" w:space="0" w:color="auto"/>
              <w:bottom w:val="single" w:sz="2" w:space="0" w:color="auto"/>
              <w:right w:val="single" w:sz="2" w:space="0" w:color="auto"/>
            </w:tcBorders>
          </w:tcPr>
          <w:p w14:paraId="317D4AE9" w14:textId="77777777" w:rsidR="009F4766" w:rsidRPr="00DE12A3" w:rsidRDefault="009F4766" w:rsidP="00C917D6">
            <w:pPr>
              <w:pStyle w:val="NormalLeft"/>
            </w:pPr>
            <w:r w:rsidRPr="00DE12A3">
              <w:t>96</w:t>
            </w:r>
          </w:p>
        </w:tc>
      </w:tr>
      <w:tr w:rsidR="00DE12A3" w:rsidRPr="00DE12A3" w14:paraId="459D0184" w14:textId="77777777" w:rsidTr="009F4766">
        <w:tc>
          <w:tcPr>
            <w:tcW w:w="1182" w:type="dxa"/>
            <w:tcBorders>
              <w:top w:val="single" w:sz="2" w:space="0" w:color="auto"/>
              <w:left w:val="single" w:sz="2" w:space="0" w:color="auto"/>
              <w:bottom w:val="single" w:sz="2" w:space="0" w:color="auto"/>
              <w:right w:val="single" w:sz="2" w:space="0" w:color="auto"/>
            </w:tcBorders>
          </w:tcPr>
          <w:p w14:paraId="23A6D3D1" w14:textId="77777777" w:rsidR="009F4766" w:rsidRPr="00DE12A3" w:rsidRDefault="009F4766" w:rsidP="00C917D6">
            <w:pPr>
              <w:pStyle w:val="NormalLeft"/>
            </w:pPr>
            <w:r w:rsidRPr="00DE12A3">
              <w:t>336</w:t>
            </w:r>
          </w:p>
        </w:tc>
        <w:tc>
          <w:tcPr>
            <w:tcW w:w="2489" w:type="dxa"/>
            <w:tcBorders>
              <w:top w:val="single" w:sz="2" w:space="0" w:color="auto"/>
              <w:left w:val="single" w:sz="2" w:space="0" w:color="auto"/>
              <w:bottom w:val="single" w:sz="2" w:space="0" w:color="auto"/>
              <w:right w:val="single" w:sz="2" w:space="0" w:color="auto"/>
            </w:tcBorders>
          </w:tcPr>
          <w:p w14:paraId="5218B578" w14:textId="77777777" w:rsidR="009F4766" w:rsidRPr="00DE12A3" w:rsidRDefault="009F4766" w:rsidP="00C917D6">
            <w:pPr>
              <w:pStyle w:val="NormalLeft"/>
            </w:pPr>
            <w:r w:rsidRPr="00DE12A3">
              <w:t>83</w:t>
            </w:r>
          </w:p>
        </w:tc>
        <w:tc>
          <w:tcPr>
            <w:tcW w:w="2551" w:type="dxa"/>
            <w:tcBorders>
              <w:top w:val="single" w:sz="2" w:space="0" w:color="auto"/>
              <w:left w:val="single" w:sz="2" w:space="0" w:color="auto"/>
              <w:bottom w:val="single" w:sz="2" w:space="0" w:color="auto"/>
              <w:right w:val="single" w:sz="2" w:space="0" w:color="auto"/>
            </w:tcBorders>
          </w:tcPr>
          <w:p w14:paraId="18F68D72" w14:textId="77777777" w:rsidR="009F4766" w:rsidRPr="00DE12A3" w:rsidRDefault="009F4766" w:rsidP="00C917D6">
            <w:pPr>
              <w:pStyle w:val="NormalLeft"/>
            </w:pPr>
            <w:r w:rsidRPr="00DE12A3">
              <w:t>60</w:t>
            </w:r>
          </w:p>
        </w:tc>
      </w:tr>
      <w:tr w:rsidR="00DE12A3" w:rsidRPr="00DE12A3" w14:paraId="0EA160FF" w14:textId="77777777" w:rsidTr="009F4766">
        <w:tc>
          <w:tcPr>
            <w:tcW w:w="1182" w:type="dxa"/>
            <w:tcBorders>
              <w:top w:val="single" w:sz="2" w:space="0" w:color="auto"/>
              <w:left w:val="single" w:sz="2" w:space="0" w:color="auto"/>
              <w:bottom w:val="single" w:sz="2" w:space="0" w:color="auto"/>
              <w:right w:val="single" w:sz="2" w:space="0" w:color="auto"/>
            </w:tcBorders>
          </w:tcPr>
          <w:p w14:paraId="334FFA26" w14:textId="77777777" w:rsidR="009F4766" w:rsidRPr="00DE12A3" w:rsidRDefault="009F4766" w:rsidP="00C917D6">
            <w:pPr>
              <w:pStyle w:val="NormalLeft"/>
            </w:pPr>
            <w:r w:rsidRPr="00DE12A3">
              <w:t>337</w:t>
            </w:r>
          </w:p>
        </w:tc>
        <w:tc>
          <w:tcPr>
            <w:tcW w:w="2489" w:type="dxa"/>
            <w:tcBorders>
              <w:top w:val="single" w:sz="2" w:space="0" w:color="auto"/>
              <w:left w:val="single" w:sz="2" w:space="0" w:color="auto"/>
              <w:bottom w:val="single" w:sz="2" w:space="0" w:color="auto"/>
              <w:right w:val="single" w:sz="2" w:space="0" w:color="auto"/>
            </w:tcBorders>
          </w:tcPr>
          <w:p w14:paraId="1E3C4B70" w14:textId="77777777" w:rsidR="009F4766" w:rsidRPr="00DE12A3" w:rsidRDefault="009F4766" w:rsidP="00C917D6">
            <w:pPr>
              <w:pStyle w:val="NormalLeft"/>
            </w:pPr>
            <w:r w:rsidRPr="00DE12A3">
              <w:t>61</w:t>
            </w:r>
          </w:p>
        </w:tc>
        <w:tc>
          <w:tcPr>
            <w:tcW w:w="2551" w:type="dxa"/>
            <w:tcBorders>
              <w:top w:val="single" w:sz="2" w:space="0" w:color="auto"/>
              <w:left w:val="single" w:sz="2" w:space="0" w:color="auto"/>
              <w:bottom w:val="single" w:sz="2" w:space="0" w:color="auto"/>
              <w:right w:val="single" w:sz="2" w:space="0" w:color="auto"/>
            </w:tcBorders>
          </w:tcPr>
          <w:p w14:paraId="0A26D40B" w14:textId="77777777" w:rsidR="009F4766" w:rsidRPr="00DE12A3" w:rsidRDefault="009F4766" w:rsidP="00C917D6">
            <w:pPr>
              <w:pStyle w:val="NormalLeft"/>
            </w:pPr>
            <w:r w:rsidRPr="00DE12A3">
              <w:t>0</w:t>
            </w:r>
          </w:p>
        </w:tc>
      </w:tr>
      <w:tr w:rsidR="00DE12A3" w:rsidRPr="00DE12A3" w14:paraId="79D4D7D3" w14:textId="77777777" w:rsidTr="009F4766">
        <w:tc>
          <w:tcPr>
            <w:tcW w:w="1182" w:type="dxa"/>
            <w:tcBorders>
              <w:top w:val="single" w:sz="2" w:space="0" w:color="auto"/>
              <w:left w:val="single" w:sz="2" w:space="0" w:color="auto"/>
              <w:bottom w:val="single" w:sz="2" w:space="0" w:color="auto"/>
              <w:right w:val="single" w:sz="2" w:space="0" w:color="auto"/>
            </w:tcBorders>
          </w:tcPr>
          <w:p w14:paraId="6012D68D" w14:textId="77777777" w:rsidR="009F4766" w:rsidRPr="00DE12A3" w:rsidRDefault="009F4766" w:rsidP="00C917D6">
            <w:pPr>
              <w:pStyle w:val="NormalLeft"/>
            </w:pPr>
            <w:r w:rsidRPr="00DE12A3">
              <w:t>338</w:t>
            </w:r>
          </w:p>
        </w:tc>
        <w:tc>
          <w:tcPr>
            <w:tcW w:w="2489" w:type="dxa"/>
            <w:tcBorders>
              <w:top w:val="single" w:sz="2" w:space="0" w:color="auto"/>
              <w:left w:val="single" w:sz="2" w:space="0" w:color="auto"/>
              <w:bottom w:val="single" w:sz="2" w:space="0" w:color="auto"/>
              <w:right w:val="single" w:sz="2" w:space="0" w:color="auto"/>
            </w:tcBorders>
          </w:tcPr>
          <w:p w14:paraId="4DBDB6BD" w14:textId="77777777" w:rsidR="009F4766" w:rsidRPr="00DE12A3" w:rsidRDefault="009F4766" w:rsidP="00C917D6">
            <w:pPr>
              <w:pStyle w:val="NormalLeft"/>
            </w:pPr>
            <w:r w:rsidRPr="00DE12A3">
              <w:t>26</w:t>
            </w:r>
          </w:p>
        </w:tc>
        <w:tc>
          <w:tcPr>
            <w:tcW w:w="2551" w:type="dxa"/>
            <w:tcBorders>
              <w:top w:val="single" w:sz="2" w:space="0" w:color="auto"/>
              <w:left w:val="single" w:sz="2" w:space="0" w:color="auto"/>
              <w:bottom w:val="single" w:sz="2" w:space="0" w:color="auto"/>
              <w:right w:val="single" w:sz="2" w:space="0" w:color="auto"/>
            </w:tcBorders>
          </w:tcPr>
          <w:p w14:paraId="0218507F" w14:textId="77777777" w:rsidR="009F4766" w:rsidRPr="00DE12A3" w:rsidRDefault="009F4766" w:rsidP="00C917D6">
            <w:pPr>
              <w:pStyle w:val="NormalLeft"/>
            </w:pPr>
            <w:r w:rsidRPr="00DE12A3">
              <w:t>0</w:t>
            </w:r>
          </w:p>
        </w:tc>
      </w:tr>
      <w:tr w:rsidR="00DE12A3" w:rsidRPr="00DE12A3" w14:paraId="25F7B253" w14:textId="77777777" w:rsidTr="009F4766">
        <w:tc>
          <w:tcPr>
            <w:tcW w:w="1182" w:type="dxa"/>
            <w:tcBorders>
              <w:top w:val="single" w:sz="2" w:space="0" w:color="auto"/>
              <w:left w:val="single" w:sz="2" w:space="0" w:color="auto"/>
              <w:bottom w:val="single" w:sz="2" w:space="0" w:color="auto"/>
              <w:right w:val="single" w:sz="2" w:space="0" w:color="auto"/>
            </w:tcBorders>
          </w:tcPr>
          <w:p w14:paraId="7568A2A0" w14:textId="77777777" w:rsidR="009F4766" w:rsidRPr="00DE12A3" w:rsidRDefault="009F4766" w:rsidP="00C917D6">
            <w:pPr>
              <w:pStyle w:val="NormalLeft"/>
            </w:pPr>
            <w:r w:rsidRPr="00DE12A3">
              <w:t>339</w:t>
            </w:r>
          </w:p>
        </w:tc>
        <w:tc>
          <w:tcPr>
            <w:tcW w:w="2489" w:type="dxa"/>
            <w:tcBorders>
              <w:top w:val="single" w:sz="2" w:space="0" w:color="auto"/>
              <w:left w:val="single" w:sz="2" w:space="0" w:color="auto"/>
              <w:bottom w:val="single" w:sz="2" w:space="0" w:color="auto"/>
              <w:right w:val="single" w:sz="2" w:space="0" w:color="auto"/>
            </w:tcBorders>
          </w:tcPr>
          <w:p w14:paraId="4A33D753" w14:textId="77777777" w:rsidR="009F4766" w:rsidRPr="00DE12A3" w:rsidRDefault="009F4766" w:rsidP="00C917D6">
            <w:pPr>
              <w:pStyle w:val="NormalLeft"/>
            </w:pPr>
            <w:r w:rsidRPr="00DE12A3">
              <w:t>29</w:t>
            </w:r>
          </w:p>
        </w:tc>
        <w:tc>
          <w:tcPr>
            <w:tcW w:w="2551" w:type="dxa"/>
            <w:tcBorders>
              <w:top w:val="single" w:sz="2" w:space="0" w:color="auto"/>
              <w:left w:val="single" w:sz="2" w:space="0" w:color="auto"/>
              <w:bottom w:val="single" w:sz="2" w:space="0" w:color="auto"/>
              <w:right w:val="single" w:sz="2" w:space="0" w:color="auto"/>
            </w:tcBorders>
          </w:tcPr>
          <w:p w14:paraId="41D86717" w14:textId="77777777" w:rsidR="009F4766" w:rsidRPr="00DE12A3" w:rsidRDefault="009F4766" w:rsidP="00C917D6">
            <w:pPr>
              <w:pStyle w:val="NormalLeft"/>
            </w:pPr>
            <w:r w:rsidRPr="00DE12A3">
              <w:t>44</w:t>
            </w:r>
          </w:p>
        </w:tc>
      </w:tr>
      <w:tr w:rsidR="00DE12A3" w:rsidRPr="00DE12A3" w14:paraId="4AAF4D88" w14:textId="77777777" w:rsidTr="009F4766">
        <w:tc>
          <w:tcPr>
            <w:tcW w:w="1182" w:type="dxa"/>
            <w:tcBorders>
              <w:top w:val="single" w:sz="2" w:space="0" w:color="auto"/>
              <w:left w:val="single" w:sz="2" w:space="0" w:color="auto"/>
              <w:bottom w:val="single" w:sz="2" w:space="0" w:color="auto"/>
              <w:right w:val="single" w:sz="2" w:space="0" w:color="auto"/>
            </w:tcBorders>
          </w:tcPr>
          <w:p w14:paraId="2A80F33E" w14:textId="77777777" w:rsidR="009F4766" w:rsidRPr="00DE12A3" w:rsidRDefault="009F4766" w:rsidP="00C917D6">
            <w:pPr>
              <w:pStyle w:val="NormalLeft"/>
            </w:pPr>
            <w:r w:rsidRPr="00DE12A3">
              <w:t>340</w:t>
            </w:r>
          </w:p>
        </w:tc>
        <w:tc>
          <w:tcPr>
            <w:tcW w:w="2489" w:type="dxa"/>
            <w:tcBorders>
              <w:top w:val="single" w:sz="2" w:space="0" w:color="auto"/>
              <w:left w:val="single" w:sz="2" w:space="0" w:color="auto"/>
              <w:bottom w:val="single" w:sz="2" w:space="0" w:color="auto"/>
              <w:right w:val="single" w:sz="2" w:space="0" w:color="auto"/>
            </w:tcBorders>
          </w:tcPr>
          <w:p w14:paraId="30006A3D" w14:textId="77777777" w:rsidR="009F4766" w:rsidRPr="00DE12A3" w:rsidRDefault="009F4766" w:rsidP="00C917D6">
            <w:pPr>
              <w:pStyle w:val="NormalLeft"/>
            </w:pPr>
            <w:r w:rsidRPr="00DE12A3">
              <w:t>68</w:t>
            </w:r>
          </w:p>
        </w:tc>
        <w:tc>
          <w:tcPr>
            <w:tcW w:w="2551" w:type="dxa"/>
            <w:tcBorders>
              <w:top w:val="single" w:sz="2" w:space="0" w:color="auto"/>
              <w:left w:val="single" w:sz="2" w:space="0" w:color="auto"/>
              <w:bottom w:val="single" w:sz="2" w:space="0" w:color="auto"/>
              <w:right w:val="single" w:sz="2" w:space="0" w:color="auto"/>
            </w:tcBorders>
          </w:tcPr>
          <w:p w14:paraId="1AF88266" w14:textId="77777777" w:rsidR="009F4766" w:rsidRPr="00DE12A3" w:rsidRDefault="009F4766" w:rsidP="00C917D6">
            <w:pPr>
              <w:pStyle w:val="NormalLeft"/>
            </w:pPr>
            <w:r w:rsidRPr="00DE12A3">
              <w:t>97</w:t>
            </w:r>
          </w:p>
        </w:tc>
      </w:tr>
      <w:tr w:rsidR="00DE12A3" w:rsidRPr="00DE12A3" w14:paraId="6032D202" w14:textId="77777777" w:rsidTr="009F4766">
        <w:tc>
          <w:tcPr>
            <w:tcW w:w="1182" w:type="dxa"/>
            <w:tcBorders>
              <w:top w:val="single" w:sz="2" w:space="0" w:color="auto"/>
              <w:left w:val="single" w:sz="2" w:space="0" w:color="auto"/>
              <w:bottom w:val="single" w:sz="2" w:space="0" w:color="auto"/>
              <w:right w:val="single" w:sz="2" w:space="0" w:color="auto"/>
            </w:tcBorders>
          </w:tcPr>
          <w:p w14:paraId="423E4960" w14:textId="77777777" w:rsidR="009F4766" w:rsidRPr="00DE12A3" w:rsidRDefault="009F4766" w:rsidP="00C917D6">
            <w:pPr>
              <w:pStyle w:val="NormalLeft"/>
            </w:pPr>
            <w:r w:rsidRPr="00DE12A3">
              <w:t>341</w:t>
            </w:r>
          </w:p>
        </w:tc>
        <w:tc>
          <w:tcPr>
            <w:tcW w:w="2489" w:type="dxa"/>
            <w:tcBorders>
              <w:top w:val="single" w:sz="2" w:space="0" w:color="auto"/>
              <w:left w:val="single" w:sz="2" w:space="0" w:color="auto"/>
              <w:bottom w:val="single" w:sz="2" w:space="0" w:color="auto"/>
              <w:right w:val="single" w:sz="2" w:space="0" w:color="auto"/>
            </w:tcBorders>
          </w:tcPr>
          <w:p w14:paraId="6A91C216" w14:textId="77777777" w:rsidR="009F4766" w:rsidRPr="00DE12A3" w:rsidRDefault="009F4766" w:rsidP="00C917D6">
            <w:pPr>
              <w:pStyle w:val="NormalLeft"/>
            </w:pPr>
            <w:r w:rsidRPr="00DE12A3">
              <w:t>80</w:t>
            </w:r>
          </w:p>
        </w:tc>
        <w:tc>
          <w:tcPr>
            <w:tcW w:w="2551" w:type="dxa"/>
            <w:tcBorders>
              <w:top w:val="single" w:sz="2" w:space="0" w:color="auto"/>
              <w:left w:val="single" w:sz="2" w:space="0" w:color="auto"/>
              <w:bottom w:val="single" w:sz="2" w:space="0" w:color="auto"/>
              <w:right w:val="single" w:sz="2" w:space="0" w:color="auto"/>
            </w:tcBorders>
          </w:tcPr>
          <w:p w14:paraId="74CFBA81" w14:textId="77777777" w:rsidR="009F4766" w:rsidRPr="00DE12A3" w:rsidRDefault="009F4766" w:rsidP="00C917D6">
            <w:pPr>
              <w:pStyle w:val="NormalLeft"/>
            </w:pPr>
            <w:r w:rsidRPr="00DE12A3">
              <w:t>97</w:t>
            </w:r>
          </w:p>
        </w:tc>
      </w:tr>
      <w:tr w:rsidR="00DE12A3" w:rsidRPr="00DE12A3" w14:paraId="6787044B" w14:textId="77777777" w:rsidTr="009F4766">
        <w:tc>
          <w:tcPr>
            <w:tcW w:w="1182" w:type="dxa"/>
            <w:tcBorders>
              <w:top w:val="single" w:sz="2" w:space="0" w:color="auto"/>
              <w:left w:val="single" w:sz="2" w:space="0" w:color="auto"/>
              <w:bottom w:val="single" w:sz="2" w:space="0" w:color="auto"/>
              <w:right w:val="single" w:sz="2" w:space="0" w:color="auto"/>
            </w:tcBorders>
          </w:tcPr>
          <w:p w14:paraId="18AF8D57" w14:textId="77777777" w:rsidR="009F4766" w:rsidRPr="00DE12A3" w:rsidRDefault="009F4766" w:rsidP="00C917D6">
            <w:pPr>
              <w:pStyle w:val="NormalLeft"/>
            </w:pPr>
            <w:r w:rsidRPr="00DE12A3">
              <w:t>342</w:t>
            </w:r>
          </w:p>
        </w:tc>
        <w:tc>
          <w:tcPr>
            <w:tcW w:w="2489" w:type="dxa"/>
            <w:tcBorders>
              <w:top w:val="single" w:sz="2" w:space="0" w:color="auto"/>
              <w:left w:val="single" w:sz="2" w:space="0" w:color="auto"/>
              <w:bottom w:val="single" w:sz="2" w:space="0" w:color="auto"/>
              <w:right w:val="single" w:sz="2" w:space="0" w:color="auto"/>
            </w:tcBorders>
          </w:tcPr>
          <w:p w14:paraId="21CE0AB0" w14:textId="77777777" w:rsidR="009F4766" w:rsidRPr="00DE12A3" w:rsidRDefault="009F4766" w:rsidP="00C917D6">
            <w:pPr>
              <w:pStyle w:val="NormalLeft"/>
            </w:pPr>
            <w:r w:rsidRPr="00DE12A3">
              <w:t>88</w:t>
            </w:r>
          </w:p>
        </w:tc>
        <w:tc>
          <w:tcPr>
            <w:tcW w:w="2551" w:type="dxa"/>
            <w:tcBorders>
              <w:top w:val="single" w:sz="2" w:space="0" w:color="auto"/>
              <w:left w:val="single" w:sz="2" w:space="0" w:color="auto"/>
              <w:bottom w:val="single" w:sz="2" w:space="0" w:color="auto"/>
              <w:right w:val="single" w:sz="2" w:space="0" w:color="auto"/>
            </w:tcBorders>
          </w:tcPr>
          <w:p w14:paraId="787CD1BC" w14:textId="77777777" w:rsidR="009F4766" w:rsidRPr="00DE12A3" w:rsidRDefault="009F4766" w:rsidP="00C917D6">
            <w:pPr>
              <w:pStyle w:val="NormalLeft"/>
            </w:pPr>
            <w:r w:rsidRPr="00DE12A3">
              <w:t>97</w:t>
            </w:r>
          </w:p>
        </w:tc>
      </w:tr>
      <w:tr w:rsidR="00DE12A3" w:rsidRPr="00DE12A3" w14:paraId="1D148AD9" w14:textId="77777777" w:rsidTr="009F4766">
        <w:tc>
          <w:tcPr>
            <w:tcW w:w="1182" w:type="dxa"/>
            <w:tcBorders>
              <w:top w:val="single" w:sz="2" w:space="0" w:color="auto"/>
              <w:left w:val="single" w:sz="2" w:space="0" w:color="auto"/>
              <w:bottom w:val="single" w:sz="2" w:space="0" w:color="auto"/>
              <w:right w:val="single" w:sz="2" w:space="0" w:color="auto"/>
            </w:tcBorders>
          </w:tcPr>
          <w:p w14:paraId="41BC99C5" w14:textId="77777777" w:rsidR="009F4766" w:rsidRPr="00DE12A3" w:rsidRDefault="009F4766" w:rsidP="00C917D6">
            <w:pPr>
              <w:pStyle w:val="NormalLeft"/>
            </w:pPr>
            <w:r w:rsidRPr="00DE12A3">
              <w:t>343</w:t>
            </w:r>
          </w:p>
        </w:tc>
        <w:tc>
          <w:tcPr>
            <w:tcW w:w="2489" w:type="dxa"/>
            <w:tcBorders>
              <w:top w:val="single" w:sz="2" w:space="0" w:color="auto"/>
              <w:left w:val="single" w:sz="2" w:space="0" w:color="auto"/>
              <w:bottom w:val="single" w:sz="2" w:space="0" w:color="auto"/>
              <w:right w:val="single" w:sz="2" w:space="0" w:color="auto"/>
            </w:tcBorders>
          </w:tcPr>
          <w:p w14:paraId="7B640350" w14:textId="77777777" w:rsidR="009F4766" w:rsidRPr="00DE12A3" w:rsidRDefault="009F4766" w:rsidP="00C917D6">
            <w:pPr>
              <w:pStyle w:val="NormalLeft"/>
            </w:pPr>
            <w:r w:rsidRPr="00DE12A3">
              <w:t>99</w:t>
            </w:r>
          </w:p>
        </w:tc>
        <w:tc>
          <w:tcPr>
            <w:tcW w:w="2551" w:type="dxa"/>
            <w:tcBorders>
              <w:top w:val="single" w:sz="2" w:space="0" w:color="auto"/>
              <w:left w:val="single" w:sz="2" w:space="0" w:color="auto"/>
              <w:bottom w:val="single" w:sz="2" w:space="0" w:color="auto"/>
              <w:right w:val="single" w:sz="2" w:space="0" w:color="auto"/>
            </w:tcBorders>
          </w:tcPr>
          <w:p w14:paraId="46E011B8" w14:textId="77777777" w:rsidR="009F4766" w:rsidRPr="00DE12A3" w:rsidRDefault="009F4766" w:rsidP="00C917D6">
            <w:pPr>
              <w:pStyle w:val="NormalLeft"/>
            </w:pPr>
            <w:r w:rsidRPr="00DE12A3">
              <w:t>88</w:t>
            </w:r>
          </w:p>
        </w:tc>
      </w:tr>
      <w:tr w:rsidR="00DE12A3" w:rsidRPr="00DE12A3" w14:paraId="7CF49C81" w14:textId="77777777" w:rsidTr="009F4766">
        <w:tc>
          <w:tcPr>
            <w:tcW w:w="1182" w:type="dxa"/>
            <w:tcBorders>
              <w:top w:val="single" w:sz="2" w:space="0" w:color="auto"/>
              <w:left w:val="single" w:sz="2" w:space="0" w:color="auto"/>
              <w:bottom w:val="single" w:sz="2" w:space="0" w:color="auto"/>
              <w:right w:val="single" w:sz="2" w:space="0" w:color="auto"/>
            </w:tcBorders>
          </w:tcPr>
          <w:p w14:paraId="381F79DA" w14:textId="77777777" w:rsidR="009F4766" w:rsidRPr="00DE12A3" w:rsidRDefault="009F4766" w:rsidP="00C917D6">
            <w:pPr>
              <w:pStyle w:val="NormalLeft"/>
            </w:pPr>
            <w:r w:rsidRPr="00DE12A3">
              <w:t>344</w:t>
            </w:r>
          </w:p>
        </w:tc>
        <w:tc>
          <w:tcPr>
            <w:tcW w:w="2489" w:type="dxa"/>
            <w:tcBorders>
              <w:top w:val="single" w:sz="2" w:space="0" w:color="auto"/>
              <w:left w:val="single" w:sz="2" w:space="0" w:color="auto"/>
              <w:bottom w:val="single" w:sz="2" w:space="0" w:color="auto"/>
              <w:right w:val="single" w:sz="2" w:space="0" w:color="auto"/>
            </w:tcBorders>
          </w:tcPr>
          <w:p w14:paraId="2A9283ED" w14:textId="77777777" w:rsidR="009F4766" w:rsidRPr="00DE12A3" w:rsidRDefault="009F4766" w:rsidP="00C917D6">
            <w:pPr>
              <w:pStyle w:val="NormalLeft"/>
            </w:pPr>
            <w:r w:rsidRPr="00DE12A3">
              <w:t>102</w:t>
            </w:r>
          </w:p>
        </w:tc>
        <w:tc>
          <w:tcPr>
            <w:tcW w:w="2551" w:type="dxa"/>
            <w:tcBorders>
              <w:top w:val="single" w:sz="2" w:space="0" w:color="auto"/>
              <w:left w:val="single" w:sz="2" w:space="0" w:color="auto"/>
              <w:bottom w:val="single" w:sz="2" w:space="0" w:color="auto"/>
              <w:right w:val="single" w:sz="2" w:space="0" w:color="auto"/>
            </w:tcBorders>
          </w:tcPr>
          <w:p w14:paraId="51DBEBDF" w14:textId="77777777" w:rsidR="009F4766" w:rsidRPr="00DE12A3" w:rsidRDefault="009F4766" w:rsidP="00C917D6">
            <w:pPr>
              <w:pStyle w:val="NormalLeft"/>
            </w:pPr>
            <w:r w:rsidRPr="00DE12A3">
              <w:t>86</w:t>
            </w:r>
          </w:p>
        </w:tc>
      </w:tr>
      <w:tr w:rsidR="00DE12A3" w:rsidRPr="00DE12A3" w14:paraId="60A85783" w14:textId="77777777" w:rsidTr="009F4766">
        <w:tc>
          <w:tcPr>
            <w:tcW w:w="1182" w:type="dxa"/>
            <w:tcBorders>
              <w:top w:val="single" w:sz="2" w:space="0" w:color="auto"/>
              <w:left w:val="single" w:sz="2" w:space="0" w:color="auto"/>
              <w:bottom w:val="single" w:sz="2" w:space="0" w:color="auto"/>
              <w:right w:val="single" w:sz="2" w:space="0" w:color="auto"/>
            </w:tcBorders>
          </w:tcPr>
          <w:p w14:paraId="4F25008A" w14:textId="77777777" w:rsidR="009F4766" w:rsidRPr="00DE12A3" w:rsidRDefault="009F4766" w:rsidP="00C917D6">
            <w:pPr>
              <w:pStyle w:val="NormalLeft"/>
            </w:pPr>
            <w:r w:rsidRPr="00DE12A3">
              <w:t>345</w:t>
            </w:r>
          </w:p>
        </w:tc>
        <w:tc>
          <w:tcPr>
            <w:tcW w:w="2489" w:type="dxa"/>
            <w:tcBorders>
              <w:top w:val="single" w:sz="2" w:space="0" w:color="auto"/>
              <w:left w:val="single" w:sz="2" w:space="0" w:color="auto"/>
              <w:bottom w:val="single" w:sz="2" w:space="0" w:color="auto"/>
              <w:right w:val="single" w:sz="2" w:space="0" w:color="auto"/>
            </w:tcBorders>
          </w:tcPr>
          <w:p w14:paraId="59929BC0" w14:textId="77777777" w:rsidR="009F4766" w:rsidRPr="00DE12A3" w:rsidRDefault="009F4766" w:rsidP="00C917D6">
            <w:pPr>
              <w:pStyle w:val="NormalLeft"/>
            </w:pPr>
            <w:r w:rsidRPr="00DE12A3">
              <w:t>100</w:t>
            </w:r>
          </w:p>
        </w:tc>
        <w:tc>
          <w:tcPr>
            <w:tcW w:w="2551" w:type="dxa"/>
            <w:tcBorders>
              <w:top w:val="single" w:sz="2" w:space="0" w:color="auto"/>
              <w:left w:val="single" w:sz="2" w:space="0" w:color="auto"/>
              <w:bottom w:val="single" w:sz="2" w:space="0" w:color="auto"/>
              <w:right w:val="single" w:sz="2" w:space="0" w:color="auto"/>
            </w:tcBorders>
          </w:tcPr>
          <w:p w14:paraId="686E0AFC" w14:textId="77777777" w:rsidR="009F4766" w:rsidRPr="00DE12A3" w:rsidRDefault="009F4766" w:rsidP="00C917D6">
            <w:pPr>
              <w:pStyle w:val="NormalLeft"/>
            </w:pPr>
            <w:r w:rsidRPr="00DE12A3">
              <w:t>82</w:t>
            </w:r>
          </w:p>
        </w:tc>
      </w:tr>
      <w:tr w:rsidR="00DE12A3" w:rsidRPr="00DE12A3" w14:paraId="775FC856" w14:textId="77777777" w:rsidTr="009F4766">
        <w:tc>
          <w:tcPr>
            <w:tcW w:w="1182" w:type="dxa"/>
            <w:tcBorders>
              <w:top w:val="single" w:sz="2" w:space="0" w:color="auto"/>
              <w:left w:val="single" w:sz="2" w:space="0" w:color="auto"/>
              <w:bottom w:val="single" w:sz="2" w:space="0" w:color="auto"/>
              <w:right w:val="single" w:sz="2" w:space="0" w:color="auto"/>
            </w:tcBorders>
          </w:tcPr>
          <w:p w14:paraId="353220FF" w14:textId="77777777" w:rsidR="009F4766" w:rsidRPr="00DE12A3" w:rsidRDefault="009F4766" w:rsidP="00C917D6">
            <w:pPr>
              <w:pStyle w:val="NormalLeft"/>
            </w:pPr>
            <w:r w:rsidRPr="00DE12A3">
              <w:t>346</w:t>
            </w:r>
          </w:p>
        </w:tc>
        <w:tc>
          <w:tcPr>
            <w:tcW w:w="2489" w:type="dxa"/>
            <w:tcBorders>
              <w:top w:val="single" w:sz="2" w:space="0" w:color="auto"/>
              <w:left w:val="single" w:sz="2" w:space="0" w:color="auto"/>
              <w:bottom w:val="single" w:sz="2" w:space="0" w:color="auto"/>
              <w:right w:val="single" w:sz="2" w:space="0" w:color="auto"/>
            </w:tcBorders>
          </w:tcPr>
          <w:p w14:paraId="5F289965" w14:textId="77777777" w:rsidR="009F4766" w:rsidRPr="00DE12A3" w:rsidRDefault="009F4766" w:rsidP="00C917D6">
            <w:pPr>
              <w:pStyle w:val="NormalLeft"/>
            </w:pPr>
            <w:r w:rsidRPr="00DE12A3">
              <w:t>74</w:t>
            </w:r>
          </w:p>
        </w:tc>
        <w:tc>
          <w:tcPr>
            <w:tcW w:w="2551" w:type="dxa"/>
            <w:tcBorders>
              <w:top w:val="single" w:sz="2" w:space="0" w:color="auto"/>
              <w:left w:val="single" w:sz="2" w:space="0" w:color="auto"/>
              <w:bottom w:val="single" w:sz="2" w:space="0" w:color="auto"/>
              <w:right w:val="single" w:sz="2" w:space="0" w:color="auto"/>
            </w:tcBorders>
          </w:tcPr>
          <w:p w14:paraId="3391B1D3" w14:textId="77777777" w:rsidR="009F4766" w:rsidRPr="00DE12A3" w:rsidRDefault="009F4766" w:rsidP="00C917D6">
            <w:pPr>
              <w:pStyle w:val="NormalLeft"/>
            </w:pPr>
            <w:r w:rsidRPr="00DE12A3">
              <w:t>79</w:t>
            </w:r>
          </w:p>
        </w:tc>
      </w:tr>
      <w:tr w:rsidR="00DE12A3" w:rsidRPr="00DE12A3" w14:paraId="589A34BC" w14:textId="77777777" w:rsidTr="009F4766">
        <w:tc>
          <w:tcPr>
            <w:tcW w:w="1182" w:type="dxa"/>
            <w:tcBorders>
              <w:top w:val="single" w:sz="2" w:space="0" w:color="auto"/>
              <w:left w:val="single" w:sz="2" w:space="0" w:color="auto"/>
              <w:bottom w:val="single" w:sz="2" w:space="0" w:color="auto"/>
              <w:right w:val="single" w:sz="2" w:space="0" w:color="auto"/>
            </w:tcBorders>
          </w:tcPr>
          <w:p w14:paraId="30957F88" w14:textId="77777777" w:rsidR="009F4766" w:rsidRPr="00DE12A3" w:rsidRDefault="009F4766" w:rsidP="00C917D6">
            <w:pPr>
              <w:pStyle w:val="NormalLeft"/>
            </w:pPr>
            <w:r w:rsidRPr="00DE12A3">
              <w:t>347</w:t>
            </w:r>
          </w:p>
        </w:tc>
        <w:tc>
          <w:tcPr>
            <w:tcW w:w="2489" w:type="dxa"/>
            <w:tcBorders>
              <w:top w:val="single" w:sz="2" w:space="0" w:color="auto"/>
              <w:left w:val="single" w:sz="2" w:space="0" w:color="auto"/>
              <w:bottom w:val="single" w:sz="2" w:space="0" w:color="auto"/>
              <w:right w:val="single" w:sz="2" w:space="0" w:color="auto"/>
            </w:tcBorders>
          </w:tcPr>
          <w:p w14:paraId="724A5AA5" w14:textId="77777777" w:rsidR="009F4766" w:rsidRPr="00DE12A3" w:rsidRDefault="009F4766" w:rsidP="00C917D6">
            <w:pPr>
              <w:pStyle w:val="NormalLeft"/>
            </w:pPr>
            <w:r w:rsidRPr="00DE12A3">
              <w:t>57</w:t>
            </w:r>
          </w:p>
        </w:tc>
        <w:tc>
          <w:tcPr>
            <w:tcW w:w="2551" w:type="dxa"/>
            <w:tcBorders>
              <w:top w:val="single" w:sz="2" w:space="0" w:color="auto"/>
              <w:left w:val="single" w:sz="2" w:space="0" w:color="auto"/>
              <w:bottom w:val="single" w:sz="2" w:space="0" w:color="auto"/>
              <w:right w:val="single" w:sz="2" w:space="0" w:color="auto"/>
            </w:tcBorders>
          </w:tcPr>
          <w:p w14:paraId="29846EC5" w14:textId="77777777" w:rsidR="009F4766" w:rsidRPr="00DE12A3" w:rsidRDefault="009F4766" w:rsidP="00C917D6">
            <w:pPr>
              <w:pStyle w:val="NormalLeft"/>
            </w:pPr>
            <w:r w:rsidRPr="00DE12A3">
              <w:t>79</w:t>
            </w:r>
          </w:p>
        </w:tc>
      </w:tr>
      <w:tr w:rsidR="00DE12A3" w:rsidRPr="00DE12A3" w14:paraId="65C213B8" w14:textId="77777777" w:rsidTr="009F4766">
        <w:tc>
          <w:tcPr>
            <w:tcW w:w="1182" w:type="dxa"/>
            <w:tcBorders>
              <w:top w:val="single" w:sz="2" w:space="0" w:color="auto"/>
              <w:left w:val="single" w:sz="2" w:space="0" w:color="auto"/>
              <w:bottom w:val="single" w:sz="2" w:space="0" w:color="auto"/>
              <w:right w:val="single" w:sz="2" w:space="0" w:color="auto"/>
            </w:tcBorders>
          </w:tcPr>
          <w:p w14:paraId="2EE600D7" w14:textId="77777777" w:rsidR="009F4766" w:rsidRPr="00DE12A3" w:rsidRDefault="009F4766" w:rsidP="00C917D6">
            <w:pPr>
              <w:pStyle w:val="NormalLeft"/>
            </w:pPr>
            <w:r w:rsidRPr="00DE12A3">
              <w:t>348</w:t>
            </w:r>
          </w:p>
        </w:tc>
        <w:tc>
          <w:tcPr>
            <w:tcW w:w="2489" w:type="dxa"/>
            <w:tcBorders>
              <w:top w:val="single" w:sz="2" w:space="0" w:color="auto"/>
              <w:left w:val="single" w:sz="2" w:space="0" w:color="auto"/>
              <w:bottom w:val="single" w:sz="2" w:space="0" w:color="auto"/>
              <w:right w:val="single" w:sz="2" w:space="0" w:color="auto"/>
            </w:tcBorders>
          </w:tcPr>
          <w:p w14:paraId="48BB0B33" w14:textId="77777777" w:rsidR="009F4766" w:rsidRPr="00DE12A3" w:rsidRDefault="009F4766" w:rsidP="00C917D6">
            <w:pPr>
              <w:pStyle w:val="NormalLeft"/>
            </w:pPr>
            <w:r w:rsidRPr="00DE12A3">
              <w:t>76</w:t>
            </w:r>
          </w:p>
        </w:tc>
        <w:tc>
          <w:tcPr>
            <w:tcW w:w="2551" w:type="dxa"/>
            <w:tcBorders>
              <w:top w:val="single" w:sz="2" w:space="0" w:color="auto"/>
              <w:left w:val="single" w:sz="2" w:space="0" w:color="auto"/>
              <w:bottom w:val="single" w:sz="2" w:space="0" w:color="auto"/>
              <w:right w:val="single" w:sz="2" w:space="0" w:color="auto"/>
            </w:tcBorders>
          </w:tcPr>
          <w:p w14:paraId="4AA98E3A" w14:textId="77777777" w:rsidR="009F4766" w:rsidRPr="00DE12A3" w:rsidRDefault="009F4766" w:rsidP="00C917D6">
            <w:pPr>
              <w:pStyle w:val="NormalLeft"/>
            </w:pPr>
            <w:r w:rsidRPr="00DE12A3">
              <w:t>97</w:t>
            </w:r>
          </w:p>
        </w:tc>
      </w:tr>
      <w:tr w:rsidR="00DE12A3" w:rsidRPr="00DE12A3" w14:paraId="2A1ADAFB" w14:textId="77777777" w:rsidTr="009F4766">
        <w:tc>
          <w:tcPr>
            <w:tcW w:w="1182" w:type="dxa"/>
            <w:tcBorders>
              <w:top w:val="single" w:sz="2" w:space="0" w:color="auto"/>
              <w:left w:val="single" w:sz="2" w:space="0" w:color="auto"/>
              <w:bottom w:val="single" w:sz="2" w:space="0" w:color="auto"/>
              <w:right w:val="single" w:sz="2" w:space="0" w:color="auto"/>
            </w:tcBorders>
          </w:tcPr>
          <w:p w14:paraId="617B7313" w14:textId="77777777" w:rsidR="009F4766" w:rsidRPr="00DE12A3" w:rsidRDefault="009F4766" w:rsidP="00C917D6">
            <w:pPr>
              <w:pStyle w:val="NormalLeft"/>
            </w:pPr>
            <w:r w:rsidRPr="00DE12A3">
              <w:t>349</w:t>
            </w:r>
          </w:p>
        </w:tc>
        <w:tc>
          <w:tcPr>
            <w:tcW w:w="2489" w:type="dxa"/>
            <w:tcBorders>
              <w:top w:val="single" w:sz="2" w:space="0" w:color="auto"/>
              <w:left w:val="single" w:sz="2" w:space="0" w:color="auto"/>
              <w:bottom w:val="single" w:sz="2" w:space="0" w:color="auto"/>
              <w:right w:val="single" w:sz="2" w:space="0" w:color="auto"/>
            </w:tcBorders>
          </w:tcPr>
          <w:p w14:paraId="57FA9C0F" w14:textId="77777777" w:rsidR="009F4766" w:rsidRPr="00DE12A3" w:rsidRDefault="009F4766" w:rsidP="00C917D6">
            <w:pPr>
              <w:pStyle w:val="NormalLeft"/>
            </w:pPr>
            <w:r w:rsidRPr="00DE12A3">
              <w:t>84</w:t>
            </w:r>
          </w:p>
        </w:tc>
        <w:tc>
          <w:tcPr>
            <w:tcW w:w="2551" w:type="dxa"/>
            <w:tcBorders>
              <w:top w:val="single" w:sz="2" w:space="0" w:color="auto"/>
              <w:left w:val="single" w:sz="2" w:space="0" w:color="auto"/>
              <w:bottom w:val="single" w:sz="2" w:space="0" w:color="auto"/>
              <w:right w:val="single" w:sz="2" w:space="0" w:color="auto"/>
            </w:tcBorders>
          </w:tcPr>
          <w:p w14:paraId="4441C477" w14:textId="77777777" w:rsidR="009F4766" w:rsidRPr="00DE12A3" w:rsidRDefault="009F4766" w:rsidP="00C917D6">
            <w:pPr>
              <w:pStyle w:val="NormalLeft"/>
            </w:pPr>
            <w:r w:rsidRPr="00DE12A3">
              <w:t>97</w:t>
            </w:r>
          </w:p>
        </w:tc>
      </w:tr>
      <w:tr w:rsidR="00DE12A3" w:rsidRPr="00DE12A3" w14:paraId="2109128B" w14:textId="77777777" w:rsidTr="009F4766">
        <w:tc>
          <w:tcPr>
            <w:tcW w:w="1182" w:type="dxa"/>
            <w:tcBorders>
              <w:top w:val="single" w:sz="2" w:space="0" w:color="auto"/>
              <w:left w:val="single" w:sz="2" w:space="0" w:color="auto"/>
              <w:bottom w:val="single" w:sz="2" w:space="0" w:color="auto"/>
              <w:right w:val="single" w:sz="2" w:space="0" w:color="auto"/>
            </w:tcBorders>
          </w:tcPr>
          <w:p w14:paraId="634F892D" w14:textId="77777777" w:rsidR="009F4766" w:rsidRPr="00DE12A3" w:rsidRDefault="009F4766" w:rsidP="00C917D6">
            <w:pPr>
              <w:pStyle w:val="NormalLeft"/>
            </w:pPr>
            <w:r w:rsidRPr="00DE12A3">
              <w:t>350</w:t>
            </w:r>
          </w:p>
        </w:tc>
        <w:tc>
          <w:tcPr>
            <w:tcW w:w="2489" w:type="dxa"/>
            <w:tcBorders>
              <w:top w:val="single" w:sz="2" w:space="0" w:color="auto"/>
              <w:left w:val="single" w:sz="2" w:space="0" w:color="auto"/>
              <w:bottom w:val="single" w:sz="2" w:space="0" w:color="auto"/>
              <w:right w:val="single" w:sz="2" w:space="0" w:color="auto"/>
            </w:tcBorders>
          </w:tcPr>
          <w:p w14:paraId="7D4E73D0" w14:textId="77777777" w:rsidR="009F4766" w:rsidRPr="00DE12A3" w:rsidRDefault="009F4766" w:rsidP="00C917D6">
            <w:pPr>
              <w:pStyle w:val="NormalLeft"/>
            </w:pPr>
            <w:r w:rsidRPr="00DE12A3">
              <w:t>86</w:t>
            </w:r>
          </w:p>
        </w:tc>
        <w:tc>
          <w:tcPr>
            <w:tcW w:w="2551" w:type="dxa"/>
            <w:tcBorders>
              <w:top w:val="single" w:sz="2" w:space="0" w:color="auto"/>
              <w:left w:val="single" w:sz="2" w:space="0" w:color="auto"/>
              <w:bottom w:val="single" w:sz="2" w:space="0" w:color="auto"/>
              <w:right w:val="single" w:sz="2" w:space="0" w:color="auto"/>
            </w:tcBorders>
          </w:tcPr>
          <w:p w14:paraId="45BDE50E" w14:textId="77777777" w:rsidR="009F4766" w:rsidRPr="00DE12A3" w:rsidRDefault="009F4766" w:rsidP="00C917D6">
            <w:pPr>
              <w:pStyle w:val="NormalLeft"/>
            </w:pPr>
            <w:r w:rsidRPr="00DE12A3">
              <w:t>97</w:t>
            </w:r>
          </w:p>
        </w:tc>
      </w:tr>
      <w:tr w:rsidR="00DE12A3" w:rsidRPr="00DE12A3" w14:paraId="709EB072" w14:textId="77777777" w:rsidTr="009F4766">
        <w:tc>
          <w:tcPr>
            <w:tcW w:w="1182" w:type="dxa"/>
            <w:tcBorders>
              <w:top w:val="single" w:sz="2" w:space="0" w:color="auto"/>
              <w:left w:val="single" w:sz="2" w:space="0" w:color="auto"/>
              <w:bottom w:val="single" w:sz="2" w:space="0" w:color="auto"/>
              <w:right w:val="single" w:sz="2" w:space="0" w:color="auto"/>
            </w:tcBorders>
          </w:tcPr>
          <w:p w14:paraId="74192AC5" w14:textId="77777777" w:rsidR="009F4766" w:rsidRPr="00DE12A3" w:rsidRDefault="009F4766" w:rsidP="00C917D6">
            <w:pPr>
              <w:pStyle w:val="NormalLeft"/>
            </w:pPr>
            <w:r w:rsidRPr="00DE12A3">
              <w:t>351</w:t>
            </w:r>
          </w:p>
        </w:tc>
        <w:tc>
          <w:tcPr>
            <w:tcW w:w="2489" w:type="dxa"/>
            <w:tcBorders>
              <w:top w:val="single" w:sz="2" w:space="0" w:color="auto"/>
              <w:left w:val="single" w:sz="2" w:space="0" w:color="auto"/>
              <w:bottom w:val="single" w:sz="2" w:space="0" w:color="auto"/>
              <w:right w:val="single" w:sz="2" w:space="0" w:color="auto"/>
            </w:tcBorders>
          </w:tcPr>
          <w:p w14:paraId="048AC453" w14:textId="77777777" w:rsidR="009F4766" w:rsidRPr="00DE12A3" w:rsidRDefault="009F4766" w:rsidP="00C917D6">
            <w:pPr>
              <w:pStyle w:val="NormalLeft"/>
            </w:pPr>
            <w:r w:rsidRPr="00DE12A3">
              <w:t>81</w:t>
            </w:r>
          </w:p>
        </w:tc>
        <w:tc>
          <w:tcPr>
            <w:tcW w:w="2551" w:type="dxa"/>
            <w:tcBorders>
              <w:top w:val="single" w:sz="2" w:space="0" w:color="auto"/>
              <w:left w:val="single" w:sz="2" w:space="0" w:color="auto"/>
              <w:bottom w:val="single" w:sz="2" w:space="0" w:color="auto"/>
              <w:right w:val="single" w:sz="2" w:space="0" w:color="auto"/>
            </w:tcBorders>
          </w:tcPr>
          <w:p w14:paraId="5A9A6843" w14:textId="77777777" w:rsidR="009F4766" w:rsidRPr="00DE12A3" w:rsidRDefault="009F4766" w:rsidP="00C917D6">
            <w:pPr>
              <w:pStyle w:val="NormalLeft"/>
            </w:pPr>
            <w:r w:rsidRPr="00DE12A3">
              <w:t>98</w:t>
            </w:r>
          </w:p>
        </w:tc>
      </w:tr>
      <w:tr w:rsidR="00DE12A3" w:rsidRPr="00DE12A3" w14:paraId="3DFBC02D" w14:textId="77777777" w:rsidTr="009F4766">
        <w:tc>
          <w:tcPr>
            <w:tcW w:w="1182" w:type="dxa"/>
            <w:tcBorders>
              <w:top w:val="single" w:sz="2" w:space="0" w:color="auto"/>
              <w:left w:val="single" w:sz="2" w:space="0" w:color="auto"/>
              <w:bottom w:val="single" w:sz="2" w:space="0" w:color="auto"/>
              <w:right w:val="single" w:sz="2" w:space="0" w:color="auto"/>
            </w:tcBorders>
          </w:tcPr>
          <w:p w14:paraId="12E40B04" w14:textId="77777777" w:rsidR="009F4766" w:rsidRPr="00DE12A3" w:rsidRDefault="009F4766" w:rsidP="00C917D6">
            <w:pPr>
              <w:pStyle w:val="NormalLeft"/>
            </w:pPr>
            <w:r w:rsidRPr="00DE12A3">
              <w:t>352</w:t>
            </w:r>
          </w:p>
        </w:tc>
        <w:tc>
          <w:tcPr>
            <w:tcW w:w="2489" w:type="dxa"/>
            <w:tcBorders>
              <w:top w:val="single" w:sz="2" w:space="0" w:color="auto"/>
              <w:left w:val="single" w:sz="2" w:space="0" w:color="auto"/>
              <w:bottom w:val="single" w:sz="2" w:space="0" w:color="auto"/>
              <w:right w:val="single" w:sz="2" w:space="0" w:color="auto"/>
            </w:tcBorders>
          </w:tcPr>
          <w:p w14:paraId="518746D5" w14:textId="77777777" w:rsidR="009F4766" w:rsidRPr="00DE12A3" w:rsidRDefault="009F4766" w:rsidP="00C917D6">
            <w:pPr>
              <w:pStyle w:val="NormalLeft"/>
            </w:pPr>
            <w:r w:rsidRPr="00DE12A3">
              <w:t>83</w:t>
            </w:r>
          </w:p>
        </w:tc>
        <w:tc>
          <w:tcPr>
            <w:tcW w:w="2551" w:type="dxa"/>
            <w:tcBorders>
              <w:top w:val="single" w:sz="2" w:space="0" w:color="auto"/>
              <w:left w:val="single" w:sz="2" w:space="0" w:color="auto"/>
              <w:bottom w:val="single" w:sz="2" w:space="0" w:color="auto"/>
              <w:right w:val="single" w:sz="2" w:space="0" w:color="auto"/>
            </w:tcBorders>
          </w:tcPr>
          <w:p w14:paraId="4DB543ED" w14:textId="77777777" w:rsidR="009F4766" w:rsidRPr="00DE12A3" w:rsidRDefault="009F4766" w:rsidP="00C917D6">
            <w:pPr>
              <w:pStyle w:val="NormalLeft"/>
            </w:pPr>
            <w:r w:rsidRPr="00DE12A3">
              <w:t>83</w:t>
            </w:r>
          </w:p>
        </w:tc>
      </w:tr>
      <w:tr w:rsidR="00DE12A3" w:rsidRPr="00DE12A3" w14:paraId="78E0A7DA" w14:textId="77777777" w:rsidTr="009F4766">
        <w:tc>
          <w:tcPr>
            <w:tcW w:w="1182" w:type="dxa"/>
            <w:tcBorders>
              <w:top w:val="single" w:sz="2" w:space="0" w:color="auto"/>
              <w:left w:val="single" w:sz="2" w:space="0" w:color="auto"/>
              <w:bottom w:val="single" w:sz="2" w:space="0" w:color="auto"/>
              <w:right w:val="single" w:sz="2" w:space="0" w:color="auto"/>
            </w:tcBorders>
          </w:tcPr>
          <w:p w14:paraId="7E085975" w14:textId="77777777" w:rsidR="009F4766" w:rsidRPr="00DE12A3" w:rsidRDefault="009F4766" w:rsidP="00C917D6">
            <w:pPr>
              <w:pStyle w:val="NormalLeft"/>
            </w:pPr>
            <w:r w:rsidRPr="00DE12A3">
              <w:t>353</w:t>
            </w:r>
          </w:p>
        </w:tc>
        <w:tc>
          <w:tcPr>
            <w:tcW w:w="2489" w:type="dxa"/>
            <w:tcBorders>
              <w:top w:val="single" w:sz="2" w:space="0" w:color="auto"/>
              <w:left w:val="single" w:sz="2" w:space="0" w:color="auto"/>
              <w:bottom w:val="single" w:sz="2" w:space="0" w:color="auto"/>
              <w:right w:val="single" w:sz="2" w:space="0" w:color="auto"/>
            </w:tcBorders>
          </w:tcPr>
          <w:p w14:paraId="215CD8EA" w14:textId="77777777" w:rsidR="009F4766" w:rsidRPr="00DE12A3" w:rsidRDefault="009F4766" w:rsidP="00C917D6">
            <w:pPr>
              <w:pStyle w:val="NormalLeft"/>
            </w:pPr>
            <w:r w:rsidRPr="00DE12A3">
              <w:t>65</w:t>
            </w:r>
          </w:p>
        </w:tc>
        <w:tc>
          <w:tcPr>
            <w:tcW w:w="2551" w:type="dxa"/>
            <w:tcBorders>
              <w:top w:val="single" w:sz="2" w:space="0" w:color="auto"/>
              <w:left w:val="single" w:sz="2" w:space="0" w:color="auto"/>
              <w:bottom w:val="single" w:sz="2" w:space="0" w:color="auto"/>
              <w:right w:val="single" w:sz="2" w:space="0" w:color="auto"/>
            </w:tcBorders>
          </w:tcPr>
          <w:p w14:paraId="01FA42C8" w14:textId="77777777" w:rsidR="009F4766" w:rsidRPr="00DE12A3" w:rsidRDefault="009F4766" w:rsidP="00C917D6">
            <w:pPr>
              <w:pStyle w:val="NormalLeft"/>
            </w:pPr>
            <w:r w:rsidRPr="00DE12A3">
              <w:t>96</w:t>
            </w:r>
          </w:p>
        </w:tc>
      </w:tr>
      <w:tr w:rsidR="00DE12A3" w:rsidRPr="00DE12A3" w14:paraId="0EB7F461" w14:textId="77777777" w:rsidTr="009F4766">
        <w:tc>
          <w:tcPr>
            <w:tcW w:w="1182" w:type="dxa"/>
            <w:tcBorders>
              <w:top w:val="single" w:sz="2" w:space="0" w:color="auto"/>
              <w:left w:val="single" w:sz="2" w:space="0" w:color="auto"/>
              <w:bottom w:val="single" w:sz="2" w:space="0" w:color="auto"/>
              <w:right w:val="single" w:sz="2" w:space="0" w:color="auto"/>
            </w:tcBorders>
          </w:tcPr>
          <w:p w14:paraId="5D94550D" w14:textId="77777777" w:rsidR="009F4766" w:rsidRPr="00DE12A3" w:rsidRDefault="009F4766" w:rsidP="00C917D6">
            <w:pPr>
              <w:pStyle w:val="NormalLeft"/>
            </w:pPr>
            <w:r w:rsidRPr="00DE12A3">
              <w:t>354</w:t>
            </w:r>
          </w:p>
        </w:tc>
        <w:tc>
          <w:tcPr>
            <w:tcW w:w="2489" w:type="dxa"/>
            <w:tcBorders>
              <w:top w:val="single" w:sz="2" w:space="0" w:color="auto"/>
              <w:left w:val="single" w:sz="2" w:space="0" w:color="auto"/>
              <w:bottom w:val="single" w:sz="2" w:space="0" w:color="auto"/>
              <w:right w:val="single" w:sz="2" w:space="0" w:color="auto"/>
            </w:tcBorders>
          </w:tcPr>
          <w:p w14:paraId="1E8FB20F" w14:textId="77777777" w:rsidR="009F4766" w:rsidRPr="00DE12A3" w:rsidRDefault="009F4766" w:rsidP="00C917D6">
            <w:pPr>
              <w:pStyle w:val="NormalLeft"/>
            </w:pPr>
            <w:r w:rsidRPr="00DE12A3">
              <w:t>93</w:t>
            </w:r>
          </w:p>
        </w:tc>
        <w:tc>
          <w:tcPr>
            <w:tcW w:w="2551" w:type="dxa"/>
            <w:tcBorders>
              <w:top w:val="single" w:sz="2" w:space="0" w:color="auto"/>
              <w:left w:val="single" w:sz="2" w:space="0" w:color="auto"/>
              <w:bottom w:val="single" w:sz="2" w:space="0" w:color="auto"/>
              <w:right w:val="single" w:sz="2" w:space="0" w:color="auto"/>
            </w:tcBorders>
          </w:tcPr>
          <w:p w14:paraId="09AEB73A" w14:textId="77777777" w:rsidR="009F4766" w:rsidRPr="00DE12A3" w:rsidRDefault="009F4766" w:rsidP="00C917D6">
            <w:pPr>
              <w:pStyle w:val="NormalLeft"/>
            </w:pPr>
            <w:r w:rsidRPr="00DE12A3">
              <w:t>72</w:t>
            </w:r>
          </w:p>
        </w:tc>
      </w:tr>
      <w:tr w:rsidR="00DE12A3" w:rsidRPr="00DE12A3" w14:paraId="298D0494" w14:textId="77777777" w:rsidTr="009F4766">
        <w:tc>
          <w:tcPr>
            <w:tcW w:w="1182" w:type="dxa"/>
            <w:tcBorders>
              <w:top w:val="single" w:sz="2" w:space="0" w:color="auto"/>
              <w:left w:val="single" w:sz="2" w:space="0" w:color="auto"/>
              <w:bottom w:val="single" w:sz="2" w:space="0" w:color="auto"/>
              <w:right w:val="single" w:sz="2" w:space="0" w:color="auto"/>
            </w:tcBorders>
          </w:tcPr>
          <w:p w14:paraId="4226EB94" w14:textId="77777777" w:rsidR="009F4766" w:rsidRPr="00DE12A3" w:rsidRDefault="009F4766" w:rsidP="00C917D6">
            <w:pPr>
              <w:pStyle w:val="NormalLeft"/>
            </w:pPr>
            <w:r w:rsidRPr="00DE12A3">
              <w:t>355</w:t>
            </w:r>
          </w:p>
        </w:tc>
        <w:tc>
          <w:tcPr>
            <w:tcW w:w="2489" w:type="dxa"/>
            <w:tcBorders>
              <w:top w:val="single" w:sz="2" w:space="0" w:color="auto"/>
              <w:left w:val="single" w:sz="2" w:space="0" w:color="auto"/>
              <w:bottom w:val="single" w:sz="2" w:space="0" w:color="auto"/>
              <w:right w:val="single" w:sz="2" w:space="0" w:color="auto"/>
            </w:tcBorders>
          </w:tcPr>
          <w:p w14:paraId="6A286B66" w14:textId="77777777" w:rsidR="009F4766" w:rsidRPr="00DE12A3" w:rsidRDefault="009F4766" w:rsidP="00C917D6">
            <w:pPr>
              <w:pStyle w:val="NormalLeft"/>
            </w:pPr>
            <w:r w:rsidRPr="00DE12A3">
              <w:t>63</w:t>
            </w:r>
          </w:p>
        </w:tc>
        <w:tc>
          <w:tcPr>
            <w:tcW w:w="2551" w:type="dxa"/>
            <w:tcBorders>
              <w:top w:val="single" w:sz="2" w:space="0" w:color="auto"/>
              <w:left w:val="single" w:sz="2" w:space="0" w:color="auto"/>
              <w:bottom w:val="single" w:sz="2" w:space="0" w:color="auto"/>
              <w:right w:val="single" w:sz="2" w:space="0" w:color="auto"/>
            </w:tcBorders>
          </w:tcPr>
          <w:p w14:paraId="2BAD11B5" w14:textId="77777777" w:rsidR="009F4766" w:rsidRPr="00DE12A3" w:rsidRDefault="009F4766" w:rsidP="00C917D6">
            <w:pPr>
              <w:pStyle w:val="NormalLeft"/>
            </w:pPr>
            <w:r w:rsidRPr="00DE12A3">
              <w:t>60</w:t>
            </w:r>
          </w:p>
        </w:tc>
      </w:tr>
      <w:tr w:rsidR="00DE12A3" w:rsidRPr="00DE12A3" w14:paraId="74DA0744" w14:textId="77777777" w:rsidTr="009F4766">
        <w:tc>
          <w:tcPr>
            <w:tcW w:w="1182" w:type="dxa"/>
            <w:tcBorders>
              <w:top w:val="single" w:sz="2" w:space="0" w:color="auto"/>
              <w:left w:val="single" w:sz="2" w:space="0" w:color="auto"/>
              <w:bottom w:val="single" w:sz="2" w:space="0" w:color="auto"/>
              <w:right w:val="single" w:sz="2" w:space="0" w:color="auto"/>
            </w:tcBorders>
          </w:tcPr>
          <w:p w14:paraId="21F5619B" w14:textId="77777777" w:rsidR="009F4766" w:rsidRPr="00DE12A3" w:rsidRDefault="009F4766" w:rsidP="00C917D6">
            <w:pPr>
              <w:pStyle w:val="NormalLeft"/>
            </w:pPr>
            <w:r w:rsidRPr="00DE12A3">
              <w:lastRenderedPageBreak/>
              <w:t>356</w:t>
            </w:r>
          </w:p>
        </w:tc>
        <w:tc>
          <w:tcPr>
            <w:tcW w:w="2489" w:type="dxa"/>
            <w:tcBorders>
              <w:top w:val="single" w:sz="2" w:space="0" w:color="auto"/>
              <w:left w:val="single" w:sz="2" w:space="0" w:color="auto"/>
              <w:bottom w:val="single" w:sz="2" w:space="0" w:color="auto"/>
              <w:right w:val="single" w:sz="2" w:space="0" w:color="auto"/>
            </w:tcBorders>
          </w:tcPr>
          <w:p w14:paraId="5DAE47DB" w14:textId="77777777" w:rsidR="009F4766" w:rsidRPr="00DE12A3" w:rsidRDefault="009F4766" w:rsidP="00C917D6">
            <w:pPr>
              <w:pStyle w:val="NormalLeft"/>
            </w:pPr>
            <w:r w:rsidRPr="00DE12A3">
              <w:t>72</w:t>
            </w:r>
          </w:p>
        </w:tc>
        <w:tc>
          <w:tcPr>
            <w:tcW w:w="2551" w:type="dxa"/>
            <w:tcBorders>
              <w:top w:val="single" w:sz="2" w:space="0" w:color="auto"/>
              <w:left w:val="single" w:sz="2" w:space="0" w:color="auto"/>
              <w:bottom w:val="single" w:sz="2" w:space="0" w:color="auto"/>
              <w:right w:val="single" w:sz="2" w:space="0" w:color="auto"/>
            </w:tcBorders>
          </w:tcPr>
          <w:p w14:paraId="02078084" w14:textId="77777777" w:rsidR="009F4766" w:rsidRPr="00DE12A3" w:rsidRDefault="009F4766" w:rsidP="00C917D6">
            <w:pPr>
              <w:pStyle w:val="NormalLeft"/>
            </w:pPr>
            <w:r w:rsidRPr="00DE12A3">
              <w:t>49</w:t>
            </w:r>
          </w:p>
        </w:tc>
      </w:tr>
      <w:tr w:rsidR="00DE12A3" w:rsidRPr="00DE12A3" w14:paraId="733307FF" w14:textId="77777777" w:rsidTr="009F4766">
        <w:tc>
          <w:tcPr>
            <w:tcW w:w="1182" w:type="dxa"/>
            <w:tcBorders>
              <w:top w:val="single" w:sz="2" w:space="0" w:color="auto"/>
              <w:left w:val="single" w:sz="2" w:space="0" w:color="auto"/>
              <w:bottom w:val="single" w:sz="2" w:space="0" w:color="auto"/>
              <w:right w:val="single" w:sz="2" w:space="0" w:color="auto"/>
            </w:tcBorders>
          </w:tcPr>
          <w:p w14:paraId="6B55A833" w14:textId="77777777" w:rsidR="009F4766" w:rsidRPr="00DE12A3" w:rsidRDefault="009F4766" w:rsidP="00C917D6">
            <w:pPr>
              <w:pStyle w:val="NormalLeft"/>
            </w:pPr>
            <w:r w:rsidRPr="00DE12A3">
              <w:t>357</w:t>
            </w:r>
          </w:p>
        </w:tc>
        <w:tc>
          <w:tcPr>
            <w:tcW w:w="2489" w:type="dxa"/>
            <w:tcBorders>
              <w:top w:val="single" w:sz="2" w:space="0" w:color="auto"/>
              <w:left w:val="single" w:sz="2" w:space="0" w:color="auto"/>
              <w:bottom w:val="single" w:sz="2" w:space="0" w:color="auto"/>
              <w:right w:val="single" w:sz="2" w:space="0" w:color="auto"/>
            </w:tcBorders>
          </w:tcPr>
          <w:p w14:paraId="50229E0B" w14:textId="77777777" w:rsidR="009F4766" w:rsidRPr="00DE12A3" w:rsidRDefault="009F4766" w:rsidP="00C917D6">
            <w:pPr>
              <w:pStyle w:val="NormalLeft"/>
            </w:pPr>
            <w:r w:rsidRPr="00DE12A3">
              <w:t>56</w:t>
            </w:r>
          </w:p>
        </w:tc>
        <w:tc>
          <w:tcPr>
            <w:tcW w:w="2551" w:type="dxa"/>
            <w:tcBorders>
              <w:top w:val="single" w:sz="2" w:space="0" w:color="auto"/>
              <w:left w:val="single" w:sz="2" w:space="0" w:color="auto"/>
              <w:bottom w:val="single" w:sz="2" w:space="0" w:color="auto"/>
              <w:right w:val="single" w:sz="2" w:space="0" w:color="auto"/>
            </w:tcBorders>
          </w:tcPr>
          <w:p w14:paraId="5B15ED07" w14:textId="77777777" w:rsidR="009F4766" w:rsidRPr="00DE12A3" w:rsidRDefault="009F4766" w:rsidP="00C917D6">
            <w:pPr>
              <w:pStyle w:val="NormalLeft"/>
            </w:pPr>
            <w:r w:rsidRPr="00DE12A3">
              <w:t>27</w:t>
            </w:r>
          </w:p>
        </w:tc>
      </w:tr>
      <w:tr w:rsidR="00DE12A3" w:rsidRPr="00DE12A3" w14:paraId="677E6507" w14:textId="77777777" w:rsidTr="009F4766">
        <w:tc>
          <w:tcPr>
            <w:tcW w:w="1182" w:type="dxa"/>
            <w:tcBorders>
              <w:top w:val="single" w:sz="2" w:space="0" w:color="auto"/>
              <w:left w:val="single" w:sz="2" w:space="0" w:color="auto"/>
              <w:bottom w:val="single" w:sz="2" w:space="0" w:color="auto"/>
              <w:right w:val="single" w:sz="2" w:space="0" w:color="auto"/>
            </w:tcBorders>
          </w:tcPr>
          <w:p w14:paraId="07C6B568" w14:textId="77777777" w:rsidR="009F4766" w:rsidRPr="00DE12A3" w:rsidRDefault="009F4766" w:rsidP="00C917D6">
            <w:pPr>
              <w:pStyle w:val="NormalLeft"/>
            </w:pPr>
            <w:r w:rsidRPr="00DE12A3">
              <w:t>358</w:t>
            </w:r>
          </w:p>
        </w:tc>
        <w:tc>
          <w:tcPr>
            <w:tcW w:w="2489" w:type="dxa"/>
            <w:tcBorders>
              <w:top w:val="single" w:sz="2" w:space="0" w:color="auto"/>
              <w:left w:val="single" w:sz="2" w:space="0" w:color="auto"/>
              <w:bottom w:val="single" w:sz="2" w:space="0" w:color="auto"/>
              <w:right w:val="single" w:sz="2" w:space="0" w:color="auto"/>
            </w:tcBorders>
          </w:tcPr>
          <w:p w14:paraId="6D29FC51" w14:textId="77777777" w:rsidR="009F4766" w:rsidRPr="00DE12A3" w:rsidRDefault="009F4766" w:rsidP="00C917D6">
            <w:pPr>
              <w:pStyle w:val="NormalLeft"/>
            </w:pPr>
            <w:r w:rsidRPr="00DE12A3">
              <w:t>29</w:t>
            </w:r>
          </w:p>
        </w:tc>
        <w:tc>
          <w:tcPr>
            <w:tcW w:w="2551" w:type="dxa"/>
            <w:tcBorders>
              <w:top w:val="single" w:sz="2" w:space="0" w:color="auto"/>
              <w:left w:val="single" w:sz="2" w:space="0" w:color="auto"/>
              <w:bottom w:val="single" w:sz="2" w:space="0" w:color="auto"/>
              <w:right w:val="single" w:sz="2" w:space="0" w:color="auto"/>
            </w:tcBorders>
          </w:tcPr>
          <w:p w14:paraId="7EC1AFB3" w14:textId="77777777" w:rsidR="009F4766" w:rsidRPr="00DE12A3" w:rsidRDefault="009F4766" w:rsidP="00C917D6">
            <w:pPr>
              <w:pStyle w:val="NormalLeft"/>
            </w:pPr>
            <w:r w:rsidRPr="00DE12A3">
              <w:t>0</w:t>
            </w:r>
          </w:p>
        </w:tc>
      </w:tr>
      <w:tr w:rsidR="00DE12A3" w:rsidRPr="00DE12A3" w14:paraId="7FCC1BFA" w14:textId="77777777" w:rsidTr="009F4766">
        <w:tc>
          <w:tcPr>
            <w:tcW w:w="1182" w:type="dxa"/>
            <w:tcBorders>
              <w:top w:val="single" w:sz="2" w:space="0" w:color="auto"/>
              <w:left w:val="single" w:sz="2" w:space="0" w:color="auto"/>
              <w:bottom w:val="single" w:sz="2" w:space="0" w:color="auto"/>
              <w:right w:val="single" w:sz="2" w:space="0" w:color="auto"/>
            </w:tcBorders>
          </w:tcPr>
          <w:p w14:paraId="76F6B93F" w14:textId="77777777" w:rsidR="009F4766" w:rsidRPr="00DE12A3" w:rsidRDefault="009F4766" w:rsidP="00C917D6">
            <w:pPr>
              <w:pStyle w:val="NormalLeft"/>
            </w:pPr>
            <w:r w:rsidRPr="00DE12A3">
              <w:t>359</w:t>
            </w:r>
          </w:p>
        </w:tc>
        <w:tc>
          <w:tcPr>
            <w:tcW w:w="2489" w:type="dxa"/>
            <w:tcBorders>
              <w:top w:val="single" w:sz="2" w:space="0" w:color="auto"/>
              <w:left w:val="single" w:sz="2" w:space="0" w:color="auto"/>
              <w:bottom w:val="single" w:sz="2" w:space="0" w:color="auto"/>
              <w:right w:val="single" w:sz="2" w:space="0" w:color="auto"/>
            </w:tcBorders>
          </w:tcPr>
          <w:p w14:paraId="722DA1D1" w14:textId="77777777" w:rsidR="009F4766" w:rsidRPr="00DE12A3" w:rsidRDefault="009F4766" w:rsidP="00C917D6">
            <w:pPr>
              <w:pStyle w:val="NormalLeft"/>
            </w:pPr>
            <w:r w:rsidRPr="00DE12A3">
              <w:t>18</w:t>
            </w:r>
          </w:p>
        </w:tc>
        <w:tc>
          <w:tcPr>
            <w:tcW w:w="2551" w:type="dxa"/>
            <w:tcBorders>
              <w:top w:val="single" w:sz="2" w:space="0" w:color="auto"/>
              <w:left w:val="single" w:sz="2" w:space="0" w:color="auto"/>
              <w:bottom w:val="single" w:sz="2" w:space="0" w:color="auto"/>
              <w:right w:val="single" w:sz="2" w:space="0" w:color="auto"/>
            </w:tcBorders>
          </w:tcPr>
          <w:p w14:paraId="5BA5B98C" w14:textId="77777777" w:rsidR="009F4766" w:rsidRPr="00DE12A3" w:rsidRDefault="009F4766" w:rsidP="00C917D6">
            <w:pPr>
              <w:pStyle w:val="NormalLeft"/>
            </w:pPr>
            <w:r w:rsidRPr="00DE12A3">
              <w:t>13</w:t>
            </w:r>
          </w:p>
        </w:tc>
      </w:tr>
      <w:tr w:rsidR="00DE12A3" w:rsidRPr="00DE12A3" w14:paraId="138958A7" w14:textId="77777777" w:rsidTr="009F4766">
        <w:tc>
          <w:tcPr>
            <w:tcW w:w="1182" w:type="dxa"/>
            <w:tcBorders>
              <w:top w:val="single" w:sz="2" w:space="0" w:color="auto"/>
              <w:left w:val="single" w:sz="2" w:space="0" w:color="auto"/>
              <w:bottom w:val="single" w:sz="2" w:space="0" w:color="auto"/>
              <w:right w:val="single" w:sz="2" w:space="0" w:color="auto"/>
            </w:tcBorders>
          </w:tcPr>
          <w:p w14:paraId="545A4A25" w14:textId="77777777" w:rsidR="009F4766" w:rsidRPr="00DE12A3" w:rsidRDefault="009F4766" w:rsidP="00C917D6">
            <w:pPr>
              <w:pStyle w:val="NormalLeft"/>
            </w:pPr>
            <w:r w:rsidRPr="00DE12A3">
              <w:t>360</w:t>
            </w:r>
          </w:p>
        </w:tc>
        <w:tc>
          <w:tcPr>
            <w:tcW w:w="2489" w:type="dxa"/>
            <w:tcBorders>
              <w:top w:val="single" w:sz="2" w:space="0" w:color="auto"/>
              <w:left w:val="single" w:sz="2" w:space="0" w:color="auto"/>
              <w:bottom w:val="single" w:sz="2" w:space="0" w:color="auto"/>
              <w:right w:val="single" w:sz="2" w:space="0" w:color="auto"/>
            </w:tcBorders>
          </w:tcPr>
          <w:p w14:paraId="26DB3EE4" w14:textId="77777777" w:rsidR="009F4766" w:rsidRPr="00DE12A3" w:rsidRDefault="009F4766" w:rsidP="00C917D6">
            <w:pPr>
              <w:pStyle w:val="NormalLeft"/>
            </w:pPr>
            <w:r w:rsidRPr="00DE12A3">
              <w:t>25</w:t>
            </w:r>
          </w:p>
        </w:tc>
        <w:tc>
          <w:tcPr>
            <w:tcW w:w="2551" w:type="dxa"/>
            <w:tcBorders>
              <w:top w:val="single" w:sz="2" w:space="0" w:color="auto"/>
              <w:left w:val="single" w:sz="2" w:space="0" w:color="auto"/>
              <w:bottom w:val="single" w:sz="2" w:space="0" w:color="auto"/>
              <w:right w:val="single" w:sz="2" w:space="0" w:color="auto"/>
            </w:tcBorders>
          </w:tcPr>
          <w:p w14:paraId="44087550" w14:textId="77777777" w:rsidR="009F4766" w:rsidRPr="00DE12A3" w:rsidRDefault="009F4766" w:rsidP="00C917D6">
            <w:pPr>
              <w:pStyle w:val="NormalLeft"/>
            </w:pPr>
            <w:r w:rsidRPr="00DE12A3">
              <w:t>11</w:t>
            </w:r>
          </w:p>
        </w:tc>
      </w:tr>
      <w:tr w:rsidR="00DE12A3" w:rsidRPr="00DE12A3" w14:paraId="307B6D21" w14:textId="77777777" w:rsidTr="009F4766">
        <w:tc>
          <w:tcPr>
            <w:tcW w:w="1182" w:type="dxa"/>
            <w:tcBorders>
              <w:top w:val="single" w:sz="2" w:space="0" w:color="auto"/>
              <w:left w:val="single" w:sz="2" w:space="0" w:color="auto"/>
              <w:bottom w:val="single" w:sz="2" w:space="0" w:color="auto"/>
              <w:right w:val="single" w:sz="2" w:space="0" w:color="auto"/>
            </w:tcBorders>
          </w:tcPr>
          <w:p w14:paraId="171AC94D" w14:textId="77777777" w:rsidR="009F4766" w:rsidRPr="00DE12A3" w:rsidRDefault="009F4766" w:rsidP="00C917D6">
            <w:pPr>
              <w:pStyle w:val="NormalLeft"/>
            </w:pPr>
            <w:r w:rsidRPr="00DE12A3">
              <w:t>361</w:t>
            </w:r>
          </w:p>
        </w:tc>
        <w:tc>
          <w:tcPr>
            <w:tcW w:w="2489" w:type="dxa"/>
            <w:tcBorders>
              <w:top w:val="single" w:sz="2" w:space="0" w:color="auto"/>
              <w:left w:val="single" w:sz="2" w:space="0" w:color="auto"/>
              <w:bottom w:val="single" w:sz="2" w:space="0" w:color="auto"/>
              <w:right w:val="single" w:sz="2" w:space="0" w:color="auto"/>
            </w:tcBorders>
          </w:tcPr>
          <w:p w14:paraId="79A93F26" w14:textId="77777777" w:rsidR="009F4766" w:rsidRPr="00DE12A3" w:rsidRDefault="009F4766" w:rsidP="00C917D6">
            <w:pPr>
              <w:pStyle w:val="NormalLeft"/>
            </w:pPr>
            <w:r w:rsidRPr="00DE12A3">
              <w:t>28</w:t>
            </w:r>
          </w:p>
        </w:tc>
        <w:tc>
          <w:tcPr>
            <w:tcW w:w="2551" w:type="dxa"/>
            <w:tcBorders>
              <w:top w:val="single" w:sz="2" w:space="0" w:color="auto"/>
              <w:left w:val="single" w:sz="2" w:space="0" w:color="auto"/>
              <w:bottom w:val="single" w:sz="2" w:space="0" w:color="auto"/>
              <w:right w:val="single" w:sz="2" w:space="0" w:color="auto"/>
            </w:tcBorders>
          </w:tcPr>
          <w:p w14:paraId="6CE88D23" w14:textId="77777777" w:rsidR="009F4766" w:rsidRPr="00DE12A3" w:rsidRDefault="009F4766" w:rsidP="00C917D6">
            <w:pPr>
              <w:pStyle w:val="NormalLeft"/>
            </w:pPr>
            <w:r w:rsidRPr="00DE12A3">
              <w:t>24</w:t>
            </w:r>
          </w:p>
        </w:tc>
      </w:tr>
      <w:tr w:rsidR="00DE12A3" w:rsidRPr="00DE12A3" w14:paraId="2613ED9F" w14:textId="77777777" w:rsidTr="009F4766">
        <w:tc>
          <w:tcPr>
            <w:tcW w:w="1182" w:type="dxa"/>
            <w:tcBorders>
              <w:top w:val="single" w:sz="2" w:space="0" w:color="auto"/>
              <w:left w:val="single" w:sz="2" w:space="0" w:color="auto"/>
              <w:bottom w:val="single" w:sz="2" w:space="0" w:color="auto"/>
              <w:right w:val="single" w:sz="2" w:space="0" w:color="auto"/>
            </w:tcBorders>
          </w:tcPr>
          <w:p w14:paraId="0A1656BF" w14:textId="77777777" w:rsidR="009F4766" w:rsidRPr="00DE12A3" w:rsidRDefault="009F4766" w:rsidP="00C917D6">
            <w:pPr>
              <w:pStyle w:val="NormalLeft"/>
            </w:pPr>
            <w:r w:rsidRPr="00DE12A3">
              <w:t>362</w:t>
            </w:r>
          </w:p>
        </w:tc>
        <w:tc>
          <w:tcPr>
            <w:tcW w:w="2489" w:type="dxa"/>
            <w:tcBorders>
              <w:top w:val="single" w:sz="2" w:space="0" w:color="auto"/>
              <w:left w:val="single" w:sz="2" w:space="0" w:color="auto"/>
              <w:bottom w:val="single" w:sz="2" w:space="0" w:color="auto"/>
              <w:right w:val="single" w:sz="2" w:space="0" w:color="auto"/>
            </w:tcBorders>
          </w:tcPr>
          <w:p w14:paraId="160A8301" w14:textId="77777777" w:rsidR="009F4766" w:rsidRPr="00DE12A3" w:rsidRDefault="009F4766" w:rsidP="00C917D6">
            <w:pPr>
              <w:pStyle w:val="NormalLeft"/>
            </w:pPr>
            <w:r w:rsidRPr="00DE12A3">
              <w:t>34</w:t>
            </w:r>
          </w:p>
        </w:tc>
        <w:tc>
          <w:tcPr>
            <w:tcW w:w="2551" w:type="dxa"/>
            <w:tcBorders>
              <w:top w:val="single" w:sz="2" w:space="0" w:color="auto"/>
              <w:left w:val="single" w:sz="2" w:space="0" w:color="auto"/>
              <w:bottom w:val="single" w:sz="2" w:space="0" w:color="auto"/>
              <w:right w:val="single" w:sz="2" w:space="0" w:color="auto"/>
            </w:tcBorders>
          </w:tcPr>
          <w:p w14:paraId="2C5077E2" w14:textId="77777777" w:rsidR="009F4766" w:rsidRPr="00DE12A3" w:rsidRDefault="009F4766" w:rsidP="00C917D6">
            <w:pPr>
              <w:pStyle w:val="NormalLeft"/>
            </w:pPr>
            <w:r w:rsidRPr="00DE12A3">
              <w:t>53</w:t>
            </w:r>
          </w:p>
        </w:tc>
      </w:tr>
      <w:tr w:rsidR="00DE12A3" w:rsidRPr="00DE12A3" w14:paraId="5560E141" w14:textId="77777777" w:rsidTr="009F4766">
        <w:tc>
          <w:tcPr>
            <w:tcW w:w="1182" w:type="dxa"/>
            <w:tcBorders>
              <w:top w:val="single" w:sz="2" w:space="0" w:color="auto"/>
              <w:left w:val="single" w:sz="2" w:space="0" w:color="auto"/>
              <w:bottom w:val="single" w:sz="2" w:space="0" w:color="auto"/>
              <w:right w:val="single" w:sz="2" w:space="0" w:color="auto"/>
            </w:tcBorders>
          </w:tcPr>
          <w:p w14:paraId="658FC267" w14:textId="77777777" w:rsidR="009F4766" w:rsidRPr="00DE12A3" w:rsidRDefault="009F4766" w:rsidP="00C917D6">
            <w:pPr>
              <w:pStyle w:val="NormalLeft"/>
            </w:pPr>
            <w:r w:rsidRPr="00DE12A3">
              <w:t>363</w:t>
            </w:r>
          </w:p>
        </w:tc>
        <w:tc>
          <w:tcPr>
            <w:tcW w:w="2489" w:type="dxa"/>
            <w:tcBorders>
              <w:top w:val="single" w:sz="2" w:space="0" w:color="auto"/>
              <w:left w:val="single" w:sz="2" w:space="0" w:color="auto"/>
              <w:bottom w:val="single" w:sz="2" w:space="0" w:color="auto"/>
              <w:right w:val="single" w:sz="2" w:space="0" w:color="auto"/>
            </w:tcBorders>
          </w:tcPr>
          <w:p w14:paraId="5721DADC" w14:textId="77777777" w:rsidR="009F4766" w:rsidRPr="00DE12A3" w:rsidRDefault="009F4766" w:rsidP="00C917D6">
            <w:pPr>
              <w:pStyle w:val="NormalLeft"/>
            </w:pPr>
            <w:r w:rsidRPr="00DE12A3">
              <w:t>65</w:t>
            </w:r>
          </w:p>
        </w:tc>
        <w:tc>
          <w:tcPr>
            <w:tcW w:w="2551" w:type="dxa"/>
            <w:tcBorders>
              <w:top w:val="single" w:sz="2" w:space="0" w:color="auto"/>
              <w:left w:val="single" w:sz="2" w:space="0" w:color="auto"/>
              <w:bottom w:val="single" w:sz="2" w:space="0" w:color="auto"/>
              <w:right w:val="single" w:sz="2" w:space="0" w:color="auto"/>
            </w:tcBorders>
          </w:tcPr>
          <w:p w14:paraId="48D603E9" w14:textId="77777777" w:rsidR="009F4766" w:rsidRPr="00DE12A3" w:rsidRDefault="009F4766" w:rsidP="00C917D6">
            <w:pPr>
              <w:pStyle w:val="NormalLeft"/>
            </w:pPr>
            <w:r w:rsidRPr="00DE12A3">
              <w:t>83</w:t>
            </w:r>
          </w:p>
        </w:tc>
      </w:tr>
      <w:tr w:rsidR="00DE12A3" w:rsidRPr="00DE12A3" w14:paraId="189735D0" w14:textId="77777777" w:rsidTr="009F4766">
        <w:tc>
          <w:tcPr>
            <w:tcW w:w="1182" w:type="dxa"/>
            <w:tcBorders>
              <w:top w:val="single" w:sz="2" w:space="0" w:color="auto"/>
              <w:left w:val="single" w:sz="2" w:space="0" w:color="auto"/>
              <w:bottom w:val="single" w:sz="2" w:space="0" w:color="auto"/>
              <w:right w:val="single" w:sz="2" w:space="0" w:color="auto"/>
            </w:tcBorders>
          </w:tcPr>
          <w:p w14:paraId="00AE4BC4" w14:textId="77777777" w:rsidR="009F4766" w:rsidRPr="00DE12A3" w:rsidRDefault="009F4766" w:rsidP="00C917D6">
            <w:pPr>
              <w:pStyle w:val="NormalLeft"/>
            </w:pPr>
            <w:r w:rsidRPr="00DE12A3">
              <w:t>364</w:t>
            </w:r>
          </w:p>
        </w:tc>
        <w:tc>
          <w:tcPr>
            <w:tcW w:w="2489" w:type="dxa"/>
            <w:tcBorders>
              <w:top w:val="single" w:sz="2" w:space="0" w:color="auto"/>
              <w:left w:val="single" w:sz="2" w:space="0" w:color="auto"/>
              <w:bottom w:val="single" w:sz="2" w:space="0" w:color="auto"/>
              <w:right w:val="single" w:sz="2" w:space="0" w:color="auto"/>
            </w:tcBorders>
          </w:tcPr>
          <w:p w14:paraId="399D46D1" w14:textId="77777777" w:rsidR="009F4766" w:rsidRPr="00DE12A3" w:rsidRDefault="009F4766" w:rsidP="00C917D6">
            <w:pPr>
              <w:pStyle w:val="NormalLeft"/>
            </w:pPr>
            <w:r w:rsidRPr="00DE12A3">
              <w:t>80</w:t>
            </w:r>
          </w:p>
        </w:tc>
        <w:tc>
          <w:tcPr>
            <w:tcW w:w="2551" w:type="dxa"/>
            <w:tcBorders>
              <w:top w:val="single" w:sz="2" w:space="0" w:color="auto"/>
              <w:left w:val="single" w:sz="2" w:space="0" w:color="auto"/>
              <w:bottom w:val="single" w:sz="2" w:space="0" w:color="auto"/>
              <w:right w:val="single" w:sz="2" w:space="0" w:color="auto"/>
            </w:tcBorders>
          </w:tcPr>
          <w:p w14:paraId="61B284A2" w14:textId="77777777" w:rsidR="009F4766" w:rsidRPr="00DE12A3" w:rsidRDefault="009F4766" w:rsidP="00C917D6">
            <w:pPr>
              <w:pStyle w:val="NormalLeft"/>
            </w:pPr>
            <w:r w:rsidRPr="00DE12A3">
              <w:t>44</w:t>
            </w:r>
          </w:p>
        </w:tc>
      </w:tr>
      <w:tr w:rsidR="00DE12A3" w:rsidRPr="00DE12A3" w14:paraId="7556233E" w14:textId="77777777" w:rsidTr="009F4766">
        <w:tc>
          <w:tcPr>
            <w:tcW w:w="1182" w:type="dxa"/>
            <w:tcBorders>
              <w:top w:val="single" w:sz="2" w:space="0" w:color="auto"/>
              <w:left w:val="single" w:sz="2" w:space="0" w:color="auto"/>
              <w:bottom w:val="single" w:sz="2" w:space="0" w:color="auto"/>
              <w:right w:val="single" w:sz="2" w:space="0" w:color="auto"/>
            </w:tcBorders>
          </w:tcPr>
          <w:p w14:paraId="7BF822CF" w14:textId="77777777" w:rsidR="009F4766" w:rsidRPr="00DE12A3" w:rsidRDefault="009F4766" w:rsidP="00C917D6">
            <w:pPr>
              <w:pStyle w:val="NormalLeft"/>
            </w:pPr>
            <w:r w:rsidRPr="00DE12A3">
              <w:t>365</w:t>
            </w:r>
          </w:p>
        </w:tc>
        <w:tc>
          <w:tcPr>
            <w:tcW w:w="2489" w:type="dxa"/>
            <w:tcBorders>
              <w:top w:val="single" w:sz="2" w:space="0" w:color="auto"/>
              <w:left w:val="single" w:sz="2" w:space="0" w:color="auto"/>
              <w:bottom w:val="single" w:sz="2" w:space="0" w:color="auto"/>
              <w:right w:val="single" w:sz="2" w:space="0" w:color="auto"/>
            </w:tcBorders>
          </w:tcPr>
          <w:p w14:paraId="795C4C84" w14:textId="77777777" w:rsidR="009F4766" w:rsidRPr="00DE12A3" w:rsidRDefault="009F4766" w:rsidP="00C917D6">
            <w:pPr>
              <w:pStyle w:val="NormalLeft"/>
            </w:pPr>
            <w:r w:rsidRPr="00DE12A3">
              <w:t>77</w:t>
            </w:r>
          </w:p>
        </w:tc>
        <w:tc>
          <w:tcPr>
            <w:tcW w:w="2551" w:type="dxa"/>
            <w:tcBorders>
              <w:top w:val="single" w:sz="2" w:space="0" w:color="auto"/>
              <w:left w:val="single" w:sz="2" w:space="0" w:color="auto"/>
              <w:bottom w:val="single" w:sz="2" w:space="0" w:color="auto"/>
              <w:right w:val="single" w:sz="2" w:space="0" w:color="auto"/>
            </w:tcBorders>
          </w:tcPr>
          <w:p w14:paraId="64F064C1" w14:textId="77777777" w:rsidR="009F4766" w:rsidRPr="00DE12A3" w:rsidRDefault="009F4766" w:rsidP="00C917D6">
            <w:pPr>
              <w:pStyle w:val="NormalLeft"/>
            </w:pPr>
            <w:r w:rsidRPr="00DE12A3">
              <w:t>46</w:t>
            </w:r>
          </w:p>
        </w:tc>
      </w:tr>
      <w:tr w:rsidR="00DE12A3" w:rsidRPr="00DE12A3" w14:paraId="3B05D070" w14:textId="77777777" w:rsidTr="009F4766">
        <w:tc>
          <w:tcPr>
            <w:tcW w:w="1182" w:type="dxa"/>
            <w:tcBorders>
              <w:top w:val="single" w:sz="2" w:space="0" w:color="auto"/>
              <w:left w:val="single" w:sz="2" w:space="0" w:color="auto"/>
              <w:bottom w:val="single" w:sz="2" w:space="0" w:color="auto"/>
              <w:right w:val="single" w:sz="2" w:space="0" w:color="auto"/>
            </w:tcBorders>
          </w:tcPr>
          <w:p w14:paraId="0492E748" w14:textId="77777777" w:rsidR="009F4766" w:rsidRPr="00DE12A3" w:rsidRDefault="009F4766" w:rsidP="00C917D6">
            <w:pPr>
              <w:pStyle w:val="NormalLeft"/>
            </w:pPr>
            <w:r w:rsidRPr="00DE12A3">
              <w:t>366</w:t>
            </w:r>
          </w:p>
        </w:tc>
        <w:tc>
          <w:tcPr>
            <w:tcW w:w="2489" w:type="dxa"/>
            <w:tcBorders>
              <w:top w:val="single" w:sz="2" w:space="0" w:color="auto"/>
              <w:left w:val="single" w:sz="2" w:space="0" w:color="auto"/>
              <w:bottom w:val="single" w:sz="2" w:space="0" w:color="auto"/>
              <w:right w:val="single" w:sz="2" w:space="0" w:color="auto"/>
            </w:tcBorders>
          </w:tcPr>
          <w:p w14:paraId="12BF5C0C" w14:textId="77777777" w:rsidR="009F4766" w:rsidRPr="00DE12A3" w:rsidRDefault="009F4766" w:rsidP="00C917D6">
            <w:pPr>
              <w:pStyle w:val="NormalLeft"/>
            </w:pPr>
            <w:r w:rsidRPr="00DE12A3">
              <w:t>76</w:t>
            </w:r>
          </w:p>
        </w:tc>
        <w:tc>
          <w:tcPr>
            <w:tcW w:w="2551" w:type="dxa"/>
            <w:tcBorders>
              <w:top w:val="single" w:sz="2" w:space="0" w:color="auto"/>
              <w:left w:val="single" w:sz="2" w:space="0" w:color="auto"/>
              <w:bottom w:val="single" w:sz="2" w:space="0" w:color="auto"/>
              <w:right w:val="single" w:sz="2" w:space="0" w:color="auto"/>
            </w:tcBorders>
          </w:tcPr>
          <w:p w14:paraId="523AF640" w14:textId="77777777" w:rsidR="009F4766" w:rsidRPr="00DE12A3" w:rsidRDefault="009F4766" w:rsidP="00C917D6">
            <w:pPr>
              <w:pStyle w:val="NormalLeft"/>
            </w:pPr>
            <w:r w:rsidRPr="00DE12A3">
              <w:t>50</w:t>
            </w:r>
          </w:p>
        </w:tc>
      </w:tr>
      <w:tr w:rsidR="00DE12A3" w:rsidRPr="00DE12A3" w14:paraId="3413C61E" w14:textId="77777777" w:rsidTr="009F4766">
        <w:tc>
          <w:tcPr>
            <w:tcW w:w="1182" w:type="dxa"/>
            <w:tcBorders>
              <w:top w:val="single" w:sz="2" w:space="0" w:color="auto"/>
              <w:left w:val="single" w:sz="2" w:space="0" w:color="auto"/>
              <w:bottom w:val="single" w:sz="2" w:space="0" w:color="auto"/>
              <w:right w:val="single" w:sz="2" w:space="0" w:color="auto"/>
            </w:tcBorders>
          </w:tcPr>
          <w:p w14:paraId="691A34B2" w14:textId="77777777" w:rsidR="009F4766" w:rsidRPr="00DE12A3" w:rsidRDefault="009F4766" w:rsidP="00C917D6">
            <w:pPr>
              <w:pStyle w:val="NormalLeft"/>
            </w:pPr>
            <w:r w:rsidRPr="00DE12A3">
              <w:t>367</w:t>
            </w:r>
          </w:p>
        </w:tc>
        <w:tc>
          <w:tcPr>
            <w:tcW w:w="2489" w:type="dxa"/>
            <w:tcBorders>
              <w:top w:val="single" w:sz="2" w:space="0" w:color="auto"/>
              <w:left w:val="single" w:sz="2" w:space="0" w:color="auto"/>
              <w:bottom w:val="single" w:sz="2" w:space="0" w:color="auto"/>
              <w:right w:val="single" w:sz="2" w:space="0" w:color="auto"/>
            </w:tcBorders>
          </w:tcPr>
          <w:p w14:paraId="2D6492F7" w14:textId="77777777" w:rsidR="009F4766" w:rsidRPr="00DE12A3" w:rsidRDefault="009F4766" w:rsidP="00C917D6">
            <w:pPr>
              <w:pStyle w:val="NormalLeft"/>
            </w:pPr>
            <w:r w:rsidRPr="00DE12A3">
              <w:t>45</w:t>
            </w:r>
          </w:p>
        </w:tc>
        <w:tc>
          <w:tcPr>
            <w:tcW w:w="2551" w:type="dxa"/>
            <w:tcBorders>
              <w:top w:val="single" w:sz="2" w:space="0" w:color="auto"/>
              <w:left w:val="single" w:sz="2" w:space="0" w:color="auto"/>
              <w:bottom w:val="single" w:sz="2" w:space="0" w:color="auto"/>
              <w:right w:val="single" w:sz="2" w:space="0" w:color="auto"/>
            </w:tcBorders>
          </w:tcPr>
          <w:p w14:paraId="0666E2B4" w14:textId="77777777" w:rsidR="009F4766" w:rsidRPr="00DE12A3" w:rsidRDefault="009F4766" w:rsidP="00C917D6">
            <w:pPr>
              <w:pStyle w:val="NormalLeft"/>
            </w:pPr>
            <w:r w:rsidRPr="00DE12A3">
              <w:t>52</w:t>
            </w:r>
          </w:p>
        </w:tc>
      </w:tr>
      <w:tr w:rsidR="00DE12A3" w:rsidRPr="00DE12A3" w14:paraId="71F7721E" w14:textId="77777777" w:rsidTr="009F4766">
        <w:tc>
          <w:tcPr>
            <w:tcW w:w="1182" w:type="dxa"/>
            <w:tcBorders>
              <w:top w:val="single" w:sz="2" w:space="0" w:color="auto"/>
              <w:left w:val="single" w:sz="2" w:space="0" w:color="auto"/>
              <w:bottom w:val="single" w:sz="2" w:space="0" w:color="auto"/>
              <w:right w:val="single" w:sz="2" w:space="0" w:color="auto"/>
            </w:tcBorders>
          </w:tcPr>
          <w:p w14:paraId="75A4459C" w14:textId="77777777" w:rsidR="009F4766" w:rsidRPr="00DE12A3" w:rsidRDefault="009F4766" w:rsidP="00C917D6">
            <w:pPr>
              <w:pStyle w:val="NormalLeft"/>
            </w:pPr>
            <w:r w:rsidRPr="00DE12A3">
              <w:t>368</w:t>
            </w:r>
          </w:p>
        </w:tc>
        <w:tc>
          <w:tcPr>
            <w:tcW w:w="2489" w:type="dxa"/>
            <w:tcBorders>
              <w:top w:val="single" w:sz="2" w:space="0" w:color="auto"/>
              <w:left w:val="single" w:sz="2" w:space="0" w:color="auto"/>
              <w:bottom w:val="single" w:sz="2" w:space="0" w:color="auto"/>
              <w:right w:val="single" w:sz="2" w:space="0" w:color="auto"/>
            </w:tcBorders>
          </w:tcPr>
          <w:p w14:paraId="3A0F7446" w14:textId="77777777" w:rsidR="009F4766" w:rsidRPr="00DE12A3" w:rsidRDefault="009F4766" w:rsidP="00C917D6">
            <w:pPr>
              <w:pStyle w:val="NormalLeft"/>
            </w:pPr>
            <w:r w:rsidRPr="00DE12A3">
              <w:t>61</w:t>
            </w:r>
          </w:p>
        </w:tc>
        <w:tc>
          <w:tcPr>
            <w:tcW w:w="2551" w:type="dxa"/>
            <w:tcBorders>
              <w:top w:val="single" w:sz="2" w:space="0" w:color="auto"/>
              <w:left w:val="single" w:sz="2" w:space="0" w:color="auto"/>
              <w:bottom w:val="single" w:sz="2" w:space="0" w:color="auto"/>
              <w:right w:val="single" w:sz="2" w:space="0" w:color="auto"/>
            </w:tcBorders>
          </w:tcPr>
          <w:p w14:paraId="7DEC6BFB" w14:textId="77777777" w:rsidR="009F4766" w:rsidRPr="00DE12A3" w:rsidRDefault="009F4766" w:rsidP="00C917D6">
            <w:pPr>
              <w:pStyle w:val="NormalLeft"/>
            </w:pPr>
            <w:r w:rsidRPr="00DE12A3">
              <w:t>98</w:t>
            </w:r>
          </w:p>
        </w:tc>
      </w:tr>
      <w:tr w:rsidR="00DE12A3" w:rsidRPr="00DE12A3" w14:paraId="2D187944" w14:textId="77777777" w:rsidTr="009F4766">
        <w:tc>
          <w:tcPr>
            <w:tcW w:w="1182" w:type="dxa"/>
            <w:tcBorders>
              <w:top w:val="single" w:sz="2" w:space="0" w:color="auto"/>
              <w:left w:val="single" w:sz="2" w:space="0" w:color="auto"/>
              <w:bottom w:val="single" w:sz="2" w:space="0" w:color="auto"/>
              <w:right w:val="single" w:sz="2" w:space="0" w:color="auto"/>
            </w:tcBorders>
          </w:tcPr>
          <w:p w14:paraId="3CE1E581" w14:textId="77777777" w:rsidR="009F4766" w:rsidRPr="00DE12A3" w:rsidRDefault="009F4766" w:rsidP="00C917D6">
            <w:pPr>
              <w:pStyle w:val="NormalLeft"/>
            </w:pPr>
            <w:r w:rsidRPr="00DE12A3">
              <w:t>369</w:t>
            </w:r>
          </w:p>
        </w:tc>
        <w:tc>
          <w:tcPr>
            <w:tcW w:w="2489" w:type="dxa"/>
            <w:tcBorders>
              <w:top w:val="single" w:sz="2" w:space="0" w:color="auto"/>
              <w:left w:val="single" w:sz="2" w:space="0" w:color="auto"/>
              <w:bottom w:val="single" w:sz="2" w:space="0" w:color="auto"/>
              <w:right w:val="single" w:sz="2" w:space="0" w:color="auto"/>
            </w:tcBorders>
          </w:tcPr>
          <w:p w14:paraId="412E6266" w14:textId="77777777" w:rsidR="009F4766" w:rsidRPr="00DE12A3" w:rsidRDefault="009F4766" w:rsidP="00C917D6">
            <w:pPr>
              <w:pStyle w:val="NormalLeft"/>
            </w:pPr>
            <w:r w:rsidRPr="00DE12A3">
              <w:t>61</w:t>
            </w:r>
          </w:p>
        </w:tc>
        <w:tc>
          <w:tcPr>
            <w:tcW w:w="2551" w:type="dxa"/>
            <w:tcBorders>
              <w:top w:val="single" w:sz="2" w:space="0" w:color="auto"/>
              <w:left w:val="single" w:sz="2" w:space="0" w:color="auto"/>
              <w:bottom w:val="single" w:sz="2" w:space="0" w:color="auto"/>
              <w:right w:val="single" w:sz="2" w:space="0" w:color="auto"/>
            </w:tcBorders>
          </w:tcPr>
          <w:p w14:paraId="2B81C969" w14:textId="77777777" w:rsidR="009F4766" w:rsidRPr="00DE12A3" w:rsidRDefault="009F4766" w:rsidP="00C917D6">
            <w:pPr>
              <w:pStyle w:val="NormalLeft"/>
            </w:pPr>
            <w:r w:rsidRPr="00DE12A3">
              <w:t>69</w:t>
            </w:r>
          </w:p>
        </w:tc>
      </w:tr>
      <w:tr w:rsidR="00DE12A3" w:rsidRPr="00DE12A3" w14:paraId="2E8BA663" w14:textId="77777777" w:rsidTr="009F4766">
        <w:tc>
          <w:tcPr>
            <w:tcW w:w="1182" w:type="dxa"/>
            <w:tcBorders>
              <w:top w:val="single" w:sz="2" w:space="0" w:color="auto"/>
              <w:left w:val="single" w:sz="2" w:space="0" w:color="auto"/>
              <w:bottom w:val="single" w:sz="2" w:space="0" w:color="auto"/>
              <w:right w:val="single" w:sz="2" w:space="0" w:color="auto"/>
            </w:tcBorders>
          </w:tcPr>
          <w:p w14:paraId="1EF1016B" w14:textId="77777777" w:rsidR="009F4766" w:rsidRPr="00DE12A3" w:rsidRDefault="009F4766" w:rsidP="00C917D6">
            <w:pPr>
              <w:pStyle w:val="NormalLeft"/>
            </w:pPr>
            <w:r w:rsidRPr="00DE12A3">
              <w:t>370</w:t>
            </w:r>
          </w:p>
        </w:tc>
        <w:tc>
          <w:tcPr>
            <w:tcW w:w="2489" w:type="dxa"/>
            <w:tcBorders>
              <w:top w:val="single" w:sz="2" w:space="0" w:color="auto"/>
              <w:left w:val="single" w:sz="2" w:space="0" w:color="auto"/>
              <w:bottom w:val="single" w:sz="2" w:space="0" w:color="auto"/>
              <w:right w:val="single" w:sz="2" w:space="0" w:color="auto"/>
            </w:tcBorders>
          </w:tcPr>
          <w:p w14:paraId="1ED025F0" w14:textId="77777777" w:rsidR="009F4766" w:rsidRPr="00DE12A3" w:rsidRDefault="009F4766" w:rsidP="00C917D6">
            <w:pPr>
              <w:pStyle w:val="NormalLeft"/>
            </w:pPr>
            <w:r w:rsidRPr="00DE12A3">
              <w:t>63</w:t>
            </w:r>
          </w:p>
        </w:tc>
        <w:tc>
          <w:tcPr>
            <w:tcW w:w="2551" w:type="dxa"/>
            <w:tcBorders>
              <w:top w:val="single" w:sz="2" w:space="0" w:color="auto"/>
              <w:left w:val="single" w:sz="2" w:space="0" w:color="auto"/>
              <w:bottom w:val="single" w:sz="2" w:space="0" w:color="auto"/>
              <w:right w:val="single" w:sz="2" w:space="0" w:color="auto"/>
            </w:tcBorders>
          </w:tcPr>
          <w:p w14:paraId="324C2747" w14:textId="77777777" w:rsidR="009F4766" w:rsidRPr="00DE12A3" w:rsidRDefault="009F4766" w:rsidP="00C917D6">
            <w:pPr>
              <w:pStyle w:val="NormalLeft"/>
            </w:pPr>
            <w:r w:rsidRPr="00DE12A3">
              <w:t>49</w:t>
            </w:r>
          </w:p>
        </w:tc>
      </w:tr>
      <w:tr w:rsidR="00DE12A3" w:rsidRPr="00DE12A3" w14:paraId="1F98EBE3" w14:textId="77777777" w:rsidTr="009F4766">
        <w:tc>
          <w:tcPr>
            <w:tcW w:w="1182" w:type="dxa"/>
            <w:tcBorders>
              <w:top w:val="single" w:sz="2" w:space="0" w:color="auto"/>
              <w:left w:val="single" w:sz="2" w:space="0" w:color="auto"/>
              <w:bottom w:val="single" w:sz="2" w:space="0" w:color="auto"/>
              <w:right w:val="single" w:sz="2" w:space="0" w:color="auto"/>
            </w:tcBorders>
          </w:tcPr>
          <w:p w14:paraId="3E7AE467" w14:textId="77777777" w:rsidR="009F4766" w:rsidRPr="00DE12A3" w:rsidRDefault="009F4766" w:rsidP="00C917D6">
            <w:pPr>
              <w:pStyle w:val="NormalLeft"/>
            </w:pPr>
            <w:r w:rsidRPr="00DE12A3">
              <w:t>371</w:t>
            </w:r>
          </w:p>
        </w:tc>
        <w:tc>
          <w:tcPr>
            <w:tcW w:w="2489" w:type="dxa"/>
            <w:tcBorders>
              <w:top w:val="single" w:sz="2" w:space="0" w:color="auto"/>
              <w:left w:val="single" w:sz="2" w:space="0" w:color="auto"/>
              <w:bottom w:val="single" w:sz="2" w:space="0" w:color="auto"/>
              <w:right w:val="single" w:sz="2" w:space="0" w:color="auto"/>
            </w:tcBorders>
          </w:tcPr>
          <w:p w14:paraId="0B99255A" w14:textId="77777777" w:rsidR="009F4766" w:rsidRPr="00DE12A3" w:rsidRDefault="009F4766" w:rsidP="00C917D6">
            <w:pPr>
              <w:pStyle w:val="NormalLeft"/>
            </w:pPr>
            <w:r w:rsidRPr="00DE12A3">
              <w:t>32</w:t>
            </w:r>
          </w:p>
        </w:tc>
        <w:tc>
          <w:tcPr>
            <w:tcW w:w="2551" w:type="dxa"/>
            <w:tcBorders>
              <w:top w:val="single" w:sz="2" w:space="0" w:color="auto"/>
              <w:left w:val="single" w:sz="2" w:space="0" w:color="auto"/>
              <w:bottom w:val="single" w:sz="2" w:space="0" w:color="auto"/>
              <w:right w:val="single" w:sz="2" w:space="0" w:color="auto"/>
            </w:tcBorders>
          </w:tcPr>
          <w:p w14:paraId="0D3AB0AF" w14:textId="77777777" w:rsidR="009F4766" w:rsidRPr="00DE12A3" w:rsidRDefault="009F4766" w:rsidP="00C917D6">
            <w:pPr>
              <w:pStyle w:val="NormalLeft"/>
            </w:pPr>
            <w:r w:rsidRPr="00DE12A3">
              <w:t>0</w:t>
            </w:r>
          </w:p>
        </w:tc>
      </w:tr>
      <w:tr w:rsidR="00DE12A3" w:rsidRPr="00DE12A3" w14:paraId="6D979485" w14:textId="77777777" w:rsidTr="009F4766">
        <w:tc>
          <w:tcPr>
            <w:tcW w:w="1182" w:type="dxa"/>
            <w:tcBorders>
              <w:top w:val="single" w:sz="2" w:space="0" w:color="auto"/>
              <w:left w:val="single" w:sz="2" w:space="0" w:color="auto"/>
              <w:bottom w:val="single" w:sz="2" w:space="0" w:color="auto"/>
              <w:right w:val="single" w:sz="2" w:space="0" w:color="auto"/>
            </w:tcBorders>
          </w:tcPr>
          <w:p w14:paraId="489E33CA" w14:textId="77777777" w:rsidR="009F4766" w:rsidRPr="00DE12A3" w:rsidRDefault="009F4766" w:rsidP="00C917D6">
            <w:pPr>
              <w:pStyle w:val="NormalLeft"/>
            </w:pPr>
            <w:r w:rsidRPr="00DE12A3">
              <w:t>372</w:t>
            </w:r>
          </w:p>
        </w:tc>
        <w:tc>
          <w:tcPr>
            <w:tcW w:w="2489" w:type="dxa"/>
            <w:tcBorders>
              <w:top w:val="single" w:sz="2" w:space="0" w:color="auto"/>
              <w:left w:val="single" w:sz="2" w:space="0" w:color="auto"/>
              <w:bottom w:val="single" w:sz="2" w:space="0" w:color="auto"/>
              <w:right w:val="single" w:sz="2" w:space="0" w:color="auto"/>
            </w:tcBorders>
          </w:tcPr>
          <w:p w14:paraId="78359B6E" w14:textId="77777777" w:rsidR="009F4766" w:rsidRPr="00DE12A3" w:rsidRDefault="009F4766" w:rsidP="00C917D6">
            <w:pPr>
              <w:pStyle w:val="NormalLeft"/>
            </w:pPr>
            <w:r w:rsidRPr="00DE12A3">
              <w:t>10</w:t>
            </w:r>
          </w:p>
        </w:tc>
        <w:tc>
          <w:tcPr>
            <w:tcW w:w="2551" w:type="dxa"/>
            <w:tcBorders>
              <w:top w:val="single" w:sz="2" w:space="0" w:color="auto"/>
              <w:left w:val="single" w:sz="2" w:space="0" w:color="auto"/>
              <w:bottom w:val="single" w:sz="2" w:space="0" w:color="auto"/>
              <w:right w:val="single" w:sz="2" w:space="0" w:color="auto"/>
            </w:tcBorders>
          </w:tcPr>
          <w:p w14:paraId="3B98BD01" w14:textId="77777777" w:rsidR="009F4766" w:rsidRPr="00DE12A3" w:rsidRDefault="009F4766" w:rsidP="00C917D6">
            <w:pPr>
              <w:pStyle w:val="NormalLeft"/>
            </w:pPr>
            <w:r w:rsidRPr="00DE12A3">
              <w:t>8</w:t>
            </w:r>
          </w:p>
        </w:tc>
      </w:tr>
      <w:tr w:rsidR="00DE12A3" w:rsidRPr="00DE12A3" w14:paraId="75E0DFF5" w14:textId="77777777" w:rsidTr="009F4766">
        <w:tc>
          <w:tcPr>
            <w:tcW w:w="1182" w:type="dxa"/>
            <w:tcBorders>
              <w:top w:val="single" w:sz="2" w:space="0" w:color="auto"/>
              <w:left w:val="single" w:sz="2" w:space="0" w:color="auto"/>
              <w:bottom w:val="single" w:sz="2" w:space="0" w:color="auto"/>
              <w:right w:val="single" w:sz="2" w:space="0" w:color="auto"/>
            </w:tcBorders>
          </w:tcPr>
          <w:p w14:paraId="6B29A541" w14:textId="77777777" w:rsidR="009F4766" w:rsidRPr="00DE12A3" w:rsidRDefault="009F4766" w:rsidP="00C917D6">
            <w:pPr>
              <w:pStyle w:val="NormalLeft"/>
            </w:pPr>
            <w:r w:rsidRPr="00DE12A3">
              <w:t>373</w:t>
            </w:r>
          </w:p>
        </w:tc>
        <w:tc>
          <w:tcPr>
            <w:tcW w:w="2489" w:type="dxa"/>
            <w:tcBorders>
              <w:top w:val="single" w:sz="2" w:space="0" w:color="auto"/>
              <w:left w:val="single" w:sz="2" w:space="0" w:color="auto"/>
              <w:bottom w:val="single" w:sz="2" w:space="0" w:color="auto"/>
              <w:right w:val="single" w:sz="2" w:space="0" w:color="auto"/>
            </w:tcBorders>
          </w:tcPr>
          <w:p w14:paraId="37B5A108" w14:textId="77777777" w:rsidR="009F4766" w:rsidRPr="00DE12A3" w:rsidRDefault="009F4766" w:rsidP="00C917D6">
            <w:pPr>
              <w:pStyle w:val="NormalLeft"/>
            </w:pPr>
            <w:r w:rsidRPr="00DE12A3">
              <w:t>17</w:t>
            </w:r>
          </w:p>
        </w:tc>
        <w:tc>
          <w:tcPr>
            <w:tcW w:w="2551" w:type="dxa"/>
            <w:tcBorders>
              <w:top w:val="single" w:sz="2" w:space="0" w:color="auto"/>
              <w:left w:val="single" w:sz="2" w:space="0" w:color="auto"/>
              <w:bottom w:val="single" w:sz="2" w:space="0" w:color="auto"/>
              <w:right w:val="single" w:sz="2" w:space="0" w:color="auto"/>
            </w:tcBorders>
          </w:tcPr>
          <w:p w14:paraId="4DEF7178" w14:textId="77777777" w:rsidR="009F4766" w:rsidRPr="00DE12A3" w:rsidRDefault="009F4766" w:rsidP="00C917D6">
            <w:pPr>
              <w:pStyle w:val="NormalLeft"/>
            </w:pPr>
            <w:r w:rsidRPr="00DE12A3">
              <w:t>7</w:t>
            </w:r>
          </w:p>
        </w:tc>
      </w:tr>
      <w:tr w:rsidR="00DE12A3" w:rsidRPr="00DE12A3" w14:paraId="58F27B08" w14:textId="77777777" w:rsidTr="009F4766">
        <w:tc>
          <w:tcPr>
            <w:tcW w:w="1182" w:type="dxa"/>
            <w:tcBorders>
              <w:top w:val="single" w:sz="2" w:space="0" w:color="auto"/>
              <w:left w:val="single" w:sz="2" w:space="0" w:color="auto"/>
              <w:bottom w:val="single" w:sz="2" w:space="0" w:color="auto"/>
              <w:right w:val="single" w:sz="2" w:space="0" w:color="auto"/>
            </w:tcBorders>
          </w:tcPr>
          <w:p w14:paraId="4EFCB243" w14:textId="77777777" w:rsidR="009F4766" w:rsidRPr="00DE12A3" w:rsidRDefault="009F4766" w:rsidP="00C917D6">
            <w:pPr>
              <w:pStyle w:val="NormalLeft"/>
            </w:pPr>
            <w:r w:rsidRPr="00DE12A3">
              <w:t>374</w:t>
            </w:r>
          </w:p>
        </w:tc>
        <w:tc>
          <w:tcPr>
            <w:tcW w:w="2489" w:type="dxa"/>
            <w:tcBorders>
              <w:top w:val="single" w:sz="2" w:space="0" w:color="auto"/>
              <w:left w:val="single" w:sz="2" w:space="0" w:color="auto"/>
              <w:bottom w:val="single" w:sz="2" w:space="0" w:color="auto"/>
              <w:right w:val="single" w:sz="2" w:space="0" w:color="auto"/>
            </w:tcBorders>
          </w:tcPr>
          <w:p w14:paraId="4F4FA2B5" w14:textId="77777777" w:rsidR="009F4766" w:rsidRPr="00DE12A3" w:rsidRDefault="009F4766" w:rsidP="00C917D6">
            <w:pPr>
              <w:pStyle w:val="NormalLeft"/>
            </w:pPr>
            <w:r w:rsidRPr="00DE12A3">
              <w:t>16</w:t>
            </w:r>
          </w:p>
        </w:tc>
        <w:tc>
          <w:tcPr>
            <w:tcW w:w="2551" w:type="dxa"/>
            <w:tcBorders>
              <w:top w:val="single" w:sz="2" w:space="0" w:color="auto"/>
              <w:left w:val="single" w:sz="2" w:space="0" w:color="auto"/>
              <w:bottom w:val="single" w:sz="2" w:space="0" w:color="auto"/>
              <w:right w:val="single" w:sz="2" w:space="0" w:color="auto"/>
            </w:tcBorders>
          </w:tcPr>
          <w:p w14:paraId="3D21E8F3" w14:textId="77777777" w:rsidR="009F4766" w:rsidRPr="00DE12A3" w:rsidRDefault="009F4766" w:rsidP="00C917D6">
            <w:pPr>
              <w:pStyle w:val="NormalLeft"/>
            </w:pPr>
            <w:r w:rsidRPr="00DE12A3">
              <w:t>13</w:t>
            </w:r>
          </w:p>
        </w:tc>
      </w:tr>
      <w:tr w:rsidR="00DE12A3" w:rsidRPr="00DE12A3" w14:paraId="5038F50F" w14:textId="77777777" w:rsidTr="009F4766">
        <w:tc>
          <w:tcPr>
            <w:tcW w:w="1182" w:type="dxa"/>
            <w:tcBorders>
              <w:top w:val="single" w:sz="2" w:space="0" w:color="auto"/>
              <w:left w:val="single" w:sz="2" w:space="0" w:color="auto"/>
              <w:bottom w:val="single" w:sz="2" w:space="0" w:color="auto"/>
              <w:right w:val="single" w:sz="2" w:space="0" w:color="auto"/>
            </w:tcBorders>
          </w:tcPr>
          <w:p w14:paraId="6966CA0E" w14:textId="77777777" w:rsidR="009F4766" w:rsidRPr="00DE12A3" w:rsidRDefault="009F4766" w:rsidP="00C917D6">
            <w:pPr>
              <w:pStyle w:val="NormalLeft"/>
            </w:pPr>
            <w:r w:rsidRPr="00DE12A3">
              <w:t>375</w:t>
            </w:r>
          </w:p>
        </w:tc>
        <w:tc>
          <w:tcPr>
            <w:tcW w:w="2489" w:type="dxa"/>
            <w:tcBorders>
              <w:top w:val="single" w:sz="2" w:space="0" w:color="auto"/>
              <w:left w:val="single" w:sz="2" w:space="0" w:color="auto"/>
              <w:bottom w:val="single" w:sz="2" w:space="0" w:color="auto"/>
              <w:right w:val="single" w:sz="2" w:space="0" w:color="auto"/>
            </w:tcBorders>
          </w:tcPr>
          <w:p w14:paraId="2762675C" w14:textId="77777777" w:rsidR="009F4766" w:rsidRPr="00DE12A3" w:rsidRDefault="009F4766" w:rsidP="00C917D6">
            <w:pPr>
              <w:pStyle w:val="NormalLeft"/>
            </w:pPr>
            <w:r w:rsidRPr="00DE12A3">
              <w:t>11</w:t>
            </w:r>
          </w:p>
        </w:tc>
        <w:tc>
          <w:tcPr>
            <w:tcW w:w="2551" w:type="dxa"/>
            <w:tcBorders>
              <w:top w:val="single" w:sz="2" w:space="0" w:color="auto"/>
              <w:left w:val="single" w:sz="2" w:space="0" w:color="auto"/>
              <w:bottom w:val="single" w:sz="2" w:space="0" w:color="auto"/>
              <w:right w:val="single" w:sz="2" w:space="0" w:color="auto"/>
            </w:tcBorders>
          </w:tcPr>
          <w:p w14:paraId="0523F9F6" w14:textId="77777777" w:rsidR="009F4766" w:rsidRPr="00DE12A3" w:rsidRDefault="009F4766" w:rsidP="00C917D6">
            <w:pPr>
              <w:pStyle w:val="NormalLeft"/>
            </w:pPr>
            <w:r w:rsidRPr="00DE12A3">
              <w:t>6</w:t>
            </w:r>
          </w:p>
        </w:tc>
      </w:tr>
      <w:tr w:rsidR="00DE12A3" w:rsidRPr="00DE12A3" w14:paraId="2A7F8964" w14:textId="77777777" w:rsidTr="009F4766">
        <w:tc>
          <w:tcPr>
            <w:tcW w:w="1182" w:type="dxa"/>
            <w:tcBorders>
              <w:top w:val="single" w:sz="2" w:space="0" w:color="auto"/>
              <w:left w:val="single" w:sz="2" w:space="0" w:color="auto"/>
              <w:bottom w:val="single" w:sz="2" w:space="0" w:color="auto"/>
              <w:right w:val="single" w:sz="2" w:space="0" w:color="auto"/>
            </w:tcBorders>
          </w:tcPr>
          <w:p w14:paraId="341E1E1C" w14:textId="77777777" w:rsidR="009F4766" w:rsidRPr="00DE12A3" w:rsidRDefault="009F4766" w:rsidP="00C917D6">
            <w:pPr>
              <w:pStyle w:val="NormalLeft"/>
            </w:pPr>
            <w:r w:rsidRPr="00DE12A3">
              <w:t>376</w:t>
            </w:r>
          </w:p>
        </w:tc>
        <w:tc>
          <w:tcPr>
            <w:tcW w:w="2489" w:type="dxa"/>
            <w:tcBorders>
              <w:top w:val="single" w:sz="2" w:space="0" w:color="auto"/>
              <w:left w:val="single" w:sz="2" w:space="0" w:color="auto"/>
              <w:bottom w:val="single" w:sz="2" w:space="0" w:color="auto"/>
              <w:right w:val="single" w:sz="2" w:space="0" w:color="auto"/>
            </w:tcBorders>
          </w:tcPr>
          <w:p w14:paraId="0275F3F7" w14:textId="77777777" w:rsidR="009F4766" w:rsidRPr="00DE12A3" w:rsidRDefault="009F4766" w:rsidP="00C917D6">
            <w:pPr>
              <w:pStyle w:val="NormalLeft"/>
            </w:pPr>
            <w:r w:rsidRPr="00DE12A3">
              <w:t>9</w:t>
            </w:r>
          </w:p>
        </w:tc>
        <w:tc>
          <w:tcPr>
            <w:tcW w:w="2551" w:type="dxa"/>
            <w:tcBorders>
              <w:top w:val="single" w:sz="2" w:space="0" w:color="auto"/>
              <w:left w:val="single" w:sz="2" w:space="0" w:color="auto"/>
              <w:bottom w:val="single" w:sz="2" w:space="0" w:color="auto"/>
              <w:right w:val="single" w:sz="2" w:space="0" w:color="auto"/>
            </w:tcBorders>
          </w:tcPr>
          <w:p w14:paraId="021CEB67" w14:textId="77777777" w:rsidR="009F4766" w:rsidRPr="00DE12A3" w:rsidRDefault="009F4766" w:rsidP="00C917D6">
            <w:pPr>
              <w:pStyle w:val="NormalLeft"/>
            </w:pPr>
            <w:r w:rsidRPr="00DE12A3">
              <w:t>5</w:t>
            </w:r>
          </w:p>
        </w:tc>
      </w:tr>
      <w:tr w:rsidR="00DE12A3" w:rsidRPr="00DE12A3" w14:paraId="554C93AD" w14:textId="77777777" w:rsidTr="009F4766">
        <w:tc>
          <w:tcPr>
            <w:tcW w:w="1182" w:type="dxa"/>
            <w:tcBorders>
              <w:top w:val="single" w:sz="2" w:space="0" w:color="auto"/>
              <w:left w:val="single" w:sz="2" w:space="0" w:color="auto"/>
              <w:bottom w:val="single" w:sz="2" w:space="0" w:color="auto"/>
              <w:right w:val="single" w:sz="2" w:space="0" w:color="auto"/>
            </w:tcBorders>
          </w:tcPr>
          <w:p w14:paraId="79C689ED" w14:textId="77777777" w:rsidR="009F4766" w:rsidRPr="00DE12A3" w:rsidRDefault="009F4766" w:rsidP="00C917D6">
            <w:pPr>
              <w:pStyle w:val="NormalLeft"/>
            </w:pPr>
            <w:r w:rsidRPr="00DE12A3">
              <w:t>377</w:t>
            </w:r>
          </w:p>
        </w:tc>
        <w:tc>
          <w:tcPr>
            <w:tcW w:w="2489" w:type="dxa"/>
            <w:tcBorders>
              <w:top w:val="single" w:sz="2" w:space="0" w:color="auto"/>
              <w:left w:val="single" w:sz="2" w:space="0" w:color="auto"/>
              <w:bottom w:val="single" w:sz="2" w:space="0" w:color="auto"/>
              <w:right w:val="single" w:sz="2" w:space="0" w:color="auto"/>
            </w:tcBorders>
          </w:tcPr>
          <w:p w14:paraId="50A64208" w14:textId="77777777" w:rsidR="009F4766" w:rsidRPr="00DE12A3" w:rsidRDefault="009F4766" w:rsidP="00C917D6">
            <w:pPr>
              <w:pStyle w:val="NormalLeft"/>
            </w:pPr>
            <w:r w:rsidRPr="00DE12A3">
              <w:t>9</w:t>
            </w:r>
          </w:p>
        </w:tc>
        <w:tc>
          <w:tcPr>
            <w:tcW w:w="2551" w:type="dxa"/>
            <w:tcBorders>
              <w:top w:val="single" w:sz="2" w:space="0" w:color="auto"/>
              <w:left w:val="single" w:sz="2" w:space="0" w:color="auto"/>
              <w:bottom w:val="single" w:sz="2" w:space="0" w:color="auto"/>
              <w:right w:val="single" w:sz="2" w:space="0" w:color="auto"/>
            </w:tcBorders>
          </w:tcPr>
          <w:p w14:paraId="15400D58" w14:textId="77777777" w:rsidR="009F4766" w:rsidRPr="00DE12A3" w:rsidRDefault="009F4766" w:rsidP="00C917D6">
            <w:pPr>
              <w:pStyle w:val="NormalLeft"/>
            </w:pPr>
            <w:r w:rsidRPr="00DE12A3">
              <w:t>12</w:t>
            </w:r>
          </w:p>
        </w:tc>
      </w:tr>
      <w:tr w:rsidR="00DE12A3" w:rsidRPr="00DE12A3" w14:paraId="068F77AD" w14:textId="77777777" w:rsidTr="009F4766">
        <w:tc>
          <w:tcPr>
            <w:tcW w:w="1182" w:type="dxa"/>
            <w:tcBorders>
              <w:top w:val="single" w:sz="2" w:space="0" w:color="auto"/>
              <w:left w:val="single" w:sz="2" w:space="0" w:color="auto"/>
              <w:bottom w:val="single" w:sz="2" w:space="0" w:color="auto"/>
              <w:right w:val="single" w:sz="2" w:space="0" w:color="auto"/>
            </w:tcBorders>
          </w:tcPr>
          <w:p w14:paraId="75CA4237" w14:textId="77777777" w:rsidR="009F4766" w:rsidRPr="00DE12A3" w:rsidRDefault="009F4766" w:rsidP="00C917D6">
            <w:pPr>
              <w:pStyle w:val="NormalLeft"/>
            </w:pPr>
            <w:r w:rsidRPr="00DE12A3">
              <w:t>378</w:t>
            </w:r>
          </w:p>
        </w:tc>
        <w:tc>
          <w:tcPr>
            <w:tcW w:w="2489" w:type="dxa"/>
            <w:tcBorders>
              <w:top w:val="single" w:sz="2" w:space="0" w:color="auto"/>
              <w:left w:val="single" w:sz="2" w:space="0" w:color="auto"/>
              <w:bottom w:val="single" w:sz="2" w:space="0" w:color="auto"/>
              <w:right w:val="single" w:sz="2" w:space="0" w:color="auto"/>
            </w:tcBorders>
          </w:tcPr>
          <w:p w14:paraId="6B5B272C" w14:textId="77777777" w:rsidR="009F4766" w:rsidRPr="00DE12A3" w:rsidRDefault="009F4766" w:rsidP="00C917D6">
            <w:pPr>
              <w:pStyle w:val="NormalLeft"/>
            </w:pPr>
            <w:r w:rsidRPr="00DE12A3">
              <w:t>12</w:t>
            </w:r>
          </w:p>
        </w:tc>
        <w:tc>
          <w:tcPr>
            <w:tcW w:w="2551" w:type="dxa"/>
            <w:tcBorders>
              <w:top w:val="single" w:sz="2" w:space="0" w:color="auto"/>
              <w:left w:val="single" w:sz="2" w:space="0" w:color="auto"/>
              <w:bottom w:val="single" w:sz="2" w:space="0" w:color="auto"/>
              <w:right w:val="single" w:sz="2" w:space="0" w:color="auto"/>
            </w:tcBorders>
          </w:tcPr>
          <w:p w14:paraId="22FAB21B" w14:textId="77777777" w:rsidR="009F4766" w:rsidRPr="00DE12A3" w:rsidRDefault="009F4766" w:rsidP="00C917D6">
            <w:pPr>
              <w:pStyle w:val="NormalLeft"/>
            </w:pPr>
            <w:r w:rsidRPr="00DE12A3">
              <w:t>46</w:t>
            </w:r>
          </w:p>
        </w:tc>
      </w:tr>
      <w:tr w:rsidR="00DE12A3" w:rsidRPr="00DE12A3" w14:paraId="4D072924" w14:textId="77777777" w:rsidTr="009F4766">
        <w:tc>
          <w:tcPr>
            <w:tcW w:w="1182" w:type="dxa"/>
            <w:tcBorders>
              <w:top w:val="single" w:sz="2" w:space="0" w:color="auto"/>
              <w:left w:val="single" w:sz="2" w:space="0" w:color="auto"/>
              <w:bottom w:val="single" w:sz="2" w:space="0" w:color="auto"/>
              <w:right w:val="single" w:sz="2" w:space="0" w:color="auto"/>
            </w:tcBorders>
          </w:tcPr>
          <w:p w14:paraId="48EECE5C" w14:textId="77777777" w:rsidR="009F4766" w:rsidRPr="00DE12A3" w:rsidRDefault="009F4766" w:rsidP="00C917D6">
            <w:pPr>
              <w:pStyle w:val="NormalLeft"/>
            </w:pPr>
            <w:r w:rsidRPr="00DE12A3">
              <w:t>379</w:t>
            </w:r>
          </w:p>
        </w:tc>
        <w:tc>
          <w:tcPr>
            <w:tcW w:w="2489" w:type="dxa"/>
            <w:tcBorders>
              <w:top w:val="single" w:sz="2" w:space="0" w:color="auto"/>
              <w:left w:val="single" w:sz="2" w:space="0" w:color="auto"/>
              <w:bottom w:val="single" w:sz="2" w:space="0" w:color="auto"/>
              <w:right w:val="single" w:sz="2" w:space="0" w:color="auto"/>
            </w:tcBorders>
          </w:tcPr>
          <w:p w14:paraId="0C6F8733" w14:textId="77777777" w:rsidR="009F4766" w:rsidRPr="00DE12A3" w:rsidRDefault="009F4766" w:rsidP="00C917D6">
            <w:pPr>
              <w:pStyle w:val="NormalLeft"/>
            </w:pPr>
            <w:r w:rsidRPr="00DE12A3">
              <w:t>15</w:t>
            </w:r>
          </w:p>
        </w:tc>
        <w:tc>
          <w:tcPr>
            <w:tcW w:w="2551" w:type="dxa"/>
            <w:tcBorders>
              <w:top w:val="single" w:sz="2" w:space="0" w:color="auto"/>
              <w:left w:val="single" w:sz="2" w:space="0" w:color="auto"/>
              <w:bottom w:val="single" w:sz="2" w:space="0" w:color="auto"/>
              <w:right w:val="single" w:sz="2" w:space="0" w:color="auto"/>
            </w:tcBorders>
          </w:tcPr>
          <w:p w14:paraId="2DA278F5" w14:textId="77777777" w:rsidR="009F4766" w:rsidRPr="00DE12A3" w:rsidRDefault="009F4766" w:rsidP="00C917D6">
            <w:pPr>
              <w:pStyle w:val="NormalLeft"/>
            </w:pPr>
            <w:r w:rsidRPr="00DE12A3">
              <w:t>30</w:t>
            </w:r>
          </w:p>
        </w:tc>
      </w:tr>
      <w:tr w:rsidR="00DE12A3" w:rsidRPr="00DE12A3" w14:paraId="461EEC84" w14:textId="77777777" w:rsidTr="009F4766">
        <w:tc>
          <w:tcPr>
            <w:tcW w:w="1182" w:type="dxa"/>
            <w:tcBorders>
              <w:top w:val="single" w:sz="2" w:space="0" w:color="auto"/>
              <w:left w:val="single" w:sz="2" w:space="0" w:color="auto"/>
              <w:bottom w:val="single" w:sz="2" w:space="0" w:color="auto"/>
              <w:right w:val="single" w:sz="2" w:space="0" w:color="auto"/>
            </w:tcBorders>
          </w:tcPr>
          <w:p w14:paraId="26C237A0" w14:textId="77777777" w:rsidR="009F4766" w:rsidRPr="00DE12A3" w:rsidRDefault="009F4766" w:rsidP="00C917D6">
            <w:pPr>
              <w:pStyle w:val="NormalLeft"/>
            </w:pPr>
            <w:r w:rsidRPr="00DE12A3">
              <w:lastRenderedPageBreak/>
              <w:t>380</w:t>
            </w:r>
          </w:p>
        </w:tc>
        <w:tc>
          <w:tcPr>
            <w:tcW w:w="2489" w:type="dxa"/>
            <w:tcBorders>
              <w:top w:val="single" w:sz="2" w:space="0" w:color="auto"/>
              <w:left w:val="single" w:sz="2" w:space="0" w:color="auto"/>
              <w:bottom w:val="single" w:sz="2" w:space="0" w:color="auto"/>
              <w:right w:val="single" w:sz="2" w:space="0" w:color="auto"/>
            </w:tcBorders>
          </w:tcPr>
          <w:p w14:paraId="03DCBE09" w14:textId="77777777" w:rsidR="009F4766" w:rsidRPr="00DE12A3" w:rsidRDefault="009F4766" w:rsidP="00C917D6">
            <w:pPr>
              <w:pStyle w:val="NormalLeft"/>
            </w:pPr>
            <w:r w:rsidRPr="00DE12A3">
              <w:t>26</w:t>
            </w:r>
          </w:p>
        </w:tc>
        <w:tc>
          <w:tcPr>
            <w:tcW w:w="2551" w:type="dxa"/>
            <w:tcBorders>
              <w:top w:val="single" w:sz="2" w:space="0" w:color="auto"/>
              <w:left w:val="single" w:sz="2" w:space="0" w:color="auto"/>
              <w:bottom w:val="single" w:sz="2" w:space="0" w:color="auto"/>
              <w:right w:val="single" w:sz="2" w:space="0" w:color="auto"/>
            </w:tcBorders>
          </w:tcPr>
          <w:p w14:paraId="467308A1" w14:textId="77777777" w:rsidR="009F4766" w:rsidRPr="00DE12A3" w:rsidRDefault="009F4766" w:rsidP="00C917D6">
            <w:pPr>
              <w:pStyle w:val="NormalLeft"/>
            </w:pPr>
            <w:r w:rsidRPr="00DE12A3">
              <w:t>28</w:t>
            </w:r>
          </w:p>
        </w:tc>
      </w:tr>
      <w:tr w:rsidR="00DE12A3" w:rsidRPr="00DE12A3" w14:paraId="268D4B76" w14:textId="77777777" w:rsidTr="009F4766">
        <w:tc>
          <w:tcPr>
            <w:tcW w:w="1182" w:type="dxa"/>
            <w:tcBorders>
              <w:top w:val="single" w:sz="2" w:space="0" w:color="auto"/>
              <w:left w:val="single" w:sz="2" w:space="0" w:color="auto"/>
              <w:bottom w:val="single" w:sz="2" w:space="0" w:color="auto"/>
              <w:right w:val="single" w:sz="2" w:space="0" w:color="auto"/>
            </w:tcBorders>
          </w:tcPr>
          <w:p w14:paraId="2B64709A" w14:textId="77777777" w:rsidR="009F4766" w:rsidRPr="00DE12A3" w:rsidRDefault="009F4766" w:rsidP="00C917D6">
            <w:pPr>
              <w:pStyle w:val="NormalLeft"/>
            </w:pPr>
            <w:r w:rsidRPr="00DE12A3">
              <w:t>381</w:t>
            </w:r>
          </w:p>
        </w:tc>
        <w:tc>
          <w:tcPr>
            <w:tcW w:w="2489" w:type="dxa"/>
            <w:tcBorders>
              <w:top w:val="single" w:sz="2" w:space="0" w:color="auto"/>
              <w:left w:val="single" w:sz="2" w:space="0" w:color="auto"/>
              <w:bottom w:val="single" w:sz="2" w:space="0" w:color="auto"/>
              <w:right w:val="single" w:sz="2" w:space="0" w:color="auto"/>
            </w:tcBorders>
          </w:tcPr>
          <w:p w14:paraId="474085F5" w14:textId="77777777" w:rsidR="009F4766" w:rsidRPr="00DE12A3" w:rsidRDefault="009F4766" w:rsidP="00C917D6">
            <w:pPr>
              <w:pStyle w:val="NormalLeft"/>
            </w:pPr>
            <w:r w:rsidRPr="00DE12A3">
              <w:t>13</w:t>
            </w:r>
          </w:p>
        </w:tc>
        <w:tc>
          <w:tcPr>
            <w:tcW w:w="2551" w:type="dxa"/>
            <w:tcBorders>
              <w:top w:val="single" w:sz="2" w:space="0" w:color="auto"/>
              <w:left w:val="single" w:sz="2" w:space="0" w:color="auto"/>
              <w:bottom w:val="single" w:sz="2" w:space="0" w:color="auto"/>
              <w:right w:val="single" w:sz="2" w:space="0" w:color="auto"/>
            </w:tcBorders>
          </w:tcPr>
          <w:p w14:paraId="115FE2D2" w14:textId="77777777" w:rsidR="009F4766" w:rsidRPr="00DE12A3" w:rsidRDefault="009F4766" w:rsidP="00C917D6">
            <w:pPr>
              <w:pStyle w:val="NormalLeft"/>
            </w:pPr>
            <w:r w:rsidRPr="00DE12A3">
              <w:t>9</w:t>
            </w:r>
          </w:p>
        </w:tc>
      </w:tr>
      <w:tr w:rsidR="00DE12A3" w:rsidRPr="00DE12A3" w14:paraId="62FC0FC1" w14:textId="77777777" w:rsidTr="009F4766">
        <w:tc>
          <w:tcPr>
            <w:tcW w:w="1182" w:type="dxa"/>
            <w:tcBorders>
              <w:top w:val="single" w:sz="2" w:space="0" w:color="auto"/>
              <w:left w:val="single" w:sz="2" w:space="0" w:color="auto"/>
              <w:bottom w:val="single" w:sz="2" w:space="0" w:color="auto"/>
              <w:right w:val="single" w:sz="2" w:space="0" w:color="auto"/>
            </w:tcBorders>
          </w:tcPr>
          <w:p w14:paraId="1594B80D" w14:textId="77777777" w:rsidR="009F4766" w:rsidRPr="00DE12A3" w:rsidRDefault="009F4766" w:rsidP="00C917D6">
            <w:pPr>
              <w:pStyle w:val="NormalLeft"/>
            </w:pPr>
            <w:r w:rsidRPr="00DE12A3">
              <w:t>382</w:t>
            </w:r>
          </w:p>
        </w:tc>
        <w:tc>
          <w:tcPr>
            <w:tcW w:w="2489" w:type="dxa"/>
            <w:tcBorders>
              <w:top w:val="single" w:sz="2" w:space="0" w:color="auto"/>
              <w:left w:val="single" w:sz="2" w:space="0" w:color="auto"/>
              <w:bottom w:val="single" w:sz="2" w:space="0" w:color="auto"/>
              <w:right w:val="single" w:sz="2" w:space="0" w:color="auto"/>
            </w:tcBorders>
          </w:tcPr>
          <w:p w14:paraId="05657775" w14:textId="77777777" w:rsidR="009F4766" w:rsidRPr="00DE12A3" w:rsidRDefault="009F4766" w:rsidP="00C917D6">
            <w:pPr>
              <w:pStyle w:val="NormalLeft"/>
            </w:pPr>
            <w:r w:rsidRPr="00DE12A3">
              <w:t>16</w:t>
            </w:r>
          </w:p>
        </w:tc>
        <w:tc>
          <w:tcPr>
            <w:tcW w:w="2551" w:type="dxa"/>
            <w:tcBorders>
              <w:top w:val="single" w:sz="2" w:space="0" w:color="auto"/>
              <w:left w:val="single" w:sz="2" w:space="0" w:color="auto"/>
              <w:bottom w:val="single" w:sz="2" w:space="0" w:color="auto"/>
              <w:right w:val="single" w:sz="2" w:space="0" w:color="auto"/>
            </w:tcBorders>
          </w:tcPr>
          <w:p w14:paraId="20A487D7" w14:textId="77777777" w:rsidR="009F4766" w:rsidRPr="00DE12A3" w:rsidRDefault="009F4766" w:rsidP="00C917D6">
            <w:pPr>
              <w:pStyle w:val="NormalLeft"/>
            </w:pPr>
            <w:r w:rsidRPr="00DE12A3">
              <w:t>21</w:t>
            </w:r>
          </w:p>
        </w:tc>
      </w:tr>
      <w:tr w:rsidR="00DE12A3" w:rsidRPr="00DE12A3" w14:paraId="187C1D33" w14:textId="77777777" w:rsidTr="009F4766">
        <w:tc>
          <w:tcPr>
            <w:tcW w:w="1182" w:type="dxa"/>
            <w:tcBorders>
              <w:top w:val="single" w:sz="2" w:space="0" w:color="auto"/>
              <w:left w:val="single" w:sz="2" w:space="0" w:color="auto"/>
              <w:bottom w:val="single" w:sz="2" w:space="0" w:color="auto"/>
              <w:right w:val="single" w:sz="2" w:space="0" w:color="auto"/>
            </w:tcBorders>
          </w:tcPr>
          <w:p w14:paraId="7AF55858" w14:textId="77777777" w:rsidR="009F4766" w:rsidRPr="00DE12A3" w:rsidRDefault="009F4766" w:rsidP="00C917D6">
            <w:pPr>
              <w:pStyle w:val="NormalLeft"/>
            </w:pPr>
            <w:r w:rsidRPr="00DE12A3">
              <w:t>383</w:t>
            </w:r>
          </w:p>
        </w:tc>
        <w:tc>
          <w:tcPr>
            <w:tcW w:w="2489" w:type="dxa"/>
            <w:tcBorders>
              <w:top w:val="single" w:sz="2" w:space="0" w:color="auto"/>
              <w:left w:val="single" w:sz="2" w:space="0" w:color="auto"/>
              <w:bottom w:val="single" w:sz="2" w:space="0" w:color="auto"/>
              <w:right w:val="single" w:sz="2" w:space="0" w:color="auto"/>
            </w:tcBorders>
          </w:tcPr>
          <w:p w14:paraId="314B2420" w14:textId="77777777" w:rsidR="009F4766" w:rsidRPr="00DE12A3" w:rsidRDefault="009F4766" w:rsidP="00C917D6">
            <w:pPr>
              <w:pStyle w:val="NormalLeft"/>
            </w:pPr>
            <w:r w:rsidRPr="00DE12A3">
              <w:t>24</w:t>
            </w:r>
          </w:p>
        </w:tc>
        <w:tc>
          <w:tcPr>
            <w:tcW w:w="2551" w:type="dxa"/>
            <w:tcBorders>
              <w:top w:val="single" w:sz="2" w:space="0" w:color="auto"/>
              <w:left w:val="single" w:sz="2" w:space="0" w:color="auto"/>
              <w:bottom w:val="single" w:sz="2" w:space="0" w:color="auto"/>
              <w:right w:val="single" w:sz="2" w:space="0" w:color="auto"/>
            </w:tcBorders>
          </w:tcPr>
          <w:p w14:paraId="2AB5B8B7" w14:textId="77777777" w:rsidR="009F4766" w:rsidRPr="00DE12A3" w:rsidRDefault="009F4766" w:rsidP="00C917D6">
            <w:pPr>
              <w:pStyle w:val="NormalLeft"/>
            </w:pPr>
            <w:r w:rsidRPr="00DE12A3">
              <w:t>4</w:t>
            </w:r>
          </w:p>
        </w:tc>
      </w:tr>
      <w:tr w:rsidR="00DE12A3" w:rsidRPr="00DE12A3" w14:paraId="4DB52EED" w14:textId="77777777" w:rsidTr="009F4766">
        <w:tc>
          <w:tcPr>
            <w:tcW w:w="1182" w:type="dxa"/>
            <w:tcBorders>
              <w:top w:val="single" w:sz="2" w:space="0" w:color="auto"/>
              <w:left w:val="single" w:sz="2" w:space="0" w:color="auto"/>
              <w:bottom w:val="single" w:sz="2" w:space="0" w:color="auto"/>
              <w:right w:val="single" w:sz="2" w:space="0" w:color="auto"/>
            </w:tcBorders>
          </w:tcPr>
          <w:p w14:paraId="6C78E366" w14:textId="77777777" w:rsidR="009F4766" w:rsidRPr="00DE12A3" w:rsidRDefault="009F4766" w:rsidP="00C917D6">
            <w:pPr>
              <w:pStyle w:val="NormalLeft"/>
            </w:pPr>
            <w:r w:rsidRPr="00DE12A3">
              <w:t>384</w:t>
            </w:r>
          </w:p>
        </w:tc>
        <w:tc>
          <w:tcPr>
            <w:tcW w:w="2489" w:type="dxa"/>
            <w:tcBorders>
              <w:top w:val="single" w:sz="2" w:space="0" w:color="auto"/>
              <w:left w:val="single" w:sz="2" w:space="0" w:color="auto"/>
              <w:bottom w:val="single" w:sz="2" w:space="0" w:color="auto"/>
              <w:right w:val="single" w:sz="2" w:space="0" w:color="auto"/>
            </w:tcBorders>
          </w:tcPr>
          <w:p w14:paraId="74B8B0E5" w14:textId="77777777" w:rsidR="009F4766" w:rsidRPr="00DE12A3" w:rsidRDefault="009F4766" w:rsidP="00C917D6">
            <w:pPr>
              <w:pStyle w:val="NormalLeft"/>
            </w:pPr>
            <w:r w:rsidRPr="00DE12A3">
              <w:t>36</w:t>
            </w:r>
          </w:p>
        </w:tc>
        <w:tc>
          <w:tcPr>
            <w:tcW w:w="2551" w:type="dxa"/>
            <w:tcBorders>
              <w:top w:val="single" w:sz="2" w:space="0" w:color="auto"/>
              <w:left w:val="single" w:sz="2" w:space="0" w:color="auto"/>
              <w:bottom w:val="single" w:sz="2" w:space="0" w:color="auto"/>
              <w:right w:val="single" w:sz="2" w:space="0" w:color="auto"/>
            </w:tcBorders>
          </w:tcPr>
          <w:p w14:paraId="6C67304F" w14:textId="77777777" w:rsidR="009F4766" w:rsidRPr="00DE12A3" w:rsidRDefault="009F4766" w:rsidP="00C917D6">
            <w:pPr>
              <w:pStyle w:val="NormalLeft"/>
            </w:pPr>
            <w:r w:rsidRPr="00DE12A3">
              <w:t>43</w:t>
            </w:r>
          </w:p>
        </w:tc>
      </w:tr>
      <w:tr w:rsidR="00DE12A3" w:rsidRPr="00DE12A3" w14:paraId="33793C6A" w14:textId="77777777" w:rsidTr="009F4766">
        <w:tc>
          <w:tcPr>
            <w:tcW w:w="1182" w:type="dxa"/>
            <w:tcBorders>
              <w:top w:val="single" w:sz="2" w:space="0" w:color="auto"/>
              <w:left w:val="single" w:sz="2" w:space="0" w:color="auto"/>
              <w:bottom w:val="single" w:sz="2" w:space="0" w:color="auto"/>
              <w:right w:val="single" w:sz="2" w:space="0" w:color="auto"/>
            </w:tcBorders>
          </w:tcPr>
          <w:p w14:paraId="3AD6070D" w14:textId="77777777" w:rsidR="009F4766" w:rsidRPr="00DE12A3" w:rsidRDefault="009F4766" w:rsidP="00C917D6">
            <w:pPr>
              <w:pStyle w:val="NormalLeft"/>
            </w:pPr>
            <w:r w:rsidRPr="00DE12A3">
              <w:t>385</w:t>
            </w:r>
          </w:p>
        </w:tc>
        <w:tc>
          <w:tcPr>
            <w:tcW w:w="2489" w:type="dxa"/>
            <w:tcBorders>
              <w:top w:val="single" w:sz="2" w:space="0" w:color="auto"/>
              <w:left w:val="single" w:sz="2" w:space="0" w:color="auto"/>
              <w:bottom w:val="single" w:sz="2" w:space="0" w:color="auto"/>
              <w:right w:val="single" w:sz="2" w:space="0" w:color="auto"/>
            </w:tcBorders>
          </w:tcPr>
          <w:p w14:paraId="3FD9461B" w14:textId="77777777" w:rsidR="009F4766" w:rsidRPr="00DE12A3" w:rsidRDefault="009F4766" w:rsidP="00C917D6">
            <w:pPr>
              <w:pStyle w:val="NormalLeft"/>
            </w:pPr>
            <w:r w:rsidRPr="00DE12A3">
              <w:t>65</w:t>
            </w:r>
          </w:p>
        </w:tc>
        <w:tc>
          <w:tcPr>
            <w:tcW w:w="2551" w:type="dxa"/>
            <w:tcBorders>
              <w:top w:val="single" w:sz="2" w:space="0" w:color="auto"/>
              <w:left w:val="single" w:sz="2" w:space="0" w:color="auto"/>
              <w:bottom w:val="single" w:sz="2" w:space="0" w:color="auto"/>
              <w:right w:val="single" w:sz="2" w:space="0" w:color="auto"/>
            </w:tcBorders>
          </w:tcPr>
          <w:p w14:paraId="0D633F1F" w14:textId="77777777" w:rsidR="009F4766" w:rsidRPr="00DE12A3" w:rsidRDefault="009F4766" w:rsidP="00C917D6">
            <w:pPr>
              <w:pStyle w:val="NormalLeft"/>
            </w:pPr>
            <w:r w:rsidRPr="00DE12A3">
              <w:t>85</w:t>
            </w:r>
          </w:p>
        </w:tc>
      </w:tr>
      <w:tr w:rsidR="00DE12A3" w:rsidRPr="00DE12A3" w14:paraId="371EB152" w14:textId="77777777" w:rsidTr="009F4766">
        <w:tc>
          <w:tcPr>
            <w:tcW w:w="1182" w:type="dxa"/>
            <w:tcBorders>
              <w:top w:val="single" w:sz="2" w:space="0" w:color="auto"/>
              <w:left w:val="single" w:sz="2" w:space="0" w:color="auto"/>
              <w:bottom w:val="single" w:sz="2" w:space="0" w:color="auto"/>
              <w:right w:val="single" w:sz="2" w:space="0" w:color="auto"/>
            </w:tcBorders>
          </w:tcPr>
          <w:p w14:paraId="4D0F722B" w14:textId="77777777" w:rsidR="009F4766" w:rsidRPr="00DE12A3" w:rsidRDefault="009F4766" w:rsidP="00C917D6">
            <w:pPr>
              <w:pStyle w:val="NormalLeft"/>
            </w:pPr>
            <w:r w:rsidRPr="00DE12A3">
              <w:t>386</w:t>
            </w:r>
          </w:p>
        </w:tc>
        <w:tc>
          <w:tcPr>
            <w:tcW w:w="2489" w:type="dxa"/>
            <w:tcBorders>
              <w:top w:val="single" w:sz="2" w:space="0" w:color="auto"/>
              <w:left w:val="single" w:sz="2" w:space="0" w:color="auto"/>
              <w:bottom w:val="single" w:sz="2" w:space="0" w:color="auto"/>
              <w:right w:val="single" w:sz="2" w:space="0" w:color="auto"/>
            </w:tcBorders>
          </w:tcPr>
          <w:p w14:paraId="649BB648" w14:textId="77777777" w:rsidR="009F4766" w:rsidRPr="00DE12A3" w:rsidRDefault="009F4766" w:rsidP="00C917D6">
            <w:pPr>
              <w:pStyle w:val="NormalLeft"/>
            </w:pPr>
            <w:r w:rsidRPr="00DE12A3">
              <w:t>78</w:t>
            </w:r>
          </w:p>
        </w:tc>
        <w:tc>
          <w:tcPr>
            <w:tcW w:w="2551" w:type="dxa"/>
            <w:tcBorders>
              <w:top w:val="single" w:sz="2" w:space="0" w:color="auto"/>
              <w:left w:val="single" w:sz="2" w:space="0" w:color="auto"/>
              <w:bottom w:val="single" w:sz="2" w:space="0" w:color="auto"/>
              <w:right w:val="single" w:sz="2" w:space="0" w:color="auto"/>
            </w:tcBorders>
          </w:tcPr>
          <w:p w14:paraId="44ACE01E" w14:textId="77777777" w:rsidR="009F4766" w:rsidRPr="00DE12A3" w:rsidRDefault="009F4766" w:rsidP="00C917D6">
            <w:pPr>
              <w:pStyle w:val="NormalLeft"/>
            </w:pPr>
            <w:r w:rsidRPr="00DE12A3">
              <w:t>66</w:t>
            </w:r>
          </w:p>
        </w:tc>
      </w:tr>
      <w:tr w:rsidR="00DE12A3" w:rsidRPr="00DE12A3" w14:paraId="1AA9E278" w14:textId="77777777" w:rsidTr="009F4766">
        <w:tc>
          <w:tcPr>
            <w:tcW w:w="1182" w:type="dxa"/>
            <w:tcBorders>
              <w:top w:val="single" w:sz="2" w:space="0" w:color="auto"/>
              <w:left w:val="single" w:sz="2" w:space="0" w:color="auto"/>
              <w:bottom w:val="single" w:sz="2" w:space="0" w:color="auto"/>
              <w:right w:val="single" w:sz="2" w:space="0" w:color="auto"/>
            </w:tcBorders>
          </w:tcPr>
          <w:p w14:paraId="2F856923" w14:textId="77777777" w:rsidR="009F4766" w:rsidRPr="00DE12A3" w:rsidRDefault="009F4766" w:rsidP="00C917D6">
            <w:pPr>
              <w:pStyle w:val="NormalLeft"/>
            </w:pPr>
            <w:r w:rsidRPr="00DE12A3">
              <w:t>387</w:t>
            </w:r>
          </w:p>
        </w:tc>
        <w:tc>
          <w:tcPr>
            <w:tcW w:w="2489" w:type="dxa"/>
            <w:tcBorders>
              <w:top w:val="single" w:sz="2" w:space="0" w:color="auto"/>
              <w:left w:val="single" w:sz="2" w:space="0" w:color="auto"/>
              <w:bottom w:val="single" w:sz="2" w:space="0" w:color="auto"/>
              <w:right w:val="single" w:sz="2" w:space="0" w:color="auto"/>
            </w:tcBorders>
          </w:tcPr>
          <w:p w14:paraId="2C1F2F18" w14:textId="77777777" w:rsidR="009F4766" w:rsidRPr="00DE12A3" w:rsidRDefault="009F4766" w:rsidP="00C917D6">
            <w:pPr>
              <w:pStyle w:val="NormalLeft"/>
            </w:pPr>
            <w:r w:rsidRPr="00DE12A3">
              <w:t>63</w:t>
            </w:r>
          </w:p>
        </w:tc>
        <w:tc>
          <w:tcPr>
            <w:tcW w:w="2551" w:type="dxa"/>
            <w:tcBorders>
              <w:top w:val="single" w:sz="2" w:space="0" w:color="auto"/>
              <w:left w:val="single" w:sz="2" w:space="0" w:color="auto"/>
              <w:bottom w:val="single" w:sz="2" w:space="0" w:color="auto"/>
              <w:right w:val="single" w:sz="2" w:space="0" w:color="auto"/>
            </w:tcBorders>
          </w:tcPr>
          <w:p w14:paraId="435E7B38" w14:textId="77777777" w:rsidR="009F4766" w:rsidRPr="00DE12A3" w:rsidRDefault="009F4766" w:rsidP="00C917D6">
            <w:pPr>
              <w:pStyle w:val="NormalLeft"/>
            </w:pPr>
            <w:r w:rsidRPr="00DE12A3">
              <w:t>39</w:t>
            </w:r>
          </w:p>
        </w:tc>
      </w:tr>
      <w:tr w:rsidR="00DE12A3" w:rsidRPr="00DE12A3" w14:paraId="3504A44D" w14:textId="77777777" w:rsidTr="009F4766">
        <w:tc>
          <w:tcPr>
            <w:tcW w:w="1182" w:type="dxa"/>
            <w:tcBorders>
              <w:top w:val="single" w:sz="2" w:space="0" w:color="auto"/>
              <w:left w:val="single" w:sz="2" w:space="0" w:color="auto"/>
              <w:bottom w:val="single" w:sz="2" w:space="0" w:color="auto"/>
              <w:right w:val="single" w:sz="2" w:space="0" w:color="auto"/>
            </w:tcBorders>
          </w:tcPr>
          <w:p w14:paraId="0261E83E" w14:textId="77777777" w:rsidR="009F4766" w:rsidRPr="00DE12A3" w:rsidRDefault="009F4766" w:rsidP="00C917D6">
            <w:pPr>
              <w:pStyle w:val="NormalLeft"/>
            </w:pPr>
            <w:r w:rsidRPr="00DE12A3">
              <w:t>388</w:t>
            </w:r>
          </w:p>
        </w:tc>
        <w:tc>
          <w:tcPr>
            <w:tcW w:w="2489" w:type="dxa"/>
            <w:tcBorders>
              <w:top w:val="single" w:sz="2" w:space="0" w:color="auto"/>
              <w:left w:val="single" w:sz="2" w:space="0" w:color="auto"/>
              <w:bottom w:val="single" w:sz="2" w:space="0" w:color="auto"/>
              <w:right w:val="single" w:sz="2" w:space="0" w:color="auto"/>
            </w:tcBorders>
          </w:tcPr>
          <w:p w14:paraId="0117536A" w14:textId="77777777" w:rsidR="009F4766" w:rsidRPr="00DE12A3" w:rsidRDefault="009F4766" w:rsidP="00C917D6">
            <w:pPr>
              <w:pStyle w:val="NormalLeft"/>
            </w:pPr>
            <w:r w:rsidRPr="00DE12A3">
              <w:t>32</w:t>
            </w:r>
          </w:p>
        </w:tc>
        <w:tc>
          <w:tcPr>
            <w:tcW w:w="2551" w:type="dxa"/>
            <w:tcBorders>
              <w:top w:val="single" w:sz="2" w:space="0" w:color="auto"/>
              <w:left w:val="single" w:sz="2" w:space="0" w:color="auto"/>
              <w:bottom w:val="single" w:sz="2" w:space="0" w:color="auto"/>
              <w:right w:val="single" w:sz="2" w:space="0" w:color="auto"/>
            </w:tcBorders>
          </w:tcPr>
          <w:p w14:paraId="76E7C886" w14:textId="77777777" w:rsidR="009F4766" w:rsidRPr="00DE12A3" w:rsidRDefault="009F4766" w:rsidP="00C917D6">
            <w:pPr>
              <w:pStyle w:val="NormalLeft"/>
            </w:pPr>
            <w:r w:rsidRPr="00DE12A3">
              <w:t>34</w:t>
            </w:r>
          </w:p>
        </w:tc>
      </w:tr>
      <w:tr w:rsidR="00DE12A3" w:rsidRPr="00DE12A3" w14:paraId="2EB934BB" w14:textId="77777777" w:rsidTr="009F4766">
        <w:tc>
          <w:tcPr>
            <w:tcW w:w="1182" w:type="dxa"/>
            <w:tcBorders>
              <w:top w:val="single" w:sz="2" w:space="0" w:color="auto"/>
              <w:left w:val="single" w:sz="2" w:space="0" w:color="auto"/>
              <w:bottom w:val="single" w:sz="2" w:space="0" w:color="auto"/>
              <w:right w:val="single" w:sz="2" w:space="0" w:color="auto"/>
            </w:tcBorders>
          </w:tcPr>
          <w:p w14:paraId="0E1FECBA" w14:textId="77777777" w:rsidR="009F4766" w:rsidRPr="00DE12A3" w:rsidRDefault="009F4766" w:rsidP="00C917D6">
            <w:pPr>
              <w:pStyle w:val="NormalLeft"/>
            </w:pPr>
            <w:r w:rsidRPr="00DE12A3">
              <w:t>389</w:t>
            </w:r>
          </w:p>
        </w:tc>
        <w:tc>
          <w:tcPr>
            <w:tcW w:w="2489" w:type="dxa"/>
            <w:tcBorders>
              <w:top w:val="single" w:sz="2" w:space="0" w:color="auto"/>
              <w:left w:val="single" w:sz="2" w:space="0" w:color="auto"/>
              <w:bottom w:val="single" w:sz="2" w:space="0" w:color="auto"/>
              <w:right w:val="single" w:sz="2" w:space="0" w:color="auto"/>
            </w:tcBorders>
          </w:tcPr>
          <w:p w14:paraId="79C94B5F" w14:textId="77777777" w:rsidR="009F4766" w:rsidRPr="00DE12A3" w:rsidRDefault="009F4766" w:rsidP="00C917D6">
            <w:pPr>
              <w:pStyle w:val="NormalLeft"/>
            </w:pPr>
            <w:r w:rsidRPr="00DE12A3">
              <w:t>46</w:t>
            </w:r>
          </w:p>
        </w:tc>
        <w:tc>
          <w:tcPr>
            <w:tcW w:w="2551" w:type="dxa"/>
            <w:tcBorders>
              <w:top w:val="single" w:sz="2" w:space="0" w:color="auto"/>
              <w:left w:val="single" w:sz="2" w:space="0" w:color="auto"/>
              <w:bottom w:val="single" w:sz="2" w:space="0" w:color="auto"/>
              <w:right w:val="single" w:sz="2" w:space="0" w:color="auto"/>
            </w:tcBorders>
          </w:tcPr>
          <w:p w14:paraId="3A5D775E" w14:textId="77777777" w:rsidR="009F4766" w:rsidRPr="00DE12A3" w:rsidRDefault="009F4766" w:rsidP="00C917D6">
            <w:pPr>
              <w:pStyle w:val="NormalLeft"/>
            </w:pPr>
            <w:r w:rsidRPr="00DE12A3">
              <w:t>55</w:t>
            </w:r>
          </w:p>
        </w:tc>
      </w:tr>
      <w:tr w:rsidR="00DE12A3" w:rsidRPr="00DE12A3" w14:paraId="39999038" w14:textId="77777777" w:rsidTr="009F4766">
        <w:tc>
          <w:tcPr>
            <w:tcW w:w="1182" w:type="dxa"/>
            <w:tcBorders>
              <w:top w:val="single" w:sz="2" w:space="0" w:color="auto"/>
              <w:left w:val="single" w:sz="2" w:space="0" w:color="auto"/>
              <w:bottom w:val="single" w:sz="2" w:space="0" w:color="auto"/>
              <w:right w:val="single" w:sz="2" w:space="0" w:color="auto"/>
            </w:tcBorders>
          </w:tcPr>
          <w:p w14:paraId="1228ACC6" w14:textId="77777777" w:rsidR="009F4766" w:rsidRPr="00DE12A3" w:rsidRDefault="009F4766" w:rsidP="00C917D6">
            <w:pPr>
              <w:pStyle w:val="NormalLeft"/>
            </w:pPr>
            <w:r w:rsidRPr="00DE12A3">
              <w:t>390</w:t>
            </w:r>
          </w:p>
        </w:tc>
        <w:tc>
          <w:tcPr>
            <w:tcW w:w="2489" w:type="dxa"/>
            <w:tcBorders>
              <w:top w:val="single" w:sz="2" w:space="0" w:color="auto"/>
              <w:left w:val="single" w:sz="2" w:space="0" w:color="auto"/>
              <w:bottom w:val="single" w:sz="2" w:space="0" w:color="auto"/>
              <w:right w:val="single" w:sz="2" w:space="0" w:color="auto"/>
            </w:tcBorders>
          </w:tcPr>
          <w:p w14:paraId="3D78DC4E" w14:textId="77777777" w:rsidR="009F4766" w:rsidRPr="00DE12A3" w:rsidRDefault="009F4766" w:rsidP="00C917D6">
            <w:pPr>
              <w:pStyle w:val="NormalLeft"/>
            </w:pPr>
            <w:r w:rsidRPr="00DE12A3">
              <w:t>47</w:t>
            </w:r>
          </w:p>
        </w:tc>
        <w:tc>
          <w:tcPr>
            <w:tcW w:w="2551" w:type="dxa"/>
            <w:tcBorders>
              <w:top w:val="single" w:sz="2" w:space="0" w:color="auto"/>
              <w:left w:val="single" w:sz="2" w:space="0" w:color="auto"/>
              <w:bottom w:val="single" w:sz="2" w:space="0" w:color="auto"/>
              <w:right w:val="single" w:sz="2" w:space="0" w:color="auto"/>
            </w:tcBorders>
          </w:tcPr>
          <w:p w14:paraId="60A874E6" w14:textId="77777777" w:rsidR="009F4766" w:rsidRPr="00DE12A3" w:rsidRDefault="009F4766" w:rsidP="00C917D6">
            <w:pPr>
              <w:pStyle w:val="NormalLeft"/>
            </w:pPr>
            <w:r w:rsidRPr="00DE12A3">
              <w:t>42</w:t>
            </w:r>
          </w:p>
        </w:tc>
      </w:tr>
      <w:tr w:rsidR="00DE12A3" w:rsidRPr="00DE12A3" w14:paraId="00E5F742" w14:textId="77777777" w:rsidTr="009F4766">
        <w:tc>
          <w:tcPr>
            <w:tcW w:w="1182" w:type="dxa"/>
            <w:tcBorders>
              <w:top w:val="single" w:sz="2" w:space="0" w:color="auto"/>
              <w:left w:val="single" w:sz="2" w:space="0" w:color="auto"/>
              <w:bottom w:val="single" w:sz="2" w:space="0" w:color="auto"/>
              <w:right w:val="single" w:sz="2" w:space="0" w:color="auto"/>
            </w:tcBorders>
          </w:tcPr>
          <w:p w14:paraId="533E8710" w14:textId="77777777" w:rsidR="009F4766" w:rsidRPr="00DE12A3" w:rsidRDefault="009F4766" w:rsidP="00C917D6">
            <w:pPr>
              <w:pStyle w:val="NormalLeft"/>
            </w:pPr>
            <w:r w:rsidRPr="00DE12A3">
              <w:t>391</w:t>
            </w:r>
          </w:p>
        </w:tc>
        <w:tc>
          <w:tcPr>
            <w:tcW w:w="2489" w:type="dxa"/>
            <w:tcBorders>
              <w:top w:val="single" w:sz="2" w:space="0" w:color="auto"/>
              <w:left w:val="single" w:sz="2" w:space="0" w:color="auto"/>
              <w:bottom w:val="single" w:sz="2" w:space="0" w:color="auto"/>
              <w:right w:val="single" w:sz="2" w:space="0" w:color="auto"/>
            </w:tcBorders>
          </w:tcPr>
          <w:p w14:paraId="20D05F09" w14:textId="77777777" w:rsidR="009F4766" w:rsidRPr="00DE12A3" w:rsidRDefault="009F4766" w:rsidP="00C917D6">
            <w:pPr>
              <w:pStyle w:val="NormalLeft"/>
            </w:pPr>
            <w:r w:rsidRPr="00DE12A3">
              <w:t>42</w:t>
            </w:r>
          </w:p>
        </w:tc>
        <w:tc>
          <w:tcPr>
            <w:tcW w:w="2551" w:type="dxa"/>
            <w:tcBorders>
              <w:top w:val="single" w:sz="2" w:space="0" w:color="auto"/>
              <w:left w:val="single" w:sz="2" w:space="0" w:color="auto"/>
              <w:bottom w:val="single" w:sz="2" w:space="0" w:color="auto"/>
              <w:right w:val="single" w:sz="2" w:space="0" w:color="auto"/>
            </w:tcBorders>
          </w:tcPr>
          <w:p w14:paraId="74DA9729" w14:textId="77777777" w:rsidR="009F4766" w:rsidRPr="00DE12A3" w:rsidRDefault="009F4766" w:rsidP="00C917D6">
            <w:pPr>
              <w:pStyle w:val="NormalLeft"/>
            </w:pPr>
            <w:r w:rsidRPr="00DE12A3">
              <w:t>39</w:t>
            </w:r>
          </w:p>
        </w:tc>
      </w:tr>
      <w:tr w:rsidR="00DE12A3" w:rsidRPr="00DE12A3" w14:paraId="44A6B8EB" w14:textId="77777777" w:rsidTr="009F4766">
        <w:tc>
          <w:tcPr>
            <w:tcW w:w="1182" w:type="dxa"/>
            <w:tcBorders>
              <w:top w:val="single" w:sz="2" w:space="0" w:color="auto"/>
              <w:left w:val="single" w:sz="2" w:space="0" w:color="auto"/>
              <w:bottom w:val="single" w:sz="2" w:space="0" w:color="auto"/>
              <w:right w:val="single" w:sz="2" w:space="0" w:color="auto"/>
            </w:tcBorders>
          </w:tcPr>
          <w:p w14:paraId="114B6018" w14:textId="77777777" w:rsidR="009F4766" w:rsidRPr="00DE12A3" w:rsidRDefault="009F4766" w:rsidP="00C917D6">
            <w:pPr>
              <w:pStyle w:val="NormalLeft"/>
            </w:pPr>
            <w:r w:rsidRPr="00DE12A3">
              <w:t>392</w:t>
            </w:r>
          </w:p>
        </w:tc>
        <w:tc>
          <w:tcPr>
            <w:tcW w:w="2489" w:type="dxa"/>
            <w:tcBorders>
              <w:top w:val="single" w:sz="2" w:space="0" w:color="auto"/>
              <w:left w:val="single" w:sz="2" w:space="0" w:color="auto"/>
              <w:bottom w:val="single" w:sz="2" w:space="0" w:color="auto"/>
              <w:right w:val="single" w:sz="2" w:space="0" w:color="auto"/>
            </w:tcBorders>
          </w:tcPr>
          <w:p w14:paraId="13B22648" w14:textId="77777777" w:rsidR="009F4766" w:rsidRPr="00DE12A3" w:rsidRDefault="009F4766" w:rsidP="00C917D6">
            <w:pPr>
              <w:pStyle w:val="NormalLeft"/>
            </w:pPr>
            <w:r w:rsidRPr="00DE12A3">
              <w:t>27</w:t>
            </w:r>
          </w:p>
        </w:tc>
        <w:tc>
          <w:tcPr>
            <w:tcW w:w="2551" w:type="dxa"/>
            <w:tcBorders>
              <w:top w:val="single" w:sz="2" w:space="0" w:color="auto"/>
              <w:left w:val="single" w:sz="2" w:space="0" w:color="auto"/>
              <w:bottom w:val="single" w:sz="2" w:space="0" w:color="auto"/>
              <w:right w:val="single" w:sz="2" w:space="0" w:color="auto"/>
            </w:tcBorders>
          </w:tcPr>
          <w:p w14:paraId="3473418E" w14:textId="77777777" w:rsidR="009F4766" w:rsidRPr="00DE12A3" w:rsidRDefault="009F4766" w:rsidP="00C917D6">
            <w:pPr>
              <w:pStyle w:val="NormalLeft"/>
            </w:pPr>
            <w:r w:rsidRPr="00DE12A3">
              <w:t>0</w:t>
            </w:r>
          </w:p>
        </w:tc>
      </w:tr>
      <w:tr w:rsidR="00DE12A3" w:rsidRPr="00DE12A3" w14:paraId="4F290002" w14:textId="77777777" w:rsidTr="009F4766">
        <w:tc>
          <w:tcPr>
            <w:tcW w:w="1182" w:type="dxa"/>
            <w:tcBorders>
              <w:top w:val="single" w:sz="2" w:space="0" w:color="auto"/>
              <w:left w:val="single" w:sz="2" w:space="0" w:color="auto"/>
              <w:bottom w:val="single" w:sz="2" w:space="0" w:color="auto"/>
              <w:right w:val="single" w:sz="2" w:space="0" w:color="auto"/>
            </w:tcBorders>
          </w:tcPr>
          <w:p w14:paraId="4B10E6C6" w14:textId="77777777" w:rsidR="009F4766" w:rsidRPr="00DE12A3" w:rsidRDefault="009F4766" w:rsidP="00C917D6">
            <w:pPr>
              <w:pStyle w:val="NormalLeft"/>
            </w:pPr>
            <w:r w:rsidRPr="00DE12A3">
              <w:t>393</w:t>
            </w:r>
          </w:p>
        </w:tc>
        <w:tc>
          <w:tcPr>
            <w:tcW w:w="2489" w:type="dxa"/>
            <w:tcBorders>
              <w:top w:val="single" w:sz="2" w:space="0" w:color="auto"/>
              <w:left w:val="single" w:sz="2" w:space="0" w:color="auto"/>
              <w:bottom w:val="single" w:sz="2" w:space="0" w:color="auto"/>
              <w:right w:val="single" w:sz="2" w:space="0" w:color="auto"/>
            </w:tcBorders>
          </w:tcPr>
          <w:p w14:paraId="62722287" w14:textId="77777777" w:rsidR="009F4766" w:rsidRPr="00DE12A3" w:rsidRDefault="009F4766" w:rsidP="00C917D6">
            <w:pPr>
              <w:pStyle w:val="NormalLeft"/>
            </w:pPr>
            <w:r w:rsidRPr="00DE12A3">
              <w:t>14</w:t>
            </w:r>
          </w:p>
        </w:tc>
        <w:tc>
          <w:tcPr>
            <w:tcW w:w="2551" w:type="dxa"/>
            <w:tcBorders>
              <w:top w:val="single" w:sz="2" w:space="0" w:color="auto"/>
              <w:left w:val="single" w:sz="2" w:space="0" w:color="auto"/>
              <w:bottom w:val="single" w:sz="2" w:space="0" w:color="auto"/>
              <w:right w:val="single" w:sz="2" w:space="0" w:color="auto"/>
            </w:tcBorders>
          </w:tcPr>
          <w:p w14:paraId="4FA384C3" w14:textId="77777777" w:rsidR="009F4766" w:rsidRPr="00DE12A3" w:rsidRDefault="009F4766" w:rsidP="00C917D6">
            <w:pPr>
              <w:pStyle w:val="NormalLeft"/>
            </w:pPr>
            <w:r w:rsidRPr="00DE12A3">
              <w:t>5</w:t>
            </w:r>
          </w:p>
        </w:tc>
      </w:tr>
      <w:tr w:rsidR="00DE12A3" w:rsidRPr="00DE12A3" w14:paraId="7157E4E9" w14:textId="77777777" w:rsidTr="009F4766">
        <w:tc>
          <w:tcPr>
            <w:tcW w:w="1182" w:type="dxa"/>
            <w:tcBorders>
              <w:top w:val="single" w:sz="2" w:space="0" w:color="auto"/>
              <w:left w:val="single" w:sz="2" w:space="0" w:color="auto"/>
              <w:bottom w:val="single" w:sz="2" w:space="0" w:color="auto"/>
              <w:right w:val="single" w:sz="2" w:space="0" w:color="auto"/>
            </w:tcBorders>
          </w:tcPr>
          <w:p w14:paraId="72F23E64" w14:textId="77777777" w:rsidR="009F4766" w:rsidRPr="00DE12A3" w:rsidRDefault="009F4766" w:rsidP="00C917D6">
            <w:pPr>
              <w:pStyle w:val="NormalLeft"/>
            </w:pPr>
            <w:r w:rsidRPr="00DE12A3">
              <w:t>394</w:t>
            </w:r>
          </w:p>
        </w:tc>
        <w:tc>
          <w:tcPr>
            <w:tcW w:w="2489" w:type="dxa"/>
            <w:tcBorders>
              <w:top w:val="single" w:sz="2" w:space="0" w:color="auto"/>
              <w:left w:val="single" w:sz="2" w:space="0" w:color="auto"/>
              <w:bottom w:val="single" w:sz="2" w:space="0" w:color="auto"/>
              <w:right w:val="single" w:sz="2" w:space="0" w:color="auto"/>
            </w:tcBorders>
          </w:tcPr>
          <w:p w14:paraId="52507139" w14:textId="77777777" w:rsidR="009F4766" w:rsidRPr="00DE12A3" w:rsidRDefault="009F4766" w:rsidP="00C917D6">
            <w:pPr>
              <w:pStyle w:val="NormalLeft"/>
            </w:pPr>
            <w:r w:rsidRPr="00DE12A3">
              <w:t>14</w:t>
            </w:r>
          </w:p>
        </w:tc>
        <w:tc>
          <w:tcPr>
            <w:tcW w:w="2551" w:type="dxa"/>
            <w:tcBorders>
              <w:top w:val="single" w:sz="2" w:space="0" w:color="auto"/>
              <w:left w:val="single" w:sz="2" w:space="0" w:color="auto"/>
              <w:bottom w:val="single" w:sz="2" w:space="0" w:color="auto"/>
              <w:right w:val="single" w:sz="2" w:space="0" w:color="auto"/>
            </w:tcBorders>
          </w:tcPr>
          <w:p w14:paraId="73146AF3" w14:textId="77777777" w:rsidR="009F4766" w:rsidRPr="00DE12A3" w:rsidRDefault="009F4766" w:rsidP="00C917D6">
            <w:pPr>
              <w:pStyle w:val="NormalLeft"/>
            </w:pPr>
            <w:r w:rsidRPr="00DE12A3">
              <w:t>14</w:t>
            </w:r>
          </w:p>
        </w:tc>
      </w:tr>
      <w:tr w:rsidR="00DE12A3" w:rsidRPr="00DE12A3" w14:paraId="358BEE25" w14:textId="77777777" w:rsidTr="009F4766">
        <w:tc>
          <w:tcPr>
            <w:tcW w:w="1182" w:type="dxa"/>
            <w:tcBorders>
              <w:top w:val="single" w:sz="2" w:space="0" w:color="auto"/>
              <w:left w:val="single" w:sz="2" w:space="0" w:color="auto"/>
              <w:bottom w:val="single" w:sz="2" w:space="0" w:color="auto"/>
              <w:right w:val="single" w:sz="2" w:space="0" w:color="auto"/>
            </w:tcBorders>
          </w:tcPr>
          <w:p w14:paraId="53F5A991" w14:textId="77777777" w:rsidR="009F4766" w:rsidRPr="00DE12A3" w:rsidRDefault="009F4766" w:rsidP="00C917D6">
            <w:pPr>
              <w:pStyle w:val="NormalLeft"/>
            </w:pPr>
            <w:r w:rsidRPr="00DE12A3">
              <w:t>395</w:t>
            </w:r>
          </w:p>
        </w:tc>
        <w:tc>
          <w:tcPr>
            <w:tcW w:w="2489" w:type="dxa"/>
            <w:tcBorders>
              <w:top w:val="single" w:sz="2" w:space="0" w:color="auto"/>
              <w:left w:val="single" w:sz="2" w:space="0" w:color="auto"/>
              <w:bottom w:val="single" w:sz="2" w:space="0" w:color="auto"/>
              <w:right w:val="single" w:sz="2" w:space="0" w:color="auto"/>
            </w:tcBorders>
          </w:tcPr>
          <w:p w14:paraId="1277014F" w14:textId="77777777" w:rsidR="009F4766" w:rsidRPr="00DE12A3" w:rsidRDefault="009F4766" w:rsidP="00C917D6">
            <w:pPr>
              <w:pStyle w:val="NormalLeft"/>
            </w:pPr>
            <w:r w:rsidRPr="00DE12A3">
              <w:t>24</w:t>
            </w:r>
          </w:p>
        </w:tc>
        <w:tc>
          <w:tcPr>
            <w:tcW w:w="2551" w:type="dxa"/>
            <w:tcBorders>
              <w:top w:val="single" w:sz="2" w:space="0" w:color="auto"/>
              <w:left w:val="single" w:sz="2" w:space="0" w:color="auto"/>
              <w:bottom w:val="single" w:sz="2" w:space="0" w:color="auto"/>
              <w:right w:val="single" w:sz="2" w:space="0" w:color="auto"/>
            </w:tcBorders>
          </w:tcPr>
          <w:p w14:paraId="7A7A012C" w14:textId="77777777" w:rsidR="009F4766" w:rsidRPr="00DE12A3" w:rsidRDefault="009F4766" w:rsidP="00C917D6">
            <w:pPr>
              <w:pStyle w:val="NormalLeft"/>
            </w:pPr>
            <w:r w:rsidRPr="00DE12A3">
              <w:t>54</w:t>
            </w:r>
          </w:p>
        </w:tc>
      </w:tr>
      <w:tr w:rsidR="00DE12A3" w:rsidRPr="00DE12A3" w14:paraId="797B0666" w14:textId="77777777" w:rsidTr="009F4766">
        <w:tc>
          <w:tcPr>
            <w:tcW w:w="1182" w:type="dxa"/>
            <w:tcBorders>
              <w:top w:val="single" w:sz="2" w:space="0" w:color="auto"/>
              <w:left w:val="single" w:sz="2" w:space="0" w:color="auto"/>
              <w:bottom w:val="single" w:sz="2" w:space="0" w:color="auto"/>
              <w:right w:val="single" w:sz="2" w:space="0" w:color="auto"/>
            </w:tcBorders>
          </w:tcPr>
          <w:p w14:paraId="543BD057" w14:textId="77777777" w:rsidR="009F4766" w:rsidRPr="00DE12A3" w:rsidRDefault="009F4766" w:rsidP="00C917D6">
            <w:pPr>
              <w:pStyle w:val="NormalLeft"/>
            </w:pPr>
            <w:r w:rsidRPr="00DE12A3">
              <w:t>396</w:t>
            </w:r>
          </w:p>
        </w:tc>
        <w:tc>
          <w:tcPr>
            <w:tcW w:w="2489" w:type="dxa"/>
            <w:tcBorders>
              <w:top w:val="single" w:sz="2" w:space="0" w:color="auto"/>
              <w:left w:val="single" w:sz="2" w:space="0" w:color="auto"/>
              <w:bottom w:val="single" w:sz="2" w:space="0" w:color="auto"/>
              <w:right w:val="single" w:sz="2" w:space="0" w:color="auto"/>
            </w:tcBorders>
          </w:tcPr>
          <w:p w14:paraId="15B47DB6" w14:textId="77777777" w:rsidR="009F4766" w:rsidRPr="00DE12A3" w:rsidRDefault="009F4766" w:rsidP="00C917D6">
            <w:pPr>
              <w:pStyle w:val="NormalLeft"/>
            </w:pPr>
            <w:r w:rsidRPr="00DE12A3">
              <w:t>60</w:t>
            </w:r>
          </w:p>
        </w:tc>
        <w:tc>
          <w:tcPr>
            <w:tcW w:w="2551" w:type="dxa"/>
            <w:tcBorders>
              <w:top w:val="single" w:sz="2" w:space="0" w:color="auto"/>
              <w:left w:val="single" w:sz="2" w:space="0" w:color="auto"/>
              <w:bottom w:val="single" w:sz="2" w:space="0" w:color="auto"/>
              <w:right w:val="single" w:sz="2" w:space="0" w:color="auto"/>
            </w:tcBorders>
          </w:tcPr>
          <w:p w14:paraId="48477C5E" w14:textId="77777777" w:rsidR="009F4766" w:rsidRPr="00DE12A3" w:rsidRDefault="009F4766" w:rsidP="00C917D6">
            <w:pPr>
              <w:pStyle w:val="NormalLeft"/>
            </w:pPr>
            <w:r w:rsidRPr="00DE12A3">
              <w:t>90</w:t>
            </w:r>
          </w:p>
        </w:tc>
      </w:tr>
      <w:tr w:rsidR="00DE12A3" w:rsidRPr="00DE12A3" w14:paraId="06DD0D4E" w14:textId="77777777" w:rsidTr="009F4766">
        <w:tc>
          <w:tcPr>
            <w:tcW w:w="1182" w:type="dxa"/>
            <w:tcBorders>
              <w:top w:val="single" w:sz="2" w:space="0" w:color="auto"/>
              <w:left w:val="single" w:sz="2" w:space="0" w:color="auto"/>
              <w:bottom w:val="single" w:sz="2" w:space="0" w:color="auto"/>
              <w:right w:val="single" w:sz="2" w:space="0" w:color="auto"/>
            </w:tcBorders>
          </w:tcPr>
          <w:p w14:paraId="7FB1789A" w14:textId="77777777" w:rsidR="009F4766" w:rsidRPr="00DE12A3" w:rsidRDefault="009F4766" w:rsidP="00C917D6">
            <w:pPr>
              <w:pStyle w:val="NormalLeft"/>
            </w:pPr>
            <w:r w:rsidRPr="00DE12A3">
              <w:t>397</w:t>
            </w:r>
          </w:p>
        </w:tc>
        <w:tc>
          <w:tcPr>
            <w:tcW w:w="2489" w:type="dxa"/>
            <w:tcBorders>
              <w:top w:val="single" w:sz="2" w:space="0" w:color="auto"/>
              <w:left w:val="single" w:sz="2" w:space="0" w:color="auto"/>
              <w:bottom w:val="single" w:sz="2" w:space="0" w:color="auto"/>
              <w:right w:val="single" w:sz="2" w:space="0" w:color="auto"/>
            </w:tcBorders>
          </w:tcPr>
          <w:p w14:paraId="566CAE65" w14:textId="77777777" w:rsidR="009F4766" w:rsidRPr="00DE12A3" w:rsidRDefault="009F4766" w:rsidP="00C917D6">
            <w:pPr>
              <w:pStyle w:val="NormalLeft"/>
            </w:pPr>
            <w:r w:rsidRPr="00DE12A3">
              <w:t>53</w:t>
            </w:r>
          </w:p>
        </w:tc>
        <w:tc>
          <w:tcPr>
            <w:tcW w:w="2551" w:type="dxa"/>
            <w:tcBorders>
              <w:top w:val="single" w:sz="2" w:space="0" w:color="auto"/>
              <w:left w:val="single" w:sz="2" w:space="0" w:color="auto"/>
              <w:bottom w:val="single" w:sz="2" w:space="0" w:color="auto"/>
              <w:right w:val="single" w:sz="2" w:space="0" w:color="auto"/>
            </w:tcBorders>
          </w:tcPr>
          <w:p w14:paraId="226B3BAC" w14:textId="77777777" w:rsidR="009F4766" w:rsidRPr="00DE12A3" w:rsidRDefault="009F4766" w:rsidP="00C917D6">
            <w:pPr>
              <w:pStyle w:val="NormalLeft"/>
            </w:pPr>
            <w:r w:rsidRPr="00DE12A3">
              <w:t>66</w:t>
            </w:r>
          </w:p>
        </w:tc>
      </w:tr>
      <w:tr w:rsidR="00DE12A3" w:rsidRPr="00DE12A3" w14:paraId="54E17F7F" w14:textId="77777777" w:rsidTr="009F4766">
        <w:tc>
          <w:tcPr>
            <w:tcW w:w="1182" w:type="dxa"/>
            <w:tcBorders>
              <w:top w:val="single" w:sz="2" w:space="0" w:color="auto"/>
              <w:left w:val="single" w:sz="2" w:space="0" w:color="auto"/>
              <w:bottom w:val="single" w:sz="2" w:space="0" w:color="auto"/>
              <w:right w:val="single" w:sz="2" w:space="0" w:color="auto"/>
            </w:tcBorders>
          </w:tcPr>
          <w:p w14:paraId="69541850" w14:textId="77777777" w:rsidR="009F4766" w:rsidRPr="00DE12A3" w:rsidRDefault="009F4766" w:rsidP="00C917D6">
            <w:pPr>
              <w:pStyle w:val="NormalLeft"/>
            </w:pPr>
            <w:r w:rsidRPr="00DE12A3">
              <w:t>398</w:t>
            </w:r>
          </w:p>
        </w:tc>
        <w:tc>
          <w:tcPr>
            <w:tcW w:w="2489" w:type="dxa"/>
            <w:tcBorders>
              <w:top w:val="single" w:sz="2" w:space="0" w:color="auto"/>
              <w:left w:val="single" w:sz="2" w:space="0" w:color="auto"/>
              <w:bottom w:val="single" w:sz="2" w:space="0" w:color="auto"/>
              <w:right w:val="single" w:sz="2" w:space="0" w:color="auto"/>
            </w:tcBorders>
          </w:tcPr>
          <w:p w14:paraId="5A35B0FE" w14:textId="77777777" w:rsidR="009F4766" w:rsidRPr="00DE12A3" w:rsidRDefault="009F4766" w:rsidP="00C917D6">
            <w:pPr>
              <w:pStyle w:val="NormalLeft"/>
            </w:pPr>
            <w:r w:rsidRPr="00DE12A3">
              <w:t>70</w:t>
            </w:r>
          </w:p>
        </w:tc>
        <w:tc>
          <w:tcPr>
            <w:tcW w:w="2551" w:type="dxa"/>
            <w:tcBorders>
              <w:top w:val="single" w:sz="2" w:space="0" w:color="auto"/>
              <w:left w:val="single" w:sz="2" w:space="0" w:color="auto"/>
              <w:bottom w:val="single" w:sz="2" w:space="0" w:color="auto"/>
              <w:right w:val="single" w:sz="2" w:space="0" w:color="auto"/>
            </w:tcBorders>
          </w:tcPr>
          <w:p w14:paraId="58D3EABF" w14:textId="77777777" w:rsidR="009F4766" w:rsidRPr="00DE12A3" w:rsidRDefault="009F4766" w:rsidP="00C917D6">
            <w:pPr>
              <w:pStyle w:val="NormalLeft"/>
            </w:pPr>
            <w:r w:rsidRPr="00DE12A3">
              <w:t>48</w:t>
            </w:r>
          </w:p>
        </w:tc>
      </w:tr>
      <w:tr w:rsidR="00DE12A3" w:rsidRPr="00DE12A3" w14:paraId="130E3316" w14:textId="77777777" w:rsidTr="009F4766">
        <w:tc>
          <w:tcPr>
            <w:tcW w:w="1182" w:type="dxa"/>
            <w:tcBorders>
              <w:top w:val="single" w:sz="2" w:space="0" w:color="auto"/>
              <w:left w:val="single" w:sz="2" w:space="0" w:color="auto"/>
              <w:bottom w:val="single" w:sz="2" w:space="0" w:color="auto"/>
              <w:right w:val="single" w:sz="2" w:space="0" w:color="auto"/>
            </w:tcBorders>
          </w:tcPr>
          <w:p w14:paraId="69E50A5E" w14:textId="77777777" w:rsidR="009F4766" w:rsidRPr="00DE12A3" w:rsidRDefault="009F4766" w:rsidP="00C917D6">
            <w:pPr>
              <w:pStyle w:val="NormalLeft"/>
            </w:pPr>
            <w:r w:rsidRPr="00DE12A3">
              <w:t>399</w:t>
            </w:r>
          </w:p>
        </w:tc>
        <w:tc>
          <w:tcPr>
            <w:tcW w:w="2489" w:type="dxa"/>
            <w:tcBorders>
              <w:top w:val="single" w:sz="2" w:space="0" w:color="auto"/>
              <w:left w:val="single" w:sz="2" w:space="0" w:color="auto"/>
              <w:bottom w:val="single" w:sz="2" w:space="0" w:color="auto"/>
              <w:right w:val="single" w:sz="2" w:space="0" w:color="auto"/>
            </w:tcBorders>
          </w:tcPr>
          <w:p w14:paraId="12CBB32F" w14:textId="77777777" w:rsidR="009F4766" w:rsidRPr="00DE12A3" w:rsidRDefault="009F4766" w:rsidP="00C917D6">
            <w:pPr>
              <w:pStyle w:val="NormalLeft"/>
            </w:pPr>
            <w:r w:rsidRPr="00DE12A3">
              <w:t>77</w:t>
            </w:r>
          </w:p>
        </w:tc>
        <w:tc>
          <w:tcPr>
            <w:tcW w:w="2551" w:type="dxa"/>
            <w:tcBorders>
              <w:top w:val="single" w:sz="2" w:space="0" w:color="auto"/>
              <w:left w:val="single" w:sz="2" w:space="0" w:color="auto"/>
              <w:bottom w:val="single" w:sz="2" w:space="0" w:color="auto"/>
              <w:right w:val="single" w:sz="2" w:space="0" w:color="auto"/>
            </w:tcBorders>
          </w:tcPr>
          <w:p w14:paraId="2BA5CF4B" w14:textId="77777777" w:rsidR="009F4766" w:rsidRPr="00DE12A3" w:rsidRDefault="009F4766" w:rsidP="00C917D6">
            <w:pPr>
              <w:pStyle w:val="NormalLeft"/>
            </w:pPr>
            <w:r w:rsidRPr="00DE12A3">
              <w:t>93</w:t>
            </w:r>
          </w:p>
        </w:tc>
      </w:tr>
      <w:tr w:rsidR="00DE12A3" w:rsidRPr="00DE12A3" w14:paraId="59AB5E60" w14:textId="77777777" w:rsidTr="009F4766">
        <w:tc>
          <w:tcPr>
            <w:tcW w:w="1182" w:type="dxa"/>
            <w:tcBorders>
              <w:top w:val="single" w:sz="2" w:space="0" w:color="auto"/>
              <w:left w:val="single" w:sz="2" w:space="0" w:color="auto"/>
              <w:bottom w:val="single" w:sz="2" w:space="0" w:color="auto"/>
              <w:right w:val="single" w:sz="2" w:space="0" w:color="auto"/>
            </w:tcBorders>
          </w:tcPr>
          <w:p w14:paraId="22CA875F" w14:textId="77777777" w:rsidR="009F4766" w:rsidRPr="00DE12A3" w:rsidRDefault="009F4766" w:rsidP="00C917D6">
            <w:pPr>
              <w:pStyle w:val="NormalLeft"/>
            </w:pPr>
            <w:r w:rsidRPr="00DE12A3">
              <w:t>400</w:t>
            </w:r>
          </w:p>
        </w:tc>
        <w:tc>
          <w:tcPr>
            <w:tcW w:w="2489" w:type="dxa"/>
            <w:tcBorders>
              <w:top w:val="single" w:sz="2" w:space="0" w:color="auto"/>
              <w:left w:val="single" w:sz="2" w:space="0" w:color="auto"/>
              <w:bottom w:val="single" w:sz="2" w:space="0" w:color="auto"/>
              <w:right w:val="single" w:sz="2" w:space="0" w:color="auto"/>
            </w:tcBorders>
          </w:tcPr>
          <w:p w14:paraId="4EB7F9B7" w14:textId="77777777" w:rsidR="009F4766" w:rsidRPr="00DE12A3" w:rsidRDefault="009F4766" w:rsidP="00C917D6">
            <w:pPr>
              <w:pStyle w:val="NormalLeft"/>
            </w:pPr>
            <w:r w:rsidRPr="00DE12A3">
              <w:t>79</w:t>
            </w:r>
          </w:p>
        </w:tc>
        <w:tc>
          <w:tcPr>
            <w:tcW w:w="2551" w:type="dxa"/>
            <w:tcBorders>
              <w:top w:val="single" w:sz="2" w:space="0" w:color="auto"/>
              <w:left w:val="single" w:sz="2" w:space="0" w:color="auto"/>
              <w:bottom w:val="single" w:sz="2" w:space="0" w:color="auto"/>
              <w:right w:val="single" w:sz="2" w:space="0" w:color="auto"/>
            </w:tcBorders>
          </w:tcPr>
          <w:p w14:paraId="02F3AFC9" w14:textId="77777777" w:rsidR="009F4766" w:rsidRPr="00DE12A3" w:rsidRDefault="009F4766" w:rsidP="00C917D6">
            <w:pPr>
              <w:pStyle w:val="NormalLeft"/>
            </w:pPr>
            <w:r w:rsidRPr="00DE12A3">
              <w:t>67</w:t>
            </w:r>
          </w:p>
        </w:tc>
      </w:tr>
      <w:tr w:rsidR="00DE12A3" w:rsidRPr="00DE12A3" w14:paraId="6B3954C2" w14:textId="77777777" w:rsidTr="009F4766">
        <w:tc>
          <w:tcPr>
            <w:tcW w:w="1182" w:type="dxa"/>
            <w:tcBorders>
              <w:top w:val="single" w:sz="2" w:space="0" w:color="auto"/>
              <w:left w:val="single" w:sz="2" w:space="0" w:color="auto"/>
              <w:bottom w:val="single" w:sz="2" w:space="0" w:color="auto"/>
              <w:right w:val="single" w:sz="2" w:space="0" w:color="auto"/>
            </w:tcBorders>
          </w:tcPr>
          <w:p w14:paraId="1E507719" w14:textId="77777777" w:rsidR="009F4766" w:rsidRPr="00DE12A3" w:rsidRDefault="009F4766" w:rsidP="00C917D6">
            <w:pPr>
              <w:pStyle w:val="NormalLeft"/>
            </w:pPr>
            <w:r w:rsidRPr="00DE12A3">
              <w:t>401</w:t>
            </w:r>
          </w:p>
        </w:tc>
        <w:tc>
          <w:tcPr>
            <w:tcW w:w="2489" w:type="dxa"/>
            <w:tcBorders>
              <w:top w:val="single" w:sz="2" w:space="0" w:color="auto"/>
              <w:left w:val="single" w:sz="2" w:space="0" w:color="auto"/>
              <w:bottom w:val="single" w:sz="2" w:space="0" w:color="auto"/>
              <w:right w:val="single" w:sz="2" w:space="0" w:color="auto"/>
            </w:tcBorders>
          </w:tcPr>
          <w:p w14:paraId="0FF5CBFB" w14:textId="77777777" w:rsidR="009F4766" w:rsidRPr="00DE12A3" w:rsidRDefault="009F4766" w:rsidP="00C917D6">
            <w:pPr>
              <w:pStyle w:val="NormalLeft"/>
            </w:pPr>
            <w:r w:rsidRPr="00DE12A3">
              <w:t>46</w:t>
            </w:r>
          </w:p>
        </w:tc>
        <w:tc>
          <w:tcPr>
            <w:tcW w:w="2551" w:type="dxa"/>
            <w:tcBorders>
              <w:top w:val="single" w:sz="2" w:space="0" w:color="auto"/>
              <w:left w:val="single" w:sz="2" w:space="0" w:color="auto"/>
              <w:bottom w:val="single" w:sz="2" w:space="0" w:color="auto"/>
              <w:right w:val="single" w:sz="2" w:space="0" w:color="auto"/>
            </w:tcBorders>
          </w:tcPr>
          <w:p w14:paraId="639F241D" w14:textId="77777777" w:rsidR="009F4766" w:rsidRPr="00DE12A3" w:rsidRDefault="009F4766" w:rsidP="00C917D6">
            <w:pPr>
              <w:pStyle w:val="NormalLeft"/>
            </w:pPr>
            <w:r w:rsidRPr="00DE12A3">
              <w:t>65</w:t>
            </w:r>
          </w:p>
        </w:tc>
      </w:tr>
      <w:tr w:rsidR="00DE12A3" w:rsidRPr="00DE12A3" w14:paraId="0695BDB5" w14:textId="77777777" w:rsidTr="009F4766">
        <w:tc>
          <w:tcPr>
            <w:tcW w:w="1182" w:type="dxa"/>
            <w:tcBorders>
              <w:top w:val="single" w:sz="2" w:space="0" w:color="auto"/>
              <w:left w:val="single" w:sz="2" w:space="0" w:color="auto"/>
              <w:bottom w:val="single" w:sz="2" w:space="0" w:color="auto"/>
              <w:right w:val="single" w:sz="2" w:space="0" w:color="auto"/>
            </w:tcBorders>
          </w:tcPr>
          <w:p w14:paraId="117589B8" w14:textId="77777777" w:rsidR="009F4766" w:rsidRPr="00DE12A3" w:rsidRDefault="009F4766" w:rsidP="00C917D6">
            <w:pPr>
              <w:pStyle w:val="NormalLeft"/>
            </w:pPr>
            <w:r w:rsidRPr="00DE12A3">
              <w:t>402</w:t>
            </w:r>
          </w:p>
        </w:tc>
        <w:tc>
          <w:tcPr>
            <w:tcW w:w="2489" w:type="dxa"/>
            <w:tcBorders>
              <w:top w:val="single" w:sz="2" w:space="0" w:color="auto"/>
              <w:left w:val="single" w:sz="2" w:space="0" w:color="auto"/>
              <w:bottom w:val="single" w:sz="2" w:space="0" w:color="auto"/>
              <w:right w:val="single" w:sz="2" w:space="0" w:color="auto"/>
            </w:tcBorders>
          </w:tcPr>
          <w:p w14:paraId="65311967" w14:textId="77777777" w:rsidR="009F4766" w:rsidRPr="00DE12A3" w:rsidRDefault="009F4766" w:rsidP="00C917D6">
            <w:pPr>
              <w:pStyle w:val="NormalLeft"/>
            </w:pPr>
            <w:r w:rsidRPr="00DE12A3">
              <w:t>69</w:t>
            </w:r>
          </w:p>
        </w:tc>
        <w:tc>
          <w:tcPr>
            <w:tcW w:w="2551" w:type="dxa"/>
            <w:tcBorders>
              <w:top w:val="single" w:sz="2" w:space="0" w:color="auto"/>
              <w:left w:val="single" w:sz="2" w:space="0" w:color="auto"/>
              <w:bottom w:val="single" w:sz="2" w:space="0" w:color="auto"/>
              <w:right w:val="single" w:sz="2" w:space="0" w:color="auto"/>
            </w:tcBorders>
          </w:tcPr>
          <w:p w14:paraId="27A88226" w14:textId="77777777" w:rsidR="009F4766" w:rsidRPr="00DE12A3" w:rsidRDefault="009F4766" w:rsidP="00C917D6">
            <w:pPr>
              <w:pStyle w:val="NormalLeft"/>
            </w:pPr>
            <w:r w:rsidRPr="00DE12A3">
              <w:t>98</w:t>
            </w:r>
          </w:p>
        </w:tc>
      </w:tr>
      <w:tr w:rsidR="00DE12A3" w:rsidRPr="00DE12A3" w14:paraId="03A6E04C" w14:textId="77777777" w:rsidTr="009F4766">
        <w:tc>
          <w:tcPr>
            <w:tcW w:w="1182" w:type="dxa"/>
            <w:tcBorders>
              <w:top w:val="single" w:sz="2" w:space="0" w:color="auto"/>
              <w:left w:val="single" w:sz="2" w:space="0" w:color="auto"/>
              <w:bottom w:val="single" w:sz="2" w:space="0" w:color="auto"/>
              <w:right w:val="single" w:sz="2" w:space="0" w:color="auto"/>
            </w:tcBorders>
          </w:tcPr>
          <w:p w14:paraId="399B6A53" w14:textId="77777777" w:rsidR="009F4766" w:rsidRPr="00DE12A3" w:rsidRDefault="009F4766" w:rsidP="00C917D6">
            <w:pPr>
              <w:pStyle w:val="NormalLeft"/>
            </w:pPr>
            <w:r w:rsidRPr="00DE12A3">
              <w:t>403</w:t>
            </w:r>
          </w:p>
        </w:tc>
        <w:tc>
          <w:tcPr>
            <w:tcW w:w="2489" w:type="dxa"/>
            <w:tcBorders>
              <w:top w:val="single" w:sz="2" w:space="0" w:color="auto"/>
              <w:left w:val="single" w:sz="2" w:space="0" w:color="auto"/>
              <w:bottom w:val="single" w:sz="2" w:space="0" w:color="auto"/>
              <w:right w:val="single" w:sz="2" w:space="0" w:color="auto"/>
            </w:tcBorders>
          </w:tcPr>
          <w:p w14:paraId="1A4AB404" w14:textId="77777777" w:rsidR="009F4766" w:rsidRPr="00DE12A3" w:rsidRDefault="009F4766" w:rsidP="00C917D6">
            <w:pPr>
              <w:pStyle w:val="NormalLeft"/>
            </w:pPr>
            <w:r w:rsidRPr="00DE12A3">
              <w:t>80</w:t>
            </w:r>
          </w:p>
        </w:tc>
        <w:tc>
          <w:tcPr>
            <w:tcW w:w="2551" w:type="dxa"/>
            <w:tcBorders>
              <w:top w:val="single" w:sz="2" w:space="0" w:color="auto"/>
              <w:left w:val="single" w:sz="2" w:space="0" w:color="auto"/>
              <w:bottom w:val="single" w:sz="2" w:space="0" w:color="auto"/>
              <w:right w:val="single" w:sz="2" w:space="0" w:color="auto"/>
            </w:tcBorders>
          </w:tcPr>
          <w:p w14:paraId="3EE8CA54" w14:textId="77777777" w:rsidR="009F4766" w:rsidRPr="00DE12A3" w:rsidRDefault="009F4766" w:rsidP="00C917D6">
            <w:pPr>
              <w:pStyle w:val="NormalLeft"/>
            </w:pPr>
            <w:r w:rsidRPr="00DE12A3">
              <w:t>97</w:t>
            </w:r>
          </w:p>
        </w:tc>
      </w:tr>
      <w:tr w:rsidR="00DE12A3" w:rsidRPr="00DE12A3" w14:paraId="0BE522A1" w14:textId="77777777" w:rsidTr="009F4766">
        <w:tc>
          <w:tcPr>
            <w:tcW w:w="1182" w:type="dxa"/>
            <w:tcBorders>
              <w:top w:val="single" w:sz="2" w:space="0" w:color="auto"/>
              <w:left w:val="single" w:sz="2" w:space="0" w:color="auto"/>
              <w:bottom w:val="single" w:sz="2" w:space="0" w:color="auto"/>
              <w:right w:val="single" w:sz="2" w:space="0" w:color="auto"/>
            </w:tcBorders>
          </w:tcPr>
          <w:p w14:paraId="33F766AD" w14:textId="77777777" w:rsidR="009F4766" w:rsidRPr="00DE12A3" w:rsidRDefault="009F4766" w:rsidP="00C917D6">
            <w:pPr>
              <w:pStyle w:val="NormalLeft"/>
            </w:pPr>
            <w:r w:rsidRPr="00DE12A3">
              <w:lastRenderedPageBreak/>
              <w:t>404</w:t>
            </w:r>
          </w:p>
        </w:tc>
        <w:tc>
          <w:tcPr>
            <w:tcW w:w="2489" w:type="dxa"/>
            <w:tcBorders>
              <w:top w:val="single" w:sz="2" w:space="0" w:color="auto"/>
              <w:left w:val="single" w:sz="2" w:space="0" w:color="auto"/>
              <w:bottom w:val="single" w:sz="2" w:space="0" w:color="auto"/>
              <w:right w:val="single" w:sz="2" w:space="0" w:color="auto"/>
            </w:tcBorders>
          </w:tcPr>
          <w:p w14:paraId="352AD4FD" w14:textId="77777777" w:rsidR="009F4766" w:rsidRPr="00DE12A3" w:rsidRDefault="009F4766" w:rsidP="00C917D6">
            <w:pPr>
              <w:pStyle w:val="NormalLeft"/>
            </w:pPr>
            <w:r w:rsidRPr="00DE12A3">
              <w:t>74</w:t>
            </w:r>
          </w:p>
        </w:tc>
        <w:tc>
          <w:tcPr>
            <w:tcW w:w="2551" w:type="dxa"/>
            <w:tcBorders>
              <w:top w:val="single" w:sz="2" w:space="0" w:color="auto"/>
              <w:left w:val="single" w:sz="2" w:space="0" w:color="auto"/>
              <w:bottom w:val="single" w:sz="2" w:space="0" w:color="auto"/>
              <w:right w:val="single" w:sz="2" w:space="0" w:color="auto"/>
            </w:tcBorders>
          </w:tcPr>
          <w:p w14:paraId="4739B518" w14:textId="77777777" w:rsidR="009F4766" w:rsidRPr="00DE12A3" w:rsidRDefault="009F4766" w:rsidP="00C917D6">
            <w:pPr>
              <w:pStyle w:val="NormalLeft"/>
            </w:pPr>
            <w:r w:rsidRPr="00DE12A3">
              <w:t>97</w:t>
            </w:r>
          </w:p>
        </w:tc>
      </w:tr>
      <w:tr w:rsidR="00DE12A3" w:rsidRPr="00DE12A3" w14:paraId="5596ADEC" w14:textId="77777777" w:rsidTr="009F4766">
        <w:tc>
          <w:tcPr>
            <w:tcW w:w="1182" w:type="dxa"/>
            <w:tcBorders>
              <w:top w:val="single" w:sz="2" w:space="0" w:color="auto"/>
              <w:left w:val="single" w:sz="2" w:space="0" w:color="auto"/>
              <w:bottom w:val="single" w:sz="2" w:space="0" w:color="auto"/>
              <w:right w:val="single" w:sz="2" w:space="0" w:color="auto"/>
            </w:tcBorders>
          </w:tcPr>
          <w:p w14:paraId="706E23D9" w14:textId="77777777" w:rsidR="009F4766" w:rsidRPr="00DE12A3" w:rsidRDefault="009F4766" w:rsidP="00C917D6">
            <w:pPr>
              <w:pStyle w:val="NormalLeft"/>
            </w:pPr>
            <w:r w:rsidRPr="00DE12A3">
              <w:t>405</w:t>
            </w:r>
          </w:p>
        </w:tc>
        <w:tc>
          <w:tcPr>
            <w:tcW w:w="2489" w:type="dxa"/>
            <w:tcBorders>
              <w:top w:val="single" w:sz="2" w:space="0" w:color="auto"/>
              <w:left w:val="single" w:sz="2" w:space="0" w:color="auto"/>
              <w:bottom w:val="single" w:sz="2" w:space="0" w:color="auto"/>
              <w:right w:val="single" w:sz="2" w:space="0" w:color="auto"/>
            </w:tcBorders>
          </w:tcPr>
          <w:p w14:paraId="4C621FDC" w14:textId="77777777" w:rsidR="009F4766" w:rsidRPr="00DE12A3" w:rsidRDefault="009F4766" w:rsidP="00C917D6">
            <w:pPr>
              <w:pStyle w:val="NormalLeft"/>
            </w:pPr>
            <w:r w:rsidRPr="00DE12A3">
              <w:t>75</w:t>
            </w:r>
          </w:p>
        </w:tc>
        <w:tc>
          <w:tcPr>
            <w:tcW w:w="2551" w:type="dxa"/>
            <w:tcBorders>
              <w:top w:val="single" w:sz="2" w:space="0" w:color="auto"/>
              <w:left w:val="single" w:sz="2" w:space="0" w:color="auto"/>
              <w:bottom w:val="single" w:sz="2" w:space="0" w:color="auto"/>
              <w:right w:val="single" w:sz="2" w:space="0" w:color="auto"/>
            </w:tcBorders>
          </w:tcPr>
          <w:p w14:paraId="6B6D27A4" w14:textId="77777777" w:rsidR="009F4766" w:rsidRPr="00DE12A3" w:rsidRDefault="009F4766" w:rsidP="00C917D6">
            <w:pPr>
              <w:pStyle w:val="NormalLeft"/>
            </w:pPr>
            <w:r w:rsidRPr="00DE12A3">
              <w:t>98</w:t>
            </w:r>
          </w:p>
        </w:tc>
      </w:tr>
      <w:tr w:rsidR="00DE12A3" w:rsidRPr="00DE12A3" w14:paraId="5763DE5C" w14:textId="77777777" w:rsidTr="009F4766">
        <w:tc>
          <w:tcPr>
            <w:tcW w:w="1182" w:type="dxa"/>
            <w:tcBorders>
              <w:top w:val="single" w:sz="2" w:space="0" w:color="auto"/>
              <w:left w:val="single" w:sz="2" w:space="0" w:color="auto"/>
              <w:bottom w:val="single" w:sz="2" w:space="0" w:color="auto"/>
              <w:right w:val="single" w:sz="2" w:space="0" w:color="auto"/>
            </w:tcBorders>
          </w:tcPr>
          <w:p w14:paraId="109B0D94" w14:textId="77777777" w:rsidR="009F4766" w:rsidRPr="00DE12A3" w:rsidRDefault="009F4766" w:rsidP="00C917D6">
            <w:pPr>
              <w:pStyle w:val="NormalLeft"/>
            </w:pPr>
            <w:r w:rsidRPr="00DE12A3">
              <w:t>406</w:t>
            </w:r>
          </w:p>
        </w:tc>
        <w:tc>
          <w:tcPr>
            <w:tcW w:w="2489" w:type="dxa"/>
            <w:tcBorders>
              <w:top w:val="single" w:sz="2" w:space="0" w:color="auto"/>
              <w:left w:val="single" w:sz="2" w:space="0" w:color="auto"/>
              <w:bottom w:val="single" w:sz="2" w:space="0" w:color="auto"/>
              <w:right w:val="single" w:sz="2" w:space="0" w:color="auto"/>
            </w:tcBorders>
          </w:tcPr>
          <w:p w14:paraId="2764AE40" w14:textId="77777777" w:rsidR="009F4766" w:rsidRPr="00DE12A3" w:rsidRDefault="009F4766" w:rsidP="00C917D6">
            <w:pPr>
              <w:pStyle w:val="NormalLeft"/>
            </w:pPr>
            <w:r w:rsidRPr="00DE12A3">
              <w:t>56</w:t>
            </w:r>
          </w:p>
        </w:tc>
        <w:tc>
          <w:tcPr>
            <w:tcW w:w="2551" w:type="dxa"/>
            <w:tcBorders>
              <w:top w:val="single" w:sz="2" w:space="0" w:color="auto"/>
              <w:left w:val="single" w:sz="2" w:space="0" w:color="auto"/>
              <w:bottom w:val="single" w:sz="2" w:space="0" w:color="auto"/>
              <w:right w:val="single" w:sz="2" w:space="0" w:color="auto"/>
            </w:tcBorders>
          </w:tcPr>
          <w:p w14:paraId="5C7D8BAA" w14:textId="77777777" w:rsidR="009F4766" w:rsidRPr="00DE12A3" w:rsidRDefault="009F4766" w:rsidP="00C917D6">
            <w:pPr>
              <w:pStyle w:val="NormalLeft"/>
            </w:pPr>
            <w:r w:rsidRPr="00DE12A3">
              <w:t>61</w:t>
            </w:r>
          </w:p>
        </w:tc>
      </w:tr>
      <w:tr w:rsidR="00DE12A3" w:rsidRPr="00DE12A3" w14:paraId="2AD2E18B" w14:textId="77777777" w:rsidTr="009F4766">
        <w:tc>
          <w:tcPr>
            <w:tcW w:w="1182" w:type="dxa"/>
            <w:tcBorders>
              <w:top w:val="single" w:sz="2" w:space="0" w:color="auto"/>
              <w:left w:val="single" w:sz="2" w:space="0" w:color="auto"/>
              <w:bottom w:val="single" w:sz="2" w:space="0" w:color="auto"/>
              <w:right w:val="single" w:sz="2" w:space="0" w:color="auto"/>
            </w:tcBorders>
          </w:tcPr>
          <w:p w14:paraId="2D5654F4" w14:textId="77777777" w:rsidR="009F4766" w:rsidRPr="00DE12A3" w:rsidRDefault="009F4766" w:rsidP="00C917D6">
            <w:pPr>
              <w:pStyle w:val="NormalLeft"/>
            </w:pPr>
            <w:r w:rsidRPr="00DE12A3">
              <w:t>407</w:t>
            </w:r>
          </w:p>
        </w:tc>
        <w:tc>
          <w:tcPr>
            <w:tcW w:w="2489" w:type="dxa"/>
            <w:tcBorders>
              <w:top w:val="single" w:sz="2" w:space="0" w:color="auto"/>
              <w:left w:val="single" w:sz="2" w:space="0" w:color="auto"/>
              <w:bottom w:val="single" w:sz="2" w:space="0" w:color="auto"/>
              <w:right w:val="single" w:sz="2" w:space="0" w:color="auto"/>
            </w:tcBorders>
          </w:tcPr>
          <w:p w14:paraId="6405CCD6" w14:textId="77777777" w:rsidR="009F4766" w:rsidRPr="00DE12A3" w:rsidRDefault="009F4766" w:rsidP="00C917D6">
            <w:pPr>
              <w:pStyle w:val="NormalLeft"/>
            </w:pPr>
            <w:r w:rsidRPr="00DE12A3">
              <w:t>42</w:t>
            </w:r>
          </w:p>
        </w:tc>
        <w:tc>
          <w:tcPr>
            <w:tcW w:w="2551" w:type="dxa"/>
            <w:tcBorders>
              <w:top w:val="single" w:sz="2" w:space="0" w:color="auto"/>
              <w:left w:val="single" w:sz="2" w:space="0" w:color="auto"/>
              <w:bottom w:val="single" w:sz="2" w:space="0" w:color="auto"/>
              <w:right w:val="single" w:sz="2" w:space="0" w:color="auto"/>
            </w:tcBorders>
          </w:tcPr>
          <w:p w14:paraId="4D90106C" w14:textId="77777777" w:rsidR="009F4766" w:rsidRPr="00DE12A3" w:rsidRDefault="009F4766" w:rsidP="00C917D6">
            <w:pPr>
              <w:pStyle w:val="NormalLeft"/>
            </w:pPr>
            <w:r w:rsidRPr="00DE12A3">
              <w:t>0</w:t>
            </w:r>
          </w:p>
        </w:tc>
      </w:tr>
      <w:tr w:rsidR="00DE12A3" w:rsidRPr="00DE12A3" w14:paraId="4CB2FCA6" w14:textId="77777777" w:rsidTr="009F4766">
        <w:tc>
          <w:tcPr>
            <w:tcW w:w="1182" w:type="dxa"/>
            <w:tcBorders>
              <w:top w:val="single" w:sz="2" w:space="0" w:color="auto"/>
              <w:left w:val="single" w:sz="2" w:space="0" w:color="auto"/>
              <w:bottom w:val="single" w:sz="2" w:space="0" w:color="auto"/>
              <w:right w:val="single" w:sz="2" w:space="0" w:color="auto"/>
            </w:tcBorders>
          </w:tcPr>
          <w:p w14:paraId="772350F5" w14:textId="77777777" w:rsidR="009F4766" w:rsidRPr="00DE12A3" w:rsidRDefault="009F4766" w:rsidP="00C917D6">
            <w:pPr>
              <w:pStyle w:val="NormalLeft"/>
            </w:pPr>
            <w:r w:rsidRPr="00DE12A3">
              <w:t>408</w:t>
            </w:r>
          </w:p>
        </w:tc>
        <w:tc>
          <w:tcPr>
            <w:tcW w:w="2489" w:type="dxa"/>
            <w:tcBorders>
              <w:top w:val="single" w:sz="2" w:space="0" w:color="auto"/>
              <w:left w:val="single" w:sz="2" w:space="0" w:color="auto"/>
              <w:bottom w:val="single" w:sz="2" w:space="0" w:color="auto"/>
              <w:right w:val="single" w:sz="2" w:space="0" w:color="auto"/>
            </w:tcBorders>
          </w:tcPr>
          <w:p w14:paraId="20E5C170" w14:textId="77777777" w:rsidR="009F4766" w:rsidRPr="00DE12A3" w:rsidRDefault="009F4766" w:rsidP="00C917D6">
            <w:pPr>
              <w:pStyle w:val="NormalLeft"/>
            </w:pPr>
            <w:r w:rsidRPr="00DE12A3">
              <w:t>36</w:t>
            </w:r>
          </w:p>
        </w:tc>
        <w:tc>
          <w:tcPr>
            <w:tcW w:w="2551" w:type="dxa"/>
            <w:tcBorders>
              <w:top w:val="single" w:sz="2" w:space="0" w:color="auto"/>
              <w:left w:val="single" w:sz="2" w:space="0" w:color="auto"/>
              <w:bottom w:val="single" w:sz="2" w:space="0" w:color="auto"/>
              <w:right w:val="single" w:sz="2" w:space="0" w:color="auto"/>
            </w:tcBorders>
          </w:tcPr>
          <w:p w14:paraId="293AB809" w14:textId="77777777" w:rsidR="009F4766" w:rsidRPr="00DE12A3" w:rsidRDefault="009F4766" w:rsidP="00C917D6">
            <w:pPr>
              <w:pStyle w:val="NormalLeft"/>
            </w:pPr>
            <w:r w:rsidRPr="00DE12A3">
              <w:t>32</w:t>
            </w:r>
          </w:p>
        </w:tc>
      </w:tr>
      <w:tr w:rsidR="00DE12A3" w:rsidRPr="00DE12A3" w14:paraId="5A36466A" w14:textId="77777777" w:rsidTr="009F4766">
        <w:tc>
          <w:tcPr>
            <w:tcW w:w="1182" w:type="dxa"/>
            <w:tcBorders>
              <w:top w:val="single" w:sz="2" w:space="0" w:color="auto"/>
              <w:left w:val="single" w:sz="2" w:space="0" w:color="auto"/>
              <w:bottom w:val="single" w:sz="2" w:space="0" w:color="auto"/>
              <w:right w:val="single" w:sz="2" w:space="0" w:color="auto"/>
            </w:tcBorders>
          </w:tcPr>
          <w:p w14:paraId="09933BCF" w14:textId="77777777" w:rsidR="009F4766" w:rsidRPr="00DE12A3" w:rsidRDefault="009F4766" w:rsidP="00C917D6">
            <w:pPr>
              <w:pStyle w:val="NormalLeft"/>
            </w:pPr>
            <w:r w:rsidRPr="00DE12A3">
              <w:t>409</w:t>
            </w:r>
          </w:p>
        </w:tc>
        <w:tc>
          <w:tcPr>
            <w:tcW w:w="2489" w:type="dxa"/>
            <w:tcBorders>
              <w:top w:val="single" w:sz="2" w:space="0" w:color="auto"/>
              <w:left w:val="single" w:sz="2" w:space="0" w:color="auto"/>
              <w:bottom w:val="single" w:sz="2" w:space="0" w:color="auto"/>
              <w:right w:val="single" w:sz="2" w:space="0" w:color="auto"/>
            </w:tcBorders>
          </w:tcPr>
          <w:p w14:paraId="706A1CF5" w14:textId="77777777" w:rsidR="009F4766" w:rsidRPr="00DE12A3" w:rsidRDefault="009F4766" w:rsidP="00C917D6">
            <w:pPr>
              <w:pStyle w:val="NormalLeft"/>
            </w:pPr>
            <w:r w:rsidRPr="00DE12A3">
              <w:t>34</w:t>
            </w:r>
          </w:p>
        </w:tc>
        <w:tc>
          <w:tcPr>
            <w:tcW w:w="2551" w:type="dxa"/>
            <w:tcBorders>
              <w:top w:val="single" w:sz="2" w:space="0" w:color="auto"/>
              <w:left w:val="single" w:sz="2" w:space="0" w:color="auto"/>
              <w:bottom w:val="single" w:sz="2" w:space="0" w:color="auto"/>
              <w:right w:val="single" w:sz="2" w:space="0" w:color="auto"/>
            </w:tcBorders>
          </w:tcPr>
          <w:p w14:paraId="31E5DC04" w14:textId="77777777" w:rsidR="009F4766" w:rsidRPr="00DE12A3" w:rsidRDefault="009F4766" w:rsidP="00C917D6">
            <w:pPr>
              <w:pStyle w:val="NormalLeft"/>
            </w:pPr>
            <w:r w:rsidRPr="00DE12A3">
              <w:t>43</w:t>
            </w:r>
          </w:p>
        </w:tc>
      </w:tr>
      <w:tr w:rsidR="00DE12A3" w:rsidRPr="00DE12A3" w14:paraId="255AD94B" w14:textId="77777777" w:rsidTr="009F4766">
        <w:tc>
          <w:tcPr>
            <w:tcW w:w="1182" w:type="dxa"/>
            <w:tcBorders>
              <w:top w:val="single" w:sz="2" w:space="0" w:color="auto"/>
              <w:left w:val="single" w:sz="2" w:space="0" w:color="auto"/>
              <w:bottom w:val="single" w:sz="2" w:space="0" w:color="auto"/>
              <w:right w:val="single" w:sz="2" w:space="0" w:color="auto"/>
            </w:tcBorders>
          </w:tcPr>
          <w:p w14:paraId="6F383CDA" w14:textId="77777777" w:rsidR="009F4766" w:rsidRPr="00DE12A3" w:rsidRDefault="009F4766" w:rsidP="00C917D6">
            <w:pPr>
              <w:pStyle w:val="NormalLeft"/>
            </w:pPr>
            <w:r w:rsidRPr="00DE12A3">
              <w:t>410</w:t>
            </w:r>
          </w:p>
        </w:tc>
        <w:tc>
          <w:tcPr>
            <w:tcW w:w="2489" w:type="dxa"/>
            <w:tcBorders>
              <w:top w:val="single" w:sz="2" w:space="0" w:color="auto"/>
              <w:left w:val="single" w:sz="2" w:space="0" w:color="auto"/>
              <w:bottom w:val="single" w:sz="2" w:space="0" w:color="auto"/>
              <w:right w:val="single" w:sz="2" w:space="0" w:color="auto"/>
            </w:tcBorders>
          </w:tcPr>
          <w:p w14:paraId="5B836A0F" w14:textId="77777777" w:rsidR="009F4766" w:rsidRPr="00DE12A3" w:rsidRDefault="009F4766" w:rsidP="00C917D6">
            <w:pPr>
              <w:pStyle w:val="NormalLeft"/>
            </w:pPr>
            <w:r w:rsidRPr="00DE12A3">
              <w:t>68</w:t>
            </w:r>
          </w:p>
        </w:tc>
        <w:tc>
          <w:tcPr>
            <w:tcW w:w="2551" w:type="dxa"/>
            <w:tcBorders>
              <w:top w:val="single" w:sz="2" w:space="0" w:color="auto"/>
              <w:left w:val="single" w:sz="2" w:space="0" w:color="auto"/>
              <w:bottom w:val="single" w:sz="2" w:space="0" w:color="auto"/>
              <w:right w:val="single" w:sz="2" w:space="0" w:color="auto"/>
            </w:tcBorders>
          </w:tcPr>
          <w:p w14:paraId="5B88ACD2" w14:textId="77777777" w:rsidR="009F4766" w:rsidRPr="00DE12A3" w:rsidRDefault="009F4766" w:rsidP="00C917D6">
            <w:pPr>
              <w:pStyle w:val="NormalLeft"/>
            </w:pPr>
            <w:r w:rsidRPr="00DE12A3">
              <w:t>83</w:t>
            </w:r>
          </w:p>
        </w:tc>
      </w:tr>
      <w:tr w:rsidR="00DE12A3" w:rsidRPr="00DE12A3" w14:paraId="70A3389E" w14:textId="77777777" w:rsidTr="009F4766">
        <w:tc>
          <w:tcPr>
            <w:tcW w:w="1182" w:type="dxa"/>
            <w:tcBorders>
              <w:top w:val="single" w:sz="2" w:space="0" w:color="auto"/>
              <w:left w:val="single" w:sz="2" w:space="0" w:color="auto"/>
              <w:bottom w:val="single" w:sz="2" w:space="0" w:color="auto"/>
              <w:right w:val="single" w:sz="2" w:space="0" w:color="auto"/>
            </w:tcBorders>
          </w:tcPr>
          <w:p w14:paraId="294EE664" w14:textId="77777777" w:rsidR="009F4766" w:rsidRPr="00DE12A3" w:rsidRDefault="009F4766" w:rsidP="00C917D6">
            <w:pPr>
              <w:pStyle w:val="NormalLeft"/>
            </w:pPr>
            <w:r w:rsidRPr="00DE12A3">
              <w:t>411</w:t>
            </w:r>
          </w:p>
        </w:tc>
        <w:tc>
          <w:tcPr>
            <w:tcW w:w="2489" w:type="dxa"/>
            <w:tcBorders>
              <w:top w:val="single" w:sz="2" w:space="0" w:color="auto"/>
              <w:left w:val="single" w:sz="2" w:space="0" w:color="auto"/>
              <w:bottom w:val="single" w:sz="2" w:space="0" w:color="auto"/>
              <w:right w:val="single" w:sz="2" w:space="0" w:color="auto"/>
            </w:tcBorders>
          </w:tcPr>
          <w:p w14:paraId="52E9637E" w14:textId="77777777" w:rsidR="009F4766" w:rsidRPr="00DE12A3" w:rsidRDefault="009F4766" w:rsidP="00C917D6">
            <w:pPr>
              <w:pStyle w:val="NormalLeft"/>
            </w:pPr>
            <w:r w:rsidRPr="00DE12A3">
              <w:t>102</w:t>
            </w:r>
          </w:p>
        </w:tc>
        <w:tc>
          <w:tcPr>
            <w:tcW w:w="2551" w:type="dxa"/>
            <w:tcBorders>
              <w:top w:val="single" w:sz="2" w:space="0" w:color="auto"/>
              <w:left w:val="single" w:sz="2" w:space="0" w:color="auto"/>
              <w:bottom w:val="single" w:sz="2" w:space="0" w:color="auto"/>
              <w:right w:val="single" w:sz="2" w:space="0" w:color="auto"/>
            </w:tcBorders>
          </w:tcPr>
          <w:p w14:paraId="5E9AB875" w14:textId="77777777" w:rsidR="009F4766" w:rsidRPr="00DE12A3" w:rsidRDefault="009F4766" w:rsidP="00C917D6">
            <w:pPr>
              <w:pStyle w:val="NormalLeft"/>
            </w:pPr>
            <w:r w:rsidRPr="00DE12A3">
              <w:t>48</w:t>
            </w:r>
          </w:p>
        </w:tc>
      </w:tr>
      <w:tr w:rsidR="00DE12A3" w:rsidRPr="00DE12A3" w14:paraId="4EE368F2" w14:textId="77777777" w:rsidTr="009F4766">
        <w:tc>
          <w:tcPr>
            <w:tcW w:w="1182" w:type="dxa"/>
            <w:tcBorders>
              <w:top w:val="single" w:sz="2" w:space="0" w:color="auto"/>
              <w:left w:val="single" w:sz="2" w:space="0" w:color="auto"/>
              <w:bottom w:val="single" w:sz="2" w:space="0" w:color="auto"/>
              <w:right w:val="single" w:sz="2" w:space="0" w:color="auto"/>
            </w:tcBorders>
          </w:tcPr>
          <w:p w14:paraId="40BFF69E" w14:textId="77777777" w:rsidR="009F4766" w:rsidRPr="00DE12A3" w:rsidRDefault="009F4766" w:rsidP="00C917D6">
            <w:pPr>
              <w:pStyle w:val="NormalLeft"/>
            </w:pPr>
            <w:r w:rsidRPr="00DE12A3">
              <w:t>412</w:t>
            </w:r>
          </w:p>
        </w:tc>
        <w:tc>
          <w:tcPr>
            <w:tcW w:w="2489" w:type="dxa"/>
            <w:tcBorders>
              <w:top w:val="single" w:sz="2" w:space="0" w:color="auto"/>
              <w:left w:val="single" w:sz="2" w:space="0" w:color="auto"/>
              <w:bottom w:val="single" w:sz="2" w:space="0" w:color="auto"/>
              <w:right w:val="single" w:sz="2" w:space="0" w:color="auto"/>
            </w:tcBorders>
          </w:tcPr>
          <w:p w14:paraId="1F64D08F" w14:textId="77777777" w:rsidR="009F4766" w:rsidRPr="00DE12A3" w:rsidRDefault="009F4766" w:rsidP="00C917D6">
            <w:pPr>
              <w:pStyle w:val="NormalLeft"/>
            </w:pPr>
            <w:r w:rsidRPr="00DE12A3">
              <w:t>62</w:t>
            </w:r>
          </w:p>
        </w:tc>
        <w:tc>
          <w:tcPr>
            <w:tcW w:w="2551" w:type="dxa"/>
            <w:tcBorders>
              <w:top w:val="single" w:sz="2" w:space="0" w:color="auto"/>
              <w:left w:val="single" w:sz="2" w:space="0" w:color="auto"/>
              <w:bottom w:val="single" w:sz="2" w:space="0" w:color="auto"/>
              <w:right w:val="single" w:sz="2" w:space="0" w:color="auto"/>
            </w:tcBorders>
          </w:tcPr>
          <w:p w14:paraId="79A1CA86" w14:textId="77777777" w:rsidR="009F4766" w:rsidRPr="00DE12A3" w:rsidRDefault="009F4766" w:rsidP="00C917D6">
            <w:pPr>
              <w:pStyle w:val="NormalLeft"/>
            </w:pPr>
            <w:r w:rsidRPr="00DE12A3">
              <w:t>0</w:t>
            </w:r>
          </w:p>
        </w:tc>
      </w:tr>
      <w:tr w:rsidR="00DE12A3" w:rsidRPr="00DE12A3" w14:paraId="3C8D20C7" w14:textId="77777777" w:rsidTr="009F4766">
        <w:tc>
          <w:tcPr>
            <w:tcW w:w="1182" w:type="dxa"/>
            <w:tcBorders>
              <w:top w:val="single" w:sz="2" w:space="0" w:color="auto"/>
              <w:left w:val="single" w:sz="2" w:space="0" w:color="auto"/>
              <w:bottom w:val="single" w:sz="2" w:space="0" w:color="auto"/>
              <w:right w:val="single" w:sz="2" w:space="0" w:color="auto"/>
            </w:tcBorders>
          </w:tcPr>
          <w:p w14:paraId="053DE5E8" w14:textId="77777777" w:rsidR="009F4766" w:rsidRPr="00DE12A3" w:rsidRDefault="009F4766" w:rsidP="00C917D6">
            <w:pPr>
              <w:pStyle w:val="NormalLeft"/>
            </w:pPr>
            <w:r w:rsidRPr="00DE12A3">
              <w:t>413</w:t>
            </w:r>
          </w:p>
        </w:tc>
        <w:tc>
          <w:tcPr>
            <w:tcW w:w="2489" w:type="dxa"/>
            <w:tcBorders>
              <w:top w:val="single" w:sz="2" w:space="0" w:color="auto"/>
              <w:left w:val="single" w:sz="2" w:space="0" w:color="auto"/>
              <w:bottom w:val="single" w:sz="2" w:space="0" w:color="auto"/>
              <w:right w:val="single" w:sz="2" w:space="0" w:color="auto"/>
            </w:tcBorders>
          </w:tcPr>
          <w:p w14:paraId="32A9AE87" w14:textId="77777777" w:rsidR="009F4766" w:rsidRPr="00DE12A3" w:rsidRDefault="009F4766" w:rsidP="00C917D6">
            <w:pPr>
              <w:pStyle w:val="NormalLeft"/>
            </w:pPr>
            <w:r w:rsidRPr="00DE12A3">
              <w:t>41</w:t>
            </w:r>
          </w:p>
        </w:tc>
        <w:tc>
          <w:tcPr>
            <w:tcW w:w="2551" w:type="dxa"/>
            <w:tcBorders>
              <w:top w:val="single" w:sz="2" w:space="0" w:color="auto"/>
              <w:left w:val="single" w:sz="2" w:space="0" w:color="auto"/>
              <w:bottom w:val="single" w:sz="2" w:space="0" w:color="auto"/>
              <w:right w:val="single" w:sz="2" w:space="0" w:color="auto"/>
            </w:tcBorders>
          </w:tcPr>
          <w:p w14:paraId="32994231" w14:textId="77777777" w:rsidR="009F4766" w:rsidRPr="00DE12A3" w:rsidRDefault="009F4766" w:rsidP="00C917D6">
            <w:pPr>
              <w:pStyle w:val="NormalLeft"/>
            </w:pPr>
            <w:r w:rsidRPr="00DE12A3">
              <w:t>39</w:t>
            </w:r>
          </w:p>
        </w:tc>
      </w:tr>
      <w:tr w:rsidR="00DE12A3" w:rsidRPr="00DE12A3" w14:paraId="4189EF16" w14:textId="77777777" w:rsidTr="009F4766">
        <w:tc>
          <w:tcPr>
            <w:tcW w:w="1182" w:type="dxa"/>
            <w:tcBorders>
              <w:top w:val="single" w:sz="2" w:space="0" w:color="auto"/>
              <w:left w:val="single" w:sz="2" w:space="0" w:color="auto"/>
              <w:bottom w:val="single" w:sz="2" w:space="0" w:color="auto"/>
              <w:right w:val="single" w:sz="2" w:space="0" w:color="auto"/>
            </w:tcBorders>
          </w:tcPr>
          <w:p w14:paraId="0D2F3701" w14:textId="77777777" w:rsidR="009F4766" w:rsidRPr="00DE12A3" w:rsidRDefault="009F4766" w:rsidP="00C917D6">
            <w:pPr>
              <w:pStyle w:val="NormalLeft"/>
            </w:pPr>
            <w:r w:rsidRPr="00DE12A3">
              <w:t>414</w:t>
            </w:r>
          </w:p>
        </w:tc>
        <w:tc>
          <w:tcPr>
            <w:tcW w:w="2489" w:type="dxa"/>
            <w:tcBorders>
              <w:top w:val="single" w:sz="2" w:space="0" w:color="auto"/>
              <w:left w:val="single" w:sz="2" w:space="0" w:color="auto"/>
              <w:bottom w:val="single" w:sz="2" w:space="0" w:color="auto"/>
              <w:right w:val="single" w:sz="2" w:space="0" w:color="auto"/>
            </w:tcBorders>
          </w:tcPr>
          <w:p w14:paraId="675DEA7E" w14:textId="77777777" w:rsidR="009F4766" w:rsidRPr="00DE12A3" w:rsidRDefault="009F4766" w:rsidP="00C917D6">
            <w:pPr>
              <w:pStyle w:val="NormalLeft"/>
            </w:pPr>
            <w:r w:rsidRPr="00DE12A3">
              <w:t>71</w:t>
            </w:r>
          </w:p>
        </w:tc>
        <w:tc>
          <w:tcPr>
            <w:tcW w:w="2551" w:type="dxa"/>
            <w:tcBorders>
              <w:top w:val="single" w:sz="2" w:space="0" w:color="auto"/>
              <w:left w:val="single" w:sz="2" w:space="0" w:color="auto"/>
              <w:bottom w:val="single" w:sz="2" w:space="0" w:color="auto"/>
              <w:right w:val="single" w:sz="2" w:space="0" w:color="auto"/>
            </w:tcBorders>
          </w:tcPr>
          <w:p w14:paraId="18F9C868" w14:textId="77777777" w:rsidR="009F4766" w:rsidRPr="00DE12A3" w:rsidRDefault="009F4766" w:rsidP="00C917D6">
            <w:pPr>
              <w:pStyle w:val="NormalLeft"/>
            </w:pPr>
            <w:r w:rsidRPr="00DE12A3">
              <w:t>86</w:t>
            </w:r>
          </w:p>
        </w:tc>
      </w:tr>
      <w:tr w:rsidR="00DE12A3" w:rsidRPr="00DE12A3" w14:paraId="5B0B6DF4" w14:textId="77777777" w:rsidTr="009F4766">
        <w:tc>
          <w:tcPr>
            <w:tcW w:w="1182" w:type="dxa"/>
            <w:tcBorders>
              <w:top w:val="single" w:sz="2" w:space="0" w:color="auto"/>
              <w:left w:val="single" w:sz="2" w:space="0" w:color="auto"/>
              <w:bottom w:val="single" w:sz="2" w:space="0" w:color="auto"/>
              <w:right w:val="single" w:sz="2" w:space="0" w:color="auto"/>
            </w:tcBorders>
          </w:tcPr>
          <w:p w14:paraId="63A5E666" w14:textId="77777777" w:rsidR="009F4766" w:rsidRPr="00DE12A3" w:rsidRDefault="009F4766" w:rsidP="00C917D6">
            <w:pPr>
              <w:pStyle w:val="NormalLeft"/>
            </w:pPr>
            <w:r w:rsidRPr="00DE12A3">
              <w:t>415</w:t>
            </w:r>
          </w:p>
        </w:tc>
        <w:tc>
          <w:tcPr>
            <w:tcW w:w="2489" w:type="dxa"/>
            <w:tcBorders>
              <w:top w:val="single" w:sz="2" w:space="0" w:color="auto"/>
              <w:left w:val="single" w:sz="2" w:space="0" w:color="auto"/>
              <w:bottom w:val="single" w:sz="2" w:space="0" w:color="auto"/>
              <w:right w:val="single" w:sz="2" w:space="0" w:color="auto"/>
            </w:tcBorders>
          </w:tcPr>
          <w:p w14:paraId="6E84B4DD" w14:textId="77777777" w:rsidR="009F4766" w:rsidRPr="00DE12A3" w:rsidRDefault="009F4766" w:rsidP="00C917D6">
            <w:pPr>
              <w:pStyle w:val="NormalLeft"/>
            </w:pPr>
            <w:r w:rsidRPr="00DE12A3">
              <w:t>91</w:t>
            </w:r>
          </w:p>
        </w:tc>
        <w:tc>
          <w:tcPr>
            <w:tcW w:w="2551" w:type="dxa"/>
            <w:tcBorders>
              <w:top w:val="single" w:sz="2" w:space="0" w:color="auto"/>
              <w:left w:val="single" w:sz="2" w:space="0" w:color="auto"/>
              <w:bottom w:val="single" w:sz="2" w:space="0" w:color="auto"/>
              <w:right w:val="single" w:sz="2" w:space="0" w:color="auto"/>
            </w:tcBorders>
          </w:tcPr>
          <w:p w14:paraId="741B6C02" w14:textId="77777777" w:rsidR="009F4766" w:rsidRPr="00DE12A3" w:rsidRDefault="009F4766" w:rsidP="00C917D6">
            <w:pPr>
              <w:pStyle w:val="NormalLeft"/>
            </w:pPr>
            <w:r w:rsidRPr="00DE12A3">
              <w:t>52</w:t>
            </w:r>
          </w:p>
        </w:tc>
      </w:tr>
      <w:tr w:rsidR="00DE12A3" w:rsidRPr="00DE12A3" w14:paraId="2EB44E5E" w14:textId="77777777" w:rsidTr="009F4766">
        <w:tc>
          <w:tcPr>
            <w:tcW w:w="1182" w:type="dxa"/>
            <w:tcBorders>
              <w:top w:val="single" w:sz="2" w:space="0" w:color="auto"/>
              <w:left w:val="single" w:sz="2" w:space="0" w:color="auto"/>
              <w:bottom w:val="single" w:sz="2" w:space="0" w:color="auto"/>
              <w:right w:val="single" w:sz="2" w:space="0" w:color="auto"/>
            </w:tcBorders>
          </w:tcPr>
          <w:p w14:paraId="608612C3" w14:textId="77777777" w:rsidR="009F4766" w:rsidRPr="00DE12A3" w:rsidRDefault="009F4766" w:rsidP="00C917D6">
            <w:pPr>
              <w:pStyle w:val="NormalLeft"/>
            </w:pPr>
            <w:r w:rsidRPr="00DE12A3">
              <w:t>416</w:t>
            </w:r>
          </w:p>
        </w:tc>
        <w:tc>
          <w:tcPr>
            <w:tcW w:w="2489" w:type="dxa"/>
            <w:tcBorders>
              <w:top w:val="single" w:sz="2" w:space="0" w:color="auto"/>
              <w:left w:val="single" w:sz="2" w:space="0" w:color="auto"/>
              <w:bottom w:val="single" w:sz="2" w:space="0" w:color="auto"/>
              <w:right w:val="single" w:sz="2" w:space="0" w:color="auto"/>
            </w:tcBorders>
          </w:tcPr>
          <w:p w14:paraId="128ABCFA" w14:textId="77777777" w:rsidR="009F4766" w:rsidRPr="00DE12A3" w:rsidRDefault="009F4766" w:rsidP="00C917D6">
            <w:pPr>
              <w:pStyle w:val="NormalLeft"/>
            </w:pPr>
            <w:r w:rsidRPr="00DE12A3">
              <w:t>89</w:t>
            </w:r>
          </w:p>
        </w:tc>
        <w:tc>
          <w:tcPr>
            <w:tcW w:w="2551" w:type="dxa"/>
            <w:tcBorders>
              <w:top w:val="single" w:sz="2" w:space="0" w:color="auto"/>
              <w:left w:val="single" w:sz="2" w:space="0" w:color="auto"/>
              <w:bottom w:val="single" w:sz="2" w:space="0" w:color="auto"/>
              <w:right w:val="single" w:sz="2" w:space="0" w:color="auto"/>
            </w:tcBorders>
          </w:tcPr>
          <w:p w14:paraId="6F807924" w14:textId="77777777" w:rsidR="009F4766" w:rsidRPr="00DE12A3" w:rsidRDefault="009F4766" w:rsidP="00C917D6">
            <w:pPr>
              <w:pStyle w:val="NormalLeft"/>
            </w:pPr>
            <w:r w:rsidRPr="00DE12A3">
              <w:t>55</w:t>
            </w:r>
          </w:p>
        </w:tc>
      </w:tr>
      <w:tr w:rsidR="00DE12A3" w:rsidRPr="00DE12A3" w14:paraId="60FF37E2" w14:textId="77777777" w:rsidTr="009F4766">
        <w:tc>
          <w:tcPr>
            <w:tcW w:w="1182" w:type="dxa"/>
            <w:tcBorders>
              <w:top w:val="single" w:sz="2" w:space="0" w:color="auto"/>
              <w:left w:val="single" w:sz="2" w:space="0" w:color="auto"/>
              <w:bottom w:val="single" w:sz="2" w:space="0" w:color="auto"/>
              <w:right w:val="single" w:sz="2" w:space="0" w:color="auto"/>
            </w:tcBorders>
          </w:tcPr>
          <w:p w14:paraId="562F4264" w14:textId="77777777" w:rsidR="009F4766" w:rsidRPr="00DE12A3" w:rsidRDefault="009F4766" w:rsidP="00C917D6">
            <w:pPr>
              <w:pStyle w:val="NormalLeft"/>
            </w:pPr>
            <w:r w:rsidRPr="00DE12A3">
              <w:t>417</w:t>
            </w:r>
          </w:p>
        </w:tc>
        <w:tc>
          <w:tcPr>
            <w:tcW w:w="2489" w:type="dxa"/>
            <w:tcBorders>
              <w:top w:val="single" w:sz="2" w:space="0" w:color="auto"/>
              <w:left w:val="single" w:sz="2" w:space="0" w:color="auto"/>
              <w:bottom w:val="single" w:sz="2" w:space="0" w:color="auto"/>
              <w:right w:val="single" w:sz="2" w:space="0" w:color="auto"/>
            </w:tcBorders>
          </w:tcPr>
          <w:p w14:paraId="6E12D2CA" w14:textId="77777777" w:rsidR="009F4766" w:rsidRPr="00DE12A3" w:rsidRDefault="009F4766" w:rsidP="00C917D6">
            <w:pPr>
              <w:pStyle w:val="NormalLeft"/>
            </w:pPr>
            <w:r w:rsidRPr="00DE12A3">
              <w:t>89</w:t>
            </w:r>
          </w:p>
        </w:tc>
        <w:tc>
          <w:tcPr>
            <w:tcW w:w="2551" w:type="dxa"/>
            <w:tcBorders>
              <w:top w:val="single" w:sz="2" w:space="0" w:color="auto"/>
              <w:left w:val="single" w:sz="2" w:space="0" w:color="auto"/>
              <w:bottom w:val="single" w:sz="2" w:space="0" w:color="auto"/>
              <w:right w:val="single" w:sz="2" w:space="0" w:color="auto"/>
            </w:tcBorders>
          </w:tcPr>
          <w:p w14:paraId="632D6EC4" w14:textId="77777777" w:rsidR="009F4766" w:rsidRPr="00DE12A3" w:rsidRDefault="009F4766" w:rsidP="00C917D6">
            <w:pPr>
              <w:pStyle w:val="NormalLeft"/>
            </w:pPr>
            <w:r w:rsidRPr="00DE12A3">
              <w:t>56</w:t>
            </w:r>
          </w:p>
        </w:tc>
      </w:tr>
      <w:tr w:rsidR="00DE12A3" w:rsidRPr="00DE12A3" w14:paraId="799A6937" w14:textId="77777777" w:rsidTr="009F4766">
        <w:tc>
          <w:tcPr>
            <w:tcW w:w="1182" w:type="dxa"/>
            <w:tcBorders>
              <w:top w:val="single" w:sz="2" w:space="0" w:color="auto"/>
              <w:left w:val="single" w:sz="2" w:space="0" w:color="auto"/>
              <w:bottom w:val="single" w:sz="2" w:space="0" w:color="auto"/>
              <w:right w:val="single" w:sz="2" w:space="0" w:color="auto"/>
            </w:tcBorders>
          </w:tcPr>
          <w:p w14:paraId="3A0FBB68" w14:textId="77777777" w:rsidR="009F4766" w:rsidRPr="00DE12A3" w:rsidRDefault="009F4766" w:rsidP="00C917D6">
            <w:pPr>
              <w:pStyle w:val="NormalLeft"/>
            </w:pPr>
            <w:r w:rsidRPr="00DE12A3">
              <w:t>418</w:t>
            </w:r>
          </w:p>
        </w:tc>
        <w:tc>
          <w:tcPr>
            <w:tcW w:w="2489" w:type="dxa"/>
            <w:tcBorders>
              <w:top w:val="single" w:sz="2" w:space="0" w:color="auto"/>
              <w:left w:val="single" w:sz="2" w:space="0" w:color="auto"/>
              <w:bottom w:val="single" w:sz="2" w:space="0" w:color="auto"/>
              <w:right w:val="single" w:sz="2" w:space="0" w:color="auto"/>
            </w:tcBorders>
          </w:tcPr>
          <w:p w14:paraId="08956A9D" w14:textId="77777777" w:rsidR="009F4766" w:rsidRPr="00DE12A3" w:rsidRDefault="009F4766" w:rsidP="00C917D6">
            <w:pPr>
              <w:pStyle w:val="NormalLeft"/>
            </w:pPr>
            <w:r w:rsidRPr="00DE12A3">
              <w:t>88</w:t>
            </w:r>
          </w:p>
        </w:tc>
        <w:tc>
          <w:tcPr>
            <w:tcW w:w="2551" w:type="dxa"/>
            <w:tcBorders>
              <w:top w:val="single" w:sz="2" w:space="0" w:color="auto"/>
              <w:left w:val="single" w:sz="2" w:space="0" w:color="auto"/>
              <w:bottom w:val="single" w:sz="2" w:space="0" w:color="auto"/>
              <w:right w:val="single" w:sz="2" w:space="0" w:color="auto"/>
            </w:tcBorders>
          </w:tcPr>
          <w:p w14:paraId="6727B6BD" w14:textId="77777777" w:rsidR="009F4766" w:rsidRPr="00DE12A3" w:rsidRDefault="009F4766" w:rsidP="00C917D6">
            <w:pPr>
              <w:pStyle w:val="NormalLeft"/>
            </w:pPr>
            <w:r w:rsidRPr="00DE12A3">
              <w:t>58</w:t>
            </w:r>
          </w:p>
        </w:tc>
      </w:tr>
      <w:tr w:rsidR="00DE12A3" w:rsidRPr="00DE12A3" w14:paraId="28DD8EA3" w14:textId="77777777" w:rsidTr="009F4766">
        <w:tc>
          <w:tcPr>
            <w:tcW w:w="1182" w:type="dxa"/>
            <w:tcBorders>
              <w:top w:val="single" w:sz="2" w:space="0" w:color="auto"/>
              <w:left w:val="single" w:sz="2" w:space="0" w:color="auto"/>
              <w:bottom w:val="single" w:sz="2" w:space="0" w:color="auto"/>
              <w:right w:val="single" w:sz="2" w:space="0" w:color="auto"/>
            </w:tcBorders>
          </w:tcPr>
          <w:p w14:paraId="33C36D26" w14:textId="77777777" w:rsidR="009F4766" w:rsidRPr="00DE12A3" w:rsidRDefault="009F4766" w:rsidP="00C917D6">
            <w:pPr>
              <w:pStyle w:val="NormalLeft"/>
            </w:pPr>
            <w:r w:rsidRPr="00DE12A3">
              <w:t>419</w:t>
            </w:r>
          </w:p>
        </w:tc>
        <w:tc>
          <w:tcPr>
            <w:tcW w:w="2489" w:type="dxa"/>
            <w:tcBorders>
              <w:top w:val="single" w:sz="2" w:space="0" w:color="auto"/>
              <w:left w:val="single" w:sz="2" w:space="0" w:color="auto"/>
              <w:bottom w:val="single" w:sz="2" w:space="0" w:color="auto"/>
              <w:right w:val="single" w:sz="2" w:space="0" w:color="auto"/>
            </w:tcBorders>
          </w:tcPr>
          <w:p w14:paraId="6B3F228B" w14:textId="77777777" w:rsidR="009F4766" w:rsidRPr="00DE12A3" w:rsidRDefault="009F4766" w:rsidP="00C917D6">
            <w:pPr>
              <w:pStyle w:val="NormalLeft"/>
            </w:pPr>
            <w:r w:rsidRPr="00DE12A3">
              <w:t>78</w:t>
            </w:r>
          </w:p>
        </w:tc>
        <w:tc>
          <w:tcPr>
            <w:tcW w:w="2551" w:type="dxa"/>
            <w:tcBorders>
              <w:top w:val="single" w:sz="2" w:space="0" w:color="auto"/>
              <w:left w:val="single" w:sz="2" w:space="0" w:color="auto"/>
              <w:bottom w:val="single" w:sz="2" w:space="0" w:color="auto"/>
              <w:right w:val="single" w:sz="2" w:space="0" w:color="auto"/>
            </w:tcBorders>
          </w:tcPr>
          <w:p w14:paraId="701D233B" w14:textId="77777777" w:rsidR="009F4766" w:rsidRPr="00DE12A3" w:rsidRDefault="009F4766" w:rsidP="00C917D6">
            <w:pPr>
              <w:pStyle w:val="NormalLeft"/>
            </w:pPr>
            <w:r w:rsidRPr="00DE12A3">
              <w:t>69</w:t>
            </w:r>
          </w:p>
        </w:tc>
      </w:tr>
      <w:tr w:rsidR="00DE12A3" w:rsidRPr="00DE12A3" w14:paraId="12C5A6FA" w14:textId="77777777" w:rsidTr="009F4766">
        <w:tc>
          <w:tcPr>
            <w:tcW w:w="1182" w:type="dxa"/>
            <w:tcBorders>
              <w:top w:val="single" w:sz="2" w:space="0" w:color="auto"/>
              <w:left w:val="single" w:sz="2" w:space="0" w:color="auto"/>
              <w:bottom w:val="single" w:sz="2" w:space="0" w:color="auto"/>
              <w:right w:val="single" w:sz="2" w:space="0" w:color="auto"/>
            </w:tcBorders>
          </w:tcPr>
          <w:p w14:paraId="56B5D4F6" w14:textId="77777777" w:rsidR="009F4766" w:rsidRPr="00DE12A3" w:rsidRDefault="009F4766" w:rsidP="00C917D6">
            <w:pPr>
              <w:pStyle w:val="NormalLeft"/>
            </w:pPr>
            <w:r w:rsidRPr="00DE12A3">
              <w:t>420</w:t>
            </w:r>
          </w:p>
        </w:tc>
        <w:tc>
          <w:tcPr>
            <w:tcW w:w="2489" w:type="dxa"/>
            <w:tcBorders>
              <w:top w:val="single" w:sz="2" w:space="0" w:color="auto"/>
              <w:left w:val="single" w:sz="2" w:space="0" w:color="auto"/>
              <w:bottom w:val="single" w:sz="2" w:space="0" w:color="auto"/>
              <w:right w:val="single" w:sz="2" w:space="0" w:color="auto"/>
            </w:tcBorders>
          </w:tcPr>
          <w:p w14:paraId="18B7C1BA" w14:textId="77777777" w:rsidR="009F4766" w:rsidRPr="00DE12A3" w:rsidRDefault="009F4766" w:rsidP="00C917D6">
            <w:pPr>
              <w:pStyle w:val="NormalLeft"/>
            </w:pPr>
            <w:r w:rsidRPr="00DE12A3">
              <w:t>98</w:t>
            </w:r>
          </w:p>
        </w:tc>
        <w:tc>
          <w:tcPr>
            <w:tcW w:w="2551" w:type="dxa"/>
            <w:tcBorders>
              <w:top w:val="single" w:sz="2" w:space="0" w:color="auto"/>
              <w:left w:val="single" w:sz="2" w:space="0" w:color="auto"/>
              <w:bottom w:val="single" w:sz="2" w:space="0" w:color="auto"/>
              <w:right w:val="single" w:sz="2" w:space="0" w:color="auto"/>
            </w:tcBorders>
          </w:tcPr>
          <w:p w14:paraId="5C8FC6AC" w14:textId="77777777" w:rsidR="009F4766" w:rsidRPr="00DE12A3" w:rsidRDefault="009F4766" w:rsidP="00C917D6">
            <w:pPr>
              <w:pStyle w:val="NormalLeft"/>
            </w:pPr>
            <w:r w:rsidRPr="00DE12A3">
              <w:t>39</w:t>
            </w:r>
          </w:p>
        </w:tc>
      </w:tr>
      <w:tr w:rsidR="00DE12A3" w:rsidRPr="00DE12A3" w14:paraId="3075ADEF" w14:textId="77777777" w:rsidTr="009F4766">
        <w:tc>
          <w:tcPr>
            <w:tcW w:w="1182" w:type="dxa"/>
            <w:tcBorders>
              <w:top w:val="single" w:sz="2" w:space="0" w:color="auto"/>
              <w:left w:val="single" w:sz="2" w:space="0" w:color="auto"/>
              <w:bottom w:val="single" w:sz="2" w:space="0" w:color="auto"/>
              <w:right w:val="single" w:sz="2" w:space="0" w:color="auto"/>
            </w:tcBorders>
          </w:tcPr>
          <w:p w14:paraId="43A38D47" w14:textId="77777777" w:rsidR="009F4766" w:rsidRPr="00DE12A3" w:rsidRDefault="009F4766" w:rsidP="00C917D6">
            <w:pPr>
              <w:pStyle w:val="NormalLeft"/>
            </w:pPr>
            <w:r w:rsidRPr="00DE12A3">
              <w:t>421</w:t>
            </w:r>
          </w:p>
        </w:tc>
        <w:tc>
          <w:tcPr>
            <w:tcW w:w="2489" w:type="dxa"/>
            <w:tcBorders>
              <w:top w:val="single" w:sz="2" w:space="0" w:color="auto"/>
              <w:left w:val="single" w:sz="2" w:space="0" w:color="auto"/>
              <w:bottom w:val="single" w:sz="2" w:space="0" w:color="auto"/>
              <w:right w:val="single" w:sz="2" w:space="0" w:color="auto"/>
            </w:tcBorders>
          </w:tcPr>
          <w:p w14:paraId="746FA911" w14:textId="77777777" w:rsidR="009F4766" w:rsidRPr="00DE12A3" w:rsidRDefault="009F4766" w:rsidP="00C917D6">
            <w:pPr>
              <w:pStyle w:val="NormalLeft"/>
            </w:pPr>
            <w:r w:rsidRPr="00DE12A3">
              <w:t>64</w:t>
            </w:r>
          </w:p>
        </w:tc>
        <w:tc>
          <w:tcPr>
            <w:tcW w:w="2551" w:type="dxa"/>
            <w:tcBorders>
              <w:top w:val="single" w:sz="2" w:space="0" w:color="auto"/>
              <w:left w:val="single" w:sz="2" w:space="0" w:color="auto"/>
              <w:bottom w:val="single" w:sz="2" w:space="0" w:color="auto"/>
              <w:right w:val="single" w:sz="2" w:space="0" w:color="auto"/>
            </w:tcBorders>
          </w:tcPr>
          <w:p w14:paraId="7AB5EDEE" w14:textId="77777777" w:rsidR="009F4766" w:rsidRPr="00DE12A3" w:rsidRDefault="009F4766" w:rsidP="00C917D6">
            <w:pPr>
              <w:pStyle w:val="NormalLeft"/>
            </w:pPr>
            <w:r w:rsidRPr="00DE12A3">
              <w:t>61</w:t>
            </w:r>
          </w:p>
        </w:tc>
      </w:tr>
      <w:tr w:rsidR="00DE12A3" w:rsidRPr="00DE12A3" w14:paraId="4D8AC9AE" w14:textId="77777777" w:rsidTr="009F4766">
        <w:tc>
          <w:tcPr>
            <w:tcW w:w="1182" w:type="dxa"/>
            <w:tcBorders>
              <w:top w:val="single" w:sz="2" w:space="0" w:color="auto"/>
              <w:left w:val="single" w:sz="2" w:space="0" w:color="auto"/>
              <w:bottom w:val="single" w:sz="2" w:space="0" w:color="auto"/>
              <w:right w:val="single" w:sz="2" w:space="0" w:color="auto"/>
            </w:tcBorders>
          </w:tcPr>
          <w:p w14:paraId="2D9E8803" w14:textId="77777777" w:rsidR="009F4766" w:rsidRPr="00DE12A3" w:rsidRDefault="009F4766" w:rsidP="00C917D6">
            <w:pPr>
              <w:pStyle w:val="NormalLeft"/>
            </w:pPr>
            <w:r w:rsidRPr="00DE12A3">
              <w:t>422</w:t>
            </w:r>
          </w:p>
        </w:tc>
        <w:tc>
          <w:tcPr>
            <w:tcW w:w="2489" w:type="dxa"/>
            <w:tcBorders>
              <w:top w:val="single" w:sz="2" w:space="0" w:color="auto"/>
              <w:left w:val="single" w:sz="2" w:space="0" w:color="auto"/>
              <w:bottom w:val="single" w:sz="2" w:space="0" w:color="auto"/>
              <w:right w:val="single" w:sz="2" w:space="0" w:color="auto"/>
            </w:tcBorders>
          </w:tcPr>
          <w:p w14:paraId="35D49AEE" w14:textId="77777777" w:rsidR="009F4766" w:rsidRPr="00DE12A3" w:rsidRDefault="009F4766" w:rsidP="00C917D6">
            <w:pPr>
              <w:pStyle w:val="NormalLeft"/>
            </w:pPr>
            <w:r w:rsidRPr="00DE12A3">
              <w:t>90</w:t>
            </w:r>
          </w:p>
        </w:tc>
        <w:tc>
          <w:tcPr>
            <w:tcW w:w="2551" w:type="dxa"/>
            <w:tcBorders>
              <w:top w:val="single" w:sz="2" w:space="0" w:color="auto"/>
              <w:left w:val="single" w:sz="2" w:space="0" w:color="auto"/>
              <w:bottom w:val="single" w:sz="2" w:space="0" w:color="auto"/>
              <w:right w:val="single" w:sz="2" w:space="0" w:color="auto"/>
            </w:tcBorders>
          </w:tcPr>
          <w:p w14:paraId="38486D02" w14:textId="77777777" w:rsidR="009F4766" w:rsidRPr="00DE12A3" w:rsidRDefault="009F4766" w:rsidP="00C917D6">
            <w:pPr>
              <w:pStyle w:val="NormalLeft"/>
            </w:pPr>
            <w:r w:rsidRPr="00DE12A3">
              <w:t>34</w:t>
            </w:r>
          </w:p>
        </w:tc>
      </w:tr>
      <w:tr w:rsidR="00DE12A3" w:rsidRPr="00DE12A3" w14:paraId="131F9DE5" w14:textId="77777777" w:rsidTr="009F4766">
        <w:tc>
          <w:tcPr>
            <w:tcW w:w="1182" w:type="dxa"/>
            <w:tcBorders>
              <w:top w:val="single" w:sz="2" w:space="0" w:color="auto"/>
              <w:left w:val="single" w:sz="2" w:space="0" w:color="auto"/>
              <w:bottom w:val="single" w:sz="2" w:space="0" w:color="auto"/>
              <w:right w:val="single" w:sz="2" w:space="0" w:color="auto"/>
            </w:tcBorders>
          </w:tcPr>
          <w:p w14:paraId="6067FDE3" w14:textId="77777777" w:rsidR="009F4766" w:rsidRPr="00DE12A3" w:rsidRDefault="009F4766" w:rsidP="00C917D6">
            <w:pPr>
              <w:pStyle w:val="NormalLeft"/>
            </w:pPr>
            <w:r w:rsidRPr="00DE12A3">
              <w:t>423</w:t>
            </w:r>
          </w:p>
        </w:tc>
        <w:tc>
          <w:tcPr>
            <w:tcW w:w="2489" w:type="dxa"/>
            <w:tcBorders>
              <w:top w:val="single" w:sz="2" w:space="0" w:color="auto"/>
              <w:left w:val="single" w:sz="2" w:space="0" w:color="auto"/>
              <w:bottom w:val="single" w:sz="2" w:space="0" w:color="auto"/>
              <w:right w:val="single" w:sz="2" w:space="0" w:color="auto"/>
            </w:tcBorders>
          </w:tcPr>
          <w:p w14:paraId="1083D9F7" w14:textId="77777777" w:rsidR="009F4766" w:rsidRPr="00DE12A3" w:rsidRDefault="009F4766" w:rsidP="00C917D6">
            <w:pPr>
              <w:pStyle w:val="NormalLeft"/>
            </w:pPr>
            <w:r w:rsidRPr="00DE12A3">
              <w:t>88</w:t>
            </w:r>
          </w:p>
        </w:tc>
        <w:tc>
          <w:tcPr>
            <w:tcW w:w="2551" w:type="dxa"/>
            <w:tcBorders>
              <w:top w:val="single" w:sz="2" w:space="0" w:color="auto"/>
              <w:left w:val="single" w:sz="2" w:space="0" w:color="auto"/>
              <w:bottom w:val="single" w:sz="2" w:space="0" w:color="auto"/>
              <w:right w:val="single" w:sz="2" w:space="0" w:color="auto"/>
            </w:tcBorders>
          </w:tcPr>
          <w:p w14:paraId="2D4D8CCF" w14:textId="77777777" w:rsidR="009F4766" w:rsidRPr="00DE12A3" w:rsidRDefault="009F4766" w:rsidP="00C917D6">
            <w:pPr>
              <w:pStyle w:val="NormalLeft"/>
            </w:pPr>
            <w:r w:rsidRPr="00DE12A3">
              <w:t>38</w:t>
            </w:r>
          </w:p>
        </w:tc>
      </w:tr>
      <w:tr w:rsidR="00DE12A3" w:rsidRPr="00DE12A3" w14:paraId="4555C566" w14:textId="77777777" w:rsidTr="009F4766">
        <w:tc>
          <w:tcPr>
            <w:tcW w:w="1182" w:type="dxa"/>
            <w:tcBorders>
              <w:top w:val="single" w:sz="2" w:space="0" w:color="auto"/>
              <w:left w:val="single" w:sz="2" w:space="0" w:color="auto"/>
              <w:bottom w:val="single" w:sz="2" w:space="0" w:color="auto"/>
              <w:right w:val="single" w:sz="2" w:space="0" w:color="auto"/>
            </w:tcBorders>
          </w:tcPr>
          <w:p w14:paraId="3EF9129D" w14:textId="77777777" w:rsidR="009F4766" w:rsidRPr="00DE12A3" w:rsidRDefault="009F4766" w:rsidP="00C917D6">
            <w:pPr>
              <w:pStyle w:val="NormalLeft"/>
            </w:pPr>
            <w:r w:rsidRPr="00DE12A3">
              <w:t>424</w:t>
            </w:r>
          </w:p>
        </w:tc>
        <w:tc>
          <w:tcPr>
            <w:tcW w:w="2489" w:type="dxa"/>
            <w:tcBorders>
              <w:top w:val="single" w:sz="2" w:space="0" w:color="auto"/>
              <w:left w:val="single" w:sz="2" w:space="0" w:color="auto"/>
              <w:bottom w:val="single" w:sz="2" w:space="0" w:color="auto"/>
              <w:right w:val="single" w:sz="2" w:space="0" w:color="auto"/>
            </w:tcBorders>
          </w:tcPr>
          <w:p w14:paraId="744BE241" w14:textId="77777777" w:rsidR="009F4766" w:rsidRPr="00DE12A3" w:rsidRDefault="009F4766" w:rsidP="00C917D6">
            <w:pPr>
              <w:pStyle w:val="NormalLeft"/>
            </w:pPr>
            <w:r w:rsidRPr="00DE12A3">
              <w:t>97</w:t>
            </w:r>
          </w:p>
        </w:tc>
        <w:tc>
          <w:tcPr>
            <w:tcW w:w="2551" w:type="dxa"/>
            <w:tcBorders>
              <w:top w:val="single" w:sz="2" w:space="0" w:color="auto"/>
              <w:left w:val="single" w:sz="2" w:space="0" w:color="auto"/>
              <w:bottom w:val="single" w:sz="2" w:space="0" w:color="auto"/>
              <w:right w:val="single" w:sz="2" w:space="0" w:color="auto"/>
            </w:tcBorders>
          </w:tcPr>
          <w:p w14:paraId="1E33D3EC" w14:textId="77777777" w:rsidR="009F4766" w:rsidRPr="00DE12A3" w:rsidRDefault="009F4766" w:rsidP="00C917D6">
            <w:pPr>
              <w:pStyle w:val="NormalLeft"/>
            </w:pPr>
            <w:r w:rsidRPr="00DE12A3">
              <w:t>62</w:t>
            </w:r>
          </w:p>
        </w:tc>
      </w:tr>
      <w:tr w:rsidR="00DE12A3" w:rsidRPr="00DE12A3" w14:paraId="78C17DB9" w14:textId="77777777" w:rsidTr="009F4766">
        <w:tc>
          <w:tcPr>
            <w:tcW w:w="1182" w:type="dxa"/>
            <w:tcBorders>
              <w:top w:val="single" w:sz="2" w:space="0" w:color="auto"/>
              <w:left w:val="single" w:sz="2" w:space="0" w:color="auto"/>
              <w:bottom w:val="single" w:sz="2" w:space="0" w:color="auto"/>
              <w:right w:val="single" w:sz="2" w:space="0" w:color="auto"/>
            </w:tcBorders>
          </w:tcPr>
          <w:p w14:paraId="0682AA88" w14:textId="77777777" w:rsidR="009F4766" w:rsidRPr="00DE12A3" w:rsidRDefault="009F4766" w:rsidP="00C917D6">
            <w:pPr>
              <w:pStyle w:val="NormalLeft"/>
            </w:pPr>
            <w:r w:rsidRPr="00DE12A3">
              <w:t>425</w:t>
            </w:r>
          </w:p>
        </w:tc>
        <w:tc>
          <w:tcPr>
            <w:tcW w:w="2489" w:type="dxa"/>
            <w:tcBorders>
              <w:top w:val="single" w:sz="2" w:space="0" w:color="auto"/>
              <w:left w:val="single" w:sz="2" w:space="0" w:color="auto"/>
              <w:bottom w:val="single" w:sz="2" w:space="0" w:color="auto"/>
              <w:right w:val="single" w:sz="2" w:space="0" w:color="auto"/>
            </w:tcBorders>
          </w:tcPr>
          <w:p w14:paraId="5DD4DA07" w14:textId="77777777" w:rsidR="009F4766" w:rsidRPr="00DE12A3" w:rsidRDefault="009F4766" w:rsidP="00C917D6">
            <w:pPr>
              <w:pStyle w:val="NormalLeft"/>
            </w:pPr>
            <w:r w:rsidRPr="00DE12A3">
              <w:t>100</w:t>
            </w:r>
          </w:p>
        </w:tc>
        <w:tc>
          <w:tcPr>
            <w:tcW w:w="2551" w:type="dxa"/>
            <w:tcBorders>
              <w:top w:val="single" w:sz="2" w:space="0" w:color="auto"/>
              <w:left w:val="single" w:sz="2" w:space="0" w:color="auto"/>
              <w:bottom w:val="single" w:sz="2" w:space="0" w:color="auto"/>
              <w:right w:val="single" w:sz="2" w:space="0" w:color="auto"/>
            </w:tcBorders>
          </w:tcPr>
          <w:p w14:paraId="49BD2857" w14:textId="77777777" w:rsidR="009F4766" w:rsidRPr="00DE12A3" w:rsidRDefault="009F4766" w:rsidP="00C917D6">
            <w:pPr>
              <w:pStyle w:val="NormalLeft"/>
            </w:pPr>
            <w:r w:rsidRPr="00DE12A3">
              <w:t>53</w:t>
            </w:r>
          </w:p>
        </w:tc>
      </w:tr>
      <w:tr w:rsidR="00DE12A3" w:rsidRPr="00DE12A3" w14:paraId="0D91FEBD" w14:textId="77777777" w:rsidTr="009F4766">
        <w:tc>
          <w:tcPr>
            <w:tcW w:w="1182" w:type="dxa"/>
            <w:tcBorders>
              <w:top w:val="single" w:sz="2" w:space="0" w:color="auto"/>
              <w:left w:val="single" w:sz="2" w:space="0" w:color="auto"/>
              <w:bottom w:val="single" w:sz="2" w:space="0" w:color="auto"/>
              <w:right w:val="single" w:sz="2" w:space="0" w:color="auto"/>
            </w:tcBorders>
          </w:tcPr>
          <w:p w14:paraId="32012688" w14:textId="77777777" w:rsidR="009F4766" w:rsidRPr="00DE12A3" w:rsidRDefault="009F4766" w:rsidP="00C917D6">
            <w:pPr>
              <w:pStyle w:val="NormalLeft"/>
            </w:pPr>
            <w:r w:rsidRPr="00DE12A3">
              <w:t>426</w:t>
            </w:r>
          </w:p>
        </w:tc>
        <w:tc>
          <w:tcPr>
            <w:tcW w:w="2489" w:type="dxa"/>
            <w:tcBorders>
              <w:top w:val="single" w:sz="2" w:space="0" w:color="auto"/>
              <w:left w:val="single" w:sz="2" w:space="0" w:color="auto"/>
              <w:bottom w:val="single" w:sz="2" w:space="0" w:color="auto"/>
              <w:right w:val="single" w:sz="2" w:space="0" w:color="auto"/>
            </w:tcBorders>
          </w:tcPr>
          <w:p w14:paraId="713000DA" w14:textId="77777777" w:rsidR="009F4766" w:rsidRPr="00DE12A3" w:rsidRDefault="009F4766" w:rsidP="00C917D6">
            <w:pPr>
              <w:pStyle w:val="NormalLeft"/>
            </w:pPr>
            <w:r w:rsidRPr="00DE12A3">
              <w:t>81</w:t>
            </w:r>
          </w:p>
        </w:tc>
        <w:tc>
          <w:tcPr>
            <w:tcW w:w="2551" w:type="dxa"/>
            <w:tcBorders>
              <w:top w:val="single" w:sz="2" w:space="0" w:color="auto"/>
              <w:left w:val="single" w:sz="2" w:space="0" w:color="auto"/>
              <w:bottom w:val="single" w:sz="2" w:space="0" w:color="auto"/>
              <w:right w:val="single" w:sz="2" w:space="0" w:color="auto"/>
            </w:tcBorders>
          </w:tcPr>
          <w:p w14:paraId="599D960B" w14:textId="77777777" w:rsidR="009F4766" w:rsidRPr="00DE12A3" w:rsidRDefault="009F4766" w:rsidP="00C917D6">
            <w:pPr>
              <w:pStyle w:val="NormalLeft"/>
            </w:pPr>
            <w:r w:rsidRPr="00DE12A3">
              <w:t>58</w:t>
            </w:r>
          </w:p>
        </w:tc>
      </w:tr>
      <w:tr w:rsidR="00DE12A3" w:rsidRPr="00DE12A3" w14:paraId="76EFBCD6" w14:textId="77777777" w:rsidTr="009F4766">
        <w:tc>
          <w:tcPr>
            <w:tcW w:w="1182" w:type="dxa"/>
            <w:tcBorders>
              <w:top w:val="single" w:sz="2" w:space="0" w:color="auto"/>
              <w:left w:val="single" w:sz="2" w:space="0" w:color="auto"/>
              <w:bottom w:val="single" w:sz="2" w:space="0" w:color="auto"/>
              <w:right w:val="single" w:sz="2" w:space="0" w:color="auto"/>
            </w:tcBorders>
          </w:tcPr>
          <w:p w14:paraId="34E64ADD" w14:textId="77777777" w:rsidR="009F4766" w:rsidRPr="00DE12A3" w:rsidRDefault="009F4766" w:rsidP="00C917D6">
            <w:pPr>
              <w:pStyle w:val="NormalLeft"/>
            </w:pPr>
            <w:r w:rsidRPr="00DE12A3">
              <w:t>427</w:t>
            </w:r>
          </w:p>
        </w:tc>
        <w:tc>
          <w:tcPr>
            <w:tcW w:w="2489" w:type="dxa"/>
            <w:tcBorders>
              <w:top w:val="single" w:sz="2" w:space="0" w:color="auto"/>
              <w:left w:val="single" w:sz="2" w:space="0" w:color="auto"/>
              <w:bottom w:val="single" w:sz="2" w:space="0" w:color="auto"/>
              <w:right w:val="single" w:sz="2" w:space="0" w:color="auto"/>
            </w:tcBorders>
          </w:tcPr>
          <w:p w14:paraId="01D2CE97" w14:textId="77777777" w:rsidR="009F4766" w:rsidRPr="00DE12A3" w:rsidRDefault="009F4766" w:rsidP="00C917D6">
            <w:pPr>
              <w:pStyle w:val="NormalLeft"/>
            </w:pPr>
            <w:r w:rsidRPr="00DE12A3">
              <w:t>74</w:t>
            </w:r>
          </w:p>
        </w:tc>
        <w:tc>
          <w:tcPr>
            <w:tcW w:w="2551" w:type="dxa"/>
            <w:tcBorders>
              <w:top w:val="single" w:sz="2" w:space="0" w:color="auto"/>
              <w:left w:val="single" w:sz="2" w:space="0" w:color="auto"/>
              <w:bottom w:val="single" w:sz="2" w:space="0" w:color="auto"/>
              <w:right w:val="single" w:sz="2" w:space="0" w:color="auto"/>
            </w:tcBorders>
          </w:tcPr>
          <w:p w14:paraId="0F4C2337" w14:textId="77777777" w:rsidR="009F4766" w:rsidRPr="00DE12A3" w:rsidRDefault="009F4766" w:rsidP="00C917D6">
            <w:pPr>
              <w:pStyle w:val="NormalLeft"/>
            </w:pPr>
            <w:r w:rsidRPr="00DE12A3">
              <w:t>51</w:t>
            </w:r>
          </w:p>
        </w:tc>
      </w:tr>
      <w:tr w:rsidR="00DE12A3" w:rsidRPr="00DE12A3" w14:paraId="559355B9" w14:textId="77777777" w:rsidTr="009F4766">
        <w:tc>
          <w:tcPr>
            <w:tcW w:w="1182" w:type="dxa"/>
            <w:tcBorders>
              <w:top w:val="single" w:sz="2" w:space="0" w:color="auto"/>
              <w:left w:val="single" w:sz="2" w:space="0" w:color="auto"/>
              <w:bottom w:val="single" w:sz="2" w:space="0" w:color="auto"/>
              <w:right w:val="single" w:sz="2" w:space="0" w:color="auto"/>
            </w:tcBorders>
          </w:tcPr>
          <w:p w14:paraId="662C5600" w14:textId="77777777" w:rsidR="009F4766" w:rsidRPr="00DE12A3" w:rsidRDefault="009F4766" w:rsidP="00C917D6">
            <w:pPr>
              <w:pStyle w:val="NormalLeft"/>
            </w:pPr>
            <w:r w:rsidRPr="00DE12A3">
              <w:lastRenderedPageBreak/>
              <w:t>428</w:t>
            </w:r>
          </w:p>
        </w:tc>
        <w:tc>
          <w:tcPr>
            <w:tcW w:w="2489" w:type="dxa"/>
            <w:tcBorders>
              <w:top w:val="single" w:sz="2" w:space="0" w:color="auto"/>
              <w:left w:val="single" w:sz="2" w:space="0" w:color="auto"/>
              <w:bottom w:val="single" w:sz="2" w:space="0" w:color="auto"/>
              <w:right w:val="single" w:sz="2" w:space="0" w:color="auto"/>
            </w:tcBorders>
          </w:tcPr>
          <w:p w14:paraId="4DEC2C5E" w14:textId="77777777" w:rsidR="009F4766" w:rsidRPr="00DE12A3" w:rsidRDefault="009F4766" w:rsidP="00C917D6">
            <w:pPr>
              <w:pStyle w:val="NormalLeft"/>
            </w:pPr>
            <w:r w:rsidRPr="00DE12A3">
              <w:t>76</w:t>
            </w:r>
          </w:p>
        </w:tc>
        <w:tc>
          <w:tcPr>
            <w:tcW w:w="2551" w:type="dxa"/>
            <w:tcBorders>
              <w:top w:val="single" w:sz="2" w:space="0" w:color="auto"/>
              <w:left w:val="single" w:sz="2" w:space="0" w:color="auto"/>
              <w:bottom w:val="single" w:sz="2" w:space="0" w:color="auto"/>
              <w:right w:val="single" w:sz="2" w:space="0" w:color="auto"/>
            </w:tcBorders>
          </w:tcPr>
          <w:p w14:paraId="786F0157" w14:textId="77777777" w:rsidR="009F4766" w:rsidRPr="00DE12A3" w:rsidRDefault="009F4766" w:rsidP="00C917D6">
            <w:pPr>
              <w:pStyle w:val="NormalLeft"/>
            </w:pPr>
            <w:r w:rsidRPr="00DE12A3">
              <w:t>57</w:t>
            </w:r>
          </w:p>
        </w:tc>
      </w:tr>
      <w:tr w:rsidR="00DE12A3" w:rsidRPr="00DE12A3" w14:paraId="117506C5" w14:textId="77777777" w:rsidTr="009F4766">
        <w:tc>
          <w:tcPr>
            <w:tcW w:w="1182" w:type="dxa"/>
            <w:tcBorders>
              <w:top w:val="single" w:sz="2" w:space="0" w:color="auto"/>
              <w:left w:val="single" w:sz="2" w:space="0" w:color="auto"/>
              <w:bottom w:val="single" w:sz="2" w:space="0" w:color="auto"/>
              <w:right w:val="single" w:sz="2" w:space="0" w:color="auto"/>
            </w:tcBorders>
          </w:tcPr>
          <w:p w14:paraId="104C826F" w14:textId="77777777" w:rsidR="009F4766" w:rsidRPr="00DE12A3" w:rsidRDefault="009F4766" w:rsidP="00C917D6">
            <w:pPr>
              <w:pStyle w:val="NormalLeft"/>
            </w:pPr>
            <w:r w:rsidRPr="00DE12A3">
              <w:t>429</w:t>
            </w:r>
          </w:p>
        </w:tc>
        <w:tc>
          <w:tcPr>
            <w:tcW w:w="2489" w:type="dxa"/>
            <w:tcBorders>
              <w:top w:val="single" w:sz="2" w:space="0" w:color="auto"/>
              <w:left w:val="single" w:sz="2" w:space="0" w:color="auto"/>
              <w:bottom w:val="single" w:sz="2" w:space="0" w:color="auto"/>
              <w:right w:val="single" w:sz="2" w:space="0" w:color="auto"/>
            </w:tcBorders>
          </w:tcPr>
          <w:p w14:paraId="6234A933" w14:textId="77777777" w:rsidR="009F4766" w:rsidRPr="00DE12A3" w:rsidRDefault="009F4766" w:rsidP="00C917D6">
            <w:pPr>
              <w:pStyle w:val="NormalLeft"/>
            </w:pPr>
            <w:r w:rsidRPr="00DE12A3">
              <w:t>76</w:t>
            </w:r>
          </w:p>
        </w:tc>
        <w:tc>
          <w:tcPr>
            <w:tcW w:w="2551" w:type="dxa"/>
            <w:tcBorders>
              <w:top w:val="single" w:sz="2" w:space="0" w:color="auto"/>
              <w:left w:val="single" w:sz="2" w:space="0" w:color="auto"/>
              <w:bottom w:val="single" w:sz="2" w:space="0" w:color="auto"/>
              <w:right w:val="single" w:sz="2" w:space="0" w:color="auto"/>
            </w:tcBorders>
          </w:tcPr>
          <w:p w14:paraId="194BF14E" w14:textId="77777777" w:rsidR="009F4766" w:rsidRPr="00DE12A3" w:rsidRDefault="009F4766" w:rsidP="00C917D6">
            <w:pPr>
              <w:pStyle w:val="NormalLeft"/>
            </w:pPr>
            <w:r w:rsidRPr="00DE12A3">
              <w:t>72</w:t>
            </w:r>
          </w:p>
        </w:tc>
      </w:tr>
      <w:tr w:rsidR="00DE12A3" w:rsidRPr="00DE12A3" w14:paraId="05C717A1" w14:textId="77777777" w:rsidTr="009F4766">
        <w:tc>
          <w:tcPr>
            <w:tcW w:w="1182" w:type="dxa"/>
            <w:tcBorders>
              <w:top w:val="single" w:sz="2" w:space="0" w:color="auto"/>
              <w:left w:val="single" w:sz="2" w:space="0" w:color="auto"/>
              <w:bottom w:val="single" w:sz="2" w:space="0" w:color="auto"/>
              <w:right w:val="single" w:sz="2" w:space="0" w:color="auto"/>
            </w:tcBorders>
          </w:tcPr>
          <w:p w14:paraId="51916757" w14:textId="77777777" w:rsidR="009F4766" w:rsidRPr="00DE12A3" w:rsidRDefault="009F4766" w:rsidP="00C917D6">
            <w:pPr>
              <w:pStyle w:val="NormalLeft"/>
            </w:pPr>
            <w:r w:rsidRPr="00DE12A3">
              <w:t>430</w:t>
            </w:r>
          </w:p>
        </w:tc>
        <w:tc>
          <w:tcPr>
            <w:tcW w:w="2489" w:type="dxa"/>
            <w:tcBorders>
              <w:top w:val="single" w:sz="2" w:space="0" w:color="auto"/>
              <w:left w:val="single" w:sz="2" w:space="0" w:color="auto"/>
              <w:bottom w:val="single" w:sz="2" w:space="0" w:color="auto"/>
              <w:right w:val="single" w:sz="2" w:space="0" w:color="auto"/>
            </w:tcBorders>
          </w:tcPr>
          <w:p w14:paraId="52366226" w14:textId="77777777" w:rsidR="009F4766" w:rsidRPr="00DE12A3" w:rsidRDefault="009F4766" w:rsidP="00C917D6">
            <w:pPr>
              <w:pStyle w:val="NormalLeft"/>
            </w:pPr>
            <w:r w:rsidRPr="00DE12A3">
              <w:t>85</w:t>
            </w:r>
          </w:p>
        </w:tc>
        <w:tc>
          <w:tcPr>
            <w:tcW w:w="2551" w:type="dxa"/>
            <w:tcBorders>
              <w:top w:val="single" w:sz="2" w:space="0" w:color="auto"/>
              <w:left w:val="single" w:sz="2" w:space="0" w:color="auto"/>
              <w:bottom w:val="single" w:sz="2" w:space="0" w:color="auto"/>
              <w:right w:val="single" w:sz="2" w:space="0" w:color="auto"/>
            </w:tcBorders>
          </w:tcPr>
          <w:p w14:paraId="0B603B14" w14:textId="77777777" w:rsidR="009F4766" w:rsidRPr="00DE12A3" w:rsidRDefault="009F4766" w:rsidP="00C917D6">
            <w:pPr>
              <w:pStyle w:val="NormalLeft"/>
            </w:pPr>
            <w:r w:rsidRPr="00DE12A3">
              <w:t>72</w:t>
            </w:r>
          </w:p>
        </w:tc>
      </w:tr>
      <w:tr w:rsidR="00DE12A3" w:rsidRPr="00DE12A3" w14:paraId="5E68BA00" w14:textId="77777777" w:rsidTr="009F4766">
        <w:tc>
          <w:tcPr>
            <w:tcW w:w="1182" w:type="dxa"/>
            <w:tcBorders>
              <w:top w:val="single" w:sz="2" w:space="0" w:color="auto"/>
              <w:left w:val="single" w:sz="2" w:space="0" w:color="auto"/>
              <w:bottom w:val="single" w:sz="2" w:space="0" w:color="auto"/>
              <w:right w:val="single" w:sz="2" w:space="0" w:color="auto"/>
            </w:tcBorders>
          </w:tcPr>
          <w:p w14:paraId="41E23928" w14:textId="77777777" w:rsidR="009F4766" w:rsidRPr="00DE12A3" w:rsidRDefault="009F4766" w:rsidP="00C917D6">
            <w:pPr>
              <w:pStyle w:val="NormalLeft"/>
            </w:pPr>
            <w:r w:rsidRPr="00DE12A3">
              <w:t>431</w:t>
            </w:r>
          </w:p>
        </w:tc>
        <w:tc>
          <w:tcPr>
            <w:tcW w:w="2489" w:type="dxa"/>
            <w:tcBorders>
              <w:top w:val="single" w:sz="2" w:space="0" w:color="auto"/>
              <w:left w:val="single" w:sz="2" w:space="0" w:color="auto"/>
              <w:bottom w:val="single" w:sz="2" w:space="0" w:color="auto"/>
              <w:right w:val="single" w:sz="2" w:space="0" w:color="auto"/>
            </w:tcBorders>
          </w:tcPr>
          <w:p w14:paraId="1EB779D1" w14:textId="77777777" w:rsidR="009F4766" w:rsidRPr="00DE12A3" w:rsidRDefault="009F4766" w:rsidP="00C917D6">
            <w:pPr>
              <w:pStyle w:val="NormalLeft"/>
            </w:pPr>
            <w:r w:rsidRPr="00DE12A3">
              <w:t>84</w:t>
            </w:r>
          </w:p>
        </w:tc>
        <w:tc>
          <w:tcPr>
            <w:tcW w:w="2551" w:type="dxa"/>
            <w:tcBorders>
              <w:top w:val="single" w:sz="2" w:space="0" w:color="auto"/>
              <w:left w:val="single" w:sz="2" w:space="0" w:color="auto"/>
              <w:bottom w:val="single" w:sz="2" w:space="0" w:color="auto"/>
              <w:right w:val="single" w:sz="2" w:space="0" w:color="auto"/>
            </w:tcBorders>
          </w:tcPr>
          <w:p w14:paraId="7FC908EF" w14:textId="77777777" w:rsidR="009F4766" w:rsidRPr="00DE12A3" w:rsidRDefault="009F4766" w:rsidP="00C917D6">
            <w:pPr>
              <w:pStyle w:val="NormalLeft"/>
            </w:pPr>
            <w:r w:rsidRPr="00DE12A3">
              <w:t>60</w:t>
            </w:r>
          </w:p>
        </w:tc>
      </w:tr>
      <w:tr w:rsidR="00DE12A3" w:rsidRPr="00DE12A3" w14:paraId="78D5DDF3" w14:textId="77777777" w:rsidTr="009F4766">
        <w:tc>
          <w:tcPr>
            <w:tcW w:w="1182" w:type="dxa"/>
            <w:tcBorders>
              <w:top w:val="single" w:sz="2" w:space="0" w:color="auto"/>
              <w:left w:val="single" w:sz="2" w:space="0" w:color="auto"/>
              <w:bottom w:val="single" w:sz="2" w:space="0" w:color="auto"/>
              <w:right w:val="single" w:sz="2" w:space="0" w:color="auto"/>
            </w:tcBorders>
          </w:tcPr>
          <w:p w14:paraId="72B47188" w14:textId="77777777" w:rsidR="009F4766" w:rsidRPr="00DE12A3" w:rsidRDefault="009F4766" w:rsidP="00C917D6">
            <w:pPr>
              <w:pStyle w:val="NormalLeft"/>
            </w:pPr>
            <w:r w:rsidRPr="00DE12A3">
              <w:t>432</w:t>
            </w:r>
          </w:p>
        </w:tc>
        <w:tc>
          <w:tcPr>
            <w:tcW w:w="2489" w:type="dxa"/>
            <w:tcBorders>
              <w:top w:val="single" w:sz="2" w:space="0" w:color="auto"/>
              <w:left w:val="single" w:sz="2" w:space="0" w:color="auto"/>
              <w:bottom w:val="single" w:sz="2" w:space="0" w:color="auto"/>
              <w:right w:val="single" w:sz="2" w:space="0" w:color="auto"/>
            </w:tcBorders>
          </w:tcPr>
          <w:p w14:paraId="0F745EF4" w14:textId="77777777" w:rsidR="009F4766" w:rsidRPr="00DE12A3" w:rsidRDefault="009F4766" w:rsidP="00C917D6">
            <w:pPr>
              <w:pStyle w:val="NormalLeft"/>
            </w:pPr>
            <w:r w:rsidRPr="00DE12A3">
              <w:t>83</w:t>
            </w:r>
          </w:p>
        </w:tc>
        <w:tc>
          <w:tcPr>
            <w:tcW w:w="2551" w:type="dxa"/>
            <w:tcBorders>
              <w:top w:val="single" w:sz="2" w:space="0" w:color="auto"/>
              <w:left w:val="single" w:sz="2" w:space="0" w:color="auto"/>
              <w:bottom w:val="single" w:sz="2" w:space="0" w:color="auto"/>
              <w:right w:val="single" w:sz="2" w:space="0" w:color="auto"/>
            </w:tcBorders>
          </w:tcPr>
          <w:p w14:paraId="7E6B6385" w14:textId="77777777" w:rsidR="009F4766" w:rsidRPr="00DE12A3" w:rsidRDefault="009F4766" w:rsidP="00C917D6">
            <w:pPr>
              <w:pStyle w:val="NormalLeft"/>
            </w:pPr>
            <w:r w:rsidRPr="00DE12A3">
              <w:t>72</w:t>
            </w:r>
          </w:p>
        </w:tc>
      </w:tr>
      <w:tr w:rsidR="00DE12A3" w:rsidRPr="00DE12A3" w14:paraId="18D74576" w14:textId="77777777" w:rsidTr="009F4766">
        <w:tc>
          <w:tcPr>
            <w:tcW w:w="1182" w:type="dxa"/>
            <w:tcBorders>
              <w:top w:val="single" w:sz="2" w:space="0" w:color="auto"/>
              <w:left w:val="single" w:sz="2" w:space="0" w:color="auto"/>
              <w:bottom w:val="single" w:sz="2" w:space="0" w:color="auto"/>
              <w:right w:val="single" w:sz="2" w:space="0" w:color="auto"/>
            </w:tcBorders>
          </w:tcPr>
          <w:p w14:paraId="3FB09E33" w14:textId="77777777" w:rsidR="009F4766" w:rsidRPr="00DE12A3" w:rsidRDefault="009F4766" w:rsidP="00C917D6">
            <w:pPr>
              <w:pStyle w:val="NormalLeft"/>
            </w:pPr>
            <w:r w:rsidRPr="00DE12A3">
              <w:t>433</w:t>
            </w:r>
          </w:p>
        </w:tc>
        <w:tc>
          <w:tcPr>
            <w:tcW w:w="2489" w:type="dxa"/>
            <w:tcBorders>
              <w:top w:val="single" w:sz="2" w:space="0" w:color="auto"/>
              <w:left w:val="single" w:sz="2" w:space="0" w:color="auto"/>
              <w:bottom w:val="single" w:sz="2" w:space="0" w:color="auto"/>
              <w:right w:val="single" w:sz="2" w:space="0" w:color="auto"/>
            </w:tcBorders>
          </w:tcPr>
          <w:p w14:paraId="75B1EC28" w14:textId="77777777" w:rsidR="009F4766" w:rsidRPr="00DE12A3" w:rsidRDefault="009F4766" w:rsidP="00C917D6">
            <w:pPr>
              <w:pStyle w:val="NormalLeft"/>
            </w:pPr>
            <w:r w:rsidRPr="00DE12A3">
              <w:t>83</w:t>
            </w:r>
          </w:p>
        </w:tc>
        <w:tc>
          <w:tcPr>
            <w:tcW w:w="2551" w:type="dxa"/>
            <w:tcBorders>
              <w:top w:val="single" w:sz="2" w:space="0" w:color="auto"/>
              <w:left w:val="single" w:sz="2" w:space="0" w:color="auto"/>
              <w:bottom w:val="single" w:sz="2" w:space="0" w:color="auto"/>
              <w:right w:val="single" w:sz="2" w:space="0" w:color="auto"/>
            </w:tcBorders>
          </w:tcPr>
          <w:p w14:paraId="45BDAE5F" w14:textId="77777777" w:rsidR="009F4766" w:rsidRPr="00DE12A3" w:rsidRDefault="009F4766" w:rsidP="00C917D6">
            <w:pPr>
              <w:pStyle w:val="NormalLeft"/>
            </w:pPr>
            <w:r w:rsidRPr="00DE12A3">
              <w:t>72</w:t>
            </w:r>
          </w:p>
        </w:tc>
      </w:tr>
      <w:tr w:rsidR="00DE12A3" w:rsidRPr="00DE12A3" w14:paraId="4E44743A" w14:textId="77777777" w:rsidTr="009F4766">
        <w:tc>
          <w:tcPr>
            <w:tcW w:w="1182" w:type="dxa"/>
            <w:tcBorders>
              <w:top w:val="single" w:sz="2" w:space="0" w:color="auto"/>
              <w:left w:val="single" w:sz="2" w:space="0" w:color="auto"/>
              <w:bottom w:val="single" w:sz="2" w:space="0" w:color="auto"/>
              <w:right w:val="single" w:sz="2" w:space="0" w:color="auto"/>
            </w:tcBorders>
          </w:tcPr>
          <w:p w14:paraId="15907645" w14:textId="77777777" w:rsidR="009F4766" w:rsidRPr="00DE12A3" w:rsidRDefault="009F4766" w:rsidP="00C917D6">
            <w:pPr>
              <w:pStyle w:val="NormalLeft"/>
            </w:pPr>
            <w:r w:rsidRPr="00DE12A3">
              <w:t>434</w:t>
            </w:r>
          </w:p>
        </w:tc>
        <w:tc>
          <w:tcPr>
            <w:tcW w:w="2489" w:type="dxa"/>
            <w:tcBorders>
              <w:top w:val="single" w:sz="2" w:space="0" w:color="auto"/>
              <w:left w:val="single" w:sz="2" w:space="0" w:color="auto"/>
              <w:bottom w:val="single" w:sz="2" w:space="0" w:color="auto"/>
              <w:right w:val="single" w:sz="2" w:space="0" w:color="auto"/>
            </w:tcBorders>
          </w:tcPr>
          <w:p w14:paraId="6215E398" w14:textId="77777777" w:rsidR="009F4766" w:rsidRPr="00DE12A3" w:rsidRDefault="009F4766" w:rsidP="00C917D6">
            <w:pPr>
              <w:pStyle w:val="NormalLeft"/>
            </w:pPr>
            <w:r w:rsidRPr="00DE12A3">
              <w:t>86</w:t>
            </w:r>
          </w:p>
        </w:tc>
        <w:tc>
          <w:tcPr>
            <w:tcW w:w="2551" w:type="dxa"/>
            <w:tcBorders>
              <w:top w:val="single" w:sz="2" w:space="0" w:color="auto"/>
              <w:left w:val="single" w:sz="2" w:space="0" w:color="auto"/>
              <w:bottom w:val="single" w:sz="2" w:space="0" w:color="auto"/>
              <w:right w:val="single" w:sz="2" w:space="0" w:color="auto"/>
            </w:tcBorders>
          </w:tcPr>
          <w:p w14:paraId="7CC936B3" w14:textId="77777777" w:rsidR="009F4766" w:rsidRPr="00DE12A3" w:rsidRDefault="009F4766" w:rsidP="00C917D6">
            <w:pPr>
              <w:pStyle w:val="NormalLeft"/>
            </w:pPr>
            <w:r w:rsidRPr="00DE12A3">
              <w:t>72</w:t>
            </w:r>
          </w:p>
        </w:tc>
      </w:tr>
      <w:tr w:rsidR="00DE12A3" w:rsidRPr="00DE12A3" w14:paraId="691173D4" w14:textId="77777777" w:rsidTr="009F4766">
        <w:tc>
          <w:tcPr>
            <w:tcW w:w="1182" w:type="dxa"/>
            <w:tcBorders>
              <w:top w:val="single" w:sz="2" w:space="0" w:color="auto"/>
              <w:left w:val="single" w:sz="2" w:space="0" w:color="auto"/>
              <w:bottom w:val="single" w:sz="2" w:space="0" w:color="auto"/>
              <w:right w:val="single" w:sz="2" w:space="0" w:color="auto"/>
            </w:tcBorders>
          </w:tcPr>
          <w:p w14:paraId="332BB102" w14:textId="77777777" w:rsidR="009F4766" w:rsidRPr="00DE12A3" w:rsidRDefault="009F4766" w:rsidP="00C917D6">
            <w:pPr>
              <w:pStyle w:val="NormalLeft"/>
            </w:pPr>
            <w:r w:rsidRPr="00DE12A3">
              <w:t>435</w:t>
            </w:r>
          </w:p>
        </w:tc>
        <w:tc>
          <w:tcPr>
            <w:tcW w:w="2489" w:type="dxa"/>
            <w:tcBorders>
              <w:top w:val="single" w:sz="2" w:space="0" w:color="auto"/>
              <w:left w:val="single" w:sz="2" w:space="0" w:color="auto"/>
              <w:bottom w:val="single" w:sz="2" w:space="0" w:color="auto"/>
              <w:right w:val="single" w:sz="2" w:space="0" w:color="auto"/>
            </w:tcBorders>
          </w:tcPr>
          <w:p w14:paraId="2E326EB2" w14:textId="77777777" w:rsidR="009F4766" w:rsidRPr="00DE12A3" w:rsidRDefault="009F4766" w:rsidP="00C917D6">
            <w:pPr>
              <w:pStyle w:val="NormalLeft"/>
            </w:pPr>
            <w:r w:rsidRPr="00DE12A3">
              <w:t>89</w:t>
            </w:r>
          </w:p>
        </w:tc>
        <w:tc>
          <w:tcPr>
            <w:tcW w:w="2551" w:type="dxa"/>
            <w:tcBorders>
              <w:top w:val="single" w:sz="2" w:space="0" w:color="auto"/>
              <w:left w:val="single" w:sz="2" w:space="0" w:color="auto"/>
              <w:bottom w:val="single" w:sz="2" w:space="0" w:color="auto"/>
              <w:right w:val="single" w:sz="2" w:space="0" w:color="auto"/>
            </w:tcBorders>
          </w:tcPr>
          <w:p w14:paraId="5FCD7BC1" w14:textId="77777777" w:rsidR="009F4766" w:rsidRPr="00DE12A3" w:rsidRDefault="009F4766" w:rsidP="00C917D6">
            <w:pPr>
              <w:pStyle w:val="NormalLeft"/>
            </w:pPr>
            <w:r w:rsidRPr="00DE12A3">
              <w:t>72</w:t>
            </w:r>
          </w:p>
        </w:tc>
      </w:tr>
      <w:tr w:rsidR="00DE12A3" w:rsidRPr="00DE12A3" w14:paraId="02B6575F" w14:textId="77777777" w:rsidTr="009F4766">
        <w:tc>
          <w:tcPr>
            <w:tcW w:w="1182" w:type="dxa"/>
            <w:tcBorders>
              <w:top w:val="single" w:sz="2" w:space="0" w:color="auto"/>
              <w:left w:val="single" w:sz="2" w:space="0" w:color="auto"/>
              <w:bottom w:val="single" w:sz="2" w:space="0" w:color="auto"/>
              <w:right w:val="single" w:sz="2" w:space="0" w:color="auto"/>
            </w:tcBorders>
          </w:tcPr>
          <w:p w14:paraId="5D956840" w14:textId="77777777" w:rsidR="009F4766" w:rsidRPr="00DE12A3" w:rsidRDefault="009F4766" w:rsidP="00C917D6">
            <w:pPr>
              <w:pStyle w:val="NormalLeft"/>
            </w:pPr>
            <w:r w:rsidRPr="00DE12A3">
              <w:t>436</w:t>
            </w:r>
          </w:p>
        </w:tc>
        <w:tc>
          <w:tcPr>
            <w:tcW w:w="2489" w:type="dxa"/>
            <w:tcBorders>
              <w:top w:val="single" w:sz="2" w:space="0" w:color="auto"/>
              <w:left w:val="single" w:sz="2" w:space="0" w:color="auto"/>
              <w:bottom w:val="single" w:sz="2" w:space="0" w:color="auto"/>
              <w:right w:val="single" w:sz="2" w:space="0" w:color="auto"/>
            </w:tcBorders>
          </w:tcPr>
          <w:p w14:paraId="47CD5018" w14:textId="77777777" w:rsidR="009F4766" w:rsidRPr="00DE12A3" w:rsidRDefault="009F4766" w:rsidP="00C917D6">
            <w:pPr>
              <w:pStyle w:val="NormalLeft"/>
            </w:pPr>
            <w:r w:rsidRPr="00DE12A3">
              <w:t>86</w:t>
            </w:r>
          </w:p>
        </w:tc>
        <w:tc>
          <w:tcPr>
            <w:tcW w:w="2551" w:type="dxa"/>
            <w:tcBorders>
              <w:top w:val="single" w:sz="2" w:space="0" w:color="auto"/>
              <w:left w:val="single" w:sz="2" w:space="0" w:color="auto"/>
              <w:bottom w:val="single" w:sz="2" w:space="0" w:color="auto"/>
              <w:right w:val="single" w:sz="2" w:space="0" w:color="auto"/>
            </w:tcBorders>
          </w:tcPr>
          <w:p w14:paraId="2A867153" w14:textId="77777777" w:rsidR="009F4766" w:rsidRPr="00DE12A3" w:rsidRDefault="009F4766" w:rsidP="00C917D6">
            <w:pPr>
              <w:pStyle w:val="NormalLeft"/>
            </w:pPr>
            <w:r w:rsidRPr="00DE12A3">
              <w:t>72</w:t>
            </w:r>
          </w:p>
        </w:tc>
      </w:tr>
      <w:tr w:rsidR="00DE12A3" w:rsidRPr="00DE12A3" w14:paraId="07883336" w14:textId="77777777" w:rsidTr="009F4766">
        <w:tc>
          <w:tcPr>
            <w:tcW w:w="1182" w:type="dxa"/>
            <w:tcBorders>
              <w:top w:val="single" w:sz="2" w:space="0" w:color="auto"/>
              <w:left w:val="single" w:sz="2" w:space="0" w:color="auto"/>
              <w:bottom w:val="single" w:sz="2" w:space="0" w:color="auto"/>
              <w:right w:val="single" w:sz="2" w:space="0" w:color="auto"/>
            </w:tcBorders>
          </w:tcPr>
          <w:p w14:paraId="28427F4D" w14:textId="77777777" w:rsidR="009F4766" w:rsidRPr="00DE12A3" w:rsidRDefault="009F4766" w:rsidP="00C917D6">
            <w:pPr>
              <w:pStyle w:val="NormalLeft"/>
            </w:pPr>
            <w:r w:rsidRPr="00DE12A3">
              <w:t>437</w:t>
            </w:r>
          </w:p>
        </w:tc>
        <w:tc>
          <w:tcPr>
            <w:tcW w:w="2489" w:type="dxa"/>
            <w:tcBorders>
              <w:top w:val="single" w:sz="2" w:space="0" w:color="auto"/>
              <w:left w:val="single" w:sz="2" w:space="0" w:color="auto"/>
              <w:bottom w:val="single" w:sz="2" w:space="0" w:color="auto"/>
              <w:right w:val="single" w:sz="2" w:space="0" w:color="auto"/>
            </w:tcBorders>
          </w:tcPr>
          <w:p w14:paraId="1A1A71C3" w14:textId="77777777" w:rsidR="009F4766" w:rsidRPr="00DE12A3" w:rsidRDefault="009F4766" w:rsidP="00C917D6">
            <w:pPr>
              <w:pStyle w:val="NormalLeft"/>
            </w:pPr>
            <w:r w:rsidRPr="00DE12A3">
              <w:t>87</w:t>
            </w:r>
          </w:p>
        </w:tc>
        <w:tc>
          <w:tcPr>
            <w:tcW w:w="2551" w:type="dxa"/>
            <w:tcBorders>
              <w:top w:val="single" w:sz="2" w:space="0" w:color="auto"/>
              <w:left w:val="single" w:sz="2" w:space="0" w:color="auto"/>
              <w:bottom w:val="single" w:sz="2" w:space="0" w:color="auto"/>
              <w:right w:val="single" w:sz="2" w:space="0" w:color="auto"/>
            </w:tcBorders>
          </w:tcPr>
          <w:p w14:paraId="038B0695" w14:textId="77777777" w:rsidR="009F4766" w:rsidRPr="00DE12A3" w:rsidRDefault="009F4766" w:rsidP="00C917D6">
            <w:pPr>
              <w:pStyle w:val="NormalLeft"/>
            </w:pPr>
            <w:r w:rsidRPr="00DE12A3">
              <w:t>72</w:t>
            </w:r>
          </w:p>
        </w:tc>
      </w:tr>
      <w:tr w:rsidR="00DE12A3" w:rsidRPr="00DE12A3" w14:paraId="48DE836F" w14:textId="77777777" w:rsidTr="009F4766">
        <w:tc>
          <w:tcPr>
            <w:tcW w:w="1182" w:type="dxa"/>
            <w:tcBorders>
              <w:top w:val="single" w:sz="2" w:space="0" w:color="auto"/>
              <w:left w:val="single" w:sz="2" w:space="0" w:color="auto"/>
              <w:bottom w:val="single" w:sz="2" w:space="0" w:color="auto"/>
              <w:right w:val="single" w:sz="2" w:space="0" w:color="auto"/>
            </w:tcBorders>
          </w:tcPr>
          <w:p w14:paraId="0F21511F" w14:textId="77777777" w:rsidR="009F4766" w:rsidRPr="00DE12A3" w:rsidRDefault="009F4766" w:rsidP="00C917D6">
            <w:pPr>
              <w:pStyle w:val="NormalLeft"/>
            </w:pPr>
            <w:r w:rsidRPr="00DE12A3">
              <w:t>438</w:t>
            </w:r>
          </w:p>
        </w:tc>
        <w:tc>
          <w:tcPr>
            <w:tcW w:w="2489" w:type="dxa"/>
            <w:tcBorders>
              <w:top w:val="single" w:sz="2" w:space="0" w:color="auto"/>
              <w:left w:val="single" w:sz="2" w:space="0" w:color="auto"/>
              <w:bottom w:val="single" w:sz="2" w:space="0" w:color="auto"/>
              <w:right w:val="single" w:sz="2" w:space="0" w:color="auto"/>
            </w:tcBorders>
          </w:tcPr>
          <w:p w14:paraId="0C31D613" w14:textId="77777777" w:rsidR="009F4766" w:rsidRPr="00DE12A3" w:rsidRDefault="009F4766" w:rsidP="00C917D6">
            <w:pPr>
              <w:pStyle w:val="NormalLeft"/>
            </w:pPr>
            <w:r w:rsidRPr="00DE12A3">
              <w:t>88</w:t>
            </w:r>
          </w:p>
        </w:tc>
        <w:tc>
          <w:tcPr>
            <w:tcW w:w="2551" w:type="dxa"/>
            <w:tcBorders>
              <w:top w:val="single" w:sz="2" w:space="0" w:color="auto"/>
              <w:left w:val="single" w:sz="2" w:space="0" w:color="auto"/>
              <w:bottom w:val="single" w:sz="2" w:space="0" w:color="auto"/>
              <w:right w:val="single" w:sz="2" w:space="0" w:color="auto"/>
            </w:tcBorders>
          </w:tcPr>
          <w:p w14:paraId="6EEE5923" w14:textId="77777777" w:rsidR="009F4766" w:rsidRPr="00DE12A3" w:rsidRDefault="009F4766" w:rsidP="00C917D6">
            <w:pPr>
              <w:pStyle w:val="NormalLeft"/>
            </w:pPr>
            <w:r w:rsidRPr="00DE12A3">
              <w:t>72</w:t>
            </w:r>
          </w:p>
        </w:tc>
      </w:tr>
      <w:tr w:rsidR="00DE12A3" w:rsidRPr="00DE12A3" w14:paraId="7781D993" w14:textId="77777777" w:rsidTr="009F4766">
        <w:tc>
          <w:tcPr>
            <w:tcW w:w="1182" w:type="dxa"/>
            <w:tcBorders>
              <w:top w:val="single" w:sz="2" w:space="0" w:color="auto"/>
              <w:left w:val="single" w:sz="2" w:space="0" w:color="auto"/>
              <w:bottom w:val="single" w:sz="2" w:space="0" w:color="auto"/>
              <w:right w:val="single" w:sz="2" w:space="0" w:color="auto"/>
            </w:tcBorders>
          </w:tcPr>
          <w:p w14:paraId="1B650C92" w14:textId="77777777" w:rsidR="009F4766" w:rsidRPr="00DE12A3" w:rsidRDefault="009F4766" w:rsidP="00C917D6">
            <w:pPr>
              <w:pStyle w:val="NormalLeft"/>
            </w:pPr>
            <w:r w:rsidRPr="00DE12A3">
              <w:t>439</w:t>
            </w:r>
          </w:p>
        </w:tc>
        <w:tc>
          <w:tcPr>
            <w:tcW w:w="2489" w:type="dxa"/>
            <w:tcBorders>
              <w:top w:val="single" w:sz="2" w:space="0" w:color="auto"/>
              <w:left w:val="single" w:sz="2" w:space="0" w:color="auto"/>
              <w:bottom w:val="single" w:sz="2" w:space="0" w:color="auto"/>
              <w:right w:val="single" w:sz="2" w:space="0" w:color="auto"/>
            </w:tcBorders>
          </w:tcPr>
          <w:p w14:paraId="0EA00F50" w14:textId="77777777" w:rsidR="009F4766" w:rsidRPr="00DE12A3" w:rsidRDefault="009F4766" w:rsidP="00C917D6">
            <w:pPr>
              <w:pStyle w:val="NormalLeft"/>
            </w:pPr>
            <w:r w:rsidRPr="00DE12A3">
              <w:t>88</w:t>
            </w:r>
          </w:p>
        </w:tc>
        <w:tc>
          <w:tcPr>
            <w:tcW w:w="2551" w:type="dxa"/>
            <w:tcBorders>
              <w:top w:val="single" w:sz="2" w:space="0" w:color="auto"/>
              <w:left w:val="single" w:sz="2" w:space="0" w:color="auto"/>
              <w:bottom w:val="single" w:sz="2" w:space="0" w:color="auto"/>
              <w:right w:val="single" w:sz="2" w:space="0" w:color="auto"/>
            </w:tcBorders>
          </w:tcPr>
          <w:p w14:paraId="2D783479" w14:textId="77777777" w:rsidR="009F4766" w:rsidRPr="00DE12A3" w:rsidRDefault="009F4766" w:rsidP="00C917D6">
            <w:pPr>
              <w:pStyle w:val="NormalLeft"/>
            </w:pPr>
            <w:r w:rsidRPr="00DE12A3">
              <w:t>71</w:t>
            </w:r>
          </w:p>
        </w:tc>
      </w:tr>
      <w:tr w:rsidR="00DE12A3" w:rsidRPr="00DE12A3" w14:paraId="3A07AE82" w14:textId="77777777" w:rsidTr="009F4766">
        <w:tc>
          <w:tcPr>
            <w:tcW w:w="1182" w:type="dxa"/>
            <w:tcBorders>
              <w:top w:val="single" w:sz="2" w:space="0" w:color="auto"/>
              <w:left w:val="single" w:sz="2" w:space="0" w:color="auto"/>
              <w:bottom w:val="single" w:sz="2" w:space="0" w:color="auto"/>
              <w:right w:val="single" w:sz="2" w:space="0" w:color="auto"/>
            </w:tcBorders>
          </w:tcPr>
          <w:p w14:paraId="4B84D184" w14:textId="77777777" w:rsidR="009F4766" w:rsidRPr="00DE12A3" w:rsidRDefault="009F4766" w:rsidP="00C917D6">
            <w:pPr>
              <w:pStyle w:val="NormalLeft"/>
            </w:pPr>
            <w:r w:rsidRPr="00DE12A3">
              <w:t>440</w:t>
            </w:r>
          </w:p>
        </w:tc>
        <w:tc>
          <w:tcPr>
            <w:tcW w:w="2489" w:type="dxa"/>
            <w:tcBorders>
              <w:top w:val="single" w:sz="2" w:space="0" w:color="auto"/>
              <w:left w:val="single" w:sz="2" w:space="0" w:color="auto"/>
              <w:bottom w:val="single" w:sz="2" w:space="0" w:color="auto"/>
              <w:right w:val="single" w:sz="2" w:space="0" w:color="auto"/>
            </w:tcBorders>
          </w:tcPr>
          <w:p w14:paraId="41668B32" w14:textId="77777777" w:rsidR="009F4766" w:rsidRPr="00DE12A3" w:rsidRDefault="009F4766" w:rsidP="00C917D6">
            <w:pPr>
              <w:pStyle w:val="NormalLeft"/>
            </w:pPr>
            <w:r w:rsidRPr="00DE12A3">
              <w:t>87</w:t>
            </w:r>
          </w:p>
        </w:tc>
        <w:tc>
          <w:tcPr>
            <w:tcW w:w="2551" w:type="dxa"/>
            <w:tcBorders>
              <w:top w:val="single" w:sz="2" w:space="0" w:color="auto"/>
              <w:left w:val="single" w:sz="2" w:space="0" w:color="auto"/>
              <w:bottom w:val="single" w:sz="2" w:space="0" w:color="auto"/>
              <w:right w:val="single" w:sz="2" w:space="0" w:color="auto"/>
            </w:tcBorders>
          </w:tcPr>
          <w:p w14:paraId="15F6D9A1" w14:textId="77777777" w:rsidR="009F4766" w:rsidRPr="00DE12A3" w:rsidRDefault="009F4766" w:rsidP="00C917D6">
            <w:pPr>
              <w:pStyle w:val="NormalLeft"/>
            </w:pPr>
            <w:r w:rsidRPr="00DE12A3">
              <w:t>72</w:t>
            </w:r>
          </w:p>
        </w:tc>
      </w:tr>
      <w:tr w:rsidR="00DE12A3" w:rsidRPr="00DE12A3" w14:paraId="426EE2A8" w14:textId="77777777" w:rsidTr="009F4766">
        <w:tc>
          <w:tcPr>
            <w:tcW w:w="1182" w:type="dxa"/>
            <w:tcBorders>
              <w:top w:val="single" w:sz="2" w:space="0" w:color="auto"/>
              <w:left w:val="single" w:sz="2" w:space="0" w:color="auto"/>
              <w:bottom w:val="single" w:sz="2" w:space="0" w:color="auto"/>
              <w:right w:val="single" w:sz="2" w:space="0" w:color="auto"/>
            </w:tcBorders>
          </w:tcPr>
          <w:p w14:paraId="53BE93D5" w14:textId="77777777" w:rsidR="009F4766" w:rsidRPr="00DE12A3" w:rsidRDefault="009F4766" w:rsidP="00C917D6">
            <w:pPr>
              <w:pStyle w:val="NormalLeft"/>
            </w:pPr>
            <w:r w:rsidRPr="00DE12A3">
              <w:t>441</w:t>
            </w:r>
          </w:p>
        </w:tc>
        <w:tc>
          <w:tcPr>
            <w:tcW w:w="2489" w:type="dxa"/>
            <w:tcBorders>
              <w:top w:val="single" w:sz="2" w:space="0" w:color="auto"/>
              <w:left w:val="single" w:sz="2" w:space="0" w:color="auto"/>
              <w:bottom w:val="single" w:sz="2" w:space="0" w:color="auto"/>
              <w:right w:val="single" w:sz="2" w:space="0" w:color="auto"/>
            </w:tcBorders>
          </w:tcPr>
          <w:p w14:paraId="513A2DB7" w14:textId="77777777" w:rsidR="009F4766" w:rsidRPr="00DE12A3" w:rsidRDefault="009F4766" w:rsidP="00C917D6">
            <w:pPr>
              <w:pStyle w:val="NormalLeft"/>
            </w:pPr>
            <w:r w:rsidRPr="00DE12A3">
              <w:t>85</w:t>
            </w:r>
          </w:p>
        </w:tc>
        <w:tc>
          <w:tcPr>
            <w:tcW w:w="2551" w:type="dxa"/>
            <w:tcBorders>
              <w:top w:val="single" w:sz="2" w:space="0" w:color="auto"/>
              <w:left w:val="single" w:sz="2" w:space="0" w:color="auto"/>
              <w:bottom w:val="single" w:sz="2" w:space="0" w:color="auto"/>
              <w:right w:val="single" w:sz="2" w:space="0" w:color="auto"/>
            </w:tcBorders>
          </w:tcPr>
          <w:p w14:paraId="3FF8AF6E" w14:textId="77777777" w:rsidR="009F4766" w:rsidRPr="00DE12A3" w:rsidRDefault="009F4766" w:rsidP="00C917D6">
            <w:pPr>
              <w:pStyle w:val="NormalLeft"/>
            </w:pPr>
            <w:r w:rsidRPr="00DE12A3">
              <w:t>71</w:t>
            </w:r>
          </w:p>
        </w:tc>
      </w:tr>
      <w:tr w:rsidR="00DE12A3" w:rsidRPr="00DE12A3" w14:paraId="1525DCCE" w14:textId="77777777" w:rsidTr="009F4766">
        <w:tc>
          <w:tcPr>
            <w:tcW w:w="1182" w:type="dxa"/>
            <w:tcBorders>
              <w:top w:val="single" w:sz="2" w:space="0" w:color="auto"/>
              <w:left w:val="single" w:sz="2" w:space="0" w:color="auto"/>
              <w:bottom w:val="single" w:sz="2" w:space="0" w:color="auto"/>
              <w:right w:val="single" w:sz="2" w:space="0" w:color="auto"/>
            </w:tcBorders>
          </w:tcPr>
          <w:p w14:paraId="32FA1CC0" w14:textId="77777777" w:rsidR="009F4766" w:rsidRPr="00DE12A3" w:rsidRDefault="009F4766" w:rsidP="00C917D6">
            <w:pPr>
              <w:pStyle w:val="NormalLeft"/>
            </w:pPr>
            <w:r w:rsidRPr="00DE12A3">
              <w:t>442</w:t>
            </w:r>
          </w:p>
        </w:tc>
        <w:tc>
          <w:tcPr>
            <w:tcW w:w="2489" w:type="dxa"/>
            <w:tcBorders>
              <w:top w:val="single" w:sz="2" w:space="0" w:color="auto"/>
              <w:left w:val="single" w:sz="2" w:space="0" w:color="auto"/>
              <w:bottom w:val="single" w:sz="2" w:space="0" w:color="auto"/>
              <w:right w:val="single" w:sz="2" w:space="0" w:color="auto"/>
            </w:tcBorders>
          </w:tcPr>
          <w:p w14:paraId="402DC3CC" w14:textId="77777777" w:rsidR="009F4766" w:rsidRPr="00DE12A3" w:rsidRDefault="009F4766" w:rsidP="00C917D6">
            <w:pPr>
              <w:pStyle w:val="NormalLeft"/>
            </w:pPr>
            <w:r w:rsidRPr="00DE12A3">
              <w:t>88</w:t>
            </w:r>
          </w:p>
        </w:tc>
        <w:tc>
          <w:tcPr>
            <w:tcW w:w="2551" w:type="dxa"/>
            <w:tcBorders>
              <w:top w:val="single" w:sz="2" w:space="0" w:color="auto"/>
              <w:left w:val="single" w:sz="2" w:space="0" w:color="auto"/>
              <w:bottom w:val="single" w:sz="2" w:space="0" w:color="auto"/>
              <w:right w:val="single" w:sz="2" w:space="0" w:color="auto"/>
            </w:tcBorders>
          </w:tcPr>
          <w:p w14:paraId="36BD3EFA" w14:textId="77777777" w:rsidR="009F4766" w:rsidRPr="00DE12A3" w:rsidRDefault="009F4766" w:rsidP="00C917D6">
            <w:pPr>
              <w:pStyle w:val="NormalLeft"/>
            </w:pPr>
            <w:r w:rsidRPr="00DE12A3">
              <w:t>72</w:t>
            </w:r>
          </w:p>
        </w:tc>
      </w:tr>
      <w:tr w:rsidR="00DE12A3" w:rsidRPr="00DE12A3" w14:paraId="3EBB89EE" w14:textId="77777777" w:rsidTr="009F4766">
        <w:tc>
          <w:tcPr>
            <w:tcW w:w="1182" w:type="dxa"/>
            <w:tcBorders>
              <w:top w:val="single" w:sz="2" w:space="0" w:color="auto"/>
              <w:left w:val="single" w:sz="2" w:space="0" w:color="auto"/>
              <w:bottom w:val="single" w:sz="2" w:space="0" w:color="auto"/>
              <w:right w:val="single" w:sz="2" w:space="0" w:color="auto"/>
            </w:tcBorders>
          </w:tcPr>
          <w:p w14:paraId="68949876" w14:textId="77777777" w:rsidR="009F4766" w:rsidRPr="00DE12A3" w:rsidRDefault="009F4766" w:rsidP="00C917D6">
            <w:pPr>
              <w:pStyle w:val="NormalLeft"/>
            </w:pPr>
            <w:r w:rsidRPr="00DE12A3">
              <w:t>443</w:t>
            </w:r>
          </w:p>
        </w:tc>
        <w:tc>
          <w:tcPr>
            <w:tcW w:w="2489" w:type="dxa"/>
            <w:tcBorders>
              <w:top w:val="single" w:sz="2" w:space="0" w:color="auto"/>
              <w:left w:val="single" w:sz="2" w:space="0" w:color="auto"/>
              <w:bottom w:val="single" w:sz="2" w:space="0" w:color="auto"/>
              <w:right w:val="single" w:sz="2" w:space="0" w:color="auto"/>
            </w:tcBorders>
          </w:tcPr>
          <w:p w14:paraId="27A9C79A" w14:textId="77777777" w:rsidR="009F4766" w:rsidRPr="00DE12A3" w:rsidRDefault="009F4766" w:rsidP="00C917D6">
            <w:pPr>
              <w:pStyle w:val="NormalLeft"/>
            </w:pPr>
            <w:r w:rsidRPr="00DE12A3">
              <w:t>88</w:t>
            </w:r>
          </w:p>
        </w:tc>
        <w:tc>
          <w:tcPr>
            <w:tcW w:w="2551" w:type="dxa"/>
            <w:tcBorders>
              <w:top w:val="single" w:sz="2" w:space="0" w:color="auto"/>
              <w:left w:val="single" w:sz="2" w:space="0" w:color="auto"/>
              <w:bottom w:val="single" w:sz="2" w:space="0" w:color="auto"/>
              <w:right w:val="single" w:sz="2" w:space="0" w:color="auto"/>
            </w:tcBorders>
          </w:tcPr>
          <w:p w14:paraId="375B2587" w14:textId="77777777" w:rsidR="009F4766" w:rsidRPr="00DE12A3" w:rsidRDefault="009F4766" w:rsidP="00C917D6">
            <w:pPr>
              <w:pStyle w:val="NormalLeft"/>
            </w:pPr>
            <w:r w:rsidRPr="00DE12A3">
              <w:t>72</w:t>
            </w:r>
          </w:p>
        </w:tc>
      </w:tr>
      <w:tr w:rsidR="00DE12A3" w:rsidRPr="00DE12A3" w14:paraId="0D77F823" w14:textId="77777777" w:rsidTr="009F4766">
        <w:tc>
          <w:tcPr>
            <w:tcW w:w="1182" w:type="dxa"/>
            <w:tcBorders>
              <w:top w:val="single" w:sz="2" w:space="0" w:color="auto"/>
              <w:left w:val="single" w:sz="2" w:space="0" w:color="auto"/>
              <w:bottom w:val="single" w:sz="2" w:space="0" w:color="auto"/>
              <w:right w:val="single" w:sz="2" w:space="0" w:color="auto"/>
            </w:tcBorders>
          </w:tcPr>
          <w:p w14:paraId="3BA739CA" w14:textId="77777777" w:rsidR="009F4766" w:rsidRPr="00DE12A3" w:rsidRDefault="009F4766" w:rsidP="00C917D6">
            <w:pPr>
              <w:pStyle w:val="NormalLeft"/>
            </w:pPr>
            <w:r w:rsidRPr="00DE12A3">
              <w:t>444</w:t>
            </w:r>
          </w:p>
        </w:tc>
        <w:tc>
          <w:tcPr>
            <w:tcW w:w="2489" w:type="dxa"/>
            <w:tcBorders>
              <w:top w:val="single" w:sz="2" w:space="0" w:color="auto"/>
              <w:left w:val="single" w:sz="2" w:space="0" w:color="auto"/>
              <w:bottom w:val="single" w:sz="2" w:space="0" w:color="auto"/>
              <w:right w:val="single" w:sz="2" w:space="0" w:color="auto"/>
            </w:tcBorders>
          </w:tcPr>
          <w:p w14:paraId="1960DB6B" w14:textId="77777777" w:rsidR="009F4766" w:rsidRPr="00DE12A3" w:rsidRDefault="009F4766" w:rsidP="00C917D6">
            <w:pPr>
              <w:pStyle w:val="NormalLeft"/>
            </w:pPr>
            <w:r w:rsidRPr="00DE12A3">
              <w:t>84</w:t>
            </w:r>
          </w:p>
        </w:tc>
        <w:tc>
          <w:tcPr>
            <w:tcW w:w="2551" w:type="dxa"/>
            <w:tcBorders>
              <w:top w:val="single" w:sz="2" w:space="0" w:color="auto"/>
              <w:left w:val="single" w:sz="2" w:space="0" w:color="auto"/>
              <w:bottom w:val="single" w:sz="2" w:space="0" w:color="auto"/>
              <w:right w:val="single" w:sz="2" w:space="0" w:color="auto"/>
            </w:tcBorders>
          </w:tcPr>
          <w:p w14:paraId="33CE53F7" w14:textId="77777777" w:rsidR="009F4766" w:rsidRPr="00DE12A3" w:rsidRDefault="009F4766" w:rsidP="00C917D6">
            <w:pPr>
              <w:pStyle w:val="NormalLeft"/>
            </w:pPr>
            <w:r w:rsidRPr="00DE12A3">
              <w:t>72</w:t>
            </w:r>
          </w:p>
        </w:tc>
      </w:tr>
      <w:tr w:rsidR="00DE12A3" w:rsidRPr="00DE12A3" w14:paraId="281B20A4" w14:textId="77777777" w:rsidTr="009F4766">
        <w:tc>
          <w:tcPr>
            <w:tcW w:w="1182" w:type="dxa"/>
            <w:tcBorders>
              <w:top w:val="single" w:sz="2" w:space="0" w:color="auto"/>
              <w:left w:val="single" w:sz="2" w:space="0" w:color="auto"/>
              <w:bottom w:val="single" w:sz="2" w:space="0" w:color="auto"/>
              <w:right w:val="single" w:sz="2" w:space="0" w:color="auto"/>
            </w:tcBorders>
          </w:tcPr>
          <w:p w14:paraId="4E76FC2E" w14:textId="77777777" w:rsidR="009F4766" w:rsidRPr="00DE12A3" w:rsidRDefault="009F4766" w:rsidP="00C917D6">
            <w:pPr>
              <w:pStyle w:val="NormalLeft"/>
            </w:pPr>
            <w:r w:rsidRPr="00DE12A3">
              <w:t>445</w:t>
            </w:r>
          </w:p>
        </w:tc>
        <w:tc>
          <w:tcPr>
            <w:tcW w:w="2489" w:type="dxa"/>
            <w:tcBorders>
              <w:top w:val="single" w:sz="2" w:space="0" w:color="auto"/>
              <w:left w:val="single" w:sz="2" w:space="0" w:color="auto"/>
              <w:bottom w:val="single" w:sz="2" w:space="0" w:color="auto"/>
              <w:right w:val="single" w:sz="2" w:space="0" w:color="auto"/>
            </w:tcBorders>
          </w:tcPr>
          <w:p w14:paraId="45B543A8" w14:textId="77777777" w:rsidR="009F4766" w:rsidRPr="00DE12A3" w:rsidRDefault="009F4766" w:rsidP="00C917D6">
            <w:pPr>
              <w:pStyle w:val="NormalLeft"/>
            </w:pPr>
            <w:r w:rsidRPr="00DE12A3">
              <w:t>83</w:t>
            </w:r>
          </w:p>
        </w:tc>
        <w:tc>
          <w:tcPr>
            <w:tcW w:w="2551" w:type="dxa"/>
            <w:tcBorders>
              <w:top w:val="single" w:sz="2" w:space="0" w:color="auto"/>
              <w:left w:val="single" w:sz="2" w:space="0" w:color="auto"/>
              <w:bottom w:val="single" w:sz="2" w:space="0" w:color="auto"/>
              <w:right w:val="single" w:sz="2" w:space="0" w:color="auto"/>
            </w:tcBorders>
          </w:tcPr>
          <w:p w14:paraId="55F160CB" w14:textId="77777777" w:rsidR="009F4766" w:rsidRPr="00DE12A3" w:rsidRDefault="009F4766" w:rsidP="00C917D6">
            <w:pPr>
              <w:pStyle w:val="NormalLeft"/>
            </w:pPr>
            <w:r w:rsidRPr="00DE12A3">
              <w:t>73</w:t>
            </w:r>
          </w:p>
        </w:tc>
      </w:tr>
      <w:tr w:rsidR="00DE12A3" w:rsidRPr="00DE12A3" w14:paraId="22E5D1CF" w14:textId="77777777" w:rsidTr="009F4766">
        <w:tc>
          <w:tcPr>
            <w:tcW w:w="1182" w:type="dxa"/>
            <w:tcBorders>
              <w:top w:val="single" w:sz="2" w:space="0" w:color="auto"/>
              <w:left w:val="single" w:sz="2" w:space="0" w:color="auto"/>
              <w:bottom w:val="single" w:sz="2" w:space="0" w:color="auto"/>
              <w:right w:val="single" w:sz="2" w:space="0" w:color="auto"/>
            </w:tcBorders>
          </w:tcPr>
          <w:p w14:paraId="33C005B3" w14:textId="77777777" w:rsidR="009F4766" w:rsidRPr="00DE12A3" w:rsidRDefault="009F4766" w:rsidP="00C917D6">
            <w:pPr>
              <w:pStyle w:val="NormalLeft"/>
            </w:pPr>
            <w:r w:rsidRPr="00DE12A3">
              <w:t>446</w:t>
            </w:r>
          </w:p>
        </w:tc>
        <w:tc>
          <w:tcPr>
            <w:tcW w:w="2489" w:type="dxa"/>
            <w:tcBorders>
              <w:top w:val="single" w:sz="2" w:space="0" w:color="auto"/>
              <w:left w:val="single" w:sz="2" w:space="0" w:color="auto"/>
              <w:bottom w:val="single" w:sz="2" w:space="0" w:color="auto"/>
              <w:right w:val="single" w:sz="2" w:space="0" w:color="auto"/>
            </w:tcBorders>
          </w:tcPr>
          <w:p w14:paraId="68A780DD" w14:textId="77777777" w:rsidR="009F4766" w:rsidRPr="00DE12A3" w:rsidRDefault="009F4766" w:rsidP="00C917D6">
            <w:pPr>
              <w:pStyle w:val="NormalLeft"/>
            </w:pPr>
            <w:r w:rsidRPr="00DE12A3">
              <w:t>77</w:t>
            </w:r>
          </w:p>
        </w:tc>
        <w:tc>
          <w:tcPr>
            <w:tcW w:w="2551" w:type="dxa"/>
            <w:tcBorders>
              <w:top w:val="single" w:sz="2" w:space="0" w:color="auto"/>
              <w:left w:val="single" w:sz="2" w:space="0" w:color="auto"/>
              <w:bottom w:val="single" w:sz="2" w:space="0" w:color="auto"/>
              <w:right w:val="single" w:sz="2" w:space="0" w:color="auto"/>
            </w:tcBorders>
          </w:tcPr>
          <w:p w14:paraId="7D077A25" w14:textId="77777777" w:rsidR="009F4766" w:rsidRPr="00DE12A3" w:rsidRDefault="009F4766" w:rsidP="00C917D6">
            <w:pPr>
              <w:pStyle w:val="NormalLeft"/>
            </w:pPr>
            <w:r w:rsidRPr="00DE12A3">
              <w:t>73</w:t>
            </w:r>
          </w:p>
        </w:tc>
      </w:tr>
      <w:tr w:rsidR="00DE12A3" w:rsidRPr="00DE12A3" w14:paraId="05530963" w14:textId="77777777" w:rsidTr="009F4766">
        <w:tc>
          <w:tcPr>
            <w:tcW w:w="1182" w:type="dxa"/>
            <w:tcBorders>
              <w:top w:val="single" w:sz="2" w:space="0" w:color="auto"/>
              <w:left w:val="single" w:sz="2" w:space="0" w:color="auto"/>
              <w:bottom w:val="single" w:sz="2" w:space="0" w:color="auto"/>
              <w:right w:val="single" w:sz="2" w:space="0" w:color="auto"/>
            </w:tcBorders>
          </w:tcPr>
          <w:p w14:paraId="65AEA91F" w14:textId="77777777" w:rsidR="009F4766" w:rsidRPr="00DE12A3" w:rsidRDefault="009F4766" w:rsidP="00C917D6">
            <w:pPr>
              <w:pStyle w:val="NormalLeft"/>
            </w:pPr>
            <w:r w:rsidRPr="00DE12A3">
              <w:t>447</w:t>
            </w:r>
          </w:p>
        </w:tc>
        <w:tc>
          <w:tcPr>
            <w:tcW w:w="2489" w:type="dxa"/>
            <w:tcBorders>
              <w:top w:val="single" w:sz="2" w:space="0" w:color="auto"/>
              <w:left w:val="single" w:sz="2" w:space="0" w:color="auto"/>
              <w:bottom w:val="single" w:sz="2" w:space="0" w:color="auto"/>
              <w:right w:val="single" w:sz="2" w:space="0" w:color="auto"/>
            </w:tcBorders>
          </w:tcPr>
          <w:p w14:paraId="789AE991" w14:textId="77777777" w:rsidR="009F4766" w:rsidRPr="00DE12A3" w:rsidRDefault="009F4766" w:rsidP="00C917D6">
            <w:pPr>
              <w:pStyle w:val="NormalLeft"/>
            </w:pPr>
            <w:r w:rsidRPr="00DE12A3">
              <w:t>74</w:t>
            </w:r>
          </w:p>
        </w:tc>
        <w:tc>
          <w:tcPr>
            <w:tcW w:w="2551" w:type="dxa"/>
            <w:tcBorders>
              <w:top w:val="single" w:sz="2" w:space="0" w:color="auto"/>
              <w:left w:val="single" w:sz="2" w:space="0" w:color="auto"/>
              <w:bottom w:val="single" w:sz="2" w:space="0" w:color="auto"/>
              <w:right w:val="single" w:sz="2" w:space="0" w:color="auto"/>
            </w:tcBorders>
          </w:tcPr>
          <w:p w14:paraId="69FF61AD" w14:textId="77777777" w:rsidR="009F4766" w:rsidRPr="00DE12A3" w:rsidRDefault="009F4766" w:rsidP="00C917D6">
            <w:pPr>
              <w:pStyle w:val="NormalLeft"/>
            </w:pPr>
            <w:r w:rsidRPr="00DE12A3">
              <w:t>73</w:t>
            </w:r>
          </w:p>
        </w:tc>
      </w:tr>
      <w:tr w:rsidR="00DE12A3" w:rsidRPr="00DE12A3" w14:paraId="2556116E" w14:textId="77777777" w:rsidTr="009F4766">
        <w:tc>
          <w:tcPr>
            <w:tcW w:w="1182" w:type="dxa"/>
            <w:tcBorders>
              <w:top w:val="single" w:sz="2" w:space="0" w:color="auto"/>
              <w:left w:val="single" w:sz="2" w:space="0" w:color="auto"/>
              <w:bottom w:val="single" w:sz="2" w:space="0" w:color="auto"/>
              <w:right w:val="single" w:sz="2" w:space="0" w:color="auto"/>
            </w:tcBorders>
          </w:tcPr>
          <w:p w14:paraId="5D9BBEC7" w14:textId="77777777" w:rsidR="009F4766" w:rsidRPr="00DE12A3" w:rsidRDefault="009F4766" w:rsidP="00C917D6">
            <w:pPr>
              <w:pStyle w:val="NormalLeft"/>
            </w:pPr>
            <w:r w:rsidRPr="00DE12A3">
              <w:t>448</w:t>
            </w:r>
          </w:p>
        </w:tc>
        <w:tc>
          <w:tcPr>
            <w:tcW w:w="2489" w:type="dxa"/>
            <w:tcBorders>
              <w:top w:val="single" w:sz="2" w:space="0" w:color="auto"/>
              <w:left w:val="single" w:sz="2" w:space="0" w:color="auto"/>
              <w:bottom w:val="single" w:sz="2" w:space="0" w:color="auto"/>
              <w:right w:val="single" w:sz="2" w:space="0" w:color="auto"/>
            </w:tcBorders>
          </w:tcPr>
          <w:p w14:paraId="3AF2D1C1" w14:textId="77777777" w:rsidR="009F4766" w:rsidRPr="00DE12A3" w:rsidRDefault="009F4766" w:rsidP="00C917D6">
            <w:pPr>
              <w:pStyle w:val="NormalLeft"/>
            </w:pPr>
            <w:r w:rsidRPr="00DE12A3">
              <w:t>76</w:t>
            </w:r>
          </w:p>
        </w:tc>
        <w:tc>
          <w:tcPr>
            <w:tcW w:w="2551" w:type="dxa"/>
            <w:tcBorders>
              <w:top w:val="single" w:sz="2" w:space="0" w:color="auto"/>
              <w:left w:val="single" w:sz="2" w:space="0" w:color="auto"/>
              <w:bottom w:val="single" w:sz="2" w:space="0" w:color="auto"/>
              <w:right w:val="single" w:sz="2" w:space="0" w:color="auto"/>
            </w:tcBorders>
          </w:tcPr>
          <w:p w14:paraId="10659D73" w14:textId="77777777" w:rsidR="009F4766" w:rsidRPr="00DE12A3" w:rsidRDefault="009F4766" w:rsidP="00C917D6">
            <w:pPr>
              <w:pStyle w:val="NormalLeft"/>
            </w:pPr>
            <w:r w:rsidRPr="00DE12A3">
              <w:t>72</w:t>
            </w:r>
          </w:p>
        </w:tc>
      </w:tr>
      <w:tr w:rsidR="00DE12A3" w:rsidRPr="00DE12A3" w14:paraId="2623AE9F" w14:textId="77777777" w:rsidTr="009F4766">
        <w:tc>
          <w:tcPr>
            <w:tcW w:w="1182" w:type="dxa"/>
            <w:tcBorders>
              <w:top w:val="single" w:sz="2" w:space="0" w:color="auto"/>
              <w:left w:val="single" w:sz="2" w:space="0" w:color="auto"/>
              <w:bottom w:val="single" w:sz="2" w:space="0" w:color="auto"/>
              <w:right w:val="single" w:sz="2" w:space="0" w:color="auto"/>
            </w:tcBorders>
          </w:tcPr>
          <w:p w14:paraId="71E77BD4" w14:textId="77777777" w:rsidR="009F4766" w:rsidRPr="00DE12A3" w:rsidRDefault="009F4766" w:rsidP="00C917D6">
            <w:pPr>
              <w:pStyle w:val="NormalLeft"/>
            </w:pPr>
            <w:r w:rsidRPr="00DE12A3">
              <w:t>449</w:t>
            </w:r>
          </w:p>
        </w:tc>
        <w:tc>
          <w:tcPr>
            <w:tcW w:w="2489" w:type="dxa"/>
            <w:tcBorders>
              <w:top w:val="single" w:sz="2" w:space="0" w:color="auto"/>
              <w:left w:val="single" w:sz="2" w:space="0" w:color="auto"/>
              <w:bottom w:val="single" w:sz="2" w:space="0" w:color="auto"/>
              <w:right w:val="single" w:sz="2" w:space="0" w:color="auto"/>
            </w:tcBorders>
          </w:tcPr>
          <w:p w14:paraId="5886702C" w14:textId="77777777" w:rsidR="009F4766" w:rsidRPr="00DE12A3" w:rsidRDefault="009F4766" w:rsidP="00C917D6">
            <w:pPr>
              <w:pStyle w:val="NormalLeft"/>
            </w:pPr>
            <w:r w:rsidRPr="00DE12A3">
              <w:t>46</w:t>
            </w:r>
          </w:p>
        </w:tc>
        <w:tc>
          <w:tcPr>
            <w:tcW w:w="2551" w:type="dxa"/>
            <w:tcBorders>
              <w:top w:val="single" w:sz="2" w:space="0" w:color="auto"/>
              <w:left w:val="single" w:sz="2" w:space="0" w:color="auto"/>
              <w:bottom w:val="single" w:sz="2" w:space="0" w:color="auto"/>
              <w:right w:val="single" w:sz="2" w:space="0" w:color="auto"/>
            </w:tcBorders>
          </w:tcPr>
          <w:p w14:paraId="388A2113" w14:textId="77777777" w:rsidR="009F4766" w:rsidRPr="00DE12A3" w:rsidRDefault="009F4766" w:rsidP="00C917D6">
            <w:pPr>
              <w:pStyle w:val="NormalLeft"/>
            </w:pPr>
            <w:r w:rsidRPr="00DE12A3">
              <w:t>77</w:t>
            </w:r>
          </w:p>
        </w:tc>
      </w:tr>
      <w:tr w:rsidR="00DE12A3" w:rsidRPr="00DE12A3" w14:paraId="627F9C5A" w14:textId="77777777" w:rsidTr="009F4766">
        <w:tc>
          <w:tcPr>
            <w:tcW w:w="1182" w:type="dxa"/>
            <w:tcBorders>
              <w:top w:val="single" w:sz="2" w:space="0" w:color="auto"/>
              <w:left w:val="single" w:sz="2" w:space="0" w:color="auto"/>
              <w:bottom w:val="single" w:sz="2" w:space="0" w:color="auto"/>
              <w:right w:val="single" w:sz="2" w:space="0" w:color="auto"/>
            </w:tcBorders>
          </w:tcPr>
          <w:p w14:paraId="41EEBFA3" w14:textId="77777777" w:rsidR="009F4766" w:rsidRPr="00DE12A3" w:rsidRDefault="009F4766" w:rsidP="00C917D6">
            <w:pPr>
              <w:pStyle w:val="NormalLeft"/>
            </w:pPr>
            <w:r w:rsidRPr="00DE12A3">
              <w:t>450</w:t>
            </w:r>
          </w:p>
        </w:tc>
        <w:tc>
          <w:tcPr>
            <w:tcW w:w="2489" w:type="dxa"/>
            <w:tcBorders>
              <w:top w:val="single" w:sz="2" w:space="0" w:color="auto"/>
              <w:left w:val="single" w:sz="2" w:space="0" w:color="auto"/>
              <w:bottom w:val="single" w:sz="2" w:space="0" w:color="auto"/>
              <w:right w:val="single" w:sz="2" w:space="0" w:color="auto"/>
            </w:tcBorders>
          </w:tcPr>
          <w:p w14:paraId="7F3A9AB1" w14:textId="77777777" w:rsidR="009F4766" w:rsidRPr="00DE12A3" w:rsidRDefault="009F4766" w:rsidP="00C917D6">
            <w:pPr>
              <w:pStyle w:val="NormalLeft"/>
            </w:pPr>
            <w:r w:rsidRPr="00DE12A3">
              <w:t>78</w:t>
            </w:r>
          </w:p>
        </w:tc>
        <w:tc>
          <w:tcPr>
            <w:tcW w:w="2551" w:type="dxa"/>
            <w:tcBorders>
              <w:top w:val="single" w:sz="2" w:space="0" w:color="auto"/>
              <w:left w:val="single" w:sz="2" w:space="0" w:color="auto"/>
              <w:bottom w:val="single" w:sz="2" w:space="0" w:color="auto"/>
              <w:right w:val="single" w:sz="2" w:space="0" w:color="auto"/>
            </w:tcBorders>
          </w:tcPr>
          <w:p w14:paraId="064D6746" w14:textId="77777777" w:rsidR="009F4766" w:rsidRPr="00DE12A3" w:rsidRDefault="009F4766" w:rsidP="00C917D6">
            <w:pPr>
              <w:pStyle w:val="NormalLeft"/>
            </w:pPr>
            <w:r w:rsidRPr="00DE12A3">
              <w:t>62</w:t>
            </w:r>
          </w:p>
        </w:tc>
      </w:tr>
      <w:tr w:rsidR="00DE12A3" w:rsidRPr="00DE12A3" w14:paraId="3B01FB52" w14:textId="77777777" w:rsidTr="009F4766">
        <w:tc>
          <w:tcPr>
            <w:tcW w:w="1182" w:type="dxa"/>
            <w:tcBorders>
              <w:top w:val="single" w:sz="2" w:space="0" w:color="auto"/>
              <w:left w:val="single" w:sz="2" w:space="0" w:color="auto"/>
              <w:bottom w:val="single" w:sz="2" w:space="0" w:color="auto"/>
              <w:right w:val="single" w:sz="2" w:space="0" w:color="auto"/>
            </w:tcBorders>
          </w:tcPr>
          <w:p w14:paraId="549E242D" w14:textId="77777777" w:rsidR="009F4766" w:rsidRPr="00DE12A3" w:rsidRDefault="009F4766" w:rsidP="00C917D6">
            <w:pPr>
              <w:pStyle w:val="NormalLeft"/>
            </w:pPr>
            <w:r w:rsidRPr="00DE12A3">
              <w:t>451</w:t>
            </w:r>
          </w:p>
        </w:tc>
        <w:tc>
          <w:tcPr>
            <w:tcW w:w="2489" w:type="dxa"/>
            <w:tcBorders>
              <w:top w:val="single" w:sz="2" w:space="0" w:color="auto"/>
              <w:left w:val="single" w:sz="2" w:space="0" w:color="auto"/>
              <w:bottom w:val="single" w:sz="2" w:space="0" w:color="auto"/>
              <w:right w:val="single" w:sz="2" w:space="0" w:color="auto"/>
            </w:tcBorders>
          </w:tcPr>
          <w:p w14:paraId="51DEB960" w14:textId="77777777" w:rsidR="009F4766" w:rsidRPr="00DE12A3" w:rsidRDefault="009F4766" w:rsidP="00C917D6">
            <w:pPr>
              <w:pStyle w:val="NormalLeft"/>
            </w:pPr>
            <w:r w:rsidRPr="00DE12A3">
              <w:t>79</w:t>
            </w:r>
          </w:p>
        </w:tc>
        <w:tc>
          <w:tcPr>
            <w:tcW w:w="2551" w:type="dxa"/>
            <w:tcBorders>
              <w:top w:val="single" w:sz="2" w:space="0" w:color="auto"/>
              <w:left w:val="single" w:sz="2" w:space="0" w:color="auto"/>
              <w:bottom w:val="single" w:sz="2" w:space="0" w:color="auto"/>
              <w:right w:val="single" w:sz="2" w:space="0" w:color="auto"/>
            </w:tcBorders>
          </w:tcPr>
          <w:p w14:paraId="687A6859" w14:textId="77777777" w:rsidR="009F4766" w:rsidRPr="00DE12A3" w:rsidRDefault="009F4766" w:rsidP="00C917D6">
            <w:pPr>
              <w:pStyle w:val="NormalLeft"/>
            </w:pPr>
            <w:r w:rsidRPr="00DE12A3">
              <w:t>35</w:t>
            </w:r>
          </w:p>
        </w:tc>
      </w:tr>
      <w:tr w:rsidR="00DE12A3" w:rsidRPr="00DE12A3" w14:paraId="69ACF41E" w14:textId="77777777" w:rsidTr="009F4766">
        <w:tc>
          <w:tcPr>
            <w:tcW w:w="1182" w:type="dxa"/>
            <w:tcBorders>
              <w:top w:val="single" w:sz="2" w:space="0" w:color="auto"/>
              <w:left w:val="single" w:sz="2" w:space="0" w:color="auto"/>
              <w:bottom w:val="single" w:sz="2" w:space="0" w:color="auto"/>
              <w:right w:val="single" w:sz="2" w:space="0" w:color="auto"/>
            </w:tcBorders>
          </w:tcPr>
          <w:p w14:paraId="56133C39" w14:textId="77777777" w:rsidR="009F4766" w:rsidRPr="00DE12A3" w:rsidRDefault="009F4766" w:rsidP="00C917D6">
            <w:pPr>
              <w:pStyle w:val="NormalLeft"/>
            </w:pPr>
            <w:r w:rsidRPr="00DE12A3">
              <w:lastRenderedPageBreak/>
              <w:t>452</w:t>
            </w:r>
          </w:p>
        </w:tc>
        <w:tc>
          <w:tcPr>
            <w:tcW w:w="2489" w:type="dxa"/>
            <w:tcBorders>
              <w:top w:val="single" w:sz="2" w:space="0" w:color="auto"/>
              <w:left w:val="single" w:sz="2" w:space="0" w:color="auto"/>
              <w:bottom w:val="single" w:sz="2" w:space="0" w:color="auto"/>
              <w:right w:val="single" w:sz="2" w:space="0" w:color="auto"/>
            </w:tcBorders>
          </w:tcPr>
          <w:p w14:paraId="3AFA42D4" w14:textId="77777777" w:rsidR="009F4766" w:rsidRPr="00DE12A3" w:rsidRDefault="009F4766" w:rsidP="00C917D6">
            <w:pPr>
              <w:pStyle w:val="NormalLeft"/>
            </w:pPr>
            <w:r w:rsidRPr="00DE12A3">
              <w:t>82</w:t>
            </w:r>
          </w:p>
        </w:tc>
        <w:tc>
          <w:tcPr>
            <w:tcW w:w="2551" w:type="dxa"/>
            <w:tcBorders>
              <w:top w:val="single" w:sz="2" w:space="0" w:color="auto"/>
              <w:left w:val="single" w:sz="2" w:space="0" w:color="auto"/>
              <w:bottom w:val="single" w:sz="2" w:space="0" w:color="auto"/>
              <w:right w:val="single" w:sz="2" w:space="0" w:color="auto"/>
            </w:tcBorders>
          </w:tcPr>
          <w:p w14:paraId="2DE29CFA" w14:textId="77777777" w:rsidR="009F4766" w:rsidRPr="00DE12A3" w:rsidRDefault="009F4766" w:rsidP="00C917D6">
            <w:pPr>
              <w:pStyle w:val="NormalLeft"/>
            </w:pPr>
            <w:r w:rsidRPr="00DE12A3">
              <w:t>38</w:t>
            </w:r>
          </w:p>
        </w:tc>
      </w:tr>
      <w:tr w:rsidR="00DE12A3" w:rsidRPr="00DE12A3" w14:paraId="4E36AB9B" w14:textId="77777777" w:rsidTr="009F4766">
        <w:tc>
          <w:tcPr>
            <w:tcW w:w="1182" w:type="dxa"/>
            <w:tcBorders>
              <w:top w:val="single" w:sz="2" w:space="0" w:color="auto"/>
              <w:left w:val="single" w:sz="2" w:space="0" w:color="auto"/>
              <w:bottom w:val="single" w:sz="2" w:space="0" w:color="auto"/>
              <w:right w:val="single" w:sz="2" w:space="0" w:color="auto"/>
            </w:tcBorders>
          </w:tcPr>
          <w:p w14:paraId="2B1DFFD0" w14:textId="77777777" w:rsidR="009F4766" w:rsidRPr="00DE12A3" w:rsidRDefault="009F4766" w:rsidP="00C917D6">
            <w:pPr>
              <w:pStyle w:val="NormalLeft"/>
            </w:pPr>
            <w:r w:rsidRPr="00DE12A3">
              <w:t>453</w:t>
            </w:r>
          </w:p>
        </w:tc>
        <w:tc>
          <w:tcPr>
            <w:tcW w:w="2489" w:type="dxa"/>
            <w:tcBorders>
              <w:top w:val="single" w:sz="2" w:space="0" w:color="auto"/>
              <w:left w:val="single" w:sz="2" w:space="0" w:color="auto"/>
              <w:bottom w:val="single" w:sz="2" w:space="0" w:color="auto"/>
              <w:right w:val="single" w:sz="2" w:space="0" w:color="auto"/>
            </w:tcBorders>
          </w:tcPr>
          <w:p w14:paraId="38EB8B08" w14:textId="77777777" w:rsidR="009F4766" w:rsidRPr="00DE12A3" w:rsidRDefault="009F4766" w:rsidP="00C917D6">
            <w:pPr>
              <w:pStyle w:val="NormalLeft"/>
            </w:pPr>
            <w:r w:rsidRPr="00DE12A3">
              <w:t>81</w:t>
            </w:r>
          </w:p>
        </w:tc>
        <w:tc>
          <w:tcPr>
            <w:tcW w:w="2551" w:type="dxa"/>
            <w:tcBorders>
              <w:top w:val="single" w:sz="2" w:space="0" w:color="auto"/>
              <w:left w:val="single" w:sz="2" w:space="0" w:color="auto"/>
              <w:bottom w:val="single" w:sz="2" w:space="0" w:color="auto"/>
              <w:right w:val="single" w:sz="2" w:space="0" w:color="auto"/>
            </w:tcBorders>
          </w:tcPr>
          <w:p w14:paraId="3F417BC9" w14:textId="77777777" w:rsidR="009F4766" w:rsidRPr="00DE12A3" w:rsidRDefault="009F4766" w:rsidP="00C917D6">
            <w:pPr>
              <w:pStyle w:val="NormalLeft"/>
            </w:pPr>
            <w:r w:rsidRPr="00DE12A3">
              <w:t>41</w:t>
            </w:r>
          </w:p>
        </w:tc>
      </w:tr>
      <w:tr w:rsidR="00DE12A3" w:rsidRPr="00DE12A3" w14:paraId="4D66EDC2" w14:textId="77777777" w:rsidTr="009F4766">
        <w:tc>
          <w:tcPr>
            <w:tcW w:w="1182" w:type="dxa"/>
            <w:tcBorders>
              <w:top w:val="single" w:sz="2" w:space="0" w:color="auto"/>
              <w:left w:val="single" w:sz="2" w:space="0" w:color="auto"/>
              <w:bottom w:val="single" w:sz="2" w:space="0" w:color="auto"/>
              <w:right w:val="single" w:sz="2" w:space="0" w:color="auto"/>
            </w:tcBorders>
          </w:tcPr>
          <w:p w14:paraId="22622E21" w14:textId="77777777" w:rsidR="009F4766" w:rsidRPr="00DE12A3" w:rsidRDefault="009F4766" w:rsidP="00C917D6">
            <w:pPr>
              <w:pStyle w:val="NormalLeft"/>
            </w:pPr>
            <w:r w:rsidRPr="00DE12A3">
              <w:t>454</w:t>
            </w:r>
          </w:p>
        </w:tc>
        <w:tc>
          <w:tcPr>
            <w:tcW w:w="2489" w:type="dxa"/>
            <w:tcBorders>
              <w:top w:val="single" w:sz="2" w:space="0" w:color="auto"/>
              <w:left w:val="single" w:sz="2" w:space="0" w:color="auto"/>
              <w:bottom w:val="single" w:sz="2" w:space="0" w:color="auto"/>
              <w:right w:val="single" w:sz="2" w:space="0" w:color="auto"/>
            </w:tcBorders>
          </w:tcPr>
          <w:p w14:paraId="2B907325" w14:textId="77777777" w:rsidR="009F4766" w:rsidRPr="00DE12A3" w:rsidRDefault="009F4766" w:rsidP="00C917D6">
            <w:pPr>
              <w:pStyle w:val="NormalLeft"/>
            </w:pPr>
            <w:r w:rsidRPr="00DE12A3">
              <w:t>79</w:t>
            </w:r>
          </w:p>
        </w:tc>
        <w:tc>
          <w:tcPr>
            <w:tcW w:w="2551" w:type="dxa"/>
            <w:tcBorders>
              <w:top w:val="single" w:sz="2" w:space="0" w:color="auto"/>
              <w:left w:val="single" w:sz="2" w:space="0" w:color="auto"/>
              <w:bottom w:val="single" w:sz="2" w:space="0" w:color="auto"/>
              <w:right w:val="single" w:sz="2" w:space="0" w:color="auto"/>
            </w:tcBorders>
          </w:tcPr>
          <w:p w14:paraId="5F9E0D09" w14:textId="77777777" w:rsidR="009F4766" w:rsidRPr="00DE12A3" w:rsidRDefault="009F4766" w:rsidP="00C917D6">
            <w:pPr>
              <w:pStyle w:val="NormalLeft"/>
            </w:pPr>
            <w:r w:rsidRPr="00DE12A3">
              <w:t>37</w:t>
            </w:r>
          </w:p>
        </w:tc>
      </w:tr>
      <w:tr w:rsidR="00DE12A3" w:rsidRPr="00DE12A3" w14:paraId="7DACE323" w14:textId="77777777" w:rsidTr="009F4766">
        <w:tc>
          <w:tcPr>
            <w:tcW w:w="1182" w:type="dxa"/>
            <w:tcBorders>
              <w:top w:val="single" w:sz="2" w:space="0" w:color="auto"/>
              <w:left w:val="single" w:sz="2" w:space="0" w:color="auto"/>
              <w:bottom w:val="single" w:sz="2" w:space="0" w:color="auto"/>
              <w:right w:val="single" w:sz="2" w:space="0" w:color="auto"/>
            </w:tcBorders>
          </w:tcPr>
          <w:p w14:paraId="00BBFD01" w14:textId="77777777" w:rsidR="009F4766" w:rsidRPr="00DE12A3" w:rsidRDefault="009F4766" w:rsidP="00C917D6">
            <w:pPr>
              <w:pStyle w:val="NormalLeft"/>
            </w:pPr>
            <w:r w:rsidRPr="00DE12A3">
              <w:t>455</w:t>
            </w:r>
          </w:p>
        </w:tc>
        <w:tc>
          <w:tcPr>
            <w:tcW w:w="2489" w:type="dxa"/>
            <w:tcBorders>
              <w:top w:val="single" w:sz="2" w:space="0" w:color="auto"/>
              <w:left w:val="single" w:sz="2" w:space="0" w:color="auto"/>
              <w:bottom w:val="single" w:sz="2" w:space="0" w:color="auto"/>
              <w:right w:val="single" w:sz="2" w:space="0" w:color="auto"/>
            </w:tcBorders>
          </w:tcPr>
          <w:p w14:paraId="46E5B474" w14:textId="77777777" w:rsidR="009F4766" w:rsidRPr="00DE12A3" w:rsidRDefault="009F4766" w:rsidP="00C917D6">
            <w:pPr>
              <w:pStyle w:val="NormalLeft"/>
            </w:pPr>
            <w:r w:rsidRPr="00DE12A3">
              <w:t>78</w:t>
            </w:r>
          </w:p>
        </w:tc>
        <w:tc>
          <w:tcPr>
            <w:tcW w:w="2551" w:type="dxa"/>
            <w:tcBorders>
              <w:top w:val="single" w:sz="2" w:space="0" w:color="auto"/>
              <w:left w:val="single" w:sz="2" w:space="0" w:color="auto"/>
              <w:bottom w:val="single" w:sz="2" w:space="0" w:color="auto"/>
              <w:right w:val="single" w:sz="2" w:space="0" w:color="auto"/>
            </w:tcBorders>
          </w:tcPr>
          <w:p w14:paraId="75489C9B" w14:textId="77777777" w:rsidR="009F4766" w:rsidRPr="00DE12A3" w:rsidRDefault="009F4766" w:rsidP="00C917D6">
            <w:pPr>
              <w:pStyle w:val="NormalLeft"/>
            </w:pPr>
            <w:r w:rsidRPr="00DE12A3">
              <w:t>35</w:t>
            </w:r>
          </w:p>
        </w:tc>
      </w:tr>
      <w:tr w:rsidR="00DE12A3" w:rsidRPr="00DE12A3" w14:paraId="6FB74335" w14:textId="77777777" w:rsidTr="009F4766">
        <w:tc>
          <w:tcPr>
            <w:tcW w:w="1182" w:type="dxa"/>
            <w:tcBorders>
              <w:top w:val="single" w:sz="2" w:space="0" w:color="auto"/>
              <w:left w:val="single" w:sz="2" w:space="0" w:color="auto"/>
              <w:bottom w:val="single" w:sz="2" w:space="0" w:color="auto"/>
              <w:right w:val="single" w:sz="2" w:space="0" w:color="auto"/>
            </w:tcBorders>
          </w:tcPr>
          <w:p w14:paraId="6C92A73B" w14:textId="77777777" w:rsidR="009F4766" w:rsidRPr="00DE12A3" w:rsidRDefault="009F4766" w:rsidP="00C917D6">
            <w:pPr>
              <w:pStyle w:val="NormalLeft"/>
            </w:pPr>
            <w:r w:rsidRPr="00DE12A3">
              <w:t>456</w:t>
            </w:r>
          </w:p>
        </w:tc>
        <w:tc>
          <w:tcPr>
            <w:tcW w:w="2489" w:type="dxa"/>
            <w:tcBorders>
              <w:top w:val="single" w:sz="2" w:space="0" w:color="auto"/>
              <w:left w:val="single" w:sz="2" w:space="0" w:color="auto"/>
              <w:bottom w:val="single" w:sz="2" w:space="0" w:color="auto"/>
              <w:right w:val="single" w:sz="2" w:space="0" w:color="auto"/>
            </w:tcBorders>
          </w:tcPr>
          <w:p w14:paraId="51266377" w14:textId="77777777" w:rsidR="009F4766" w:rsidRPr="00DE12A3" w:rsidRDefault="009F4766" w:rsidP="00C917D6">
            <w:pPr>
              <w:pStyle w:val="NormalLeft"/>
            </w:pPr>
            <w:r w:rsidRPr="00DE12A3">
              <w:t>78</w:t>
            </w:r>
          </w:p>
        </w:tc>
        <w:tc>
          <w:tcPr>
            <w:tcW w:w="2551" w:type="dxa"/>
            <w:tcBorders>
              <w:top w:val="single" w:sz="2" w:space="0" w:color="auto"/>
              <w:left w:val="single" w:sz="2" w:space="0" w:color="auto"/>
              <w:bottom w:val="single" w:sz="2" w:space="0" w:color="auto"/>
              <w:right w:val="single" w:sz="2" w:space="0" w:color="auto"/>
            </w:tcBorders>
          </w:tcPr>
          <w:p w14:paraId="48C2AEC3" w14:textId="77777777" w:rsidR="009F4766" w:rsidRPr="00DE12A3" w:rsidRDefault="009F4766" w:rsidP="00C917D6">
            <w:pPr>
              <w:pStyle w:val="NormalLeft"/>
            </w:pPr>
            <w:r w:rsidRPr="00DE12A3">
              <w:t>38</w:t>
            </w:r>
          </w:p>
        </w:tc>
      </w:tr>
      <w:tr w:rsidR="00DE12A3" w:rsidRPr="00DE12A3" w14:paraId="5A5DA6B5" w14:textId="77777777" w:rsidTr="009F4766">
        <w:tc>
          <w:tcPr>
            <w:tcW w:w="1182" w:type="dxa"/>
            <w:tcBorders>
              <w:top w:val="single" w:sz="2" w:space="0" w:color="auto"/>
              <w:left w:val="single" w:sz="2" w:space="0" w:color="auto"/>
              <w:bottom w:val="single" w:sz="2" w:space="0" w:color="auto"/>
              <w:right w:val="single" w:sz="2" w:space="0" w:color="auto"/>
            </w:tcBorders>
          </w:tcPr>
          <w:p w14:paraId="649A3652" w14:textId="77777777" w:rsidR="009F4766" w:rsidRPr="00DE12A3" w:rsidRDefault="009F4766" w:rsidP="00C917D6">
            <w:pPr>
              <w:pStyle w:val="NormalLeft"/>
            </w:pPr>
            <w:r w:rsidRPr="00DE12A3">
              <w:t>457</w:t>
            </w:r>
          </w:p>
        </w:tc>
        <w:tc>
          <w:tcPr>
            <w:tcW w:w="2489" w:type="dxa"/>
            <w:tcBorders>
              <w:top w:val="single" w:sz="2" w:space="0" w:color="auto"/>
              <w:left w:val="single" w:sz="2" w:space="0" w:color="auto"/>
              <w:bottom w:val="single" w:sz="2" w:space="0" w:color="auto"/>
              <w:right w:val="single" w:sz="2" w:space="0" w:color="auto"/>
            </w:tcBorders>
          </w:tcPr>
          <w:p w14:paraId="0B22E18D" w14:textId="77777777" w:rsidR="009F4766" w:rsidRPr="00DE12A3" w:rsidRDefault="009F4766" w:rsidP="00C917D6">
            <w:pPr>
              <w:pStyle w:val="NormalLeft"/>
            </w:pPr>
            <w:r w:rsidRPr="00DE12A3">
              <w:t>78</w:t>
            </w:r>
          </w:p>
        </w:tc>
        <w:tc>
          <w:tcPr>
            <w:tcW w:w="2551" w:type="dxa"/>
            <w:tcBorders>
              <w:top w:val="single" w:sz="2" w:space="0" w:color="auto"/>
              <w:left w:val="single" w:sz="2" w:space="0" w:color="auto"/>
              <w:bottom w:val="single" w:sz="2" w:space="0" w:color="auto"/>
              <w:right w:val="single" w:sz="2" w:space="0" w:color="auto"/>
            </w:tcBorders>
          </w:tcPr>
          <w:p w14:paraId="54339811" w14:textId="77777777" w:rsidR="009F4766" w:rsidRPr="00DE12A3" w:rsidRDefault="009F4766" w:rsidP="00C917D6">
            <w:pPr>
              <w:pStyle w:val="NormalLeft"/>
            </w:pPr>
            <w:r w:rsidRPr="00DE12A3">
              <w:t>46</w:t>
            </w:r>
          </w:p>
        </w:tc>
      </w:tr>
      <w:tr w:rsidR="00DE12A3" w:rsidRPr="00DE12A3" w14:paraId="34B782C5" w14:textId="77777777" w:rsidTr="009F4766">
        <w:tc>
          <w:tcPr>
            <w:tcW w:w="1182" w:type="dxa"/>
            <w:tcBorders>
              <w:top w:val="single" w:sz="2" w:space="0" w:color="auto"/>
              <w:left w:val="single" w:sz="2" w:space="0" w:color="auto"/>
              <w:bottom w:val="single" w:sz="2" w:space="0" w:color="auto"/>
              <w:right w:val="single" w:sz="2" w:space="0" w:color="auto"/>
            </w:tcBorders>
          </w:tcPr>
          <w:p w14:paraId="55D1421F" w14:textId="77777777" w:rsidR="009F4766" w:rsidRPr="00DE12A3" w:rsidRDefault="009F4766" w:rsidP="00C917D6">
            <w:pPr>
              <w:pStyle w:val="NormalLeft"/>
            </w:pPr>
            <w:r w:rsidRPr="00DE12A3">
              <w:t>458</w:t>
            </w:r>
          </w:p>
        </w:tc>
        <w:tc>
          <w:tcPr>
            <w:tcW w:w="2489" w:type="dxa"/>
            <w:tcBorders>
              <w:top w:val="single" w:sz="2" w:space="0" w:color="auto"/>
              <w:left w:val="single" w:sz="2" w:space="0" w:color="auto"/>
              <w:bottom w:val="single" w:sz="2" w:space="0" w:color="auto"/>
              <w:right w:val="single" w:sz="2" w:space="0" w:color="auto"/>
            </w:tcBorders>
          </w:tcPr>
          <w:p w14:paraId="57E28D55" w14:textId="77777777" w:rsidR="009F4766" w:rsidRPr="00DE12A3" w:rsidRDefault="009F4766" w:rsidP="00C917D6">
            <w:pPr>
              <w:pStyle w:val="NormalLeft"/>
            </w:pPr>
            <w:r w:rsidRPr="00DE12A3">
              <w:t>75</w:t>
            </w:r>
          </w:p>
        </w:tc>
        <w:tc>
          <w:tcPr>
            <w:tcW w:w="2551" w:type="dxa"/>
            <w:tcBorders>
              <w:top w:val="single" w:sz="2" w:space="0" w:color="auto"/>
              <w:left w:val="single" w:sz="2" w:space="0" w:color="auto"/>
              <w:bottom w:val="single" w:sz="2" w:space="0" w:color="auto"/>
              <w:right w:val="single" w:sz="2" w:space="0" w:color="auto"/>
            </w:tcBorders>
          </w:tcPr>
          <w:p w14:paraId="2954C933" w14:textId="77777777" w:rsidR="009F4766" w:rsidRPr="00DE12A3" w:rsidRDefault="009F4766" w:rsidP="00C917D6">
            <w:pPr>
              <w:pStyle w:val="NormalLeft"/>
            </w:pPr>
            <w:r w:rsidRPr="00DE12A3">
              <w:t>49</w:t>
            </w:r>
          </w:p>
        </w:tc>
      </w:tr>
      <w:tr w:rsidR="00DE12A3" w:rsidRPr="00DE12A3" w14:paraId="35BD855C" w14:textId="77777777" w:rsidTr="009F4766">
        <w:tc>
          <w:tcPr>
            <w:tcW w:w="1182" w:type="dxa"/>
            <w:tcBorders>
              <w:top w:val="single" w:sz="2" w:space="0" w:color="auto"/>
              <w:left w:val="single" w:sz="2" w:space="0" w:color="auto"/>
              <w:bottom w:val="single" w:sz="2" w:space="0" w:color="auto"/>
              <w:right w:val="single" w:sz="2" w:space="0" w:color="auto"/>
            </w:tcBorders>
          </w:tcPr>
          <w:p w14:paraId="7F207FDA" w14:textId="77777777" w:rsidR="009F4766" w:rsidRPr="00DE12A3" w:rsidRDefault="009F4766" w:rsidP="00C917D6">
            <w:pPr>
              <w:pStyle w:val="NormalLeft"/>
            </w:pPr>
            <w:r w:rsidRPr="00DE12A3">
              <w:t>459</w:t>
            </w:r>
          </w:p>
        </w:tc>
        <w:tc>
          <w:tcPr>
            <w:tcW w:w="2489" w:type="dxa"/>
            <w:tcBorders>
              <w:top w:val="single" w:sz="2" w:space="0" w:color="auto"/>
              <w:left w:val="single" w:sz="2" w:space="0" w:color="auto"/>
              <w:bottom w:val="single" w:sz="2" w:space="0" w:color="auto"/>
              <w:right w:val="single" w:sz="2" w:space="0" w:color="auto"/>
            </w:tcBorders>
          </w:tcPr>
          <w:p w14:paraId="1CD5C88E" w14:textId="77777777" w:rsidR="009F4766" w:rsidRPr="00DE12A3" w:rsidRDefault="009F4766" w:rsidP="00C917D6">
            <w:pPr>
              <w:pStyle w:val="NormalLeft"/>
            </w:pPr>
            <w:r w:rsidRPr="00DE12A3">
              <w:t>73</w:t>
            </w:r>
          </w:p>
        </w:tc>
        <w:tc>
          <w:tcPr>
            <w:tcW w:w="2551" w:type="dxa"/>
            <w:tcBorders>
              <w:top w:val="single" w:sz="2" w:space="0" w:color="auto"/>
              <w:left w:val="single" w:sz="2" w:space="0" w:color="auto"/>
              <w:bottom w:val="single" w:sz="2" w:space="0" w:color="auto"/>
              <w:right w:val="single" w:sz="2" w:space="0" w:color="auto"/>
            </w:tcBorders>
          </w:tcPr>
          <w:p w14:paraId="507BBAE3" w14:textId="77777777" w:rsidR="009F4766" w:rsidRPr="00DE12A3" w:rsidRDefault="009F4766" w:rsidP="00C917D6">
            <w:pPr>
              <w:pStyle w:val="NormalLeft"/>
            </w:pPr>
            <w:r w:rsidRPr="00DE12A3">
              <w:t>50</w:t>
            </w:r>
          </w:p>
        </w:tc>
      </w:tr>
      <w:tr w:rsidR="00DE12A3" w:rsidRPr="00DE12A3" w14:paraId="7F78C710" w14:textId="77777777" w:rsidTr="009F4766">
        <w:tc>
          <w:tcPr>
            <w:tcW w:w="1182" w:type="dxa"/>
            <w:tcBorders>
              <w:top w:val="single" w:sz="2" w:space="0" w:color="auto"/>
              <w:left w:val="single" w:sz="2" w:space="0" w:color="auto"/>
              <w:bottom w:val="single" w:sz="2" w:space="0" w:color="auto"/>
              <w:right w:val="single" w:sz="2" w:space="0" w:color="auto"/>
            </w:tcBorders>
          </w:tcPr>
          <w:p w14:paraId="42B1EDAB" w14:textId="77777777" w:rsidR="009F4766" w:rsidRPr="00DE12A3" w:rsidRDefault="009F4766" w:rsidP="00C917D6">
            <w:pPr>
              <w:pStyle w:val="NormalLeft"/>
            </w:pPr>
            <w:r w:rsidRPr="00DE12A3">
              <w:t>460</w:t>
            </w:r>
          </w:p>
        </w:tc>
        <w:tc>
          <w:tcPr>
            <w:tcW w:w="2489" w:type="dxa"/>
            <w:tcBorders>
              <w:top w:val="single" w:sz="2" w:space="0" w:color="auto"/>
              <w:left w:val="single" w:sz="2" w:space="0" w:color="auto"/>
              <w:bottom w:val="single" w:sz="2" w:space="0" w:color="auto"/>
              <w:right w:val="single" w:sz="2" w:space="0" w:color="auto"/>
            </w:tcBorders>
          </w:tcPr>
          <w:p w14:paraId="3EF78B65" w14:textId="77777777" w:rsidR="009F4766" w:rsidRPr="00DE12A3" w:rsidRDefault="009F4766" w:rsidP="00C917D6">
            <w:pPr>
              <w:pStyle w:val="NormalLeft"/>
            </w:pPr>
            <w:r w:rsidRPr="00DE12A3">
              <w:t>79</w:t>
            </w:r>
          </w:p>
        </w:tc>
        <w:tc>
          <w:tcPr>
            <w:tcW w:w="2551" w:type="dxa"/>
            <w:tcBorders>
              <w:top w:val="single" w:sz="2" w:space="0" w:color="auto"/>
              <w:left w:val="single" w:sz="2" w:space="0" w:color="auto"/>
              <w:bottom w:val="single" w:sz="2" w:space="0" w:color="auto"/>
              <w:right w:val="single" w:sz="2" w:space="0" w:color="auto"/>
            </w:tcBorders>
          </w:tcPr>
          <w:p w14:paraId="39AB661A" w14:textId="77777777" w:rsidR="009F4766" w:rsidRPr="00DE12A3" w:rsidRDefault="009F4766" w:rsidP="00C917D6">
            <w:pPr>
              <w:pStyle w:val="NormalLeft"/>
            </w:pPr>
            <w:r w:rsidRPr="00DE12A3">
              <w:t>58</w:t>
            </w:r>
          </w:p>
        </w:tc>
      </w:tr>
      <w:tr w:rsidR="00DE12A3" w:rsidRPr="00DE12A3" w14:paraId="3A4CDCB6" w14:textId="77777777" w:rsidTr="009F4766">
        <w:tc>
          <w:tcPr>
            <w:tcW w:w="1182" w:type="dxa"/>
            <w:tcBorders>
              <w:top w:val="single" w:sz="2" w:space="0" w:color="auto"/>
              <w:left w:val="single" w:sz="2" w:space="0" w:color="auto"/>
              <w:bottom w:val="single" w:sz="2" w:space="0" w:color="auto"/>
              <w:right w:val="single" w:sz="2" w:space="0" w:color="auto"/>
            </w:tcBorders>
          </w:tcPr>
          <w:p w14:paraId="5779A5ED" w14:textId="77777777" w:rsidR="009F4766" w:rsidRPr="00DE12A3" w:rsidRDefault="009F4766" w:rsidP="00C917D6">
            <w:pPr>
              <w:pStyle w:val="NormalLeft"/>
            </w:pPr>
            <w:r w:rsidRPr="00DE12A3">
              <w:t>461</w:t>
            </w:r>
          </w:p>
        </w:tc>
        <w:tc>
          <w:tcPr>
            <w:tcW w:w="2489" w:type="dxa"/>
            <w:tcBorders>
              <w:top w:val="single" w:sz="2" w:space="0" w:color="auto"/>
              <w:left w:val="single" w:sz="2" w:space="0" w:color="auto"/>
              <w:bottom w:val="single" w:sz="2" w:space="0" w:color="auto"/>
              <w:right w:val="single" w:sz="2" w:space="0" w:color="auto"/>
            </w:tcBorders>
          </w:tcPr>
          <w:p w14:paraId="70DF4B56" w14:textId="77777777" w:rsidR="009F4766" w:rsidRPr="00DE12A3" w:rsidRDefault="009F4766" w:rsidP="00C917D6">
            <w:pPr>
              <w:pStyle w:val="NormalLeft"/>
            </w:pPr>
            <w:r w:rsidRPr="00DE12A3">
              <w:t>79</w:t>
            </w:r>
          </w:p>
        </w:tc>
        <w:tc>
          <w:tcPr>
            <w:tcW w:w="2551" w:type="dxa"/>
            <w:tcBorders>
              <w:top w:val="single" w:sz="2" w:space="0" w:color="auto"/>
              <w:left w:val="single" w:sz="2" w:space="0" w:color="auto"/>
              <w:bottom w:val="single" w:sz="2" w:space="0" w:color="auto"/>
              <w:right w:val="single" w:sz="2" w:space="0" w:color="auto"/>
            </w:tcBorders>
          </w:tcPr>
          <w:p w14:paraId="415A2511" w14:textId="77777777" w:rsidR="009F4766" w:rsidRPr="00DE12A3" w:rsidRDefault="009F4766" w:rsidP="00C917D6">
            <w:pPr>
              <w:pStyle w:val="NormalLeft"/>
            </w:pPr>
            <w:r w:rsidRPr="00DE12A3">
              <w:t>71</w:t>
            </w:r>
          </w:p>
        </w:tc>
      </w:tr>
      <w:tr w:rsidR="00DE12A3" w:rsidRPr="00DE12A3" w14:paraId="5DD26501" w14:textId="77777777" w:rsidTr="009F4766">
        <w:tc>
          <w:tcPr>
            <w:tcW w:w="1182" w:type="dxa"/>
            <w:tcBorders>
              <w:top w:val="single" w:sz="2" w:space="0" w:color="auto"/>
              <w:left w:val="single" w:sz="2" w:space="0" w:color="auto"/>
              <w:bottom w:val="single" w:sz="2" w:space="0" w:color="auto"/>
              <w:right w:val="single" w:sz="2" w:space="0" w:color="auto"/>
            </w:tcBorders>
          </w:tcPr>
          <w:p w14:paraId="31BBFC4C" w14:textId="77777777" w:rsidR="009F4766" w:rsidRPr="00DE12A3" w:rsidRDefault="009F4766" w:rsidP="00C917D6">
            <w:pPr>
              <w:pStyle w:val="NormalLeft"/>
            </w:pPr>
            <w:r w:rsidRPr="00DE12A3">
              <w:t>462</w:t>
            </w:r>
          </w:p>
        </w:tc>
        <w:tc>
          <w:tcPr>
            <w:tcW w:w="2489" w:type="dxa"/>
            <w:tcBorders>
              <w:top w:val="single" w:sz="2" w:space="0" w:color="auto"/>
              <w:left w:val="single" w:sz="2" w:space="0" w:color="auto"/>
              <w:bottom w:val="single" w:sz="2" w:space="0" w:color="auto"/>
              <w:right w:val="single" w:sz="2" w:space="0" w:color="auto"/>
            </w:tcBorders>
          </w:tcPr>
          <w:p w14:paraId="13CAC2B5" w14:textId="77777777" w:rsidR="009F4766" w:rsidRPr="00DE12A3" w:rsidRDefault="009F4766" w:rsidP="00C917D6">
            <w:pPr>
              <w:pStyle w:val="NormalLeft"/>
            </w:pPr>
            <w:r w:rsidRPr="00DE12A3">
              <w:t>83</w:t>
            </w:r>
          </w:p>
        </w:tc>
        <w:tc>
          <w:tcPr>
            <w:tcW w:w="2551" w:type="dxa"/>
            <w:tcBorders>
              <w:top w:val="single" w:sz="2" w:space="0" w:color="auto"/>
              <w:left w:val="single" w:sz="2" w:space="0" w:color="auto"/>
              <w:bottom w:val="single" w:sz="2" w:space="0" w:color="auto"/>
              <w:right w:val="single" w:sz="2" w:space="0" w:color="auto"/>
            </w:tcBorders>
          </w:tcPr>
          <w:p w14:paraId="649C5E16" w14:textId="77777777" w:rsidR="009F4766" w:rsidRPr="00DE12A3" w:rsidRDefault="009F4766" w:rsidP="00C917D6">
            <w:pPr>
              <w:pStyle w:val="NormalLeft"/>
            </w:pPr>
            <w:r w:rsidRPr="00DE12A3">
              <w:t>44</w:t>
            </w:r>
          </w:p>
        </w:tc>
      </w:tr>
      <w:tr w:rsidR="00DE12A3" w:rsidRPr="00DE12A3" w14:paraId="65C47672" w14:textId="77777777" w:rsidTr="009F4766">
        <w:tc>
          <w:tcPr>
            <w:tcW w:w="1182" w:type="dxa"/>
            <w:tcBorders>
              <w:top w:val="single" w:sz="2" w:space="0" w:color="auto"/>
              <w:left w:val="single" w:sz="2" w:space="0" w:color="auto"/>
              <w:bottom w:val="single" w:sz="2" w:space="0" w:color="auto"/>
              <w:right w:val="single" w:sz="2" w:space="0" w:color="auto"/>
            </w:tcBorders>
          </w:tcPr>
          <w:p w14:paraId="6B79D098" w14:textId="77777777" w:rsidR="009F4766" w:rsidRPr="00DE12A3" w:rsidRDefault="009F4766" w:rsidP="00C917D6">
            <w:pPr>
              <w:pStyle w:val="NormalLeft"/>
            </w:pPr>
            <w:r w:rsidRPr="00DE12A3">
              <w:t>463</w:t>
            </w:r>
          </w:p>
        </w:tc>
        <w:tc>
          <w:tcPr>
            <w:tcW w:w="2489" w:type="dxa"/>
            <w:tcBorders>
              <w:top w:val="single" w:sz="2" w:space="0" w:color="auto"/>
              <w:left w:val="single" w:sz="2" w:space="0" w:color="auto"/>
              <w:bottom w:val="single" w:sz="2" w:space="0" w:color="auto"/>
              <w:right w:val="single" w:sz="2" w:space="0" w:color="auto"/>
            </w:tcBorders>
          </w:tcPr>
          <w:p w14:paraId="3B445360" w14:textId="77777777" w:rsidR="009F4766" w:rsidRPr="00DE12A3" w:rsidRDefault="009F4766" w:rsidP="00C917D6">
            <w:pPr>
              <w:pStyle w:val="NormalLeft"/>
            </w:pPr>
            <w:r w:rsidRPr="00DE12A3">
              <w:t>53</w:t>
            </w:r>
          </w:p>
        </w:tc>
        <w:tc>
          <w:tcPr>
            <w:tcW w:w="2551" w:type="dxa"/>
            <w:tcBorders>
              <w:top w:val="single" w:sz="2" w:space="0" w:color="auto"/>
              <w:left w:val="single" w:sz="2" w:space="0" w:color="auto"/>
              <w:bottom w:val="single" w:sz="2" w:space="0" w:color="auto"/>
              <w:right w:val="single" w:sz="2" w:space="0" w:color="auto"/>
            </w:tcBorders>
          </w:tcPr>
          <w:p w14:paraId="473F62F7" w14:textId="77777777" w:rsidR="009F4766" w:rsidRPr="00DE12A3" w:rsidRDefault="009F4766" w:rsidP="00C917D6">
            <w:pPr>
              <w:pStyle w:val="NormalLeft"/>
            </w:pPr>
            <w:r w:rsidRPr="00DE12A3">
              <w:t>48</w:t>
            </w:r>
          </w:p>
        </w:tc>
      </w:tr>
      <w:tr w:rsidR="00DE12A3" w:rsidRPr="00DE12A3" w14:paraId="49A90C5C" w14:textId="77777777" w:rsidTr="009F4766">
        <w:tc>
          <w:tcPr>
            <w:tcW w:w="1182" w:type="dxa"/>
            <w:tcBorders>
              <w:top w:val="single" w:sz="2" w:space="0" w:color="auto"/>
              <w:left w:val="single" w:sz="2" w:space="0" w:color="auto"/>
              <w:bottom w:val="single" w:sz="2" w:space="0" w:color="auto"/>
              <w:right w:val="single" w:sz="2" w:space="0" w:color="auto"/>
            </w:tcBorders>
          </w:tcPr>
          <w:p w14:paraId="3D00CFA7" w14:textId="77777777" w:rsidR="009F4766" w:rsidRPr="00DE12A3" w:rsidRDefault="009F4766" w:rsidP="00C917D6">
            <w:pPr>
              <w:pStyle w:val="NormalLeft"/>
            </w:pPr>
            <w:r w:rsidRPr="00DE12A3">
              <w:t>464</w:t>
            </w:r>
          </w:p>
        </w:tc>
        <w:tc>
          <w:tcPr>
            <w:tcW w:w="2489" w:type="dxa"/>
            <w:tcBorders>
              <w:top w:val="single" w:sz="2" w:space="0" w:color="auto"/>
              <w:left w:val="single" w:sz="2" w:space="0" w:color="auto"/>
              <w:bottom w:val="single" w:sz="2" w:space="0" w:color="auto"/>
              <w:right w:val="single" w:sz="2" w:space="0" w:color="auto"/>
            </w:tcBorders>
          </w:tcPr>
          <w:p w14:paraId="632B0425" w14:textId="77777777" w:rsidR="009F4766" w:rsidRPr="00DE12A3" w:rsidRDefault="009F4766" w:rsidP="00C917D6">
            <w:pPr>
              <w:pStyle w:val="NormalLeft"/>
            </w:pPr>
            <w:r w:rsidRPr="00DE12A3">
              <w:t>40</w:t>
            </w:r>
          </w:p>
        </w:tc>
        <w:tc>
          <w:tcPr>
            <w:tcW w:w="2551" w:type="dxa"/>
            <w:tcBorders>
              <w:top w:val="single" w:sz="2" w:space="0" w:color="auto"/>
              <w:left w:val="single" w:sz="2" w:space="0" w:color="auto"/>
              <w:bottom w:val="single" w:sz="2" w:space="0" w:color="auto"/>
              <w:right w:val="single" w:sz="2" w:space="0" w:color="auto"/>
            </w:tcBorders>
          </w:tcPr>
          <w:p w14:paraId="044AEE6A" w14:textId="77777777" w:rsidR="009F4766" w:rsidRPr="00DE12A3" w:rsidRDefault="009F4766" w:rsidP="00C917D6">
            <w:pPr>
              <w:pStyle w:val="NormalLeft"/>
            </w:pPr>
            <w:r w:rsidRPr="00DE12A3">
              <w:t>48</w:t>
            </w:r>
          </w:p>
        </w:tc>
      </w:tr>
      <w:tr w:rsidR="00DE12A3" w:rsidRPr="00DE12A3" w14:paraId="05D37019" w14:textId="77777777" w:rsidTr="009F4766">
        <w:tc>
          <w:tcPr>
            <w:tcW w:w="1182" w:type="dxa"/>
            <w:tcBorders>
              <w:top w:val="single" w:sz="2" w:space="0" w:color="auto"/>
              <w:left w:val="single" w:sz="2" w:space="0" w:color="auto"/>
              <w:bottom w:val="single" w:sz="2" w:space="0" w:color="auto"/>
              <w:right w:val="single" w:sz="2" w:space="0" w:color="auto"/>
            </w:tcBorders>
          </w:tcPr>
          <w:p w14:paraId="754BF392" w14:textId="77777777" w:rsidR="009F4766" w:rsidRPr="00DE12A3" w:rsidRDefault="009F4766" w:rsidP="00C917D6">
            <w:pPr>
              <w:pStyle w:val="NormalLeft"/>
            </w:pPr>
            <w:r w:rsidRPr="00DE12A3">
              <w:t>465</w:t>
            </w:r>
          </w:p>
        </w:tc>
        <w:tc>
          <w:tcPr>
            <w:tcW w:w="2489" w:type="dxa"/>
            <w:tcBorders>
              <w:top w:val="single" w:sz="2" w:space="0" w:color="auto"/>
              <w:left w:val="single" w:sz="2" w:space="0" w:color="auto"/>
              <w:bottom w:val="single" w:sz="2" w:space="0" w:color="auto"/>
              <w:right w:val="single" w:sz="2" w:space="0" w:color="auto"/>
            </w:tcBorders>
          </w:tcPr>
          <w:p w14:paraId="7DCC132F" w14:textId="77777777" w:rsidR="009F4766" w:rsidRPr="00DE12A3" w:rsidRDefault="009F4766" w:rsidP="00C917D6">
            <w:pPr>
              <w:pStyle w:val="NormalLeft"/>
            </w:pPr>
            <w:r w:rsidRPr="00DE12A3">
              <w:t>51</w:t>
            </w:r>
          </w:p>
        </w:tc>
        <w:tc>
          <w:tcPr>
            <w:tcW w:w="2551" w:type="dxa"/>
            <w:tcBorders>
              <w:top w:val="single" w:sz="2" w:space="0" w:color="auto"/>
              <w:left w:val="single" w:sz="2" w:space="0" w:color="auto"/>
              <w:bottom w:val="single" w:sz="2" w:space="0" w:color="auto"/>
              <w:right w:val="single" w:sz="2" w:space="0" w:color="auto"/>
            </w:tcBorders>
          </w:tcPr>
          <w:p w14:paraId="1908E8B0" w14:textId="77777777" w:rsidR="009F4766" w:rsidRPr="00DE12A3" w:rsidRDefault="009F4766" w:rsidP="00C917D6">
            <w:pPr>
              <w:pStyle w:val="NormalLeft"/>
            </w:pPr>
            <w:r w:rsidRPr="00DE12A3">
              <w:t>75</w:t>
            </w:r>
          </w:p>
        </w:tc>
      </w:tr>
      <w:tr w:rsidR="00DE12A3" w:rsidRPr="00DE12A3" w14:paraId="2351C815" w14:textId="77777777" w:rsidTr="009F4766">
        <w:tc>
          <w:tcPr>
            <w:tcW w:w="1182" w:type="dxa"/>
            <w:tcBorders>
              <w:top w:val="single" w:sz="2" w:space="0" w:color="auto"/>
              <w:left w:val="single" w:sz="2" w:space="0" w:color="auto"/>
              <w:bottom w:val="single" w:sz="2" w:space="0" w:color="auto"/>
              <w:right w:val="single" w:sz="2" w:space="0" w:color="auto"/>
            </w:tcBorders>
          </w:tcPr>
          <w:p w14:paraId="1B801F7D" w14:textId="77777777" w:rsidR="009F4766" w:rsidRPr="00DE12A3" w:rsidRDefault="009F4766" w:rsidP="00C917D6">
            <w:pPr>
              <w:pStyle w:val="NormalLeft"/>
            </w:pPr>
            <w:r w:rsidRPr="00DE12A3">
              <w:t>466</w:t>
            </w:r>
          </w:p>
        </w:tc>
        <w:tc>
          <w:tcPr>
            <w:tcW w:w="2489" w:type="dxa"/>
            <w:tcBorders>
              <w:top w:val="single" w:sz="2" w:space="0" w:color="auto"/>
              <w:left w:val="single" w:sz="2" w:space="0" w:color="auto"/>
              <w:bottom w:val="single" w:sz="2" w:space="0" w:color="auto"/>
              <w:right w:val="single" w:sz="2" w:space="0" w:color="auto"/>
            </w:tcBorders>
          </w:tcPr>
          <w:p w14:paraId="1D44BEED" w14:textId="77777777" w:rsidR="009F4766" w:rsidRPr="00DE12A3" w:rsidRDefault="009F4766" w:rsidP="00C917D6">
            <w:pPr>
              <w:pStyle w:val="NormalLeft"/>
            </w:pPr>
            <w:r w:rsidRPr="00DE12A3">
              <w:t>75</w:t>
            </w:r>
          </w:p>
        </w:tc>
        <w:tc>
          <w:tcPr>
            <w:tcW w:w="2551" w:type="dxa"/>
            <w:tcBorders>
              <w:top w:val="single" w:sz="2" w:space="0" w:color="auto"/>
              <w:left w:val="single" w:sz="2" w:space="0" w:color="auto"/>
              <w:bottom w:val="single" w:sz="2" w:space="0" w:color="auto"/>
              <w:right w:val="single" w:sz="2" w:space="0" w:color="auto"/>
            </w:tcBorders>
          </w:tcPr>
          <w:p w14:paraId="715D4CA2" w14:textId="77777777" w:rsidR="009F4766" w:rsidRPr="00DE12A3" w:rsidRDefault="009F4766" w:rsidP="00C917D6">
            <w:pPr>
              <w:pStyle w:val="NormalLeft"/>
            </w:pPr>
            <w:r w:rsidRPr="00DE12A3">
              <w:t>72</w:t>
            </w:r>
          </w:p>
        </w:tc>
      </w:tr>
      <w:tr w:rsidR="00DE12A3" w:rsidRPr="00DE12A3" w14:paraId="5266C27E" w14:textId="77777777" w:rsidTr="009F4766">
        <w:tc>
          <w:tcPr>
            <w:tcW w:w="1182" w:type="dxa"/>
            <w:tcBorders>
              <w:top w:val="single" w:sz="2" w:space="0" w:color="auto"/>
              <w:left w:val="single" w:sz="2" w:space="0" w:color="auto"/>
              <w:bottom w:val="single" w:sz="2" w:space="0" w:color="auto"/>
              <w:right w:val="single" w:sz="2" w:space="0" w:color="auto"/>
            </w:tcBorders>
          </w:tcPr>
          <w:p w14:paraId="13759065" w14:textId="77777777" w:rsidR="009F4766" w:rsidRPr="00DE12A3" w:rsidRDefault="009F4766" w:rsidP="00C917D6">
            <w:pPr>
              <w:pStyle w:val="NormalLeft"/>
            </w:pPr>
            <w:r w:rsidRPr="00DE12A3">
              <w:t>467</w:t>
            </w:r>
          </w:p>
        </w:tc>
        <w:tc>
          <w:tcPr>
            <w:tcW w:w="2489" w:type="dxa"/>
            <w:tcBorders>
              <w:top w:val="single" w:sz="2" w:space="0" w:color="auto"/>
              <w:left w:val="single" w:sz="2" w:space="0" w:color="auto"/>
              <w:bottom w:val="single" w:sz="2" w:space="0" w:color="auto"/>
              <w:right w:val="single" w:sz="2" w:space="0" w:color="auto"/>
            </w:tcBorders>
          </w:tcPr>
          <w:p w14:paraId="2031201A" w14:textId="77777777" w:rsidR="009F4766" w:rsidRPr="00DE12A3" w:rsidRDefault="009F4766" w:rsidP="00C917D6">
            <w:pPr>
              <w:pStyle w:val="NormalLeft"/>
            </w:pPr>
            <w:r w:rsidRPr="00DE12A3">
              <w:t>89</w:t>
            </w:r>
          </w:p>
        </w:tc>
        <w:tc>
          <w:tcPr>
            <w:tcW w:w="2551" w:type="dxa"/>
            <w:tcBorders>
              <w:top w:val="single" w:sz="2" w:space="0" w:color="auto"/>
              <w:left w:val="single" w:sz="2" w:space="0" w:color="auto"/>
              <w:bottom w:val="single" w:sz="2" w:space="0" w:color="auto"/>
              <w:right w:val="single" w:sz="2" w:space="0" w:color="auto"/>
            </w:tcBorders>
          </w:tcPr>
          <w:p w14:paraId="17A93BC5" w14:textId="77777777" w:rsidR="009F4766" w:rsidRPr="00DE12A3" w:rsidRDefault="009F4766" w:rsidP="00C917D6">
            <w:pPr>
              <w:pStyle w:val="NormalLeft"/>
            </w:pPr>
            <w:r w:rsidRPr="00DE12A3">
              <w:t>67</w:t>
            </w:r>
          </w:p>
        </w:tc>
      </w:tr>
      <w:tr w:rsidR="00DE12A3" w:rsidRPr="00DE12A3" w14:paraId="6668E602" w14:textId="77777777" w:rsidTr="009F4766">
        <w:tc>
          <w:tcPr>
            <w:tcW w:w="1182" w:type="dxa"/>
            <w:tcBorders>
              <w:top w:val="single" w:sz="2" w:space="0" w:color="auto"/>
              <w:left w:val="single" w:sz="2" w:space="0" w:color="auto"/>
              <w:bottom w:val="single" w:sz="2" w:space="0" w:color="auto"/>
              <w:right w:val="single" w:sz="2" w:space="0" w:color="auto"/>
            </w:tcBorders>
          </w:tcPr>
          <w:p w14:paraId="4B403204" w14:textId="77777777" w:rsidR="009F4766" w:rsidRPr="00DE12A3" w:rsidRDefault="009F4766" w:rsidP="00C917D6">
            <w:pPr>
              <w:pStyle w:val="NormalLeft"/>
            </w:pPr>
            <w:r w:rsidRPr="00DE12A3">
              <w:t>468</w:t>
            </w:r>
          </w:p>
        </w:tc>
        <w:tc>
          <w:tcPr>
            <w:tcW w:w="2489" w:type="dxa"/>
            <w:tcBorders>
              <w:top w:val="single" w:sz="2" w:space="0" w:color="auto"/>
              <w:left w:val="single" w:sz="2" w:space="0" w:color="auto"/>
              <w:bottom w:val="single" w:sz="2" w:space="0" w:color="auto"/>
              <w:right w:val="single" w:sz="2" w:space="0" w:color="auto"/>
            </w:tcBorders>
          </w:tcPr>
          <w:p w14:paraId="78CB9FE9" w14:textId="77777777" w:rsidR="009F4766" w:rsidRPr="00DE12A3" w:rsidRDefault="009F4766" w:rsidP="00C917D6">
            <w:pPr>
              <w:pStyle w:val="NormalLeft"/>
            </w:pPr>
            <w:r w:rsidRPr="00DE12A3">
              <w:t>93</w:t>
            </w:r>
          </w:p>
        </w:tc>
        <w:tc>
          <w:tcPr>
            <w:tcW w:w="2551" w:type="dxa"/>
            <w:tcBorders>
              <w:top w:val="single" w:sz="2" w:space="0" w:color="auto"/>
              <w:left w:val="single" w:sz="2" w:space="0" w:color="auto"/>
              <w:bottom w:val="single" w:sz="2" w:space="0" w:color="auto"/>
              <w:right w:val="single" w:sz="2" w:space="0" w:color="auto"/>
            </w:tcBorders>
          </w:tcPr>
          <w:p w14:paraId="36C2B364" w14:textId="77777777" w:rsidR="009F4766" w:rsidRPr="00DE12A3" w:rsidRDefault="009F4766" w:rsidP="00C917D6">
            <w:pPr>
              <w:pStyle w:val="NormalLeft"/>
            </w:pPr>
            <w:r w:rsidRPr="00DE12A3">
              <w:t>60</w:t>
            </w:r>
          </w:p>
        </w:tc>
      </w:tr>
      <w:tr w:rsidR="00DE12A3" w:rsidRPr="00DE12A3" w14:paraId="3DF07158" w14:textId="77777777" w:rsidTr="009F4766">
        <w:tc>
          <w:tcPr>
            <w:tcW w:w="1182" w:type="dxa"/>
            <w:tcBorders>
              <w:top w:val="single" w:sz="2" w:space="0" w:color="auto"/>
              <w:left w:val="single" w:sz="2" w:space="0" w:color="auto"/>
              <w:bottom w:val="single" w:sz="2" w:space="0" w:color="auto"/>
              <w:right w:val="single" w:sz="2" w:space="0" w:color="auto"/>
            </w:tcBorders>
          </w:tcPr>
          <w:p w14:paraId="614CBD08" w14:textId="77777777" w:rsidR="009F4766" w:rsidRPr="00DE12A3" w:rsidRDefault="009F4766" w:rsidP="00C917D6">
            <w:pPr>
              <w:pStyle w:val="NormalLeft"/>
            </w:pPr>
            <w:r w:rsidRPr="00DE12A3">
              <w:t>469</w:t>
            </w:r>
          </w:p>
        </w:tc>
        <w:tc>
          <w:tcPr>
            <w:tcW w:w="2489" w:type="dxa"/>
            <w:tcBorders>
              <w:top w:val="single" w:sz="2" w:space="0" w:color="auto"/>
              <w:left w:val="single" w:sz="2" w:space="0" w:color="auto"/>
              <w:bottom w:val="single" w:sz="2" w:space="0" w:color="auto"/>
              <w:right w:val="single" w:sz="2" w:space="0" w:color="auto"/>
            </w:tcBorders>
          </w:tcPr>
          <w:p w14:paraId="57FCC1BC" w14:textId="77777777" w:rsidR="009F4766" w:rsidRPr="00DE12A3" w:rsidRDefault="009F4766" w:rsidP="00C917D6">
            <w:pPr>
              <w:pStyle w:val="NormalLeft"/>
            </w:pPr>
            <w:r w:rsidRPr="00DE12A3">
              <w:t>89</w:t>
            </w:r>
          </w:p>
        </w:tc>
        <w:tc>
          <w:tcPr>
            <w:tcW w:w="2551" w:type="dxa"/>
            <w:tcBorders>
              <w:top w:val="single" w:sz="2" w:space="0" w:color="auto"/>
              <w:left w:val="single" w:sz="2" w:space="0" w:color="auto"/>
              <w:bottom w:val="single" w:sz="2" w:space="0" w:color="auto"/>
              <w:right w:val="single" w:sz="2" w:space="0" w:color="auto"/>
            </w:tcBorders>
          </w:tcPr>
          <w:p w14:paraId="16A11D5F" w14:textId="77777777" w:rsidR="009F4766" w:rsidRPr="00DE12A3" w:rsidRDefault="009F4766" w:rsidP="00C917D6">
            <w:pPr>
              <w:pStyle w:val="NormalLeft"/>
            </w:pPr>
            <w:r w:rsidRPr="00DE12A3">
              <w:t>73</w:t>
            </w:r>
          </w:p>
        </w:tc>
      </w:tr>
      <w:tr w:rsidR="00DE12A3" w:rsidRPr="00DE12A3" w14:paraId="245F109D" w14:textId="77777777" w:rsidTr="009F4766">
        <w:tc>
          <w:tcPr>
            <w:tcW w:w="1182" w:type="dxa"/>
            <w:tcBorders>
              <w:top w:val="single" w:sz="2" w:space="0" w:color="auto"/>
              <w:left w:val="single" w:sz="2" w:space="0" w:color="auto"/>
              <w:bottom w:val="single" w:sz="2" w:space="0" w:color="auto"/>
              <w:right w:val="single" w:sz="2" w:space="0" w:color="auto"/>
            </w:tcBorders>
          </w:tcPr>
          <w:p w14:paraId="4C3920C6" w14:textId="77777777" w:rsidR="009F4766" w:rsidRPr="00DE12A3" w:rsidRDefault="009F4766" w:rsidP="00C917D6">
            <w:pPr>
              <w:pStyle w:val="NormalLeft"/>
            </w:pPr>
            <w:r w:rsidRPr="00DE12A3">
              <w:t>470</w:t>
            </w:r>
          </w:p>
        </w:tc>
        <w:tc>
          <w:tcPr>
            <w:tcW w:w="2489" w:type="dxa"/>
            <w:tcBorders>
              <w:top w:val="single" w:sz="2" w:space="0" w:color="auto"/>
              <w:left w:val="single" w:sz="2" w:space="0" w:color="auto"/>
              <w:bottom w:val="single" w:sz="2" w:space="0" w:color="auto"/>
              <w:right w:val="single" w:sz="2" w:space="0" w:color="auto"/>
            </w:tcBorders>
          </w:tcPr>
          <w:p w14:paraId="46AB23AC" w14:textId="77777777" w:rsidR="009F4766" w:rsidRPr="00DE12A3" w:rsidRDefault="009F4766" w:rsidP="00C917D6">
            <w:pPr>
              <w:pStyle w:val="NormalLeft"/>
            </w:pPr>
            <w:r w:rsidRPr="00DE12A3">
              <w:t>86</w:t>
            </w:r>
          </w:p>
        </w:tc>
        <w:tc>
          <w:tcPr>
            <w:tcW w:w="2551" w:type="dxa"/>
            <w:tcBorders>
              <w:top w:val="single" w:sz="2" w:space="0" w:color="auto"/>
              <w:left w:val="single" w:sz="2" w:space="0" w:color="auto"/>
              <w:bottom w:val="single" w:sz="2" w:space="0" w:color="auto"/>
              <w:right w:val="single" w:sz="2" w:space="0" w:color="auto"/>
            </w:tcBorders>
          </w:tcPr>
          <w:p w14:paraId="2E844BDC" w14:textId="77777777" w:rsidR="009F4766" w:rsidRPr="00DE12A3" w:rsidRDefault="009F4766" w:rsidP="00C917D6">
            <w:pPr>
              <w:pStyle w:val="NormalLeft"/>
            </w:pPr>
            <w:r w:rsidRPr="00DE12A3">
              <w:t>73</w:t>
            </w:r>
          </w:p>
        </w:tc>
      </w:tr>
      <w:tr w:rsidR="00DE12A3" w:rsidRPr="00DE12A3" w14:paraId="4650A408" w14:textId="77777777" w:rsidTr="009F4766">
        <w:tc>
          <w:tcPr>
            <w:tcW w:w="1182" w:type="dxa"/>
            <w:tcBorders>
              <w:top w:val="single" w:sz="2" w:space="0" w:color="auto"/>
              <w:left w:val="single" w:sz="2" w:space="0" w:color="auto"/>
              <w:bottom w:val="single" w:sz="2" w:space="0" w:color="auto"/>
              <w:right w:val="single" w:sz="2" w:space="0" w:color="auto"/>
            </w:tcBorders>
          </w:tcPr>
          <w:p w14:paraId="6E0D1AC5" w14:textId="77777777" w:rsidR="009F4766" w:rsidRPr="00DE12A3" w:rsidRDefault="009F4766" w:rsidP="00C917D6">
            <w:pPr>
              <w:pStyle w:val="NormalLeft"/>
            </w:pPr>
            <w:r w:rsidRPr="00DE12A3">
              <w:t>471</w:t>
            </w:r>
          </w:p>
        </w:tc>
        <w:tc>
          <w:tcPr>
            <w:tcW w:w="2489" w:type="dxa"/>
            <w:tcBorders>
              <w:top w:val="single" w:sz="2" w:space="0" w:color="auto"/>
              <w:left w:val="single" w:sz="2" w:space="0" w:color="auto"/>
              <w:bottom w:val="single" w:sz="2" w:space="0" w:color="auto"/>
              <w:right w:val="single" w:sz="2" w:space="0" w:color="auto"/>
            </w:tcBorders>
          </w:tcPr>
          <w:p w14:paraId="07C8D934" w14:textId="77777777" w:rsidR="009F4766" w:rsidRPr="00DE12A3" w:rsidRDefault="009F4766" w:rsidP="00C917D6">
            <w:pPr>
              <w:pStyle w:val="NormalLeft"/>
            </w:pPr>
            <w:r w:rsidRPr="00DE12A3">
              <w:t>81</w:t>
            </w:r>
          </w:p>
        </w:tc>
        <w:tc>
          <w:tcPr>
            <w:tcW w:w="2551" w:type="dxa"/>
            <w:tcBorders>
              <w:top w:val="single" w:sz="2" w:space="0" w:color="auto"/>
              <w:left w:val="single" w:sz="2" w:space="0" w:color="auto"/>
              <w:bottom w:val="single" w:sz="2" w:space="0" w:color="auto"/>
              <w:right w:val="single" w:sz="2" w:space="0" w:color="auto"/>
            </w:tcBorders>
          </w:tcPr>
          <w:p w14:paraId="3F414714" w14:textId="77777777" w:rsidR="009F4766" w:rsidRPr="00DE12A3" w:rsidRDefault="009F4766" w:rsidP="00C917D6">
            <w:pPr>
              <w:pStyle w:val="NormalLeft"/>
            </w:pPr>
            <w:r w:rsidRPr="00DE12A3">
              <w:t>73</w:t>
            </w:r>
          </w:p>
        </w:tc>
      </w:tr>
      <w:tr w:rsidR="00DE12A3" w:rsidRPr="00DE12A3" w14:paraId="0C704E60" w14:textId="77777777" w:rsidTr="009F4766">
        <w:tc>
          <w:tcPr>
            <w:tcW w:w="1182" w:type="dxa"/>
            <w:tcBorders>
              <w:top w:val="single" w:sz="2" w:space="0" w:color="auto"/>
              <w:left w:val="single" w:sz="2" w:space="0" w:color="auto"/>
              <w:bottom w:val="single" w:sz="2" w:space="0" w:color="auto"/>
              <w:right w:val="single" w:sz="2" w:space="0" w:color="auto"/>
            </w:tcBorders>
          </w:tcPr>
          <w:p w14:paraId="1EB1919D" w14:textId="77777777" w:rsidR="009F4766" w:rsidRPr="00DE12A3" w:rsidRDefault="009F4766" w:rsidP="00C917D6">
            <w:pPr>
              <w:pStyle w:val="NormalLeft"/>
            </w:pPr>
            <w:r w:rsidRPr="00DE12A3">
              <w:t>472</w:t>
            </w:r>
          </w:p>
        </w:tc>
        <w:tc>
          <w:tcPr>
            <w:tcW w:w="2489" w:type="dxa"/>
            <w:tcBorders>
              <w:top w:val="single" w:sz="2" w:space="0" w:color="auto"/>
              <w:left w:val="single" w:sz="2" w:space="0" w:color="auto"/>
              <w:bottom w:val="single" w:sz="2" w:space="0" w:color="auto"/>
              <w:right w:val="single" w:sz="2" w:space="0" w:color="auto"/>
            </w:tcBorders>
          </w:tcPr>
          <w:p w14:paraId="1D2BEB2F" w14:textId="77777777" w:rsidR="009F4766" w:rsidRPr="00DE12A3" w:rsidRDefault="009F4766" w:rsidP="00C917D6">
            <w:pPr>
              <w:pStyle w:val="NormalLeft"/>
            </w:pPr>
            <w:r w:rsidRPr="00DE12A3">
              <w:t>78</w:t>
            </w:r>
          </w:p>
        </w:tc>
        <w:tc>
          <w:tcPr>
            <w:tcW w:w="2551" w:type="dxa"/>
            <w:tcBorders>
              <w:top w:val="single" w:sz="2" w:space="0" w:color="auto"/>
              <w:left w:val="single" w:sz="2" w:space="0" w:color="auto"/>
              <w:bottom w:val="single" w:sz="2" w:space="0" w:color="auto"/>
              <w:right w:val="single" w:sz="2" w:space="0" w:color="auto"/>
            </w:tcBorders>
          </w:tcPr>
          <w:p w14:paraId="38EA37ED" w14:textId="77777777" w:rsidR="009F4766" w:rsidRPr="00DE12A3" w:rsidRDefault="009F4766" w:rsidP="00C917D6">
            <w:pPr>
              <w:pStyle w:val="NormalLeft"/>
            </w:pPr>
            <w:r w:rsidRPr="00DE12A3">
              <w:t>73</w:t>
            </w:r>
          </w:p>
        </w:tc>
      </w:tr>
      <w:tr w:rsidR="00DE12A3" w:rsidRPr="00DE12A3" w14:paraId="6B3EDB9B" w14:textId="77777777" w:rsidTr="009F4766">
        <w:tc>
          <w:tcPr>
            <w:tcW w:w="1182" w:type="dxa"/>
            <w:tcBorders>
              <w:top w:val="single" w:sz="2" w:space="0" w:color="auto"/>
              <w:left w:val="single" w:sz="2" w:space="0" w:color="auto"/>
              <w:bottom w:val="single" w:sz="2" w:space="0" w:color="auto"/>
              <w:right w:val="single" w:sz="2" w:space="0" w:color="auto"/>
            </w:tcBorders>
          </w:tcPr>
          <w:p w14:paraId="4B7B7318" w14:textId="77777777" w:rsidR="009F4766" w:rsidRPr="00DE12A3" w:rsidRDefault="009F4766" w:rsidP="00C917D6">
            <w:pPr>
              <w:pStyle w:val="NormalLeft"/>
            </w:pPr>
            <w:r w:rsidRPr="00DE12A3">
              <w:t>473</w:t>
            </w:r>
          </w:p>
        </w:tc>
        <w:tc>
          <w:tcPr>
            <w:tcW w:w="2489" w:type="dxa"/>
            <w:tcBorders>
              <w:top w:val="single" w:sz="2" w:space="0" w:color="auto"/>
              <w:left w:val="single" w:sz="2" w:space="0" w:color="auto"/>
              <w:bottom w:val="single" w:sz="2" w:space="0" w:color="auto"/>
              <w:right w:val="single" w:sz="2" w:space="0" w:color="auto"/>
            </w:tcBorders>
          </w:tcPr>
          <w:p w14:paraId="59FB3EBA" w14:textId="77777777" w:rsidR="009F4766" w:rsidRPr="00DE12A3" w:rsidRDefault="009F4766" w:rsidP="00C917D6">
            <w:pPr>
              <w:pStyle w:val="NormalLeft"/>
            </w:pPr>
            <w:r w:rsidRPr="00DE12A3">
              <w:t>78</w:t>
            </w:r>
          </w:p>
        </w:tc>
        <w:tc>
          <w:tcPr>
            <w:tcW w:w="2551" w:type="dxa"/>
            <w:tcBorders>
              <w:top w:val="single" w:sz="2" w:space="0" w:color="auto"/>
              <w:left w:val="single" w:sz="2" w:space="0" w:color="auto"/>
              <w:bottom w:val="single" w:sz="2" w:space="0" w:color="auto"/>
              <w:right w:val="single" w:sz="2" w:space="0" w:color="auto"/>
            </w:tcBorders>
          </w:tcPr>
          <w:p w14:paraId="16A24BB3" w14:textId="77777777" w:rsidR="009F4766" w:rsidRPr="00DE12A3" w:rsidRDefault="009F4766" w:rsidP="00C917D6">
            <w:pPr>
              <w:pStyle w:val="NormalLeft"/>
            </w:pPr>
            <w:r w:rsidRPr="00DE12A3">
              <w:t>73</w:t>
            </w:r>
          </w:p>
        </w:tc>
      </w:tr>
      <w:tr w:rsidR="00DE12A3" w:rsidRPr="00DE12A3" w14:paraId="0A490BC3" w14:textId="77777777" w:rsidTr="009F4766">
        <w:tc>
          <w:tcPr>
            <w:tcW w:w="1182" w:type="dxa"/>
            <w:tcBorders>
              <w:top w:val="single" w:sz="2" w:space="0" w:color="auto"/>
              <w:left w:val="single" w:sz="2" w:space="0" w:color="auto"/>
              <w:bottom w:val="single" w:sz="2" w:space="0" w:color="auto"/>
              <w:right w:val="single" w:sz="2" w:space="0" w:color="auto"/>
            </w:tcBorders>
          </w:tcPr>
          <w:p w14:paraId="657BB162" w14:textId="77777777" w:rsidR="009F4766" w:rsidRPr="00DE12A3" w:rsidRDefault="009F4766" w:rsidP="00C917D6">
            <w:pPr>
              <w:pStyle w:val="NormalLeft"/>
            </w:pPr>
            <w:r w:rsidRPr="00DE12A3">
              <w:t>474</w:t>
            </w:r>
          </w:p>
        </w:tc>
        <w:tc>
          <w:tcPr>
            <w:tcW w:w="2489" w:type="dxa"/>
            <w:tcBorders>
              <w:top w:val="single" w:sz="2" w:space="0" w:color="auto"/>
              <w:left w:val="single" w:sz="2" w:space="0" w:color="auto"/>
              <w:bottom w:val="single" w:sz="2" w:space="0" w:color="auto"/>
              <w:right w:val="single" w:sz="2" w:space="0" w:color="auto"/>
            </w:tcBorders>
          </w:tcPr>
          <w:p w14:paraId="5550E1FB" w14:textId="77777777" w:rsidR="009F4766" w:rsidRPr="00DE12A3" w:rsidRDefault="009F4766" w:rsidP="00C917D6">
            <w:pPr>
              <w:pStyle w:val="NormalLeft"/>
            </w:pPr>
            <w:r w:rsidRPr="00DE12A3">
              <w:t>76</w:t>
            </w:r>
          </w:p>
        </w:tc>
        <w:tc>
          <w:tcPr>
            <w:tcW w:w="2551" w:type="dxa"/>
            <w:tcBorders>
              <w:top w:val="single" w:sz="2" w:space="0" w:color="auto"/>
              <w:left w:val="single" w:sz="2" w:space="0" w:color="auto"/>
              <w:bottom w:val="single" w:sz="2" w:space="0" w:color="auto"/>
              <w:right w:val="single" w:sz="2" w:space="0" w:color="auto"/>
            </w:tcBorders>
          </w:tcPr>
          <w:p w14:paraId="1AFA2ACF" w14:textId="77777777" w:rsidR="009F4766" w:rsidRPr="00DE12A3" w:rsidRDefault="009F4766" w:rsidP="00C917D6">
            <w:pPr>
              <w:pStyle w:val="NormalLeft"/>
            </w:pPr>
            <w:r w:rsidRPr="00DE12A3">
              <w:t>73</w:t>
            </w:r>
          </w:p>
        </w:tc>
      </w:tr>
      <w:tr w:rsidR="00DE12A3" w:rsidRPr="00DE12A3" w14:paraId="2E246112" w14:textId="77777777" w:rsidTr="009F4766">
        <w:tc>
          <w:tcPr>
            <w:tcW w:w="1182" w:type="dxa"/>
            <w:tcBorders>
              <w:top w:val="single" w:sz="2" w:space="0" w:color="auto"/>
              <w:left w:val="single" w:sz="2" w:space="0" w:color="auto"/>
              <w:bottom w:val="single" w:sz="2" w:space="0" w:color="auto"/>
              <w:right w:val="single" w:sz="2" w:space="0" w:color="auto"/>
            </w:tcBorders>
          </w:tcPr>
          <w:p w14:paraId="2F54F309" w14:textId="77777777" w:rsidR="009F4766" w:rsidRPr="00DE12A3" w:rsidRDefault="009F4766" w:rsidP="00C917D6">
            <w:pPr>
              <w:pStyle w:val="NormalLeft"/>
            </w:pPr>
            <w:r w:rsidRPr="00DE12A3">
              <w:t>475</w:t>
            </w:r>
          </w:p>
        </w:tc>
        <w:tc>
          <w:tcPr>
            <w:tcW w:w="2489" w:type="dxa"/>
            <w:tcBorders>
              <w:top w:val="single" w:sz="2" w:space="0" w:color="auto"/>
              <w:left w:val="single" w:sz="2" w:space="0" w:color="auto"/>
              <w:bottom w:val="single" w:sz="2" w:space="0" w:color="auto"/>
              <w:right w:val="single" w:sz="2" w:space="0" w:color="auto"/>
            </w:tcBorders>
          </w:tcPr>
          <w:p w14:paraId="68FC66C6" w14:textId="77777777" w:rsidR="009F4766" w:rsidRPr="00DE12A3" w:rsidRDefault="009F4766" w:rsidP="00C917D6">
            <w:pPr>
              <w:pStyle w:val="NormalLeft"/>
            </w:pPr>
            <w:r w:rsidRPr="00DE12A3">
              <w:t>79</w:t>
            </w:r>
          </w:p>
        </w:tc>
        <w:tc>
          <w:tcPr>
            <w:tcW w:w="2551" w:type="dxa"/>
            <w:tcBorders>
              <w:top w:val="single" w:sz="2" w:space="0" w:color="auto"/>
              <w:left w:val="single" w:sz="2" w:space="0" w:color="auto"/>
              <w:bottom w:val="single" w:sz="2" w:space="0" w:color="auto"/>
              <w:right w:val="single" w:sz="2" w:space="0" w:color="auto"/>
            </w:tcBorders>
          </w:tcPr>
          <w:p w14:paraId="35FFB736" w14:textId="77777777" w:rsidR="009F4766" w:rsidRPr="00DE12A3" w:rsidRDefault="009F4766" w:rsidP="00C917D6">
            <w:pPr>
              <w:pStyle w:val="NormalLeft"/>
            </w:pPr>
            <w:r w:rsidRPr="00DE12A3">
              <w:t>73</w:t>
            </w:r>
          </w:p>
        </w:tc>
      </w:tr>
      <w:tr w:rsidR="00DE12A3" w:rsidRPr="00DE12A3" w14:paraId="45540D21" w14:textId="77777777" w:rsidTr="009F4766">
        <w:tc>
          <w:tcPr>
            <w:tcW w:w="1182" w:type="dxa"/>
            <w:tcBorders>
              <w:top w:val="single" w:sz="2" w:space="0" w:color="auto"/>
              <w:left w:val="single" w:sz="2" w:space="0" w:color="auto"/>
              <w:bottom w:val="single" w:sz="2" w:space="0" w:color="auto"/>
              <w:right w:val="single" w:sz="2" w:space="0" w:color="auto"/>
            </w:tcBorders>
          </w:tcPr>
          <w:p w14:paraId="44ACA9D5" w14:textId="77777777" w:rsidR="009F4766" w:rsidRPr="00DE12A3" w:rsidRDefault="009F4766" w:rsidP="00C917D6">
            <w:pPr>
              <w:pStyle w:val="NormalLeft"/>
            </w:pPr>
            <w:r w:rsidRPr="00DE12A3">
              <w:lastRenderedPageBreak/>
              <w:t>476</w:t>
            </w:r>
          </w:p>
        </w:tc>
        <w:tc>
          <w:tcPr>
            <w:tcW w:w="2489" w:type="dxa"/>
            <w:tcBorders>
              <w:top w:val="single" w:sz="2" w:space="0" w:color="auto"/>
              <w:left w:val="single" w:sz="2" w:space="0" w:color="auto"/>
              <w:bottom w:val="single" w:sz="2" w:space="0" w:color="auto"/>
              <w:right w:val="single" w:sz="2" w:space="0" w:color="auto"/>
            </w:tcBorders>
          </w:tcPr>
          <w:p w14:paraId="2EFC365C" w14:textId="77777777" w:rsidR="009F4766" w:rsidRPr="00DE12A3" w:rsidRDefault="009F4766" w:rsidP="00C917D6">
            <w:pPr>
              <w:pStyle w:val="NormalLeft"/>
            </w:pPr>
            <w:r w:rsidRPr="00DE12A3">
              <w:t>82</w:t>
            </w:r>
          </w:p>
        </w:tc>
        <w:tc>
          <w:tcPr>
            <w:tcW w:w="2551" w:type="dxa"/>
            <w:tcBorders>
              <w:top w:val="single" w:sz="2" w:space="0" w:color="auto"/>
              <w:left w:val="single" w:sz="2" w:space="0" w:color="auto"/>
              <w:bottom w:val="single" w:sz="2" w:space="0" w:color="auto"/>
              <w:right w:val="single" w:sz="2" w:space="0" w:color="auto"/>
            </w:tcBorders>
          </w:tcPr>
          <w:p w14:paraId="1CBE2311" w14:textId="77777777" w:rsidR="009F4766" w:rsidRPr="00DE12A3" w:rsidRDefault="009F4766" w:rsidP="00C917D6">
            <w:pPr>
              <w:pStyle w:val="NormalLeft"/>
            </w:pPr>
            <w:r w:rsidRPr="00DE12A3">
              <w:t>73</w:t>
            </w:r>
          </w:p>
        </w:tc>
      </w:tr>
      <w:tr w:rsidR="00DE12A3" w:rsidRPr="00DE12A3" w14:paraId="16FA40BD" w14:textId="77777777" w:rsidTr="009F4766">
        <w:tc>
          <w:tcPr>
            <w:tcW w:w="1182" w:type="dxa"/>
            <w:tcBorders>
              <w:top w:val="single" w:sz="2" w:space="0" w:color="auto"/>
              <w:left w:val="single" w:sz="2" w:space="0" w:color="auto"/>
              <w:bottom w:val="single" w:sz="2" w:space="0" w:color="auto"/>
              <w:right w:val="single" w:sz="2" w:space="0" w:color="auto"/>
            </w:tcBorders>
          </w:tcPr>
          <w:p w14:paraId="44888F8B" w14:textId="77777777" w:rsidR="009F4766" w:rsidRPr="00DE12A3" w:rsidRDefault="009F4766" w:rsidP="00C917D6">
            <w:pPr>
              <w:pStyle w:val="NormalLeft"/>
            </w:pPr>
            <w:r w:rsidRPr="00DE12A3">
              <w:t>477</w:t>
            </w:r>
          </w:p>
        </w:tc>
        <w:tc>
          <w:tcPr>
            <w:tcW w:w="2489" w:type="dxa"/>
            <w:tcBorders>
              <w:top w:val="single" w:sz="2" w:space="0" w:color="auto"/>
              <w:left w:val="single" w:sz="2" w:space="0" w:color="auto"/>
              <w:bottom w:val="single" w:sz="2" w:space="0" w:color="auto"/>
              <w:right w:val="single" w:sz="2" w:space="0" w:color="auto"/>
            </w:tcBorders>
          </w:tcPr>
          <w:p w14:paraId="45F79832" w14:textId="77777777" w:rsidR="009F4766" w:rsidRPr="00DE12A3" w:rsidRDefault="009F4766" w:rsidP="00C917D6">
            <w:pPr>
              <w:pStyle w:val="NormalLeft"/>
            </w:pPr>
            <w:r w:rsidRPr="00DE12A3">
              <w:t>86</w:t>
            </w:r>
          </w:p>
        </w:tc>
        <w:tc>
          <w:tcPr>
            <w:tcW w:w="2551" w:type="dxa"/>
            <w:tcBorders>
              <w:top w:val="single" w:sz="2" w:space="0" w:color="auto"/>
              <w:left w:val="single" w:sz="2" w:space="0" w:color="auto"/>
              <w:bottom w:val="single" w:sz="2" w:space="0" w:color="auto"/>
              <w:right w:val="single" w:sz="2" w:space="0" w:color="auto"/>
            </w:tcBorders>
          </w:tcPr>
          <w:p w14:paraId="469681B1" w14:textId="77777777" w:rsidR="009F4766" w:rsidRPr="00DE12A3" w:rsidRDefault="009F4766" w:rsidP="00C917D6">
            <w:pPr>
              <w:pStyle w:val="NormalLeft"/>
            </w:pPr>
            <w:r w:rsidRPr="00DE12A3">
              <w:t>73</w:t>
            </w:r>
          </w:p>
        </w:tc>
      </w:tr>
      <w:tr w:rsidR="00DE12A3" w:rsidRPr="00DE12A3" w14:paraId="65E216CC" w14:textId="77777777" w:rsidTr="009F4766">
        <w:tc>
          <w:tcPr>
            <w:tcW w:w="1182" w:type="dxa"/>
            <w:tcBorders>
              <w:top w:val="single" w:sz="2" w:space="0" w:color="auto"/>
              <w:left w:val="single" w:sz="2" w:space="0" w:color="auto"/>
              <w:bottom w:val="single" w:sz="2" w:space="0" w:color="auto"/>
              <w:right w:val="single" w:sz="2" w:space="0" w:color="auto"/>
            </w:tcBorders>
          </w:tcPr>
          <w:p w14:paraId="1992598C" w14:textId="77777777" w:rsidR="009F4766" w:rsidRPr="00DE12A3" w:rsidRDefault="009F4766" w:rsidP="00C917D6">
            <w:pPr>
              <w:pStyle w:val="NormalLeft"/>
            </w:pPr>
            <w:r w:rsidRPr="00DE12A3">
              <w:t>478</w:t>
            </w:r>
          </w:p>
        </w:tc>
        <w:tc>
          <w:tcPr>
            <w:tcW w:w="2489" w:type="dxa"/>
            <w:tcBorders>
              <w:top w:val="single" w:sz="2" w:space="0" w:color="auto"/>
              <w:left w:val="single" w:sz="2" w:space="0" w:color="auto"/>
              <w:bottom w:val="single" w:sz="2" w:space="0" w:color="auto"/>
              <w:right w:val="single" w:sz="2" w:space="0" w:color="auto"/>
            </w:tcBorders>
          </w:tcPr>
          <w:p w14:paraId="1E81FCE5" w14:textId="77777777" w:rsidR="009F4766" w:rsidRPr="00DE12A3" w:rsidRDefault="009F4766" w:rsidP="00C917D6">
            <w:pPr>
              <w:pStyle w:val="NormalLeft"/>
            </w:pPr>
            <w:r w:rsidRPr="00DE12A3">
              <w:t>88</w:t>
            </w:r>
          </w:p>
        </w:tc>
        <w:tc>
          <w:tcPr>
            <w:tcW w:w="2551" w:type="dxa"/>
            <w:tcBorders>
              <w:top w:val="single" w:sz="2" w:space="0" w:color="auto"/>
              <w:left w:val="single" w:sz="2" w:space="0" w:color="auto"/>
              <w:bottom w:val="single" w:sz="2" w:space="0" w:color="auto"/>
              <w:right w:val="single" w:sz="2" w:space="0" w:color="auto"/>
            </w:tcBorders>
          </w:tcPr>
          <w:p w14:paraId="7BCF9708" w14:textId="77777777" w:rsidR="009F4766" w:rsidRPr="00DE12A3" w:rsidRDefault="009F4766" w:rsidP="00C917D6">
            <w:pPr>
              <w:pStyle w:val="NormalLeft"/>
            </w:pPr>
            <w:r w:rsidRPr="00DE12A3">
              <w:t>72</w:t>
            </w:r>
          </w:p>
        </w:tc>
      </w:tr>
      <w:tr w:rsidR="00DE12A3" w:rsidRPr="00DE12A3" w14:paraId="373CFE90" w14:textId="77777777" w:rsidTr="009F4766">
        <w:tc>
          <w:tcPr>
            <w:tcW w:w="1182" w:type="dxa"/>
            <w:tcBorders>
              <w:top w:val="single" w:sz="2" w:space="0" w:color="auto"/>
              <w:left w:val="single" w:sz="2" w:space="0" w:color="auto"/>
              <w:bottom w:val="single" w:sz="2" w:space="0" w:color="auto"/>
              <w:right w:val="single" w:sz="2" w:space="0" w:color="auto"/>
            </w:tcBorders>
          </w:tcPr>
          <w:p w14:paraId="2D918AEB" w14:textId="77777777" w:rsidR="009F4766" w:rsidRPr="00DE12A3" w:rsidRDefault="009F4766" w:rsidP="00C917D6">
            <w:pPr>
              <w:pStyle w:val="NormalLeft"/>
            </w:pPr>
            <w:r w:rsidRPr="00DE12A3">
              <w:t>479</w:t>
            </w:r>
          </w:p>
        </w:tc>
        <w:tc>
          <w:tcPr>
            <w:tcW w:w="2489" w:type="dxa"/>
            <w:tcBorders>
              <w:top w:val="single" w:sz="2" w:space="0" w:color="auto"/>
              <w:left w:val="single" w:sz="2" w:space="0" w:color="auto"/>
              <w:bottom w:val="single" w:sz="2" w:space="0" w:color="auto"/>
              <w:right w:val="single" w:sz="2" w:space="0" w:color="auto"/>
            </w:tcBorders>
          </w:tcPr>
          <w:p w14:paraId="438B280C" w14:textId="77777777" w:rsidR="009F4766" w:rsidRPr="00DE12A3" w:rsidRDefault="009F4766" w:rsidP="00C917D6">
            <w:pPr>
              <w:pStyle w:val="NormalLeft"/>
            </w:pPr>
            <w:r w:rsidRPr="00DE12A3">
              <w:t>92</w:t>
            </w:r>
          </w:p>
        </w:tc>
        <w:tc>
          <w:tcPr>
            <w:tcW w:w="2551" w:type="dxa"/>
            <w:tcBorders>
              <w:top w:val="single" w:sz="2" w:space="0" w:color="auto"/>
              <w:left w:val="single" w:sz="2" w:space="0" w:color="auto"/>
              <w:bottom w:val="single" w:sz="2" w:space="0" w:color="auto"/>
              <w:right w:val="single" w:sz="2" w:space="0" w:color="auto"/>
            </w:tcBorders>
          </w:tcPr>
          <w:p w14:paraId="4C8C238F" w14:textId="77777777" w:rsidR="009F4766" w:rsidRPr="00DE12A3" w:rsidRDefault="009F4766" w:rsidP="00C917D6">
            <w:pPr>
              <w:pStyle w:val="NormalLeft"/>
            </w:pPr>
            <w:r w:rsidRPr="00DE12A3">
              <w:t>71</w:t>
            </w:r>
          </w:p>
        </w:tc>
      </w:tr>
      <w:tr w:rsidR="00DE12A3" w:rsidRPr="00DE12A3" w14:paraId="5E011194" w14:textId="77777777" w:rsidTr="009F4766">
        <w:tc>
          <w:tcPr>
            <w:tcW w:w="1182" w:type="dxa"/>
            <w:tcBorders>
              <w:top w:val="single" w:sz="2" w:space="0" w:color="auto"/>
              <w:left w:val="single" w:sz="2" w:space="0" w:color="auto"/>
              <w:bottom w:val="single" w:sz="2" w:space="0" w:color="auto"/>
              <w:right w:val="single" w:sz="2" w:space="0" w:color="auto"/>
            </w:tcBorders>
          </w:tcPr>
          <w:p w14:paraId="39FEBD71" w14:textId="77777777" w:rsidR="009F4766" w:rsidRPr="00DE12A3" w:rsidRDefault="009F4766" w:rsidP="00C917D6">
            <w:pPr>
              <w:pStyle w:val="NormalLeft"/>
            </w:pPr>
            <w:r w:rsidRPr="00DE12A3">
              <w:t>480</w:t>
            </w:r>
          </w:p>
        </w:tc>
        <w:tc>
          <w:tcPr>
            <w:tcW w:w="2489" w:type="dxa"/>
            <w:tcBorders>
              <w:top w:val="single" w:sz="2" w:space="0" w:color="auto"/>
              <w:left w:val="single" w:sz="2" w:space="0" w:color="auto"/>
              <w:bottom w:val="single" w:sz="2" w:space="0" w:color="auto"/>
              <w:right w:val="single" w:sz="2" w:space="0" w:color="auto"/>
            </w:tcBorders>
          </w:tcPr>
          <w:p w14:paraId="7CB67DCD" w14:textId="77777777" w:rsidR="009F4766" w:rsidRPr="00DE12A3" w:rsidRDefault="009F4766" w:rsidP="00C917D6">
            <w:pPr>
              <w:pStyle w:val="NormalLeft"/>
            </w:pPr>
            <w:r w:rsidRPr="00DE12A3">
              <w:t>97</w:t>
            </w:r>
          </w:p>
        </w:tc>
        <w:tc>
          <w:tcPr>
            <w:tcW w:w="2551" w:type="dxa"/>
            <w:tcBorders>
              <w:top w:val="single" w:sz="2" w:space="0" w:color="auto"/>
              <w:left w:val="single" w:sz="2" w:space="0" w:color="auto"/>
              <w:bottom w:val="single" w:sz="2" w:space="0" w:color="auto"/>
              <w:right w:val="single" w:sz="2" w:space="0" w:color="auto"/>
            </w:tcBorders>
          </w:tcPr>
          <w:p w14:paraId="000514F1" w14:textId="77777777" w:rsidR="009F4766" w:rsidRPr="00DE12A3" w:rsidRDefault="009F4766" w:rsidP="00C917D6">
            <w:pPr>
              <w:pStyle w:val="NormalLeft"/>
            </w:pPr>
            <w:r w:rsidRPr="00DE12A3">
              <w:t>54</w:t>
            </w:r>
          </w:p>
        </w:tc>
      </w:tr>
      <w:tr w:rsidR="00DE12A3" w:rsidRPr="00DE12A3" w14:paraId="1B081D4A" w14:textId="77777777" w:rsidTr="009F4766">
        <w:tc>
          <w:tcPr>
            <w:tcW w:w="1182" w:type="dxa"/>
            <w:tcBorders>
              <w:top w:val="single" w:sz="2" w:space="0" w:color="auto"/>
              <w:left w:val="single" w:sz="2" w:space="0" w:color="auto"/>
              <w:bottom w:val="single" w:sz="2" w:space="0" w:color="auto"/>
              <w:right w:val="single" w:sz="2" w:space="0" w:color="auto"/>
            </w:tcBorders>
          </w:tcPr>
          <w:p w14:paraId="6A0C452A" w14:textId="77777777" w:rsidR="009F4766" w:rsidRPr="00DE12A3" w:rsidRDefault="009F4766" w:rsidP="00C917D6">
            <w:pPr>
              <w:pStyle w:val="NormalLeft"/>
            </w:pPr>
            <w:r w:rsidRPr="00DE12A3">
              <w:t>481</w:t>
            </w:r>
          </w:p>
        </w:tc>
        <w:tc>
          <w:tcPr>
            <w:tcW w:w="2489" w:type="dxa"/>
            <w:tcBorders>
              <w:top w:val="single" w:sz="2" w:space="0" w:color="auto"/>
              <w:left w:val="single" w:sz="2" w:space="0" w:color="auto"/>
              <w:bottom w:val="single" w:sz="2" w:space="0" w:color="auto"/>
              <w:right w:val="single" w:sz="2" w:space="0" w:color="auto"/>
            </w:tcBorders>
          </w:tcPr>
          <w:p w14:paraId="73C64142" w14:textId="77777777" w:rsidR="009F4766" w:rsidRPr="00DE12A3" w:rsidRDefault="009F4766" w:rsidP="00C917D6">
            <w:pPr>
              <w:pStyle w:val="NormalLeft"/>
            </w:pPr>
            <w:r w:rsidRPr="00DE12A3">
              <w:t>73</w:t>
            </w:r>
          </w:p>
        </w:tc>
        <w:tc>
          <w:tcPr>
            <w:tcW w:w="2551" w:type="dxa"/>
            <w:tcBorders>
              <w:top w:val="single" w:sz="2" w:space="0" w:color="auto"/>
              <w:left w:val="single" w:sz="2" w:space="0" w:color="auto"/>
              <w:bottom w:val="single" w:sz="2" w:space="0" w:color="auto"/>
              <w:right w:val="single" w:sz="2" w:space="0" w:color="auto"/>
            </w:tcBorders>
          </w:tcPr>
          <w:p w14:paraId="17C27B7D" w14:textId="77777777" w:rsidR="009F4766" w:rsidRPr="00DE12A3" w:rsidRDefault="009F4766" w:rsidP="00C917D6">
            <w:pPr>
              <w:pStyle w:val="NormalLeft"/>
            </w:pPr>
            <w:r w:rsidRPr="00DE12A3">
              <w:t>43</w:t>
            </w:r>
          </w:p>
        </w:tc>
      </w:tr>
      <w:tr w:rsidR="00DE12A3" w:rsidRPr="00DE12A3" w14:paraId="36D44F12" w14:textId="77777777" w:rsidTr="009F4766">
        <w:tc>
          <w:tcPr>
            <w:tcW w:w="1182" w:type="dxa"/>
            <w:tcBorders>
              <w:top w:val="single" w:sz="2" w:space="0" w:color="auto"/>
              <w:left w:val="single" w:sz="2" w:space="0" w:color="auto"/>
              <w:bottom w:val="single" w:sz="2" w:space="0" w:color="auto"/>
              <w:right w:val="single" w:sz="2" w:space="0" w:color="auto"/>
            </w:tcBorders>
          </w:tcPr>
          <w:p w14:paraId="2158602C" w14:textId="77777777" w:rsidR="009F4766" w:rsidRPr="00DE12A3" w:rsidRDefault="009F4766" w:rsidP="00C917D6">
            <w:pPr>
              <w:pStyle w:val="NormalLeft"/>
            </w:pPr>
            <w:r w:rsidRPr="00DE12A3">
              <w:t>482</w:t>
            </w:r>
          </w:p>
        </w:tc>
        <w:tc>
          <w:tcPr>
            <w:tcW w:w="2489" w:type="dxa"/>
            <w:tcBorders>
              <w:top w:val="single" w:sz="2" w:space="0" w:color="auto"/>
              <w:left w:val="single" w:sz="2" w:space="0" w:color="auto"/>
              <w:bottom w:val="single" w:sz="2" w:space="0" w:color="auto"/>
              <w:right w:val="single" w:sz="2" w:space="0" w:color="auto"/>
            </w:tcBorders>
          </w:tcPr>
          <w:p w14:paraId="566E4BFA" w14:textId="77777777" w:rsidR="009F4766" w:rsidRPr="00DE12A3" w:rsidRDefault="009F4766" w:rsidP="00C917D6">
            <w:pPr>
              <w:pStyle w:val="NormalLeft"/>
            </w:pPr>
            <w:r w:rsidRPr="00DE12A3">
              <w:t>36</w:t>
            </w:r>
          </w:p>
        </w:tc>
        <w:tc>
          <w:tcPr>
            <w:tcW w:w="2551" w:type="dxa"/>
            <w:tcBorders>
              <w:top w:val="single" w:sz="2" w:space="0" w:color="auto"/>
              <w:left w:val="single" w:sz="2" w:space="0" w:color="auto"/>
              <w:bottom w:val="single" w:sz="2" w:space="0" w:color="auto"/>
              <w:right w:val="single" w:sz="2" w:space="0" w:color="auto"/>
            </w:tcBorders>
          </w:tcPr>
          <w:p w14:paraId="6065A769" w14:textId="77777777" w:rsidR="009F4766" w:rsidRPr="00DE12A3" w:rsidRDefault="009F4766" w:rsidP="00C917D6">
            <w:pPr>
              <w:pStyle w:val="NormalLeft"/>
            </w:pPr>
            <w:r w:rsidRPr="00DE12A3">
              <w:t>64</w:t>
            </w:r>
          </w:p>
        </w:tc>
      </w:tr>
      <w:tr w:rsidR="00DE12A3" w:rsidRPr="00DE12A3" w14:paraId="6560E9CD" w14:textId="77777777" w:rsidTr="009F4766">
        <w:tc>
          <w:tcPr>
            <w:tcW w:w="1182" w:type="dxa"/>
            <w:tcBorders>
              <w:top w:val="single" w:sz="2" w:space="0" w:color="auto"/>
              <w:left w:val="single" w:sz="2" w:space="0" w:color="auto"/>
              <w:bottom w:val="single" w:sz="2" w:space="0" w:color="auto"/>
              <w:right w:val="single" w:sz="2" w:space="0" w:color="auto"/>
            </w:tcBorders>
          </w:tcPr>
          <w:p w14:paraId="09EA3CE9" w14:textId="77777777" w:rsidR="009F4766" w:rsidRPr="00DE12A3" w:rsidRDefault="009F4766" w:rsidP="00C917D6">
            <w:pPr>
              <w:pStyle w:val="NormalLeft"/>
            </w:pPr>
            <w:r w:rsidRPr="00DE12A3">
              <w:t>483</w:t>
            </w:r>
          </w:p>
        </w:tc>
        <w:tc>
          <w:tcPr>
            <w:tcW w:w="2489" w:type="dxa"/>
            <w:tcBorders>
              <w:top w:val="single" w:sz="2" w:space="0" w:color="auto"/>
              <w:left w:val="single" w:sz="2" w:space="0" w:color="auto"/>
              <w:bottom w:val="single" w:sz="2" w:space="0" w:color="auto"/>
              <w:right w:val="single" w:sz="2" w:space="0" w:color="auto"/>
            </w:tcBorders>
          </w:tcPr>
          <w:p w14:paraId="7A2F622D" w14:textId="77777777" w:rsidR="009F4766" w:rsidRPr="00DE12A3" w:rsidRDefault="009F4766" w:rsidP="00C917D6">
            <w:pPr>
              <w:pStyle w:val="NormalLeft"/>
            </w:pPr>
            <w:r w:rsidRPr="00DE12A3">
              <w:t>63</w:t>
            </w:r>
          </w:p>
        </w:tc>
        <w:tc>
          <w:tcPr>
            <w:tcW w:w="2551" w:type="dxa"/>
            <w:tcBorders>
              <w:top w:val="single" w:sz="2" w:space="0" w:color="auto"/>
              <w:left w:val="single" w:sz="2" w:space="0" w:color="auto"/>
              <w:bottom w:val="single" w:sz="2" w:space="0" w:color="auto"/>
              <w:right w:val="single" w:sz="2" w:space="0" w:color="auto"/>
            </w:tcBorders>
          </w:tcPr>
          <w:p w14:paraId="06D646A5" w14:textId="77777777" w:rsidR="009F4766" w:rsidRPr="00DE12A3" w:rsidRDefault="009F4766" w:rsidP="00C917D6">
            <w:pPr>
              <w:pStyle w:val="NormalLeft"/>
            </w:pPr>
            <w:r w:rsidRPr="00DE12A3">
              <w:t>31</w:t>
            </w:r>
          </w:p>
        </w:tc>
      </w:tr>
      <w:tr w:rsidR="00DE12A3" w:rsidRPr="00DE12A3" w14:paraId="003104E8" w14:textId="77777777" w:rsidTr="009F4766">
        <w:tc>
          <w:tcPr>
            <w:tcW w:w="1182" w:type="dxa"/>
            <w:tcBorders>
              <w:top w:val="single" w:sz="2" w:space="0" w:color="auto"/>
              <w:left w:val="single" w:sz="2" w:space="0" w:color="auto"/>
              <w:bottom w:val="single" w:sz="2" w:space="0" w:color="auto"/>
              <w:right w:val="single" w:sz="2" w:space="0" w:color="auto"/>
            </w:tcBorders>
          </w:tcPr>
          <w:p w14:paraId="51F650B6" w14:textId="77777777" w:rsidR="009F4766" w:rsidRPr="00DE12A3" w:rsidRDefault="009F4766" w:rsidP="00C917D6">
            <w:pPr>
              <w:pStyle w:val="NormalLeft"/>
            </w:pPr>
            <w:r w:rsidRPr="00DE12A3">
              <w:t>484</w:t>
            </w:r>
          </w:p>
        </w:tc>
        <w:tc>
          <w:tcPr>
            <w:tcW w:w="2489" w:type="dxa"/>
            <w:tcBorders>
              <w:top w:val="single" w:sz="2" w:space="0" w:color="auto"/>
              <w:left w:val="single" w:sz="2" w:space="0" w:color="auto"/>
              <w:bottom w:val="single" w:sz="2" w:space="0" w:color="auto"/>
              <w:right w:val="single" w:sz="2" w:space="0" w:color="auto"/>
            </w:tcBorders>
          </w:tcPr>
          <w:p w14:paraId="71833DE4" w14:textId="77777777" w:rsidR="009F4766" w:rsidRPr="00DE12A3" w:rsidRDefault="009F4766" w:rsidP="00C917D6">
            <w:pPr>
              <w:pStyle w:val="NormalLeft"/>
            </w:pPr>
            <w:r w:rsidRPr="00DE12A3">
              <w:t>78</w:t>
            </w:r>
          </w:p>
        </w:tc>
        <w:tc>
          <w:tcPr>
            <w:tcW w:w="2551" w:type="dxa"/>
            <w:tcBorders>
              <w:top w:val="single" w:sz="2" w:space="0" w:color="auto"/>
              <w:left w:val="single" w:sz="2" w:space="0" w:color="auto"/>
              <w:bottom w:val="single" w:sz="2" w:space="0" w:color="auto"/>
              <w:right w:val="single" w:sz="2" w:space="0" w:color="auto"/>
            </w:tcBorders>
          </w:tcPr>
          <w:p w14:paraId="52EA439F" w14:textId="77777777" w:rsidR="009F4766" w:rsidRPr="00DE12A3" w:rsidRDefault="009F4766" w:rsidP="00C917D6">
            <w:pPr>
              <w:pStyle w:val="NormalLeft"/>
            </w:pPr>
            <w:r w:rsidRPr="00DE12A3">
              <w:t>1</w:t>
            </w:r>
          </w:p>
        </w:tc>
      </w:tr>
      <w:tr w:rsidR="00DE12A3" w:rsidRPr="00DE12A3" w14:paraId="6E212AF0" w14:textId="77777777" w:rsidTr="009F4766">
        <w:tc>
          <w:tcPr>
            <w:tcW w:w="1182" w:type="dxa"/>
            <w:tcBorders>
              <w:top w:val="single" w:sz="2" w:space="0" w:color="auto"/>
              <w:left w:val="single" w:sz="2" w:space="0" w:color="auto"/>
              <w:bottom w:val="single" w:sz="2" w:space="0" w:color="auto"/>
              <w:right w:val="single" w:sz="2" w:space="0" w:color="auto"/>
            </w:tcBorders>
          </w:tcPr>
          <w:p w14:paraId="7395D919" w14:textId="77777777" w:rsidR="009F4766" w:rsidRPr="00DE12A3" w:rsidRDefault="009F4766" w:rsidP="00C917D6">
            <w:pPr>
              <w:pStyle w:val="NormalLeft"/>
            </w:pPr>
            <w:r w:rsidRPr="00DE12A3">
              <w:t>485</w:t>
            </w:r>
          </w:p>
        </w:tc>
        <w:tc>
          <w:tcPr>
            <w:tcW w:w="2489" w:type="dxa"/>
            <w:tcBorders>
              <w:top w:val="single" w:sz="2" w:space="0" w:color="auto"/>
              <w:left w:val="single" w:sz="2" w:space="0" w:color="auto"/>
              <w:bottom w:val="single" w:sz="2" w:space="0" w:color="auto"/>
              <w:right w:val="single" w:sz="2" w:space="0" w:color="auto"/>
            </w:tcBorders>
          </w:tcPr>
          <w:p w14:paraId="56B6835A" w14:textId="77777777" w:rsidR="009F4766" w:rsidRPr="00DE12A3" w:rsidRDefault="009F4766" w:rsidP="00C917D6">
            <w:pPr>
              <w:pStyle w:val="NormalLeft"/>
            </w:pPr>
            <w:r w:rsidRPr="00DE12A3">
              <w:t>69</w:t>
            </w:r>
          </w:p>
        </w:tc>
        <w:tc>
          <w:tcPr>
            <w:tcW w:w="2551" w:type="dxa"/>
            <w:tcBorders>
              <w:top w:val="single" w:sz="2" w:space="0" w:color="auto"/>
              <w:left w:val="single" w:sz="2" w:space="0" w:color="auto"/>
              <w:bottom w:val="single" w:sz="2" w:space="0" w:color="auto"/>
              <w:right w:val="single" w:sz="2" w:space="0" w:color="auto"/>
            </w:tcBorders>
          </w:tcPr>
          <w:p w14:paraId="32D9F1E2" w14:textId="77777777" w:rsidR="009F4766" w:rsidRPr="00DE12A3" w:rsidRDefault="009F4766" w:rsidP="00C917D6">
            <w:pPr>
              <w:pStyle w:val="NormalLeft"/>
            </w:pPr>
            <w:r w:rsidRPr="00DE12A3">
              <w:t>27</w:t>
            </w:r>
          </w:p>
        </w:tc>
      </w:tr>
      <w:tr w:rsidR="00DE12A3" w:rsidRPr="00DE12A3" w14:paraId="0D1D0B4E" w14:textId="77777777" w:rsidTr="009F4766">
        <w:tc>
          <w:tcPr>
            <w:tcW w:w="1182" w:type="dxa"/>
            <w:tcBorders>
              <w:top w:val="single" w:sz="2" w:space="0" w:color="auto"/>
              <w:left w:val="single" w:sz="2" w:space="0" w:color="auto"/>
              <w:bottom w:val="single" w:sz="2" w:space="0" w:color="auto"/>
              <w:right w:val="single" w:sz="2" w:space="0" w:color="auto"/>
            </w:tcBorders>
          </w:tcPr>
          <w:p w14:paraId="0979301A" w14:textId="77777777" w:rsidR="009F4766" w:rsidRPr="00DE12A3" w:rsidRDefault="009F4766" w:rsidP="00C917D6">
            <w:pPr>
              <w:pStyle w:val="NormalLeft"/>
            </w:pPr>
            <w:r w:rsidRPr="00DE12A3">
              <w:t>486</w:t>
            </w:r>
          </w:p>
        </w:tc>
        <w:tc>
          <w:tcPr>
            <w:tcW w:w="2489" w:type="dxa"/>
            <w:tcBorders>
              <w:top w:val="single" w:sz="2" w:space="0" w:color="auto"/>
              <w:left w:val="single" w:sz="2" w:space="0" w:color="auto"/>
              <w:bottom w:val="single" w:sz="2" w:space="0" w:color="auto"/>
              <w:right w:val="single" w:sz="2" w:space="0" w:color="auto"/>
            </w:tcBorders>
          </w:tcPr>
          <w:p w14:paraId="0937131D" w14:textId="77777777" w:rsidR="009F4766" w:rsidRPr="00DE12A3" w:rsidRDefault="009F4766" w:rsidP="00C917D6">
            <w:pPr>
              <w:pStyle w:val="NormalLeft"/>
            </w:pPr>
            <w:r w:rsidRPr="00DE12A3">
              <w:t>67</w:t>
            </w:r>
          </w:p>
        </w:tc>
        <w:tc>
          <w:tcPr>
            <w:tcW w:w="2551" w:type="dxa"/>
            <w:tcBorders>
              <w:top w:val="single" w:sz="2" w:space="0" w:color="auto"/>
              <w:left w:val="single" w:sz="2" w:space="0" w:color="auto"/>
              <w:bottom w:val="single" w:sz="2" w:space="0" w:color="auto"/>
              <w:right w:val="single" w:sz="2" w:space="0" w:color="auto"/>
            </w:tcBorders>
          </w:tcPr>
          <w:p w14:paraId="20E505D2" w14:textId="77777777" w:rsidR="009F4766" w:rsidRPr="00DE12A3" w:rsidRDefault="009F4766" w:rsidP="00C917D6">
            <w:pPr>
              <w:pStyle w:val="NormalLeft"/>
            </w:pPr>
            <w:r w:rsidRPr="00DE12A3">
              <w:t>28</w:t>
            </w:r>
          </w:p>
        </w:tc>
      </w:tr>
      <w:tr w:rsidR="00DE12A3" w:rsidRPr="00DE12A3" w14:paraId="5F14BC4C" w14:textId="77777777" w:rsidTr="009F4766">
        <w:tc>
          <w:tcPr>
            <w:tcW w:w="1182" w:type="dxa"/>
            <w:tcBorders>
              <w:top w:val="single" w:sz="2" w:space="0" w:color="auto"/>
              <w:left w:val="single" w:sz="2" w:space="0" w:color="auto"/>
              <w:bottom w:val="single" w:sz="2" w:space="0" w:color="auto"/>
              <w:right w:val="single" w:sz="2" w:space="0" w:color="auto"/>
            </w:tcBorders>
          </w:tcPr>
          <w:p w14:paraId="2E4763CA" w14:textId="77777777" w:rsidR="009F4766" w:rsidRPr="00DE12A3" w:rsidRDefault="009F4766" w:rsidP="00C917D6">
            <w:pPr>
              <w:pStyle w:val="NormalLeft"/>
            </w:pPr>
            <w:r w:rsidRPr="00DE12A3">
              <w:t>487</w:t>
            </w:r>
          </w:p>
        </w:tc>
        <w:tc>
          <w:tcPr>
            <w:tcW w:w="2489" w:type="dxa"/>
            <w:tcBorders>
              <w:top w:val="single" w:sz="2" w:space="0" w:color="auto"/>
              <w:left w:val="single" w:sz="2" w:space="0" w:color="auto"/>
              <w:bottom w:val="single" w:sz="2" w:space="0" w:color="auto"/>
              <w:right w:val="single" w:sz="2" w:space="0" w:color="auto"/>
            </w:tcBorders>
          </w:tcPr>
          <w:p w14:paraId="03CBF58F" w14:textId="77777777" w:rsidR="009F4766" w:rsidRPr="00DE12A3" w:rsidRDefault="009F4766" w:rsidP="00C917D6">
            <w:pPr>
              <w:pStyle w:val="NormalLeft"/>
            </w:pPr>
            <w:r w:rsidRPr="00DE12A3">
              <w:t>72</w:t>
            </w:r>
          </w:p>
        </w:tc>
        <w:tc>
          <w:tcPr>
            <w:tcW w:w="2551" w:type="dxa"/>
            <w:tcBorders>
              <w:top w:val="single" w:sz="2" w:space="0" w:color="auto"/>
              <w:left w:val="single" w:sz="2" w:space="0" w:color="auto"/>
              <w:bottom w:val="single" w:sz="2" w:space="0" w:color="auto"/>
              <w:right w:val="single" w:sz="2" w:space="0" w:color="auto"/>
            </w:tcBorders>
          </w:tcPr>
          <w:p w14:paraId="429812C4" w14:textId="77777777" w:rsidR="009F4766" w:rsidRPr="00DE12A3" w:rsidRDefault="009F4766" w:rsidP="00C917D6">
            <w:pPr>
              <w:pStyle w:val="NormalLeft"/>
            </w:pPr>
            <w:r w:rsidRPr="00DE12A3">
              <w:t>9</w:t>
            </w:r>
          </w:p>
        </w:tc>
      </w:tr>
      <w:tr w:rsidR="00DE12A3" w:rsidRPr="00DE12A3" w14:paraId="35154078" w14:textId="77777777" w:rsidTr="009F4766">
        <w:tc>
          <w:tcPr>
            <w:tcW w:w="1182" w:type="dxa"/>
            <w:tcBorders>
              <w:top w:val="single" w:sz="2" w:space="0" w:color="auto"/>
              <w:left w:val="single" w:sz="2" w:space="0" w:color="auto"/>
              <w:bottom w:val="single" w:sz="2" w:space="0" w:color="auto"/>
              <w:right w:val="single" w:sz="2" w:space="0" w:color="auto"/>
            </w:tcBorders>
          </w:tcPr>
          <w:p w14:paraId="39889A4F" w14:textId="77777777" w:rsidR="009F4766" w:rsidRPr="00DE12A3" w:rsidRDefault="009F4766" w:rsidP="00C917D6">
            <w:pPr>
              <w:pStyle w:val="NormalLeft"/>
            </w:pPr>
            <w:r w:rsidRPr="00DE12A3">
              <w:t>488</w:t>
            </w:r>
          </w:p>
        </w:tc>
        <w:tc>
          <w:tcPr>
            <w:tcW w:w="2489" w:type="dxa"/>
            <w:tcBorders>
              <w:top w:val="single" w:sz="2" w:space="0" w:color="auto"/>
              <w:left w:val="single" w:sz="2" w:space="0" w:color="auto"/>
              <w:bottom w:val="single" w:sz="2" w:space="0" w:color="auto"/>
              <w:right w:val="single" w:sz="2" w:space="0" w:color="auto"/>
            </w:tcBorders>
          </w:tcPr>
          <w:p w14:paraId="4894955A" w14:textId="77777777" w:rsidR="009F4766" w:rsidRPr="00DE12A3" w:rsidRDefault="009F4766" w:rsidP="00C917D6">
            <w:pPr>
              <w:pStyle w:val="NormalLeft"/>
            </w:pPr>
            <w:r w:rsidRPr="00DE12A3">
              <w:t>71</w:t>
            </w:r>
          </w:p>
        </w:tc>
        <w:tc>
          <w:tcPr>
            <w:tcW w:w="2551" w:type="dxa"/>
            <w:tcBorders>
              <w:top w:val="single" w:sz="2" w:space="0" w:color="auto"/>
              <w:left w:val="single" w:sz="2" w:space="0" w:color="auto"/>
              <w:bottom w:val="single" w:sz="2" w:space="0" w:color="auto"/>
              <w:right w:val="single" w:sz="2" w:space="0" w:color="auto"/>
            </w:tcBorders>
          </w:tcPr>
          <w:p w14:paraId="07327092" w14:textId="77777777" w:rsidR="009F4766" w:rsidRPr="00DE12A3" w:rsidRDefault="009F4766" w:rsidP="00C917D6">
            <w:pPr>
              <w:pStyle w:val="NormalLeft"/>
            </w:pPr>
            <w:r w:rsidRPr="00DE12A3">
              <w:t>9</w:t>
            </w:r>
          </w:p>
        </w:tc>
      </w:tr>
      <w:tr w:rsidR="00DE12A3" w:rsidRPr="00DE12A3" w14:paraId="51D4EC89" w14:textId="77777777" w:rsidTr="009F4766">
        <w:tc>
          <w:tcPr>
            <w:tcW w:w="1182" w:type="dxa"/>
            <w:tcBorders>
              <w:top w:val="single" w:sz="2" w:space="0" w:color="auto"/>
              <w:left w:val="single" w:sz="2" w:space="0" w:color="auto"/>
              <w:bottom w:val="single" w:sz="2" w:space="0" w:color="auto"/>
              <w:right w:val="single" w:sz="2" w:space="0" w:color="auto"/>
            </w:tcBorders>
          </w:tcPr>
          <w:p w14:paraId="0B57149D" w14:textId="77777777" w:rsidR="009F4766" w:rsidRPr="00DE12A3" w:rsidRDefault="009F4766" w:rsidP="00C917D6">
            <w:pPr>
              <w:pStyle w:val="NormalLeft"/>
            </w:pPr>
            <w:r w:rsidRPr="00DE12A3">
              <w:t>489</w:t>
            </w:r>
          </w:p>
        </w:tc>
        <w:tc>
          <w:tcPr>
            <w:tcW w:w="2489" w:type="dxa"/>
            <w:tcBorders>
              <w:top w:val="single" w:sz="2" w:space="0" w:color="auto"/>
              <w:left w:val="single" w:sz="2" w:space="0" w:color="auto"/>
              <w:bottom w:val="single" w:sz="2" w:space="0" w:color="auto"/>
              <w:right w:val="single" w:sz="2" w:space="0" w:color="auto"/>
            </w:tcBorders>
          </w:tcPr>
          <w:p w14:paraId="26BE766C" w14:textId="77777777" w:rsidR="009F4766" w:rsidRPr="00DE12A3" w:rsidRDefault="009F4766" w:rsidP="00C917D6">
            <w:pPr>
              <w:pStyle w:val="NormalLeft"/>
            </w:pPr>
            <w:r w:rsidRPr="00DE12A3">
              <w:t>78</w:t>
            </w:r>
          </w:p>
        </w:tc>
        <w:tc>
          <w:tcPr>
            <w:tcW w:w="2551" w:type="dxa"/>
            <w:tcBorders>
              <w:top w:val="single" w:sz="2" w:space="0" w:color="auto"/>
              <w:left w:val="single" w:sz="2" w:space="0" w:color="auto"/>
              <w:bottom w:val="single" w:sz="2" w:space="0" w:color="auto"/>
              <w:right w:val="single" w:sz="2" w:space="0" w:color="auto"/>
            </w:tcBorders>
          </w:tcPr>
          <w:p w14:paraId="73D1C73A" w14:textId="77777777" w:rsidR="009F4766" w:rsidRPr="00DE12A3" w:rsidRDefault="009F4766" w:rsidP="00C917D6">
            <w:pPr>
              <w:pStyle w:val="NormalLeft"/>
            </w:pPr>
            <w:r w:rsidRPr="00DE12A3">
              <w:t>36</w:t>
            </w:r>
          </w:p>
        </w:tc>
      </w:tr>
      <w:tr w:rsidR="00DE12A3" w:rsidRPr="00DE12A3" w14:paraId="6FD212A2" w14:textId="77777777" w:rsidTr="009F4766">
        <w:tc>
          <w:tcPr>
            <w:tcW w:w="1182" w:type="dxa"/>
            <w:tcBorders>
              <w:top w:val="single" w:sz="2" w:space="0" w:color="auto"/>
              <w:left w:val="single" w:sz="2" w:space="0" w:color="auto"/>
              <w:bottom w:val="single" w:sz="2" w:space="0" w:color="auto"/>
              <w:right w:val="single" w:sz="2" w:space="0" w:color="auto"/>
            </w:tcBorders>
          </w:tcPr>
          <w:p w14:paraId="70833655" w14:textId="77777777" w:rsidR="009F4766" w:rsidRPr="00DE12A3" w:rsidRDefault="009F4766" w:rsidP="00C917D6">
            <w:pPr>
              <w:pStyle w:val="NormalLeft"/>
            </w:pPr>
            <w:r w:rsidRPr="00DE12A3">
              <w:t>490</w:t>
            </w:r>
          </w:p>
        </w:tc>
        <w:tc>
          <w:tcPr>
            <w:tcW w:w="2489" w:type="dxa"/>
            <w:tcBorders>
              <w:top w:val="single" w:sz="2" w:space="0" w:color="auto"/>
              <w:left w:val="single" w:sz="2" w:space="0" w:color="auto"/>
              <w:bottom w:val="single" w:sz="2" w:space="0" w:color="auto"/>
              <w:right w:val="single" w:sz="2" w:space="0" w:color="auto"/>
            </w:tcBorders>
          </w:tcPr>
          <w:p w14:paraId="74C850AA" w14:textId="77777777" w:rsidR="009F4766" w:rsidRPr="00DE12A3" w:rsidRDefault="009F4766" w:rsidP="00C917D6">
            <w:pPr>
              <w:pStyle w:val="NormalLeft"/>
            </w:pPr>
            <w:r w:rsidRPr="00DE12A3">
              <w:t>81</w:t>
            </w:r>
          </w:p>
        </w:tc>
        <w:tc>
          <w:tcPr>
            <w:tcW w:w="2551" w:type="dxa"/>
            <w:tcBorders>
              <w:top w:val="single" w:sz="2" w:space="0" w:color="auto"/>
              <w:left w:val="single" w:sz="2" w:space="0" w:color="auto"/>
              <w:bottom w:val="single" w:sz="2" w:space="0" w:color="auto"/>
              <w:right w:val="single" w:sz="2" w:space="0" w:color="auto"/>
            </w:tcBorders>
          </w:tcPr>
          <w:p w14:paraId="43CB7847" w14:textId="77777777" w:rsidR="009F4766" w:rsidRPr="00DE12A3" w:rsidRDefault="009F4766" w:rsidP="00C917D6">
            <w:pPr>
              <w:pStyle w:val="NormalLeft"/>
            </w:pPr>
            <w:r w:rsidRPr="00DE12A3">
              <w:t>56</w:t>
            </w:r>
          </w:p>
        </w:tc>
      </w:tr>
      <w:tr w:rsidR="00DE12A3" w:rsidRPr="00DE12A3" w14:paraId="7A3752F9" w14:textId="77777777" w:rsidTr="009F4766">
        <w:tc>
          <w:tcPr>
            <w:tcW w:w="1182" w:type="dxa"/>
            <w:tcBorders>
              <w:top w:val="single" w:sz="2" w:space="0" w:color="auto"/>
              <w:left w:val="single" w:sz="2" w:space="0" w:color="auto"/>
              <w:bottom w:val="single" w:sz="2" w:space="0" w:color="auto"/>
              <w:right w:val="single" w:sz="2" w:space="0" w:color="auto"/>
            </w:tcBorders>
          </w:tcPr>
          <w:p w14:paraId="6921BEB2" w14:textId="77777777" w:rsidR="009F4766" w:rsidRPr="00DE12A3" w:rsidRDefault="009F4766" w:rsidP="00C917D6">
            <w:pPr>
              <w:pStyle w:val="NormalLeft"/>
            </w:pPr>
            <w:r w:rsidRPr="00DE12A3">
              <w:t>491</w:t>
            </w:r>
          </w:p>
        </w:tc>
        <w:tc>
          <w:tcPr>
            <w:tcW w:w="2489" w:type="dxa"/>
            <w:tcBorders>
              <w:top w:val="single" w:sz="2" w:space="0" w:color="auto"/>
              <w:left w:val="single" w:sz="2" w:space="0" w:color="auto"/>
              <w:bottom w:val="single" w:sz="2" w:space="0" w:color="auto"/>
              <w:right w:val="single" w:sz="2" w:space="0" w:color="auto"/>
            </w:tcBorders>
          </w:tcPr>
          <w:p w14:paraId="4E9D9798" w14:textId="77777777" w:rsidR="009F4766" w:rsidRPr="00DE12A3" w:rsidRDefault="009F4766" w:rsidP="00C917D6">
            <w:pPr>
              <w:pStyle w:val="NormalLeft"/>
            </w:pPr>
            <w:r w:rsidRPr="00DE12A3">
              <w:t>75</w:t>
            </w:r>
          </w:p>
        </w:tc>
        <w:tc>
          <w:tcPr>
            <w:tcW w:w="2551" w:type="dxa"/>
            <w:tcBorders>
              <w:top w:val="single" w:sz="2" w:space="0" w:color="auto"/>
              <w:left w:val="single" w:sz="2" w:space="0" w:color="auto"/>
              <w:bottom w:val="single" w:sz="2" w:space="0" w:color="auto"/>
              <w:right w:val="single" w:sz="2" w:space="0" w:color="auto"/>
            </w:tcBorders>
          </w:tcPr>
          <w:p w14:paraId="0ECD6F66" w14:textId="77777777" w:rsidR="009F4766" w:rsidRPr="00DE12A3" w:rsidRDefault="009F4766" w:rsidP="00C917D6">
            <w:pPr>
              <w:pStyle w:val="NormalLeft"/>
            </w:pPr>
            <w:r w:rsidRPr="00DE12A3">
              <w:t>53</w:t>
            </w:r>
          </w:p>
        </w:tc>
      </w:tr>
      <w:tr w:rsidR="00DE12A3" w:rsidRPr="00DE12A3" w14:paraId="4E62A7DA" w14:textId="77777777" w:rsidTr="009F4766">
        <w:tc>
          <w:tcPr>
            <w:tcW w:w="1182" w:type="dxa"/>
            <w:tcBorders>
              <w:top w:val="single" w:sz="2" w:space="0" w:color="auto"/>
              <w:left w:val="single" w:sz="2" w:space="0" w:color="auto"/>
              <w:bottom w:val="single" w:sz="2" w:space="0" w:color="auto"/>
              <w:right w:val="single" w:sz="2" w:space="0" w:color="auto"/>
            </w:tcBorders>
          </w:tcPr>
          <w:p w14:paraId="37772021" w14:textId="77777777" w:rsidR="009F4766" w:rsidRPr="00DE12A3" w:rsidRDefault="009F4766" w:rsidP="00C917D6">
            <w:pPr>
              <w:pStyle w:val="NormalLeft"/>
            </w:pPr>
            <w:r w:rsidRPr="00DE12A3">
              <w:t>492</w:t>
            </w:r>
          </w:p>
        </w:tc>
        <w:tc>
          <w:tcPr>
            <w:tcW w:w="2489" w:type="dxa"/>
            <w:tcBorders>
              <w:top w:val="single" w:sz="2" w:space="0" w:color="auto"/>
              <w:left w:val="single" w:sz="2" w:space="0" w:color="auto"/>
              <w:bottom w:val="single" w:sz="2" w:space="0" w:color="auto"/>
              <w:right w:val="single" w:sz="2" w:space="0" w:color="auto"/>
            </w:tcBorders>
          </w:tcPr>
          <w:p w14:paraId="70186D9F" w14:textId="77777777" w:rsidR="009F4766" w:rsidRPr="00DE12A3" w:rsidRDefault="009F4766" w:rsidP="00C917D6">
            <w:pPr>
              <w:pStyle w:val="NormalLeft"/>
            </w:pPr>
            <w:r w:rsidRPr="00DE12A3">
              <w:t>60</w:t>
            </w:r>
          </w:p>
        </w:tc>
        <w:tc>
          <w:tcPr>
            <w:tcW w:w="2551" w:type="dxa"/>
            <w:tcBorders>
              <w:top w:val="single" w:sz="2" w:space="0" w:color="auto"/>
              <w:left w:val="single" w:sz="2" w:space="0" w:color="auto"/>
              <w:bottom w:val="single" w:sz="2" w:space="0" w:color="auto"/>
              <w:right w:val="single" w:sz="2" w:space="0" w:color="auto"/>
            </w:tcBorders>
          </w:tcPr>
          <w:p w14:paraId="74327295" w14:textId="77777777" w:rsidR="009F4766" w:rsidRPr="00DE12A3" w:rsidRDefault="009F4766" w:rsidP="00C917D6">
            <w:pPr>
              <w:pStyle w:val="NormalLeft"/>
            </w:pPr>
            <w:r w:rsidRPr="00DE12A3">
              <w:t>45</w:t>
            </w:r>
          </w:p>
        </w:tc>
      </w:tr>
      <w:tr w:rsidR="00DE12A3" w:rsidRPr="00DE12A3" w14:paraId="0575D29A" w14:textId="77777777" w:rsidTr="009F4766">
        <w:tc>
          <w:tcPr>
            <w:tcW w:w="1182" w:type="dxa"/>
            <w:tcBorders>
              <w:top w:val="single" w:sz="2" w:space="0" w:color="auto"/>
              <w:left w:val="single" w:sz="2" w:space="0" w:color="auto"/>
              <w:bottom w:val="single" w:sz="2" w:space="0" w:color="auto"/>
              <w:right w:val="single" w:sz="2" w:space="0" w:color="auto"/>
            </w:tcBorders>
          </w:tcPr>
          <w:p w14:paraId="39CE3B6D" w14:textId="77777777" w:rsidR="009F4766" w:rsidRPr="00DE12A3" w:rsidRDefault="009F4766" w:rsidP="00C917D6">
            <w:pPr>
              <w:pStyle w:val="NormalLeft"/>
            </w:pPr>
            <w:r w:rsidRPr="00DE12A3">
              <w:t>493</w:t>
            </w:r>
          </w:p>
        </w:tc>
        <w:tc>
          <w:tcPr>
            <w:tcW w:w="2489" w:type="dxa"/>
            <w:tcBorders>
              <w:top w:val="single" w:sz="2" w:space="0" w:color="auto"/>
              <w:left w:val="single" w:sz="2" w:space="0" w:color="auto"/>
              <w:bottom w:val="single" w:sz="2" w:space="0" w:color="auto"/>
              <w:right w:val="single" w:sz="2" w:space="0" w:color="auto"/>
            </w:tcBorders>
          </w:tcPr>
          <w:p w14:paraId="37CA8749" w14:textId="77777777" w:rsidR="009F4766" w:rsidRPr="00DE12A3" w:rsidRDefault="009F4766" w:rsidP="00C917D6">
            <w:pPr>
              <w:pStyle w:val="NormalLeft"/>
            </w:pPr>
            <w:r w:rsidRPr="00DE12A3">
              <w:t>50</w:t>
            </w:r>
          </w:p>
        </w:tc>
        <w:tc>
          <w:tcPr>
            <w:tcW w:w="2551" w:type="dxa"/>
            <w:tcBorders>
              <w:top w:val="single" w:sz="2" w:space="0" w:color="auto"/>
              <w:left w:val="single" w:sz="2" w:space="0" w:color="auto"/>
              <w:bottom w:val="single" w:sz="2" w:space="0" w:color="auto"/>
              <w:right w:val="single" w:sz="2" w:space="0" w:color="auto"/>
            </w:tcBorders>
          </w:tcPr>
          <w:p w14:paraId="6FB4C852" w14:textId="77777777" w:rsidR="009F4766" w:rsidRPr="00DE12A3" w:rsidRDefault="009F4766" w:rsidP="00C917D6">
            <w:pPr>
              <w:pStyle w:val="NormalLeft"/>
            </w:pPr>
            <w:r w:rsidRPr="00DE12A3">
              <w:t>37</w:t>
            </w:r>
          </w:p>
        </w:tc>
      </w:tr>
      <w:tr w:rsidR="00DE12A3" w:rsidRPr="00DE12A3" w14:paraId="3F7B9175" w14:textId="77777777" w:rsidTr="009F4766">
        <w:tc>
          <w:tcPr>
            <w:tcW w:w="1182" w:type="dxa"/>
            <w:tcBorders>
              <w:top w:val="single" w:sz="2" w:space="0" w:color="auto"/>
              <w:left w:val="single" w:sz="2" w:space="0" w:color="auto"/>
              <w:bottom w:val="single" w:sz="2" w:space="0" w:color="auto"/>
              <w:right w:val="single" w:sz="2" w:space="0" w:color="auto"/>
            </w:tcBorders>
          </w:tcPr>
          <w:p w14:paraId="141D0523" w14:textId="77777777" w:rsidR="009F4766" w:rsidRPr="00DE12A3" w:rsidRDefault="009F4766" w:rsidP="00C917D6">
            <w:pPr>
              <w:pStyle w:val="NormalLeft"/>
            </w:pPr>
            <w:r w:rsidRPr="00DE12A3">
              <w:t>494</w:t>
            </w:r>
          </w:p>
        </w:tc>
        <w:tc>
          <w:tcPr>
            <w:tcW w:w="2489" w:type="dxa"/>
            <w:tcBorders>
              <w:top w:val="single" w:sz="2" w:space="0" w:color="auto"/>
              <w:left w:val="single" w:sz="2" w:space="0" w:color="auto"/>
              <w:bottom w:val="single" w:sz="2" w:space="0" w:color="auto"/>
              <w:right w:val="single" w:sz="2" w:space="0" w:color="auto"/>
            </w:tcBorders>
          </w:tcPr>
          <w:p w14:paraId="385AC31E" w14:textId="77777777" w:rsidR="009F4766" w:rsidRPr="00DE12A3" w:rsidRDefault="009F4766" w:rsidP="00C917D6">
            <w:pPr>
              <w:pStyle w:val="NormalLeft"/>
            </w:pPr>
            <w:r w:rsidRPr="00DE12A3">
              <w:t>66</w:t>
            </w:r>
          </w:p>
        </w:tc>
        <w:tc>
          <w:tcPr>
            <w:tcW w:w="2551" w:type="dxa"/>
            <w:tcBorders>
              <w:top w:val="single" w:sz="2" w:space="0" w:color="auto"/>
              <w:left w:val="single" w:sz="2" w:space="0" w:color="auto"/>
              <w:bottom w:val="single" w:sz="2" w:space="0" w:color="auto"/>
              <w:right w:val="single" w:sz="2" w:space="0" w:color="auto"/>
            </w:tcBorders>
          </w:tcPr>
          <w:p w14:paraId="0CFC209B" w14:textId="77777777" w:rsidR="009F4766" w:rsidRPr="00DE12A3" w:rsidRDefault="009F4766" w:rsidP="00C917D6">
            <w:pPr>
              <w:pStyle w:val="NormalLeft"/>
            </w:pPr>
            <w:r w:rsidRPr="00DE12A3">
              <w:t>41</w:t>
            </w:r>
          </w:p>
        </w:tc>
      </w:tr>
      <w:tr w:rsidR="00DE12A3" w:rsidRPr="00DE12A3" w14:paraId="64A83EE1" w14:textId="77777777" w:rsidTr="009F4766">
        <w:tc>
          <w:tcPr>
            <w:tcW w:w="1182" w:type="dxa"/>
            <w:tcBorders>
              <w:top w:val="single" w:sz="2" w:space="0" w:color="auto"/>
              <w:left w:val="single" w:sz="2" w:space="0" w:color="auto"/>
              <w:bottom w:val="single" w:sz="2" w:space="0" w:color="auto"/>
              <w:right w:val="single" w:sz="2" w:space="0" w:color="auto"/>
            </w:tcBorders>
          </w:tcPr>
          <w:p w14:paraId="0288035C" w14:textId="77777777" w:rsidR="009F4766" w:rsidRPr="00DE12A3" w:rsidRDefault="009F4766" w:rsidP="00C917D6">
            <w:pPr>
              <w:pStyle w:val="NormalLeft"/>
            </w:pPr>
            <w:r w:rsidRPr="00DE12A3">
              <w:t>495</w:t>
            </w:r>
          </w:p>
        </w:tc>
        <w:tc>
          <w:tcPr>
            <w:tcW w:w="2489" w:type="dxa"/>
            <w:tcBorders>
              <w:top w:val="single" w:sz="2" w:space="0" w:color="auto"/>
              <w:left w:val="single" w:sz="2" w:space="0" w:color="auto"/>
              <w:bottom w:val="single" w:sz="2" w:space="0" w:color="auto"/>
              <w:right w:val="single" w:sz="2" w:space="0" w:color="auto"/>
            </w:tcBorders>
          </w:tcPr>
          <w:p w14:paraId="36F58955" w14:textId="77777777" w:rsidR="009F4766" w:rsidRPr="00DE12A3" w:rsidRDefault="009F4766" w:rsidP="00C917D6">
            <w:pPr>
              <w:pStyle w:val="NormalLeft"/>
            </w:pPr>
            <w:r w:rsidRPr="00DE12A3">
              <w:t>51</w:t>
            </w:r>
          </w:p>
        </w:tc>
        <w:tc>
          <w:tcPr>
            <w:tcW w:w="2551" w:type="dxa"/>
            <w:tcBorders>
              <w:top w:val="single" w:sz="2" w:space="0" w:color="auto"/>
              <w:left w:val="single" w:sz="2" w:space="0" w:color="auto"/>
              <w:bottom w:val="single" w:sz="2" w:space="0" w:color="auto"/>
              <w:right w:val="single" w:sz="2" w:space="0" w:color="auto"/>
            </w:tcBorders>
          </w:tcPr>
          <w:p w14:paraId="04A26278" w14:textId="77777777" w:rsidR="009F4766" w:rsidRPr="00DE12A3" w:rsidRDefault="009F4766" w:rsidP="00C917D6">
            <w:pPr>
              <w:pStyle w:val="NormalLeft"/>
            </w:pPr>
            <w:r w:rsidRPr="00DE12A3">
              <w:t>61</w:t>
            </w:r>
          </w:p>
        </w:tc>
      </w:tr>
      <w:tr w:rsidR="00DE12A3" w:rsidRPr="00DE12A3" w14:paraId="58EBCA35" w14:textId="77777777" w:rsidTr="009F4766">
        <w:tc>
          <w:tcPr>
            <w:tcW w:w="1182" w:type="dxa"/>
            <w:tcBorders>
              <w:top w:val="single" w:sz="2" w:space="0" w:color="auto"/>
              <w:left w:val="single" w:sz="2" w:space="0" w:color="auto"/>
              <w:bottom w:val="single" w:sz="2" w:space="0" w:color="auto"/>
              <w:right w:val="single" w:sz="2" w:space="0" w:color="auto"/>
            </w:tcBorders>
          </w:tcPr>
          <w:p w14:paraId="25811ACD" w14:textId="77777777" w:rsidR="009F4766" w:rsidRPr="00DE12A3" w:rsidRDefault="009F4766" w:rsidP="00C917D6">
            <w:pPr>
              <w:pStyle w:val="NormalLeft"/>
            </w:pPr>
            <w:r w:rsidRPr="00DE12A3">
              <w:t>496</w:t>
            </w:r>
          </w:p>
        </w:tc>
        <w:tc>
          <w:tcPr>
            <w:tcW w:w="2489" w:type="dxa"/>
            <w:tcBorders>
              <w:top w:val="single" w:sz="2" w:space="0" w:color="auto"/>
              <w:left w:val="single" w:sz="2" w:space="0" w:color="auto"/>
              <w:bottom w:val="single" w:sz="2" w:space="0" w:color="auto"/>
              <w:right w:val="single" w:sz="2" w:space="0" w:color="auto"/>
            </w:tcBorders>
          </w:tcPr>
          <w:p w14:paraId="64EDF4E0" w14:textId="77777777" w:rsidR="009F4766" w:rsidRPr="00DE12A3" w:rsidRDefault="009F4766" w:rsidP="00C917D6">
            <w:pPr>
              <w:pStyle w:val="NormalLeft"/>
            </w:pPr>
            <w:r w:rsidRPr="00DE12A3">
              <w:t>68</w:t>
            </w:r>
          </w:p>
        </w:tc>
        <w:tc>
          <w:tcPr>
            <w:tcW w:w="2551" w:type="dxa"/>
            <w:tcBorders>
              <w:top w:val="single" w:sz="2" w:space="0" w:color="auto"/>
              <w:left w:val="single" w:sz="2" w:space="0" w:color="auto"/>
              <w:bottom w:val="single" w:sz="2" w:space="0" w:color="auto"/>
              <w:right w:val="single" w:sz="2" w:space="0" w:color="auto"/>
            </w:tcBorders>
          </w:tcPr>
          <w:p w14:paraId="17D81D61" w14:textId="77777777" w:rsidR="009F4766" w:rsidRPr="00DE12A3" w:rsidRDefault="009F4766" w:rsidP="00C917D6">
            <w:pPr>
              <w:pStyle w:val="NormalLeft"/>
            </w:pPr>
            <w:r w:rsidRPr="00DE12A3">
              <w:t>47</w:t>
            </w:r>
          </w:p>
        </w:tc>
      </w:tr>
      <w:tr w:rsidR="00DE12A3" w:rsidRPr="00DE12A3" w14:paraId="5D6FD43D" w14:textId="77777777" w:rsidTr="009F4766">
        <w:tc>
          <w:tcPr>
            <w:tcW w:w="1182" w:type="dxa"/>
            <w:tcBorders>
              <w:top w:val="single" w:sz="2" w:space="0" w:color="auto"/>
              <w:left w:val="single" w:sz="2" w:space="0" w:color="auto"/>
              <w:bottom w:val="single" w:sz="2" w:space="0" w:color="auto"/>
              <w:right w:val="single" w:sz="2" w:space="0" w:color="auto"/>
            </w:tcBorders>
          </w:tcPr>
          <w:p w14:paraId="68B94764" w14:textId="77777777" w:rsidR="009F4766" w:rsidRPr="00DE12A3" w:rsidRDefault="009F4766" w:rsidP="00C917D6">
            <w:pPr>
              <w:pStyle w:val="NormalLeft"/>
            </w:pPr>
            <w:r w:rsidRPr="00DE12A3">
              <w:t>497</w:t>
            </w:r>
          </w:p>
        </w:tc>
        <w:tc>
          <w:tcPr>
            <w:tcW w:w="2489" w:type="dxa"/>
            <w:tcBorders>
              <w:top w:val="single" w:sz="2" w:space="0" w:color="auto"/>
              <w:left w:val="single" w:sz="2" w:space="0" w:color="auto"/>
              <w:bottom w:val="single" w:sz="2" w:space="0" w:color="auto"/>
              <w:right w:val="single" w:sz="2" w:space="0" w:color="auto"/>
            </w:tcBorders>
          </w:tcPr>
          <w:p w14:paraId="26F4B600" w14:textId="77777777" w:rsidR="009F4766" w:rsidRPr="00DE12A3" w:rsidRDefault="009F4766" w:rsidP="00C917D6">
            <w:pPr>
              <w:pStyle w:val="NormalLeft"/>
            </w:pPr>
            <w:r w:rsidRPr="00DE12A3">
              <w:t>29</w:t>
            </w:r>
          </w:p>
        </w:tc>
        <w:tc>
          <w:tcPr>
            <w:tcW w:w="2551" w:type="dxa"/>
            <w:tcBorders>
              <w:top w:val="single" w:sz="2" w:space="0" w:color="auto"/>
              <w:left w:val="single" w:sz="2" w:space="0" w:color="auto"/>
              <w:bottom w:val="single" w:sz="2" w:space="0" w:color="auto"/>
              <w:right w:val="single" w:sz="2" w:space="0" w:color="auto"/>
            </w:tcBorders>
          </w:tcPr>
          <w:p w14:paraId="14F6DC58" w14:textId="77777777" w:rsidR="009F4766" w:rsidRPr="00DE12A3" w:rsidRDefault="009F4766" w:rsidP="00C917D6">
            <w:pPr>
              <w:pStyle w:val="NormalLeft"/>
            </w:pPr>
            <w:r w:rsidRPr="00DE12A3">
              <w:t>42</w:t>
            </w:r>
          </w:p>
        </w:tc>
      </w:tr>
      <w:tr w:rsidR="00DE12A3" w:rsidRPr="00DE12A3" w14:paraId="64896062" w14:textId="77777777" w:rsidTr="009F4766">
        <w:tc>
          <w:tcPr>
            <w:tcW w:w="1182" w:type="dxa"/>
            <w:tcBorders>
              <w:top w:val="single" w:sz="2" w:space="0" w:color="auto"/>
              <w:left w:val="single" w:sz="2" w:space="0" w:color="auto"/>
              <w:bottom w:val="single" w:sz="2" w:space="0" w:color="auto"/>
              <w:right w:val="single" w:sz="2" w:space="0" w:color="auto"/>
            </w:tcBorders>
          </w:tcPr>
          <w:p w14:paraId="262E11D0" w14:textId="77777777" w:rsidR="009F4766" w:rsidRPr="00DE12A3" w:rsidRDefault="009F4766" w:rsidP="00C917D6">
            <w:pPr>
              <w:pStyle w:val="NormalLeft"/>
            </w:pPr>
            <w:r w:rsidRPr="00DE12A3">
              <w:t>498</w:t>
            </w:r>
          </w:p>
        </w:tc>
        <w:tc>
          <w:tcPr>
            <w:tcW w:w="2489" w:type="dxa"/>
            <w:tcBorders>
              <w:top w:val="single" w:sz="2" w:space="0" w:color="auto"/>
              <w:left w:val="single" w:sz="2" w:space="0" w:color="auto"/>
              <w:bottom w:val="single" w:sz="2" w:space="0" w:color="auto"/>
              <w:right w:val="single" w:sz="2" w:space="0" w:color="auto"/>
            </w:tcBorders>
          </w:tcPr>
          <w:p w14:paraId="506E1062" w14:textId="77777777" w:rsidR="009F4766" w:rsidRPr="00DE12A3" w:rsidRDefault="009F4766" w:rsidP="00C917D6">
            <w:pPr>
              <w:pStyle w:val="NormalLeft"/>
            </w:pPr>
            <w:r w:rsidRPr="00DE12A3">
              <w:t>24</w:t>
            </w:r>
          </w:p>
        </w:tc>
        <w:tc>
          <w:tcPr>
            <w:tcW w:w="2551" w:type="dxa"/>
            <w:tcBorders>
              <w:top w:val="single" w:sz="2" w:space="0" w:color="auto"/>
              <w:left w:val="single" w:sz="2" w:space="0" w:color="auto"/>
              <w:bottom w:val="single" w:sz="2" w:space="0" w:color="auto"/>
              <w:right w:val="single" w:sz="2" w:space="0" w:color="auto"/>
            </w:tcBorders>
          </w:tcPr>
          <w:p w14:paraId="297765CE" w14:textId="77777777" w:rsidR="009F4766" w:rsidRPr="00DE12A3" w:rsidRDefault="009F4766" w:rsidP="00C917D6">
            <w:pPr>
              <w:pStyle w:val="NormalLeft"/>
            </w:pPr>
            <w:r w:rsidRPr="00DE12A3">
              <w:t>73</w:t>
            </w:r>
          </w:p>
        </w:tc>
      </w:tr>
      <w:tr w:rsidR="00DE12A3" w:rsidRPr="00DE12A3" w14:paraId="0C3FDE2F" w14:textId="77777777" w:rsidTr="009F4766">
        <w:tc>
          <w:tcPr>
            <w:tcW w:w="1182" w:type="dxa"/>
            <w:tcBorders>
              <w:top w:val="single" w:sz="2" w:space="0" w:color="auto"/>
              <w:left w:val="single" w:sz="2" w:space="0" w:color="auto"/>
              <w:bottom w:val="single" w:sz="2" w:space="0" w:color="auto"/>
              <w:right w:val="single" w:sz="2" w:space="0" w:color="auto"/>
            </w:tcBorders>
          </w:tcPr>
          <w:p w14:paraId="0543738F" w14:textId="77777777" w:rsidR="009F4766" w:rsidRPr="00DE12A3" w:rsidRDefault="009F4766" w:rsidP="00C917D6">
            <w:pPr>
              <w:pStyle w:val="NormalLeft"/>
            </w:pPr>
            <w:r w:rsidRPr="00DE12A3">
              <w:t>499</w:t>
            </w:r>
          </w:p>
        </w:tc>
        <w:tc>
          <w:tcPr>
            <w:tcW w:w="2489" w:type="dxa"/>
            <w:tcBorders>
              <w:top w:val="single" w:sz="2" w:space="0" w:color="auto"/>
              <w:left w:val="single" w:sz="2" w:space="0" w:color="auto"/>
              <w:bottom w:val="single" w:sz="2" w:space="0" w:color="auto"/>
              <w:right w:val="single" w:sz="2" w:space="0" w:color="auto"/>
            </w:tcBorders>
          </w:tcPr>
          <w:p w14:paraId="07B4F444" w14:textId="77777777" w:rsidR="009F4766" w:rsidRPr="00DE12A3" w:rsidRDefault="009F4766" w:rsidP="00C917D6">
            <w:pPr>
              <w:pStyle w:val="NormalLeft"/>
            </w:pPr>
            <w:r w:rsidRPr="00DE12A3">
              <w:t>64</w:t>
            </w:r>
          </w:p>
        </w:tc>
        <w:tc>
          <w:tcPr>
            <w:tcW w:w="2551" w:type="dxa"/>
            <w:tcBorders>
              <w:top w:val="single" w:sz="2" w:space="0" w:color="auto"/>
              <w:left w:val="single" w:sz="2" w:space="0" w:color="auto"/>
              <w:bottom w:val="single" w:sz="2" w:space="0" w:color="auto"/>
              <w:right w:val="single" w:sz="2" w:space="0" w:color="auto"/>
            </w:tcBorders>
          </w:tcPr>
          <w:p w14:paraId="440B9AD6" w14:textId="77777777" w:rsidR="009F4766" w:rsidRPr="00DE12A3" w:rsidRDefault="009F4766" w:rsidP="00C917D6">
            <w:pPr>
              <w:pStyle w:val="NormalLeft"/>
            </w:pPr>
            <w:r w:rsidRPr="00DE12A3">
              <w:t>71</w:t>
            </w:r>
          </w:p>
        </w:tc>
      </w:tr>
      <w:tr w:rsidR="00DE12A3" w:rsidRPr="00DE12A3" w14:paraId="7CC5E34A" w14:textId="77777777" w:rsidTr="009F4766">
        <w:tc>
          <w:tcPr>
            <w:tcW w:w="1182" w:type="dxa"/>
            <w:tcBorders>
              <w:top w:val="single" w:sz="2" w:space="0" w:color="auto"/>
              <w:left w:val="single" w:sz="2" w:space="0" w:color="auto"/>
              <w:bottom w:val="single" w:sz="2" w:space="0" w:color="auto"/>
              <w:right w:val="single" w:sz="2" w:space="0" w:color="auto"/>
            </w:tcBorders>
          </w:tcPr>
          <w:p w14:paraId="093B6DC5" w14:textId="77777777" w:rsidR="009F4766" w:rsidRPr="00DE12A3" w:rsidRDefault="009F4766" w:rsidP="00C917D6">
            <w:pPr>
              <w:pStyle w:val="NormalLeft"/>
            </w:pPr>
            <w:r w:rsidRPr="00DE12A3">
              <w:lastRenderedPageBreak/>
              <w:t>500</w:t>
            </w:r>
          </w:p>
        </w:tc>
        <w:tc>
          <w:tcPr>
            <w:tcW w:w="2489" w:type="dxa"/>
            <w:tcBorders>
              <w:top w:val="single" w:sz="2" w:space="0" w:color="auto"/>
              <w:left w:val="single" w:sz="2" w:space="0" w:color="auto"/>
              <w:bottom w:val="single" w:sz="2" w:space="0" w:color="auto"/>
              <w:right w:val="single" w:sz="2" w:space="0" w:color="auto"/>
            </w:tcBorders>
          </w:tcPr>
          <w:p w14:paraId="47EED6FD" w14:textId="77777777" w:rsidR="009F4766" w:rsidRPr="00DE12A3" w:rsidRDefault="009F4766" w:rsidP="00C917D6">
            <w:pPr>
              <w:pStyle w:val="NormalLeft"/>
            </w:pPr>
            <w:r w:rsidRPr="00DE12A3">
              <w:t>90</w:t>
            </w:r>
          </w:p>
        </w:tc>
        <w:tc>
          <w:tcPr>
            <w:tcW w:w="2551" w:type="dxa"/>
            <w:tcBorders>
              <w:top w:val="single" w:sz="2" w:space="0" w:color="auto"/>
              <w:left w:val="single" w:sz="2" w:space="0" w:color="auto"/>
              <w:bottom w:val="single" w:sz="2" w:space="0" w:color="auto"/>
              <w:right w:val="single" w:sz="2" w:space="0" w:color="auto"/>
            </w:tcBorders>
          </w:tcPr>
          <w:p w14:paraId="30BA7922" w14:textId="77777777" w:rsidR="009F4766" w:rsidRPr="00DE12A3" w:rsidRDefault="009F4766" w:rsidP="00C917D6">
            <w:pPr>
              <w:pStyle w:val="NormalLeft"/>
            </w:pPr>
            <w:r w:rsidRPr="00DE12A3">
              <w:t>71</w:t>
            </w:r>
          </w:p>
        </w:tc>
      </w:tr>
      <w:tr w:rsidR="00DE12A3" w:rsidRPr="00DE12A3" w14:paraId="386BD972" w14:textId="77777777" w:rsidTr="009F4766">
        <w:tc>
          <w:tcPr>
            <w:tcW w:w="1182" w:type="dxa"/>
            <w:tcBorders>
              <w:top w:val="single" w:sz="2" w:space="0" w:color="auto"/>
              <w:left w:val="single" w:sz="2" w:space="0" w:color="auto"/>
              <w:bottom w:val="single" w:sz="2" w:space="0" w:color="auto"/>
              <w:right w:val="single" w:sz="2" w:space="0" w:color="auto"/>
            </w:tcBorders>
          </w:tcPr>
          <w:p w14:paraId="4EAD9B32" w14:textId="77777777" w:rsidR="009F4766" w:rsidRPr="00DE12A3" w:rsidRDefault="009F4766" w:rsidP="00C917D6">
            <w:pPr>
              <w:pStyle w:val="NormalLeft"/>
            </w:pPr>
            <w:r w:rsidRPr="00DE12A3">
              <w:t>501</w:t>
            </w:r>
          </w:p>
        </w:tc>
        <w:tc>
          <w:tcPr>
            <w:tcW w:w="2489" w:type="dxa"/>
            <w:tcBorders>
              <w:top w:val="single" w:sz="2" w:space="0" w:color="auto"/>
              <w:left w:val="single" w:sz="2" w:space="0" w:color="auto"/>
              <w:bottom w:val="single" w:sz="2" w:space="0" w:color="auto"/>
              <w:right w:val="single" w:sz="2" w:space="0" w:color="auto"/>
            </w:tcBorders>
          </w:tcPr>
          <w:p w14:paraId="7527BD2E" w14:textId="77777777" w:rsidR="009F4766" w:rsidRPr="00DE12A3" w:rsidRDefault="009F4766" w:rsidP="00C917D6">
            <w:pPr>
              <w:pStyle w:val="NormalLeft"/>
            </w:pPr>
            <w:r w:rsidRPr="00DE12A3">
              <w:t>100</w:t>
            </w:r>
          </w:p>
        </w:tc>
        <w:tc>
          <w:tcPr>
            <w:tcW w:w="2551" w:type="dxa"/>
            <w:tcBorders>
              <w:top w:val="single" w:sz="2" w:space="0" w:color="auto"/>
              <w:left w:val="single" w:sz="2" w:space="0" w:color="auto"/>
              <w:bottom w:val="single" w:sz="2" w:space="0" w:color="auto"/>
              <w:right w:val="single" w:sz="2" w:space="0" w:color="auto"/>
            </w:tcBorders>
          </w:tcPr>
          <w:p w14:paraId="10917CC2" w14:textId="77777777" w:rsidR="009F4766" w:rsidRPr="00DE12A3" w:rsidRDefault="009F4766" w:rsidP="00C917D6">
            <w:pPr>
              <w:pStyle w:val="NormalLeft"/>
            </w:pPr>
            <w:r w:rsidRPr="00DE12A3">
              <w:t>61</w:t>
            </w:r>
          </w:p>
        </w:tc>
      </w:tr>
      <w:tr w:rsidR="00DE12A3" w:rsidRPr="00DE12A3" w14:paraId="412803CD" w14:textId="77777777" w:rsidTr="009F4766">
        <w:tc>
          <w:tcPr>
            <w:tcW w:w="1182" w:type="dxa"/>
            <w:tcBorders>
              <w:top w:val="single" w:sz="2" w:space="0" w:color="auto"/>
              <w:left w:val="single" w:sz="2" w:space="0" w:color="auto"/>
              <w:bottom w:val="single" w:sz="2" w:space="0" w:color="auto"/>
              <w:right w:val="single" w:sz="2" w:space="0" w:color="auto"/>
            </w:tcBorders>
          </w:tcPr>
          <w:p w14:paraId="1C81C262" w14:textId="77777777" w:rsidR="009F4766" w:rsidRPr="00DE12A3" w:rsidRDefault="009F4766" w:rsidP="00C917D6">
            <w:pPr>
              <w:pStyle w:val="NormalLeft"/>
            </w:pPr>
            <w:r w:rsidRPr="00DE12A3">
              <w:t>502</w:t>
            </w:r>
          </w:p>
        </w:tc>
        <w:tc>
          <w:tcPr>
            <w:tcW w:w="2489" w:type="dxa"/>
            <w:tcBorders>
              <w:top w:val="single" w:sz="2" w:space="0" w:color="auto"/>
              <w:left w:val="single" w:sz="2" w:space="0" w:color="auto"/>
              <w:bottom w:val="single" w:sz="2" w:space="0" w:color="auto"/>
              <w:right w:val="single" w:sz="2" w:space="0" w:color="auto"/>
            </w:tcBorders>
          </w:tcPr>
          <w:p w14:paraId="390AE685" w14:textId="77777777" w:rsidR="009F4766" w:rsidRPr="00DE12A3" w:rsidRDefault="009F4766" w:rsidP="00C917D6">
            <w:pPr>
              <w:pStyle w:val="NormalLeft"/>
            </w:pPr>
            <w:r w:rsidRPr="00DE12A3">
              <w:t>94</w:t>
            </w:r>
          </w:p>
        </w:tc>
        <w:tc>
          <w:tcPr>
            <w:tcW w:w="2551" w:type="dxa"/>
            <w:tcBorders>
              <w:top w:val="single" w:sz="2" w:space="0" w:color="auto"/>
              <w:left w:val="single" w:sz="2" w:space="0" w:color="auto"/>
              <w:bottom w:val="single" w:sz="2" w:space="0" w:color="auto"/>
              <w:right w:val="single" w:sz="2" w:space="0" w:color="auto"/>
            </w:tcBorders>
          </w:tcPr>
          <w:p w14:paraId="723A49A4" w14:textId="77777777" w:rsidR="009F4766" w:rsidRPr="00DE12A3" w:rsidRDefault="009F4766" w:rsidP="00C917D6">
            <w:pPr>
              <w:pStyle w:val="NormalLeft"/>
            </w:pPr>
            <w:r w:rsidRPr="00DE12A3">
              <w:t>73</w:t>
            </w:r>
          </w:p>
        </w:tc>
      </w:tr>
      <w:tr w:rsidR="00DE12A3" w:rsidRPr="00DE12A3" w14:paraId="7469C2DC" w14:textId="77777777" w:rsidTr="009F4766">
        <w:tc>
          <w:tcPr>
            <w:tcW w:w="1182" w:type="dxa"/>
            <w:tcBorders>
              <w:top w:val="single" w:sz="2" w:space="0" w:color="auto"/>
              <w:left w:val="single" w:sz="2" w:space="0" w:color="auto"/>
              <w:bottom w:val="single" w:sz="2" w:space="0" w:color="auto"/>
              <w:right w:val="single" w:sz="2" w:space="0" w:color="auto"/>
            </w:tcBorders>
          </w:tcPr>
          <w:p w14:paraId="3726A69D" w14:textId="77777777" w:rsidR="009F4766" w:rsidRPr="00DE12A3" w:rsidRDefault="009F4766" w:rsidP="00C917D6">
            <w:pPr>
              <w:pStyle w:val="NormalLeft"/>
            </w:pPr>
            <w:r w:rsidRPr="00DE12A3">
              <w:t>503</w:t>
            </w:r>
          </w:p>
        </w:tc>
        <w:tc>
          <w:tcPr>
            <w:tcW w:w="2489" w:type="dxa"/>
            <w:tcBorders>
              <w:top w:val="single" w:sz="2" w:space="0" w:color="auto"/>
              <w:left w:val="single" w:sz="2" w:space="0" w:color="auto"/>
              <w:bottom w:val="single" w:sz="2" w:space="0" w:color="auto"/>
              <w:right w:val="single" w:sz="2" w:space="0" w:color="auto"/>
            </w:tcBorders>
          </w:tcPr>
          <w:p w14:paraId="60D2B863" w14:textId="77777777" w:rsidR="009F4766" w:rsidRPr="00DE12A3" w:rsidRDefault="009F4766" w:rsidP="00C917D6">
            <w:pPr>
              <w:pStyle w:val="NormalLeft"/>
            </w:pPr>
            <w:r w:rsidRPr="00DE12A3">
              <w:t>84</w:t>
            </w:r>
          </w:p>
        </w:tc>
        <w:tc>
          <w:tcPr>
            <w:tcW w:w="2551" w:type="dxa"/>
            <w:tcBorders>
              <w:top w:val="single" w:sz="2" w:space="0" w:color="auto"/>
              <w:left w:val="single" w:sz="2" w:space="0" w:color="auto"/>
              <w:bottom w:val="single" w:sz="2" w:space="0" w:color="auto"/>
              <w:right w:val="single" w:sz="2" w:space="0" w:color="auto"/>
            </w:tcBorders>
          </w:tcPr>
          <w:p w14:paraId="0EF8A8A0" w14:textId="77777777" w:rsidR="009F4766" w:rsidRPr="00DE12A3" w:rsidRDefault="009F4766" w:rsidP="00C917D6">
            <w:pPr>
              <w:pStyle w:val="NormalLeft"/>
            </w:pPr>
            <w:r w:rsidRPr="00DE12A3">
              <w:t>73</w:t>
            </w:r>
          </w:p>
        </w:tc>
      </w:tr>
      <w:tr w:rsidR="00DE12A3" w:rsidRPr="00DE12A3" w14:paraId="266DD9A1" w14:textId="77777777" w:rsidTr="009F4766">
        <w:tc>
          <w:tcPr>
            <w:tcW w:w="1182" w:type="dxa"/>
            <w:tcBorders>
              <w:top w:val="single" w:sz="2" w:space="0" w:color="auto"/>
              <w:left w:val="single" w:sz="2" w:space="0" w:color="auto"/>
              <w:bottom w:val="single" w:sz="2" w:space="0" w:color="auto"/>
              <w:right w:val="single" w:sz="2" w:space="0" w:color="auto"/>
            </w:tcBorders>
          </w:tcPr>
          <w:p w14:paraId="18656FBB" w14:textId="77777777" w:rsidR="009F4766" w:rsidRPr="00DE12A3" w:rsidRDefault="009F4766" w:rsidP="00C917D6">
            <w:pPr>
              <w:pStyle w:val="NormalLeft"/>
            </w:pPr>
            <w:r w:rsidRPr="00DE12A3">
              <w:t>504</w:t>
            </w:r>
          </w:p>
        </w:tc>
        <w:tc>
          <w:tcPr>
            <w:tcW w:w="2489" w:type="dxa"/>
            <w:tcBorders>
              <w:top w:val="single" w:sz="2" w:space="0" w:color="auto"/>
              <w:left w:val="single" w:sz="2" w:space="0" w:color="auto"/>
              <w:bottom w:val="single" w:sz="2" w:space="0" w:color="auto"/>
              <w:right w:val="single" w:sz="2" w:space="0" w:color="auto"/>
            </w:tcBorders>
          </w:tcPr>
          <w:p w14:paraId="067C0B84" w14:textId="77777777" w:rsidR="009F4766" w:rsidRPr="00DE12A3" w:rsidRDefault="009F4766" w:rsidP="00C917D6">
            <w:pPr>
              <w:pStyle w:val="NormalLeft"/>
            </w:pPr>
            <w:r w:rsidRPr="00DE12A3">
              <w:t>79</w:t>
            </w:r>
          </w:p>
        </w:tc>
        <w:tc>
          <w:tcPr>
            <w:tcW w:w="2551" w:type="dxa"/>
            <w:tcBorders>
              <w:top w:val="single" w:sz="2" w:space="0" w:color="auto"/>
              <w:left w:val="single" w:sz="2" w:space="0" w:color="auto"/>
              <w:bottom w:val="single" w:sz="2" w:space="0" w:color="auto"/>
              <w:right w:val="single" w:sz="2" w:space="0" w:color="auto"/>
            </w:tcBorders>
          </w:tcPr>
          <w:p w14:paraId="5FD26B5E" w14:textId="77777777" w:rsidR="009F4766" w:rsidRPr="00DE12A3" w:rsidRDefault="009F4766" w:rsidP="00C917D6">
            <w:pPr>
              <w:pStyle w:val="NormalLeft"/>
            </w:pPr>
            <w:r w:rsidRPr="00DE12A3">
              <w:t>73</w:t>
            </w:r>
          </w:p>
        </w:tc>
      </w:tr>
      <w:tr w:rsidR="00DE12A3" w:rsidRPr="00DE12A3" w14:paraId="71998CA5" w14:textId="77777777" w:rsidTr="009F4766">
        <w:tc>
          <w:tcPr>
            <w:tcW w:w="1182" w:type="dxa"/>
            <w:tcBorders>
              <w:top w:val="single" w:sz="2" w:space="0" w:color="auto"/>
              <w:left w:val="single" w:sz="2" w:space="0" w:color="auto"/>
              <w:bottom w:val="single" w:sz="2" w:space="0" w:color="auto"/>
              <w:right w:val="single" w:sz="2" w:space="0" w:color="auto"/>
            </w:tcBorders>
          </w:tcPr>
          <w:p w14:paraId="5F42BF37" w14:textId="77777777" w:rsidR="009F4766" w:rsidRPr="00DE12A3" w:rsidRDefault="009F4766" w:rsidP="00C917D6">
            <w:pPr>
              <w:pStyle w:val="NormalLeft"/>
            </w:pPr>
            <w:r w:rsidRPr="00DE12A3">
              <w:t>505</w:t>
            </w:r>
          </w:p>
        </w:tc>
        <w:tc>
          <w:tcPr>
            <w:tcW w:w="2489" w:type="dxa"/>
            <w:tcBorders>
              <w:top w:val="single" w:sz="2" w:space="0" w:color="auto"/>
              <w:left w:val="single" w:sz="2" w:space="0" w:color="auto"/>
              <w:bottom w:val="single" w:sz="2" w:space="0" w:color="auto"/>
              <w:right w:val="single" w:sz="2" w:space="0" w:color="auto"/>
            </w:tcBorders>
          </w:tcPr>
          <w:p w14:paraId="1EAE96FF" w14:textId="77777777" w:rsidR="009F4766" w:rsidRPr="00DE12A3" w:rsidRDefault="009F4766" w:rsidP="00C917D6">
            <w:pPr>
              <w:pStyle w:val="NormalLeft"/>
            </w:pPr>
            <w:r w:rsidRPr="00DE12A3">
              <w:t>75</w:t>
            </w:r>
          </w:p>
        </w:tc>
        <w:tc>
          <w:tcPr>
            <w:tcW w:w="2551" w:type="dxa"/>
            <w:tcBorders>
              <w:top w:val="single" w:sz="2" w:space="0" w:color="auto"/>
              <w:left w:val="single" w:sz="2" w:space="0" w:color="auto"/>
              <w:bottom w:val="single" w:sz="2" w:space="0" w:color="auto"/>
              <w:right w:val="single" w:sz="2" w:space="0" w:color="auto"/>
            </w:tcBorders>
          </w:tcPr>
          <w:p w14:paraId="2AE36B56" w14:textId="77777777" w:rsidR="009F4766" w:rsidRPr="00DE12A3" w:rsidRDefault="009F4766" w:rsidP="00C917D6">
            <w:pPr>
              <w:pStyle w:val="NormalLeft"/>
            </w:pPr>
            <w:r w:rsidRPr="00DE12A3">
              <w:t>72</w:t>
            </w:r>
          </w:p>
        </w:tc>
      </w:tr>
      <w:tr w:rsidR="00DE12A3" w:rsidRPr="00DE12A3" w14:paraId="5C3BE0D4" w14:textId="77777777" w:rsidTr="009F4766">
        <w:tc>
          <w:tcPr>
            <w:tcW w:w="1182" w:type="dxa"/>
            <w:tcBorders>
              <w:top w:val="single" w:sz="2" w:space="0" w:color="auto"/>
              <w:left w:val="single" w:sz="2" w:space="0" w:color="auto"/>
              <w:bottom w:val="single" w:sz="2" w:space="0" w:color="auto"/>
              <w:right w:val="single" w:sz="2" w:space="0" w:color="auto"/>
            </w:tcBorders>
          </w:tcPr>
          <w:p w14:paraId="2AB57DF2" w14:textId="77777777" w:rsidR="009F4766" w:rsidRPr="00DE12A3" w:rsidRDefault="009F4766" w:rsidP="00C917D6">
            <w:pPr>
              <w:pStyle w:val="NormalLeft"/>
            </w:pPr>
            <w:r w:rsidRPr="00DE12A3">
              <w:t>506</w:t>
            </w:r>
          </w:p>
        </w:tc>
        <w:tc>
          <w:tcPr>
            <w:tcW w:w="2489" w:type="dxa"/>
            <w:tcBorders>
              <w:top w:val="single" w:sz="2" w:space="0" w:color="auto"/>
              <w:left w:val="single" w:sz="2" w:space="0" w:color="auto"/>
              <w:bottom w:val="single" w:sz="2" w:space="0" w:color="auto"/>
              <w:right w:val="single" w:sz="2" w:space="0" w:color="auto"/>
            </w:tcBorders>
          </w:tcPr>
          <w:p w14:paraId="0FAD64E4" w14:textId="77777777" w:rsidR="009F4766" w:rsidRPr="00DE12A3" w:rsidRDefault="009F4766" w:rsidP="00C917D6">
            <w:pPr>
              <w:pStyle w:val="NormalLeft"/>
            </w:pPr>
            <w:r w:rsidRPr="00DE12A3">
              <w:t>78</w:t>
            </w:r>
          </w:p>
        </w:tc>
        <w:tc>
          <w:tcPr>
            <w:tcW w:w="2551" w:type="dxa"/>
            <w:tcBorders>
              <w:top w:val="single" w:sz="2" w:space="0" w:color="auto"/>
              <w:left w:val="single" w:sz="2" w:space="0" w:color="auto"/>
              <w:bottom w:val="single" w:sz="2" w:space="0" w:color="auto"/>
              <w:right w:val="single" w:sz="2" w:space="0" w:color="auto"/>
            </w:tcBorders>
          </w:tcPr>
          <w:p w14:paraId="0A04263E" w14:textId="77777777" w:rsidR="009F4766" w:rsidRPr="00DE12A3" w:rsidRDefault="009F4766" w:rsidP="00C917D6">
            <w:pPr>
              <w:pStyle w:val="NormalLeft"/>
            </w:pPr>
            <w:r w:rsidRPr="00DE12A3">
              <w:t>73</w:t>
            </w:r>
          </w:p>
        </w:tc>
      </w:tr>
      <w:tr w:rsidR="00DE12A3" w:rsidRPr="00DE12A3" w14:paraId="2EE3C9AB" w14:textId="77777777" w:rsidTr="009F4766">
        <w:tc>
          <w:tcPr>
            <w:tcW w:w="1182" w:type="dxa"/>
            <w:tcBorders>
              <w:top w:val="single" w:sz="2" w:space="0" w:color="auto"/>
              <w:left w:val="single" w:sz="2" w:space="0" w:color="auto"/>
              <w:bottom w:val="single" w:sz="2" w:space="0" w:color="auto"/>
              <w:right w:val="single" w:sz="2" w:space="0" w:color="auto"/>
            </w:tcBorders>
          </w:tcPr>
          <w:p w14:paraId="002D09B9" w14:textId="77777777" w:rsidR="009F4766" w:rsidRPr="00DE12A3" w:rsidRDefault="009F4766" w:rsidP="00C917D6">
            <w:pPr>
              <w:pStyle w:val="NormalLeft"/>
            </w:pPr>
            <w:r w:rsidRPr="00DE12A3">
              <w:t>507</w:t>
            </w:r>
          </w:p>
        </w:tc>
        <w:tc>
          <w:tcPr>
            <w:tcW w:w="2489" w:type="dxa"/>
            <w:tcBorders>
              <w:top w:val="single" w:sz="2" w:space="0" w:color="auto"/>
              <w:left w:val="single" w:sz="2" w:space="0" w:color="auto"/>
              <w:bottom w:val="single" w:sz="2" w:space="0" w:color="auto"/>
              <w:right w:val="single" w:sz="2" w:space="0" w:color="auto"/>
            </w:tcBorders>
          </w:tcPr>
          <w:p w14:paraId="5ADAB67A" w14:textId="77777777" w:rsidR="009F4766" w:rsidRPr="00DE12A3" w:rsidRDefault="009F4766" w:rsidP="00C917D6">
            <w:pPr>
              <w:pStyle w:val="NormalLeft"/>
            </w:pPr>
            <w:r w:rsidRPr="00DE12A3">
              <w:t>80</w:t>
            </w:r>
          </w:p>
        </w:tc>
        <w:tc>
          <w:tcPr>
            <w:tcW w:w="2551" w:type="dxa"/>
            <w:tcBorders>
              <w:top w:val="single" w:sz="2" w:space="0" w:color="auto"/>
              <w:left w:val="single" w:sz="2" w:space="0" w:color="auto"/>
              <w:bottom w:val="single" w:sz="2" w:space="0" w:color="auto"/>
              <w:right w:val="single" w:sz="2" w:space="0" w:color="auto"/>
            </w:tcBorders>
          </w:tcPr>
          <w:p w14:paraId="13974FF9" w14:textId="77777777" w:rsidR="009F4766" w:rsidRPr="00DE12A3" w:rsidRDefault="009F4766" w:rsidP="00C917D6">
            <w:pPr>
              <w:pStyle w:val="NormalLeft"/>
            </w:pPr>
            <w:r w:rsidRPr="00DE12A3">
              <w:t>73</w:t>
            </w:r>
          </w:p>
        </w:tc>
      </w:tr>
      <w:tr w:rsidR="00DE12A3" w:rsidRPr="00DE12A3" w14:paraId="3D4C02F0" w14:textId="77777777" w:rsidTr="009F4766">
        <w:tc>
          <w:tcPr>
            <w:tcW w:w="1182" w:type="dxa"/>
            <w:tcBorders>
              <w:top w:val="single" w:sz="2" w:space="0" w:color="auto"/>
              <w:left w:val="single" w:sz="2" w:space="0" w:color="auto"/>
              <w:bottom w:val="single" w:sz="2" w:space="0" w:color="auto"/>
              <w:right w:val="single" w:sz="2" w:space="0" w:color="auto"/>
            </w:tcBorders>
          </w:tcPr>
          <w:p w14:paraId="73BC6029" w14:textId="77777777" w:rsidR="009F4766" w:rsidRPr="00DE12A3" w:rsidRDefault="009F4766" w:rsidP="00C917D6">
            <w:pPr>
              <w:pStyle w:val="NormalLeft"/>
            </w:pPr>
            <w:r w:rsidRPr="00DE12A3">
              <w:t>508</w:t>
            </w:r>
          </w:p>
        </w:tc>
        <w:tc>
          <w:tcPr>
            <w:tcW w:w="2489" w:type="dxa"/>
            <w:tcBorders>
              <w:top w:val="single" w:sz="2" w:space="0" w:color="auto"/>
              <w:left w:val="single" w:sz="2" w:space="0" w:color="auto"/>
              <w:bottom w:val="single" w:sz="2" w:space="0" w:color="auto"/>
              <w:right w:val="single" w:sz="2" w:space="0" w:color="auto"/>
            </w:tcBorders>
          </w:tcPr>
          <w:p w14:paraId="1CC20A32" w14:textId="77777777" w:rsidR="009F4766" w:rsidRPr="00DE12A3" w:rsidRDefault="009F4766" w:rsidP="00C917D6">
            <w:pPr>
              <w:pStyle w:val="NormalLeft"/>
            </w:pPr>
            <w:r w:rsidRPr="00DE12A3">
              <w:t>81</w:t>
            </w:r>
          </w:p>
        </w:tc>
        <w:tc>
          <w:tcPr>
            <w:tcW w:w="2551" w:type="dxa"/>
            <w:tcBorders>
              <w:top w:val="single" w:sz="2" w:space="0" w:color="auto"/>
              <w:left w:val="single" w:sz="2" w:space="0" w:color="auto"/>
              <w:bottom w:val="single" w:sz="2" w:space="0" w:color="auto"/>
              <w:right w:val="single" w:sz="2" w:space="0" w:color="auto"/>
            </w:tcBorders>
          </w:tcPr>
          <w:p w14:paraId="5B0DD909" w14:textId="77777777" w:rsidR="009F4766" w:rsidRPr="00DE12A3" w:rsidRDefault="009F4766" w:rsidP="00C917D6">
            <w:pPr>
              <w:pStyle w:val="NormalLeft"/>
            </w:pPr>
            <w:r w:rsidRPr="00DE12A3">
              <w:t>73</w:t>
            </w:r>
          </w:p>
        </w:tc>
      </w:tr>
      <w:tr w:rsidR="00DE12A3" w:rsidRPr="00DE12A3" w14:paraId="2AD0252C" w14:textId="77777777" w:rsidTr="009F4766">
        <w:tc>
          <w:tcPr>
            <w:tcW w:w="1182" w:type="dxa"/>
            <w:tcBorders>
              <w:top w:val="single" w:sz="2" w:space="0" w:color="auto"/>
              <w:left w:val="single" w:sz="2" w:space="0" w:color="auto"/>
              <w:bottom w:val="single" w:sz="2" w:space="0" w:color="auto"/>
              <w:right w:val="single" w:sz="2" w:space="0" w:color="auto"/>
            </w:tcBorders>
          </w:tcPr>
          <w:p w14:paraId="281994C5" w14:textId="77777777" w:rsidR="009F4766" w:rsidRPr="00DE12A3" w:rsidRDefault="009F4766" w:rsidP="00C917D6">
            <w:pPr>
              <w:pStyle w:val="NormalLeft"/>
            </w:pPr>
            <w:r w:rsidRPr="00DE12A3">
              <w:t>509</w:t>
            </w:r>
          </w:p>
        </w:tc>
        <w:tc>
          <w:tcPr>
            <w:tcW w:w="2489" w:type="dxa"/>
            <w:tcBorders>
              <w:top w:val="single" w:sz="2" w:space="0" w:color="auto"/>
              <w:left w:val="single" w:sz="2" w:space="0" w:color="auto"/>
              <w:bottom w:val="single" w:sz="2" w:space="0" w:color="auto"/>
              <w:right w:val="single" w:sz="2" w:space="0" w:color="auto"/>
            </w:tcBorders>
          </w:tcPr>
          <w:p w14:paraId="786D0C66" w14:textId="77777777" w:rsidR="009F4766" w:rsidRPr="00DE12A3" w:rsidRDefault="009F4766" w:rsidP="00C917D6">
            <w:pPr>
              <w:pStyle w:val="NormalLeft"/>
            </w:pPr>
            <w:r w:rsidRPr="00DE12A3">
              <w:t>81</w:t>
            </w:r>
          </w:p>
        </w:tc>
        <w:tc>
          <w:tcPr>
            <w:tcW w:w="2551" w:type="dxa"/>
            <w:tcBorders>
              <w:top w:val="single" w:sz="2" w:space="0" w:color="auto"/>
              <w:left w:val="single" w:sz="2" w:space="0" w:color="auto"/>
              <w:bottom w:val="single" w:sz="2" w:space="0" w:color="auto"/>
              <w:right w:val="single" w:sz="2" w:space="0" w:color="auto"/>
            </w:tcBorders>
          </w:tcPr>
          <w:p w14:paraId="0A81A629" w14:textId="77777777" w:rsidR="009F4766" w:rsidRPr="00DE12A3" w:rsidRDefault="009F4766" w:rsidP="00C917D6">
            <w:pPr>
              <w:pStyle w:val="NormalLeft"/>
            </w:pPr>
            <w:r w:rsidRPr="00DE12A3">
              <w:t>73</w:t>
            </w:r>
          </w:p>
        </w:tc>
      </w:tr>
      <w:tr w:rsidR="00DE12A3" w:rsidRPr="00DE12A3" w14:paraId="4D06655A" w14:textId="77777777" w:rsidTr="009F4766">
        <w:tc>
          <w:tcPr>
            <w:tcW w:w="1182" w:type="dxa"/>
            <w:tcBorders>
              <w:top w:val="single" w:sz="2" w:space="0" w:color="auto"/>
              <w:left w:val="single" w:sz="2" w:space="0" w:color="auto"/>
              <w:bottom w:val="single" w:sz="2" w:space="0" w:color="auto"/>
              <w:right w:val="single" w:sz="2" w:space="0" w:color="auto"/>
            </w:tcBorders>
          </w:tcPr>
          <w:p w14:paraId="0E2EDE42" w14:textId="77777777" w:rsidR="009F4766" w:rsidRPr="00DE12A3" w:rsidRDefault="009F4766" w:rsidP="00C917D6">
            <w:pPr>
              <w:pStyle w:val="NormalLeft"/>
            </w:pPr>
            <w:r w:rsidRPr="00DE12A3">
              <w:t>510</w:t>
            </w:r>
          </w:p>
        </w:tc>
        <w:tc>
          <w:tcPr>
            <w:tcW w:w="2489" w:type="dxa"/>
            <w:tcBorders>
              <w:top w:val="single" w:sz="2" w:space="0" w:color="auto"/>
              <w:left w:val="single" w:sz="2" w:space="0" w:color="auto"/>
              <w:bottom w:val="single" w:sz="2" w:space="0" w:color="auto"/>
              <w:right w:val="single" w:sz="2" w:space="0" w:color="auto"/>
            </w:tcBorders>
          </w:tcPr>
          <w:p w14:paraId="37113237" w14:textId="77777777" w:rsidR="009F4766" w:rsidRPr="00DE12A3" w:rsidRDefault="009F4766" w:rsidP="00C917D6">
            <w:pPr>
              <w:pStyle w:val="NormalLeft"/>
            </w:pPr>
            <w:r w:rsidRPr="00DE12A3">
              <w:t>83</w:t>
            </w:r>
          </w:p>
        </w:tc>
        <w:tc>
          <w:tcPr>
            <w:tcW w:w="2551" w:type="dxa"/>
            <w:tcBorders>
              <w:top w:val="single" w:sz="2" w:space="0" w:color="auto"/>
              <w:left w:val="single" w:sz="2" w:space="0" w:color="auto"/>
              <w:bottom w:val="single" w:sz="2" w:space="0" w:color="auto"/>
              <w:right w:val="single" w:sz="2" w:space="0" w:color="auto"/>
            </w:tcBorders>
          </w:tcPr>
          <w:p w14:paraId="29C03037" w14:textId="77777777" w:rsidR="009F4766" w:rsidRPr="00DE12A3" w:rsidRDefault="009F4766" w:rsidP="00C917D6">
            <w:pPr>
              <w:pStyle w:val="NormalLeft"/>
            </w:pPr>
            <w:r w:rsidRPr="00DE12A3">
              <w:t>73</w:t>
            </w:r>
          </w:p>
        </w:tc>
      </w:tr>
      <w:tr w:rsidR="00DE12A3" w:rsidRPr="00DE12A3" w14:paraId="4D8BB168" w14:textId="77777777" w:rsidTr="009F4766">
        <w:tc>
          <w:tcPr>
            <w:tcW w:w="1182" w:type="dxa"/>
            <w:tcBorders>
              <w:top w:val="single" w:sz="2" w:space="0" w:color="auto"/>
              <w:left w:val="single" w:sz="2" w:space="0" w:color="auto"/>
              <w:bottom w:val="single" w:sz="2" w:space="0" w:color="auto"/>
              <w:right w:val="single" w:sz="2" w:space="0" w:color="auto"/>
            </w:tcBorders>
          </w:tcPr>
          <w:p w14:paraId="096B1074" w14:textId="77777777" w:rsidR="009F4766" w:rsidRPr="00DE12A3" w:rsidRDefault="009F4766" w:rsidP="00C917D6">
            <w:pPr>
              <w:pStyle w:val="NormalLeft"/>
            </w:pPr>
            <w:r w:rsidRPr="00DE12A3">
              <w:t>511</w:t>
            </w:r>
          </w:p>
        </w:tc>
        <w:tc>
          <w:tcPr>
            <w:tcW w:w="2489" w:type="dxa"/>
            <w:tcBorders>
              <w:top w:val="single" w:sz="2" w:space="0" w:color="auto"/>
              <w:left w:val="single" w:sz="2" w:space="0" w:color="auto"/>
              <w:bottom w:val="single" w:sz="2" w:space="0" w:color="auto"/>
              <w:right w:val="single" w:sz="2" w:space="0" w:color="auto"/>
            </w:tcBorders>
          </w:tcPr>
          <w:p w14:paraId="6B62F50D" w14:textId="77777777" w:rsidR="009F4766" w:rsidRPr="00DE12A3" w:rsidRDefault="009F4766" w:rsidP="00C917D6">
            <w:pPr>
              <w:pStyle w:val="NormalLeft"/>
            </w:pPr>
            <w:r w:rsidRPr="00DE12A3">
              <w:t>85</w:t>
            </w:r>
          </w:p>
        </w:tc>
        <w:tc>
          <w:tcPr>
            <w:tcW w:w="2551" w:type="dxa"/>
            <w:tcBorders>
              <w:top w:val="single" w:sz="2" w:space="0" w:color="auto"/>
              <w:left w:val="single" w:sz="2" w:space="0" w:color="auto"/>
              <w:bottom w:val="single" w:sz="2" w:space="0" w:color="auto"/>
              <w:right w:val="single" w:sz="2" w:space="0" w:color="auto"/>
            </w:tcBorders>
          </w:tcPr>
          <w:p w14:paraId="4E5FD56E" w14:textId="77777777" w:rsidR="009F4766" w:rsidRPr="00DE12A3" w:rsidRDefault="009F4766" w:rsidP="00C917D6">
            <w:pPr>
              <w:pStyle w:val="NormalLeft"/>
            </w:pPr>
            <w:r w:rsidRPr="00DE12A3">
              <w:t>73</w:t>
            </w:r>
          </w:p>
        </w:tc>
      </w:tr>
      <w:tr w:rsidR="00DE12A3" w:rsidRPr="00DE12A3" w14:paraId="40D48B7F" w14:textId="77777777" w:rsidTr="009F4766">
        <w:tc>
          <w:tcPr>
            <w:tcW w:w="1182" w:type="dxa"/>
            <w:tcBorders>
              <w:top w:val="single" w:sz="2" w:space="0" w:color="auto"/>
              <w:left w:val="single" w:sz="2" w:space="0" w:color="auto"/>
              <w:bottom w:val="single" w:sz="2" w:space="0" w:color="auto"/>
              <w:right w:val="single" w:sz="2" w:space="0" w:color="auto"/>
            </w:tcBorders>
          </w:tcPr>
          <w:p w14:paraId="0321B176" w14:textId="77777777" w:rsidR="009F4766" w:rsidRPr="00DE12A3" w:rsidRDefault="009F4766" w:rsidP="00C917D6">
            <w:pPr>
              <w:pStyle w:val="NormalLeft"/>
            </w:pPr>
            <w:r w:rsidRPr="00DE12A3">
              <w:t>512</w:t>
            </w:r>
          </w:p>
        </w:tc>
        <w:tc>
          <w:tcPr>
            <w:tcW w:w="2489" w:type="dxa"/>
            <w:tcBorders>
              <w:top w:val="single" w:sz="2" w:space="0" w:color="auto"/>
              <w:left w:val="single" w:sz="2" w:space="0" w:color="auto"/>
              <w:bottom w:val="single" w:sz="2" w:space="0" w:color="auto"/>
              <w:right w:val="single" w:sz="2" w:space="0" w:color="auto"/>
            </w:tcBorders>
          </w:tcPr>
          <w:p w14:paraId="3EA1A4B4" w14:textId="77777777" w:rsidR="009F4766" w:rsidRPr="00DE12A3" w:rsidRDefault="009F4766" w:rsidP="00C917D6">
            <w:pPr>
              <w:pStyle w:val="NormalLeft"/>
            </w:pPr>
            <w:r w:rsidRPr="00DE12A3">
              <w:t>84</w:t>
            </w:r>
          </w:p>
        </w:tc>
        <w:tc>
          <w:tcPr>
            <w:tcW w:w="2551" w:type="dxa"/>
            <w:tcBorders>
              <w:top w:val="single" w:sz="2" w:space="0" w:color="auto"/>
              <w:left w:val="single" w:sz="2" w:space="0" w:color="auto"/>
              <w:bottom w:val="single" w:sz="2" w:space="0" w:color="auto"/>
              <w:right w:val="single" w:sz="2" w:space="0" w:color="auto"/>
            </w:tcBorders>
          </w:tcPr>
          <w:p w14:paraId="5A386702" w14:textId="77777777" w:rsidR="009F4766" w:rsidRPr="00DE12A3" w:rsidRDefault="009F4766" w:rsidP="00C917D6">
            <w:pPr>
              <w:pStyle w:val="NormalLeft"/>
            </w:pPr>
            <w:r w:rsidRPr="00DE12A3">
              <w:t>73</w:t>
            </w:r>
          </w:p>
        </w:tc>
      </w:tr>
      <w:tr w:rsidR="00DE12A3" w:rsidRPr="00DE12A3" w14:paraId="0E2C5831" w14:textId="77777777" w:rsidTr="009F4766">
        <w:tc>
          <w:tcPr>
            <w:tcW w:w="1182" w:type="dxa"/>
            <w:tcBorders>
              <w:top w:val="single" w:sz="2" w:space="0" w:color="auto"/>
              <w:left w:val="single" w:sz="2" w:space="0" w:color="auto"/>
              <w:bottom w:val="single" w:sz="2" w:space="0" w:color="auto"/>
              <w:right w:val="single" w:sz="2" w:space="0" w:color="auto"/>
            </w:tcBorders>
          </w:tcPr>
          <w:p w14:paraId="34F863D3" w14:textId="77777777" w:rsidR="009F4766" w:rsidRPr="00DE12A3" w:rsidRDefault="009F4766" w:rsidP="00C917D6">
            <w:pPr>
              <w:pStyle w:val="NormalLeft"/>
            </w:pPr>
            <w:r w:rsidRPr="00DE12A3">
              <w:t>513</w:t>
            </w:r>
          </w:p>
        </w:tc>
        <w:tc>
          <w:tcPr>
            <w:tcW w:w="2489" w:type="dxa"/>
            <w:tcBorders>
              <w:top w:val="single" w:sz="2" w:space="0" w:color="auto"/>
              <w:left w:val="single" w:sz="2" w:space="0" w:color="auto"/>
              <w:bottom w:val="single" w:sz="2" w:space="0" w:color="auto"/>
              <w:right w:val="single" w:sz="2" w:space="0" w:color="auto"/>
            </w:tcBorders>
          </w:tcPr>
          <w:p w14:paraId="381A6394" w14:textId="77777777" w:rsidR="009F4766" w:rsidRPr="00DE12A3" w:rsidRDefault="009F4766" w:rsidP="00C917D6">
            <w:pPr>
              <w:pStyle w:val="NormalLeft"/>
            </w:pPr>
            <w:r w:rsidRPr="00DE12A3">
              <w:t>85</w:t>
            </w:r>
          </w:p>
        </w:tc>
        <w:tc>
          <w:tcPr>
            <w:tcW w:w="2551" w:type="dxa"/>
            <w:tcBorders>
              <w:top w:val="single" w:sz="2" w:space="0" w:color="auto"/>
              <w:left w:val="single" w:sz="2" w:space="0" w:color="auto"/>
              <w:bottom w:val="single" w:sz="2" w:space="0" w:color="auto"/>
              <w:right w:val="single" w:sz="2" w:space="0" w:color="auto"/>
            </w:tcBorders>
          </w:tcPr>
          <w:p w14:paraId="676AFB02" w14:textId="77777777" w:rsidR="009F4766" w:rsidRPr="00DE12A3" w:rsidRDefault="009F4766" w:rsidP="00C917D6">
            <w:pPr>
              <w:pStyle w:val="NormalLeft"/>
            </w:pPr>
            <w:r w:rsidRPr="00DE12A3">
              <w:t>73</w:t>
            </w:r>
          </w:p>
        </w:tc>
      </w:tr>
      <w:tr w:rsidR="00DE12A3" w:rsidRPr="00DE12A3" w14:paraId="0390F312" w14:textId="77777777" w:rsidTr="009F4766">
        <w:tc>
          <w:tcPr>
            <w:tcW w:w="1182" w:type="dxa"/>
            <w:tcBorders>
              <w:top w:val="single" w:sz="2" w:space="0" w:color="auto"/>
              <w:left w:val="single" w:sz="2" w:space="0" w:color="auto"/>
              <w:bottom w:val="single" w:sz="2" w:space="0" w:color="auto"/>
              <w:right w:val="single" w:sz="2" w:space="0" w:color="auto"/>
            </w:tcBorders>
          </w:tcPr>
          <w:p w14:paraId="564008D2" w14:textId="77777777" w:rsidR="009F4766" w:rsidRPr="00DE12A3" w:rsidRDefault="009F4766" w:rsidP="00C917D6">
            <w:pPr>
              <w:pStyle w:val="NormalLeft"/>
            </w:pPr>
            <w:r w:rsidRPr="00DE12A3">
              <w:t>514</w:t>
            </w:r>
          </w:p>
        </w:tc>
        <w:tc>
          <w:tcPr>
            <w:tcW w:w="2489" w:type="dxa"/>
            <w:tcBorders>
              <w:top w:val="single" w:sz="2" w:space="0" w:color="auto"/>
              <w:left w:val="single" w:sz="2" w:space="0" w:color="auto"/>
              <w:bottom w:val="single" w:sz="2" w:space="0" w:color="auto"/>
              <w:right w:val="single" w:sz="2" w:space="0" w:color="auto"/>
            </w:tcBorders>
          </w:tcPr>
          <w:p w14:paraId="719F42E4" w14:textId="77777777" w:rsidR="009F4766" w:rsidRPr="00DE12A3" w:rsidRDefault="009F4766" w:rsidP="00C917D6">
            <w:pPr>
              <w:pStyle w:val="NormalLeft"/>
            </w:pPr>
            <w:r w:rsidRPr="00DE12A3">
              <w:t>86</w:t>
            </w:r>
          </w:p>
        </w:tc>
        <w:tc>
          <w:tcPr>
            <w:tcW w:w="2551" w:type="dxa"/>
            <w:tcBorders>
              <w:top w:val="single" w:sz="2" w:space="0" w:color="auto"/>
              <w:left w:val="single" w:sz="2" w:space="0" w:color="auto"/>
              <w:bottom w:val="single" w:sz="2" w:space="0" w:color="auto"/>
              <w:right w:val="single" w:sz="2" w:space="0" w:color="auto"/>
            </w:tcBorders>
          </w:tcPr>
          <w:p w14:paraId="05D62688" w14:textId="77777777" w:rsidR="009F4766" w:rsidRPr="00DE12A3" w:rsidRDefault="009F4766" w:rsidP="00C917D6">
            <w:pPr>
              <w:pStyle w:val="NormalLeft"/>
            </w:pPr>
            <w:r w:rsidRPr="00DE12A3">
              <w:t>73</w:t>
            </w:r>
          </w:p>
        </w:tc>
      </w:tr>
      <w:tr w:rsidR="00DE12A3" w:rsidRPr="00DE12A3" w14:paraId="69DF0EC7" w14:textId="77777777" w:rsidTr="009F4766">
        <w:tc>
          <w:tcPr>
            <w:tcW w:w="1182" w:type="dxa"/>
            <w:tcBorders>
              <w:top w:val="single" w:sz="2" w:space="0" w:color="auto"/>
              <w:left w:val="single" w:sz="2" w:space="0" w:color="auto"/>
              <w:bottom w:val="single" w:sz="2" w:space="0" w:color="auto"/>
              <w:right w:val="single" w:sz="2" w:space="0" w:color="auto"/>
            </w:tcBorders>
          </w:tcPr>
          <w:p w14:paraId="6AC9ADD6" w14:textId="77777777" w:rsidR="009F4766" w:rsidRPr="00DE12A3" w:rsidRDefault="009F4766" w:rsidP="00C917D6">
            <w:pPr>
              <w:pStyle w:val="NormalLeft"/>
            </w:pPr>
            <w:r w:rsidRPr="00DE12A3">
              <w:t>515</w:t>
            </w:r>
          </w:p>
        </w:tc>
        <w:tc>
          <w:tcPr>
            <w:tcW w:w="2489" w:type="dxa"/>
            <w:tcBorders>
              <w:top w:val="single" w:sz="2" w:space="0" w:color="auto"/>
              <w:left w:val="single" w:sz="2" w:space="0" w:color="auto"/>
              <w:bottom w:val="single" w:sz="2" w:space="0" w:color="auto"/>
              <w:right w:val="single" w:sz="2" w:space="0" w:color="auto"/>
            </w:tcBorders>
          </w:tcPr>
          <w:p w14:paraId="561EE2B4" w14:textId="77777777" w:rsidR="009F4766" w:rsidRPr="00DE12A3" w:rsidRDefault="009F4766" w:rsidP="00C917D6">
            <w:pPr>
              <w:pStyle w:val="NormalLeft"/>
            </w:pPr>
            <w:r w:rsidRPr="00DE12A3">
              <w:t>85</w:t>
            </w:r>
          </w:p>
        </w:tc>
        <w:tc>
          <w:tcPr>
            <w:tcW w:w="2551" w:type="dxa"/>
            <w:tcBorders>
              <w:top w:val="single" w:sz="2" w:space="0" w:color="auto"/>
              <w:left w:val="single" w:sz="2" w:space="0" w:color="auto"/>
              <w:bottom w:val="single" w:sz="2" w:space="0" w:color="auto"/>
              <w:right w:val="single" w:sz="2" w:space="0" w:color="auto"/>
            </w:tcBorders>
          </w:tcPr>
          <w:p w14:paraId="79EBE5E2" w14:textId="77777777" w:rsidR="009F4766" w:rsidRPr="00DE12A3" w:rsidRDefault="009F4766" w:rsidP="00C917D6">
            <w:pPr>
              <w:pStyle w:val="NormalLeft"/>
            </w:pPr>
            <w:r w:rsidRPr="00DE12A3">
              <w:t>73</w:t>
            </w:r>
          </w:p>
        </w:tc>
      </w:tr>
      <w:tr w:rsidR="00DE12A3" w:rsidRPr="00DE12A3" w14:paraId="00F24BCC" w14:textId="77777777" w:rsidTr="009F4766">
        <w:tc>
          <w:tcPr>
            <w:tcW w:w="1182" w:type="dxa"/>
            <w:tcBorders>
              <w:top w:val="single" w:sz="2" w:space="0" w:color="auto"/>
              <w:left w:val="single" w:sz="2" w:space="0" w:color="auto"/>
              <w:bottom w:val="single" w:sz="2" w:space="0" w:color="auto"/>
              <w:right w:val="single" w:sz="2" w:space="0" w:color="auto"/>
            </w:tcBorders>
          </w:tcPr>
          <w:p w14:paraId="2D46D5EA" w14:textId="77777777" w:rsidR="009F4766" w:rsidRPr="00DE12A3" w:rsidRDefault="009F4766" w:rsidP="00C917D6">
            <w:pPr>
              <w:pStyle w:val="NormalLeft"/>
            </w:pPr>
            <w:r w:rsidRPr="00DE12A3">
              <w:t>516</w:t>
            </w:r>
          </w:p>
        </w:tc>
        <w:tc>
          <w:tcPr>
            <w:tcW w:w="2489" w:type="dxa"/>
            <w:tcBorders>
              <w:top w:val="single" w:sz="2" w:space="0" w:color="auto"/>
              <w:left w:val="single" w:sz="2" w:space="0" w:color="auto"/>
              <w:bottom w:val="single" w:sz="2" w:space="0" w:color="auto"/>
              <w:right w:val="single" w:sz="2" w:space="0" w:color="auto"/>
            </w:tcBorders>
          </w:tcPr>
          <w:p w14:paraId="118941E2" w14:textId="77777777" w:rsidR="009F4766" w:rsidRPr="00DE12A3" w:rsidRDefault="009F4766" w:rsidP="00C917D6">
            <w:pPr>
              <w:pStyle w:val="NormalLeft"/>
            </w:pPr>
            <w:r w:rsidRPr="00DE12A3">
              <w:t>85</w:t>
            </w:r>
          </w:p>
        </w:tc>
        <w:tc>
          <w:tcPr>
            <w:tcW w:w="2551" w:type="dxa"/>
            <w:tcBorders>
              <w:top w:val="single" w:sz="2" w:space="0" w:color="auto"/>
              <w:left w:val="single" w:sz="2" w:space="0" w:color="auto"/>
              <w:bottom w:val="single" w:sz="2" w:space="0" w:color="auto"/>
              <w:right w:val="single" w:sz="2" w:space="0" w:color="auto"/>
            </w:tcBorders>
          </w:tcPr>
          <w:p w14:paraId="59B146B4" w14:textId="77777777" w:rsidR="009F4766" w:rsidRPr="00DE12A3" w:rsidRDefault="009F4766" w:rsidP="00C917D6">
            <w:pPr>
              <w:pStyle w:val="NormalLeft"/>
            </w:pPr>
            <w:r w:rsidRPr="00DE12A3">
              <w:t>73</w:t>
            </w:r>
          </w:p>
        </w:tc>
      </w:tr>
      <w:tr w:rsidR="00DE12A3" w:rsidRPr="00DE12A3" w14:paraId="5388B842" w14:textId="77777777" w:rsidTr="009F4766">
        <w:tc>
          <w:tcPr>
            <w:tcW w:w="1182" w:type="dxa"/>
            <w:tcBorders>
              <w:top w:val="single" w:sz="2" w:space="0" w:color="auto"/>
              <w:left w:val="single" w:sz="2" w:space="0" w:color="auto"/>
              <w:bottom w:val="single" w:sz="2" w:space="0" w:color="auto"/>
              <w:right w:val="single" w:sz="2" w:space="0" w:color="auto"/>
            </w:tcBorders>
          </w:tcPr>
          <w:p w14:paraId="6A5293DE" w14:textId="77777777" w:rsidR="009F4766" w:rsidRPr="00DE12A3" w:rsidRDefault="009F4766" w:rsidP="00C917D6">
            <w:pPr>
              <w:pStyle w:val="NormalLeft"/>
            </w:pPr>
            <w:r w:rsidRPr="00DE12A3">
              <w:t>517</w:t>
            </w:r>
          </w:p>
        </w:tc>
        <w:tc>
          <w:tcPr>
            <w:tcW w:w="2489" w:type="dxa"/>
            <w:tcBorders>
              <w:top w:val="single" w:sz="2" w:space="0" w:color="auto"/>
              <w:left w:val="single" w:sz="2" w:space="0" w:color="auto"/>
              <w:bottom w:val="single" w:sz="2" w:space="0" w:color="auto"/>
              <w:right w:val="single" w:sz="2" w:space="0" w:color="auto"/>
            </w:tcBorders>
          </w:tcPr>
          <w:p w14:paraId="7CFFA5C8" w14:textId="77777777" w:rsidR="009F4766" w:rsidRPr="00DE12A3" w:rsidRDefault="009F4766" w:rsidP="00C917D6">
            <w:pPr>
              <w:pStyle w:val="NormalLeft"/>
            </w:pPr>
            <w:r w:rsidRPr="00DE12A3">
              <w:t>85</w:t>
            </w:r>
          </w:p>
        </w:tc>
        <w:tc>
          <w:tcPr>
            <w:tcW w:w="2551" w:type="dxa"/>
            <w:tcBorders>
              <w:top w:val="single" w:sz="2" w:space="0" w:color="auto"/>
              <w:left w:val="single" w:sz="2" w:space="0" w:color="auto"/>
              <w:bottom w:val="single" w:sz="2" w:space="0" w:color="auto"/>
              <w:right w:val="single" w:sz="2" w:space="0" w:color="auto"/>
            </w:tcBorders>
          </w:tcPr>
          <w:p w14:paraId="7687D1CE" w14:textId="77777777" w:rsidR="009F4766" w:rsidRPr="00DE12A3" w:rsidRDefault="009F4766" w:rsidP="00C917D6">
            <w:pPr>
              <w:pStyle w:val="NormalLeft"/>
            </w:pPr>
            <w:r w:rsidRPr="00DE12A3">
              <w:t>72</w:t>
            </w:r>
          </w:p>
        </w:tc>
      </w:tr>
      <w:tr w:rsidR="00DE12A3" w:rsidRPr="00DE12A3" w14:paraId="00C91FA7" w14:textId="77777777" w:rsidTr="009F4766">
        <w:tc>
          <w:tcPr>
            <w:tcW w:w="1182" w:type="dxa"/>
            <w:tcBorders>
              <w:top w:val="single" w:sz="2" w:space="0" w:color="auto"/>
              <w:left w:val="single" w:sz="2" w:space="0" w:color="auto"/>
              <w:bottom w:val="single" w:sz="2" w:space="0" w:color="auto"/>
              <w:right w:val="single" w:sz="2" w:space="0" w:color="auto"/>
            </w:tcBorders>
          </w:tcPr>
          <w:p w14:paraId="3F118F86" w14:textId="77777777" w:rsidR="009F4766" w:rsidRPr="00DE12A3" w:rsidRDefault="009F4766" w:rsidP="00C917D6">
            <w:pPr>
              <w:pStyle w:val="NormalLeft"/>
            </w:pPr>
            <w:r w:rsidRPr="00DE12A3">
              <w:t>518</w:t>
            </w:r>
          </w:p>
        </w:tc>
        <w:tc>
          <w:tcPr>
            <w:tcW w:w="2489" w:type="dxa"/>
            <w:tcBorders>
              <w:top w:val="single" w:sz="2" w:space="0" w:color="auto"/>
              <w:left w:val="single" w:sz="2" w:space="0" w:color="auto"/>
              <w:bottom w:val="single" w:sz="2" w:space="0" w:color="auto"/>
              <w:right w:val="single" w:sz="2" w:space="0" w:color="auto"/>
            </w:tcBorders>
          </w:tcPr>
          <w:p w14:paraId="1FBBCF77" w14:textId="77777777" w:rsidR="009F4766" w:rsidRPr="00DE12A3" w:rsidRDefault="009F4766" w:rsidP="00C917D6">
            <w:pPr>
              <w:pStyle w:val="NormalLeft"/>
            </w:pPr>
            <w:r w:rsidRPr="00DE12A3">
              <w:t>85</w:t>
            </w:r>
          </w:p>
        </w:tc>
        <w:tc>
          <w:tcPr>
            <w:tcW w:w="2551" w:type="dxa"/>
            <w:tcBorders>
              <w:top w:val="single" w:sz="2" w:space="0" w:color="auto"/>
              <w:left w:val="single" w:sz="2" w:space="0" w:color="auto"/>
              <w:bottom w:val="single" w:sz="2" w:space="0" w:color="auto"/>
              <w:right w:val="single" w:sz="2" w:space="0" w:color="auto"/>
            </w:tcBorders>
          </w:tcPr>
          <w:p w14:paraId="0312BC29" w14:textId="77777777" w:rsidR="009F4766" w:rsidRPr="00DE12A3" w:rsidRDefault="009F4766" w:rsidP="00C917D6">
            <w:pPr>
              <w:pStyle w:val="NormalLeft"/>
            </w:pPr>
            <w:r w:rsidRPr="00DE12A3">
              <w:t>73</w:t>
            </w:r>
          </w:p>
        </w:tc>
      </w:tr>
      <w:tr w:rsidR="00DE12A3" w:rsidRPr="00DE12A3" w14:paraId="69CC78A2" w14:textId="77777777" w:rsidTr="009F4766">
        <w:tc>
          <w:tcPr>
            <w:tcW w:w="1182" w:type="dxa"/>
            <w:tcBorders>
              <w:top w:val="single" w:sz="2" w:space="0" w:color="auto"/>
              <w:left w:val="single" w:sz="2" w:space="0" w:color="auto"/>
              <w:bottom w:val="single" w:sz="2" w:space="0" w:color="auto"/>
              <w:right w:val="single" w:sz="2" w:space="0" w:color="auto"/>
            </w:tcBorders>
          </w:tcPr>
          <w:p w14:paraId="3ED00A55" w14:textId="77777777" w:rsidR="009F4766" w:rsidRPr="00DE12A3" w:rsidRDefault="009F4766" w:rsidP="00C917D6">
            <w:pPr>
              <w:pStyle w:val="NormalLeft"/>
            </w:pPr>
            <w:r w:rsidRPr="00DE12A3">
              <w:t>519</w:t>
            </w:r>
          </w:p>
        </w:tc>
        <w:tc>
          <w:tcPr>
            <w:tcW w:w="2489" w:type="dxa"/>
            <w:tcBorders>
              <w:top w:val="single" w:sz="2" w:space="0" w:color="auto"/>
              <w:left w:val="single" w:sz="2" w:space="0" w:color="auto"/>
              <w:bottom w:val="single" w:sz="2" w:space="0" w:color="auto"/>
              <w:right w:val="single" w:sz="2" w:space="0" w:color="auto"/>
            </w:tcBorders>
          </w:tcPr>
          <w:p w14:paraId="4E294659" w14:textId="77777777" w:rsidR="009F4766" w:rsidRPr="00DE12A3" w:rsidRDefault="009F4766" w:rsidP="00C917D6">
            <w:pPr>
              <w:pStyle w:val="NormalLeft"/>
            </w:pPr>
            <w:r w:rsidRPr="00DE12A3">
              <w:t>83</w:t>
            </w:r>
          </w:p>
        </w:tc>
        <w:tc>
          <w:tcPr>
            <w:tcW w:w="2551" w:type="dxa"/>
            <w:tcBorders>
              <w:top w:val="single" w:sz="2" w:space="0" w:color="auto"/>
              <w:left w:val="single" w:sz="2" w:space="0" w:color="auto"/>
              <w:bottom w:val="single" w:sz="2" w:space="0" w:color="auto"/>
              <w:right w:val="single" w:sz="2" w:space="0" w:color="auto"/>
            </w:tcBorders>
          </w:tcPr>
          <w:p w14:paraId="207CAB83" w14:textId="77777777" w:rsidR="009F4766" w:rsidRPr="00DE12A3" w:rsidRDefault="009F4766" w:rsidP="00C917D6">
            <w:pPr>
              <w:pStyle w:val="NormalLeft"/>
            </w:pPr>
            <w:r w:rsidRPr="00DE12A3">
              <w:t>73</w:t>
            </w:r>
          </w:p>
        </w:tc>
      </w:tr>
      <w:tr w:rsidR="00DE12A3" w:rsidRPr="00DE12A3" w14:paraId="79E53915" w14:textId="77777777" w:rsidTr="009F4766">
        <w:tc>
          <w:tcPr>
            <w:tcW w:w="1182" w:type="dxa"/>
            <w:tcBorders>
              <w:top w:val="single" w:sz="2" w:space="0" w:color="auto"/>
              <w:left w:val="single" w:sz="2" w:space="0" w:color="auto"/>
              <w:bottom w:val="single" w:sz="2" w:space="0" w:color="auto"/>
              <w:right w:val="single" w:sz="2" w:space="0" w:color="auto"/>
            </w:tcBorders>
          </w:tcPr>
          <w:p w14:paraId="643CD9F5" w14:textId="77777777" w:rsidR="009F4766" w:rsidRPr="00DE12A3" w:rsidRDefault="009F4766" w:rsidP="00C917D6">
            <w:pPr>
              <w:pStyle w:val="NormalLeft"/>
            </w:pPr>
            <w:r w:rsidRPr="00DE12A3">
              <w:t>520</w:t>
            </w:r>
          </w:p>
        </w:tc>
        <w:tc>
          <w:tcPr>
            <w:tcW w:w="2489" w:type="dxa"/>
            <w:tcBorders>
              <w:top w:val="single" w:sz="2" w:space="0" w:color="auto"/>
              <w:left w:val="single" w:sz="2" w:space="0" w:color="auto"/>
              <w:bottom w:val="single" w:sz="2" w:space="0" w:color="auto"/>
              <w:right w:val="single" w:sz="2" w:space="0" w:color="auto"/>
            </w:tcBorders>
          </w:tcPr>
          <w:p w14:paraId="0D82768E" w14:textId="77777777" w:rsidR="009F4766" w:rsidRPr="00DE12A3" w:rsidRDefault="009F4766" w:rsidP="00C917D6">
            <w:pPr>
              <w:pStyle w:val="NormalLeft"/>
            </w:pPr>
            <w:r w:rsidRPr="00DE12A3">
              <w:t>79</w:t>
            </w:r>
          </w:p>
        </w:tc>
        <w:tc>
          <w:tcPr>
            <w:tcW w:w="2551" w:type="dxa"/>
            <w:tcBorders>
              <w:top w:val="single" w:sz="2" w:space="0" w:color="auto"/>
              <w:left w:val="single" w:sz="2" w:space="0" w:color="auto"/>
              <w:bottom w:val="single" w:sz="2" w:space="0" w:color="auto"/>
              <w:right w:val="single" w:sz="2" w:space="0" w:color="auto"/>
            </w:tcBorders>
          </w:tcPr>
          <w:p w14:paraId="610AE44D" w14:textId="77777777" w:rsidR="009F4766" w:rsidRPr="00DE12A3" w:rsidRDefault="009F4766" w:rsidP="00C917D6">
            <w:pPr>
              <w:pStyle w:val="NormalLeft"/>
            </w:pPr>
            <w:r w:rsidRPr="00DE12A3">
              <w:t>73</w:t>
            </w:r>
          </w:p>
        </w:tc>
      </w:tr>
      <w:tr w:rsidR="00DE12A3" w:rsidRPr="00DE12A3" w14:paraId="1EE046AD" w14:textId="77777777" w:rsidTr="009F4766">
        <w:tc>
          <w:tcPr>
            <w:tcW w:w="1182" w:type="dxa"/>
            <w:tcBorders>
              <w:top w:val="single" w:sz="2" w:space="0" w:color="auto"/>
              <w:left w:val="single" w:sz="2" w:space="0" w:color="auto"/>
              <w:bottom w:val="single" w:sz="2" w:space="0" w:color="auto"/>
              <w:right w:val="single" w:sz="2" w:space="0" w:color="auto"/>
            </w:tcBorders>
          </w:tcPr>
          <w:p w14:paraId="69CBD609" w14:textId="77777777" w:rsidR="009F4766" w:rsidRPr="00DE12A3" w:rsidRDefault="009F4766" w:rsidP="00C917D6">
            <w:pPr>
              <w:pStyle w:val="NormalLeft"/>
            </w:pPr>
            <w:r w:rsidRPr="00DE12A3">
              <w:t>521</w:t>
            </w:r>
          </w:p>
        </w:tc>
        <w:tc>
          <w:tcPr>
            <w:tcW w:w="2489" w:type="dxa"/>
            <w:tcBorders>
              <w:top w:val="single" w:sz="2" w:space="0" w:color="auto"/>
              <w:left w:val="single" w:sz="2" w:space="0" w:color="auto"/>
              <w:bottom w:val="single" w:sz="2" w:space="0" w:color="auto"/>
              <w:right w:val="single" w:sz="2" w:space="0" w:color="auto"/>
            </w:tcBorders>
          </w:tcPr>
          <w:p w14:paraId="4BDEF767" w14:textId="77777777" w:rsidR="009F4766" w:rsidRPr="00DE12A3" w:rsidRDefault="009F4766" w:rsidP="00C917D6">
            <w:pPr>
              <w:pStyle w:val="NormalLeft"/>
            </w:pPr>
            <w:r w:rsidRPr="00DE12A3">
              <w:t>78</w:t>
            </w:r>
          </w:p>
        </w:tc>
        <w:tc>
          <w:tcPr>
            <w:tcW w:w="2551" w:type="dxa"/>
            <w:tcBorders>
              <w:top w:val="single" w:sz="2" w:space="0" w:color="auto"/>
              <w:left w:val="single" w:sz="2" w:space="0" w:color="auto"/>
              <w:bottom w:val="single" w:sz="2" w:space="0" w:color="auto"/>
              <w:right w:val="single" w:sz="2" w:space="0" w:color="auto"/>
            </w:tcBorders>
          </w:tcPr>
          <w:p w14:paraId="43C605FB" w14:textId="77777777" w:rsidR="009F4766" w:rsidRPr="00DE12A3" w:rsidRDefault="009F4766" w:rsidP="00C917D6">
            <w:pPr>
              <w:pStyle w:val="NormalLeft"/>
            </w:pPr>
            <w:r w:rsidRPr="00DE12A3">
              <w:t>73</w:t>
            </w:r>
          </w:p>
        </w:tc>
      </w:tr>
      <w:tr w:rsidR="00DE12A3" w:rsidRPr="00DE12A3" w14:paraId="2EDA60F5" w14:textId="77777777" w:rsidTr="009F4766">
        <w:tc>
          <w:tcPr>
            <w:tcW w:w="1182" w:type="dxa"/>
            <w:tcBorders>
              <w:top w:val="single" w:sz="2" w:space="0" w:color="auto"/>
              <w:left w:val="single" w:sz="2" w:space="0" w:color="auto"/>
              <w:bottom w:val="single" w:sz="2" w:space="0" w:color="auto"/>
              <w:right w:val="single" w:sz="2" w:space="0" w:color="auto"/>
            </w:tcBorders>
          </w:tcPr>
          <w:p w14:paraId="1D04222F" w14:textId="77777777" w:rsidR="009F4766" w:rsidRPr="00DE12A3" w:rsidRDefault="009F4766" w:rsidP="00C917D6">
            <w:pPr>
              <w:pStyle w:val="NormalLeft"/>
            </w:pPr>
            <w:r w:rsidRPr="00DE12A3">
              <w:t>522</w:t>
            </w:r>
          </w:p>
        </w:tc>
        <w:tc>
          <w:tcPr>
            <w:tcW w:w="2489" w:type="dxa"/>
            <w:tcBorders>
              <w:top w:val="single" w:sz="2" w:space="0" w:color="auto"/>
              <w:left w:val="single" w:sz="2" w:space="0" w:color="auto"/>
              <w:bottom w:val="single" w:sz="2" w:space="0" w:color="auto"/>
              <w:right w:val="single" w:sz="2" w:space="0" w:color="auto"/>
            </w:tcBorders>
          </w:tcPr>
          <w:p w14:paraId="42A0158E" w14:textId="77777777" w:rsidR="009F4766" w:rsidRPr="00DE12A3" w:rsidRDefault="009F4766" w:rsidP="00C917D6">
            <w:pPr>
              <w:pStyle w:val="NormalLeft"/>
            </w:pPr>
            <w:r w:rsidRPr="00DE12A3">
              <w:t>81</w:t>
            </w:r>
          </w:p>
        </w:tc>
        <w:tc>
          <w:tcPr>
            <w:tcW w:w="2551" w:type="dxa"/>
            <w:tcBorders>
              <w:top w:val="single" w:sz="2" w:space="0" w:color="auto"/>
              <w:left w:val="single" w:sz="2" w:space="0" w:color="auto"/>
              <w:bottom w:val="single" w:sz="2" w:space="0" w:color="auto"/>
              <w:right w:val="single" w:sz="2" w:space="0" w:color="auto"/>
            </w:tcBorders>
          </w:tcPr>
          <w:p w14:paraId="1267B012" w14:textId="77777777" w:rsidR="009F4766" w:rsidRPr="00DE12A3" w:rsidRDefault="009F4766" w:rsidP="00C917D6">
            <w:pPr>
              <w:pStyle w:val="NormalLeft"/>
            </w:pPr>
            <w:r w:rsidRPr="00DE12A3">
              <w:t>73</w:t>
            </w:r>
          </w:p>
        </w:tc>
      </w:tr>
      <w:tr w:rsidR="00DE12A3" w:rsidRPr="00DE12A3" w14:paraId="236AF7FD" w14:textId="77777777" w:rsidTr="009F4766">
        <w:tc>
          <w:tcPr>
            <w:tcW w:w="1182" w:type="dxa"/>
            <w:tcBorders>
              <w:top w:val="single" w:sz="2" w:space="0" w:color="auto"/>
              <w:left w:val="single" w:sz="2" w:space="0" w:color="auto"/>
              <w:bottom w:val="single" w:sz="2" w:space="0" w:color="auto"/>
              <w:right w:val="single" w:sz="2" w:space="0" w:color="auto"/>
            </w:tcBorders>
          </w:tcPr>
          <w:p w14:paraId="0AC6563F" w14:textId="77777777" w:rsidR="009F4766" w:rsidRPr="00DE12A3" w:rsidRDefault="009F4766" w:rsidP="00C917D6">
            <w:pPr>
              <w:pStyle w:val="NormalLeft"/>
            </w:pPr>
            <w:r w:rsidRPr="00DE12A3">
              <w:t>523</w:t>
            </w:r>
          </w:p>
        </w:tc>
        <w:tc>
          <w:tcPr>
            <w:tcW w:w="2489" w:type="dxa"/>
            <w:tcBorders>
              <w:top w:val="single" w:sz="2" w:space="0" w:color="auto"/>
              <w:left w:val="single" w:sz="2" w:space="0" w:color="auto"/>
              <w:bottom w:val="single" w:sz="2" w:space="0" w:color="auto"/>
              <w:right w:val="single" w:sz="2" w:space="0" w:color="auto"/>
            </w:tcBorders>
          </w:tcPr>
          <w:p w14:paraId="75E76E0C" w14:textId="77777777" w:rsidR="009F4766" w:rsidRPr="00DE12A3" w:rsidRDefault="009F4766" w:rsidP="00C917D6">
            <w:pPr>
              <w:pStyle w:val="NormalLeft"/>
            </w:pPr>
            <w:r w:rsidRPr="00DE12A3">
              <w:t>82</w:t>
            </w:r>
          </w:p>
        </w:tc>
        <w:tc>
          <w:tcPr>
            <w:tcW w:w="2551" w:type="dxa"/>
            <w:tcBorders>
              <w:top w:val="single" w:sz="2" w:space="0" w:color="auto"/>
              <w:left w:val="single" w:sz="2" w:space="0" w:color="auto"/>
              <w:bottom w:val="single" w:sz="2" w:space="0" w:color="auto"/>
              <w:right w:val="single" w:sz="2" w:space="0" w:color="auto"/>
            </w:tcBorders>
          </w:tcPr>
          <w:p w14:paraId="4A75C748" w14:textId="77777777" w:rsidR="009F4766" w:rsidRPr="00DE12A3" w:rsidRDefault="009F4766" w:rsidP="00C917D6">
            <w:pPr>
              <w:pStyle w:val="NormalLeft"/>
            </w:pPr>
            <w:r w:rsidRPr="00DE12A3">
              <w:t>72</w:t>
            </w:r>
          </w:p>
        </w:tc>
      </w:tr>
      <w:tr w:rsidR="00DE12A3" w:rsidRPr="00DE12A3" w14:paraId="738EFA28" w14:textId="77777777" w:rsidTr="009F4766">
        <w:tc>
          <w:tcPr>
            <w:tcW w:w="1182" w:type="dxa"/>
            <w:tcBorders>
              <w:top w:val="single" w:sz="2" w:space="0" w:color="auto"/>
              <w:left w:val="single" w:sz="2" w:space="0" w:color="auto"/>
              <w:bottom w:val="single" w:sz="2" w:space="0" w:color="auto"/>
              <w:right w:val="single" w:sz="2" w:space="0" w:color="auto"/>
            </w:tcBorders>
          </w:tcPr>
          <w:p w14:paraId="59B86ECA" w14:textId="77777777" w:rsidR="009F4766" w:rsidRPr="00DE12A3" w:rsidRDefault="009F4766" w:rsidP="00C917D6">
            <w:pPr>
              <w:pStyle w:val="NormalLeft"/>
            </w:pPr>
            <w:r w:rsidRPr="00DE12A3">
              <w:lastRenderedPageBreak/>
              <w:t>524</w:t>
            </w:r>
          </w:p>
        </w:tc>
        <w:tc>
          <w:tcPr>
            <w:tcW w:w="2489" w:type="dxa"/>
            <w:tcBorders>
              <w:top w:val="single" w:sz="2" w:space="0" w:color="auto"/>
              <w:left w:val="single" w:sz="2" w:space="0" w:color="auto"/>
              <w:bottom w:val="single" w:sz="2" w:space="0" w:color="auto"/>
              <w:right w:val="single" w:sz="2" w:space="0" w:color="auto"/>
            </w:tcBorders>
          </w:tcPr>
          <w:p w14:paraId="137F18F9" w14:textId="77777777" w:rsidR="009F4766" w:rsidRPr="00DE12A3" w:rsidRDefault="009F4766" w:rsidP="00C917D6">
            <w:pPr>
              <w:pStyle w:val="NormalLeft"/>
            </w:pPr>
            <w:r w:rsidRPr="00DE12A3">
              <w:t>94</w:t>
            </w:r>
          </w:p>
        </w:tc>
        <w:tc>
          <w:tcPr>
            <w:tcW w:w="2551" w:type="dxa"/>
            <w:tcBorders>
              <w:top w:val="single" w:sz="2" w:space="0" w:color="auto"/>
              <w:left w:val="single" w:sz="2" w:space="0" w:color="auto"/>
              <w:bottom w:val="single" w:sz="2" w:space="0" w:color="auto"/>
              <w:right w:val="single" w:sz="2" w:space="0" w:color="auto"/>
            </w:tcBorders>
          </w:tcPr>
          <w:p w14:paraId="0DEDB6EA" w14:textId="77777777" w:rsidR="009F4766" w:rsidRPr="00DE12A3" w:rsidRDefault="009F4766" w:rsidP="00C917D6">
            <w:pPr>
              <w:pStyle w:val="NormalLeft"/>
            </w:pPr>
            <w:r w:rsidRPr="00DE12A3">
              <w:t>56</w:t>
            </w:r>
          </w:p>
        </w:tc>
      </w:tr>
      <w:tr w:rsidR="00DE12A3" w:rsidRPr="00DE12A3" w14:paraId="2DB1C651" w14:textId="77777777" w:rsidTr="009F4766">
        <w:tc>
          <w:tcPr>
            <w:tcW w:w="1182" w:type="dxa"/>
            <w:tcBorders>
              <w:top w:val="single" w:sz="2" w:space="0" w:color="auto"/>
              <w:left w:val="single" w:sz="2" w:space="0" w:color="auto"/>
              <w:bottom w:val="single" w:sz="2" w:space="0" w:color="auto"/>
              <w:right w:val="single" w:sz="2" w:space="0" w:color="auto"/>
            </w:tcBorders>
          </w:tcPr>
          <w:p w14:paraId="4F1FD7DA" w14:textId="77777777" w:rsidR="009F4766" w:rsidRPr="00DE12A3" w:rsidRDefault="009F4766" w:rsidP="00C917D6">
            <w:pPr>
              <w:pStyle w:val="NormalLeft"/>
            </w:pPr>
            <w:r w:rsidRPr="00DE12A3">
              <w:t>525</w:t>
            </w:r>
          </w:p>
        </w:tc>
        <w:tc>
          <w:tcPr>
            <w:tcW w:w="2489" w:type="dxa"/>
            <w:tcBorders>
              <w:top w:val="single" w:sz="2" w:space="0" w:color="auto"/>
              <w:left w:val="single" w:sz="2" w:space="0" w:color="auto"/>
              <w:bottom w:val="single" w:sz="2" w:space="0" w:color="auto"/>
              <w:right w:val="single" w:sz="2" w:space="0" w:color="auto"/>
            </w:tcBorders>
          </w:tcPr>
          <w:p w14:paraId="13A8A1D6" w14:textId="77777777" w:rsidR="009F4766" w:rsidRPr="00DE12A3" w:rsidRDefault="009F4766" w:rsidP="00C917D6">
            <w:pPr>
              <w:pStyle w:val="NormalLeft"/>
            </w:pPr>
            <w:r w:rsidRPr="00DE12A3">
              <w:t>66</w:t>
            </w:r>
          </w:p>
        </w:tc>
        <w:tc>
          <w:tcPr>
            <w:tcW w:w="2551" w:type="dxa"/>
            <w:tcBorders>
              <w:top w:val="single" w:sz="2" w:space="0" w:color="auto"/>
              <w:left w:val="single" w:sz="2" w:space="0" w:color="auto"/>
              <w:bottom w:val="single" w:sz="2" w:space="0" w:color="auto"/>
              <w:right w:val="single" w:sz="2" w:space="0" w:color="auto"/>
            </w:tcBorders>
          </w:tcPr>
          <w:p w14:paraId="475547D6" w14:textId="77777777" w:rsidR="009F4766" w:rsidRPr="00DE12A3" w:rsidRDefault="009F4766" w:rsidP="00C917D6">
            <w:pPr>
              <w:pStyle w:val="NormalLeft"/>
            </w:pPr>
            <w:r w:rsidRPr="00DE12A3">
              <w:t>48</w:t>
            </w:r>
          </w:p>
        </w:tc>
      </w:tr>
      <w:tr w:rsidR="00DE12A3" w:rsidRPr="00DE12A3" w14:paraId="73F0FCD5" w14:textId="77777777" w:rsidTr="009F4766">
        <w:tc>
          <w:tcPr>
            <w:tcW w:w="1182" w:type="dxa"/>
            <w:tcBorders>
              <w:top w:val="single" w:sz="2" w:space="0" w:color="auto"/>
              <w:left w:val="single" w:sz="2" w:space="0" w:color="auto"/>
              <w:bottom w:val="single" w:sz="2" w:space="0" w:color="auto"/>
              <w:right w:val="single" w:sz="2" w:space="0" w:color="auto"/>
            </w:tcBorders>
          </w:tcPr>
          <w:p w14:paraId="1811E8A5" w14:textId="77777777" w:rsidR="009F4766" w:rsidRPr="00DE12A3" w:rsidRDefault="009F4766" w:rsidP="00C917D6">
            <w:pPr>
              <w:pStyle w:val="NormalLeft"/>
            </w:pPr>
            <w:r w:rsidRPr="00DE12A3">
              <w:t>526</w:t>
            </w:r>
          </w:p>
        </w:tc>
        <w:tc>
          <w:tcPr>
            <w:tcW w:w="2489" w:type="dxa"/>
            <w:tcBorders>
              <w:top w:val="single" w:sz="2" w:space="0" w:color="auto"/>
              <w:left w:val="single" w:sz="2" w:space="0" w:color="auto"/>
              <w:bottom w:val="single" w:sz="2" w:space="0" w:color="auto"/>
              <w:right w:val="single" w:sz="2" w:space="0" w:color="auto"/>
            </w:tcBorders>
          </w:tcPr>
          <w:p w14:paraId="0216C5E8" w14:textId="77777777" w:rsidR="009F4766" w:rsidRPr="00DE12A3" w:rsidRDefault="009F4766" w:rsidP="00C917D6">
            <w:pPr>
              <w:pStyle w:val="NormalLeft"/>
            </w:pPr>
            <w:r w:rsidRPr="00DE12A3">
              <w:t>35</w:t>
            </w:r>
          </w:p>
        </w:tc>
        <w:tc>
          <w:tcPr>
            <w:tcW w:w="2551" w:type="dxa"/>
            <w:tcBorders>
              <w:top w:val="single" w:sz="2" w:space="0" w:color="auto"/>
              <w:left w:val="single" w:sz="2" w:space="0" w:color="auto"/>
              <w:bottom w:val="single" w:sz="2" w:space="0" w:color="auto"/>
              <w:right w:val="single" w:sz="2" w:space="0" w:color="auto"/>
            </w:tcBorders>
          </w:tcPr>
          <w:p w14:paraId="3EB2FF17" w14:textId="77777777" w:rsidR="009F4766" w:rsidRPr="00DE12A3" w:rsidRDefault="009F4766" w:rsidP="00C917D6">
            <w:pPr>
              <w:pStyle w:val="NormalLeft"/>
            </w:pPr>
            <w:r w:rsidRPr="00DE12A3">
              <w:t>71</w:t>
            </w:r>
          </w:p>
        </w:tc>
      </w:tr>
      <w:tr w:rsidR="00DE12A3" w:rsidRPr="00DE12A3" w14:paraId="00AB49B1" w14:textId="77777777" w:rsidTr="009F4766">
        <w:tc>
          <w:tcPr>
            <w:tcW w:w="1182" w:type="dxa"/>
            <w:tcBorders>
              <w:top w:val="single" w:sz="2" w:space="0" w:color="auto"/>
              <w:left w:val="single" w:sz="2" w:space="0" w:color="auto"/>
              <w:bottom w:val="single" w:sz="2" w:space="0" w:color="auto"/>
              <w:right w:val="single" w:sz="2" w:space="0" w:color="auto"/>
            </w:tcBorders>
          </w:tcPr>
          <w:p w14:paraId="7F20624C" w14:textId="77777777" w:rsidR="009F4766" w:rsidRPr="00DE12A3" w:rsidRDefault="009F4766" w:rsidP="00C917D6">
            <w:pPr>
              <w:pStyle w:val="NormalLeft"/>
            </w:pPr>
            <w:r w:rsidRPr="00DE12A3">
              <w:t>527</w:t>
            </w:r>
          </w:p>
        </w:tc>
        <w:tc>
          <w:tcPr>
            <w:tcW w:w="2489" w:type="dxa"/>
            <w:tcBorders>
              <w:top w:val="single" w:sz="2" w:space="0" w:color="auto"/>
              <w:left w:val="single" w:sz="2" w:space="0" w:color="auto"/>
              <w:bottom w:val="single" w:sz="2" w:space="0" w:color="auto"/>
              <w:right w:val="single" w:sz="2" w:space="0" w:color="auto"/>
            </w:tcBorders>
          </w:tcPr>
          <w:p w14:paraId="1868059B" w14:textId="77777777" w:rsidR="009F4766" w:rsidRPr="00DE12A3" w:rsidRDefault="009F4766" w:rsidP="00C917D6">
            <w:pPr>
              <w:pStyle w:val="NormalLeft"/>
            </w:pPr>
            <w:r w:rsidRPr="00DE12A3">
              <w:t>51</w:t>
            </w:r>
          </w:p>
        </w:tc>
        <w:tc>
          <w:tcPr>
            <w:tcW w:w="2551" w:type="dxa"/>
            <w:tcBorders>
              <w:top w:val="single" w:sz="2" w:space="0" w:color="auto"/>
              <w:left w:val="single" w:sz="2" w:space="0" w:color="auto"/>
              <w:bottom w:val="single" w:sz="2" w:space="0" w:color="auto"/>
              <w:right w:val="single" w:sz="2" w:space="0" w:color="auto"/>
            </w:tcBorders>
          </w:tcPr>
          <w:p w14:paraId="69ABD8DB" w14:textId="77777777" w:rsidR="009F4766" w:rsidRPr="00DE12A3" w:rsidRDefault="009F4766" w:rsidP="00C917D6">
            <w:pPr>
              <w:pStyle w:val="NormalLeft"/>
            </w:pPr>
            <w:r w:rsidRPr="00DE12A3">
              <w:t>44</w:t>
            </w:r>
          </w:p>
        </w:tc>
      </w:tr>
      <w:tr w:rsidR="00DE12A3" w:rsidRPr="00DE12A3" w14:paraId="73CFF0BD" w14:textId="77777777" w:rsidTr="009F4766">
        <w:tc>
          <w:tcPr>
            <w:tcW w:w="1182" w:type="dxa"/>
            <w:tcBorders>
              <w:top w:val="single" w:sz="2" w:space="0" w:color="auto"/>
              <w:left w:val="single" w:sz="2" w:space="0" w:color="auto"/>
              <w:bottom w:val="single" w:sz="2" w:space="0" w:color="auto"/>
              <w:right w:val="single" w:sz="2" w:space="0" w:color="auto"/>
            </w:tcBorders>
          </w:tcPr>
          <w:p w14:paraId="4636AFA4" w14:textId="77777777" w:rsidR="009F4766" w:rsidRPr="00DE12A3" w:rsidRDefault="009F4766" w:rsidP="00C917D6">
            <w:pPr>
              <w:pStyle w:val="NormalLeft"/>
            </w:pPr>
            <w:r w:rsidRPr="00DE12A3">
              <w:t>528</w:t>
            </w:r>
          </w:p>
        </w:tc>
        <w:tc>
          <w:tcPr>
            <w:tcW w:w="2489" w:type="dxa"/>
            <w:tcBorders>
              <w:top w:val="single" w:sz="2" w:space="0" w:color="auto"/>
              <w:left w:val="single" w:sz="2" w:space="0" w:color="auto"/>
              <w:bottom w:val="single" w:sz="2" w:space="0" w:color="auto"/>
              <w:right w:val="single" w:sz="2" w:space="0" w:color="auto"/>
            </w:tcBorders>
          </w:tcPr>
          <w:p w14:paraId="3AFD0417" w14:textId="77777777" w:rsidR="009F4766" w:rsidRPr="00DE12A3" w:rsidRDefault="009F4766" w:rsidP="00C917D6">
            <w:pPr>
              <w:pStyle w:val="NormalLeft"/>
            </w:pPr>
            <w:r w:rsidRPr="00DE12A3">
              <w:t>60</w:t>
            </w:r>
          </w:p>
        </w:tc>
        <w:tc>
          <w:tcPr>
            <w:tcW w:w="2551" w:type="dxa"/>
            <w:tcBorders>
              <w:top w:val="single" w:sz="2" w:space="0" w:color="auto"/>
              <w:left w:val="single" w:sz="2" w:space="0" w:color="auto"/>
              <w:bottom w:val="single" w:sz="2" w:space="0" w:color="auto"/>
              <w:right w:val="single" w:sz="2" w:space="0" w:color="auto"/>
            </w:tcBorders>
          </w:tcPr>
          <w:p w14:paraId="1792BFAC" w14:textId="77777777" w:rsidR="009F4766" w:rsidRPr="00DE12A3" w:rsidRDefault="009F4766" w:rsidP="00C917D6">
            <w:pPr>
              <w:pStyle w:val="NormalLeft"/>
            </w:pPr>
            <w:r w:rsidRPr="00DE12A3">
              <w:t>23</w:t>
            </w:r>
          </w:p>
        </w:tc>
      </w:tr>
      <w:tr w:rsidR="00DE12A3" w:rsidRPr="00DE12A3" w14:paraId="2B199ABB" w14:textId="77777777" w:rsidTr="009F4766">
        <w:tc>
          <w:tcPr>
            <w:tcW w:w="1182" w:type="dxa"/>
            <w:tcBorders>
              <w:top w:val="single" w:sz="2" w:space="0" w:color="auto"/>
              <w:left w:val="single" w:sz="2" w:space="0" w:color="auto"/>
              <w:bottom w:val="single" w:sz="2" w:space="0" w:color="auto"/>
              <w:right w:val="single" w:sz="2" w:space="0" w:color="auto"/>
            </w:tcBorders>
          </w:tcPr>
          <w:p w14:paraId="0B5378E7" w14:textId="77777777" w:rsidR="009F4766" w:rsidRPr="00DE12A3" w:rsidRDefault="009F4766" w:rsidP="00C917D6">
            <w:pPr>
              <w:pStyle w:val="NormalLeft"/>
            </w:pPr>
            <w:r w:rsidRPr="00DE12A3">
              <w:t>529</w:t>
            </w:r>
          </w:p>
        </w:tc>
        <w:tc>
          <w:tcPr>
            <w:tcW w:w="2489" w:type="dxa"/>
            <w:tcBorders>
              <w:top w:val="single" w:sz="2" w:space="0" w:color="auto"/>
              <w:left w:val="single" w:sz="2" w:space="0" w:color="auto"/>
              <w:bottom w:val="single" w:sz="2" w:space="0" w:color="auto"/>
              <w:right w:val="single" w:sz="2" w:space="0" w:color="auto"/>
            </w:tcBorders>
          </w:tcPr>
          <w:p w14:paraId="1C51DB4F" w14:textId="77777777" w:rsidR="009F4766" w:rsidRPr="00DE12A3" w:rsidRDefault="009F4766" w:rsidP="00C917D6">
            <w:pPr>
              <w:pStyle w:val="NormalLeft"/>
            </w:pPr>
            <w:r w:rsidRPr="00DE12A3">
              <w:t>64</w:t>
            </w:r>
          </w:p>
        </w:tc>
        <w:tc>
          <w:tcPr>
            <w:tcW w:w="2551" w:type="dxa"/>
            <w:tcBorders>
              <w:top w:val="single" w:sz="2" w:space="0" w:color="auto"/>
              <w:left w:val="single" w:sz="2" w:space="0" w:color="auto"/>
              <w:bottom w:val="single" w:sz="2" w:space="0" w:color="auto"/>
              <w:right w:val="single" w:sz="2" w:space="0" w:color="auto"/>
            </w:tcBorders>
          </w:tcPr>
          <w:p w14:paraId="0B5731AE" w14:textId="77777777" w:rsidR="009F4766" w:rsidRPr="00DE12A3" w:rsidRDefault="009F4766" w:rsidP="00C917D6">
            <w:pPr>
              <w:pStyle w:val="NormalLeft"/>
            </w:pPr>
            <w:r w:rsidRPr="00DE12A3">
              <w:t>10</w:t>
            </w:r>
          </w:p>
        </w:tc>
      </w:tr>
      <w:tr w:rsidR="00DE12A3" w:rsidRPr="00DE12A3" w14:paraId="57B0C612" w14:textId="77777777" w:rsidTr="009F4766">
        <w:tc>
          <w:tcPr>
            <w:tcW w:w="1182" w:type="dxa"/>
            <w:tcBorders>
              <w:top w:val="single" w:sz="2" w:space="0" w:color="auto"/>
              <w:left w:val="single" w:sz="2" w:space="0" w:color="auto"/>
              <w:bottom w:val="single" w:sz="2" w:space="0" w:color="auto"/>
              <w:right w:val="single" w:sz="2" w:space="0" w:color="auto"/>
            </w:tcBorders>
          </w:tcPr>
          <w:p w14:paraId="1051CC75" w14:textId="77777777" w:rsidR="009F4766" w:rsidRPr="00DE12A3" w:rsidRDefault="009F4766" w:rsidP="00C917D6">
            <w:pPr>
              <w:pStyle w:val="NormalLeft"/>
            </w:pPr>
            <w:r w:rsidRPr="00DE12A3">
              <w:t>530</w:t>
            </w:r>
          </w:p>
        </w:tc>
        <w:tc>
          <w:tcPr>
            <w:tcW w:w="2489" w:type="dxa"/>
            <w:tcBorders>
              <w:top w:val="single" w:sz="2" w:space="0" w:color="auto"/>
              <w:left w:val="single" w:sz="2" w:space="0" w:color="auto"/>
              <w:bottom w:val="single" w:sz="2" w:space="0" w:color="auto"/>
              <w:right w:val="single" w:sz="2" w:space="0" w:color="auto"/>
            </w:tcBorders>
          </w:tcPr>
          <w:p w14:paraId="2D1D53C9" w14:textId="77777777" w:rsidR="009F4766" w:rsidRPr="00DE12A3" w:rsidRDefault="009F4766" w:rsidP="00C917D6">
            <w:pPr>
              <w:pStyle w:val="NormalLeft"/>
            </w:pPr>
            <w:r w:rsidRPr="00DE12A3">
              <w:t>63</w:t>
            </w:r>
          </w:p>
        </w:tc>
        <w:tc>
          <w:tcPr>
            <w:tcW w:w="2551" w:type="dxa"/>
            <w:tcBorders>
              <w:top w:val="single" w:sz="2" w:space="0" w:color="auto"/>
              <w:left w:val="single" w:sz="2" w:space="0" w:color="auto"/>
              <w:bottom w:val="single" w:sz="2" w:space="0" w:color="auto"/>
              <w:right w:val="single" w:sz="2" w:space="0" w:color="auto"/>
            </w:tcBorders>
          </w:tcPr>
          <w:p w14:paraId="59241119" w14:textId="77777777" w:rsidR="009F4766" w:rsidRPr="00DE12A3" w:rsidRDefault="009F4766" w:rsidP="00C917D6">
            <w:pPr>
              <w:pStyle w:val="NormalLeft"/>
            </w:pPr>
            <w:r w:rsidRPr="00DE12A3">
              <w:t>14</w:t>
            </w:r>
          </w:p>
        </w:tc>
      </w:tr>
      <w:tr w:rsidR="00DE12A3" w:rsidRPr="00DE12A3" w14:paraId="3809871C" w14:textId="77777777" w:rsidTr="009F4766">
        <w:tc>
          <w:tcPr>
            <w:tcW w:w="1182" w:type="dxa"/>
            <w:tcBorders>
              <w:top w:val="single" w:sz="2" w:space="0" w:color="auto"/>
              <w:left w:val="single" w:sz="2" w:space="0" w:color="auto"/>
              <w:bottom w:val="single" w:sz="2" w:space="0" w:color="auto"/>
              <w:right w:val="single" w:sz="2" w:space="0" w:color="auto"/>
            </w:tcBorders>
          </w:tcPr>
          <w:p w14:paraId="33AB8026" w14:textId="77777777" w:rsidR="009F4766" w:rsidRPr="00DE12A3" w:rsidRDefault="009F4766" w:rsidP="00C917D6">
            <w:pPr>
              <w:pStyle w:val="NormalLeft"/>
            </w:pPr>
            <w:r w:rsidRPr="00DE12A3">
              <w:t>531</w:t>
            </w:r>
          </w:p>
        </w:tc>
        <w:tc>
          <w:tcPr>
            <w:tcW w:w="2489" w:type="dxa"/>
            <w:tcBorders>
              <w:top w:val="single" w:sz="2" w:space="0" w:color="auto"/>
              <w:left w:val="single" w:sz="2" w:space="0" w:color="auto"/>
              <w:bottom w:val="single" w:sz="2" w:space="0" w:color="auto"/>
              <w:right w:val="single" w:sz="2" w:space="0" w:color="auto"/>
            </w:tcBorders>
          </w:tcPr>
          <w:p w14:paraId="556002F3" w14:textId="77777777" w:rsidR="009F4766" w:rsidRPr="00DE12A3" w:rsidRDefault="009F4766" w:rsidP="00C917D6">
            <w:pPr>
              <w:pStyle w:val="NormalLeft"/>
            </w:pPr>
            <w:r w:rsidRPr="00DE12A3">
              <w:t>70</w:t>
            </w:r>
          </w:p>
        </w:tc>
        <w:tc>
          <w:tcPr>
            <w:tcW w:w="2551" w:type="dxa"/>
            <w:tcBorders>
              <w:top w:val="single" w:sz="2" w:space="0" w:color="auto"/>
              <w:left w:val="single" w:sz="2" w:space="0" w:color="auto"/>
              <w:bottom w:val="single" w:sz="2" w:space="0" w:color="auto"/>
              <w:right w:val="single" w:sz="2" w:space="0" w:color="auto"/>
            </w:tcBorders>
          </w:tcPr>
          <w:p w14:paraId="5F5E199D" w14:textId="77777777" w:rsidR="009F4766" w:rsidRPr="00DE12A3" w:rsidRDefault="009F4766" w:rsidP="00C917D6">
            <w:pPr>
              <w:pStyle w:val="NormalLeft"/>
            </w:pPr>
            <w:r w:rsidRPr="00DE12A3">
              <w:t>37</w:t>
            </w:r>
          </w:p>
        </w:tc>
      </w:tr>
      <w:tr w:rsidR="00DE12A3" w:rsidRPr="00DE12A3" w14:paraId="4EFC2971" w14:textId="77777777" w:rsidTr="009F4766">
        <w:tc>
          <w:tcPr>
            <w:tcW w:w="1182" w:type="dxa"/>
            <w:tcBorders>
              <w:top w:val="single" w:sz="2" w:space="0" w:color="auto"/>
              <w:left w:val="single" w:sz="2" w:space="0" w:color="auto"/>
              <w:bottom w:val="single" w:sz="2" w:space="0" w:color="auto"/>
              <w:right w:val="single" w:sz="2" w:space="0" w:color="auto"/>
            </w:tcBorders>
          </w:tcPr>
          <w:p w14:paraId="6091064D" w14:textId="77777777" w:rsidR="009F4766" w:rsidRPr="00DE12A3" w:rsidRDefault="009F4766" w:rsidP="00C917D6">
            <w:pPr>
              <w:pStyle w:val="NormalLeft"/>
            </w:pPr>
            <w:r w:rsidRPr="00DE12A3">
              <w:t>532</w:t>
            </w:r>
          </w:p>
        </w:tc>
        <w:tc>
          <w:tcPr>
            <w:tcW w:w="2489" w:type="dxa"/>
            <w:tcBorders>
              <w:top w:val="single" w:sz="2" w:space="0" w:color="auto"/>
              <w:left w:val="single" w:sz="2" w:space="0" w:color="auto"/>
              <w:bottom w:val="single" w:sz="2" w:space="0" w:color="auto"/>
              <w:right w:val="single" w:sz="2" w:space="0" w:color="auto"/>
            </w:tcBorders>
          </w:tcPr>
          <w:p w14:paraId="36AB9C9A" w14:textId="77777777" w:rsidR="009F4766" w:rsidRPr="00DE12A3" w:rsidRDefault="009F4766" w:rsidP="00C917D6">
            <w:pPr>
              <w:pStyle w:val="NormalLeft"/>
            </w:pPr>
            <w:r w:rsidRPr="00DE12A3">
              <w:t>76</w:t>
            </w:r>
          </w:p>
        </w:tc>
        <w:tc>
          <w:tcPr>
            <w:tcW w:w="2551" w:type="dxa"/>
            <w:tcBorders>
              <w:top w:val="single" w:sz="2" w:space="0" w:color="auto"/>
              <w:left w:val="single" w:sz="2" w:space="0" w:color="auto"/>
              <w:bottom w:val="single" w:sz="2" w:space="0" w:color="auto"/>
              <w:right w:val="single" w:sz="2" w:space="0" w:color="auto"/>
            </w:tcBorders>
          </w:tcPr>
          <w:p w14:paraId="70A3979C" w14:textId="77777777" w:rsidR="009F4766" w:rsidRPr="00DE12A3" w:rsidRDefault="009F4766" w:rsidP="00C917D6">
            <w:pPr>
              <w:pStyle w:val="NormalLeft"/>
            </w:pPr>
            <w:r w:rsidRPr="00DE12A3">
              <w:t>45</w:t>
            </w:r>
          </w:p>
        </w:tc>
      </w:tr>
      <w:tr w:rsidR="00DE12A3" w:rsidRPr="00DE12A3" w14:paraId="2915AC01" w14:textId="77777777" w:rsidTr="009F4766">
        <w:tc>
          <w:tcPr>
            <w:tcW w:w="1182" w:type="dxa"/>
            <w:tcBorders>
              <w:top w:val="single" w:sz="2" w:space="0" w:color="auto"/>
              <w:left w:val="single" w:sz="2" w:space="0" w:color="auto"/>
              <w:bottom w:val="single" w:sz="2" w:space="0" w:color="auto"/>
              <w:right w:val="single" w:sz="2" w:space="0" w:color="auto"/>
            </w:tcBorders>
          </w:tcPr>
          <w:p w14:paraId="3ACEB1F0" w14:textId="77777777" w:rsidR="009F4766" w:rsidRPr="00DE12A3" w:rsidRDefault="009F4766" w:rsidP="00C917D6">
            <w:pPr>
              <w:pStyle w:val="NormalLeft"/>
            </w:pPr>
            <w:r w:rsidRPr="00DE12A3">
              <w:t>533</w:t>
            </w:r>
          </w:p>
        </w:tc>
        <w:tc>
          <w:tcPr>
            <w:tcW w:w="2489" w:type="dxa"/>
            <w:tcBorders>
              <w:top w:val="single" w:sz="2" w:space="0" w:color="auto"/>
              <w:left w:val="single" w:sz="2" w:space="0" w:color="auto"/>
              <w:bottom w:val="single" w:sz="2" w:space="0" w:color="auto"/>
              <w:right w:val="single" w:sz="2" w:space="0" w:color="auto"/>
            </w:tcBorders>
          </w:tcPr>
          <w:p w14:paraId="268D0E85" w14:textId="77777777" w:rsidR="009F4766" w:rsidRPr="00DE12A3" w:rsidRDefault="009F4766" w:rsidP="00C917D6">
            <w:pPr>
              <w:pStyle w:val="NormalLeft"/>
            </w:pPr>
            <w:r w:rsidRPr="00DE12A3">
              <w:t>78</w:t>
            </w:r>
          </w:p>
        </w:tc>
        <w:tc>
          <w:tcPr>
            <w:tcW w:w="2551" w:type="dxa"/>
            <w:tcBorders>
              <w:top w:val="single" w:sz="2" w:space="0" w:color="auto"/>
              <w:left w:val="single" w:sz="2" w:space="0" w:color="auto"/>
              <w:bottom w:val="single" w:sz="2" w:space="0" w:color="auto"/>
              <w:right w:val="single" w:sz="2" w:space="0" w:color="auto"/>
            </w:tcBorders>
          </w:tcPr>
          <w:p w14:paraId="0C72BEFD" w14:textId="77777777" w:rsidR="009F4766" w:rsidRPr="00DE12A3" w:rsidRDefault="009F4766" w:rsidP="00C917D6">
            <w:pPr>
              <w:pStyle w:val="NormalLeft"/>
            </w:pPr>
            <w:r w:rsidRPr="00DE12A3">
              <w:t>18</w:t>
            </w:r>
          </w:p>
        </w:tc>
      </w:tr>
      <w:tr w:rsidR="00DE12A3" w:rsidRPr="00DE12A3" w14:paraId="3FDC4708" w14:textId="77777777" w:rsidTr="009F4766">
        <w:tc>
          <w:tcPr>
            <w:tcW w:w="1182" w:type="dxa"/>
            <w:tcBorders>
              <w:top w:val="single" w:sz="2" w:space="0" w:color="auto"/>
              <w:left w:val="single" w:sz="2" w:space="0" w:color="auto"/>
              <w:bottom w:val="single" w:sz="2" w:space="0" w:color="auto"/>
              <w:right w:val="single" w:sz="2" w:space="0" w:color="auto"/>
            </w:tcBorders>
          </w:tcPr>
          <w:p w14:paraId="3F746FC4" w14:textId="77777777" w:rsidR="009F4766" w:rsidRPr="00DE12A3" w:rsidRDefault="009F4766" w:rsidP="00C917D6">
            <w:pPr>
              <w:pStyle w:val="NormalLeft"/>
            </w:pPr>
            <w:r w:rsidRPr="00DE12A3">
              <w:t>534</w:t>
            </w:r>
          </w:p>
        </w:tc>
        <w:tc>
          <w:tcPr>
            <w:tcW w:w="2489" w:type="dxa"/>
            <w:tcBorders>
              <w:top w:val="single" w:sz="2" w:space="0" w:color="auto"/>
              <w:left w:val="single" w:sz="2" w:space="0" w:color="auto"/>
              <w:bottom w:val="single" w:sz="2" w:space="0" w:color="auto"/>
              <w:right w:val="single" w:sz="2" w:space="0" w:color="auto"/>
            </w:tcBorders>
          </w:tcPr>
          <w:p w14:paraId="70F07E07" w14:textId="77777777" w:rsidR="009F4766" w:rsidRPr="00DE12A3" w:rsidRDefault="009F4766" w:rsidP="00C917D6">
            <w:pPr>
              <w:pStyle w:val="NormalLeft"/>
            </w:pPr>
            <w:r w:rsidRPr="00DE12A3">
              <w:t>76</w:t>
            </w:r>
          </w:p>
        </w:tc>
        <w:tc>
          <w:tcPr>
            <w:tcW w:w="2551" w:type="dxa"/>
            <w:tcBorders>
              <w:top w:val="single" w:sz="2" w:space="0" w:color="auto"/>
              <w:left w:val="single" w:sz="2" w:space="0" w:color="auto"/>
              <w:bottom w:val="single" w:sz="2" w:space="0" w:color="auto"/>
              <w:right w:val="single" w:sz="2" w:space="0" w:color="auto"/>
            </w:tcBorders>
          </w:tcPr>
          <w:p w14:paraId="551FCBDA" w14:textId="77777777" w:rsidR="009F4766" w:rsidRPr="00DE12A3" w:rsidRDefault="009F4766" w:rsidP="00C917D6">
            <w:pPr>
              <w:pStyle w:val="NormalLeft"/>
            </w:pPr>
            <w:r w:rsidRPr="00DE12A3">
              <w:t>51</w:t>
            </w:r>
          </w:p>
        </w:tc>
      </w:tr>
      <w:tr w:rsidR="00DE12A3" w:rsidRPr="00DE12A3" w14:paraId="49492B45" w14:textId="77777777" w:rsidTr="009F4766">
        <w:tc>
          <w:tcPr>
            <w:tcW w:w="1182" w:type="dxa"/>
            <w:tcBorders>
              <w:top w:val="single" w:sz="2" w:space="0" w:color="auto"/>
              <w:left w:val="single" w:sz="2" w:space="0" w:color="auto"/>
              <w:bottom w:val="single" w:sz="2" w:space="0" w:color="auto"/>
              <w:right w:val="single" w:sz="2" w:space="0" w:color="auto"/>
            </w:tcBorders>
          </w:tcPr>
          <w:p w14:paraId="009DD9C6" w14:textId="77777777" w:rsidR="009F4766" w:rsidRPr="00DE12A3" w:rsidRDefault="009F4766" w:rsidP="00C917D6">
            <w:pPr>
              <w:pStyle w:val="NormalLeft"/>
            </w:pPr>
            <w:r w:rsidRPr="00DE12A3">
              <w:t>535</w:t>
            </w:r>
          </w:p>
        </w:tc>
        <w:tc>
          <w:tcPr>
            <w:tcW w:w="2489" w:type="dxa"/>
            <w:tcBorders>
              <w:top w:val="single" w:sz="2" w:space="0" w:color="auto"/>
              <w:left w:val="single" w:sz="2" w:space="0" w:color="auto"/>
              <w:bottom w:val="single" w:sz="2" w:space="0" w:color="auto"/>
              <w:right w:val="single" w:sz="2" w:space="0" w:color="auto"/>
            </w:tcBorders>
          </w:tcPr>
          <w:p w14:paraId="42B82891" w14:textId="77777777" w:rsidR="009F4766" w:rsidRPr="00DE12A3" w:rsidRDefault="009F4766" w:rsidP="00C917D6">
            <w:pPr>
              <w:pStyle w:val="NormalLeft"/>
            </w:pPr>
            <w:r w:rsidRPr="00DE12A3">
              <w:t>75</w:t>
            </w:r>
          </w:p>
        </w:tc>
        <w:tc>
          <w:tcPr>
            <w:tcW w:w="2551" w:type="dxa"/>
            <w:tcBorders>
              <w:top w:val="single" w:sz="2" w:space="0" w:color="auto"/>
              <w:left w:val="single" w:sz="2" w:space="0" w:color="auto"/>
              <w:bottom w:val="single" w:sz="2" w:space="0" w:color="auto"/>
              <w:right w:val="single" w:sz="2" w:space="0" w:color="auto"/>
            </w:tcBorders>
          </w:tcPr>
          <w:p w14:paraId="2DF91FE4" w14:textId="77777777" w:rsidR="009F4766" w:rsidRPr="00DE12A3" w:rsidRDefault="009F4766" w:rsidP="00C917D6">
            <w:pPr>
              <w:pStyle w:val="NormalLeft"/>
            </w:pPr>
            <w:r w:rsidRPr="00DE12A3">
              <w:t>33</w:t>
            </w:r>
          </w:p>
        </w:tc>
      </w:tr>
      <w:tr w:rsidR="00DE12A3" w:rsidRPr="00DE12A3" w14:paraId="73BEC573" w14:textId="77777777" w:rsidTr="009F4766">
        <w:tc>
          <w:tcPr>
            <w:tcW w:w="1182" w:type="dxa"/>
            <w:tcBorders>
              <w:top w:val="single" w:sz="2" w:space="0" w:color="auto"/>
              <w:left w:val="single" w:sz="2" w:space="0" w:color="auto"/>
              <w:bottom w:val="single" w:sz="2" w:space="0" w:color="auto"/>
              <w:right w:val="single" w:sz="2" w:space="0" w:color="auto"/>
            </w:tcBorders>
          </w:tcPr>
          <w:p w14:paraId="170DCDCF" w14:textId="77777777" w:rsidR="009F4766" w:rsidRPr="00DE12A3" w:rsidRDefault="009F4766" w:rsidP="00C917D6">
            <w:pPr>
              <w:pStyle w:val="NormalLeft"/>
            </w:pPr>
            <w:r w:rsidRPr="00DE12A3">
              <w:t>536</w:t>
            </w:r>
          </w:p>
        </w:tc>
        <w:tc>
          <w:tcPr>
            <w:tcW w:w="2489" w:type="dxa"/>
            <w:tcBorders>
              <w:top w:val="single" w:sz="2" w:space="0" w:color="auto"/>
              <w:left w:val="single" w:sz="2" w:space="0" w:color="auto"/>
              <w:bottom w:val="single" w:sz="2" w:space="0" w:color="auto"/>
              <w:right w:val="single" w:sz="2" w:space="0" w:color="auto"/>
            </w:tcBorders>
          </w:tcPr>
          <w:p w14:paraId="079D4C94" w14:textId="77777777" w:rsidR="009F4766" w:rsidRPr="00DE12A3" w:rsidRDefault="009F4766" w:rsidP="00C917D6">
            <w:pPr>
              <w:pStyle w:val="NormalLeft"/>
            </w:pPr>
            <w:r w:rsidRPr="00DE12A3">
              <w:t>81</w:t>
            </w:r>
          </w:p>
        </w:tc>
        <w:tc>
          <w:tcPr>
            <w:tcW w:w="2551" w:type="dxa"/>
            <w:tcBorders>
              <w:top w:val="single" w:sz="2" w:space="0" w:color="auto"/>
              <w:left w:val="single" w:sz="2" w:space="0" w:color="auto"/>
              <w:bottom w:val="single" w:sz="2" w:space="0" w:color="auto"/>
              <w:right w:val="single" w:sz="2" w:space="0" w:color="auto"/>
            </w:tcBorders>
          </w:tcPr>
          <w:p w14:paraId="388F7D18" w14:textId="77777777" w:rsidR="009F4766" w:rsidRPr="00DE12A3" w:rsidRDefault="009F4766" w:rsidP="00C917D6">
            <w:pPr>
              <w:pStyle w:val="NormalLeft"/>
            </w:pPr>
            <w:r w:rsidRPr="00DE12A3">
              <w:t>17</w:t>
            </w:r>
          </w:p>
        </w:tc>
      </w:tr>
      <w:tr w:rsidR="00DE12A3" w:rsidRPr="00DE12A3" w14:paraId="55CD335A" w14:textId="77777777" w:rsidTr="009F4766">
        <w:tc>
          <w:tcPr>
            <w:tcW w:w="1182" w:type="dxa"/>
            <w:tcBorders>
              <w:top w:val="single" w:sz="2" w:space="0" w:color="auto"/>
              <w:left w:val="single" w:sz="2" w:space="0" w:color="auto"/>
              <w:bottom w:val="single" w:sz="2" w:space="0" w:color="auto"/>
              <w:right w:val="single" w:sz="2" w:space="0" w:color="auto"/>
            </w:tcBorders>
          </w:tcPr>
          <w:p w14:paraId="78A9D4C5" w14:textId="77777777" w:rsidR="009F4766" w:rsidRPr="00DE12A3" w:rsidRDefault="009F4766" w:rsidP="00C917D6">
            <w:pPr>
              <w:pStyle w:val="NormalLeft"/>
            </w:pPr>
            <w:r w:rsidRPr="00DE12A3">
              <w:t>537</w:t>
            </w:r>
          </w:p>
        </w:tc>
        <w:tc>
          <w:tcPr>
            <w:tcW w:w="2489" w:type="dxa"/>
            <w:tcBorders>
              <w:top w:val="single" w:sz="2" w:space="0" w:color="auto"/>
              <w:left w:val="single" w:sz="2" w:space="0" w:color="auto"/>
              <w:bottom w:val="single" w:sz="2" w:space="0" w:color="auto"/>
              <w:right w:val="single" w:sz="2" w:space="0" w:color="auto"/>
            </w:tcBorders>
          </w:tcPr>
          <w:p w14:paraId="26547D7B" w14:textId="77777777" w:rsidR="009F4766" w:rsidRPr="00DE12A3" w:rsidRDefault="009F4766" w:rsidP="00C917D6">
            <w:pPr>
              <w:pStyle w:val="NormalLeft"/>
            </w:pPr>
            <w:r w:rsidRPr="00DE12A3">
              <w:t>76</w:t>
            </w:r>
          </w:p>
        </w:tc>
        <w:tc>
          <w:tcPr>
            <w:tcW w:w="2551" w:type="dxa"/>
            <w:tcBorders>
              <w:top w:val="single" w:sz="2" w:space="0" w:color="auto"/>
              <w:left w:val="single" w:sz="2" w:space="0" w:color="auto"/>
              <w:bottom w:val="single" w:sz="2" w:space="0" w:color="auto"/>
              <w:right w:val="single" w:sz="2" w:space="0" w:color="auto"/>
            </w:tcBorders>
          </w:tcPr>
          <w:p w14:paraId="125EB187" w14:textId="77777777" w:rsidR="009F4766" w:rsidRPr="00DE12A3" w:rsidRDefault="009F4766" w:rsidP="00C917D6">
            <w:pPr>
              <w:pStyle w:val="NormalLeft"/>
            </w:pPr>
            <w:r w:rsidRPr="00DE12A3">
              <w:t>45</w:t>
            </w:r>
          </w:p>
        </w:tc>
      </w:tr>
      <w:tr w:rsidR="00DE12A3" w:rsidRPr="00DE12A3" w14:paraId="1878B610" w14:textId="77777777" w:rsidTr="009F4766">
        <w:tc>
          <w:tcPr>
            <w:tcW w:w="1182" w:type="dxa"/>
            <w:tcBorders>
              <w:top w:val="single" w:sz="2" w:space="0" w:color="auto"/>
              <w:left w:val="single" w:sz="2" w:space="0" w:color="auto"/>
              <w:bottom w:val="single" w:sz="2" w:space="0" w:color="auto"/>
              <w:right w:val="single" w:sz="2" w:space="0" w:color="auto"/>
            </w:tcBorders>
          </w:tcPr>
          <w:p w14:paraId="3C37DD16" w14:textId="77777777" w:rsidR="009F4766" w:rsidRPr="00DE12A3" w:rsidRDefault="009F4766" w:rsidP="00C917D6">
            <w:pPr>
              <w:pStyle w:val="NormalLeft"/>
            </w:pPr>
            <w:r w:rsidRPr="00DE12A3">
              <w:t>538</w:t>
            </w:r>
          </w:p>
        </w:tc>
        <w:tc>
          <w:tcPr>
            <w:tcW w:w="2489" w:type="dxa"/>
            <w:tcBorders>
              <w:top w:val="single" w:sz="2" w:space="0" w:color="auto"/>
              <w:left w:val="single" w:sz="2" w:space="0" w:color="auto"/>
              <w:bottom w:val="single" w:sz="2" w:space="0" w:color="auto"/>
              <w:right w:val="single" w:sz="2" w:space="0" w:color="auto"/>
            </w:tcBorders>
          </w:tcPr>
          <w:p w14:paraId="46296338" w14:textId="77777777" w:rsidR="009F4766" w:rsidRPr="00DE12A3" w:rsidRDefault="009F4766" w:rsidP="00C917D6">
            <w:pPr>
              <w:pStyle w:val="NormalLeft"/>
            </w:pPr>
            <w:r w:rsidRPr="00DE12A3">
              <w:t>76</w:t>
            </w:r>
          </w:p>
        </w:tc>
        <w:tc>
          <w:tcPr>
            <w:tcW w:w="2551" w:type="dxa"/>
            <w:tcBorders>
              <w:top w:val="single" w:sz="2" w:space="0" w:color="auto"/>
              <w:left w:val="single" w:sz="2" w:space="0" w:color="auto"/>
              <w:bottom w:val="single" w:sz="2" w:space="0" w:color="auto"/>
              <w:right w:val="single" w:sz="2" w:space="0" w:color="auto"/>
            </w:tcBorders>
          </w:tcPr>
          <w:p w14:paraId="3CD02719" w14:textId="77777777" w:rsidR="009F4766" w:rsidRPr="00DE12A3" w:rsidRDefault="009F4766" w:rsidP="00C917D6">
            <w:pPr>
              <w:pStyle w:val="NormalLeft"/>
            </w:pPr>
            <w:r w:rsidRPr="00DE12A3">
              <w:t>30</w:t>
            </w:r>
          </w:p>
        </w:tc>
      </w:tr>
      <w:tr w:rsidR="00DE12A3" w:rsidRPr="00DE12A3" w14:paraId="7B04931A" w14:textId="77777777" w:rsidTr="009F4766">
        <w:tc>
          <w:tcPr>
            <w:tcW w:w="1182" w:type="dxa"/>
            <w:tcBorders>
              <w:top w:val="single" w:sz="2" w:space="0" w:color="auto"/>
              <w:left w:val="single" w:sz="2" w:space="0" w:color="auto"/>
              <w:bottom w:val="single" w:sz="2" w:space="0" w:color="auto"/>
              <w:right w:val="single" w:sz="2" w:space="0" w:color="auto"/>
            </w:tcBorders>
          </w:tcPr>
          <w:p w14:paraId="69ED3E54" w14:textId="77777777" w:rsidR="009F4766" w:rsidRPr="00DE12A3" w:rsidRDefault="009F4766" w:rsidP="00C917D6">
            <w:pPr>
              <w:pStyle w:val="NormalLeft"/>
            </w:pPr>
            <w:r w:rsidRPr="00DE12A3">
              <w:t>539</w:t>
            </w:r>
          </w:p>
        </w:tc>
        <w:tc>
          <w:tcPr>
            <w:tcW w:w="2489" w:type="dxa"/>
            <w:tcBorders>
              <w:top w:val="single" w:sz="2" w:space="0" w:color="auto"/>
              <w:left w:val="single" w:sz="2" w:space="0" w:color="auto"/>
              <w:bottom w:val="single" w:sz="2" w:space="0" w:color="auto"/>
              <w:right w:val="single" w:sz="2" w:space="0" w:color="auto"/>
            </w:tcBorders>
          </w:tcPr>
          <w:p w14:paraId="4D7D1766" w14:textId="77777777" w:rsidR="009F4766" w:rsidRPr="00DE12A3" w:rsidRDefault="009F4766" w:rsidP="00C917D6">
            <w:pPr>
              <w:pStyle w:val="NormalLeft"/>
            </w:pPr>
            <w:r w:rsidRPr="00DE12A3">
              <w:t>80</w:t>
            </w:r>
          </w:p>
        </w:tc>
        <w:tc>
          <w:tcPr>
            <w:tcW w:w="2551" w:type="dxa"/>
            <w:tcBorders>
              <w:top w:val="single" w:sz="2" w:space="0" w:color="auto"/>
              <w:left w:val="single" w:sz="2" w:space="0" w:color="auto"/>
              <w:bottom w:val="single" w:sz="2" w:space="0" w:color="auto"/>
              <w:right w:val="single" w:sz="2" w:space="0" w:color="auto"/>
            </w:tcBorders>
          </w:tcPr>
          <w:p w14:paraId="52F779B2" w14:textId="77777777" w:rsidR="009F4766" w:rsidRPr="00DE12A3" w:rsidRDefault="009F4766" w:rsidP="00C917D6">
            <w:pPr>
              <w:pStyle w:val="NormalLeft"/>
            </w:pPr>
            <w:r w:rsidRPr="00DE12A3">
              <w:t>14</w:t>
            </w:r>
          </w:p>
        </w:tc>
      </w:tr>
      <w:tr w:rsidR="00DE12A3" w:rsidRPr="00DE12A3" w14:paraId="3B805503" w14:textId="77777777" w:rsidTr="009F4766">
        <w:tc>
          <w:tcPr>
            <w:tcW w:w="1182" w:type="dxa"/>
            <w:tcBorders>
              <w:top w:val="single" w:sz="2" w:space="0" w:color="auto"/>
              <w:left w:val="single" w:sz="2" w:space="0" w:color="auto"/>
              <w:bottom w:val="single" w:sz="2" w:space="0" w:color="auto"/>
              <w:right w:val="single" w:sz="2" w:space="0" w:color="auto"/>
            </w:tcBorders>
          </w:tcPr>
          <w:p w14:paraId="798C4CCB" w14:textId="77777777" w:rsidR="009F4766" w:rsidRPr="00DE12A3" w:rsidRDefault="009F4766" w:rsidP="00C917D6">
            <w:pPr>
              <w:pStyle w:val="NormalLeft"/>
            </w:pPr>
            <w:r w:rsidRPr="00DE12A3">
              <w:t>540</w:t>
            </w:r>
          </w:p>
        </w:tc>
        <w:tc>
          <w:tcPr>
            <w:tcW w:w="2489" w:type="dxa"/>
            <w:tcBorders>
              <w:top w:val="single" w:sz="2" w:space="0" w:color="auto"/>
              <w:left w:val="single" w:sz="2" w:space="0" w:color="auto"/>
              <w:bottom w:val="single" w:sz="2" w:space="0" w:color="auto"/>
              <w:right w:val="single" w:sz="2" w:space="0" w:color="auto"/>
            </w:tcBorders>
          </w:tcPr>
          <w:p w14:paraId="166B0DCC" w14:textId="77777777" w:rsidR="009F4766" w:rsidRPr="00DE12A3" w:rsidRDefault="009F4766" w:rsidP="00C917D6">
            <w:pPr>
              <w:pStyle w:val="NormalLeft"/>
            </w:pPr>
            <w:r w:rsidRPr="00DE12A3">
              <w:t>71</w:t>
            </w:r>
          </w:p>
        </w:tc>
        <w:tc>
          <w:tcPr>
            <w:tcW w:w="2551" w:type="dxa"/>
            <w:tcBorders>
              <w:top w:val="single" w:sz="2" w:space="0" w:color="auto"/>
              <w:left w:val="single" w:sz="2" w:space="0" w:color="auto"/>
              <w:bottom w:val="single" w:sz="2" w:space="0" w:color="auto"/>
              <w:right w:val="single" w:sz="2" w:space="0" w:color="auto"/>
            </w:tcBorders>
          </w:tcPr>
          <w:p w14:paraId="23FCFCF0" w14:textId="77777777" w:rsidR="009F4766" w:rsidRPr="00DE12A3" w:rsidRDefault="009F4766" w:rsidP="00C917D6">
            <w:pPr>
              <w:pStyle w:val="NormalLeft"/>
            </w:pPr>
            <w:r w:rsidRPr="00DE12A3">
              <w:t>18</w:t>
            </w:r>
          </w:p>
        </w:tc>
      </w:tr>
      <w:tr w:rsidR="00DE12A3" w:rsidRPr="00DE12A3" w14:paraId="60B40DEE" w14:textId="77777777" w:rsidTr="009F4766">
        <w:tc>
          <w:tcPr>
            <w:tcW w:w="1182" w:type="dxa"/>
            <w:tcBorders>
              <w:top w:val="single" w:sz="2" w:space="0" w:color="auto"/>
              <w:left w:val="single" w:sz="2" w:space="0" w:color="auto"/>
              <w:bottom w:val="single" w:sz="2" w:space="0" w:color="auto"/>
              <w:right w:val="single" w:sz="2" w:space="0" w:color="auto"/>
            </w:tcBorders>
          </w:tcPr>
          <w:p w14:paraId="454A150D" w14:textId="77777777" w:rsidR="009F4766" w:rsidRPr="00DE12A3" w:rsidRDefault="009F4766" w:rsidP="00C917D6">
            <w:pPr>
              <w:pStyle w:val="NormalLeft"/>
            </w:pPr>
            <w:r w:rsidRPr="00DE12A3">
              <w:t>541</w:t>
            </w:r>
          </w:p>
        </w:tc>
        <w:tc>
          <w:tcPr>
            <w:tcW w:w="2489" w:type="dxa"/>
            <w:tcBorders>
              <w:top w:val="single" w:sz="2" w:space="0" w:color="auto"/>
              <w:left w:val="single" w:sz="2" w:space="0" w:color="auto"/>
              <w:bottom w:val="single" w:sz="2" w:space="0" w:color="auto"/>
              <w:right w:val="single" w:sz="2" w:space="0" w:color="auto"/>
            </w:tcBorders>
          </w:tcPr>
          <w:p w14:paraId="46168012" w14:textId="77777777" w:rsidR="009F4766" w:rsidRPr="00DE12A3" w:rsidRDefault="009F4766" w:rsidP="00C917D6">
            <w:pPr>
              <w:pStyle w:val="NormalLeft"/>
            </w:pPr>
            <w:r w:rsidRPr="00DE12A3">
              <w:t>71</w:t>
            </w:r>
          </w:p>
        </w:tc>
        <w:tc>
          <w:tcPr>
            <w:tcW w:w="2551" w:type="dxa"/>
            <w:tcBorders>
              <w:top w:val="single" w:sz="2" w:space="0" w:color="auto"/>
              <w:left w:val="single" w:sz="2" w:space="0" w:color="auto"/>
              <w:bottom w:val="single" w:sz="2" w:space="0" w:color="auto"/>
              <w:right w:val="single" w:sz="2" w:space="0" w:color="auto"/>
            </w:tcBorders>
          </w:tcPr>
          <w:p w14:paraId="683BFF0A" w14:textId="77777777" w:rsidR="009F4766" w:rsidRPr="00DE12A3" w:rsidRDefault="009F4766" w:rsidP="00C917D6">
            <w:pPr>
              <w:pStyle w:val="NormalLeft"/>
            </w:pPr>
            <w:r w:rsidRPr="00DE12A3">
              <w:t>14</w:t>
            </w:r>
          </w:p>
        </w:tc>
      </w:tr>
      <w:tr w:rsidR="00DE12A3" w:rsidRPr="00DE12A3" w14:paraId="29E3E134" w14:textId="77777777" w:rsidTr="009F4766">
        <w:tc>
          <w:tcPr>
            <w:tcW w:w="1182" w:type="dxa"/>
            <w:tcBorders>
              <w:top w:val="single" w:sz="2" w:space="0" w:color="auto"/>
              <w:left w:val="single" w:sz="2" w:space="0" w:color="auto"/>
              <w:bottom w:val="single" w:sz="2" w:space="0" w:color="auto"/>
              <w:right w:val="single" w:sz="2" w:space="0" w:color="auto"/>
            </w:tcBorders>
          </w:tcPr>
          <w:p w14:paraId="7687417E" w14:textId="77777777" w:rsidR="009F4766" w:rsidRPr="00DE12A3" w:rsidRDefault="009F4766" w:rsidP="00C917D6">
            <w:pPr>
              <w:pStyle w:val="NormalLeft"/>
            </w:pPr>
            <w:r w:rsidRPr="00DE12A3">
              <w:t>542</w:t>
            </w:r>
          </w:p>
        </w:tc>
        <w:tc>
          <w:tcPr>
            <w:tcW w:w="2489" w:type="dxa"/>
            <w:tcBorders>
              <w:top w:val="single" w:sz="2" w:space="0" w:color="auto"/>
              <w:left w:val="single" w:sz="2" w:space="0" w:color="auto"/>
              <w:bottom w:val="single" w:sz="2" w:space="0" w:color="auto"/>
              <w:right w:val="single" w:sz="2" w:space="0" w:color="auto"/>
            </w:tcBorders>
          </w:tcPr>
          <w:p w14:paraId="3DE87D67" w14:textId="77777777" w:rsidR="009F4766" w:rsidRPr="00DE12A3" w:rsidRDefault="009F4766" w:rsidP="00C917D6">
            <w:pPr>
              <w:pStyle w:val="NormalLeft"/>
            </w:pPr>
            <w:r w:rsidRPr="00DE12A3">
              <w:t>71</w:t>
            </w:r>
          </w:p>
        </w:tc>
        <w:tc>
          <w:tcPr>
            <w:tcW w:w="2551" w:type="dxa"/>
            <w:tcBorders>
              <w:top w:val="single" w:sz="2" w:space="0" w:color="auto"/>
              <w:left w:val="single" w:sz="2" w:space="0" w:color="auto"/>
              <w:bottom w:val="single" w:sz="2" w:space="0" w:color="auto"/>
              <w:right w:val="single" w:sz="2" w:space="0" w:color="auto"/>
            </w:tcBorders>
          </w:tcPr>
          <w:p w14:paraId="1B1FB15C" w14:textId="77777777" w:rsidR="009F4766" w:rsidRPr="00DE12A3" w:rsidRDefault="009F4766" w:rsidP="00C917D6">
            <w:pPr>
              <w:pStyle w:val="NormalLeft"/>
            </w:pPr>
            <w:r w:rsidRPr="00DE12A3">
              <w:t>11</w:t>
            </w:r>
          </w:p>
        </w:tc>
      </w:tr>
      <w:tr w:rsidR="00DE12A3" w:rsidRPr="00DE12A3" w14:paraId="46AD514E" w14:textId="77777777" w:rsidTr="009F4766">
        <w:tc>
          <w:tcPr>
            <w:tcW w:w="1182" w:type="dxa"/>
            <w:tcBorders>
              <w:top w:val="single" w:sz="2" w:space="0" w:color="auto"/>
              <w:left w:val="single" w:sz="2" w:space="0" w:color="auto"/>
              <w:bottom w:val="single" w:sz="2" w:space="0" w:color="auto"/>
              <w:right w:val="single" w:sz="2" w:space="0" w:color="auto"/>
            </w:tcBorders>
          </w:tcPr>
          <w:p w14:paraId="26434602" w14:textId="77777777" w:rsidR="009F4766" w:rsidRPr="00DE12A3" w:rsidRDefault="009F4766" w:rsidP="00C917D6">
            <w:pPr>
              <w:pStyle w:val="NormalLeft"/>
            </w:pPr>
            <w:r w:rsidRPr="00DE12A3">
              <w:t>543</w:t>
            </w:r>
          </w:p>
        </w:tc>
        <w:tc>
          <w:tcPr>
            <w:tcW w:w="2489" w:type="dxa"/>
            <w:tcBorders>
              <w:top w:val="single" w:sz="2" w:space="0" w:color="auto"/>
              <w:left w:val="single" w:sz="2" w:space="0" w:color="auto"/>
              <w:bottom w:val="single" w:sz="2" w:space="0" w:color="auto"/>
              <w:right w:val="single" w:sz="2" w:space="0" w:color="auto"/>
            </w:tcBorders>
          </w:tcPr>
          <w:p w14:paraId="7DE18474" w14:textId="77777777" w:rsidR="009F4766" w:rsidRPr="00DE12A3" w:rsidRDefault="009F4766" w:rsidP="00C917D6">
            <w:pPr>
              <w:pStyle w:val="NormalLeft"/>
            </w:pPr>
            <w:r w:rsidRPr="00DE12A3">
              <w:t>65</w:t>
            </w:r>
          </w:p>
        </w:tc>
        <w:tc>
          <w:tcPr>
            <w:tcW w:w="2551" w:type="dxa"/>
            <w:tcBorders>
              <w:top w:val="single" w:sz="2" w:space="0" w:color="auto"/>
              <w:left w:val="single" w:sz="2" w:space="0" w:color="auto"/>
              <w:bottom w:val="single" w:sz="2" w:space="0" w:color="auto"/>
              <w:right w:val="single" w:sz="2" w:space="0" w:color="auto"/>
            </w:tcBorders>
          </w:tcPr>
          <w:p w14:paraId="4FA34C27" w14:textId="77777777" w:rsidR="009F4766" w:rsidRPr="00DE12A3" w:rsidRDefault="009F4766" w:rsidP="00C917D6">
            <w:pPr>
              <w:pStyle w:val="NormalLeft"/>
            </w:pPr>
            <w:r w:rsidRPr="00DE12A3">
              <w:t>2</w:t>
            </w:r>
          </w:p>
        </w:tc>
      </w:tr>
      <w:tr w:rsidR="00DE12A3" w:rsidRPr="00DE12A3" w14:paraId="2318E7A5" w14:textId="77777777" w:rsidTr="009F4766">
        <w:tc>
          <w:tcPr>
            <w:tcW w:w="1182" w:type="dxa"/>
            <w:tcBorders>
              <w:top w:val="single" w:sz="2" w:space="0" w:color="auto"/>
              <w:left w:val="single" w:sz="2" w:space="0" w:color="auto"/>
              <w:bottom w:val="single" w:sz="2" w:space="0" w:color="auto"/>
              <w:right w:val="single" w:sz="2" w:space="0" w:color="auto"/>
            </w:tcBorders>
          </w:tcPr>
          <w:p w14:paraId="0214EEB6" w14:textId="77777777" w:rsidR="009F4766" w:rsidRPr="00DE12A3" w:rsidRDefault="009F4766" w:rsidP="00C917D6">
            <w:pPr>
              <w:pStyle w:val="NormalLeft"/>
            </w:pPr>
            <w:r w:rsidRPr="00DE12A3">
              <w:t>544</w:t>
            </w:r>
          </w:p>
        </w:tc>
        <w:tc>
          <w:tcPr>
            <w:tcW w:w="2489" w:type="dxa"/>
            <w:tcBorders>
              <w:top w:val="single" w:sz="2" w:space="0" w:color="auto"/>
              <w:left w:val="single" w:sz="2" w:space="0" w:color="auto"/>
              <w:bottom w:val="single" w:sz="2" w:space="0" w:color="auto"/>
              <w:right w:val="single" w:sz="2" w:space="0" w:color="auto"/>
            </w:tcBorders>
          </w:tcPr>
          <w:p w14:paraId="781679A1" w14:textId="77777777" w:rsidR="009F4766" w:rsidRPr="00DE12A3" w:rsidRDefault="009F4766" w:rsidP="00C917D6">
            <w:pPr>
              <w:pStyle w:val="NormalLeft"/>
            </w:pPr>
            <w:r w:rsidRPr="00DE12A3">
              <w:t>31</w:t>
            </w:r>
          </w:p>
        </w:tc>
        <w:tc>
          <w:tcPr>
            <w:tcW w:w="2551" w:type="dxa"/>
            <w:tcBorders>
              <w:top w:val="single" w:sz="2" w:space="0" w:color="auto"/>
              <w:left w:val="single" w:sz="2" w:space="0" w:color="auto"/>
              <w:bottom w:val="single" w:sz="2" w:space="0" w:color="auto"/>
              <w:right w:val="single" w:sz="2" w:space="0" w:color="auto"/>
            </w:tcBorders>
          </w:tcPr>
          <w:p w14:paraId="11451A91" w14:textId="77777777" w:rsidR="009F4766" w:rsidRPr="00DE12A3" w:rsidRDefault="009F4766" w:rsidP="00C917D6">
            <w:pPr>
              <w:pStyle w:val="NormalLeft"/>
            </w:pPr>
            <w:r w:rsidRPr="00DE12A3">
              <w:t>26</w:t>
            </w:r>
          </w:p>
        </w:tc>
      </w:tr>
      <w:tr w:rsidR="00DE12A3" w:rsidRPr="00DE12A3" w14:paraId="21072070" w14:textId="77777777" w:rsidTr="009F4766">
        <w:tc>
          <w:tcPr>
            <w:tcW w:w="1182" w:type="dxa"/>
            <w:tcBorders>
              <w:top w:val="single" w:sz="2" w:space="0" w:color="auto"/>
              <w:left w:val="single" w:sz="2" w:space="0" w:color="auto"/>
              <w:bottom w:val="single" w:sz="2" w:space="0" w:color="auto"/>
              <w:right w:val="single" w:sz="2" w:space="0" w:color="auto"/>
            </w:tcBorders>
          </w:tcPr>
          <w:p w14:paraId="0D7B7CE9" w14:textId="77777777" w:rsidR="009F4766" w:rsidRPr="00DE12A3" w:rsidRDefault="009F4766" w:rsidP="00C917D6">
            <w:pPr>
              <w:pStyle w:val="NormalLeft"/>
            </w:pPr>
            <w:r w:rsidRPr="00DE12A3">
              <w:t>545</w:t>
            </w:r>
          </w:p>
        </w:tc>
        <w:tc>
          <w:tcPr>
            <w:tcW w:w="2489" w:type="dxa"/>
            <w:tcBorders>
              <w:top w:val="single" w:sz="2" w:space="0" w:color="auto"/>
              <w:left w:val="single" w:sz="2" w:space="0" w:color="auto"/>
              <w:bottom w:val="single" w:sz="2" w:space="0" w:color="auto"/>
              <w:right w:val="single" w:sz="2" w:space="0" w:color="auto"/>
            </w:tcBorders>
          </w:tcPr>
          <w:p w14:paraId="5573B38F" w14:textId="77777777" w:rsidR="009F4766" w:rsidRPr="00DE12A3" w:rsidRDefault="009F4766" w:rsidP="00C917D6">
            <w:pPr>
              <w:pStyle w:val="NormalLeft"/>
            </w:pPr>
            <w:r w:rsidRPr="00DE12A3">
              <w:t>24</w:t>
            </w:r>
          </w:p>
        </w:tc>
        <w:tc>
          <w:tcPr>
            <w:tcW w:w="2551" w:type="dxa"/>
            <w:tcBorders>
              <w:top w:val="single" w:sz="2" w:space="0" w:color="auto"/>
              <w:left w:val="single" w:sz="2" w:space="0" w:color="auto"/>
              <w:bottom w:val="single" w:sz="2" w:space="0" w:color="auto"/>
              <w:right w:val="single" w:sz="2" w:space="0" w:color="auto"/>
            </w:tcBorders>
          </w:tcPr>
          <w:p w14:paraId="52BC68A3" w14:textId="77777777" w:rsidR="009F4766" w:rsidRPr="00DE12A3" w:rsidRDefault="009F4766" w:rsidP="00C917D6">
            <w:pPr>
              <w:pStyle w:val="NormalLeft"/>
            </w:pPr>
            <w:r w:rsidRPr="00DE12A3">
              <w:t>72</w:t>
            </w:r>
          </w:p>
        </w:tc>
      </w:tr>
      <w:tr w:rsidR="00DE12A3" w:rsidRPr="00DE12A3" w14:paraId="28A968BC" w14:textId="77777777" w:rsidTr="009F4766">
        <w:tc>
          <w:tcPr>
            <w:tcW w:w="1182" w:type="dxa"/>
            <w:tcBorders>
              <w:top w:val="single" w:sz="2" w:space="0" w:color="auto"/>
              <w:left w:val="single" w:sz="2" w:space="0" w:color="auto"/>
              <w:bottom w:val="single" w:sz="2" w:space="0" w:color="auto"/>
              <w:right w:val="single" w:sz="2" w:space="0" w:color="auto"/>
            </w:tcBorders>
          </w:tcPr>
          <w:p w14:paraId="29743FC2" w14:textId="77777777" w:rsidR="009F4766" w:rsidRPr="00DE12A3" w:rsidRDefault="009F4766" w:rsidP="00C917D6">
            <w:pPr>
              <w:pStyle w:val="NormalLeft"/>
            </w:pPr>
            <w:r w:rsidRPr="00DE12A3">
              <w:t>546</w:t>
            </w:r>
          </w:p>
        </w:tc>
        <w:tc>
          <w:tcPr>
            <w:tcW w:w="2489" w:type="dxa"/>
            <w:tcBorders>
              <w:top w:val="single" w:sz="2" w:space="0" w:color="auto"/>
              <w:left w:val="single" w:sz="2" w:space="0" w:color="auto"/>
              <w:bottom w:val="single" w:sz="2" w:space="0" w:color="auto"/>
              <w:right w:val="single" w:sz="2" w:space="0" w:color="auto"/>
            </w:tcBorders>
          </w:tcPr>
          <w:p w14:paraId="6BBEAB7F" w14:textId="77777777" w:rsidR="009F4766" w:rsidRPr="00DE12A3" w:rsidRDefault="009F4766" w:rsidP="00C917D6">
            <w:pPr>
              <w:pStyle w:val="NormalLeft"/>
            </w:pPr>
            <w:r w:rsidRPr="00DE12A3">
              <w:t>64</w:t>
            </w:r>
          </w:p>
        </w:tc>
        <w:tc>
          <w:tcPr>
            <w:tcW w:w="2551" w:type="dxa"/>
            <w:tcBorders>
              <w:top w:val="single" w:sz="2" w:space="0" w:color="auto"/>
              <w:left w:val="single" w:sz="2" w:space="0" w:color="auto"/>
              <w:bottom w:val="single" w:sz="2" w:space="0" w:color="auto"/>
              <w:right w:val="single" w:sz="2" w:space="0" w:color="auto"/>
            </w:tcBorders>
          </w:tcPr>
          <w:p w14:paraId="0CC625EB" w14:textId="77777777" w:rsidR="009F4766" w:rsidRPr="00DE12A3" w:rsidRDefault="009F4766" w:rsidP="00C917D6">
            <w:pPr>
              <w:pStyle w:val="NormalLeft"/>
            </w:pPr>
            <w:r w:rsidRPr="00DE12A3">
              <w:t>70</w:t>
            </w:r>
          </w:p>
        </w:tc>
      </w:tr>
      <w:tr w:rsidR="00DE12A3" w:rsidRPr="00DE12A3" w14:paraId="2A3D4D54" w14:textId="77777777" w:rsidTr="009F4766">
        <w:tc>
          <w:tcPr>
            <w:tcW w:w="1182" w:type="dxa"/>
            <w:tcBorders>
              <w:top w:val="single" w:sz="2" w:space="0" w:color="auto"/>
              <w:left w:val="single" w:sz="2" w:space="0" w:color="auto"/>
              <w:bottom w:val="single" w:sz="2" w:space="0" w:color="auto"/>
              <w:right w:val="single" w:sz="2" w:space="0" w:color="auto"/>
            </w:tcBorders>
          </w:tcPr>
          <w:p w14:paraId="0623CF44" w14:textId="77777777" w:rsidR="009F4766" w:rsidRPr="00DE12A3" w:rsidRDefault="009F4766" w:rsidP="00C917D6">
            <w:pPr>
              <w:pStyle w:val="NormalLeft"/>
            </w:pPr>
            <w:r w:rsidRPr="00DE12A3">
              <w:t>547</w:t>
            </w:r>
          </w:p>
        </w:tc>
        <w:tc>
          <w:tcPr>
            <w:tcW w:w="2489" w:type="dxa"/>
            <w:tcBorders>
              <w:top w:val="single" w:sz="2" w:space="0" w:color="auto"/>
              <w:left w:val="single" w:sz="2" w:space="0" w:color="auto"/>
              <w:bottom w:val="single" w:sz="2" w:space="0" w:color="auto"/>
              <w:right w:val="single" w:sz="2" w:space="0" w:color="auto"/>
            </w:tcBorders>
          </w:tcPr>
          <w:p w14:paraId="26D30473" w14:textId="77777777" w:rsidR="009F4766" w:rsidRPr="00DE12A3" w:rsidRDefault="009F4766" w:rsidP="00C917D6">
            <w:pPr>
              <w:pStyle w:val="NormalLeft"/>
            </w:pPr>
            <w:r w:rsidRPr="00DE12A3">
              <w:t>77</w:t>
            </w:r>
          </w:p>
        </w:tc>
        <w:tc>
          <w:tcPr>
            <w:tcW w:w="2551" w:type="dxa"/>
            <w:tcBorders>
              <w:top w:val="single" w:sz="2" w:space="0" w:color="auto"/>
              <w:left w:val="single" w:sz="2" w:space="0" w:color="auto"/>
              <w:bottom w:val="single" w:sz="2" w:space="0" w:color="auto"/>
              <w:right w:val="single" w:sz="2" w:space="0" w:color="auto"/>
            </w:tcBorders>
          </w:tcPr>
          <w:p w14:paraId="085E71B8" w14:textId="77777777" w:rsidR="009F4766" w:rsidRPr="00DE12A3" w:rsidRDefault="009F4766" w:rsidP="00C917D6">
            <w:pPr>
              <w:pStyle w:val="NormalLeft"/>
            </w:pPr>
            <w:r w:rsidRPr="00DE12A3">
              <w:t>62</w:t>
            </w:r>
          </w:p>
        </w:tc>
      </w:tr>
      <w:tr w:rsidR="00DE12A3" w:rsidRPr="00DE12A3" w14:paraId="79E8051F" w14:textId="77777777" w:rsidTr="009F4766">
        <w:tc>
          <w:tcPr>
            <w:tcW w:w="1182" w:type="dxa"/>
            <w:tcBorders>
              <w:top w:val="single" w:sz="2" w:space="0" w:color="auto"/>
              <w:left w:val="single" w:sz="2" w:space="0" w:color="auto"/>
              <w:bottom w:val="single" w:sz="2" w:space="0" w:color="auto"/>
              <w:right w:val="single" w:sz="2" w:space="0" w:color="auto"/>
            </w:tcBorders>
          </w:tcPr>
          <w:p w14:paraId="0CCC4CCF" w14:textId="77777777" w:rsidR="009F4766" w:rsidRPr="00DE12A3" w:rsidRDefault="009F4766" w:rsidP="00C917D6">
            <w:pPr>
              <w:pStyle w:val="NormalLeft"/>
            </w:pPr>
            <w:r w:rsidRPr="00DE12A3">
              <w:lastRenderedPageBreak/>
              <w:t>548</w:t>
            </w:r>
          </w:p>
        </w:tc>
        <w:tc>
          <w:tcPr>
            <w:tcW w:w="2489" w:type="dxa"/>
            <w:tcBorders>
              <w:top w:val="single" w:sz="2" w:space="0" w:color="auto"/>
              <w:left w:val="single" w:sz="2" w:space="0" w:color="auto"/>
              <w:bottom w:val="single" w:sz="2" w:space="0" w:color="auto"/>
              <w:right w:val="single" w:sz="2" w:space="0" w:color="auto"/>
            </w:tcBorders>
          </w:tcPr>
          <w:p w14:paraId="14AB6B02" w14:textId="77777777" w:rsidR="009F4766" w:rsidRPr="00DE12A3" w:rsidRDefault="009F4766" w:rsidP="00C917D6">
            <w:pPr>
              <w:pStyle w:val="NormalLeft"/>
            </w:pPr>
            <w:r w:rsidRPr="00DE12A3">
              <w:t>80</w:t>
            </w:r>
          </w:p>
        </w:tc>
        <w:tc>
          <w:tcPr>
            <w:tcW w:w="2551" w:type="dxa"/>
            <w:tcBorders>
              <w:top w:val="single" w:sz="2" w:space="0" w:color="auto"/>
              <w:left w:val="single" w:sz="2" w:space="0" w:color="auto"/>
              <w:bottom w:val="single" w:sz="2" w:space="0" w:color="auto"/>
              <w:right w:val="single" w:sz="2" w:space="0" w:color="auto"/>
            </w:tcBorders>
          </w:tcPr>
          <w:p w14:paraId="0F34DBFC" w14:textId="77777777" w:rsidR="009F4766" w:rsidRPr="00DE12A3" w:rsidRDefault="009F4766" w:rsidP="00C917D6">
            <w:pPr>
              <w:pStyle w:val="NormalLeft"/>
            </w:pPr>
            <w:r w:rsidRPr="00DE12A3">
              <w:t>68</w:t>
            </w:r>
          </w:p>
        </w:tc>
      </w:tr>
      <w:tr w:rsidR="00DE12A3" w:rsidRPr="00DE12A3" w14:paraId="61F05EF3" w14:textId="77777777" w:rsidTr="009F4766">
        <w:tc>
          <w:tcPr>
            <w:tcW w:w="1182" w:type="dxa"/>
            <w:tcBorders>
              <w:top w:val="single" w:sz="2" w:space="0" w:color="auto"/>
              <w:left w:val="single" w:sz="2" w:space="0" w:color="auto"/>
              <w:bottom w:val="single" w:sz="2" w:space="0" w:color="auto"/>
              <w:right w:val="single" w:sz="2" w:space="0" w:color="auto"/>
            </w:tcBorders>
          </w:tcPr>
          <w:p w14:paraId="55196767" w14:textId="77777777" w:rsidR="009F4766" w:rsidRPr="00DE12A3" w:rsidRDefault="009F4766" w:rsidP="00C917D6">
            <w:pPr>
              <w:pStyle w:val="NormalLeft"/>
            </w:pPr>
            <w:r w:rsidRPr="00DE12A3">
              <w:t>549</w:t>
            </w:r>
          </w:p>
        </w:tc>
        <w:tc>
          <w:tcPr>
            <w:tcW w:w="2489" w:type="dxa"/>
            <w:tcBorders>
              <w:top w:val="single" w:sz="2" w:space="0" w:color="auto"/>
              <w:left w:val="single" w:sz="2" w:space="0" w:color="auto"/>
              <w:bottom w:val="single" w:sz="2" w:space="0" w:color="auto"/>
              <w:right w:val="single" w:sz="2" w:space="0" w:color="auto"/>
            </w:tcBorders>
          </w:tcPr>
          <w:p w14:paraId="4AA0BF0C" w14:textId="77777777" w:rsidR="009F4766" w:rsidRPr="00DE12A3" w:rsidRDefault="009F4766" w:rsidP="00C917D6">
            <w:pPr>
              <w:pStyle w:val="NormalLeft"/>
            </w:pPr>
            <w:r w:rsidRPr="00DE12A3">
              <w:t>83</w:t>
            </w:r>
          </w:p>
        </w:tc>
        <w:tc>
          <w:tcPr>
            <w:tcW w:w="2551" w:type="dxa"/>
            <w:tcBorders>
              <w:top w:val="single" w:sz="2" w:space="0" w:color="auto"/>
              <w:left w:val="single" w:sz="2" w:space="0" w:color="auto"/>
              <w:bottom w:val="single" w:sz="2" w:space="0" w:color="auto"/>
              <w:right w:val="single" w:sz="2" w:space="0" w:color="auto"/>
            </w:tcBorders>
          </w:tcPr>
          <w:p w14:paraId="13CE0707" w14:textId="77777777" w:rsidR="009F4766" w:rsidRPr="00DE12A3" w:rsidRDefault="009F4766" w:rsidP="00C917D6">
            <w:pPr>
              <w:pStyle w:val="NormalLeft"/>
            </w:pPr>
            <w:r w:rsidRPr="00DE12A3">
              <w:t>53</w:t>
            </w:r>
          </w:p>
        </w:tc>
      </w:tr>
      <w:tr w:rsidR="00DE12A3" w:rsidRPr="00DE12A3" w14:paraId="01F058F0" w14:textId="77777777" w:rsidTr="009F4766">
        <w:tc>
          <w:tcPr>
            <w:tcW w:w="1182" w:type="dxa"/>
            <w:tcBorders>
              <w:top w:val="single" w:sz="2" w:space="0" w:color="auto"/>
              <w:left w:val="single" w:sz="2" w:space="0" w:color="auto"/>
              <w:bottom w:val="single" w:sz="2" w:space="0" w:color="auto"/>
              <w:right w:val="single" w:sz="2" w:space="0" w:color="auto"/>
            </w:tcBorders>
          </w:tcPr>
          <w:p w14:paraId="5D776E16" w14:textId="77777777" w:rsidR="009F4766" w:rsidRPr="00DE12A3" w:rsidRDefault="009F4766" w:rsidP="00C917D6">
            <w:pPr>
              <w:pStyle w:val="NormalLeft"/>
            </w:pPr>
            <w:r w:rsidRPr="00DE12A3">
              <w:t>550</w:t>
            </w:r>
          </w:p>
        </w:tc>
        <w:tc>
          <w:tcPr>
            <w:tcW w:w="2489" w:type="dxa"/>
            <w:tcBorders>
              <w:top w:val="single" w:sz="2" w:space="0" w:color="auto"/>
              <w:left w:val="single" w:sz="2" w:space="0" w:color="auto"/>
              <w:bottom w:val="single" w:sz="2" w:space="0" w:color="auto"/>
              <w:right w:val="single" w:sz="2" w:space="0" w:color="auto"/>
            </w:tcBorders>
          </w:tcPr>
          <w:p w14:paraId="49C72BB7" w14:textId="77777777" w:rsidR="009F4766" w:rsidRPr="00DE12A3" w:rsidRDefault="009F4766" w:rsidP="00C917D6">
            <w:pPr>
              <w:pStyle w:val="NormalLeft"/>
            </w:pPr>
            <w:r w:rsidRPr="00DE12A3">
              <w:t>83</w:t>
            </w:r>
          </w:p>
        </w:tc>
        <w:tc>
          <w:tcPr>
            <w:tcW w:w="2551" w:type="dxa"/>
            <w:tcBorders>
              <w:top w:val="single" w:sz="2" w:space="0" w:color="auto"/>
              <w:left w:val="single" w:sz="2" w:space="0" w:color="auto"/>
              <w:bottom w:val="single" w:sz="2" w:space="0" w:color="auto"/>
              <w:right w:val="single" w:sz="2" w:space="0" w:color="auto"/>
            </w:tcBorders>
          </w:tcPr>
          <w:p w14:paraId="78E4F0A1" w14:textId="77777777" w:rsidR="009F4766" w:rsidRPr="00DE12A3" w:rsidRDefault="009F4766" w:rsidP="00C917D6">
            <w:pPr>
              <w:pStyle w:val="NormalLeft"/>
            </w:pPr>
            <w:r w:rsidRPr="00DE12A3">
              <w:t>50</w:t>
            </w:r>
          </w:p>
        </w:tc>
      </w:tr>
      <w:tr w:rsidR="00DE12A3" w:rsidRPr="00DE12A3" w14:paraId="4C7B9929" w14:textId="77777777" w:rsidTr="009F4766">
        <w:tc>
          <w:tcPr>
            <w:tcW w:w="1182" w:type="dxa"/>
            <w:tcBorders>
              <w:top w:val="single" w:sz="2" w:space="0" w:color="auto"/>
              <w:left w:val="single" w:sz="2" w:space="0" w:color="auto"/>
              <w:bottom w:val="single" w:sz="2" w:space="0" w:color="auto"/>
              <w:right w:val="single" w:sz="2" w:space="0" w:color="auto"/>
            </w:tcBorders>
          </w:tcPr>
          <w:p w14:paraId="7C9099D1" w14:textId="77777777" w:rsidR="009F4766" w:rsidRPr="00DE12A3" w:rsidRDefault="009F4766" w:rsidP="00C917D6">
            <w:pPr>
              <w:pStyle w:val="NormalLeft"/>
            </w:pPr>
            <w:r w:rsidRPr="00DE12A3">
              <w:t>551</w:t>
            </w:r>
          </w:p>
        </w:tc>
        <w:tc>
          <w:tcPr>
            <w:tcW w:w="2489" w:type="dxa"/>
            <w:tcBorders>
              <w:top w:val="single" w:sz="2" w:space="0" w:color="auto"/>
              <w:left w:val="single" w:sz="2" w:space="0" w:color="auto"/>
              <w:bottom w:val="single" w:sz="2" w:space="0" w:color="auto"/>
              <w:right w:val="single" w:sz="2" w:space="0" w:color="auto"/>
            </w:tcBorders>
          </w:tcPr>
          <w:p w14:paraId="5269F4B1" w14:textId="77777777" w:rsidR="009F4766" w:rsidRPr="00DE12A3" w:rsidRDefault="009F4766" w:rsidP="00C917D6">
            <w:pPr>
              <w:pStyle w:val="NormalLeft"/>
            </w:pPr>
            <w:r w:rsidRPr="00DE12A3">
              <w:t>83</w:t>
            </w:r>
          </w:p>
        </w:tc>
        <w:tc>
          <w:tcPr>
            <w:tcW w:w="2551" w:type="dxa"/>
            <w:tcBorders>
              <w:top w:val="single" w:sz="2" w:space="0" w:color="auto"/>
              <w:left w:val="single" w:sz="2" w:space="0" w:color="auto"/>
              <w:bottom w:val="single" w:sz="2" w:space="0" w:color="auto"/>
              <w:right w:val="single" w:sz="2" w:space="0" w:color="auto"/>
            </w:tcBorders>
          </w:tcPr>
          <w:p w14:paraId="45DD0E54" w14:textId="77777777" w:rsidR="009F4766" w:rsidRPr="00DE12A3" w:rsidRDefault="009F4766" w:rsidP="00C917D6">
            <w:pPr>
              <w:pStyle w:val="NormalLeft"/>
            </w:pPr>
            <w:r w:rsidRPr="00DE12A3">
              <w:t>50</w:t>
            </w:r>
          </w:p>
        </w:tc>
      </w:tr>
      <w:tr w:rsidR="00DE12A3" w:rsidRPr="00DE12A3" w14:paraId="44CEC59C" w14:textId="77777777" w:rsidTr="009F4766">
        <w:tc>
          <w:tcPr>
            <w:tcW w:w="1182" w:type="dxa"/>
            <w:tcBorders>
              <w:top w:val="single" w:sz="2" w:space="0" w:color="auto"/>
              <w:left w:val="single" w:sz="2" w:space="0" w:color="auto"/>
              <w:bottom w:val="single" w:sz="2" w:space="0" w:color="auto"/>
              <w:right w:val="single" w:sz="2" w:space="0" w:color="auto"/>
            </w:tcBorders>
          </w:tcPr>
          <w:p w14:paraId="3CAFA245" w14:textId="77777777" w:rsidR="009F4766" w:rsidRPr="00DE12A3" w:rsidRDefault="009F4766" w:rsidP="00C917D6">
            <w:pPr>
              <w:pStyle w:val="NormalLeft"/>
            </w:pPr>
            <w:r w:rsidRPr="00DE12A3">
              <w:t>552</w:t>
            </w:r>
          </w:p>
        </w:tc>
        <w:tc>
          <w:tcPr>
            <w:tcW w:w="2489" w:type="dxa"/>
            <w:tcBorders>
              <w:top w:val="single" w:sz="2" w:space="0" w:color="auto"/>
              <w:left w:val="single" w:sz="2" w:space="0" w:color="auto"/>
              <w:bottom w:val="single" w:sz="2" w:space="0" w:color="auto"/>
              <w:right w:val="single" w:sz="2" w:space="0" w:color="auto"/>
            </w:tcBorders>
          </w:tcPr>
          <w:p w14:paraId="38F10BE1" w14:textId="77777777" w:rsidR="009F4766" w:rsidRPr="00DE12A3" w:rsidRDefault="009F4766" w:rsidP="00C917D6">
            <w:pPr>
              <w:pStyle w:val="NormalLeft"/>
            </w:pPr>
            <w:r w:rsidRPr="00DE12A3">
              <w:t>85</w:t>
            </w:r>
          </w:p>
        </w:tc>
        <w:tc>
          <w:tcPr>
            <w:tcW w:w="2551" w:type="dxa"/>
            <w:tcBorders>
              <w:top w:val="single" w:sz="2" w:space="0" w:color="auto"/>
              <w:left w:val="single" w:sz="2" w:space="0" w:color="auto"/>
              <w:bottom w:val="single" w:sz="2" w:space="0" w:color="auto"/>
              <w:right w:val="single" w:sz="2" w:space="0" w:color="auto"/>
            </w:tcBorders>
          </w:tcPr>
          <w:p w14:paraId="12619646" w14:textId="77777777" w:rsidR="009F4766" w:rsidRPr="00DE12A3" w:rsidRDefault="009F4766" w:rsidP="00C917D6">
            <w:pPr>
              <w:pStyle w:val="NormalLeft"/>
            </w:pPr>
            <w:r w:rsidRPr="00DE12A3">
              <w:t>43</w:t>
            </w:r>
          </w:p>
        </w:tc>
      </w:tr>
      <w:tr w:rsidR="00DE12A3" w:rsidRPr="00DE12A3" w14:paraId="5ECF5AFC" w14:textId="77777777" w:rsidTr="009F4766">
        <w:tc>
          <w:tcPr>
            <w:tcW w:w="1182" w:type="dxa"/>
            <w:tcBorders>
              <w:top w:val="single" w:sz="2" w:space="0" w:color="auto"/>
              <w:left w:val="single" w:sz="2" w:space="0" w:color="auto"/>
              <w:bottom w:val="single" w:sz="2" w:space="0" w:color="auto"/>
              <w:right w:val="single" w:sz="2" w:space="0" w:color="auto"/>
            </w:tcBorders>
          </w:tcPr>
          <w:p w14:paraId="4B7FC4C4" w14:textId="77777777" w:rsidR="009F4766" w:rsidRPr="00DE12A3" w:rsidRDefault="009F4766" w:rsidP="00C917D6">
            <w:pPr>
              <w:pStyle w:val="NormalLeft"/>
            </w:pPr>
            <w:r w:rsidRPr="00DE12A3">
              <w:t>553</w:t>
            </w:r>
          </w:p>
        </w:tc>
        <w:tc>
          <w:tcPr>
            <w:tcW w:w="2489" w:type="dxa"/>
            <w:tcBorders>
              <w:top w:val="single" w:sz="2" w:space="0" w:color="auto"/>
              <w:left w:val="single" w:sz="2" w:space="0" w:color="auto"/>
              <w:bottom w:val="single" w:sz="2" w:space="0" w:color="auto"/>
              <w:right w:val="single" w:sz="2" w:space="0" w:color="auto"/>
            </w:tcBorders>
          </w:tcPr>
          <w:p w14:paraId="7FAC7DE6" w14:textId="77777777" w:rsidR="009F4766" w:rsidRPr="00DE12A3" w:rsidRDefault="009F4766" w:rsidP="00C917D6">
            <w:pPr>
              <w:pStyle w:val="NormalLeft"/>
            </w:pPr>
            <w:r w:rsidRPr="00DE12A3">
              <w:t>86</w:t>
            </w:r>
          </w:p>
        </w:tc>
        <w:tc>
          <w:tcPr>
            <w:tcW w:w="2551" w:type="dxa"/>
            <w:tcBorders>
              <w:top w:val="single" w:sz="2" w:space="0" w:color="auto"/>
              <w:left w:val="single" w:sz="2" w:space="0" w:color="auto"/>
              <w:bottom w:val="single" w:sz="2" w:space="0" w:color="auto"/>
              <w:right w:val="single" w:sz="2" w:space="0" w:color="auto"/>
            </w:tcBorders>
          </w:tcPr>
          <w:p w14:paraId="1766D393" w14:textId="77777777" w:rsidR="009F4766" w:rsidRPr="00DE12A3" w:rsidRDefault="009F4766" w:rsidP="00C917D6">
            <w:pPr>
              <w:pStyle w:val="NormalLeft"/>
            </w:pPr>
            <w:r w:rsidRPr="00DE12A3">
              <w:t>45</w:t>
            </w:r>
          </w:p>
        </w:tc>
      </w:tr>
      <w:tr w:rsidR="00DE12A3" w:rsidRPr="00DE12A3" w14:paraId="5AD75871" w14:textId="77777777" w:rsidTr="009F4766">
        <w:tc>
          <w:tcPr>
            <w:tcW w:w="1182" w:type="dxa"/>
            <w:tcBorders>
              <w:top w:val="single" w:sz="2" w:space="0" w:color="auto"/>
              <w:left w:val="single" w:sz="2" w:space="0" w:color="auto"/>
              <w:bottom w:val="single" w:sz="2" w:space="0" w:color="auto"/>
              <w:right w:val="single" w:sz="2" w:space="0" w:color="auto"/>
            </w:tcBorders>
          </w:tcPr>
          <w:p w14:paraId="53E2524F" w14:textId="77777777" w:rsidR="009F4766" w:rsidRPr="00DE12A3" w:rsidRDefault="009F4766" w:rsidP="00C917D6">
            <w:pPr>
              <w:pStyle w:val="NormalLeft"/>
            </w:pPr>
            <w:r w:rsidRPr="00DE12A3">
              <w:t>554</w:t>
            </w:r>
          </w:p>
        </w:tc>
        <w:tc>
          <w:tcPr>
            <w:tcW w:w="2489" w:type="dxa"/>
            <w:tcBorders>
              <w:top w:val="single" w:sz="2" w:space="0" w:color="auto"/>
              <w:left w:val="single" w:sz="2" w:space="0" w:color="auto"/>
              <w:bottom w:val="single" w:sz="2" w:space="0" w:color="auto"/>
              <w:right w:val="single" w:sz="2" w:space="0" w:color="auto"/>
            </w:tcBorders>
          </w:tcPr>
          <w:p w14:paraId="2C7C7598" w14:textId="77777777" w:rsidR="009F4766" w:rsidRPr="00DE12A3" w:rsidRDefault="009F4766" w:rsidP="00C917D6">
            <w:pPr>
              <w:pStyle w:val="NormalLeft"/>
            </w:pPr>
            <w:r w:rsidRPr="00DE12A3">
              <w:t>89</w:t>
            </w:r>
          </w:p>
        </w:tc>
        <w:tc>
          <w:tcPr>
            <w:tcW w:w="2551" w:type="dxa"/>
            <w:tcBorders>
              <w:top w:val="single" w:sz="2" w:space="0" w:color="auto"/>
              <w:left w:val="single" w:sz="2" w:space="0" w:color="auto"/>
              <w:bottom w:val="single" w:sz="2" w:space="0" w:color="auto"/>
              <w:right w:val="single" w:sz="2" w:space="0" w:color="auto"/>
            </w:tcBorders>
          </w:tcPr>
          <w:p w14:paraId="3DB81A57" w14:textId="77777777" w:rsidR="009F4766" w:rsidRPr="00DE12A3" w:rsidRDefault="009F4766" w:rsidP="00C917D6">
            <w:pPr>
              <w:pStyle w:val="NormalLeft"/>
            </w:pPr>
            <w:r w:rsidRPr="00DE12A3">
              <w:t>35</w:t>
            </w:r>
          </w:p>
        </w:tc>
      </w:tr>
      <w:tr w:rsidR="00DE12A3" w:rsidRPr="00DE12A3" w14:paraId="0DE39588" w14:textId="77777777" w:rsidTr="009F4766">
        <w:tc>
          <w:tcPr>
            <w:tcW w:w="1182" w:type="dxa"/>
            <w:tcBorders>
              <w:top w:val="single" w:sz="2" w:space="0" w:color="auto"/>
              <w:left w:val="single" w:sz="2" w:space="0" w:color="auto"/>
              <w:bottom w:val="single" w:sz="2" w:space="0" w:color="auto"/>
              <w:right w:val="single" w:sz="2" w:space="0" w:color="auto"/>
            </w:tcBorders>
          </w:tcPr>
          <w:p w14:paraId="1268C2EA" w14:textId="77777777" w:rsidR="009F4766" w:rsidRPr="00DE12A3" w:rsidRDefault="009F4766" w:rsidP="00C917D6">
            <w:pPr>
              <w:pStyle w:val="NormalLeft"/>
            </w:pPr>
            <w:r w:rsidRPr="00DE12A3">
              <w:t>555</w:t>
            </w:r>
          </w:p>
        </w:tc>
        <w:tc>
          <w:tcPr>
            <w:tcW w:w="2489" w:type="dxa"/>
            <w:tcBorders>
              <w:top w:val="single" w:sz="2" w:space="0" w:color="auto"/>
              <w:left w:val="single" w:sz="2" w:space="0" w:color="auto"/>
              <w:bottom w:val="single" w:sz="2" w:space="0" w:color="auto"/>
              <w:right w:val="single" w:sz="2" w:space="0" w:color="auto"/>
            </w:tcBorders>
          </w:tcPr>
          <w:p w14:paraId="580A5902" w14:textId="77777777" w:rsidR="009F4766" w:rsidRPr="00DE12A3" w:rsidRDefault="009F4766" w:rsidP="00C917D6">
            <w:pPr>
              <w:pStyle w:val="NormalLeft"/>
            </w:pPr>
            <w:r w:rsidRPr="00DE12A3">
              <w:t>82</w:t>
            </w:r>
          </w:p>
        </w:tc>
        <w:tc>
          <w:tcPr>
            <w:tcW w:w="2551" w:type="dxa"/>
            <w:tcBorders>
              <w:top w:val="single" w:sz="2" w:space="0" w:color="auto"/>
              <w:left w:val="single" w:sz="2" w:space="0" w:color="auto"/>
              <w:bottom w:val="single" w:sz="2" w:space="0" w:color="auto"/>
              <w:right w:val="single" w:sz="2" w:space="0" w:color="auto"/>
            </w:tcBorders>
          </w:tcPr>
          <w:p w14:paraId="20057EF1" w14:textId="77777777" w:rsidR="009F4766" w:rsidRPr="00DE12A3" w:rsidRDefault="009F4766" w:rsidP="00C917D6">
            <w:pPr>
              <w:pStyle w:val="NormalLeft"/>
            </w:pPr>
            <w:r w:rsidRPr="00DE12A3">
              <w:t>61</w:t>
            </w:r>
          </w:p>
        </w:tc>
      </w:tr>
      <w:tr w:rsidR="00DE12A3" w:rsidRPr="00DE12A3" w14:paraId="10B878FB" w14:textId="77777777" w:rsidTr="009F4766">
        <w:tc>
          <w:tcPr>
            <w:tcW w:w="1182" w:type="dxa"/>
            <w:tcBorders>
              <w:top w:val="single" w:sz="2" w:space="0" w:color="auto"/>
              <w:left w:val="single" w:sz="2" w:space="0" w:color="auto"/>
              <w:bottom w:val="single" w:sz="2" w:space="0" w:color="auto"/>
              <w:right w:val="single" w:sz="2" w:space="0" w:color="auto"/>
            </w:tcBorders>
          </w:tcPr>
          <w:p w14:paraId="6EEC3BCC" w14:textId="77777777" w:rsidR="009F4766" w:rsidRPr="00DE12A3" w:rsidRDefault="009F4766" w:rsidP="00C917D6">
            <w:pPr>
              <w:pStyle w:val="NormalLeft"/>
            </w:pPr>
            <w:r w:rsidRPr="00DE12A3">
              <w:t>556</w:t>
            </w:r>
          </w:p>
        </w:tc>
        <w:tc>
          <w:tcPr>
            <w:tcW w:w="2489" w:type="dxa"/>
            <w:tcBorders>
              <w:top w:val="single" w:sz="2" w:space="0" w:color="auto"/>
              <w:left w:val="single" w:sz="2" w:space="0" w:color="auto"/>
              <w:bottom w:val="single" w:sz="2" w:space="0" w:color="auto"/>
              <w:right w:val="single" w:sz="2" w:space="0" w:color="auto"/>
            </w:tcBorders>
          </w:tcPr>
          <w:p w14:paraId="77BF068E" w14:textId="77777777" w:rsidR="009F4766" w:rsidRPr="00DE12A3" w:rsidRDefault="009F4766" w:rsidP="00C917D6">
            <w:pPr>
              <w:pStyle w:val="NormalLeft"/>
            </w:pPr>
            <w:r w:rsidRPr="00DE12A3">
              <w:t>87</w:t>
            </w:r>
          </w:p>
        </w:tc>
        <w:tc>
          <w:tcPr>
            <w:tcW w:w="2551" w:type="dxa"/>
            <w:tcBorders>
              <w:top w:val="single" w:sz="2" w:space="0" w:color="auto"/>
              <w:left w:val="single" w:sz="2" w:space="0" w:color="auto"/>
              <w:bottom w:val="single" w:sz="2" w:space="0" w:color="auto"/>
              <w:right w:val="single" w:sz="2" w:space="0" w:color="auto"/>
            </w:tcBorders>
          </w:tcPr>
          <w:p w14:paraId="766B62C1" w14:textId="77777777" w:rsidR="009F4766" w:rsidRPr="00DE12A3" w:rsidRDefault="009F4766" w:rsidP="00C917D6">
            <w:pPr>
              <w:pStyle w:val="NormalLeft"/>
            </w:pPr>
            <w:r w:rsidRPr="00DE12A3">
              <w:t>50</w:t>
            </w:r>
          </w:p>
        </w:tc>
      </w:tr>
      <w:tr w:rsidR="00DE12A3" w:rsidRPr="00DE12A3" w14:paraId="771B1E58" w14:textId="77777777" w:rsidTr="009F4766">
        <w:tc>
          <w:tcPr>
            <w:tcW w:w="1182" w:type="dxa"/>
            <w:tcBorders>
              <w:top w:val="single" w:sz="2" w:space="0" w:color="auto"/>
              <w:left w:val="single" w:sz="2" w:space="0" w:color="auto"/>
              <w:bottom w:val="single" w:sz="2" w:space="0" w:color="auto"/>
              <w:right w:val="single" w:sz="2" w:space="0" w:color="auto"/>
            </w:tcBorders>
          </w:tcPr>
          <w:p w14:paraId="1005FA32" w14:textId="77777777" w:rsidR="009F4766" w:rsidRPr="00DE12A3" w:rsidRDefault="009F4766" w:rsidP="00C917D6">
            <w:pPr>
              <w:pStyle w:val="NormalLeft"/>
            </w:pPr>
            <w:r w:rsidRPr="00DE12A3">
              <w:t>557</w:t>
            </w:r>
          </w:p>
        </w:tc>
        <w:tc>
          <w:tcPr>
            <w:tcW w:w="2489" w:type="dxa"/>
            <w:tcBorders>
              <w:top w:val="single" w:sz="2" w:space="0" w:color="auto"/>
              <w:left w:val="single" w:sz="2" w:space="0" w:color="auto"/>
              <w:bottom w:val="single" w:sz="2" w:space="0" w:color="auto"/>
              <w:right w:val="single" w:sz="2" w:space="0" w:color="auto"/>
            </w:tcBorders>
          </w:tcPr>
          <w:p w14:paraId="505C0ECE" w14:textId="77777777" w:rsidR="009F4766" w:rsidRPr="00DE12A3" w:rsidRDefault="009F4766" w:rsidP="00C917D6">
            <w:pPr>
              <w:pStyle w:val="NormalLeft"/>
            </w:pPr>
            <w:r w:rsidRPr="00DE12A3">
              <w:t>85</w:t>
            </w:r>
          </w:p>
        </w:tc>
        <w:tc>
          <w:tcPr>
            <w:tcW w:w="2551" w:type="dxa"/>
            <w:tcBorders>
              <w:top w:val="single" w:sz="2" w:space="0" w:color="auto"/>
              <w:left w:val="single" w:sz="2" w:space="0" w:color="auto"/>
              <w:bottom w:val="single" w:sz="2" w:space="0" w:color="auto"/>
              <w:right w:val="single" w:sz="2" w:space="0" w:color="auto"/>
            </w:tcBorders>
          </w:tcPr>
          <w:p w14:paraId="76B0C8FA" w14:textId="77777777" w:rsidR="009F4766" w:rsidRPr="00DE12A3" w:rsidRDefault="009F4766" w:rsidP="00C917D6">
            <w:pPr>
              <w:pStyle w:val="NormalLeft"/>
            </w:pPr>
            <w:r w:rsidRPr="00DE12A3">
              <w:t>55</w:t>
            </w:r>
          </w:p>
        </w:tc>
      </w:tr>
      <w:tr w:rsidR="00DE12A3" w:rsidRPr="00DE12A3" w14:paraId="73EB8492" w14:textId="77777777" w:rsidTr="009F4766">
        <w:tc>
          <w:tcPr>
            <w:tcW w:w="1182" w:type="dxa"/>
            <w:tcBorders>
              <w:top w:val="single" w:sz="2" w:space="0" w:color="auto"/>
              <w:left w:val="single" w:sz="2" w:space="0" w:color="auto"/>
              <w:bottom w:val="single" w:sz="2" w:space="0" w:color="auto"/>
              <w:right w:val="single" w:sz="2" w:space="0" w:color="auto"/>
            </w:tcBorders>
          </w:tcPr>
          <w:p w14:paraId="66681C2A" w14:textId="77777777" w:rsidR="009F4766" w:rsidRPr="00DE12A3" w:rsidRDefault="009F4766" w:rsidP="00C917D6">
            <w:pPr>
              <w:pStyle w:val="NormalLeft"/>
            </w:pPr>
            <w:r w:rsidRPr="00DE12A3">
              <w:t>558</w:t>
            </w:r>
          </w:p>
        </w:tc>
        <w:tc>
          <w:tcPr>
            <w:tcW w:w="2489" w:type="dxa"/>
            <w:tcBorders>
              <w:top w:val="single" w:sz="2" w:space="0" w:color="auto"/>
              <w:left w:val="single" w:sz="2" w:space="0" w:color="auto"/>
              <w:bottom w:val="single" w:sz="2" w:space="0" w:color="auto"/>
              <w:right w:val="single" w:sz="2" w:space="0" w:color="auto"/>
            </w:tcBorders>
          </w:tcPr>
          <w:p w14:paraId="430D5D63" w14:textId="77777777" w:rsidR="009F4766" w:rsidRPr="00DE12A3" w:rsidRDefault="009F4766" w:rsidP="00C917D6">
            <w:pPr>
              <w:pStyle w:val="NormalLeft"/>
            </w:pPr>
            <w:r w:rsidRPr="00DE12A3">
              <w:t>89</w:t>
            </w:r>
          </w:p>
        </w:tc>
        <w:tc>
          <w:tcPr>
            <w:tcW w:w="2551" w:type="dxa"/>
            <w:tcBorders>
              <w:top w:val="single" w:sz="2" w:space="0" w:color="auto"/>
              <w:left w:val="single" w:sz="2" w:space="0" w:color="auto"/>
              <w:bottom w:val="single" w:sz="2" w:space="0" w:color="auto"/>
              <w:right w:val="single" w:sz="2" w:space="0" w:color="auto"/>
            </w:tcBorders>
          </w:tcPr>
          <w:p w14:paraId="72C4688B" w14:textId="77777777" w:rsidR="009F4766" w:rsidRPr="00DE12A3" w:rsidRDefault="009F4766" w:rsidP="00C917D6">
            <w:pPr>
              <w:pStyle w:val="NormalLeft"/>
            </w:pPr>
            <w:r w:rsidRPr="00DE12A3">
              <w:t>49</w:t>
            </w:r>
          </w:p>
        </w:tc>
      </w:tr>
      <w:tr w:rsidR="00DE12A3" w:rsidRPr="00DE12A3" w14:paraId="62DF171C" w14:textId="77777777" w:rsidTr="009F4766">
        <w:tc>
          <w:tcPr>
            <w:tcW w:w="1182" w:type="dxa"/>
            <w:tcBorders>
              <w:top w:val="single" w:sz="2" w:space="0" w:color="auto"/>
              <w:left w:val="single" w:sz="2" w:space="0" w:color="auto"/>
              <w:bottom w:val="single" w:sz="2" w:space="0" w:color="auto"/>
              <w:right w:val="single" w:sz="2" w:space="0" w:color="auto"/>
            </w:tcBorders>
          </w:tcPr>
          <w:p w14:paraId="2D49BA6B" w14:textId="77777777" w:rsidR="009F4766" w:rsidRPr="00DE12A3" w:rsidRDefault="009F4766" w:rsidP="00C917D6">
            <w:pPr>
              <w:pStyle w:val="NormalLeft"/>
            </w:pPr>
            <w:r w:rsidRPr="00DE12A3">
              <w:t>559</w:t>
            </w:r>
          </w:p>
        </w:tc>
        <w:tc>
          <w:tcPr>
            <w:tcW w:w="2489" w:type="dxa"/>
            <w:tcBorders>
              <w:top w:val="single" w:sz="2" w:space="0" w:color="auto"/>
              <w:left w:val="single" w:sz="2" w:space="0" w:color="auto"/>
              <w:bottom w:val="single" w:sz="2" w:space="0" w:color="auto"/>
              <w:right w:val="single" w:sz="2" w:space="0" w:color="auto"/>
            </w:tcBorders>
          </w:tcPr>
          <w:p w14:paraId="00816B93" w14:textId="77777777" w:rsidR="009F4766" w:rsidRPr="00DE12A3" w:rsidRDefault="009F4766" w:rsidP="00C917D6">
            <w:pPr>
              <w:pStyle w:val="NormalLeft"/>
            </w:pPr>
            <w:r w:rsidRPr="00DE12A3">
              <w:t>87</w:t>
            </w:r>
          </w:p>
        </w:tc>
        <w:tc>
          <w:tcPr>
            <w:tcW w:w="2551" w:type="dxa"/>
            <w:tcBorders>
              <w:top w:val="single" w:sz="2" w:space="0" w:color="auto"/>
              <w:left w:val="single" w:sz="2" w:space="0" w:color="auto"/>
              <w:bottom w:val="single" w:sz="2" w:space="0" w:color="auto"/>
              <w:right w:val="single" w:sz="2" w:space="0" w:color="auto"/>
            </w:tcBorders>
          </w:tcPr>
          <w:p w14:paraId="00088B92" w14:textId="77777777" w:rsidR="009F4766" w:rsidRPr="00DE12A3" w:rsidRDefault="009F4766" w:rsidP="00C917D6">
            <w:pPr>
              <w:pStyle w:val="NormalLeft"/>
            </w:pPr>
            <w:r w:rsidRPr="00DE12A3">
              <w:t>70</w:t>
            </w:r>
          </w:p>
        </w:tc>
      </w:tr>
      <w:tr w:rsidR="00DE12A3" w:rsidRPr="00DE12A3" w14:paraId="2C9D9FD4" w14:textId="77777777" w:rsidTr="009F4766">
        <w:tc>
          <w:tcPr>
            <w:tcW w:w="1182" w:type="dxa"/>
            <w:tcBorders>
              <w:top w:val="single" w:sz="2" w:space="0" w:color="auto"/>
              <w:left w:val="single" w:sz="2" w:space="0" w:color="auto"/>
              <w:bottom w:val="single" w:sz="2" w:space="0" w:color="auto"/>
              <w:right w:val="single" w:sz="2" w:space="0" w:color="auto"/>
            </w:tcBorders>
          </w:tcPr>
          <w:p w14:paraId="238685EB" w14:textId="77777777" w:rsidR="009F4766" w:rsidRPr="00DE12A3" w:rsidRDefault="009F4766" w:rsidP="00C917D6">
            <w:pPr>
              <w:pStyle w:val="NormalLeft"/>
            </w:pPr>
            <w:r w:rsidRPr="00DE12A3">
              <w:t>560</w:t>
            </w:r>
          </w:p>
        </w:tc>
        <w:tc>
          <w:tcPr>
            <w:tcW w:w="2489" w:type="dxa"/>
            <w:tcBorders>
              <w:top w:val="single" w:sz="2" w:space="0" w:color="auto"/>
              <w:left w:val="single" w:sz="2" w:space="0" w:color="auto"/>
              <w:bottom w:val="single" w:sz="2" w:space="0" w:color="auto"/>
              <w:right w:val="single" w:sz="2" w:space="0" w:color="auto"/>
            </w:tcBorders>
          </w:tcPr>
          <w:p w14:paraId="7ACC558B" w14:textId="77777777" w:rsidR="009F4766" w:rsidRPr="00DE12A3" w:rsidRDefault="009F4766" w:rsidP="00C917D6">
            <w:pPr>
              <w:pStyle w:val="NormalLeft"/>
            </w:pPr>
            <w:r w:rsidRPr="00DE12A3">
              <w:t>91</w:t>
            </w:r>
          </w:p>
        </w:tc>
        <w:tc>
          <w:tcPr>
            <w:tcW w:w="2551" w:type="dxa"/>
            <w:tcBorders>
              <w:top w:val="single" w:sz="2" w:space="0" w:color="auto"/>
              <w:left w:val="single" w:sz="2" w:space="0" w:color="auto"/>
              <w:bottom w:val="single" w:sz="2" w:space="0" w:color="auto"/>
              <w:right w:val="single" w:sz="2" w:space="0" w:color="auto"/>
            </w:tcBorders>
          </w:tcPr>
          <w:p w14:paraId="0BFAB926" w14:textId="77777777" w:rsidR="009F4766" w:rsidRPr="00DE12A3" w:rsidRDefault="009F4766" w:rsidP="00C917D6">
            <w:pPr>
              <w:pStyle w:val="NormalLeft"/>
            </w:pPr>
            <w:r w:rsidRPr="00DE12A3">
              <w:t>39</w:t>
            </w:r>
          </w:p>
        </w:tc>
      </w:tr>
      <w:tr w:rsidR="00DE12A3" w:rsidRPr="00DE12A3" w14:paraId="0D907CCA" w14:textId="77777777" w:rsidTr="009F4766">
        <w:tc>
          <w:tcPr>
            <w:tcW w:w="1182" w:type="dxa"/>
            <w:tcBorders>
              <w:top w:val="single" w:sz="2" w:space="0" w:color="auto"/>
              <w:left w:val="single" w:sz="2" w:space="0" w:color="auto"/>
              <w:bottom w:val="single" w:sz="2" w:space="0" w:color="auto"/>
              <w:right w:val="single" w:sz="2" w:space="0" w:color="auto"/>
            </w:tcBorders>
          </w:tcPr>
          <w:p w14:paraId="36094442" w14:textId="77777777" w:rsidR="009F4766" w:rsidRPr="00DE12A3" w:rsidRDefault="009F4766" w:rsidP="00C917D6">
            <w:pPr>
              <w:pStyle w:val="NormalLeft"/>
            </w:pPr>
            <w:r w:rsidRPr="00DE12A3">
              <w:t>561</w:t>
            </w:r>
          </w:p>
        </w:tc>
        <w:tc>
          <w:tcPr>
            <w:tcW w:w="2489" w:type="dxa"/>
            <w:tcBorders>
              <w:top w:val="single" w:sz="2" w:space="0" w:color="auto"/>
              <w:left w:val="single" w:sz="2" w:space="0" w:color="auto"/>
              <w:bottom w:val="single" w:sz="2" w:space="0" w:color="auto"/>
              <w:right w:val="single" w:sz="2" w:space="0" w:color="auto"/>
            </w:tcBorders>
          </w:tcPr>
          <w:p w14:paraId="1C8C7351" w14:textId="77777777" w:rsidR="009F4766" w:rsidRPr="00DE12A3" w:rsidRDefault="009F4766" w:rsidP="00C917D6">
            <w:pPr>
              <w:pStyle w:val="NormalLeft"/>
            </w:pPr>
            <w:r w:rsidRPr="00DE12A3">
              <w:t>72</w:t>
            </w:r>
          </w:p>
        </w:tc>
        <w:tc>
          <w:tcPr>
            <w:tcW w:w="2551" w:type="dxa"/>
            <w:tcBorders>
              <w:top w:val="single" w:sz="2" w:space="0" w:color="auto"/>
              <w:left w:val="single" w:sz="2" w:space="0" w:color="auto"/>
              <w:bottom w:val="single" w:sz="2" w:space="0" w:color="auto"/>
              <w:right w:val="single" w:sz="2" w:space="0" w:color="auto"/>
            </w:tcBorders>
          </w:tcPr>
          <w:p w14:paraId="5330AE03" w14:textId="77777777" w:rsidR="009F4766" w:rsidRPr="00DE12A3" w:rsidRDefault="009F4766" w:rsidP="00C917D6">
            <w:pPr>
              <w:pStyle w:val="NormalLeft"/>
            </w:pPr>
            <w:r w:rsidRPr="00DE12A3">
              <w:t>3</w:t>
            </w:r>
          </w:p>
        </w:tc>
      </w:tr>
      <w:tr w:rsidR="00DE12A3" w:rsidRPr="00DE12A3" w14:paraId="5D3AD89D" w14:textId="77777777" w:rsidTr="009F4766">
        <w:tc>
          <w:tcPr>
            <w:tcW w:w="1182" w:type="dxa"/>
            <w:tcBorders>
              <w:top w:val="single" w:sz="2" w:space="0" w:color="auto"/>
              <w:left w:val="single" w:sz="2" w:space="0" w:color="auto"/>
              <w:bottom w:val="single" w:sz="2" w:space="0" w:color="auto"/>
              <w:right w:val="single" w:sz="2" w:space="0" w:color="auto"/>
            </w:tcBorders>
          </w:tcPr>
          <w:p w14:paraId="7B1000BC" w14:textId="77777777" w:rsidR="009F4766" w:rsidRPr="00DE12A3" w:rsidRDefault="009F4766" w:rsidP="00C917D6">
            <w:pPr>
              <w:pStyle w:val="NormalLeft"/>
            </w:pPr>
            <w:r w:rsidRPr="00DE12A3">
              <w:t>562</w:t>
            </w:r>
          </w:p>
        </w:tc>
        <w:tc>
          <w:tcPr>
            <w:tcW w:w="2489" w:type="dxa"/>
            <w:tcBorders>
              <w:top w:val="single" w:sz="2" w:space="0" w:color="auto"/>
              <w:left w:val="single" w:sz="2" w:space="0" w:color="auto"/>
              <w:bottom w:val="single" w:sz="2" w:space="0" w:color="auto"/>
              <w:right w:val="single" w:sz="2" w:space="0" w:color="auto"/>
            </w:tcBorders>
          </w:tcPr>
          <w:p w14:paraId="2FF924B5" w14:textId="77777777" w:rsidR="009F4766" w:rsidRPr="00DE12A3" w:rsidRDefault="009F4766" w:rsidP="00C917D6">
            <w:pPr>
              <w:pStyle w:val="NormalLeft"/>
            </w:pPr>
            <w:r w:rsidRPr="00DE12A3">
              <w:t>43</w:t>
            </w:r>
          </w:p>
        </w:tc>
        <w:tc>
          <w:tcPr>
            <w:tcW w:w="2551" w:type="dxa"/>
            <w:tcBorders>
              <w:top w:val="single" w:sz="2" w:space="0" w:color="auto"/>
              <w:left w:val="single" w:sz="2" w:space="0" w:color="auto"/>
              <w:bottom w:val="single" w:sz="2" w:space="0" w:color="auto"/>
              <w:right w:val="single" w:sz="2" w:space="0" w:color="auto"/>
            </w:tcBorders>
          </w:tcPr>
          <w:p w14:paraId="040209B3" w14:textId="77777777" w:rsidR="009F4766" w:rsidRPr="00DE12A3" w:rsidRDefault="009F4766" w:rsidP="00C917D6">
            <w:pPr>
              <w:pStyle w:val="NormalLeft"/>
            </w:pPr>
            <w:r w:rsidRPr="00DE12A3">
              <w:t>25</w:t>
            </w:r>
          </w:p>
        </w:tc>
      </w:tr>
      <w:tr w:rsidR="00DE12A3" w:rsidRPr="00DE12A3" w14:paraId="35C89397" w14:textId="77777777" w:rsidTr="009F4766">
        <w:tc>
          <w:tcPr>
            <w:tcW w:w="1182" w:type="dxa"/>
            <w:tcBorders>
              <w:top w:val="single" w:sz="2" w:space="0" w:color="auto"/>
              <w:left w:val="single" w:sz="2" w:space="0" w:color="auto"/>
              <w:bottom w:val="single" w:sz="2" w:space="0" w:color="auto"/>
              <w:right w:val="single" w:sz="2" w:space="0" w:color="auto"/>
            </w:tcBorders>
          </w:tcPr>
          <w:p w14:paraId="3594EEE7" w14:textId="77777777" w:rsidR="009F4766" w:rsidRPr="00DE12A3" w:rsidRDefault="009F4766" w:rsidP="00C917D6">
            <w:pPr>
              <w:pStyle w:val="NormalLeft"/>
            </w:pPr>
            <w:r w:rsidRPr="00DE12A3">
              <w:t>563</w:t>
            </w:r>
          </w:p>
        </w:tc>
        <w:tc>
          <w:tcPr>
            <w:tcW w:w="2489" w:type="dxa"/>
            <w:tcBorders>
              <w:top w:val="single" w:sz="2" w:space="0" w:color="auto"/>
              <w:left w:val="single" w:sz="2" w:space="0" w:color="auto"/>
              <w:bottom w:val="single" w:sz="2" w:space="0" w:color="auto"/>
              <w:right w:val="single" w:sz="2" w:space="0" w:color="auto"/>
            </w:tcBorders>
          </w:tcPr>
          <w:p w14:paraId="2D9DF507" w14:textId="77777777" w:rsidR="009F4766" w:rsidRPr="00DE12A3" w:rsidRDefault="009F4766" w:rsidP="00C917D6">
            <w:pPr>
              <w:pStyle w:val="NormalLeft"/>
            </w:pPr>
            <w:r w:rsidRPr="00DE12A3">
              <w:t>30</w:t>
            </w:r>
          </w:p>
        </w:tc>
        <w:tc>
          <w:tcPr>
            <w:tcW w:w="2551" w:type="dxa"/>
            <w:tcBorders>
              <w:top w:val="single" w:sz="2" w:space="0" w:color="auto"/>
              <w:left w:val="single" w:sz="2" w:space="0" w:color="auto"/>
              <w:bottom w:val="single" w:sz="2" w:space="0" w:color="auto"/>
              <w:right w:val="single" w:sz="2" w:space="0" w:color="auto"/>
            </w:tcBorders>
          </w:tcPr>
          <w:p w14:paraId="1FCDD09B" w14:textId="77777777" w:rsidR="009F4766" w:rsidRPr="00DE12A3" w:rsidRDefault="009F4766" w:rsidP="00C917D6">
            <w:pPr>
              <w:pStyle w:val="NormalLeft"/>
            </w:pPr>
            <w:r w:rsidRPr="00DE12A3">
              <w:t>60</w:t>
            </w:r>
          </w:p>
        </w:tc>
      </w:tr>
      <w:tr w:rsidR="00DE12A3" w:rsidRPr="00DE12A3" w14:paraId="3213AF2D" w14:textId="77777777" w:rsidTr="009F4766">
        <w:tc>
          <w:tcPr>
            <w:tcW w:w="1182" w:type="dxa"/>
            <w:tcBorders>
              <w:top w:val="single" w:sz="2" w:space="0" w:color="auto"/>
              <w:left w:val="single" w:sz="2" w:space="0" w:color="auto"/>
              <w:bottom w:val="single" w:sz="2" w:space="0" w:color="auto"/>
              <w:right w:val="single" w:sz="2" w:space="0" w:color="auto"/>
            </w:tcBorders>
          </w:tcPr>
          <w:p w14:paraId="6AD2D40E" w14:textId="77777777" w:rsidR="009F4766" w:rsidRPr="00DE12A3" w:rsidRDefault="009F4766" w:rsidP="00C917D6">
            <w:pPr>
              <w:pStyle w:val="NormalLeft"/>
            </w:pPr>
            <w:r w:rsidRPr="00DE12A3">
              <w:t>564</w:t>
            </w:r>
          </w:p>
        </w:tc>
        <w:tc>
          <w:tcPr>
            <w:tcW w:w="2489" w:type="dxa"/>
            <w:tcBorders>
              <w:top w:val="single" w:sz="2" w:space="0" w:color="auto"/>
              <w:left w:val="single" w:sz="2" w:space="0" w:color="auto"/>
              <w:bottom w:val="single" w:sz="2" w:space="0" w:color="auto"/>
              <w:right w:val="single" w:sz="2" w:space="0" w:color="auto"/>
            </w:tcBorders>
          </w:tcPr>
          <w:p w14:paraId="351E12E0" w14:textId="77777777" w:rsidR="009F4766" w:rsidRPr="00DE12A3" w:rsidRDefault="009F4766" w:rsidP="00C917D6">
            <w:pPr>
              <w:pStyle w:val="NormalLeft"/>
            </w:pPr>
            <w:r w:rsidRPr="00DE12A3">
              <w:t>40</w:t>
            </w:r>
          </w:p>
        </w:tc>
        <w:tc>
          <w:tcPr>
            <w:tcW w:w="2551" w:type="dxa"/>
            <w:tcBorders>
              <w:top w:val="single" w:sz="2" w:space="0" w:color="auto"/>
              <w:left w:val="single" w:sz="2" w:space="0" w:color="auto"/>
              <w:bottom w:val="single" w:sz="2" w:space="0" w:color="auto"/>
              <w:right w:val="single" w:sz="2" w:space="0" w:color="auto"/>
            </w:tcBorders>
          </w:tcPr>
          <w:p w14:paraId="5DC6E388" w14:textId="77777777" w:rsidR="009F4766" w:rsidRPr="00DE12A3" w:rsidRDefault="009F4766" w:rsidP="00C917D6">
            <w:pPr>
              <w:pStyle w:val="NormalLeft"/>
            </w:pPr>
            <w:r w:rsidRPr="00DE12A3">
              <w:t>45</w:t>
            </w:r>
          </w:p>
        </w:tc>
      </w:tr>
      <w:tr w:rsidR="00DE12A3" w:rsidRPr="00DE12A3" w14:paraId="2EBDAF01" w14:textId="77777777" w:rsidTr="009F4766">
        <w:tc>
          <w:tcPr>
            <w:tcW w:w="1182" w:type="dxa"/>
            <w:tcBorders>
              <w:top w:val="single" w:sz="2" w:space="0" w:color="auto"/>
              <w:left w:val="single" w:sz="2" w:space="0" w:color="auto"/>
              <w:bottom w:val="single" w:sz="2" w:space="0" w:color="auto"/>
              <w:right w:val="single" w:sz="2" w:space="0" w:color="auto"/>
            </w:tcBorders>
          </w:tcPr>
          <w:p w14:paraId="383411DD" w14:textId="77777777" w:rsidR="009F4766" w:rsidRPr="00DE12A3" w:rsidRDefault="009F4766" w:rsidP="00C917D6">
            <w:pPr>
              <w:pStyle w:val="NormalLeft"/>
            </w:pPr>
            <w:r w:rsidRPr="00DE12A3">
              <w:t>565</w:t>
            </w:r>
          </w:p>
        </w:tc>
        <w:tc>
          <w:tcPr>
            <w:tcW w:w="2489" w:type="dxa"/>
            <w:tcBorders>
              <w:top w:val="single" w:sz="2" w:space="0" w:color="auto"/>
              <w:left w:val="single" w:sz="2" w:space="0" w:color="auto"/>
              <w:bottom w:val="single" w:sz="2" w:space="0" w:color="auto"/>
              <w:right w:val="single" w:sz="2" w:space="0" w:color="auto"/>
            </w:tcBorders>
          </w:tcPr>
          <w:p w14:paraId="409E0DD2" w14:textId="77777777" w:rsidR="009F4766" w:rsidRPr="00DE12A3" w:rsidRDefault="009F4766" w:rsidP="00C917D6">
            <w:pPr>
              <w:pStyle w:val="NormalLeft"/>
            </w:pPr>
            <w:r w:rsidRPr="00DE12A3">
              <w:t>37</w:t>
            </w:r>
          </w:p>
        </w:tc>
        <w:tc>
          <w:tcPr>
            <w:tcW w:w="2551" w:type="dxa"/>
            <w:tcBorders>
              <w:top w:val="single" w:sz="2" w:space="0" w:color="auto"/>
              <w:left w:val="single" w:sz="2" w:space="0" w:color="auto"/>
              <w:bottom w:val="single" w:sz="2" w:space="0" w:color="auto"/>
              <w:right w:val="single" w:sz="2" w:space="0" w:color="auto"/>
            </w:tcBorders>
          </w:tcPr>
          <w:p w14:paraId="0A851685" w14:textId="77777777" w:rsidR="009F4766" w:rsidRPr="00DE12A3" w:rsidRDefault="009F4766" w:rsidP="00C917D6">
            <w:pPr>
              <w:pStyle w:val="NormalLeft"/>
            </w:pPr>
            <w:r w:rsidRPr="00DE12A3">
              <w:t>32</w:t>
            </w:r>
          </w:p>
        </w:tc>
      </w:tr>
      <w:tr w:rsidR="00DE12A3" w:rsidRPr="00DE12A3" w14:paraId="3CD93856" w14:textId="77777777" w:rsidTr="009F4766">
        <w:tc>
          <w:tcPr>
            <w:tcW w:w="1182" w:type="dxa"/>
            <w:tcBorders>
              <w:top w:val="single" w:sz="2" w:space="0" w:color="auto"/>
              <w:left w:val="single" w:sz="2" w:space="0" w:color="auto"/>
              <w:bottom w:val="single" w:sz="2" w:space="0" w:color="auto"/>
              <w:right w:val="single" w:sz="2" w:space="0" w:color="auto"/>
            </w:tcBorders>
          </w:tcPr>
          <w:p w14:paraId="3DEF862A" w14:textId="77777777" w:rsidR="009F4766" w:rsidRPr="00DE12A3" w:rsidRDefault="009F4766" w:rsidP="00C917D6">
            <w:pPr>
              <w:pStyle w:val="NormalLeft"/>
            </w:pPr>
            <w:r w:rsidRPr="00DE12A3">
              <w:t>566</w:t>
            </w:r>
          </w:p>
        </w:tc>
        <w:tc>
          <w:tcPr>
            <w:tcW w:w="2489" w:type="dxa"/>
            <w:tcBorders>
              <w:top w:val="single" w:sz="2" w:space="0" w:color="auto"/>
              <w:left w:val="single" w:sz="2" w:space="0" w:color="auto"/>
              <w:bottom w:val="single" w:sz="2" w:space="0" w:color="auto"/>
              <w:right w:val="single" w:sz="2" w:space="0" w:color="auto"/>
            </w:tcBorders>
          </w:tcPr>
          <w:p w14:paraId="28FADA11" w14:textId="77777777" w:rsidR="009F4766" w:rsidRPr="00DE12A3" w:rsidRDefault="009F4766" w:rsidP="00C917D6">
            <w:pPr>
              <w:pStyle w:val="NormalLeft"/>
            </w:pPr>
            <w:r w:rsidRPr="00DE12A3">
              <w:t>37</w:t>
            </w:r>
          </w:p>
        </w:tc>
        <w:tc>
          <w:tcPr>
            <w:tcW w:w="2551" w:type="dxa"/>
            <w:tcBorders>
              <w:top w:val="single" w:sz="2" w:space="0" w:color="auto"/>
              <w:left w:val="single" w:sz="2" w:space="0" w:color="auto"/>
              <w:bottom w:val="single" w:sz="2" w:space="0" w:color="auto"/>
              <w:right w:val="single" w:sz="2" w:space="0" w:color="auto"/>
            </w:tcBorders>
          </w:tcPr>
          <w:p w14:paraId="3A8C8BBA" w14:textId="77777777" w:rsidR="009F4766" w:rsidRPr="00DE12A3" w:rsidRDefault="009F4766" w:rsidP="00C917D6">
            <w:pPr>
              <w:pStyle w:val="NormalLeft"/>
            </w:pPr>
            <w:r w:rsidRPr="00DE12A3">
              <w:t>32</w:t>
            </w:r>
          </w:p>
        </w:tc>
      </w:tr>
      <w:tr w:rsidR="00DE12A3" w:rsidRPr="00DE12A3" w14:paraId="465CC40D" w14:textId="77777777" w:rsidTr="009F4766">
        <w:tc>
          <w:tcPr>
            <w:tcW w:w="1182" w:type="dxa"/>
            <w:tcBorders>
              <w:top w:val="single" w:sz="2" w:space="0" w:color="auto"/>
              <w:left w:val="single" w:sz="2" w:space="0" w:color="auto"/>
              <w:bottom w:val="single" w:sz="2" w:space="0" w:color="auto"/>
              <w:right w:val="single" w:sz="2" w:space="0" w:color="auto"/>
            </w:tcBorders>
          </w:tcPr>
          <w:p w14:paraId="745305F1" w14:textId="77777777" w:rsidR="009F4766" w:rsidRPr="00DE12A3" w:rsidRDefault="009F4766" w:rsidP="00C917D6">
            <w:pPr>
              <w:pStyle w:val="NormalLeft"/>
            </w:pPr>
            <w:r w:rsidRPr="00DE12A3">
              <w:t>567</w:t>
            </w:r>
          </w:p>
        </w:tc>
        <w:tc>
          <w:tcPr>
            <w:tcW w:w="2489" w:type="dxa"/>
            <w:tcBorders>
              <w:top w:val="single" w:sz="2" w:space="0" w:color="auto"/>
              <w:left w:val="single" w:sz="2" w:space="0" w:color="auto"/>
              <w:bottom w:val="single" w:sz="2" w:space="0" w:color="auto"/>
              <w:right w:val="single" w:sz="2" w:space="0" w:color="auto"/>
            </w:tcBorders>
          </w:tcPr>
          <w:p w14:paraId="3017F26D" w14:textId="77777777" w:rsidR="009F4766" w:rsidRPr="00DE12A3" w:rsidRDefault="009F4766" w:rsidP="00C917D6">
            <w:pPr>
              <w:pStyle w:val="NormalLeft"/>
            </w:pPr>
            <w:r w:rsidRPr="00DE12A3">
              <w:t>43</w:t>
            </w:r>
          </w:p>
        </w:tc>
        <w:tc>
          <w:tcPr>
            <w:tcW w:w="2551" w:type="dxa"/>
            <w:tcBorders>
              <w:top w:val="single" w:sz="2" w:space="0" w:color="auto"/>
              <w:left w:val="single" w:sz="2" w:space="0" w:color="auto"/>
              <w:bottom w:val="single" w:sz="2" w:space="0" w:color="auto"/>
              <w:right w:val="single" w:sz="2" w:space="0" w:color="auto"/>
            </w:tcBorders>
          </w:tcPr>
          <w:p w14:paraId="21BC0D73" w14:textId="77777777" w:rsidR="009F4766" w:rsidRPr="00DE12A3" w:rsidRDefault="009F4766" w:rsidP="00C917D6">
            <w:pPr>
              <w:pStyle w:val="NormalLeft"/>
            </w:pPr>
            <w:r w:rsidRPr="00DE12A3">
              <w:t>70</w:t>
            </w:r>
          </w:p>
        </w:tc>
      </w:tr>
      <w:tr w:rsidR="00DE12A3" w:rsidRPr="00DE12A3" w14:paraId="3563F0AA" w14:textId="77777777" w:rsidTr="009F4766">
        <w:tc>
          <w:tcPr>
            <w:tcW w:w="1182" w:type="dxa"/>
            <w:tcBorders>
              <w:top w:val="single" w:sz="2" w:space="0" w:color="auto"/>
              <w:left w:val="single" w:sz="2" w:space="0" w:color="auto"/>
              <w:bottom w:val="single" w:sz="2" w:space="0" w:color="auto"/>
              <w:right w:val="single" w:sz="2" w:space="0" w:color="auto"/>
            </w:tcBorders>
          </w:tcPr>
          <w:p w14:paraId="6FDA074D" w14:textId="77777777" w:rsidR="009F4766" w:rsidRPr="00DE12A3" w:rsidRDefault="009F4766" w:rsidP="00C917D6">
            <w:pPr>
              <w:pStyle w:val="NormalLeft"/>
            </w:pPr>
            <w:r w:rsidRPr="00DE12A3">
              <w:t>568</w:t>
            </w:r>
          </w:p>
        </w:tc>
        <w:tc>
          <w:tcPr>
            <w:tcW w:w="2489" w:type="dxa"/>
            <w:tcBorders>
              <w:top w:val="single" w:sz="2" w:space="0" w:color="auto"/>
              <w:left w:val="single" w:sz="2" w:space="0" w:color="auto"/>
              <w:bottom w:val="single" w:sz="2" w:space="0" w:color="auto"/>
              <w:right w:val="single" w:sz="2" w:space="0" w:color="auto"/>
            </w:tcBorders>
          </w:tcPr>
          <w:p w14:paraId="1A571A59" w14:textId="77777777" w:rsidR="009F4766" w:rsidRPr="00DE12A3" w:rsidRDefault="009F4766" w:rsidP="00C917D6">
            <w:pPr>
              <w:pStyle w:val="NormalLeft"/>
            </w:pPr>
            <w:r w:rsidRPr="00DE12A3">
              <w:t>70</w:t>
            </w:r>
          </w:p>
        </w:tc>
        <w:tc>
          <w:tcPr>
            <w:tcW w:w="2551" w:type="dxa"/>
            <w:tcBorders>
              <w:top w:val="single" w:sz="2" w:space="0" w:color="auto"/>
              <w:left w:val="single" w:sz="2" w:space="0" w:color="auto"/>
              <w:bottom w:val="single" w:sz="2" w:space="0" w:color="auto"/>
              <w:right w:val="single" w:sz="2" w:space="0" w:color="auto"/>
            </w:tcBorders>
          </w:tcPr>
          <w:p w14:paraId="1A9A8819" w14:textId="77777777" w:rsidR="009F4766" w:rsidRPr="00DE12A3" w:rsidRDefault="009F4766" w:rsidP="00C917D6">
            <w:pPr>
              <w:pStyle w:val="NormalLeft"/>
            </w:pPr>
            <w:r w:rsidRPr="00DE12A3">
              <w:t>54</w:t>
            </w:r>
          </w:p>
        </w:tc>
      </w:tr>
      <w:tr w:rsidR="00DE12A3" w:rsidRPr="00DE12A3" w14:paraId="0881744D" w14:textId="77777777" w:rsidTr="009F4766">
        <w:tc>
          <w:tcPr>
            <w:tcW w:w="1182" w:type="dxa"/>
            <w:tcBorders>
              <w:top w:val="single" w:sz="2" w:space="0" w:color="auto"/>
              <w:left w:val="single" w:sz="2" w:space="0" w:color="auto"/>
              <w:bottom w:val="single" w:sz="2" w:space="0" w:color="auto"/>
              <w:right w:val="single" w:sz="2" w:space="0" w:color="auto"/>
            </w:tcBorders>
          </w:tcPr>
          <w:p w14:paraId="56146B78" w14:textId="77777777" w:rsidR="009F4766" w:rsidRPr="00DE12A3" w:rsidRDefault="009F4766" w:rsidP="00C917D6">
            <w:pPr>
              <w:pStyle w:val="NormalLeft"/>
            </w:pPr>
            <w:r w:rsidRPr="00DE12A3">
              <w:t>569</w:t>
            </w:r>
          </w:p>
        </w:tc>
        <w:tc>
          <w:tcPr>
            <w:tcW w:w="2489" w:type="dxa"/>
            <w:tcBorders>
              <w:top w:val="single" w:sz="2" w:space="0" w:color="auto"/>
              <w:left w:val="single" w:sz="2" w:space="0" w:color="auto"/>
              <w:bottom w:val="single" w:sz="2" w:space="0" w:color="auto"/>
              <w:right w:val="single" w:sz="2" w:space="0" w:color="auto"/>
            </w:tcBorders>
          </w:tcPr>
          <w:p w14:paraId="686BBFE5" w14:textId="77777777" w:rsidR="009F4766" w:rsidRPr="00DE12A3" w:rsidRDefault="009F4766" w:rsidP="00C917D6">
            <w:pPr>
              <w:pStyle w:val="NormalLeft"/>
            </w:pPr>
            <w:r w:rsidRPr="00DE12A3">
              <w:t>77</w:t>
            </w:r>
          </w:p>
        </w:tc>
        <w:tc>
          <w:tcPr>
            <w:tcW w:w="2551" w:type="dxa"/>
            <w:tcBorders>
              <w:top w:val="single" w:sz="2" w:space="0" w:color="auto"/>
              <w:left w:val="single" w:sz="2" w:space="0" w:color="auto"/>
              <w:bottom w:val="single" w:sz="2" w:space="0" w:color="auto"/>
              <w:right w:val="single" w:sz="2" w:space="0" w:color="auto"/>
            </w:tcBorders>
          </w:tcPr>
          <w:p w14:paraId="08ADA437" w14:textId="77777777" w:rsidR="009F4766" w:rsidRPr="00DE12A3" w:rsidRDefault="009F4766" w:rsidP="00C917D6">
            <w:pPr>
              <w:pStyle w:val="NormalLeft"/>
            </w:pPr>
            <w:r w:rsidRPr="00DE12A3">
              <w:t>47</w:t>
            </w:r>
          </w:p>
        </w:tc>
      </w:tr>
      <w:tr w:rsidR="00DE12A3" w:rsidRPr="00DE12A3" w14:paraId="2203AEB8" w14:textId="77777777" w:rsidTr="009F4766">
        <w:tc>
          <w:tcPr>
            <w:tcW w:w="1182" w:type="dxa"/>
            <w:tcBorders>
              <w:top w:val="single" w:sz="2" w:space="0" w:color="auto"/>
              <w:left w:val="single" w:sz="2" w:space="0" w:color="auto"/>
              <w:bottom w:val="single" w:sz="2" w:space="0" w:color="auto"/>
              <w:right w:val="single" w:sz="2" w:space="0" w:color="auto"/>
            </w:tcBorders>
          </w:tcPr>
          <w:p w14:paraId="695768CA" w14:textId="77777777" w:rsidR="009F4766" w:rsidRPr="00DE12A3" w:rsidRDefault="009F4766" w:rsidP="00C917D6">
            <w:pPr>
              <w:pStyle w:val="NormalLeft"/>
            </w:pPr>
            <w:r w:rsidRPr="00DE12A3">
              <w:t>570</w:t>
            </w:r>
          </w:p>
        </w:tc>
        <w:tc>
          <w:tcPr>
            <w:tcW w:w="2489" w:type="dxa"/>
            <w:tcBorders>
              <w:top w:val="single" w:sz="2" w:space="0" w:color="auto"/>
              <w:left w:val="single" w:sz="2" w:space="0" w:color="auto"/>
              <w:bottom w:val="single" w:sz="2" w:space="0" w:color="auto"/>
              <w:right w:val="single" w:sz="2" w:space="0" w:color="auto"/>
            </w:tcBorders>
          </w:tcPr>
          <w:p w14:paraId="595BFDC6" w14:textId="77777777" w:rsidR="009F4766" w:rsidRPr="00DE12A3" w:rsidRDefault="009F4766" w:rsidP="00C917D6">
            <w:pPr>
              <w:pStyle w:val="NormalLeft"/>
            </w:pPr>
            <w:r w:rsidRPr="00DE12A3">
              <w:t>79</w:t>
            </w:r>
          </w:p>
        </w:tc>
        <w:tc>
          <w:tcPr>
            <w:tcW w:w="2551" w:type="dxa"/>
            <w:tcBorders>
              <w:top w:val="single" w:sz="2" w:space="0" w:color="auto"/>
              <w:left w:val="single" w:sz="2" w:space="0" w:color="auto"/>
              <w:bottom w:val="single" w:sz="2" w:space="0" w:color="auto"/>
              <w:right w:val="single" w:sz="2" w:space="0" w:color="auto"/>
            </w:tcBorders>
          </w:tcPr>
          <w:p w14:paraId="39238074" w14:textId="77777777" w:rsidR="009F4766" w:rsidRPr="00DE12A3" w:rsidRDefault="009F4766" w:rsidP="00C917D6">
            <w:pPr>
              <w:pStyle w:val="NormalLeft"/>
            </w:pPr>
            <w:r w:rsidRPr="00DE12A3">
              <w:t>66</w:t>
            </w:r>
          </w:p>
        </w:tc>
      </w:tr>
      <w:tr w:rsidR="00DE12A3" w:rsidRPr="00DE12A3" w14:paraId="55ADF24E" w14:textId="77777777" w:rsidTr="009F4766">
        <w:tc>
          <w:tcPr>
            <w:tcW w:w="1182" w:type="dxa"/>
            <w:tcBorders>
              <w:top w:val="single" w:sz="2" w:space="0" w:color="auto"/>
              <w:left w:val="single" w:sz="2" w:space="0" w:color="auto"/>
              <w:bottom w:val="single" w:sz="2" w:space="0" w:color="auto"/>
              <w:right w:val="single" w:sz="2" w:space="0" w:color="auto"/>
            </w:tcBorders>
          </w:tcPr>
          <w:p w14:paraId="025294C0" w14:textId="77777777" w:rsidR="009F4766" w:rsidRPr="00DE12A3" w:rsidRDefault="009F4766" w:rsidP="00C917D6">
            <w:pPr>
              <w:pStyle w:val="NormalLeft"/>
            </w:pPr>
            <w:r w:rsidRPr="00DE12A3">
              <w:t>571</w:t>
            </w:r>
          </w:p>
        </w:tc>
        <w:tc>
          <w:tcPr>
            <w:tcW w:w="2489" w:type="dxa"/>
            <w:tcBorders>
              <w:top w:val="single" w:sz="2" w:space="0" w:color="auto"/>
              <w:left w:val="single" w:sz="2" w:space="0" w:color="auto"/>
              <w:bottom w:val="single" w:sz="2" w:space="0" w:color="auto"/>
              <w:right w:val="single" w:sz="2" w:space="0" w:color="auto"/>
            </w:tcBorders>
          </w:tcPr>
          <w:p w14:paraId="35213D4D" w14:textId="77777777" w:rsidR="009F4766" w:rsidRPr="00DE12A3" w:rsidRDefault="009F4766" w:rsidP="00C917D6">
            <w:pPr>
              <w:pStyle w:val="NormalLeft"/>
            </w:pPr>
            <w:r w:rsidRPr="00DE12A3">
              <w:t>85</w:t>
            </w:r>
          </w:p>
        </w:tc>
        <w:tc>
          <w:tcPr>
            <w:tcW w:w="2551" w:type="dxa"/>
            <w:tcBorders>
              <w:top w:val="single" w:sz="2" w:space="0" w:color="auto"/>
              <w:left w:val="single" w:sz="2" w:space="0" w:color="auto"/>
              <w:bottom w:val="single" w:sz="2" w:space="0" w:color="auto"/>
              <w:right w:val="single" w:sz="2" w:space="0" w:color="auto"/>
            </w:tcBorders>
          </w:tcPr>
          <w:p w14:paraId="57398B9D" w14:textId="77777777" w:rsidR="009F4766" w:rsidRPr="00DE12A3" w:rsidRDefault="009F4766" w:rsidP="00C917D6">
            <w:pPr>
              <w:pStyle w:val="NormalLeft"/>
            </w:pPr>
            <w:r w:rsidRPr="00DE12A3">
              <w:t>53</w:t>
            </w:r>
          </w:p>
        </w:tc>
      </w:tr>
      <w:tr w:rsidR="00DE12A3" w:rsidRPr="00DE12A3" w14:paraId="52EA2958" w14:textId="77777777" w:rsidTr="009F4766">
        <w:tc>
          <w:tcPr>
            <w:tcW w:w="1182" w:type="dxa"/>
            <w:tcBorders>
              <w:top w:val="single" w:sz="2" w:space="0" w:color="auto"/>
              <w:left w:val="single" w:sz="2" w:space="0" w:color="auto"/>
              <w:bottom w:val="single" w:sz="2" w:space="0" w:color="auto"/>
              <w:right w:val="single" w:sz="2" w:space="0" w:color="auto"/>
            </w:tcBorders>
          </w:tcPr>
          <w:p w14:paraId="0D35863C" w14:textId="77777777" w:rsidR="009F4766" w:rsidRPr="00DE12A3" w:rsidRDefault="009F4766" w:rsidP="00C917D6">
            <w:pPr>
              <w:pStyle w:val="NormalLeft"/>
            </w:pPr>
            <w:r w:rsidRPr="00DE12A3">
              <w:lastRenderedPageBreak/>
              <w:t>572</w:t>
            </w:r>
          </w:p>
        </w:tc>
        <w:tc>
          <w:tcPr>
            <w:tcW w:w="2489" w:type="dxa"/>
            <w:tcBorders>
              <w:top w:val="single" w:sz="2" w:space="0" w:color="auto"/>
              <w:left w:val="single" w:sz="2" w:space="0" w:color="auto"/>
              <w:bottom w:val="single" w:sz="2" w:space="0" w:color="auto"/>
              <w:right w:val="single" w:sz="2" w:space="0" w:color="auto"/>
            </w:tcBorders>
          </w:tcPr>
          <w:p w14:paraId="596B74DA" w14:textId="77777777" w:rsidR="009F4766" w:rsidRPr="00DE12A3" w:rsidRDefault="009F4766" w:rsidP="00C917D6">
            <w:pPr>
              <w:pStyle w:val="NormalLeft"/>
            </w:pPr>
            <w:r w:rsidRPr="00DE12A3">
              <w:t>83</w:t>
            </w:r>
          </w:p>
        </w:tc>
        <w:tc>
          <w:tcPr>
            <w:tcW w:w="2551" w:type="dxa"/>
            <w:tcBorders>
              <w:top w:val="single" w:sz="2" w:space="0" w:color="auto"/>
              <w:left w:val="single" w:sz="2" w:space="0" w:color="auto"/>
              <w:bottom w:val="single" w:sz="2" w:space="0" w:color="auto"/>
              <w:right w:val="single" w:sz="2" w:space="0" w:color="auto"/>
            </w:tcBorders>
          </w:tcPr>
          <w:p w14:paraId="0A6EACDC" w14:textId="77777777" w:rsidR="009F4766" w:rsidRPr="00DE12A3" w:rsidRDefault="009F4766" w:rsidP="00C917D6">
            <w:pPr>
              <w:pStyle w:val="NormalLeft"/>
            </w:pPr>
            <w:r w:rsidRPr="00DE12A3">
              <w:t>57</w:t>
            </w:r>
          </w:p>
        </w:tc>
      </w:tr>
      <w:tr w:rsidR="00DE12A3" w:rsidRPr="00DE12A3" w14:paraId="6371426F" w14:textId="77777777" w:rsidTr="009F4766">
        <w:tc>
          <w:tcPr>
            <w:tcW w:w="1182" w:type="dxa"/>
            <w:tcBorders>
              <w:top w:val="single" w:sz="2" w:space="0" w:color="auto"/>
              <w:left w:val="single" w:sz="2" w:space="0" w:color="auto"/>
              <w:bottom w:val="single" w:sz="2" w:space="0" w:color="auto"/>
              <w:right w:val="single" w:sz="2" w:space="0" w:color="auto"/>
            </w:tcBorders>
          </w:tcPr>
          <w:p w14:paraId="7C41025C" w14:textId="77777777" w:rsidR="009F4766" w:rsidRPr="00DE12A3" w:rsidRDefault="009F4766" w:rsidP="00C917D6">
            <w:pPr>
              <w:pStyle w:val="NormalLeft"/>
            </w:pPr>
            <w:r w:rsidRPr="00DE12A3">
              <w:t>573</w:t>
            </w:r>
          </w:p>
        </w:tc>
        <w:tc>
          <w:tcPr>
            <w:tcW w:w="2489" w:type="dxa"/>
            <w:tcBorders>
              <w:top w:val="single" w:sz="2" w:space="0" w:color="auto"/>
              <w:left w:val="single" w:sz="2" w:space="0" w:color="auto"/>
              <w:bottom w:val="single" w:sz="2" w:space="0" w:color="auto"/>
              <w:right w:val="single" w:sz="2" w:space="0" w:color="auto"/>
            </w:tcBorders>
          </w:tcPr>
          <w:p w14:paraId="65048B1D" w14:textId="77777777" w:rsidR="009F4766" w:rsidRPr="00DE12A3" w:rsidRDefault="009F4766" w:rsidP="00C917D6">
            <w:pPr>
              <w:pStyle w:val="NormalLeft"/>
            </w:pPr>
            <w:r w:rsidRPr="00DE12A3">
              <w:t>86</w:t>
            </w:r>
          </w:p>
        </w:tc>
        <w:tc>
          <w:tcPr>
            <w:tcW w:w="2551" w:type="dxa"/>
            <w:tcBorders>
              <w:top w:val="single" w:sz="2" w:space="0" w:color="auto"/>
              <w:left w:val="single" w:sz="2" w:space="0" w:color="auto"/>
              <w:bottom w:val="single" w:sz="2" w:space="0" w:color="auto"/>
              <w:right w:val="single" w:sz="2" w:space="0" w:color="auto"/>
            </w:tcBorders>
          </w:tcPr>
          <w:p w14:paraId="7A59D5F0" w14:textId="77777777" w:rsidR="009F4766" w:rsidRPr="00DE12A3" w:rsidRDefault="009F4766" w:rsidP="00C917D6">
            <w:pPr>
              <w:pStyle w:val="NormalLeft"/>
            </w:pPr>
            <w:r w:rsidRPr="00DE12A3">
              <w:t>52</w:t>
            </w:r>
          </w:p>
        </w:tc>
      </w:tr>
      <w:tr w:rsidR="00DE12A3" w:rsidRPr="00DE12A3" w14:paraId="796FD5A0" w14:textId="77777777" w:rsidTr="009F4766">
        <w:tc>
          <w:tcPr>
            <w:tcW w:w="1182" w:type="dxa"/>
            <w:tcBorders>
              <w:top w:val="single" w:sz="2" w:space="0" w:color="auto"/>
              <w:left w:val="single" w:sz="2" w:space="0" w:color="auto"/>
              <w:bottom w:val="single" w:sz="2" w:space="0" w:color="auto"/>
              <w:right w:val="single" w:sz="2" w:space="0" w:color="auto"/>
            </w:tcBorders>
          </w:tcPr>
          <w:p w14:paraId="0B0E8C0C" w14:textId="77777777" w:rsidR="009F4766" w:rsidRPr="00DE12A3" w:rsidRDefault="009F4766" w:rsidP="00C917D6">
            <w:pPr>
              <w:pStyle w:val="NormalLeft"/>
            </w:pPr>
            <w:r w:rsidRPr="00DE12A3">
              <w:t>574</w:t>
            </w:r>
          </w:p>
        </w:tc>
        <w:tc>
          <w:tcPr>
            <w:tcW w:w="2489" w:type="dxa"/>
            <w:tcBorders>
              <w:top w:val="single" w:sz="2" w:space="0" w:color="auto"/>
              <w:left w:val="single" w:sz="2" w:space="0" w:color="auto"/>
              <w:bottom w:val="single" w:sz="2" w:space="0" w:color="auto"/>
              <w:right w:val="single" w:sz="2" w:space="0" w:color="auto"/>
            </w:tcBorders>
          </w:tcPr>
          <w:p w14:paraId="481F552B" w14:textId="77777777" w:rsidR="009F4766" w:rsidRPr="00DE12A3" w:rsidRDefault="009F4766" w:rsidP="00C917D6">
            <w:pPr>
              <w:pStyle w:val="NormalLeft"/>
            </w:pPr>
            <w:r w:rsidRPr="00DE12A3">
              <w:t>85</w:t>
            </w:r>
          </w:p>
        </w:tc>
        <w:tc>
          <w:tcPr>
            <w:tcW w:w="2551" w:type="dxa"/>
            <w:tcBorders>
              <w:top w:val="single" w:sz="2" w:space="0" w:color="auto"/>
              <w:left w:val="single" w:sz="2" w:space="0" w:color="auto"/>
              <w:bottom w:val="single" w:sz="2" w:space="0" w:color="auto"/>
              <w:right w:val="single" w:sz="2" w:space="0" w:color="auto"/>
            </w:tcBorders>
          </w:tcPr>
          <w:p w14:paraId="75131DEC" w14:textId="77777777" w:rsidR="009F4766" w:rsidRPr="00DE12A3" w:rsidRDefault="009F4766" w:rsidP="00C917D6">
            <w:pPr>
              <w:pStyle w:val="NormalLeft"/>
            </w:pPr>
            <w:r w:rsidRPr="00DE12A3">
              <w:t>51</w:t>
            </w:r>
          </w:p>
        </w:tc>
      </w:tr>
      <w:tr w:rsidR="00DE12A3" w:rsidRPr="00DE12A3" w14:paraId="13BE7C4A" w14:textId="77777777" w:rsidTr="009F4766">
        <w:tc>
          <w:tcPr>
            <w:tcW w:w="1182" w:type="dxa"/>
            <w:tcBorders>
              <w:top w:val="single" w:sz="2" w:space="0" w:color="auto"/>
              <w:left w:val="single" w:sz="2" w:space="0" w:color="auto"/>
              <w:bottom w:val="single" w:sz="2" w:space="0" w:color="auto"/>
              <w:right w:val="single" w:sz="2" w:space="0" w:color="auto"/>
            </w:tcBorders>
          </w:tcPr>
          <w:p w14:paraId="526354BC" w14:textId="77777777" w:rsidR="009F4766" w:rsidRPr="00DE12A3" w:rsidRDefault="009F4766" w:rsidP="00C917D6">
            <w:pPr>
              <w:pStyle w:val="NormalLeft"/>
            </w:pPr>
            <w:r w:rsidRPr="00DE12A3">
              <w:t>575</w:t>
            </w:r>
          </w:p>
        </w:tc>
        <w:tc>
          <w:tcPr>
            <w:tcW w:w="2489" w:type="dxa"/>
            <w:tcBorders>
              <w:top w:val="single" w:sz="2" w:space="0" w:color="auto"/>
              <w:left w:val="single" w:sz="2" w:space="0" w:color="auto"/>
              <w:bottom w:val="single" w:sz="2" w:space="0" w:color="auto"/>
              <w:right w:val="single" w:sz="2" w:space="0" w:color="auto"/>
            </w:tcBorders>
          </w:tcPr>
          <w:p w14:paraId="47B682A5" w14:textId="77777777" w:rsidR="009F4766" w:rsidRPr="00DE12A3" w:rsidRDefault="009F4766" w:rsidP="00C917D6">
            <w:pPr>
              <w:pStyle w:val="NormalLeft"/>
            </w:pPr>
            <w:r w:rsidRPr="00DE12A3">
              <w:t>70</w:t>
            </w:r>
          </w:p>
        </w:tc>
        <w:tc>
          <w:tcPr>
            <w:tcW w:w="2551" w:type="dxa"/>
            <w:tcBorders>
              <w:top w:val="single" w:sz="2" w:space="0" w:color="auto"/>
              <w:left w:val="single" w:sz="2" w:space="0" w:color="auto"/>
              <w:bottom w:val="single" w:sz="2" w:space="0" w:color="auto"/>
              <w:right w:val="single" w:sz="2" w:space="0" w:color="auto"/>
            </w:tcBorders>
          </w:tcPr>
          <w:p w14:paraId="3FBEBF52" w14:textId="77777777" w:rsidR="009F4766" w:rsidRPr="00DE12A3" w:rsidRDefault="009F4766" w:rsidP="00C917D6">
            <w:pPr>
              <w:pStyle w:val="NormalLeft"/>
            </w:pPr>
            <w:r w:rsidRPr="00DE12A3">
              <w:t>39</w:t>
            </w:r>
          </w:p>
        </w:tc>
      </w:tr>
      <w:tr w:rsidR="00DE12A3" w:rsidRPr="00DE12A3" w14:paraId="10F6E639" w14:textId="77777777" w:rsidTr="009F4766">
        <w:tc>
          <w:tcPr>
            <w:tcW w:w="1182" w:type="dxa"/>
            <w:tcBorders>
              <w:top w:val="single" w:sz="2" w:space="0" w:color="auto"/>
              <w:left w:val="single" w:sz="2" w:space="0" w:color="auto"/>
              <w:bottom w:val="single" w:sz="2" w:space="0" w:color="auto"/>
              <w:right w:val="single" w:sz="2" w:space="0" w:color="auto"/>
            </w:tcBorders>
          </w:tcPr>
          <w:p w14:paraId="0DB2F203" w14:textId="77777777" w:rsidR="009F4766" w:rsidRPr="00DE12A3" w:rsidRDefault="009F4766" w:rsidP="00C917D6">
            <w:pPr>
              <w:pStyle w:val="NormalLeft"/>
            </w:pPr>
            <w:r w:rsidRPr="00DE12A3">
              <w:t>576</w:t>
            </w:r>
          </w:p>
        </w:tc>
        <w:tc>
          <w:tcPr>
            <w:tcW w:w="2489" w:type="dxa"/>
            <w:tcBorders>
              <w:top w:val="single" w:sz="2" w:space="0" w:color="auto"/>
              <w:left w:val="single" w:sz="2" w:space="0" w:color="auto"/>
              <w:bottom w:val="single" w:sz="2" w:space="0" w:color="auto"/>
              <w:right w:val="single" w:sz="2" w:space="0" w:color="auto"/>
            </w:tcBorders>
          </w:tcPr>
          <w:p w14:paraId="24FB0960" w14:textId="77777777" w:rsidR="009F4766" w:rsidRPr="00DE12A3" w:rsidRDefault="009F4766" w:rsidP="00C917D6">
            <w:pPr>
              <w:pStyle w:val="NormalLeft"/>
            </w:pPr>
            <w:r w:rsidRPr="00DE12A3">
              <w:t>50</w:t>
            </w:r>
          </w:p>
        </w:tc>
        <w:tc>
          <w:tcPr>
            <w:tcW w:w="2551" w:type="dxa"/>
            <w:tcBorders>
              <w:top w:val="single" w:sz="2" w:space="0" w:color="auto"/>
              <w:left w:val="single" w:sz="2" w:space="0" w:color="auto"/>
              <w:bottom w:val="single" w:sz="2" w:space="0" w:color="auto"/>
              <w:right w:val="single" w:sz="2" w:space="0" w:color="auto"/>
            </w:tcBorders>
          </w:tcPr>
          <w:p w14:paraId="4DA368C3" w14:textId="77777777" w:rsidR="009F4766" w:rsidRPr="00DE12A3" w:rsidRDefault="009F4766" w:rsidP="00C917D6">
            <w:pPr>
              <w:pStyle w:val="NormalLeft"/>
            </w:pPr>
            <w:r w:rsidRPr="00DE12A3">
              <w:t>5</w:t>
            </w:r>
          </w:p>
        </w:tc>
      </w:tr>
      <w:tr w:rsidR="00DE12A3" w:rsidRPr="00DE12A3" w14:paraId="455D4773" w14:textId="77777777" w:rsidTr="009F4766">
        <w:tc>
          <w:tcPr>
            <w:tcW w:w="1182" w:type="dxa"/>
            <w:tcBorders>
              <w:top w:val="single" w:sz="2" w:space="0" w:color="auto"/>
              <w:left w:val="single" w:sz="2" w:space="0" w:color="auto"/>
              <w:bottom w:val="single" w:sz="2" w:space="0" w:color="auto"/>
              <w:right w:val="single" w:sz="2" w:space="0" w:color="auto"/>
            </w:tcBorders>
          </w:tcPr>
          <w:p w14:paraId="6AEAC2F7" w14:textId="77777777" w:rsidR="009F4766" w:rsidRPr="00DE12A3" w:rsidRDefault="009F4766" w:rsidP="00C917D6">
            <w:pPr>
              <w:pStyle w:val="NormalLeft"/>
            </w:pPr>
            <w:r w:rsidRPr="00DE12A3">
              <w:t>577</w:t>
            </w:r>
          </w:p>
        </w:tc>
        <w:tc>
          <w:tcPr>
            <w:tcW w:w="2489" w:type="dxa"/>
            <w:tcBorders>
              <w:top w:val="single" w:sz="2" w:space="0" w:color="auto"/>
              <w:left w:val="single" w:sz="2" w:space="0" w:color="auto"/>
              <w:bottom w:val="single" w:sz="2" w:space="0" w:color="auto"/>
              <w:right w:val="single" w:sz="2" w:space="0" w:color="auto"/>
            </w:tcBorders>
          </w:tcPr>
          <w:p w14:paraId="4B4668A7" w14:textId="77777777" w:rsidR="009F4766" w:rsidRPr="00DE12A3" w:rsidRDefault="009F4766" w:rsidP="00C917D6">
            <w:pPr>
              <w:pStyle w:val="NormalLeft"/>
            </w:pPr>
            <w:r w:rsidRPr="00DE12A3">
              <w:t>38</w:t>
            </w:r>
          </w:p>
        </w:tc>
        <w:tc>
          <w:tcPr>
            <w:tcW w:w="2551" w:type="dxa"/>
            <w:tcBorders>
              <w:top w:val="single" w:sz="2" w:space="0" w:color="auto"/>
              <w:left w:val="single" w:sz="2" w:space="0" w:color="auto"/>
              <w:bottom w:val="single" w:sz="2" w:space="0" w:color="auto"/>
              <w:right w:val="single" w:sz="2" w:space="0" w:color="auto"/>
            </w:tcBorders>
          </w:tcPr>
          <w:p w14:paraId="6729B04C" w14:textId="77777777" w:rsidR="009F4766" w:rsidRPr="00DE12A3" w:rsidRDefault="009F4766" w:rsidP="00C917D6">
            <w:pPr>
              <w:pStyle w:val="NormalLeft"/>
            </w:pPr>
            <w:r w:rsidRPr="00DE12A3">
              <w:t>36</w:t>
            </w:r>
          </w:p>
        </w:tc>
      </w:tr>
      <w:tr w:rsidR="00DE12A3" w:rsidRPr="00DE12A3" w14:paraId="6A939BA0" w14:textId="77777777" w:rsidTr="009F4766">
        <w:tc>
          <w:tcPr>
            <w:tcW w:w="1182" w:type="dxa"/>
            <w:tcBorders>
              <w:top w:val="single" w:sz="2" w:space="0" w:color="auto"/>
              <w:left w:val="single" w:sz="2" w:space="0" w:color="auto"/>
              <w:bottom w:val="single" w:sz="2" w:space="0" w:color="auto"/>
              <w:right w:val="single" w:sz="2" w:space="0" w:color="auto"/>
            </w:tcBorders>
          </w:tcPr>
          <w:p w14:paraId="268AD993" w14:textId="77777777" w:rsidR="009F4766" w:rsidRPr="00DE12A3" w:rsidRDefault="009F4766" w:rsidP="00C917D6">
            <w:pPr>
              <w:pStyle w:val="NormalLeft"/>
            </w:pPr>
            <w:r w:rsidRPr="00DE12A3">
              <w:t>578</w:t>
            </w:r>
          </w:p>
        </w:tc>
        <w:tc>
          <w:tcPr>
            <w:tcW w:w="2489" w:type="dxa"/>
            <w:tcBorders>
              <w:top w:val="single" w:sz="2" w:space="0" w:color="auto"/>
              <w:left w:val="single" w:sz="2" w:space="0" w:color="auto"/>
              <w:bottom w:val="single" w:sz="2" w:space="0" w:color="auto"/>
              <w:right w:val="single" w:sz="2" w:space="0" w:color="auto"/>
            </w:tcBorders>
          </w:tcPr>
          <w:p w14:paraId="37C9AB3A" w14:textId="77777777" w:rsidR="009F4766" w:rsidRPr="00DE12A3" w:rsidRDefault="009F4766" w:rsidP="00C917D6">
            <w:pPr>
              <w:pStyle w:val="NormalLeft"/>
            </w:pPr>
            <w:r w:rsidRPr="00DE12A3">
              <w:t>30</w:t>
            </w:r>
          </w:p>
        </w:tc>
        <w:tc>
          <w:tcPr>
            <w:tcW w:w="2551" w:type="dxa"/>
            <w:tcBorders>
              <w:top w:val="single" w:sz="2" w:space="0" w:color="auto"/>
              <w:left w:val="single" w:sz="2" w:space="0" w:color="auto"/>
              <w:bottom w:val="single" w:sz="2" w:space="0" w:color="auto"/>
              <w:right w:val="single" w:sz="2" w:space="0" w:color="auto"/>
            </w:tcBorders>
          </w:tcPr>
          <w:p w14:paraId="4EBAAD35" w14:textId="77777777" w:rsidR="009F4766" w:rsidRPr="00DE12A3" w:rsidRDefault="009F4766" w:rsidP="00C917D6">
            <w:pPr>
              <w:pStyle w:val="NormalLeft"/>
            </w:pPr>
            <w:r w:rsidRPr="00DE12A3">
              <w:t>71</w:t>
            </w:r>
          </w:p>
        </w:tc>
      </w:tr>
      <w:tr w:rsidR="00DE12A3" w:rsidRPr="00DE12A3" w14:paraId="6BE3DD98" w14:textId="77777777" w:rsidTr="009F4766">
        <w:tc>
          <w:tcPr>
            <w:tcW w:w="1182" w:type="dxa"/>
            <w:tcBorders>
              <w:top w:val="single" w:sz="2" w:space="0" w:color="auto"/>
              <w:left w:val="single" w:sz="2" w:space="0" w:color="auto"/>
              <w:bottom w:val="single" w:sz="2" w:space="0" w:color="auto"/>
              <w:right w:val="single" w:sz="2" w:space="0" w:color="auto"/>
            </w:tcBorders>
          </w:tcPr>
          <w:p w14:paraId="3BC62D01" w14:textId="77777777" w:rsidR="009F4766" w:rsidRPr="00DE12A3" w:rsidRDefault="009F4766" w:rsidP="00C917D6">
            <w:pPr>
              <w:pStyle w:val="NormalLeft"/>
            </w:pPr>
            <w:r w:rsidRPr="00DE12A3">
              <w:t>579</w:t>
            </w:r>
          </w:p>
        </w:tc>
        <w:tc>
          <w:tcPr>
            <w:tcW w:w="2489" w:type="dxa"/>
            <w:tcBorders>
              <w:top w:val="single" w:sz="2" w:space="0" w:color="auto"/>
              <w:left w:val="single" w:sz="2" w:space="0" w:color="auto"/>
              <w:bottom w:val="single" w:sz="2" w:space="0" w:color="auto"/>
              <w:right w:val="single" w:sz="2" w:space="0" w:color="auto"/>
            </w:tcBorders>
          </w:tcPr>
          <w:p w14:paraId="3CB95E13" w14:textId="77777777" w:rsidR="009F4766" w:rsidRPr="00DE12A3" w:rsidRDefault="009F4766" w:rsidP="00C917D6">
            <w:pPr>
              <w:pStyle w:val="NormalLeft"/>
            </w:pPr>
            <w:r w:rsidRPr="00DE12A3">
              <w:t>75</w:t>
            </w:r>
          </w:p>
        </w:tc>
        <w:tc>
          <w:tcPr>
            <w:tcW w:w="2551" w:type="dxa"/>
            <w:tcBorders>
              <w:top w:val="single" w:sz="2" w:space="0" w:color="auto"/>
              <w:left w:val="single" w:sz="2" w:space="0" w:color="auto"/>
              <w:bottom w:val="single" w:sz="2" w:space="0" w:color="auto"/>
              <w:right w:val="single" w:sz="2" w:space="0" w:color="auto"/>
            </w:tcBorders>
          </w:tcPr>
          <w:p w14:paraId="2E5AC928" w14:textId="77777777" w:rsidR="009F4766" w:rsidRPr="00DE12A3" w:rsidRDefault="009F4766" w:rsidP="00C917D6">
            <w:pPr>
              <w:pStyle w:val="NormalLeft"/>
            </w:pPr>
            <w:r w:rsidRPr="00DE12A3">
              <w:t>53</w:t>
            </w:r>
          </w:p>
        </w:tc>
      </w:tr>
      <w:tr w:rsidR="00DE12A3" w:rsidRPr="00DE12A3" w14:paraId="28F63241" w14:textId="77777777" w:rsidTr="009F4766">
        <w:tc>
          <w:tcPr>
            <w:tcW w:w="1182" w:type="dxa"/>
            <w:tcBorders>
              <w:top w:val="single" w:sz="2" w:space="0" w:color="auto"/>
              <w:left w:val="single" w:sz="2" w:space="0" w:color="auto"/>
              <w:bottom w:val="single" w:sz="2" w:space="0" w:color="auto"/>
              <w:right w:val="single" w:sz="2" w:space="0" w:color="auto"/>
            </w:tcBorders>
          </w:tcPr>
          <w:p w14:paraId="1FB8F6CC" w14:textId="77777777" w:rsidR="009F4766" w:rsidRPr="00DE12A3" w:rsidRDefault="009F4766" w:rsidP="00C917D6">
            <w:pPr>
              <w:pStyle w:val="NormalLeft"/>
            </w:pPr>
            <w:r w:rsidRPr="00DE12A3">
              <w:t>580</w:t>
            </w:r>
          </w:p>
        </w:tc>
        <w:tc>
          <w:tcPr>
            <w:tcW w:w="2489" w:type="dxa"/>
            <w:tcBorders>
              <w:top w:val="single" w:sz="2" w:space="0" w:color="auto"/>
              <w:left w:val="single" w:sz="2" w:space="0" w:color="auto"/>
              <w:bottom w:val="single" w:sz="2" w:space="0" w:color="auto"/>
              <w:right w:val="single" w:sz="2" w:space="0" w:color="auto"/>
            </w:tcBorders>
          </w:tcPr>
          <w:p w14:paraId="15E0BD37" w14:textId="77777777" w:rsidR="009F4766" w:rsidRPr="00DE12A3" w:rsidRDefault="009F4766" w:rsidP="00C917D6">
            <w:pPr>
              <w:pStyle w:val="NormalLeft"/>
            </w:pPr>
            <w:r w:rsidRPr="00DE12A3">
              <w:t>84</w:t>
            </w:r>
          </w:p>
        </w:tc>
        <w:tc>
          <w:tcPr>
            <w:tcW w:w="2551" w:type="dxa"/>
            <w:tcBorders>
              <w:top w:val="single" w:sz="2" w:space="0" w:color="auto"/>
              <w:left w:val="single" w:sz="2" w:space="0" w:color="auto"/>
              <w:bottom w:val="single" w:sz="2" w:space="0" w:color="auto"/>
              <w:right w:val="single" w:sz="2" w:space="0" w:color="auto"/>
            </w:tcBorders>
          </w:tcPr>
          <w:p w14:paraId="69C796EF" w14:textId="77777777" w:rsidR="009F4766" w:rsidRPr="00DE12A3" w:rsidRDefault="009F4766" w:rsidP="00C917D6">
            <w:pPr>
              <w:pStyle w:val="NormalLeft"/>
            </w:pPr>
            <w:r w:rsidRPr="00DE12A3">
              <w:t>40</w:t>
            </w:r>
          </w:p>
        </w:tc>
      </w:tr>
      <w:tr w:rsidR="00DE12A3" w:rsidRPr="00DE12A3" w14:paraId="465396B8" w14:textId="77777777" w:rsidTr="009F4766">
        <w:tc>
          <w:tcPr>
            <w:tcW w:w="1182" w:type="dxa"/>
            <w:tcBorders>
              <w:top w:val="single" w:sz="2" w:space="0" w:color="auto"/>
              <w:left w:val="single" w:sz="2" w:space="0" w:color="auto"/>
              <w:bottom w:val="single" w:sz="2" w:space="0" w:color="auto"/>
              <w:right w:val="single" w:sz="2" w:space="0" w:color="auto"/>
            </w:tcBorders>
          </w:tcPr>
          <w:p w14:paraId="07F2C2E1" w14:textId="77777777" w:rsidR="009F4766" w:rsidRPr="00DE12A3" w:rsidRDefault="009F4766" w:rsidP="00C917D6">
            <w:pPr>
              <w:pStyle w:val="NormalLeft"/>
            </w:pPr>
            <w:r w:rsidRPr="00DE12A3">
              <w:t>581</w:t>
            </w:r>
          </w:p>
        </w:tc>
        <w:tc>
          <w:tcPr>
            <w:tcW w:w="2489" w:type="dxa"/>
            <w:tcBorders>
              <w:top w:val="single" w:sz="2" w:space="0" w:color="auto"/>
              <w:left w:val="single" w:sz="2" w:space="0" w:color="auto"/>
              <w:bottom w:val="single" w:sz="2" w:space="0" w:color="auto"/>
              <w:right w:val="single" w:sz="2" w:space="0" w:color="auto"/>
            </w:tcBorders>
          </w:tcPr>
          <w:p w14:paraId="072AEE5C" w14:textId="77777777" w:rsidR="009F4766" w:rsidRPr="00DE12A3" w:rsidRDefault="009F4766" w:rsidP="00C917D6">
            <w:pPr>
              <w:pStyle w:val="NormalLeft"/>
            </w:pPr>
            <w:r w:rsidRPr="00DE12A3">
              <w:t>85</w:t>
            </w:r>
          </w:p>
        </w:tc>
        <w:tc>
          <w:tcPr>
            <w:tcW w:w="2551" w:type="dxa"/>
            <w:tcBorders>
              <w:top w:val="single" w:sz="2" w:space="0" w:color="auto"/>
              <w:left w:val="single" w:sz="2" w:space="0" w:color="auto"/>
              <w:bottom w:val="single" w:sz="2" w:space="0" w:color="auto"/>
              <w:right w:val="single" w:sz="2" w:space="0" w:color="auto"/>
            </w:tcBorders>
          </w:tcPr>
          <w:p w14:paraId="1506F0E1" w14:textId="77777777" w:rsidR="009F4766" w:rsidRPr="00DE12A3" w:rsidRDefault="009F4766" w:rsidP="00C917D6">
            <w:pPr>
              <w:pStyle w:val="NormalLeft"/>
            </w:pPr>
            <w:r w:rsidRPr="00DE12A3">
              <w:t>42</w:t>
            </w:r>
          </w:p>
        </w:tc>
      </w:tr>
      <w:tr w:rsidR="00DE12A3" w:rsidRPr="00DE12A3" w14:paraId="4AB6AD76" w14:textId="77777777" w:rsidTr="009F4766">
        <w:tc>
          <w:tcPr>
            <w:tcW w:w="1182" w:type="dxa"/>
            <w:tcBorders>
              <w:top w:val="single" w:sz="2" w:space="0" w:color="auto"/>
              <w:left w:val="single" w:sz="2" w:space="0" w:color="auto"/>
              <w:bottom w:val="single" w:sz="2" w:space="0" w:color="auto"/>
              <w:right w:val="single" w:sz="2" w:space="0" w:color="auto"/>
            </w:tcBorders>
          </w:tcPr>
          <w:p w14:paraId="0FC9E66A" w14:textId="77777777" w:rsidR="009F4766" w:rsidRPr="00DE12A3" w:rsidRDefault="009F4766" w:rsidP="00C917D6">
            <w:pPr>
              <w:pStyle w:val="NormalLeft"/>
            </w:pPr>
            <w:r w:rsidRPr="00DE12A3">
              <w:t>582</w:t>
            </w:r>
          </w:p>
        </w:tc>
        <w:tc>
          <w:tcPr>
            <w:tcW w:w="2489" w:type="dxa"/>
            <w:tcBorders>
              <w:top w:val="single" w:sz="2" w:space="0" w:color="auto"/>
              <w:left w:val="single" w:sz="2" w:space="0" w:color="auto"/>
              <w:bottom w:val="single" w:sz="2" w:space="0" w:color="auto"/>
              <w:right w:val="single" w:sz="2" w:space="0" w:color="auto"/>
            </w:tcBorders>
          </w:tcPr>
          <w:p w14:paraId="4F99349E" w14:textId="77777777" w:rsidR="009F4766" w:rsidRPr="00DE12A3" w:rsidRDefault="009F4766" w:rsidP="00C917D6">
            <w:pPr>
              <w:pStyle w:val="NormalLeft"/>
            </w:pPr>
            <w:r w:rsidRPr="00DE12A3">
              <w:t>86</w:t>
            </w:r>
          </w:p>
        </w:tc>
        <w:tc>
          <w:tcPr>
            <w:tcW w:w="2551" w:type="dxa"/>
            <w:tcBorders>
              <w:top w:val="single" w:sz="2" w:space="0" w:color="auto"/>
              <w:left w:val="single" w:sz="2" w:space="0" w:color="auto"/>
              <w:bottom w:val="single" w:sz="2" w:space="0" w:color="auto"/>
              <w:right w:val="single" w:sz="2" w:space="0" w:color="auto"/>
            </w:tcBorders>
          </w:tcPr>
          <w:p w14:paraId="43846F82" w14:textId="77777777" w:rsidR="009F4766" w:rsidRPr="00DE12A3" w:rsidRDefault="009F4766" w:rsidP="00C917D6">
            <w:pPr>
              <w:pStyle w:val="NormalLeft"/>
            </w:pPr>
            <w:r w:rsidRPr="00DE12A3">
              <w:t>49</w:t>
            </w:r>
          </w:p>
        </w:tc>
      </w:tr>
      <w:tr w:rsidR="00DE12A3" w:rsidRPr="00DE12A3" w14:paraId="1CEEEE26" w14:textId="77777777" w:rsidTr="009F4766">
        <w:tc>
          <w:tcPr>
            <w:tcW w:w="1182" w:type="dxa"/>
            <w:tcBorders>
              <w:top w:val="single" w:sz="2" w:space="0" w:color="auto"/>
              <w:left w:val="single" w:sz="2" w:space="0" w:color="auto"/>
              <w:bottom w:val="single" w:sz="2" w:space="0" w:color="auto"/>
              <w:right w:val="single" w:sz="2" w:space="0" w:color="auto"/>
            </w:tcBorders>
          </w:tcPr>
          <w:p w14:paraId="5D295C89" w14:textId="77777777" w:rsidR="009F4766" w:rsidRPr="00DE12A3" w:rsidRDefault="009F4766" w:rsidP="00C917D6">
            <w:pPr>
              <w:pStyle w:val="NormalLeft"/>
            </w:pPr>
            <w:r w:rsidRPr="00DE12A3">
              <w:t>583</w:t>
            </w:r>
          </w:p>
        </w:tc>
        <w:tc>
          <w:tcPr>
            <w:tcW w:w="2489" w:type="dxa"/>
            <w:tcBorders>
              <w:top w:val="single" w:sz="2" w:space="0" w:color="auto"/>
              <w:left w:val="single" w:sz="2" w:space="0" w:color="auto"/>
              <w:bottom w:val="single" w:sz="2" w:space="0" w:color="auto"/>
              <w:right w:val="single" w:sz="2" w:space="0" w:color="auto"/>
            </w:tcBorders>
          </w:tcPr>
          <w:p w14:paraId="16CFD75A" w14:textId="77777777" w:rsidR="009F4766" w:rsidRPr="00DE12A3" w:rsidRDefault="009F4766" w:rsidP="00C917D6">
            <w:pPr>
              <w:pStyle w:val="NormalLeft"/>
            </w:pPr>
            <w:r w:rsidRPr="00DE12A3">
              <w:t>86</w:t>
            </w:r>
          </w:p>
        </w:tc>
        <w:tc>
          <w:tcPr>
            <w:tcW w:w="2551" w:type="dxa"/>
            <w:tcBorders>
              <w:top w:val="single" w:sz="2" w:space="0" w:color="auto"/>
              <w:left w:val="single" w:sz="2" w:space="0" w:color="auto"/>
              <w:bottom w:val="single" w:sz="2" w:space="0" w:color="auto"/>
              <w:right w:val="single" w:sz="2" w:space="0" w:color="auto"/>
            </w:tcBorders>
          </w:tcPr>
          <w:p w14:paraId="3E855A88" w14:textId="77777777" w:rsidR="009F4766" w:rsidRPr="00DE12A3" w:rsidRDefault="009F4766" w:rsidP="00C917D6">
            <w:pPr>
              <w:pStyle w:val="NormalLeft"/>
            </w:pPr>
            <w:r w:rsidRPr="00DE12A3">
              <w:t>57</w:t>
            </w:r>
          </w:p>
        </w:tc>
      </w:tr>
      <w:tr w:rsidR="00DE12A3" w:rsidRPr="00DE12A3" w14:paraId="5FC2708F" w14:textId="77777777" w:rsidTr="009F4766">
        <w:tc>
          <w:tcPr>
            <w:tcW w:w="1182" w:type="dxa"/>
            <w:tcBorders>
              <w:top w:val="single" w:sz="2" w:space="0" w:color="auto"/>
              <w:left w:val="single" w:sz="2" w:space="0" w:color="auto"/>
              <w:bottom w:val="single" w:sz="2" w:space="0" w:color="auto"/>
              <w:right w:val="single" w:sz="2" w:space="0" w:color="auto"/>
            </w:tcBorders>
          </w:tcPr>
          <w:p w14:paraId="1532DA02" w14:textId="77777777" w:rsidR="009F4766" w:rsidRPr="00DE12A3" w:rsidRDefault="009F4766" w:rsidP="00C917D6">
            <w:pPr>
              <w:pStyle w:val="NormalLeft"/>
            </w:pPr>
            <w:r w:rsidRPr="00DE12A3">
              <w:t>584</w:t>
            </w:r>
          </w:p>
        </w:tc>
        <w:tc>
          <w:tcPr>
            <w:tcW w:w="2489" w:type="dxa"/>
            <w:tcBorders>
              <w:top w:val="single" w:sz="2" w:space="0" w:color="auto"/>
              <w:left w:val="single" w:sz="2" w:space="0" w:color="auto"/>
              <w:bottom w:val="single" w:sz="2" w:space="0" w:color="auto"/>
              <w:right w:val="single" w:sz="2" w:space="0" w:color="auto"/>
            </w:tcBorders>
          </w:tcPr>
          <w:p w14:paraId="5AE24D06" w14:textId="77777777" w:rsidR="009F4766" w:rsidRPr="00DE12A3" w:rsidRDefault="009F4766" w:rsidP="00C917D6">
            <w:pPr>
              <w:pStyle w:val="NormalLeft"/>
            </w:pPr>
            <w:r w:rsidRPr="00DE12A3">
              <w:t>89</w:t>
            </w:r>
          </w:p>
        </w:tc>
        <w:tc>
          <w:tcPr>
            <w:tcW w:w="2551" w:type="dxa"/>
            <w:tcBorders>
              <w:top w:val="single" w:sz="2" w:space="0" w:color="auto"/>
              <w:left w:val="single" w:sz="2" w:space="0" w:color="auto"/>
              <w:bottom w:val="single" w:sz="2" w:space="0" w:color="auto"/>
              <w:right w:val="single" w:sz="2" w:space="0" w:color="auto"/>
            </w:tcBorders>
          </w:tcPr>
          <w:p w14:paraId="36B1D844" w14:textId="77777777" w:rsidR="009F4766" w:rsidRPr="00DE12A3" w:rsidRDefault="009F4766" w:rsidP="00C917D6">
            <w:pPr>
              <w:pStyle w:val="NormalLeft"/>
            </w:pPr>
            <w:r w:rsidRPr="00DE12A3">
              <w:t>68</w:t>
            </w:r>
          </w:p>
        </w:tc>
      </w:tr>
      <w:tr w:rsidR="00DE12A3" w:rsidRPr="00DE12A3" w14:paraId="78BCE69E" w14:textId="77777777" w:rsidTr="009F4766">
        <w:tc>
          <w:tcPr>
            <w:tcW w:w="1182" w:type="dxa"/>
            <w:tcBorders>
              <w:top w:val="single" w:sz="2" w:space="0" w:color="auto"/>
              <w:left w:val="single" w:sz="2" w:space="0" w:color="auto"/>
              <w:bottom w:val="single" w:sz="2" w:space="0" w:color="auto"/>
              <w:right w:val="single" w:sz="2" w:space="0" w:color="auto"/>
            </w:tcBorders>
          </w:tcPr>
          <w:p w14:paraId="4164FF35" w14:textId="77777777" w:rsidR="009F4766" w:rsidRPr="00DE12A3" w:rsidRDefault="009F4766" w:rsidP="00C917D6">
            <w:pPr>
              <w:pStyle w:val="NormalLeft"/>
            </w:pPr>
            <w:r w:rsidRPr="00DE12A3">
              <w:t>585</w:t>
            </w:r>
          </w:p>
        </w:tc>
        <w:tc>
          <w:tcPr>
            <w:tcW w:w="2489" w:type="dxa"/>
            <w:tcBorders>
              <w:top w:val="single" w:sz="2" w:space="0" w:color="auto"/>
              <w:left w:val="single" w:sz="2" w:space="0" w:color="auto"/>
              <w:bottom w:val="single" w:sz="2" w:space="0" w:color="auto"/>
              <w:right w:val="single" w:sz="2" w:space="0" w:color="auto"/>
            </w:tcBorders>
          </w:tcPr>
          <w:p w14:paraId="5A9F6540" w14:textId="77777777" w:rsidR="009F4766" w:rsidRPr="00DE12A3" w:rsidRDefault="009F4766" w:rsidP="00C917D6">
            <w:pPr>
              <w:pStyle w:val="NormalLeft"/>
            </w:pPr>
            <w:r w:rsidRPr="00DE12A3">
              <w:t>99</w:t>
            </w:r>
          </w:p>
        </w:tc>
        <w:tc>
          <w:tcPr>
            <w:tcW w:w="2551" w:type="dxa"/>
            <w:tcBorders>
              <w:top w:val="single" w:sz="2" w:space="0" w:color="auto"/>
              <w:left w:val="single" w:sz="2" w:space="0" w:color="auto"/>
              <w:bottom w:val="single" w:sz="2" w:space="0" w:color="auto"/>
              <w:right w:val="single" w:sz="2" w:space="0" w:color="auto"/>
            </w:tcBorders>
          </w:tcPr>
          <w:p w14:paraId="2FFC2FA7" w14:textId="77777777" w:rsidR="009F4766" w:rsidRPr="00DE12A3" w:rsidRDefault="009F4766" w:rsidP="00C917D6">
            <w:pPr>
              <w:pStyle w:val="NormalLeft"/>
            </w:pPr>
            <w:r w:rsidRPr="00DE12A3">
              <w:t>61</w:t>
            </w:r>
          </w:p>
        </w:tc>
      </w:tr>
      <w:tr w:rsidR="00DE12A3" w:rsidRPr="00DE12A3" w14:paraId="024CA127" w14:textId="77777777" w:rsidTr="009F4766">
        <w:tc>
          <w:tcPr>
            <w:tcW w:w="1182" w:type="dxa"/>
            <w:tcBorders>
              <w:top w:val="single" w:sz="2" w:space="0" w:color="auto"/>
              <w:left w:val="single" w:sz="2" w:space="0" w:color="auto"/>
              <w:bottom w:val="single" w:sz="2" w:space="0" w:color="auto"/>
              <w:right w:val="single" w:sz="2" w:space="0" w:color="auto"/>
            </w:tcBorders>
          </w:tcPr>
          <w:p w14:paraId="01E82A26" w14:textId="77777777" w:rsidR="009F4766" w:rsidRPr="00DE12A3" w:rsidRDefault="009F4766" w:rsidP="00C917D6">
            <w:pPr>
              <w:pStyle w:val="NormalLeft"/>
            </w:pPr>
            <w:r w:rsidRPr="00DE12A3">
              <w:t>586</w:t>
            </w:r>
          </w:p>
        </w:tc>
        <w:tc>
          <w:tcPr>
            <w:tcW w:w="2489" w:type="dxa"/>
            <w:tcBorders>
              <w:top w:val="single" w:sz="2" w:space="0" w:color="auto"/>
              <w:left w:val="single" w:sz="2" w:space="0" w:color="auto"/>
              <w:bottom w:val="single" w:sz="2" w:space="0" w:color="auto"/>
              <w:right w:val="single" w:sz="2" w:space="0" w:color="auto"/>
            </w:tcBorders>
          </w:tcPr>
          <w:p w14:paraId="42A592E6" w14:textId="77777777" w:rsidR="009F4766" w:rsidRPr="00DE12A3" w:rsidRDefault="009F4766" w:rsidP="00C917D6">
            <w:pPr>
              <w:pStyle w:val="NormalLeft"/>
            </w:pPr>
            <w:r w:rsidRPr="00DE12A3">
              <w:t>77</w:t>
            </w:r>
          </w:p>
        </w:tc>
        <w:tc>
          <w:tcPr>
            <w:tcW w:w="2551" w:type="dxa"/>
            <w:tcBorders>
              <w:top w:val="single" w:sz="2" w:space="0" w:color="auto"/>
              <w:left w:val="single" w:sz="2" w:space="0" w:color="auto"/>
              <w:bottom w:val="single" w:sz="2" w:space="0" w:color="auto"/>
              <w:right w:val="single" w:sz="2" w:space="0" w:color="auto"/>
            </w:tcBorders>
          </w:tcPr>
          <w:p w14:paraId="65016A01" w14:textId="77777777" w:rsidR="009F4766" w:rsidRPr="00DE12A3" w:rsidRDefault="009F4766" w:rsidP="00C917D6">
            <w:pPr>
              <w:pStyle w:val="NormalLeft"/>
            </w:pPr>
            <w:r w:rsidRPr="00DE12A3">
              <w:t>29</w:t>
            </w:r>
          </w:p>
        </w:tc>
      </w:tr>
      <w:tr w:rsidR="00DE12A3" w:rsidRPr="00DE12A3" w14:paraId="3E9B72D8" w14:textId="77777777" w:rsidTr="009F4766">
        <w:tc>
          <w:tcPr>
            <w:tcW w:w="1182" w:type="dxa"/>
            <w:tcBorders>
              <w:top w:val="single" w:sz="2" w:space="0" w:color="auto"/>
              <w:left w:val="single" w:sz="2" w:space="0" w:color="auto"/>
              <w:bottom w:val="single" w:sz="2" w:space="0" w:color="auto"/>
              <w:right w:val="single" w:sz="2" w:space="0" w:color="auto"/>
            </w:tcBorders>
          </w:tcPr>
          <w:p w14:paraId="50CF0126" w14:textId="77777777" w:rsidR="009F4766" w:rsidRPr="00DE12A3" w:rsidRDefault="009F4766" w:rsidP="00C917D6">
            <w:pPr>
              <w:pStyle w:val="NormalLeft"/>
            </w:pPr>
            <w:r w:rsidRPr="00DE12A3">
              <w:t>587</w:t>
            </w:r>
          </w:p>
        </w:tc>
        <w:tc>
          <w:tcPr>
            <w:tcW w:w="2489" w:type="dxa"/>
            <w:tcBorders>
              <w:top w:val="single" w:sz="2" w:space="0" w:color="auto"/>
              <w:left w:val="single" w:sz="2" w:space="0" w:color="auto"/>
              <w:bottom w:val="single" w:sz="2" w:space="0" w:color="auto"/>
              <w:right w:val="single" w:sz="2" w:space="0" w:color="auto"/>
            </w:tcBorders>
          </w:tcPr>
          <w:p w14:paraId="306C008D" w14:textId="77777777" w:rsidR="009F4766" w:rsidRPr="00DE12A3" w:rsidRDefault="009F4766" w:rsidP="00C917D6">
            <w:pPr>
              <w:pStyle w:val="NormalLeft"/>
            </w:pPr>
            <w:r w:rsidRPr="00DE12A3">
              <w:t>81</w:t>
            </w:r>
          </w:p>
        </w:tc>
        <w:tc>
          <w:tcPr>
            <w:tcW w:w="2551" w:type="dxa"/>
            <w:tcBorders>
              <w:top w:val="single" w:sz="2" w:space="0" w:color="auto"/>
              <w:left w:val="single" w:sz="2" w:space="0" w:color="auto"/>
              <w:bottom w:val="single" w:sz="2" w:space="0" w:color="auto"/>
              <w:right w:val="single" w:sz="2" w:space="0" w:color="auto"/>
            </w:tcBorders>
          </w:tcPr>
          <w:p w14:paraId="3A5DE15D" w14:textId="77777777" w:rsidR="009F4766" w:rsidRPr="00DE12A3" w:rsidRDefault="009F4766" w:rsidP="00C917D6">
            <w:pPr>
              <w:pStyle w:val="NormalLeft"/>
            </w:pPr>
            <w:r w:rsidRPr="00DE12A3">
              <w:t>72</w:t>
            </w:r>
          </w:p>
        </w:tc>
      </w:tr>
      <w:tr w:rsidR="00DE12A3" w:rsidRPr="00DE12A3" w14:paraId="1E9C5DC8" w14:textId="77777777" w:rsidTr="009F4766">
        <w:tc>
          <w:tcPr>
            <w:tcW w:w="1182" w:type="dxa"/>
            <w:tcBorders>
              <w:top w:val="single" w:sz="2" w:space="0" w:color="auto"/>
              <w:left w:val="single" w:sz="2" w:space="0" w:color="auto"/>
              <w:bottom w:val="single" w:sz="2" w:space="0" w:color="auto"/>
              <w:right w:val="single" w:sz="2" w:space="0" w:color="auto"/>
            </w:tcBorders>
          </w:tcPr>
          <w:p w14:paraId="6C919BF0" w14:textId="77777777" w:rsidR="009F4766" w:rsidRPr="00DE12A3" w:rsidRDefault="009F4766" w:rsidP="00C917D6">
            <w:pPr>
              <w:pStyle w:val="NormalLeft"/>
            </w:pPr>
            <w:r w:rsidRPr="00DE12A3">
              <w:t>588</w:t>
            </w:r>
          </w:p>
        </w:tc>
        <w:tc>
          <w:tcPr>
            <w:tcW w:w="2489" w:type="dxa"/>
            <w:tcBorders>
              <w:top w:val="single" w:sz="2" w:space="0" w:color="auto"/>
              <w:left w:val="single" w:sz="2" w:space="0" w:color="auto"/>
              <w:bottom w:val="single" w:sz="2" w:space="0" w:color="auto"/>
              <w:right w:val="single" w:sz="2" w:space="0" w:color="auto"/>
            </w:tcBorders>
          </w:tcPr>
          <w:p w14:paraId="29182D5E" w14:textId="77777777" w:rsidR="009F4766" w:rsidRPr="00DE12A3" w:rsidRDefault="009F4766" w:rsidP="00C917D6">
            <w:pPr>
              <w:pStyle w:val="NormalLeft"/>
            </w:pPr>
            <w:r w:rsidRPr="00DE12A3">
              <w:t>89</w:t>
            </w:r>
          </w:p>
        </w:tc>
        <w:tc>
          <w:tcPr>
            <w:tcW w:w="2551" w:type="dxa"/>
            <w:tcBorders>
              <w:top w:val="single" w:sz="2" w:space="0" w:color="auto"/>
              <w:left w:val="single" w:sz="2" w:space="0" w:color="auto"/>
              <w:bottom w:val="single" w:sz="2" w:space="0" w:color="auto"/>
              <w:right w:val="single" w:sz="2" w:space="0" w:color="auto"/>
            </w:tcBorders>
          </w:tcPr>
          <w:p w14:paraId="1F912746" w14:textId="77777777" w:rsidR="009F4766" w:rsidRPr="00DE12A3" w:rsidRDefault="009F4766" w:rsidP="00C917D6">
            <w:pPr>
              <w:pStyle w:val="NormalLeft"/>
            </w:pPr>
            <w:r w:rsidRPr="00DE12A3">
              <w:t>69</w:t>
            </w:r>
          </w:p>
        </w:tc>
      </w:tr>
      <w:tr w:rsidR="00DE12A3" w:rsidRPr="00DE12A3" w14:paraId="5DB07712" w14:textId="77777777" w:rsidTr="009F4766">
        <w:tc>
          <w:tcPr>
            <w:tcW w:w="1182" w:type="dxa"/>
            <w:tcBorders>
              <w:top w:val="single" w:sz="2" w:space="0" w:color="auto"/>
              <w:left w:val="single" w:sz="2" w:space="0" w:color="auto"/>
              <w:bottom w:val="single" w:sz="2" w:space="0" w:color="auto"/>
              <w:right w:val="single" w:sz="2" w:space="0" w:color="auto"/>
            </w:tcBorders>
          </w:tcPr>
          <w:p w14:paraId="6FC681B8" w14:textId="77777777" w:rsidR="009F4766" w:rsidRPr="00DE12A3" w:rsidRDefault="009F4766" w:rsidP="00C917D6">
            <w:pPr>
              <w:pStyle w:val="NormalLeft"/>
            </w:pPr>
            <w:r w:rsidRPr="00DE12A3">
              <w:t>589</w:t>
            </w:r>
          </w:p>
        </w:tc>
        <w:tc>
          <w:tcPr>
            <w:tcW w:w="2489" w:type="dxa"/>
            <w:tcBorders>
              <w:top w:val="single" w:sz="2" w:space="0" w:color="auto"/>
              <w:left w:val="single" w:sz="2" w:space="0" w:color="auto"/>
              <w:bottom w:val="single" w:sz="2" w:space="0" w:color="auto"/>
              <w:right w:val="single" w:sz="2" w:space="0" w:color="auto"/>
            </w:tcBorders>
          </w:tcPr>
          <w:p w14:paraId="2D6B554C" w14:textId="77777777" w:rsidR="009F4766" w:rsidRPr="00DE12A3" w:rsidRDefault="009F4766" w:rsidP="00C917D6">
            <w:pPr>
              <w:pStyle w:val="NormalLeft"/>
            </w:pPr>
            <w:r w:rsidRPr="00DE12A3">
              <w:t>49</w:t>
            </w:r>
          </w:p>
        </w:tc>
        <w:tc>
          <w:tcPr>
            <w:tcW w:w="2551" w:type="dxa"/>
            <w:tcBorders>
              <w:top w:val="single" w:sz="2" w:space="0" w:color="auto"/>
              <w:left w:val="single" w:sz="2" w:space="0" w:color="auto"/>
              <w:bottom w:val="single" w:sz="2" w:space="0" w:color="auto"/>
              <w:right w:val="single" w:sz="2" w:space="0" w:color="auto"/>
            </w:tcBorders>
          </w:tcPr>
          <w:p w14:paraId="09B41C5B" w14:textId="77777777" w:rsidR="009F4766" w:rsidRPr="00DE12A3" w:rsidRDefault="009F4766" w:rsidP="00C917D6">
            <w:pPr>
              <w:pStyle w:val="NormalLeft"/>
            </w:pPr>
            <w:r w:rsidRPr="00DE12A3">
              <w:t>56</w:t>
            </w:r>
          </w:p>
        </w:tc>
      </w:tr>
      <w:tr w:rsidR="00DE12A3" w:rsidRPr="00DE12A3" w14:paraId="19734818" w14:textId="77777777" w:rsidTr="009F4766">
        <w:tc>
          <w:tcPr>
            <w:tcW w:w="1182" w:type="dxa"/>
            <w:tcBorders>
              <w:top w:val="single" w:sz="2" w:space="0" w:color="auto"/>
              <w:left w:val="single" w:sz="2" w:space="0" w:color="auto"/>
              <w:bottom w:val="single" w:sz="2" w:space="0" w:color="auto"/>
              <w:right w:val="single" w:sz="2" w:space="0" w:color="auto"/>
            </w:tcBorders>
          </w:tcPr>
          <w:p w14:paraId="55D4C73A" w14:textId="77777777" w:rsidR="009F4766" w:rsidRPr="00DE12A3" w:rsidRDefault="009F4766" w:rsidP="00C917D6">
            <w:pPr>
              <w:pStyle w:val="NormalLeft"/>
            </w:pPr>
            <w:r w:rsidRPr="00DE12A3">
              <w:t>590</w:t>
            </w:r>
          </w:p>
        </w:tc>
        <w:tc>
          <w:tcPr>
            <w:tcW w:w="2489" w:type="dxa"/>
            <w:tcBorders>
              <w:top w:val="single" w:sz="2" w:space="0" w:color="auto"/>
              <w:left w:val="single" w:sz="2" w:space="0" w:color="auto"/>
              <w:bottom w:val="single" w:sz="2" w:space="0" w:color="auto"/>
              <w:right w:val="single" w:sz="2" w:space="0" w:color="auto"/>
            </w:tcBorders>
          </w:tcPr>
          <w:p w14:paraId="5EEBE62B" w14:textId="77777777" w:rsidR="009F4766" w:rsidRPr="00DE12A3" w:rsidRDefault="009F4766" w:rsidP="00C917D6">
            <w:pPr>
              <w:pStyle w:val="NormalLeft"/>
            </w:pPr>
            <w:r w:rsidRPr="00DE12A3">
              <w:t>79</w:t>
            </w:r>
          </w:p>
        </w:tc>
        <w:tc>
          <w:tcPr>
            <w:tcW w:w="2551" w:type="dxa"/>
            <w:tcBorders>
              <w:top w:val="single" w:sz="2" w:space="0" w:color="auto"/>
              <w:left w:val="single" w:sz="2" w:space="0" w:color="auto"/>
              <w:bottom w:val="single" w:sz="2" w:space="0" w:color="auto"/>
              <w:right w:val="single" w:sz="2" w:space="0" w:color="auto"/>
            </w:tcBorders>
          </w:tcPr>
          <w:p w14:paraId="1AE9E141" w14:textId="77777777" w:rsidR="009F4766" w:rsidRPr="00DE12A3" w:rsidRDefault="009F4766" w:rsidP="00C917D6">
            <w:pPr>
              <w:pStyle w:val="NormalLeft"/>
            </w:pPr>
            <w:r w:rsidRPr="00DE12A3">
              <w:t>70</w:t>
            </w:r>
          </w:p>
        </w:tc>
      </w:tr>
      <w:tr w:rsidR="00DE12A3" w:rsidRPr="00DE12A3" w14:paraId="314C1D85" w14:textId="77777777" w:rsidTr="009F4766">
        <w:tc>
          <w:tcPr>
            <w:tcW w:w="1182" w:type="dxa"/>
            <w:tcBorders>
              <w:top w:val="single" w:sz="2" w:space="0" w:color="auto"/>
              <w:left w:val="single" w:sz="2" w:space="0" w:color="auto"/>
              <w:bottom w:val="single" w:sz="2" w:space="0" w:color="auto"/>
              <w:right w:val="single" w:sz="2" w:space="0" w:color="auto"/>
            </w:tcBorders>
          </w:tcPr>
          <w:p w14:paraId="76A16D26" w14:textId="77777777" w:rsidR="009F4766" w:rsidRPr="00DE12A3" w:rsidRDefault="009F4766" w:rsidP="00C917D6">
            <w:pPr>
              <w:pStyle w:val="NormalLeft"/>
            </w:pPr>
            <w:r w:rsidRPr="00DE12A3">
              <w:t>591</w:t>
            </w:r>
          </w:p>
        </w:tc>
        <w:tc>
          <w:tcPr>
            <w:tcW w:w="2489" w:type="dxa"/>
            <w:tcBorders>
              <w:top w:val="single" w:sz="2" w:space="0" w:color="auto"/>
              <w:left w:val="single" w:sz="2" w:space="0" w:color="auto"/>
              <w:bottom w:val="single" w:sz="2" w:space="0" w:color="auto"/>
              <w:right w:val="single" w:sz="2" w:space="0" w:color="auto"/>
            </w:tcBorders>
          </w:tcPr>
          <w:p w14:paraId="29E53FFF" w14:textId="77777777" w:rsidR="009F4766" w:rsidRPr="00DE12A3" w:rsidRDefault="009F4766" w:rsidP="00C917D6">
            <w:pPr>
              <w:pStyle w:val="NormalLeft"/>
            </w:pPr>
            <w:r w:rsidRPr="00DE12A3">
              <w:t>104</w:t>
            </w:r>
          </w:p>
        </w:tc>
        <w:tc>
          <w:tcPr>
            <w:tcW w:w="2551" w:type="dxa"/>
            <w:tcBorders>
              <w:top w:val="single" w:sz="2" w:space="0" w:color="auto"/>
              <w:left w:val="single" w:sz="2" w:space="0" w:color="auto"/>
              <w:bottom w:val="single" w:sz="2" w:space="0" w:color="auto"/>
              <w:right w:val="single" w:sz="2" w:space="0" w:color="auto"/>
            </w:tcBorders>
          </w:tcPr>
          <w:p w14:paraId="5AD4D068" w14:textId="77777777" w:rsidR="009F4766" w:rsidRPr="00DE12A3" w:rsidRDefault="009F4766" w:rsidP="00C917D6">
            <w:pPr>
              <w:pStyle w:val="NormalLeft"/>
            </w:pPr>
            <w:r w:rsidRPr="00DE12A3">
              <w:t>59</w:t>
            </w:r>
          </w:p>
        </w:tc>
      </w:tr>
      <w:tr w:rsidR="00DE12A3" w:rsidRPr="00DE12A3" w14:paraId="7348A4BC" w14:textId="77777777" w:rsidTr="009F4766">
        <w:tc>
          <w:tcPr>
            <w:tcW w:w="1182" w:type="dxa"/>
            <w:tcBorders>
              <w:top w:val="single" w:sz="2" w:space="0" w:color="auto"/>
              <w:left w:val="single" w:sz="2" w:space="0" w:color="auto"/>
              <w:bottom w:val="single" w:sz="2" w:space="0" w:color="auto"/>
              <w:right w:val="single" w:sz="2" w:space="0" w:color="auto"/>
            </w:tcBorders>
          </w:tcPr>
          <w:p w14:paraId="501534D5" w14:textId="77777777" w:rsidR="009F4766" w:rsidRPr="00DE12A3" w:rsidRDefault="009F4766" w:rsidP="00C917D6">
            <w:pPr>
              <w:pStyle w:val="NormalLeft"/>
            </w:pPr>
            <w:r w:rsidRPr="00DE12A3">
              <w:t>592</w:t>
            </w:r>
          </w:p>
        </w:tc>
        <w:tc>
          <w:tcPr>
            <w:tcW w:w="2489" w:type="dxa"/>
            <w:tcBorders>
              <w:top w:val="single" w:sz="2" w:space="0" w:color="auto"/>
              <w:left w:val="single" w:sz="2" w:space="0" w:color="auto"/>
              <w:bottom w:val="single" w:sz="2" w:space="0" w:color="auto"/>
              <w:right w:val="single" w:sz="2" w:space="0" w:color="auto"/>
            </w:tcBorders>
          </w:tcPr>
          <w:p w14:paraId="5898AE16" w14:textId="77777777" w:rsidR="009F4766" w:rsidRPr="00DE12A3" w:rsidRDefault="009F4766" w:rsidP="00C917D6">
            <w:pPr>
              <w:pStyle w:val="NormalLeft"/>
            </w:pPr>
            <w:r w:rsidRPr="00DE12A3">
              <w:t>103</w:t>
            </w:r>
          </w:p>
        </w:tc>
        <w:tc>
          <w:tcPr>
            <w:tcW w:w="2551" w:type="dxa"/>
            <w:tcBorders>
              <w:top w:val="single" w:sz="2" w:space="0" w:color="auto"/>
              <w:left w:val="single" w:sz="2" w:space="0" w:color="auto"/>
              <w:bottom w:val="single" w:sz="2" w:space="0" w:color="auto"/>
              <w:right w:val="single" w:sz="2" w:space="0" w:color="auto"/>
            </w:tcBorders>
          </w:tcPr>
          <w:p w14:paraId="745B729B" w14:textId="77777777" w:rsidR="009F4766" w:rsidRPr="00DE12A3" w:rsidRDefault="009F4766" w:rsidP="00C917D6">
            <w:pPr>
              <w:pStyle w:val="NormalLeft"/>
            </w:pPr>
            <w:r w:rsidRPr="00DE12A3">
              <w:t>54</w:t>
            </w:r>
          </w:p>
        </w:tc>
      </w:tr>
      <w:tr w:rsidR="00DE12A3" w:rsidRPr="00DE12A3" w14:paraId="1B74E30E" w14:textId="77777777" w:rsidTr="009F4766">
        <w:tc>
          <w:tcPr>
            <w:tcW w:w="1182" w:type="dxa"/>
            <w:tcBorders>
              <w:top w:val="single" w:sz="2" w:space="0" w:color="auto"/>
              <w:left w:val="single" w:sz="2" w:space="0" w:color="auto"/>
              <w:bottom w:val="single" w:sz="2" w:space="0" w:color="auto"/>
              <w:right w:val="single" w:sz="2" w:space="0" w:color="auto"/>
            </w:tcBorders>
          </w:tcPr>
          <w:p w14:paraId="44E4A706" w14:textId="77777777" w:rsidR="009F4766" w:rsidRPr="00DE12A3" w:rsidRDefault="009F4766" w:rsidP="00C917D6">
            <w:pPr>
              <w:pStyle w:val="NormalLeft"/>
            </w:pPr>
            <w:r w:rsidRPr="00DE12A3">
              <w:t>593</w:t>
            </w:r>
          </w:p>
        </w:tc>
        <w:tc>
          <w:tcPr>
            <w:tcW w:w="2489" w:type="dxa"/>
            <w:tcBorders>
              <w:top w:val="single" w:sz="2" w:space="0" w:color="auto"/>
              <w:left w:val="single" w:sz="2" w:space="0" w:color="auto"/>
              <w:bottom w:val="single" w:sz="2" w:space="0" w:color="auto"/>
              <w:right w:val="single" w:sz="2" w:space="0" w:color="auto"/>
            </w:tcBorders>
          </w:tcPr>
          <w:p w14:paraId="12E86C38" w14:textId="77777777" w:rsidR="009F4766" w:rsidRPr="00DE12A3" w:rsidRDefault="009F4766" w:rsidP="00C917D6">
            <w:pPr>
              <w:pStyle w:val="NormalLeft"/>
            </w:pPr>
            <w:r w:rsidRPr="00DE12A3">
              <w:t>102</w:t>
            </w:r>
          </w:p>
        </w:tc>
        <w:tc>
          <w:tcPr>
            <w:tcW w:w="2551" w:type="dxa"/>
            <w:tcBorders>
              <w:top w:val="single" w:sz="2" w:space="0" w:color="auto"/>
              <w:left w:val="single" w:sz="2" w:space="0" w:color="auto"/>
              <w:bottom w:val="single" w:sz="2" w:space="0" w:color="auto"/>
              <w:right w:val="single" w:sz="2" w:space="0" w:color="auto"/>
            </w:tcBorders>
          </w:tcPr>
          <w:p w14:paraId="798C6E6A" w14:textId="77777777" w:rsidR="009F4766" w:rsidRPr="00DE12A3" w:rsidRDefault="009F4766" w:rsidP="00C917D6">
            <w:pPr>
              <w:pStyle w:val="NormalLeft"/>
            </w:pPr>
            <w:r w:rsidRPr="00DE12A3">
              <w:t>56</w:t>
            </w:r>
          </w:p>
        </w:tc>
      </w:tr>
      <w:tr w:rsidR="00DE12A3" w:rsidRPr="00DE12A3" w14:paraId="25AADE69" w14:textId="77777777" w:rsidTr="009F4766">
        <w:tc>
          <w:tcPr>
            <w:tcW w:w="1182" w:type="dxa"/>
            <w:tcBorders>
              <w:top w:val="single" w:sz="2" w:space="0" w:color="auto"/>
              <w:left w:val="single" w:sz="2" w:space="0" w:color="auto"/>
              <w:bottom w:val="single" w:sz="2" w:space="0" w:color="auto"/>
              <w:right w:val="single" w:sz="2" w:space="0" w:color="auto"/>
            </w:tcBorders>
          </w:tcPr>
          <w:p w14:paraId="6E373E04" w14:textId="77777777" w:rsidR="009F4766" w:rsidRPr="00DE12A3" w:rsidRDefault="009F4766" w:rsidP="00C917D6">
            <w:pPr>
              <w:pStyle w:val="NormalLeft"/>
            </w:pPr>
            <w:r w:rsidRPr="00DE12A3">
              <w:t>594</w:t>
            </w:r>
          </w:p>
        </w:tc>
        <w:tc>
          <w:tcPr>
            <w:tcW w:w="2489" w:type="dxa"/>
            <w:tcBorders>
              <w:top w:val="single" w:sz="2" w:space="0" w:color="auto"/>
              <w:left w:val="single" w:sz="2" w:space="0" w:color="auto"/>
              <w:bottom w:val="single" w:sz="2" w:space="0" w:color="auto"/>
              <w:right w:val="single" w:sz="2" w:space="0" w:color="auto"/>
            </w:tcBorders>
          </w:tcPr>
          <w:p w14:paraId="5853068E" w14:textId="77777777" w:rsidR="009F4766" w:rsidRPr="00DE12A3" w:rsidRDefault="009F4766" w:rsidP="00C917D6">
            <w:pPr>
              <w:pStyle w:val="NormalLeft"/>
            </w:pPr>
            <w:r w:rsidRPr="00DE12A3">
              <w:t>102</w:t>
            </w:r>
          </w:p>
        </w:tc>
        <w:tc>
          <w:tcPr>
            <w:tcW w:w="2551" w:type="dxa"/>
            <w:tcBorders>
              <w:top w:val="single" w:sz="2" w:space="0" w:color="auto"/>
              <w:left w:val="single" w:sz="2" w:space="0" w:color="auto"/>
              <w:bottom w:val="single" w:sz="2" w:space="0" w:color="auto"/>
              <w:right w:val="single" w:sz="2" w:space="0" w:color="auto"/>
            </w:tcBorders>
          </w:tcPr>
          <w:p w14:paraId="042F4D08" w14:textId="77777777" w:rsidR="009F4766" w:rsidRPr="00DE12A3" w:rsidRDefault="009F4766" w:rsidP="00C917D6">
            <w:pPr>
              <w:pStyle w:val="NormalLeft"/>
            </w:pPr>
            <w:r w:rsidRPr="00DE12A3">
              <w:t>56</w:t>
            </w:r>
          </w:p>
        </w:tc>
      </w:tr>
      <w:tr w:rsidR="00DE12A3" w:rsidRPr="00DE12A3" w14:paraId="17CA2BE9" w14:textId="77777777" w:rsidTr="009F4766">
        <w:tc>
          <w:tcPr>
            <w:tcW w:w="1182" w:type="dxa"/>
            <w:tcBorders>
              <w:top w:val="single" w:sz="2" w:space="0" w:color="auto"/>
              <w:left w:val="single" w:sz="2" w:space="0" w:color="auto"/>
              <w:bottom w:val="single" w:sz="2" w:space="0" w:color="auto"/>
              <w:right w:val="single" w:sz="2" w:space="0" w:color="auto"/>
            </w:tcBorders>
          </w:tcPr>
          <w:p w14:paraId="272325F5" w14:textId="77777777" w:rsidR="009F4766" w:rsidRPr="00DE12A3" w:rsidRDefault="009F4766" w:rsidP="00C917D6">
            <w:pPr>
              <w:pStyle w:val="NormalLeft"/>
            </w:pPr>
            <w:r w:rsidRPr="00DE12A3">
              <w:t>595</w:t>
            </w:r>
          </w:p>
        </w:tc>
        <w:tc>
          <w:tcPr>
            <w:tcW w:w="2489" w:type="dxa"/>
            <w:tcBorders>
              <w:top w:val="single" w:sz="2" w:space="0" w:color="auto"/>
              <w:left w:val="single" w:sz="2" w:space="0" w:color="auto"/>
              <w:bottom w:val="single" w:sz="2" w:space="0" w:color="auto"/>
              <w:right w:val="single" w:sz="2" w:space="0" w:color="auto"/>
            </w:tcBorders>
          </w:tcPr>
          <w:p w14:paraId="0A73EA3E" w14:textId="77777777" w:rsidR="009F4766" w:rsidRPr="00DE12A3" w:rsidRDefault="009F4766" w:rsidP="00C917D6">
            <w:pPr>
              <w:pStyle w:val="NormalLeft"/>
            </w:pPr>
            <w:r w:rsidRPr="00DE12A3">
              <w:t>103</w:t>
            </w:r>
          </w:p>
        </w:tc>
        <w:tc>
          <w:tcPr>
            <w:tcW w:w="2551" w:type="dxa"/>
            <w:tcBorders>
              <w:top w:val="single" w:sz="2" w:space="0" w:color="auto"/>
              <w:left w:val="single" w:sz="2" w:space="0" w:color="auto"/>
              <w:bottom w:val="single" w:sz="2" w:space="0" w:color="auto"/>
              <w:right w:val="single" w:sz="2" w:space="0" w:color="auto"/>
            </w:tcBorders>
          </w:tcPr>
          <w:p w14:paraId="1BEE15E1" w14:textId="77777777" w:rsidR="009F4766" w:rsidRPr="00DE12A3" w:rsidRDefault="009F4766" w:rsidP="00C917D6">
            <w:pPr>
              <w:pStyle w:val="NormalLeft"/>
            </w:pPr>
            <w:r w:rsidRPr="00DE12A3">
              <w:t>61</w:t>
            </w:r>
          </w:p>
        </w:tc>
      </w:tr>
      <w:tr w:rsidR="00DE12A3" w:rsidRPr="00DE12A3" w14:paraId="155645B0" w14:textId="77777777" w:rsidTr="009F4766">
        <w:tc>
          <w:tcPr>
            <w:tcW w:w="1182" w:type="dxa"/>
            <w:tcBorders>
              <w:top w:val="single" w:sz="2" w:space="0" w:color="auto"/>
              <w:left w:val="single" w:sz="2" w:space="0" w:color="auto"/>
              <w:bottom w:val="single" w:sz="2" w:space="0" w:color="auto"/>
              <w:right w:val="single" w:sz="2" w:space="0" w:color="auto"/>
            </w:tcBorders>
          </w:tcPr>
          <w:p w14:paraId="420354F3" w14:textId="77777777" w:rsidR="009F4766" w:rsidRPr="00DE12A3" w:rsidRDefault="009F4766" w:rsidP="00C917D6">
            <w:pPr>
              <w:pStyle w:val="NormalLeft"/>
            </w:pPr>
            <w:r w:rsidRPr="00DE12A3">
              <w:lastRenderedPageBreak/>
              <w:t>596</w:t>
            </w:r>
          </w:p>
        </w:tc>
        <w:tc>
          <w:tcPr>
            <w:tcW w:w="2489" w:type="dxa"/>
            <w:tcBorders>
              <w:top w:val="single" w:sz="2" w:space="0" w:color="auto"/>
              <w:left w:val="single" w:sz="2" w:space="0" w:color="auto"/>
              <w:bottom w:val="single" w:sz="2" w:space="0" w:color="auto"/>
              <w:right w:val="single" w:sz="2" w:space="0" w:color="auto"/>
            </w:tcBorders>
          </w:tcPr>
          <w:p w14:paraId="14DEB6D0" w14:textId="77777777" w:rsidR="009F4766" w:rsidRPr="00DE12A3" w:rsidRDefault="009F4766" w:rsidP="00C917D6">
            <w:pPr>
              <w:pStyle w:val="NormalLeft"/>
            </w:pPr>
            <w:r w:rsidRPr="00DE12A3">
              <w:t>102</w:t>
            </w:r>
          </w:p>
        </w:tc>
        <w:tc>
          <w:tcPr>
            <w:tcW w:w="2551" w:type="dxa"/>
            <w:tcBorders>
              <w:top w:val="single" w:sz="2" w:space="0" w:color="auto"/>
              <w:left w:val="single" w:sz="2" w:space="0" w:color="auto"/>
              <w:bottom w:val="single" w:sz="2" w:space="0" w:color="auto"/>
              <w:right w:val="single" w:sz="2" w:space="0" w:color="auto"/>
            </w:tcBorders>
          </w:tcPr>
          <w:p w14:paraId="3F17F672" w14:textId="77777777" w:rsidR="009F4766" w:rsidRPr="00DE12A3" w:rsidRDefault="009F4766" w:rsidP="00C917D6">
            <w:pPr>
              <w:pStyle w:val="NormalLeft"/>
            </w:pPr>
            <w:r w:rsidRPr="00DE12A3">
              <w:t>64</w:t>
            </w:r>
          </w:p>
        </w:tc>
      </w:tr>
      <w:tr w:rsidR="00DE12A3" w:rsidRPr="00DE12A3" w14:paraId="08098F80" w14:textId="77777777" w:rsidTr="009F4766">
        <w:tc>
          <w:tcPr>
            <w:tcW w:w="1182" w:type="dxa"/>
            <w:tcBorders>
              <w:top w:val="single" w:sz="2" w:space="0" w:color="auto"/>
              <w:left w:val="single" w:sz="2" w:space="0" w:color="auto"/>
              <w:bottom w:val="single" w:sz="2" w:space="0" w:color="auto"/>
              <w:right w:val="single" w:sz="2" w:space="0" w:color="auto"/>
            </w:tcBorders>
          </w:tcPr>
          <w:p w14:paraId="29BC3559" w14:textId="77777777" w:rsidR="009F4766" w:rsidRPr="00DE12A3" w:rsidRDefault="009F4766" w:rsidP="00C917D6">
            <w:pPr>
              <w:pStyle w:val="NormalLeft"/>
            </w:pPr>
            <w:r w:rsidRPr="00DE12A3">
              <w:t>597</w:t>
            </w:r>
          </w:p>
        </w:tc>
        <w:tc>
          <w:tcPr>
            <w:tcW w:w="2489" w:type="dxa"/>
            <w:tcBorders>
              <w:top w:val="single" w:sz="2" w:space="0" w:color="auto"/>
              <w:left w:val="single" w:sz="2" w:space="0" w:color="auto"/>
              <w:bottom w:val="single" w:sz="2" w:space="0" w:color="auto"/>
              <w:right w:val="single" w:sz="2" w:space="0" w:color="auto"/>
            </w:tcBorders>
          </w:tcPr>
          <w:p w14:paraId="34576AF4" w14:textId="77777777" w:rsidR="009F4766" w:rsidRPr="00DE12A3" w:rsidRDefault="009F4766" w:rsidP="00C917D6">
            <w:pPr>
              <w:pStyle w:val="NormalLeft"/>
            </w:pPr>
            <w:r w:rsidRPr="00DE12A3">
              <w:t>103</w:t>
            </w:r>
          </w:p>
        </w:tc>
        <w:tc>
          <w:tcPr>
            <w:tcW w:w="2551" w:type="dxa"/>
            <w:tcBorders>
              <w:top w:val="single" w:sz="2" w:space="0" w:color="auto"/>
              <w:left w:val="single" w:sz="2" w:space="0" w:color="auto"/>
              <w:bottom w:val="single" w:sz="2" w:space="0" w:color="auto"/>
              <w:right w:val="single" w:sz="2" w:space="0" w:color="auto"/>
            </w:tcBorders>
          </w:tcPr>
          <w:p w14:paraId="18AEE165" w14:textId="77777777" w:rsidR="009F4766" w:rsidRPr="00DE12A3" w:rsidRDefault="009F4766" w:rsidP="00C917D6">
            <w:pPr>
              <w:pStyle w:val="NormalLeft"/>
            </w:pPr>
            <w:r w:rsidRPr="00DE12A3">
              <w:t>60</w:t>
            </w:r>
          </w:p>
        </w:tc>
      </w:tr>
      <w:tr w:rsidR="00DE12A3" w:rsidRPr="00DE12A3" w14:paraId="487288B9" w14:textId="77777777" w:rsidTr="009F4766">
        <w:tc>
          <w:tcPr>
            <w:tcW w:w="1182" w:type="dxa"/>
            <w:tcBorders>
              <w:top w:val="single" w:sz="2" w:space="0" w:color="auto"/>
              <w:left w:val="single" w:sz="2" w:space="0" w:color="auto"/>
              <w:bottom w:val="single" w:sz="2" w:space="0" w:color="auto"/>
              <w:right w:val="single" w:sz="2" w:space="0" w:color="auto"/>
            </w:tcBorders>
          </w:tcPr>
          <w:p w14:paraId="71D2D0A1" w14:textId="77777777" w:rsidR="009F4766" w:rsidRPr="00DE12A3" w:rsidRDefault="009F4766" w:rsidP="00C917D6">
            <w:pPr>
              <w:pStyle w:val="NormalLeft"/>
            </w:pPr>
            <w:r w:rsidRPr="00DE12A3">
              <w:t>598</w:t>
            </w:r>
          </w:p>
        </w:tc>
        <w:tc>
          <w:tcPr>
            <w:tcW w:w="2489" w:type="dxa"/>
            <w:tcBorders>
              <w:top w:val="single" w:sz="2" w:space="0" w:color="auto"/>
              <w:left w:val="single" w:sz="2" w:space="0" w:color="auto"/>
              <w:bottom w:val="single" w:sz="2" w:space="0" w:color="auto"/>
              <w:right w:val="single" w:sz="2" w:space="0" w:color="auto"/>
            </w:tcBorders>
          </w:tcPr>
          <w:p w14:paraId="3F9A93FE" w14:textId="77777777" w:rsidR="009F4766" w:rsidRPr="00DE12A3" w:rsidRDefault="009F4766" w:rsidP="00C917D6">
            <w:pPr>
              <w:pStyle w:val="NormalLeft"/>
            </w:pPr>
            <w:r w:rsidRPr="00DE12A3">
              <w:t>93</w:t>
            </w:r>
          </w:p>
        </w:tc>
        <w:tc>
          <w:tcPr>
            <w:tcW w:w="2551" w:type="dxa"/>
            <w:tcBorders>
              <w:top w:val="single" w:sz="2" w:space="0" w:color="auto"/>
              <w:left w:val="single" w:sz="2" w:space="0" w:color="auto"/>
              <w:bottom w:val="single" w:sz="2" w:space="0" w:color="auto"/>
              <w:right w:val="single" w:sz="2" w:space="0" w:color="auto"/>
            </w:tcBorders>
          </w:tcPr>
          <w:p w14:paraId="282C5982" w14:textId="77777777" w:rsidR="009F4766" w:rsidRPr="00DE12A3" w:rsidRDefault="009F4766" w:rsidP="00C917D6">
            <w:pPr>
              <w:pStyle w:val="NormalLeft"/>
            </w:pPr>
            <w:r w:rsidRPr="00DE12A3">
              <w:t>72</w:t>
            </w:r>
          </w:p>
        </w:tc>
      </w:tr>
      <w:tr w:rsidR="00DE12A3" w:rsidRPr="00DE12A3" w14:paraId="45679E60" w14:textId="77777777" w:rsidTr="009F4766">
        <w:tc>
          <w:tcPr>
            <w:tcW w:w="1182" w:type="dxa"/>
            <w:tcBorders>
              <w:top w:val="single" w:sz="2" w:space="0" w:color="auto"/>
              <w:left w:val="single" w:sz="2" w:space="0" w:color="auto"/>
              <w:bottom w:val="single" w:sz="2" w:space="0" w:color="auto"/>
              <w:right w:val="single" w:sz="2" w:space="0" w:color="auto"/>
            </w:tcBorders>
          </w:tcPr>
          <w:p w14:paraId="6CF3F965" w14:textId="77777777" w:rsidR="009F4766" w:rsidRPr="00DE12A3" w:rsidRDefault="009F4766" w:rsidP="00C917D6">
            <w:pPr>
              <w:pStyle w:val="NormalLeft"/>
            </w:pPr>
            <w:r w:rsidRPr="00DE12A3">
              <w:t>599</w:t>
            </w:r>
          </w:p>
        </w:tc>
        <w:tc>
          <w:tcPr>
            <w:tcW w:w="2489" w:type="dxa"/>
            <w:tcBorders>
              <w:top w:val="single" w:sz="2" w:space="0" w:color="auto"/>
              <w:left w:val="single" w:sz="2" w:space="0" w:color="auto"/>
              <w:bottom w:val="single" w:sz="2" w:space="0" w:color="auto"/>
              <w:right w:val="single" w:sz="2" w:space="0" w:color="auto"/>
            </w:tcBorders>
          </w:tcPr>
          <w:p w14:paraId="66B38FE0" w14:textId="77777777" w:rsidR="009F4766" w:rsidRPr="00DE12A3" w:rsidRDefault="009F4766" w:rsidP="00C917D6">
            <w:pPr>
              <w:pStyle w:val="NormalLeft"/>
            </w:pPr>
            <w:r w:rsidRPr="00DE12A3">
              <w:t>86</w:t>
            </w:r>
          </w:p>
        </w:tc>
        <w:tc>
          <w:tcPr>
            <w:tcW w:w="2551" w:type="dxa"/>
            <w:tcBorders>
              <w:top w:val="single" w:sz="2" w:space="0" w:color="auto"/>
              <w:left w:val="single" w:sz="2" w:space="0" w:color="auto"/>
              <w:bottom w:val="single" w:sz="2" w:space="0" w:color="auto"/>
              <w:right w:val="single" w:sz="2" w:space="0" w:color="auto"/>
            </w:tcBorders>
          </w:tcPr>
          <w:p w14:paraId="11A36BB4" w14:textId="77777777" w:rsidR="009F4766" w:rsidRPr="00DE12A3" w:rsidRDefault="009F4766" w:rsidP="00C917D6">
            <w:pPr>
              <w:pStyle w:val="NormalLeft"/>
            </w:pPr>
            <w:r w:rsidRPr="00DE12A3">
              <w:t>73</w:t>
            </w:r>
          </w:p>
        </w:tc>
      </w:tr>
      <w:tr w:rsidR="00DE12A3" w:rsidRPr="00DE12A3" w14:paraId="13139D16" w14:textId="77777777" w:rsidTr="009F4766">
        <w:tc>
          <w:tcPr>
            <w:tcW w:w="1182" w:type="dxa"/>
            <w:tcBorders>
              <w:top w:val="single" w:sz="2" w:space="0" w:color="auto"/>
              <w:left w:val="single" w:sz="2" w:space="0" w:color="auto"/>
              <w:bottom w:val="single" w:sz="2" w:space="0" w:color="auto"/>
              <w:right w:val="single" w:sz="2" w:space="0" w:color="auto"/>
            </w:tcBorders>
          </w:tcPr>
          <w:p w14:paraId="33339561" w14:textId="77777777" w:rsidR="009F4766" w:rsidRPr="00DE12A3" w:rsidRDefault="009F4766" w:rsidP="00C917D6">
            <w:pPr>
              <w:pStyle w:val="NormalLeft"/>
            </w:pPr>
            <w:r w:rsidRPr="00DE12A3">
              <w:t>600</w:t>
            </w:r>
          </w:p>
        </w:tc>
        <w:tc>
          <w:tcPr>
            <w:tcW w:w="2489" w:type="dxa"/>
            <w:tcBorders>
              <w:top w:val="single" w:sz="2" w:space="0" w:color="auto"/>
              <w:left w:val="single" w:sz="2" w:space="0" w:color="auto"/>
              <w:bottom w:val="single" w:sz="2" w:space="0" w:color="auto"/>
              <w:right w:val="single" w:sz="2" w:space="0" w:color="auto"/>
            </w:tcBorders>
          </w:tcPr>
          <w:p w14:paraId="5CF66F2C" w14:textId="77777777" w:rsidR="009F4766" w:rsidRPr="00DE12A3" w:rsidRDefault="009F4766" w:rsidP="00C917D6">
            <w:pPr>
              <w:pStyle w:val="NormalLeft"/>
            </w:pPr>
            <w:r w:rsidRPr="00DE12A3">
              <w:t>76</w:t>
            </w:r>
          </w:p>
        </w:tc>
        <w:tc>
          <w:tcPr>
            <w:tcW w:w="2551" w:type="dxa"/>
            <w:tcBorders>
              <w:top w:val="single" w:sz="2" w:space="0" w:color="auto"/>
              <w:left w:val="single" w:sz="2" w:space="0" w:color="auto"/>
              <w:bottom w:val="single" w:sz="2" w:space="0" w:color="auto"/>
              <w:right w:val="single" w:sz="2" w:space="0" w:color="auto"/>
            </w:tcBorders>
          </w:tcPr>
          <w:p w14:paraId="7513C904" w14:textId="77777777" w:rsidR="009F4766" w:rsidRPr="00DE12A3" w:rsidRDefault="009F4766" w:rsidP="00C917D6">
            <w:pPr>
              <w:pStyle w:val="NormalLeft"/>
            </w:pPr>
            <w:r w:rsidRPr="00DE12A3">
              <w:t>73</w:t>
            </w:r>
          </w:p>
        </w:tc>
      </w:tr>
      <w:tr w:rsidR="00DE12A3" w:rsidRPr="00DE12A3" w14:paraId="7C9B2340" w14:textId="77777777" w:rsidTr="009F4766">
        <w:tc>
          <w:tcPr>
            <w:tcW w:w="1182" w:type="dxa"/>
            <w:tcBorders>
              <w:top w:val="single" w:sz="2" w:space="0" w:color="auto"/>
              <w:left w:val="single" w:sz="2" w:space="0" w:color="auto"/>
              <w:bottom w:val="single" w:sz="2" w:space="0" w:color="auto"/>
              <w:right w:val="single" w:sz="2" w:space="0" w:color="auto"/>
            </w:tcBorders>
          </w:tcPr>
          <w:p w14:paraId="727E0791" w14:textId="77777777" w:rsidR="009F4766" w:rsidRPr="00DE12A3" w:rsidRDefault="009F4766" w:rsidP="00C917D6">
            <w:pPr>
              <w:pStyle w:val="NormalLeft"/>
            </w:pPr>
            <w:r w:rsidRPr="00DE12A3">
              <w:t>601</w:t>
            </w:r>
          </w:p>
        </w:tc>
        <w:tc>
          <w:tcPr>
            <w:tcW w:w="2489" w:type="dxa"/>
            <w:tcBorders>
              <w:top w:val="single" w:sz="2" w:space="0" w:color="auto"/>
              <w:left w:val="single" w:sz="2" w:space="0" w:color="auto"/>
              <w:bottom w:val="single" w:sz="2" w:space="0" w:color="auto"/>
              <w:right w:val="single" w:sz="2" w:space="0" w:color="auto"/>
            </w:tcBorders>
          </w:tcPr>
          <w:p w14:paraId="67F536D1" w14:textId="77777777" w:rsidR="009F4766" w:rsidRPr="00DE12A3" w:rsidRDefault="009F4766" w:rsidP="00C917D6">
            <w:pPr>
              <w:pStyle w:val="NormalLeft"/>
            </w:pPr>
            <w:r w:rsidRPr="00DE12A3">
              <w:t>59</w:t>
            </w:r>
          </w:p>
        </w:tc>
        <w:tc>
          <w:tcPr>
            <w:tcW w:w="2551" w:type="dxa"/>
            <w:tcBorders>
              <w:top w:val="single" w:sz="2" w:space="0" w:color="auto"/>
              <w:left w:val="single" w:sz="2" w:space="0" w:color="auto"/>
              <w:bottom w:val="single" w:sz="2" w:space="0" w:color="auto"/>
              <w:right w:val="single" w:sz="2" w:space="0" w:color="auto"/>
            </w:tcBorders>
          </w:tcPr>
          <w:p w14:paraId="4544D48E" w14:textId="77777777" w:rsidR="009F4766" w:rsidRPr="00DE12A3" w:rsidRDefault="009F4766" w:rsidP="00C917D6">
            <w:pPr>
              <w:pStyle w:val="NormalLeft"/>
            </w:pPr>
            <w:r w:rsidRPr="00DE12A3">
              <w:t>49</w:t>
            </w:r>
          </w:p>
        </w:tc>
      </w:tr>
      <w:tr w:rsidR="00DE12A3" w:rsidRPr="00DE12A3" w14:paraId="113ABBE1" w14:textId="77777777" w:rsidTr="009F4766">
        <w:tc>
          <w:tcPr>
            <w:tcW w:w="1182" w:type="dxa"/>
            <w:tcBorders>
              <w:top w:val="single" w:sz="2" w:space="0" w:color="auto"/>
              <w:left w:val="single" w:sz="2" w:space="0" w:color="auto"/>
              <w:bottom w:val="single" w:sz="2" w:space="0" w:color="auto"/>
              <w:right w:val="single" w:sz="2" w:space="0" w:color="auto"/>
            </w:tcBorders>
          </w:tcPr>
          <w:p w14:paraId="66A43C05" w14:textId="77777777" w:rsidR="009F4766" w:rsidRPr="00DE12A3" w:rsidRDefault="009F4766" w:rsidP="00C917D6">
            <w:pPr>
              <w:pStyle w:val="NormalLeft"/>
            </w:pPr>
            <w:r w:rsidRPr="00DE12A3">
              <w:t>602</w:t>
            </w:r>
          </w:p>
        </w:tc>
        <w:tc>
          <w:tcPr>
            <w:tcW w:w="2489" w:type="dxa"/>
            <w:tcBorders>
              <w:top w:val="single" w:sz="2" w:space="0" w:color="auto"/>
              <w:left w:val="single" w:sz="2" w:space="0" w:color="auto"/>
              <w:bottom w:val="single" w:sz="2" w:space="0" w:color="auto"/>
              <w:right w:val="single" w:sz="2" w:space="0" w:color="auto"/>
            </w:tcBorders>
          </w:tcPr>
          <w:p w14:paraId="459F69B4" w14:textId="77777777" w:rsidR="009F4766" w:rsidRPr="00DE12A3" w:rsidRDefault="009F4766" w:rsidP="00C917D6">
            <w:pPr>
              <w:pStyle w:val="NormalLeft"/>
            </w:pPr>
            <w:r w:rsidRPr="00DE12A3">
              <w:t>46</w:t>
            </w:r>
          </w:p>
        </w:tc>
        <w:tc>
          <w:tcPr>
            <w:tcW w:w="2551" w:type="dxa"/>
            <w:tcBorders>
              <w:top w:val="single" w:sz="2" w:space="0" w:color="auto"/>
              <w:left w:val="single" w:sz="2" w:space="0" w:color="auto"/>
              <w:bottom w:val="single" w:sz="2" w:space="0" w:color="auto"/>
              <w:right w:val="single" w:sz="2" w:space="0" w:color="auto"/>
            </w:tcBorders>
          </w:tcPr>
          <w:p w14:paraId="0FA6E8B9" w14:textId="77777777" w:rsidR="009F4766" w:rsidRPr="00DE12A3" w:rsidRDefault="009F4766" w:rsidP="00C917D6">
            <w:pPr>
              <w:pStyle w:val="NormalLeft"/>
            </w:pPr>
            <w:r w:rsidRPr="00DE12A3">
              <w:t>22</w:t>
            </w:r>
          </w:p>
        </w:tc>
      </w:tr>
      <w:tr w:rsidR="00DE12A3" w:rsidRPr="00DE12A3" w14:paraId="21A4FDFF" w14:textId="77777777" w:rsidTr="009F4766">
        <w:tc>
          <w:tcPr>
            <w:tcW w:w="1182" w:type="dxa"/>
            <w:tcBorders>
              <w:top w:val="single" w:sz="2" w:space="0" w:color="auto"/>
              <w:left w:val="single" w:sz="2" w:space="0" w:color="auto"/>
              <w:bottom w:val="single" w:sz="2" w:space="0" w:color="auto"/>
              <w:right w:val="single" w:sz="2" w:space="0" w:color="auto"/>
            </w:tcBorders>
          </w:tcPr>
          <w:p w14:paraId="154662D5" w14:textId="77777777" w:rsidR="009F4766" w:rsidRPr="00DE12A3" w:rsidRDefault="009F4766" w:rsidP="00C917D6">
            <w:pPr>
              <w:pStyle w:val="NormalLeft"/>
            </w:pPr>
            <w:r w:rsidRPr="00DE12A3">
              <w:t>603</w:t>
            </w:r>
          </w:p>
        </w:tc>
        <w:tc>
          <w:tcPr>
            <w:tcW w:w="2489" w:type="dxa"/>
            <w:tcBorders>
              <w:top w:val="single" w:sz="2" w:space="0" w:color="auto"/>
              <w:left w:val="single" w:sz="2" w:space="0" w:color="auto"/>
              <w:bottom w:val="single" w:sz="2" w:space="0" w:color="auto"/>
              <w:right w:val="single" w:sz="2" w:space="0" w:color="auto"/>
            </w:tcBorders>
          </w:tcPr>
          <w:p w14:paraId="484A52C8" w14:textId="77777777" w:rsidR="009F4766" w:rsidRPr="00DE12A3" w:rsidRDefault="009F4766" w:rsidP="00C917D6">
            <w:pPr>
              <w:pStyle w:val="NormalLeft"/>
            </w:pPr>
            <w:r w:rsidRPr="00DE12A3">
              <w:t>40</w:t>
            </w:r>
          </w:p>
        </w:tc>
        <w:tc>
          <w:tcPr>
            <w:tcW w:w="2551" w:type="dxa"/>
            <w:tcBorders>
              <w:top w:val="single" w:sz="2" w:space="0" w:color="auto"/>
              <w:left w:val="single" w:sz="2" w:space="0" w:color="auto"/>
              <w:bottom w:val="single" w:sz="2" w:space="0" w:color="auto"/>
              <w:right w:val="single" w:sz="2" w:space="0" w:color="auto"/>
            </w:tcBorders>
          </w:tcPr>
          <w:p w14:paraId="66568E7B" w14:textId="77777777" w:rsidR="009F4766" w:rsidRPr="00DE12A3" w:rsidRDefault="009F4766" w:rsidP="00C917D6">
            <w:pPr>
              <w:pStyle w:val="NormalLeft"/>
            </w:pPr>
            <w:r w:rsidRPr="00DE12A3">
              <w:t>65</w:t>
            </w:r>
          </w:p>
        </w:tc>
      </w:tr>
      <w:tr w:rsidR="00DE12A3" w:rsidRPr="00DE12A3" w14:paraId="71173B12" w14:textId="77777777" w:rsidTr="009F4766">
        <w:tc>
          <w:tcPr>
            <w:tcW w:w="1182" w:type="dxa"/>
            <w:tcBorders>
              <w:top w:val="single" w:sz="2" w:space="0" w:color="auto"/>
              <w:left w:val="single" w:sz="2" w:space="0" w:color="auto"/>
              <w:bottom w:val="single" w:sz="2" w:space="0" w:color="auto"/>
              <w:right w:val="single" w:sz="2" w:space="0" w:color="auto"/>
            </w:tcBorders>
          </w:tcPr>
          <w:p w14:paraId="51B0D609" w14:textId="77777777" w:rsidR="009F4766" w:rsidRPr="00DE12A3" w:rsidRDefault="009F4766" w:rsidP="00C917D6">
            <w:pPr>
              <w:pStyle w:val="NormalLeft"/>
            </w:pPr>
            <w:r w:rsidRPr="00DE12A3">
              <w:t>604</w:t>
            </w:r>
          </w:p>
        </w:tc>
        <w:tc>
          <w:tcPr>
            <w:tcW w:w="2489" w:type="dxa"/>
            <w:tcBorders>
              <w:top w:val="single" w:sz="2" w:space="0" w:color="auto"/>
              <w:left w:val="single" w:sz="2" w:space="0" w:color="auto"/>
              <w:bottom w:val="single" w:sz="2" w:space="0" w:color="auto"/>
              <w:right w:val="single" w:sz="2" w:space="0" w:color="auto"/>
            </w:tcBorders>
          </w:tcPr>
          <w:p w14:paraId="080FEC2B" w14:textId="77777777" w:rsidR="009F4766" w:rsidRPr="00DE12A3" w:rsidRDefault="009F4766" w:rsidP="00C917D6">
            <w:pPr>
              <w:pStyle w:val="NormalLeft"/>
            </w:pPr>
            <w:r w:rsidRPr="00DE12A3">
              <w:t>72</w:t>
            </w:r>
          </w:p>
        </w:tc>
        <w:tc>
          <w:tcPr>
            <w:tcW w:w="2551" w:type="dxa"/>
            <w:tcBorders>
              <w:top w:val="single" w:sz="2" w:space="0" w:color="auto"/>
              <w:left w:val="single" w:sz="2" w:space="0" w:color="auto"/>
              <w:bottom w:val="single" w:sz="2" w:space="0" w:color="auto"/>
              <w:right w:val="single" w:sz="2" w:space="0" w:color="auto"/>
            </w:tcBorders>
          </w:tcPr>
          <w:p w14:paraId="65E3D961" w14:textId="77777777" w:rsidR="009F4766" w:rsidRPr="00DE12A3" w:rsidRDefault="009F4766" w:rsidP="00C917D6">
            <w:pPr>
              <w:pStyle w:val="NormalLeft"/>
            </w:pPr>
            <w:r w:rsidRPr="00DE12A3">
              <w:t>31</w:t>
            </w:r>
          </w:p>
        </w:tc>
      </w:tr>
      <w:tr w:rsidR="00DE12A3" w:rsidRPr="00DE12A3" w14:paraId="1E079D92" w14:textId="77777777" w:rsidTr="009F4766">
        <w:tc>
          <w:tcPr>
            <w:tcW w:w="1182" w:type="dxa"/>
            <w:tcBorders>
              <w:top w:val="single" w:sz="2" w:space="0" w:color="auto"/>
              <w:left w:val="single" w:sz="2" w:space="0" w:color="auto"/>
              <w:bottom w:val="single" w:sz="2" w:space="0" w:color="auto"/>
              <w:right w:val="single" w:sz="2" w:space="0" w:color="auto"/>
            </w:tcBorders>
          </w:tcPr>
          <w:p w14:paraId="234223C4" w14:textId="77777777" w:rsidR="009F4766" w:rsidRPr="00DE12A3" w:rsidRDefault="009F4766" w:rsidP="00C917D6">
            <w:pPr>
              <w:pStyle w:val="NormalLeft"/>
            </w:pPr>
            <w:r w:rsidRPr="00DE12A3">
              <w:t>605</w:t>
            </w:r>
          </w:p>
        </w:tc>
        <w:tc>
          <w:tcPr>
            <w:tcW w:w="2489" w:type="dxa"/>
            <w:tcBorders>
              <w:top w:val="single" w:sz="2" w:space="0" w:color="auto"/>
              <w:left w:val="single" w:sz="2" w:space="0" w:color="auto"/>
              <w:bottom w:val="single" w:sz="2" w:space="0" w:color="auto"/>
              <w:right w:val="single" w:sz="2" w:space="0" w:color="auto"/>
            </w:tcBorders>
          </w:tcPr>
          <w:p w14:paraId="3B62E45B" w14:textId="77777777" w:rsidR="009F4766" w:rsidRPr="00DE12A3" w:rsidRDefault="009F4766" w:rsidP="00C917D6">
            <w:pPr>
              <w:pStyle w:val="NormalLeft"/>
            </w:pPr>
            <w:r w:rsidRPr="00DE12A3">
              <w:t>72</w:t>
            </w:r>
          </w:p>
        </w:tc>
        <w:tc>
          <w:tcPr>
            <w:tcW w:w="2551" w:type="dxa"/>
            <w:tcBorders>
              <w:top w:val="single" w:sz="2" w:space="0" w:color="auto"/>
              <w:left w:val="single" w:sz="2" w:space="0" w:color="auto"/>
              <w:bottom w:val="single" w:sz="2" w:space="0" w:color="auto"/>
              <w:right w:val="single" w:sz="2" w:space="0" w:color="auto"/>
            </w:tcBorders>
          </w:tcPr>
          <w:p w14:paraId="5BDF3BD7" w14:textId="77777777" w:rsidR="009F4766" w:rsidRPr="00DE12A3" w:rsidRDefault="009F4766" w:rsidP="00C917D6">
            <w:pPr>
              <w:pStyle w:val="NormalLeft"/>
            </w:pPr>
            <w:r w:rsidRPr="00DE12A3">
              <w:t>27</w:t>
            </w:r>
          </w:p>
        </w:tc>
      </w:tr>
      <w:tr w:rsidR="00DE12A3" w:rsidRPr="00DE12A3" w14:paraId="54975160" w14:textId="77777777" w:rsidTr="009F4766">
        <w:tc>
          <w:tcPr>
            <w:tcW w:w="1182" w:type="dxa"/>
            <w:tcBorders>
              <w:top w:val="single" w:sz="2" w:space="0" w:color="auto"/>
              <w:left w:val="single" w:sz="2" w:space="0" w:color="auto"/>
              <w:bottom w:val="single" w:sz="2" w:space="0" w:color="auto"/>
              <w:right w:val="single" w:sz="2" w:space="0" w:color="auto"/>
            </w:tcBorders>
          </w:tcPr>
          <w:p w14:paraId="2534A42F" w14:textId="77777777" w:rsidR="009F4766" w:rsidRPr="00DE12A3" w:rsidRDefault="009F4766" w:rsidP="00C917D6">
            <w:pPr>
              <w:pStyle w:val="NormalLeft"/>
            </w:pPr>
            <w:r w:rsidRPr="00DE12A3">
              <w:t>606</w:t>
            </w:r>
          </w:p>
        </w:tc>
        <w:tc>
          <w:tcPr>
            <w:tcW w:w="2489" w:type="dxa"/>
            <w:tcBorders>
              <w:top w:val="single" w:sz="2" w:space="0" w:color="auto"/>
              <w:left w:val="single" w:sz="2" w:space="0" w:color="auto"/>
              <w:bottom w:val="single" w:sz="2" w:space="0" w:color="auto"/>
              <w:right w:val="single" w:sz="2" w:space="0" w:color="auto"/>
            </w:tcBorders>
          </w:tcPr>
          <w:p w14:paraId="6F8B771D" w14:textId="77777777" w:rsidR="009F4766" w:rsidRPr="00DE12A3" w:rsidRDefault="009F4766" w:rsidP="00C917D6">
            <w:pPr>
              <w:pStyle w:val="NormalLeft"/>
            </w:pPr>
            <w:r w:rsidRPr="00DE12A3">
              <w:t>67</w:t>
            </w:r>
          </w:p>
        </w:tc>
        <w:tc>
          <w:tcPr>
            <w:tcW w:w="2551" w:type="dxa"/>
            <w:tcBorders>
              <w:top w:val="single" w:sz="2" w:space="0" w:color="auto"/>
              <w:left w:val="single" w:sz="2" w:space="0" w:color="auto"/>
              <w:bottom w:val="single" w:sz="2" w:space="0" w:color="auto"/>
              <w:right w:val="single" w:sz="2" w:space="0" w:color="auto"/>
            </w:tcBorders>
          </w:tcPr>
          <w:p w14:paraId="54657DC8" w14:textId="77777777" w:rsidR="009F4766" w:rsidRPr="00DE12A3" w:rsidRDefault="009F4766" w:rsidP="00C917D6">
            <w:pPr>
              <w:pStyle w:val="NormalLeft"/>
            </w:pPr>
            <w:r w:rsidRPr="00DE12A3">
              <w:t>44</w:t>
            </w:r>
          </w:p>
        </w:tc>
      </w:tr>
      <w:tr w:rsidR="00DE12A3" w:rsidRPr="00DE12A3" w14:paraId="2F91A221" w14:textId="77777777" w:rsidTr="009F4766">
        <w:tc>
          <w:tcPr>
            <w:tcW w:w="1182" w:type="dxa"/>
            <w:tcBorders>
              <w:top w:val="single" w:sz="2" w:space="0" w:color="auto"/>
              <w:left w:val="single" w:sz="2" w:space="0" w:color="auto"/>
              <w:bottom w:val="single" w:sz="2" w:space="0" w:color="auto"/>
              <w:right w:val="single" w:sz="2" w:space="0" w:color="auto"/>
            </w:tcBorders>
          </w:tcPr>
          <w:p w14:paraId="4C19A30C" w14:textId="77777777" w:rsidR="009F4766" w:rsidRPr="00DE12A3" w:rsidRDefault="009F4766" w:rsidP="00C917D6">
            <w:pPr>
              <w:pStyle w:val="NormalLeft"/>
            </w:pPr>
            <w:r w:rsidRPr="00DE12A3">
              <w:t>607</w:t>
            </w:r>
          </w:p>
        </w:tc>
        <w:tc>
          <w:tcPr>
            <w:tcW w:w="2489" w:type="dxa"/>
            <w:tcBorders>
              <w:top w:val="single" w:sz="2" w:space="0" w:color="auto"/>
              <w:left w:val="single" w:sz="2" w:space="0" w:color="auto"/>
              <w:bottom w:val="single" w:sz="2" w:space="0" w:color="auto"/>
              <w:right w:val="single" w:sz="2" w:space="0" w:color="auto"/>
            </w:tcBorders>
          </w:tcPr>
          <w:p w14:paraId="0E90CEAA" w14:textId="77777777" w:rsidR="009F4766" w:rsidRPr="00DE12A3" w:rsidRDefault="009F4766" w:rsidP="00C917D6">
            <w:pPr>
              <w:pStyle w:val="NormalLeft"/>
            </w:pPr>
            <w:r w:rsidRPr="00DE12A3">
              <w:t>68</w:t>
            </w:r>
          </w:p>
        </w:tc>
        <w:tc>
          <w:tcPr>
            <w:tcW w:w="2551" w:type="dxa"/>
            <w:tcBorders>
              <w:top w:val="single" w:sz="2" w:space="0" w:color="auto"/>
              <w:left w:val="single" w:sz="2" w:space="0" w:color="auto"/>
              <w:bottom w:val="single" w:sz="2" w:space="0" w:color="auto"/>
              <w:right w:val="single" w:sz="2" w:space="0" w:color="auto"/>
            </w:tcBorders>
          </w:tcPr>
          <w:p w14:paraId="64551849" w14:textId="77777777" w:rsidR="009F4766" w:rsidRPr="00DE12A3" w:rsidRDefault="009F4766" w:rsidP="00C917D6">
            <w:pPr>
              <w:pStyle w:val="NormalLeft"/>
            </w:pPr>
            <w:r w:rsidRPr="00DE12A3">
              <w:t>37</w:t>
            </w:r>
          </w:p>
        </w:tc>
      </w:tr>
      <w:tr w:rsidR="00DE12A3" w:rsidRPr="00DE12A3" w14:paraId="15777FBA" w14:textId="77777777" w:rsidTr="009F4766">
        <w:tc>
          <w:tcPr>
            <w:tcW w:w="1182" w:type="dxa"/>
            <w:tcBorders>
              <w:top w:val="single" w:sz="2" w:space="0" w:color="auto"/>
              <w:left w:val="single" w:sz="2" w:space="0" w:color="auto"/>
              <w:bottom w:val="single" w:sz="2" w:space="0" w:color="auto"/>
              <w:right w:val="single" w:sz="2" w:space="0" w:color="auto"/>
            </w:tcBorders>
          </w:tcPr>
          <w:p w14:paraId="01059E44" w14:textId="77777777" w:rsidR="009F4766" w:rsidRPr="00DE12A3" w:rsidRDefault="009F4766" w:rsidP="00C917D6">
            <w:pPr>
              <w:pStyle w:val="NormalLeft"/>
            </w:pPr>
            <w:r w:rsidRPr="00DE12A3">
              <w:t>608</w:t>
            </w:r>
          </w:p>
        </w:tc>
        <w:tc>
          <w:tcPr>
            <w:tcW w:w="2489" w:type="dxa"/>
            <w:tcBorders>
              <w:top w:val="single" w:sz="2" w:space="0" w:color="auto"/>
              <w:left w:val="single" w:sz="2" w:space="0" w:color="auto"/>
              <w:bottom w:val="single" w:sz="2" w:space="0" w:color="auto"/>
              <w:right w:val="single" w:sz="2" w:space="0" w:color="auto"/>
            </w:tcBorders>
          </w:tcPr>
          <w:p w14:paraId="4F9534C0" w14:textId="77777777" w:rsidR="009F4766" w:rsidRPr="00DE12A3" w:rsidRDefault="009F4766" w:rsidP="00C917D6">
            <w:pPr>
              <w:pStyle w:val="NormalLeft"/>
            </w:pPr>
            <w:r w:rsidRPr="00DE12A3">
              <w:t>67</w:t>
            </w:r>
          </w:p>
        </w:tc>
        <w:tc>
          <w:tcPr>
            <w:tcW w:w="2551" w:type="dxa"/>
            <w:tcBorders>
              <w:top w:val="single" w:sz="2" w:space="0" w:color="auto"/>
              <w:left w:val="single" w:sz="2" w:space="0" w:color="auto"/>
              <w:bottom w:val="single" w:sz="2" w:space="0" w:color="auto"/>
              <w:right w:val="single" w:sz="2" w:space="0" w:color="auto"/>
            </w:tcBorders>
          </w:tcPr>
          <w:p w14:paraId="2A157D5F" w14:textId="77777777" w:rsidR="009F4766" w:rsidRPr="00DE12A3" w:rsidRDefault="009F4766" w:rsidP="00C917D6">
            <w:pPr>
              <w:pStyle w:val="NormalLeft"/>
            </w:pPr>
            <w:r w:rsidRPr="00DE12A3">
              <w:t>42</w:t>
            </w:r>
          </w:p>
        </w:tc>
      </w:tr>
      <w:tr w:rsidR="00DE12A3" w:rsidRPr="00DE12A3" w14:paraId="6484B204" w14:textId="77777777" w:rsidTr="009F4766">
        <w:tc>
          <w:tcPr>
            <w:tcW w:w="1182" w:type="dxa"/>
            <w:tcBorders>
              <w:top w:val="single" w:sz="2" w:space="0" w:color="auto"/>
              <w:left w:val="single" w:sz="2" w:space="0" w:color="auto"/>
              <w:bottom w:val="single" w:sz="2" w:space="0" w:color="auto"/>
              <w:right w:val="single" w:sz="2" w:space="0" w:color="auto"/>
            </w:tcBorders>
          </w:tcPr>
          <w:p w14:paraId="246BD0B9" w14:textId="77777777" w:rsidR="009F4766" w:rsidRPr="00DE12A3" w:rsidRDefault="009F4766" w:rsidP="00C917D6">
            <w:pPr>
              <w:pStyle w:val="NormalLeft"/>
            </w:pPr>
            <w:r w:rsidRPr="00DE12A3">
              <w:t>609</w:t>
            </w:r>
          </w:p>
        </w:tc>
        <w:tc>
          <w:tcPr>
            <w:tcW w:w="2489" w:type="dxa"/>
            <w:tcBorders>
              <w:top w:val="single" w:sz="2" w:space="0" w:color="auto"/>
              <w:left w:val="single" w:sz="2" w:space="0" w:color="auto"/>
              <w:bottom w:val="single" w:sz="2" w:space="0" w:color="auto"/>
              <w:right w:val="single" w:sz="2" w:space="0" w:color="auto"/>
            </w:tcBorders>
          </w:tcPr>
          <w:p w14:paraId="57330DFD" w14:textId="77777777" w:rsidR="009F4766" w:rsidRPr="00DE12A3" w:rsidRDefault="009F4766" w:rsidP="00C917D6">
            <w:pPr>
              <w:pStyle w:val="NormalLeft"/>
            </w:pPr>
            <w:r w:rsidRPr="00DE12A3">
              <w:t>68</w:t>
            </w:r>
          </w:p>
        </w:tc>
        <w:tc>
          <w:tcPr>
            <w:tcW w:w="2551" w:type="dxa"/>
            <w:tcBorders>
              <w:top w:val="single" w:sz="2" w:space="0" w:color="auto"/>
              <w:left w:val="single" w:sz="2" w:space="0" w:color="auto"/>
              <w:bottom w:val="single" w:sz="2" w:space="0" w:color="auto"/>
              <w:right w:val="single" w:sz="2" w:space="0" w:color="auto"/>
            </w:tcBorders>
          </w:tcPr>
          <w:p w14:paraId="5CAC995F" w14:textId="77777777" w:rsidR="009F4766" w:rsidRPr="00DE12A3" w:rsidRDefault="009F4766" w:rsidP="00C917D6">
            <w:pPr>
              <w:pStyle w:val="NormalLeft"/>
            </w:pPr>
            <w:r w:rsidRPr="00DE12A3">
              <w:t>50</w:t>
            </w:r>
          </w:p>
        </w:tc>
      </w:tr>
      <w:tr w:rsidR="00DE12A3" w:rsidRPr="00DE12A3" w14:paraId="67C04903" w14:textId="77777777" w:rsidTr="009F4766">
        <w:tc>
          <w:tcPr>
            <w:tcW w:w="1182" w:type="dxa"/>
            <w:tcBorders>
              <w:top w:val="single" w:sz="2" w:space="0" w:color="auto"/>
              <w:left w:val="single" w:sz="2" w:space="0" w:color="auto"/>
              <w:bottom w:val="single" w:sz="2" w:space="0" w:color="auto"/>
              <w:right w:val="single" w:sz="2" w:space="0" w:color="auto"/>
            </w:tcBorders>
          </w:tcPr>
          <w:p w14:paraId="51AE41DB" w14:textId="77777777" w:rsidR="009F4766" w:rsidRPr="00DE12A3" w:rsidRDefault="009F4766" w:rsidP="00C917D6">
            <w:pPr>
              <w:pStyle w:val="NormalLeft"/>
            </w:pPr>
            <w:r w:rsidRPr="00DE12A3">
              <w:t>610</w:t>
            </w:r>
          </w:p>
        </w:tc>
        <w:tc>
          <w:tcPr>
            <w:tcW w:w="2489" w:type="dxa"/>
            <w:tcBorders>
              <w:top w:val="single" w:sz="2" w:space="0" w:color="auto"/>
              <w:left w:val="single" w:sz="2" w:space="0" w:color="auto"/>
              <w:bottom w:val="single" w:sz="2" w:space="0" w:color="auto"/>
              <w:right w:val="single" w:sz="2" w:space="0" w:color="auto"/>
            </w:tcBorders>
          </w:tcPr>
          <w:p w14:paraId="252158CF" w14:textId="77777777" w:rsidR="009F4766" w:rsidRPr="00DE12A3" w:rsidRDefault="009F4766" w:rsidP="00C917D6">
            <w:pPr>
              <w:pStyle w:val="NormalLeft"/>
            </w:pPr>
            <w:r w:rsidRPr="00DE12A3">
              <w:t>77</w:t>
            </w:r>
          </w:p>
        </w:tc>
        <w:tc>
          <w:tcPr>
            <w:tcW w:w="2551" w:type="dxa"/>
            <w:tcBorders>
              <w:top w:val="single" w:sz="2" w:space="0" w:color="auto"/>
              <w:left w:val="single" w:sz="2" w:space="0" w:color="auto"/>
              <w:bottom w:val="single" w:sz="2" w:space="0" w:color="auto"/>
              <w:right w:val="single" w:sz="2" w:space="0" w:color="auto"/>
            </w:tcBorders>
          </w:tcPr>
          <w:p w14:paraId="0B58C668" w14:textId="77777777" w:rsidR="009F4766" w:rsidRPr="00DE12A3" w:rsidRDefault="009F4766" w:rsidP="00C917D6">
            <w:pPr>
              <w:pStyle w:val="NormalLeft"/>
            </w:pPr>
            <w:r w:rsidRPr="00DE12A3">
              <w:t>43</w:t>
            </w:r>
          </w:p>
        </w:tc>
      </w:tr>
      <w:tr w:rsidR="00DE12A3" w:rsidRPr="00DE12A3" w14:paraId="06A45C09" w14:textId="77777777" w:rsidTr="009F4766">
        <w:tc>
          <w:tcPr>
            <w:tcW w:w="1182" w:type="dxa"/>
            <w:tcBorders>
              <w:top w:val="single" w:sz="2" w:space="0" w:color="auto"/>
              <w:left w:val="single" w:sz="2" w:space="0" w:color="auto"/>
              <w:bottom w:val="single" w:sz="2" w:space="0" w:color="auto"/>
              <w:right w:val="single" w:sz="2" w:space="0" w:color="auto"/>
            </w:tcBorders>
          </w:tcPr>
          <w:p w14:paraId="56BDF1FF" w14:textId="77777777" w:rsidR="009F4766" w:rsidRPr="00DE12A3" w:rsidRDefault="009F4766" w:rsidP="00C917D6">
            <w:pPr>
              <w:pStyle w:val="NormalLeft"/>
            </w:pPr>
            <w:r w:rsidRPr="00DE12A3">
              <w:t>611</w:t>
            </w:r>
          </w:p>
        </w:tc>
        <w:tc>
          <w:tcPr>
            <w:tcW w:w="2489" w:type="dxa"/>
            <w:tcBorders>
              <w:top w:val="single" w:sz="2" w:space="0" w:color="auto"/>
              <w:left w:val="single" w:sz="2" w:space="0" w:color="auto"/>
              <w:bottom w:val="single" w:sz="2" w:space="0" w:color="auto"/>
              <w:right w:val="single" w:sz="2" w:space="0" w:color="auto"/>
            </w:tcBorders>
          </w:tcPr>
          <w:p w14:paraId="4FF9B1C8" w14:textId="77777777" w:rsidR="009F4766" w:rsidRPr="00DE12A3" w:rsidRDefault="009F4766" w:rsidP="00C917D6">
            <w:pPr>
              <w:pStyle w:val="NormalLeft"/>
            </w:pPr>
            <w:r w:rsidRPr="00DE12A3">
              <w:t>58</w:t>
            </w:r>
          </w:p>
        </w:tc>
        <w:tc>
          <w:tcPr>
            <w:tcW w:w="2551" w:type="dxa"/>
            <w:tcBorders>
              <w:top w:val="single" w:sz="2" w:space="0" w:color="auto"/>
              <w:left w:val="single" w:sz="2" w:space="0" w:color="auto"/>
              <w:bottom w:val="single" w:sz="2" w:space="0" w:color="auto"/>
              <w:right w:val="single" w:sz="2" w:space="0" w:color="auto"/>
            </w:tcBorders>
          </w:tcPr>
          <w:p w14:paraId="39261FF2" w14:textId="77777777" w:rsidR="009F4766" w:rsidRPr="00DE12A3" w:rsidRDefault="009F4766" w:rsidP="00C917D6">
            <w:pPr>
              <w:pStyle w:val="NormalLeft"/>
            </w:pPr>
            <w:r w:rsidRPr="00DE12A3">
              <w:t>4</w:t>
            </w:r>
          </w:p>
        </w:tc>
      </w:tr>
      <w:tr w:rsidR="00DE12A3" w:rsidRPr="00DE12A3" w14:paraId="1E7FF305" w14:textId="77777777" w:rsidTr="009F4766">
        <w:tc>
          <w:tcPr>
            <w:tcW w:w="1182" w:type="dxa"/>
            <w:tcBorders>
              <w:top w:val="single" w:sz="2" w:space="0" w:color="auto"/>
              <w:left w:val="single" w:sz="2" w:space="0" w:color="auto"/>
              <w:bottom w:val="single" w:sz="2" w:space="0" w:color="auto"/>
              <w:right w:val="single" w:sz="2" w:space="0" w:color="auto"/>
            </w:tcBorders>
          </w:tcPr>
          <w:p w14:paraId="6A6B85EE" w14:textId="77777777" w:rsidR="009F4766" w:rsidRPr="00DE12A3" w:rsidRDefault="009F4766" w:rsidP="00C917D6">
            <w:pPr>
              <w:pStyle w:val="NormalLeft"/>
            </w:pPr>
            <w:r w:rsidRPr="00DE12A3">
              <w:t>612</w:t>
            </w:r>
          </w:p>
        </w:tc>
        <w:tc>
          <w:tcPr>
            <w:tcW w:w="2489" w:type="dxa"/>
            <w:tcBorders>
              <w:top w:val="single" w:sz="2" w:space="0" w:color="auto"/>
              <w:left w:val="single" w:sz="2" w:space="0" w:color="auto"/>
              <w:bottom w:val="single" w:sz="2" w:space="0" w:color="auto"/>
              <w:right w:val="single" w:sz="2" w:space="0" w:color="auto"/>
            </w:tcBorders>
          </w:tcPr>
          <w:p w14:paraId="39FDF24C" w14:textId="77777777" w:rsidR="009F4766" w:rsidRPr="00DE12A3" w:rsidRDefault="009F4766" w:rsidP="00C917D6">
            <w:pPr>
              <w:pStyle w:val="NormalLeft"/>
            </w:pPr>
            <w:r w:rsidRPr="00DE12A3">
              <w:t>22</w:t>
            </w:r>
          </w:p>
        </w:tc>
        <w:tc>
          <w:tcPr>
            <w:tcW w:w="2551" w:type="dxa"/>
            <w:tcBorders>
              <w:top w:val="single" w:sz="2" w:space="0" w:color="auto"/>
              <w:left w:val="single" w:sz="2" w:space="0" w:color="auto"/>
              <w:bottom w:val="single" w:sz="2" w:space="0" w:color="auto"/>
              <w:right w:val="single" w:sz="2" w:space="0" w:color="auto"/>
            </w:tcBorders>
          </w:tcPr>
          <w:p w14:paraId="5E452A98" w14:textId="77777777" w:rsidR="009F4766" w:rsidRPr="00DE12A3" w:rsidRDefault="009F4766" w:rsidP="00C917D6">
            <w:pPr>
              <w:pStyle w:val="NormalLeft"/>
            </w:pPr>
            <w:r w:rsidRPr="00DE12A3">
              <w:t>37</w:t>
            </w:r>
          </w:p>
        </w:tc>
      </w:tr>
      <w:tr w:rsidR="00DE12A3" w:rsidRPr="00DE12A3" w14:paraId="504AE88A" w14:textId="77777777" w:rsidTr="009F4766">
        <w:tc>
          <w:tcPr>
            <w:tcW w:w="1182" w:type="dxa"/>
            <w:tcBorders>
              <w:top w:val="single" w:sz="2" w:space="0" w:color="auto"/>
              <w:left w:val="single" w:sz="2" w:space="0" w:color="auto"/>
              <w:bottom w:val="single" w:sz="2" w:space="0" w:color="auto"/>
              <w:right w:val="single" w:sz="2" w:space="0" w:color="auto"/>
            </w:tcBorders>
          </w:tcPr>
          <w:p w14:paraId="2D9ACC93" w14:textId="77777777" w:rsidR="009F4766" w:rsidRPr="00DE12A3" w:rsidRDefault="009F4766" w:rsidP="00C917D6">
            <w:pPr>
              <w:pStyle w:val="NormalLeft"/>
            </w:pPr>
            <w:r w:rsidRPr="00DE12A3">
              <w:t>613</w:t>
            </w:r>
          </w:p>
        </w:tc>
        <w:tc>
          <w:tcPr>
            <w:tcW w:w="2489" w:type="dxa"/>
            <w:tcBorders>
              <w:top w:val="single" w:sz="2" w:space="0" w:color="auto"/>
              <w:left w:val="single" w:sz="2" w:space="0" w:color="auto"/>
              <w:bottom w:val="single" w:sz="2" w:space="0" w:color="auto"/>
              <w:right w:val="single" w:sz="2" w:space="0" w:color="auto"/>
            </w:tcBorders>
          </w:tcPr>
          <w:p w14:paraId="26A7015D" w14:textId="77777777" w:rsidR="009F4766" w:rsidRPr="00DE12A3" w:rsidRDefault="009F4766" w:rsidP="00C917D6">
            <w:pPr>
              <w:pStyle w:val="NormalLeft"/>
            </w:pPr>
            <w:r w:rsidRPr="00DE12A3">
              <w:t>57</w:t>
            </w:r>
          </w:p>
        </w:tc>
        <w:tc>
          <w:tcPr>
            <w:tcW w:w="2551" w:type="dxa"/>
            <w:tcBorders>
              <w:top w:val="single" w:sz="2" w:space="0" w:color="auto"/>
              <w:left w:val="single" w:sz="2" w:space="0" w:color="auto"/>
              <w:bottom w:val="single" w:sz="2" w:space="0" w:color="auto"/>
              <w:right w:val="single" w:sz="2" w:space="0" w:color="auto"/>
            </w:tcBorders>
          </w:tcPr>
          <w:p w14:paraId="6FEC1E14" w14:textId="77777777" w:rsidR="009F4766" w:rsidRPr="00DE12A3" w:rsidRDefault="009F4766" w:rsidP="00C917D6">
            <w:pPr>
              <w:pStyle w:val="NormalLeft"/>
            </w:pPr>
            <w:r w:rsidRPr="00DE12A3">
              <w:t>69</w:t>
            </w:r>
          </w:p>
        </w:tc>
      </w:tr>
      <w:tr w:rsidR="00DE12A3" w:rsidRPr="00DE12A3" w14:paraId="0A8F6BCD" w14:textId="77777777" w:rsidTr="009F4766">
        <w:tc>
          <w:tcPr>
            <w:tcW w:w="1182" w:type="dxa"/>
            <w:tcBorders>
              <w:top w:val="single" w:sz="2" w:space="0" w:color="auto"/>
              <w:left w:val="single" w:sz="2" w:space="0" w:color="auto"/>
              <w:bottom w:val="single" w:sz="2" w:space="0" w:color="auto"/>
              <w:right w:val="single" w:sz="2" w:space="0" w:color="auto"/>
            </w:tcBorders>
          </w:tcPr>
          <w:p w14:paraId="64C7D8F6" w14:textId="77777777" w:rsidR="009F4766" w:rsidRPr="00DE12A3" w:rsidRDefault="009F4766" w:rsidP="00C917D6">
            <w:pPr>
              <w:pStyle w:val="NormalLeft"/>
            </w:pPr>
            <w:r w:rsidRPr="00DE12A3">
              <w:t>614</w:t>
            </w:r>
          </w:p>
        </w:tc>
        <w:tc>
          <w:tcPr>
            <w:tcW w:w="2489" w:type="dxa"/>
            <w:tcBorders>
              <w:top w:val="single" w:sz="2" w:space="0" w:color="auto"/>
              <w:left w:val="single" w:sz="2" w:space="0" w:color="auto"/>
              <w:bottom w:val="single" w:sz="2" w:space="0" w:color="auto"/>
              <w:right w:val="single" w:sz="2" w:space="0" w:color="auto"/>
            </w:tcBorders>
          </w:tcPr>
          <w:p w14:paraId="61DB459C" w14:textId="77777777" w:rsidR="009F4766" w:rsidRPr="00DE12A3" w:rsidRDefault="009F4766" w:rsidP="00C917D6">
            <w:pPr>
              <w:pStyle w:val="NormalLeft"/>
            </w:pPr>
            <w:r w:rsidRPr="00DE12A3">
              <w:t>68</w:t>
            </w:r>
          </w:p>
        </w:tc>
        <w:tc>
          <w:tcPr>
            <w:tcW w:w="2551" w:type="dxa"/>
            <w:tcBorders>
              <w:top w:val="single" w:sz="2" w:space="0" w:color="auto"/>
              <w:left w:val="single" w:sz="2" w:space="0" w:color="auto"/>
              <w:bottom w:val="single" w:sz="2" w:space="0" w:color="auto"/>
              <w:right w:val="single" w:sz="2" w:space="0" w:color="auto"/>
            </w:tcBorders>
          </w:tcPr>
          <w:p w14:paraId="340A4F42" w14:textId="77777777" w:rsidR="009F4766" w:rsidRPr="00DE12A3" w:rsidRDefault="009F4766" w:rsidP="00C917D6">
            <w:pPr>
              <w:pStyle w:val="NormalLeft"/>
            </w:pPr>
            <w:r w:rsidRPr="00DE12A3">
              <w:t>38</w:t>
            </w:r>
          </w:p>
        </w:tc>
      </w:tr>
      <w:tr w:rsidR="00DE12A3" w:rsidRPr="00DE12A3" w14:paraId="545B22AE" w14:textId="77777777" w:rsidTr="009F4766">
        <w:tc>
          <w:tcPr>
            <w:tcW w:w="1182" w:type="dxa"/>
            <w:tcBorders>
              <w:top w:val="single" w:sz="2" w:space="0" w:color="auto"/>
              <w:left w:val="single" w:sz="2" w:space="0" w:color="auto"/>
              <w:bottom w:val="single" w:sz="2" w:space="0" w:color="auto"/>
              <w:right w:val="single" w:sz="2" w:space="0" w:color="auto"/>
            </w:tcBorders>
          </w:tcPr>
          <w:p w14:paraId="3B273C43" w14:textId="77777777" w:rsidR="009F4766" w:rsidRPr="00DE12A3" w:rsidRDefault="009F4766" w:rsidP="00C917D6">
            <w:pPr>
              <w:pStyle w:val="NormalLeft"/>
            </w:pPr>
            <w:r w:rsidRPr="00DE12A3">
              <w:t>615</w:t>
            </w:r>
          </w:p>
        </w:tc>
        <w:tc>
          <w:tcPr>
            <w:tcW w:w="2489" w:type="dxa"/>
            <w:tcBorders>
              <w:top w:val="single" w:sz="2" w:space="0" w:color="auto"/>
              <w:left w:val="single" w:sz="2" w:space="0" w:color="auto"/>
              <w:bottom w:val="single" w:sz="2" w:space="0" w:color="auto"/>
              <w:right w:val="single" w:sz="2" w:space="0" w:color="auto"/>
            </w:tcBorders>
          </w:tcPr>
          <w:p w14:paraId="6B3FB74B" w14:textId="77777777" w:rsidR="009F4766" w:rsidRPr="00DE12A3" w:rsidRDefault="009F4766" w:rsidP="00C917D6">
            <w:pPr>
              <w:pStyle w:val="NormalLeft"/>
            </w:pPr>
            <w:r w:rsidRPr="00DE12A3">
              <w:t>73</w:t>
            </w:r>
          </w:p>
        </w:tc>
        <w:tc>
          <w:tcPr>
            <w:tcW w:w="2551" w:type="dxa"/>
            <w:tcBorders>
              <w:top w:val="single" w:sz="2" w:space="0" w:color="auto"/>
              <w:left w:val="single" w:sz="2" w:space="0" w:color="auto"/>
              <w:bottom w:val="single" w:sz="2" w:space="0" w:color="auto"/>
              <w:right w:val="single" w:sz="2" w:space="0" w:color="auto"/>
            </w:tcBorders>
          </w:tcPr>
          <w:p w14:paraId="0667BA1A" w14:textId="77777777" w:rsidR="009F4766" w:rsidRPr="00DE12A3" w:rsidRDefault="009F4766" w:rsidP="00C917D6">
            <w:pPr>
              <w:pStyle w:val="NormalLeft"/>
            </w:pPr>
            <w:r w:rsidRPr="00DE12A3">
              <w:t>2</w:t>
            </w:r>
          </w:p>
        </w:tc>
      </w:tr>
      <w:tr w:rsidR="00DE12A3" w:rsidRPr="00DE12A3" w14:paraId="476AC2C8" w14:textId="77777777" w:rsidTr="009F4766">
        <w:tc>
          <w:tcPr>
            <w:tcW w:w="1182" w:type="dxa"/>
            <w:tcBorders>
              <w:top w:val="single" w:sz="2" w:space="0" w:color="auto"/>
              <w:left w:val="single" w:sz="2" w:space="0" w:color="auto"/>
              <w:bottom w:val="single" w:sz="2" w:space="0" w:color="auto"/>
              <w:right w:val="single" w:sz="2" w:space="0" w:color="auto"/>
            </w:tcBorders>
          </w:tcPr>
          <w:p w14:paraId="474E3FA2" w14:textId="77777777" w:rsidR="009F4766" w:rsidRPr="00DE12A3" w:rsidRDefault="009F4766" w:rsidP="00C917D6">
            <w:pPr>
              <w:pStyle w:val="NormalLeft"/>
            </w:pPr>
            <w:r w:rsidRPr="00DE12A3">
              <w:t>616</w:t>
            </w:r>
          </w:p>
        </w:tc>
        <w:tc>
          <w:tcPr>
            <w:tcW w:w="2489" w:type="dxa"/>
            <w:tcBorders>
              <w:top w:val="single" w:sz="2" w:space="0" w:color="auto"/>
              <w:left w:val="single" w:sz="2" w:space="0" w:color="auto"/>
              <w:bottom w:val="single" w:sz="2" w:space="0" w:color="auto"/>
              <w:right w:val="single" w:sz="2" w:space="0" w:color="auto"/>
            </w:tcBorders>
          </w:tcPr>
          <w:p w14:paraId="1FEBFC33" w14:textId="77777777" w:rsidR="009F4766" w:rsidRPr="00DE12A3" w:rsidRDefault="009F4766" w:rsidP="00C917D6">
            <w:pPr>
              <w:pStyle w:val="NormalLeft"/>
            </w:pPr>
            <w:r w:rsidRPr="00DE12A3">
              <w:t>40</w:t>
            </w:r>
          </w:p>
        </w:tc>
        <w:tc>
          <w:tcPr>
            <w:tcW w:w="2551" w:type="dxa"/>
            <w:tcBorders>
              <w:top w:val="single" w:sz="2" w:space="0" w:color="auto"/>
              <w:left w:val="single" w:sz="2" w:space="0" w:color="auto"/>
              <w:bottom w:val="single" w:sz="2" w:space="0" w:color="auto"/>
              <w:right w:val="single" w:sz="2" w:space="0" w:color="auto"/>
            </w:tcBorders>
          </w:tcPr>
          <w:p w14:paraId="3B36FBE8" w14:textId="77777777" w:rsidR="009F4766" w:rsidRPr="00DE12A3" w:rsidRDefault="009F4766" w:rsidP="00C917D6">
            <w:pPr>
              <w:pStyle w:val="NormalLeft"/>
            </w:pPr>
            <w:r w:rsidRPr="00DE12A3">
              <w:t>14</w:t>
            </w:r>
          </w:p>
        </w:tc>
      </w:tr>
      <w:tr w:rsidR="00DE12A3" w:rsidRPr="00DE12A3" w14:paraId="6FB9253B" w14:textId="77777777" w:rsidTr="009F4766">
        <w:tc>
          <w:tcPr>
            <w:tcW w:w="1182" w:type="dxa"/>
            <w:tcBorders>
              <w:top w:val="single" w:sz="2" w:space="0" w:color="auto"/>
              <w:left w:val="single" w:sz="2" w:space="0" w:color="auto"/>
              <w:bottom w:val="single" w:sz="2" w:space="0" w:color="auto"/>
              <w:right w:val="single" w:sz="2" w:space="0" w:color="auto"/>
            </w:tcBorders>
          </w:tcPr>
          <w:p w14:paraId="65BF41C7" w14:textId="77777777" w:rsidR="009F4766" w:rsidRPr="00DE12A3" w:rsidRDefault="009F4766" w:rsidP="00C917D6">
            <w:pPr>
              <w:pStyle w:val="NormalLeft"/>
            </w:pPr>
            <w:r w:rsidRPr="00DE12A3">
              <w:t>617</w:t>
            </w:r>
          </w:p>
        </w:tc>
        <w:tc>
          <w:tcPr>
            <w:tcW w:w="2489" w:type="dxa"/>
            <w:tcBorders>
              <w:top w:val="single" w:sz="2" w:space="0" w:color="auto"/>
              <w:left w:val="single" w:sz="2" w:space="0" w:color="auto"/>
              <w:bottom w:val="single" w:sz="2" w:space="0" w:color="auto"/>
              <w:right w:val="single" w:sz="2" w:space="0" w:color="auto"/>
            </w:tcBorders>
          </w:tcPr>
          <w:p w14:paraId="754B684D" w14:textId="77777777" w:rsidR="009F4766" w:rsidRPr="00DE12A3" w:rsidRDefault="009F4766" w:rsidP="00C917D6">
            <w:pPr>
              <w:pStyle w:val="NormalLeft"/>
            </w:pPr>
            <w:r w:rsidRPr="00DE12A3">
              <w:t>42</w:t>
            </w:r>
          </w:p>
        </w:tc>
        <w:tc>
          <w:tcPr>
            <w:tcW w:w="2551" w:type="dxa"/>
            <w:tcBorders>
              <w:top w:val="single" w:sz="2" w:space="0" w:color="auto"/>
              <w:left w:val="single" w:sz="2" w:space="0" w:color="auto"/>
              <w:bottom w:val="single" w:sz="2" w:space="0" w:color="auto"/>
              <w:right w:val="single" w:sz="2" w:space="0" w:color="auto"/>
            </w:tcBorders>
          </w:tcPr>
          <w:p w14:paraId="68ED3939" w14:textId="77777777" w:rsidR="009F4766" w:rsidRPr="00DE12A3" w:rsidRDefault="009F4766" w:rsidP="00C917D6">
            <w:pPr>
              <w:pStyle w:val="NormalLeft"/>
            </w:pPr>
            <w:r w:rsidRPr="00DE12A3">
              <w:t>38</w:t>
            </w:r>
          </w:p>
        </w:tc>
      </w:tr>
      <w:tr w:rsidR="00DE12A3" w:rsidRPr="00DE12A3" w14:paraId="4DC98F57" w14:textId="77777777" w:rsidTr="009F4766">
        <w:tc>
          <w:tcPr>
            <w:tcW w:w="1182" w:type="dxa"/>
            <w:tcBorders>
              <w:top w:val="single" w:sz="2" w:space="0" w:color="auto"/>
              <w:left w:val="single" w:sz="2" w:space="0" w:color="auto"/>
              <w:bottom w:val="single" w:sz="2" w:space="0" w:color="auto"/>
              <w:right w:val="single" w:sz="2" w:space="0" w:color="auto"/>
            </w:tcBorders>
          </w:tcPr>
          <w:p w14:paraId="2CD64D5C" w14:textId="77777777" w:rsidR="009F4766" w:rsidRPr="00DE12A3" w:rsidRDefault="009F4766" w:rsidP="00C917D6">
            <w:pPr>
              <w:pStyle w:val="NormalLeft"/>
            </w:pPr>
            <w:r w:rsidRPr="00DE12A3">
              <w:t>618</w:t>
            </w:r>
          </w:p>
        </w:tc>
        <w:tc>
          <w:tcPr>
            <w:tcW w:w="2489" w:type="dxa"/>
            <w:tcBorders>
              <w:top w:val="single" w:sz="2" w:space="0" w:color="auto"/>
              <w:left w:val="single" w:sz="2" w:space="0" w:color="auto"/>
              <w:bottom w:val="single" w:sz="2" w:space="0" w:color="auto"/>
              <w:right w:val="single" w:sz="2" w:space="0" w:color="auto"/>
            </w:tcBorders>
          </w:tcPr>
          <w:p w14:paraId="34627EE4" w14:textId="77777777" w:rsidR="009F4766" w:rsidRPr="00DE12A3" w:rsidRDefault="009F4766" w:rsidP="00C917D6">
            <w:pPr>
              <w:pStyle w:val="NormalLeft"/>
            </w:pPr>
            <w:r w:rsidRPr="00DE12A3">
              <w:t>64</w:t>
            </w:r>
          </w:p>
        </w:tc>
        <w:tc>
          <w:tcPr>
            <w:tcW w:w="2551" w:type="dxa"/>
            <w:tcBorders>
              <w:top w:val="single" w:sz="2" w:space="0" w:color="auto"/>
              <w:left w:val="single" w:sz="2" w:space="0" w:color="auto"/>
              <w:bottom w:val="single" w:sz="2" w:space="0" w:color="auto"/>
              <w:right w:val="single" w:sz="2" w:space="0" w:color="auto"/>
            </w:tcBorders>
          </w:tcPr>
          <w:p w14:paraId="41AABAB5" w14:textId="77777777" w:rsidR="009F4766" w:rsidRPr="00DE12A3" w:rsidRDefault="009F4766" w:rsidP="00C917D6">
            <w:pPr>
              <w:pStyle w:val="NormalLeft"/>
            </w:pPr>
            <w:r w:rsidRPr="00DE12A3">
              <w:t>69</w:t>
            </w:r>
          </w:p>
        </w:tc>
      </w:tr>
      <w:tr w:rsidR="00DE12A3" w:rsidRPr="00DE12A3" w14:paraId="03737E3F" w14:textId="77777777" w:rsidTr="009F4766">
        <w:tc>
          <w:tcPr>
            <w:tcW w:w="1182" w:type="dxa"/>
            <w:tcBorders>
              <w:top w:val="single" w:sz="2" w:space="0" w:color="auto"/>
              <w:left w:val="single" w:sz="2" w:space="0" w:color="auto"/>
              <w:bottom w:val="single" w:sz="2" w:space="0" w:color="auto"/>
              <w:right w:val="single" w:sz="2" w:space="0" w:color="auto"/>
            </w:tcBorders>
          </w:tcPr>
          <w:p w14:paraId="488CD16D" w14:textId="77777777" w:rsidR="009F4766" w:rsidRPr="00DE12A3" w:rsidRDefault="009F4766" w:rsidP="00C917D6">
            <w:pPr>
              <w:pStyle w:val="NormalLeft"/>
            </w:pPr>
            <w:r w:rsidRPr="00DE12A3">
              <w:t>619</w:t>
            </w:r>
          </w:p>
        </w:tc>
        <w:tc>
          <w:tcPr>
            <w:tcW w:w="2489" w:type="dxa"/>
            <w:tcBorders>
              <w:top w:val="single" w:sz="2" w:space="0" w:color="auto"/>
              <w:left w:val="single" w:sz="2" w:space="0" w:color="auto"/>
              <w:bottom w:val="single" w:sz="2" w:space="0" w:color="auto"/>
              <w:right w:val="single" w:sz="2" w:space="0" w:color="auto"/>
            </w:tcBorders>
          </w:tcPr>
          <w:p w14:paraId="5D4B0DC0" w14:textId="77777777" w:rsidR="009F4766" w:rsidRPr="00DE12A3" w:rsidRDefault="009F4766" w:rsidP="00C917D6">
            <w:pPr>
              <w:pStyle w:val="NormalLeft"/>
            </w:pPr>
            <w:r w:rsidRPr="00DE12A3">
              <w:t>64</w:t>
            </w:r>
          </w:p>
        </w:tc>
        <w:tc>
          <w:tcPr>
            <w:tcW w:w="2551" w:type="dxa"/>
            <w:tcBorders>
              <w:top w:val="single" w:sz="2" w:space="0" w:color="auto"/>
              <w:left w:val="single" w:sz="2" w:space="0" w:color="auto"/>
              <w:bottom w:val="single" w:sz="2" w:space="0" w:color="auto"/>
              <w:right w:val="single" w:sz="2" w:space="0" w:color="auto"/>
            </w:tcBorders>
          </w:tcPr>
          <w:p w14:paraId="235B5FB6" w14:textId="77777777" w:rsidR="009F4766" w:rsidRPr="00DE12A3" w:rsidRDefault="009F4766" w:rsidP="00C917D6">
            <w:pPr>
              <w:pStyle w:val="NormalLeft"/>
            </w:pPr>
            <w:r w:rsidRPr="00DE12A3">
              <w:t>74</w:t>
            </w:r>
          </w:p>
        </w:tc>
      </w:tr>
      <w:tr w:rsidR="00DE12A3" w:rsidRPr="00DE12A3" w14:paraId="1990BC60" w14:textId="77777777" w:rsidTr="009F4766">
        <w:tc>
          <w:tcPr>
            <w:tcW w:w="1182" w:type="dxa"/>
            <w:tcBorders>
              <w:top w:val="single" w:sz="2" w:space="0" w:color="auto"/>
              <w:left w:val="single" w:sz="2" w:space="0" w:color="auto"/>
              <w:bottom w:val="single" w:sz="2" w:space="0" w:color="auto"/>
              <w:right w:val="single" w:sz="2" w:space="0" w:color="auto"/>
            </w:tcBorders>
          </w:tcPr>
          <w:p w14:paraId="00BEE20D" w14:textId="77777777" w:rsidR="009F4766" w:rsidRPr="00DE12A3" w:rsidRDefault="009F4766" w:rsidP="00C917D6">
            <w:pPr>
              <w:pStyle w:val="NormalLeft"/>
            </w:pPr>
            <w:r w:rsidRPr="00DE12A3">
              <w:lastRenderedPageBreak/>
              <w:t>620</w:t>
            </w:r>
          </w:p>
        </w:tc>
        <w:tc>
          <w:tcPr>
            <w:tcW w:w="2489" w:type="dxa"/>
            <w:tcBorders>
              <w:top w:val="single" w:sz="2" w:space="0" w:color="auto"/>
              <w:left w:val="single" w:sz="2" w:space="0" w:color="auto"/>
              <w:bottom w:val="single" w:sz="2" w:space="0" w:color="auto"/>
              <w:right w:val="single" w:sz="2" w:space="0" w:color="auto"/>
            </w:tcBorders>
          </w:tcPr>
          <w:p w14:paraId="35F2B1D0" w14:textId="77777777" w:rsidR="009F4766" w:rsidRPr="00DE12A3" w:rsidRDefault="009F4766" w:rsidP="00C917D6">
            <w:pPr>
              <w:pStyle w:val="NormalLeft"/>
            </w:pPr>
            <w:r w:rsidRPr="00DE12A3">
              <w:t>67</w:t>
            </w:r>
          </w:p>
        </w:tc>
        <w:tc>
          <w:tcPr>
            <w:tcW w:w="2551" w:type="dxa"/>
            <w:tcBorders>
              <w:top w:val="single" w:sz="2" w:space="0" w:color="auto"/>
              <w:left w:val="single" w:sz="2" w:space="0" w:color="auto"/>
              <w:bottom w:val="single" w:sz="2" w:space="0" w:color="auto"/>
              <w:right w:val="single" w:sz="2" w:space="0" w:color="auto"/>
            </w:tcBorders>
          </w:tcPr>
          <w:p w14:paraId="3A9C4F08" w14:textId="77777777" w:rsidR="009F4766" w:rsidRPr="00DE12A3" w:rsidRDefault="009F4766" w:rsidP="00C917D6">
            <w:pPr>
              <w:pStyle w:val="NormalLeft"/>
            </w:pPr>
            <w:r w:rsidRPr="00DE12A3">
              <w:t>73</w:t>
            </w:r>
          </w:p>
        </w:tc>
      </w:tr>
      <w:tr w:rsidR="00DE12A3" w:rsidRPr="00DE12A3" w14:paraId="51C0D707" w14:textId="77777777" w:rsidTr="009F4766">
        <w:tc>
          <w:tcPr>
            <w:tcW w:w="1182" w:type="dxa"/>
            <w:tcBorders>
              <w:top w:val="single" w:sz="2" w:space="0" w:color="auto"/>
              <w:left w:val="single" w:sz="2" w:space="0" w:color="auto"/>
              <w:bottom w:val="single" w:sz="2" w:space="0" w:color="auto"/>
              <w:right w:val="single" w:sz="2" w:space="0" w:color="auto"/>
            </w:tcBorders>
          </w:tcPr>
          <w:p w14:paraId="609779E0" w14:textId="77777777" w:rsidR="009F4766" w:rsidRPr="00DE12A3" w:rsidRDefault="009F4766" w:rsidP="00C917D6">
            <w:pPr>
              <w:pStyle w:val="NormalLeft"/>
            </w:pPr>
            <w:r w:rsidRPr="00DE12A3">
              <w:t>621</w:t>
            </w:r>
          </w:p>
        </w:tc>
        <w:tc>
          <w:tcPr>
            <w:tcW w:w="2489" w:type="dxa"/>
            <w:tcBorders>
              <w:top w:val="single" w:sz="2" w:space="0" w:color="auto"/>
              <w:left w:val="single" w:sz="2" w:space="0" w:color="auto"/>
              <w:bottom w:val="single" w:sz="2" w:space="0" w:color="auto"/>
              <w:right w:val="single" w:sz="2" w:space="0" w:color="auto"/>
            </w:tcBorders>
          </w:tcPr>
          <w:p w14:paraId="2E2B7FC3" w14:textId="77777777" w:rsidR="009F4766" w:rsidRPr="00DE12A3" w:rsidRDefault="009F4766" w:rsidP="00C917D6">
            <w:pPr>
              <w:pStyle w:val="NormalLeft"/>
            </w:pPr>
            <w:r w:rsidRPr="00DE12A3">
              <w:t>65</w:t>
            </w:r>
          </w:p>
        </w:tc>
        <w:tc>
          <w:tcPr>
            <w:tcW w:w="2551" w:type="dxa"/>
            <w:tcBorders>
              <w:top w:val="single" w:sz="2" w:space="0" w:color="auto"/>
              <w:left w:val="single" w:sz="2" w:space="0" w:color="auto"/>
              <w:bottom w:val="single" w:sz="2" w:space="0" w:color="auto"/>
              <w:right w:val="single" w:sz="2" w:space="0" w:color="auto"/>
            </w:tcBorders>
          </w:tcPr>
          <w:p w14:paraId="55D11935" w14:textId="77777777" w:rsidR="009F4766" w:rsidRPr="00DE12A3" w:rsidRDefault="009F4766" w:rsidP="00C917D6">
            <w:pPr>
              <w:pStyle w:val="NormalLeft"/>
            </w:pPr>
            <w:r w:rsidRPr="00DE12A3">
              <w:t>73</w:t>
            </w:r>
          </w:p>
        </w:tc>
      </w:tr>
      <w:tr w:rsidR="00DE12A3" w:rsidRPr="00DE12A3" w14:paraId="25EF1EB8" w14:textId="77777777" w:rsidTr="009F4766">
        <w:tc>
          <w:tcPr>
            <w:tcW w:w="1182" w:type="dxa"/>
            <w:tcBorders>
              <w:top w:val="single" w:sz="2" w:space="0" w:color="auto"/>
              <w:left w:val="single" w:sz="2" w:space="0" w:color="auto"/>
              <w:bottom w:val="single" w:sz="2" w:space="0" w:color="auto"/>
              <w:right w:val="single" w:sz="2" w:space="0" w:color="auto"/>
            </w:tcBorders>
          </w:tcPr>
          <w:p w14:paraId="6E05FA09" w14:textId="77777777" w:rsidR="009F4766" w:rsidRPr="00DE12A3" w:rsidRDefault="009F4766" w:rsidP="00C917D6">
            <w:pPr>
              <w:pStyle w:val="NormalLeft"/>
            </w:pPr>
            <w:r w:rsidRPr="00DE12A3">
              <w:t>622</w:t>
            </w:r>
          </w:p>
        </w:tc>
        <w:tc>
          <w:tcPr>
            <w:tcW w:w="2489" w:type="dxa"/>
            <w:tcBorders>
              <w:top w:val="single" w:sz="2" w:space="0" w:color="auto"/>
              <w:left w:val="single" w:sz="2" w:space="0" w:color="auto"/>
              <w:bottom w:val="single" w:sz="2" w:space="0" w:color="auto"/>
              <w:right w:val="single" w:sz="2" w:space="0" w:color="auto"/>
            </w:tcBorders>
          </w:tcPr>
          <w:p w14:paraId="76562AF2" w14:textId="77777777" w:rsidR="009F4766" w:rsidRPr="00DE12A3" w:rsidRDefault="009F4766" w:rsidP="00C917D6">
            <w:pPr>
              <w:pStyle w:val="NormalLeft"/>
            </w:pPr>
            <w:r w:rsidRPr="00DE12A3">
              <w:t>68</w:t>
            </w:r>
          </w:p>
        </w:tc>
        <w:tc>
          <w:tcPr>
            <w:tcW w:w="2551" w:type="dxa"/>
            <w:tcBorders>
              <w:top w:val="single" w:sz="2" w:space="0" w:color="auto"/>
              <w:left w:val="single" w:sz="2" w:space="0" w:color="auto"/>
              <w:bottom w:val="single" w:sz="2" w:space="0" w:color="auto"/>
              <w:right w:val="single" w:sz="2" w:space="0" w:color="auto"/>
            </w:tcBorders>
          </w:tcPr>
          <w:p w14:paraId="62BA7388" w14:textId="77777777" w:rsidR="009F4766" w:rsidRPr="00DE12A3" w:rsidRDefault="009F4766" w:rsidP="00C917D6">
            <w:pPr>
              <w:pStyle w:val="NormalLeft"/>
            </w:pPr>
            <w:r w:rsidRPr="00DE12A3">
              <w:t>73</w:t>
            </w:r>
          </w:p>
        </w:tc>
      </w:tr>
      <w:tr w:rsidR="00DE12A3" w:rsidRPr="00DE12A3" w14:paraId="687C2D59" w14:textId="77777777" w:rsidTr="009F4766">
        <w:tc>
          <w:tcPr>
            <w:tcW w:w="1182" w:type="dxa"/>
            <w:tcBorders>
              <w:top w:val="single" w:sz="2" w:space="0" w:color="auto"/>
              <w:left w:val="single" w:sz="2" w:space="0" w:color="auto"/>
              <w:bottom w:val="single" w:sz="2" w:space="0" w:color="auto"/>
              <w:right w:val="single" w:sz="2" w:space="0" w:color="auto"/>
            </w:tcBorders>
          </w:tcPr>
          <w:p w14:paraId="617A4B6A" w14:textId="77777777" w:rsidR="009F4766" w:rsidRPr="00DE12A3" w:rsidRDefault="009F4766" w:rsidP="00C917D6">
            <w:pPr>
              <w:pStyle w:val="NormalLeft"/>
            </w:pPr>
            <w:r w:rsidRPr="00DE12A3">
              <w:t>623</w:t>
            </w:r>
          </w:p>
        </w:tc>
        <w:tc>
          <w:tcPr>
            <w:tcW w:w="2489" w:type="dxa"/>
            <w:tcBorders>
              <w:top w:val="single" w:sz="2" w:space="0" w:color="auto"/>
              <w:left w:val="single" w:sz="2" w:space="0" w:color="auto"/>
              <w:bottom w:val="single" w:sz="2" w:space="0" w:color="auto"/>
              <w:right w:val="single" w:sz="2" w:space="0" w:color="auto"/>
            </w:tcBorders>
          </w:tcPr>
          <w:p w14:paraId="2BAC01CB" w14:textId="77777777" w:rsidR="009F4766" w:rsidRPr="00DE12A3" w:rsidRDefault="009F4766" w:rsidP="00C917D6">
            <w:pPr>
              <w:pStyle w:val="NormalLeft"/>
            </w:pPr>
            <w:r w:rsidRPr="00DE12A3">
              <w:t>65</w:t>
            </w:r>
          </w:p>
        </w:tc>
        <w:tc>
          <w:tcPr>
            <w:tcW w:w="2551" w:type="dxa"/>
            <w:tcBorders>
              <w:top w:val="single" w:sz="2" w:space="0" w:color="auto"/>
              <w:left w:val="single" w:sz="2" w:space="0" w:color="auto"/>
              <w:bottom w:val="single" w:sz="2" w:space="0" w:color="auto"/>
              <w:right w:val="single" w:sz="2" w:space="0" w:color="auto"/>
            </w:tcBorders>
          </w:tcPr>
          <w:p w14:paraId="00CD8BE3" w14:textId="77777777" w:rsidR="009F4766" w:rsidRPr="00DE12A3" w:rsidRDefault="009F4766" w:rsidP="00C917D6">
            <w:pPr>
              <w:pStyle w:val="NormalLeft"/>
            </w:pPr>
            <w:r w:rsidRPr="00DE12A3">
              <w:t>49</w:t>
            </w:r>
          </w:p>
        </w:tc>
      </w:tr>
      <w:tr w:rsidR="00DE12A3" w:rsidRPr="00DE12A3" w14:paraId="6E277A3B" w14:textId="77777777" w:rsidTr="009F4766">
        <w:tc>
          <w:tcPr>
            <w:tcW w:w="1182" w:type="dxa"/>
            <w:tcBorders>
              <w:top w:val="single" w:sz="2" w:space="0" w:color="auto"/>
              <w:left w:val="single" w:sz="2" w:space="0" w:color="auto"/>
              <w:bottom w:val="single" w:sz="2" w:space="0" w:color="auto"/>
              <w:right w:val="single" w:sz="2" w:space="0" w:color="auto"/>
            </w:tcBorders>
          </w:tcPr>
          <w:p w14:paraId="7EE49DC6" w14:textId="77777777" w:rsidR="009F4766" w:rsidRPr="00DE12A3" w:rsidRDefault="009F4766" w:rsidP="00C917D6">
            <w:pPr>
              <w:pStyle w:val="NormalLeft"/>
            </w:pPr>
            <w:r w:rsidRPr="00DE12A3">
              <w:t>624</w:t>
            </w:r>
          </w:p>
        </w:tc>
        <w:tc>
          <w:tcPr>
            <w:tcW w:w="2489" w:type="dxa"/>
            <w:tcBorders>
              <w:top w:val="single" w:sz="2" w:space="0" w:color="auto"/>
              <w:left w:val="single" w:sz="2" w:space="0" w:color="auto"/>
              <w:bottom w:val="single" w:sz="2" w:space="0" w:color="auto"/>
              <w:right w:val="single" w:sz="2" w:space="0" w:color="auto"/>
            </w:tcBorders>
          </w:tcPr>
          <w:p w14:paraId="2385B68F" w14:textId="77777777" w:rsidR="009F4766" w:rsidRPr="00DE12A3" w:rsidRDefault="009F4766" w:rsidP="00C917D6">
            <w:pPr>
              <w:pStyle w:val="NormalLeft"/>
            </w:pPr>
            <w:r w:rsidRPr="00DE12A3">
              <w:t>81</w:t>
            </w:r>
          </w:p>
        </w:tc>
        <w:tc>
          <w:tcPr>
            <w:tcW w:w="2551" w:type="dxa"/>
            <w:tcBorders>
              <w:top w:val="single" w:sz="2" w:space="0" w:color="auto"/>
              <w:left w:val="single" w:sz="2" w:space="0" w:color="auto"/>
              <w:bottom w:val="single" w:sz="2" w:space="0" w:color="auto"/>
              <w:right w:val="single" w:sz="2" w:space="0" w:color="auto"/>
            </w:tcBorders>
          </w:tcPr>
          <w:p w14:paraId="5BB948B7" w14:textId="77777777" w:rsidR="009F4766" w:rsidRPr="00DE12A3" w:rsidRDefault="009F4766" w:rsidP="00C917D6">
            <w:pPr>
              <w:pStyle w:val="NormalLeft"/>
            </w:pPr>
            <w:r w:rsidRPr="00DE12A3">
              <w:t>0</w:t>
            </w:r>
          </w:p>
        </w:tc>
      </w:tr>
      <w:tr w:rsidR="00DE12A3" w:rsidRPr="00DE12A3" w14:paraId="1B576B14" w14:textId="77777777" w:rsidTr="009F4766">
        <w:tc>
          <w:tcPr>
            <w:tcW w:w="1182" w:type="dxa"/>
            <w:tcBorders>
              <w:top w:val="single" w:sz="2" w:space="0" w:color="auto"/>
              <w:left w:val="single" w:sz="2" w:space="0" w:color="auto"/>
              <w:bottom w:val="single" w:sz="2" w:space="0" w:color="auto"/>
              <w:right w:val="single" w:sz="2" w:space="0" w:color="auto"/>
            </w:tcBorders>
          </w:tcPr>
          <w:p w14:paraId="7B891CE5" w14:textId="77777777" w:rsidR="009F4766" w:rsidRPr="00DE12A3" w:rsidRDefault="009F4766" w:rsidP="00C917D6">
            <w:pPr>
              <w:pStyle w:val="NormalLeft"/>
            </w:pPr>
            <w:r w:rsidRPr="00DE12A3">
              <w:t>625</w:t>
            </w:r>
          </w:p>
        </w:tc>
        <w:tc>
          <w:tcPr>
            <w:tcW w:w="2489" w:type="dxa"/>
            <w:tcBorders>
              <w:top w:val="single" w:sz="2" w:space="0" w:color="auto"/>
              <w:left w:val="single" w:sz="2" w:space="0" w:color="auto"/>
              <w:bottom w:val="single" w:sz="2" w:space="0" w:color="auto"/>
              <w:right w:val="single" w:sz="2" w:space="0" w:color="auto"/>
            </w:tcBorders>
          </w:tcPr>
          <w:p w14:paraId="562679F2" w14:textId="77777777" w:rsidR="009F4766" w:rsidRPr="00DE12A3" w:rsidRDefault="009F4766" w:rsidP="00C917D6">
            <w:pPr>
              <w:pStyle w:val="NormalLeft"/>
            </w:pPr>
            <w:r w:rsidRPr="00DE12A3">
              <w:t>37</w:t>
            </w:r>
          </w:p>
        </w:tc>
        <w:tc>
          <w:tcPr>
            <w:tcW w:w="2551" w:type="dxa"/>
            <w:tcBorders>
              <w:top w:val="single" w:sz="2" w:space="0" w:color="auto"/>
              <w:left w:val="single" w:sz="2" w:space="0" w:color="auto"/>
              <w:bottom w:val="single" w:sz="2" w:space="0" w:color="auto"/>
              <w:right w:val="single" w:sz="2" w:space="0" w:color="auto"/>
            </w:tcBorders>
          </w:tcPr>
          <w:p w14:paraId="1D212364" w14:textId="77777777" w:rsidR="009F4766" w:rsidRPr="00DE12A3" w:rsidRDefault="009F4766" w:rsidP="00C917D6">
            <w:pPr>
              <w:pStyle w:val="NormalLeft"/>
            </w:pPr>
            <w:r w:rsidRPr="00DE12A3">
              <w:t>25</w:t>
            </w:r>
          </w:p>
        </w:tc>
      </w:tr>
      <w:tr w:rsidR="00DE12A3" w:rsidRPr="00DE12A3" w14:paraId="279C12E9" w14:textId="77777777" w:rsidTr="009F4766">
        <w:tc>
          <w:tcPr>
            <w:tcW w:w="1182" w:type="dxa"/>
            <w:tcBorders>
              <w:top w:val="single" w:sz="2" w:space="0" w:color="auto"/>
              <w:left w:val="single" w:sz="2" w:space="0" w:color="auto"/>
              <w:bottom w:val="single" w:sz="2" w:space="0" w:color="auto"/>
              <w:right w:val="single" w:sz="2" w:space="0" w:color="auto"/>
            </w:tcBorders>
          </w:tcPr>
          <w:p w14:paraId="03B39724" w14:textId="77777777" w:rsidR="009F4766" w:rsidRPr="00DE12A3" w:rsidRDefault="009F4766" w:rsidP="00C917D6">
            <w:pPr>
              <w:pStyle w:val="NormalLeft"/>
            </w:pPr>
            <w:r w:rsidRPr="00DE12A3">
              <w:t>626</w:t>
            </w:r>
          </w:p>
        </w:tc>
        <w:tc>
          <w:tcPr>
            <w:tcW w:w="2489" w:type="dxa"/>
            <w:tcBorders>
              <w:top w:val="single" w:sz="2" w:space="0" w:color="auto"/>
              <w:left w:val="single" w:sz="2" w:space="0" w:color="auto"/>
              <w:bottom w:val="single" w:sz="2" w:space="0" w:color="auto"/>
              <w:right w:val="single" w:sz="2" w:space="0" w:color="auto"/>
            </w:tcBorders>
          </w:tcPr>
          <w:p w14:paraId="1BB9EE63" w14:textId="77777777" w:rsidR="009F4766" w:rsidRPr="00DE12A3" w:rsidRDefault="009F4766" w:rsidP="00C917D6">
            <w:pPr>
              <w:pStyle w:val="NormalLeft"/>
            </w:pPr>
            <w:r w:rsidRPr="00DE12A3">
              <w:t>24</w:t>
            </w:r>
          </w:p>
        </w:tc>
        <w:tc>
          <w:tcPr>
            <w:tcW w:w="2551" w:type="dxa"/>
            <w:tcBorders>
              <w:top w:val="single" w:sz="2" w:space="0" w:color="auto"/>
              <w:left w:val="single" w:sz="2" w:space="0" w:color="auto"/>
              <w:bottom w:val="single" w:sz="2" w:space="0" w:color="auto"/>
              <w:right w:val="single" w:sz="2" w:space="0" w:color="auto"/>
            </w:tcBorders>
          </w:tcPr>
          <w:p w14:paraId="46FB092E" w14:textId="77777777" w:rsidR="009F4766" w:rsidRPr="00DE12A3" w:rsidRDefault="009F4766" w:rsidP="00C917D6">
            <w:pPr>
              <w:pStyle w:val="NormalLeft"/>
            </w:pPr>
            <w:r w:rsidRPr="00DE12A3">
              <w:t>69</w:t>
            </w:r>
          </w:p>
        </w:tc>
      </w:tr>
      <w:tr w:rsidR="00DE12A3" w:rsidRPr="00DE12A3" w14:paraId="7B0D6674" w14:textId="77777777" w:rsidTr="009F4766">
        <w:tc>
          <w:tcPr>
            <w:tcW w:w="1182" w:type="dxa"/>
            <w:tcBorders>
              <w:top w:val="single" w:sz="2" w:space="0" w:color="auto"/>
              <w:left w:val="single" w:sz="2" w:space="0" w:color="auto"/>
              <w:bottom w:val="single" w:sz="2" w:space="0" w:color="auto"/>
              <w:right w:val="single" w:sz="2" w:space="0" w:color="auto"/>
            </w:tcBorders>
          </w:tcPr>
          <w:p w14:paraId="298E4F62" w14:textId="77777777" w:rsidR="009F4766" w:rsidRPr="00DE12A3" w:rsidRDefault="009F4766" w:rsidP="00C917D6">
            <w:pPr>
              <w:pStyle w:val="NormalLeft"/>
            </w:pPr>
            <w:r w:rsidRPr="00DE12A3">
              <w:t>627</w:t>
            </w:r>
          </w:p>
        </w:tc>
        <w:tc>
          <w:tcPr>
            <w:tcW w:w="2489" w:type="dxa"/>
            <w:tcBorders>
              <w:top w:val="single" w:sz="2" w:space="0" w:color="auto"/>
              <w:left w:val="single" w:sz="2" w:space="0" w:color="auto"/>
              <w:bottom w:val="single" w:sz="2" w:space="0" w:color="auto"/>
              <w:right w:val="single" w:sz="2" w:space="0" w:color="auto"/>
            </w:tcBorders>
          </w:tcPr>
          <w:p w14:paraId="53883B2A" w14:textId="77777777" w:rsidR="009F4766" w:rsidRPr="00DE12A3" w:rsidRDefault="009F4766" w:rsidP="00C917D6">
            <w:pPr>
              <w:pStyle w:val="NormalLeft"/>
            </w:pPr>
            <w:r w:rsidRPr="00DE12A3">
              <w:t>68</w:t>
            </w:r>
          </w:p>
        </w:tc>
        <w:tc>
          <w:tcPr>
            <w:tcW w:w="2551" w:type="dxa"/>
            <w:tcBorders>
              <w:top w:val="single" w:sz="2" w:space="0" w:color="auto"/>
              <w:left w:val="single" w:sz="2" w:space="0" w:color="auto"/>
              <w:bottom w:val="single" w:sz="2" w:space="0" w:color="auto"/>
              <w:right w:val="single" w:sz="2" w:space="0" w:color="auto"/>
            </w:tcBorders>
          </w:tcPr>
          <w:p w14:paraId="2C52AEEC" w14:textId="77777777" w:rsidR="009F4766" w:rsidRPr="00DE12A3" w:rsidRDefault="009F4766" w:rsidP="00C917D6">
            <w:pPr>
              <w:pStyle w:val="NormalLeft"/>
            </w:pPr>
            <w:r w:rsidRPr="00DE12A3">
              <w:t>71</w:t>
            </w:r>
          </w:p>
        </w:tc>
      </w:tr>
      <w:tr w:rsidR="00DE12A3" w:rsidRPr="00DE12A3" w14:paraId="39D7668C" w14:textId="77777777" w:rsidTr="009F4766">
        <w:tc>
          <w:tcPr>
            <w:tcW w:w="1182" w:type="dxa"/>
            <w:tcBorders>
              <w:top w:val="single" w:sz="2" w:space="0" w:color="auto"/>
              <w:left w:val="single" w:sz="2" w:space="0" w:color="auto"/>
              <w:bottom w:val="single" w:sz="2" w:space="0" w:color="auto"/>
              <w:right w:val="single" w:sz="2" w:space="0" w:color="auto"/>
            </w:tcBorders>
          </w:tcPr>
          <w:p w14:paraId="4C205E5C" w14:textId="77777777" w:rsidR="009F4766" w:rsidRPr="00DE12A3" w:rsidRDefault="009F4766" w:rsidP="00C917D6">
            <w:pPr>
              <w:pStyle w:val="NormalLeft"/>
            </w:pPr>
            <w:r w:rsidRPr="00DE12A3">
              <w:t>628</w:t>
            </w:r>
          </w:p>
        </w:tc>
        <w:tc>
          <w:tcPr>
            <w:tcW w:w="2489" w:type="dxa"/>
            <w:tcBorders>
              <w:top w:val="single" w:sz="2" w:space="0" w:color="auto"/>
              <w:left w:val="single" w:sz="2" w:space="0" w:color="auto"/>
              <w:bottom w:val="single" w:sz="2" w:space="0" w:color="auto"/>
              <w:right w:val="single" w:sz="2" w:space="0" w:color="auto"/>
            </w:tcBorders>
          </w:tcPr>
          <w:p w14:paraId="10D0D0C2" w14:textId="77777777" w:rsidR="009F4766" w:rsidRPr="00DE12A3" w:rsidRDefault="009F4766" w:rsidP="00C917D6">
            <w:pPr>
              <w:pStyle w:val="NormalLeft"/>
            </w:pPr>
            <w:r w:rsidRPr="00DE12A3">
              <w:t>70</w:t>
            </w:r>
          </w:p>
        </w:tc>
        <w:tc>
          <w:tcPr>
            <w:tcW w:w="2551" w:type="dxa"/>
            <w:tcBorders>
              <w:top w:val="single" w:sz="2" w:space="0" w:color="auto"/>
              <w:left w:val="single" w:sz="2" w:space="0" w:color="auto"/>
              <w:bottom w:val="single" w:sz="2" w:space="0" w:color="auto"/>
              <w:right w:val="single" w:sz="2" w:space="0" w:color="auto"/>
            </w:tcBorders>
          </w:tcPr>
          <w:p w14:paraId="35E55414" w14:textId="77777777" w:rsidR="009F4766" w:rsidRPr="00DE12A3" w:rsidRDefault="009F4766" w:rsidP="00C917D6">
            <w:pPr>
              <w:pStyle w:val="NormalLeft"/>
            </w:pPr>
            <w:r w:rsidRPr="00DE12A3">
              <w:t>71</w:t>
            </w:r>
          </w:p>
        </w:tc>
      </w:tr>
      <w:tr w:rsidR="00DE12A3" w:rsidRPr="00DE12A3" w14:paraId="7BA72F3B" w14:textId="77777777" w:rsidTr="009F4766">
        <w:tc>
          <w:tcPr>
            <w:tcW w:w="1182" w:type="dxa"/>
            <w:tcBorders>
              <w:top w:val="single" w:sz="2" w:space="0" w:color="auto"/>
              <w:left w:val="single" w:sz="2" w:space="0" w:color="auto"/>
              <w:bottom w:val="single" w:sz="2" w:space="0" w:color="auto"/>
              <w:right w:val="single" w:sz="2" w:space="0" w:color="auto"/>
            </w:tcBorders>
          </w:tcPr>
          <w:p w14:paraId="1785D630" w14:textId="77777777" w:rsidR="009F4766" w:rsidRPr="00DE12A3" w:rsidRDefault="009F4766" w:rsidP="00C917D6">
            <w:pPr>
              <w:pStyle w:val="NormalLeft"/>
            </w:pPr>
            <w:r w:rsidRPr="00DE12A3">
              <w:t>629</w:t>
            </w:r>
          </w:p>
        </w:tc>
        <w:tc>
          <w:tcPr>
            <w:tcW w:w="2489" w:type="dxa"/>
            <w:tcBorders>
              <w:top w:val="single" w:sz="2" w:space="0" w:color="auto"/>
              <w:left w:val="single" w:sz="2" w:space="0" w:color="auto"/>
              <w:bottom w:val="single" w:sz="2" w:space="0" w:color="auto"/>
              <w:right w:val="single" w:sz="2" w:space="0" w:color="auto"/>
            </w:tcBorders>
          </w:tcPr>
          <w:p w14:paraId="0476B44D" w14:textId="77777777" w:rsidR="009F4766" w:rsidRPr="00DE12A3" w:rsidRDefault="009F4766" w:rsidP="00C917D6">
            <w:pPr>
              <w:pStyle w:val="NormalLeft"/>
            </w:pPr>
            <w:r w:rsidRPr="00DE12A3">
              <w:t>76</w:t>
            </w:r>
          </w:p>
        </w:tc>
        <w:tc>
          <w:tcPr>
            <w:tcW w:w="2551" w:type="dxa"/>
            <w:tcBorders>
              <w:top w:val="single" w:sz="2" w:space="0" w:color="auto"/>
              <w:left w:val="single" w:sz="2" w:space="0" w:color="auto"/>
              <w:bottom w:val="single" w:sz="2" w:space="0" w:color="auto"/>
              <w:right w:val="single" w:sz="2" w:space="0" w:color="auto"/>
            </w:tcBorders>
          </w:tcPr>
          <w:p w14:paraId="58EF9EAD" w14:textId="77777777" w:rsidR="009F4766" w:rsidRPr="00DE12A3" w:rsidRDefault="009F4766" w:rsidP="00C917D6">
            <w:pPr>
              <w:pStyle w:val="NormalLeft"/>
            </w:pPr>
            <w:r w:rsidRPr="00DE12A3">
              <w:t>70</w:t>
            </w:r>
          </w:p>
        </w:tc>
      </w:tr>
      <w:tr w:rsidR="00DE12A3" w:rsidRPr="00DE12A3" w14:paraId="262734EF" w14:textId="77777777" w:rsidTr="009F4766">
        <w:tc>
          <w:tcPr>
            <w:tcW w:w="1182" w:type="dxa"/>
            <w:tcBorders>
              <w:top w:val="single" w:sz="2" w:space="0" w:color="auto"/>
              <w:left w:val="single" w:sz="2" w:space="0" w:color="auto"/>
              <w:bottom w:val="single" w:sz="2" w:space="0" w:color="auto"/>
              <w:right w:val="single" w:sz="2" w:space="0" w:color="auto"/>
            </w:tcBorders>
          </w:tcPr>
          <w:p w14:paraId="57CBE936" w14:textId="77777777" w:rsidR="009F4766" w:rsidRPr="00DE12A3" w:rsidRDefault="009F4766" w:rsidP="00C917D6">
            <w:pPr>
              <w:pStyle w:val="NormalLeft"/>
            </w:pPr>
            <w:r w:rsidRPr="00DE12A3">
              <w:t>630</w:t>
            </w:r>
          </w:p>
        </w:tc>
        <w:tc>
          <w:tcPr>
            <w:tcW w:w="2489" w:type="dxa"/>
            <w:tcBorders>
              <w:top w:val="single" w:sz="2" w:space="0" w:color="auto"/>
              <w:left w:val="single" w:sz="2" w:space="0" w:color="auto"/>
              <w:bottom w:val="single" w:sz="2" w:space="0" w:color="auto"/>
              <w:right w:val="single" w:sz="2" w:space="0" w:color="auto"/>
            </w:tcBorders>
          </w:tcPr>
          <w:p w14:paraId="44BEA358" w14:textId="77777777" w:rsidR="009F4766" w:rsidRPr="00DE12A3" w:rsidRDefault="009F4766" w:rsidP="00C917D6">
            <w:pPr>
              <w:pStyle w:val="NormalLeft"/>
            </w:pPr>
            <w:r w:rsidRPr="00DE12A3">
              <w:t>71</w:t>
            </w:r>
          </w:p>
        </w:tc>
        <w:tc>
          <w:tcPr>
            <w:tcW w:w="2551" w:type="dxa"/>
            <w:tcBorders>
              <w:top w:val="single" w:sz="2" w:space="0" w:color="auto"/>
              <w:left w:val="single" w:sz="2" w:space="0" w:color="auto"/>
              <w:bottom w:val="single" w:sz="2" w:space="0" w:color="auto"/>
              <w:right w:val="single" w:sz="2" w:space="0" w:color="auto"/>
            </w:tcBorders>
          </w:tcPr>
          <w:p w14:paraId="608D41EE" w14:textId="77777777" w:rsidR="009F4766" w:rsidRPr="00DE12A3" w:rsidRDefault="009F4766" w:rsidP="00C917D6">
            <w:pPr>
              <w:pStyle w:val="NormalLeft"/>
            </w:pPr>
            <w:r w:rsidRPr="00DE12A3">
              <w:t>72</w:t>
            </w:r>
          </w:p>
        </w:tc>
      </w:tr>
      <w:tr w:rsidR="00DE12A3" w:rsidRPr="00DE12A3" w14:paraId="5568E43D" w14:textId="77777777" w:rsidTr="009F4766">
        <w:tc>
          <w:tcPr>
            <w:tcW w:w="1182" w:type="dxa"/>
            <w:tcBorders>
              <w:top w:val="single" w:sz="2" w:space="0" w:color="auto"/>
              <w:left w:val="single" w:sz="2" w:space="0" w:color="auto"/>
              <w:bottom w:val="single" w:sz="2" w:space="0" w:color="auto"/>
              <w:right w:val="single" w:sz="2" w:space="0" w:color="auto"/>
            </w:tcBorders>
          </w:tcPr>
          <w:p w14:paraId="492676C3" w14:textId="77777777" w:rsidR="009F4766" w:rsidRPr="00DE12A3" w:rsidRDefault="009F4766" w:rsidP="00C917D6">
            <w:pPr>
              <w:pStyle w:val="NormalLeft"/>
            </w:pPr>
            <w:r w:rsidRPr="00DE12A3">
              <w:t>631</w:t>
            </w:r>
          </w:p>
        </w:tc>
        <w:tc>
          <w:tcPr>
            <w:tcW w:w="2489" w:type="dxa"/>
            <w:tcBorders>
              <w:top w:val="single" w:sz="2" w:space="0" w:color="auto"/>
              <w:left w:val="single" w:sz="2" w:space="0" w:color="auto"/>
              <w:bottom w:val="single" w:sz="2" w:space="0" w:color="auto"/>
              <w:right w:val="single" w:sz="2" w:space="0" w:color="auto"/>
            </w:tcBorders>
          </w:tcPr>
          <w:p w14:paraId="63A6EAAF" w14:textId="77777777" w:rsidR="009F4766" w:rsidRPr="00DE12A3" w:rsidRDefault="009F4766" w:rsidP="00C917D6">
            <w:pPr>
              <w:pStyle w:val="NormalLeft"/>
            </w:pPr>
            <w:r w:rsidRPr="00DE12A3">
              <w:t>73</w:t>
            </w:r>
          </w:p>
        </w:tc>
        <w:tc>
          <w:tcPr>
            <w:tcW w:w="2551" w:type="dxa"/>
            <w:tcBorders>
              <w:top w:val="single" w:sz="2" w:space="0" w:color="auto"/>
              <w:left w:val="single" w:sz="2" w:space="0" w:color="auto"/>
              <w:bottom w:val="single" w:sz="2" w:space="0" w:color="auto"/>
              <w:right w:val="single" w:sz="2" w:space="0" w:color="auto"/>
            </w:tcBorders>
          </w:tcPr>
          <w:p w14:paraId="15861F3B" w14:textId="77777777" w:rsidR="009F4766" w:rsidRPr="00DE12A3" w:rsidRDefault="009F4766" w:rsidP="00C917D6">
            <w:pPr>
              <w:pStyle w:val="NormalLeft"/>
            </w:pPr>
            <w:r w:rsidRPr="00DE12A3">
              <w:t>69</w:t>
            </w:r>
          </w:p>
        </w:tc>
      </w:tr>
      <w:tr w:rsidR="00DE12A3" w:rsidRPr="00DE12A3" w14:paraId="4697DCE2" w14:textId="77777777" w:rsidTr="009F4766">
        <w:tc>
          <w:tcPr>
            <w:tcW w:w="1182" w:type="dxa"/>
            <w:tcBorders>
              <w:top w:val="single" w:sz="2" w:space="0" w:color="auto"/>
              <w:left w:val="single" w:sz="2" w:space="0" w:color="auto"/>
              <w:bottom w:val="single" w:sz="2" w:space="0" w:color="auto"/>
              <w:right w:val="single" w:sz="2" w:space="0" w:color="auto"/>
            </w:tcBorders>
          </w:tcPr>
          <w:p w14:paraId="3408CEC7" w14:textId="77777777" w:rsidR="009F4766" w:rsidRPr="00DE12A3" w:rsidRDefault="009F4766" w:rsidP="00C917D6">
            <w:pPr>
              <w:pStyle w:val="NormalLeft"/>
            </w:pPr>
            <w:r w:rsidRPr="00DE12A3">
              <w:t>632</w:t>
            </w:r>
          </w:p>
        </w:tc>
        <w:tc>
          <w:tcPr>
            <w:tcW w:w="2489" w:type="dxa"/>
            <w:tcBorders>
              <w:top w:val="single" w:sz="2" w:space="0" w:color="auto"/>
              <w:left w:val="single" w:sz="2" w:space="0" w:color="auto"/>
              <w:bottom w:val="single" w:sz="2" w:space="0" w:color="auto"/>
              <w:right w:val="single" w:sz="2" w:space="0" w:color="auto"/>
            </w:tcBorders>
          </w:tcPr>
          <w:p w14:paraId="50F1813B" w14:textId="77777777" w:rsidR="009F4766" w:rsidRPr="00DE12A3" w:rsidRDefault="009F4766" w:rsidP="00C917D6">
            <w:pPr>
              <w:pStyle w:val="NormalLeft"/>
            </w:pPr>
            <w:r w:rsidRPr="00DE12A3">
              <w:t>76</w:t>
            </w:r>
          </w:p>
        </w:tc>
        <w:tc>
          <w:tcPr>
            <w:tcW w:w="2551" w:type="dxa"/>
            <w:tcBorders>
              <w:top w:val="single" w:sz="2" w:space="0" w:color="auto"/>
              <w:left w:val="single" w:sz="2" w:space="0" w:color="auto"/>
              <w:bottom w:val="single" w:sz="2" w:space="0" w:color="auto"/>
              <w:right w:val="single" w:sz="2" w:space="0" w:color="auto"/>
            </w:tcBorders>
          </w:tcPr>
          <w:p w14:paraId="5BF7A593" w14:textId="77777777" w:rsidR="009F4766" w:rsidRPr="00DE12A3" w:rsidRDefault="009F4766" w:rsidP="00C917D6">
            <w:pPr>
              <w:pStyle w:val="NormalLeft"/>
            </w:pPr>
            <w:r w:rsidRPr="00DE12A3">
              <w:t>70</w:t>
            </w:r>
          </w:p>
        </w:tc>
      </w:tr>
      <w:tr w:rsidR="00DE12A3" w:rsidRPr="00DE12A3" w14:paraId="3BD55BB7" w14:textId="77777777" w:rsidTr="009F4766">
        <w:tc>
          <w:tcPr>
            <w:tcW w:w="1182" w:type="dxa"/>
            <w:tcBorders>
              <w:top w:val="single" w:sz="2" w:space="0" w:color="auto"/>
              <w:left w:val="single" w:sz="2" w:space="0" w:color="auto"/>
              <w:bottom w:val="single" w:sz="2" w:space="0" w:color="auto"/>
              <w:right w:val="single" w:sz="2" w:space="0" w:color="auto"/>
            </w:tcBorders>
          </w:tcPr>
          <w:p w14:paraId="4B0193D5" w14:textId="77777777" w:rsidR="009F4766" w:rsidRPr="00DE12A3" w:rsidRDefault="009F4766" w:rsidP="00C917D6">
            <w:pPr>
              <w:pStyle w:val="NormalLeft"/>
            </w:pPr>
            <w:r w:rsidRPr="00DE12A3">
              <w:t>633</w:t>
            </w:r>
          </w:p>
        </w:tc>
        <w:tc>
          <w:tcPr>
            <w:tcW w:w="2489" w:type="dxa"/>
            <w:tcBorders>
              <w:top w:val="single" w:sz="2" w:space="0" w:color="auto"/>
              <w:left w:val="single" w:sz="2" w:space="0" w:color="auto"/>
              <w:bottom w:val="single" w:sz="2" w:space="0" w:color="auto"/>
              <w:right w:val="single" w:sz="2" w:space="0" w:color="auto"/>
            </w:tcBorders>
          </w:tcPr>
          <w:p w14:paraId="16912208" w14:textId="77777777" w:rsidR="009F4766" w:rsidRPr="00DE12A3" w:rsidRDefault="009F4766" w:rsidP="00C917D6">
            <w:pPr>
              <w:pStyle w:val="NormalLeft"/>
            </w:pPr>
            <w:r w:rsidRPr="00DE12A3">
              <w:t>77</w:t>
            </w:r>
          </w:p>
        </w:tc>
        <w:tc>
          <w:tcPr>
            <w:tcW w:w="2551" w:type="dxa"/>
            <w:tcBorders>
              <w:top w:val="single" w:sz="2" w:space="0" w:color="auto"/>
              <w:left w:val="single" w:sz="2" w:space="0" w:color="auto"/>
              <w:bottom w:val="single" w:sz="2" w:space="0" w:color="auto"/>
              <w:right w:val="single" w:sz="2" w:space="0" w:color="auto"/>
            </w:tcBorders>
          </w:tcPr>
          <w:p w14:paraId="58D3439A" w14:textId="77777777" w:rsidR="009F4766" w:rsidRPr="00DE12A3" w:rsidRDefault="009F4766" w:rsidP="00C917D6">
            <w:pPr>
              <w:pStyle w:val="NormalLeft"/>
            </w:pPr>
            <w:r w:rsidRPr="00DE12A3">
              <w:t>72</w:t>
            </w:r>
          </w:p>
        </w:tc>
      </w:tr>
      <w:tr w:rsidR="00DE12A3" w:rsidRPr="00DE12A3" w14:paraId="09FFDBB7" w14:textId="77777777" w:rsidTr="009F4766">
        <w:tc>
          <w:tcPr>
            <w:tcW w:w="1182" w:type="dxa"/>
            <w:tcBorders>
              <w:top w:val="single" w:sz="2" w:space="0" w:color="auto"/>
              <w:left w:val="single" w:sz="2" w:space="0" w:color="auto"/>
              <w:bottom w:val="single" w:sz="2" w:space="0" w:color="auto"/>
              <w:right w:val="single" w:sz="2" w:space="0" w:color="auto"/>
            </w:tcBorders>
          </w:tcPr>
          <w:p w14:paraId="032C3D1F" w14:textId="77777777" w:rsidR="009F4766" w:rsidRPr="00DE12A3" w:rsidRDefault="009F4766" w:rsidP="00C917D6">
            <w:pPr>
              <w:pStyle w:val="NormalLeft"/>
            </w:pPr>
            <w:r w:rsidRPr="00DE12A3">
              <w:t>634</w:t>
            </w:r>
          </w:p>
        </w:tc>
        <w:tc>
          <w:tcPr>
            <w:tcW w:w="2489" w:type="dxa"/>
            <w:tcBorders>
              <w:top w:val="single" w:sz="2" w:space="0" w:color="auto"/>
              <w:left w:val="single" w:sz="2" w:space="0" w:color="auto"/>
              <w:bottom w:val="single" w:sz="2" w:space="0" w:color="auto"/>
              <w:right w:val="single" w:sz="2" w:space="0" w:color="auto"/>
            </w:tcBorders>
          </w:tcPr>
          <w:p w14:paraId="5331863B" w14:textId="77777777" w:rsidR="009F4766" w:rsidRPr="00DE12A3" w:rsidRDefault="009F4766" w:rsidP="00C917D6">
            <w:pPr>
              <w:pStyle w:val="NormalLeft"/>
            </w:pPr>
            <w:r w:rsidRPr="00DE12A3">
              <w:t>77</w:t>
            </w:r>
          </w:p>
        </w:tc>
        <w:tc>
          <w:tcPr>
            <w:tcW w:w="2551" w:type="dxa"/>
            <w:tcBorders>
              <w:top w:val="single" w:sz="2" w:space="0" w:color="auto"/>
              <w:left w:val="single" w:sz="2" w:space="0" w:color="auto"/>
              <w:bottom w:val="single" w:sz="2" w:space="0" w:color="auto"/>
              <w:right w:val="single" w:sz="2" w:space="0" w:color="auto"/>
            </w:tcBorders>
          </w:tcPr>
          <w:p w14:paraId="2DF77994" w14:textId="77777777" w:rsidR="009F4766" w:rsidRPr="00DE12A3" w:rsidRDefault="009F4766" w:rsidP="00C917D6">
            <w:pPr>
              <w:pStyle w:val="NormalLeft"/>
            </w:pPr>
            <w:r w:rsidRPr="00DE12A3">
              <w:t>72</w:t>
            </w:r>
          </w:p>
        </w:tc>
      </w:tr>
      <w:tr w:rsidR="00DE12A3" w:rsidRPr="00DE12A3" w14:paraId="54029340" w14:textId="77777777" w:rsidTr="009F4766">
        <w:tc>
          <w:tcPr>
            <w:tcW w:w="1182" w:type="dxa"/>
            <w:tcBorders>
              <w:top w:val="single" w:sz="2" w:space="0" w:color="auto"/>
              <w:left w:val="single" w:sz="2" w:space="0" w:color="auto"/>
              <w:bottom w:val="single" w:sz="2" w:space="0" w:color="auto"/>
              <w:right w:val="single" w:sz="2" w:space="0" w:color="auto"/>
            </w:tcBorders>
          </w:tcPr>
          <w:p w14:paraId="379CB0C1" w14:textId="77777777" w:rsidR="009F4766" w:rsidRPr="00DE12A3" w:rsidRDefault="009F4766" w:rsidP="00C917D6">
            <w:pPr>
              <w:pStyle w:val="NormalLeft"/>
            </w:pPr>
            <w:r w:rsidRPr="00DE12A3">
              <w:t>635</w:t>
            </w:r>
          </w:p>
        </w:tc>
        <w:tc>
          <w:tcPr>
            <w:tcW w:w="2489" w:type="dxa"/>
            <w:tcBorders>
              <w:top w:val="single" w:sz="2" w:space="0" w:color="auto"/>
              <w:left w:val="single" w:sz="2" w:space="0" w:color="auto"/>
              <w:bottom w:val="single" w:sz="2" w:space="0" w:color="auto"/>
              <w:right w:val="single" w:sz="2" w:space="0" w:color="auto"/>
            </w:tcBorders>
          </w:tcPr>
          <w:p w14:paraId="1135BB93" w14:textId="77777777" w:rsidR="009F4766" w:rsidRPr="00DE12A3" w:rsidRDefault="009F4766" w:rsidP="00C917D6">
            <w:pPr>
              <w:pStyle w:val="NormalLeft"/>
            </w:pPr>
            <w:r w:rsidRPr="00DE12A3">
              <w:t>77</w:t>
            </w:r>
          </w:p>
        </w:tc>
        <w:tc>
          <w:tcPr>
            <w:tcW w:w="2551" w:type="dxa"/>
            <w:tcBorders>
              <w:top w:val="single" w:sz="2" w:space="0" w:color="auto"/>
              <w:left w:val="single" w:sz="2" w:space="0" w:color="auto"/>
              <w:bottom w:val="single" w:sz="2" w:space="0" w:color="auto"/>
              <w:right w:val="single" w:sz="2" w:space="0" w:color="auto"/>
            </w:tcBorders>
          </w:tcPr>
          <w:p w14:paraId="5569B99D" w14:textId="77777777" w:rsidR="009F4766" w:rsidRPr="00DE12A3" w:rsidRDefault="009F4766" w:rsidP="00C917D6">
            <w:pPr>
              <w:pStyle w:val="NormalLeft"/>
            </w:pPr>
            <w:r w:rsidRPr="00DE12A3">
              <w:t>72</w:t>
            </w:r>
          </w:p>
        </w:tc>
      </w:tr>
      <w:tr w:rsidR="00DE12A3" w:rsidRPr="00DE12A3" w14:paraId="04C06FAA" w14:textId="77777777" w:rsidTr="009F4766">
        <w:tc>
          <w:tcPr>
            <w:tcW w:w="1182" w:type="dxa"/>
            <w:tcBorders>
              <w:top w:val="single" w:sz="2" w:space="0" w:color="auto"/>
              <w:left w:val="single" w:sz="2" w:space="0" w:color="auto"/>
              <w:bottom w:val="single" w:sz="2" w:space="0" w:color="auto"/>
              <w:right w:val="single" w:sz="2" w:space="0" w:color="auto"/>
            </w:tcBorders>
          </w:tcPr>
          <w:p w14:paraId="01D7E894" w14:textId="77777777" w:rsidR="009F4766" w:rsidRPr="00DE12A3" w:rsidRDefault="009F4766" w:rsidP="00C917D6">
            <w:pPr>
              <w:pStyle w:val="NormalLeft"/>
            </w:pPr>
            <w:r w:rsidRPr="00DE12A3">
              <w:t>636</w:t>
            </w:r>
          </w:p>
        </w:tc>
        <w:tc>
          <w:tcPr>
            <w:tcW w:w="2489" w:type="dxa"/>
            <w:tcBorders>
              <w:top w:val="single" w:sz="2" w:space="0" w:color="auto"/>
              <w:left w:val="single" w:sz="2" w:space="0" w:color="auto"/>
              <w:bottom w:val="single" w:sz="2" w:space="0" w:color="auto"/>
              <w:right w:val="single" w:sz="2" w:space="0" w:color="auto"/>
            </w:tcBorders>
          </w:tcPr>
          <w:p w14:paraId="53021F93" w14:textId="77777777" w:rsidR="009F4766" w:rsidRPr="00DE12A3" w:rsidRDefault="009F4766" w:rsidP="00C917D6">
            <w:pPr>
              <w:pStyle w:val="NormalLeft"/>
            </w:pPr>
            <w:r w:rsidRPr="00DE12A3">
              <w:t>77</w:t>
            </w:r>
          </w:p>
        </w:tc>
        <w:tc>
          <w:tcPr>
            <w:tcW w:w="2551" w:type="dxa"/>
            <w:tcBorders>
              <w:top w:val="single" w:sz="2" w:space="0" w:color="auto"/>
              <w:left w:val="single" w:sz="2" w:space="0" w:color="auto"/>
              <w:bottom w:val="single" w:sz="2" w:space="0" w:color="auto"/>
              <w:right w:val="single" w:sz="2" w:space="0" w:color="auto"/>
            </w:tcBorders>
          </w:tcPr>
          <w:p w14:paraId="138231E2" w14:textId="77777777" w:rsidR="009F4766" w:rsidRPr="00DE12A3" w:rsidRDefault="009F4766" w:rsidP="00C917D6">
            <w:pPr>
              <w:pStyle w:val="NormalLeft"/>
            </w:pPr>
            <w:r w:rsidRPr="00DE12A3">
              <w:t>70</w:t>
            </w:r>
          </w:p>
        </w:tc>
      </w:tr>
      <w:tr w:rsidR="00DE12A3" w:rsidRPr="00DE12A3" w14:paraId="4B2EE1A8" w14:textId="77777777" w:rsidTr="009F4766">
        <w:tc>
          <w:tcPr>
            <w:tcW w:w="1182" w:type="dxa"/>
            <w:tcBorders>
              <w:top w:val="single" w:sz="2" w:space="0" w:color="auto"/>
              <w:left w:val="single" w:sz="2" w:space="0" w:color="auto"/>
              <w:bottom w:val="single" w:sz="2" w:space="0" w:color="auto"/>
              <w:right w:val="single" w:sz="2" w:space="0" w:color="auto"/>
            </w:tcBorders>
          </w:tcPr>
          <w:p w14:paraId="658887F3" w14:textId="77777777" w:rsidR="009F4766" w:rsidRPr="00DE12A3" w:rsidRDefault="009F4766" w:rsidP="00C917D6">
            <w:pPr>
              <w:pStyle w:val="NormalLeft"/>
            </w:pPr>
            <w:r w:rsidRPr="00DE12A3">
              <w:t>637</w:t>
            </w:r>
          </w:p>
        </w:tc>
        <w:tc>
          <w:tcPr>
            <w:tcW w:w="2489" w:type="dxa"/>
            <w:tcBorders>
              <w:top w:val="single" w:sz="2" w:space="0" w:color="auto"/>
              <w:left w:val="single" w:sz="2" w:space="0" w:color="auto"/>
              <w:bottom w:val="single" w:sz="2" w:space="0" w:color="auto"/>
              <w:right w:val="single" w:sz="2" w:space="0" w:color="auto"/>
            </w:tcBorders>
          </w:tcPr>
          <w:p w14:paraId="41D46226" w14:textId="77777777" w:rsidR="009F4766" w:rsidRPr="00DE12A3" w:rsidRDefault="009F4766" w:rsidP="00C917D6">
            <w:pPr>
              <w:pStyle w:val="NormalLeft"/>
            </w:pPr>
            <w:r w:rsidRPr="00DE12A3">
              <w:t>76</w:t>
            </w:r>
          </w:p>
        </w:tc>
        <w:tc>
          <w:tcPr>
            <w:tcW w:w="2551" w:type="dxa"/>
            <w:tcBorders>
              <w:top w:val="single" w:sz="2" w:space="0" w:color="auto"/>
              <w:left w:val="single" w:sz="2" w:space="0" w:color="auto"/>
              <w:bottom w:val="single" w:sz="2" w:space="0" w:color="auto"/>
              <w:right w:val="single" w:sz="2" w:space="0" w:color="auto"/>
            </w:tcBorders>
          </w:tcPr>
          <w:p w14:paraId="0BC622BA" w14:textId="77777777" w:rsidR="009F4766" w:rsidRPr="00DE12A3" w:rsidRDefault="009F4766" w:rsidP="00C917D6">
            <w:pPr>
              <w:pStyle w:val="NormalLeft"/>
            </w:pPr>
            <w:r w:rsidRPr="00DE12A3">
              <w:t>71</w:t>
            </w:r>
          </w:p>
        </w:tc>
      </w:tr>
      <w:tr w:rsidR="00DE12A3" w:rsidRPr="00DE12A3" w14:paraId="3B03C968" w14:textId="77777777" w:rsidTr="009F4766">
        <w:tc>
          <w:tcPr>
            <w:tcW w:w="1182" w:type="dxa"/>
            <w:tcBorders>
              <w:top w:val="single" w:sz="2" w:space="0" w:color="auto"/>
              <w:left w:val="single" w:sz="2" w:space="0" w:color="auto"/>
              <w:bottom w:val="single" w:sz="2" w:space="0" w:color="auto"/>
              <w:right w:val="single" w:sz="2" w:space="0" w:color="auto"/>
            </w:tcBorders>
          </w:tcPr>
          <w:p w14:paraId="6093CAB0" w14:textId="77777777" w:rsidR="009F4766" w:rsidRPr="00DE12A3" w:rsidRDefault="009F4766" w:rsidP="00C917D6">
            <w:pPr>
              <w:pStyle w:val="NormalLeft"/>
            </w:pPr>
            <w:r w:rsidRPr="00DE12A3">
              <w:t>638</w:t>
            </w:r>
          </w:p>
        </w:tc>
        <w:tc>
          <w:tcPr>
            <w:tcW w:w="2489" w:type="dxa"/>
            <w:tcBorders>
              <w:top w:val="single" w:sz="2" w:space="0" w:color="auto"/>
              <w:left w:val="single" w:sz="2" w:space="0" w:color="auto"/>
              <w:bottom w:val="single" w:sz="2" w:space="0" w:color="auto"/>
              <w:right w:val="single" w:sz="2" w:space="0" w:color="auto"/>
            </w:tcBorders>
          </w:tcPr>
          <w:p w14:paraId="20D3A7EB" w14:textId="77777777" w:rsidR="009F4766" w:rsidRPr="00DE12A3" w:rsidRDefault="009F4766" w:rsidP="00C917D6">
            <w:pPr>
              <w:pStyle w:val="NormalLeft"/>
            </w:pPr>
            <w:r w:rsidRPr="00DE12A3">
              <w:t>76</w:t>
            </w:r>
          </w:p>
        </w:tc>
        <w:tc>
          <w:tcPr>
            <w:tcW w:w="2551" w:type="dxa"/>
            <w:tcBorders>
              <w:top w:val="single" w:sz="2" w:space="0" w:color="auto"/>
              <w:left w:val="single" w:sz="2" w:space="0" w:color="auto"/>
              <w:bottom w:val="single" w:sz="2" w:space="0" w:color="auto"/>
              <w:right w:val="single" w:sz="2" w:space="0" w:color="auto"/>
            </w:tcBorders>
          </w:tcPr>
          <w:p w14:paraId="72DD9E03" w14:textId="77777777" w:rsidR="009F4766" w:rsidRPr="00DE12A3" w:rsidRDefault="009F4766" w:rsidP="00C917D6">
            <w:pPr>
              <w:pStyle w:val="NormalLeft"/>
            </w:pPr>
            <w:r w:rsidRPr="00DE12A3">
              <w:t>71</w:t>
            </w:r>
          </w:p>
        </w:tc>
      </w:tr>
      <w:tr w:rsidR="00DE12A3" w:rsidRPr="00DE12A3" w14:paraId="37DFD7E8" w14:textId="77777777" w:rsidTr="009F4766">
        <w:tc>
          <w:tcPr>
            <w:tcW w:w="1182" w:type="dxa"/>
            <w:tcBorders>
              <w:top w:val="single" w:sz="2" w:space="0" w:color="auto"/>
              <w:left w:val="single" w:sz="2" w:space="0" w:color="auto"/>
              <w:bottom w:val="single" w:sz="2" w:space="0" w:color="auto"/>
              <w:right w:val="single" w:sz="2" w:space="0" w:color="auto"/>
            </w:tcBorders>
          </w:tcPr>
          <w:p w14:paraId="1B527F6A" w14:textId="77777777" w:rsidR="009F4766" w:rsidRPr="00DE12A3" w:rsidRDefault="009F4766" w:rsidP="00C917D6">
            <w:pPr>
              <w:pStyle w:val="NormalLeft"/>
            </w:pPr>
            <w:r w:rsidRPr="00DE12A3">
              <w:t>639</w:t>
            </w:r>
          </w:p>
        </w:tc>
        <w:tc>
          <w:tcPr>
            <w:tcW w:w="2489" w:type="dxa"/>
            <w:tcBorders>
              <w:top w:val="single" w:sz="2" w:space="0" w:color="auto"/>
              <w:left w:val="single" w:sz="2" w:space="0" w:color="auto"/>
              <w:bottom w:val="single" w:sz="2" w:space="0" w:color="auto"/>
              <w:right w:val="single" w:sz="2" w:space="0" w:color="auto"/>
            </w:tcBorders>
          </w:tcPr>
          <w:p w14:paraId="46EEB6CF" w14:textId="77777777" w:rsidR="009F4766" w:rsidRPr="00DE12A3" w:rsidRDefault="009F4766" w:rsidP="00C917D6">
            <w:pPr>
              <w:pStyle w:val="NormalLeft"/>
            </w:pPr>
            <w:r w:rsidRPr="00DE12A3">
              <w:t>77</w:t>
            </w:r>
          </w:p>
        </w:tc>
        <w:tc>
          <w:tcPr>
            <w:tcW w:w="2551" w:type="dxa"/>
            <w:tcBorders>
              <w:top w:val="single" w:sz="2" w:space="0" w:color="auto"/>
              <w:left w:val="single" w:sz="2" w:space="0" w:color="auto"/>
              <w:bottom w:val="single" w:sz="2" w:space="0" w:color="auto"/>
              <w:right w:val="single" w:sz="2" w:space="0" w:color="auto"/>
            </w:tcBorders>
          </w:tcPr>
          <w:p w14:paraId="4EE810F8" w14:textId="77777777" w:rsidR="009F4766" w:rsidRPr="00DE12A3" w:rsidRDefault="009F4766" w:rsidP="00C917D6">
            <w:pPr>
              <w:pStyle w:val="NormalLeft"/>
            </w:pPr>
            <w:r w:rsidRPr="00DE12A3">
              <w:t>71</w:t>
            </w:r>
          </w:p>
        </w:tc>
      </w:tr>
      <w:tr w:rsidR="00DE12A3" w:rsidRPr="00DE12A3" w14:paraId="09021461" w14:textId="77777777" w:rsidTr="009F4766">
        <w:tc>
          <w:tcPr>
            <w:tcW w:w="1182" w:type="dxa"/>
            <w:tcBorders>
              <w:top w:val="single" w:sz="2" w:space="0" w:color="auto"/>
              <w:left w:val="single" w:sz="2" w:space="0" w:color="auto"/>
              <w:bottom w:val="single" w:sz="2" w:space="0" w:color="auto"/>
              <w:right w:val="single" w:sz="2" w:space="0" w:color="auto"/>
            </w:tcBorders>
          </w:tcPr>
          <w:p w14:paraId="216AA2A5" w14:textId="77777777" w:rsidR="009F4766" w:rsidRPr="00DE12A3" w:rsidRDefault="009F4766" w:rsidP="00C917D6">
            <w:pPr>
              <w:pStyle w:val="NormalLeft"/>
            </w:pPr>
            <w:r w:rsidRPr="00DE12A3">
              <w:t>640</w:t>
            </w:r>
          </w:p>
        </w:tc>
        <w:tc>
          <w:tcPr>
            <w:tcW w:w="2489" w:type="dxa"/>
            <w:tcBorders>
              <w:top w:val="single" w:sz="2" w:space="0" w:color="auto"/>
              <w:left w:val="single" w:sz="2" w:space="0" w:color="auto"/>
              <w:bottom w:val="single" w:sz="2" w:space="0" w:color="auto"/>
              <w:right w:val="single" w:sz="2" w:space="0" w:color="auto"/>
            </w:tcBorders>
          </w:tcPr>
          <w:p w14:paraId="12EE52BC" w14:textId="77777777" w:rsidR="009F4766" w:rsidRPr="00DE12A3" w:rsidRDefault="009F4766" w:rsidP="00C917D6">
            <w:pPr>
              <w:pStyle w:val="NormalLeft"/>
            </w:pPr>
            <w:r w:rsidRPr="00DE12A3">
              <w:t>77</w:t>
            </w:r>
          </w:p>
        </w:tc>
        <w:tc>
          <w:tcPr>
            <w:tcW w:w="2551" w:type="dxa"/>
            <w:tcBorders>
              <w:top w:val="single" w:sz="2" w:space="0" w:color="auto"/>
              <w:left w:val="single" w:sz="2" w:space="0" w:color="auto"/>
              <w:bottom w:val="single" w:sz="2" w:space="0" w:color="auto"/>
              <w:right w:val="single" w:sz="2" w:space="0" w:color="auto"/>
            </w:tcBorders>
          </w:tcPr>
          <w:p w14:paraId="5BE8B203" w14:textId="77777777" w:rsidR="009F4766" w:rsidRPr="00DE12A3" w:rsidRDefault="009F4766" w:rsidP="00C917D6">
            <w:pPr>
              <w:pStyle w:val="NormalLeft"/>
            </w:pPr>
            <w:r w:rsidRPr="00DE12A3">
              <w:t>71</w:t>
            </w:r>
          </w:p>
        </w:tc>
      </w:tr>
      <w:tr w:rsidR="00DE12A3" w:rsidRPr="00DE12A3" w14:paraId="16F34905" w14:textId="77777777" w:rsidTr="009F4766">
        <w:tc>
          <w:tcPr>
            <w:tcW w:w="1182" w:type="dxa"/>
            <w:tcBorders>
              <w:top w:val="single" w:sz="2" w:space="0" w:color="auto"/>
              <w:left w:val="single" w:sz="2" w:space="0" w:color="auto"/>
              <w:bottom w:val="single" w:sz="2" w:space="0" w:color="auto"/>
              <w:right w:val="single" w:sz="2" w:space="0" w:color="auto"/>
            </w:tcBorders>
          </w:tcPr>
          <w:p w14:paraId="2FD4874F" w14:textId="77777777" w:rsidR="009F4766" w:rsidRPr="00DE12A3" w:rsidRDefault="009F4766" w:rsidP="00C917D6">
            <w:pPr>
              <w:pStyle w:val="NormalLeft"/>
            </w:pPr>
            <w:r w:rsidRPr="00DE12A3">
              <w:t>641</w:t>
            </w:r>
          </w:p>
        </w:tc>
        <w:tc>
          <w:tcPr>
            <w:tcW w:w="2489" w:type="dxa"/>
            <w:tcBorders>
              <w:top w:val="single" w:sz="2" w:space="0" w:color="auto"/>
              <w:left w:val="single" w:sz="2" w:space="0" w:color="auto"/>
              <w:bottom w:val="single" w:sz="2" w:space="0" w:color="auto"/>
              <w:right w:val="single" w:sz="2" w:space="0" w:color="auto"/>
            </w:tcBorders>
          </w:tcPr>
          <w:p w14:paraId="0757B2C7" w14:textId="77777777" w:rsidR="009F4766" w:rsidRPr="00DE12A3" w:rsidRDefault="009F4766" w:rsidP="00C917D6">
            <w:pPr>
              <w:pStyle w:val="NormalLeft"/>
            </w:pPr>
            <w:r w:rsidRPr="00DE12A3">
              <w:t>78</w:t>
            </w:r>
          </w:p>
        </w:tc>
        <w:tc>
          <w:tcPr>
            <w:tcW w:w="2551" w:type="dxa"/>
            <w:tcBorders>
              <w:top w:val="single" w:sz="2" w:space="0" w:color="auto"/>
              <w:left w:val="single" w:sz="2" w:space="0" w:color="auto"/>
              <w:bottom w:val="single" w:sz="2" w:space="0" w:color="auto"/>
              <w:right w:val="single" w:sz="2" w:space="0" w:color="auto"/>
            </w:tcBorders>
          </w:tcPr>
          <w:p w14:paraId="4A721DEF" w14:textId="77777777" w:rsidR="009F4766" w:rsidRPr="00DE12A3" w:rsidRDefault="009F4766" w:rsidP="00C917D6">
            <w:pPr>
              <w:pStyle w:val="NormalLeft"/>
            </w:pPr>
            <w:r w:rsidRPr="00DE12A3">
              <w:t>70</w:t>
            </w:r>
          </w:p>
        </w:tc>
      </w:tr>
      <w:tr w:rsidR="00DE12A3" w:rsidRPr="00DE12A3" w14:paraId="51FAA6A6" w14:textId="77777777" w:rsidTr="009F4766">
        <w:tc>
          <w:tcPr>
            <w:tcW w:w="1182" w:type="dxa"/>
            <w:tcBorders>
              <w:top w:val="single" w:sz="2" w:space="0" w:color="auto"/>
              <w:left w:val="single" w:sz="2" w:space="0" w:color="auto"/>
              <w:bottom w:val="single" w:sz="2" w:space="0" w:color="auto"/>
              <w:right w:val="single" w:sz="2" w:space="0" w:color="auto"/>
            </w:tcBorders>
          </w:tcPr>
          <w:p w14:paraId="0E450D93" w14:textId="77777777" w:rsidR="009F4766" w:rsidRPr="00DE12A3" w:rsidRDefault="009F4766" w:rsidP="00C917D6">
            <w:pPr>
              <w:pStyle w:val="NormalLeft"/>
            </w:pPr>
            <w:r w:rsidRPr="00DE12A3">
              <w:t>642</w:t>
            </w:r>
          </w:p>
        </w:tc>
        <w:tc>
          <w:tcPr>
            <w:tcW w:w="2489" w:type="dxa"/>
            <w:tcBorders>
              <w:top w:val="single" w:sz="2" w:space="0" w:color="auto"/>
              <w:left w:val="single" w:sz="2" w:space="0" w:color="auto"/>
              <w:bottom w:val="single" w:sz="2" w:space="0" w:color="auto"/>
              <w:right w:val="single" w:sz="2" w:space="0" w:color="auto"/>
            </w:tcBorders>
          </w:tcPr>
          <w:p w14:paraId="0A268231" w14:textId="77777777" w:rsidR="009F4766" w:rsidRPr="00DE12A3" w:rsidRDefault="009F4766" w:rsidP="00C917D6">
            <w:pPr>
              <w:pStyle w:val="NormalLeft"/>
            </w:pPr>
            <w:r w:rsidRPr="00DE12A3">
              <w:t>77</w:t>
            </w:r>
          </w:p>
        </w:tc>
        <w:tc>
          <w:tcPr>
            <w:tcW w:w="2551" w:type="dxa"/>
            <w:tcBorders>
              <w:top w:val="single" w:sz="2" w:space="0" w:color="auto"/>
              <w:left w:val="single" w:sz="2" w:space="0" w:color="auto"/>
              <w:bottom w:val="single" w:sz="2" w:space="0" w:color="auto"/>
              <w:right w:val="single" w:sz="2" w:space="0" w:color="auto"/>
            </w:tcBorders>
          </w:tcPr>
          <w:p w14:paraId="025D57B7" w14:textId="77777777" w:rsidR="009F4766" w:rsidRPr="00DE12A3" w:rsidRDefault="009F4766" w:rsidP="00C917D6">
            <w:pPr>
              <w:pStyle w:val="NormalLeft"/>
            </w:pPr>
            <w:r w:rsidRPr="00DE12A3">
              <w:t>70</w:t>
            </w:r>
          </w:p>
        </w:tc>
      </w:tr>
      <w:tr w:rsidR="00DE12A3" w:rsidRPr="00DE12A3" w14:paraId="7A8C8326" w14:textId="77777777" w:rsidTr="009F4766">
        <w:tc>
          <w:tcPr>
            <w:tcW w:w="1182" w:type="dxa"/>
            <w:tcBorders>
              <w:top w:val="single" w:sz="2" w:space="0" w:color="auto"/>
              <w:left w:val="single" w:sz="2" w:space="0" w:color="auto"/>
              <w:bottom w:val="single" w:sz="2" w:space="0" w:color="auto"/>
              <w:right w:val="single" w:sz="2" w:space="0" w:color="auto"/>
            </w:tcBorders>
          </w:tcPr>
          <w:p w14:paraId="17D81DBA" w14:textId="77777777" w:rsidR="009F4766" w:rsidRPr="00DE12A3" w:rsidRDefault="009F4766" w:rsidP="00C917D6">
            <w:pPr>
              <w:pStyle w:val="NormalLeft"/>
            </w:pPr>
            <w:r w:rsidRPr="00DE12A3">
              <w:t>643</w:t>
            </w:r>
          </w:p>
        </w:tc>
        <w:tc>
          <w:tcPr>
            <w:tcW w:w="2489" w:type="dxa"/>
            <w:tcBorders>
              <w:top w:val="single" w:sz="2" w:space="0" w:color="auto"/>
              <w:left w:val="single" w:sz="2" w:space="0" w:color="auto"/>
              <w:bottom w:val="single" w:sz="2" w:space="0" w:color="auto"/>
              <w:right w:val="single" w:sz="2" w:space="0" w:color="auto"/>
            </w:tcBorders>
          </w:tcPr>
          <w:p w14:paraId="58F936DF" w14:textId="77777777" w:rsidR="009F4766" w:rsidRPr="00DE12A3" w:rsidRDefault="009F4766" w:rsidP="00C917D6">
            <w:pPr>
              <w:pStyle w:val="NormalLeft"/>
            </w:pPr>
            <w:r w:rsidRPr="00DE12A3">
              <w:t>77</w:t>
            </w:r>
          </w:p>
        </w:tc>
        <w:tc>
          <w:tcPr>
            <w:tcW w:w="2551" w:type="dxa"/>
            <w:tcBorders>
              <w:top w:val="single" w:sz="2" w:space="0" w:color="auto"/>
              <w:left w:val="single" w:sz="2" w:space="0" w:color="auto"/>
              <w:bottom w:val="single" w:sz="2" w:space="0" w:color="auto"/>
              <w:right w:val="single" w:sz="2" w:space="0" w:color="auto"/>
            </w:tcBorders>
          </w:tcPr>
          <w:p w14:paraId="6BBADBBB" w14:textId="77777777" w:rsidR="009F4766" w:rsidRPr="00DE12A3" w:rsidRDefault="009F4766" w:rsidP="00C917D6">
            <w:pPr>
              <w:pStyle w:val="NormalLeft"/>
            </w:pPr>
            <w:r w:rsidRPr="00DE12A3">
              <w:t>71</w:t>
            </w:r>
          </w:p>
        </w:tc>
      </w:tr>
      <w:tr w:rsidR="00DE12A3" w:rsidRPr="00DE12A3" w14:paraId="75C6D6AD" w14:textId="77777777" w:rsidTr="009F4766">
        <w:tc>
          <w:tcPr>
            <w:tcW w:w="1182" w:type="dxa"/>
            <w:tcBorders>
              <w:top w:val="single" w:sz="2" w:space="0" w:color="auto"/>
              <w:left w:val="single" w:sz="2" w:space="0" w:color="auto"/>
              <w:bottom w:val="single" w:sz="2" w:space="0" w:color="auto"/>
              <w:right w:val="single" w:sz="2" w:space="0" w:color="auto"/>
            </w:tcBorders>
          </w:tcPr>
          <w:p w14:paraId="7B90507F" w14:textId="77777777" w:rsidR="009F4766" w:rsidRPr="00DE12A3" w:rsidRDefault="009F4766" w:rsidP="00C917D6">
            <w:pPr>
              <w:pStyle w:val="NormalLeft"/>
            </w:pPr>
            <w:r w:rsidRPr="00DE12A3">
              <w:lastRenderedPageBreak/>
              <w:t>644</w:t>
            </w:r>
          </w:p>
        </w:tc>
        <w:tc>
          <w:tcPr>
            <w:tcW w:w="2489" w:type="dxa"/>
            <w:tcBorders>
              <w:top w:val="single" w:sz="2" w:space="0" w:color="auto"/>
              <w:left w:val="single" w:sz="2" w:space="0" w:color="auto"/>
              <w:bottom w:val="single" w:sz="2" w:space="0" w:color="auto"/>
              <w:right w:val="single" w:sz="2" w:space="0" w:color="auto"/>
            </w:tcBorders>
          </w:tcPr>
          <w:p w14:paraId="6A6D168A" w14:textId="77777777" w:rsidR="009F4766" w:rsidRPr="00DE12A3" w:rsidRDefault="009F4766" w:rsidP="00C917D6">
            <w:pPr>
              <w:pStyle w:val="NormalLeft"/>
            </w:pPr>
            <w:r w:rsidRPr="00DE12A3">
              <w:t>79</w:t>
            </w:r>
          </w:p>
        </w:tc>
        <w:tc>
          <w:tcPr>
            <w:tcW w:w="2551" w:type="dxa"/>
            <w:tcBorders>
              <w:top w:val="single" w:sz="2" w:space="0" w:color="auto"/>
              <w:left w:val="single" w:sz="2" w:space="0" w:color="auto"/>
              <w:bottom w:val="single" w:sz="2" w:space="0" w:color="auto"/>
              <w:right w:val="single" w:sz="2" w:space="0" w:color="auto"/>
            </w:tcBorders>
          </w:tcPr>
          <w:p w14:paraId="76069674" w14:textId="77777777" w:rsidR="009F4766" w:rsidRPr="00DE12A3" w:rsidRDefault="009F4766" w:rsidP="00C917D6">
            <w:pPr>
              <w:pStyle w:val="NormalLeft"/>
            </w:pPr>
            <w:r w:rsidRPr="00DE12A3">
              <w:t>72</w:t>
            </w:r>
          </w:p>
        </w:tc>
      </w:tr>
      <w:tr w:rsidR="00DE12A3" w:rsidRPr="00DE12A3" w14:paraId="60C7623C" w14:textId="77777777" w:rsidTr="009F4766">
        <w:tc>
          <w:tcPr>
            <w:tcW w:w="1182" w:type="dxa"/>
            <w:tcBorders>
              <w:top w:val="single" w:sz="2" w:space="0" w:color="auto"/>
              <w:left w:val="single" w:sz="2" w:space="0" w:color="auto"/>
              <w:bottom w:val="single" w:sz="2" w:space="0" w:color="auto"/>
              <w:right w:val="single" w:sz="2" w:space="0" w:color="auto"/>
            </w:tcBorders>
          </w:tcPr>
          <w:p w14:paraId="68269279" w14:textId="77777777" w:rsidR="009F4766" w:rsidRPr="00DE12A3" w:rsidRDefault="009F4766" w:rsidP="00C917D6">
            <w:pPr>
              <w:pStyle w:val="NormalLeft"/>
            </w:pPr>
            <w:r w:rsidRPr="00DE12A3">
              <w:t>645</w:t>
            </w:r>
          </w:p>
        </w:tc>
        <w:tc>
          <w:tcPr>
            <w:tcW w:w="2489" w:type="dxa"/>
            <w:tcBorders>
              <w:top w:val="single" w:sz="2" w:space="0" w:color="auto"/>
              <w:left w:val="single" w:sz="2" w:space="0" w:color="auto"/>
              <w:bottom w:val="single" w:sz="2" w:space="0" w:color="auto"/>
              <w:right w:val="single" w:sz="2" w:space="0" w:color="auto"/>
            </w:tcBorders>
          </w:tcPr>
          <w:p w14:paraId="2ACE0DE4" w14:textId="77777777" w:rsidR="009F4766" w:rsidRPr="00DE12A3" w:rsidRDefault="009F4766" w:rsidP="00C917D6">
            <w:pPr>
              <w:pStyle w:val="NormalLeft"/>
            </w:pPr>
            <w:r w:rsidRPr="00DE12A3">
              <w:t>78</w:t>
            </w:r>
          </w:p>
        </w:tc>
        <w:tc>
          <w:tcPr>
            <w:tcW w:w="2551" w:type="dxa"/>
            <w:tcBorders>
              <w:top w:val="single" w:sz="2" w:space="0" w:color="auto"/>
              <w:left w:val="single" w:sz="2" w:space="0" w:color="auto"/>
              <w:bottom w:val="single" w:sz="2" w:space="0" w:color="auto"/>
              <w:right w:val="single" w:sz="2" w:space="0" w:color="auto"/>
            </w:tcBorders>
          </w:tcPr>
          <w:p w14:paraId="3DF7A6D1" w14:textId="77777777" w:rsidR="009F4766" w:rsidRPr="00DE12A3" w:rsidRDefault="009F4766" w:rsidP="00C917D6">
            <w:pPr>
              <w:pStyle w:val="NormalLeft"/>
            </w:pPr>
            <w:r w:rsidRPr="00DE12A3">
              <w:t>70</w:t>
            </w:r>
          </w:p>
        </w:tc>
      </w:tr>
      <w:tr w:rsidR="00DE12A3" w:rsidRPr="00DE12A3" w14:paraId="3E6469DA" w14:textId="77777777" w:rsidTr="009F4766">
        <w:tc>
          <w:tcPr>
            <w:tcW w:w="1182" w:type="dxa"/>
            <w:tcBorders>
              <w:top w:val="single" w:sz="2" w:space="0" w:color="auto"/>
              <w:left w:val="single" w:sz="2" w:space="0" w:color="auto"/>
              <w:bottom w:val="single" w:sz="2" w:space="0" w:color="auto"/>
              <w:right w:val="single" w:sz="2" w:space="0" w:color="auto"/>
            </w:tcBorders>
          </w:tcPr>
          <w:p w14:paraId="5C108E7B" w14:textId="77777777" w:rsidR="009F4766" w:rsidRPr="00DE12A3" w:rsidRDefault="009F4766" w:rsidP="00C917D6">
            <w:pPr>
              <w:pStyle w:val="NormalLeft"/>
            </w:pPr>
            <w:r w:rsidRPr="00DE12A3">
              <w:t>646</w:t>
            </w:r>
          </w:p>
        </w:tc>
        <w:tc>
          <w:tcPr>
            <w:tcW w:w="2489" w:type="dxa"/>
            <w:tcBorders>
              <w:top w:val="single" w:sz="2" w:space="0" w:color="auto"/>
              <w:left w:val="single" w:sz="2" w:space="0" w:color="auto"/>
              <w:bottom w:val="single" w:sz="2" w:space="0" w:color="auto"/>
              <w:right w:val="single" w:sz="2" w:space="0" w:color="auto"/>
            </w:tcBorders>
          </w:tcPr>
          <w:p w14:paraId="0236FA1A" w14:textId="77777777" w:rsidR="009F4766" w:rsidRPr="00DE12A3" w:rsidRDefault="009F4766" w:rsidP="00C917D6">
            <w:pPr>
              <w:pStyle w:val="NormalLeft"/>
            </w:pPr>
            <w:r w:rsidRPr="00DE12A3">
              <w:t>80</w:t>
            </w:r>
          </w:p>
        </w:tc>
        <w:tc>
          <w:tcPr>
            <w:tcW w:w="2551" w:type="dxa"/>
            <w:tcBorders>
              <w:top w:val="single" w:sz="2" w:space="0" w:color="auto"/>
              <w:left w:val="single" w:sz="2" w:space="0" w:color="auto"/>
              <w:bottom w:val="single" w:sz="2" w:space="0" w:color="auto"/>
              <w:right w:val="single" w:sz="2" w:space="0" w:color="auto"/>
            </w:tcBorders>
          </w:tcPr>
          <w:p w14:paraId="12255CC3" w14:textId="77777777" w:rsidR="009F4766" w:rsidRPr="00DE12A3" w:rsidRDefault="009F4766" w:rsidP="00C917D6">
            <w:pPr>
              <w:pStyle w:val="NormalLeft"/>
            </w:pPr>
            <w:r w:rsidRPr="00DE12A3">
              <w:t>70</w:t>
            </w:r>
          </w:p>
        </w:tc>
      </w:tr>
      <w:tr w:rsidR="00DE12A3" w:rsidRPr="00DE12A3" w14:paraId="3DF20A6C" w14:textId="77777777" w:rsidTr="009F4766">
        <w:tc>
          <w:tcPr>
            <w:tcW w:w="1182" w:type="dxa"/>
            <w:tcBorders>
              <w:top w:val="single" w:sz="2" w:space="0" w:color="auto"/>
              <w:left w:val="single" w:sz="2" w:space="0" w:color="auto"/>
              <w:bottom w:val="single" w:sz="2" w:space="0" w:color="auto"/>
              <w:right w:val="single" w:sz="2" w:space="0" w:color="auto"/>
            </w:tcBorders>
          </w:tcPr>
          <w:p w14:paraId="2D3DA5D7" w14:textId="77777777" w:rsidR="009F4766" w:rsidRPr="00DE12A3" w:rsidRDefault="009F4766" w:rsidP="00C917D6">
            <w:pPr>
              <w:pStyle w:val="NormalLeft"/>
            </w:pPr>
            <w:r w:rsidRPr="00DE12A3">
              <w:t>647</w:t>
            </w:r>
          </w:p>
        </w:tc>
        <w:tc>
          <w:tcPr>
            <w:tcW w:w="2489" w:type="dxa"/>
            <w:tcBorders>
              <w:top w:val="single" w:sz="2" w:space="0" w:color="auto"/>
              <w:left w:val="single" w:sz="2" w:space="0" w:color="auto"/>
              <w:bottom w:val="single" w:sz="2" w:space="0" w:color="auto"/>
              <w:right w:val="single" w:sz="2" w:space="0" w:color="auto"/>
            </w:tcBorders>
          </w:tcPr>
          <w:p w14:paraId="310FF42F" w14:textId="77777777" w:rsidR="009F4766" w:rsidRPr="00DE12A3" w:rsidRDefault="009F4766" w:rsidP="00C917D6">
            <w:pPr>
              <w:pStyle w:val="NormalLeft"/>
            </w:pPr>
            <w:r w:rsidRPr="00DE12A3">
              <w:t>82</w:t>
            </w:r>
          </w:p>
        </w:tc>
        <w:tc>
          <w:tcPr>
            <w:tcW w:w="2551" w:type="dxa"/>
            <w:tcBorders>
              <w:top w:val="single" w:sz="2" w:space="0" w:color="auto"/>
              <w:left w:val="single" w:sz="2" w:space="0" w:color="auto"/>
              <w:bottom w:val="single" w:sz="2" w:space="0" w:color="auto"/>
              <w:right w:val="single" w:sz="2" w:space="0" w:color="auto"/>
            </w:tcBorders>
          </w:tcPr>
          <w:p w14:paraId="4C178910" w14:textId="77777777" w:rsidR="009F4766" w:rsidRPr="00DE12A3" w:rsidRDefault="009F4766" w:rsidP="00C917D6">
            <w:pPr>
              <w:pStyle w:val="NormalLeft"/>
            </w:pPr>
            <w:r w:rsidRPr="00DE12A3">
              <w:t>71</w:t>
            </w:r>
          </w:p>
        </w:tc>
      </w:tr>
      <w:tr w:rsidR="00DE12A3" w:rsidRPr="00DE12A3" w14:paraId="218A1374" w14:textId="77777777" w:rsidTr="009F4766">
        <w:tc>
          <w:tcPr>
            <w:tcW w:w="1182" w:type="dxa"/>
            <w:tcBorders>
              <w:top w:val="single" w:sz="2" w:space="0" w:color="auto"/>
              <w:left w:val="single" w:sz="2" w:space="0" w:color="auto"/>
              <w:bottom w:val="single" w:sz="2" w:space="0" w:color="auto"/>
              <w:right w:val="single" w:sz="2" w:space="0" w:color="auto"/>
            </w:tcBorders>
          </w:tcPr>
          <w:p w14:paraId="0986A263" w14:textId="77777777" w:rsidR="009F4766" w:rsidRPr="00DE12A3" w:rsidRDefault="009F4766" w:rsidP="00C917D6">
            <w:pPr>
              <w:pStyle w:val="NormalLeft"/>
            </w:pPr>
            <w:r w:rsidRPr="00DE12A3">
              <w:t>648</w:t>
            </w:r>
          </w:p>
        </w:tc>
        <w:tc>
          <w:tcPr>
            <w:tcW w:w="2489" w:type="dxa"/>
            <w:tcBorders>
              <w:top w:val="single" w:sz="2" w:space="0" w:color="auto"/>
              <w:left w:val="single" w:sz="2" w:space="0" w:color="auto"/>
              <w:bottom w:val="single" w:sz="2" w:space="0" w:color="auto"/>
              <w:right w:val="single" w:sz="2" w:space="0" w:color="auto"/>
            </w:tcBorders>
          </w:tcPr>
          <w:p w14:paraId="0D105894" w14:textId="77777777" w:rsidR="009F4766" w:rsidRPr="00DE12A3" w:rsidRDefault="009F4766" w:rsidP="00C917D6">
            <w:pPr>
              <w:pStyle w:val="NormalLeft"/>
            </w:pPr>
            <w:r w:rsidRPr="00DE12A3">
              <w:t>84</w:t>
            </w:r>
          </w:p>
        </w:tc>
        <w:tc>
          <w:tcPr>
            <w:tcW w:w="2551" w:type="dxa"/>
            <w:tcBorders>
              <w:top w:val="single" w:sz="2" w:space="0" w:color="auto"/>
              <w:left w:val="single" w:sz="2" w:space="0" w:color="auto"/>
              <w:bottom w:val="single" w:sz="2" w:space="0" w:color="auto"/>
              <w:right w:val="single" w:sz="2" w:space="0" w:color="auto"/>
            </w:tcBorders>
          </w:tcPr>
          <w:p w14:paraId="4722EA7A" w14:textId="77777777" w:rsidR="009F4766" w:rsidRPr="00DE12A3" w:rsidRDefault="009F4766" w:rsidP="00C917D6">
            <w:pPr>
              <w:pStyle w:val="NormalLeft"/>
            </w:pPr>
            <w:r w:rsidRPr="00DE12A3">
              <w:t>71</w:t>
            </w:r>
          </w:p>
        </w:tc>
      </w:tr>
      <w:tr w:rsidR="00DE12A3" w:rsidRPr="00DE12A3" w14:paraId="422CB7E2" w14:textId="77777777" w:rsidTr="009F4766">
        <w:tc>
          <w:tcPr>
            <w:tcW w:w="1182" w:type="dxa"/>
            <w:tcBorders>
              <w:top w:val="single" w:sz="2" w:space="0" w:color="auto"/>
              <w:left w:val="single" w:sz="2" w:space="0" w:color="auto"/>
              <w:bottom w:val="single" w:sz="2" w:space="0" w:color="auto"/>
              <w:right w:val="single" w:sz="2" w:space="0" w:color="auto"/>
            </w:tcBorders>
          </w:tcPr>
          <w:p w14:paraId="49190768" w14:textId="77777777" w:rsidR="009F4766" w:rsidRPr="00DE12A3" w:rsidRDefault="009F4766" w:rsidP="00C917D6">
            <w:pPr>
              <w:pStyle w:val="NormalLeft"/>
            </w:pPr>
            <w:r w:rsidRPr="00DE12A3">
              <w:t>649</w:t>
            </w:r>
          </w:p>
        </w:tc>
        <w:tc>
          <w:tcPr>
            <w:tcW w:w="2489" w:type="dxa"/>
            <w:tcBorders>
              <w:top w:val="single" w:sz="2" w:space="0" w:color="auto"/>
              <w:left w:val="single" w:sz="2" w:space="0" w:color="auto"/>
              <w:bottom w:val="single" w:sz="2" w:space="0" w:color="auto"/>
              <w:right w:val="single" w:sz="2" w:space="0" w:color="auto"/>
            </w:tcBorders>
          </w:tcPr>
          <w:p w14:paraId="603DF872" w14:textId="77777777" w:rsidR="009F4766" w:rsidRPr="00DE12A3" w:rsidRDefault="009F4766" w:rsidP="00C917D6">
            <w:pPr>
              <w:pStyle w:val="NormalLeft"/>
            </w:pPr>
            <w:r w:rsidRPr="00DE12A3">
              <w:t>83</w:t>
            </w:r>
          </w:p>
        </w:tc>
        <w:tc>
          <w:tcPr>
            <w:tcW w:w="2551" w:type="dxa"/>
            <w:tcBorders>
              <w:top w:val="single" w:sz="2" w:space="0" w:color="auto"/>
              <w:left w:val="single" w:sz="2" w:space="0" w:color="auto"/>
              <w:bottom w:val="single" w:sz="2" w:space="0" w:color="auto"/>
              <w:right w:val="single" w:sz="2" w:space="0" w:color="auto"/>
            </w:tcBorders>
          </w:tcPr>
          <w:p w14:paraId="44711B2F" w14:textId="77777777" w:rsidR="009F4766" w:rsidRPr="00DE12A3" w:rsidRDefault="009F4766" w:rsidP="00C917D6">
            <w:pPr>
              <w:pStyle w:val="NormalLeft"/>
            </w:pPr>
            <w:r w:rsidRPr="00DE12A3">
              <w:t>71</w:t>
            </w:r>
          </w:p>
        </w:tc>
      </w:tr>
      <w:tr w:rsidR="00DE12A3" w:rsidRPr="00DE12A3" w14:paraId="64C2ED5E" w14:textId="77777777" w:rsidTr="009F4766">
        <w:tc>
          <w:tcPr>
            <w:tcW w:w="1182" w:type="dxa"/>
            <w:tcBorders>
              <w:top w:val="single" w:sz="2" w:space="0" w:color="auto"/>
              <w:left w:val="single" w:sz="2" w:space="0" w:color="auto"/>
              <w:bottom w:val="single" w:sz="2" w:space="0" w:color="auto"/>
              <w:right w:val="single" w:sz="2" w:space="0" w:color="auto"/>
            </w:tcBorders>
          </w:tcPr>
          <w:p w14:paraId="489742D3" w14:textId="77777777" w:rsidR="009F4766" w:rsidRPr="00DE12A3" w:rsidRDefault="009F4766" w:rsidP="00C917D6">
            <w:pPr>
              <w:pStyle w:val="NormalLeft"/>
            </w:pPr>
            <w:r w:rsidRPr="00DE12A3">
              <w:t>650</w:t>
            </w:r>
          </w:p>
        </w:tc>
        <w:tc>
          <w:tcPr>
            <w:tcW w:w="2489" w:type="dxa"/>
            <w:tcBorders>
              <w:top w:val="single" w:sz="2" w:space="0" w:color="auto"/>
              <w:left w:val="single" w:sz="2" w:space="0" w:color="auto"/>
              <w:bottom w:val="single" w:sz="2" w:space="0" w:color="auto"/>
              <w:right w:val="single" w:sz="2" w:space="0" w:color="auto"/>
            </w:tcBorders>
          </w:tcPr>
          <w:p w14:paraId="6DEB7DCE" w14:textId="77777777" w:rsidR="009F4766" w:rsidRPr="00DE12A3" w:rsidRDefault="009F4766" w:rsidP="00C917D6">
            <w:pPr>
              <w:pStyle w:val="NormalLeft"/>
            </w:pPr>
            <w:r w:rsidRPr="00DE12A3">
              <w:t>83</w:t>
            </w:r>
          </w:p>
        </w:tc>
        <w:tc>
          <w:tcPr>
            <w:tcW w:w="2551" w:type="dxa"/>
            <w:tcBorders>
              <w:top w:val="single" w:sz="2" w:space="0" w:color="auto"/>
              <w:left w:val="single" w:sz="2" w:space="0" w:color="auto"/>
              <w:bottom w:val="single" w:sz="2" w:space="0" w:color="auto"/>
              <w:right w:val="single" w:sz="2" w:space="0" w:color="auto"/>
            </w:tcBorders>
          </w:tcPr>
          <w:p w14:paraId="7E4629EA" w14:textId="77777777" w:rsidR="009F4766" w:rsidRPr="00DE12A3" w:rsidRDefault="009F4766" w:rsidP="00C917D6">
            <w:pPr>
              <w:pStyle w:val="NormalLeft"/>
            </w:pPr>
            <w:r w:rsidRPr="00DE12A3">
              <w:t>73</w:t>
            </w:r>
          </w:p>
        </w:tc>
      </w:tr>
      <w:tr w:rsidR="00DE12A3" w:rsidRPr="00DE12A3" w14:paraId="3B781572" w14:textId="77777777" w:rsidTr="009F4766">
        <w:tc>
          <w:tcPr>
            <w:tcW w:w="1182" w:type="dxa"/>
            <w:tcBorders>
              <w:top w:val="single" w:sz="2" w:space="0" w:color="auto"/>
              <w:left w:val="single" w:sz="2" w:space="0" w:color="auto"/>
              <w:bottom w:val="single" w:sz="2" w:space="0" w:color="auto"/>
              <w:right w:val="single" w:sz="2" w:space="0" w:color="auto"/>
            </w:tcBorders>
          </w:tcPr>
          <w:p w14:paraId="251916A0" w14:textId="77777777" w:rsidR="009F4766" w:rsidRPr="00DE12A3" w:rsidRDefault="009F4766" w:rsidP="00C917D6">
            <w:pPr>
              <w:pStyle w:val="NormalLeft"/>
            </w:pPr>
            <w:r w:rsidRPr="00DE12A3">
              <w:t>651</w:t>
            </w:r>
          </w:p>
        </w:tc>
        <w:tc>
          <w:tcPr>
            <w:tcW w:w="2489" w:type="dxa"/>
            <w:tcBorders>
              <w:top w:val="single" w:sz="2" w:space="0" w:color="auto"/>
              <w:left w:val="single" w:sz="2" w:space="0" w:color="auto"/>
              <w:bottom w:val="single" w:sz="2" w:space="0" w:color="auto"/>
              <w:right w:val="single" w:sz="2" w:space="0" w:color="auto"/>
            </w:tcBorders>
          </w:tcPr>
          <w:p w14:paraId="4E85CC0B" w14:textId="77777777" w:rsidR="009F4766" w:rsidRPr="00DE12A3" w:rsidRDefault="009F4766" w:rsidP="00C917D6">
            <w:pPr>
              <w:pStyle w:val="NormalLeft"/>
            </w:pPr>
            <w:r w:rsidRPr="00DE12A3">
              <w:t>81</w:t>
            </w:r>
          </w:p>
        </w:tc>
        <w:tc>
          <w:tcPr>
            <w:tcW w:w="2551" w:type="dxa"/>
            <w:tcBorders>
              <w:top w:val="single" w:sz="2" w:space="0" w:color="auto"/>
              <w:left w:val="single" w:sz="2" w:space="0" w:color="auto"/>
              <w:bottom w:val="single" w:sz="2" w:space="0" w:color="auto"/>
              <w:right w:val="single" w:sz="2" w:space="0" w:color="auto"/>
            </w:tcBorders>
          </w:tcPr>
          <w:p w14:paraId="7DF1AC9E" w14:textId="77777777" w:rsidR="009F4766" w:rsidRPr="00DE12A3" w:rsidRDefault="009F4766" w:rsidP="00C917D6">
            <w:pPr>
              <w:pStyle w:val="NormalLeft"/>
            </w:pPr>
            <w:r w:rsidRPr="00DE12A3">
              <w:t>70</w:t>
            </w:r>
          </w:p>
        </w:tc>
      </w:tr>
      <w:tr w:rsidR="00DE12A3" w:rsidRPr="00DE12A3" w14:paraId="06018D93" w14:textId="77777777" w:rsidTr="009F4766">
        <w:tc>
          <w:tcPr>
            <w:tcW w:w="1182" w:type="dxa"/>
            <w:tcBorders>
              <w:top w:val="single" w:sz="2" w:space="0" w:color="auto"/>
              <w:left w:val="single" w:sz="2" w:space="0" w:color="auto"/>
              <w:bottom w:val="single" w:sz="2" w:space="0" w:color="auto"/>
              <w:right w:val="single" w:sz="2" w:space="0" w:color="auto"/>
            </w:tcBorders>
          </w:tcPr>
          <w:p w14:paraId="08DB8D8F" w14:textId="77777777" w:rsidR="009F4766" w:rsidRPr="00DE12A3" w:rsidRDefault="009F4766" w:rsidP="00C917D6">
            <w:pPr>
              <w:pStyle w:val="NormalLeft"/>
            </w:pPr>
            <w:r w:rsidRPr="00DE12A3">
              <w:t>652</w:t>
            </w:r>
          </w:p>
        </w:tc>
        <w:tc>
          <w:tcPr>
            <w:tcW w:w="2489" w:type="dxa"/>
            <w:tcBorders>
              <w:top w:val="single" w:sz="2" w:space="0" w:color="auto"/>
              <w:left w:val="single" w:sz="2" w:space="0" w:color="auto"/>
              <w:bottom w:val="single" w:sz="2" w:space="0" w:color="auto"/>
              <w:right w:val="single" w:sz="2" w:space="0" w:color="auto"/>
            </w:tcBorders>
          </w:tcPr>
          <w:p w14:paraId="69D263F0" w14:textId="77777777" w:rsidR="009F4766" w:rsidRPr="00DE12A3" w:rsidRDefault="009F4766" w:rsidP="00C917D6">
            <w:pPr>
              <w:pStyle w:val="NormalLeft"/>
            </w:pPr>
            <w:r w:rsidRPr="00DE12A3">
              <w:t>80</w:t>
            </w:r>
          </w:p>
        </w:tc>
        <w:tc>
          <w:tcPr>
            <w:tcW w:w="2551" w:type="dxa"/>
            <w:tcBorders>
              <w:top w:val="single" w:sz="2" w:space="0" w:color="auto"/>
              <w:left w:val="single" w:sz="2" w:space="0" w:color="auto"/>
              <w:bottom w:val="single" w:sz="2" w:space="0" w:color="auto"/>
              <w:right w:val="single" w:sz="2" w:space="0" w:color="auto"/>
            </w:tcBorders>
          </w:tcPr>
          <w:p w14:paraId="4750E8D8" w14:textId="77777777" w:rsidR="009F4766" w:rsidRPr="00DE12A3" w:rsidRDefault="009F4766" w:rsidP="00C917D6">
            <w:pPr>
              <w:pStyle w:val="NormalLeft"/>
            </w:pPr>
            <w:r w:rsidRPr="00DE12A3">
              <w:t>71</w:t>
            </w:r>
          </w:p>
        </w:tc>
      </w:tr>
      <w:tr w:rsidR="00DE12A3" w:rsidRPr="00DE12A3" w14:paraId="50C2C081" w14:textId="77777777" w:rsidTr="009F4766">
        <w:tc>
          <w:tcPr>
            <w:tcW w:w="1182" w:type="dxa"/>
            <w:tcBorders>
              <w:top w:val="single" w:sz="2" w:space="0" w:color="auto"/>
              <w:left w:val="single" w:sz="2" w:space="0" w:color="auto"/>
              <w:bottom w:val="single" w:sz="2" w:space="0" w:color="auto"/>
              <w:right w:val="single" w:sz="2" w:space="0" w:color="auto"/>
            </w:tcBorders>
          </w:tcPr>
          <w:p w14:paraId="04A0F17C" w14:textId="77777777" w:rsidR="009F4766" w:rsidRPr="00DE12A3" w:rsidRDefault="009F4766" w:rsidP="00C917D6">
            <w:pPr>
              <w:pStyle w:val="NormalLeft"/>
            </w:pPr>
            <w:r w:rsidRPr="00DE12A3">
              <w:t>653</w:t>
            </w:r>
          </w:p>
        </w:tc>
        <w:tc>
          <w:tcPr>
            <w:tcW w:w="2489" w:type="dxa"/>
            <w:tcBorders>
              <w:top w:val="single" w:sz="2" w:space="0" w:color="auto"/>
              <w:left w:val="single" w:sz="2" w:space="0" w:color="auto"/>
              <w:bottom w:val="single" w:sz="2" w:space="0" w:color="auto"/>
              <w:right w:val="single" w:sz="2" w:space="0" w:color="auto"/>
            </w:tcBorders>
          </w:tcPr>
          <w:p w14:paraId="2D5CD48D" w14:textId="77777777" w:rsidR="009F4766" w:rsidRPr="00DE12A3" w:rsidRDefault="009F4766" w:rsidP="00C917D6">
            <w:pPr>
              <w:pStyle w:val="NormalLeft"/>
            </w:pPr>
            <w:r w:rsidRPr="00DE12A3">
              <w:t>78</w:t>
            </w:r>
          </w:p>
        </w:tc>
        <w:tc>
          <w:tcPr>
            <w:tcW w:w="2551" w:type="dxa"/>
            <w:tcBorders>
              <w:top w:val="single" w:sz="2" w:space="0" w:color="auto"/>
              <w:left w:val="single" w:sz="2" w:space="0" w:color="auto"/>
              <w:bottom w:val="single" w:sz="2" w:space="0" w:color="auto"/>
              <w:right w:val="single" w:sz="2" w:space="0" w:color="auto"/>
            </w:tcBorders>
          </w:tcPr>
          <w:p w14:paraId="5D52E908" w14:textId="77777777" w:rsidR="009F4766" w:rsidRPr="00DE12A3" w:rsidRDefault="009F4766" w:rsidP="00C917D6">
            <w:pPr>
              <w:pStyle w:val="NormalLeft"/>
            </w:pPr>
            <w:r w:rsidRPr="00DE12A3">
              <w:t>71</w:t>
            </w:r>
          </w:p>
        </w:tc>
      </w:tr>
      <w:tr w:rsidR="00DE12A3" w:rsidRPr="00DE12A3" w14:paraId="7DF10052" w14:textId="77777777" w:rsidTr="009F4766">
        <w:tc>
          <w:tcPr>
            <w:tcW w:w="1182" w:type="dxa"/>
            <w:tcBorders>
              <w:top w:val="single" w:sz="2" w:space="0" w:color="auto"/>
              <w:left w:val="single" w:sz="2" w:space="0" w:color="auto"/>
              <w:bottom w:val="single" w:sz="2" w:space="0" w:color="auto"/>
              <w:right w:val="single" w:sz="2" w:space="0" w:color="auto"/>
            </w:tcBorders>
          </w:tcPr>
          <w:p w14:paraId="5A600494" w14:textId="77777777" w:rsidR="009F4766" w:rsidRPr="00DE12A3" w:rsidRDefault="009F4766" w:rsidP="00C917D6">
            <w:pPr>
              <w:pStyle w:val="NormalLeft"/>
            </w:pPr>
            <w:r w:rsidRPr="00DE12A3">
              <w:t>654</w:t>
            </w:r>
          </w:p>
        </w:tc>
        <w:tc>
          <w:tcPr>
            <w:tcW w:w="2489" w:type="dxa"/>
            <w:tcBorders>
              <w:top w:val="single" w:sz="2" w:space="0" w:color="auto"/>
              <w:left w:val="single" w:sz="2" w:space="0" w:color="auto"/>
              <w:bottom w:val="single" w:sz="2" w:space="0" w:color="auto"/>
              <w:right w:val="single" w:sz="2" w:space="0" w:color="auto"/>
            </w:tcBorders>
          </w:tcPr>
          <w:p w14:paraId="309C9B4D" w14:textId="77777777" w:rsidR="009F4766" w:rsidRPr="00DE12A3" w:rsidRDefault="009F4766" w:rsidP="00C917D6">
            <w:pPr>
              <w:pStyle w:val="NormalLeft"/>
            </w:pPr>
            <w:r w:rsidRPr="00DE12A3">
              <w:t>76</w:t>
            </w:r>
          </w:p>
        </w:tc>
        <w:tc>
          <w:tcPr>
            <w:tcW w:w="2551" w:type="dxa"/>
            <w:tcBorders>
              <w:top w:val="single" w:sz="2" w:space="0" w:color="auto"/>
              <w:left w:val="single" w:sz="2" w:space="0" w:color="auto"/>
              <w:bottom w:val="single" w:sz="2" w:space="0" w:color="auto"/>
              <w:right w:val="single" w:sz="2" w:space="0" w:color="auto"/>
            </w:tcBorders>
          </w:tcPr>
          <w:p w14:paraId="02FEA448" w14:textId="77777777" w:rsidR="009F4766" w:rsidRPr="00DE12A3" w:rsidRDefault="009F4766" w:rsidP="00C917D6">
            <w:pPr>
              <w:pStyle w:val="NormalLeft"/>
            </w:pPr>
            <w:r w:rsidRPr="00DE12A3">
              <w:t>70</w:t>
            </w:r>
          </w:p>
        </w:tc>
      </w:tr>
      <w:tr w:rsidR="00DE12A3" w:rsidRPr="00DE12A3" w14:paraId="68CA8827" w14:textId="77777777" w:rsidTr="009F4766">
        <w:tc>
          <w:tcPr>
            <w:tcW w:w="1182" w:type="dxa"/>
            <w:tcBorders>
              <w:top w:val="single" w:sz="2" w:space="0" w:color="auto"/>
              <w:left w:val="single" w:sz="2" w:space="0" w:color="auto"/>
              <w:bottom w:val="single" w:sz="2" w:space="0" w:color="auto"/>
              <w:right w:val="single" w:sz="2" w:space="0" w:color="auto"/>
            </w:tcBorders>
          </w:tcPr>
          <w:p w14:paraId="21A64367" w14:textId="77777777" w:rsidR="009F4766" w:rsidRPr="00DE12A3" w:rsidRDefault="009F4766" w:rsidP="00C917D6">
            <w:pPr>
              <w:pStyle w:val="NormalLeft"/>
            </w:pPr>
            <w:r w:rsidRPr="00DE12A3">
              <w:t>655</w:t>
            </w:r>
          </w:p>
        </w:tc>
        <w:tc>
          <w:tcPr>
            <w:tcW w:w="2489" w:type="dxa"/>
            <w:tcBorders>
              <w:top w:val="single" w:sz="2" w:space="0" w:color="auto"/>
              <w:left w:val="single" w:sz="2" w:space="0" w:color="auto"/>
              <w:bottom w:val="single" w:sz="2" w:space="0" w:color="auto"/>
              <w:right w:val="single" w:sz="2" w:space="0" w:color="auto"/>
            </w:tcBorders>
          </w:tcPr>
          <w:p w14:paraId="02748955" w14:textId="77777777" w:rsidR="009F4766" w:rsidRPr="00DE12A3" w:rsidRDefault="009F4766" w:rsidP="00C917D6">
            <w:pPr>
              <w:pStyle w:val="NormalLeft"/>
            </w:pPr>
            <w:r w:rsidRPr="00DE12A3">
              <w:t>76</w:t>
            </w:r>
          </w:p>
        </w:tc>
        <w:tc>
          <w:tcPr>
            <w:tcW w:w="2551" w:type="dxa"/>
            <w:tcBorders>
              <w:top w:val="single" w:sz="2" w:space="0" w:color="auto"/>
              <w:left w:val="single" w:sz="2" w:space="0" w:color="auto"/>
              <w:bottom w:val="single" w:sz="2" w:space="0" w:color="auto"/>
              <w:right w:val="single" w:sz="2" w:space="0" w:color="auto"/>
            </w:tcBorders>
          </w:tcPr>
          <w:p w14:paraId="4BC53D39" w14:textId="77777777" w:rsidR="009F4766" w:rsidRPr="00DE12A3" w:rsidRDefault="009F4766" w:rsidP="00C917D6">
            <w:pPr>
              <w:pStyle w:val="NormalLeft"/>
            </w:pPr>
            <w:r w:rsidRPr="00DE12A3">
              <w:t>70</w:t>
            </w:r>
          </w:p>
        </w:tc>
      </w:tr>
      <w:tr w:rsidR="00DE12A3" w:rsidRPr="00DE12A3" w14:paraId="5B6CCDC0" w14:textId="77777777" w:rsidTr="009F4766">
        <w:tc>
          <w:tcPr>
            <w:tcW w:w="1182" w:type="dxa"/>
            <w:tcBorders>
              <w:top w:val="single" w:sz="2" w:space="0" w:color="auto"/>
              <w:left w:val="single" w:sz="2" w:space="0" w:color="auto"/>
              <w:bottom w:val="single" w:sz="2" w:space="0" w:color="auto"/>
              <w:right w:val="single" w:sz="2" w:space="0" w:color="auto"/>
            </w:tcBorders>
          </w:tcPr>
          <w:p w14:paraId="3CD625D9" w14:textId="77777777" w:rsidR="009F4766" w:rsidRPr="00DE12A3" w:rsidRDefault="009F4766" w:rsidP="00C917D6">
            <w:pPr>
              <w:pStyle w:val="NormalLeft"/>
            </w:pPr>
            <w:r w:rsidRPr="00DE12A3">
              <w:t>656</w:t>
            </w:r>
          </w:p>
        </w:tc>
        <w:tc>
          <w:tcPr>
            <w:tcW w:w="2489" w:type="dxa"/>
            <w:tcBorders>
              <w:top w:val="single" w:sz="2" w:space="0" w:color="auto"/>
              <w:left w:val="single" w:sz="2" w:space="0" w:color="auto"/>
              <w:bottom w:val="single" w:sz="2" w:space="0" w:color="auto"/>
              <w:right w:val="single" w:sz="2" w:space="0" w:color="auto"/>
            </w:tcBorders>
          </w:tcPr>
          <w:p w14:paraId="7E76BBF6" w14:textId="77777777" w:rsidR="009F4766" w:rsidRPr="00DE12A3" w:rsidRDefault="009F4766" w:rsidP="00C917D6">
            <w:pPr>
              <w:pStyle w:val="NormalLeft"/>
            </w:pPr>
            <w:r w:rsidRPr="00DE12A3">
              <w:t>76</w:t>
            </w:r>
          </w:p>
        </w:tc>
        <w:tc>
          <w:tcPr>
            <w:tcW w:w="2551" w:type="dxa"/>
            <w:tcBorders>
              <w:top w:val="single" w:sz="2" w:space="0" w:color="auto"/>
              <w:left w:val="single" w:sz="2" w:space="0" w:color="auto"/>
              <w:bottom w:val="single" w:sz="2" w:space="0" w:color="auto"/>
              <w:right w:val="single" w:sz="2" w:space="0" w:color="auto"/>
            </w:tcBorders>
          </w:tcPr>
          <w:p w14:paraId="2C15CD2C" w14:textId="77777777" w:rsidR="009F4766" w:rsidRPr="00DE12A3" w:rsidRDefault="009F4766" w:rsidP="00C917D6">
            <w:pPr>
              <w:pStyle w:val="NormalLeft"/>
            </w:pPr>
            <w:r w:rsidRPr="00DE12A3">
              <w:t>71</w:t>
            </w:r>
          </w:p>
        </w:tc>
      </w:tr>
      <w:tr w:rsidR="00DE12A3" w:rsidRPr="00DE12A3" w14:paraId="16D75EAA" w14:textId="77777777" w:rsidTr="009F4766">
        <w:tc>
          <w:tcPr>
            <w:tcW w:w="1182" w:type="dxa"/>
            <w:tcBorders>
              <w:top w:val="single" w:sz="2" w:space="0" w:color="auto"/>
              <w:left w:val="single" w:sz="2" w:space="0" w:color="auto"/>
              <w:bottom w:val="single" w:sz="2" w:space="0" w:color="auto"/>
              <w:right w:val="single" w:sz="2" w:space="0" w:color="auto"/>
            </w:tcBorders>
          </w:tcPr>
          <w:p w14:paraId="781E2480" w14:textId="77777777" w:rsidR="009F4766" w:rsidRPr="00DE12A3" w:rsidRDefault="009F4766" w:rsidP="00C917D6">
            <w:pPr>
              <w:pStyle w:val="NormalLeft"/>
            </w:pPr>
            <w:r w:rsidRPr="00DE12A3">
              <w:t>657</w:t>
            </w:r>
          </w:p>
        </w:tc>
        <w:tc>
          <w:tcPr>
            <w:tcW w:w="2489" w:type="dxa"/>
            <w:tcBorders>
              <w:top w:val="single" w:sz="2" w:space="0" w:color="auto"/>
              <w:left w:val="single" w:sz="2" w:space="0" w:color="auto"/>
              <w:bottom w:val="single" w:sz="2" w:space="0" w:color="auto"/>
              <w:right w:val="single" w:sz="2" w:space="0" w:color="auto"/>
            </w:tcBorders>
          </w:tcPr>
          <w:p w14:paraId="376B35F7" w14:textId="77777777" w:rsidR="009F4766" w:rsidRPr="00DE12A3" w:rsidRDefault="009F4766" w:rsidP="00C917D6">
            <w:pPr>
              <w:pStyle w:val="NormalLeft"/>
            </w:pPr>
            <w:r w:rsidRPr="00DE12A3">
              <w:t>79</w:t>
            </w:r>
          </w:p>
        </w:tc>
        <w:tc>
          <w:tcPr>
            <w:tcW w:w="2551" w:type="dxa"/>
            <w:tcBorders>
              <w:top w:val="single" w:sz="2" w:space="0" w:color="auto"/>
              <w:left w:val="single" w:sz="2" w:space="0" w:color="auto"/>
              <w:bottom w:val="single" w:sz="2" w:space="0" w:color="auto"/>
              <w:right w:val="single" w:sz="2" w:space="0" w:color="auto"/>
            </w:tcBorders>
          </w:tcPr>
          <w:p w14:paraId="27021B20" w14:textId="77777777" w:rsidR="009F4766" w:rsidRPr="00DE12A3" w:rsidRDefault="009F4766" w:rsidP="00C917D6">
            <w:pPr>
              <w:pStyle w:val="NormalLeft"/>
            </w:pPr>
            <w:r w:rsidRPr="00DE12A3">
              <w:t>71</w:t>
            </w:r>
          </w:p>
        </w:tc>
      </w:tr>
      <w:tr w:rsidR="00DE12A3" w:rsidRPr="00DE12A3" w14:paraId="5FA17479" w14:textId="77777777" w:rsidTr="009F4766">
        <w:tc>
          <w:tcPr>
            <w:tcW w:w="1182" w:type="dxa"/>
            <w:tcBorders>
              <w:top w:val="single" w:sz="2" w:space="0" w:color="auto"/>
              <w:left w:val="single" w:sz="2" w:space="0" w:color="auto"/>
              <w:bottom w:val="single" w:sz="2" w:space="0" w:color="auto"/>
              <w:right w:val="single" w:sz="2" w:space="0" w:color="auto"/>
            </w:tcBorders>
          </w:tcPr>
          <w:p w14:paraId="5F575089" w14:textId="77777777" w:rsidR="009F4766" w:rsidRPr="00DE12A3" w:rsidRDefault="009F4766" w:rsidP="00C917D6">
            <w:pPr>
              <w:pStyle w:val="NormalLeft"/>
            </w:pPr>
            <w:r w:rsidRPr="00DE12A3">
              <w:t>658</w:t>
            </w:r>
          </w:p>
        </w:tc>
        <w:tc>
          <w:tcPr>
            <w:tcW w:w="2489" w:type="dxa"/>
            <w:tcBorders>
              <w:top w:val="single" w:sz="2" w:space="0" w:color="auto"/>
              <w:left w:val="single" w:sz="2" w:space="0" w:color="auto"/>
              <w:bottom w:val="single" w:sz="2" w:space="0" w:color="auto"/>
              <w:right w:val="single" w:sz="2" w:space="0" w:color="auto"/>
            </w:tcBorders>
          </w:tcPr>
          <w:p w14:paraId="33B97B20" w14:textId="77777777" w:rsidR="009F4766" w:rsidRPr="00DE12A3" w:rsidRDefault="009F4766" w:rsidP="00C917D6">
            <w:pPr>
              <w:pStyle w:val="NormalLeft"/>
            </w:pPr>
            <w:r w:rsidRPr="00DE12A3">
              <w:t>78</w:t>
            </w:r>
          </w:p>
        </w:tc>
        <w:tc>
          <w:tcPr>
            <w:tcW w:w="2551" w:type="dxa"/>
            <w:tcBorders>
              <w:top w:val="single" w:sz="2" w:space="0" w:color="auto"/>
              <w:left w:val="single" w:sz="2" w:space="0" w:color="auto"/>
              <w:bottom w:val="single" w:sz="2" w:space="0" w:color="auto"/>
              <w:right w:val="single" w:sz="2" w:space="0" w:color="auto"/>
            </w:tcBorders>
          </w:tcPr>
          <w:p w14:paraId="6DB54EEB" w14:textId="77777777" w:rsidR="009F4766" w:rsidRPr="00DE12A3" w:rsidRDefault="009F4766" w:rsidP="00C917D6">
            <w:pPr>
              <w:pStyle w:val="NormalLeft"/>
            </w:pPr>
            <w:r w:rsidRPr="00DE12A3">
              <w:t>71</w:t>
            </w:r>
          </w:p>
        </w:tc>
      </w:tr>
      <w:tr w:rsidR="00DE12A3" w:rsidRPr="00DE12A3" w14:paraId="4A953418" w14:textId="77777777" w:rsidTr="009F4766">
        <w:tc>
          <w:tcPr>
            <w:tcW w:w="1182" w:type="dxa"/>
            <w:tcBorders>
              <w:top w:val="single" w:sz="2" w:space="0" w:color="auto"/>
              <w:left w:val="single" w:sz="2" w:space="0" w:color="auto"/>
              <w:bottom w:val="single" w:sz="2" w:space="0" w:color="auto"/>
              <w:right w:val="single" w:sz="2" w:space="0" w:color="auto"/>
            </w:tcBorders>
          </w:tcPr>
          <w:p w14:paraId="4FFE1D66" w14:textId="77777777" w:rsidR="009F4766" w:rsidRPr="00DE12A3" w:rsidRDefault="009F4766" w:rsidP="00C917D6">
            <w:pPr>
              <w:pStyle w:val="NormalLeft"/>
            </w:pPr>
            <w:r w:rsidRPr="00DE12A3">
              <w:t>659</w:t>
            </w:r>
          </w:p>
        </w:tc>
        <w:tc>
          <w:tcPr>
            <w:tcW w:w="2489" w:type="dxa"/>
            <w:tcBorders>
              <w:top w:val="single" w:sz="2" w:space="0" w:color="auto"/>
              <w:left w:val="single" w:sz="2" w:space="0" w:color="auto"/>
              <w:bottom w:val="single" w:sz="2" w:space="0" w:color="auto"/>
              <w:right w:val="single" w:sz="2" w:space="0" w:color="auto"/>
            </w:tcBorders>
          </w:tcPr>
          <w:p w14:paraId="62BAAAEB" w14:textId="77777777" w:rsidR="009F4766" w:rsidRPr="00DE12A3" w:rsidRDefault="009F4766" w:rsidP="00C917D6">
            <w:pPr>
              <w:pStyle w:val="NormalLeft"/>
            </w:pPr>
            <w:r w:rsidRPr="00DE12A3">
              <w:t>81</w:t>
            </w:r>
          </w:p>
        </w:tc>
        <w:tc>
          <w:tcPr>
            <w:tcW w:w="2551" w:type="dxa"/>
            <w:tcBorders>
              <w:top w:val="single" w:sz="2" w:space="0" w:color="auto"/>
              <w:left w:val="single" w:sz="2" w:space="0" w:color="auto"/>
              <w:bottom w:val="single" w:sz="2" w:space="0" w:color="auto"/>
              <w:right w:val="single" w:sz="2" w:space="0" w:color="auto"/>
            </w:tcBorders>
          </w:tcPr>
          <w:p w14:paraId="2E3BE38C" w14:textId="77777777" w:rsidR="009F4766" w:rsidRPr="00DE12A3" w:rsidRDefault="009F4766" w:rsidP="00C917D6">
            <w:pPr>
              <w:pStyle w:val="NormalLeft"/>
            </w:pPr>
            <w:r w:rsidRPr="00DE12A3">
              <w:t>70</w:t>
            </w:r>
          </w:p>
        </w:tc>
      </w:tr>
      <w:tr w:rsidR="00DE12A3" w:rsidRPr="00DE12A3" w14:paraId="05A31F9B" w14:textId="77777777" w:rsidTr="009F4766">
        <w:tc>
          <w:tcPr>
            <w:tcW w:w="1182" w:type="dxa"/>
            <w:tcBorders>
              <w:top w:val="single" w:sz="2" w:space="0" w:color="auto"/>
              <w:left w:val="single" w:sz="2" w:space="0" w:color="auto"/>
              <w:bottom w:val="single" w:sz="2" w:space="0" w:color="auto"/>
              <w:right w:val="single" w:sz="2" w:space="0" w:color="auto"/>
            </w:tcBorders>
          </w:tcPr>
          <w:p w14:paraId="58FC6C70" w14:textId="77777777" w:rsidR="009F4766" w:rsidRPr="00DE12A3" w:rsidRDefault="009F4766" w:rsidP="00C917D6">
            <w:pPr>
              <w:pStyle w:val="NormalLeft"/>
            </w:pPr>
            <w:r w:rsidRPr="00DE12A3">
              <w:t>660</w:t>
            </w:r>
          </w:p>
        </w:tc>
        <w:tc>
          <w:tcPr>
            <w:tcW w:w="2489" w:type="dxa"/>
            <w:tcBorders>
              <w:top w:val="single" w:sz="2" w:space="0" w:color="auto"/>
              <w:left w:val="single" w:sz="2" w:space="0" w:color="auto"/>
              <w:bottom w:val="single" w:sz="2" w:space="0" w:color="auto"/>
              <w:right w:val="single" w:sz="2" w:space="0" w:color="auto"/>
            </w:tcBorders>
          </w:tcPr>
          <w:p w14:paraId="66D8D7DB" w14:textId="77777777" w:rsidR="009F4766" w:rsidRPr="00DE12A3" w:rsidRDefault="009F4766" w:rsidP="00C917D6">
            <w:pPr>
              <w:pStyle w:val="NormalLeft"/>
            </w:pPr>
            <w:r w:rsidRPr="00DE12A3">
              <w:t>83</w:t>
            </w:r>
          </w:p>
        </w:tc>
        <w:tc>
          <w:tcPr>
            <w:tcW w:w="2551" w:type="dxa"/>
            <w:tcBorders>
              <w:top w:val="single" w:sz="2" w:space="0" w:color="auto"/>
              <w:left w:val="single" w:sz="2" w:space="0" w:color="auto"/>
              <w:bottom w:val="single" w:sz="2" w:space="0" w:color="auto"/>
              <w:right w:val="single" w:sz="2" w:space="0" w:color="auto"/>
            </w:tcBorders>
          </w:tcPr>
          <w:p w14:paraId="27DDDE3A" w14:textId="77777777" w:rsidR="009F4766" w:rsidRPr="00DE12A3" w:rsidRDefault="009F4766" w:rsidP="00C917D6">
            <w:pPr>
              <w:pStyle w:val="NormalLeft"/>
            </w:pPr>
            <w:r w:rsidRPr="00DE12A3">
              <w:t>72</w:t>
            </w:r>
          </w:p>
        </w:tc>
      </w:tr>
      <w:tr w:rsidR="00DE12A3" w:rsidRPr="00DE12A3" w14:paraId="51BAA5AF" w14:textId="77777777" w:rsidTr="009F4766">
        <w:tc>
          <w:tcPr>
            <w:tcW w:w="1182" w:type="dxa"/>
            <w:tcBorders>
              <w:top w:val="single" w:sz="2" w:space="0" w:color="auto"/>
              <w:left w:val="single" w:sz="2" w:space="0" w:color="auto"/>
              <w:bottom w:val="single" w:sz="2" w:space="0" w:color="auto"/>
              <w:right w:val="single" w:sz="2" w:space="0" w:color="auto"/>
            </w:tcBorders>
          </w:tcPr>
          <w:p w14:paraId="5E002A30" w14:textId="77777777" w:rsidR="009F4766" w:rsidRPr="00DE12A3" w:rsidRDefault="009F4766" w:rsidP="00C917D6">
            <w:pPr>
              <w:pStyle w:val="NormalLeft"/>
            </w:pPr>
            <w:r w:rsidRPr="00DE12A3">
              <w:t>661</w:t>
            </w:r>
          </w:p>
        </w:tc>
        <w:tc>
          <w:tcPr>
            <w:tcW w:w="2489" w:type="dxa"/>
            <w:tcBorders>
              <w:top w:val="single" w:sz="2" w:space="0" w:color="auto"/>
              <w:left w:val="single" w:sz="2" w:space="0" w:color="auto"/>
              <w:bottom w:val="single" w:sz="2" w:space="0" w:color="auto"/>
              <w:right w:val="single" w:sz="2" w:space="0" w:color="auto"/>
            </w:tcBorders>
          </w:tcPr>
          <w:p w14:paraId="475F6C12" w14:textId="77777777" w:rsidR="009F4766" w:rsidRPr="00DE12A3" w:rsidRDefault="009F4766" w:rsidP="00C917D6">
            <w:pPr>
              <w:pStyle w:val="NormalLeft"/>
            </w:pPr>
            <w:r w:rsidRPr="00DE12A3">
              <w:t>84</w:t>
            </w:r>
          </w:p>
        </w:tc>
        <w:tc>
          <w:tcPr>
            <w:tcW w:w="2551" w:type="dxa"/>
            <w:tcBorders>
              <w:top w:val="single" w:sz="2" w:space="0" w:color="auto"/>
              <w:left w:val="single" w:sz="2" w:space="0" w:color="auto"/>
              <w:bottom w:val="single" w:sz="2" w:space="0" w:color="auto"/>
              <w:right w:val="single" w:sz="2" w:space="0" w:color="auto"/>
            </w:tcBorders>
          </w:tcPr>
          <w:p w14:paraId="32C1D950" w14:textId="77777777" w:rsidR="009F4766" w:rsidRPr="00DE12A3" w:rsidRDefault="009F4766" w:rsidP="00C917D6">
            <w:pPr>
              <w:pStyle w:val="NormalLeft"/>
            </w:pPr>
            <w:r w:rsidRPr="00DE12A3">
              <w:t>71</w:t>
            </w:r>
          </w:p>
        </w:tc>
      </w:tr>
      <w:tr w:rsidR="00DE12A3" w:rsidRPr="00DE12A3" w14:paraId="671ECF1F" w14:textId="77777777" w:rsidTr="009F4766">
        <w:tc>
          <w:tcPr>
            <w:tcW w:w="1182" w:type="dxa"/>
            <w:tcBorders>
              <w:top w:val="single" w:sz="2" w:space="0" w:color="auto"/>
              <w:left w:val="single" w:sz="2" w:space="0" w:color="auto"/>
              <w:bottom w:val="single" w:sz="2" w:space="0" w:color="auto"/>
              <w:right w:val="single" w:sz="2" w:space="0" w:color="auto"/>
            </w:tcBorders>
          </w:tcPr>
          <w:p w14:paraId="0072F954" w14:textId="77777777" w:rsidR="009F4766" w:rsidRPr="00DE12A3" w:rsidRDefault="009F4766" w:rsidP="00C917D6">
            <w:pPr>
              <w:pStyle w:val="NormalLeft"/>
            </w:pPr>
            <w:r w:rsidRPr="00DE12A3">
              <w:t>662</w:t>
            </w:r>
          </w:p>
        </w:tc>
        <w:tc>
          <w:tcPr>
            <w:tcW w:w="2489" w:type="dxa"/>
            <w:tcBorders>
              <w:top w:val="single" w:sz="2" w:space="0" w:color="auto"/>
              <w:left w:val="single" w:sz="2" w:space="0" w:color="auto"/>
              <w:bottom w:val="single" w:sz="2" w:space="0" w:color="auto"/>
              <w:right w:val="single" w:sz="2" w:space="0" w:color="auto"/>
            </w:tcBorders>
          </w:tcPr>
          <w:p w14:paraId="55D3BB52" w14:textId="77777777" w:rsidR="009F4766" w:rsidRPr="00DE12A3" w:rsidRDefault="009F4766" w:rsidP="00C917D6">
            <w:pPr>
              <w:pStyle w:val="NormalLeft"/>
            </w:pPr>
            <w:r w:rsidRPr="00DE12A3">
              <w:t>86</w:t>
            </w:r>
          </w:p>
        </w:tc>
        <w:tc>
          <w:tcPr>
            <w:tcW w:w="2551" w:type="dxa"/>
            <w:tcBorders>
              <w:top w:val="single" w:sz="2" w:space="0" w:color="auto"/>
              <w:left w:val="single" w:sz="2" w:space="0" w:color="auto"/>
              <w:bottom w:val="single" w:sz="2" w:space="0" w:color="auto"/>
              <w:right w:val="single" w:sz="2" w:space="0" w:color="auto"/>
            </w:tcBorders>
          </w:tcPr>
          <w:p w14:paraId="36C60E49" w14:textId="77777777" w:rsidR="009F4766" w:rsidRPr="00DE12A3" w:rsidRDefault="009F4766" w:rsidP="00C917D6">
            <w:pPr>
              <w:pStyle w:val="NormalLeft"/>
            </w:pPr>
            <w:r w:rsidRPr="00DE12A3">
              <w:t>71</w:t>
            </w:r>
          </w:p>
        </w:tc>
      </w:tr>
      <w:tr w:rsidR="00DE12A3" w:rsidRPr="00DE12A3" w14:paraId="21CCFEF1" w14:textId="77777777" w:rsidTr="009F4766">
        <w:tc>
          <w:tcPr>
            <w:tcW w:w="1182" w:type="dxa"/>
            <w:tcBorders>
              <w:top w:val="single" w:sz="2" w:space="0" w:color="auto"/>
              <w:left w:val="single" w:sz="2" w:space="0" w:color="auto"/>
              <w:bottom w:val="single" w:sz="2" w:space="0" w:color="auto"/>
              <w:right w:val="single" w:sz="2" w:space="0" w:color="auto"/>
            </w:tcBorders>
          </w:tcPr>
          <w:p w14:paraId="23FCD8D7" w14:textId="77777777" w:rsidR="009F4766" w:rsidRPr="00DE12A3" w:rsidRDefault="009F4766" w:rsidP="00C917D6">
            <w:pPr>
              <w:pStyle w:val="NormalLeft"/>
            </w:pPr>
            <w:r w:rsidRPr="00DE12A3">
              <w:t>663</w:t>
            </w:r>
          </w:p>
        </w:tc>
        <w:tc>
          <w:tcPr>
            <w:tcW w:w="2489" w:type="dxa"/>
            <w:tcBorders>
              <w:top w:val="single" w:sz="2" w:space="0" w:color="auto"/>
              <w:left w:val="single" w:sz="2" w:space="0" w:color="auto"/>
              <w:bottom w:val="single" w:sz="2" w:space="0" w:color="auto"/>
              <w:right w:val="single" w:sz="2" w:space="0" w:color="auto"/>
            </w:tcBorders>
          </w:tcPr>
          <w:p w14:paraId="36177E42" w14:textId="77777777" w:rsidR="009F4766" w:rsidRPr="00DE12A3" w:rsidRDefault="009F4766" w:rsidP="00C917D6">
            <w:pPr>
              <w:pStyle w:val="NormalLeft"/>
            </w:pPr>
            <w:r w:rsidRPr="00DE12A3">
              <w:t>87</w:t>
            </w:r>
          </w:p>
        </w:tc>
        <w:tc>
          <w:tcPr>
            <w:tcW w:w="2551" w:type="dxa"/>
            <w:tcBorders>
              <w:top w:val="single" w:sz="2" w:space="0" w:color="auto"/>
              <w:left w:val="single" w:sz="2" w:space="0" w:color="auto"/>
              <w:bottom w:val="single" w:sz="2" w:space="0" w:color="auto"/>
              <w:right w:val="single" w:sz="2" w:space="0" w:color="auto"/>
            </w:tcBorders>
          </w:tcPr>
          <w:p w14:paraId="3E536EC3" w14:textId="77777777" w:rsidR="009F4766" w:rsidRPr="00DE12A3" w:rsidRDefault="009F4766" w:rsidP="00C917D6">
            <w:pPr>
              <w:pStyle w:val="NormalLeft"/>
            </w:pPr>
            <w:r w:rsidRPr="00DE12A3">
              <w:t>71</w:t>
            </w:r>
          </w:p>
        </w:tc>
      </w:tr>
      <w:tr w:rsidR="00DE12A3" w:rsidRPr="00DE12A3" w14:paraId="164908C9" w14:textId="77777777" w:rsidTr="009F4766">
        <w:tc>
          <w:tcPr>
            <w:tcW w:w="1182" w:type="dxa"/>
            <w:tcBorders>
              <w:top w:val="single" w:sz="2" w:space="0" w:color="auto"/>
              <w:left w:val="single" w:sz="2" w:space="0" w:color="auto"/>
              <w:bottom w:val="single" w:sz="2" w:space="0" w:color="auto"/>
              <w:right w:val="single" w:sz="2" w:space="0" w:color="auto"/>
            </w:tcBorders>
          </w:tcPr>
          <w:p w14:paraId="505D1DB2" w14:textId="77777777" w:rsidR="009F4766" w:rsidRPr="00DE12A3" w:rsidRDefault="009F4766" w:rsidP="00C917D6">
            <w:pPr>
              <w:pStyle w:val="NormalLeft"/>
            </w:pPr>
            <w:r w:rsidRPr="00DE12A3">
              <w:t>664</w:t>
            </w:r>
          </w:p>
        </w:tc>
        <w:tc>
          <w:tcPr>
            <w:tcW w:w="2489" w:type="dxa"/>
            <w:tcBorders>
              <w:top w:val="single" w:sz="2" w:space="0" w:color="auto"/>
              <w:left w:val="single" w:sz="2" w:space="0" w:color="auto"/>
              <w:bottom w:val="single" w:sz="2" w:space="0" w:color="auto"/>
              <w:right w:val="single" w:sz="2" w:space="0" w:color="auto"/>
            </w:tcBorders>
          </w:tcPr>
          <w:p w14:paraId="1F490DB5" w14:textId="77777777" w:rsidR="009F4766" w:rsidRPr="00DE12A3" w:rsidRDefault="009F4766" w:rsidP="00C917D6">
            <w:pPr>
              <w:pStyle w:val="NormalLeft"/>
            </w:pPr>
            <w:r w:rsidRPr="00DE12A3">
              <w:t>92</w:t>
            </w:r>
          </w:p>
        </w:tc>
        <w:tc>
          <w:tcPr>
            <w:tcW w:w="2551" w:type="dxa"/>
            <w:tcBorders>
              <w:top w:val="single" w:sz="2" w:space="0" w:color="auto"/>
              <w:left w:val="single" w:sz="2" w:space="0" w:color="auto"/>
              <w:bottom w:val="single" w:sz="2" w:space="0" w:color="auto"/>
              <w:right w:val="single" w:sz="2" w:space="0" w:color="auto"/>
            </w:tcBorders>
          </w:tcPr>
          <w:p w14:paraId="509F9CA3" w14:textId="77777777" w:rsidR="009F4766" w:rsidRPr="00DE12A3" w:rsidRDefault="009F4766" w:rsidP="00C917D6">
            <w:pPr>
              <w:pStyle w:val="NormalLeft"/>
            </w:pPr>
            <w:r w:rsidRPr="00DE12A3">
              <w:t>72</w:t>
            </w:r>
          </w:p>
        </w:tc>
      </w:tr>
      <w:tr w:rsidR="00DE12A3" w:rsidRPr="00DE12A3" w14:paraId="66A15822" w14:textId="77777777" w:rsidTr="009F4766">
        <w:tc>
          <w:tcPr>
            <w:tcW w:w="1182" w:type="dxa"/>
            <w:tcBorders>
              <w:top w:val="single" w:sz="2" w:space="0" w:color="auto"/>
              <w:left w:val="single" w:sz="2" w:space="0" w:color="auto"/>
              <w:bottom w:val="single" w:sz="2" w:space="0" w:color="auto"/>
              <w:right w:val="single" w:sz="2" w:space="0" w:color="auto"/>
            </w:tcBorders>
          </w:tcPr>
          <w:p w14:paraId="0AE2CC42" w14:textId="77777777" w:rsidR="009F4766" w:rsidRPr="00DE12A3" w:rsidRDefault="009F4766" w:rsidP="00C917D6">
            <w:pPr>
              <w:pStyle w:val="NormalLeft"/>
            </w:pPr>
            <w:r w:rsidRPr="00DE12A3">
              <w:t>665</w:t>
            </w:r>
          </w:p>
        </w:tc>
        <w:tc>
          <w:tcPr>
            <w:tcW w:w="2489" w:type="dxa"/>
            <w:tcBorders>
              <w:top w:val="single" w:sz="2" w:space="0" w:color="auto"/>
              <w:left w:val="single" w:sz="2" w:space="0" w:color="auto"/>
              <w:bottom w:val="single" w:sz="2" w:space="0" w:color="auto"/>
              <w:right w:val="single" w:sz="2" w:space="0" w:color="auto"/>
            </w:tcBorders>
          </w:tcPr>
          <w:p w14:paraId="39C2AD29" w14:textId="77777777" w:rsidR="009F4766" w:rsidRPr="00DE12A3" w:rsidRDefault="009F4766" w:rsidP="00C917D6">
            <w:pPr>
              <w:pStyle w:val="NormalLeft"/>
            </w:pPr>
            <w:r w:rsidRPr="00DE12A3">
              <w:t>91</w:t>
            </w:r>
          </w:p>
        </w:tc>
        <w:tc>
          <w:tcPr>
            <w:tcW w:w="2551" w:type="dxa"/>
            <w:tcBorders>
              <w:top w:val="single" w:sz="2" w:space="0" w:color="auto"/>
              <w:left w:val="single" w:sz="2" w:space="0" w:color="auto"/>
              <w:bottom w:val="single" w:sz="2" w:space="0" w:color="auto"/>
              <w:right w:val="single" w:sz="2" w:space="0" w:color="auto"/>
            </w:tcBorders>
          </w:tcPr>
          <w:p w14:paraId="7C79C5AC" w14:textId="77777777" w:rsidR="009F4766" w:rsidRPr="00DE12A3" w:rsidRDefault="009F4766" w:rsidP="00C917D6">
            <w:pPr>
              <w:pStyle w:val="NormalLeft"/>
            </w:pPr>
            <w:r w:rsidRPr="00DE12A3">
              <w:t>72</w:t>
            </w:r>
          </w:p>
        </w:tc>
      </w:tr>
      <w:tr w:rsidR="00DE12A3" w:rsidRPr="00DE12A3" w14:paraId="4D6611E0" w14:textId="77777777" w:rsidTr="009F4766">
        <w:tc>
          <w:tcPr>
            <w:tcW w:w="1182" w:type="dxa"/>
            <w:tcBorders>
              <w:top w:val="single" w:sz="2" w:space="0" w:color="auto"/>
              <w:left w:val="single" w:sz="2" w:space="0" w:color="auto"/>
              <w:bottom w:val="single" w:sz="2" w:space="0" w:color="auto"/>
              <w:right w:val="single" w:sz="2" w:space="0" w:color="auto"/>
            </w:tcBorders>
          </w:tcPr>
          <w:p w14:paraId="56BF0BE8" w14:textId="77777777" w:rsidR="009F4766" w:rsidRPr="00DE12A3" w:rsidRDefault="009F4766" w:rsidP="00C917D6">
            <w:pPr>
              <w:pStyle w:val="NormalLeft"/>
            </w:pPr>
            <w:r w:rsidRPr="00DE12A3">
              <w:t>666</w:t>
            </w:r>
          </w:p>
        </w:tc>
        <w:tc>
          <w:tcPr>
            <w:tcW w:w="2489" w:type="dxa"/>
            <w:tcBorders>
              <w:top w:val="single" w:sz="2" w:space="0" w:color="auto"/>
              <w:left w:val="single" w:sz="2" w:space="0" w:color="auto"/>
              <w:bottom w:val="single" w:sz="2" w:space="0" w:color="auto"/>
              <w:right w:val="single" w:sz="2" w:space="0" w:color="auto"/>
            </w:tcBorders>
          </w:tcPr>
          <w:p w14:paraId="7A38B146" w14:textId="77777777" w:rsidR="009F4766" w:rsidRPr="00DE12A3" w:rsidRDefault="009F4766" w:rsidP="00C917D6">
            <w:pPr>
              <w:pStyle w:val="NormalLeft"/>
            </w:pPr>
            <w:r w:rsidRPr="00DE12A3">
              <w:t>90</w:t>
            </w:r>
          </w:p>
        </w:tc>
        <w:tc>
          <w:tcPr>
            <w:tcW w:w="2551" w:type="dxa"/>
            <w:tcBorders>
              <w:top w:val="single" w:sz="2" w:space="0" w:color="auto"/>
              <w:left w:val="single" w:sz="2" w:space="0" w:color="auto"/>
              <w:bottom w:val="single" w:sz="2" w:space="0" w:color="auto"/>
              <w:right w:val="single" w:sz="2" w:space="0" w:color="auto"/>
            </w:tcBorders>
          </w:tcPr>
          <w:p w14:paraId="6BF5BD24" w14:textId="77777777" w:rsidR="009F4766" w:rsidRPr="00DE12A3" w:rsidRDefault="009F4766" w:rsidP="00C917D6">
            <w:pPr>
              <w:pStyle w:val="NormalLeft"/>
            </w:pPr>
            <w:r w:rsidRPr="00DE12A3">
              <w:t>71</w:t>
            </w:r>
          </w:p>
        </w:tc>
      </w:tr>
      <w:tr w:rsidR="00DE12A3" w:rsidRPr="00DE12A3" w14:paraId="4ED9A165" w14:textId="77777777" w:rsidTr="009F4766">
        <w:tc>
          <w:tcPr>
            <w:tcW w:w="1182" w:type="dxa"/>
            <w:tcBorders>
              <w:top w:val="single" w:sz="2" w:space="0" w:color="auto"/>
              <w:left w:val="single" w:sz="2" w:space="0" w:color="auto"/>
              <w:bottom w:val="single" w:sz="2" w:space="0" w:color="auto"/>
              <w:right w:val="single" w:sz="2" w:space="0" w:color="auto"/>
            </w:tcBorders>
          </w:tcPr>
          <w:p w14:paraId="5FC8ABB2" w14:textId="77777777" w:rsidR="009F4766" w:rsidRPr="00DE12A3" w:rsidRDefault="009F4766" w:rsidP="00C917D6">
            <w:pPr>
              <w:pStyle w:val="NormalLeft"/>
            </w:pPr>
            <w:r w:rsidRPr="00DE12A3">
              <w:t>667</w:t>
            </w:r>
          </w:p>
        </w:tc>
        <w:tc>
          <w:tcPr>
            <w:tcW w:w="2489" w:type="dxa"/>
            <w:tcBorders>
              <w:top w:val="single" w:sz="2" w:space="0" w:color="auto"/>
              <w:left w:val="single" w:sz="2" w:space="0" w:color="auto"/>
              <w:bottom w:val="single" w:sz="2" w:space="0" w:color="auto"/>
              <w:right w:val="single" w:sz="2" w:space="0" w:color="auto"/>
            </w:tcBorders>
          </w:tcPr>
          <w:p w14:paraId="306FA607" w14:textId="77777777" w:rsidR="009F4766" w:rsidRPr="00DE12A3" w:rsidRDefault="009F4766" w:rsidP="00C917D6">
            <w:pPr>
              <w:pStyle w:val="NormalLeft"/>
            </w:pPr>
            <w:r w:rsidRPr="00DE12A3">
              <w:t>90</w:t>
            </w:r>
          </w:p>
        </w:tc>
        <w:tc>
          <w:tcPr>
            <w:tcW w:w="2551" w:type="dxa"/>
            <w:tcBorders>
              <w:top w:val="single" w:sz="2" w:space="0" w:color="auto"/>
              <w:left w:val="single" w:sz="2" w:space="0" w:color="auto"/>
              <w:bottom w:val="single" w:sz="2" w:space="0" w:color="auto"/>
              <w:right w:val="single" w:sz="2" w:space="0" w:color="auto"/>
            </w:tcBorders>
          </w:tcPr>
          <w:p w14:paraId="464136A1" w14:textId="77777777" w:rsidR="009F4766" w:rsidRPr="00DE12A3" w:rsidRDefault="009F4766" w:rsidP="00C917D6">
            <w:pPr>
              <w:pStyle w:val="NormalLeft"/>
            </w:pPr>
            <w:r w:rsidRPr="00DE12A3">
              <w:t>71</w:t>
            </w:r>
          </w:p>
        </w:tc>
      </w:tr>
      <w:tr w:rsidR="00DE12A3" w:rsidRPr="00DE12A3" w14:paraId="42C942ED" w14:textId="77777777" w:rsidTr="009F4766">
        <w:tc>
          <w:tcPr>
            <w:tcW w:w="1182" w:type="dxa"/>
            <w:tcBorders>
              <w:top w:val="single" w:sz="2" w:space="0" w:color="auto"/>
              <w:left w:val="single" w:sz="2" w:space="0" w:color="auto"/>
              <w:bottom w:val="single" w:sz="2" w:space="0" w:color="auto"/>
              <w:right w:val="single" w:sz="2" w:space="0" w:color="auto"/>
            </w:tcBorders>
          </w:tcPr>
          <w:p w14:paraId="0E11708B" w14:textId="77777777" w:rsidR="009F4766" w:rsidRPr="00DE12A3" w:rsidRDefault="009F4766" w:rsidP="00C917D6">
            <w:pPr>
              <w:pStyle w:val="NormalLeft"/>
            </w:pPr>
            <w:r w:rsidRPr="00DE12A3">
              <w:lastRenderedPageBreak/>
              <w:t>668</w:t>
            </w:r>
          </w:p>
        </w:tc>
        <w:tc>
          <w:tcPr>
            <w:tcW w:w="2489" w:type="dxa"/>
            <w:tcBorders>
              <w:top w:val="single" w:sz="2" w:space="0" w:color="auto"/>
              <w:left w:val="single" w:sz="2" w:space="0" w:color="auto"/>
              <w:bottom w:val="single" w:sz="2" w:space="0" w:color="auto"/>
              <w:right w:val="single" w:sz="2" w:space="0" w:color="auto"/>
            </w:tcBorders>
          </w:tcPr>
          <w:p w14:paraId="4E173799" w14:textId="77777777" w:rsidR="009F4766" w:rsidRPr="00DE12A3" w:rsidRDefault="009F4766" w:rsidP="00C917D6">
            <w:pPr>
              <w:pStyle w:val="NormalLeft"/>
            </w:pPr>
            <w:r w:rsidRPr="00DE12A3">
              <w:t>91</w:t>
            </w:r>
          </w:p>
        </w:tc>
        <w:tc>
          <w:tcPr>
            <w:tcW w:w="2551" w:type="dxa"/>
            <w:tcBorders>
              <w:top w:val="single" w:sz="2" w:space="0" w:color="auto"/>
              <w:left w:val="single" w:sz="2" w:space="0" w:color="auto"/>
              <w:bottom w:val="single" w:sz="2" w:space="0" w:color="auto"/>
              <w:right w:val="single" w:sz="2" w:space="0" w:color="auto"/>
            </w:tcBorders>
          </w:tcPr>
          <w:p w14:paraId="6BBCBDC6" w14:textId="77777777" w:rsidR="009F4766" w:rsidRPr="00DE12A3" w:rsidRDefault="009F4766" w:rsidP="00C917D6">
            <w:pPr>
              <w:pStyle w:val="NormalLeft"/>
            </w:pPr>
            <w:r w:rsidRPr="00DE12A3">
              <w:t>71</w:t>
            </w:r>
          </w:p>
        </w:tc>
      </w:tr>
      <w:tr w:rsidR="00DE12A3" w:rsidRPr="00DE12A3" w14:paraId="42870EDD" w14:textId="77777777" w:rsidTr="009F4766">
        <w:tc>
          <w:tcPr>
            <w:tcW w:w="1182" w:type="dxa"/>
            <w:tcBorders>
              <w:top w:val="single" w:sz="2" w:space="0" w:color="auto"/>
              <w:left w:val="single" w:sz="2" w:space="0" w:color="auto"/>
              <w:bottom w:val="single" w:sz="2" w:space="0" w:color="auto"/>
              <w:right w:val="single" w:sz="2" w:space="0" w:color="auto"/>
            </w:tcBorders>
          </w:tcPr>
          <w:p w14:paraId="3E194A73" w14:textId="77777777" w:rsidR="009F4766" w:rsidRPr="00DE12A3" w:rsidRDefault="009F4766" w:rsidP="00C917D6">
            <w:pPr>
              <w:pStyle w:val="NormalLeft"/>
            </w:pPr>
            <w:r w:rsidRPr="00DE12A3">
              <w:t>669</w:t>
            </w:r>
          </w:p>
        </w:tc>
        <w:tc>
          <w:tcPr>
            <w:tcW w:w="2489" w:type="dxa"/>
            <w:tcBorders>
              <w:top w:val="single" w:sz="2" w:space="0" w:color="auto"/>
              <w:left w:val="single" w:sz="2" w:space="0" w:color="auto"/>
              <w:bottom w:val="single" w:sz="2" w:space="0" w:color="auto"/>
              <w:right w:val="single" w:sz="2" w:space="0" w:color="auto"/>
            </w:tcBorders>
          </w:tcPr>
          <w:p w14:paraId="6B49FB23" w14:textId="77777777" w:rsidR="009F4766" w:rsidRPr="00DE12A3" w:rsidRDefault="009F4766" w:rsidP="00C917D6">
            <w:pPr>
              <w:pStyle w:val="NormalLeft"/>
            </w:pPr>
            <w:r w:rsidRPr="00DE12A3">
              <w:t>90</w:t>
            </w:r>
          </w:p>
        </w:tc>
        <w:tc>
          <w:tcPr>
            <w:tcW w:w="2551" w:type="dxa"/>
            <w:tcBorders>
              <w:top w:val="single" w:sz="2" w:space="0" w:color="auto"/>
              <w:left w:val="single" w:sz="2" w:space="0" w:color="auto"/>
              <w:bottom w:val="single" w:sz="2" w:space="0" w:color="auto"/>
              <w:right w:val="single" w:sz="2" w:space="0" w:color="auto"/>
            </w:tcBorders>
          </w:tcPr>
          <w:p w14:paraId="103453FF" w14:textId="77777777" w:rsidR="009F4766" w:rsidRPr="00DE12A3" w:rsidRDefault="009F4766" w:rsidP="00C917D6">
            <w:pPr>
              <w:pStyle w:val="NormalLeft"/>
            </w:pPr>
            <w:r w:rsidRPr="00DE12A3">
              <w:t>70</w:t>
            </w:r>
          </w:p>
        </w:tc>
      </w:tr>
      <w:tr w:rsidR="00DE12A3" w:rsidRPr="00DE12A3" w14:paraId="6BC2B54D" w14:textId="77777777" w:rsidTr="009F4766">
        <w:tc>
          <w:tcPr>
            <w:tcW w:w="1182" w:type="dxa"/>
            <w:tcBorders>
              <w:top w:val="single" w:sz="2" w:space="0" w:color="auto"/>
              <w:left w:val="single" w:sz="2" w:space="0" w:color="auto"/>
              <w:bottom w:val="single" w:sz="2" w:space="0" w:color="auto"/>
              <w:right w:val="single" w:sz="2" w:space="0" w:color="auto"/>
            </w:tcBorders>
          </w:tcPr>
          <w:p w14:paraId="52521B16" w14:textId="77777777" w:rsidR="009F4766" w:rsidRPr="00DE12A3" w:rsidRDefault="009F4766" w:rsidP="00C917D6">
            <w:pPr>
              <w:pStyle w:val="NormalLeft"/>
            </w:pPr>
            <w:r w:rsidRPr="00DE12A3">
              <w:t>670</w:t>
            </w:r>
          </w:p>
        </w:tc>
        <w:tc>
          <w:tcPr>
            <w:tcW w:w="2489" w:type="dxa"/>
            <w:tcBorders>
              <w:top w:val="single" w:sz="2" w:space="0" w:color="auto"/>
              <w:left w:val="single" w:sz="2" w:space="0" w:color="auto"/>
              <w:bottom w:val="single" w:sz="2" w:space="0" w:color="auto"/>
              <w:right w:val="single" w:sz="2" w:space="0" w:color="auto"/>
            </w:tcBorders>
          </w:tcPr>
          <w:p w14:paraId="32E5FCED" w14:textId="77777777" w:rsidR="009F4766" w:rsidRPr="00DE12A3" w:rsidRDefault="009F4766" w:rsidP="00C917D6">
            <w:pPr>
              <w:pStyle w:val="NormalLeft"/>
            </w:pPr>
            <w:r w:rsidRPr="00DE12A3">
              <w:t>90</w:t>
            </w:r>
          </w:p>
        </w:tc>
        <w:tc>
          <w:tcPr>
            <w:tcW w:w="2551" w:type="dxa"/>
            <w:tcBorders>
              <w:top w:val="single" w:sz="2" w:space="0" w:color="auto"/>
              <w:left w:val="single" w:sz="2" w:space="0" w:color="auto"/>
              <w:bottom w:val="single" w:sz="2" w:space="0" w:color="auto"/>
              <w:right w:val="single" w:sz="2" w:space="0" w:color="auto"/>
            </w:tcBorders>
          </w:tcPr>
          <w:p w14:paraId="3C24D316" w14:textId="77777777" w:rsidR="009F4766" w:rsidRPr="00DE12A3" w:rsidRDefault="009F4766" w:rsidP="00C917D6">
            <w:pPr>
              <w:pStyle w:val="NormalLeft"/>
            </w:pPr>
            <w:r w:rsidRPr="00DE12A3">
              <w:t>72</w:t>
            </w:r>
          </w:p>
        </w:tc>
      </w:tr>
      <w:tr w:rsidR="00DE12A3" w:rsidRPr="00DE12A3" w14:paraId="569F11E0" w14:textId="77777777" w:rsidTr="009F4766">
        <w:tc>
          <w:tcPr>
            <w:tcW w:w="1182" w:type="dxa"/>
            <w:tcBorders>
              <w:top w:val="single" w:sz="2" w:space="0" w:color="auto"/>
              <w:left w:val="single" w:sz="2" w:space="0" w:color="auto"/>
              <w:bottom w:val="single" w:sz="2" w:space="0" w:color="auto"/>
              <w:right w:val="single" w:sz="2" w:space="0" w:color="auto"/>
            </w:tcBorders>
          </w:tcPr>
          <w:p w14:paraId="27B241A9" w14:textId="77777777" w:rsidR="009F4766" w:rsidRPr="00DE12A3" w:rsidRDefault="009F4766" w:rsidP="00C917D6">
            <w:pPr>
              <w:pStyle w:val="NormalLeft"/>
            </w:pPr>
            <w:r w:rsidRPr="00DE12A3">
              <w:t>671</w:t>
            </w:r>
          </w:p>
        </w:tc>
        <w:tc>
          <w:tcPr>
            <w:tcW w:w="2489" w:type="dxa"/>
            <w:tcBorders>
              <w:top w:val="single" w:sz="2" w:space="0" w:color="auto"/>
              <w:left w:val="single" w:sz="2" w:space="0" w:color="auto"/>
              <w:bottom w:val="single" w:sz="2" w:space="0" w:color="auto"/>
              <w:right w:val="single" w:sz="2" w:space="0" w:color="auto"/>
            </w:tcBorders>
          </w:tcPr>
          <w:p w14:paraId="7C8DBF71" w14:textId="77777777" w:rsidR="009F4766" w:rsidRPr="00DE12A3" w:rsidRDefault="009F4766" w:rsidP="00C917D6">
            <w:pPr>
              <w:pStyle w:val="NormalLeft"/>
            </w:pPr>
            <w:r w:rsidRPr="00DE12A3">
              <w:t>91</w:t>
            </w:r>
          </w:p>
        </w:tc>
        <w:tc>
          <w:tcPr>
            <w:tcW w:w="2551" w:type="dxa"/>
            <w:tcBorders>
              <w:top w:val="single" w:sz="2" w:space="0" w:color="auto"/>
              <w:left w:val="single" w:sz="2" w:space="0" w:color="auto"/>
              <w:bottom w:val="single" w:sz="2" w:space="0" w:color="auto"/>
              <w:right w:val="single" w:sz="2" w:space="0" w:color="auto"/>
            </w:tcBorders>
          </w:tcPr>
          <w:p w14:paraId="64F64417" w14:textId="77777777" w:rsidR="009F4766" w:rsidRPr="00DE12A3" w:rsidRDefault="009F4766" w:rsidP="00C917D6">
            <w:pPr>
              <w:pStyle w:val="NormalLeft"/>
            </w:pPr>
            <w:r w:rsidRPr="00DE12A3">
              <w:t>71</w:t>
            </w:r>
          </w:p>
        </w:tc>
      </w:tr>
      <w:tr w:rsidR="00DE12A3" w:rsidRPr="00DE12A3" w14:paraId="3CBE209A" w14:textId="77777777" w:rsidTr="009F4766">
        <w:tc>
          <w:tcPr>
            <w:tcW w:w="1182" w:type="dxa"/>
            <w:tcBorders>
              <w:top w:val="single" w:sz="2" w:space="0" w:color="auto"/>
              <w:left w:val="single" w:sz="2" w:space="0" w:color="auto"/>
              <w:bottom w:val="single" w:sz="2" w:space="0" w:color="auto"/>
              <w:right w:val="single" w:sz="2" w:space="0" w:color="auto"/>
            </w:tcBorders>
          </w:tcPr>
          <w:p w14:paraId="2F7DB151" w14:textId="77777777" w:rsidR="009F4766" w:rsidRPr="00DE12A3" w:rsidRDefault="009F4766" w:rsidP="00C917D6">
            <w:pPr>
              <w:pStyle w:val="NormalLeft"/>
            </w:pPr>
            <w:r w:rsidRPr="00DE12A3">
              <w:t>672</w:t>
            </w:r>
          </w:p>
        </w:tc>
        <w:tc>
          <w:tcPr>
            <w:tcW w:w="2489" w:type="dxa"/>
            <w:tcBorders>
              <w:top w:val="single" w:sz="2" w:space="0" w:color="auto"/>
              <w:left w:val="single" w:sz="2" w:space="0" w:color="auto"/>
              <w:bottom w:val="single" w:sz="2" w:space="0" w:color="auto"/>
              <w:right w:val="single" w:sz="2" w:space="0" w:color="auto"/>
            </w:tcBorders>
          </w:tcPr>
          <w:p w14:paraId="04083C55" w14:textId="77777777" w:rsidR="009F4766" w:rsidRPr="00DE12A3" w:rsidRDefault="009F4766" w:rsidP="00C917D6">
            <w:pPr>
              <w:pStyle w:val="NormalLeft"/>
            </w:pPr>
            <w:r w:rsidRPr="00DE12A3">
              <w:t>90</w:t>
            </w:r>
          </w:p>
        </w:tc>
        <w:tc>
          <w:tcPr>
            <w:tcW w:w="2551" w:type="dxa"/>
            <w:tcBorders>
              <w:top w:val="single" w:sz="2" w:space="0" w:color="auto"/>
              <w:left w:val="single" w:sz="2" w:space="0" w:color="auto"/>
              <w:bottom w:val="single" w:sz="2" w:space="0" w:color="auto"/>
              <w:right w:val="single" w:sz="2" w:space="0" w:color="auto"/>
            </w:tcBorders>
          </w:tcPr>
          <w:p w14:paraId="4AFF3C6E" w14:textId="77777777" w:rsidR="009F4766" w:rsidRPr="00DE12A3" w:rsidRDefault="009F4766" w:rsidP="00C917D6">
            <w:pPr>
              <w:pStyle w:val="NormalLeft"/>
            </w:pPr>
            <w:r w:rsidRPr="00DE12A3">
              <w:t>71</w:t>
            </w:r>
          </w:p>
        </w:tc>
      </w:tr>
      <w:tr w:rsidR="00DE12A3" w:rsidRPr="00DE12A3" w14:paraId="2539EC29" w14:textId="77777777" w:rsidTr="009F4766">
        <w:tc>
          <w:tcPr>
            <w:tcW w:w="1182" w:type="dxa"/>
            <w:tcBorders>
              <w:top w:val="single" w:sz="2" w:space="0" w:color="auto"/>
              <w:left w:val="single" w:sz="2" w:space="0" w:color="auto"/>
              <w:bottom w:val="single" w:sz="2" w:space="0" w:color="auto"/>
              <w:right w:val="single" w:sz="2" w:space="0" w:color="auto"/>
            </w:tcBorders>
          </w:tcPr>
          <w:p w14:paraId="64F58936" w14:textId="77777777" w:rsidR="009F4766" w:rsidRPr="00DE12A3" w:rsidRDefault="009F4766" w:rsidP="00C917D6">
            <w:pPr>
              <w:pStyle w:val="NormalLeft"/>
            </w:pPr>
            <w:r w:rsidRPr="00DE12A3">
              <w:t>673</w:t>
            </w:r>
          </w:p>
        </w:tc>
        <w:tc>
          <w:tcPr>
            <w:tcW w:w="2489" w:type="dxa"/>
            <w:tcBorders>
              <w:top w:val="single" w:sz="2" w:space="0" w:color="auto"/>
              <w:left w:val="single" w:sz="2" w:space="0" w:color="auto"/>
              <w:bottom w:val="single" w:sz="2" w:space="0" w:color="auto"/>
              <w:right w:val="single" w:sz="2" w:space="0" w:color="auto"/>
            </w:tcBorders>
          </w:tcPr>
          <w:p w14:paraId="3A9DD195" w14:textId="77777777" w:rsidR="009F4766" w:rsidRPr="00DE12A3" w:rsidRDefault="009F4766" w:rsidP="00C917D6">
            <w:pPr>
              <w:pStyle w:val="NormalLeft"/>
            </w:pPr>
            <w:r w:rsidRPr="00DE12A3">
              <w:t>90</w:t>
            </w:r>
          </w:p>
        </w:tc>
        <w:tc>
          <w:tcPr>
            <w:tcW w:w="2551" w:type="dxa"/>
            <w:tcBorders>
              <w:top w:val="single" w:sz="2" w:space="0" w:color="auto"/>
              <w:left w:val="single" w:sz="2" w:space="0" w:color="auto"/>
              <w:bottom w:val="single" w:sz="2" w:space="0" w:color="auto"/>
              <w:right w:val="single" w:sz="2" w:space="0" w:color="auto"/>
            </w:tcBorders>
          </w:tcPr>
          <w:p w14:paraId="537E095C" w14:textId="77777777" w:rsidR="009F4766" w:rsidRPr="00DE12A3" w:rsidRDefault="009F4766" w:rsidP="00C917D6">
            <w:pPr>
              <w:pStyle w:val="NormalLeft"/>
            </w:pPr>
            <w:r w:rsidRPr="00DE12A3">
              <w:t>71</w:t>
            </w:r>
          </w:p>
        </w:tc>
      </w:tr>
      <w:tr w:rsidR="00DE12A3" w:rsidRPr="00DE12A3" w14:paraId="1B99A196" w14:textId="77777777" w:rsidTr="009F4766">
        <w:tc>
          <w:tcPr>
            <w:tcW w:w="1182" w:type="dxa"/>
            <w:tcBorders>
              <w:top w:val="single" w:sz="2" w:space="0" w:color="auto"/>
              <w:left w:val="single" w:sz="2" w:space="0" w:color="auto"/>
              <w:bottom w:val="single" w:sz="2" w:space="0" w:color="auto"/>
              <w:right w:val="single" w:sz="2" w:space="0" w:color="auto"/>
            </w:tcBorders>
          </w:tcPr>
          <w:p w14:paraId="3A259D4A" w14:textId="77777777" w:rsidR="009F4766" w:rsidRPr="00DE12A3" w:rsidRDefault="009F4766" w:rsidP="00C917D6">
            <w:pPr>
              <w:pStyle w:val="NormalLeft"/>
            </w:pPr>
            <w:r w:rsidRPr="00DE12A3">
              <w:t>674</w:t>
            </w:r>
          </w:p>
        </w:tc>
        <w:tc>
          <w:tcPr>
            <w:tcW w:w="2489" w:type="dxa"/>
            <w:tcBorders>
              <w:top w:val="single" w:sz="2" w:space="0" w:color="auto"/>
              <w:left w:val="single" w:sz="2" w:space="0" w:color="auto"/>
              <w:bottom w:val="single" w:sz="2" w:space="0" w:color="auto"/>
              <w:right w:val="single" w:sz="2" w:space="0" w:color="auto"/>
            </w:tcBorders>
          </w:tcPr>
          <w:p w14:paraId="500FE2CB" w14:textId="77777777" w:rsidR="009F4766" w:rsidRPr="00DE12A3" w:rsidRDefault="009F4766" w:rsidP="00C917D6">
            <w:pPr>
              <w:pStyle w:val="NormalLeft"/>
            </w:pPr>
            <w:r w:rsidRPr="00DE12A3">
              <w:t>92</w:t>
            </w:r>
          </w:p>
        </w:tc>
        <w:tc>
          <w:tcPr>
            <w:tcW w:w="2551" w:type="dxa"/>
            <w:tcBorders>
              <w:top w:val="single" w:sz="2" w:space="0" w:color="auto"/>
              <w:left w:val="single" w:sz="2" w:space="0" w:color="auto"/>
              <w:bottom w:val="single" w:sz="2" w:space="0" w:color="auto"/>
              <w:right w:val="single" w:sz="2" w:space="0" w:color="auto"/>
            </w:tcBorders>
          </w:tcPr>
          <w:p w14:paraId="0C7C6775" w14:textId="77777777" w:rsidR="009F4766" w:rsidRPr="00DE12A3" w:rsidRDefault="009F4766" w:rsidP="00C917D6">
            <w:pPr>
              <w:pStyle w:val="NormalLeft"/>
            </w:pPr>
            <w:r w:rsidRPr="00DE12A3">
              <w:t>72</w:t>
            </w:r>
          </w:p>
        </w:tc>
      </w:tr>
      <w:tr w:rsidR="00DE12A3" w:rsidRPr="00DE12A3" w14:paraId="029AEBEC" w14:textId="77777777" w:rsidTr="009F4766">
        <w:tc>
          <w:tcPr>
            <w:tcW w:w="1182" w:type="dxa"/>
            <w:tcBorders>
              <w:top w:val="single" w:sz="2" w:space="0" w:color="auto"/>
              <w:left w:val="single" w:sz="2" w:space="0" w:color="auto"/>
              <w:bottom w:val="single" w:sz="2" w:space="0" w:color="auto"/>
              <w:right w:val="single" w:sz="2" w:space="0" w:color="auto"/>
            </w:tcBorders>
          </w:tcPr>
          <w:p w14:paraId="6FD8C62A" w14:textId="77777777" w:rsidR="009F4766" w:rsidRPr="00DE12A3" w:rsidRDefault="009F4766" w:rsidP="00C917D6">
            <w:pPr>
              <w:pStyle w:val="NormalLeft"/>
            </w:pPr>
            <w:r w:rsidRPr="00DE12A3">
              <w:t>675</w:t>
            </w:r>
          </w:p>
        </w:tc>
        <w:tc>
          <w:tcPr>
            <w:tcW w:w="2489" w:type="dxa"/>
            <w:tcBorders>
              <w:top w:val="single" w:sz="2" w:space="0" w:color="auto"/>
              <w:left w:val="single" w:sz="2" w:space="0" w:color="auto"/>
              <w:bottom w:val="single" w:sz="2" w:space="0" w:color="auto"/>
              <w:right w:val="single" w:sz="2" w:space="0" w:color="auto"/>
            </w:tcBorders>
          </w:tcPr>
          <w:p w14:paraId="6A372ED1" w14:textId="77777777" w:rsidR="009F4766" w:rsidRPr="00DE12A3" w:rsidRDefault="009F4766" w:rsidP="00C917D6">
            <w:pPr>
              <w:pStyle w:val="NormalLeft"/>
            </w:pPr>
            <w:r w:rsidRPr="00DE12A3">
              <w:t>93</w:t>
            </w:r>
          </w:p>
        </w:tc>
        <w:tc>
          <w:tcPr>
            <w:tcW w:w="2551" w:type="dxa"/>
            <w:tcBorders>
              <w:top w:val="single" w:sz="2" w:space="0" w:color="auto"/>
              <w:left w:val="single" w:sz="2" w:space="0" w:color="auto"/>
              <w:bottom w:val="single" w:sz="2" w:space="0" w:color="auto"/>
              <w:right w:val="single" w:sz="2" w:space="0" w:color="auto"/>
            </w:tcBorders>
          </w:tcPr>
          <w:p w14:paraId="620C07FA" w14:textId="77777777" w:rsidR="009F4766" w:rsidRPr="00DE12A3" w:rsidRDefault="009F4766" w:rsidP="00C917D6">
            <w:pPr>
              <w:pStyle w:val="NormalLeft"/>
            </w:pPr>
            <w:r w:rsidRPr="00DE12A3">
              <w:t>69</w:t>
            </w:r>
          </w:p>
        </w:tc>
      </w:tr>
      <w:tr w:rsidR="00DE12A3" w:rsidRPr="00DE12A3" w14:paraId="528B4E07" w14:textId="77777777" w:rsidTr="009F4766">
        <w:tc>
          <w:tcPr>
            <w:tcW w:w="1182" w:type="dxa"/>
            <w:tcBorders>
              <w:top w:val="single" w:sz="2" w:space="0" w:color="auto"/>
              <w:left w:val="single" w:sz="2" w:space="0" w:color="auto"/>
              <w:bottom w:val="single" w:sz="2" w:space="0" w:color="auto"/>
              <w:right w:val="single" w:sz="2" w:space="0" w:color="auto"/>
            </w:tcBorders>
          </w:tcPr>
          <w:p w14:paraId="0C597802" w14:textId="77777777" w:rsidR="009F4766" w:rsidRPr="00DE12A3" w:rsidRDefault="009F4766" w:rsidP="00C917D6">
            <w:pPr>
              <w:pStyle w:val="NormalLeft"/>
            </w:pPr>
            <w:r w:rsidRPr="00DE12A3">
              <w:t>676</w:t>
            </w:r>
          </w:p>
        </w:tc>
        <w:tc>
          <w:tcPr>
            <w:tcW w:w="2489" w:type="dxa"/>
            <w:tcBorders>
              <w:top w:val="single" w:sz="2" w:space="0" w:color="auto"/>
              <w:left w:val="single" w:sz="2" w:space="0" w:color="auto"/>
              <w:bottom w:val="single" w:sz="2" w:space="0" w:color="auto"/>
              <w:right w:val="single" w:sz="2" w:space="0" w:color="auto"/>
            </w:tcBorders>
          </w:tcPr>
          <w:p w14:paraId="5F5D8BD7" w14:textId="77777777" w:rsidR="009F4766" w:rsidRPr="00DE12A3" w:rsidRDefault="009F4766" w:rsidP="00C917D6">
            <w:pPr>
              <w:pStyle w:val="NormalLeft"/>
            </w:pPr>
            <w:r w:rsidRPr="00DE12A3">
              <w:t>90</w:t>
            </w:r>
          </w:p>
        </w:tc>
        <w:tc>
          <w:tcPr>
            <w:tcW w:w="2551" w:type="dxa"/>
            <w:tcBorders>
              <w:top w:val="single" w:sz="2" w:space="0" w:color="auto"/>
              <w:left w:val="single" w:sz="2" w:space="0" w:color="auto"/>
              <w:bottom w:val="single" w:sz="2" w:space="0" w:color="auto"/>
              <w:right w:val="single" w:sz="2" w:space="0" w:color="auto"/>
            </w:tcBorders>
          </w:tcPr>
          <w:p w14:paraId="22CAA0E6" w14:textId="77777777" w:rsidR="009F4766" w:rsidRPr="00DE12A3" w:rsidRDefault="009F4766" w:rsidP="00C917D6">
            <w:pPr>
              <w:pStyle w:val="NormalLeft"/>
            </w:pPr>
            <w:r w:rsidRPr="00DE12A3">
              <w:t>70</w:t>
            </w:r>
          </w:p>
        </w:tc>
      </w:tr>
      <w:tr w:rsidR="00DE12A3" w:rsidRPr="00DE12A3" w14:paraId="3D5E6EFD" w14:textId="77777777" w:rsidTr="009F4766">
        <w:tc>
          <w:tcPr>
            <w:tcW w:w="1182" w:type="dxa"/>
            <w:tcBorders>
              <w:top w:val="single" w:sz="2" w:space="0" w:color="auto"/>
              <w:left w:val="single" w:sz="2" w:space="0" w:color="auto"/>
              <w:bottom w:val="single" w:sz="2" w:space="0" w:color="auto"/>
              <w:right w:val="single" w:sz="2" w:space="0" w:color="auto"/>
            </w:tcBorders>
          </w:tcPr>
          <w:p w14:paraId="453D3E68" w14:textId="77777777" w:rsidR="009F4766" w:rsidRPr="00DE12A3" w:rsidRDefault="009F4766" w:rsidP="00C917D6">
            <w:pPr>
              <w:pStyle w:val="NormalLeft"/>
            </w:pPr>
            <w:r w:rsidRPr="00DE12A3">
              <w:t>677</w:t>
            </w:r>
          </w:p>
        </w:tc>
        <w:tc>
          <w:tcPr>
            <w:tcW w:w="2489" w:type="dxa"/>
            <w:tcBorders>
              <w:top w:val="single" w:sz="2" w:space="0" w:color="auto"/>
              <w:left w:val="single" w:sz="2" w:space="0" w:color="auto"/>
              <w:bottom w:val="single" w:sz="2" w:space="0" w:color="auto"/>
              <w:right w:val="single" w:sz="2" w:space="0" w:color="auto"/>
            </w:tcBorders>
          </w:tcPr>
          <w:p w14:paraId="598FE9C8" w14:textId="77777777" w:rsidR="009F4766" w:rsidRPr="00DE12A3" w:rsidRDefault="009F4766" w:rsidP="00C917D6">
            <w:pPr>
              <w:pStyle w:val="NormalLeft"/>
            </w:pPr>
            <w:r w:rsidRPr="00DE12A3">
              <w:t>93</w:t>
            </w:r>
          </w:p>
        </w:tc>
        <w:tc>
          <w:tcPr>
            <w:tcW w:w="2551" w:type="dxa"/>
            <w:tcBorders>
              <w:top w:val="single" w:sz="2" w:space="0" w:color="auto"/>
              <w:left w:val="single" w:sz="2" w:space="0" w:color="auto"/>
              <w:bottom w:val="single" w:sz="2" w:space="0" w:color="auto"/>
              <w:right w:val="single" w:sz="2" w:space="0" w:color="auto"/>
            </w:tcBorders>
          </w:tcPr>
          <w:p w14:paraId="01087ADF" w14:textId="77777777" w:rsidR="009F4766" w:rsidRPr="00DE12A3" w:rsidRDefault="009F4766" w:rsidP="00C917D6">
            <w:pPr>
              <w:pStyle w:val="NormalLeft"/>
            </w:pPr>
            <w:r w:rsidRPr="00DE12A3">
              <w:t>72</w:t>
            </w:r>
          </w:p>
        </w:tc>
      </w:tr>
      <w:tr w:rsidR="00DE12A3" w:rsidRPr="00DE12A3" w14:paraId="235AA575" w14:textId="77777777" w:rsidTr="009F4766">
        <w:tc>
          <w:tcPr>
            <w:tcW w:w="1182" w:type="dxa"/>
            <w:tcBorders>
              <w:top w:val="single" w:sz="2" w:space="0" w:color="auto"/>
              <w:left w:val="single" w:sz="2" w:space="0" w:color="auto"/>
              <w:bottom w:val="single" w:sz="2" w:space="0" w:color="auto"/>
              <w:right w:val="single" w:sz="2" w:space="0" w:color="auto"/>
            </w:tcBorders>
          </w:tcPr>
          <w:p w14:paraId="6AD4BFAB" w14:textId="77777777" w:rsidR="009F4766" w:rsidRPr="00DE12A3" w:rsidRDefault="009F4766" w:rsidP="00C917D6">
            <w:pPr>
              <w:pStyle w:val="NormalLeft"/>
            </w:pPr>
            <w:r w:rsidRPr="00DE12A3">
              <w:t>678</w:t>
            </w:r>
          </w:p>
        </w:tc>
        <w:tc>
          <w:tcPr>
            <w:tcW w:w="2489" w:type="dxa"/>
            <w:tcBorders>
              <w:top w:val="single" w:sz="2" w:space="0" w:color="auto"/>
              <w:left w:val="single" w:sz="2" w:space="0" w:color="auto"/>
              <w:bottom w:val="single" w:sz="2" w:space="0" w:color="auto"/>
              <w:right w:val="single" w:sz="2" w:space="0" w:color="auto"/>
            </w:tcBorders>
          </w:tcPr>
          <w:p w14:paraId="7EC9EDAA" w14:textId="77777777" w:rsidR="009F4766" w:rsidRPr="00DE12A3" w:rsidRDefault="009F4766" w:rsidP="00C917D6">
            <w:pPr>
              <w:pStyle w:val="NormalLeft"/>
            </w:pPr>
            <w:r w:rsidRPr="00DE12A3">
              <w:t>91</w:t>
            </w:r>
          </w:p>
        </w:tc>
        <w:tc>
          <w:tcPr>
            <w:tcW w:w="2551" w:type="dxa"/>
            <w:tcBorders>
              <w:top w:val="single" w:sz="2" w:space="0" w:color="auto"/>
              <w:left w:val="single" w:sz="2" w:space="0" w:color="auto"/>
              <w:bottom w:val="single" w:sz="2" w:space="0" w:color="auto"/>
              <w:right w:val="single" w:sz="2" w:space="0" w:color="auto"/>
            </w:tcBorders>
          </w:tcPr>
          <w:p w14:paraId="23AF9E5A" w14:textId="77777777" w:rsidR="009F4766" w:rsidRPr="00DE12A3" w:rsidRDefault="009F4766" w:rsidP="00C917D6">
            <w:pPr>
              <w:pStyle w:val="NormalLeft"/>
            </w:pPr>
            <w:r w:rsidRPr="00DE12A3">
              <w:t>70</w:t>
            </w:r>
          </w:p>
        </w:tc>
      </w:tr>
      <w:tr w:rsidR="00DE12A3" w:rsidRPr="00DE12A3" w14:paraId="33603BE5" w14:textId="77777777" w:rsidTr="009F4766">
        <w:tc>
          <w:tcPr>
            <w:tcW w:w="1182" w:type="dxa"/>
            <w:tcBorders>
              <w:top w:val="single" w:sz="2" w:space="0" w:color="auto"/>
              <w:left w:val="single" w:sz="2" w:space="0" w:color="auto"/>
              <w:bottom w:val="single" w:sz="2" w:space="0" w:color="auto"/>
              <w:right w:val="single" w:sz="2" w:space="0" w:color="auto"/>
            </w:tcBorders>
          </w:tcPr>
          <w:p w14:paraId="678A4D46" w14:textId="77777777" w:rsidR="009F4766" w:rsidRPr="00DE12A3" w:rsidRDefault="009F4766" w:rsidP="00C917D6">
            <w:pPr>
              <w:pStyle w:val="NormalLeft"/>
            </w:pPr>
            <w:r w:rsidRPr="00DE12A3">
              <w:t>679</w:t>
            </w:r>
          </w:p>
        </w:tc>
        <w:tc>
          <w:tcPr>
            <w:tcW w:w="2489" w:type="dxa"/>
            <w:tcBorders>
              <w:top w:val="single" w:sz="2" w:space="0" w:color="auto"/>
              <w:left w:val="single" w:sz="2" w:space="0" w:color="auto"/>
              <w:bottom w:val="single" w:sz="2" w:space="0" w:color="auto"/>
              <w:right w:val="single" w:sz="2" w:space="0" w:color="auto"/>
            </w:tcBorders>
          </w:tcPr>
          <w:p w14:paraId="3FC3531E" w14:textId="77777777" w:rsidR="009F4766" w:rsidRPr="00DE12A3" w:rsidRDefault="009F4766" w:rsidP="00C917D6">
            <w:pPr>
              <w:pStyle w:val="NormalLeft"/>
            </w:pPr>
            <w:r w:rsidRPr="00DE12A3">
              <w:t>89</w:t>
            </w:r>
          </w:p>
        </w:tc>
        <w:tc>
          <w:tcPr>
            <w:tcW w:w="2551" w:type="dxa"/>
            <w:tcBorders>
              <w:top w:val="single" w:sz="2" w:space="0" w:color="auto"/>
              <w:left w:val="single" w:sz="2" w:space="0" w:color="auto"/>
              <w:bottom w:val="single" w:sz="2" w:space="0" w:color="auto"/>
              <w:right w:val="single" w:sz="2" w:space="0" w:color="auto"/>
            </w:tcBorders>
          </w:tcPr>
          <w:p w14:paraId="435873D3" w14:textId="77777777" w:rsidR="009F4766" w:rsidRPr="00DE12A3" w:rsidRDefault="009F4766" w:rsidP="00C917D6">
            <w:pPr>
              <w:pStyle w:val="NormalLeft"/>
            </w:pPr>
            <w:r w:rsidRPr="00DE12A3">
              <w:t>71</w:t>
            </w:r>
          </w:p>
        </w:tc>
      </w:tr>
      <w:tr w:rsidR="00DE12A3" w:rsidRPr="00DE12A3" w14:paraId="0C0B74DB" w14:textId="77777777" w:rsidTr="009F4766">
        <w:tc>
          <w:tcPr>
            <w:tcW w:w="1182" w:type="dxa"/>
            <w:tcBorders>
              <w:top w:val="single" w:sz="2" w:space="0" w:color="auto"/>
              <w:left w:val="single" w:sz="2" w:space="0" w:color="auto"/>
              <w:bottom w:val="single" w:sz="2" w:space="0" w:color="auto"/>
              <w:right w:val="single" w:sz="2" w:space="0" w:color="auto"/>
            </w:tcBorders>
          </w:tcPr>
          <w:p w14:paraId="0DE69CA8" w14:textId="77777777" w:rsidR="009F4766" w:rsidRPr="00DE12A3" w:rsidRDefault="009F4766" w:rsidP="00C917D6">
            <w:pPr>
              <w:pStyle w:val="NormalLeft"/>
            </w:pPr>
            <w:r w:rsidRPr="00DE12A3">
              <w:t>680</w:t>
            </w:r>
          </w:p>
        </w:tc>
        <w:tc>
          <w:tcPr>
            <w:tcW w:w="2489" w:type="dxa"/>
            <w:tcBorders>
              <w:top w:val="single" w:sz="2" w:space="0" w:color="auto"/>
              <w:left w:val="single" w:sz="2" w:space="0" w:color="auto"/>
              <w:bottom w:val="single" w:sz="2" w:space="0" w:color="auto"/>
              <w:right w:val="single" w:sz="2" w:space="0" w:color="auto"/>
            </w:tcBorders>
          </w:tcPr>
          <w:p w14:paraId="6314920D" w14:textId="77777777" w:rsidR="009F4766" w:rsidRPr="00DE12A3" w:rsidRDefault="009F4766" w:rsidP="00C917D6">
            <w:pPr>
              <w:pStyle w:val="NormalLeft"/>
            </w:pPr>
            <w:r w:rsidRPr="00DE12A3">
              <w:t>91</w:t>
            </w:r>
          </w:p>
        </w:tc>
        <w:tc>
          <w:tcPr>
            <w:tcW w:w="2551" w:type="dxa"/>
            <w:tcBorders>
              <w:top w:val="single" w:sz="2" w:space="0" w:color="auto"/>
              <w:left w:val="single" w:sz="2" w:space="0" w:color="auto"/>
              <w:bottom w:val="single" w:sz="2" w:space="0" w:color="auto"/>
              <w:right w:val="single" w:sz="2" w:space="0" w:color="auto"/>
            </w:tcBorders>
          </w:tcPr>
          <w:p w14:paraId="2733DF55" w14:textId="77777777" w:rsidR="009F4766" w:rsidRPr="00DE12A3" w:rsidRDefault="009F4766" w:rsidP="00C917D6">
            <w:pPr>
              <w:pStyle w:val="NormalLeft"/>
            </w:pPr>
            <w:r w:rsidRPr="00DE12A3">
              <w:t>71</w:t>
            </w:r>
          </w:p>
        </w:tc>
      </w:tr>
      <w:tr w:rsidR="00DE12A3" w:rsidRPr="00DE12A3" w14:paraId="3687EC5F" w14:textId="77777777" w:rsidTr="009F4766">
        <w:tc>
          <w:tcPr>
            <w:tcW w:w="1182" w:type="dxa"/>
            <w:tcBorders>
              <w:top w:val="single" w:sz="2" w:space="0" w:color="auto"/>
              <w:left w:val="single" w:sz="2" w:space="0" w:color="auto"/>
              <w:bottom w:val="single" w:sz="2" w:space="0" w:color="auto"/>
              <w:right w:val="single" w:sz="2" w:space="0" w:color="auto"/>
            </w:tcBorders>
          </w:tcPr>
          <w:p w14:paraId="2E8EB925" w14:textId="77777777" w:rsidR="009F4766" w:rsidRPr="00DE12A3" w:rsidRDefault="009F4766" w:rsidP="00C917D6">
            <w:pPr>
              <w:pStyle w:val="NormalLeft"/>
            </w:pPr>
            <w:r w:rsidRPr="00DE12A3">
              <w:t>681</w:t>
            </w:r>
          </w:p>
        </w:tc>
        <w:tc>
          <w:tcPr>
            <w:tcW w:w="2489" w:type="dxa"/>
            <w:tcBorders>
              <w:top w:val="single" w:sz="2" w:space="0" w:color="auto"/>
              <w:left w:val="single" w:sz="2" w:space="0" w:color="auto"/>
              <w:bottom w:val="single" w:sz="2" w:space="0" w:color="auto"/>
              <w:right w:val="single" w:sz="2" w:space="0" w:color="auto"/>
            </w:tcBorders>
          </w:tcPr>
          <w:p w14:paraId="34619423" w14:textId="77777777" w:rsidR="009F4766" w:rsidRPr="00DE12A3" w:rsidRDefault="009F4766" w:rsidP="00C917D6">
            <w:pPr>
              <w:pStyle w:val="NormalLeft"/>
            </w:pPr>
            <w:r w:rsidRPr="00DE12A3">
              <w:t>90</w:t>
            </w:r>
          </w:p>
        </w:tc>
        <w:tc>
          <w:tcPr>
            <w:tcW w:w="2551" w:type="dxa"/>
            <w:tcBorders>
              <w:top w:val="single" w:sz="2" w:space="0" w:color="auto"/>
              <w:left w:val="single" w:sz="2" w:space="0" w:color="auto"/>
              <w:bottom w:val="single" w:sz="2" w:space="0" w:color="auto"/>
              <w:right w:val="single" w:sz="2" w:space="0" w:color="auto"/>
            </w:tcBorders>
          </w:tcPr>
          <w:p w14:paraId="1E7CD86F" w14:textId="77777777" w:rsidR="009F4766" w:rsidRPr="00DE12A3" w:rsidRDefault="009F4766" w:rsidP="00C917D6">
            <w:pPr>
              <w:pStyle w:val="NormalLeft"/>
            </w:pPr>
            <w:r w:rsidRPr="00DE12A3">
              <w:t>71</w:t>
            </w:r>
          </w:p>
        </w:tc>
      </w:tr>
      <w:tr w:rsidR="00DE12A3" w:rsidRPr="00DE12A3" w14:paraId="31780C9D" w14:textId="77777777" w:rsidTr="009F4766">
        <w:tc>
          <w:tcPr>
            <w:tcW w:w="1182" w:type="dxa"/>
            <w:tcBorders>
              <w:top w:val="single" w:sz="2" w:space="0" w:color="auto"/>
              <w:left w:val="single" w:sz="2" w:space="0" w:color="auto"/>
              <w:bottom w:val="single" w:sz="2" w:space="0" w:color="auto"/>
              <w:right w:val="single" w:sz="2" w:space="0" w:color="auto"/>
            </w:tcBorders>
          </w:tcPr>
          <w:p w14:paraId="1783CE62" w14:textId="77777777" w:rsidR="009F4766" w:rsidRPr="00DE12A3" w:rsidRDefault="009F4766" w:rsidP="00C917D6">
            <w:pPr>
              <w:pStyle w:val="NormalLeft"/>
            </w:pPr>
            <w:r w:rsidRPr="00DE12A3">
              <w:t>682</w:t>
            </w:r>
          </w:p>
        </w:tc>
        <w:tc>
          <w:tcPr>
            <w:tcW w:w="2489" w:type="dxa"/>
            <w:tcBorders>
              <w:top w:val="single" w:sz="2" w:space="0" w:color="auto"/>
              <w:left w:val="single" w:sz="2" w:space="0" w:color="auto"/>
              <w:bottom w:val="single" w:sz="2" w:space="0" w:color="auto"/>
              <w:right w:val="single" w:sz="2" w:space="0" w:color="auto"/>
            </w:tcBorders>
          </w:tcPr>
          <w:p w14:paraId="36913F39" w14:textId="77777777" w:rsidR="009F4766" w:rsidRPr="00DE12A3" w:rsidRDefault="009F4766" w:rsidP="00C917D6">
            <w:pPr>
              <w:pStyle w:val="NormalLeft"/>
            </w:pPr>
            <w:r w:rsidRPr="00DE12A3">
              <w:t>90</w:t>
            </w:r>
          </w:p>
        </w:tc>
        <w:tc>
          <w:tcPr>
            <w:tcW w:w="2551" w:type="dxa"/>
            <w:tcBorders>
              <w:top w:val="single" w:sz="2" w:space="0" w:color="auto"/>
              <w:left w:val="single" w:sz="2" w:space="0" w:color="auto"/>
              <w:bottom w:val="single" w:sz="2" w:space="0" w:color="auto"/>
              <w:right w:val="single" w:sz="2" w:space="0" w:color="auto"/>
            </w:tcBorders>
          </w:tcPr>
          <w:p w14:paraId="7D333B54" w14:textId="77777777" w:rsidR="009F4766" w:rsidRPr="00DE12A3" w:rsidRDefault="009F4766" w:rsidP="00C917D6">
            <w:pPr>
              <w:pStyle w:val="NormalLeft"/>
            </w:pPr>
            <w:r w:rsidRPr="00DE12A3">
              <w:t>71</w:t>
            </w:r>
          </w:p>
        </w:tc>
      </w:tr>
      <w:tr w:rsidR="00DE12A3" w:rsidRPr="00DE12A3" w14:paraId="05B7B812" w14:textId="77777777" w:rsidTr="009F4766">
        <w:tc>
          <w:tcPr>
            <w:tcW w:w="1182" w:type="dxa"/>
            <w:tcBorders>
              <w:top w:val="single" w:sz="2" w:space="0" w:color="auto"/>
              <w:left w:val="single" w:sz="2" w:space="0" w:color="auto"/>
              <w:bottom w:val="single" w:sz="2" w:space="0" w:color="auto"/>
              <w:right w:val="single" w:sz="2" w:space="0" w:color="auto"/>
            </w:tcBorders>
          </w:tcPr>
          <w:p w14:paraId="6588A9B1" w14:textId="77777777" w:rsidR="009F4766" w:rsidRPr="00DE12A3" w:rsidRDefault="009F4766" w:rsidP="00C917D6">
            <w:pPr>
              <w:pStyle w:val="NormalLeft"/>
            </w:pPr>
            <w:r w:rsidRPr="00DE12A3">
              <w:t>683</w:t>
            </w:r>
          </w:p>
        </w:tc>
        <w:tc>
          <w:tcPr>
            <w:tcW w:w="2489" w:type="dxa"/>
            <w:tcBorders>
              <w:top w:val="single" w:sz="2" w:space="0" w:color="auto"/>
              <w:left w:val="single" w:sz="2" w:space="0" w:color="auto"/>
              <w:bottom w:val="single" w:sz="2" w:space="0" w:color="auto"/>
              <w:right w:val="single" w:sz="2" w:space="0" w:color="auto"/>
            </w:tcBorders>
          </w:tcPr>
          <w:p w14:paraId="46E2D027" w14:textId="77777777" w:rsidR="009F4766" w:rsidRPr="00DE12A3" w:rsidRDefault="009F4766" w:rsidP="00C917D6">
            <w:pPr>
              <w:pStyle w:val="NormalLeft"/>
            </w:pPr>
            <w:r w:rsidRPr="00DE12A3">
              <w:t>92</w:t>
            </w:r>
          </w:p>
        </w:tc>
        <w:tc>
          <w:tcPr>
            <w:tcW w:w="2551" w:type="dxa"/>
            <w:tcBorders>
              <w:top w:val="single" w:sz="2" w:space="0" w:color="auto"/>
              <w:left w:val="single" w:sz="2" w:space="0" w:color="auto"/>
              <w:bottom w:val="single" w:sz="2" w:space="0" w:color="auto"/>
              <w:right w:val="single" w:sz="2" w:space="0" w:color="auto"/>
            </w:tcBorders>
          </w:tcPr>
          <w:p w14:paraId="065854BE" w14:textId="77777777" w:rsidR="009F4766" w:rsidRPr="00DE12A3" w:rsidRDefault="009F4766" w:rsidP="00C917D6">
            <w:pPr>
              <w:pStyle w:val="NormalLeft"/>
            </w:pPr>
            <w:r w:rsidRPr="00DE12A3">
              <w:t>71</w:t>
            </w:r>
          </w:p>
        </w:tc>
      </w:tr>
      <w:tr w:rsidR="00DE12A3" w:rsidRPr="00DE12A3" w14:paraId="20C99F36" w14:textId="77777777" w:rsidTr="009F4766">
        <w:tc>
          <w:tcPr>
            <w:tcW w:w="1182" w:type="dxa"/>
            <w:tcBorders>
              <w:top w:val="single" w:sz="2" w:space="0" w:color="auto"/>
              <w:left w:val="single" w:sz="2" w:space="0" w:color="auto"/>
              <w:bottom w:val="single" w:sz="2" w:space="0" w:color="auto"/>
              <w:right w:val="single" w:sz="2" w:space="0" w:color="auto"/>
            </w:tcBorders>
          </w:tcPr>
          <w:p w14:paraId="741D431B" w14:textId="77777777" w:rsidR="009F4766" w:rsidRPr="00DE12A3" w:rsidRDefault="009F4766" w:rsidP="00C917D6">
            <w:pPr>
              <w:pStyle w:val="NormalLeft"/>
            </w:pPr>
            <w:r w:rsidRPr="00DE12A3">
              <w:t>684</w:t>
            </w:r>
          </w:p>
        </w:tc>
        <w:tc>
          <w:tcPr>
            <w:tcW w:w="2489" w:type="dxa"/>
            <w:tcBorders>
              <w:top w:val="single" w:sz="2" w:space="0" w:color="auto"/>
              <w:left w:val="single" w:sz="2" w:space="0" w:color="auto"/>
              <w:bottom w:val="single" w:sz="2" w:space="0" w:color="auto"/>
              <w:right w:val="single" w:sz="2" w:space="0" w:color="auto"/>
            </w:tcBorders>
          </w:tcPr>
          <w:p w14:paraId="21A46855" w14:textId="77777777" w:rsidR="009F4766" w:rsidRPr="00DE12A3" w:rsidRDefault="009F4766" w:rsidP="00C917D6">
            <w:pPr>
              <w:pStyle w:val="NormalLeft"/>
            </w:pPr>
            <w:r w:rsidRPr="00DE12A3">
              <w:t>91</w:t>
            </w:r>
          </w:p>
        </w:tc>
        <w:tc>
          <w:tcPr>
            <w:tcW w:w="2551" w:type="dxa"/>
            <w:tcBorders>
              <w:top w:val="single" w:sz="2" w:space="0" w:color="auto"/>
              <w:left w:val="single" w:sz="2" w:space="0" w:color="auto"/>
              <w:bottom w:val="single" w:sz="2" w:space="0" w:color="auto"/>
              <w:right w:val="single" w:sz="2" w:space="0" w:color="auto"/>
            </w:tcBorders>
          </w:tcPr>
          <w:p w14:paraId="3B4352BB" w14:textId="77777777" w:rsidR="009F4766" w:rsidRPr="00DE12A3" w:rsidRDefault="009F4766" w:rsidP="00C917D6">
            <w:pPr>
              <w:pStyle w:val="NormalLeft"/>
            </w:pPr>
            <w:r w:rsidRPr="00DE12A3">
              <w:t>71</w:t>
            </w:r>
          </w:p>
        </w:tc>
      </w:tr>
      <w:tr w:rsidR="00DE12A3" w:rsidRPr="00DE12A3" w14:paraId="0D6FF452" w14:textId="77777777" w:rsidTr="009F4766">
        <w:tc>
          <w:tcPr>
            <w:tcW w:w="1182" w:type="dxa"/>
            <w:tcBorders>
              <w:top w:val="single" w:sz="2" w:space="0" w:color="auto"/>
              <w:left w:val="single" w:sz="2" w:space="0" w:color="auto"/>
              <w:bottom w:val="single" w:sz="2" w:space="0" w:color="auto"/>
              <w:right w:val="single" w:sz="2" w:space="0" w:color="auto"/>
            </w:tcBorders>
          </w:tcPr>
          <w:p w14:paraId="71ED94D5" w14:textId="77777777" w:rsidR="009F4766" w:rsidRPr="00DE12A3" w:rsidRDefault="009F4766" w:rsidP="00C917D6">
            <w:pPr>
              <w:pStyle w:val="NormalLeft"/>
            </w:pPr>
            <w:r w:rsidRPr="00DE12A3">
              <w:t>685</w:t>
            </w:r>
          </w:p>
        </w:tc>
        <w:tc>
          <w:tcPr>
            <w:tcW w:w="2489" w:type="dxa"/>
            <w:tcBorders>
              <w:top w:val="single" w:sz="2" w:space="0" w:color="auto"/>
              <w:left w:val="single" w:sz="2" w:space="0" w:color="auto"/>
              <w:bottom w:val="single" w:sz="2" w:space="0" w:color="auto"/>
              <w:right w:val="single" w:sz="2" w:space="0" w:color="auto"/>
            </w:tcBorders>
          </w:tcPr>
          <w:p w14:paraId="4273B4C0" w14:textId="77777777" w:rsidR="009F4766" w:rsidRPr="00DE12A3" w:rsidRDefault="009F4766" w:rsidP="00C917D6">
            <w:pPr>
              <w:pStyle w:val="NormalLeft"/>
            </w:pPr>
            <w:r w:rsidRPr="00DE12A3">
              <w:t>93</w:t>
            </w:r>
          </w:p>
        </w:tc>
        <w:tc>
          <w:tcPr>
            <w:tcW w:w="2551" w:type="dxa"/>
            <w:tcBorders>
              <w:top w:val="single" w:sz="2" w:space="0" w:color="auto"/>
              <w:left w:val="single" w:sz="2" w:space="0" w:color="auto"/>
              <w:bottom w:val="single" w:sz="2" w:space="0" w:color="auto"/>
              <w:right w:val="single" w:sz="2" w:space="0" w:color="auto"/>
            </w:tcBorders>
          </w:tcPr>
          <w:p w14:paraId="6BEA0FE0" w14:textId="77777777" w:rsidR="009F4766" w:rsidRPr="00DE12A3" w:rsidRDefault="009F4766" w:rsidP="00C917D6">
            <w:pPr>
              <w:pStyle w:val="NormalLeft"/>
            </w:pPr>
            <w:r w:rsidRPr="00DE12A3">
              <w:t>71</w:t>
            </w:r>
          </w:p>
        </w:tc>
      </w:tr>
      <w:tr w:rsidR="00DE12A3" w:rsidRPr="00DE12A3" w14:paraId="4F61A8EF" w14:textId="77777777" w:rsidTr="009F4766">
        <w:tc>
          <w:tcPr>
            <w:tcW w:w="1182" w:type="dxa"/>
            <w:tcBorders>
              <w:top w:val="single" w:sz="2" w:space="0" w:color="auto"/>
              <w:left w:val="single" w:sz="2" w:space="0" w:color="auto"/>
              <w:bottom w:val="single" w:sz="2" w:space="0" w:color="auto"/>
              <w:right w:val="single" w:sz="2" w:space="0" w:color="auto"/>
            </w:tcBorders>
          </w:tcPr>
          <w:p w14:paraId="1AFCAFA7" w14:textId="77777777" w:rsidR="009F4766" w:rsidRPr="00DE12A3" w:rsidRDefault="009F4766" w:rsidP="00C917D6">
            <w:pPr>
              <w:pStyle w:val="NormalLeft"/>
            </w:pPr>
            <w:r w:rsidRPr="00DE12A3">
              <w:t>686</w:t>
            </w:r>
          </w:p>
        </w:tc>
        <w:tc>
          <w:tcPr>
            <w:tcW w:w="2489" w:type="dxa"/>
            <w:tcBorders>
              <w:top w:val="single" w:sz="2" w:space="0" w:color="auto"/>
              <w:left w:val="single" w:sz="2" w:space="0" w:color="auto"/>
              <w:bottom w:val="single" w:sz="2" w:space="0" w:color="auto"/>
              <w:right w:val="single" w:sz="2" w:space="0" w:color="auto"/>
            </w:tcBorders>
          </w:tcPr>
          <w:p w14:paraId="6AEB668B" w14:textId="77777777" w:rsidR="009F4766" w:rsidRPr="00DE12A3" w:rsidRDefault="009F4766" w:rsidP="00C917D6">
            <w:pPr>
              <w:pStyle w:val="NormalLeft"/>
            </w:pPr>
            <w:r w:rsidRPr="00DE12A3">
              <w:t>93</w:t>
            </w:r>
          </w:p>
        </w:tc>
        <w:tc>
          <w:tcPr>
            <w:tcW w:w="2551" w:type="dxa"/>
            <w:tcBorders>
              <w:top w:val="single" w:sz="2" w:space="0" w:color="auto"/>
              <w:left w:val="single" w:sz="2" w:space="0" w:color="auto"/>
              <w:bottom w:val="single" w:sz="2" w:space="0" w:color="auto"/>
              <w:right w:val="single" w:sz="2" w:space="0" w:color="auto"/>
            </w:tcBorders>
          </w:tcPr>
          <w:p w14:paraId="63C9CA45" w14:textId="77777777" w:rsidR="009F4766" w:rsidRPr="00DE12A3" w:rsidRDefault="009F4766" w:rsidP="00C917D6">
            <w:pPr>
              <w:pStyle w:val="NormalLeft"/>
            </w:pPr>
            <w:r w:rsidRPr="00DE12A3">
              <w:t>68</w:t>
            </w:r>
          </w:p>
        </w:tc>
      </w:tr>
      <w:tr w:rsidR="00DE12A3" w:rsidRPr="00DE12A3" w14:paraId="5ED2CC88" w14:textId="77777777" w:rsidTr="009F4766">
        <w:tc>
          <w:tcPr>
            <w:tcW w:w="1182" w:type="dxa"/>
            <w:tcBorders>
              <w:top w:val="single" w:sz="2" w:space="0" w:color="auto"/>
              <w:left w:val="single" w:sz="2" w:space="0" w:color="auto"/>
              <w:bottom w:val="single" w:sz="2" w:space="0" w:color="auto"/>
              <w:right w:val="single" w:sz="2" w:space="0" w:color="auto"/>
            </w:tcBorders>
          </w:tcPr>
          <w:p w14:paraId="709AB9EE" w14:textId="77777777" w:rsidR="009F4766" w:rsidRPr="00DE12A3" w:rsidRDefault="009F4766" w:rsidP="00C917D6">
            <w:pPr>
              <w:pStyle w:val="NormalLeft"/>
            </w:pPr>
            <w:r w:rsidRPr="00DE12A3">
              <w:t>687</w:t>
            </w:r>
          </w:p>
        </w:tc>
        <w:tc>
          <w:tcPr>
            <w:tcW w:w="2489" w:type="dxa"/>
            <w:tcBorders>
              <w:top w:val="single" w:sz="2" w:space="0" w:color="auto"/>
              <w:left w:val="single" w:sz="2" w:space="0" w:color="auto"/>
              <w:bottom w:val="single" w:sz="2" w:space="0" w:color="auto"/>
              <w:right w:val="single" w:sz="2" w:space="0" w:color="auto"/>
            </w:tcBorders>
          </w:tcPr>
          <w:p w14:paraId="7ADBC8E2" w14:textId="77777777" w:rsidR="009F4766" w:rsidRPr="00DE12A3" w:rsidRDefault="009F4766" w:rsidP="00C917D6">
            <w:pPr>
              <w:pStyle w:val="NormalLeft"/>
            </w:pPr>
            <w:r w:rsidRPr="00DE12A3">
              <w:t>98</w:t>
            </w:r>
          </w:p>
        </w:tc>
        <w:tc>
          <w:tcPr>
            <w:tcW w:w="2551" w:type="dxa"/>
            <w:tcBorders>
              <w:top w:val="single" w:sz="2" w:space="0" w:color="auto"/>
              <w:left w:val="single" w:sz="2" w:space="0" w:color="auto"/>
              <w:bottom w:val="single" w:sz="2" w:space="0" w:color="auto"/>
              <w:right w:val="single" w:sz="2" w:space="0" w:color="auto"/>
            </w:tcBorders>
          </w:tcPr>
          <w:p w14:paraId="5CB675D1" w14:textId="77777777" w:rsidR="009F4766" w:rsidRPr="00DE12A3" w:rsidRDefault="009F4766" w:rsidP="00C917D6">
            <w:pPr>
              <w:pStyle w:val="NormalLeft"/>
            </w:pPr>
            <w:r w:rsidRPr="00DE12A3">
              <w:t>68</w:t>
            </w:r>
          </w:p>
        </w:tc>
      </w:tr>
      <w:tr w:rsidR="00DE12A3" w:rsidRPr="00DE12A3" w14:paraId="22BAEB2B" w14:textId="77777777" w:rsidTr="009F4766">
        <w:tc>
          <w:tcPr>
            <w:tcW w:w="1182" w:type="dxa"/>
            <w:tcBorders>
              <w:top w:val="single" w:sz="2" w:space="0" w:color="auto"/>
              <w:left w:val="single" w:sz="2" w:space="0" w:color="auto"/>
              <w:bottom w:val="single" w:sz="2" w:space="0" w:color="auto"/>
              <w:right w:val="single" w:sz="2" w:space="0" w:color="auto"/>
            </w:tcBorders>
          </w:tcPr>
          <w:p w14:paraId="57FD760A" w14:textId="77777777" w:rsidR="009F4766" w:rsidRPr="00DE12A3" w:rsidRDefault="009F4766" w:rsidP="00C917D6">
            <w:pPr>
              <w:pStyle w:val="NormalLeft"/>
            </w:pPr>
            <w:r w:rsidRPr="00DE12A3">
              <w:t>688</w:t>
            </w:r>
          </w:p>
        </w:tc>
        <w:tc>
          <w:tcPr>
            <w:tcW w:w="2489" w:type="dxa"/>
            <w:tcBorders>
              <w:top w:val="single" w:sz="2" w:space="0" w:color="auto"/>
              <w:left w:val="single" w:sz="2" w:space="0" w:color="auto"/>
              <w:bottom w:val="single" w:sz="2" w:space="0" w:color="auto"/>
              <w:right w:val="single" w:sz="2" w:space="0" w:color="auto"/>
            </w:tcBorders>
          </w:tcPr>
          <w:p w14:paraId="31A64868" w14:textId="77777777" w:rsidR="009F4766" w:rsidRPr="00DE12A3" w:rsidRDefault="009F4766" w:rsidP="00C917D6">
            <w:pPr>
              <w:pStyle w:val="NormalLeft"/>
            </w:pPr>
            <w:r w:rsidRPr="00DE12A3">
              <w:t>98</w:t>
            </w:r>
          </w:p>
        </w:tc>
        <w:tc>
          <w:tcPr>
            <w:tcW w:w="2551" w:type="dxa"/>
            <w:tcBorders>
              <w:top w:val="single" w:sz="2" w:space="0" w:color="auto"/>
              <w:left w:val="single" w:sz="2" w:space="0" w:color="auto"/>
              <w:bottom w:val="single" w:sz="2" w:space="0" w:color="auto"/>
              <w:right w:val="single" w:sz="2" w:space="0" w:color="auto"/>
            </w:tcBorders>
          </w:tcPr>
          <w:p w14:paraId="53349166" w14:textId="77777777" w:rsidR="009F4766" w:rsidRPr="00DE12A3" w:rsidRDefault="009F4766" w:rsidP="00C917D6">
            <w:pPr>
              <w:pStyle w:val="NormalLeft"/>
            </w:pPr>
            <w:r w:rsidRPr="00DE12A3">
              <w:t>67</w:t>
            </w:r>
          </w:p>
        </w:tc>
      </w:tr>
      <w:tr w:rsidR="00DE12A3" w:rsidRPr="00DE12A3" w14:paraId="785245D6" w14:textId="77777777" w:rsidTr="009F4766">
        <w:tc>
          <w:tcPr>
            <w:tcW w:w="1182" w:type="dxa"/>
            <w:tcBorders>
              <w:top w:val="single" w:sz="2" w:space="0" w:color="auto"/>
              <w:left w:val="single" w:sz="2" w:space="0" w:color="auto"/>
              <w:bottom w:val="single" w:sz="2" w:space="0" w:color="auto"/>
              <w:right w:val="single" w:sz="2" w:space="0" w:color="auto"/>
            </w:tcBorders>
          </w:tcPr>
          <w:p w14:paraId="77DCA6C9" w14:textId="77777777" w:rsidR="009F4766" w:rsidRPr="00DE12A3" w:rsidRDefault="009F4766" w:rsidP="00C917D6">
            <w:pPr>
              <w:pStyle w:val="NormalLeft"/>
            </w:pPr>
            <w:r w:rsidRPr="00DE12A3">
              <w:t>689</w:t>
            </w:r>
          </w:p>
        </w:tc>
        <w:tc>
          <w:tcPr>
            <w:tcW w:w="2489" w:type="dxa"/>
            <w:tcBorders>
              <w:top w:val="single" w:sz="2" w:space="0" w:color="auto"/>
              <w:left w:val="single" w:sz="2" w:space="0" w:color="auto"/>
              <w:bottom w:val="single" w:sz="2" w:space="0" w:color="auto"/>
              <w:right w:val="single" w:sz="2" w:space="0" w:color="auto"/>
            </w:tcBorders>
          </w:tcPr>
          <w:p w14:paraId="66F768E0" w14:textId="77777777" w:rsidR="009F4766" w:rsidRPr="00DE12A3" w:rsidRDefault="009F4766" w:rsidP="00C917D6">
            <w:pPr>
              <w:pStyle w:val="NormalLeft"/>
            </w:pPr>
            <w:r w:rsidRPr="00DE12A3">
              <w:t>100</w:t>
            </w:r>
          </w:p>
        </w:tc>
        <w:tc>
          <w:tcPr>
            <w:tcW w:w="2551" w:type="dxa"/>
            <w:tcBorders>
              <w:top w:val="single" w:sz="2" w:space="0" w:color="auto"/>
              <w:left w:val="single" w:sz="2" w:space="0" w:color="auto"/>
              <w:bottom w:val="single" w:sz="2" w:space="0" w:color="auto"/>
              <w:right w:val="single" w:sz="2" w:space="0" w:color="auto"/>
            </w:tcBorders>
          </w:tcPr>
          <w:p w14:paraId="3C7F3CF5" w14:textId="77777777" w:rsidR="009F4766" w:rsidRPr="00DE12A3" w:rsidRDefault="009F4766" w:rsidP="00C917D6">
            <w:pPr>
              <w:pStyle w:val="NormalLeft"/>
            </w:pPr>
            <w:r w:rsidRPr="00DE12A3">
              <w:t>69</w:t>
            </w:r>
          </w:p>
        </w:tc>
      </w:tr>
      <w:tr w:rsidR="00DE12A3" w:rsidRPr="00DE12A3" w14:paraId="415126A7" w14:textId="77777777" w:rsidTr="009F4766">
        <w:tc>
          <w:tcPr>
            <w:tcW w:w="1182" w:type="dxa"/>
            <w:tcBorders>
              <w:top w:val="single" w:sz="2" w:space="0" w:color="auto"/>
              <w:left w:val="single" w:sz="2" w:space="0" w:color="auto"/>
              <w:bottom w:val="single" w:sz="2" w:space="0" w:color="auto"/>
              <w:right w:val="single" w:sz="2" w:space="0" w:color="auto"/>
            </w:tcBorders>
          </w:tcPr>
          <w:p w14:paraId="074E23D9" w14:textId="77777777" w:rsidR="009F4766" w:rsidRPr="00DE12A3" w:rsidRDefault="009F4766" w:rsidP="00C917D6">
            <w:pPr>
              <w:pStyle w:val="NormalLeft"/>
            </w:pPr>
            <w:r w:rsidRPr="00DE12A3">
              <w:t>690</w:t>
            </w:r>
          </w:p>
        </w:tc>
        <w:tc>
          <w:tcPr>
            <w:tcW w:w="2489" w:type="dxa"/>
            <w:tcBorders>
              <w:top w:val="single" w:sz="2" w:space="0" w:color="auto"/>
              <w:left w:val="single" w:sz="2" w:space="0" w:color="auto"/>
              <w:bottom w:val="single" w:sz="2" w:space="0" w:color="auto"/>
              <w:right w:val="single" w:sz="2" w:space="0" w:color="auto"/>
            </w:tcBorders>
          </w:tcPr>
          <w:p w14:paraId="5BC1EE1C" w14:textId="77777777" w:rsidR="009F4766" w:rsidRPr="00DE12A3" w:rsidRDefault="009F4766" w:rsidP="00C917D6">
            <w:pPr>
              <w:pStyle w:val="NormalLeft"/>
            </w:pPr>
            <w:r w:rsidRPr="00DE12A3">
              <w:t>99</w:t>
            </w:r>
          </w:p>
        </w:tc>
        <w:tc>
          <w:tcPr>
            <w:tcW w:w="2551" w:type="dxa"/>
            <w:tcBorders>
              <w:top w:val="single" w:sz="2" w:space="0" w:color="auto"/>
              <w:left w:val="single" w:sz="2" w:space="0" w:color="auto"/>
              <w:bottom w:val="single" w:sz="2" w:space="0" w:color="auto"/>
              <w:right w:val="single" w:sz="2" w:space="0" w:color="auto"/>
            </w:tcBorders>
          </w:tcPr>
          <w:p w14:paraId="39D87D71" w14:textId="77777777" w:rsidR="009F4766" w:rsidRPr="00DE12A3" w:rsidRDefault="009F4766" w:rsidP="00C917D6">
            <w:pPr>
              <w:pStyle w:val="NormalLeft"/>
            </w:pPr>
            <w:r w:rsidRPr="00DE12A3">
              <w:t>68</w:t>
            </w:r>
          </w:p>
        </w:tc>
      </w:tr>
      <w:tr w:rsidR="00DE12A3" w:rsidRPr="00DE12A3" w14:paraId="4AF2947D" w14:textId="77777777" w:rsidTr="009F4766">
        <w:tc>
          <w:tcPr>
            <w:tcW w:w="1182" w:type="dxa"/>
            <w:tcBorders>
              <w:top w:val="single" w:sz="2" w:space="0" w:color="auto"/>
              <w:left w:val="single" w:sz="2" w:space="0" w:color="auto"/>
              <w:bottom w:val="single" w:sz="2" w:space="0" w:color="auto"/>
              <w:right w:val="single" w:sz="2" w:space="0" w:color="auto"/>
            </w:tcBorders>
          </w:tcPr>
          <w:p w14:paraId="61449CE6" w14:textId="77777777" w:rsidR="009F4766" w:rsidRPr="00DE12A3" w:rsidRDefault="009F4766" w:rsidP="00C917D6">
            <w:pPr>
              <w:pStyle w:val="NormalLeft"/>
            </w:pPr>
            <w:r w:rsidRPr="00DE12A3">
              <w:t>691</w:t>
            </w:r>
          </w:p>
        </w:tc>
        <w:tc>
          <w:tcPr>
            <w:tcW w:w="2489" w:type="dxa"/>
            <w:tcBorders>
              <w:top w:val="single" w:sz="2" w:space="0" w:color="auto"/>
              <w:left w:val="single" w:sz="2" w:space="0" w:color="auto"/>
              <w:bottom w:val="single" w:sz="2" w:space="0" w:color="auto"/>
              <w:right w:val="single" w:sz="2" w:space="0" w:color="auto"/>
            </w:tcBorders>
          </w:tcPr>
          <w:p w14:paraId="2044014B" w14:textId="77777777" w:rsidR="009F4766" w:rsidRPr="00DE12A3" w:rsidRDefault="009F4766" w:rsidP="00C917D6">
            <w:pPr>
              <w:pStyle w:val="NormalLeft"/>
            </w:pPr>
            <w:r w:rsidRPr="00DE12A3">
              <w:t>100</w:t>
            </w:r>
          </w:p>
        </w:tc>
        <w:tc>
          <w:tcPr>
            <w:tcW w:w="2551" w:type="dxa"/>
            <w:tcBorders>
              <w:top w:val="single" w:sz="2" w:space="0" w:color="auto"/>
              <w:left w:val="single" w:sz="2" w:space="0" w:color="auto"/>
              <w:bottom w:val="single" w:sz="2" w:space="0" w:color="auto"/>
              <w:right w:val="single" w:sz="2" w:space="0" w:color="auto"/>
            </w:tcBorders>
          </w:tcPr>
          <w:p w14:paraId="6BF256A3" w14:textId="77777777" w:rsidR="009F4766" w:rsidRPr="00DE12A3" w:rsidRDefault="009F4766" w:rsidP="00C917D6">
            <w:pPr>
              <w:pStyle w:val="NormalLeft"/>
            </w:pPr>
            <w:r w:rsidRPr="00DE12A3">
              <w:t>71</w:t>
            </w:r>
          </w:p>
        </w:tc>
      </w:tr>
      <w:tr w:rsidR="00DE12A3" w:rsidRPr="00DE12A3" w14:paraId="35552F59" w14:textId="77777777" w:rsidTr="009F4766">
        <w:tc>
          <w:tcPr>
            <w:tcW w:w="1182" w:type="dxa"/>
            <w:tcBorders>
              <w:top w:val="single" w:sz="2" w:space="0" w:color="auto"/>
              <w:left w:val="single" w:sz="2" w:space="0" w:color="auto"/>
              <w:bottom w:val="single" w:sz="2" w:space="0" w:color="auto"/>
              <w:right w:val="single" w:sz="2" w:space="0" w:color="auto"/>
            </w:tcBorders>
          </w:tcPr>
          <w:p w14:paraId="57376131" w14:textId="77777777" w:rsidR="009F4766" w:rsidRPr="00DE12A3" w:rsidRDefault="009F4766" w:rsidP="00C917D6">
            <w:pPr>
              <w:pStyle w:val="NormalLeft"/>
            </w:pPr>
            <w:r w:rsidRPr="00DE12A3">
              <w:lastRenderedPageBreak/>
              <w:t>692</w:t>
            </w:r>
          </w:p>
        </w:tc>
        <w:tc>
          <w:tcPr>
            <w:tcW w:w="2489" w:type="dxa"/>
            <w:tcBorders>
              <w:top w:val="single" w:sz="2" w:space="0" w:color="auto"/>
              <w:left w:val="single" w:sz="2" w:space="0" w:color="auto"/>
              <w:bottom w:val="single" w:sz="2" w:space="0" w:color="auto"/>
              <w:right w:val="single" w:sz="2" w:space="0" w:color="auto"/>
            </w:tcBorders>
          </w:tcPr>
          <w:p w14:paraId="02987038" w14:textId="77777777" w:rsidR="009F4766" w:rsidRPr="00DE12A3" w:rsidRDefault="009F4766" w:rsidP="00C917D6">
            <w:pPr>
              <w:pStyle w:val="NormalLeft"/>
            </w:pPr>
            <w:r w:rsidRPr="00DE12A3">
              <w:t>99</w:t>
            </w:r>
          </w:p>
        </w:tc>
        <w:tc>
          <w:tcPr>
            <w:tcW w:w="2551" w:type="dxa"/>
            <w:tcBorders>
              <w:top w:val="single" w:sz="2" w:space="0" w:color="auto"/>
              <w:left w:val="single" w:sz="2" w:space="0" w:color="auto"/>
              <w:bottom w:val="single" w:sz="2" w:space="0" w:color="auto"/>
              <w:right w:val="single" w:sz="2" w:space="0" w:color="auto"/>
            </w:tcBorders>
          </w:tcPr>
          <w:p w14:paraId="2D15B889" w14:textId="77777777" w:rsidR="009F4766" w:rsidRPr="00DE12A3" w:rsidRDefault="009F4766" w:rsidP="00C917D6">
            <w:pPr>
              <w:pStyle w:val="NormalLeft"/>
            </w:pPr>
            <w:r w:rsidRPr="00DE12A3">
              <w:t>68</w:t>
            </w:r>
          </w:p>
        </w:tc>
      </w:tr>
      <w:tr w:rsidR="00DE12A3" w:rsidRPr="00DE12A3" w14:paraId="7F0707C0" w14:textId="77777777" w:rsidTr="009F4766">
        <w:tc>
          <w:tcPr>
            <w:tcW w:w="1182" w:type="dxa"/>
            <w:tcBorders>
              <w:top w:val="single" w:sz="2" w:space="0" w:color="auto"/>
              <w:left w:val="single" w:sz="2" w:space="0" w:color="auto"/>
              <w:bottom w:val="single" w:sz="2" w:space="0" w:color="auto"/>
              <w:right w:val="single" w:sz="2" w:space="0" w:color="auto"/>
            </w:tcBorders>
          </w:tcPr>
          <w:p w14:paraId="20063011" w14:textId="77777777" w:rsidR="009F4766" w:rsidRPr="00DE12A3" w:rsidRDefault="009F4766" w:rsidP="00C917D6">
            <w:pPr>
              <w:pStyle w:val="NormalLeft"/>
            </w:pPr>
            <w:r w:rsidRPr="00DE12A3">
              <w:t>693</w:t>
            </w:r>
          </w:p>
        </w:tc>
        <w:tc>
          <w:tcPr>
            <w:tcW w:w="2489" w:type="dxa"/>
            <w:tcBorders>
              <w:top w:val="single" w:sz="2" w:space="0" w:color="auto"/>
              <w:left w:val="single" w:sz="2" w:space="0" w:color="auto"/>
              <w:bottom w:val="single" w:sz="2" w:space="0" w:color="auto"/>
              <w:right w:val="single" w:sz="2" w:space="0" w:color="auto"/>
            </w:tcBorders>
          </w:tcPr>
          <w:p w14:paraId="286EC1A3" w14:textId="77777777" w:rsidR="009F4766" w:rsidRPr="00DE12A3" w:rsidRDefault="009F4766" w:rsidP="00C917D6">
            <w:pPr>
              <w:pStyle w:val="NormalLeft"/>
            </w:pPr>
            <w:r w:rsidRPr="00DE12A3">
              <w:t>100</w:t>
            </w:r>
          </w:p>
        </w:tc>
        <w:tc>
          <w:tcPr>
            <w:tcW w:w="2551" w:type="dxa"/>
            <w:tcBorders>
              <w:top w:val="single" w:sz="2" w:space="0" w:color="auto"/>
              <w:left w:val="single" w:sz="2" w:space="0" w:color="auto"/>
              <w:bottom w:val="single" w:sz="2" w:space="0" w:color="auto"/>
              <w:right w:val="single" w:sz="2" w:space="0" w:color="auto"/>
            </w:tcBorders>
          </w:tcPr>
          <w:p w14:paraId="3C074C4D" w14:textId="77777777" w:rsidR="009F4766" w:rsidRPr="00DE12A3" w:rsidRDefault="009F4766" w:rsidP="00C917D6">
            <w:pPr>
              <w:pStyle w:val="NormalLeft"/>
            </w:pPr>
            <w:r w:rsidRPr="00DE12A3">
              <w:t>69</w:t>
            </w:r>
          </w:p>
        </w:tc>
      </w:tr>
      <w:tr w:rsidR="00DE12A3" w:rsidRPr="00DE12A3" w14:paraId="469104A0" w14:textId="77777777" w:rsidTr="009F4766">
        <w:tc>
          <w:tcPr>
            <w:tcW w:w="1182" w:type="dxa"/>
            <w:tcBorders>
              <w:top w:val="single" w:sz="2" w:space="0" w:color="auto"/>
              <w:left w:val="single" w:sz="2" w:space="0" w:color="auto"/>
              <w:bottom w:val="single" w:sz="2" w:space="0" w:color="auto"/>
              <w:right w:val="single" w:sz="2" w:space="0" w:color="auto"/>
            </w:tcBorders>
          </w:tcPr>
          <w:p w14:paraId="4BC15287" w14:textId="77777777" w:rsidR="009F4766" w:rsidRPr="00DE12A3" w:rsidRDefault="009F4766" w:rsidP="00C917D6">
            <w:pPr>
              <w:pStyle w:val="NormalLeft"/>
            </w:pPr>
            <w:r w:rsidRPr="00DE12A3">
              <w:t>694</w:t>
            </w:r>
          </w:p>
        </w:tc>
        <w:tc>
          <w:tcPr>
            <w:tcW w:w="2489" w:type="dxa"/>
            <w:tcBorders>
              <w:top w:val="single" w:sz="2" w:space="0" w:color="auto"/>
              <w:left w:val="single" w:sz="2" w:space="0" w:color="auto"/>
              <w:bottom w:val="single" w:sz="2" w:space="0" w:color="auto"/>
              <w:right w:val="single" w:sz="2" w:space="0" w:color="auto"/>
            </w:tcBorders>
          </w:tcPr>
          <w:p w14:paraId="5287CF99" w14:textId="77777777" w:rsidR="009F4766" w:rsidRPr="00DE12A3" w:rsidRDefault="009F4766" w:rsidP="00C917D6">
            <w:pPr>
              <w:pStyle w:val="NormalLeft"/>
            </w:pPr>
            <w:r w:rsidRPr="00DE12A3">
              <w:t>102</w:t>
            </w:r>
          </w:p>
        </w:tc>
        <w:tc>
          <w:tcPr>
            <w:tcW w:w="2551" w:type="dxa"/>
            <w:tcBorders>
              <w:top w:val="single" w:sz="2" w:space="0" w:color="auto"/>
              <w:left w:val="single" w:sz="2" w:space="0" w:color="auto"/>
              <w:bottom w:val="single" w:sz="2" w:space="0" w:color="auto"/>
              <w:right w:val="single" w:sz="2" w:space="0" w:color="auto"/>
            </w:tcBorders>
          </w:tcPr>
          <w:p w14:paraId="3F33F028" w14:textId="77777777" w:rsidR="009F4766" w:rsidRPr="00DE12A3" w:rsidRDefault="009F4766" w:rsidP="00C917D6">
            <w:pPr>
              <w:pStyle w:val="NormalLeft"/>
            </w:pPr>
            <w:r w:rsidRPr="00DE12A3">
              <w:t>72</w:t>
            </w:r>
          </w:p>
        </w:tc>
      </w:tr>
      <w:tr w:rsidR="00DE12A3" w:rsidRPr="00DE12A3" w14:paraId="6F104CCE" w14:textId="77777777" w:rsidTr="009F4766">
        <w:tc>
          <w:tcPr>
            <w:tcW w:w="1182" w:type="dxa"/>
            <w:tcBorders>
              <w:top w:val="single" w:sz="2" w:space="0" w:color="auto"/>
              <w:left w:val="single" w:sz="2" w:space="0" w:color="auto"/>
              <w:bottom w:val="single" w:sz="2" w:space="0" w:color="auto"/>
              <w:right w:val="single" w:sz="2" w:space="0" w:color="auto"/>
            </w:tcBorders>
          </w:tcPr>
          <w:p w14:paraId="446B3CA6" w14:textId="77777777" w:rsidR="009F4766" w:rsidRPr="00DE12A3" w:rsidRDefault="009F4766" w:rsidP="00C917D6">
            <w:pPr>
              <w:pStyle w:val="NormalLeft"/>
            </w:pPr>
            <w:r w:rsidRPr="00DE12A3">
              <w:t>695</w:t>
            </w:r>
          </w:p>
        </w:tc>
        <w:tc>
          <w:tcPr>
            <w:tcW w:w="2489" w:type="dxa"/>
            <w:tcBorders>
              <w:top w:val="single" w:sz="2" w:space="0" w:color="auto"/>
              <w:left w:val="single" w:sz="2" w:space="0" w:color="auto"/>
              <w:bottom w:val="single" w:sz="2" w:space="0" w:color="auto"/>
              <w:right w:val="single" w:sz="2" w:space="0" w:color="auto"/>
            </w:tcBorders>
          </w:tcPr>
          <w:p w14:paraId="610293EE" w14:textId="77777777" w:rsidR="009F4766" w:rsidRPr="00DE12A3" w:rsidRDefault="009F4766" w:rsidP="00C917D6">
            <w:pPr>
              <w:pStyle w:val="NormalLeft"/>
            </w:pPr>
            <w:r w:rsidRPr="00DE12A3">
              <w:t>101</w:t>
            </w:r>
          </w:p>
        </w:tc>
        <w:tc>
          <w:tcPr>
            <w:tcW w:w="2551" w:type="dxa"/>
            <w:tcBorders>
              <w:top w:val="single" w:sz="2" w:space="0" w:color="auto"/>
              <w:left w:val="single" w:sz="2" w:space="0" w:color="auto"/>
              <w:bottom w:val="single" w:sz="2" w:space="0" w:color="auto"/>
              <w:right w:val="single" w:sz="2" w:space="0" w:color="auto"/>
            </w:tcBorders>
          </w:tcPr>
          <w:p w14:paraId="3AF1F351" w14:textId="77777777" w:rsidR="009F4766" w:rsidRPr="00DE12A3" w:rsidRDefault="009F4766" w:rsidP="00C917D6">
            <w:pPr>
              <w:pStyle w:val="NormalLeft"/>
            </w:pPr>
            <w:r w:rsidRPr="00DE12A3">
              <w:t>69</w:t>
            </w:r>
          </w:p>
        </w:tc>
      </w:tr>
      <w:tr w:rsidR="00DE12A3" w:rsidRPr="00DE12A3" w14:paraId="56334E47" w14:textId="77777777" w:rsidTr="009F4766">
        <w:tc>
          <w:tcPr>
            <w:tcW w:w="1182" w:type="dxa"/>
            <w:tcBorders>
              <w:top w:val="single" w:sz="2" w:space="0" w:color="auto"/>
              <w:left w:val="single" w:sz="2" w:space="0" w:color="auto"/>
              <w:bottom w:val="single" w:sz="2" w:space="0" w:color="auto"/>
              <w:right w:val="single" w:sz="2" w:space="0" w:color="auto"/>
            </w:tcBorders>
          </w:tcPr>
          <w:p w14:paraId="5F5F67A1" w14:textId="77777777" w:rsidR="009F4766" w:rsidRPr="00DE12A3" w:rsidRDefault="009F4766" w:rsidP="00C917D6">
            <w:pPr>
              <w:pStyle w:val="NormalLeft"/>
            </w:pPr>
            <w:r w:rsidRPr="00DE12A3">
              <w:t>696</w:t>
            </w:r>
          </w:p>
        </w:tc>
        <w:tc>
          <w:tcPr>
            <w:tcW w:w="2489" w:type="dxa"/>
            <w:tcBorders>
              <w:top w:val="single" w:sz="2" w:space="0" w:color="auto"/>
              <w:left w:val="single" w:sz="2" w:space="0" w:color="auto"/>
              <w:bottom w:val="single" w:sz="2" w:space="0" w:color="auto"/>
              <w:right w:val="single" w:sz="2" w:space="0" w:color="auto"/>
            </w:tcBorders>
          </w:tcPr>
          <w:p w14:paraId="6A1781CC" w14:textId="77777777" w:rsidR="009F4766" w:rsidRPr="00DE12A3" w:rsidRDefault="009F4766" w:rsidP="00C917D6">
            <w:pPr>
              <w:pStyle w:val="NormalLeft"/>
            </w:pPr>
            <w:r w:rsidRPr="00DE12A3">
              <w:t>100</w:t>
            </w:r>
          </w:p>
        </w:tc>
        <w:tc>
          <w:tcPr>
            <w:tcW w:w="2551" w:type="dxa"/>
            <w:tcBorders>
              <w:top w:val="single" w:sz="2" w:space="0" w:color="auto"/>
              <w:left w:val="single" w:sz="2" w:space="0" w:color="auto"/>
              <w:bottom w:val="single" w:sz="2" w:space="0" w:color="auto"/>
              <w:right w:val="single" w:sz="2" w:space="0" w:color="auto"/>
            </w:tcBorders>
          </w:tcPr>
          <w:p w14:paraId="22DB680C" w14:textId="77777777" w:rsidR="009F4766" w:rsidRPr="00DE12A3" w:rsidRDefault="009F4766" w:rsidP="00C917D6">
            <w:pPr>
              <w:pStyle w:val="NormalLeft"/>
            </w:pPr>
            <w:r w:rsidRPr="00DE12A3">
              <w:t>69</w:t>
            </w:r>
          </w:p>
        </w:tc>
      </w:tr>
      <w:tr w:rsidR="00DE12A3" w:rsidRPr="00DE12A3" w14:paraId="51E16824" w14:textId="77777777" w:rsidTr="009F4766">
        <w:tc>
          <w:tcPr>
            <w:tcW w:w="1182" w:type="dxa"/>
            <w:tcBorders>
              <w:top w:val="single" w:sz="2" w:space="0" w:color="auto"/>
              <w:left w:val="single" w:sz="2" w:space="0" w:color="auto"/>
              <w:bottom w:val="single" w:sz="2" w:space="0" w:color="auto"/>
              <w:right w:val="single" w:sz="2" w:space="0" w:color="auto"/>
            </w:tcBorders>
          </w:tcPr>
          <w:p w14:paraId="094EE34C" w14:textId="77777777" w:rsidR="009F4766" w:rsidRPr="00DE12A3" w:rsidRDefault="009F4766" w:rsidP="00C917D6">
            <w:pPr>
              <w:pStyle w:val="NormalLeft"/>
            </w:pPr>
            <w:r w:rsidRPr="00DE12A3">
              <w:t>697</w:t>
            </w:r>
          </w:p>
        </w:tc>
        <w:tc>
          <w:tcPr>
            <w:tcW w:w="2489" w:type="dxa"/>
            <w:tcBorders>
              <w:top w:val="single" w:sz="2" w:space="0" w:color="auto"/>
              <w:left w:val="single" w:sz="2" w:space="0" w:color="auto"/>
              <w:bottom w:val="single" w:sz="2" w:space="0" w:color="auto"/>
              <w:right w:val="single" w:sz="2" w:space="0" w:color="auto"/>
            </w:tcBorders>
          </w:tcPr>
          <w:p w14:paraId="3272847F" w14:textId="77777777" w:rsidR="009F4766" w:rsidRPr="00DE12A3" w:rsidRDefault="009F4766" w:rsidP="00C917D6">
            <w:pPr>
              <w:pStyle w:val="NormalLeft"/>
            </w:pPr>
            <w:r w:rsidRPr="00DE12A3">
              <w:t>102</w:t>
            </w:r>
          </w:p>
        </w:tc>
        <w:tc>
          <w:tcPr>
            <w:tcW w:w="2551" w:type="dxa"/>
            <w:tcBorders>
              <w:top w:val="single" w:sz="2" w:space="0" w:color="auto"/>
              <w:left w:val="single" w:sz="2" w:space="0" w:color="auto"/>
              <w:bottom w:val="single" w:sz="2" w:space="0" w:color="auto"/>
              <w:right w:val="single" w:sz="2" w:space="0" w:color="auto"/>
            </w:tcBorders>
          </w:tcPr>
          <w:p w14:paraId="6E51C437" w14:textId="77777777" w:rsidR="009F4766" w:rsidRPr="00DE12A3" w:rsidRDefault="009F4766" w:rsidP="00C917D6">
            <w:pPr>
              <w:pStyle w:val="NormalLeft"/>
            </w:pPr>
            <w:r w:rsidRPr="00DE12A3">
              <w:t>71</w:t>
            </w:r>
          </w:p>
        </w:tc>
      </w:tr>
      <w:tr w:rsidR="00DE12A3" w:rsidRPr="00DE12A3" w14:paraId="7ECF04E6" w14:textId="77777777" w:rsidTr="009F4766">
        <w:tc>
          <w:tcPr>
            <w:tcW w:w="1182" w:type="dxa"/>
            <w:tcBorders>
              <w:top w:val="single" w:sz="2" w:space="0" w:color="auto"/>
              <w:left w:val="single" w:sz="2" w:space="0" w:color="auto"/>
              <w:bottom w:val="single" w:sz="2" w:space="0" w:color="auto"/>
              <w:right w:val="single" w:sz="2" w:space="0" w:color="auto"/>
            </w:tcBorders>
          </w:tcPr>
          <w:p w14:paraId="4F651826" w14:textId="77777777" w:rsidR="009F4766" w:rsidRPr="00DE12A3" w:rsidRDefault="009F4766" w:rsidP="00C917D6">
            <w:pPr>
              <w:pStyle w:val="NormalLeft"/>
            </w:pPr>
            <w:r w:rsidRPr="00DE12A3">
              <w:t>698</w:t>
            </w:r>
          </w:p>
        </w:tc>
        <w:tc>
          <w:tcPr>
            <w:tcW w:w="2489" w:type="dxa"/>
            <w:tcBorders>
              <w:top w:val="single" w:sz="2" w:space="0" w:color="auto"/>
              <w:left w:val="single" w:sz="2" w:space="0" w:color="auto"/>
              <w:bottom w:val="single" w:sz="2" w:space="0" w:color="auto"/>
              <w:right w:val="single" w:sz="2" w:space="0" w:color="auto"/>
            </w:tcBorders>
          </w:tcPr>
          <w:p w14:paraId="745C594C" w14:textId="77777777" w:rsidR="009F4766" w:rsidRPr="00DE12A3" w:rsidRDefault="009F4766" w:rsidP="00C917D6">
            <w:pPr>
              <w:pStyle w:val="NormalLeft"/>
            </w:pPr>
            <w:r w:rsidRPr="00DE12A3">
              <w:t>102</w:t>
            </w:r>
          </w:p>
        </w:tc>
        <w:tc>
          <w:tcPr>
            <w:tcW w:w="2551" w:type="dxa"/>
            <w:tcBorders>
              <w:top w:val="single" w:sz="2" w:space="0" w:color="auto"/>
              <w:left w:val="single" w:sz="2" w:space="0" w:color="auto"/>
              <w:bottom w:val="single" w:sz="2" w:space="0" w:color="auto"/>
              <w:right w:val="single" w:sz="2" w:space="0" w:color="auto"/>
            </w:tcBorders>
          </w:tcPr>
          <w:p w14:paraId="15DA9D3E" w14:textId="77777777" w:rsidR="009F4766" w:rsidRPr="00DE12A3" w:rsidRDefault="009F4766" w:rsidP="00C917D6">
            <w:pPr>
              <w:pStyle w:val="NormalLeft"/>
            </w:pPr>
            <w:r w:rsidRPr="00DE12A3">
              <w:t>71</w:t>
            </w:r>
          </w:p>
        </w:tc>
      </w:tr>
      <w:tr w:rsidR="00DE12A3" w:rsidRPr="00DE12A3" w14:paraId="761F4B25" w14:textId="77777777" w:rsidTr="009F4766">
        <w:tc>
          <w:tcPr>
            <w:tcW w:w="1182" w:type="dxa"/>
            <w:tcBorders>
              <w:top w:val="single" w:sz="2" w:space="0" w:color="auto"/>
              <w:left w:val="single" w:sz="2" w:space="0" w:color="auto"/>
              <w:bottom w:val="single" w:sz="2" w:space="0" w:color="auto"/>
              <w:right w:val="single" w:sz="2" w:space="0" w:color="auto"/>
            </w:tcBorders>
          </w:tcPr>
          <w:p w14:paraId="66FBE04A" w14:textId="77777777" w:rsidR="009F4766" w:rsidRPr="00DE12A3" w:rsidRDefault="009F4766" w:rsidP="00C917D6">
            <w:pPr>
              <w:pStyle w:val="NormalLeft"/>
            </w:pPr>
            <w:r w:rsidRPr="00DE12A3">
              <w:t>699</w:t>
            </w:r>
          </w:p>
        </w:tc>
        <w:tc>
          <w:tcPr>
            <w:tcW w:w="2489" w:type="dxa"/>
            <w:tcBorders>
              <w:top w:val="single" w:sz="2" w:space="0" w:color="auto"/>
              <w:left w:val="single" w:sz="2" w:space="0" w:color="auto"/>
              <w:bottom w:val="single" w:sz="2" w:space="0" w:color="auto"/>
              <w:right w:val="single" w:sz="2" w:space="0" w:color="auto"/>
            </w:tcBorders>
          </w:tcPr>
          <w:p w14:paraId="67D87715" w14:textId="77777777" w:rsidR="009F4766" w:rsidRPr="00DE12A3" w:rsidRDefault="009F4766" w:rsidP="00C917D6">
            <w:pPr>
              <w:pStyle w:val="NormalLeft"/>
            </w:pPr>
            <w:r w:rsidRPr="00DE12A3">
              <w:t>102</w:t>
            </w:r>
          </w:p>
        </w:tc>
        <w:tc>
          <w:tcPr>
            <w:tcW w:w="2551" w:type="dxa"/>
            <w:tcBorders>
              <w:top w:val="single" w:sz="2" w:space="0" w:color="auto"/>
              <w:left w:val="single" w:sz="2" w:space="0" w:color="auto"/>
              <w:bottom w:val="single" w:sz="2" w:space="0" w:color="auto"/>
              <w:right w:val="single" w:sz="2" w:space="0" w:color="auto"/>
            </w:tcBorders>
          </w:tcPr>
          <w:p w14:paraId="765D58A9" w14:textId="77777777" w:rsidR="009F4766" w:rsidRPr="00DE12A3" w:rsidRDefault="009F4766" w:rsidP="00C917D6">
            <w:pPr>
              <w:pStyle w:val="NormalLeft"/>
            </w:pPr>
            <w:r w:rsidRPr="00DE12A3">
              <w:t>69</w:t>
            </w:r>
          </w:p>
        </w:tc>
      </w:tr>
      <w:tr w:rsidR="00DE12A3" w:rsidRPr="00DE12A3" w14:paraId="08B9437E" w14:textId="77777777" w:rsidTr="009F4766">
        <w:tc>
          <w:tcPr>
            <w:tcW w:w="1182" w:type="dxa"/>
            <w:tcBorders>
              <w:top w:val="single" w:sz="2" w:space="0" w:color="auto"/>
              <w:left w:val="single" w:sz="2" w:space="0" w:color="auto"/>
              <w:bottom w:val="single" w:sz="2" w:space="0" w:color="auto"/>
              <w:right w:val="single" w:sz="2" w:space="0" w:color="auto"/>
            </w:tcBorders>
          </w:tcPr>
          <w:p w14:paraId="2992BF1B" w14:textId="77777777" w:rsidR="009F4766" w:rsidRPr="00DE12A3" w:rsidRDefault="009F4766" w:rsidP="00C917D6">
            <w:pPr>
              <w:pStyle w:val="NormalLeft"/>
            </w:pPr>
            <w:r w:rsidRPr="00DE12A3">
              <w:t>700</w:t>
            </w:r>
          </w:p>
        </w:tc>
        <w:tc>
          <w:tcPr>
            <w:tcW w:w="2489" w:type="dxa"/>
            <w:tcBorders>
              <w:top w:val="single" w:sz="2" w:space="0" w:color="auto"/>
              <w:left w:val="single" w:sz="2" w:space="0" w:color="auto"/>
              <w:bottom w:val="single" w:sz="2" w:space="0" w:color="auto"/>
              <w:right w:val="single" w:sz="2" w:space="0" w:color="auto"/>
            </w:tcBorders>
          </w:tcPr>
          <w:p w14:paraId="7DBA419A" w14:textId="77777777" w:rsidR="009F4766" w:rsidRPr="00DE12A3" w:rsidRDefault="009F4766" w:rsidP="00C917D6">
            <w:pPr>
              <w:pStyle w:val="NormalLeft"/>
            </w:pPr>
            <w:r w:rsidRPr="00DE12A3">
              <w:t>102</w:t>
            </w:r>
          </w:p>
        </w:tc>
        <w:tc>
          <w:tcPr>
            <w:tcW w:w="2551" w:type="dxa"/>
            <w:tcBorders>
              <w:top w:val="single" w:sz="2" w:space="0" w:color="auto"/>
              <w:left w:val="single" w:sz="2" w:space="0" w:color="auto"/>
              <w:bottom w:val="single" w:sz="2" w:space="0" w:color="auto"/>
              <w:right w:val="single" w:sz="2" w:space="0" w:color="auto"/>
            </w:tcBorders>
          </w:tcPr>
          <w:p w14:paraId="6D73A621" w14:textId="77777777" w:rsidR="009F4766" w:rsidRPr="00DE12A3" w:rsidRDefault="009F4766" w:rsidP="00C917D6">
            <w:pPr>
              <w:pStyle w:val="NormalLeft"/>
            </w:pPr>
            <w:r w:rsidRPr="00DE12A3">
              <w:t>71</w:t>
            </w:r>
          </w:p>
        </w:tc>
      </w:tr>
      <w:tr w:rsidR="00DE12A3" w:rsidRPr="00DE12A3" w14:paraId="25F6C224" w14:textId="77777777" w:rsidTr="009F4766">
        <w:tc>
          <w:tcPr>
            <w:tcW w:w="1182" w:type="dxa"/>
            <w:tcBorders>
              <w:top w:val="single" w:sz="2" w:space="0" w:color="auto"/>
              <w:left w:val="single" w:sz="2" w:space="0" w:color="auto"/>
              <w:bottom w:val="single" w:sz="2" w:space="0" w:color="auto"/>
              <w:right w:val="single" w:sz="2" w:space="0" w:color="auto"/>
            </w:tcBorders>
          </w:tcPr>
          <w:p w14:paraId="465EE3DB" w14:textId="77777777" w:rsidR="009F4766" w:rsidRPr="00DE12A3" w:rsidRDefault="009F4766" w:rsidP="00C917D6">
            <w:pPr>
              <w:pStyle w:val="NormalLeft"/>
            </w:pPr>
            <w:r w:rsidRPr="00DE12A3">
              <w:t>701</w:t>
            </w:r>
          </w:p>
        </w:tc>
        <w:tc>
          <w:tcPr>
            <w:tcW w:w="2489" w:type="dxa"/>
            <w:tcBorders>
              <w:top w:val="single" w:sz="2" w:space="0" w:color="auto"/>
              <w:left w:val="single" w:sz="2" w:space="0" w:color="auto"/>
              <w:bottom w:val="single" w:sz="2" w:space="0" w:color="auto"/>
              <w:right w:val="single" w:sz="2" w:space="0" w:color="auto"/>
            </w:tcBorders>
          </w:tcPr>
          <w:p w14:paraId="41583368" w14:textId="77777777" w:rsidR="009F4766" w:rsidRPr="00DE12A3" w:rsidRDefault="009F4766" w:rsidP="00C917D6">
            <w:pPr>
              <w:pStyle w:val="NormalLeft"/>
            </w:pPr>
            <w:r w:rsidRPr="00DE12A3">
              <w:t>102</w:t>
            </w:r>
          </w:p>
        </w:tc>
        <w:tc>
          <w:tcPr>
            <w:tcW w:w="2551" w:type="dxa"/>
            <w:tcBorders>
              <w:top w:val="single" w:sz="2" w:space="0" w:color="auto"/>
              <w:left w:val="single" w:sz="2" w:space="0" w:color="auto"/>
              <w:bottom w:val="single" w:sz="2" w:space="0" w:color="auto"/>
              <w:right w:val="single" w:sz="2" w:space="0" w:color="auto"/>
            </w:tcBorders>
          </w:tcPr>
          <w:p w14:paraId="6FB8F75E" w14:textId="77777777" w:rsidR="009F4766" w:rsidRPr="00DE12A3" w:rsidRDefault="009F4766" w:rsidP="00C917D6">
            <w:pPr>
              <w:pStyle w:val="NormalLeft"/>
            </w:pPr>
            <w:r w:rsidRPr="00DE12A3">
              <w:t>68</w:t>
            </w:r>
          </w:p>
        </w:tc>
      </w:tr>
      <w:tr w:rsidR="00DE12A3" w:rsidRPr="00DE12A3" w14:paraId="73C5A744" w14:textId="77777777" w:rsidTr="009F4766">
        <w:tc>
          <w:tcPr>
            <w:tcW w:w="1182" w:type="dxa"/>
            <w:tcBorders>
              <w:top w:val="single" w:sz="2" w:space="0" w:color="auto"/>
              <w:left w:val="single" w:sz="2" w:space="0" w:color="auto"/>
              <w:bottom w:val="single" w:sz="2" w:space="0" w:color="auto"/>
              <w:right w:val="single" w:sz="2" w:space="0" w:color="auto"/>
            </w:tcBorders>
          </w:tcPr>
          <w:p w14:paraId="0682B5A0" w14:textId="77777777" w:rsidR="009F4766" w:rsidRPr="00DE12A3" w:rsidRDefault="009F4766" w:rsidP="00C917D6">
            <w:pPr>
              <w:pStyle w:val="NormalLeft"/>
            </w:pPr>
            <w:r w:rsidRPr="00DE12A3">
              <w:t>702</w:t>
            </w:r>
          </w:p>
        </w:tc>
        <w:tc>
          <w:tcPr>
            <w:tcW w:w="2489" w:type="dxa"/>
            <w:tcBorders>
              <w:top w:val="single" w:sz="2" w:space="0" w:color="auto"/>
              <w:left w:val="single" w:sz="2" w:space="0" w:color="auto"/>
              <w:bottom w:val="single" w:sz="2" w:space="0" w:color="auto"/>
              <w:right w:val="single" w:sz="2" w:space="0" w:color="auto"/>
            </w:tcBorders>
          </w:tcPr>
          <w:p w14:paraId="5F7E66BB" w14:textId="77777777" w:rsidR="009F4766" w:rsidRPr="00DE12A3" w:rsidRDefault="009F4766" w:rsidP="00C917D6">
            <w:pPr>
              <w:pStyle w:val="NormalLeft"/>
            </w:pPr>
            <w:r w:rsidRPr="00DE12A3">
              <w:t>100</w:t>
            </w:r>
          </w:p>
        </w:tc>
        <w:tc>
          <w:tcPr>
            <w:tcW w:w="2551" w:type="dxa"/>
            <w:tcBorders>
              <w:top w:val="single" w:sz="2" w:space="0" w:color="auto"/>
              <w:left w:val="single" w:sz="2" w:space="0" w:color="auto"/>
              <w:bottom w:val="single" w:sz="2" w:space="0" w:color="auto"/>
              <w:right w:val="single" w:sz="2" w:space="0" w:color="auto"/>
            </w:tcBorders>
          </w:tcPr>
          <w:p w14:paraId="0F380933" w14:textId="77777777" w:rsidR="009F4766" w:rsidRPr="00DE12A3" w:rsidRDefault="009F4766" w:rsidP="00C917D6">
            <w:pPr>
              <w:pStyle w:val="NormalLeft"/>
            </w:pPr>
            <w:r w:rsidRPr="00DE12A3">
              <w:t>69</w:t>
            </w:r>
          </w:p>
        </w:tc>
      </w:tr>
      <w:tr w:rsidR="00DE12A3" w:rsidRPr="00DE12A3" w14:paraId="59CE9A6C" w14:textId="77777777" w:rsidTr="009F4766">
        <w:tc>
          <w:tcPr>
            <w:tcW w:w="1182" w:type="dxa"/>
            <w:tcBorders>
              <w:top w:val="single" w:sz="2" w:space="0" w:color="auto"/>
              <w:left w:val="single" w:sz="2" w:space="0" w:color="auto"/>
              <w:bottom w:val="single" w:sz="2" w:space="0" w:color="auto"/>
              <w:right w:val="single" w:sz="2" w:space="0" w:color="auto"/>
            </w:tcBorders>
          </w:tcPr>
          <w:p w14:paraId="00AECF52" w14:textId="77777777" w:rsidR="009F4766" w:rsidRPr="00DE12A3" w:rsidRDefault="009F4766" w:rsidP="00C917D6">
            <w:pPr>
              <w:pStyle w:val="NormalLeft"/>
            </w:pPr>
            <w:r w:rsidRPr="00DE12A3">
              <w:t>703</w:t>
            </w:r>
          </w:p>
        </w:tc>
        <w:tc>
          <w:tcPr>
            <w:tcW w:w="2489" w:type="dxa"/>
            <w:tcBorders>
              <w:top w:val="single" w:sz="2" w:space="0" w:color="auto"/>
              <w:left w:val="single" w:sz="2" w:space="0" w:color="auto"/>
              <w:bottom w:val="single" w:sz="2" w:space="0" w:color="auto"/>
              <w:right w:val="single" w:sz="2" w:space="0" w:color="auto"/>
            </w:tcBorders>
          </w:tcPr>
          <w:p w14:paraId="4D543AC1" w14:textId="77777777" w:rsidR="009F4766" w:rsidRPr="00DE12A3" w:rsidRDefault="009F4766" w:rsidP="00C917D6">
            <w:pPr>
              <w:pStyle w:val="NormalLeft"/>
            </w:pPr>
            <w:r w:rsidRPr="00DE12A3">
              <w:t>102</w:t>
            </w:r>
          </w:p>
        </w:tc>
        <w:tc>
          <w:tcPr>
            <w:tcW w:w="2551" w:type="dxa"/>
            <w:tcBorders>
              <w:top w:val="single" w:sz="2" w:space="0" w:color="auto"/>
              <w:left w:val="single" w:sz="2" w:space="0" w:color="auto"/>
              <w:bottom w:val="single" w:sz="2" w:space="0" w:color="auto"/>
              <w:right w:val="single" w:sz="2" w:space="0" w:color="auto"/>
            </w:tcBorders>
          </w:tcPr>
          <w:p w14:paraId="335EE046" w14:textId="77777777" w:rsidR="009F4766" w:rsidRPr="00DE12A3" w:rsidRDefault="009F4766" w:rsidP="00C917D6">
            <w:pPr>
              <w:pStyle w:val="NormalLeft"/>
            </w:pPr>
            <w:r w:rsidRPr="00DE12A3">
              <w:t>70</w:t>
            </w:r>
          </w:p>
        </w:tc>
      </w:tr>
      <w:tr w:rsidR="00DE12A3" w:rsidRPr="00DE12A3" w14:paraId="2910CBF8" w14:textId="77777777" w:rsidTr="009F4766">
        <w:tc>
          <w:tcPr>
            <w:tcW w:w="1182" w:type="dxa"/>
            <w:tcBorders>
              <w:top w:val="single" w:sz="2" w:space="0" w:color="auto"/>
              <w:left w:val="single" w:sz="2" w:space="0" w:color="auto"/>
              <w:bottom w:val="single" w:sz="2" w:space="0" w:color="auto"/>
              <w:right w:val="single" w:sz="2" w:space="0" w:color="auto"/>
            </w:tcBorders>
          </w:tcPr>
          <w:p w14:paraId="6606F587" w14:textId="77777777" w:rsidR="009F4766" w:rsidRPr="00DE12A3" w:rsidRDefault="009F4766" w:rsidP="00C917D6">
            <w:pPr>
              <w:pStyle w:val="NormalLeft"/>
            </w:pPr>
            <w:r w:rsidRPr="00DE12A3">
              <w:t>704</w:t>
            </w:r>
          </w:p>
        </w:tc>
        <w:tc>
          <w:tcPr>
            <w:tcW w:w="2489" w:type="dxa"/>
            <w:tcBorders>
              <w:top w:val="single" w:sz="2" w:space="0" w:color="auto"/>
              <w:left w:val="single" w:sz="2" w:space="0" w:color="auto"/>
              <w:bottom w:val="single" w:sz="2" w:space="0" w:color="auto"/>
              <w:right w:val="single" w:sz="2" w:space="0" w:color="auto"/>
            </w:tcBorders>
          </w:tcPr>
          <w:p w14:paraId="34062325" w14:textId="77777777" w:rsidR="009F4766" w:rsidRPr="00DE12A3" w:rsidRDefault="009F4766" w:rsidP="00C917D6">
            <w:pPr>
              <w:pStyle w:val="NormalLeft"/>
            </w:pPr>
            <w:r w:rsidRPr="00DE12A3">
              <w:t>102</w:t>
            </w:r>
          </w:p>
        </w:tc>
        <w:tc>
          <w:tcPr>
            <w:tcW w:w="2551" w:type="dxa"/>
            <w:tcBorders>
              <w:top w:val="single" w:sz="2" w:space="0" w:color="auto"/>
              <w:left w:val="single" w:sz="2" w:space="0" w:color="auto"/>
              <w:bottom w:val="single" w:sz="2" w:space="0" w:color="auto"/>
              <w:right w:val="single" w:sz="2" w:space="0" w:color="auto"/>
            </w:tcBorders>
          </w:tcPr>
          <w:p w14:paraId="6A7F19E1" w14:textId="77777777" w:rsidR="009F4766" w:rsidRPr="00DE12A3" w:rsidRDefault="009F4766" w:rsidP="00C917D6">
            <w:pPr>
              <w:pStyle w:val="NormalLeft"/>
            </w:pPr>
            <w:r w:rsidRPr="00DE12A3">
              <w:t>68</w:t>
            </w:r>
          </w:p>
        </w:tc>
      </w:tr>
      <w:tr w:rsidR="00DE12A3" w:rsidRPr="00DE12A3" w14:paraId="41F5A6BB" w14:textId="77777777" w:rsidTr="009F4766">
        <w:tc>
          <w:tcPr>
            <w:tcW w:w="1182" w:type="dxa"/>
            <w:tcBorders>
              <w:top w:val="single" w:sz="2" w:space="0" w:color="auto"/>
              <w:left w:val="single" w:sz="2" w:space="0" w:color="auto"/>
              <w:bottom w:val="single" w:sz="2" w:space="0" w:color="auto"/>
              <w:right w:val="single" w:sz="2" w:space="0" w:color="auto"/>
            </w:tcBorders>
          </w:tcPr>
          <w:p w14:paraId="046DACE8" w14:textId="77777777" w:rsidR="009F4766" w:rsidRPr="00DE12A3" w:rsidRDefault="009F4766" w:rsidP="00C917D6">
            <w:pPr>
              <w:pStyle w:val="NormalLeft"/>
            </w:pPr>
            <w:r w:rsidRPr="00DE12A3">
              <w:t>705</w:t>
            </w:r>
          </w:p>
        </w:tc>
        <w:tc>
          <w:tcPr>
            <w:tcW w:w="2489" w:type="dxa"/>
            <w:tcBorders>
              <w:top w:val="single" w:sz="2" w:space="0" w:color="auto"/>
              <w:left w:val="single" w:sz="2" w:space="0" w:color="auto"/>
              <w:bottom w:val="single" w:sz="2" w:space="0" w:color="auto"/>
              <w:right w:val="single" w:sz="2" w:space="0" w:color="auto"/>
            </w:tcBorders>
          </w:tcPr>
          <w:p w14:paraId="7E8F0284" w14:textId="77777777" w:rsidR="009F4766" w:rsidRPr="00DE12A3" w:rsidRDefault="009F4766" w:rsidP="00C917D6">
            <w:pPr>
              <w:pStyle w:val="NormalLeft"/>
            </w:pPr>
            <w:r w:rsidRPr="00DE12A3">
              <w:t>102</w:t>
            </w:r>
          </w:p>
        </w:tc>
        <w:tc>
          <w:tcPr>
            <w:tcW w:w="2551" w:type="dxa"/>
            <w:tcBorders>
              <w:top w:val="single" w:sz="2" w:space="0" w:color="auto"/>
              <w:left w:val="single" w:sz="2" w:space="0" w:color="auto"/>
              <w:bottom w:val="single" w:sz="2" w:space="0" w:color="auto"/>
              <w:right w:val="single" w:sz="2" w:space="0" w:color="auto"/>
            </w:tcBorders>
          </w:tcPr>
          <w:p w14:paraId="4F6071AC" w14:textId="77777777" w:rsidR="009F4766" w:rsidRPr="00DE12A3" w:rsidRDefault="009F4766" w:rsidP="00C917D6">
            <w:pPr>
              <w:pStyle w:val="NormalLeft"/>
            </w:pPr>
            <w:r w:rsidRPr="00DE12A3">
              <w:t>70</w:t>
            </w:r>
          </w:p>
        </w:tc>
      </w:tr>
      <w:tr w:rsidR="00DE12A3" w:rsidRPr="00DE12A3" w14:paraId="27392BFD" w14:textId="77777777" w:rsidTr="009F4766">
        <w:tc>
          <w:tcPr>
            <w:tcW w:w="1182" w:type="dxa"/>
            <w:tcBorders>
              <w:top w:val="single" w:sz="2" w:space="0" w:color="auto"/>
              <w:left w:val="single" w:sz="2" w:space="0" w:color="auto"/>
              <w:bottom w:val="single" w:sz="2" w:space="0" w:color="auto"/>
              <w:right w:val="single" w:sz="2" w:space="0" w:color="auto"/>
            </w:tcBorders>
          </w:tcPr>
          <w:p w14:paraId="080A2635" w14:textId="77777777" w:rsidR="009F4766" w:rsidRPr="00DE12A3" w:rsidRDefault="009F4766" w:rsidP="00C917D6">
            <w:pPr>
              <w:pStyle w:val="NormalLeft"/>
            </w:pPr>
            <w:r w:rsidRPr="00DE12A3">
              <w:t>706</w:t>
            </w:r>
          </w:p>
        </w:tc>
        <w:tc>
          <w:tcPr>
            <w:tcW w:w="2489" w:type="dxa"/>
            <w:tcBorders>
              <w:top w:val="single" w:sz="2" w:space="0" w:color="auto"/>
              <w:left w:val="single" w:sz="2" w:space="0" w:color="auto"/>
              <w:bottom w:val="single" w:sz="2" w:space="0" w:color="auto"/>
              <w:right w:val="single" w:sz="2" w:space="0" w:color="auto"/>
            </w:tcBorders>
          </w:tcPr>
          <w:p w14:paraId="086883AB" w14:textId="77777777" w:rsidR="009F4766" w:rsidRPr="00DE12A3" w:rsidRDefault="009F4766" w:rsidP="00C917D6">
            <w:pPr>
              <w:pStyle w:val="NormalLeft"/>
            </w:pPr>
            <w:r w:rsidRPr="00DE12A3">
              <w:t>102</w:t>
            </w:r>
          </w:p>
        </w:tc>
        <w:tc>
          <w:tcPr>
            <w:tcW w:w="2551" w:type="dxa"/>
            <w:tcBorders>
              <w:top w:val="single" w:sz="2" w:space="0" w:color="auto"/>
              <w:left w:val="single" w:sz="2" w:space="0" w:color="auto"/>
              <w:bottom w:val="single" w:sz="2" w:space="0" w:color="auto"/>
              <w:right w:val="single" w:sz="2" w:space="0" w:color="auto"/>
            </w:tcBorders>
          </w:tcPr>
          <w:p w14:paraId="2C8FE461" w14:textId="77777777" w:rsidR="009F4766" w:rsidRPr="00DE12A3" w:rsidRDefault="009F4766" w:rsidP="00C917D6">
            <w:pPr>
              <w:pStyle w:val="NormalLeft"/>
            </w:pPr>
            <w:r w:rsidRPr="00DE12A3">
              <w:t>72</w:t>
            </w:r>
          </w:p>
        </w:tc>
      </w:tr>
      <w:tr w:rsidR="00DE12A3" w:rsidRPr="00DE12A3" w14:paraId="22B6CF6B" w14:textId="77777777" w:rsidTr="009F4766">
        <w:tc>
          <w:tcPr>
            <w:tcW w:w="1182" w:type="dxa"/>
            <w:tcBorders>
              <w:top w:val="single" w:sz="2" w:space="0" w:color="auto"/>
              <w:left w:val="single" w:sz="2" w:space="0" w:color="auto"/>
              <w:bottom w:val="single" w:sz="2" w:space="0" w:color="auto"/>
              <w:right w:val="single" w:sz="2" w:space="0" w:color="auto"/>
            </w:tcBorders>
          </w:tcPr>
          <w:p w14:paraId="57595F14" w14:textId="77777777" w:rsidR="009F4766" w:rsidRPr="00DE12A3" w:rsidRDefault="009F4766" w:rsidP="00C917D6">
            <w:pPr>
              <w:pStyle w:val="NormalLeft"/>
            </w:pPr>
            <w:r w:rsidRPr="00DE12A3">
              <w:t>707</w:t>
            </w:r>
          </w:p>
        </w:tc>
        <w:tc>
          <w:tcPr>
            <w:tcW w:w="2489" w:type="dxa"/>
            <w:tcBorders>
              <w:top w:val="single" w:sz="2" w:space="0" w:color="auto"/>
              <w:left w:val="single" w:sz="2" w:space="0" w:color="auto"/>
              <w:bottom w:val="single" w:sz="2" w:space="0" w:color="auto"/>
              <w:right w:val="single" w:sz="2" w:space="0" w:color="auto"/>
            </w:tcBorders>
          </w:tcPr>
          <w:p w14:paraId="1AA157C3" w14:textId="77777777" w:rsidR="009F4766" w:rsidRPr="00DE12A3" w:rsidRDefault="009F4766" w:rsidP="00C917D6">
            <w:pPr>
              <w:pStyle w:val="NormalLeft"/>
            </w:pPr>
            <w:r w:rsidRPr="00DE12A3">
              <w:t>102</w:t>
            </w:r>
          </w:p>
        </w:tc>
        <w:tc>
          <w:tcPr>
            <w:tcW w:w="2551" w:type="dxa"/>
            <w:tcBorders>
              <w:top w:val="single" w:sz="2" w:space="0" w:color="auto"/>
              <w:left w:val="single" w:sz="2" w:space="0" w:color="auto"/>
              <w:bottom w:val="single" w:sz="2" w:space="0" w:color="auto"/>
              <w:right w:val="single" w:sz="2" w:space="0" w:color="auto"/>
            </w:tcBorders>
          </w:tcPr>
          <w:p w14:paraId="3AB090FB" w14:textId="77777777" w:rsidR="009F4766" w:rsidRPr="00DE12A3" w:rsidRDefault="009F4766" w:rsidP="00C917D6">
            <w:pPr>
              <w:pStyle w:val="NormalLeft"/>
            </w:pPr>
            <w:r w:rsidRPr="00DE12A3">
              <w:t>68</w:t>
            </w:r>
          </w:p>
        </w:tc>
      </w:tr>
      <w:tr w:rsidR="00DE12A3" w:rsidRPr="00DE12A3" w14:paraId="5BBE6DEC" w14:textId="77777777" w:rsidTr="009F4766">
        <w:tc>
          <w:tcPr>
            <w:tcW w:w="1182" w:type="dxa"/>
            <w:tcBorders>
              <w:top w:val="single" w:sz="2" w:space="0" w:color="auto"/>
              <w:left w:val="single" w:sz="2" w:space="0" w:color="auto"/>
              <w:bottom w:val="single" w:sz="2" w:space="0" w:color="auto"/>
              <w:right w:val="single" w:sz="2" w:space="0" w:color="auto"/>
            </w:tcBorders>
          </w:tcPr>
          <w:p w14:paraId="5A3FF45E" w14:textId="77777777" w:rsidR="009F4766" w:rsidRPr="00DE12A3" w:rsidRDefault="009F4766" w:rsidP="00C917D6">
            <w:pPr>
              <w:pStyle w:val="NormalLeft"/>
            </w:pPr>
            <w:r w:rsidRPr="00DE12A3">
              <w:t>708</w:t>
            </w:r>
          </w:p>
        </w:tc>
        <w:tc>
          <w:tcPr>
            <w:tcW w:w="2489" w:type="dxa"/>
            <w:tcBorders>
              <w:top w:val="single" w:sz="2" w:space="0" w:color="auto"/>
              <w:left w:val="single" w:sz="2" w:space="0" w:color="auto"/>
              <w:bottom w:val="single" w:sz="2" w:space="0" w:color="auto"/>
              <w:right w:val="single" w:sz="2" w:space="0" w:color="auto"/>
            </w:tcBorders>
          </w:tcPr>
          <w:p w14:paraId="628E9256" w14:textId="77777777" w:rsidR="009F4766" w:rsidRPr="00DE12A3" w:rsidRDefault="009F4766" w:rsidP="00C917D6">
            <w:pPr>
              <w:pStyle w:val="NormalLeft"/>
            </w:pPr>
            <w:r w:rsidRPr="00DE12A3">
              <w:t>102</w:t>
            </w:r>
          </w:p>
        </w:tc>
        <w:tc>
          <w:tcPr>
            <w:tcW w:w="2551" w:type="dxa"/>
            <w:tcBorders>
              <w:top w:val="single" w:sz="2" w:space="0" w:color="auto"/>
              <w:left w:val="single" w:sz="2" w:space="0" w:color="auto"/>
              <w:bottom w:val="single" w:sz="2" w:space="0" w:color="auto"/>
              <w:right w:val="single" w:sz="2" w:space="0" w:color="auto"/>
            </w:tcBorders>
          </w:tcPr>
          <w:p w14:paraId="1290E56E" w14:textId="77777777" w:rsidR="009F4766" w:rsidRPr="00DE12A3" w:rsidRDefault="009F4766" w:rsidP="00C917D6">
            <w:pPr>
              <w:pStyle w:val="NormalLeft"/>
            </w:pPr>
            <w:r w:rsidRPr="00DE12A3">
              <w:t>69</w:t>
            </w:r>
          </w:p>
        </w:tc>
      </w:tr>
      <w:tr w:rsidR="00DE12A3" w:rsidRPr="00DE12A3" w14:paraId="0EA5888F" w14:textId="77777777" w:rsidTr="009F4766">
        <w:tc>
          <w:tcPr>
            <w:tcW w:w="1182" w:type="dxa"/>
            <w:tcBorders>
              <w:top w:val="single" w:sz="2" w:space="0" w:color="auto"/>
              <w:left w:val="single" w:sz="2" w:space="0" w:color="auto"/>
              <w:bottom w:val="single" w:sz="2" w:space="0" w:color="auto"/>
              <w:right w:val="single" w:sz="2" w:space="0" w:color="auto"/>
            </w:tcBorders>
          </w:tcPr>
          <w:p w14:paraId="338BE315" w14:textId="77777777" w:rsidR="009F4766" w:rsidRPr="00DE12A3" w:rsidRDefault="009F4766" w:rsidP="00C917D6">
            <w:pPr>
              <w:pStyle w:val="NormalLeft"/>
            </w:pPr>
            <w:r w:rsidRPr="00DE12A3">
              <w:t>709</w:t>
            </w:r>
          </w:p>
        </w:tc>
        <w:tc>
          <w:tcPr>
            <w:tcW w:w="2489" w:type="dxa"/>
            <w:tcBorders>
              <w:top w:val="single" w:sz="2" w:space="0" w:color="auto"/>
              <w:left w:val="single" w:sz="2" w:space="0" w:color="auto"/>
              <w:bottom w:val="single" w:sz="2" w:space="0" w:color="auto"/>
              <w:right w:val="single" w:sz="2" w:space="0" w:color="auto"/>
            </w:tcBorders>
          </w:tcPr>
          <w:p w14:paraId="18936922" w14:textId="77777777" w:rsidR="009F4766" w:rsidRPr="00DE12A3" w:rsidRDefault="009F4766" w:rsidP="00C917D6">
            <w:pPr>
              <w:pStyle w:val="NormalLeft"/>
            </w:pPr>
            <w:r w:rsidRPr="00DE12A3">
              <w:t>100</w:t>
            </w:r>
          </w:p>
        </w:tc>
        <w:tc>
          <w:tcPr>
            <w:tcW w:w="2551" w:type="dxa"/>
            <w:tcBorders>
              <w:top w:val="single" w:sz="2" w:space="0" w:color="auto"/>
              <w:left w:val="single" w:sz="2" w:space="0" w:color="auto"/>
              <w:bottom w:val="single" w:sz="2" w:space="0" w:color="auto"/>
              <w:right w:val="single" w:sz="2" w:space="0" w:color="auto"/>
            </w:tcBorders>
          </w:tcPr>
          <w:p w14:paraId="6A350249" w14:textId="77777777" w:rsidR="009F4766" w:rsidRPr="00DE12A3" w:rsidRDefault="009F4766" w:rsidP="00C917D6">
            <w:pPr>
              <w:pStyle w:val="NormalLeft"/>
            </w:pPr>
            <w:r w:rsidRPr="00DE12A3">
              <w:t>68</w:t>
            </w:r>
          </w:p>
        </w:tc>
      </w:tr>
      <w:tr w:rsidR="00DE12A3" w:rsidRPr="00DE12A3" w14:paraId="7A685E57" w14:textId="77777777" w:rsidTr="009F4766">
        <w:tc>
          <w:tcPr>
            <w:tcW w:w="1182" w:type="dxa"/>
            <w:tcBorders>
              <w:top w:val="single" w:sz="2" w:space="0" w:color="auto"/>
              <w:left w:val="single" w:sz="2" w:space="0" w:color="auto"/>
              <w:bottom w:val="single" w:sz="2" w:space="0" w:color="auto"/>
              <w:right w:val="single" w:sz="2" w:space="0" w:color="auto"/>
            </w:tcBorders>
          </w:tcPr>
          <w:p w14:paraId="7F7487D9" w14:textId="77777777" w:rsidR="009F4766" w:rsidRPr="00DE12A3" w:rsidRDefault="009F4766" w:rsidP="00C917D6">
            <w:pPr>
              <w:pStyle w:val="NormalLeft"/>
            </w:pPr>
            <w:r w:rsidRPr="00DE12A3">
              <w:t>710</w:t>
            </w:r>
          </w:p>
        </w:tc>
        <w:tc>
          <w:tcPr>
            <w:tcW w:w="2489" w:type="dxa"/>
            <w:tcBorders>
              <w:top w:val="single" w:sz="2" w:space="0" w:color="auto"/>
              <w:left w:val="single" w:sz="2" w:space="0" w:color="auto"/>
              <w:bottom w:val="single" w:sz="2" w:space="0" w:color="auto"/>
              <w:right w:val="single" w:sz="2" w:space="0" w:color="auto"/>
            </w:tcBorders>
          </w:tcPr>
          <w:p w14:paraId="348C8EFD" w14:textId="77777777" w:rsidR="009F4766" w:rsidRPr="00DE12A3" w:rsidRDefault="009F4766" w:rsidP="00C917D6">
            <w:pPr>
              <w:pStyle w:val="NormalLeft"/>
            </w:pPr>
            <w:r w:rsidRPr="00DE12A3">
              <w:t>102</w:t>
            </w:r>
          </w:p>
        </w:tc>
        <w:tc>
          <w:tcPr>
            <w:tcW w:w="2551" w:type="dxa"/>
            <w:tcBorders>
              <w:top w:val="single" w:sz="2" w:space="0" w:color="auto"/>
              <w:left w:val="single" w:sz="2" w:space="0" w:color="auto"/>
              <w:bottom w:val="single" w:sz="2" w:space="0" w:color="auto"/>
              <w:right w:val="single" w:sz="2" w:space="0" w:color="auto"/>
            </w:tcBorders>
          </w:tcPr>
          <w:p w14:paraId="0F563CD5" w14:textId="77777777" w:rsidR="009F4766" w:rsidRPr="00DE12A3" w:rsidRDefault="009F4766" w:rsidP="00C917D6">
            <w:pPr>
              <w:pStyle w:val="NormalLeft"/>
            </w:pPr>
            <w:r w:rsidRPr="00DE12A3">
              <w:t>71</w:t>
            </w:r>
          </w:p>
        </w:tc>
      </w:tr>
      <w:tr w:rsidR="00DE12A3" w:rsidRPr="00DE12A3" w14:paraId="7ECB93C1" w14:textId="77777777" w:rsidTr="009F4766">
        <w:tc>
          <w:tcPr>
            <w:tcW w:w="1182" w:type="dxa"/>
            <w:tcBorders>
              <w:top w:val="single" w:sz="2" w:space="0" w:color="auto"/>
              <w:left w:val="single" w:sz="2" w:space="0" w:color="auto"/>
              <w:bottom w:val="single" w:sz="2" w:space="0" w:color="auto"/>
              <w:right w:val="single" w:sz="2" w:space="0" w:color="auto"/>
            </w:tcBorders>
          </w:tcPr>
          <w:p w14:paraId="10F81AD5" w14:textId="77777777" w:rsidR="009F4766" w:rsidRPr="00DE12A3" w:rsidRDefault="009F4766" w:rsidP="00C917D6">
            <w:pPr>
              <w:pStyle w:val="NormalLeft"/>
            </w:pPr>
            <w:r w:rsidRPr="00DE12A3">
              <w:t>711</w:t>
            </w:r>
          </w:p>
        </w:tc>
        <w:tc>
          <w:tcPr>
            <w:tcW w:w="2489" w:type="dxa"/>
            <w:tcBorders>
              <w:top w:val="single" w:sz="2" w:space="0" w:color="auto"/>
              <w:left w:val="single" w:sz="2" w:space="0" w:color="auto"/>
              <w:bottom w:val="single" w:sz="2" w:space="0" w:color="auto"/>
              <w:right w:val="single" w:sz="2" w:space="0" w:color="auto"/>
            </w:tcBorders>
          </w:tcPr>
          <w:p w14:paraId="192A0E29" w14:textId="77777777" w:rsidR="009F4766" w:rsidRPr="00DE12A3" w:rsidRDefault="009F4766" w:rsidP="00C917D6">
            <w:pPr>
              <w:pStyle w:val="NormalLeft"/>
            </w:pPr>
            <w:r w:rsidRPr="00DE12A3">
              <w:t>101</w:t>
            </w:r>
          </w:p>
        </w:tc>
        <w:tc>
          <w:tcPr>
            <w:tcW w:w="2551" w:type="dxa"/>
            <w:tcBorders>
              <w:top w:val="single" w:sz="2" w:space="0" w:color="auto"/>
              <w:left w:val="single" w:sz="2" w:space="0" w:color="auto"/>
              <w:bottom w:val="single" w:sz="2" w:space="0" w:color="auto"/>
              <w:right w:val="single" w:sz="2" w:space="0" w:color="auto"/>
            </w:tcBorders>
          </w:tcPr>
          <w:p w14:paraId="7D6DF7E2" w14:textId="77777777" w:rsidR="009F4766" w:rsidRPr="00DE12A3" w:rsidRDefault="009F4766" w:rsidP="00C917D6">
            <w:pPr>
              <w:pStyle w:val="NormalLeft"/>
            </w:pPr>
            <w:r w:rsidRPr="00DE12A3">
              <w:t>64</w:t>
            </w:r>
          </w:p>
        </w:tc>
      </w:tr>
      <w:tr w:rsidR="00DE12A3" w:rsidRPr="00DE12A3" w14:paraId="370F522B" w14:textId="77777777" w:rsidTr="009F4766">
        <w:tc>
          <w:tcPr>
            <w:tcW w:w="1182" w:type="dxa"/>
            <w:tcBorders>
              <w:top w:val="single" w:sz="2" w:space="0" w:color="auto"/>
              <w:left w:val="single" w:sz="2" w:space="0" w:color="auto"/>
              <w:bottom w:val="single" w:sz="2" w:space="0" w:color="auto"/>
              <w:right w:val="single" w:sz="2" w:space="0" w:color="auto"/>
            </w:tcBorders>
          </w:tcPr>
          <w:p w14:paraId="62F060A7" w14:textId="77777777" w:rsidR="009F4766" w:rsidRPr="00DE12A3" w:rsidRDefault="009F4766" w:rsidP="00C917D6">
            <w:pPr>
              <w:pStyle w:val="NormalLeft"/>
            </w:pPr>
            <w:r w:rsidRPr="00DE12A3">
              <w:t>712</w:t>
            </w:r>
          </w:p>
        </w:tc>
        <w:tc>
          <w:tcPr>
            <w:tcW w:w="2489" w:type="dxa"/>
            <w:tcBorders>
              <w:top w:val="single" w:sz="2" w:space="0" w:color="auto"/>
              <w:left w:val="single" w:sz="2" w:space="0" w:color="auto"/>
              <w:bottom w:val="single" w:sz="2" w:space="0" w:color="auto"/>
              <w:right w:val="single" w:sz="2" w:space="0" w:color="auto"/>
            </w:tcBorders>
          </w:tcPr>
          <w:p w14:paraId="3AB8C527" w14:textId="77777777" w:rsidR="009F4766" w:rsidRPr="00DE12A3" w:rsidRDefault="009F4766" w:rsidP="00C917D6">
            <w:pPr>
              <w:pStyle w:val="NormalLeft"/>
            </w:pPr>
            <w:r w:rsidRPr="00DE12A3">
              <w:t>102</w:t>
            </w:r>
          </w:p>
        </w:tc>
        <w:tc>
          <w:tcPr>
            <w:tcW w:w="2551" w:type="dxa"/>
            <w:tcBorders>
              <w:top w:val="single" w:sz="2" w:space="0" w:color="auto"/>
              <w:left w:val="single" w:sz="2" w:space="0" w:color="auto"/>
              <w:bottom w:val="single" w:sz="2" w:space="0" w:color="auto"/>
              <w:right w:val="single" w:sz="2" w:space="0" w:color="auto"/>
            </w:tcBorders>
          </w:tcPr>
          <w:p w14:paraId="5D7044E1" w14:textId="77777777" w:rsidR="009F4766" w:rsidRPr="00DE12A3" w:rsidRDefault="009F4766" w:rsidP="00C917D6">
            <w:pPr>
              <w:pStyle w:val="NormalLeft"/>
            </w:pPr>
            <w:r w:rsidRPr="00DE12A3">
              <w:t>69</w:t>
            </w:r>
          </w:p>
        </w:tc>
      </w:tr>
      <w:tr w:rsidR="00DE12A3" w:rsidRPr="00DE12A3" w14:paraId="6ED7FE84" w14:textId="77777777" w:rsidTr="009F4766">
        <w:tc>
          <w:tcPr>
            <w:tcW w:w="1182" w:type="dxa"/>
            <w:tcBorders>
              <w:top w:val="single" w:sz="2" w:space="0" w:color="auto"/>
              <w:left w:val="single" w:sz="2" w:space="0" w:color="auto"/>
              <w:bottom w:val="single" w:sz="2" w:space="0" w:color="auto"/>
              <w:right w:val="single" w:sz="2" w:space="0" w:color="auto"/>
            </w:tcBorders>
          </w:tcPr>
          <w:p w14:paraId="61CFFAB5" w14:textId="77777777" w:rsidR="009F4766" w:rsidRPr="00DE12A3" w:rsidRDefault="009F4766" w:rsidP="00C917D6">
            <w:pPr>
              <w:pStyle w:val="NormalLeft"/>
            </w:pPr>
            <w:r w:rsidRPr="00DE12A3">
              <w:t>713</w:t>
            </w:r>
          </w:p>
        </w:tc>
        <w:tc>
          <w:tcPr>
            <w:tcW w:w="2489" w:type="dxa"/>
            <w:tcBorders>
              <w:top w:val="single" w:sz="2" w:space="0" w:color="auto"/>
              <w:left w:val="single" w:sz="2" w:space="0" w:color="auto"/>
              <w:bottom w:val="single" w:sz="2" w:space="0" w:color="auto"/>
              <w:right w:val="single" w:sz="2" w:space="0" w:color="auto"/>
            </w:tcBorders>
          </w:tcPr>
          <w:p w14:paraId="02D1EFB6" w14:textId="77777777" w:rsidR="009F4766" w:rsidRPr="00DE12A3" w:rsidRDefault="009F4766" w:rsidP="00C917D6">
            <w:pPr>
              <w:pStyle w:val="NormalLeft"/>
            </w:pPr>
            <w:r w:rsidRPr="00DE12A3">
              <w:t>102</w:t>
            </w:r>
          </w:p>
        </w:tc>
        <w:tc>
          <w:tcPr>
            <w:tcW w:w="2551" w:type="dxa"/>
            <w:tcBorders>
              <w:top w:val="single" w:sz="2" w:space="0" w:color="auto"/>
              <w:left w:val="single" w:sz="2" w:space="0" w:color="auto"/>
              <w:bottom w:val="single" w:sz="2" w:space="0" w:color="auto"/>
              <w:right w:val="single" w:sz="2" w:space="0" w:color="auto"/>
            </w:tcBorders>
          </w:tcPr>
          <w:p w14:paraId="4AE5D98E" w14:textId="77777777" w:rsidR="009F4766" w:rsidRPr="00DE12A3" w:rsidRDefault="009F4766" w:rsidP="00C917D6">
            <w:pPr>
              <w:pStyle w:val="NormalLeft"/>
            </w:pPr>
            <w:r w:rsidRPr="00DE12A3">
              <w:t>69</w:t>
            </w:r>
          </w:p>
        </w:tc>
      </w:tr>
      <w:tr w:rsidR="00DE12A3" w:rsidRPr="00DE12A3" w14:paraId="6D92AC8C" w14:textId="77777777" w:rsidTr="009F4766">
        <w:tc>
          <w:tcPr>
            <w:tcW w:w="1182" w:type="dxa"/>
            <w:tcBorders>
              <w:top w:val="single" w:sz="2" w:space="0" w:color="auto"/>
              <w:left w:val="single" w:sz="2" w:space="0" w:color="auto"/>
              <w:bottom w:val="single" w:sz="2" w:space="0" w:color="auto"/>
              <w:right w:val="single" w:sz="2" w:space="0" w:color="auto"/>
            </w:tcBorders>
          </w:tcPr>
          <w:p w14:paraId="6F4C0E4D" w14:textId="77777777" w:rsidR="009F4766" w:rsidRPr="00DE12A3" w:rsidRDefault="009F4766" w:rsidP="00C917D6">
            <w:pPr>
              <w:pStyle w:val="NormalLeft"/>
            </w:pPr>
            <w:r w:rsidRPr="00DE12A3">
              <w:t>714</w:t>
            </w:r>
          </w:p>
        </w:tc>
        <w:tc>
          <w:tcPr>
            <w:tcW w:w="2489" w:type="dxa"/>
            <w:tcBorders>
              <w:top w:val="single" w:sz="2" w:space="0" w:color="auto"/>
              <w:left w:val="single" w:sz="2" w:space="0" w:color="auto"/>
              <w:bottom w:val="single" w:sz="2" w:space="0" w:color="auto"/>
              <w:right w:val="single" w:sz="2" w:space="0" w:color="auto"/>
            </w:tcBorders>
          </w:tcPr>
          <w:p w14:paraId="53CDA605" w14:textId="77777777" w:rsidR="009F4766" w:rsidRPr="00DE12A3" w:rsidRDefault="009F4766" w:rsidP="00C917D6">
            <w:pPr>
              <w:pStyle w:val="NormalLeft"/>
            </w:pPr>
            <w:r w:rsidRPr="00DE12A3">
              <w:t>101</w:t>
            </w:r>
          </w:p>
        </w:tc>
        <w:tc>
          <w:tcPr>
            <w:tcW w:w="2551" w:type="dxa"/>
            <w:tcBorders>
              <w:top w:val="single" w:sz="2" w:space="0" w:color="auto"/>
              <w:left w:val="single" w:sz="2" w:space="0" w:color="auto"/>
              <w:bottom w:val="single" w:sz="2" w:space="0" w:color="auto"/>
              <w:right w:val="single" w:sz="2" w:space="0" w:color="auto"/>
            </w:tcBorders>
          </w:tcPr>
          <w:p w14:paraId="1366E603" w14:textId="77777777" w:rsidR="009F4766" w:rsidRPr="00DE12A3" w:rsidRDefault="009F4766" w:rsidP="00C917D6">
            <w:pPr>
              <w:pStyle w:val="NormalLeft"/>
            </w:pPr>
            <w:r w:rsidRPr="00DE12A3">
              <w:t>69</w:t>
            </w:r>
          </w:p>
        </w:tc>
      </w:tr>
      <w:tr w:rsidR="00DE12A3" w:rsidRPr="00DE12A3" w14:paraId="376C757C" w14:textId="77777777" w:rsidTr="009F4766">
        <w:tc>
          <w:tcPr>
            <w:tcW w:w="1182" w:type="dxa"/>
            <w:tcBorders>
              <w:top w:val="single" w:sz="2" w:space="0" w:color="auto"/>
              <w:left w:val="single" w:sz="2" w:space="0" w:color="auto"/>
              <w:bottom w:val="single" w:sz="2" w:space="0" w:color="auto"/>
              <w:right w:val="single" w:sz="2" w:space="0" w:color="auto"/>
            </w:tcBorders>
          </w:tcPr>
          <w:p w14:paraId="2EF25E30" w14:textId="77777777" w:rsidR="009F4766" w:rsidRPr="00DE12A3" w:rsidRDefault="009F4766" w:rsidP="00C917D6">
            <w:pPr>
              <w:pStyle w:val="NormalLeft"/>
            </w:pPr>
            <w:r w:rsidRPr="00DE12A3">
              <w:t>715</w:t>
            </w:r>
          </w:p>
        </w:tc>
        <w:tc>
          <w:tcPr>
            <w:tcW w:w="2489" w:type="dxa"/>
            <w:tcBorders>
              <w:top w:val="single" w:sz="2" w:space="0" w:color="auto"/>
              <w:left w:val="single" w:sz="2" w:space="0" w:color="auto"/>
              <w:bottom w:val="single" w:sz="2" w:space="0" w:color="auto"/>
              <w:right w:val="single" w:sz="2" w:space="0" w:color="auto"/>
            </w:tcBorders>
          </w:tcPr>
          <w:p w14:paraId="23141D7F" w14:textId="77777777" w:rsidR="009F4766" w:rsidRPr="00DE12A3" w:rsidRDefault="009F4766" w:rsidP="00C917D6">
            <w:pPr>
              <w:pStyle w:val="NormalLeft"/>
            </w:pPr>
            <w:r w:rsidRPr="00DE12A3">
              <w:t>102</w:t>
            </w:r>
          </w:p>
        </w:tc>
        <w:tc>
          <w:tcPr>
            <w:tcW w:w="2551" w:type="dxa"/>
            <w:tcBorders>
              <w:top w:val="single" w:sz="2" w:space="0" w:color="auto"/>
              <w:left w:val="single" w:sz="2" w:space="0" w:color="auto"/>
              <w:bottom w:val="single" w:sz="2" w:space="0" w:color="auto"/>
              <w:right w:val="single" w:sz="2" w:space="0" w:color="auto"/>
            </w:tcBorders>
          </w:tcPr>
          <w:p w14:paraId="55BC649B" w14:textId="77777777" w:rsidR="009F4766" w:rsidRPr="00DE12A3" w:rsidRDefault="009F4766" w:rsidP="00C917D6">
            <w:pPr>
              <w:pStyle w:val="NormalLeft"/>
            </w:pPr>
            <w:r w:rsidRPr="00DE12A3">
              <w:t>64</w:t>
            </w:r>
          </w:p>
        </w:tc>
      </w:tr>
      <w:tr w:rsidR="00DE12A3" w:rsidRPr="00DE12A3" w14:paraId="41525F68" w14:textId="77777777" w:rsidTr="009F4766">
        <w:tc>
          <w:tcPr>
            <w:tcW w:w="1182" w:type="dxa"/>
            <w:tcBorders>
              <w:top w:val="single" w:sz="2" w:space="0" w:color="auto"/>
              <w:left w:val="single" w:sz="2" w:space="0" w:color="auto"/>
              <w:bottom w:val="single" w:sz="2" w:space="0" w:color="auto"/>
              <w:right w:val="single" w:sz="2" w:space="0" w:color="auto"/>
            </w:tcBorders>
          </w:tcPr>
          <w:p w14:paraId="56E3F475" w14:textId="77777777" w:rsidR="009F4766" w:rsidRPr="00DE12A3" w:rsidRDefault="009F4766" w:rsidP="00C917D6">
            <w:pPr>
              <w:pStyle w:val="NormalLeft"/>
            </w:pPr>
            <w:r w:rsidRPr="00DE12A3">
              <w:lastRenderedPageBreak/>
              <w:t>716</w:t>
            </w:r>
          </w:p>
        </w:tc>
        <w:tc>
          <w:tcPr>
            <w:tcW w:w="2489" w:type="dxa"/>
            <w:tcBorders>
              <w:top w:val="single" w:sz="2" w:space="0" w:color="auto"/>
              <w:left w:val="single" w:sz="2" w:space="0" w:color="auto"/>
              <w:bottom w:val="single" w:sz="2" w:space="0" w:color="auto"/>
              <w:right w:val="single" w:sz="2" w:space="0" w:color="auto"/>
            </w:tcBorders>
          </w:tcPr>
          <w:p w14:paraId="02260140" w14:textId="77777777" w:rsidR="009F4766" w:rsidRPr="00DE12A3" w:rsidRDefault="009F4766" w:rsidP="00C917D6">
            <w:pPr>
              <w:pStyle w:val="NormalLeft"/>
            </w:pPr>
            <w:r w:rsidRPr="00DE12A3">
              <w:t>102</w:t>
            </w:r>
          </w:p>
        </w:tc>
        <w:tc>
          <w:tcPr>
            <w:tcW w:w="2551" w:type="dxa"/>
            <w:tcBorders>
              <w:top w:val="single" w:sz="2" w:space="0" w:color="auto"/>
              <w:left w:val="single" w:sz="2" w:space="0" w:color="auto"/>
              <w:bottom w:val="single" w:sz="2" w:space="0" w:color="auto"/>
              <w:right w:val="single" w:sz="2" w:space="0" w:color="auto"/>
            </w:tcBorders>
          </w:tcPr>
          <w:p w14:paraId="070AB870" w14:textId="77777777" w:rsidR="009F4766" w:rsidRPr="00DE12A3" w:rsidRDefault="009F4766" w:rsidP="00C917D6">
            <w:pPr>
              <w:pStyle w:val="NormalLeft"/>
            </w:pPr>
            <w:r w:rsidRPr="00DE12A3">
              <w:t>69</w:t>
            </w:r>
          </w:p>
        </w:tc>
      </w:tr>
      <w:tr w:rsidR="00DE12A3" w:rsidRPr="00DE12A3" w14:paraId="7BA658D9" w14:textId="77777777" w:rsidTr="009F4766">
        <w:tc>
          <w:tcPr>
            <w:tcW w:w="1182" w:type="dxa"/>
            <w:tcBorders>
              <w:top w:val="single" w:sz="2" w:space="0" w:color="auto"/>
              <w:left w:val="single" w:sz="2" w:space="0" w:color="auto"/>
              <w:bottom w:val="single" w:sz="2" w:space="0" w:color="auto"/>
              <w:right w:val="single" w:sz="2" w:space="0" w:color="auto"/>
            </w:tcBorders>
          </w:tcPr>
          <w:p w14:paraId="1022E487" w14:textId="77777777" w:rsidR="009F4766" w:rsidRPr="00DE12A3" w:rsidRDefault="009F4766" w:rsidP="00C917D6">
            <w:pPr>
              <w:pStyle w:val="NormalLeft"/>
            </w:pPr>
            <w:r w:rsidRPr="00DE12A3">
              <w:t>717</w:t>
            </w:r>
          </w:p>
        </w:tc>
        <w:tc>
          <w:tcPr>
            <w:tcW w:w="2489" w:type="dxa"/>
            <w:tcBorders>
              <w:top w:val="single" w:sz="2" w:space="0" w:color="auto"/>
              <w:left w:val="single" w:sz="2" w:space="0" w:color="auto"/>
              <w:bottom w:val="single" w:sz="2" w:space="0" w:color="auto"/>
              <w:right w:val="single" w:sz="2" w:space="0" w:color="auto"/>
            </w:tcBorders>
          </w:tcPr>
          <w:p w14:paraId="25A5CBBD" w14:textId="77777777" w:rsidR="009F4766" w:rsidRPr="00DE12A3" w:rsidRDefault="009F4766" w:rsidP="00C917D6">
            <w:pPr>
              <w:pStyle w:val="NormalLeft"/>
            </w:pPr>
            <w:r w:rsidRPr="00DE12A3">
              <w:t>102</w:t>
            </w:r>
          </w:p>
        </w:tc>
        <w:tc>
          <w:tcPr>
            <w:tcW w:w="2551" w:type="dxa"/>
            <w:tcBorders>
              <w:top w:val="single" w:sz="2" w:space="0" w:color="auto"/>
              <w:left w:val="single" w:sz="2" w:space="0" w:color="auto"/>
              <w:bottom w:val="single" w:sz="2" w:space="0" w:color="auto"/>
              <w:right w:val="single" w:sz="2" w:space="0" w:color="auto"/>
            </w:tcBorders>
          </w:tcPr>
          <w:p w14:paraId="6485CA14" w14:textId="77777777" w:rsidR="009F4766" w:rsidRPr="00DE12A3" w:rsidRDefault="009F4766" w:rsidP="00C917D6">
            <w:pPr>
              <w:pStyle w:val="NormalLeft"/>
            </w:pPr>
            <w:r w:rsidRPr="00DE12A3">
              <w:t>68</w:t>
            </w:r>
          </w:p>
        </w:tc>
      </w:tr>
      <w:tr w:rsidR="00DE12A3" w:rsidRPr="00DE12A3" w14:paraId="2366D420" w14:textId="77777777" w:rsidTr="009F4766">
        <w:tc>
          <w:tcPr>
            <w:tcW w:w="1182" w:type="dxa"/>
            <w:tcBorders>
              <w:top w:val="single" w:sz="2" w:space="0" w:color="auto"/>
              <w:left w:val="single" w:sz="2" w:space="0" w:color="auto"/>
              <w:bottom w:val="single" w:sz="2" w:space="0" w:color="auto"/>
              <w:right w:val="single" w:sz="2" w:space="0" w:color="auto"/>
            </w:tcBorders>
          </w:tcPr>
          <w:p w14:paraId="37AB7924" w14:textId="77777777" w:rsidR="009F4766" w:rsidRPr="00DE12A3" w:rsidRDefault="009F4766" w:rsidP="00C917D6">
            <w:pPr>
              <w:pStyle w:val="NormalLeft"/>
            </w:pPr>
            <w:r w:rsidRPr="00DE12A3">
              <w:t>718</w:t>
            </w:r>
          </w:p>
        </w:tc>
        <w:tc>
          <w:tcPr>
            <w:tcW w:w="2489" w:type="dxa"/>
            <w:tcBorders>
              <w:top w:val="single" w:sz="2" w:space="0" w:color="auto"/>
              <w:left w:val="single" w:sz="2" w:space="0" w:color="auto"/>
              <w:bottom w:val="single" w:sz="2" w:space="0" w:color="auto"/>
              <w:right w:val="single" w:sz="2" w:space="0" w:color="auto"/>
            </w:tcBorders>
          </w:tcPr>
          <w:p w14:paraId="48531ABE" w14:textId="77777777" w:rsidR="009F4766" w:rsidRPr="00DE12A3" w:rsidRDefault="009F4766" w:rsidP="00C917D6">
            <w:pPr>
              <w:pStyle w:val="NormalLeft"/>
            </w:pPr>
            <w:r w:rsidRPr="00DE12A3">
              <w:t>102</w:t>
            </w:r>
          </w:p>
        </w:tc>
        <w:tc>
          <w:tcPr>
            <w:tcW w:w="2551" w:type="dxa"/>
            <w:tcBorders>
              <w:top w:val="single" w:sz="2" w:space="0" w:color="auto"/>
              <w:left w:val="single" w:sz="2" w:space="0" w:color="auto"/>
              <w:bottom w:val="single" w:sz="2" w:space="0" w:color="auto"/>
              <w:right w:val="single" w:sz="2" w:space="0" w:color="auto"/>
            </w:tcBorders>
          </w:tcPr>
          <w:p w14:paraId="3735BB7F" w14:textId="77777777" w:rsidR="009F4766" w:rsidRPr="00DE12A3" w:rsidRDefault="009F4766" w:rsidP="00C917D6">
            <w:pPr>
              <w:pStyle w:val="NormalLeft"/>
            </w:pPr>
            <w:r w:rsidRPr="00DE12A3">
              <w:t>70</w:t>
            </w:r>
          </w:p>
        </w:tc>
      </w:tr>
      <w:tr w:rsidR="00DE12A3" w:rsidRPr="00DE12A3" w14:paraId="07FCD673" w14:textId="77777777" w:rsidTr="009F4766">
        <w:tc>
          <w:tcPr>
            <w:tcW w:w="1182" w:type="dxa"/>
            <w:tcBorders>
              <w:top w:val="single" w:sz="2" w:space="0" w:color="auto"/>
              <w:left w:val="single" w:sz="2" w:space="0" w:color="auto"/>
              <w:bottom w:val="single" w:sz="2" w:space="0" w:color="auto"/>
              <w:right w:val="single" w:sz="2" w:space="0" w:color="auto"/>
            </w:tcBorders>
          </w:tcPr>
          <w:p w14:paraId="3AE49310" w14:textId="77777777" w:rsidR="009F4766" w:rsidRPr="00DE12A3" w:rsidRDefault="009F4766" w:rsidP="00C917D6">
            <w:pPr>
              <w:pStyle w:val="NormalLeft"/>
            </w:pPr>
            <w:r w:rsidRPr="00DE12A3">
              <w:t>719</w:t>
            </w:r>
          </w:p>
        </w:tc>
        <w:tc>
          <w:tcPr>
            <w:tcW w:w="2489" w:type="dxa"/>
            <w:tcBorders>
              <w:top w:val="single" w:sz="2" w:space="0" w:color="auto"/>
              <w:left w:val="single" w:sz="2" w:space="0" w:color="auto"/>
              <w:bottom w:val="single" w:sz="2" w:space="0" w:color="auto"/>
              <w:right w:val="single" w:sz="2" w:space="0" w:color="auto"/>
            </w:tcBorders>
          </w:tcPr>
          <w:p w14:paraId="6DEA9291" w14:textId="77777777" w:rsidR="009F4766" w:rsidRPr="00DE12A3" w:rsidRDefault="009F4766" w:rsidP="00C917D6">
            <w:pPr>
              <w:pStyle w:val="NormalLeft"/>
            </w:pPr>
            <w:r w:rsidRPr="00DE12A3">
              <w:t>102</w:t>
            </w:r>
          </w:p>
        </w:tc>
        <w:tc>
          <w:tcPr>
            <w:tcW w:w="2551" w:type="dxa"/>
            <w:tcBorders>
              <w:top w:val="single" w:sz="2" w:space="0" w:color="auto"/>
              <w:left w:val="single" w:sz="2" w:space="0" w:color="auto"/>
              <w:bottom w:val="single" w:sz="2" w:space="0" w:color="auto"/>
              <w:right w:val="single" w:sz="2" w:space="0" w:color="auto"/>
            </w:tcBorders>
          </w:tcPr>
          <w:p w14:paraId="5B05C8FF" w14:textId="77777777" w:rsidR="009F4766" w:rsidRPr="00DE12A3" w:rsidRDefault="009F4766" w:rsidP="00C917D6">
            <w:pPr>
              <w:pStyle w:val="NormalLeft"/>
            </w:pPr>
            <w:r w:rsidRPr="00DE12A3">
              <w:t>69</w:t>
            </w:r>
          </w:p>
        </w:tc>
      </w:tr>
      <w:tr w:rsidR="00DE12A3" w:rsidRPr="00DE12A3" w14:paraId="6B7083E6" w14:textId="77777777" w:rsidTr="009F4766">
        <w:tc>
          <w:tcPr>
            <w:tcW w:w="1182" w:type="dxa"/>
            <w:tcBorders>
              <w:top w:val="single" w:sz="2" w:space="0" w:color="auto"/>
              <w:left w:val="single" w:sz="2" w:space="0" w:color="auto"/>
              <w:bottom w:val="single" w:sz="2" w:space="0" w:color="auto"/>
              <w:right w:val="single" w:sz="2" w:space="0" w:color="auto"/>
            </w:tcBorders>
          </w:tcPr>
          <w:p w14:paraId="09BBBE44" w14:textId="77777777" w:rsidR="009F4766" w:rsidRPr="00DE12A3" w:rsidRDefault="009F4766" w:rsidP="00C917D6">
            <w:pPr>
              <w:pStyle w:val="NormalLeft"/>
            </w:pPr>
            <w:r w:rsidRPr="00DE12A3">
              <w:t>720</w:t>
            </w:r>
          </w:p>
        </w:tc>
        <w:tc>
          <w:tcPr>
            <w:tcW w:w="2489" w:type="dxa"/>
            <w:tcBorders>
              <w:top w:val="single" w:sz="2" w:space="0" w:color="auto"/>
              <w:left w:val="single" w:sz="2" w:space="0" w:color="auto"/>
              <w:bottom w:val="single" w:sz="2" w:space="0" w:color="auto"/>
              <w:right w:val="single" w:sz="2" w:space="0" w:color="auto"/>
            </w:tcBorders>
          </w:tcPr>
          <w:p w14:paraId="027EEAEF" w14:textId="77777777" w:rsidR="009F4766" w:rsidRPr="00DE12A3" w:rsidRDefault="009F4766" w:rsidP="00C917D6">
            <w:pPr>
              <w:pStyle w:val="NormalLeft"/>
            </w:pPr>
            <w:r w:rsidRPr="00DE12A3">
              <w:t>102</w:t>
            </w:r>
          </w:p>
        </w:tc>
        <w:tc>
          <w:tcPr>
            <w:tcW w:w="2551" w:type="dxa"/>
            <w:tcBorders>
              <w:top w:val="single" w:sz="2" w:space="0" w:color="auto"/>
              <w:left w:val="single" w:sz="2" w:space="0" w:color="auto"/>
              <w:bottom w:val="single" w:sz="2" w:space="0" w:color="auto"/>
              <w:right w:val="single" w:sz="2" w:space="0" w:color="auto"/>
            </w:tcBorders>
          </w:tcPr>
          <w:p w14:paraId="5A077717" w14:textId="77777777" w:rsidR="009F4766" w:rsidRPr="00DE12A3" w:rsidRDefault="009F4766" w:rsidP="00C917D6">
            <w:pPr>
              <w:pStyle w:val="NormalLeft"/>
            </w:pPr>
            <w:r w:rsidRPr="00DE12A3">
              <w:t>70</w:t>
            </w:r>
          </w:p>
        </w:tc>
      </w:tr>
      <w:tr w:rsidR="00DE12A3" w:rsidRPr="00DE12A3" w14:paraId="0BFD606D" w14:textId="77777777" w:rsidTr="009F4766">
        <w:tc>
          <w:tcPr>
            <w:tcW w:w="1182" w:type="dxa"/>
            <w:tcBorders>
              <w:top w:val="single" w:sz="2" w:space="0" w:color="auto"/>
              <w:left w:val="single" w:sz="2" w:space="0" w:color="auto"/>
              <w:bottom w:val="single" w:sz="2" w:space="0" w:color="auto"/>
              <w:right w:val="single" w:sz="2" w:space="0" w:color="auto"/>
            </w:tcBorders>
          </w:tcPr>
          <w:p w14:paraId="5680F787" w14:textId="77777777" w:rsidR="009F4766" w:rsidRPr="00DE12A3" w:rsidRDefault="009F4766" w:rsidP="00C917D6">
            <w:pPr>
              <w:pStyle w:val="NormalLeft"/>
            </w:pPr>
            <w:r w:rsidRPr="00DE12A3">
              <w:t>721</w:t>
            </w:r>
          </w:p>
        </w:tc>
        <w:tc>
          <w:tcPr>
            <w:tcW w:w="2489" w:type="dxa"/>
            <w:tcBorders>
              <w:top w:val="single" w:sz="2" w:space="0" w:color="auto"/>
              <w:left w:val="single" w:sz="2" w:space="0" w:color="auto"/>
              <w:bottom w:val="single" w:sz="2" w:space="0" w:color="auto"/>
              <w:right w:val="single" w:sz="2" w:space="0" w:color="auto"/>
            </w:tcBorders>
          </w:tcPr>
          <w:p w14:paraId="2CA4E251" w14:textId="77777777" w:rsidR="009F4766" w:rsidRPr="00DE12A3" w:rsidRDefault="009F4766" w:rsidP="00C917D6">
            <w:pPr>
              <w:pStyle w:val="NormalLeft"/>
            </w:pPr>
            <w:r w:rsidRPr="00DE12A3">
              <w:t>102</w:t>
            </w:r>
          </w:p>
        </w:tc>
        <w:tc>
          <w:tcPr>
            <w:tcW w:w="2551" w:type="dxa"/>
            <w:tcBorders>
              <w:top w:val="single" w:sz="2" w:space="0" w:color="auto"/>
              <w:left w:val="single" w:sz="2" w:space="0" w:color="auto"/>
              <w:bottom w:val="single" w:sz="2" w:space="0" w:color="auto"/>
              <w:right w:val="single" w:sz="2" w:space="0" w:color="auto"/>
            </w:tcBorders>
          </w:tcPr>
          <w:p w14:paraId="4C8B02F5" w14:textId="77777777" w:rsidR="009F4766" w:rsidRPr="00DE12A3" w:rsidRDefault="009F4766" w:rsidP="00C917D6">
            <w:pPr>
              <w:pStyle w:val="NormalLeft"/>
            </w:pPr>
            <w:r w:rsidRPr="00DE12A3">
              <w:t>70</w:t>
            </w:r>
          </w:p>
        </w:tc>
      </w:tr>
      <w:tr w:rsidR="00DE12A3" w:rsidRPr="00DE12A3" w14:paraId="4F2D9B50" w14:textId="77777777" w:rsidTr="009F4766">
        <w:tc>
          <w:tcPr>
            <w:tcW w:w="1182" w:type="dxa"/>
            <w:tcBorders>
              <w:top w:val="single" w:sz="2" w:space="0" w:color="auto"/>
              <w:left w:val="single" w:sz="2" w:space="0" w:color="auto"/>
              <w:bottom w:val="single" w:sz="2" w:space="0" w:color="auto"/>
              <w:right w:val="single" w:sz="2" w:space="0" w:color="auto"/>
            </w:tcBorders>
          </w:tcPr>
          <w:p w14:paraId="1268ECE6" w14:textId="77777777" w:rsidR="009F4766" w:rsidRPr="00DE12A3" w:rsidRDefault="009F4766" w:rsidP="00C917D6">
            <w:pPr>
              <w:pStyle w:val="NormalLeft"/>
            </w:pPr>
            <w:r w:rsidRPr="00DE12A3">
              <w:t>722</w:t>
            </w:r>
          </w:p>
        </w:tc>
        <w:tc>
          <w:tcPr>
            <w:tcW w:w="2489" w:type="dxa"/>
            <w:tcBorders>
              <w:top w:val="single" w:sz="2" w:space="0" w:color="auto"/>
              <w:left w:val="single" w:sz="2" w:space="0" w:color="auto"/>
              <w:bottom w:val="single" w:sz="2" w:space="0" w:color="auto"/>
              <w:right w:val="single" w:sz="2" w:space="0" w:color="auto"/>
            </w:tcBorders>
          </w:tcPr>
          <w:p w14:paraId="5E54E8FA" w14:textId="77777777" w:rsidR="009F4766" w:rsidRPr="00DE12A3" w:rsidRDefault="009F4766" w:rsidP="00C917D6">
            <w:pPr>
              <w:pStyle w:val="NormalLeft"/>
            </w:pPr>
            <w:r w:rsidRPr="00DE12A3">
              <w:t>102</w:t>
            </w:r>
          </w:p>
        </w:tc>
        <w:tc>
          <w:tcPr>
            <w:tcW w:w="2551" w:type="dxa"/>
            <w:tcBorders>
              <w:top w:val="single" w:sz="2" w:space="0" w:color="auto"/>
              <w:left w:val="single" w:sz="2" w:space="0" w:color="auto"/>
              <w:bottom w:val="single" w:sz="2" w:space="0" w:color="auto"/>
              <w:right w:val="single" w:sz="2" w:space="0" w:color="auto"/>
            </w:tcBorders>
          </w:tcPr>
          <w:p w14:paraId="7A7AAC36" w14:textId="77777777" w:rsidR="009F4766" w:rsidRPr="00DE12A3" w:rsidRDefault="009F4766" w:rsidP="00C917D6">
            <w:pPr>
              <w:pStyle w:val="NormalLeft"/>
            </w:pPr>
            <w:r w:rsidRPr="00DE12A3">
              <w:t>62</w:t>
            </w:r>
          </w:p>
        </w:tc>
      </w:tr>
      <w:tr w:rsidR="00DE12A3" w:rsidRPr="00DE12A3" w14:paraId="4863EC3F" w14:textId="77777777" w:rsidTr="009F4766">
        <w:tc>
          <w:tcPr>
            <w:tcW w:w="1182" w:type="dxa"/>
            <w:tcBorders>
              <w:top w:val="single" w:sz="2" w:space="0" w:color="auto"/>
              <w:left w:val="single" w:sz="2" w:space="0" w:color="auto"/>
              <w:bottom w:val="single" w:sz="2" w:space="0" w:color="auto"/>
              <w:right w:val="single" w:sz="2" w:space="0" w:color="auto"/>
            </w:tcBorders>
          </w:tcPr>
          <w:p w14:paraId="23AC241B" w14:textId="77777777" w:rsidR="009F4766" w:rsidRPr="00DE12A3" w:rsidRDefault="009F4766" w:rsidP="00C917D6">
            <w:pPr>
              <w:pStyle w:val="NormalLeft"/>
            </w:pPr>
            <w:r w:rsidRPr="00DE12A3">
              <w:t>723</w:t>
            </w:r>
          </w:p>
        </w:tc>
        <w:tc>
          <w:tcPr>
            <w:tcW w:w="2489" w:type="dxa"/>
            <w:tcBorders>
              <w:top w:val="single" w:sz="2" w:space="0" w:color="auto"/>
              <w:left w:val="single" w:sz="2" w:space="0" w:color="auto"/>
              <w:bottom w:val="single" w:sz="2" w:space="0" w:color="auto"/>
              <w:right w:val="single" w:sz="2" w:space="0" w:color="auto"/>
            </w:tcBorders>
          </w:tcPr>
          <w:p w14:paraId="1DF1E3B2" w14:textId="77777777" w:rsidR="009F4766" w:rsidRPr="00DE12A3" w:rsidRDefault="009F4766" w:rsidP="00C917D6">
            <w:pPr>
              <w:pStyle w:val="NormalLeft"/>
            </w:pPr>
            <w:r w:rsidRPr="00DE12A3">
              <w:t>104</w:t>
            </w:r>
          </w:p>
        </w:tc>
        <w:tc>
          <w:tcPr>
            <w:tcW w:w="2551" w:type="dxa"/>
            <w:tcBorders>
              <w:top w:val="single" w:sz="2" w:space="0" w:color="auto"/>
              <w:left w:val="single" w:sz="2" w:space="0" w:color="auto"/>
              <w:bottom w:val="single" w:sz="2" w:space="0" w:color="auto"/>
              <w:right w:val="single" w:sz="2" w:space="0" w:color="auto"/>
            </w:tcBorders>
          </w:tcPr>
          <w:p w14:paraId="63B8ECDE" w14:textId="77777777" w:rsidR="009F4766" w:rsidRPr="00DE12A3" w:rsidRDefault="009F4766" w:rsidP="00C917D6">
            <w:pPr>
              <w:pStyle w:val="NormalLeft"/>
            </w:pPr>
            <w:r w:rsidRPr="00DE12A3">
              <w:t>38</w:t>
            </w:r>
          </w:p>
        </w:tc>
      </w:tr>
      <w:tr w:rsidR="00DE12A3" w:rsidRPr="00DE12A3" w14:paraId="4FC95C46" w14:textId="77777777" w:rsidTr="009F4766">
        <w:tc>
          <w:tcPr>
            <w:tcW w:w="1182" w:type="dxa"/>
            <w:tcBorders>
              <w:top w:val="single" w:sz="2" w:space="0" w:color="auto"/>
              <w:left w:val="single" w:sz="2" w:space="0" w:color="auto"/>
              <w:bottom w:val="single" w:sz="2" w:space="0" w:color="auto"/>
              <w:right w:val="single" w:sz="2" w:space="0" w:color="auto"/>
            </w:tcBorders>
          </w:tcPr>
          <w:p w14:paraId="3C6B006F" w14:textId="77777777" w:rsidR="009F4766" w:rsidRPr="00DE12A3" w:rsidRDefault="009F4766" w:rsidP="00C917D6">
            <w:pPr>
              <w:pStyle w:val="NormalLeft"/>
            </w:pPr>
            <w:r w:rsidRPr="00DE12A3">
              <w:t>724</w:t>
            </w:r>
          </w:p>
        </w:tc>
        <w:tc>
          <w:tcPr>
            <w:tcW w:w="2489" w:type="dxa"/>
            <w:tcBorders>
              <w:top w:val="single" w:sz="2" w:space="0" w:color="auto"/>
              <w:left w:val="single" w:sz="2" w:space="0" w:color="auto"/>
              <w:bottom w:val="single" w:sz="2" w:space="0" w:color="auto"/>
              <w:right w:val="single" w:sz="2" w:space="0" w:color="auto"/>
            </w:tcBorders>
          </w:tcPr>
          <w:p w14:paraId="6FFC6A1A" w14:textId="77777777" w:rsidR="009F4766" w:rsidRPr="00DE12A3" w:rsidRDefault="009F4766" w:rsidP="00C917D6">
            <w:pPr>
              <w:pStyle w:val="NormalLeft"/>
            </w:pPr>
            <w:r w:rsidRPr="00DE12A3">
              <w:t>104</w:t>
            </w:r>
          </w:p>
        </w:tc>
        <w:tc>
          <w:tcPr>
            <w:tcW w:w="2551" w:type="dxa"/>
            <w:tcBorders>
              <w:top w:val="single" w:sz="2" w:space="0" w:color="auto"/>
              <w:left w:val="single" w:sz="2" w:space="0" w:color="auto"/>
              <w:bottom w:val="single" w:sz="2" w:space="0" w:color="auto"/>
              <w:right w:val="single" w:sz="2" w:space="0" w:color="auto"/>
            </w:tcBorders>
          </w:tcPr>
          <w:p w14:paraId="417F6819" w14:textId="77777777" w:rsidR="009F4766" w:rsidRPr="00DE12A3" w:rsidRDefault="009F4766" w:rsidP="00C917D6">
            <w:pPr>
              <w:pStyle w:val="NormalLeft"/>
            </w:pPr>
            <w:r w:rsidRPr="00DE12A3">
              <w:t>15</w:t>
            </w:r>
          </w:p>
        </w:tc>
      </w:tr>
      <w:tr w:rsidR="00DE12A3" w:rsidRPr="00DE12A3" w14:paraId="624A1A5C" w14:textId="77777777" w:rsidTr="009F4766">
        <w:tc>
          <w:tcPr>
            <w:tcW w:w="1182" w:type="dxa"/>
            <w:tcBorders>
              <w:top w:val="single" w:sz="2" w:space="0" w:color="auto"/>
              <w:left w:val="single" w:sz="2" w:space="0" w:color="auto"/>
              <w:bottom w:val="single" w:sz="2" w:space="0" w:color="auto"/>
              <w:right w:val="single" w:sz="2" w:space="0" w:color="auto"/>
            </w:tcBorders>
          </w:tcPr>
          <w:p w14:paraId="7AE5D76C" w14:textId="77777777" w:rsidR="009F4766" w:rsidRPr="00DE12A3" w:rsidRDefault="009F4766" w:rsidP="00C917D6">
            <w:pPr>
              <w:pStyle w:val="NormalLeft"/>
            </w:pPr>
            <w:r w:rsidRPr="00DE12A3">
              <w:t>725</w:t>
            </w:r>
          </w:p>
        </w:tc>
        <w:tc>
          <w:tcPr>
            <w:tcW w:w="2489" w:type="dxa"/>
            <w:tcBorders>
              <w:top w:val="single" w:sz="2" w:space="0" w:color="auto"/>
              <w:left w:val="single" w:sz="2" w:space="0" w:color="auto"/>
              <w:bottom w:val="single" w:sz="2" w:space="0" w:color="auto"/>
              <w:right w:val="single" w:sz="2" w:space="0" w:color="auto"/>
            </w:tcBorders>
          </w:tcPr>
          <w:p w14:paraId="5E863CF3" w14:textId="77777777" w:rsidR="009F4766" w:rsidRPr="00DE12A3" w:rsidRDefault="009F4766" w:rsidP="00C917D6">
            <w:pPr>
              <w:pStyle w:val="NormalLeft"/>
            </w:pPr>
            <w:r w:rsidRPr="00DE12A3">
              <w:t>102</w:t>
            </w:r>
          </w:p>
        </w:tc>
        <w:tc>
          <w:tcPr>
            <w:tcW w:w="2551" w:type="dxa"/>
            <w:tcBorders>
              <w:top w:val="single" w:sz="2" w:space="0" w:color="auto"/>
              <w:left w:val="single" w:sz="2" w:space="0" w:color="auto"/>
              <w:bottom w:val="single" w:sz="2" w:space="0" w:color="auto"/>
              <w:right w:val="single" w:sz="2" w:space="0" w:color="auto"/>
            </w:tcBorders>
          </w:tcPr>
          <w:p w14:paraId="5EDD13B6" w14:textId="77777777" w:rsidR="009F4766" w:rsidRPr="00DE12A3" w:rsidRDefault="009F4766" w:rsidP="00C917D6">
            <w:pPr>
              <w:pStyle w:val="NormalLeft"/>
            </w:pPr>
            <w:r w:rsidRPr="00DE12A3">
              <w:t>24</w:t>
            </w:r>
          </w:p>
        </w:tc>
      </w:tr>
      <w:tr w:rsidR="00DE12A3" w:rsidRPr="00DE12A3" w14:paraId="2D6A744A" w14:textId="77777777" w:rsidTr="009F4766">
        <w:tc>
          <w:tcPr>
            <w:tcW w:w="1182" w:type="dxa"/>
            <w:tcBorders>
              <w:top w:val="single" w:sz="2" w:space="0" w:color="auto"/>
              <w:left w:val="single" w:sz="2" w:space="0" w:color="auto"/>
              <w:bottom w:val="single" w:sz="2" w:space="0" w:color="auto"/>
              <w:right w:val="single" w:sz="2" w:space="0" w:color="auto"/>
            </w:tcBorders>
          </w:tcPr>
          <w:p w14:paraId="4FE2352E" w14:textId="77777777" w:rsidR="009F4766" w:rsidRPr="00DE12A3" w:rsidRDefault="009F4766" w:rsidP="00C917D6">
            <w:pPr>
              <w:pStyle w:val="NormalLeft"/>
            </w:pPr>
            <w:r w:rsidRPr="00DE12A3">
              <w:t>726</w:t>
            </w:r>
          </w:p>
        </w:tc>
        <w:tc>
          <w:tcPr>
            <w:tcW w:w="2489" w:type="dxa"/>
            <w:tcBorders>
              <w:top w:val="single" w:sz="2" w:space="0" w:color="auto"/>
              <w:left w:val="single" w:sz="2" w:space="0" w:color="auto"/>
              <w:bottom w:val="single" w:sz="2" w:space="0" w:color="auto"/>
              <w:right w:val="single" w:sz="2" w:space="0" w:color="auto"/>
            </w:tcBorders>
          </w:tcPr>
          <w:p w14:paraId="341F05EB" w14:textId="77777777" w:rsidR="009F4766" w:rsidRPr="00DE12A3" w:rsidRDefault="009F4766" w:rsidP="00C917D6">
            <w:pPr>
              <w:pStyle w:val="NormalLeft"/>
            </w:pPr>
            <w:r w:rsidRPr="00DE12A3">
              <w:t>102</w:t>
            </w:r>
          </w:p>
        </w:tc>
        <w:tc>
          <w:tcPr>
            <w:tcW w:w="2551" w:type="dxa"/>
            <w:tcBorders>
              <w:top w:val="single" w:sz="2" w:space="0" w:color="auto"/>
              <w:left w:val="single" w:sz="2" w:space="0" w:color="auto"/>
              <w:bottom w:val="single" w:sz="2" w:space="0" w:color="auto"/>
              <w:right w:val="single" w:sz="2" w:space="0" w:color="auto"/>
            </w:tcBorders>
          </w:tcPr>
          <w:p w14:paraId="2532EAE7" w14:textId="77777777" w:rsidR="009F4766" w:rsidRPr="00DE12A3" w:rsidRDefault="009F4766" w:rsidP="00C917D6">
            <w:pPr>
              <w:pStyle w:val="NormalLeft"/>
            </w:pPr>
            <w:r w:rsidRPr="00DE12A3">
              <w:t>45</w:t>
            </w:r>
          </w:p>
        </w:tc>
      </w:tr>
      <w:tr w:rsidR="00DE12A3" w:rsidRPr="00DE12A3" w14:paraId="70A15A24" w14:textId="77777777" w:rsidTr="009F4766">
        <w:tc>
          <w:tcPr>
            <w:tcW w:w="1182" w:type="dxa"/>
            <w:tcBorders>
              <w:top w:val="single" w:sz="2" w:space="0" w:color="auto"/>
              <w:left w:val="single" w:sz="2" w:space="0" w:color="auto"/>
              <w:bottom w:val="single" w:sz="2" w:space="0" w:color="auto"/>
              <w:right w:val="single" w:sz="2" w:space="0" w:color="auto"/>
            </w:tcBorders>
          </w:tcPr>
          <w:p w14:paraId="67FC0296" w14:textId="77777777" w:rsidR="009F4766" w:rsidRPr="00DE12A3" w:rsidRDefault="009F4766" w:rsidP="00C917D6">
            <w:pPr>
              <w:pStyle w:val="NormalLeft"/>
            </w:pPr>
            <w:r w:rsidRPr="00DE12A3">
              <w:t>727</w:t>
            </w:r>
          </w:p>
        </w:tc>
        <w:tc>
          <w:tcPr>
            <w:tcW w:w="2489" w:type="dxa"/>
            <w:tcBorders>
              <w:top w:val="single" w:sz="2" w:space="0" w:color="auto"/>
              <w:left w:val="single" w:sz="2" w:space="0" w:color="auto"/>
              <w:bottom w:val="single" w:sz="2" w:space="0" w:color="auto"/>
              <w:right w:val="single" w:sz="2" w:space="0" w:color="auto"/>
            </w:tcBorders>
          </w:tcPr>
          <w:p w14:paraId="49FC2E2D" w14:textId="77777777" w:rsidR="009F4766" w:rsidRPr="00DE12A3" w:rsidRDefault="009F4766" w:rsidP="00C917D6">
            <w:pPr>
              <w:pStyle w:val="NormalLeft"/>
            </w:pPr>
            <w:r w:rsidRPr="00DE12A3">
              <w:t>102</w:t>
            </w:r>
          </w:p>
        </w:tc>
        <w:tc>
          <w:tcPr>
            <w:tcW w:w="2551" w:type="dxa"/>
            <w:tcBorders>
              <w:top w:val="single" w:sz="2" w:space="0" w:color="auto"/>
              <w:left w:val="single" w:sz="2" w:space="0" w:color="auto"/>
              <w:bottom w:val="single" w:sz="2" w:space="0" w:color="auto"/>
              <w:right w:val="single" w:sz="2" w:space="0" w:color="auto"/>
            </w:tcBorders>
          </w:tcPr>
          <w:p w14:paraId="6A844D96" w14:textId="77777777" w:rsidR="009F4766" w:rsidRPr="00DE12A3" w:rsidRDefault="009F4766" w:rsidP="00C917D6">
            <w:pPr>
              <w:pStyle w:val="NormalLeft"/>
            </w:pPr>
            <w:r w:rsidRPr="00DE12A3">
              <w:t>47</w:t>
            </w:r>
          </w:p>
        </w:tc>
      </w:tr>
      <w:tr w:rsidR="00DE12A3" w:rsidRPr="00DE12A3" w14:paraId="22FAC9F4" w14:textId="77777777" w:rsidTr="009F4766">
        <w:tc>
          <w:tcPr>
            <w:tcW w:w="1182" w:type="dxa"/>
            <w:tcBorders>
              <w:top w:val="single" w:sz="2" w:space="0" w:color="auto"/>
              <w:left w:val="single" w:sz="2" w:space="0" w:color="auto"/>
              <w:bottom w:val="single" w:sz="2" w:space="0" w:color="auto"/>
              <w:right w:val="single" w:sz="2" w:space="0" w:color="auto"/>
            </w:tcBorders>
          </w:tcPr>
          <w:p w14:paraId="790C116F" w14:textId="77777777" w:rsidR="009F4766" w:rsidRPr="00DE12A3" w:rsidRDefault="009F4766" w:rsidP="00C917D6">
            <w:pPr>
              <w:pStyle w:val="NormalLeft"/>
            </w:pPr>
            <w:r w:rsidRPr="00DE12A3">
              <w:t>728</w:t>
            </w:r>
          </w:p>
        </w:tc>
        <w:tc>
          <w:tcPr>
            <w:tcW w:w="2489" w:type="dxa"/>
            <w:tcBorders>
              <w:top w:val="single" w:sz="2" w:space="0" w:color="auto"/>
              <w:left w:val="single" w:sz="2" w:space="0" w:color="auto"/>
              <w:bottom w:val="single" w:sz="2" w:space="0" w:color="auto"/>
              <w:right w:val="single" w:sz="2" w:space="0" w:color="auto"/>
            </w:tcBorders>
          </w:tcPr>
          <w:p w14:paraId="5F05C0FD" w14:textId="77777777" w:rsidR="009F4766" w:rsidRPr="00DE12A3" w:rsidRDefault="009F4766" w:rsidP="00C917D6">
            <w:pPr>
              <w:pStyle w:val="NormalLeft"/>
            </w:pPr>
            <w:r w:rsidRPr="00DE12A3">
              <w:t>104</w:t>
            </w:r>
          </w:p>
        </w:tc>
        <w:tc>
          <w:tcPr>
            <w:tcW w:w="2551" w:type="dxa"/>
            <w:tcBorders>
              <w:top w:val="single" w:sz="2" w:space="0" w:color="auto"/>
              <w:left w:val="single" w:sz="2" w:space="0" w:color="auto"/>
              <w:bottom w:val="single" w:sz="2" w:space="0" w:color="auto"/>
              <w:right w:val="single" w:sz="2" w:space="0" w:color="auto"/>
            </w:tcBorders>
          </w:tcPr>
          <w:p w14:paraId="7AC998E0" w14:textId="77777777" w:rsidR="009F4766" w:rsidRPr="00DE12A3" w:rsidRDefault="009F4766" w:rsidP="00C917D6">
            <w:pPr>
              <w:pStyle w:val="NormalLeft"/>
            </w:pPr>
            <w:r w:rsidRPr="00DE12A3">
              <w:t>40</w:t>
            </w:r>
          </w:p>
        </w:tc>
      </w:tr>
      <w:tr w:rsidR="00DE12A3" w:rsidRPr="00DE12A3" w14:paraId="13D1A160" w14:textId="77777777" w:rsidTr="009F4766">
        <w:tc>
          <w:tcPr>
            <w:tcW w:w="1182" w:type="dxa"/>
            <w:tcBorders>
              <w:top w:val="single" w:sz="2" w:space="0" w:color="auto"/>
              <w:left w:val="single" w:sz="2" w:space="0" w:color="auto"/>
              <w:bottom w:val="single" w:sz="2" w:space="0" w:color="auto"/>
              <w:right w:val="single" w:sz="2" w:space="0" w:color="auto"/>
            </w:tcBorders>
          </w:tcPr>
          <w:p w14:paraId="0A2263CB" w14:textId="77777777" w:rsidR="009F4766" w:rsidRPr="00DE12A3" w:rsidRDefault="009F4766" w:rsidP="00C917D6">
            <w:pPr>
              <w:pStyle w:val="NormalLeft"/>
            </w:pPr>
            <w:r w:rsidRPr="00DE12A3">
              <w:t>729</w:t>
            </w:r>
          </w:p>
        </w:tc>
        <w:tc>
          <w:tcPr>
            <w:tcW w:w="2489" w:type="dxa"/>
            <w:tcBorders>
              <w:top w:val="single" w:sz="2" w:space="0" w:color="auto"/>
              <w:left w:val="single" w:sz="2" w:space="0" w:color="auto"/>
              <w:bottom w:val="single" w:sz="2" w:space="0" w:color="auto"/>
              <w:right w:val="single" w:sz="2" w:space="0" w:color="auto"/>
            </w:tcBorders>
          </w:tcPr>
          <w:p w14:paraId="645B2787" w14:textId="77777777" w:rsidR="009F4766" w:rsidRPr="00DE12A3" w:rsidRDefault="009F4766" w:rsidP="00C917D6">
            <w:pPr>
              <w:pStyle w:val="NormalLeft"/>
            </w:pPr>
            <w:r w:rsidRPr="00DE12A3">
              <w:t>101</w:t>
            </w:r>
          </w:p>
        </w:tc>
        <w:tc>
          <w:tcPr>
            <w:tcW w:w="2551" w:type="dxa"/>
            <w:tcBorders>
              <w:top w:val="single" w:sz="2" w:space="0" w:color="auto"/>
              <w:left w:val="single" w:sz="2" w:space="0" w:color="auto"/>
              <w:bottom w:val="single" w:sz="2" w:space="0" w:color="auto"/>
              <w:right w:val="single" w:sz="2" w:space="0" w:color="auto"/>
            </w:tcBorders>
          </w:tcPr>
          <w:p w14:paraId="18085C82" w14:textId="77777777" w:rsidR="009F4766" w:rsidRPr="00DE12A3" w:rsidRDefault="009F4766" w:rsidP="00C917D6">
            <w:pPr>
              <w:pStyle w:val="NormalLeft"/>
            </w:pPr>
            <w:r w:rsidRPr="00DE12A3">
              <w:t>52</w:t>
            </w:r>
          </w:p>
        </w:tc>
      </w:tr>
      <w:tr w:rsidR="00DE12A3" w:rsidRPr="00DE12A3" w14:paraId="0222A750" w14:textId="77777777" w:rsidTr="009F4766">
        <w:tc>
          <w:tcPr>
            <w:tcW w:w="1182" w:type="dxa"/>
            <w:tcBorders>
              <w:top w:val="single" w:sz="2" w:space="0" w:color="auto"/>
              <w:left w:val="single" w:sz="2" w:space="0" w:color="auto"/>
              <w:bottom w:val="single" w:sz="2" w:space="0" w:color="auto"/>
              <w:right w:val="single" w:sz="2" w:space="0" w:color="auto"/>
            </w:tcBorders>
          </w:tcPr>
          <w:p w14:paraId="6C28918D" w14:textId="77777777" w:rsidR="009F4766" w:rsidRPr="00DE12A3" w:rsidRDefault="009F4766" w:rsidP="00C917D6">
            <w:pPr>
              <w:pStyle w:val="NormalLeft"/>
            </w:pPr>
            <w:r w:rsidRPr="00DE12A3">
              <w:t>730</w:t>
            </w:r>
          </w:p>
        </w:tc>
        <w:tc>
          <w:tcPr>
            <w:tcW w:w="2489" w:type="dxa"/>
            <w:tcBorders>
              <w:top w:val="single" w:sz="2" w:space="0" w:color="auto"/>
              <w:left w:val="single" w:sz="2" w:space="0" w:color="auto"/>
              <w:bottom w:val="single" w:sz="2" w:space="0" w:color="auto"/>
              <w:right w:val="single" w:sz="2" w:space="0" w:color="auto"/>
            </w:tcBorders>
          </w:tcPr>
          <w:p w14:paraId="6B64B878" w14:textId="77777777" w:rsidR="009F4766" w:rsidRPr="00DE12A3" w:rsidRDefault="009F4766" w:rsidP="00C917D6">
            <w:pPr>
              <w:pStyle w:val="NormalLeft"/>
            </w:pPr>
            <w:r w:rsidRPr="00DE12A3">
              <w:t>103</w:t>
            </w:r>
          </w:p>
        </w:tc>
        <w:tc>
          <w:tcPr>
            <w:tcW w:w="2551" w:type="dxa"/>
            <w:tcBorders>
              <w:top w:val="single" w:sz="2" w:space="0" w:color="auto"/>
              <w:left w:val="single" w:sz="2" w:space="0" w:color="auto"/>
              <w:bottom w:val="single" w:sz="2" w:space="0" w:color="auto"/>
              <w:right w:val="single" w:sz="2" w:space="0" w:color="auto"/>
            </w:tcBorders>
          </w:tcPr>
          <w:p w14:paraId="1205C351" w14:textId="77777777" w:rsidR="009F4766" w:rsidRPr="00DE12A3" w:rsidRDefault="009F4766" w:rsidP="00C917D6">
            <w:pPr>
              <w:pStyle w:val="NormalLeft"/>
            </w:pPr>
            <w:r w:rsidRPr="00DE12A3">
              <w:t>32</w:t>
            </w:r>
          </w:p>
        </w:tc>
      </w:tr>
      <w:tr w:rsidR="00DE12A3" w:rsidRPr="00DE12A3" w14:paraId="67244D2D" w14:textId="77777777" w:rsidTr="009F4766">
        <w:tc>
          <w:tcPr>
            <w:tcW w:w="1182" w:type="dxa"/>
            <w:tcBorders>
              <w:top w:val="single" w:sz="2" w:space="0" w:color="auto"/>
              <w:left w:val="single" w:sz="2" w:space="0" w:color="auto"/>
              <w:bottom w:val="single" w:sz="2" w:space="0" w:color="auto"/>
              <w:right w:val="single" w:sz="2" w:space="0" w:color="auto"/>
            </w:tcBorders>
          </w:tcPr>
          <w:p w14:paraId="067953F9" w14:textId="77777777" w:rsidR="009F4766" w:rsidRPr="00DE12A3" w:rsidRDefault="009F4766" w:rsidP="00C917D6">
            <w:pPr>
              <w:pStyle w:val="NormalLeft"/>
            </w:pPr>
            <w:r w:rsidRPr="00DE12A3">
              <w:t>731</w:t>
            </w:r>
          </w:p>
        </w:tc>
        <w:tc>
          <w:tcPr>
            <w:tcW w:w="2489" w:type="dxa"/>
            <w:tcBorders>
              <w:top w:val="single" w:sz="2" w:space="0" w:color="auto"/>
              <w:left w:val="single" w:sz="2" w:space="0" w:color="auto"/>
              <w:bottom w:val="single" w:sz="2" w:space="0" w:color="auto"/>
              <w:right w:val="single" w:sz="2" w:space="0" w:color="auto"/>
            </w:tcBorders>
          </w:tcPr>
          <w:p w14:paraId="77973BDE" w14:textId="77777777" w:rsidR="009F4766" w:rsidRPr="00DE12A3" w:rsidRDefault="009F4766" w:rsidP="00C917D6">
            <w:pPr>
              <w:pStyle w:val="NormalLeft"/>
            </w:pPr>
            <w:r w:rsidRPr="00DE12A3">
              <w:t>102</w:t>
            </w:r>
          </w:p>
        </w:tc>
        <w:tc>
          <w:tcPr>
            <w:tcW w:w="2551" w:type="dxa"/>
            <w:tcBorders>
              <w:top w:val="single" w:sz="2" w:space="0" w:color="auto"/>
              <w:left w:val="single" w:sz="2" w:space="0" w:color="auto"/>
              <w:bottom w:val="single" w:sz="2" w:space="0" w:color="auto"/>
              <w:right w:val="single" w:sz="2" w:space="0" w:color="auto"/>
            </w:tcBorders>
          </w:tcPr>
          <w:p w14:paraId="7FE09E42" w14:textId="77777777" w:rsidR="009F4766" w:rsidRPr="00DE12A3" w:rsidRDefault="009F4766" w:rsidP="00C917D6">
            <w:pPr>
              <w:pStyle w:val="NormalLeft"/>
            </w:pPr>
            <w:r w:rsidRPr="00DE12A3">
              <w:t>50</w:t>
            </w:r>
          </w:p>
        </w:tc>
      </w:tr>
      <w:tr w:rsidR="00DE12A3" w:rsidRPr="00DE12A3" w14:paraId="280116F5" w14:textId="77777777" w:rsidTr="009F4766">
        <w:tc>
          <w:tcPr>
            <w:tcW w:w="1182" w:type="dxa"/>
            <w:tcBorders>
              <w:top w:val="single" w:sz="2" w:space="0" w:color="auto"/>
              <w:left w:val="single" w:sz="2" w:space="0" w:color="auto"/>
              <w:bottom w:val="single" w:sz="2" w:space="0" w:color="auto"/>
              <w:right w:val="single" w:sz="2" w:space="0" w:color="auto"/>
            </w:tcBorders>
          </w:tcPr>
          <w:p w14:paraId="76B19348" w14:textId="77777777" w:rsidR="009F4766" w:rsidRPr="00DE12A3" w:rsidRDefault="009F4766" w:rsidP="00C917D6">
            <w:pPr>
              <w:pStyle w:val="NormalLeft"/>
            </w:pPr>
            <w:r w:rsidRPr="00DE12A3">
              <w:t>732</w:t>
            </w:r>
          </w:p>
        </w:tc>
        <w:tc>
          <w:tcPr>
            <w:tcW w:w="2489" w:type="dxa"/>
            <w:tcBorders>
              <w:top w:val="single" w:sz="2" w:space="0" w:color="auto"/>
              <w:left w:val="single" w:sz="2" w:space="0" w:color="auto"/>
              <w:bottom w:val="single" w:sz="2" w:space="0" w:color="auto"/>
              <w:right w:val="single" w:sz="2" w:space="0" w:color="auto"/>
            </w:tcBorders>
          </w:tcPr>
          <w:p w14:paraId="156C2C7E" w14:textId="77777777" w:rsidR="009F4766" w:rsidRPr="00DE12A3" w:rsidRDefault="009F4766" w:rsidP="00C917D6">
            <w:pPr>
              <w:pStyle w:val="NormalLeft"/>
            </w:pPr>
            <w:r w:rsidRPr="00DE12A3">
              <w:t>103</w:t>
            </w:r>
          </w:p>
        </w:tc>
        <w:tc>
          <w:tcPr>
            <w:tcW w:w="2551" w:type="dxa"/>
            <w:tcBorders>
              <w:top w:val="single" w:sz="2" w:space="0" w:color="auto"/>
              <w:left w:val="single" w:sz="2" w:space="0" w:color="auto"/>
              <w:bottom w:val="single" w:sz="2" w:space="0" w:color="auto"/>
              <w:right w:val="single" w:sz="2" w:space="0" w:color="auto"/>
            </w:tcBorders>
          </w:tcPr>
          <w:p w14:paraId="71F390A6" w14:textId="77777777" w:rsidR="009F4766" w:rsidRPr="00DE12A3" w:rsidRDefault="009F4766" w:rsidP="00C917D6">
            <w:pPr>
              <w:pStyle w:val="NormalLeft"/>
            </w:pPr>
            <w:r w:rsidRPr="00DE12A3">
              <w:t>30</w:t>
            </w:r>
          </w:p>
        </w:tc>
      </w:tr>
      <w:tr w:rsidR="00DE12A3" w:rsidRPr="00DE12A3" w14:paraId="776AF67B" w14:textId="77777777" w:rsidTr="009F4766">
        <w:tc>
          <w:tcPr>
            <w:tcW w:w="1182" w:type="dxa"/>
            <w:tcBorders>
              <w:top w:val="single" w:sz="2" w:space="0" w:color="auto"/>
              <w:left w:val="single" w:sz="2" w:space="0" w:color="auto"/>
              <w:bottom w:val="single" w:sz="2" w:space="0" w:color="auto"/>
              <w:right w:val="single" w:sz="2" w:space="0" w:color="auto"/>
            </w:tcBorders>
          </w:tcPr>
          <w:p w14:paraId="4CDA8926" w14:textId="77777777" w:rsidR="009F4766" w:rsidRPr="00DE12A3" w:rsidRDefault="009F4766" w:rsidP="00C917D6">
            <w:pPr>
              <w:pStyle w:val="NormalLeft"/>
            </w:pPr>
            <w:r w:rsidRPr="00DE12A3">
              <w:t>733</w:t>
            </w:r>
          </w:p>
        </w:tc>
        <w:tc>
          <w:tcPr>
            <w:tcW w:w="2489" w:type="dxa"/>
            <w:tcBorders>
              <w:top w:val="single" w:sz="2" w:space="0" w:color="auto"/>
              <w:left w:val="single" w:sz="2" w:space="0" w:color="auto"/>
              <w:bottom w:val="single" w:sz="2" w:space="0" w:color="auto"/>
              <w:right w:val="single" w:sz="2" w:space="0" w:color="auto"/>
            </w:tcBorders>
          </w:tcPr>
          <w:p w14:paraId="76CC4FF7" w14:textId="77777777" w:rsidR="009F4766" w:rsidRPr="00DE12A3" w:rsidRDefault="009F4766" w:rsidP="00C917D6">
            <w:pPr>
              <w:pStyle w:val="NormalLeft"/>
            </w:pPr>
            <w:r w:rsidRPr="00DE12A3">
              <w:t>103</w:t>
            </w:r>
          </w:p>
        </w:tc>
        <w:tc>
          <w:tcPr>
            <w:tcW w:w="2551" w:type="dxa"/>
            <w:tcBorders>
              <w:top w:val="single" w:sz="2" w:space="0" w:color="auto"/>
              <w:left w:val="single" w:sz="2" w:space="0" w:color="auto"/>
              <w:bottom w:val="single" w:sz="2" w:space="0" w:color="auto"/>
              <w:right w:val="single" w:sz="2" w:space="0" w:color="auto"/>
            </w:tcBorders>
          </w:tcPr>
          <w:p w14:paraId="1724BCC8" w14:textId="77777777" w:rsidR="009F4766" w:rsidRPr="00DE12A3" w:rsidRDefault="009F4766" w:rsidP="00C917D6">
            <w:pPr>
              <w:pStyle w:val="NormalLeft"/>
            </w:pPr>
            <w:r w:rsidRPr="00DE12A3">
              <w:t>44</w:t>
            </w:r>
          </w:p>
        </w:tc>
      </w:tr>
      <w:tr w:rsidR="00DE12A3" w:rsidRPr="00DE12A3" w14:paraId="5BEC0E56" w14:textId="77777777" w:rsidTr="009F4766">
        <w:tc>
          <w:tcPr>
            <w:tcW w:w="1182" w:type="dxa"/>
            <w:tcBorders>
              <w:top w:val="single" w:sz="2" w:space="0" w:color="auto"/>
              <w:left w:val="single" w:sz="2" w:space="0" w:color="auto"/>
              <w:bottom w:val="single" w:sz="2" w:space="0" w:color="auto"/>
              <w:right w:val="single" w:sz="2" w:space="0" w:color="auto"/>
            </w:tcBorders>
          </w:tcPr>
          <w:p w14:paraId="5D7EC4DE" w14:textId="77777777" w:rsidR="009F4766" w:rsidRPr="00DE12A3" w:rsidRDefault="009F4766" w:rsidP="00C917D6">
            <w:pPr>
              <w:pStyle w:val="NormalLeft"/>
            </w:pPr>
            <w:r w:rsidRPr="00DE12A3">
              <w:t>734</w:t>
            </w:r>
          </w:p>
        </w:tc>
        <w:tc>
          <w:tcPr>
            <w:tcW w:w="2489" w:type="dxa"/>
            <w:tcBorders>
              <w:top w:val="single" w:sz="2" w:space="0" w:color="auto"/>
              <w:left w:val="single" w:sz="2" w:space="0" w:color="auto"/>
              <w:bottom w:val="single" w:sz="2" w:space="0" w:color="auto"/>
              <w:right w:val="single" w:sz="2" w:space="0" w:color="auto"/>
            </w:tcBorders>
          </w:tcPr>
          <w:p w14:paraId="63535FF9" w14:textId="77777777" w:rsidR="009F4766" w:rsidRPr="00DE12A3" w:rsidRDefault="009F4766" w:rsidP="00C917D6">
            <w:pPr>
              <w:pStyle w:val="NormalLeft"/>
            </w:pPr>
            <w:r w:rsidRPr="00DE12A3">
              <w:t>102</w:t>
            </w:r>
          </w:p>
        </w:tc>
        <w:tc>
          <w:tcPr>
            <w:tcW w:w="2551" w:type="dxa"/>
            <w:tcBorders>
              <w:top w:val="single" w:sz="2" w:space="0" w:color="auto"/>
              <w:left w:val="single" w:sz="2" w:space="0" w:color="auto"/>
              <w:bottom w:val="single" w:sz="2" w:space="0" w:color="auto"/>
              <w:right w:val="single" w:sz="2" w:space="0" w:color="auto"/>
            </w:tcBorders>
          </w:tcPr>
          <w:p w14:paraId="1095BFCE" w14:textId="77777777" w:rsidR="009F4766" w:rsidRPr="00DE12A3" w:rsidRDefault="009F4766" w:rsidP="00C917D6">
            <w:pPr>
              <w:pStyle w:val="NormalLeft"/>
            </w:pPr>
            <w:r w:rsidRPr="00DE12A3">
              <w:t>40</w:t>
            </w:r>
          </w:p>
        </w:tc>
      </w:tr>
      <w:tr w:rsidR="00DE12A3" w:rsidRPr="00DE12A3" w14:paraId="1383C242" w14:textId="77777777" w:rsidTr="009F4766">
        <w:tc>
          <w:tcPr>
            <w:tcW w:w="1182" w:type="dxa"/>
            <w:tcBorders>
              <w:top w:val="single" w:sz="2" w:space="0" w:color="auto"/>
              <w:left w:val="single" w:sz="2" w:space="0" w:color="auto"/>
              <w:bottom w:val="single" w:sz="2" w:space="0" w:color="auto"/>
              <w:right w:val="single" w:sz="2" w:space="0" w:color="auto"/>
            </w:tcBorders>
          </w:tcPr>
          <w:p w14:paraId="09EEE48B" w14:textId="77777777" w:rsidR="009F4766" w:rsidRPr="00DE12A3" w:rsidRDefault="009F4766" w:rsidP="00C917D6">
            <w:pPr>
              <w:pStyle w:val="NormalLeft"/>
            </w:pPr>
            <w:r w:rsidRPr="00DE12A3">
              <w:t>735</w:t>
            </w:r>
          </w:p>
        </w:tc>
        <w:tc>
          <w:tcPr>
            <w:tcW w:w="2489" w:type="dxa"/>
            <w:tcBorders>
              <w:top w:val="single" w:sz="2" w:space="0" w:color="auto"/>
              <w:left w:val="single" w:sz="2" w:space="0" w:color="auto"/>
              <w:bottom w:val="single" w:sz="2" w:space="0" w:color="auto"/>
              <w:right w:val="single" w:sz="2" w:space="0" w:color="auto"/>
            </w:tcBorders>
          </w:tcPr>
          <w:p w14:paraId="2CC2602B" w14:textId="77777777" w:rsidR="009F4766" w:rsidRPr="00DE12A3" w:rsidRDefault="009F4766" w:rsidP="00C917D6">
            <w:pPr>
              <w:pStyle w:val="NormalLeft"/>
            </w:pPr>
            <w:r w:rsidRPr="00DE12A3">
              <w:t>103</w:t>
            </w:r>
          </w:p>
        </w:tc>
        <w:tc>
          <w:tcPr>
            <w:tcW w:w="2551" w:type="dxa"/>
            <w:tcBorders>
              <w:top w:val="single" w:sz="2" w:space="0" w:color="auto"/>
              <w:left w:val="single" w:sz="2" w:space="0" w:color="auto"/>
              <w:bottom w:val="single" w:sz="2" w:space="0" w:color="auto"/>
              <w:right w:val="single" w:sz="2" w:space="0" w:color="auto"/>
            </w:tcBorders>
          </w:tcPr>
          <w:p w14:paraId="37F029E3" w14:textId="77777777" w:rsidR="009F4766" w:rsidRPr="00DE12A3" w:rsidRDefault="009F4766" w:rsidP="00C917D6">
            <w:pPr>
              <w:pStyle w:val="NormalLeft"/>
            </w:pPr>
            <w:r w:rsidRPr="00DE12A3">
              <w:t>43</w:t>
            </w:r>
          </w:p>
        </w:tc>
      </w:tr>
      <w:tr w:rsidR="00DE12A3" w:rsidRPr="00DE12A3" w14:paraId="166F5C37" w14:textId="77777777" w:rsidTr="009F4766">
        <w:tc>
          <w:tcPr>
            <w:tcW w:w="1182" w:type="dxa"/>
            <w:tcBorders>
              <w:top w:val="single" w:sz="2" w:space="0" w:color="auto"/>
              <w:left w:val="single" w:sz="2" w:space="0" w:color="auto"/>
              <w:bottom w:val="single" w:sz="2" w:space="0" w:color="auto"/>
              <w:right w:val="single" w:sz="2" w:space="0" w:color="auto"/>
            </w:tcBorders>
          </w:tcPr>
          <w:p w14:paraId="40C01AD2" w14:textId="77777777" w:rsidR="009F4766" w:rsidRPr="00DE12A3" w:rsidRDefault="009F4766" w:rsidP="00C917D6">
            <w:pPr>
              <w:pStyle w:val="NormalLeft"/>
            </w:pPr>
            <w:r w:rsidRPr="00DE12A3">
              <w:t>736</w:t>
            </w:r>
          </w:p>
        </w:tc>
        <w:tc>
          <w:tcPr>
            <w:tcW w:w="2489" w:type="dxa"/>
            <w:tcBorders>
              <w:top w:val="single" w:sz="2" w:space="0" w:color="auto"/>
              <w:left w:val="single" w:sz="2" w:space="0" w:color="auto"/>
              <w:bottom w:val="single" w:sz="2" w:space="0" w:color="auto"/>
              <w:right w:val="single" w:sz="2" w:space="0" w:color="auto"/>
            </w:tcBorders>
          </w:tcPr>
          <w:p w14:paraId="24D1B0A6" w14:textId="77777777" w:rsidR="009F4766" w:rsidRPr="00DE12A3" w:rsidRDefault="009F4766" w:rsidP="00C917D6">
            <w:pPr>
              <w:pStyle w:val="NormalLeft"/>
            </w:pPr>
            <w:r w:rsidRPr="00DE12A3">
              <w:t>103</w:t>
            </w:r>
          </w:p>
        </w:tc>
        <w:tc>
          <w:tcPr>
            <w:tcW w:w="2551" w:type="dxa"/>
            <w:tcBorders>
              <w:top w:val="single" w:sz="2" w:space="0" w:color="auto"/>
              <w:left w:val="single" w:sz="2" w:space="0" w:color="auto"/>
              <w:bottom w:val="single" w:sz="2" w:space="0" w:color="auto"/>
              <w:right w:val="single" w:sz="2" w:space="0" w:color="auto"/>
            </w:tcBorders>
          </w:tcPr>
          <w:p w14:paraId="1B72994A" w14:textId="77777777" w:rsidR="009F4766" w:rsidRPr="00DE12A3" w:rsidRDefault="009F4766" w:rsidP="00C917D6">
            <w:pPr>
              <w:pStyle w:val="NormalLeft"/>
            </w:pPr>
            <w:r w:rsidRPr="00DE12A3">
              <w:t>41</w:t>
            </w:r>
          </w:p>
        </w:tc>
      </w:tr>
      <w:tr w:rsidR="00DE12A3" w:rsidRPr="00DE12A3" w14:paraId="63BBD74F" w14:textId="77777777" w:rsidTr="009F4766">
        <w:tc>
          <w:tcPr>
            <w:tcW w:w="1182" w:type="dxa"/>
            <w:tcBorders>
              <w:top w:val="single" w:sz="2" w:space="0" w:color="auto"/>
              <w:left w:val="single" w:sz="2" w:space="0" w:color="auto"/>
              <w:bottom w:val="single" w:sz="2" w:space="0" w:color="auto"/>
              <w:right w:val="single" w:sz="2" w:space="0" w:color="auto"/>
            </w:tcBorders>
          </w:tcPr>
          <w:p w14:paraId="49316386" w14:textId="77777777" w:rsidR="009F4766" w:rsidRPr="00DE12A3" w:rsidRDefault="009F4766" w:rsidP="00C917D6">
            <w:pPr>
              <w:pStyle w:val="NormalLeft"/>
            </w:pPr>
            <w:r w:rsidRPr="00DE12A3">
              <w:t>737</w:t>
            </w:r>
          </w:p>
        </w:tc>
        <w:tc>
          <w:tcPr>
            <w:tcW w:w="2489" w:type="dxa"/>
            <w:tcBorders>
              <w:top w:val="single" w:sz="2" w:space="0" w:color="auto"/>
              <w:left w:val="single" w:sz="2" w:space="0" w:color="auto"/>
              <w:bottom w:val="single" w:sz="2" w:space="0" w:color="auto"/>
              <w:right w:val="single" w:sz="2" w:space="0" w:color="auto"/>
            </w:tcBorders>
          </w:tcPr>
          <w:p w14:paraId="06C3F8B4" w14:textId="77777777" w:rsidR="009F4766" w:rsidRPr="00DE12A3" w:rsidRDefault="009F4766" w:rsidP="00C917D6">
            <w:pPr>
              <w:pStyle w:val="NormalLeft"/>
            </w:pPr>
            <w:r w:rsidRPr="00DE12A3">
              <w:t>102</w:t>
            </w:r>
          </w:p>
        </w:tc>
        <w:tc>
          <w:tcPr>
            <w:tcW w:w="2551" w:type="dxa"/>
            <w:tcBorders>
              <w:top w:val="single" w:sz="2" w:space="0" w:color="auto"/>
              <w:left w:val="single" w:sz="2" w:space="0" w:color="auto"/>
              <w:bottom w:val="single" w:sz="2" w:space="0" w:color="auto"/>
              <w:right w:val="single" w:sz="2" w:space="0" w:color="auto"/>
            </w:tcBorders>
          </w:tcPr>
          <w:p w14:paraId="2728CFE2" w14:textId="77777777" w:rsidR="009F4766" w:rsidRPr="00DE12A3" w:rsidRDefault="009F4766" w:rsidP="00C917D6">
            <w:pPr>
              <w:pStyle w:val="NormalLeft"/>
            </w:pPr>
            <w:r w:rsidRPr="00DE12A3">
              <w:t>46</w:t>
            </w:r>
          </w:p>
        </w:tc>
      </w:tr>
      <w:tr w:rsidR="00DE12A3" w:rsidRPr="00DE12A3" w14:paraId="4E49A9C6" w14:textId="77777777" w:rsidTr="009F4766">
        <w:tc>
          <w:tcPr>
            <w:tcW w:w="1182" w:type="dxa"/>
            <w:tcBorders>
              <w:top w:val="single" w:sz="2" w:space="0" w:color="auto"/>
              <w:left w:val="single" w:sz="2" w:space="0" w:color="auto"/>
              <w:bottom w:val="single" w:sz="2" w:space="0" w:color="auto"/>
              <w:right w:val="single" w:sz="2" w:space="0" w:color="auto"/>
            </w:tcBorders>
          </w:tcPr>
          <w:p w14:paraId="383FD31B" w14:textId="77777777" w:rsidR="009F4766" w:rsidRPr="00DE12A3" w:rsidRDefault="009F4766" w:rsidP="00C917D6">
            <w:pPr>
              <w:pStyle w:val="NormalLeft"/>
            </w:pPr>
            <w:r w:rsidRPr="00DE12A3">
              <w:t>738</w:t>
            </w:r>
          </w:p>
        </w:tc>
        <w:tc>
          <w:tcPr>
            <w:tcW w:w="2489" w:type="dxa"/>
            <w:tcBorders>
              <w:top w:val="single" w:sz="2" w:space="0" w:color="auto"/>
              <w:left w:val="single" w:sz="2" w:space="0" w:color="auto"/>
              <w:bottom w:val="single" w:sz="2" w:space="0" w:color="auto"/>
              <w:right w:val="single" w:sz="2" w:space="0" w:color="auto"/>
            </w:tcBorders>
          </w:tcPr>
          <w:p w14:paraId="039291BF" w14:textId="77777777" w:rsidR="009F4766" w:rsidRPr="00DE12A3" w:rsidRDefault="009F4766" w:rsidP="00C917D6">
            <w:pPr>
              <w:pStyle w:val="NormalLeft"/>
            </w:pPr>
            <w:r w:rsidRPr="00DE12A3">
              <w:t>103</w:t>
            </w:r>
          </w:p>
        </w:tc>
        <w:tc>
          <w:tcPr>
            <w:tcW w:w="2551" w:type="dxa"/>
            <w:tcBorders>
              <w:top w:val="single" w:sz="2" w:space="0" w:color="auto"/>
              <w:left w:val="single" w:sz="2" w:space="0" w:color="auto"/>
              <w:bottom w:val="single" w:sz="2" w:space="0" w:color="auto"/>
              <w:right w:val="single" w:sz="2" w:space="0" w:color="auto"/>
            </w:tcBorders>
          </w:tcPr>
          <w:p w14:paraId="28EE052F" w14:textId="77777777" w:rsidR="009F4766" w:rsidRPr="00DE12A3" w:rsidRDefault="009F4766" w:rsidP="00C917D6">
            <w:pPr>
              <w:pStyle w:val="NormalLeft"/>
            </w:pPr>
            <w:r w:rsidRPr="00DE12A3">
              <w:t>39</w:t>
            </w:r>
          </w:p>
        </w:tc>
      </w:tr>
      <w:tr w:rsidR="00DE12A3" w:rsidRPr="00DE12A3" w14:paraId="232D8ED5" w14:textId="77777777" w:rsidTr="009F4766">
        <w:tc>
          <w:tcPr>
            <w:tcW w:w="1182" w:type="dxa"/>
            <w:tcBorders>
              <w:top w:val="single" w:sz="2" w:space="0" w:color="auto"/>
              <w:left w:val="single" w:sz="2" w:space="0" w:color="auto"/>
              <w:bottom w:val="single" w:sz="2" w:space="0" w:color="auto"/>
              <w:right w:val="single" w:sz="2" w:space="0" w:color="auto"/>
            </w:tcBorders>
          </w:tcPr>
          <w:p w14:paraId="7B02F8A1" w14:textId="77777777" w:rsidR="009F4766" w:rsidRPr="00DE12A3" w:rsidRDefault="009F4766" w:rsidP="00C917D6">
            <w:pPr>
              <w:pStyle w:val="NormalLeft"/>
            </w:pPr>
            <w:r w:rsidRPr="00DE12A3">
              <w:t>739</w:t>
            </w:r>
          </w:p>
        </w:tc>
        <w:tc>
          <w:tcPr>
            <w:tcW w:w="2489" w:type="dxa"/>
            <w:tcBorders>
              <w:top w:val="single" w:sz="2" w:space="0" w:color="auto"/>
              <w:left w:val="single" w:sz="2" w:space="0" w:color="auto"/>
              <w:bottom w:val="single" w:sz="2" w:space="0" w:color="auto"/>
              <w:right w:val="single" w:sz="2" w:space="0" w:color="auto"/>
            </w:tcBorders>
          </w:tcPr>
          <w:p w14:paraId="3C092150" w14:textId="77777777" w:rsidR="009F4766" w:rsidRPr="00DE12A3" w:rsidRDefault="009F4766" w:rsidP="00C917D6">
            <w:pPr>
              <w:pStyle w:val="NormalLeft"/>
            </w:pPr>
            <w:r w:rsidRPr="00DE12A3">
              <w:t>102</w:t>
            </w:r>
          </w:p>
        </w:tc>
        <w:tc>
          <w:tcPr>
            <w:tcW w:w="2551" w:type="dxa"/>
            <w:tcBorders>
              <w:top w:val="single" w:sz="2" w:space="0" w:color="auto"/>
              <w:left w:val="single" w:sz="2" w:space="0" w:color="auto"/>
              <w:bottom w:val="single" w:sz="2" w:space="0" w:color="auto"/>
              <w:right w:val="single" w:sz="2" w:space="0" w:color="auto"/>
            </w:tcBorders>
          </w:tcPr>
          <w:p w14:paraId="454FD866" w14:textId="77777777" w:rsidR="009F4766" w:rsidRPr="00DE12A3" w:rsidRDefault="009F4766" w:rsidP="00C917D6">
            <w:pPr>
              <w:pStyle w:val="NormalLeft"/>
            </w:pPr>
            <w:r w:rsidRPr="00DE12A3">
              <w:t>41</w:t>
            </w:r>
          </w:p>
        </w:tc>
      </w:tr>
      <w:tr w:rsidR="00DE12A3" w:rsidRPr="00DE12A3" w14:paraId="4DDA743F" w14:textId="77777777" w:rsidTr="009F4766">
        <w:tc>
          <w:tcPr>
            <w:tcW w:w="1182" w:type="dxa"/>
            <w:tcBorders>
              <w:top w:val="single" w:sz="2" w:space="0" w:color="auto"/>
              <w:left w:val="single" w:sz="2" w:space="0" w:color="auto"/>
              <w:bottom w:val="single" w:sz="2" w:space="0" w:color="auto"/>
              <w:right w:val="single" w:sz="2" w:space="0" w:color="auto"/>
            </w:tcBorders>
          </w:tcPr>
          <w:p w14:paraId="25CD49B0" w14:textId="77777777" w:rsidR="009F4766" w:rsidRPr="00DE12A3" w:rsidRDefault="009F4766" w:rsidP="00C917D6">
            <w:pPr>
              <w:pStyle w:val="NormalLeft"/>
            </w:pPr>
            <w:r w:rsidRPr="00DE12A3">
              <w:lastRenderedPageBreak/>
              <w:t>740</w:t>
            </w:r>
          </w:p>
        </w:tc>
        <w:tc>
          <w:tcPr>
            <w:tcW w:w="2489" w:type="dxa"/>
            <w:tcBorders>
              <w:top w:val="single" w:sz="2" w:space="0" w:color="auto"/>
              <w:left w:val="single" w:sz="2" w:space="0" w:color="auto"/>
              <w:bottom w:val="single" w:sz="2" w:space="0" w:color="auto"/>
              <w:right w:val="single" w:sz="2" w:space="0" w:color="auto"/>
            </w:tcBorders>
          </w:tcPr>
          <w:p w14:paraId="4F90A347" w14:textId="77777777" w:rsidR="009F4766" w:rsidRPr="00DE12A3" w:rsidRDefault="009F4766" w:rsidP="00C917D6">
            <w:pPr>
              <w:pStyle w:val="NormalLeft"/>
            </w:pPr>
            <w:r w:rsidRPr="00DE12A3">
              <w:t>103</w:t>
            </w:r>
          </w:p>
        </w:tc>
        <w:tc>
          <w:tcPr>
            <w:tcW w:w="2551" w:type="dxa"/>
            <w:tcBorders>
              <w:top w:val="single" w:sz="2" w:space="0" w:color="auto"/>
              <w:left w:val="single" w:sz="2" w:space="0" w:color="auto"/>
              <w:bottom w:val="single" w:sz="2" w:space="0" w:color="auto"/>
              <w:right w:val="single" w:sz="2" w:space="0" w:color="auto"/>
            </w:tcBorders>
          </w:tcPr>
          <w:p w14:paraId="7AD4B96D" w14:textId="77777777" w:rsidR="009F4766" w:rsidRPr="00DE12A3" w:rsidRDefault="009F4766" w:rsidP="00C917D6">
            <w:pPr>
              <w:pStyle w:val="NormalLeft"/>
            </w:pPr>
            <w:r w:rsidRPr="00DE12A3">
              <w:t>41</w:t>
            </w:r>
          </w:p>
        </w:tc>
      </w:tr>
      <w:tr w:rsidR="00DE12A3" w:rsidRPr="00DE12A3" w14:paraId="51338166" w14:textId="77777777" w:rsidTr="009F4766">
        <w:tc>
          <w:tcPr>
            <w:tcW w:w="1182" w:type="dxa"/>
            <w:tcBorders>
              <w:top w:val="single" w:sz="2" w:space="0" w:color="auto"/>
              <w:left w:val="single" w:sz="2" w:space="0" w:color="auto"/>
              <w:bottom w:val="single" w:sz="2" w:space="0" w:color="auto"/>
              <w:right w:val="single" w:sz="2" w:space="0" w:color="auto"/>
            </w:tcBorders>
          </w:tcPr>
          <w:p w14:paraId="50AA7339" w14:textId="77777777" w:rsidR="009F4766" w:rsidRPr="00DE12A3" w:rsidRDefault="009F4766" w:rsidP="00C917D6">
            <w:pPr>
              <w:pStyle w:val="NormalLeft"/>
            </w:pPr>
            <w:r w:rsidRPr="00DE12A3">
              <w:t>741</w:t>
            </w:r>
          </w:p>
        </w:tc>
        <w:tc>
          <w:tcPr>
            <w:tcW w:w="2489" w:type="dxa"/>
            <w:tcBorders>
              <w:top w:val="single" w:sz="2" w:space="0" w:color="auto"/>
              <w:left w:val="single" w:sz="2" w:space="0" w:color="auto"/>
              <w:bottom w:val="single" w:sz="2" w:space="0" w:color="auto"/>
              <w:right w:val="single" w:sz="2" w:space="0" w:color="auto"/>
            </w:tcBorders>
          </w:tcPr>
          <w:p w14:paraId="36131F7C" w14:textId="77777777" w:rsidR="009F4766" w:rsidRPr="00DE12A3" w:rsidRDefault="009F4766" w:rsidP="00C917D6">
            <w:pPr>
              <w:pStyle w:val="NormalLeft"/>
            </w:pPr>
            <w:r w:rsidRPr="00DE12A3">
              <w:t>102</w:t>
            </w:r>
          </w:p>
        </w:tc>
        <w:tc>
          <w:tcPr>
            <w:tcW w:w="2551" w:type="dxa"/>
            <w:tcBorders>
              <w:top w:val="single" w:sz="2" w:space="0" w:color="auto"/>
              <w:left w:val="single" w:sz="2" w:space="0" w:color="auto"/>
              <w:bottom w:val="single" w:sz="2" w:space="0" w:color="auto"/>
              <w:right w:val="single" w:sz="2" w:space="0" w:color="auto"/>
            </w:tcBorders>
          </w:tcPr>
          <w:p w14:paraId="16ABA05B" w14:textId="77777777" w:rsidR="009F4766" w:rsidRPr="00DE12A3" w:rsidRDefault="009F4766" w:rsidP="00C917D6">
            <w:pPr>
              <w:pStyle w:val="NormalLeft"/>
            </w:pPr>
            <w:r w:rsidRPr="00DE12A3">
              <w:t>38</w:t>
            </w:r>
          </w:p>
        </w:tc>
      </w:tr>
      <w:tr w:rsidR="00DE12A3" w:rsidRPr="00DE12A3" w14:paraId="4EC3300D" w14:textId="77777777" w:rsidTr="009F4766">
        <w:tc>
          <w:tcPr>
            <w:tcW w:w="1182" w:type="dxa"/>
            <w:tcBorders>
              <w:top w:val="single" w:sz="2" w:space="0" w:color="auto"/>
              <w:left w:val="single" w:sz="2" w:space="0" w:color="auto"/>
              <w:bottom w:val="single" w:sz="2" w:space="0" w:color="auto"/>
              <w:right w:val="single" w:sz="2" w:space="0" w:color="auto"/>
            </w:tcBorders>
          </w:tcPr>
          <w:p w14:paraId="3FF804B0" w14:textId="77777777" w:rsidR="009F4766" w:rsidRPr="00DE12A3" w:rsidRDefault="009F4766" w:rsidP="00C917D6">
            <w:pPr>
              <w:pStyle w:val="NormalLeft"/>
            </w:pPr>
            <w:r w:rsidRPr="00DE12A3">
              <w:t>742</w:t>
            </w:r>
          </w:p>
        </w:tc>
        <w:tc>
          <w:tcPr>
            <w:tcW w:w="2489" w:type="dxa"/>
            <w:tcBorders>
              <w:top w:val="single" w:sz="2" w:space="0" w:color="auto"/>
              <w:left w:val="single" w:sz="2" w:space="0" w:color="auto"/>
              <w:bottom w:val="single" w:sz="2" w:space="0" w:color="auto"/>
              <w:right w:val="single" w:sz="2" w:space="0" w:color="auto"/>
            </w:tcBorders>
          </w:tcPr>
          <w:p w14:paraId="28D8BD97" w14:textId="77777777" w:rsidR="009F4766" w:rsidRPr="00DE12A3" w:rsidRDefault="009F4766" w:rsidP="00C917D6">
            <w:pPr>
              <w:pStyle w:val="NormalLeft"/>
            </w:pPr>
            <w:r w:rsidRPr="00DE12A3">
              <w:t>103</w:t>
            </w:r>
          </w:p>
        </w:tc>
        <w:tc>
          <w:tcPr>
            <w:tcW w:w="2551" w:type="dxa"/>
            <w:tcBorders>
              <w:top w:val="single" w:sz="2" w:space="0" w:color="auto"/>
              <w:left w:val="single" w:sz="2" w:space="0" w:color="auto"/>
              <w:bottom w:val="single" w:sz="2" w:space="0" w:color="auto"/>
              <w:right w:val="single" w:sz="2" w:space="0" w:color="auto"/>
            </w:tcBorders>
          </w:tcPr>
          <w:p w14:paraId="1DEE01AE" w14:textId="77777777" w:rsidR="009F4766" w:rsidRPr="00DE12A3" w:rsidRDefault="009F4766" w:rsidP="00C917D6">
            <w:pPr>
              <w:pStyle w:val="NormalLeft"/>
            </w:pPr>
            <w:r w:rsidRPr="00DE12A3">
              <w:t>39</w:t>
            </w:r>
          </w:p>
        </w:tc>
      </w:tr>
      <w:tr w:rsidR="00DE12A3" w:rsidRPr="00DE12A3" w14:paraId="04AB1146" w14:textId="77777777" w:rsidTr="009F4766">
        <w:tc>
          <w:tcPr>
            <w:tcW w:w="1182" w:type="dxa"/>
            <w:tcBorders>
              <w:top w:val="single" w:sz="2" w:space="0" w:color="auto"/>
              <w:left w:val="single" w:sz="2" w:space="0" w:color="auto"/>
              <w:bottom w:val="single" w:sz="2" w:space="0" w:color="auto"/>
              <w:right w:val="single" w:sz="2" w:space="0" w:color="auto"/>
            </w:tcBorders>
          </w:tcPr>
          <w:p w14:paraId="31173346" w14:textId="77777777" w:rsidR="009F4766" w:rsidRPr="00DE12A3" w:rsidRDefault="009F4766" w:rsidP="00C917D6">
            <w:pPr>
              <w:pStyle w:val="NormalLeft"/>
            </w:pPr>
            <w:r w:rsidRPr="00DE12A3">
              <w:t>743</w:t>
            </w:r>
          </w:p>
        </w:tc>
        <w:tc>
          <w:tcPr>
            <w:tcW w:w="2489" w:type="dxa"/>
            <w:tcBorders>
              <w:top w:val="single" w:sz="2" w:space="0" w:color="auto"/>
              <w:left w:val="single" w:sz="2" w:space="0" w:color="auto"/>
              <w:bottom w:val="single" w:sz="2" w:space="0" w:color="auto"/>
              <w:right w:val="single" w:sz="2" w:space="0" w:color="auto"/>
            </w:tcBorders>
          </w:tcPr>
          <w:p w14:paraId="6216C205" w14:textId="77777777" w:rsidR="009F4766" w:rsidRPr="00DE12A3" w:rsidRDefault="009F4766" w:rsidP="00C917D6">
            <w:pPr>
              <w:pStyle w:val="NormalLeft"/>
            </w:pPr>
            <w:r w:rsidRPr="00DE12A3">
              <w:t>102</w:t>
            </w:r>
          </w:p>
        </w:tc>
        <w:tc>
          <w:tcPr>
            <w:tcW w:w="2551" w:type="dxa"/>
            <w:tcBorders>
              <w:top w:val="single" w:sz="2" w:space="0" w:color="auto"/>
              <w:left w:val="single" w:sz="2" w:space="0" w:color="auto"/>
              <w:bottom w:val="single" w:sz="2" w:space="0" w:color="auto"/>
              <w:right w:val="single" w:sz="2" w:space="0" w:color="auto"/>
            </w:tcBorders>
          </w:tcPr>
          <w:p w14:paraId="1E1E1F7F" w14:textId="77777777" w:rsidR="009F4766" w:rsidRPr="00DE12A3" w:rsidRDefault="009F4766" w:rsidP="00C917D6">
            <w:pPr>
              <w:pStyle w:val="NormalLeft"/>
            </w:pPr>
            <w:r w:rsidRPr="00DE12A3">
              <w:t>46</w:t>
            </w:r>
          </w:p>
        </w:tc>
      </w:tr>
      <w:tr w:rsidR="00DE12A3" w:rsidRPr="00DE12A3" w14:paraId="08F0D2C2" w14:textId="77777777" w:rsidTr="009F4766">
        <w:tc>
          <w:tcPr>
            <w:tcW w:w="1182" w:type="dxa"/>
            <w:tcBorders>
              <w:top w:val="single" w:sz="2" w:space="0" w:color="auto"/>
              <w:left w:val="single" w:sz="2" w:space="0" w:color="auto"/>
              <w:bottom w:val="single" w:sz="2" w:space="0" w:color="auto"/>
              <w:right w:val="single" w:sz="2" w:space="0" w:color="auto"/>
            </w:tcBorders>
          </w:tcPr>
          <w:p w14:paraId="31C25E82" w14:textId="77777777" w:rsidR="009F4766" w:rsidRPr="00DE12A3" w:rsidRDefault="009F4766" w:rsidP="00C917D6">
            <w:pPr>
              <w:pStyle w:val="NormalLeft"/>
            </w:pPr>
            <w:r w:rsidRPr="00DE12A3">
              <w:t>744</w:t>
            </w:r>
          </w:p>
        </w:tc>
        <w:tc>
          <w:tcPr>
            <w:tcW w:w="2489" w:type="dxa"/>
            <w:tcBorders>
              <w:top w:val="single" w:sz="2" w:space="0" w:color="auto"/>
              <w:left w:val="single" w:sz="2" w:space="0" w:color="auto"/>
              <w:bottom w:val="single" w:sz="2" w:space="0" w:color="auto"/>
              <w:right w:val="single" w:sz="2" w:space="0" w:color="auto"/>
            </w:tcBorders>
          </w:tcPr>
          <w:p w14:paraId="08B05DEC" w14:textId="77777777" w:rsidR="009F4766" w:rsidRPr="00DE12A3" w:rsidRDefault="009F4766" w:rsidP="00C917D6">
            <w:pPr>
              <w:pStyle w:val="NormalLeft"/>
            </w:pPr>
            <w:r w:rsidRPr="00DE12A3">
              <w:t>104</w:t>
            </w:r>
          </w:p>
        </w:tc>
        <w:tc>
          <w:tcPr>
            <w:tcW w:w="2551" w:type="dxa"/>
            <w:tcBorders>
              <w:top w:val="single" w:sz="2" w:space="0" w:color="auto"/>
              <w:left w:val="single" w:sz="2" w:space="0" w:color="auto"/>
              <w:bottom w:val="single" w:sz="2" w:space="0" w:color="auto"/>
              <w:right w:val="single" w:sz="2" w:space="0" w:color="auto"/>
            </w:tcBorders>
          </w:tcPr>
          <w:p w14:paraId="710FDF27" w14:textId="77777777" w:rsidR="009F4766" w:rsidRPr="00DE12A3" w:rsidRDefault="009F4766" w:rsidP="00C917D6">
            <w:pPr>
              <w:pStyle w:val="NormalLeft"/>
            </w:pPr>
            <w:r w:rsidRPr="00DE12A3">
              <w:t>46</w:t>
            </w:r>
          </w:p>
        </w:tc>
      </w:tr>
      <w:tr w:rsidR="00DE12A3" w:rsidRPr="00DE12A3" w14:paraId="5E59E0D2" w14:textId="77777777" w:rsidTr="009F4766">
        <w:tc>
          <w:tcPr>
            <w:tcW w:w="1182" w:type="dxa"/>
            <w:tcBorders>
              <w:top w:val="single" w:sz="2" w:space="0" w:color="auto"/>
              <w:left w:val="single" w:sz="2" w:space="0" w:color="auto"/>
              <w:bottom w:val="single" w:sz="2" w:space="0" w:color="auto"/>
              <w:right w:val="single" w:sz="2" w:space="0" w:color="auto"/>
            </w:tcBorders>
          </w:tcPr>
          <w:p w14:paraId="19D20C0F" w14:textId="77777777" w:rsidR="009F4766" w:rsidRPr="00DE12A3" w:rsidRDefault="009F4766" w:rsidP="00C917D6">
            <w:pPr>
              <w:pStyle w:val="NormalLeft"/>
            </w:pPr>
            <w:r w:rsidRPr="00DE12A3">
              <w:t>745</w:t>
            </w:r>
          </w:p>
        </w:tc>
        <w:tc>
          <w:tcPr>
            <w:tcW w:w="2489" w:type="dxa"/>
            <w:tcBorders>
              <w:top w:val="single" w:sz="2" w:space="0" w:color="auto"/>
              <w:left w:val="single" w:sz="2" w:space="0" w:color="auto"/>
              <w:bottom w:val="single" w:sz="2" w:space="0" w:color="auto"/>
              <w:right w:val="single" w:sz="2" w:space="0" w:color="auto"/>
            </w:tcBorders>
          </w:tcPr>
          <w:p w14:paraId="2A255C0A" w14:textId="77777777" w:rsidR="009F4766" w:rsidRPr="00DE12A3" w:rsidRDefault="009F4766" w:rsidP="00C917D6">
            <w:pPr>
              <w:pStyle w:val="NormalLeft"/>
            </w:pPr>
            <w:r w:rsidRPr="00DE12A3">
              <w:t>103</w:t>
            </w:r>
          </w:p>
        </w:tc>
        <w:tc>
          <w:tcPr>
            <w:tcW w:w="2551" w:type="dxa"/>
            <w:tcBorders>
              <w:top w:val="single" w:sz="2" w:space="0" w:color="auto"/>
              <w:left w:val="single" w:sz="2" w:space="0" w:color="auto"/>
              <w:bottom w:val="single" w:sz="2" w:space="0" w:color="auto"/>
              <w:right w:val="single" w:sz="2" w:space="0" w:color="auto"/>
            </w:tcBorders>
          </w:tcPr>
          <w:p w14:paraId="7648B522" w14:textId="77777777" w:rsidR="009F4766" w:rsidRPr="00DE12A3" w:rsidRDefault="009F4766" w:rsidP="00C917D6">
            <w:pPr>
              <w:pStyle w:val="NormalLeft"/>
            </w:pPr>
            <w:r w:rsidRPr="00DE12A3">
              <w:t>49</w:t>
            </w:r>
          </w:p>
        </w:tc>
      </w:tr>
      <w:tr w:rsidR="00DE12A3" w:rsidRPr="00DE12A3" w14:paraId="19E8A86C" w14:textId="77777777" w:rsidTr="009F4766">
        <w:tc>
          <w:tcPr>
            <w:tcW w:w="1182" w:type="dxa"/>
            <w:tcBorders>
              <w:top w:val="single" w:sz="2" w:space="0" w:color="auto"/>
              <w:left w:val="single" w:sz="2" w:space="0" w:color="auto"/>
              <w:bottom w:val="single" w:sz="2" w:space="0" w:color="auto"/>
              <w:right w:val="single" w:sz="2" w:space="0" w:color="auto"/>
            </w:tcBorders>
          </w:tcPr>
          <w:p w14:paraId="3912C1B7" w14:textId="77777777" w:rsidR="009F4766" w:rsidRPr="00DE12A3" w:rsidRDefault="009F4766" w:rsidP="00C917D6">
            <w:pPr>
              <w:pStyle w:val="NormalLeft"/>
            </w:pPr>
            <w:r w:rsidRPr="00DE12A3">
              <w:t>746</w:t>
            </w:r>
          </w:p>
        </w:tc>
        <w:tc>
          <w:tcPr>
            <w:tcW w:w="2489" w:type="dxa"/>
            <w:tcBorders>
              <w:top w:val="single" w:sz="2" w:space="0" w:color="auto"/>
              <w:left w:val="single" w:sz="2" w:space="0" w:color="auto"/>
              <w:bottom w:val="single" w:sz="2" w:space="0" w:color="auto"/>
              <w:right w:val="single" w:sz="2" w:space="0" w:color="auto"/>
            </w:tcBorders>
          </w:tcPr>
          <w:p w14:paraId="1F9E52C3" w14:textId="77777777" w:rsidR="009F4766" w:rsidRPr="00DE12A3" w:rsidRDefault="009F4766" w:rsidP="00C917D6">
            <w:pPr>
              <w:pStyle w:val="NormalLeft"/>
            </w:pPr>
            <w:r w:rsidRPr="00DE12A3">
              <w:t>102</w:t>
            </w:r>
          </w:p>
        </w:tc>
        <w:tc>
          <w:tcPr>
            <w:tcW w:w="2551" w:type="dxa"/>
            <w:tcBorders>
              <w:top w:val="single" w:sz="2" w:space="0" w:color="auto"/>
              <w:left w:val="single" w:sz="2" w:space="0" w:color="auto"/>
              <w:bottom w:val="single" w:sz="2" w:space="0" w:color="auto"/>
              <w:right w:val="single" w:sz="2" w:space="0" w:color="auto"/>
            </w:tcBorders>
          </w:tcPr>
          <w:p w14:paraId="17D9CF0B" w14:textId="77777777" w:rsidR="009F4766" w:rsidRPr="00DE12A3" w:rsidRDefault="009F4766" w:rsidP="00C917D6">
            <w:pPr>
              <w:pStyle w:val="NormalLeft"/>
            </w:pPr>
            <w:r w:rsidRPr="00DE12A3">
              <w:t>45</w:t>
            </w:r>
          </w:p>
        </w:tc>
      </w:tr>
      <w:tr w:rsidR="00DE12A3" w:rsidRPr="00DE12A3" w14:paraId="23AD791F" w14:textId="77777777" w:rsidTr="009F4766">
        <w:tc>
          <w:tcPr>
            <w:tcW w:w="1182" w:type="dxa"/>
            <w:tcBorders>
              <w:top w:val="single" w:sz="2" w:space="0" w:color="auto"/>
              <w:left w:val="single" w:sz="2" w:space="0" w:color="auto"/>
              <w:bottom w:val="single" w:sz="2" w:space="0" w:color="auto"/>
              <w:right w:val="single" w:sz="2" w:space="0" w:color="auto"/>
            </w:tcBorders>
          </w:tcPr>
          <w:p w14:paraId="0D91FF65" w14:textId="77777777" w:rsidR="009F4766" w:rsidRPr="00DE12A3" w:rsidRDefault="009F4766" w:rsidP="00C917D6">
            <w:pPr>
              <w:pStyle w:val="NormalLeft"/>
            </w:pPr>
            <w:r w:rsidRPr="00DE12A3">
              <w:t>747</w:t>
            </w:r>
          </w:p>
        </w:tc>
        <w:tc>
          <w:tcPr>
            <w:tcW w:w="2489" w:type="dxa"/>
            <w:tcBorders>
              <w:top w:val="single" w:sz="2" w:space="0" w:color="auto"/>
              <w:left w:val="single" w:sz="2" w:space="0" w:color="auto"/>
              <w:bottom w:val="single" w:sz="2" w:space="0" w:color="auto"/>
              <w:right w:val="single" w:sz="2" w:space="0" w:color="auto"/>
            </w:tcBorders>
          </w:tcPr>
          <w:p w14:paraId="34FF7619" w14:textId="77777777" w:rsidR="009F4766" w:rsidRPr="00DE12A3" w:rsidRDefault="009F4766" w:rsidP="00C917D6">
            <w:pPr>
              <w:pStyle w:val="NormalLeft"/>
            </w:pPr>
            <w:r w:rsidRPr="00DE12A3">
              <w:t>103</w:t>
            </w:r>
          </w:p>
        </w:tc>
        <w:tc>
          <w:tcPr>
            <w:tcW w:w="2551" w:type="dxa"/>
            <w:tcBorders>
              <w:top w:val="single" w:sz="2" w:space="0" w:color="auto"/>
              <w:left w:val="single" w:sz="2" w:space="0" w:color="auto"/>
              <w:bottom w:val="single" w:sz="2" w:space="0" w:color="auto"/>
              <w:right w:val="single" w:sz="2" w:space="0" w:color="auto"/>
            </w:tcBorders>
          </w:tcPr>
          <w:p w14:paraId="47625D98" w14:textId="77777777" w:rsidR="009F4766" w:rsidRPr="00DE12A3" w:rsidRDefault="009F4766" w:rsidP="00C917D6">
            <w:pPr>
              <w:pStyle w:val="NormalLeft"/>
            </w:pPr>
            <w:r w:rsidRPr="00DE12A3">
              <w:t>42</w:t>
            </w:r>
          </w:p>
        </w:tc>
      </w:tr>
      <w:tr w:rsidR="00DE12A3" w:rsidRPr="00DE12A3" w14:paraId="6C3D071C" w14:textId="77777777" w:rsidTr="009F4766">
        <w:tc>
          <w:tcPr>
            <w:tcW w:w="1182" w:type="dxa"/>
            <w:tcBorders>
              <w:top w:val="single" w:sz="2" w:space="0" w:color="auto"/>
              <w:left w:val="single" w:sz="2" w:space="0" w:color="auto"/>
              <w:bottom w:val="single" w:sz="2" w:space="0" w:color="auto"/>
              <w:right w:val="single" w:sz="2" w:space="0" w:color="auto"/>
            </w:tcBorders>
          </w:tcPr>
          <w:p w14:paraId="510C5920" w14:textId="77777777" w:rsidR="009F4766" w:rsidRPr="00DE12A3" w:rsidRDefault="009F4766" w:rsidP="00C917D6">
            <w:pPr>
              <w:pStyle w:val="NormalLeft"/>
            </w:pPr>
            <w:r w:rsidRPr="00DE12A3">
              <w:t>748</w:t>
            </w:r>
          </w:p>
        </w:tc>
        <w:tc>
          <w:tcPr>
            <w:tcW w:w="2489" w:type="dxa"/>
            <w:tcBorders>
              <w:top w:val="single" w:sz="2" w:space="0" w:color="auto"/>
              <w:left w:val="single" w:sz="2" w:space="0" w:color="auto"/>
              <w:bottom w:val="single" w:sz="2" w:space="0" w:color="auto"/>
              <w:right w:val="single" w:sz="2" w:space="0" w:color="auto"/>
            </w:tcBorders>
          </w:tcPr>
          <w:p w14:paraId="61C409AC" w14:textId="77777777" w:rsidR="009F4766" w:rsidRPr="00DE12A3" w:rsidRDefault="009F4766" w:rsidP="00C917D6">
            <w:pPr>
              <w:pStyle w:val="NormalLeft"/>
            </w:pPr>
            <w:r w:rsidRPr="00DE12A3">
              <w:t>103</w:t>
            </w:r>
          </w:p>
        </w:tc>
        <w:tc>
          <w:tcPr>
            <w:tcW w:w="2551" w:type="dxa"/>
            <w:tcBorders>
              <w:top w:val="single" w:sz="2" w:space="0" w:color="auto"/>
              <w:left w:val="single" w:sz="2" w:space="0" w:color="auto"/>
              <w:bottom w:val="single" w:sz="2" w:space="0" w:color="auto"/>
              <w:right w:val="single" w:sz="2" w:space="0" w:color="auto"/>
            </w:tcBorders>
          </w:tcPr>
          <w:p w14:paraId="38B3FEA6" w14:textId="77777777" w:rsidR="009F4766" w:rsidRPr="00DE12A3" w:rsidRDefault="009F4766" w:rsidP="00C917D6">
            <w:pPr>
              <w:pStyle w:val="NormalLeft"/>
            </w:pPr>
            <w:r w:rsidRPr="00DE12A3">
              <w:t>46</w:t>
            </w:r>
          </w:p>
        </w:tc>
      </w:tr>
      <w:tr w:rsidR="00DE12A3" w:rsidRPr="00DE12A3" w14:paraId="6F07D6FB" w14:textId="77777777" w:rsidTr="009F4766">
        <w:tc>
          <w:tcPr>
            <w:tcW w:w="1182" w:type="dxa"/>
            <w:tcBorders>
              <w:top w:val="single" w:sz="2" w:space="0" w:color="auto"/>
              <w:left w:val="single" w:sz="2" w:space="0" w:color="auto"/>
              <w:bottom w:val="single" w:sz="2" w:space="0" w:color="auto"/>
              <w:right w:val="single" w:sz="2" w:space="0" w:color="auto"/>
            </w:tcBorders>
          </w:tcPr>
          <w:p w14:paraId="7C46B115" w14:textId="77777777" w:rsidR="009F4766" w:rsidRPr="00DE12A3" w:rsidRDefault="009F4766" w:rsidP="00C917D6">
            <w:pPr>
              <w:pStyle w:val="NormalLeft"/>
            </w:pPr>
            <w:r w:rsidRPr="00DE12A3">
              <w:t>749</w:t>
            </w:r>
          </w:p>
        </w:tc>
        <w:tc>
          <w:tcPr>
            <w:tcW w:w="2489" w:type="dxa"/>
            <w:tcBorders>
              <w:top w:val="single" w:sz="2" w:space="0" w:color="auto"/>
              <w:left w:val="single" w:sz="2" w:space="0" w:color="auto"/>
              <w:bottom w:val="single" w:sz="2" w:space="0" w:color="auto"/>
              <w:right w:val="single" w:sz="2" w:space="0" w:color="auto"/>
            </w:tcBorders>
          </w:tcPr>
          <w:p w14:paraId="3F0472D5" w14:textId="77777777" w:rsidR="009F4766" w:rsidRPr="00DE12A3" w:rsidRDefault="009F4766" w:rsidP="00C917D6">
            <w:pPr>
              <w:pStyle w:val="NormalLeft"/>
            </w:pPr>
            <w:r w:rsidRPr="00DE12A3">
              <w:t>103</w:t>
            </w:r>
          </w:p>
        </w:tc>
        <w:tc>
          <w:tcPr>
            <w:tcW w:w="2551" w:type="dxa"/>
            <w:tcBorders>
              <w:top w:val="single" w:sz="2" w:space="0" w:color="auto"/>
              <w:left w:val="single" w:sz="2" w:space="0" w:color="auto"/>
              <w:bottom w:val="single" w:sz="2" w:space="0" w:color="auto"/>
              <w:right w:val="single" w:sz="2" w:space="0" w:color="auto"/>
            </w:tcBorders>
          </w:tcPr>
          <w:p w14:paraId="28B62721" w14:textId="77777777" w:rsidR="009F4766" w:rsidRPr="00DE12A3" w:rsidRDefault="009F4766" w:rsidP="00C917D6">
            <w:pPr>
              <w:pStyle w:val="NormalLeft"/>
            </w:pPr>
            <w:r w:rsidRPr="00DE12A3">
              <w:t>38</w:t>
            </w:r>
          </w:p>
        </w:tc>
      </w:tr>
      <w:tr w:rsidR="00DE12A3" w:rsidRPr="00DE12A3" w14:paraId="0BE4FBD9" w14:textId="77777777" w:rsidTr="009F4766">
        <w:tc>
          <w:tcPr>
            <w:tcW w:w="1182" w:type="dxa"/>
            <w:tcBorders>
              <w:top w:val="single" w:sz="2" w:space="0" w:color="auto"/>
              <w:left w:val="single" w:sz="2" w:space="0" w:color="auto"/>
              <w:bottom w:val="single" w:sz="2" w:space="0" w:color="auto"/>
              <w:right w:val="single" w:sz="2" w:space="0" w:color="auto"/>
            </w:tcBorders>
          </w:tcPr>
          <w:p w14:paraId="1ACF4BA7" w14:textId="77777777" w:rsidR="009F4766" w:rsidRPr="00DE12A3" w:rsidRDefault="009F4766" w:rsidP="00C917D6">
            <w:pPr>
              <w:pStyle w:val="NormalLeft"/>
            </w:pPr>
            <w:r w:rsidRPr="00DE12A3">
              <w:t>750</w:t>
            </w:r>
          </w:p>
        </w:tc>
        <w:tc>
          <w:tcPr>
            <w:tcW w:w="2489" w:type="dxa"/>
            <w:tcBorders>
              <w:top w:val="single" w:sz="2" w:space="0" w:color="auto"/>
              <w:left w:val="single" w:sz="2" w:space="0" w:color="auto"/>
              <w:bottom w:val="single" w:sz="2" w:space="0" w:color="auto"/>
              <w:right w:val="single" w:sz="2" w:space="0" w:color="auto"/>
            </w:tcBorders>
          </w:tcPr>
          <w:p w14:paraId="1D9611DF" w14:textId="77777777" w:rsidR="009F4766" w:rsidRPr="00DE12A3" w:rsidRDefault="009F4766" w:rsidP="00C917D6">
            <w:pPr>
              <w:pStyle w:val="NormalLeft"/>
            </w:pPr>
            <w:r w:rsidRPr="00DE12A3">
              <w:t>102</w:t>
            </w:r>
          </w:p>
        </w:tc>
        <w:tc>
          <w:tcPr>
            <w:tcW w:w="2551" w:type="dxa"/>
            <w:tcBorders>
              <w:top w:val="single" w:sz="2" w:space="0" w:color="auto"/>
              <w:left w:val="single" w:sz="2" w:space="0" w:color="auto"/>
              <w:bottom w:val="single" w:sz="2" w:space="0" w:color="auto"/>
              <w:right w:val="single" w:sz="2" w:space="0" w:color="auto"/>
            </w:tcBorders>
          </w:tcPr>
          <w:p w14:paraId="21386770" w14:textId="77777777" w:rsidR="009F4766" w:rsidRPr="00DE12A3" w:rsidRDefault="009F4766" w:rsidP="00C917D6">
            <w:pPr>
              <w:pStyle w:val="NormalLeft"/>
            </w:pPr>
            <w:r w:rsidRPr="00DE12A3">
              <w:t>48</w:t>
            </w:r>
          </w:p>
        </w:tc>
      </w:tr>
      <w:tr w:rsidR="00DE12A3" w:rsidRPr="00DE12A3" w14:paraId="7EDF1FD4" w14:textId="77777777" w:rsidTr="009F4766">
        <w:tc>
          <w:tcPr>
            <w:tcW w:w="1182" w:type="dxa"/>
            <w:tcBorders>
              <w:top w:val="single" w:sz="2" w:space="0" w:color="auto"/>
              <w:left w:val="single" w:sz="2" w:space="0" w:color="auto"/>
              <w:bottom w:val="single" w:sz="2" w:space="0" w:color="auto"/>
              <w:right w:val="single" w:sz="2" w:space="0" w:color="auto"/>
            </w:tcBorders>
          </w:tcPr>
          <w:p w14:paraId="6A9E643C" w14:textId="77777777" w:rsidR="009F4766" w:rsidRPr="00DE12A3" w:rsidRDefault="009F4766" w:rsidP="00C917D6">
            <w:pPr>
              <w:pStyle w:val="NormalLeft"/>
            </w:pPr>
            <w:r w:rsidRPr="00DE12A3">
              <w:t>751</w:t>
            </w:r>
          </w:p>
        </w:tc>
        <w:tc>
          <w:tcPr>
            <w:tcW w:w="2489" w:type="dxa"/>
            <w:tcBorders>
              <w:top w:val="single" w:sz="2" w:space="0" w:color="auto"/>
              <w:left w:val="single" w:sz="2" w:space="0" w:color="auto"/>
              <w:bottom w:val="single" w:sz="2" w:space="0" w:color="auto"/>
              <w:right w:val="single" w:sz="2" w:space="0" w:color="auto"/>
            </w:tcBorders>
          </w:tcPr>
          <w:p w14:paraId="597838AC" w14:textId="77777777" w:rsidR="009F4766" w:rsidRPr="00DE12A3" w:rsidRDefault="009F4766" w:rsidP="00C917D6">
            <w:pPr>
              <w:pStyle w:val="NormalLeft"/>
            </w:pPr>
            <w:r w:rsidRPr="00DE12A3">
              <w:t>103</w:t>
            </w:r>
          </w:p>
        </w:tc>
        <w:tc>
          <w:tcPr>
            <w:tcW w:w="2551" w:type="dxa"/>
            <w:tcBorders>
              <w:top w:val="single" w:sz="2" w:space="0" w:color="auto"/>
              <w:left w:val="single" w:sz="2" w:space="0" w:color="auto"/>
              <w:bottom w:val="single" w:sz="2" w:space="0" w:color="auto"/>
              <w:right w:val="single" w:sz="2" w:space="0" w:color="auto"/>
            </w:tcBorders>
          </w:tcPr>
          <w:p w14:paraId="74230762" w14:textId="77777777" w:rsidR="009F4766" w:rsidRPr="00DE12A3" w:rsidRDefault="009F4766" w:rsidP="00C917D6">
            <w:pPr>
              <w:pStyle w:val="NormalLeft"/>
            </w:pPr>
            <w:r w:rsidRPr="00DE12A3">
              <w:t>35</w:t>
            </w:r>
          </w:p>
        </w:tc>
      </w:tr>
      <w:tr w:rsidR="00DE12A3" w:rsidRPr="00DE12A3" w14:paraId="35601022" w14:textId="77777777" w:rsidTr="009F4766">
        <w:tc>
          <w:tcPr>
            <w:tcW w:w="1182" w:type="dxa"/>
            <w:tcBorders>
              <w:top w:val="single" w:sz="2" w:space="0" w:color="auto"/>
              <w:left w:val="single" w:sz="2" w:space="0" w:color="auto"/>
              <w:bottom w:val="single" w:sz="2" w:space="0" w:color="auto"/>
              <w:right w:val="single" w:sz="2" w:space="0" w:color="auto"/>
            </w:tcBorders>
          </w:tcPr>
          <w:p w14:paraId="50D4F124" w14:textId="77777777" w:rsidR="009F4766" w:rsidRPr="00DE12A3" w:rsidRDefault="009F4766" w:rsidP="00C917D6">
            <w:pPr>
              <w:pStyle w:val="NormalLeft"/>
            </w:pPr>
            <w:r w:rsidRPr="00DE12A3">
              <w:t>752</w:t>
            </w:r>
          </w:p>
        </w:tc>
        <w:tc>
          <w:tcPr>
            <w:tcW w:w="2489" w:type="dxa"/>
            <w:tcBorders>
              <w:top w:val="single" w:sz="2" w:space="0" w:color="auto"/>
              <w:left w:val="single" w:sz="2" w:space="0" w:color="auto"/>
              <w:bottom w:val="single" w:sz="2" w:space="0" w:color="auto"/>
              <w:right w:val="single" w:sz="2" w:space="0" w:color="auto"/>
            </w:tcBorders>
          </w:tcPr>
          <w:p w14:paraId="1433C5ED" w14:textId="77777777" w:rsidR="009F4766" w:rsidRPr="00DE12A3" w:rsidRDefault="009F4766" w:rsidP="00C917D6">
            <w:pPr>
              <w:pStyle w:val="NormalLeft"/>
            </w:pPr>
            <w:r w:rsidRPr="00DE12A3">
              <w:t>102</w:t>
            </w:r>
          </w:p>
        </w:tc>
        <w:tc>
          <w:tcPr>
            <w:tcW w:w="2551" w:type="dxa"/>
            <w:tcBorders>
              <w:top w:val="single" w:sz="2" w:space="0" w:color="auto"/>
              <w:left w:val="single" w:sz="2" w:space="0" w:color="auto"/>
              <w:bottom w:val="single" w:sz="2" w:space="0" w:color="auto"/>
              <w:right w:val="single" w:sz="2" w:space="0" w:color="auto"/>
            </w:tcBorders>
          </w:tcPr>
          <w:p w14:paraId="213CD264" w14:textId="77777777" w:rsidR="009F4766" w:rsidRPr="00DE12A3" w:rsidRDefault="009F4766" w:rsidP="00C917D6">
            <w:pPr>
              <w:pStyle w:val="NormalLeft"/>
            </w:pPr>
            <w:r w:rsidRPr="00DE12A3">
              <w:t>48</w:t>
            </w:r>
          </w:p>
        </w:tc>
      </w:tr>
      <w:tr w:rsidR="00DE12A3" w:rsidRPr="00DE12A3" w14:paraId="792BD5D6" w14:textId="77777777" w:rsidTr="009F4766">
        <w:tc>
          <w:tcPr>
            <w:tcW w:w="1182" w:type="dxa"/>
            <w:tcBorders>
              <w:top w:val="single" w:sz="2" w:space="0" w:color="auto"/>
              <w:left w:val="single" w:sz="2" w:space="0" w:color="auto"/>
              <w:bottom w:val="single" w:sz="2" w:space="0" w:color="auto"/>
              <w:right w:val="single" w:sz="2" w:space="0" w:color="auto"/>
            </w:tcBorders>
          </w:tcPr>
          <w:p w14:paraId="4157BEF8" w14:textId="77777777" w:rsidR="009F4766" w:rsidRPr="00DE12A3" w:rsidRDefault="009F4766" w:rsidP="00C917D6">
            <w:pPr>
              <w:pStyle w:val="NormalLeft"/>
            </w:pPr>
            <w:r w:rsidRPr="00DE12A3">
              <w:t>753</w:t>
            </w:r>
          </w:p>
        </w:tc>
        <w:tc>
          <w:tcPr>
            <w:tcW w:w="2489" w:type="dxa"/>
            <w:tcBorders>
              <w:top w:val="single" w:sz="2" w:space="0" w:color="auto"/>
              <w:left w:val="single" w:sz="2" w:space="0" w:color="auto"/>
              <w:bottom w:val="single" w:sz="2" w:space="0" w:color="auto"/>
              <w:right w:val="single" w:sz="2" w:space="0" w:color="auto"/>
            </w:tcBorders>
          </w:tcPr>
          <w:p w14:paraId="5E460908" w14:textId="77777777" w:rsidR="009F4766" w:rsidRPr="00DE12A3" w:rsidRDefault="009F4766" w:rsidP="00C917D6">
            <w:pPr>
              <w:pStyle w:val="NormalLeft"/>
            </w:pPr>
            <w:r w:rsidRPr="00DE12A3">
              <w:t>103</w:t>
            </w:r>
          </w:p>
        </w:tc>
        <w:tc>
          <w:tcPr>
            <w:tcW w:w="2551" w:type="dxa"/>
            <w:tcBorders>
              <w:top w:val="single" w:sz="2" w:space="0" w:color="auto"/>
              <w:left w:val="single" w:sz="2" w:space="0" w:color="auto"/>
              <w:bottom w:val="single" w:sz="2" w:space="0" w:color="auto"/>
              <w:right w:val="single" w:sz="2" w:space="0" w:color="auto"/>
            </w:tcBorders>
          </w:tcPr>
          <w:p w14:paraId="3FD5690C" w14:textId="77777777" w:rsidR="009F4766" w:rsidRPr="00DE12A3" w:rsidRDefault="009F4766" w:rsidP="00C917D6">
            <w:pPr>
              <w:pStyle w:val="NormalLeft"/>
            </w:pPr>
            <w:r w:rsidRPr="00DE12A3">
              <w:t>49</w:t>
            </w:r>
          </w:p>
        </w:tc>
      </w:tr>
      <w:tr w:rsidR="00DE12A3" w:rsidRPr="00DE12A3" w14:paraId="20EE2EBC" w14:textId="77777777" w:rsidTr="009F4766">
        <w:tc>
          <w:tcPr>
            <w:tcW w:w="1182" w:type="dxa"/>
            <w:tcBorders>
              <w:top w:val="single" w:sz="2" w:space="0" w:color="auto"/>
              <w:left w:val="single" w:sz="2" w:space="0" w:color="auto"/>
              <w:bottom w:val="single" w:sz="2" w:space="0" w:color="auto"/>
              <w:right w:val="single" w:sz="2" w:space="0" w:color="auto"/>
            </w:tcBorders>
          </w:tcPr>
          <w:p w14:paraId="21B762D6" w14:textId="77777777" w:rsidR="009F4766" w:rsidRPr="00DE12A3" w:rsidRDefault="009F4766" w:rsidP="00C917D6">
            <w:pPr>
              <w:pStyle w:val="NormalLeft"/>
            </w:pPr>
            <w:r w:rsidRPr="00DE12A3">
              <w:t>754</w:t>
            </w:r>
          </w:p>
        </w:tc>
        <w:tc>
          <w:tcPr>
            <w:tcW w:w="2489" w:type="dxa"/>
            <w:tcBorders>
              <w:top w:val="single" w:sz="2" w:space="0" w:color="auto"/>
              <w:left w:val="single" w:sz="2" w:space="0" w:color="auto"/>
              <w:bottom w:val="single" w:sz="2" w:space="0" w:color="auto"/>
              <w:right w:val="single" w:sz="2" w:space="0" w:color="auto"/>
            </w:tcBorders>
          </w:tcPr>
          <w:p w14:paraId="13577B65" w14:textId="77777777" w:rsidR="009F4766" w:rsidRPr="00DE12A3" w:rsidRDefault="009F4766" w:rsidP="00C917D6">
            <w:pPr>
              <w:pStyle w:val="NormalLeft"/>
            </w:pPr>
            <w:r w:rsidRPr="00DE12A3">
              <w:t>102</w:t>
            </w:r>
          </w:p>
        </w:tc>
        <w:tc>
          <w:tcPr>
            <w:tcW w:w="2551" w:type="dxa"/>
            <w:tcBorders>
              <w:top w:val="single" w:sz="2" w:space="0" w:color="auto"/>
              <w:left w:val="single" w:sz="2" w:space="0" w:color="auto"/>
              <w:bottom w:val="single" w:sz="2" w:space="0" w:color="auto"/>
              <w:right w:val="single" w:sz="2" w:space="0" w:color="auto"/>
            </w:tcBorders>
          </w:tcPr>
          <w:p w14:paraId="1E258864" w14:textId="77777777" w:rsidR="009F4766" w:rsidRPr="00DE12A3" w:rsidRDefault="009F4766" w:rsidP="00C917D6">
            <w:pPr>
              <w:pStyle w:val="NormalLeft"/>
            </w:pPr>
            <w:r w:rsidRPr="00DE12A3">
              <w:t>48</w:t>
            </w:r>
          </w:p>
        </w:tc>
      </w:tr>
      <w:tr w:rsidR="00DE12A3" w:rsidRPr="00DE12A3" w14:paraId="6B4DEEA9" w14:textId="77777777" w:rsidTr="009F4766">
        <w:tc>
          <w:tcPr>
            <w:tcW w:w="1182" w:type="dxa"/>
            <w:tcBorders>
              <w:top w:val="single" w:sz="2" w:space="0" w:color="auto"/>
              <w:left w:val="single" w:sz="2" w:space="0" w:color="auto"/>
              <w:bottom w:val="single" w:sz="2" w:space="0" w:color="auto"/>
              <w:right w:val="single" w:sz="2" w:space="0" w:color="auto"/>
            </w:tcBorders>
          </w:tcPr>
          <w:p w14:paraId="6C83A3EF" w14:textId="77777777" w:rsidR="009F4766" w:rsidRPr="00DE12A3" w:rsidRDefault="009F4766" w:rsidP="00C917D6">
            <w:pPr>
              <w:pStyle w:val="NormalLeft"/>
            </w:pPr>
            <w:r w:rsidRPr="00DE12A3">
              <w:t>755</w:t>
            </w:r>
          </w:p>
        </w:tc>
        <w:tc>
          <w:tcPr>
            <w:tcW w:w="2489" w:type="dxa"/>
            <w:tcBorders>
              <w:top w:val="single" w:sz="2" w:space="0" w:color="auto"/>
              <w:left w:val="single" w:sz="2" w:space="0" w:color="auto"/>
              <w:bottom w:val="single" w:sz="2" w:space="0" w:color="auto"/>
              <w:right w:val="single" w:sz="2" w:space="0" w:color="auto"/>
            </w:tcBorders>
          </w:tcPr>
          <w:p w14:paraId="1134E62A" w14:textId="77777777" w:rsidR="009F4766" w:rsidRPr="00DE12A3" w:rsidRDefault="009F4766" w:rsidP="00C917D6">
            <w:pPr>
              <w:pStyle w:val="NormalLeft"/>
            </w:pPr>
            <w:r w:rsidRPr="00DE12A3">
              <w:t>102</w:t>
            </w:r>
          </w:p>
        </w:tc>
        <w:tc>
          <w:tcPr>
            <w:tcW w:w="2551" w:type="dxa"/>
            <w:tcBorders>
              <w:top w:val="single" w:sz="2" w:space="0" w:color="auto"/>
              <w:left w:val="single" w:sz="2" w:space="0" w:color="auto"/>
              <w:bottom w:val="single" w:sz="2" w:space="0" w:color="auto"/>
              <w:right w:val="single" w:sz="2" w:space="0" w:color="auto"/>
            </w:tcBorders>
          </w:tcPr>
          <w:p w14:paraId="356E80BF" w14:textId="77777777" w:rsidR="009F4766" w:rsidRPr="00DE12A3" w:rsidRDefault="009F4766" w:rsidP="00C917D6">
            <w:pPr>
              <w:pStyle w:val="NormalLeft"/>
            </w:pPr>
            <w:r w:rsidRPr="00DE12A3">
              <w:t>46</w:t>
            </w:r>
          </w:p>
        </w:tc>
      </w:tr>
      <w:tr w:rsidR="00DE12A3" w:rsidRPr="00DE12A3" w14:paraId="1632E7EA" w14:textId="77777777" w:rsidTr="009F4766">
        <w:tc>
          <w:tcPr>
            <w:tcW w:w="1182" w:type="dxa"/>
            <w:tcBorders>
              <w:top w:val="single" w:sz="2" w:space="0" w:color="auto"/>
              <w:left w:val="single" w:sz="2" w:space="0" w:color="auto"/>
              <w:bottom w:val="single" w:sz="2" w:space="0" w:color="auto"/>
              <w:right w:val="single" w:sz="2" w:space="0" w:color="auto"/>
            </w:tcBorders>
          </w:tcPr>
          <w:p w14:paraId="27C9A9FB" w14:textId="77777777" w:rsidR="009F4766" w:rsidRPr="00DE12A3" w:rsidRDefault="009F4766" w:rsidP="00C917D6">
            <w:pPr>
              <w:pStyle w:val="NormalLeft"/>
            </w:pPr>
            <w:r w:rsidRPr="00DE12A3">
              <w:t>756</w:t>
            </w:r>
          </w:p>
        </w:tc>
        <w:tc>
          <w:tcPr>
            <w:tcW w:w="2489" w:type="dxa"/>
            <w:tcBorders>
              <w:top w:val="single" w:sz="2" w:space="0" w:color="auto"/>
              <w:left w:val="single" w:sz="2" w:space="0" w:color="auto"/>
              <w:bottom w:val="single" w:sz="2" w:space="0" w:color="auto"/>
              <w:right w:val="single" w:sz="2" w:space="0" w:color="auto"/>
            </w:tcBorders>
          </w:tcPr>
          <w:p w14:paraId="7E8ABAE7" w14:textId="77777777" w:rsidR="009F4766" w:rsidRPr="00DE12A3" w:rsidRDefault="009F4766" w:rsidP="00C917D6">
            <w:pPr>
              <w:pStyle w:val="NormalLeft"/>
            </w:pPr>
            <w:r w:rsidRPr="00DE12A3">
              <w:t>103</w:t>
            </w:r>
          </w:p>
        </w:tc>
        <w:tc>
          <w:tcPr>
            <w:tcW w:w="2551" w:type="dxa"/>
            <w:tcBorders>
              <w:top w:val="single" w:sz="2" w:space="0" w:color="auto"/>
              <w:left w:val="single" w:sz="2" w:space="0" w:color="auto"/>
              <w:bottom w:val="single" w:sz="2" w:space="0" w:color="auto"/>
              <w:right w:val="single" w:sz="2" w:space="0" w:color="auto"/>
            </w:tcBorders>
          </w:tcPr>
          <w:p w14:paraId="2B311D04" w14:textId="77777777" w:rsidR="009F4766" w:rsidRPr="00DE12A3" w:rsidRDefault="009F4766" w:rsidP="00C917D6">
            <w:pPr>
              <w:pStyle w:val="NormalLeft"/>
            </w:pPr>
            <w:r w:rsidRPr="00DE12A3">
              <w:t>47</w:t>
            </w:r>
          </w:p>
        </w:tc>
      </w:tr>
      <w:tr w:rsidR="00DE12A3" w:rsidRPr="00DE12A3" w14:paraId="6F71A08F" w14:textId="77777777" w:rsidTr="009F4766">
        <w:tc>
          <w:tcPr>
            <w:tcW w:w="1182" w:type="dxa"/>
            <w:tcBorders>
              <w:top w:val="single" w:sz="2" w:space="0" w:color="auto"/>
              <w:left w:val="single" w:sz="2" w:space="0" w:color="auto"/>
              <w:bottom w:val="single" w:sz="2" w:space="0" w:color="auto"/>
              <w:right w:val="single" w:sz="2" w:space="0" w:color="auto"/>
            </w:tcBorders>
          </w:tcPr>
          <w:p w14:paraId="39F7BE18" w14:textId="77777777" w:rsidR="009F4766" w:rsidRPr="00DE12A3" w:rsidRDefault="009F4766" w:rsidP="00C917D6">
            <w:pPr>
              <w:pStyle w:val="NormalLeft"/>
            </w:pPr>
            <w:r w:rsidRPr="00DE12A3">
              <w:t>757</w:t>
            </w:r>
          </w:p>
        </w:tc>
        <w:tc>
          <w:tcPr>
            <w:tcW w:w="2489" w:type="dxa"/>
            <w:tcBorders>
              <w:top w:val="single" w:sz="2" w:space="0" w:color="auto"/>
              <w:left w:val="single" w:sz="2" w:space="0" w:color="auto"/>
              <w:bottom w:val="single" w:sz="2" w:space="0" w:color="auto"/>
              <w:right w:val="single" w:sz="2" w:space="0" w:color="auto"/>
            </w:tcBorders>
          </w:tcPr>
          <w:p w14:paraId="7044807F" w14:textId="77777777" w:rsidR="009F4766" w:rsidRPr="00DE12A3" w:rsidRDefault="009F4766" w:rsidP="00C917D6">
            <w:pPr>
              <w:pStyle w:val="NormalLeft"/>
            </w:pPr>
            <w:r w:rsidRPr="00DE12A3">
              <w:t>102</w:t>
            </w:r>
          </w:p>
        </w:tc>
        <w:tc>
          <w:tcPr>
            <w:tcW w:w="2551" w:type="dxa"/>
            <w:tcBorders>
              <w:top w:val="single" w:sz="2" w:space="0" w:color="auto"/>
              <w:left w:val="single" w:sz="2" w:space="0" w:color="auto"/>
              <w:bottom w:val="single" w:sz="2" w:space="0" w:color="auto"/>
              <w:right w:val="single" w:sz="2" w:space="0" w:color="auto"/>
            </w:tcBorders>
          </w:tcPr>
          <w:p w14:paraId="0F0289EA" w14:textId="77777777" w:rsidR="009F4766" w:rsidRPr="00DE12A3" w:rsidRDefault="009F4766" w:rsidP="00C917D6">
            <w:pPr>
              <w:pStyle w:val="NormalLeft"/>
            </w:pPr>
            <w:r w:rsidRPr="00DE12A3">
              <w:t>49</w:t>
            </w:r>
          </w:p>
        </w:tc>
      </w:tr>
      <w:tr w:rsidR="00DE12A3" w:rsidRPr="00DE12A3" w14:paraId="2DE9423C" w14:textId="77777777" w:rsidTr="009F4766">
        <w:tc>
          <w:tcPr>
            <w:tcW w:w="1182" w:type="dxa"/>
            <w:tcBorders>
              <w:top w:val="single" w:sz="2" w:space="0" w:color="auto"/>
              <w:left w:val="single" w:sz="2" w:space="0" w:color="auto"/>
              <w:bottom w:val="single" w:sz="2" w:space="0" w:color="auto"/>
              <w:right w:val="single" w:sz="2" w:space="0" w:color="auto"/>
            </w:tcBorders>
          </w:tcPr>
          <w:p w14:paraId="752983E2" w14:textId="77777777" w:rsidR="009F4766" w:rsidRPr="00DE12A3" w:rsidRDefault="009F4766" w:rsidP="00C917D6">
            <w:pPr>
              <w:pStyle w:val="NormalLeft"/>
            </w:pPr>
            <w:r w:rsidRPr="00DE12A3">
              <w:t>758</w:t>
            </w:r>
          </w:p>
        </w:tc>
        <w:tc>
          <w:tcPr>
            <w:tcW w:w="2489" w:type="dxa"/>
            <w:tcBorders>
              <w:top w:val="single" w:sz="2" w:space="0" w:color="auto"/>
              <w:left w:val="single" w:sz="2" w:space="0" w:color="auto"/>
              <w:bottom w:val="single" w:sz="2" w:space="0" w:color="auto"/>
              <w:right w:val="single" w:sz="2" w:space="0" w:color="auto"/>
            </w:tcBorders>
          </w:tcPr>
          <w:p w14:paraId="54B571B5" w14:textId="77777777" w:rsidR="009F4766" w:rsidRPr="00DE12A3" w:rsidRDefault="009F4766" w:rsidP="00C917D6">
            <w:pPr>
              <w:pStyle w:val="NormalLeft"/>
            </w:pPr>
            <w:r w:rsidRPr="00DE12A3">
              <w:t>102</w:t>
            </w:r>
          </w:p>
        </w:tc>
        <w:tc>
          <w:tcPr>
            <w:tcW w:w="2551" w:type="dxa"/>
            <w:tcBorders>
              <w:top w:val="single" w:sz="2" w:space="0" w:color="auto"/>
              <w:left w:val="single" w:sz="2" w:space="0" w:color="auto"/>
              <w:bottom w:val="single" w:sz="2" w:space="0" w:color="auto"/>
              <w:right w:val="single" w:sz="2" w:space="0" w:color="auto"/>
            </w:tcBorders>
          </w:tcPr>
          <w:p w14:paraId="4FD8094A" w14:textId="77777777" w:rsidR="009F4766" w:rsidRPr="00DE12A3" w:rsidRDefault="009F4766" w:rsidP="00C917D6">
            <w:pPr>
              <w:pStyle w:val="NormalLeft"/>
            </w:pPr>
            <w:r w:rsidRPr="00DE12A3">
              <w:t>42</w:t>
            </w:r>
          </w:p>
        </w:tc>
      </w:tr>
      <w:tr w:rsidR="00DE12A3" w:rsidRPr="00DE12A3" w14:paraId="2EE3185B" w14:textId="77777777" w:rsidTr="009F4766">
        <w:tc>
          <w:tcPr>
            <w:tcW w:w="1182" w:type="dxa"/>
            <w:tcBorders>
              <w:top w:val="single" w:sz="2" w:space="0" w:color="auto"/>
              <w:left w:val="single" w:sz="2" w:space="0" w:color="auto"/>
              <w:bottom w:val="single" w:sz="2" w:space="0" w:color="auto"/>
              <w:right w:val="single" w:sz="2" w:space="0" w:color="auto"/>
            </w:tcBorders>
          </w:tcPr>
          <w:p w14:paraId="689ED648" w14:textId="77777777" w:rsidR="009F4766" w:rsidRPr="00DE12A3" w:rsidRDefault="009F4766" w:rsidP="00C917D6">
            <w:pPr>
              <w:pStyle w:val="NormalLeft"/>
            </w:pPr>
            <w:r w:rsidRPr="00DE12A3">
              <w:t>759</w:t>
            </w:r>
          </w:p>
        </w:tc>
        <w:tc>
          <w:tcPr>
            <w:tcW w:w="2489" w:type="dxa"/>
            <w:tcBorders>
              <w:top w:val="single" w:sz="2" w:space="0" w:color="auto"/>
              <w:left w:val="single" w:sz="2" w:space="0" w:color="auto"/>
              <w:bottom w:val="single" w:sz="2" w:space="0" w:color="auto"/>
              <w:right w:val="single" w:sz="2" w:space="0" w:color="auto"/>
            </w:tcBorders>
          </w:tcPr>
          <w:p w14:paraId="308F63DF" w14:textId="77777777" w:rsidR="009F4766" w:rsidRPr="00DE12A3" w:rsidRDefault="009F4766" w:rsidP="00C917D6">
            <w:pPr>
              <w:pStyle w:val="NormalLeft"/>
            </w:pPr>
            <w:r w:rsidRPr="00DE12A3">
              <w:t>102</w:t>
            </w:r>
          </w:p>
        </w:tc>
        <w:tc>
          <w:tcPr>
            <w:tcW w:w="2551" w:type="dxa"/>
            <w:tcBorders>
              <w:top w:val="single" w:sz="2" w:space="0" w:color="auto"/>
              <w:left w:val="single" w:sz="2" w:space="0" w:color="auto"/>
              <w:bottom w:val="single" w:sz="2" w:space="0" w:color="auto"/>
              <w:right w:val="single" w:sz="2" w:space="0" w:color="auto"/>
            </w:tcBorders>
          </w:tcPr>
          <w:p w14:paraId="07F72214" w14:textId="77777777" w:rsidR="009F4766" w:rsidRPr="00DE12A3" w:rsidRDefault="009F4766" w:rsidP="00C917D6">
            <w:pPr>
              <w:pStyle w:val="NormalLeft"/>
            </w:pPr>
            <w:r w:rsidRPr="00DE12A3">
              <w:t>52</w:t>
            </w:r>
          </w:p>
        </w:tc>
      </w:tr>
      <w:tr w:rsidR="00DE12A3" w:rsidRPr="00DE12A3" w14:paraId="0BF48E03" w14:textId="77777777" w:rsidTr="009F4766">
        <w:tc>
          <w:tcPr>
            <w:tcW w:w="1182" w:type="dxa"/>
            <w:tcBorders>
              <w:top w:val="single" w:sz="2" w:space="0" w:color="auto"/>
              <w:left w:val="single" w:sz="2" w:space="0" w:color="auto"/>
              <w:bottom w:val="single" w:sz="2" w:space="0" w:color="auto"/>
              <w:right w:val="single" w:sz="2" w:space="0" w:color="auto"/>
            </w:tcBorders>
          </w:tcPr>
          <w:p w14:paraId="592A32A6" w14:textId="77777777" w:rsidR="009F4766" w:rsidRPr="00DE12A3" w:rsidRDefault="009F4766" w:rsidP="00C917D6">
            <w:pPr>
              <w:pStyle w:val="NormalLeft"/>
            </w:pPr>
            <w:r w:rsidRPr="00DE12A3">
              <w:t>760</w:t>
            </w:r>
          </w:p>
        </w:tc>
        <w:tc>
          <w:tcPr>
            <w:tcW w:w="2489" w:type="dxa"/>
            <w:tcBorders>
              <w:top w:val="single" w:sz="2" w:space="0" w:color="auto"/>
              <w:left w:val="single" w:sz="2" w:space="0" w:color="auto"/>
              <w:bottom w:val="single" w:sz="2" w:space="0" w:color="auto"/>
              <w:right w:val="single" w:sz="2" w:space="0" w:color="auto"/>
            </w:tcBorders>
          </w:tcPr>
          <w:p w14:paraId="42E5F11B" w14:textId="77777777" w:rsidR="009F4766" w:rsidRPr="00DE12A3" w:rsidRDefault="009F4766" w:rsidP="00C917D6">
            <w:pPr>
              <w:pStyle w:val="NormalLeft"/>
            </w:pPr>
            <w:r w:rsidRPr="00DE12A3">
              <w:t>102</w:t>
            </w:r>
          </w:p>
        </w:tc>
        <w:tc>
          <w:tcPr>
            <w:tcW w:w="2551" w:type="dxa"/>
            <w:tcBorders>
              <w:top w:val="single" w:sz="2" w:space="0" w:color="auto"/>
              <w:left w:val="single" w:sz="2" w:space="0" w:color="auto"/>
              <w:bottom w:val="single" w:sz="2" w:space="0" w:color="auto"/>
              <w:right w:val="single" w:sz="2" w:space="0" w:color="auto"/>
            </w:tcBorders>
          </w:tcPr>
          <w:p w14:paraId="0A5F7ABE" w14:textId="77777777" w:rsidR="009F4766" w:rsidRPr="00DE12A3" w:rsidRDefault="009F4766" w:rsidP="00C917D6">
            <w:pPr>
              <w:pStyle w:val="NormalLeft"/>
            </w:pPr>
            <w:r w:rsidRPr="00DE12A3">
              <w:t>57</w:t>
            </w:r>
          </w:p>
        </w:tc>
      </w:tr>
      <w:tr w:rsidR="00DE12A3" w:rsidRPr="00DE12A3" w14:paraId="2DE33A95" w14:textId="77777777" w:rsidTr="009F4766">
        <w:tc>
          <w:tcPr>
            <w:tcW w:w="1182" w:type="dxa"/>
            <w:tcBorders>
              <w:top w:val="single" w:sz="2" w:space="0" w:color="auto"/>
              <w:left w:val="single" w:sz="2" w:space="0" w:color="auto"/>
              <w:bottom w:val="single" w:sz="2" w:space="0" w:color="auto"/>
              <w:right w:val="single" w:sz="2" w:space="0" w:color="auto"/>
            </w:tcBorders>
          </w:tcPr>
          <w:p w14:paraId="3FF8CB67" w14:textId="77777777" w:rsidR="009F4766" w:rsidRPr="00DE12A3" w:rsidRDefault="009F4766" w:rsidP="00C917D6">
            <w:pPr>
              <w:pStyle w:val="NormalLeft"/>
            </w:pPr>
            <w:r w:rsidRPr="00DE12A3">
              <w:t>761</w:t>
            </w:r>
          </w:p>
        </w:tc>
        <w:tc>
          <w:tcPr>
            <w:tcW w:w="2489" w:type="dxa"/>
            <w:tcBorders>
              <w:top w:val="single" w:sz="2" w:space="0" w:color="auto"/>
              <w:left w:val="single" w:sz="2" w:space="0" w:color="auto"/>
              <w:bottom w:val="single" w:sz="2" w:space="0" w:color="auto"/>
              <w:right w:val="single" w:sz="2" w:space="0" w:color="auto"/>
            </w:tcBorders>
          </w:tcPr>
          <w:p w14:paraId="469FFEBE" w14:textId="77777777" w:rsidR="009F4766" w:rsidRPr="00DE12A3" w:rsidRDefault="009F4766" w:rsidP="00C917D6">
            <w:pPr>
              <w:pStyle w:val="NormalLeft"/>
            </w:pPr>
            <w:r w:rsidRPr="00DE12A3">
              <w:t>102</w:t>
            </w:r>
          </w:p>
        </w:tc>
        <w:tc>
          <w:tcPr>
            <w:tcW w:w="2551" w:type="dxa"/>
            <w:tcBorders>
              <w:top w:val="single" w:sz="2" w:space="0" w:color="auto"/>
              <w:left w:val="single" w:sz="2" w:space="0" w:color="auto"/>
              <w:bottom w:val="single" w:sz="2" w:space="0" w:color="auto"/>
              <w:right w:val="single" w:sz="2" w:space="0" w:color="auto"/>
            </w:tcBorders>
          </w:tcPr>
          <w:p w14:paraId="02FC8E14" w14:textId="77777777" w:rsidR="009F4766" w:rsidRPr="00DE12A3" w:rsidRDefault="009F4766" w:rsidP="00C917D6">
            <w:pPr>
              <w:pStyle w:val="NormalLeft"/>
            </w:pPr>
            <w:r w:rsidRPr="00DE12A3">
              <w:t>55</w:t>
            </w:r>
          </w:p>
        </w:tc>
      </w:tr>
      <w:tr w:rsidR="00DE12A3" w:rsidRPr="00DE12A3" w14:paraId="29992AF9" w14:textId="77777777" w:rsidTr="009F4766">
        <w:tc>
          <w:tcPr>
            <w:tcW w:w="1182" w:type="dxa"/>
            <w:tcBorders>
              <w:top w:val="single" w:sz="2" w:space="0" w:color="auto"/>
              <w:left w:val="single" w:sz="2" w:space="0" w:color="auto"/>
              <w:bottom w:val="single" w:sz="2" w:space="0" w:color="auto"/>
              <w:right w:val="single" w:sz="2" w:space="0" w:color="auto"/>
            </w:tcBorders>
          </w:tcPr>
          <w:p w14:paraId="014B2B25" w14:textId="77777777" w:rsidR="009F4766" w:rsidRPr="00DE12A3" w:rsidRDefault="009F4766" w:rsidP="00C917D6">
            <w:pPr>
              <w:pStyle w:val="NormalLeft"/>
            </w:pPr>
            <w:r w:rsidRPr="00DE12A3">
              <w:t>762</w:t>
            </w:r>
          </w:p>
        </w:tc>
        <w:tc>
          <w:tcPr>
            <w:tcW w:w="2489" w:type="dxa"/>
            <w:tcBorders>
              <w:top w:val="single" w:sz="2" w:space="0" w:color="auto"/>
              <w:left w:val="single" w:sz="2" w:space="0" w:color="auto"/>
              <w:bottom w:val="single" w:sz="2" w:space="0" w:color="auto"/>
              <w:right w:val="single" w:sz="2" w:space="0" w:color="auto"/>
            </w:tcBorders>
          </w:tcPr>
          <w:p w14:paraId="3BC2D9B9" w14:textId="77777777" w:rsidR="009F4766" w:rsidRPr="00DE12A3" w:rsidRDefault="009F4766" w:rsidP="00C917D6">
            <w:pPr>
              <w:pStyle w:val="NormalLeft"/>
            </w:pPr>
            <w:r w:rsidRPr="00DE12A3">
              <w:t>102</w:t>
            </w:r>
          </w:p>
        </w:tc>
        <w:tc>
          <w:tcPr>
            <w:tcW w:w="2551" w:type="dxa"/>
            <w:tcBorders>
              <w:top w:val="single" w:sz="2" w:space="0" w:color="auto"/>
              <w:left w:val="single" w:sz="2" w:space="0" w:color="auto"/>
              <w:bottom w:val="single" w:sz="2" w:space="0" w:color="auto"/>
              <w:right w:val="single" w:sz="2" w:space="0" w:color="auto"/>
            </w:tcBorders>
          </w:tcPr>
          <w:p w14:paraId="3D275949" w14:textId="77777777" w:rsidR="009F4766" w:rsidRPr="00DE12A3" w:rsidRDefault="009F4766" w:rsidP="00C917D6">
            <w:pPr>
              <w:pStyle w:val="NormalLeft"/>
            </w:pPr>
            <w:r w:rsidRPr="00DE12A3">
              <w:t>61</w:t>
            </w:r>
          </w:p>
        </w:tc>
      </w:tr>
      <w:tr w:rsidR="00DE12A3" w:rsidRPr="00DE12A3" w14:paraId="6ED75300" w14:textId="77777777" w:rsidTr="009F4766">
        <w:tc>
          <w:tcPr>
            <w:tcW w:w="1182" w:type="dxa"/>
            <w:tcBorders>
              <w:top w:val="single" w:sz="2" w:space="0" w:color="auto"/>
              <w:left w:val="single" w:sz="2" w:space="0" w:color="auto"/>
              <w:bottom w:val="single" w:sz="2" w:space="0" w:color="auto"/>
              <w:right w:val="single" w:sz="2" w:space="0" w:color="auto"/>
            </w:tcBorders>
          </w:tcPr>
          <w:p w14:paraId="74126A0C" w14:textId="77777777" w:rsidR="009F4766" w:rsidRPr="00DE12A3" w:rsidRDefault="009F4766" w:rsidP="00C917D6">
            <w:pPr>
              <w:pStyle w:val="NormalLeft"/>
            </w:pPr>
            <w:r w:rsidRPr="00DE12A3">
              <w:t>763</w:t>
            </w:r>
          </w:p>
        </w:tc>
        <w:tc>
          <w:tcPr>
            <w:tcW w:w="2489" w:type="dxa"/>
            <w:tcBorders>
              <w:top w:val="single" w:sz="2" w:space="0" w:color="auto"/>
              <w:left w:val="single" w:sz="2" w:space="0" w:color="auto"/>
              <w:bottom w:val="single" w:sz="2" w:space="0" w:color="auto"/>
              <w:right w:val="single" w:sz="2" w:space="0" w:color="auto"/>
            </w:tcBorders>
          </w:tcPr>
          <w:p w14:paraId="017B352A" w14:textId="77777777" w:rsidR="009F4766" w:rsidRPr="00DE12A3" w:rsidRDefault="009F4766" w:rsidP="00C917D6">
            <w:pPr>
              <w:pStyle w:val="NormalLeft"/>
            </w:pPr>
            <w:r w:rsidRPr="00DE12A3">
              <w:t>102</w:t>
            </w:r>
          </w:p>
        </w:tc>
        <w:tc>
          <w:tcPr>
            <w:tcW w:w="2551" w:type="dxa"/>
            <w:tcBorders>
              <w:top w:val="single" w:sz="2" w:space="0" w:color="auto"/>
              <w:left w:val="single" w:sz="2" w:space="0" w:color="auto"/>
              <w:bottom w:val="single" w:sz="2" w:space="0" w:color="auto"/>
              <w:right w:val="single" w:sz="2" w:space="0" w:color="auto"/>
            </w:tcBorders>
          </w:tcPr>
          <w:p w14:paraId="6EB347D3" w14:textId="77777777" w:rsidR="009F4766" w:rsidRPr="00DE12A3" w:rsidRDefault="009F4766" w:rsidP="00C917D6">
            <w:pPr>
              <w:pStyle w:val="NormalLeft"/>
            </w:pPr>
            <w:r w:rsidRPr="00DE12A3">
              <w:t>61</w:t>
            </w:r>
          </w:p>
        </w:tc>
      </w:tr>
      <w:tr w:rsidR="00DE12A3" w:rsidRPr="00DE12A3" w14:paraId="7F36E90F" w14:textId="77777777" w:rsidTr="009F4766">
        <w:tc>
          <w:tcPr>
            <w:tcW w:w="1182" w:type="dxa"/>
            <w:tcBorders>
              <w:top w:val="single" w:sz="2" w:space="0" w:color="auto"/>
              <w:left w:val="single" w:sz="2" w:space="0" w:color="auto"/>
              <w:bottom w:val="single" w:sz="2" w:space="0" w:color="auto"/>
              <w:right w:val="single" w:sz="2" w:space="0" w:color="auto"/>
            </w:tcBorders>
          </w:tcPr>
          <w:p w14:paraId="55981B36" w14:textId="77777777" w:rsidR="009F4766" w:rsidRPr="00DE12A3" w:rsidRDefault="009F4766" w:rsidP="00C917D6">
            <w:pPr>
              <w:pStyle w:val="NormalLeft"/>
            </w:pPr>
            <w:r w:rsidRPr="00DE12A3">
              <w:lastRenderedPageBreak/>
              <w:t>764</w:t>
            </w:r>
          </w:p>
        </w:tc>
        <w:tc>
          <w:tcPr>
            <w:tcW w:w="2489" w:type="dxa"/>
            <w:tcBorders>
              <w:top w:val="single" w:sz="2" w:space="0" w:color="auto"/>
              <w:left w:val="single" w:sz="2" w:space="0" w:color="auto"/>
              <w:bottom w:val="single" w:sz="2" w:space="0" w:color="auto"/>
              <w:right w:val="single" w:sz="2" w:space="0" w:color="auto"/>
            </w:tcBorders>
          </w:tcPr>
          <w:p w14:paraId="4758DC54" w14:textId="77777777" w:rsidR="009F4766" w:rsidRPr="00DE12A3" w:rsidRDefault="009F4766" w:rsidP="00C917D6">
            <w:pPr>
              <w:pStyle w:val="NormalLeft"/>
            </w:pPr>
            <w:r w:rsidRPr="00DE12A3">
              <w:t>102</w:t>
            </w:r>
          </w:p>
        </w:tc>
        <w:tc>
          <w:tcPr>
            <w:tcW w:w="2551" w:type="dxa"/>
            <w:tcBorders>
              <w:top w:val="single" w:sz="2" w:space="0" w:color="auto"/>
              <w:left w:val="single" w:sz="2" w:space="0" w:color="auto"/>
              <w:bottom w:val="single" w:sz="2" w:space="0" w:color="auto"/>
              <w:right w:val="single" w:sz="2" w:space="0" w:color="auto"/>
            </w:tcBorders>
          </w:tcPr>
          <w:p w14:paraId="37096A11" w14:textId="77777777" w:rsidR="009F4766" w:rsidRPr="00DE12A3" w:rsidRDefault="009F4766" w:rsidP="00C917D6">
            <w:pPr>
              <w:pStyle w:val="NormalLeft"/>
            </w:pPr>
            <w:r w:rsidRPr="00DE12A3">
              <w:t>58</w:t>
            </w:r>
          </w:p>
        </w:tc>
      </w:tr>
      <w:tr w:rsidR="00DE12A3" w:rsidRPr="00DE12A3" w14:paraId="52CFFD13" w14:textId="77777777" w:rsidTr="009F4766">
        <w:tc>
          <w:tcPr>
            <w:tcW w:w="1182" w:type="dxa"/>
            <w:tcBorders>
              <w:top w:val="single" w:sz="2" w:space="0" w:color="auto"/>
              <w:left w:val="single" w:sz="2" w:space="0" w:color="auto"/>
              <w:bottom w:val="single" w:sz="2" w:space="0" w:color="auto"/>
              <w:right w:val="single" w:sz="2" w:space="0" w:color="auto"/>
            </w:tcBorders>
          </w:tcPr>
          <w:p w14:paraId="7897F150" w14:textId="77777777" w:rsidR="009F4766" w:rsidRPr="00DE12A3" w:rsidRDefault="009F4766" w:rsidP="00C917D6">
            <w:pPr>
              <w:pStyle w:val="NormalLeft"/>
            </w:pPr>
            <w:r w:rsidRPr="00DE12A3">
              <w:t>765</w:t>
            </w:r>
          </w:p>
        </w:tc>
        <w:tc>
          <w:tcPr>
            <w:tcW w:w="2489" w:type="dxa"/>
            <w:tcBorders>
              <w:top w:val="single" w:sz="2" w:space="0" w:color="auto"/>
              <w:left w:val="single" w:sz="2" w:space="0" w:color="auto"/>
              <w:bottom w:val="single" w:sz="2" w:space="0" w:color="auto"/>
              <w:right w:val="single" w:sz="2" w:space="0" w:color="auto"/>
            </w:tcBorders>
          </w:tcPr>
          <w:p w14:paraId="7811767B" w14:textId="77777777" w:rsidR="009F4766" w:rsidRPr="00DE12A3" w:rsidRDefault="009F4766" w:rsidP="00C917D6">
            <w:pPr>
              <w:pStyle w:val="NormalLeft"/>
            </w:pPr>
            <w:r w:rsidRPr="00DE12A3">
              <w:t>103</w:t>
            </w:r>
          </w:p>
        </w:tc>
        <w:tc>
          <w:tcPr>
            <w:tcW w:w="2551" w:type="dxa"/>
            <w:tcBorders>
              <w:top w:val="single" w:sz="2" w:space="0" w:color="auto"/>
              <w:left w:val="single" w:sz="2" w:space="0" w:color="auto"/>
              <w:bottom w:val="single" w:sz="2" w:space="0" w:color="auto"/>
              <w:right w:val="single" w:sz="2" w:space="0" w:color="auto"/>
            </w:tcBorders>
          </w:tcPr>
          <w:p w14:paraId="50FB4697" w14:textId="77777777" w:rsidR="009F4766" w:rsidRPr="00DE12A3" w:rsidRDefault="009F4766" w:rsidP="00C917D6">
            <w:pPr>
              <w:pStyle w:val="NormalLeft"/>
            </w:pPr>
            <w:r w:rsidRPr="00DE12A3">
              <w:t>58</w:t>
            </w:r>
          </w:p>
        </w:tc>
      </w:tr>
      <w:tr w:rsidR="00DE12A3" w:rsidRPr="00DE12A3" w14:paraId="0CD5BA63" w14:textId="77777777" w:rsidTr="009F4766">
        <w:tc>
          <w:tcPr>
            <w:tcW w:w="1182" w:type="dxa"/>
            <w:tcBorders>
              <w:top w:val="single" w:sz="2" w:space="0" w:color="auto"/>
              <w:left w:val="single" w:sz="2" w:space="0" w:color="auto"/>
              <w:bottom w:val="single" w:sz="2" w:space="0" w:color="auto"/>
              <w:right w:val="single" w:sz="2" w:space="0" w:color="auto"/>
            </w:tcBorders>
          </w:tcPr>
          <w:p w14:paraId="102CA32A" w14:textId="77777777" w:rsidR="009F4766" w:rsidRPr="00DE12A3" w:rsidRDefault="009F4766" w:rsidP="00C917D6">
            <w:pPr>
              <w:pStyle w:val="NormalLeft"/>
            </w:pPr>
            <w:r w:rsidRPr="00DE12A3">
              <w:t>766</w:t>
            </w:r>
          </w:p>
        </w:tc>
        <w:tc>
          <w:tcPr>
            <w:tcW w:w="2489" w:type="dxa"/>
            <w:tcBorders>
              <w:top w:val="single" w:sz="2" w:space="0" w:color="auto"/>
              <w:left w:val="single" w:sz="2" w:space="0" w:color="auto"/>
              <w:bottom w:val="single" w:sz="2" w:space="0" w:color="auto"/>
              <w:right w:val="single" w:sz="2" w:space="0" w:color="auto"/>
            </w:tcBorders>
          </w:tcPr>
          <w:p w14:paraId="1B7C2CE5" w14:textId="77777777" w:rsidR="009F4766" w:rsidRPr="00DE12A3" w:rsidRDefault="009F4766" w:rsidP="00C917D6">
            <w:pPr>
              <w:pStyle w:val="NormalLeft"/>
            </w:pPr>
            <w:r w:rsidRPr="00DE12A3">
              <w:t>102</w:t>
            </w:r>
          </w:p>
        </w:tc>
        <w:tc>
          <w:tcPr>
            <w:tcW w:w="2551" w:type="dxa"/>
            <w:tcBorders>
              <w:top w:val="single" w:sz="2" w:space="0" w:color="auto"/>
              <w:left w:val="single" w:sz="2" w:space="0" w:color="auto"/>
              <w:bottom w:val="single" w:sz="2" w:space="0" w:color="auto"/>
              <w:right w:val="single" w:sz="2" w:space="0" w:color="auto"/>
            </w:tcBorders>
          </w:tcPr>
          <w:p w14:paraId="05D30E3C" w14:textId="77777777" w:rsidR="009F4766" w:rsidRPr="00DE12A3" w:rsidRDefault="009F4766" w:rsidP="00C917D6">
            <w:pPr>
              <w:pStyle w:val="NormalLeft"/>
            </w:pPr>
            <w:r w:rsidRPr="00DE12A3">
              <w:t>59</w:t>
            </w:r>
          </w:p>
        </w:tc>
      </w:tr>
      <w:tr w:rsidR="00DE12A3" w:rsidRPr="00DE12A3" w14:paraId="45BB5540" w14:textId="77777777" w:rsidTr="009F4766">
        <w:tc>
          <w:tcPr>
            <w:tcW w:w="1182" w:type="dxa"/>
            <w:tcBorders>
              <w:top w:val="single" w:sz="2" w:space="0" w:color="auto"/>
              <w:left w:val="single" w:sz="2" w:space="0" w:color="auto"/>
              <w:bottom w:val="single" w:sz="2" w:space="0" w:color="auto"/>
              <w:right w:val="single" w:sz="2" w:space="0" w:color="auto"/>
            </w:tcBorders>
          </w:tcPr>
          <w:p w14:paraId="7E5C3058" w14:textId="77777777" w:rsidR="009F4766" w:rsidRPr="00DE12A3" w:rsidRDefault="009F4766" w:rsidP="00C917D6">
            <w:pPr>
              <w:pStyle w:val="NormalLeft"/>
            </w:pPr>
            <w:r w:rsidRPr="00DE12A3">
              <w:t>767</w:t>
            </w:r>
          </w:p>
        </w:tc>
        <w:tc>
          <w:tcPr>
            <w:tcW w:w="2489" w:type="dxa"/>
            <w:tcBorders>
              <w:top w:val="single" w:sz="2" w:space="0" w:color="auto"/>
              <w:left w:val="single" w:sz="2" w:space="0" w:color="auto"/>
              <w:bottom w:val="single" w:sz="2" w:space="0" w:color="auto"/>
              <w:right w:val="single" w:sz="2" w:space="0" w:color="auto"/>
            </w:tcBorders>
          </w:tcPr>
          <w:p w14:paraId="31B78BA4" w14:textId="77777777" w:rsidR="009F4766" w:rsidRPr="00DE12A3" w:rsidRDefault="009F4766" w:rsidP="00C917D6">
            <w:pPr>
              <w:pStyle w:val="NormalLeft"/>
            </w:pPr>
            <w:r w:rsidRPr="00DE12A3">
              <w:t>102</w:t>
            </w:r>
          </w:p>
        </w:tc>
        <w:tc>
          <w:tcPr>
            <w:tcW w:w="2551" w:type="dxa"/>
            <w:tcBorders>
              <w:top w:val="single" w:sz="2" w:space="0" w:color="auto"/>
              <w:left w:val="single" w:sz="2" w:space="0" w:color="auto"/>
              <w:bottom w:val="single" w:sz="2" w:space="0" w:color="auto"/>
              <w:right w:val="single" w:sz="2" w:space="0" w:color="auto"/>
            </w:tcBorders>
          </w:tcPr>
          <w:p w14:paraId="6974ED2A" w14:textId="77777777" w:rsidR="009F4766" w:rsidRPr="00DE12A3" w:rsidRDefault="009F4766" w:rsidP="00C917D6">
            <w:pPr>
              <w:pStyle w:val="NormalLeft"/>
            </w:pPr>
            <w:r w:rsidRPr="00DE12A3">
              <w:t>54</w:t>
            </w:r>
          </w:p>
        </w:tc>
      </w:tr>
      <w:tr w:rsidR="00DE12A3" w:rsidRPr="00DE12A3" w14:paraId="0BF20522" w14:textId="77777777" w:rsidTr="009F4766">
        <w:tc>
          <w:tcPr>
            <w:tcW w:w="1182" w:type="dxa"/>
            <w:tcBorders>
              <w:top w:val="single" w:sz="2" w:space="0" w:color="auto"/>
              <w:left w:val="single" w:sz="2" w:space="0" w:color="auto"/>
              <w:bottom w:val="single" w:sz="2" w:space="0" w:color="auto"/>
              <w:right w:val="single" w:sz="2" w:space="0" w:color="auto"/>
            </w:tcBorders>
          </w:tcPr>
          <w:p w14:paraId="3EC24ECB" w14:textId="77777777" w:rsidR="009F4766" w:rsidRPr="00DE12A3" w:rsidRDefault="009F4766" w:rsidP="00C917D6">
            <w:pPr>
              <w:pStyle w:val="NormalLeft"/>
            </w:pPr>
            <w:r w:rsidRPr="00DE12A3">
              <w:t>768</w:t>
            </w:r>
          </w:p>
        </w:tc>
        <w:tc>
          <w:tcPr>
            <w:tcW w:w="2489" w:type="dxa"/>
            <w:tcBorders>
              <w:top w:val="single" w:sz="2" w:space="0" w:color="auto"/>
              <w:left w:val="single" w:sz="2" w:space="0" w:color="auto"/>
              <w:bottom w:val="single" w:sz="2" w:space="0" w:color="auto"/>
              <w:right w:val="single" w:sz="2" w:space="0" w:color="auto"/>
            </w:tcBorders>
          </w:tcPr>
          <w:p w14:paraId="3F5593B8" w14:textId="77777777" w:rsidR="009F4766" w:rsidRPr="00DE12A3" w:rsidRDefault="009F4766" w:rsidP="00C917D6">
            <w:pPr>
              <w:pStyle w:val="NormalLeft"/>
            </w:pPr>
            <w:r w:rsidRPr="00DE12A3">
              <w:t>102</w:t>
            </w:r>
          </w:p>
        </w:tc>
        <w:tc>
          <w:tcPr>
            <w:tcW w:w="2551" w:type="dxa"/>
            <w:tcBorders>
              <w:top w:val="single" w:sz="2" w:space="0" w:color="auto"/>
              <w:left w:val="single" w:sz="2" w:space="0" w:color="auto"/>
              <w:bottom w:val="single" w:sz="2" w:space="0" w:color="auto"/>
              <w:right w:val="single" w:sz="2" w:space="0" w:color="auto"/>
            </w:tcBorders>
          </w:tcPr>
          <w:p w14:paraId="5110C8BE" w14:textId="77777777" w:rsidR="009F4766" w:rsidRPr="00DE12A3" w:rsidRDefault="009F4766" w:rsidP="00C917D6">
            <w:pPr>
              <w:pStyle w:val="NormalLeft"/>
            </w:pPr>
            <w:r w:rsidRPr="00DE12A3">
              <w:t>63</w:t>
            </w:r>
          </w:p>
        </w:tc>
      </w:tr>
      <w:tr w:rsidR="00DE12A3" w:rsidRPr="00DE12A3" w14:paraId="4B0449AD" w14:textId="77777777" w:rsidTr="009F4766">
        <w:tc>
          <w:tcPr>
            <w:tcW w:w="1182" w:type="dxa"/>
            <w:tcBorders>
              <w:top w:val="single" w:sz="2" w:space="0" w:color="auto"/>
              <w:left w:val="single" w:sz="2" w:space="0" w:color="auto"/>
              <w:bottom w:val="single" w:sz="2" w:space="0" w:color="auto"/>
              <w:right w:val="single" w:sz="2" w:space="0" w:color="auto"/>
            </w:tcBorders>
          </w:tcPr>
          <w:p w14:paraId="5EBB903D" w14:textId="77777777" w:rsidR="009F4766" w:rsidRPr="00DE12A3" w:rsidRDefault="009F4766" w:rsidP="00C917D6">
            <w:pPr>
              <w:pStyle w:val="NormalLeft"/>
            </w:pPr>
            <w:r w:rsidRPr="00DE12A3">
              <w:t>769</w:t>
            </w:r>
          </w:p>
        </w:tc>
        <w:tc>
          <w:tcPr>
            <w:tcW w:w="2489" w:type="dxa"/>
            <w:tcBorders>
              <w:top w:val="single" w:sz="2" w:space="0" w:color="auto"/>
              <w:left w:val="single" w:sz="2" w:space="0" w:color="auto"/>
              <w:bottom w:val="single" w:sz="2" w:space="0" w:color="auto"/>
              <w:right w:val="single" w:sz="2" w:space="0" w:color="auto"/>
            </w:tcBorders>
          </w:tcPr>
          <w:p w14:paraId="5C99586A" w14:textId="77777777" w:rsidR="009F4766" w:rsidRPr="00DE12A3" w:rsidRDefault="009F4766" w:rsidP="00C917D6">
            <w:pPr>
              <w:pStyle w:val="NormalLeft"/>
            </w:pPr>
            <w:r w:rsidRPr="00DE12A3">
              <w:t>102</w:t>
            </w:r>
          </w:p>
        </w:tc>
        <w:tc>
          <w:tcPr>
            <w:tcW w:w="2551" w:type="dxa"/>
            <w:tcBorders>
              <w:top w:val="single" w:sz="2" w:space="0" w:color="auto"/>
              <w:left w:val="single" w:sz="2" w:space="0" w:color="auto"/>
              <w:bottom w:val="single" w:sz="2" w:space="0" w:color="auto"/>
              <w:right w:val="single" w:sz="2" w:space="0" w:color="auto"/>
            </w:tcBorders>
          </w:tcPr>
          <w:p w14:paraId="01E1B5B3" w14:textId="77777777" w:rsidR="009F4766" w:rsidRPr="00DE12A3" w:rsidRDefault="009F4766" w:rsidP="00C917D6">
            <w:pPr>
              <w:pStyle w:val="NormalLeft"/>
            </w:pPr>
            <w:r w:rsidRPr="00DE12A3">
              <w:t>61</w:t>
            </w:r>
          </w:p>
        </w:tc>
      </w:tr>
      <w:tr w:rsidR="00DE12A3" w:rsidRPr="00DE12A3" w14:paraId="5EE3D805" w14:textId="77777777" w:rsidTr="009F4766">
        <w:tc>
          <w:tcPr>
            <w:tcW w:w="1182" w:type="dxa"/>
            <w:tcBorders>
              <w:top w:val="single" w:sz="2" w:space="0" w:color="auto"/>
              <w:left w:val="single" w:sz="2" w:space="0" w:color="auto"/>
              <w:bottom w:val="single" w:sz="2" w:space="0" w:color="auto"/>
              <w:right w:val="single" w:sz="2" w:space="0" w:color="auto"/>
            </w:tcBorders>
          </w:tcPr>
          <w:p w14:paraId="7E8B4DC9" w14:textId="77777777" w:rsidR="009F4766" w:rsidRPr="00DE12A3" w:rsidRDefault="009F4766" w:rsidP="00C917D6">
            <w:pPr>
              <w:pStyle w:val="NormalLeft"/>
            </w:pPr>
            <w:r w:rsidRPr="00DE12A3">
              <w:t>770</w:t>
            </w:r>
          </w:p>
        </w:tc>
        <w:tc>
          <w:tcPr>
            <w:tcW w:w="2489" w:type="dxa"/>
            <w:tcBorders>
              <w:top w:val="single" w:sz="2" w:space="0" w:color="auto"/>
              <w:left w:val="single" w:sz="2" w:space="0" w:color="auto"/>
              <w:bottom w:val="single" w:sz="2" w:space="0" w:color="auto"/>
              <w:right w:val="single" w:sz="2" w:space="0" w:color="auto"/>
            </w:tcBorders>
          </w:tcPr>
          <w:p w14:paraId="413403FE" w14:textId="77777777" w:rsidR="009F4766" w:rsidRPr="00DE12A3" w:rsidRDefault="009F4766" w:rsidP="00C917D6">
            <w:pPr>
              <w:pStyle w:val="NormalLeft"/>
            </w:pPr>
            <w:r w:rsidRPr="00DE12A3">
              <w:t>103</w:t>
            </w:r>
          </w:p>
        </w:tc>
        <w:tc>
          <w:tcPr>
            <w:tcW w:w="2551" w:type="dxa"/>
            <w:tcBorders>
              <w:top w:val="single" w:sz="2" w:space="0" w:color="auto"/>
              <w:left w:val="single" w:sz="2" w:space="0" w:color="auto"/>
              <w:bottom w:val="single" w:sz="2" w:space="0" w:color="auto"/>
              <w:right w:val="single" w:sz="2" w:space="0" w:color="auto"/>
            </w:tcBorders>
          </w:tcPr>
          <w:p w14:paraId="0389F760" w14:textId="77777777" w:rsidR="009F4766" w:rsidRPr="00DE12A3" w:rsidRDefault="009F4766" w:rsidP="00C917D6">
            <w:pPr>
              <w:pStyle w:val="NormalLeft"/>
            </w:pPr>
            <w:r w:rsidRPr="00DE12A3">
              <w:t>55</w:t>
            </w:r>
          </w:p>
        </w:tc>
      </w:tr>
      <w:tr w:rsidR="00DE12A3" w:rsidRPr="00DE12A3" w14:paraId="57B84F04" w14:textId="77777777" w:rsidTr="009F4766">
        <w:tc>
          <w:tcPr>
            <w:tcW w:w="1182" w:type="dxa"/>
            <w:tcBorders>
              <w:top w:val="single" w:sz="2" w:space="0" w:color="auto"/>
              <w:left w:val="single" w:sz="2" w:space="0" w:color="auto"/>
              <w:bottom w:val="single" w:sz="2" w:space="0" w:color="auto"/>
              <w:right w:val="single" w:sz="2" w:space="0" w:color="auto"/>
            </w:tcBorders>
          </w:tcPr>
          <w:p w14:paraId="65E30FDB" w14:textId="77777777" w:rsidR="009F4766" w:rsidRPr="00DE12A3" w:rsidRDefault="009F4766" w:rsidP="00C917D6">
            <w:pPr>
              <w:pStyle w:val="NormalLeft"/>
            </w:pPr>
            <w:r w:rsidRPr="00DE12A3">
              <w:t>771</w:t>
            </w:r>
          </w:p>
        </w:tc>
        <w:tc>
          <w:tcPr>
            <w:tcW w:w="2489" w:type="dxa"/>
            <w:tcBorders>
              <w:top w:val="single" w:sz="2" w:space="0" w:color="auto"/>
              <w:left w:val="single" w:sz="2" w:space="0" w:color="auto"/>
              <w:bottom w:val="single" w:sz="2" w:space="0" w:color="auto"/>
              <w:right w:val="single" w:sz="2" w:space="0" w:color="auto"/>
            </w:tcBorders>
          </w:tcPr>
          <w:p w14:paraId="52E42ECE" w14:textId="77777777" w:rsidR="009F4766" w:rsidRPr="00DE12A3" w:rsidRDefault="009F4766" w:rsidP="00C917D6">
            <w:pPr>
              <w:pStyle w:val="NormalLeft"/>
            </w:pPr>
            <w:r w:rsidRPr="00DE12A3">
              <w:t>102</w:t>
            </w:r>
          </w:p>
        </w:tc>
        <w:tc>
          <w:tcPr>
            <w:tcW w:w="2551" w:type="dxa"/>
            <w:tcBorders>
              <w:top w:val="single" w:sz="2" w:space="0" w:color="auto"/>
              <w:left w:val="single" w:sz="2" w:space="0" w:color="auto"/>
              <w:bottom w:val="single" w:sz="2" w:space="0" w:color="auto"/>
              <w:right w:val="single" w:sz="2" w:space="0" w:color="auto"/>
            </w:tcBorders>
          </w:tcPr>
          <w:p w14:paraId="16E48468" w14:textId="77777777" w:rsidR="009F4766" w:rsidRPr="00DE12A3" w:rsidRDefault="009F4766" w:rsidP="00C917D6">
            <w:pPr>
              <w:pStyle w:val="NormalLeft"/>
            </w:pPr>
            <w:r w:rsidRPr="00DE12A3">
              <w:t>60</w:t>
            </w:r>
          </w:p>
        </w:tc>
      </w:tr>
      <w:tr w:rsidR="00DE12A3" w:rsidRPr="00DE12A3" w14:paraId="7A8B4208" w14:textId="77777777" w:rsidTr="009F4766">
        <w:tc>
          <w:tcPr>
            <w:tcW w:w="1182" w:type="dxa"/>
            <w:tcBorders>
              <w:top w:val="single" w:sz="2" w:space="0" w:color="auto"/>
              <w:left w:val="single" w:sz="2" w:space="0" w:color="auto"/>
              <w:bottom w:val="single" w:sz="2" w:space="0" w:color="auto"/>
              <w:right w:val="single" w:sz="2" w:space="0" w:color="auto"/>
            </w:tcBorders>
          </w:tcPr>
          <w:p w14:paraId="54BC1FFF" w14:textId="77777777" w:rsidR="009F4766" w:rsidRPr="00DE12A3" w:rsidRDefault="009F4766" w:rsidP="00C917D6">
            <w:pPr>
              <w:pStyle w:val="NormalLeft"/>
            </w:pPr>
            <w:r w:rsidRPr="00DE12A3">
              <w:t>772</w:t>
            </w:r>
          </w:p>
        </w:tc>
        <w:tc>
          <w:tcPr>
            <w:tcW w:w="2489" w:type="dxa"/>
            <w:tcBorders>
              <w:top w:val="single" w:sz="2" w:space="0" w:color="auto"/>
              <w:left w:val="single" w:sz="2" w:space="0" w:color="auto"/>
              <w:bottom w:val="single" w:sz="2" w:space="0" w:color="auto"/>
              <w:right w:val="single" w:sz="2" w:space="0" w:color="auto"/>
            </w:tcBorders>
          </w:tcPr>
          <w:p w14:paraId="502467C8" w14:textId="77777777" w:rsidR="009F4766" w:rsidRPr="00DE12A3" w:rsidRDefault="009F4766" w:rsidP="00C917D6">
            <w:pPr>
              <w:pStyle w:val="NormalLeft"/>
            </w:pPr>
            <w:r w:rsidRPr="00DE12A3">
              <w:t>102</w:t>
            </w:r>
          </w:p>
        </w:tc>
        <w:tc>
          <w:tcPr>
            <w:tcW w:w="2551" w:type="dxa"/>
            <w:tcBorders>
              <w:top w:val="single" w:sz="2" w:space="0" w:color="auto"/>
              <w:left w:val="single" w:sz="2" w:space="0" w:color="auto"/>
              <w:bottom w:val="single" w:sz="2" w:space="0" w:color="auto"/>
              <w:right w:val="single" w:sz="2" w:space="0" w:color="auto"/>
            </w:tcBorders>
          </w:tcPr>
          <w:p w14:paraId="1FAE3DF2" w14:textId="77777777" w:rsidR="009F4766" w:rsidRPr="00DE12A3" w:rsidRDefault="009F4766" w:rsidP="00C917D6">
            <w:pPr>
              <w:pStyle w:val="NormalLeft"/>
            </w:pPr>
            <w:r w:rsidRPr="00DE12A3">
              <w:t>72</w:t>
            </w:r>
          </w:p>
        </w:tc>
      </w:tr>
      <w:tr w:rsidR="00DE12A3" w:rsidRPr="00DE12A3" w14:paraId="52D222E8" w14:textId="77777777" w:rsidTr="009F4766">
        <w:tc>
          <w:tcPr>
            <w:tcW w:w="1182" w:type="dxa"/>
            <w:tcBorders>
              <w:top w:val="single" w:sz="2" w:space="0" w:color="auto"/>
              <w:left w:val="single" w:sz="2" w:space="0" w:color="auto"/>
              <w:bottom w:val="single" w:sz="2" w:space="0" w:color="auto"/>
              <w:right w:val="single" w:sz="2" w:space="0" w:color="auto"/>
            </w:tcBorders>
          </w:tcPr>
          <w:p w14:paraId="4B7113EF" w14:textId="77777777" w:rsidR="009F4766" w:rsidRPr="00DE12A3" w:rsidRDefault="009F4766" w:rsidP="00C917D6">
            <w:pPr>
              <w:pStyle w:val="NormalLeft"/>
            </w:pPr>
            <w:r w:rsidRPr="00DE12A3">
              <w:t>773</w:t>
            </w:r>
          </w:p>
        </w:tc>
        <w:tc>
          <w:tcPr>
            <w:tcW w:w="2489" w:type="dxa"/>
            <w:tcBorders>
              <w:top w:val="single" w:sz="2" w:space="0" w:color="auto"/>
              <w:left w:val="single" w:sz="2" w:space="0" w:color="auto"/>
              <w:bottom w:val="single" w:sz="2" w:space="0" w:color="auto"/>
              <w:right w:val="single" w:sz="2" w:space="0" w:color="auto"/>
            </w:tcBorders>
          </w:tcPr>
          <w:p w14:paraId="4C16885F" w14:textId="77777777" w:rsidR="009F4766" w:rsidRPr="00DE12A3" w:rsidRDefault="009F4766" w:rsidP="00C917D6">
            <w:pPr>
              <w:pStyle w:val="NormalLeft"/>
            </w:pPr>
            <w:r w:rsidRPr="00DE12A3">
              <w:t>103</w:t>
            </w:r>
          </w:p>
        </w:tc>
        <w:tc>
          <w:tcPr>
            <w:tcW w:w="2551" w:type="dxa"/>
            <w:tcBorders>
              <w:top w:val="single" w:sz="2" w:space="0" w:color="auto"/>
              <w:left w:val="single" w:sz="2" w:space="0" w:color="auto"/>
              <w:bottom w:val="single" w:sz="2" w:space="0" w:color="auto"/>
              <w:right w:val="single" w:sz="2" w:space="0" w:color="auto"/>
            </w:tcBorders>
          </w:tcPr>
          <w:p w14:paraId="177A8878" w14:textId="77777777" w:rsidR="009F4766" w:rsidRPr="00DE12A3" w:rsidRDefault="009F4766" w:rsidP="00C917D6">
            <w:pPr>
              <w:pStyle w:val="NormalLeft"/>
            </w:pPr>
            <w:r w:rsidRPr="00DE12A3">
              <w:t>56</w:t>
            </w:r>
          </w:p>
        </w:tc>
      </w:tr>
      <w:tr w:rsidR="00DE12A3" w:rsidRPr="00DE12A3" w14:paraId="77A64EB1" w14:textId="77777777" w:rsidTr="009F4766">
        <w:tc>
          <w:tcPr>
            <w:tcW w:w="1182" w:type="dxa"/>
            <w:tcBorders>
              <w:top w:val="single" w:sz="2" w:space="0" w:color="auto"/>
              <w:left w:val="single" w:sz="2" w:space="0" w:color="auto"/>
              <w:bottom w:val="single" w:sz="2" w:space="0" w:color="auto"/>
              <w:right w:val="single" w:sz="2" w:space="0" w:color="auto"/>
            </w:tcBorders>
          </w:tcPr>
          <w:p w14:paraId="62920AC7" w14:textId="77777777" w:rsidR="009F4766" w:rsidRPr="00DE12A3" w:rsidRDefault="009F4766" w:rsidP="00C917D6">
            <w:pPr>
              <w:pStyle w:val="NormalLeft"/>
            </w:pPr>
            <w:r w:rsidRPr="00DE12A3">
              <w:t>774</w:t>
            </w:r>
          </w:p>
        </w:tc>
        <w:tc>
          <w:tcPr>
            <w:tcW w:w="2489" w:type="dxa"/>
            <w:tcBorders>
              <w:top w:val="single" w:sz="2" w:space="0" w:color="auto"/>
              <w:left w:val="single" w:sz="2" w:space="0" w:color="auto"/>
              <w:bottom w:val="single" w:sz="2" w:space="0" w:color="auto"/>
              <w:right w:val="single" w:sz="2" w:space="0" w:color="auto"/>
            </w:tcBorders>
          </w:tcPr>
          <w:p w14:paraId="17B44EBC" w14:textId="77777777" w:rsidR="009F4766" w:rsidRPr="00DE12A3" w:rsidRDefault="009F4766" w:rsidP="00C917D6">
            <w:pPr>
              <w:pStyle w:val="NormalLeft"/>
            </w:pPr>
            <w:r w:rsidRPr="00DE12A3">
              <w:t>102</w:t>
            </w:r>
          </w:p>
        </w:tc>
        <w:tc>
          <w:tcPr>
            <w:tcW w:w="2551" w:type="dxa"/>
            <w:tcBorders>
              <w:top w:val="single" w:sz="2" w:space="0" w:color="auto"/>
              <w:left w:val="single" w:sz="2" w:space="0" w:color="auto"/>
              <w:bottom w:val="single" w:sz="2" w:space="0" w:color="auto"/>
              <w:right w:val="single" w:sz="2" w:space="0" w:color="auto"/>
            </w:tcBorders>
          </w:tcPr>
          <w:p w14:paraId="7B3D3EFC" w14:textId="77777777" w:rsidR="009F4766" w:rsidRPr="00DE12A3" w:rsidRDefault="009F4766" w:rsidP="00C917D6">
            <w:pPr>
              <w:pStyle w:val="NormalLeft"/>
            </w:pPr>
            <w:r w:rsidRPr="00DE12A3">
              <w:t>55</w:t>
            </w:r>
          </w:p>
        </w:tc>
      </w:tr>
      <w:tr w:rsidR="00DE12A3" w:rsidRPr="00DE12A3" w14:paraId="75CD04E4" w14:textId="77777777" w:rsidTr="009F4766">
        <w:tc>
          <w:tcPr>
            <w:tcW w:w="1182" w:type="dxa"/>
            <w:tcBorders>
              <w:top w:val="single" w:sz="2" w:space="0" w:color="auto"/>
              <w:left w:val="single" w:sz="2" w:space="0" w:color="auto"/>
              <w:bottom w:val="single" w:sz="2" w:space="0" w:color="auto"/>
              <w:right w:val="single" w:sz="2" w:space="0" w:color="auto"/>
            </w:tcBorders>
          </w:tcPr>
          <w:p w14:paraId="4225D3F6" w14:textId="77777777" w:rsidR="009F4766" w:rsidRPr="00DE12A3" w:rsidRDefault="009F4766" w:rsidP="00C917D6">
            <w:pPr>
              <w:pStyle w:val="NormalLeft"/>
            </w:pPr>
            <w:r w:rsidRPr="00DE12A3">
              <w:t>775</w:t>
            </w:r>
          </w:p>
        </w:tc>
        <w:tc>
          <w:tcPr>
            <w:tcW w:w="2489" w:type="dxa"/>
            <w:tcBorders>
              <w:top w:val="single" w:sz="2" w:space="0" w:color="auto"/>
              <w:left w:val="single" w:sz="2" w:space="0" w:color="auto"/>
              <w:bottom w:val="single" w:sz="2" w:space="0" w:color="auto"/>
              <w:right w:val="single" w:sz="2" w:space="0" w:color="auto"/>
            </w:tcBorders>
          </w:tcPr>
          <w:p w14:paraId="4041615A" w14:textId="77777777" w:rsidR="009F4766" w:rsidRPr="00DE12A3" w:rsidRDefault="009F4766" w:rsidP="00C917D6">
            <w:pPr>
              <w:pStyle w:val="NormalLeft"/>
            </w:pPr>
            <w:r w:rsidRPr="00DE12A3">
              <w:t>102</w:t>
            </w:r>
          </w:p>
        </w:tc>
        <w:tc>
          <w:tcPr>
            <w:tcW w:w="2551" w:type="dxa"/>
            <w:tcBorders>
              <w:top w:val="single" w:sz="2" w:space="0" w:color="auto"/>
              <w:left w:val="single" w:sz="2" w:space="0" w:color="auto"/>
              <w:bottom w:val="single" w:sz="2" w:space="0" w:color="auto"/>
              <w:right w:val="single" w:sz="2" w:space="0" w:color="auto"/>
            </w:tcBorders>
          </w:tcPr>
          <w:p w14:paraId="2740A37F" w14:textId="77777777" w:rsidR="009F4766" w:rsidRPr="00DE12A3" w:rsidRDefault="009F4766" w:rsidP="00C917D6">
            <w:pPr>
              <w:pStyle w:val="NormalLeft"/>
            </w:pPr>
            <w:r w:rsidRPr="00DE12A3">
              <w:t>67</w:t>
            </w:r>
          </w:p>
        </w:tc>
      </w:tr>
      <w:tr w:rsidR="00DE12A3" w:rsidRPr="00DE12A3" w14:paraId="4A3DA5B1" w14:textId="77777777" w:rsidTr="009F4766">
        <w:tc>
          <w:tcPr>
            <w:tcW w:w="1182" w:type="dxa"/>
            <w:tcBorders>
              <w:top w:val="single" w:sz="2" w:space="0" w:color="auto"/>
              <w:left w:val="single" w:sz="2" w:space="0" w:color="auto"/>
              <w:bottom w:val="single" w:sz="2" w:space="0" w:color="auto"/>
              <w:right w:val="single" w:sz="2" w:space="0" w:color="auto"/>
            </w:tcBorders>
          </w:tcPr>
          <w:p w14:paraId="5541A327" w14:textId="77777777" w:rsidR="009F4766" w:rsidRPr="00DE12A3" w:rsidRDefault="009F4766" w:rsidP="00C917D6">
            <w:pPr>
              <w:pStyle w:val="NormalLeft"/>
            </w:pPr>
            <w:r w:rsidRPr="00DE12A3">
              <w:t>776</w:t>
            </w:r>
          </w:p>
        </w:tc>
        <w:tc>
          <w:tcPr>
            <w:tcW w:w="2489" w:type="dxa"/>
            <w:tcBorders>
              <w:top w:val="single" w:sz="2" w:space="0" w:color="auto"/>
              <w:left w:val="single" w:sz="2" w:space="0" w:color="auto"/>
              <w:bottom w:val="single" w:sz="2" w:space="0" w:color="auto"/>
              <w:right w:val="single" w:sz="2" w:space="0" w:color="auto"/>
            </w:tcBorders>
          </w:tcPr>
          <w:p w14:paraId="521CE09D" w14:textId="77777777" w:rsidR="009F4766" w:rsidRPr="00DE12A3" w:rsidRDefault="009F4766" w:rsidP="00C917D6">
            <w:pPr>
              <w:pStyle w:val="NormalLeft"/>
            </w:pPr>
            <w:r w:rsidRPr="00DE12A3">
              <w:t>103</w:t>
            </w:r>
          </w:p>
        </w:tc>
        <w:tc>
          <w:tcPr>
            <w:tcW w:w="2551" w:type="dxa"/>
            <w:tcBorders>
              <w:top w:val="single" w:sz="2" w:space="0" w:color="auto"/>
              <w:left w:val="single" w:sz="2" w:space="0" w:color="auto"/>
              <w:bottom w:val="single" w:sz="2" w:space="0" w:color="auto"/>
              <w:right w:val="single" w:sz="2" w:space="0" w:color="auto"/>
            </w:tcBorders>
          </w:tcPr>
          <w:p w14:paraId="38E1D1E2" w14:textId="77777777" w:rsidR="009F4766" w:rsidRPr="00DE12A3" w:rsidRDefault="009F4766" w:rsidP="00C917D6">
            <w:pPr>
              <w:pStyle w:val="NormalLeft"/>
            </w:pPr>
            <w:r w:rsidRPr="00DE12A3">
              <w:t>56</w:t>
            </w:r>
          </w:p>
        </w:tc>
      </w:tr>
      <w:tr w:rsidR="00DE12A3" w:rsidRPr="00DE12A3" w14:paraId="7AED5823" w14:textId="77777777" w:rsidTr="009F4766">
        <w:tc>
          <w:tcPr>
            <w:tcW w:w="1182" w:type="dxa"/>
            <w:tcBorders>
              <w:top w:val="single" w:sz="2" w:space="0" w:color="auto"/>
              <w:left w:val="single" w:sz="2" w:space="0" w:color="auto"/>
              <w:bottom w:val="single" w:sz="2" w:space="0" w:color="auto"/>
              <w:right w:val="single" w:sz="2" w:space="0" w:color="auto"/>
            </w:tcBorders>
          </w:tcPr>
          <w:p w14:paraId="3A0A41EE" w14:textId="77777777" w:rsidR="009F4766" w:rsidRPr="00DE12A3" w:rsidRDefault="009F4766" w:rsidP="00C917D6">
            <w:pPr>
              <w:pStyle w:val="NormalLeft"/>
            </w:pPr>
            <w:r w:rsidRPr="00DE12A3">
              <w:t>777</w:t>
            </w:r>
          </w:p>
        </w:tc>
        <w:tc>
          <w:tcPr>
            <w:tcW w:w="2489" w:type="dxa"/>
            <w:tcBorders>
              <w:top w:val="single" w:sz="2" w:space="0" w:color="auto"/>
              <w:left w:val="single" w:sz="2" w:space="0" w:color="auto"/>
              <w:bottom w:val="single" w:sz="2" w:space="0" w:color="auto"/>
              <w:right w:val="single" w:sz="2" w:space="0" w:color="auto"/>
            </w:tcBorders>
          </w:tcPr>
          <w:p w14:paraId="36901E01" w14:textId="77777777" w:rsidR="009F4766" w:rsidRPr="00DE12A3" w:rsidRDefault="009F4766" w:rsidP="00C917D6">
            <w:pPr>
              <w:pStyle w:val="NormalLeft"/>
            </w:pPr>
            <w:r w:rsidRPr="00DE12A3">
              <w:t>84</w:t>
            </w:r>
          </w:p>
        </w:tc>
        <w:tc>
          <w:tcPr>
            <w:tcW w:w="2551" w:type="dxa"/>
            <w:tcBorders>
              <w:top w:val="single" w:sz="2" w:space="0" w:color="auto"/>
              <w:left w:val="single" w:sz="2" w:space="0" w:color="auto"/>
              <w:bottom w:val="single" w:sz="2" w:space="0" w:color="auto"/>
              <w:right w:val="single" w:sz="2" w:space="0" w:color="auto"/>
            </w:tcBorders>
          </w:tcPr>
          <w:p w14:paraId="51DBDE56" w14:textId="77777777" w:rsidR="009F4766" w:rsidRPr="00DE12A3" w:rsidRDefault="009F4766" w:rsidP="00C917D6">
            <w:pPr>
              <w:pStyle w:val="NormalLeft"/>
            </w:pPr>
            <w:r w:rsidRPr="00DE12A3">
              <w:t>42</w:t>
            </w:r>
          </w:p>
        </w:tc>
      </w:tr>
      <w:tr w:rsidR="00DE12A3" w:rsidRPr="00DE12A3" w14:paraId="1C67B1D8" w14:textId="77777777" w:rsidTr="009F4766">
        <w:tc>
          <w:tcPr>
            <w:tcW w:w="1182" w:type="dxa"/>
            <w:tcBorders>
              <w:top w:val="single" w:sz="2" w:space="0" w:color="auto"/>
              <w:left w:val="single" w:sz="2" w:space="0" w:color="auto"/>
              <w:bottom w:val="single" w:sz="2" w:space="0" w:color="auto"/>
              <w:right w:val="single" w:sz="2" w:space="0" w:color="auto"/>
            </w:tcBorders>
          </w:tcPr>
          <w:p w14:paraId="7E5B412E" w14:textId="77777777" w:rsidR="009F4766" w:rsidRPr="00DE12A3" w:rsidRDefault="009F4766" w:rsidP="00C917D6">
            <w:pPr>
              <w:pStyle w:val="NormalLeft"/>
            </w:pPr>
            <w:r w:rsidRPr="00DE12A3">
              <w:t>778</w:t>
            </w:r>
          </w:p>
        </w:tc>
        <w:tc>
          <w:tcPr>
            <w:tcW w:w="2489" w:type="dxa"/>
            <w:tcBorders>
              <w:top w:val="single" w:sz="2" w:space="0" w:color="auto"/>
              <w:left w:val="single" w:sz="2" w:space="0" w:color="auto"/>
              <w:bottom w:val="single" w:sz="2" w:space="0" w:color="auto"/>
              <w:right w:val="single" w:sz="2" w:space="0" w:color="auto"/>
            </w:tcBorders>
          </w:tcPr>
          <w:p w14:paraId="0DE07554" w14:textId="77777777" w:rsidR="009F4766" w:rsidRPr="00DE12A3" w:rsidRDefault="009F4766" w:rsidP="00C917D6">
            <w:pPr>
              <w:pStyle w:val="NormalLeft"/>
            </w:pPr>
            <w:r w:rsidRPr="00DE12A3">
              <w:t>48</w:t>
            </w:r>
          </w:p>
        </w:tc>
        <w:tc>
          <w:tcPr>
            <w:tcW w:w="2551" w:type="dxa"/>
            <w:tcBorders>
              <w:top w:val="single" w:sz="2" w:space="0" w:color="auto"/>
              <w:left w:val="single" w:sz="2" w:space="0" w:color="auto"/>
              <w:bottom w:val="single" w:sz="2" w:space="0" w:color="auto"/>
              <w:right w:val="single" w:sz="2" w:space="0" w:color="auto"/>
            </w:tcBorders>
          </w:tcPr>
          <w:p w14:paraId="7701D57A" w14:textId="77777777" w:rsidR="009F4766" w:rsidRPr="00DE12A3" w:rsidRDefault="009F4766" w:rsidP="00C917D6">
            <w:pPr>
              <w:pStyle w:val="NormalLeft"/>
            </w:pPr>
            <w:r w:rsidRPr="00DE12A3">
              <w:t>7</w:t>
            </w:r>
          </w:p>
        </w:tc>
      </w:tr>
      <w:tr w:rsidR="00DE12A3" w:rsidRPr="00DE12A3" w14:paraId="7040A175" w14:textId="77777777" w:rsidTr="009F4766">
        <w:tc>
          <w:tcPr>
            <w:tcW w:w="1182" w:type="dxa"/>
            <w:tcBorders>
              <w:top w:val="single" w:sz="2" w:space="0" w:color="auto"/>
              <w:left w:val="single" w:sz="2" w:space="0" w:color="auto"/>
              <w:bottom w:val="single" w:sz="2" w:space="0" w:color="auto"/>
              <w:right w:val="single" w:sz="2" w:space="0" w:color="auto"/>
            </w:tcBorders>
          </w:tcPr>
          <w:p w14:paraId="511E5D25" w14:textId="77777777" w:rsidR="009F4766" w:rsidRPr="00DE12A3" w:rsidRDefault="009F4766" w:rsidP="00C917D6">
            <w:pPr>
              <w:pStyle w:val="NormalLeft"/>
            </w:pPr>
            <w:r w:rsidRPr="00DE12A3">
              <w:t>779</w:t>
            </w:r>
          </w:p>
        </w:tc>
        <w:tc>
          <w:tcPr>
            <w:tcW w:w="2489" w:type="dxa"/>
            <w:tcBorders>
              <w:top w:val="single" w:sz="2" w:space="0" w:color="auto"/>
              <w:left w:val="single" w:sz="2" w:space="0" w:color="auto"/>
              <w:bottom w:val="single" w:sz="2" w:space="0" w:color="auto"/>
              <w:right w:val="single" w:sz="2" w:space="0" w:color="auto"/>
            </w:tcBorders>
          </w:tcPr>
          <w:p w14:paraId="14E83EB1" w14:textId="77777777" w:rsidR="009F4766" w:rsidRPr="00DE12A3" w:rsidRDefault="009F4766" w:rsidP="00C917D6">
            <w:pPr>
              <w:pStyle w:val="NormalLeft"/>
            </w:pPr>
            <w:r w:rsidRPr="00DE12A3">
              <w:t>48</w:t>
            </w:r>
          </w:p>
        </w:tc>
        <w:tc>
          <w:tcPr>
            <w:tcW w:w="2551" w:type="dxa"/>
            <w:tcBorders>
              <w:top w:val="single" w:sz="2" w:space="0" w:color="auto"/>
              <w:left w:val="single" w:sz="2" w:space="0" w:color="auto"/>
              <w:bottom w:val="single" w:sz="2" w:space="0" w:color="auto"/>
              <w:right w:val="single" w:sz="2" w:space="0" w:color="auto"/>
            </w:tcBorders>
          </w:tcPr>
          <w:p w14:paraId="2CB9D582" w14:textId="77777777" w:rsidR="009F4766" w:rsidRPr="00DE12A3" w:rsidRDefault="009F4766" w:rsidP="00C917D6">
            <w:pPr>
              <w:pStyle w:val="NormalLeft"/>
            </w:pPr>
            <w:r w:rsidRPr="00DE12A3">
              <w:t>6</w:t>
            </w:r>
          </w:p>
        </w:tc>
      </w:tr>
      <w:tr w:rsidR="00DE12A3" w:rsidRPr="00DE12A3" w14:paraId="008BB8F2" w14:textId="77777777" w:rsidTr="009F4766">
        <w:tc>
          <w:tcPr>
            <w:tcW w:w="1182" w:type="dxa"/>
            <w:tcBorders>
              <w:top w:val="single" w:sz="2" w:space="0" w:color="auto"/>
              <w:left w:val="single" w:sz="2" w:space="0" w:color="auto"/>
              <w:bottom w:val="single" w:sz="2" w:space="0" w:color="auto"/>
              <w:right w:val="single" w:sz="2" w:space="0" w:color="auto"/>
            </w:tcBorders>
          </w:tcPr>
          <w:p w14:paraId="7A7EFF69" w14:textId="77777777" w:rsidR="009F4766" w:rsidRPr="00DE12A3" w:rsidRDefault="009F4766" w:rsidP="00C917D6">
            <w:pPr>
              <w:pStyle w:val="NormalLeft"/>
            </w:pPr>
            <w:r w:rsidRPr="00DE12A3">
              <w:t>780</w:t>
            </w:r>
          </w:p>
        </w:tc>
        <w:tc>
          <w:tcPr>
            <w:tcW w:w="2489" w:type="dxa"/>
            <w:tcBorders>
              <w:top w:val="single" w:sz="2" w:space="0" w:color="auto"/>
              <w:left w:val="single" w:sz="2" w:space="0" w:color="auto"/>
              <w:bottom w:val="single" w:sz="2" w:space="0" w:color="auto"/>
              <w:right w:val="single" w:sz="2" w:space="0" w:color="auto"/>
            </w:tcBorders>
          </w:tcPr>
          <w:p w14:paraId="75194D5C" w14:textId="77777777" w:rsidR="009F4766" w:rsidRPr="00DE12A3" w:rsidRDefault="009F4766" w:rsidP="00C917D6">
            <w:pPr>
              <w:pStyle w:val="NormalLeft"/>
            </w:pPr>
            <w:r w:rsidRPr="00DE12A3">
              <w:t>48</w:t>
            </w:r>
          </w:p>
        </w:tc>
        <w:tc>
          <w:tcPr>
            <w:tcW w:w="2551" w:type="dxa"/>
            <w:tcBorders>
              <w:top w:val="single" w:sz="2" w:space="0" w:color="auto"/>
              <w:left w:val="single" w:sz="2" w:space="0" w:color="auto"/>
              <w:bottom w:val="single" w:sz="2" w:space="0" w:color="auto"/>
              <w:right w:val="single" w:sz="2" w:space="0" w:color="auto"/>
            </w:tcBorders>
          </w:tcPr>
          <w:p w14:paraId="66B9CA1D" w14:textId="77777777" w:rsidR="009F4766" w:rsidRPr="00DE12A3" w:rsidRDefault="009F4766" w:rsidP="00C917D6">
            <w:pPr>
              <w:pStyle w:val="NormalLeft"/>
            </w:pPr>
            <w:r w:rsidRPr="00DE12A3">
              <w:t>6</w:t>
            </w:r>
          </w:p>
        </w:tc>
      </w:tr>
      <w:tr w:rsidR="00DE12A3" w:rsidRPr="00DE12A3" w14:paraId="1B4ED94B" w14:textId="77777777" w:rsidTr="009F4766">
        <w:tc>
          <w:tcPr>
            <w:tcW w:w="1182" w:type="dxa"/>
            <w:tcBorders>
              <w:top w:val="single" w:sz="2" w:space="0" w:color="auto"/>
              <w:left w:val="single" w:sz="2" w:space="0" w:color="auto"/>
              <w:bottom w:val="single" w:sz="2" w:space="0" w:color="auto"/>
              <w:right w:val="single" w:sz="2" w:space="0" w:color="auto"/>
            </w:tcBorders>
          </w:tcPr>
          <w:p w14:paraId="0B42B970" w14:textId="77777777" w:rsidR="009F4766" w:rsidRPr="00DE12A3" w:rsidRDefault="009F4766" w:rsidP="00C917D6">
            <w:pPr>
              <w:pStyle w:val="NormalLeft"/>
            </w:pPr>
            <w:r w:rsidRPr="00DE12A3">
              <w:t>781</w:t>
            </w:r>
          </w:p>
        </w:tc>
        <w:tc>
          <w:tcPr>
            <w:tcW w:w="2489" w:type="dxa"/>
            <w:tcBorders>
              <w:top w:val="single" w:sz="2" w:space="0" w:color="auto"/>
              <w:left w:val="single" w:sz="2" w:space="0" w:color="auto"/>
              <w:bottom w:val="single" w:sz="2" w:space="0" w:color="auto"/>
              <w:right w:val="single" w:sz="2" w:space="0" w:color="auto"/>
            </w:tcBorders>
          </w:tcPr>
          <w:p w14:paraId="19D0C6E5" w14:textId="77777777" w:rsidR="009F4766" w:rsidRPr="00DE12A3" w:rsidRDefault="009F4766" w:rsidP="00C917D6">
            <w:pPr>
              <w:pStyle w:val="NormalLeft"/>
            </w:pPr>
            <w:r w:rsidRPr="00DE12A3">
              <w:t>48</w:t>
            </w:r>
          </w:p>
        </w:tc>
        <w:tc>
          <w:tcPr>
            <w:tcW w:w="2551" w:type="dxa"/>
            <w:tcBorders>
              <w:top w:val="single" w:sz="2" w:space="0" w:color="auto"/>
              <w:left w:val="single" w:sz="2" w:space="0" w:color="auto"/>
              <w:bottom w:val="single" w:sz="2" w:space="0" w:color="auto"/>
              <w:right w:val="single" w:sz="2" w:space="0" w:color="auto"/>
            </w:tcBorders>
          </w:tcPr>
          <w:p w14:paraId="796B0FEC" w14:textId="77777777" w:rsidR="009F4766" w:rsidRPr="00DE12A3" w:rsidRDefault="009F4766" w:rsidP="00C917D6">
            <w:pPr>
              <w:pStyle w:val="NormalLeft"/>
            </w:pPr>
            <w:r w:rsidRPr="00DE12A3">
              <w:t>7</w:t>
            </w:r>
          </w:p>
        </w:tc>
      </w:tr>
      <w:tr w:rsidR="00DE12A3" w:rsidRPr="00DE12A3" w14:paraId="5FBDB895" w14:textId="77777777" w:rsidTr="009F4766">
        <w:tc>
          <w:tcPr>
            <w:tcW w:w="1182" w:type="dxa"/>
            <w:tcBorders>
              <w:top w:val="single" w:sz="2" w:space="0" w:color="auto"/>
              <w:left w:val="single" w:sz="2" w:space="0" w:color="auto"/>
              <w:bottom w:val="single" w:sz="2" w:space="0" w:color="auto"/>
              <w:right w:val="single" w:sz="2" w:space="0" w:color="auto"/>
            </w:tcBorders>
          </w:tcPr>
          <w:p w14:paraId="3AF2DA8D" w14:textId="77777777" w:rsidR="009F4766" w:rsidRPr="00DE12A3" w:rsidRDefault="009F4766" w:rsidP="00C917D6">
            <w:pPr>
              <w:pStyle w:val="NormalLeft"/>
            </w:pPr>
            <w:r w:rsidRPr="00DE12A3">
              <w:t>782</w:t>
            </w:r>
          </w:p>
        </w:tc>
        <w:tc>
          <w:tcPr>
            <w:tcW w:w="2489" w:type="dxa"/>
            <w:tcBorders>
              <w:top w:val="single" w:sz="2" w:space="0" w:color="auto"/>
              <w:left w:val="single" w:sz="2" w:space="0" w:color="auto"/>
              <w:bottom w:val="single" w:sz="2" w:space="0" w:color="auto"/>
              <w:right w:val="single" w:sz="2" w:space="0" w:color="auto"/>
            </w:tcBorders>
          </w:tcPr>
          <w:p w14:paraId="11B737EE" w14:textId="77777777" w:rsidR="009F4766" w:rsidRPr="00DE12A3" w:rsidRDefault="009F4766" w:rsidP="00C917D6">
            <w:pPr>
              <w:pStyle w:val="NormalLeft"/>
            </w:pPr>
            <w:r w:rsidRPr="00DE12A3">
              <w:t>48</w:t>
            </w:r>
          </w:p>
        </w:tc>
        <w:tc>
          <w:tcPr>
            <w:tcW w:w="2551" w:type="dxa"/>
            <w:tcBorders>
              <w:top w:val="single" w:sz="2" w:space="0" w:color="auto"/>
              <w:left w:val="single" w:sz="2" w:space="0" w:color="auto"/>
              <w:bottom w:val="single" w:sz="2" w:space="0" w:color="auto"/>
              <w:right w:val="single" w:sz="2" w:space="0" w:color="auto"/>
            </w:tcBorders>
          </w:tcPr>
          <w:p w14:paraId="3CE95DBC" w14:textId="77777777" w:rsidR="009F4766" w:rsidRPr="00DE12A3" w:rsidRDefault="009F4766" w:rsidP="00C917D6">
            <w:pPr>
              <w:pStyle w:val="NormalLeft"/>
            </w:pPr>
            <w:r w:rsidRPr="00DE12A3">
              <w:t>6</w:t>
            </w:r>
          </w:p>
        </w:tc>
      </w:tr>
      <w:tr w:rsidR="00DE12A3" w:rsidRPr="00DE12A3" w14:paraId="1B644535" w14:textId="77777777" w:rsidTr="009F4766">
        <w:tc>
          <w:tcPr>
            <w:tcW w:w="1182" w:type="dxa"/>
            <w:tcBorders>
              <w:top w:val="single" w:sz="2" w:space="0" w:color="auto"/>
              <w:left w:val="single" w:sz="2" w:space="0" w:color="auto"/>
              <w:bottom w:val="single" w:sz="2" w:space="0" w:color="auto"/>
              <w:right w:val="single" w:sz="2" w:space="0" w:color="auto"/>
            </w:tcBorders>
          </w:tcPr>
          <w:p w14:paraId="0C5F0A51" w14:textId="77777777" w:rsidR="009F4766" w:rsidRPr="00DE12A3" w:rsidRDefault="009F4766" w:rsidP="00C917D6">
            <w:pPr>
              <w:pStyle w:val="NormalLeft"/>
            </w:pPr>
            <w:r w:rsidRPr="00DE12A3">
              <w:t>783</w:t>
            </w:r>
          </w:p>
        </w:tc>
        <w:tc>
          <w:tcPr>
            <w:tcW w:w="2489" w:type="dxa"/>
            <w:tcBorders>
              <w:top w:val="single" w:sz="2" w:space="0" w:color="auto"/>
              <w:left w:val="single" w:sz="2" w:space="0" w:color="auto"/>
              <w:bottom w:val="single" w:sz="2" w:space="0" w:color="auto"/>
              <w:right w:val="single" w:sz="2" w:space="0" w:color="auto"/>
            </w:tcBorders>
          </w:tcPr>
          <w:p w14:paraId="351B8544" w14:textId="77777777" w:rsidR="009F4766" w:rsidRPr="00DE12A3" w:rsidRDefault="009F4766" w:rsidP="00C917D6">
            <w:pPr>
              <w:pStyle w:val="NormalLeft"/>
            </w:pPr>
            <w:r w:rsidRPr="00DE12A3">
              <w:t>48</w:t>
            </w:r>
          </w:p>
        </w:tc>
        <w:tc>
          <w:tcPr>
            <w:tcW w:w="2551" w:type="dxa"/>
            <w:tcBorders>
              <w:top w:val="single" w:sz="2" w:space="0" w:color="auto"/>
              <w:left w:val="single" w:sz="2" w:space="0" w:color="auto"/>
              <w:bottom w:val="single" w:sz="2" w:space="0" w:color="auto"/>
              <w:right w:val="single" w:sz="2" w:space="0" w:color="auto"/>
            </w:tcBorders>
          </w:tcPr>
          <w:p w14:paraId="7BD4523F" w14:textId="77777777" w:rsidR="009F4766" w:rsidRPr="00DE12A3" w:rsidRDefault="009F4766" w:rsidP="00C917D6">
            <w:pPr>
              <w:pStyle w:val="NormalLeft"/>
            </w:pPr>
            <w:r w:rsidRPr="00DE12A3">
              <w:t>7</w:t>
            </w:r>
          </w:p>
        </w:tc>
      </w:tr>
      <w:tr w:rsidR="00DE12A3" w:rsidRPr="00DE12A3" w14:paraId="6CBEC06F" w14:textId="77777777" w:rsidTr="009F4766">
        <w:tc>
          <w:tcPr>
            <w:tcW w:w="1182" w:type="dxa"/>
            <w:tcBorders>
              <w:top w:val="single" w:sz="2" w:space="0" w:color="auto"/>
              <w:left w:val="single" w:sz="2" w:space="0" w:color="auto"/>
              <w:bottom w:val="single" w:sz="2" w:space="0" w:color="auto"/>
              <w:right w:val="single" w:sz="2" w:space="0" w:color="auto"/>
            </w:tcBorders>
          </w:tcPr>
          <w:p w14:paraId="70BFC1B7" w14:textId="77777777" w:rsidR="009F4766" w:rsidRPr="00DE12A3" w:rsidRDefault="009F4766" w:rsidP="00C917D6">
            <w:pPr>
              <w:pStyle w:val="NormalLeft"/>
            </w:pPr>
            <w:r w:rsidRPr="00DE12A3">
              <w:t>784</w:t>
            </w:r>
          </w:p>
        </w:tc>
        <w:tc>
          <w:tcPr>
            <w:tcW w:w="2489" w:type="dxa"/>
            <w:tcBorders>
              <w:top w:val="single" w:sz="2" w:space="0" w:color="auto"/>
              <w:left w:val="single" w:sz="2" w:space="0" w:color="auto"/>
              <w:bottom w:val="single" w:sz="2" w:space="0" w:color="auto"/>
              <w:right w:val="single" w:sz="2" w:space="0" w:color="auto"/>
            </w:tcBorders>
          </w:tcPr>
          <w:p w14:paraId="077783EB" w14:textId="77777777" w:rsidR="009F4766" w:rsidRPr="00DE12A3" w:rsidRDefault="009F4766" w:rsidP="00C917D6">
            <w:pPr>
              <w:pStyle w:val="NormalLeft"/>
            </w:pPr>
            <w:r w:rsidRPr="00DE12A3">
              <w:t>67</w:t>
            </w:r>
          </w:p>
        </w:tc>
        <w:tc>
          <w:tcPr>
            <w:tcW w:w="2551" w:type="dxa"/>
            <w:tcBorders>
              <w:top w:val="single" w:sz="2" w:space="0" w:color="auto"/>
              <w:left w:val="single" w:sz="2" w:space="0" w:color="auto"/>
              <w:bottom w:val="single" w:sz="2" w:space="0" w:color="auto"/>
              <w:right w:val="single" w:sz="2" w:space="0" w:color="auto"/>
            </w:tcBorders>
          </w:tcPr>
          <w:p w14:paraId="0F0C7A5B" w14:textId="77777777" w:rsidR="009F4766" w:rsidRPr="00DE12A3" w:rsidRDefault="009F4766" w:rsidP="00C917D6">
            <w:pPr>
              <w:pStyle w:val="NormalLeft"/>
            </w:pPr>
            <w:r w:rsidRPr="00DE12A3">
              <w:t>21</w:t>
            </w:r>
          </w:p>
        </w:tc>
      </w:tr>
      <w:tr w:rsidR="00DE12A3" w:rsidRPr="00DE12A3" w14:paraId="7C20AE03" w14:textId="77777777" w:rsidTr="009F4766">
        <w:tc>
          <w:tcPr>
            <w:tcW w:w="1182" w:type="dxa"/>
            <w:tcBorders>
              <w:top w:val="single" w:sz="2" w:space="0" w:color="auto"/>
              <w:left w:val="single" w:sz="2" w:space="0" w:color="auto"/>
              <w:bottom w:val="single" w:sz="2" w:space="0" w:color="auto"/>
              <w:right w:val="single" w:sz="2" w:space="0" w:color="auto"/>
            </w:tcBorders>
          </w:tcPr>
          <w:p w14:paraId="6CE9582F" w14:textId="77777777" w:rsidR="009F4766" w:rsidRPr="00DE12A3" w:rsidRDefault="009F4766" w:rsidP="00C917D6">
            <w:pPr>
              <w:pStyle w:val="NormalLeft"/>
            </w:pPr>
            <w:r w:rsidRPr="00DE12A3">
              <w:t>785</w:t>
            </w:r>
          </w:p>
        </w:tc>
        <w:tc>
          <w:tcPr>
            <w:tcW w:w="2489" w:type="dxa"/>
            <w:tcBorders>
              <w:top w:val="single" w:sz="2" w:space="0" w:color="auto"/>
              <w:left w:val="single" w:sz="2" w:space="0" w:color="auto"/>
              <w:bottom w:val="single" w:sz="2" w:space="0" w:color="auto"/>
              <w:right w:val="single" w:sz="2" w:space="0" w:color="auto"/>
            </w:tcBorders>
          </w:tcPr>
          <w:p w14:paraId="4EE8F8A3" w14:textId="77777777" w:rsidR="009F4766" w:rsidRPr="00DE12A3" w:rsidRDefault="009F4766" w:rsidP="00C917D6">
            <w:pPr>
              <w:pStyle w:val="NormalLeft"/>
            </w:pPr>
            <w:r w:rsidRPr="00DE12A3">
              <w:t>105</w:t>
            </w:r>
          </w:p>
        </w:tc>
        <w:tc>
          <w:tcPr>
            <w:tcW w:w="2551" w:type="dxa"/>
            <w:tcBorders>
              <w:top w:val="single" w:sz="2" w:space="0" w:color="auto"/>
              <w:left w:val="single" w:sz="2" w:space="0" w:color="auto"/>
              <w:bottom w:val="single" w:sz="2" w:space="0" w:color="auto"/>
              <w:right w:val="single" w:sz="2" w:space="0" w:color="auto"/>
            </w:tcBorders>
          </w:tcPr>
          <w:p w14:paraId="5A975EE7" w14:textId="77777777" w:rsidR="009F4766" w:rsidRPr="00DE12A3" w:rsidRDefault="009F4766" w:rsidP="00C917D6">
            <w:pPr>
              <w:pStyle w:val="NormalLeft"/>
            </w:pPr>
            <w:r w:rsidRPr="00DE12A3">
              <w:t>59</w:t>
            </w:r>
          </w:p>
        </w:tc>
      </w:tr>
      <w:tr w:rsidR="00DE12A3" w:rsidRPr="00DE12A3" w14:paraId="6C4B210A" w14:textId="77777777" w:rsidTr="009F4766">
        <w:tc>
          <w:tcPr>
            <w:tcW w:w="1182" w:type="dxa"/>
            <w:tcBorders>
              <w:top w:val="single" w:sz="2" w:space="0" w:color="auto"/>
              <w:left w:val="single" w:sz="2" w:space="0" w:color="auto"/>
              <w:bottom w:val="single" w:sz="2" w:space="0" w:color="auto"/>
              <w:right w:val="single" w:sz="2" w:space="0" w:color="auto"/>
            </w:tcBorders>
          </w:tcPr>
          <w:p w14:paraId="0CC0B117" w14:textId="77777777" w:rsidR="009F4766" w:rsidRPr="00DE12A3" w:rsidRDefault="009F4766" w:rsidP="00C917D6">
            <w:pPr>
              <w:pStyle w:val="NormalLeft"/>
            </w:pPr>
            <w:r w:rsidRPr="00DE12A3">
              <w:t>786</w:t>
            </w:r>
          </w:p>
        </w:tc>
        <w:tc>
          <w:tcPr>
            <w:tcW w:w="2489" w:type="dxa"/>
            <w:tcBorders>
              <w:top w:val="single" w:sz="2" w:space="0" w:color="auto"/>
              <w:left w:val="single" w:sz="2" w:space="0" w:color="auto"/>
              <w:bottom w:val="single" w:sz="2" w:space="0" w:color="auto"/>
              <w:right w:val="single" w:sz="2" w:space="0" w:color="auto"/>
            </w:tcBorders>
          </w:tcPr>
          <w:p w14:paraId="5756668B" w14:textId="77777777" w:rsidR="009F4766" w:rsidRPr="00DE12A3" w:rsidRDefault="009F4766" w:rsidP="00C917D6">
            <w:pPr>
              <w:pStyle w:val="NormalLeft"/>
            </w:pPr>
            <w:r w:rsidRPr="00DE12A3">
              <w:t>105</w:t>
            </w:r>
          </w:p>
        </w:tc>
        <w:tc>
          <w:tcPr>
            <w:tcW w:w="2551" w:type="dxa"/>
            <w:tcBorders>
              <w:top w:val="single" w:sz="2" w:space="0" w:color="auto"/>
              <w:left w:val="single" w:sz="2" w:space="0" w:color="auto"/>
              <w:bottom w:val="single" w:sz="2" w:space="0" w:color="auto"/>
              <w:right w:val="single" w:sz="2" w:space="0" w:color="auto"/>
            </w:tcBorders>
          </w:tcPr>
          <w:p w14:paraId="28A8BC43" w14:textId="77777777" w:rsidR="009F4766" w:rsidRPr="00DE12A3" w:rsidRDefault="009F4766" w:rsidP="00C917D6">
            <w:pPr>
              <w:pStyle w:val="NormalLeft"/>
            </w:pPr>
            <w:r w:rsidRPr="00DE12A3">
              <w:t>96</w:t>
            </w:r>
          </w:p>
        </w:tc>
      </w:tr>
      <w:tr w:rsidR="00DE12A3" w:rsidRPr="00DE12A3" w14:paraId="7BEF35B6" w14:textId="77777777" w:rsidTr="009F4766">
        <w:tc>
          <w:tcPr>
            <w:tcW w:w="1182" w:type="dxa"/>
            <w:tcBorders>
              <w:top w:val="single" w:sz="2" w:space="0" w:color="auto"/>
              <w:left w:val="single" w:sz="2" w:space="0" w:color="auto"/>
              <w:bottom w:val="single" w:sz="2" w:space="0" w:color="auto"/>
              <w:right w:val="single" w:sz="2" w:space="0" w:color="auto"/>
            </w:tcBorders>
          </w:tcPr>
          <w:p w14:paraId="193F8082" w14:textId="77777777" w:rsidR="009F4766" w:rsidRPr="00DE12A3" w:rsidRDefault="009F4766" w:rsidP="00C917D6">
            <w:pPr>
              <w:pStyle w:val="NormalLeft"/>
            </w:pPr>
            <w:r w:rsidRPr="00DE12A3">
              <w:t>787</w:t>
            </w:r>
          </w:p>
        </w:tc>
        <w:tc>
          <w:tcPr>
            <w:tcW w:w="2489" w:type="dxa"/>
            <w:tcBorders>
              <w:top w:val="single" w:sz="2" w:space="0" w:color="auto"/>
              <w:left w:val="single" w:sz="2" w:space="0" w:color="auto"/>
              <w:bottom w:val="single" w:sz="2" w:space="0" w:color="auto"/>
              <w:right w:val="single" w:sz="2" w:space="0" w:color="auto"/>
            </w:tcBorders>
          </w:tcPr>
          <w:p w14:paraId="3431C914" w14:textId="77777777" w:rsidR="009F4766" w:rsidRPr="00DE12A3" w:rsidRDefault="009F4766" w:rsidP="00C917D6">
            <w:pPr>
              <w:pStyle w:val="NormalLeft"/>
            </w:pPr>
            <w:r w:rsidRPr="00DE12A3">
              <w:t>105</w:t>
            </w:r>
          </w:p>
        </w:tc>
        <w:tc>
          <w:tcPr>
            <w:tcW w:w="2551" w:type="dxa"/>
            <w:tcBorders>
              <w:top w:val="single" w:sz="2" w:space="0" w:color="auto"/>
              <w:left w:val="single" w:sz="2" w:space="0" w:color="auto"/>
              <w:bottom w:val="single" w:sz="2" w:space="0" w:color="auto"/>
              <w:right w:val="single" w:sz="2" w:space="0" w:color="auto"/>
            </w:tcBorders>
          </w:tcPr>
          <w:p w14:paraId="74FBD389" w14:textId="77777777" w:rsidR="009F4766" w:rsidRPr="00DE12A3" w:rsidRDefault="009F4766" w:rsidP="00C917D6">
            <w:pPr>
              <w:pStyle w:val="NormalLeft"/>
            </w:pPr>
            <w:r w:rsidRPr="00DE12A3">
              <w:t>74</w:t>
            </w:r>
          </w:p>
        </w:tc>
      </w:tr>
      <w:tr w:rsidR="00DE12A3" w:rsidRPr="00DE12A3" w14:paraId="043E484A" w14:textId="77777777" w:rsidTr="009F4766">
        <w:tc>
          <w:tcPr>
            <w:tcW w:w="1182" w:type="dxa"/>
            <w:tcBorders>
              <w:top w:val="single" w:sz="2" w:space="0" w:color="auto"/>
              <w:left w:val="single" w:sz="2" w:space="0" w:color="auto"/>
              <w:bottom w:val="single" w:sz="2" w:space="0" w:color="auto"/>
              <w:right w:val="single" w:sz="2" w:space="0" w:color="auto"/>
            </w:tcBorders>
          </w:tcPr>
          <w:p w14:paraId="22EC8C91" w14:textId="77777777" w:rsidR="009F4766" w:rsidRPr="00DE12A3" w:rsidRDefault="009F4766" w:rsidP="00C917D6">
            <w:pPr>
              <w:pStyle w:val="NormalLeft"/>
            </w:pPr>
            <w:r w:rsidRPr="00DE12A3">
              <w:lastRenderedPageBreak/>
              <w:t>788</w:t>
            </w:r>
          </w:p>
        </w:tc>
        <w:tc>
          <w:tcPr>
            <w:tcW w:w="2489" w:type="dxa"/>
            <w:tcBorders>
              <w:top w:val="single" w:sz="2" w:space="0" w:color="auto"/>
              <w:left w:val="single" w:sz="2" w:space="0" w:color="auto"/>
              <w:bottom w:val="single" w:sz="2" w:space="0" w:color="auto"/>
              <w:right w:val="single" w:sz="2" w:space="0" w:color="auto"/>
            </w:tcBorders>
          </w:tcPr>
          <w:p w14:paraId="67D95D7B" w14:textId="77777777" w:rsidR="009F4766" w:rsidRPr="00DE12A3" w:rsidRDefault="009F4766" w:rsidP="00C917D6">
            <w:pPr>
              <w:pStyle w:val="NormalLeft"/>
            </w:pPr>
            <w:r w:rsidRPr="00DE12A3">
              <w:t>105</w:t>
            </w:r>
          </w:p>
        </w:tc>
        <w:tc>
          <w:tcPr>
            <w:tcW w:w="2551" w:type="dxa"/>
            <w:tcBorders>
              <w:top w:val="single" w:sz="2" w:space="0" w:color="auto"/>
              <w:left w:val="single" w:sz="2" w:space="0" w:color="auto"/>
              <w:bottom w:val="single" w:sz="2" w:space="0" w:color="auto"/>
              <w:right w:val="single" w:sz="2" w:space="0" w:color="auto"/>
            </w:tcBorders>
          </w:tcPr>
          <w:p w14:paraId="18E42A7A" w14:textId="77777777" w:rsidR="009F4766" w:rsidRPr="00DE12A3" w:rsidRDefault="009F4766" w:rsidP="00C917D6">
            <w:pPr>
              <w:pStyle w:val="NormalLeft"/>
            </w:pPr>
            <w:r w:rsidRPr="00DE12A3">
              <w:t>66</w:t>
            </w:r>
          </w:p>
        </w:tc>
      </w:tr>
      <w:tr w:rsidR="00DE12A3" w:rsidRPr="00DE12A3" w14:paraId="01779DE9" w14:textId="77777777" w:rsidTr="009F4766">
        <w:tc>
          <w:tcPr>
            <w:tcW w:w="1182" w:type="dxa"/>
            <w:tcBorders>
              <w:top w:val="single" w:sz="2" w:space="0" w:color="auto"/>
              <w:left w:val="single" w:sz="2" w:space="0" w:color="auto"/>
              <w:bottom w:val="single" w:sz="2" w:space="0" w:color="auto"/>
              <w:right w:val="single" w:sz="2" w:space="0" w:color="auto"/>
            </w:tcBorders>
          </w:tcPr>
          <w:p w14:paraId="6467FAAC" w14:textId="77777777" w:rsidR="009F4766" w:rsidRPr="00DE12A3" w:rsidRDefault="009F4766" w:rsidP="00C917D6">
            <w:pPr>
              <w:pStyle w:val="NormalLeft"/>
            </w:pPr>
            <w:r w:rsidRPr="00DE12A3">
              <w:t>789</w:t>
            </w:r>
          </w:p>
        </w:tc>
        <w:tc>
          <w:tcPr>
            <w:tcW w:w="2489" w:type="dxa"/>
            <w:tcBorders>
              <w:top w:val="single" w:sz="2" w:space="0" w:color="auto"/>
              <w:left w:val="single" w:sz="2" w:space="0" w:color="auto"/>
              <w:bottom w:val="single" w:sz="2" w:space="0" w:color="auto"/>
              <w:right w:val="single" w:sz="2" w:space="0" w:color="auto"/>
            </w:tcBorders>
          </w:tcPr>
          <w:p w14:paraId="040896BE" w14:textId="77777777" w:rsidR="009F4766" w:rsidRPr="00DE12A3" w:rsidRDefault="009F4766" w:rsidP="00C917D6">
            <w:pPr>
              <w:pStyle w:val="NormalLeft"/>
            </w:pPr>
            <w:r w:rsidRPr="00DE12A3">
              <w:t>105</w:t>
            </w:r>
          </w:p>
        </w:tc>
        <w:tc>
          <w:tcPr>
            <w:tcW w:w="2551" w:type="dxa"/>
            <w:tcBorders>
              <w:top w:val="single" w:sz="2" w:space="0" w:color="auto"/>
              <w:left w:val="single" w:sz="2" w:space="0" w:color="auto"/>
              <w:bottom w:val="single" w:sz="2" w:space="0" w:color="auto"/>
              <w:right w:val="single" w:sz="2" w:space="0" w:color="auto"/>
            </w:tcBorders>
          </w:tcPr>
          <w:p w14:paraId="588BACF8" w14:textId="77777777" w:rsidR="009F4766" w:rsidRPr="00DE12A3" w:rsidRDefault="009F4766" w:rsidP="00C917D6">
            <w:pPr>
              <w:pStyle w:val="NormalLeft"/>
            </w:pPr>
            <w:r w:rsidRPr="00DE12A3">
              <w:t>62</w:t>
            </w:r>
          </w:p>
        </w:tc>
      </w:tr>
      <w:tr w:rsidR="00DE12A3" w:rsidRPr="00DE12A3" w14:paraId="21C539A2" w14:textId="77777777" w:rsidTr="009F4766">
        <w:tc>
          <w:tcPr>
            <w:tcW w:w="1182" w:type="dxa"/>
            <w:tcBorders>
              <w:top w:val="single" w:sz="2" w:space="0" w:color="auto"/>
              <w:left w:val="single" w:sz="2" w:space="0" w:color="auto"/>
              <w:bottom w:val="single" w:sz="2" w:space="0" w:color="auto"/>
              <w:right w:val="single" w:sz="2" w:space="0" w:color="auto"/>
            </w:tcBorders>
          </w:tcPr>
          <w:p w14:paraId="64F191C4" w14:textId="77777777" w:rsidR="009F4766" w:rsidRPr="00DE12A3" w:rsidRDefault="009F4766" w:rsidP="00C917D6">
            <w:pPr>
              <w:pStyle w:val="NormalLeft"/>
            </w:pPr>
            <w:r w:rsidRPr="00DE12A3">
              <w:t>790</w:t>
            </w:r>
          </w:p>
        </w:tc>
        <w:tc>
          <w:tcPr>
            <w:tcW w:w="2489" w:type="dxa"/>
            <w:tcBorders>
              <w:top w:val="single" w:sz="2" w:space="0" w:color="auto"/>
              <w:left w:val="single" w:sz="2" w:space="0" w:color="auto"/>
              <w:bottom w:val="single" w:sz="2" w:space="0" w:color="auto"/>
              <w:right w:val="single" w:sz="2" w:space="0" w:color="auto"/>
            </w:tcBorders>
          </w:tcPr>
          <w:p w14:paraId="2271E6CB" w14:textId="77777777" w:rsidR="009F4766" w:rsidRPr="00DE12A3" w:rsidRDefault="009F4766" w:rsidP="00C917D6">
            <w:pPr>
              <w:pStyle w:val="NormalLeft"/>
            </w:pPr>
            <w:r w:rsidRPr="00DE12A3">
              <w:t>105</w:t>
            </w:r>
          </w:p>
        </w:tc>
        <w:tc>
          <w:tcPr>
            <w:tcW w:w="2551" w:type="dxa"/>
            <w:tcBorders>
              <w:top w:val="single" w:sz="2" w:space="0" w:color="auto"/>
              <w:left w:val="single" w:sz="2" w:space="0" w:color="auto"/>
              <w:bottom w:val="single" w:sz="2" w:space="0" w:color="auto"/>
              <w:right w:val="single" w:sz="2" w:space="0" w:color="auto"/>
            </w:tcBorders>
          </w:tcPr>
          <w:p w14:paraId="06AFCFD8" w14:textId="77777777" w:rsidR="009F4766" w:rsidRPr="00DE12A3" w:rsidRDefault="009F4766" w:rsidP="00C917D6">
            <w:pPr>
              <w:pStyle w:val="NormalLeft"/>
            </w:pPr>
            <w:r w:rsidRPr="00DE12A3">
              <w:t>66</w:t>
            </w:r>
          </w:p>
        </w:tc>
      </w:tr>
      <w:tr w:rsidR="00DE12A3" w:rsidRPr="00DE12A3" w14:paraId="6F7FED8C" w14:textId="77777777" w:rsidTr="009F4766">
        <w:tc>
          <w:tcPr>
            <w:tcW w:w="1182" w:type="dxa"/>
            <w:tcBorders>
              <w:top w:val="single" w:sz="2" w:space="0" w:color="auto"/>
              <w:left w:val="single" w:sz="2" w:space="0" w:color="auto"/>
              <w:bottom w:val="single" w:sz="2" w:space="0" w:color="auto"/>
              <w:right w:val="single" w:sz="2" w:space="0" w:color="auto"/>
            </w:tcBorders>
          </w:tcPr>
          <w:p w14:paraId="2640BD1E" w14:textId="77777777" w:rsidR="009F4766" w:rsidRPr="00DE12A3" w:rsidRDefault="009F4766" w:rsidP="00C917D6">
            <w:pPr>
              <w:pStyle w:val="NormalLeft"/>
            </w:pPr>
            <w:r w:rsidRPr="00DE12A3">
              <w:t>791</w:t>
            </w:r>
          </w:p>
        </w:tc>
        <w:tc>
          <w:tcPr>
            <w:tcW w:w="2489" w:type="dxa"/>
            <w:tcBorders>
              <w:top w:val="single" w:sz="2" w:space="0" w:color="auto"/>
              <w:left w:val="single" w:sz="2" w:space="0" w:color="auto"/>
              <w:bottom w:val="single" w:sz="2" w:space="0" w:color="auto"/>
              <w:right w:val="single" w:sz="2" w:space="0" w:color="auto"/>
            </w:tcBorders>
          </w:tcPr>
          <w:p w14:paraId="1CA3E365" w14:textId="77777777" w:rsidR="009F4766" w:rsidRPr="00DE12A3" w:rsidRDefault="009F4766" w:rsidP="00C917D6">
            <w:pPr>
              <w:pStyle w:val="NormalLeft"/>
            </w:pPr>
            <w:r w:rsidRPr="00DE12A3">
              <w:t>89</w:t>
            </w:r>
          </w:p>
        </w:tc>
        <w:tc>
          <w:tcPr>
            <w:tcW w:w="2551" w:type="dxa"/>
            <w:tcBorders>
              <w:top w:val="single" w:sz="2" w:space="0" w:color="auto"/>
              <w:left w:val="single" w:sz="2" w:space="0" w:color="auto"/>
              <w:bottom w:val="single" w:sz="2" w:space="0" w:color="auto"/>
              <w:right w:val="single" w:sz="2" w:space="0" w:color="auto"/>
            </w:tcBorders>
          </w:tcPr>
          <w:p w14:paraId="565755B5" w14:textId="77777777" w:rsidR="009F4766" w:rsidRPr="00DE12A3" w:rsidRDefault="009F4766" w:rsidP="00C917D6">
            <w:pPr>
              <w:pStyle w:val="NormalLeft"/>
            </w:pPr>
            <w:r w:rsidRPr="00DE12A3">
              <w:t>41</w:t>
            </w:r>
          </w:p>
        </w:tc>
      </w:tr>
      <w:tr w:rsidR="00DE12A3" w:rsidRPr="00DE12A3" w14:paraId="72E42F09" w14:textId="77777777" w:rsidTr="009F4766">
        <w:tc>
          <w:tcPr>
            <w:tcW w:w="1182" w:type="dxa"/>
            <w:tcBorders>
              <w:top w:val="single" w:sz="2" w:space="0" w:color="auto"/>
              <w:left w:val="single" w:sz="2" w:space="0" w:color="auto"/>
              <w:bottom w:val="single" w:sz="2" w:space="0" w:color="auto"/>
              <w:right w:val="single" w:sz="2" w:space="0" w:color="auto"/>
            </w:tcBorders>
          </w:tcPr>
          <w:p w14:paraId="19C90A2C" w14:textId="77777777" w:rsidR="009F4766" w:rsidRPr="00DE12A3" w:rsidRDefault="009F4766" w:rsidP="00C917D6">
            <w:pPr>
              <w:pStyle w:val="NormalLeft"/>
            </w:pPr>
            <w:r w:rsidRPr="00DE12A3">
              <w:t>792</w:t>
            </w:r>
          </w:p>
        </w:tc>
        <w:tc>
          <w:tcPr>
            <w:tcW w:w="2489" w:type="dxa"/>
            <w:tcBorders>
              <w:top w:val="single" w:sz="2" w:space="0" w:color="auto"/>
              <w:left w:val="single" w:sz="2" w:space="0" w:color="auto"/>
              <w:bottom w:val="single" w:sz="2" w:space="0" w:color="auto"/>
              <w:right w:val="single" w:sz="2" w:space="0" w:color="auto"/>
            </w:tcBorders>
          </w:tcPr>
          <w:p w14:paraId="50980CA1" w14:textId="77777777" w:rsidR="009F4766" w:rsidRPr="00DE12A3" w:rsidRDefault="009F4766" w:rsidP="00C917D6">
            <w:pPr>
              <w:pStyle w:val="NormalLeft"/>
            </w:pPr>
            <w:r w:rsidRPr="00DE12A3">
              <w:t>52</w:t>
            </w:r>
          </w:p>
        </w:tc>
        <w:tc>
          <w:tcPr>
            <w:tcW w:w="2551" w:type="dxa"/>
            <w:tcBorders>
              <w:top w:val="single" w:sz="2" w:space="0" w:color="auto"/>
              <w:left w:val="single" w:sz="2" w:space="0" w:color="auto"/>
              <w:bottom w:val="single" w:sz="2" w:space="0" w:color="auto"/>
              <w:right w:val="single" w:sz="2" w:space="0" w:color="auto"/>
            </w:tcBorders>
          </w:tcPr>
          <w:p w14:paraId="742963BD" w14:textId="77777777" w:rsidR="009F4766" w:rsidRPr="00DE12A3" w:rsidRDefault="009F4766" w:rsidP="00C917D6">
            <w:pPr>
              <w:pStyle w:val="NormalLeft"/>
            </w:pPr>
            <w:r w:rsidRPr="00DE12A3">
              <w:t>5</w:t>
            </w:r>
          </w:p>
        </w:tc>
      </w:tr>
      <w:tr w:rsidR="00DE12A3" w:rsidRPr="00DE12A3" w14:paraId="5532131E" w14:textId="77777777" w:rsidTr="009F4766">
        <w:tc>
          <w:tcPr>
            <w:tcW w:w="1182" w:type="dxa"/>
            <w:tcBorders>
              <w:top w:val="single" w:sz="2" w:space="0" w:color="auto"/>
              <w:left w:val="single" w:sz="2" w:space="0" w:color="auto"/>
              <w:bottom w:val="single" w:sz="2" w:space="0" w:color="auto"/>
              <w:right w:val="single" w:sz="2" w:space="0" w:color="auto"/>
            </w:tcBorders>
          </w:tcPr>
          <w:p w14:paraId="36ED6355" w14:textId="77777777" w:rsidR="009F4766" w:rsidRPr="00DE12A3" w:rsidRDefault="009F4766" w:rsidP="00C917D6">
            <w:pPr>
              <w:pStyle w:val="NormalLeft"/>
            </w:pPr>
            <w:r w:rsidRPr="00DE12A3">
              <w:t>793</w:t>
            </w:r>
          </w:p>
        </w:tc>
        <w:tc>
          <w:tcPr>
            <w:tcW w:w="2489" w:type="dxa"/>
            <w:tcBorders>
              <w:top w:val="single" w:sz="2" w:space="0" w:color="auto"/>
              <w:left w:val="single" w:sz="2" w:space="0" w:color="auto"/>
              <w:bottom w:val="single" w:sz="2" w:space="0" w:color="auto"/>
              <w:right w:val="single" w:sz="2" w:space="0" w:color="auto"/>
            </w:tcBorders>
          </w:tcPr>
          <w:p w14:paraId="4C087F7B" w14:textId="77777777" w:rsidR="009F4766" w:rsidRPr="00DE12A3" w:rsidRDefault="009F4766" w:rsidP="00C917D6">
            <w:pPr>
              <w:pStyle w:val="NormalLeft"/>
            </w:pPr>
            <w:r w:rsidRPr="00DE12A3">
              <w:t>48</w:t>
            </w:r>
          </w:p>
        </w:tc>
        <w:tc>
          <w:tcPr>
            <w:tcW w:w="2551" w:type="dxa"/>
            <w:tcBorders>
              <w:top w:val="single" w:sz="2" w:space="0" w:color="auto"/>
              <w:left w:val="single" w:sz="2" w:space="0" w:color="auto"/>
              <w:bottom w:val="single" w:sz="2" w:space="0" w:color="auto"/>
              <w:right w:val="single" w:sz="2" w:space="0" w:color="auto"/>
            </w:tcBorders>
          </w:tcPr>
          <w:p w14:paraId="7D0F7616" w14:textId="77777777" w:rsidR="009F4766" w:rsidRPr="00DE12A3" w:rsidRDefault="009F4766" w:rsidP="00C917D6">
            <w:pPr>
              <w:pStyle w:val="NormalLeft"/>
            </w:pPr>
            <w:r w:rsidRPr="00DE12A3">
              <w:t>5</w:t>
            </w:r>
          </w:p>
        </w:tc>
      </w:tr>
      <w:tr w:rsidR="00DE12A3" w:rsidRPr="00DE12A3" w14:paraId="7651D1CF" w14:textId="77777777" w:rsidTr="009F4766">
        <w:tc>
          <w:tcPr>
            <w:tcW w:w="1182" w:type="dxa"/>
            <w:tcBorders>
              <w:top w:val="single" w:sz="2" w:space="0" w:color="auto"/>
              <w:left w:val="single" w:sz="2" w:space="0" w:color="auto"/>
              <w:bottom w:val="single" w:sz="2" w:space="0" w:color="auto"/>
              <w:right w:val="single" w:sz="2" w:space="0" w:color="auto"/>
            </w:tcBorders>
          </w:tcPr>
          <w:p w14:paraId="7D1439BD" w14:textId="77777777" w:rsidR="009F4766" w:rsidRPr="00DE12A3" w:rsidRDefault="009F4766" w:rsidP="00C917D6">
            <w:pPr>
              <w:pStyle w:val="NormalLeft"/>
            </w:pPr>
            <w:r w:rsidRPr="00DE12A3">
              <w:t>794</w:t>
            </w:r>
          </w:p>
        </w:tc>
        <w:tc>
          <w:tcPr>
            <w:tcW w:w="2489" w:type="dxa"/>
            <w:tcBorders>
              <w:top w:val="single" w:sz="2" w:space="0" w:color="auto"/>
              <w:left w:val="single" w:sz="2" w:space="0" w:color="auto"/>
              <w:bottom w:val="single" w:sz="2" w:space="0" w:color="auto"/>
              <w:right w:val="single" w:sz="2" w:space="0" w:color="auto"/>
            </w:tcBorders>
          </w:tcPr>
          <w:p w14:paraId="0BF811AE" w14:textId="77777777" w:rsidR="009F4766" w:rsidRPr="00DE12A3" w:rsidRDefault="009F4766" w:rsidP="00C917D6">
            <w:pPr>
              <w:pStyle w:val="NormalLeft"/>
            </w:pPr>
            <w:r w:rsidRPr="00DE12A3">
              <w:t>48</w:t>
            </w:r>
          </w:p>
        </w:tc>
        <w:tc>
          <w:tcPr>
            <w:tcW w:w="2551" w:type="dxa"/>
            <w:tcBorders>
              <w:top w:val="single" w:sz="2" w:space="0" w:color="auto"/>
              <w:left w:val="single" w:sz="2" w:space="0" w:color="auto"/>
              <w:bottom w:val="single" w:sz="2" w:space="0" w:color="auto"/>
              <w:right w:val="single" w:sz="2" w:space="0" w:color="auto"/>
            </w:tcBorders>
          </w:tcPr>
          <w:p w14:paraId="46CB0A2A" w14:textId="77777777" w:rsidR="009F4766" w:rsidRPr="00DE12A3" w:rsidRDefault="009F4766" w:rsidP="00C917D6">
            <w:pPr>
              <w:pStyle w:val="NormalLeft"/>
            </w:pPr>
            <w:r w:rsidRPr="00DE12A3">
              <w:t>7</w:t>
            </w:r>
          </w:p>
        </w:tc>
      </w:tr>
      <w:tr w:rsidR="00DE12A3" w:rsidRPr="00DE12A3" w14:paraId="09F1A0C5" w14:textId="77777777" w:rsidTr="009F4766">
        <w:tc>
          <w:tcPr>
            <w:tcW w:w="1182" w:type="dxa"/>
            <w:tcBorders>
              <w:top w:val="single" w:sz="2" w:space="0" w:color="auto"/>
              <w:left w:val="single" w:sz="2" w:space="0" w:color="auto"/>
              <w:bottom w:val="single" w:sz="2" w:space="0" w:color="auto"/>
              <w:right w:val="single" w:sz="2" w:space="0" w:color="auto"/>
            </w:tcBorders>
          </w:tcPr>
          <w:p w14:paraId="3BEAE943" w14:textId="77777777" w:rsidR="009F4766" w:rsidRPr="00DE12A3" w:rsidRDefault="009F4766" w:rsidP="00C917D6">
            <w:pPr>
              <w:pStyle w:val="NormalLeft"/>
            </w:pPr>
            <w:r w:rsidRPr="00DE12A3">
              <w:t>795</w:t>
            </w:r>
          </w:p>
        </w:tc>
        <w:tc>
          <w:tcPr>
            <w:tcW w:w="2489" w:type="dxa"/>
            <w:tcBorders>
              <w:top w:val="single" w:sz="2" w:space="0" w:color="auto"/>
              <w:left w:val="single" w:sz="2" w:space="0" w:color="auto"/>
              <w:bottom w:val="single" w:sz="2" w:space="0" w:color="auto"/>
              <w:right w:val="single" w:sz="2" w:space="0" w:color="auto"/>
            </w:tcBorders>
          </w:tcPr>
          <w:p w14:paraId="3E037AF1" w14:textId="77777777" w:rsidR="009F4766" w:rsidRPr="00DE12A3" w:rsidRDefault="009F4766" w:rsidP="00C917D6">
            <w:pPr>
              <w:pStyle w:val="NormalLeft"/>
            </w:pPr>
            <w:r w:rsidRPr="00DE12A3">
              <w:t>48</w:t>
            </w:r>
          </w:p>
        </w:tc>
        <w:tc>
          <w:tcPr>
            <w:tcW w:w="2551" w:type="dxa"/>
            <w:tcBorders>
              <w:top w:val="single" w:sz="2" w:space="0" w:color="auto"/>
              <w:left w:val="single" w:sz="2" w:space="0" w:color="auto"/>
              <w:bottom w:val="single" w:sz="2" w:space="0" w:color="auto"/>
              <w:right w:val="single" w:sz="2" w:space="0" w:color="auto"/>
            </w:tcBorders>
          </w:tcPr>
          <w:p w14:paraId="269053F5" w14:textId="77777777" w:rsidR="009F4766" w:rsidRPr="00DE12A3" w:rsidRDefault="009F4766" w:rsidP="00C917D6">
            <w:pPr>
              <w:pStyle w:val="NormalLeft"/>
            </w:pPr>
            <w:r w:rsidRPr="00DE12A3">
              <w:t>5</w:t>
            </w:r>
          </w:p>
        </w:tc>
      </w:tr>
      <w:tr w:rsidR="00DE12A3" w:rsidRPr="00DE12A3" w14:paraId="2D203064" w14:textId="77777777" w:rsidTr="009F4766">
        <w:tc>
          <w:tcPr>
            <w:tcW w:w="1182" w:type="dxa"/>
            <w:tcBorders>
              <w:top w:val="single" w:sz="2" w:space="0" w:color="auto"/>
              <w:left w:val="single" w:sz="2" w:space="0" w:color="auto"/>
              <w:bottom w:val="single" w:sz="2" w:space="0" w:color="auto"/>
              <w:right w:val="single" w:sz="2" w:space="0" w:color="auto"/>
            </w:tcBorders>
          </w:tcPr>
          <w:p w14:paraId="15B152FA" w14:textId="77777777" w:rsidR="009F4766" w:rsidRPr="00DE12A3" w:rsidRDefault="009F4766" w:rsidP="00C917D6">
            <w:pPr>
              <w:pStyle w:val="NormalLeft"/>
            </w:pPr>
            <w:r w:rsidRPr="00DE12A3">
              <w:t>796</w:t>
            </w:r>
          </w:p>
        </w:tc>
        <w:tc>
          <w:tcPr>
            <w:tcW w:w="2489" w:type="dxa"/>
            <w:tcBorders>
              <w:top w:val="single" w:sz="2" w:space="0" w:color="auto"/>
              <w:left w:val="single" w:sz="2" w:space="0" w:color="auto"/>
              <w:bottom w:val="single" w:sz="2" w:space="0" w:color="auto"/>
              <w:right w:val="single" w:sz="2" w:space="0" w:color="auto"/>
            </w:tcBorders>
          </w:tcPr>
          <w:p w14:paraId="4EC8F725" w14:textId="77777777" w:rsidR="009F4766" w:rsidRPr="00DE12A3" w:rsidRDefault="009F4766" w:rsidP="00C917D6">
            <w:pPr>
              <w:pStyle w:val="NormalLeft"/>
            </w:pPr>
            <w:r w:rsidRPr="00DE12A3">
              <w:t>48</w:t>
            </w:r>
          </w:p>
        </w:tc>
        <w:tc>
          <w:tcPr>
            <w:tcW w:w="2551" w:type="dxa"/>
            <w:tcBorders>
              <w:top w:val="single" w:sz="2" w:space="0" w:color="auto"/>
              <w:left w:val="single" w:sz="2" w:space="0" w:color="auto"/>
              <w:bottom w:val="single" w:sz="2" w:space="0" w:color="auto"/>
              <w:right w:val="single" w:sz="2" w:space="0" w:color="auto"/>
            </w:tcBorders>
          </w:tcPr>
          <w:p w14:paraId="0EBE145F" w14:textId="77777777" w:rsidR="009F4766" w:rsidRPr="00DE12A3" w:rsidRDefault="009F4766" w:rsidP="00C917D6">
            <w:pPr>
              <w:pStyle w:val="NormalLeft"/>
            </w:pPr>
            <w:r w:rsidRPr="00DE12A3">
              <w:t>6</w:t>
            </w:r>
          </w:p>
        </w:tc>
      </w:tr>
      <w:tr w:rsidR="00DE12A3" w:rsidRPr="00DE12A3" w14:paraId="64812989" w14:textId="77777777" w:rsidTr="009F4766">
        <w:tc>
          <w:tcPr>
            <w:tcW w:w="1182" w:type="dxa"/>
            <w:tcBorders>
              <w:top w:val="single" w:sz="2" w:space="0" w:color="auto"/>
              <w:left w:val="single" w:sz="2" w:space="0" w:color="auto"/>
              <w:bottom w:val="single" w:sz="2" w:space="0" w:color="auto"/>
              <w:right w:val="single" w:sz="2" w:space="0" w:color="auto"/>
            </w:tcBorders>
          </w:tcPr>
          <w:p w14:paraId="46ED48CA" w14:textId="77777777" w:rsidR="009F4766" w:rsidRPr="00DE12A3" w:rsidRDefault="009F4766" w:rsidP="00C917D6">
            <w:pPr>
              <w:pStyle w:val="NormalLeft"/>
            </w:pPr>
            <w:r w:rsidRPr="00DE12A3">
              <w:t>797</w:t>
            </w:r>
          </w:p>
        </w:tc>
        <w:tc>
          <w:tcPr>
            <w:tcW w:w="2489" w:type="dxa"/>
            <w:tcBorders>
              <w:top w:val="single" w:sz="2" w:space="0" w:color="auto"/>
              <w:left w:val="single" w:sz="2" w:space="0" w:color="auto"/>
              <w:bottom w:val="single" w:sz="2" w:space="0" w:color="auto"/>
              <w:right w:val="single" w:sz="2" w:space="0" w:color="auto"/>
            </w:tcBorders>
          </w:tcPr>
          <w:p w14:paraId="180E4CC5" w14:textId="77777777" w:rsidR="009F4766" w:rsidRPr="00DE12A3" w:rsidRDefault="009F4766" w:rsidP="00C917D6">
            <w:pPr>
              <w:pStyle w:val="NormalLeft"/>
            </w:pPr>
            <w:r w:rsidRPr="00DE12A3">
              <w:t>48</w:t>
            </w:r>
          </w:p>
        </w:tc>
        <w:tc>
          <w:tcPr>
            <w:tcW w:w="2551" w:type="dxa"/>
            <w:tcBorders>
              <w:top w:val="single" w:sz="2" w:space="0" w:color="auto"/>
              <w:left w:val="single" w:sz="2" w:space="0" w:color="auto"/>
              <w:bottom w:val="single" w:sz="2" w:space="0" w:color="auto"/>
              <w:right w:val="single" w:sz="2" w:space="0" w:color="auto"/>
            </w:tcBorders>
          </w:tcPr>
          <w:p w14:paraId="77A3DDCE" w14:textId="77777777" w:rsidR="009F4766" w:rsidRPr="00DE12A3" w:rsidRDefault="009F4766" w:rsidP="00C917D6">
            <w:pPr>
              <w:pStyle w:val="NormalLeft"/>
            </w:pPr>
            <w:r w:rsidRPr="00DE12A3">
              <w:t>4</w:t>
            </w:r>
          </w:p>
        </w:tc>
      </w:tr>
      <w:tr w:rsidR="00DE12A3" w:rsidRPr="00DE12A3" w14:paraId="22FF2872" w14:textId="77777777" w:rsidTr="009F4766">
        <w:tc>
          <w:tcPr>
            <w:tcW w:w="1182" w:type="dxa"/>
            <w:tcBorders>
              <w:top w:val="single" w:sz="2" w:space="0" w:color="auto"/>
              <w:left w:val="single" w:sz="2" w:space="0" w:color="auto"/>
              <w:bottom w:val="single" w:sz="2" w:space="0" w:color="auto"/>
              <w:right w:val="single" w:sz="2" w:space="0" w:color="auto"/>
            </w:tcBorders>
          </w:tcPr>
          <w:p w14:paraId="4A2356CB" w14:textId="77777777" w:rsidR="009F4766" w:rsidRPr="00DE12A3" w:rsidRDefault="009F4766" w:rsidP="00C917D6">
            <w:pPr>
              <w:pStyle w:val="NormalLeft"/>
            </w:pPr>
            <w:r w:rsidRPr="00DE12A3">
              <w:t>798</w:t>
            </w:r>
          </w:p>
        </w:tc>
        <w:tc>
          <w:tcPr>
            <w:tcW w:w="2489" w:type="dxa"/>
            <w:tcBorders>
              <w:top w:val="single" w:sz="2" w:space="0" w:color="auto"/>
              <w:left w:val="single" w:sz="2" w:space="0" w:color="auto"/>
              <w:bottom w:val="single" w:sz="2" w:space="0" w:color="auto"/>
              <w:right w:val="single" w:sz="2" w:space="0" w:color="auto"/>
            </w:tcBorders>
          </w:tcPr>
          <w:p w14:paraId="48C58469" w14:textId="77777777" w:rsidR="009F4766" w:rsidRPr="00DE12A3" w:rsidRDefault="009F4766" w:rsidP="00C917D6">
            <w:pPr>
              <w:pStyle w:val="NormalLeft"/>
            </w:pPr>
            <w:r w:rsidRPr="00DE12A3">
              <w:t>52</w:t>
            </w:r>
          </w:p>
        </w:tc>
        <w:tc>
          <w:tcPr>
            <w:tcW w:w="2551" w:type="dxa"/>
            <w:tcBorders>
              <w:top w:val="single" w:sz="2" w:space="0" w:color="auto"/>
              <w:left w:val="single" w:sz="2" w:space="0" w:color="auto"/>
              <w:bottom w:val="single" w:sz="2" w:space="0" w:color="auto"/>
              <w:right w:val="single" w:sz="2" w:space="0" w:color="auto"/>
            </w:tcBorders>
          </w:tcPr>
          <w:p w14:paraId="5C7581BD" w14:textId="77777777" w:rsidR="009F4766" w:rsidRPr="00DE12A3" w:rsidRDefault="009F4766" w:rsidP="00C917D6">
            <w:pPr>
              <w:pStyle w:val="NormalLeft"/>
            </w:pPr>
            <w:r w:rsidRPr="00DE12A3">
              <w:t>6</w:t>
            </w:r>
          </w:p>
        </w:tc>
      </w:tr>
      <w:tr w:rsidR="00DE12A3" w:rsidRPr="00DE12A3" w14:paraId="70D90397" w14:textId="77777777" w:rsidTr="009F4766">
        <w:tc>
          <w:tcPr>
            <w:tcW w:w="1182" w:type="dxa"/>
            <w:tcBorders>
              <w:top w:val="single" w:sz="2" w:space="0" w:color="auto"/>
              <w:left w:val="single" w:sz="2" w:space="0" w:color="auto"/>
              <w:bottom w:val="single" w:sz="2" w:space="0" w:color="auto"/>
              <w:right w:val="single" w:sz="2" w:space="0" w:color="auto"/>
            </w:tcBorders>
          </w:tcPr>
          <w:p w14:paraId="31BF6FC3" w14:textId="77777777" w:rsidR="009F4766" w:rsidRPr="00DE12A3" w:rsidRDefault="009F4766" w:rsidP="00C917D6">
            <w:pPr>
              <w:pStyle w:val="NormalLeft"/>
            </w:pPr>
            <w:r w:rsidRPr="00DE12A3">
              <w:t>799</w:t>
            </w:r>
          </w:p>
        </w:tc>
        <w:tc>
          <w:tcPr>
            <w:tcW w:w="2489" w:type="dxa"/>
            <w:tcBorders>
              <w:top w:val="single" w:sz="2" w:space="0" w:color="auto"/>
              <w:left w:val="single" w:sz="2" w:space="0" w:color="auto"/>
              <w:bottom w:val="single" w:sz="2" w:space="0" w:color="auto"/>
              <w:right w:val="single" w:sz="2" w:space="0" w:color="auto"/>
            </w:tcBorders>
          </w:tcPr>
          <w:p w14:paraId="182F5738" w14:textId="77777777" w:rsidR="009F4766" w:rsidRPr="00DE12A3" w:rsidRDefault="009F4766" w:rsidP="00C917D6">
            <w:pPr>
              <w:pStyle w:val="NormalLeft"/>
            </w:pPr>
            <w:r w:rsidRPr="00DE12A3">
              <w:t>51</w:t>
            </w:r>
          </w:p>
        </w:tc>
        <w:tc>
          <w:tcPr>
            <w:tcW w:w="2551" w:type="dxa"/>
            <w:tcBorders>
              <w:top w:val="single" w:sz="2" w:space="0" w:color="auto"/>
              <w:left w:val="single" w:sz="2" w:space="0" w:color="auto"/>
              <w:bottom w:val="single" w:sz="2" w:space="0" w:color="auto"/>
              <w:right w:val="single" w:sz="2" w:space="0" w:color="auto"/>
            </w:tcBorders>
          </w:tcPr>
          <w:p w14:paraId="6B31CED7" w14:textId="77777777" w:rsidR="009F4766" w:rsidRPr="00DE12A3" w:rsidRDefault="009F4766" w:rsidP="00C917D6">
            <w:pPr>
              <w:pStyle w:val="NormalLeft"/>
            </w:pPr>
            <w:r w:rsidRPr="00DE12A3">
              <w:t>5</w:t>
            </w:r>
          </w:p>
        </w:tc>
      </w:tr>
      <w:tr w:rsidR="00DE12A3" w:rsidRPr="00DE12A3" w14:paraId="2A18E252" w14:textId="77777777" w:rsidTr="009F4766">
        <w:tc>
          <w:tcPr>
            <w:tcW w:w="1182" w:type="dxa"/>
            <w:tcBorders>
              <w:top w:val="single" w:sz="2" w:space="0" w:color="auto"/>
              <w:left w:val="single" w:sz="2" w:space="0" w:color="auto"/>
              <w:bottom w:val="single" w:sz="2" w:space="0" w:color="auto"/>
              <w:right w:val="single" w:sz="2" w:space="0" w:color="auto"/>
            </w:tcBorders>
          </w:tcPr>
          <w:p w14:paraId="506BB0DD" w14:textId="77777777" w:rsidR="009F4766" w:rsidRPr="00DE12A3" w:rsidRDefault="009F4766" w:rsidP="00C917D6">
            <w:pPr>
              <w:pStyle w:val="NormalLeft"/>
            </w:pPr>
            <w:r w:rsidRPr="00DE12A3">
              <w:t>800</w:t>
            </w:r>
          </w:p>
        </w:tc>
        <w:tc>
          <w:tcPr>
            <w:tcW w:w="2489" w:type="dxa"/>
            <w:tcBorders>
              <w:top w:val="single" w:sz="2" w:space="0" w:color="auto"/>
              <w:left w:val="single" w:sz="2" w:space="0" w:color="auto"/>
              <w:bottom w:val="single" w:sz="2" w:space="0" w:color="auto"/>
              <w:right w:val="single" w:sz="2" w:space="0" w:color="auto"/>
            </w:tcBorders>
          </w:tcPr>
          <w:p w14:paraId="4E6CF59C" w14:textId="77777777" w:rsidR="009F4766" w:rsidRPr="00DE12A3" w:rsidRDefault="009F4766" w:rsidP="00C917D6">
            <w:pPr>
              <w:pStyle w:val="NormalLeft"/>
            </w:pPr>
            <w:r w:rsidRPr="00DE12A3">
              <w:t>51</w:t>
            </w:r>
          </w:p>
        </w:tc>
        <w:tc>
          <w:tcPr>
            <w:tcW w:w="2551" w:type="dxa"/>
            <w:tcBorders>
              <w:top w:val="single" w:sz="2" w:space="0" w:color="auto"/>
              <w:left w:val="single" w:sz="2" w:space="0" w:color="auto"/>
              <w:bottom w:val="single" w:sz="2" w:space="0" w:color="auto"/>
              <w:right w:val="single" w:sz="2" w:space="0" w:color="auto"/>
            </w:tcBorders>
          </w:tcPr>
          <w:p w14:paraId="45174E05" w14:textId="77777777" w:rsidR="009F4766" w:rsidRPr="00DE12A3" w:rsidRDefault="009F4766" w:rsidP="00C917D6">
            <w:pPr>
              <w:pStyle w:val="NormalLeft"/>
            </w:pPr>
            <w:r w:rsidRPr="00DE12A3">
              <w:t>6</w:t>
            </w:r>
          </w:p>
        </w:tc>
      </w:tr>
      <w:tr w:rsidR="00DE12A3" w:rsidRPr="00DE12A3" w14:paraId="7446CF2C" w14:textId="77777777" w:rsidTr="009F4766">
        <w:tc>
          <w:tcPr>
            <w:tcW w:w="1182" w:type="dxa"/>
            <w:tcBorders>
              <w:top w:val="single" w:sz="2" w:space="0" w:color="auto"/>
              <w:left w:val="single" w:sz="2" w:space="0" w:color="auto"/>
              <w:bottom w:val="single" w:sz="2" w:space="0" w:color="auto"/>
              <w:right w:val="single" w:sz="2" w:space="0" w:color="auto"/>
            </w:tcBorders>
          </w:tcPr>
          <w:p w14:paraId="17AF28BA" w14:textId="77777777" w:rsidR="009F4766" w:rsidRPr="00DE12A3" w:rsidRDefault="009F4766" w:rsidP="00C917D6">
            <w:pPr>
              <w:pStyle w:val="NormalLeft"/>
            </w:pPr>
            <w:r w:rsidRPr="00DE12A3">
              <w:t>801</w:t>
            </w:r>
          </w:p>
        </w:tc>
        <w:tc>
          <w:tcPr>
            <w:tcW w:w="2489" w:type="dxa"/>
            <w:tcBorders>
              <w:top w:val="single" w:sz="2" w:space="0" w:color="auto"/>
              <w:left w:val="single" w:sz="2" w:space="0" w:color="auto"/>
              <w:bottom w:val="single" w:sz="2" w:space="0" w:color="auto"/>
              <w:right w:val="single" w:sz="2" w:space="0" w:color="auto"/>
            </w:tcBorders>
          </w:tcPr>
          <w:p w14:paraId="35BA1F3E" w14:textId="77777777" w:rsidR="009F4766" w:rsidRPr="00DE12A3" w:rsidRDefault="009F4766" w:rsidP="00C917D6">
            <w:pPr>
              <w:pStyle w:val="NormalLeft"/>
            </w:pPr>
            <w:r w:rsidRPr="00DE12A3">
              <w:t>51</w:t>
            </w:r>
          </w:p>
        </w:tc>
        <w:tc>
          <w:tcPr>
            <w:tcW w:w="2551" w:type="dxa"/>
            <w:tcBorders>
              <w:top w:val="single" w:sz="2" w:space="0" w:color="auto"/>
              <w:left w:val="single" w:sz="2" w:space="0" w:color="auto"/>
              <w:bottom w:val="single" w:sz="2" w:space="0" w:color="auto"/>
              <w:right w:val="single" w:sz="2" w:space="0" w:color="auto"/>
            </w:tcBorders>
          </w:tcPr>
          <w:p w14:paraId="404D65CA" w14:textId="77777777" w:rsidR="009F4766" w:rsidRPr="00DE12A3" w:rsidRDefault="009F4766" w:rsidP="00C917D6">
            <w:pPr>
              <w:pStyle w:val="NormalLeft"/>
            </w:pPr>
            <w:r w:rsidRPr="00DE12A3">
              <w:t>6</w:t>
            </w:r>
          </w:p>
        </w:tc>
      </w:tr>
      <w:tr w:rsidR="00DE12A3" w:rsidRPr="00DE12A3" w14:paraId="2ABF7512" w14:textId="77777777" w:rsidTr="009F4766">
        <w:tc>
          <w:tcPr>
            <w:tcW w:w="1182" w:type="dxa"/>
            <w:tcBorders>
              <w:top w:val="single" w:sz="2" w:space="0" w:color="auto"/>
              <w:left w:val="single" w:sz="2" w:space="0" w:color="auto"/>
              <w:bottom w:val="single" w:sz="2" w:space="0" w:color="auto"/>
              <w:right w:val="single" w:sz="2" w:space="0" w:color="auto"/>
            </w:tcBorders>
          </w:tcPr>
          <w:p w14:paraId="5B86AE30" w14:textId="77777777" w:rsidR="009F4766" w:rsidRPr="00DE12A3" w:rsidRDefault="009F4766" w:rsidP="00C917D6">
            <w:pPr>
              <w:pStyle w:val="NormalLeft"/>
            </w:pPr>
            <w:r w:rsidRPr="00DE12A3">
              <w:t>802</w:t>
            </w:r>
          </w:p>
        </w:tc>
        <w:tc>
          <w:tcPr>
            <w:tcW w:w="2489" w:type="dxa"/>
            <w:tcBorders>
              <w:top w:val="single" w:sz="2" w:space="0" w:color="auto"/>
              <w:left w:val="single" w:sz="2" w:space="0" w:color="auto"/>
              <w:bottom w:val="single" w:sz="2" w:space="0" w:color="auto"/>
              <w:right w:val="single" w:sz="2" w:space="0" w:color="auto"/>
            </w:tcBorders>
          </w:tcPr>
          <w:p w14:paraId="58D55428" w14:textId="77777777" w:rsidR="009F4766" w:rsidRPr="00DE12A3" w:rsidRDefault="009F4766" w:rsidP="00C917D6">
            <w:pPr>
              <w:pStyle w:val="NormalLeft"/>
            </w:pPr>
            <w:r w:rsidRPr="00DE12A3">
              <w:t>52</w:t>
            </w:r>
          </w:p>
        </w:tc>
        <w:tc>
          <w:tcPr>
            <w:tcW w:w="2551" w:type="dxa"/>
            <w:tcBorders>
              <w:top w:val="single" w:sz="2" w:space="0" w:color="auto"/>
              <w:left w:val="single" w:sz="2" w:space="0" w:color="auto"/>
              <w:bottom w:val="single" w:sz="2" w:space="0" w:color="auto"/>
              <w:right w:val="single" w:sz="2" w:space="0" w:color="auto"/>
            </w:tcBorders>
          </w:tcPr>
          <w:p w14:paraId="0B0A71E1" w14:textId="77777777" w:rsidR="009F4766" w:rsidRPr="00DE12A3" w:rsidRDefault="009F4766" w:rsidP="00C917D6">
            <w:pPr>
              <w:pStyle w:val="NormalLeft"/>
            </w:pPr>
            <w:r w:rsidRPr="00DE12A3">
              <w:t>5</w:t>
            </w:r>
          </w:p>
        </w:tc>
      </w:tr>
      <w:tr w:rsidR="00DE12A3" w:rsidRPr="00DE12A3" w14:paraId="44003F41" w14:textId="77777777" w:rsidTr="009F4766">
        <w:tc>
          <w:tcPr>
            <w:tcW w:w="1182" w:type="dxa"/>
            <w:tcBorders>
              <w:top w:val="single" w:sz="2" w:space="0" w:color="auto"/>
              <w:left w:val="single" w:sz="2" w:space="0" w:color="auto"/>
              <w:bottom w:val="single" w:sz="2" w:space="0" w:color="auto"/>
              <w:right w:val="single" w:sz="2" w:space="0" w:color="auto"/>
            </w:tcBorders>
          </w:tcPr>
          <w:p w14:paraId="0DFAED16" w14:textId="77777777" w:rsidR="009F4766" w:rsidRPr="00DE12A3" w:rsidRDefault="009F4766" w:rsidP="00C917D6">
            <w:pPr>
              <w:pStyle w:val="NormalLeft"/>
            </w:pPr>
            <w:r w:rsidRPr="00DE12A3">
              <w:t>803</w:t>
            </w:r>
          </w:p>
        </w:tc>
        <w:tc>
          <w:tcPr>
            <w:tcW w:w="2489" w:type="dxa"/>
            <w:tcBorders>
              <w:top w:val="single" w:sz="2" w:space="0" w:color="auto"/>
              <w:left w:val="single" w:sz="2" w:space="0" w:color="auto"/>
              <w:bottom w:val="single" w:sz="2" w:space="0" w:color="auto"/>
              <w:right w:val="single" w:sz="2" w:space="0" w:color="auto"/>
            </w:tcBorders>
          </w:tcPr>
          <w:p w14:paraId="6E662BA6" w14:textId="77777777" w:rsidR="009F4766" w:rsidRPr="00DE12A3" w:rsidRDefault="009F4766" w:rsidP="00C917D6">
            <w:pPr>
              <w:pStyle w:val="NormalLeft"/>
            </w:pPr>
            <w:r w:rsidRPr="00DE12A3">
              <w:t>52</w:t>
            </w:r>
          </w:p>
        </w:tc>
        <w:tc>
          <w:tcPr>
            <w:tcW w:w="2551" w:type="dxa"/>
            <w:tcBorders>
              <w:top w:val="single" w:sz="2" w:space="0" w:color="auto"/>
              <w:left w:val="single" w:sz="2" w:space="0" w:color="auto"/>
              <w:bottom w:val="single" w:sz="2" w:space="0" w:color="auto"/>
              <w:right w:val="single" w:sz="2" w:space="0" w:color="auto"/>
            </w:tcBorders>
          </w:tcPr>
          <w:p w14:paraId="60A56428" w14:textId="77777777" w:rsidR="009F4766" w:rsidRPr="00DE12A3" w:rsidRDefault="009F4766" w:rsidP="00C917D6">
            <w:pPr>
              <w:pStyle w:val="NormalLeft"/>
            </w:pPr>
            <w:r w:rsidRPr="00DE12A3">
              <w:t>5</w:t>
            </w:r>
          </w:p>
        </w:tc>
      </w:tr>
      <w:tr w:rsidR="00DE12A3" w:rsidRPr="00DE12A3" w14:paraId="6006C23E" w14:textId="77777777" w:rsidTr="009F4766">
        <w:tc>
          <w:tcPr>
            <w:tcW w:w="1182" w:type="dxa"/>
            <w:tcBorders>
              <w:top w:val="single" w:sz="2" w:space="0" w:color="auto"/>
              <w:left w:val="single" w:sz="2" w:space="0" w:color="auto"/>
              <w:bottom w:val="single" w:sz="2" w:space="0" w:color="auto"/>
              <w:right w:val="single" w:sz="2" w:space="0" w:color="auto"/>
            </w:tcBorders>
          </w:tcPr>
          <w:p w14:paraId="58876998" w14:textId="77777777" w:rsidR="009F4766" w:rsidRPr="00DE12A3" w:rsidRDefault="009F4766" w:rsidP="00C917D6">
            <w:pPr>
              <w:pStyle w:val="NormalLeft"/>
            </w:pPr>
            <w:r w:rsidRPr="00DE12A3">
              <w:t>804</w:t>
            </w:r>
          </w:p>
        </w:tc>
        <w:tc>
          <w:tcPr>
            <w:tcW w:w="2489" w:type="dxa"/>
            <w:tcBorders>
              <w:top w:val="single" w:sz="2" w:space="0" w:color="auto"/>
              <w:left w:val="single" w:sz="2" w:space="0" w:color="auto"/>
              <w:bottom w:val="single" w:sz="2" w:space="0" w:color="auto"/>
              <w:right w:val="single" w:sz="2" w:space="0" w:color="auto"/>
            </w:tcBorders>
          </w:tcPr>
          <w:p w14:paraId="5DEAC2E9" w14:textId="77777777" w:rsidR="009F4766" w:rsidRPr="00DE12A3" w:rsidRDefault="009F4766" w:rsidP="00C917D6">
            <w:pPr>
              <w:pStyle w:val="NormalLeft"/>
            </w:pPr>
            <w:r w:rsidRPr="00DE12A3">
              <w:t>57</w:t>
            </w:r>
          </w:p>
        </w:tc>
        <w:tc>
          <w:tcPr>
            <w:tcW w:w="2551" w:type="dxa"/>
            <w:tcBorders>
              <w:top w:val="single" w:sz="2" w:space="0" w:color="auto"/>
              <w:left w:val="single" w:sz="2" w:space="0" w:color="auto"/>
              <w:bottom w:val="single" w:sz="2" w:space="0" w:color="auto"/>
              <w:right w:val="single" w:sz="2" w:space="0" w:color="auto"/>
            </w:tcBorders>
          </w:tcPr>
          <w:p w14:paraId="1244448E" w14:textId="77777777" w:rsidR="009F4766" w:rsidRPr="00DE12A3" w:rsidRDefault="009F4766" w:rsidP="00C917D6">
            <w:pPr>
              <w:pStyle w:val="NormalLeft"/>
            </w:pPr>
            <w:r w:rsidRPr="00DE12A3">
              <w:t>44</w:t>
            </w:r>
          </w:p>
        </w:tc>
      </w:tr>
      <w:tr w:rsidR="00DE12A3" w:rsidRPr="00DE12A3" w14:paraId="4112E918" w14:textId="77777777" w:rsidTr="009F4766">
        <w:tc>
          <w:tcPr>
            <w:tcW w:w="1182" w:type="dxa"/>
            <w:tcBorders>
              <w:top w:val="single" w:sz="2" w:space="0" w:color="auto"/>
              <w:left w:val="single" w:sz="2" w:space="0" w:color="auto"/>
              <w:bottom w:val="single" w:sz="2" w:space="0" w:color="auto"/>
              <w:right w:val="single" w:sz="2" w:space="0" w:color="auto"/>
            </w:tcBorders>
          </w:tcPr>
          <w:p w14:paraId="7E56A960" w14:textId="77777777" w:rsidR="009F4766" w:rsidRPr="00DE12A3" w:rsidRDefault="009F4766" w:rsidP="00C917D6">
            <w:pPr>
              <w:pStyle w:val="NormalLeft"/>
            </w:pPr>
            <w:r w:rsidRPr="00DE12A3">
              <w:t>805</w:t>
            </w:r>
          </w:p>
        </w:tc>
        <w:tc>
          <w:tcPr>
            <w:tcW w:w="2489" w:type="dxa"/>
            <w:tcBorders>
              <w:top w:val="single" w:sz="2" w:space="0" w:color="auto"/>
              <w:left w:val="single" w:sz="2" w:space="0" w:color="auto"/>
              <w:bottom w:val="single" w:sz="2" w:space="0" w:color="auto"/>
              <w:right w:val="single" w:sz="2" w:space="0" w:color="auto"/>
            </w:tcBorders>
          </w:tcPr>
          <w:p w14:paraId="5DACB472" w14:textId="77777777" w:rsidR="009F4766" w:rsidRPr="00DE12A3" w:rsidRDefault="009F4766" w:rsidP="00C917D6">
            <w:pPr>
              <w:pStyle w:val="NormalLeft"/>
            </w:pPr>
            <w:r w:rsidRPr="00DE12A3">
              <w:t>98</w:t>
            </w:r>
          </w:p>
        </w:tc>
        <w:tc>
          <w:tcPr>
            <w:tcW w:w="2551" w:type="dxa"/>
            <w:tcBorders>
              <w:top w:val="single" w:sz="2" w:space="0" w:color="auto"/>
              <w:left w:val="single" w:sz="2" w:space="0" w:color="auto"/>
              <w:bottom w:val="single" w:sz="2" w:space="0" w:color="auto"/>
              <w:right w:val="single" w:sz="2" w:space="0" w:color="auto"/>
            </w:tcBorders>
          </w:tcPr>
          <w:p w14:paraId="45935AE5" w14:textId="77777777" w:rsidR="009F4766" w:rsidRPr="00DE12A3" w:rsidRDefault="009F4766" w:rsidP="00C917D6">
            <w:pPr>
              <w:pStyle w:val="NormalLeft"/>
            </w:pPr>
            <w:r w:rsidRPr="00DE12A3">
              <w:t>90</w:t>
            </w:r>
          </w:p>
        </w:tc>
      </w:tr>
      <w:tr w:rsidR="00DE12A3" w:rsidRPr="00DE12A3" w14:paraId="67D06CA3" w14:textId="77777777" w:rsidTr="009F4766">
        <w:tc>
          <w:tcPr>
            <w:tcW w:w="1182" w:type="dxa"/>
            <w:tcBorders>
              <w:top w:val="single" w:sz="2" w:space="0" w:color="auto"/>
              <w:left w:val="single" w:sz="2" w:space="0" w:color="auto"/>
              <w:bottom w:val="single" w:sz="2" w:space="0" w:color="auto"/>
              <w:right w:val="single" w:sz="2" w:space="0" w:color="auto"/>
            </w:tcBorders>
          </w:tcPr>
          <w:p w14:paraId="0D8518C3" w14:textId="77777777" w:rsidR="009F4766" w:rsidRPr="00DE12A3" w:rsidRDefault="009F4766" w:rsidP="00C917D6">
            <w:pPr>
              <w:pStyle w:val="NormalLeft"/>
            </w:pPr>
            <w:r w:rsidRPr="00DE12A3">
              <w:t>806</w:t>
            </w:r>
          </w:p>
        </w:tc>
        <w:tc>
          <w:tcPr>
            <w:tcW w:w="2489" w:type="dxa"/>
            <w:tcBorders>
              <w:top w:val="single" w:sz="2" w:space="0" w:color="auto"/>
              <w:left w:val="single" w:sz="2" w:space="0" w:color="auto"/>
              <w:bottom w:val="single" w:sz="2" w:space="0" w:color="auto"/>
              <w:right w:val="single" w:sz="2" w:space="0" w:color="auto"/>
            </w:tcBorders>
          </w:tcPr>
          <w:p w14:paraId="4613988D" w14:textId="77777777" w:rsidR="009F4766" w:rsidRPr="00DE12A3" w:rsidRDefault="009F4766" w:rsidP="00C917D6">
            <w:pPr>
              <w:pStyle w:val="NormalLeft"/>
            </w:pPr>
            <w:r w:rsidRPr="00DE12A3">
              <w:t>105</w:t>
            </w:r>
          </w:p>
        </w:tc>
        <w:tc>
          <w:tcPr>
            <w:tcW w:w="2551" w:type="dxa"/>
            <w:tcBorders>
              <w:top w:val="single" w:sz="2" w:space="0" w:color="auto"/>
              <w:left w:val="single" w:sz="2" w:space="0" w:color="auto"/>
              <w:bottom w:val="single" w:sz="2" w:space="0" w:color="auto"/>
              <w:right w:val="single" w:sz="2" w:space="0" w:color="auto"/>
            </w:tcBorders>
          </w:tcPr>
          <w:p w14:paraId="78D03D66" w14:textId="77777777" w:rsidR="009F4766" w:rsidRPr="00DE12A3" w:rsidRDefault="009F4766" w:rsidP="00C917D6">
            <w:pPr>
              <w:pStyle w:val="NormalLeft"/>
            </w:pPr>
            <w:r w:rsidRPr="00DE12A3">
              <w:t>94</w:t>
            </w:r>
          </w:p>
        </w:tc>
      </w:tr>
      <w:tr w:rsidR="00DE12A3" w:rsidRPr="00DE12A3" w14:paraId="679B0BFB" w14:textId="77777777" w:rsidTr="009F4766">
        <w:tc>
          <w:tcPr>
            <w:tcW w:w="1182" w:type="dxa"/>
            <w:tcBorders>
              <w:top w:val="single" w:sz="2" w:space="0" w:color="auto"/>
              <w:left w:val="single" w:sz="2" w:space="0" w:color="auto"/>
              <w:bottom w:val="single" w:sz="2" w:space="0" w:color="auto"/>
              <w:right w:val="single" w:sz="2" w:space="0" w:color="auto"/>
            </w:tcBorders>
          </w:tcPr>
          <w:p w14:paraId="41E48959" w14:textId="77777777" w:rsidR="009F4766" w:rsidRPr="00DE12A3" w:rsidRDefault="009F4766" w:rsidP="00C917D6">
            <w:pPr>
              <w:pStyle w:val="NormalLeft"/>
            </w:pPr>
            <w:r w:rsidRPr="00DE12A3">
              <w:t>807</w:t>
            </w:r>
          </w:p>
        </w:tc>
        <w:tc>
          <w:tcPr>
            <w:tcW w:w="2489" w:type="dxa"/>
            <w:tcBorders>
              <w:top w:val="single" w:sz="2" w:space="0" w:color="auto"/>
              <w:left w:val="single" w:sz="2" w:space="0" w:color="auto"/>
              <w:bottom w:val="single" w:sz="2" w:space="0" w:color="auto"/>
              <w:right w:val="single" w:sz="2" w:space="0" w:color="auto"/>
            </w:tcBorders>
          </w:tcPr>
          <w:p w14:paraId="7775F6E4" w14:textId="77777777" w:rsidR="009F4766" w:rsidRPr="00DE12A3" w:rsidRDefault="009F4766" w:rsidP="00C917D6">
            <w:pPr>
              <w:pStyle w:val="NormalLeft"/>
            </w:pPr>
            <w:r w:rsidRPr="00DE12A3">
              <w:t>105</w:t>
            </w:r>
          </w:p>
        </w:tc>
        <w:tc>
          <w:tcPr>
            <w:tcW w:w="2551" w:type="dxa"/>
            <w:tcBorders>
              <w:top w:val="single" w:sz="2" w:space="0" w:color="auto"/>
              <w:left w:val="single" w:sz="2" w:space="0" w:color="auto"/>
              <w:bottom w:val="single" w:sz="2" w:space="0" w:color="auto"/>
              <w:right w:val="single" w:sz="2" w:space="0" w:color="auto"/>
            </w:tcBorders>
          </w:tcPr>
          <w:p w14:paraId="038D87B0" w14:textId="77777777" w:rsidR="009F4766" w:rsidRPr="00DE12A3" w:rsidRDefault="009F4766" w:rsidP="00C917D6">
            <w:pPr>
              <w:pStyle w:val="NormalLeft"/>
            </w:pPr>
            <w:r w:rsidRPr="00DE12A3">
              <w:t>100</w:t>
            </w:r>
          </w:p>
        </w:tc>
      </w:tr>
      <w:tr w:rsidR="00DE12A3" w:rsidRPr="00DE12A3" w14:paraId="32E5D49D" w14:textId="77777777" w:rsidTr="009F4766">
        <w:tc>
          <w:tcPr>
            <w:tcW w:w="1182" w:type="dxa"/>
            <w:tcBorders>
              <w:top w:val="single" w:sz="2" w:space="0" w:color="auto"/>
              <w:left w:val="single" w:sz="2" w:space="0" w:color="auto"/>
              <w:bottom w:val="single" w:sz="2" w:space="0" w:color="auto"/>
              <w:right w:val="single" w:sz="2" w:space="0" w:color="auto"/>
            </w:tcBorders>
          </w:tcPr>
          <w:p w14:paraId="422779FE" w14:textId="77777777" w:rsidR="009F4766" w:rsidRPr="00DE12A3" w:rsidRDefault="009F4766" w:rsidP="00C917D6">
            <w:pPr>
              <w:pStyle w:val="NormalLeft"/>
            </w:pPr>
            <w:r w:rsidRPr="00DE12A3">
              <w:t>808</w:t>
            </w:r>
          </w:p>
        </w:tc>
        <w:tc>
          <w:tcPr>
            <w:tcW w:w="2489" w:type="dxa"/>
            <w:tcBorders>
              <w:top w:val="single" w:sz="2" w:space="0" w:color="auto"/>
              <w:left w:val="single" w:sz="2" w:space="0" w:color="auto"/>
              <w:bottom w:val="single" w:sz="2" w:space="0" w:color="auto"/>
              <w:right w:val="single" w:sz="2" w:space="0" w:color="auto"/>
            </w:tcBorders>
          </w:tcPr>
          <w:p w14:paraId="7F7FEEFE" w14:textId="77777777" w:rsidR="009F4766" w:rsidRPr="00DE12A3" w:rsidRDefault="009F4766" w:rsidP="00C917D6">
            <w:pPr>
              <w:pStyle w:val="NormalLeft"/>
            </w:pPr>
            <w:r w:rsidRPr="00DE12A3">
              <w:t>105</w:t>
            </w:r>
          </w:p>
        </w:tc>
        <w:tc>
          <w:tcPr>
            <w:tcW w:w="2551" w:type="dxa"/>
            <w:tcBorders>
              <w:top w:val="single" w:sz="2" w:space="0" w:color="auto"/>
              <w:left w:val="single" w:sz="2" w:space="0" w:color="auto"/>
              <w:bottom w:val="single" w:sz="2" w:space="0" w:color="auto"/>
              <w:right w:val="single" w:sz="2" w:space="0" w:color="auto"/>
            </w:tcBorders>
          </w:tcPr>
          <w:p w14:paraId="6A0091CA" w14:textId="77777777" w:rsidR="009F4766" w:rsidRPr="00DE12A3" w:rsidRDefault="009F4766" w:rsidP="00C917D6">
            <w:pPr>
              <w:pStyle w:val="NormalLeft"/>
            </w:pPr>
            <w:r w:rsidRPr="00DE12A3">
              <w:t>98</w:t>
            </w:r>
          </w:p>
        </w:tc>
      </w:tr>
      <w:tr w:rsidR="00DE12A3" w:rsidRPr="00DE12A3" w14:paraId="05193190" w14:textId="77777777" w:rsidTr="009F4766">
        <w:tc>
          <w:tcPr>
            <w:tcW w:w="1182" w:type="dxa"/>
            <w:tcBorders>
              <w:top w:val="single" w:sz="2" w:space="0" w:color="auto"/>
              <w:left w:val="single" w:sz="2" w:space="0" w:color="auto"/>
              <w:bottom w:val="single" w:sz="2" w:space="0" w:color="auto"/>
              <w:right w:val="single" w:sz="2" w:space="0" w:color="auto"/>
            </w:tcBorders>
          </w:tcPr>
          <w:p w14:paraId="361A69E5" w14:textId="77777777" w:rsidR="009F4766" w:rsidRPr="00DE12A3" w:rsidRDefault="009F4766" w:rsidP="00C917D6">
            <w:pPr>
              <w:pStyle w:val="NormalLeft"/>
            </w:pPr>
            <w:r w:rsidRPr="00DE12A3">
              <w:t>809</w:t>
            </w:r>
          </w:p>
        </w:tc>
        <w:tc>
          <w:tcPr>
            <w:tcW w:w="2489" w:type="dxa"/>
            <w:tcBorders>
              <w:top w:val="single" w:sz="2" w:space="0" w:color="auto"/>
              <w:left w:val="single" w:sz="2" w:space="0" w:color="auto"/>
              <w:bottom w:val="single" w:sz="2" w:space="0" w:color="auto"/>
              <w:right w:val="single" w:sz="2" w:space="0" w:color="auto"/>
            </w:tcBorders>
          </w:tcPr>
          <w:p w14:paraId="2E5D4E62" w14:textId="77777777" w:rsidR="009F4766" w:rsidRPr="00DE12A3" w:rsidRDefault="009F4766" w:rsidP="00C917D6">
            <w:pPr>
              <w:pStyle w:val="NormalLeft"/>
            </w:pPr>
            <w:r w:rsidRPr="00DE12A3">
              <w:t>105</w:t>
            </w:r>
          </w:p>
        </w:tc>
        <w:tc>
          <w:tcPr>
            <w:tcW w:w="2551" w:type="dxa"/>
            <w:tcBorders>
              <w:top w:val="single" w:sz="2" w:space="0" w:color="auto"/>
              <w:left w:val="single" w:sz="2" w:space="0" w:color="auto"/>
              <w:bottom w:val="single" w:sz="2" w:space="0" w:color="auto"/>
              <w:right w:val="single" w:sz="2" w:space="0" w:color="auto"/>
            </w:tcBorders>
          </w:tcPr>
          <w:p w14:paraId="4C94D76C" w14:textId="77777777" w:rsidR="009F4766" w:rsidRPr="00DE12A3" w:rsidRDefault="009F4766" w:rsidP="00C917D6">
            <w:pPr>
              <w:pStyle w:val="NormalLeft"/>
            </w:pPr>
            <w:r w:rsidRPr="00DE12A3">
              <w:t>95</w:t>
            </w:r>
          </w:p>
        </w:tc>
      </w:tr>
      <w:tr w:rsidR="00DE12A3" w:rsidRPr="00DE12A3" w14:paraId="6455D5A0" w14:textId="77777777" w:rsidTr="009F4766">
        <w:tc>
          <w:tcPr>
            <w:tcW w:w="1182" w:type="dxa"/>
            <w:tcBorders>
              <w:top w:val="single" w:sz="2" w:space="0" w:color="auto"/>
              <w:left w:val="single" w:sz="2" w:space="0" w:color="auto"/>
              <w:bottom w:val="single" w:sz="2" w:space="0" w:color="auto"/>
              <w:right w:val="single" w:sz="2" w:space="0" w:color="auto"/>
            </w:tcBorders>
          </w:tcPr>
          <w:p w14:paraId="328F274C" w14:textId="77777777" w:rsidR="009F4766" w:rsidRPr="00DE12A3" w:rsidRDefault="009F4766" w:rsidP="00C917D6">
            <w:pPr>
              <w:pStyle w:val="NormalLeft"/>
            </w:pPr>
            <w:r w:rsidRPr="00DE12A3">
              <w:t>810</w:t>
            </w:r>
          </w:p>
        </w:tc>
        <w:tc>
          <w:tcPr>
            <w:tcW w:w="2489" w:type="dxa"/>
            <w:tcBorders>
              <w:top w:val="single" w:sz="2" w:space="0" w:color="auto"/>
              <w:left w:val="single" w:sz="2" w:space="0" w:color="auto"/>
              <w:bottom w:val="single" w:sz="2" w:space="0" w:color="auto"/>
              <w:right w:val="single" w:sz="2" w:space="0" w:color="auto"/>
            </w:tcBorders>
          </w:tcPr>
          <w:p w14:paraId="38E35B1D" w14:textId="77777777" w:rsidR="009F4766" w:rsidRPr="00DE12A3" w:rsidRDefault="009F4766" w:rsidP="00C917D6">
            <w:pPr>
              <w:pStyle w:val="NormalLeft"/>
            </w:pPr>
            <w:r w:rsidRPr="00DE12A3">
              <w:t>105</w:t>
            </w:r>
          </w:p>
        </w:tc>
        <w:tc>
          <w:tcPr>
            <w:tcW w:w="2551" w:type="dxa"/>
            <w:tcBorders>
              <w:top w:val="single" w:sz="2" w:space="0" w:color="auto"/>
              <w:left w:val="single" w:sz="2" w:space="0" w:color="auto"/>
              <w:bottom w:val="single" w:sz="2" w:space="0" w:color="auto"/>
              <w:right w:val="single" w:sz="2" w:space="0" w:color="auto"/>
            </w:tcBorders>
          </w:tcPr>
          <w:p w14:paraId="052B2C79" w14:textId="77777777" w:rsidR="009F4766" w:rsidRPr="00DE12A3" w:rsidRDefault="009F4766" w:rsidP="00C917D6">
            <w:pPr>
              <w:pStyle w:val="NormalLeft"/>
            </w:pPr>
            <w:r w:rsidRPr="00DE12A3">
              <w:t>96</w:t>
            </w:r>
          </w:p>
        </w:tc>
      </w:tr>
      <w:tr w:rsidR="00DE12A3" w:rsidRPr="00DE12A3" w14:paraId="52370FFB" w14:textId="77777777" w:rsidTr="009F4766">
        <w:tc>
          <w:tcPr>
            <w:tcW w:w="1182" w:type="dxa"/>
            <w:tcBorders>
              <w:top w:val="single" w:sz="2" w:space="0" w:color="auto"/>
              <w:left w:val="single" w:sz="2" w:space="0" w:color="auto"/>
              <w:bottom w:val="single" w:sz="2" w:space="0" w:color="auto"/>
              <w:right w:val="single" w:sz="2" w:space="0" w:color="auto"/>
            </w:tcBorders>
          </w:tcPr>
          <w:p w14:paraId="4BF159C1" w14:textId="77777777" w:rsidR="009F4766" w:rsidRPr="00DE12A3" w:rsidRDefault="009F4766" w:rsidP="00C917D6">
            <w:pPr>
              <w:pStyle w:val="NormalLeft"/>
            </w:pPr>
            <w:r w:rsidRPr="00DE12A3">
              <w:t>811</w:t>
            </w:r>
          </w:p>
        </w:tc>
        <w:tc>
          <w:tcPr>
            <w:tcW w:w="2489" w:type="dxa"/>
            <w:tcBorders>
              <w:top w:val="single" w:sz="2" w:space="0" w:color="auto"/>
              <w:left w:val="single" w:sz="2" w:space="0" w:color="auto"/>
              <w:bottom w:val="single" w:sz="2" w:space="0" w:color="auto"/>
              <w:right w:val="single" w:sz="2" w:space="0" w:color="auto"/>
            </w:tcBorders>
          </w:tcPr>
          <w:p w14:paraId="050D19E8" w14:textId="77777777" w:rsidR="009F4766" w:rsidRPr="00DE12A3" w:rsidRDefault="009F4766" w:rsidP="00C917D6">
            <w:pPr>
              <w:pStyle w:val="NormalLeft"/>
            </w:pPr>
            <w:r w:rsidRPr="00DE12A3">
              <w:t>105</w:t>
            </w:r>
          </w:p>
        </w:tc>
        <w:tc>
          <w:tcPr>
            <w:tcW w:w="2551" w:type="dxa"/>
            <w:tcBorders>
              <w:top w:val="single" w:sz="2" w:space="0" w:color="auto"/>
              <w:left w:val="single" w:sz="2" w:space="0" w:color="auto"/>
              <w:bottom w:val="single" w:sz="2" w:space="0" w:color="auto"/>
              <w:right w:val="single" w:sz="2" w:space="0" w:color="auto"/>
            </w:tcBorders>
          </w:tcPr>
          <w:p w14:paraId="62A7961F" w14:textId="77777777" w:rsidR="009F4766" w:rsidRPr="00DE12A3" w:rsidRDefault="009F4766" w:rsidP="00C917D6">
            <w:pPr>
              <w:pStyle w:val="NormalLeft"/>
            </w:pPr>
            <w:r w:rsidRPr="00DE12A3">
              <w:t>92</w:t>
            </w:r>
          </w:p>
        </w:tc>
      </w:tr>
      <w:tr w:rsidR="00DE12A3" w:rsidRPr="00DE12A3" w14:paraId="05A267EA" w14:textId="77777777" w:rsidTr="009F4766">
        <w:tc>
          <w:tcPr>
            <w:tcW w:w="1182" w:type="dxa"/>
            <w:tcBorders>
              <w:top w:val="single" w:sz="2" w:space="0" w:color="auto"/>
              <w:left w:val="single" w:sz="2" w:space="0" w:color="auto"/>
              <w:bottom w:val="single" w:sz="2" w:space="0" w:color="auto"/>
              <w:right w:val="single" w:sz="2" w:space="0" w:color="auto"/>
            </w:tcBorders>
          </w:tcPr>
          <w:p w14:paraId="256CFF87" w14:textId="77777777" w:rsidR="009F4766" w:rsidRPr="00DE12A3" w:rsidRDefault="009F4766" w:rsidP="00C917D6">
            <w:pPr>
              <w:pStyle w:val="NormalLeft"/>
            </w:pPr>
            <w:r w:rsidRPr="00DE12A3">
              <w:lastRenderedPageBreak/>
              <w:t>812</w:t>
            </w:r>
          </w:p>
        </w:tc>
        <w:tc>
          <w:tcPr>
            <w:tcW w:w="2489" w:type="dxa"/>
            <w:tcBorders>
              <w:top w:val="single" w:sz="2" w:space="0" w:color="auto"/>
              <w:left w:val="single" w:sz="2" w:space="0" w:color="auto"/>
              <w:bottom w:val="single" w:sz="2" w:space="0" w:color="auto"/>
              <w:right w:val="single" w:sz="2" w:space="0" w:color="auto"/>
            </w:tcBorders>
          </w:tcPr>
          <w:p w14:paraId="6193B4BC" w14:textId="77777777" w:rsidR="009F4766" w:rsidRPr="00DE12A3" w:rsidRDefault="009F4766" w:rsidP="00C917D6">
            <w:pPr>
              <w:pStyle w:val="NormalLeft"/>
            </w:pPr>
            <w:r w:rsidRPr="00DE12A3">
              <w:t>104</w:t>
            </w:r>
          </w:p>
        </w:tc>
        <w:tc>
          <w:tcPr>
            <w:tcW w:w="2551" w:type="dxa"/>
            <w:tcBorders>
              <w:top w:val="single" w:sz="2" w:space="0" w:color="auto"/>
              <w:left w:val="single" w:sz="2" w:space="0" w:color="auto"/>
              <w:bottom w:val="single" w:sz="2" w:space="0" w:color="auto"/>
              <w:right w:val="single" w:sz="2" w:space="0" w:color="auto"/>
            </w:tcBorders>
          </w:tcPr>
          <w:p w14:paraId="7A897034" w14:textId="77777777" w:rsidR="009F4766" w:rsidRPr="00DE12A3" w:rsidRDefault="009F4766" w:rsidP="00C917D6">
            <w:pPr>
              <w:pStyle w:val="NormalLeft"/>
            </w:pPr>
            <w:r w:rsidRPr="00DE12A3">
              <w:t>97</w:t>
            </w:r>
          </w:p>
        </w:tc>
      </w:tr>
      <w:tr w:rsidR="00DE12A3" w:rsidRPr="00DE12A3" w14:paraId="2AF66708" w14:textId="77777777" w:rsidTr="009F4766">
        <w:tc>
          <w:tcPr>
            <w:tcW w:w="1182" w:type="dxa"/>
            <w:tcBorders>
              <w:top w:val="single" w:sz="2" w:space="0" w:color="auto"/>
              <w:left w:val="single" w:sz="2" w:space="0" w:color="auto"/>
              <w:bottom w:val="single" w:sz="2" w:space="0" w:color="auto"/>
              <w:right w:val="single" w:sz="2" w:space="0" w:color="auto"/>
            </w:tcBorders>
          </w:tcPr>
          <w:p w14:paraId="42793A93" w14:textId="77777777" w:rsidR="009F4766" w:rsidRPr="00DE12A3" w:rsidRDefault="009F4766" w:rsidP="00C917D6">
            <w:pPr>
              <w:pStyle w:val="NormalLeft"/>
            </w:pPr>
            <w:r w:rsidRPr="00DE12A3">
              <w:t>813</w:t>
            </w:r>
          </w:p>
        </w:tc>
        <w:tc>
          <w:tcPr>
            <w:tcW w:w="2489" w:type="dxa"/>
            <w:tcBorders>
              <w:top w:val="single" w:sz="2" w:space="0" w:color="auto"/>
              <w:left w:val="single" w:sz="2" w:space="0" w:color="auto"/>
              <w:bottom w:val="single" w:sz="2" w:space="0" w:color="auto"/>
              <w:right w:val="single" w:sz="2" w:space="0" w:color="auto"/>
            </w:tcBorders>
          </w:tcPr>
          <w:p w14:paraId="3FC8E694" w14:textId="77777777" w:rsidR="009F4766" w:rsidRPr="00DE12A3" w:rsidRDefault="009F4766" w:rsidP="00C917D6">
            <w:pPr>
              <w:pStyle w:val="NormalLeft"/>
            </w:pPr>
            <w:r w:rsidRPr="00DE12A3">
              <w:t>100</w:t>
            </w:r>
          </w:p>
        </w:tc>
        <w:tc>
          <w:tcPr>
            <w:tcW w:w="2551" w:type="dxa"/>
            <w:tcBorders>
              <w:top w:val="single" w:sz="2" w:space="0" w:color="auto"/>
              <w:left w:val="single" w:sz="2" w:space="0" w:color="auto"/>
              <w:bottom w:val="single" w:sz="2" w:space="0" w:color="auto"/>
              <w:right w:val="single" w:sz="2" w:space="0" w:color="auto"/>
            </w:tcBorders>
          </w:tcPr>
          <w:p w14:paraId="1942990E" w14:textId="77777777" w:rsidR="009F4766" w:rsidRPr="00DE12A3" w:rsidRDefault="009F4766" w:rsidP="00C917D6">
            <w:pPr>
              <w:pStyle w:val="NormalLeft"/>
            </w:pPr>
            <w:r w:rsidRPr="00DE12A3">
              <w:t>85</w:t>
            </w:r>
          </w:p>
        </w:tc>
      </w:tr>
      <w:tr w:rsidR="00DE12A3" w:rsidRPr="00DE12A3" w14:paraId="32984F33" w14:textId="77777777" w:rsidTr="009F4766">
        <w:tc>
          <w:tcPr>
            <w:tcW w:w="1182" w:type="dxa"/>
            <w:tcBorders>
              <w:top w:val="single" w:sz="2" w:space="0" w:color="auto"/>
              <w:left w:val="single" w:sz="2" w:space="0" w:color="auto"/>
              <w:bottom w:val="single" w:sz="2" w:space="0" w:color="auto"/>
              <w:right w:val="single" w:sz="2" w:space="0" w:color="auto"/>
            </w:tcBorders>
          </w:tcPr>
          <w:p w14:paraId="49DB798B" w14:textId="77777777" w:rsidR="009F4766" w:rsidRPr="00DE12A3" w:rsidRDefault="009F4766" w:rsidP="00C917D6">
            <w:pPr>
              <w:pStyle w:val="NormalLeft"/>
            </w:pPr>
            <w:r w:rsidRPr="00DE12A3">
              <w:t>814</w:t>
            </w:r>
          </w:p>
        </w:tc>
        <w:tc>
          <w:tcPr>
            <w:tcW w:w="2489" w:type="dxa"/>
            <w:tcBorders>
              <w:top w:val="single" w:sz="2" w:space="0" w:color="auto"/>
              <w:left w:val="single" w:sz="2" w:space="0" w:color="auto"/>
              <w:bottom w:val="single" w:sz="2" w:space="0" w:color="auto"/>
              <w:right w:val="single" w:sz="2" w:space="0" w:color="auto"/>
            </w:tcBorders>
          </w:tcPr>
          <w:p w14:paraId="03D2A8F5" w14:textId="77777777" w:rsidR="009F4766" w:rsidRPr="00DE12A3" w:rsidRDefault="009F4766" w:rsidP="00C917D6">
            <w:pPr>
              <w:pStyle w:val="NormalLeft"/>
            </w:pPr>
            <w:r w:rsidRPr="00DE12A3">
              <w:t>94</w:t>
            </w:r>
          </w:p>
        </w:tc>
        <w:tc>
          <w:tcPr>
            <w:tcW w:w="2551" w:type="dxa"/>
            <w:tcBorders>
              <w:top w:val="single" w:sz="2" w:space="0" w:color="auto"/>
              <w:left w:val="single" w:sz="2" w:space="0" w:color="auto"/>
              <w:bottom w:val="single" w:sz="2" w:space="0" w:color="auto"/>
              <w:right w:val="single" w:sz="2" w:space="0" w:color="auto"/>
            </w:tcBorders>
          </w:tcPr>
          <w:p w14:paraId="43A88237" w14:textId="77777777" w:rsidR="009F4766" w:rsidRPr="00DE12A3" w:rsidRDefault="009F4766" w:rsidP="00C917D6">
            <w:pPr>
              <w:pStyle w:val="NormalLeft"/>
            </w:pPr>
            <w:r w:rsidRPr="00DE12A3">
              <w:t>74</w:t>
            </w:r>
          </w:p>
        </w:tc>
      </w:tr>
      <w:tr w:rsidR="00DE12A3" w:rsidRPr="00DE12A3" w14:paraId="22DD273B" w14:textId="77777777" w:rsidTr="009F4766">
        <w:tc>
          <w:tcPr>
            <w:tcW w:w="1182" w:type="dxa"/>
            <w:tcBorders>
              <w:top w:val="single" w:sz="2" w:space="0" w:color="auto"/>
              <w:left w:val="single" w:sz="2" w:space="0" w:color="auto"/>
              <w:bottom w:val="single" w:sz="2" w:space="0" w:color="auto"/>
              <w:right w:val="single" w:sz="2" w:space="0" w:color="auto"/>
            </w:tcBorders>
          </w:tcPr>
          <w:p w14:paraId="18231B7D" w14:textId="77777777" w:rsidR="009F4766" w:rsidRPr="00DE12A3" w:rsidRDefault="009F4766" w:rsidP="00C917D6">
            <w:pPr>
              <w:pStyle w:val="NormalLeft"/>
            </w:pPr>
            <w:r w:rsidRPr="00DE12A3">
              <w:t>815</w:t>
            </w:r>
          </w:p>
        </w:tc>
        <w:tc>
          <w:tcPr>
            <w:tcW w:w="2489" w:type="dxa"/>
            <w:tcBorders>
              <w:top w:val="single" w:sz="2" w:space="0" w:color="auto"/>
              <w:left w:val="single" w:sz="2" w:space="0" w:color="auto"/>
              <w:bottom w:val="single" w:sz="2" w:space="0" w:color="auto"/>
              <w:right w:val="single" w:sz="2" w:space="0" w:color="auto"/>
            </w:tcBorders>
          </w:tcPr>
          <w:p w14:paraId="15E25A96" w14:textId="77777777" w:rsidR="009F4766" w:rsidRPr="00DE12A3" w:rsidRDefault="009F4766" w:rsidP="00C917D6">
            <w:pPr>
              <w:pStyle w:val="NormalLeft"/>
            </w:pPr>
            <w:r w:rsidRPr="00DE12A3">
              <w:t>87</w:t>
            </w:r>
          </w:p>
        </w:tc>
        <w:tc>
          <w:tcPr>
            <w:tcW w:w="2551" w:type="dxa"/>
            <w:tcBorders>
              <w:top w:val="single" w:sz="2" w:space="0" w:color="auto"/>
              <w:left w:val="single" w:sz="2" w:space="0" w:color="auto"/>
              <w:bottom w:val="single" w:sz="2" w:space="0" w:color="auto"/>
              <w:right w:val="single" w:sz="2" w:space="0" w:color="auto"/>
            </w:tcBorders>
          </w:tcPr>
          <w:p w14:paraId="27B9ED9B" w14:textId="77777777" w:rsidR="009F4766" w:rsidRPr="00DE12A3" w:rsidRDefault="009F4766" w:rsidP="00C917D6">
            <w:pPr>
              <w:pStyle w:val="NormalLeft"/>
            </w:pPr>
            <w:r w:rsidRPr="00DE12A3">
              <w:t>62</w:t>
            </w:r>
          </w:p>
        </w:tc>
      </w:tr>
      <w:tr w:rsidR="00DE12A3" w:rsidRPr="00DE12A3" w14:paraId="502DFE92" w14:textId="77777777" w:rsidTr="009F4766">
        <w:tc>
          <w:tcPr>
            <w:tcW w:w="1182" w:type="dxa"/>
            <w:tcBorders>
              <w:top w:val="single" w:sz="2" w:space="0" w:color="auto"/>
              <w:left w:val="single" w:sz="2" w:space="0" w:color="auto"/>
              <w:bottom w:val="single" w:sz="2" w:space="0" w:color="auto"/>
              <w:right w:val="single" w:sz="2" w:space="0" w:color="auto"/>
            </w:tcBorders>
          </w:tcPr>
          <w:p w14:paraId="1936C6B2" w14:textId="77777777" w:rsidR="009F4766" w:rsidRPr="00DE12A3" w:rsidRDefault="009F4766" w:rsidP="00C917D6">
            <w:pPr>
              <w:pStyle w:val="NormalLeft"/>
            </w:pPr>
            <w:r w:rsidRPr="00DE12A3">
              <w:t>816</w:t>
            </w:r>
          </w:p>
        </w:tc>
        <w:tc>
          <w:tcPr>
            <w:tcW w:w="2489" w:type="dxa"/>
            <w:tcBorders>
              <w:top w:val="single" w:sz="2" w:space="0" w:color="auto"/>
              <w:left w:val="single" w:sz="2" w:space="0" w:color="auto"/>
              <w:bottom w:val="single" w:sz="2" w:space="0" w:color="auto"/>
              <w:right w:val="single" w:sz="2" w:space="0" w:color="auto"/>
            </w:tcBorders>
          </w:tcPr>
          <w:p w14:paraId="65716058" w14:textId="77777777" w:rsidR="009F4766" w:rsidRPr="00DE12A3" w:rsidRDefault="009F4766" w:rsidP="00C917D6">
            <w:pPr>
              <w:pStyle w:val="NormalLeft"/>
            </w:pPr>
            <w:r w:rsidRPr="00DE12A3">
              <w:t>81</w:t>
            </w:r>
          </w:p>
        </w:tc>
        <w:tc>
          <w:tcPr>
            <w:tcW w:w="2551" w:type="dxa"/>
            <w:tcBorders>
              <w:top w:val="single" w:sz="2" w:space="0" w:color="auto"/>
              <w:left w:val="single" w:sz="2" w:space="0" w:color="auto"/>
              <w:bottom w:val="single" w:sz="2" w:space="0" w:color="auto"/>
              <w:right w:val="single" w:sz="2" w:space="0" w:color="auto"/>
            </w:tcBorders>
          </w:tcPr>
          <w:p w14:paraId="498A0D53" w14:textId="77777777" w:rsidR="009F4766" w:rsidRPr="00DE12A3" w:rsidRDefault="009F4766" w:rsidP="00C917D6">
            <w:pPr>
              <w:pStyle w:val="NormalLeft"/>
            </w:pPr>
            <w:r w:rsidRPr="00DE12A3">
              <w:t>50</w:t>
            </w:r>
          </w:p>
        </w:tc>
      </w:tr>
      <w:tr w:rsidR="00DE12A3" w:rsidRPr="00DE12A3" w14:paraId="40C74F4B" w14:textId="77777777" w:rsidTr="009F4766">
        <w:tc>
          <w:tcPr>
            <w:tcW w:w="1182" w:type="dxa"/>
            <w:tcBorders>
              <w:top w:val="single" w:sz="2" w:space="0" w:color="auto"/>
              <w:left w:val="single" w:sz="2" w:space="0" w:color="auto"/>
              <w:bottom w:val="single" w:sz="2" w:space="0" w:color="auto"/>
              <w:right w:val="single" w:sz="2" w:space="0" w:color="auto"/>
            </w:tcBorders>
          </w:tcPr>
          <w:p w14:paraId="0F8C0394" w14:textId="77777777" w:rsidR="009F4766" w:rsidRPr="00DE12A3" w:rsidRDefault="009F4766" w:rsidP="00C917D6">
            <w:pPr>
              <w:pStyle w:val="NormalLeft"/>
            </w:pPr>
            <w:r w:rsidRPr="00DE12A3">
              <w:t>817</w:t>
            </w:r>
          </w:p>
        </w:tc>
        <w:tc>
          <w:tcPr>
            <w:tcW w:w="2489" w:type="dxa"/>
            <w:tcBorders>
              <w:top w:val="single" w:sz="2" w:space="0" w:color="auto"/>
              <w:left w:val="single" w:sz="2" w:space="0" w:color="auto"/>
              <w:bottom w:val="single" w:sz="2" w:space="0" w:color="auto"/>
              <w:right w:val="single" w:sz="2" w:space="0" w:color="auto"/>
            </w:tcBorders>
          </w:tcPr>
          <w:p w14:paraId="097204C2" w14:textId="77777777" w:rsidR="009F4766" w:rsidRPr="00DE12A3" w:rsidRDefault="009F4766" w:rsidP="00C917D6">
            <w:pPr>
              <w:pStyle w:val="NormalLeft"/>
            </w:pPr>
            <w:r w:rsidRPr="00DE12A3">
              <w:t>81</w:t>
            </w:r>
          </w:p>
        </w:tc>
        <w:tc>
          <w:tcPr>
            <w:tcW w:w="2551" w:type="dxa"/>
            <w:tcBorders>
              <w:top w:val="single" w:sz="2" w:space="0" w:color="auto"/>
              <w:left w:val="single" w:sz="2" w:space="0" w:color="auto"/>
              <w:bottom w:val="single" w:sz="2" w:space="0" w:color="auto"/>
              <w:right w:val="single" w:sz="2" w:space="0" w:color="auto"/>
            </w:tcBorders>
          </w:tcPr>
          <w:p w14:paraId="762D3E98" w14:textId="77777777" w:rsidR="009F4766" w:rsidRPr="00DE12A3" w:rsidRDefault="009F4766" w:rsidP="00C917D6">
            <w:pPr>
              <w:pStyle w:val="NormalLeft"/>
            </w:pPr>
            <w:r w:rsidRPr="00DE12A3">
              <w:t>46</w:t>
            </w:r>
          </w:p>
        </w:tc>
      </w:tr>
      <w:tr w:rsidR="00DE12A3" w:rsidRPr="00DE12A3" w14:paraId="5C66002B" w14:textId="77777777" w:rsidTr="009F4766">
        <w:tc>
          <w:tcPr>
            <w:tcW w:w="1182" w:type="dxa"/>
            <w:tcBorders>
              <w:top w:val="single" w:sz="2" w:space="0" w:color="auto"/>
              <w:left w:val="single" w:sz="2" w:space="0" w:color="auto"/>
              <w:bottom w:val="single" w:sz="2" w:space="0" w:color="auto"/>
              <w:right w:val="single" w:sz="2" w:space="0" w:color="auto"/>
            </w:tcBorders>
          </w:tcPr>
          <w:p w14:paraId="3939D6AC" w14:textId="77777777" w:rsidR="009F4766" w:rsidRPr="00DE12A3" w:rsidRDefault="009F4766" w:rsidP="00C917D6">
            <w:pPr>
              <w:pStyle w:val="NormalLeft"/>
            </w:pPr>
            <w:r w:rsidRPr="00DE12A3">
              <w:t>818</w:t>
            </w:r>
          </w:p>
        </w:tc>
        <w:tc>
          <w:tcPr>
            <w:tcW w:w="2489" w:type="dxa"/>
            <w:tcBorders>
              <w:top w:val="single" w:sz="2" w:space="0" w:color="auto"/>
              <w:left w:val="single" w:sz="2" w:space="0" w:color="auto"/>
              <w:bottom w:val="single" w:sz="2" w:space="0" w:color="auto"/>
              <w:right w:val="single" w:sz="2" w:space="0" w:color="auto"/>
            </w:tcBorders>
          </w:tcPr>
          <w:p w14:paraId="7AED69EF" w14:textId="77777777" w:rsidR="009F4766" w:rsidRPr="00DE12A3" w:rsidRDefault="009F4766" w:rsidP="00C917D6">
            <w:pPr>
              <w:pStyle w:val="NormalLeft"/>
            </w:pPr>
            <w:r w:rsidRPr="00DE12A3">
              <w:t>80</w:t>
            </w:r>
          </w:p>
        </w:tc>
        <w:tc>
          <w:tcPr>
            <w:tcW w:w="2551" w:type="dxa"/>
            <w:tcBorders>
              <w:top w:val="single" w:sz="2" w:space="0" w:color="auto"/>
              <w:left w:val="single" w:sz="2" w:space="0" w:color="auto"/>
              <w:bottom w:val="single" w:sz="2" w:space="0" w:color="auto"/>
              <w:right w:val="single" w:sz="2" w:space="0" w:color="auto"/>
            </w:tcBorders>
          </w:tcPr>
          <w:p w14:paraId="0105F3C8" w14:textId="77777777" w:rsidR="009F4766" w:rsidRPr="00DE12A3" w:rsidRDefault="009F4766" w:rsidP="00C917D6">
            <w:pPr>
              <w:pStyle w:val="NormalLeft"/>
            </w:pPr>
            <w:r w:rsidRPr="00DE12A3">
              <w:t>39</w:t>
            </w:r>
          </w:p>
        </w:tc>
      </w:tr>
      <w:tr w:rsidR="00DE12A3" w:rsidRPr="00DE12A3" w14:paraId="230A26EF" w14:textId="77777777" w:rsidTr="009F4766">
        <w:tc>
          <w:tcPr>
            <w:tcW w:w="1182" w:type="dxa"/>
            <w:tcBorders>
              <w:top w:val="single" w:sz="2" w:space="0" w:color="auto"/>
              <w:left w:val="single" w:sz="2" w:space="0" w:color="auto"/>
              <w:bottom w:val="single" w:sz="2" w:space="0" w:color="auto"/>
              <w:right w:val="single" w:sz="2" w:space="0" w:color="auto"/>
            </w:tcBorders>
          </w:tcPr>
          <w:p w14:paraId="50215A85" w14:textId="77777777" w:rsidR="009F4766" w:rsidRPr="00DE12A3" w:rsidRDefault="009F4766" w:rsidP="00C917D6">
            <w:pPr>
              <w:pStyle w:val="NormalLeft"/>
            </w:pPr>
            <w:r w:rsidRPr="00DE12A3">
              <w:t>819</w:t>
            </w:r>
          </w:p>
        </w:tc>
        <w:tc>
          <w:tcPr>
            <w:tcW w:w="2489" w:type="dxa"/>
            <w:tcBorders>
              <w:top w:val="single" w:sz="2" w:space="0" w:color="auto"/>
              <w:left w:val="single" w:sz="2" w:space="0" w:color="auto"/>
              <w:bottom w:val="single" w:sz="2" w:space="0" w:color="auto"/>
              <w:right w:val="single" w:sz="2" w:space="0" w:color="auto"/>
            </w:tcBorders>
          </w:tcPr>
          <w:p w14:paraId="2A9A9103" w14:textId="77777777" w:rsidR="009F4766" w:rsidRPr="00DE12A3" w:rsidRDefault="009F4766" w:rsidP="00C917D6">
            <w:pPr>
              <w:pStyle w:val="NormalLeft"/>
            </w:pPr>
            <w:r w:rsidRPr="00DE12A3">
              <w:t>80</w:t>
            </w:r>
          </w:p>
        </w:tc>
        <w:tc>
          <w:tcPr>
            <w:tcW w:w="2551" w:type="dxa"/>
            <w:tcBorders>
              <w:top w:val="single" w:sz="2" w:space="0" w:color="auto"/>
              <w:left w:val="single" w:sz="2" w:space="0" w:color="auto"/>
              <w:bottom w:val="single" w:sz="2" w:space="0" w:color="auto"/>
              <w:right w:val="single" w:sz="2" w:space="0" w:color="auto"/>
            </w:tcBorders>
          </w:tcPr>
          <w:p w14:paraId="06B9DAC3" w14:textId="77777777" w:rsidR="009F4766" w:rsidRPr="00DE12A3" w:rsidRDefault="009F4766" w:rsidP="00C917D6">
            <w:pPr>
              <w:pStyle w:val="NormalLeft"/>
            </w:pPr>
            <w:r w:rsidRPr="00DE12A3">
              <w:t>32</w:t>
            </w:r>
          </w:p>
        </w:tc>
      </w:tr>
      <w:tr w:rsidR="00DE12A3" w:rsidRPr="00DE12A3" w14:paraId="52AA6543" w14:textId="77777777" w:rsidTr="009F4766">
        <w:tc>
          <w:tcPr>
            <w:tcW w:w="1182" w:type="dxa"/>
            <w:tcBorders>
              <w:top w:val="single" w:sz="2" w:space="0" w:color="auto"/>
              <w:left w:val="single" w:sz="2" w:space="0" w:color="auto"/>
              <w:bottom w:val="single" w:sz="2" w:space="0" w:color="auto"/>
              <w:right w:val="single" w:sz="2" w:space="0" w:color="auto"/>
            </w:tcBorders>
          </w:tcPr>
          <w:p w14:paraId="57846C39" w14:textId="77777777" w:rsidR="009F4766" w:rsidRPr="00DE12A3" w:rsidRDefault="009F4766" w:rsidP="00C917D6">
            <w:pPr>
              <w:pStyle w:val="NormalLeft"/>
            </w:pPr>
            <w:r w:rsidRPr="00DE12A3">
              <w:t>820</w:t>
            </w:r>
          </w:p>
        </w:tc>
        <w:tc>
          <w:tcPr>
            <w:tcW w:w="2489" w:type="dxa"/>
            <w:tcBorders>
              <w:top w:val="single" w:sz="2" w:space="0" w:color="auto"/>
              <w:left w:val="single" w:sz="2" w:space="0" w:color="auto"/>
              <w:bottom w:val="single" w:sz="2" w:space="0" w:color="auto"/>
              <w:right w:val="single" w:sz="2" w:space="0" w:color="auto"/>
            </w:tcBorders>
          </w:tcPr>
          <w:p w14:paraId="0E38B8E7" w14:textId="77777777" w:rsidR="009F4766" w:rsidRPr="00DE12A3" w:rsidRDefault="009F4766" w:rsidP="00C917D6">
            <w:pPr>
              <w:pStyle w:val="NormalLeft"/>
            </w:pPr>
            <w:r w:rsidRPr="00DE12A3">
              <w:t>81</w:t>
            </w:r>
          </w:p>
        </w:tc>
        <w:tc>
          <w:tcPr>
            <w:tcW w:w="2551" w:type="dxa"/>
            <w:tcBorders>
              <w:top w:val="single" w:sz="2" w:space="0" w:color="auto"/>
              <w:left w:val="single" w:sz="2" w:space="0" w:color="auto"/>
              <w:bottom w:val="single" w:sz="2" w:space="0" w:color="auto"/>
              <w:right w:val="single" w:sz="2" w:space="0" w:color="auto"/>
            </w:tcBorders>
          </w:tcPr>
          <w:p w14:paraId="311A2280" w14:textId="77777777" w:rsidR="009F4766" w:rsidRPr="00DE12A3" w:rsidRDefault="009F4766" w:rsidP="00C917D6">
            <w:pPr>
              <w:pStyle w:val="NormalLeft"/>
            </w:pPr>
            <w:r w:rsidRPr="00DE12A3">
              <w:t>28</w:t>
            </w:r>
          </w:p>
        </w:tc>
      </w:tr>
      <w:tr w:rsidR="00DE12A3" w:rsidRPr="00DE12A3" w14:paraId="4BE0681E" w14:textId="77777777" w:rsidTr="009F4766">
        <w:tc>
          <w:tcPr>
            <w:tcW w:w="1182" w:type="dxa"/>
            <w:tcBorders>
              <w:top w:val="single" w:sz="2" w:space="0" w:color="auto"/>
              <w:left w:val="single" w:sz="2" w:space="0" w:color="auto"/>
              <w:bottom w:val="single" w:sz="2" w:space="0" w:color="auto"/>
              <w:right w:val="single" w:sz="2" w:space="0" w:color="auto"/>
            </w:tcBorders>
          </w:tcPr>
          <w:p w14:paraId="6DFB903B" w14:textId="77777777" w:rsidR="009F4766" w:rsidRPr="00DE12A3" w:rsidRDefault="009F4766" w:rsidP="00C917D6">
            <w:pPr>
              <w:pStyle w:val="NormalLeft"/>
            </w:pPr>
            <w:r w:rsidRPr="00DE12A3">
              <w:t>821</w:t>
            </w:r>
          </w:p>
        </w:tc>
        <w:tc>
          <w:tcPr>
            <w:tcW w:w="2489" w:type="dxa"/>
            <w:tcBorders>
              <w:top w:val="single" w:sz="2" w:space="0" w:color="auto"/>
              <w:left w:val="single" w:sz="2" w:space="0" w:color="auto"/>
              <w:bottom w:val="single" w:sz="2" w:space="0" w:color="auto"/>
              <w:right w:val="single" w:sz="2" w:space="0" w:color="auto"/>
            </w:tcBorders>
          </w:tcPr>
          <w:p w14:paraId="66D91FEB" w14:textId="77777777" w:rsidR="009F4766" w:rsidRPr="00DE12A3" w:rsidRDefault="009F4766" w:rsidP="00C917D6">
            <w:pPr>
              <w:pStyle w:val="NormalLeft"/>
            </w:pPr>
            <w:r w:rsidRPr="00DE12A3">
              <w:t>80</w:t>
            </w:r>
          </w:p>
        </w:tc>
        <w:tc>
          <w:tcPr>
            <w:tcW w:w="2551" w:type="dxa"/>
            <w:tcBorders>
              <w:top w:val="single" w:sz="2" w:space="0" w:color="auto"/>
              <w:left w:val="single" w:sz="2" w:space="0" w:color="auto"/>
              <w:bottom w:val="single" w:sz="2" w:space="0" w:color="auto"/>
              <w:right w:val="single" w:sz="2" w:space="0" w:color="auto"/>
            </w:tcBorders>
          </w:tcPr>
          <w:p w14:paraId="32AA5735" w14:textId="77777777" w:rsidR="009F4766" w:rsidRPr="00DE12A3" w:rsidRDefault="009F4766" w:rsidP="00C917D6">
            <w:pPr>
              <w:pStyle w:val="NormalLeft"/>
            </w:pPr>
            <w:r w:rsidRPr="00DE12A3">
              <w:t>26</w:t>
            </w:r>
          </w:p>
        </w:tc>
      </w:tr>
      <w:tr w:rsidR="00DE12A3" w:rsidRPr="00DE12A3" w14:paraId="1D920742" w14:textId="77777777" w:rsidTr="009F4766">
        <w:tc>
          <w:tcPr>
            <w:tcW w:w="1182" w:type="dxa"/>
            <w:tcBorders>
              <w:top w:val="single" w:sz="2" w:space="0" w:color="auto"/>
              <w:left w:val="single" w:sz="2" w:space="0" w:color="auto"/>
              <w:bottom w:val="single" w:sz="2" w:space="0" w:color="auto"/>
              <w:right w:val="single" w:sz="2" w:space="0" w:color="auto"/>
            </w:tcBorders>
          </w:tcPr>
          <w:p w14:paraId="7B0714E5" w14:textId="77777777" w:rsidR="009F4766" w:rsidRPr="00DE12A3" w:rsidRDefault="009F4766" w:rsidP="00C917D6">
            <w:pPr>
              <w:pStyle w:val="NormalLeft"/>
            </w:pPr>
            <w:r w:rsidRPr="00DE12A3">
              <w:t>822</w:t>
            </w:r>
          </w:p>
        </w:tc>
        <w:tc>
          <w:tcPr>
            <w:tcW w:w="2489" w:type="dxa"/>
            <w:tcBorders>
              <w:top w:val="single" w:sz="2" w:space="0" w:color="auto"/>
              <w:left w:val="single" w:sz="2" w:space="0" w:color="auto"/>
              <w:bottom w:val="single" w:sz="2" w:space="0" w:color="auto"/>
              <w:right w:val="single" w:sz="2" w:space="0" w:color="auto"/>
            </w:tcBorders>
          </w:tcPr>
          <w:p w14:paraId="59B998C4" w14:textId="77777777" w:rsidR="009F4766" w:rsidRPr="00DE12A3" w:rsidRDefault="009F4766" w:rsidP="00C917D6">
            <w:pPr>
              <w:pStyle w:val="NormalLeft"/>
            </w:pPr>
            <w:r w:rsidRPr="00DE12A3">
              <w:t>80</w:t>
            </w:r>
          </w:p>
        </w:tc>
        <w:tc>
          <w:tcPr>
            <w:tcW w:w="2551" w:type="dxa"/>
            <w:tcBorders>
              <w:top w:val="single" w:sz="2" w:space="0" w:color="auto"/>
              <w:left w:val="single" w:sz="2" w:space="0" w:color="auto"/>
              <w:bottom w:val="single" w:sz="2" w:space="0" w:color="auto"/>
              <w:right w:val="single" w:sz="2" w:space="0" w:color="auto"/>
            </w:tcBorders>
          </w:tcPr>
          <w:p w14:paraId="40266F8B" w14:textId="77777777" w:rsidR="009F4766" w:rsidRPr="00DE12A3" w:rsidRDefault="009F4766" w:rsidP="00C917D6">
            <w:pPr>
              <w:pStyle w:val="NormalLeft"/>
            </w:pPr>
            <w:r w:rsidRPr="00DE12A3">
              <w:t>23</w:t>
            </w:r>
          </w:p>
        </w:tc>
      </w:tr>
      <w:tr w:rsidR="00DE12A3" w:rsidRPr="00DE12A3" w14:paraId="7473760E" w14:textId="77777777" w:rsidTr="009F4766">
        <w:tc>
          <w:tcPr>
            <w:tcW w:w="1182" w:type="dxa"/>
            <w:tcBorders>
              <w:top w:val="single" w:sz="2" w:space="0" w:color="auto"/>
              <w:left w:val="single" w:sz="2" w:space="0" w:color="auto"/>
              <w:bottom w:val="single" w:sz="2" w:space="0" w:color="auto"/>
              <w:right w:val="single" w:sz="2" w:space="0" w:color="auto"/>
            </w:tcBorders>
          </w:tcPr>
          <w:p w14:paraId="062D27B3" w14:textId="77777777" w:rsidR="009F4766" w:rsidRPr="00DE12A3" w:rsidRDefault="009F4766" w:rsidP="00C917D6">
            <w:pPr>
              <w:pStyle w:val="NormalLeft"/>
            </w:pPr>
            <w:r w:rsidRPr="00DE12A3">
              <w:t>823</w:t>
            </w:r>
          </w:p>
        </w:tc>
        <w:tc>
          <w:tcPr>
            <w:tcW w:w="2489" w:type="dxa"/>
            <w:tcBorders>
              <w:top w:val="single" w:sz="2" w:space="0" w:color="auto"/>
              <w:left w:val="single" w:sz="2" w:space="0" w:color="auto"/>
              <w:bottom w:val="single" w:sz="2" w:space="0" w:color="auto"/>
              <w:right w:val="single" w:sz="2" w:space="0" w:color="auto"/>
            </w:tcBorders>
          </w:tcPr>
          <w:p w14:paraId="0D58C4C3" w14:textId="77777777" w:rsidR="009F4766" w:rsidRPr="00DE12A3" w:rsidRDefault="009F4766" w:rsidP="00C917D6">
            <w:pPr>
              <w:pStyle w:val="NormalLeft"/>
            </w:pPr>
            <w:r w:rsidRPr="00DE12A3">
              <w:t>80</w:t>
            </w:r>
          </w:p>
        </w:tc>
        <w:tc>
          <w:tcPr>
            <w:tcW w:w="2551" w:type="dxa"/>
            <w:tcBorders>
              <w:top w:val="single" w:sz="2" w:space="0" w:color="auto"/>
              <w:left w:val="single" w:sz="2" w:space="0" w:color="auto"/>
              <w:bottom w:val="single" w:sz="2" w:space="0" w:color="auto"/>
              <w:right w:val="single" w:sz="2" w:space="0" w:color="auto"/>
            </w:tcBorders>
          </w:tcPr>
          <w:p w14:paraId="2181324D" w14:textId="77777777" w:rsidR="009F4766" w:rsidRPr="00DE12A3" w:rsidRDefault="009F4766" w:rsidP="00C917D6">
            <w:pPr>
              <w:pStyle w:val="NormalLeft"/>
            </w:pPr>
            <w:r w:rsidRPr="00DE12A3">
              <w:t>23</w:t>
            </w:r>
          </w:p>
        </w:tc>
      </w:tr>
      <w:tr w:rsidR="00DE12A3" w:rsidRPr="00DE12A3" w14:paraId="0BD57F6F" w14:textId="77777777" w:rsidTr="009F4766">
        <w:tc>
          <w:tcPr>
            <w:tcW w:w="1182" w:type="dxa"/>
            <w:tcBorders>
              <w:top w:val="single" w:sz="2" w:space="0" w:color="auto"/>
              <w:left w:val="single" w:sz="2" w:space="0" w:color="auto"/>
              <w:bottom w:val="single" w:sz="2" w:space="0" w:color="auto"/>
              <w:right w:val="single" w:sz="2" w:space="0" w:color="auto"/>
            </w:tcBorders>
          </w:tcPr>
          <w:p w14:paraId="0C84FF3C" w14:textId="77777777" w:rsidR="009F4766" w:rsidRPr="00DE12A3" w:rsidRDefault="009F4766" w:rsidP="00C917D6">
            <w:pPr>
              <w:pStyle w:val="NormalLeft"/>
            </w:pPr>
            <w:r w:rsidRPr="00DE12A3">
              <w:t>824</w:t>
            </w:r>
          </w:p>
        </w:tc>
        <w:tc>
          <w:tcPr>
            <w:tcW w:w="2489" w:type="dxa"/>
            <w:tcBorders>
              <w:top w:val="single" w:sz="2" w:space="0" w:color="auto"/>
              <w:left w:val="single" w:sz="2" w:space="0" w:color="auto"/>
              <w:bottom w:val="single" w:sz="2" w:space="0" w:color="auto"/>
              <w:right w:val="single" w:sz="2" w:space="0" w:color="auto"/>
            </w:tcBorders>
          </w:tcPr>
          <w:p w14:paraId="654055EB" w14:textId="77777777" w:rsidR="009F4766" w:rsidRPr="00DE12A3" w:rsidRDefault="009F4766" w:rsidP="00C917D6">
            <w:pPr>
              <w:pStyle w:val="NormalLeft"/>
            </w:pPr>
            <w:r w:rsidRPr="00DE12A3">
              <w:t>80</w:t>
            </w:r>
          </w:p>
        </w:tc>
        <w:tc>
          <w:tcPr>
            <w:tcW w:w="2551" w:type="dxa"/>
            <w:tcBorders>
              <w:top w:val="single" w:sz="2" w:space="0" w:color="auto"/>
              <w:left w:val="single" w:sz="2" w:space="0" w:color="auto"/>
              <w:bottom w:val="single" w:sz="2" w:space="0" w:color="auto"/>
              <w:right w:val="single" w:sz="2" w:space="0" w:color="auto"/>
            </w:tcBorders>
          </w:tcPr>
          <w:p w14:paraId="702D1041" w14:textId="77777777" w:rsidR="009F4766" w:rsidRPr="00DE12A3" w:rsidRDefault="009F4766" w:rsidP="00C917D6">
            <w:pPr>
              <w:pStyle w:val="NormalLeft"/>
            </w:pPr>
            <w:r w:rsidRPr="00DE12A3">
              <w:t>20</w:t>
            </w:r>
          </w:p>
        </w:tc>
      </w:tr>
      <w:tr w:rsidR="00DE12A3" w:rsidRPr="00DE12A3" w14:paraId="7B06F6C1" w14:textId="77777777" w:rsidTr="009F4766">
        <w:tc>
          <w:tcPr>
            <w:tcW w:w="1182" w:type="dxa"/>
            <w:tcBorders>
              <w:top w:val="single" w:sz="2" w:space="0" w:color="auto"/>
              <w:left w:val="single" w:sz="2" w:space="0" w:color="auto"/>
              <w:bottom w:val="single" w:sz="2" w:space="0" w:color="auto"/>
              <w:right w:val="single" w:sz="2" w:space="0" w:color="auto"/>
            </w:tcBorders>
          </w:tcPr>
          <w:p w14:paraId="18867581" w14:textId="77777777" w:rsidR="009F4766" w:rsidRPr="00DE12A3" w:rsidRDefault="009F4766" w:rsidP="00C917D6">
            <w:pPr>
              <w:pStyle w:val="NormalLeft"/>
            </w:pPr>
            <w:r w:rsidRPr="00DE12A3">
              <w:t>825</w:t>
            </w:r>
          </w:p>
        </w:tc>
        <w:tc>
          <w:tcPr>
            <w:tcW w:w="2489" w:type="dxa"/>
            <w:tcBorders>
              <w:top w:val="single" w:sz="2" w:space="0" w:color="auto"/>
              <w:left w:val="single" w:sz="2" w:space="0" w:color="auto"/>
              <w:bottom w:val="single" w:sz="2" w:space="0" w:color="auto"/>
              <w:right w:val="single" w:sz="2" w:space="0" w:color="auto"/>
            </w:tcBorders>
          </w:tcPr>
          <w:p w14:paraId="7956A7D5" w14:textId="77777777" w:rsidR="009F4766" w:rsidRPr="00DE12A3" w:rsidRDefault="009F4766" w:rsidP="00C917D6">
            <w:pPr>
              <w:pStyle w:val="NormalLeft"/>
            </w:pPr>
            <w:r w:rsidRPr="00DE12A3">
              <w:t>81</w:t>
            </w:r>
          </w:p>
        </w:tc>
        <w:tc>
          <w:tcPr>
            <w:tcW w:w="2551" w:type="dxa"/>
            <w:tcBorders>
              <w:top w:val="single" w:sz="2" w:space="0" w:color="auto"/>
              <w:left w:val="single" w:sz="2" w:space="0" w:color="auto"/>
              <w:bottom w:val="single" w:sz="2" w:space="0" w:color="auto"/>
              <w:right w:val="single" w:sz="2" w:space="0" w:color="auto"/>
            </w:tcBorders>
          </w:tcPr>
          <w:p w14:paraId="0C718BA5" w14:textId="77777777" w:rsidR="009F4766" w:rsidRPr="00DE12A3" w:rsidRDefault="009F4766" w:rsidP="00C917D6">
            <w:pPr>
              <w:pStyle w:val="NormalLeft"/>
            </w:pPr>
            <w:r w:rsidRPr="00DE12A3">
              <w:t>19</w:t>
            </w:r>
          </w:p>
        </w:tc>
      </w:tr>
      <w:tr w:rsidR="00DE12A3" w:rsidRPr="00DE12A3" w14:paraId="37AE7820" w14:textId="77777777" w:rsidTr="009F4766">
        <w:tc>
          <w:tcPr>
            <w:tcW w:w="1182" w:type="dxa"/>
            <w:tcBorders>
              <w:top w:val="single" w:sz="2" w:space="0" w:color="auto"/>
              <w:left w:val="single" w:sz="2" w:space="0" w:color="auto"/>
              <w:bottom w:val="single" w:sz="2" w:space="0" w:color="auto"/>
              <w:right w:val="single" w:sz="2" w:space="0" w:color="auto"/>
            </w:tcBorders>
          </w:tcPr>
          <w:p w14:paraId="553544B2" w14:textId="77777777" w:rsidR="009F4766" w:rsidRPr="00DE12A3" w:rsidRDefault="009F4766" w:rsidP="00C917D6">
            <w:pPr>
              <w:pStyle w:val="NormalLeft"/>
            </w:pPr>
            <w:r w:rsidRPr="00DE12A3">
              <w:t>826</w:t>
            </w:r>
          </w:p>
        </w:tc>
        <w:tc>
          <w:tcPr>
            <w:tcW w:w="2489" w:type="dxa"/>
            <w:tcBorders>
              <w:top w:val="single" w:sz="2" w:space="0" w:color="auto"/>
              <w:left w:val="single" w:sz="2" w:space="0" w:color="auto"/>
              <w:bottom w:val="single" w:sz="2" w:space="0" w:color="auto"/>
              <w:right w:val="single" w:sz="2" w:space="0" w:color="auto"/>
            </w:tcBorders>
          </w:tcPr>
          <w:p w14:paraId="779940CB" w14:textId="77777777" w:rsidR="009F4766" w:rsidRPr="00DE12A3" w:rsidRDefault="009F4766" w:rsidP="00C917D6">
            <w:pPr>
              <w:pStyle w:val="NormalLeft"/>
            </w:pPr>
            <w:r w:rsidRPr="00DE12A3">
              <w:t>80</w:t>
            </w:r>
          </w:p>
        </w:tc>
        <w:tc>
          <w:tcPr>
            <w:tcW w:w="2551" w:type="dxa"/>
            <w:tcBorders>
              <w:top w:val="single" w:sz="2" w:space="0" w:color="auto"/>
              <w:left w:val="single" w:sz="2" w:space="0" w:color="auto"/>
              <w:bottom w:val="single" w:sz="2" w:space="0" w:color="auto"/>
              <w:right w:val="single" w:sz="2" w:space="0" w:color="auto"/>
            </w:tcBorders>
          </w:tcPr>
          <w:p w14:paraId="4D57ADAC" w14:textId="77777777" w:rsidR="009F4766" w:rsidRPr="00DE12A3" w:rsidRDefault="009F4766" w:rsidP="00C917D6">
            <w:pPr>
              <w:pStyle w:val="NormalLeft"/>
            </w:pPr>
            <w:r w:rsidRPr="00DE12A3">
              <w:t>18</w:t>
            </w:r>
          </w:p>
        </w:tc>
      </w:tr>
      <w:tr w:rsidR="00DE12A3" w:rsidRPr="00DE12A3" w14:paraId="7A684A8D" w14:textId="77777777" w:rsidTr="009F4766">
        <w:tc>
          <w:tcPr>
            <w:tcW w:w="1182" w:type="dxa"/>
            <w:tcBorders>
              <w:top w:val="single" w:sz="2" w:space="0" w:color="auto"/>
              <w:left w:val="single" w:sz="2" w:space="0" w:color="auto"/>
              <w:bottom w:val="single" w:sz="2" w:space="0" w:color="auto"/>
              <w:right w:val="single" w:sz="2" w:space="0" w:color="auto"/>
            </w:tcBorders>
          </w:tcPr>
          <w:p w14:paraId="3B4338E5" w14:textId="77777777" w:rsidR="009F4766" w:rsidRPr="00DE12A3" w:rsidRDefault="009F4766" w:rsidP="00C917D6">
            <w:pPr>
              <w:pStyle w:val="NormalLeft"/>
            </w:pPr>
            <w:r w:rsidRPr="00DE12A3">
              <w:t>827</w:t>
            </w:r>
          </w:p>
        </w:tc>
        <w:tc>
          <w:tcPr>
            <w:tcW w:w="2489" w:type="dxa"/>
            <w:tcBorders>
              <w:top w:val="single" w:sz="2" w:space="0" w:color="auto"/>
              <w:left w:val="single" w:sz="2" w:space="0" w:color="auto"/>
              <w:bottom w:val="single" w:sz="2" w:space="0" w:color="auto"/>
              <w:right w:val="single" w:sz="2" w:space="0" w:color="auto"/>
            </w:tcBorders>
          </w:tcPr>
          <w:p w14:paraId="1CEA77CB" w14:textId="77777777" w:rsidR="009F4766" w:rsidRPr="00DE12A3" w:rsidRDefault="009F4766" w:rsidP="00C917D6">
            <w:pPr>
              <w:pStyle w:val="NormalLeft"/>
            </w:pPr>
            <w:r w:rsidRPr="00DE12A3">
              <w:t>81</w:t>
            </w:r>
          </w:p>
        </w:tc>
        <w:tc>
          <w:tcPr>
            <w:tcW w:w="2551" w:type="dxa"/>
            <w:tcBorders>
              <w:top w:val="single" w:sz="2" w:space="0" w:color="auto"/>
              <w:left w:val="single" w:sz="2" w:space="0" w:color="auto"/>
              <w:bottom w:val="single" w:sz="2" w:space="0" w:color="auto"/>
              <w:right w:val="single" w:sz="2" w:space="0" w:color="auto"/>
            </w:tcBorders>
          </w:tcPr>
          <w:p w14:paraId="6A026EFA" w14:textId="77777777" w:rsidR="009F4766" w:rsidRPr="00DE12A3" w:rsidRDefault="009F4766" w:rsidP="00C917D6">
            <w:pPr>
              <w:pStyle w:val="NormalLeft"/>
            </w:pPr>
            <w:r w:rsidRPr="00DE12A3">
              <w:t>17</w:t>
            </w:r>
          </w:p>
        </w:tc>
      </w:tr>
      <w:tr w:rsidR="00DE12A3" w:rsidRPr="00DE12A3" w14:paraId="3ABC90A4" w14:textId="77777777" w:rsidTr="009F4766">
        <w:tc>
          <w:tcPr>
            <w:tcW w:w="1182" w:type="dxa"/>
            <w:tcBorders>
              <w:top w:val="single" w:sz="2" w:space="0" w:color="auto"/>
              <w:left w:val="single" w:sz="2" w:space="0" w:color="auto"/>
              <w:bottom w:val="single" w:sz="2" w:space="0" w:color="auto"/>
              <w:right w:val="single" w:sz="2" w:space="0" w:color="auto"/>
            </w:tcBorders>
          </w:tcPr>
          <w:p w14:paraId="0E010C58" w14:textId="77777777" w:rsidR="009F4766" w:rsidRPr="00DE12A3" w:rsidRDefault="009F4766" w:rsidP="00C917D6">
            <w:pPr>
              <w:pStyle w:val="NormalLeft"/>
            </w:pPr>
            <w:r w:rsidRPr="00DE12A3">
              <w:t>828</w:t>
            </w:r>
          </w:p>
        </w:tc>
        <w:tc>
          <w:tcPr>
            <w:tcW w:w="2489" w:type="dxa"/>
            <w:tcBorders>
              <w:top w:val="single" w:sz="2" w:space="0" w:color="auto"/>
              <w:left w:val="single" w:sz="2" w:space="0" w:color="auto"/>
              <w:bottom w:val="single" w:sz="2" w:space="0" w:color="auto"/>
              <w:right w:val="single" w:sz="2" w:space="0" w:color="auto"/>
            </w:tcBorders>
          </w:tcPr>
          <w:p w14:paraId="59434F07" w14:textId="77777777" w:rsidR="009F4766" w:rsidRPr="00DE12A3" w:rsidRDefault="009F4766" w:rsidP="00C917D6">
            <w:pPr>
              <w:pStyle w:val="NormalLeft"/>
            </w:pPr>
            <w:r w:rsidRPr="00DE12A3">
              <w:t>80</w:t>
            </w:r>
          </w:p>
        </w:tc>
        <w:tc>
          <w:tcPr>
            <w:tcW w:w="2551" w:type="dxa"/>
            <w:tcBorders>
              <w:top w:val="single" w:sz="2" w:space="0" w:color="auto"/>
              <w:left w:val="single" w:sz="2" w:space="0" w:color="auto"/>
              <w:bottom w:val="single" w:sz="2" w:space="0" w:color="auto"/>
              <w:right w:val="single" w:sz="2" w:space="0" w:color="auto"/>
            </w:tcBorders>
          </w:tcPr>
          <w:p w14:paraId="063BAF31" w14:textId="77777777" w:rsidR="009F4766" w:rsidRPr="00DE12A3" w:rsidRDefault="009F4766" w:rsidP="00C917D6">
            <w:pPr>
              <w:pStyle w:val="NormalLeft"/>
            </w:pPr>
            <w:r w:rsidRPr="00DE12A3">
              <w:t>20</w:t>
            </w:r>
          </w:p>
        </w:tc>
      </w:tr>
      <w:tr w:rsidR="00DE12A3" w:rsidRPr="00DE12A3" w14:paraId="5609DA60" w14:textId="77777777" w:rsidTr="009F4766">
        <w:tc>
          <w:tcPr>
            <w:tcW w:w="1182" w:type="dxa"/>
            <w:tcBorders>
              <w:top w:val="single" w:sz="2" w:space="0" w:color="auto"/>
              <w:left w:val="single" w:sz="2" w:space="0" w:color="auto"/>
              <w:bottom w:val="single" w:sz="2" w:space="0" w:color="auto"/>
              <w:right w:val="single" w:sz="2" w:space="0" w:color="auto"/>
            </w:tcBorders>
          </w:tcPr>
          <w:p w14:paraId="6F05B300" w14:textId="77777777" w:rsidR="009F4766" w:rsidRPr="00DE12A3" w:rsidRDefault="009F4766" w:rsidP="00C917D6">
            <w:pPr>
              <w:pStyle w:val="NormalLeft"/>
            </w:pPr>
            <w:r w:rsidRPr="00DE12A3">
              <w:t>829</w:t>
            </w:r>
          </w:p>
        </w:tc>
        <w:tc>
          <w:tcPr>
            <w:tcW w:w="2489" w:type="dxa"/>
            <w:tcBorders>
              <w:top w:val="single" w:sz="2" w:space="0" w:color="auto"/>
              <w:left w:val="single" w:sz="2" w:space="0" w:color="auto"/>
              <w:bottom w:val="single" w:sz="2" w:space="0" w:color="auto"/>
              <w:right w:val="single" w:sz="2" w:space="0" w:color="auto"/>
            </w:tcBorders>
          </w:tcPr>
          <w:p w14:paraId="48B0F585" w14:textId="77777777" w:rsidR="009F4766" w:rsidRPr="00DE12A3" w:rsidRDefault="009F4766" w:rsidP="00C917D6">
            <w:pPr>
              <w:pStyle w:val="NormalLeft"/>
            </w:pPr>
            <w:r w:rsidRPr="00DE12A3">
              <w:t>81</w:t>
            </w:r>
          </w:p>
        </w:tc>
        <w:tc>
          <w:tcPr>
            <w:tcW w:w="2551" w:type="dxa"/>
            <w:tcBorders>
              <w:top w:val="single" w:sz="2" w:space="0" w:color="auto"/>
              <w:left w:val="single" w:sz="2" w:space="0" w:color="auto"/>
              <w:bottom w:val="single" w:sz="2" w:space="0" w:color="auto"/>
              <w:right w:val="single" w:sz="2" w:space="0" w:color="auto"/>
            </w:tcBorders>
          </w:tcPr>
          <w:p w14:paraId="47C7C628" w14:textId="77777777" w:rsidR="009F4766" w:rsidRPr="00DE12A3" w:rsidRDefault="009F4766" w:rsidP="00C917D6">
            <w:pPr>
              <w:pStyle w:val="NormalLeft"/>
            </w:pPr>
            <w:r w:rsidRPr="00DE12A3">
              <w:t>24</w:t>
            </w:r>
          </w:p>
        </w:tc>
      </w:tr>
      <w:tr w:rsidR="00DE12A3" w:rsidRPr="00DE12A3" w14:paraId="1A401ADB" w14:textId="77777777" w:rsidTr="009F4766">
        <w:tc>
          <w:tcPr>
            <w:tcW w:w="1182" w:type="dxa"/>
            <w:tcBorders>
              <w:top w:val="single" w:sz="2" w:space="0" w:color="auto"/>
              <w:left w:val="single" w:sz="2" w:space="0" w:color="auto"/>
              <w:bottom w:val="single" w:sz="2" w:space="0" w:color="auto"/>
              <w:right w:val="single" w:sz="2" w:space="0" w:color="auto"/>
            </w:tcBorders>
          </w:tcPr>
          <w:p w14:paraId="530B79A7" w14:textId="77777777" w:rsidR="009F4766" w:rsidRPr="00DE12A3" w:rsidRDefault="009F4766" w:rsidP="00C917D6">
            <w:pPr>
              <w:pStyle w:val="NormalLeft"/>
            </w:pPr>
            <w:r w:rsidRPr="00DE12A3">
              <w:t>830</w:t>
            </w:r>
          </w:p>
        </w:tc>
        <w:tc>
          <w:tcPr>
            <w:tcW w:w="2489" w:type="dxa"/>
            <w:tcBorders>
              <w:top w:val="single" w:sz="2" w:space="0" w:color="auto"/>
              <w:left w:val="single" w:sz="2" w:space="0" w:color="auto"/>
              <w:bottom w:val="single" w:sz="2" w:space="0" w:color="auto"/>
              <w:right w:val="single" w:sz="2" w:space="0" w:color="auto"/>
            </w:tcBorders>
          </w:tcPr>
          <w:p w14:paraId="7A46E144" w14:textId="77777777" w:rsidR="009F4766" w:rsidRPr="00DE12A3" w:rsidRDefault="009F4766" w:rsidP="00C917D6">
            <w:pPr>
              <w:pStyle w:val="NormalLeft"/>
            </w:pPr>
            <w:r w:rsidRPr="00DE12A3">
              <w:t>81</w:t>
            </w:r>
          </w:p>
        </w:tc>
        <w:tc>
          <w:tcPr>
            <w:tcW w:w="2551" w:type="dxa"/>
            <w:tcBorders>
              <w:top w:val="single" w:sz="2" w:space="0" w:color="auto"/>
              <w:left w:val="single" w:sz="2" w:space="0" w:color="auto"/>
              <w:bottom w:val="single" w:sz="2" w:space="0" w:color="auto"/>
              <w:right w:val="single" w:sz="2" w:space="0" w:color="auto"/>
            </w:tcBorders>
          </w:tcPr>
          <w:p w14:paraId="0C3CF999" w14:textId="77777777" w:rsidR="009F4766" w:rsidRPr="00DE12A3" w:rsidRDefault="009F4766" w:rsidP="00C917D6">
            <w:pPr>
              <w:pStyle w:val="NormalLeft"/>
            </w:pPr>
            <w:r w:rsidRPr="00DE12A3">
              <w:t>21</w:t>
            </w:r>
          </w:p>
        </w:tc>
      </w:tr>
      <w:tr w:rsidR="00DE12A3" w:rsidRPr="00DE12A3" w14:paraId="311C3190" w14:textId="77777777" w:rsidTr="009F4766">
        <w:tc>
          <w:tcPr>
            <w:tcW w:w="1182" w:type="dxa"/>
            <w:tcBorders>
              <w:top w:val="single" w:sz="2" w:space="0" w:color="auto"/>
              <w:left w:val="single" w:sz="2" w:space="0" w:color="auto"/>
              <w:bottom w:val="single" w:sz="2" w:space="0" w:color="auto"/>
              <w:right w:val="single" w:sz="2" w:space="0" w:color="auto"/>
            </w:tcBorders>
          </w:tcPr>
          <w:p w14:paraId="285306D9" w14:textId="77777777" w:rsidR="009F4766" w:rsidRPr="00DE12A3" w:rsidRDefault="009F4766" w:rsidP="00C917D6">
            <w:pPr>
              <w:pStyle w:val="NormalLeft"/>
            </w:pPr>
            <w:r w:rsidRPr="00DE12A3">
              <w:t>831</w:t>
            </w:r>
          </w:p>
        </w:tc>
        <w:tc>
          <w:tcPr>
            <w:tcW w:w="2489" w:type="dxa"/>
            <w:tcBorders>
              <w:top w:val="single" w:sz="2" w:space="0" w:color="auto"/>
              <w:left w:val="single" w:sz="2" w:space="0" w:color="auto"/>
              <w:bottom w:val="single" w:sz="2" w:space="0" w:color="auto"/>
              <w:right w:val="single" w:sz="2" w:space="0" w:color="auto"/>
            </w:tcBorders>
          </w:tcPr>
          <w:p w14:paraId="143A6AA8" w14:textId="77777777" w:rsidR="009F4766" w:rsidRPr="00DE12A3" w:rsidRDefault="009F4766" w:rsidP="00C917D6">
            <w:pPr>
              <w:pStyle w:val="NormalLeft"/>
            </w:pPr>
            <w:r w:rsidRPr="00DE12A3">
              <w:t>80</w:t>
            </w:r>
          </w:p>
        </w:tc>
        <w:tc>
          <w:tcPr>
            <w:tcW w:w="2551" w:type="dxa"/>
            <w:tcBorders>
              <w:top w:val="single" w:sz="2" w:space="0" w:color="auto"/>
              <w:left w:val="single" w:sz="2" w:space="0" w:color="auto"/>
              <w:bottom w:val="single" w:sz="2" w:space="0" w:color="auto"/>
              <w:right w:val="single" w:sz="2" w:space="0" w:color="auto"/>
            </w:tcBorders>
          </w:tcPr>
          <w:p w14:paraId="201A6EDF" w14:textId="77777777" w:rsidR="009F4766" w:rsidRPr="00DE12A3" w:rsidRDefault="009F4766" w:rsidP="00C917D6">
            <w:pPr>
              <w:pStyle w:val="NormalLeft"/>
            </w:pPr>
            <w:r w:rsidRPr="00DE12A3">
              <w:t>26</w:t>
            </w:r>
          </w:p>
        </w:tc>
      </w:tr>
      <w:tr w:rsidR="00DE12A3" w:rsidRPr="00DE12A3" w14:paraId="1665BEEC" w14:textId="77777777" w:rsidTr="009F4766">
        <w:tc>
          <w:tcPr>
            <w:tcW w:w="1182" w:type="dxa"/>
            <w:tcBorders>
              <w:top w:val="single" w:sz="2" w:space="0" w:color="auto"/>
              <w:left w:val="single" w:sz="2" w:space="0" w:color="auto"/>
              <w:bottom w:val="single" w:sz="2" w:space="0" w:color="auto"/>
              <w:right w:val="single" w:sz="2" w:space="0" w:color="auto"/>
            </w:tcBorders>
          </w:tcPr>
          <w:p w14:paraId="21A61EE8" w14:textId="77777777" w:rsidR="009F4766" w:rsidRPr="00DE12A3" w:rsidRDefault="009F4766" w:rsidP="00C917D6">
            <w:pPr>
              <w:pStyle w:val="NormalLeft"/>
            </w:pPr>
            <w:r w:rsidRPr="00DE12A3">
              <w:t>832</w:t>
            </w:r>
          </w:p>
        </w:tc>
        <w:tc>
          <w:tcPr>
            <w:tcW w:w="2489" w:type="dxa"/>
            <w:tcBorders>
              <w:top w:val="single" w:sz="2" w:space="0" w:color="auto"/>
              <w:left w:val="single" w:sz="2" w:space="0" w:color="auto"/>
              <w:bottom w:val="single" w:sz="2" w:space="0" w:color="auto"/>
              <w:right w:val="single" w:sz="2" w:space="0" w:color="auto"/>
            </w:tcBorders>
          </w:tcPr>
          <w:p w14:paraId="7CFC6998" w14:textId="77777777" w:rsidR="009F4766" w:rsidRPr="00DE12A3" w:rsidRDefault="009F4766" w:rsidP="00C917D6">
            <w:pPr>
              <w:pStyle w:val="NormalLeft"/>
            </w:pPr>
            <w:r w:rsidRPr="00DE12A3">
              <w:t>80</w:t>
            </w:r>
          </w:p>
        </w:tc>
        <w:tc>
          <w:tcPr>
            <w:tcW w:w="2551" w:type="dxa"/>
            <w:tcBorders>
              <w:top w:val="single" w:sz="2" w:space="0" w:color="auto"/>
              <w:left w:val="single" w:sz="2" w:space="0" w:color="auto"/>
              <w:bottom w:val="single" w:sz="2" w:space="0" w:color="auto"/>
              <w:right w:val="single" w:sz="2" w:space="0" w:color="auto"/>
            </w:tcBorders>
          </w:tcPr>
          <w:p w14:paraId="7A6BD8B6" w14:textId="77777777" w:rsidR="009F4766" w:rsidRPr="00DE12A3" w:rsidRDefault="009F4766" w:rsidP="00C917D6">
            <w:pPr>
              <w:pStyle w:val="NormalLeft"/>
            </w:pPr>
            <w:r w:rsidRPr="00DE12A3">
              <w:t>24</w:t>
            </w:r>
          </w:p>
        </w:tc>
      </w:tr>
      <w:tr w:rsidR="00DE12A3" w:rsidRPr="00DE12A3" w14:paraId="348AB8CD" w14:textId="77777777" w:rsidTr="009F4766">
        <w:tc>
          <w:tcPr>
            <w:tcW w:w="1182" w:type="dxa"/>
            <w:tcBorders>
              <w:top w:val="single" w:sz="2" w:space="0" w:color="auto"/>
              <w:left w:val="single" w:sz="2" w:space="0" w:color="auto"/>
              <w:bottom w:val="single" w:sz="2" w:space="0" w:color="auto"/>
              <w:right w:val="single" w:sz="2" w:space="0" w:color="auto"/>
            </w:tcBorders>
          </w:tcPr>
          <w:p w14:paraId="585A2080" w14:textId="77777777" w:rsidR="009F4766" w:rsidRPr="00DE12A3" w:rsidRDefault="009F4766" w:rsidP="00C917D6">
            <w:pPr>
              <w:pStyle w:val="NormalLeft"/>
            </w:pPr>
            <w:r w:rsidRPr="00DE12A3">
              <w:t>833</w:t>
            </w:r>
          </w:p>
        </w:tc>
        <w:tc>
          <w:tcPr>
            <w:tcW w:w="2489" w:type="dxa"/>
            <w:tcBorders>
              <w:top w:val="single" w:sz="2" w:space="0" w:color="auto"/>
              <w:left w:val="single" w:sz="2" w:space="0" w:color="auto"/>
              <w:bottom w:val="single" w:sz="2" w:space="0" w:color="auto"/>
              <w:right w:val="single" w:sz="2" w:space="0" w:color="auto"/>
            </w:tcBorders>
          </w:tcPr>
          <w:p w14:paraId="149DB441" w14:textId="77777777" w:rsidR="009F4766" w:rsidRPr="00DE12A3" w:rsidRDefault="009F4766" w:rsidP="00C917D6">
            <w:pPr>
              <w:pStyle w:val="NormalLeft"/>
            </w:pPr>
            <w:r w:rsidRPr="00DE12A3">
              <w:t>80</w:t>
            </w:r>
          </w:p>
        </w:tc>
        <w:tc>
          <w:tcPr>
            <w:tcW w:w="2551" w:type="dxa"/>
            <w:tcBorders>
              <w:top w:val="single" w:sz="2" w:space="0" w:color="auto"/>
              <w:left w:val="single" w:sz="2" w:space="0" w:color="auto"/>
              <w:bottom w:val="single" w:sz="2" w:space="0" w:color="auto"/>
              <w:right w:val="single" w:sz="2" w:space="0" w:color="auto"/>
            </w:tcBorders>
          </w:tcPr>
          <w:p w14:paraId="0118EEB8" w14:textId="77777777" w:rsidR="009F4766" w:rsidRPr="00DE12A3" w:rsidRDefault="009F4766" w:rsidP="00C917D6">
            <w:pPr>
              <w:pStyle w:val="NormalLeft"/>
            </w:pPr>
            <w:r w:rsidRPr="00DE12A3">
              <w:t>23</w:t>
            </w:r>
          </w:p>
        </w:tc>
      </w:tr>
      <w:tr w:rsidR="00DE12A3" w:rsidRPr="00DE12A3" w14:paraId="224C8F95" w14:textId="77777777" w:rsidTr="009F4766">
        <w:tc>
          <w:tcPr>
            <w:tcW w:w="1182" w:type="dxa"/>
            <w:tcBorders>
              <w:top w:val="single" w:sz="2" w:space="0" w:color="auto"/>
              <w:left w:val="single" w:sz="2" w:space="0" w:color="auto"/>
              <w:bottom w:val="single" w:sz="2" w:space="0" w:color="auto"/>
              <w:right w:val="single" w:sz="2" w:space="0" w:color="auto"/>
            </w:tcBorders>
          </w:tcPr>
          <w:p w14:paraId="48E04D8A" w14:textId="77777777" w:rsidR="009F4766" w:rsidRPr="00DE12A3" w:rsidRDefault="009F4766" w:rsidP="00C917D6">
            <w:pPr>
              <w:pStyle w:val="NormalLeft"/>
            </w:pPr>
            <w:r w:rsidRPr="00DE12A3">
              <w:t>834</w:t>
            </w:r>
          </w:p>
        </w:tc>
        <w:tc>
          <w:tcPr>
            <w:tcW w:w="2489" w:type="dxa"/>
            <w:tcBorders>
              <w:top w:val="single" w:sz="2" w:space="0" w:color="auto"/>
              <w:left w:val="single" w:sz="2" w:space="0" w:color="auto"/>
              <w:bottom w:val="single" w:sz="2" w:space="0" w:color="auto"/>
              <w:right w:val="single" w:sz="2" w:space="0" w:color="auto"/>
            </w:tcBorders>
          </w:tcPr>
          <w:p w14:paraId="600B8DE5" w14:textId="77777777" w:rsidR="009F4766" w:rsidRPr="00DE12A3" w:rsidRDefault="009F4766" w:rsidP="00C917D6">
            <w:pPr>
              <w:pStyle w:val="NormalLeft"/>
            </w:pPr>
            <w:r w:rsidRPr="00DE12A3">
              <w:t>80</w:t>
            </w:r>
          </w:p>
        </w:tc>
        <w:tc>
          <w:tcPr>
            <w:tcW w:w="2551" w:type="dxa"/>
            <w:tcBorders>
              <w:top w:val="single" w:sz="2" w:space="0" w:color="auto"/>
              <w:left w:val="single" w:sz="2" w:space="0" w:color="auto"/>
              <w:bottom w:val="single" w:sz="2" w:space="0" w:color="auto"/>
              <w:right w:val="single" w:sz="2" w:space="0" w:color="auto"/>
            </w:tcBorders>
          </w:tcPr>
          <w:p w14:paraId="364F7BC9" w14:textId="77777777" w:rsidR="009F4766" w:rsidRPr="00DE12A3" w:rsidRDefault="009F4766" w:rsidP="00C917D6">
            <w:pPr>
              <w:pStyle w:val="NormalLeft"/>
            </w:pPr>
            <w:r w:rsidRPr="00DE12A3">
              <w:t>22</w:t>
            </w:r>
          </w:p>
        </w:tc>
      </w:tr>
      <w:tr w:rsidR="00DE12A3" w:rsidRPr="00DE12A3" w14:paraId="1E6529A0" w14:textId="77777777" w:rsidTr="009F4766">
        <w:tc>
          <w:tcPr>
            <w:tcW w:w="1182" w:type="dxa"/>
            <w:tcBorders>
              <w:top w:val="single" w:sz="2" w:space="0" w:color="auto"/>
              <w:left w:val="single" w:sz="2" w:space="0" w:color="auto"/>
              <w:bottom w:val="single" w:sz="2" w:space="0" w:color="auto"/>
              <w:right w:val="single" w:sz="2" w:space="0" w:color="auto"/>
            </w:tcBorders>
          </w:tcPr>
          <w:p w14:paraId="6E2D1E7E" w14:textId="77777777" w:rsidR="009F4766" w:rsidRPr="00DE12A3" w:rsidRDefault="009F4766" w:rsidP="00C917D6">
            <w:pPr>
              <w:pStyle w:val="NormalLeft"/>
            </w:pPr>
            <w:r w:rsidRPr="00DE12A3">
              <w:t>835</w:t>
            </w:r>
          </w:p>
        </w:tc>
        <w:tc>
          <w:tcPr>
            <w:tcW w:w="2489" w:type="dxa"/>
            <w:tcBorders>
              <w:top w:val="single" w:sz="2" w:space="0" w:color="auto"/>
              <w:left w:val="single" w:sz="2" w:space="0" w:color="auto"/>
              <w:bottom w:val="single" w:sz="2" w:space="0" w:color="auto"/>
              <w:right w:val="single" w:sz="2" w:space="0" w:color="auto"/>
            </w:tcBorders>
          </w:tcPr>
          <w:p w14:paraId="53F7C008" w14:textId="77777777" w:rsidR="009F4766" w:rsidRPr="00DE12A3" w:rsidRDefault="009F4766" w:rsidP="00C917D6">
            <w:pPr>
              <w:pStyle w:val="NormalLeft"/>
            </w:pPr>
            <w:r w:rsidRPr="00DE12A3">
              <w:t>81</w:t>
            </w:r>
          </w:p>
        </w:tc>
        <w:tc>
          <w:tcPr>
            <w:tcW w:w="2551" w:type="dxa"/>
            <w:tcBorders>
              <w:top w:val="single" w:sz="2" w:space="0" w:color="auto"/>
              <w:left w:val="single" w:sz="2" w:space="0" w:color="auto"/>
              <w:bottom w:val="single" w:sz="2" w:space="0" w:color="auto"/>
              <w:right w:val="single" w:sz="2" w:space="0" w:color="auto"/>
            </w:tcBorders>
          </w:tcPr>
          <w:p w14:paraId="628EE146" w14:textId="77777777" w:rsidR="009F4766" w:rsidRPr="00DE12A3" w:rsidRDefault="009F4766" w:rsidP="00C917D6">
            <w:pPr>
              <w:pStyle w:val="NormalLeft"/>
            </w:pPr>
            <w:r w:rsidRPr="00DE12A3">
              <w:t>21</w:t>
            </w:r>
          </w:p>
        </w:tc>
      </w:tr>
      <w:tr w:rsidR="00DE12A3" w:rsidRPr="00DE12A3" w14:paraId="20316232" w14:textId="77777777" w:rsidTr="009F4766">
        <w:tc>
          <w:tcPr>
            <w:tcW w:w="1182" w:type="dxa"/>
            <w:tcBorders>
              <w:top w:val="single" w:sz="2" w:space="0" w:color="auto"/>
              <w:left w:val="single" w:sz="2" w:space="0" w:color="auto"/>
              <w:bottom w:val="single" w:sz="2" w:space="0" w:color="auto"/>
              <w:right w:val="single" w:sz="2" w:space="0" w:color="auto"/>
            </w:tcBorders>
          </w:tcPr>
          <w:p w14:paraId="29FAA7E2" w14:textId="77777777" w:rsidR="009F4766" w:rsidRPr="00DE12A3" w:rsidRDefault="009F4766" w:rsidP="00C917D6">
            <w:pPr>
              <w:pStyle w:val="NormalLeft"/>
            </w:pPr>
            <w:r w:rsidRPr="00DE12A3">
              <w:lastRenderedPageBreak/>
              <w:t>836</w:t>
            </w:r>
          </w:p>
        </w:tc>
        <w:tc>
          <w:tcPr>
            <w:tcW w:w="2489" w:type="dxa"/>
            <w:tcBorders>
              <w:top w:val="single" w:sz="2" w:space="0" w:color="auto"/>
              <w:left w:val="single" w:sz="2" w:space="0" w:color="auto"/>
              <w:bottom w:val="single" w:sz="2" w:space="0" w:color="auto"/>
              <w:right w:val="single" w:sz="2" w:space="0" w:color="auto"/>
            </w:tcBorders>
          </w:tcPr>
          <w:p w14:paraId="10074AE4" w14:textId="77777777" w:rsidR="009F4766" w:rsidRPr="00DE12A3" w:rsidRDefault="009F4766" w:rsidP="00C917D6">
            <w:pPr>
              <w:pStyle w:val="NormalLeft"/>
            </w:pPr>
            <w:r w:rsidRPr="00DE12A3">
              <w:t>81</w:t>
            </w:r>
          </w:p>
        </w:tc>
        <w:tc>
          <w:tcPr>
            <w:tcW w:w="2551" w:type="dxa"/>
            <w:tcBorders>
              <w:top w:val="single" w:sz="2" w:space="0" w:color="auto"/>
              <w:left w:val="single" w:sz="2" w:space="0" w:color="auto"/>
              <w:bottom w:val="single" w:sz="2" w:space="0" w:color="auto"/>
              <w:right w:val="single" w:sz="2" w:space="0" w:color="auto"/>
            </w:tcBorders>
          </w:tcPr>
          <w:p w14:paraId="02D0D2BE" w14:textId="77777777" w:rsidR="009F4766" w:rsidRPr="00DE12A3" w:rsidRDefault="009F4766" w:rsidP="00C917D6">
            <w:pPr>
              <w:pStyle w:val="NormalLeft"/>
            </w:pPr>
            <w:r w:rsidRPr="00DE12A3">
              <w:t>24</w:t>
            </w:r>
          </w:p>
        </w:tc>
      </w:tr>
      <w:tr w:rsidR="00DE12A3" w:rsidRPr="00DE12A3" w14:paraId="19908CA3" w14:textId="77777777" w:rsidTr="009F4766">
        <w:tc>
          <w:tcPr>
            <w:tcW w:w="1182" w:type="dxa"/>
            <w:tcBorders>
              <w:top w:val="single" w:sz="2" w:space="0" w:color="auto"/>
              <w:left w:val="single" w:sz="2" w:space="0" w:color="auto"/>
              <w:bottom w:val="single" w:sz="2" w:space="0" w:color="auto"/>
              <w:right w:val="single" w:sz="2" w:space="0" w:color="auto"/>
            </w:tcBorders>
          </w:tcPr>
          <w:p w14:paraId="2190E139" w14:textId="77777777" w:rsidR="009F4766" w:rsidRPr="00DE12A3" w:rsidRDefault="009F4766" w:rsidP="00C917D6">
            <w:pPr>
              <w:pStyle w:val="NormalLeft"/>
            </w:pPr>
            <w:r w:rsidRPr="00DE12A3">
              <w:t>837</w:t>
            </w:r>
          </w:p>
        </w:tc>
        <w:tc>
          <w:tcPr>
            <w:tcW w:w="2489" w:type="dxa"/>
            <w:tcBorders>
              <w:top w:val="single" w:sz="2" w:space="0" w:color="auto"/>
              <w:left w:val="single" w:sz="2" w:space="0" w:color="auto"/>
              <w:bottom w:val="single" w:sz="2" w:space="0" w:color="auto"/>
              <w:right w:val="single" w:sz="2" w:space="0" w:color="auto"/>
            </w:tcBorders>
          </w:tcPr>
          <w:p w14:paraId="4E1D1602" w14:textId="77777777" w:rsidR="009F4766" w:rsidRPr="00DE12A3" w:rsidRDefault="009F4766" w:rsidP="00C917D6">
            <w:pPr>
              <w:pStyle w:val="NormalLeft"/>
            </w:pPr>
            <w:r w:rsidRPr="00DE12A3">
              <w:t>81</w:t>
            </w:r>
          </w:p>
        </w:tc>
        <w:tc>
          <w:tcPr>
            <w:tcW w:w="2551" w:type="dxa"/>
            <w:tcBorders>
              <w:top w:val="single" w:sz="2" w:space="0" w:color="auto"/>
              <w:left w:val="single" w:sz="2" w:space="0" w:color="auto"/>
              <w:bottom w:val="single" w:sz="2" w:space="0" w:color="auto"/>
              <w:right w:val="single" w:sz="2" w:space="0" w:color="auto"/>
            </w:tcBorders>
          </w:tcPr>
          <w:p w14:paraId="4CE21D72" w14:textId="77777777" w:rsidR="009F4766" w:rsidRPr="00DE12A3" w:rsidRDefault="009F4766" w:rsidP="00C917D6">
            <w:pPr>
              <w:pStyle w:val="NormalLeft"/>
            </w:pPr>
            <w:r w:rsidRPr="00DE12A3">
              <w:t>24</w:t>
            </w:r>
          </w:p>
        </w:tc>
      </w:tr>
      <w:tr w:rsidR="00DE12A3" w:rsidRPr="00DE12A3" w14:paraId="6B2D7721" w14:textId="77777777" w:rsidTr="009F4766">
        <w:tc>
          <w:tcPr>
            <w:tcW w:w="1182" w:type="dxa"/>
            <w:tcBorders>
              <w:top w:val="single" w:sz="2" w:space="0" w:color="auto"/>
              <w:left w:val="single" w:sz="2" w:space="0" w:color="auto"/>
              <w:bottom w:val="single" w:sz="2" w:space="0" w:color="auto"/>
              <w:right w:val="single" w:sz="2" w:space="0" w:color="auto"/>
            </w:tcBorders>
          </w:tcPr>
          <w:p w14:paraId="5970041B" w14:textId="77777777" w:rsidR="009F4766" w:rsidRPr="00DE12A3" w:rsidRDefault="009F4766" w:rsidP="00C917D6">
            <w:pPr>
              <w:pStyle w:val="NormalLeft"/>
            </w:pPr>
            <w:r w:rsidRPr="00DE12A3">
              <w:t>838</w:t>
            </w:r>
          </w:p>
        </w:tc>
        <w:tc>
          <w:tcPr>
            <w:tcW w:w="2489" w:type="dxa"/>
            <w:tcBorders>
              <w:top w:val="single" w:sz="2" w:space="0" w:color="auto"/>
              <w:left w:val="single" w:sz="2" w:space="0" w:color="auto"/>
              <w:bottom w:val="single" w:sz="2" w:space="0" w:color="auto"/>
              <w:right w:val="single" w:sz="2" w:space="0" w:color="auto"/>
            </w:tcBorders>
          </w:tcPr>
          <w:p w14:paraId="395A772C" w14:textId="77777777" w:rsidR="009F4766" w:rsidRPr="00DE12A3" w:rsidRDefault="009F4766" w:rsidP="00C917D6">
            <w:pPr>
              <w:pStyle w:val="NormalLeft"/>
            </w:pPr>
            <w:r w:rsidRPr="00DE12A3">
              <w:t>81</w:t>
            </w:r>
          </w:p>
        </w:tc>
        <w:tc>
          <w:tcPr>
            <w:tcW w:w="2551" w:type="dxa"/>
            <w:tcBorders>
              <w:top w:val="single" w:sz="2" w:space="0" w:color="auto"/>
              <w:left w:val="single" w:sz="2" w:space="0" w:color="auto"/>
              <w:bottom w:val="single" w:sz="2" w:space="0" w:color="auto"/>
              <w:right w:val="single" w:sz="2" w:space="0" w:color="auto"/>
            </w:tcBorders>
          </w:tcPr>
          <w:p w14:paraId="5E9A9405" w14:textId="77777777" w:rsidR="009F4766" w:rsidRPr="00DE12A3" w:rsidRDefault="009F4766" w:rsidP="00C917D6">
            <w:pPr>
              <w:pStyle w:val="NormalLeft"/>
            </w:pPr>
            <w:r w:rsidRPr="00DE12A3">
              <w:t>22</w:t>
            </w:r>
          </w:p>
        </w:tc>
      </w:tr>
      <w:tr w:rsidR="00DE12A3" w:rsidRPr="00DE12A3" w14:paraId="54373A18" w14:textId="77777777" w:rsidTr="009F4766">
        <w:tc>
          <w:tcPr>
            <w:tcW w:w="1182" w:type="dxa"/>
            <w:tcBorders>
              <w:top w:val="single" w:sz="2" w:space="0" w:color="auto"/>
              <w:left w:val="single" w:sz="2" w:space="0" w:color="auto"/>
              <w:bottom w:val="single" w:sz="2" w:space="0" w:color="auto"/>
              <w:right w:val="single" w:sz="2" w:space="0" w:color="auto"/>
            </w:tcBorders>
          </w:tcPr>
          <w:p w14:paraId="4A401BBB" w14:textId="77777777" w:rsidR="009F4766" w:rsidRPr="00DE12A3" w:rsidRDefault="009F4766" w:rsidP="00C917D6">
            <w:pPr>
              <w:pStyle w:val="NormalLeft"/>
            </w:pPr>
            <w:r w:rsidRPr="00DE12A3">
              <w:t>839</w:t>
            </w:r>
          </w:p>
        </w:tc>
        <w:tc>
          <w:tcPr>
            <w:tcW w:w="2489" w:type="dxa"/>
            <w:tcBorders>
              <w:top w:val="single" w:sz="2" w:space="0" w:color="auto"/>
              <w:left w:val="single" w:sz="2" w:space="0" w:color="auto"/>
              <w:bottom w:val="single" w:sz="2" w:space="0" w:color="auto"/>
              <w:right w:val="single" w:sz="2" w:space="0" w:color="auto"/>
            </w:tcBorders>
          </w:tcPr>
          <w:p w14:paraId="1874C0C2" w14:textId="77777777" w:rsidR="009F4766" w:rsidRPr="00DE12A3" w:rsidRDefault="009F4766" w:rsidP="00C917D6">
            <w:pPr>
              <w:pStyle w:val="NormalLeft"/>
            </w:pPr>
            <w:r w:rsidRPr="00DE12A3">
              <w:t>81</w:t>
            </w:r>
          </w:p>
        </w:tc>
        <w:tc>
          <w:tcPr>
            <w:tcW w:w="2551" w:type="dxa"/>
            <w:tcBorders>
              <w:top w:val="single" w:sz="2" w:space="0" w:color="auto"/>
              <w:left w:val="single" w:sz="2" w:space="0" w:color="auto"/>
              <w:bottom w:val="single" w:sz="2" w:space="0" w:color="auto"/>
              <w:right w:val="single" w:sz="2" w:space="0" w:color="auto"/>
            </w:tcBorders>
          </w:tcPr>
          <w:p w14:paraId="52139490" w14:textId="77777777" w:rsidR="009F4766" w:rsidRPr="00DE12A3" w:rsidRDefault="009F4766" w:rsidP="00C917D6">
            <w:pPr>
              <w:pStyle w:val="NormalLeft"/>
            </w:pPr>
            <w:r w:rsidRPr="00DE12A3">
              <w:t>22</w:t>
            </w:r>
          </w:p>
        </w:tc>
      </w:tr>
      <w:tr w:rsidR="00DE12A3" w:rsidRPr="00DE12A3" w14:paraId="558B1EA6" w14:textId="77777777" w:rsidTr="009F4766">
        <w:tc>
          <w:tcPr>
            <w:tcW w:w="1182" w:type="dxa"/>
            <w:tcBorders>
              <w:top w:val="single" w:sz="2" w:space="0" w:color="auto"/>
              <w:left w:val="single" w:sz="2" w:space="0" w:color="auto"/>
              <w:bottom w:val="single" w:sz="2" w:space="0" w:color="auto"/>
              <w:right w:val="single" w:sz="2" w:space="0" w:color="auto"/>
            </w:tcBorders>
          </w:tcPr>
          <w:p w14:paraId="65BC8621" w14:textId="77777777" w:rsidR="009F4766" w:rsidRPr="00DE12A3" w:rsidRDefault="009F4766" w:rsidP="00C917D6">
            <w:pPr>
              <w:pStyle w:val="NormalLeft"/>
            </w:pPr>
            <w:r w:rsidRPr="00DE12A3">
              <w:t>840</w:t>
            </w:r>
          </w:p>
        </w:tc>
        <w:tc>
          <w:tcPr>
            <w:tcW w:w="2489" w:type="dxa"/>
            <w:tcBorders>
              <w:top w:val="single" w:sz="2" w:space="0" w:color="auto"/>
              <w:left w:val="single" w:sz="2" w:space="0" w:color="auto"/>
              <w:bottom w:val="single" w:sz="2" w:space="0" w:color="auto"/>
              <w:right w:val="single" w:sz="2" w:space="0" w:color="auto"/>
            </w:tcBorders>
          </w:tcPr>
          <w:p w14:paraId="0C7290E9" w14:textId="77777777" w:rsidR="009F4766" w:rsidRPr="00DE12A3" w:rsidRDefault="009F4766" w:rsidP="00C917D6">
            <w:pPr>
              <w:pStyle w:val="NormalLeft"/>
            </w:pPr>
            <w:r w:rsidRPr="00DE12A3">
              <w:t>81</w:t>
            </w:r>
          </w:p>
        </w:tc>
        <w:tc>
          <w:tcPr>
            <w:tcW w:w="2551" w:type="dxa"/>
            <w:tcBorders>
              <w:top w:val="single" w:sz="2" w:space="0" w:color="auto"/>
              <w:left w:val="single" w:sz="2" w:space="0" w:color="auto"/>
              <w:bottom w:val="single" w:sz="2" w:space="0" w:color="auto"/>
              <w:right w:val="single" w:sz="2" w:space="0" w:color="auto"/>
            </w:tcBorders>
          </w:tcPr>
          <w:p w14:paraId="222DE3DB" w14:textId="77777777" w:rsidR="009F4766" w:rsidRPr="00DE12A3" w:rsidRDefault="009F4766" w:rsidP="00C917D6">
            <w:pPr>
              <w:pStyle w:val="NormalLeft"/>
            </w:pPr>
            <w:r w:rsidRPr="00DE12A3">
              <w:t>21</w:t>
            </w:r>
          </w:p>
        </w:tc>
      </w:tr>
      <w:tr w:rsidR="00DE12A3" w:rsidRPr="00DE12A3" w14:paraId="36185D86" w14:textId="77777777" w:rsidTr="009F4766">
        <w:tc>
          <w:tcPr>
            <w:tcW w:w="1182" w:type="dxa"/>
            <w:tcBorders>
              <w:top w:val="single" w:sz="2" w:space="0" w:color="auto"/>
              <w:left w:val="single" w:sz="2" w:space="0" w:color="auto"/>
              <w:bottom w:val="single" w:sz="2" w:space="0" w:color="auto"/>
              <w:right w:val="single" w:sz="2" w:space="0" w:color="auto"/>
            </w:tcBorders>
          </w:tcPr>
          <w:p w14:paraId="5523BB31" w14:textId="77777777" w:rsidR="009F4766" w:rsidRPr="00DE12A3" w:rsidRDefault="009F4766" w:rsidP="00C917D6">
            <w:pPr>
              <w:pStyle w:val="NormalLeft"/>
            </w:pPr>
            <w:r w:rsidRPr="00DE12A3">
              <w:t>841</w:t>
            </w:r>
          </w:p>
        </w:tc>
        <w:tc>
          <w:tcPr>
            <w:tcW w:w="2489" w:type="dxa"/>
            <w:tcBorders>
              <w:top w:val="single" w:sz="2" w:space="0" w:color="auto"/>
              <w:left w:val="single" w:sz="2" w:space="0" w:color="auto"/>
              <w:bottom w:val="single" w:sz="2" w:space="0" w:color="auto"/>
              <w:right w:val="single" w:sz="2" w:space="0" w:color="auto"/>
            </w:tcBorders>
          </w:tcPr>
          <w:p w14:paraId="56D12E6D" w14:textId="77777777" w:rsidR="009F4766" w:rsidRPr="00DE12A3" w:rsidRDefault="009F4766" w:rsidP="00C917D6">
            <w:pPr>
              <w:pStyle w:val="NormalLeft"/>
            </w:pPr>
            <w:r w:rsidRPr="00DE12A3">
              <w:t>81</w:t>
            </w:r>
          </w:p>
        </w:tc>
        <w:tc>
          <w:tcPr>
            <w:tcW w:w="2551" w:type="dxa"/>
            <w:tcBorders>
              <w:top w:val="single" w:sz="2" w:space="0" w:color="auto"/>
              <w:left w:val="single" w:sz="2" w:space="0" w:color="auto"/>
              <w:bottom w:val="single" w:sz="2" w:space="0" w:color="auto"/>
              <w:right w:val="single" w:sz="2" w:space="0" w:color="auto"/>
            </w:tcBorders>
          </w:tcPr>
          <w:p w14:paraId="31EEED75" w14:textId="77777777" w:rsidR="009F4766" w:rsidRPr="00DE12A3" w:rsidRDefault="009F4766" w:rsidP="00C917D6">
            <w:pPr>
              <w:pStyle w:val="NormalLeft"/>
            </w:pPr>
            <w:r w:rsidRPr="00DE12A3">
              <w:t>31</w:t>
            </w:r>
          </w:p>
        </w:tc>
      </w:tr>
      <w:tr w:rsidR="00DE12A3" w:rsidRPr="00DE12A3" w14:paraId="2CE294AF" w14:textId="77777777" w:rsidTr="009F4766">
        <w:tc>
          <w:tcPr>
            <w:tcW w:w="1182" w:type="dxa"/>
            <w:tcBorders>
              <w:top w:val="single" w:sz="2" w:space="0" w:color="auto"/>
              <w:left w:val="single" w:sz="2" w:space="0" w:color="auto"/>
              <w:bottom w:val="single" w:sz="2" w:space="0" w:color="auto"/>
              <w:right w:val="single" w:sz="2" w:space="0" w:color="auto"/>
            </w:tcBorders>
          </w:tcPr>
          <w:p w14:paraId="5FC8A41C" w14:textId="77777777" w:rsidR="009F4766" w:rsidRPr="00DE12A3" w:rsidRDefault="009F4766" w:rsidP="00C917D6">
            <w:pPr>
              <w:pStyle w:val="NormalLeft"/>
            </w:pPr>
            <w:r w:rsidRPr="00DE12A3">
              <w:t>842</w:t>
            </w:r>
          </w:p>
        </w:tc>
        <w:tc>
          <w:tcPr>
            <w:tcW w:w="2489" w:type="dxa"/>
            <w:tcBorders>
              <w:top w:val="single" w:sz="2" w:space="0" w:color="auto"/>
              <w:left w:val="single" w:sz="2" w:space="0" w:color="auto"/>
              <w:bottom w:val="single" w:sz="2" w:space="0" w:color="auto"/>
              <w:right w:val="single" w:sz="2" w:space="0" w:color="auto"/>
            </w:tcBorders>
          </w:tcPr>
          <w:p w14:paraId="2F4CBC7C" w14:textId="77777777" w:rsidR="009F4766" w:rsidRPr="00DE12A3" w:rsidRDefault="009F4766" w:rsidP="00C917D6">
            <w:pPr>
              <w:pStyle w:val="NormalLeft"/>
            </w:pPr>
            <w:r w:rsidRPr="00DE12A3">
              <w:t>81</w:t>
            </w:r>
          </w:p>
        </w:tc>
        <w:tc>
          <w:tcPr>
            <w:tcW w:w="2551" w:type="dxa"/>
            <w:tcBorders>
              <w:top w:val="single" w:sz="2" w:space="0" w:color="auto"/>
              <w:left w:val="single" w:sz="2" w:space="0" w:color="auto"/>
              <w:bottom w:val="single" w:sz="2" w:space="0" w:color="auto"/>
              <w:right w:val="single" w:sz="2" w:space="0" w:color="auto"/>
            </w:tcBorders>
          </w:tcPr>
          <w:p w14:paraId="2DE7B39F" w14:textId="77777777" w:rsidR="009F4766" w:rsidRPr="00DE12A3" w:rsidRDefault="009F4766" w:rsidP="00C917D6">
            <w:pPr>
              <w:pStyle w:val="NormalLeft"/>
            </w:pPr>
            <w:r w:rsidRPr="00DE12A3">
              <w:t>27</w:t>
            </w:r>
          </w:p>
        </w:tc>
      </w:tr>
      <w:tr w:rsidR="00DE12A3" w:rsidRPr="00DE12A3" w14:paraId="44AD533B" w14:textId="77777777" w:rsidTr="009F4766">
        <w:tc>
          <w:tcPr>
            <w:tcW w:w="1182" w:type="dxa"/>
            <w:tcBorders>
              <w:top w:val="single" w:sz="2" w:space="0" w:color="auto"/>
              <w:left w:val="single" w:sz="2" w:space="0" w:color="auto"/>
              <w:bottom w:val="single" w:sz="2" w:space="0" w:color="auto"/>
              <w:right w:val="single" w:sz="2" w:space="0" w:color="auto"/>
            </w:tcBorders>
          </w:tcPr>
          <w:p w14:paraId="0B6EC0B7" w14:textId="77777777" w:rsidR="009F4766" w:rsidRPr="00DE12A3" w:rsidRDefault="009F4766" w:rsidP="00C917D6">
            <w:pPr>
              <w:pStyle w:val="NormalLeft"/>
            </w:pPr>
            <w:r w:rsidRPr="00DE12A3">
              <w:t>843</w:t>
            </w:r>
          </w:p>
        </w:tc>
        <w:tc>
          <w:tcPr>
            <w:tcW w:w="2489" w:type="dxa"/>
            <w:tcBorders>
              <w:top w:val="single" w:sz="2" w:space="0" w:color="auto"/>
              <w:left w:val="single" w:sz="2" w:space="0" w:color="auto"/>
              <w:bottom w:val="single" w:sz="2" w:space="0" w:color="auto"/>
              <w:right w:val="single" w:sz="2" w:space="0" w:color="auto"/>
            </w:tcBorders>
          </w:tcPr>
          <w:p w14:paraId="32E3D65E" w14:textId="77777777" w:rsidR="009F4766" w:rsidRPr="00DE12A3" w:rsidRDefault="009F4766" w:rsidP="00C917D6">
            <w:pPr>
              <w:pStyle w:val="NormalLeft"/>
            </w:pPr>
            <w:r w:rsidRPr="00DE12A3">
              <w:t>80</w:t>
            </w:r>
          </w:p>
        </w:tc>
        <w:tc>
          <w:tcPr>
            <w:tcW w:w="2551" w:type="dxa"/>
            <w:tcBorders>
              <w:top w:val="single" w:sz="2" w:space="0" w:color="auto"/>
              <w:left w:val="single" w:sz="2" w:space="0" w:color="auto"/>
              <w:bottom w:val="single" w:sz="2" w:space="0" w:color="auto"/>
              <w:right w:val="single" w:sz="2" w:space="0" w:color="auto"/>
            </w:tcBorders>
          </w:tcPr>
          <w:p w14:paraId="69A39C3A" w14:textId="77777777" w:rsidR="009F4766" w:rsidRPr="00DE12A3" w:rsidRDefault="009F4766" w:rsidP="00C917D6">
            <w:pPr>
              <w:pStyle w:val="NormalLeft"/>
            </w:pPr>
            <w:r w:rsidRPr="00DE12A3">
              <w:t>26</w:t>
            </w:r>
          </w:p>
        </w:tc>
      </w:tr>
      <w:tr w:rsidR="00DE12A3" w:rsidRPr="00DE12A3" w14:paraId="55F3E38D" w14:textId="77777777" w:rsidTr="009F4766">
        <w:tc>
          <w:tcPr>
            <w:tcW w:w="1182" w:type="dxa"/>
            <w:tcBorders>
              <w:top w:val="single" w:sz="2" w:space="0" w:color="auto"/>
              <w:left w:val="single" w:sz="2" w:space="0" w:color="auto"/>
              <w:bottom w:val="single" w:sz="2" w:space="0" w:color="auto"/>
              <w:right w:val="single" w:sz="2" w:space="0" w:color="auto"/>
            </w:tcBorders>
          </w:tcPr>
          <w:p w14:paraId="485EE96E" w14:textId="77777777" w:rsidR="009F4766" w:rsidRPr="00DE12A3" w:rsidRDefault="009F4766" w:rsidP="00C917D6">
            <w:pPr>
              <w:pStyle w:val="NormalLeft"/>
            </w:pPr>
            <w:r w:rsidRPr="00DE12A3">
              <w:t>844</w:t>
            </w:r>
          </w:p>
        </w:tc>
        <w:tc>
          <w:tcPr>
            <w:tcW w:w="2489" w:type="dxa"/>
            <w:tcBorders>
              <w:top w:val="single" w:sz="2" w:space="0" w:color="auto"/>
              <w:left w:val="single" w:sz="2" w:space="0" w:color="auto"/>
              <w:bottom w:val="single" w:sz="2" w:space="0" w:color="auto"/>
              <w:right w:val="single" w:sz="2" w:space="0" w:color="auto"/>
            </w:tcBorders>
          </w:tcPr>
          <w:p w14:paraId="7C2E097C" w14:textId="77777777" w:rsidR="009F4766" w:rsidRPr="00DE12A3" w:rsidRDefault="009F4766" w:rsidP="00C917D6">
            <w:pPr>
              <w:pStyle w:val="NormalLeft"/>
            </w:pPr>
            <w:r w:rsidRPr="00DE12A3">
              <w:t>80</w:t>
            </w:r>
          </w:p>
        </w:tc>
        <w:tc>
          <w:tcPr>
            <w:tcW w:w="2551" w:type="dxa"/>
            <w:tcBorders>
              <w:top w:val="single" w:sz="2" w:space="0" w:color="auto"/>
              <w:left w:val="single" w:sz="2" w:space="0" w:color="auto"/>
              <w:bottom w:val="single" w:sz="2" w:space="0" w:color="auto"/>
              <w:right w:val="single" w:sz="2" w:space="0" w:color="auto"/>
            </w:tcBorders>
          </w:tcPr>
          <w:p w14:paraId="0D2EC2CD" w14:textId="77777777" w:rsidR="009F4766" w:rsidRPr="00DE12A3" w:rsidRDefault="009F4766" w:rsidP="00C917D6">
            <w:pPr>
              <w:pStyle w:val="NormalLeft"/>
            </w:pPr>
            <w:r w:rsidRPr="00DE12A3">
              <w:t>26</w:t>
            </w:r>
          </w:p>
        </w:tc>
      </w:tr>
      <w:tr w:rsidR="00DE12A3" w:rsidRPr="00DE12A3" w14:paraId="19BCE348" w14:textId="77777777" w:rsidTr="009F4766">
        <w:tc>
          <w:tcPr>
            <w:tcW w:w="1182" w:type="dxa"/>
            <w:tcBorders>
              <w:top w:val="single" w:sz="2" w:space="0" w:color="auto"/>
              <w:left w:val="single" w:sz="2" w:space="0" w:color="auto"/>
              <w:bottom w:val="single" w:sz="2" w:space="0" w:color="auto"/>
              <w:right w:val="single" w:sz="2" w:space="0" w:color="auto"/>
            </w:tcBorders>
          </w:tcPr>
          <w:p w14:paraId="086D7117" w14:textId="77777777" w:rsidR="009F4766" w:rsidRPr="00DE12A3" w:rsidRDefault="009F4766" w:rsidP="00C917D6">
            <w:pPr>
              <w:pStyle w:val="NormalLeft"/>
            </w:pPr>
            <w:r w:rsidRPr="00DE12A3">
              <w:t>845</w:t>
            </w:r>
          </w:p>
        </w:tc>
        <w:tc>
          <w:tcPr>
            <w:tcW w:w="2489" w:type="dxa"/>
            <w:tcBorders>
              <w:top w:val="single" w:sz="2" w:space="0" w:color="auto"/>
              <w:left w:val="single" w:sz="2" w:space="0" w:color="auto"/>
              <w:bottom w:val="single" w:sz="2" w:space="0" w:color="auto"/>
              <w:right w:val="single" w:sz="2" w:space="0" w:color="auto"/>
            </w:tcBorders>
          </w:tcPr>
          <w:p w14:paraId="6998432A" w14:textId="77777777" w:rsidR="009F4766" w:rsidRPr="00DE12A3" w:rsidRDefault="009F4766" w:rsidP="00C917D6">
            <w:pPr>
              <w:pStyle w:val="NormalLeft"/>
            </w:pPr>
            <w:r w:rsidRPr="00DE12A3">
              <w:t>81</w:t>
            </w:r>
          </w:p>
        </w:tc>
        <w:tc>
          <w:tcPr>
            <w:tcW w:w="2551" w:type="dxa"/>
            <w:tcBorders>
              <w:top w:val="single" w:sz="2" w:space="0" w:color="auto"/>
              <w:left w:val="single" w:sz="2" w:space="0" w:color="auto"/>
              <w:bottom w:val="single" w:sz="2" w:space="0" w:color="auto"/>
              <w:right w:val="single" w:sz="2" w:space="0" w:color="auto"/>
            </w:tcBorders>
          </w:tcPr>
          <w:p w14:paraId="11558ADC" w14:textId="77777777" w:rsidR="009F4766" w:rsidRPr="00DE12A3" w:rsidRDefault="009F4766" w:rsidP="00C917D6">
            <w:pPr>
              <w:pStyle w:val="NormalLeft"/>
            </w:pPr>
            <w:r w:rsidRPr="00DE12A3">
              <w:t>25</w:t>
            </w:r>
          </w:p>
        </w:tc>
      </w:tr>
      <w:tr w:rsidR="00DE12A3" w:rsidRPr="00DE12A3" w14:paraId="195490AB" w14:textId="77777777" w:rsidTr="009F4766">
        <w:tc>
          <w:tcPr>
            <w:tcW w:w="1182" w:type="dxa"/>
            <w:tcBorders>
              <w:top w:val="single" w:sz="2" w:space="0" w:color="auto"/>
              <w:left w:val="single" w:sz="2" w:space="0" w:color="auto"/>
              <w:bottom w:val="single" w:sz="2" w:space="0" w:color="auto"/>
              <w:right w:val="single" w:sz="2" w:space="0" w:color="auto"/>
            </w:tcBorders>
          </w:tcPr>
          <w:p w14:paraId="7E67EDF6" w14:textId="77777777" w:rsidR="009F4766" w:rsidRPr="00DE12A3" w:rsidRDefault="009F4766" w:rsidP="00C917D6">
            <w:pPr>
              <w:pStyle w:val="NormalLeft"/>
            </w:pPr>
            <w:r w:rsidRPr="00DE12A3">
              <w:t>846</w:t>
            </w:r>
          </w:p>
        </w:tc>
        <w:tc>
          <w:tcPr>
            <w:tcW w:w="2489" w:type="dxa"/>
            <w:tcBorders>
              <w:top w:val="single" w:sz="2" w:space="0" w:color="auto"/>
              <w:left w:val="single" w:sz="2" w:space="0" w:color="auto"/>
              <w:bottom w:val="single" w:sz="2" w:space="0" w:color="auto"/>
              <w:right w:val="single" w:sz="2" w:space="0" w:color="auto"/>
            </w:tcBorders>
          </w:tcPr>
          <w:p w14:paraId="7420E808" w14:textId="77777777" w:rsidR="009F4766" w:rsidRPr="00DE12A3" w:rsidRDefault="009F4766" w:rsidP="00C917D6">
            <w:pPr>
              <w:pStyle w:val="NormalLeft"/>
            </w:pPr>
            <w:r w:rsidRPr="00DE12A3">
              <w:t>80</w:t>
            </w:r>
          </w:p>
        </w:tc>
        <w:tc>
          <w:tcPr>
            <w:tcW w:w="2551" w:type="dxa"/>
            <w:tcBorders>
              <w:top w:val="single" w:sz="2" w:space="0" w:color="auto"/>
              <w:left w:val="single" w:sz="2" w:space="0" w:color="auto"/>
              <w:bottom w:val="single" w:sz="2" w:space="0" w:color="auto"/>
              <w:right w:val="single" w:sz="2" w:space="0" w:color="auto"/>
            </w:tcBorders>
          </w:tcPr>
          <w:p w14:paraId="2D7269E0" w14:textId="77777777" w:rsidR="009F4766" w:rsidRPr="00DE12A3" w:rsidRDefault="009F4766" w:rsidP="00C917D6">
            <w:pPr>
              <w:pStyle w:val="NormalLeft"/>
            </w:pPr>
            <w:r w:rsidRPr="00DE12A3">
              <w:t>21</w:t>
            </w:r>
          </w:p>
        </w:tc>
      </w:tr>
      <w:tr w:rsidR="00DE12A3" w:rsidRPr="00DE12A3" w14:paraId="468938D0" w14:textId="77777777" w:rsidTr="009F4766">
        <w:tc>
          <w:tcPr>
            <w:tcW w:w="1182" w:type="dxa"/>
            <w:tcBorders>
              <w:top w:val="single" w:sz="2" w:space="0" w:color="auto"/>
              <w:left w:val="single" w:sz="2" w:space="0" w:color="auto"/>
              <w:bottom w:val="single" w:sz="2" w:space="0" w:color="auto"/>
              <w:right w:val="single" w:sz="2" w:space="0" w:color="auto"/>
            </w:tcBorders>
          </w:tcPr>
          <w:p w14:paraId="5C3E9EE0" w14:textId="77777777" w:rsidR="009F4766" w:rsidRPr="00DE12A3" w:rsidRDefault="009F4766" w:rsidP="00C917D6">
            <w:pPr>
              <w:pStyle w:val="NormalLeft"/>
            </w:pPr>
            <w:r w:rsidRPr="00DE12A3">
              <w:t>847</w:t>
            </w:r>
          </w:p>
        </w:tc>
        <w:tc>
          <w:tcPr>
            <w:tcW w:w="2489" w:type="dxa"/>
            <w:tcBorders>
              <w:top w:val="single" w:sz="2" w:space="0" w:color="auto"/>
              <w:left w:val="single" w:sz="2" w:space="0" w:color="auto"/>
              <w:bottom w:val="single" w:sz="2" w:space="0" w:color="auto"/>
              <w:right w:val="single" w:sz="2" w:space="0" w:color="auto"/>
            </w:tcBorders>
          </w:tcPr>
          <w:p w14:paraId="6961DE66" w14:textId="77777777" w:rsidR="009F4766" w:rsidRPr="00DE12A3" w:rsidRDefault="009F4766" w:rsidP="00C917D6">
            <w:pPr>
              <w:pStyle w:val="NormalLeft"/>
            </w:pPr>
            <w:r w:rsidRPr="00DE12A3">
              <w:t>81</w:t>
            </w:r>
          </w:p>
        </w:tc>
        <w:tc>
          <w:tcPr>
            <w:tcW w:w="2551" w:type="dxa"/>
            <w:tcBorders>
              <w:top w:val="single" w:sz="2" w:space="0" w:color="auto"/>
              <w:left w:val="single" w:sz="2" w:space="0" w:color="auto"/>
              <w:bottom w:val="single" w:sz="2" w:space="0" w:color="auto"/>
              <w:right w:val="single" w:sz="2" w:space="0" w:color="auto"/>
            </w:tcBorders>
          </w:tcPr>
          <w:p w14:paraId="6A9DE5E4" w14:textId="77777777" w:rsidR="009F4766" w:rsidRPr="00DE12A3" w:rsidRDefault="009F4766" w:rsidP="00C917D6">
            <w:pPr>
              <w:pStyle w:val="NormalLeft"/>
            </w:pPr>
            <w:r w:rsidRPr="00DE12A3">
              <w:t>20</w:t>
            </w:r>
          </w:p>
        </w:tc>
      </w:tr>
      <w:tr w:rsidR="00DE12A3" w:rsidRPr="00DE12A3" w14:paraId="143441F4" w14:textId="77777777" w:rsidTr="009F4766">
        <w:tc>
          <w:tcPr>
            <w:tcW w:w="1182" w:type="dxa"/>
            <w:tcBorders>
              <w:top w:val="single" w:sz="2" w:space="0" w:color="auto"/>
              <w:left w:val="single" w:sz="2" w:space="0" w:color="auto"/>
              <w:bottom w:val="single" w:sz="2" w:space="0" w:color="auto"/>
              <w:right w:val="single" w:sz="2" w:space="0" w:color="auto"/>
            </w:tcBorders>
          </w:tcPr>
          <w:p w14:paraId="19556D5D" w14:textId="77777777" w:rsidR="009F4766" w:rsidRPr="00DE12A3" w:rsidRDefault="009F4766" w:rsidP="00C917D6">
            <w:pPr>
              <w:pStyle w:val="NormalLeft"/>
            </w:pPr>
            <w:r w:rsidRPr="00DE12A3">
              <w:t>848</w:t>
            </w:r>
          </w:p>
        </w:tc>
        <w:tc>
          <w:tcPr>
            <w:tcW w:w="2489" w:type="dxa"/>
            <w:tcBorders>
              <w:top w:val="single" w:sz="2" w:space="0" w:color="auto"/>
              <w:left w:val="single" w:sz="2" w:space="0" w:color="auto"/>
              <w:bottom w:val="single" w:sz="2" w:space="0" w:color="auto"/>
              <w:right w:val="single" w:sz="2" w:space="0" w:color="auto"/>
            </w:tcBorders>
          </w:tcPr>
          <w:p w14:paraId="7D514E8A" w14:textId="77777777" w:rsidR="009F4766" w:rsidRPr="00DE12A3" w:rsidRDefault="009F4766" w:rsidP="00C917D6">
            <w:pPr>
              <w:pStyle w:val="NormalLeft"/>
            </w:pPr>
            <w:r w:rsidRPr="00DE12A3">
              <w:t>83</w:t>
            </w:r>
          </w:p>
        </w:tc>
        <w:tc>
          <w:tcPr>
            <w:tcW w:w="2551" w:type="dxa"/>
            <w:tcBorders>
              <w:top w:val="single" w:sz="2" w:space="0" w:color="auto"/>
              <w:left w:val="single" w:sz="2" w:space="0" w:color="auto"/>
              <w:bottom w:val="single" w:sz="2" w:space="0" w:color="auto"/>
              <w:right w:val="single" w:sz="2" w:space="0" w:color="auto"/>
            </w:tcBorders>
          </w:tcPr>
          <w:p w14:paraId="333F0875" w14:textId="77777777" w:rsidR="009F4766" w:rsidRPr="00DE12A3" w:rsidRDefault="009F4766" w:rsidP="00C917D6">
            <w:pPr>
              <w:pStyle w:val="NormalLeft"/>
            </w:pPr>
            <w:r w:rsidRPr="00DE12A3">
              <w:t>21</w:t>
            </w:r>
          </w:p>
        </w:tc>
      </w:tr>
      <w:tr w:rsidR="00DE12A3" w:rsidRPr="00DE12A3" w14:paraId="79902F36" w14:textId="77777777" w:rsidTr="009F4766">
        <w:tc>
          <w:tcPr>
            <w:tcW w:w="1182" w:type="dxa"/>
            <w:tcBorders>
              <w:top w:val="single" w:sz="2" w:space="0" w:color="auto"/>
              <w:left w:val="single" w:sz="2" w:space="0" w:color="auto"/>
              <w:bottom w:val="single" w:sz="2" w:space="0" w:color="auto"/>
              <w:right w:val="single" w:sz="2" w:space="0" w:color="auto"/>
            </w:tcBorders>
          </w:tcPr>
          <w:p w14:paraId="33D2F220" w14:textId="77777777" w:rsidR="009F4766" w:rsidRPr="00DE12A3" w:rsidRDefault="009F4766" w:rsidP="00C917D6">
            <w:pPr>
              <w:pStyle w:val="NormalLeft"/>
            </w:pPr>
            <w:r w:rsidRPr="00DE12A3">
              <w:t>849</w:t>
            </w:r>
          </w:p>
        </w:tc>
        <w:tc>
          <w:tcPr>
            <w:tcW w:w="2489" w:type="dxa"/>
            <w:tcBorders>
              <w:top w:val="single" w:sz="2" w:space="0" w:color="auto"/>
              <w:left w:val="single" w:sz="2" w:space="0" w:color="auto"/>
              <w:bottom w:val="single" w:sz="2" w:space="0" w:color="auto"/>
              <w:right w:val="single" w:sz="2" w:space="0" w:color="auto"/>
            </w:tcBorders>
          </w:tcPr>
          <w:p w14:paraId="3E9F9037" w14:textId="77777777" w:rsidR="009F4766" w:rsidRPr="00DE12A3" w:rsidRDefault="009F4766" w:rsidP="00C917D6">
            <w:pPr>
              <w:pStyle w:val="NormalLeft"/>
            </w:pPr>
            <w:r w:rsidRPr="00DE12A3">
              <w:t>83</w:t>
            </w:r>
          </w:p>
        </w:tc>
        <w:tc>
          <w:tcPr>
            <w:tcW w:w="2551" w:type="dxa"/>
            <w:tcBorders>
              <w:top w:val="single" w:sz="2" w:space="0" w:color="auto"/>
              <w:left w:val="single" w:sz="2" w:space="0" w:color="auto"/>
              <w:bottom w:val="single" w:sz="2" w:space="0" w:color="auto"/>
              <w:right w:val="single" w:sz="2" w:space="0" w:color="auto"/>
            </w:tcBorders>
          </w:tcPr>
          <w:p w14:paraId="0A6C589D" w14:textId="77777777" w:rsidR="009F4766" w:rsidRPr="00DE12A3" w:rsidRDefault="009F4766" w:rsidP="00C917D6">
            <w:pPr>
              <w:pStyle w:val="NormalLeft"/>
            </w:pPr>
            <w:r w:rsidRPr="00DE12A3">
              <w:t>15</w:t>
            </w:r>
          </w:p>
        </w:tc>
      </w:tr>
      <w:tr w:rsidR="00DE12A3" w:rsidRPr="00DE12A3" w14:paraId="76281031" w14:textId="77777777" w:rsidTr="009F4766">
        <w:tc>
          <w:tcPr>
            <w:tcW w:w="1182" w:type="dxa"/>
            <w:tcBorders>
              <w:top w:val="single" w:sz="2" w:space="0" w:color="auto"/>
              <w:left w:val="single" w:sz="2" w:space="0" w:color="auto"/>
              <w:bottom w:val="single" w:sz="2" w:space="0" w:color="auto"/>
              <w:right w:val="single" w:sz="2" w:space="0" w:color="auto"/>
            </w:tcBorders>
          </w:tcPr>
          <w:p w14:paraId="2B7022F4" w14:textId="77777777" w:rsidR="009F4766" w:rsidRPr="00DE12A3" w:rsidRDefault="009F4766" w:rsidP="00C917D6">
            <w:pPr>
              <w:pStyle w:val="NormalLeft"/>
            </w:pPr>
            <w:r w:rsidRPr="00DE12A3">
              <w:t>850</w:t>
            </w:r>
          </w:p>
        </w:tc>
        <w:tc>
          <w:tcPr>
            <w:tcW w:w="2489" w:type="dxa"/>
            <w:tcBorders>
              <w:top w:val="single" w:sz="2" w:space="0" w:color="auto"/>
              <w:left w:val="single" w:sz="2" w:space="0" w:color="auto"/>
              <w:bottom w:val="single" w:sz="2" w:space="0" w:color="auto"/>
              <w:right w:val="single" w:sz="2" w:space="0" w:color="auto"/>
            </w:tcBorders>
          </w:tcPr>
          <w:p w14:paraId="07F9B9B2" w14:textId="77777777" w:rsidR="009F4766" w:rsidRPr="00DE12A3" w:rsidRDefault="009F4766" w:rsidP="00C917D6">
            <w:pPr>
              <w:pStyle w:val="NormalLeft"/>
            </w:pPr>
            <w:r w:rsidRPr="00DE12A3">
              <w:t>83</w:t>
            </w:r>
          </w:p>
        </w:tc>
        <w:tc>
          <w:tcPr>
            <w:tcW w:w="2551" w:type="dxa"/>
            <w:tcBorders>
              <w:top w:val="single" w:sz="2" w:space="0" w:color="auto"/>
              <w:left w:val="single" w:sz="2" w:space="0" w:color="auto"/>
              <w:bottom w:val="single" w:sz="2" w:space="0" w:color="auto"/>
              <w:right w:val="single" w:sz="2" w:space="0" w:color="auto"/>
            </w:tcBorders>
          </w:tcPr>
          <w:p w14:paraId="125586FB" w14:textId="77777777" w:rsidR="009F4766" w:rsidRPr="00DE12A3" w:rsidRDefault="009F4766" w:rsidP="00C917D6">
            <w:pPr>
              <w:pStyle w:val="NormalLeft"/>
            </w:pPr>
            <w:r w:rsidRPr="00DE12A3">
              <w:t>12</w:t>
            </w:r>
          </w:p>
        </w:tc>
      </w:tr>
      <w:tr w:rsidR="00DE12A3" w:rsidRPr="00DE12A3" w14:paraId="3F18F1E3" w14:textId="77777777" w:rsidTr="009F4766">
        <w:tc>
          <w:tcPr>
            <w:tcW w:w="1182" w:type="dxa"/>
            <w:tcBorders>
              <w:top w:val="single" w:sz="2" w:space="0" w:color="auto"/>
              <w:left w:val="single" w:sz="2" w:space="0" w:color="auto"/>
              <w:bottom w:val="single" w:sz="2" w:space="0" w:color="auto"/>
              <w:right w:val="single" w:sz="2" w:space="0" w:color="auto"/>
            </w:tcBorders>
          </w:tcPr>
          <w:p w14:paraId="7A020CCD" w14:textId="77777777" w:rsidR="009F4766" w:rsidRPr="00DE12A3" w:rsidRDefault="009F4766" w:rsidP="00C917D6">
            <w:pPr>
              <w:pStyle w:val="NormalLeft"/>
            </w:pPr>
            <w:r w:rsidRPr="00DE12A3">
              <w:t>851</w:t>
            </w:r>
          </w:p>
        </w:tc>
        <w:tc>
          <w:tcPr>
            <w:tcW w:w="2489" w:type="dxa"/>
            <w:tcBorders>
              <w:top w:val="single" w:sz="2" w:space="0" w:color="auto"/>
              <w:left w:val="single" w:sz="2" w:space="0" w:color="auto"/>
              <w:bottom w:val="single" w:sz="2" w:space="0" w:color="auto"/>
              <w:right w:val="single" w:sz="2" w:space="0" w:color="auto"/>
            </w:tcBorders>
          </w:tcPr>
          <w:p w14:paraId="3BB20EFB" w14:textId="77777777" w:rsidR="009F4766" w:rsidRPr="00DE12A3" w:rsidRDefault="009F4766" w:rsidP="00C917D6">
            <w:pPr>
              <w:pStyle w:val="NormalLeft"/>
            </w:pPr>
            <w:r w:rsidRPr="00DE12A3">
              <w:t>83</w:t>
            </w:r>
          </w:p>
        </w:tc>
        <w:tc>
          <w:tcPr>
            <w:tcW w:w="2551" w:type="dxa"/>
            <w:tcBorders>
              <w:top w:val="single" w:sz="2" w:space="0" w:color="auto"/>
              <w:left w:val="single" w:sz="2" w:space="0" w:color="auto"/>
              <w:bottom w:val="single" w:sz="2" w:space="0" w:color="auto"/>
              <w:right w:val="single" w:sz="2" w:space="0" w:color="auto"/>
            </w:tcBorders>
          </w:tcPr>
          <w:p w14:paraId="38F58C6D" w14:textId="77777777" w:rsidR="009F4766" w:rsidRPr="00DE12A3" w:rsidRDefault="009F4766" w:rsidP="00C917D6">
            <w:pPr>
              <w:pStyle w:val="NormalLeft"/>
            </w:pPr>
            <w:r w:rsidRPr="00DE12A3">
              <w:t>9</w:t>
            </w:r>
          </w:p>
        </w:tc>
      </w:tr>
      <w:tr w:rsidR="00DE12A3" w:rsidRPr="00DE12A3" w14:paraId="0921D450" w14:textId="77777777" w:rsidTr="009F4766">
        <w:tc>
          <w:tcPr>
            <w:tcW w:w="1182" w:type="dxa"/>
            <w:tcBorders>
              <w:top w:val="single" w:sz="2" w:space="0" w:color="auto"/>
              <w:left w:val="single" w:sz="2" w:space="0" w:color="auto"/>
              <w:bottom w:val="single" w:sz="2" w:space="0" w:color="auto"/>
              <w:right w:val="single" w:sz="2" w:space="0" w:color="auto"/>
            </w:tcBorders>
          </w:tcPr>
          <w:p w14:paraId="3B046576" w14:textId="77777777" w:rsidR="009F4766" w:rsidRPr="00DE12A3" w:rsidRDefault="009F4766" w:rsidP="00C917D6">
            <w:pPr>
              <w:pStyle w:val="NormalLeft"/>
            </w:pPr>
            <w:r w:rsidRPr="00DE12A3">
              <w:t>852</w:t>
            </w:r>
          </w:p>
        </w:tc>
        <w:tc>
          <w:tcPr>
            <w:tcW w:w="2489" w:type="dxa"/>
            <w:tcBorders>
              <w:top w:val="single" w:sz="2" w:space="0" w:color="auto"/>
              <w:left w:val="single" w:sz="2" w:space="0" w:color="auto"/>
              <w:bottom w:val="single" w:sz="2" w:space="0" w:color="auto"/>
              <w:right w:val="single" w:sz="2" w:space="0" w:color="auto"/>
            </w:tcBorders>
          </w:tcPr>
          <w:p w14:paraId="32B52B19" w14:textId="77777777" w:rsidR="009F4766" w:rsidRPr="00DE12A3" w:rsidRDefault="009F4766" w:rsidP="00C917D6">
            <w:pPr>
              <w:pStyle w:val="NormalLeft"/>
            </w:pPr>
            <w:r w:rsidRPr="00DE12A3">
              <w:t>83</w:t>
            </w:r>
          </w:p>
        </w:tc>
        <w:tc>
          <w:tcPr>
            <w:tcW w:w="2551" w:type="dxa"/>
            <w:tcBorders>
              <w:top w:val="single" w:sz="2" w:space="0" w:color="auto"/>
              <w:left w:val="single" w:sz="2" w:space="0" w:color="auto"/>
              <w:bottom w:val="single" w:sz="2" w:space="0" w:color="auto"/>
              <w:right w:val="single" w:sz="2" w:space="0" w:color="auto"/>
            </w:tcBorders>
          </w:tcPr>
          <w:p w14:paraId="6B431FA4" w14:textId="77777777" w:rsidR="009F4766" w:rsidRPr="00DE12A3" w:rsidRDefault="009F4766" w:rsidP="00C917D6">
            <w:pPr>
              <w:pStyle w:val="NormalLeft"/>
            </w:pPr>
            <w:r w:rsidRPr="00DE12A3">
              <w:t>8</w:t>
            </w:r>
          </w:p>
        </w:tc>
      </w:tr>
      <w:tr w:rsidR="00DE12A3" w:rsidRPr="00DE12A3" w14:paraId="5B41BD06" w14:textId="77777777" w:rsidTr="009F4766">
        <w:tc>
          <w:tcPr>
            <w:tcW w:w="1182" w:type="dxa"/>
            <w:tcBorders>
              <w:top w:val="single" w:sz="2" w:space="0" w:color="auto"/>
              <w:left w:val="single" w:sz="2" w:space="0" w:color="auto"/>
              <w:bottom w:val="single" w:sz="2" w:space="0" w:color="auto"/>
              <w:right w:val="single" w:sz="2" w:space="0" w:color="auto"/>
            </w:tcBorders>
          </w:tcPr>
          <w:p w14:paraId="71DAACBE" w14:textId="77777777" w:rsidR="009F4766" w:rsidRPr="00DE12A3" w:rsidRDefault="009F4766" w:rsidP="00C917D6">
            <w:pPr>
              <w:pStyle w:val="NormalLeft"/>
            </w:pPr>
            <w:r w:rsidRPr="00DE12A3">
              <w:t>853</w:t>
            </w:r>
          </w:p>
        </w:tc>
        <w:tc>
          <w:tcPr>
            <w:tcW w:w="2489" w:type="dxa"/>
            <w:tcBorders>
              <w:top w:val="single" w:sz="2" w:space="0" w:color="auto"/>
              <w:left w:val="single" w:sz="2" w:space="0" w:color="auto"/>
              <w:bottom w:val="single" w:sz="2" w:space="0" w:color="auto"/>
              <w:right w:val="single" w:sz="2" w:space="0" w:color="auto"/>
            </w:tcBorders>
          </w:tcPr>
          <w:p w14:paraId="6D21F141" w14:textId="77777777" w:rsidR="009F4766" w:rsidRPr="00DE12A3" w:rsidRDefault="009F4766" w:rsidP="00C917D6">
            <w:pPr>
              <w:pStyle w:val="NormalLeft"/>
            </w:pPr>
            <w:r w:rsidRPr="00DE12A3">
              <w:t>83</w:t>
            </w:r>
          </w:p>
        </w:tc>
        <w:tc>
          <w:tcPr>
            <w:tcW w:w="2551" w:type="dxa"/>
            <w:tcBorders>
              <w:top w:val="single" w:sz="2" w:space="0" w:color="auto"/>
              <w:left w:val="single" w:sz="2" w:space="0" w:color="auto"/>
              <w:bottom w:val="single" w:sz="2" w:space="0" w:color="auto"/>
              <w:right w:val="single" w:sz="2" w:space="0" w:color="auto"/>
            </w:tcBorders>
          </w:tcPr>
          <w:p w14:paraId="4A312ABF" w14:textId="77777777" w:rsidR="009F4766" w:rsidRPr="00DE12A3" w:rsidRDefault="009F4766" w:rsidP="00C917D6">
            <w:pPr>
              <w:pStyle w:val="NormalLeft"/>
            </w:pPr>
            <w:r w:rsidRPr="00DE12A3">
              <w:t>7</w:t>
            </w:r>
          </w:p>
        </w:tc>
      </w:tr>
      <w:tr w:rsidR="00DE12A3" w:rsidRPr="00DE12A3" w14:paraId="26A6AFE8" w14:textId="77777777" w:rsidTr="009F4766">
        <w:tc>
          <w:tcPr>
            <w:tcW w:w="1182" w:type="dxa"/>
            <w:tcBorders>
              <w:top w:val="single" w:sz="2" w:space="0" w:color="auto"/>
              <w:left w:val="single" w:sz="2" w:space="0" w:color="auto"/>
              <w:bottom w:val="single" w:sz="2" w:space="0" w:color="auto"/>
              <w:right w:val="single" w:sz="2" w:space="0" w:color="auto"/>
            </w:tcBorders>
          </w:tcPr>
          <w:p w14:paraId="03FD6EA4" w14:textId="77777777" w:rsidR="009F4766" w:rsidRPr="00DE12A3" w:rsidRDefault="009F4766" w:rsidP="00C917D6">
            <w:pPr>
              <w:pStyle w:val="NormalLeft"/>
            </w:pPr>
            <w:r w:rsidRPr="00DE12A3">
              <w:t>854</w:t>
            </w:r>
          </w:p>
        </w:tc>
        <w:tc>
          <w:tcPr>
            <w:tcW w:w="2489" w:type="dxa"/>
            <w:tcBorders>
              <w:top w:val="single" w:sz="2" w:space="0" w:color="auto"/>
              <w:left w:val="single" w:sz="2" w:space="0" w:color="auto"/>
              <w:bottom w:val="single" w:sz="2" w:space="0" w:color="auto"/>
              <w:right w:val="single" w:sz="2" w:space="0" w:color="auto"/>
            </w:tcBorders>
          </w:tcPr>
          <w:p w14:paraId="2C8A4CCA" w14:textId="77777777" w:rsidR="009F4766" w:rsidRPr="00DE12A3" w:rsidRDefault="009F4766" w:rsidP="00C917D6">
            <w:pPr>
              <w:pStyle w:val="NormalLeft"/>
            </w:pPr>
            <w:r w:rsidRPr="00DE12A3">
              <w:t>83</w:t>
            </w:r>
          </w:p>
        </w:tc>
        <w:tc>
          <w:tcPr>
            <w:tcW w:w="2551" w:type="dxa"/>
            <w:tcBorders>
              <w:top w:val="single" w:sz="2" w:space="0" w:color="auto"/>
              <w:left w:val="single" w:sz="2" w:space="0" w:color="auto"/>
              <w:bottom w:val="single" w:sz="2" w:space="0" w:color="auto"/>
              <w:right w:val="single" w:sz="2" w:space="0" w:color="auto"/>
            </w:tcBorders>
          </w:tcPr>
          <w:p w14:paraId="50B0B899" w14:textId="77777777" w:rsidR="009F4766" w:rsidRPr="00DE12A3" w:rsidRDefault="009F4766" w:rsidP="00C917D6">
            <w:pPr>
              <w:pStyle w:val="NormalLeft"/>
            </w:pPr>
            <w:r w:rsidRPr="00DE12A3">
              <w:t>6</w:t>
            </w:r>
          </w:p>
        </w:tc>
      </w:tr>
      <w:tr w:rsidR="00DE12A3" w:rsidRPr="00DE12A3" w14:paraId="2E39FF0D" w14:textId="77777777" w:rsidTr="009F4766">
        <w:tc>
          <w:tcPr>
            <w:tcW w:w="1182" w:type="dxa"/>
            <w:tcBorders>
              <w:top w:val="single" w:sz="2" w:space="0" w:color="auto"/>
              <w:left w:val="single" w:sz="2" w:space="0" w:color="auto"/>
              <w:bottom w:val="single" w:sz="2" w:space="0" w:color="auto"/>
              <w:right w:val="single" w:sz="2" w:space="0" w:color="auto"/>
            </w:tcBorders>
          </w:tcPr>
          <w:p w14:paraId="63B72774" w14:textId="77777777" w:rsidR="009F4766" w:rsidRPr="00DE12A3" w:rsidRDefault="009F4766" w:rsidP="00C917D6">
            <w:pPr>
              <w:pStyle w:val="NormalLeft"/>
            </w:pPr>
            <w:r w:rsidRPr="00DE12A3">
              <w:t>855</w:t>
            </w:r>
          </w:p>
        </w:tc>
        <w:tc>
          <w:tcPr>
            <w:tcW w:w="2489" w:type="dxa"/>
            <w:tcBorders>
              <w:top w:val="single" w:sz="2" w:space="0" w:color="auto"/>
              <w:left w:val="single" w:sz="2" w:space="0" w:color="auto"/>
              <w:bottom w:val="single" w:sz="2" w:space="0" w:color="auto"/>
              <w:right w:val="single" w:sz="2" w:space="0" w:color="auto"/>
            </w:tcBorders>
          </w:tcPr>
          <w:p w14:paraId="0471749F" w14:textId="77777777" w:rsidR="009F4766" w:rsidRPr="00DE12A3" w:rsidRDefault="009F4766" w:rsidP="00C917D6">
            <w:pPr>
              <w:pStyle w:val="NormalLeft"/>
            </w:pPr>
            <w:r w:rsidRPr="00DE12A3">
              <w:t>83</w:t>
            </w:r>
          </w:p>
        </w:tc>
        <w:tc>
          <w:tcPr>
            <w:tcW w:w="2551" w:type="dxa"/>
            <w:tcBorders>
              <w:top w:val="single" w:sz="2" w:space="0" w:color="auto"/>
              <w:left w:val="single" w:sz="2" w:space="0" w:color="auto"/>
              <w:bottom w:val="single" w:sz="2" w:space="0" w:color="auto"/>
              <w:right w:val="single" w:sz="2" w:space="0" w:color="auto"/>
            </w:tcBorders>
          </w:tcPr>
          <w:p w14:paraId="0F93A552" w14:textId="77777777" w:rsidR="009F4766" w:rsidRPr="00DE12A3" w:rsidRDefault="009F4766" w:rsidP="00C917D6">
            <w:pPr>
              <w:pStyle w:val="NormalLeft"/>
            </w:pPr>
            <w:r w:rsidRPr="00DE12A3">
              <w:t>6</w:t>
            </w:r>
          </w:p>
        </w:tc>
      </w:tr>
      <w:tr w:rsidR="00DE12A3" w:rsidRPr="00DE12A3" w14:paraId="43B9B9F2" w14:textId="77777777" w:rsidTr="009F4766">
        <w:tc>
          <w:tcPr>
            <w:tcW w:w="1182" w:type="dxa"/>
            <w:tcBorders>
              <w:top w:val="single" w:sz="2" w:space="0" w:color="auto"/>
              <w:left w:val="single" w:sz="2" w:space="0" w:color="auto"/>
              <w:bottom w:val="single" w:sz="2" w:space="0" w:color="auto"/>
              <w:right w:val="single" w:sz="2" w:space="0" w:color="auto"/>
            </w:tcBorders>
          </w:tcPr>
          <w:p w14:paraId="01FA5B69" w14:textId="77777777" w:rsidR="009F4766" w:rsidRPr="00DE12A3" w:rsidRDefault="009F4766" w:rsidP="00C917D6">
            <w:pPr>
              <w:pStyle w:val="NormalLeft"/>
            </w:pPr>
            <w:r w:rsidRPr="00DE12A3">
              <w:t>856</w:t>
            </w:r>
          </w:p>
        </w:tc>
        <w:tc>
          <w:tcPr>
            <w:tcW w:w="2489" w:type="dxa"/>
            <w:tcBorders>
              <w:top w:val="single" w:sz="2" w:space="0" w:color="auto"/>
              <w:left w:val="single" w:sz="2" w:space="0" w:color="auto"/>
              <w:bottom w:val="single" w:sz="2" w:space="0" w:color="auto"/>
              <w:right w:val="single" w:sz="2" w:space="0" w:color="auto"/>
            </w:tcBorders>
          </w:tcPr>
          <w:p w14:paraId="7C917BC5" w14:textId="77777777" w:rsidR="009F4766" w:rsidRPr="00DE12A3" w:rsidRDefault="009F4766" w:rsidP="00C917D6">
            <w:pPr>
              <w:pStyle w:val="NormalLeft"/>
            </w:pPr>
            <w:r w:rsidRPr="00DE12A3">
              <w:t>83</w:t>
            </w:r>
          </w:p>
        </w:tc>
        <w:tc>
          <w:tcPr>
            <w:tcW w:w="2551" w:type="dxa"/>
            <w:tcBorders>
              <w:top w:val="single" w:sz="2" w:space="0" w:color="auto"/>
              <w:left w:val="single" w:sz="2" w:space="0" w:color="auto"/>
              <w:bottom w:val="single" w:sz="2" w:space="0" w:color="auto"/>
              <w:right w:val="single" w:sz="2" w:space="0" w:color="auto"/>
            </w:tcBorders>
          </w:tcPr>
          <w:p w14:paraId="74463059" w14:textId="77777777" w:rsidR="009F4766" w:rsidRPr="00DE12A3" w:rsidRDefault="009F4766" w:rsidP="00C917D6">
            <w:pPr>
              <w:pStyle w:val="NormalLeft"/>
            </w:pPr>
            <w:r w:rsidRPr="00DE12A3">
              <w:t>6</w:t>
            </w:r>
          </w:p>
        </w:tc>
      </w:tr>
      <w:tr w:rsidR="00DE12A3" w:rsidRPr="00DE12A3" w14:paraId="413F7DC2" w14:textId="77777777" w:rsidTr="009F4766">
        <w:tc>
          <w:tcPr>
            <w:tcW w:w="1182" w:type="dxa"/>
            <w:tcBorders>
              <w:top w:val="single" w:sz="2" w:space="0" w:color="auto"/>
              <w:left w:val="single" w:sz="2" w:space="0" w:color="auto"/>
              <w:bottom w:val="single" w:sz="2" w:space="0" w:color="auto"/>
              <w:right w:val="single" w:sz="2" w:space="0" w:color="auto"/>
            </w:tcBorders>
          </w:tcPr>
          <w:p w14:paraId="471F5D3E" w14:textId="77777777" w:rsidR="009F4766" w:rsidRPr="00DE12A3" w:rsidRDefault="009F4766" w:rsidP="00C917D6">
            <w:pPr>
              <w:pStyle w:val="NormalLeft"/>
            </w:pPr>
            <w:r w:rsidRPr="00DE12A3">
              <w:t>857</w:t>
            </w:r>
          </w:p>
        </w:tc>
        <w:tc>
          <w:tcPr>
            <w:tcW w:w="2489" w:type="dxa"/>
            <w:tcBorders>
              <w:top w:val="single" w:sz="2" w:space="0" w:color="auto"/>
              <w:left w:val="single" w:sz="2" w:space="0" w:color="auto"/>
              <w:bottom w:val="single" w:sz="2" w:space="0" w:color="auto"/>
              <w:right w:val="single" w:sz="2" w:space="0" w:color="auto"/>
            </w:tcBorders>
          </w:tcPr>
          <w:p w14:paraId="1948F5AF" w14:textId="77777777" w:rsidR="009F4766" w:rsidRPr="00DE12A3" w:rsidRDefault="009F4766" w:rsidP="00C917D6">
            <w:pPr>
              <w:pStyle w:val="NormalLeft"/>
            </w:pPr>
            <w:r w:rsidRPr="00DE12A3">
              <w:t>83</w:t>
            </w:r>
          </w:p>
        </w:tc>
        <w:tc>
          <w:tcPr>
            <w:tcW w:w="2551" w:type="dxa"/>
            <w:tcBorders>
              <w:top w:val="single" w:sz="2" w:space="0" w:color="auto"/>
              <w:left w:val="single" w:sz="2" w:space="0" w:color="auto"/>
              <w:bottom w:val="single" w:sz="2" w:space="0" w:color="auto"/>
              <w:right w:val="single" w:sz="2" w:space="0" w:color="auto"/>
            </w:tcBorders>
          </w:tcPr>
          <w:p w14:paraId="1F05EC1B" w14:textId="77777777" w:rsidR="009F4766" w:rsidRPr="00DE12A3" w:rsidRDefault="009F4766" w:rsidP="00C917D6">
            <w:pPr>
              <w:pStyle w:val="NormalLeft"/>
            </w:pPr>
            <w:r w:rsidRPr="00DE12A3">
              <w:t>6</w:t>
            </w:r>
          </w:p>
        </w:tc>
      </w:tr>
      <w:tr w:rsidR="00DE12A3" w:rsidRPr="00DE12A3" w14:paraId="301E1779" w14:textId="77777777" w:rsidTr="009F4766">
        <w:tc>
          <w:tcPr>
            <w:tcW w:w="1182" w:type="dxa"/>
            <w:tcBorders>
              <w:top w:val="single" w:sz="2" w:space="0" w:color="auto"/>
              <w:left w:val="single" w:sz="2" w:space="0" w:color="auto"/>
              <w:bottom w:val="single" w:sz="2" w:space="0" w:color="auto"/>
              <w:right w:val="single" w:sz="2" w:space="0" w:color="auto"/>
            </w:tcBorders>
          </w:tcPr>
          <w:p w14:paraId="3BC84CED" w14:textId="77777777" w:rsidR="009F4766" w:rsidRPr="00DE12A3" w:rsidRDefault="009F4766" w:rsidP="00C917D6">
            <w:pPr>
              <w:pStyle w:val="NormalLeft"/>
            </w:pPr>
            <w:r w:rsidRPr="00DE12A3">
              <w:t>858</w:t>
            </w:r>
          </w:p>
        </w:tc>
        <w:tc>
          <w:tcPr>
            <w:tcW w:w="2489" w:type="dxa"/>
            <w:tcBorders>
              <w:top w:val="single" w:sz="2" w:space="0" w:color="auto"/>
              <w:left w:val="single" w:sz="2" w:space="0" w:color="auto"/>
              <w:bottom w:val="single" w:sz="2" w:space="0" w:color="auto"/>
              <w:right w:val="single" w:sz="2" w:space="0" w:color="auto"/>
            </w:tcBorders>
          </w:tcPr>
          <w:p w14:paraId="0E3BE496" w14:textId="77777777" w:rsidR="009F4766" w:rsidRPr="00DE12A3" w:rsidRDefault="009F4766" w:rsidP="00C917D6">
            <w:pPr>
              <w:pStyle w:val="NormalLeft"/>
            </w:pPr>
            <w:r w:rsidRPr="00DE12A3">
              <w:t>83</w:t>
            </w:r>
          </w:p>
        </w:tc>
        <w:tc>
          <w:tcPr>
            <w:tcW w:w="2551" w:type="dxa"/>
            <w:tcBorders>
              <w:top w:val="single" w:sz="2" w:space="0" w:color="auto"/>
              <w:left w:val="single" w:sz="2" w:space="0" w:color="auto"/>
              <w:bottom w:val="single" w:sz="2" w:space="0" w:color="auto"/>
              <w:right w:val="single" w:sz="2" w:space="0" w:color="auto"/>
            </w:tcBorders>
          </w:tcPr>
          <w:p w14:paraId="2ABD02B8" w14:textId="77777777" w:rsidR="009F4766" w:rsidRPr="00DE12A3" w:rsidRDefault="009F4766" w:rsidP="00C917D6">
            <w:pPr>
              <w:pStyle w:val="NormalLeft"/>
            </w:pPr>
            <w:r w:rsidRPr="00DE12A3">
              <w:t>6</w:t>
            </w:r>
          </w:p>
        </w:tc>
      </w:tr>
      <w:tr w:rsidR="00DE12A3" w:rsidRPr="00DE12A3" w14:paraId="5E5784A9" w14:textId="77777777" w:rsidTr="009F4766">
        <w:tc>
          <w:tcPr>
            <w:tcW w:w="1182" w:type="dxa"/>
            <w:tcBorders>
              <w:top w:val="single" w:sz="2" w:space="0" w:color="auto"/>
              <w:left w:val="single" w:sz="2" w:space="0" w:color="auto"/>
              <w:bottom w:val="single" w:sz="2" w:space="0" w:color="auto"/>
              <w:right w:val="single" w:sz="2" w:space="0" w:color="auto"/>
            </w:tcBorders>
          </w:tcPr>
          <w:p w14:paraId="0D775381" w14:textId="77777777" w:rsidR="009F4766" w:rsidRPr="00DE12A3" w:rsidRDefault="009F4766" w:rsidP="00C917D6">
            <w:pPr>
              <w:pStyle w:val="NormalLeft"/>
            </w:pPr>
            <w:r w:rsidRPr="00DE12A3">
              <w:t>859</w:t>
            </w:r>
          </w:p>
        </w:tc>
        <w:tc>
          <w:tcPr>
            <w:tcW w:w="2489" w:type="dxa"/>
            <w:tcBorders>
              <w:top w:val="single" w:sz="2" w:space="0" w:color="auto"/>
              <w:left w:val="single" w:sz="2" w:space="0" w:color="auto"/>
              <w:bottom w:val="single" w:sz="2" w:space="0" w:color="auto"/>
              <w:right w:val="single" w:sz="2" w:space="0" w:color="auto"/>
            </w:tcBorders>
          </w:tcPr>
          <w:p w14:paraId="35CB2779" w14:textId="77777777" w:rsidR="009F4766" w:rsidRPr="00DE12A3" w:rsidRDefault="009F4766" w:rsidP="00C917D6">
            <w:pPr>
              <w:pStyle w:val="NormalLeft"/>
            </w:pPr>
            <w:r w:rsidRPr="00DE12A3">
              <w:t>76</w:t>
            </w:r>
          </w:p>
        </w:tc>
        <w:tc>
          <w:tcPr>
            <w:tcW w:w="2551" w:type="dxa"/>
            <w:tcBorders>
              <w:top w:val="single" w:sz="2" w:space="0" w:color="auto"/>
              <w:left w:val="single" w:sz="2" w:space="0" w:color="auto"/>
              <w:bottom w:val="single" w:sz="2" w:space="0" w:color="auto"/>
              <w:right w:val="single" w:sz="2" w:space="0" w:color="auto"/>
            </w:tcBorders>
          </w:tcPr>
          <w:p w14:paraId="4DB61BDB" w14:textId="77777777" w:rsidR="009F4766" w:rsidRPr="00DE12A3" w:rsidRDefault="009F4766" w:rsidP="00C917D6">
            <w:pPr>
              <w:pStyle w:val="NormalLeft"/>
            </w:pPr>
            <w:r w:rsidRPr="00DE12A3">
              <w:t>5</w:t>
            </w:r>
          </w:p>
        </w:tc>
      </w:tr>
      <w:tr w:rsidR="00DE12A3" w:rsidRPr="00DE12A3" w14:paraId="73D18785" w14:textId="77777777" w:rsidTr="009F4766">
        <w:tc>
          <w:tcPr>
            <w:tcW w:w="1182" w:type="dxa"/>
            <w:tcBorders>
              <w:top w:val="single" w:sz="2" w:space="0" w:color="auto"/>
              <w:left w:val="single" w:sz="2" w:space="0" w:color="auto"/>
              <w:bottom w:val="single" w:sz="2" w:space="0" w:color="auto"/>
              <w:right w:val="single" w:sz="2" w:space="0" w:color="auto"/>
            </w:tcBorders>
          </w:tcPr>
          <w:p w14:paraId="5E893B02" w14:textId="77777777" w:rsidR="009F4766" w:rsidRPr="00DE12A3" w:rsidRDefault="009F4766" w:rsidP="00C917D6">
            <w:pPr>
              <w:pStyle w:val="NormalLeft"/>
            </w:pPr>
            <w:r w:rsidRPr="00DE12A3">
              <w:lastRenderedPageBreak/>
              <w:t>860</w:t>
            </w:r>
          </w:p>
        </w:tc>
        <w:tc>
          <w:tcPr>
            <w:tcW w:w="2489" w:type="dxa"/>
            <w:tcBorders>
              <w:top w:val="single" w:sz="2" w:space="0" w:color="auto"/>
              <w:left w:val="single" w:sz="2" w:space="0" w:color="auto"/>
              <w:bottom w:val="single" w:sz="2" w:space="0" w:color="auto"/>
              <w:right w:val="single" w:sz="2" w:space="0" w:color="auto"/>
            </w:tcBorders>
          </w:tcPr>
          <w:p w14:paraId="51A99FFB" w14:textId="77777777" w:rsidR="009F4766" w:rsidRPr="00DE12A3" w:rsidRDefault="009F4766" w:rsidP="00C917D6">
            <w:pPr>
              <w:pStyle w:val="NormalLeft"/>
            </w:pPr>
            <w:r w:rsidRPr="00DE12A3">
              <w:t>49</w:t>
            </w:r>
          </w:p>
        </w:tc>
        <w:tc>
          <w:tcPr>
            <w:tcW w:w="2551" w:type="dxa"/>
            <w:tcBorders>
              <w:top w:val="single" w:sz="2" w:space="0" w:color="auto"/>
              <w:left w:val="single" w:sz="2" w:space="0" w:color="auto"/>
              <w:bottom w:val="single" w:sz="2" w:space="0" w:color="auto"/>
              <w:right w:val="single" w:sz="2" w:space="0" w:color="auto"/>
            </w:tcBorders>
          </w:tcPr>
          <w:p w14:paraId="736B3B5E" w14:textId="77777777" w:rsidR="009F4766" w:rsidRPr="00DE12A3" w:rsidRDefault="009F4766" w:rsidP="00C917D6">
            <w:pPr>
              <w:pStyle w:val="NormalLeft"/>
            </w:pPr>
            <w:r w:rsidRPr="00DE12A3">
              <w:t>8</w:t>
            </w:r>
          </w:p>
        </w:tc>
      </w:tr>
      <w:tr w:rsidR="00DE12A3" w:rsidRPr="00DE12A3" w14:paraId="71C832C3" w14:textId="77777777" w:rsidTr="009F4766">
        <w:tc>
          <w:tcPr>
            <w:tcW w:w="1182" w:type="dxa"/>
            <w:tcBorders>
              <w:top w:val="single" w:sz="2" w:space="0" w:color="auto"/>
              <w:left w:val="single" w:sz="2" w:space="0" w:color="auto"/>
              <w:bottom w:val="single" w:sz="2" w:space="0" w:color="auto"/>
              <w:right w:val="single" w:sz="2" w:space="0" w:color="auto"/>
            </w:tcBorders>
          </w:tcPr>
          <w:p w14:paraId="4848FB9E" w14:textId="77777777" w:rsidR="009F4766" w:rsidRPr="00DE12A3" w:rsidRDefault="009F4766" w:rsidP="00C917D6">
            <w:pPr>
              <w:pStyle w:val="NormalLeft"/>
            </w:pPr>
            <w:r w:rsidRPr="00DE12A3">
              <w:t>861</w:t>
            </w:r>
          </w:p>
        </w:tc>
        <w:tc>
          <w:tcPr>
            <w:tcW w:w="2489" w:type="dxa"/>
            <w:tcBorders>
              <w:top w:val="single" w:sz="2" w:space="0" w:color="auto"/>
              <w:left w:val="single" w:sz="2" w:space="0" w:color="auto"/>
              <w:bottom w:val="single" w:sz="2" w:space="0" w:color="auto"/>
              <w:right w:val="single" w:sz="2" w:space="0" w:color="auto"/>
            </w:tcBorders>
          </w:tcPr>
          <w:p w14:paraId="32E9B171" w14:textId="77777777" w:rsidR="009F4766" w:rsidRPr="00DE12A3" w:rsidRDefault="009F4766" w:rsidP="00C917D6">
            <w:pPr>
              <w:pStyle w:val="NormalLeft"/>
            </w:pPr>
            <w:r w:rsidRPr="00DE12A3">
              <w:t>51</w:t>
            </w:r>
          </w:p>
        </w:tc>
        <w:tc>
          <w:tcPr>
            <w:tcW w:w="2551" w:type="dxa"/>
            <w:tcBorders>
              <w:top w:val="single" w:sz="2" w:space="0" w:color="auto"/>
              <w:left w:val="single" w:sz="2" w:space="0" w:color="auto"/>
              <w:bottom w:val="single" w:sz="2" w:space="0" w:color="auto"/>
              <w:right w:val="single" w:sz="2" w:space="0" w:color="auto"/>
            </w:tcBorders>
          </w:tcPr>
          <w:p w14:paraId="4A491C1C" w14:textId="77777777" w:rsidR="009F4766" w:rsidRPr="00DE12A3" w:rsidRDefault="009F4766" w:rsidP="00C917D6">
            <w:pPr>
              <w:pStyle w:val="NormalLeft"/>
            </w:pPr>
            <w:r w:rsidRPr="00DE12A3">
              <w:t>7</w:t>
            </w:r>
          </w:p>
        </w:tc>
      </w:tr>
      <w:tr w:rsidR="00DE12A3" w:rsidRPr="00DE12A3" w14:paraId="0D385A52" w14:textId="77777777" w:rsidTr="009F4766">
        <w:tc>
          <w:tcPr>
            <w:tcW w:w="1182" w:type="dxa"/>
            <w:tcBorders>
              <w:top w:val="single" w:sz="2" w:space="0" w:color="auto"/>
              <w:left w:val="single" w:sz="2" w:space="0" w:color="auto"/>
              <w:bottom w:val="single" w:sz="2" w:space="0" w:color="auto"/>
              <w:right w:val="single" w:sz="2" w:space="0" w:color="auto"/>
            </w:tcBorders>
          </w:tcPr>
          <w:p w14:paraId="285065D1" w14:textId="77777777" w:rsidR="009F4766" w:rsidRPr="00DE12A3" w:rsidRDefault="009F4766" w:rsidP="00C917D6">
            <w:pPr>
              <w:pStyle w:val="NormalLeft"/>
            </w:pPr>
            <w:r w:rsidRPr="00DE12A3">
              <w:t>862</w:t>
            </w:r>
          </w:p>
        </w:tc>
        <w:tc>
          <w:tcPr>
            <w:tcW w:w="2489" w:type="dxa"/>
            <w:tcBorders>
              <w:top w:val="single" w:sz="2" w:space="0" w:color="auto"/>
              <w:left w:val="single" w:sz="2" w:space="0" w:color="auto"/>
              <w:bottom w:val="single" w:sz="2" w:space="0" w:color="auto"/>
              <w:right w:val="single" w:sz="2" w:space="0" w:color="auto"/>
            </w:tcBorders>
          </w:tcPr>
          <w:p w14:paraId="2F5EC9E2" w14:textId="77777777" w:rsidR="009F4766" w:rsidRPr="00DE12A3" w:rsidRDefault="009F4766" w:rsidP="00C917D6">
            <w:pPr>
              <w:pStyle w:val="NormalLeft"/>
            </w:pPr>
            <w:r w:rsidRPr="00DE12A3">
              <w:t>51</w:t>
            </w:r>
          </w:p>
        </w:tc>
        <w:tc>
          <w:tcPr>
            <w:tcW w:w="2551" w:type="dxa"/>
            <w:tcBorders>
              <w:top w:val="single" w:sz="2" w:space="0" w:color="auto"/>
              <w:left w:val="single" w:sz="2" w:space="0" w:color="auto"/>
              <w:bottom w:val="single" w:sz="2" w:space="0" w:color="auto"/>
              <w:right w:val="single" w:sz="2" w:space="0" w:color="auto"/>
            </w:tcBorders>
          </w:tcPr>
          <w:p w14:paraId="6273BD77" w14:textId="77777777" w:rsidR="009F4766" w:rsidRPr="00DE12A3" w:rsidRDefault="009F4766" w:rsidP="00C917D6">
            <w:pPr>
              <w:pStyle w:val="NormalLeft"/>
            </w:pPr>
            <w:r w:rsidRPr="00DE12A3">
              <w:t>20</w:t>
            </w:r>
          </w:p>
        </w:tc>
      </w:tr>
      <w:tr w:rsidR="00DE12A3" w:rsidRPr="00DE12A3" w14:paraId="18DCB077" w14:textId="77777777" w:rsidTr="009F4766">
        <w:tc>
          <w:tcPr>
            <w:tcW w:w="1182" w:type="dxa"/>
            <w:tcBorders>
              <w:top w:val="single" w:sz="2" w:space="0" w:color="auto"/>
              <w:left w:val="single" w:sz="2" w:space="0" w:color="auto"/>
              <w:bottom w:val="single" w:sz="2" w:space="0" w:color="auto"/>
              <w:right w:val="single" w:sz="2" w:space="0" w:color="auto"/>
            </w:tcBorders>
          </w:tcPr>
          <w:p w14:paraId="45EDB855" w14:textId="77777777" w:rsidR="009F4766" w:rsidRPr="00DE12A3" w:rsidRDefault="009F4766" w:rsidP="00C917D6">
            <w:pPr>
              <w:pStyle w:val="NormalLeft"/>
            </w:pPr>
            <w:r w:rsidRPr="00DE12A3">
              <w:t>863</w:t>
            </w:r>
          </w:p>
        </w:tc>
        <w:tc>
          <w:tcPr>
            <w:tcW w:w="2489" w:type="dxa"/>
            <w:tcBorders>
              <w:top w:val="single" w:sz="2" w:space="0" w:color="auto"/>
              <w:left w:val="single" w:sz="2" w:space="0" w:color="auto"/>
              <w:bottom w:val="single" w:sz="2" w:space="0" w:color="auto"/>
              <w:right w:val="single" w:sz="2" w:space="0" w:color="auto"/>
            </w:tcBorders>
          </w:tcPr>
          <w:p w14:paraId="4BC565BA" w14:textId="77777777" w:rsidR="009F4766" w:rsidRPr="00DE12A3" w:rsidRDefault="009F4766" w:rsidP="00C917D6">
            <w:pPr>
              <w:pStyle w:val="NormalLeft"/>
            </w:pPr>
            <w:r w:rsidRPr="00DE12A3">
              <w:t>78</w:t>
            </w:r>
          </w:p>
        </w:tc>
        <w:tc>
          <w:tcPr>
            <w:tcW w:w="2551" w:type="dxa"/>
            <w:tcBorders>
              <w:top w:val="single" w:sz="2" w:space="0" w:color="auto"/>
              <w:left w:val="single" w:sz="2" w:space="0" w:color="auto"/>
              <w:bottom w:val="single" w:sz="2" w:space="0" w:color="auto"/>
              <w:right w:val="single" w:sz="2" w:space="0" w:color="auto"/>
            </w:tcBorders>
          </w:tcPr>
          <w:p w14:paraId="6EDC6A08" w14:textId="77777777" w:rsidR="009F4766" w:rsidRPr="00DE12A3" w:rsidRDefault="009F4766" w:rsidP="00C917D6">
            <w:pPr>
              <w:pStyle w:val="NormalLeft"/>
            </w:pPr>
            <w:r w:rsidRPr="00DE12A3">
              <w:t>52</w:t>
            </w:r>
          </w:p>
        </w:tc>
      </w:tr>
      <w:tr w:rsidR="00DE12A3" w:rsidRPr="00DE12A3" w14:paraId="733A95E1" w14:textId="77777777" w:rsidTr="009F4766">
        <w:tc>
          <w:tcPr>
            <w:tcW w:w="1182" w:type="dxa"/>
            <w:tcBorders>
              <w:top w:val="single" w:sz="2" w:space="0" w:color="auto"/>
              <w:left w:val="single" w:sz="2" w:space="0" w:color="auto"/>
              <w:bottom w:val="single" w:sz="2" w:space="0" w:color="auto"/>
              <w:right w:val="single" w:sz="2" w:space="0" w:color="auto"/>
            </w:tcBorders>
          </w:tcPr>
          <w:p w14:paraId="656A8CEF" w14:textId="77777777" w:rsidR="009F4766" w:rsidRPr="00DE12A3" w:rsidRDefault="009F4766" w:rsidP="00C917D6">
            <w:pPr>
              <w:pStyle w:val="NormalLeft"/>
            </w:pPr>
            <w:r w:rsidRPr="00DE12A3">
              <w:t>864</w:t>
            </w:r>
          </w:p>
        </w:tc>
        <w:tc>
          <w:tcPr>
            <w:tcW w:w="2489" w:type="dxa"/>
            <w:tcBorders>
              <w:top w:val="single" w:sz="2" w:space="0" w:color="auto"/>
              <w:left w:val="single" w:sz="2" w:space="0" w:color="auto"/>
              <w:bottom w:val="single" w:sz="2" w:space="0" w:color="auto"/>
              <w:right w:val="single" w:sz="2" w:space="0" w:color="auto"/>
            </w:tcBorders>
          </w:tcPr>
          <w:p w14:paraId="43ADA682" w14:textId="77777777" w:rsidR="009F4766" w:rsidRPr="00DE12A3" w:rsidRDefault="009F4766" w:rsidP="00C917D6">
            <w:pPr>
              <w:pStyle w:val="NormalLeft"/>
            </w:pPr>
            <w:r w:rsidRPr="00DE12A3">
              <w:t>80</w:t>
            </w:r>
          </w:p>
        </w:tc>
        <w:tc>
          <w:tcPr>
            <w:tcW w:w="2551" w:type="dxa"/>
            <w:tcBorders>
              <w:top w:val="single" w:sz="2" w:space="0" w:color="auto"/>
              <w:left w:val="single" w:sz="2" w:space="0" w:color="auto"/>
              <w:bottom w:val="single" w:sz="2" w:space="0" w:color="auto"/>
              <w:right w:val="single" w:sz="2" w:space="0" w:color="auto"/>
            </w:tcBorders>
          </w:tcPr>
          <w:p w14:paraId="77D9A277" w14:textId="77777777" w:rsidR="009F4766" w:rsidRPr="00DE12A3" w:rsidRDefault="009F4766" w:rsidP="00C917D6">
            <w:pPr>
              <w:pStyle w:val="NormalLeft"/>
            </w:pPr>
            <w:r w:rsidRPr="00DE12A3">
              <w:t>38</w:t>
            </w:r>
          </w:p>
        </w:tc>
      </w:tr>
      <w:tr w:rsidR="00DE12A3" w:rsidRPr="00DE12A3" w14:paraId="7DD35AC9" w14:textId="77777777" w:rsidTr="009F4766">
        <w:tc>
          <w:tcPr>
            <w:tcW w:w="1182" w:type="dxa"/>
            <w:tcBorders>
              <w:top w:val="single" w:sz="2" w:space="0" w:color="auto"/>
              <w:left w:val="single" w:sz="2" w:space="0" w:color="auto"/>
              <w:bottom w:val="single" w:sz="2" w:space="0" w:color="auto"/>
              <w:right w:val="single" w:sz="2" w:space="0" w:color="auto"/>
            </w:tcBorders>
          </w:tcPr>
          <w:p w14:paraId="2994D33F" w14:textId="77777777" w:rsidR="009F4766" w:rsidRPr="00DE12A3" w:rsidRDefault="009F4766" w:rsidP="00C917D6">
            <w:pPr>
              <w:pStyle w:val="NormalLeft"/>
            </w:pPr>
            <w:r w:rsidRPr="00DE12A3">
              <w:t>865</w:t>
            </w:r>
          </w:p>
        </w:tc>
        <w:tc>
          <w:tcPr>
            <w:tcW w:w="2489" w:type="dxa"/>
            <w:tcBorders>
              <w:top w:val="single" w:sz="2" w:space="0" w:color="auto"/>
              <w:left w:val="single" w:sz="2" w:space="0" w:color="auto"/>
              <w:bottom w:val="single" w:sz="2" w:space="0" w:color="auto"/>
              <w:right w:val="single" w:sz="2" w:space="0" w:color="auto"/>
            </w:tcBorders>
          </w:tcPr>
          <w:p w14:paraId="4D78F120" w14:textId="77777777" w:rsidR="009F4766" w:rsidRPr="00DE12A3" w:rsidRDefault="009F4766" w:rsidP="00C917D6">
            <w:pPr>
              <w:pStyle w:val="NormalLeft"/>
            </w:pPr>
            <w:r w:rsidRPr="00DE12A3">
              <w:t>81</w:t>
            </w:r>
          </w:p>
        </w:tc>
        <w:tc>
          <w:tcPr>
            <w:tcW w:w="2551" w:type="dxa"/>
            <w:tcBorders>
              <w:top w:val="single" w:sz="2" w:space="0" w:color="auto"/>
              <w:left w:val="single" w:sz="2" w:space="0" w:color="auto"/>
              <w:bottom w:val="single" w:sz="2" w:space="0" w:color="auto"/>
              <w:right w:val="single" w:sz="2" w:space="0" w:color="auto"/>
            </w:tcBorders>
          </w:tcPr>
          <w:p w14:paraId="33C73F47" w14:textId="77777777" w:rsidR="009F4766" w:rsidRPr="00DE12A3" w:rsidRDefault="009F4766" w:rsidP="00C917D6">
            <w:pPr>
              <w:pStyle w:val="NormalLeft"/>
            </w:pPr>
            <w:r w:rsidRPr="00DE12A3">
              <w:t>33</w:t>
            </w:r>
          </w:p>
        </w:tc>
      </w:tr>
      <w:tr w:rsidR="00DE12A3" w:rsidRPr="00DE12A3" w14:paraId="7605C22C" w14:textId="77777777" w:rsidTr="009F4766">
        <w:tc>
          <w:tcPr>
            <w:tcW w:w="1182" w:type="dxa"/>
            <w:tcBorders>
              <w:top w:val="single" w:sz="2" w:space="0" w:color="auto"/>
              <w:left w:val="single" w:sz="2" w:space="0" w:color="auto"/>
              <w:bottom w:val="single" w:sz="2" w:space="0" w:color="auto"/>
              <w:right w:val="single" w:sz="2" w:space="0" w:color="auto"/>
            </w:tcBorders>
          </w:tcPr>
          <w:p w14:paraId="304EC29D" w14:textId="77777777" w:rsidR="009F4766" w:rsidRPr="00DE12A3" w:rsidRDefault="009F4766" w:rsidP="00C917D6">
            <w:pPr>
              <w:pStyle w:val="NormalLeft"/>
            </w:pPr>
            <w:r w:rsidRPr="00DE12A3">
              <w:t>866</w:t>
            </w:r>
          </w:p>
        </w:tc>
        <w:tc>
          <w:tcPr>
            <w:tcW w:w="2489" w:type="dxa"/>
            <w:tcBorders>
              <w:top w:val="single" w:sz="2" w:space="0" w:color="auto"/>
              <w:left w:val="single" w:sz="2" w:space="0" w:color="auto"/>
              <w:bottom w:val="single" w:sz="2" w:space="0" w:color="auto"/>
              <w:right w:val="single" w:sz="2" w:space="0" w:color="auto"/>
            </w:tcBorders>
          </w:tcPr>
          <w:p w14:paraId="588CC299" w14:textId="77777777" w:rsidR="009F4766" w:rsidRPr="00DE12A3" w:rsidRDefault="009F4766" w:rsidP="00C917D6">
            <w:pPr>
              <w:pStyle w:val="NormalLeft"/>
            </w:pPr>
            <w:r w:rsidRPr="00DE12A3">
              <w:t>83</w:t>
            </w:r>
          </w:p>
        </w:tc>
        <w:tc>
          <w:tcPr>
            <w:tcW w:w="2551" w:type="dxa"/>
            <w:tcBorders>
              <w:top w:val="single" w:sz="2" w:space="0" w:color="auto"/>
              <w:left w:val="single" w:sz="2" w:space="0" w:color="auto"/>
              <w:bottom w:val="single" w:sz="2" w:space="0" w:color="auto"/>
              <w:right w:val="single" w:sz="2" w:space="0" w:color="auto"/>
            </w:tcBorders>
          </w:tcPr>
          <w:p w14:paraId="2B123EF3" w14:textId="77777777" w:rsidR="009F4766" w:rsidRPr="00DE12A3" w:rsidRDefault="009F4766" w:rsidP="00C917D6">
            <w:pPr>
              <w:pStyle w:val="NormalLeft"/>
            </w:pPr>
            <w:r w:rsidRPr="00DE12A3">
              <w:t>29</w:t>
            </w:r>
          </w:p>
        </w:tc>
      </w:tr>
      <w:tr w:rsidR="00DE12A3" w:rsidRPr="00DE12A3" w14:paraId="3387363A" w14:textId="77777777" w:rsidTr="009F4766">
        <w:tc>
          <w:tcPr>
            <w:tcW w:w="1182" w:type="dxa"/>
            <w:tcBorders>
              <w:top w:val="single" w:sz="2" w:space="0" w:color="auto"/>
              <w:left w:val="single" w:sz="2" w:space="0" w:color="auto"/>
              <w:bottom w:val="single" w:sz="2" w:space="0" w:color="auto"/>
              <w:right w:val="single" w:sz="2" w:space="0" w:color="auto"/>
            </w:tcBorders>
          </w:tcPr>
          <w:p w14:paraId="55F70047" w14:textId="77777777" w:rsidR="009F4766" w:rsidRPr="00DE12A3" w:rsidRDefault="009F4766" w:rsidP="00C917D6">
            <w:pPr>
              <w:pStyle w:val="NormalLeft"/>
            </w:pPr>
            <w:r w:rsidRPr="00DE12A3">
              <w:t>867</w:t>
            </w:r>
          </w:p>
        </w:tc>
        <w:tc>
          <w:tcPr>
            <w:tcW w:w="2489" w:type="dxa"/>
            <w:tcBorders>
              <w:top w:val="single" w:sz="2" w:space="0" w:color="auto"/>
              <w:left w:val="single" w:sz="2" w:space="0" w:color="auto"/>
              <w:bottom w:val="single" w:sz="2" w:space="0" w:color="auto"/>
              <w:right w:val="single" w:sz="2" w:space="0" w:color="auto"/>
            </w:tcBorders>
          </w:tcPr>
          <w:p w14:paraId="7FD28C04" w14:textId="77777777" w:rsidR="009F4766" w:rsidRPr="00DE12A3" w:rsidRDefault="009F4766" w:rsidP="00C917D6">
            <w:pPr>
              <w:pStyle w:val="NormalLeft"/>
            </w:pPr>
            <w:r w:rsidRPr="00DE12A3">
              <w:t>83</w:t>
            </w:r>
          </w:p>
        </w:tc>
        <w:tc>
          <w:tcPr>
            <w:tcW w:w="2551" w:type="dxa"/>
            <w:tcBorders>
              <w:top w:val="single" w:sz="2" w:space="0" w:color="auto"/>
              <w:left w:val="single" w:sz="2" w:space="0" w:color="auto"/>
              <w:bottom w:val="single" w:sz="2" w:space="0" w:color="auto"/>
              <w:right w:val="single" w:sz="2" w:space="0" w:color="auto"/>
            </w:tcBorders>
          </w:tcPr>
          <w:p w14:paraId="4B5268B1" w14:textId="77777777" w:rsidR="009F4766" w:rsidRPr="00DE12A3" w:rsidRDefault="009F4766" w:rsidP="00C917D6">
            <w:pPr>
              <w:pStyle w:val="NormalLeft"/>
            </w:pPr>
            <w:r w:rsidRPr="00DE12A3">
              <w:t>22</w:t>
            </w:r>
          </w:p>
        </w:tc>
      </w:tr>
      <w:tr w:rsidR="00DE12A3" w:rsidRPr="00DE12A3" w14:paraId="6770B975" w14:textId="77777777" w:rsidTr="009F4766">
        <w:tc>
          <w:tcPr>
            <w:tcW w:w="1182" w:type="dxa"/>
            <w:tcBorders>
              <w:top w:val="single" w:sz="2" w:space="0" w:color="auto"/>
              <w:left w:val="single" w:sz="2" w:space="0" w:color="auto"/>
              <w:bottom w:val="single" w:sz="2" w:space="0" w:color="auto"/>
              <w:right w:val="single" w:sz="2" w:space="0" w:color="auto"/>
            </w:tcBorders>
          </w:tcPr>
          <w:p w14:paraId="6538266F" w14:textId="77777777" w:rsidR="009F4766" w:rsidRPr="00DE12A3" w:rsidRDefault="009F4766" w:rsidP="00C917D6">
            <w:pPr>
              <w:pStyle w:val="NormalLeft"/>
            </w:pPr>
            <w:r w:rsidRPr="00DE12A3">
              <w:t>868</w:t>
            </w:r>
          </w:p>
        </w:tc>
        <w:tc>
          <w:tcPr>
            <w:tcW w:w="2489" w:type="dxa"/>
            <w:tcBorders>
              <w:top w:val="single" w:sz="2" w:space="0" w:color="auto"/>
              <w:left w:val="single" w:sz="2" w:space="0" w:color="auto"/>
              <w:bottom w:val="single" w:sz="2" w:space="0" w:color="auto"/>
              <w:right w:val="single" w:sz="2" w:space="0" w:color="auto"/>
            </w:tcBorders>
          </w:tcPr>
          <w:p w14:paraId="36276896" w14:textId="77777777" w:rsidR="009F4766" w:rsidRPr="00DE12A3" w:rsidRDefault="009F4766" w:rsidP="00C917D6">
            <w:pPr>
              <w:pStyle w:val="NormalLeft"/>
            </w:pPr>
            <w:r w:rsidRPr="00DE12A3">
              <w:t>83</w:t>
            </w:r>
          </w:p>
        </w:tc>
        <w:tc>
          <w:tcPr>
            <w:tcW w:w="2551" w:type="dxa"/>
            <w:tcBorders>
              <w:top w:val="single" w:sz="2" w:space="0" w:color="auto"/>
              <w:left w:val="single" w:sz="2" w:space="0" w:color="auto"/>
              <w:bottom w:val="single" w:sz="2" w:space="0" w:color="auto"/>
              <w:right w:val="single" w:sz="2" w:space="0" w:color="auto"/>
            </w:tcBorders>
          </w:tcPr>
          <w:p w14:paraId="20E40A6D" w14:textId="77777777" w:rsidR="009F4766" w:rsidRPr="00DE12A3" w:rsidRDefault="009F4766" w:rsidP="00C917D6">
            <w:pPr>
              <w:pStyle w:val="NormalLeft"/>
            </w:pPr>
            <w:r w:rsidRPr="00DE12A3">
              <w:t>16</w:t>
            </w:r>
          </w:p>
        </w:tc>
      </w:tr>
      <w:tr w:rsidR="00DE12A3" w:rsidRPr="00DE12A3" w14:paraId="14A6250F" w14:textId="77777777" w:rsidTr="009F4766">
        <w:tc>
          <w:tcPr>
            <w:tcW w:w="1182" w:type="dxa"/>
            <w:tcBorders>
              <w:top w:val="single" w:sz="2" w:space="0" w:color="auto"/>
              <w:left w:val="single" w:sz="2" w:space="0" w:color="auto"/>
              <w:bottom w:val="single" w:sz="2" w:space="0" w:color="auto"/>
              <w:right w:val="single" w:sz="2" w:space="0" w:color="auto"/>
            </w:tcBorders>
          </w:tcPr>
          <w:p w14:paraId="6A87B0BE" w14:textId="77777777" w:rsidR="009F4766" w:rsidRPr="00DE12A3" w:rsidRDefault="009F4766" w:rsidP="00C917D6">
            <w:pPr>
              <w:pStyle w:val="NormalLeft"/>
            </w:pPr>
            <w:r w:rsidRPr="00DE12A3">
              <w:t>869</w:t>
            </w:r>
          </w:p>
        </w:tc>
        <w:tc>
          <w:tcPr>
            <w:tcW w:w="2489" w:type="dxa"/>
            <w:tcBorders>
              <w:top w:val="single" w:sz="2" w:space="0" w:color="auto"/>
              <w:left w:val="single" w:sz="2" w:space="0" w:color="auto"/>
              <w:bottom w:val="single" w:sz="2" w:space="0" w:color="auto"/>
              <w:right w:val="single" w:sz="2" w:space="0" w:color="auto"/>
            </w:tcBorders>
          </w:tcPr>
          <w:p w14:paraId="729450CC" w14:textId="77777777" w:rsidR="009F4766" w:rsidRPr="00DE12A3" w:rsidRDefault="009F4766" w:rsidP="00C917D6">
            <w:pPr>
              <w:pStyle w:val="NormalLeft"/>
            </w:pPr>
            <w:r w:rsidRPr="00DE12A3">
              <w:t>83</w:t>
            </w:r>
          </w:p>
        </w:tc>
        <w:tc>
          <w:tcPr>
            <w:tcW w:w="2551" w:type="dxa"/>
            <w:tcBorders>
              <w:top w:val="single" w:sz="2" w:space="0" w:color="auto"/>
              <w:left w:val="single" w:sz="2" w:space="0" w:color="auto"/>
              <w:bottom w:val="single" w:sz="2" w:space="0" w:color="auto"/>
              <w:right w:val="single" w:sz="2" w:space="0" w:color="auto"/>
            </w:tcBorders>
          </w:tcPr>
          <w:p w14:paraId="3EEC91E7" w14:textId="77777777" w:rsidR="009F4766" w:rsidRPr="00DE12A3" w:rsidRDefault="009F4766" w:rsidP="00C917D6">
            <w:pPr>
              <w:pStyle w:val="NormalLeft"/>
            </w:pPr>
            <w:r w:rsidRPr="00DE12A3">
              <w:t>12</w:t>
            </w:r>
          </w:p>
        </w:tc>
      </w:tr>
      <w:tr w:rsidR="00DE12A3" w:rsidRPr="00DE12A3" w14:paraId="1885BC8F" w14:textId="77777777" w:rsidTr="009F4766">
        <w:tc>
          <w:tcPr>
            <w:tcW w:w="1182" w:type="dxa"/>
            <w:tcBorders>
              <w:top w:val="single" w:sz="2" w:space="0" w:color="auto"/>
              <w:left w:val="single" w:sz="2" w:space="0" w:color="auto"/>
              <w:bottom w:val="single" w:sz="2" w:space="0" w:color="auto"/>
              <w:right w:val="single" w:sz="2" w:space="0" w:color="auto"/>
            </w:tcBorders>
          </w:tcPr>
          <w:p w14:paraId="44E877A2" w14:textId="77777777" w:rsidR="009F4766" w:rsidRPr="00DE12A3" w:rsidRDefault="009F4766" w:rsidP="00C917D6">
            <w:pPr>
              <w:pStyle w:val="NormalLeft"/>
            </w:pPr>
            <w:r w:rsidRPr="00DE12A3">
              <w:t>870</w:t>
            </w:r>
          </w:p>
        </w:tc>
        <w:tc>
          <w:tcPr>
            <w:tcW w:w="2489" w:type="dxa"/>
            <w:tcBorders>
              <w:top w:val="single" w:sz="2" w:space="0" w:color="auto"/>
              <w:left w:val="single" w:sz="2" w:space="0" w:color="auto"/>
              <w:bottom w:val="single" w:sz="2" w:space="0" w:color="auto"/>
              <w:right w:val="single" w:sz="2" w:space="0" w:color="auto"/>
            </w:tcBorders>
          </w:tcPr>
          <w:p w14:paraId="25424AC2" w14:textId="77777777" w:rsidR="009F4766" w:rsidRPr="00DE12A3" w:rsidRDefault="009F4766" w:rsidP="00C917D6">
            <w:pPr>
              <w:pStyle w:val="NormalLeft"/>
            </w:pPr>
            <w:r w:rsidRPr="00DE12A3">
              <w:t>83</w:t>
            </w:r>
          </w:p>
        </w:tc>
        <w:tc>
          <w:tcPr>
            <w:tcW w:w="2551" w:type="dxa"/>
            <w:tcBorders>
              <w:top w:val="single" w:sz="2" w:space="0" w:color="auto"/>
              <w:left w:val="single" w:sz="2" w:space="0" w:color="auto"/>
              <w:bottom w:val="single" w:sz="2" w:space="0" w:color="auto"/>
              <w:right w:val="single" w:sz="2" w:space="0" w:color="auto"/>
            </w:tcBorders>
          </w:tcPr>
          <w:p w14:paraId="7B3AC432" w14:textId="77777777" w:rsidR="009F4766" w:rsidRPr="00DE12A3" w:rsidRDefault="009F4766" w:rsidP="00C917D6">
            <w:pPr>
              <w:pStyle w:val="NormalLeft"/>
            </w:pPr>
            <w:r w:rsidRPr="00DE12A3">
              <w:t>9</w:t>
            </w:r>
          </w:p>
        </w:tc>
      </w:tr>
      <w:tr w:rsidR="00DE12A3" w:rsidRPr="00DE12A3" w14:paraId="43BD79D4" w14:textId="77777777" w:rsidTr="009F4766">
        <w:tc>
          <w:tcPr>
            <w:tcW w:w="1182" w:type="dxa"/>
            <w:tcBorders>
              <w:top w:val="single" w:sz="2" w:space="0" w:color="auto"/>
              <w:left w:val="single" w:sz="2" w:space="0" w:color="auto"/>
              <w:bottom w:val="single" w:sz="2" w:space="0" w:color="auto"/>
              <w:right w:val="single" w:sz="2" w:space="0" w:color="auto"/>
            </w:tcBorders>
          </w:tcPr>
          <w:p w14:paraId="5D9F804E" w14:textId="77777777" w:rsidR="009F4766" w:rsidRPr="00DE12A3" w:rsidRDefault="009F4766" w:rsidP="00C917D6">
            <w:pPr>
              <w:pStyle w:val="NormalLeft"/>
            </w:pPr>
            <w:r w:rsidRPr="00DE12A3">
              <w:t>871</w:t>
            </w:r>
          </w:p>
        </w:tc>
        <w:tc>
          <w:tcPr>
            <w:tcW w:w="2489" w:type="dxa"/>
            <w:tcBorders>
              <w:top w:val="single" w:sz="2" w:space="0" w:color="auto"/>
              <w:left w:val="single" w:sz="2" w:space="0" w:color="auto"/>
              <w:bottom w:val="single" w:sz="2" w:space="0" w:color="auto"/>
              <w:right w:val="single" w:sz="2" w:space="0" w:color="auto"/>
            </w:tcBorders>
          </w:tcPr>
          <w:p w14:paraId="4B0A1FAE" w14:textId="77777777" w:rsidR="009F4766" w:rsidRPr="00DE12A3" w:rsidRDefault="009F4766" w:rsidP="00C917D6">
            <w:pPr>
              <w:pStyle w:val="NormalLeft"/>
            </w:pPr>
            <w:r w:rsidRPr="00DE12A3">
              <w:t>83</w:t>
            </w:r>
          </w:p>
        </w:tc>
        <w:tc>
          <w:tcPr>
            <w:tcW w:w="2551" w:type="dxa"/>
            <w:tcBorders>
              <w:top w:val="single" w:sz="2" w:space="0" w:color="auto"/>
              <w:left w:val="single" w:sz="2" w:space="0" w:color="auto"/>
              <w:bottom w:val="single" w:sz="2" w:space="0" w:color="auto"/>
              <w:right w:val="single" w:sz="2" w:space="0" w:color="auto"/>
            </w:tcBorders>
          </w:tcPr>
          <w:p w14:paraId="5E6E2CE7" w14:textId="77777777" w:rsidR="009F4766" w:rsidRPr="00DE12A3" w:rsidRDefault="009F4766" w:rsidP="00C917D6">
            <w:pPr>
              <w:pStyle w:val="NormalLeft"/>
            </w:pPr>
            <w:r w:rsidRPr="00DE12A3">
              <w:t>8</w:t>
            </w:r>
          </w:p>
        </w:tc>
      </w:tr>
      <w:tr w:rsidR="00DE12A3" w:rsidRPr="00DE12A3" w14:paraId="49B7030B" w14:textId="77777777" w:rsidTr="009F4766">
        <w:tc>
          <w:tcPr>
            <w:tcW w:w="1182" w:type="dxa"/>
            <w:tcBorders>
              <w:top w:val="single" w:sz="2" w:space="0" w:color="auto"/>
              <w:left w:val="single" w:sz="2" w:space="0" w:color="auto"/>
              <w:bottom w:val="single" w:sz="2" w:space="0" w:color="auto"/>
              <w:right w:val="single" w:sz="2" w:space="0" w:color="auto"/>
            </w:tcBorders>
          </w:tcPr>
          <w:p w14:paraId="56F780AC" w14:textId="77777777" w:rsidR="009F4766" w:rsidRPr="00DE12A3" w:rsidRDefault="009F4766" w:rsidP="00C917D6">
            <w:pPr>
              <w:pStyle w:val="NormalLeft"/>
            </w:pPr>
            <w:r w:rsidRPr="00DE12A3">
              <w:t>872</w:t>
            </w:r>
          </w:p>
        </w:tc>
        <w:tc>
          <w:tcPr>
            <w:tcW w:w="2489" w:type="dxa"/>
            <w:tcBorders>
              <w:top w:val="single" w:sz="2" w:space="0" w:color="auto"/>
              <w:left w:val="single" w:sz="2" w:space="0" w:color="auto"/>
              <w:bottom w:val="single" w:sz="2" w:space="0" w:color="auto"/>
              <w:right w:val="single" w:sz="2" w:space="0" w:color="auto"/>
            </w:tcBorders>
          </w:tcPr>
          <w:p w14:paraId="70102B56" w14:textId="77777777" w:rsidR="009F4766" w:rsidRPr="00DE12A3" w:rsidRDefault="009F4766" w:rsidP="00C917D6">
            <w:pPr>
              <w:pStyle w:val="NormalLeft"/>
            </w:pPr>
            <w:r w:rsidRPr="00DE12A3">
              <w:t>83</w:t>
            </w:r>
          </w:p>
        </w:tc>
        <w:tc>
          <w:tcPr>
            <w:tcW w:w="2551" w:type="dxa"/>
            <w:tcBorders>
              <w:top w:val="single" w:sz="2" w:space="0" w:color="auto"/>
              <w:left w:val="single" w:sz="2" w:space="0" w:color="auto"/>
              <w:bottom w:val="single" w:sz="2" w:space="0" w:color="auto"/>
              <w:right w:val="single" w:sz="2" w:space="0" w:color="auto"/>
            </w:tcBorders>
          </w:tcPr>
          <w:p w14:paraId="375B6ED0" w14:textId="77777777" w:rsidR="009F4766" w:rsidRPr="00DE12A3" w:rsidRDefault="009F4766" w:rsidP="00C917D6">
            <w:pPr>
              <w:pStyle w:val="NormalLeft"/>
            </w:pPr>
            <w:r w:rsidRPr="00DE12A3">
              <w:t>7</w:t>
            </w:r>
          </w:p>
        </w:tc>
      </w:tr>
      <w:tr w:rsidR="00DE12A3" w:rsidRPr="00DE12A3" w14:paraId="5A53CE6D" w14:textId="77777777" w:rsidTr="009F4766">
        <w:tc>
          <w:tcPr>
            <w:tcW w:w="1182" w:type="dxa"/>
            <w:tcBorders>
              <w:top w:val="single" w:sz="2" w:space="0" w:color="auto"/>
              <w:left w:val="single" w:sz="2" w:space="0" w:color="auto"/>
              <w:bottom w:val="single" w:sz="2" w:space="0" w:color="auto"/>
              <w:right w:val="single" w:sz="2" w:space="0" w:color="auto"/>
            </w:tcBorders>
          </w:tcPr>
          <w:p w14:paraId="0CFCA2E7" w14:textId="77777777" w:rsidR="009F4766" w:rsidRPr="00DE12A3" w:rsidRDefault="009F4766" w:rsidP="00C917D6">
            <w:pPr>
              <w:pStyle w:val="NormalLeft"/>
            </w:pPr>
            <w:r w:rsidRPr="00DE12A3">
              <w:t>873</w:t>
            </w:r>
          </w:p>
        </w:tc>
        <w:tc>
          <w:tcPr>
            <w:tcW w:w="2489" w:type="dxa"/>
            <w:tcBorders>
              <w:top w:val="single" w:sz="2" w:space="0" w:color="auto"/>
              <w:left w:val="single" w:sz="2" w:space="0" w:color="auto"/>
              <w:bottom w:val="single" w:sz="2" w:space="0" w:color="auto"/>
              <w:right w:val="single" w:sz="2" w:space="0" w:color="auto"/>
            </w:tcBorders>
          </w:tcPr>
          <w:p w14:paraId="53022C97" w14:textId="77777777" w:rsidR="009F4766" w:rsidRPr="00DE12A3" w:rsidRDefault="009F4766" w:rsidP="00C917D6">
            <w:pPr>
              <w:pStyle w:val="NormalLeft"/>
            </w:pPr>
            <w:r w:rsidRPr="00DE12A3">
              <w:t>83</w:t>
            </w:r>
          </w:p>
        </w:tc>
        <w:tc>
          <w:tcPr>
            <w:tcW w:w="2551" w:type="dxa"/>
            <w:tcBorders>
              <w:top w:val="single" w:sz="2" w:space="0" w:color="auto"/>
              <w:left w:val="single" w:sz="2" w:space="0" w:color="auto"/>
              <w:bottom w:val="single" w:sz="2" w:space="0" w:color="auto"/>
              <w:right w:val="single" w:sz="2" w:space="0" w:color="auto"/>
            </w:tcBorders>
          </w:tcPr>
          <w:p w14:paraId="1575914C" w14:textId="77777777" w:rsidR="009F4766" w:rsidRPr="00DE12A3" w:rsidRDefault="009F4766" w:rsidP="00C917D6">
            <w:pPr>
              <w:pStyle w:val="NormalLeft"/>
            </w:pPr>
            <w:r w:rsidRPr="00DE12A3">
              <w:t>6</w:t>
            </w:r>
          </w:p>
        </w:tc>
      </w:tr>
      <w:tr w:rsidR="00DE12A3" w:rsidRPr="00DE12A3" w14:paraId="43105795" w14:textId="77777777" w:rsidTr="009F4766">
        <w:tc>
          <w:tcPr>
            <w:tcW w:w="1182" w:type="dxa"/>
            <w:tcBorders>
              <w:top w:val="single" w:sz="2" w:space="0" w:color="auto"/>
              <w:left w:val="single" w:sz="2" w:space="0" w:color="auto"/>
              <w:bottom w:val="single" w:sz="2" w:space="0" w:color="auto"/>
              <w:right w:val="single" w:sz="2" w:space="0" w:color="auto"/>
            </w:tcBorders>
          </w:tcPr>
          <w:p w14:paraId="5C22FFD1" w14:textId="77777777" w:rsidR="009F4766" w:rsidRPr="00DE12A3" w:rsidRDefault="009F4766" w:rsidP="00C917D6">
            <w:pPr>
              <w:pStyle w:val="NormalLeft"/>
            </w:pPr>
            <w:r w:rsidRPr="00DE12A3">
              <w:t>874</w:t>
            </w:r>
          </w:p>
        </w:tc>
        <w:tc>
          <w:tcPr>
            <w:tcW w:w="2489" w:type="dxa"/>
            <w:tcBorders>
              <w:top w:val="single" w:sz="2" w:space="0" w:color="auto"/>
              <w:left w:val="single" w:sz="2" w:space="0" w:color="auto"/>
              <w:bottom w:val="single" w:sz="2" w:space="0" w:color="auto"/>
              <w:right w:val="single" w:sz="2" w:space="0" w:color="auto"/>
            </w:tcBorders>
          </w:tcPr>
          <w:p w14:paraId="45BCD50F" w14:textId="77777777" w:rsidR="009F4766" w:rsidRPr="00DE12A3" w:rsidRDefault="009F4766" w:rsidP="00C917D6">
            <w:pPr>
              <w:pStyle w:val="NormalLeft"/>
            </w:pPr>
            <w:r w:rsidRPr="00DE12A3">
              <w:t>83</w:t>
            </w:r>
          </w:p>
        </w:tc>
        <w:tc>
          <w:tcPr>
            <w:tcW w:w="2551" w:type="dxa"/>
            <w:tcBorders>
              <w:top w:val="single" w:sz="2" w:space="0" w:color="auto"/>
              <w:left w:val="single" w:sz="2" w:space="0" w:color="auto"/>
              <w:bottom w:val="single" w:sz="2" w:space="0" w:color="auto"/>
              <w:right w:val="single" w:sz="2" w:space="0" w:color="auto"/>
            </w:tcBorders>
          </w:tcPr>
          <w:p w14:paraId="78467C02" w14:textId="77777777" w:rsidR="009F4766" w:rsidRPr="00DE12A3" w:rsidRDefault="009F4766" w:rsidP="00C917D6">
            <w:pPr>
              <w:pStyle w:val="NormalLeft"/>
            </w:pPr>
            <w:r w:rsidRPr="00DE12A3">
              <w:t>6</w:t>
            </w:r>
          </w:p>
        </w:tc>
      </w:tr>
      <w:tr w:rsidR="00DE12A3" w:rsidRPr="00DE12A3" w14:paraId="6531D690" w14:textId="77777777" w:rsidTr="009F4766">
        <w:tc>
          <w:tcPr>
            <w:tcW w:w="1182" w:type="dxa"/>
            <w:tcBorders>
              <w:top w:val="single" w:sz="2" w:space="0" w:color="auto"/>
              <w:left w:val="single" w:sz="2" w:space="0" w:color="auto"/>
              <w:bottom w:val="single" w:sz="2" w:space="0" w:color="auto"/>
              <w:right w:val="single" w:sz="2" w:space="0" w:color="auto"/>
            </w:tcBorders>
          </w:tcPr>
          <w:p w14:paraId="64FCB689" w14:textId="77777777" w:rsidR="009F4766" w:rsidRPr="00DE12A3" w:rsidRDefault="009F4766" w:rsidP="00C917D6">
            <w:pPr>
              <w:pStyle w:val="NormalLeft"/>
            </w:pPr>
            <w:r w:rsidRPr="00DE12A3">
              <w:t>875</w:t>
            </w:r>
          </w:p>
        </w:tc>
        <w:tc>
          <w:tcPr>
            <w:tcW w:w="2489" w:type="dxa"/>
            <w:tcBorders>
              <w:top w:val="single" w:sz="2" w:space="0" w:color="auto"/>
              <w:left w:val="single" w:sz="2" w:space="0" w:color="auto"/>
              <w:bottom w:val="single" w:sz="2" w:space="0" w:color="auto"/>
              <w:right w:val="single" w:sz="2" w:space="0" w:color="auto"/>
            </w:tcBorders>
          </w:tcPr>
          <w:p w14:paraId="4DF38394" w14:textId="77777777" w:rsidR="009F4766" w:rsidRPr="00DE12A3" w:rsidRDefault="009F4766" w:rsidP="00C917D6">
            <w:pPr>
              <w:pStyle w:val="NormalLeft"/>
            </w:pPr>
            <w:r w:rsidRPr="00DE12A3">
              <w:t>83</w:t>
            </w:r>
          </w:p>
        </w:tc>
        <w:tc>
          <w:tcPr>
            <w:tcW w:w="2551" w:type="dxa"/>
            <w:tcBorders>
              <w:top w:val="single" w:sz="2" w:space="0" w:color="auto"/>
              <w:left w:val="single" w:sz="2" w:space="0" w:color="auto"/>
              <w:bottom w:val="single" w:sz="2" w:space="0" w:color="auto"/>
              <w:right w:val="single" w:sz="2" w:space="0" w:color="auto"/>
            </w:tcBorders>
          </w:tcPr>
          <w:p w14:paraId="120BAE7E" w14:textId="77777777" w:rsidR="009F4766" w:rsidRPr="00DE12A3" w:rsidRDefault="009F4766" w:rsidP="00C917D6">
            <w:pPr>
              <w:pStyle w:val="NormalLeft"/>
            </w:pPr>
            <w:r w:rsidRPr="00DE12A3">
              <w:t>6</w:t>
            </w:r>
          </w:p>
        </w:tc>
      </w:tr>
      <w:tr w:rsidR="00DE12A3" w:rsidRPr="00DE12A3" w14:paraId="37A106BE" w14:textId="77777777" w:rsidTr="009F4766">
        <w:tc>
          <w:tcPr>
            <w:tcW w:w="1182" w:type="dxa"/>
            <w:tcBorders>
              <w:top w:val="single" w:sz="2" w:space="0" w:color="auto"/>
              <w:left w:val="single" w:sz="2" w:space="0" w:color="auto"/>
              <w:bottom w:val="single" w:sz="2" w:space="0" w:color="auto"/>
              <w:right w:val="single" w:sz="2" w:space="0" w:color="auto"/>
            </w:tcBorders>
          </w:tcPr>
          <w:p w14:paraId="44013465" w14:textId="77777777" w:rsidR="009F4766" w:rsidRPr="00DE12A3" w:rsidRDefault="009F4766" w:rsidP="00C917D6">
            <w:pPr>
              <w:pStyle w:val="NormalLeft"/>
            </w:pPr>
            <w:r w:rsidRPr="00DE12A3">
              <w:t>876</w:t>
            </w:r>
          </w:p>
        </w:tc>
        <w:tc>
          <w:tcPr>
            <w:tcW w:w="2489" w:type="dxa"/>
            <w:tcBorders>
              <w:top w:val="single" w:sz="2" w:space="0" w:color="auto"/>
              <w:left w:val="single" w:sz="2" w:space="0" w:color="auto"/>
              <w:bottom w:val="single" w:sz="2" w:space="0" w:color="auto"/>
              <w:right w:val="single" w:sz="2" w:space="0" w:color="auto"/>
            </w:tcBorders>
          </w:tcPr>
          <w:p w14:paraId="7D43D79C" w14:textId="77777777" w:rsidR="009F4766" w:rsidRPr="00DE12A3" w:rsidRDefault="009F4766" w:rsidP="00C917D6">
            <w:pPr>
              <w:pStyle w:val="NormalLeft"/>
            </w:pPr>
            <w:r w:rsidRPr="00DE12A3">
              <w:t>83</w:t>
            </w:r>
          </w:p>
        </w:tc>
        <w:tc>
          <w:tcPr>
            <w:tcW w:w="2551" w:type="dxa"/>
            <w:tcBorders>
              <w:top w:val="single" w:sz="2" w:space="0" w:color="auto"/>
              <w:left w:val="single" w:sz="2" w:space="0" w:color="auto"/>
              <w:bottom w:val="single" w:sz="2" w:space="0" w:color="auto"/>
              <w:right w:val="single" w:sz="2" w:space="0" w:color="auto"/>
            </w:tcBorders>
          </w:tcPr>
          <w:p w14:paraId="2EB38278" w14:textId="77777777" w:rsidR="009F4766" w:rsidRPr="00DE12A3" w:rsidRDefault="009F4766" w:rsidP="00C917D6">
            <w:pPr>
              <w:pStyle w:val="NormalLeft"/>
            </w:pPr>
            <w:r w:rsidRPr="00DE12A3">
              <w:t>6</w:t>
            </w:r>
          </w:p>
        </w:tc>
      </w:tr>
      <w:tr w:rsidR="00DE12A3" w:rsidRPr="00DE12A3" w14:paraId="6485FA83" w14:textId="77777777" w:rsidTr="009F4766">
        <w:tc>
          <w:tcPr>
            <w:tcW w:w="1182" w:type="dxa"/>
            <w:tcBorders>
              <w:top w:val="single" w:sz="2" w:space="0" w:color="auto"/>
              <w:left w:val="single" w:sz="2" w:space="0" w:color="auto"/>
              <w:bottom w:val="single" w:sz="2" w:space="0" w:color="auto"/>
              <w:right w:val="single" w:sz="2" w:space="0" w:color="auto"/>
            </w:tcBorders>
          </w:tcPr>
          <w:p w14:paraId="378C7600" w14:textId="77777777" w:rsidR="009F4766" w:rsidRPr="00DE12A3" w:rsidRDefault="009F4766" w:rsidP="00C917D6">
            <w:pPr>
              <w:pStyle w:val="NormalLeft"/>
            </w:pPr>
            <w:r w:rsidRPr="00DE12A3">
              <w:t>877</w:t>
            </w:r>
          </w:p>
        </w:tc>
        <w:tc>
          <w:tcPr>
            <w:tcW w:w="2489" w:type="dxa"/>
            <w:tcBorders>
              <w:top w:val="single" w:sz="2" w:space="0" w:color="auto"/>
              <w:left w:val="single" w:sz="2" w:space="0" w:color="auto"/>
              <w:bottom w:val="single" w:sz="2" w:space="0" w:color="auto"/>
              <w:right w:val="single" w:sz="2" w:space="0" w:color="auto"/>
            </w:tcBorders>
          </w:tcPr>
          <w:p w14:paraId="2297A2B6" w14:textId="77777777" w:rsidR="009F4766" w:rsidRPr="00DE12A3" w:rsidRDefault="009F4766" w:rsidP="00C917D6">
            <w:pPr>
              <w:pStyle w:val="NormalLeft"/>
            </w:pPr>
            <w:r w:rsidRPr="00DE12A3">
              <w:t>83</w:t>
            </w:r>
          </w:p>
        </w:tc>
        <w:tc>
          <w:tcPr>
            <w:tcW w:w="2551" w:type="dxa"/>
            <w:tcBorders>
              <w:top w:val="single" w:sz="2" w:space="0" w:color="auto"/>
              <w:left w:val="single" w:sz="2" w:space="0" w:color="auto"/>
              <w:bottom w:val="single" w:sz="2" w:space="0" w:color="auto"/>
              <w:right w:val="single" w:sz="2" w:space="0" w:color="auto"/>
            </w:tcBorders>
          </w:tcPr>
          <w:p w14:paraId="2E49E940" w14:textId="77777777" w:rsidR="009F4766" w:rsidRPr="00DE12A3" w:rsidRDefault="009F4766" w:rsidP="00C917D6">
            <w:pPr>
              <w:pStyle w:val="NormalLeft"/>
            </w:pPr>
            <w:r w:rsidRPr="00DE12A3">
              <w:t>6</w:t>
            </w:r>
          </w:p>
        </w:tc>
      </w:tr>
      <w:tr w:rsidR="00DE12A3" w:rsidRPr="00DE12A3" w14:paraId="13DA17B1" w14:textId="77777777" w:rsidTr="009F4766">
        <w:tc>
          <w:tcPr>
            <w:tcW w:w="1182" w:type="dxa"/>
            <w:tcBorders>
              <w:top w:val="single" w:sz="2" w:space="0" w:color="auto"/>
              <w:left w:val="single" w:sz="2" w:space="0" w:color="auto"/>
              <w:bottom w:val="single" w:sz="2" w:space="0" w:color="auto"/>
              <w:right w:val="single" w:sz="2" w:space="0" w:color="auto"/>
            </w:tcBorders>
          </w:tcPr>
          <w:p w14:paraId="02E871A0" w14:textId="77777777" w:rsidR="009F4766" w:rsidRPr="00DE12A3" w:rsidRDefault="009F4766" w:rsidP="00C917D6">
            <w:pPr>
              <w:pStyle w:val="NormalLeft"/>
            </w:pPr>
            <w:r w:rsidRPr="00DE12A3">
              <w:t>878</w:t>
            </w:r>
          </w:p>
        </w:tc>
        <w:tc>
          <w:tcPr>
            <w:tcW w:w="2489" w:type="dxa"/>
            <w:tcBorders>
              <w:top w:val="single" w:sz="2" w:space="0" w:color="auto"/>
              <w:left w:val="single" w:sz="2" w:space="0" w:color="auto"/>
              <w:bottom w:val="single" w:sz="2" w:space="0" w:color="auto"/>
              <w:right w:val="single" w:sz="2" w:space="0" w:color="auto"/>
            </w:tcBorders>
          </w:tcPr>
          <w:p w14:paraId="2A5BA82C" w14:textId="77777777" w:rsidR="009F4766" w:rsidRPr="00DE12A3" w:rsidRDefault="009F4766" w:rsidP="00C917D6">
            <w:pPr>
              <w:pStyle w:val="NormalLeft"/>
            </w:pPr>
            <w:r w:rsidRPr="00DE12A3">
              <w:t>59</w:t>
            </w:r>
          </w:p>
        </w:tc>
        <w:tc>
          <w:tcPr>
            <w:tcW w:w="2551" w:type="dxa"/>
            <w:tcBorders>
              <w:top w:val="single" w:sz="2" w:space="0" w:color="auto"/>
              <w:left w:val="single" w:sz="2" w:space="0" w:color="auto"/>
              <w:bottom w:val="single" w:sz="2" w:space="0" w:color="auto"/>
              <w:right w:val="single" w:sz="2" w:space="0" w:color="auto"/>
            </w:tcBorders>
          </w:tcPr>
          <w:p w14:paraId="194F5770" w14:textId="77777777" w:rsidR="009F4766" w:rsidRPr="00DE12A3" w:rsidRDefault="009F4766" w:rsidP="00C917D6">
            <w:pPr>
              <w:pStyle w:val="NormalLeft"/>
            </w:pPr>
            <w:r w:rsidRPr="00DE12A3">
              <w:t>4</w:t>
            </w:r>
          </w:p>
        </w:tc>
      </w:tr>
      <w:tr w:rsidR="00DE12A3" w:rsidRPr="00DE12A3" w14:paraId="2D590192" w14:textId="77777777" w:rsidTr="009F4766">
        <w:tc>
          <w:tcPr>
            <w:tcW w:w="1182" w:type="dxa"/>
            <w:tcBorders>
              <w:top w:val="single" w:sz="2" w:space="0" w:color="auto"/>
              <w:left w:val="single" w:sz="2" w:space="0" w:color="auto"/>
              <w:bottom w:val="single" w:sz="2" w:space="0" w:color="auto"/>
              <w:right w:val="single" w:sz="2" w:space="0" w:color="auto"/>
            </w:tcBorders>
          </w:tcPr>
          <w:p w14:paraId="30CB9707" w14:textId="77777777" w:rsidR="009F4766" w:rsidRPr="00DE12A3" w:rsidRDefault="009F4766" w:rsidP="00C917D6">
            <w:pPr>
              <w:pStyle w:val="NormalLeft"/>
            </w:pPr>
            <w:r w:rsidRPr="00DE12A3">
              <w:t>879</w:t>
            </w:r>
          </w:p>
        </w:tc>
        <w:tc>
          <w:tcPr>
            <w:tcW w:w="2489" w:type="dxa"/>
            <w:tcBorders>
              <w:top w:val="single" w:sz="2" w:space="0" w:color="auto"/>
              <w:left w:val="single" w:sz="2" w:space="0" w:color="auto"/>
              <w:bottom w:val="single" w:sz="2" w:space="0" w:color="auto"/>
              <w:right w:val="single" w:sz="2" w:space="0" w:color="auto"/>
            </w:tcBorders>
          </w:tcPr>
          <w:p w14:paraId="0D6DA417" w14:textId="77777777" w:rsidR="009F4766" w:rsidRPr="00DE12A3" w:rsidRDefault="009F4766" w:rsidP="00C917D6">
            <w:pPr>
              <w:pStyle w:val="NormalLeft"/>
            </w:pPr>
            <w:r w:rsidRPr="00DE12A3">
              <w:t>50</w:t>
            </w:r>
          </w:p>
        </w:tc>
        <w:tc>
          <w:tcPr>
            <w:tcW w:w="2551" w:type="dxa"/>
            <w:tcBorders>
              <w:top w:val="single" w:sz="2" w:space="0" w:color="auto"/>
              <w:left w:val="single" w:sz="2" w:space="0" w:color="auto"/>
              <w:bottom w:val="single" w:sz="2" w:space="0" w:color="auto"/>
              <w:right w:val="single" w:sz="2" w:space="0" w:color="auto"/>
            </w:tcBorders>
          </w:tcPr>
          <w:p w14:paraId="423CB0D7" w14:textId="77777777" w:rsidR="009F4766" w:rsidRPr="00DE12A3" w:rsidRDefault="009F4766" w:rsidP="00C917D6">
            <w:pPr>
              <w:pStyle w:val="NormalLeft"/>
            </w:pPr>
            <w:r w:rsidRPr="00DE12A3">
              <w:t>5</w:t>
            </w:r>
          </w:p>
        </w:tc>
      </w:tr>
      <w:tr w:rsidR="00DE12A3" w:rsidRPr="00DE12A3" w14:paraId="3BE30E6C" w14:textId="77777777" w:rsidTr="009F4766">
        <w:tc>
          <w:tcPr>
            <w:tcW w:w="1182" w:type="dxa"/>
            <w:tcBorders>
              <w:top w:val="single" w:sz="2" w:space="0" w:color="auto"/>
              <w:left w:val="single" w:sz="2" w:space="0" w:color="auto"/>
              <w:bottom w:val="single" w:sz="2" w:space="0" w:color="auto"/>
              <w:right w:val="single" w:sz="2" w:space="0" w:color="auto"/>
            </w:tcBorders>
          </w:tcPr>
          <w:p w14:paraId="4A9E133B" w14:textId="77777777" w:rsidR="009F4766" w:rsidRPr="00DE12A3" w:rsidRDefault="009F4766" w:rsidP="00C917D6">
            <w:pPr>
              <w:pStyle w:val="NormalLeft"/>
            </w:pPr>
            <w:r w:rsidRPr="00DE12A3">
              <w:t>880</w:t>
            </w:r>
          </w:p>
        </w:tc>
        <w:tc>
          <w:tcPr>
            <w:tcW w:w="2489" w:type="dxa"/>
            <w:tcBorders>
              <w:top w:val="single" w:sz="2" w:space="0" w:color="auto"/>
              <w:left w:val="single" w:sz="2" w:space="0" w:color="auto"/>
              <w:bottom w:val="single" w:sz="2" w:space="0" w:color="auto"/>
              <w:right w:val="single" w:sz="2" w:space="0" w:color="auto"/>
            </w:tcBorders>
          </w:tcPr>
          <w:p w14:paraId="2D54AC6E" w14:textId="77777777" w:rsidR="009F4766" w:rsidRPr="00DE12A3" w:rsidRDefault="009F4766" w:rsidP="00C917D6">
            <w:pPr>
              <w:pStyle w:val="NormalLeft"/>
            </w:pPr>
            <w:r w:rsidRPr="00DE12A3">
              <w:t>51</w:t>
            </w:r>
          </w:p>
        </w:tc>
        <w:tc>
          <w:tcPr>
            <w:tcW w:w="2551" w:type="dxa"/>
            <w:tcBorders>
              <w:top w:val="single" w:sz="2" w:space="0" w:color="auto"/>
              <w:left w:val="single" w:sz="2" w:space="0" w:color="auto"/>
              <w:bottom w:val="single" w:sz="2" w:space="0" w:color="auto"/>
              <w:right w:val="single" w:sz="2" w:space="0" w:color="auto"/>
            </w:tcBorders>
          </w:tcPr>
          <w:p w14:paraId="2467C451" w14:textId="77777777" w:rsidR="009F4766" w:rsidRPr="00DE12A3" w:rsidRDefault="009F4766" w:rsidP="00C917D6">
            <w:pPr>
              <w:pStyle w:val="NormalLeft"/>
            </w:pPr>
            <w:r w:rsidRPr="00DE12A3">
              <w:t>5</w:t>
            </w:r>
          </w:p>
        </w:tc>
      </w:tr>
      <w:tr w:rsidR="00DE12A3" w:rsidRPr="00DE12A3" w14:paraId="0DFAB0A2" w14:textId="77777777" w:rsidTr="009F4766">
        <w:tc>
          <w:tcPr>
            <w:tcW w:w="1182" w:type="dxa"/>
            <w:tcBorders>
              <w:top w:val="single" w:sz="2" w:space="0" w:color="auto"/>
              <w:left w:val="single" w:sz="2" w:space="0" w:color="auto"/>
              <w:bottom w:val="single" w:sz="2" w:space="0" w:color="auto"/>
              <w:right w:val="single" w:sz="2" w:space="0" w:color="auto"/>
            </w:tcBorders>
          </w:tcPr>
          <w:p w14:paraId="10AD2B84" w14:textId="77777777" w:rsidR="009F4766" w:rsidRPr="00DE12A3" w:rsidRDefault="009F4766" w:rsidP="00C917D6">
            <w:pPr>
              <w:pStyle w:val="NormalLeft"/>
            </w:pPr>
            <w:r w:rsidRPr="00DE12A3">
              <w:t>881</w:t>
            </w:r>
          </w:p>
        </w:tc>
        <w:tc>
          <w:tcPr>
            <w:tcW w:w="2489" w:type="dxa"/>
            <w:tcBorders>
              <w:top w:val="single" w:sz="2" w:space="0" w:color="auto"/>
              <w:left w:val="single" w:sz="2" w:space="0" w:color="auto"/>
              <w:bottom w:val="single" w:sz="2" w:space="0" w:color="auto"/>
              <w:right w:val="single" w:sz="2" w:space="0" w:color="auto"/>
            </w:tcBorders>
          </w:tcPr>
          <w:p w14:paraId="5E6B181B" w14:textId="77777777" w:rsidR="009F4766" w:rsidRPr="00DE12A3" w:rsidRDefault="009F4766" w:rsidP="00C917D6">
            <w:pPr>
              <w:pStyle w:val="NormalLeft"/>
            </w:pPr>
            <w:r w:rsidRPr="00DE12A3">
              <w:t>51</w:t>
            </w:r>
          </w:p>
        </w:tc>
        <w:tc>
          <w:tcPr>
            <w:tcW w:w="2551" w:type="dxa"/>
            <w:tcBorders>
              <w:top w:val="single" w:sz="2" w:space="0" w:color="auto"/>
              <w:left w:val="single" w:sz="2" w:space="0" w:color="auto"/>
              <w:bottom w:val="single" w:sz="2" w:space="0" w:color="auto"/>
              <w:right w:val="single" w:sz="2" w:space="0" w:color="auto"/>
            </w:tcBorders>
          </w:tcPr>
          <w:p w14:paraId="4D88A3A4" w14:textId="77777777" w:rsidR="009F4766" w:rsidRPr="00DE12A3" w:rsidRDefault="009F4766" w:rsidP="00C917D6">
            <w:pPr>
              <w:pStyle w:val="NormalLeft"/>
            </w:pPr>
            <w:r w:rsidRPr="00DE12A3">
              <w:t>5</w:t>
            </w:r>
          </w:p>
        </w:tc>
      </w:tr>
      <w:tr w:rsidR="00DE12A3" w:rsidRPr="00DE12A3" w14:paraId="6564B833" w14:textId="77777777" w:rsidTr="009F4766">
        <w:tc>
          <w:tcPr>
            <w:tcW w:w="1182" w:type="dxa"/>
            <w:tcBorders>
              <w:top w:val="single" w:sz="2" w:space="0" w:color="auto"/>
              <w:left w:val="single" w:sz="2" w:space="0" w:color="auto"/>
              <w:bottom w:val="single" w:sz="2" w:space="0" w:color="auto"/>
              <w:right w:val="single" w:sz="2" w:space="0" w:color="auto"/>
            </w:tcBorders>
          </w:tcPr>
          <w:p w14:paraId="6556F976" w14:textId="77777777" w:rsidR="009F4766" w:rsidRPr="00DE12A3" w:rsidRDefault="009F4766" w:rsidP="00C917D6">
            <w:pPr>
              <w:pStyle w:val="NormalLeft"/>
            </w:pPr>
            <w:r w:rsidRPr="00DE12A3">
              <w:t>882</w:t>
            </w:r>
          </w:p>
        </w:tc>
        <w:tc>
          <w:tcPr>
            <w:tcW w:w="2489" w:type="dxa"/>
            <w:tcBorders>
              <w:top w:val="single" w:sz="2" w:space="0" w:color="auto"/>
              <w:left w:val="single" w:sz="2" w:space="0" w:color="auto"/>
              <w:bottom w:val="single" w:sz="2" w:space="0" w:color="auto"/>
              <w:right w:val="single" w:sz="2" w:space="0" w:color="auto"/>
            </w:tcBorders>
          </w:tcPr>
          <w:p w14:paraId="54AD1010" w14:textId="77777777" w:rsidR="009F4766" w:rsidRPr="00DE12A3" w:rsidRDefault="009F4766" w:rsidP="00C917D6">
            <w:pPr>
              <w:pStyle w:val="NormalLeft"/>
            </w:pPr>
            <w:r w:rsidRPr="00DE12A3">
              <w:t>51</w:t>
            </w:r>
          </w:p>
        </w:tc>
        <w:tc>
          <w:tcPr>
            <w:tcW w:w="2551" w:type="dxa"/>
            <w:tcBorders>
              <w:top w:val="single" w:sz="2" w:space="0" w:color="auto"/>
              <w:left w:val="single" w:sz="2" w:space="0" w:color="auto"/>
              <w:bottom w:val="single" w:sz="2" w:space="0" w:color="auto"/>
              <w:right w:val="single" w:sz="2" w:space="0" w:color="auto"/>
            </w:tcBorders>
          </w:tcPr>
          <w:p w14:paraId="0E4E1ABF" w14:textId="77777777" w:rsidR="009F4766" w:rsidRPr="00DE12A3" w:rsidRDefault="009F4766" w:rsidP="00C917D6">
            <w:pPr>
              <w:pStyle w:val="NormalLeft"/>
            </w:pPr>
            <w:r w:rsidRPr="00DE12A3">
              <w:t>5</w:t>
            </w:r>
          </w:p>
        </w:tc>
      </w:tr>
      <w:tr w:rsidR="00DE12A3" w:rsidRPr="00DE12A3" w14:paraId="54BFC4C3" w14:textId="77777777" w:rsidTr="009F4766">
        <w:tc>
          <w:tcPr>
            <w:tcW w:w="1182" w:type="dxa"/>
            <w:tcBorders>
              <w:top w:val="single" w:sz="2" w:space="0" w:color="auto"/>
              <w:left w:val="single" w:sz="2" w:space="0" w:color="auto"/>
              <w:bottom w:val="single" w:sz="2" w:space="0" w:color="auto"/>
              <w:right w:val="single" w:sz="2" w:space="0" w:color="auto"/>
            </w:tcBorders>
          </w:tcPr>
          <w:p w14:paraId="63FB59D0" w14:textId="77777777" w:rsidR="009F4766" w:rsidRPr="00DE12A3" w:rsidRDefault="009F4766" w:rsidP="00C917D6">
            <w:pPr>
              <w:pStyle w:val="NormalLeft"/>
            </w:pPr>
            <w:r w:rsidRPr="00DE12A3">
              <w:t>883</w:t>
            </w:r>
          </w:p>
        </w:tc>
        <w:tc>
          <w:tcPr>
            <w:tcW w:w="2489" w:type="dxa"/>
            <w:tcBorders>
              <w:top w:val="single" w:sz="2" w:space="0" w:color="auto"/>
              <w:left w:val="single" w:sz="2" w:space="0" w:color="auto"/>
              <w:bottom w:val="single" w:sz="2" w:space="0" w:color="auto"/>
              <w:right w:val="single" w:sz="2" w:space="0" w:color="auto"/>
            </w:tcBorders>
          </w:tcPr>
          <w:p w14:paraId="3CB15FDF" w14:textId="77777777" w:rsidR="009F4766" w:rsidRPr="00DE12A3" w:rsidRDefault="009F4766" w:rsidP="00C917D6">
            <w:pPr>
              <w:pStyle w:val="NormalLeft"/>
            </w:pPr>
            <w:r w:rsidRPr="00DE12A3">
              <w:t>50</w:t>
            </w:r>
          </w:p>
        </w:tc>
        <w:tc>
          <w:tcPr>
            <w:tcW w:w="2551" w:type="dxa"/>
            <w:tcBorders>
              <w:top w:val="single" w:sz="2" w:space="0" w:color="auto"/>
              <w:left w:val="single" w:sz="2" w:space="0" w:color="auto"/>
              <w:bottom w:val="single" w:sz="2" w:space="0" w:color="auto"/>
              <w:right w:val="single" w:sz="2" w:space="0" w:color="auto"/>
            </w:tcBorders>
          </w:tcPr>
          <w:p w14:paraId="7BB7C9A5" w14:textId="77777777" w:rsidR="009F4766" w:rsidRPr="00DE12A3" w:rsidRDefault="009F4766" w:rsidP="00C917D6">
            <w:pPr>
              <w:pStyle w:val="NormalLeft"/>
            </w:pPr>
            <w:r w:rsidRPr="00DE12A3">
              <w:t>5</w:t>
            </w:r>
          </w:p>
        </w:tc>
      </w:tr>
      <w:tr w:rsidR="00DE12A3" w:rsidRPr="00DE12A3" w14:paraId="5D9EF7FC" w14:textId="77777777" w:rsidTr="009F4766">
        <w:tc>
          <w:tcPr>
            <w:tcW w:w="1182" w:type="dxa"/>
            <w:tcBorders>
              <w:top w:val="single" w:sz="2" w:space="0" w:color="auto"/>
              <w:left w:val="single" w:sz="2" w:space="0" w:color="auto"/>
              <w:bottom w:val="single" w:sz="2" w:space="0" w:color="auto"/>
              <w:right w:val="single" w:sz="2" w:space="0" w:color="auto"/>
            </w:tcBorders>
          </w:tcPr>
          <w:p w14:paraId="5BEC5690" w14:textId="77777777" w:rsidR="009F4766" w:rsidRPr="00DE12A3" w:rsidRDefault="009F4766" w:rsidP="00C917D6">
            <w:pPr>
              <w:pStyle w:val="NormalLeft"/>
            </w:pPr>
            <w:r w:rsidRPr="00DE12A3">
              <w:lastRenderedPageBreak/>
              <w:t>884</w:t>
            </w:r>
          </w:p>
        </w:tc>
        <w:tc>
          <w:tcPr>
            <w:tcW w:w="2489" w:type="dxa"/>
            <w:tcBorders>
              <w:top w:val="single" w:sz="2" w:space="0" w:color="auto"/>
              <w:left w:val="single" w:sz="2" w:space="0" w:color="auto"/>
              <w:bottom w:val="single" w:sz="2" w:space="0" w:color="auto"/>
              <w:right w:val="single" w:sz="2" w:space="0" w:color="auto"/>
            </w:tcBorders>
          </w:tcPr>
          <w:p w14:paraId="14C1B778" w14:textId="77777777" w:rsidR="009F4766" w:rsidRPr="00DE12A3" w:rsidRDefault="009F4766" w:rsidP="00C917D6">
            <w:pPr>
              <w:pStyle w:val="NormalLeft"/>
            </w:pPr>
            <w:r w:rsidRPr="00DE12A3">
              <w:t>50</w:t>
            </w:r>
          </w:p>
        </w:tc>
        <w:tc>
          <w:tcPr>
            <w:tcW w:w="2551" w:type="dxa"/>
            <w:tcBorders>
              <w:top w:val="single" w:sz="2" w:space="0" w:color="auto"/>
              <w:left w:val="single" w:sz="2" w:space="0" w:color="auto"/>
              <w:bottom w:val="single" w:sz="2" w:space="0" w:color="auto"/>
              <w:right w:val="single" w:sz="2" w:space="0" w:color="auto"/>
            </w:tcBorders>
          </w:tcPr>
          <w:p w14:paraId="66A8324F" w14:textId="77777777" w:rsidR="009F4766" w:rsidRPr="00DE12A3" w:rsidRDefault="009F4766" w:rsidP="00C917D6">
            <w:pPr>
              <w:pStyle w:val="NormalLeft"/>
            </w:pPr>
            <w:r w:rsidRPr="00DE12A3">
              <w:t>5</w:t>
            </w:r>
          </w:p>
        </w:tc>
      </w:tr>
      <w:tr w:rsidR="00DE12A3" w:rsidRPr="00DE12A3" w14:paraId="2C1CDF61" w14:textId="77777777" w:rsidTr="009F4766">
        <w:tc>
          <w:tcPr>
            <w:tcW w:w="1182" w:type="dxa"/>
            <w:tcBorders>
              <w:top w:val="single" w:sz="2" w:space="0" w:color="auto"/>
              <w:left w:val="single" w:sz="2" w:space="0" w:color="auto"/>
              <w:bottom w:val="single" w:sz="2" w:space="0" w:color="auto"/>
              <w:right w:val="single" w:sz="2" w:space="0" w:color="auto"/>
            </w:tcBorders>
          </w:tcPr>
          <w:p w14:paraId="369C5EFB" w14:textId="77777777" w:rsidR="009F4766" w:rsidRPr="00DE12A3" w:rsidRDefault="009F4766" w:rsidP="00C917D6">
            <w:pPr>
              <w:pStyle w:val="NormalLeft"/>
            </w:pPr>
            <w:r w:rsidRPr="00DE12A3">
              <w:t>885</w:t>
            </w:r>
          </w:p>
        </w:tc>
        <w:tc>
          <w:tcPr>
            <w:tcW w:w="2489" w:type="dxa"/>
            <w:tcBorders>
              <w:top w:val="single" w:sz="2" w:space="0" w:color="auto"/>
              <w:left w:val="single" w:sz="2" w:space="0" w:color="auto"/>
              <w:bottom w:val="single" w:sz="2" w:space="0" w:color="auto"/>
              <w:right w:val="single" w:sz="2" w:space="0" w:color="auto"/>
            </w:tcBorders>
          </w:tcPr>
          <w:p w14:paraId="27F49442" w14:textId="77777777" w:rsidR="009F4766" w:rsidRPr="00DE12A3" w:rsidRDefault="009F4766" w:rsidP="00C917D6">
            <w:pPr>
              <w:pStyle w:val="NormalLeft"/>
            </w:pPr>
            <w:r w:rsidRPr="00DE12A3">
              <w:t>50</w:t>
            </w:r>
          </w:p>
        </w:tc>
        <w:tc>
          <w:tcPr>
            <w:tcW w:w="2551" w:type="dxa"/>
            <w:tcBorders>
              <w:top w:val="single" w:sz="2" w:space="0" w:color="auto"/>
              <w:left w:val="single" w:sz="2" w:space="0" w:color="auto"/>
              <w:bottom w:val="single" w:sz="2" w:space="0" w:color="auto"/>
              <w:right w:val="single" w:sz="2" w:space="0" w:color="auto"/>
            </w:tcBorders>
          </w:tcPr>
          <w:p w14:paraId="6CE86FFB" w14:textId="77777777" w:rsidR="009F4766" w:rsidRPr="00DE12A3" w:rsidRDefault="009F4766" w:rsidP="00C917D6">
            <w:pPr>
              <w:pStyle w:val="NormalLeft"/>
            </w:pPr>
            <w:r w:rsidRPr="00DE12A3">
              <w:t>5</w:t>
            </w:r>
          </w:p>
        </w:tc>
      </w:tr>
      <w:tr w:rsidR="00DE12A3" w:rsidRPr="00DE12A3" w14:paraId="6DED6BC2" w14:textId="77777777" w:rsidTr="009F4766">
        <w:tc>
          <w:tcPr>
            <w:tcW w:w="1182" w:type="dxa"/>
            <w:tcBorders>
              <w:top w:val="single" w:sz="2" w:space="0" w:color="auto"/>
              <w:left w:val="single" w:sz="2" w:space="0" w:color="auto"/>
              <w:bottom w:val="single" w:sz="2" w:space="0" w:color="auto"/>
              <w:right w:val="single" w:sz="2" w:space="0" w:color="auto"/>
            </w:tcBorders>
          </w:tcPr>
          <w:p w14:paraId="6AB254FE" w14:textId="77777777" w:rsidR="009F4766" w:rsidRPr="00DE12A3" w:rsidRDefault="009F4766" w:rsidP="00C917D6">
            <w:pPr>
              <w:pStyle w:val="NormalLeft"/>
            </w:pPr>
            <w:r w:rsidRPr="00DE12A3">
              <w:t>886</w:t>
            </w:r>
          </w:p>
        </w:tc>
        <w:tc>
          <w:tcPr>
            <w:tcW w:w="2489" w:type="dxa"/>
            <w:tcBorders>
              <w:top w:val="single" w:sz="2" w:space="0" w:color="auto"/>
              <w:left w:val="single" w:sz="2" w:space="0" w:color="auto"/>
              <w:bottom w:val="single" w:sz="2" w:space="0" w:color="auto"/>
              <w:right w:val="single" w:sz="2" w:space="0" w:color="auto"/>
            </w:tcBorders>
          </w:tcPr>
          <w:p w14:paraId="56737C6C" w14:textId="77777777" w:rsidR="009F4766" w:rsidRPr="00DE12A3" w:rsidRDefault="009F4766" w:rsidP="00C917D6">
            <w:pPr>
              <w:pStyle w:val="NormalLeft"/>
            </w:pPr>
            <w:r w:rsidRPr="00DE12A3">
              <w:t>50</w:t>
            </w:r>
          </w:p>
        </w:tc>
        <w:tc>
          <w:tcPr>
            <w:tcW w:w="2551" w:type="dxa"/>
            <w:tcBorders>
              <w:top w:val="single" w:sz="2" w:space="0" w:color="auto"/>
              <w:left w:val="single" w:sz="2" w:space="0" w:color="auto"/>
              <w:bottom w:val="single" w:sz="2" w:space="0" w:color="auto"/>
              <w:right w:val="single" w:sz="2" w:space="0" w:color="auto"/>
            </w:tcBorders>
          </w:tcPr>
          <w:p w14:paraId="27792782" w14:textId="77777777" w:rsidR="009F4766" w:rsidRPr="00DE12A3" w:rsidRDefault="009F4766" w:rsidP="00C917D6">
            <w:pPr>
              <w:pStyle w:val="NormalLeft"/>
            </w:pPr>
            <w:r w:rsidRPr="00DE12A3">
              <w:t>5</w:t>
            </w:r>
          </w:p>
        </w:tc>
      </w:tr>
      <w:tr w:rsidR="00DE12A3" w:rsidRPr="00DE12A3" w14:paraId="7A632077" w14:textId="77777777" w:rsidTr="009F4766">
        <w:tc>
          <w:tcPr>
            <w:tcW w:w="1182" w:type="dxa"/>
            <w:tcBorders>
              <w:top w:val="single" w:sz="2" w:space="0" w:color="auto"/>
              <w:left w:val="single" w:sz="2" w:space="0" w:color="auto"/>
              <w:bottom w:val="single" w:sz="2" w:space="0" w:color="auto"/>
              <w:right w:val="single" w:sz="2" w:space="0" w:color="auto"/>
            </w:tcBorders>
          </w:tcPr>
          <w:p w14:paraId="484BE0E5" w14:textId="77777777" w:rsidR="009F4766" w:rsidRPr="00DE12A3" w:rsidRDefault="009F4766" w:rsidP="00C917D6">
            <w:pPr>
              <w:pStyle w:val="NormalLeft"/>
            </w:pPr>
            <w:r w:rsidRPr="00DE12A3">
              <w:t>887</w:t>
            </w:r>
          </w:p>
        </w:tc>
        <w:tc>
          <w:tcPr>
            <w:tcW w:w="2489" w:type="dxa"/>
            <w:tcBorders>
              <w:top w:val="single" w:sz="2" w:space="0" w:color="auto"/>
              <w:left w:val="single" w:sz="2" w:space="0" w:color="auto"/>
              <w:bottom w:val="single" w:sz="2" w:space="0" w:color="auto"/>
              <w:right w:val="single" w:sz="2" w:space="0" w:color="auto"/>
            </w:tcBorders>
          </w:tcPr>
          <w:p w14:paraId="21FF8EEE" w14:textId="77777777" w:rsidR="009F4766" w:rsidRPr="00DE12A3" w:rsidRDefault="009F4766" w:rsidP="00C917D6">
            <w:pPr>
              <w:pStyle w:val="NormalLeft"/>
            </w:pPr>
            <w:r w:rsidRPr="00DE12A3">
              <w:t>50</w:t>
            </w:r>
          </w:p>
        </w:tc>
        <w:tc>
          <w:tcPr>
            <w:tcW w:w="2551" w:type="dxa"/>
            <w:tcBorders>
              <w:top w:val="single" w:sz="2" w:space="0" w:color="auto"/>
              <w:left w:val="single" w:sz="2" w:space="0" w:color="auto"/>
              <w:bottom w:val="single" w:sz="2" w:space="0" w:color="auto"/>
              <w:right w:val="single" w:sz="2" w:space="0" w:color="auto"/>
            </w:tcBorders>
          </w:tcPr>
          <w:p w14:paraId="641AFCDA" w14:textId="77777777" w:rsidR="009F4766" w:rsidRPr="00DE12A3" w:rsidRDefault="009F4766" w:rsidP="00C917D6">
            <w:pPr>
              <w:pStyle w:val="NormalLeft"/>
            </w:pPr>
            <w:r w:rsidRPr="00DE12A3">
              <w:t>5</w:t>
            </w:r>
          </w:p>
        </w:tc>
      </w:tr>
      <w:tr w:rsidR="00DE12A3" w:rsidRPr="00DE12A3" w14:paraId="3A1D240F" w14:textId="77777777" w:rsidTr="009F4766">
        <w:tc>
          <w:tcPr>
            <w:tcW w:w="1182" w:type="dxa"/>
            <w:tcBorders>
              <w:top w:val="single" w:sz="2" w:space="0" w:color="auto"/>
              <w:left w:val="single" w:sz="2" w:space="0" w:color="auto"/>
              <w:bottom w:val="single" w:sz="2" w:space="0" w:color="auto"/>
              <w:right w:val="single" w:sz="2" w:space="0" w:color="auto"/>
            </w:tcBorders>
          </w:tcPr>
          <w:p w14:paraId="47E17D4D" w14:textId="77777777" w:rsidR="009F4766" w:rsidRPr="00DE12A3" w:rsidRDefault="009F4766" w:rsidP="00C917D6">
            <w:pPr>
              <w:pStyle w:val="NormalLeft"/>
            </w:pPr>
            <w:r w:rsidRPr="00DE12A3">
              <w:t>888</w:t>
            </w:r>
          </w:p>
        </w:tc>
        <w:tc>
          <w:tcPr>
            <w:tcW w:w="2489" w:type="dxa"/>
            <w:tcBorders>
              <w:top w:val="single" w:sz="2" w:space="0" w:color="auto"/>
              <w:left w:val="single" w:sz="2" w:space="0" w:color="auto"/>
              <w:bottom w:val="single" w:sz="2" w:space="0" w:color="auto"/>
              <w:right w:val="single" w:sz="2" w:space="0" w:color="auto"/>
            </w:tcBorders>
          </w:tcPr>
          <w:p w14:paraId="3090C76B" w14:textId="77777777" w:rsidR="009F4766" w:rsidRPr="00DE12A3" w:rsidRDefault="009F4766" w:rsidP="00C917D6">
            <w:pPr>
              <w:pStyle w:val="NormalLeft"/>
            </w:pPr>
            <w:r w:rsidRPr="00DE12A3">
              <w:t>51</w:t>
            </w:r>
          </w:p>
        </w:tc>
        <w:tc>
          <w:tcPr>
            <w:tcW w:w="2551" w:type="dxa"/>
            <w:tcBorders>
              <w:top w:val="single" w:sz="2" w:space="0" w:color="auto"/>
              <w:left w:val="single" w:sz="2" w:space="0" w:color="auto"/>
              <w:bottom w:val="single" w:sz="2" w:space="0" w:color="auto"/>
              <w:right w:val="single" w:sz="2" w:space="0" w:color="auto"/>
            </w:tcBorders>
          </w:tcPr>
          <w:p w14:paraId="3D3F228C" w14:textId="77777777" w:rsidR="009F4766" w:rsidRPr="00DE12A3" w:rsidRDefault="009F4766" w:rsidP="00C917D6">
            <w:pPr>
              <w:pStyle w:val="NormalLeft"/>
            </w:pPr>
            <w:r w:rsidRPr="00DE12A3">
              <w:t>5</w:t>
            </w:r>
          </w:p>
        </w:tc>
      </w:tr>
      <w:tr w:rsidR="00DE12A3" w:rsidRPr="00DE12A3" w14:paraId="1A99FD71" w14:textId="77777777" w:rsidTr="009F4766">
        <w:tc>
          <w:tcPr>
            <w:tcW w:w="1182" w:type="dxa"/>
            <w:tcBorders>
              <w:top w:val="single" w:sz="2" w:space="0" w:color="auto"/>
              <w:left w:val="single" w:sz="2" w:space="0" w:color="auto"/>
              <w:bottom w:val="single" w:sz="2" w:space="0" w:color="auto"/>
              <w:right w:val="single" w:sz="2" w:space="0" w:color="auto"/>
            </w:tcBorders>
          </w:tcPr>
          <w:p w14:paraId="0AFD2D11" w14:textId="77777777" w:rsidR="009F4766" w:rsidRPr="00DE12A3" w:rsidRDefault="009F4766" w:rsidP="00C917D6">
            <w:pPr>
              <w:pStyle w:val="NormalLeft"/>
            </w:pPr>
            <w:r w:rsidRPr="00DE12A3">
              <w:t>889</w:t>
            </w:r>
          </w:p>
        </w:tc>
        <w:tc>
          <w:tcPr>
            <w:tcW w:w="2489" w:type="dxa"/>
            <w:tcBorders>
              <w:top w:val="single" w:sz="2" w:space="0" w:color="auto"/>
              <w:left w:val="single" w:sz="2" w:space="0" w:color="auto"/>
              <w:bottom w:val="single" w:sz="2" w:space="0" w:color="auto"/>
              <w:right w:val="single" w:sz="2" w:space="0" w:color="auto"/>
            </w:tcBorders>
          </w:tcPr>
          <w:p w14:paraId="2DB6A1F2" w14:textId="77777777" w:rsidR="009F4766" w:rsidRPr="00DE12A3" w:rsidRDefault="009F4766" w:rsidP="00C917D6">
            <w:pPr>
              <w:pStyle w:val="NormalLeft"/>
            </w:pPr>
            <w:r w:rsidRPr="00DE12A3">
              <w:t>51</w:t>
            </w:r>
          </w:p>
        </w:tc>
        <w:tc>
          <w:tcPr>
            <w:tcW w:w="2551" w:type="dxa"/>
            <w:tcBorders>
              <w:top w:val="single" w:sz="2" w:space="0" w:color="auto"/>
              <w:left w:val="single" w:sz="2" w:space="0" w:color="auto"/>
              <w:bottom w:val="single" w:sz="2" w:space="0" w:color="auto"/>
              <w:right w:val="single" w:sz="2" w:space="0" w:color="auto"/>
            </w:tcBorders>
          </w:tcPr>
          <w:p w14:paraId="526F804D" w14:textId="77777777" w:rsidR="009F4766" w:rsidRPr="00DE12A3" w:rsidRDefault="009F4766" w:rsidP="00C917D6">
            <w:pPr>
              <w:pStyle w:val="NormalLeft"/>
            </w:pPr>
            <w:r w:rsidRPr="00DE12A3">
              <w:t>5</w:t>
            </w:r>
          </w:p>
        </w:tc>
      </w:tr>
      <w:tr w:rsidR="00DE12A3" w:rsidRPr="00DE12A3" w14:paraId="7F7FB3B4" w14:textId="77777777" w:rsidTr="009F4766">
        <w:tc>
          <w:tcPr>
            <w:tcW w:w="1182" w:type="dxa"/>
            <w:tcBorders>
              <w:top w:val="single" w:sz="2" w:space="0" w:color="auto"/>
              <w:left w:val="single" w:sz="2" w:space="0" w:color="auto"/>
              <w:bottom w:val="single" w:sz="2" w:space="0" w:color="auto"/>
              <w:right w:val="single" w:sz="2" w:space="0" w:color="auto"/>
            </w:tcBorders>
          </w:tcPr>
          <w:p w14:paraId="209C8802" w14:textId="77777777" w:rsidR="009F4766" w:rsidRPr="00DE12A3" w:rsidRDefault="009F4766" w:rsidP="00C917D6">
            <w:pPr>
              <w:pStyle w:val="NormalLeft"/>
            </w:pPr>
            <w:r w:rsidRPr="00DE12A3">
              <w:t>890</w:t>
            </w:r>
          </w:p>
        </w:tc>
        <w:tc>
          <w:tcPr>
            <w:tcW w:w="2489" w:type="dxa"/>
            <w:tcBorders>
              <w:top w:val="single" w:sz="2" w:space="0" w:color="auto"/>
              <w:left w:val="single" w:sz="2" w:space="0" w:color="auto"/>
              <w:bottom w:val="single" w:sz="2" w:space="0" w:color="auto"/>
              <w:right w:val="single" w:sz="2" w:space="0" w:color="auto"/>
            </w:tcBorders>
          </w:tcPr>
          <w:p w14:paraId="301A71CB" w14:textId="77777777" w:rsidR="009F4766" w:rsidRPr="00DE12A3" w:rsidRDefault="009F4766" w:rsidP="00C917D6">
            <w:pPr>
              <w:pStyle w:val="NormalLeft"/>
            </w:pPr>
            <w:r w:rsidRPr="00DE12A3">
              <w:t>51</w:t>
            </w:r>
          </w:p>
        </w:tc>
        <w:tc>
          <w:tcPr>
            <w:tcW w:w="2551" w:type="dxa"/>
            <w:tcBorders>
              <w:top w:val="single" w:sz="2" w:space="0" w:color="auto"/>
              <w:left w:val="single" w:sz="2" w:space="0" w:color="auto"/>
              <w:bottom w:val="single" w:sz="2" w:space="0" w:color="auto"/>
              <w:right w:val="single" w:sz="2" w:space="0" w:color="auto"/>
            </w:tcBorders>
          </w:tcPr>
          <w:p w14:paraId="018C5403" w14:textId="77777777" w:rsidR="009F4766" w:rsidRPr="00DE12A3" w:rsidRDefault="009F4766" w:rsidP="00C917D6">
            <w:pPr>
              <w:pStyle w:val="NormalLeft"/>
            </w:pPr>
            <w:r w:rsidRPr="00DE12A3">
              <w:t>5</w:t>
            </w:r>
          </w:p>
        </w:tc>
      </w:tr>
      <w:tr w:rsidR="00DE12A3" w:rsidRPr="00DE12A3" w14:paraId="46D13C42" w14:textId="77777777" w:rsidTr="009F4766">
        <w:tc>
          <w:tcPr>
            <w:tcW w:w="1182" w:type="dxa"/>
            <w:tcBorders>
              <w:top w:val="single" w:sz="2" w:space="0" w:color="auto"/>
              <w:left w:val="single" w:sz="2" w:space="0" w:color="auto"/>
              <w:bottom w:val="single" w:sz="2" w:space="0" w:color="auto"/>
              <w:right w:val="single" w:sz="2" w:space="0" w:color="auto"/>
            </w:tcBorders>
          </w:tcPr>
          <w:p w14:paraId="611DFE92" w14:textId="77777777" w:rsidR="009F4766" w:rsidRPr="00DE12A3" w:rsidRDefault="009F4766" w:rsidP="00C917D6">
            <w:pPr>
              <w:pStyle w:val="NormalLeft"/>
            </w:pPr>
            <w:r w:rsidRPr="00DE12A3">
              <w:t>891</w:t>
            </w:r>
          </w:p>
        </w:tc>
        <w:tc>
          <w:tcPr>
            <w:tcW w:w="2489" w:type="dxa"/>
            <w:tcBorders>
              <w:top w:val="single" w:sz="2" w:space="0" w:color="auto"/>
              <w:left w:val="single" w:sz="2" w:space="0" w:color="auto"/>
              <w:bottom w:val="single" w:sz="2" w:space="0" w:color="auto"/>
              <w:right w:val="single" w:sz="2" w:space="0" w:color="auto"/>
            </w:tcBorders>
          </w:tcPr>
          <w:p w14:paraId="56BC07EC" w14:textId="77777777" w:rsidR="009F4766" w:rsidRPr="00DE12A3" w:rsidRDefault="009F4766" w:rsidP="00C917D6">
            <w:pPr>
              <w:pStyle w:val="NormalLeft"/>
            </w:pPr>
            <w:r w:rsidRPr="00DE12A3">
              <w:t>63</w:t>
            </w:r>
          </w:p>
        </w:tc>
        <w:tc>
          <w:tcPr>
            <w:tcW w:w="2551" w:type="dxa"/>
            <w:tcBorders>
              <w:top w:val="single" w:sz="2" w:space="0" w:color="auto"/>
              <w:left w:val="single" w:sz="2" w:space="0" w:color="auto"/>
              <w:bottom w:val="single" w:sz="2" w:space="0" w:color="auto"/>
              <w:right w:val="single" w:sz="2" w:space="0" w:color="auto"/>
            </w:tcBorders>
          </w:tcPr>
          <w:p w14:paraId="0688BD42" w14:textId="77777777" w:rsidR="009F4766" w:rsidRPr="00DE12A3" w:rsidRDefault="009F4766" w:rsidP="00C917D6">
            <w:pPr>
              <w:pStyle w:val="NormalLeft"/>
            </w:pPr>
            <w:r w:rsidRPr="00DE12A3">
              <w:t>50</w:t>
            </w:r>
          </w:p>
        </w:tc>
      </w:tr>
      <w:tr w:rsidR="00DE12A3" w:rsidRPr="00DE12A3" w14:paraId="57697CBC" w14:textId="77777777" w:rsidTr="009F4766">
        <w:tc>
          <w:tcPr>
            <w:tcW w:w="1182" w:type="dxa"/>
            <w:tcBorders>
              <w:top w:val="single" w:sz="2" w:space="0" w:color="auto"/>
              <w:left w:val="single" w:sz="2" w:space="0" w:color="auto"/>
              <w:bottom w:val="single" w:sz="2" w:space="0" w:color="auto"/>
              <w:right w:val="single" w:sz="2" w:space="0" w:color="auto"/>
            </w:tcBorders>
          </w:tcPr>
          <w:p w14:paraId="64017B0E" w14:textId="77777777" w:rsidR="009F4766" w:rsidRPr="00DE12A3" w:rsidRDefault="009F4766" w:rsidP="00C917D6">
            <w:pPr>
              <w:pStyle w:val="NormalLeft"/>
            </w:pPr>
            <w:r w:rsidRPr="00DE12A3">
              <w:t>892</w:t>
            </w:r>
          </w:p>
        </w:tc>
        <w:tc>
          <w:tcPr>
            <w:tcW w:w="2489" w:type="dxa"/>
            <w:tcBorders>
              <w:top w:val="single" w:sz="2" w:space="0" w:color="auto"/>
              <w:left w:val="single" w:sz="2" w:space="0" w:color="auto"/>
              <w:bottom w:val="single" w:sz="2" w:space="0" w:color="auto"/>
              <w:right w:val="single" w:sz="2" w:space="0" w:color="auto"/>
            </w:tcBorders>
          </w:tcPr>
          <w:p w14:paraId="27DAA214" w14:textId="77777777" w:rsidR="009F4766" w:rsidRPr="00DE12A3" w:rsidRDefault="009F4766" w:rsidP="00C917D6">
            <w:pPr>
              <w:pStyle w:val="NormalLeft"/>
            </w:pPr>
            <w:r w:rsidRPr="00DE12A3">
              <w:t>81</w:t>
            </w:r>
          </w:p>
        </w:tc>
        <w:tc>
          <w:tcPr>
            <w:tcW w:w="2551" w:type="dxa"/>
            <w:tcBorders>
              <w:top w:val="single" w:sz="2" w:space="0" w:color="auto"/>
              <w:left w:val="single" w:sz="2" w:space="0" w:color="auto"/>
              <w:bottom w:val="single" w:sz="2" w:space="0" w:color="auto"/>
              <w:right w:val="single" w:sz="2" w:space="0" w:color="auto"/>
            </w:tcBorders>
          </w:tcPr>
          <w:p w14:paraId="09889284" w14:textId="77777777" w:rsidR="009F4766" w:rsidRPr="00DE12A3" w:rsidRDefault="009F4766" w:rsidP="00C917D6">
            <w:pPr>
              <w:pStyle w:val="NormalLeft"/>
            </w:pPr>
            <w:r w:rsidRPr="00DE12A3">
              <w:t>34</w:t>
            </w:r>
          </w:p>
        </w:tc>
      </w:tr>
      <w:tr w:rsidR="00DE12A3" w:rsidRPr="00DE12A3" w14:paraId="2607E8B3" w14:textId="77777777" w:rsidTr="009F4766">
        <w:tc>
          <w:tcPr>
            <w:tcW w:w="1182" w:type="dxa"/>
            <w:tcBorders>
              <w:top w:val="single" w:sz="2" w:space="0" w:color="auto"/>
              <w:left w:val="single" w:sz="2" w:space="0" w:color="auto"/>
              <w:bottom w:val="single" w:sz="2" w:space="0" w:color="auto"/>
              <w:right w:val="single" w:sz="2" w:space="0" w:color="auto"/>
            </w:tcBorders>
          </w:tcPr>
          <w:p w14:paraId="04E32DA3" w14:textId="77777777" w:rsidR="009F4766" w:rsidRPr="00DE12A3" w:rsidRDefault="009F4766" w:rsidP="00C917D6">
            <w:pPr>
              <w:pStyle w:val="NormalLeft"/>
            </w:pPr>
            <w:r w:rsidRPr="00DE12A3">
              <w:t>893</w:t>
            </w:r>
          </w:p>
        </w:tc>
        <w:tc>
          <w:tcPr>
            <w:tcW w:w="2489" w:type="dxa"/>
            <w:tcBorders>
              <w:top w:val="single" w:sz="2" w:space="0" w:color="auto"/>
              <w:left w:val="single" w:sz="2" w:space="0" w:color="auto"/>
              <w:bottom w:val="single" w:sz="2" w:space="0" w:color="auto"/>
              <w:right w:val="single" w:sz="2" w:space="0" w:color="auto"/>
            </w:tcBorders>
          </w:tcPr>
          <w:p w14:paraId="1A5A8AED" w14:textId="77777777" w:rsidR="009F4766" w:rsidRPr="00DE12A3" w:rsidRDefault="009F4766" w:rsidP="00C917D6">
            <w:pPr>
              <w:pStyle w:val="NormalLeft"/>
            </w:pPr>
            <w:r w:rsidRPr="00DE12A3">
              <w:t>81</w:t>
            </w:r>
          </w:p>
        </w:tc>
        <w:tc>
          <w:tcPr>
            <w:tcW w:w="2551" w:type="dxa"/>
            <w:tcBorders>
              <w:top w:val="single" w:sz="2" w:space="0" w:color="auto"/>
              <w:left w:val="single" w:sz="2" w:space="0" w:color="auto"/>
              <w:bottom w:val="single" w:sz="2" w:space="0" w:color="auto"/>
              <w:right w:val="single" w:sz="2" w:space="0" w:color="auto"/>
            </w:tcBorders>
          </w:tcPr>
          <w:p w14:paraId="1E906F3B" w14:textId="77777777" w:rsidR="009F4766" w:rsidRPr="00DE12A3" w:rsidRDefault="009F4766" w:rsidP="00C917D6">
            <w:pPr>
              <w:pStyle w:val="NormalLeft"/>
            </w:pPr>
            <w:r w:rsidRPr="00DE12A3">
              <w:t>25</w:t>
            </w:r>
          </w:p>
        </w:tc>
      </w:tr>
      <w:tr w:rsidR="00DE12A3" w:rsidRPr="00DE12A3" w14:paraId="1B225E0F" w14:textId="77777777" w:rsidTr="009F4766">
        <w:tc>
          <w:tcPr>
            <w:tcW w:w="1182" w:type="dxa"/>
            <w:tcBorders>
              <w:top w:val="single" w:sz="2" w:space="0" w:color="auto"/>
              <w:left w:val="single" w:sz="2" w:space="0" w:color="auto"/>
              <w:bottom w:val="single" w:sz="2" w:space="0" w:color="auto"/>
              <w:right w:val="single" w:sz="2" w:space="0" w:color="auto"/>
            </w:tcBorders>
          </w:tcPr>
          <w:p w14:paraId="1876F2B2" w14:textId="77777777" w:rsidR="009F4766" w:rsidRPr="00DE12A3" w:rsidRDefault="009F4766" w:rsidP="00C917D6">
            <w:pPr>
              <w:pStyle w:val="NormalLeft"/>
            </w:pPr>
            <w:r w:rsidRPr="00DE12A3">
              <w:t>894</w:t>
            </w:r>
          </w:p>
        </w:tc>
        <w:tc>
          <w:tcPr>
            <w:tcW w:w="2489" w:type="dxa"/>
            <w:tcBorders>
              <w:top w:val="single" w:sz="2" w:space="0" w:color="auto"/>
              <w:left w:val="single" w:sz="2" w:space="0" w:color="auto"/>
              <w:bottom w:val="single" w:sz="2" w:space="0" w:color="auto"/>
              <w:right w:val="single" w:sz="2" w:space="0" w:color="auto"/>
            </w:tcBorders>
          </w:tcPr>
          <w:p w14:paraId="26495E13" w14:textId="77777777" w:rsidR="009F4766" w:rsidRPr="00DE12A3" w:rsidRDefault="009F4766" w:rsidP="00C917D6">
            <w:pPr>
              <w:pStyle w:val="NormalLeft"/>
            </w:pPr>
            <w:r w:rsidRPr="00DE12A3">
              <w:t>81</w:t>
            </w:r>
          </w:p>
        </w:tc>
        <w:tc>
          <w:tcPr>
            <w:tcW w:w="2551" w:type="dxa"/>
            <w:tcBorders>
              <w:top w:val="single" w:sz="2" w:space="0" w:color="auto"/>
              <w:left w:val="single" w:sz="2" w:space="0" w:color="auto"/>
              <w:bottom w:val="single" w:sz="2" w:space="0" w:color="auto"/>
              <w:right w:val="single" w:sz="2" w:space="0" w:color="auto"/>
            </w:tcBorders>
          </w:tcPr>
          <w:p w14:paraId="67AAB659" w14:textId="77777777" w:rsidR="009F4766" w:rsidRPr="00DE12A3" w:rsidRDefault="009F4766" w:rsidP="00C917D6">
            <w:pPr>
              <w:pStyle w:val="NormalLeft"/>
            </w:pPr>
            <w:r w:rsidRPr="00DE12A3">
              <w:t>29</w:t>
            </w:r>
          </w:p>
        </w:tc>
      </w:tr>
      <w:tr w:rsidR="00DE12A3" w:rsidRPr="00DE12A3" w14:paraId="0D7C2EDA" w14:textId="77777777" w:rsidTr="009F4766">
        <w:tc>
          <w:tcPr>
            <w:tcW w:w="1182" w:type="dxa"/>
            <w:tcBorders>
              <w:top w:val="single" w:sz="2" w:space="0" w:color="auto"/>
              <w:left w:val="single" w:sz="2" w:space="0" w:color="auto"/>
              <w:bottom w:val="single" w:sz="2" w:space="0" w:color="auto"/>
              <w:right w:val="single" w:sz="2" w:space="0" w:color="auto"/>
            </w:tcBorders>
          </w:tcPr>
          <w:p w14:paraId="107F243E" w14:textId="77777777" w:rsidR="009F4766" w:rsidRPr="00DE12A3" w:rsidRDefault="009F4766" w:rsidP="00C917D6">
            <w:pPr>
              <w:pStyle w:val="NormalLeft"/>
            </w:pPr>
            <w:r w:rsidRPr="00DE12A3">
              <w:t>895</w:t>
            </w:r>
          </w:p>
        </w:tc>
        <w:tc>
          <w:tcPr>
            <w:tcW w:w="2489" w:type="dxa"/>
            <w:tcBorders>
              <w:top w:val="single" w:sz="2" w:space="0" w:color="auto"/>
              <w:left w:val="single" w:sz="2" w:space="0" w:color="auto"/>
              <w:bottom w:val="single" w:sz="2" w:space="0" w:color="auto"/>
              <w:right w:val="single" w:sz="2" w:space="0" w:color="auto"/>
            </w:tcBorders>
          </w:tcPr>
          <w:p w14:paraId="789E1A3D" w14:textId="77777777" w:rsidR="009F4766" w:rsidRPr="00DE12A3" w:rsidRDefault="009F4766" w:rsidP="00C917D6">
            <w:pPr>
              <w:pStyle w:val="NormalLeft"/>
            </w:pPr>
            <w:r w:rsidRPr="00DE12A3">
              <w:t>81</w:t>
            </w:r>
          </w:p>
        </w:tc>
        <w:tc>
          <w:tcPr>
            <w:tcW w:w="2551" w:type="dxa"/>
            <w:tcBorders>
              <w:top w:val="single" w:sz="2" w:space="0" w:color="auto"/>
              <w:left w:val="single" w:sz="2" w:space="0" w:color="auto"/>
              <w:bottom w:val="single" w:sz="2" w:space="0" w:color="auto"/>
              <w:right w:val="single" w:sz="2" w:space="0" w:color="auto"/>
            </w:tcBorders>
          </w:tcPr>
          <w:p w14:paraId="64618D72" w14:textId="77777777" w:rsidR="009F4766" w:rsidRPr="00DE12A3" w:rsidRDefault="009F4766" w:rsidP="00C917D6">
            <w:pPr>
              <w:pStyle w:val="NormalLeft"/>
            </w:pPr>
            <w:r w:rsidRPr="00DE12A3">
              <w:t>23</w:t>
            </w:r>
          </w:p>
        </w:tc>
      </w:tr>
      <w:tr w:rsidR="00DE12A3" w:rsidRPr="00DE12A3" w14:paraId="1ED03B1C" w14:textId="77777777" w:rsidTr="009F4766">
        <w:tc>
          <w:tcPr>
            <w:tcW w:w="1182" w:type="dxa"/>
            <w:tcBorders>
              <w:top w:val="single" w:sz="2" w:space="0" w:color="auto"/>
              <w:left w:val="single" w:sz="2" w:space="0" w:color="auto"/>
              <w:bottom w:val="single" w:sz="2" w:space="0" w:color="auto"/>
              <w:right w:val="single" w:sz="2" w:space="0" w:color="auto"/>
            </w:tcBorders>
          </w:tcPr>
          <w:p w14:paraId="701E0BE7" w14:textId="77777777" w:rsidR="009F4766" w:rsidRPr="00DE12A3" w:rsidRDefault="009F4766" w:rsidP="00C917D6">
            <w:pPr>
              <w:pStyle w:val="NormalLeft"/>
            </w:pPr>
            <w:r w:rsidRPr="00DE12A3">
              <w:t>896</w:t>
            </w:r>
          </w:p>
        </w:tc>
        <w:tc>
          <w:tcPr>
            <w:tcW w:w="2489" w:type="dxa"/>
            <w:tcBorders>
              <w:top w:val="single" w:sz="2" w:space="0" w:color="auto"/>
              <w:left w:val="single" w:sz="2" w:space="0" w:color="auto"/>
              <w:bottom w:val="single" w:sz="2" w:space="0" w:color="auto"/>
              <w:right w:val="single" w:sz="2" w:space="0" w:color="auto"/>
            </w:tcBorders>
          </w:tcPr>
          <w:p w14:paraId="4BBB8B49" w14:textId="77777777" w:rsidR="009F4766" w:rsidRPr="00DE12A3" w:rsidRDefault="009F4766" w:rsidP="00C917D6">
            <w:pPr>
              <w:pStyle w:val="NormalLeft"/>
            </w:pPr>
            <w:r w:rsidRPr="00DE12A3">
              <w:t>80</w:t>
            </w:r>
          </w:p>
        </w:tc>
        <w:tc>
          <w:tcPr>
            <w:tcW w:w="2551" w:type="dxa"/>
            <w:tcBorders>
              <w:top w:val="single" w:sz="2" w:space="0" w:color="auto"/>
              <w:left w:val="single" w:sz="2" w:space="0" w:color="auto"/>
              <w:bottom w:val="single" w:sz="2" w:space="0" w:color="auto"/>
              <w:right w:val="single" w:sz="2" w:space="0" w:color="auto"/>
            </w:tcBorders>
          </w:tcPr>
          <w:p w14:paraId="74DB5EC9" w14:textId="77777777" w:rsidR="009F4766" w:rsidRPr="00DE12A3" w:rsidRDefault="009F4766" w:rsidP="00C917D6">
            <w:pPr>
              <w:pStyle w:val="NormalLeft"/>
            </w:pPr>
            <w:r w:rsidRPr="00DE12A3">
              <w:t>24</w:t>
            </w:r>
          </w:p>
        </w:tc>
      </w:tr>
      <w:tr w:rsidR="00DE12A3" w:rsidRPr="00DE12A3" w14:paraId="31052E6B" w14:textId="77777777" w:rsidTr="009F4766">
        <w:tc>
          <w:tcPr>
            <w:tcW w:w="1182" w:type="dxa"/>
            <w:tcBorders>
              <w:top w:val="single" w:sz="2" w:space="0" w:color="auto"/>
              <w:left w:val="single" w:sz="2" w:space="0" w:color="auto"/>
              <w:bottom w:val="single" w:sz="2" w:space="0" w:color="auto"/>
              <w:right w:val="single" w:sz="2" w:space="0" w:color="auto"/>
            </w:tcBorders>
          </w:tcPr>
          <w:p w14:paraId="35785ED7" w14:textId="77777777" w:rsidR="009F4766" w:rsidRPr="00DE12A3" w:rsidRDefault="009F4766" w:rsidP="00C917D6">
            <w:pPr>
              <w:pStyle w:val="NormalLeft"/>
            </w:pPr>
            <w:r w:rsidRPr="00DE12A3">
              <w:t>897</w:t>
            </w:r>
          </w:p>
        </w:tc>
        <w:tc>
          <w:tcPr>
            <w:tcW w:w="2489" w:type="dxa"/>
            <w:tcBorders>
              <w:top w:val="single" w:sz="2" w:space="0" w:color="auto"/>
              <w:left w:val="single" w:sz="2" w:space="0" w:color="auto"/>
              <w:bottom w:val="single" w:sz="2" w:space="0" w:color="auto"/>
              <w:right w:val="single" w:sz="2" w:space="0" w:color="auto"/>
            </w:tcBorders>
          </w:tcPr>
          <w:p w14:paraId="65DB2463" w14:textId="77777777" w:rsidR="009F4766" w:rsidRPr="00DE12A3" w:rsidRDefault="009F4766" w:rsidP="00C917D6">
            <w:pPr>
              <w:pStyle w:val="NormalLeft"/>
            </w:pPr>
            <w:r w:rsidRPr="00DE12A3">
              <w:t>81</w:t>
            </w:r>
          </w:p>
        </w:tc>
        <w:tc>
          <w:tcPr>
            <w:tcW w:w="2551" w:type="dxa"/>
            <w:tcBorders>
              <w:top w:val="single" w:sz="2" w:space="0" w:color="auto"/>
              <w:left w:val="single" w:sz="2" w:space="0" w:color="auto"/>
              <w:bottom w:val="single" w:sz="2" w:space="0" w:color="auto"/>
              <w:right w:val="single" w:sz="2" w:space="0" w:color="auto"/>
            </w:tcBorders>
          </w:tcPr>
          <w:p w14:paraId="230FD258" w14:textId="77777777" w:rsidR="009F4766" w:rsidRPr="00DE12A3" w:rsidRDefault="009F4766" w:rsidP="00C917D6">
            <w:pPr>
              <w:pStyle w:val="NormalLeft"/>
            </w:pPr>
            <w:r w:rsidRPr="00DE12A3">
              <w:t>24</w:t>
            </w:r>
          </w:p>
        </w:tc>
      </w:tr>
      <w:tr w:rsidR="00DE12A3" w:rsidRPr="00DE12A3" w14:paraId="28423691" w14:textId="77777777" w:rsidTr="009F4766">
        <w:tc>
          <w:tcPr>
            <w:tcW w:w="1182" w:type="dxa"/>
            <w:tcBorders>
              <w:top w:val="single" w:sz="2" w:space="0" w:color="auto"/>
              <w:left w:val="single" w:sz="2" w:space="0" w:color="auto"/>
              <w:bottom w:val="single" w:sz="2" w:space="0" w:color="auto"/>
              <w:right w:val="single" w:sz="2" w:space="0" w:color="auto"/>
            </w:tcBorders>
          </w:tcPr>
          <w:p w14:paraId="2ED29E68" w14:textId="77777777" w:rsidR="009F4766" w:rsidRPr="00DE12A3" w:rsidRDefault="009F4766" w:rsidP="00C917D6">
            <w:pPr>
              <w:pStyle w:val="NormalLeft"/>
            </w:pPr>
            <w:r w:rsidRPr="00DE12A3">
              <w:t>898</w:t>
            </w:r>
          </w:p>
        </w:tc>
        <w:tc>
          <w:tcPr>
            <w:tcW w:w="2489" w:type="dxa"/>
            <w:tcBorders>
              <w:top w:val="single" w:sz="2" w:space="0" w:color="auto"/>
              <w:left w:val="single" w:sz="2" w:space="0" w:color="auto"/>
              <w:bottom w:val="single" w:sz="2" w:space="0" w:color="auto"/>
              <w:right w:val="single" w:sz="2" w:space="0" w:color="auto"/>
            </w:tcBorders>
          </w:tcPr>
          <w:p w14:paraId="6113C5F5" w14:textId="77777777" w:rsidR="009F4766" w:rsidRPr="00DE12A3" w:rsidRDefault="009F4766" w:rsidP="00C917D6">
            <w:pPr>
              <w:pStyle w:val="NormalLeft"/>
            </w:pPr>
            <w:r w:rsidRPr="00DE12A3">
              <w:t>81</w:t>
            </w:r>
          </w:p>
        </w:tc>
        <w:tc>
          <w:tcPr>
            <w:tcW w:w="2551" w:type="dxa"/>
            <w:tcBorders>
              <w:top w:val="single" w:sz="2" w:space="0" w:color="auto"/>
              <w:left w:val="single" w:sz="2" w:space="0" w:color="auto"/>
              <w:bottom w:val="single" w:sz="2" w:space="0" w:color="auto"/>
              <w:right w:val="single" w:sz="2" w:space="0" w:color="auto"/>
            </w:tcBorders>
          </w:tcPr>
          <w:p w14:paraId="4E9E4176" w14:textId="77777777" w:rsidR="009F4766" w:rsidRPr="00DE12A3" w:rsidRDefault="009F4766" w:rsidP="00C917D6">
            <w:pPr>
              <w:pStyle w:val="NormalLeft"/>
            </w:pPr>
            <w:r w:rsidRPr="00DE12A3">
              <w:t>28</w:t>
            </w:r>
          </w:p>
        </w:tc>
      </w:tr>
      <w:tr w:rsidR="00DE12A3" w:rsidRPr="00DE12A3" w14:paraId="77FE347D" w14:textId="77777777" w:rsidTr="009F4766">
        <w:tc>
          <w:tcPr>
            <w:tcW w:w="1182" w:type="dxa"/>
            <w:tcBorders>
              <w:top w:val="single" w:sz="2" w:space="0" w:color="auto"/>
              <w:left w:val="single" w:sz="2" w:space="0" w:color="auto"/>
              <w:bottom w:val="single" w:sz="2" w:space="0" w:color="auto"/>
              <w:right w:val="single" w:sz="2" w:space="0" w:color="auto"/>
            </w:tcBorders>
          </w:tcPr>
          <w:p w14:paraId="0F342555" w14:textId="77777777" w:rsidR="009F4766" w:rsidRPr="00DE12A3" w:rsidRDefault="009F4766" w:rsidP="00C917D6">
            <w:pPr>
              <w:pStyle w:val="NormalLeft"/>
            </w:pPr>
            <w:r w:rsidRPr="00DE12A3">
              <w:t>899</w:t>
            </w:r>
          </w:p>
        </w:tc>
        <w:tc>
          <w:tcPr>
            <w:tcW w:w="2489" w:type="dxa"/>
            <w:tcBorders>
              <w:top w:val="single" w:sz="2" w:space="0" w:color="auto"/>
              <w:left w:val="single" w:sz="2" w:space="0" w:color="auto"/>
              <w:bottom w:val="single" w:sz="2" w:space="0" w:color="auto"/>
              <w:right w:val="single" w:sz="2" w:space="0" w:color="auto"/>
            </w:tcBorders>
          </w:tcPr>
          <w:p w14:paraId="5E88DA63" w14:textId="77777777" w:rsidR="009F4766" w:rsidRPr="00DE12A3" w:rsidRDefault="009F4766" w:rsidP="00C917D6">
            <w:pPr>
              <w:pStyle w:val="NormalLeft"/>
            </w:pPr>
            <w:r w:rsidRPr="00DE12A3">
              <w:t>81</w:t>
            </w:r>
          </w:p>
        </w:tc>
        <w:tc>
          <w:tcPr>
            <w:tcW w:w="2551" w:type="dxa"/>
            <w:tcBorders>
              <w:top w:val="single" w:sz="2" w:space="0" w:color="auto"/>
              <w:left w:val="single" w:sz="2" w:space="0" w:color="auto"/>
              <w:bottom w:val="single" w:sz="2" w:space="0" w:color="auto"/>
              <w:right w:val="single" w:sz="2" w:space="0" w:color="auto"/>
            </w:tcBorders>
          </w:tcPr>
          <w:p w14:paraId="432EDDC2" w14:textId="77777777" w:rsidR="009F4766" w:rsidRPr="00DE12A3" w:rsidRDefault="009F4766" w:rsidP="00C917D6">
            <w:pPr>
              <w:pStyle w:val="NormalLeft"/>
            </w:pPr>
            <w:r w:rsidRPr="00DE12A3">
              <w:t>27</w:t>
            </w:r>
          </w:p>
        </w:tc>
      </w:tr>
      <w:tr w:rsidR="00DE12A3" w:rsidRPr="00DE12A3" w14:paraId="6E517587" w14:textId="77777777" w:rsidTr="009F4766">
        <w:tc>
          <w:tcPr>
            <w:tcW w:w="1182" w:type="dxa"/>
            <w:tcBorders>
              <w:top w:val="single" w:sz="2" w:space="0" w:color="auto"/>
              <w:left w:val="single" w:sz="2" w:space="0" w:color="auto"/>
              <w:bottom w:val="single" w:sz="2" w:space="0" w:color="auto"/>
              <w:right w:val="single" w:sz="2" w:space="0" w:color="auto"/>
            </w:tcBorders>
          </w:tcPr>
          <w:p w14:paraId="6E309785" w14:textId="77777777" w:rsidR="009F4766" w:rsidRPr="00DE12A3" w:rsidRDefault="009F4766" w:rsidP="00C917D6">
            <w:pPr>
              <w:pStyle w:val="NormalLeft"/>
            </w:pPr>
            <w:r w:rsidRPr="00DE12A3">
              <w:t>900</w:t>
            </w:r>
          </w:p>
        </w:tc>
        <w:tc>
          <w:tcPr>
            <w:tcW w:w="2489" w:type="dxa"/>
            <w:tcBorders>
              <w:top w:val="single" w:sz="2" w:space="0" w:color="auto"/>
              <w:left w:val="single" w:sz="2" w:space="0" w:color="auto"/>
              <w:bottom w:val="single" w:sz="2" w:space="0" w:color="auto"/>
              <w:right w:val="single" w:sz="2" w:space="0" w:color="auto"/>
            </w:tcBorders>
          </w:tcPr>
          <w:p w14:paraId="5931A9BF" w14:textId="77777777" w:rsidR="009F4766" w:rsidRPr="00DE12A3" w:rsidRDefault="009F4766" w:rsidP="00C917D6">
            <w:pPr>
              <w:pStyle w:val="NormalLeft"/>
            </w:pPr>
            <w:r w:rsidRPr="00DE12A3">
              <w:t>81</w:t>
            </w:r>
          </w:p>
        </w:tc>
        <w:tc>
          <w:tcPr>
            <w:tcW w:w="2551" w:type="dxa"/>
            <w:tcBorders>
              <w:top w:val="single" w:sz="2" w:space="0" w:color="auto"/>
              <w:left w:val="single" w:sz="2" w:space="0" w:color="auto"/>
              <w:bottom w:val="single" w:sz="2" w:space="0" w:color="auto"/>
              <w:right w:val="single" w:sz="2" w:space="0" w:color="auto"/>
            </w:tcBorders>
          </w:tcPr>
          <w:p w14:paraId="6149FBE5" w14:textId="77777777" w:rsidR="009F4766" w:rsidRPr="00DE12A3" w:rsidRDefault="009F4766" w:rsidP="00C917D6">
            <w:pPr>
              <w:pStyle w:val="NormalLeft"/>
            </w:pPr>
            <w:r w:rsidRPr="00DE12A3">
              <w:t>22</w:t>
            </w:r>
          </w:p>
        </w:tc>
      </w:tr>
      <w:tr w:rsidR="00DE12A3" w:rsidRPr="00DE12A3" w14:paraId="5FD3318A" w14:textId="77777777" w:rsidTr="009F4766">
        <w:tc>
          <w:tcPr>
            <w:tcW w:w="1182" w:type="dxa"/>
            <w:tcBorders>
              <w:top w:val="single" w:sz="2" w:space="0" w:color="auto"/>
              <w:left w:val="single" w:sz="2" w:space="0" w:color="auto"/>
              <w:bottom w:val="single" w:sz="2" w:space="0" w:color="auto"/>
              <w:right w:val="single" w:sz="2" w:space="0" w:color="auto"/>
            </w:tcBorders>
          </w:tcPr>
          <w:p w14:paraId="4616A71E" w14:textId="77777777" w:rsidR="009F4766" w:rsidRPr="00DE12A3" w:rsidRDefault="009F4766" w:rsidP="00C917D6">
            <w:pPr>
              <w:pStyle w:val="NormalLeft"/>
            </w:pPr>
            <w:r w:rsidRPr="00DE12A3">
              <w:t>901</w:t>
            </w:r>
          </w:p>
        </w:tc>
        <w:tc>
          <w:tcPr>
            <w:tcW w:w="2489" w:type="dxa"/>
            <w:tcBorders>
              <w:top w:val="single" w:sz="2" w:space="0" w:color="auto"/>
              <w:left w:val="single" w:sz="2" w:space="0" w:color="auto"/>
              <w:bottom w:val="single" w:sz="2" w:space="0" w:color="auto"/>
              <w:right w:val="single" w:sz="2" w:space="0" w:color="auto"/>
            </w:tcBorders>
          </w:tcPr>
          <w:p w14:paraId="6E15F31A" w14:textId="77777777" w:rsidR="009F4766" w:rsidRPr="00DE12A3" w:rsidRDefault="009F4766" w:rsidP="00C917D6">
            <w:pPr>
              <w:pStyle w:val="NormalLeft"/>
            </w:pPr>
            <w:r w:rsidRPr="00DE12A3">
              <w:t>81</w:t>
            </w:r>
          </w:p>
        </w:tc>
        <w:tc>
          <w:tcPr>
            <w:tcW w:w="2551" w:type="dxa"/>
            <w:tcBorders>
              <w:top w:val="single" w:sz="2" w:space="0" w:color="auto"/>
              <w:left w:val="single" w:sz="2" w:space="0" w:color="auto"/>
              <w:bottom w:val="single" w:sz="2" w:space="0" w:color="auto"/>
              <w:right w:val="single" w:sz="2" w:space="0" w:color="auto"/>
            </w:tcBorders>
          </w:tcPr>
          <w:p w14:paraId="5B1C180A" w14:textId="77777777" w:rsidR="009F4766" w:rsidRPr="00DE12A3" w:rsidRDefault="009F4766" w:rsidP="00C917D6">
            <w:pPr>
              <w:pStyle w:val="NormalLeft"/>
            </w:pPr>
            <w:r w:rsidRPr="00DE12A3">
              <w:t>19</w:t>
            </w:r>
          </w:p>
        </w:tc>
      </w:tr>
      <w:tr w:rsidR="00DE12A3" w:rsidRPr="00DE12A3" w14:paraId="2035536A" w14:textId="77777777" w:rsidTr="009F4766">
        <w:tc>
          <w:tcPr>
            <w:tcW w:w="1182" w:type="dxa"/>
            <w:tcBorders>
              <w:top w:val="single" w:sz="2" w:space="0" w:color="auto"/>
              <w:left w:val="single" w:sz="2" w:space="0" w:color="auto"/>
              <w:bottom w:val="single" w:sz="2" w:space="0" w:color="auto"/>
              <w:right w:val="single" w:sz="2" w:space="0" w:color="auto"/>
            </w:tcBorders>
          </w:tcPr>
          <w:p w14:paraId="44206947" w14:textId="77777777" w:rsidR="009F4766" w:rsidRPr="00DE12A3" w:rsidRDefault="009F4766" w:rsidP="00C917D6">
            <w:pPr>
              <w:pStyle w:val="NormalLeft"/>
            </w:pPr>
            <w:r w:rsidRPr="00DE12A3">
              <w:t>902</w:t>
            </w:r>
          </w:p>
        </w:tc>
        <w:tc>
          <w:tcPr>
            <w:tcW w:w="2489" w:type="dxa"/>
            <w:tcBorders>
              <w:top w:val="single" w:sz="2" w:space="0" w:color="auto"/>
              <w:left w:val="single" w:sz="2" w:space="0" w:color="auto"/>
              <w:bottom w:val="single" w:sz="2" w:space="0" w:color="auto"/>
              <w:right w:val="single" w:sz="2" w:space="0" w:color="auto"/>
            </w:tcBorders>
          </w:tcPr>
          <w:p w14:paraId="2A73A315" w14:textId="77777777" w:rsidR="009F4766" w:rsidRPr="00DE12A3" w:rsidRDefault="009F4766" w:rsidP="00C917D6">
            <w:pPr>
              <w:pStyle w:val="NormalLeft"/>
            </w:pPr>
            <w:r w:rsidRPr="00DE12A3">
              <w:t>81</w:t>
            </w:r>
          </w:p>
        </w:tc>
        <w:tc>
          <w:tcPr>
            <w:tcW w:w="2551" w:type="dxa"/>
            <w:tcBorders>
              <w:top w:val="single" w:sz="2" w:space="0" w:color="auto"/>
              <w:left w:val="single" w:sz="2" w:space="0" w:color="auto"/>
              <w:bottom w:val="single" w:sz="2" w:space="0" w:color="auto"/>
              <w:right w:val="single" w:sz="2" w:space="0" w:color="auto"/>
            </w:tcBorders>
          </w:tcPr>
          <w:p w14:paraId="314431C0" w14:textId="77777777" w:rsidR="009F4766" w:rsidRPr="00DE12A3" w:rsidRDefault="009F4766" w:rsidP="00C917D6">
            <w:pPr>
              <w:pStyle w:val="NormalLeft"/>
            </w:pPr>
            <w:r w:rsidRPr="00DE12A3">
              <w:t>17</w:t>
            </w:r>
          </w:p>
        </w:tc>
      </w:tr>
      <w:tr w:rsidR="00DE12A3" w:rsidRPr="00DE12A3" w14:paraId="3DE80AFE" w14:textId="77777777" w:rsidTr="009F4766">
        <w:tc>
          <w:tcPr>
            <w:tcW w:w="1182" w:type="dxa"/>
            <w:tcBorders>
              <w:top w:val="single" w:sz="2" w:space="0" w:color="auto"/>
              <w:left w:val="single" w:sz="2" w:space="0" w:color="auto"/>
              <w:bottom w:val="single" w:sz="2" w:space="0" w:color="auto"/>
              <w:right w:val="single" w:sz="2" w:space="0" w:color="auto"/>
            </w:tcBorders>
          </w:tcPr>
          <w:p w14:paraId="38CDD9FB" w14:textId="77777777" w:rsidR="009F4766" w:rsidRPr="00DE12A3" w:rsidRDefault="009F4766" w:rsidP="00C917D6">
            <w:pPr>
              <w:pStyle w:val="NormalLeft"/>
            </w:pPr>
            <w:r w:rsidRPr="00DE12A3">
              <w:t>903</w:t>
            </w:r>
          </w:p>
        </w:tc>
        <w:tc>
          <w:tcPr>
            <w:tcW w:w="2489" w:type="dxa"/>
            <w:tcBorders>
              <w:top w:val="single" w:sz="2" w:space="0" w:color="auto"/>
              <w:left w:val="single" w:sz="2" w:space="0" w:color="auto"/>
              <w:bottom w:val="single" w:sz="2" w:space="0" w:color="auto"/>
              <w:right w:val="single" w:sz="2" w:space="0" w:color="auto"/>
            </w:tcBorders>
          </w:tcPr>
          <w:p w14:paraId="4C304F2B" w14:textId="77777777" w:rsidR="009F4766" w:rsidRPr="00DE12A3" w:rsidRDefault="009F4766" w:rsidP="00C917D6">
            <w:pPr>
              <w:pStyle w:val="NormalLeft"/>
            </w:pPr>
            <w:r w:rsidRPr="00DE12A3">
              <w:t>81</w:t>
            </w:r>
          </w:p>
        </w:tc>
        <w:tc>
          <w:tcPr>
            <w:tcW w:w="2551" w:type="dxa"/>
            <w:tcBorders>
              <w:top w:val="single" w:sz="2" w:space="0" w:color="auto"/>
              <w:left w:val="single" w:sz="2" w:space="0" w:color="auto"/>
              <w:bottom w:val="single" w:sz="2" w:space="0" w:color="auto"/>
              <w:right w:val="single" w:sz="2" w:space="0" w:color="auto"/>
            </w:tcBorders>
          </w:tcPr>
          <w:p w14:paraId="745A0E6B" w14:textId="77777777" w:rsidR="009F4766" w:rsidRPr="00DE12A3" w:rsidRDefault="009F4766" w:rsidP="00C917D6">
            <w:pPr>
              <w:pStyle w:val="NormalLeft"/>
            </w:pPr>
            <w:r w:rsidRPr="00DE12A3">
              <w:t>17</w:t>
            </w:r>
          </w:p>
        </w:tc>
      </w:tr>
      <w:tr w:rsidR="00DE12A3" w:rsidRPr="00DE12A3" w14:paraId="56212B98" w14:textId="77777777" w:rsidTr="009F4766">
        <w:tc>
          <w:tcPr>
            <w:tcW w:w="1182" w:type="dxa"/>
            <w:tcBorders>
              <w:top w:val="single" w:sz="2" w:space="0" w:color="auto"/>
              <w:left w:val="single" w:sz="2" w:space="0" w:color="auto"/>
              <w:bottom w:val="single" w:sz="2" w:space="0" w:color="auto"/>
              <w:right w:val="single" w:sz="2" w:space="0" w:color="auto"/>
            </w:tcBorders>
          </w:tcPr>
          <w:p w14:paraId="09FA9050" w14:textId="77777777" w:rsidR="009F4766" w:rsidRPr="00DE12A3" w:rsidRDefault="009F4766" w:rsidP="00C917D6">
            <w:pPr>
              <w:pStyle w:val="NormalLeft"/>
            </w:pPr>
            <w:r w:rsidRPr="00DE12A3">
              <w:t>904</w:t>
            </w:r>
          </w:p>
        </w:tc>
        <w:tc>
          <w:tcPr>
            <w:tcW w:w="2489" w:type="dxa"/>
            <w:tcBorders>
              <w:top w:val="single" w:sz="2" w:space="0" w:color="auto"/>
              <w:left w:val="single" w:sz="2" w:space="0" w:color="auto"/>
              <w:bottom w:val="single" w:sz="2" w:space="0" w:color="auto"/>
              <w:right w:val="single" w:sz="2" w:space="0" w:color="auto"/>
            </w:tcBorders>
          </w:tcPr>
          <w:p w14:paraId="6C7EFEF6" w14:textId="77777777" w:rsidR="009F4766" w:rsidRPr="00DE12A3" w:rsidRDefault="009F4766" w:rsidP="00C917D6">
            <w:pPr>
              <w:pStyle w:val="NormalLeft"/>
            </w:pPr>
            <w:r w:rsidRPr="00DE12A3">
              <w:t>81</w:t>
            </w:r>
          </w:p>
        </w:tc>
        <w:tc>
          <w:tcPr>
            <w:tcW w:w="2551" w:type="dxa"/>
            <w:tcBorders>
              <w:top w:val="single" w:sz="2" w:space="0" w:color="auto"/>
              <w:left w:val="single" w:sz="2" w:space="0" w:color="auto"/>
              <w:bottom w:val="single" w:sz="2" w:space="0" w:color="auto"/>
              <w:right w:val="single" w:sz="2" w:space="0" w:color="auto"/>
            </w:tcBorders>
          </w:tcPr>
          <w:p w14:paraId="5F082285" w14:textId="77777777" w:rsidR="009F4766" w:rsidRPr="00DE12A3" w:rsidRDefault="009F4766" w:rsidP="00C917D6">
            <w:pPr>
              <w:pStyle w:val="NormalLeft"/>
            </w:pPr>
            <w:r w:rsidRPr="00DE12A3">
              <w:t>17</w:t>
            </w:r>
          </w:p>
        </w:tc>
      </w:tr>
      <w:tr w:rsidR="00DE12A3" w:rsidRPr="00DE12A3" w14:paraId="22494A00" w14:textId="77777777" w:rsidTr="009F4766">
        <w:tc>
          <w:tcPr>
            <w:tcW w:w="1182" w:type="dxa"/>
            <w:tcBorders>
              <w:top w:val="single" w:sz="2" w:space="0" w:color="auto"/>
              <w:left w:val="single" w:sz="2" w:space="0" w:color="auto"/>
              <w:bottom w:val="single" w:sz="2" w:space="0" w:color="auto"/>
              <w:right w:val="single" w:sz="2" w:space="0" w:color="auto"/>
            </w:tcBorders>
          </w:tcPr>
          <w:p w14:paraId="519259E8" w14:textId="77777777" w:rsidR="009F4766" w:rsidRPr="00DE12A3" w:rsidRDefault="009F4766" w:rsidP="00C917D6">
            <w:pPr>
              <w:pStyle w:val="NormalLeft"/>
            </w:pPr>
            <w:r w:rsidRPr="00DE12A3">
              <w:t>905</w:t>
            </w:r>
          </w:p>
        </w:tc>
        <w:tc>
          <w:tcPr>
            <w:tcW w:w="2489" w:type="dxa"/>
            <w:tcBorders>
              <w:top w:val="single" w:sz="2" w:space="0" w:color="auto"/>
              <w:left w:val="single" w:sz="2" w:space="0" w:color="auto"/>
              <w:bottom w:val="single" w:sz="2" w:space="0" w:color="auto"/>
              <w:right w:val="single" w:sz="2" w:space="0" w:color="auto"/>
            </w:tcBorders>
          </w:tcPr>
          <w:p w14:paraId="76900480" w14:textId="77777777" w:rsidR="009F4766" w:rsidRPr="00DE12A3" w:rsidRDefault="009F4766" w:rsidP="00C917D6">
            <w:pPr>
              <w:pStyle w:val="NormalLeft"/>
            </w:pPr>
            <w:r w:rsidRPr="00DE12A3">
              <w:t>81</w:t>
            </w:r>
          </w:p>
        </w:tc>
        <w:tc>
          <w:tcPr>
            <w:tcW w:w="2551" w:type="dxa"/>
            <w:tcBorders>
              <w:top w:val="single" w:sz="2" w:space="0" w:color="auto"/>
              <w:left w:val="single" w:sz="2" w:space="0" w:color="auto"/>
              <w:bottom w:val="single" w:sz="2" w:space="0" w:color="auto"/>
              <w:right w:val="single" w:sz="2" w:space="0" w:color="auto"/>
            </w:tcBorders>
          </w:tcPr>
          <w:p w14:paraId="0E099FEF" w14:textId="77777777" w:rsidR="009F4766" w:rsidRPr="00DE12A3" w:rsidRDefault="009F4766" w:rsidP="00C917D6">
            <w:pPr>
              <w:pStyle w:val="NormalLeft"/>
            </w:pPr>
            <w:r w:rsidRPr="00DE12A3">
              <w:t>15</w:t>
            </w:r>
          </w:p>
        </w:tc>
      </w:tr>
      <w:tr w:rsidR="00DE12A3" w:rsidRPr="00DE12A3" w14:paraId="5098A8B7" w14:textId="77777777" w:rsidTr="009F4766">
        <w:tc>
          <w:tcPr>
            <w:tcW w:w="1182" w:type="dxa"/>
            <w:tcBorders>
              <w:top w:val="single" w:sz="2" w:space="0" w:color="auto"/>
              <w:left w:val="single" w:sz="2" w:space="0" w:color="auto"/>
              <w:bottom w:val="single" w:sz="2" w:space="0" w:color="auto"/>
              <w:right w:val="single" w:sz="2" w:space="0" w:color="auto"/>
            </w:tcBorders>
          </w:tcPr>
          <w:p w14:paraId="70A8A1FC" w14:textId="77777777" w:rsidR="009F4766" w:rsidRPr="00DE12A3" w:rsidRDefault="009F4766" w:rsidP="00C917D6">
            <w:pPr>
              <w:pStyle w:val="NormalLeft"/>
            </w:pPr>
            <w:r w:rsidRPr="00DE12A3">
              <w:t>906</w:t>
            </w:r>
          </w:p>
        </w:tc>
        <w:tc>
          <w:tcPr>
            <w:tcW w:w="2489" w:type="dxa"/>
            <w:tcBorders>
              <w:top w:val="single" w:sz="2" w:space="0" w:color="auto"/>
              <w:left w:val="single" w:sz="2" w:space="0" w:color="auto"/>
              <w:bottom w:val="single" w:sz="2" w:space="0" w:color="auto"/>
              <w:right w:val="single" w:sz="2" w:space="0" w:color="auto"/>
            </w:tcBorders>
          </w:tcPr>
          <w:p w14:paraId="105B4566" w14:textId="77777777" w:rsidR="009F4766" w:rsidRPr="00DE12A3" w:rsidRDefault="009F4766" w:rsidP="00C917D6">
            <w:pPr>
              <w:pStyle w:val="NormalLeft"/>
            </w:pPr>
            <w:r w:rsidRPr="00DE12A3">
              <w:t>80</w:t>
            </w:r>
          </w:p>
        </w:tc>
        <w:tc>
          <w:tcPr>
            <w:tcW w:w="2551" w:type="dxa"/>
            <w:tcBorders>
              <w:top w:val="single" w:sz="2" w:space="0" w:color="auto"/>
              <w:left w:val="single" w:sz="2" w:space="0" w:color="auto"/>
              <w:bottom w:val="single" w:sz="2" w:space="0" w:color="auto"/>
              <w:right w:val="single" w:sz="2" w:space="0" w:color="auto"/>
            </w:tcBorders>
          </w:tcPr>
          <w:p w14:paraId="18820F7B" w14:textId="77777777" w:rsidR="009F4766" w:rsidRPr="00DE12A3" w:rsidRDefault="009F4766" w:rsidP="00C917D6">
            <w:pPr>
              <w:pStyle w:val="NormalLeft"/>
            </w:pPr>
            <w:r w:rsidRPr="00DE12A3">
              <w:t>15</w:t>
            </w:r>
          </w:p>
        </w:tc>
      </w:tr>
      <w:tr w:rsidR="00DE12A3" w:rsidRPr="00DE12A3" w14:paraId="2485277B" w14:textId="77777777" w:rsidTr="009F4766">
        <w:tc>
          <w:tcPr>
            <w:tcW w:w="1182" w:type="dxa"/>
            <w:tcBorders>
              <w:top w:val="single" w:sz="2" w:space="0" w:color="auto"/>
              <w:left w:val="single" w:sz="2" w:space="0" w:color="auto"/>
              <w:bottom w:val="single" w:sz="2" w:space="0" w:color="auto"/>
              <w:right w:val="single" w:sz="2" w:space="0" w:color="auto"/>
            </w:tcBorders>
          </w:tcPr>
          <w:p w14:paraId="0B8D55D1" w14:textId="77777777" w:rsidR="009F4766" w:rsidRPr="00DE12A3" w:rsidRDefault="009F4766" w:rsidP="00C917D6">
            <w:pPr>
              <w:pStyle w:val="NormalLeft"/>
            </w:pPr>
            <w:r w:rsidRPr="00DE12A3">
              <w:t>907</w:t>
            </w:r>
          </w:p>
        </w:tc>
        <w:tc>
          <w:tcPr>
            <w:tcW w:w="2489" w:type="dxa"/>
            <w:tcBorders>
              <w:top w:val="single" w:sz="2" w:space="0" w:color="auto"/>
              <w:left w:val="single" w:sz="2" w:space="0" w:color="auto"/>
              <w:bottom w:val="single" w:sz="2" w:space="0" w:color="auto"/>
              <w:right w:val="single" w:sz="2" w:space="0" w:color="auto"/>
            </w:tcBorders>
          </w:tcPr>
          <w:p w14:paraId="4821E487" w14:textId="77777777" w:rsidR="009F4766" w:rsidRPr="00DE12A3" w:rsidRDefault="009F4766" w:rsidP="00C917D6">
            <w:pPr>
              <w:pStyle w:val="NormalLeft"/>
            </w:pPr>
            <w:r w:rsidRPr="00DE12A3">
              <w:t>80</w:t>
            </w:r>
          </w:p>
        </w:tc>
        <w:tc>
          <w:tcPr>
            <w:tcW w:w="2551" w:type="dxa"/>
            <w:tcBorders>
              <w:top w:val="single" w:sz="2" w:space="0" w:color="auto"/>
              <w:left w:val="single" w:sz="2" w:space="0" w:color="auto"/>
              <w:bottom w:val="single" w:sz="2" w:space="0" w:color="auto"/>
              <w:right w:val="single" w:sz="2" w:space="0" w:color="auto"/>
            </w:tcBorders>
          </w:tcPr>
          <w:p w14:paraId="5748F252" w14:textId="77777777" w:rsidR="009F4766" w:rsidRPr="00DE12A3" w:rsidRDefault="009F4766" w:rsidP="00C917D6">
            <w:pPr>
              <w:pStyle w:val="NormalLeft"/>
            </w:pPr>
            <w:r w:rsidRPr="00DE12A3">
              <w:t>28</w:t>
            </w:r>
          </w:p>
        </w:tc>
      </w:tr>
      <w:tr w:rsidR="00DE12A3" w:rsidRPr="00DE12A3" w14:paraId="04D27472" w14:textId="77777777" w:rsidTr="009F4766">
        <w:tc>
          <w:tcPr>
            <w:tcW w:w="1182" w:type="dxa"/>
            <w:tcBorders>
              <w:top w:val="single" w:sz="2" w:space="0" w:color="auto"/>
              <w:left w:val="single" w:sz="2" w:space="0" w:color="auto"/>
              <w:bottom w:val="single" w:sz="2" w:space="0" w:color="auto"/>
              <w:right w:val="single" w:sz="2" w:space="0" w:color="auto"/>
            </w:tcBorders>
          </w:tcPr>
          <w:p w14:paraId="23485E8B" w14:textId="77777777" w:rsidR="009F4766" w:rsidRPr="00DE12A3" w:rsidRDefault="009F4766" w:rsidP="00C917D6">
            <w:pPr>
              <w:pStyle w:val="NormalLeft"/>
            </w:pPr>
            <w:r w:rsidRPr="00DE12A3">
              <w:lastRenderedPageBreak/>
              <w:t>908</w:t>
            </w:r>
          </w:p>
        </w:tc>
        <w:tc>
          <w:tcPr>
            <w:tcW w:w="2489" w:type="dxa"/>
            <w:tcBorders>
              <w:top w:val="single" w:sz="2" w:space="0" w:color="auto"/>
              <w:left w:val="single" w:sz="2" w:space="0" w:color="auto"/>
              <w:bottom w:val="single" w:sz="2" w:space="0" w:color="auto"/>
              <w:right w:val="single" w:sz="2" w:space="0" w:color="auto"/>
            </w:tcBorders>
          </w:tcPr>
          <w:p w14:paraId="2A5FD190" w14:textId="77777777" w:rsidR="009F4766" w:rsidRPr="00DE12A3" w:rsidRDefault="009F4766" w:rsidP="00C917D6">
            <w:pPr>
              <w:pStyle w:val="NormalLeft"/>
            </w:pPr>
            <w:r w:rsidRPr="00DE12A3">
              <w:t>81</w:t>
            </w:r>
          </w:p>
        </w:tc>
        <w:tc>
          <w:tcPr>
            <w:tcW w:w="2551" w:type="dxa"/>
            <w:tcBorders>
              <w:top w:val="single" w:sz="2" w:space="0" w:color="auto"/>
              <w:left w:val="single" w:sz="2" w:space="0" w:color="auto"/>
              <w:bottom w:val="single" w:sz="2" w:space="0" w:color="auto"/>
              <w:right w:val="single" w:sz="2" w:space="0" w:color="auto"/>
            </w:tcBorders>
          </w:tcPr>
          <w:p w14:paraId="38F75DB3" w14:textId="77777777" w:rsidR="009F4766" w:rsidRPr="00DE12A3" w:rsidRDefault="009F4766" w:rsidP="00C917D6">
            <w:pPr>
              <w:pStyle w:val="NormalLeft"/>
            </w:pPr>
            <w:r w:rsidRPr="00DE12A3">
              <w:t>22</w:t>
            </w:r>
          </w:p>
        </w:tc>
      </w:tr>
      <w:tr w:rsidR="00DE12A3" w:rsidRPr="00DE12A3" w14:paraId="3A62DEEE" w14:textId="77777777" w:rsidTr="009F4766">
        <w:tc>
          <w:tcPr>
            <w:tcW w:w="1182" w:type="dxa"/>
            <w:tcBorders>
              <w:top w:val="single" w:sz="2" w:space="0" w:color="auto"/>
              <w:left w:val="single" w:sz="2" w:space="0" w:color="auto"/>
              <w:bottom w:val="single" w:sz="2" w:space="0" w:color="auto"/>
              <w:right w:val="single" w:sz="2" w:space="0" w:color="auto"/>
            </w:tcBorders>
          </w:tcPr>
          <w:p w14:paraId="18C9F9C8" w14:textId="77777777" w:rsidR="009F4766" w:rsidRPr="00DE12A3" w:rsidRDefault="009F4766" w:rsidP="00C917D6">
            <w:pPr>
              <w:pStyle w:val="NormalLeft"/>
            </w:pPr>
            <w:r w:rsidRPr="00DE12A3">
              <w:t>909</w:t>
            </w:r>
          </w:p>
        </w:tc>
        <w:tc>
          <w:tcPr>
            <w:tcW w:w="2489" w:type="dxa"/>
            <w:tcBorders>
              <w:top w:val="single" w:sz="2" w:space="0" w:color="auto"/>
              <w:left w:val="single" w:sz="2" w:space="0" w:color="auto"/>
              <w:bottom w:val="single" w:sz="2" w:space="0" w:color="auto"/>
              <w:right w:val="single" w:sz="2" w:space="0" w:color="auto"/>
            </w:tcBorders>
          </w:tcPr>
          <w:p w14:paraId="17802242" w14:textId="77777777" w:rsidR="009F4766" w:rsidRPr="00DE12A3" w:rsidRDefault="009F4766" w:rsidP="00C917D6">
            <w:pPr>
              <w:pStyle w:val="NormalLeft"/>
            </w:pPr>
            <w:r w:rsidRPr="00DE12A3">
              <w:t>81</w:t>
            </w:r>
          </w:p>
        </w:tc>
        <w:tc>
          <w:tcPr>
            <w:tcW w:w="2551" w:type="dxa"/>
            <w:tcBorders>
              <w:top w:val="single" w:sz="2" w:space="0" w:color="auto"/>
              <w:left w:val="single" w:sz="2" w:space="0" w:color="auto"/>
              <w:bottom w:val="single" w:sz="2" w:space="0" w:color="auto"/>
              <w:right w:val="single" w:sz="2" w:space="0" w:color="auto"/>
            </w:tcBorders>
          </w:tcPr>
          <w:p w14:paraId="29AF0516" w14:textId="77777777" w:rsidR="009F4766" w:rsidRPr="00DE12A3" w:rsidRDefault="009F4766" w:rsidP="00C917D6">
            <w:pPr>
              <w:pStyle w:val="NormalLeft"/>
            </w:pPr>
            <w:r w:rsidRPr="00DE12A3">
              <w:t>24</w:t>
            </w:r>
          </w:p>
        </w:tc>
      </w:tr>
      <w:tr w:rsidR="00DE12A3" w:rsidRPr="00DE12A3" w14:paraId="1728E6A0" w14:textId="77777777" w:rsidTr="009F4766">
        <w:tc>
          <w:tcPr>
            <w:tcW w:w="1182" w:type="dxa"/>
            <w:tcBorders>
              <w:top w:val="single" w:sz="2" w:space="0" w:color="auto"/>
              <w:left w:val="single" w:sz="2" w:space="0" w:color="auto"/>
              <w:bottom w:val="single" w:sz="2" w:space="0" w:color="auto"/>
              <w:right w:val="single" w:sz="2" w:space="0" w:color="auto"/>
            </w:tcBorders>
          </w:tcPr>
          <w:p w14:paraId="7E0F244D" w14:textId="77777777" w:rsidR="009F4766" w:rsidRPr="00DE12A3" w:rsidRDefault="009F4766" w:rsidP="00C917D6">
            <w:pPr>
              <w:pStyle w:val="NormalLeft"/>
            </w:pPr>
            <w:r w:rsidRPr="00DE12A3">
              <w:t>910</w:t>
            </w:r>
          </w:p>
        </w:tc>
        <w:tc>
          <w:tcPr>
            <w:tcW w:w="2489" w:type="dxa"/>
            <w:tcBorders>
              <w:top w:val="single" w:sz="2" w:space="0" w:color="auto"/>
              <w:left w:val="single" w:sz="2" w:space="0" w:color="auto"/>
              <w:bottom w:val="single" w:sz="2" w:space="0" w:color="auto"/>
              <w:right w:val="single" w:sz="2" w:space="0" w:color="auto"/>
            </w:tcBorders>
          </w:tcPr>
          <w:p w14:paraId="25F0A7FE" w14:textId="77777777" w:rsidR="009F4766" w:rsidRPr="00DE12A3" w:rsidRDefault="009F4766" w:rsidP="00C917D6">
            <w:pPr>
              <w:pStyle w:val="NormalLeft"/>
            </w:pPr>
            <w:r w:rsidRPr="00DE12A3">
              <w:t>81</w:t>
            </w:r>
          </w:p>
        </w:tc>
        <w:tc>
          <w:tcPr>
            <w:tcW w:w="2551" w:type="dxa"/>
            <w:tcBorders>
              <w:top w:val="single" w:sz="2" w:space="0" w:color="auto"/>
              <w:left w:val="single" w:sz="2" w:space="0" w:color="auto"/>
              <w:bottom w:val="single" w:sz="2" w:space="0" w:color="auto"/>
              <w:right w:val="single" w:sz="2" w:space="0" w:color="auto"/>
            </w:tcBorders>
          </w:tcPr>
          <w:p w14:paraId="1C69853B" w14:textId="77777777" w:rsidR="009F4766" w:rsidRPr="00DE12A3" w:rsidRDefault="009F4766" w:rsidP="00C917D6">
            <w:pPr>
              <w:pStyle w:val="NormalLeft"/>
            </w:pPr>
            <w:r w:rsidRPr="00DE12A3">
              <w:t>19</w:t>
            </w:r>
          </w:p>
        </w:tc>
      </w:tr>
      <w:tr w:rsidR="00DE12A3" w:rsidRPr="00DE12A3" w14:paraId="76A2E4AF" w14:textId="77777777" w:rsidTr="009F4766">
        <w:tc>
          <w:tcPr>
            <w:tcW w:w="1182" w:type="dxa"/>
            <w:tcBorders>
              <w:top w:val="single" w:sz="2" w:space="0" w:color="auto"/>
              <w:left w:val="single" w:sz="2" w:space="0" w:color="auto"/>
              <w:bottom w:val="single" w:sz="2" w:space="0" w:color="auto"/>
              <w:right w:val="single" w:sz="2" w:space="0" w:color="auto"/>
            </w:tcBorders>
          </w:tcPr>
          <w:p w14:paraId="172458D3" w14:textId="77777777" w:rsidR="009F4766" w:rsidRPr="00DE12A3" w:rsidRDefault="009F4766" w:rsidP="00C917D6">
            <w:pPr>
              <w:pStyle w:val="NormalLeft"/>
            </w:pPr>
            <w:r w:rsidRPr="00DE12A3">
              <w:t>911</w:t>
            </w:r>
          </w:p>
        </w:tc>
        <w:tc>
          <w:tcPr>
            <w:tcW w:w="2489" w:type="dxa"/>
            <w:tcBorders>
              <w:top w:val="single" w:sz="2" w:space="0" w:color="auto"/>
              <w:left w:val="single" w:sz="2" w:space="0" w:color="auto"/>
              <w:bottom w:val="single" w:sz="2" w:space="0" w:color="auto"/>
              <w:right w:val="single" w:sz="2" w:space="0" w:color="auto"/>
            </w:tcBorders>
          </w:tcPr>
          <w:p w14:paraId="6870622E" w14:textId="77777777" w:rsidR="009F4766" w:rsidRPr="00DE12A3" w:rsidRDefault="009F4766" w:rsidP="00C917D6">
            <w:pPr>
              <w:pStyle w:val="NormalLeft"/>
            </w:pPr>
            <w:r w:rsidRPr="00DE12A3">
              <w:t>81</w:t>
            </w:r>
          </w:p>
        </w:tc>
        <w:tc>
          <w:tcPr>
            <w:tcW w:w="2551" w:type="dxa"/>
            <w:tcBorders>
              <w:top w:val="single" w:sz="2" w:space="0" w:color="auto"/>
              <w:left w:val="single" w:sz="2" w:space="0" w:color="auto"/>
              <w:bottom w:val="single" w:sz="2" w:space="0" w:color="auto"/>
              <w:right w:val="single" w:sz="2" w:space="0" w:color="auto"/>
            </w:tcBorders>
          </w:tcPr>
          <w:p w14:paraId="3A735C26" w14:textId="77777777" w:rsidR="009F4766" w:rsidRPr="00DE12A3" w:rsidRDefault="009F4766" w:rsidP="00C917D6">
            <w:pPr>
              <w:pStyle w:val="NormalLeft"/>
            </w:pPr>
            <w:r w:rsidRPr="00DE12A3">
              <w:t>21</w:t>
            </w:r>
          </w:p>
        </w:tc>
      </w:tr>
      <w:tr w:rsidR="00DE12A3" w:rsidRPr="00DE12A3" w14:paraId="2D7570F1" w14:textId="77777777" w:rsidTr="009F4766">
        <w:tc>
          <w:tcPr>
            <w:tcW w:w="1182" w:type="dxa"/>
            <w:tcBorders>
              <w:top w:val="single" w:sz="2" w:space="0" w:color="auto"/>
              <w:left w:val="single" w:sz="2" w:space="0" w:color="auto"/>
              <w:bottom w:val="single" w:sz="2" w:space="0" w:color="auto"/>
              <w:right w:val="single" w:sz="2" w:space="0" w:color="auto"/>
            </w:tcBorders>
          </w:tcPr>
          <w:p w14:paraId="622C0755" w14:textId="77777777" w:rsidR="009F4766" w:rsidRPr="00DE12A3" w:rsidRDefault="009F4766" w:rsidP="00C917D6">
            <w:pPr>
              <w:pStyle w:val="NormalLeft"/>
            </w:pPr>
            <w:r w:rsidRPr="00DE12A3">
              <w:t>912</w:t>
            </w:r>
          </w:p>
        </w:tc>
        <w:tc>
          <w:tcPr>
            <w:tcW w:w="2489" w:type="dxa"/>
            <w:tcBorders>
              <w:top w:val="single" w:sz="2" w:space="0" w:color="auto"/>
              <w:left w:val="single" w:sz="2" w:space="0" w:color="auto"/>
              <w:bottom w:val="single" w:sz="2" w:space="0" w:color="auto"/>
              <w:right w:val="single" w:sz="2" w:space="0" w:color="auto"/>
            </w:tcBorders>
          </w:tcPr>
          <w:p w14:paraId="4E222829" w14:textId="77777777" w:rsidR="009F4766" w:rsidRPr="00DE12A3" w:rsidRDefault="009F4766" w:rsidP="00C917D6">
            <w:pPr>
              <w:pStyle w:val="NormalLeft"/>
            </w:pPr>
            <w:r w:rsidRPr="00DE12A3">
              <w:t>81</w:t>
            </w:r>
          </w:p>
        </w:tc>
        <w:tc>
          <w:tcPr>
            <w:tcW w:w="2551" w:type="dxa"/>
            <w:tcBorders>
              <w:top w:val="single" w:sz="2" w:space="0" w:color="auto"/>
              <w:left w:val="single" w:sz="2" w:space="0" w:color="auto"/>
              <w:bottom w:val="single" w:sz="2" w:space="0" w:color="auto"/>
              <w:right w:val="single" w:sz="2" w:space="0" w:color="auto"/>
            </w:tcBorders>
          </w:tcPr>
          <w:p w14:paraId="0F6B9666" w14:textId="77777777" w:rsidR="009F4766" w:rsidRPr="00DE12A3" w:rsidRDefault="009F4766" w:rsidP="00C917D6">
            <w:pPr>
              <w:pStyle w:val="NormalLeft"/>
            </w:pPr>
            <w:r w:rsidRPr="00DE12A3">
              <w:t>20</w:t>
            </w:r>
          </w:p>
        </w:tc>
      </w:tr>
      <w:tr w:rsidR="00DE12A3" w:rsidRPr="00DE12A3" w14:paraId="061E6080" w14:textId="77777777" w:rsidTr="009F4766">
        <w:tc>
          <w:tcPr>
            <w:tcW w:w="1182" w:type="dxa"/>
            <w:tcBorders>
              <w:top w:val="single" w:sz="2" w:space="0" w:color="auto"/>
              <w:left w:val="single" w:sz="2" w:space="0" w:color="auto"/>
              <w:bottom w:val="single" w:sz="2" w:space="0" w:color="auto"/>
              <w:right w:val="single" w:sz="2" w:space="0" w:color="auto"/>
            </w:tcBorders>
          </w:tcPr>
          <w:p w14:paraId="0D7A95A3" w14:textId="77777777" w:rsidR="009F4766" w:rsidRPr="00DE12A3" w:rsidRDefault="009F4766" w:rsidP="00C917D6">
            <w:pPr>
              <w:pStyle w:val="NormalLeft"/>
            </w:pPr>
            <w:r w:rsidRPr="00DE12A3">
              <w:t>913</w:t>
            </w:r>
          </w:p>
        </w:tc>
        <w:tc>
          <w:tcPr>
            <w:tcW w:w="2489" w:type="dxa"/>
            <w:tcBorders>
              <w:top w:val="single" w:sz="2" w:space="0" w:color="auto"/>
              <w:left w:val="single" w:sz="2" w:space="0" w:color="auto"/>
              <w:bottom w:val="single" w:sz="2" w:space="0" w:color="auto"/>
              <w:right w:val="single" w:sz="2" w:space="0" w:color="auto"/>
            </w:tcBorders>
          </w:tcPr>
          <w:p w14:paraId="32CB37A7" w14:textId="77777777" w:rsidR="009F4766" w:rsidRPr="00DE12A3" w:rsidRDefault="009F4766" w:rsidP="00C917D6">
            <w:pPr>
              <w:pStyle w:val="NormalLeft"/>
            </w:pPr>
            <w:r w:rsidRPr="00DE12A3">
              <w:t>83</w:t>
            </w:r>
          </w:p>
        </w:tc>
        <w:tc>
          <w:tcPr>
            <w:tcW w:w="2551" w:type="dxa"/>
            <w:tcBorders>
              <w:top w:val="single" w:sz="2" w:space="0" w:color="auto"/>
              <w:left w:val="single" w:sz="2" w:space="0" w:color="auto"/>
              <w:bottom w:val="single" w:sz="2" w:space="0" w:color="auto"/>
              <w:right w:val="single" w:sz="2" w:space="0" w:color="auto"/>
            </w:tcBorders>
          </w:tcPr>
          <w:p w14:paraId="3922C64E" w14:textId="77777777" w:rsidR="009F4766" w:rsidRPr="00DE12A3" w:rsidRDefault="009F4766" w:rsidP="00C917D6">
            <w:pPr>
              <w:pStyle w:val="NormalLeft"/>
            </w:pPr>
            <w:r w:rsidRPr="00DE12A3">
              <w:t>26</w:t>
            </w:r>
          </w:p>
        </w:tc>
      </w:tr>
      <w:tr w:rsidR="00DE12A3" w:rsidRPr="00DE12A3" w14:paraId="0724ADD6" w14:textId="77777777" w:rsidTr="009F4766">
        <w:tc>
          <w:tcPr>
            <w:tcW w:w="1182" w:type="dxa"/>
            <w:tcBorders>
              <w:top w:val="single" w:sz="2" w:space="0" w:color="auto"/>
              <w:left w:val="single" w:sz="2" w:space="0" w:color="auto"/>
              <w:bottom w:val="single" w:sz="2" w:space="0" w:color="auto"/>
              <w:right w:val="single" w:sz="2" w:space="0" w:color="auto"/>
            </w:tcBorders>
          </w:tcPr>
          <w:p w14:paraId="5668D0E3" w14:textId="77777777" w:rsidR="009F4766" w:rsidRPr="00DE12A3" w:rsidRDefault="009F4766" w:rsidP="00C917D6">
            <w:pPr>
              <w:pStyle w:val="NormalLeft"/>
            </w:pPr>
            <w:r w:rsidRPr="00DE12A3">
              <w:t>914</w:t>
            </w:r>
          </w:p>
        </w:tc>
        <w:tc>
          <w:tcPr>
            <w:tcW w:w="2489" w:type="dxa"/>
            <w:tcBorders>
              <w:top w:val="single" w:sz="2" w:space="0" w:color="auto"/>
              <w:left w:val="single" w:sz="2" w:space="0" w:color="auto"/>
              <w:bottom w:val="single" w:sz="2" w:space="0" w:color="auto"/>
              <w:right w:val="single" w:sz="2" w:space="0" w:color="auto"/>
            </w:tcBorders>
          </w:tcPr>
          <w:p w14:paraId="0E226BC2" w14:textId="77777777" w:rsidR="009F4766" w:rsidRPr="00DE12A3" w:rsidRDefault="009F4766" w:rsidP="00C917D6">
            <w:pPr>
              <w:pStyle w:val="NormalLeft"/>
            </w:pPr>
            <w:r w:rsidRPr="00DE12A3">
              <w:t>80</w:t>
            </w:r>
          </w:p>
        </w:tc>
        <w:tc>
          <w:tcPr>
            <w:tcW w:w="2551" w:type="dxa"/>
            <w:tcBorders>
              <w:top w:val="single" w:sz="2" w:space="0" w:color="auto"/>
              <w:left w:val="single" w:sz="2" w:space="0" w:color="auto"/>
              <w:bottom w:val="single" w:sz="2" w:space="0" w:color="auto"/>
              <w:right w:val="single" w:sz="2" w:space="0" w:color="auto"/>
            </w:tcBorders>
          </w:tcPr>
          <w:p w14:paraId="598CBC67" w14:textId="77777777" w:rsidR="009F4766" w:rsidRPr="00DE12A3" w:rsidRDefault="009F4766" w:rsidP="00C917D6">
            <w:pPr>
              <w:pStyle w:val="NormalLeft"/>
            </w:pPr>
            <w:r w:rsidRPr="00DE12A3">
              <w:t>63</w:t>
            </w:r>
          </w:p>
        </w:tc>
      </w:tr>
      <w:tr w:rsidR="00DE12A3" w:rsidRPr="00DE12A3" w14:paraId="2493A89D" w14:textId="77777777" w:rsidTr="009F4766">
        <w:tc>
          <w:tcPr>
            <w:tcW w:w="1182" w:type="dxa"/>
            <w:tcBorders>
              <w:top w:val="single" w:sz="2" w:space="0" w:color="auto"/>
              <w:left w:val="single" w:sz="2" w:space="0" w:color="auto"/>
              <w:bottom w:val="single" w:sz="2" w:space="0" w:color="auto"/>
              <w:right w:val="single" w:sz="2" w:space="0" w:color="auto"/>
            </w:tcBorders>
          </w:tcPr>
          <w:p w14:paraId="252DAC3B" w14:textId="77777777" w:rsidR="009F4766" w:rsidRPr="00DE12A3" w:rsidRDefault="009F4766" w:rsidP="00C917D6">
            <w:pPr>
              <w:pStyle w:val="NormalLeft"/>
            </w:pPr>
            <w:r w:rsidRPr="00DE12A3">
              <w:t>915</w:t>
            </w:r>
          </w:p>
        </w:tc>
        <w:tc>
          <w:tcPr>
            <w:tcW w:w="2489" w:type="dxa"/>
            <w:tcBorders>
              <w:top w:val="single" w:sz="2" w:space="0" w:color="auto"/>
              <w:left w:val="single" w:sz="2" w:space="0" w:color="auto"/>
              <w:bottom w:val="single" w:sz="2" w:space="0" w:color="auto"/>
              <w:right w:val="single" w:sz="2" w:space="0" w:color="auto"/>
            </w:tcBorders>
          </w:tcPr>
          <w:p w14:paraId="643523D4" w14:textId="77777777" w:rsidR="009F4766" w:rsidRPr="00DE12A3" w:rsidRDefault="009F4766" w:rsidP="00C917D6">
            <w:pPr>
              <w:pStyle w:val="NormalLeft"/>
            </w:pPr>
            <w:r w:rsidRPr="00DE12A3">
              <w:t>80</w:t>
            </w:r>
          </w:p>
        </w:tc>
        <w:tc>
          <w:tcPr>
            <w:tcW w:w="2551" w:type="dxa"/>
            <w:tcBorders>
              <w:top w:val="single" w:sz="2" w:space="0" w:color="auto"/>
              <w:left w:val="single" w:sz="2" w:space="0" w:color="auto"/>
              <w:bottom w:val="single" w:sz="2" w:space="0" w:color="auto"/>
              <w:right w:val="single" w:sz="2" w:space="0" w:color="auto"/>
            </w:tcBorders>
          </w:tcPr>
          <w:p w14:paraId="65AC7865" w14:textId="77777777" w:rsidR="009F4766" w:rsidRPr="00DE12A3" w:rsidRDefault="009F4766" w:rsidP="00C917D6">
            <w:pPr>
              <w:pStyle w:val="NormalLeft"/>
            </w:pPr>
            <w:r w:rsidRPr="00DE12A3">
              <w:t>59</w:t>
            </w:r>
          </w:p>
        </w:tc>
      </w:tr>
      <w:tr w:rsidR="00DE12A3" w:rsidRPr="00DE12A3" w14:paraId="62F4C09E" w14:textId="77777777" w:rsidTr="009F4766">
        <w:tc>
          <w:tcPr>
            <w:tcW w:w="1182" w:type="dxa"/>
            <w:tcBorders>
              <w:top w:val="single" w:sz="2" w:space="0" w:color="auto"/>
              <w:left w:val="single" w:sz="2" w:space="0" w:color="auto"/>
              <w:bottom w:val="single" w:sz="2" w:space="0" w:color="auto"/>
              <w:right w:val="single" w:sz="2" w:space="0" w:color="auto"/>
            </w:tcBorders>
          </w:tcPr>
          <w:p w14:paraId="4FB8546B" w14:textId="77777777" w:rsidR="009F4766" w:rsidRPr="00DE12A3" w:rsidRDefault="009F4766" w:rsidP="00C917D6">
            <w:pPr>
              <w:pStyle w:val="NormalLeft"/>
            </w:pPr>
            <w:r w:rsidRPr="00DE12A3">
              <w:t>916</w:t>
            </w:r>
          </w:p>
        </w:tc>
        <w:tc>
          <w:tcPr>
            <w:tcW w:w="2489" w:type="dxa"/>
            <w:tcBorders>
              <w:top w:val="single" w:sz="2" w:space="0" w:color="auto"/>
              <w:left w:val="single" w:sz="2" w:space="0" w:color="auto"/>
              <w:bottom w:val="single" w:sz="2" w:space="0" w:color="auto"/>
              <w:right w:val="single" w:sz="2" w:space="0" w:color="auto"/>
            </w:tcBorders>
          </w:tcPr>
          <w:p w14:paraId="6D8B6E5A" w14:textId="77777777" w:rsidR="009F4766" w:rsidRPr="00DE12A3" w:rsidRDefault="009F4766" w:rsidP="00C917D6">
            <w:pPr>
              <w:pStyle w:val="NormalLeft"/>
            </w:pPr>
            <w:r w:rsidRPr="00DE12A3">
              <w:t>83</w:t>
            </w:r>
          </w:p>
        </w:tc>
        <w:tc>
          <w:tcPr>
            <w:tcW w:w="2551" w:type="dxa"/>
            <w:tcBorders>
              <w:top w:val="single" w:sz="2" w:space="0" w:color="auto"/>
              <w:left w:val="single" w:sz="2" w:space="0" w:color="auto"/>
              <w:bottom w:val="single" w:sz="2" w:space="0" w:color="auto"/>
              <w:right w:val="single" w:sz="2" w:space="0" w:color="auto"/>
            </w:tcBorders>
          </w:tcPr>
          <w:p w14:paraId="1915589A" w14:textId="77777777" w:rsidR="009F4766" w:rsidRPr="00DE12A3" w:rsidRDefault="009F4766" w:rsidP="00C917D6">
            <w:pPr>
              <w:pStyle w:val="NormalLeft"/>
            </w:pPr>
            <w:r w:rsidRPr="00DE12A3">
              <w:t>100</w:t>
            </w:r>
          </w:p>
        </w:tc>
      </w:tr>
      <w:tr w:rsidR="00DE12A3" w:rsidRPr="00DE12A3" w14:paraId="10B67FC7" w14:textId="77777777" w:rsidTr="009F4766">
        <w:tc>
          <w:tcPr>
            <w:tcW w:w="1182" w:type="dxa"/>
            <w:tcBorders>
              <w:top w:val="single" w:sz="2" w:space="0" w:color="auto"/>
              <w:left w:val="single" w:sz="2" w:space="0" w:color="auto"/>
              <w:bottom w:val="single" w:sz="2" w:space="0" w:color="auto"/>
              <w:right w:val="single" w:sz="2" w:space="0" w:color="auto"/>
            </w:tcBorders>
          </w:tcPr>
          <w:p w14:paraId="628E61D6" w14:textId="77777777" w:rsidR="009F4766" w:rsidRPr="00DE12A3" w:rsidRDefault="009F4766" w:rsidP="00C917D6">
            <w:pPr>
              <w:pStyle w:val="NormalLeft"/>
            </w:pPr>
            <w:r w:rsidRPr="00DE12A3">
              <w:t>917</w:t>
            </w:r>
          </w:p>
        </w:tc>
        <w:tc>
          <w:tcPr>
            <w:tcW w:w="2489" w:type="dxa"/>
            <w:tcBorders>
              <w:top w:val="single" w:sz="2" w:space="0" w:color="auto"/>
              <w:left w:val="single" w:sz="2" w:space="0" w:color="auto"/>
              <w:bottom w:val="single" w:sz="2" w:space="0" w:color="auto"/>
              <w:right w:val="single" w:sz="2" w:space="0" w:color="auto"/>
            </w:tcBorders>
          </w:tcPr>
          <w:p w14:paraId="0B4C32ED" w14:textId="77777777" w:rsidR="009F4766" w:rsidRPr="00DE12A3" w:rsidRDefault="009F4766" w:rsidP="00C917D6">
            <w:pPr>
              <w:pStyle w:val="NormalLeft"/>
            </w:pPr>
            <w:r w:rsidRPr="00DE12A3">
              <w:t>81</w:t>
            </w:r>
          </w:p>
        </w:tc>
        <w:tc>
          <w:tcPr>
            <w:tcW w:w="2551" w:type="dxa"/>
            <w:tcBorders>
              <w:top w:val="single" w:sz="2" w:space="0" w:color="auto"/>
              <w:left w:val="single" w:sz="2" w:space="0" w:color="auto"/>
              <w:bottom w:val="single" w:sz="2" w:space="0" w:color="auto"/>
              <w:right w:val="single" w:sz="2" w:space="0" w:color="auto"/>
            </w:tcBorders>
          </w:tcPr>
          <w:p w14:paraId="054A5BF5" w14:textId="77777777" w:rsidR="009F4766" w:rsidRPr="00DE12A3" w:rsidRDefault="009F4766" w:rsidP="00C917D6">
            <w:pPr>
              <w:pStyle w:val="NormalLeft"/>
            </w:pPr>
            <w:r w:rsidRPr="00DE12A3">
              <w:t>73</w:t>
            </w:r>
          </w:p>
        </w:tc>
      </w:tr>
      <w:tr w:rsidR="00DE12A3" w:rsidRPr="00DE12A3" w14:paraId="51D4A41C" w14:textId="77777777" w:rsidTr="009F4766">
        <w:tc>
          <w:tcPr>
            <w:tcW w:w="1182" w:type="dxa"/>
            <w:tcBorders>
              <w:top w:val="single" w:sz="2" w:space="0" w:color="auto"/>
              <w:left w:val="single" w:sz="2" w:space="0" w:color="auto"/>
              <w:bottom w:val="single" w:sz="2" w:space="0" w:color="auto"/>
              <w:right w:val="single" w:sz="2" w:space="0" w:color="auto"/>
            </w:tcBorders>
          </w:tcPr>
          <w:p w14:paraId="4450AA7E" w14:textId="77777777" w:rsidR="009F4766" w:rsidRPr="00DE12A3" w:rsidRDefault="009F4766" w:rsidP="00C917D6">
            <w:pPr>
              <w:pStyle w:val="NormalLeft"/>
            </w:pPr>
            <w:r w:rsidRPr="00DE12A3">
              <w:t>918</w:t>
            </w:r>
          </w:p>
        </w:tc>
        <w:tc>
          <w:tcPr>
            <w:tcW w:w="2489" w:type="dxa"/>
            <w:tcBorders>
              <w:top w:val="single" w:sz="2" w:space="0" w:color="auto"/>
              <w:left w:val="single" w:sz="2" w:space="0" w:color="auto"/>
              <w:bottom w:val="single" w:sz="2" w:space="0" w:color="auto"/>
              <w:right w:val="single" w:sz="2" w:space="0" w:color="auto"/>
            </w:tcBorders>
          </w:tcPr>
          <w:p w14:paraId="65A97C43" w14:textId="77777777" w:rsidR="009F4766" w:rsidRPr="00DE12A3" w:rsidRDefault="009F4766" w:rsidP="00C917D6">
            <w:pPr>
              <w:pStyle w:val="NormalLeft"/>
            </w:pPr>
            <w:r w:rsidRPr="00DE12A3">
              <w:t>83</w:t>
            </w:r>
          </w:p>
        </w:tc>
        <w:tc>
          <w:tcPr>
            <w:tcW w:w="2551" w:type="dxa"/>
            <w:tcBorders>
              <w:top w:val="single" w:sz="2" w:space="0" w:color="auto"/>
              <w:left w:val="single" w:sz="2" w:space="0" w:color="auto"/>
              <w:bottom w:val="single" w:sz="2" w:space="0" w:color="auto"/>
              <w:right w:val="single" w:sz="2" w:space="0" w:color="auto"/>
            </w:tcBorders>
          </w:tcPr>
          <w:p w14:paraId="32110409" w14:textId="77777777" w:rsidR="009F4766" w:rsidRPr="00DE12A3" w:rsidRDefault="009F4766" w:rsidP="00C917D6">
            <w:pPr>
              <w:pStyle w:val="NormalLeft"/>
            </w:pPr>
            <w:r w:rsidRPr="00DE12A3">
              <w:t>53</w:t>
            </w:r>
          </w:p>
        </w:tc>
      </w:tr>
      <w:tr w:rsidR="00DE12A3" w:rsidRPr="00DE12A3" w14:paraId="068B59CD" w14:textId="77777777" w:rsidTr="009F4766">
        <w:tc>
          <w:tcPr>
            <w:tcW w:w="1182" w:type="dxa"/>
            <w:tcBorders>
              <w:top w:val="single" w:sz="2" w:space="0" w:color="auto"/>
              <w:left w:val="single" w:sz="2" w:space="0" w:color="auto"/>
              <w:bottom w:val="single" w:sz="2" w:space="0" w:color="auto"/>
              <w:right w:val="single" w:sz="2" w:space="0" w:color="auto"/>
            </w:tcBorders>
          </w:tcPr>
          <w:p w14:paraId="65A8B404" w14:textId="77777777" w:rsidR="009F4766" w:rsidRPr="00DE12A3" w:rsidRDefault="009F4766" w:rsidP="00C917D6">
            <w:pPr>
              <w:pStyle w:val="NormalLeft"/>
            </w:pPr>
            <w:r w:rsidRPr="00DE12A3">
              <w:t>919</w:t>
            </w:r>
          </w:p>
        </w:tc>
        <w:tc>
          <w:tcPr>
            <w:tcW w:w="2489" w:type="dxa"/>
            <w:tcBorders>
              <w:top w:val="single" w:sz="2" w:space="0" w:color="auto"/>
              <w:left w:val="single" w:sz="2" w:space="0" w:color="auto"/>
              <w:bottom w:val="single" w:sz="2" w:space="0" w:color="auto"/>
              <w:right w:val="single" w:sz="2" w:space="0" w:color="auto"/>
            </w:tcBorders>
          </w:tcPr>
          <w:p w14:paraId="140EE23C" w14:textId="77777777" w:rsidR="009F4766" w:rsidRPr="00DE12A3" w:rsidRDefault="009F4766" w:rsidP="00C917D6">
            <w:pPr>
              <w:pStyle w:val="NormalLeft"/>
            </w:pPr>
            <w:r w:rsidRPr="00DE12A3">
              <w:t>80</w:t>
            </w:r>
          </w:p>
        </w:tc>
        <w:tc>
          <w:tcPr>
            <w:tcW w:w="2551" w:type="dxa"/>
            <w:tcBorders>
              <w:top w:val="single" w:sz="2" w:space="0" w:color="auto"/>
              <w:left w:val="single" w:sz="2" w:space="0" w:color="auto"/>
              <w:bottom w:val="single" w:sz="2" w:space="0" w:color="auto"/>
              <w:right w:val="single" w:sz="2" w:space="0" w:color="auto"/>
            </w:tcBorders>
          </w:tcPr>
          <w:p w14:paraId="1A09D70A" w14:textId="77777777" w:rsidR="009F4766" w:rsidRPr="00DE12A3" w:rsidRDefault="009F4766" w:rsidP="00C917D6">
            <w:pPr>
              <w:pStyle w:val="NormalLeft"/>
            </w:pPr>
            <w:r w:rsidRPr="00DE12A3">
              <w:t>76</w:t>
            </w:r>
          </w:p>
        </w:tc>
      </w:tr>
      <w:tr w:rsidR="00DE12A3" w:rsidRPr="00DE12A3" w14:paraId="7FFF951E" w14:textId="77777777" w:rsidTr="009F4766">
        <w:tc>
          <w:tcPr>
            <w:tcW w:w="1182" w:type="dxa"/>
            <w:tcBorders>
              <w:top w:val="single" w:sz="2" w:space="0" w:color="auto"/>
              <w:left w:val="single" w:sz="2" w:space="0" w:color="auto"/>
              <w:bottom w:val="single" w:sz="2" w:space="0" w:color="auto"/>
              <w:right w:val="single" w:sz="2" w:space="0" w:color="auto"/>
            </w:tcBorders>
          </w:tcPr>
          <w:p w14:paraId="2B00C5AC" w14:textId="77777777" w:rsidR="009F4766" w:rsidRPr="00DE12A3" w:rsidRDefault="009F4766" w:rsidP="00C917D6">
            <w:pPr>
              <w:pStyle w:val="NormalLeft"/>
            </w:pPr>
            <w:r w:rsidRPr="00DE12A3">
              <w:t>920</w:t>
            </w:r>
          </w:p>
        </w:tc>
        <w:tc>
          <w:tcPr>
            <w:tcW w:w="2489" w:type="dxa"/>
            <w:tcBorders>
              <w:top w:val="single" w:sz="2" w:space="0" w:color="auto"/>
              <w:left w:val="single" w:sz="2" w:space="0" w:color="auto"/>
              <w:bottom w:val="single" w:sz="2" w:space="0" w:color="auto"/>
              <w:right w:val="single" w:sz="2" w:space="0" w:color="auto"/>
            </w:tcBorders>
          </w:tcPr>
          <w:p w14:paraId="57AC13CD" w14:textId="77777777" w:rsidR="009F4766" w:rsidRPr="00DE12A3" w:rsidRDefault="009F4766" w:rsidP="00C917D6">
            <w:pPr>
              <w:pStyle w:val="NormalLeft"/>
            </w:pPr>
            <w:r w:rsidRPr="00DE12A3">
              <w:t>81</w:t>
            </w:r>
          </w:p>
        </w:tc>
        <w:tc>
          <w:tcPr>
            <w:tcW w:w="2551" w:type="dxa"/>
            <w:tcBorders>
              <w:top w:val="single" w:sz="2" w:space="0" w:color="auto"/>
              <w:left w:val="single" w:sz="2" w:space="0" w:color="auto"/>
              <w:bottom w:val="single" w:sz="2" w:space="0" w:color="auto"/>
              <w:right w:val="single" w:sz="2" w:space="0" w:color="auto"/>
            </w:tcBorders>
          </w:tcPr>
          <w:p w14:paraId="7F8081C6" w14:textId="77777777" w:rsidR="009F4766" w:rsidRPr="00DE12A3" w:rsidRDefault="009F4766" w:rsidP="00C917D6">
            <w:pPr>
              <w:pStyle w:val="NormalLeft"/>
            </w:pPr>
            <w:r w:rsidRPr="00DE12A3">
              <w:t>61</w:t>
            </w:r>
          </w:p>
        </w:tc>
      </w:tr>
      <w:tr w:rsidR="00DE12A3" w:rsidRPr="00DE12A3" w14:paraId="6B794696" w14:textId="77777777" w:rsidTr="009F4766">
        <w:tc>
          <w:tcPr>
            <w:tcW w:w="1182" w:type="dxa"/>
            <w:tcBorders>
              <w:top w:val="single" w:sz="2" w:space="0" w:color="auto"/>
              <w:left w:val="single" w:sz="2" w:space="0" w:color="auto"/>
              <w:bottom w:val="single" w:sz="2" w:space="0" w:color="auto"/>
              <w:right w:val="single" w:sz="2" w:space="0" w:color="auto"/>
            </w:tcBorders>
          </w:tcPr>
          <w:p w14:paraId="0B089A69" w14:textId="77777777" w:rsidR="009F4766" w:rsidRPr="00DE12A3" w:rsidRDefault="009F4766" w:rsidP="00C917D6">
            <w:pPr>
              <w:pStyle w:val="NormalLeft"/>
            </w:pPr>
            <w:r w:rsidRPr="00DE12A3">
              <w:t>921</w:t>
            </w:r>
          </w:p>
        </w:tc>
        <w:tc>
          <w:tcPr>
            <w:tcW w:w="2489" w:type="dxa"/>
            <w:tcBorders>
              <w:top w:val="single" w:sz="2" w:space="0" w:color="auto"/>
              <w:left w:val="single" w:sz="2" w:space="0" w:color="auto"/>
              <w:bottom w:val="single" w:sz="2" w:space="0" w:color="auto"/>
              <w:right w:val="single" w:sz="2" w:space="0" w:color="auto"/>
            </w:tcBorders>
          </w:tcPr>
          <w:p w14:paraId="64186105" w14:textId="77777777" w:rsidR="009F4766" w:rsidRPr="00DE12A3" w:rsidRDefault="009F4766" w:rsidP="00C917D6">
            <w:pPr>
              <w:pStyle w:val="NormalLeft"/>
            </w:pPr>
            <w:r w:rsidRPr="00DE12A3">
              <w:t>80</w:t>
            </w:r>
          </w:p>
        </w:tc>
        <w:tc>
          <w:tcPr>
            <w:tcW w:w="2551" w:type="dxa"/>
            <w:tcBorders>
              <w:top w:val="single" w:sz="2" w:space="0" w:color="auto"/>
              <w:left w:val="single" w:sz="2" w:space="0" w:color="auto"/>
              <w:bottom w:val="single" w:sz="2" w:space="0" w:color="auto"/>
              <w:right w:val="single" w:sz="2" w:space="0" w:color="auto"/>
            </w:tcBorders>
          </w:tcPr>
          <w:p w14:paraId="164EE379" w14:textId="77777777" w:rsidR="009F4766" w:rsidRPr="00DE12A3" w:rsidRDefault="009F4766" w:rsidP="00C917D6">
            <w:pPr>
              <w:pStyle w:val="NormalLeft"/>
            </w:pPr>
            <w:r w:rsidRPr="00DE12A3">
              <w:t>50</w:t>
            </w:r>
          </w:p>
        </w:tc>
      </w:tr>
      <w:tr w:rsidR="00DE12A3" w:rsidRPr="00DE12A3" w14:paraId="547ABF89" w14:textId="77777777" w:rsidTr="009F4766">
        <w:tc>
          <w:tcPr>
            <w:tcW w:w="1182" w:type="dxa"/>
            <w:tcBorders>
              <w:top w:val="single" w:sz="2" w:space="0" w:color="auto"/>
              <w:left w:val="single" w:sz="2" w:space="0" w:color="auto"/>
              <w:bottom w:val="single" w:sz="2" w:space="0" w:color="auto"/>
              <w:right w:val="single" w:sz="2" w:space="0" w:color="auto"/>
            </w:tcBorders>
          </w:tcPr>
          <w:p w14:paraId="2695DA16" w14:textId="77777777" w:rsidR="009F4766" w:rsidRPr="00DE12A3" w:rsidRDefault="009F4766" w:rsidP="00C917D6">
            <w:pPr>
              <w:pStyle w:val="NormalLeft"/>
            </w:pPr>
            <w:r w:rsidRPr="00DE12A3">
              <w:t>922</w:t>
            </w:r>
          </w:p>
        </w:tc>
        <w:tc>
          <w:tcPr>
            <w:tcW w:w="2489" w:type="dxa"/>
            <w:tcBorders>
              <w:top w:val="single" w:sz="2" w:space="0" w:color="auto"/>
              <w:left w:val="single" w:sz="2" w:space="0" w:color="auto"/>
              <w:bottom w:val="single" w:sz="2" w:space="0" w:color="auto"/>
              <w:right w:val="single" w:sz="2" w:space="0" w:color="auto"/>
            </w:tcBorders>
          </w:tcPr>
          <w:p w14:paraId="5DDC3F8E" w14:textId="77777777" w:rsidR="009F4766" w:rsidRPr="00DE12A3" w:rsidRDefault="009F4766" w:rsidP="00C917D6">
            <w:pPr>
              <w:pStyle w:val="NormalLeft"/>
            </w:pPr>
            <w:r w:rsidRPr="00DE12A3">
              <w:t>81</w:t>
            </w:r>
          </w:p>
        </w:tc>
        <w:tc>
          <w:tcPr>
            <w:tcW w:w="2551" w:type="dxa"/>
            <w:tcBorders>
              <w:top w:val="single" w:sz="2" w:space="0" w:color="auto"/>
              <w:left w:val="single" w:sz="2" w:space="0" w:color="auto"/>
              <w:bottom w:val="single" w:sz="2" w:space="0" w:color="auto"/>
              <w:right w:val="single" w:sz="2" w:space="0" w:color="auto"/>
            </w:tcBorders>
          </w:tcPr>
          <w:p w14:paraId="657F01F3" w14:textId="77777777" w:rsidR="009F4766" w:rsidRPr="00DE12A3" w:rsidRDefault="009F4766" w:rsidP="00C917D6">
            <w:pPr>
              <w:pStyle w:val="NormalLeft"/>
            </w:pPr>
            <w:r w:rsidRPr="00DE12A3">
              <w:t>37</w:t>
            </w:r>
          </w:p>
        </w:tc>
      </w:tr>
      <w:tr w:rsidR="00DE12A3" w:rsidRPr="00DE12A3" w14:paraId="751A7A00" w14:textId="77777777" w:rsidTr="009F4766">
        <w:tc>
          <w:tcPr>
            <w:tcW w:w="1182" w:type="dxa"/>
            <w:tcBorders>
              <w:top w:val="single" w:sz="2" w:space="0" w:color="auto"/>
              <w:left w:val="single" w:sz="2" w:space="0" w:color="auto"/>
              <w:bottom w:val="single" w:sz="2" w:space="0" w:color="auto"/>
              <w:right w:val="single" w:sz="2" w:space="0" w:color="auto"/>
            </w:tcBorders>
          </w:tcPr>
          <w:p w14:paraId="0412D911" w14:textId="77777777" w:rsidR="009F4766" w:rsidRPr="00DE12A3" w:rsidRDefault="009F4766" w:rsidP="00C917D6">
            <w:pPr>
              <w:pStyle w:val="NormalLeft"/>
            </w:pPr>
            <w:r w:rsidRPr="00DE12A3">
              <w:t>923</w:t>
            </w:r>
          </w:p>
        </w:tc>
        <w:tc>
          <w:tcPr>
            <w:tcW w:w="2489" w:type="dxa"/>
            <w:tcBorders>
              <w:top w:val="single" w:sz="2" w:space="0" w:color="auto"/>
              <w:left w:val="single" w:sz="2" w:space="0" w:color="auto"/>
              <w:bottom w:val="single" w:sz="2" w:space="0" w:color="auto"/>
              <w:right w:val="single" w:sz="2" w:space="0" w:color="auto"/>
            </w:tcBorders>
          </w:tcPr>
          <w:p w14:paraId="621E2309" w14:textId="77777777" w:rsidR="009F4766" w:rsidRPr="00DE12A3" w:rsidRDefault="009F4766" w:rsidP="00C917D6">
            <w:pPr>
              <w:pStyle w:val="NormalLeft"/>
            </w:pPr>
            <w:r w:rsidRPr="00DE12A3">
              <w:t>82</w:t>
            </w:r>
          </w:p>
        </w:tc>
        <w:tc>
          <w:tcPr>
            <w:tcW w:w="2551" w:type="dxa"/>
            <w:tcBorders>
              <w:top w:val="single" w:sz="2" w:space="0" w:color="auto"/>
              <w:left w:val="single" w:sz="2" w:space="0" w:color="auto"/>
              <w:bottom w:val="single" w:sz="2" w:space="0" w:color="auto"/>
              <w:right w:val="single" w:sz="2" w:space="0" w:color="auto"/>
            </w:tcBorders>
          </w:tcPr>
          <w:p w14:paraId="39330383" w14:textId="77777777" w:rsidR="009F4766" w:rsidRPr="00DE12A3" w:rsidRDefault="009F4766" w:rsidP="00C917D6">
            <w:pPr>
              <w:pStyle w:val="NormalLeft"/>
            </w:pPr>
            <w:r w:rsidRPr="00DE12A3">
              <w:t>49</w:t>
            </w:r>
          </w:p>
        </w:tc>
      </w:tr>
      <w:tr w:rsidR="00DE12A3" w:rsidRPr="00DE12A3" w14:paraId="4FDDDA36" w14:textId="77777777" w:rsidTr="009F4766">
        <w:tc>
          <w:tcPr>
            <w:tcW w:w="1182" w:type="dxa"/>
            <w:tcBorders>
              <w:top w:val="single" w:sz="2" w:space="0" w:color="auto"/>
              <w:left w:val="single" w:sz="2" w:space="0" w:color="auto"/>
              <w:bottom w:val="single" w:sz="2" w:space="0" w:color="auto"/>
              <w:right w:val="single" w:sz="2" w:space="0" w:color="auto"/>
            </w:tcBorders>
          </w:tcPr>
          <w:p w14:paraId="13C741CC" w14:textId="77777777" w:rsidR="009F4766" w:rsidRPr="00DE12A3" w:rsidRDefault="009F4766" w:rsidP="00C917D6">
            <w:pPr>
              <w:pStyle w:val="NormalLeft"/>
            </w:pPr>
            <w:r w:rsidRPr="00DE12A3">
              <w:t>924</w:t>
            </w:r>
          </w:p>
        </w:tc>
        <w:tc>
          <w:tcPr>
            <w:tcW w:w="2489" w:type="dxa"/>
            <w:tcBorders>
              <w:top w:val="single" w:sz="2" w:space="0" w:color="auto"/>
              <w:left w:val="single" w:sz="2" w:space="0" w:color="auto"/>
              <w:bottom w:val="single" w:sz="2" w:space="0" w:color="auto"/>
              <w:right w:val="single" w:sz="2" w:space="0" w:color="auto"/>
            </w:tcBorders>
          </w:tcPr>
          <w:p w14:paraId="5E33E2E2" w14:textId="77777777" w:rsidR="009F4766" w:rsidRPr="00DE12A3" w:rsidRDefault="009F4766" w:rsidP="00C917D6">
            <w:pPr>
              <w:pStyle w:val="NormalLeft"/>
            </w:pPr>
            <w:r w:rsidRPr="00DE12A3">
              <w:t>83</w:t>
            </w:r>
          </w:p>
        </w:tc>
        <w:tc>
          <w:tcPr>
            <w:tcW w:w="2551" w:type="dxa"/>
            <w:tcBorders>
              <w:top w:val="single" w:sz="2" w:space="0" w:color="auto"/>
              <w:left w:val="single" w:sz="2" w:space="0" w:color="auto"/>
              <w:bottom w:val="single" w:sz="2" w:space="0" w:color="auto"/>
              <w:right w:val="single" w:sz="2" w:space="0" w:color="auto"/>
            </w:tcBorders>
          </w:tcPr>
          <w:p w14:paraId="0793E5A7" w14:textId="77777777" w:rsidR="009F4766" w:rsidRPr="00DE12A3" w:rsidRDefault="009F4766" w:rsidP="00C917D6">
            <w:pPr>
              <w:pStyle w:val="NormalLeft"/>
            </w:pPr>
            <w:r w:rsidRPr="00DE12A3">
              <w:t>37</w:t>
            </w:r>
          </w:p>
        </w:tc>
      </w:tr>
      <w:tr w:rsidR="00DE12A3" w:rsidRPr="00DE12A3" w14:paraId="333F0983" w14:textId="77777777" w:rsidTr="009F4766">
        <w:tc>
          <w:tcPr>
            <w:tcW w:w="1182" w:type="dxa"/>
            <w:tcBorders>
              <w:top w:val="single" w:sz="2" w:space="0" w:color="auto"/>
              <w:left w:val="single" w:sz="2" w:space="0" w:color="auto"/>
              <w:bottom w:val="single" w:sz="2" w:space="0" w:color="auto"/>
              <w:right w:val="single" w:sz="2" w:space="0" w:color="auto"/>
            </w:tcBorders>
          </w:tcPr>
          <w:p w14:paraId="0D091958" w14:textId="77777777" w:rsidR="009F4766" w:rsidRPr="00DE12A3" w:rsidRDefault="009F4766" w:rsidP="00C917D6">
            <w:pPr>
              <w:pStyle w:val="NormalLeft"/>
            </w:pPr>
            <w:r w:rsidRPr="00DE12A3">
              <w:t>925</w:t>
            </w:r>
          </w:p>
        </w:tc>
        <w:tc>
          <w:tcPr>
            <w:tcW w:w="2489" w:type="dxa"/>
            <w:tcBorders>
              <w:top w:val="single" w:sz="2" w:space="0" w:color="auto"/>
              <w:left w:val="single" w:sz="2" w:space="0" w:color="auto"/>
              <w:bottom w:val="single" w:sz="2" w:space="0" w:color="auto"/>
              <w:right w:val="single" w:sz="2" w:space="0" w:color="auto"/>
            </w:tcBorders>
          </w:tcPr>
          <w:p w14:paraId="311E02A3" w14:textId="77777777" w:rsidR="009F4766" w:rsidRPr="00DE12A3" w:rsidRDefault="009F4766" w:rsidP="00C917D6">
            <w:pPr>
              <w:pStyle w:val="NormalLeft"/>
            </w:pPr>
            <w:r w:rsidRPr="00DE12A3">
              <w:t>83</w:t>
            </w:r>
          </w:p>
        </w:tc>
        <w:tc>
          <w:tcPr>
            <w:tcW w:w="2551" w:type="dxa"/>
            <w:tcBorders>
              <w:top w:val="single" w:sz="2" w:space="0" w:color="auto"/>
              <w:left w:val="single" w:sz="2" w:space="0" w:color="auto"/>
              <w:bottom w:val="single" w:sz="2" w:space="0" w:color="auto"/>
              <w:right w:val="single" w:sz="2" w:space="0" w:color="auto"/>
            </w:tcBorders>
          </w:tcPr>
          <w:p w14:paraId="6757ED7F" w14:textId="77777777" w:rsidR="009F4766" w:rsidRPr="00DE12A3" w:rsidRDefault="009F4766" w:rsidP="00C917D6">
            <w:pPr>
              <w:pStyle w:val="NormalLeft"/>
            </w:pPr>
            <w:r w:rsidRPr="00DE12A3">
              <w:t>25</w:t>
            </w:r>
          </w:p>
        </w:tc>
      </w:tr>
      <w:tr w:rsidR="00DE12A3" w:rsidRPr="00DE12A3" w14:paraId="1FDD0063" w14:textId="77777777" w:rsidTr="009F4766">
        <w:tc>
          <w:tcPr>
            <w:tcW w:w="1182" w:type="dxa"/>
            <w:tcBorders>
              <w:top w:val="single" w:sz="2" w:space="0" w:color="auto"/>
              <w:left w:val="single" w:sz="2" w:space="0" w:color="auto"/>
              <w:bottom w:val="single" w:sz="2" w:space="0" w:color="auto"/>
              <w:right w:val="single" w:sz="2" w:space="0" w:color="auto"/>
            </w:tcBorders>
          </w:tcPr>
          <w:p w14:paraId="145CC168" w14:textId="77777777" w:rsidR="009F4766" w:rsidRPr="00DE12A3" w:rsidRDefault="009F4766" w:rsidP="00C917D6">
            <w:pPr>
              <w:pStyle w:val="NormalLeft"/>
            </w:pPr>
            <w:r w:rsidRPr="00DE12A3">
              <w:t>926</w:t>
            </w:r>
          </w:p>
        </w:tc>
        <w:tc>
          <w:tcPr>
            <w:tcW w:w="2489" w:type="dxa"/>
            <w:tcBorders>
              <w:top w:val="single" w:sz="2" w:space="0" w:color="auto"/>
              <w:left w:val="single" w:sz="2" w:space="0" w:color="auto"/>
              <w:bottom w:val="single" w:sz="2" w:space="0" w:color="auto"/>
              <w:right w:val="single" w:sz="2" w:space="0" w:color="auto"/>
            </w:tcBorders>
          </w:tcPr>
          <w:p w14:paraId="45746BF4" w14:textId="77777777" w:rsidR="009F4766" w:rsidRPr="00DE12A3" w:rsidRDefault="009F4766" w:rsidP="00C917D6">
            <w:pPr>
              <w:pStyle w:val="NormalLeft"/>
            </w:pPr>
            <w:r w:rsidRPr="00DE12A3">
              <w:t>83</w:t>
            </w:r>
          </w:p>
        </w:tc>
        <w:tc>
          <w:tcPr>
            <w:tcW w:w="2551" w:type="dxa"/>
            <w:tcBorders>
              <w:top w:val="single" w:sz="2" w:space="0" w:color="auto"/>
              <w:left w:val="single" w:sz="2" w:space="0" w:color="auto"/>
              <w:bottom w:val="single" w:sz="2" w:space="0" w:color="auto"/>
              <w:right w:val="single" w:sz="2" w:space="0" w:color="auto"/>
            </w:tcBorders>
          </w:tcPr>
          <w:p w14:paraId="1E5E39D2" w14:textId="77777777" w:rsidR="009F4766" w:rsidRPr="00DE12A3" w:rsidRDefault="009F4766" w:rsidP="00C917D6">
            <w:pPr>
              <w:pStyle w:val="NormalLeft"/>
            </w:pPr>
            <w:r w:rsidRPr="00DE12A3">
              <w:t>17</w:t>
            </w:r>
          </w:p>
        </w:tc>
      </w:tr>
      <w:tr w:rsidR="00DE12A3" w:rsidRPr="00DE12A3" w14:paraId="49BC904D" w14:textId="77777777" w:rsidTr="009F4766">
        <w:tc>
          <w:tcPr>
            <w:tcW w:w="1182" w:type="dxa"/>
            <w:tcBorders>
              <w:top w:val="single" w:sz="2" w:space="0" w:color="auto"/>
              <w:left w:val="single" w:sz="2" w:space="0" w:color="auto"/>
              <w:bottom w:val="single" w:sz="2" w:space="0" w:color="auto"/>
              <w:right w:val="single" w:sz="2" w:space="0" w:color="auto"/>
            </w:tcBorders>
          </w:tcPr>
          <w:p w14:paraId="7C649A4C" w14:textId="77777777" w:rsidR="009F4766" w:rsidRPr="00DE12A3" w:rsidRDefault="009F4766" w:rsidP="00C917D6">
            <w:pPr>
              <w:pStyle w:val="NormalLeft"/>
            </w:pPr>
            <w:r w:rsidRPr="00DE12A3">
              <w:t>927</w:t>
            </w:r>
          </w:p>
        </w:tc>
        <w:tc>
          <w:tcPr>
            <w:tcW w:w="2489" w:type="dxa"/>
            <w:tcBorders>
              <w:top w:val="single" w:sz="2" w:space="0" w:color="auto"/>
              <w:left w:val="single" w:sz="2" w:space="0" w:color="auto"/>
              <w:bottom w:val="single" w:sz="2" w:space="0" w:color="auto"/>
              <w:right w:val="single" w:sz="2" w:space="0" w:color="auto"/>
            </w:tcBorders>
          </w:tcPr>
          <w:p w14:paraId="3A8048A0" w14:textId="77777777" w:rsidR="009F4766" w:rsidRPr="00DE12A3" w:rsidRDefault="009F4766" w:rsidP="00C917D6">
            <w:pPr>
              <w:pStyle w:val="NormalLeft"/>
            </w:pPr>
            <w:r w:rsidRPr="00DE12A3">
              <w:t>83</w:t>
            </w:r>
          </w:p>
        </w:tc>
        <w:tc>
          <w:tcPr>
            <w:tcW w:w="2551" w:type="dxa"/>
            <w:tcBorders>
              <w:top w:val="single" w:sz="2" w:space="0" w:color="auto"/>
              <w:left w:val="single" w:sz="2" w:space="0" w:color="auto"/>
              <w:bottom w:val="single" w:sz="2" w:space="0" w:color="auto"/>
              <w:right w:val="single" w:sz="2" w:space="0" w:color="auto"/>
            </w:tcBorders>
          </w:tcPr>
          <w:p w14:paraId="666EF512" w14:textId="77777777" w:rsidR="009F4766" w:rsidRPr="00DE12A3" w:rsidRDefault="009F4766" w:rsidP="00C917D6">
            <w:pPr>
              <w:pStyle w:val="NormalLeft"/>
            </w:pPr>
            <w:r w:rsidRPr="00DE12A3">
              <w:t>13</w:t>
            </w:r>
          </w:p>
        </w:tc>
      </w:tr>
      <w:tr w:rsidR="00DE12A3" w:rsidRPr="00DE12A3" w14:paraId="27469148" w14:textId="77777777" w:rsidTr="009F4766">
        <w:tc>
          <w:tcPr>
            <w:tcW w:w="1182" w:type="dxa"/>
            <w:tcBorders>
              <w:top w:val="single" w:sz="2" w:space="0" w:color="auto"/>
              <w:left w:val="single" w:sz="2" w:space="0" w:color="auto"/>
              <w:bottom w:val="single" w:sz="2" w:space="0" w:color="auto"/>
              <w:right w:val="single" w:sz="2" w:space="0" w:color="auto"/>
            </w:tcBorders>
          </w:tcPr>
          <w:p w14:paraId="61F8AEDD" w14:textId="77777777" w:rsidR="009F4766" w:rsidRPr="00DE12A3" w:rsidRDefault="009F4766" w:rsidP="00C917D6">
            <w:pPr>
              <w:pStyle w:val="NormalLeft"/>
            </w:pPr>
            <w:r w:rsidRPr="00DE12A3">
              <w:t>928</w:t>
            </w:r>
          </w:p>
        </w:tc>
        <w:tc>
          <w:tcPr>
            <w:tcW w:w="2489" w:type="dxa"/>
            <w:tcBorders>
              <w:top w:val="single" w:sz="2" w:space="0" w:color="auto"/>
              <w:left w:val="single" w:sz="2" w:space="0" w:color="auto"/>
              <w:bottom w:val="single" w:sz="2" w:space="0" w:color="auto"/>
              <w:right w:val="single" w:sz="2" w:space="0" w:color="auto"/>
            </w:tcBorders>
          </w:tcPr>
          <w:p w14:paraId="1C594CC6" w14:textId="77777777" w:rsidR="009F4766" w:rsidRPr="00DE12A3" w:rsidRDefault="009F4766" w:rsidP="00C917D6">
            <w:pPr>
              <w:pStyle w:val="NormalLeft"/>
            </w:pPr>
            <w:r w:rsidRPr="00DE12A3">
              <w:t>83</w:t>
            </w:r>
          </w:p>
        </w:tc>
        <w:tc>
          <w:tcPr>
            <w:tcW w:w="2551" w:type="dxa"/>
            <w:tcBorders>
              <w:top w:val="single" w:sz="2" w:space="0" w:color="auto"/>
              <w:left w:val="single" w:sz="2" w:space="0" w:color="auto"/>
              <w:bottom w:val="single" w:sz="2" w:space="0" w:color="auto"/>
              <w:right w:val="single" w:sz="2" w:space="0" w:color="auto"/>
            </w:tcBorders>
          </w:tcPr>
          <w:p w14:paraId="28E2FE67" w14:textId="77777777" w:rsidR="009F4766" w:rsidRPr="00DE12A3" w:rsidRDefault="009F4766" w:rsidP="00C917D6">
            <w:pPr>
              <w:pStyle w:val="NormalLeft"/>
            </w:pPr>
            <w:r w:rsidRPr="00DE12A3">
              <w:t>10</w:t>
            </w:r>
          </w:p>
        </w:tc>
      </w:tr>
      <w:tr w:rsidR="00DE12A3" w:rsidRPr="00DE12A3" w14:paraId="00C9888C" w14:textId="77777777" w:rsidTr="009F4766">
        <w:tc>
          <w:tcPr>
            <w:tcW w:w="1182" w:type="dxa"/>
            <w:tcBorders>
              <w:top w:val="single" w:sz="2" w:space="0" w:color="auto"/>
              <w:left w:val="single" w:sz="2" w:space="0" w:color="auto"/>
              <w:bottom w:val="single" w:sz="2" w:space="0" w:color="auto"/>
              <w:right w:val="single" w:sz="2" w:space="0" w:color="auto"/>
            </w:tcBorders>
          </w:tcPr>
          <w:p w14:paraId="59404528" w14:textId="77777777" w:rsidR="009F4766" w:rsidRPr="00DE12A3" w:rsidRDefault="009F4766" w:rsidP="00C917D6">
            <w:pPr>
              <w:pStyle w:val="NormalLeft"/>
            </w:pPr>
            <w:r w:rsidRPr="00DE12A3">
              <w:t>929</w:t>
            </w:r>
          </w:p>
        </w:tc>
        <w:tc>
          <w:tcPr>
            <w:tcW w:w="2489" w:type="dxa"/>
            <w:tcBorders>
              <w:top w:val="single" w:sz="2" w:space="0" w:color="auto"/>
              <w:left w:val="single" w:sz="2" w:space="0" w:color="auto"/>
              <w:bottom w:val="single" w:sz="2" w:space="0" w:color="auto"/>
              <w:right w:val="single" w:sz="2" w:space="0" w:color="auto"/>
            </w:tcBorders>
          </w:tcPr>
          <w:p w14:paraId="11A9ECBF" w14:textId="77777777" w:rsidR="009F4766" w:rsidRPr="00DE12A3" w:rsidRDefault="009F4766" w:rsidP="00C917D6">
            <w:pPr>
              <w:pStyle w:val="NormalLeft"/>
            </w:pPr>
            <w:r w:rsidRPr="00DE12A3">
              <w:t>83</w:t>
            </w:r>
          </w:p>
        </w:tc>
        <w:tc>
          <w:tcPr>
            <w:tcW w:w="2551" w:type="dxa"/>
            <w:tcBorders>
              <w:top w:val="single" w:sz="2" w:space="0" w:color="auto"/>
              <w:left w:val="single" w:sz="2" w:space="0" w:color="auto"/>
              <w:bottom w:val="single" w:sz="2" w:space="0" w:color="auto"/>
              <w:right w:val="single" w:sz="2" w:space="0" w:color="auto"/>
            </w:tcBorders>
          </w:tcPr>
          <w:p w14:paraId="3EEC0D5D" w14:textId="77777777" w:rsidR="009F4766" w:rsidRPr="00DE12A3" w:rsidRDefault="009F4766" w:rsidP="00C917D6">
            <w:pPr>
              <w:pStyle w:val="NormalLeft"/>
            </w:pPr>
            <w:r w:rsidRPr="00DE12A3">
              <w:t>8</w:t>
            </w:r>
          </w:p>
        </w:tc>
      </w:tr>
      <w:tr w:rsidR="00DE12A3" w:rsidRPr="00DE12A3" w14:paraId="09C095B1" w14:textId="77777777" w:rsidTr="009F4766">
        <w:tc>
          <w:tcPr>
            <w:tcW w:w="1182" w:type="dxa"/>
            <w:tcBorders>
              <w:top w:val="single" w:sz="2" w:space="0" w:color="auto"/>
              <w:left w:val="single" w:sz="2" w:space="0" w:color="auto"/>
              <w:bottom w:val="single" w:sz="2" w:space="0" w:color="auto"/>
              <w:right w:val="single" w:sz="2" w:space="0" w:color="auto"/>
            </w:tcBorders>
          </w:tcPr>
          <w:p w14:paraId="4E881B94" w14:textId="77777777" w:rsidR="009F4766" w:rsidRPr="00DE12A3" w:rsidRDefault="009F4766" w:rsidP="00C917D6">
            <w:pPr>
              <w:pStyle w:val="NormalLeft"/>
            </w:pPr>
            <w:r w:rsidRPr="00DE12A3">
              <w:t>930</w:t>
            </w:r>
          </w:p>
        </w:tc>
        <w:tc>
          <w:tcPr>
            <w:tcW w:w="2489" w:type="dxa"/>
            <w:tcBorders>
              <w:top w:val="single" w:sz="2" w:space="0" w:color="auto"/>
              <w:left w:val="single" w:sz="2" w:space="0" w:color="auto"/>
              <w:bottom w:val="single" w:sz="2" w:space="0" w:color="auto"/>
              <w:right w:val="single" w:sz="2" w:space="0" w:color="auto"/>
            </w:tcBorders>
          </w:tcPr>
          <w:p w14:paraId="5696E9DD" w14:textId="77777777" w:rsidR="009F4766" w:rsidRPr="00DE12A3" w:rsidRDefault="009F4766" w:rsidP="00C917D6">
            <w:pPr>
              <w:pStyle w:val="NormalLeft"/>
            </w:pPr>
            <w:r w:rsidRPr="00DE12A3">
              <w:t>83</w:t>
            </w:r>
          </w:p>
        </w:tc>
        <w:tc>
          <w:tcPr>
            <w:tcW w:w="2551" w:type="dxa"/>
            <w:tcBorders>
              <w:top w:val="single" w:sz="2" w:space="0" w:color="auto"/>
              <w:left w:val="single" w:sz="2" w:space="0" w:color="auto"/>
              <w:bottom w:val="single" w:sz="2" w:space="0" w:color="auto"/>
              <w:right w:val="single" w:sz="2" w:space="0" w:color="auto"/>
            </w:tcBorders>
          </w:tcPr>
          <w:p w14:paraId="76969434" w14:textId="77777777" w:rsidR="009F4766" w:rsidRPr="00DE12A3" w:rsidRDefault="009F4766" w:rsidP="00C917D6">
            <w:pPr>
              <w:pStyle w:val="NormalLeft"/>
            </w:pPr>
            <w:r w:rsidRPr="00DE12A3">
              <w:t>7</w:t>
            </w:r>
          </w:p>
        </w:tc>
      </w:tr>
      <w:tr w:rsidR="00DE12A3" w:rsidRPr="00DE12A3" w14:paraId="09B221F8" w14:textId="77777777" w:rsidTr="009F4766">
        <w:tc>
          <w:tcPr>
            <w:tcW w:w="1182" w:type="dxa"/>
            <w:tcBorders>
              <w:top w:val="single" w:sz="2" w:space="0" w:color="auto"/>
              <w:left w:val="single" w:sz="2" w:space="0" w:color="auto"/>
              <w:bottom w:val="single" w:sz="2" w:space="0" w:color="auto"/>
              <w:right w:val="single" w:sz="2" w:space="0" w:color="auto"/>
            </w:tcBorders>
          </w:tcPr>
          <w:p w14:paraId="3C3B5216" w14:textId="77777777" w:rsidR="009F4766" w:rsidRPr="00DE12A3" w:rsidRDefault="009F4766" w:rsidP="00C917D6">
            <w:pPr>
              <w:pStyle w:val="NormalLeft"/>
            </w:pPr>
            <w:r w:rsidRPr="00DE12A3">
              <w:t>931</w:t>
            </w:r>
          </w:p>
        </w:tc>
        <w:tc>
          <w:tcPr>
            <w:tcW w:w="2489" w:type="dxa"/>
            <w:tcBorders>
              <w:top w:val="single" w:sz="2" w:space="0" w:color="auto"/>
              <w:left w:val="single" w:sz="2" w:space="0" w:color="auto"/>
              <w:bottom w:val="single" w:sz="2" w:space="0" w:color="auto"/>
              <w:right w:val="single" w:sz="2" w:space="0" w:color="auto"/>
            </w:tcBorders>
          </w:tcPr>
          <w:p w14:paraId="4AC8E4F7" w14:textId="77777777" w:rsidR="009F4766" w:rsidRPr="00DE12A3" w:rsidRDefault="009F4766" w:rsidP="00C917D6">
            <w:pPr>
              <w:pStyle w:val="NormalLeft"/>
            </w:pPr>
            <w:r w:rsidRPr="00DE12A3">
              <w:t>83</w:t>
            </w:r>
          </w:p>
        </w:tc>
        <w:tc>
          <w:tcPr>
            <w:tcW w:w="2551" w:type="dxa"/>
            <w:tcBorders>
              <w:top w:val="single" w:sz="2" w:space="0" w:color="auto"/>
              <w:left w:val="single" w:sz="2" w:space="0" w:color="auto"/>
              <w:bottom w:val="single" w:sz="2" w:space="0" w:color="auto"/>
              <w:right w:val="single" w:sz="2" w:space="0" w:color="auto"/>
            </w:tcBorders>
          </w:tcPr>
          <w:p w14:paraId="1804C2CE" w14:textId="77777777" w:rsidR="009F4766" w:rsidRPr="00DE12A3" w:rsidRDefault="009F4766" w:rsidP="00C917D6">
            <w:pPr>
              <w:pStyle w:val="NormalLeft"/>
            </w:pPr>
            <w:r w:rsidRPr="00DE12A3">
              <w:t>7</w:t>
            </w:r>
          </w:p>
        </w:tc>
      </w:tr>
      <w:tr w:rsidR="00DE12A3" w:rsidRPr="00DE12A3" w14:paraId="5B37ADA6" w14:textId="77777777" w:rsidTr="009F4766">
        <w:tc>
          <w:tcPr>
            <w:tcW w:w="1182" w:type="dxa"/>
            <w:tcBorders>
              <w:top w:val="single" w:sz="2" w:space="0" w:color="auto"/>
              <w:left w:val="single" w:sz="2" w:space="0" w:color="auto"/>
              <w:bottom w:val="single" w:sz="2" w:space="0" w:color="auto"/>
              <w:right w:val="single" w:sz="2" w:space="0" w:color="auto"/>
            </w:tcBorders>
          </w:tcPr>
          <w:p w14:paraId="11CDE55D" w14:textId="77777777" w:rsidR="009F4766" w:rsidRPr="00DE12A3" w:rsidRDefault="009F4766" w:rsidP="00C917D6">
            <w:pPr>
              <w:pStyle w:val="NormalLeft"/>
            </w:pPr>
            <w:r w:rsidRPr="00DE12A3">
              <w:lastRenderedPageBreak/>
              <w:t>932</w:t>
            </w:r>
          </w:p>
        </w:tc>
        <w:tc>
          <w:tcPr>
            <w:tcW w:w="2489" w:type="dxa"/>
            <w:tcBorders>
              <w:top w:val="single" w:sz="2" w:space="0" w:color="auto"/>
              <w:left w:val="single" w:sz="2" w:space="0" w:color="auto"/>
              <w:bottom w:val="single" w:sz="2" w:space="0" w:color="auto"/>
              <w:right w:val="single" w:sz="2" w:space="0" w:color="auto"/>
            </w:tcBorders>
          </w:tcPr>
          <w:p w14:paraId="22E4D217" w14:textId="77777777" w:rsidR="009F4766" w:rsidRPr="00DE12A3" w:rsidRDefault="009F4766" w:rsidP="00C917D6">
            <w:pPr>
              <w:pStyle w:val="NormalLeft"/>
            </w:pPr>
            <w:r w:rsidRPr="00DE12A3">
              <w:t>83</w:t>
            </w:r>
          </w:p>
        </w:tc>
        <w:tc>
          <w:tcPr>
            <w:tcW w:w="2551" w:type="dxa"/>
            <w:tcBorders>
              <w:top w:val="single" w:sz="2" w:space="0" w:color="auto"/>
              <w:left w:val="single" w:sz="2" w:space="0" w:color="auto"/>
              <w:bottom w:val="single" w:sz="2" w:space="0" w:color="auto"/>
              <w:right w:val="single" w:sz="2" w:space="0" w:color="auto"/>
            </w:tcBorders>
          </w:tcPr>
          <w:p w14:paraId="3F5C83C3" w14:textId="77777777" w:rsidR="009F4766" w:rsidRPr="00DE12A3" w:rsidRDefault="009F4766" w:rsidP="00C917D6">
            <w:pPr>
              <w:pStyle w:val="NormalLeft"/>
            </w:pPr>
            <w:r w:rsidRPr="00DE12A3">
              <w:t>6</w:t>
            </w:r>
          </w:p>
        </w:tc>
      </w:tr>
      <w:tr w:rsidR="00DE12A3" w:rsidRPr="00DE12A3" w14:paraId="3A178550" w14:textId="77777777" w:rsidTr="009F4766">
        <w:tc>
          <w:tcPr>
            <w:tcW w:w="1182" w:type="dxa"/>
            <w:tcBorders>
              <w:top w:val="single" w:sz="2" w:space="0" w:color="auto"/>
              <w:left w:val="single" w:sz="2" w:space="0" w:color="auto"/>
              <w:bottom w:val="single" w:sz="2" w:space="0" w:color="auto"/>
              <w:right w:val="single" w:sz="2" w:space="0" w:color="auto"/>
            </w:tcBorders>
          </w:tcPr>
          <w:p w14:paraId="020DA308" w14:textId="77777777" w:rsidR="009F4766" w:rsidRPr="00DE12A3" w:rsidRDefault="009F4766" w:rsidP="00C917D6">
            <w:pPr>
              <w:pStyle w:val="NormalLeft"/>
            </w:pPr>
            <w:r w:rsidRPr="00DE12A3">
              <w:t>933</w:t>
            </w:r>
          </w:p>
        </w:tc>
        <w:tc>
          <w:tcPr>
            <w:tcW w:w="2489" w:type="dxa"/>
            <w:tcBorders>
              <w:top w:val="single" w:sz="2" w:space="0" w:color="auto"/>
              <w:left w:val="single" w:sz="2" w:space="0" w:color="auto"/>
              <w:bottom w:val="single" w:sz="2" w:space="0" w:color="auto"/>
              <w:right w:val="single" w:sz="2" w:space="0" w:color="auto"/>
            </w:tcBorders>
          </w:tcPr>
          <w:p w14:paraId="603428B2" w14:textId="77777777" w:rsidR="009F4766" w:rsidRPr="00DE12A3" w:rsidRDefault="009F4766" w:rsidP="00C917D6">
            <w:pPr>
              <w:pStyle w:val="NormalLeft"/>
            </w:pPr>
            <w:r w:rsidRPr="00DE12A3">
              <w:t>83</w:t>
            </w:r>
          </w:p>
        </w:tc>
        <w:tc>
          <w:tcPr>
            <w:tcW w:w="2551" w:type="dxa"/>
            <w:tcBorders>
              <w:top w:val="single" w:sz="2" w:space="0" w:color="auto"/>
              <w:left w:val="single" w:sz="2" w:space="0" w:color="auto"/>
              <w:bottom w:val="single" w:sz="2" w:space="0" w:color="auto"/>
              <w:right w:val="single" w:sz="2" w:space="0" w:color="auto"/>
            </w:tcBorders>
          </w:tcPr>
          <w:p w14:paraId="4C0A16BF" w14:textId="77777777" w:rsidR="009F4766" w:rsidRPr="00DE12A3" w:rsidRDefault="009F4766" w:rsidP="00C917D6">
            <w:pPr>
              <w:pStyle w:val="NormalLeft"/>
            </w:pPr>
            <w:r w:rsidRPr="00DE12A3">
              <w:t>6</w:t>
            </w:r>
          </w:p>
        </w:tc>
      </w:tr>
      <w:tr w:rsidR="00DE12A3" w:rsidRPr="00DE12A3" w14:paraId="50D3246B" w14:textId="77777777" w:rsidTr="009F4766">
        <w:tc>
          <w:tcPr>
            <w:tcW w:w="1182" w:type="dxa"/>
            <w:tcBorders>
              <w:top w:val="single" w:sz="2" w:space="0" w:color="auto"/>
              <w:left w:val="single" w:sz="2" w:space="0" w:color="auto"/>
              <w:bottom w:val="single" w:sz="2" w:space="0" w:color="auto"/>
              <w:right w:val="single" w:sz="2" w:space="0" w:color="auto"/>
            </w:tcBorders>
          </w:tcPr>
          <w:p w14:paraId="3362256E" w14:textId="77777777" w:rsidR="009F4766" w:rsidRPr="00DE12A3" w:rsidRDefault="009F4766" w:rsidP="00C917D6">
            <w:pPr>
              <w:pStyle w:val="NormalLeft"/>
            </w:pPr>
            <w:r w:rsidRPr="00DE12A3">
              <w:t>934</w:t>
            </w:r>
          </w:p>
        </w:tc>
        <w:tc>
          <w:tcPr>
            <w:tcW w:w="2489" w:type="dxa"/>
            <w:tcBorders>
              <w:top w:val="single" w:sz="2" w:space="0" w:color="auto"/>
              <w:left w:val="single" w:sz="2" w:space="0" w:color="auto"/>
              <w:bottom w:val="single" w:sz="2" w:space="0" w:color="auto"/>
              <w:right w:val="single" w:sz="2" w:space="0" w:color="auto"/>
            </w:tcBorders>
          </w:tcPr>
          <w:p w14:paraId="5742BEDB" w14:textId="77777777" w:rsidR="009F4766" w:rsidRPr="00DE12A3" w:rsidRDefault="009F4766" w:rsidP="00C917D6">
            <w:pPr>
              <w:pStyle w:val="NormalLeft"/>
            </w:pPr>
            <w:r w:rsidRPr="00DE12A3">
              <w:t>83</w:t>
            </w:r>
          </w:p>
        </w:tc>
        <w:tc>
          <w:tcPr>
            <w:tcW w:w="2551" w:type="dxa"/>
            <w:tcBorders>
              <w:top w:val="single" w:sz="2" w:space="0" w:color="auto"/>
              <w:left w:val="single" w:sz="2" w:space="0" w:color="auto"/>
              <w:bottom w:val="single" w:sz="2" w:space="0" w:color="auto"/>
              <w:right w:val="single" w:sz="2" w:space="0" w:color="auto"/>
            </w:tcBorders>
          </w:tcPr>
          <w:p w14:paraId="36A0C5DB" w14:textId="77777777" w:rsidR="009F4766" w:rsidRPr="00DE12A3" w:rsidRDefault="009F4766" w:rsidP="00C917D6">
            <w:pPr>
              <w:pStyle w:val="NormalLeft"/>
            </w:pPr>
            <w:r w:rsidRPr="00DE12A3">
              <w:t>6</w:t>
            </w:r>
          </w:p>
        </w:tc>
      </w:tr>
      <w:tr w:rsidR="00DE12A3" w:rsidRPr="00DE12A3" w14:paraId="20C871E5" w14:textId="77777777" w:rsidTr="009F4766">
        <w:tc>
          <w:tcPr>
            <w:tcW w:w="1182" w:type="dxa"/>
            <w:tcBorders>
              <w:top w:val="single" w:sz="2" w:space="0" w:color="auto"/>
              <w:left w:val="single" w:sz="2" w:space="0" w:color="auto"/>
              <w:bottom w:val="single" w:sz="2" w:space="0" w:color="auto"/>
              <w:right w:val="single" w:sz="2" w:space="0" w:color="auto"/>
            </w:tcBorders>
          </w:tcPr>
          <w:p w14:paraId="4F29101C" w14:textId="77777777" w:rsidR="009F4766" w:rsidRPr="00DE12A3" w:rsidRDefault="009F4766" w:rsidP="00C917D6">
            <w:pPr>
              <w:pStyle w:val="NormalLeft"/>
            </w:pPr>
            <w:r w:rsidRPr="00DE12A3">
              <w:t>935</w:t>
            </w:r>
          </w:p>
        </w:tc>
        <w:tc>
          <w:tcPr>
            <w:tcW w:w="2489" w:type="dxa"/>
            <w:tcBorders>
              <w:top w:val="single" w:sz="2" w:space="0" w:color="auto"/>
              <w:left w:val="single" w:sz="2" w:space="0" w:color="auto"/>
              <w:bottom w:val="single" w:sz="2" w:space="0" w:color="auto"/>
              <w:right w:val="single" w:sz="2" w:space="0" w:color="auto"/>
            </w:tcBorders>
          </w:tcPr>
          <w:p w14:paraId="755BE9F2" w14:textId="77777777" w:rsidR="009F4766" w:rsidRPr="00DE12A3" w:rsidRDefault="009F4766" w:rsidP="00C917D6">
            <w:pPr>
              <w:pStyle w:val="NormalLeft"/>
            </w:pPr>
            <w:r w:rsidRPr="00DE12A3">
              <w:t>71</w:t>
            </w:r>
          </w:p>
        </w:tc>
        <w:tc>
          <w:tcPr>
            <w:tcW w:w="2551" w:type="dxa"/>
            <w:tcBorders>
              <w:top w:val="single" w:sz="2" w:space="0" w:color="auto"/>
              <w:left w:val="single" w:sz="2" w:space="0" w:color="auto"/>
              <w:bottom w:val="single" w:sz="2" w:space="0" w:color="auto"/>
              <w:right w:val="single" w:sz="2" w:space="0" w:color="auto"/>
            </w:tcBorders>
          </w:tcPr>
          <w:p w14:paraId="622AD8B5" w14:textId="77777777" w:rsidR="009F4766" w:rsidRPr="00DE12A3" w:rsidRDefault="009F4766" w:rsidP="00C917D6">
            <w:pPr>
              <w:pStyle w:val="NormalLeft"/>
            </w:pPr>
            <w:r w:rsidRPr="00DE12A3">
              <w:t>5</w:t>
            </w:r>
          </w:p>
        </w:tc>
      </w:tr>
      <w:tr w:rsidR="00DE12A3" w:rsidRPr="00DE12A3" w14:paraId="63309144" w14:textId="77777777" w:rsidTr="009F4766">
        <w:tc>
          <w:tcPr>
            <w:tcW w:w="1182" w:type="dxa"/>
            <w:tcBorders>
              <w:top w:val="single" w:sz="2" w:space="0" w:color="auto"/>
              <w:left w:val="single" w:sz="2" w:space="0" w:color="auto"/>
              <w:bottom w:val="single" w:sz="2" w:space="0" w:color="auto"/>
              <w:right w:val="single" w:sz="2" w:space="0" w:color="auto"/>
            </w:tcBorders>
          </w:tcPr>
          <w:p w14:paraId="44C62560" w14:textId="77777777" w:rsidR="009F4766" w:rsidRPr="00DE12A3" w:rsidRDefault="009F4766" w:rsidP="00C917D6">
            <w:pPr>
              <w:pStyle w:val="NormalLeft"/>
            </w:pPr>
            <w:r w:rsidRPr="00DE12A3">
              <w:t>936</w:t>
            </w:r>
          </w:p>
        </w:tc>
        <w:tc>
          <w:tcPr>
            <w:tcW w:w="2489" w:type="dxa"/>
            <w:tcBorders>
              <w:top w:val="single" w:sz="2" w:space="0" w:color="auto"/>
              <w:left w:val="single" w:sz="2" w:space="0" w:color="auto"/>
              <w:bottom w:val="single" w:sz="2" w:space="0" w:color="auto"/>
              <w:right w:val="single" w:sz="2" w:space="0" w:color="auto"/>
            </w:tcBorders>
          </w:tcPr>
          <w:p w14:paraId="00949CC9" w14:textId="77777777" w:rsidR="009F4766" w:rsidRPr="00DE12A3" w:rsidRDefault="009F4766" w:rsidP="00C917D6">
            <w:pPr>
              <w:pStyle w:val="NormalLeft"/>
            </w:pPr>
            <w:r w:rsidRPr="00DE12A3">
              <w:t>49</w:t>
            </w:r>
          </w:p>
        </w:tc>
        <w:tc>
          <w:tcPr>
            <w:tcW w:w="2551" w:type="dxa"/>
            <w:tcBorders>
              <w:top w:val="single" w:sz="2" w:space="0" w:color="auto"/>
              <w:left w:val="single" w:sz="2" w:space="0" w:color="auto"/>
              <w:bottom w:val="single" w:sz="2" w:space="0" w:color="auto"/>
              <w:right w:val="single" w:sz="2" w:space="0" w:color="auto"/>
            </w:tcBorders>
          </w:tcPr>
          <w:p w14:paraId="604F7461" w14:textId="77777777" w:rsidR="009F4766" w:rsidRPr="00DE12A3" w:rsidRDefault="009F4766" w:rsidP="00C917D6">
            <w:pPr>
              <w:pStyle w:val="NormalLeft"/>
            </w:pPr>
            <w:r w:rsidRPr="00DE12A3">
              <w:t>24</w:t>
            </w:r>
          </w:p>
        </w:tc>
      </w:tr>
      <w:tr w:rsidR="00DE12A3" w:rsidRPr="00DE12A3" w14:paraId="6BD9FB3B" w14:textId="77777777" w:rsidTr="009F4766">
        <w:tc>
          <w:tcPr>
            <w:tcW w:w="1182" w:type="dxa"/>
            <w:tcBorders>
              <w:top w:val="single" w:sz="2" w:space="0" w:color="auto"/>
              <w:left w:val="single" w:sz="2" w:space="0" w:color="auto"/>
              <w:bottom w:val="single" w:sz="2" w:space="0" w:color="auto"/>
              <w:right w:val="single" w:sz="2" w:space="0" w:color="auto"/>
            </w:tcBorders>
          </w:tcPr>
          <w:p w14:paraId="5941D5D0" w14:textId="77777777" w:rsidR="009F4766" w:rsidRPr="00DE12A3" w:rsidRDefault="009F4766" w:rsidP="00C917D6">
            <w:pPr>
              <w:pStyle w:val="NormalLeft"/>
            </w:pPr>
            <w:r w:rsidRPr="00DE12A3">
              <w:t>937</w:t>
            </w:r>
          </w:p>
        </w:tc>
        <w:tc>
          <w:tcPr>
            <w:tcW w:w="2489" w:type="dxa"/>
            <w:tcBorders>
              <w:top w:val="single" w:sz="2" w:space="0" w:color="auto"/>
              <w:left w:val="single" w:sz="2" w:space="0" w:color="auto"/>
              <w:bottom w:val="single" w:sz="2" w:space="0" w:color="auto"/>
              <w:right w:val="single" w:sz="2" w:space="0" w:color="auto"/>
            </w:tcBorders>
          </w:tcPr>
          <w:p w14:paraId="4DB46CEB" w14:textId="77777777" w:rsidR="009F4766" w:rsidRPr="00DE12A3" w:rsidRDefault="009F4766" w:rsidP="00C917D6">
            <w:pPr>
              <w:pStyle w:val="NormalLeft"/>
            </w:pPr>
            <w:r w:rsidRPr="00DE12A3">
              <w:t>69</w:t>
            </w:r>
          </w:p>
        </w:tc>
        <w:tc>
          <w:tcPr>
            <w:tcW w:w="2551" w:type="dxa"/>
            <w:tcBorders>
              <w:top w:val="single" w:sz="2" w:space="0" w:color="auto"/>
              <w:left w:val="single" w:sz="2" w:space="0" w:color="auto"/>
              <w:bottom w:val="single" w:sz="2" w:space="0" w:color="auto"/>
              <w:right w:val="single" w:sz="2" w:space="0" w:color="auto"/>
            </w:tcBorders>
          </w:tcPr>
          <w:p w14:paraId="1DC363D7" w14:textId="77777777" w:rsidR="009F4766" w:rsidRPr="00DE12A3" w:rsidRDefault="009F4766" w:rsidP="00C917D6">
            <w:pPr>
              <w:pStyle w:val="NormalLeft"/>
            </w:pPr>
            <w:r w:rsidRPr="00DE12A3">
              <w:t>64</w:t>
            </w:r>
          </w:p>
        </w:tc>
      </w:tr>
      <w:tr w:rsidR="00DE12A3" w:rsidRPr="00DE12A3" w14:paraId="5F7B6FA2" w14:textId="77777777" w:rsidTr="009F4766">
        <w:tc>
          <w:tcPr>
            <w:tcW w:w="1182" w:type="dxa"/>
            <w:tcBorders>
              <w:top w:val="single" w:sz="2" w:space="0" w:color="auto"/>
              <w:left w:val="single" w:sz="2" w:space="0" w:color="auto"/>
              <w:bottom w:val="single" w:sz="2" w:space="0" w:color="auto"/>
              <w:right w:val="single" w:sz="2" w:space="0" w:color="auto"/>
            </w:tcBorders>
          </w:tcPr>
          <w:p w14:paraId="2487F541" w14:textId="77777777" w:rsidR="009F4766" w:rsidRPr="00DE12A3" w:rsidRDefault="009F4766" w:rsidP="00C917D6">
            <w:pPr>
              <w:pStyle w:val="NormalLeft"/>
            </w:pPr>
            <w:r w:rsidRPr="00DE12A3">
              <w:t>938</w:t>
            </w:r>
          </w:p>
        </w:tc>
        <w:tc>
          <w:tcPr>
            <w:tcW w:w="2489" w:type="dxa"/>
            <w:tcBorders>
              <w:top w:val="single" w:sz="2" w:space="0" w:color="auto"/>
              <w:left w:val="single" w:sz="2" w:space="0" w:color="auto"/>
              <w:bottom w:val="single" w:sz="2" w:space="0" w:color="auto"/>
              <w:right w:val="single" w:sz="2" w:space="0" w:color="auto"/>
            </w:tcBorders>
          </w:tcPr>
          <w:p w14:paraId="0ED88AF8" w14:textId="77777777" w:rsidR="009F4766" w:rsidRPr="00DE12A3" w:rsidRDefault="009F4766" w:rsidP="00C917D6">
            <w:pPr>
              <w:pStyle w:val="NormalLeft"/>
            </w:pPr>
            <w:r w:rsidRPr="00DE12A3">
              <w:t>81</w:t>
            </w:r>
          </w:p>
        </w:tc>
        <w:tc>
          <w:tcPr>
            <w:tcW w:w="2551" w:type="dxa"/>
            <w:tcBorders>
              <w:top w:val="single" w:sz="2" w:space="0" w:color="auto"/>
              <w:left w:val="single" w:sz="2" w:space="0" w:color="auto"/>
              <w:bottom w:val="single" w:sz="2" w:space="0" w:color="auto"/>
              <w:right w:val="single" w:sz="2" w:space="0" w:color="auto"/>
            </w:tcBorders>
          </w:tcPr>
          <w:p w14:paraId="24580318" w14:textId="77777777" w:rsidR="009F4766" w:rsidRPr="00DE12A3" w:rsidRDefault="009F4766" w:rsidP="00C917D6">
            <w:pPr>
              <w:pStyle w:val="NormalLeft"/>
            </w:pPr>
            <w:r w:rsidRPr="00DE12A3">
              <w:t>50</w:t>
            </w:r>
          </w:p>
        </w:tc>
      </w:tr>
      <w:tr w:rsidR="00DE12A3" w:rsidRPr="00DE12A3" w14:paraId="34850FC6" w14:textId="77777777" w:rsidTr="009F4766">
        <w:tc>
          <w:tcPr>
            <w:tcW w:w="1182" w:type="dxa"/>
            <w:tcBorders>
              <w:top w:val="single" w:sz="2" w:space="0" w:color="auto"/>
              <w:left w:val="single" w:sz="2" w:space="0" w:color="auto"/>
              <w:bottom w:val="single" w:sz="2" w:space="0" w:color="auto"/>
              <w:right w:val="single" w:sz="2" w:space="0" w:color="auto"/>
            </w:tcBorders>
          </w:tcPr>
          <w:p w14:paraId="1D76715F" w14:textId="77777777" w:rsidR="009F4766" w:rsidRPr="00DE12A3" w:rsidRDefault="009F4766" w:rsidP="00C917D6">
            <w:pPr>
              <w:pStyle w:val="NormalLeft"/>
            </w:pPr>
            <w:r w:rsidRPr="00DE12A3">
              <w:t>939</w:t>
            </w:r>
          </w:p>
        </w:tc>
        <w:tc>
          <w:tcPr>
            <w:tcW w:w="2489" w:type="dxa"/>
            <w:tcBorders>
              <w:top w:val="single" w:sz="2" w:space="0" w:color="auto"/>
              <w:left w:val="single" w:sz="2" w:space="0" w:color="auto"/>
              <w:bottom w:val="single" w:sz="2" w:space="0" w:color="auto"/>
              <w:right w:val="single" w:sz="2" w:space="0" w:color="auto"/>
            </w:tcBorders>
          </w:tcPr>
          <w:p w14:paraId="63E802FB" w14:textId="77777777" w:rsidR="009F4766" w:rsidRPr="00DE12A3" w:rsidRDefault="009F4766" w:rsidP="00C917D6">
            <w:pPr>
              <w:pStyle w:val="NormalLeft"/>
            </w:pPr>
            <w:r w:rsidRPr="00DE12A3">
              <w:t>81</w:t>
            </w:r>
          </w:p>
        </w:tc>
        <w:tc>
          <w:tcPr>
            <w:tcW w:w="2551" w:type="dxa"/>
            <w:tcBorders>
              <w:top w:val="single" w:sz="2" w:space="0" w:color="auto"/>
              <w:left w:val="single" w:sz="2" w:space="0" w:color="auto"/>
              <w:bottom w:val="single" w:sz="2" w:space="0" w:color="auto"/>
              <w:right w:val="single" w:sz="2" w:space="0" w:color="auto"/>
            </w:tcBorders>
          </w:tcPr>
          <w:p w14:paraId="56C73D3C" w14:textId="77777777" w:rsidR="009F4766" w:rsidRPr="00DE12A3" w:rsidRDefault="009F4766" w:rsidP="00C917D6">
            <w:pPr>
              <w:pStyle w:val="NormalLeft"/>
            </w:pPr>
            <w:r w:rsidRPr="00DE12A3">
              <w:t>43</w:t>
            </w:r>
          </w:p>
        </w:tc>
      </w:tr>
      <w:tr w:rsidR="00DE12A3" w:rsidRPr="00DE12A3" w14:paraId="6CF83941" w14:textId="77777777" w:rsidTr="009F4766">
        <w:tc>
          <w:tcPr>
            <w:tcW w:w="1182" w:type="dxa"/>
            <w:tcBorders>
              <w:top w:val="single" w:sz="2" w:space="0" w:color="auto"/>
              <w:left w:val="single" w:sz="2" w:space="0" w:color="auto"/>
              <w:bottom w:val="single" w:sz="2" w:space="0" w:color="auto"/>
              <w:right w:val="single" w:sz="2" w:space="0" w:color="auto"/>
            </w:tcBorders>
          </w:tcPr>
          <w:p w14:paraId="6FBAE4C3" w14:textId="77777777" w:rsidR="009F4766" w:rsidRPr="00DE12A3" w:rsidRDefault="009F4766" w:rsidP="00C917D6">
            <w:pPr>
              <w:pStyle w:val="NormalLeft"/>
            </w:pPr>
            <w:r w:rsidRPr="00DE12A3">
              <w:t>940</w:t>
            </w:r>
          </w:p>
        </w:tc>
        <w:tc>
          <w:tcPr>
            <w:tcW w:w="2489" w:type="dxa"/>
            <w:tcBorders>
              <w:top w:val="single" w:sz="2" w:space="0" w:color="auto"/>
              <w:left w:val="single" w:sz="2" w:space="0" w:color="auto"/>
              <w:bottom w:val="single" w:sz="2" w:space="0" w:color="auto"/>
              <w:right w:val="single" w:sz="2" w:space="0" w:color="auto"/>
            </w:tcBorders>
          </w:tcPr>
          <w:p w14:paraId="6FE6F1C4" w14:textId="77777777" w:rsidR="009F4766" w:rsidRPr="00DE12A3" w:rsidRDefault="009F4766" w:rsidP="00C917D6">
            <w:pPr>
              <w:pStyle w:val="NormalLeft"/>
            </w:pPr>
            <w:r w:rsidRPr="00DE12A3">
              <w:t>81</w:t>
            </w:r>
          </w:p>
        </w:tc>
        <w:tc>
          <w:tcPr>
            <w:tcW w:w="2551" w:type="dxa"/>
            <w:tcBorders>
              <w:top w:val="single" w:sz="2" w:space="0" w:color="auto"/>
              <w:left w:val="single" w:sz="2" w:space="0" w:color="auto"/>
              <w:bottom w:val="single" w:sz="2" w:space="0" w:color="auto"/>
              <w:right w:val="single" w:sz="2" w:space="0" w:color="auto"/>
            </w:tcBorders>
          </w:tcPr>
          <w:p w14:paraId="09D5DFD2" w14:textId="77777777" w:rsidR="009F4766" w:rsidRPr="00DE12A3" w:rsidRDefault="009F4766" w:rsidP="00C917D6">
            <w:pPr>
              <w:pStyle w:val="NormalLeft"/>
            </w:pPr>
            <w:r w:rsidRPr="00DE12A3">
              <w:t>42</w:t>
            </w:r>
          </w:p>
        </w:tc>
      </w:tr>
      <w:tr w:rsidR="00DE12A3" w:rsidRPr="00DE12A3" w14:paraId="08C5F428" w14:textId="77777777" w:rsidTr="009F4766">
        <w:tc>
          <w:tcPr>
            <w:tcW w:w="1182" w:type="dxa"/>
            <w:tcBorders>
              <w:top w:val="single" w:sz="2" w:space="0" w:color="auto"/>
              <w:left w:val="single" w:sz="2" w:space="0" w:color="auto"/>
              <w:bottom w:val="single" w:sz="2" w:space="0" w:color="auto"/>
              <w:right w:val="single" w:sz="2" w:space="0" w:color="auto"/>
            </w:tcBorders>
          </w:tcPr>
          <w:p w14:paraId="09B954C6" w14:textId="77777777" w:rsidR="009F4766" w:rsidRPr="00DE12A3" w:rsidRDefault="009F4766" w:rsidP="00C917D6">
            <w:pPr>
              <w:pStyle w:val="NormalLeft"/>
            </w:pPr>
            <w:r w:rsidRPr="00DE12A3">
              <w:t>941</w:t>
            </w:r>
          </w:p>
        </w:tc>
        <w:tc>
          <w:tcPr>
            <w:tcW w:w="2489" w:type="dxa"/>
            <w:tcBorders>
              <w:top w:val="single" w:sz="2" w:space="0" w:color="auto"/>
              <w:left w:val="single" w:sz="2" w:space="0" w:color="auto"/>
              <w:bottom w:val="single" w:sz="2" w:space="0" w:color="auto"/>
              <w:right w:val="single" w:sz="2" w:space="0" w:color="auto"/>
            </w:tcBorders>
          </w:tcPr>
          <w:p w14:paraId="25F5E19C" w14:textId="77777777" w:rsidR="009F4766" w:rsidRPr="00DE12A3" w:rsidRDefault="009F4766" w:rsidP="00C917D6">
            <w:pPr>
              <w:pStyle w:val="NormalLeft"/>
            </w:pPr>
            <w:r w:rsidRPr="00DE12A3">
              <w:t>81</w:t>
            </w:r>
          </w:p>
        </w:tc>
        <w:tc>
          <w:tcPr>
            <w:tcW w:w="2551" w:type="dxa"/>
            <w:tcBorders>
              <w:top w:val="single" w:sz="2" w:space="0" w:color="auto"/>
              <w:left w:val="single" w:sz="2" w:space="0" w:color="auto"/>
              <w:bottom w:val="single" w:sz="2" w:space="0" w:color="auto"/>
              <w:right w:val="single" w:sz="2" w:space="0" w:color="auto"/>
            </w:tcBorders>
          </w:tcPr>
          <w:p w14:paraId="64DCE18E" w14:textId="77777777" w:rsidR="009F4766" w:rsidRPr="00DE12A3" w:rsidRDefault="009F4766" w:rsidP="00C917D6">
            <w:pPr>
              <w:pStyle w:val="NormalLeft"/>
            </w:pPr>
            <w:r w:rsidRPr="00DE12A3">
              <w:t>31</w:t>
            </w:r>
          </w:p>
        </w:tc>
      </w:tr>
      <w:tr w:rsidR="00DE12A3" w:rsidRPr="00DE12A3" w14:paraId="24B0B9B2" w14:textId="77777777" w:rsidTr="009F4766">
        <w:tc>
          <w:tcPr>
            <w:tcW w:w="1182" w:type="dxa"/>
            <w:tcBorders>
              <w:top w:val="single" w:sz="2" w:space="0" w:color="auto"/>
              <w:left w:val="single" w:sz="2" w:space="0" w:color="auto"/>
              <w:bottom w:val="single" w:sz="2" w:space="0" w:color="auto"/>
              <w:right w:val="single" w:sz="2" w:space="0" w:color="auto"/>
            </w:tcBorders>
          </w:tcPr>
          <w:p w14:paraId="2D3467C4" w14:textId="77777777" w:rsidR="009F4766" w:rsidRPr="00DE12A3" w:rsidRDefault="009F4766" w:rsidP="00C917D6">
            <w:pPr>
              <w:pStyle w:val="NormalLeft"/>
            </w:pPr>
            <w:r w:rsidRPr="00DE12A3">
              <w:t>942</w:t>
            </w:r>
          </w:p>
        </w:tc>
        <w:tc>
          <w:tcPr>
            <w:tcW w:w="2489" w:type="dxa"/>
            <w:tcBorders>
              <w:top w:val="single" w:sz="2" w:space="0" w:color="auto"/>
              <w:left w:val="single" w:sz="2" w:space="0" w:color="auto"/>
              <w:bottom w:val="single" w:sz="2" w:space="0" w:color="auto"/>
              <w:right w:val="single" w:sz="2" w:space="0" w:color="auto"/>
            </w:tcBorders>
          </w:tcPr>
          <w:p w14:paraId="4E7D9DBF" w14:textId="77777777" w:rsidR="009F4766" w:rsidRPr="00DE12A3" w:rsidRDefault="009F4766" w:rsidP="00C917D6">
            <w:pPr>
              <w:pStyle w:val="NormalLeft"/>
            </w:pPr>
            <w:r w:rsidRPr="00DE12A3">
              <w:t>81</w:t>
            </w:r>
          </w:p>
        </w:tc>
        <w:tc>
          <w:tcPr>
            <w:tcW w:w="2551" w:type="dxa"/>
            <w:tcBorders>
              <w:top w:val="single" w:sz="2" w:space="0" w:color="auto"/>
              <w:left w:val="single" w:sz="2" w:space="0" w:color="auto"/>
              <w:bottom w:val="single" w:sz="2" w:space="0" w:color="auto"/>
              <w:right w:val="single" w:sz="2" w:space="0" w:color="auto"/>
            </w:tcBorders>
          </w:tcPr>
          <w:p w14:paraId="44199688" w14:textId="77777777" w:rsidR="009F4766" w:rsidRPr="00DE12A3" w:rsidRDefault="009F4766" w:rsidP="00C917D6">
            <w:pPr>
              <w:pStyle w:val="NormalLeft"/>
            </w:pPr>
            <w:r w:rsidRPr="00DE12A3">
              <w:t>30</w:t>
            </w:r>
          </w:p>
        </w:tc>
      </w:tr>
      <w:tr w:rsidR="00DE12A3" w:rsidRPr="00DE12A3" w14:paraId="0648F059" w14:textId="77777777" w:rsidTr="009F4766">
        <w:tc>
          <w:tcPr>
            <w:tcW w:w="1182" w:type="dxa"/>
            <w:tcBorders>
              <w:top w:val="single" w:sz="2" w:space="0" w:color="auto"/>
              <w:left w:val="single" w:sz="2" w:space="0" w:color="auto"/>
              <w:bottom w:val="single" w:sz="2" w:space="0" w:color="auto"/>
              <w:right w:val="single" w:sz="2" w:space="0" w:color="auto"/>
            </w:tcBorders>
          </w:tcPr>
          <w:p w14:paraId="2AD0B6C9" w14:textId="77777777" w:rsidR="009F4766" w:rsidRPr="00DE12A3" w:rsidRDefault="009F4766" w:rsidP="00C917D6">
            <w:pPr>
              <w:pStyle w:val="NormalLeft"/>
            </w:pPr>
            <w:r w:rsidRPr="00DE12A3">
              <w:t>943</w:t>
            </w:r>
          </w:p>
        </w:tc>
        <w:tc>
          <w:tcPr>
            <w:tcW w:w="2489" w:type="dxa"/>
            <w:tcBorders>
              <w:top w:val="single" w:sz="2" w:space="0" w:color="auto"/>
              <w:left w:val="single" w:sz="2" w:space="0" w:color="auto"/>
              <w:bottom w:val="single" w:sz="2" w:space="0" w:color="auto"/>
              <w:right w:val="single" w:sz="2" w:space="0" w:color="auto"/>
            </w:tcBorders>
          </w:tcPr>
          <w:p w14:paraId="2400FDAF" w14:textId="77777777" w:rsidR="009F4766" w:rsidRPr="00DE12A3" w:rsidRDefault="009F4766" w:rsidP="00C917D6">
            <w:pPr>
              <w:pStyle w:val="NormalLeft"/>
            </w:pPr>
            <w:r w:rsidRPr="00DE12A3">
              <w:t>81</w:t>
            </w:r>
          </w:p>
        </w:tc>
        <w:tc>
          <w:tcPr>
            <w:tcW w:w="2551" w:type="dxa"/>
            <w:tcBorders>
              <w:top w:val="single" w:sz="2" w:space="0" w:color="auto"/>
              <w:left w:val="single" w:sz="2" w:space="0" w:color="auto"/>
              <w:bottom w:val="single" w:sz="2" w:space="0" w:color="auto"/>
              <w:right w:val="single" w:sz="2" w:space="0" w:color="auto"/>
            </w:tcBorders>
          </w:tcPr>
          <w:p w14:paraId="5510F30C" w14:textId="77777777" w:rsidR="009F4766" w:rsidRPr="00DE12A3" w:rsidRDefault="009F4766" w:rsidP="00C917D6">
            <w:pPr>
              <w:pStyle w:val="NormalLeft"/>
            </w:pPr>
            <w:r w:rsidRPr="00DE12A3">
              <w:t>35</w:t>
            </w:r>
          </w:p>
        </w:tc>
      </w:tr>
      <w:tr w:rsidR="00DE12A3" w:rsidRPr="00DE12A3" w14:paraId="3790CFD5" w14:textId="77777777" w:rsidTr="009F4766">
        <w:tc>
          <w:tcPr>
            <w:tcW w:w="1182" w:type="dxa"/>
            <w:tcBorders>
              <w:top w:val="single" w:sz="2" w:space="0" w:color="auto"/>
              <w:left w:val="single" w:sz="2" w:space="0" w:color="auto"/>
              <w:bottom w:val="single" w:sz="2" w:space="0" w:color="auto"/>
              <w:right w:val="single" w:sz="2" w:space="0" w:color="auto"/>
            </w:tcBorders>
          </w:tcPr>
          <w:p w14:paraId="373949C5" w14:textId="77777777" w:rsidR="009F4766" w:rsidRPr="00DE12A3" w:rsidRDefault="009F4766" w:rsidP="00C917D6">
            <w:pPr>
              <w:pStyle w:val="NormalLeft"/>
            </w:pPr>
            <w:r w:rsidRPr="00DE12A3">
              <w:t>944</w:t>
            </w:r>
          </w:p>
        </w:tc>
        <w:tc>
          <w:tcPr>
            <w:tcW w:w="2489" w:type="dxa"/>
            <w:tcBorders>
              <w:top w:val="single" w:sz="2" w:space="0" w:color="auto"/>
              <w:left w:val="single" w:sz="2" w:space="0" w:color="auto"/>
              <w:bottom w:val="single" w:sz="2" w:space="0" w:color="auto"/>
              <w:right w:val="single" w:sz="2" w:space="0" w:color="auto"/>
            </w:tcBorders>
          </w:tcPr>
          <w:p w14:paraId="2BCFD054" w14:textId="77777777" w:rsidR="009F4766" w:rsidRPr="00DE12A3" w:rsidRDefault="009F4766" w:rsidP="00C917D6">
            <w:pPr>
              <w:pStyle w:val="NormalLeft"/>
            </w:pPr>
            <w:r w:rsidRPr="00DE12A3">
              <w:t>81</w:t>
            </w:r>
          </w:p>
        </w:tc>
        <w:tc>
          <w:tcPr>
            <w:tcW w:w="2551" w:type="dxa"/>
            <w:tcBorders>
              <w:top w:val="single" w:sz="2" w:space="0" w:color="auto"/>
              <w:left w:val="single" w:sz="2" w:space="0" w:color="auto"/>
              <w:bottom w:val="single" w:sz="2" w:space="0" w:color="auto"/>
              <w:right w:val="single" w:sz="2" w:space="0" w:color="auto"/>
            </w:tcBorders>
          </w:tcPr>
          <w:p w14:paraId="5E77DE1C" w14:textId="77777777" w:rsidR="009F4766" w:rsidRPr="00DE12A3" w:rsidRDefault="009F4766" w:rsidP="00C917D6">
            <w:pPr>
              <w:pStyle w:val="NormalLeft"/>
            </w:pPr>
            <w:r w:rsidRPr="00DE12A3">
              <w:t>28</w:t>
            </w:r>
          </w:p>
        </w:tc>
      </w:tr>
      <w:tr w:rsidR="00DE12A3" w:rsidRPr="00DE12A3" w14:paraId="0D03AD03" w14:textId="77777777" w:rsidTr="009F4766">
        <w:tc>
          <w:tcPr>
            <w:tcW w:w="1182" w:type="dxa"/>
            <w:tcBorders>
              <w:top w:val="single" w:sz="2" w:space="0" w:color="auto"/>
              <w:left w:val="single" w:sz="2" w:space="0" w:color="auto"/>
              <w:bottom w:val="single" w:sz="2" w:space="0" w:color="auto"/>
              <w:right w:val="single" w:sz="2" w:space="0" w:color="auto"/>
            </w:tcBorders>
          </w:tcPr>
          <w:p w14:paraId="4981FB4A" w14:textId="77777777" w:rsidR="009F4766" w:rsidRPr="00DE12A3" w:rsidRDefault="009F4766" w:rsidP="00C917D6">
            <w:pPr>
              <w:pStyle w:val="NormalLeft"/>
            </w:pPr>
            <w:r w:rsidRPr="00DE12A3">
              <w:t>945</w:t>
            </w:r>
          </w:p>
        </w:tc>
        <w:tc>
          <w:tcPr>
            <w:tcW w:w="2489" w:type="dxa"/>
            <w:tcBorders>
              <w:top w:val="single" w:sz="2" w:space="0" w:color="auto"/>
              <w:left w:val="single" w:sz="2" w:space="0" w:color="auto"/>
              <w:bottom w:val="single" w:sz="2" w:space="0" w:color="auto"/>
              <w:right w:val="single" w:sz="2" w:space="0" w:color="auto"/>
            </w:tcBorders>
          </w:tcPr>
          <w:p w14:paraId="1A9228B7" w14:textId="77777777" w:rsidR="009F4766" w:rsidRPr="00DE12A3" w:rsidRDefault="009F4766" w:rsidP="00C917D6">
            <w:pPr>
              <w:pStyle w:val="NormalLeft"/>
            </w:pPr>
            <w:r w:rsidRPr="00DE12A3">
              <w:t>81</w:t>
            </w:r>
          </w:p>
        </w:tc>
        <w:tc>
          <w:tcPr>
            <w:tcW w:w="2551" w:type="dxa"/>
            <w:tcBorders>
              <w:top w:val="single" w:sz="2" w:space="0" w:color="auto"/>
              <w:left w:val="single" w:sz="2" w:space="0" w:color="auto"/>
              <w:bottom w:val="single" w:sz="2" w:space="0" w:color="auto"/>
              <w:right w:val="single" w:sz="2" w:space="0" w:color="auto"/>
            </w:tcBorders>
          </w:tcPr>
          <w:p w14:paraId="7430BE5B" w14:textId="77777777" w:rsidR="009F4766" w:rsidRPr="00DE12A3" w:rsidRDefault="009F4766" w:rsidP="00C917D6">
            <w:pPr>
              <w:pStyle w:val="NormalLeft"/>
            </w:pPr>
            <w:r w:rsidRPr="00DE12A3">
              <w:t>27</w:t>
            </w:r>
          </w:p>
        </w:tc>
      </w:tr>
      <w:tr w:rsidR="00DE12A3" w:rsidRPr="00DE12A3" w14:paraId="1A01D40D" w14:textId="77777777" w:rsidTr="009F4766">
        <w:tc>
          <w:tcPr>
            <w:tcW w:w="1182" w:type="dxa"/>
            <w:tcBorders>
              <w:top w:val="single" w:sz="2" w:space="0" w:color="auto"/>
              <w:left w:val="single" w:sz="2" w:space="0" w:color="auto"/>
              <w:bottom w:val="single" w:sz="2" w:space="0" w:color="auto"/>
              <w:right w:val="single" w:sz="2" w:space="0" w:color="auto"/>
            </w:tcBorders>
          </w:tcPr>
          <w:p w14:paraId="6110FA9E" w14:textId="77777777" w:rsidR="009F4766" w:rsidRPr="00DE12A3" w:rsidRDefault="009F4766" w:rsidP="00C917D6">
            <w:pPr>
              <w:pStyle w:val="NormalLeft"/>
            </w:pPr>
            <w:r w:rsidRPr="00DE12A3">
              <w:t>946</w:t>
            </w:r>
          </w:p>
        </w:tc>
        <w:tc>
          <w:tcPr>
            <w:tcW w:w="2489" w:type="dxa"/>
            <w:tcBorders>
              <w:top w:val="single" w:sz="2" w:space="0" w:color="auto"/>
              <w:left w:val="single" w:sz="2" w:space="0" w:color="auto"/>
              <w:bottom w:val="single" w:sz="2" w:space="0" w:color="auto"/>
              <w:right w:val="single" w:sz="2" w:space="0" w:color="auto"/>
            </w:tcBorders>
          </w:tcPr>
          <w:p w14:paraId="636B77E2" w14:textId="77777777" w:rsidR="009F4766" w:rsidRPr="00DE12A3" w:rsidRDefault="009F4766" w:rsidP="00C917D6">
            <w:pPr>
              <w:pStyle w:val="NormalLeft"/>
            </w:pPr>
            <w:r w:rsidRPr="00DE12A3">
              <w:t>80</w:t>
            </w:r>
          </w:p>
        </w:tc>
        <w:tc>
          <w:tcPr>
            <w:tcW w:w="2551" w:type="dxa"/>
            <w:tcBorders>
              <w:top w:val="single" w:sz="2" w:space="0" w:color="auto"/>
              <w:left w:val="single" w:sz="2" w:space="0" w:color="auto"/>
              <w:bottom w:val="single" w:sz="2" w:space="0" w:color="auto"/>
              <w:right w:val="single" w:sz="2" w:space="0" w:color="auto"/>
            </w:tcBorders>
          </w:tcPr>
          <w:p w14:paraId="2CE2F5F0" w14:textId="77777777" w:rsidR="009F4766" w:rsidRPr="00DE12A3" w:rsidRDefault="009F4766" w:rsidP="00C917D6">
            <w:pPr>
              <w:pStyle w:val="NormalLeft"/>
            </w:pPr>
            <w:r w:rsidRPr="00DE12A3">
              <w:t>27</w:t>
            </w:r>
          </w:p>
        </w:tc>
      </w:tr>
      <w:tr w:rsidR="00DE12A3" w:rsidRPr="00DE12A3" w14:paraId="36A84E60" w14:textId="77777777" w:rsidTr="009F4766">
        <w:tc>
          <w:tcPr>
            <w:tcW w:w="1182" w:type="dxa"/>
            <w:tcBorders>
              <w:top w:val="single" w:sz="2" w:space="0" w:color="auto"/>
              <w:left w:val="single" w:sz="2" w:space="0" w:color="auto"/>
              <w:bottom w:val="single" w:sz="2" w:space="0" w:color="auto"/>
              <w:right w:val="single" w:sz="2" w:space="0" w:color="auto"/>
            </w:tcBorders>
          </w:tcPr>
          <w:p w14:paraId="5330C4B9" w14:textId="77777777" w:rsidR="009F4766" w:rsidRPr="00DE12A3" w:rsidRDefault="009F4766" w:rsidP="00C917D6">
            <w:pPr>
              <w:pStyle w:val="NormalLeft"/>
            </w:pPr>
            <w:r w:rsidRPr="00DE12A3">
              <w:t>947</w:t>
            </w:r>
          </w:p>
        </w:tc>
        <w:tc>
          <w:tcPr>
            <w:tcW w:w="2489" w:type="dxa"/>
            <w:tcBorders>
              <w:top w:val="single" w:sz="2" w:space="0" w:color="auto"/>
              <w:left w:val="single" w:sz="2" w:space="0" w:color="auto"/>
              <w:bottom w:val="single" w:sz="2" w:space="0" w:color="auto"/>
              <w:right w:val="single" w:sz="2" w:space="0" w:color="auto"/>
            </w:tcBorders>
          </w:tcPr>
          <w:p w14:paraId="10F7CA6C" w14:textId="77777777" w:rsidR="009F4766" w:rsidRPr="00DE12A3" w:rsidRDefault="009F4766" w:rsidP="00C917D6">
            <w:pPr>
              <w:pStyle w:val="NormalLeft"/>
            </w:pPr>
            <w:r w:rsidRPr="00DE12A3">
              <w:t>81</w:t>
            </w:r>
          </w:p>
        </w:tc>
        <w:tc>
          <w:tcPr>
            <w:tcW w:w="2551" w:type="dxa"/>
            <w:tcBorders>
              <w:top w:val="single" w:sz="2" w:space="0" w:color="auto"/>
              <w:left w:val="single" w:sz="2" w:space="0" w:color="auto"/>
              <w:bottom w:val="single" w:sz="2" w:space="0" w:color="auto"/>
              <w:right w:val="single" w:sz="2" w:space="0" w:color="auto"/>
            </w:tcBorders>
          </w:tcPr>
          <w:p w14:paraId="0D1D4337" w14:textId="77777777" w:rsidR="009F4766" w:rsidRPr="00DE12A3" w:rsidRDefault="009F4766" w:rsidP="00C917D6">
            <w:pPr>
              <w:pStyle w:val="NormalLeft"/>
            </w:pPr>
            <w:r w:rsidRPr="00DE12A3">
              <w:t>31</w:t>
            </w:r>
          </w:p>
        </w:tc>
      </w:tr>
      <w:tr w:rsidR="00DE12A3" w:rsidRPr="00DE12A3" w14:paraId="41A0FF5E" w14:textId="77777777" w:rsidTr="009F4766">
        <w:tc>
          <w:tcPr>
            <w:tcW w:w="1182" w:type="dxa"/>
            <w:tcBorders>
              <w:top w:val="single" w:sz="2" w:space="0" w:color="auto"/>
              <w:left w:val="single" w:sz="2" w:space="0" w:color="auto"/>
              <w:bottom w:val="single" w:sz="2" w:space="0" w:color="auto"/>
              <w:right w:val="single" w:sz="2" w:space="0" w:color="auto"/>
            </w:tcBorders>
          </w:tcPr>
          <w:p w14:paraId="71D397F5" w14:textId="77777777" w:rsidR="009F4766" w:rsidRPr="00DE12A3" w:rsidRDefault="009F4766" w:rsidP="00C917D6">
            <w:pPr>
              <w:pStyle w:val="NormalLeft"/>
            </w:pPr>
            <w:r w:rsidRPr="00DE12A3">
              <w:t>948</w:t>
            </w:r>
          </w:p>
        </w:tc>
        <w:tc>
          <w:tcPr>
            <w:tcW w:w="2489" w:type="dxa"/>
            <w:tcBorders>
              <w:top w:val="single" w:sz="2" w:space="0" w:color="auto"/>
              <w:left w:val="single" w:sz="2" w:space="0" w:color="auto"/>
              <w:bottom w:val="single" w:sz="2" w:space="0" w:color="auto"/>
              <w:right w:val="single" w:sz="2" w:space="0" w:color="auto"/>
            </w:tcBorders>
          </w:tcPr>
          <w:p w14:paraId="5D797F19" w14:textId="77777777" w:rsidR="009F4766" w:rsidRPr="00DE12A3" w:rsidRDefault="009F4766" w:rsidP="00C917D6">
            <w:pPr>
              <w:pStyle w:val="NormalLeft"/>
            </w:pPr>
            <w:r w:rsidRPr="00DE12A3">
              <w:t>81</w:t>
            </w:r>
          </w:p>
        </w:tc>
        <w:tc>
          <w:tcPr>
            <w:tcW w:w="2551" w:type="dxa"/>
            <w:tcBorders>
              <w:top w:val="single" w:sz="2" w:space="0" w:color="auto"/>
              <w:left w:val="single" w:sz="2" w:space="0" w:color="auto"/>
              <w:bottom w:val="single" w:sz="2" w:space="0" w:color="auto"/>
              <w:right w:val="single" w:sz="2" w:space="0" w:color="auto"/>
            </w:tcBorders>
          </w:tcPr>
          <w:p w14:paraId="190DCDE8" w14:textId="77777777" w:rsidR="009F4766" w:rsidRPr="00DE12A3" w:rsidRDefault="009F4766" w:rsidP="00C917D6">
            <w:pPr>
              <w:pStyle w:val="NormalLeft"/>
            </w:pPr>
            <w:r w:rsidRPr="00DE12A3">
              <w:t>41</w:t>
            </w:r>
          </w:p>
        </w:tc>
      </w:tr>
      <w:tr w:rsidR="00DE12A3" w:rsidRPr="00DE12A3" w14:paraId="2B5AF809" w14:textId="77777777" w:rsidTr="009F4766">
        <w:tc>
          <w:tcPr>
            <w:tcW w:w="1182" w:type="dxa"/>
            <w:tcBorders>
              <w:top w:val="single" w:sz="2" w:space="0" w:color="auto"/>
              <w:left w:val="single" w:sz="2" w:space="0" w:color="auto"/>
              <w:bottom w:val="single" w:sz="2" w:space="0" w:color="auto"/>
              <w:right w:val="single" w:sz="2" w:space="0" w:color="auto"/>
            </w:tcBorders>
          </w:tcPr>
          <w:p w14:paraId="58719AEE" w14:textId="77777777" w:rsidR="009F4766" w:rsidRPr="00DE12A3" w:rsidRDefault="009F4766" w:rsidP="00C917D6">
            <w:pPr>
              <w:pStyle w:val="NormalLeft"/>
            </w:pPr>
            <w:r w:rsidRPr="00DE12A3">
              <w:t>949</w:t>
            </w:r>
          </w:p>
        </w:tc>
        <w:tc>
          <w:tcPr>
            <w:tcW w:w="2489" w:type="dxa"/>
            <w:tcBorders>
              <w:top w:val="single" w:sz="2" w:space="0" w:color="auto"/>
              <w:left w:val="single" w:sz="2" w:space="0" w:color="auto"/>
              <w:bottom w:val="single" w:sz="2" w:space="0" w:color="auto"/>
              <w:right w:val="single" w:sz="2" w:space="0" w:color="auto"/>
            </w:tcBorders>
          </w:tcPr>
          <w:p w14:paraId="195177E0" w14:textId="77777777" w:rsidR="009F4766" w:rsidRPr="00DE12A3" w:rsidRDefault="009F4766" w:rsidP="00C917D6">
            <w:pPr>
              <w:pStyle w:val="NormalLeft"/>
            </w:pPr>
            <w:r w:rsidRPr="00DE12A3">
              <w:t>81</w:t>
            </w:r>
          </w:p>
        </w:tc>
        <w:tc>
          <w:tcPr>
            <w:tcW w:w="2551" w:type="dxa"/>
            <w:tcBorders>
              <w:top w:val="single" w:sz="2" w:space="0" w:color="auto"/>
              <w:left w:val="single" w:sz="2" w:space="0" w:color="auto"/>
              <w:bottom w:val="single" w:sz="2" w:space="0" w:color="auto"/>
              <w:right w:val="single" w:sz="2" w:space="0" w:color="auto"/>
            </w:tcBorders>
          </w:tcPr>
          <w:p w14:paraId="657096ED" w14:textId="77777777" w:rsidR="009F4766" w:rsidRPr="00DE12A3" w:rsidRDefault="009F4766" w:rsidP="00C917D6">
            <w:pPr>
              <w:pStyle w:val="NormalLeft"/>
            </w:pPr>
            <w:r w:rsidRPr="00DE12A3">
              <w:t>41</w:t>
            </w:r>
          </w:p>
        </w:tc>
      </w:tr>
      <w:tr w:rsidR="00DE12A3" w:rsidRPr="00DE12A3" w14:paraId="3F9AE902" w14:textId="77777777" w:rsidTr="009F4766">
        <w:tc>
          <w:tcPr>
            <w:tcW w:w="1182" w:type="dxa"/>
            <w:tcBorders>
              <w:top w:val="single" w:sz="2" w:space="0" w:color="auto"/>
              <w:left w:val="single" w:sz="2" w:space="0" w:color="auto"/>
              <w:bottom w:val="single" w:sz="2" w:space="0" w:color="auto"/>
              <w:right w:val="single" w:sz="2" w:space="0" w:color="auto"/>
            </w:tcBorders>
          </w:tcPr>
          <w:p w14:paraId="5BEA475C" w14:textId="77777777" w:rsidR="009F4766" w:rsidRPr="00DE12A3" w:rsidRDefault="009F4766" w:rsidP="00C917D6">
            <w:pPr>
              <w:pStyle w:val="NormalLeft"/>
            </w:pPr>
            <w:r w:rsidRPr="00DE12A3">
              <w:t>950</w:t>
            </w:r>
          </w:p>
        </w:tc>
        <w:tc>
          <w:tcPr>
            <w:tcW w:w="2489" w:type="dxa"/>
            <w:tcBorders>
              <w:top w:val="single" w:sz="2" w:space="0" w:color="auto"/>
              <w:left w:val="single" w:sz="2" w:space="0" w:color="auto"/>
              <w:bottom w:val="single" w:sz="2" w:space="0" w:color="auto"/>
              <w:right w:val="single" w:sz="2" w:space="0" w:color="auto"/>
            </w:tcBorders>
          </w:tcPr>
          <w:p w14:paraId="45C0894F" w14:textId="77777777" w:rsidR="009F4766" w:rsidRPr="00DE12A3" w:rsidRDefault="009F4766" w:rsidP="00C917D6">
            <w:pPr>
              <w:pStyle w:val="NormalLeft"/>
            </w:pPr>
            <w:r w:rsidRPr="00DE12A3">
              <w:t>81</w:t>
            </w:r>
          </w:p>
        </w:tc>
        <w:tc>
          <w:tcPr>
            <w:tcW w:w="2551" w:type="dxa"/>
            <w:tcBorders>
              <w:top w:val="single" w:sz="2" w:space="0" w:color="auto"/>
              <w:left w:val="single" w:sz="2" w:space="0" w:color="auto"/>
              <w:bottom w:val="single" w:sz="2" w:space="0" w:color="auto"/>
              <w:right w:val="single" w:sz="2" w:space="0" w:color="auto"/>
            </w:tcBorders>
          </w:tcPr>
          <w:p w14:paraId="06608354" w14:textId="77777777" w:rsidR="009F4766" w:rsidRPr="00DE12A3" w:rsidRDefault="009F4766" w:rsidP="00C917D6">
            <w:pPr>
              <w:pStyle w:val="NormalLeft"/>
            </w:pPr>
            <w:r w:rsidRPr="00DE12A3">
              <w:t>37</w:t>
            </w:r>
          </w:p>
        </w:tc>
      </w:tr>
      <w:tr w:rsidR="00DE12A3" w:rsidRPr="00DE12A3" w14:paraId="1246348D" w14:textId="77777777" w:rsidTr="009F4766">
        <w:tc>
          <w:tcPr>
            <w:tcW w:w="1182" w:type="dxa"/>
            <w:tcBorders>
              <w:top w:val="single" w:sz="2" w:space="0" w:color="auto"/>
              <w:left w:val="single" w:sz="2" w:space="0" w:color="auto"/>
              <w:bottom w:val="single" w:sz="2" w:space="0" w:color="auto"/>
              <w:right w:val="single" w:sz="2" w:space="0" w:color="auto"/>
            </w:tcBorders>
          </w:tcPr>
          <w:p w14:paraId="34E9D41C" w14:textId="77777777" w:rsidR="009F4766" w:rsidRPr="00DE12A3" w:rsidRDefault="009F4766" w:rsidP="00C917D6">
            <w:pPr>
              <w:pStyle w:val="NormalLeft"/>
            </w:pPr>
            <w:r w:rsidRPr="00DE12A3">
              <w:t>951</w:t>
            </w:r>
          </w:p>
        </w:tc>
        <w:tc>
          <w:tcPr>
            <w:tcW w:w="2489" w:type="dxa"/>
            <w:tcBorders>
              <w:top w:val="single" w:sz="2" w:space="0" w:color="auto"/>
              <w:left w:val="single" w:sz="2" w:space="0" w:color="auto"/>
              <w:bottom w:val="single" w:sz="2" w:space="0" w:color="auto"/>
              <w:right w:val="single" w:sz="2" w:space="0" w:color="auto"/>
            </w:tcBorders>
          </w:tcPr>
          <w:p w14:paraId="097AFC9C" w14:textId="77777777" w:rsidR="009F4766" w:rsidRPr="00DE12A3" w:rsidRDefault="009F4766" w:rsidP="00C917D6">
            <w:pPr>
              <w:pStyle w:val="NormalLeft"/>
            </w:pPr>
            <w:r w:rsidRPr="00DE12A3">
              <w:t>81</w:t>
            </w:r>
          </w:p>
        </w:tc>
        <w:tc>
          <w:tcPr>
            <w:tcW w:w="2551" w:type="dxa"/>
            <w:tcBorders>
              <w:top w:val="single" w:sz="2" w:space="0" w:color="auto"/>
              <w:left w:val="single" w:sz="2" w:space="0" w:color="auto"/>
              <w:bottom w:val="single" w:sz="2" w:space="0" w:color="auto"/>
              <w:right w:val="single" w:sz="2" w:space="0" w:color="auto"/>
            </w:tcBorders>
          </w:tcPr>
          <w:p w14:paraId="4E399642" w14:textId="77777777" w:rsidR="009F4766" w:rsidRPr="00DE12A3" w:rsidRDefault="009F4766" w:rsidP="00C917D6">
            <w:pPr>
              <w:pStyle w:val="NormalLeft"/>
            </w:pPr>
            <w:r w:rsidRPr="00DE12A3">
              <w:t>43</w:t>
            </w:r>
          </w:p>
        </w:tc>
      </w:tr>
      <w:tr w:rsidR="00DE12A3" w:rsidRPr="00DE12A3" w14:paraId="456AA09C" w14:textId="77777777" w:rsidTr="009F4766">
        <w:tc>
          <w:tcPr>
            <w:tcW w:w="1182" w:type="dxa"/>
            <w:tcBorders>
              <w:top w:val="single" w:sz="2" w:space="0" w:color="auto"/>
              <w:left w:val="single" w:sz="2" w:space="0" w:color="auto"/>
              <w:bottom w:val="single" w:sz="2" w:space="0" w:color="auto"/>
              <w:right w:val="single" w:sz="2" w:space="0" w:color="auto"/>
            </w:tcBorders>
          </w:tcPr>
          <w:p w14:paraId="2A5ABF25" w14:textId="77777777" w:rsidR="009F4766" w:rsidRPr="00DE12A3" w:rsidRDefault="009F4766" w:rsidP="00C917D6">
            <w:pPr>
              <w:pStyle w:val="NormalLeft"/>
            </w:pPr>
            <w:r w:rsidRPr="00DE12A3">
              <w:t>952</w:t>
            </w:r>
          </w:p>
        </w:tc>
        <w:tc>
          <w:tcPr>
            <w:tcW w:w="2489" w:type="dxa"/>
            <w:tcBorders>
              <w:top w:val="single" w:sz="2" w:space="0" w:color="auto"/>
              <w:left w:val="single" w:sz="2" w:space="0" w:color="auto"/>
              <w:bottom w:val="single" w:sz="2" w:space="0" w:color="auto"/>
              <w:right w:val="single" w:sz="2" w:space="0" w:color="auto"/>
            </w:tcBorders>
          </w:tcPr>
          <w:p w14:paraId="7663B193" w14:textId="77777777" w:rsidR="009F4766" w:rsidRPr="00DE12A3" w:rsidRDefault="009F4766" w:rsidP="00C917D6">
            <w:pPr>
              <w:pStyle w:val="NormalLeft"/>
            </w:pPr>
            <w:r w:rsidRPr="00DE12A3">
              <w:t>81</w:t>
            </w:r>
          </w:p>
        </w:tc>
        <w:tc>
          <w:tcPr>
            <w:tcW w:w="2551" w:type="dxa"/>
            <w:tcBorders>
              <w:top w:val="single" w:sz="2" w:space="0" w:color="auto"/>
              <w:left w:val="single" w:sz="2" w:space="0" w:color="auto"/>
              <w:bottom w:val="single" w:sz="2" w:space="0" w:color="auto"/>
              <w:right w:val="single" w:sz="2" w:space="0" w:color="auto"/>
            </w:tcBorders>
          </w:tcPr>
          <w:p w14:paraId="69A04B03" w14:textId="77777777" w:rsidR="009F4766" w:rsidRPr="00DE12A3" w:rsidRDefault="009F4766" w:rsidP="00C917D6">
            <w:pPr>
              <w:pStyle w:val="NormalLeft"/>
            </w:pPr>
            <w:r w:rsidRPr="00DE12A3">
              <w:t>34</w:t>
            </w:r>
          </w:p>
        </w:tc>
      </w:tr>
      <w:tr w:rsidR="00DE12A3" w:rsidRPr="00DE12A3" w14:paraId="14C57FD9" w14:textId="77777777" w:rsidTr="009F4766">
        <w:tc>
          <w:tcPr>
            <w:tcW w:w="1182" w:type="dxa"/>
            <w:tcBorders>
              <w:top w:val="single" w:sz="2" w:space="0" w:color="auto"/>
              <w:left w:val="single" w:sz="2" w:space="0" w:color="auto"/>
              <w:bottom w:val="single" w:sz="2" w:space="0" w:color="auto"/>
              <w:right w:val="single" w:sz="2" w:space="0" w:color="auto"/>
            </w:tcBorders>
          </w:tcPr>
          <w:p w14:paraId="26A05771" w14:textId="77777777" w:rsidR="009F4766" w:rsidRPr="00DE12A3" w:rsidRDefault="009F4766" w:rsidP="00C917D6">
            <w:pPr>
              <w:pStyle w:val="NormalLeft"/>
            </w:pPr>
            <w:r w:rsidRPr="00DE12A3">
              <w:t>953</w:t>
            </w:r>
          </w:p>
        </w:tc>
        <w:tc>
          <w:tcPr>
            <w:tcW w:w="2489" w:type="dxa"/>
            <w:tcBorders>
              <w:top w:val="single" w:sz="2" w:space="0" w:color="auto"/>
              <w:left w:val="single" w:sz="2" w:space="0" w:color="auto"/>
              <w:bottom w:val="single" w:sz="2" w:space="0" w:color="auto"/>
              <w:right w:val="single" w:sz="2" w:space="0" w:color="auto"/>
            </w:tcBorders>
          </w:tcPr>
          <w:p w14:paraId="70474A90" w14:textId="77777777" w:rsidR="009F4766" w:rsidRPr="00DE12A3" w:rsidRDefault="009F4766" w:rsidP="00C917D6">
            <w:pPr>
              <w:pStyle w:val="NormalLeft"/>
            </w:pPr>
            <w:r w:rsidRPr="00DE12A3">
              <w:t>81</w:t>
            </w:r>
          </w:p>
        </w:tc>
        <w:tc>
          <w:tcPr>
            <w:tcW w:w="2551" w:type="dxa"/>
            <w:tcBorders>
              <w:top w:val="single" w:sz="2" w:space="0" w:color="auto"/>
              <w:left w:val="single" w:sz="2" w:space="0" w:color="auto"/>
              <w:bottom w:val="single" w:sz="2" w:space="0" w:color="auto"/>
              <w:right w:val="single" w:sz="2" w:space="0" w:color="auto"/>
            </w:tcBorders>
          </w:tcPr>
          <w:p w14:paraId="7A045F35" w14:textId="77777777" w:rsidR="009F4766" w:rsidRPr="00DE12A3" w:rsidRDefault="009F4766" w:rsidP="00C917D6">
            <w:pPr>
              <w:pStyle w:val="NormalLeft"/>
            </w:pPr>
            <w:r w:rsidRPr="00DE12A3">
              <w:t>31</w:t>
            </w:r>
          </w:p>
        </w:tc>
      </w:tr>
      <w:tr w:rsidR="00DE12A3" w:rsidRPr="00DE12A3" w14:paraId="3B556540" w14:textId="77777777" w:rsidTr="009F4766">
        <w:tc>
          <w:tcPr>
            <w:tcW w:w="1182" w:type="dxa"/>
            <w:tcBorders>
              <w:top w:val="single" w:sz="2" w:space="0" w:color="auto"/>
              <w:left w:val="single" w:sz="2" w:space="0" w:color="auto"/>
              <w:bottom w:val="single" w:sz="2" w:space="0" w:color="auto"/>
              <w:right w:val="single" w:sz="2" w:space="0" w:color="auto"/>
            </w:tcBorders>
          </w:tcPr>
          <w:p w14:paraId="77C66A97" w14:textId="77777777" w:rsidR="009F4766" w:rsidRPr="00DE12A3" w:rsidRDefault="009F4766" w:rsidP="00C917D6">
            <w:pPr>
              <w:pStyle w:val="NormalLeft"/>
            </w:pPr>
            <w:r w:rsidRPr="00DE12A3">
              <w:t>954</w:t>
            </w:r>
          </w:p>
        </w:tc>
        <w:tc>
          <w:tcPr>
            <w:tcW w:w="2489" w:type="dxa"/>
            <w:tcBorders>
              <w:top w:val="single" w:sz="2" w:space="0" w:color="auto"/>
              <w:left w:val="single" w:sz="2" w:space="0" w:color="auto"/>
              <w:bottom w:val="single" w:sz="2" w:space="0" w:color="auto"/>
              <w:right w:val="single" w:sz="2" w:space="0" w:color="auto"/>
            </w:tcBorders>
          </w:tcPr>
          <w:p w14:paraId="11F41CFE" w14:textId="77777777" w:rsidR="009F4766" w:rsidRPr="00DE12A3" w:rsidRDefault="009F4766" w:rsidP="00C917D6">
            <w:pPr>
              <w:pStyle w:val="NormalLeft"/>
            </w:pPr>
            <w:r w:rsidRPr="00DE12A3">
              <w:t>81</w:t>
            </w:r>
          </w:p>
        </w:tc>
        <w:tc>
          <w:tcPr>
            <w:tcW w:w="2551" w:type="dxa"/>
            <w:tcBorders>
              <w:top w:val="single" w:sz="2" w:space="0" w:color="auto"/>
              <w:left w:val="single" w:sz="2" w:space="0" w:color="auto"/>
              <w:bottom w:val="single" w:sz="2" w:space="0" w:color="auto"/>
              <w:right w:val="single" w:sz="2" w:space="0" w:color="auto"/>
            </w:tcBorders>
          </w:tcPr>
          <w:p w14:paraId="5D08F2BF" w14:textId="77777777" w:rsidR="009F4766" w:rsidRPr="00DE12A3" w:rsidRDefault="009F4766" w:rsidP="00C917D6">
            <w:pPr>
              <w:pStyle w:val="NormalLeft"/>
            </w:pPr>
            <w:r w:rsidRPr="00DE12A3">
              <w:t>26</w:t>
            </w:r>
          </w:p>
        </w:tc>
      </w:tr>
      <w:tr w:rsidR="00DE12A3" w:rsidRPr="00DE12A3" w14:paraId="132D5E04" w14:textId="77777777" w:rsidTr="009F4766">
        <w:tc>
          <w:tcPr>
            <w:tcW w:w="1182" w:type="dxa"/>
            <w:tcBorders>
              <w:top w:val="single" w:sz="2" w:space="0" w:color="auto"/>
              <w:left w:val="single" w:sz="2" w:space="0" w:color="auto"/>
              <w:bottom w:val="single" w:sz="2" w:space="0" w:color="auto"/>
              <w:right w:val="single" w:sz="2" w:space="0" w:color="auto"/>
            </w:tcBorders>
          </w:tcPr>
          <w:p w14:paraId="561A1640" w14:textId="77777777" w:rsidR="009F4766" w:rsidRPr="00DE12A3" w:rsidRDefault="009F4766" w:rsidP="00C917D6">
            <w:pPr>
              <w:pStyle w:val="NormalLeft"/>
            </w:pPr>
            <w:r w:rsidRPr="00DE12A3">
              <w:t>955</w:t>
            </w:r>
          </w:p>
        </w:tc>
        <w:tc>
          <w:tcPr>
            <w:tcW w:w="2489" w:type="dxa"/>
            <w:tcBorders>
              <w:top w:val="single" w:sz="2" w:space="0" w:color="auto"/>
              <w:left w:val="single" w:sz="2" w:space="0" w:color="auto"/>
              <w:bottom w:val="single" w:sz="2" w:space="0" w:color="auto"/>
              <w:right w:val="single" w:sz="2" w:space="0" w:color="auto"/>
            </w:tcBorders>
          </w:tcPr>
          <w:p w14:paraId="41D47276" w14:textId="77777777" w:rsidR="009F4766" w:rsidRPr="00DE12A3" w:rsidRDefault="009F4766" w:rsidP="00C917D6">
            <w:pPr>
              <w:pStyle w:val="NormalLeft"/>
            </w:pPr>
            <w:r w:rsidRPr="00DE12A3">
              <w:t>81</w:t>
            </w:r>
          </w:p>
        </w:tc>
        <w:tc>
          <w:tcPr>
            <w:tcW w:w="2551" w:type="dxa"/>
            <w:tcBorders>
              <w:top w:val="single" w:sz="2" w:space="0" w:color="auto"/>
              <w:left w:val="single" w:sz="2" w:space="0" w:color="auto"/>
              <w:bottom w:val="single" w:sz="2" w:space="0" w:color="auto"/>
              <w:right w:val="single" w:sz="2" w:space="0" w:color="auto"/>
            </w:tcBorders>
          </w:tcPr>
          <w:p w14:paraId="0E37F136" w14:textId="77777777" w:rsidR="009F4766" w:rsidRPr="00DE12A3" w:rsidRDefault="009F4766" w:rsidP="00C917D6">
            <w:pPr>
              <w:pStyle w:val="NormalLeft"/>
            </w:pPr>
            <w:r w:rsidRPr="00DE12A3">
              <w:t>23</w:t>
            </w:r>
          </w:p>
        </w:tc>
      </w:tr>
      <w:tr w:rsidR="00DE12A3" w:rsidRPr="00DE12A3" w14:paraId="616D5871" w14:textId="77777777" w:rsidTr="009F4766">
        <w:tc>
          <w:tcPr>
            <w:tcW w:w="1182" w:type="dxa"/>
            <w:tcBorders>
              <w:top w:val="single" w:sz="2" w:space="0" w:color="auto"/>
              <w:left w:val="single" w:sz="2" w:space="0" w:color="auto"/>
              <w:bottom w:val="single" w:sz="2" w:space="0" w:color="auto"/>
              <w:right w:val="single" w:sz="2" w:space="0" w:color="auto"/>
            </w:tcBorders>
          </w:tcPr>
          <w:p w14:paraId="4E7C782C" w14:textId="77777777" w:rsidR="009F4766" w:rsidRPr="00DE12A3" w:rsidRDefault="009F4766" w:rsidP="00C917D6">
            <w:pPr>
              <w:pStyle w:val="NormalLeft"/>
            </w:pPr>
            <w:r w:rsidRPr="00DE12A3">
              <w:lastRenderedPageBreak/>
              <w:t>956</w:t>
            </w:r>
          </w:p>
        </w:tc>
        <w:tc>
          <w:tcPr>
            <w:tcW w:w="2489" w:type="dxa"/>
            <w:tcBorders>
              <w:top w:val="single" w:sz="2" w:space="0" w:color="auto"/>
              <w:left w:val="single" w:sz="2" w:space="0" w:color="auto"/>
              <w:bottom w:val="single" w:sz="2" w:space="0" w:color="auto"/>
              <w:right w:val="single" w:sz="2" w:space="0" w:color="auto"/>
            </w:tcBorders>
          </w:tcPr>
          <w:p w14:paraId="181B1D15" w14:textId="77777777" w:rsidR="009F4766" w:rsidRPr="00DE12A3" w:rsidRDefault="009F4766" w:rsidP="00C917D6">
            <w:pPr>
              <w:pStyle w:val="NormalLeft"/>
            </w:pPr>
            <w:r w:rsidRPr="00DE12A3">
              <w:t>81</w:t>
            </w:r>
          </w:p>
        </w:tc>
        <w:tc>
          <w:tcPr>
            <w:tcW w:w="2551" w:type="dxa"/>
            <w:tcBorders>
              <w:top w:val="single" w:sz="2" w:space="0" w:color="auto"/>
              <w:left w:val="single" w:sz="2" w:space="0" w:color="auto"/>
              <w:bottom w:val="single" w:sz="2" w:space="0" w:color="auto"/>
              <w:right w:val="single" w:sz="2" w:space="0" w:color="auto"/>
            </w:tcBorders>
          </w:tcPr>
          <w:p w14:paraId="63377416" w14:textId="77777777" w:rsidR="009F4766" w:rsidRPr="00DE12A3" w:rsidRDefault="009F4766" w:rsidP="00C917D6">
            <w:pPr>
              <w:pStyle w:val="NormalLeft"/>
            </w:pPr>
            <w:r w:rsidRPr="00DE12A3">
              <w:t>27</w:t>
            </w:r>
          </w:p>
        </w:tc>
      </w:tr>
      <w:tr w:rsidR="00DE12A3" w:rsidRPr="00DE12A3" w14:paraId="4CE6558C" w14:textId="77777777" w:rsidTr="009F4766">
        <w:tc>
          <w:tcPr>
            <w:tcW w:w="1182" w:type="dxa"/>
            <w:tcBorders>
              <w:top w:val="single" w:sz="2" w:space="0" w:color="auto"/>
              <w:left w:val="single" w:sz="2" w:space="0" w:color="auto"/>
              <w:bottom w:val="single" w:sz="2" w:space="0" w:color="auto"/>
              <w:right w:val="single" w:sz="2" w:space="0" w:color="auto"/>
            </w:tcBorders>
          </w:tcPr>
          <w:p w14:paraId="3AE6C8D5" w14:textId="77777777" w:rsidR="009F4766" w:rsidRPr="00DE12A3" w:rsidRDefault="009F4766" w:rsidP="00C917D6">
            <w:pPr>
              <w:pStyle w:val="NormalLeft"/>
            </w:pPr>
            <w:r w:rsidRPr="00DE12A3">
              <w:t>957</w:t>
            </w:r>
          </w:p>
        </w:tc>
        <w:tc>
          <w:tcPr>
            <w:tcW w:w="2489" w:type="dxa"/>
            <w:tcBorders>
              <w:top w:val="single" w:sz="2" w:space="0" w:color="auto"/>
              <w:left w:val="single" w:sz="2" w:space="0" w:color="auto"/>
              <w:bottom w:val="single" w:sz="2" w:space="0" w:color="auto"/>
              <w:right w:val="single" w:sz="2" w:space="0" w:color="auto"/>
            </w:tcBorders>
          </w:tcPr>
          <w:p w14:paraId="42B36ECB" w14:textId="77777777" w:rsidR="009F4766" w:rsidRPr="00DE12A3" w:rsidRDefault="009F4766" w:rsidP="00C917D6">
            <w:pPr>
              <w:pStyle w:val="NormalLeft"/>
            </w:pPr>
            <w:r w:rsidRPr="00DE12A3">
              <w:t>81</w:t>
            </w:r>
          </w:p>
        </w:tc>
        <w:tc>
          <w:tcPr>
            <w:tcW w:w="2551" w:type="dxa"/>
            <w:tcBorders>
              <w:top w:val="single" w:sz="2" w:space="0" w:color="auto"/>
              <w:left w:val="single" w:sz="2" w:space="0" w:color="auto"/>
              <w:bottom w:val="single" w:sz="2" w:space="0" w:color="auto"/>
              <w:right w:val="single" w:sz="2" w:space="0" w:color="auto"/>
            </w:tcBorders>
          </w:tcPr>
          <w:p w14:paraId="78AE2C4C" w14:textId="77777777" w:rsidR="009F4766" w:rsidRPr="00DE12A3" w:rsidRDefault="009F4766" w:rsidP="00C917D6">
            <w:pPr>
              <w:pStyle w:val="NormalLeft"/>
            </w:pPr>
            <w:r w:rsidRPr="00DE12A3">
              <w:t>38</w:t>
            </w:r>
          </w:p>
        </w:tc>
      </w:tr>
      <w:tr w:rsidR="00DE12A3" w:rsidRPr="00DE12A3" w14:paraId="757A965C" w14:textId="77777777" w:rsidTr="009F4766">
        <w:tc>
          <w:tcPr>
            <w:tcW w:w="1182" w:type="dxa"/>
            <w:tcBorders>
              <w:top w:val="single" w:sz="2" w:space="0" w:color="auto"/>
              <w:left w:val="single" w:sz="2" w:space="0" w:color="auto"/>
              <w:bottom w:val="single" w:sz="2" w:space="0" w:color="auto"/>
              <w:right w:val="single" w:sz="2" w:space="0" w:color="auto"/>
            </w:tcBorders>
          </w:tcPr>
          <w:p w14:paraId="3B6CB21A" w14:textId="77777777" w:rsidR="009F4766" w:rsidRPr="00DE12A3" w:rsidRDefault="009F4766" w:rsidP="00C917D6">
            <w:pPr>
              <w:pStyle w:val="NormalLeft"/>
            </w:pPr>
            <w:r w:rsidRPr="00DE12A3">
              <w:t>958</w:t>
            </w:r>
          </w:p>
        </w:tc>
        <w:tc>
          <w:tcPr>
            <w:tcW w:w="2489" w:type="dxa"/>
            <w:tcBorders>
              <w:top w:val="single" w:sz="2" w:space="0" w:color="auto"/>
              <w:left w:val="single" w:sz="2" w:space="0" w:color="auto"/>
              <w:bottom w:val="single" w:sz="2" w:space="0" w:color="auto"/>
              <w:right w:val="single" w:sz="2" w:space="0" w:color="auto"/>
            </w:tcBorders>
          </w:tcPr>
          <w:p w14:paraId="53F96BE8" w14:textId="77777777" w:rsidR="009F4766" w:rsidRPr="00DE12A3" w:rsidRDefault="009F4766" w:rsidP="00C917D6">
            <w:pPr>
              <w:pStyle w:val="NormalLeft"/>
            </w:pPr>
            <w:r w:rsidRPr="00DE12A3">
              <w:t>81</w:t>
            </w:r>
          </w:p>
        </w:tc>
        <w:tc>
          <w:tcPr>
            <w:tcW w:w="2551" w:type="dxa"/>
            <w:tcBorders>
              <w:top w:val="single" w:sz="2" w:space="0" w:color="auto"/>
              <w:left w:val="single" w:sz="2" w:space="0" w:color="auto"/>
              <w:bottom w:val="single" w:sz="2" w:space="0" w:color="auto"/>
              <w:right w:val="single" w:sz="2" w:space="0" w:color="auto"/>
            </w:tcBorders>
          </w:tcPr>
          <w:p w14:paraId="22AD82AB" w14:textId="77777777" w:rsidR="009F4766" w:rsidRPr="00DE12A3" w:rsidRDefault="009F4766" w:rsidP="00C917D6">
            <w:pPr>
              <w:pStyle w:val="NormalLeft"/>
            </w:pPr>
            <w:r w:rsidRPr="00DE12A3">
              <w:t>40</w:t>
            </w:r>
          </w:p>
        </w:tc>
      </w:tr>
      <w:tr w:rsidR="00DE12A3" w:rsidRPr="00DE12A3" w14:paraId="25C62F8B" w14:textId="77777777" w:rsidTr="009F4766">
        <w:tc>
          <w:tcPr>
            <w:tcW w:w="1182" w:type="dxa"/>
            <w:tcBorders>
              <w:top w:val="single" w:sz="2" w:space="0" w:color="auto"/>
              <w:left w:val="single" w:sz="2" w:space="0" w:color="auto"/>
              <w:bottom w:val="single" w:sz="2" w:space="0" w:color="auto"/>
              <w:right w:val="single" w:sz="2" w:space="0" w:color="auto"/>
            </w:tcBorders>
          </w:tcPr>
          <w:p w14:paraId="7AE7491F" w14:textId="77777777" w:rsidR="009F4766" w:rsidRPr="00DE12A3" w:rsidRDefault="009F4766" w:rsidP="00C917D6">
            <w:pPr>
              <w:pStyle w:val="NormalLeft"/>
            </w:pPr>
            <w:r w:rsidRPr="00DE12A3">
              <w:t>959</w:t>
            </w:r>
          </w:p>
        </w:tc>
        <w:tc>
          <w:tcPr>
            <w:tcW w:w="2489" w:type="dxa"/>
            <w:tcBorders>
              <w:top w:val="single" w:sz="2" w:space="0" w:color="auto"/>
              <w:left w:val="single" w:sz="2" w:space="0" w:color="auto"/>
              <w:bottom w:val="single" w:sz="2" w:space="0" w:color="auto"/>
              <w:right w:val="single" w:sz="2" w:space="0" w:color="auto"/>
            </w:tcBorders>
          </w:tcPr>
          <w:p w14:paraId="15ED144A" w14:textId="77777777" w:rsidR="009F4766" w:rsidRPr="00DE12A3" w:rsidRDefault="009F4766" w:rsidP="00C917D6">
            <w:pPr>
              <w:pStyle w:val="NormalLeft"/>
            </w:pPr>
            <w:r w:rsidRPr="00DE12A3">
              <w:t>81</w:t>
            </w:r>
          </w:p>
        </w:tc>
        <w:tc>
          <w:tcPr>
            <w:tcW w:w="2551" w:type="dxa"/>
            <w:tcBorders>
              <w:top w:val="single" w:sz="2" w:space="0" w:color="auto"/>
              <w:left w:val="single" w:sz="2" w:space="0" w:color="auto"/>
              <w:bottom w:val="single" w:sz="2" w:space="0" w:color="auto"/>
              <w:right w:val="single" w:sz="2" w:space="0" w:color="auto"/>
            </w:tcBorders>
          </w:tcPr>
          <w:p w14:paraId="43300F42" w14:textId="77777777" w:rsidR="009F4766" w:rsidRPr="00DE12A3" w:rsidRDefault="009F4766" w:rsidP="00C917D6">
            <w:pPr>
              <w:pStyle w:val="NormalLeft"/>
            </w:pPr>
            <w:r w:rsidRPr="00DE12A3">
              <w:t>39</w:t>
            </w:r>
          </w:p>
        </w:tc>
      </w:tr>
      <w:tr w:rsidR="00DE12A3" w:rsidRPr="00DE12A3" w14:paraId="5EB7F321" w14:textId="77777777" w:rsidTr="009F4766">
        <w:tc>
          <w:tcPr>
            <w:tcW w:w="1182" w:type="dxa"/>
            <w:tcBorders>
              <w:top w:val="single" w:sz="2" w:space="0" w:color="auto"/>
              <w:left w:val="single" w:sz="2" w:space="0" w:color="auto"/>
              <w:bottom w:val="single" w:sz="2" w:space="0" w:color="auto"/>
              <w:right w:val="single" w:sz="2" w:space="0" w:color="auto"/>
            </w:tcBorders>
          </w:tcPr>
          <w:p w14:paraId="3F1AB5CC" w14:textId="77777777" w:rsidR="009F4766" w:rsidRPr="00DE12A3" w:rsidRDefault="009F4766" w:rsidP="00C917D6">
            <w:pPr>
              <w:pStyle w:val="NormalLeft"/>
            </w:pPr>
            <w:r w:rsidRPr="00DE12A3">
              <w:t>960</w:t>
            </w:r>
          </w:p>
        </w:tc>
        <w:tc>
          <w:tcPr>
            <w:tcW w:w="2489" w:type="dxa"/>
            <w:tcBorders>
              <w:top w:val="single" w:sz="2" w:space="0" w:color="auto"/>
              <w:left w:val="single" w:sz="2" w:space="0" w:color="auto"/>
              <w:bottom w:val="single" w:sz="2" w:space="0" w:color="auto"/>
              <w:right w:val="single" w:sz="2" w:space="0" w:color="auto"/>
            </w:tcBorders>
          </w:tcPr>
          <w:p w14:paraId="7EBD25D4" w14:textId="77777777" w:rsidR="009F4766" w:rsidRPr="00DE12A3" w:rsidRDefault="009F4766" w:rsidP="00C917D6">
            <w:pPr>
              <w:pStyle w:val="NormalLeft"/>
            </w:pPr>
            <w:r w:rsidRPr="00DE12A3">
              <w:t>81</w:t>
            </w:r>
          </w:p>
        </w:tc>
        <w:tc>
          <w:tcPr>
            <w:tcW w:w="2551" w:type="dxa"/>
            <w:tcBorders>
              <w:top w:val="single" w:sz="2" w:space="0" w:color="auto"/>
              <w:left w:val="single" w:sz="2" w:space="0" w:color="auto"/>
              <w:bottom w:val="single" w:sz="2" w:space="0" w:color="auto"/>
              <w:right w:val="single" w:sz="2" w:space="0" w:color="auto"/>
            </w:tcBorders>
          </w:tcPr>
          <w:p w14:paraId="3961243C" w14:textId="77777777" w:rsidR="009F4766" w:rsidRPr="00DE12A3" w:rsidRDefault="009F4766" w:rsidP="00C917D6">
            <w:pPr>
              <w:pStyle w:val="NormalLeft"/>
            </w:pPr>
            <w:r w:rsidRPr="00DE12A3">
              <w:t>27</w:t>
            </w:r>
          </w:p>
        </w:tc>
      </w:tr>
      <w:tr w:rsidR="00DE12A3" w:rsidRPr="00DE12A3" w14:paraId="18FE64AD" w14:textId="77777777" w:rsidTr="009F4766">
        <w:tc>
          <w:tcPr>
            <w:tcW w:w="1182" w:type="dxa"/>
            <w:tcBorders>
              <w:top w:val="single" w:sz="2" w:space="0" w:color="auto"/>
              <w:left w:val="single" w:sz="2" w:space="0" w:color="auto"/>
              <w:bottom w:val="single" w:sz="2" w:space="0" w:color="auto"/>
              <w:right w:val="single" w:sz="2" w:space="0" w:color="auto"/>
            </w:tcBorders>
          </w:tcPr>
          <w:p w14:paraId="51F710F4" w14:textId="77777777" w:rsidR="009F4766" w:rsidRPr="00DE12A3" w:rsidRDefault="009F4766" w:rsidP="00C917D6">
            <w:pPr>
              <w:pStyle w:val="NormalLeft"/>
            </w:pPr>
            <w:r w:rsidRPr="00DE12A3">
              <w:t>961</w:t>
            </w:r>
          </w:p>
        </w:tc>
        <w:tc>
          <w:tcPr>
            <w:tcW w:w="2489" w:type="dxa"/>
            <w:tcBorders>
              <w:top w:val="single" w:sz="2" w:space="0" w:color="auto"/>
              <w:left w:val="single" w:sz="2" w:space="0" w:color="auto"/>
              <w:bottom w:val="single" w:sz="2" w:space="0" w:color="auto"/>
              <w:right w:val="single" w:sz="2" w:space="0" w:color="auto"/>
            </w:tcBorders>
          </w:tcPr>
          <w:p w14:paraId="0E5243ED" w14:textId="77777777" w:rsidR="009F4766" w:rsidRPr="00DE12A3" w:rsidRDefault="009F4766" w:rsidP="00C917D6">
            <w:pPr>
              <w:pStyle w:val="NormalLeft"/>
            </w:pPr>
            <w:r w:rsidRPr="00DE12A3">
              <w:t>81</w:t>
            </w:r>
          </w:p>
        </w:tc>
        <w:tc>
          <w:tcPr>
            <w:tcW w:w="2551" w:type="dxa"/>
            <w:tcBorders>
              <w:top w:val="single" w:sz="2" w:space="0" w:color="auto"/>
              <w:left w:val="single" w:sz="2" w:space="0" w:color="auto"/>
              <w:bottom w:val="single" w:sz="2" w:space="0" w:color="auto"/>
              <w:right w:val="single" w:sz="2" w:space="0" w:color="auto"/>
            </w:tcBorders>
          </w:tcPr>
          <w:p w14:paraId="05048210" w14:textId="77777777" w:rsidR="009F4766" w:rsidRPr="00DE12A3" w:rsidRDefault="009F4766" w:rsidP="00C917D6">
            <w:pPr>
              <w:pStyle w:val="NormalLeft"/>
            </w:pPr>
            <w:r w:rsidRPr="00DE12A3">
              <w:t>33</w:t>
            </w:r>
          </w:p>
        </w:tc>
      </w:tr>
      <w:tr w:rsidR="00DE12A3" w:rsidRPr="00DE12A3" w14:paraId="5B7F2197" w14:textId="77777777" w:rsidTr="009F4766">
        <w:tc>
          <w:tcPr>
            <w:tcW w:w="1182" w:type="dxa"/>
            <w:tcBorders>
              <w:top w:val="single" w:sz="2" w:space="0" w:color="auto"/>
              <w:left w:val="single" w:sz="2" w:space="0" w:color="auto"/>
              <w:bottom w:val="single" w:sz="2" w:space="0" w:color="auto"/>
              <w:right w:val="single" w:sz="2" w:space="0" w:color="auto"/>
            </w:tcBorders>
          </w:tcPr>
          <w:p w14:paraId="7268F18C" w14:textId="77777777" w:rsidR="009F4766" w:rsidRPr="00DE12A3" w:rsidRDefault="009F4766" w:rsidP="00C917D6">
            <w:pPr>
              <w:pStyle w:val="NormalLeft"/>
            </w:pPr>
            <w:r w:rsidRPr="00DE12A3">
              <w:t>962</w:t>
            </w:r>
          </w:p>
        </w:tc>
        <w:tc>
          <w:tcPr>
            <w:tcW w:w="2489" w:type="dxa"/>
            <w:tcBorders>
              <w:top w:val="single" w:sz="2" w:space="0" w:color="auto"/>
              <w:left w:val="single" w:sz="2" w:space="0" w:color="auto"/>
              <w:bottom w:val="single" w:sz="2" w:space="0" w:color="auto"/>
              <w:right w:val="single" w:sz="2" w:space="0" w:color="auto"/>
            </w:tcBorders>
          </w:tcPr>
          <w:p w14:paraId="3F078A9C" w14:textId="77777777" w:rsidR="009F4766" w:rsidRPr="00DE12A3" w:rsidRDefault="009F4766" w:rsidP="00C917D6">
            <w:pPr>
              <w:pStyle w:val="NormalLeft"/>
            </w:pPr>
            <w:r w:rsidRPr="00DE12A3">
              <w:t>80</w:t>
            </w:r>
          </w:p>
        </w:tc>
        <w:tc>
          <w:tcPr>
            <w:tcW w:w="2551" w:type="dxa"/>
            <w:tcBorders>
              <w:top w:val="single" w:sz="2" w:space="0" w:color="auto"/>
              <w:left w:val="single" w:sz="2" w:space="0" w:color="auto"/>
              <w:bottom w:val="single" w:sz="2" w:space="0" w:color="auto"/>
              <w:right w:val="single" w:sz="2" w:space="0" w:color="auto"/>
            </w:tcBorders>
          </w:tcPr>
          <w:p w14:paraId="1F5D5B2A" w14:textId="77777777" w:rsidR="009F4766" w:rsidRPr="00DE12A3" w:rsidRDefault="009F4766" w:rsidP="00C917D6">
            <w:pPr>
              <w:pStyle w:val="NormalLeft"/>
            </w:pPr>
            <w:r w:rsidRPr="00DE12A3">
              <w:t>28</w:t>
            </w:r>
          </w:p>
        </w:tc>
      </w:tr>
      <w:tr w:rsidR="00DE12A3" w:rsidRPr="00DE12A3" w14:paraId="039419F8" w14:textId="77777777" w:rsidTr="009F4766">
        <w:tc>
          <w:tcPr>
            <w:tcW w:w="1182" w:type="dxa"/>
            <w:tcBorders>
              <w:top w:val="single" w:sz="2" w:space="0" w:color="auto"/>
              <w:left w:val="single" w:sz="2" w:space="0" w:color="auto"/>
              <w:bottom w:val="single" w:sz="2" w:space="0" w:color="auto"/>
              <w:right w:val="single" w:sz="2" w:space="0" w:color="auto"/>
            </w:tcBorders>
          </w:tcPr>
          <w:p w14:paraId="373874B3" w14:textId="77777777" w:rsidR="009F4766" w:rsidRPr="00DE12A3" w:rsidRDefault="009F4766" w:rsidP="00C917D6">
            <w:pPr>
              <w:pStyle w:val="NormalLeft"/>
            </w:pPr>
            <w:r w:rsidRPr="00DE12A3">
              <w:t>963</w:t>
            </w:r>
          </w:p>
        </w:tc>
        <w:tc>
          <w:tcPr>
            <w:tcW w:w="2489" w:type="dxa"/>
            <w:tcBorders>
              <w:top w:val="single" w:sz="2" w:space="0" w:color="auto"/>
              <w:left w:val="single" w:sz="2" w:space="0" w:color="auto"/>
              <w:bottom w:val="single" w:sz="2" w:space="0" w:color="auto"/>
              <w:right w:val="single" w:sz="2" w:space="0" w:color="auto"/>
            </w:tcBorders>
          </w:tcPr>
          <w:p w14:paraId="0BE1BE83" w14:textId="77777777" w:rsidR="009F4766" w:rsidRPr="00DE12A3" w:rsidRDefault="009F4766" w:rsidP="00C917D6">
            <w:pPr>
              <w:pStyle w:val="NormalLeft"/>
            </w:pPr>
            <w:r w:rsidRPr="00DE12A3">
              <w:t>81</w:t>
            </w:r>
          </w:p>
        </w:tc>
        <w:tc>
          <w:tcPr>
            <w:tcW w:w="2551" w:type="dxa"/>
            <w:tcBorders>
              <w:top w:val="single" w:sz="2" w:space="0" w:color="auto"/>
              <w:left w:val="single" w:sz="2" w:space="0" w:color="auto"/>
              <w:bottom w:val="single" w:sz="2" w:space="0" w:color="auto"/>
              <w:right w:val="single" w:sz="2" w:space="0" w:color="auto"/>
            </w:tcBorders>
          </w:tcPr>
          <w:p w14:paraId="6E566601" w14:textId="77777777" w:rsidR="009F4766" w:rsidRPr="00DE12A3" w:rsidRDefault="009F4766" w:rsidP="00C917D6">
            <w:pPr>
              <w:pStyle w:val="NormalLeft"/>
            </w:pPr>
            <w:r w:rsidRPr="00DE12A3">
              <w:t>34</w:t>
            </w:r>
          </w:p>
        </w:tc>
      </w:tr>
      <w:tr w:rsidR="00DE12A3" w:rsidRPr="00DE12A3" w14:paraId="6F0EE815" w14:textId="77777777" w:rsidTr="009F4766">
        <w:tc>
          <w:tcPr>
            <w:tcW w:w="1182" w:type="dxa"/>
            <w:tcBorders>
              <w:top w:val="single" w:sz="2" w:space="0" w:color="auto"/>
              <w:left w:val="single" w:sz="2" w:space="0" w:color="auto"/>
              <w:bottom w:val="single" w:sz="2" w:space="0" w:color="auto"/>
              <w:right w:val="single" w:sz="2" w:space="0" w:color="auto"/>
            </w:tcBorders>
          </w:tcPr>
          <w:p w14:paraId="63B4FE42" w14:textId="77777777" w:rsidR="009F4766" w:rsidRPr="00DE12A3" w:rsidRDefault="009F4766" w:rsidP="00C917D6">
            <w:pPr>
              <w:pStyle w:val="NormalLeft"/>
            </w:pPr>
            <w:r w:rsidRPr="00DE12A3">
              <w:t>964</w:t>
            </w:r>
          </w:p>
        </w:tc>
        <w:tc>
          <w:tcPr>
            <w:tcW w:w="2489" w:type="dxa"/>
            <w:tcBorders>
              <w:top w:val="single" w:sz="2" w:space="0" w:color="auto"/>
              <w:left w:val="single" w:sz="2" w:space="0" w:color="auto"/>
              <w:bottom w:val="single" w:sz="2" w:space="0" w:color="auto"/>
              <w:right w:val="single" w:sz="2" w:space="0" w:color="auto"/>
            </w:tcBorders>
          </w:tcPr>
          <w:p w14:paraId="318B088A" w14:textId="77777777" w:rsidR="009F4766" w:rsidRPr="00DE12A3" w:rsidRDefault="009F4766" w:rsidP="00C917D6">
            <w:pPr>
              <w:pStyle w:val="NormalLeft"/>
            </w:pPr>
            <w:r w:rsidRPr="00DE12A3">
              <w:t>83</w:t>
            </w:r>
          </w:p>
        </w:tc>
        <w:tc>
          <w:tcPr>
            <w:tcW w:w="2551" w:type="dxa"/>
            <w:tcBorders>
              <w:top w:val="single" w:sz="2" w:space="0" w:color="auto"/>
              <w:left w:val="single" w:sz="2" w:space="0" w:color="auto"/>
              <w:bottom w:val="single" w:sz="2" w:space="0" w:color="auto"/>
              <w:right w:val="single" w:sz="2" w:space="0" w:color="auto"/>
            </w:tcBorders>
          </w:tcPr>
          <w:p w14:paraId="3DD35273" w14:textId="77777777" w:rsidR="009F4766" w:rsidRPr="00DE12A3" w:rsidRDefault="009F4766" w:rsidP="00C917D6">
            <w:pPr>
              <w:pStyle w:val="NormalLeft"/>
            </w:pPr>
            <w:r w:rsidRPr="00DE12A3">
              <w:t>72</w:t>
            </w:r>
          </w:p>
        </w:tc>
      </w:tr>
      <w:tr w:rsidR="00DE12A3" w:rsidRPr="00DE12A3" w14:paraId="3576EB47" w14:textId="77777777" w:rsidTr="009F4766">
        <w:tc>
          <w:tcPr>
            <w:tcW w:w="1182" w:type="dxa"/>
            <w:tcBorders>
              <w:top w:val="single" w:sz="2" w:space="0" w:color="auto"/>
              <w:left w:val="single" w:sz="2" w:space="0" w:color="auto"/>
              <w:bottom w:val="single" w:sz="2" w:space="0" w:color="auto"/>
              <w:right w:val="single" w:sz="2" w:space="0" w:color="auto"/>
            </w:tcBorders>
          </w:tcPr>
          <w:p w14:paraId="29EA5375" w14:textId="77777777" w:rsidR="009F4766" w:rsidRPr="00DE12A3" w:rsidRDefault="009F4766" w:rsidP="00C917D6">
            <w:pPr>
              <w:pStyle w:val="NormalLeft"/>
            </w:pPr>
            <w:r w:rsidRPr="00DE12A3">
              <w:t>965</w:t>
            </w:r>
          </w:p>
        </w:tc>
        <w:tc>
          <w:tcPr>
            <w:tcW w:w="2489" w:type="dxa"/>
            <w:tcBorders>
              <w:top w:val="single" w:sz="2" w:space="0" w:color="auto"/>
              <w:left w:val="single" w:sz="2" w:space="0" w:color="auto"/>
              <w:bottom w:val="single" w:sz="2" w:space="0" w:color="auto"/>
              <w:right w:val="single" w:sz="2" w:space="0" w:color="auto"/>
            </w:tcBorders>
          </w:tcPr>
          <w:p w14:paraId="1D9083A7" w14:textId="77777777" w:rsidR="009F4766" w:rsidRPr="00DE12A3" w:rsidRDefault="009F4766" w:rsidP="00C917D6">
            <w:pPr>
              <w:pStyle w:val="NormalLeft"/>
            </w:pPr>
            <w:r w:rsidRPr="00DE12A3">
              <w:t>81</w:t>
            </w:r>
          </w:p>
        </w:tc>
        <w:tc>
          <w:tcPr>
            <w:tcW w:w="2551" w:type="dxa"/>
            <w:tcBorders>
              <w:top w:val="single" w:sz="2" w:space="0" w:color="auto"/>
              <w:left w:val="single" w:sz="2" w:space="0" w:color="auto"/>
              <w:bottom w:val="single" w:sz="2" w:space="0" w:color="auto"/>
              <w:right w:val="single" w:sz="2" w:space="0" w:color="auto"/>
            </w:tcBorders>
          </w:tcPr>
          <w:p w14:paraId="4C175078" w14:textId="77777777" w:rsidR="009F4766" w:rsidRPr="00DE12A3" w:rsidRDefault="009F4766" w:rsidP="00C917D6">
            <w:pPr>
              <w:pStyle w:val="NormalLeft"/>
            </w:pPr>
            <w:r w:rsidRPr="00DE12A3">
              <w:t>49</w:t>
            </w:r>
          </w:p>
        </w:tc>
      </w:tr>
      <w:tr w:rsidR="00DE12A3" w:rsidRPr="00DE12A3" w14:paraId="6F16E619" w14:textId="77777777" w:rsidTr="009F4766">
        <w:tc>
          <w:tcPr>
            <w:tcW w:w="1182" w:type="dxa"/>
            <w:tcBorders>
              <w:top w:val="single" w:sz="2" w:space="0" w:color="auto"/>
              <w:left w:val="single" w:sz="2" w:space="0" w:color="auto"/>
              <w:bottom w:val="single" w:sz="2" w:space="0" w:color="auto"/>
              <w:right w:val="single" w:sz="2" w:space="0" w:color="auto"/>
            </w:tcBorders>
          </w:tcPr>
          <w:p w14:paraId="2E2CDAE9" w14:textId="77777777" w:rsidR="009F4766" w:rsidRPr="00DE12A3" w:rsidRDefault="009F4766" w:rsidP="00C917D6">
            <w:pPr>
              <w:pStyle w:val="NormalLeft"/>
            </w:pPr>
            <w:r w:rsidRPr="00DE12A3">
              <w:t>966</w:t>
            </w:r>
          </w:p>
        </w:tc>
        <w:tc>
          <w:tcPr>
            <w:tcW w:w="2489" w:type="dxa"/>
            <w:tcBorders>
              <w:top w:val="single" w:sz="2" w:space="0" w:color="auto"/>
              <w:left w:val="single" w:sz="2" w:space="0" w:color="auto"/>
              <w:bottom w:val="single" w:sz="2" w:space="0" w:color="auto"/>
              <w:right w:val="single" w:sz="2" w:space="0" w:color="auto"/>
            </w:tcBorders>
          </w:tcPr>
          <w:p w14:paraId="09D6E780" w14:textId="77777777" w:rsidR="009F4766" w:rsidRPr="00DE12A3" w:rsidRDefault="009F4766" w:rsidP="00C917D6">
            <w:pPr>
              <w:pStyle w:val="NormalLeft"/>
            </w:pPr>
            <w:r w:rsidRPr="00DE12A3">
              <w:t>81</w:t>
            </w:r>
          </w:p>
        </w:tc>
        <w:tc>
          <w:tcPr>
            <w:tcW w:w="2551" w:type="dxa"/>
            <w:tcBorders>
              <w:top w:val="single" w:sz="2" w:space="0" w:color="auto"/>
              <w:left w:val="single" w:sz="2" w:space="0" w:color="auto"/>
              <w:bottom w:val="single" w:sz="2" w:space="0" w:color="auto"/>
              <w:right w:val="single" w:sz="2" w:space="0" w:color="auto"/>
            </w:tcBorders>
          </w:tcPr>
          <w:p w14:paraId="147BDE96" w14:textId="77777777" w:rsidR="009F4766" w:rsidRPr="00DE12A3" w:rsidRDefault="009F4766" w:rsidP="00C917D6">
            <w:pPr>
              <w:pStyle w:val="NormalLeft"/>
            </w:pPr>
            <w:r w:rsidRPr="00DE12A3">
              <w:t>51</w:t>
            </w:r>
          </w:p>
        </w:tc>
      </w:tr>
      <w:tr w:rsidR="00DE12A3" w:rsidRPr="00DE12A3" w14:paraId="004BBB78" w14:textId="77777777" w:rsidTr="009F4766">
        <w:tc>
          <w:tcPr>
            <w:tcW w:w="1182" w:type="dxa"/>
            <w:tcBorders>
              <w:top w:val="single" w:sz="2" w:space="0" w:color="auto"/>
              <w:left w:val="single" w:sz="2" w:space="0" w:color="auto"/>
              <w:bottom w:val="single" w:sz="2" w:space="0" w:color="auto"/>
              <w:right w:val="single" w:sz="2" w:space="0" w:color="auto"/>
            </w:tcBorders>
          </w:tcPr>
          <w:p w14:paraId="5C864378" w14:textId="77777777" w:rsidR="009F4766" w:rsidRPr="00DE12A3" w:rsidRDefault="009F4766" w:rsidP="00C917D6">
            <w:pPr>
              <w:pStyle w:val="NormalLeft"/>
            </w:pPr>
            <w:r w:rsidRPr="00DE12A3">
              <w:t>967</w:t>
            </w:r>
          </w:p>
        </w:tc>
        <w:tc>
          <w:tcPr>
            <w:tcW w:w="2489" w:type="dxa"/>
            <w:tcBorders>
              <w:top w:val="single" w:sz="2" w:space="0" w:color="auto"/>
              <w:left w:val="single" w:sz="2" w:space="0" w:color="auto"/>
              <w:bottom w:val="single" w:sz="2" w:space="0" w:color="auto"/>
              <w:right w:val="single" w:sz="2" w:space="0" w:color="auto"/>
            </w:tcBorders>
          </w:tcPr>
          <w:p w14:paraId="25D72C23" w14:textId="77777777" w:rsidR="009F4766" w:rsidRPr="00DE12A3" w:rsidRDefault="009F4766" w:rsidP="00C917D6">
            <w:pPr>
              <w:pStyle w:val="NormalLeft"/>
            </w:pPr>
            <w:r w:rsidRPr="00DE12A3">
              <w:t>80</w:t>
            </w:r>
          </w:p>
        </w:tc>
        <w:tc>
          <w:tcPr>
            <w:tcW w:w="2551" w:type="dxa"/>
            <w:tcBorders>
              <w:top w:val="single" w:sz="2" w:space="0" w:color="auto"/>
              <w:left w:val="single" w:sz="2" w:space="0" w:color="auto"/>
              <w:bottom w:val="single" w:sz="2" w:space="0" w:color="auto"/>
              <w:right w:val="single" w:sz="2" w:space="0" w:color="auto"/>
            </w:tcBorders>
          </w:tcPr>
          <w:p w14:paraId="4AC4F083" w14:textId="77777777" w:rsidR="009F4766" w:rsidRPr="00DE12A3" w:rsidRDefault="009F4766" w:rsidP="00C917D6">
            <w:pPr>
              <w:pStyle w:val="NormalLeft"/>
            </w:pPr>
            <w:r w:rsidRPr="00DE12A3">
              <w:t>55</w:t>
            </w:r>
          </w:p>
        </w:tc>
      </w:tr>
      <w:tr w:rsidR="00DE12A3" w:rsidRPr="00DE12A3" w14:paraId="51735582" w14:textId="77777777" w:rsidTr="009F4766">
        <w:tc>
          <w:tcPr>
            <w:tcW w:w="1182" w:type="dxa"/>
            <w:tcBorders>
              <w:top w:val="single" w:sz="2" w:space="0" w:color="auto"/>
              <w:left w:val="single" w:sz="2" w:space="0" w:color="auto"/>
              <w:bottom w:val="single" w:sz="2" w:space="0" w:color="auto"/>
              <w:right w:val="single" w:sz="2" w:space="0" w:color="auto"/>
            </w:tcBorders>
          </w:tcPr>
          <w:p w14:paraId="746390F4" w14:textId="77777777" w:rsidR="009F4766" w:rsidRPr="00DE12A3" w:rsidRDefault="009F4766" w:rsidP="00C917D6">
            <w:pPr>
              <w:pStyle w:val="NormalLeft"/>
            </w:pPr>
            <w:r w:rsidRPr="00DE12A3">
              <w:t>968</w:t>
            </w:r>
          </w:p>
        </w:tc>
        <w:tc>
          <w:tcPr>
            <w:tcW w:w="2489" w:type="dxa"/>
            <w:tcBorders>
              <w:top w:val="single" w:sz="2" w:space="0" w:color="auto"/>
              <w:left w:val="single" w:sz="2" w:space="0" w:color="auto"/>
              <w:bottom w:val="single" w:sz="2" w:space="0" w:color="auto"/>
              <w:right w:val="single" w:sz="2" w:space="0" w:color="auto"/>
            </w:tcBorders>
          </w:tcPr>
          <w:p w14:paraId="2ABCE0D9" w14:textId="77777777" w:rsidR="009F4766" w:rsidRPr="00DE12A3" w:rsidRDefault="009F4766" w:rsidP="00C917D6">
            <w:pPr>
              <w:pStyle w:val="NormalLeft"/>
            </w:pPr>
            <w:r w:rsidRPr="00DE12A3">
              <w:t>81</w:t>
            </w:r>
          </w:p>
        </w:tc>
        <w:tc>
          <w:tcPr>
            <w:tcW w:w="2551" w:type="dxa"/>
            <w:tcBorders>
              <w:top w:val="single" w:sz="2" w:space="0" w:color="auto"/>
              <w:left w:val="single" w:sz="2" w:space="0" w:color="auto"/>
              <w:bottom w:val="single" w:sz="2" w:space="0" w:color="auto"/>
              <w:right w:val="single" w:sz="2" w:space="0" w:color="auto"/>
            </w:tcBorders>
          </w:tcPr>
          <w:p w14:paraId="2B0A9E9A" w14:textId="77777777" w:rsidR="009F4766" w:rsidRPr="00DE12A3" w:rsidRDefault="009F4766" w:rsidP="00C917D6">
            <w:pPr>
              <w:pStyle w:val="NormalLeft"/>
            </w:pPr>
            <w:r w:rsidRPr="00DE12A3">
              <w:t>48</w:t>
            </w:r>
          </w:p>
        </w:tc>
      </w:tr>
      <w:tr w:rsidR="00DE12A3" w:rsidRPr="00DE12A3" w14:paraId="5444EE48" w14:textId="77777777" w:rsidTr="009F4766">
        <w:tc>
          <w:tcPr>
            <w:tcW w:w="1182" w:type="dxa"/>
            <w:tcBorders>
              <w:top w:val="single" w:sz="2" w:space="0" w:color="auto"/>
              <w:left w:val="single" w:sz="2" w:space="0" w:color="auto"/>
              <w:bottom w:val="single" w:sz="2" w:space="0" w:color="auto"/>
              <w:right w:val="single" w:sz="2" w:space="0" w:color="auto"/>
            </w:tcBorders>
          </w:tcPr>
          <w:p w14:paraId="50A434B7" w14:textId="77777777" w:rsidR="009F4766" w:rsidRPr="00DE12A3" w:rsidRDefault="009F4766" w:rsidP="00C917D6">
            <w:pPr>
              <w:pStyle w:val="NormalLeft"/>
            </w:pPr>
            <w:r w:rsidRPr="00DE12A3">
              <w:t>969</w:t>
            </w:r>
          </w:p>
        </w:tc>
        <w:tc>
          <w:tcPr>
            <w:tcW w:w="2489" w:type="dxa"/>
            <w:tcBorders>
              <w:top w:val="single" w:sz="2" w:space="0" w:color="auto"/>
              <w:left w:val="single" w:sz="2" w:space="0" w:color="auto"/>
              <w:bottom w:val="single" w:sz="2" w:space="0" w:color="auto"/>
              <w:right w:val="single" w:sz="2" w:space="0" w:color="auto"/>
            </w:tcBorders>
          </w:tcPr>
          <w:p w14:paraId="46873E2D" w14:textId="77777777" w:rsidR="009F4766" w:rsidRPr="00DE12A3" w:rsidRDefault="009F4766" w:rsidP="00C917D6">
            <w:pPr>
              <w:pStyle w:val="NormalLeft"/>
            </w:pPr>
            <w:r w:rsidRPr="00DE12A3">
              <w:t>81</w:t>
            </w:r>
          </w:p>
        </w:tc>
        <w:tc>
          <w:tcPr>
            <w:tcW w:w="2551" w:type="dxa"/>
            <w:tcBorders>
              <w:top w:val="single" w:sz="2" w:space="0" w:color="auto"/>
              <w:left w:val="single" w:sz="2" w:space="0" w:color="auto"/>
              <w:bottom w:val="single" w:sz="2" w:space="0" w:color="auto"/>
              <w:right w:val="single" w:sz="2" w:space="0" w:color="auto"/>
            </w:tcBorders>
          </w:tcPr>
          <w:p w14:paraId="4D691B30" w14:textId="77777777" w:rsidR="009F4766" w:rsidRPr="00DE12A3" w:rsidRDefault="009F4766" w:rsidP="00C917D6">
            <w:pPr>
              <w:pStyle w:val="NormalLeft"/>
            </w:pPr>
            <w:r w:rsidRPr="00DE12A3">
              <w:t>36</w:t>
            </w:r>
          </w:p>
        </w:tc>
      </w:tr>
      <w:tr w:rsidR="00DE12A3" w:rsidRPr="00DE12A3" w14:paraId="1E7DB330" w14:textId="77777777" w:rsidTr="009F4766">
        <w:tc>
          <w:tcPr>
            <w:tcW w:w="1182" w:type="dxa"/>
            <w:tcBorders>
              <w:top w:val="single" w:sz="2" w:space="0" w:color="auto"/>
              <w:left w:val="single" w:sz="2" w:space="0" w:color="auto"/>
              <w:bottom w:val="single" w:sz="2" w:space="0" w:color="auto"/>
              <w:right w:val="single" w:sz="2" w:space="0" w:color="auto"/>
            </w:tcBorders>
          </w:tcPr>
          <w:p w14:paraId="737624EF" w14:textId="77777777" w:rsidR="009F4766" w:rsidRPr="00DE12A3" w:rsidRDefault="009F4766" w:rsidP="00C917D6">
            <w:pPr>
              <w:pStyle w:val="NormalLeft"/>
            </w:pPr>
            <w:r w:rsidRPr="00DE12A3">
              <w:t>970</w:t>
            </w:r>
          </w:p>
        </w:tc>
        <w:tc>
          <w:tcPr>
            <w:tcW w:w="2489" w:type="dxa"/>
            <w:tcBorders>
              <w:top w:val="single" w:sz="2" w:space="0" w:color="auto"/>
              <w:left w:val="single" w:sz="2" w:space="0" w:color="auto"/>
              <w:bottom w:val="single" w:sz="2" w:space="0" w:color="auto"/>
              <w:right w:val="single" w:sz="2" w:space="0" w:color="auto"/>
            </w:tcBorders>
          </w:tcPr>
          <w:p w14:paraId="1673CA6E" w14:textId="77777777" w:rsidR="009F4766" w:rsidRPr="00DE12A3" w:rsidRDefault="009F4766" w:rsidP="00C917D6">
            <w:pPr>
              <w:pStyle w:val="NormalLeft"/>
            </w:pPr>
            <w:r w:rsidRPr="00DE12A3">
              <w:t>81</w:t>
            </w:r>
          </w:p>
        </w:tc>
        <w:tc>
          <w:tcPr>
            <w:tcW w:w="2551" w:type="dxa"/>
            <w:tcBorders>
              <w:top w:val="single" w:sz="2" w:space="0" w:color="auto"/>
              <w:left w:val="single" w:sz="2" w:space="0" w:color="auto"/>
              <w:bottom w:val="single" w:sz="2" w:space="0" w:color="auto"/>
              <w:right w:val="single" w:sz="2" w:space="0" w:color="auto"/>
            </w:tcBorders>
          </w:tcPr>
          <w:p w14:paraId="73299D1F" w14:textId="77777777" w:rsidR="009F4766" w:rsidRPr="00DE12A3" w:rsidRDefault="009F4766" w:rsidP="00C917D6">
            <w:pPr>
              <w:pStyle w:val="NormalLeft"/>
            </w:pPr>
            <w:r w:rsidRPr="00DE12A3">
              <w:t>39</w:t>
            </w:r>
          </w:p>
        </w:tc>
      </w:tr>
      <w:tr w:rsidR="00DE12A3" w:rsidRPr="00DE12A3" w14:paraId="70AF3F80" w14:textId="77777777" w:rsidTr="009F4766">
        <w:tc>
          <w:tcPr>
            <w:tcW w:w="1182" w:type="dxa"/>
            <w:tcBorders>
              <w:top w:val="single" w:sz="2" w:space="0" w:color="auto"/>
              <w:left w:val="single" w:sz="2" w:space="0" w:color="auto"/>
              <w:bottom w:val="single" w:sz="2" w:space="0" w:color="auto"/>
              <w:right w:val="single" w:sz="2" w:space="0" w:color="auto"/>
            </w:tcBorders>
          </w:tcPr>
          <w:p w14:paraId="574FF4E7" w14:textId="77777777" w:rsidR="009F4766" w:rsidRPr="00DE12A3" w:rsidRDefault="009F4766" w:rsidP="00C917D6">
            <w:pPr>
              <w:pStyle w:val="NormalLeft"/>
            </w:pPr>
            <w:r w:rsidRPr="00DE12A3">
              <w:t>971</w:t>
            </w:r>
          </w:p>
        </w:tc>
        <w:tc>
          <w:tcPr>
            <w:tcW w:w="2489" w:type="dxa"/>
            <w:tcBorders>
              <w:top w:val="single" w:sz="2" w:space="0" w:color="auto"/>
              <w:left w:val="single" w:sz="2" w:space="0" w:color="auto"/>
              <w:bottom w:val="single" w:sz="2" w:space="0" w:color="auto"/>
              <w:right w:val="single" w:sz="2" w:space="0" w:color="auto"/>
            </w:tcBorders>
          </w:tcPr>
          <w:p w14:paraId="31733229" w14:textId="77777777" w:rsidR="009F4766" w:rsidRPr="00DE12A3" w:rsidRDefault="009F4766" w:rsidP="00C917D6">
            <w:pPr>
              <w:pStyle w:val="NormalLeft"/>
            </w:pPr>
            <w:r w:rsidRPr="00DE12A3">
              <w:t>81</w:t>
            </w:r>
          </w:p>
        </w:tc>
        <w:tc>
          <w:tcPr>
            <w:tcW w:w="2551" w:type="dxa"/>
            <w:tcBorders>
              <w:top w:val="single" w:sz="2" w:space="0" w:color="auto"/>
              <w:left w:val="single" w:sz="2" w:space="0" w:color="auto"/>
              <w:bottom w:val="single" w:sz="2" w:space="0" w:color="auto"/>
              <w:right w:val="single" w:sz="2" w:space="0" w:color="auto"/>
            </w:tcBorders>
          </w:tcPr>
          <w:p w14:paraId="2B582C7B" w14:textId="77777777" w:rsidR="009F4766" w:rsidRPr="00DE12A3" w:rsidRDefault="009F4766" w:rsidP="00C917D6">
            <w:pPr>
              <w:pStyle w:val="NormalLeft"/>
            </w:pPr>
            <w:r w:rsidRPr="00DE12A3">
              <w:t>38</w:t>
            </w:r>
          </w:p>
        </w:tc>
      </w:tr>
      <w:tr w:rsidR="00DE12A3" w:rsidRPr="00DE12A3" w14:paraId="39EB3644" w14:textId="77777777" w:rsidTr="009F4766">
        <w:tc>
          <w:tcPr>
            <w:tcW w:w="1182" w:type="dxa"/>
            <w:tcBorders>
              <w:top w:val="single" w:sz="2" w:space="0" w:color="auto"/>
              <w:left w:val="single" w:sz="2" w:space="0" w:color="auto"/>
              <w:bottom w:val="single" w:sz="2" w:space="0" w:color="auto"/>
              <w:right w:val="single" w:sz="2" w:space="0" w:color="auto"/>
            </w:tcBorders>
          </w:tcPr>
          <w:p w14:paraId="0E240305" w14:textId="77777777" w:rsidR="009F4766" w:rsidRPr="00DE12A3" w:rsidRDefault="009F4766" w:rsidP="00C917D6">
            <w:pPr>
              <w:pStyle w:val="NormalLeft"/>
            </w:pPr>
            <w:r w:rsidRPr="00DE12A3">
              <w:t>972</w:t>
            </w:r>
          </w:p>
        </w:tc>
        <w:tc>
          <w:tcPr>
            <w:tcW w:w="2489" w:type="dxa"/>
            <w:tcBorders>
              <w:top w:val="single" w:sz="2" w:space="0" w:color="auto"/>
              <w:left w:val="single" w:sz="2" w:space="0" w:color="auto"/>
              <w:bottom w:val="single" w:sz="2" w:space="0" w:color="auto"/>
              <w:right w:val="single" w:sz="2" w:space="0" w:color="auto"/>
            </w:tcBorders>
          </w:tcPr>
          <w:p w14:paraId="1694917D" w14:textId="77777777" w:rsidR="009F4766" w:rsidRPr="00DE12A3" w:rsidRDefault="009F4766" w:rsidP="00C917D6">
            <w:pPr>
              <w:pStyle w:val="NormalLeft"/>
            </w:pPr>
            <w:r w:rsidRPr="00DE12A3">
              <w:t>80</w:t>
            </w:r>
          </w:p>
        </w:tc>
        <w:tc>
          <w:tcPr>
            <w:tcW w:w="2551" w:type="dxa"/>
            <w:tcBorders>
              <w:top w:val="single" w:sz="2" w:space="0" w:color="auto"/>
              <w:left w:val="single" w:sz="2" w:space="0" w:color="auto"/>
              <w:bottom w:val="single" w:sz="2" w:space="0" w:color="auto"/>
              <w:right w:val="single" w:sz="2" w:space="0" w:color="auto"/>
            </w:tcBorders>
          </w:tcPr>
          <w:p w14:paraId="5C9E2480" w14:textId="77777777" w:rsidR="009F4766" w:rsidRPr="00DE12A3" w:rsidRDefault="009F4766" w:rsidP="00C917D6">
            <w:pPr>
              <w:pStyle w:val="NormalLeft"/>
            </w:pPr>
            <w:r w:rsidRPr="00DE12A3">
              <w:t>41</w:t>
            </w:r>
          </w:p>
        </w:tc>
      </w:tr>
      <w:tr w:rsidR="00DE12A3" w:rsidRPr="00DE12A3" w14:paraId="55708866" w14:textId="77777777" w:rsidTr="009F4766">
        <w:tc>
          <w:tcPr>
            <w:tcW w:w="1182" w:type="dxa"/>
            <w:tcBorders>
              <w:top w:val="single" w:sz="2" w:space="0" w:color="auto"/>
              <w:left w:val="single" w:sz="2" w:space="0" w:color="auto"/>
              <w:bottom w:val="single" w:sz="2" w:space="0" w:color="auto"/>
              <w:right w:val="single" w:sz="2" w:space="0" w:color="auto"/>
            </w:tcBorders>
          </w:tcPr>
          <w:p w14:paraId="0F8D9A89" w14:textId="77777777" w:rsidR="009F4766" w:rsidRPr="00DE12A3" w:rsidRDefault="009F4766" w:rsidP="00C917D6">
            <w:pPr>
              <w:pStyle w:val="NormalLeft"/>
            </w:pPr>
            <w:r w:rsidRPr="00DE12A3">
              <w:t>973</w:t>
            </w:r>
          </w:p>
        </w:tc>
        <w:tc>
          <w:tcPr>
            <w:tcW w:w="2489" w:type="dxa"/>
            <w:tcBorders>
              <w:top w:val="single" w:sz="2" w:space="0" w:color="auto"/>
              <w:left w:val="single" w:sz="2" w:space="0" w:color="auto"/>
              <w:bottom w:val="single" w:sz="2" w:space="0" w:color="auto"/>
              <w:right w:val="single" w:sz="2" w:space="0" w:color="auto"/>
            </w:tcBorders>
          </w:tcPr>
          <w:p w14:paraId="466E265A" w14:textId="77777777" w:rsidR="009F4766" w:rsidRPr="00DE12A3" w:rsidRDefault="009F4766" w:rsidP="00C917D6">
            <w:pPr>
              <w:pStyle w:val="NormalLeft"/>
            </w:pPr>
            <w:r w:rsidRPr="00DE12A3">
              <w:t>81</w:t>
            </w:r>
          </w:p>
        </w:tc>
        <w:tc>
          <w:tcPr>
            <w:tcW w:w="2551" w:type="dxa"/>
            <w:tcBorders>
              <w:top w:val="single" w:sz="2" w:space="0" w:color="auto"/>
              <w:left w:val="single" w:sz="2" w:space="0" w:color="auto"/>
              <w:bottom w:val="single" w:sz="2" w:space="0" w:color="auto"/>
              <w:right w:val="single" w:sz="2" w:space="0" w:color="auto"/>
            </w:tcBorders>
          </w:tcPr>
          <w:p w14:paraId="0AC22776" w14:textId="77777777" w:rsidR="009F4766" w:rsidRPr="00DE12A3" w:rsidRDefault="009F4766" w:rsidP="00C917D6">
            <w:pPr>
              <w:pStyle w:val="NormalLeft"/>
            </w:pPr>
            <w:r w:rsidRPr="00DE12A3">
              <w:t>30</w:t>
            </w:r>
          </w:p>
        </w:tc>
      </w:tr>
      <w:tr w:rsidR="00DE12A3" w:rsidRPr="00DE12A3" w14:paraId="0B9E9531" w14:textId="77777777" w:rsidTr="009F4766">
        <w:tc>
          <w:tcPr>
            <w:tcW w:w="1182" w:type="dxa"/>
            <w:tcBorders>
              <w:top w:val="single" w:sz="2" w:space="0" w:color="auto"/>
              <w:left w:val="single" w:sz="2" w:space="0" w:color="auto"/>
              <w:bottom w:val="single" w:sz="2" w:space="0" w:color="auto"/>
              <w:right w:val="single" w:sz="2" w:space="0" w:color="auto"/>
            </w:tcBorders>
          </w:tcPr>
          <w:p w14:paraId="592D832D" w14:textId="77777777" w:rsidR="009F4766" w:rsidRPr="00DE12A3" w:rsidRDefault="009F4766" w:rsidP="00C917D6">
            <w:pPr>
              <w:pStyle w:val="NormalLeft"/>
            </w:pPr>
            <w:r w:rsidRPr="00DE12A3">
              <w:t>974</w:t>
            </w:r>
          </w:p>
        </w:tc>
        <w:tc>
          <w:tcPr>
            <w:tcW w:w="2489" w:type="dxa"/>
            <w:tcBorders>
              <w:top w:val="single" w:sz="2" w:space="0" w:color="auto"/>
              <w:left w:val="single" w:sz="2" w:space="0" w:color="auto"/>
              <w:bottom w:val="single" w:sz="2" w:space="0" w:color="auto"/>
              <w:right w:val="single" w:sz="2" w:space="0" w:color="auto"/>
            </w:tcBorders>
          </w:tcPr>
          <w:p w14:paraId="420E322F" w14:textId="77777777" w:rsidR="009F4766" w:rsidRPr="00DE12A3" w:rsidRDefault="009F4766" w:rsidP="00C917D6">
            <w:pPr>
              <w:pStyle w:val="NormalLeft"/>
            </w:pPr>
            <w:r w:rsidRPr="00DE12A3">
              <w:t>81</w:t>
            </w:r>
          </w:p>
        </w:tc>
        <w:tc>
          <w:tcPr>
            <w:tcW w:w="2551" w:type="dxa"/>
            <w:tcBorders>
              <w:top w:val="single" w:sz="2" w:space="0" w:color="auto"/>
              <w:left w:val="single" w:sz="2" w:space="0" w:color="auto"/>
              <w:bottom w:val="single" w:sz="2" w:space="0" w:color="auto"/>
              <w:right w:val="single" w:sz="2" w:space="0" w:color="auto"/>
            </w:tcBorders>
          </w:tcPr>
          <w:p w14:paraId="35A810F0" w14:textId="77777777" w:rsidR="009F4766" w:rsidRPr="00DE12A3" w:rsidRDefault="009F4766" w:rsidP="00C917D6">
            <w:pPr>
              <w:pStyle w:val="NormalLeft"/>
            </w:pPr>
            <w:r w:rsidRPr="00DE12A3">
              <w:t>23</w:t>
            </w:r>
          </w:p>
        </w:tc>
      </w:tr>
      <w:tr w:rsidR="00DE12A3" w:rsidRPr="00DE12A3" w14:paraId="24BAAA1D" w14:textId="77777777" w:rsidTr="009F4766">
        <w:tc>
          <w:tcPr>
            <w:tcW w:w="1182" w:type="dxa"/>
            <w:tcBorders>
              <w:top w:val="single" w:sz="2" w:space="0" w:color="auto"/>
              <w:left w:val="single" w:sz="2" w:space="0" w:color="auto"/>
              <w:bottom w:val="single" w:sz="2" w:space="0" w:color="auto"/>
              <w:right w:val="single" w:sz="2" w:space="0" w:color="auto"/>
            </w:tcBorders>
          </w:tcPr>
          <w:p w14:paraId="5DCE2FA6" w14:textId="77777777" w:rsidR="009F4766" w:rsidRPr="00DE12A3" w:rsidRDefault="009F4766" w:rsidP="00C917D6">
            <w:pPr>
              <w:pStyle w:val="NormalLeft"/>
            </w:pPr>
            <w:r w:rsidRPr="00DE12A3">
              <w:t>975</w:t>
            </w:r>
          </w:p>
        </w:tc>
        <w:tc>
          <w:tcPr>
            <w:tcW w:w="2489" w:type="dxa"/>
            <w:tcBorders>
              <w:top w:val="single" w:sz="2" w:space="0" w:color="auto"/>
              <w:left w:val="single" w:sz="2" w:space="0" w:color="auto"/>
              <w:bottom w:val="single" w:sz="2" w:space="0" w:color="auto"/>
              <w:right w:val="single" w:sz="2" w:space="0" w:color="auto"/>
            </w:tcBorders>
          </w:tcPr>
          <w:p w14:paraId="4A06CBA5" w14:textId="77777777" w:rsidR="009F4766" w:rsidRPr="00DE12A3" w:rsidRDefault="009F4766" w:rsidP="00C917D6">
            <w:pPr>
              <w:pStyle w:val="NormalLeft"/>
            </w:pPr>
            <w:r w:rsidRPr="00DE12A3">
              <w:t>81</w:t>
            </w:r>
          </w:p>
        </w:tc>
        <w:tc>
          <w:tcPr>
            <w:tcW w:w="2551" w:type="dxa"/>
            <w:tcBorders>
              <w:top w:val="single" w:sz="2" w:space="0" w:color="auto"/>
              <w:left w:val="single" w:sz="2" w:space="0" w:color="auto"/>
              <w:bottom w:val="single" w:sz="2" w:space="0" w:color="auto"/>
              <w:right w:val="single" w:sz="2" w:space="0" w:color="auto"/>
            </w:tcBorders>
          </w:tcPr>
          <w:p w14:paraId="01BF58B4" w14:textId="77777777" w:rsidR="009F4766" w:rsidRPr="00DE12A3" w:rsidRDefault="009F4766" w:rsidP="00C917D6">
            <w:pPr>
              <w:pStyle w:val="NormalLeft"/>
            </w:pPr>
            <w:r w:rsidRPr="00DE12A3">
              <w:t>19</w:t>
            </w:r>
          </w:p>
        </w:tc>
      </w:tr>
      <w:tr w:rsidR="00DE12A3" w:rsidRPr="00DE12A3" w14:paraId="1E361A48" w14:textId="77777777" w:rsidTr="009F4766">
        <w:tc>
          <w:tcPr>
            <w:tcW w:w="1182" w:type="dxa"/>
            <w:tcBorders>
              <w:top w:val="single" w:sz="2" w:space="0" w:color="auto"/>
              <w:left w:val="single" w:sz="2" w:space="0" w:color="auto"/>
              <w:bottom w:val="single" w:sz="2" w:space="0" w:color="auto"/>
              <w:right w:val="single" w:sz="2" w:space="0" w:color="auto"/>
            </w:tcBorders>
          </w:tcPr>
          <w:p w14:paraId="281CE146" w14:textId="77777777" w:rsidR="009F4766" w:rsidRPr="00DE12A3" w:rsidRDefault="009F4766" w:rsidP="00C917D6">
            <w:pPr>
              <w:pStyle w:val="NormalLeft"/>
            </w:pPr>
            <w:r w:rsidRPr="00DE12A3">
              <w:t>976</w:t>
            </w:r>
          </w:p>
        </w:tc>
        <w:tc>
          <w:tcPr>
            <w:tcW w:w="2489" w:type="dxa"/>
            <w:tcBorders>
              <w:top w:val="single" w:sz="2" w:space="0" w:color="auto"/>
              <w:left w:val="single" w:sz="2" w:space="0" w:color="auto"/>
              <w:bottom w:val="single" w:sz="2" w:space="0" w:color="auto"/>
              <w:right w:val="single" w:sz="2" w:space="0" w:color="auto"/>
            </w:tcBorders>
          </w:tcPr>
          <w:p w14:paraId="76FAF086" w14:textId="77777777" w:rsidR="009F4766" w:rsidRPr="00DE12A3" w:rsidRDefault="009F4766" w:rsidP="00C917D6">
            <w:pPr>
              <w:pStyle w:val="NormalLeft"/>
            </w:pPr>
            <w:r w:rsidRPr="00DE12A3">
              <w:t>81</w:t>
            </w:r>
          </w:p>
        </w:tc>
        <w:tc>
          <w:tcPr>
            <w:tcW w:w="2551" w:type="dxa"/>
            <w:tcBorders>
              <w:top w:val="single" w:sz="2" w:space="0" w:color="auto"/>
              <w:left w:val="single" w:sz="2" w:space="0" w:color="auto"/>
              <w:bottom w:val="single" w:sz="2" w:space="0" w:color="auto"/>
              <w:right w:val="single" w:sz="2" w:space="0" w:color="auto"/>
            </w:tcBorders>
          </w:tcPr>
          <w:p w14:paraId="13EA4A6E" w14:textId="77777777" w:rsidR="009F4766" w:rsidRPr="00DE12A3" w:rsidRDefault="009F4766" w:rsidP="00C917D6">
            <w:pPr>
              <w:pStyle w:val="NormalLeft"/>
            </w:pPr>
            <w:r w:rsidRPr="00DE12A3">
              <w:t>25</w:t>
            </w:r>
          </w:p>
        </w:tc>
      </w:tr>
      <w:tr w:rsidR="00DE12A3" w:rsidRPr="00DE12A3" w14:paraId="7F9FE0AD" w14:textId="77777777" w:rsidTr="009F4766">
        <w:tc>
          <w:tcPr>
            <w:tcW w:w="1182" w:type="dxa"/>
            <w:tcBorders>
              <w:top w:val="single" w:sz="2" w:space="0" w:color="auto"/>
              <w:left w:val="single" w:sz="2" w:space="0" w:color="auto"/>
              <w:bottom w:val="single" w:sz="2" w:space="0" w:color="auto"/>
              <w:right w:val="single" w:sz="2" w:space="0" w:color="auto"/>
            </w:tcBorders>
          </w:tcPr>
          <w:p w14:paraId="1C9AF81A" w14:textId="77777777" w:rsidR="009F4766" w:rsidRPr="00DE12A3" w:rsidRDefault="009F4766" w:rsidP="00C917D6">
            <w:pPr>
              <w:pStyle w:val="NormalLeft"/>
            </w:pPr>
            <w:r w:rsidRPr="00DE12A3">
              <w:t>977</w:t>
            </w:r>
          </w:p>
        </w:tc>
        <w:tc>
          <w:tcPr>
            <w:tcW w:w="2489" w:type="dxa"/>
            <w:tcBorders>
              <w:top w:val="single" w:sz="2" w:space="0" w:color="auto"/>
              <w:left w:val="single" w:sz="2" w:space="0" w:color="auto"/>
              <w:bottom w:val="single" w:sz="2" w:space="0" w:color="auto"/>
              <w:right w:val="single" w:sz="2" w:space="0" w:color="auto"/>
            </w:tcBorders>
          </w:tcPr>
          <w:p w14:paraId="002CBCEA" w14:textId="77777777" w:rsidR="009F4766" w:rsidRPr="00DE12A3" w:rsidRDefault="009F4766" w:rsidP="00C917D6">
            <w:pPr>
              <w:pStyle w:val="NormalLeft"/>
            </w:pPr>
            <w:r w:rsidRPr="00DE12A3">
              <w:t>81</w:t>
            </w:r>
          </w:p>
        </w:tc>
        <w:tc>
          <w:tcPr>
            <w:tcW w:w="2551" w:type="dxa"/>
            <w:tcBorders>
              <w:top w:val="single" w:sz="2" w:space="0" w:color="auto"/>
              <w:left w:val="single" w:sz="2" w:space="0" w:color="auto"/>
              <w:bottom w:val="single" w:sz="2" w:space="0" w:color="auto"/>
              <w:right w:val="single" w:sz="2" w:space="0" w:color="auto"/>
            </w:tcBorders>
          </w:tcPr>
          <w:p w14:paraId="4F580AB7" w14:textId="77777777" w:rsidR="009F4766" w:rsidRPr="00DE12A3" w:rsidRDefault="009F4766" w:rsidP="00C917D6">
            <w:pPr>
              <w:pStyle w:val="NormalLeft"/>
            </w:pPr>
            <w:r w:rsidRPr="00DE12A3">
              <w:t>29</w:t>
            </w:r>
          </w:p>
        </w:tc>
      </w:tr>
      <w:tr w:rsidR="00DE12A3" w:rsidRPr="00DE12A3" w14:paraId="60C04EEF" w14:textId="77777777" w:rsidTr="009F4766">
        <w:tc>
          <w:tcPr>
            <w:tcW w:w="1182" w:type="dxa"/>
            <w:tcBorders>
              <w:top w:val="single" w:sz="2" w:space="0" w:color="auto"/>
              <w:left w:val="single" w:sz="2" w:space="0" w:color="auto"/>
              <w:bottom w:val="single" w:sz="2" w:space="0" w:color="auto"/>
              <w:right w:val="single" w:sz="2" w:space="0" w:color="auto"/>
            </w:tcBorders>
          </w:tcPr>
          <w:p w14:paraId="337B3F0A" w14:textId="77777777" w:rsidR="009F4766" w:rsidRPr="00DE12A3" w:rsidRDefault="009F4766" w:rsidP="00C917D6">
            <w:pPr>
              <w:pStyle w:val="NormalLeft"/>
            </w:pPr>
            <w:r w:rsidRPr="00DE12A3">
              <w:t>978</w:t>
            </w:r>
          </w:p>
        </w:tc>
        <w:tc>
          <w:tcPr>
            <w:tcW w:w="2489" w:type="dxa"/>
            <w:tcBorders>
              <w:top w:val="single" w:sz="2" w:space="0" w:color="auto"/>
              <w:left w:val="single" w:sz="2" w:space="0" w:color="auto"/>
              <w:bottom w:val="single" w:sz="2" w:space="0" w:color="auto"/>
              <w:right w:val="single" w:sz="2" w:space="0" w:color="auto"/>
            </w:tcBorders>
          </w:tcPr>
          <w:p w14:paraId="1A2E3595" w14:textId="77777777" w:rsidR="009F4766" w:rsidRPr="00DE12A3" w:rsidRDefault="009F4766" w:rsidP="00C917D6">
            <w:pPr>
              <w:pStyle w:val="NormalLeft"/>
            </w:pPr>
            <w:r w:rsidRPr="00DE12A3">
              <w:t>83</w:t>
            </w:r>
          </w:p>
        </w:tc>
        <w:tc>
          <w:tcPr>
            <w:tcW w:w="2551" w:type="dxa"/>
            <w:tcBorders>
              <w:top w:val="single" w:sz="2" w:space="0" w:color="auto"/>
              <w:left w:val="single" w:sz="2" w:space="0" w:color="auto"/>
              <w:bottom w:val="single" w:sz="2" w:space="0" w:color="auto"/>
              <w:right w:val="single" w:sz="2" w:space="0" w:color="auto"/>
            </w:tcBorders>
          </w:tcPr>
          <w:p w14:paraId="79CA4B86" w14:textId="77777777" w:rsidR="009F4766" w:rsidRPr="00DE12A3" w:rsidRDefault="009F4766" w:rsidP="00C917D6">
            <w:pPr>
              <w:pStyle w:val="NormalLeft"/>
            </w:pPr>
            <w:r w:rsidRPr="00DE12A3">
              <w:t>47</w:t>
            </w:r>
          </w:p>
        </w:tc>
      </w:tr>
      <w:tr w:rsidR="00DE12A3" w:rsidRPr="00DE12A3" w14:paraId="6A2D820D" w14:textId="77777777" w:rsidTr="009F4766">
        <w:tc>
          <w:tcPr>
            <w:tcW w:w="1182" w:type="dxa"/>
            <w:tcBorders>
              <w:top w:val="single" w:sz="2" w:space="0" w:color="auto"/>
              <w:left w:val="single" w:sz="2" w:space="0" w:color="auto"/>
              <w:bottom w:val="single" w:sz="2" w:space="0" w:color="auto"/>
              <w:right w:val="single" w:sz="2" w:space="0" w:color="auto"/>
            </w:tcBorders>
          </w:tcPr>
          <w:p w14:paraId="4CA11F62" w14:textId="77777777" w:rsidR="009F4766" w:rsidRPr="00DE12A3" w:rsidRDefault="009F4766" w:rsidP="00C917D6">
            <w:pPr>
              <w:pStyle w:val="NormalLeft"/>
            </w:pPr>
            <w:r w:rsidRPr="00DE12A3">
              <w:t>979</w:t>
            </w:r>
          </w:p>
        </w:tc>
        <w:tc>
          <w:tcPr>
            <w:tcW w:w="2489" w:type="dxa"/>
            <w:tcBorders>
              <w:top w:val="single" w:sz="2" w:space="0" w:color="auto"/>
              <w:left w:val="single" w:sz="2" w:space="0" w:color="auto"/>
              <w:bottom w:val="single" w:sz="2" w:space="0" w:color="auto"/>
              <w:right w:val="single" w:sz="2" w:space="0" w:color="auto"/>
            </w:tcBorders>
          </w:tcPr>
          <w:p w14:paraId="5C3DD668" w14:textId="77777777" w:rsidR="009F4766" w:rsidRPr="00DE12A3" w:rsidRDefault="009F4766" w:rsidP="00C917D6">
            <w:pPr>
              <w:pStyle w:val="NormalLeft"/>
            </w:pPr>
            <w:r w:rsidRPr="00DE12A3">
              <w:t>81</w:t>
            </w:r>
          </w:p>
        </w:tc>
        <w:tc>
          <w:tcPr>
            <w:tcW w:w="2551" w:type="dxa"/>
            <w:tcBorders>
              <w:top w:val="single" w:sz="2" w:space="0" w:color="auto"/>
              <w:left w:val="single" w:sz="2" w:space="0" w:color="auto"/>
              <w:bottom w:val="single" w:sz="2" w:space="0" w:color="auto"/>
              <w:right w:val="single" w:sz="2" w:space="0" w:color="auto"/>
            </w:tcBorders>
          </w:tcPr>
          <w:p w14:paraId="4B572B86" w14:textId="77777777" w:rsidR="009F4766" w:rsidRPr="00DE12A3" w:rsidRDefault="009F4766" w:rsidP="00C917D6">
            <w:pPr>
              <w:pStyle w:val="NormalLeft"/>
            </w:pPr>
            <w:r w:rsidRPr="00DE12A3">
              <w:t>90</w:t>
            </w:r>
          </w:p>
        </w:tc>
      </w:tr>
      <w:tr w:rsidR="00DE12A3" w:rsidRPr="00DE12A3" w14:paraId="1874A3D4" w14:textId="77777777" w:rsidTr="009F4766">
        <w:tc>
          <w:tcPr>
            <w:tcW w:w="1182" w:type="dxa"/>
            <w:tcBorders>
              <w:top w:val="single" w:sz="2" w:space="0" w:color="auto"/>
              <w:left w:val="single" w:sz="2" w:space="0" w:color="auto"/>
              <w:bottom w:val="single" w:sz="2" w:space="0" w:color="auto"/>
              <w:right w:val="single" w:sz="2" w:space="0" w:color="auto"/>
            </w:tcBorders>
          </w:tcPr>
          <w:p w14:paraId="6EE32CC6" w14:textId="77777777" w:rsidR="009F4766" w:rsidRPr="00DE12A3" w:rsidRDefault="009F4766" w:rsidP="00C917D6">
            <w:pPr>
              <w:pStyle w:val="NormalLeft"/>
            </w:pPr>
            <w:r w:rsidRPr="00DE12A3">
              <w:lastRenderedPageBreak/>
              <w:t>980</w:t>
            </w:r>
          </w:p>
        </w:tc>
        <w:tc>
          <w:tcPr>
            <w:tcW w:w="2489" w:type="dxa"/>
            <w:tcBorders>
              <w:top w:val="single" w:sz="2" w:space="0" w:color="auto"/>
              <w:left w:val="single" w:sz="2" w:space="0" w:color="auto"/>
              <w:bottom w:val="single" w:sz="2" w:space="0" w:color="auto"/>
              <w:right w:val="single" w:sz="2" w:space="0" w:color="auto"/>
            </w:tcBorders>
          </w:tcPr>
          <w:p w14:paraId="1C399208" w14:textId="77777777" w:rsidR="009F4766" w:rsidRPr="00DE12A3" w:rsidRDefault="009F4766" w:rsidP="00C917D6">
            <w:pPr>
              <w:pStyle w:val="NormalLeft"/>
            </w:pPr>
            <w:r w:rsidRPr="00DE12A3">
              <w:t>81</w:t>
            </w:r>
          </w:p>
        </w:tc>
        <w:tc>
          <w:tcPr>
            <w:tcW w:w="2551" w:type="dxa"/>
            <w:tcBorders>
              <w:top w:val="single" w:sz="2" w:space="0" w:color="auto"/>
              <w:left w:val="single" w:sz="2" w:space="0" w:color="auto"/>
              <w:bottom w:val="single" w:sz="2" w:space="0" w:color="auto"/>
              <w:right w:val="single" w:sz="2" w:space="0" w:color="auto"/>
            </w:tcBorders>
          </w:tcPr>
          <w:p w14:paraId="67A3F82C" w14:textId="77777777" w:rsidR="009F4766" w:rsidRPr="00DE12A3" w:rsidRDefault="009F4766" w:rsidP="00C917D6">
            <w:pPr>
              <w:pStyle w:val="NormalLeft"/>
            </w:pPr>
            <w:r w:rsidRPr="00DE12A3">
              <w:t>75</w:t>
            </w:r>
          </w:p>
        </w:tc>
      </w:tr>
      <w:tr w:rsidR="00DE12A3" w:rsidRPr="00DE12A3" w14:paraId="62D0A613" w14:textId="77777777" w:rsidTr="009F4766">
        <w:tc>
          <w:tcPr>
            <w:tcW w:w="1182" w:type="dxa"/>
            <w:tcBorders>
              <w:top w:val="single" w:sz="2" w:space="0" w:color="auto"/>
              <w:left w:val="single" w:sz="2" w:space="0" w:color="auto"/>
              <w:bottom w:val="single" w:sz="2" w:space="0" w:color="auto"/>
              <w:right w:val="single" w:sz="2" w:space="0" w:color="auto"/>
            </w:tcBorders>
          </w:tcPr>
          <w:p w14:paraId="4DBDA873" w14:textId="77777777" w:rsidR="009F4766" w:rsidRPr="00DE12A3" w:rsidRDefault="009F4766" w:rsidP="00C917D6">
            <w:pPr>
              <w:pStyle w:val="NormalLeft"/>
            </w:pPr>
            <w:r w:rsidRPr="00DE12A3">
              <w:t>981</w:t>
            </w:r>
          </w:p>
        </w:tc>
        <w:tc>
          <w:tcPr>
            <w:tcW w:w="2489" w:type="dxa"/>
            <w:tcBorders>
              <w:top w:val="single" w:sz="2" w:space="0" w:color="auto"/>
              <w:left w:val="single" w:sz="2" w:space="0" w:color="auto"/>
              <w:bottom w:val="single" w:sz="2" w:space="0" w:color="auto"/>
              <w:right w:val="single" w:sz="2" w:space="0" w:color="auto"/>
            </w:tcBorders>
          </w:tcPr>
          <w:p w14:paraId="7FF41299" w14:textId="77777777" w:rsidR="009F4766" w:rsidRPr="00DE12A3" w:rsidRDefault="009F4766" w:rsidP="00C917D6">
            <w:pPr>
              <w:pStyle w:val="NormalLeft"/>
            </w:pPr>
            <w:r w:rsidRPr="00DE12A3">
              <w:t>80</w:t>
            </w:r>
          </w:p>
        </w:tc>
        <w:tc>
          <w:tcPr>
            <w:tcW w:w="2551" w:type="dxa"/>
            <w:tcBorders>
              <w:top w:val="single" w:sz="2" w:space="0" w:color="auto"/>
              <w:left w:val="single" w:sz="2" w:space="0" w:color="auto"/>
              <w:bottom w:val="single" w:sz="2" w:space="0" w:color="auto"/>
              <w:right w:val="single" w:sz="2" w:space="0" w:color="auto"/>
            </w:tcBorders>
          </w:tcPr>
          <w:p w14:paraId="517A7B15" w14:textId="77777777" w:rsidR="009F4766" w:rsidRPr="00DE12A3" w:rsidRDefault="009F4766" w:rsidP="00C917D6">
            <w:pPr>
              <w:pStyle w:val="NormalLeft"/>
            </w:pPr>
            <w:r w:rsidRPr="00DE12A3">
              <w:t>60</w:t>
            </w:r>
          </w:p>
        </w:tc>
      </w:tr>
      <w:tr w:rsidR="00DE12A3" w:rsidRPr="00DE12A3" w14:paraId="2789AD36" w14:textId="77777777" w:rsidTr="009F4766">
        <w:tc>
          <w:tcPr>
            <w:tcW w:w="1182" w:type="dxa"/>
            <w:tcBorders>
              <w:top w:val="single" w:sz="2" w:space="0" w:color="auto"/>
              <w:left w:val="single" w:sz="2" w:space="0" w:color="auto"/>
              <w:bottom w:val="single" w:sz="2" w:space="0" w:color="auto"/>
              <w:right w:val="single" w:sz="2" w:space="0" w:color="auto"/>
            </w:tcBorders>
          </w:tcPr>
          <w:p w14:paraId="798011BF" w14:textId="77777777" w:rsidR="009F4766" w:rsidRPr="00DE12A3" w:rsidRDefault="009F4766" w:rsidP="00C917D6">
            <w:pPr>
              <w:pStyle w:val="NormalLeft"/>
            </w:pPr>
            <w:r w:rsidRPr="00DE12A3">
              <w:t>982</w:t>
            </w:r>
          </w:p>
        </w:tc>
        <w:tc>
          <w:tcPr>
            <w:tcW w:w="2489" w:type="dxa"/>
            <w:tcBorders>
              <w:top w:val="single" w:sz="2" w:space="0" w:color="auto"/>
              <w:left w:val="single" w:sz="2" w:space="0" w:color="auto"/>
              <w:bottom w:val="single" w:sz="2" w:space="0" w:color="auto"/>
              <w:right w:val="single" w:sz="2" w:space="0" w:color="auto"/>
            </w:tcBorders>
          </w:tcPr>
          <w:p w14:paraId="4135CD57" w14:textId="77777777" w:rsidR="009F4766" w:rsidRPr="00DE12A3" w:rsidRDefault="009F4766" w:rsidP="00C917D6">
            <w:pPr>
              <w:pStyle w:val="NormalLeft"/>
            </w:pPr>
            <w:r w:rsidRPr="00DE12A3">
              <w:t>81</w:t>
            </w:r>
          </w:p>
        </w:tc>
        <w:tc>
          <w:tcPr>
            <w:tcW w:w="2551" w:type="dxa"/>
            <w:tcBorders>
              <w:top w:val="single" w:sz="2" w:space="0" w:color="auto"/>
              <w:left w:val="single" w:sz="2" w:space="0" w:color="auto"/>
              <w:bottom w:val="single" w:sz="2" w:space="0" w:color="auto"/>
              <w:right w:val="single" w:sz="2" w:space="0" w:color="auto"/>
            </w:tcBorders>
          </w:tcPr>
          <w:p w14:paraId="48134D4F" w14:textId="77777777" w:rsidR="009F4766" w:rsidRPr="00DE12A3" w:rsidRDefault="009F4766" w:rsidP="00C917D6">
            <w:pPr>
              <w:pStyle w:val="NormalLeft"/>
            </w:pPr>
            <w:r w:rsidRPr="00DE12A3">
              <w:t>48</w:t>
            </w:r>
          </w:p>
        </w:tc>
      </w:tr>
      <w:tr w:rsidR="00DE12A3" w:rsidRPr="00DE12A3" w14:paraId="75F77771" w14:textId="77777777" w:rsidTr="009F4766">
        <w:tc>
          <w:tcPr>
            <w:tcW w:w="1182" w:type="dxa"/>
            <w:tcBorders>
              <w:top w:val="single" w:sz="2" w:space="0" w:color="auto"/>
              <w:left w:val="single" w:sz="2" w:space="0" w:color="auto"/>
              <w:bottom w:val="single" w:sz="2" w:space="0" w:color="auto"/>
              <w:right w:val="single" w:sz="2" w:space="0" w:color="auto"/>
            </w:tcBorders>
          </w:tcPr>
          <w:p w14:paraId="67C6BE77" w14:textId="77777777" w:rsidR="009F4766" w:rsidRPr="00DE12A3" w:rsidRDefault="009F4766" w:rsidP="00C917D6">
            <w:pPr>
              <w:pStyle w:val="NormalLeft"/>
            </w:pPr>
            <w:r w:rsidRPr="00DE12A3">
              <w:t>983</w:t>
            </w:r>
          </w:p>
        </w:tc>
        <w:tc>
          <w:tcPr>
            <w:tcW w:w="2489" w:type="dxa"/>
            <w:tcBorders>
              <w:top w:val="single" w:sz="2" w:space="0" w:color="auto"/>
              <w:left w:val="single" w:sz="2" w:space="0" w:color="auto"/>
              <w:bottom w:val="single" w:sz="2" w:space="0" w:color="auto"/>
              <w:right w:val="single" w:sz="2" w:space="0" w:color="auto"/>
            </w:tcBorders>
          </w:tcPr>
          <w:p w14:paraId="4E85D0DE" w14:textId="77777777" w:rsidR="009F4766" w:rsidRPr="00DE12A3" w:rsidRDefault="009F4766" w:rsidP="00C917D6">
            <w:pPr>
              <w:pStyle w:val="NormalLeft"/>
            </w:pPr>
            <w:r w:rsidRPr="00DE12A3">
              <w:t>81</w:t>
            </w:r>
          </w:p>
        </w:tc>
        <w:tc>
          <w:tcPr>
            <w:tcW w:w="2551" w:type="dxa"/>
            <w:tcBorders>
              <w:top w:val="single" w:sz="2" w:space="0" w:color="auto"/>
              <w:left w:val="single" w:sz="2" w:space="0" w:color="auto"/>
              <w:bottom w:val="single" w:sz="2" w:space="0" w:color="auto"/>
              <w:right w:val="single" w:sz="2" w:space="0" w:color="auto"/>
            </w:tcBorders>
          </w:tcPr>
          <w:p w14:paraId="7EAAB53A" w14:textId="77777777" w:rsidR="009F4766" w:rsidRPr="00DE12A3" w:rsidRDefault="009F4766" w:rsidP="00C917D6">
            <w:pPr>
              <w:pStyle w:val="NormalLeft"/>
            </w:pPr>
            <w:r w:rsidRPr="00DE12A3">
              <w:t>41</w:t>
            </w:r>
          </w:p>
        </w:tc>
      </w:tr>
      <w:tr w:rsidR="00DE12A3" w:rsidRPr="00DE12A3" w14:paraId="31B33A59" w14:textId="77777777" w:rsidTr="009F4766">
        <w:tc>
          <w:tcPr>
            <w:tcW w:w="1182" w:type="dxa"/>
            <w:tcBorders>
              <w:top w:val="single" w:sz="2" w:space="0" w:color="auto"/>
              <w:left w:val="single" w:sz="2" w:space="0" w:color="auto"/>
              <w:bottom w:val="single" w:sz="2" w:space="0" w:color="auto"/>
              <w:right w:val="single" w:sz="2" w:space="0" w:color="auto"/>
            </w:tcBorders>
          </w:tcPr>
          <w:p w14:paraId="31AE102E" w14:textId="77777777" w:rsidR="009F4766" w:rsidRPr="00DE12A3" w:rsidRDefault="009F4766" w:rsidP="00C917D6">
            <w:pPr>
              <w:pStyle w:val="NormalLeft"/>
            </w:pPr>
            <w:r w:rsidRPr="00DE12A3">
              <w:t>984</w:t>
            </w:r>
          </w:p>
        </w:tc>
        <w:tc>
          <w:tcPr>
            <w:tcW w:w="2489" w:type="dxa"/>
            <w:tcBorders>
              <w:top w:val="single" w:sz="2" w:space="0" w:color="auto"/>
              <w:left w:val="single" w:sz="2" w:space="0" w:color="auto"/>
              <w:bottom w:val="single" w:sz="2" w:space="0" w:color="auto"/>
              <w:right w:val="single" w:sz="2" w:space="0" w:color="auto"/>
            </w:tcBorders>
          </w:tcPr>
          <w:p w14:paraId="7DAF7E5D" w14:textId="77777777" w:rsidR="009F4766" w:rsidRPr="00DE12A3" w:rsidRDefault="009F4766" w:rsidP="00C917D6">
            <w:pPr>
              <w:pStyle w:val="NormalLeft"/>
            </w:pPr>
            <w:r w:rsidRPr="00DE12A3">
              <w:t>81</w:t>
            </w:r>
          </w:p>
        </w:tc>
        <w:tc>
          <w:tcPr>
            <w:tcW w:w="2551" w:type="dxa"/>
            <w:tcBorders>
              <w:top w:val="single" w:sz="2" w:space="0" w:color="auto"/>
              <w:left w:val="single" w:sz="2" w:space="0" w:color="auto"/>
              <w:bottom w:val="single" w:sz="2" w:space="0" w:color="auto"/>
              <w:right w:val="single" w:sz="2" w:space="0" w:color="auto"/>
            </w:tcBorders>
          </w:tcPr>
          <w:p w14:paraId="508FA4D4" w14:textId="77777777" w:rsidR="009F4766" w:rsidRPr="00DE12A3" w:rsidRDefault="009F4766" w:rsidP="00C917D6">
            <w:pPr>
              <w:pStyle w:val="NormalLeft"/>
            </w:pPr>
            <w:r w:rsidRPr="00DE12A3">
              <w:t>30</w:t>
            </w:r>
          </w:p>
        </w:tc>
      </w:tr>
      <w:tr w:rsidR="00DE12A3" w:rsidRPr="00DE12A3" w14:paraId="34CB1164" w14:textId="77777777" w:rsidTr="009F4766">
        <w:tc>
          <w:tcPr>
            <w:tcW w:w="1182" w:type="dxa"/>
            <w:tcBorders>
              <w:top w:val="single" w:sz="2" w:space="0" w:color="auto"/>
              <w:left w:val="single" w:sz="2" w:space="0" w:color="auto"/>
              <w:bottom w:val="single" w:sz="2" w:space="0" w:color="auto"/>
              <w:right w:val="single" w:sz="2" w:space="0" w:color="auto"/>
            </w:tcBorders>
          </w:tcPr>
          <w:p w14:paraId="43D2404C" w14:textId="77777777" w:rsidR="009F4766" w:rsidRPr="00DE12A3" w:rsidRDefault="009F4766" w:rsidP="00C917D6">
            <w:pPr>
              <w:pStyle w:val="NormalLeft"/>
            </w:pPr>
            <w:r w:rsidRPr="00DE12A3">
              <w:t>985</w:t>
            </w:r>
          </w:p>
        </w:tc>
        <w:tc>
          <w:tcPr>
            <w:tcW w:w="2489" w:type="dxa"/>
            <w:tcBorders>
              <w:top w:val="single" w:sz="2" w:space="0" w:color="auto"/>
              <w:left w:val="single" w:sz="2" w:space="0" w:color="auto"/>
              <w:bottom w:val="single" w:sz="2" w:space="0" w:color="auto"/>
              <w:right w:val="single" w:sz="2" w:space="0" w:color="auto"/>
            </w:tcBorders>
          </w:tcPr>
          <w:p w14:paraId="73F986E3" w14:textId="77777777" w:rsidR="009F4766" w:rsidRPr="00DE12A3" w:rsidRDefault="009F4766" w:rsidP="00C917D6">
            <w:pPr>
              <w:pStyle w:val="NormalLeft"/>
            </w:pPr>
            <w:r w:rsidRPr="00DE12A3">
              <w:t>80</w:t>
            </w:r>
          </w:p>
        </w:tc>
        <w:tc>
          <w:tcPr>
            <w:tcW w:w="2551" w:type="dxa"/>
            <w:tcBorders>
              <w:top w:val="single" w:sz="2" w:space="0" w:color="auto"/>
              <w:left w:val="single" w:sz="2" w:space="0" w:color="auto"/>
              <w:bottom w:val="single" w:sz="2" w:space="0" w:color="auto"/>
              <w:right w:val="single" w:sz="2" w:space="0" w:color="auto"/>
            </w:tcBorders>
          </w:tcPr>
          <w:p w14:paraId="46B8A627" w14:textId="77777777" w:rsidR="009F4766" w:rsidRPr="00DE12A3" w:rsidRDefault="009F4766" w:rsidP="00C917D6">
            <w:pPr>
              <w:pStyle w:val="NormalLeft"/>
            </w:pPr>
            <w:r w:rsidRPr="00DE12A3">
              <w:t>24</w:t>
            </w:r>
          </w:p>
        </w:tc>
      </w:tr>
      <w:tr w:rsidR="00DE12A3" w:rsidRPr="00DE12A3" w14:paraId="1A162BD0" w14:textId="77777777" w:rsidTr="009F4766">
        <w:tc>
          <w:tcPr>
            <w:tcW w:w="1182" w:type="dxa"/>
            <w:tcBorders>
              <w:top w:val="single" w:sz="2" w:space="0" w:color="auto"/>
              <w:left w:val="single" w:sz="2" w:space="0" w:color="auto"/>
              <w:bottom w:val="single" w:sz="2" w:space="0" w:color="auto"/>
              <w:right w:val="single" w:sz="2" w:space="0" w:color="auto"/>
            </w:tcBorders>
          </w:tcPr>
          <w:p w14:paraId="6D670064" w14:textId="77777777" w:rsidR="009F4766" w:rsidRPr="00DE12A3" w:rsidRDefault="009F4766" w:rsidP="00C917D6">
            <w:pPr>
              <w:pStyle w:val="NormalLeft"/>
            </w:pPr>
            <w:r w:rsidRPr="00DE12A3">
              <w:t>986</w:t>
            </w:r>
          </w:p>
        </w:tc>
        <w:tc>
          <w:tcPr>
            <w:tcW w:w="2489" w:type="dxa"/>
            <w:tcBorders>
              <w:top w:val="single" w:sz="2" w:space="0" w:color="auto"/>
              <w:left w:val="single" w:sz="2" w:space="0" w:color="auto"/>
              <w:bottom w:val="single" w:sz="2" w:space="0" w:color="auto"/>
              <w:right w:val="single" w:sz="2" w:space="0" w:color="auto"/>
            </w:tcBorders>
          </w:tcPr>
          <w:p w14:paraId="2386FF14" w14:textId="77777777" w:rsidR="009F4766" w:rsidRPr="00DE12A3" w:rsidRDefault="009F4766" w:rsidP="00C917D6">
            <w:pPr>
              <w:pStyle w:val="NormalLeft"/>
            </w:pPr>
            <w:r w:rsidRPr="00DE12A3">
              <w:t>81</w:t>
            </w:r>
          </w:p>
        </w:tc>
        <w:tc>
          <w:tcPr>
            <w:tcW w:w="2551" w:type="dxa"/>
            <w:tcBorders>
              <w:top w:val="single" w:sz="2" w:space="0" w:color="auto"/>
              <w:left w:val="single" w:sz="2" w:space="0" w:color="auto"/>
              <w:bottom w:val="single" w:sz="2" w:space="0" w:color="auto"/>
              <w:right w:val="single" w:sz="2" w:space="0" w:color="auto"/>
            </w:tcBorders>
          </w:tcPr>
          <w:p w14:paraId="0CF47AC2" w14:textId="77777777" w:rsidR="009F4766" w:rsidRPr="00DE12A3" w:rsidRDefault="009F4766" w:rsidP="00C917D6">
            <w:pPr>
              <w:pStyle w:val="NormalLeft"/>
            </w:pPr>
            <w:r w:rsidRPr="00DE12A3">
              <w:t>20</w:t>
            </w:r>
          </w:p>
        </w:tc>
      </w:tr>
      <w:tr w:rsidR="00DE12A3" w:rsidRPr="00DE12A3" w14:paraId="04FFF9C3" w14:textId="77777777" w:rsidTr="009F4766">
        <w:tc>
          <w:tcPr>
            <w:tcW w:w="1182" w:type="dxa"/>
            <w:tcBorders>
              <w:top w:val="single" w:sz="2" w:space="0" w:color="auto"/>
              <w:left w:val="single" w:sz="2" w:space="0" w:color="auto"/>
              <w:bottom w:val="single" w:sz="2" w:space="0" w:color="auto"/>
              <w:right w:val="single" w:sz="2" w:space="0" w:color="auto"/>
            </w:tcBorders>
          </w:tcPr>
          <w:p w14:paraId="5F9B7B0A" w14:textId="77777777" w:rsidR="009F4766" w:rsidRPr="00DE12A3" w:rsidRDefault="009F4766" w:rsidP="00C917D6">
            <w:pPr>
              <w:pStyle w:val="NormalLeft"/>
            </w:pPr>
            <w:r w:rsidRPr="00DE12A3">
              <w:t>987</w:t>
            </w:r>
          </w:p>
        </w:tc>
        <w:tc>
          <w:tcPr>
            <w:tcW w:w="2489" w:type="dxa"/>
            <w:tcBorders>
              <w:top w:val="single" w:sz="2" w:space="0" w:color="auto"/>
              <w:left w:val="single" w:sz="2" w:space="0" w:color="auto"/>
              <w:bottom w:val="single" w:sz="2" w:space="0" w:color="auto"/>
              <w:right w:val="single" w:sz="2" w:space="0" w:color="auto"/>
            </w:tcBorders>
          </w:tcPr>
          <w:p w14:paraId="6ACC1C7A" w14:textId="77777777" w:rsidR="009F4766" w:rsidRPr="00DE12A3" w:rsidRDefault="009F4766" w:rsidP="00C917D6">
            <w:pPr>
              <w:pStyle w:val="NormalLeft"/>
            </w:pPr>
            <w:r w:rsidRPr="00DE12A3">
              <w:t>81</w:t>
            </w:r>
          </w:p>
        </w:tc>
        <w:tc>
          <w:tcPr>
            <w:tcW w:w="2551" w:type="dxa"/>
            <w:tcBorders>
              <w:top w:val="single" w:sz="2" w:space="0" w:color="auto"/>
              <w:left w:val="single" w:sz="2" w:space="0" w:color="auto"/>
              <w:bottom w:val="single" w:sz="2" w:space="0" w:color="auto"/>
              <w:right w:val="single" w:sz="2" w:space="0" w:color="auto"/>
            </w:tcBorders>
          </w:tcPr>
          <w:p w14:paraId="336D591A" w14:textId="77777777" w:rsidR="009F4766" w:rsidRPr="00DE12A3" w:rsidRDefault="009F4766" w:rsidP="00C917D6">
            <w:pPr>
              <w:pStyle w:val="NormalLeft"/>
            </w:pPr>
            <w:r w:rsidRPr="00DE12A3">
              <w:t>21</w:t>
            </w:r>
          </w:p>
        </w:tc>
      </w:tr>
      <w:tr w:rsidR="00DE12A3" w:rsidRPr="00DE12A3" w14:paraId="18C74C8B" w14:textId="77777777" w:rsidTr="009F4766">
        <w:tc>
          <w:tcPr>
            <w:tcW w:w="1182" w:type="dxa"/>
            <w:tcBorders>
              <w:top w:val="single" w:sz="2" w:space="0" w:color="auto"/>
              <w:left w:val="single" w:sz="2" w:space="0" w:color="auto"/>
              <w:bottom w:val="single" w:sz="2" w:space="0" w:color="auto"/>
              <w:right w:val="single" w:sz="2" w:space="0" w:color="auto"/>
            </w:tcBorders>
          </w:tcPr>
          <w:p w14:paraId="6B1D73F8" w14:textId="77777777" w:rsidR="009F4766" w:rsidRPr="00DE12A3" w:rsidRDefault="009F4766" w:rsidP="00C917D6">
            <w:pPr>
              <w:pStyle w:val="NormalLeft"/>
            </w:pPr>
            <w:r w:rsidRPr="00DE12A3">
              <w:t>988</w:t>
            </w:r>
          </w:p>
        </w:tc>
        <w:tc>
          <w:tcPr>
            <w:tcW w:w="2489" w:type="dxa"/>
            <w:tcBorders>
              <w:top w:val="single" w:sz="2" w:space="0" w:color="auto"/>
              <w:left w:val="single" w:sz="2" w:space="0" w:color="auto"/>
              <w:bottom w:val="single" w:sz="2" w:space="0" w:color="auto"/>
              <w:right w:val="single" w:sz="2" w:space="0" w:color="auto"/>
            </w:tcBorders>
          </w:tcPr>
          <w:p w14:paraId="63F6F1E5" w14:textId="77777777" w:rsidR="009F4766" w:rsidRPr="00DE12A3" w:rsidRDefault="009F4766" w:rsidP="00C917D6">
            <w:pPr>
              <w:pStyle w:val="NormalLeft"/>
            </w:pPr>
            <w:r w:rsidRPr="00DE12A3">
              <w:t>81</w:t>
            </w:r>
          </w:p>
        </w:tc>
        <w:tc>
          <w:tcPr>
            <w:tcW w:w="2551" w:type="dxa"/>
            <w:tcBorders>
              <w:top w:val="single" w:sz="2" w:space="0" w:color="auto"/>
              <w:left w:val="single" w:sz="2" w:space="0" w:color="auto"/>
              <w:bottom w:val="single" w:sz="2" w:space="0" w:color="auto"/>
              <w:right w:val="single" w:sz="2" w:space="0" w:color="auto"/>
            </w:tcBorders>
          </w:tcPr>
          <w:p w14:paraId="13AAC153" w14:textId="77777777" w:rsidR="009F4766" w:rsidRPr="00DE12A3" w:rsidRDefault="009F4766" w:rsidP="00C917D6">
            <w:pPr>
              <w:pStyle w:val="NormalLeft"/>
            </w:pPr>
            <w:r w:rsidRPr="00DE12A3">
              <w:t>29</w:t>
            </w:r>
          </w:p>
        </w:tc>
      </w:tr>
      <w:tr w:rsidR="00DE12A3" w:rsidRPr="00DE12A3" w14:paraId="20869CD0" w14:textId="77777777" w:rsidTr="009F4766">
        <w:tc>
          <w:tcPr>
            <w:tcW w:w="1182" w:type="dxa"/>
            <w:tcBorders>
              <w:top w:val="single" w:sz="2" w:space="0" w:color="auto"/>
              <w:left w:val="single" w:sz="2" w:space="0" w:color="auto"/>
              <w:bottom w:val="single" w:sz="2" w:space="0" w:color="auto"/>
              <w:right w:val="single" w:sz="2" w:space="0" w:color="auto"/>
            </w:tcBorders>
          </w:tcPr>
          <w:p w14:paraId="30D03D99" w14:textId="77777777" w:rsidR="009F4766" w:rsidRPr="00DE12A3" w:rsidRDefault="009F4766" w:rsidP="00C917D6">
            <w:pPr>
              <w:pStyle w:val="NormalLeft"/>
            </w:pPr>
            <w:r w:rsidRPr="00DE12A3">
              <w:t>989</w:t>
            </w:r>
          </w:p>
        </w:tc>
        <w:tc>
          <w:tcPr>
            <w:tcW w:w="2489" w:type="dxa"/>
            <w:tcBorders>
              <w:top w:val="single" w:sz="2" w:space="0" w:color="auto"/>
              <w:left w:val="single" w:sz="2" w:space="0" w:color="auto"/>
              <w:bottom w:val="single" w:sz="2" w:space="0" w:color="auto"/>
              <w:right w:val="single" w:sz="2" w:space="0" w:color="auto"/>
            </w:tcBorders>
          </w:tcPr>
          <w:p w14:paraId="3FD7ECE6" w14:textId="77777777" w:rsidR="009F4766" w:rsidRPr="00DE12A3" w:rsidRDefault="009F4766" w:rsidP="00C917D6">
            <w:pPr>
              <w:pStyle w:val="NormalLeft"/>
            </w:pPr>
            <w:r w:rsidRPr="00DE12A3">
              <w:t>81</w:t>
            </w:r>
          </w:p>
        </w:tc>
        <w:tc>
          <w:tcPr>
            <w:tcW w:w="2551" w:type="dxa"/>
            <w:tcBorders>
              <w:top w:val="single" w:sz="2" w:space="0" w:color="auto"/>
              <w:left w:val="single" w:sz="2" w:space="0" w:color="auto"/>
              <w:bottom w:val="single" w:sz="2" w:space="0" w:color="auto"/>
              <w:right w:val="single" w:sz="2" w:space="0" w:color="auto"/>
            </w:tcBorders>
          </w:tcPr>
          <w:p w14:paraId="59A816FC" w14:textId="77777777" w:rsidR="009F4766" w:rsidRPr="00DE12A3" w:rsidRDefault="009F4766" w:rsidP="00C917D6">
            <w:pPr>
              <w:pStyle w:val="NormalLeft"/>
            </w:pPr>
            <w:r w:rsidRPr="00DE12A3">
              <w:t>29</w:t>
            </w:r>
          </w:p>
        </w:tc>
      </w:tr>
      <w:tr w:rsidR="00DE12A3" w:rsidRPr="00DE12A3" w14:paraId="3A8DFB89" w14:textId="77777777" w:rsidTr="009F4766">
        <w:tc>
          <w:tcPr>
            <w:tcW w:w="1182" w:type="dxa"/>
            <w:tcBorders>
              <w:top w:val="single" w:sz="2" w:space="0" w:color="auto"/>
              <w:left w:val="single" w:sz="2" w:space="0" w:color="auto"/>
              <w:bottom w:val="single" w:sz="2" w:space="0" w:color="auto"/>
              <w:right w:val="single" w:sz="2" w:space="0" w:color="auto"/>
            </w:tcBorders>
          </w:tcPr>
          <w:p w14:paraId="673A942D" w14:textId="77777777" w:rsidR="009F4766" w:rsidRPr="00DE12A3" w:rsidRDefault="009F4766" w:rsidP="00C917D6">
            <w:pPr>
              <w:pStyle w:val="NormalLeft"/>
            </w:pPr>
            <w:r w:rsidRPr="00DE12A3">
              <w:t>990</w:t>
            </w:r>
          </w:p>
        </w:tc>
        <w:tc>
          <w:tcPr>
            <w:tcW w:w="2489" w:type="dxa"/>
            <w:tcBorders>
              <w:top w:val="single" w:sz="2" w:space="0" w:color="auto"/>
              <w:left w:val="single" w:sz="2" w:space="0" w:color="auto"/>
              <w:bottom w:val="single" w:sz="2" w:space="0" w:color="auto"/>
              <w:right w:val="single" w:sz="2" w:space="0" w:color="auto"/>
            </w:tcBorders>
          </w:tcPr>
          <w:p w14:paraId="4D538087" w14:textId="77777777" w:rsidR="009F4766" w:rsidRPr="00DE12A3" w:rsidRDefault="009F4766" w:rsidP="00C917D6">
            <w:pPr>
              <w:pStyle w:val="NormalLeft"/>
            </w:pPr>
            <w:r w:rsidRPr="00DE12A3">
              <w:t>81</w:t>
            </w:r>
          </w:p>
        </w:tc>
        <w:tc>
          <w:tcPr>
            <w:tcW w:w="2551" w:type="dxa"/>
            <w:tcBorders>
              <w:top w:val="single" w:sz="2" w:space="0" w:color="auto"/>
              <w:left w:val="single" w:sz="2" w:space="0" w:color="auto"/>
              <w:bottom w:val="single" w:sz="2" w:space="0" w:color="auto"/>
              <w:right w:val="single" w:sz="2" w:space="0" w:color="auto"/>
            </w:tcBorders>
          </w:tcPr>
          <w:p w14:paraId="17769064" w14:textId="77777777" w:rsidR="009F4766" w:rsidRPr="00DE12A3" w:rsidRDefault="009F4766" w:rsidP="00C917D6">
            <w:pPr>
              <w:pStyle w:val="NormalLeft"/>
            </w:pPr>
            <w:r w:rsidRPr="00DE12A3">
              <w:t>27</w:t>
            </w:r>
          </w:p>
        </w:tc>
      </w:tr>
      <w:tr w:rsidR="00DE12A3" w:rsidRPr="00DE12A3" w14:paraId="471E13EB" w14:textId="77777777" w:rsidTr="009F4766">
        <w:tc>
          <w:tcPr>
            <w:tcW w:w="1182" w:type="dxa"/>
            <w:tcBorders>
              <w:top w:val="single" w:sz="2" w:space="0" w:color="auto"/>
              <w:left w:val="single" w:sz="2" w:space="0" w:color="auto"/>
              <w:bottom w:val="single" w:sz="2" w:space="0" w:color="auto"/>
              <w:right w:val="single" w:sz="2" w:space="0" w:color="auto"/>
            </w:tcBorders>
          </w:tcPr>
          <w:p w14:paraId="73F77AE0" w14:textId="77777777" w:rsidR="009F4766" w:rsidRPr="00DE12A3" w:rsidRDefault="009F4766" w:rsidP="00C917D6">
            <w:pPr>
              <w:pStyle w:val="NormalLeft"/>
            </w:pPr>
            <w:r w:rsidRPr="00DE12A3">
              <w:t>991</w:t>
            </w:r>
          </w:p>
        </w:tc>
        <w:tc>
          <w:tcPr>
            <w:tcW w:w="2489" w:type="dxa"/>
            <w:tcBorders>
              <w:top w:val="single" w:sz="2" w:space="0" w:color="auto"/>
              <w:left w:val="single" w:sz="2" w:space="0" w:color="auto"/>
              <w:bottom w:val="single" w:sz="2" w:space="0" w:color="auto"/>
              <w:right w:val="single" w:sz="2" w:space="0" w:color="auto"/>
            </w:tcBorders>
          </w:tcPr>
          <w:p w14:paraId="7831E7D8" w14:textId="77777777" w:rsidR="009F4766" w:rsidRPr="00DE12A3" w:rsidRDefault="009F4766" w:rsidP="00C917D6">
            <w:pPr>
              <w:pStyle w:val="NormalLeft"/>
            </w:pPr>
            <w:r w:rsidRPr="00DE12A3">
              <w:t>81</w:t>
            </w:r>
          </w:p>
        </w:tc>
        <w:tc>
          <w:tcPr>
            <w:tcW w:w="2551" w:type="dxa"/>
            <w:tcBorders>
              <w:top w:val="single" w:sz="2" w:space="0" w:color="auto"/>
              <w:left w:val="single" w:sz="2" w:space="0" w:color="auto"/>
              <w:bottom w:val="single" w:sz="2" w:space="0" w:color="auto"/>
              <w:right w:val="single" w:sz="2" w:space="0" w:color="auto"/>
            </w:tcBorders>
          </w:tcPr>
          <w:p w14:paraId="2D984F11" w14:textId="77777777" w:rsidR="009F4766" w:rsidRPr="00DE12A3" w:rsidRDefault="009F4766" w:rsidP="00C917D6">
            <w:pPr>
              <w:pStyle w:val="NormalLeft"/>
            </w:pPr>
            <w:r w:rsidRPr="00DE12A3">
              <w:t>23</w:t>
            </w:r>
          </w:p>
        </w:tc>
      </w:tr>
      <w:tr w:rsidR="00DE12A3" w:rsidRPr="00DE12A3" w14:paraId="0BBE21E0" w14:textId="77777777" w:rsidTr="009F4766">
        <w:tc>
          <w:tcPr>
            <w:tcW w:w="1182" w:type="dxa"/>
            <w:tcBorders>
              <w:top w:val="single" w:sz="2" w:space="0" w:color="auto"/>
              <w:left w:val="single" w:sz="2" w:space="0" w:color="auto"/>
              <w:bottom w:val="single" w:sz="2" w:space="0" w:color="auto"/>
              <w:right w:val="single" w:sz="2" w:space="0" w:color="auto"/>
            </w:tcBorders>
          </w:tcPr>
          <w:p w14:paraId="67EF08EB" w14:textId="77777777" w:rsidR="009F4766" w:rsidRPr="00DE12A3" w:rsidRDefault="009F4766" w:rsidP="00C917D6">
            <w:pPr>
              <w:pStyle w:val="NormalLeft"/>
            </w:pPr>
            <w:r w:rsidRPr="00DE12A3">
              <w:t>992</w:t>
            </w:r>
          </w:p>
        </w:tc>
        <w:tc>
          <w:tcPr>
            <w:tcW w:w="2489" w:type="dxa"/>
            <w:tcBorders>
              <w:top w:val="single" w:sz="2" w:space="0" w:color="auto"/>
              <w:left w:val="single" w:sz="2" w:space="0" w:color="auto"/>
              <w:bottom w:val="single" w:sz="2" w:space="0" w:color="auto"/>
              <w:right w:val="single" w:sz="2" w:space="0" w:color="auto"/>
            </w:tcBorders>
          </w:tcPr>
          <w:p w14:paraId="58360473" w14:textId="77777777" w:rsidR="009F4766" w:rsidRPr="00DE12A3" w:rsidRDefault="009F4766" w:rsidP="00C917D6">
            <w:pPr>
              <w:pStyle w:val="NormalLeft"/>
            </w:pPr>
            <w:r w:rsidRPr="00DE12A3">
              <w:t>81</w:t>
            </w:r>
          </w:p>
        </w:tc>
        <w:tc>
          <w:tcPr>
            <w:tcW w:w="2551" w:type="dxa"/>
            <w:tcBorders>
              <w:top w:val="single" w:sz="2" w:space="0" w:color="auto"/>
              <w:left w:val="single" w:sz="2" w:space="0" w:color="auto"/>
              <w:bottom w:val="single" w:sz="2" w:space="0" w:color="auto"/>
              <w:right w:val="single" w:sz="2" w:space="0" w:color="auto"/>
            </w:tcBorders>
          </w:tcPr>
          <w:p w14:paraId="2B558AE4" w14:textId="77777777" w:rsidR="009F4766" w:rsidRPr="00DE12A3" w:rsidRDefault="009F4766" w:rsidP="00C917D6">
            <w:pPr>
              <w:pStyle w:val="NormalLeft"/>
            </w:pPr>
            <w:r w:rsidRPr="00DE12A3">
              <w:t>25</w:t>
            </w:r>
          </w:p>
        </w:tc>
      </w:tr>
      <w:tr w:rsidR="00DE12A3" w:rsidRPr="00DE12A3" w14:paraId="42CAD5B0" w14:textId="77777777" w:rsidTr="009F4766">
        <w:tc>
          <w:tcPr>
            <w:tcW w:w="1182" w:type="dxa"/>
            <w:tcBorders>
              <w:top w:val="single" w:sz="2" w:space="0" w:color="auto"/>
              <w:left w:val="single" w:sz="2" w:space="0" w:color="auto"/>
              <w:bottom w:val="single" w:sz="2" w:space="0" w:color="auto"/>
              <w:right w:val="single" w:sz="2" w:space="0" w:color="auto"/>
            </w:tcBorders>
          </w:tcPr>
          <w:p w14:paraId="18264813" w14:textId="77777777" w:rsidR="009F4766" w:rsidRPr="00DE12A3" w:rsidRDefault="009F4766" w:rsidP="00C917D6">
            <w:pPr>
              <w:pStyle w:val="NormalLeft"/>
            </w:pPr>
            <w:r w:rsidRPr="00DE12A3">
              <w:t>993</w:t>
            </w:r>
          </w:p>
        </w:tc>
        <w:tc>
          <w:tcPr>
            <w:tcW w:w="2489" w:type="dxa"/>
            <w:tcBorders>
              <w:top w:val="single" w:sz="2" w:space="0" w:color="auto"/>
              <w:left w:val="single" w:sz="2" w:space="0" w:color="auto"/>
              <w:bottom w:val="single" w:sz="2" w:space="0" w:color="auto"/>
              <w:right w:val="single" w:sz="2" w:space="0" w:color="auto"/>
            </w:tcBorders>
          </w:tcPr>
          <w:p w14:paraId="0FA7AF23" w14:textId="77777777" w:rsidR="009F4766" w:rsidRPr="00DE12A3" w:rsidRDefault="009F4766" w:rsidP="00C917D6">
            <w:pPr>
              <w:pStyle w:val="NormalLeft"/>
            </w:pPr>
            <w:r w:rsidRPr="00DE12A3">
              <w:t>81</w:t>
            </w:r>
          </w:p>
        </w:tc>
        <w:tc>
          <w:tcPr>
            <w:tcW w:w="2551" w:type="dxa"/>
            <w:tcBorders>
              <w:top w:val="single" w:sz="2" w:space="0" w:color="auto"/>
              <w:left w:val="single" w:sz="2" w:space="0" w:color="auto"/>
              <w:bottom w:val="single" w:sz="2" w:space="0" w:color="auto"/>
              <w:right w:val="single" w:sz="2" w:space="0" w:color="auto"/>
            </w:tcBorders>
          </w:tcPr>
          <w:p w14:paraId="2EF687F7" w14:textId="77777777" w:rsidR="009F4766" w:rsidRPr="00DE12A3" w:rsidRDefault="009F4766" w:rsidP="00C917D6">
            <w:pPr>
              <w:pStyle w:val="NormalLeft"/>
            </w:pPr>
            <w:r w:rsidRPr="00DE12A3">
              <w:t>26</w:t>
            </w:r>
          </w:p>
        </w:tc>
      </w:tr>
      <w:tr w:rsidR="00DE12A3" w:rsidRPr="00DE12A3" w14:paraId="507DCAC7" w14:textId="77777777" w:rsidTr="009F4766">
        <w:tc>
          <w:tcPr>
            <w:tcW w:w="1182" w:type="dxa"/>
            <w:tcBorders>
              <w:top w:val="single" w:sz="2" w:space="0" w:color="auto"/>
              <w:left w:val="single" w:sz="2" w:space="0" w:color="auto"/>
              <w:bottom w:val="single" w:sz="2" w:space="0" w:color="auto"/>
              <w:right w:val="single" w:sz="2" w:space="0" w:color="auto"/>
            </w:tcBorders>
          </w:tcPr>
          <w:p w14:paraId="7A749B4C" w14:textId="77777777" w:rsidR="009F4766" w:rsidRPr="00DE12A3" w:rsidRDefault="009F4766" w:rsidP="00C917D6">
            <w:pPr>
              <w:pStyle w:val="NormalLeft"/>
            </w:pPr>
            <w:r w:rsidRPr="00DE12A3">
              <w:t>994</w:t>
            </w:r>
          </w:p>
        </w:tc>
        <w:tc>
          <w:tcPr>
            <w:tcW w:w="2489" w:type="dxa"/>
            <w:tcBorders>
              <w:top w:val="single" w:sz="2" w:space="0" w:color="auto"/>
              <w:left w:val="single" w:sz="2" w:space="0" w:color="auto"/>
              <w:bottom w:val="single" w:sz="2" w:space="0" w:color="auto"/>
              <w:right w:val="single" w:sz="2" w:space="0" w:color="auto"/>
            </w:tcBorders>
          </w:tcPr>
          <w:p w14:paraId="6676B50F" w14:textId="77777777" w:rsidR="009F4766" w:rsidRPr="00DE12A3" w:rsidRDefault="009F4766" w:rsidP="00C917D6">
            <w:pPr>
              <w:pStyle w:val="NormalLeft"/>
            </w:pPr>
            <w:r w:rsidRPr="00DE12A3">
              <w:t>81</w:t>
            </w:r>
          </w:p>
        </w:tc>
        <w:tc>
          <w:tcPr>
            <w:tcW w:w="2551" w:type="dxa"/>
            <w:tcBorders>
              <w:top w:val="single" w:sz="2" w:space="0" w:color="auto"/>
              <w:left w:val="single" w:sz="2" w:space="0" w:color="auto"/>
              <w:bottom w:val="single" w:sz="2" w:space="0" w:color="auto"/>
              <w:right w:val="single" w:sz="2" w:space="0" w:color="auto"/>
            </w:tcBorders>
          </w:tcPr>
          <w:p w14:paraId="730CE36D" w14:textId="77777777" w:rsidR="009F4766" w:rsidRPr="00DE12A3" w:rsidRDefault="009F4766" w:rsidP="00C917D6">
            <w:pPr>
              <w:pStyle w:val="NormalLeft"/>
            </w:pPr>
            <w:r w:rsidRPr="00DE12A3">
              <w:t>22</w:t>
            </w:r>
          </w:p>
        </w:tc>
      </w:tr>
      <w:tr w:rsidR="00DE12A3" w:rsidRPr="00DE12A3" w14:paraId="79984618" w14:textId="77777777" w:rsidTr="009F4766">
        <w:tc>
          <w:tcPr>
            <w:tcW w:w="1182" w:type="dxa"/>
            <w:tcBorders>
              <w:top w:val="single" w:sz="2" w:space="0" w:color="auto"/>
              <w:left w:val="single" w:sz="2" w:space="0" w:color="auto"/>
              <w:bottom w:val="single" w:sz="2" w:space="0" w:color="auto"/>
              <w:right w:val="single" w:sz="2" w:space="0" w:color="auto"/>
            </w:tcBorders>
          </w:tcPr>
          <w:p w14:paraId="04D909A4" w14:textId="77777777" w:rsidR="009F4766" w:rsidRPr="00DE12A3" w:rsidRDefault="009F4766" w:rsidP="00C917D6">
            <w:pPr>
              <w:pStyle w:val="NormalLeft"/>
            </w:pPr>
            <w:r w:rsidRPr="00DE12A3">
              <w:t>995</w:t>
            </w:r>
          </w:p>
        </w:tc>
        <w:tc>
          <w:tcPr>
            <w:tcW w:w="2489" w:type="dxa"/>
            <w:tcBorders>
              <w:top w:val="single" w:sz="2" w:space="0" w:color="auto"/>
              <w:left w:val="single" w:sz="2" w:space="0" w:color="auto"/>
              <w:bottom w:val="single" w:sz="2" w:space="0" w:color="auto"/>
              <w:right w:val="single" w:sz="2" w:space="0" w:color="auto"/>
            </w:tcBorders>
          </w:tcPr>
          <w:p w14:paraId="155387C9" w14:textId="77777777" w:rsidR="009F4766" w:rsidRPr="00DE12A3" w:rsidRDefault="009F4766" w:rsidP="00C917D6">
            <w:pPr>
              <w:pStyle w:val="NormalLeft"/>
            </w:pPr>
            <w:r w:rsidRPr="00DE12A3">
              <w:t>81</w:t>
            </w:r>
          </w:p>
        </w:tc>
        <w:tc>
          <w:tcPr>
            <w:tcW w:w="2551" w:type="dxa"/>
            <w:tcBorders>
              <w:top w:val="single" w:sz="2" w:space="0" w:color="auto"/>
              <w:left w:val="single" w:sz="2" w:space="0" w:color="auto"/>
              <w:bottom w:val="single" w:sz="2" w:space="0" w:color="auto"/>
              <w:right w:val="single" w:sz="2" w:space="0" w:color="auto"/>
            </w:tcBorders>
          </w:tcPr>
          <w:p w14:paraId="408CEE21" w14:textId="77777777" w:rsidR="009F4766" w:rsidRPr="00DE12A3" w:rsidRDefault="009F4766" w:rsidP="00C917D6">
            <w:pPr>
              <w:pStyle w:val="NormalLeft"/>
            </w:pPr>
            <w:r w:rsidRPr="00DE12A3">
              <w:t>20</w:t>
            </w:r>
          </w:p>
        </w:tc>
      </w:tr>
      <w:tr w:rsidR="00DE12A3" w:rsidRPr="00DE12A3" w14:paraId="14B4B6B4" w14:textId="77777777" w:rsidTr="009F4766">
        <w:tc>
          <w:tcPr>
            <w:tcW w:w="1182" w:type="dxa"/>
            <w:tcBorders>
              <w:top w:val="single" w:sz="2" w:space="0" w:color="auto"/>
              <w:left w:val="single" w:sz="2" w:space="0" w:color="auto"/>
              <w:bottom w:val="single" w:sz="2" w:space="0" w:color="auto"/>
              <w:right w:val="single" w:sz="2" w:space="0" w:color="auto"/>
            </w:tcBorders>
          </w:tcPr>
          <w:p w14:paraId="61C60C50" w14:textId="77777777" w:rsidR="009F4766" w:rsidRPr="00DE12A3" w:rsidRDefault="009F4766" w:rsidP="00C917D6">
            <w:pPr>
              <w:pStyle w:val="NormalLeft"/>
            </w:pPr>
            <w:r w:rsidRPr="00DE12A3">
              <w:t>996</w:t>
            </w:r>
          </w:p>
        </w:tc>
        <w:tc>
          <w:tcPr>
            <w:tcW w:w="2489" w:type="dxa"/>
            <w:tcBorders>
              <w:top w:val="single" w:sz="2" w:space="0" w:color="auto"/>
              <w:left w:val="single" w:sz="2" w:space="0" w:color="auto"/>
              <w:bottom w:val="single" w:sz="2" w:space="0" w:color="auto"/>
              <w:right w:val="single" w:sz="2" w:space="0" w:color="auto"/>
            </w:tcBorders>
          </w:tcPr>
          <w:p w14:paraId="05D3542C" w14:textId="77777777" w:rsidR="009F4766" w:rsidRPr="00DE12A3" w:rsidRDefault="009F4766" w:rsidP="00C917D6">
            <w:pPr>
              <w:pStyle w:val="NormalLeft"/>
            </w:pPr>
            <w:r w:rsidRPr="00DE12A3">
              <w:t>81</w:t>
            </w:r>
          </w:p>
        </w:tc>
        <w:tc>
          <w:tcPr>
            <w:tcW w:w="2551" w:type="dxa"/>
            <w:tcBorders>
              <w:top w:val="single" w:sz="2" w:space="0" w:color="auto"/>
              <w:left w:val="single" w:sz="2" w:space="0" w:color="auto"/>
              <w:bottom w:val="single" w:sz="2" w:space="0" w:color="auto"/>
              <w:right w:val="single" w:sz="2" w:space="0" w:color="auto"/>
            </w:tcBorders>
          </w:tcPr>
          <w:p w14:paraId="1750E02C" w14:textId="77777777" w:rsidR="009F4766" w:rsidRPr="00DE12A3" w:rsidRDefault="009F4766" w:rsidP="00C917D6">
            <w:pPr>
              <w:pStyle w:val="NormalLeft"/>
            </w:pPr>
            <w:r w:rsidRPr="00DE12A3">
              <w:t>17</w:t>
            </w:r>
          </w:p>
        </w:tc>
      </w:tr>
      <w:tr w:rsidR="00DE12A3" w:rsidRPr="00DE12A3" w14:paraId="54D1D541" w14:textId="77777777" w:rsidTr="009F4766">
        <w:tc>
          <w:tcPr>
            <w:tcW w:w="1182" w:type="dxa"/>
            <w:tcBorders>
              <w:top w:val="single" w:sz="2" w:space="0" w:color="auto"/>
              <w:left w:val="single" w:sz="2" w:space="0" w:color="auto"/>
              <w:bottom w:val="single" w:sz="2" w:space="0" w:color="auto"/>
              <w:right w:val="single" w:sz="2" w:space="0" w:color="auto"/>
            </w:tcBorders>
          </w:tcPr>
          <w:p w14:paraId="73D1CC23" w14:textId="77777777" w:rsidR="009F4766" w:rsidRPr="00DE12A3" w:rsidRDefault="009F4766" w:rsidP="00C917D6">
            <w:pPr>
              <w:pStyle w:val="NormalLeft"/>
            </w:pPr>
            <w:r w:rsidRPr="00DE12A3">
              <w:t>997</w:t>
            </w:r>
          </w:p>
        </w:tc>
        <w:tc>
          <w:tcPr>
            <w:tcW w:w="2489" w:type="dxa"/>
            <w:tcBorders>
              <w:top w:val="single" w:sz="2" w:space="0" w:color="auto"/>
              <w:left w:val="single" w:sz="2" w:space="0" w:color="auto"/>
              <w:bottom w:val="single" w:sz="2" w:space="0" w:color="auto"/>
              <w:right w:val="single" w:sz="2" w:space="0" w:color="auto"/>
            </w:tcBorders>
          </w:tcPr>
          <w:p w14:paraId="5291561F" w14:textId="77777777" w:rsidR="009F4766" w:rsidRPr="00DE12A3" w:rsidRDefault="009F4766" w:rsidP="00C917D6">
            <w:pPr>
              <w:pStyle w:val="NormalLeft"/>
            </w:pPr>
            <w:r w:rsidRPr="00DE12A3">
              <w:t>81</w:t>
            </w:r>
          </w:p>
        </w:tc>
        <w:tc>
          <w:tcPr>
            <w:tcW w:w="2551" w:type="dxa"/>
            <w:tcBorders>
              <w:top w:val="single" w:sz="2" w:space="0" w:color="auto"/>
              <w:left w:val="single" w:sz="2" w:space="0" w:color="auto"/>
              <w:bottom w:val="single" w:sz="2" w:space="0" w:color="auto"/>
              <w:right w:val="single" w:sz="2" w:space="0" w:color="auto"/>
            </w:tcBorders>
          </w:tcPr>
          <w:p w14:paraId="2CA1C365" w14:textId="77777777" w:rsidR="009F4766" w:rsidRPr="00DE12A3" w:rsidRDefault="009F4766" w:rsidP="00C917D6">
            <w:pPr>
              <w:pStyle w:val="NormalLeft"/>
            </w:pPr>
            <w:r w:rsidRPr="00DE12A3">
              <w:t>23</w:t>
            </w:r>
          </w:p>
        </w:tc>
      </w:tr>
      <w:tr w:rsidR="00DE12A3" w:rsidRPr="00DE12A3" w14:paraId="59311237" w14:textId="77777777" w:rsidTr="009F4766">
        <w:tc>
          <w:tcPr>
            <w:tcW w:w="1182" w:type="dxa"/>
            <w:tcBorders>
              <w:top w:val="single" w:sz="2" w:space="0" w:color="auto"/>
              <w:left w:val="single" w:sz="2" w:space="0" w:color="auto"/>
              <w:bottom w:val="single" w:sz="2" w:space="0" w:color="auto"/>
              <w:right w:val="single" w:sz="2" w:space="0" w:color="auto"/>
            </w:tcBorders>
          </w:tcPr>
          <w:p w14:paraId="10EEF71B" w14:textId="77777777" w:rsidR="009F4766" w:rsidRPr="00DE12A3" w:rsidRDefault="009F4766" w:rsidP="00C917D6">
            <w:pPr>
              <w:pStyle w:val="NormalLeft"/>
            </w:pPr>
            <w:r w:rsidRPr="00DE12A3">
              <w:t>998</w:t>
            </w:r>
          </w:p>
        </w:tc>
        <w:tc>
          <w:tcPr>
            <w:tcW w:w="2489" w:type="dxa"/>
            <w:tcBorders>
              <w:top w:val="single" w:sz="2" w:space="0" w:color="auto"/>
              <w:left w:val="single" w:sz="2" w:space="0" w:color="auto"/>
              <w:bottom w:val="single" w:sz="2" w:space="0" w:color="auto"/>
              <w:right w:val="single" w:sz="2" w:space="0" w:color="auto"/>
            </w:tcBorders>
          </w:tcPr>
          <w:p w14:paraId="3A8A8E24" w14:textId="77777777" w:rsidR="009F4766" w:rsidRPr="00DE12A3" w:rsidRDefault="009F4766" w:rsidP="00C917D6">
            <w:pPr>
              <w:pStyle w:val="NormalLeft"/>
            </w:pPr>
            <w:r w:rsidRPr="00DE12A3">
              <w:t>83</w:t>
            </w:r>
          </w:p>
        </w:tc>
        <w:tc>
          <w:tcPr>
            <w:tcW w:w="2551" w:type="dxa"/>
            <w:tcBorders>
              <w:top w:val="single" w:sz="2" w:space="0" w:color="auto"/>
              <w:left w:val="single" w:sz="2" w:space="0" w:color="auto"/>
              <w:bottom w:val="single" w:sz="2" w:space="0" w:color="auto"/>
              <w:right w:val="single" w:sz="2" w:space="0" w:color="auto"/>
            </w:tcBorders>
          </w:tcPr>
          <w:p w14:paraId="707BD1EB" w14:textId="77777777" w:rsidR="009F4766" w:rsidRPr="00DE12A3" w:rsidRDefault="009F4766" w:rsidP="00C917D6">
            <w:pPr>
              <w:pStyle w:val="NormalLeft"/>
            </w:pPr>
            <w:r w:rsidRPr="00DE12A3">
              <w:t>65</w:t>
            </w:r>
          </w:p>
        </w:tc>
      </w:tr>
      <w:tr w:rsidR="00DE12A3" w:rsidRPr="00DE12A3" w14:paraId="09B4D2B7" w14:textId="77777777" w:rsidTr="009F4766">
        <w:tc>
          <w:tcPr>
            <w:tcW w:w="1182" w:type="dxa"/>
            <w:tcBorders>
              <w:top w:val="single" w:sz="2" w:space="0" w:color="auto"/>
              <w:left w:val="single" w:sz="2" w:space="0" w:color="auto"/>
              <w:bottom w:val="single" w:sz="2" w:space="0" w:color="auto"/>
              <w:right w:val="single" w:sz="2" w:space="0" w:color="auto"/>
            </w:tcBorders>
          </w:tcPr>
          <w:p w14:paraId="4A94ACE9" w14:textId="77777777" w:rsidR="009F4766" w:rsidRPr="00DE12A3" w:rsidRDefault="009F4766" w:rsidP="00C917D6">
            <w:pPr>
              <w:pStyle w:val="NormalLeft"/>
            </w:pPr>
            <w:r w:rsidRPr="00DE12A3">
              <w:t>999</w:t>
            </w:r>
          </w:p>
        </w:tc>
        <w:tc>
          <w:tcPr>
            <w:tcW w:w="2489" w:type="dxa"/>
            <w:tcBorders>
              <w:top w:val="single" w:sz="2" w:space="0" w:color="auto"/>
              <w:left w:val="single" w:sz="2" w:space="0" w:color="auto"/>
              <w:bottom w:val="single" w:sz="2" w:space="0" w:color="auto"/>
              <w:right w:val="single" w:sz="2" w:space="0" w:color="auto"/>
            </w:tcBorders>
          </w:tcPr>
          <w:p w14:paraId="44BA33D2" w14:textId="77777777" w:rsidR="009F4766" w:rsidRPr="00DE12A3" w:rsidRDefault="009F4766" w:rsidP="00C917D6">
            <w:pPr>
              <w:pStyle w:val="NormalLeft"/>
            </w:pPr>
            <w:r w:rsidRPr="00DE12A3">
              <w:t>81</w:t>
            </w:r>
          </w:p>
        </w:tc>
        <w:tc>
          <w:tcPr>
            <w:tcW w:w="2551" w:type="dxa"/>
            <w:tcBorders>
              <w:top w:val="single" w:sz="2" w:space="0" w:color="auto"/>
              <w:left w:val="single" w:sz="2" w:space="0" w:color="auto"/>
              <w:bottom w:val="single" w:sz="2" w:space="0" w:color="auto"/>
              <w:right w:val="single" w:sz="2" w:space="0" w:color="auto"/>
            </w:tcBorders>
          </w:tcPr>
          <w:p w14:paraId="3662DC93" w14:textId="77777777" w:rsidR="009F4766" w:rsidRPr="00DE12A3" w:rsidRDefault="009F4766" w:rsidP="00C917D6">
            <w:pPr>
              <w:pStyle w:val="NormalLeft"/>
            </w:pPr>
            <w:r w:rsidRPr="00DE12A3">
              <w:t>54</w:t>
            </w:r>
          </w:p>
        </w:tc>
      </w:tr>
      <w:tr w:rsidR="00DE12A3" w:rsidRPr="00DE12A3" w14:paraId="4626F9FE" w14:textId="77777777" w:rsidTr="009F4766">
        <w:tc>
          <w:tcPr>
            <w:tcW w:w="1182" w:type="dxa"/>
            <w:tcBorders>
              <w:top w:val="single" w:sz="2" w:space="0" w:color="auto"/>
              <w:left w:val="single" w:sz="2" w:space="0" w:color="auto"/>
              <w:bottom w:val="single" w:sz="2" w:space="0" w:color="auto"/>
              <w:right w:val="single" w:sz="2" w:space="0" w:color="auto"/>
            </w:tcBorders>
          </w:tcPr>
          <w:p w14:paraId="79046BC0" w14:textId="77777777" w:rsidR="009F4766" w:rsidRPr="00DE12A3" w:rsidRDefault="009F4766" w:rsidP="00C917D6">
            <w:pPr>
              <w:pStyle w:val="NormalLeft"/>
            </w:pPr>
            <w:r w:rsidRPr="00DE12A3">
              <w:t>1000</w:t>
            </w:r>
          </w:p>
        </w:tc>
        <w:tc>
          <w:tcPr>
            <w:tcW w:w="2489" w:type="dxa"/>
            <w:tcBorders>
              <w:top w:val="single" w:sz="2" w:space="0" w:color="auto"/>
              <w:left w:val="single" w:sz="2" w:space="0" w:color="auto"/>
              <w:bottom w:val="single" w:sz="2" w:space="0" w:color="auto"/>
              <w:right w:val="single" w:sz="2" w:space="0" w:color="auto"/>
            </w:tcBorders>
          </w:tcPr>
          <w:p w14:paraId="39A6AA93" w14:textId="77777777" w:rsidR="009F4766" w:rsidRPr="00DE12A3" w:rsidRDefault="009F4766" w:rsidP="00C917D6">
            <w:pPr>
              <w:pStyle w:val="NormalLeft"/>
            </w:pPr>
            <w:r w:rsidRPr="00DE12A3">
              <w:t>81</w:t>
            </w:r>
          </w:p>
        </w:tc>
        <w:tc>
          <w:tcPr>
            <w:tcW w:w="2551" w:type="dxa"/>
            <w:tcBorders>
              <w:top w:val="single" w:sz="2" w:space="0" w:color="auto"/>
              <w:left w:val="single" w:sz="2" w:space="0" w:color="auto"/>
              <w:bottom w:val="single" w:sz="2" w:space="0" w:color="auto"/>
              <w:right w:val="single" w:sz="2" w:space="0" w:color="auto"/>
            </w:tcBorders>
          </w:tcPr>
          <w:p w14:paraId="49EA8CC3" w14:textId="77777777" w:rsidR="009F4766" w:rsidRPr="00DE12A3" w:rsidRDefault="009F4766" w:rsidP="00C917D6">
            <w:pPr>
              <w:pStyle w:val="NormalLeft"/>
            </w:pPr>
            <w:r w:rsidRPr="00DE12A3">
              <w:t>50</w:t>
            </w:r>
          </w:p>
        </w:tc>
      </w:tr>
      <w:tr w:rsidR="00DE12A3" w:rsidRPr="00DE12A3" w14:paraId="75C43578" w14:textId="77777777" w:rsidTr="009F4766">
        <w:tc>
          <w:tcPr>
            <w:tcW w:w="1182" w:type="dxa"/>
            <w:tcBorders>
              <w:top w:val="single" w:sz="2" w:space="0" w:color="auto"/>
              <w:left w:val="single" w:sz="2" w:space="0" w:color="auto"/>
              <w:bottom w:val="single" w:sz="2" w:space="0" w:color="auto"/>
              <w:right w:val="single" w:sz="2" w:space="0" w:color="auto"/>
            </w:tcBorders>
          </w:tcPr>
          <w:p w14:paraId="6051675A" w14:textId="77777777" w:rsidR="009F4766" w:rsidRPr="00DE12A3" w:rsidRDefault="009F4766" w:rsidP="00C917D6">
            <w:pPr>
              <w:pStyle w:val="NormalLeft"/>
            </w:pPr>
            <w:r w:rsidRPr="00DE12A3">
              <w:t>1001</w:t>
            </w:r>
          </w:p>
        </w:tc>
        <w:tc>
          <w:tcPr>
            <w:tcW w:w="2489" w:type="dxa"/>
            <w:tcBorders>
              <w:top w:val="single" w:sz="2" w:space="0" w:color="auto"/>
              <w:left w:val="single" w:sz="2" w:space="0" w:color="auto"/>
              <w:bottom w:val="single" w:sz="2" w:space="0" w:color="auto"/>
              <w:right w:val="single" w:sz="2" w:space="0" w:color="auto"/>
            </w:tcBorders>
          </w:tcPr>
          <w:p w14:paraId="2DF6DEFC" w14:textId="77777777" w:rsidR="009F4766" w:rsidRPr="00DE12A3" w:rsidRDefault="009F4766" w:rsidP="00C917D6">
            <w:pPr>
              <w:pStyle w:val="NormalLeft"/>
            </w:pPr>
            <w:r w:rsidRPr="00DE12A3">
              <w:t>81</w:t>
            </w:r>
          </w:p>
        </w:tc>
        <w:tc>
          <w:tcPr>
            <w:tcW w:w="2551" w:type="dxa"/>
            <w:tcBorders>
              <w:top w:val="single" w:sz="2" w:space="0" w:color="auto"/>
              <w:left w:val="single" w:sz="2" w:space="0" w:color="auto"/>
              <w:bottom w:val="single" w:sz="2" w:space="0" w:color="auto"/>
              <w:right w:val="single" w:sz="2" w:space="0" w:color="auto"/>
            </w:tcBorders>
          </w:tcPr>
          <w:p w14:paraId="72D5239D" w14:textId="77777777" w:rsidR="009F4766" w:rsidRPr="00DE12A3" w:rsidRDefault="009F4766" w:rsidP="00C917D6">
            <w:pPr>
              <w:pStyle w:val="NormalLeft"/>
            </w:pPr>
            <w:r w:rsidRPr="00DE12A3">
              <w:t>41</w:t>
            </w:r>
          </w:p>
        </w:tc>
      </w:tr>
      <w:tr w:rsidR="00DE12A3" w:rsidRPr="00DE12A3" w14:paraId="46125CA0" w14:textId="77777777" w:rsidTr="009F4766">
        <w:tc>
          <w:tcPr>
            <w:tcW w:w="1182" w:type="dxa"/>
            <w:tcBorders>
              <w:top w:val="single" w:sz="2" w:space="0" w:color="auto"/>
              <w:left w:val="single" w:sz="2" w:space="0" w:color="auto"/>
              <w:bottom w:val="single" w:sz="2" w:space="0" w:color="auto"/>
              <w:right w:val="single" w:sz="2" w:space="0" w:color="auto"/>
            </w:tcBorders>
          </w:tcPr>
          <w:p w14:paraId="03442B1E" w14:textId="77777777" w:rsidR="009F4766" w:rsidRPr="00DE12A3" w:rsidRDefault="009F4766" w:rsidP="00C917D6">
            <w:pPr>
              <w:pStyle w:val="NormalLeft"/>
            </w:pPr>
            <w:r w:rsidRPr="00DE12A3">
              <w:t>1002</w:t>
            </w:r>
          </w:p>
        </w:tc>
        <w:tc>
          <w:tcPr>
            <w:tcW w:w="2489" w:type="dxa"/>
            <w:tcBorders>
              <w:top w:val="single" w:sz="2" w:space="0" w:color="auto"/>
              <w:left w:val="single" w:sz="2" w:space="0" w:color="auto"/>
              <w:bottom w:val="single" w:sz="2" w:space="0" w:color="auto"/>
              <w:right w:val="single" w:sz="2" w:space="0" w:color="auto"/>
            </w:tcBorders>
          </w:tcPr>
          <w:p w14:paraId="6936CE60" w14:textId="77777777" w:rsidR="009F4766" w:rsidRPr="00DE12A3" w:rsidRDefault="009F4766" w:rsidP="00C917D6">
            <w:pPr>
              <w:pStyle w:val="NormalLeft"/>
            </w:pPr>
            <w:r w:rsidRPr="00DE12A3">
              <w:t>81</w:t>
            </w:r>
          </w:p>
        </w:tc>
        <w:tc>
          <w:tcPr>
            <w:tcW w:w="2551" w:type="dxa"/>
            <w:tcBorders>
              <w:top w:val="single" w:sz="2" w:space="0" w:color="auto"/>
              <w:left w:val="single" w:sz="2" w:space="0" w:color="auto"/>
              <w:bottom w:val="single" w:sz="2" w:space="0" w:color="auto"/>
              <w:right w:val="single" w:sz="2" w:space="0" w:color="auto"/>
            </w:tcBorders>
          </w:tcPr>
          <w:p w14:paraId="769826B8" w14:textId="77777777" w:rsidR="009F4766" w:rsidRPr="00DE12A3" w:rsidRDefault="009F4766" w:rsidP="00C917D6">
            <w:pPr>
              <w:pStyle w:val="NormalLeft"/>
            </w:pPr>
            <w:r w:rsidRPr="00DE12A3">
              <w:t>35</w:t>
            </w:r>
          </w:p>
        </w:tc>
      </w:tr>
      <w:tr w:rsidR="00DE12A3" w:rsidRPr="00DE12A3" w14:paraId="7ACFBAB8" w14:textId="77777777" w:rsidTr="009F4766">
        <w:tc>
          <w:tcPr>
            <w:tcW w:w="1182" w:type="dxa"/>
            <w:tcBorders>
              <w:top w:val="single" w:sz="2" w:space="0" w:color="auto"/>
              <w:left w:val="single" w:sz="2" w:space="0" w:color="auto"/>
              <w:bottom w:val="single" w:sz="2" w:space="0" w:color="auto"/>
              <w:right w:val="single" w:sz="2" w:space="0" w:color="auto"/>
            </w:tcBorders>
          </w:tcPr>
          <w:p w14:paraId="497842A9" w14:textId="77777777" w:rsidR="009F4766" w:rsidRPr="00DE12A3" w:rsidRDefault="009F4766" w:rsidP="00C917D6">
            <w:pPr>
              <w:pStyle w:val="NormalLeft"/>
            </w:pPr>
            <w:r w:rsidRPr="00DE12A3">
              <w:t>1003</w:t>
            </w:r>
          </w:p>
        </w:tc>
        <w:tc>
          <w:tcPr>
            <w:tcW w:w="2489" w:type="dxa"/>
            <w:tcBorders>
              <w:top w:val="single" w:sz="2" w:space="0" w:color="auto"/>
              <w:left w:val="single" w:sz="2" w:space="0" w:color="auto"/>
              <w:bottom w:val="single" w:sz="2" w:space="0" w:color="auto"/>
              <w:right w:val="single" w:sz="2" w:space="0" w:color="auto"/>
            </w:tcBorders>
          </w:tcPr>
          <w:p w14:paraId="25A233C0" w14:textId="77777777" w:rsidR="009F4766" w:rsidRPr="00DE12A3" w:rsidRDefault="009F4766" w:rsidP="00C917D6">
            <w:pPr>
              <w:pStyle w:val="NormalLeft"/>
            </w:pPr>
            <w:r w:rsidRPr="00DE12A3">
              <w:t>81</w:t>
            </w:r>
          </w:p>
        </w:tc>
        <w:tc>
          <w:tcPr>
            <w:tcW w:w="2551" w:type="dxa"/>
            <w:tcBorders>
              <w:top w:val="single" w:sz="2" w:space="0" w:color="auto"/>
              <w:left w:val="single" w:sz="2" w:space="0" w:color="auto"/>
              <w:bottom w:val="single" w:sz="2" w:space="0" w:color="auto"/>
              <w:right w:val="single" w:sz="2" w:space="0" w:color="auto"/>
            </w:tcBorders>
          </w:tcPr>
          <w:p w14:paraId="5AA804DF" w14:textId="77777777" w:rsidR="009F4766" w:rsidRPr="00DE12A3" w:rsidRDefault="009F4766" w:rsidP="00C917D6">
            <w:pPr>
              <w:pStyle w:val="NormalLeft"/>
            </w:pPr>
            <w:r w:rsidRPr="00DE12A3">
              <w:t>37</w:t>
            </w:r>
          </w:p>
        </w:tc>
      </w:tr>
      <w:tr w:rsidR="00DE12A3" w:rsidRPr="00DE12A3" w14:paraId="038560CB" w14:textId="77777777" w:rsidTr="009F4766">
        <w:tc>
          <w:tcPr>
            <w:tcW w:w="1182" w:type="dxa"/>
            <w:tcBorders>
              <w:top w:val="single" w:sz="2" w:space="0" w:color="auto"/>
              <w:left w:val="single" w:sz="2" w:space="0" w:color="auto"/>
              <w:bottom w:val="single" w:sz="2" w:space="0" w:color="auto"/>
              <w:right w:val="single" w:sz="2" w:space="0" w:color="auto"/>
            </w:tcBorders>
          </w:tcPr>
          <w:p w14:paraId="0E3B31A3" w14:textId="77777777" w:rsidR="009F4766" w:rsidRPr="00DE12A3" w:rsidRDefault="009F4766" w:rsidP="00C917D6">
            <w:pPr>
              <w:pStyle w:val="NormalLeft"/>
            </w:pPr>
            <w:r w:rsidRPr="00DE12A3">
              <w:lastRenderedPageBreak/>
              <w:t>1004</w:t>
            </w:r>
          </w:p>
        </w:tc>
        <w:tc>
          <w:tcPr>
            <w:tcW w:w="2489" w:type="dxa"/>
            <w:tcBorders>
              <w:top w:val="single" w:sz="2" w:space="0" w:color="auto"/>
              <w:left w:val="single" w:sz="2" w:space="0" w:color="auto"/>
              <w:bottom w:val="single" w:sz="2" w:space="0" w:color="auto"/>
              <w:right w:val="single" w:sz="2" w:space="0" w:color="auto"/>
            </w:tcBorders>
          </w:tcPr>
          <w:p w14:paraId="0FEBF962" w14:textId="77777777" w:rsidR="009F4766" w:rsidRPr="00DE12A3" w:rsidRDefault="009F4766" w:rsidP="00C917D6">
            <w:pPr>
              <w:pStyle w:val="NormalLeft"/>
            </w:pPr>
            <w:r w:rsidRPr="00DE12A3">
              <w:t>81</w:t>
            </w:r>
          </w:p>
        </w:tc>
        <w:tc>
          <w:tcPr>
            <w:tcW w:w="2551" w:type="dxa"/>
            <w:tcBorders>
              <w:top w:val="single" w:sz="2" w:space="0" w:color="auto"/>
              <w:left w:val="single" w:sz="2" w:space="0" w:color="auto"/>
              <w:bottom w:val="single" w:sz="2" w:space="0" w:color="auto"/>
              <w:right w:val="single" w:sz="2" w:space="0" w:color="auto"/>
            </w:tcBorders>
          </w:tcPr>
          <w:p w14:paraId="6ACADCCC" w14:textId="77777777" w:rsidR="009F4766" w:rsidRPr="00DE12A3" w:rsidRDefault="009F4766" w:rsidP="00C917D6">
            <w:pPr>
              <w:pStyle w:val="NormalLeft"/>
            </w:pPr>
            <w:r w:rsidRPr="00DE12A3">
              <w:t>29</w:t>
            </w:r>
          </w:p>
        </w:tc>
      </w:tr>
      <w:tr w:rsidR="00DE12A3" w:rsidRPr="00DE12A3" w14:paraId="77E376D3" w14:textId="77777777" w:rsidTr="009F4766">
        <w:tc>
          <w:tcPr>
            <w:tcW w:w="1182" w:type="dxa"/>
            <w:tcBorders>
              <w:top w:val="single" w:sz="2" w:space="0" w:color="auto"/>
              <w:left w:val="single" w:sz="2" w:space="0" w:color="auto"/>
              <w:bottom w:val="single" w:sz="2" w:space="0" w:color="auto"/>
              <w:right w:val="single" w:sz="2" w:space="0" w:color="auto"/>
            </w:tcBorders>
          </w:tcPr>
          <w:p w14:paraId="2EDF07C4" w14:textId="77777777" w:rsidR="009F4766" w:rsidRPr="00DE12A3" w:rsidRDefault="009F4766" w:rsidP="00C917D6">
            <w:pPr>
              <w:pStyle w:val="NormalLeft"/>
            </w:pPr>
            <w:r w:rsidRPr="00DE12A3">
              <w:t>1005</w:t>
            </w:r>
          </w:p>
        </w:tc>
        <w:tc>
          <w:tcPr>
            <w:tcW w:w="2489" w:type="dxa"/>
            <w:tcBorders>
              <w:top w:val="single" w:sz="2" w:space="0" w:color="auto"/>
              <w:left w:val="single" w:sz="2" w:space="0" w:color="auto"/>
              <w:bottom w:val="single" w:sz="2" w:space="0" w:color="auto"/>
              <w:right w:val="single" w:sz="2" w:space="0" w:color="auto"/>
            </w:tcBorders>
          </w:tcPr>
          <w:p w14:paraId="3D39B0A3" w14:textId="77777777" w:rsidR="009F4766" w:rsidRPr="00DE12A3" w:rsidRDefault="009F4766" w:rsidP="00C917D6">
            <w:pPr>
              <w:pStyle w:val="NormalLeft"/>
            </w:pPr>
            <w:r w:rsidRPr="00DE12A3">
              <w:t>81</w:t>
            </w:r>
          </w:p>
        </w:tc>
        <w:tc>
          <w:tcPr>
            <w:tcW w:w="2551" w:type="dxa"/>
            <w:tcBorders>
              <w:top w:val="single" w:sz="2" w:space="0" w:color="auto"/>
              <w:left w:val="single" w:sz="2" w:space="0" w:color="auto"/>
              <w:bottom w:val="single" w:sz="2" w:space="0" w:color="auto"/>
              <w:right w:val="single" w:sz="2" w:space="0" w:color="auto"/>
            </w:tcBorders>
          </w:tcPr>
          <w:p w14:paraId="693A2D29" w14:textId="77777777" w:rsidR="009F4766" w:rsidRPr="00DE12A3" w:rsidRDefault="009F4766" w:rsidP="00C917D6">
            <w:pPr>
              <w:pStyle w:val="NormalLeft"/>
            </w:pPr>
            <w:r w:rsidRPr="00DE12A3">
              <w:t>28</w:t>
            </w:r>
          </w:p>
        </w:tc>
      </w:tr>
      <w:tr w:rsidR="00DE12A3" w:rsidRPr="00DE12A3" w14:paraId="1BC1FF14" w14:textId="77777777" w:rsidTr="009F4766">
        <w:tc>
          <w:tcPr>
            <w:tcW w:w="1182" w:type="dxa"/>
            <w:tcBorders>
              <w:top w:val="single" w:sz="2" w:space="0" w:color="auto"/>
              <w:left w:val="single" w:sz="2" w:space="0" w:color="auto"/>
              <w:bottom w:val="single" w:sz="2" w:space="0" w:color="auto"/>
              <w:right w:val="single" w:sz="2" w:space="0" w:color="auto"/>
            </w:tcBorders>
          </w:tcPr>
          <w:p w14:paraId="6C52834C" w14:textId="77777777" w:rsidR="009F4766" w:rsidRPr="00DE12A3" w:rsidRDefault="009F4766" w:rsidP="00C917D6">
            <w:pPr>
              <w:pStyle w:val="NormalLeft"/>
            </w:pPr>
            <w:r w:rsidRPr="00DE12A3">
              <w:t>1006</w:t>
            </w:r>
          </w:p>
        </w:tc>
        <w:tc>
          <w:tcPr>
            <w:tcW w:w="2489" w:type="dxa"/>
            <w:tcBorders>
              <w:top w:val="single" w:sz="2" w:space="0" w:color="auto"/>
              <w:left w:val="single" w:sz="2" w:space="0" w:color="auto"/>
              <w:bottom w:val="single" w:sz="2" w:space="0" w:color="auto"/>
              <w:right w:val="single" w:sz="2" w:space="0" w:color="auto"/>
            </w:tcBorders>
          </w:tcPr>
          <w:p w14:paraId="3483E42F" w14:textId="77777777" w:rsidR="009F4766" w:rsidRPr="00DE12A3" w:rsidRDefault="009F4766" w:rsidP="00C917D6">
            <w:pPr>
              <w:pStyle w:val="NormalLeft"/>
            </w:pPr>
            <w:r w:rsidRPr="00DE12A3">
              <w:t>81</w:t>
            </w:r>
          </w:p>
        </w:tc>
        <w:tc>
          <w:tcPr>
            <w:tcW w:w="2551" w:type="dxa"/>
            <w:tcBorders>
              <w:top w:val="single" w:sz="2" w:space="0" w:color="auto"/>
              <w:left w:val="single" w:sz="2" w:space="0" w:color="auto"/>
              <w:bottom w:val="single" w:sz="2" w:space="0" w:color="auto"/>
              <w:right w:val="single" w:sz="2" w:space="0" w:color="auto"/>
            </w:tcBorders>
          </w:tcPr>
          <w:p w14:paraId="42D5B65E" w14:textId="77777777" w:rsidR="009F4766" w:rsidRPr="00DE12A3" w:rsidRDefault="009F4766" w:rsidP="00C917D6">
            <w:pPr>
              <w:pStyle w:val="NormalLeft"/>
            </w:pPr>
            <w:r w:rsidRPr="00DE12A3">
              <w:t>24</w:t>
            </w:r>
          </w:p>
        </w:tc>
      </w:tr>
      <w:tr w:rsidR="00DE12A3" w:rsidRPr="00DE12A3" w14:paraId="2C80DA90" w14:textId="77777777" w:rsidTr="009F4766">
        <w:tc>
          <w:tcPr>
            <w:tcW w:w="1182" w:type="dxa"/>
            <w:tcBorders>
              <w:top w:val="single" w:sz="2" w:space="0" w:color="auto"/>
              <w:left w:val="single" w:sz="2" w:space="0" w:color="auto"/>
              <w:bottom w:val="single" w:sz="2" w:space="0" w:color="auto"/>
              <w:right w:val="single" w:sz="2" w:space="0" w:color="auto"/>
            </w:tcBorders>
          </w:tcPr>
          <w:p w14:paraId="7C636E51" w14:textId="77777777" w:rsidR="009F4766" w:rsidRPr="00DE12A3" w:rsidRDefault="009F4766" w:rsidP="00C917D6">
            <w:pPr>
              <w:pStyle w:val="NormalLeft"/>
            </w:pPr>
            <w:r w:rsidRPr="00DE12A3">
              <w:t>1007</w:t>
            </w:r>
          </w:p>
        </w:tc>
        <w:tc>
          <w:tcPr>
            <w:tcW w:w="2489" w:type="dxa"/>
            <w:tcBorders>
              <w:top w:val="single" w:sz="2" w:space="0" w:color="auto"/>
              <w:left w:val="single" w:sz="2" w:space="0" w:color="auto"/>
              <w:bottom w:val="single" w:sz="2" w:space="0" w:color="auto"/>
              <w:right w:val="single" w:sz="2" w:space="0" w:color="auto"/>
            </w:tcBorders>
          </w:tcPr>
          <w:p w14:paraId="0D8C0148" w14:textId="77777777" w:rsidR="009F4766" w:rsidRPr="00DE12A3" w:rsidRDefault="009F4766" w:rsidP="00C917D6">
            <w:pPr>
              <w:pStyle w:val="NormalLeft"/>
            </w:pPr>
            <w:r w:rsidRPr="00DE12A3">
              <w:t>81</w:t>
            </w:r>
          </w:p>
        </w:tc>
        <w:tc>
          <w:tcPr>
            <w:tcW w:w="2551" w:type="dxa"/>
            <w:tcBorders>
              <w:top w:val="single" w:sz="2" w:space="0" w:color="auto"/>
              <w:left w:val="single" w:sz="2" w:space="0" w:color="auto"/>
              <w:bottom w:val="single" w:sz="2" w:space="0" w:color="auto"/>
              <w:right w:val="single" w:sz="2" w:space="0" w:color="auto"/>
            </w:tcBorders>
          </w:tcPr>
          <w:p w14:paraId="4F19D157" w14:textId="77777777" w:rsidR="009F4766" w:rsidRPr="00DE12A3" w:rsidRDefault="009F4766" w:rsidP="00C917D6">
            <w:pPr>
              <w:pStyle w:val="NormalLeft"/>
            </w:pPr>
            <w:r w:rsidRPr="00DE12A3">
              <w:t>19</w:t>
            </w:r>
          </w:p>
        </w:tc>
      </w:tr>
      <w:tr w:rsidR="00DE12A3" w:rsidRPr="00DE12A3" w14:paraId="3F6DEC95" w14:textId="77777777" w:rsidTr="009F4766">
        <w:tc>
          <w:tcPr>
            <w:tcW w:w="1182" w:type="dxa"/>
            <w:tcBorders>
              <w:top w:val="single" w:sz="2" w:space="0" w:color="auto"/>
              <w:left w:val="single" w:sz="2" w:space="0" w:color="auto"/>
              <w:bottom w:val="single" w:sz="2" w:space="0" w:color="auto"/>
              <w:right w:val="single" w:sz="2" w:space="0" w:color="auto"/>
            </w:tcBorders>
          </w:tcPr>
          <w:p w14:paraId="664D85A0" w14:textId="77777777" w:rsidR="009F4766" w:rsidRPr="00DE12A3" w:rsidRDefault="009F4766" w:rsidP="00C917D6">
            <w:pPr>
              <w:pStyle w:val="NormalLeft"/>
            </w:pPr>
            <w:r w:rsidRPr="00DE12A3">
              <w:t>1008</w:t>
            </w:r>
          </w:p>
        </w:tc>
        <w:tc>
          <w:tcPr>
            <w:tcW w:w="2489" w:type="dxa"/>
            <w:tcBorders>
              <w:top w:val="single" w:sz="2" w:space="0" w:color="auto"/>
              <w:left w:val="single" w:sz="2" w:space="0" w:color="auto"/>
              <w:bottom w:val="single" w:sz="2" w:space="0" w:color="auto"/>
              <w:right w:val="single" w:sz="2" w:space="0" w:color="auto"/>
            </w:tcBorders>
          </w:tcPr>
          <w:p w14:paraId="470C379F" w14:textId="77777777" w:rsidR="009F4766" w:rsidRPr="00DE12A3" w:rsidRDefault="009F4766" w:rsidP="00C917D6">
            <w:pPr>
              <w:pStyle w:val="NormalLeft"/>
            </w:pPr>
            <w:r w:rsidRPr="00DE12A3">
              <w:t>81</w:t>
            </w:r>
          </w:p>
        </w:tc>
        <w:tc>
          <w:tcPr>
            <w:tcW w:w="2551" w:type="dxa"/>
            <w:tcBorders>
              <w:top w:val="single" w:sz="2" w:space="0" w:color="auto"/>
              <w:left w:val="single" w:sz="2" w:space="0" w:color="auto"/>
              <w:bottom w:val="single" w:sz="2" w:space="0" w:color="auto"/>
              <w:right w:val="single" w:sz="2" w:space="0" w:color="auto"/>
            </w:tcBorders>
          </w:tcPr>
          <w:p w14:paraId="3ABEA933" w14:textId="77777777" w:rsidR="009F4766" w:rsidRPr="00DE12A3" w:rsidRDefault="009F4766" w:rsidP="00C917D6">
            <w:pPr>
              <w:pStyle w:val="NormalLeft"/>
            </w:pPr>
            <w:r w:rsidRPr="00DE12A3">
              <w:t>16</w:t>
            </w:r>
          </w:p>
        </w:tc>
      </w:tr>
      <w:tr w:rsidR="00DE12A3" w:rsidRPr="00DE12A3" w14:paraId="398D3AD4" w14:textId="77777777" w:rsidTr="009F4766">
        <w:tc>
          <w:tcPr>
            <w:tcW w:w="1182" w:type="dxa"/>
            <w:tcBorders>
              <w:top w:val="single" w:sz="2" w:space="0" w:color="auto"/>
              <w:left w:val="single" w:sz="2" w:space="0" w:color="auto"/>
              <w:bottom w:val="single" w:sz="2" w:space="0" w:color="auto"/>
              <w:right w:val="single" w:sz="2" w:space="0" w:color="auto"/>
            </w:tcBorders>
          </w:tcPr>
          <w:p w14:paraId="7719EEE9" w14:textId="77777777" w:rsidR="009F4766" w:rsidRPr="00DE12A3" w:rsidRDefault="009F4766" w:rsidP="00C917D6">
            <w:pPr>
              <w:pStyle w:val="NormalLeft"/>
            </w:pPr>
            <w:r w:rsidRPr="00DE12A3">
              <w:t>1009</w:t>
            </w:r>
          </w:p>
        </w:tc>
        <w:tc>
          <w:tcPr>
            <w:tcW w:w="2489" w:type="dxa"/>
            <w:tcBorders>
              <w:top w:val="single" w:sz="2" w:space="0" w:color="auto"/>
              <w:left w:val="single" w:sz="2" w:space="0" w:color="auto"/>
              <w:bottom w:val="single" w:sz="2" w:space="0" w:color="auto"/>
              <w:right w:val="single" w:sz="2" w:space="0" w:color="auto"/>
            </w:tcBorders>
          </w:tcPr>
          <w:p w14:paraId="38EF583B" w14:textId="77777777" w:rsidR="009F4766" w:rsidRPr="00DE12A3" w:rsidRDefault="009F4766" w:rsidP="00C917D6">
            <w:pPr>
              <w:pStyle w:val="NormalLeft"/>
            </w:pPr>
            <w:r w:rsidRPr="00DE12A3">
              <w:t>80</w:t>
            </w:r>
          </w:p>
        </w:tc>
        <w:tc>
          <w:tcPr>
            <w:tcW w:w="2551" w:type="dxa"/>
            <w:tcBorders>
              <w:top w:val="single" w:sz="2" w:space="0" w:color="auto"/>
              <w:left w:val="single" w:sz="2" w:space="0" w:color="auto"/>
              <w:bottom w:val="single" w:sz="2" w:space="0" w:color="auto"/>
              <w:right w:val="single" w:sz="2" w:space="0" w:color="auto"/>
            </w:tcBorders>
          </w:tcPr>
          <w:p w14:paraId="5118A560" w14:textId="77777777" w:rsidR="009F4766" w:rsidRPr="00DE12A3" w:rsidRDefault="009F4766" w:rsidP="00C917D6">
            <w:pPr>
              <w:pStyle w:val="NormalLeft"/>
            </w:pPr>
            <w:r w:rsidRPr="00DE12A3">
              <w:t>16</w:t>
            </w:r>
          </w:p>
        </w:tc>
      </w:tr>
      <w:tr w:rsidR="00DE12A3" w:rsidRPr="00DE12A3" w14:paraId="2C4E7BAD" w14:textId="77777777" w:rsidTr="009F4766">
        <w:tc>
          <w:tcPr>
            <w:tcW w:w="1182" w:type="dxa"/>
            <w:tcBorders>
              <w:top w:val="single" w:sz="2" w:space="0" w:color="auto"/>
              <w:left w:val="single" w:sz="2" w:space="0" w:color="auto"/>
              <w:bottom w:val="single" w:sz="2" w:space="0" w:color="auto"/>
              <w:right w:val="single" w:sz="2" w:space="0" w:color="auto"/>
            </w:tcBorders>
          </w:tcPr>
          <w:p w14:paraId="7A16A084" w14:textId="77777777" w:rsidR="009F4766" w:rsidRPr="00DE12A3" w:rsidRDefault="009F4766" w:rsidP="00C917D6">
            <w:pPr>
              <w:pStyle w:val="NormalLeft"/>
            </w:pPr>
            <w:r w:rsidRPr="00DE12A3">
              <w:t>1010</w:t>
            </w:r>
          </w:p>
        </w:tc>
        <w:tc>
          <w:tcPr>
            <w:tcW w:w="2489" w:type="dxa"/>
            <w:tcBorders>
              <w:top w:val="single" w:sz="2" w:space="0" w:color="auto"/>
              <w:left w:val="single" w:sz="2" w:space="0" w:color="auto"/>
              <w:bottom w:val="single" w:sz="2" w:space="0" w:color="auto"/>
              <w:right w:val="single" w:sz="2" w:space="0" w:color="auto"/>
            </w:tcBorders>
          </w:tcPr>
          <w:p w14:paraId="5118EF6C" w14:textId="77777777" w:rsidR="009F4766" w:rsidRPr="00DE12A3" w:rsidRDefault="009F4766" w:rsidP="00C917D6">
            <w:pPr>
              <w:pStyle w:val="NormalLeft"/>
            </w:pPr>
            <w:r w:rsidRPr="00DE12A3">
              <w:t>83</w:t>
            </w:r>
          </w:p>
        </w:tc>
        <w:tc>
          <w:tcPr>
            <w:tcW w:w="2551" w:type="dxa"/>
            <w:tcBorders>
              <w:top w:val="single" w:sz="2" w:space="0" w:color="auto"/>
              <w:left w:val="single" w:sz="2" w:space="0" w:color="auto"/>
              <w:bottom w:val="single" w:sz="2" w:space="0" w:color="auto"/>
              <w:right w:val="single" w:sz="2" w:space="0" w:color="auto"/>
            </w:tcBorders>
          </w:tcPr>
          <w:p w14:paraId="44A5EBA9" w14:textId="77777777" w:rsidR="009F4766" w:rsidRPr="00DE12A3" w:rsidRDefault="009F4766" w:rsidP="00C917D6">
            <w:pPr>
              <w:pStyle w:val="NormalLeft"/>
            </w:pPr>
            <w:r w:rsidRPr="00DE12A3">
              <w:t>23</w:t>
            </w:r>
          </w:p>
        </w:tc>
      </w:tr>
      <w:tr w:rsidR="00DE12A3" w:rsidRPr="00DE12A3" w14:paraId="73870322" w14:textId="77777777" w:rsidTr="009F4766">
        <w:tc>
          <w:tcPr>
            <w:tcW w:w="1182" w:type="dxa"/>
            <w:tcBorders>
              <w:top w:val="single" w:sz="2" w:space="0" w:color="auto"/>
              <w:left w:val="single" w:sz="2" w:space="0" w:color="auto"/>
              <w:bottom w:val="single" w:sz="2" w:space="0" w:color="auto"/>
              <w:right w:val="single" w:sz="2" w:space="0" w:color="auto"/>
            </w:tcBorders>
          </w:tcPr>
          <w:p w14:paraId="59EB680C" w14:textId="77777777" w:rsidR="009F4766" w:rsidRPr="00DE12A3" w:rsidRDefault="009F4766" w:rsidP="00C917D6">
            <w:pPr>
              <w:pStyle w:val="NormalLeft"/>
            </w:pPr>
            <w:r w:rsidRPr="00DE12A3">
              <w:t>1011</w:t>
            </w:r>
          </w:p>
        </w:tc>
        <w:tc>
          <w:tcPr>
            <w:tcW w:w="2489" w:type="dxa"/>
            <w:tcBorders>
              <w:top w:val="single" w:sz="2" w:space="0" w:color="auto"/>
              <w:left w:val="single" w:sz="2" w:space="0" w:color="auto"/>
              <w:bottom w:val="single" w:sz="2" w:space="0" w:color="auto"/>
              <w:right w:val="single" w:sz="2" w:space="0" w:color="auto"/>
            </w:tcBorders>
          </w:tcPr>
          <w:p w14:paraId="37038A26" w14:textId="77777777" w:rsidR="009F4766" w:rsidRPr="00DE12A3" w:rsidRDefault="009F4766" w:rsidP="00C917D6">
            <w:pPr>
              <w:pStyle w:val="NormalLeft"/>
            </w:pPr>
            <w:r w:rsidRPr="00DE12A3">
              <w:t>83</w:t>
            </w:r>
          </w:p>
        </w:tc>
        <w:tc>
          <w:tcPr>
            <w:tcW w:w="2551" w:type="dxa"/>
            <w:tcBorders>
              <w:top w:val="single" w:sz="2" w:space="0" w:color="auto"/>
              <w:left w:val="single" w:sz="2" w:space="0" w:color="auto"/>
              <w:bottom w:val="single" w:sz="2" w:space="0" w:color="auto"/>
              <w:right w:val="single" w:sz="2" w:space="0" w:color="auto"/>
            </w:tcBorders>
          </w:tcPr>
          <w:p w14:paraId="1DD79BF7" w14:textId="77777777" w:rsidR="009F4766" w:rsidRPr="00DE12A3" w:rsidRDefault="009F4766" w:rsidP="00C917D6">
            <w:pPr>
              <w:pStyle w:val="NormalLeft"/>
            </w:pPr>
            <w:r w:rsidRPr="00DE12A3">
              <w:t>17</w:t>
            </w:r>
          </w:p>
        </w:tc>
      </w:tr>
      <w:tr w:rsidR="00DE12A3" w:rsidRPr="00DE12A3" w14:paraId="7CB39EBA" w14:textId="77777777" w:rsidTr="009F4766">
        <w:tc>
          <w:tcPr>
            <w:tcW w:w="1182" w:type="dxa"/>
            <w:tcBorders>
              <w:top w:val="single" w:sz="2" w:space="0" w:color="auto"/>
              <w:left w:val="single" w:sz="2" w:space="0" w:color="auto"/>
              <w:bottom w:val="single" w:sz="2" w:space="0" w:color="auto"/>
              <w:right w:val="single" w:sz="2" w:space="0" w:color="auto"/>
            </w:tcBorders>
          </w:tcPr>
          <w:p w14:paraId="1D90163B" w14:textId="77777777" w:rsidR="009F4766" w:rsidRPr="00DE12A3" w:rsidRDefault="009F4766" w:rsidP="00C917D6">
            <w:pPr>
              <w:pStyle w:val="NormalLeft"/>
            </w:pPr>
            <w:r w:rsidRPr="00DE12A3">
              <w:t>1012</w:t>
            </w:r>
          </w:p>
        </w:tc>
        <w:tc>
          <w:tcPr>
            <w:tcW w:w="2489" w:type="dxa"/>
            <w:tcBorders>
              <w:top w:val="single" w:sz="2" w:space="0" w:color="auto"/>
              <w:left w:val="single" w:sz="2" w:space="0" w:color="auto"/>
              <w:bottom w:val="single" w:sz="2" w:space="0" w:color="auto"/>
              <w:right w:val="single" w:sz="2" w:space="0" w:color="auto"/>
            </w:tcBorders>
          </w:tcPr>
          <w:p w14:paraId="3BB1980C" w14:textId="77777777" w:rsidR="009F4766" w:rsidRPr="00DE12A3" w:rsidRDefault="009F4766" w:rsidP="00C917D6">
            <w:pPr>
              <w:pStyle w:val="NormalLeft"/>
            </w:pPr>
            <w:r w:rsidRPr="00DE12A3">
              <w:t>83</w:t>
            </w:r>
          </w:p>
        </w:tc>
        <w:tc>
          <w:tcPr>
            <w:tcW w:w="2551" w:type="dxa"/>
            <w:tcBorders>
              <w:top w:val="single" w:sz="2" w:space="0" w:color="auto"/>
              <w:left w:val="single" w:sz="2" w:space="0" w:color="auto"/>
              <w:bottom w:val="single" w:sz="2" w:space="0" w:color="auto"/>
              <w:right w:val="single" w:sz="2" w:space="0" w:color="auto"/>
            </w:tcBorders>
          </w:tcPr>
          <w:p w14:paraId="2722CA32" w14:textId="77777777" w:rsidR="009F4766" w:rsidRPr="00DE12A3" w:rsidRDefault="009F4766" w:rsidP="00C917D6">
            <w:pPr>
              <w:pStyle w:val="NormalLeft"/>
            </w:pPr>
            <w:r w:rsidRPr="00DE12A3">
              <w:t>13</w:t>
            </w:r>
          </w:p>
        </w:tc>
      </w:tr>
      <w:tr w:rsidR="00DE12A3" w:rsidRPr="00DE12A3" w14:paraId="07602A22" w14:textId="77777777" w:rsidTr="009F4766">
        <w:tc>
          <w:tcPr>
            <w:tcW w:w="1182" w:type="dxa"/>
            <w:tcBorders>
              <w:top w:val="single" w:sz="2" w:space="0" w:color="auto"/>
              <w:left w:val="single" w:sz="2" w:space="0" w:color="auto"/>
              <w:bottom w:val="single" w:sz="2" w:space="0" w:color="auto"/>
              <w:right w:val="single" w:sz="2" w:space="0" w:color="auto"/>
            </w:tcBorders>
          </w:tcPr>
          <w:p w14:paraId="11DD391D" w14:textId="77777777" w:rsidR="009F4766" w:rsidRPr="00DE12A3" w:rsidRDefault="009F4766" w:rsidP="00C917D6">
            <w:pPr>
              <w:pStyle w:val="NormalLeft"/>
            </w:pPr>
            <w:r w:rsidRPr="00DE12A3">
              <w:t>1013</w:t>
            </w:r>
          </w:p>
        </w:tc>
        <w:tc>
          <w:tcPr>
            <w:tcW w:w="2489" w:type="dxa"/>
            <w:tcBorders>
              <w:top w:val="single" w:sz="2" w:space="0" w:color="auto"/>
              <w:left w:val="single" w:sz="2" w:space="0" w:color="auto"/>
              <w:bottom w:val="single" w:sz="2" w:space="0" w:color="auto"/>
              <w:right w:val="single" w:sz="2" w:space="0" w:color="auto"/>
            </w:tcBorders>
          </w:tcPr>
          <w:p w14:paraId="6EE4C49B" w14:textId="77777777" w:rsidR="009F4766" w:rsidRPr="00DE12A3" w:rsidRDefault="009F4766" w:rsidP="00C917D6">
            <w:pPr>
              <w:pStyle w:val="NormalLeft"/>
            </w:pPr>
            <w:r w:rsidRPr="00DE12A3">
              <w:t>83</w:t>
            </w:r>
          </w:p>
        </w:tc>
        <w:tc>
          <w:tcPr>
            <w:tcW w:w="2551" w:type="dxa"/>
            <w:tcBorders>
              <w:top w:val="single" w:sz="2" w:space="0" w:color="auto"/>
              <w:left w:val="single" w:sz="2" w:space="0" w:color="auto"/>
              <w:bottom w:val="single" w:sz="2" w:space="0" w:color="auto"/>
              <w:right w:val="single" w:sz="2" w:space="0" w:color="auto"/>
            </w:tcBorders>
          </w:tcPr>
          <w:p w14:paraId="59575B8E" w14:textId="77777777" w:rsidR="009F4766" w:rsidRPr="00DE12A3" w:rsidRDefault="009F4766" w:rsidP="00C917D6">
            <w:pPr>
              <w:pStyle w:val="NormalLeft"/>
            </w:pPr>
            <w:r w:rsidRPr="00DE12A3">
              <w:t>27</w:t>
            </w:r>
          </w:p>
        </w:tc>
      </w:tr>
      <w:tr w:rsidR="00DE12A3" w:rsidRPr="00DE12A3" w14:paraId="28B107B1" w14:textId="77777777" w:rsidTr="009F4766">
        <w:tc>
          <w:tcPr>
            <w:tcW w:w="1182" w:type="dxa"/>
            <w:tcBorders>
              <w:top w:val="single" w:sz="2" w:space="0" w:color="auto"/>
              <w:left w:val="single" w:sz="2" w:space="0" w:color="auto"/>
              <w:bottom w:val="single" w:sz="2" w:space="0" w:color="auto"/>
              <w:right w:val="single" w:sz="2" w:space="0" w:color="auto"/>
            </w:tcBorders>
          </w:tcPr>
          <w:p w14:paraId="0F3D2223" w14:textId="77777777" w:rsidR="009F4766" w:rsidRPr="00DE12A3" w:rsidRDefault="009F4766" w:rsidP="00C917D6">
            <w:pPr>
              <w:pStyle w:val="NormalLeft"/>
            </w:pPr>
            <w:r w:rsidRPr="00DE12A3">
              <w:t>1014</w:t>
            </w:r>
          </w:p>
        </w:tc>
        <w:tc>
          <w:tcPr>
            <w:tcW w:w="2489" w:type="dxa"/>
            <w:tcBorders>
              <w:top w:val="single" w:sz="2" w:space="0" w:color="auto"/>
              <w:left w:val="single" w:sz="2" w:space="0" w:color="auto"/>
              <w:bottom w:val="single" w:sz="2" w:space="0" w:color="auto"/>
              <w:right w:val="single" w:sz="2" w:space="0" w:color="auto"/>
            </w:tcBorders>
          </w:tcPr>
          <w:p w14:paraId="37534CA4" w14:textId="77777777" w:rsidR="009F4766" w:rsidRPr="00DE12A3" w:rsidRDefault="009F4766" w:rsidP="00C917D6">
            <w:pPr>
              <w:pStyle w:val="NormalLeft"/>
            </w:pPr>
            <w:r w:rsidRPr="00DE12A3">
              <w:t>81</w:t>
            </w:r>
          </w:p>
        </w:tc>
        <w:tc>
          <w:tcPr>
            <w:tcW w:w="2551" w:type="dxa"/>
            <w:tcBorders>
              <w:top w:val="single" w:sz="2" w:space="0" w:color="auto"/>
              <w:left w:val="single" w:sz="2" w:space="0" w:color="auto"/>
              <w:bottom w:val="single" w:sz="2" w:space="0" w:color="auto"/>
              <w:right w:val="single" w:sz="2" w:space="0" w:color="auto"/>
            </w:tcBorders>
          </w:tcPr>
          <w:p w14:paraId="11B004B3" w14:textId="77777777" w:rsidR="009F4766" w:rsidRPr="00DE12A3" w:rsidRDefault="009F4766" w:rsidP="00C917D6">
            <w:pPr>
              <w:pStyle w:val="NormalLeft"/>
            </w:pPr>
            <w:r w:rsidRPr="00DE12A3">
              <w:t>58</w:t>
            </w:r>
          </w:p>
        </w:tc>
      </w:tr>
      <w:tr w:rsidR="00DE12A3" w:rsidRPr="00DE12A3" w14:paraId="44CEC9F5" w14:textId="77777777" w:rsidTr="009F4766">
        <w:tc>
          <w:tcPr>
            <w:tcW w:w="1182" w:type="dxa"/>
            <w:tcBorders>
              <w:top w:val="single" w:sz="2" w:space="0" w:color="auto"/>
              <w:left w:val="single" w:sz="2" w:space="0" w:color="auto"/>
              <w:bottom w:val="single" w:sz="2" w:space="0" w:color="auto"/>
              <w:right w:val="single" w:sz="2" w:space="0" w:color="auto"/>
            </w:tcBorders>
          </w:tcPr>
          <w:p w14:paraId="2A80E1C7" w14:textId="77777777" w:rsidR="009F4766" w:rsidRPr="00DE12A3" w:rsidRDefault="009F4766" w:rsidP="00C917D6">
            <w:pPr>
              <w:pStyle w:val="NormalLeft"/>
            </w:pPr>
            <w:r w:rsidRPr="00DE12A3">
              <w:t>1015</w:t>
            </w:r>
          </w:p>
        </w:tc>
        <w:tc>
          <w:tcPr>
            <w:tcW w:w="2489" w:type="dxa"/>
            <w:tcBorders>
              <w:top w:val="single" w:sz="2" w:space="0" w:color="auto"/>
              <w:left w:val="single" w:sz="2" w:space="0" w:color="auto"/>
              <w:bottom w:val="single" w:sz="2" w:space="0" w:color="auto"/>
              <w:right w:val="single" w:sz="2" w:space="0" w:color="auto"/>
            </w:tcBorders>
          </w:tcPr>
          <w:p w14:paraId="2D6245EB" w14:textId="77777777" w:rsidR="009F4766" w:rsidRPr="00DE12A3" w:rsidRDefault="009F4766" w:rsidP="00C917D6">
            <w:pPr>
              <w:pStyle w:val="NormalLeft"/>
            </w:pPr>
            <w:r w:rsidRPr="00DE12A3">
              <w:t>81</w:t>
            </w:r>
          </w:p>
        </w:tc>
        <w:tc>
          <w:tcPr>
            <w:tcW w:w="2551" w:type="dxa"/>
            <w:tcBorders>
              <w:top w:val="single" w:sz="2" w:space="0" w:color="auto"/>
              <w:left w:val="single" w:sz="2" w:space="0" w:color="auto"/>
              <w:bottom w:val="single" w:sz="2" w:space="0" w:color="auto"/>
              <w:right w:val="single" w:sz="2" w:space="0" w:color="auto"/>
            </w:tcBorders>
          </w:tcPr>
          <w:p w14:paraId="2E210BCF" w14:textId="77777777" w:rsidR="009F4766" w:rsidRPr="00DE12A3" w:rsidRDefault="009F4766" w:rsidP="00C917D6">
            <w:pPr>
              <w:pStyle w:val="NormalLeft"/>
            </w:pPr>
            <w:r w:rsidRPr="00DE12A3">
              <w:t>60</w:t>
            </w:r>
          </w:p>
        </w:tc>
      </w:tr>
      <w:tr w:rsidR="00DE12A3" w:rsidRPr="00DE12A3" w14:paraId="4E6C23F8" w14:textId="77777777" w:rsidTr="009F4766">
        <w:tc>
          <w:tcPr>
            <w:tcW w:w="1182" w:type="dxa"/>
            <w:tcBorders>
              <w:top w:val="single" w:sz="2" w:space="0" w:color="auto"/>
              <w:left w:val="single" w:sz="2" w:space="0" w:color="auto"/>
              <w:bottom w:val="single" w:sz="2" w:space="0" w:color="auto"/>
              <w:right w:val="single" w:sz="2" w:space="0" w:color="auto"/>
            </w:tcBorders>
          </w:tcPr>
          <w:p w14:paraId="4C2699F7" w14:textId="77777777" w:rsidR="009F4766" w:rsidRPr="00DE12A3" w:rsidRDefault="009F4766" w:rsidP="00C917D6">
            <w:pPr>
              <w:pStyle w:val="NormalLeft"/>
            </w:pPr>
            <w:r w:rsidRPr="00DE12A3">
              <w:t>1016</w:t>
            </w:r>
          </w:p>
        </w:tc>
        <w:tc>
          <w:tcPr>
            <w:tcW w:w="2489" w:type="dxa"/>
            <w:tcBorders>
              <w:top w:val="single" w:sz="2" w:space="0" w:color="auto"/>
              <w:left w:val="single" w:sz="2" w:space="0" w:color="auto"/>
              <w:bottom w:val="single" w:sz="2" w:space="0" w:color="auto"/>
              <w:right w:val="single" w:sz="2" w:space="0" w:color="auto"/>
            </w:tcBorders>
          </w:tcPr>
          <w:p w14:paraId="7FED6A06" w14:textId="77777777" w:rsidR="009F4766" w:rsidRPr="00DE12A3" w:rsidRDefault="009F4766" w:rsidP="00C917D6">
            <w:pPr>
              <w:pStyle w:val="NormalLeft"/>
            </w:pPr>
            <w:r w:rsidRPr="00DE12A3">
              <w:t>81</w:t>
            </w:r>
          </w:p>
        </w:tc>
        <w:tc>
          <w:tcPr>
            <w:tcW w:w="2551" w:type="dxa"/>
            <w:tcBorders>
              <w:top w:val="single" w:sz="2" w:space="0" w:color="auto"/>
              <w:left w:val="single" w:sz="2" w:space="0" w:color="auto"/>
              <w:bottom w:val="single" w:sz="2" w:space="0" w:color="auto"/>
              <w:right w:val="single" w:sz="2" w:space="0" w:color="auto"/>
            </w:tcBorders>
          </w:tcPr>
          <w:p w14:paraId="52096B74" w14:textId="77777777" w:rsidR="009F4766" w:rsidRPr="00DE12A3" w:rsidRDefault="009F4766" w:rsidP="00C917D6">
            <w:pPr>
              <w:pStyle w:val="NormalLeft"/>
            </w:pPr>
            <w:r w:rsidRPr="00DE12A3">
              <w:t>46</w:t>
            </w:r>
          </w:p>
        </w:tc>
      </w:tr>
      <w:tr w:rsidR="00DE12A3" w:rsidRPr="00DE12A3" w14:paraId="25B646E6" w14:textId="77777777" w:rsidTr="009F4766">
        <w:tc>
          <w:tcPr>
            <w:tcW w:w="1182" w:type="dxa"/>
            <w:tcBorders>
              <w:top w:val="single" w:sz="2" w:space="0" w:color="auto"/>
              <w:left w:val="single" w:sz="2" w:space="0" w:color="auto"/>
              <w:bottom w:val="single" w:sz="2" w:space="0" w:color="auto"/>
              <w:right w:val="single" w:sz="2" w:space="0" w:color="auto"/>
            </w:tcBorders>
          </w:tcPr>
          <w:p w14:paraId="25ACD157" w14:textId="77777777" w:rsidR="009F4766" w:rsidRPr="00DE12A3" w:rsidRDefault="009F4766" w:rsidP="00C917D6">
            <w:pPr>
              <w:pStyle w:val="NormalLeft"/>
            </w:pPr>
            <w:r w:rsidRPr="00DE12A3">
              <w:t>1017</w:t>
            </w:r>
          </w:p>
        </w:tc>
        <w:tc>
          <w:tcPr>
            <w:tcW w:w="2489" w:type="dxa"/>
            <w:tcBorders>
              <w:top w:val="single" w:sz="2" w:space="0" w:color="auto"/>
              <w:left w:val="single" w:sz="2" w:space="0" w:color="auto"/>
              <w:bottom w:val="single" w:sz="2" w:space="0" w:color="auto"/>
              <w:right w:val="single" w:sz="2" w:space="0" w:color="auto"/>
            </w:tcBorders>
          </w:tcPr>
          <w:p w14:paraId="71E7ADD3" w14:textId="77777777" w:rsidR="009F4766" w:rsidRPr="00DE12A3" w:rsidRDefault="009F4766" w:rsidP="00C917D6">
            <w:pPr>
              <w:pStyle w:val="NormalLeft"/>
            </w:pPr>
            <w:r w:rsidRPr="00DE12A3">
              <w:t>80</w:t>
            </w:r>
          </w:p>
        </w:tc>
        <w:tc>
          <w:tcPr>
            <w:tcW w:w="2551" w:type="dxa"/>
            <w:tcBorders>
              <w:top w:val="single" w:sz="2" w:space="0" w:color="auto"/>
              <w:left w:val="single" w:sz="2" w:space="0" w:color="auto"/>
              <w:bottom w:val="single" w:sz="2" w:space="0" w:color="auto"/>
              <w:right w:val="single" w:sz="2" w:space="0" w:color="auto"/>
            </w:tcBorders>
          </w:tcPr>
          <w:p w14:paraId="600472D5" w14:textId="77777777" w:rsidR="009F4766" w:rsidRPr="00DE12A3" w:rsidRDefault="009F4766" w:rsidP="00C917D6">
            <w:pPr>
              <w:pStyle w:val="NormalLeft"/>
            </w:pPr>
            <w:r w:rsidRPr="00DE12A3">
              <w:t>41</w:t>
            </w:r>
          </w:p>
        </w:tc>
      </w:tr>
      <w:tr w:rsidR="00DE12A3" w:rsidRPr="00DE12A3" w14:paraId="289A3C05" w14:textId="77777777" w:rsidTr="009F4766">
        <w:tc>
          <w:tcPr>
            <w:tcW w:w="1182" w:type="dxa"/>
            <w:tcBorders>
              <w:top w:val="single" w:sz="2" w:space="0" w:color="auto"/>
              <w:left w:val="single" w:sz="2" w:space="0" w:color="auto"/>
              <w:bottom w:val="single" w:sz="2" w:space="0" w:color="auto"/>
              <w:right w:val="single" w:sz="2" w:space="0" w:color="auto"/>
            </w:tcBorders>
          </w:tcPr>
          <w:p w14:paraId="5CCAA026" w14:textId="77777777" w:rsidR="009F4766" w:rsidRPr="00DE12A3" w:rsidRDefault="009F4766" w:rsidP="00C917D6">
            <w:pPr>
              <w:pStyle w:val="NormalLeft"/>
            </w:pPr>
            <w:r w:rsidRPr="00DE12A3">
              <w:t>1018</w:t>
            </w:r>
          </w:p>
        </w:tc>
        <w:tc>
          <w:tcPr>
            <w:tcW w:w="2489" w:type="dxa"/>
            <w:tcBorders>
              <w:top w:val="single" w:sz="2" w:space="0" w:color="auto"/>
              <w:left w:val="single" w:sz="2" w:space="0" w:color="auto"/>
              <w:bottom w:val="single" w:sz="2" w:space="0" w:color="auto"/>
              <w:right w:val="single" w:sz="2" w:space="0" w:color="auto"/>
            </w:tcBorders>
          </w:tcPr>
          <w:p w14:paraId="646EAD4A" w14:textId="77777777" w:rsidR="009F4766" w:rsidRPr="00DE12A3" w:rsidRDefault="009F4766" w:rsidP="00C917D6">
            <w:pPr>
              <w:pStyle w:val="NormalLeft"/>
            </w:pPr>
            <w:r w:rsidRPr="00DE12A3">
              <w:t>80</w:t>
            </w:r>
          </w:p>
        </w:tc>
        <w:tc>
          <w:tcPr>
            <w:tcW w:w="2551" w:type="dxa"/>
            <w:tcBorders>
              <w:top w:val="single" w:sz="2" w:space="0" w:color="auto"/>
              <w:left w:val="single" w:sz="2" w:space="0" w:color="auto"/>
              <w:bottom w:val="single" w:sz="2" w:space="0" w:color="auto"/>
              <w:right w:val="single" w:sz="2" w:space="0" w:color="auto"/>
            </w:tcBorders>
          </w:tcPr>
          <w:p w14:paraId="04FAE7C6" w14:textId="77777777" w:rsidR="009F4766" w:rsidRPr="00DE12A3" w:rsidRDefault="009F4766" w:rsidP="00C917D6">
            <w:pPr>
              <w:pStyle w:val="NormalLeft"/>
            </w:pPr>
            <w:r w:rsidRPr="00DE12A3">
              <w:t>36</w:t>
            </w:r>
          </w:p>
        </w:tc>
      </w:tr>
      <w:tr w:rsidR="00DE12A3" w:rsidRPr="00DE12A3" w14:paraId="22995EC2" w14:textId="77777777" w:rsidTr="009F4766">
        <w:tc>
          <w:tcPr>
            <w:tcW w:w="1182" w:type="dxa"/>
            <w:tcBorders>
              <w:top w:val="single" w:sz="2" w:space="0" w:color="auto"/>
              <w:left w:val="single" w:sz="2" w:space="0" w:color="auto"/>
              <w:bottom w:val="single" w:sz="2" w:space="0" w:color="auto"/>
              <w:right w:val="single" w:sz="2" w:space="0" w:color="auto"/>
            </w:tcBorders>
          </w:tcPr>
          <w:p w14:paraId="3FFD6249" w14:textId="77777777" w:rsidR="009F4766" w:rsidRPr="00DE12A3" w:rsidRDefault="009F4766" w:rsidP="00C917D6">
            <w:pPr>
              <w:pStyle w:val="NormalLeft"/>
            </w:pPr>
            <w:r w:rsidRPr="00DE12A3">
              <w:t>1019</w:t>
            </w:r>
          </w:p>
        </w:tc>
        <w:tc>
          <w:tcPr>
            <w:tcW w:w="2489" w:type="dxa"/>
            <w:tcBorders>
              <w:top w:val="single" w:sz="2" w:space="0" w:color="auto"/>
              <w:left w:val="single" w:sz="2" w:space="0" w:color="auto"/>
              <w:bottom w:val="single" w:sz="2" w:space="0" w:color="auto"/>
              <w:right w:val="single" w:sz="2" w:space="0" w:color="auto"/>
            </w:tcBorders>
          </w:tcPr>
          <w:p w14:paraId="76B05585" w14:textId="77777777" w:rsidR="009F4766" w:rsidRPr="00DE12A3" w:rsidRDefault="009F4766" w:rsidP="00C917D6">
            <w:pPr>
              <w:pStyle w:val="NormalLeft"/>
            </w:pPr>
            <w:r w:rsidRPr="00DE12A3">
              <w:t>81</w:t>
            </w:r>
          </w:p>
        </w:tc>
        <w:tc>
          <w:tcPr>
            <w:tcW w:w="2551" w:type="dxa"/>
            <w:tcBorders>
              <w:top w:val="single" w:sz="2" w:space="0" w:color="auto"/>
              <w:left w:val="single" w:sz="2" w:space="0" w:color="auto"/>
              <w:bottom w:val="single" w:sz="2" w:space="0" w:color="auto"/>
              <w:right w:val="single" w:sz="2" w:space="0" w:color="auto"/>
            </w:tcBorders>
          </w:tcPr>
          <w:p w14:paraId="65CDC8B3" w14:textId="77777777" w:rsidR="009F4766" w:rsidRPr="00DE12A3" w:rsidRDefault="009F4766" w:rsidP="00C917D6">
            <w:pPr>
              <w:pStyle w:val="NormalLeft"/>
            </w:pPr>
            <w:r w:rsidRPr="00DE12A3">
              <w:t>26</w:t>
            </w:r>
          </w:p>
        </w:tc>
      </w:tr>
      <w:tr w:rsidR="00DE12A3" w:rsidRPr="00DE12A3" w14:paraId="5659D684" w14:textId="77777777" w:rsidTr="009F4766">
        <w:tc>
          <w:tcPr>
            <w:tcW w:w="1182" w:type="dxa"/>
            <w:tcBorders>
              <w:top w:val="single" w:sz="2" w:space="0" w:color="auto"/>
              <w:left w:val="single" w:sz="2" w:space="0" w:color="auto"/>
              <w:bottom w:val="single" w:sz="2" w:space="0" w:color="auto"/>
              <w:right w:val="single" w:sz="2" w:space="0" w:color="auto"/>
            </w:tcBorders>
          </w:tcPr>
          <w:p w14:paraId="70D5093F" w14:textId="77777777" w:rsidR="009F4766" w:rsidRPr="00DE12A3" w:rsidRDefault="009F4766" w:rsidP="00C917D6">
            <w:pPr>
              <w:pStyle w:val="NormalLeft"/>
            </w:pPr>
            <w:r w:rsidRPr="00DE12A3">
              <w:t>1020</w:t>
            </w:r>
          </w:p>
        </w:tc>
        <w:tc>
          <w:tcPr>
            <w:tcW w:w="2489" w:type="dxa"/>
            <w:tcBorders>
              <w:top w:val="single" w:sz="2" w:space="0" w:color="auto"/>
              <w:left w:val="single" w:sz="2" w:space="0" w:color="auto"/>
              <w:bottom w:val="single" w:sz="2" w:space="0" w:color="auto"/>
              <w:right w:val="single" w:sz="2" w:space="0" w:color="auto"/>
            </w:tcBorders>
          </w:tcPr>
          <w:p w14:paraId="37D0AEBF" w14:textId="77777777" w:rsidR="009F4766" w:rsidRPr="00DE12A3" w:rsidRDefault="009F4766" w:rsidP="00C917D6">
            <w:pPr>
              <w:pStyle w:val="NormalLeft"/>
            </w:pPr>
            <w:r w:rsidRPr="00DE12A3">
              <w:t>86</w:t>
            </w:r>
          </w:p>
        </w:tc>
        <w:tc>
          <w:tcPr>
            <w:tcW w:w="2551" w:type="dxa"/>
            <w:tcBorders>
              <w:top w:val="single" w:sz="2" w:space="0" w:color="auto"/>
              <w:left w:val="single" w:sz="2" w:space="0" w:color="auto"/>
              <w:bottom w:val="single" w:sz="2" w:space="0" w:color="auto"/>
              <w:right w:val="single" w:sz="2" w:space="0" w:color="auto"/>
            </w:tcBorders>
          </w:tcPr>
          <w:p w14:paraId="5BCCAEC6" w14:textId="77777777" w:rsidR="009F4766" w:rsidRPr="00DE12A3" w:rsidRDefault="009F4766" w:rsidP="00C917D6">
            <w:pPr>
              <w:pStyle w:val="NormalLeft"/>
            </w:pPr>
            <w:r w:rsidRPr="00DE12A3">
              <w:t>18</w:t>
            </w:r>
          </w:p>
        </w:tc>
      </w:tr>
      <w:tr w:rsidR="00DE12A3" w:rsidRPr="00DE12A3" w14:paraId="4B8F3443" w14:textId="77777777" w:rsidTr="009F4766">
        <w:tc>
          <w:tcPr>
            <w:tcW w:w="1182" w:type="dxa"/>
            <w:tcBorders>
              <w:top w:val="single" w:sz="2" w:space="0" w:color="auto"/>
              <w:left w:val="single" w:sz="2" w:space="0" w:color="auto"/>
              <w:bottom w:val="single" w:sz="2" w:space="0" w:color="auto"/>
              <w:right w:val="single" w:sz="2" w:space="0" w:color="auto"/>
            </w:tcBorders>
          </w:tcPr>
          <w:p w14:paraId="4F877811" w14:textId="77777777" w:rsidR="009F4766" w:rsidRPr="00DE12A3" w:rsidRDefault="009F4766" w:rsidP="00C917D6">
            <w:pPr>
              <w:pStyle w:val="NormalLeft"/>
            </w:pPr>
            <w:r w:rsidRPr="00DE12A3">
              <w:t>1021</w:t>
            </w:r>
          </w:p>
        </w:tc>
        <w:tc>
          <w:tcPr>
            <w:tcW w:w="2489" w:type="dxa"/>
            <w:tcBorders>
              <w:top w:val="single" w:sz="2" w:space="0" w:color="auto"/>
              <w:left w:val="single" w:sz="2" w:space="0" w:color="auto"/>
              <w:bottom w:val="single" w:sz="2" w:space="0" w:color="auto"/>
              <w:right w:val="single" w:sz="2" w:space="0" w:color="auto"/>
            </w:tcBorders>
          </w:tcPr>
          <w:p w14:paraId="1B161685" w14:textId="77777777" w:rsidR="009F4766" w:rsidRPr="00DE12A3" w:rsidRDefault="009F4766" w:rsidP="00C917D6">
            <w:pPr>
              <w:pStyle w:val="NormalLeft"/>
            </w:pPr>
            <w:r w:rsidRPr="00DE12A3">
              <w:t>82</w:t>
            </w:r>
          </w:p>
        </w:tc>
        <w:tc>
          <w:tcPr>
            <w:tcW w:w="2551" w:type="dxa"/>
            <w:tcBorders>
              <w:top w:val="single" w:sz="2" w:space="0" w:color="auto"/>
              <w:left w:val="single" w:sz="2" w:space="0" w:color="auto"/>
              <w:bottom w:val="single" w:sz="2" w:space="0" w:color="auto"/>
              <w:right w:val="single" w:sz="2" w:space="0" w:color="auto"/>
            </w:tcBorders>
          </w:tcPr>
          <w:p w14:paraId="396AA6D6" w14:textId="77777777" w:rsidR="009F4766" w:rsidRPr="00DE12A3" w:rsidRDefault="009F4766" w:rsidP="00C917D6">
            <w:pPr>
              <w:pStyle w:val="NormalLeft"/>
            </w:pPr>
            <w:r w:rsidRPr="00DE12A3">
              <w:t>35</w:t>
            </w:r>
          </w:p>
        </w:tc>
      </w:tr>
      <w:tr w:rsidR="00DE12A3" w:rsidRPr="00DE12A3" w14:paraId="0EF18926" w14:textId="77777777" w:rsidTr="009F4766">
        <w:tc>
          <w:tcPr>
            <w:tcW w:w="1182" w:type="dxa"/>
            <w:tcBorders>
              <w:top w:val="single" w:sz="2" w:space="0" w:color="auto"/>
              <w:left w:val="single" w:sz="2" w:space="0" w:color="auto"/>
              <w:bottom w:val="single" w:sz="2" w:space="0" w:color="auto"/>
              <w:right w:val="single" w:sz="2" w:space="0" w:color="auto"/>
            </w:tcBorders>
          </w:tcPr>
          <w:p w14:paraId="4FD4C3FB" w14:textId="77777777" w:rsidR="009F4766" w:rsidRPr="00DE12A3" w:rsidRDefault="009F4766" w:rsidP="00C917D6">
            <w:pPr>
              <w:pStyle w:val="NormalLeft"/>
            </w:pPr>
            <w:r w:rsidRPr="00DE12A3">
              <w:t>1022</w:t>
            </w:r>
          </w:p>
        </w:tc>
        <w:tc>
          <w:tcPr>
            <w:tcW w:w="2489" w:type="dxa"/>
            <w:tcBorders>
              <w:top w:val="single" w:sz="2" w:space="0" w:color="auto"/>
              <w:left w:val="single" w:sz="2" w:space="0" w:color="auto"/>
              <w:bottom w:val="single" w:sz="2" w:space="0" w:color="auto"/>
              <w:right w:val="single" w:sz="2" w:space="0" w:color="auto"/>
            </w:tcBorders>
          </w:tcPr>
          <w:p w14:paraId="306F65A0" w14:textId="77777777" w:rsidR="009F4766" w:rsidRPr="00DE12A3" w:rsidRDefault="009F4766" w:rsidP="00C917D6">
            <w:pPr>
              <w:pStyle w:val="NormalLeft"/>
            </w:pPr>
            <w:r w:rsidRPr="00DE12A3">
              <w:t>79</w:t>
            </w:r>
          </w:p>
        </w:tc>
        <w:tc>
          <w:tcPr>
            <w:tcW w:w="2551" w:type="dxa"/>
            <w:tcBorders>
              <w:top w:val="single" w:sz="2" w:space="0" w:color="auto"/>
              <w:left w:val="single" w:sz="2" w:space="0" w:color="auto"/>
              <w:bottom w:val="single" w:sz="2" w:space="0" w:color="auto"/>
              <w:right w:val="single" w:sz="2" w:space="0" w:color="auto"/>
            </w:tcBorders>
          </w:tcPr>
          <w:p w14:paraId="3C9A851D" w14:textId="77777777" w:rsidR="009F4766" w:rsidRPr="00DE12A3" w:rsidRDefault="009F4766" w:rsidP="00C917D6">
            <w:pPr>
              <w:pStyle w:val="NormalLeft"/>
            </w:pPr>
            <w:r w:rsidRPr="00DE12A3">
              <w:t>53</w:t>
            </w:r>
          </w:p>
        </w:tc>
      </w:tr>
      <w:tr w:rsidR="00DE12A3" w:rsidRPr="00DE12A3" w14:paraId="19BCF790" w14:textId="77777777" w:rsidTr="009F4766">
        <w:tc>
          <w:tcPr>
            <w:tcW w:w="1182" w:type="dxa"/>
            <w:tcBorders>
              <w:top w:val="single" w:sz="2" w:space="0" w:color="auto"/>
              <w:left w:val="single" w:sz="2" w:space="0" w:color="auto"/>
              <w:bottom w:val="single" w:sz="2" w:space="0" w:color="auto"/>
              <w:right w:val="single" w:sz="2" w:space="0" w:color="auto"/>
            </w:tcBorders>
          </w:tcPr>
          <w:p w14:paraId="63272196" w14:textId="77777777" w:rsidR="009F4766" w:rsidRPr="00DE12A3" w:rsidRDefault="009F4766" w:rsidP="00C917D6">
            <w:pPr>
              <w:pStyle w:val="NormalLeft"/>
            </w:pPr>
            <w:r w:rsidRPr="00DE12A3">
              <w:t>1023</w:t>
            </w:r>
          </w:p>
        </w:tc>
        <w:tc>
          <w:tcPr>
            <w:tcW w:w="2489" w:type="dxa"/>
            <w:tcBorders>
              <w:top w:val="single" w:sz="2" w:space="0" w:color="auto"/>
              <w:left w:val="single" w:sz="2" w:space="0" w:color="auto"/>
              <w:bottom w:val="single" w:sz="2" w:space="0" w:color="auto"/>
              <w:right w:val="single" w:sz="2" w:space="0" w:color="auto"/>
            </w:tcBorders>
          </w:tcPr>
          <w:p w14:paraId="6F406CD4" w14:textId="77777777" w:rsidR="009F4766" w:rsidRPr="00DE12A3" w:rsidRDefault="009F4766" w:rsidP="00C917D6">
            <w:pPr>
              <w:pStyle w:val="NormalLeft"/>
            </w:pPr>
            <w:r w:rsidRPr="00DE12A3">
              <w:t>82</w:t>
            </w:r>
          </w:p>
        </w:tc>
        <w:tc>
          <w:tcPr>
            <w:tcW w:w="2551" w:type="dxa"/>
            <w:tcBorders>
              <w:top w:val="single" w:sz="2" w:space="0" w:color="auto"/>
              <w:left w:val="single" w:sz="2" w:space="0" w:color="auto"/>
              <w:bottom w:val="single" w:sz="2" w:space="0" w:color="auto"/>
              <w:right w:val="single" w:sz="2" w:space="0" w:color="auto"/>
            </w:tcBorders>
          </w:tcPr>
          <w:p w14:paraId="159BEC17" w14:textId="77777777" w:rsidR="009F4766" w:rsidRPr="00DE12A3" w:rsidRDefault="009F4766" w:rsidP="00C917D6">
            <w:pPr>
              <w:pStyle w:val="NormalLeft"/>
            </w:pPr>
            <w:r w:rsidRPr="00DE12A3">
              <w:t>30</w:t>
            </w:r>
          </w:p>
        </w:tc>
      </w:tr>
      <w:tr w:rsidR="00DE12A3" w:rsidRPr="00DE12A3" w14:paraId="41B9651A" w14:textId="77777777" w:rsidTr="009F4766">
        <w:tc>
          <w:tcPr>
            <w:tcW w:w="1182" w:type="dxa"/>
            <w:tcBorders>
              <w:top w:val="single" w:sz="2" w:space="0" w:color="auto"/>
              <w:left w:val="single" w:sz="2" w:space="0" w:color="auto"/>
              <w:bottom w:val="single" w:sz="2" w:space="0" w:color="auto"/>
              <w:right w:val="single" w:sz="2" w:space="0" w:color="auto"/>
            </w:tcBorders>
          </w:tcPr>
          <w:p w14:paraId="0172148D" w14:textId="77777777" w:rsidR="009F4766" w:rsidRPr="00DE12A3" w:rsidRDefault="009F4766" w:rsidP="00C917D6">
            <w:pPr>
              <w:pStyle w:val="NormalLeft"/>
            </w:pPr>
            <w:r w:rsidRPr="00DE12A3">
              <w:t>1024</w:t>
            </w:r>
          </w:p>
        </w:tc>
        <w:tc>
          <w:tcPr>
            <w:tcW w:w="2489" w:type="dxa"/>
            <w:tcBorders>
              <w:top w:val="single" w:sz="2" w:space="0" w:color="auto"/>
              <w:left w:val="single" w:sz="2" w:space="0" w:color="auto"/>
              <w:bottom w:val="single" w:sz="2" w:space="0" w:color="auto"/>
              <w:right w:val="single" w:sz="2" w:space="0" w:color="auto"/>
            </w:tcBorders>
          </w:tcPr>
          <w:p w14:paraId="108B1268" w14:textId="77777777" w:rsidR="009F4766" w:rsidRPr="00DE12A3" w:rsidRDefault="009F4766" w:rsidP="00C917D6">
            <w:pPr>
              <w:pStyle w:val="NormalLeft"/>
            </w:pPr>
            <w:r w:rsidRPr="00DE12A3">
              <w:t>83</w:t>
            </w:r>
          </w:p>
        </w:tc>
        <w:tc>
          <w:tcPr>
            <w:tcW w:w="2551" w:type="dxa"/>
            <w:tcBorders>
              <w:top w:val="single" w:sz="2" w:space="0" w:color="auto"/>
              <w:left w:val="single" w:sz="2" w:space="0" w:color="auto"/>
              <w:bottom w:val="single" w:sz="2" w:space="0" w:color="auto"/>
              <w:right w:val="single" w:sz="2" w:space="0" w:color="auto"/>
            </w:tcBorders>
          </w:tcPr>
          <w:p w14:paraId="424DE790" w14:textId="77777777" w:rsidR="009F4766" w:rsidRPr="00DE12A3" w:rsidRDefault="009F4766" w:rsidP="00C917D6">
            <w:pPr>
              <w:pStyle w:val="NormalLeft"/>
            </w:pPr>
            <w:r w:rsidRPr="00DE12A3">
              <w:t>29</w:t>
            </w:r>
          </w:p>
        </w:tc>
      </w:tr>
      <w:tr w:rsidR="00DE12A3" w:rsidRPr="00DE12A3" w14:paraId="1EC12E62" w14:textId="77777777" w:rsidTr="009F4766">
        <w:tc>
          <w:tcPr>
            <w:tcW w:w="1182" w:type="dxa"/>
            <w:tcBorders>
              <w:top w:val="single" w:sz="2" w:space="0" w:color="auto"/>
              <w:left w:val="single" w:sz="2" w:space="0" w:color="auto"/>
              <w:bottom w:val="single" w:sz="2" w:space="0" w:color="auto"/>
              <w:right w:val="single" w:sz="2" w:space="0" w:color="auto"/>
            </w:tcBorders>
          </w:tcPr>
          <w:p w14:paraId="00687A41" w14:textId="77777777" w:rsidR="009F4766" w:rsidRPr="00DE12A3" w:rsidRDefault="009F4766" w:rsidP="00C917D6">
            <w:pPr>
              <w:pStyle w:val="NormalLeft"/>
            </w:pPr>
            <w:r w:rsidRPr="00DE12A3">
              <w:t>1025</w:t>
            </w:r>
          </w:p>
        </w:tc>
        <w:tc>
          <w:tcPr>
            <w:tcW w:w="2489" w:type="dxa"/>
            <w:tcBorders>
              <w:top w:val="single" w:sz="2" w:space="0" w:color="auto"/>
              <w:left w:val="single" w:sz="2" w:space="0" w:color="auto"/>
              <w:bottom w:val="single" w:sz="2" w:space="0" w:color="auto"/>
              <w:right w:val="single" w:sz="2" w:space="0" w:color="auto"/>
            </w:tcBorders>
          </w:tcPr>
          <w:p w14:paraId="4326C0FE" w14:textId="77777777" w:rsidR="009F4766" w:rsidRPr="00DE12A3" w:rsidRDefault="009F4766" w:rsidP="00C917D6">
            <w:pPr>
              <w:pStyle w:val="NormalLeft"/>
            </w:pPr>
            <w:r w:rsidRPr="00DE12A3">
              <w:t>83</w:t>
            </w:r>
          </w:p>
        </w:tc>
        <w:tc>
          <w:tcPr>
            <w:tcW w:w="2551" w:type="dxa"/>
            <w:tcBorders>
              <w:top w:val="single" w:sz="2" w:space="0" w:color="auto"/>
              <w:left w:val="single" w:sz="2" w:space="0" w:color="auto"/>
              <w:bottom w:val="single" w:sz="2" w:space="0" w:color="auto"/>
              <w:right w:val="single" w:sz="2" w:space="0" w:color="auto"/>
            </w:tcBorders>
          </w:tcPr>
          <w:p w14:paraId="40C69EA6" w14:textId="77777777" w:rsidR="009F4766" w:rsidRPr="00DE12A3" w:rsidRDefault="009F4766" w:rsidP="00C917D6">
            <w:pPr>
              <w:pStyle w:val="NormalLeft"/>
            </w:pPr>
            <w:r w:rsidRPr="00DE12A3">
              <w:t>32</w:t>
            </w:r>
          </w:p>
        </w:tc>
      </w:tr>
      <w:tr w:rsidR="00DE12A3" w:rsidRPr="00DE12A3" w14:paraId="6A7127E2" w14:textId="77777777" w:rsidTr="009F4766">
        <w:tc>
          <w:tcPr>
            <w:tcW w:w="1182" w:type="dxa"/>
            <w:tcBorders>
              <w:top w:val="single" w:sz="2" w:space="0" w:color="auto"/>
              <w:left w:val="single" w:sz="2" w:space="0" w:color="auto"/>
              <w:bottom w:val="single" w:sz="2" w:space="0" w:color="auto"/>
              <w:right w:val="single" w:sz="2" w:space="0" w:color="auto"/>
            </w:tcBorders>
          </w:tcPr>
          <w:p w14:paraId="741D248A" w14:textId="77777777" w:rsidR="009F4766" w:rsidRPr="00DE12A3" w:rsidRDefault="009F4766" w:rsidP="00C917D6">
            <w:pPr>
              <w:pStyle w:val="NormalLeft"/>
            </w:pPr>
            <w:r w:rsidRPr="00DE12A3">
              <w:t>1026</w:t>
            </w:r>
          </w:p>
        </w:tc>
        <w:tc>
          <w:tcPr>
            <w:tcW w:w="2489" w:type="dxa"/>
            <w:tcBorders>
              <w:top w:val="single" w:sz="2" w:space="0" w:color="auto"/>
              <w:left w:val="single" w:sz="2" w:space="0" w:color="auto"/>
              <w:bottom w:val="single" w:sz="2" w:space="0" w:color="auto"/>
              <w:right w:val="single" w:sz="2" w:space="0" w:color="auto"/>
            </w:tcBorders>
          </w:tcPr>
          <w:p w14:paraId="1D0FB227" w14:textId="77777777" w:rsidR="009F4766" w:rsidRPr="00DE12A3" w:rsidRDefault="009F4766" w:rsidP="00C917D6">
            <w:pPr>
              <w:pStyle w:val="NormalLeft"/>
            </w:pPr>
            <w:r w:rsidRPr="00DE12A3">
              <w:t>83</w:t>
            </w:r>
          </w:p>
        </w:tc>
        <w:tc>
          <w:tcPr>
            <w:tcW w:w="2551" w:type="dxa"/>
            <w:tcBorders>
              <w:top w:val="single" w:sz="2" w:space="0" w:color="auto"/>
              <w:left w:val="single" w:sz="2" w:space="0" w:color="auto"/>
              <w:bottom w:val="single" w:sz="2" w:space="0" w:color="auto"/>
              <w:right w:val="single" w:sz="2" w:space="0" w:color="auto"/>
            </w:tcBorders>
          </w:tcPr>
          <w:p w14:paraId="7E324AEB" w14:textId="77777777" w:rsidR="009F4766" w:rsidRPr="00DE12A3" w:rsidRDefault="009F4766" w:rsidP="00C917D6">
            <w:pPr>
              <w:pStyle w:val="NormalLeft"/>
            </w:pPr>
            <w:r w:rsidRPr="00DE12A3">
              <w:t>28</w:t>
            </w:r>
          </w:p>
        </w:tc>
      </w:tr>
      <w:tr w:rsidR="00DE12A3" w:rsidRPr="00DE12A3" w14:paraId="446DA498" w14:textId="77777777" w:rsidTr="009F4766">
        <w:tc>
          <w:tcPr>
            <w:tcW w:w="1182" w:type="dxa"/>
            <w:tcBorders>
              <w:top w:val="single" w:sz="2" w:space="0" w:color="auto"/>
              <w:left w:val="single" w:sz="2" w:space="0" w:color="auto"/>
              <w:bottom w:val="single" w:sz="2" w:space="0" w:color="auto"/>
              <w:right w:val="single" w:sz="2" w:space="0" w:color="auto"/>
            </w:tcBorders>
          </w:tcPr>
          <w:p w14:paraId="1213F587" w14:textId="77777777" w:rsidR="009F4766" w:rsidRPr="00DE12A3" w:rsidRDefault="009F4766" w:rsidP="00C917D6">
            <w:pPr>
              <w:pStyle w:val="NormalLeft"/>
            </w:pPr>
            <w:r w:rsidRPr="00DE12A3">
              <w:t>1027</w:t>
            </w:r>
          </w:p>
        </w:tc>
        <w:tc>
          <w:tcPr>
            <w:tcW w:w="2489" w:type="dxa"/>
            <w:tcBorders>
              <w:top w:val="single" w:sz="2" w:space="0" w:color="auto"/>
              <w:left w:val="single" w:sz="2" w:space="0" w:color="auto"/>
              <w:bottom w:val="single" w:sz="2" w:space="0" w:color="auto"/>
              <w:right w:val="single" w:sz="2" w:space="0" w:color="auto"/>
            </w:tcBorders>
          </w:tcPr>
          <w:p w14:paraId="22BEE927" w14:textId="77777777" w:rsidR="009F4766" w:rsidRPr="00DE12A3" w:rsidRDefault="009F4766" w:rsidP="00C917D6">
            <w:pPr>
              <w:pStyle w:val="NormalLeft"/>
            </w:pPr>
            <w:r w:rsidRPr="00DE12A3">
              <w:t>76</w:t>
            </w:r>
          </w:p>
        </w:tc>
        <w:tc>
          <w:tcPr>
            <w:tcW w:w="2551" w:type="dxa"/>
            <w:tcBorders>
              <w:top w:val="single" w:sz="2" w:space="0" w:color="auto"/>
              <w:left w:val="single" w:sz="2" w:space="0" w:color="auto"/>
              <w:bottom w:val="single" w:sz="2" w:space="0" w:color="auto"/>
              <w:right w:val="single" w:sz="2" w:space="0" w:color="auto"/>
            </w:tcBorders>
          </w:tcPr>
          <w:p w14:paraId="11033DFC" w14:textId="77777777" w:rsidR="009F4766" w:rsidRPr="00DE12A3" w:rsidRDefault="009F4766" w:rsidP="00C917D6">
            <w:pPr>
              <w:pStyle w:val="NormalLeft"/>
            </w:pPr>
            <w:r w:rsidRPr="00DE12A3">
              <w:t>60</w:t>
            </w:r>
          </w:p>
        </w:tc>
      </w:tr>
      <w:tr w:rsidR="00DE12A3" w:rsidRPr="00DE12A3" w14:paraId="4149AF1B" w14:textId="77777777" w:rsidTr="009F4766">
        <w:tc>
          <w:tcPr>
            <w:tcW w:w="1182" w:type="dxa"/>
            <w:tcBorders>
              <w:top w:val="single" w:sz="2" w:space="0" w:color="auto"/>
              <w:left w:val="single" w:sz="2" w:space="0" w:color="auto"/>
              <w:bottom w:val="single" w:sz="2" w:space="0" w:color="auto"/>
              <w:right w:val="single" w:sz="2" w:space="0" w:color="auto"/>
            </w:tcBorders>
          </w:tcPr>
          <w:p w14:paraId="3D502FF7" w14:textId="77777777" w:rsidR="009F4766" w:rsidRPr="00DE12A3" w:rsidRDefault="009F4766" w:rsidP="00C917D6">
            <w:pPr>
              <w:pStyle w:val="NormalLeft"/>
            </w:pPr>
            <w:r w:rsidRPr="00DE12A3">
              <w:lastRenderedPageBreak/>
              <w:t>1028</w:t>
            </w:r>
          </w:p>
        </w:tc>
        <w:tc>
          <w:tcPr>
            <w:tcW w:w="2489" w:type="dxa"/>
            <w:tcBorders>
              <w:top w:val="single" w:sz="2" w:space="0" w:color="auto"/>
              <w:left w:val="single" w:sz="2" w:space="0" w:color="auto"/>
              <w:bottom w:val="single" w:sz="2" w:space="0" w:color="auto"/>
              <w:right w:val="single" w:sz="2" w:space="0" w:color="auto"/>
            </w:tcBorders>
          </w:tcPr>
          <w:p w14:paraId="484CDAEA" w14:textId="77777777" w:rsidR="009F4766" w:rsidRPr="00DE12A3" w:rsidRDefault="009F4766" w:rsidP="00C917D6">
            <w:pPr>
              <w:pStyle w:val="NormalLeft"/>
            </w:pPr>
            <w:r w:rsidRPr="00DE12A3">
              <w:t>79</w:t>
            </w:r>
          </w:p>
        </w:tc>
        <w:tc>
          <w:tcPr>
            <w:tcW w:w="2551" w:type="dxa"/>
            <w:tcBorders>
              <w:top w:val="single" w:sz="2" w:space="0" w:color="auto"/>
              <w:left w:val="single" w:sz="2" w:space="0" w:color="auto"/>
              <w:bottom w:val="single" w:sz="2" w:space="0" w:color="auto"/>
              <w:right w:val="single" w:sz="2" w:space="0" w:color="auto"/>
            </w:tcBorders>
          </w:tcPr>
          <w:p w14:paraId="47772816" w14:textId="77777777" w:rsidR="009F4766" w:rsidRPr="00DE12A3" w:rsidRDefault="009F4766" w:rsidP="00C917D6">
            <w:pPr>
              <w:pStyle w:val="NormalLeft"/>
            </w:pPr>
            <w:r w:rsidRPr="00DE12A3">
              <w:t>51</w:t>
            </w:r>
          </w:p>
        </w:tc>
      </w:tr>
      <w:tr w:rsidR="00DE12A3" w:rsidRPr="00DE12A3" w14:paraId="203A39DE" w14:textId="77777777" w:rsidTr="009F4766">
        <w:tc>
          <w:tcPr>
            <w:tcW w:w="1182" w:type="dxa"/>
            <w:tcBorders>
              <w:top w:val="single" w:sz="2" w:space="0" w:color="auto"/>
              <w:left w:val="single" w:sz="2" w:space="0" w:color="auto"/>
              <w:bottom w:val="single" w:sz="2" w:space="0" w:color="auto"/>
              <w:right w:val="single" w:sz="2" w:space="0" w:color="auto"/>
            </w:tcBorders>
          </w:tcPr>
          <w:p w14:paraId="42CF73DA" w14:textId="77777777" w:rsidR="009F4766" w:rsidRPr="00DE12A3" w:rsidRDefault="009F4766" w:rsidP="00C917D6">
            <w:pPr>
              <w:pStyle w:val="NormalLeft"/>
            </w:pPr>
            <w:r w:rsidRPr="00DE12A3">
              <w:t>1029</w:t>
            </w:r>
          </w:p>
        </w:tc>
        <w:tc>
          <w:tcPr>
            <w:tcW w:w="2489" w:type="dxa"/>
            <w:tcBorders>
              <w:top w:val="single" w:sz="2" w:space="0" w:color="auto"/>
              <w:left w:val="single" w:sz="2" w:space="0" w:color="auto"/>
              <w:bottom w:val="single" w:sz="2" w:space="0" w:color="auto"/>
              <w:right w:val="single" w:sz="2" w:space="0" w:color="auto"/>
            </w:tcBorders>
          </w:tcPr>
          <w:p w14:paraId="2B9C5241" w14:textId="77777777" w:rsidR="009F4766" w:rsidRPr="00DE12A3" w:rsidRDefault="009F4766" w:rsidP="00C917D6">
            <w:pPr>
              <w:pStyle w:val="NormalLeft"/>
            </w:pPr>
            <w:r w:rsidRPr="00DE12A3">
              <w:t>86</w:t>
            </w:r>
          </w:p>
        </w:tc>
        <w:tc>
          <w:tcPr>
            <w:tcW w:w="2551" w:type="dxa"/>
            <w:tcBorders>
              <w:top w:val="single" w:sz="2" w:space="0" w:color="auto"/>
              <w:left w:val="single" w:sz="2" w:space="0" w:color="auto"/>
              <w:bottom w:val="single" w:sz="2" w:space="0" w:color="auto"/>
              <w:right w:val="single" w:sz="2" w:space="0" w:color="auto"/>
            </w:tcBorders>
          </w:tcPr>
          <w:p w14:paraId="270C5C36" w14:textId="77777777" w:rsidR="009F4766" w:rsidRPr="00DE12A3" w:rsidRDefault="009F4766" w:rsidP="00C917D6">
            <w:pPr>
              <w:pStyle w:val="NormalLeft"/>
            </w:pPr>
            <w:r w:rsidRPr="00DE12A3">
              <w:t>26</w:t>
            </w:r>
          </w:p>
        </w:tc>
      </w:tr>
      <w:tr w:rsidR="00DE12A3" w:rsidRPr="00DE12A3" w14:paraId="004AD1B1" w14:textId="77777777" w:rsidTr="009F4766">
        <w:tc>
          <w:tcPr>
            <w:tcW w:w="1182" w:type="dxa"/>
            <w:tcBorders>
              <w:top w:val="single" w:sz="2" w:space="0" w:color="auto"/>
              <w:left w:val="single" w:sz="2" w:space="0" w:color="auto"/>
              <w:bottom w:val="single" w:sz="2" w:space="0" w:color="auto"/>
              <w:right w:val="single" w:sz="2" w:space="0" w:color="auto"/>
            </w:tcBorders>
          </w:tcPr>
          <w:p w14:paraId="74CAC09A" w14:textId="77777777" w:rsidR="009F4766" w:rsidRPr="00DE12A3" w:rsidRDefault="009F4766" w:rsidP="00C917D6">
            <w:pPr>
              <w:pStyle w:val="NormalLeft"/>
            </w:pPr>
            <w:r w:rsidRPr="00DE12A3">
              <w:t>1030</w:t>
            </w:r>
          </w:p>
        </w:tc>
        <w:tc>
          <w:tcPr>
            <w:tcW w:w="2489" w:type="dxa"/>
            <w:tcBorders>
              <w:top w:val="single" w:sz="2" w:space="0" w:color="auto"/>
              <w:left w:val="single" w:sz="2" w:space="0" w:color="auto"/>
              <w:bottom w:val="single" w:sz="2" w:space="0" w:color="auto"/>
              <w:right w:val="single" w:sz="2" w:space="0" w:color="auto"/>
            </w:tcBorders>
          </w:tcPr>
          <w:p w14:paraId="214BD4AD" w14:textId="77777777" w:rsidR="009F4766" w:rsidRPr="00DE12A3" w:rsidRDefault="009F4766" w:rsidP="00C917D6">
            <w:pPr>
              <w:pStyle w:val="NormalLeft"/>
            </w:pPr>
            <w:r w:rsidRPr="00DE12A3">
              <w:t>82</w:t>
            </w:r>
          </w:p>
        </w:tc>
        <w:tc>
          <w:tcPr>
            <w:tcW w:w="2551" w:type="dxa"/>
            <w:tcBorders>
              <w:top w:val="single" w:sz="2" w:space="0" w:color="auto"/>
              <w:left w:val="single" w:sz="2" w:space="0" w:color="auto"/>
              <w:bottom w:val="single" w:sz="2" w:space="0" w:color="auto"/>
              <w:right w:val="single" w:sz="2" w:space="0" w:color="auto"/>
            </w:tcBorders>
          </w:tcPr>
          <w:p w14:paraId="752AA6B8" w14:textId="77777777" w:rsidR="009F4766" w:rsidRPr="00DE12A3" w:rsidRDefault="009F4766" w:rsidP="00C917D6">
            <w:pPr>
              <w:pStyle w:val="NormalLeft"/>
            </w:pPr>
            <w:r w:rsidRPr="00DE12A3">
              <w:t>34</w:t>
            </w:r>
          </w:p>
        </w:tc>
      </w:tr>
      <w:tr w:rsidR="00DE12A3" w:rsidRPr="00DE12A3" w14:paraId="7F75EE6C" w14:textId="77777777" w:rsidTr="009F4766">
        <w:tc>
          <w:tcPr>
            <w:tcW w:w="1182" w:type="dxa"/>
            <w:tcBorders>
              <w:top w:val="single" w:sz="2" w:space="0" w:color="auto"/>
              <w:left w:val="single" w:sz="2" w:space="0" w:color="auto"/>
              <w:bottom w:val="single" w:sz="2" w:space="0" w:color="auto"/>
              <w:right w:val="single" w:sz="2" w:space="0" w:color="auto"/>
            </w:tcBorders>
          </w:tcPr>
          <w:p w14:paraId="515B15B1" w14:textId="77777777" w:rsidR="009F4766" w:rsidRPr="00DE12A3" w:rsidRDefault="009F4766" w:rsidP="00C917D6">
            <w:pPr>
              <w:pStyle w:val="NormalLeft"/>
            </w:pPr>
            <w:r w:rsidRPr="00DE12A3">
              <w:t>1031</w:t>
            </w:r>
          </w:p>
        </w:tc>
        <w:tc>
          <w:tcPr>
            <w:tcW w:w="2489" w:type="dxa"/>
            <w:tcBorders>
              <w:top w:val="single" w:sz="2" w:space="0" w:color="auto"/>
              <w:left w:val="single" w:sz="2" w:space="0" w:color="auto"/>
              <w:bottom w:val="single" w:sz="2" w:space="0" w:color="auto"/>
              <w:right w:val="single" w:sz="2" w:space="0" w:color="auto"/>
            </w:tcBorders>
          </w:tcPr>
          <w:p w14:paraId="2E5C0F74" w14:textId="77777777" w:rsidR="009F4766" w:rsidRPr="00DE12A3" w:rsidRDefault="009F4766" w:rsidP="00C917D6">
            <w:pPr>
              <w:pStyle w:val="NormalLeft"/>
            </w:pPr>
            <w:r w:rsidRPr="00DE12A3">
              <w:t>84</w:t>
            </w:r>
          </w:p>
        </w:tc>
        <w:tc>
          <w:tcPr>
            <w:tcW w:w="2551" w:type="dxa"/>
            <w:tcBorders>
              <w:top w:val="single" w:sz="2" w:space="0" w:color="auto"/>
              <w:left w:val="single" w:sz="2" w:space="0" w:color="auto"/>
              <w:bottom w:val="single" w:sz="2" w:space="0" w:color="auto"/>
              <w:right w:val="single" w:sz="2" w:space="0" w:color="auto"/>
            </w:tcBorders>
          </w:tcPr>
          <w:p w14:paraId="1CC9A970" w14:textId="77777777" w:rsidR="009F4766" w:rsidRPr="00DE12A3" w:rsidRDefault="009F4766" w:rsidP="00C917D6">
            <w:pPr>
              <w:pStyle w:val="NormalLeft"/>
            </w:pPr>
            <w:r w:rsidRPr="00DE12A3">
              <w:t>25</w:t>
            </w:r>
          </w:p>
        </w:tc>
      </w:tr>
      <w:tr w:rsidR="00DE12A3" w:rsidRPr="00DE12A3" w14:paraId="4AE45A57" w14:textId="77777777" w:rsidTr="009F4766">
        <w:tc>
          <w:tcPr>
            <w:tcW w:w="1182" w:type="dxa"/>
            <w:tcBorders>
              <w:top w:val="single" w:sz="2" w:space="0" w:color="auto"/>
              <w:left w:val="single" w:sz="2" w:space="0" w:color="auto"/>
              <w:bottom w:val="single" w:sz="2" w:space="0" w:color="auto"/>
              <w:right w:val="single" w:sz="2" w:space="0" w:color="auto"/>
            </w:tcBorders>
          </w:tcPr>
          <w:p w14:paraId="6A48A309" w14:textId="77777777" w:rsidR="009F4766" w:rsidRPr="00DE12A3" w:rsidRDefault="009F4766" w:rsidP="00C917D6">
            <w:pPr>
              <w:pStyle w:val="NormalLeft"/>
            </w:pPr>
            <w:r w:rsidRPr="00DE12A3">
              <w:t>1032</w:t>
            </w:r>
          </w:p>
        </w:tc>
        <w:tc>
          <w:tcPr>
            <w:tcW w:w="2489" w:type="dxa"/>
            <w:tcBorders>
              <w:top w:val="single" w:sz="2" w:space="0" w:color="auto"/>
              <w:left w:val="single" w:sz="2" w:space="0" w:color="auto"/>
              <w:bottom w:val="single" w:sz="2" w:space="0" w:color="auto"/>
              <w:right w:val="single" w:sz="2" w:space="0" w:color="auto"/>
            </w:tcBorders>
          </w:tcPr>
          <w:p w14:paraId="7FA38F92" w14:textId="77777777" w:rsidR="009F4766" w:rsidRPr="00DE12A3" w:rsidRDefault="009F4766" w:rsidP="00C917D6">
            <w:pPr>
              <w:pStyle w:val="NormalLeft"/>
            </w:pPr>
            <w:r w:rsidRPr="00DE12A3">
              <w:t>86</w:t>
            </w:r>
          </w:p>
        </w:tc>
        <w:tc>
          <w:tcPr>
            <w:tcW w:w="2551" w:type="dxa"/>
            <w:tcBorders>
              <w:top w:val="single" w:sz="2" w:space="0" w:color="auto"/>
              <w:left w:val="single" w:sz="2" w:space="0" w:color="auto"/>
              <w:bottom w:val="single" w:sz="2" w:space="0" w:color="auto"/>
              <w:right w:val="single" w:sz="2" w:space="0" w:color="auto"/>
            </w:tcBorders>
          </w:tcPr>
          <w:p w14:paraId="40C7C52E" w14:textId="77777777" w:rsidR="009F4766" w:rsidRPr="00DE12A3" w:rsidRDefault="009F4766" w:rsidP="00C917D6">
            <w:pPr>
              <w:pStyle w:val="NormalLeft"/>
            </w:pPr>
            <w:r w:rsidRPr="00DE12A3">
              <w:t>23</w:t>
            </w:r>
          </w:p>
        </w:tc>
      </w:tr>
      <w:tr w:rsidR="00DE12A3" w:rsidRPr="00DE12A3" w14:paraId="4B5420F2" w14:textId="77777777" w:rsidTr="009F4766">
        <w:tc>
          <w:tcPr>
            <w:tcW w:w="1182" w:type="dxa"/>
            <w:tcBorders>
              <w:top w:val="single" w:sz="2" w:space="0" w:color="auto"/>
              <w:left w:val="single" w:sz="2" w:space="0" w:color="auto"/>
              <w:bottom w:val="single" w:sz="2" w:space="0" w:color="auto"/>
              <w:right w:val="single" w:sz="2" w:space="0" w:color="auto"/>
            </w:tcBorders>
          </w:tcPr>
          <w:p w14:paraId="356A9346" w14:textId="77777777" w:rsidR="009F4766" w:rsidRPr="00DE12A3" w:rsidRDefault="009F4766" w:rsidP="00C917D6">
            <w:pPr>
              <w:pStyle w:val="NormalLeft"/>
            </w:pPr>
            <w:r w:rsidRPr="00DE12A3">
              <w:t>1033</w:t>
            </w:r>
          </w:p>
        </w:tc>
        <w:tc>
          <w:tcPr>
            <w:tcW w:w="2489" w:type="dxa"/>
            <w:tcBorders>
              <w:top w:val="single" w:sz="2" w:space="0" w:color="auto"/>
              <w:left w:val="single" w:sz="2" w:space="0" w:color="auto"/>
              <w:bottom w:val="single" w:sz="2" w:space="0" w:color="auto"/>
              <w:right w:val="single" w:sz="2" w:space="0" w:color="auto"/>
            </w:tcBorders>
          </w:tcPr>
          <w:p w14:paraId="54A0ABD6" w14:textId="77777777" w:rsidR="009F4766" w:rsidRPr="00DE12A3" w:rsidRDefault="009F4766" w:rsidP="00C917D6">
            <w:pPr>
              <w:pStyle w:val="NormalLeft"/>
            </w:pPr>
            <w:r w:rsidRPr="00DE12A3">
              <w:t>85</w:t>
            </w:r>
          </w:p>
        </w:tc>
        <w:tc>
          <w:tcPr>
            <w:tcW w:w="2551" w:type="dxa"/>
            <w:tcBorders>
              <w:top w:val="single" w:sz="2" w:space="0" w:color="auto"/>
              <w:left w:val="single" w:sz="2" w:space="0" w:color="auto"/>
              <w:bottom w:val="single" w:sz="2" w:space="0" w:color="auto"/>
              <w:right w:val="single" w:sz="2" w:space="0" w:color="auto"/>
            </w:tcBorders>
          </w:tcPr>
          <w:p w14:paraId="32ED0E8E" w14:textId="77777777" w:rsidR="009F4766" w:rsidRPr="00DE12A3" w:rsidRDefault="009F4766" w:rsidP="00C917D6">
            <w:pPr>
              <w:pStyle w:val="NormalLeft"/>
            </w:pPr>
            <w:r w:rsidRPr="00DE12A3">
              <w:t>22</w:t>
            </w:r>
          </w:p>
        </w:tc>
      </w:tr>
      <w:tr w:rsidR="00DE12A3" w:rsidRPr="00DE12A3" w14:paraId="1A08E6DC" w14:textId="77777777" w:rsidTr="009F4766">
        <w:tc>
          <w:tcPr>
            <w:tcW w:w="1182" w:type="dxa"/>
            <w:tcBorders>
              <w:top w:val="single" w:sz="2" w:space="0" w:color="auto"/>
              <w:left w:val="single" w:sz="2" w:space="0" w:color="auto"/>
              <w:bottom w:val="single" w:sz="2" w:space="0" w:color="auto"/>
              <w:right w:val="single" w:sz="2" w:space="0" w:color="auto"/>
            </w:tcBorders>
          </w:tcPr>
          <w:p w14:paraId="7580C910" w14:textId="77777777" w:rsidR="009F4766" w:rsidRPr="00DE12A3" w:rsidRDefault="009F4766" w:rsidP="00C917D6">
            <w:pPr>
              <w:pStyle w:val="NormalLeft"/>
            </w:pPr>
            <w:r w:rsidRPr="00DE12A3">
              <w:t>1034</w:t>
            </w:r>
          </w:p>
        </w:tc>
        <w:tc>
          <w:tcPr>
            <w:tcW w:w="2489" w:type="dxa"/>
            <w:tcBorders>
              <w:top w:val="single" w:sz="2" w:space="0" w:color="auto"/>
              <w:left w:val="single" w:sz="2" w:space="0" w:color="auto"/>
              <w:bottom w:val="single" w:sz="2" w:space="0" w:color="auto"/>
              <w:right w:val="single" w:sz="2" w:space="0" w:color="auto"/>
            </w:tcBorders>
          </w:tcPr>
          <w:p w14:paraId="68AE7341" w14:textId="77777777" w:rsidR="009F4766" w:rsidRPr="00DE12A3" w:rsidRDefault="009F4766" w:rsidP="00C917D6">
            <w:pPr>
              <w:pStyle w:val="NormalLeft"/>
            </w:pPr>
            <w:r w:rsidRPr="00DE12A3">
              <w:t>83</w:t>
            </w:r>
          </w:p>
        </w:tc>
        <w:tc>
          <w:tcPr>
            <w:tcW w:w="2551" w:type="dxa"/>
            <w:tcBorders>
              <w:top w:val="single" w:sz="2" w:space="0" w:color="auto"/>
              <w:left w:val="single" w:sz="2" w:space="0" w:color="auto"/>
              <w:bottom w:val="single" w:sz="2" w:space="0" w:color="auto"/>
              <w:right w:val="single" w:sz="2" w:space="0" w:color="auto"/>
            </w:tcBorders>
          </w:tcPr>
          <w:p w14:paraId="07887BFA" w14:textId="77777777" w:rsidR="009F4766" w:rsidRPr="00DE12A3" w:rsidRDefault="009F4766" w:rsidP="00C917D6">
            <w:pPr>
              <w:pStyle w:val="NormalLeft"/>
            </w:pPr>
            <w:r w:rsidRPr="00DE12A3">
              <w:t>26</w:t>
            </w:r>
          </w:p>
        </w:tc>
      </w:tr>
      <w:tr w:rsidR="00DE12A3" w:rsidRPr="00DE12A3" w14:paraId="10338F89" w14:textId="77777777" w:rsidTr="009F4766">
        <w:tc>
          <w:tcPr>
            <w:tcW w:w="1182" w:type="dxa"/>
            <w:tcBorders>
              <w:top w:val="single" w:sz="2" w:space="0" w:color="auto"/>
              <w:left w:val="single" w:sz="2" w:space="0" w:color="auto"/>
              <w:bottom w:val="single" w:sz="2" w:space="0" w:color="auto"/>
              <w:right w:val="single" w:sz="2" w:space="0" w:color="auto"/>
            </w:tcBorders>
          </w:tcPr>
          <w:p w14:paraId="628D52DF" w14:textId="77777777" w:rsidR="009F4766" w:rsidRPr="00DE12A3" w:rsidRDefault="009F4766" w:rsidP="00C917D6">
            <w:pPr>
              <w:pStyle w:val="NormalLeft"/>
            </w:pPr>
            <w:r w:rsidRPr="00DE12A3">
              <w:t>1035</w:t>
            </w:r>
          </w:p>
        </w:tc>
        <w:tc>
          <w:tcPr>
            <w:tcW w:w="2489" w:type="dxa"/>
            <w:tcBorders>
              <w:top w:val="single" w:sz="2" w:space="0" w:color="auto"/>
              <w:left w:val="single" w:sz="2" w:space="0" w:color="auto"/>
              <w:bottom w:val="single" w:sz="2" w:space="0" w:color="auto"/>
              <w:right w:val="single" w:sz="2" w:space="0" w:color="auto"/>
            </w:tcBorders>
          </w:tcPr>
          <w:p w14:paraId="62B123C1" w14:textId="77777777" w:rsidR="009F4766" w:rsidRPr="00DE12A3" w:rsidRDefault="009F4766" w:rsidP="00C917D6">
            <w:pPr>
              <w:pStyle w:val="NormalLeft"/>
            </w:pPr>
            <w:r w:rsidRPr="00DE12A3">
              <w:t>83</w:t>
            </w:r>
          </w:p>
        </w:tc>
        <w:tc>
          <w:tcPr>
            <w:tcW w:w="2551" w:type="dxa"/>
            <w:tcBorders>
              <w:top w:val="single" w:sz="2" w:space="0" w:color="auto"/>
              <w:left w:val="single" w:sz="2" w:space="0" w:color="auto"/>
              <w:bottom w:val="single" w:sz="2" w:space="0" w:color="auto"/>
              <w:right w:val="single" w:sz="2" w:space="0" w:color="auto"/>
            </w:tcBorders>
          </w:tcPr>
          <w:p w14:paraId="40B58EC9" w14:textId="77777777" w:rsidR="009F4766" w:rsidRPr="00DE12A3" w:rsidRDefault="009F4766" w:rsidP="00C917D6">
            <w:pPr>
              <w:pStyle w:val="NormalLeft"/>
            </w:pPr>
            <w:r w:rsidRPr="00DE12A3">
              <w:t>25</w:t>
            </w:r>
          </w:p>
        </w:tc>
      </w:tr>
      <w:tr w:rsidR="00DE12A3" w:rsidRPr="00DE12A3" w14:paraId="3E0E06A1" w14:textId="77777777" w:rsidTr="009F4766">
        <w:tc>
          <w:tcPr>
            <w:tcW w:w="1182" w:type="dxa"/>
            <w:tcBorders>
              <w:top w:val="single" w:sz="2" w:space="0" w:color="auto"/>
              <w:left w:val="single" w:sz="2" w:space="0" w:color="auto"/>
              <w:bottom w:val="single" w:sz="2" w:space="0" w:color="auto"/>
              <w:right w:val="single" w:sz="2" w:space="0" w:color="auto"/>
            </w:tcBorders>
          </w:tcPr>
          <w:p w14:paraId="25163E6F" w14:textId="77777777" w:rsidR="009F4766" w:rsidRPr="00DE12A3" w:rsidRDefault="009F4766" w:rsidP="00C917D6">
            <w:pPr>
              <w:pStyle w:val="NormalLeft"/>
            </w:pPr>
            <w:r w:rsidRPr="00DE12A3">
              <w:t>1036</w:t>
            </w:r>
          </w:p>
        </w:tc>
        <w:tc>
          <w:tcPr>
            <w:tcW w:w="2489" w:type="dxa"/>
            <w:tcBorders>
              <w:top w:val="single" w:sz="2" w:space="0" w:color="auto"/>
              <w:left w:val="single" w:sz="2" w:space="0" w:color="auto"/>
              <w:bottom w:val="single" w:sz="2" w:space="0" w:color="auto"/>
              <w:right w:val="single" w:sz="2" w:space="0" w:color="auto"/>
            </w:tcBorders>
          </w:tcPr>
          <w:p w14:paraId="6165DC9F" w14:textId="77777777" w:rsidR="009F4766" w:rsidRPr="00DE12A3" w:rsidRDefault="009F4766" w:rsidP="00C917D6">
            <w:pPr>
              <w:pStyle w:val="NormalLeft"/>
            </w:pPr>
            <w:r w:rsidRPr="00DE12A3">
              <w:t>83</w:t>
            </w:r>
          </w:p>
        </w:tc>
        <w:tc>
          <w:tcPr>
            <w:tcW w:w="2551" w:type="dxa"/>
            <w:tcBorders>
              <w:top w:val="single" w:sz="2" w:space="0" w:color="auto"/>
              <w:left w:val="single" w:sz="2" w:space="0" w:color="auto"/>
              <w:bottom w:val="single" w:sz="2" w:space="0" w:color="auto"/>
              <w:right w:val="single" w:sz="2" w:space="0" w:color="auto"/>
            </w:tcBorders>
          </w:tcPr>
          <w:p w14:paraId="1BCDB7B9" w14:textId="77777777" w:rsidR="009F4766" w:rsidRPr="00DE12A3" w:rsidRDefault="009F4766" w:rsidP="00C917D6">
            <w:pPr>
              <w:pStyle w:val="NormalLeft"/>
            </w:pPr>
            <w:r w:rsidRPr="00DE12A3">
              <w:t>37</w:t>
            </w:r>
          </w:p>
        </w:tc>
      </w:tr>
      <w:tr w:rsidR="00DE12A3" w:rsidRPr="00DE12A3" w14:paraId="48C150F7" w14:textId="77777777" w:rsidTr="009F4766">
        <w:tc>
          <w:tcPr>
            <w:tcW w:w="1182" w:type="dxa"/>
            <w:tcBorders>
              <w:top w:val="single" w:sz="2" w:space="0" w:color="auto"/>
              <w:left w:val="single" w:sz="2" w:space="0" w:color="auto"/>
              <w:bottom w:val="single" w:sz="2" w:space="0" w:color="auto"/>
              <w:right w:val="single" w:sz="2" w:space="0" w:color="auto"/>
            </w:tcBorders>
          </w:tcPr>
          <w:p w14:paraId="3B2120D6" w14:textId="77777777" w:rsidR="009F4766" w:rsidRPr="00DE12A3" w:rsidRDefault="009F4766" w:rsidP="00C917D6">
            <w:pPr>
              <w:pStyle w:val="NormalLeft"/>
            </w:pPr>
            <w:r w:rsidRPr="00DE12A3">
              <w:t>1037</w:t>
            </w:r>
          </w:p>
        </w:tc>
        <w:tc>
          <w:tcPr>
            <w:tcW w:w="2489" w:type="dxa"/>
            <w:tcBorders>
              <w:top w:val="single" w:sz="2" w:space="0" w:color="auto"/>
              <w:left w:val="single" w:sz="2" w:space="0" w:color="auto"/>
              <w:bottom w:val="single" w:sz="2" w:space="0" w:color="auto"/>
              <w:right w:val="single" w:sz="2" w:space="0" w:color="auto"/>
            </w:tcBorders>
          </w:tcPr>
          <w:p w14:paraId="00F57D20" w14:textId="77777777" w:rsidR="009F4766" w:rsidRPr="00DE12A3" w:rsidRDefault="009F4766" w:rsidP="00C917D6">
            <w:pPr>
              <w:pStyle w:val="NormalLeft"/>
            </w:pPr>
            <w:r w:rsidRPr="00DE12A3">
              <w:t>84</w:t>
            </w:r>
          </w:p>
        </w:tc>
        <w:tc>
          <w:tcPr>
            <w:tcW w:w="2551" w:type="dxa"/>
            <w:tcBorders>
              <w:top w:val="single" w:sz="2" w:space="0" w:color="auto"/>
              <w:left w:val="single" w:sz="2" w:space="0" w:color="auto"/>
              <w:bottom w:val="single" w:sz="2" w:space="0" w:color="auto"/>
              <w:right w:val="single" w:sz="2" w:space="0" w:color="auto"/>
            </w:tcBorders>
          </w:tcPr>
          <w:p w14:paraId="64CDDDC2" w14:textId="77777777" w:rsidR="009F4766" w:rsidRPr="00DE12A3" w:rsidRDefault="009F4766" w:rsidP="00C917D6">
            <w:pPr>
              <w:pStyle w:val="NormalLeft"/>
            </w:pPr>
            <w:r w:rsidRPr="00DE12A3">
              <w:t>14</w:t>
            </w:r>
          </w:p>
        </w:tc>
      </w:tr>
      <w:tr w:rsidR="00DE12A3" w:rsidRPr="00DE12A3" w14:paraId="3396CB29" w14:textId="77777777" w:rsidTr="009F4766">
        <w:tc>
          <w:tcPr>
            <w:tcW w:w="1182" w:type="dxa"/>
            <w:tcBorders>
              <w:top w:val="single" w:sz="2" w:space="0" w:color="auto"/>
              <w:left w:val="single" w:sz="2" w:space="0" w:color="auto"/>
              <w:bottom w:val="single" w:sz="2" w:space="0" w:color="auto"/>
              <w:right w:val="single" w:sz="2" w:space="0" w:color="auto"/>
            </w:tcBorders>
          </w:tcPr>
          <w:p w14:paraId="3B4BF1D7" w14:textId="77777777" w:rsidR="009F4766" w:rsidRPr="00DE12A3" w:rsidRDefault="009F4766" w:rsidP="00C917D6">
            <w:pPr>
              <w:pStyle w:val="NormalLeft"/>
            </w:pPr>
            <w:r w:rsidRPr="00DE12A3">
              <w:t>1038</w:t>
            </w:r>
          </w:p>
        </w:tc>
        <w:tc>
          <w:tcPr>
            <w:tcW w:w="2489" w:type="dxa"/>
            <w:tcBorders>
              <w:top w:val="single" w:sz="2" w:space="0" w:color="auto"/>
              <w:left w:val="single" w:sz="2" w:space="0" w:color="auto"/>
              <w:bottom w:val="single" w:sz="2" w:space="0" w:color="auto"/>
              <w:right w:val="single" w:sz="2" w:space="0" w:color="auto"/>
            </w:tcBorders>
          </w:tcPr>
          <w:p w14:paraId="6B89A456" w14:textId="77777777" w:rsidR="009F4766" w:rsidRPr="00DE12A3" w:rsidRDefault="009F4766" w:rsidP="00C917D6">
            <w:pPr>
              <w:pStyle w:val="NormalLeft"/>
            </w:pPr>
            <w:r w:rsidRPr="00DE12A3">
              <w:t>83</w:t>
            </w:r>
          </w:p>
        </w:tc>
        <w:tc>
          <w:tcPr>
            <w:tcW w:w="2551" w:type="dxa"/>
            <w:tcBorders>
              <w:top w:val="single" w:sz="2" w:space="0" w:color="auto"/>
              <w:left w:val="single" w:sz="2" w:space="0" w:color="auto"/>
              <w:bottom w:val="single" w:sz="2" w:space="0" w:color="auto"/>
              <w:right w:val="single" w:sz="2" w:space="0" w:color="auto"/>
            </w:tcBorders>
          </w:tcPr>
          <w:p w14:paraId="1A727247" w14:textId="77777777" w:rsidR="009F4766" w:rsidRPr="00DE12A3" w:rsidRDefault="009F4766" w:rsidP="00C917D6">
            <w:pPr>
              <w:pStyle w:val="NormalLeft"/>
            </w:pPr>
            <w:r w:rsidRPr="00DE12A3">
              <w:t>39</w:t>
            </w:r>
          </w:p>
        </w:tc>
      </w:tr>
      <w:tr w:rsidR="00DE12A3" w:rsidRPr="00DE12A3" w14:paraId="1439E7BE" w14:textId="77777777" w:rsidTr="009F4766">
        <w:tc>
          <w:tcPr>
            <w:tcW w:w="1182" w:type="dxa"/>
            <w:tcBorders>
              <w:top w:val="single" w:sz="2" w:space="0" w:color="auto"/>
              <w:left w:val="single" w:sz="2" w:space="0" w:color="auto"/>
              <w:bottom w:val="single" w:sz="2" w:space="0" w:color="auto"/>
              <w:right w:val="single" w:sz="2" w:space="0" w:color="auto"/>
            </w:tcBorders>
          </w:tcPr>
          <w:p w14:paraId="3AFCB4AB" w14:textId="77777777" w:rsidR="009F4766" w:rsidRPr="00DE12A3" w:rsidRDefault="009F4766" w:rsidP="00C917D6">
            <w:pPr>
              <w:pStyle w:val="NormalLeft"/>
            </w:pPr>
            <w:r w:rsidRPr="00DE12A3">
              <w:t>1039</w:t>
            </w:r>
          </w:p>
        </w:tc>
        <w:tc>
          <w:tcPr>
            <w:tcW w:w="2489" w:type="dxa"/>
            <w:tcBorders>
              <w:top w:val="single" w:sz="2" w:space="0" w:color="auto"/>
              <w:left w:val="single" w:sz="2" w:space="0" w:color="auto"/>
              <w:bottom w:val="single" w:sz="2" w:space="0" w:color="auto"/>
              <w:right w:val="single" w:sz="2" w:space="0" w:color="auto"/>
            </w:tcBorders>
          </w:tcPr>
          <w:p w14:paraId="0BABD69F" w14:textId="77777777" w:rsidR="009F4766" w:rsidRPr="00DE12A3" w:rsidRDefault="009F4766" w:rsidP="00C917D6">
            <w:pPr>
              <w:pStyle w:val="NormalLeft"/>
            </w:pPr>
            <w:r w:rsidRPr="00DE12A3">
              <w:t>76</w:t>
            </w:r>
          </w:p>
        </w:tc>
        <w:tc>
          <w:tcPr>
            <w:tcW w:w="2551" w:type="dxa"/>
            <w:tcBorders>
              <w:top w:val="single" w:sz="2" w:space="0" w:color="auto"/>
              <w:left w:val="single" w:sz="2" w:space="0" w:color="auto"/>
              <w:bottom w:val="single" w:sz="2" w:space="0" w:color="auto"/>
              <w:right w:val="single" w:sz="2" w:space="0" w:color="auto"/>
            </w:tcBorders>
          </w:tcPr>
          <w:p w14:paraId="5A5544B6" w14:textId="77777777" w:rsidR="009F4766" w:rsidRPr="00DE12A3" w:rsidRDefault="009F4766" w:rsidP="00C917D6">
            <w:pPr>
              <w:pStyle w:val="NormalLeft"/>
            </w:pPr>
            <w:r w:rsidRPr="00DE12A3">
              <w:t>70</w:t>
            </w:r>
          </w:p>
        </w:tc>
      </w:tr>
      <w:tr w:rsidR="00DE12A3" w:rsidRPr="00DE12A3" w14:paraId="2ED00622" w14:textId="77777777" w:rsidTr="009F4766">
        <w:tc>
          <w:tcPr>
            <w:tcW w:w="1182" w:type="dxa"/>
            <w:tcBorders>
              <w:top w:val="single" w:sz="2" w:space="0" w:color="auto"/>
              <w:left w:val="single" w:sz="2" w:space="0" w:color="auto"/>
              <w:bottom w:val="single" w:sz="2" w:space="0" w:color="auto"/>
              <w:right w:val="single" w:sz="2" w:space="0" w:color="auto"/>
            </w:tcBorders>
          </w:tcPr>
          <w:p w14:paraId="0C7C0D8A" w14:textId="77777777" w:rsidR="009F4766" w:rsidRPr="00DE12A3" w:rsidRDefault="009F4766" w:rsidP="00C917D6">
            <w:pPr>
              <w:pStyle w:val="NormalLeft"/>
            </w:pPr>
            <w:r w:rsidRPr="00DE12A3">
              <w:t>1040</w:t>
            </w:r>
          </w:p>
        </w:tc>
        <w:tc>
          <w:tcPr>
            <w:tcW w:w="2489" w:type="dxa"/>
            <w:tcBorders>
              <w:top w:val="single" w:sz="2" w:space="0" w:color="auto"/>
              <w:left w:val="single" w:sz="2" w:space="0" w:color="auto"/>
              <w:bottom w:val="single" w:sz="2" w:space="0" w:color="auto"/>
              <w:right w:val="single" w:sz="2" w:space="0" w:color="auto"/>
            </w:tcBorders>
          </w:tcPr>
          <w:p w14:paraId="0E200C60" w14:textId="77777777" w:rsidR="009F4766" w:rsidRPr="00DE12A3" w:rsidRDefault="009F4766" w:rsidP="00C917D6">
            <w:pPr>
              <w:pStyle w:val="NormalLeft"/>
            </w:pPr>
            <w:r w:rsidRPr="00DE12A3">
              <w:t>78</w:t>
            </w:r>
          </w:p>
        </w:tc>
        <w:tc>
          <w:tcPr>
            <w:tcW w:w="2551" w:type="dxa"/>
            <w:tcBorders>
              <w:top w:val="single" w:sz="2" w:space="0" w:color="auto"/>
              <w:left w:val="single" w:sz="2" w:space="0" w:color="auto"/>
              <w:bottom w:val="single" w:sz="2" w:space="0" w:color="auto"/>
              <w:right w:val="single" w:sz="2" w:space="0" w:color="auto"/>
            </w:tcBorders>
          </w:tcPr>
          <w:p w14:paraId="7E877CEA" w14:textId="77777777" w:rsidR="009F4766" w:rsidRPr="00DE12A3" w:rsidRDefault="009F4766" w:rsidP="00C917D6">
            <w:pPr>
              <w:pStyle w:val="NormalLeft"/>
            </w:pPr>
            <w:r w:rsidRPr="00DE12A3">
              <w:t>81</w:t>
            </w:r>
          </w:p>
        </w:tc>
      </w:tr>
      <w:tr w:rsidR="00DE12A3" w:rsidRPr="00DE12A3" w14:paraId="6F8BD413" w14:textId="77777777" w:rsidTr="009F4766">
        <w:tc>
          <w:tcPr>
            <w:tcW w:w="1182" w:type="dxa"/>
            <w:tcBorders>
              <w:top w:val="single" w:sz="2" w:space="0" w:color="auto"/>
              <w:left w:val="single" w:sz="2" w:space="0" w:color="auto"/>
              <w:bottom w:val="single" w:sz="2" w:space="0" w:color="auto"/>
              <w:right w:val="single" w:sz="2" w:space="0" w:color="auto"/>
            </w:tcBorders>
          </w:tcPr>
          <w:p w14:paraId="7D881A31" w14:textId="77777777" w:rsidR="009F4766" w:rsidRPr="00DE12A3" w:rsidRDefault="009F4766" w:rsidP="00C917D6">
            <w:pPr>
              <w:pStyle w:val="NormalLeft"/>
            </w:pPr>
            <w:r w:rsidRPr="00DE12A3">
              <w:t>1041</w:t>
            </w:r>
          </w:p>
        </w:tc>
        <w:tc>
          <w:tcPr>
            <w:tcW w:w="2489" w:type="dxa"/>
            <w:tcBorders>
              <w:top w:val="single" w:sz="2" w:space="0" w:color="auto"/>
              <w:left w:val="single" w:sz="2" w:space="0" w:color="auto"/>
              <w:bottom w:val="single" w:sz="2" w:space="0" w:color="auto"/>
              <w:right w:val="single" w:sz="2" w:space="0" w:color="auto"/>
            </w:tcBorders>
          </w:tcPr>
          <w:p w14:paraId="6961D3D1" w14:textId="77777777" w:rsidR="009F4766" w:rsidRPr="00DE12A3" w:rsidRDefault="009F4766" w:rsidP="00C917D6">
            <w:pPr>
              <w:pStyle w:val="NormalLeft"/>
            </w:pPr>
            <w:r w:rsidRPr="00DE12A3">
              <w:t>75</w:t>
            </w:r>
          </w:p>
        </w:tc>
        <w:tc>
          <w:tcPr>
            <w:tcW w:w="2551" w:type="dxa"/>
            <w:tcBorders>
              <w:top w:val="single" w:sz="2" w:space="0" w:color="auto"/>
              <w:left w:val="single" w:sz="2" w:space="0" w:color="auto"/>
              <w:bottom w:val="single" w:sz="2" w:space="0" w:color="auto"/>
              <w:right w:val="single" w:sz="2" w:space="0" w:color="auto"/>
            </w:tcBorders>
          </w:tcPr>
          <w:p w14:paraId="6907E93E" w14:textId="77777777" w:rsidR="009F4766" w:rsidRPr="00DE12A3" w:rsidRDefault="009F4766" w:rsidP="00C917D6">
            <w:pPr>
              <w:pStyle w:val="NormalLeft"/>
            </w:pPr>
            <w:r w:rsidRPr="00DE12A3">
              <w:t>71</w:t>
            </w:r>
          </w:p>
        </w:tc>
      </w:tr>
      <w:tr w:rsidR="00DE12A3" w:rsidRPr="00DE12A3" w14:paraId="23B6D648" w14:textId="77777777" w:rsidTr="009F4766">
        <w:tc>
          <w:tcPr>
            <w:tcW w:w="1182" w:type="dxa"/>
            <w:tcBorders>
              <w:top w:val="single" w:sz="2" w:space="0" w:color="auto"/>
              <w:left w:val="single" w:sz="2" w:space="0" w:color="auto"/>
              <w:bottom w:val="single" w:sz="2" w:space="0" w:color="auto"/>
              <w:right w:val="single" w:sz="2" w:space="0" w:color="auto"/>
            </w:tcBorders>
          </w:tcPr>
          <w:p w14:paraId="6253D3F6" w14:textId="77777777" w:rsidR="009F4766" w:rsidRPr="00DE12A3" w:rsidRDefault="009F4766" w:rsidP="00C917D6">
            <w:pPr>
              <w:pStyle w:val="NormalLeft"/>
            </w:pPr>
            <w:r w:rsidRPr="00DE12A3">
              <w:t>1042</w:t>
            </w:r>
          </w:p>
        </w:tc>
        <w:tc>
          <w:tcPr>
            <w:tcW w:w="2489" w:type="dxa"/>
            <w:tcBorders>
              <w:top w:val="single" w:sz="2" w:space="0" w:color="auto"/>
              <w:left w:val="single" w:sz="2" w:space="0" w:color="auto"/>
              <w:bottom w:val="single" w:sz="2" w:space="0" w:color="auto"/>
              <w:right w:val="single" w:sz="2" w:space="0" w:color="auto"/>
            </w:tcBorders>
          </w:tcPr>
          <w:p w14:paraId="44F77655" w14:textId="77777777" w:rsidR="009F4766" w:rsidRPr="00DE12A3" w:rsidRDefault="009F4766" w:rsidP="00C917D6">
            <w:pPr>
              <w:pStyle w:val="NormalLeft"/>
            </w:pPr>
            <w:r w:rsidRPr="00DE12A3">
              <w:t>86</w:t>
            </w:r>
          </w:p>
        </w:tc>
        <w:tc>
          <w:tcPr>
            <w:tcW w:w="2551" w:type="dxa"/>
            <w:tcBorders>
              <w:top w:val="single" w:sz="2" w:space="0" w:color="auto"/>
              <w:left w:val="single" w:sz="2" w:space="0" w:color="auto"/>
              <w:bottom w:val="single" w:sz="2" w:space="0" w:color="auto"/>
              <w:right w:val="single" w:sz="2" w:space="0" w:color="auto"/>
            </w:tcBorders>
          </w:tcPr>
          <w:p w14:paraId="64837F48" w14:textId="77777777" w:rsidR="009F4766" w:rsidRPr="00DE12A3" w:rsidRDefault="009F4766" w:rsidP="00C917D6">
            <w:pPr>
              <w:pStyle w:val="NormalLeft"/>
            </w:pPr>
            <w:r w:rsidRPr="00DE12A3">
              <w:t>47</w:t>
            </w:r>
          </w:p>
        </w:tc>
      </w:tr>
      <w:tr w:rsidR="00DE12A3" w:rsidRPr="00DE12A3" w14:paraId="6228FD28" w14:textId="77777777" w:rsidTr="009F4766">
        <w:tc>
          <w:tcPr>
            <w:tcW w:w="1182" w:type="dxa"/>
            <w:tcBorders>
              <w:top w:val="single" w:sz="2" w:space="0" w:color="auto"/>
              <w:left w:val="single" w:sz="2" w:space="0" w:color="auto"/>
              <w:bottom w:val="single" w:sz="2" w:space="0" w:color="auto"/>
              <w:right w:val="single" w:sz="2" w:space="0" w:color="auto"/>
            </w:tcBorders>
          </w:tcPr>
          <w:p w14:paraId="38475BED" w14:textId="77777777" w:rsidR="009F4766" w:rsidRPr="00DE12A3" w:rsidRDefault="009F4766" w:rsidP="00C917D6">
            <w:pPr>
              <w:pStyle w:val="NormalLeft"/>
            </w:pPr>
            <w:r w:rsidRPr="00DE12A3">
              <w:t>1043</w:t>
            </w:r>
          </w:p>
        </w:tc>
        <w:tc>
          <w:tcPr>
            <w:tcW w:w="2489" w:type="dxa"/>
            <w:tcBorders>
              <w:top w:val="single" w:sz="2" w:space="0" w:color="auto"/>
              <w:left w:val="single" w:sz="2" w:space="0" w:color="auto"/>
              <w:bottom w:val="single" w:sz="2" w:space="0" w:color="auto"/>
              <w:right w:val="single" w:sz="2" w:space="0" w:color="auto"/>
            </w:tcBorders>
          </w:tcPr>
          <w:p w14:paraId="249E6FC9" w14:textId="77777777" w:rsidR="009F4766" w:rsidRPr="00DE12A3" w:rsidRDefault="009F4766" w:rsidP="00C917D6">
            <w:pPr>
              <w:pStyle w:val="NormalLeft"/>
            </w:pPr>
            <w:r w:rsidRPr="00DE12A3">
              <w:t>83</w:t>
            </w:r>
          </w:p>
        </w:tc>
        <w:tc>
          <w:tcPr>
            <w:tcW w:w="2551" w:type="dxa"/>
            <w:tcBorders>
              <w:top w:val="single" w:sz="2" w:space="0" w:color="auto"/>
              <w:left w:val="single" w:sz="2" w:space="0" w:color="auto"/>
              <w:bottom w:val="single" w:sz="2" w:space="0" w:color="auto"/>
              <w:right w:val="single" w:sz="2" w:space="0" w:color="auto"/>
            </w:tcBorders>
          </w:tcPr>
          <w:p w14:paraId="6D333FF1" w14:textId="77777777" w:rsidR="009F4766" w:rsidRPr="00DE12A3" w:rsidRDefault="009F4766" w:rsidP="00C917D6">
            <w:pPr>
              <w:pStyle w:val="NormalLeft"/>
            </w:pPr>
            <w:r w:rsidRPr="00DE12A3">
              <w:t>35</w:t>
            </w:r>
          </w:p>
        </w:tc>
      </w:tr>
      <w:tr w:rsidR="00DE12A3" w:rsidRPr="00DE12A3" w14:paraId="18DF81C2" w14:textId="77777777" w:rsidTr="009F4766">
        <w:tc>
          <w:tcPr>
            <w:tcW w:w="1182" w:type="dxa"/>
            <w:tcBorders>
              <w:top w:val="single" w:sz="2" w:space="0" w:color="auto"/>
              <w:left w:val="single" w:sz="2" w:space="0" w:color="auto"/>
              <w:bottom w:val="single" w:sz="2" w:space="0" w:color="auto"/>
              <w:right w:val="single" w:sz="2" w:space="0" w:color="auto"/>
            </w:tcBorders>
          </w:tcPr>
          <w:p w14:paraId="5984C411" w14:textId="77777777" w:rsidR="009F4766" w:rsidRPr="00DE12A3" w:rsidRDefault="009F4766" w:rsidP="00C917D6">
            <w:pPr>
              <w:pStyle w:val="NormalLeft"/>
            </w:pPr>
            <w:r w:rsidRPr="00DE12A3">
              <w:t>1044</w:t>
            </w:r>
          </w:p>
        </w:tc>
        <w:tc>
          <w:tcPr>
            <w:tcW w:w="2489" w:type="dxa"/>
            <w:tcBorders>
              <w:top w:val="single" w:sz="2" w:space="0" w:color="auto"/>
              <w:left w:val="single" w:sz="2" w:space="0" w:color="auto"/>
              <w:bottom w:val="single" w:sz="2" w:space="0" w:color="auto"/>
              <w:right w:val="single" w:sz="2" w:space="0" w:color="auto"/>
            </w:tcBorders>
          </w:tcPr>
          <w:p w14:paraId="5562A687" w14:textId="77777777" w:rsidR="009F4766" w:rsidRPr="00DE12A3" w:rsidRDefault="009F4766" w:rsidP="00C917D6">
            <w:pPr>
              <w:pStyle w:val="NormalLeft"/>
            </w:pPr>
            <w:r w:rsidRPr="00DE12A3">
              <w:t>81</w:t>
            </w:r>
          </w:p>
        </w:tc>
        <w:tc>
          <w:tcPr>
            <w:tcW w:w="2551" w:type="dxa"/>
            <w:tcBorders>
              <w:top w:val="single" w:sz="2" w:space="0" w:color="auto"/>
              <w:left w:val="single" w:sz="2" w:space="0" w:color="auto"/>
              <w:bottom w:val="single" w:sz="2" w:space="0" w:color="auto"/>
              <w:right w:val="single" w:sz="2" w:space="0" w:color="auto"/>
            </w:tcBorders>
          </w:tcPr>
          <w:p w14:paraId="449B6787" w14:textId="77777777" w:rsidR="009F4766" w:rsidRPr="00DE12A3" w:rsidRDefault="009F4766" w:rsidP="00C917D6">
            <w:pPr>
              <w:pStyle w:val="NormalLeft"/>
            </w:pPr>
            <w:r w:rsidRPr="00DE12A3">
              <w:t>43</w:t>
            </w:r>
          </w:p>
        </w:tc>
      </w:tr>
      <w:tr w:rsidR="00DE12A3" w:rsidRPr="00DE12A3" w14:paraId="1E34AC82" w14:textId="77777777" w:rsidTr="009F4766">
        <w:tc>
          <w:tcPr>
            <w:tcW w:w="1182" w:type="dxa"/>
            <w:tcBorders>
              <w:top w:val="single" w:sz="2" w:space="0" w:color="auto"/>
              <w:left w:val="single" w:sz="2" w:space="0" w:color="auto"/>
              <w:bottom w:val="single" w:sz="2" w:space="0" w:color="auto"/>
              <w:right w:val="single" w:sz="2" w:space="0" w:color="auto"/>
            </w:tcBorders>
          </w:tcPr>
          <w:p w14:paraId="5181AF8A" w14:textId="77777777" w:rsidR="009F4766" w:rsidRPr="00DE12A3" w:rsidRDefault="009F4766" w:rsidP="00C917D6">
            <w:pPr>
              <w:pStyle w:val="NormalLeft"/>
            </w:pPr>
            <w:r w:rsidRPr="00DE12A3">
              <w:t>1045</w:t>
            </w:r>
          </w:p>
        </w:tc>
        <w:tc>
          <w:tcPr>
            <w:tcW w:w="2489" w:type="dxa"/>
            <w:tcBorders>
              <w:top w:val="single" w:sz="2" w:space="0" w:color="auto"/>
              <w:left w:val="single" w:sz="2" w:space="0" w:color="auto"/>
              <w:bottom w:val="single" w:sz="2" w:space="0" w:color="auto"/>
              <w:right w:val="single" w:sz="2" w:space="0" w:color="auto"/>
            </w:tcBorders>
          </w:tcPr>
          <w:p w14:paraId="77382695" w14:textId="77777777" w:rsidR="009F4766" w:rsidRPr="00DE12A3" w:rsidRDefault="009F4766" w:rsidP="00C917D6">
            <w:pPr>
              <w:pStyle w:val="NormalLeft"/>
            </w:pPr>
            <w:r w:rsidRPr="00DE12A3">
              <w:t>81</w:t>
            </w:r>
          </w:p>
        </w:tc>
        <w:tc>
          <w:tcPr>
            <w:tcW w:w="2551" w:type="dxa"/>
            <w:tcBorders>
              <w:top w:val="single" w:sz="2" w:space="0" w:color="auto"/>
              <w:left w:val="single" w:sz="2" w:space="0" w:color="auto"/>
              <w:bottom w:val="single" w:sz="2" w:space="0" w:color="auto"/>
              <w:right w:val="single" w:sz="2" w:space="0" w:color="auto"/>
            </w:tcBorders>
          </w:tcPr>
          <w:p w14:paraId="402D2015" w14:textId="77777777" w:rsidR="009F4766" w:rsidRPr="00DE12A3" w:rsidRDefault="009F4766" w:rsidP="00C917D6">
            <w:pPr>
              <w:pStyle w:val="NormalLeft"/>
            </w:pPr>
            <w:r w:rsidRPr="00DE12A3">
              <w:t>41</w:t>
            </w:r>
          </w:p>
        </w:tc>
      </w:tr>
      <w:tr w:rsidR="00DE12A3" w:rsidRPr="00DE12A3" w14:paraId="61C629DF" w14:textId="77777777" w:rsidTr="009F4766">
        <w:tc>
          <w:tcPr>
            <w:tcW w:w="1182" w:type="dxa"/>
            <w:tcBorders>
              <w:top w:val="single" w:sz="2" w:space="0" w:color="auto"/>
              <w:left w:val="single" w:sz="2" w:space="0" w:color="auto"/>
              <w:bottom w:val="single" w:sz="2" w:space="0" w:color="auto"/>
              <w:right w:val="single" w:sz="2" w:space="0" w:color="auto"/>
            </w:tcBorders>
          </w:tcPr>
          <w:p w14:paraId="65CAB9C3" w14:textId="77777777" w:rsidR="009F4766" w:rsidRPr="00DE12A3" w:rsidRDefault="009F4766" w:rsidP="00C917D6">
            <w:pPr>
              <w:pStyle w:val="NormalLeft"/>
            </w:pPr>
            <w:r w:rsidRPr="00DE12A3">
              <w:t>1046</w:t>
            </w:r>
          </w:p>
        </w:tc>
        <w:tc>
          <w:tcPr>
            <w:tcW w:w="2489" w:type="dxa"/>
            <w:tcBorders>
              <w:top w:val="single" w:sz="2" w:space="0" w:color="auto"/>
              <w:left w:val="single" w:sz="2" w:space="0" w:color="auto"/>
              <w:bottom w:val="single" w:sz="2" w:space="0" w:color="auto"/>
              <w:right w:val="single" w:sz="2" w:space="0" w:color="auto"/>
            </w:tcBorders>
          </w:tcPr>
          <w:p w14:paraId="2D455312" w14:textId="77777777" w:rsidR="009F4766" w:rsidRPr="00DE12A3" w:rsidRDefault="009F4766" w:rsidP="00C917D6">
            <w:pPr>
              <w:pStyle w:val="NormalLeft"/>
            </w:pPr>
            <w:r w:rsidRPr="00DE12A3">
              <w:t>79</w:t>
            </w:r>
          </w:p>
        </w:tc>
        <w:tc>
          <w:tcPr>
            <w:tcW w:w="2551" w:type="dxa"/>
            <w:tcBorders>
              <w:top w:val="single" w:sz="2" w:space="0" w:color="auto"/>
              <w:left w:val="single" w:sz="2" w:space="0" w:color="auto"/>
              <w:bottom w:val="single" w:sz="2" w:space="0" w:color="auto"/>
              <w:right w:val="single" w:sz="2" w:space="0" w:color="auto"/>
            </w:tcBorders>
          </w:tcPr>
          <w:p w14:paraId="57909C39" w14:textId="77777777" w:rsidR="009F4766" w:rsidRPr="00DE12A3" w:rsidRDefault="009F4766" w:rsidP="00C917D6">
            <w:pPr>
              <w:pStyle w:val="NormalLeft"/>
            </w:pPr>
            <w:r w:rsidRPr="00DE12A3">
              <w:t>46</w:t>
            </w:r>
          </w:p>
        </w:tc>
      </w:tr>
      <w:tr w:rsidR="00DE12A3" w:rsidRPr="00DE12A3" w14:paraId="5B8C7FB7" w14:textId="77777777" w:rsidTr="009F4766">
        <w:tc>
          <w:tcPr>
            <w:tcW w:w="1182" w:type="dxa"/>
            <w:tcBorders>
              <w:top w:val="single" w:sz="2" w:space="0" w:color="auto"/>
              <w:left w:val="single" w:sz="2" w:space="0" w:color="auto"/>
              <w:bottom w:val="single" w:sz="2" w:space="0" w:color="auto"/>
              <w:right w:val="single" w:sz="2" w:space="0" w:color="auto"/>
            </w:tcBorders>
          </w:tcPr>
          <w:p w14:paraId="0A4130D3" w14:textId="77777777" w:rsidR="009F4766" w:rsidRPr="00DE12A3" w:rsidRDefault="009F4766" w:rsidP="00C917D6">
            <w:pPr>
              <w:pStyle w:val="NormalLeft"/>
            </w:pPr>
            <w:r w:rsidRPr="00DE12A3">
              <w:t>1047</w:t>
            </w:r>
          </w:p>
        </w:tc>
        <w:tc>
          <w:tcPr>
            <w:tcW w:w="2489" w:type="dxa"/>
            <w:tcBorders>
              <w:top w:val="single" w:sz="2" w:space="0" w:color="auto"/>
              <w:left w:val="single" w:sz="2" w:space="0" w:color="auto"/>
              <w:bottom w:val="single" w:sz="2" w:space="0" w:color="auto"/>
              <w:right w:val="single" w:sz="2" w:space="0" w:color="auto"/>
            </w:tcBorders>
          </w:tcPr>
          <w:p w14:paraId="01FAB5D8" w14:textId="77777777" w:rsidR="009F4766" w:rsidRPr="00DE12A3" w:rsidRDefault="009F4766" w:rsidP="00C917D6">
            <w:pPr>
              <w:pStyle w:val="NormalLeft"/>
            </w:pPr>
            <w:r w:rsidRPr="00DE12A3">
              <w:t>80</w:t>
            </w:r>
          </w:p>
        </w:tc>
        <w:tc>
          <w:tcPr>
            <w:tcW w:w="2551" w:type="dxa"/>
            <w:tcBorders>
              <w:top w:val="single" w:sz="2" w:space="0" w:color="auto"/>
              <w:left w:val="single" w:sz="2" w:space="0" w:color="auto"/>
              <w:bottom w:val="single" w:sz="2" w:space="0" w:color="auto"/>
              <w:right w:val="single" w:sz="2" w:space="0" w:color="auto"/>
            </w:tcBorders>
          </w:tcPr>
          <w:p w14:paraId="0A1ED2E0" w14:textId="77777777" w:rsidR="009F4766" w:rsidRPr="00DE12A3" w:rsidRDefault="009F4766" w:rsidP="00C917D6">
            <w:pPr>
              <w:pStyle w:val="NormalLeft"/>
            </w:pPr>
            <w:r w:rsidRPr="00DE12A3">
              <w:t>44</w:t>
            </w:r>
          </w:p>
        </w:tc>
      </w:tr>
      <w:tr w:rsidR="00DE12A3" w:rsidRPr="00DE12A3" w14:paraId="63A4F0A6" w14:textId="77777777" w:rsidTr="009F4766">
        <w:tc>
          <w:tcPr>
            <w:tcW w:w="1182" w:type="dxa"/>
            <w:tcBorders>
              <w:top w:val="single" w:sz="2" w:space="0" w:color="auto"/>
              <w:left w:val="single" w:sz="2" w:space="0" w:color="auto"/>
              <w:bottom w:val="single" w:sz="2" w:space="0" w:color="auto"/>
              <w:right w:val="single" w:sz="2" w:space="0" w:color="auto"/>
            </w:tcBorders>
          </w:tcPr>
          <w:p w14:paraId="380C83FC" w14:textId="77777777" w:rsidR="009F4766" w:rsidRPr="00DE12A3" w:rsidRDefault="009F4766" w:rsidP="00C917D6">
            <w:pPr>
              <w:pStyle w:val="NormalLeft"/>
            </w:pPr>
            <w:r w:rsidRPr="00DE12A3">
              <w:t>1048</w:t>
            </w:r>
          </w:p>
        </w:tc>
        <w:tc>
          <w:tcPr>
            <w:tcW w:w="2489" w:type="dxa"/>
            <w:tcBorders>
              <w:top w:val="single" w:sz="2" w:space="0" w:color="auto"/>
              <w:left w:val="single" w:sz="2" w:space="0" w:color="auto"/>
              <w:bottom w:val="single" w:sz="2" w:space="0" w:color="auto"/>
              <w:right w:val="single" w:sz="2" w:space="0" w:color="auto"/>
            </w:tcBorders>
          </w:tcPr>
          <w:p w14:paraId="53303668" w14:textId="77777777" w:rsidR="009F4766" w:rsidRPr="00DE12A3" w:rsidRDefault="009F4766" w:rsidP="00C917D6">
            <w:pPr>
              <w:pStyle w:val="NormalLeft"/>
            </w:pPr>
            <w:r w:rsidRPr="00DE12A3">
              <w:t>84</w:t>
            </w:r>
          </w:p>
        </w:tc>
        <w:tc>
          <w:tcPr>
            <w:tcW w:w="2551" w:type="dxa"/>
            <w:tcBorders>
              <w:top w:val="single" w:sz="2" w:space="0" w:color="auto"/>
              <w:left w:val="single" w:sz="2" w:space="0" w:color="auto"/>
              <w:bottom w:val="single" w:sz="2" w:space="0" w:color="auto"/>
              <w:right w:val="single" w:sz="2" w:space="0" w:color="auto"/>
            </w:tcBorders>
          </w:tcPr>
          <w:p w14:paraId="7BA42824" w14:textId="77777777" w:rsidR="009F4766" w:rsidRPr="00DE12A3" w:rsidRDefault="009F4766" w:rsidP="00C917D6">
            <w:pPr>
              <w:pStyle w:val="NormalLeft"/>
            </w:pPr>
            <w:r w:rsidRPr="00DE12A3">
              <w:t>20</w:t>
            </w:r>
          </w:p>
        </w:tc>
      </w:tr>
      <w:tr w:rsidR="00DE12A3" w:rsidRPr="00DE12A3" w14:paraId="0CB7DA16" w14:textId="77777777" w:rsidTr="009F4766">
        <w:tc>
          <w:tcPr>
            <w:tcW w:w="1182" w:type="dxa"/>
            <w:tcBorders>
              <w:top w:val="single" w:sz="2" w:space="0" w:color="auto"/>
              <w:left w:val="single" w:sz="2" w:space="0" w:color="auto"/>
              <w:bottom w:val="single" w:sz="2" w:space="0" w:color="auto"/>
              <w:right w:val="single" w:sz="2" w:space="0" w:color="auto"/>
            </w:tcBorders>
          </w:tcPr>
          <w:p w14:paraId="49B10F02" w14:textId="77777777" w:rsidR="009F4766" w:rsidRPr="00DE12A3" w:rsidRDefault="009F4766" w:rsidP="00C917D6">
            <w:pPr>
              <w:pStyle w:val="NormalLeft"/>
            </w:pPr>
            <w:r w:rsidRPr="00DE12A3">
              <w:t>1049</w:t>
            </w:r>
          </w:p>
        </w:tc>
        <w:tc>
          <w:tcPr>
            <w:tcW w:w="2489" w:type="dxa"/>
            <w:tcBorders>
              <w:top w:val="single" w:sz="2" w:space="0" w:color="auto"/>
              <w:left w:val="single" w:sz="2" w:space="0" w:color="auto"/>
              <w:bottom w:val="single" w:sz="2" w:space="0" w:color="auto"/>
              <w:right w:val="single" w:sz="2" w:space="0" w:color="auto"/>
            </w:tcBorders>
          </w:tcPr>
          <w:p w14:paraId="28999F7D" w14:textId="77777777" w:rsidR="009F4766" w:rsidRPr="00DE12A3" w:rsidRDefault="009F4766" w:rsidP="00C917D6">
            <w:pPr>
              <w:pStyle w:val="NormalLeft"/>
            </w:pPr>
            <w:r w:rsidRPr="00DE12A3">
              <w:t>79</w:t>
            </w:r>
          </w:p>
        </w:tc>
        <w:tc>
          <w:tcPr>
            <w:tcW w:w="2551" w:type="dxa"/>
            <w:tcBorders>
              <w:top w:val="single" w:sz="2" w:space="0" w:color="auto"/>
              <w:left w:val="single" w:sz="2" w:space="0" w:color="auto"/>
              <w:bottom w:val="single" w:sz="2" w:space="0" w:color="auto"/>
              <w:right w:val="single" w:sz="2" w:space="0" w:color="auto"/>
            </w:tcBorders>
          </w:tcPr>
          <w:p w14:paraId="28883722" w14:textId="77777777" w:rsidR="009F4766" w:rsidRPr="00DE12A3" w:rsidRDefault="009F4766" w:rsidP="00C917D6">
            <w:pPr>
              <w:pStyle w:val="NormalLeft"/>
            </w:pPr>
            <w:r w:rsidRPr="00DE12A3">
              <w:t>31</w:t>
            </w:r>
          </w:p>
        </w:tc>
      </w:tr>
      <w:tr w:rsidR="00DE12A3" w:rsidRPr="00DE12A3" w14:paraId="3F55239C" w14:textId="77777777" w:rsidTr="009F4766">
        <w:tc>
          <w:tcPr>
            <w:tcW w:w="1182" w:type="dxa"/>
            <w:tcBorders>
              <w:top w:val="single" w:sz="2" w:space="0" w:color="auto"/>
              <w:left w:val="single" w:sz="2" w:space="0" w:color="auto"/>
              <w:bottom w:val="single" w:sz="2" w:space="0" w:color="auto"/>
              <w:right w:val="single" w:sz="2" w:space="0" w:color="auto"/>
            </w:tcBorders>
          </w:tcPr>
          <w:p w14:paraId="04364374" w14:textId="77777777" w:rsidR="009F4766" w:rsidRPr="00DE12A3" w:rsidRDefault="009F4766" w:rsidP="00C917D6">
            <w:pPr>
              <w:pStyle w:val="NormalLeft"/>
            </w:pPr>
            <w:r w:rsidRPr="00DE12A3">
              <w:t>1050</w:t>
            </w:r>
          </w:p>
        </w:tc>
        <w:tc>
          <w:tcPr>
            <w:tcW w:w="2489" w:type="dxa"/>
            <w:tcBorders>
              <w:top w:val="single" w:sz="2" w:space="0" w:color="auto"/>
              <w:left w:val="single" w:sz="2" w:space="0" w:color="auto"/>
              <w:bottom w:val="single" w:sz="2" w:space="0" w:color="auto"/>
              <w:right w:val="single" w:sz="2" w:space="0" w:color="auto"/>
            </w:tcBorders>
          </w:tcPr>
          <w:p w14:paraId="30C67B3B" w14:textId="77777777" w:rsidR="009F4766" w:rsidRPr="00DE12A3" w:rsidRDefault="009F4766" w:rsidP="00C917D6">
            <w:pPr>
              <w:pStyle w:val="NormalLeft"/>
            </w:pPr>
            <w:r w:rsidRPr="00DE12A3">
              <w:t>87</w:t>
            </w:r>
          </w:p>
        </w:tc>
        <w:tc>
          <w:tcPr>
            <w:tcW w:w="2551" w:type="dxa"/>
            <w:tcBorders>
              <w:top w:val="single" w:sz="2" w:space="0" w:color="auto"/>
              <w:left w:val="single" w:sz="2" w:space="0" w:color="auto"/>
              <w:bottom w:val="single" w:sz="2" w:space="0" w:color="auto"/>
              <w:right w:val="single" w:sz="2" w:space="0" w:color="auto"/>
            </w:tcBorders>
          </w:tcPr>
          <w:p w14:paraId="497241DA" w14:textId="77777777" w:rsidR="009F4766" w:rsidRPr="00DE12A3" w:rsidRDefault="009F4766" w:rsidP="00C917D6">
            <w:pPr>
              <w:pStyle w:val="NormalLeft"/>
            </w:pPr>
            <w:r w:rsidRPr="00DE12A3">
              <w:t>29</w:t>
            </w:r>
          </w:p>
        </w:tc>
      </w:tr>
      <w:tr w:rsidR="00DE12A3" w:rsidRPr="00DE12A3" w14:paraId="3E5861CB" w14:textId="77777777" w:rsidTr="009F4766">
        <w:tc>
          <w:tcPr>
            <w:tcW w:w="1182" w:type="dxa"/>
            <w:tcBorders>
              <w:top w:val="single" w:sz="2" w:space="0" w:color="auto"/>
              <w:left w:val="single" w:sz="2" w:space="0" w:color="auto"/>
              <w:bottom w:val="single" w:sz="2" w:space="0" w:color="auto"/>
              <w:right w:val="single" w:sz="2" w:space="0" w:color="auto"/>
            </w:tcBorders>
          </w:tcPr>
          <w:p w14:paraId="4043E23A" w14:textId="77777777" w:rsidR="009F4766" w:rsidRPr="00DE12A3" w:rsidRDefault="009F4766" w:rsidP="00C917D6">
            <w:pPr>
              <w:pStyle w:val="NormalLeft"/>
            </w:pPr>
            <w:r w:rsidRPr="00DE12A3">
              <w:t>1051</w:t>
            </w:r>
          </w:p>
        </w:tc>
        <w:tc>
          <w:tcPr>
            <w:tcW w:w="2489" w:type="dxa"/>
            <w:tcBorders>
              <w:top w:val="single" w:sz="2" w:space="0" w:color="auto"/>
              <w:left w:val="single" w:sz="2" w:space="0" w:color="auto"/>
              <w:bottom w:val="single" w:sz="2" w:space="0" w:color="auto"/>
              <w:right w:val="single" w:sz="2" w:space="0" w:color="auto"/>
            </w:tcBorders>
          </w:tcPr>
          <w:p w14:paraId="074A9AA6" w14:textId="77777777" w:rsidR="009F4766" w:rsidRPr="00DE12A3" w:rsidRDefault="009F4766" w:rsidP="00C917D6">
            <w:pPr>
              <w:pStyle w:val="NormalLeft"/>
            </w:pPr>
            <w:r w:rsidRPr="00DE12A3">
              <w:t>82</w:t>
            </w:r>
          </w:p>
        </w:tc>
        <w:tc>
          <w:tcPr>
            <w:tcW w:w="2551" w:type="dxa"/>
            <w:tcBorders>
              <w:top w:val="single" w:sz="2" w:space="0" w:color="auto"/>
              <w:left w:val="single" w:sz="2" w:space="0" w:color="auto"/>
              <w:bottom w:val="single" w:sz="2" w:space="0" w:color="auto"/>
              <w:right w:val="single" w:sz="2" w:space="0" w:color="auto"/>
            </w:tcBorders>
          </w:tcPr>
          <w:p w14:paraId="541B8208" w14:textId="77777777" w:rsidR="009F4766" w:rsidRPr="00DE12A3" w:rsidRDefault="009F4766" w:rsidP="00C917D6">
            <w:pPr>
              <w:pStyle w:val="NormalLeft"/>
            </w:pPr>
            <w:r w:rsidRPr="00DE12A3">
              <w:t>49</w:t>
            </w:r>
          </w:p>
        </w:tc>
      </w:tr>
      <w:tr w:rsidR="00DE12A3" w:rsidRPr="00DE12A3" w14:paraId="030C9DEB" w14:textId="77777777" w:rsidTr="009F4766">
        <w:tc>
          <w:tcPr>
            <w:tcW w:w="1182" w:type="dxa"/>
            <w:tcBorders>
              <w:top w:val="single" w:sz="2" w:space="0" w:color="auto"/>
              <w:left w:val="single" w:sz="2" w:space="0" w:color="auto"/>
              <w:bottom w:val="single" w:sz="2" w:space="0" w:color="auto"/>
              <w:right w:val="single" w:sz="2" w:space="0" w:color="auto"/>
            </w:tcBorders>
          </w:tcPr>
          <w:p w14:paraId="5FAC905F" w14:textId="77777777" w:rsidR="009F4766" w:rsidRPr="00DE12A3" w:rsidRDefault="009F4766" w:rsidP="00C917D6">
            <w:pPr>
              <w:pStyle w:val="NormalLeft"/>
            </w:pPr>
            <w:r w:rsidRPr="00DE12A3">
              <w:lastRenderedPageBreak/>
              <w:t>1052</w:t>
            </w:r>
          </w:p>
        </w:tc>
        <w:tc>
          <w:tcPr>
            <w:tcW w:w="2489" w:type="dxa"/>
            <w:tcBorders>
              <w:top w:val="single" w:sz="2" w:space="0" w:color="auto"/>
              <w:left w:val="single" w:sz="2" w:space="0" w:color="auto"/>
              <w:bottom w:val="single" w:sz="2" w:space="0" w:color="auto"/>
              <w:right w:val="single" w:sz="2" w:space="0" w:color="auto"/>
            </w:tcBorders>
          </w:tcPr>
          <w:p w14:paraId="7A2B6E5D" w14:textId="77777777" w:rsidR="009F4766" w:rsidRPr="00DE12A3" w:rsidRDefault="009F4766" w:rsidP="00C917D6">
            <w:pPr>
              <w:pStyle w:val="NormalLeft"/>
            </w:pPr>
            <w:r w:rsidRPr="00DE12A3">
              <w:t>84</w:t>
            </w:r>
          </w:p>
        </w:tc>
        <w:tc>
          <w:tcPr>
            <w:tcW w:w="2551" w:type="dxa"/>
            <w:tcBorders>
              <w:top w:val="single" w:sz="2" w:space="0" w:color="auto"/>
              <w:left w:val="single" w:sz="2" w:space="0" w:color="auto"/>
              <w:bottom w:val="single" w:sz="2" w:space="0" w:color="auto"/>
              <w:right w:val="single" w:sz="2" w:space="0" w:color="auto"/>
            </w:tcBorders>
          </w:tcPr>
          <w:p w14:paraId="6F35EE87" w14:textId="77777777" w:rsidR="009F4766" w:rsidRPr="00DE12A3" w:rsidRDefault="009F4766" w:rsidP="00C917D6">
            <w:pPr>
              <w:pStyle w:val="NormalLeft"/>
            </w:pPr>
            <w:r w:rsidRPr="00DE12A3">
              <w:t>21</w:t>
            </w:r>
          </w:p>
        </w:tc>
      </w:tr>
      <w:tr w:rsidR="00DE12A3" w:rsidRPr="00DE12A3" w14:paraId="41071795" w14:textId="77777777" w:rsidTr="009F4766">
        <w:tc>
          <w:tcPr>
            <w:tcW w:w="1182" w:type="dxa"/>
            <w:tcBorders>
              <w:top w:val="single" w:sz="2" w:space="0" w:color="auto"/>
              <w:left w:val="single" w:sz="2" w:space="0" w:color="auto"/>
              <w:bottom w:val="single" w:sz="2" w:space="0" w:color="auto"/>
              <w:right w:val="single" w:sz="2" w:space="0" w:color="auto"/>
            </w:tcBorders>
          </w:tcPr>
          <w:p w14:paraId="1612F101" w14:textId="77777777" w:rsidR="009F4766" w:rsidRPr="00DE12A3" w:rsidRDefault="009F4766" w:rsidP="00C917D6">
            <w:pPr>
              <w:pStyle w:val="NormalLeft"/>
            </w:pPr>
            <w:r w:rsidRPr="00DE12A3">
              <w:t>1053</w:t>
            </w:r>
          </w:p>
        </w:tc>
        <w:tc>
          <w:tcPr>
            <w:tcW w:w="2489" w:type="dxa"/>
            <w:tcBorders>
              <w:top w:val="single" w:sz="2" w:space="0" w:color="auto"/>
              <w:left w:val="single" w:sz="2" w:space="0" w:color="auto"/>
              <w:bottom w:val="single" w:sz="2" w:space="0" w:color="auto"/>
              <w:right w:val="single" w:sz="2" w:space="0" w:color="auto"/>
            </w:tcBorders>
          </w:tcPr>
          <w:p w14:paraId="6FB4626B" w14:textId="77777777" w:rsidR="009F4766" w:rsidRPr="00DE12A3" w:rsidRDefault="009F4766" w:rsidP="00C917D6">
            <w:pPr>
              <w:pStyle w:val="NormalLeft"/>
            </w:pPr>
            <w:r w:rsidRPr="00DE12A3">
              <w:t>82</w:t>
            </w:r>
          </w:p>
        </w:tc>
        <w:tc>
          <w:tcPr>
            <w:tcW w:w="2551" w:type="dxa"/>
            <w:tcBorders>
              <w:top w:val="single" w:sz="2" w:space="0" w:color="auto"/>
              <w:left w:val="single" w:sz="2" w:space="0" w:color="auto"/>
              <w:bottom w:val="single" w:sz="2" w:space="0" w:color="auto"/>
              <w:right w:val="single" w:sz="2" w:space="0" w:color="auto"/>
            </w:tcBorders>
          </w:tcPr>
          <w:p w14:paraId="76309668" w14:textId="77777777" w:rsidR="009F4766" w:rsidRPr="00DE12A3" w:rsidRDefault="009F4766" w:rsidP="00C917D6">
            <w:pPr>
              <w:pStyle w:val="NormalLeft"/>
            </w:pPr>
            <w:r w:rsidRPr="00DE12A3">
              <w:t>56</w:t>
            </w:r>
          </w:p>
        </w:tc>
      </w:tr>
      <w:tr w:rsidR="00DE12A3" w:rsidRPr="00DE12A3" w14:paraId="6F1AB558" w14:textId="77777777" w:rsidTr="009F4766">
        <w:tc>
          <w:tcPr>
            <w:tcW w:w="1182" w:type="dxa"/>
            <w:tcBorders>
              <w:top w:val="single" w:sz="2" w:space="0" w:color="auto"/>
              <w:left w:val="single" w:sz="2" w:space="0" w:color="auto"/>
              <w:bottom w:val="single" w:sz="2" w:space="0" w:color="auto"/>
              <w:right w:val="single" w:sz="2" w:space="0" w:color="auto"/>
            </w:tcBorders>
          </w:tcPr>
          <w:p w14:paraId="48207616" w14:textId="77777777" w:rsidR="009F4766" w:rsidRPr="00DE12A3" w:rsidRDefault="009F4766" w:rsidP="00C917D6">
            <w:pPr>
              <w:pStyle w:val="NormalLeft"/>
            </w:pPr>
            <w:r w:rsidRPr="00DE12A3">
              <w:t>1054</w:t>
            </w:r>
          </w:p>
        </w:tc>
        <w:tc>
          <w:tcPr>
            <w:tcW w:w="2489" w:type="dxa"/>
            <w:tcBorders>
              <w:top w:val="single" w:sz="2" w:space="0" w:color="auto"/>
              <w:left w:val="single" w:sz="2" w:space="0" w:color="auto"/>
              <w:bottom w:val="single" w:sz="2" w:space="0" w:color="auto"/>
              <w:right w:val="single" w:sz="2" w:space="0" w:color="auto"/>
            </w:tcBorders>
          </w:tcPr>
          <w:p w14:paraId="205F045C" w14:textId="77777777" w:rsidR="009F4766" w:rsidRPr="00DE12A3" w:rsidRDefault="009F4766" w:rsidP="00C917D6">
            <w:pPr>
              <w:pStyle w:val="NormalLeft"/>
            </w:pPr>
            <w:r w:rsidRPr="00DE12A3">
              <w:t>81</w:t>
            </w:r>
          </w:p>
        </w:tc>
        <w:tc>
          <w:tcPr>
            <w:tcW w:w="2551" w:type="dxa"/>
            <w:tcBorders>
              <w:top w:val="single" w:sz="2" w:space="0" w:color="auto"/>
              <w:left w:val="single" w:sz="2" w:space="0" w:color="auto"/>
              <w:bottom w:val="single" w:sz="2" w:space="0" w:color="auto"/>
              <w:right w:val="single" w:sz="2" w:space="0" w:color="auto"/>
            </w:tcBorders>
          </w:tcPr>
          <w:p w14:paraId="7836F324" w14:textId="77777777" w:rsidR="009F4766" w:rsidRPr="00DE12A3" w:rsidRDefault="009F4766" w:rsidP="00C917D6">
            <w:pPr>
              <w:pStyle w:val="NormalLeft"/>
            </w:pPr>
            <w:r w:rsidRPr="00DE12A3">
              <w:t>30</w:t>
            </w:r>
          </w:p>
        </w:tc>
      </w:tr>
      <w:tr w:rsidR="00DE12A3" w:rsidRPr="00DE12A3" w14:paraId="0DBB02E4" w14:textId="77777777" w:rsidTr="009F4766">
        <w:tc>
          <w:tcPr>
            <w:tcW w:w="1182" w:type="dxa"/>
            <w:tcBorders>
              <w:top w:val="single" w:sz="2" w:space="0" w:color="auto"/>
              <w:left w:val="single" w:sz="2" w:space="0" w:color="auto"/>
              <w:bottom w:val="single" w:sz="2" w:space="0" w:color="auto"/>
              <w:right w:val="single" w:sz="2" w:space="0" w:color="auto"/>
            </w:tcBorders>
          </w:tcPr>
          <w:p w14:paraId="6EABE82D" w14:textId="77777777" w:rsidR="009F4766" w:rsidRPr="00DE12A3" w:rsidRDefault="009F4766" w:rsidP="00C917D6">
            <w:pPr>
              <w:pStyle w:val="NormalLeft"/>
            </w:pPr>
            <w:r w:rsidRPr="00DE12A3">
              <w:t>1055</w:t>
            </w:r>
          </w:p>
        </w:tc>
        <w:tc>
          <w:tcPr>
            <w:tcW w:w="2489" w:type="dxa"/>
            <w:tcBorders>
              <w:top w:val="single" w:sz="2" w:space="0" w:color="auto"/>
              <w:left w:val="single" w:sz="2" w:space="0" w:color="auto"/>
              <w:bottom w:val="single" w:sz="2" w:space="0" w:color="auto"/>
              <w:right w:val="single" w:sz="2" w:space="0" w:color="auto"/>
            </w:tcBorders>
          </w:tcPr>
          <w:p w14:paraId="53F70640" w14:textId="77777777" w:rsidR="009F4766" w:rsidRPr="00DE12A3" w:rsidRDefault="009F4766" w:rsidP="00C917D6">
            <w:pPr>
              <w:pStyle w:val="NormalLeft"/>
            </w:pPr>
            <w:r w:rsidRPr="00DE12A3">
              <w:t>85</w:t>
            </w:r>
          </w:p>
        </w:tc>
        <w:tc>
          <w:tcPr>
            <w:tcW w:w="2551" w:type="dxa"/>
            <w:tcBorders>
              <w:top w:val="single" w:sz="2" w:space="0" w:color="auto"/>
              <w:left w:val="single" w:sz="2" w:space="0" w:color="auto"/>
              <w:bottom w:val="single" w:sz="2" w:space="0" w:color="auto"/>
              <w:right w:val="single" w:sz="2" w:space="0" w:color="auto"/>
            </w:tcBorders>
          </w:tcPr>
          <w:p w14:paraId="46B7A17D" w14:textId="77777777" w:rsidR="009F4766" w:rsidRPr="00DE12A3" w:rsidRDefault="009F4766" w:rsidP="00C917D6">
            <w:pPr>
              <w:pStyle w:val="NormalLeft"/>
            </w:pPr>
            <w:r w:rsidRPr="00DE12A3">
              <w:t>21</w:t>
            </w:r>
          </w:p>
        </w:tc>
      </w:tr>
      <w:tr w:rsidR="00DE12A3" w:rsidRPr="00DE12A3" w14:paraId="33997E4E" w14:textId="77777777" w:rsidTr="009F4766">
        <w:tc>
          <w:tcPr>
            <w:tcW w:w="1182" w:type="dxa"/>
            <w:tcBorders>
              <w:top w:val="single" w:sz="2" w:space="0" w:color="auto"/>
              <w:left w:val="single" w:sz="2" w:space="0" w:color="auto"/>
              <w:bottom w:val="single" w:sz="2" w:space="0" w:color="auto"/>
              <w:right w:val="single" w:sz="2" w:space="0" w:color="auto"/>
            </w:tcBorders>
          </w:tcPr>
          <w:p w14:paraId="5A6AAD6F" w14:textId="77777777" w:rsidR="009F4766" w:rsidRPr="00DE12A3" w:rsidRDefault="009F4766" w:rsidP="00C917D6">
            <w:pPr>
              <w:pStyle w:val="NormalLeft"/>
            </w:pPr>
            <w:r w:rsidRPr="00DE12A3">
              <w:t>1056</w:t>
            </w:r>
          </w:p>
        </w:tc>
        <w:tc>
          <w:tcPr>
            <w:tcW w:w="2489" w:type="dxa"/>
            <w:tcBorders>
              <w:top w:val="single" w:sz="2" w:space="0" w:color="auto"/>
              <w:left w:val="single" w:sz="2" w:space="0" w:color="auto"/>
              <w:bottom w:val="single" w:sz="2" w:space="0" w:color="auto"/>
              <w:right w:val="single" w:sz="2" w:space="0" w:color="auto"/>
            </w:tcBorders>
          </w:tcPr>
          <w:p w14:paraId="498C558A" w14:textId="77777777" w:rsidR="009F4766" w:rsidRPr="00DE12A3" w:rsidRDefault="009F4766" w:rsidP="00C917D6">
            <w:pPr>
              <w:pStyle w:val="NormalLeft"/>
            </w:pPr>
            <w:r w:rsidRPr="00DE12A3">
              <w:t>86</w:t>
            </w:r>
          </w:p>
        </w:tc>
        <w:tc>
          <w:tcPr>
            <w:tcW w:w="2551" w:type="dxa"/>
            <w:tcBorders>
              <w:top w:val="single" w:sz="2" w:space="0" w:color="auto"/>
              <w:left w:val="single" w:sz="2" w:space="0" w:color="auto"/>
              <w:bottom w:val="single" w:sz="2" w:space="0" w:color="auto"/>
              <w:right w:val="single" w:sz="2" w:space="0" w:color="auto"/>
            </w:tcBorders>
          </w:tcPr>
          <w:p w14:paraId="27BA5D49" w14:textId="77777777" w:rsidR="009F4766" w:rsidRPr="00DE12A3" w:rsidRDefault="009F4766" w:rsidP="00C917D6">
            <w:pPr>
              <w:pStyle w:val="NormalLeft"/>
            </w:pPr>
            <w:r w:rsidRPr="00DE12A3">
              <w:t>16</w:t>
            </w:r>
          </w:p>
        </w:tc>
      </w:tr>
      <w:tr w:rsidR="00DE12A3" w:rsidRPr="00DE12A3" w14:paraId="7DF33A31" w14:textId="77777777" w:rsidTr="009F4766">
        <w:tc>
          <w:tcPr>
            <w:tcW w:w="1182" w:type="dxa"/>
            <w:tcBorders>
              <w:top w:val="single" w:sz="2" w:space="0" w:color="auto"/>
              <w:left w:val="single" w:sz="2" w:space="0" w:color="auto"/>
              <w:bottom w:val="single" w:sz="2" w:space="0" w:color="auto"/>
              <w:right w:val="single" w:sz="2" w:space="0" w:color="auto"/>
            </w:tcBorders>
          </w:tcPr>
          <w:p w14:paraId="228F4670" w14:textId="77777777" w:rsidR="009F4766" w:rsidRPr="00DE12A3" w:rsidRDefault="009F4766" w:rsidP="00C917D6">
            <w:pPr>
              <w:pStyle w:val="NormalLeft"/>
            </w:pPr>
            <w:r w:rsidRPr="00DE12A3">
              <w:t>1057</w:t>
            </w:r>
          </w:p>
        </w:tc>
        <w:tc>
          <w:tcPr>
            <w:tcW w:w="2489" w:type="dxa"/>
            <w:tcBorders>
              <w:top w:val="single" w:sz="2" w:space="0" w:color="auto"/>
              <w:left w:val="single" w:sz="2" w:space="0" w:color="auto"/>
              <w:bottom w:val="single" w:sz="2" w:space="0" w:color="auto"/>
              <w:right w:val="single" w:sz="2" w:space="0" w:color="auto"/>
            </w:tcBorders>
          </w:tcPr>
          <w:p w14:paraId="6D8DF0D4" w14:textId="77777777" w:rsidR="009F4766" w:rsidRPr="00DE12A3" w:rsidRDefault="009F4766" w:rsidP="00C917D6">
            <w:pPr>
              <w:pStyle w:val="NormalLeft"/>
            </w:pPr>
            <w:r w:rsidRPr="00DE12A3">
              <w:t>79</w:t>
            </w:r>
          </w:p>
        </w:tc>
        <w:tc>
          <w:tcPr>
            <w:tcW w:w="2551" w:type="dxa"/>
            <w:tcBorders>
              <w:top w:val="single" w:sz="2" w:space="0" w:color="auto"/>
              <w:left w:val="single" w:sz="2" w:space="0" w:color="auto"/>
              <w:bottom w:val="single" w:sz="2" w:space="0" w:color="auto"/>
              <w:right w:val="single" w:sz="2" w:space="0" w:color="auto"/>
            </w:tcBorders>
          </w:tcPr>
          <w:p w14:paraId="795CF36B" w14:textId="77777777" w:rsidR="009F4766" w:rsidRPr="00DE12A3" w:rsidRDefault="009F4766" w:rsidP="00C917D6">
            <w:pPr>
              <w:pStyle w:val="NormalLeft"/>
            </w:pPr>
            <w:r w:rsidRPr="00DE12A3">
              <w:t>52</w:t>
            </w:r>
          </w:p>
        </w:tc>
      </w:tr>
      <w:tr w:rsidR="00DE12A3" w:rsidRPr="00DE12A3" w14:paraId="0F30456E" w14:textId="77777777" w:rsidTr="009F4766">
        <w:tc>
          <w:tcPr>
            <w:tcW w:w="1182" w:type="dxa"/>
            <w:tcBorders>
              <w:top w:val="single" w:sz="2" w:space="0" w:color="auto"/>
              <w:left w:val="single" w:sz="2" w:space="0" w:color="auto"/>
              <w:bottom w:val="single" w:sz="2" w:space="0" w:color="auto"/>
              <w:right w:val="single" w:sz="2" w:space="0" w:color="auto"/>
            </w:tcBorders>
          </w:tcPr>
          <w:p w14:paraId="770C6069" w14:textId="77777777" w:rsidR="009F4766" w:rsidRPr="00DE12A3" w:rsidRDefault="009F4766" w:rsidP="00C917D6">
            <w:pPr>
              <w:pStyle w:val="NormalLeft"/>
            </w:pPr>
            <w:r w:rsidRPr="00DE12A3">
              <w:t>1058</w:t>
            </w:r>
          </w:p>
        </w:tc>
        <w:tc>
          <w:tcPr>
            <w:tcW w:w="2489" w:type="dxa"/>
            <w:tcBorders>
              <w:top w:val="single" w:sz="2" w:space="0" w:color="auto"/>
              <w:left w:val="single" w:sz="2" w:space="0" w:color="auto"/>
              <w:bottom w:val="single" w:sz="2" w:space="0" w:color="auto"/>
              <w:right w:val="single" w:sz="2" w:space="0" w:color="auto"/>
            </w:tcBorders>
          </w:tcPr>
          <w:p w14:paraId="30DB8AAA" w14:textId="77777777" w:rsidR="009F4766" w:rsidRPr="00DE12A3" w:rsidRDefault="009F4766" w:rsidP="00C917D6">
            <w:pPr>
              <w:pStyle w:val="NormalLeft"/>
            </w:pPr>
            <w:r w:rsidRPr="00DE12A3">
              <w:t>78</w:t>
            </w:r>
          </w:p>
        </w:tc>
        <w:tc>
          <w:tcPr>
            <w:tcW w:w="2551" w:type="dxa"/>
            <w:tcBorders>
              <w:top w:val="single" w:sz="2" w:space="0" w:color="auto"/>
              <w:left w:val="single" w:sz="2" w:space="0" w:color="auto"/>
              <w:bottom w:val="single" w:sz="2" w:space="0" w:color="auto"/>
              <w:right w:val="single" w:sz="2" w:space="0" w:color="auto"/>
            </w:tcBorders>
          </w:tcPr>
          <w:p w14:paraId="71637299" w14:textId="77777777" w:rsidR="009F4766" w:rsidRPr="00DE12A3" w:rsidRDefault="009F4766" w:rsidP="00C917D6">
            <w:pPr>
              <w:pStyle w:val="NormalLeft"/>
            </w:pPr>
            <w:r w:rsidRPr="00DE12A3">
              <w:t>60</w:t>
            </w:r>
          </w:p>
        </w:tc>
      </w:tr>
      <w:tr w:rsidR="00DE12A3" w:rsidRPr="00DE12A3" w14:paraId="5E685BCC" w14:textId="77777777" w:rsidTr="009F4766">
        <w:tc>
          <w:tcPr>
            <w:tcW w:w="1182" w:type="dxa"/>
            <w:tcBorders>
              <w:top w:val="single" w:sz="2" w:space="0" w:color="auto"/>
              <w:left w:val="single" w:sz="2" w:space="0" w:color="auto"/>
              <w:bottom w:val="single" w:sz="2" w:space="0" w:color="auto"/>
              <w:right w:val="single" w:sz="2" w:space="0" w:color="auto"/>
            </w:tcBorders>
          </w:tcPr>
          <w:p w14:paraId="49E44B87" w14:textId="77777777" w:rsidR="009F4766" w:rsidRPr="00DE12A3" w:rsidRDefault="009F4766" w:rsidP="00C917D6">
            <w:pPr>
              <w:pStyle w:val="NormalLeft"/>
            </w:pPr>
            <w:r w:rsidRPr="00DE12A3">
              <w:t>1059</w:t>
            </w:r>
          </w:p>
        </w:tc>
        <w:tc>
          <w:tcPr>
            <w:tcW w:w="2489" w:type="dxa"/>
            <w:tcBorders>
              <w:top w:val="single" w:sz="2" w:space="0" w:color="auto"/>
              <w:left w:val="single" w:sz="2" w:space="0" w:color="auto"/>
              <w:bottom w:val="single" w:sz="2" w:space="0" w:color="auto"/>
              <w:right w:val="single" w:sz="2" w:space="0" w:color="auto"/>
            </w:tcBorders>
          </w:tcPr>
          <w:p w14:paraId="56324738" w14:textId="77777777" w:rsidR="009F4766" w:rsidRPr="00DE12A3" w:rsidRDefault="009F4766" w:rsidP="00C917D6">
            <w:pPr>
              <w:pStyle w:val="NormalLeft"/>
            </w:pPr>
            <w:r w:rsidRPr="00DE12A3">
              <w:t>74</w:t>
            </w:r>
          </w:p>
        </w:tc>
        <w:tc>
          <w:tcPr>
            <w:tcW w:w="2551" w:type="dxa"/>
            <w:tcBorders>
              <w:top w:val="single" w:sz="2" w:space="0" w:color="auto"/>
              <w:left w:val="single" w:sz="2" w:space="0" w:color="auto"/>
              <w:bottom w:val="single" w:sz="2" w:space="0" w:color="auto"/>
              <w:right w:val="single" w:sz="2" w:space="0" w:color="auto"/>
            </w:tcBorders>
          </w:tcPr>
          <w:p w14:paraId="61E30CA1" w14:textId="77777777" w:rsidR="009F4766" w:rsidRPr="00DE12A3" w:rsidRDefault="009F4766" w:rsidP="00C917D6">
            <w:pPr>
              <w:pStyle w:val="NormalLeft"/>
            </w:pPr>
            <w:r w:rsidRPr="00DE12A3">
              <w:t>55</w:t>
            </w:r>
          </w:p>
        </w:tc>
      </w:tr>
      <w:tr w:rsidR="00DE12A3" w:rsidRPr="00DE12A3" w14:paraId="669BFF49" w14:textId="77777777" w:rsidTr="009F4766">
        <w:tc>
          <w:tcPr>
            <w:tcW w:w="1182" w:type="dxa"/>
            <w:tcBorders>
              <w:top w:val="single" w:sz="2" w:space="0" w:color="auto"/>
              <w:left w:val="single" w:sz="2" w:space="0" w:color="auto"/>
              <w:bottom w:val="single" w:sz="2" w:space="0" w:color="auto"/>
              <w:right w:val="single" w:sz="2" w:space="0" w:color="auto"/>
            </w:tcBorders>
          </w:tcPr>
          <w:p w14:paraId="64967CBF" w14:textId="77777777" w:rsidR="009F4766" w:rsidRPr="00DE12A3" w:rsidRDefault="009F4766" w:rsidP="00C917D6">
            <w:pPr>
              <w:pStyle w:val="NormalLeft"/>
            </w:pPr>
            <w:r w:rsidRPr="00DE12A3">
              <w:t>1060</w:t>
            </w:r>
          </w:p>
        </w:tc>
        <w:tc>
          <w:tcPr>
            <w:tcW w:w="2489" w:type="dxa"/>
            <w:tcBorders>
              <w:top w:val="single" w:sz="2" w:space="0" w:color="auto"/>
              <w:left w:val="single" w:sz="2" w:space="0" w:color="auto"/>
              <w:bottom w:val="single" w:sz="2" w:space="0" w:color="auto"/>
              <w:right w:val="single" w:sz="2" w:space="0" w:color="auto"/>
            </w:tcBorders>
          </w:tcPr>
          <w:p w14:paraId="7C3C8AD8" w14:textId="77777777" w:rsidR="009F4766" w:rsidRPr="00DE12A3" w:rsidRDefault="009F4766" w:rsidP="00C917D6">
            <w:pPr>
              <w:pStyle w:val="NormalLeft"/>
            </w:pPr>
            <w:r w:rsidRPr="00DE12A3">
              <w:t>78</w:t>
            </w:r>
          </w:p>
        </w:tc>
        <w:tc>
          <w:tcPr>
            <w:tcW w:w="2551" w:type="dxa"/>
            <w:tcBorders>
              <w:top w:val="single" w:sz="2" w:space="0" w:color="auto"/>
              <w:left w:val="single" w:sz="2" w:space="0" w:color="auto"/>
              <w:bottom w:val="single" w:sz="2" w:space="0" w:color="auto"/>
              <w:right w:val="single" w:sz="2" w:space="0" w:color="auto"/>
            </w:tcBorders>
          </w:tcPr>
          <w:p w14:paraId="39A76A0B" w14:textId="77777777" w:rsidR="009F4766" w:rsidRPr="00DE12A3" w:rsidRDefault="009F4766" w:rsidP="00C917D6">
            <w:pPr>
              <w:pStyle w:val="NormalLeft"/>
            </w:pPr>
            <w:r w:rsidRPr="00DE12A3">
              <w:t>84</w:t>
            </w:r>
          </w:p>
        </w:tc>
      </w:tr>
      <w:tr w:rsidR="00DE12A3" w:rsidRPr="00DE12A3" w14:paraId="7ED24E02" w14:textId="77777777" w:rsidTr="009F4766">
        <w:tc>
          <w:tcPr>
            <w:tcW w:w="1182" w:type="dxa"/>
            <w:tcBorders>
              <w:top w:val="single" w:sz="2" w:space="0" w:color="auto"/>
              <w:left w:val="single" w:sz="2" w:space="0" w:color="auto"/>
              <w:bottom w:val="single" w:sz="2" w:space="0" w:color="auto"/>
              <w:right w:val="single" w:sz="2" w:space="0" w:color="auto"/>
            </w:tcBorders>
          </w:tcPr>
          <w:p w14:paraId="099D84D1" w14:textId="77777777" w:rsidR="009F4766" w:rsidRPr="00DE12A3" w:rsidRDefault="009F4766" w:rsidP="00C917D6">
            <w:pPr>
              <w:pStyle w:val="NormalLeft"/>
            </w:pPr>
            <w:r w:rsidRPr="00DE12A3">
              <w:t>1061</w:t>
            </w:r>
          </w:p>
        </w:tc>
        <w:tc>
          <w:tcPr>
            <w:tcW w:w="2489" w:type="dxa"/>
            <w:tcBorders>
              <w:top w:val="single" w:sz="2" w:space="0" w:color="auto"/>
              <w:left w:val="single" w:sz="2" w:space="0" w:color="auto"/>
              <w:bottom w:val="single" w:sz="2" w:space="0" w:color="auto"/>
              <w:right w:val="single" w:sz="2" w:space="0" w:color="auto"/>
            </w:tcBorders>
          </w:tcPr>
          <w:p w14:paraId="7AFCEB9D" w14:textId="77777777" w:rsidR="009F4766" w:rsidRPr="00DE12A3" w:rsidRDefault="009F4766" w:rsidP="00C917D6">
            <w:pPr>
              <w:pStyle w:val="NormalLeft"/>
            </w:pPr>
            <w:r w:rsidRPr="00DE12A3">
              <w:t>80</w:t>
            </w:r>
          </w:p>
        </w:tc>
        <w:tc>
          <w:tcPr>
            <w:tcW w:w="2551" w:type="dxa"/>
            <w:tcBorders>
              <w:top w:val="single" w:sz="2" w:space="0" w:color="auto"/>
              <w:left w:val="single" w:sz="2" w:space="0" w:color="auto"/>
              <w:bottom w:val="single" w:sz="2" w:space="0" w:color="auto"/>
              <w:right w:val="single" w:sz="2" w:space="0" w:color="auto"/>
            </w:tcBorders>
          </w:tcPr>
          <w:p w14:paraId="53E7CDE3" w14:textId="77777777" w:rsidR="009F4766" w:rsidRPr="00DE12A3" w:rsidRDefault="009F4766" w:rsidP="00C917D6">
            <w:pPr>
              <w:pStyle w:val="NormalLeft"/>
            </w:pPr>
            <w:r w:rsidRPr="00DE12A3">
              <w:t>54</w:t>
            </w:r>
          </w:p>
        </w:tc>
      </w:tr>
      <w:tr w:rsidR="00DE12A3" w:rsidRPr="00DE12A3" w14:paraId="5292798D" w14:textId="77777777" w:rsidTr="009F4766">
        <w:tc>
          <w:tcPr>
            <w:tcW w:w="1182" w:type="dxa"/>
            <w:tcBorders>
              <w:top w:val="single" w:sz="2" w:space="0" w:color="auto"/>
              <w:left w:val="single" w:sz="2" w:space="0" w:color="auto"/>
              <w:bottom w:val="single" w:sz="2" w:space="0" w:color="auto"/>
              <w:right w:val="single" w:sz="2" w:space="0" w:color="auto"/>
            </w:tcBorders>
          </w:tcPr>
          <w:p w14:paraId="6507AD0B" w14:textId="77777777" w:rsidR="009F4766" w:rsidRPr="00DE12A3" w:rsidRDefault="009F4766" w:rsidP="00C917D6">
            <w:pPr>
              <w:pStyle w:val="NormalLeft"/>
            </w:pPr>
            <w:r w:rsidRPr="00DE12A3">
              <w:t>1062</w:t>
            </w:r>
          </w:p>
        </w:tc>
        <w:tc>
          <w:tcPr>
            <w:tcW w:w="2489" w:type="dxa"/>
            <w:tcBorders>
              <w:top w:val="single" w:sz="2" w:space="0" w:color="auto"/>
              <w:left w:val="single" w:sz="2" w:space="0" w:color="auto"/>
              <w:bottom w:val="single" w:sz="2" w:space="0" w:color="auto"/>
              <w:right w:val="single" w:sz="2" w:space="0" w:color="auto"/>
            </w:tcBorders>
          </w:tcPr>
          <w:p w14:paraId="728664D2" w14:textId="77777777" w:rsidR="009F4766" w:rsidRPr="00DE12A3" w:rsidRDefault="009F4766" w:rsidP="00C917D6">
            <w:pPr>
              <w:pStyle w:val="NormalLeft"/>
            </w:pPr>
            <w:r w:rsidRPr="00DE12A3">
              <w:t>80</w:t>
            </w:r>
          </w:p>
        </w:tc>
        <w:tc>
          <w:tcPr>
            <w:tcW w:w="2551" w:type="dxa"/>
            <w:tcBorders>
              <w:top w:val="single" w:sz="2" w:space="0" w:color="auto"/>
              <w:left w:val="single" w:sz="2" w:space="0" w:color="auto"/>
              <w:bottom w:val="single" w:sz="2" w:space="0" w:color="auto"/>
              <w:right w:val="single" w:sz="2" w:space="0" w:color="auto"/>
            </w:tcBorders>
          </w:tcPr>
          <w:p w14:paraId="28D6C6B9" w14:textId="77777777" w:rsidR="009F4766" w:rsidRPr="00DE12A3" w:rsidRDefault="009F4766" w:rsidP="00C917D6">
            <w:pPr>
              <w:pStyle w:val="NormalLeft"/>
            </w:pPr>
            <w:r w:rsidRPr="00DE12A3">
              <w:t>35</w:t>
            </w:r>
          </w:p>
        </w:tc>
      </w:tr>
      <w:tr w:rsidR="00DE12A3" w:rsidRPr="00DE12A3" w14:paraId="2C875C99" w14:textId="77777777" w:rsidTr="009F4766">
        <w:tc>
          <w:tcPr>
            <w:tcW w:w="1182" w:type="dxa"/>
            <w:tcBorders>
              <w:top w:val="single" w:sz="2" w:space="0" w:color="auto"/>
              <w:left w:val="single" w:sz="2" w:space="0" w:color="auto"/>
              <w:bottom w:val="single" w:sz="2" w:space="0" w:color="auto"/>
              <w:right w:val="single" w:sz="2" w:space="0" w:color="auto"/>
            </w:tcBorders>
          </w:tcPr>
          <w:p w14:paraId="584E07F6" w14:textId="77777777" w:rsidR="009F4766" w:rsidRPr="00DE12A3" w:rsidRDefault="009F4766" w:rsidP="00C917D6">
            <w:pPr>
              <w:pStyle w:val="NormalLeft"/>
            </w:pPr>
            <w:r w:rsidRPr="00DE12A3">
              <w:t>1063</w:t>
            </w:r>
          </w:p>
        </w:tc>
        <w:tc>
          <w:tcPr>
            <w:tcW w:w="2489" w:type="dxa"/>
            <w:tcBorders>
              <w:top w:val="single" w:sz="2" w:space="0" w:color="auto"/>
              <w:left w:val="single" w:sz="2" w:space="0" w:color="auto"/>
              <w:bottom w:val="single" w:sz="2" w:space="0" w:color="auto"/>
              <w:right w:val="single" w:sz="2" w:space="0" w:color="auto"/>
            </w:tcBorders>
          </w:tcPr>
          <w:p w14:paraId="44945E3B" w14:textId="77777777" w:rsidR="009F4766" w:rsidRPr="00DE12A3" w:rsidRDefault="009F4766" w:rsidP="00C917D6">
            <w:pPr>
              <w:pStyle w:val="NormalLeft"/>
            </w:pPr>
            <w:r w:rsidRPr="00DE12A3">
              <w:t>82</w:t>
            </w:r>
          </w:p>
        </w:tc>
        <w:tc>
          <w:tcPr>
            <w:tcW w:w="2551" w:type="dxa"/>
            <w:tcBorders>
              <w:top w:val="single" w:sz="2" w:space="0" w:color="auto"/>
              <w:left w:val="single" w:sz="2" w:space="0" w:color="auto"/>
              <w:bottom w:val="single" w:sz="2" w:space="0" w:color="auto"/>
              <w:right w:val="single" w:sz="2" w:space="0" w:color="auto"/>
            </w:tcBorders>
          </w:tcPr>
          <w:p w14:paraId="0AEFCC90" w14:textId="77777777" w:rsidR="009F4766" w:rsidRPr="00DE12A3" w:rsidRDefault="009F4766" w:rsidP="00C917D6">
            <w:pPr>
              <w:pStyle w:val="NormalLeft"/>
            </w:pPr>
            <w:r w:rsidRPr="00DE12A3">
              <w:t>24</w:t>
            </w:r>
          </w:p>
        </w:tc>
      </w:tr>
      <w:tr w:rsidR="00DE12A3" w:rsidRPr="00DE12A3" w14:paraId="45F24930" w14:textId="77777777" w:rsidTr="009F4766">
        <w:tc>
          <w:tcPr>
            <w:tcW w:w="1182" w:type="dxa"/>
            <w:tcBorders>
              <w:top w:val="single" w:sz="2" w:space="0" w:color="auto"/>
              <w:left w:val="single" w:sz="2" w:space="0" w:color="auto"/>
              <w:bottom w:val="single" w:sz="2" w:space="0" w:color="auto"/>
              <w:right w:val="single" w:sz="2" w:space="0" w:color="auto"/>
            </w:tcBorders>
          </w:tcPr>
          <w:p w14:paraId="5FF81A78" w14:textId="77777777" w:rsidR="009F4766" w:rsidRPr="00DE12A3" w:rsidRDefault="009F4766" w:rsidP="00C917D6">
            <w:pPr>
              <w:pStyle w:val="NormalLeft"/>
            </w:pPr>
            <w:r w:rsidRPr="00DE12A3">
              <w:t>1064</w:t>
            </w:r>
          </w:p>
        </w:tc>
        <w:tc>
          <w:tcPr>
            <w:tcW w:w="2489" w:type="dxa"/>
            <w:tcBorders>
              <w:top w:val="single" w:sz="2" w:space="0" w:color="auto"/>
              <w:left w:val="single" w:sz="2" w:space="0" w:color="auto"/>
              <w:bottom w:val="single" w:sz="2" w:space="0" w:color="auto"/>
              <w:right w:val="single" w:sz="2" w:space="0" w:color="auto"/>
            </w:tcBorders>
          </w:tcPr>
          <w:p w14:paraId="4C1C52F9" w14:textId="77777777" w:rsidR="009F4766" w:rsidRPr="00DE12A3" w:rsidRDefault="009F4766" w:rsidP="00C917D6">
            <w:pPr>
              <w:pStyle w:val="NormalLeft"/>
            </w:pPr>
            <w:r w:rsidRPr="00DE12A3">
              <w:t>83</w:t>
            </w:r>
          </w:p>
        </w:tc>
        <w:tc>
          <w:tcPr>
            <w:tcW w:w="2551" w:type="dxa"/>
            <w:tcBorders>
              <w:top w:val="single" w:sz="2" w:space="0" w:color="auto"/>
              <w:left w:val="single" w:sz="2" w:space="0" w:color="auto"/>
              <w:bottom w:val="single" w:sz="2" w:space="0" w:color="auto"/>
              <w:right w:val="single" w:sz="2" w:space="0" w:color="auto"/>
            </w:tcBorders>
          </w:tcPr>
          <w:p w14:paraId="75A7EB14" w14:textId="77777777" w:rsidR="009F4766" w:rsidRPr="00DE12A3" w:rsidRDefault="009F4766" w:rsidP="00C917D6">
            <w:pPr>
              <w:pStyle w:val="NormalLeft"/>
            </w:pPr>
            <w:r w:rsidRPr="00DE12A3">
              <w:t>43</w:t>
            </w:r>
          </w:p>
        </w:tc>
      </w:tr>
      <w:tr w:rsidR="00DE12A3" w:rsidRPr="00DE12A3" w14:paraId="3318D9D1" w14:textId="77777777" w:rsidTr="009F4766">
        <w:tc>
          <w:tcPr>
            <w:tcW w:w="1182" w:type="dxa"/>
            <w:tcBorders>
              <w:top w:val="single" w:sz="2" w:space="0" w:color="auto"/>
              <w:left w:val="single" w:sz="2" w:space="0" w:color="auto"/>
              <w:bottom w:val="single" w:sz="2" w:space="0" w:color="auto"/>
              <w:right w:val="single" w:sz="2" w:space="0" w:color="auto"/>
            </w:tcBorders>
          </w:tcPr>
          <w:p w14:paraId="7AEE9811" w14:textId="77777777" w:rsidR="009F4766" w:rsidRPr="00DE12A3" w:rsidRDefault="009F4766" w:rsidP="00C917D6">
            <w:pPr>
              <w:pStyle w:val="NormalLeft"/>
            </w:pPr>
            <w:r w:rsidRPr="00DE12A3">
              <w:t>1065</w:t>
            </w:r>
          </w:p>
        </w:tc>
        <w:tc>
          <w:tcPr>
            <w:tcW w:w="2489" w:type="dxa"/>
            <w:tcBorders>
              <w:top w:val="single" w:sz="2" w:space="0" w:color="auto"/>
              <w:left w:val="single" w:sz="2" w:space="0" w:color="auto"/>
              <w:bottom w:val="single" w:sz="2" w:space="0" w:color="auto"/>
              <w:right w:val="single" w:sz="2" w:space="0" w:color="auto"/>
            </w:tcBorders>
          </w:tcPr>
          <w:p w14:paraId="2E4CB804" w14:textId="77777777" w:rsidR="009F4766" w:rsidRPr="00DE12A3" w:rsidRDefault="009F4766" w:rsidP="00C917D6">
            <w:pPr>
              <w:pStyle w:val="NormalLeft"/>
            </w:pPr>
            <w:r w:rsidRPr="00DE12A3">
              <w:t>79</w:t>
            </w:r>
          </w:p>
        </w:tc>
        <w:tc>
          <w:tcPr>
            <w:tcW w:w="2551" w:type="dxa"/>
            <w:tcBorders>
              <w:top w:val="single" w:sz="2" w:space="0" w:color="auto"/>
              <w:left w:val="single" w:sz="2" w:space="0" w:color="auto"/>
              <w:bottom w:val="single" w:sz="2" w:space="0" w:color="auto"/>
              <w:right w:val="single" w:sz="2" w:space="0" w:color="auto"/>
            </w:tcBorders>
          </w:tcPr>
          <w:p w14:paraId="503C4466" w14:textId="77777777" w:rsidR="009F4766" w:rsidRPr="00DE12A3" w:rsidRDefault="009F4766" w:rsidP="00C917D6">
            <w:pPr>
              <w:pStyle w:val="NormalLeft"/>
            </w:pPr>
            <w:r w:rsidRPr="00DE12A3">
              <w:t>49</w:t>
            </w:r>
          </w:p>
        </w:tc>
      </w:tr>
      <w:tr w:rsidR="00DE12A3" w:rsidRPr="00DE12A3" w14:paraId="1FB2B20C" w14:textId="77777777" w:rsidTr="009F4766">
        <w:tc>
          <w:tcPr>
            <w:tcW w:w="1182" w:type="dxa"/>
            <w:tcBorders>
              <w:top w:val="single" w:sz="2" w:space="0" w:color="auto"/>
              <w:left w:val="single" w:sz="2" w:space="0" w:color="auto"/>
              <w:bottom w:val="single" w:sz="2" w:space="0" w:color="auto"/>
              <w:right w:val="single" w:sz="2" w:space="0" w:color="auto"/>
            </w:tcBorders>
          </w:tcPr>
          <w:p w14:paraId="5B68FBD1" w14:textId="77777777" w:rsidR="009F4766" w:rsidRPr="00DE12A3" w:rsidRDefault="009F4766" w:rsidP="00C917D6">
            <w:pPr>
              <w:pStyle w:val="NormalLeft"/>
            </w:pPr>
            <w:r w:rsidRPr="00DE12A3">
              <w:t>1066</w:t>
            </w:r>
          </w:p>
        </w:tc>
        <w:tc>
          <w:tcPr>
            <w:tcW w:w="2489" w:type="dxa"/>
            <w:tcBorders>
              <w:top w:val="single" w:sz="2" w:space="0" w:color="auto"/>
              <w:left w:val="single" w:sz="2" w:space="0" w:color="auto"/>
              <w:bottom w:val="single" w:sz="2" w:space="0" w:color="auto"/>
              <w:right w:val="single" w:sz="2" w:space="0" w:color="auto"/>
            </w:tcBorders>
          </w:tcPr>
          <w:p w14:paraId="65917969" w14:textId="77777777" w:rsidR="009F4766" w:rsidRPr="00DE12A3" w:rsidRDefault="009F4766" w:rsidP="00C917D6">
            <w:pPr>
              <w:pStyle w:val="NormalLeft"/>
            </w:pPr>
            <w:r w:rsidRPr="00DE12A3">
              <w:t>83</w:t>
            </w:r>
          </w:p>
        </w:tc>
        <w:tc>
          <w:tcPr>
            <w:tcW w:w="2551" w:type="dxa"/>
            <w:tcBorders>
              <w:top w:val="single" w:sz="2" w:space="0" w:color="auto"/>
              <w:left w:val="single" w:sz="2" w:space="0" w:color="auto"/>
              <w:bottom w:val="single" w:sz="2" w:space="0" w:color="auto"/>
              <w:right w:val="single" w:sz="2" w:space="0" w:color="auto"/>
            </w:tcBorders>
          </w:tcPr>
          <w:p w14:paraId="18EB8DFC" w14:textId="77777777" w:rsidR="009F4766" w:rsidRPr="00DE12A3" w:rsidRDefault="009F4766" w:rsidP="00C917D6">
            <w:pPr>
              <w:pStyle w:val="NormalLeft"/>
            </w:pPr>
            <w:r w:rsidRPr="00DE12A3">
              <w:t>50</w:t>
            </w:r>
          </w:p>
        </w:tc>
      </w:tr>
      <w:tr w:rsidR="00DE12A3" w:rsidRPr="00DE12A3" w14:paraId="2CBF2490" w14:textId="77777777" w:rsidTr="009F4766">
        <w:tc>
          <w:tcPr>
            <w:tcW w:w="1182" w:type="dxa"/>
            <w:tcBorders>
              <w:top w:val="single" w:sz="2" w:space="0" w:color="auto"/>
              <w:left w:val="single" w:sz="2" w:space="0" w:color="auto"/>
              <w:bottom w:val="single" w:sz="2" w:space="0" w:color="auto"/>
              <w:right w:val="single" w:sz="2" w:space="0" w:color="auto"/>
            </w:tcBorders>
          </w:tcPr>
          <w:p w14:paraId="2565445D" w14:textId="77777777" w:rsidR="009F4766" w:rsidRPr="00DE12A3" w:rsidRDefault="009F4766" w:rsidP="00C917D6">
            <w:pPr>
              <w:pStyle w:val="NormalLeft"/>
            </w:pPr>
            <w:r w:rsidRPr="00DE12A3">
              <w:t>1067</w:t>
            </w:r>
          </w:p>
        </w:tc>
        <w:tc>
          <w:tcPr>
            <w:tcW w:w="2489" w:type="dxa"/>
            <w:tcBorders>
              <w:top w:val="single" w:sz="2" w:space="0" w:color="auto"/>
              <w:left w:val="single" w:sz="2" w:space="0" w:color="auto"/>
              <w:bottom w:val="single" w:sz="2" w:space="0" w:color="auto"/>
              <w:right w:val="single" w:sz="2" w:space="0" w:color="auto"/>
            </w:tcBorders>
          </w:tcPr>
          <w:p w14:paraId="38FC5AA2" w14:textId="77777777" w:rsidR="009F4766" w:rsidRPr="00DE12A3" w:rsidRDefault="009F4766" w:rsidP="00C917D6">
            <w:pPr>
              <w:pStyle w:val="NormalLeft"/>
            </w:pPr>
            <w:r w:rsidRPr="00DE12A3">
              <w:t>86</w:t>
            </w:r>
          </w:p>
        </w:tc>
        <w:tc>
          <w:tcPr>
            <w:tcW w:w="2551" w:type="dxa"/>
            <w:tcBorders>
              <w:top w:val="single" w:sz="2" w:space="0" w:color="auto"/>
              <w:left w:val="single" w:sz="2" w:space="0" w:color="auto"/>
              <w:bottom w:val="single" w:sz="2" w:space="0" w:color="auto"/>
              <w:right w:val="single" w:sz="2" w:space="0" w:color="auto"/>
            </w:tcBorders>
          </w:tcPr>
          <w:p w14:paraId="442DD131" w14:textId="77777777" w:rsidR="009F4766" w:rsidRPr="00DE12A3" w:rsidRDefault="009F4766" w:rsidP="00C917D6">
            <w:pPr>
              <w:pStyle w:val="NormalLeft"/>
            </w:pPr>
            <w:r w:rsidRPr="00DE12A3">
              <w:t>12</w:t>
            </w:r>
          </w:p>
        </w:tc>
      </w:tr>
      <w:tr w:rsidR="00DE12A3" w:rsidRPr="00DE12A3" w14:paraId="1FD2C4BE" w14:textId="77777777" w:rsidTr="009F4766">
        <w:tc>
          <w:tcPr>
            <w:tcW w:w="1182" w:type="dxa"/>
            <w:tcBorders>
              <w:top w:val="single" w:sz="2" w:space="0" w:color="auto"/>
              <w:left w:val="single" w:sz="2" w:space="0" w:color="auto"/>
              <w:bottom w:val="single" w:sz="2" w:space="0" w:color="auto"/>
              <w:right w:val="single" w:sz="2" w:space="0" w:color="auto"/>
            </w:tcBorders>
          </w:tcPr>
          <w:p w14:paraId="3BEA6109" w14:textId="77777777" w:rsidR="009F4766" w:rsidRPr="00DE12A3" w:rsidRDefault="009F4766" w:rsidP="00C917D6">
            <w:pPr>
              <w:pStyle w:val="NormalLeft"/>
            </w:pPr>
            <w:r w:rsidRPr="00DE12A3">
              <w:t>1068</w:t>
            </w:r>
          </w:p>
        </w:tc>
        <w:tc>
          <w:tcPr>
            <w:tcW w:w="2489" w:type="dxa"/>
            <w:tcBorders>
              <w:top w:val="single" w:sz="2" w:space="0" w:color="auto"/>
              <w:left w:val="single" w:sz="2" w:space="0" w:color="auto"/>
              <w:bottom w:val="single" w:sz="2" w:space="0" w:color="auto"/>
              <w:right w:val="single" w:sz="2" w:space="0" w:color="auto"/>
            </w:tcBorders>
          </w:tcPr>
          <w:p w14:paraId="29995D01" w14:textId="77777777" w:rsidR="009F4766" w:rsidRPr="00DE12A3" w:rsidRDefault="009F4766" w:rsidP="00C917D6">
            <w:pPr>
              <w:pStyle w:val="NormalLeft"/>
            </w:pPr>
            <w:r w:rsidRPr="00DE12A3">
              <w:t>64</w:t>
            </w:r>
          </w:p>
        </w:tc>
        <w:tc>
          <w:tcPr>
            <w:tcW w:w="2551" w:type="dxa"/>
            <w:tcBorders>
              <w:top w:val="single" w:sz="2" w:space="0" w:color="auto"/>
              <w:left w:val="single" w:sz="2" w:space="0" w:color="auto"/>
              <w:bottom w:val="single" w:sz="2" w:space="0" w:color="auto"/>
              <w:right w:val="single" w:sz="2" w:space="0" w:color="auto"/>
            </w:tcBorders>
          </w:tcPr>
          <w:p w14:paraId="7B91B4D2" w14:textId="77777777" w:rsidR="009F4766" w:rsidRPr="00DE12A3" w:rsidRDefault="009F4766" w:rsidP="00C917D6">
            <w:pPr>
              <w:pStyle w:val="NormalLeft"/>
            </w:pPr>
            <w:r w:rsidRPr="00DE12A3">
              <w:t>14</w:t>
            </w:r>
          </w:p>
        </w:tc>
      </w:tr>
      <w:tr w:rsidR="00DE12A3" w:rsidRPr="00DE12A3" w14:paraId="6264B3BD" w14:textId="77777777" w:rsidTr="009F4766">
        <w:tc>
          <w:tcPr>
            <w:tcW w:w="1182" w:type="dxa"/>
            <w:tcBorders>
              <w:top w:val="single" w:sz="2" w:space="0" w:color="auto"/>
              <w:left w:val="single" w:sz="2" w:space="0" w:color="auto"/>
              <w:bottom w:val="single" w:sz="2" w:space="0" w:color="auto"/>
              <w:right w:val="single" w:sz="2" w:space="0" w:color="auto"/>
            </w:tcBorders>
          </w:tcPr>
          <w:p w14:paraId="73D26897" w14:textId="77777777" w:rsidR="009F4766" w:rsidRPr="00DE12A3" w:rsidRDefault="009F4766" w:rsidP="00C917D6">
            <w:pPr>
              <w:pStyle w:val="NormalLeft"/>
            </w:pPr>
            <w:r w:rsidRPr="00DE12A3">
              <w:t>1069</w:t>
            </w:r>
          </w:p>
        </w:tc>
        <w:tc>
          <w:tcPr>
            <w:tcW w:w="2489" w:type="dxa"/>
            <w:tcBorders>
              <w:top w:val="single" w:sz="2" w:space="0" w:color="auto"/>
              <w:left w:val="single" w:sz="2" w:space="0" w:color="auto"/>
              <w:bottom w:val="single" w:sz="2" w:space="0" w:color="auto"/>
              <w:right w:val="single" w:sz="2" w:space="0" w:color="auto"/>
            </w:tcBorders>
          </w:tcPr>
          <w:p w14:paraId="6A035234" w14:textId="77777777" w:rsidR="009F4766" w:rsidRPr="00DE12A3" w:rsidRDefault="009F4766" w:rsidP="00C917D6">
            <w:pPr>
              <w:pStyle w:val="NormalLeft"/>
            </w:pPr>
            <w:r w:rsidRPr="00DE12A3">
              <w:t>24</w:t>
            </w:r>
          </w:p>
        </w:tc>
        <w:tc>
          <w:tcPr>
            <w:tcW w:w="2551" w:type="dxa"/>
            <w:tcBorders>
              <w:top w:val="single" w:sz="2" w:space="0" w:color="auto"/>
              <w:left w:val="single" w:sz="2" w:space="0" w:color="auto"/>
              <w:bottom w:val="single" w:sz="2" w:space="0" w:color="auto"/>
              <w:right w:val="single" w:sz="2" w:space="0" w:color="auto"/>
            </w:tcBorders>
          </w:tcPr>
          <w:p w14:paraId="1C757DB8" w14:textId="77777777" w:rsidR="009F4766" w:rsidRPr="00DE12A3" w:rsidRDefault="009F4766" w:rsidP="00C917D6">
            <w:pPr>
              <w:pStyle w:val="NormalLeft"/>
            </w:pPr>
            <w:r w:rsidRPr="00DE12A3">
              <w:t>14</w:t>
            </w:r>
          </w:p>
        </w:tc>
      </w:tr>
      <w:tr w:rsidR="00DE12A3" w:rsidRPr="00DE12A3" w14:paraId="4163116A" w14:textId="77777777" w:rsidTr="009F4766">
        <w:tc>
          <w:tcPr>
            <w:tcW w:w="1182" w:type="dxa"/>
            <w:tcBorders>
              <w:top w:val="single" w:sz="2" w:space="0" w:color="auto"/>
              <w:left w:val="single" w:sz="2" w:space="0" w:color="auto"/>
              <w:bottom w:val="single" w:sz="2" w:space="0" w:color="auto"/>
              <w:right w:val="single" w:sz="2" w:space="0" w:color="auto"/>
            </w:tcBorders>
          </w:tcPr>
          <w:p w14:paraId="4C5046D5" w14:textId="77777777" w:rsidR="009F4766" w:rsidRPr="00DE12A3" w:rsidRDefault="009F4766" w:rsidP="00C917D6">
            <w:pPr>
              <w:pStyle w:val="NormalLeft"/>
            </w:pPr>
            <w:r w:rsidRPr="00DE12A3">
              <w:t>1070</w:t>
            </w:r>
          </w:p>
        </w:tc>
        <w:tc>
          <w:tcPr>
            <w:tcW w:w="2489" w:type="dxa"/>
            <w:tcBorders>
              <w:top w:val="single" w:sz="2" w:space="0" w:color="auto"/>
              <w:left w:val="single" w:sz="2" w:space="0" w:color="auto"/>
              <w:bottom w:val="single" w:sz="2" w:space="0" w:color="auto"/>
              <w:right w:val="single" w:sz="2" w:space="0" w:color="auto"/>
            </w:tcBorders>
          </w:tcPr>
          <w:p w14:paraId="3EBA25CE" w14:textId="77777777" w:rsidR="009F4766" w:rsidRPr="00DE12A3" w:rsidRDefault="009F4766" w:rsidP="00C917D6">
            <w:pPr>
              <w:pStyle w:val="NormalLeft"/>
            </w:pPr>
            <w:r w:rsidRPr="00DE12A3">
              <w:t>49</w:t>
            </w:r>
          </w:p>
        </w:tc>
        <w:tc>
          <w:tcPr>
            <w:tcW w:w="2551" w:type="dxa"/>
            <w:tcBorders>
              <w:top w:val="single" w:sz="2" w:space="0" w:color="auto"/>
              <w:left w:val="single" w:sz="2" w:space="0" w:color="auto"/>
              <w:bottom w:val="single" w:sz="2" w:space="0" w:color="auto"/>
              <w:right w:val="single" w:sz="2" w:space="0" w:color="auto"/>
            </w:tcBorders>
          </w:tcPr>
          <w:p w14:paraId="0649342B" w14:textId="77777777" w:rsidR="009F4766" w:rsidRPr="00DE12A3" w:rsidRDefault="009F4766" w:rsidP="00C917D6">
            <w:pPr>
              <w:pStyle w:val="NormalLeft"/>
            </w:pPr>
            <w:r w:rsidRPr="00DE12A3">
              <w:t>21</w:t>
            </w:r>
          </w:p>
        </w:tc>
      </w:tr>
      <w:tr w:rsidR="00DE12A3" w:rsidRPr="00DE12A3" w14:paraId="42352D11" w14:textId="77777777" w:rsidTr="009F4766">
        <w:tc>
          <w:tcPr>
            <w:tcW w:w="1182" w:type="dxa"/>
            <w:tcBorders>
              <w:top w:val="single" w:sz="2" w:space="0" w:color="auto"/>
              <w:left w:val="single" w:sz="2" w:space="0" w:color="auto"/>
              <w:bottom w:val="single" w:sz="2" w:space="0" w:color="auto"/>
              <w:right w:val="single" w:sz="2" w:space="0" w:color="auto"/>
            </w:tcBorders>
          </w:tcPr>
          <w:p w14:paraId="109FE767" w14:textId="77777777" w:rsidR="009F4766" w:rsidRPr="00DE12A3" w:rsidRDefault="009F4766" w:rsidP="00C917D6">
            <w:pPr>
              <w:pStyle w:val="NormalLeft"/>
            </w:pPr>
            <w:r w:rsidRPr="00DE12A3">
              <w:t>1071</w:t>
            </w:r>
          </w:p>
        </w:tc>
        <w:tc>
          <w:tcPr>
            <w:tcW w:w="2489" w:type="dxa"/>
            <w:tcBorders>
              <w:top w:val="single" w:sz="2" w:space="0" w:color="auto"/>
              <w:left w:val="single" w:sz="2" w:space="0" w:color="auto"/>
              <w:bottom w:val="single" w:sz="2" w:space="0" w:color="auto"/>
              <w:right w:val="single" w:sz="2" w:space="0" w:color="auto"/>
            </w:tcBorders>
          </w:tcPr>
          <w:p w14:paraId="617D105D" w14:textId="77777777" w:rsidR="009F4766" w:rsidRPr="00DE12A3" w:rsidRDefault="009F4766" w:rsidP="00C917D6">
            <w:pPr>
              <w:pStyle w:val="NormalLeft"/>
            </w:pPr>
            <w:r w:rsidRPr="00DE12A3">
              <w:t>77</w:t>
            </w:r>
          </w:p>
        </w:tc>
        <w:tc>
          <w:tcPr>
            <w:tcW w:w="2551" w:type="dxa"/>
            <w:tcBorders>
              <w:top w:val="single" w:sz="2" w:space="0" w:color="auto"/>
              <w:left w:val="single" w:sz="2" w:space="0" w:color="auto"/>
              <w:bottom w:val="single" w:sz="2" w:space="0" w:color="auto"/>
              <w:right w:val="single" w:sz="2" w:space="0" w:color="auto"/>
            </w:tcBorders>
          </w:tcPr>
          <w:p w14:paraId="15E9B799" w14:textId="77777777" w:rsidR="009F4766" w:rsidRPr="00DE12A3" w:rsidRDefault="009F4766" w:rsidP="00C917D6">
            <w:pPr>
              <w:pStyle w:val="NormalLeft"/>
            </w:pPr>
            <w:r w:rsidRPr="00DE12A3">
              <w:t>48</w:t>
            </w:r>
          </w:p>
        </w:tc>
      </w:tr>
      <w:tr w:rsidR="00DE12A3" w:rsidRPr="00DE12A3" w14:paraId="5DF938B4" w14:textId="77777777" w:rsidTr="009F4766">
        <w:tc>
          <w:tcPr>
            <w:tcW w:w="1182" w:type="dxa"/>
            <w:tcBorders>
              <w:top w:val="single" w:sz="2" w:space="0" w:color="auto"/>
              <w:left w:val="single" w:sz="2" w:space="0" w:color="auto"/>
              <w:bottom w:val="single" w:sz="2" w:space="0" w:color="auto"/>
              <w:right w:val="single" w:sz="2" w:space="0" w:color="auto"/>
            </w:tcBorders>
          </w:tcPr>
          <w:p w14:paraId="0D0EBFC4" w14:textId="77777777" w:rsidR="009F4766" w:rsidRPr="00DE12A3" w:rsidRDefault="009F4766" w:rsidP="00C917D6">
            <w:pPr>
              <w:pStyle w:val="NormalLeft"/>
            </w:pPr>
            <w:r w:rsidRPr="00DE12A3">
              <w:t>1072</w:t>
            </w:r>
          </w:p>
        </w:tc>
        <w:tc>
          <w:tcPr>
            <w:tcW w:w="2489" w:type="dxa"/>
            <w:tcBorders>
              <w:top w:val="single" w:sz="2" w:space="0" w:color="auto"/>
              <w:left w:val="single" w:sz="2" w:space="0" w:color="auto"/>
              <w:bottom w:val="single" w:sz="2" w:space="0" w:color="auto"/>
              <w:right w:val="single" w:sz="2" w:space="0" w:color="auto"/>
            </w:tcBorders>
          </w:tcPr>
          <w:p w14:paraId="09DF8CD6" w14:textId="77777777" w:rsidR="009F4766" w:rsidRPr="00DE12A3" w:rsidRDefault="009F4766" w:rsidP="00C917D6">
            <w:pPr>
              <w:pStyle w:val="NormalLeft"/>
            </w:pPr>
            <w:r w:rsidRPr="00DE12A3">
              <w:t>103</w:t>
            </w:r>
          </w:p>
        </w:tc>
        <w:tc>
          <w:tcPr>
            <w:tcW w:w="2551" w:type="dxa"/>
            <w:tcBorders>
              <w:top w:val="single" w:sz="2" w:space="0" w:color="auto"/>
              <w:left w:val="single" w:sz="2" w:space="0" w:color="auto"/>
              <w:bottom w:val="single" w:sz="2" w:space="0" w:color="auto"/>
              <w:right w:val="single" w:sz="2" w:space="0" w:color="auto"/>
            </w:tcBorders>
          </w:tcPr>
          <w:p w14:paraId="602A9DEB" w14:textId="77777777" w:rsidR="009F4766" w:rsidRPr="00DE12A3" w:rsidRDefault="009F4766" w:rsidP="00C917D6">
            <w:pPr>
              <w:pStyle w:val="NormalLeft"/>
            </w:pPr>
            <w:r w:rsidRPr="00DE12A3">
              <w:t>11</w:t>
            </w:r>
          </w:p>
        </w:tc>
      </w:tr>
      <w:tr w:rsidR="00DE12A3" w:rsidRPr="00DE12A3" w14:paraId="0DB4D60B" w14:textId="77777777" w:rsidTr="009F4766">
        <w:tc>
          <w:tcPr>
            <w:tcW w:w="1182" w:type="dxa"/>
            <w:tcBorders>
              <w:top w:val="single" w:sz="2" w:space="0" w:color="auto"/>
              <w:left w:val="single" w:sz="2" w:space="0" w:color="auto"/>
              <w:bottom w:val="single" w:sz="2" w:space="0" w:color="auto"/>
              <w:right w:val="single" w:sz="2" w:space="0" w:color="auto"/>
            </w:tcBorders>
          </w:tcPr>
          <w:p w14:paraId="3D0146A7" w14:textId="77777777" w:rsidR="009F4766" w:rsidRPr="00DE12A3" w:rsidRDefault="009F4766" w:rsidP="00C917D6">
            <w:pPr>
              <w:pStyle w:val="NormalLeft"/>
            </w:pPr>
            <w:r w:rsidRPr="00DE12A3">
              <w:t>1073</w:t>
            </w:r>
          </w:p>
        </w:tc>
        <w:tc>
          <w:tcPr>
            <w:tcW w:w="2489" w:type="dxa"/>
            <w:tcBorders>
              <w:top w:val="single" w:sz="2" w:space="0" w:color="auto"/>
              <w:left w:val="single" w:sz="2" w:space="0" w:color="auto"/>
              <w:bottom w:val="single" w:sz="2" w:space="0" w:color="auto"/>
              <w:right w:val="single" w:sz="2" w:space="0" w:color="auto"/>
            </w:tcBorders>
          </w:tcPr>
          <w:p w14:paraId="750058C5" w14:textId="77777777" w:rsidR="009F4766" w:rsidRPr="00DE12A3" w:rsidRDefault="009F4766" w:rsidP="00C917D6">
            <w:pPr>
              <w:pStyle w:val="NormalLeft"/>
            </w:pPr>
            <w:r w:rsidRPr="00DE12A3">
              <w:t>98</w:t>
            </w:r>
          </w:p>
        </w:tc>
        <w:tc>
          <w:tcPr>
            <w:tcW w:w="2551" w:type="dxa"/>
            <w:tcBorders>
              <w:top w:val="single" w:sz="2" w:space="0" w:color="auto"/>
              <w:left w:val="single" w:sz="2" w:space="0" w:color="auto"/>
              <w:bottom w:val="single" w:sz="2" w:space="0" w:color="auto"/>
              <w:right w:val="single" w:sz="2" w:space="0" w:color="auto"/>
            </w:tcBorders>
          </w:tcPr>
          <w:p w14:paraId="295A712F" w14:textId="77777777" w:rsidR="009F4766" w:rsidRPr="00DE12A3" w:rsidRDefault="009F4766" w:rsidP="00C917D6">
            <w:pPr>
              <w:pStyle w:val="NormalLeft"/>
            </w:pPr>
            <w:r w:rsidRPr="00DE12A3">
              <w:t>48</w:t>
            </w:r>
          </w:p>
        </w:tc>
      </w:tr>
      <w:tr w:rsidR="00DE12A3" w:rsidRPr="00DE12A3" w14:paraId="1EECDF58" w14:textId="77777777" w:rsidTr="009F4766">
        <w:tc>
          <w:tcPr>
            <w:tcW w:w="1182" w:type="dxa"/>
            <w:tcBorders>
              <w:top w:val="single" w:sz="2" w:space="0" w:color="auto"/>
              <w:left w:val="single" w:sz="2" w:space="0" w:color="auto"/>
              <w:bottom w:val="single" w:sz="2" w:space="0" w:color="auto"/>
              <w:right w:val="single" w:sz="2" w:space="0" w:color="auto"/>
            </w:tcBorders>
          </w:tcPr>
          <w:p w14:paraId="6D841FC9" w14:textId="77777777" w:rsidR="009F4766" w:rsidRPr="00DE12A3" w:rsidRDefault="009F4766" w:rsidP="00C917D6">
            <w:pPr>
              <w:pStyle w:val="NormalLeft"/>
            </w:pPr>
            <w:r w:rsidRPr="00DE12A3">
              <w:t>1074</w:t>
            </w:r>
          </w:p>
        </w:tc>
        <w:tc>
          <w:tcPr>
            <w:tcW w:w="2489" w:type="dxa"/>
            <w:tcBorders>
              <w:top w:val="single" w:sz="2" w:space="0" w:color="auto"/>
              <w:left w:val="single" w:sz="2" w:space="0" w:color="auto"/>
              <w:bottom w:val="single" w:sz="2" w:space="0" w:color="auto"/>
              <w:right w:val="single" w:sz="2" w:space="0" w:color="auto"/>
            </w:tcBorders>
          </w:tcPr>
          <w:p w14:paraId="00C46047" w14:textId="77777777" w:rsidR="009F4766" w:rsidRPr="00DE12A3" w:rsidRDefault="009F4766" w:rsidP="00C917D6">
            <w:pPr>
              <w:pStyle w:val="NormalLeft"/>
            </w:pPr>
            <w:r w:rsidRPr="00DE12A3">
              <w:t>101</w:t>
            </w:r>
          </w:p>
        </w:tc>
        <w:tc>
          <w:tcPr>
            <w:tcW w:w="2551" w:type="dxa"/>
            <w:tcBorders>
              <w:top w:val="single" w:sz="2" w:space="0" w:color="auto"/>
              <w:left w:val="single" w:sz="2" w:space="0" w:color="auto"/>
              <w:bottom w:val="single" w:sz="2" w:space="0" w:color="auto"/>
              <w:right w:val="single" w:sz="2" w:space="0" w:color="auto"/>
            </w:tcBorders>
          </w:tcPr>
          <w:p w14:paraId="08AE39D2" w14:textId="77777777" w:rsidR="009F4766" w:rsidRPr="00DE12A3" w:rsidRDefault="009F4766" w:rsidP="00C917D6">
            <w:pPr>
              <w:pStyle w:val="NormalLeft"/>
            </w:pPr>
            <w:r w:rsidRPr="00DE12A3">
              <w:t>34</w:t>
            </w:r>
          </w:p>
        </w:tc>
      </w:tr>
      <w:tr w:rsidR="00DE12A3" w:rsidRPr="00DE12A3" w14:paraId="44F8D42D" w14:textId="77777777" w:rsidTr="009F4766">
        <w:tc>
          <w:tcPr>
            <w:tcW w:w="1182" w:type="dxa"/>
            <w:tcBorders>
              <w:top w:val="single" w:sz="2" w:space="0" w:color="auto"/>
              <w:left w:val="single" w:sz="2" w:space="0" w:color="auto"/>
              <w:bottom w:val="single" w:sz="2" w:space="0" w:color="auto"/>
              <w:right w:val="single" w:sz="2" w:space="0" w:color="auto"/>
            </w:tcBorders>
          </w:tcPr>
          <w:p w14:paraId="0040FED6" w14:textId="77777777" w:rsidR="009F4766" w:rsidRPr="00DE12A3" w:rsidRDefault="009F4766" w:rsidP="00C917D6">
            <w:pPr>
              <w:pStyle w:val="NormalLeft"/>
            </w:pPr>
            <w:r w:rsidRPr="00DE12A3">
              <w:t>1075</w:t>
            </w:r>
          </w:p>
        </w:tc>
        <w:tc>
          <w:tcPr>
            <w:tcW w:w="2489" w:type="dxa"/>
            <w:tcBorders>
              <w:top w:val="single" w:sz="2" w:space="0" w:color="auto"/>
              <w:left w:val="single" w:sz="2" w:space="0" w:color="auto"/>
              <w:bottom w:val="single" w:sz="2" w:space="0" w:color="auto"/>
              <w:right w:val="single" w:sz="2" w:space="0" w:color="auto"/>
            </w:tcBorders>
          </w:tcPr>
          <w:p w14:paraId="587D1AFD" w14:textId="77777777" w:rsidR="009F4766" w:rsidRPr="00DE12A3" w:rsidRDefault="009F4766" w:rsidP="00C917D6">
            <w:pPr>
              <w:pStyle w:val="NormalLeft"/>
            </w:pPr>
            <w:r w:rsidRPr="00DE12A3">
              <w:t>99</w:t>
            </w:r>
          </w:p>
        </w:tc>
        <w:tc>
          <w:tcPr>
            <w:tcW w:w="2551" w:type="dxa"/>
            <w:tcBorders>
              <w:top w:val="single" w:sz="2" w:space="0" w:color="auto"/>
              <w:left w:val="single" w:sz="2" w:space="0" w:color="auto"/>
              <w:bottom w:val="single" w:sz="2" w:space="0" w:color="auto"/>
              <w:right w:val="single" w:sz="2" w:space="0" w:color="auto"/>
            </w:tcBorders>
          </w:tcPr>
          <w:p w14:paraId="528149CB" w14:textId="77777777" w:rsidR="009F4766" w:rsidRPr="00DE12A3" w:rsidRDefault="009F4766" w:rsidP="00C917D6">
            <w:pPr>
              <w:pStyle w:val="NormalLeft"/>
            </w:pPr>
            <w:r w:rsidRPr="00DE12A3">
              <w:t>39</w:t>
            </w:r>
          </w:p>
        </w:tc>
      </w:tr>
      <w:tr w:rsidR="00DE12A3" w:rsidRPr="00DE12A3" w14:paraId="071FBC65" w14:textId="77777777" w:rsidTr="009F4766">
        <w:tc>
          <w:tcPr>
            <w:tcW w:w="1182" w:type="dxa"/>
            <w:tcBorders>
              <w:top w:val="single" w:sz="2" w:space="0" w:color="auto"/>
              <w:left w:val="single" w:sz="2" w:space="0" w:color="auto"/>
              <w:bottom w:val="single" w:sz="2" w:space="0" w:color="auto"/>
              <w:right w:val="single" w:sz="2" w:space="0" w:color="auto"/>
            </w:tcBorders>
          </w:tcPr>
          <w:p w14:paraId="18F09D9D" w14:textId="77777777" w:rsidR="009F4766" w:rsidRPr="00DE12A3" w:rsidRDefault="009F4766" w:rsidP="00C917D6">
            <w:pPr>
              <w:pStyle w:val="NormalLeft"/>
            </w:pPr>
            <w:r w:rsidRPr="00DE12A3">
              <w:lastRenderedPageBreak/>
              <w:t>1076</w:t>
            </w:r>
          </w:p>
        </w:tc>
        <w:tc>
          <w:tcPr>
            <w:tcW w:w="2489" w:type="dxa"/>
            <w:tcBorders>
              <w:top w:val="single" w:sz="2" w:space="0" w:color="auto"/>
              <w:left w:val="single" w:sz="2" w:space="0" w:color="auto"/>
              <w:bottom w:val="single" w:sz="2" w:space="0" w:color="auto"/>
              <w:right w:val="single" w:sz="2" w:space="0" w:color="auto"/>
            </w:tcBorders>
          </w:tcPr>
          <w:p w14:paraId="61DB4CA7" w14:textId="77777777" w:rsidR="009F4766" w:rsidRPr="00DE12A3" w:rsidRDefault="009F4766" w:rsidP="00C917D6">
            <w:pPr>
              <w:pStyle w:val="NormalLeft"/>
            </w:pPr>
            <w:r w:rsidRPr="00DE12A3">
              <w:t>103</w:t>
            </w:r>
          </w:p>
        </w:tc>
        <w:tc>
          <w:tcPr>
            <w:tcW w:w="2551" w:type="dxa"/>
            <w:tcBorders>
              <w:top w:val="single" w:sz="2" w:space="0" w:color="auto"/>
              <w:left w:val="single" w:sz="2" w:space="0" w:color="auto"/>
              <w:bottom w:val="single" w:sz="2" w:space="0" w:color="auto"/>
              <w:right w:val="single" w:sz="2" w:space="0" w:color="auto"/>
            </w:tcBorders>
          </w:tcPr>
          <w:p w14:paraId="35187A7C" w14:textId="77777777" w:rsidR="009F4766" w:rsidRPr="00DE12A3" w:rsidRDefault="009F4766" w:rsidP="00C917D6">
            <w:pPr>
              <w:pStyle w:val="NormalLeft"/>
            </w:pPr>
            <w:r w:rsidRPr="00DE12A3">
              <w:t>11</w:t>
            </w:r>
          </w:p>
        </w:tc>
      </w:tr>
      <w:tr w:rsidR="00DE12A3" w:rsidRPr="00DE12A3" w14:paraId="0009A2E3" w14:textId="77777777" w:rsidTr="009F4766">
        <w:tc>
          <w:tcPr>
            <w:tcW w:w="1182" w:type="dxa"/>
            <w:tcBorders>
              <w:top w:val="single" w:sz="2" w:space="0" w:color="auto"/>
              <w:left w:val="single" w:sz="2" w:space="0" w:color="auto"/>
              <w:bottom w:val="single" w:sz="2" w:space="0" w:color="auto"/>
              <w:right w:val="single" w:sz="2" w:space="0" w:color="auto"/>
            </w:tcBorders>
          </w:tcPr>
          <w:p w14:paraId="678B1DE5" w14:textId="77777777" w:rsidR="009F4766" w:rsidRPr="00DE12A3" w:rsidRDefault="009F4766" w:rsidP="00C917D6">
            <w:pPr>
              <w:pStyle w:val="NormalLeft"/>
            </w:pPr>
            <w:r w:rsidRPr="00DE12A3">
              <w:t>1077</w:t>
            </w:r>
          </w:p>
        </w:tc>
        <w:tc>
          <w:tcPr>
            <w:tcW w:w="2489" w:type="dxa"/>
            <w:tcBorders>
              <w:top w:val="single" w:sz="2" w:space="0" w:color="auto"/>
              <w:left w:val="single" w:sz="2" w:space="0" w:color="auto"/>
              <w:bottom w:val="single" w:sz="2" w:space="0" w:color="auto"/>
              <w:right w:val="single" w:sz="2" w:space="0" w:color="auto"/>
            </w:tcBorders>
          </w:tcPr>
          <w:p w14:paraId="5F06C4AA" w14:textId="77777777" w:rsidR="009F4766" w:rsidRPr="00DE12A3" w:rsidRDefault="009F4766" w:rsidP="00C917D6">
            <w:pPr>
              <w:pStyle w:val="NormalLeft"/>
            </w:pPr>
            <w:r w:rsidRPr="00DE12A3">
              <w:t>103</w:t>
            </w:r>
          </w:p>
        </w:tc>
        <w:tc>
          <w:tcPr>
            <w:tcW w:w="2551" w:type="dxa"/>
            <w:tcBorders>
              <w:top w:val="single" w:sz="2" w:space="0" w:color="auto"/>
              <w:left w:val="single" w:sz="2" w:space="0" w:color="auto"/>
              <w:bottom w:val="single" w:sz="2" w:space="0" w:color="auto"/>
              <w:right w:val="single" w:sz="2" w:space="0" w:color="auto"/>
            </w:tcBorders>
          </w:tcPr>
          <w:p w14:paraId="21B38BDF" w14:textId="77777777" w:rsidR="009F4766" w:rsidRPr="00DE12A3" w:rsidRDefault="009F4766" w:rsidP="00C917D6">
            <w:pPr>
              <w:pStyle w:val="NormalLeft"/>
            </w:pPr>
            <w:r w:rsidRPr="00DE12A3">
              <w:t>19</w:t>
            </w:r>
          </w:p>
        </w:tc>
      </w:tr>
      <w:tr w:rsidR="00DE12A3" w:rsidRPr="00DE12A3" w14:paraId="0BF39FCE" w14:textId="77777777" w:rsidTr="009F4766">
        <w:tc>
          <w:tcPr>
            <w:tcW w:w="1182" w:type="dxa"/>
            <w:tcBorders>
              <w:top w:val="single" w:sz="2" w:space="0" w:color="auto"/>
              <w:left w:val="single" w:sz="2" w:space="0" w:color="auto"/>
              <w:bottom w:val="single" w:sz="2" w:space="0" w:color="auto"/>
              <w:right w:val="single" w:sz="2" w:space="0" w:color="auto"/>
            </w:tcBorders>
          </w:tcPr>
          <w:p w14:paraId="0CBA8CC6" w14:textId="77777777" w:rsidR="009F4766" w:rsidRPr="00DE12A3" w:rsidRDefault="009F4766" w:rsidP="00C917D6">
            <w:pPr>
              <w:pStyle w:val="NormalLeft"/>
            </w:pPr>
            <w:r w:rsidRPr="00DE12A3">
              <w:t>1078</w:t>
            </w:r>
          </w:p>
        </w:tc>
        <w:tc>
          <w:tcPr>
            <w:tcW w:w="2489" w:type="dxa"/>
            <w:tcBorders>
              <w:top w:val="single" w:sz="2" w:space="0" w:color="auto"/>
              <w:left w:val="single" w:sz="2" w:space="0" w:color="auto"/>
              <w:bottom w:val="single" w:sz="2" w:space="0" w:color="auto"/>
              <w:right w:val="single" w:sz="2" w:space="0" w:color="auto"/>
            </w:tcBorders>
          </w:tcPr>
          <w:p w14:paraId="6BB74525" w14:textId="77777777" w:rsidR="009F4766" w:rsidRPr="00DE12A3" w:rsidRDefault="009F4766" w:rsidP="00C917D6">
            <w:pPr>
              <w:pStyle w:val="NormalLeft"/>
            </w:pPr>
            <w:r w:rsidRPr="00DE12A3">
              <w:t>103</w:t>
            </w:r>
          </w:p>
        </w:tc>
        <w:tc>
          <w:tcPr>
            <w:tcW w:w="2551" w:type="dxa"/>
            <w:tcBorders>
              <w:top w:val="single" w:sz="2" w:space="0" w:color="auto"/>
              <w:left w:val="single" w:sz="2" w:space="0" w:color="auto"/>
              <w:bottom w:val="single" w:sz="2" w:space="0" w:color="auto"/>
              <w:right w:val="single" w:sz="2" w:space="0" w:color="auto"/>
            </w:tcBorders>
          </w:tcPr>
          <w:p w14:paraId="70E4934B" w14:textId="77777777" w:rsidR="009F4766" w:rsidRPr="00DE12A3" w:rsidRDefault="009F4766" w:rsidP="00C917D6">
            <w:pPr>
              <w:pStyle w:val="NormalLeft"/>
            </w:pPr>
            <w:r w:rsidRPr="00DE12A3">
              <w:t>7</w:t>
            </w:r>
          </w:p>
        </w:tc>
      </w:tr>
      <w:tr w:rsidR="00DE12A3" w:rsidRPr="00DE12A3" w14:paraId="619FFCE8" w14:textId="77777777" w:rsidTr="009F4766">
        <w:tc>
          <w:tcPr>
            <w:tcW w:w="1182" w:type="dxa"/>
            <w:tcBorders>
              <w:top w:val="single" w:sz="2" w:space="0" w:color="auto"/>
              <w:left w:val="single" w:sz="2" w:space="0" w:color="auto"/>
              <w:bottom w:val="single" w:sz="2" w:space="0" w:color="auto"/>
              <w:right w:val="single" w:sz="2" w:space="0" w:color="auto"/>
            </w:tcBorders>
          </w:tcPr>
          <w:p w14:paraId="1C46698B" w14:textId="77777777" w:rsidR="009F4766" w:rsidRPr="00DE12A3" w:rsidRDefault="009F4766" w:rsidP="00C917D6">
            <w:pPr>
              <w:pStyle w:val="NormalLeft"/>
            </w:pPr>
            <w:r w:rsidRPr="00DE12A3">
              <w:t>1079</w:t>
            </w:r>
          </w:p>
        </w:tc>
        <w:tc>
          <w:tcPr>
            <w:tcW w:w="2489" w:type="dxa"/>
            <w:tcBorders>
              <w:top w:val="single" w:sz="2" w:space="0" w:color="auto"/>
              <w:left w:val="single" w:sz="2" w:space="0" w:color="auto"/>
              <w:bottom w:val="single" w:sz="2" w:space="0" w:color="auto"/>
              <w:right w:val="single" w:sz="2" w:space="0" w:color="auto"/>
            </w:tcBorders>
          </w:tcPr>
          <w:p w14:paraId="544BCCD1" w14:textId="77777777" w:rsidR="009F4766" w:rsidRPr="00DE12A3" w:rsidRDefault="009F4766" w:rsidP="00C917D6">
            <w:pPr>
              <w:pStyle w:val="NormalLeft"/>
            </w:pPr>
            <w:r w:rsidRPr="00DE12A3">
              <w:t>103</w:t>
            </w:r>
          </w:p>
        </w:tc>
        <w:tc>
          <w:tcPr>
            <w:tcW w:w="2551" w:type="dxa"/>
            <w:tcBorders>
              <w:top w:val="single" w:sz="2" w:space="0" w:color="auto"/>
              <w:left w:val="single" w:sz="2" w:space="0" w:color="auto"/>
              <w:bottom w:val="single" w:sz="2" w:space="0" w:color="auto"/>
              <w:right w:val="single" w:sz="2" w:space="0" w:color="auto"/>
            </w:tcBorders>
          </w:tcPr>
          <w:p w14:paraId="7AFD4729" w14:textId="77777777" w:rsidR="009F4766" w:rsidRPr="00DE12A3" w:rsidRDefault="009F4766" w:rsidP="00C917D6">
            <w:pPr>
              <w:pStyle w:val="NormalLeft"/>
            </w:pPr>
            <w:r w:rsidRPr="00DE12A3">
              <w:t>13</w:t>
            </w:r>
          </w:p>
        </w:tc>
      </w:tr>
      <w:tr w:rsidR="00DE12A3" w:rsidRPr="00DE12A3" w14:paraId="0929DE9E" w14:textId="77777777" w:rsidTr="009F4766">
        <w:tc>
          <w:tcPr>
            <w:tcW w:w="1182" w:type="dxa"/>
            <w:tcBorders>
              <w:top w:val="single" w:sz="2" w:space="0" w:color="auto"/>
              <w:left w:val="single" w:sz="2" w:space="0" w:color="auto"/>
              <w:bottom w:val="single" w:sz="2" w:space="0" w:color="auto"/>
              <w:right w:val="single" w:sz="2" w:space="0" w:color="auto"/>
            </w:tcBorders>
          </w:tcPr>
          <w:p w14:paraId="51B64ACA" w14:textId="77777777" w:rsidR="009F4766" w:rsidRPr="00DE12A3" w:rsidRDefault="009F4766" w:rsidP="00C917D6">
            <w:pPr>
              <w:pStyle w:val="NormalLeft"/>
            </w:pPr>
            <w:r w:rsidRPr="00DE12A3">
              <w:t>1080</w:t>
            </w:r>
          </w:p>
        </w:tc>
        <w:tc>
          <w:tcPr>
            <w:tcW w:w="2489" w:type="dxa"/>
            <w:tcBorders>
              <w:top w:val="single" w:sz="2" w:space="0" w:color="auto"/>
              <w:left w:val="single" w:sz="2" w:space="0" w:color="auto"/>
              <w:bottom w:val="single" w:sz="2" w:space="0" w:color="auto"/>
              <w:right w:val="single" w:sz="2" w:space="0" w:color="auto"/>
            </w:tcBorders>
          </w:tcPr>
          <w:p w14:paraId="5960008C" w14:textId="77777777" w:rsidR="009F4766" w:rsidRPr="00DE12A3" w:rsidRDefault="009F4766" w:rsidP="00C917D6">
            <w:pPr>
              <w:pStyle w:val="NormalLeft"/>
            </w:pPr>
            <w:r w:rsidRPr="00DE12A3">
              <w:t>103</w:t>
            </w:r>
          </w:p>
        </w:tc>
        <w:tc>
          <w:tcPr>
            <w:tcW w:w="2551" w:type="dxa"/>
            <w:tcBorders>
              <w:top w:val="single" w:sz="2" w:space="0" w:color="auto"/>
              <w:left w:val="single" w:sz="2" w:space="0" w:color="auto"/>
              <w:bottom w:val="single" w:sz="2" w:space="0" w:color="auto"/>
              <w:right w:val="single" w:sz="2" w:space="0" w:color="auto"/>
            </w:tcBorders>
          </w:tcPr>
          <w:p w14:paraId="5301DA8B" w14:textId="77777777" w:rsidR="009F4766" w:rsidRPr="00DE12A3" w:rsidRDefault="009F4766" w:rsidP="00C917D6">
            <w:pPr>
              <w:pStyle w:val="NormalLeft"/>
            </w:pPr>
            <w:r w:rsidRPr="00DE12A3">
              <w:t>10</w:t>
            </w:r>
          </w:p>
        </w:tc>
      </w:tr>
      <w:tr w:rsidR="00DE12A3" w:rsidRPr="00DE12A3" w14:paraId="2213B56D" w14:textId="77777777" w:rsidTr="009F4766">
        <w:tc>
          <w:tcPr>
            <w:tcW w:w="1182" w:type="dxa"/>
            <w:tcBorders>
              <w:top w:val="single" w:sz="2" w:space="0" w:color="auto"/>
              <w:left w:val="single" w:sz="2" w:space="0" w:color="auto"/>
              <w:bottom w:val="single" w:sz="2" w:space="0" w:color="auto"/>
              <w:right w:val="single" w:sz="2" w:space="0" w:color="auto"/>
            </w:tcBorders>
          </w:tcPr>
          <w:p w14:paraId="264DF7E4" w14:textId="77777777" w:rsidR="009F4766" w:rsidRPr="00DE12A3" w:rsidRDefault="009F4766" w:rsidP="00C917D6">
            <w:pPr>
              <w:pStyle w:val="NormalLeft"/>
            </w:pPr>
            <w:r w:rsidRPr="00DE12A3">
              <w:t>1081</w:t>
            </w:r>
          </w:p>
        </w:tc>
        <w:tc>
          <w:tcPr>
            <w:tcW w:w="2489" w:type="dxa"/>
            <w:tcBorders>
              <w:top w:val="single" w:sz="2" w:space="0" w:color="auto"/>
              <w:left w:val="single" w:sz="2" w:space="0" w:color="auto"/>
              <w:bottom w:val="single" w:sz="2" w:space="0" w:color="auto"/>
              <w:right w:val="single" w:sz="2" w:space="0" w:color="auto"/>
            </w:tcBorders>
          </w:tcPr>
          <w:p w14:paraId="182BAAEA" w14:textId="77777777" w:rsidR="009F4766" w:rsidRPr="00DE12A3" w:rsidRDefault="009F4766" w:rsidP="00C917D6">
            <w:pPr>
              <w:pStyle w:val="NormalLeft"/>
            </w:pPr>
            <w:r w:rsidRPr="00DE12A3">
              <w:t>102</w:t>
            </w:r>
          </w:p>
        </w:tc>
        <w:tc>
          <w:tcPr>
            <w:tcW w:w="2551" w:type="dxa"/>
            <w:tcBorders>
              <w:top w:val="single" w:sz="2" w:space="0" w:color="auto"/>
              <w:left w:val="single" w:sz="2" w:space="0" w:color="auto"/>
              <w:bottom w:val="single" w:sz="2" w:space="0" w:color="auto"/>
              <w:right w:val="single" w:sz="2" w:space="0" w:color="auto"/>
            </w:tcBorders>
          </w:tcPr>
          <w:p w14:paraId="5E48989D" w14:textId="77777777" w:rsidR="009F4766" w:rsidRPr="00DE12A3" w:rsidRDefault="009F4766" w:rsidP="00C917D6">
            <w:pPr>
              <w:pStyle w:val="NormalLeft"/>
            </w:pPr>
            <w:r w:rsidRPr="00DE12A3">
              <w:t>13</w:t>
            </w:r>
          </w:p>
        </w:tc>
      </w:tr>
      <w:tr w:rsidR="00DE12A3" w:rsidRPr="00DE12A3" w14:paraId="3E36C529" w14:textId="77777777" w:rsidTr="009F4766">
        <w:tc>
          <w:tcPr>
            <w:tcW w:w="1182" w:type="dxa"/>
            <w:tcBorders>
              <w:top w:val="single" w:sz="2" w:space="0" w:color="auto"/>
              <w:left w:val="single" w:sz="2" w:space="0" w:color="auto"/>
              <w:bottom w:val="single" w:sz="2" w:space="0" w:color="auto"/>
              <w:right w:val="single" w:sz="2" w:space="0" w:color="auto"/>
            </w:tcBorders>
          </w:tcPr>
          <w:p w14:paraId="6923C9C6" w14:textId="77777777" w:rsidR="009F4766" w:rsidRPr="00DE12A3" w:rsidRDefault="009F4766" w:rsidP="00C917D6">
            <w:pPr>
              <w:pStyle w:val="NormalLeft"/>
            </w:pPr>
            <w:r w:rsidRPr="00DE12A3">
              <w:t>1082</w:t>
            </w:r>
          </w:p>
        </w:tc>
        <w:tc>
          <w:tcPr>
            <w:tcW w:w="2489" w:type="dxa"/>
            <w:tcBorders>
              <w:top w:val="single" w:sz="2" w:space="0" w:color="auto"/>
              <w:left w:val="single" w:sz="2" w:space="0" w:color="auto"/>
              <w:bottom w:val="single" w:sz="2" w:space="0" w:color="auto"/>
              <w:right w:val="single" w:sz="2" w:space="0" w:color="auto"/>
            </w:tcBorders>
          </w:tcPr>
          <w:p w14:paraId="1D008D18" w14:textId="77777777" w:rsidR="009F4766" w:rsidRPr="00DE12A3" w:rsidRDefault="009F4766" w:rsidP="00C917D6">
            <w:pPr>
              <w:pStyle w:val="NormalLeft"/>
            </w:pPr>
            <w:r w:rsidRPr="00DE12A3">
              <w:t>101</w:t>
            </w:r>
          </w:p>
        </w:tc>
        <w:tc>
          <w:tcPr>
            <w:tcW w:w="2551" w:type="dxa"/>
            <w:tcBorders>
              <w:top w:val="single" w:sz="2" w:space="0" w:color="auto"/>
              <w:left w:val="single" w:sz="2" w:space="0" w:color="auto"/>
              <w:bottom w:val="single" w:sz="2" w:space="0" w:color="auto"/>
              <w:right w:val="single" w:sz="2" w:space="0" w:color="auto"/>
            </w:tcBorders>
          </w:tcPr>
          <w:p w14:paraId="3931953B" w14:textId="77777777" w:rsidR="009F4766" w:rsidRPr="00DE12A3" w:rsidRDefault="009F4766" w:rsidP="00C917D6">
            <w:pPr>
              <w:pStyle w:val="NormalLeft"/>
            </w:pPr>
            <w:r w:rsidRPr="00DE12A3">
              <w:t>29</w:t>
            </w:r>
          </w:p>
        </w:tc>
      </w:tr>
      <w:tr w:rsidR="00DE12A3" w:rsidRPr="00DE12A3" w14:paraId="6D7CEA45" w14:textId="77777777" w:rsidTr="009F4766">
        <w:tc>
          <w:tcPr>
            <w:tcW w:w="1182" w:type="dxa"/>
            <w:tcBorders>
              <w:top w:val="single" w:sz="2" w:space="0" w:color="auto"/>
              <w:left w:val="single" w:sz="2" w:space="0" w:color="auto"/>
              <w:bottom w:val="single" w:sz="2" w:space="0" w:color="auto"/>
              <w:right w:val="single" w:sz="2" w:space="0" w:color="auto"/>
            </w:tcBorders>
          </w:tcPr>
          <w:p w14:paraId="56368FBC" w14:textId="77777777" w:rsidR="009F4766" w:rsidRPr="00DE12A3" w:rsidRDefault="009F4766" w:rsidP="00C917D6">
            <w:pPr>
              <w:pStyle w:val="NormalLeft"/>
            </w:pPr>
            <w:r w:rsidRPr="00DE12A3">
              <w:t>1083</w:t>
            </w:r>
          </w:p>
        </w:tc>
        <w:tc>
          <w:tcPr>
            <w:tcW w:w="2489" w:type="dxa"/>
            <w:tcBorders>
              <w:top w:val="single" w:sz="2" w:space="0" w:color="auto"/>
              <w:left w:val="single" w:sz="2" w:space="0" w:color="auto"/>
              <w:bottom w:val="single" w:sz="2" w:space="0" w:color="auto"/>
              <w:right w:val="single" w:sz="2" w:space="0" w:color="auto"/>
            </w:tcBorders>
          </w:tcPr>
          <w:p w14:paraId="0634F0F9" w14:textId="77777777" w:rsidR="009F4766" w:rsidRPr="00DE12A3" w:rsidRDefault="009F4766" w:rsidP="00C917D6">
            <w:pPr>
              <w:pStyle w:val="NormalLeft"/>
            </w:pPr>
            <w:r w:rsidRPr="00DE12A3">
              <w:t>102</w:t>
            </w:r>
          </w:p>
        </w:tc>
        <w:tc>
          <w:tcPr>
            <w:tcW w:w="2551" w:type="dxa"/>
            <w:tcBorders>
              <w:top w:val="single" w:sz="2" w:space="0" w:color="auto"/>
              <w:left w:val="single" w:sz="2" w:space="0" w:color="auto"/>
              <w:bottom w:val="single" w:sz="2" w:space="0" w:color="auto"/>
              <w:right w:val="single" w:sz="2" w:space="0" w:color="auto"/>
            </w:tcBorders>
          </w:tcPr>
          <w:p w14:paraId="380D337C" w14:textId="77777777" w:rsidR="009F4766" w:rsidRPr="00DE12A3" w:rsidRDefault="009F4766" w:rsidP="00C917D6">
            <w:pPr>
              <w:pStyle w:val="NormalLeft"/>
            </w:pPr>
            <w:r w:rsidRPr="00DE12A3">
              <w:t>25</w:t>
            </w:r>
          </w:p>
        </w:tc>
      </w:tr>
      <w:tr w:rsidR="00DE12A3" w:rsidRPr="00DE12A3" w14:paraId="2B0E4597" w14:textId="77777777" w:rsidTr="009F4766">
        <w:tc>
          <w:tcPr>
            <w:tcW w:w="1182" w:type="dxa"/>
            <w:tcBorders>
              <w:top w:val="single" w:sz="2" w:space="0" w:color="auto"/>
              <w:left w:val="single" w:sz="2" w:space="0" w:color="auto"/>
              <w:bottom w:val="single" w:sz="2" w:space="0" w:color="auto"/>
              <w:right w:val="single" w:sz="2" w:space="0" w:color="auto"/>
            </w:tcBorders>
          </w:tcPr>
          <w:p w14:paraId="6C344B2E" w14:textId="77777777" w:rsidR="009F4766" w:rsidRPr="00DE12A3" w:rsidRDefault="009F4766" w:rsidP="00C917D6">
            <w:pPr>
              <w:pStyle w:val="NormalLeft"/>
            </w:pPr>
            <w:r w:rsidRPr="00DE12A3">
              <w:t>1084</w:t>
            </w:r>
          </w:p>
        </w:tc>
        <w:tc>
          <w:tcPr>
            <w:tcW w:w="2489" w:type="dxa"/>
            <w:tcBorders>
              <w:top w:val="single" w:sz="2" w:space="0" w:color="auto"/>
              <w:left w:val="single" w:sz="2" w:space="0" w:color="auto"/>
              <w:bottom w:val="single" w:sz="2" w:space="0" w:color="auto"/>
              <w:right w:val="single" w:sz="2" w:space="0" w:color="auto"/>
            </w:tcBorders>
          </w:tcPr>
          <w:p w14:paraId="2D351621" w14:textId="77777777" w:rsidR="009F4766" w:rsidRPr="00DE12A3" w:rsidRDefault="009F4766" w:rsidP="00C917D6">
            <w:pPr>
              <w:pStyle w:val="NormalLeft"/>
            </w:pPr>
            <w:r w:rsidRPr="00DE12A3">
              <w:t>102</w:t>
            </w:r>
          </w:p>
        </w:tc>
        <w:tc>
          <w:tcPr>
            <w:tcW w:w="2551" w:type="dxa"/>
            <w:tcBorders>
              <w:top w:val="single" w:sz="2" w:space="0" w:color="auto"/>
              <w:left w:val="single" w:sz="2" w:space="0" w:color="auto"/>
              <w:bottom w:val="single" w:sz="2" w:space="0" w:color="auto"/>
              <w:right w:val="single" w:sz="2" w:space="0" w:color="auto"/>
            </w:tcBorders>
          </w:tcPr>
          <w:p w14:paraId="689EB18C" w14:textId="77777777" w:rsidR="009F4766" w:rsidRPr="00DE12A3" w:rsidRDefault="009F4766" w:rsidP="00C917D6">
            <w:pPr>
              <w:pStyle w:val="NormalLeft"/>
            </w:pPr>
            <w:r w:rsidRPr="00DE12A3">
              <w:t>20</w:t>
            </w:r>
          </w:p>
        </w:tc>
      </w:tr>
      <w:tr w:rsidR="00DE12A3" w:rsidRPr="00DE12A3" w14:paraId="353FD096" w14:textId="77777777" w:rsidTr="009F4766">
        <w:tc>
          <w:tcPr>
            <w:tcW w:w="1182" w:type="dxa"/>
            <w:tcBorders>
              <w:top w:val="single" w:sz="2" w:space="0" w:color="auto"/>
              <w:left w:val="single" w:sz="2" w:space="0" w:color="auto"/>
              <w:bottom w:val="single" w:sz="2" w:space="0" w:color="auto"/>
              <w:right w:val="single" w:sz="2" w:space="0" w:color="auto"/>
            </w:tcBorders>
          </w:tcPr>
          <w:p w14:paraId="5D9083C0" w14:textId="77777777" w:rsidR="009F4766" w:rsidRPr="00DE12A3" w:rsidRDefault="009F4766" w:rsidP="00C917D6">
            <w:pPr>
              <w:pStyle w:val="NormalLeft"/>
            </w:pPr>
            <w:r w:rsidRPr="00DE12A3">
              <w:t>1085</w:t>
            </w:r>
          </w:p>
        </w:tc>
        <w:tc>
          <w:tcPr>
            <w:tcW w:w="2489" w:type="dxa"/>
            <w:tcBorders>
              <w:top w:val="single" w:sz="2" w:space="0" w:color="auto"/>
              <w:left w:val="single" w:sz="2" w:space="0" w:color="auto"/>
              <w:bottom w:val="single" w:sz="2" w:space="0" w:color="auto"/>
              <w:right w:val="single" w:sz="2" w:space="0" w:color="auto"/>
            </w:tcBorders>
          </w:tcPr>
          <w:p w14:paraId="0C1B4B0C" w14:textId="77777777" w:rsidR="009F4766" w:rsidRPr="00DE12A3" w:rsidRDefault="009F4766" w:rsidP="00C917D6">
            <w:pPr>
              <w:pStyle w:val="NormalLeft"/>
            </w:pPr>
            <w:r w:rsidRPr="00DE12A3">
              <w:t>96</w:t>
            </w:r>
          </w:p>
        </w:tc>
        <w:tc>
          <w:tcPr>
            <w:tcW w:w="2551" w:type="dxa"/>
            <w:tcBorders>
              <w:top w:val="single" w:sz="2" w:space="0" w:color="auto"/>
              <w:left w:val="single" w:sz="2" w:space="0" w:color="auto"/>
              <w:bottom w:val="single" w:sz="2" w:space="0" w:color="auto"/>
              <w:right w:val="single" w:sz="2" w:space="0" w:color="auto"/>
            </w:tcBorders>
          </w:tcPr>
          <w:p w14:paraId="0E1ACD3A" w14:textId="77777777" w:rsidR="009F4766" w:rsidRPr="00DE12A3" w:rsidRDefault="009F4766" w:rsidP="00C917D6">
            <w:pPr>
              <w:pStyle w:val="NormalLeft"/>
            </w:pPr>
            <w:r w:rsidRPr="00DE12A3">
              <w:t>60</w:t>
            </w:r>
          </w:p>
        </w:tc>
      </w:tr>
      <w:tr w:rsidR="00DE12A3" w:rsidRPr="00DE12A3" w14:paraId="6869F728" w14:textId="77777777" w:rsidTr="009F4766">
        <w:tc>
          <w:tcPr>
            <w:tcW w:w="1182" w:type="dxa"/>
            <w:tcBorders>
              <w:top w:val="single" w:sz="2" w:space="0" w:color="auto"/>
              <w:left w:val="single" w:sz="2" w:space="0" w:color="auto"/>
              <w:bottom w:val="single" w:sz="2" w:space="0" w:color="auto"/>
              <w:right w:val="single" w:sz="2" w:space="0" w:color="auto"/>
            </w:tcBorders>
          </w:tcPr>
          <w:p w14:paraId="6C31CBE7" w14:textId="77777777" w:rsidR="009F4766" w:rsidRPr="00DE12A3" w:rsidRDefault="009F4766" w:rsidP="00C917D6">
            <w:pPr>
              <w:pStyle w:val="NormalLeft"/>
            </w:pPr>
            <w:r w:rsidRPr="00DE12A3">
              <w:t>1086</w:t>
            </w:r>
          </w:p>
        </w:tc>
        <w:tc>
          <w:tcPr>
            <w:tcW w:w="2489" w:type="dxa"/>
            <w:tcBorders>
              <w:top w:val="single" w:sz="2" w:space="0" w:color="auto"/>
              <w:left w:val="single" w:sz="2" w:space="0" w:color="auto"/>
              <w:bottom w:val="single" w:sz="2" w:space="0" w:color="auto"/>
              <w:right w:val="single" w:sz="2" w:space="0" w:color="auto"/>
            </w:tcBorders>
          </w:tcPr>
          <w:p w14:paraId="4D684CB6" w14:textId="77777777" w:rsidR="009F4766" w:rsidRPr="00DE12A3" w:rsidRDefault="009F4766" w:rsidP="00C917D6">
            <w:pPr>
              <w:pStyle w:val="NormalLeft"/>
            </w:pPr>
            <w:r w:rsidRPr="00DE12A3">
              <w:t>99</w:t>
            </w:r>
          </w:p>
        </w:tc>
        <w:tc>
          <w:tcPr>
            <w:tcW w:w="2551" w:type="dxa"/>
            <w:tcBorders>
              <w:top w:val="single" w:sz="2" w:space="0" w:color="auto"/>
              <w:left w:val="single" w:sz="2" w:space="0" w:color="auto"/>
              <w:bottom w:val="single" w:sz="2" w:space="0" w:color="auto"/>
              <w:right w:val="single" w:sz="2" w:space="0" w:color="auto"/>
            </w:tcBorders>
          </w:tcPr>
          <w:p w14:paraId="3553BC42" w14:textId="77777777" w:rsidR="009F4766" w:rsidRPr="00DE12A3" w:rsidRDefault="009F4766" w:rsidP="00C917D6">
            <w:pPr>
              <w:pStyle w:val="NormalLeft"/>
            </w:pPr>
            <w:r w:rsidRPr="00DE12A3">
              <w:t>38</w:t>
            </w:r>
          </w:p>
        </w:tc>
      </w:tr>
      <w:tr w:rsidR="00DE12A3" w:rsidRPr="00DE12A3" w14:paraId="5107EE72" w14:textId="77777777" w:rsidTr="009F4766">
        <w:tc>
          <w:tcPr>
            <w:tcW w:w="1182" w:type="dxa"/>
            <w:tcBorders>
              <w:top w:val="single" w:sz="2" w:space="0" w:color="auto"/>
              <w:left w:val="single" w:sz="2" w:space="0" w:color="auto"/>
              <w:bottom w:val="single" w:sz="2" w:space="0" w:color="auto"/>
              <w:right w:val="single" w:sz="2" w:space="0" w:color="auto"/>
            </w:tcBorders>
          </w:tcPr>
          <w:p w14:paraId="443BA8CD" w14:textId="77777777" w:rsidR="009F4766" w:rsidRPr="00DE12A3" w:rsidRDefault="009F4766" w:rsidP="00C917D6">
            <w:pPr>
              <w:pStyle w:val="NormalLeft"/>
            </w:pPr>
            <w:r w:rsidRPr="00DE12A3">
              <w:t>1087</w:t>
            </w:r>
          </w:p>
        </w:tc>
        <w:tc>
          <w:tcPr>
            <w:tcW w:w="2489" w:type="dxa"/>
            <w:tcBorders>
              <w:top w:val="single" w:sz="2" w:space="0" w:color="auto"/>
              <w:left w:val="single" w:sz="2" w:space="0" w:color="auto"/>
              <w:bottom w:val="single" w:sz="2" w:space="0" w:color="auto"/>
              <w:right w:val="single" w:sz="2" w:space="0" w:color="auto"/>
            </w:tcBorders>
          </w:tcPr>
          <w:p w14:paraId="3FC79032" w14:textId="77777777" w:rsidR="009F4766" w:rsidRPr="00DE12A3" w:rsidRDefault="009F4766" w:rsidP="00C917D6">
            <w:pPr>
              <w:pStyle w:val="NormalLeft"/>
            </w:pPr>
            <w:r w:rsidRPr="00DE12A3">
              <w:t>102</w:t>
            </w:r>
          </w:p>
        </w:tc>
        <w:tc>
          <w:tcPr>
            <w:tcW w:w="2551" w:type="dxa"/>
            <w:tcBorders>
              <w:top w:val="single" w:sz="2" w:space="0" w:color="auto"/>
              <w:left w:val="single" w:sz="2" w:space="0" w:color="auto"/>
              <w:bottom w:val="single" w:sz="2" w:space="0" w:color="auto"/>
              <w:right w:val="single" w:sz="2" w:space="0" w:color="auto"/>
            </w:tcBorders>
          </w:tcPr>
          <w:p w14:paraId="65F3B231" w14:textId="77777777" w:rsidR="009F4766" w:rsidRPr="00DE12A3" w:rsidRDefault="009F4766" w:rsidP="00C917D6">
            <w:pPr>
              <w:pStyle w:val="NormalLeft"/>
            </w:pPr>
            <w:r w:rsidRPr="00DE12A3">
              <w:t>24</w:t>
            </w:r>
          </w:p>
        </w:tc>
      </w:tr>
      <w:tr w:rsidR="00DE12A3" w:rsidRPr="00DE12A3" w14:paraId="1750C549" w14:textId="77777777" w:rsidTr="009F4766">
        <w:tc>
          <w:tcPr>
            <w:tcW w:w="1182" w:type="dxa"/>
            <w:tcBorders>
              <w:top w:val="single" w:sz="2" w:space="0" w:color="auto"/>
              <w:left w:val="single" w:sz="2" w:space="0" w:color="auto"/>
              <w:bottom w:val="single" w:sz="2" w:space="0" w:color="auto"/>
              <w:right w:val="single" w:sz="2" w:space="0" w:color="auto"/>
            </w:tcBorders>
          </w:tcPr>
          <w:p w14:paraId="385373CA" w14:textId="77777777" w:rsidR="009F4766" w:rsidRPr="00DE12A3" w:rsidRDefault="009F4766" w:rsidP="00C917D6">
            <w:pPr>
              <w:pStyle w:val="NormalLeft"/>
            </w:pPr>
            <w:r w:rsidRPr="00DE12A3">
              <w:t>1088</w:t>
            </w:r>
          </w:p>
        </w:tc>
        <w:tc>
          <w:tcPr>
            <w:tcW w:w="2489" w:type="dxa"/>
            <w:tcBorders>
              <w:top w:val="single" w:sz="2" w:space="0" w:color="auto"/>
              <w:left w:val="single" w:sz="2" w:space="0" w:color="auto"/>
              <w:bottom w:val="single" w:sz="2" w:space="0" w:color="auto"/>
              <w:right w:val="single" w:sz="2" w:space="0" w:color="auto"/>
            </w:tcBorders>
          </w:tcPr>
          <w:p w14:paraId="748DE731" w14:textId="77777777" w:rsidR="009F4766" w:rsidRPr="00DE12A3" w:rsidRDefault="009F4766" w:rsidP="00C917D6">
            <w:pPr>
              <w:pStyle w:val="NormalLeft"/>
            </w:pPr>
            <w:r w:rsidRPr="00DE12A3">
              <w:t>100</w:t>
            </w:r>
          </w:p>
        </w:tc>
        <w:tc>
          <w:tcPr>
            <w:tcW w:w="2551" w:type="dxa"/>
            <w:tcBorders>
              <w:top w:val="single" w:sz="2" w:space="0" w:color="auto"/>
              <w:left w:val="single" w:sz="2" w:space="0" w:color="auto"/>
              <w:bottom w:val="single" w:sz="2" w:space="0" w:color="auto"/>
              <w:right w:val="single" w:sz="2" w:space="0" w:color="auto"/>
            </w:tcBorders>
          </w:tcPr>
          <w:p w14:paraId="02EB48B4" w14:textId="77777777" w:rsidR="009F4766" w:rsidRPr="00DE12A3" w:rsidRDefault="009F4766" w:rsidP="00C917D6">
            <w:pPr>
              <w:pStyle w:val="NormalLeft"/>
            </w:pPr>
            <w:r w:rsidRPr="00DE12A3">
              <w:t>31</w:t>
            </w:r>
          </w:p>
        </w:tc>
      </w:tr>
      <w:tr w:rsidR="00DE12A3" w:rsidRPr="00DE12A3" w14:paraId="6579699F" w14:textId="77777777" w:rsidTr="009F4766">
        <w:tc>
          <w:tcPr>
            <w:tcW w:w="1182" w:type="dxa"/>
            <w:tcBorders>
              <w:top w:val="single" w:sz="2" w:space="0" w:color="auto"/>
              <w:left w:val="single" w:sz="2" w:space="0" w:color="auto"/>
              <w:bottom w:val="single" w:sz="2" w:space="0" w:color="auto"/>
              <w:right w:val="single" w:sz="2" w:space="0" w:color="auto"/>
            </w:tcBorders>
          </w:tcPr>
          <w:p w14:paraId="10AD353A" w14:textId="77777777" w:rsidR="009F4766" w:rsidRPr="00DE12A3" w:rsidRDefault="009F4766" w:rsidP="00C917D6">
            <w:pPr>
              <w:pStyle w:val="NormalLeft"/>
            </w:pPr>
            <w:r w:rsidRPr="00DE12A3">
              <w:t>1089</w:t>
            </w:r>
          </w:p>
        </w:tc>
        <w:tc>
          <w:tcPr>
            <w:tcW w:w="2489" w:type="dxa"/>
            <w:tcBorders>
              <w:top w:val="single" w:sz="2" w:space="0" w:color="auto"/>
              <w:left w:val="single" w:sz="2" w:space="0" w:color="auto"/>
              <w:bottom w:val="single" w:sz="2" w:space="0" w:color="auto"/>
              <w:right w:val="single" w:sz="2" w:space="0" w:color="auto"/>
            </w:tcBorders>
          </w:tcPr>
          <w:p w14:paraId="5FDFA2EC" w14:textId="77777777" w:rsidR="009F4766" w:rsidRPr="00DE12A3" w:rsidRDefault="009F4766" w:rsidP="00C917D6">
            <w:pPr>
              <w:pStyle w:val="NormalLeft"/>
            </w:pPr>
            <w:r w:rsidRPr="00DE12A3">
              <w:t>100</w:t>
            </w:r>
          </w:p>
        </w:tc>
        <w:tc>
          <w:tcPr>
            <w:tcW w:w="2551" w:type="dxa"/>
            <w:tcBorders>
              <w:top w:val="single" w:sz="2" w:space="0" w:color="auto"/>
              <w:left w:val="single" w:sz="2" w:space="0" w:color="auto"/>
              <w:bottom w:val="single" w:sz="2" w:space="0" w:color="auto"/>
              <w:right w:val="single" w:sz="2" w:space="0" w:color="auto"/>
            </w:tcBorders>
          </w:tcPr>
          <w:p w14:paraId="217A220F" w14:textId="77777777" w:rsidR="009F4766" w:rsidRPr="00DE12A3" w:rsidRDefault="009F4766" w:rsidP="00C917D6">
            <w:pPr>
              <w:pStyle w:val="NormalLeft"/>
            </w:pPr>
            <w:r w:rsidRPr="00DE12A3">
              <w:t>28</w:t>
            </w:r>
          </w:p>
        </w:tc>
      </w:tr>
      <w:tr w:rsidR="00DE12A3" w:rsidRPr="00DE12A3" w14:paraId="7D11AD82" w14:textId="77777777" w:rsidTr="009F4766">
        <w:tc>
          <w:tcPr>
            <w:tcW w:w="1182" w:type="dxa"/>
            <w:tcBorders>
              <w:top w:val="single" w:sz="2" w:space="0" w:color="auto"/>
              <w:left w:val="single" w:sz="2" w:space="0" w:color="auto"/>
              <w:bottom w:val="single" w:sz="2" w:space="0" w:color="auto"/>
              <w:right w:val="single" w:sz="2" w:space="0" w:color="auto"/>
            </w:tcBorders>
          </w:tcPr>
          <w:p w14:paraId="7DD5E03C" w14:textId="77777777" w:rsidR="009F4766" w:rsidRPr="00DE12A3" w:rsidRDefault="009F4766" w:rsidP="00C917D6">
            <w:pPr>
              <w:pStyle w:val="NormalLeft"/>
            </w:pPr>
            <w:r w:rsidRPr="00DE12A3">
              <w:t>1090</w:t>
            </w:r>
          </w:p>
        </w:tc>
        <w:tc>
          <w:tcPr>
            <w:tcW w:w="2489" w:type="dxa"/>
            <w:tcBorders>
              <w:top w:val="single" w:sz="2" w:space="0" w:color="auto"/>
              <w:left w:val="single" w:sz="2" w:space="0" w:color="auto"/>
              <w:bottom w:val="single" w:sz="2" w:space="0" w:color="auto"/>
              <w:right w:val="single" w:sz="2" w:space="0" w:color="auto"/>
            </w:tcBorders>
          </w:tcPr>
          <w:p w14:paraId="11085815" w14:textId="77777777" w:rsidR="009F4766" w:rsidRPr="00DE12A3" w:rsidRDefault="009F4766" w:rsidP="00C917D6">
            <w:pPr>
              <w:pStyle w:val="NormalLeft"/>
            </w:pPr>
            <w:r w:rsidRPr="00DE12A3">
              <w:t>98</w:t>
            </w:r>
          </w:p>
        </w:tc>
        <w:tc>
          <w:tcPr>
            <w:tcW w:w="2551" w:type="dxa"/>
            <w:tcBorders>
              <w:top w:val="single" w:sz="2" w:space="0" w:color="auto"/>
              <w:left w:val="single" w:sz="2" w:space="0" w:color="auto"/>
              <w:bottom w:val="single" w:sz="2" w:space="0" w:color="auto"/>
              <w:right w:val="single" w:sz="2" w:space="0" w:color="auto"/>
            </w:tcBorders>
          </w:tcPr>
          <w:p w14:paraId="0827E1E4" w14:textId="77777777" w:rsidR="009F4766" w:rsidRPr="00DE12A3" w:rsidRDefault="009F4766" w:rsidP="00C917D6">
            <w:pPr>
              <w:pStyle w:val="NormalLeft"/>
            </w:pPr>
            <w:r w:rsidRPr="00DE12A3">
              <w:t>3</w:t>
            </w:r>
          </w:p>
        </w:tc>
      </w:tr>
      <w:tr w:rsidR="00DE12A3" w:rsidRPr="00DE12A3" w14:paraId="6AE353EF" w14:textId="77777777" w:rsidTr="009F4766">
        <w:tc>
          <w:tcPr>
            <w:tcW w:w="1182" w:type="dxa"/>
            <w:tcBorders>
              <w:top w:val="single" w:sz="2" w:space="0" w:color="auto"/>
              <w:left w:val="single" w:sz="2" w:space="0" w:color="auto"/>
              <w:bottom w:val="single" w:sz="2" w:space="0" w:color="auto"/>
              <w:right w:val="single" w:sz="2" w:space="0" w:color="auto"/>
            </w:tcBorders>
          </w:tcPr>
          <w:p w14:paraId="2A3A5195" w14:textId="77777777" w:rsidR="009F4766" w:rsidRPr="00DE12A3" w:rsidRDefault="009F4766" w:rsidP="00C917D6">
            <w:pPr>
              <w:pStyle w:val="NormalLeft"/>
            </w:pPr>
            <w:r w:rsidRPr="00DE12A3">
              <w:t>1091</w:t>
            </w:r>
          </w:p>
        </w:tc>
        <w:tc>
          <w:tcPr>
            <w:tcW w:w="2489" w:type="dxa"/>
            <w:tcBorders>
              <w:top w:val="single" w:sz="2" w:space="0" w:color="auto"/>
              <w:left w:val="single" w:sz="2" w:space="0" w:color="auto"/>
              <w:bottom w:val="single" w:sz="2" w:space="0" w:color="auto"/>
              <w:right w:val="single" w:sz="2" w:space="0" w:color="auto"/>
            </w:tcBorders>
          </w:tcPr>
          <w:p w14:paraId="1A5896A0" w14:textId="77777777" w:rsidR="009F4766" w:rsidRPr="00DE12A3" w:rsidRDefault="009F4766" w:rsidP="00C917D6">
            <w:pPr>
              <w:pStyle w:val="NormalLeft"/>
            </w:pPr>
            <w:r w:rsidRPr="00DE12A3">
              <w:t>102</w:t>
            </w:r>
          </w:p>
        </w:tc>
        <w:tc>
          <w:tcPr>
            <w:tcW w:w="2551" w:type="dxa"/>
            <w:tcBorders>
              <w:top w:val="single" w:sz="2" w:space="0" w:color="auto"/>
              <w:left w:val="single" w:sz="2" w:space="0" w:color="auto"/>
              <w:bottom w:val="single" w:sz="2" w:space="0" w:color="auto"/>
              <w:right w:val="single" w:sz="2" w:space="0" w:color="auto"/>
            </w:tcBorders>
          </w:tcPr>
          <w:p w14:paraId="53973544" w14:textId="77777777" w:rsidR="009F4766" w:rsidRPr="00DE12A3" w:rsidRDefault="009F4766" w:rsidP="00C917D6">
            <w:pPr>
              <w:pStyle w:val="NormalLeft"/>
            </w:pPr>
            <w:r w:rsidRPr="00DE12A3">
              <w:t>26</w:t>
            </w:r>
          </w:p>
        </w:tc>
      </w:tr>
      <w:tr w:rsidR="00DE12A3" w:rsidRPr="00DE12A3" w14:paraId="5914F549" w14:textId="77777777" w:rsidTr="009F4766">
        <w:tc>
          <w:tcPr>
            <w:tcW w:w="1182" w:type="dxa"/>
            <w:tcBorders>
              <w:top w:val="single" w:sz="2" w:space="0" w:color="auto"/>
              <w:left w:val="single" w:sz="2" w:space="0" w:color="auto"/>
              <w:bottom w:val="single" w:sz="2" w:space="0" w:color="auto"/>
              <w:right w:val="single" w:sz="2" w:space="0" w:color="auto"/>
            </w:tcBorders>
          </w:tcPr>
          <w:p w14:paraId="2E17D6AF" w14:textId="77777777" w:rsidR="009F4766" w:rsidRPr="00DE12A3" w:rsidRDefault="009F4766" w:rsidP="00C917D6">
            <w:pPr>
              <w:pStyle w:val="NormalLeft"/>
            </w:pPr>
            <w:r w:rsidRPr="00DE12A3">
              <w:t>1092</w:t>
            </w:r>
          </w:p>
        </w:tc>
        <w:tc>
          <w:tcPr>
            <w:tcW w:w="2489" w:type="dxa"/>
            <w:tcBorders>
              <w:top w:val="single" w:sz="2" w:space="0" w:color="auto"/>
              <w:left w:val="single" w:sz="2" w:space="0" w:color="auto"/>
              <w:bottom w:val="single" w:sz="2" w:space="0" w:color="auto"/>
              <w:right w:val="single" w:sz="2" w:space="0" w:color="auto"/>
            </w:tcBorders>
          </w:tcPr>
          <w:p w14:paraId="6393CFEA" w14:textId="77777777" w:rsidR="009F4766" w:rsidRPr="00DE12A3" w:rsidRDefault="009F4766" w:rsidP="00C917D6">
            <w:pPr>
              <w:pStyle w:val="NormalLeft"/>
            </w:pPr>
            <w:r w:rsidRPr="00DE12A3">
              <w:t>95</w:t>
            </w:r>
          </w:p>
        </w:tc>
        <w:tc>
          <w:tcPr>
            <w:tcW w:w="2551" w:type="dxa"/>
            <w:tcBorders>
              <w:top w:val="single" w:sz="2" w:space="0" w:color="auto"/>
              <w:left w:val="single" w:sz="2" w:space="0" w:color="auto"/>
              <w:bottom w:val="single" w:sz="2" w:space="0" w:color="auto"/>
              <w:right w:val="single" w:sz="2" w:space="0" w:color="auto"/>
            </w:tcBorders>
          </w:tcPr>
          <w:p w14:paraId="389C23C4" w14:textId="77777777" w:rsidR="009F4766" w:rsidRPr="00DE12A3" w:rsidRDefault="009F4766" w:rsidP="00C917D6">
            <w:pPr>
              <w:pStyle w:val="NormalLeft"/>
            </w:pPr>
            <w:r w:rsidRPr="00DE12A3">
              <w:t>64</w:t>
            </w:r>
          </w:p>
        </w:tc>
      </w:tr>
      <w:tr w:rsidR="00DE12A3" w:rsidRPr="00DE12A3" w14:paraId="25DB9883" w14:textId="77777777" w:rsidTr="009F4766">
        <w:tc>
          <w:tcPr>
            <w:tcW w:w="1182" w:type="dxa"/>
            <w:tcBorders>
              <w:top w:val="single" w:sz="2" w:space="0" w:color="auto"/>
              <w:left w:val="single" w:sz="2" w:space="0" w:color="auto"/>
              <w:bottom w:val="single" w:sz="2" w:space="0" w:color="auto"/>
              <w:right w:val="single" w:sz="2" w:space="0" w:color="auto"/>
            </w:tcBorders>
          </w:tcPr>
          <w:p w14:paraId="1412DE9E" w14:textId="77777777" w:rsidR="009F4766" w:rsidRPr="00DE12A3" w:rsidRDefault="009F4766" w:rsidP="00C917D6">
            <w:pPr>
              <w:pStyle w:val="NormalLeft"/>
            </w:pPr>
            <w:r w:rsidRPr="00DE12A3">
              <w:t>1093</w:t>
            </w:r>
          </w:p>
        </w:tc>
        <w:tc>
          <w:tcPr>
            <w:tcW w:w="2489" w:type="dxa"/>
            <w:tcBorders>
              <w:top w:val="single" w:sz="2" w:space="0" w:color="auto"/>
              <w:left w:val="single" w:sz="2" w:space="0" w:color="auto"/>
              <w:bottom w:val="single" w:sz="2" w:space="0" w:color="auto"/>
              <w:right w:val="single" w:sz="2" w:space="0" w:color="auto"/>
            </w:tcBorders>
          </w:tcPr>
          <w:p w14:paraId="32F318DC" w14:textId="77777777" w:rsidR="009F4766" w:rsidRPr="00DE12A3" w:rsidRDefault="009F4766" w:rsidP="00C917D6">
            <w:pPr>
              <w:pStyle w:val="NormalLeft"/>
            </w:pPr>
            <w:r w:rsidRPr="00DE12A3">
              <w:t>102</w:t>
            </w:r>
          </w:p>
        </w:tc>
        <w:tc>
          <w:tcPr>
            <w:tcW w:w="2551" w:type="dxa"/>
            <w:tcBorders>
              <w:top w:val="single" w:sz="2" w:space="0" w:color="auto"/>
              <w:left w:val="single" w:sz="2" w:space="0" w:color="auto"/>
              <w:bottom w:val="single" w:sz="2" w:space="0" w:color="auto"/>
              <w:right w:val="single" w:sz="2" w:space="0" w:color="auto"/>
            </w:tcBorders>
          </w:tcPr>
          <w:p w14:paraId="330D7202" w14:textId="77777777" w:rsidR="009F4766" w:rsidRPr="00DE12A3" w:rsidRDefault="009F4766" w:rsidP="00C917D6">
            <w:pPr>
              <w:pStyle w:val="NormalLeft"/>
            </w:pPr>
            <w:r w:rsidRPr="00DE12A3">
              <w:t>23</w:t>
            </w:r>
          </w:p>
        </w:tc>
      </w:tr>
      <w:tr w:rsidR="00DE12A3" w:rsidRPr="00DE12A3" w14:paraId="10FBB911" w14:textId="77777777" w:rsidTr="009F4766">
        <w:tc>
          <w:tcPr>
            <w:tcW w:w="1182" w:type="dxa"/>
            <w:tcBorders>
              <w:top w:val="single" w:sz="2" w:space="0" w:color="auto"/>
              <w:left w:val="single" w:sz="2" w:space="0" w:color="auto"/>
              <w:bottom w:val="single" w:sz="2" w:space="0" w:color="auto"/>
              <w:right w:val="single" w:sz="2" w:space="0" w:color="auto"/>
            </w:tcBorders>
          </w:tcPr>
          <w:p w14:paraId="74768EA3" w14:textId="77777777" w:rsidR="009F4766" w:rsidRPr="00DE12A3" w:rsidRDefault="009F4766" w:rsidP="00C917D6">
            <w:pPr>
              <w:pStyle w:val="NormalLeft"/>
            </w:pPr>
            <w:r w:rsidRPr="00DE12A3">
              <w:t>1094</w:t>
            </w:r>
          </w:p>
        </w:tc>
        <w:tc>
          <w:tcPr>
            <w:tcW w:w="2489" w:type="dxa"/>
            <w:tcBorders>
              <w:top w:val="single" w:sz="2" w:space="0" w:color="auto"/>
              <w:left w:val="single" w:sz="2" w:space="0" w:color="auto"/>
              <w:bottom w:val="single" w:sz="2" w:space="0" w:color="auto"/>
              <w:right w:val="single" w:sz="2" w:space="0" w:color="auto"/>
            </w:tcBorders>
          </w:tcPr>
          <w:p w14:paraId="034AF423" w14:textId="77777777" w:rsidR="009F4766" w:rsidRPr="00DE12A3" w:rsidRDefault="009F4766" w:rsidP="00C917D6">
            <w:pPr>
              <w:pStyle w:val="NormalLeft"/>
            </w:pPr>
            <w:r w:rsidRPr="00DE12A3">
              <w:t>102</w:t>
            </w:r>
          </w:p>
        </w:tc>
        <w:tc>
          <w:tcPr>
            <w:tcW w:w="2551" w:type="dxa"/>
            <w:tcBorders>
              <w:top w:val="single" w:sz="2" w:space="0" w:color="auto"/>
              <w:left w:val="single" w:sz="2" w:space="0" w:color="auto"/>
              <w:bottom w:val="single" w:sz="2" w:space="0" w:color="auto"/>
              <w:right w:val="single" w:sz="2" w:space="0" w:color="auto"/>
            </w:tcBorders>
          </w:tcPr>
          <w:p w14:paraId="6D848BFF" w14:textId="77777777" w:rsidR="009F4766" w:rsidRPr="00DE12A3" w:rsidRDefault="009F4766" w:rsidP="00C917D6">
            <w:pPr>
              <w:pStyle w:val="NormalLeft"/>
            </w:pPr>
            <w:r w:rsidRPr="00DE12A3">
              <w:t>25</w:t>
            </w:r>
          </w:p>
        </w:tc>
      </w:tr>
      <w:tr w:rsidR="00DE12A3" w:rsidRPr="00DE12A3" w14:paraId="2731EF8C" w14:textId="77777777" w:rsidTr="009F4766">
        <w:tc>
          <w:tcPr>
            <w:tcW w:w="1182" w:type="dxa"/>
            <w:tcBorders>
              <w:top w:val="single" w:sz="2" w:space="0" w:color="auto"/>
              <w:left w:val="single" w:sz="2" w:space="0" w:color="auto"/>
              <w:bottom w:val="single" w:sz="2" w:space="0" w:color="auto"/>
              <w:right w:val="single" w:sz="2" w:space="0" w:color="auto"/>
            </w:tcBorders>
          </w:tcPr>
          <w:p w14:paraId="23F77C4C" w14:textId="77777777" w:rsidR="009F4766" w:rsidRPr="00DE12A3" w:rsidRDefault="009F4766" w:rsidP="00C917D6">
            <w:pPr>
              <w:pStyle w:val="NormalLeft"/>
            </w:pPr>
            <w:r w:rsidRPr="00DE12A3">
              <w:t>1095</w:t>
            </w:r>
          </w:p>
        </w:tc>
        <w:tc>
          <w:tcPr>
            <w:tcW w:w="2489" w:type="dxa"/>
            <w:tcBorders>
              <w:top w:val="single" w:sz="2" w:space="0" w:color="auto"/>
              <w:left w:val="single" w:sz="2" w:space="0" w:color="auto"/>
              <w:bottom w:val="single" w:sz="2" w:space="0" w:color="auto"/>
              <w:right w:val="single" w:sz="2" w:space="0" w:color="auto"/>
            </w:tcBorders>
          </w:tcPr>
          <w:p w14:paraId="68682F25" w14:textId="77777777" w:rsidR="009F4766" w:rsidRPr="00DE12A3" w:rsidRDefault="009F4766" w:rsidP="00C917D6">
            <w:pPr>
              <w:pStyle w:val="NormalLeft"/>
            </w:pPr>
            <w:r w:rsidRPr="00DE12A3">
              <w:t>98</w:t>
            </w:r>
          </w:p>
        </w:tc>
        <w:tc>
          <w:tcPr>
            <w:tcW w:w="2551" w:type="dxa"/>
            <w:tcBorders>
              <w:top w:val="single" w:sz="2" w:space="0" w:color="auto"/>
              <w:left w:val="single" w:sz="2" w:space="0" w:color="auto"/>
              <w:bottom w:val="single" w:sz="2" w:space="0" w:color="auto"/>
              <w:right w:val="single" w:sz="2" w:space="0" w:color="auto"/>
            </w:tcBorders>
          </w:tcPr>
          <w:p w14:paraId="7FE59FD7" w14:textId="77777777" w:rsidR="009F4766" w:rsidRPr="00DE12A3" w:rsidRDefault="009F4766" w:rsidP="00C917D6">
            <w:pPr>
              <w:pStyle w:val="NormalLeft"/>
            </w:pPr>
            <w:r w:rsidRPr="00DE12A3">
              <w:t>42</w:t>
            </w:r>
          </w:p>
        </w:tc>
      </w:tr>
      <w:tr w:rsidR="00DE12A3" w:rsidRPr="00DE12A3" w14:paraId="2B93CEBE" w14:textId="77777777" w:rsidTr="009F4766">
        <w:tc>
          <w:tcPr>
            <w:tcW w:w="1182" w:type="dxa"/>
            <w:tcBorders>
              <w:top w:val="single" w:sz="2" w:space="0" w:color="auto"/>
              <w:left w:val="single" w:sz="2" w:space="0" w:color="auto"/>
              <w:bottom w:val="single" w:sz="2" w:space="0" w:color="auto"/>
              <w:right w:val="single" w:sz="2" w:space="0" w:color="auto"/>
            </w:tcBorders>
          </w:tcPr>
          <w:p w14:paraId="41BF8BD3" w14:textId="77777777" w:rsidR="009F4766" w:rsidRPr="00DE12A3" w:rsidRDefault="009F4766" w:rsidP="00C917D6">
            <w:pPr>
              <w:pStyle w:val="NormalLeft"/>
            </w:pPr>
            <w:r w:rsidRPr="00DE12A3">
              <w:t>1096</w:t>
            </w:r>
          </w:p>
        </w:tc>
        <w:tc>
          <w:tcPr>
            <w:tcW w:w="2489" w:type="dxa"/>
            <w:tcBorders>
              <w:top w:val="single" w:sz="2" w:space="0" w:color="auto"/>
              <w:left w:val="single" w:sz="2" w:space="0" w:color="auto"/>
              <w:bottom w:val="single" w:sz="2" w:space="0" w:color="auto"/>
              <w:right w:val="single" w:sz="2" w:space="0" w:color="auto"/>
            </w:tcBorders>
          </w:tcPr>
          <w:p w14:paraId="6C63FFCE" w14:textId="77777777" w:rsidR="009F4766" w:rsidRPr="00DE12A3" w:rsidRDefault="009F4766" w:rsidP="00C917D6">
            <w:pPr>
              <w:pStyle w:val="NormalLeft"/>
            </w:pPr>
            <w:r w:rsidRPr="00DE12A3">
              <w:t>93</w:t>
            </w:r>
          </w:p>
        </w:tc>
        <w:tc>
          <w:tcPr>
            <w:tcW w:w="2551" w:type="dxa"/>
            <w:tcBorders>
              <w:top w:val="single" w:sz="2" w:space="0" w:color="auto"/>
              <w:left w:val="single" w:sz="2" w:space="0" w:color="auto"/>
              <w:bottom w:val="single" w:sz="2" w:space="0" w:color="auto"/>
              <w:right w:val="single" w:sz="2" w:space="0" w:color="auto"/>
            </w:tcBorders>
          </w:tcPr>
          <w:p w14:paraId="53598017" w14:textId="77777777" w:rsidR="009F4766" w:rsidRPr="00DE12A3" w:rsidRDefault="009F4766" w:rsidP="00C917D6">
            <w:pPr>
              <w:pStyle w:val="NormalLeft"/>
            </w:pPr>
            <w:r w:rsidRPr="00DE12A3">
              <w:t>68</w:t>
            </w:r>
          </w:p>
        </w:tc>
      </w:tr>
      <w:tr w:rsidR="00DE12A3" w:rsidRPr="00DE12A3" w14:paraId="5BC2BC10" w14:textId="77777777" w:rsidTr="009F4766">
        <w:tc>
          <w:tcPr>
            <w:tcW w:w="1182" w:type="dxa"/>
            <w:tcBorders>
              <w:top w:val="single" w:sz="2" w:space="0" w:color="auto"/>
              <w:left w:val="single" w:sz="2" w:space="0" w:color="auto"/>
              <w:bottom w:val="single" w:sz="2" w:space="0" w:color="auto"/>
              <w:right w:val="single" w:sz="2" w:space="0" w:color="auto"/>
            </w:tcBorders>
          </w:tcPr>
          <w:p w14:paraId="606F2770" w14:textId="77777777" w:rsidR="009F4766" w:rsidRPr="00DE12A3" w:rsidRDefault="009F4766" w:rsidP="00C917D6">
            <w:pPr>
              <w:pStyle w:val="NormalLeft"/>
            </w:pPr>
            <w:r w:rsidRPr="00DE12A3">
              <w:t>1097</w:t>
            </w:r>
          </w:p>
        </w:tc>
        <w:tc>
          <w:tcPr>
            <w:tcW w:w="2489" w:type="dxa"/>
            <w:tcBorders>
              <w:top w:val="single" w:sz="2" w:space="0" w:color="auto"/>
              <w:left w:val="single" w:sz="2" w:space="0" w:color="auto"/>
              <w:bottom w:val="single" w:sz="2" w:space="0" w:color="auto"/>
              <w:right w:val="single" w:sz="2" w:space="0" w:color="auto"/>
            </w:tcBorders>
          </w:tcPr>
          <w:p w14:paraId="2348DA6B" w14:textId="77777777" w:rsidR="009F4766" w:rsidRPr="00DE12A3" w:rsidRDefault="009F4766" w:rsidP="00C917D6">
            <w:pPr>
              <w:pStyle w:val="NormalLeft"/>
            </w:pPr>
            <w:r w:rsidRPr="00DE12A3">
              <w:t>101</w:t>
            </w:r>
          </w:p>
        </w:tc>
        <w:tc>
          <w:tcPr>
            <w:tcW w:w="2551" w:type="dxa"/>
            <w:tcBorders>
              <w:top w:val="single" w:sz="2" w:space="0" w:color="auto"/>
              <w:left w:val="single" w:sz="2" w:space="0" w:color="auto"/>
              <w:bottom w:val="single" w:sz="2" w:space="0" w:color="auto"/>
              <w:right w:val="single" w:sz="2" w:space="0" w:color="auto"/>
            </w:tcBorders>
          </w:tcPr>
          <w:p w14:paraId="3CEFEF79" w14:textId="77777777" w:rsidR="009F4766" w:rsidRPr="00DE12A3" w:rsidRDefault="009F4766" w:rsidP="00C917D6">
            <w:pPr>
              <w:pStyle w:val="NormalLeft"/>
            </w:pPr>
            <w:r w:rsidRPr="00DE12A3">
              <w:t>25</w:t>
            </w:r>
          </w:p>
        </w:tc>
      </w:tr>
      <w:tr w:rsidR="00DE12A3" w:rsidRPr="00DE12A3" w14:paraId="5200E4FF" w14:textId="77777777" w:rsidTr="009F4766">
        <w:tc>
          <w:tcPr>
            <w:tcW w:w="1182" w:type="dxa"/>
            <w:tcBorders>
              <w:top w:val="single" w:sz="2" w:space="0" w:color="auto"/>
              <w:left w:val="single" w:sz="2" w:space="0" w:color="auto"/>
              <w:bottom w:val="single" w:sz="2" w:space="0" w:color="auto"/>
              <w:right w:val="single" w:sz="2" w:space="0" w:color="auto"/>
            </w:tcBorders>
          </w:tcPr>
          <w:p w14:paraId="58B59A1D" w14:textId="77777777" w:rsidR="009F4766" w:rsidRPr="00DE12A3" w:rsidRDefault="009F4766" w:rsidP="00C917D6">
            <w:pPr>
              <w:pStyle w:val="NormalLeft"/>
            </w:pPr>
            <w:r w:rsidRPr="00DE12A3">
              <w:t>1098</w:t>
            </w:r>
          </w:p>
        </w:tc>
        <w:tc>
          <w:tcPr>
            <w:tcW w:w="2489" w:type="dxa"/>
            <w:tcBorders>
              <w:top w:val="single" w:sz="2" w:space="0" w:color="auto"/>
              <w:left w:val="single" w:sz="2" w:space="0" w:color="auto"/>
              <w:bottom w:val="single" w:sz="2" w:space="0" w:color="auto"/>
              <w:right w:val="single" w:sz="2" w:space="0" w:color="auto"/>
            </w:tcBorders>
          </w:tcPr>
          <w:p w14:paraId="49E61E61" w14:textId="77777777" w:rsidR="009F4766" w:rsidRPr="00DE12A3" w:rsidRDefault="009F4766" w:rsidP="00C917D6">
            <w:pPr>
              <w:pStyle w:val="NormalLeft"/>
            </w:pPr>
            <w:r w:rsidRPr="00DE12A3">
              <w:t>95</w:t>
            </w:r>
          </w:p>
        </w:tc>
        <w:tc>
          <w:tcPr>
            <w:tcW w:w="2551" w:type="dxa"/>
            <w:tcBorders>
              <w:top w:val="single" w:sz="2" w:space="0" w:color="auto"/>
              <w:left w:val="single" w:sz="2" w:space="0" w:color="auto"/>
              <w:bottom w:val="single" w:sz="2" w:space="0" w:color="auto"/>
              <w:right w:val="single" w:sz="2" w:space="0" w:color="auto"/>
            </w:tcBorders>
          </w:tcPr>
          <w:p w14:paraId="1C2852E5" w14:textId="77777777" w:rsidR="009F4766" w:rsidRPr="00DE12A3" w:rsidRDefault="009F4766" w:rsidP="00C917D6">
            <w:pPr>
              <w:pStyle w:val="NormalLeft"/>
            </w:pPr>
            <w:r w:rsidRPr="00DE12A3">
              <w:t>64</w:t>
            </w:r>
          </w:p>
        </w:tc>
      </w:tr>
      <w:tr w:rsidR="00DE12A3" w:rsidRPr="00DE12A3" w14:paraId="503E8943" w14:textId="77777777" w:rsidTr="009F4766">
        <w:tc>
          <w:tcPr>
            <w:tcW w:w="1182" w:type="dxa"/>
            <w:tcBorders>
              <w:top w:val="single" w:sz="2" w:space="0" w:color="auto"/>
              <w:left w:val="single" w:sz="2" w:space="0" w:color="auto"/>
              <w:bottom w:val="single" w:sz="2" w:space="0" w:color="auto"/>
              <w:right w:val="single" w:sz="2" w:space="0" w:color="auto"/>
            </w:tcBorders>
          </w:tcPr>
          <w:p w14:paraId="075DE142" w14:textId="77777777" w:rsidR="009F4766" w:rsidRPr="00DE12A3" w:rsidRDefault="009F4766" w:rsidP="00C917D6">
            <w:pPr>
              <w:pStyle w:val="NormalLeft"/>
            </w:pPr>
            <w:r w:rsidRPr="00DE12A3">
              <w:t>1099</w:t>
            </w:r>
          </w:p>
        </w:tc>
        <w:tc>
          <w:tcPr>
            <w:tcW w:w="2489" w:type="dxa"/>
            <w:tcBorders>
              <w:top w:val="single" w:sz="2" w:space="0" w:color="auto"/>
              <w:left w:val="single" w:sz="2" w:space="0" w:color="auto"/>
              <w:bottom w:val="single" w:sz="2" w:space="0" w:color="auto"/>
              <w:right w:val="single" w:sz="2" w:space="0" w:color="auto"/>
            </w:tcBorders>
          </w:tcPr>
          <w:p w14:paraId="3797538E" w14:textId="77777777" w:rsidR="009F4766" w:rsidRPr="00DE12A3" w:rsidRDefault="009F4766" w:rsidP="00C917D6">
            <w:pPr>
              <w:pStyle w:val="NormalLeft"/>
            </w:pPr>
            <w:r w:rsidRPr="00DE12A3">
              <w:t>101</w:t>
            </w:r>
          </w:p>
        </w:tc>
        <w:tc>
          <w:tcPr>
            <w:tcW w:w="2551" w:type="dxa"/>
            <w:tcBorders>
              <w:top w:val="single" w:sz="2" w:space="0" w:color="auto"/>
              <w:left w:val="single" w:sz="2" w:space="0" w:color="auto"/>
              <w:bottom w:val="single" w:sz="2" w:space="0" w:color="auto"/>
              <w:right w:val="single" w:sz="2" w:space="0" w:color="auto"/>
            </w:tcBorders>
          </w:tcPr>
          <w:p w14:paraId="436D395D" w14:textId="77777777" w:rsidR="009F4766" w:rsidRPr="00DE12A3" w:rsidRDefault="009F4766" w:rsidP="00C917D6">
            <w:pPr>
              <w:pStyle w:val="NormalLeft"/>
            </w:pPr>
            <w:r w:rsidRPr="00DE12A3">
              <w:t>35</w:t>
            </w:r>
          </w:p>
        </w:tc>
      </w:tr>
      <w:tr w:rsidR="00DE12A3" w:rsidRPr="00DE12A3" w14:paraId="198385B9" w14:textId="77777777" w:rsidTr="009F4766">
        <w:tc>
          <w:tcPr>
            <w:tcW w:w="1182" w:type="dxa"/>
            <w:tcBorders>
              <w:top w:val="single" w:sz="2" w:space="0" w:color="auto"/>
              <w:left w:val="single" w:sz="2" w:space="0" w:color="auto"/>
              <w:bottom w:val="single" w:sz="2" w:space="0" w:color="auto"/>
              <w:right w:val="single" w:sz="2" w:space="0" w:color="auto"/>
            </w:tcBorders>
          </w:tcPr>
          <w:p w14:paraId="0A24BF70" w14:textId="77777777" w:rsidR="009F4766" w:rsidRPr="00DE12A3" w:rsidRDefault="009F4766" w:rsidP="00C917D6">
            <w:pPr>
              <w:pStyle w:val="NormalLeft"/>
            </w:pPr>
            <w:r w:rsidRPr="00DE12A3">
              <w:lastRenderedPageBreak/>
              <w:t>1100</w:t>
            </w:r>
          </w:p>
        </w:tc>
        <w:tc>
          <w:tcPr>
            <w:tcW w:w="2489" w:type="dxa"/>
            <w:tcBorders>
              <w:top w:val="single" w:sz="2" w:space="0" w:color="auto"/>
              <w:left w:val="single" w:sz="2" w:space="0" w:color="auto"/>
              <w:bottom w:val="single" w:sz="2" w:space="0" w:color="auto"/>
              <w:right w:val="single" w:sz="2" w:space="0" w:color="auto"/>
            </w:tcBorders>
          </w:tcPr>
          <w:p w14:paraId="3ED0D4F9" w14:textId="77777777" w:rsidR="009F4766" w:rsidRPr="00DE12A3" w:rsidRDefault="009F4766" w:rsidP="00C917D6">
            <w:pPr>
              <w:pStyle w:val="NormalLeft"/>
            </w:pPr>
            <w:r w:rsidRPr="00DE12A3">
              <w:t>94</w:t>
            </w:r>
          </w:p>
        </w:tc>
        <w:tc>
          <w:tcPr>
            <w:tcW w:w="2551" w:type="dxa"/>
            <w:tcBorders>
              <w:top w:val="single" w:sz="2" w:space="0" w:color="auto"/>
              <w:left w:val="single" w:sz="2" w:space="0" w:color="auto"/>
              <w:bottom w:val="single" w:sz="2" w:space="0" w:color="auto"/>
              <w:right w:val="single" w:sz="2" w:space="0" w:color="auto"/>
            </w:tcBorders>
          </w:tcPr>
          <w:p w14:paraId="6C873184" w14:textId="77777777" w:rsidR="009F4766" w:rsidRPr="00DE12A3" w:rsidRDefault="009F4766" w:rsidP="00C917D6">
            <w:pPr>
              <w:pStyle w:val="NormalLeft"/>
            </w:pPr>
            <w:r w:rsidRPr="00DE12A3">
              <w:t>59</w:t>
            </w:r>
          </w:p>
        </w:tc>
      </w:tr>
      <w:tr w:rsidR="00DE12A3" w:rsidRPr="00DE12A3" w14:paraId="0CA32E8C" w14:textId="77777777" w:rsidTr="009F4766">
        <w:tc>
          <w:tcPr>
            <w:tcW w:w="1182" w:type="dxa"/>
            <w:tcBorders>
              <w:top w:val="single" w:sz="2" w:space="0" w:color="auto"/>
              <w:left w:val="single" w:sz="2" w:space="0" w:color="auto"/>
              <w:bottom w:val="single" w:sz="2" w:space="0" w:color="auto"/>
              <w:right w:val="single" w:sz="2" w:space="0" w:color="auto"/>
            </w:tcBorders>
          </w:tcPr>
          <w:p w14:paraId="65ADCBEB" w14:textId="77777777" w:rsidR="009F4766" w:rsidRPr="00DE12A3" w:rsidRDefault="009F4766" w:rsidP="00C917D6">
            <w:pPr>
              <w:pStyle w:val="NormalLeft"/>
            </w:pPr>
            <w:r w:rsidRPr="00DE12A3">
              <w:t>1101</w:t>
            </w:r>
          </w:p>
        </w:tc>
        <w:tc>
          <w:tcPr>
            <w:tcW w:w="2489" w:type="dxa"/>
            <w:tcBorders>
              <w:top w:val="single" w:sz="2" w:space="0" w:color="auto"/>
              <w:left w:val="single" w:sz="2" w:space="0" w:color="auto"/>
              <w:bottom w:val="single" w:sz="2" w:space="0" w:color="auto"/>
              <w:right w:val="single" w:sz="2" w:space="0" w:color="auto"/>
            </w:tcBorders>
          </w:tcPr>
          <w:p w14:paraId="5774DBAC" w14:textId="77777777" w:rsidR="009F4766" w:rsidRPr="00DE12A3" w:rsidRDefault="009F4766" w:rsidP="00C917D6">
            <w:pPr>
              <w:pStyle w:val="NormalLeft"/>
            </w:pPr>
            <w:r w:rsidRPr="00DE12A3">
              <w:t>97</w:t>
            </w:r>
          </w:p>
        </w:tc>
        <w:tc>
          <w:tcPr>
            <w:tcW w:w="2551" w:type="dxa"/>
            <w:tcBorders>
              <w:top w:val="single" w:sz="2" w:space="0" w:color="auto"/>
              <w:left w:val="single" w:sz="2" w:space="0" w:color="auto"/>
              <w:bottom w:val="single" w:sz="2" w:space="0" w:color="auto"/>
              <w:right w:val="single" w:sz="2" w:space="0" w:color="auto"/>
            </w:tcBorders>
          </w:tcPr>
          <w:p w14:paraId="391C4581" w14:textId="77777777" w:rsidR="009F4766" w:rsidRPr="00DE12A3" w:rsidRDefault="009F4766" w:rsidP="00C917D6">
            <w:pPr>
              <w:pStyle w:val="NormalLeft"/>
            </w:pPr>
            <w:r w:rsidRPr="00DE12A3">
              <w:t>37</w:t>
            </w:r>
          </w:p>
        </w:tc>
      </w:tr>
      <w:tr w:rsidR="00DE12A3" w:rsidRPr="00DE12A3" w14:paraId="62DC1526" w14:textId="77777777" w:rsidTr="009F4766">
        <w:tc>
          <w:tcPr>
            <w:tcW w:w="1182" w:type="dxa"/>
            <w:tcBorders>
              <w:top w:val="single" w:sz="2" w:space="0" w:color="auto"/>
              <w:left w:val="single" w:sz="2" w:space="0" w:color="auto"/>
              <w:bottom w:val="single" w:sz="2" w:space="0" w:color="auto"/>
              <w:right w:val="single" w:sz="2" w:space="0" w:color="auto"/>
            </w:tcBorders>
          </w:tcPr>
          <w:p w14:paraId="6B3D6BAD" w14:textId="77777777" w:rsidR="009F4766" w:rsidRPr="00DE12A3" w:rsidRDefault="009F4766" w:rsidP="00C917D6">
            <w:pPr>
              <w:pStyle w:val="NormalLeft"/>
            </w:pPr>
            <w:r w:rsidRPr="00DE12A3">
              <w:t>1102</w:t>
            </w:r>
          </w:p>
        </w:tc>
        <w:tc>
          <w:tcPr>
            <w:tcW w:w="2489" w:type="dxa"/>
            <w:tcBorders>
              <w:top w:val="single" w:sz="2" w:space="0" w:color="auto"/>
              <w:left w:val="single" w:sz="2" w:space="0" w:color="auto"/>
              <w:bottom w:val="single" w:sz="2" w:space="0" w:color="auto"/>
              <w:right w:val="single" w:sz="2" w:space="0" w:color="auto"/>
            </w:tcBorders>
          </w:tcPr>
          <w:p w14:paraId="2E58BC3E" w14:textId="77777777" w:rsidR="009F4766" w:rsidRPr="00DE12A3" w:rsidRDefault="009F4766" w:rsidP="00C917D6">
            <w:pPr>
              <w:pStyle w:val="NormalLeft"/>
            </w:pPr>
            <w:r w:rsidRPr="00DE12A3">
              <w:t>97</w:t>
            </w:r>
          </w:p>
        </w:tc>
        <w:tc>
          <w:tcPr>
            <w:tcW w:w="2551" w:type="dxa"/>
            <w:tcBorders>
              <w:top w:val="single" w:sz="2" w:space="0" w:color="auto"/>
              <w:left w:val="single" w:sz="2" w:space="0" w:color="auto"/>
              <w:bottom w:val="single" w:sz="2" w:space="0" w:color="auto"/>
              <w:right w:val="single" w:sz="2" w:space="0" w:color="auto"/>
            </w:tcBorders>
          </w:tcPr>
          <w:p w14:paraId="1D3A5BAF" w14:textId="77777777" w:rsidR="009F4766" w:rsidRPr="00DE12A3" w:rsidRDefault="009F4766" w:rsidP="00C917D6">
            <w:pPr>
              <w:pStyle w:val="NormalLeft"/>
            </w:pPr>
            <w:r w:rsidRPr="00DE12A3">
              <w:t>60</w:t>
            </w:r>
          </w:p>
        </w:tc>
      </w:tr>
      <w:tr w:rsidR="00DE12A3" w:rsidRPr="00DE12A3" w14:paraId="44F02500" w14:textId="77777777" w:rsidTr="009F4766">
        <w:tc>
          <w:tcPr>
            <w:tcW w:w="1182" w:type="dxa"/>
            <w:tcBorders>
              <w:top w:val="single" w:sz="2" w:space="0" w:color="auto"/>
              <w:left w:val="single" w:sz="2" w:space="0" w:color="auto"/>
              <w:bottom w:val="single" w:sz="2" w:space="0" w:color="auto"/>
              <w:right w:val="single" w:sz="2" w:space="0" w:color="auto"/>
            </w:tcBorders>
          </w:tcPr>
          <w:p w14:paraId="30244512" w14:textId="77777777" w:rsidR="009F4766" w:rsidRPr="00DE12A3" w:rsidRDefault="009F4766" w:rsidP="00C917D6">
            <w:pPr>
              <w:pStyle w:val="NormalLeft"/>
            </w:pPr>
            <w:r w:rsidRPr="00DE12A3">
              <w:t>1103</w:t>
            </w:r>
          </w:p>
        </w:tc>
        <w:tc>
          <w:tcPr>
            <w:tcW w:w="2489" w:type="dxa"/>
            <w:tcBorders>
              <w:top w:val="single" w:sz="2" w:space="0" w:color="auto"/>
              <w:left w:val="single" w:sz="2" w:space="0" w:color="auto"/>
              <w:bottom w:val="single" w:sz="2" w:space="0" w:color="auto"/>
              <w:right w:val="single" w:sz="2" w:space="0" w:color="auto"/>
            </w:tcBorders>
          </w:tcPr>
          <w:p w14:paraId="7A7A9D73" w14:textId="77777777" w:rsidR="009F4766" w:rsidRPr="00DE12A3" w:rsidRDefault="009F4766" w:rsidP="00C917D6">
            <w:pPr>
              <w:pStyle w:val="NormalLeft"/>
            </w:pPr>
            <w:r w:rsidRPr="00DE12A3">
              <w:t>93</w:t>
            </w:r>
          </w:p>
        </w:tc>
        <w:tc>
          <w:tcPr>
            <w:tcW w:w="2551" w:type="dxa"/>
            <w:tcBorders>
              <w:top w:val="single" w:sz="2" w:space="0" w:color="auto"/>
              <w:left w:val="single" w:sz="2" w:space="0" w:color="auto"/>
              <w:bottom w:val="single" w:sz="2" w:space="0" w:color="auto"/>
              <w:right w:val="single" w:sz="2" w:space="0" w:color="auto"/>
            </w:tcBorders>
          </w:tcPr>
          <w:p w14:paraId="4CF743C8" w14:textId="77777777" w:rsidR="009F4766" w:rsidRPr="00DE12A3" w:rsidRDefault="009F4766" w:rsidP="00C917D6">
            <w:pPr>
              <w:pStyle w:val="NormalLeft"/>
            </w:pPr>
            <w:r w:rsidRPr="00DE12A3">
              <w:t>98</w:t>
            </w:r>
          </w:p>
        </w:tc>
      </w:tr>
      <w:tr w:rsidR="00DE12A3" w:rsidRPr="00DE12A3" w14:paraId="52C5CE3E" w14:textId="77777777" w:rsidTr="009F4766">
        <w:tc>
          <w:tcPr>
            <w:tcW w:w="1182" w:type="dxa"/>
            <w:tcBorders>
              <w:top w:val="single" w:sz="2" w:space="0" w:color="auto"/>
              <w:left w:val="single" w:sz="2" w:space="0" w:color="auto"/>
              <w:bottom w:val="single" w:sz="2" w:space="0" w:color="auto"/>
              <w:right w:val="single" w:sz="2" w:space="0" w:color="auto"/>
            </w:tcBorders>
          </w:tcPr>
          <w:p w14:paraId="4BC84691" w14:textId="77777777" w:rsidR="009F4766" w:rsidRPr="00DE12A3" w:rsidRDefault="009F4766" w:rsidP="00C917D6">
            <w:pPr>
              <w:pStyle w:val="NormalLeft"/>
            </w:pPr>
            <w:r w:rsidRPr="00DE12A3">
              <w:t>1104</w:t>
            </w:r>
          </w:p>
        </w:tc>
        <w:tc>
          <w:tcPr>
            <w:tcW w:w="2489" w:type="dxa"/>
            <w:tcBorders>
              <w:top w:val="single" w:sz="2" w:space="0" w:color="auto"/>
              <w:left w:val="single" w:sz="2" w:space="0" w:color="auto"/>
              <w:bottom w:val="single" w:sz="2" w:space="0" w:color="auto"/>
              <w:right w:val="single" w:sz="2" w:space="0" w:color="auto"/>
            </w:tcBorders>
          </w:tcPr>
          <w:p w14:paraId="5D481326" w14:textId="77777777" w:rsidR="009F4766" w:rsidRPr="00DE12A3" w:rsidRDefault="009F4766" w:rsidP="00C917D6">
            <w:pPr>
              <w:pStyle w:val="NormalLeft"/>
            </w:pPr>
            <w:r w:rsidRPr="00DE12A3">
              <w:t>98</w:t>
            </w:r>
          </w:p>
        </w:tc>
        <w:tc>
          <w:tcPr>
            <w:tcW w:w="2551" w:type="dxa"/>
            <w:tcBorders>
              <w:top w:val="single" w:sz="2" w:space="0" w:color="auto"/>
              <w:left w:val="single" w:sz="2" w:space="0" w:color="auto"/>
              <w:bottom w:val="single" w:sz="2" w:space="0" w:color="auto"/>
              <w:right w:val="single" w:sz="2" w:space="0" w:color="auto"/>
            </w:tcBorders>
          </w:tcPr>
          <w:p w14:paraId="311376EA" w14:textId="77777777" w:rsidR="009F4766" w:rsidRPr="00DE12A3" w:rsidRDefault="009F4766" w:rsidP="00C917D6">
            <w:pPr>
              <w:pStyle w:val="NormalLeft"/>
            </w:pPr>
            <w:r w:rsidRPr="00DE12A3">
              <w:t>53</w:t>
            </w:r>
          </w:p>
        </w:tc>
      </w:tr>
      <w:tr w:rsidR="00DE12A3" w:rsidRPr="00DE12A3" w14:paraId="0479296E" w14:textId="77777777" w:rsidTr="009F4766">
        <w:tc>
          <w:tcPr>
            <w:tcW w:w="1182" w:type="dxa"/>
            <w:tcBorders>
              <w:top w:val="single" w:sz="2" w:space="0" w:color="auto"/>
              <w:left w:val="single" w:sz="2" w:space="0" w:color="auto"/>
              <w:bottom w:val="single" w:sz="2" w:space="0" w:color="auto"/>
              <w:right w:val="single" w:sz="2" w:space="0" w:color="auto"/>
            </w:tcBorders>
          </w:tcPr>
          <w:p w14:paraId="0985F532" w14:textId="77777777" w:rsidR="009F4766" w:rsidRPr="00DE12A3" w:rsidRDefault="009F4766" w:rsidP="00C917D6">
            <w:pPr>
              <w:pStyle w:val="NormalLeft"/>
            </w:pPr>
            <w:r w:rsidRPr="00DE12A3">
              <w:t>1105</w:t>
            </w:r>
          </w:p>
        </w:tc>
        <w:tc>
          <w:tcPr>
            <w:tcW w:w="2489" w:type="dxa"/>
            <w:tcBorders>
              <w:top w:val="single" w:sz="2" w:space="0" w:color="auto"/>
              <w:left w:val="single" w:sz="2" w:space="0" w:color="auto"/>
              <w:bottom w:val="single" w:sz="2" w:space="0" w:color="auto"/>
              <w:right w:val="single" w:sz="2" w:space="0" w:color="auto"/>
            </w:tcBorders>
          </w:tcPr>
          <w:p w14:paraId="731C3C61" w14:textId="77777777" w:rsidR="009F4766" w:rsidRPr="00DE12A3" w:rsidRDefault="009F4766" w:rsidP="00C917D6">
            <w:pPr>
              <w:pStyle w:val="NormalLeft"/>
            </w:pPr>
            <w:r w:rsidRPr="00DE12A3">
              <w:t>103</w:t>
            </w:r>
          </w:p>
        </w:tc>
        <w:tc>
          <w:tcPr>
            <w:tcW w:w="2551" w:type="dxa"/>
            <w:tcBorders>
              <w:top w:val="single" w:sz="2" w:space="0" w:color="auto"/>
              <w:left w:val="single" w:sz="2" w:space="0" w:color="auto"/>
              <w:bottom w:val="single" w:sz="2" w:space="0" w:color="auto"/>
              <w:right w:val="single" w:sz="2" w:space="0" w:color="auto"/>
            </w:tcBorders>
          </w:tcPr>
          <w:p w14:paraId="1D453E71" w14:textId="77777777" w:rsidR="009F4766" w:rsidRPr="00DE12A3" w:rsidRDefault="009F4766" w:rsidP="00C917D6">
            <w:pPr>
              <w:pStyle w:val="NormalLeft"/>
            </w:pPr>
            <w:r w:rsidRPr="00DE12A3">
              <w:t>13</w:t>
            </w:r>
          </w:p>
        </w:tc>
      </w:tr>
      <w:tr w:rsidR="00DE12A3" w:rsidRPr="00DE12A3" w14:paraId="5276CE57" w14:textId="77777777" w:rsidTr="009F4766">
        <w:tc>
          <w:tcPr>
            <w:tcW w:w="1182" w:type="dxa"/>
            <w:tcBorders>
              <w:top w:val="single" w:sz="2" w:space="0" w:color="auto"/>
              <w:left w:val="single" w:sz="2" w:space="0" w:color="auto"/>
              <w:bottom w:val="single" w:sz="2" w:space="0" w:color="auto"/>
              <w:right w:val="single" w:sz="2" w:space="0" w:color="auto"/>
            </w:tcBorders>
          </w:tcPr>
          <w:p w14:paraId="3737132A" w14:textId="77777777" w:rsidR="009F4766" w:rsidRPr="00DE12A3" w:rsidRDefault="009F4766" w:rsidP="00C917D6">
            <w:pPr>
              <w:pStyle w:val="NormalLeft"/>
            </w:pPr>
            <w:r w:rsidRPr="00DE12A3">
              <w:t>1106</w:t>
            </w:r>
          </w:p>
        </w:tc>
        <w:tc>
          <w:tcPr>
            <w:tcW w:w="2489" w:type="dxa"/>
            <w:tcBorders>
              <w:top w:val="single" w:sz="2" w:space="0" w:color="auto"/>
              <w:left w:val="single" w:sz="2" w:space="0" w:color="auto"/>
              <w:bottom w:val="single" w:sz="2" w:space="0" w:color="auto"/>
              <w:right w:val="single" w:sz="2" w:space="0" w:color="auto"/>
            </w:tcBorders>
          </w:tcPr>
          <w:p w14:paraId="56E7008F" w14:textId="77777777" w:rsidR="009F4766" w:rsidRPr="00DE12A3" w:rsidRDefault="009F4766" w:rsidP="00C917D6">
            <w:pPr>
              <w:pStyle w:val="NormalLeft"/>
            </w:pPr>
            <w:r w:rsidRPr="00DE12A3">
              <w:t>103</w:t>
            </w:r>
          </w:p>
        </w:tc>
        <w:tc>
          <w:tcPr>
            <w:tcW w:w="2551" w:type="dxa"/>
            <w:tcBorders>
              <w:top w:val="single" w:sz="2" w:space="0" w:color="auto"/>
              <w:left w:val="single" w:sz="2" w:space="0" w:color="auto"/>
              <w:bottom w:val="single" w:sz="2" w:space="0" w:color="auto"/>
              <w:right w:val="single" w:sz="2" w:space="0" w:color="auto"/>
            </w:tcBorders>
          </w:tcPr>
          <w:p w14:paraId="770D40AB" w14:textId="77777777" w:rsidR="009F4766" w:rsidRPr="00DE12A3" w:rsidRDefault="009F4766" w:rsidP="00C917D6">
            <w:pPr>
              <w:pStyle w:val="NormalLeft"/>
            </w:pPr>
            <w:r w:rsidRPr="00DE12A3">
              <w:t>11</w:t>
            </w:r>
          </w:p>
        </w:tc>
      </w:tr>
      <w:tr w:rsidR="00DE12A3" w:rsidRPr="00DE12A3" w14:paraId="10053F2E" w14:textId="77777777" w:rsidTr="009F4766">
        <w:tc>
          <w:tcPr>
            <w:tcW w:w="1182" w:type="dxa"/>
            <w:tcBorders>
              <w:top w:val="single" w:sz="2" w:space="0" w:color="auto"/>
              <w:left w:val="single" w:sz="2" w:space="0" w:color="auto"/>
              <w:bottom w:val="single" w:sz="2" w:space="0" w:color="auto"/>
              <w:right w:val="single" w:sz="2" w:space="0" w:color="auto"/>
            </w:tcBorders>
          </w:tcPr>
          <w:p w14:paraId="32D6C0F0" w14:textId="77777777" w:rsidR="009F4766" w:rsidRPr="00DE12A3" w:rsidRDefault="009F4766" w:rsidP="00C917D6">
            <w:pPr>
              <w:pStyle w:val="NormalLeft"/>
            </w:pPr>
            <w:r w:rsidRPr="00DE12A3">
              <w:t>1107</w:t>
            </w:r>
          </w:p>
        </w:tc>
        <w:tc>
          <w:tcPr>
            <w:tcW w:w="2489" w:type="dxa"/>
            <w:tcBorders>
              <w:top w:val="single" w:sz="2" w:space="0" w:color="auto"/>
              <w:left w:val="single" w:sz="2" w:space="0" w:color="auto"/>
              <w:bottom w:val="single" w:sz="2" w:space="0" w:color="auto"/>
              <w:right w:val="single" w:sz="2" w:space="0" w:color="auto"/>
            </w:tcBorders>
          </w:tcPr>
          <w:p w14:paraId="73B48F27" w14:textId="77777777" w:rsidR="009F4766" w:rsidRPr="00DE12A3" w:rsidRDefault="009F4766" w:rsidP="00C917D6">
            <w:pPr>
              <w:pStyle w:val="NormalLeft"/>
            </w:pPr>
            <w:r w:rsidRPr="00DE12A3">
              <w:t>103</w:t>
            </w:r>
          </w:p>
        </w:tc>
        <w:tc>
          <w:tcPr>
            <w:tcW w:w="2551" w:type="dxa"/>
            <w:tcBorders>
              <w:top w:val="single" w:sz="2" w:space="0" w:color="auto"/>
              <w:left w:val="single" w:sz="2" w:space="0" w:color="auto"/>
              <w:bottom w:val="single" w:sz="2" w:space="0" w:color="auto"/>
              <w:right w:val="single" w:sz="2" w:space="0" w:color="auto"/>
            </w:tcBorders>
          </w:tcPr>
          <w:p w14:paraId="70E4AE72" w14:textId="77777777" w:rsidR="009F4766" w:rsidRPr="00DE12A3" w:rsidRDefault="009F4766" w:rsidP="00C917D6">
            <w:pPr>
              <w:pStyle w:val="NormalLeft"/>
            </w:pPr>
            <w:r w:rsidRPr="00DE12A3">
              <w:t>11</w:t>
            </w:r>
          </w:p>
        </w:tc>
      </w:tr>
      <w:tr w:rsidR="00DE12A3" w:rsidRPr="00DE12A3" w14:paraId="1FD445A4" w14:textId="77777777" w:rsidTr="009F4766">
        <w:tc>
          <w:tcPr>
            <w:tcW w:w="1182" w:type="dxa"/>
            <w:tcBorders>
              <w:top w:val="single" w:sz="2" w:space="0" w:color="auto"/>
              <w:left w:val="single" w:sz="2" w:space="0" w:color="auto"/>
              <w:bottom w:val="single" w:sz="2" w:space="0" w:color="auto"/>
              <w:right w:val="single" w:sz="2" w:space="0" w:color="auto"/>
            </w:tcBorders>
          </w:tcPr>
          <w:p w14:paraId="3455939D" w14:textId="77777777" w:rsidR="009F4766" w:rsidRPr="00DE12A3" w:rsidRDefault="009F4766" w:rsidP="00C917D6">
            <w:pPr>
              <w:pStyle w:val="NormalLeft"/>
            </w:pPr>
            <w:r w:rsidRPr="00DE12A3">
              <w:t>1108</w:t>
            </w:r>
          </w:p>
        </w:tc>
        <w:tc>
          <w:tcPr>
            <w:tcW w:w="2489" w:type="dxa"/>
            <w:tcBorders>
              <w:top w:val="single" w:sz="2" w:space="0" w:color="auto"/>
              <w:left w:val="single" w:sz="2" w:space="0" w:color="auto"/>
              <w:bottom w:val="single" w:sz="2" w:space="0" w:color="auto"/>
              <w:right w:val="single" w:sz="2" w:space="0" w:color="auto"/>
            </w:tcBorders>
          </w:tcPr>
          <w:p w14:paraId="520CC7F3" w14:textId="77777777" w:rsidR="009F4766" w:rsidRPr="00DE12A3" w:rsidRDefault="009F4766" w:rsidP="00C917D6">
            <w:pPr>
              <w:pStyle w:val="NormalLeft"/>
            </w:pPr>
            <w:r w:rsidRPr="00DE12A3">
              <w:t>103</w:t>
            </w:r>
          </w:p>
        </w:tc>
        <w:tc>
          <w:tcPr>
            <w:tcW w:w="2551" w:type="dxa"/>
            <w:tcBorders>
              <w:top w:val="single" w:sz="2" w:space="0" w:color="auto"/>
              <w:left w:val="single" w:sz="2" w:space="0" w:color="auto"/>
              <w:bottom w:val="single" w:sz="2" w:space="0" w:color="auto"/>
              <w:right w:val="single" w:sz="2" w:space="0" w:color="auto"/>
            </w:tcBorders>
          </w:tcPr>
          <w:p w14:paraId="4F5F8DEB" w14:textId="77777777" w:rsidR="009F4766" w:rsidRPr="00DE12A3" w:rsidRDefault="009F4766" w:rsidP="00C917D6">
            <w:pPr>
              <w:pStyle w:val="NormalLeft"/>
            </w:pPr>
            <w:r w:rsidRPr="00DE12A3">
              <w:t>13</w:t>
            </w:r>
          </w:p>
        </w:tc>
      </w:tr>
      <w:tr w:rsidR="00DE12A3" w:rsidRPr="00DE12A3" w14:paraId="63ED4D46" w14:textId="77777777" w:rsidTr="009F4766">
        <w:tc>
          <w:tcPr>
            <w:tcW w:w="1182" w:type="dxa"/>
            <w:tcBorders>
              <w:top w:val="single" w:sz="2" w:space="0" w:color="auto"/>
              <w:left w:val="single" w:sz="2" w:space="0" w:color="auto"/>
              <w:bottom w:val="single" w:sz="2" w:space="0" w:color="auto"/>
              <w:right w:val="single" w:sz="2" w:space="0" w:color="auto"/>
            </w:tcBorders>
          </w:tcPr>
          <w:p w14:paraId="2D80732E" w14:textId="77777777" w:rsidR="009F4766" w:rsidRPr="00DE12A3" w:rsidRDefault="009F4766" w:rsidP="00C917D6">
            <w:pPr>
              <w:pStyle w:val="NormalLeft"/>
            </w:pPr>
            <w:r w:rsidRPr="00DE12A3">
              <w:t>1109</w:t>
            </w:r>
          </w:p>
        </w:tc>
        <w:tc>
          <w:tcPr>
            <w:tcW w:w="2489" w:type="dxa"/>
            <w:tcBorders>
              <w:top w:val="single" w:sz="2" w:space="0" w:color="auto"/>
              <w:left w:val="single" w:sz="2" w:space="0" w:color="auto"/>
              <w:bottom w:val="single" w:sz="2" w:space="0" w:color="auto"/>
              <w:right w:val="single" w:sz="2" w:space="0" w:color="auto"/>
            </w:tcBorders>
          </w:tcPr>
          <w:p w14:paraId="33CF73F1" w14:textId="77777777" w:rsidR="009F4766" w:rsidRPr="00DE12A3" w:rsidRDefault="009F4766" w:rsidP="00C917D6">
            <w:pPr>
              <w:pStyle w:val="NormalLeft"/>
            </w:pPr>
            <w:r w:rsidRPr="00DE12A3">
              <w:t>103</w:t>
            </w:r>
          </w:p>
        </w:tc>
        <w:tc>
          <w:tcPr>
            <w:tcW w:w="2551" w:type="dxa"/>
            <w:tcBorders>
              <w:top w:val="single" w:sz="2" w:space="0" w:color="auto"/>
              <w:left w:val="single" w:sz="2" w:space="0" w:color="auto"/>
              <w:bottom w:val="single" w:sz="2" w:space="0" w:color="auto"/>
              <w:right w:val="single" w:sz="2" w:space="0" w:color="auto"/>
            </w:tcBorders>
          </w:tcPr>
          <w:p w14:paraId="389FC249" w14:textId="77777777" w:rsidR="009F4766" w:rsidRPr="00DE12A3" w:rsidRDefault="009F4766" w:rsidP="00C917D6">
            <w:pPr>
              <w:pStyle w:val="NormalLeft"/>
            </w:pPr>
            <w:r w:rsidRPr="00DE12A3">
              <w:t>10</w:t>
            </w:r>
          </w:p>
        </w:tc>
      </w:tr>
      <w:tr w:rsidR="00DE12A3" w:rsidRPr="00DE12A3" w14:paraId="19CE3EB8" w14:textId="77777777" w:rsidTr="009F4766">
        <w:tc>
          <w:tcPr>
            <w:tcW w:w="1182" w:type="dxa"/>
            <w:tcBorders>
              <w:top w:val="single" w:sz="2" w:space="0" w:color="auto"/>
              <w:left w:val="single" w:sz="2" w:space="0" w:color="auto"/>
              <w:bottom w:val="single" w:sz="2" w:space="0" w:color="auto"/>
              <w:right w:val="single" w:sz="2" w:space="0" w:color="auto"/>
            </w:tcBorders>
          </w:tcPr>
          <w:p w14:paraId="21BA5FB5" w14:textId="77777777" w:rsidR="009F4766" w:rsidRPr="00DE12A3" w:rsidRDefault="009F4766" w:rsidP="00C917D6">
            <w:pPr>
              <w:pStyle w:val="NormalLeft"/>
            </w:pPr>
            <w:r w:rsidRPr="00DE12A3">
              <w:t>1110</w:t>
            </w:r>
          </w:p>
        </w:tc>
        <w:tc>
          <w:tcPr>
            <w:tcW w:w="2489" w:type="dxa"/>
            <w:tcBorders>
              <w:top w:val="single" w:sz="2" w:space="0" w:color="auto"/>
              <w:left w:val="single" w:sz="2" w:space="0" w:color="auto"/>
              <w:bottom w:val="single" w:sz="2" w:space="0" w:color="auto"/>
              <w:right w:val="single" w:sz="2" w:space="0" w:color="auto"/>
            </w:tcBorders>
          </w:tcPr>
          <w:p w14:paraId="05F65E1A" w14:textId="77777777" w:rsidR="009F4766" w:rsidRPr="00DE12A3" w:rsidRDefault="009F4766" w:rsidP="00C917D6">
            <w:pPr>
              <w:pStyle w:val="NormalLeft"/>
            </w:pPr>
            <w:r w:rsidRPr="00DE12A3">
              <w:t>103</w:t>
            </w:r>
          </w:p>
        </w:tc>
        <w:tc>
          <w:tcPr>
            <w:tcW w:w="2551" w:type="dxa"/>
            <w:tcBorders>
              <w:top w:val="single" w:sz="2" w:space="0" w:color="auto"/>
              <w:left w:val="single" w:sz="2" w:space="0" w:color="auto"/>
              <w:bottom w:val="single" w:sz="2" w:space="0" w:color="auto"/>
              <w:right w:val="single" w:sz="2" w:space="0" w:color="auto"/>
            </w:tcBorders>
          </w:tcPr>
          <w:p w14:paraId="5784B986" w14:textId="77777777" w:rsidR="009F4766" w:rsidRPr="00DE12A3" w:rsidRDefault="009F4766" w:rsidP="00C917D6">
            <w:pPr>
              <w:pStyle w:val="NormalLeft"/>
            </w:pPr>
            <w:r w:rsidRPr="00DE12A3">
              <w:t>10</w:t>
            </w:r>
          </w:p>
        </w:tc>
      </w:tr>
      <w:tr w:rsidR="00DE12A3" w:rsidRPr="00DE12A3" w14:paraId="331B343A" w14:textId="77777777" w:rsidTr="009F4766">
        <w:tc>
          <w:tcPr>
            <w:tcW w:w="1182" w:type="dxa"/>
            <w:tcBorders>
              <w:top w:val="single" w:sz="2" w:space="0" w:color="auto"/>
              <w:left w:val="single" w:sz="2" w:space="0" w:color="auto"/>
              <w:bottom w:val="single" w:sz="2" w:space="0" w:color="auto"/>
              <w:right w:val="single" w:sz="2" w:space="0" w:color="auto"/>
            </w:tcBorders>
          </w:tcPr>
          <w:p w14:paraId="1848E80C" w14:textId="77777777" w:rsidR="009F4766" w:rsidRPr="00DE12A3" w:rsidRDefault="009F4766" w:rsidP="00C917D6">
            <w:pPr>
              <w:pStyle w:val="NormalLeft"/>
            </w:pPr>
            <w:r w:rsidRPr="00DE12A3">
              <w:t>1111</w:t>
            </w:r>
          </w:p>
        </w:tc>
        <w:tc>
          <w:tcPr>
            <w:tcW w:w="2489" w:type="dxa"/>
            <w:tcBorders>
              <w:top w:val="single" w:sz="2" w:space="0" w:color="auto"/>
              <w:left w:val="single" w:sz="2" w:space="0" w:color="auto"/>
              <w:bottom w:val="single" w:sz="2" w:space="0" w:color="auto"/>
              <w:right w:val="single" w:sz="2" w:space="0" w:color="auto"/>
            </w:tcBorders>
          </w:tcPr>
          <w:p w14:paraId="3FFAC79C" w14:textId="77777777" w:rsidR="009F4766" w:rsidRPr="00DE12A3" w:rsidRDefault="009F4766" w:rsidP="00C917D6">
            <w:pPr>
              <w:pStyle w:val="NormalLeft"/>
            </w:pPr>
            <w:r w:rsidRPr="00DE12A3">
              <w:t>103</w:t>
            </w:r>
          </w:p>
        </w:tc>
        <w:tc>
          <w:tcPr>
            <w:tcW w:w="2551" w:type="dxa"/>
            <w:tcBorders>
              <w:top w:val="single" w:sz="2" w:space="0" w:color="auto"/>
              <w:left w:val="single" w:sz="2" w:space="0" w:color="auto"/>
              <w:bottom w:val="single" w:sz="2" w:space="0" w:color="auto"/>
              <w:right w:val="single" w:sz="2" w:space="0" w:color="auto"/>
            </w:tcBorders>
          </w:tcPr>
          <w:p w14:paraId="12C88ECE" w14:textId="77777777" w:rsidR="009F4766" w:rsidRPr="00DE12A3" w:rsidRDefault="009F4766" w:rsidP="00C917D6">
            <w:pPr>
              <w:pStyle w:val="NormalLeft"/>
            </w:pPr>
            <w:r w:rsidRPr="00DE12A3">
              <w:t>11</w:t>
            </w:r>
          </w:p>
        </w:tc>
      </w:tr>
      <w:tr w:rsidR="00DE12A3" w:rsidRPr="00DE12A3" w14:paraId="169E2BAF" w14:textId="77777777" w:rsidTr="009F4766">
        <w:tc>
          <w:tcPr>
            <w:tcW w:w="1182" w:type="dxa"/>
            <w:tcBorders>
              <w:top w:val="single" w:sz="2" w:space="0" w:color="auto"/>
              <w:left w:val="single" w:sz="2" w:space="0" w:color="auto"/>
              <w:bottom w:val="single" w:sz="2" w:space="0" w:color="auto"/>
              <w:right w:val="single" w:sz="2" w:space="0" w:color="auto"/>
            </w:tcBorders>
          </w:tcPr>
          <w:p w14:paraId="35AF622C" w14:textId="77777777" w:rsidR="009F4766" w:rsidRPr="00DE12A3" w:rsidRDefault="009F4766" w:rsidP="00C917D6">
            <w:pPr>
              <w:pStyle w:val="NormalLeft"/>
            </w:pPr>
            <w:r w:rsidRPr="00DE12A3">
              <w:t>1112</w:t>
            </w:r>
          </w:p>
        </w:tc>
        <w:tc>
          <w:tcPr>
            <w:tcW w:w="2489" w:type="dxa"/>
            <w:tcBorders>
              <w:top w:val="single" w:sz="2" w:space="0" w:color="auto"/>
              <w:left w:val="single" w:sz="2" w:space="0" w:color="auto"/>
              <w:bottom w:val="single" w:sz="2" w:space="0" w:color="auto"/>
              <w:right w:val="single" w:sz="2" w:space="0" w:color="auto"/>
            </w:tcBorders>
          </w:tcPr>
          <w:p w14:paraId="2456084E" w14:textId="77777777" w:rsidR="009F4766" w:rsidRPr="00DE12A3" w:rsidRDefault="009F4766" w:rsidP="00C917D6">
            <w:pPr>
              <w:pStyle w:val="NormalLeft"/>
            </w:pPr>
            <w:r w:rsidRPr="00DE12A3">
              <w:t>103</w:t>
            </w:r>
          </w:p>
        </w:tc>
        <w:tc>
          <w:tcPr>
            <w:tcW w:w="2551" w:type="dxa"/>
            <w:tcBorders>
              <w:top w:val="single" w:sz="2" w:space="0" w:color="auto"/>
              <w:left w:val="single" w:sz="2" w:space="0" w:color="auto"/>
              <w:bottom w:val="single" w:sz="2" w:space="0" w:color="auto"/>
              <w:right w:val="single" w:sz="2" w:space="0" w:color="auto"/>
            </w:tcBorders>
          </w:tcPr>
          <w:p w14:paraId="13895568" w14:textId="77777777" w:rsidR="009F4766" w:rsidRPr="00DE12A3" w:rsidRDefault="009F4766" w:rsidP="00C917D6">
            <w:pPr>
              <w:pStyle w:val="NormalLeft"/>
            </w:pPr>
            <w:r w:rsidRPr="00DE12A3">
              <w:t>10</w:t>
            </w:r>
          </w:p>
        </w:tc>
      </w:tr>
      <w:tr w:rsidR="00DE12A3" w:rsidRPr="00DE12A3" w14:paraId="51A55897" w14:textId="77777777" w:rsidTr="009F4766">
        <w:tc>
          <w:tcPr>
            <w:tcW w:w="1182" w:type="dxa"/>
            <w:tcBorders>
              <w:top w:val="single" w:sz="2" w:space="0" w:color="auto"/>
              <w:left w:val="single" w:sz="2" w:space="0" w:color="auto"/>
              <w:bottom w:val="single" w:sz="2" w:space="0" w:color="auto"/>
              <w:right w:val="single" w:sz="2" w:space="0" w:color="auto"/>
            </w:tcBorders>
          </w:tcPr>
          <w:p w14:paraId="4CFE9531" w14:textId="77777777" w:rsidR="009F4766" w:rsidRPr="00DE12A3" w:rsidRDefault="009F4766" w:rsidP="00C917D6">
            <w:pPr>
              <w:pStyle w:val="NormalLeft"/>
            </w:pPr>
            <w:r w:rsidRPr="00DE12A3">
              <w:t>1113</w:t>
            </w:r>
          </w:p>
        </w:tc>
        <w:tc>
          <w:tcPr>
            <w:tcW w:w="2489" w:type="dxa"/>
            <w:tcBorders>
              <w:top w:val="single" w:sz="2" w:space="0" w:color="auto"/>
              <w:left w:val="single" w:sz="2" w:space="0" w:color="auto"/>
              <w:bottom w:val="single" w:sz="2" w:space="0" w:color="auto"/>
              <w:right w:val="single" w:sz="2" w:space="0" w:color="auto"/>
            </w:tcBorders>
          </w:tcPr>
          <w:p w14:paraId="5DAE509E" w14:textId="77777777" w:rsidR="009F4766" w:rsidRPr="00DE12A3" w:rsidRDefault="009F4766" w:rsidP="00C917D6">
            <w:pPr>
              <w:pStyle w:val="NormalLeft"/>
            </w:pPr>
            <w:r w:rsidRPr="00DE12A3">
              <w:t>103</w:t>
            </w:r>
          </w:p>
        </w:tc>
        <w:tc>
          <w:tcPr>
            <w:tcW w:w="2551" w:type="dxa"/>
            <w:tcBorders>
              <w:top w:val="single" w:sz="2" w:space="0" w:color="auto"/>
              <w:left w:val="single" w:sz="2" w:space="0" w:color="auto"/>
              <w:bottom w:val="single" w:sz="2" w:space="0" w:color="auto"/>
              <w:right w:val="single" w:sz="2" w:space="0" w:color="auto"/>
            </w:tcBorders>
          </w:tcPr>
          <w:p w14:paraId="035792BF" w14:textId="77777777" w:rsidR="009F4766" w:rsidRPr="00DE12A3" w:rsidRDefault="009F4766" w:rsidP="00C917D6">
            <w:pPr>
              <w:pStyle w:val="NormalLeft"/>
            </w:pPr>
            <w:r w:rsidRPr="00DE12A3">
              <w:t>10</w:t>
            </w:r>
          </w:p>
        </w:tc>
      </w:tr>
      <w:tr w:rsidR="00DE12A3" w:rsidRPr="00DE12A3" w14:paraId="19021618" w14:textId="77777777" w:rsidTr="009F4766">
        <w:tc>
          <w:tcPr>
            <w:tcW w:w="1182" w:type="dxa"/>
            <w:tcBorders>
              <w:top w:val="single" w:sz="2" w:space="0" w:color="auto"/>
              <w:left w:val="single" w:sz="2" w:space="0" w:color="auto"/>
              <w:bottom w:val="single" w:sz="2" w:space="0" w:color="auto"/>
              <w:right w:val="single" w:sz="2" w:space="0" w:color="auto"/>
            </w:tcBorders>
          </w:tcPr>
          <w:p w14:paraId="4F448354" w14:textId="77777777" w:rsidR="009F4766" w:rsidRPr="00DE12A3" w:rsidRDefault="009F4766" w:rsidP="00C917D6">
            <w:pPr>
              <w:pStyle w:val="NormalLeft"/>
            </w:pPr>
            <w:r w:rsidRPr="00DE12A3">
              <w:t>1114</w:t>
            </w:r>
          </w:p>
        </w:tc>
        <w:tc>
          <w:tcPr>
            <w:tcW w:w="2489" w:type="dxa"/>
            <w:tcBorders>
              <w:top w:val="single" w:sz="2" w:space="0" w:color="auto"/>
              <w:left w:val="single" w:sz="2" w:space="0" w:color="auto"/>
              <w:bottom w:val="single" w:sz="2" w:space="0" w:color="auto"/>
              <w:right w:val="single" w:sz="2" w:space="0" w:color="auto"/>
            </w:tcBorders>
          </w:tcPr>
          <w:p w14:paraId="126F0BA1" w14:textId="77777777" w:rsidR="009F4766" w:rsidRPr="00DE12A3" w:rsidRDefault="009F4766" w:rsidP="00C917D6">
            <w:pPr>
              <w:pStyle w:val="NormalLeft"/>
            </w:pPr>
            <w:r w:rsidRPr="00DE12A3">
              <w:t>102</w:t>
            </w:r>
          </w:p>
        </w:tc>
        <w:tc>
          <w:tcPr>
            <w:tcW w:w="2551" w:type="dxa"/>
            <w:tcBorders>
              <w:top w:val="single" w:sz="2" w:space="0" w:color="auto"/>
              <w:left w:val="single" w:sz="2" w:space="0" w:color="auto"/>
              <w:bottom w:val="single" w:sz="2" w:space="0" w:color="auto"/>
              <w:right w:val="single" w:sz="2" w:space="0" w:color="auto"/>
            </w:tcBorders>
          </w:tcPr>
          <w:p w14:paraId="491DD85C" w14:textId="77777777" w:rsidR="009F4766" w:rsidRPr="00DE12A3" w:rsidRDefault="009F4766" w:rsidP="00C917D6">
            <w:pPr>
              <w:pStyle w:val="NormalLeft"/>
            </w:pPr>
            <w:r w:rsidRPr="00DE12A3">
              <w:t>18</w:t>
            </w:r>
          </w:p>
        </w:tc>
      </w:tr>
      <w:tr w:rsidR="00DE12A3" w:rsidRPr="00DE12A3" w14:paraId="6C8A86A5" w14:textId="77777777" w:rsidTr="009F4766">
        <w:tc>
          <w:tcPr>
            <w:tcW w:w="1182" w:type="dxa"/>
            <w:tcBorders>
              <w:top w:val="single" w:sz="2" w:space="0" w:color="auto"/>
              <w:left w:val="single" w:sz="2" w:space="0" w:color="auto"/>
              <w:bottom w:val="single" w:sz="2" w:space="0" w:color="auto"/>
              <w:right w:val="single" w:sz="2" w:space="0" w:color="auto"/>
            </w:tcBorders>
          </w:tcPr>
          <w:p w14:paraId="001653F0" w14:textId="77777777" w:rsidR="009F4766" w:rsidRPr="00DE12A3" w:rsidRDefault="009F4766" w:rsidP="00C917D6">
            <w:pPr>
              <w:pStyle w:val="NormalLeft"/>
            </w:pPr>
            <w:r w:rsidRPr="00DE12A3">
              <w:t>1115</w:t>
            </w:r>
          </w:p>
        </w:tc>
        <w:tc>
          <w:tcPr>
            <w:tcW w:w="2489" w:type="dxa"/>
            <w:tcBorders>
              <w:top w:val="single" w:sz="2" w:space="0" w:color="auto"/>
              <w:left w:val="single" w:sz="2" w:space="0" w:color="auto"/>
              <w:bottom w:val="single" w:sz="2" w:space="0" w:color="auto"/>
              <w:right w:val="single" w:sz="2" w:space="0" w:color="auto"/>
            </w:tcBorders>
          </w:tcPr>
          <w:p w14:paraId="739EE105" w14:textId="77777777" w:rsidR="009F4766" w:rsidRPr="00DE12A3" w:rsidRDefault="009F4766" w:rsidP="00C917D6">
            <w:pPr>
              <w:pStyle w:val="NormalLeft"/>
            </w:pPr>
            <w:r w:rsidRPr="00DE12A3">
              <w:t>102</w:t>
            </w:r>
          </w:p>
        </w:tc>
        <w:tc>
          <w:tcPr>
            <w:tcW w:w="2551" w:type="dxa"/>
            <w:tcBorders>
              <w:top w:val="single" w:sz="2" w:space="0" w:color="auto"/>
              <w:left w:val="single" w:sz="2" w:space="0" w:color="auto"/>
              <w:bottom w:val="single" w:sz="2" w:space="0" w:color="auto"/>
              <w:right w:val="single" w:sz="2" w:space="0" w:color="auto"/>
            </w:tcBorders>
          </w:tcPr>
          <w:p w14:paraId="312B7DEC" w14:textId="77777777" w:rsidR="009F4766" w:rsidRPr="00DE12A3" w:rsidRDefault="009F4766" w:rsidP="00C917D6">
            <w:pPr>
              <w:pStyle w:val="NormalLeft"/>
            </w:pPr>
            <w:r w:rsidRPr="00DE12A3">
              <w:t>31</w:t>
            </w:r>
          </w:p>
        </w:tc>
      </w:tr>
      <w:tr w:rsidR="00DE12A3" w:rsidRPr="00DE12A3" w14:paraId="3299760A" w14:textId="77777777" w:rsidTr="009F4766">
        <w:tc>
          <w:tcPr>
            <w:tcW w:w="1182" w:type="dxa"/>
            <w:tcBorders>
              <w:top w:val="single" w:sz="2" w:space="0" w:color="auto"/>
              <w:left w:val="single" w:sz="2" w:space="0" w:color="auto"/>
              <w:bottom w:val="single" w:sz="2" w:space="0" w:color="auto"/>
              <w:right w:val="single" w:sz="2" w:space="0" w:color="auto"/>
            </w:tcBorders>
          </w:tcPr>
          <w:p w14:paraId="195C65D3" w14:textId="77777777" w:rsidR="009F4766" w:rsidRPr="00DE12A3" w:rsidRDefault="009F4766" w:rsidP="00C917D6">
            <w:pPr>
              <w:pStyle w:val="NormalLeft"/>
            </w:pPr>
            <w:r w:rsidRPr="00DE12A3">
              <w:t>1116</w:t>
            </w:r>
          </w:p>
        </w:tc>
        <w:tc>
          <w:tcPr>
            <w:tcW w:w="2489" w:type="dxa"/>
            <w:tcBorders>
              <w:top w:val="single" w:sz="2" w:space="0" w:color="auto"/>
              <w:left w:val="single" w:sz="2" w:space="0" w:color="auto"/>
              <w:bottom w:val="single" w:sz="2" w:space="0" w:color="auto"/>
              <w:right w:val="single" w:sz="2" w:space="0" w:color="auto"/>
            </w:tcBorders>
          </w:tcPr>
          <w:p w14:paraId="08BB0920" w14:textId="77777777" w:rsidR="009F4766" w:rsidRPr="00DE12A3" w:rsidRDefault="009F4766" w:rsidP="00C917D6">
            <w:pPr>
              <w:pStyle w:val="NormalLeft"/>
            </w:pPr>
            <w:r w:rsidRPr="00DE12A3">
              <w:t>101</w:t>
            </w:r>
          </w:p>
        </w:tc>
        <w:tc>
          <w:tcPr>
            <w:tcW w:w="2551" w:type="dxa"/>
            <w:tcBorders>
              <w:top w:val="single" w:sz="2" w:space="0" w:color="auto"/>
              <w:left w:val="single" w:sz="2" w:space="0" w:color="auto"/>
              <w:bottom w:val="single" w:sz="2" w:space="0" w:color="auto"/>
              <w:right w:val="single" w:sz="2" w:space="0" w:color="auto"/>
            </w:tcBorders>
          </w:tcPr>
          <w:p w14:paraId="0A59D051" w14:textId="77777777" w:rsidR="009F4766" w:rsidRPr="00DE12A3" w:rsidRDefault="009F4766" w:rsidP="00C917D6">
            <w:pPr>
              <w:pStyle w:val="NormalLeft"/>
            </w:pPr>
            <w:r w:rsidRPr="00DE12A3">
              <w:t>24</w:t>
            </w:r>
          </w:p>
        </w:tc>
      </w:tr>
      <w:tr w:rsidR="00DE12A3" w:rsidRPr="00DE12A3" w14:paraId="5B4232D3" w14:textId="77777777" w:rsidTr="009F4766">
        <w:tc>
          <w:tcPr>
            <w:tcW w:w="1182" w:type="dxa"/>
            <w:tcBorders>
              <w:top w:val="single" w:sz="2" w:space="0" w:color="auto"/>
              <w:left w:val="single" w:sz="2" w:space="0" w:color="auto"/>
              <w:bottom w:val="single" w:sz="2" w:space="0" w:color="auto"/>
              <w:right w:val="single" w:sz="2" w:space="0" w:color="auto"/>
            </w:tcBorders>
          </w:tcPr>
          <w:p w14:paraId="44522377" w14:textId="77777777" w:rsidR="009F4766" w:rsidRPr="00DE12A3" w:rsidRDefault="009F4766" w:rsidP="00C917D6">
            <w:pPr>
              <w:pStyle w:val="NormalLeft"/>
            </w:pPr>
            <w:r w:rsidRPr="00DE12A3">
              <w:t>1117</w:t>
            </w:r>
          </w:p>
        </w:tc>
        <w:tc>
          <w:tcPr>
            <w:tcW w:w="2489" w:type="dxa"/>
            <w:tcBorders>
              <w:top w:val="single" w:sz="2" w:space="0" w:color="auto"/>
              <w:left w:val="single" w:sz="2" w:space="0" w:color="auto"/>
              <w:bottom w:val="single" w:sz="2" w:space="0" w:color="auto"/>
              <w:right w:val="single" w:sz="2" w:space="0" w:color="auto"/>
            </w:tcBorders>
          </w:tcPr>
          <w:p w14:paraId="1E277129" w14:textId="77777777" w:rsidR="009F4766" w:rsidRPr="00DE12A3" w:rsidRDefault="009F4766" w:rsidP="00C917D6">
            <w:pPr>
              <w:pStyle w:val="NormalLeft"/>
            </w:pPr>
            <w:r w:rsidRPr="00DE12A3">
              <w:t>102</w:t>
            </w:r>
          </w:p>
        </w:tc>
        <w:tc>
          <w:tcPr>
            <w:tcW w:w="2551" w:type="dxa"/>
            <w:tcBorders>
              <w:top w:val="single" w:sz="2" w:space="0" w:color="auto"/>
              <w:left w:val="single" w:sz="2" w:space="0" w:color="auto"/>
              <w:bottom w:val="single" w:sz="2" w:space="0" w:color="auto"/>
              <w:right w:val="single" w:sz="2" w:space="0" w:color="auto"/>
            </w:tcBorders>
          </w:tcPr>
          <w:p w14:paraId="6A2CFF12" w14:textId="77777777" w:rsidR="009F4766" w:rsidRPr="00DE12A3" w:rsidRDefault="009F4766" w:rsidP="00C917D6">
            <w:pPr>
              <w:pStyle w:val="NormalLeft"/>
            </w:pPr>
            <w:r w:rsidRPr="00DE12A3">
              <w:t>19</w:t>
            </w:r>
          </w:p>
        </w:tc>
      </w:tr>
      <w:tr w:rsidR="00DE12A3" w:rsidRPr="00DE12A3" w14:paraId="27F3B6DD" w14:textId="77777777" w:rsidTr="009F4766">
        <w:tc>
          <w:tcPr>
            <w:tcW w:w="1182" w:type="dxa"/>
            <w:tcBorders>
              <w:top w:val="single" w:sz="2" w:space="0" w:color="auto"/>
              <w:left w:val="single" w:sz="2" w:space="0" w:color="auto"/>
              <w:bottom w:val="single" w:sz="2" w:space="0" w:color="auto"/>
              <w:right w:val="single" w:sz="2" w:space="0" w:color="auto"/>
            </w:tcBorders>
          </w:tcPr>
          <w:p w14:paraId="15A4A7F7" w14:textId="77777777" w:rsidR="009F4766" w:rsidRPr="00DE12A3" w:rsidRDefault="009F4766" w:rsidP="00C917D6">
            <w:pPr>
              <w:pStyle w:val="NormalLeft"/>
            </w:pPr>
            <w:r w:rsidRPr="00DE12A3">
              <w:t>1118</w:t>
            </w:r>
          </w:p>
        </w:tc>
        <w:tc>
          <w:tcPr>
            <w:tcW w:w="2489" w:type="dxa"/>
            <w:tcBorders>
              <w:top w:val="single" w:sz="2" w:space="0" w:color="auto"/>
              <w:left w:val="single" w:sz="2" w:space="0" w:color="auto"/>
              <w:bottom w:val="single" w:sz="2" w:space="0" w:color="auto"/>
              <w:right w:val="single" w:sz="2" w:space="0" w:color="auto"/>
            </w:tcBorders>
          </w:tcPr>
          <w:p w14:paraId="68CC6401" w14:textId="77777777" w:rsidR="009F4766" w:rsidRPr="00DE12A3" w:rsidRDefault="009F4766" w:rsidP="00C917D6">
            <w:pPr>
              <w:pStyle w:val="NormalLeft"/>
            </w:pPr>
            <w:r w:rsidRPr="00DE12A3">
              <w:t>103</w:t>
            </w:r>
          </w:p>
        </w:tc>
        <w:tc>
          <w:tcPr>
            <w:tcW w:w="2551" w:type="dxa"/>
            <w:tcBorders>
              <w:top w:val="single" w:sz="2" w:space="0" w:color="auto"/>
              <w:left w:val="single" w:sz="2" w:space="0" w:color="auto"/>
              <w:bottom w:val="single" w:sz="2" w:space="0" w:color="auto"/>
              <w:right w:val="single" w:sz="2" w:space="0" w:color="auto"/>
            </w:tcBorders>
          </w:tcPr>
          <w:p w14:paraId="042559D3" w14:textId="77777777" w:rsidR="009F4766" w:rsidRPr="00DE12A3" w:rsidRDefault="009F4766" w:rsidP="00C917D6">
            <w:pPr>
              <w:pStyle w:val="NormalLeft"/>
            </w:pPr>
            <w:r w:rsidRPr="00DE12A3">
              <w:t>10</w:t>
            </w:r>
          </w:p>
        </w:tc>
      </w:tr>
      <w:tr w:rsidR="00DE12A3" w:rsidRPr="00DE12A3" w14:paraId="430EB321" w14:textId="77777777" w:rsidTr="009F4766">
        <w:tc>
          <w:tcPr>
            <w:tcW w:w="1182" w:type="dxa"/>
            <w:tcBorders>
              <w:top w:val="single" w:sz="2" w:space="0" w:color="auto"/>
              <w:left w:val="single" w:sz="2" w:space="0" w:color="auto"/>
              <w:bottom w:val="single" w:sz="2" w:space="0" w:color="auto"/>
              <w:right w:val="single" w:sz="2" w:space="0" w:color="auto"/>
            </w:tcBorders>
          </w:tcPr>
          <w:p w14:paraId="4BBB1380" w14:textId="77777777" w:rsidR="009F4766" w:rsidRPr="00DE12A3" w:rsidRDefault="009F4766" w:rsidP="00C917D6">
            <w:pPr>
              <w:pStyle w:val="NormalLeft"/>
            </w:pPr>
            <w:r w:rsidRPr="00DE12A3">
              <w:t>1119</w:t>
            </w:r>
          </w:p>
        </w:tc>
        <w:tc>
          <w:tcPr>
            <w:tcW w:w="2489" w:type="dxa"/>
            <w:tcBorders>
              <w:top w:val="single" w:sz="2" w:space="0" w:color="auto"/>
              <w:left w:val="single" w:sz="2" w:space="0" w:color="auto"/>
              <w:bottom w:val="single" w:sz="2" w:space="0" w:color="auto"/>
              <w:right w:val="single" w:sz="2" w:space="0" w:color="auto"/>
            </w:tcBorders>
          </w:tcPr>
          <w:p w14:paraId="62E7FFD2" w14:textId="77777777" w:rsidR="009F4766" w:rsidRPr="00DE12A3" w:rsidRDefault="009F4766" w:rsidP="00C917D6">
            <w:pPr>
              <w:pStyle w:val="NormalLeft"/>
            </w:pPr>
            <w:r w:rsidRPr="00DE12A3">
              <w:t>102</w:t>
            </w:r>
          </w:p>
        </w:tc>
        <w:tc>
          <w:tcPr>
            <w:tcW w:w="2551" w:type="dxa"/>
            <w:tcBorders>
              <w:top w:val="single" w:sz="2" w:space="0" w:color="auto"/>
              <w:left w:val="single" w:sz="2" w:space="0" w:color="auto"/>
              <w:bottom w:val="single" w:sz="2" w:space="0" w:color="auto"/>
              <w:right w:val="single" w:sz="2" w:space="0" w:color="auto"/>
            </w:tcBorders>
          </w:tcPr>
          <w:p w14:paraId="794E11D3" w14:textId="77777777" w:rsidR="009F4766" w:rsidRPr="00DE12A3" w:rsidRDefault="009F4766" w:rsidP="00C917D6">
            <w:pPr>
              <w:pStyle w:val="NormalLeft"/>
            </w:pPr>
            <w:r w:rsidRPr="00DE12A3">
              <w:t>12</w:t>
            </w:r>
          </w:p>
        </w:tc>
      </w:tr>
      <w:tr w:rsidR="00DE12A3" w:rsidRPr="00DE12A3" w14:paraId="3C4489ED" w14:textId="77777777" w:rsidTr="009F4766">
        <w:tc>
          <w:tcPr>
            <w:tcW w:w="1182" w:type="dxa"/>
            <w:tcBorders>
              <w:top w:val="single" w:sz="2" w:space="0" w:color="auto"/>
              <w:left w:val="single" w:sz="2" w:space="0" w:color="auto"/>
              <w:bottom w:val="single" w:sz="2" w:space="0" w:color="auto"/>
              <w:right w:val="single" w:sz="2" w:space="0" w:color="auto"/>
            </w:tcBorders>
          </w:tcPr>
          <w:p w14:paraId="25FACCFC" w14:textId="77777777" w:rsidR="009F4766" w:rsidRPr="00DE12A3" w:rsidRDefault="009F4766" w:rsidP="00C917D6">
            <w:pPr>
              <w:pStyle w:val="NormalLeft"/>
            </w:pPr>
            <w:r w:rsidRPr="00DE12A3">
              <w:t>1120</w:t>
            </w:r>
          </w:p>
        </w:tc>
        <w:tc>
          <w:tcPr>
            <w:tcW w:w="2489" w:type="dxa"/>
            <w:tcBorders>
              <w:top w:val="single" w:sz="2" w:space="0" w:color="auto"/>
              <w:left w:val="single" w:sz="2" w:space="0" w:color="auto"/>
              <w:bottom w:val="single" w:sz="2" w:space="0" w:color="auto"/>
              <w:right w:val="single" w:sz="2" w:space="0" w:color="auto"/>
            </w:tcBorders>
          </w:tcPr>
          <w:p w14:paraId="2196AAC7" w14:textId="77777777" w:rsidR="009F4766" w:rsidRPr="00DE12A3" w:rsidRDefault="009F4766" w:rsidP="00C917D6">
            <w:pPr>
              <w:pStyle w:val="NormalLeft"/>
            </w:pPr>
            <w:r w:rsidRPr="00DE12A3">
              <w:t>99</w:t>
            </w:r>
          </w:p>
        </w:tc>
        <w:tc>
          <w:tcPr>
            <w:tcW w:w="2551" w:type="dxa"/>
            <w:tcBorders>
              <w:top w:val="single" w:sz="2" w:space="0" w:color="auto"/>
              <w:left w:val="single" w:sz="2" w:space="0" w:color="auto"/>
              <w:bottom w:val="single" w:sz="2" w:space="0" w:color="auto"/>
              <w:right w:val="single" w:sz="2" w:space="0" w:color="auto"/>
            </w:tcBorders>
          </w:tcPr>
          <w:p w14:paraId="2C2255DB" w14:textId="77777777" w:rsidR="009F4766" w:rsidRPr="00DE12A3" w:rsidRDefault="009F4766" w:rsidP="00C917D6">
            <w:pPr>
              <w:pStyle w:val="NormalLeft"/>
            </w:pPr>
            <w:r w:rsidRPr="00DE12A3">
              <w:t>56</w:t>
            </w:r>
          </w:p>
        </w:tc>
      </w:tr>
      <w:tr w:rsidR="00DE12A3" w:rsidRPr="00DE12A3" w14:paraId="5DCC34CB" w14:textId="77777777" w:rsidTr="009F4766">
        <w:tc>
          <w:tcPr>
            <w:tcW w:w="1182" w:type="dxa"/>
            <w:tcBorders>
              <w:top w:val="single" w:sz="2" w:space="0" w:color="auto"/>
              <w:left w:val="single" w:sz="2" w:space="0" w:color="auto"/>
              <w:bottom w:val="single" w:sz="2" w:space="0" w:color="auto"/>
              <w:right w:val="single" w:sz="2" w:space="0" w:color="auto"/>
            </w:tcBorders>
          </w:tcPr>
          <w:p w14:paraId="2C6C1AFF" w14:textId="77777777" w:rsidR="009F4766" w:rsidRPr="00DE12A3" w:rsidRDefault="009F4766" w:rsidP="00C917D6">
            <w:pPr>
              <w:pStyle w:val="NormalLeft"/>
            </w:pPr>
            <w:r w:rsidRPr="00DE12A3">
              <w:t>1121</w:t>
            </w:r>
          </w:p>
        </w:tc>
        <w:tc>
          <w:tcPr>
            <w:tcW w:w="2489" w:type="dxa"/>
            <w:tcBorders>
              <w:top w:val="single" w:sz="2" w:space="0" w:color="auto"/>
              <w:left w:val="single" w:sz="2" w:space="0" w:color="auto"/>
              <w:bottom w:val="single" w:sz="2" w:space="0" w:color="auto"/>
              <w:right w:val="single" w:sz="2" w:space="0" w:color="auto"/>
            </w:tcBorders>
          </w:tcPr>
          <w:p w14:paraId="4A547091" w14:textId="77777777" w:rsidR="009F4766" w:rsidRPr="00DE12A3" w:rsidRDefault="009F4766" w:rsidP="00C917D6">
            <w:pPr>
              <w:pStyle w:val="NormalLeft"/>
            </w:pPr>
            <w:r w:rsidRPr="00DE12A3">
              <w:t>96</w:t>
            </w:r>
          </w:p>
        </w:tc>
        <w:tc>
          <w:tcPr>
            <w:tcW w:w="2551" w:type="dxa"/>
            <w:tcBorders>
              <w:top w:val="single" w:sz="2" w:space="0" w:color="auto"/>
              <w:left w:val="single" w:sz="2" w:space="0" w:color="auto"/>
              <w:bottom w:val="single" w:sz="2" w:space="0" w:color="auto"/>
              <w:right w:val="single" w:sz="2" w:space="0" w:color="auto"/>
            </w:tcBorders>
          </w:tcPr>
          <w:p w14:paraId="246F52E7" w14:textId="77777777" w:rsidR="009F4766" w:rsidRPr="00DE12A3" w:rsidRDefault="009F4766" w:rsidP="00C917D6">
            <w:pPr>
              <w:pStyle w:val="NormalLeft"/>
            </w:pPr>
            <w:r w:rsidRPr="00DE12A3">
              <w:t>59</w:t>
            </w:r>
          </w:p>
        </w:tc>
      </w:tr>
      <w:tr w:rsidR="00DE12A3" w:rsidRPr="00DE12A3" w14:paraId="3119813F" w14:textId="77777777" w:rsidTr="009F4766">
        <w:tc>
          <w:tcPr>
            <w:tcW w:w="1182" w:type="dxa"/>
            <w:tcBorders>
              <w:top w:val="single" w:sz="2" w:space="0" w:color="auto"/>
              <w:left w:val="single" w:sz="2" w:space="0" w:color="auto"/>
              <w:bottom w:val="single" w:sz="2" w:space="0" w:color="auto"/>
              <w:right w:val="single" w:sz="2" w:space="0" w:color="auto"/>
            </w:tcBorders>
          </w:tcPr>
          <w:p w14:paraId="7E123785" w14:textId="77777777" w:rsidR="009F4766" w:rsidRPr="00DE12A3" w:rsidRDefault="009F4766" w:rsidP="00C917D6">
            <w:pPr>
              <w:pStyle w:val="NormalLeft"/>
            </w:pPr>
            <w:r w:rsidRPr="00DE12A3">
              <w:t>1122</w:t>
            </w:r>
          </w:p>
        </w:tc>
        <w:tc>
          <w:tcPr>
            <w:tcW w:w="2489" w:type="dxa"/>
            <w:tcBorders>
              <w:top w:val="single" w:sz="2" w:space="0" w:color="auto"/>
              <w:left w:val="single" w:sz="2" w:space="0" w:color="auto"/>
              <w:bottom w:val="single" w:sz="2" w:space="0" w:color="auto"/>
              <w:right w:val="single" w:sz="2" w:space="0" w:color="auto"/>
            </w:tcBorders>
          </w:tcPr>
          <w:p w14:paraId="1BE8D91D" w14:textId="77777777" w:rsidR="009F4766" w:rsidRPr="00DE12A3" w:rsidRDefault="009F4766" w:rsidP="00C917D6">
            <w:pPr>
              <w:pStyle w:val="NormalLeft"/>
            </w:pPr>
            <w:r w:rsidRPr="00DE12A3">
              <w:t>74</w:t>
            </w:r>
          </w:p>
        </w:tc>
        <w:tc>
          <w:tcPr>
            <w:tcW w:w="2551" w:type="dxa"/>
            <w:tcBorders>
              <w:top w:val="single" w:sz="2" w:space="0" w:color="auto"/>
              <w:left w:val="single" w:sz="2" w:space="0" w:color="auto"/>
              <w:bottom w:val="single" w:sz="2" w:space="0" w:color="auto"/>
              <w:right w:val="single" w:sz="2" w:space="0" w:color="auto"/>
            </w:tcBorders>
          </w:tcPr>
          <w:p w14:paraId="4EDDE14F" w14:textId="77777777" w:rsidR="009F4766" w:rsidRPr="00DE12A3" w:rsidRDefault="009F4766" w:rsidP="00C917D6">
            <w:pPr>
              <w:pStyle w:val="NormalLeft"/>
            </w:pPr>
            <w:r w:rsidRPr="00DE12A3">
              <w:t>28</w:t>
            </w:r>
          </w:p>
        </w:tc>
      </w:tr>
      <w:tr w:rsidR="00DE12A3" w:rsidRPr="00DE12A3" w14:paraId="26A68469" w14:textId="77777777" w:rsidTr="009F4766">
        <w:tc>
          <w:tcPr>
            <w:tcW w:w="1182" w:type="dxa"/>
            <w:tcBorders>
              <w:top w:val="single" w:sz="2" w:space="0" w:color="auto"/>
              <w:left w:val="single" w:sz="2" w:space="0" w:color="auto"/>
              <w:bottom w:val="single" w:sz="2" w:space="0" w:color="auto"/>
              <w:right w:val="single" w:sz="2" w:space="0" w:color="auto"/>
            </w:tcBorders>
          </w:tcPr>
          <w:p w14:paraId="3A8016CB" w14:textId="77777777" w:rsidR="009F4766" w:rsidRPr="00DE12A3" w:rsidRDefault="009F4766" w:rsidP="00C917D6">
            <w:pPr>
              <w:pStyle w:val="NormalLeft"/>
            </w:pPr>
            <w:r w:rsidRPr="00DE12A3">
              <w:t>1123</w:t>
            </w:r>
          </w:p>
        </w:tc>
        <w:tc>
          <w:tcPr>
            <w:tcW w:w="2489" w:type="dxa"/>
            <w:tcBorders>
              <w:top w:val="single" w:sz="2" w:space="0" w:color="auto"/>
              <w:left w:val="single" w:sz="2" w:space="0" w:color="auto"/>
              <w:bottom w:val="single" w:sz="2" w:space="0" w:color="auto"/>
              <w:right w:val="single" w:sz="2" w:space="0" w:color="auto"/>
            </w:tcBorders>
          </w:tcPr>
          <w:p w14:paraId="5EF73978" w14:textId="77777777" w:rsidR="009F4766" w:rsidRPr="00DE12A3" w:rsidRDefault="009F4766" w:rsidP="00C917D6">
            <w:pPr>
              <w:pStyle w:val="NormalLeft"/>
            </w:pPr>
            <w:r w:rsidRPr="00DE12A3">
              <w:t>66</w:t>
            </w:r>
          </w:p>
        </w:tc>
        <w:tc>
          <w:tcPr>
            <w:tcW w:w="2551" w:type="dxa"/>
            <w:tcBorders>
              <w:top w:val="single" w:sz="2" w:space="0" w:color="auto"/>
              <w:left w:val="single" w:sz="2" w:space="0" w:color="auto"/>
              <w:bottom w:val="single" w:sz="2" w:space="0" w:color="auto"/>
              <w:right w:val="single" w:sz="2" w:space="0" w:color="auto"/>
            </w:tcBorders>
          </w:tcPr>
          <w:p w14:paraId="4D64949F" w14:textId="77777777" w:rsidR="009F4766" w:rsidRPr="00DE12A3" w:rsidRDefault="009F4766" w:rsidP="00C917D6">
            <w:pPr>
              <w:pStyle w:val="NormalLeft"/>
            </w:pPr>
            <w:r w:rsidRPr="00DE12A3">
              <w:t>62</w:t>
            </w:r>
          </w:p>
        </w:tc>
      </w:tr>
      <w:tr w:rsidR="00DE12A3" w:rsidRPr="00DE12A3" w14:paraId="15DF2D1F" w14:textId="77777777" w:rsidTr="009F4766">
        <w:tc>
          <w:tcPr>
            <w:tcW w:w="1182" w:type="dxa"/>
            <w:tcBorders>
              <w:top w:val="single" w:sz="2" w:space="0" w:color="auto"/>
              <w:left w:val="single" w:sz="2" w:space="0" w:color="auto"/>
              <w:bottom w:val="single" w:sz="2" w:space="0" w:color="auto"/>
              <w:right w:val="single" w:sz="2" w:space="0" w:color="auto"/>
            </w:tcBorders>
          </w:tcPr>
          <w:p w14:paraId="5D327228" w14:textId="77777777" w:rsidR="009F4766" w:rsidRPr="00DE12A3" w:rsidRDefault="009F4766" w:rsidP="00C917D6">
            <w:pPr>
              <w:pStyle w:val="NormalLeft"/>
            </w:pPr>
            <w:r w:rsidRPr="00DE12A3">
              <w:lastRenderedPageBreak/>
              <w:t>1124</w:t>
            </w:r>
          </w:p>
        </w:tc>
        <w:tc>
          <w:tcPr>
            <w:tcW w:w="2489" w:type="dxa"/>
            <w:tcBorders>
              <w:top w:val="single" w:sz="2" w:space="0" w:color="auto"/>
              <w:left w:val="single" w:sz="2" w:space="0" w:color="auto"/>
              <w:bottom w:val="single" w:sz="2" w:space="0" w:color="auto"/>
              <w:right w:val="single" w:sz="2" w:space="0" w:color="auto"/>
            </w:tcBorders>
          </w:tcPr>
          <w:p w14:paraId="73524357" w14:textId="77777777" w:rsidR="009F4766" w:rsidRPr="00DE12A3" w:rsidRDefault="009F4766" w:rsidP="00C917D6">
            <w:pPr>
              <w:pStyle w:val="NormalLeft"/>
            </w:pPr>
            <w:r w:rsidRPr="00DE12A3">
              <w:t>74</w:t>
            </w:r>
          </w:p>
        </w:tc>
        <w:tc>
          <w:tcPr>
            <w:tcW w:w="2551" w:type="dxa"/>
            <w:tcBorders>
              <w:top w:val="single" w:sz="2" w:space="0" w:color="auto"/>
              <w:left w:val="single" w:sz="2" w:space="0" w:color="auto"/>
              <w:bottom w:val="single" w:sz="2" w:space="0" w:color="auto"/>
              <w:right w:val="single" w:sz="2" w:space="0" w:color="auto"/>
            </w:tcBorders>
          </w:tcPr>
          <w:p w14:paraId="35EE6681" w14:textId="77777777" w:rsidR="009F4766" w:rsidRPr="00DE12A3" w:rsidRDefault="009F4766" w:rsidP="00C917D6">
            <w:pPr>
              <w:pStyle w:val="NormalLeft"/>
            </w:pPr>
            <w:r w:rsidRPr="00DE12A3">
              <w:t>29</w:t>
            </w:r>
          </w:p>
        </w:tc>
      </w:tr>
      <w:tr w:rsidR="00DE12A3" w:rsidRPr="00DE12A3" w14:paraId="3AD24CE7" w14:textId="77777777" w:rsidTr="009F4766">
        <w:tc>
          <w:tcPr>
            <w:tcW w:w="1182" w:type="dxa"/>
            <w:tcBorders>
              <w:top w:val="single" w:sz="2" w:space="0" w:color="auto"/>
              <w:left w:val="single" w:sz="2" w:space="0" w:color="auto"/>
              <w:bottom w:val="single" w:sz="2" w:space="0" w:color="auto"/>
              <w:right w:val="single" w:sz="2" w:space="0" w:color="auto"/>
            </w:tcBorders>
          </w:tcPr>
          <w:p w14:paraId="2DD2B1F7" w14:textId="77777777" w:rsidR="009F4766" w:rsidRPr="00DE12A3" w:rsidRDefault="009F4766" w:rsidP="00C917D6">
            <w:pPr>
              <w:pStyle w:val="NormalLeft"/>
            </w:pPr>
            <w:r w:rsidRPr="00DE12A3">
              <w:t>1125</w:t>
            </w:r>
          </w:p>
        </w:tc>
        <w:tc>
          <w:tcPr>
            <w:tcW w:w="2489" w:type="dxa"/>
            <w:tcBorders>
              <w:top w:val="single" w:sz="2" w:space="0" w:color="auto"/>
              <w:left w:val="single" w:sz="2" w:space="0" w:color="auto"/>
              <w:bottom w:val="single" w:sz="2" w:space="0" w:color="auto"/>
              <w:right w:val="single" w:sz="2" w:space="0" w:color="auto"/>
            </w:tcBorders>
          </w:tcPr>
          <w:p w14:paraId="070210F3" w14:textId="77777777" w:rsidR="009F4766" w:rsidRPr="00DE12A3" w:rsidRDefault="009F4766" w:rsidP="00C917D6">
            <w:pPr>
              <w:pStyle w:val="NormalLeft"/>
            </w:pPr>
            <w:r w:rsidRPr="00DE12A3">
              <w:t>64</w:t>
            </w:r>
          </w:p>
        </w:tc>
        <w:tc>
          <w:tcPr>
            <w:tcW w:w="2551" w:type="dxa"/>
            <w:tcBorders>
              <w:top w:val="single" w:sz="2" w:space="0" w:color="auto"/>
              <w:left w:val="single" w:sz="2" w:space="0" w:color="auto"/>
              <w:bottom w:val="single" w:sz="2" w:space="0" w:color="auto"/>
              <w:right w:val="single" w:sz="2" w:space="0" w:color="auto"/>
            </w:tcBorders>
          </w:tcPr>
          <w:p w14:paraId="7550E0F0" w14:textId="77777777" w:rsidR="009F4766" w:rsidRPr="00DE12A3" w:rsidRDefault="009F4766" w:rsidP="00C917D6">
            <w:pPr>
              <w:pStyle w:val="NormalLeft"/>
            </w:pPr>
            <w:r w:rsidRPr="00DE12A3">
              <w:t>74</w:t>
            </w:r>
          </w:p>
        </w:tc>
      </w:tr>
      <w:tr w:rsidR="00DE12A3" w:rsidRPr="00DE12A3" w14:paraId="290D6BE2" w14:textId="77777777" w:rsidTr="009F4766">
        <w:tc>
          <w:tcPr>
            <w:tcW w:w="1182" w:type="dxa"/>
            <w:tcBorders>
              <w:top w:val="single" w:sz="2" w:space="0" w:color="auto"/>
              <w:left w:val="single" w:sz="2" w:space="0" w:color="auto"/>
              <w:bottom w:val="single" w:sz="2" w:space="0" w:color="auto"/>
              <w:right w:val="single" w:sz="2" w:space="0" w:color="auto"/>
            </w:tcBorders>
          </w:tcPr>
          <w:p w14:paraId="30DCFB2F" w14:textId="77777777" w:rsidR="009F4766" w:rsidRPr="00DE12A3" w:rsidRDefault="009F4766" w:rsidP="00C917D6">
            <w:pPr>
              <w:pStyle w:val="NormalLeft"/>
            </w:pPr>
            <w:r w:rsidRPr="00DE12A3">
              <w:t>1126</w:t>
            </w:r>
          </w:p>
        </w:tc>
        <w:tc>
          <w:tcPr>
            <w:tcW w:w="2489" w:type="dxa"/>
            <w:tcBorders>
              <w:top w:val="single" w:sz="2" w:space="0" w:color="auto"/>
              <w:left w:val="single" w:sz="2" w:space="0" w:color="auto"/>
              <w:bottom w:val="single" w:sz="2" w:space="0" w:color="auto"/>
              <w:right w:val="single" w:sz="2" w:space="0" w:color="auto"/>
            </w:tcBorders>
          </w:tcPr>
          <w:p w14:paraId="289CF592" w14:textId="77777777" w:rsidR="009F4766" w:rsidRPr="00DE12A3" w:rsidRDefault="009F4766" w:rsidP="00C917D6">
            <w:pPr>
              <w:pStyle w:val="NormalLeft"/>
            </w:pPr>
            <w:r w:rsidRPr="00DE12A3">
              <w:t>69</w:t>
            </w:r>
          </w:p>
        </w:tc>
        <w:tc>
          <w:tcPr>
            <w:tcW w:w="2551" w:type="dxa"/>
            <w:tcBorders>
              <w:top w:val="single" w:sz="2" w:space="0" w:color="auto"/>
              <w:left w:val="single" w:sz="2" w:space="0" w:color="auto"/>
              <w:bottom w:val="single" w:sz="2" w:space="0" w:color="auto"/>
              <w:right w:val="single" w:sz="2" w:space="0" w:color="auto"/>
            </w:tcBorders>
          </w:tcPr>
          <w:p w14:paraId="28859E0F" w14:textId="77777777" w:rsidR="009F4766" w:rsidRPr="00DE12A3" w:rsidRDefault="009F4766" w:rsidP="00C917D6">
            <w:pPr>
              <w:pStyle w:val="NormalLeft"/>
            </w:pPr>
            <w:r w:rsidRPr="00DE12A3">
              <w:t>40</w:t>
            </w:r>
          </w:p>
        </w:tc>
      </w:tr>
      <w:tr w:rsidR="00DE12A3" w:rsidRPr="00DE12A3" w14:paraId="5C16328B" w14:textId="77777777" w:rsidTr="009F4766">
        <w:tc>
          <w:tcPr>
            <w:tcW w:w="1182" w:type="dxa"/>
            <w:tcBorders>
              <w:top w:val="single" w:sz="2" w:space="0" w:color="auto"/>
              <w:left w:val="single" w:sz="2" w:space="0" w:color="auto"/>
              <w:bottom w:val="single" w:sz="2" w:space="0" w:color="auto"/>
              <w:right w:val="single" w:sz="2" w:space="0" w:color="auto"/>
            </w:tcBorders>
          </w:tcPr>
          <w:p w14:paraId="02F08D0E" w14:textId="77777777" w:rsidR="009F4766" w:rsidRPr="00DE12A3" w:rsidRDefault="009F4766" w:rsidP="00C917D6">
            <w:pPr>
              <w:pStyle w:val="NormalLeft"/>
            </w:pPr>
            <w:r w:rsidRPr="00DE12A3">
              <w:t>1127</w:t>
            </w:r>
          </w:p>
        </w:tc>
        <w:tc>
          <w:tcPr>
            <w:tcW w:w="2489" w:type="dxa"/>
            <w:tcBorders>
              <w:top w:val="single" w:sz="2" w:space="0" w:color="auto"/>
              <w:left w:val="single" w:sz="2" w:space="0" w:color="auto"/>
              <w:bottom w:val="single" w:sz="2" w:space="0" w:color="auto"/>
              <w:right w:val="single" w:sz="2" w:space="0" w:color="auto"/>
            </w:tcBorders>
          </w:tcPr>
          <w:p w14:paraId="615FFE4B" w14:textId="77777777" w:rsidR="009F4766" w:rsidRPr="00DE12A3" w:rsidRDefault="009F4766" w:rsidP="00C917D6">
            <w:pPr>
              <w:pStyle w:val="NormalLeft"/>
            </w:pPr>
            <w:r w:rsidRPr="00DE12A3">
              <w:t>76</w:t>
            </w:r>
          </w:p>
        </w:tc>
        <w:tc>
          <w:tcPr>
            <w:tcW w:w="2551" w:type="dxa"/>
            <w:tcBorders>
              <w:top w:val="single" w:sz="2" w:space="0" w:color="auto"/>
              <w:left w:val="single" w:sz="2" w:space="0" w:color="auto"/>
              <w:bottom w:val="single" w:sz="2" w:space="0" w:color="auto"/>
              <w:right w:val="single" w:sz="2" w:space="0" w:color="auto"/>
            </w:tcBorders>
          </w:tcPr>
          <w:p w14:paraId="3AAB6388" w14:textId="77777777" w:rsidR="009F4766" w:rsidRPr="00DE12A3" w:rsidRDefault="009F4766" w:rsidP="00C917D6">
            <w:pPr>
              <w:pStyle w:val="NormalLeft"/>
            </w:pPr>
            <w:r w:rsidRPr="00DE12A3">
              <w:t>2</w:t>
            </w:r>
          </w:p>
        </w:tc>
      </w:tr>
      <w:tr w:rsidR="00DE12A3" w:rsidRPr="00DE12A3" w14:paraId="268E0A9C" w14:textId="77777777" w:rsidTr="009F4766">
        <w:tc>
          <w:tcPr>
            <w:tcW w:w="1182" w:type="dxa"/>
            <w:tcBorders>
              <w:top w:val="single" w:sz="2" w:space="0" w:color="auto"/>
              <w:left w:val="single" w:sz="2" w:space="0" w:color="auto"/>
              <w:bottom w:val="single" w:sz="2" w:space="0" w:color="auto"/>
              <w:right w:val="single" w:sz="2" w:space="0" w:color="auto"/>
            </w:tcBorders>
          </w:tcPr>
          <w:p w14:paraId="5A9DEC0A" w14:textId="77777777" w:rsidR="009F4766" w:rsidRPr="00DE12A3" w:rsidRDefault="009F4766" w:rsidP="00C917D6">
            <w:pPr>
              <w:pStyle w:val="NormalLeft"/>
            </w:pPr>
            <w:r w:rsidRPr="00DE12A3">
              <w:t>1128</w:t>
            </w:r>
          </w:p>
        </w:tc>
        <w:tc>
          <w:tcPr>
            <w:tcW w:w="2489" w:type="dxa"/>
            <w:tcBorders>
              <w:top w:val="single" w:sz="2" w:space="0" w:color="auto"/>
              <w:left w:val="single" w:sz="2" w:space="0" w:color="auto"/>
              <w:bottom w:val="single" w:sz="2" w:space="0" w:color="auto"/>
              <w:right w:val="single" w:sz="2" w:space="0" w:color="auto"/>
            </w:tcBorders>
          </w:tcPr>
          <w:p w14:paraId="77752AE6" w14:textId="77777777" w:rsidR="009F4766" w:rsidRPr="00DE12A3" w:rsidRDefault="009F4766" w:rsidP="00C917D6">
            <w:pPr>
              <w:pStyle w:val="NormalLeft"/>
            </w:pPr>
            <w:r w:rsidRPr="00DE12A3">
              <w:t>72</w:t>
            </w:r>
          </w:p>
        </w:tc>
        <w:tc>
          <w:tcPr>
            <w:tcW w:w="2551" w:type="dxa"/>
            <w:tcBorders>
              <w:top w:val="single" w:sz="2" w:space="0" w:color="auto"/>
              <w:left w:val="single" w:sz="2" w:space="0" w:color="auto"/>
              <w:bottom w:val="single" w:sz="2" w:space="0" w:color="auto"/>
              <w:right w:val="single" w:sz="2" w:space="0" w:color="auto"/>
            </w:tcBorders>
          </w:tcPr>
          <w:p w14:paraId="64FBAFA4" w14:textId="77777777" w:rsidR="009F4766" w:rsidRPr="00DE12A3" w:rsidRDefault="009F4766" w:rsidP="00C917D6">
            <w:pPr>
              <w:pStyle w:val="NormalLeft"/>
            </w:pPr>
            <w:r w:rsidRPr="00DE12A3">
              <w:t>29</w:t>
            </w:r>
          </w:p>
        </w:tc>
      </w:tr>
      <w:tr w:rsidR="00DE12A3" w:rsidRPr="00DE12A3" w14:paraId="0CC01D3D" w14:textId="77777777" w:rsidTr="009F4766">
        <w:tc>
          <w:tcPr>
            <w:tcW w:w="1182" w:type="dxa"/>
            <w:tcBorders>
              <w:top w:val="single" w:sz="2" w:space="0" w:color="auto"/>
              <w:left w:val="single" w:sz="2" w:space="0" w:color="auto"/>
              <w:bottom w:val="single" w:sz="2" w:space="0" w:color="auto"/>
              <w:right w:val="single" w:sz="2" w:space="0" w:color="auto"/>
            </w:tcBorders>
          </w:tcPr>
          <w:p w14:paraId="3239C8F5" w14:textId="77777777" w:rsidR="009F4766" w:rsidRPr="00DE12A3" w:rsidRDefault="009F4766" w:rsidP="00C917D6">
            <w:pPr>
              <w:pStyle w:val="NormalLeft"/>
            </w:pPr>
            <w:r w:rsidRPr="00DE12A3">
              <w:t>1129</w:t>
            </w:r>
          </w:p>
        </w:tc>
        <w:tc>
          <w:tcPr>
            <w:tcW w:w="2489" w:type="dxa"/>
            <w:tcBorders>
              <w:top w:val="single" w:sz="2" w:space="0" w:color="auto"/>
              <w:left w:val="single" w:sz="2" w:space="0" w:color="auto"/>
              <w:bottom w:val="single" w:sz="2" w:space="0" w:color="auto"/>
              <w:right w:val="single" w:sz="2" w:space="0" w:color="auto"/>
            </w:tcBorders>
          </w:tcPr>
          <w:p w14:paraId="6DDF2103" w14:textId="77777777" w:rsidR="009F4766" w:rsidRPr="00DE12A3" w:rsidRDefault="009F4766" w:rsidP="00C917D6">
            <w:pPr>
              <w:pStyle w:val="NormalLeft"/>
            </w:pPr>
            <w:r w:rsidRPr="00DE12A3">
              <w:t>66</w:t>
            </w:r>
          </w:p>
        </w:tc>
        <w:tc>
          <w:tcPr>
            <w:tcW w:w="2551" w:type="dxa"/>
            <w:tcBorders>
              <w:top w:val="single" w:sz="2" w:space="0" w:color="auto"/>
              <w:left w:val="single" w:sz="2" w:space="0" w:color="auto"/>
              <w:bottom w:val="single" w:sz="2" w:space="0" w:color="auto"/>
              <w:right w:val="single" w:sz="2" w:space="0" w:color="auto"/>
            </w:tcBorders>
          </w:tcPr>
          <w:p w14:paraId="24027145" w14:textId="77777777" w:rsidR="009F4766" w:rsidRPr="00DE12A3" w:rsidRDefault="009F4766" w:rsidP="00C917D6">
            <w:pPr>
              <w:pStyle w:val="NormalLeft"/>
            </w:pPr>
            <w:r w:rsidRPr="00DE12A3">
              <w:t>65</w:t>
            </w:r>
          </w:p>
        </w:tc>
      </w:tr>
      <w:tr w:rsidR="00DE12A3" w:rsidRPr="00DE12A3" w14:paraId="0940643A" w14:textId="77777777" w:rsidTr="009F4766">
        <w:tc>
          <w:tcPr>
            <w:tcW w:w="1182" w:type="dxa"/>
            <w:tcBorders>
              <w:top w:val="single" w:sz="2" w:space="0" w:color="auto"/>
              <w:left w:val="single" w:sz="2" w:space="0" w:color="auto"/>
              <w:bottom w:val="single" w:sz="2" w:space="0" w:color="auto"/>
              <w:right w:val="single" w:sz="2" w:space="0" w:color="auto"/>
            </w:tcBorders>
          </w:tcPr>
          <w:p w14:paraId="412E7757" w14:textId="77777777" w:rsidR="009F4766" w:rsidRPr="00DE12A3" w:rsidRDefault="009F4766" w:rsidP="00C917D6">
            <w:pPr>
              <w:pStyle w:val="NormalLeft"/>
            </w:pPr>
            <w:r w:rsidRPr="00DE12A3">
              <w:t>1130</w:t>
            </w:r>
          </w:p>
        </w:tc>
        <w:tc>
          <w:tcPr>
            <w:tcW w:w="2489" w:type="dxa"/>
            <w:tcBorders>
              <w:top w:val="single" w:sz="2" w:space="0" w:color="auto"/>
              <w:left w:val="single" w:sz="2" w:space="0" w:color="auto"/>
              <w:bottom w:val="single" w:sz="2" w:space="0" w:color="auto"/>
              <w:right w:val="single" w:sz="2" w:space="0" w:color="auto"/>
            </w:tcBorders>
          </w:tcPr>
          <w:p w14:paraId="2EA517B4" w14:textId="77777777" w:rsidR="009F4766" w:rsidRPr="00DE12A3" w:rsidRDefault="009F4766" w:rsidP="00C917D6">
            <w:pPr>
              <w:pStyle w:val="NormalLeft"/>
            </w:pPr>
            <w:r w:rsidRPr="00DE12A3">
              <w:t>54</w:t>
            </w:r>
          </w:p>
        </w:tc>
        <w:tc>
          <w:tcPr>
            <w:tcW w:w="2551" w:type="dxa"/>
            <w:tcBorders>
              <w:top w:val="single" w:sz="2" w:space="0" w:color="auto"/>
              <w:left w:val="single" w:sz="2" w:space="0" w:color="auto"/>
              <w:bottom w:val="single" w:sz="2" w:space="0" w:color="auto"/>
              <w:right w:val="single" w:sz="2" w:space="0" w:color="auto"/>
            </w:tcBorders>
          </w:tcPr>
          <w:p w14:paraId="0E8B18BB" w14:textId="77777777" w:rsidR="009F4766" w:rsidRPr="00DE12A3" w:rsidRDefault="009F4766" w:rsidP="00C917D6">
            <w:pPr>
              <w:pStyle w:val="NormalLeft"/>
            </w:pPr>
            <w:r w:rsidRPr="00DE12A3">
              <w:t>69</w:t>
            </w:r>
          </w:p>
        </w:tc>
      </w:tr>
      <w:tr w:rsidR="00DE12A3" w:rsidRPr="00DE12A3" w14:paraId="469E137A" w14:textId="77777777" w:rsidTr="009F4766">
        <w:tc>
          <w:tcPr>
            <w:tcW w:w="1182" w:type="dxa"/>
            <w:tcBorders>
              <w:top w:val="single" w:sz="2" w:space="0" w:color="auto"/>
              <w:left w:val="single" w:sz="2" w:space="0" w:color="auto"/>
              <w:bottom w:val="single" w:sz="2" w:space="0" w:color="auto"/>
              <w:right w:val="single" w:sz="2" w:space="0" w:color="auto"/>
            </w:tcBorders>
          </w:tcPr>
          <w:p w14:paraId="0651B195" w14:textId="77777777" w:rsidR="009F4766" w:rsidRPr="00DE12A3" w:rsidRDefault="009F4766" w:rsidP="00C917D6">
            <w:pPr>
              <w:pStyle w:val="NormalLeft"/>
            </w:pPr>
            <w:r w:rsidRPr="00DE12A3">
              <w:t>1131</w:t>
            </w:r>
          </w:p>
        </w:tc>
        <w:tc>
          <w:tcPr>
            <w:tcW w:w="2489" w:type="dxa"/>
            <w:tcBorders>
              <w:top w:val="single" w:sz="2" w:space="0" w:color="auto"/>
              <w:left w:val="single" w:sz="2" w:space="0" w:color="auto"/>
              <w:bottom w:val="single" w:sz="2" w:space="0" w:color="auto"/>
              <w:right w:val="single" w:sz="2" w:space="0" w:color="auto"/>
            </w:tcBorders>
          </w:tcPr>
          <w:p w14:paraId="07165090" w14:textId="77777777" w:rsidR="009F4766" w:rsidRPr="00DE12A3" w:rsidRDefault="009F4766" w:rsidP="00C917D6">
            <w:pPr>
              <w:pStyle w:val="NormalLeft"/>
            </w:pPr>
            <w:r w:rsidRPr="00DE12A3">
              <w:t>69</w:t>
            </w:r>
          </w:p>
        </w:tc>
        <w:tc>
          <w:tcPr>
            <w:tcW w:w="2551" w:type="dxa"/>
            <w:tcBorders>
              <w:top w:val="single" w:sz="2" w:space="0" w:color="auto"/>
              <w:left w:val="single" w:sz="2" w:space="0" w:color="auto"/>
              <w:bottom w:val="single" w:sz="2" w:space="0" w:color="auto"/>
              <w:right w:val="single" w:sz="2" w:space="0" w:color="auto"/>
            </w:tcBorders>
          </w:tcPr>
          <w:p w14:paraId="7E1D56F6" w14:textId="77777777" w:rsidR="009F4766" w:rsidRPr="00DE12A3" w:rsidRDefault="009F4766" w:rsidP="00C917D6">
            <w:pPr>
              <w:pStyle w:val="NormalLeft"/>
            </w:pPr>
            <w:r w:rsidRPr="00DE12A3">
              <w:t>56</w:t>
            </w:r>
          </w:p>
        </w:tc>
      </w:tr>
      <w:tr w:rsidR="00DE12A3" w:rsidRPr="00DE12A3" w14:paraId="07320340" w14:textId="77777777" w:rsidTr="009F4766">
        <w:tc>
          <w:tcPr>
            <w:tcW w:w="1182" w:type="dxa"/>
            <w:tcBorders>
              <w:top w:val="single" w:sz="2" w:space="0" w:color="auto"/>
              <w:left w:val="single" w:sz="2" w:space="0" w:color="auto"/>
              <w:bottom w:val="single" w:sz="2" w:space="0" w:color="auto"/>
              <w:right w:val="single" w:sz="2" w:space="0" w:color="auto"/>
            </w:tcBorders>
          </w:tcPr>
          <w:p w14:paraId="395E0FC1" w14:textId="77777777" w:rsidR="009F4766" w:rsidRPr="00DE12A3" w:rsidRDefault="009F4766" w:rsidP="00C917D6">
            <w:pPr>
              <w:pStyle w:val="NormalLeft"/>
            </w:pPr>
            <w:r w:rsidRPr="00DE12A3">
              <w:t>1132</w:t>
            </w:r>
          </w:p>
        </w:tc>
        <w:tc>
          <w:tcPr>
            <w:tcW w:w="2489" w:type="dxa"/>
            <w:tcBorders>
              <w:top w:val="single" w:sz="2" w:space="0" w:color="auto"/>
              <w:left w:val="single" w:sz="2" w:space="0" w:color="auto"/>
              <w:bottom w:val="single" w:sz="2" w:space="0" w:color="auto"/>
              <w:right w:val="single" w:sz="2" w:space="0" w:color="auto"/>
            </w:tcBorders>
          </w:tcPr>
          <w:p w14:paraId="688F302F" w14:textId="77777777" w:rsidR="009F4766" w:rsidRPr="00DE12A3" w:rsidRDefault="009F4766" w:rsidP="00C917D6">
            <w:pPr>
              <w:pStyle w:val="NormalLeft"/>
            </w:pPr>
            <w:r w:rsidRPr="00DE12A3">
              <w:t>69</w:t>
            </w:r>
          </w:p>
        </w:tc>
        <w:tc>
          <w:tcPr>
            <w:tcW w:w="2551" w:type="dxa"/>
            <w:tcBorders>
              <w:top w:val="single" w:sz="2" w:space="0" w:color="auto"/>
              <w:left w:val="single" w:sz="2" w:space="0" w:color="auto"/>
              <w:bottom w:val="single" w:sz="2" w:space="0" w:color="auto"/>
              <w:right w:val="single" w:sz="2" w:space="0" w:color="auto"/>
            </w:tcBorders>
          </w:tcPr>
          <w:p w14:paraId="58386971" w14:textId="77777777" w:rsidR="009F4766" w:rsidRPr="00DE12A3" w:rsidRDefault="009F4766" w:rsidP="00C917D6">
            <w:pPr>
              <w:pStyle w:val="NormalLeft"/>
            </w:pPr>
            <w:r w:rsidRPr="00DE12A3">
              <w:t>40</w:t>
            </w:r>
          </w:p>
        </w:tc>
      </w:tr>
      <w:tr w:rsidR="00DE12A3" w:rsidRPr="00DE12A3" w14:paraId="065E0602" w14:textId="77777777" w:rsidTr="009F4766">
        <w:tc>
          <w:tcPr>
            <w:tcW w:w="1182" w:type="dxa"/>
            <w:tcBorders>
              <w:top w:val="single" w:sz="2" w:space="0" w:color="auto"/>
              <w:left w:val="single" w:sz="2" w:space="0" w:color="auto"/>
              <w:bottom w:val="single" w:sz="2" w:space="0" w:color="auto"/>
              <w:right w:val="single" w:sz="2" w:space="0" w:color="auto"/>
            </w:tcBorders>
          </w:tcPr>
          <w:p w14:paraId="24B350A5" w14:textId="77777777" w:rsidR="009F4766" w:rsidRPr="00DE12A3" w:rsidRDefault="009F4766" w:rsidP="00C917D6">
            <w:pPr>
              <w:pStyle w:val="NormalLeft"/>
            </w:pPr>
            <w:r w:rsidRPr="00DE12A3">
              <w:t>1133</w:t>
            </w:r>
          </w:p>
        </w:tc>
        <w:tc>
          <w:tcPr>
            <w:tcW w:w="2489" w:type="dxa"/>
            <w:tcBorders>
              <w:top w:val="single" w:sz="2" w:space="0" w:color="auto"/>
              <w:left w:val="single" w:sz="2" w:space="0" w:color="auto"/>
              <w:bottom w:val="single" w:sz="2" w:space="0" w:color="auto"/>
              <w:right w:val="single" w:sz="2" w:space="0" w:color="auto"/>
            </w:tcBorders>
          </w:tcPr>
          <w:p w14:paraId="0E298BBB" w14:textId="77777777" w:rsidR="009F4766" w:rsidRPr="00DE12A3" w:rsidRDefault="009F4766" w:rsidP="00C917D6">
            <w:pPr>
              <w:pStyle w:val="NormalLeft"/>
            </w:pPr>
            <w:r w:rsidRPr="00DE12A3">
              <w:t>73</w:t>
            </w:r>
          </w:p>
        </w:tc>
        <w:tc>
          <w:tcPr>
            <w:tcW w:w="2551" w:type="dxa"/>
            <w:tcBorders>
              <w:top w:val="single" w:sz="2" w:space="0" w:color="auto"/>
              <w:left w:val="single" w:sz="2" w:space="0" w:color="auto"/>
              <w:bottom w:val="single" w:sz="2" w:space="0" w:color="auto"/>
              <w:right w:val="single" w:sz="2" w:space="0" w:color="auto"/>
            </w:tcBorders>
          </w:tcPr>
          <w:p w14:paraId="6AE24AD7" w14:textId="77777777" w:rsidR="009F4766" w:rsidRPr="00DE12A3" w:rsidRDefault="009F4766" w:rsidP="00C917D6">
            <w:pPr>
              <w:pStyle w:val="NormalLeft"/>
            </w:pPr>
            <w:r w:rsidRPr="00DE12A3">
              <w:t>54</w:t>
            </w:r>
          </w:p>
        </w:tc>
      </w:tr>
      <w:tr w:rsidR="00DE12A3" w:rsidRPr="00DE12A3" w14:paraId="04D99533" w14:textId="77777777" w:rsidTr="009F4766">
        <w:tc>
          <w:tcPr>
            <w:tcW w:w="1182" w:type="dxa"/>
            <w:tcBorders>
              <w:top w:val="single" w:sz="2" w:space="0" w:color="auto"/>
              <w:left w:val="single" w:sz="2" w:space="0" w:color="auto"/>
              <w:bottom w:val="single" w:sz="2" w:space="0" w:color="auto"/>
              <w:right w:val="single" w:sz="2" w:space="0" w:color="auto"/>
            </w:tcBorders>
          </w:tcPr>
          <w:p w14:paraId="60191D6B" w14:textId="77777777" w:rsidR="009F4766" w:rsidRPr="00DE12A3" w:rsidRDefault="009F4766" w:rsidP="00C917D6">
            <w:pPr>
              <w:pStyle w:val="NormalLeft"/>
            </w:pPr>
            <w:r w:rsidRPr="00DE12A3">
              <w:t>1134</w:t>
            </w:r>
          </w:p>
        </w:tc>
        <w:tc>
          <w:tcPr>
            <w:tcW w:w="2489" w:type="dxa"/>
            <w:tcBorders>
              <w:top w:val="single" w:sz="2" w:space="0" w:color="auto"/>
              <w:left w:val="single" w:sz="2" w:space="0" w:color="auto"/>
              <w:bottom w:val="single" w:sz="2" w:space="0" w:color="auto"/>
              <w:right w:val="single" w:sz="2" w:space="0" w:color="auto"/>
            </w:tcBorders>
          </w:tcPr>
          <w:p w14:paraId="3E8A6F88" w14:textId="77777777" w:rsidR="009F4766" w:rsidRPr="00DE12A3" w:rsidRDefault="009F4766" w:rsidP="00C917D6">
            <w:pPr>
              <w:pStyle w:val="NormalLeft"/>
            </w:pPr>
            <w:r w:rsidRPr="00DE12A3">
              <w:t>63</w:t>
            </w:r>
          </w:p>
        </w:tc>
        <w:tc>
          <w:tcPr>
            <w:tcW w:w="2551" w:type="dxa"/>
            <w:tcBorders>
              <w:top w:val="single" w:sz="2" w:space="0" w:color="auto"/>
              <w:left w:val="single" w:sz="2" w:space="0" w:color="auto"/>
              <w:bottom w:val="single" w:sz="2" w:space="0" w:color="auto"/>
              <w:right w:val="single" w:sz="2" w:space="0" w:color="auto"/>
            </w:tcBorders>
          </w:tcPr>
          <w:p w14:paraId="5FE59031" w14:textId="77777777" w:rsidR="009F4766" w:rsidRPr="00DE12A3" w:rsidRDefault="009F4766" w:rsidP="00C917D6">
            <w:pPr>
              <w:pStyle w:val="NormalLeft"/>
            </w:pPr>
            <w:r w:rsidRPr="00DE12A3">
              <w:t>92</w:t>
            </w:r>
          </w:p>
        </w:tc>
      </w:tr>
      <w:tr w:rsidR="00DE12A3" w:rsidRPr="00DE12A3" w14:paraId="418BB4E6" w14:textId="77777777" w:rsidTr="009F4766">
        <w:tc>
          <w:tcPr>
            <w:tcW w:w="1182" w:type="dxa"/>
            <w:tcBorders>
              <w:top w:val="single" w:sz="2" w:space="0" w:color="auto"/>
              <w:left w:val="single" w:sz="2" w:space="0" w:color="auto"/>
              <w:bottom w:val="single" w:sz="2" w:space="0" w:color="auto"/>
              <w:right w:val="single" w:sz="2" w:space="0" w:color="auto"/>
            </w:tcBorders>
          </w:tcPr>
          <w:p w14:paraId="2A3D807F" w14:textId="77777777" w:rsidR="009F4766" w:rsidRPr="00DE12A3" w:rsidRDefault="009F4766" w:rsidP="00C917D6">
            <w:pPr>
              <w:pStyle w:val="NormalLeft"/>
            </w:pPr>
            <w:r w:rsidRPr="00DE12A3">
              <w:t>1135</w:t>
            </w:r>
          </w:p>
        </w:tc>
        <w:tc>
          <w:tcPr>
            <w:tcW w:w="2489" w:type="dxa"/>
            <w:tcBorders>
              <w:top w:val="single" w:sz="2" w:space="0" w:color="auto"/>
              <w:left w:val="single" w:sz="2" w:space="0" w:color="auto"/>
              <w:bottom w:val="single" w:sz="2" w:space="0" w:color="auto"/>
              <w:right w:val="single" w:sz="2" w:space="0" w:color="auto"/>
            </w:tcBorders>
          </w:tcPr>
          <w:p w14:paraId="1477601B" w14:textId="77777777" w:rsidR="009F4766" w:rsidRPr="00DE12A3" w:rsidRDefault="009F4766" w:rsidP="00C917D6">
            <w:pPr>
              <w:pStyle w:val="NormalLeft"/>
            </w:pPr>
            <w:r w:rsidRPr="00DE12A3">
              <w:t>61</w:t>
            </w:r>
          </w:p>
        </w:tc>
        <w:tc>
          <w:tcPr>
            <w:tcW w:w="2551" w:type="dxa"/>
            <w:tcBorders>
              <w:top w:val="single" w:sz="2" w:space="0" w:color="auto"/>
              <w:left w:val="single" w:sz="2" w:space="0" w:color="auto"/>
              <w:bottom w:val="single" w:sz="2" w:space="0" w:color="auto"/>
              <w:right w:val="single" w:sz="2" w:space="0" w:color="auto"/>
            </w:tcBorders>
          </w:tcPr>
          <w:p w14:paraId="42AEA8BA" w14:textId="77777777" w:rsidR="009F4766" w:rsidRPr="00DE12A3" w:rsidRDefault="009F4766" w:rsidP="00C917D6">
            <w:pPr>
              <w:pStyle w:val="NormalLeft"/>
            </w:pPr>
            <w:r w:rsidRPr="00DE12A3">
              <w:t>67</w:t>
            </w:r>
          </w:p>
        </w:tc>
      </w:tr>
      <w:tr w:rsidR="00DE12A3" w:rsidRPr="00DE12A3" w14:paraId="44F1F5CC" w14:textId="77777777" w:rsidTr="009F4766">
        <w:tc>
          <w:tcPr>
            <w:tcW w:w="1182" w:type="dxa"/>
            <w:tcBorders>
              <w:top w:val="single" w:sz="2" w:space="0" w:color="auto"/>
              <w:left w:val="single" w:sz="2" w:space="0" w:color="auto"/>
              <w:bottom w:val="single" w:sz="2" w:space="0" w:color="auto"/>
              <w:right w:val="single" w:sz="2" w:space="0" w:color="auto"/>
            </w:tcBorders>
          </w:tcPr>
          <w:p w14:paraId="27A7A06A" w14:textId="77777777" w:rsidR="009F4766" w:rsidRPr="00DE12A3" w:rsidRDefault="009F4766" w:rsidP="00C917D6">
            <w:pPr>
              <w:pStyle w:val="NormalLeft"/>
            </w:pPr>
            <w:r w:rsidRPr="00DE12A3">
              <w:t>1136</w:t>
            </w:r>
          </w:p>
        </w:tc>
        <w:tc>
          <w:tcPr>
            <w:tcW w:w="2489" w:type="dxa"/>
            <w:tcBorders>
              <w:top w:val="single" w:sz="2" w:space="0" w:color="auto"/>
              <w:left w:val="single" w:sz="2" w:space="0" w:color="auto"/>
              <w:bottom w:val="single" w:sz="2" w:space="0" w:color="auto"/>
              <w:right w:val="single" w:sz="2" w:space="0" w:color="auto"/>
            </w:tcBorders>
          </w:tcPr>
          <w:p w14:paraId="64C1D993" w14:textId="77777777" w:rsidR="009F4766" w:rsidRPr="00DE12A3" w:rsidRDefault="009F4766" w:rsidP="00C917D6">
            <w:pPr>
              <w:pStyle w:val="NormalLeft"/>
            </w:pPr>
            <w:r w:rsidRPr="00DE12A3">
              <w:t>72</w:t>
            </w:r>
          </w:p>
        </w:tc>
        <w:tc>
          <w:tcPr>
            <w:tcW w:w="2551" w:type="dxa"/>
            <w:tcBorders>
              <w:top w:val="single" w:sz="2" w:space="0" w:color="auto"/>
              <w:left w:val="single" w:sz="2" w:space="0" w:color="auto"/>
              <w:bottom w:val="single" w:sz="2" w:space="0" w:color="auto"/>
              <w:right w:val="single" w:sz="2" w:space="0" w:color="auto"/>
            </w:tcBorders>
          </w:tcPr>
          <w:p w14:paraId="7BC4B8C9" w14:textId="77777777" w:rsidR="009F4766" w:rsidRPr="00DE12A3" w:rsidRDefault="009F4766" w:rsidP="00C917D6">
            <w:pPr>
              <w:pStyle w:val="NormalLeft"/>
            </w:pPr>
            <w:r w:rsidRPr="00DE12A3">
              <w:t>42</w:t>
            </w:r>
          </w:p>
        </w:tc>
      </w:tr>
      <w:tr w:rsidR="00DE12A3" w:rsidRPr="00DE12A3" w14:paraId="2207174D" w14:textId="77777777" w:rsidTr="009F4766">
        <w:tc>
          <w:tcPr>
            <w:tcW w:w="1182" w:type="dxa"/>
            <w:tcBorders>
              <w:top w:val="single" w:sz="2" w:space="0" w:color="auto"/>
              <w:left w:val="single" w:sz="2" w:space="0" w:color="auto"/>
              <w:bottom w:val="single" w:sz="2" w:space="0" w:color="auto"/>
              <w:right w:val="single" w:sz="2" w:space="0" w:color="auto"/>
            </w:tcBorders>
          </w:tcPr>
          <w:p w14:paraId="116F79D7" w14:textId="77777777" w:rsidR="009F4766" w:rsidRPr="00DE12A3" w:rsidRDefault="009F4766" w:rsidP="00C917D6">
            <w:pPr>
              <w:pStyle w:val="NormalLeft"/>
            </w:pPr>
            <w:r w:rsidRPr="00DE12A3">
              <w:t>1137</w:t>
            </w:r>
          </w:p>
        </w:tc>
        <w:tc>
          <w:tcPr>
            <w:tcW w:w="2489" w:type="dxa"/>
            <w:tcBorders>
              <w:top w:val="single" w:sz="2" w:space="0" w:color="auto"/>
              <w:left w:val="single" w:sz="2" w:space="0" w:color="auto"/>
              <w:bottom w:val="single" w:sz="2" w:space="0" w:color="auto"/>
              <w:right w:val="single" w:sz="2" w:space="0" w:color="auto"/>
            </w:tcBorders>
          </w:tcPr>
          <w:p w14:paraId="7CA1E1B4" w14:textId="77777777" w:rsidR="009F4766" w:rsidRPr="00DE12A3" w:rsidRDefault="009F4766" w:rsidP="00C917D6">
            <w:pPr>
              <w:pStyle w:val="NormalLeft"/>
            </w:pPr>
            <w:r w:rsidRPr="00DE12A3">
              <w:t>78</w:t>
            </w:r>
          </w:p>
        </w:tc>
        <w:tc>
          <w:tcPr>
            <w:tcW w:w="2551" w:type="dxa"/>
            <w:tcBorders>
              <w:top w:val="single" w:sz="2" w:space="0" w:color="auto"/>
              <w:left w:val="single" w:sz="2" w:space="0" w:color="auto"/>
              <w:bottom w:val="single" w:sz="2" w:space="0" w:color="auto"/>
              <w:right w:val="single" w:sz="2" w:space="0" w:color="auto"/>
            </w:tcBorders>
          </w:tcPr>
          <w:p w14:paraId="695CA3DC" w14:textId="77777777" w:rsidR="009F4766" w:rsidRPr="00DE12A3" w:rsidRDefault="009F4766" w:rsidP="00C917D6">
            <w:pPr>
              <w:pStyle w:val="NormalLeft"/>
            </w:pPr>
            <w:r w:rsidRPr="00DE12A3">
              <w:t>2</w:t>
            </w:r>
          </w:p>
        </w:tc>
      </w:tr>
      <w:tr w:rsidR="00DE12A3" w:rsidRPr="00DE12A3" w14:paraId="045C207C" w14:textId="77777777" w:rsidTr="009F4766">
        <w:tc>
          <w:tcPr>
            <w:tcW w:w="1182" w:type="dxa"/>
            <w:tcBorders>
              <w:top w:val="single" w:sz="2" w:space="0" w:color="auto"/>
              <w:left w:val="single" w:sz="2" w:space="0" w:color="auto"/>
              <w:bottom w:val="single" w:sz="2" w:space="0" w:color="auto"/>
              <w:right w:val="single" w:sz="2" w:space="0" w:color="auto"/>
            </w:tcBorders>
          </w:tcPr>
          <w:p w14:paraId="0515996D" w14:textId="77777777" w:rsidR="009F4766" w:rsidRPr="00DE12A3" w:rsidRDefault="009F4766" w:rsidP="00C917D6">
            <w:pPr>
              <w:pStyle w:val="NormalLeft"/>
            </w:pPr>
            <w:r w:rsidRPr="00DE12A3">
              <w:t>1138</w:t>
            </w:r>
          </w:p>
        </w:tc>
        <w:tc>
          <w:tcPr>
            <w:tcW w:w="2489" w:type="dxa"/>
            <w:tcBorders>
              <w:top w:val="single" w:sz="2" w:space="0" w:color="auto"/>
              <w:left w:val="single" w:sz="2" w:space="0" w:color="auto"/>
              <w:bottom w:val="single" w:sz="2" w:space="0" w:color="auto"/>
              <w:right w:val="single" w:sz="2" w:space="0" w:color="auto"/>
            </w:tcBorders>
          </w:tcPr>
          <w:p w14:paraId="28ABA3C5" w14:textId="77777777" w:rsidR="009F4766" w:rsidRPr="00DE12A3" w:rsidRDefault="009F4766" w:rsidP="00C917D6">
            <w:pPr>
              <w:pStyle w:val="NormalLeft"/>
            </w:pPr>
            <w:r w:rsidRPr="00DE12A3">
              <w:t>76</w:t>
            </w:r>
          </w:p>
        </w:tc>
        <w:tc>
          <w:tcPr>
            <w:tcW w:w="2551" w:type="dxa"/>
            <w:tcBorders>
              <w:top w:val="single" w:sz="2" w:space="0" w:color="auto"/>
              <w:left w:val="single" w:sz="2" w:space="0" w:color="auto"/>
              <w:bottom w:val="single" w:sz="2" w:space="0" w:color="auto"/>
              <w:right w:val="single" w:sz="2" w:space="0" w:color="auto"/>
            </w:tcBorders>
          </w:tcPr>
          <w:p w14:paraId="5BB686BE" w14:textId="77777777" w:rsidR="009F4766" w:rsidRPr="00DE12A3" w:rsidRDefault="009F4766" w:rsidP="00C917D6">
            <w:pPr>
              <w:pStyle w:val="NormalLeft"/>
            </w:pPr>
            <w:r w:rsidRPr="00DE12A3">
              <w:t>34</w:t>
            </w:r>
          </w:p>
        </w:tc>
      </w:tr>
      <w:tr w:rsidR="00DE12A3" w:rsidRPr="00DE12A3" w14:paraId="630CF3FD" w14:textId="77777777" w:rsidTr="009F4766">
        <w:tc>
          <w:tcPr>
            <w:tcW w:w="1182" w:type="dxa"/>
            <w:tcBorders>
              <w:top w:val="single" w:sz="2" w:space="0" w:color="auto"/>
              <w:left w:val="single" w:sz="2" w:space="0" w:color="auto"/>
              <w:bottom w:val="single" w:sz="2" w:space="0" w:color="auto"/>
              <w:right w:val="single" w:sz="2" w:space="0" w:color="auto"/>
            </w:tcBorders>
          </w:tcPr>
          <w:p w14:paraId="5D56F961" w14:textId="77777777" w:rsidR="009F4766" w:rsidRPr="00DE12A3" w:rsidRDefault="009F4766" w:rsidP="00C917D6">
            <w:pPr>
              <w:pStyle w:val="NormalLeft"/>
            </w:pPr>
            <w:r w:rsidRPr="00DE12A3">
              <w:t>1139</w:t>
            </w:r>
          </w:p>
        </w:tc>
        <w:tc>
          <w:tcPr>
            <w:tcW w:w="2489" w:type="dxa"/>
            <w:tcBorders>
              <w:top w:val="single" w:sz="2" w:space="0" w:color="auto"/>
              <w:left w:val="single" w:sz="2" w:space="0" w:color="auto"/>
              <w:bottom w:val="single" w:sz="2" w:space="0" w:color="auto"/>
              <w:right w:val="single" w:sz="2" w:space="0" w:color="auto"/>
            </w:tcBorders>
          </w:tcPr>
          <w:p w14:paraId="6CA9F140" w14:textId="77777777" w:rsidR="009F4766" w:rsidRPr="00DE12A3" w:rsidRDefault="009F4766" w:rsidP="00C917D6">
            <w:pPr>
              <w:pStyle w:val="NormalLeft"/>
            </w:pPr>
            <w:r w:rsidRPr="00DE12A3">
              <w:t>67</w:t>
            </w:r>
          </w:p>
        </w:tc>
        <w:tc>
          <w:tcPr>
            <w:tcW w:w="2551" w:type="dxa"/>
            <w:tcBorders>
              <w:top w:val="single" w:sz="2" w:space="0" w:color="auto"/>
              <w:left w:val="single" w:sz="2" w:space="0" w:color="auto"/>
              <w:bottom w:val="single" w:sz="2" w:space="0" w:color="auto"/>
              <w:right w:val="single" w:sz="2" w:space="0" w:color="auto"/>
            </w:tcBorders>
          </w:tcPr>
          <w:p w14:paraId="4E991D7C" w14:textId="77777777" w:rsidR="009F4766" w:rsidRPr="00DE12A3" w:rsidRDefault="009F4766" w:rsidP="00C917D6">
            <w:pPr>
              <w:pStyle w:val="NormalLeft"/>
            </w:pPr>
            <w:r w:rsidRPr="00DE12A3">
              <w:t>80</w:t>
            </w:r>
          </w:p>
        </w:tc>
      </w:tr>
      <w:tr w:rsidR="00DE12A3" w:rsidRPr="00DE12A3" w14:paraId="12DB5BD7" w14:textId="77777777" w:rsidTr="009F4766">
        <w:tc>
          <w:tcPr>
            <w:tcW w:w="1182" w:type="dxa"/>
            <w:tcBorders>
              <w:top w:val="single" w:sz="2" w:space="0" w:color="auto"/>
              <w:left w:val="single" w:sz="2" w:space="0" w:color="auto"/>
              <w:bottom w:val="single" w:sz="2" w:space="0" w:color="auto"/>
              <w:right w:val="single" w:sz="2" w:space="0" w:color="auto"/>
            </w:tcBorders>
          </w:tcPr>
          <w:p w14:paraId="02F917DE" w14:textId="77777777" w:rsidR="009F4766" w:rsidRPr="00DE12A3" w:rsidRDefault="009F4766" w:rsidP="00C917D6">
            <w:pPr>
              <w:pStyle w:val="NormalLeft"/>
            </w:pPr>
            <w:r w:rsidRPr="00DE12A3">
              <w:t>1140</w:t>
            </w:r>
          </w:p>
        </w:tc>
        <w:tc>
          <w:tcPr>
            <w:tcW w:w="2489" w:type="dxa"/>
            <w:tcBorders>
              <w:top w:val="single" w:sz="2" w:space="0" w:color="auto"/>
              <w:left w:val="single" w:sz="2" w:space="0" w:color="auto"/>
              <w:bottom w:val="single" w:sz="2" w:space="0" w:color="auto"/>
              <w:right w:val="single" w:sz="2" w:space="0" w:color="auto"/>
            </w:tcBorders>
          </w:tcPr>
          <w:p w14:paraId="291542CB" w14:textId="77777777" w:rsidR="009F4766" w:rsidRPr="00DE12A3" w:rsidRDefault="009F4766" w:rsidP="00C917D6">
            <w:pPr>
              <w:pStyle w:val="NormalLeft"/>
            </w:pPr>
            <w:r w:rsidRPr="00DE12A3">
              <w:t>70</w:t>
            </w:r>
          </w:p>
        </w:tc>
        <w:tc>
          <w:tcPr>
            <w:tcW w:w="2551" w:type="dxa"/>
            <w:tcBorders>
              <w:top w:val="single" w:sz="2" w:space="0" w:color="auto"/>
              <w:left w:val="single" w:sz="2" w:space="0" w:color="auto"/>
              <w:bottom w:val="single" w:sz="2" w:space="0" w:color="auto"/>
              <w:right w:val="single" w:sz="2" w:space="0" w:color="auto"/>
            </w:tcBorders>
          </w:tcPr>
          <w:p w14:paraId="2FB0207E" w14:textId="77777777" w:rsidR="009F4766" w:rsidRPr="00DE12A3" w:rsidRDefault="009F4766" w:rsidP="00C917D6">
            <w:pPr>
              <w:pStyle w:val="NormalLeft"/>
            </w:pPr>
            <w:r w:rsidRPr="00DE12A3">
              <w:t>67</w:t>
            </w:r>
          </w:p>
        </w:tc>
      </w:tr>
      <w:tr w:rsidR="00DE12A3" w:rsidRPr="00DE12A3" w14:paraId="5548CAFB" w14:textId="77777777" w:rsidTr="009F4766">
        <w:tc>
          <w:tcPr>
            <w:tcW w:w="1182" w:type="dxa"/>
            <w:tcBorders>
              <w:top w:val="single" w:sz="2" w:space="0" w:color="auto"/>
              <w:left w:val="single" w:sz="2" w:space="0" w:color="auto"/>
              <w:bottom w:val="single" w:sz="2" w:space="0" w:color="auto"/>
              <w:right w:val="single" w:sz="2" w:space="0" w:color="auto"/>
            </w:tcBorders>
          </w:tcPr>
          <w:p w14:paraId="045F0753" w14:textId="77777777" w:rsidR="009F4766" w:rsidRPr="00DE12A3" w:rsidRDefault="009F4766" w:rsidP="00C917D6">
            <w:pPr>
              <w:pStyle w:val="NormalLeft"/>
            </w:pPr>
            <w:r w:rsidRPr="00DE12A3">
              <w:t>1141</w:t>
            </w:r>
          </w:p>
        </w:tc>
        <w:tc>
          <w:tcPr>
            <w:tcW w:w="2489" w:type="dxa"/>
            <w:tcBorders>
              <w:top w:val="single" w:sz="2" w:space="0" w:color="auto"/>
              <w:left w:val="single" w:sz="2" w:space="0" w:color="auto"/>
              <w:bottom w:val="single" w:sz="2" w:space="0" w:color="auto"/>
              <w:right w:val="single" w:sz="2" w:space="0" w:color="auto"/>
            </w:tcBorders>
          </w:tcPr>
          <w:p w14:paraId="4CA8A1D1" w14:textId="77777777" w:rsidR="009F4766" w:rsidRPr="00DE12A3" w:rsidRDefault="009F4766" w:rsidP="00C917D6">
            <w:pPr>
              <w:pStyle w:val="NormalLeft"/>
            </w:pPr>
            <w:r w:rsidRPr="00DE12A3">
              <w:t>53</w:t>
            </w:r>
          </w:p>
        </w:tc>
        <w:tc>
          <w:tcPr>
            <w:tcW w:w="2551" w:type="dxa"/>
            <w:tcBorders>
              <w:top w:val="single" w:sz="2" w:space="0" w:color="auto"/>
              <w:left w:val="single" w:sz="2" w:space="0" w:color="auto"/>
              <w:bottom w:val="single" w:sz="2" w:space="0" w:color="auto"/>
              <w:right w:val="single" w:sz="2" w:space="0" w:color="auto"/>
            </w:tcBorders>
          </w:tcPr>
          <w:p w14:paraId="7C549E46" w14:textId="77777777" w:rsidR="009F4766" w:rsidRPr="00DE12A3" w:rsidRDefault="009F4766" w:rsidP="00C917D6">
            <w:pPr>
              <w:pStyle w:val="NormalLeft"/>
            </w:pPr>
            <w:r w:rsidRPr="00DE12A3">
              <w:t>70</w:t>
            </w:r>
          </w:p>
        </w:tc>
      </w:tr>
      <w:tr w:rsidR="00DE12A3" w:rsidRPr="00DE12A3" w14:paraId="0B902BF7" w14:textId="77777777" w:rsidTr="009F4766">
        <w:tc>
          <w:tcPr>
            <w:tcW w:w="1182" w:type="dxa"/>
            <w:tcBorders>
              <w:top w:val="single" w:sz="2" w:space="0" w:color="auto"/>
              <w:left w:val="single" w:sz="2" w:space="0" w:color="auto"/>
              <w:bottom w:val="single" w:sz="2" w:space="0" w:color="auto"/>
              <w:right w:val="single" w:sz="2" w:space="0" w:color="auto"/>
            </w:tcBorders>
          </w:tcPr>
          <w:p w14:paraId="649FDA38" w14:textId="77777777" w:rsidR="009F4766" w:rsidRPr="00DE12A3" w:rsidRDefault="009F4766" w:rsidP="00C917D6">
            <w:pPr>
              <w:pStyle w:val="NormalLeft"/>
            </w:pPr>
            <w:r w:rsidRPr="00DE12A3">
              <w:t>1142</w:t>
            </w:r>
          </w:p>
        </w:tc>
        <w:tc>
          <w:tcPr>
            <w:tcW w:w="2489" w:type="dxa"/>
            <w:tcBorders>
              <w:top w:val="single" w:sz="2" w:space="0" w:color="auto"/>
              <w:left w:val="single" w:sz="2" w:space="0" w:color="auto"/>
              <w:bottom w:val="single" w:sz="2" w:space="0" w:color="auto"/>
              <w:right w:val="single" w:sz="2" w:space="0" w:color="auto"/>
            </w:tcBorders>
          </w:tcPr>
          <w:p w14:paraId="63838AC8" w14:textId="77777777" w:rsidR="009F4766" w:rsidRPr="00DE12A3" w:rsidRDefault="009F4766" w:rsidP="00C917D6">
            <w:pPr>
              <w:pStyle w:val="NormalLeft"/>
            </w:pPr>
            <w:r w:rsidRPr="00DE12A3">
              <w:t>72</w:t>
            </w:r>
          </w:p>
        </w:tc>
        <w:tc>
          <w:tcPr>
            <w:tcW w:w="2551" w:type="dxa"/>
            <w:tcBorders>
              <w:top w:val="single" w:sz="2" w:space="0" w:color="auto"/>
              <w:left w:val="single" w:sz="2" w:space="0" w:color="auto"/>
              <w:bottom w:val="single" w:sz="2" w:space="0" w:color="auto"/>
              <w:right w:val="single" w:sz="2" w:space="0" w:color="auto"/>
            </w:tcBorders>
          </w:tcPr>
          <w:p w14:paraId="486FFED6" w14:textId="77777777" w:rsidR="009F4766" w:rsidRPr="00DE12A3" w:rsidRDefault="009F4766" w:rsidP="00C917D6">
            <w:pPr>
              <w:pStyle w:val="NormalLeft"/>
            </w:pPr>
            <w:r w:rsidRPr="00DE12A3">
              <w:t>65</w:t>
            </w:r>
          </w:p>
        </w:tc>
      </w:tr>
      <w:tr w:rsidR="00DE12A3" w:rsidRPr="00DE12A3" w14:paraId="1900A3BF" w14:textId="77777777" w:rsidTr="009F4766">
        <w:tc>
          <w:tcPr>
            <w:tcW w:w="1182" w:type="dxa"/>
            <w:tcBorders>
              <w:top w:val="single" w:sz="2" w:space="0" w:color="auto"/>
              <w:left w:val="single" w:sz="2" w:space="0" w:color="auto"/>
              <w:bottom w:val="single" w:sz="2" w:space="0" w:color="auto"/>
              <w:right w:val="single" w:sz="2" w:space="0" w:color="auto"/>
            </w:tcBorders>
          </w:tcPr>
          <w:p w14:paraId="34F35C80" w14:textId="77777777" w:rsidR="009F4766" w:rsidRPr="00DE12A3" w:rsidRDefault="009F4766" w:rsidP="00C917D6">
            <w:pPr>
              <w:pStyle w:val="NormalLeft"/>
            </w:pPr>
            <w:r w:rsidRPr="00DE12A3">
              <w:t>1143</w:t>
            </w:r>
          </w:p>
        </w:tc>
        <w:tc>
          <w:tcPr>
            <w:tcW w:w="2489" w:type="dxa"/>
            <w:tcBorders>
              <w:top w:val="single" w:sz="2" w:space="0" w:color="auto"/>
              <w:left w:val="single" w:sz="2" w:space="0" w:color="auto"/>
              <w:bottom w:val="single" w:sz="2" w:space="0" w:color="auto"/>
              <w:right w:val="single" w:sz="2" w:space="0" w:color="auto"/>
            </w:tcBorders>
          </w:tcPr>
          <w:p w14:paraId="7730760F" w14:textId="77777777" w:rsidR="009F4766" w:rsidRPr="00DE12A3" w:rsidRDefault="009F4766" w:rsidP="00C917D6">
            <w:pPr>
              <w:pStyle w:val="NormalLeft"/>
            </w:pPr>
            <w:r w:rsidRPr="00DE12A3">
              <w:t>60</w:t>
            </w:r>
          </w:p>
        </w:tc>
        <w:tc>
          <w:tcPr>
            <w:tcW w:w="2551" w:type="dxa"/>
            <w:tcBorders>
              <w:top w:val="single" w:sz="2" w:space="0" w:color="auto"/>
              <w:left w:val="single" w:sz="2" w:space="0" w:color="auto"/>
              <w:bottom w:val="single" w:sz="2" w:space="0" w:color="auto"/>
              <w:right w:val="single" w:sz="2" w:space="0" w:color="auto"/>
            </w:tcBorders>
          </w:tcPr>
          <w:p w14:paraId="192E1C4E" w14:textId="77777777" w:rsidR="009F4766" w:rsidRPr="00DE12A3" w:rsidRDefault="009F4766" w:rsidP="00C917D6">
            <w:pPr>
              <w:pStyle w:val="NormalLeft"/>
            </w:pPr>
            <w:r w:rsidRPr="00DE12A3">
              <w:t>57</w:t>
            </w:r>
          </w:p>
        </w:tc>
      </w:tr>
      <w:tr w:rsidR="00DE12A3" w:rsidRPr="00DE12A3" w14:paraId="08C62FAB" w14:textId="77777777" w:rsidTr="009F4766">
        <w:tc>
          <w:tcPr>
            <w:tcW w:w="1182" w:type="dxa"/>
            <w:tcBorders>
              <w:top w:val="single" w:sz="2" w:space="0" w:color="auto"/>
              <w:left w:val="single" w:sz="2" w:space="0" w:color="auto"/>
              <w:bottom w:val="single" w:sz="2" w:space="0" w:color="auto"/>
              <w:right w:val="single" w:sz="2" w:space="0" w:color="auto"/>
            </w:tcBorders>
          </w:tcPr>
          <w:p w14:paraId="48968DD5" w14:textId="77777777" w:rsidR="009F4766" w:rsidRPr="00DE12A3" w:rsidRDefault="009F4766" w:rsidP="00C917D6">
            <w:pPr>
              <w:pStyle w:val="NormalLeft"/>
            </w:pPr>
            <w:r w:rsidRPr="00DE12A3">
              <w:t>1144</w:t>
            </w:r>
          </w:p>
        </w:tc>
        <w:tc>
          <w:tcPr>
            <w:tcW w:w="2489" w:type="dxa"/>
            <w:tcBorders>
              <w:top w:val="single" w:sz="2" w:space="0" w:color="auto"/>
              <w:left w:val="single" w:sz="2" w:space="0" w:color="auto"/>
              <w:bottom w:val="single" w:sz="2" w:space="0" w:color="auto"/>
              <w:right w:val="single" w:sz="2" w:space="0" w:color="auto"/>
            </w:tcBorders>
          </w:tcPr>
          <w:p w14:paraId="52CC0E1A" w14:textId="77777777" w:rsidR="009F4766" w:rsidRPr="00DE12A3" w:rsidRDefault="009F4766" w:rsidP="00C917D6">
            <w:pPr>
              <w:pStyle w:val="NormalLeft"/>
            </w:pPr>
            <w:r w:rsidRPr="00DE12A3">
              <w:t>74</w:t>
            </w:r>
          </w:p>
        </w:tc>
        <w:tc>
          <w:tcPr>
            <w:tcW w:w="2551" w:type="dxa"/>
            <w:tcBorders>
              <w:top w:val="single" w:sz="2" w:space="0" w:color="auto"/>
              <w:left w:val="single" w:sz="2" w:space="0" w:color="auto"/>
              <w:bottom w:val="single" w:sz="2" w:space="0" w:color="auto"/>
              <w:right w:val="single" w:sz="2" w:space="0" w:color="auto"/>
            </w:tcBorders>
          </w:tcPr>
          <w:p w14:paraId="7945E098" w14:textId="77777777" w:rsidR="009F4766" w:rsidRPr="00DE12A3" w:rsidRDefault="009F4766" w:rsidP="00C917D6">
            <w:pPr>
              <w:pStyle w:val="NormalLeft"/>
            </w:pPr>
            <w:r w:rsidRPr="00DE12A3">
              <w:t>29</w:t>
            </w:r>
          </w:p>
        </w:tc>
      </w:tr>
      <w:tr w:rsidR="00DE12A3" w:rsidRPr="00DE12A3" w14:paraId="23DFCCBD" w14:textId="77777777" w:rsidTr="009F4766">
        <w:tc>
          <w:tcPr>
            <w:tcW w:w="1182" w:type="dxa"/>
            <w:tcBorders>
              <w:top w:val="single" w:sz="2" w:space="0" w:color="auto"/>
              <w:left w:val="single" w:sz="2" w:space="0" w:color="auto"/>
              <w:bottom w:val="single" w:sz="2" w:space="0" w:color="auto"/>
              <w:right w:val="single" w:sz="2" w:space="0" w:color="auto"/>
            </w:tcBorders>
          </w:tcPr>
          <w:p w14:paraId="361F5DC2" w14:textId="77777777" w:rsidR="009F4766" w:rsidRPr="00DE12A3" w:rsidRDefault="009F4766" w:rsidP="00C917D6">
            <w:pPr>
              <w:pStyle w:val="NormalLeft"/>
            </w:pPr>
            <w:r w:rsidRPr="00DE12A3">
              <w:t>1145</w:t>
            </w:r>
          </w:p>
        </w:tc>
        <w:tc>
          <w:tcPr>
            <w:tcW w:w="2489" w:type="dxa"/>
            <w:tcBorders>
              <w:top w:val="single" w:sz="2" w:space="0" w:color="auto"/>
              <w:left w:val="single" w:sz="2" w:space="0" w:color="auto"/>
              <w:bottom w:val="single" w:sz="2" w:space="0" w:color="auto"/>
              <w:right w:val="single" w:sz="2" w:space="0" w:color="auto"/>
            </w:tcBorders>
          </w:tcPr>
          <w:p w14:paraId="6C5C9C83" w14:textId="77777777" w:rsidR="009F4766" w:rsidRPr="00DE12A3" w:rsidRDefault="009F4766" w:rsidP="00C917D6">
            <w:pPr>
              <w:pStyle w:val="NormalLeft"/>
            </w:pPr>
            <w:r w:rsidRPr="00DE12A3">
              <w:t>69</w:t>
            </w:r>
          </w:p>
        </w:tc>
        <w:tc>
          <w:tcPr>
            <w:tcW w:w="2551" w:type="dxa"/>
            <w:tcBorders>
              <w:top w:val="single" w:sz="2" w:space="0" w:color="auto"/>
              <w:left w:val="single" w:sz="2" w:space="0" w:color="auto"/>
              <w:bottom w:val="single" w:sz="2" w:space="0" w:color="auto"/>
              <w:right w:val="single" w:sz="2" w:space="0" w:color="auto"/>
            </w:tcBorders>
          </w:tcPr>
          <w:p w14:paraId="37ED40E8" w14:textId="77777777" w:rsidR="009F4766" w:rsidRPr="00DE12A3" w:rsidRDefault="009F4766" w:rsidP="00C917D6">
            <w:pPr>
              <w:pStyle w:val="NormalLeft"/>
            </w:pPr>
            <w:r w:rsidRPr="00DE12A3">
              <w:t>31</w:t>
            </w:r>
          </w:p>
        </w:tc>
      </w:tr>
      <w:tr w:rsidR="00DE12A3" w:rsidRPr="00DE12A3" w14:paraId="3613F166" w14:textId="77777777" w:rsidTr="009F4766">
        <w:tc>
          <w:tcPr>
            <w:tcW w:w="1182" w:type="dxa"/>
            <w:tcBorders>
              <w:top w:val="single" w:sz="2" w:space="0" w:color="auto"/>
              <w:left w:val="single" w:sz="2" w:space="0" w:color="auto"/>
              <w:bottom w:val="single" w:sz="2" w:space="0" w:color="auto"/>
              <w:right w:val="single" w:sz="2" w:space="0" w:color="auto"/>
            </w:tcBorders>
          </w:tcPr>
          <w:p w14:paraId="5BBE3AF0" w14:textId="77777777" w:rsidR="009F4766" w:rsidRPr="00DE12A3" w:rsidRDefault="009F4766" w:rsidP="00C917D6">
            <w:pPr>
              <w:pStyle w:val="NormalLeft"/>
            </w:pPr>
            <w:r w:rsidRPr="00DE12A3">
              <w:t>1146</w:t>
            </w:r>
          </w:p>
        </w:tc>
        <w:tc>
          <w:tcPr>
            <w:tcW w:w="2489" w:type="dxa"/>
            <w:tcBorders>
              <w:top w:val="single" w:sz="2" w:space="0" w:color="auto"/>
              <w:left w:val="single" w:sz="2" w:space="0" w:color="auto"/>
              <w:bottom w:val="single" w:sz="2" w:space="0" w:color="auto"/>
              <w:right w:val="single" w:sz="2" w:space="0" w:color="auto"/>
            </w:tcBorders>
          </w:tcPr>
          <w:p w14:paraId="2BE7DF95" w14:textId="77777777" w:rsidR="009F4766" w:rsidRPr="00DE12A3" w:rsidRDefault="009F4766" w:rsidP="00C917D6">
            <w:pPr>
              <w:pStyle w:val="NormalLeft"/>
            </w:pPr>
            <w:r w:rsidRPr="00DE12A3">
              <w:t>76</w:t>
            </w:r>
          </w:p>
        </w:tc>
        <w:tc>
          <w:tcPr>
            <w:tcW w:w="2551" w:type="dxa"/>
            <w:tcBorders>
              <w:top w:val="single" w:sz="2" w:space="0" w:color="auto"/>
              <w:left w:val="single" w:sz="2" w:space="0" w:color="auto"/>
              <w:bottom w:val="single" w:sz="2" w:space="0" w:color="auto"/>
              <w:right w:val="single" w:sz="2" w:space="0" w:color="auto"/>
            </w:tcBorders>
          </w:tcPr>
          <w:p w14:paraId="79791B29" w14:textId="77777777" w:rsidR="009F4766" w:rsidRPr="00DE12A3" w:rsidRDefault="009F4766" w:rsidP="00C917D6">
            <w:pPr>
              <w:pStyle w:val="NormalLeft"/>
            </w:pPr>
            <w:r w:rsidRPr="00DE12A3">
              <w:t>1</w:t>
            </w:r>
          </w:p>
        </w:tc>
      </w:tr>
      <w:tr w:rsidR="00DE12A3" w:rsidRPr="00DE12A3" w14:paraId="4A22AD07" w14:textId="77777777" w:rsidTr="009F4766">
        <w:tc>
          <w:tcPr>
            <w:tcW w:w="1182" w:type="dxa"/>
            <w:tcBorders>
              <w:top w:val="single" w:sz="2" w:space="0" w:color="auto"/>
              <w:left w:val="single" w:sz="2" w:space="0" w:color="auto"/>
              <w:bottom w:val="single" w:sz="2" w:space="0" w:color="auto"/>
              <w:right w:val="single" w:sz="2" w:space="0" w:color="auto"/>
            </w:tcBorders>
          </w:tcPr>
          <w:p w14:paraId="3620B97C" w14:textId="77777777" w:rsidR="009F4766" w:rsidRPr="00DE12A3" w:rsidRDefault="009F4766" w:rsidP="00C917D6">
            <w:pPr>
              <w:pStyle w:val="NormalLeft"/>
            </w:pPr>
            <w:r w:rsidRPr="00DE12A3">
              <w:t>1147</w:t>
            </w:r>
          </w:p>
        </w:tc>
        <w:tc>
          <w:tcPr>
            <w:tcW w:w="2489" w:type="dxa"/>
            <w:tcBorders>
              <w:top w:val="single" w:sz="2" w:space="0" w:color="auto"/>
              <w:left w:val="single" w:sz="2" w:space="0" w:color="auto"/>
              <w:bottom w:val="single" w:sz="2" w:space="0" w:color="auto"/>
              <w:right w:val="single" w:sz="2" w:space="0" w:color="auto"/>
            </w:tcBorders>
          </w:tcPr>
          <w:p w14:paraId="2078A550" w14:textId="77777777" w:rsidR="009F4766" w:rsidRPr="00DE12A3" w:rsidRDefault="009F4766" w:rsidP="00C917D6">
            <w:pPr>
              <w:pStyle w:val="NormalLeft"/>
            </w:pPr>
            <w:r w:rsidRPr="00DE12A3">
              <w:t>74</w:t>
            </w:r>
          </w:p>
        </w:tc>
        <w:tc>
          <w:tcPr>
            <w:tcW w:w="2551" w:type="dxa"/>
            <w:tcBorders>
              <w:top w:val="single" w:sz="2" w:space="0" w:color="auto"/>
              <w:left w:val="single" w:sz="2" w:space="0" w:color="auto"/>
              <w:bottom w:val="single" w:sz="2" w:space="0" w:color="auto"/>
              <w:right w:val="single" w:sz="2" w:space="0" w:color="auto"/>
            </w:tcBorders>
          </w:tcPr>
          <w:p w14:paraId="4F6AAAAE" w14:textId="77777777" w:rsidR="009F4766" w:rsidRPr="00DE12A3" w:rsidRDefault="009F4766" w:rsidP="00C917D6">
            <w:pPr>
              <w:pStyle w:val="NormalLeft"/>
            </w:pPr>
            <w:r w:rsidRPr="00DE12A3">
              <w:t>22</w:t>
            </w:r>
          </w:p>
        </w:tc>
      </w:tr>
      <w:tr w:rsidR="00DE12A3" w:rsidRPr="00DE12A3" w14:paraId="083CBC5A" w14:textId="77777777" w:rsidTr="009F4766">
        <w:tc>
          <w:tcPr>
            <w:tcW w:w="1182" w:type="dxa"/>
            <w:tcBorders>
              <w:top w:val="single" w:sz="2" w:space="0" w:color="auto"/>
              <w:left w:val="single" w:sz="2" w:space="0" w:color="auto"/>
              <w:bottom w:val="single" w:sz="2" w:space="0" w:color="auto"/>
              <w:right w:val="single" w:sz="2" w:space="0" w:color="auto"/>
            </w:tcBorders>
          </w:tcPr>
          <w:p w14:paraId="2F54BAE3" w14:textId="77777777" w:rsidR="009F4766" w:rsidRPr="00DE12A3" w:rsidRDefault="009F4766" w:rsidP="00C917D6">
            <w:pPr>
              <w:pStyle w:val="NormalLeft"/>
            </w:pPr>
            <w:r w:rsidRPr="00DE12A3">
              <w:lastRenderedPageBreak/>
              <w:t>1148</w:t>
            </w:r>
          </w:p>
        </w:tc>
        <w:tc>
          <w:tcPr>
            <w:tcW w:w="2489" w:type="dxa"/>
            <w:tcBorders>
              <w:top w:val="single" w:sz="2" w:space="0" w:color="auto"/>
              <w:left w:val="single" w:sz="2" w:space="0" w:color="auto"/>
              <w:bottom w:val="single" w:sz="2" w:space="0" w:color="auto"/>
              <w:right w:val="single" w:sz="2" w:space="0" w:color="auto"/>
            </w:tcBorders>
          </w:tcPr>
          <w:p w14:paraId="60926C08" w14:textId="77777777" w:rsidR="009F4766" w:rsidRPr="00DE12A3" w:rsidRDefault="009F4766" w:rsidP="00C917D6">
            <w:pPr>
              <w:pStyle w:val="NormalLeft"/>
            </w:pPr>
            <w:r w:rsidRPr="00DE12A3">
              <w:t>72</w:t>
            </w:r>
          </w:p>
        </w:tc>
        <w:tc>
          <w:tcPr>
            <w:tcW w:w="2551" w:type="dxa"/>
            <w:tcBorders>
              <w:top w:val="single" w:sz="2" w:space="0" w:color="auto"/>
              <w:left w:val="single" w:sz="2" w:space="0" w:color="auto"/>
              <w:bottom w:val="single" w:sz="2" w:space="0" w:color="auto"/>
              <w:right w:val="single" w:sz="2" w:space="0" w:color="auto"/>
            </w:tcBorders>
          </w:tcPr>
          <w:p w14:paraId="6C475961" w14:textId="77777777" w:rsidR="009F4766" w:rsidRPr="00DE12A3" w:rsidRDefault="009F4766" w:rsidP="00C917D6">
            <w:pPr>
              <w:pStyle w:val="NormalLeft"/>
            </w:pPr>
            <w:r w:rsidRPr="00DE12A3">
              <w:t>52</w:t>
            </w:r>
          </w:p>
        </w:tc>
      </w:tr>
      <w:tr w:rsidR="00DE12A3" w:rsidRPr="00DE12A3" w14:paraId="2E46970F" w14:textId="77777777" w:rsidTr="009F4766">
        <w:tc>
          <w:tcPr>
            <w:tcW w:w="1182" w:type="dxa"/>
            <w:tcBorders>
              <w:top w:val="single" w:sz="2" w:space="0" w:color="auto"/>
              <w:left w:val="single" w:sz="2" w:space="0" w:color="auto"/>
              <w:bottom w:val="single" w:sz="2" w:space="0" w:color="auto"/>
              <w:right w:val="single" w:sz="2" w:space="0" w:color="auto"/>
            </w:tcBorders>
          </w:tcPr>
          <w:p w14:paraId="1D128191" w14:textId="77777777" w:rsidR="009F4766" w:rsidRPr="00DE12A3" w:rsidRDefault="009F4766" w:rsidP="00C917D6">
            <w:pPr>
              <w:pStyle w:val="NormalLeft"/>
            </w:pPr>
            <w:r w:rsidRPr="00DE12A3">
              <w:t>1149</w:t>
            </w:r>
          </w:p>
        </w:tc>
        <w:tc>
          <w:tcPr>
            <w:tcW w:w="2489" w:type="dxa"/>
            <w:tcBorders>
              <w:top w:val="single" w:sz="2" w:space="0" w:color="auto"/>
              <w:left w:val="single" w:sz="2" w:space="0" w:color="auto"/>
              <w:bottom w:val="single" w:sz="2" w:space="0" w:color="auto"/>
              <w:right w:val="single" w:sz="2" w:space="0" w:color="auto"/>
            </w:tcBorders>
          </w:tcPr>
          <w:p w14:paraId="6A016C58" w14:textId="77777777" w:rsidR="009F4766" w:rsidRPr="00DE12A3" w:rsidRDefault="009F4766" w:rsidP="00C917D6">
            <w:pPr>
              <w:pStyle w:val="NormalLeft"/>
            </w:pPr>
            <w:r w:rsidRPr="00DE12A3">
              <w:t>62</w:t>
            </w:r>
          </w:p>
        </w:tc>
        <w:tc>
          <w:tcPr>
            <w:tcW w:w="2551" w:type="dxa"/>
            <w:tcBorders>
              <w:top w:val="single" w:sz="2" w:space="0" w:color="auto"/>
              <w:left w:val="single" w:sz="2" w:space="0" w:color="auto"/>
              <w:bottom w:val="single" w:sz="2" w:space="0" w:color="auto"/>
              <w:right w:val="single" w:sz="2" w:space="0" w:color="auto"/>
            </w:tcBorders>
          </w:tcPr>
          <w:p w14:paraId="53A64F8C" w14:textId="77777777" w:rsidR="009F4766" w:rsidRPr="00DE12A3" w:rsidRDefault="009F4766" w:rsidP="00C917D6">
            <w:pPr>
              <w:pStyle w:val="NormalLeft"/>
            </w:pPr>
            <w:r w:rsidRPr="00DE12A3">
              <w:t>96</w:t>
            </w:r>
          </w:p>
        </w:tc>
      </w:tr>
      <w:tr w:rsidR="00DE12A3" w:rsidRPr="00DE12A3" w14:paraId="2F2E937B" w14:textId="77777777" w:rsidTr="009F4766">
        <w:tc>
          <w:tcPr>
            <w:tcW w:w="1182" w:type="dxa"/>
            <w:tcBorders>
              <w:top w:val="single" w:sz="2" w:space="0" w:color="auto"/>
              <w:left w:val="single" w:sz="2" w:space="0" w:color="auto"/>
              <w:bottom w:val="single" w:sz="2" w:space="0" w:color="auto"/>
              <w:right w:val="single" w:sz="2" w:space="0" w:color="auto"/>
            </w:tcBorders>
          </w:tcPr>
          <w:p w14:paraId="651DF52F" w14:textId="77777777" w:rsidR="009F4766" w:rsidRPr="00DE12A3" w:rsidRDefault="009F4766" w:rsidP="00C917D6">
            <w:pPr>
              <w:pStyle w:val="NormalLeft"/>
            </w:pPr>
            <w:r w:rsidRPr="00DE12A3">
              <w:t>1150</w:t>
            </w:r>
          </w:p>
        </w:tc>
        <w:tc>
          <w:tcPr>
            <w:tcW w:w="2489" w:type="dxa"/>
            <w:tcBorders>
              <w:top w:val="single" w:sz="2" w:space="0" w:color="auto"/>
              <w:left w:val="single" w:sz="2" w:space="0" w:color="auto"/>
              <w:bottom w:val="single" w:sz="2" w:space="0" w:color="auto"/>
              <w:right w:val="single" w:sz="2" w:space="0" w:color="auto"/>
            </w:tcBorders>
          </w:tcPr>
          <w:p w14:paraId="49540B01" w14:textId="77777777" w:rsidR="009F4766" w:rsidRPr="00DE12A3" w:rsidRDefault="009F4766" w:rsidP="00C917D6">
            <w:pPr>
              <w:pStyle w:val="NormalLeft"/>
            </w:pPr>
            <w:r w:rsidRPr="00DE12A3">
              <w:t>54</w:t>
            </w:r>
          </w:p>
        </w:tc>
        <w:tc>
          <w:tcPr>
            <w:tcW w:w="2551" w:type="dxa"/>
            <w:tcBorders>
              <w:top w:val="single" w:sz="2" w:space="0" w:color="auto"/>
              <w:left w:val="single" w:sz="2" w:space="0" w:color="auto"/>
              <w:bottom w:val="single" w:sz="2" w:space="0" w:color="auto"/>
              <w:right w:val="single" w:sz="2" w:space="0" w:color="auto"/>
            </w:tcBorders>
          </w:tcPr>
          <w:p w14:paraId="3836F3AA" w14:textId="77777777" w:rsidR="009F4766" w:rsidRPr="00DE12A3" w:rsidRDefault="009F4766" w:rsidP="00C917D6">
            <w:pPr>
              <w:pStyle w:val="NormalLeft"/>
            </w:pPr>
            <w:r w:rsidRPr="00DE12A3">
              <w:t>72</w:t>
            </w:r>
          </w:p>
        </w:tc>
      </w:tr>
      <w:tr w:rsidR="00DE12A3" w:rsidRPr="00DE12A3" w14:paraId="6784288D" w14:textId="77777777" w:rsidTr="009F4766">
        <w:tc>
          <w:tcPr>
            <w:tcW w:w="1182" w:type="dxa"/>
            <w:tcBorders>
              <w:top w:val="single" w:sz="2" w:space="0" w:color="auto"/>
              <w:left w:val="single" w:sz="2" w:space="0" w:color="auto"/>
              <w:bottom w:val="single" w:sz="2" w:space="0" w:color="auto"/>
              <w:right w:val="single" w:sz="2" w:space="0" w:color="auto"/>
            </w:tcBorders>
          </w:tcPr>
          <w:p w14:paraId="28DC9D8B" w14:textId="77777777" w:rsidR="009F4766" w:rsidRPr="00DE12A3" w:rsidRDefault="009F4766" w:rsidP="00C917D6">
            <w:pPr>
              <w:pStyle w:val="NormalLeft"/>
            </w:pPr>
            <w:r w:rsidRPr="00DE12A3">
              <w:t>1151</w:t>
            </w:r>
          </w:p>
        </w:tc>
        <w:tc>
          <w:tcPr>
            <w:tcW w:w="2489" w:type="dxa"/>
            <w:tcBorders>
              <w:top w:val="single" w:sz="2" w:space="0" w:color="auto"/>
              <w:left w:val="single" w:sz="2" w:space="0" w:color="auto"/>
              <w:bottom w:val="single" w:sz="2" w:space="0" w:color="auto"/>
              <w:right w:val="single" w:sz="2" w:space="0" w:color="auto"/>
            </w:tcBorders>
          </w:tcPr>
          <w:p w14:paraId="32949864" w14:textId="77777777" w:rsidR="009F4766" w:rsidRPr="00DE12A3" w:rsidRDefault="009F4766" w:rsidP="00C917D6">
            <w:pPr>
              <w:pStyle w:val="NormalLeft"/>
            </w:pPr>
            <w:r w:rsidRPr="00DE12A3">
              <w:t>72</w:t>
            </w:r>
          </w:p>
        </w:tc>
        <w:tc>
          <w:tcPr>
            <w:tcW w:w="2551" w:type="dxa"/>
            <w:tcBorders>
              <w:top w:val="single" w:sz="2" w:space="0" w:color="auto"/>
              <w:left w:val="single" w:sz="2" w:space="0" w:color="auto"/>
              <w:bottom w:val="single" w:sz="2" w:space="0" w:color="auto"/>
              <w:right w:val="single" w:sz="2" w:space="0" w:color="auto"/>
            </w:tcBorders>
          </w:tcPr>
          <w:p w14:paraId="09A70554" w14:textId="77777777" w:rsidR="009F4766" w:rsidRPr="00DE12A3" w:rsidRDefault="009F4766" w:rsidP="00C917D6">
            <w:pPr>
              <w:pStyle w:val="NormalLeft"/>
            </w:pPr>
            <w:r w:rsidRPr="00DE12A3">
              <w:t>28</w:t>
            </w:r>
          </w:p>
        </w:tc>
      </w:tr>
      <w:tr w:rsidR="00DE12A3" w:rsidRPr="00DE12A3" w14:paraId="2882CFDB" w14:textId="77777777" w:rsidTr="009F4766">
        <w:tc>
          <w:tcPr>
            <w:tcW w:w="1182" w:type="dxa"/>
            <w:tcBorders>
              <w:top w:val="single" w:sz="2" w:space="0" w:color="auto"/>
              <w:left w:val="single" w:sz="2" w:space="0" w:color="auto"/>
              <w:bottom w:val="single" w:sz="2" w:space="0" w:color="auto"/>
              <w:right w:val="single" w:sz="2" w:space="0" w:color="auto"/>
            </w:tcBorders>
          </w:tcPr>
          <w:p w14:paraId="54149C89" w14:textId="77777777" w:rsidR="009F4766" w:rsidRPr="00DE12A3" w:rsidRDefault="009F4766" w:rsidP="00C917D6">
            <w:pPr>
              <w:pStyle w:val="NormalLeft"/>
            </w:pPr>
            <w:r w:rsidRPr="00DE12A3">
              <w:t>1152</w:t>
            </w:r>
          </w:p>
        </w:tc>
        <w:tc>
          <w:tcPr>
            <w:tcW w:w="2489" w:type="dxa"/>
            <w:tcBorders>
              <w:top w:val="single" w:sz="2" w:space="0" w:color="auto"/>
              <w:left w:val="single" w:sz="2" w:space="0" w:color="auto"/>
              <w:bottom w:val="single" w:sz="2" w:space="0" w:color="auto"/>
              <w:right w:val="single" w:sz="2" w:space="0" w:color="auto"/>
            </w:tcBorders>
          </w:tcPr>
          <w:p w14:paraId="35C62284" w14:textId="77777777" w:rsidR="009F4766" w:rsidRPr="00DE12A3" w:rsidRDefault="009F4766" w:rsidP="00C917D6">
            <w:pPr>
              <w:pStyle w:val="NormalLeft"/>
            </w:pPr>
            <w:r w:rsidRPr="00DE12A3">
              <w:t>72</w:t>
            </w:r>
          </w:p>
        </w:tc>
        <w:tc>
          <w:tcPr>
            <w:tcW w:w="2551" w:type="dxa"/>
            <w:tcBorders>
              <w:top w:val="single" w:sz="2" w:space="0" w:color="auto"/>
              <w:left w:val="single" w:sz="2" w:space="0" w:color="auto"/>
              <w:bottom w:val="single" w:sz="2" w:space="0" w:color="auto"/>
              <w:right w:val="single" w:sz="2" w:space="0" w:color="auto"/>
            </w:tcBorders>
          </w:tcPr>
          <w:p w14:paraId="0D26E744" w14:textId="77777777" w:rsidR="009F4766" w:rsidRPr="00DE12A3" w:rsidRDefault="009F4766" w:rsidP="00C917D6">
            <w:pPr>
              <w:pStyle w:val="NormalLeft"/>
            </w:pPr>
            <w:r w:rsidRPr="00DE12A3">
              <w:t>35</w:t>
            </w:r>
          </w:p>
        </w:tc>
      </w:tr>
      <w:tr w:rsidR="00DE12A3" w:rsidRPr="00DE12A3" w14:paraId="5CE28792" w14:textId="77777777" w:rsidTr="009F4766">
        <w:tc>
          <w:tcPr>
            <w:tcW w:w="1182" w:type="dxa"/>
            <w:tcBorders>
              <w:top w:val="single" w:sz="2" w:space="0" w:color="auto"/>
              <w:left w:val="single" w:sz="2" w:space="0" w:color="auto"/>
              <w:bottom w:val="single" w:sz="2" w:space="0" w:color="auto"/>
              <w:right w:val="single" w:sz="2" w:space="0" w:color="auto"/>
            </w:tcBorders>
          </w:tcPr>
          <w:p w14:paraId="3D6CC838" w14:textId="77777777" w:rsidR="009F4766" w:rsidRPr="00DE12A3" w:rsidRDefault="009F4766" w:rsidP="00C917D6">
            <w:pPr>
              <w:pStyle w:val="NormalLeft"/>
            </w:pPr>
            <w:r w:rsidRPr="00DE12A3">
              <w:t>1153</w:t>
            </w:r>
          </w:p>
        </w:tc>
        <w:tc>
          <w:tcPr>
            <w:tcW w:w="2489" w:type="dxa"/>
            <w:tcBorders>
              <w:top w:val="single" w:sz="2" w:space="0" w:color="auto"/>
              <w:left w:val="single" w:sz="2" w:space="0" w:color="auto"/>
              <w:bottom w:val="single" w:sz="2" w:space="0" w:color="auto"/>
              <w:right w:val="single" w:sz="2" w:space="0" w:color="auto"/>
            </w:tcBorders>
          </w:tcPr>
          <w:p w14:paraId="1149E703" w14:textId="77777777" w:rsidR="009F4766" w:rsidRPr="00DE12A3" w:rsidRDefault="009F4766" w:rsidP="00C917D6">
            <w:pPr>
              <w:pStyle w:val="NormalLeft"/>
            </w:pPr>
            <w:r w:rsidRPr="00DE12A3">
              <w:t>64</w:t>
            </w:r>
          </w:p>
        </w:tc>
        <w:tc>
          <w:tcPr>
            <w:tcW w:w="2551" w:type="dxa"/>
            <w:tcBorders>
              <w:top w:val="single" w:sz="2" w:space="0" w:color="auto"/>
              <w:left w:val="single" w:sz="2" w:space="0" w:color="auto"/>
              <w:bottom w:val="single" w:sz="2" w:space="0" w:color="auto"/>
              <w:right w:val="single" w:sz="2" w:space="0" w:color="auto"/>
            </w:tcBorders>
          </w:tcPr>
          <w:p w14:paraId="5B300952" w14:textId="77777777" w:rsidR="009F4766" w:rsidRPr="00DE12A3" w:rsidRDefault="009F4766" w:rsidP="00C917D6">
            <w:pPr>
              <w:pStyle w:val="NormalLeft"/>
            </w:pPr>
            <w:r w:rsidRPr="00DE12A3">
              <w:t>68</w:t>
            </w:r>
          </w:p>
        </w:tc>
      </w:tr>
      <w:tr w:rsidR="00DE12A3" w:rsidRPr="00DE12A3" w14:paraId="3B65B447" w14:textId="77777777" w:rsidTr="009F4766">
        <w:tc>
          <w:tcPr>
            <w:tcW w:w="1182" w:type="dxa"/>
            <w:tcBorders>
              <w:top w:val="single" w:sz="2" w:space="0" w:color="auto"/>
              <w:left w:val="single" w:sz="2" w:space="0" w:color="auto"/>
              <w:bottom w:val="single" w:sz="2" w:space="0" w:color="auto"/>
              <w:right w:val="single" w:sz="2" w:space="0" w:color="auto"/>
            </w:tcBorders>
          </w:tcPr>
          <w:p w14:paraId="7977E4BF" w14:textId="77777777" w:rsidR="009F4766" w:rsidRPr="00DE12A3" w:rsidRDefault="009F4766" w:rsidP="00C917D6">
            <w:pPr>
              <w:pStyle w:val="NormalLeft"/>
            </w:pPr>
            <w:r w:rsidRPr="00DE12A3">
              <w:t>1154</w:t>
            </w:r>
          </w:p>
        </w:tc>
        <w:tc>
          <w:tcPr>
            <w:tcW w:w="2489" w:type="dxa"/>
            <w:tcBorders>
              <w:top w:val="single" w:sz="2" w:space="0" w:color="auto"/>
              <w:left w:val="single" w:sz="2" w:space="0" w:color="auto"/>
              <w:bottom w:val="single" w:sz="2" w:space="0" w:color="auto"/>
              <w:right w:val="single" w:sz="2" w:space="0" w:color="auto"/>
            </w:tcBorders>
          </w:tcPr>
          <w:p w14:paraId="078F6522" w14:textId="77777777" w:rsidR="009F4766" w:rsidRPr="00DE12A3" w:rsidRDefault="009F4766" w:rsidP="00C917D6">
            <w:pPr>
              <w:pStyle w:val="NormalLeft"/>
            </w:pPr>
            <w:r w:rsidRPr="00DE12A3">
              <w:t>74</w:t>
            </w:r>
          </w:p>
        </w:tc>
        <w:tc>
          <w:tcPr>
            <w:tcW w:w="2551" w:type="dxa"/>
            <w:tcBorders>
              <w:top w:val="single" w:sz="2" w:space="0" w:color="auto"/>
              <w:left w:val="single" w:sz="2" w:space="0" w:color="auto"/>
              <w:bottom w:val="single" w:sz="2" w:space="0" w:color="auto"/>
              <w:right w:val="single" w:sz="2" w:space="0" w:color="auto"/>
            </w:tcBorders>
          </w:tcPr>
          <w:p w14:paraId="232772A4" w14:textId="77777777" w:rsidR="009F4766" w:rsidRPr="00DE12A3" w:rsidRDefault="009F4766" w:rsidP="00C917D6">
            <w:pPr>
              <w:pStyle w:val="NormalLeft"/>
            </w:pPr>
            <w:r w:rsidRPr="00DE12A3">
              <w:t>27</w:t>
            </w:r>
          </w:p>
        </w:tc>
      </w:tr>
      <w:tr w:rsidR="00DE12A3" w:rsidRPr="00DE12A3" w14:paraId="1E5AAA12" w14:textId="77777777" w:rsidTr="009F4766">
        <w:tc>
          <w:tcPr>
            <w:tcW w:w="1182" w:type="dxa"/>
            <w:tcBorders>
              <w:top w:val="single" w:sz="2" w:space="0" w:color="auto"/>
              <w:left w:val="single" w:sz="2" w:space="0" w:color="auto"/>
              <w:bottom w:val="single" w:sz="2" w:space="0" w:color="auto"/>
              <w:right w:val="single" w:sz="2" w:space="0" w:color="auto"/>
            </w:tcBorders>
          </w:tcPr>
          <w:p w14:paraId="47C1D232" w14:textId="77777777" w:rsidR="009F4766" w:rsidRPr="00DE12A3" w:rsidRDefault="009F4766" w:rsidP="00C917D6">
            <w:pPr>
              <w:pStyle w:val="NormalLeft"/>
            </w:pPr>
            <w:r w:rsidRPr="00DE12A3">
              <w:t>1155</w:t>
            </w:r>
          </w:p>
        </w:tc>
        <w:tc>
          <w:tcPr>
            <w:tcW w:w="2489" w:type="dxa"/>
            <w:tcBorders>
              <w:top w:val="single" w:sz="2" w:space="0" w:color="auto"/>
              <w:left w:val="single" w:sz="2" w:space="0" w:color="auto"/>
              <w:bottom w:val="single" w:sz="2" w:space="0" w:color="auto"/>
              <w:right w:val="single" w:sz="2" w:space="0" w:color="auto"/>
            </w:tcBorders>
          </w:tcPr>
          <w:p w14:paraId="71A9B029" w14:textId="77777777" w:rsidR="009F4766" w:rsidRPr="00DE12A3" w:rsidRDefault="009F4766" w:rsidP="00C917D6">
            <w:pPr>
              <w:pStyle w:val="NormalLeft"/>
            </w:pPr>
            <w:r w:rsidRPr="00DE12A3">
              <w:t>76</w:t>
            </w:r>
          </w:p>
        </w:tc>
        <w:tc>
          <w:tcPr>
            <w:tcW w:w="2551" w:type="dxa"/>
            <w:tcBorders>
              <w:top w:val="single" w:sz="2" w:space="0" w:color="auto"/>
              <w:left w:val="single" w:sz="2" w:space="0" w:color="auto"/>
              <w:bottom w:val="single" w:sz="2" w:space="0" w:color="auto"/>
              <w:right w:val="single" w:sz="2" w:space="0" w:color="auto"/>
            </w:tcBorders>
          </w:tcPr>
          <w:p w14:paraId="15D81998" w14:textId="77777777" w:rsidR="009F4766" w:rsidRPr="00DE12A3" w:rsidRDefault="009F4766" w:rsidP="00C917D6">
            <w:pPr>
              <w:pStyle w:val="NormalLeft"/>
            </w:pPr>
            <w:r w:rsidRPr="00DE12A3">
              <w:t>14</w:t>
            </w:r>
          </w:p>
        </w:tc>
      </w:tr>
      <w:tr w:rsidR="00DE12A3" w:rsidRPr="00DE12A3" w14:paraId="747C5EE7" w14:textId="77777777" w:rsidTr="009F4766">
        <w:tc>
          <w:tcPr>
            <w:tcW w:w="1182" w:type="dxa"/>
            <w:tcBorders>
              <w:top w:val="single" w:sz="2" w:space="0" w:color="auto"/>
              <w:left w:val="single" w:sz="2" w:space="0" w:color="auto"/>
              <w:bottom w:val="single" w:sz="2" w:space="0" w:color="auto"/>
              <w:right w:val="single" w:sz="2" w:space="0" w:color="auto"/>
            </w:tcBorders>
          </w:tcPr>
          <w:p w14:paraId="173B43D1" w14:textId="77777777" w:rsidR="009F4766" w:rsidRPr="00DE12A3" w:rsidRDefault="009F4766" w:rsidP="00C917D6">
            <w:pPr>
              <w:pStyle w:val="NormalLeft"/>
            </w:pPr>
            <w:r w:rsidRPr="00DE12A3">
              <w:t>1156</w:t>
            </w:r>
          </w:p>
        </w:tc>
        <w:tc>
          <w:tcPr>
            <w:tcW w:w="2489" w:type="dxa"/>
            <w:tcBorders>
              <w:top w:val="single" w:sz="2" w:space="0" w:color="auto"/>
              <w:left w:val="single" w:sz="2" w:space="0" w:color="auto"/>
              <w:bottom w:val="single" w:sz="2" w:space="0" w:color="auto"/>
              <w:right w:val="single" w:sz="2" w:space="0" w:color="auto"/>
            </w:tcBorders>
          </w:tcPr>
          <w:p w14:paraId="57A56325" w14:textId="77777777" w:rsidR="009F4766" w:rsidRPr="00DE12A3" w:rsidRDefault="009F4766" w:rsidP="00C917D6">
            <w:pPr>
              <w:pStyle w:val="NormalLeft"/>
            </w:pPr>
            <w:r w:rsidRPr="00DE12A3">
              <w:t>69</w:t>
            </w:r>
          </w:p>
        </w:tc>
        <w:tc>
          <w:tcPr>
            <w:tcW w:w="2551" w:type="dxa"/>
            <w:tcBorders>
              <w:top w:val="single" w:sz="2" w:space="0" w:color="auto"/>
              <w:left w:val="single" w:sz="2" w:space="0" w:color="auto"/>
              <w:bottom w:val="single" w:sz="2" w:space="0" w:color="auto"/>
              <w:right w:val="single" w:sz="2" w:space="0" w:color="auto"/>
            </w:tcBorders>
          </w:tcPr>
          <w:p w14:paraId="7ED96172" w14:textId="77777777" w:rsidR="009F4766" w:rsidRPr="00DE12A3" w:rsidRDefault="009F4766" w:rsidP="00C917D6">
            <w:pPr>
              <w:pStyle w:val="NormalLeft"/>
            </w:pPr>
            <w:r w:rsidRPr="00DE12A3">
              <w:t>38</w:t>
            </w:r>
          </w:p>
        </w:tc>
      </w:tr>
      <w:tr w:rsidR="00DE12A3" w:rsidRPr="00DE12A3" w14:paraId="626E0672" w14:textId="77777777" w:rsidTr="009F4766">
        <w:tc>
          <w:tcPr>
            <w:tcW w:w="1182" w:type="dxa"/>
            <w:tcBorders>
              <w:top w:val="single" w:sz="2" w:space="0" w:color="auto"/>
              <w:left w:val="single" w:sz="2" w:space="0" w:color="auto"/>
              <w:bottom w:val="single" w:sz="2" w:space="0" w:color="auto"/>
              <w:right w:val="single" w:sz="2" w:space="0" w:color="auto"/>
            </w:tcBorders>
          </w:tcPr>
          <w:p w14:paraId="6251B3EF" w14:textId="77777777" w:rsidR="009F4766" w:rsidRPr="00DE12A3" w:rsidRDefault="009F4766" w:rsidP="00C917D6">
            <w:pPr>
              <w:pStyle w:val="NormalLeft"/>
            </w:pPr>
            <w:r w:rsidRPr="00DE12A3">
              <w:t>1157</w:t>
            </w:r>
          </w:p>
        </w:tc>
        <w:tc>
          <w:tcPr>
            <w:tcW w:w="2489" w:type="dxa"/>
            <w:tcBorders>
              <w:top w:val="single" w:sz="2" w:space="0" w:color="auto"/>
              <w:left w:val="single" w:sz="2" w:space="0" w:color="auto"/>
              <w:bottom w:val="single" w:sz="2" w:space="0" w:color="auto"/>
              <w:right w:val="single" w:sz="2" w:space="0" w:color="auto"/>
            </w:tcBorders>
          </w:tcPr>
          <w:p w14:paraId="7370C6F1" w14:textId="77777777" w:rsidR="009F4766" w:rsidRPr="00DE12A3" w:rsidRDefault="009F4766" w:rsidP="00C917D6">
            <w:pPr>
              <w:pStyle w:val="NormalLeft"/>
            </w:pPr>
            <w:r w:rsidRPr="00DE12A3">
              <w:t>66</w:t>
            </w:r>
          </w:p>
        </w:tc>
        <w:tc>
          <w:tcPr>
            <w:tcW w:w="2551" w:type="dxa"/>
            <w:tcBorders>
              <w:top w:val="single" w:sz="2" w:space="0" w:color="auto"/>
              <w:left w:val="single" w:sz="2" w:space="0" w:color="auto"/>
              <w:bottom w:val="single" w:sz="2" w:space="0" w:color="auto"/>
              <w:right w:val="single" w:sz="2" w:space="0" w:color="auto"/>
            </w:tcBorders>
          </w:tcPr>
          <w:p w14:paraId="488CF3B3" w14:textId="77777777" w:rsidR="009F4766" w:rsidRPr="00DE12A3" w:rsidRDefault="009F4766" w:rsidP="00C917D6">
            <w:pPr>
              <w:pStyle w:val="NormalLeft"/>
            </w:pPr>
            <w:r w:rsidRPr="00DE12A3">
              <w:t>59</w:t>
            </w:r>
          </w:p>
        </w:tc>
      </w:tr>
      <w:tr w:rsidR="00DE12A3" w:rsidRPr="00DE12A3" w14:paraId="5FC75C73" w14:textId="77777777" w:rsidTr="009F4766">
        <w:tc>
          <w:tcPr>
            <w:tcW w:w="1182" w:type="dxa"/>
            <w:tcBorders>
              <w:top w:val="single" w:sz="2" w:space="0" w:color="auto"/>
              <w:left w:val="single" w:sz="2" w:space="0" w:color="auto"/>
              <w:bottom w:val="single" w:sz="2" w:space="0" w:color="auto"/>
              <w:right w:val="single" w:sz="2" w:space="0" w:color="auto"/>
            </w:tcBorders>
          </w:tcPr>
          <w:p w14:paraId="31FA3D40" w14:textId="77777777" w:rsidR="009F4766" w:rsidRPr="00DE12A3" w:rsidRDefault="009F4766" w:rsidP="00C917D6">
            <w:pPr>
              <w:pStyle w:val="NormalLeft"/>
            </w:pPr>
            <w:r w:rsidRPr="00DE12A3">
              <w:t>1158</w:t>
            </w:r>
          </w:p>
        </w:tc>
        <w:tc>
          <w:tcPr>
            <w:tcW w:w="2489" w:type="dxa"/>
            <w:tcBorders>
              <w:top w:val="single" w:sz="2" w:space="0" w:color="auto"/>
              <w:left w:val="single" w:sz="2" w:space="0" w:color="auto"/>
              <w:bottom w:val="single" w:sz="2" w:space="0" w:color="auto"/>
              <w:right w:val="single" w:sz="2" w:space="0" w:color="auto"/>
            </w:tcBorders>
          </w:tcPr>
          <w:p w14:paraId="680C8110" w14:textId="77777777" w:rsidR="009F4766" w:rsidRPr="00DE12A3" w:rsidRDefault="009F4766" w:rsidP="00C917D6">
            <w:pPr>
              <w:pStyle w:val="NormalLeft"/>
            </w:pPr>
            <w:r w:rsidRPr="00DE12A3">
              <w:t>64</w:t>
            </w:r>
          </w:p>
        </w:tc>
        <w:tc>
          <w:tcPr>
            <w:tcW w:w="2551" w:type="dxa"/>
            <w:tcBorders>
              <w:top w:val="single" w:sz="2" w:space="0" w:color="auto"/>
              <w:left w:val="single" w:sz="2" w:space="0" w:color="auto"/>
              <w:bottom w:val="single" w:sz="2" w:space="0" w:color="auto"/>
              <w:right w:val="single" w:sz="2" w:space="0" w:color="auto"/>
            </w:tcBorders>
          </w:tcPr>
          <w:p w14:paraId="42C02139" w14:textId="77777777" w:rsidR="009F4766" w:rsidRPr="00DE12A3" w:rsidRDefault="009F4766" w:rsidP="00C917D6">
            <w:pPr>
              <w:pStyle w:val="NormalLeft"/>
            </w:pPr>
            <w:r w:rsidRPr="00DE12A3">
              <w:t>99</w:t>
            </w:r>
          </w:p>
        </w:tc>
      </w:tr>
      <w:tr w:rsidR="00DE12A3" w:rsidRPr="00DE12A3" w14:paraId="5F23F0D9" w14:textId="77777777" w:rsidTr="009F4766">
        <w:tc>
          <w:tcPr>
            <w:tcW w:w="1182" w:type="dxa"/>
            <w:tcBorders>
              <w:top w:val="single" w:sz="2" w:space="0" w:color="auto"/>
              <w:left w:val="single" w:sz="2" w:space="0" w:color="auto"/>
              <w:bottom w:val="single" w:sz="2" w:space="0" w:color="auto"/>
              <w:right w:val="single" w:sz="2" w:space="0" w:color="auto"/>
            </w:tcBorders>
          </w:tcPr>
          <w:p w14:paraId="7E329252" w14:textId="77777777" w:rsidR="009F4766" w:rsidRPr="00DE12A3" w:rsidRDefault="009F4766" w:rsidP="00C917D6">
            <w:pPr>
              <w:pStyle w:val="NormalLeft"/>
            </w:pPr>
            <w:r w:rsidRPr="00DE12A3">
              <w:t>1159</w:t>
            </w:r>
          </w:p>
        </w:tc>
        <w:tc>
          <w:tcPr>
            <w:tcW w:w="2489" w:type="dxa"/>
            <w:tcBorders>
              <w:top w:val="single" w:sz="2" w:space="0" w:color="auto"/>
              <w:left w:val="single" w:sz="2" w:space="0" w:color="auto"/>
              <w:bottom w:val="single" w:sz="2" w:space="0" w:color="auto"/>
              <w:right w:val="single" w:sz="2" w:space="0" w:color="auto"/>
            </w:tcBorders>
          </w:tcPr>
          <w:p w14:paraId="75245F3A" w14:textId="77777777" w:rsidR="009F4766" w:rsidRPr="00DE12A3" w:rsidRDefault="009F4766" w:rsidP="00C917D6">
            <w:pPr>
              <w:pStyle w:val="NormalLeft"/>
            </w:pPr>
            <w:r w:rsidRPr="00DE12A3">
              <w:t>51</w:t>
            </w:r>
          </w:p>
        </w:tc>
        <w:tc>
          <w:tcPr>
            <w:tcW w:w="2551" w:type="dxa"/>
            <w:tcBorders>
              <w:top w:val="single" w:sz="2" w:space="0" w:color="auto"/>
              <w:left w:val="single" w:sz="2" w:space="0" w:color="auto"/>
              <w:bottom w:val="single" w:sz="2" w:space="0" w:color="auto"/>
              <w:right w:val="single" w:sz="2" w:space="0" w:color="auto"/>
            </w:tcBorders>
          </w:tcPr>
          <w:p w14:paraId="0F6635A0" w14:textId="77777777" w:rsidR="009F4766" w:rsidRPr="00DE12A3" w:rsidRDefault="009F4766" w:rsidP="00C917D6">
            <w:pPr>
              <w:pStyle w:val="NormalLeft"/>
            </w:pPr>
            <w:r w:rsidRPr="00DE12A3">
              <w:t>86</w:t>
            </w:r>
          </w:p>
        </w:tc>
      </w:tr>
      <w:tr w:rsidR="00DE12A3" w:rsidRPr="00DE12A3" w14:paraId="18C358FE" w14:textId="77777777" w:rsidTr="009F4766">
        <w:tc>
          <w:tcPr>
            <w:tcW w:w="1182" w:type="dxa"/>
            <w:tcBorders>
              <w:top w:val="single" w:sz="2" w:space="0" w:color="auto"/>
              <w:left w:val="single" w:sz="2" w:space="0" w:color="auto"/>
              <w:bottom w:val="single" w:sz="2" w:space="0" w:color="auto"/>
              <w:right w:val="single" w:sz="2" w:space="0" w:color="auto"/>
            </w:tcBorders>
          </w:tcPr>
          <w:p w14:paraId="00DB97BE" w14:textId="77777777" w:rsidR="009F4766" w:rsidRPr="00DE12A3" w:rsidRDefault="009F4766" w:rsidP="00C917D6">
            <w:pPr>
              <w:pStyle w:val="NormalLeft"/>
            </w:pPr>
            <w:r w:rsidRPr="00DE12A3">
              <w:t>1160</w:t>
            </w:r>
          </w:p>
        </w:tc>
        <w:tc>
          <w:tcPr>
            <w:tcW w:w="2489" w:type="dxa"/>
            <w:tcBorders>
              <w:top w:val="single" w:sz="2" w:space="0" w:color="auto"/>
              <w:left w:val="single" w:sz="2" w:space="0" w:color="auto"/>
              <w:bottom w:val="single" w:sz="2" w:space="0" w:color="auto"/>
              <w:right w:val="single" w:sz="2" w:space="0" w:color="auto"/>
            </w:tcBorders>
          </w:tcPr>
          <w:p w14:paraId="0358FE83" w14:textId="77777777" w:rsidR="009F4766" w:rsidRPr="00DE12A3" w:rsidRDefault="009F4766" w:rsidP="00C917D6">
            <w:pPr>
              <w:pStyle w:val="NormalLeft"/>
            </w:pPr>
            <w:r w:rsidRPr="00DE12A3">
              <w:t>70</w:t>
            </w:r>
          </w:p>
        </w:tc>
        <w:tc>
          <w:tcPr>
            <w:tcW w:w="2551" w:type="dxa"/>
            <w:tcBorders>
              <w:top w:val="single" w:sz="2" w:space="0" w:color="auto"/>
              <w:left w:val="single" w:sz="2" w:space="0" w:color="auto"/>
              <w:bottom w:val="single" w:sz="2" w:space="0" w:color="auto"/>
              <w:right w:val="single" w:sz="2" w:space="0" w:color="auto"/>
            </w:tcBorders>
          </w:tcPr>
          <w:p w14:paraId="08289AB2" w14:textId="77777777" w:rsidR="009F4766" w:rsidRPr="00DE12A3" w:rsidRDefault="009F4766" w:rsidP="00C917D6">
            <w:pPr>
              <w:pStyle w:val="NormalLeft"/>
            </w:pPr>
            <w:r w:rsidRPr="00DE12A3">
              <w:t>53</w:t>
            </w:r>
          </w:p>
        </w:tc>
      </w:tr>
      <w:tr w:rsidR="00DE12A3" w:rsidRPr="00DE12A3" w14:paraId="3A9E8BEC" w14:textId="77777777" w:rsidTr="009F4766">
        <w:tc>
          <w:tcPr>
            <w:tcW w:w="1182" w:type="dxa"/>
            <w:tcBorders>
              <w:top w:val="single" w:sz="2" w:space="0" w:color="auto"/>
              <w:left w:val="single" w:sz="2" w:space="0" w:color="auto"/>
              <w:bottom w:val="single" w:sz="2" w:space="0" w:color="auto"/>
              <w:right w:val="single" w:sz="2" w:space="0" w:color="auto"/>
            </w:tcBorders>
          </w:tcPr>
          <w:p w14:paraId="1939D6EF" w14:textId="77777777" w:rsidR="009F4766" w:rsidRPr="00DE12A3" w:rsidRDefault="009F4766" w:rsidP="00C917D6">
            <w:pPr>
              <w:pStyle w:val="NormalLeft"/>
            </w:pPr>
            <w:r w:rsidRPr="00DE12A3">
              <w:t>1161</w:t>
            </w:r>
          </w:p>
        </w:tc>
        <w:tc>
          <w:tcPr>
            <w:tcW w:w="2489" w:type="dxa"/>
            <w:tcBorders>
              <w:top w:val="single" w:sz="2" w:space="0" w:color="auto"/>
              <w:left w:val="single" w:sz="2" w:space="0" w:color="auto"/>
              <w:bottom w:val="single" w:sz="2" w:space="0" w:color="auto"/>
              <w:right w:val="single" w:sz="2" w:space="0" w:color="auto"/>
            </w:tcBorders>
          </w:tcPr>
          <w:p w14:paraId="5AF73F82" w14:textId="77777777" w:rsidR="009F4766" w:rsidRPr="00DE12A3" w:rsidRDefault="009F4766" w:rsidP="00C917D6">
            <w:pPr>
              <w:pStyle w:val="NormalLeft"/>
            </w:pPr>
            <w:r w:rsidRPr="00DE12A3">
              <w:t>72</w:t>
            </w:r>
          </w:p>
        </w:tc>
        <w:tc>
          <w:tcPr>
            <w:tcW w:w="2551" w:type="dxa"/>
            <w:tcBorders>
              <w:top w:val="single" w:sz="2" w:space="0" w:color="auto"/>
              <w:left w:val="single" w:sz="2" w:space="0" w:color="auto"/>
              <w:bottom w:val="single" w:sz="2" w:space="0" w:color="auto"/>
              <w:right w:val="single" w:sz="2" w:space="0" w:color="auto"/>
            </w:tcBorders>
          </w:tcPr>
          <w:p w14:paraId="5A4C4276" w14:textId="77777777" w:rsidR="009F4766" w:rsidRPr="00DE12A3" w:rsidRDefault="009F4766" w:rsidP="00C917D6">
            <w:pPr>
              <w:pStyle w:val="NormalLeft"/>
            </w:pPr>
            <w:r w:rsidRPr="00DE12A3">
              <w:t>36</w:t>
            </w:r>
          </w:p>
        </w:tc>
      </w:tr>
      <w:tr w:rsidR="00DE12A3" w:rsidRPr="00DE12A3" w14:paraId="1ABB51EE" w14:textId="77777777" w:rsidTr="009F4766">
        <w:tc>
          <w:tcPr>
            <w:tcW w:w="1182" w:type="dxa"/>
            <w:tcBorders>
              <w:top w:val="single" w:sz="2" w:space="0" w:color="auto"/>
              <w:left w:val="single" w:sz="2" w:space="0" w:color="auto"/>
              <w:bottom w:val="single" w:sz="2" w:space="0" w:color="auto"/>
              <w:right w:val="single" w:sz="2" w:space="0" w:color="auto"/>
            </w:tcBorders>
          </w:tcPr>
          <w:p w14:paraId="6F6ABB84" w14:textId="77777777" w:rsidR="009F4766" w:rsidRPr="00DE12A3" w:rsidRDefault="009F4766" w:rsidP="00C917D6">
            <w:pPr>
              <w:pStyle w:val="NormalLeft"/>
            </w:pPr>
            <w:r w:rsidRPr="00DE12A3">
              <w:t>1162</w:t>
            </w:r>
          </w:p>
        </w:tc>
        <w:tc>
          <w:tcPr>
            <w:tcW w:w="2489" w:type="dxa"/>
            <w:tcBorders>
              <w:top w:val="single" w:sz="2" w:space="0" w:color="auto"/>
              <w:left w:val="single" w:sz="2" w:space="0" w:color="auto"/>
              <w:bottom w:val="single" w:sz="2" w:space="0" w:color="auto"/>
              <w:right w:val="single" w:sz="2" w:space="0" w:color="auto"/>
            </w:tcBorders>
          </w:tcPr>
          <w:p w14:paraId="6CA8AE89" w14:textId="77777777" w:rsidR="009F4766" w:rsidRPr="00DE12A3" w:rsidRDefault="009F4766" w:rsidP="00C917D6">
            <w:pPr>
              <w:pStyle w:val="NormalLeft"/>
            </w:pPr>
            <w:r w:rsidRPr="00DE12A3">
              <w:t>71</w:t>
            </w:r>
          </w:p>
        </w:tc>
        <w:tc>
          <w:tcPr>
            <w:tcW w:w="2551" w:type="dxa"/>
            <w:tcBorders>
              <w:top w:val="single" w:sz="2" w:space="0" w:color="auto"/>
              <w:left w:val="single" w:sz="2" w:space="0" w:color="auto"/>
              <w:bottom w:val="single" w:sz="2" w:space="0" w:color="auto"/>
              <w:right w:val="single" w:sz="2" w:space="0" w:color="auto"/>
            </w:tcBorders>
          </w:tcPr>
          <w:p w14:paraId="1E3CBA14" w14:textId="77777777" w:rsidR="009F4766" w:rsidRPr="00DE12A3" w:rsidRDefault="009F4766" w:rsidP="00C917D6">
            <w:pPr>
              <w:pStyle w:val="NormalLeft"/>
            </w:pPr>
            <w:r w:rsidRPr="00DE12A3">
              <w:t>47</w:t>
            </w:r>
          </w:p>
        </w:tc>
      </w:tr>
      <w:tr w:rsidR="00DE12A3" w:rsidRPr="00DE12A3" w14:paraId="2133F0C3" w14:textId="77777777" w:rsidTr="009F4766">
        <w:tc>
          <w:tcPr>
            <w:tcW w:w="1182" w:type="dxa"/>
            <w:tcBorders>
              <w:top w:val="single" w:sz="2" w:space="0" w:color="auto"/>
              <w:left w:val="single" w:sz="2" w:space="0" w:color="auto"/>
              <w:bottom w:val="single" w:sz="2" w:space="0" w:color="auto"/>
              <w:right w:val="single" w:sz="2" w:space="0" w:color="auto"/>
            </w:tcBorders>
          </w:tcPr>
          <w:p w14:paraId="1F42E7F0" w14:textId="77777777" w:rsidR="009F4766" w:rsidRPr="00DE12A3" w:rsidRDefault="009F4766" w:rsidP="00C917D6">
            <w:pPr>
              <w:pStyle w:val="NormalLeft"/>
            </w:pPr>
            <w:r w:rsidRPr="00DE12A3">
              <w:t>1163</w:t>
            </w:r>
          </w:p>
        </w:tc>
        <w:tc>
          <w:tcPr>
            <w:tcW w:w="2489" w:type="dxa"/>
            <w:tcBorders>
              <w:top w:val="single" w:sz="2" w:space="0" w:color="auto"/>
              <w:left w:val="single" w:sz="2" w:space="0" w:color="auto"/>
              <w:bottom w:val="single" w:sz="2" w:space="0" w:color="auto"/>
              <w:right w:val="single" w:sz="2" w:space="0" w:color="auto"/>
            </w:tcBorders>
          </w:tcPr>
          <w:p w14:paraId="64C898CF" w14:textId="77777777" w:rsidR="009F4766" w:rsidRPr="00DE12A3" w:rsidRDefault="009F4766" w:rsidP="00C917D6">
            <w:pPr>
              <w:pStyle w:val="NormalLeft"/>
            </w:pPr>
            <w:r w:rsidRPr="00DE12A3">
              <w:t>70</w:t>
            </w:r>
          </w:p>
        </w:tc>
        <w:tc>
          <w:tcPr>
            <w:tcW w:w="2551" w:type="dxa"/>
            <w:tcBorders>
              <w:top w:val="single" w:sz="2" w:space="0" w:color="auto"/>
              <w:left w:val="single" w:sz="2" w:space="0" w:color="auto"/>
              <w:bottom w:val="single" w:sz="2" w:space="0" w:color="auto"/>
              <w:right w:val="single" w:sz="2" w:space="0" w:color="auto"/>
            </w:tcBorders>
          </w:tcPr>
          <w:p w14:paraId="7E9B26FF" w14:textId="77777777" w:rsidR="009F4766" w:rsidRPr="00DE12A3" w:rsidRDefault="009F4766" w:rsidP="00C917D6">
            <w:pPr>
              <w:pStyle w:val="NormalLeft"/>
            </w:pPr>
            <w:r w:rsidRPr="00DE12A3">
              <w:t>42</w:t>
            </w:r>
          </w:p>
        </w:tc>
      </w:tr>
      <w:tr w:rsidR="00DE12A3" w:rsidRPr="00DE12A3" w14:paraId="6B099C89" w14:textId="77777777" w:rsidTr="009F4766">
        <w:tc>
          <w:tcPr>
            <w:tcW w:w="1182" w:type="dxa"/>
            <w:tcBorders>
              <w:top w:val="single" w:sz="2" w:space="0" w:color="auto"/>
              <w:left w:val="single" w:sz="2" w:space="0" w:color="auto"/>
              <w:bottom w:val="single" w:sz="2" w:space="0" w:color="auto"/>
              <w:right w:val="single" w:sz="2" w:space="0" w:color="auto"/>
            </w:tcBorders>
          </w:tcPr>
          <w:p w14:paraId="60A82083" w14:textId="77777777" w:rsidR="009F4766" w:rsidRPr="00DE12A3" w:rsidRDefault="009F4766" w:rsidP="00C917D6">
            <w:pPr>
              <w:pStyle w:val="NormalLeft"/>
            </w:pPr>
            <w:r w:rsidRPr="00DE12A3">
              <w:t>1164</w:t>
            </w:r>
          </w:p>
        </w:tc>
        <w:tc>
          <w:tcPr>
            <w:tcW w:w="2489" w:type="dxa"/>
            <w:tcBorders>
              <w:top w:val="single" w:sz="2" w:space="0" w:color="auto"/>
              <w:left w:val="single" w:sz="2" w:space="0" w:color="auto"/>
              <w:bottom w:val="single" w:sz="2" w:space="0" w:color="auto"/>
              <w:right w:val="single" w:sz="2" w:space="0" w:color="auto"/>
            </w:tcBorders>
          </w:tcPr>
          <w:p w14:paraId="2CF419DB" w14:textId="77777777" w:rsidR="009F4766" w:rsidRPr="00DE12A3" w:rsidRDefault="009F4766" w:rsidP="00C917D6">
            <w:pPr>
              <w:pStyle w:val="NormalLeft"/>
            </w:pPr>
            <w:r w:rsidRPr="00DE12A3">
              <w:t>67</w:t>
            </w:r>
          </w:p>
        </w:tc>
        <w:tc>
          <w:tcPr>
            <w:tcW w:w="2551" w:type="dxa"/>
            <w:tcBorders>
              <w:top w:val="single" w:sz="2" w:space="0" w:color="auto"/>
              <w:left w:val="single" w:sz="2" w:space="0" w:color="auto"/>
              <w:bottom w:val="single" w:sz="2" w:space="0" w:color="auto"/>
              <w:right w:val="single" w:sz="2" w:space="0" w:color="auto"/>
            </w:tcBorders>
          </w:tcPr>
          <w:p w14:paraId="2B90BF5A" w14:textId="77777777" w:rsidR="009F4766" w:rsidRPr="00DE12A3" w:rsidRDefault="009F4766" w:rsidP="00C917D6">
            <w:pPr>
              <w:pStyle w:val="NormalLeft"/>
            </w:pPr>
            <w:r w:rsidRPr="00DE12A3">
              <w:t>34</w:t>
            </w:r>
          </w:p>
        </w:tc>
      </w:tr>
      <w:tr w:rsidR="00DE12A3" w:rsidRPr="00DE12A3" w14:paraId="23AE9C95" w14:textId="77777777" w:rsidTr="009F4766">
        <w:tc>
          <w:tcPr>
            <w:tcW w:w="1182" w:type="dxa"/>
            <w:tcBorders>
              <w:top w:val="single" w:sz="2" w:space="0" w:color="auto"/>
              <w:left w:val="single" w:sz="2" w:space="0" w:color="auto"/>
              <w:bottom w:val="single" w:sz="2" w:space="0" w:color="auto"/>
              <w:right w:val="single" w:sz="2" w:space="0" w:color="auto"/>
            </w:tcBorders>
          </w:tcPr>
          <w:p w14:paraId="6AC7207D" w14:textId="77777777" w:rsidR="009F4766" w:rsidRPr="00DE12A3" w:rsidRDefault="009F4766" w:rsidP="00C917D6">
            <w:pPr>
              <w:pStyle w:val="NormalLeft"/>
            </w:pPr>
            <w:r w:rsidRPr="00DE12A3">
              <w:t>1165</w:t>
            </w:r>
          </w:p>
        </w:tc>
        <w:tc>
          <w:tcPr>
            <w:tcW w:w="2489" w:type="dxa"/>
            <w:tcBorders>
              <w:top w:val="single" w:sz="2" w:space="0" w:color="auto"/>
              <w:left w:val="single" w:sz="2" w:space="0" w:color="auto"/>
              <w:bottom w:val="single" w:sz="2" w:space="0" w:color="auto"/>
              <w:right w:val="single" w:sz="2" w:space="0" w:color="auto"/>
            </w:tcBorders>
          </w:tcPr>
          <w:p w14:paraId="74364AD3" w14:textId="77777777" w:rsidR="009F4766" w:rsidRPr="00DE12A3" w:rsidRDefault="009F4766" w:rsidP="00C917D6">
            <w:pPr>
              <w:pStyle w:val="NormalLeft"/>
            </w:pPr>
            <w:r w:rsidRPr="00DE12A3">
              <w:t>74</w:t>
            </w:r>
          </w:p>
        </w:tc>
        <w:tc>
          <w:tcPr>
            <w:tcW w:w="2551" w:type="dxa"/>
            <w:tcBorders>
              <w:top w:val="single" w:sz="2" w:space="0" w:color="auto"/>
              <w:left w:val="single" w:sz="2" w:space="0" w:color="auto"/>
              <w:bottom w:val="single" w:sz="2" w:space="0" w:color="auto"/>
              <w:right w:val="single" w:sz="2" w:space="0" w:color="auto"/>
            </w:tcBorders>
          </w:tcPr>
          <w:p w14:paraId="61E184C0" w14:textId="77777777" w:rsidR="009F4766" w:rsidRPr="00DE12A3" w:rsidRDefault="009F4766" w:rsidP="00C917D6">
            <w:pPr>
              <w:pStyle w:val="NormalLeft"/>
            </w:pPr>
            <w:r w:rsidRPr="00DE12A3">
              <w:t>2</w:t>
            </w:r>
          </w:p>
        </w:tc>
      </w:tr>
      <w:tr w:rsidR="00DE12A3" w:rsidRPr="00DE12A3" w14:paraId="01046234" w14:textId="77777777" w:rsidTr="009F4766">
        <w:tc>
          <w:tcPr>
            <w:tcW w:w="1182" w:type="dxa"/>
            <w:tcBorders>
              <w:top w:val="single" w:sz="2" w:space="0" w:color="auto"/>
              <w:left w:val="single" w:sz="2" w:space="0" w:color="auto"/>
              <w:bottom w:val="single" w:sz="2" w:space="0" w:color="auto"/>
              <w:right w:val="single" w:sz="2" w:space="0" w:color="auto"/>
            </w:tcBorders>
          </w:tcPr>
          <w:p w14:paraId="7CB9CA01" w14:textId="77777777" w:rsidR="009F4766" w:rsidRPr="00DE12A3" w:rsidRDefault="009F4766" w:rsidP="00C917D6">
            <w:pPr>
              <w:pStyle w:val="NormalLeft"/>
            </w:pPr>
            <w:r w:rsidRPr="00DE12A3">
              <w:t>1166</w:t>
            </w:r>
          </w:p>
        </w:tc>
        <w:tc>
          <w:tcPr>
            <w:tcW w:w="2489" w:type="dxa"/>
            <w:tcBorders>
              <w:top w:val="single" w:sz="2" w:space="0" w:color="auto"/>
              <w:left w:val="single" w:sz="2" w:space="0" w:color="auto"/>
              <w:bottom w:val="single" w:sz="2" w:space="0" w:color="auto"/>
              <w:right w:val="single" w:sz="2" w:space="0" w:color="auto"/>
            </w:tcBorders>
          </w:tcPr>
          <w:p w14:paraId="7E878C4F" w14:textId="77777777" w:rsidR="009F4766" w:rsidRPr="00DE12A3" w:rsidRDefault="009F4766" w:rsidP="00C917D6">
            <w:pPr>
              <w:pStyle w:val="NormalLeft"/>
            </w:pPr>
            <w:r w:rsidRPr="00DE12A3">
              <w:t>75</w:t>
            </w:r>
          </w:p>
        </w:tc>
        <w:tc>
          <w:tcPr>
            <w:tcW w:w="2551" w:type="dxa"/>
            <w:tcBorders>
              <w:top w:val="single" w:sz="2" w:space="0" w:color="auto"/>
              <w:left w:val="single" w:sz="2" w:space="0" w:color="auto"/>
              <w:bottom w:val="single" w:sz="2" w:space="0" w:color="auto"/>
              <w:right w:val="single" w:sz="2" w:space="0" w:color="auto"/>
            </w:tcBorders>
          </w:tcPr>
          <w:p w14:paraId="311EADF5" w14:textId="77777777" w:rsidR="009F4766" w:rsidRPr="00DE12A3" w:rsidRDefault="009F4766" w:rsidP="00C917D6">
            <w:pPr>
              <w:pStyle w:val="NormalLeft"/>
            </w:pPr>
            <w:r w:rsidRPr="00DE12A3">
              <w:t>21</w:t>
            </w:r>
          </w:p>
        </w:tc>
      </w:tr>
      <w:tr w:rsidR="00DE12A3" w:rsidRPr="00DE12A3" w14:paraId="00280C8F" w14:textId="77777777" w:rsidTr="009F4766">
        <w:tc>
          <w:tcPr>
            <w:tcW w:w="1182" w:type="dxa"/>
            <w:tcBorders>
              <w:top w:val="single" w:sz="2" w:space="0" w:color="auto"/>
              <w:left w:val="single" w:sz="2" w:space="0" w:color="auto"/>
              <w:bottom w:val="single" w:sz="2" w:space="0" w:color="auto"/>
              <w:right w:val="single" w:sz="2" w:space="0" w:color="auto"/>
            </w:tcBorders>
          </w:tcPr>
          <w:p w14:paraId="20382256" w14:textId="77777777" w:rsidR="009F4766" w:rsidRPr="00DE12A3" w:rsidRDefault="009F4766" w:rsidP="00C917D6">
            <w:pPr>
              <w:pStyle w:val="NormalLeft"/>
            </w:pPr>
            <w:r w:rsidRPr="00DE12A3">
              <w:t>1167</w:t>
            </w:r>
          </w:p>
        </w:tc>
        <w:tc>
          <w:tcPr>
            <w:tcW w:w="2489" w:type="dxa"/>
            <w:tcBorders>
              <w:top w:val="single" w:sz="2" w:space="0" w:color="auto"/>
              <w:left w:val="single" w:sz="2" w:space="0" w:color="auto"/>
              <w:bottom w:val="single" w:sz="2" w:space="0" w:color="auto"/>
              <w:right w:val="single" w:sz="2" w:space="0" w:color="auto"/>
            </w:tcBorders>
          </w:tcPr>
          <w:p w14:paraId="2489EEA0" w14:textId="77777777" w:rsidR="009F4766" w:rsidRPr="00DE12A3" w:rsidRDefault="009F4766" w:rsidP="00C917D6">
            <w:pPr>
              <w:pStyle w:val="NormalLeft"/>
            </w:pPr>
            <w:r w:rsidRPr="00DE12A3">
              <w:t>74</w:t>
            </w:r>
          </w:p>
        </w:tc>
        <w:tc>
          <w:tcPr>
            <w:tcW w:w="2551" w:type="dxa"/>
            <w:tcBorders>
              <w:top w:val="single" w:sz="2" w:space="0" w:color="auto"/>
              <w:left w:val="single" w:sz="2" w:space="0" w:color="auto"/>
              <w:bottom w:val="single" w:sz="2" w:space="0" w:color="auto"/>
              <w:right w:val="single" w:sz="2" w:space="0" w:color="auto"/>
            </w:tcBorders>
          </w:tcPr>
          <w:p w14:paraId="5A9423A3" w14:textId="77777777" w:rsidR="009F4766" w:rsidRPr="00DE12A3" w:rsidRDefault="009F4766" w:rsidP="00C917D6">
            <w:pPr>
              <w:pStyle w:val="NormalLeft"/>
            </w:pPr>
            <w:r w:rsidRPr="00DE12A3">
              <w:t>15</w:t>
            </w:r>
          </w:p>
        </w:tc>
      </w:tr>
      <w:tr w:rsidR="00DE12A3" w:rsidRPr="00DE12A3" w14:paraId="3753334D" w14:textId="77777777" w:rsidTr="009F4766">
        <w:tc>
          <w:tcPr>
            <w:tcW w:w="1182" w:type="dxa"/>
            <w:tcBorders>
              <w:top w:val="single" w:sz="2" w:space="0" w:color="auto"/>
              <w:left w:val="single" w:sz="2" w:space="0" w:color="auto"/>
              <w:bottom w:val="single" w:sz="2" w:space="0" w:color="auto"/>
              <w:right w:val="single" w:sz="2" w:space="0" w:color="auto"/>
            </w:tcBorders>
          </w:tcPr>
          <w:p w14:paraId="1B7667C6" w14:textId="77777777" w:rsidR="009F4766" w:rsidRPr="00DE12A3" w:rsidRDefault="009F4766" w:rsidP="00C917D6">
            <w:pPr>
              <w:pStyle w:val="NormalLeft"/>
            </w:pPr>
            <w:r w:rsidRPr="00DE12A3">
              <w:t>1168</w:t>
            </w:r>
          </w:p>
        </w:tc>
        <w:tc>
          <w:tcPr>
            <w:tcW w:w="2489" w:type="dxa"/>
            <w:tcBorders>
              <w:top w:val="single" w:sz="2" w:space="0" w:color="auto"/>
              <w:left w:val="single" w:sz="2" w:space="0" w:color="auto"/>
              <w:bottom w:val="single" w:sz="2" w:space="0" w:color="auto"/>
              <w:right w:val="single" w:sz="2" w:space="0" w:color="auto"/>
            </w:tcBorders>
          </w:tcPr>
          <w:p w14:paraId="2877D5A6" w14:textId="77777777" w:rsidR="009F4766" w:rsidRPr="00DE12A3" w:rsidRDefault="009F4766" w:rsidP="00C917D6">
            <w:pPr>
              <w:pStyle w:val="NormalLeft"/>
            </w:pPr>
            <w:r w:rsidRPr="00DE12A3">
              <w:t>75</w:t>
            </w:r>
          </w:p>
        </w:tc>
        <w:tc>
          <w:tcPr>
            <w:tcW w:w="2551" w:type="dxa"/>
            <w:tcBorders>
              <w:top w:val="single" w:sz="2" w:space="0" w:color="auto"/>
              <w:left w:val="single" w:sz="2" w:space="0" w:color="auto"/>
              <w:bottom w:val="single" w:sz="2" w:space="0" w:color="auto"/>
              <w:right w:val="single" w:sz="2" w:space="0" w:color="auto"/>
            </w:tcBorders>
          </w:tcPr>
          <w:p w14:paraId="184C0471" w14:textId="77777777" w:rsidR="009F4766" w:rsidRPr="00DE12A3" w:rsidRDefault="009F4766" w:rsidP="00C917D6">
            <w:pPr>
              <w:pStyle w:val="NormalLeft"/>
            </w:pPr>
            <w:r w:rsidRPr="00DE12A3">
              <w:t>13</w:t>
            </w:r>
          </w:p>
        </w:tc>
      </w:tr>
      <w:tr w:rsidR="00DE12A3" w:rsidRPr="00DE12A3" w14:paraId="66DD119B" w14:textId="77777777" w:rsidTr="009F4766">
        <w:tc>
          <w:tcPr>
            <w:tcW w:w="1182" w:type="dxa"/>
            <w:tcBorders>
              <w:top w:val="single" w:sz="2" w:space="0" w:color="auto"/>
              <w:left w:val="single" w:sz="2" w:space="0" w:color="auto"/>
              <w:bottom w:val="single" w:sz="2" w:space="0" w:color="auto"/>
              <w:right w:val="single" w:sz="2" w:space="0" w:color="auto"/>
            </w:tcBorders>
          </w:tcPr>
          <w:p w14:paraId="0DE3D90F" w14:textId="77777777" w:rsidR="009F4766" w:rsidRPr="00DE12A3" w:rsidRDefault="009F4766" w:rsidP="00C917D6">
            <w:pPr>
              <w:pStyle w:val="NormalLeft"/>
            </w:pPr>
            <w:r w:rsidRPr="00DE12A3">
              <w:t>1169</w:t>
            </w:r>
          </w:p>
        </w:tc>
        <w:tc>
          <w:tcPr>
            <w:tcW w:w="2489" w:type="dxa"/>
            <w:tcBorders>
              <w:top w:val="single" w:sz="2" w:space="0" w:color="auto"/>
              <w:left w:val="single" w:sz="2" w:space="0" w:color="auto"/>
              <w:bottom w:val="single" w:sz="2" w:space="0" w:color="auto"/>
              <w:right w:val="single" w:sz="2" w:space="0" w:color="auto"/>
            </w:tcBorders>
          </w:tcPr>
          <w:p w14:paraId="790ABDE2" w14:textId="77777777" w:rsidR="009F4766" w:rsidRPr="00DE12A3" w:rsidRDefault="009F4766" w:rsidP="00C917D6">
            <w:pPr>
              <w:pStyle w:val="NormalLeft"/>
            </w:pPr>
            <w:r w:rsidRPr="00DE12A3">
              <w:t>76</w:t>
            </w:r>
          </w:p>
        </w:tc>
        <w:tc>
          <w:tcPr>
            <w:tcW w:w="2551" w:type="dxa"/>
            <w:tcBorders>
              <w:top w:val="single" w:sz="2" w:space="0" w:color="auto"/>
              <w:left w:val="single" w:sz="2" w:space="0" w:color="auto"/>
              <w:bottom w:val="single" w:sz="2" w:space="0" w:color="auto"/>
              <w:right w:val="single" w:sz="2" w:space="0" w:color="auto"/>
            </w:tcBorders>
          </w:tcPr>
          <w:p w14:paraId="2C23721A" w14:textId="77777777" w:rsidR="009F4766" w:rsidRPr="00DE12A3" w:rsidRDefault="009F4766" w:rsidP="00C917D6">
            <w:pPr>
              <w:pStyle w:val="NormalLeft"/>
            </w:pPr>
            <w:r w:rsidRPr="00DE12A3">
              <w:t>10</w:t>
            </w:r>
          </w:p>
        </w:tc>
      </w:tr>
      <w:tr w:rsidR="00DE12A3" w:rsidRPr="00DE12A3" w14:paraId="0D9589B2" w14:textId="77777777" w:rsidTr="009F4766">
        <w:tc>
          <w:tcPr>
            <w:tcW w:w="1182" w:type="dxa"/>
            <w:tcBorders>
              <w:top w:val="single" w:sz="2" w:space="0" w:color="auto"/>
              <w:left w:val="single" w:sz="2" w:space="0" w:color="auto"/>
              <w:bottom w:val="single" w:sz="2" w:space="0" w:color="auto"/>
              <w:right w:val="single" w:sz="2" w:space="0" w:color="auto"/>
            </w:tcBorders>
          </w:tcPr>
          <w:p w14:paraId="49F9500F" w14:textId="77777777" w:rsidR="009F4766" w:rsidRPr="00DE12A3" w:rsidRDefault="009F4766" w:rsidP="00C917D6">
            <w:pPr>
              <w:pStyle w:val="NormalLeft"/>
            </w:pPr>
            <w:r w:rsidRPr="00DE12A3">
              <w:t>1170</w:t>
            </w:r>
          </w:p>
        </w:tc>
        <w:tc>
          <w:tcPr>
            <w:tcW w:w="2489" w:type="dxa"/>
            <w:tcBorders>
              <w:top w:val="single" w:sz="2" w:space="0" w:color="auto"/>
              <w:left w:val="single" w:sz="2" w:space="0" w:color="auto"/>
              <w:bottom w:val="single" w:sz="2" w:space="0" w:color="auto"/>
              <w:right w:val="single" w:sz="2" w:space="0" w:color="auto"/>
            </w:tcBorders>
          </w:tcPr>
          <w:p w14:paraId="7C8126BD" w14:textId="77777777" w:rsidR="009F4766" w:rsidRPr="00DE12A3" w:rsidRDefault="009F4766" w:rsidP="00C917D6">
            <w:pPr>
              <w:pStyle w:val="NormalLeft"/>
            </w:pPr>
            <w:r w:rsidRPr="00DE12A3">
              <w:t>75</w:t>
            </w:r>
          </w:p>
        </w:tc>
        <w:tc>
          <w:tcPr>
            <w:tcW w:w="2551" w:type="dxa"/>
            <w:tcBorders>
              <w:top w:val="single" w:sz="2" w:space="0" w:color="auto"/>
              <w:left w:val="single" w:sz="2" w:space="0" w:color="auto"/>
              <w:bottom w:val="single" w:sz="2" w:space="0" w:color="auto"/>
              <w:right w:val="single" w:sz="2" w:space="0" w:color="auto"/>
            </w:tcBorders>
          </w:tcPr>
          <w:p w14:paraId="01B811F5" w14:textId="77777777" w:rsidR="009F4766" w:rsidRPr="00DE12A3" w:rsidRDefault="009F4766" w:rsidP="00C917D6">
            <w:pPr>
              <w:pStyle w:val="NormalLeft"/>
            </w:pPr>
            <w:r w:rsidRPr="00DE12A3">
              <w:t>13</w:t>
            </w:r>
          </w:p>
        </w:tc>
      </w:tr>
      <w:tr w:rsidR="00DE12A3" w:rsidRPr="00DE12A3" w14:paraId="171DA7A8" w14:textId="77777777" w:rsidTr="009F4766">
        <w:tc>
          <w:tcPr>
            <w:tcW w:w="1182" w:type="dxa"/>
            <w:tcBorders>
              <w:top w:val="single" w:sz="2" w:space="0" w:color="auto"/>
              <w:left w:val="single" w:sz="2" w:space="0" w:color="auto"/>
              <w:bottom w:val="single" w:sz="2" w:space="0" w:color="auto"/>
              <w:right w:val="single" w:sz="2" w:space="0" w:color="auto"/>
            </w:tcBorders>
          </w:tcPr>
          <w:p w14:paraId="3CD03327" w14:textId="77777777" w:rsidR="009F4766" w:rsidRPr="00DE12A3" w:rsidRDefault="009F4766" w:rsidP="00C917D6">
            <w:pPr>
              <w:pStyle w:val="NormalLeft"/>
            </w:pPr>
            <w:r w:rsidRPr="00DE12A3">
              <w:t>1171</w:t>
            </w:r>
          </w:p>
        </w:tc>
        <w:tc>
          <w:tcPr>
            <w:tcW w:w="2489" w:type="dxa"/>
            <w:tcBorders>
              <w:top w:val="single" w:sz="2" w:space="0" w:color="auto"/>
              <w:left w:val="single" w:sz="2" w:space="0" w:color="auto"/>
              <w:bottom w:val="single" w:sz="2" w:space="0" w:color="auto"/>
              <w:right w:val="single" w:sz="2" w:space="0" w:color="auto"/>
            </w:tcBorders>
          </w:tcPr>
          <w:p w14:paraId="1A474692" w14:textId="77777777" w:rsidR="009F4766" w:rsidRPr="00DE12A3" w:rsidRDefault="009F4766" w:rsidP="00C917D6">
            <w:pPr>
              <w:pStyle w:val="NormalLeft"/>
            </w:pPr>
            <w:r w:rsidRPr="00DE12A3">
              <w:t>75</w:t>
            </w:r>
          </w:p>
        </w:tc>
        <w:tc>
          <w:tcPr>
            <w:tcW w:w="2551" w:type="dxa"/>
            <w:tcBorders>
              <w:top w:val="single" w:sz="2" w:space="0" w:color="auto"/>
              <w:left w:val="single" w:sz="2" w:space="0" w:color="auto"/>
              <w:bottom w:val="single" w:sz="2" w:space="0" w:color="auto"/>
              <w:right w:val="single" w:sz="2" w:space="0" w:color="auto"/>
            </w:tcBorders>
          </w:tcPr>
          <w:p w14:paraId="3B6B1BFE" w14:textId="77777777" w:rsidR="009F4766" w:rsidRPr="00DE12A3" w:rsidRDefault="009F4766" w:rsidP="00C917D6">
            <w:pPr>
              <w:pStyle w:val="NormalLeft"/>
            </w:pPr>
            <w:r w:rsidRPr="00DE12A3">
              <w:t>10</w:t>
            </w:r>
          </w:p>
        </w:tc>
      </w:tr>
      <w:tr w:rsidR="00DE12A3" w:rsidRPr="00DE12A3" w14:paraId="56CF1566" w14:textId="77777777" w:rsidTr="009F4766">
        <w:tc>
          <w:tcPr>
            <w:tcW w:w="1182" w:type="dxa"/>
            <w:tcBorders>
              <w:top w:val="single" w:sz="2" w:space="0" w:color="auto"/>
              <w:left w:val="single" w:sz="2" w:space="0" w:color="auto"/>
              <w:bottom w:val="single" w:sz="2" w:space="0" w:color="auto"/>
              <w:right w:val="single" w:sz="2" w:space="0" w:color="auto"/>
            </w:tcBorders>
          </w:tcPr>
          <w:p w14:paraId="67B59D56" w14:textId="77777777" w:rsidR="009F4766" w:rsidRPr="00DE12A3" w:rsidRDefault="009F4766" w:rsidP="00C917D6">
            <w:pPr>
              <w:pStyle w:val="NormalLeft"/>
            </w:pPr>
            <w:r w:rsidRPr="00DE12A3">
              <w:lastRenderedPageBreak/>
              <w:t>1172</w:t>
            </w:r>
          </w:p>
        </w:tc>
        <w:tc>
          <w:tcPr>
            <w:tcW w:w="2489" w:type="dxa"/>
            <w:tcBorders>
              <w:top w:val="single" w:sz="2" w:space="0" w:color="auto"/>
              <w:left w:val="single" w:sz="2" w:space="0" w:color="auto"/>
              <w:bottom w:val="single" w:sz="2" w:space="0" w:color="auto"/>
              <w:right w:val="single" w:sz="2" w:space="0" w:color="auto"/>
            </w:tcBorders>
          </w:tcPr>
          <w:p w14:paraId="3D61ED1F" w14:textId="77777777" w:rsidR="009F4766" w:rsidRPr="00DE12A3" w:rsidRDefault="009F4766" w:rsidP="00C917D6">
            <w:pPr>
              <w:pStyle w:val="NormalLeft"/>
            </w:pPr>
            <w:r w:rsidRPr="00DE12A3">
              <w:t>75</w:t>
            </w:r>
          </w:p>
        </w:tc>
        <w:tc>
          <w:tcPr>
            <w:tcW w:w="2551" w:type="dxa"/>
            <w:tcBorders>
              <w:top w:val="single" w:sz="2" w:space="0" w:color="auto"/>
              <w:left w:val="single" w:sz="2" w:space="0" w:color="auto"/>
              <w:bottom w:val="single" w:sz="2" w:space="0" w:color="auto"/>
              <w:right w:val="single" w:sz="2" w:space="0" w:color="auto"/>
            </w:tcBorders>
          </w:tcPr>
          <w:p w14:paraId="70D281EB" w14:textId="77777777" w:rsidR="009F4766" w:rsidRPr="00DE12A3" w:rsidRDefault="009F4766" w:rsidP="00C917D6">
            <w:pPr>
              <w:pStyle w:val="NormalLeft"/>
            </w:pPr>
            <w:r w:rsidRPr="00DE12A3">
              <w:t>7</w:t>
            </w:r>
          </w:p>
        </w:tc>
      </w:tr>
      <w:tr w:rsidR="00DE12A3" w:rsidRPr="00DE12A3" w14:paraId="440D212D" w14:textId="77777777" w:rsidTr="009F4766">
        <w:tc>
          <w:tcPr>
            <w:tcW w:w="1182" w:type="dxa"/>
            <w:tcBorders>
              <w:top w:val="single" w:sz="2" w:space="0" w:color="auto"/>
              <w:left w:val="single" w:sz="2" w:space="0" w:color="auto"/>
              <w:bottom w:val="single" w:sz="2" w:space="0" w:color="auto"/>
              <w:right w:val="single" w:sz="2" w:space="0" w:color="auto"/>
            </w:tcBorders>
          </w:tcPr>
          <w:p w14:paraId="6174BBCD" w14:textId="77777777" w:rsidR="009F4766" w:rsidRPr="00DE12A3" w:rsidRDefault="009F4766" w:rsidP="00C917D6">
            <w:pPr>
              <w:pStyle w:val="NormalLeft"/>
            </w:pPr>
            <w:r w:rsidRPr="00DE12A3">
              <w:t>1173</w:t>
            </w:r>
          </w:p>
        </w:tc>
        <w:tc>
          <w:tcPr>
            <w:tcW w:w="2489" w:type="dxa"/>
            <w:tcBorders>
              <w:top w:val="single" w:sz="2" w:space="0" w:color="auto"/>
              <w:left w:val="single" w:sz="2" w:space="0" w:color="auto"/>
              <w:bottom w:val="single" w:sz="2" w:space="0" w:color="auto"/>
              <w:right w:val="single" w:sz="2" w:space="0" w:color="auto"/>
            </w:tcBorders>
          </w:tcPr>
          <w:p w14:paraId="565587D4" w14:textId="77777777" w:rsidR="009F4766" w:rsidRPr="00DE12A3" w:rsidRDefault="009F4766" w:rsidP="00C917D6">
            <w:pPr>
              <w:pStyle w:val="NormalLeft"/>
            </w:pPr>
            <w:r w:rsidRPr="00DE12A3">
              <w:t>75</w:t>
            </w:r>
          </w:p>
        </w:tc>
        <w:tc>
          <w:tcPr>
            <w:tcW w:w="2551" w:type="dxa"/>
            <w:tcBorders>
              <w:top w:val="single" w:sz="2" w:space="0" w:color="auto"/>
              <w:left w:val="single" w:sz="2" w:space="0" w:color="auto"/>
              <w:bottom w:val="single" w:sz="2" w:space="0" w:color="auto"/>
              <w:right w:val="single" w:sz="2" w:space="0" w:color="auto"/>
            </w:tcBorders>
          </w:tcPr>
          <w:p w14:paraId="2A48C07C" w14:textId="77777777" w:rsidR="009F4766" w:rsidRPr="00DE12A3" w:rsidRDefault="009F4766" w:rsidP="00C917D6">
            <w:pPr>
              <w:pStyle w:val="NormalLeft"/>
            </w:pPr>
            <w:r w:rsidRPr="00DE12A3">
              <w:t>13</w:t>
            </w:r>
          </w:p>
        </w:tc>
      </w:tr>
      <w:tr w:rsidR="00DE12A3" w:rsidRPr="00DE12A3" w14:paraId="55DAF67F" w14:textId="77777777" w:rsidTr="009F4766">
        <w:tc>
          <w:tcPr>
            <w:tcW w:w="1182" w:type="dxa"/>
            <w:tcBorders>
              <w:top w:val="single" w:sz="2" w:space="0" w:color="auto"/>
              <w:left w:val="single" w:sz="2" w:space="0" w:color="auto"/>
              <w:bottom w:val="single" w:sz="2" w:space="0" w:color="auto"/>
              <w:right w:val="single" w:sz="2" w:space="0" w:color="auto"/>
            </w:tcBorders>
          </w:tcPr>
          <w:p w14:paraId="46BE83CE" w14:textId="77777777" w:rsidR="009F4766" w:rsidRPr="00DE12A3" w:rsidRDefault="009F4766" w:rsidP="00C917D6">
            <w:pPr>
              <w:pStyle w:val="NormalLeft"/>
            </w:pPr>
            <w:r w:rsidRPr="00DE12A3">
              <w:t>1174</w:t>
            </w:r>
          </w:p>
        </w:tc>
        <w:tc>
          <w:tcPr>
            <w:tcW w:w="2489" w:type="dxa"/>
            <w:tcBorders>
              <w:top w:val="single" w:sz="2" w:space="0" w:color="auto"/>
              <w:left w:val="single" w:sz="2" w:space="0" w:color="auto"/>
              <w:bottom w:val="single" w:sz="2" w:space="0" w:color="auto"/>
              <w:right w:val="single" w:sz="2" w:space="0" w:color="auto"/>
            </w:tcBorders>
          </w:tcPr>
          <w:p w14:paraId="15D3421E" w14:textId="77777777" w:rsidR="009F4766" w:rsidRPr="00DE12A3" w:rsidRDefault="009F4766" w:rsidP="00C917D6">
            <w:pPr>
              <w:pStyle w:val="NormalLeft"/>
            </w:pPr>
            <w:r w:rsidRPr="00DE12A3">
              <w:t>76</w:t>
            </w:r>
          </w:p>
        </w:tc>
        <w:tc>
          <w:tcPr>
            <w:tcW w:w="2551" w:type="dxa"/>
            <w:tcBorders>
              <w:top w:val="single" w:sz="2" w:space="0" w:color="auto"/>
              <w:left w:val="single" w:sz="2" w:space="0" w:color="auto"/>
              <w:bottom w:val="single" w:sz="2" w:space="0" w:color="auto"/>
              <w:right w:val="single" w:sz="2" w:space="0" w:color="auto"/>
            </w:tcBorders>
          </w:tcPr>
          <w:p w14:paraId="649C28ED" w14:textId="77777777" w:rsidR="009F4766" w:rsidRPr="00DE12A3" w:rsidRDefault="009F4766" w:rsidP="00C917D6">
            <w:pPr>
              <w:pStyle w:val="NormalLeft"/>
            </w:pPr>
            <w:r w:rsidRPr="00DE12A3">
              <w:t>8</w:t>
            </w:r>
          </w:p>
        </w:tc>
      </w:tr>
      <w:tr w:rsidR="00DE12A3" w:rsidRPr="00DE12A3" w14:paraId="3967842F" w14:textId="77777777" w:rsidTr="009F4766">
        <w:tc>
          <w:tcPr>
            <w:tcW w:w="1182" w:type="dxa"/>
            <w:tcBorders>
              <w:top w:val="single" w:sz="2" w:space="0" w:color="auto"/>
              <w:left w:val="single" w:sz="2" w:space="0" w:color="auto"/>
              <w:bottom w:val="single" w:sz="2" w:space="0" w:color="auto"/>
              <w:right w:val="single" w:sz="2" w:space="0" w:color="auto"/>
            </w:tcBorders>
          </w:tcPr>
          <w:p w14:paraId="4C2F3D47" w14:textId="77777777" w:rsidR="009F4766" w:rsidRPr="00DE12A3" w:rsidRDefault="009F4766" w:rsidP="00C917D6">
            <w:pPr>
              <w:pStyle w:val="NormalLeft"/>
            </w:pPr>
            <w:r w:rsidRPr="00DE12A3">
              <w:t>1175</w:t>
            </w:r>
          </w:p>
        </w:tc>
        <w:tc>
          <w:tcPr>
            <w:tcW w:w="2489" w:type="dxa"/>
            <w:tcBorders>
              <w:top w:val="single" w:sz="2" w:space="0" w:color="auto"/>
              <w:left w:val="single" w:sz="2" w:space="0" w:color="auto"/>
              <w:bottom w:val="single" w:sz="2" w:space="0" w:color="auto"/>
              <w:right w:val="single" w:sz="2" w:space="0" w:color="auto"/>
            </w:tcBorders>
          </w:tcPr>
          <w:p w14:paraId="4B4EB026" w14:textId="77777777" w:rsidR="009F4766" w:rsidRPr="00DE12A3" w:rsidRDefault="009F4766" w:rsidP="00C917D6">
            <w:pPr>
              <w:pStyle w:val="NormalLeft"/>
            </w:pPr>
            <w:r w:rsidRPr="00DE12A3">
              <w:t>76</w:t>
            </w:r>
          </w:p>
        </w:tc>
        <w:tc>
          <w:tcPr>
            <w:tcW w:w="2551" w:type="dxa"/>
            <w:tcBorders>
              <w:top w:val="single" w:sz="2" w:space="0" w:color="auto"/>
              <w:left w:val="single" w:sz="2" w:space="0" w:color="auto"/>
              <w:bottom w:val="single" w:sz="2" w:space="0" w:color="auto"/>
              <w:right w:val="single" w:sz="2" w:space="0" w:color="auto"/>
            </w:tcBorders>
          </w:tcPr>
          <w:p w14:paraId="24C8761A" w14:textId="77777777" w:rsidR="009F4766" w:rsidRPr="00DE12A3" w:rsidRDefault="009F4766" w:rsidP="00C917D6">
            <w:pPr>
              <w:pStyle w:val="NormalLeft"/>
            </w:pPr>
            <w:r w:rsidRPr="00DE12A3">
              <w:t>7</w:t>
            </w:r>
          </w:p>
        </w:tc>
      </w:tr>
      <w:tr w:rsidR="00DE12A3" w:rsidRPr="00DE12A3" w14:paraId="275A41AF" w14:textId="77777777" w:rsidTr="009F4766">
        <w:tc>
          <w:tcPr>
            <w:tcW w:w="1182" w:type="dxa"/>
            <w:tcBorders>
              <w:top w:val="single" w:sz="2" w:space="0" w:color="auto"/>
              <w:left w:val="single" w:sz="2" w:space="0" w:color="auto"/>
              <w:bottom w:val="single" w:sz="2" w:space="0" w:color="auto"/>
              <w:right w:val="single" w:sz="2" w:space="0" w:color="auto"/>
            </w:tcBorders>
          </w:tcPr>
          <w:p w14:paraId="5346D684" w14:textId="77777777" w:rsidR="009F4766" w:rsidRPr="00DE12A3" w:rsidRDefault="009F4766" w:rsidP="00C917D6">
            <w:pPr>
              <w:pStyle w:val="NormalLeft"/>
            </w:pPr>
            <w:r w:rsidRPr="00DE12A3">
              <w:t>1176</w:t>
            </w:r>
          </w:p>
        </w:tc>
        <w:tc>
          <w:tcPr>
            <w:tcW w:w="2489" w:type="dxa"/>
            <w:tcBorders>
              <w:top w:val="single" w:sz="2" w:space="0" w:color="auto"/>
              <w:left w:val="single" w:sz="2" w:space="0" w:color="auto"/>
              <w:bottom w:val="single" w:sz="2" w:space="0" w:color="auto"/>
              <w:right w:val="single" w:sz="2" w:space="0" w:color="auto"/>
            </w:tcBorders>
          </w:tcPr>
          <w:p w14:paraId="5FA05ED1" w14:textId="77777777" w:rsidR="009F4766" w:rsidRPr="00DE12A3" w:rsidRDefault="009F4766" w:rsidP="00C917D6">
            <w:pPr>
              <w:pStyle w:val="NormalLeft"/>
            </w:pPr>
            <w:r w:rsidRPr="00DE12A3">
              <w:t>67</w:t>
            </w:r>
          </w:p>
        </w:tc>
        <w:tc>
          <w:tcPr>
            <w:tcW w:w="2551" w:type="dxa"/>
            <w:tcBorders>
              <w:top w:val="single" w:sz="2" w:space="0" w:color="auto"/>
              <w:left w:val="single" w:sz="2" w:space="0" w:color="auto"/>
              <w:bottom w:val="single" w:sz="2" w:space="0" w:color="auto"/>
              <w:right w:val="single" w:sz="2" w:space="0" w:color="auto"/>
            </w:tcBorders>
          </w:tcPr>
          <w:p w14:paraId="2662621A" w14:textId="77777777" w:rsidR="009F4766" w:rsidRPr="00DE12A3" w:rsidRDefault="009F4766" w:rsidP="00C917D6">
            <w:pPr>
              <w:pStyle w:val="NormalLeft"/>
            </w:pPr>
            <w:r w:rsidRPr="00DE12A3">
              <w:t>45</w:t>
            </w:r>
          </w:p>
        </w:tc>
      </w:tr>
      <w:tr w:rsidR="00DE12A3" w:rsidRPr="00DE12A3" w14:paraId="18BA9111" w14:textId="77777777" w:rsidTr="009F4766">
        <w:tc>
          <w:tcPr>
            <w:tcW w:w="1182" w:type="dxa"/>
            <w:tcBorders>
              <w:top w:val="single" w:sz="2" w:space="0" w:color="auto"/>
              <w:left w:val="single" w:sz="2" w:space="0" w:color="auto"/>
              <w:bottom w:val="single" w:sz="2" w:space="0" w:color="auto"/>
              <w:right w:val="single" w:sz="2" w:space="0" w:color="auto"/>
            </w:tcBorders>
          </w:tcPr>
          <w:p w14:paraId="4C969FEE" w14:textId="77777777" w:rsidR="009F4766" w:rsidRPr="00DE12A3" w:rsidRDefault="009F4766" w:rsidP="00C917D6">
            <w:pPr>
              <w:pStyle w:val="NormalLeft"/>
            </w:pPr>
            <w:r w:rsidRPr="00DE12A3">
              <w:t>1177</w:t>
            </w:r>
          </w:p>
        </w:tc>
        <w:tc>
          <w:tcPr>
            <w:tcW w:w="2489" w:type="dxa"/>
            <w:tcBorders>
              <w:top w:val="single" w:sz="2" w:space="0" w:color="auto"/>
              <w:left w:val="single" w:sz="2" w:space="0" w:color="auto"/>
              <w:bottom w:val="single" w:sz="2" w:space="0" w:color="auto"/>
              <w:right w:val="single" w:sz="2" w:space="0" w:color="auto"/>
            </w:tcBorders>
          </w:tcPr>
          <w:p w14:paraId="498240A2" w14:textId="77777777" w:rsidR="009F4766" w:rsidRPr="00DE12A3" w:rsidRDefault="009F4766" w:rsidP="00C917D6">
            <w:pPr>
              <w:pStyle w:val="NormalLeft"/>
            </w:pPr>
            <w:r w:rsidRPr="00DE12A3">
              <w:t>75</w:t>
            </w:r>
          </w:p>
        </w:tc>
        <w:tc>
          <w:tcPr>
            <w:tcW w:w="2551" w:type="dxa"/>
            <w:tcBorders>
              <w:top w:val="single" w:sz="2" w:space="0" w:color="auto"/>
              <w:left w:val="single" w:sz="2" w:space="0" w:color="auto"/>
              <w:bottom w:val="single" w:sz="2" w:space="0" w:color="auto"/>
              <w:right w:val="single" w:sz="2" w:space="0" w:color="auto"/>
            </w:tcBorders>
          </w:tcPr>
          <w:p w14:paraId="24F65228" w14:textId="77777777" w:rsidR="009F4766" w:rsidRPr="00DE12A3" w:rsidRDefault="009F4766" w:rsidP="00C917D6">
            <w:pPr>
              <w:pStyle w:val="NormalLeft"/>
            </w:pPr>
            <w:r w:rsidRPr="00DE12A3">
              <w:t>13</w:t>
            </w:r>
          </w:p>
        </w:tc>
      </w:tr>
      <w:tr w:rsidR="00DE12A3" w:rsidRPr="00DE12A3" w14:paraId="5044C105" w14:textId="77777777" w:rsidTr="009F4766">
        <w:tc>
          <w:tcPr>
            <w:tcW w:w="1182" w:type="dxa"/>
            <w:tcBorders>
              <w:top w:val="single" w:sz="2" w:space="0" w:color="auto"/>
              <w:left w:val="single" w:sz="2" w:space="0" w:color="auto"/>
              <w:bottom w:val="single" w:sz="2" w:space="0" w:color="auto"/>
              <w:right w:val="single" w:sz="2" w:space="0" w:color="auto"/>
            </w:tcBorders>
          </w:tcPr>
          <w:p w14:paraId="485BE60F" w14:textId="77777777" w:rsidR="009F4766" w:rsidRPr="00DE12A3" w:rsidRDefault="009F4766" w:rsidP="00C917D6">
            <w:pPr>
              <w:pStyle w:val="NormalLeft"/>
            </w:pPr>
            <w:r w:rsidRPr="00DE12A3">
              <w:t>1178</w:t>
            </w:r>
          </w:p>
        </w:tc>
        <w:tc>
          <w:tcPr>
            <w:tcW w:w="2489" w:type="dxa"/>
            <w:tcBorders>
              <w:top w:val="single" w:sz="2" w:space="0" w:color="auto"/>
              <w:left w:val="single" w:sz="2" w:space="0" w:color="auto"/>
              <w:bottom w:val="single" w:sz="2" w:space="0" w:color="auto"/>
              <w:right w:val="single" w:sz="2" w:space="0" w:color="auto"/>
            </w:tcBorders>
          </w:tcPr>
          <w:p w14:paraId="08959FB9" w14:textId="77777777" w:rsidR="009F4766" w:rsidRPr="00DE12A3" w:rsidRDefault="009F4766" w:rsidP="00C917D6">
            <w:pPr>
              <w:pStyle w:val="NormalLeft"/>
            </w:pPr>
            <w:r w:rsidRPr="00DE12A3">
              <w:t>75</w:t>
            </w:r>
          </w:p>
        </w:tc>
        <w:tc>
          <w:tcPr>
            <w:tcW w:w="2551" w:type="dxa"/>
            <w:tcBorders>
              <w:top w:val="single" w:sz="2" w:space="0" w:color="auto"/>
              <w:left w:val="single" w:sz="2" w:space="0" w:color="auto"/>
              <w:bottom w:val="single" w:sz="2" w:space="0" w:color="auto"/>
              <w:right w:val="single" w:sz="2" w:space="0" w:color="auto"/>
            </w:tcBorders>
          </w:tcPr>
          <w:p w14:paraId="6F1D409D" w14:textId="77777777" w:rsidR="009F4766" w:rsidRPr="00DE12A3" w:rsidRDefault="009F4766" w:rsidP="00C917D6">
            <w:pPr>
              <w:pStyle w:val="NormalLeft"/>
            </w:pPr>
            <w:r w:rsidRPr="00DE12A3">
              <w:t>12</w:t>
            </w:r>
          </w:p>
        </w:tc>
      </w:tr>
      <w:tr w:rsidR="00DE12A3" w:rsidRPr="00DE12A3" w14:paraId="6CA46E9C" w14:textId="77777777" w:rsidTr="009F4766">
        <w:tc>
          <w:tcPr>
            <w:tcW w:w="1182" w:type="dxa"/>
            <w:tcBorders>
              <w:top w:val="single" w:sz="2" w:space="0" w:color="auto"/>
              <w:left w:val="single" w:sz="2" w:space="0" w:color="auto"/>
              <w:bottom w:val="single" w:sz="2" w:space="0" w:color="auto"/>
              <w:right w:val="single" w:sz="2" w:space="0" w:color="auto"/>
            </w:tcBorders>
          </w:tcPr>
          <w:p w14:paraId="78ADAB90" w14:textId="77777777" w:rsidR="009F4766" w:rsidRPr="00DE12A3" w:rsidRDefault="009F4766" w:rsidP="00C917D6">
            <w:pPr>
              <w:pStyle w:val="NormalLeft"/>
            </w:pPr>
            <w:r w:rsidRPr="00DE12A3">
              <w:t>1179</w:t>
            </w:r>
          </w:p>
        </w:tc>
        <w:tc>
          <w:tcPr>
            <w:tcW w:w="2489" w:type="dxa"/>
            <w:tcBorders>
              <w:top w:val="single" w:sz="2" w:space="0" w:color="auto"/>
              <w:left w:val="single" w:sz="2" w:space="0" w:color="auto"/>
              <w:bottom w:val="single" w:sz="2" w:space="0" w:color="auto"/>
              <w:right w:val="single" w:sz="2" w:space="0" w:color="auto"/>
            </w:tcBorders>
          </w:tcPr>
          <w:p w14:paraId="399BAFD8" w14:textId="77777777" w:rsidR="009F4766" w:rsidRPr="00DE12A3" w:rsidRDefault="009F4766" w:rsidP="00C917D6">
            <w:pPr>
              <w:pStyle w:val="NormalLeft"/>
            </w:pPr>
            <w:r w:rsidRPr="00DE12A3">
              <w:t>73</w:t>
            </w:r>
          </w:p>
        </w:tc>
        <w:tc>
          <w:tcPr>
            <w:tcW w:w="2551" w:type="dxa"/>
            <w:tcBorders>
              <w:top w:val="single" w:sz="2" w:space="0" w:color="auto"/>
              <w:left w:val="single" w:sz="2" w:space="0" w:color="auto"/>
              <w:bottom w:val="single" w:sz="2" w:space="0" w:color="auto"/>
              <w:right w:val="single" w:sz="2" w:space="0" w:color="auto"/>
            </w:tcBorders>
          </w:tcPr>
          <w:p w14:paraId="24B5C71D" w14:textId="77777777" w:rsidR="009F4766" w:rsidRPr="00DE12A3" w:rsidRDefault="009F4766" w:rsidP="00C917D6">
            <w:pPr>
              <w:pStyle w:val="NormalLeft"/>
            </w:pPr>
            <w:r w:rsidRPr="00DE12A3">
              <w:t>21</w:t>
            </w:r>
          </w:p>
        </w:tc>
      </w:tr>
      <w:tr w:rsidR="00DE12A3" w:rsidRPr="00DE12A3" w14:paraId="3193D825" w14:textId="77777777" w:rsidTr="009F4766">
        <w:tc>
          <w:tcPr>
            <w:tcW w:w="1182" w:type="dxa"/>
            <w:tcBorders>
              <w:top w:val="single" w:sz="2" w:space="0" w:color="auto"/>
              <w:left w:val="single" w:sz="2" w:space="0" w:color="auto"/>
              <w:bottom w:val="single" w:sz="2" w:space="0" w:color="auto"/>
              <w:right w:val="single" w:sz="2" w:space="0" w:color="auto"/>
            </w:tcBorders>
          </w:tcPr>
          <w:p w14:paraId="7B345705" w14:textId="77777777" w:rsidR="009F4766" w:rsidRPr="00DE12A3" w:rsidRDefault="009F4766" w:rsidP="00C917D6">
            <w:pPr>
              <w:pStyle w:val="NormalLeft"/>
            </w:pPr>
            <w:r w:rsidRPr="00DE12A3">
              <w:t>1180</w:t>
            </w:r>
          </w:p>
        </w:tc>
        <w:tc>
          <w:tcPr>
            <w:tcW w:w="2489" w:type="dxa"/>
            <w:tcBorders>
              <w:top w:val="single" w:sz="2" w:space="0" w:color="auto"/>
              <w:left w:val="single" w:sz="2" w:space="0" w:color="auto"/>
              <w:bottom w:val="single" w:sz="2" w:space="0" w:color="auto"/>
              <w:right w:val="single" w:sz="2" w:space="0" w:color="auto"/>
            </w:tcBorders>
          </w:tcPr>
          <w:p w14:paraId="21FB60DE" w14:textId="77777777" w:rsidR="009F4766" w:rsidRPr="00DE12A3" w:rsidRDefault="009F4766" w:rsidP="00C917D6">
            <w:pPr>
              <w:pStyle w:val="NormalLeft"/>
            </w:pPr>
            <w:r w:rsidRPr="00DE12A3">
              <w:t>68</w:t>
            </w:r>
          </w:p>
        </w:tc>
        <w:tc>
          <w:tcPr>
            <w:tcW w:w="2551" w:type="dxa"/>
            <w:tcBorders>
              <w:top w:val="single" w:sz="2" w:space="0" w:color="auto"/>
              <w:left w:val="single" w:sz="2" w:space="0" w:color="auto"/>
              <w:bottom w:val="single" w:sz="2" w:space="0" w:color="auto"/>
              <w:right w:val="single" w:sz="2" w:space="0" w:color="auto"/>
            </w:tcBorders>
          </w:tcPr>
          <w:p w14:paraId="43BFD67A" w14:textId="77777777" w:rsidR="009F4766" w:rsidRPr="00DE12A3" w:rsidRDefault="009F4766" w:rsidP="00C917D6">
            <w:pPr>
              <w:pStyle w:val="NormalLeft"/>
            </w:pPr>
            <w:r w:rsidRPr="00DE12A3">
              <w:t>46</w:t>
            </w:r>
          </w:p>
        </w:tc>
      </w:tr>
      <w:tr w:rsidR="00DE12A3" w:rsidRPr="00DE12A3" w14:paraId="45A4CAB0" w14:textId="77777777" w:rsidTr="009F4766">
        <w:tc>
          <w:tcPr>
            <w:tcW w:w="1182" w:type="dxa"/>
            <w:tcBorders>
              <w:top w:val="single" w:sz="2" w:space="0" w:color="auto"/>
              <w:left w:val="single" w:sz="2" w:space="0" w:color="auto"/>
              <w:bottom w:val="single" w:sz="2" w:space="0" w:color="auto"/>
              <w:right w:val="single" w:sz="2" w:space="0" w:color="auto"/>
            </w:tcBorders>
          </w:tcPr>
          <w:p w14:paraId="0FD7C468" w14:textId="77777777" w:rsidR="009F4766" w:rsidRPr="00DE12A3" w:rsidRDefault="009F4766" w:rsidP="00C917D6">
            <w:pPr>
              <w:pStyle w:val="NormalLeft"/>
            </w:pPr>
            <w:r w:rsidRPr="00DE12A3">
              <w:t>1181</w:t>
            </w:r>
          </w:p>
        </w:tc>
        <w:tc>
          <w:tcPr>
            <w:tcW w:w="2489" w:type="dxa"/>
            <w:tcBorders>
              <w:top w:val="single" w:sz="2" w:space="0" w:color="auto"/>
              <w:left w:val="single" w:sz="2" w:space="0" w:color="auto"/>
              <w:bottom w:val="single" w:sz="2" w:space="0" w:color="auto"/>
              <w:right w:val="single" w:sz="2" w:space="0" w:color="auto"/>
            </w:tcBorders>
          </w:tcPr>
          <w:p w14:paraId="63968FC3" w14:textId="77777777" w:rsidR="009F4766" w:rsidRPr="00DE12A3" w:rsidRDefault="009F4766" w:rsidP="00C917D6">
            <w:pPr>
              <w:pStyle w:val="NormalLeft"/>
            </w:pPr>
            <w:r w:rsidRPr="00DE12A3">
              <w:t>74</w:t>
            </w:r>
          </w:p>
        </w:tc>
        <w:tc>
          <w:tcPr>
            <w:tcW w:w="2551" w:type="dxa"/>
            <w:tcBorders>
              <w:top w:val="single" w:sz="2" w:space="0" w:color="auto"/>
              <w:left w:val="single" w:sz="2" w:space="0" w:color="auto"/>
              <w:bottom w:val="single" w:sz="2" w:space="0" w:color="auto"/>
              <w:right w:val="single" w:sz="2" w:space="0" w:color="auto"/>
            </w:tcBorders>
          </w:tcPr>
          <w:p w14:paraId="22161EB5" w14:textId="77777777" w:rsidR="009F4766" w:rsidRPr="00DE12A3" w:rsidRDefault="009F4766" w:rsidP="00C917D6">
            <w:pPr>
              <w:pStyle w:val="NormalLeft"/>
            </w:pPr>
            <w:r w:rsidRPr="00DE12A3">
              <w:t>8</w:t>
            </w:r>
          </w:p>
        </w:tc>
      </w:tr>
      <w:tr w:rsidR="00DE12A3" w:rsidRPr="00DE12A3" w14:paraId="179A49D8" w14:textId="77777777" w:rsidTr="009F4766">
        <w:tc>
          <w:tcPr>
            <w:tcW w:w="1182" w:type="dxa"/>
            <w:tcBorders>
              <w:top w:val="single" w:sz="2" w:space="0" w:color="auto"/>
              <w:left w:val="single" w:sz="2" w:space="0" w:color="auto"/>
              <w:bottom w:val="single" w:sz="2" w:space="0" w:color="auto"/>
              <w:right w:val="single" w:sz="2" w:space="0" w:color="auto"/>
            </w:tcBorders>
          </w:tcPr>
          <w:p w14:paraId="5E009FF9" w14:textId="77777777" w:rsidR="009F4766" w:rsidRPr="00DE12A3" w:rsidRDefault="009F4766" w:rsidP="00C917D6">
            <w:pPr>
              <w:pStyle w:val="NormalLeft"/>
            </w:pPr>
            <w:r w:rsidRPr="00DE12A3">
              <w:t>1182</w:t>
            </w:r>
          </w:p>
        </w:tc>
        <w:tc>
          <w:tcPr>
            <w:tcW w:w="2489" w:type="dxa"/>
            <w:tcBorders>
              <w:top w:val="single" w:sz="2" w:space="0" w:color="auto"/>
              <w:left w:val="single" w:sz="2" w:space="0" w:color="auto"/>
              <w:bottom w:val="single" w:sz="2" w:space="0" w:color="auto"/>
              <w:right w:val="single" w:sz="2" w:space="0" w:color="auto"/>
            </w:tcBorders>
          </w:tcPr>
          <w:p w14:paraId="5905EBB9" w14:textId="77777777" w:rsidR="009F4766" w:rsidRPr="00DE12A3" w:rsidRDefault="009F4766" w:rsidP="00C917D6">
            <w:pPr>
              <w:pStyle w:val="NormalLeft"/>
            </w:pPr>
            <w:r w:rsidRPr="00DE12A3">
              <w:t>76</w:t>
            </w:r>
          </w:p>
        </w:tc>
        <w:tc>
          <w:tcPr>
            <w:tcW w:w="2551" w:type="dxa"/>
            <w:tcBorders>
              <w:top w:val="single" w:sz="2" w:space="0" w:color="auto"/>
              <w:left w:val="single" w:sz="2" w:space="0" w:color="auto"/>
              <w:bottom w:val="single" w:sz="2" w:space="0" w:color="auto"/>
              <w:right w:val="single" w:sz="2" w:space="0" w:color="auto"/>
            </w:tcBorders>
          </w:tcPr>
          <w:p w14:paraId="5330F0FF" w14:textId="77777777" w:rsidR="009F4766" w:rsidRPr="00DE12A3" w:rsidRDefault="009F4766" w:rsidP="00C917D6">
            <w:pPr>
              <w:pStyle w:val="NormalLeft"/>
            </w:pPr>
            <w:r w:rsidRPr="00DE12A3">
              <w:t>11</w:t>
            </w:r>
          </w:p>
        </w:tc>
      </w:tr>
      <w:tr w:rsidR="00DE12A3" w:rsidRPr="00DE12A3" w14:paraId="6DFD316C" w14:textId="77777777" w:rsidTr="009F4766">
        <w:tc>
          <w:tcPr>
            <w:tcW w:w="1182" w:type="dxa"/>
            <w:tcBorders>
              <w:top w:val="single" w:sz="2" w:space="0" w:color="auto"/>
              <w:left w:val="single" w:sz="2" w:space="0" w:color="auto"/>
              <w:bottom w:val="single" w:sz="2" w:space="0" w:color="auto"/>
              <w:right w:val="single" w:sz="2" w:space="0" w:color="auto"/>
            </w:tcBorders>
          </w:tcPr>
          <w:p w14:paraId="150FA9D4" w14:textId="77777777" w:rsidR="009F4766" w:rsidRPr="00DE12A3" w:rsidRDefault="009F4766" w:rsidP="00C917D6">
            <w:pPr>
              <w:pStyle w:val="NormalLeft"/>
            </w:pPr>
            <w:r w:rsidRPr="00DE12A3">
              <w:t>1183</w:t>
            </w:r>
          </w:p>
        </w:tc>
        <w:tc>
          <w:tcPr>
            <w:tcW w:w="2489" w:type="dxa"/>
            <w:tcBorders>
              <w:top w:val="single" w:sz="2" w:space="0" w:color="auto"/>
              <w:left w:val="single" w:sz="2" w:space="0" w:color="auto"/>
              <w:bottom w:val="single" w:sz="2" w:space="0" w:color="auto"/>
              <w:right w:val="single" w:sz="2" w:space="0" w:color="auto"/>
            </w:tcBorders>
          </w:tcPr>
          <w:p w14:paraId="14F2F300" w14:textId="77777777" w:rsidR="009F4766" w:rsidRPr="00DE12A3" w:rsidRDefault="009F4766" w:rsidP="00C917D6">
            <w:pPr>
              <w:pStyle w:val="NormalLeft"/>
            </w:pPr>
            <w:r w:rsidRPr="00DE12A3">
              <w:t>76</w:t>
            </w:r>
          </w:p>
        </w:tc>
        <w:tc>
          <w:tcPr>
            <w:tcW w:w="2551" w:type="dxa"/>
            <w:tcBorders>
              <w:top w:val="single" w:sz="2" w:space="0" w:color="auto"/>
              <w:left w:val="single" w:sz="2" w:space="0" w:color="auto"/>
              <w:bottom w:val="single" w:sz="2" w:space="0" w:color="auto"/>
              <w:right w:val="single" w:sz="2" w:space="0" w:color="auto"/>
            </w:tcBorders>
          </w:tcPr>
          <w:p w14:paraId="4760F754" w14:textId="77777777" w:rsidR="009F4766" w:rsidRPr="00DE12A3" w:rsidRDefault="009F4766" w:rsidP="00C917D6">
            <w:pPr>
              <w:pStyle w:val="NormalLeft"/>
            </w:pPr>
            <w:r w:rsidRPr="00DE12A3">
              <w:t>14</w:t>
            </w:r>
          </w:p>
        </w:tc>
      </w:tr>
      <w:tr w:rsidR="00DE12A3" w:rsidRPr="00DE12A3" w14:paraId="7080DFC4" w14:textId="77777777" w:rsidTr="009F4766">
        <w:tc>
          <w:tcPr>
            <w:tcW w:w="1182" w:type="dxa"/>
            <w:tcBorders>
              <w:top w:val="single" w:sz="2" w:space="0" w:color="auto"/>
              <w:left w:val="single" w:sz="2" w:space="0" w:color="auto"/>
              <w:bottom w:val="single" w:sz="2" w:space="0" w:color="auto"/>
              <w:right w:val="single" w:sz="2" w:space="0" w:color="auto"/>
            </w:tcBorders>
          </w:tcPr>
          <w:p w14:paraId="255DE942" w14:textId="77777777" w:rsidR="009F4766" w:rsidRPr="00DE12A3" w:rsidRDefault="009F4766" w:rsidP="00C917D6">
            <w:pPr>
              <w:pStyle w:val="NormalLeft"/>
            </w:pPr>
            <w:r w:rsidRPr="00DE12A3">
              <w:t>1184</w:t>
            </w:r>
          </w:p>
        </w:tc>
        <w:tc>
          <w:tcPr>
            <w:tcW w:w="2489" w:type="dxa"/>
            <w:tcBorders>
              <w:top w:val="single" w:sz="2" w:space="0" w:color="auto"/>
              <w:left w:val="single" w:sz="2" w:space="0" w:color="auto"/>
              <w:bottom w:val="single" w:sz="2" w:space="0" w:color="auto"/>
              <w:right w:val="single" w:sz="2" w:space="0" w:color="auto"/>
            </w:tcBorders>
          </w:tcPr>
          <w:p w14:paraId="1ECA478B" w14:textId="77777777" w:rsidR="009F4766" w:rsidRPr="00DE12A3" w:rsidRDefault="009F4766" w:rsidP="00C917D6">
            <w:pPr>
              <w:pStyle w:val="NormalLeft"/>
            </w:pPr>
            <w:r w:rsidRPr="00DE12A3">
              <w:t>74</w:t>
            </w:r>
          </w:p>
        </w:tc>
        <w:tc>
          <w:tcPr>
            <w:tcW w:w="2551" w:type="dxa"/>
            <w:tcBorders>
              <w:top w:val="single" w:sz="2" w:space="0" w:color="auto"/>
              <w:left w:val="single" w:sz="2" w:space="0" w:color="auto"/>
              <w:bottom w:val="single" w:sz="2" w:space="0" w:color="auto"/>
              <w:right w:val="single" w:sz="2" w:space="0" w:color="auto"/>
            </w:tcBorders>
          </w:tcPr>
          <w:p w14:paraId="51276CAC" w14:textId="77777777" w:rsidR="009F4766" w:rsidRPr="00DE12A3" w:rsidRDefault="009F4766" w:rsidP="00C917D6">
            <w:pPr>
              <w:pStyle w:val="NormalLeft"/>
            </w:pPr>
            <w:r w:rsidRPr="00DE12A3">
              <w:t>11</w:t>
            </w:r>
          </w:p>
        </w:tc>
      </w:tr>
      <w:tr w:rsidR="00DE12A3" w:rsidRPr="00DE12A3" w14:paraId="7EF4466E" w14:textId="77777777" w:rsidTr="009F4766">
        <w:tc>
          <w:tcPr>
            <w:tcW w:w="1182" w:type="dxa"/>
            <w:tcBorders>
              <w:top w:val="single" w:sz="2" w:space="0" w:color="auto"/>
              <w:left w:val="single" w:sz="2" w:space="0" w:color="auto"/>
              <w:bottom w:val="single" w:sz="2" w:space="0" w:color="auto"/>
              <w:right w:val="single" w:sz="2" w:space="0" w:color="auto"/>
            </w:tcBorders>
          </w:tcPr>
          <w:p w14:paraId="1B1567E1" w14:textId="77777777" w:rsidR="009F4766" w:rsidRPr="00DE12A3" w:rsidRDefault="009F4766" w:rsidP="00C917D6">
            <w:pPr>
              <w:pStyle w:val="NormalLeft"/>
            </w:pPr>
            <w:r w:rsidRPr="00DE12A3">
              <w:t>1185</w:t>
            </w:r>
          </w:p>
        </w:tc>
        <w:tc>
          <w:tcPr>
            <w:tcW w:w="2489" w:type="dxa"/>
            <w:tcBorders>
              <w:top w:val="single" w:sz="2" w:space="0" w:color="auto"/>
              <w:left w:val="single" w:sz="2" w:space="0" w:color="auto"/>
              <w:bottom w:val="single" w:sz="2" w:space="0" w:color="auto"/>
              <w:right w:val="single" w:sz="2" w:space="0" w:color="auto"/>
            </w:tcBorders>
          </w:tcPr>
          <w:p w14:paraId="1F3ED804" w14:textId="77777777" w:rsidR="009F4766" w:rsidRPr="00DE12A3" w:rsidRDefault="009F4766" w:rsidP="00C917D6">
            <w:pPr>
              <w:pStyle w:val="NormalLeft"/>
            </w:pPr>
            <w:r w:rsidRPr="00DE12A3">
              <w:t>74</w:t>
            </w:r>
          </w:p>
        </w:tc>
        <w:tc>
          <w:tcPr>
            <w:tcW w:w="2551" w:type="dxa"/>
            <w:tcBorders>
              <w:top w:val="single" w:sz="2" w:space="0" w:color="auto"/>
              <w:left w:val="single" w:sz="2" w:space="0" w:color="auto"/>
              <w:bottom w:val="single" w:sz="2" w:space="0" w:color="auto"/>
              <w:right w:val="single" w:sz="2" w:space="0" w:color="auto"/>
            </w:tcBorders>
          </w:tcPr>
          <w:p w14:paraId="48F1CA8C" w14:textId="77777777" w:rsidR="009F4766" w:rsidRPr="00DE12A3" w:rsidRDefault="009F4766" w:rsidP="00C917D6">
            <w:pPr>
              <w:pStyle w:val="NormalLeft"/>
            </w:pPr>
            <w:r w:rsidRPr="00DE12A3">
              <w:t>18</w:t>
            </w:r>
          </w:p>
        </w:tc>
      </w:tr>
      <w:tr w:rsidR="00DE12A3" w:rsidRPr="00DE12A3" w14:paraId="6F8A8731" w14:textId="77777777" w:rsidTr="009F4766">
        <w:tc>
          <w:tcPr>
            <w:tcW w:w="1182" w:type="dxa"/>
            <w:tcBorders>
              <w:top w:val="single" w:sz="2" w:space="0" w:color="auto"/>
              <w:left w:val="single" w:sz="2" w:space="0" w:color="auto"/>
              <w:bottom w:val="single" w:sz="2" w:space="0" w:color="auto"/>
              <w:right w:val="single" w:sz="2" w:space="0" w:color="auto"/>
            </w:tcBorders>
          </w:tcPr>
          <w:p w14:paraId="7C3EE78A" w14:textId="77777777" w:rsidR="009F4766" w:rsidRPr="00DE12A3" w:rsidRDefault="009F4766" w:rsidP="00C917D6">
            <w:pPr>
              <w:pStyle w:val="NormalLeft"/>
            </w:pPr>
            <w:r w:rsidRPr="00DE12A3">
              <w:t>1186</w:t>
            </w:r>
          </w:p>
        </w:tc>
        <w:tc>
          <w:tcPr>
            <w:tcW w:w="2489" w:type="dxa"/>
            <w:tcBorders>
              <w:top w:val="single" w:sz="2" w:space="0" w:color="auto"/>
              <w:left w:val="single" w:sz="2" w:space="0" w:color="auto"/>
              <w:bottom w:val="single" w:sz="2" w:space="0" w:color="auto"/>
              <w:right w:val="single" w:sz="2" w:space="0" w:color="auto"/>
            </w:tcBorders>
          </w:tcPr>
          <w:p w14:paraId="14458376" w14:textId="77777777" w:rsidR="009F4766" w:rsidRPr="00DE12A3" w:rsidRDefault="009F4766" w:rsidP="00C917D6">
            <w:pPr>
              <w:pStyle w:val="NormalLeft"/>
            </w:pPr>
            <w:r w:rsidRPr="00DE12A3">
              <w:t>73</w:t>
            </w:r>
          </w:p>
        </w:tc>
        <w:tc>
          <w:tcPr>
            <w:tcW w:w="2551" w:type="dxa"/>
            <w:tcBorders>
              <w:top w:val="single" w:sz="2" w:space="0" w:color="auto"/>
              <w:left w:val="single" w:sz="2" w:space="0" w:color="auto"/>
              <w:bottom w:val="single" w:sz="2" w:space="0" w:color="auto"/>
              <w:right w:val="single" w:sz="2" w:space="0" w:color="auto"/>
            </w:tcBorders>
          </w:tcPr>
          <w:p w14:paraId="49D0EFC0" w14:textId="77777777" w:rsidR="009F4766" w:rsidRPr="00DE12A3" w:rsidRDefault="009F4766" w:rsidP="00C917D6">
            <w:pPr>
              <w:pStyle w:val="NormalLeft"/>
            </w:pPr>
            <w:r w:rsidRPr="00DE12A3">
              <w:t>22</w:t>
            </w:r>
          </w:p>
        </w:tc>
      </w:tr>
      <w:tr w:rsidR="00DE12A3" w:rsidRPr="00DE12A3" w14:paraId="37E46157" w14:textId="77777777" w:rsidTr="009F4766">
        <w:tc>
          <w:tcPr>
            <w:tcW w:w="1182" w:type="dxa"/>
            <w:tcBorders>
              <w:top w:val="single" w:sz="2" w:space="0" w:color="auto"/>
              <w:left w:val="single" w:sz="2" w:space="0" w:color="auto"/>
              <w:bottom w:val="single" w:sz="2" w:space="0" w:color="auto"/>
              <w:right w:val="single" w:sz="2" w:space="0" w:color="auto"/>
            </w:tcBorders>
          </w:tcPr>
          <w:p w14:paraId="307158F7" w14:textId="77777777" w:rsidR="009F4766" w:rsidRPr="00DE12A3" w:rsidRDefault="009F4766" w:rsidP="00C917D6">
            <w:pPr>
              <w:pStyle w:val="NormalLeft"/>
            </w:pPr>
            <w:r w:rsidRPr="00DE12A3">
              <w:t>1187</w:t>
            </w:r>
          </w:p>
        </w:tc>
        <w:tc>
          <w:tcPr>
            <w:tcW w:w="2489" w:type="dxa"/>
            <w:tcBorders>
              <w:top w:val="single" w:sz="2" w:space="0" w:color="auto"/>
              <w:left w:val="single" w:sz="2" w:space="0" w:color="auto"/>
              <w:bottom w:val="single" w:sz="2" w:space="0" w:color="auto"/>
              <w:right w:val="single" w:sz="2" w:space="0" w:color="auto"/>
            </w:tcBorders>
          </w:tcPr>
          <w:p w14:paraId="076EC072" w14:textId="77777777" w:rsidR="009F4766" w:rsidRPr="00DE12A3" w:rsidRDefault="009F4766" w:rsidP="00C917D6">
            <w:pPr>
              <w:pStyle w:val="NormalLeft"/>
            </w:pPr>
            <w:r w:rsidRPr="00DE12A3">
              <w:t>74</w:t>
            </w:r>
          </w:p>
        </w:tc>
        <w:tc>
          <w:tcPr>
            <w:tcW w:w="2551" w:type="dxa"/>
            <w:tcBorders>
              <w:top w:val="single" w:sz="2" w:space="0" w:color="auto"/>
              <w:left w:val="single" w:sz="2" w:space="0" w:color="auto"/>
              <w:bottom w:val="single" w:sz="2" w:space="0" w:color="auto"/>
              <w:right w:val="single" w:sz="2" w:space="0" w:color="auto"/>
            </w:tcBorders>
          </w:tcPr>
          <w:p w14:paraId="3ED9782E" w14:textId="77777777" w:rsidR="009F4766" w:rsidRPr="00DE12A3" w:rsidRDefault="009F4766" w:rsidP="00C917D6">
            <w:pPr>
              <w:pStyle w:val="NormalLeft"/>
            </w:pPr>
            <w:r w:rsidRPr="00DE12A3">
              <w:t>20</w:t>
            </w:r>
          </w:p>
        </w:tc>
      </w:tr>
      <w:tr w:rsidR="00DE12A3" w:rsidRPr="00DE12A3" w14:paraId="2B2AD7F3" w14:textId="77777777" w:rsidTr="009F4766">
        <w:tc>
          <w:tcPr>
            <w:tcW w:w="1182" w:type="dxa"/>
            <w:tcBorders>
              <w:top w:val="single" w:sz="2" w:space="0" w:color="auto"/>
              <w:left w:val="single" w:sz="2" w:space="0" w:color="auto"/>
              <w:bottom w:val="single" w:sz="2" w:space="0" w:color="auto"/>
              <w:right w:val="single" w:sz="2" w:space="0" w:color="auto"/>
            </w:tcBorders>
          </w:tcPr>
          <w:p w14:paraId="4F771E45" w14:textId="77777777" w:rsidR="009F4766" w:rsidRPr="00DE12A3" w:rsidRDefault="009F4766" w:rsidP="00C917D6">
            <w:pPr>
              <w:pStyle w:val="NormalLeft"/>
            </w:pPr>
            <w:r w:rsidRPr="00DE12A3">
              <w:t>1188</w:t>
            </w:r>
          </w:p>
        </w:tc>
        <w:tc>
          <w:tcPr>
            <w:tcW w:w="2489" w:type="dxa"/>
            <w:tcBorders>
              <w:top w:val="single" w:sz="2" w:space="0" w:color="auto"/>
              <w:left w:val="single" w:sz="2" w:space="0" w:color="auto"/>
              <w:bottom w:val="single" w:sz="2" w:space="0" w:color="auto"/>
              <w:right w:val="single" w:sz="2" w:space="0" w:color="auto"/>
            </w:tcBorders>
          </w:tcPr>
          <w:p w14:paraId="27D12AD7" w14:textId="77777777" w:rsidR="009F4766" w:rsidRPr="00DE12A3" w:rsidRDefault="009F4766" w:rsidP="00C917D6">
            <w:pPr>
              <w:pStyle w:val="NormalLeft"/>
            </w:pPr>
            <w:r w:rsidRPr="00DE12A3">
              <w:t>74</w:t>
            </w:r>
          </w:p>
        </w:tc>
        <w:tc>
          <w:tcPr>
            <w:tcW w:w="2551" w:type="dxa"/>
            <w:tcBorders>
              <w:top w:val="single" w:sz="2" w:space="0" w:color="auto"/>
              <w:left w:val="single" w:sz="2" w:space="0" w:color="auto"/>
              <w:bottom w:val="single" w:sz="2" w:space="0" w:color="auto"/>
              <w:right w:val="single" w:sz="2" w:space="0" w:color="auto"/>
            </w:tcBorders>
          </w:tcPr>
          <w:p w14:paraId="1E65318E" w14:textId="77777777" w:rsidR="009F4766" w:rsidRPr="00DE12A3" w:rsidRDefault="009F4766" w:rsidP="00C917D6">
            <w:pPr>
              <w:pStyle w:val="NormalLeft"/>
            </w:pPr>
            <w:r w:rsidRPr="00DE12A3">
              <w:t>19</w:t>
            </w:r>
          </w:p>
        </w:tc>
      </w:tr>
      <w:tr w:rsidR="00DE12A3" w:rsidRPr="00DE12A3" w14:paraId="1BF26DFD" w14:textId="77777777" w:rsidTr="009F4766">
        <w:tc>
          <w:tcPr>
            <w:tcW w:w="1182" w:type="dxa"/>
            <w:tcBorders>
              <w:top w:val="single" w:sz="2" w:space="0" w:color="auto"/>
              <w:left w:val="single" w:sz="2" w:space="0" w:color="auto"/>
              <w:bottom w:val="single" w:sz="2" w:space="0" w:color="auto"/>
              <w:right w:val="single" w:sz="2" w:space="0" w:color="auto"/>
            </w:tcBorders>
          </w:tcPr>
          <w:p w14:paraId="25AB4412" w14:textId="77777777" w:rsidR="009F4766" w:rsidRPr="00DE12A3" w:rsidRDefault="009F4766" w:rsidP="00C917D6">
            <w:pPr>
              <w:pStyle w:val="NormalLeft"/>
            </w:pPr>
            <w:r w:rsidRPr="00DE12A3">
              <w:t>1189</w:t>
            </w:r>
          </w:p>
        </w:tc>
        <w:tc>
          <w:tcPr>
            <w:tcW w:w="2489" w:type="dxa"/>
            <w:tcBorders>
              <w:top w:val="single" w:sz="2" w:space="0" w:color="auto"/>
              <w:left w:val="single" w:sz="2" w:space="0" w:color="auto"/>
              <w:bottom w:val="single" w:sz="2" w:space="0" w:color="auto"/>
              <w:right w:val="single" w:sz="2" w:space="0" w:color="auto"/>
            </w:tcBorders>
          </w:tcPr>
          <w:p w14:paraId="365F2242" w14:textId="77777777" w:rsidR="009F4766" w:rsidRPr="00DE12A3" w:rsidRDefault="009F4766" w:rsidP="00C917D6">
            <w:pPr>
              <w:pStyle w:val="NormalLeft"/>
            </w:pPr>
            <w:r w:rsidRPr="00DE12A3">
              <w:t>70</w:t>
            </w:r>
          </w:p>
        </w:tc>
        <w:tc>
          <w:tcPr>
            <w:tcW w:w="2551" w:type="dxa"/>
            <w:tcBorders>
              <w:top w:val="single" w:sz="2" w:space="0" w:color="auto"/>
              <w:left w:val="single" w:sz="2" w:space="0" w:color="auto"/>
              <w:bottom w:val="single" w:sz="2" w:space="0" w:color="auto"/>
              <w:right w:val="single" w:sz="2" w:space="0" w:color="auto"/>
            </w:tcBorders>
          </w:tcPr>
          <w:p w14:paraId="7AB20EE5" w14:textId="77777777" w:rsidR="009F4766" w:rsidRPr="00DE12A3" w:rsidRDefault="009F4766" w:rsidP="00C917D6">
            <w:pPr>
              <w:pStyle w:val="NormalLeft"/>
            </w:pPr>
            <w:r w:rsidRPr="00DE12A3">
              <w:t>22</w:t>
            </w:r>
          </w:p>
        </w:tc>
      </w:tr>
      <w:tr w:rsidR="00DE12A3" w:rsidRPr="00DE12A3" w14:paraId="5A8AB3D4" w14:textId="77777777" w:rsidTr="009F4766">
        <w:tc>
          <w:tcPr>
            <w:tcW w:w="1182" w:type="dxa"/>
            <w:tcBorders>
              <w:top w:val="single" w:sz="2" w:space="0" w:color="auto"/>
              <w:left w:val="single" w:sz="2" w:space="0" w:color="auto"/>
              <w:bottom w:val="single" w:sz="2" w:space="0" w:color="auto"/>
              <w:right w:val="single" w:sz="2" w:space="0" w:color="auto"/>
            </w:tcBorders>
          </w:tcPr>
          <w:p w14:paraId="3E72540F" w14:textId="77777777" w:rsidR="009F4766" w:rsidRPr="00DE12A3" w:rsidRDefault="009F4766" w:rsidP="00C917D6">
            <w:pPr>
              <w:pStyle w:val="NormalLeft"/>
            </w:pPr>
            <w:r w:rsidRPr="00DE12A3">
              <w:t>1190</w:t>
            </w:r>
          </w:p>
        </w:tc>
        <w:tc>
          <w:tcPr>
            <w:tcW w:w="2489" w:type="dxa"/>
            <w:tcBorders>
              <w:top w:val="single" w:sz="2" w:space="0" w:color="auto"/>
              <w:left w:val="single" w:sz="2" w:space="0" w:color="auto"/>
              <w:bottom w:val="single" w:sz="2" w:space="0" w:color="auto"/>
              <w:right w:val="single" w:sz="2" w:space="0" w:color="auto"/>
            </w:tcBorders>
          </w:tcPr>
          <w:p w14:paraId="430F926C" w14:textId="77777777" w:rsidR="009F4766" w:rsidRPr="00DE12A3" w:rsidRDefault="009F4766" w:rsidP="00C917D6">
            <w:pPr>
              <w:pStyle w:val="NormalLeft"/>
            </w:pPr>
            <w:r w:rsidRPr="00DE12A3">
              <w:t>71</w:t>
            </w:r>
          </w:p>
        </w:tc>
        <w:tc>
          <w:tcPr>
            <w:tcW w:w="2551" w:type="dxa"/>
            <w:tcBorders>
              <w:top w:val="single" w:sz="2" w:space="0" w:color="auto"/>
              <w:left w:val="single" w:sz="2" w:space="0" w:color="auto"/>
              <w:bottom w:val="single" w:sz="2" w:space="0" w:color="auto"/>
              <w:right w:val="single" w:sz="2" w:space="0" w:color="auto"/>
            </w:tcBorders>
          </w:tcPr>
          <w:p w14:paraId="4771244F" w14:textId="77777777" w:rsidR="009F4766" w:rsidRPr="00DE12A3" w:rsidRDefault="009F4766" w:rsidP="00C917D6">
            <w:pPr>
              <w:pStyle w:val="NormalLeft"/>
            </w:pPr>
            <w:r w:rsidRPr="00DE12A3">
              <w:t>23</w:t>
            </w:r>
          </w:p>
        </w:tc>
      </w:tr>
      <w:tr w:rsidR="00DE12A3" w:rsidRPr="00DE12A3" w14:paraId="60D6AE13" w14:textId="77777777" w:rsidTr="009F4766">
        <w:tc>
          <w:tcPr>
            <w:tcW w:w="1182" w:type="dxa"/>
            <w:tcBorders>
              <w:top w:val="single" w:sz="2" w:space="0" w:color="auto"/>
              <w:left w:val="single" w:sz="2" w:space="0" w:color="auto"/>
              <w:bottom w:val="single" w:sz="2" w:space="0" w:color="auto"/>
              <w:right w:val="single" w:sz="2" w:space="0" w:color="auto"/>
            </w:tcBorders>
          </w:tcPr>
          <w:p w14:paraId="1621B0A6" w14:textId="77777777" w:rsidR="009F4766" w:rsidRPr="00DE12A3" w:rsidRDefault="009F4766" w:rsidP="00C917D6">
            <w:pPr>
              <w:pStyle w:val="NormalLeft"/>
            </w:pPr>
            <w:r w:rsidRPr="00DE12A3">
              <w:t>1191</w:t>
            </w:r>
          </w:p>
        </w:tc>
        <w:tc>
          <w:tcPr>
            <w:tcW w:w="2489" w:type="dxa"/>
            <w:tcBorders>
              <w:top w:val="single" w:sz="2" w:space="0" w:color="auto"/>
              <w:left w:val="single" w:sz="2" w:space="0" w:color="auto"/>
              <w:bottom w:val="single" w:sz="2" w:space="0" w:color="auto"/>
              <w:right w:val="single" w:sz="2" w:space="0" w:color="auto"/>
            </w:tcBorders>
          </w:tcPr>
          <w:p w14:paraId="2582819C" w14:textId="77777777" w:rsidR="009F4766" w:rsidRPr="00DE12A3" w:rsidRDefault="009F4766" w:rsidP="00C917D6">
            <w:pPr>
              <w:pStyle w:val="NormalLeft"/>
            </w:pPr>
            <w:r w:rsidRPr="00DE12A3">
              <w:t>73</w:t>
            </w:r>
          </w:p>
        </w:tc>
        <w:tc>
          <w:tcPr>
            <w:tcW w:w="2551" w:type="dxa"/>
            <w:tcBorders>
              <w:top w:val="single" w:sz="2" w:space="0" w:color="auto"/>
              <w:left w:val="single" w:sz="2" w:space="0" w:color="auto"/>
              <w:bottom w:val="single" w:sz="2" w:space="0" w:color="auto"/>
              <w:right w:val="single" w:sz="2" w:space="0" w:color="auto"/>
            </w:tcBorders>
          </w:tcPr>
          <w:p w14:paraId="1AB30515" w14:textId="77777777" w:rsidR="009F4766" w:rsidRPr="00DE12A3" w:rsidRDefault="009F4766" w:rsidP="00C917D6">
            <w:pPr>
              <w:pStyle w:val="NormalLeft"/>
            </w:pPr>
            <w:r w:rsidRPr="00DE12A3">
              <w:t>19</w:t>
            </w:r>
          </w:p>
        </w:tc>
      </w:tr>
      <w:tr w:rsidR="00DE12A3" w:rsidRPr="00DE12A3" w14:paraId="4632A24C" w14:textId="77777777" w:rsidTr="009F4766">
        <w:tc>
          <w:tcPr>
            <w:tcW w:w="1182" w:type="dxa"/>
            <w:tcBorders>
              <w:top w:val="single" w:sz="2" w:space="0" w:color="auto"/>
              <w:left w:val="single" w:sz="2" w:space="0" w:color="auto"/>
              <w:bottom w:val="single" w:sz="2" w:space="0" w:color="auto"/>
              <w:right w:val="single" w:sz="2" w:space="0" w:color="auto"/>
            </w:tcBorders>
          </w:tcPr>
          <w:p w14:paraId="26E0F8A1" w14:textId="77777777" w:rsidR="009F4766" w:rsidRPr="00DE12A3" w:rsidRDefault="009F4766" w:rsidP="00C917D6">
            <w:pPr>
              <w:pStyle w:val="NormalLeft"/>
            </w:pPr>
            <w:r w:rsidRPr="00DE12A3">
              <w:t>1192</w:t>
            </w:r>
          </w:p>
        </w:tc>
        <w:tc>
          <w:tcPr>
            <w:tcW w:w="2489" w:type="dxa"/>
            <w:tcBorders>
              <w:top w:val="single" w:sz="2" w:space="0" w:color="auto"/>
              <w:left w:val="single" w:sz="2" w:space="0" w:color="auto"/>
              <w:bottom w:val="single" w:sz="2" w:space="0" w:color="auto"/>
              <w:right w:val="single" w:sz="2" w:space="0" w:color="auto"/>
            </w:tcBorders>
          </w:tcPr>
          <w:p w14:paraId="1FAEF748" w14:textId="77777777" w:rsidR="009F4766" w:rsidRPr="00DE12A3" w:rsidRDefault="009F4766" w:rsidP="00C917D6">
            <w:pPr>
              <w:pStyle w:val="NormalLeft"/>
            </w:pPr>
            <w:r w:rsidRPr="00DE12A3">
              <w:t>73</w:t>
            </w:r>
          </w:p>
        </w:tc>
        <w:tc>
          <w:tcPr>
            <w:tcW w:w="2551" w:type="dxa"/>
            <w:tcBorders>
              <w:top w:val="single" w:sz="2" w:space="0" w:color="auto"/>
              <w:left w:val="single" w:sz="2" w:space="0" w:color="auto"/>
              <w:bottom w:val="single" w:sz="2" w:space="0" w:color="auto"/>
              <w:right w:val="single" w:sz="2" w:space="0" w:color="auto"/>
            </w:tcBorders>
          </w:tcPr>
          <w:p w14:paraId="165140E1" w14:textId="77777777" w:rsidR="009F4766" w:rsidRPr="00DE12A3" w:rsidRDefault="009F4766" w:rsidP="00C917D6">
            <w:pPr>
              <w:pStyle w:val="NormalLeft"/>
            </w:pPr>
            <w:r w:rsidRPr="00DE12A3">
              <w:t>19</w:t>
            </w:r>
          </w:p>
        </w:tc>
      </w:tr>
      <w:tr w:rsidR="00DE12A3" w:rsidRPr="00DE12A3" w14:paraId="68311AB0" w14:textId="77777777" w:rsidTr="009F4766">
        <w:tc>
          <w:tcPr>
            <w:tcW w:w="1182" w:type="dxa"/>
            <w:tcBorders>
              <w:top w:val="single" w:sz="2" w:space="0" w:color="auto"/>
              <w:left w:val="single" w:sz="2" w:space="0" w:color="auto"/>
              <w:bottom w:val="single" w:sz="2" w:space="0" w:color="auto"/>
              <w:right w:val="single" w:sz="2" w:space="0" w:color="auto"/>
            </w:tcBorders>
          </w:tcPr>
          <w:p w14:paraId="1F891E0B" w14:textId="77777777" w:rsidR="009F4766" w:rsidRPr="00DE12A3" w:rsidRDefault="009F4766" w:rsidP="00C917D6">
            <w:pPr>
              <w:pStyle w:val="NormalLeft"/>
            </w:pPr>
            <w:r w:rsidRPr="00DE12A3">
              <w:t>1193</w:t>
            </w:r>
          </w:p>
        </w:tc>
        <w:tc>
          <w:tcPr>
            <w:tcW w:w="2489" w:type="dxa"/>
            <w:tcBorders>
              <w:top w:val="single" w:sz="2" w:space="0" w:color="auto"/>
              <w:left w:val="single" w:sz="2" w:space="0" w:color="auto"/>
              <w:bottom w:val="single" w:sz="2" w:space="0" w:color="auto"/>
              <w:right w:val="single" w:sz="2" w:space="0" w:color="auto"/>
            </w:tcBorders>
          </w:tcPr>
          <w:p w14:paraId="6A525D11" w14:textId="77777777" w:rsidR="009F4766" w:rsidRPr="00DE12A3" w:rsidRDefault="009F4766" w:rsidP="00C917D6">
            <w:pPr>
              <w:pStyle w:val="NormalLeft"/>
            </w:pPr>
            <w:r w:rsidRPr="00DE12A3">
              <w:t>72</w:t>
            </w:r>
          </w:p>
        </w:tc>
        <w:tc>
          <w:tcPr>
            <w:tcW w:w="2551" w:type="dxa"/>
            <w:tcBorders>
              <w:top w:val="single" w:sz="2" w:space="0" w:color="auto"/>
              <w:left w:val="single" w:sz="2" w:space="0" w:color="auto"/>
              <w:bottom w:val="single" w:sz="2" w:space="0" w:color="auto"/>
              <w:right w:val="single" w:sz="2" w:space="0" w:color="auto"/>
            </w:tcBorders>
          </w:tcPr>
          <w:p w14:paraId="74C9438B" w14:textId="77777777" w:rsidR="009F4766" w:rsidRPr="00DE12A3" w:rsidRDefault="009F4766" w:rsidP="00C917D6">
            <w:pPr>
              <w:pStyle w:val="NormalLeft"/>
            </w:pPr>
            <w:r w:rsidRPr="00DE12A3">
              <w:t>20</w:t>
            </w:r>
          </w:p>
        </w:tc>
      </w:tr>
      <w:tr w:rsidR="00DE12A3" w:rsidRPr="00DE12A3" w14:paraId="304F0813" w14:textId="77777777" w:rsidTr="009F4766">
        <w:tc>
          <w:tcPr>
            <w:tcW w:w="1182" w:type="dxa"/>
            <w:tcBorders>
              <w:top w:val="single" w:sz="2" w:space="0" w:color="auto"/>
              <w:left w:val="single" w:sz="2" w:space="0" w:color="auto"/>
              <w:bottom w:val="single" w:sz="2" w:space="0" w:color="auto"/>
              <w:right w:val="single" w:sz="2" w:space="0" w:color="auto"/>
            </w:tcBorders>
          </w:tcPr>
          <w:p w14:paraId="3ED9C10E" w14:textId="77777777" w:rsidR="009F4766" w:rsidRPr="00DE12A3" w:rsidRDefault="009F4766" w:rsidP="00C917D6">
            <w:pPr>
              <w:pStyle w:val="NormalLeft"/>
            </w:pPr>
            <w:r w:rsidRPr="00DE12A3">
              <w:t>1194</w:t>
            </w:r>
          </w:p>
        </w:tc>
        <w:tc>
          <w:tcPr>
            <w:tcW w:w="2489" w:type="dxa"/>
            <w:tcBorders>
              <w:top w:val="single" w:sz="2" w:space="0" w:color="auto"/>
              <w:left w:val="single" w:sz="2" w:space="0" w:color="auto"/>
              <w:bottom w:val="single" w:sz="2" w:space="0" w:color="auto"/>
              <w:right w:val="single" w:sz="2" w:space="0" w:color="auto"/>
            </w:tcBorders>
          </w:tcPr>
          <w:p w14:paraId="42D01E3D" w14:textId="77777777" w:rsidR="009F4766" w:rsidRPr="00DE12A3" w:rsidRDefault="009F4766" w:rsidP="00C917D6">
            <w:pPr>
              <w:pStyle w:val="NormalLeft"/>
            </w:pPr>
            <w:r w:rsidRPr="00DE12A3">
              <w:t>64</w:t>
            </w:r>
          </w:p>
        </w:tc>
        <w:tc>
          <w:tcPr>
            <w:tcW w:w="2551" w:type="dxa"/>
            <w:tcBorders>
              <w:top w:val="single" w:sz="2" w:space="0" w:color="auto"/>
              <w:left w:val="single" w:sz="2" w:space="0" w:color="auto"/>
              <w:bottom w:val="single" w:sz="2" w:space="0" w:color="auto"/>
              <w:right w:val="single" w:sz="2" w:space="0" w:color="auto"/>
            </w:tcBorders>
          </w:tcPr>
          <w:p w14:paraId="4524D011" w14:textId="77777777" w:rsidR="009F4766" w:rsidRPr="00DE12A3" w:rsidRDefault="009F4766" w:rsidP="00C917D6">
            <w:pPr>
              <w:pStyle w:val="NormalLeft"/>
            </w:pPr>
            <w:r w:rsidRPr="00DE12A3">
              <w:t>60</w:t>
            </w:r>
          </w:p>
        </w:tc>
      </w:tr>
      <w:tr w:rsidR="00DE12A3" w:rsidRPr="00DE12A3" w14:paraId="35B183E5" w14:textId="77777777" w:rsidTr="009F4766">
        <w:tc>
          <w:tcPr>
            <w:tcW w:w="1182" w:type="dxa"/>
            <w:tcBorders>
              <w:top w:val="single" w:sz="2" w:space="0" w:color="auto"/>
              <w:left w:val="single" w:sz="2" w:space="0" w:color="auto"/>
              <w:bottom w:val="single" w:sz="2" w:space="0" w:color="auto"/>
              <w:right w:val="single" w:sz="2" w:space="0" w:color="auto"/>
            </w:tcBorders>
          </w:tcPr>
          <w:p w14:paraId="62F589F5" w14:textId="77777777" w:rsidR="009F4766" w:rsidRPr="00DE12A3" w:rsidRDefault="009F4766" w:rsidP="00C917D6">
            <w:pPr>
              <w:pStyle w:val="NormalLeft"/>
            </w:pPr>
            <w:r w:rsidRPr="00DE12A3">
              <w:t>1195</w:t>
            </w:r>
          </w:p>
        </w:tc>
        <w:tc>
          <w:tcPr>
            <w:tcW w:w="2489" w:type="dxa"/>
            <w:tcBorders>
              <w:top w:val="single" w:sz="2" w:space="0" w:color="auto"/>
              <w:left w:val="single" w:sz="2" w:space="0" w:color="auto"/>
              <w:bottom w:val="single" w:sz="2" w:space="0" w:color="auto"/>
              <w:right w:val="single" w:sz="2" w:space="0" w:color="auto"/>
            </w:tcBorders>
          </w:tcPr>
          <w:p w14:paraId="00BA59AB" w14:textId="77777777" w:rsidR="009F4766" w:rsidRPr="00DE12A3" w:rsidRDefault="009F4766" w:rsidP="00C917D6">
            <w:pPr>
              <w:pStyle w:val="NormalLeft"/>
            </w:pPr>
            <w:r w:rsidRPr="00DE12A3">
              <w:t>70</w:t>
            </w:r>
          </w:p>
        </w:tc>
        <w:tc>
          <w:tcPr>
            <w:tcW w:w="2551" w:type="dxa"/>
            <w:tcBorders>
              <w:top w:val="single" w:sz="2" w:space="0" w:color="auto"/>
              <w:left w:val="single" w:sz="2" w:space="0" w:color="auto"/>
              <w:bottom w:val="single" w:sz="2" w:space="0" w:color="auto"/>
              <w:right w:val="single" w:sz="2" w:space="0" w:color="auto"/>
            </w:tcBorders>
          </w:tcPr>
          <w:p w14:paraId="080EAA8C" w14:textId="77777777" w:rsidR="009F4766" w:rsidRPr="00DE12A3" w:rsidRDefault="009F4766" w:rsidP="00C917D6">
            <w:pPr>
              <w:pStyle w:val="NormalLeft"/>
            </w:pPr>
            <w:r w:rsidRPr="00DE12A3">
              <w:t>39</w:t>
            </w:r>
          </w:p>
        </w:tc>
      </w:tr>
      <w:tr w:rsidR="00DE12A3" w:rsidRPr="00DE12A3" w14:paraId="538A3E1A" w14:textId="77777777" w:rsidTr="009F4766">
        <w:tc>
          <w:tcPr>
            <w:tcW w:w="1182" w:type="dxa"/>
            <w:tcBorders>
              <w:top w:val="single" w:sz="2" w:space="0" w:color="auto"/>
              <w:left w:val="single" w:sz="2" w:space="0" w:color="auto"/>
              <w:bottom w:val="single" w:sz="2" w:space="0" w:color="auto"/>
              <w:right w:val="single" w:sz="2" w:space="0" w:color="auto"/>
            </w:tcBorders>
          </w:tcPr>
          <w:p w14:paraId="761DAEA9" w14:textId="77777777" w:rsidR="009F4766" w:rsidRPr="00DE12A3" w:rsidRDefault="009F4766" w:rsidP="00C917D6">
            <w:pPr>
              <w:pStyle w:val="NormalLeft"/>
            </w:pPr>
            <w:r w:rsidRPr="00DE12A3">
              <w:lastRenderedPageBreak/>
              <w:t>1196</w:t>
            </w:r>
          </w:p>
        </w:tc>
        <w:tc>
          <w:tcPr>
            <w:tcW w:w="2489" w:type="dxa"/>
            <w:tcBorders>
              <w:top w:val="single" w:sz="2" w:space="0" w:color="auto"/>
              <w:left w:val="single" w:sz="2" w:space="0" w:color="auto"/>
              <w:bottom w:val="single" w:sz="2" w:space="0" w:color="auto"/>
              <w:right w:val="single" w:sz="2" w:space="0" w:color="auto"/>
            </w:tcBorders>
          </w:tcPr>
          <w:p w14:paraId="6BC2700B" w14:textId="77777777" w:rsidR="009F4766" w:rsidRPr="00DE12A3" w:rsidRDefault="009F4766" w:rsidP="00C917D6">
            <w:pPr>
              <w:pStyle w:val="NormalLeft"/>
            </w:pPr>
            <w:r w:rsidRPr="00DE12A3">
              <w:t>66</w:t>
            </w:r>
          </w:p>
        </w:tc>
        <w:tc>
          <w:tcPr>
            <w:tcW w:w="2551" w:type="dxa"/>
            <w:tcBorders>
              <w:top w:val="single" w:sz="2" w:space="0" w:color="auto"/>
              <w:left w:val="single" w:sz="2" w:space="0" w:color="auto"/>
              <w:bottom w:val="single" w:sz="2" w:space="0" w:color="auto"/>
              <w:right w:val="single" w:sz="2" w:space="0" w:color="auto"/>
            </w:tcBorders>
          </w:tcPr>
          <w:p w14:paraId="1D515082" w14:textId="77777777" w:rsidR="009F4766" w:rsidRPr="00DE12A3" w:rsidRDefault="009F4766" w:rsidP="00C917D6">
            <w:pPr>
              <w:pStyle w:val="NormalLeft"/>
            </w:pPr>
            <w:r w:rsidRPr="00DE12A3">
              <w:t>56</w:t>
            </w:r>
          </w:p>
        </w:tc>
      </w:tr>
      <w:tr w:rsidR="00DE12A3" w:rsidRPr="00DE12A3" w14:paraId="4EE81092" w14:textId="77777777" w:rsidTr="009F4766">
        <w:tc>
          <w:tcPr>
            <w:tcW w:w="1182" w:type="dxa"/>
            <w:tcBorders>
              <w:top w:val="single" w:sz="2" w:space="0" w:color="auto"/>
              <w:left w:val="single" w:sz="2" w:space="0" w:color="auto"/>
              <w:bottom w:val="single" w:sz="2" w:space="0" w:color="auto"/>
              <w:right w:val="single" w:sz="2" w:space="0" w:color="auto"/>
            </w:tcBorders>
          </w:tcPr>
          <w:p w14:paraId="797D5218" w14:textId="77777777" w:rsidR="009F4766" w:rsidRPr="00DE12A3" w:rsidRDefault="009F4766" w:rsidP="00C917D6">
            <w:pPr>
              <w:pStyle w:val="NormalLeft"/>
            </w:pPr>
            <w:r w:rsidRPr="00DE12A3">
              <w:t>1197</w:t>
            </w:r>
          </w:p>
        </w:tc>
        <w:tc>
          <w:tcPr>
            <w:tcW w:w="2489" w:type="dxa"/>
            <w:tcBorders>
              <w:top w:val="single" w:sz="2" w:space="0" w:color="auto"/>
              <w:left w:val="single" w:sz="2" w:space="0" w:color="auto"/>
              <w:bottom w:val="single" w:sz="2" w:space="0" w:color="auto"/>
              <w:right w:val="single" w:sz="2" w:space="0" w:color="auto"/>
            </w:tcBorders>
          </w:tcPr>
          <w:p w14:paraId="57C35D13" w14:textId="77777777" w:rsidR="009F4766" w:rsidRPr="00DE12A3" w:rsidRDefault="009F4766" w:rsidP="00C917D6">
            <w:pPr>
              <w:pStyle w:val="NormalLeft"/>
            </w:pPr>
            <w:r w:rsidRPr="00DE12A3">
              <w:t>68</w:t>
            </w:r>
          </w:p>
        </w:tc>
        <w:tc>
          <w:tcPr>
            <w:tcW w:w="2551" w:type="dxa"/>
            <w:tcBorders>
              <w:top w:val="single" w:sz="2" w:space="0" w:color="auto"/>
              <w:left w:val="single" w:sz="2" w:space="0" w:color="auto"/>
              <w:bottom w:val="single" w:sz="2" w:space="0" w:color="auto"/>
              <w:right w:val="single" w:sz="2" w:space="0" w:color="auto"/>
            </w:tcBorders>
          </w:tcPr>
          <w:p w14:paraId="7CD69391" w14:textId="77777777" w:rsidR="009F4766" w:rsidRPr="00DE12A3" w:rsidRDefault="009F4766" w:rsidP="00C917D6">
            <w:pPr>
              <w:pStyle w:val="NormalLeft"/>
            </w:pPr>
            <w:r w:rsidRPr="00DE12A3">
              <w:t>64</w:t>
            </w:r>
          </w:p>
        </w:tc>
      </w:tr>
      <w:tr w:rsidR="00DE12A3" w:rsidRPr="00DE12A3" w14:paraId="3AF72827" w14:textId="77777777" w:rsidTr="009F4766">
        <w:tc>
          <w:tcPr>
            <w:tcW w:w="1182" w:type="dxa"/>
            <w:tcBorders>
              <w:top w:val="single" w:sz="2" w:space="0" w:color="auto"/>
              <w:left w:val="single" w:sz="2" w:space="0" w:color="auto"/>
              <w:bottom w:val="single" w:sz="2" w:space="0" w:color="auto"/>
              <w:right w:val="single" w:sz="2" w:space="0" w:color="auto"/>
            </w:tcBorders>
          </w:tcPr>
          <w:p w14:paraId="37D08449" w14:textId="77777777" w:rsidR="009F4766" w:rsidRPr="00DE12A3" w:rsidRDefault="009F4766" w:rsidP="00C917D6">
            <w:pPr>
              <w:pStyle w:val="NormalLeft"/>
            </w:pPr>
            <w:r w:rsidRPr="00DE12A3">
              <w:t>1198</w:t>
            </w:r>
          </w:p>
        </w:tc>
        <w:tc>
          <w:tcPr>
            <w:tcW w:w="2489" w:type="dxa"/>
            <w:tcBorders>
              <w:top w:val="single" w:sz="2" w:space="0" w:color="auto"/>
              <w:left w:val="single" w:sz="2" w:space="0" w:color="auto"/>
              <w:bottom w:val="single" w:sz="2" w:space="0" w:color="auto"/>
              <w:right w:val="single" w:sz="2" w:space="0" w:color="auto"/>
            </w:tcBorders>
          </w:tcPr>
          <w:p w14:paraId="556FB6CA" w14:textId="77777777" w:rsidR="009F4766" w:rsidRPr="00DE12A3" w:rsidRDefault="009F4766" w:rsidP="00C917D6">
            <w:pPr>
              <w:pStyle w:val="NormalLeft"/>
            </w:pPr>
            <w:r w:rsidRPr="00DE12A3">
              <w:t>30</w:t>
            </w:r>
          </w:p>
        </w:tc>
        <w:tc>
          <w:tcPr>
            <w:tcW w:w="2551" w:type="dxa"/>
            <w:tcBorders>
              <w:top w:val="single" w:sz="2" w:space="0" w:color="auto"/>
              <w:left w:val="single" w:sz="2" w:space="0" w:color="auto"/>
              <w:bottom w:val="single" w:sz="2" w:space="0" w:color="auto"/>
              <w:right w:val="single" w:sz="2" w:space="0" w:color="auto"/>
            </w:tcBorders>
          </w:tcPr>
          <w:p w14:paraId="39C44E28" w14:textId="77777777" w:rsidR="009F4766" w:rsidRPr="00DE12A3" w:rsidRDefault="009F4766" w:rsidP="00C917D6">
            <w:pPr>
              <w:pStyle w:val="NormalLeft"/>
            </w:pPr>
            <w:r w:rsidRPr="00DE12A3">
              <w:t>68</w:t>
            </w:r>
          </w:p>
        </w:tc>
      </w:tr>
      <w:tr w:rsidR="00DE12A3" w:rsidRPr="00DE12A3" w14:paraId="75038FA0" w14:textId="77777777" w:rsidTr="009F4766">
        <w:tc>
          <w:tcPr>
            <w:tcW w:w="1182" w:type="dxa"/>
            <w:tcBorders>
              <w:top w:val="single" w:sz="2" w:space="0" w:color="auto"/>
              <w:left w:val="single" w:sz="2" w:space="0" w:color="auto"/>
              <w:bottom w:val="single" w:sz="2" w:space="0" w:color="auto"/>
              <w:right w:val="single" w:sz="2" w:space="0" w:color="auto"/>
            </w:tcBorders>
          </w:tcPr>
          <w:p w14:paraId="36CC2EEB" w14:textId="77777777" w:rsidR="009F4766" w:rsidRPr="00DE12A3" w:rsidRDefault="009F4766" w:rsidP="00C917D6">
            <w:pPr>
              <w:pStyle w:val="NormalLeft"/>
            </w:pPr>
            <w:r w:rsidRPr="00DE12A3">
              <w:t>1199</w:t>
            </w:r>
          </w:p>
        </w:tc>
        <w:tc>
          <w:tcPr>
            <w:tcW w:w="2489" w:type="dxa"/>
            <w:tcBorders>
              <w:top w:val="single" w:sz="2" w:space="0" w:color="auto"/>
              <w:left w:val="single" w:sz="2" w:space="0" w:color="auto"/>
              <w:bottom w:val="single" w:sz="2" w:space="0" w:color="auto"/>
              <w:right w:val="single" w:sz="2" w:space="0" w:color="auto"/>
            </w:tcBorders>
          </w:tcPr>
          <w:p w14:paraId="5230C38A" w14:textId="77777777" w:rsidR="009F4766" w:rsidRPr="00DE12A3" w:rsidRDefault="009F4766" w:rsidP="00C917D6">
            <w:pPr>
              <w:pStyle w:val="NormalLeft"/>
            </w:pPr>
            <w:r w:rsidRPr="00DE12A3">
              <w:t>70</w:t>
            </w:r>
          </w:p>
        </w:tc>
        <w:tc>
          <w:tcPr>
            <w:tcW w:w="2551" w:type="dxa"/>
            <w:tcBorders>
              <w:top w:val="single" w:sz="2" w:space="0" w:color="auto"/>
              <w:left w:val="single" w:sz="2" w:space="0" w:color="auto"/>
              <w:bottom w:val="single" w:sz="2" w:space="0" w:color="auto"/>
              <w:right w:val="single" w:sz="2" w:space="0" w:color="auto"/>
            </w:tcBorders>
          </w:tcPr>
          <w:p w14:paraId="33CA5AA1" w14:textId="77777777" w:rsidR="009F4766" w:rsidRPr="00DE12A3" w:rsidRDefault="009F4766" w:rsidP="00C917D6">
            <w:pPr>
              <w:pStyle w:val="NormalLeft"/>
            </w:pPr>
            <w:r w:rsidRPr="00DE12A3">
              <w:t>38</w:t>
            </w:r>
          </w:p>
        </w:tc>
      </w:tr>
      <w:tr w:rsidR="00DE12A3" w:rsidRPr="00DE12A3" w14:paraId="3ACDFED8" w14:textId="77777777" w:rsidTr="009F4766">
        <w:tc>
          <w:tcPr>
            <w:tcW w:w="1182" w:type="dxa"/>
            <w:tcBorders>
              <w:top w:val="single" w:sz="2" w:space="0" w:color="auto"/>
              <w:left w:val="single" w:sz="2" w:space="0" w:color="auto"/>
              <w:bottom w:val="single" w:sz="2" w:space="0" w:color="auto"/>
              <w:right w:val="single" w:sz="2" w:space="0" w:color="auto"/>
            </w:tcBorders>
          </w:tcPr>
          <w:p w14:paraId="24A9F5B9" w14:textId="77777777" w:rsidR="009F4766" w:rsidRPr="00DE12A3" w:rsidRDefault="009F4766" w:rsidP="00C917D6">
            <w:pPr>
              <w:pStyle w:val="NormalLeft"/>
            </w:pPr>
            <w:r w:rsidRPr="00DE12A3">
              <w:t>1200</w:t>
            </w:r>
          </w:p>
        </w:tc>
        <w:tc>
          <w:tcPr>
            <w:tcW w:w="2489" w:type="dxa"/>
            <w:tcBorders>
              <w:top w:val="single" w:sz="2" w:space="0" w:color="auto"/>
              <w:left w:val="single" w:sz="2" w:space="0" w:color="auto"/>
              <w:bottom w:val="single" w:sz="2" w:space="0" w:color="auto"/>
              <w:right w:val="single" w:sz="2" w:space="0" w:color="auto"/>
            </w:tcBorders>
          </w:tcPr>
          <w:p w14:paraId="274472C8" w14:textId="77777777" w:rsidR="009F4766" w:rsidRPr="00DE12A3" w:rsidRDefault="009F4766" w:rsidP="00C917D6">
            <w:pPr>
              <w:pStyle w:val="NormalLeft"/>
            </w:pPr>
            <w:r w:rsidRPr="00DE12A3">
              <w:t>66</w:t>
            </w:r>
          </w:p>
        </w:tc>
        <w:tc>
          <w:tcPr>
            <w:tcW w:w="2551" w:type="dxa"/>
            <w:tcBorders>
              <w:top w:val="single" w:sz="2" w:space="0" w:color="auto"/>
              <w:left w:val="single" w:sz="2" w:space="0" w:color="auto"/>
              <w:bottom w:val="single" w:sz="2" w:space="0" w:color="auto"/>
              <w:right w:val="single" w:sz="2" w:space="0" w:color="auto"/>
            </w:tcBorders>
          </w:tcPr>
          <w:p w14:paraId="07F41B75" w14:textId="77777777" w:rsidR="009F4766" w:rsidRPr="00DE12A3" w:rsidRDefault="009F4766" w:rsidP="00C917D6">
            <w:pPr>
              <w:pStyle w:val="NormalLeft"/>
            </w:pPr>
            <w:r w:rsidRPr="00DE12A3">
              <w:t>47</w:t>
            </w:r>
          </w:p>
        </w:tc>
      </w:tr>
      <w:tr w:rsidR="00DE12A3" w:rsidRPr="00DE12A3" w14:paraId="3C0DF8FD" w14:textId="77777777" w:rsidTr="009F4766">
        <w:tc>
          <w:tcPr>
            <w:tcW w:w="1182" w:type="dxa"/>
            <w:tcBorders>
              <w:top w:val="single" w:sz="2" w:space="0" w:color="auto"/>
              <w:left w:val="single" w:sz="2" w:space="0" w:color="auto"/>
              <w:bottom w:val="single" w:sz="2" w:space="0" w:color="auto"/>
              <w:right w:val="single" w:sz="2" w:space="0" w:color="auto"/>
            </w:tcBorders>
          </w:tcPr>
          <w:p w14:paraId="0BB665CF" w14:textId="77777777" w:rsidR="009F4766" w:rsidRPr="00DE12A3" w:rsidRDefault="009F4766" w:rsidP="00C917D6">
            <w:pPr>
              <w:pStyle w:val="NormalLeft"/>
            </w:pPr>
            <w:r w:rsidRPr="00DE12A3">
              <w:t>1201</w:t>
            </w:r>
          </w:p>
        </w:tc>
        <w:tc>
          <w:tcPr>
            <w:tcW w:w="2489" w:type="dxa"/>
            <w:tcBorders>
              <w:top w:val="single" w:sz="2" w:space="0" w:color="auto"/>
              <w:left w:val="single" w:sz="2" w:space="0" w:color="auto"/>
              <w:bottom w:val="single" w:sz="2" w:space="0" w:color="auto"/>
              <w:right w:val="single" w:sz="2" w:space="0" w:color="auto"/>
            </w:tcBorders>
          </w:tcPr>
          <w:p w14:paraId="6F6C78A8" w14:textId="77777777" w:rsidR="009F4766" w:rsidRPr="00DE12A3" w:rsidRDefault="009F4766" w:rsidP="00C917D6">
            <w:pPr>
              <w:pStyle w:val="NormalLeft"/>
            </w:pPr>
            <w:r w:rsidRPr="00DE12A3">
              <w:t>76</w:t>
            </w:r>
          </w:p>
        </w:tc>
        <w:tc>
          <w:tcPr>
            <w:tcW w:w="2551" w:type="dxa"/>
            <w:tcBorders>
              <w:top w:val="single" w:sz="2" w:space="0" w:color="auto"/>
              <w:left w:val="single" w:sz="2" w:space="0" w:color="auto"/>
              <w:bottom w:val="single" w:sz="2" w:space="0" w:color="auto"/>
              <w:right w:val="single" w:sz="2" w:space="0" w:color="auto"/>
            </w:tcBorders>
          </w:tcPr>
          <w:p w14:paraId="2F5DC9A8" w14:textId="77777777" w:rsidR="009F4766" w:rsidRPr="00DE12A3" w:rsidRDefault="009F4766" w:rsidP="00C917D6">
            <w:pPr>
              <w:pStyle w:val="NormalLeft"/>
            </w:pPr>
            <w:r w:rsidRPr="00DE12A3">
              <w:t>14</w:t>
            </w:r>
          </w:p>
        </w:tc>
      </w:tr>
      <w:tr w:rsidR="00DE12A3" w:rsidRPr="00DE12A3" w14:paraId="1BA197A5" w14:textId="77777777" w:rsidTr="009F4766">
        <w:tc>
          <w:tcPr>
            <w:tcW w:w="1182" w:type="dxa"/>
            <w:tcBorders>
              <w:top w:val="single" w:sz="2" w:space="0" w:color="auto"/>
              <w:left w:val="single" w:sz="2" w:space="0" w:color="auto"/>
              <w:bottom w:val="single" w:sz="2" w:space="0" w:color="auto"/>
              <w:right w:val="single" w:sz="2" w:space="0" w:color="auto"/>
            </w:tcBorders>
          </w:tcPr>
          <w:p w14:paraId="7F15DC45" w14:textId="77777777" w:rsidR="009F4766" w:rsidRPr="00DE12A3" w:rsidRDefault="009F4766" w:rsidP="00C917D6">
            <w:pPr>
              <w:pStyle w:val="NormalLeft"/>
            </w:pPr>
            <w:r w:rsidRPr="00DE12A3">
              <w:t>1202</w:t>
            </w:r>
          </w:p>
        </w:tc>
        <w:tc>
          <w:tcPr>
            <w:tcW w:w="2489" w:type="dxa"/>
            <w:tcBorders>
              <w:top w:val="single" w:sz="2" w:space="0" w:color="auto"/>
              <w:left w:val="single" w:sz="2" w:space="0" w:color="auto"/>
              <w:bottom w:val="single" w:sz="2" w:space="0" w:color="auto"/>
              <w:right w:val="single" w:sz="2" w:space="0" w:color="auto"/>
            </w:tcBorders>
          </w:tcPr>
          <w:p w14:paraId="04B04585" w14:textId="77777777" w:rsidR="009F4766" w:rsidRPr="00DE12A3" w:rsidRDefault="009F4766" w:rsidP="00C917D6">
            <w:pPr>
              <w:pStyle w:val="NormalLeft"/>
            </w:pPr>
            <w:r w:rsidRPr="00DE12A3">
              <w:t>74</w:t>
            </w:r>
          </w:p>
        </w:tc>
        <w:tc>
          <w:tcPr>
            <w:tcW w:w="2551" w:type="dxa"/>
            <w:tcBorders>
              <w:top w:val="single" w:sz="2" w:space="0" w:color="auto"/>
              <w:left w:val="single" w:sz="2" w:space="0" w:color="auto"/>
              <w:bottom w:val="single" w:sz="2" w:space="0" w:color="auto"/>
              <w:right w:val="single" w:sz="2" w:space="0" w:color="auto"/>
            </w:tcBorders>
          </w:tcPr>
          <w:p w14:paraId="7967BBEE" w14:textId="77777777" w:rsidR="009F4766" w:rsidRPr="00DE12A3" w:rsidRDefault="009F4766" w:rsidP="00C917D6">
            <w:pPr>
              <w:pStyle w:val="NormalLeft"/>
            </w:pPr>
            <w:r w:rsidRPr="00DE12A3">
              <w:t>18</w:t>
            </w:r>
          </w:p>
        </w:tc>
      </w:tr>
      <w:tr w:rsidR="00DE12A3" w:rsidRPr="00DE12A3" w14:paraId="7B5F7185" w14:textId="77777777" w:rsidTr="009F4766">
        <w:tc>
          <w:tcPr>
            <w:tcW w:w="1182" w:type="dxa"/>
            <w:tcBorders>
              <w:top w:val="single" w:sz="2" w:space="0" w:color="auto"/>
              <w:left w:val="single" w:sz="2" w:space="0" w:color="auto"/>
              <w:bottom w:val="single" w:sz="2" w:space="0" w:color="auto"/>
              <w:right w:val="single" w:sz="2" w:space="0" w:color="auto"/>
            </w:tcBorders>
          </w:tcPr>
          <w:p w14:paraId="214343EC" w14:textId="77777777" w:rsidR="009F4766" w:rsidRPr="00DE12A3" w:rsidRDefault="009F4766" w:rsidP="00C917D6">
            <w:pPr>
              <w:pStyle w:val="NormalLeft"/>
            </w:pPr>
            <w:r w:rsidRPr="00DE12A3">
              <w:t>1203</w:t>
            </w:r>
          </w:p>
        </w:tc>
        <w:tc>
          <w:tcPr>
            <w:tcW w:w="2489" w:type="dxa"/>
            <w:tcBorders>
              <w:top w:val="single" w:sz="2" w:space="0" w:color="auto"/>
              <w:left w:val="single" w:sz="2" w:space="0" w:color="auto"/>
              <w:bottom w:val="single" w:sz="2" w:space="0" w:color="auto"/>
              <w:right w:val="single" w:sz="2" w:space="0" w:color="auto"/>
            </w:tcBorders>
          </w:tcPr>
          <w:p w14:paraId="2C918A4E" w14:textId="77777777" w:rsidR="009F4766" w:rsidRPr="00DE12A3" w:rsidRDefault="009F4766" w:rsidP="00C917D6">
            <w:pPr>
              <w:pStyle w:val="NormalLeft"/>
            </w:pPr>
            <w:r w:rsidRPr="00DE12A3">
              <w:t>69</w:t>
            </w:r>
          </w:p>
        </w:tc>
        <w:tc>
          <w:tcPr>
            <w:tcW w:w="2551" w:type="dxa"/>
            <w:tcBorders>
              <w:top w:val="single" w:sz="2" w:space="0" w:color="auto"/>
              <w:left w:val="single" w:sz="2" w:space="0" w:color="auto"/>
              <w:bottom w:val="single" w:sz="2" w:space="0" w:color="auto"/>
              <w:right w:val="single" w:sz="2" w:space="0" w:color="auto"/>
            </w:tcBorders>
          </w:tcPr>
          <w:p w14:paraId="66739672" w14:textId="77777777" w:rsidR="009F4766" w:rsidRPr="00DE12A3" w:rsidRDefault="009F4766" w:rsidP="00C917D6">
            <w:pPr>
              <w:pStyle w:val="NormalLeft"/>
            </w:pPr>
            <w:r w:rsidRPr="00DE12A3">
              <w:t>46</w:t>
            </w:r>
          </w:p>
        </w:tc>
      </w:tr>
      <w:tr w:rsidR="00DE12A3" w:rsidRPr="00DE12A3" w14:paraId="06E805D7" w14:textId="77777777" w:rsidTr="009F4766">
        <w:tc>
          <w:tcPr>
            <w:tcW w:w="1182" w:type="dxa"/>
            <w:tcBorders>
              <w:top w:val="single" w:sz="2" w:space="0" w:color="auto"/>
              <w:left w:val="single" w:sz="2" w:space="0" w:color="auto"/>
              <w:bottom w:val="single" w:sz="2" w:space="0" w:color="auto"/>
              <w:right w:val="single" w:sz="2" w:space="0" w:color="auto"/>
            </w:tcBorders>
          </w:tcPr>
          <w:p w14:paraId="179300EB" w14:textId="77777777" w:rsidR="009F4766" w:rsidRPr="00DE12A3" w:rsidRDefault="009F4766" w:rsidP="00C917D6">
            <w:pPr>
              <w:pStyle w:val="NormalLeft"/>
            </w:pPr>
            <w:r w:rsidRPr="00DE12A3">
              <w:t>1204</w:t>
            </w:r>
          </w:p>
        </w:tc>
        <w:tc>
          <w:tcPr>
            <w:tcW w:w="2489" w:type="dxa"/>
            <w:tcBorders>
              <w:top w:val="single" w:sz="2" w:space="0" w:color="auto"/>
              <w:left w:val="single" w:sz="2" w:space="0" w:color="auto"/>
              <w:bottom w:val="single" w:sz="2" w:space="0" w:color="auto"/>
              <w:right w:val="single" w:sz="2" w:space="0" w:color="auto"/>
            </w:tcBorders>
          </w:tcPr>
          <w:p w14:paraId="7D96E5C0" w14:textId="77777777" w:rsidR="009F4766" w:rsidRPr="00DE12A3" w:rsidRDefault="009F4766" w:rsidP="00C917D6">
            <w:pPr>
              <w:pStyle w:val="NormalLeft"/>
            </w:pPr>
            <w:r w:rsidRPr="00DE12A3">
              <w:t>68</w:t>
            </w:r>
          </w:p>
        </w:tc>
        <w:tc>
          <w:tcPr>
            <w:tcW w:w="2551" w:type="dxa"/>
            <w:tcBorders>
              <w:top w:val="single" w:sz="2" w:space="0" w:color="auto"/>
              <w:left w:val="single" w:sz="2" w:space="0" w:color="auto"/>
              <w:bottom w:val="single" w:sz="2" w:space="0" w:color="auto"/>
              <w:right w:val="single" w:sz="2" w:space="0" w:color="auto"/>
            </w:tcBorders>
          </w:tcPr>
          <w:p w14:paraId="20F8E14D" w14:textId="77777777" w:rsidR="009F4766" w:rsidRPr="00DE12A3" w:rsidRDefault="009F4766" w:rsidP="00C917D6">
            <w:pPr>
              <w:pStyle w:val="NormalLeft"/>
            </w:pPr>
            <w:r w:rsidRPr="00DE12A3">
              <w:t>62</w:t>
            </w:r>
          </w:p>
        </w:tc>
      </w:tr>
      <w:tr w:rsidR="00DE12A3" w:rsidRPr="00DE12A3" w14:paraId="58DBEBAC" w14:textId="77777777" w:rsidTr="009F4766">
        <w:tc>
          <w:tcPr>
            <w:tcW w:w="1182" w:type="dxa"/>
            <w:tcBorders>
              <w:top w:val="single" w:sz="2" w:space="0" w:color="auto"/>
              <w:left w:val="single" w:sz="2" w:space="0" w:color="auto"/>
              <w:bottom w:val="single" w:sz="2" w:space="0" w:color="auto"/>
              <w:right w:val="single" w:sz="2" w:space="0" w:color="auto"/>
            </w:tcBorders>
          </w:tcPr>
          <w:p w14:paraId="0E34CBCC" w14:textId="77777777" w:rsidR="009F4766" w:rsidRPr="00DE12A3" w:rsidRDefault="009F4766" w:rsidP="00C917D6">
            <w:pPr>
              <w:pStyle w:val="NormalLeft"/>
            </w:pPr>
            <w:r w:rsidRPr="00DE12A3">
              <w:t>1205</w:t>
            </w:r>
          </w:p>
        </w:tc>
        <w:tc>
          <w:tcPr>
            <w:tcW w:w="2489" w:type="dxa"/>
            <w:tcBorders>
              <w:top w:val="single" w:sz="2" w:space="0" w:color="auto"/>
              <w:left w:val="single" w:sz="2" w:space="0" w:color="auto"/>
              <w:bottom w:val="single" w:sz="2" w:space="0" w:color="auto"/>
              <w:right w:val="single" w:sz="2" w:space="0" w:color="auto"/>
            </w:tcBorders>
          </w:tcPr>
          <w:p w14:paraId="1A7AF78D" w14:textId="77777777" w:rsidR="009F4766" w:rsidRPr="00DE12A3" w:rsidRDefault="009F4766" w:rsidP="00C917D6">
            <w:pPr>
              <w:pStyle w:val="NormalLeft"/>
            </w:pPr>
            <w:r w:rsidRPr="00DE12A3">
              <w:t>68</w:t>
            </w:r>
          </w:p>
        </w:tc>
        <w:tc>
          <w:tcPr>
            <w:tcW w:w="2551" w:type="dxa"/>
            <w:tcBorders>
              <w:top w:val="single" w:sz="2" w:space="0" w:color="auto"/>
              <w:left w:val="single" w:sz="2" w:space="0" w:color="auto"/>
              <w:bottom w:val="single" w:sz="2" w:space="0" w:color="auto"/>
              <w:right w:val="single" w:sz="2" w:space="0" w:color="auto"/>
            </w:tcBorders>
          </w:tcPr>
          <w:p w14:paraId="7A7796AA" w14:textId="77777777" w:rsidR="009F4766" w:rsidRPr="00DE12A3" w:rsidRDefault="009F4766" w:rsidP="00C917D6">
            <w:pPr>
              <w:pStyle w:val="NormalLeft"/>
            </w:pPr>
            <w:r w:rsidRPr="00DE12A3">
              <w:t>62</w:t>
            </w:r>
          </w:p>
        </w:tc>
      </w:tr>
      <w:tr w:rsidR="00DE12A3" w:rsidRPr="00DE12A3" w14:paraId="7AB01038" w14:textId="77777777" w:rsidTr="009F4766">
        <w:tc>
          <w:tcPr>
            <w:tcW w:w="1182" w:type="dxa"/>
            <w:tcBorders>
              <w:top w:val="single" w:sz="2" w:space="0" w:color="auto"/>
              <w:left w:val="single" w:sz="2" w:space="0" w:color="auto"/>
              <w:bottom w:val="single" w:sz="2" w:space="0" w:color="auto"/>
              <w:right w:val="single" w:sz="2" w:space="0" w:color="auto"/>
            </w:tcBorders>
          </w:tcPr>
          <w:p w14:paraId="07ECFF54" w14:textId="77777777" w:rsidR="009F4766" w:rsidRPr="00DE12A3" w:rsidRDefault="009F4766" w:rsidP="00C917D6">
            <w:pPr>
              <w:pStyle w:val="NormalLeft"/>
            </w:pPr>
            <w:r w:rsidRPr="00DE12A3">
              <w:t>1206</w:t>
            </w:r>
          </w:p>
        </w:tc>
        <w:tc>
          <w:tcPr>
            <w:tcW w:w="2489" w:type="dxa"/>
            <w:tcBorders>
              <w:top w:val="single" w:sz="2" w:space="0" w:color="auto"/>
              <w:left w:val="single" w:sz="2" w:space="0" w:color="auto"/>
              <w:bottom w:val="single" w:sz="2" w:space="0" w:color="auto"/>
              <w:right w:val="single" w:sz="2" w:space="0" w:color="auto"/>
            </w:tcBorders>
          </w:tcPr>
          <w:p w14:paraId="2A0BE4D3" w14:textId="77777777" w:rsidR="009F4766" w:rsidRPr="00DE12A3" w:rsidRDefault="009F4766" w:rsidP="00C917D6">
            <w:pPr>
              <w:pStyle w:val="NormalLeft"/>
            </w:pPr>
            <w:r w:rsidRPr="00DE12A3">
              <w:t>68</w:t>
            </w:r>
          </w:p>
        </w:tc>
        <w:tc>
          <w:tcPr>
            <w:tcW w:w="2551" w:type="dxa"/>
            <w:tcBorders>
              <w:top w:val="single" w:sz="2" w:space="0" w:color="auto"/>
              <w:left w:val="single" w:sz="2" w:space="0" w:color="auto"/>
              <w:bottom w:val="single" w:sz="2" w:space="0" w:color="auto"/>
              <w:right w:val="single" w:sz="2" w:space="0" w:color="auto"/>
            </w:tcBorders>
          </w:tcPr>
          <w:p w14:paraId="25564C0B" w14:textId="77777777" w:rsidR="009F4766" w:rsidRPr="00DE12A3" w:rsidRDefault="009F4766" w:rsidP="00C917D6">
            <w:pPr>
              <w:pStyle w:val="NormalLeft"/>
            </w:pPr>
            <w:r w:rsidRPr="00DE12A3">
              <w:t>62</w:t>
            </w:r>
          </w:p>
        </w:tc>
      </w:tr>
      <w:tr w:rsidR="00DE12A3" w:rsidRPr="00DE12A3" w14:paraId="05F2261C" w14:textId="77777777" w:rsidTr="009F4766">
        <w:tc>
          <w:tcPr>
            <w:tcW w:w="1182" w:type="dxa"/>
            <w:tcBorders>
              <w:top w:val="single" w:sz="2" w:space="0" w:color="auto"/>
              <w:left w:val="single" w:sz="2" w:space="0" w:color="auto"/>
              <w:bottom w:val="single" w:sz="2" w:space="0" w:color="auto"/>
              <w:right w:val="single" w:sz="2" w:space="0" w:color="auto"/>
            </w:tcBorders>
          </w:tcPr>
          <w:p w14:paraId="4F6B2675" w14:textId="77777777" w:rsidR="009F4766" w:rsidRPr="00DE12A3" w:rsidRDefault="009F4766" w:rsidP="00C917D6">
            <w:pPr>
              <w:pStyle w:val="NormalLeft"/>
            </w:pPr>
            <w:r w:rsidRPr="00DE12A3">
              <w:t>1207</w:t>
            </w:r>
          </w:p>
        </w:tc>
        <w:tc>
          <w:tcPr>
            <w:tcW w:w="2489" w:type="dxa"/>
            <w:tcBorders>
              <w:top w:val="single" w:sz="2" w:space="0" w:color="auto"/>
              <w:left w:val="single" w:sz="2" w:space="0" w:color="auto"/>
              <w:bottom w:val="single" w:sz="2" w:space="0" w:color="auto"/>
              <w:right w:val="single" w:sz="2" w:space="0" w:color="auto"/>
            </w:tcBorders>
          </w:tcPr>
          <w:p w14:paraId="5CAF48EB" w14:textId="77777777" w:rsidR="009F4766" w:rsidRPr="00DE12A3" w:rsidRDefault="009F4766" w:rsidP="00C917D6">
            <w:pPr>
              <w:pStyle w:val="NormalLeft"/>
            </w:pPr>
            <w:r w:rsidRPr="00DE12A3">
              <w:t>68</w:t>
            </w:r>
          </w:p>
        </w:tc>
        <w:tc>
          <w:tcPr>
            <w:tcW w:w="2551" w:type="dxa"/>
            <w:tcBorders>
              <w:top w:val="single" w:sz="2" w:space="0" w:color="auto"/>
              <w:left w:val="single" w:sz="2" w:space="0" w:color="auto"/>
              <w:bottom w:val="single" w:sz="2" w:space="0" w:color="auto"/>
              <w:right w:val="single" w:sz="2" w:space="0" w:color="auto"/>
            </w:tcBorders>
          </w:tcPr>
          <w:p w14:paraId="4B8D4739" w14:textId="77777777" w:rsidR="009F4766" w:rsidRPr="00DE12A3" w:rsidRDefault="009F4766" w:rsidP="00C917D6">
            <w:pPr>
              <w:pStyle w:val="NormalLeft"/>
            </w:pPr>
            <w:r w:rsidRPr="00DE12A3">
              <w:t>62</w:t>
            </w:r>
          </w:p>
        </w:tc>
      </w:tr>
      <w:tr w:rsidR="00DE12A3" w:rsidRPr="00DE12A3" w14:paraId="00847381" w14:textId="77777777" w:rsidTr="009F4766">
        <w:tc>
          <w:tcPr>
            <w:tcW w:w="1182" w:type="dxa"/>
            <w:tcBorders>
              <w:top w:val="single" w:sz="2" w:space="0" w:color="auto"/>
              <w:left w:val="single" w:sz="2" w:space="0" w:color="auto"/>
              <w:bottom w:val="single" w:sz="2" w:space="0" w:color="auto"/>
              <w:right w:val="single" w:sz="2" w:space="0" w:color="auto"/>
            </w:tcBorders>
          </w:tcPr>
          <w:p w14:paraId="35ACAFD4" w14:textId="77777777" w:rsidR="009F4766" w:rsidRPr="00DE12A3" w:rsidRDefault="009F4766" w:rsidP="00C917D6">
            <w:pPr>
              <w:pStyle w:val="NormalLeft"/>
            </w:pPr>
            <w:r w:rsidRPr="00DE12A3">
              <w:t>1208</w:t>
            </w:r>
          </w:p>
        </w:tc>
        <w:tc>
          <w:tcPr>
            <w:tcW w:w="2489" w:type="dxa"/>
            <w:tcBorders>
              <w:top w:val="single" w:sz="2" w:space="0" w:color="auto"/>
              <w:left w:val="single" w:sz="2" w:space="0" w:color="auto"/>
              <w:bottom w:val="single" w:sz="2" w:space="0" w:color="auto"/>
              <w:right w:val="single" w:sz="2" w:space="0" w:color="auto"/>
            </w:tcBorders>
          </w:tcPr>
          <w:p w14:paraId="3CE21F93" w14:textId="77777777" w:rsidR="009F4766" w:rsidRPr="00DE12A3" w:rsidRDefault="009F4766" w:rsidP="00C917D6">
            <w:pPr>
              <w:pStyle w:val="NormalLeft"/>
            </w:pPr>
            <w:r w:rsidRPr="00DE12A3">
              <w:t>68</w:t>
            </w:r>
          </w:p>
        </w:tc>
        <w:tc>
          <w:tcPr>
            <w:tcW w:w="2551" w:type="dxa"/>
            <w:tcBorders>
              <w:top w:val="single" w:sz="2" w:space="0" w:color="auto"/>
              <w:left w:val="single" w:sz="2" w:space="0" w:color="auto"/>
              <w:bottom w:val="single" w:sz="2" w:space="0" w:color="auto"/>
              <w:right w:val="single" w:sz="2" w:space="0" w:color="auto"/>
            </w:tcBorders>
          </w:tcPr>
          <w:p w14:paraId="49E20FC9" w14:textId="77777777" w:rsidR="009F4766" w:rsidRPr="00DE12A3" w:rsidRDefault="009F4766" w:rsidP="00C917D6">
            <w:pPr>
              <w:pStyle w:val="NormalLeft"/>
            </w:pPr>
            <w:r w:rsidRPr="00DE12A3">
              <w:t>62</w:t>
            </w:r>
          </w:p>
        </w:tc>
      </w:tr>
      <w:tr w:rsidR="00DE12A3" w:rsidRPr="00DE12A3" w14:paraId="03293CE7" w14:textId="77777777" w:rsidTr="009F4766">
        <w:tc>
          <w:tcPr>
            <w:tcW w:w="1182" w:type="dxa"/>
            <w:tcBorders>
              <w:top w:val="single" w:sz="2" w:space="0" w:color="auto"/>
              <w:left w:val="single" w:sz="2" w:space="0" w:color="auto"/>
              <w:bottom w:val="single" w:sz="2" w:space="0" w:color="auto"/>
              <w:right w:val="single" w:sz="2" w:space="0" w:color="auto"/>
            </w:tcBorders>
          </w:tcPr>
          <w:p w14:paraId="744FDB66" w14:textId="77777777" w:rsidR="009F4766" w:rsidRPr="00DE12A3" w:rsidRDefault="009F4766" w:rsidP="00C917D6">
            <w:pPr>
              <w:pStyle w:val="NormalLeft"/>
            </w:pPr>
            <w:r w:rsidRPr="00DE12A3">
              <w:t>1209</w:t>
            </w:r>
          </w:p>
        </w:tc>
        <w:tc>
          <w:tcPr>
            <w:tcW w:w="2489" w:type="dxa"/>
            <w:tcBorders>
              <w:top w:val="single" w:sz="2" w:space="0" w:color="auto"/>
              <w:left w:val="single" w:sz="2" w:space="0" w:color="auto"/>
              <w:bottom w:val="single" w:sz="2" w:space="0" w:color="auto"/>
              <w:right w:val="single" w:sz="2" w:space="0" w:color="auto"/>
            </w:tcBorders>
          </w:tcPr>
          <w:p w14:paraId="36A0D975" w14:textId="77777777" w:rsidR="009F4766" w:rsidRPr="00DE12A3" w:rsidRDefault="009F4766" w:rsidP="00C917D6">
            <w:pPr>
              <w:pStyle w:val="NormalLeft"/>
            </w:pPr>
            <w:r w:rsidRPr="00DE12A3">
              <w:t>68</w:t>
            </w:r>
          </w:p>
        </w:tc>
        <w:tc>
          <w:tcPr>
            <w:tcW w:w="2551" w:type="dxa"/>
            <w:tcBorders>
              <w:top w:val="single" w:sz="2" w:space="0" w:color="auto"/>
              <w:left w:val="single" w:sz="2" w:space="0" w:color="auto"/>
              <w:bottom w:val="single" w:sz="2" w:space="0" w:color="auto"/>
              <w:right w:val="single" w:sz="2" w:space="0" w:color="auto"/>
            </w:tcBorders>
          </w:tcPr>
          <w:p w14:paraId="53C33731" w14:textId="77777777" w:rsidR="009F4766" w:rsidRPr="00DE12A3" w:rsidRDefault="009F4766" w:rsidP="00C917D6">
            <w:pPr>
              <w:pStyle w:val="NormalLeft"/>
            </w:pPr>
            <w:r w:rsidRPr="00DE12A3">
              <w:t>62</w:t>
            </w:r>
          </w:p>
        </w:tc>
      </w:tr>
      <w:tr w:rsidR="00DE12A3" w:rsidRPr="00DE12A3" w14:paraId="2E30C3F5" w14:textId="77777777" w:rsidTr="009F4766">
        <w:tc>
          <w:tcPr>
            <w:tcW w:w="1182" w:type="dxa"/>
            <w:tcBorders>
              <w:top w:val="single" w:sz="2" w:space="0" w:color="auto"/>
              <w:left w:val="single" w:sz="2" w:space="0" w:color="auto"/>
              <w:bottom w:val="single" w:sz="2" w:space="0" w:color="auto"/>
              <w:right w:val="single" w:sz="2" w:space="0" w:color="auto"/>
            </w:tcBorders>
          </w:tcPr>
          <w:p w14:paraId="6012252F" w14:textId="77777777" w:rsidR="009F4766" w:rsidRPr="00DE12A3" w:rsidRDefault="009F4766" w:rsidP="00C917D6">
            <w:pPr>
              <w:pStyle w:val="NormalLeft"/>
            </w:pPr>
            <w:r w:rsidRPr="00DE12A3">
              <w:t>1210</w:t>
            </w:r>
          </w:p>
        </w:tc>
        <w:tc>
          <w:tcPr>
            <w:tcW w:w="2489" w:type="dxa"/>
            <w:tcBorders>
              <w:top w:val="single" w:sz="2" w:space="0" w:color="auto"/>
              <w:left w:val="single" w:sz="2" w:space="0" w:color="auto"/>
              <w:bottom w:val="single" w:sz="2" w:space="0" w:color="auto"/>
              <w:right w:val="single" w:sz="2" w:space="0" w:color="auto"/>
            </w:tcBorders>
          </w:tcPr>
          <w:p w14:paraId="33296FEB" w14:textId="77777777" w:rsidR="009F4766" w:rsidRPr="00DE12A3" w:rsidRDefault="009F4766" w:rsidP="00C917D6">
            <w:pPr>
              <w:pStyle w:val="NormalLeft"/>
            </w:pPr>
            <w:r w:rsidRPr="00DE12A3">
              <w:t>54</w:t>
            </w:r>
          </w:p>
        </w:tc>
        <w:tc>
          <w:tcPr>
            <w:tcW w:w="2551" w:type="dxa"/>
            <w:tcBorders>
              <w:top w:val="single" w:sz="2" w:space="0" w:color="auto"/>
              <w:left w:val="single" w:sz="2" w:space="0" w:color="auto"/>
              <w:bottom w:val="single" w:sz="2" w:space="0" w:color="auto"/>
              <w:right w:val="single" w:sz="2" w:space="0" w:color="auto"/>
            </w:tcBorders>
          </w:tcPr>
          <w:p w14:paraId="57B74DCE" w14:textId="77777777" w:rsidR="009F4766" w:rsidRPr="00DE12A3" w:rsidRDefault="009F4766" w:rsidP="00C917D6">
            <w:pPr>
              <w:pStyle w:val="NormalLeft"/>
            </w:pPr>
            <w:r w:rsidRPr="00DE12A3">
              <w:t>50</w:t>
            </w:r>
          </w:p>
        </w:tc>
      </w:tr>
      <w:tr w:rsidR="00DE12A3" w:rsidRPr="00DE12A3" w14:paraId="02FF3DFA" w14:textId="77777777" w:rsidTr="009F4766">
        <w:tc>
          <w:tcPr>
            <w:tcW w:w="1182" w:type="dxa"/>
            <w:tcBorders>
              <w:top w:val="single" w:sz="2" w:space="0" w:color="auto"/>
              <w:left w:val="single" w:sz="2" w:space="0" w:color="auto"/>
              <w:bottom w:val="single" w:sz="2" w:space="0" w:color="auto"/>
              <w:right w:val="single" w:sz="2" w:space="0" w:color="auto"/>
            </w:tcBorders>
          </w:tcPr>
          <w:p w14:paraId="1FDA6BF7" w14:textId="77777777" w:rsidR="009F4766" w:rsidRPr="00DE12A3" w:rsidRDefault="009F4766" w:rsidP="00C917D6">
            <w:pPr>
              <w:pStyle w:val="NormalLeft"/>
            </w:pPr>
            <w:r w:rsidRPr="00DE12A3">
              <w:t>1211</w:t>
            </w:r>
          </w:p>
        </w:tc>
        <w:tc>
          <w:tcPr>
            <w:tcW w:w="2489" w:type="dxa"/>
            <w:tcBorders>
              <w:top w:val="single" w:sz="2" w:space="0" w:color="auto"/>
              <w:left w:val="single" w:sz="2" w:space="0" w:color="auto"/>
              <w:bottom w:val="single" w:sz="2" w:space="0" w:color="auto"/>
              <w:right w:val="single" w:sz="2" w:space="0" w:color="auto"/>
            </w:tcBorders>
          </w:tcPr>
          <w:p w14:paraId="196CB408" w14:textId="77777777" w:rsidR="009F4766" w:rsidRPr="00DE12A3" w:rsidRDefault="009F4766" w:rsidP="00C917D6">
            <w:pPr>
              <w:pStyle w:val="NormalLeft"/>
            </w:pPr>
            <w:r w:rsidRPr="00DE12A3">
              <w:t>41</w:t>
            </w:r>
          </w:p>
        </w:tc>
        <w:tc>
          <w:tcPr>
            <w:tcW w:w="2551" w:type="dxa"/>
            <w:tcBorders>
              <w:top w:val="single" w:sz="2" w:space="0" w:color="auto"/>
              <w:left w:val="single" w:sz="2" w:space="0" w:color="auto"/>
              <w:bottom w:val="single" w:sz="2" w:space="0" w:color="auto"/>
              <w:right w:val="single" w:sz="2" w:space="0" w:color="auto"/>
            </w:tcBorders>
          </w:tcPr>
          <w:p w14:paraId="7A434D73" w14:textId="77777777" w:rsidR="009F4766" w:rsidRPr="00DE12A3" w:rsidRDefault="009F4766" w:rsidP="00C917D6">
            <w:pPr>
              <w:pStyle w:val="NormalLeft"/>
            </w:pPr>
            <w:r w:rsidRPr="00DE12A3">
              <w:t>37</w:t>
            </w:r>
          </w:p>
        </w:tc>
      </w:tr>
      <w:tr w:rsidR="00DE12A3" w:rsidRPr="00DE12A3" w14:paraId="08034966" w14:textId="77777777" w:rsidTr="009F4766">
        <w:tc>
          <w:tcPr>
            <w:tcW w:w="1182" w:type="dxa"/>
            <w:tcBorders>
              <w:top w:val="single" w:sz="2" w:space="0" w:color="auto"/>
              <w:left w:val="single" w:sz="2" w:space="0" w:color="auto"/>
              <w:bottom w:val="single" w:sz="2" w:space="0" w:color="auto"/>
              <w:right w:val="single" w:sz="2" w:space="0" w:color="auto"/>
            </w:tcBorders>
          </w:tcPr>
          <w:p w14:paraId="14F9436A" w14:textId="77777777" w:rsidR="009F4766" w:rsidRPr="00DE12A3" w:rsidRDefault="009F4766" w:rsidP="00C917D6">
            <w:pPr>
              <w:pStyle w:val="NormalLeft"/>
            </w:pPr>
            <w:r w:rsidRPr="00DE12A3">
              <w:t>1212</w:t>
            </w:r>
          </w:p>
        </w:tc>
        <w:tc>
          <w:tcPr>
            <w:tcW w:w="2489" w:type="dxa"/>
            <w:tcBorders>
              <w:top w:val="single" w:sz="2" w:space="0" w:color="auto"/>
              <w:left w:val="single" w:sz="2" w:space="0" w:color="auto"/>
              <w:bottom w:val="single" w:sz="2" w:space="0" w:color="auto"/>
              <w:right w:val="single" w:sz="2" w:space="0" w:color="auto"/>
            </w:tcBorders>
          </w:tcPr>
          <w:p w14:paraId="399BF7B4" w14:textId="77777777" w:rsidR="009F4766" w:rsidRPr="00DE12A3" w:rsidRDefault="009F4766" w:rsidP="00C917D6">
            <w:pPr>
              <w:pStyle w:val="NormalLeft"/>
            </w:pPr>
            <w:r w:rsidRPr="00DE12A3">
              <w:t>27</w:t>
            </w:r>
          </w:p>
        </w:tc>
        <w:tc>
          <w:tcPr>
            <w:tcW w:w="2551" w:type="dxa"/>
            <w:tcBorders>
              <w:top w:val="single" w:sz="2" w:space="0" w:color="auto"/>
              <w:left w:val="single" w:sz="2" w:space="0" w:color="auto"/>
              <w:bottom w:val="single" w:sz="2" w:space="0" w:color="auto"/>
              <w:right w:val="single" w:sz="2" w:space="0" w:color="auto"/>
            </w:tcBorders>
          </w:tcPr>
          <w:p w14:paraId="2F7A75BB" w14:textId="77777777" w:rsidR="009F4766" w:rsidRPr="00DE12A3" w:rsidRDefault="009F4766" w:rsidP="00C917D6">
            <w:pPr>
              <w:pStyle w:val="NormalLeft"/>
            </w:pPr>
            <w:r w:rsidRPr="00DE12A3">
              <w:t>25</w:t>
            </w:r>
          </w:p>
        </w:tc>
      </w:tr>
      <w:tr w:rsidR="00DE12A3" w:rsidRPr="00DE12A3" w14:paraId="7EBF8AAE" w14:textId="77777777" w:rsidTr="009F4766">
        <w:tc>
          <w:tcPr>
            <w:tcW w:w="1182" w:type="dxa"/>
            <w:tcBorders>
              <w:top w:val="single" w:sz="2" w:space="0" w:color="auto"/>
              <w:left w:val="single" w:sz="2" w:space="0" w:color="auto"/>
              <w:bottom w:val="single" w:sz="2" w:space="0" w:color="auto"/>
              <w:right w:val="single" w:sz="2" w:space="0" w:color="auto"/>
            </w:tcBorders>
          </w:tcPr>
          <w:p w14:paraId="012385F5" w14:textId="77777777" w:rsidR="009F4766" w:rsidRPr="00DE12A3" w:rsidRDefault="009F4766" w:rsidP="00C917D6">
            <w:pPr>
              <w:pStyle w:val="NormalLeft"/>
            </w:pPr>
            <w:r w:rsidRPr="00DE12A3">
              <w:t>1213</w:t>
            </w:r>
          </w:p>
        </w:tc>
        <w:tc>
          <w:tcPr>
            <w:tcW w:w="2489" w:type="dxa"/>
            <w:tcBorders>
              <w:top w:val="single" w:sz="2" w:space="0" w:color="auto"/>
              <w:left w:val="single" w:sz="2" w:space="0" w:color="auto"/>
              <w:bottom w:val="single" w:sz="2" w:space="0" w:color="auto"/>
              <w:right w:val="single" w:sz="2" w:space="0" w:color="auto"/>
            </w:tcBorders>
          </w:tcPr>
          <w:p w14:paraId="4AD6A873" w14:textId="77777777" w:rsidR="009F4766" w:rsidRPr="00DE12A3" w:rsidRDefault="009F4766" w:rsidP="00C917D6">
            <w:pPr>
              <w:pStyle w:val="NormalLeft"/>
            </w:pPr>
            <w:r w:rsidRPr="00DE12A3">
              <w:t>14</w:t>
            </w:r>
          </w:p>
        </w:tc>
        <w:tc>
          <w:tcPr>
            <w:tcW w:w="2551" w:type="dxa"/>
            <w:tcBorders>
              <w:top w:val="single" w:sz="2" w:space="0" w:color="auto"/>
              <w:left w:val="single" w:sz="2" w:space="0" w:color="auto"/>
              <w:bottom w:val="single" w:sz="2" w:space="0" w:color="auto"/>
              <w:right w:val="single" w:sz="2" w:space="0" w:color="auto"/>
            </w:tcBorders>
          </w:tcPr>
          <w:p w14:paraId="28091035" w14:textId="77777777" w:rsidR="009F4766" w:rsidRPr="00DE12A3" w:rsidRDefault="009F4766" w:rsidP="00C917D6">
            <w:pPr>
              <w:pStyle w:val="NormalLeft"/>
            </w:pPr>
            <w:r w:rsidRPr="00DE12A3">
              <w:t>12</w:t>
            </w:r>
          </w:p>
        </w:tc>
      </w:tr>
      <w:tr w:rsidR="00DE12A3" w:rsidRPr="00DE12A3" w14:paraId="23D6C160" w14:textId="77777777" w:rsidTr="009F4766">
        <w:tc>
          <w:tcPr>
            <w:tcW w:w="1182" w:type="dxa"/>
            <w:tcBorders>
              <w:top w:val="single" w:sz="2" w:space="0" w:color="auto"/>
              <w:left w:val="single" w:sz="2" w:space="0" w:color="auto"/>
              <w:bottom w:val="single" w:sz="2" w:space="0" w:color="auto"/>
              <w:right w:val="single" w:sz="2" w:space="0" w:color="auto"/>
            </w:tcBorders>
          </w:tcPr>
          <w:p w14:paraId="153835B7" w14:textId="77777777" w:rsidR="009F4766" w:rsidRPr="00DE12A3" w:rsidRDefault="009F4766" w:rsidP="00C917D6">
            <w:pPr>
              <w:pStyle w:val="NormalLeft"/>
            </w:pPr>
            <w:r w:rsidRPr="00DE12A3">
              <w:t>1214</w:t>
            </w:r>
          </w:p>
        </w:tc>
        <w:tc>
          <w:tcPr>
            <w:tcW w:w="2489" w:type="dxa"/>
            <w:tcBorders>
              <w:top w:val="single" w:sz="2" w:space="0" w:color="auto"/>
              <w:left w:val="single" w:sz="2" w:space="0" w:color="auto"/>
              <w:bottom w:val="single" w:sz="2" w:space="0" w:color="auto"/>
              <w:right w:val="single" w:sz="2" w:space="0" w:color="auto"/>
            </w:tcBorders>
          </w:tcPr>
          <w:p w14:paraId="287174BD" w14:textId="77777777" w:rsidR="009F4766" w:rsidRPr="00DE12A3" w:rsidRDefault="009F4766" w:rsidP="00C917D6">
            <w:pPr>
              <w:pStyle w:val="NormalLeft"/>
            </w:pPr>
            <w:r w:rsidRPr="00DE12A3">
              <w:t>0</w:t>
            </w:r>
          </w:p>
        </w:tc>
        <w:tc>
          <w:tcPr>
            <w:tcW w:w="2551" w:type="dxa"/>
            <w:tcBorders>
              <w:top w:val="single" w:sz="2" w:space="0" w:color="auto"/>
              <w:left w:val="single" w:sz="2" w:space="0" w:color="auto"/>
              <w:bottom w:val="single" w:sz="2" w:space="0" w:color="auto"/>
              <w:right w:val="single" w:sz="2" w:space="0" w:color="auto"/>
            </w:tcBorders>
          </w:tcPr>
          <w:p w14:paraId="23984689" w14:textId="77777777" w:rsidR="009F4766" w:rsidRPr="00DE12A3" w:rsidRDefault="009F4766" w:rsidP="00C917D6">
            <w:pPr>
              <w:pStyle w:val="NormalLeft"/>
            </w:pPr>
            <w:r w:rsidRPr="00DE12A3">
              <w:t>0</w:t>
            </w:r>
          </w:p>
        </w:tc>
      </w:tr>
      <w:tr w:rsidR="00DE12A3" w:rsidRPr="00DE12A3" w14:paraId="465BC473" w14:textId="77777777" w:rsidTr="009F4766">
        <w:tc>
          <w:tcPr>
            <w:tcW w:w="1182" w:type="dxa"/>
            <w:tcBorders>
              <w:top w:val="single" w:sz="2" w:space="0" w:color="auto"/>
              <w:left w:val="single" w:sz="2" w:space="0" w:color="auto"/>
              <w:bottom w:val="single" w:sz="2" w:space="0" w:color="auto"/>
              <w:right w:val="single" w:sz="2" w:space="0" w:color="auto"/>
            </w:tcBorders>
          </w:tcPr>
          <w:p w14:paraId="00C53DEB" w14:textId="77777777" w:rsidR="009F4766" w:rsidRPr="00DE12A3" w:rsidRDefault="009F4766" w:rsidP="00C917D6">
            <w:pPr>
              <w:pStyle w:val="NormalLeft"/>
            </w:pPr>
            <w:r w:rsidRPr="00DE12A3">
              <w:t>1215</w:t>
            </w:r>
          </w:p>
        </w:tc>
        <w:tc>
          <w:tcPr>
            <w:tcW w:w="2489" w:type="dxa"/>
            <w:tcBorders>
              <w:top w:val="single" w:sz="2" w:space="0" w:color="auto"/>
              <w:left w:val="single" w:sz="2" w:space="0" w:color="auto"/>
              <w:bottom w:val="single" w:sz="2" w:space="0" w:color="auto"/>
              <w:right w:val="single" w:sz="2" w:space="0" w:color="auto"/>
            </w:tcBorders>
          </w:tcPr>
          <w:p w14:paraId="29E52322" w14:textId="77777777" w:rsidR="009F4766" w:rsidRPr="00DE12A3" w:rsidRDefault="009F4766" w:rsidP="00C917D6">
            <w:pPr>
              <w:pStyle w:val="NormalLeft"/>
            </w:pPr>
            <w:r w:rsidRPr="00DE12A3">
              <w:t>0</w:t>
            </w:r>
          </w:p>
        </w:tc>
        <w:tc>
          <w:tcPr>
            <w:tcW w:w="2551" w:type="dxa"/>
            <w:tcBorders>
              <w:top w:val="single" w:sz="2" w:space="0" w:color="auto"/>
              <w:left w:val="single" w:sz="2" w:space="0" w:color="auto"/>
              <w:bottom w:val="single" w:sz="2" w:space="0" w:color="auto"/>
              <w:right w:val="single" w:sz="2" w:space="0" w:color="auto"/>
            </w:tcBorders>
          </w:tcPr>
          <w:p w14:paraId="5681A31F" w14:textId="77777777" w:rsidR="009F4766" w:rsidRPr="00DE12A3" w:rsidRDefault="009F4766" w:rsidP="00C917D6">
            <w:pPr>
              <w:pStyle w:val="NormalLeft"/>
            </w:pPr>
            <w:r w:rsidRPr="00DE12A3">
              <w:t>0</w:t>
            </w:r>
          </w:p>
        </w:tc>
      </w:tr>
      <w:tr w:rsidR="00DE12A3" w:rsidRPr="00DE12A3" w14:paraId="6EAFB330" w14:textId="77777777" w:rsidTr="009F4766">
        <w:tc>
          <w:tcPr>
            <w:tcW w:w="1182" w:type="dxa"/>
            <w:tcBorders>
              <w:top w:val="single" w:sz="2" w:space="0" w:color="auto"/>
              <w:left w:val="single" w:sz="2" w:space="0" w:color="auto"/>
              <w:bottom w:val="single" w:sz="2" w:space="0" w:color="auto"/>
              <w:right w:val="single" w:sz="2" w:space="0" w:color="auto"/>
            </w:tcBorders>
          </w:tcPr>
          <w:p w14:paraId="498C4C63" w14:textId="77777777" w:rsidR="009F4766" w:rsidRPr="00DE12A3" w:rsidRDefault="009F4766" w:rsidP="00C917D6">
            <w:pPr>
              <w:pStyle w:val="NormalLeft"/>
            </w:pPr>
            <w:r w:rsidRPr="00DE12A3">
              <w:t>1216</w:t>
            </w:r>
          </w:p>
        </w:tc>
        <w:tc>
          <w:tcPr>
            <w:tcW w:w="2489" w:type="dxa"/>
            <w:tcBorders>
              <w:top w:val="single" w:sz="2" w:space="0" w:color="auto"/>
              <w:left w:val="single" w:sz="2" w:space="0" w:color="auto"/>
              <w:bottom w:val="single" w:sz="2" w:space="0" w:color="auto"/>
              <w:right w:val="single" w:sz="2" w:space="0" w:color="auto"/>
            </w:tcBorders>
          </w:tcPr>
          <w:p w14:paraId="265B5F4A" w14:textId="77777777" w:rsidR="009F4766" w:rsidRPr="00DE12A3" w:rsidRDefault="009F4766" w:rsidP="00C917D6">
            <w:pPr>
              <w:pStyle w:val="NormalLeft"/>
            </w:pPr>
            <w:r w:rsidRPr="00DE12A3">
              <w:t>0</w:t>
            </w:r>
          </w:p>
        </w:tc>
        <w:tc>
          <w:tcPr>
            <w:tcW w:w="2551" w:type="dxa"/>
            <w:tcBorders>
              <w:top w:val="single" w:sz="2" w:space="0" w:color="auto"/>
              <w:left w:val="single" w:sz="2" w:space="0" w:color="auto"/>
              <w:bottom w:val="single" w:sz="2" w:space="0" w:color="auto"/>
              <w:right w:val="single" w:sz="2" w:space="0" w:color="auto"/>
            </w:tcBorders>
          </w:tcPr>
          <w:p w14:paraId="1A634DE3" w14:textId="77777777" w:rsidR="009F4766" w:rsidRPr="00DE12A3" w:rsidRDefault="009F4766" w:rsidP="00C917D6">
            <w:pPr>
              <w:pStyle w:val="NormalLeft"/>
            </w:pPr>
            <w:r w:rsidRPr="00DE12A3">
              <w:t>0</w:t>
            </w:r>
          </w:p>
        </w:tc>
      </w:tr>
      <w:tr w:rsidR="00DE12A3" w:rsidRPr="00DE12A3" w14:paraId="236DF786" w14:textId="77777777" w:rsidTr="009F4766">
        <w:tc>
          <w:tcPr>
            <w:tcW w:w="1182" w:type="dxa"/>
            <w:tcBorders>
              <w:top w:val="single" w:sz="2" w:space="0" w:color="auto"/>
              <w:left w:val="single" w:sz="2" w:space="0" w:color="auto"/>
              <w:bottom w:val="single" w:sz="2" w:space="0" w:color="auto"/>
              <w:right w:val="single" w:sz="2" w:space="0" w:color="auto"/>
            </w:tcBorders>
          </w:tcPr>
          <w:p w14:paraId="657A1B57" w14:textId="77777777" w:rsidR="009F4766" w:rsidRPr="00DE12A3" w:rsidRDefault="009F4766" w:rsidP="00C917D6">
            <w:pPr>
              <w:pStyle w:val="NormalLeft"/>
            </w:pPr>
            <w:r w:rsidRPr="00DE12A3">
              <w:t>1217</w:t>
            </w:r>
          </w:p>
        </w:tc>
        <w:tc>
          <w:tcPr>
            <w:tcW w:w="2489" w:type="dxa"/>
            <w:tcBorders>
              <w:top w:val="single" w:sz="2" w:space="0" w:color="auto"/>
              <w:left w:val="single" w:sz="2" w:space="0" w:color="auto"/>
              <w:bottom w:val="single" w:sz="2" w:space="0" w:color="auto"/>
              <w:right w:val="single" w:sz="2" w:space="0" w:color="auto"/>
            </w:tcBorders>
          </w:tcPr>
          <w:p w14:paraId="1877CFD2" w14:textId="77777777" w:rsidR="009F4766" w:rsidRPr="00DE12A3" w:rsidRDefault="009F4766" w:rsidP="00C917D6">
            <w:pPr>
              <w:pStyle w:val="NormalLeft"/>
            </w:pPr>
            <w:r w:rsidRPr="00DE12A3">
              <w:t>0</w:t>
            </w:r>
          </w:p>
        </w:tc>
        <w:tc>
          <w:tcPr>
            <w:tcW w:w="2551" w:type="dxa"/>
            <w:tcBorders>
              <w:top w:val="single" w:sz="2" w:space="0" w:color="auto"/>
              <w:left w:val="single" w:sz="2" w:space="0" w:color="auto"/>
              <w:bottom w:val="single" w:sz="2" w:space="0" w:color="auto"/>
              <w:right w:val="single" w:sz="2" w:space="0" w:color="auto"/>
            </w:tcBorders>
          </w:tcPr>
          <w:p w14:paraId="476C5E64" w14:textId="77777777" w:rsidR="009F4766" w:rsidRPr="00DE12A3" w:rsidRDefault="009F4766" w:rsidP="00C917D6">
            <w:pPr>
              <w:pStyle w:val="NormalLeft"/>
            </w:pPr>
            <w:r w:rsidRPr="00DE12A3">
              <w:t>0</w:t>
            </w:r>
          </w:p>
        </w:tc>
      </w:tr>
      <w:tr w:rsidR="00DE12A3" w:rsidRPr="00DE12A3" w14:paraId="558051ED" w14:textId="77777777" w:rsidTr="009F4766">
        <w:tc>
          <w:tcPr>
            <w:tcW w:w="1182" w:type="dxa"/>
            <w:tcBorders>
              <w:top w:val="single" w:sz="2" w:space="0" w:color="auto"/>
              <w:left w:val="single" w:sz="2" w:space="0" w:color="auto"/>
              <w:bottom w:val="single" w:sz="2" w:space="0" w:color="auto"/>
              <w:right w:val="single" w:sz="2" w:space="0" w:color="auto"/>
            </w:tcBorders>
          </w:tcPr>
          <w:p w14:paraId="4CBD9750" w14:textId="77777777" w:rsidR="009F4766" w:rsidRPr="00DE12A3" w:rsidRDefault="009F4766" w:rsidP="00C917D6">
            <w:pPr>
              <w:pStyle w:val="NormalLeft"/>
            </w:pPr>
            <w:r w:rsidRPr="00DE12A3">
              <w:t>1218</w:t>
            </w:r>
          </w:p>
        </w:tc>
        <w:tc>
          <w:tcPr>
            <w:tcW w:w="2489" w:type="dxa"/>
            <w:tcBorders>
              <w:top w:val="single" w:sz="2" w:space="0" w:color="auto"/>
              <w:left w:val="single" w:sz="2" w:space="0" w:color="auto"/>
              <w:bottom w:val="single" w:sz="2" w:space="0" w:color="auto"/>
              <w:right w:val="single" w:sz="2" w:space="0" w:color="auto"/>
            </w:tcBorders>
          </w:tcPr>
          <w:p w14:paraId="2062A46B" w14:textId="77777777" w:rsidR="009F4766" w:rsidRPr="00DE12A3" w:rsidRDefault="009F4766" w:rsidP="00C917D6">
            <w:pPr>
              <w:pStyle w:val="NormalLeft"/>
            </w:pPr>
            <w:r w:rsidRPr="00DE12A3">
              <w:t>0</w:t>
            </w:r>
          </w:p>
        </w:tc>
        <w:tc>
          <w:tcPr>
            <w:tcW w:w="2551" w:type="dxa"/>
            <w:tcBorders>
              <w:top w:val="single" w:sz="2" w:space="0" w:color="auto"/>
              <w:left w:val="single" w:sz="2" w:space="0" w:color="auto"/>
              <w:bottom w:val="single" w:sz="2" w:space="0" w:color="auto"/>
              <w:right w:val="single" w:sz="2" w:space="0" w:color="auto"/>
            </w:tcBorders>
          </w:tcPr>
          <w:p w14:paraId="034A53DF" w14:textId="77777777" w:rsidR="009F4766" w:rsidRPr="00DE12A3" w:rsidRDefault="009F4766" w:rsidP="00C917D6">
            <w:pPr>
              <w:pStyle w:val="NormalLeft"/>
            </w:pPr>
            <w:r w:rsidRPr="00DE12A3">
              <w:t>0</w:t>
            </w:r>
          </w:p>
        </w:tc>
      </w:tr>
      <w:tr w:rsidR="00DE12A3" w:rsidRPr="00DE12A3" w14:paraId="3ADEF883" w14:textId="77777777" w:rsidTr="009F4766">
        <w:tc>
          <w:tcPr>
            <w:tcW w:w="1182" w:type="dxa"/>
            <w:tcBorders>
              <w:top w:val="single" w:sz="2" w:space="0" w:color="auto"/>
              <w:left w:val="single" w:sz="2" w:space="0" w:color="auto"/>
              <w:bottom w:val="single" w:sz="2" w:space="0" w:color="auto"/>
              <w:right w:val="single" w:sz="2" w:space="0" w:color="auto"/>
            </w:tcBorders>
          </w:tcPr>
          <w:p w14:paraId="36D3C89E" w14:textId="77777777" w:rsidR="009F4766" w:rsidRPr="00DE12A3" w:rsidRDefault="009F4766" w:rsidP="00C917D6">
            <w:pPr>
              <w:pStyle w:val="NormalLeft"/>
            </w:pPr>
            <w:r w:rsidRPr="00DE12A3">
              <w:t>1219</w:t>
            </w:r>
          </w:p>
        </w:tc>
        <w:tc>
          <w:tcPr>
            <w:tcW w:w="2489" w:type="dxa"/>
            <w:tcBorders>
              <w:top w:val="single" w:sz="2" w:space="0" w:color="auto"/>
              <w:left w:val="single" w:sz="2" w:space="0" w:color="auto"/>
              <w:bottom w:val="single" w:sz="2" w:space="0" w:color="auto"/>
              <w:right w:val="single" w:sz="2" w:space="0" w:color="auto"/>
            </w:tcBorders>
          </w:tcPr>
          <w:p w14:paraId="75C425DE" w14:textId="77777777" w:rsidR="009F4766" w:rsidRPr="00DE12A3" w:rsidRDefault="009F4766" w:rsidP="00C917D6">
            <w:pPr>
              <w:pStyle w:val="NormalLeft"/>
            </w:pPr>
            <w:r w:rsidRPr="00DE12A3">
              <w:t>0</w:t>
            </w:r>
          </w:p>
        </w:tc>
        <w:tc>
          <w:tcPr>
            <w:tcW w:w="2551" w:type="dxa"/>
            <w:tcBorders>
              <w:top w:val="single" w:sz="2" w:space="0" w:color="auto"/>
              <w:left w:val="single" w:sz="2" w:space="0" w:color="auto"/>
              <w:bottom w:val="single" w:sz="2" w:space="0" w:color="auto"/>
              <w:right w:val="single" w:sz="2" w:space="0" w:color="auto"/>
            </w:tcBorders>
          </w:tcPr>
          <w:p w14:paraId="00EDB900" w14:textId="77777777" w:rsidR="009F4766" w:rsidRPr="00DE12A3" w:rsidRDefault="009F4766" w:rsidP="00C917D6">
            <w:pPr>
              <w:pStyle w:val="NormalLeft"/>
            </w:pPr>
            <w:r w:rsidRPr="00DE12A3">
              <w:t>0</w:t>
            </w:r>
          </w:p>
        </w:tc>
      </w:tr>
      <w:tr w:rsidR="00DE12A3" w:rsidRPr="00DE12A3" w14:paraId="0EA2828A" w14:textId="77777777" w:rsidTr="009F4766">
        <w:tc>
          <w:tcPr>
            <w:tcW w:w="1182" w:type="dxa"/>
            <w:tcBorders>
              <w:top w:val="single" w:sz="2" w:space="0" w:color="auto"/>
              <w:left w:val="single" w:sz="2" w:space="0" w:color="auto"/>
              <w:bottom w:val="single" w:sz="2" w:space="0" w:color="auto"/>
              <w:right w:val="single" w:sz="2" w:space="0" w:color="auto"/>
            </w:tcBorders>
          </w:tcPr>
          <w:p w14:paraId="16F08652" w14:textId="77777777" w:rsidR="009F4766" w:rsidRPr="00DE12A3" w:rsidRDefault="009F4766" w:rsidP="00C917D6">
            <w:pPr>
              <w:pStyle w:val="NormalLeft"/>
            </w:pPr>
            <w:r w:rsidRPr="00DE12A3">
              <w:lastRenderedPageBreak/>
              <w:t>1220</w:t>
            </w:r>
          </w:p>
        </w:tc>
        <w:tc>
          <w:tcPr>
            <w:tcW w:w="2489" w:type="dxa"/>
            <w:tcBorders>
              <w:top w:val="single" w:sz="2" w:space="0" w:color="auto"/>
              <w:left w:val="single" w:sz="2" w:space="0" w:color="auto"/>
              <w:bottom w:val="single" w:sz="2" w:space="0" w:color="auto"/>
              <w:right w:val="single" w:sz="2" w:space="0" w:color="auto"/>
            </w:tcBorders>
          </w:tcPr>
          <w:p w14:paraId="245DB6BB" w14:textId="77777777" w:rsidR="009F4766" w:rsidRPr="00DE12A3" w:rsidRDefault="009F4766" w:rsidP="00C917D6">
            <w:pPr>
              <w:pStyle w:val="NormalLeft"/>
            </w:pPr>
            <w:r w:rsidRPr="00DE12A3">
              <w:t>0</w:t>
            </w:r>
          </w:p>
        </w:tc>
        <w:tc>
          <w:tcPr>
            <w:tcW w:w="2551" w:type="dxa"/>
            <w:tcBorders>
              <w:top w:val="single" w:sz="2" w:space="0" w:color="auto"/>
              <w:left w:val="single" w:sz="2" w:space="0" w:color="auto"/>
              <w:bottom w:val="single" w:sz="2" w:space="0" w:color="auto"/>
              <w:right w:val="single" w:sz="2" w:space="0" w:color="auto"/>
            </w:tcBorders>
          </w:tcPr>
          <w:p w14:paraId="3A37ED97" w14:textId="77777777" w:rsidR="009F4766" w:rsidRPr="00DE12A3" w:rsidRDefault="009F4766" w:rsidP="00C917D6">
            <w:pPr>
              <w:pStyle w:val="NormalLeft"/>
            </w:pPr>
            <w:r w:rsidRPr="00DE12A3">
              <w:t>0</w:t>
            </w:r>
          </w:p>
        </w:tc>
      </w:tr>
      <w:tr w:rsidR="00DE12A3" w:rsidRPr="00DE12A3" w14:paraId="0DDAD986" w14:textId="77777777" w:rsidTr="009F4766">
        <w:tc>
          <w:tcPr>
            <w:tcW w:w="1182" w:type="dxa"/>
            <w:tcBorders>
              <w:top w:val="single" w:sz="2" w:space="0" w:color="auto"/>
              <w:left w:val="single" w:sz="2" w:space="0" w:color="auto"/>
              <w:bottom w:val="single" w:sz="2" w:space="0" w:color="auto"/>
              <w:right w:val="single" w:sz="2" w:space="0" w:color="auto"/>
            </w:tcBorders>
          </w:tcPr>
          <w:p w14:paraId="0B76A2F4" w14:textId="77777777" w:rsidR="009F4766" w:rsidRPr="00DE12A3" w:rsidRDefault="009F4766" w:rsidP="00C917D6">
            <w:pPr>
              <w:pStyle w:val="NormalLeft"/>
            </w:pPr>
            <w:r w:rsidRPr="00DE12A3">
              <w:t>1221</w:t>
            </w:r>
          </w:p>
        </w:tc>
        <w:tc>
          <w:tcPr>
            <w:tcW w:w="2489" w:type="dxa"/>
            <w:tcBorders>
              <w:top w:val="single" w:sz="2" w:space="0" w:color="auto"/>
              <w:left w:val="single" w:sz="2" w:space="0" w:color="auto"/>
              <w:bottom w:val="single" w:sz="2" w:space="0" w:color="auto"/>
              <w:right w:val="single" w:sz="2" w:space="0" w:color="auto"/>
            </w:tcBorders>
          </w:tcPr>
          <w:p w14:paraId="615634AB" w14:textId="77777777" w:rsidR="009F4766" w:rsidRPr="00DE12A3" w:rsidRDefault="009F4766" w:rsidP="00C917D6">
            <w:pPr>
              <w:pStyle w:val="NormalLeft"/>
            </w:pPr>
            <w:r w:rsidRPr="00DE12A3">
              <w:t>0</w:t>
            </w:r>
          </w:p>
        </w:tc>
        <w:tc>
          <w:tcPr>
            <w:tcW w:w="2551" w:type="dxa"/>
            <w:tcBorders>
              <w:top w:val="single" w:sz="2" w:space="0" w:color="auto"/>
              <w:left w:val="single" w:sz="2" w:space="0" w:color="auto"/>
              <w:bottom w:val="single" w:sz="2" w:space="0" w:color="auto"/>
              <w:right w:val="single" w:sz="2" w:space="0" w:color="auto"/>
            </w:tcBorders>
          </w:tcPr>
          <w:p w14:paraId="432F6FA5" w14:textId="77777777" w:rsidR="009F4766" w:rsidRPr="00DE12A3" w:rsidRDefault="009F4766" w:rsidP="00C917D6">
            <w:pPr>
              <w:pStyle w:val="NormalLeft"/>
            </w:pPr>
            <w:r w:rsidRPr="00DE12A3">
              <w:t>0</w:t>
            </w:r>
          </w:p>
        </w:tc>
      </w:tr>
      <w:tr w:rsidR="00DE12A3" w:rsidRPr="00DE12A3" w14:paraId="6AB047AA" w14:textId="77777777" w:rsidTr="009F4766">
        <w:tc>
          <w:tcPr>
            <w:tcW w:w="1182" w:type="dxa"/>
            <w:tcBorders>
              <w:top w:val="single" w:sz="2" w:space="0" w:color="auto"/>
              <w:left w:val="single" w:sz="2" w:space="0" w:color="auto"/>
              <w:bottom w:val="single" w:sz="2" w:space="0" w:color="auto"/>
              <w:right w:val="single" w:sz="2" w:space="0" w:color="auto"/>
            </w:tcBorders>
          </w:tcPr>
          <w:p w14:paraId="1FD78F39" w14:textId="77777777" w:rsidR="009F4766" w:rsidRPr="00DE12A3" w:rsidRDefault="009F4766" w:rsidP="00C917D6">
            <w:pPr>
              <w:pStyle w:val="NormalLeft"/>
            </w:pPr>
            <w:r w:rsidRPr="00DE12A3">
              <w:t>1222</w:t>
            </w:r>
          </w:p>
        </w:tc>
        <w:tc>
          <w:tcPr>
            <w:tcW w:w="2489" w:type="dxa"/>
            <w:tcBorders>
              <w:top w:val="single" w:sz="2" w:space="0" w:color="auto"/>
              <w:left w:val="single" w:sz="2" w:space="0" w:color="auto"/>
              <w:bottom w:val="single" w:sz="2" w:space="0" w:color="auto"/>
              <w:right w:val="single" w:sz="2" w:space="0" w:color="auto"/>
            </w:tcBorders>
          </w:tcPr>
          <w:p w14:paraId="2B9E3142" w14:textId="77777777" w:rsidR="009F4766" w:rsidRPr="00DE12A3" w:rsidRDefault="009F4766" w:rsidP="00C917D6">
            <w:pPr>
              <w:pStyle w:val="NormalLeft"/>
            </w:pPr>
            <w:r w:rsidRPr="00DE12A3">
              <w:t>0</w:t>
            </w:r>
          </w:p>
        </w:tc>
        <w:tc>
          <w:tcPr>
            <w:tcW w:w="2551" w:type="dxa"/>
            <w:tcBorders>
              <w:top w:val="single" w:sz="2" w:space="0" w:color="auto"/>
              <w:left w:val="single" w:sz="2" w:space="0" w:color="auto"/>
              <w:bottom w:val="single" w:sz="2" w:space="0" w:color="auto"/>
              <w:right w:val="single" w:sz="2" w:space="0" w:color="auto"/>
            </w:tcBorders>
          </w:tcPr>
          <w:p w14:paraId="6ED4899D" w14:textId="77777777" w:rsidR="009F4766" w:rsidRPr="00DE12A3" w:rsidRDefault="009F4766" w:rsidP="00C917D6">
            <w:pPr>
              <w:pStyle w:val="NormalLeft"/>
            </w:pPr>
            <w:r w:rsidRPr="00DE12A3">
              <w:t>0</w:t>
            </w:r>
          </w:p>
        </w:tc>
      </w:tr>
      <w:tr w:rsidR="00DE12A3" w:rsidRPr="00DE12A3" w14:paraId="79546664" w14:textId="77777777" w:rsidTr="009F4766">
        <w:tc>
          <w:tcPr>
            <w:tcW w:w="1182" w:type="dxa"/>
            <w:tcBorders>
              <w:top w:val="single" w:sz="2" w:space="0" w:color="auto"/>
              <w:left w:val="single" w:sz="2" w:space="0" w:color="auto"/>
              <w:bottom w:val="single" w:sz="2" w:space="0" w:color="auto"/>
              <w:right w:val="single" w:sz="2" w:space="0" w:color="auto"/>
            </w:tcBorders>
          </w:tcPr>
          <w:p w14:paraId="07BA39E0" w14:textId="77777777" w:rsidR="009F4766" w:rsidRPr="00DE12A3" w:rsidRDefault="009F4766" w:rsidP="00C917D6">
            <w:pPr>
              <w:pStyle w:val="NormalLeft"/>
            </w:pPr>
            <w:r w:rsidRPr="00DE12A3">
              <w:t>1223</w:t>
            </w:r>
          </w:p>
        </w:tc>
        <w:tc>
          <w:tcPr>
            <w:tcW w:w="2489" w:type="dxa"/>
            <w:tcBorders>
              <w:top w:val="single" w:sz="2" w:space="0" w:color="auto"/>
              <w:left w:val="single" w:sz="2" w:space="0" w:color="auto"/>
              <w:bottom w:val="single" w:sz="2" w:space="0" w:color="auto"/>
              <w:right w:val="single" w:sz="2" w:space="0" w:color="auto"/>
            </w:tcBorders>
          </w:tcPr>
          <w:p w14:paraId="0E4AF62F" w14:textId="77777777" w:rsidR="009F4766" w:rsidRPr="00DE12A3" w:rsidRDefault="009F4766" w:rsidP="00C917D6">
            <w:pPr>
              <w:pStyle w:val="NormalLeft"/>
            </w:pPr>
            <w:r w:rsidRPr="00DE12A3">
              <w:t>0</w:t>
            </w:r>
          </w:p>
        </w:tc>
        <w:tc>
          <w:tcPr>
            <w:tcW w:w="2551" w:type="dxa"/>
            <w:tcBorders>
              <w:top w:val="single" w:sz="2" w:space="0" w:color="auto"/>
              <w:left w:val="single" w:sz="2" w:space="0" w:color="auto"/>
              <w:bottom w:val="single" w:sz="2" w:space="0" w:color="auto"/>
              <w:right w:val="single" w:sz="2" w:space="0" w:color="auto"/>
            </w:tcBorders>
          </w:tcPr>
          <w:p w14:paraId="6CD31834" w14:textId="77777777" w:rsidR="009F4766" w:rsidRPr="00DE12A3" w:rsidRDefault="009F4766" w:rsidP="00C917D6">
            <w:pPr>
              <w:pStyle w:val="NormalLeft"/>
            </w:pPr>
            <w:r w:rsidRPr="00DE12A3">
              <w:t>0</w:t>
            </w:r>
          </w:p>
        </w:tc>
      </w:tr>
      <w:tr w:rsidR="00DE12A3" w:rsidRPr="00DE12A3" w14:paraId="61B630DB" w14:textId="77777777" w:rsidTr="009F4766">
        <w:tc>
          <w:tcPr>
            <w:tcW w:w="1182" w:type="dxa"/>
            <w:tcBorders>
              <w:top w:val="single" w:sz="2" w:space="0" w:color="auto"/>
              <w:left w:val="single" w:sz="2" w:space="0" w:color="auto"/>
              <w:bottom w:val="single" w:sz="2" w:space="0" w:color="auto"/>
              <w:right w:val="single" w:sz="2" w:space="0" w:color="auto"/>
            </w:tcBorders>
          </w:tcPr>
          <w:p w14:paraId="35E912EC" w14:textId="77777777" w:rsidR="009F4766" w:rsidRPr="00DE12A3" w:rsidRDefault="009F4766" w:rsidP="00C917D6">
            <w:pPr>
              <w:pStyle w:val="NormalLeft"/>
            </w:pPr>
            <w:r w:rsidRPr="00DE12A3">
              <w:t>1224</w:t>
            </w:r>
          </w:p>
        </w:tc>
        <w:tc>
          <w:tcPr>
            <w:tcW w:w="2489" w:type="dxa"/>
            <w:tcBorders>
              <w:top w:val="single" w:sz="2" w:space="0" w:color="auto"/>
              <w:left w:val="single" w:sz="2" w:space="0" w:color="auto"/>
              <w:bottom w:val="single" w:sz="2" w:space="0" w:color="auto"/>
              <w:right w:val="single" w:sz="2" w:space="0" w:color="auto"/>
            </w:tcBorders>
          </w:tcPr>
          <w:p w14:paraId="4987C6AB" w14:textId="77777777" w:rsidR="009F4766" w:rsidRPr="00DE12A3" w:rsidRDefault="009F4766" w:rsidP="00C917D6">
            <w:pPr>
              <w:pStyle w:val="NormalLeft"/>
            </w:pPr>
            <w:r w:rsidRPr="00DE12A3">
              <w:t>0</w:t>
            </w:r>
          </w:p>
        </w:tc>
        <w:tc>
          <w:tcPr>
            <w:tcW w:w="2551" w:type="dxa"/>
            <w:tcBorders>
              <w:top w:val="single" w:sz="2" w:space="0" w:color="auto"/>
              <w:left w:val="single" w:sz="2" w:space="0" w:color="auto"/>
              <w:bottom w:val="single" w:sz="2" w:space="0" w:color="auto"/>
              <w:right w:val="single" w:sz="2" w:space="0" w:color="auto"/>
            </w:tcBorders>
          </w:tcPr>
          <w:p w14:paraId="78DD6D47" w14:textId="77777777" w:rsidR="009F4766" w:rsidRPr="00DE12A3" w:rsidRDefault="009F4766" w:rsidP="00C917D6">
            <w:pPr>
              <w:pStyle w:val="NormalLeft"/>
            </w:pPr>
            <w:r w:rsidRPr="00DE12A3">
              <w:t>0</w:t>
            </w:r>
          </w:p>
        </w:tc>
      </w:tr>
      <w:tr w:rsidR="00DE12A3" w:rsidRPr="00DE12A3" w14:paraId="118ABA4F" w14:textId="77777777" w:rsidTr="009F4766">
        <w:tc>
          <w:tcPr>
            <w:tcW w:w="1182" w:type="dxa"/>
            <w:tcBorders>
              <w:top w:val="single" w:sz="2" w:space="0" w:color="auto"/>
              <w:left w:val="single" w:sz="2" w:space="0" w:color="auto"/>
              <w:bottom w:val="single" w:sz="2" w:space="0" w:color="auto"/>
              <w:right w:val="single" w:sz="2" w:space="0" w:color="auto"/>
            </w:tcBorders>
          </w:tcPr>
          <w:p w14:paraId="257D2956" w14:textId="77777777" w:rsidR="009F4766" w:rsidRPr="00DE12A3" w:rsidRDefault="009F4766" w:rsidP="00C917D6">
            <w:pPr>
              <w:pStyle w:val="NormalLeft"/>
            </w:pPr>
            <w:r w:rsidRPr="00DE12A3">
              <w:t>1225</w:t>
            </w:r>
          </w:p>
        </w:tc>
        <w:tc>
          <w:tcPr>
            <w:tcW w:w="2489" w:type="dxa"/>
            <w:tcBorders>
              <w:top w:val="single" w:sz="2" w:space="0" w:color="auto"/>
              <w:left w:val="single" w:sz="2" w:space="0" w:color="auto"/>
              <w:bottom w:val="single" w:sz="2" w:space="0" w:color="auto"/>
              <w:right w:val="single" w:sz="2" w:space="0" w:color="auto"/>
            </w:tcBorders>
          </w:tcPr>
          <w:p w14:paraId="4DA791AC" w14:textId="77777777" w:rsidR="009F4766" w:rsidRPr="00DE12A3" w:rsidRDefault="009F4766" w:rsidP="00C917D6">
            <w:pPr>
              <w:pStyle w:val="NormalLeft"/>
            </w:pPr>
            <w:r w:rsidRPr="00DE12A3">
              <w:t>0</w:t>
            </w:r>
          </w:p>
        </w:tc>
        <w:tc>
          <w:tcPr>
            <w:tcW w:w="2551" w:type="dxa"/>
            <w:tcBorders>
              <w:top w:val="single" w:sz="2" w:space="0" w:color="auto"/>
              <w:left w:val="single" w:sz="2" w:space="0" w:color="auto"/>
              <w:bottom w:val="single" w:sz="2" w:space="0" w:color="auto"/>
              <w:right w:val="single" w:sz="2" w:space="0" w:color="auto"/>
            </w:tcBorders>
          </w:tcPr>
          <w:p w14:paraId="308C4DA0" w14:textId="77777777" w:rsidR="009F4766" w:rsidRPr="00DE12A3" w:rsidRDefault="009F4766" w:rsidP="00C917D6">
            <w:pPr>
              <w:pStyle w:val="NormalLeft"/>
            </w:pPr>
            <w:r w:rsidRPr="00DE12A3">
              <w:t>0</w:t>
            </w:r>
          </w:p>
        </w:tc>
      </w:tr>
      <w:tr w:rsidR="00DE12A3" w:rsidRPr="00DE12A3" w14:paraId="1B0B8A79" w14:textId="77777777" w:rsidTr="009F4766">
        <w:tc>
          <w:tcPr>
            <w:tcW w:w="1182" w:type="dxa"/>
            <w:tcBorders>
              <w:top w:val="single" w:sz="2" w:space="0" w:color="auto"/>
              <w:left w:val="single" w:sz="2" w:space="0" w:color="auto"/>
              <w:bottom w:val="single" w:sz="2" w:space="0" w:color="auto"/>
              <w:right w:val="single" w:sz="2" w:space="0" w:color="auto"/>
            </w:tcBorders>
          </w:tcPr>
          <w:p w14:paraId="121A319C" w14:textId="77777777" w:rsidR="009F4766" w:rsidRPr="00DE12A3" w:rsidRDefault="009F4766" w:rsidP="00C917D6">
            <w:pPr>
              <w:pStyle w:val="NormalLeft"/>
            </w:pPr>
            <w:r w:rsidRPr="00DE12A3">
              <w:t>1226</w:t>
            </w:r>
          </w:p>
        </w:tc>
        <w:tc>
          <w:tcPr>
            <w:tcW w:w="2489" w:type="dxa"/>
            <w:tcBorders>
              <w:top w:val="single" w:sz="2" w:space="0" w:color="auto"/>
              <w:left w:val="single" w:sz="2" w:space="0" w:color="auto"/>
              <w:bottom w:val="single" w:sz="2" w:space="0" w:color="auto"/>
              <w:right w:val="single" w:sz="2" w:space="0" w:color="auto"/>
            </w:tcBorders>
          </w:tcPr>
          <w:p w14:paraId="11EDD709" w14:textId="77777777" w:rsidR="009F4766" w:rsidRPr="00DE12A3" w:rsidRDefault="009F4766" w:rsidP="00C917D6">
            <w:pPr>
              <w:pStyle w:val="NormalLeft"/>
            </w:pPr>
            <w:r w:rsidRPr="00DE12A3">
              <w:t>0</w:t>
            </w:r>
          </w:p>
        </w:tc>
        <w:tc>
          <w:tcPr>
            <w:tcW w:w="2551" w:type="dxa"/>
            <w:tcBorders>
              <w:top w:val="single" w:sz="2" w:space="0" w:color="auto"/>
              <w:left w:val="single" w:sz="2" w:space="0" w:color="auto"/>
              <w:bottom w:val="single" w:sz="2" w:space="0" w:color="auto"/>
              <w:right w:val="single" w:sz="2" w:space="0" w:color="auto"/>
            </w:tcBorders>
          </w:tcPr>
          <w:p w14:paraId="6C5F31EF" w14:textId="77777777" w:rsidR="009F4766" w:rsidRPr="00DE12A3" w:rsidRDefault="009F4766" w:rsidP="00C917D6">
            <w:pPr>
              <w:pStyle w:val="NormalLeft"/>
            </w:pPr>
            <w:r w:rsidRPr="00DE12A3">
              <w:t>0</w:t>
            </w:r>
          </w:p>
        </w:tc>
      </w:tr>
      <w:tr w:rsidR="00DE12A3" w:rsidRPr="00DE12A3" w14:paraId="12623083" w14:textId="77777777" w:rsidTr="009F4766">
        <w:tc>
          <w:tcPr>
            <w:tcW w:w="1182" w:type="dxa"/>
            <w:tcBorders>
              <w:top w:val="single" w:sz="2" w:space="0" w:color="auto"/>
              <w:left w:val="single" w:sz="2" w:space="0" w:color="auto"/>
              <w:bottom w:val="single" w:sz="2" w:space="0" w:color="auto"/>
              <w:right w:val="single" w:sz="2" w:space="0" w:color="auto"/>
            </w:tcBorders>
          </w:tcPr>
          <w:p w14:paraId="24CC061F" w14:textId="77777777" w:rsidR="009F4766" w:rsidRPr="00DE12A3" w:rsidRDefault="009F4766" w:rsidP="00C917D6">
            <w:pPr>
              <w:pStyle w:val="NormalLeft"/>
            </w:pPr>
            <w:r w:rsidRPr="00DE12A3">
              <w:t>1227</w:t>
            </w:r>
          </w:p>
        </w:tc>
        <w:tc>
          <w:tcPr>
            <w:tcW w:w="2489" w:type="dxa"/>
            <w:tcBorders>
              <w:top w:val="single" w:sz="2" w:space="0" w:color="auto"/>
              <w:left w:val="single" w:sz="2" w:space="0" w:color="auto"/>
              <w:bottom w:val="single" w:sz="2" w:space="0" w:color="auto"/>
              <w:right w:val="single" w:sz="2" w:space="0" w:color="auto"/>
            </w:tcBorders>
          </w:tcPr>
          <w:p w14:paraId="421395A6" w14:textId="77777777" w:rsidR="009F4766" w:rsidRPr="00DE12A3" w:rsidRDefault="009F4766" w:rsidP="00C917D6">
            <w:pPr>
              <w:pStyle w:val="NormalLeft"/>
            </w:pPr>
            <w:r w:rsidRPr="00DE12A3">
              <w:t>0</w:t>
            </w:r>
          </w:p>
        </w:tc>
        <w:tc>
          <w:tcPr>
            <w:tcW w:w="2551" w:type="dxa"/>
            <w:tcBorders>
              <w:top w:val="single" w:sz="2" w:space="0" w:color="auto"/>
              <w:left w:val="single" w:sz="2" w:space="0" w:color="auto"/>
              <w:bottom w:val="single" w:sz="2" w:space="0" w:color="auto"/>
              <w:right w:val="single" w:sz="2" w:space="0" w:color="auto"/>
            </w:tcBorders>
          </w:tcPr>
          <w:p w14:paraId="0460D89A" w14:textId="77777777" w:rsidR="009F4766" w:rsidRPr="00DE12A3" w:rsidRDefault="009F4766" w:rsidP="00C917D6">
            <w:pPr>
              <w:pStyle w:val="NormalLeft"/>
            </w:pPr>
            <w:r w:rsidRPr="00DE12A3">
              <w:t>0</w:t>
            </w:r>
          </w:p>
        </w:tc>
      </w:tr>
      <w:tr w:rsidR="00DE12A3" w:rsidRPr="00DE12A3" w14:paraId="46871F71" w14:textId="77777777" w:rsidTr="009F4766">
        <w:tc>
          <w:tcPr>
            <w:tcW w:w="1182" w:type="dxa"/>
            <w:tcBorders>
              <w:top w:val="single" w:sz="2" w:space="0" w:color="auto"/>
              <w:left w:val="single" w:sz="2" w:space="0" w:color="auto"/>
              <w:bottom w:val="single" w:sz="2" w:space="0" w:color="auto"/>
              <w:right w:val="single" w:sz="2" w:space="0" w:color="auto"/>
            </w:tcBorders>
          </w:tcPr>
          <w:p w14:paraId="5BEBDDA4" w14:textId="77777777" w:rsidR="009F4766" w:rsidRPr="00DE12A3" w:rsidRDefault="009F4766" w:rsidP="00C917D6">
            <w:pPr>
              <w:pStyle w:val="NormalLeft"/>
            </w:pPr>
            <w:r w:rsidRPr="00DE12A3">
              <w:t>1228</w:t>
            </w:r>
          </w:p>
        </w:tc>
        <w:tc>
          <w:tcPr>
            <w:tcW w:w="2489" w:type="dxa"/>
            <w:tcBorders>
              <w:top w:val="single" w:sz="2" w:space="0" w:color="auto"/>
              <w:left w:val="single" w:sz="2" w:space="0" w:color="auto"/>
              <w:bottom w:val="single" w:sz="2" w:space="0" w:color="auto"/>
              <w:right w:val="single" w:sz="2" w:space="0" w:color="auto"/>
            </w:tcBorders>
          </w:tcPr>
          <w:p w14:paraId="02A2C46F" w14:textId="77777777" w:rsidR="009F4766" w:rsidRPr="00DE12A3" w:rsidRDefault="009F4766" w:rsidP="00C917D6">
            <w:pPr>
              <w:pStyle w:val="NormalLeft"/>
            </w:pPr>
            <w:r w:rsidRPr="00DE12A3">
              <w:t>0</w:t>
            </w:r>
          </w:p>
        </w:tc>
        <w:tc>
          <w:tcPr>
            <w:tcW w:w="2551" w:type="dxa"/>
            <w:tcBorders>
              <w:top w:val="single" w:sz="2" w:space="0" w:color="auto"/>
              <w:left w:val="single" w:sz="2" w:space="0" w:color="auto"/>
              <w:bottom w:val="single" w:sz="2" w:space="0" w:color="auto"/>
              <w:right w:val="single" w:sz="2" w:space="0" w:color="auto"/>
            </w:tcBorders>
          </w:tcPr>
          <w:p w14:paraId="3956805C" w14:textId="77777777" w:rsidR="009F4766" w:rsidRPr="00DE12A3" w:rsidRDefault="009F4766" w:rsidP="00C917D6">
            <w:pPr>
              <w:pStyle w:val="NormalLeft"/>
            </w:pPr>
            <w:r w:rsidRPr="00DE12A3">
              <w:t>0</w:t>
            </w:r>
          </w:p>
        </w:tc>
      </w:tr>
      <w:tr w:rsidR="00DE12A3" w:rsidRPr="00DE12A3" w14:paraId="083153D5" w14:textId="77777777" w:rsidTr="009F4766">
        <w:tc>
          <w:tcPr>
            <w:tcW w:w="1182" w:type="dxa"/>
            <w:tcBorders>
              <w:top w:val="single" w:sz="2" w:space="0" w:color="auto"/>
              <w:left w:val="single" w:sz="2" w:space="0" w:color="auto"/>
              <w:bottom w:val="single" w:sz="2" w:space="0" w:color="auto"/>
              <w:right w:val="single" w:sz="2" w:space="0" w:color="auto"/>
            </w:tcBorders>
          </w:tcPr>
          <w:p w14:paraId="48CE109C" w14:textId="77777777" w:rsidR="009F4766" w:rsidRPr="00DE12A3" w:rsidRDefault="009F4766" w:rsidP="00C917D6">
            <w:pPr>
              <w:pStyle w:val="NormalLeft"/>
            </w:pPr>
            <w:r w:rsidRPr="00DE12A3">
              <w:t>1229</w:t>
            </w:r>
          </w:p>
        </w:tc>
        <w:tc>
          <w:tcPr>
            <w:tcW w:w="2489" w:type="dxa"/>
            <w:tcBorders>
              <w:top w:val="single" w:sz="2" w:space="0" w:color="auto"/>
              <w:left w:val="single" w:sz="2" w:space="0" w:color="auto"/>
              <w:bottom w:val="single" w:sz="2" w:space="0" w:color="auto"/>
              <w:right w:val="single" w:sz="2" w:space="0" w:color="auto"/>
            </w:tcBorders>
          </w:tcPr>
          <w:p w14:paraId="2460135B" w14:textId="77777777" w:rsidR="009F4766" w:rsidRPr="00DE12A3" w:rsidRDefault="009F4766" w:rsidP="00C917D6">
            <w:pPr>
              <w:pStyle w:val="NormalLeft"/>
            </w:pPr>
            <w:r w:rsidRPr="00DE12A3">
              <w:t>0</w:t>
            </w:r>
          </w:p>
        </w:tc>
        <w:tc>
          <w:tcPr>
            <w:tcW w:w="2551" w:type="dxa"/>
            <w:tcBorders>
              <w:top w:val="single" w:sz="2" w:space="0" w:color="auto"/>
              <w:left w:val="single" w:sz="2" w:space="0" w:color="auto"/>
              <w:bottom w:val="single" w:sz="2" w:space="0" w:color="auto"/>
              <w:right w:val="single" w:sz="2" w:space="0" w:color="auto"/>
            </w:tcBorders>
          </w:tcPr>
          <w:p w14:paraId="14D34601" w14:textId="77777777" w:rsidR="009F4766" w:rsidRPr="00DE12A3" w:rsidRDefault="009F4766" w:rsidP="00C917D6">
            <w:pPr>
              <w:pStyle w:val="NormalLeft"/>
            </w:pPr>
            <w:r w:rsidRPr="00DE12A3">
              <w:t>0</w:t>
            </w:r>
          </w:p>
        </w:tc>
      </w:tr>
      <w:tr w:rsidR="00DE12A3" w:rsidRPr="00DE12A3" w14:paraId="575E1143" w14:textId="77777777" w:rsidTr="009F4766">
        <w:tc>
          <w:tcPr>
            <w:tcW w:w="1182" w:type="dxa"/>
            <w:tcBorders>
              <w:top w:val="single" w:sz="2" w:space="0" w:color="auto"/>
              <w:left w:val="single" w:sz="2" w:space="0" w:color="auto"/>
              <w:bottom w:val="single" w:sz="2" w:space="0" w:color="auto"/>
              <w:right w:val="single" w:sz="2" w:space="0" w:color="auto"/>
            </w:tcBorders>
          </w:tcPr>
          <w:p w14:paraId="6769C015" w14:textId="77777777" w:rsidR="009F4766" w:rsidRPr="00DE12A3" w:rsidRDefault="009F4766" w:rsidP="00C917D6">
            <w:pPr>
              <w:pStyle w:val="NormalLeft"/>
            </w:pPr>
            <w:r w:rsidRPr="00DE12A3">
              <w:t>1230</w:t>
            </w:r>
          </w:p>
        </w:tc>
        <w:tc>
          <w:tcPr>
            <w:tcW w:w="2489" w:type="dxa"/>
            <w:tcBorders>
              <w:top w:val="single" w:sz="2" w:space="0" w:color="auto"/>
              <w:left w:val="single" w:sz="2" w:space="0" w:color="auto"/>
              <w:bottom w:val="single" w:sz="2" w:space="0" w:color="auto"/>
              <w:right w:val="single" w:sz="2" w:space="0" w:color="auto"/>
            </w:tcBorders>
          </w:tcPr>
          <w:p w14:paraId="5EFADE30" w14:textId="77777777" w:rsidR="009F4766" w:rsidRPr="00DE12A3" w:rsidRDefault="009F4766" w:rsidP="00C917D6">
            <w:pPr>
              <w:pStyle w:val="NormalLeft"/>
            </w:pPr>
            <w:r w:rsidRPr="00DE12A3">
              <w:t>0</w:t>
            </w:r>
          </w:p>
        </w:tc>
        <w:tc>
          <w:tcPr>
            <w:tcW w:w="2551" w:type="dxa"/>
            <w:tcBorders>
              <w:top w:val="single" w:sz="2" w:space="0" w:color="auto"/>
              <w:left w:val="single" w:sz="2" w:space="0" w:color="auto"/>
              <w:bottom w:val="single" w:sz="2" w:space="0" w:color="auto"/>
              <w:right w:val="single" w:sz="2" w:space="0" w:color="auto"/>
            </w:tcBorders>
          </w:tcPr>
          <w:p w14:paraId="592ABB3E" w14:textId="77777777" w:rsidR="009F4766" w:rsidRPr="00DE12A3" w:rsidRDefault="009F4766" w:rsidP="00C917D6">
            <w:pPr>
              <w:pStyle w:val="NormalLeft"/>
            </w:pPr>
            <w:r w:rsidRPr="00DE12A3">
              <w:t>0</w:t>
            </w:r>
          </w:p>
        </w:tc>
      </w:tr>
      <w:tr w:rsidR="00DE12A3" w:rsidRPr="00DE12A3" w14:paraId="6674FA4A" w14:textId="77777777" w:rsidTr="009F4766">
        <w:tc>
          <w:tcPr>
            <w:tcW w:w="1182" w:type="dxa"/>
            <w:tcBorders>
              <w:top w:val="single" w:sz="2" w:space="0" w:color="auto"/>
              <w:left w:val="single" w:sz="2" w:space="0" w:color="auto"/>
              <w:bottom w:val="single" w:sz="2" w:space="0" w:color="auto"/>
              <w:right w:val="single" w:sz="2" w:space="0" w:color="auto"/>
            </w:tcBorders>
          </w:tcPr>
          <w:p w14:paraId="4EC92C14" w14:textId="77777777" w:rsidR="009F4766" w:rsidRPr="00DE12A3" w:rsidRDefault="009F4766" w:rsidP="00C917D6">
            <w:pPr>
              <w:pStyle w:val="NormalLeft"/>
            </w:pPr>
            <w:r w:rsidRPr="00DE12A3">
              <w:t>1231</w:t>
            </w:r>
          </w:p>
        </w:tc>
        <w:tc>
          <w:tcPr>
            <w:tcW w:w="2489" w:type="dxa"/>
            <w:tcBorders>
              <w:top w:val="single" w:sz="2" w:space="0" w:color="auto"/>
              <w:left w:val="single" w:sz="2" w:space="0" w:color="auto"/>
              <w:bottom w:val="single" w:sz="2" w:space="0" w:color="auto"/>
              <w:right w:val="single" w:sz="2" w:space="0" w:color="auto"/>
            </w:tcBorders>
          </w:tcPr>
          <w:p w14:paraId="16ACD4F5" w14:textId="77777777" w:rsidR="009F4766" w:rsidRPr="00DE12A3" w:rsidRDefault="009F4766" w:rsidP="00C917D6">
            <w:pPr>
              <w:pStyle w:val="NormalLeft"/>
            </w:pPr>
            <w:r w:rsidRPr="00DE12A3">
              <w:t>0</w:t>
            </w:r>
          </w:p>
        </w:tc>
        <w:tc>
          <w:tcPr>
            <w:tcW w:w="2551" w:type="dxa"/>
            <w:tcBorders>
              <w:top w:val="single" w:sz="2" w:space="0" w:color="auto"/>
              <w:left w:val="single" w:sz="2" w:space="0" w:color="auto"/>
              <w:bottom w:val="single" w:sz="2" w:space="0" w:color="auto"/>
              <w:right w:val="single" w:sz="2" w:space="0" w:color="auto"/>
            </w:tcBorders>
          </w:tcPr>
          <w:p w14:paraId="7F727EBC" w14:textId="77777777" w:rsidR="009F4766" w:rsidRPr="00DE12A3" w:rsidRDefault="009F4766" w:rsidP="00C917D6">
            <w:pPr>
              <w:pStyle w:val="NormalLeft"/>
            </w:pPr>
            <w:r w:rsidRPr="00DE12A3">
              <w:t>0</w:t>
            </w:r>
          </w:p>
        </w:tc>
      </w:tr>
      <w:tr w:rsidR="00DE12A3" w:rsidRPr="00DE12A3" w14:paraId="180397C7" w14:textId="77777777" w:rsidTr="009F4766">
        <w:tc>
          <w:tcPr>
            <w:tcW w:w="1182" w:type="dxa"/>
            <w:tcBorders>
              <w:top w:val="single" w:sz="2" w:space="0" w:color="auto"/>
              <w:left w:val="single" w:sz="2" w:space="0" w:color="auto"/>
              <w:bottom w:val="single" w:sz="2" w:space="0" w:color="auto"/>
              <w:right w:val="single" w:sz="2" w:space="0" w:color="auto"/>
            </w:tcBorders>
          </w:tcPr>
          <w:p w14:paraId="30B2DCCC" w14:textId="77777777" w:rsidR="009F4766" w:rsidRPr="00DE12A3" w:rsidRDefault="009F4766" w:rsidP="00C917D6">
            <w:pPr>
              <w:pStyle w:val="NormalLeft"/>
            </w:pPr>
            <w:r w:rsidRPr="00DE12A3">
              <w:t>1232</w:t>
            </w:r>
          </w:p>
        </w:tc>
        <w:tc>
          <w:tcPr>
            <w:tcW w:w="2489" w:type="dxa"/>
            <w:tcBorders>
              <w:top w:val="single" w:sz="2" w:space="0" w:color="auto"/>
              <w:left w:val="single" w:sz="2" w:space="0" w:color="auto"/>
              <w:bottom w:val="single" w:sz="2" w:space="0" w:color="auto"/>
              <w:right w:val="single" w:sz="2" w:space="0" w:color="auto"/>
            </w:tcBorders>
          </w:tcPr>
          <w:p w14:paraId="58CD57DF" w14:textId="77777777" w:rsidR="009F4766" w:rsidRPr="00DE12A3" w:rsidRDefault="009F4766" w:rsidP="00C917D6">
            <w:pPr>
              <w:pStyle w:val="NormalLeft"/>
            </w:pPr>
            <w:r w:rsidRPr="00DE12A3">
              <w:t>0</w:t>
            </w:r>
          </w:p>
        </w:tc>
        <w:tc>
          <w:tcPr>
            <w:tcW w:w="2551" w:type="dxa"/>
            <w:tcBorders>
              <w:top w:val="single" w:sz="2" w:space="0" w:color="auto"/>
              <w:left w:val="single" w:sz="2" w:space="0" w:color="auto"/>
              <w:bottom w:val="single" w:sz="2" w:space="0" w:color="auto"/>
              <w:right w:val="single" w:sz="2" w:space="0" w:color="auto"/>
            </w:tcBorders>
          </w:tcPr>
          <w:p w14:paraId="58B0F714" w14:textId="77777777" w:rsidR="009F4766" w:rsidRPr="00DE12A3" w:rsidRDefault="009F4766" w:rsidP="00C917D6">
            <w:pPr>
              <w:pStyle w:val="NormalLeft"/>
            </w:pPr>
            <w:r w:rsidRPr="00DE12A3">
              <w:t>0</w:t>
            </w:r>
          </w:p>
        </w:tc>
      </w:tr>
      <w:tr w:rsidR="00DE12A3" w:rsidRPr="00DE12A3" w14:paraId="09804EE6" w14:textId="77777777" w:rsidTr="009F4766">
        <w:tc>
          <w:tcPr>
            <w:tcW w:w="1182" w:type="dxa"/>
            <w:tcBorders>
              <w:top w:val="single" w:sz="2" w:space="0" w:color="auto"/>
              <w:left w:val="single" w:sz="2" w:space="0" w:color="auto"/>
              <w:bottom w:val="single" w:sz="2" w:space="0" w:color="auto"/>
              <w:right w:val="single" w:sz="2" w:space="0" w:color="auto"/>
            </w:tcBorders>
          </w:tcPr>
          <w:p w14:paraId="5CE27B24" w14:textId="77777777" w:rsidR="009F4766" w:rsidRPr="00DE12A3" w:rsidRDefault="009F4766" w:rsidP="00C917D6">
            <w:pPr>
              <w:pStyle w:val="NormalLeft"/>
            </w:pPr>
            <w:r w:rsidRPr="00DE12A3">
              <w:t>1233</w:t>
            </w:r>
          </w:p>
        </w:tc>
        <w:tc>
          <w:tcPr>
            <w:tcW w:w="2489" w:type="dxa"/>
            <w:tcBorders>
              <w:top w:val="single" w:sz="2" w:space="0" w:color="auto"/>
              <w:left w:val="single" w:sz="2" w:space="0" w:color="auto"/>
              <w:bottom w:val="single" w:sz="2" w:space="0" w:color="auto"/>
              <w:right w:val="single" w:sz="2" w:space="0" w:color="auto"/>
            </w:tcBorders>
          </w:tcPr>
          <w:p w14:paraId="779B09B6" w14:textId="77777777" w:rsidR="009F4766" w:rsidRPr="00DE12A3" w:rsidRDefault="009F4766" w:rsidP="00C917D6">
            <w:pPr>
              <w:pStyle w:val="NormalLeft"/>
            </w:pPr>
            <w:r w:rsidRPr="00DE12A3">
              <w:t>0</w:t>
            </w:r>
          </w:p>
        </w:tc>
        <w:tc>
          <w:tcPr>
            <w:tcW w:w="2551" w:type="dxa"/>
            <w:tcBorders>
              <w:top w:val="single" w:sz="2" w:space="0" w:color="auto"/>
              <w:left w:val="single" w:sz="2" w:space="0" w:color="auto"/>
              <w:bottom w:val="single" w:sz="2" w:space="0" w:color="auto"/>
              <w:right w:val="single" w:sz="2" w:space="0" w:color="auto"/>
            </w:tcBorders>
          </w:tcPr>
          <w:p w14:paraId="11D09211" w14:textId="77777777" w:rsidR="009F4766" w:rsidRPr="00DE12A3" w:rsidRDefault="009F4766" w:rsidP="00C917D6">
            <w:pPr>
              <w:pStyle w:val="NormalLeft"/>
            </w:pPr>
            <w:r w:rsidRPr="00DE12A3">
              <w:t>0</w:t>
            </w:r>
          </w:p>
        </w:tc>
      </w:tr>
      <w:tr w:rsidR="00DE12A3" w:rsidRPr="00DE12A3" w14:paraId="000D84DF" w14:textId="77777777" w:rsidTr="009F4766">
        <w:tc>
          <w:tcPr>
            <w:tcW w:w="1182" w:type="dxa"/>
            <w:tcBorders>
              <w:top w:val="single" w:sz="2" w:space="0" w:color="auto"/>
              <w:left w:val="single" w:sz="2" w:space="0" w:color="auto"/>
              <w:bottom w:val="single" w:sz="2" w:space="0" w:color="auto"/>
              <w:right w:val="single" w:sz="2" w:space="0" w:color="auto"/>
            </w:tcBorders>
          </w:tcPr>
          <w:p w14:paraId="1A5F944A" w14:textId="77777777" w:rsidR="009F4766" w:rsidRPr="00DE12A3" w:rsidRDefault="009F4766" w:rsidP="00C917D6">
            <w:pPr>
              <w:pStyle w:val="NormalLeft"/>
            </w:pPr>
            <w:r w:rsidRPr="00DE12A3">
              <w:t>1234</w:t>
            </w:r>
          </w:p>
        </w:tc>
        <w:tc>
          <w:tcPr>
            <w:tcW w:w="2489" w:type="dxa"/>
            <w:tcBorders>
              <w:top w:val="single" w:sz="2" w:space="0" w:color="auto"/>
              <w:left w:val="single" w:sz="2" w:space="0" w:color="auto"/>
              <w:bottom w:val="single" w:sz="2" w:space="0" w:color="auto"/>
              <w:right w:val="single" w:sz="2" w:space="0" w:color="auto"/>
            </w:tcBorders>
          </w:tcPr>
          <w:p w14:paraId="5FC8A057" w14:textId="77777777" w:rsidR="009F4766" w:rsidRPr="00DE12A3" w:rsidRDefault="009F4766" w:rsidP="00C917D6">
            <w:pPr>
              <w:pStyle w:val="NormalLeft"/>
            </w:pPr>
            <w:r w:rsidRPr="00DE12A3">
              <w:t>0</w:t>
            </w:r>
          </w:p>
        </w:tc>
        <w:tc>
          <w:tcPr>
            <w:tcW w:w="2551" w:type="dxa"/>
            <w:tcBorders>
              <w:top w:val="single" w:sz="2" w:space="0" w:color="auto"/>
              <w:left w:val="single" w:sz="2" w:space="0" w:color="auto"/>
              <w:bottom w:val="single" w:sz="2" w:space="0" w:color="auto"/>
              <w:right w:val="single" w:sz="2" w:space="0" w:color="auto"/>
            </w:tcBorders>
          </w:tcPr>
          <w:p w14:paraId="2EBC120F" w14:textId="77777777" w:rsidR="009F4766" w:rsidRPr="00DE12A3" w:rsidRDefault="009F4766" w:rsidP="00C917D6">
            <w:pPr>
              <w:pStyle w:val="NormalLeft"/>
            </w:pPr>
            <w:r w:rsidRPr="00DE12A3">
              <w:t>0</w:t>
            </w:r>
          </w:p>
        </w:tc>
      </w:tr>
      <w:tr w:rsidR="00DE12A3" w:rsidRPr="00DE12A3" w14:paraId="255EFCC4" w14:textId="77777777" w:rsidTr="009F4766">
        <w:tc>
          <w:tcPr>
            <w:tcW w:w="1182" w:type="dxa"/>
            <w:tcBorders>
              <w:top w:val="single" w:sz="2" w:space="0" w:color="auto"/>
              <w:left w:val="single" w:sz="2" w:space="0" w:color="auto"/>
              <w:bottom w:val="single" w:sz="2" w:space="0" w:color="auto"/>
              <w:right w:val="single" w:sz="2" w:space="0" w:color="auto"/>
            </w:tcBorders>
          </w:tcPr>
          <w:p w14:paraId="21AF1410" w14:textId="77777777" w:rsidR="009F4766" w:rsidRPr="00DE12A3" w:rsidRDefault="009F4766" w:rsidP="00C917D6">
            <w:pPr>
              <w:pStyle w:val="NormalLeft"/>
            </w:pPr>
            <w:r w:rsidRPr="00DE12A3">
              <w:t>1235</w:t>
            </w:r>
          </w:p>
        </w:tc>
        <w:tc>
          <w:tcPr>
            <w:tcW w:w="2489" w:type="dxa"/>
            <w:tcBorders>
              <w:top w:val="single" w:sz="2" w:space="0" w:color="auto"/>
              <w:left w:val="single" w:sz="2" w:space="0" w:color="auto"/>
              <w:bottom w:val="single" w:sz="2" w:space="0" w:color="auto"/>
              <w:right w:val="single" w:sz="2" w:space="0" w:color="auto"/>
            </w:tcBorders>
          </w:tcPr>
          <w:p w14:paraId="54A1745E" w14:textId="77777777" w:rsidR="009F4766" w:rsidRPr="00DE12A3" w:rsidRDefault="009F4766" w:rsidP="00C917D6">
            <w:pPr>
              <w:pStyle w:val="NormalLeft"/>
            </w:pPr>
            <w:r w:rsidRPr="00DE12A3">
              <w:t>0</w:t>
            </w:r>
          </w:p>
        </w:tc>
        <w:tc>
          <w:tcPr>
            <w:tcW w:w="2551" w:type="dxa"/>
            <w:tcBorders>
              <w:top w:val="single" w:sz="2" w:space="0" w:color="auto"/>
              <w:left w:val="single" w:sz="2" w:space="0" w:color="auto"/>
              <w:bottom w:val="single" w:sz="2" w:space="0" w:color="auto"/>
              <w:right w:val="single" w:sz="2" w:space="0" w:color="auto"/>
            </w:tcBorders>
          </w:tcPr>
          <w:p w14:paraId="50FA175C" w14:textId="77777777" w:rsidR="009F4766" w:rsidRPr="00DE12A3" w:rsidRDefault="009F4766" w:rsidP="00C917D6">
            <w:pPr>
              <w:pStyle w:val="NormalLeft"/>
            </w:pPr>
            <w:r w:rsidRPr="00DE12A3">
              <w:t>0</w:t>
            </w:r>
          </w:p>
        </w:tc>
      </w:tr>
      <w:tr w:rsidR="00DE12A3" w:rsidRPr="00DE12A3" w14:paraId="087E0505" w14:textId="77777777" w:rsidTr="009F4766">
        <w:tc>
          <w:tcPr>
            <w:tcW w:w="1182" w:type="dxa"/>
            <w:tcBorders>
              <w:top w:val="single" w:sz="2" w:space="0" w:color="auto"/>
              <w:left w:val="single" w:sz="2" w:space="0" w:color="auto"/>
              <w:bottom w:val="single" w:sz="2" w:space="0" w:color="auto"/>
              <w:right w:val="single" w:sz="2" w:space="0" w:color="auto"/>
            </w:tcBorders>
          </w:tcPr>
          <w:p w14:paraId="4813A499" w14:textId="77777777" w:rsidR="009F4766" w:rsidRPr="00DE12A3" w:rsidRDefault="009F4766" w:rsidP="00C917D6">
            <w:pPr>
              <w:pStyle w:val="NormalLeft"/>
            </w:pPr>
            <w:r w:rsidRPr="00DE12A3">
              <w:t>1236</w:t>
            </w:r>
          </w:p>
        </w:tc>
        <w:tc>
          <w:tcPr>
            <w:tcW w:w="2489" w:type="dxa"/>
            <w:tcBorders>
              <w:top w:val="single" w:sz="2" w:space="0" w:color="auto"/>
              <w:left w:val="single" w:sz="2" w:space="0" w:color="auto"/>
              <w:bottom w:val="single" w:sz="2" w:space="0" w:color="auto"/>
              <w:right w:val="single" w:sz="2" w:space="0" w:color="auto"/>
            </w:tcBorders>
          </w:tcPr>
          <w:p w14:paraId="349E60AB" w14:textId="77777777" w:rsidR="009F4766" w:rsidRPr="00DE12A3" w:rsidRDefault="009F4766" w:rsidP="00C917D6">
            <w:pPr>
              <w:pStyle w:val="NormalLeft"/>
            </w:pPr>
            <w:r w:rsidRPr="00DE12A3">
              <w:t>0</w:t>
            </w:r>
          </w:p>
        </w:tc>
        <w:tc>
          <w:tcPr>
            <w:tcW w:w="2551" w:type="dxa"/>
            <w:tcBorders>
              <w:top w:val="single" w:sz="2" w:space="0" w:color="auto"/>
              <w:left w:val="single" w:sz="2" w:space="0" w:color="auto"/>
              <w:bottom w:val="single" w:sz="2" w:space="0" w:color="auto"/>
              <w:right w:val="single" w:sz="2" w:space="0" w:color="auto"/>
            </w:tcBorders>
          </w:tcPr>
          <w:p w14:paraId="3AEF46DB" w14:textId="77777777" w:rsidR="009F4766" w:rsidRPr="00DE12A3" w:rsidRDefault="009F4766" w:rsidP="00C917D6">
            <w:pPr>
              <w:pStyle w:val="NormalLeft"/>
            </w:pPr>
            <w:r w:rsidRPr="00DE12A3">
              <w:t>0</w:t>
            </w:r>
          </w:p>
        </w:tc>
      </w:tr>
      <w:tr w:rsidR="00DE12A3" w:rsidRPr="00DE12A3" w14:paraId="305A409B" w14:textId="77777777" w:rsidTr="009F4766">
        <w:tc>
          <w:tcPr>
            <w:tcW w:w="1182" w:type="dxa"/>
            <w:tcBorders>
              <w:top w:val="single" w:sz="2" w:space="0" w:color="auto"/>
              <w:left w:val="single" w:sz="2" w:space="0" w:color="auto"/>
              <w:bottom w:val="single" w:sz="2" w:space="0" w:color="auto"/>
              <w:right w:val="single" w:sz="2" w:space="0" w:color="auto"/>
            </w:tcBorders>
          </w:tcPr>
          <w:p w14:paraId="659352E7" w14:textId="77777777" w:rsidR="009F4766" w:rsidRPr="00DE12A3" w:rsidRDefault="009F4766" w:rsidP="00C917D6">
            <w:pPr>
              <w:pStyle w:val="NormalLeft"/>
            </w:pPr>
            <w:r w:rsidRPr="00DE12A3">
              <w:t>1237</w:t>
            </w:r>
          </w:p>
        </w:tc>
        <w:tc>
          <w:tcPr>
            <w:tcW w:w="2489" w:type="dxa"/>
            <w:tcBorders>
              <w:top w:val="single" w:sz="2" w:space="0" w:color="auto"/>
              <w:left w:val="single" w:sz="2" w:space="0" w:color="auto"/>
              <w:bottom w:val="single" w:sz="2" w:space="0" w:color="auto"/>
              <w:right w:val="single" w:sz="2" w:space="0" w:color="auto"/>
            </w:tcBorders>
          </w:tcPr>
          <w:p w14:paraId="5FE049B3" w14:textId="77777777" w:rsidR="009F4766" w:rsidRPr="00DE12A3" w:rsidRDefault="009F4766" w:rsidP="00C917D6">
            <w:pPr>
              <w:pStyle w:val="NormalLeft"/>
            </w:pPr>
            <w:r w:rsidRPr="00DE12A3">
              <w:t>0</w:t>
            </w:r>
          </w:p>
        </w:tc>
        <w:tc>
          <w:tcPr>
            <w:tcW w:w="2551" w:type="dxa"/>
            <w:tcBorders>
              <w:top w:val="single" w:sz="2" w:space="0" w:color="auto"/>
              <w:left w:val="single" w:sz="2" w:space="0" w:color="auto"/>
              <w:bottom w:val="single" w:sz="2" w:space="0" w:color="auto"/>
              <w:right w:val="single" w:sz="2" w:space="0" w:color="auto"/>
            </w:tcBorders>
          </w:tcPr>
          <w:p w14:paraId="3A783371" w14:textId="77777777" w:rsidR="009F4766" w:rsidRPr="00DE12A3" w:rsidRDefault="009F4766" w:rsidP="00C917D6">
            <w:pPr>
              <w:pStyle w:val="NormalLeft"/>
            </w:pPr>
            <w:r w:rsidRPr="00DE12A3">
              <w:t>0</w:t>
            </w:r>
          </w:p>
        </w:tc>
      </w:tr>
      <w:tr w:rsidR="009F4766" w:rsidRPr="00DE12A3" w14:paraId="7688A48F" w14:textId="77777777" w:rsidTr="009F4766">
        <w:tc>
          <w:tcPr>
            <w:tcW w:w="1182" w:type="dxa"/>
            <w:tcBorders>
              <w:top w:val="single" w:sz="2" w:space="0" w:color="auto"/>
              <w:left w:val="single" w:sz="2" w:space="0" w:color="auto"/>
              <w:bottom w:val="single" w:sz="2" w:space="0" w:color="auto"/>
              <w:right w:val="single" w:sz="2" w:space="0" w:color="auto"/>
            </w:tcBorders>
          </w:tcPr>
          <w:p w14:paraId="116D49E3" w14:textId="77777777" w:rsidR="009F4766" w:rsidRPr="00DE12A3" w:rsidRDefault="009F4766" w:rsidP="00C917D6">
            <w:pPr>
              <w:pStyle w:val="NormalLeft"/>
            </w:pPr>
            <w:r w:rsidRPr="00DE12A3">
              <w:t>1238</w:t>
            </w:r>
          </w:p>
        </w:tc>
        <w:tc>
          <w:tcPr>
            <w:tcW w:w="2489" w:type="dxa"/>
            <w:tcBorders>
              <w:top w:val="single" w:sz="2" w:space="0" w:color="auto"/>
              <w:left w:val="single" w:sz="2" w:space="0" w:color="auto"/>
              <w:bottom w:val="single" w:sz="2" w:space="0" w:color="auto"/>
              <w:right w:val="single" w:sz="2" w:space="0" w:color="auto"/>
            </w:tcBorders>
          </w:tcPr>
          <w:p w14:paraId="28B83932" w14:textId="77777777" w:rsidR="009F4766" w:rsidRPr="00DE12A3" w:rsidRDefault="009F4766" w:rsidP="00C917D6">
            <w:pPr>
              <w:pStyle w:val="NormalLeft"/>
            </w:pPr>
            <w:r w:rsidRPr="00DE12A3">
              <w:t>0</w:t>
            </w:r>
          </w:p>
        </w:tc>
        <w:tc>
          <w:tcPr>
            <w:tcW w:w="2551" w:type="dxa"/>
            <w:tcBorders>
              <w:top w:val="single" w:sz="2" w:space="0" w:color="auto"/>
              <w:left w:val="single" w:sz="2" w:space="0" w:color="auto"/>
              <w:bottom w:val="single" w:sz="2" w:space="0" w:color="auto"/>
              <w:right w:val="single" w:sz="2" w:space="0" w:color="auto"/>
            </w:tcBorders>
          </w:tcPr>
          <w:p w14:paraId="3E7701B0" w14:textId="77777777" w:rsidR="009F4766" w:rsidRPr="00DE12A3" w:rsidRDefault="009F4766" w:rsidP="00C917D6">
            <w:pPr>
              <w:pStyle w:val="NormalLeft"/>
            </w:pPr>
            <w:r w:rsidRPr="00DE12A3">
              <w:t>0</w:t>
            </w:r>
          </w:p>
        </w:tc>
      </w:tr>
    </w:tbl>
    <w:p w14:paraId="731E0A2B" w14:textId="77777777" w:rsidR="009F4766" w:rsidRPr="00DE12A3" w:rsidRDefault="009F4766" w:rsidP="00C917D6">
      <w:pPr>
        <w:spacing w:before="120" w:after="120"/>
        <w:rPr>
          <w:rFonts w:cs="Times New Roman"/>
          <w:color w:val="auto"/>
        </w:rPr>
      </w:pPr>
    </w:p>
    <w:p w14:paraId="6278F626" w14:textId="77777777" w:rsidR="009F4766" w:rsidRPr="00DE12A3" w:rsidRDefault="009F4766" w:rsidP="00051047">
      <w:pPr>
        <w:jc w:val="center"/>
        <w:rPr>
          <w:b/>
          <w:i/>
          <w:color w:val="auto"/>
        </w:rPr>
      </w:pPr>
      <w:r w:rsidRPr="00DE12A3">
        <w:rPr>
          <w:b/>
          <w:i/>
          <w:color w:val="auto"/>
        </w:rPr>
        <w:t>LSI-NRTC engine dynamometer schedule</w:t>
      </w:r>
    </w:p>
    <w:tbl>
      <w:tblPr>
        <w:tblW w:w="0" w:type="auto"/>
        <w:tblInd w:w="1532" w:type="dxa"/>
        <w:tblLayout w:type="fixed"/>
        <w:tblLook w:val="0000" w:firstRow="0" w:lastRow="0" w:firstColumn="0" w:lastColumn="0" w:noHBand="0" w:noVBand="0"/>
      </w:tblPr>
      <w:tblGrid>
        <w:gridCol w:w="1182"/>
        <w:gridCol w:w="2489"/>
        <w:gridCol w:w="2551"/>
      </w:tblGrid>
      <w:tr w:rsidR="00DE12A3" w:rsidRPr="00DE12A3" w14:paraId="2A868D0B" w14:textId="77777777" w:rsidTr="009F4766">
        <w:tc>
          <w:tcPr>
            <w:tcW w:w="1182" w:type="dxa"/>
            <w:tcBorders>
              <w:top w:val="single" w:sz="2" w:space="0" w:color="auto"/>
              <w:left w:val="single" w:sz="2" w:space="0" w:color="auto"/>
              <w:bottom w:val="single" w:sz="2" w:space="0" w:color="auto"/>
              <w:right w:val="single" w:sz="2" w:space="0" w:color="auto"/>
            </w:tcBorders>
          </w:tcPr>
          <w:p w14:paraId="55880A9C" w14:textId="77777777" w:rsidR="009F4766" w:rsidRPr="00DE12A3" w:rsidRDefault="009F4766" w:rsidP="00C917D6">
            <w:pPr>
              <w:pStyle w:val="NormalCentered"/>
            </w:pPr>
            <w:r w:rsidRPr="00DE12A3">
              <w:t>Time (s)</w:t>
            </w:r>
          </w:p>
        </w:tc>
        <w:tc>
          <w:tcPr>
            <w:tcW w:w="2489" w:type="dxa"/>
            <w:tcBorders>
              <w:top w:val="single" w:sz="2" w:space="0" w:color="auto"/>
              <w:left w:val="single" w:sz="2" w:space="0" w:color="auto"/>
              <w:bottom w:val="single" w:sz="2" w:space="0" w:color="auto"/>
              <w:right w:val="single" w:sz="2" w:space="0" w:color="auto"/>
            </w:tcBorders>
          </w:tcPr>
          <w:p w14:paraId="5F0BF7B5" w14:textId="77777777" w:rsidR="009F4766" w:rsidRPr="00DE12A3" w:rsidRDefault="009F4766" w:rsidP="00C917D6">
            <w:pPr>
              <w:pStyle w:val="NormalCentered"/>
            </w:pPr>
            <w:r w:rsidRPr="00DE12A3">
              <w:t>Normalized speed (%)</w:t>
            </w:r>
          </w:p>
        </w:tc>
        <w:tc>
          <w:tcPr>
            <w:tcW w:w="2551" w:type="dxa"/>
            <w:tcBorders>
              <w:top w:val="single" w:sz="2" w:space="0" w:color="auto"/>
              <w:left w:val="single" w:sz="2" w:space="0" w:color="auto"/>
              <w:bottom w:val="single" w:sz="2" w:space="0" w:color="auto"/>
              <w:right w:val="single" w:sz="2" w:space="0" w:color="auto"/>
            </w:tcBorders>
          </w:tcPr>
          <w:p w14:paraId="692AD050" w14:textId="77777777" w:rsidR="009F4766" w:rsidRPr="00DE12A3" w:rsidRDefault="009F4766" w:rsidP="00C917D6">
            <w:pPr>
              <w:pStyle w:val="NormalCentered"/>
            </w:pPr>
            <w:r w:rsidRPr="00DE12A3">
              <w:t>Normalized torque (%)</w:t>
            </w:r>
          </w:p>
        </w:tc>
      </w:tr>
      <w:tr w:rsidR="00DE12A3" w:rsidRPr="00DE12A3" w14:paraId="11A1792F" w14:textId="77777777" w:rsidTr="009F4766">
        <w:tc>
          <w:tcPr>
            <w:tcW w:w="1182" w:type="dxa"/>
            <w:tcBorders>
              <w:top w:val="single" w:sz="2" w:space="0" w:color="auto"/>
              <w:left w:val="single" w:sz="2" w:space="0" w:color="auto"/>
              <w:bottom w:val="single" w:sz="2" w:space="0" w:color="auto"/>
              <w:right w:val="single" w:sz="2" w:space="0" w:color="auto"/>
            </w:tcBorders>
          </w:tcPr>
          <w:p w14:paraId="06DD9BC4" w14:textId="77777777" w:rsidR="009F4766" w:rsidRPr="00DE12A3" w:rsidRDefault="009F4766" w:rsidP="00C917D6">
            <w:pPr>
              <w:pStyle w:val="NormalLeft"/>
            </w:pPr>
            <w:r w:rsidRPr="00DE12A3">
              <w:t>0</w:t>
            </w:r>
          </w:p>
        </w:tc>
        <w:tc>
          <w:tcPr>
            <w:tcW w:w="2489" w:type="dxa"/>
            <w:tcBorders>
              <w:top w:val="single" w:sz="2" w:space="0" w:color="auto"/>
              <w:left w:val="single" w:sz="2" w:space="0" w:color="auto"/>
              <w:bottom w:val="single" w:sz="2" w:space="0" w:color="auto"/>
              <w:right w:val="single" w:sz="2" w:space="0" w:color="auto"/>
            </w:tcBorders>
          </w:tcPr>
          <w:p w14:paraId="7EAD6D97" w14:textId="77777777" w:rsidR="009F4766" w:rsidRPr="00DE12A3" w:rsidRDefault="009F4766" w:rsidP="00C917D6">
            <w:pPr>
              <w:pStyle w:val="NormalLeft"/>
            </w:pPr>
            <w:r w:rsidRPr="00DE12A3">
              <w:t>0</w:t>
            </w:r>
          </w:p>
        </w:tc>
        <w:tc>
          <w:tcPr>
            <w:tcW w:w="2551" w:type="dxa"/>
            <w:tcBorders>
              <w:top w:val="single" w:sz="2" w:space="0" w:color="auto"/>
              <w:left w:val="single" w:sz="2" w:space="0" w:color="auto"/>
              <w:bottom w:val="single" w:sz="2" w:space="0" w:color="auto"/>
              <w:right w:val="single" w:sz="2" w:space="0" w:color="auto"/>
            </w:tcBorders>
          </w:tcPr>
          <w:p w14:paraId="5E522D52" w14:textId="77777777" w:rsidR="009F4766" w:rsidRPr="00DE12A3" w:rsidRDefault="009F4766" w:rsidP="00C917D6">
            <w:pPr>
              <w:pStyle w:val="NormalLeft"/>
            </w:pPr>
            <w:r w:rsidRPr="00DE12A3">
              <w:t>0</w:t>
            </w:r>
          </w:p>
        </w:tc>
      </w:tr>
      <w:tr w:rsidR="00DE12A3" w:rsidRPr="00DE12A3" w14:paraId="4A0C0209" w14:textId="77777777" w:rsidTr="009F4766">
        <w:tc>
          <w:tcPr>
            <w:tcW w:w="1182" w:type="dxa"/>
            <w:tcBorders>
              <w:top w:val="single" w:sz="2" w:space="0" w:color="auto"/>
              <w:left w:val="single" w:sz="2" w:space="0" w:color="auto"/>
              <w:bottom w:val="single" w:sz="2" w:space="0" w:color="auto"/>
              <w:right w:val="single" w:sz="2" w:space="0" w:color="auto"/>
            </w:tcBorders>
          </w:tcPr>
          <w:p w14:paraId="7AB2C41B" w14:textId="77777777" w:rsidR="009F4766" w:rsidRPr="00DE12A3" w:rsidRDefault="009F4766" w:rsidP="00C917D6">
            <w:pPr>
              <w:pStyle w:val="NormalLeft"/>
            </w:pPr>
            <w:r w:rsidRPr="00DE12A3">
              <w:t>1</w:t>
            </w:r>
          </w:p>
        </w:tc>
        <w:tc>
          <w:tcPr>
            <w:tcW w:w="2489" w:type="dxa"/>
            <w:tcBorders>
              <w:top w:val="single" w:sz="2" w:space="0" w:color="auto"/>
              <w:left w:val="single" w:sz="2" w:space="0" w:color="auto"/>
              <w:bottom w:val="single" w:sz="2" w:space="0" w:color="auto"/>
              <w:right w:val="single" w:sz="2" w:space="0" w:color="auto"/>
            </w:tcBorders>
          </w:tcPr>
          <w:p w14:paraId="371A3D50" w14:textId="77777777" w:rsidR="009F4766" w:rsidRPr="00DE12A3" w:rsidRDefault="009F4766" w:rsidP="00C917D6">
            <w:pPr>
              <w:pStyle w:val="NormalLeft"/>
            </w:pPr>
            <w:r w:rsidRPr="00DE12A3">
              <w:t>0</w:t>
            </w:r>
          </w:p>
        </w:tc>
        <w:tc>
          <w:tcPr>
            <w:tcW w:w="2551" w:type="dxa"/>
            <w:tcBorders>
              <w:top w:val="single" w:sz="2" w:space="0" w:color="auto"/>
              <w:left w:val="single" w:sz="2" w:space="0" w:color="auto"/>
              <w:bottom w:val="single" w:sz="2" w:space="0" w:color="auto"/>
              <w:right w:val="single" w:sz="2" w:space="0" w:color="auto"/>
            </w:tcBorders>
          </w:tcPr>
          <w:p w14:paraId="04AF097F" w14:textId="77777777" w:rsidR="009F4766" w:rsidRPr="00DE12A3" w:rsidRDefault="009F4766" w:rsidP="00C917D6">
            <w:pPr>
              <w:pStyle w:val="NormalLeft"/>
            </w:pPr>
            <w:r w:rsidRPr="00DE12A3">
              <w:t>0</w:t>
            </w:r>
          </w:p>
        </w:tc>
      </w:tr>
      <w:tr w:rsidR="00DE12A3" w:rsidRPr="00DE12A3" w14:paraId="006FF5E4" w14:textId="77777777" w:rsidTr="009F4766">
        <w:tc>
          <w:tcPr>
            <w:tcW w:w="1182" w:type="dxa"/>
            <w:tcBorders>
              <w:top w:val="single" w:sz="2" w:space="0" w:color="auto"/>
              <w:left w:val="single" w:sz="2" w:space="0" w:color="auto"/>
              <w:bottom w:val="single" w:sz="2" w:space="0" w:color="auto"/>
              <w:right w:val="single" w:sz="2" w:space="0" w:color="auto"/>
            </w:tcBorders>
          </w:tcPr>
          <w:p w14:paraId="49B6F640" w14:textId="77777777" w:rsidR="009F4766" w:rsidRPr="00DE12A3" w:rsidRDefault="009F4766" w:rsidP="00C917D6">
            <w:pPr>
              <w:pStyle w:val="NormalLeft"/>
            </w:pPr>
            <w:r w:rsidRPr="00DE12A3">
              <w:t>2</w:t>
            </w:r>
          </w:p>
        </w:tc>
        <w:tc>
          <w:tcPr>
            <w:tcW w:w="2489" w:type="dxa"/>
            <w:tcBorders>
              <w:top w:val="single" w:sz="2" w:space="0" w:color="auto"/>
              <w:left w:val="single" w:sz="2" w:space="0" w:color="auto"/>
              <w:bottom w:val="single" w:sz="2" w:space="0" w:color="auto"/>
              <w:right w:val="single" w:sz="2" w:space="0" w:color="auto"/>
            </w:tcBorders>
          </w:tcPr>
          <w:p w14:paraId="0B11CD12" w14:textId="77777777" w:rsidR="009F4766" w:rsidRPr="00DE12A3" w:rsidRDefault="009F4766" w:rsidP="00C917D6">
            <w:pPr>
              <w:pStyle w:val="NormalLeft"/>
            </w:pPr>
            <w:r w:rsidRPr="00DE12A3">
              <w:t>0</w:t>
            </w:r>
          </w:p>
        </w:tc>
        <w:tc>
          <w:tcPr>
            <w:tcW w:w="2551" w:type="dxa"/>
            <w:tcBorders>
              <w:top w:val="single" w:sz="2" w:space="0" w:color="auto"/>
              <w:left w:val="single" w:sz="2" w:space="0" w:color="auto"/>
              <w:bottom w:val="single" w:sz="2" w:space="0" w:color="auto"/>
              <w:right w:val="single" w:sz="2" w:space="0" w:color="auto"/>
            </w:tcBorders>
          </w:tcPr>
          <w:p w14:paraId="44F4DA85" w14:textId="77777777" w:rsidR="009F4766" w:rsidRPr="00DE12A3" w:rsidRDefault="009F4766" w:rsidP="00C917D6">
            <w:pPr>
              <w:pStyle w:val="NormalLeft"/>
            </w:pPr>
            <w:r w:rsidRPr="00DE12A3">
              <w:t>0</w:t>
            </w:r>
          </w:p>
        </w:tc>
      </w:tr>
      <w:tr w:rsidR="00DE12A3" w:rsidRPr="00DE12A3" w14:paraId="2A4D7989" w14:textId="77777777" w:rsidTr="009F4766">
        <w:tc>
          <w:tcPr>
            <w:tcW w:w="1182" w:type="dxa"/>
            <w:tcBorders>
              <w:top w:val="single" w:sz="2" w:space="0" w:color="auto"/>
              <w:left w:val="single" w:sz="2" w:space="0" w:color="auto"/>
              <w:bottom w:val="single" w:sz="2" w:space="0" w:color="auto"/>
              <w:right w:val="single" w:sz="2" w:space="0" w:color="auto"/>
            </w:tcBorders>
          </w:tcPr>
          <w:p w14:paraId="6238C993" w14:textId="77777777" w:rsidR="009F4766" w:rsidRPr="00DE12A3" w:rsidRDefault="009F4766" w:rsidP="00C917D6">
            <w:pPr>
              <w:pStyle w:val="NormalLeft"/>
            </w:pPr>
            <w:r w:rsidRPr="00DE12A3">
              <w:lastRenderedPageBreak/>
              <w:t>3</w:t>
            </w:r>
          </w:p>
        </w:tc>
        <w:tc>
          <w:tcPr>
            <w:tcW w:w="2489" w:type="dxa"/>
            <w:tcBorders>
              <w:top w:val="single" w:sz="2" w:space="0" w:color="auto"/>
              <w:left w:val="single" w:sz="2" w:space="0" w:color="auto"/>
              <w:bottom w:val="single" w:sz="2" w:space="0" w:color="auto"/>
              <w:right w:val="single" w:sz="2" w:space="0" w:color="auto"/>
            </w:tcBorders>
          </w:tcPr>
          <w:p w14:paraId="3799EA84" w14:textId="77777777" w:rsidR="009F4766" w:rsidRPr="00DE12A3" w:rsidRDefault="009F4766" w:rsidP="00C917D6">
            <w:pPr>
              <w:pStyle w:val="NormalLeft"/>
            </w:pPr>
            <w:r w:rsidRPr="00DE12A3">
              <w:t>0</w:t>
            </w:r>
          </w:p>
        </w:tc>
        <w:tc>
          <w:tcPr>
            <w:tcW w:w="2551" w:type="dxa"/>
            <w:tcBorders>
              <w:top w:val="single" w:sz="2" w:space="0" w:color="auto"/>
              <w:left w:val="single" w:sz="2" w:space="0" w:color="auto"/>
              <w:bottom w:val="single" w:sz="2" w:space="0" w:color="auto"/>
              <w:right w:val="single" w:sz="2" w:space="0" w:color="auto"/>
            </w:tcBorders>
          </w:tcPr>
          <w:p w14:paraId="26C68E4A" w14:textId="77777777" w:rsidR="009F4766" w:rsidRPr="00DE12A3" w:rsidRDefault="009F4766" w:rsidP="00C917D6">
            <w:pPr>
              <w:pStyle w:val="NormalLeft"/>
            </w:pPr>
            <w:r w:rsidRPr="00DE12A3">
              <w:t>0</w:t>
            </w:r>
          </w:p>
        </w:tc>
      </w:tr>
      <w:tr w:rsidR="00DE12A3" w:rsidRPr="00DE12A3" w14:paraId="57E289A9" w14:textId="77777777" w:rsidTr="009F4766">
        <w:tc>
          <w:tcPr>
            <w:tcW w:w="1182" w:type="dxa"/>
            <w:tcBorders>
              <w:top w:val="single" w:sz="2" w:space="0" w:color="auto"/>
              <w:left w:val="single" w:sz="2" w:space="0" w:color="auto"/>
              <w:bottom w:val="single" w:sz="2" w:space="0" w:color="auto"/>
              <w:right w:val="single" w:sz="2" w:space="0" w:color="auto"/>
            </w:tcBorders>
          </w:tcPr>
          <w:p w14:paraId="793C4FA3" w14:textId="77777777" w:rsidR="009F4766" w:rsidRPr="00DE12A3" w:rsidRDefault="009F4766" w:rsidP="00C917D6">
            <w:pPr>
              <w:pStyle w:val="NormalLeft"/>
            </w:pPr>
            <w:r w:rsidRPr="00DE12A3">
              <w:t>4</w:t>
            </w:r>
          </w:p>
        </w:tc>
        <w:tc>
          <w:tcPr>
            <w:tcW w:w="2489" w:type="dxa"/>
            <w:tcBorders>
              <w:top w:val="single" w:sz="2" w:space="0" w:color="auto"/>
              <w:left w:val="single" w:sz="2" w:space="0" w:color="auto"/>
              <w:bottom w:val="single" w:sz="2" w:space="0" w:color="auto"/>
              <w:right w:val="single" w:sz="2" w:space="0" w:color="auto"/>
            </w:tcBorders>
          </w:tcPr>
          <w:p w14:paraId="19C81C60" w14:textId="77777777" w:rsidR="009F4766" w:rsidRPr="00DE12A3" w:rsidRDefault="009F4766" w:rsidP="00C917D6">
            <w:pPr>
              <w:pStyle w:val="NormalLeft"/>
            </w:pPr>
            <w:r w:rsidRPr="00DE12A3">
              <w:t>0</w:t>
            </w:r>
          </w:p>
        </w:tc>
        <w:tc>
          <w:tcPr>
            <w:tcW w:w="2551" w:type="dxa"/>
            <w:tcBorders>
              <w:top w:val="single" w:sz="2" w:space="0" w:color="auto"/>
              <w:left w:val="single" w:sz="2" w:space="0" w:color="auto"/>
              <w:bottom w:val="single" w:sz="2" w:space="0" w:color="auto"/>
              <w:right w:val="single" w:sz="2" w:space="0" w:color="auto"/>
            </w:tcBorders>
          </w:tcPr>
          <w:p w14:paraId="2CF5419A" w14:textId="77777777" w:rsidR="009F4766" w:rsidRPr="00DE12A3" w:rsidRDefault="009F4766" w:rsidP="00C917D6">
            <w:pPr>
              <w:pStyle w:val="NormalLeft"/>
            </w:pPr>
            <w:r w:rsidRPr="00DE12A3">
              <w:t>0</w:t>
            </w:r>
          </w:p>
        </w:tc>
      </w:tr>
      <w:tr w:rsidR="00DE12A3" w:rsidRPr="00DE12A3" w14:paraId="3851DD43" w14:textId="77777777" w:rsidTr="009F4766">
        <w:tc>
          <w:tcPr>
            <w:tcW w:w="1182" w:type="dxa"/>
            <w:tcBorders>
              <w:top w:val="single" w:sz="2" w:space="0" w:color="auto"/>
              <w:left w:val="single" w:sz="2" w:space="0" w:color="auto"/>
              <w:bottom w:val="single" w:sz="2" w:space="0" w:color="auto"/>
              <w:right w:val="single" w:sz="2" w:space="0" w:color="auto"/>
            </w:tcBorders>
          </w:tcPr>
          <w:p w14:paraId="28C7F4A2" w14:textId="77777777" w:rsidR="009F4766" w:rsidRPr="00DE12A3" w:rsidRDefault="009F4766" w:rsidP="00C917D6">
            <w:pPr>
              <w:pStyle w:val="NormalLeft"/>
            </w:pPr>
            <w:r w:rsidRPr="00DE12A3">
              <w:t>5</w:t>
            </w:r>
          </w:p>
        </w:tc>
        <w:tc>
          <w:tcPr>
            <w:tcW w:w="2489" w:type="dxa"/>
            <w:tcBorders>
              <w:top w:val="single" w:sz="2" w:space="0" w:color="auto"/>
              <w:left w:val="single" w:sz="2" w:space="0" w:color="auto"/>
              <w:bottom w:val="single" w:sz="2" w:space="0" w:color="auto"/>
              <w:right w:val="single" w:sz="2" w:space="0" w:color="auto"/>
            </w:tcBorders>
          </w:tcPr>
          <w:p w14:paraId="1A00B555" w14:textId="77777777" w:rsidR="009F4766" w:rsidRPr="00DE12A3" w:rsidRDefault="009F4766" w:rsidP="00C917D6">
            <w:pPr>
              <w:pStyle w:val="NormalLeft"/>
            </w:pPr>
            <w:r w:rsidRPr="00DE12A3">
              <w:t>0</w:t>
            </w:r>
          </w:p>
        </w:tc>
        <w:tc>
          <w:tcPr>
            <w:tcW w:w="2551" w:type="dxa"/>
            <w:tcBorders>
              <w:top w:val="single" w:sz="2" w:space="0" w:color="auto"/>
              <w:left w:val="single" w:sz="2" w:space="0" w:color="auto"/>
              <w:bottom w:val="single" w:sz="2" w:space="0" w:color="auto"/>
              <w:right w:val="single" w:sz="2" w:space="0" w:color="auto"/>
            </w:tcBorders>
          </w:tcPr>
          <w:p w14:paraId="2839467C" w14:textId="77777777" w:rsidR="009F4766" w:rsidRPr="00DE12A3" w:rsidRDefault="009F4766" w:rsidP="00C917D6">
            <w:pPr>
              <w:pStyle w:val="NormalLeft"/>
            </w:pPr>
            <w:r w:rsidRPr="00DE12A3">
              <w:t>0</w:t>
            </w:r>
          </w:p>
        </w:tc>
      </w:tr>
      <w:tr w:rsidR="00DE12A3" w:rsidRPr="00DE12A3" w14:paraId="020D2DDF" w14:textId="77777777" w:rsidTr="009F4766">
        <w:tc>
          <w:tcPr>
            <w:tcW w:w="1182" w:type="dxa"/>
            <w:tcBorders>
              <w:top w:val="single" w:sz="2" w:space="0" w:color="auto"/>
              <w:left w:val="single" w:sz="2" w:space="0" w:color="auto"/>
              <w:bottom w:val="single" w:sz="2" w:space="0" w:color="auto"/>
              <w:right w:val="single" w:sz="2" w:space="0" w:color="auto"/>
            </w:tcBorders>
          </w:tcPr>
          <w:p w14:paraId="37A2217E" w14:textId="77777777" w:rsidR="009F4766" w:rsidRPr="00DE12A3" w:rsidRDefault="009F4766" w:rsidP="00C917D6">
            <w:pPr>
              <w:pStyle w:val="NormalLeft"/>
            </w:pPr>
            <w:r w:rsidRPr="00DE12A3">
              <w:t>6</w:t>
            </w:r>
          </w:p>
        </w:tc>
        <w:tc>
          <w:tcPr>
            <w:tcW w:w="2489" w:type="dxa"/>
            <w:tcBorders>
              <w:top w:val="single" w:sz="2" w:space="0" w:color="auto"/>
              <w:left w:val="single" w:sz="2" w:space="0" w:color="auto"/>
              <w:bottom w:val="single" w:sz="2" w:space="0" w:color="auto"/>
              <w:right w:val="single" w:sz="2" w:space="0" w:color="auto"/>
            </w:tcBorders>
          </w:tcPr>
          <w:p w14:paraId="61EBA38E" w14:textId="77777777" w:rsidR="009F4766" w:rsidRPr="00DE12A3" w:rsidRDefault="009F4766" w:rsidP="00C917D6">
            <w:pPr>
              <w:pStyle w:val="NormalLeft"/>
            </w:pPr>
            <w:r w:rsidRPr="00DE12A3">
              <w:t>0</w:t>
            </w:r>
          </w:p>
        </w:tc>
        <w:tc>
          <w:tcPr>
            <w:tcW w:w="2551" w:type="dxa"/>
            <w:tcBorders>
              <w:top w:val="single" w:sz="2" w:space="0" w:color="auto"/>
              <w:left w:val="single" w:sz="2" w:space="0" w:color="auto"/>
              <w:bottom w:val="single" w:sz="2" w:space="0" w:color="auto"/>
              <w:right w:val="single" w:sz="2" w:space="0" w:color="auto"/>
            </w:tcBorders>
          </w:tcPr>
          <w:p w14:paraId="27EE750D" w14:textId="77777777" w:rsidR="009F4766" w:rsidRPr="00DE12A3" w:rsidRDefault="009F4766" w:rsidP="00C917D6">
            <w:pPr>
              <w:pStyle w:val="NormalLeft"/>
            </w:pPr>
            <w:r w:rsidRPr="00DE12A3">
              <w:t>0</w:t>
            </w:r>
          </w:p>
        </w:tc>
      </w:tr>
      <w:tr w:rsidR="00DE12A3" w:rsidRPr="00DE12A3" w14:paraId="31142C79" w14:textId="77777777" w:rsidTr="009F4766">
        <w:tc>
          <w:tcPr>
            <w:tcW w:w="1182" w:type="dxa"/>
            <w:tcBorders>
              <w:top w:val="single" w:sz="2" w:space="0" w:color="auto"/>
              <w:left w:val="single" w:sz="2" w:space="0" w:color="auto"/>
              <w:bottom w:val="single" w:sz="2" w:space="0" w:color="auto"/>
              <w:right w:val="single" w:sz="2" w:space="0" w:color="auto"/>
            </w:tcBorders>
          </w:tcPr>
          <w:p w14:paraId="4EA575B0" w14:textId="77777777" w:rsidR="009F4766" w:rsidRPr="00DE12A3" w:rsidRDefault="009F4766" w:rsidP="00C917D6">
            <w:pPr>
              <w:pStyle w:val="NormalLeft"/>
            </w:pPr>
            <w:r w:rsidRPr="00DE12A3">
              <w:t>7</w:t>
            </w:r>
          </w:p>
        </w:tc>
        <w:tc>
          <w:tcPr>
            <w:tcW w:w="2489" w:type="dxa"/>
            <w:tcBorders>
              <w:top w:val="single" w:sz="2" w:space="0" w:color="auto"/>
              <w:left w:val="single" w:sz="2" w:space="0" w:color="auto"/>
              <w:bottom w:val="single" w:sz="2" w:space="0" w:color="auto"/>
              <w:right w:val="single" w:sz="2" w:space="0" w:color="auto"/>
            </w:tcBorders>
          </w:tcPr>
          <w:p w14:paraId="3CA0CB30" w14:textId="77777777" w:rsidR="009F4766" w:rsidRPr="00DE12A3" w:rsidRDefault="009F4766" w:rsidP="00C917D6">
            <w:pPr>
              <w:pStyle w:val="NormalLeft"/>
            </w:pPr>
            <w:r w:rsidRPr="00DE12A3">
              <w:t>0</w:t>
            </w:r>
          </w:p>
        </w:tc>
        <w:tc>
          <w:tcPr>
            <w:tcW w:w="2551" w:type="dxa"/>
            <w:tcBorders>
              <w:top w:val="single" w:sz="2" w:space="0" w:color="auto"/>
              <w:left w:val="single" w:sz="2" w:space="0" w:color="auto"/>
              <w:bottom w:val="single" w:sz="2" w:space="0" w:color="auto"/>
              <w:right w:val="single" w:sz="2" w:space="0" w:color="auto"/>
            </w:tcBorders>
          </w:tcPr>
          <w:p w14:paraId="7F9FD0A4" w14:textId="77777777" w:rsidR="009F4766" w:rsidRPr="00DE12A3" w:rsidRDefault="009F4766" w:rsidP="00C917D6">
            <w:pPr>
              <w:pStyle w:val="NormalLeft"/>
            </w:pPr>
            <w:r w:rsidRPr="00DE12A3">
              <w:t>0</w:t>
            </w:r>
          </w:p>
        </w:tc>
      </w:tr>
      <w:tr w:rsidR="00DE12A3" w:rsidRPr="00DE12A3" w14:paraId="6D5EA3B9" w14:textId="77777777" w:rsidTr="009F4766">
        <w:tc>
          <w:tcPr>
            <w:tcW w:w="1182" w:type="dxa"/>
            <w:tcBorders>
              <w:top w:val="single" w:sz="2" w:space="0" w:color="auto"/>
              <w:left w:val="single" w:sz="2" w:space="0" w:color="auto"/>
              <w:bottom w:val="single" w:sz="2" w:space="0" w:color="auto"/>
              <w:right w:val="single" w:sz="2" w:space="0" w:color="auto"/>
            </w:tcBorders>
          </w:tcPr>
          <w:p w14:paraId="6DFAF266" w14:textId="77777777" w:rsidR="009F4766" w:rsidRPr="00DE12A3" w:rsidRDefault="009F4766" w:rsidP="00C917D6">
            <w:pPr>
              <w:pStyle w:val="NormalLeft"/>
            </w:pPr>
            <w:r w:rsidRPr="00DE12A3">
              <w:t>8</w:t>
            </w:r>
          </w:p>
        </w:tc>
        <w:tc>
          <w:tcPr>
            <w:tcW w:w="2489" w:type="dxa"/>
            <w:tcBorders>
              <w:top w:val="single" w:sz="2" w:space="0" w:color="auto"/>
              <w:left w:val="single" w:sz="2" w:space="0" w:color="auto"/>
              <w:bottom w:val="single" w:sz="2" w:space="0" w:color="auto"/>
              <w:right w:val="single" w:sz="2" w:space="0" w:color="auto"/>
            </w:tcBorders>
          </w:tcPr>
          <w:p w14:paraId="4F322818" w14:textId="77777777" w:rsidR="009F4766" w:rsidRPr="00DE12A3" w:rsidRDefault="009F4766" w:rsidP="00C917D6">
            <w:pPr>
              <w:pStyle w:val="NormalLeft"/>
            </w:pPr>
            <w:r w:rsidRPr="00DE12A3">
              <w:t>0</w:t>
            </w:r>
          </w:p>
        </w:tc>
        <w:tc>
          <w:tcPr>
            <w:tcW w:w="2551" w:type="dxa"/>
            <w:tcBorders>
              <w:top w:val="single" w:sz="2" w:space="0" w:color="auto"/>
              <w:left w:val="single" w:sz="2" w:space="0" w:color="auto"/>
              <w:bottom w:val="single" w:sz="2" w:space="0" w:color="auto"/>
              <w:right w:val="single" w:sz="2" w:space="0" w:color="auto"/>
            </w:tcBorders>
          </w:tcPr>
          <w:p w14:paraId="5238F011" w14:textId="77777777" w:rsidR="009F4766" w:rsidRPr="00DE12A3" w:rsidRDefault="009F4766" w:rsidP="00C917D6">
            <w:pPr>
              <w:pStyle w:val="NormalLeft"/>
            </w:pPr>
            <w:r w:rsidRPr="00DE12A3">
              <w:t>0</w:t>
            </w:r>
          </w:p>
        </w:tc>
      </w:tr>
      <w:tr w:rsidR="00DE12A3" w:rsidRPr="00DE12A3" w14:paraId="46A8C261" w14:textId="77777777" w:rsidTr="009F4766">
        <w:tc>
          <w:tcPr>
            <w:tcW w:w="1182" w:type="dxa"/>
            <w:tcBorders>
              <w:top w:val="single" w:sz="2" w:space="0" w:color="auto"/>
              <w:left w:val="single" w:sz="2" w:space="0" w:color="auto"/>
              <w:bottom w:val="single" w:sz="2" w:space="0" w:color="auto"/>
              <w:right w:val="single" w:sz="2" w:space="0" w:color="auto"/>
            </w:tcBorders>
          </w:tcPr>
          <w:p w14:paraId="62BBF175" w14:textId="77777777" w:rsidR="009F4766" w:rsidRPr="00DE12A3" w:rsidRDefault="009F4766" w:rsidP="00C917D6">
            <w:pPr>
              <w:pStyle w:val="NormalLeft"/>
            </w:pPr>
            <w:r w:rsidRPr="00DE12A3">
              <w:t>9</w:t>
            </w:r>
          </w:p>
        </w:tc>
        <w:tc>
          <w:tcPr>
            <w:tcW w:w="2489" w:type="dxa"/>
            <w:tcBorders>
              <w:top w:val="single" w:sz="2" w:space="0" w:color="auto"/>
              <w:left w:val="single" w:sz="2" w:space="0" w:color="auto"/>
              <w:bottom w:val="single" w:sz="2" w:space="0" w:color="auto"/>
              <w:right w:val="single" w:sz="2" w:space="0" w:color="auto"/>
            </w:tcBorders>
          </w:tcPr>
          <w:p w14:paraId="5F2AFC14" w14:textId="77777777" w:rsidR="009F4766" w:rsidRPr="00DE12A3" w:rsidRDefault="009F4766" w:rsidP="00C917D6">
            <w:pPr>
              <w:pStyle w:val="NormalLeft"/>
            </w:pPr>
            <w:r w:rsidRPr="00DE12A3">
              <w:t>1</w:t>
            </w:r>
          </w:p>
        </w:tc>
        <w:tc>
          <w:tcPr>
            <w:tcW w:w="2551" w:type="dxa"/>
            <w:tcBorders>
              <w:top w:val="single" w:sz="2" w:space="0" w:color="auto"/>
              <w:left w:val="single" w:sz="2" w:space="0" w:color="auto"/>
              <w:bottom w:val="single" w:sz="2" w:space="0" w:color="auto"/>
              <w:right w:val="single" w:sz="2" w:space="0" w:color="auto"/>
            </w:tcBorders>
          </w:tcPr>
          <w:p w14:paraId="0F157EA9" w14:textId="77777777" w:rsidR="009F4766" w:rsidRPr="00DE12A3" w:rsidRDefault="009F4766" w:rsidP="00C917D6">
            <w:pPr>
              <w:pStyle w:val="NormalLeft"/>
            </w:pPr>
            <w:r w:rsidRPr="00DE12A3">
              <w:t>8</w:t>
            </w:r>
          </w:p>
        </w:tc>
      </w:tr>
      <w:tr w:rsidR="00DE12A3" w:rsidRPr="00DE12A3" w14:paraId="0DFB821A" w14:textId="77777777" w:rsidTr="009F4766">
        <w:tc>
          <w:tcPr>
            <w:tcW w:w="1182" w:type="dxa"/>
            <w:tcBorders>
              <w:top w:val="single" w:sz="2" w:space="0" w:color="auto"/>
              <w:left w:val="single" w:sz="2" w:space="0" w:color="auto"/>
              <w:bottom w:val="single" w:sz="2" w:space="0" w:color="auto"/>
              <w:right w:val="single" w:sz="2" w:space="0" w:color="auto"/>
            </w:tcBorders>
          </w:tcPr>
          <w:p w14:paraId="5335EACA" w14:textId="77777777" w:rsidR="009F4766" w:rsidRPr="00DE12A3" w:rsidRDefault="009F4766" w:rsidP="00C917D6">
            <w:pPr>
              <w:pStyle w:val="NormalLeft"/>
            </w:pPr>
            <w:r w:rsidRPr="00DE12A3">
              <w:t>10</w:t>
            </w:r>
          </w:p>
        </w:tc>
        <w:tc>
          <w:tcPr>
            <w:tcW w:w="2489" w:type="dxa"/>
            <w:tcBorders>
              <w:top w:val="single" w:sz="2" w:space="0" w:color="auto"/>
              <w:left w:val="single" w:sz="2" w:space="0" w:color="auto"/>
              <w:bottom w:val="single" w:sz="2" w:space="0" w:color="auto"/>
              <w:right w:val="single" w:sz="2" w:space="0" w:color="auto"/>
            </w:tcBorders>
          </w:tcPr>
          <w:p w14:paraId="567D2245" w14:textId="77777777" w:rsidR="009F4766" w:rsidRPr="00DE12A3" w:rsidRDefault="009F4766" w:rsidP="00C917D6">
            <w:pPr>
              <w:pStyle w:val="NormalLeft"/>
            </w:pPr>
            <w:r w:rsidRPr="00DE12A3">
              <w:t>6</w:t>
            </w:r>
          </w:p>
        </w:tc>
        <w:tc>
          <w:tcPr>
            <w:tcW w:w="2551" w:type="dxa"/>
            <w:tcBorders>
              <w:top w:val="single" w:sz="2" w:space="0" w:color="auto"/>
              <w:left w:val="single" w:sz="2" w:space="0" w:color="auto"/>
              <w:bottom w:val="single" w:sz="2" w:space="0" w:color="auto"/>
              <w:right w:val="single" w:sz="2" w:space="0" w:color="auto"/>
            </w:tcBorders>
          </w:tcPr>
          <w:p w14:paraId="19989792" w14:textId="77777777" w:rsidR="009F4766" w:rsidRPr="00DE12A3" w:rsidRDefault="009F4766" w:rsidP="00C917D6">
            <w:pPr>
              <w:pStyle w:val="NormalLeft"/>
            </w:pPr>
            <w:r w:rsidRPr="00DE12A3">
              <w:t>54</w:t>
            </w:r>
          </w:p>
        </w:tc>
      </w:tr>
      <w:tr w:rsidR="00DE12A3" w:rsidRPr="00DE12A3" w14:paraId="32C918FA" w14:textId="77777777" w:rsidTr="009F4766">
        <w:tc>
          <w:tcPr>
            <w:tcW w:w="1182" w:type="dxa"/>
            <w:tcBorders>
              <w:top w:val="single" w:sz="2" w:space="0" w:color="auto"/>
              <w:left w:val="single" w:sz="2" w:space="0" w:color="auto"/>
              <w:bottom w:val="single" w:sz="2" w:space="0" w:color="auto"/>
              <w:right w:val="single" w:sz="2" w:space="0" w:color="auto"/>
            </w:tcBorders>
          </w:tcPr>
          <w:p w14:paraId="04BACC8E" w14:textId="77777777" w:rsidR="009F4766" w:rsidRPr="00DE12A3" w:rsidRDefault="009F4766" w:rsidP="00C917D6">
            <w:pPr>
              <w:pStyle w:val="NormalLeft"/>
            </w:pPr>
            <w:r w:rsidRPr="00DE12A3">
              <w:t>11</w:t>
            </w:r>
          </w:p>
        </w:tc>
        <w:tc>
          <w:tcPr>
            <w:tcW w:w="2489" w:type="dxa"/>
            <w:tcBorders>
              <w:top w:val="single" w:sz="2" w:space="0" w:color="auto"/>
              <w:left w:val="single" w:sz="2" w:space="0" w:color="auto"/>
              <w:bottom w:val="single" w:sz="2" w:space="0" w:color="auto"/>
              <w:right w:val="single" w:sz="2" w:space="0" w:color="auto"/>
            </w:tcBorders>
          </w:tcPr>
          <w:p w14:paraId="0D462467" w14:textId="77777777" w:rsidR="009F4766" w:rsidRPr="00DE12A3" w:rsidRDefault="009F4766" w:rsidP="00C917D6">
            <w:pPr>
              <w:pStyle w:val="NormalLeft"/>
            </w:pPr>
            <w:r w:rsidRPr="00DE12A3">
              <w:t>8</w:t>
            </w:r>
          </w:p>
        </w:tc>
        <w:tc>
          <w:tcPr>
            <w:tcW w:w="2551" w:type="dxa"/>
            <w:tcBorders>
              <w:top w:val="single" w:sz="2" w:space="0" w:color="auto"/>
              <w:left w:val="single" w:sz="2" w:space="0" w:color="auto"/>
              <w:bottom w:val="single" w:sz="2" w:space="0" w:color="auto"/>
              <w:right w:val="single" w:sz="2" w:space="0" w:color="auto"/>
            </w:tcBorders>
          </w:tcPr>
          <w:p w14:paraId="56EF3B77" w14:textId="77777777" w:rsidR="009F4766" w:rsidRPr="00DE12A3" w:rsidRDefault="009F4766" w:rsidP="00C917D6">
            <w:pPr>
              <w:pStyle w:val="NormalLeft"/>
            </w:pPr>
            <w:r w:rsidRPr="00DE12A3">
              <w:t>61</w:t>
            </w:r>
          </w:p>
        </w:tc>
      </w:tr>
      <w:tr w:rsidR="00DE12A3" w:rsidRPr="00DE12A3" w14:paraId="3A25E44D" w14:textId="77777777" w:rsidTr="009F4766">
        <w:tc>
          <w:tcPr>
            <w:tcW w:w="1182" w:type="dxa"/>
            <w:tcBorders>
              <w:top w:val="single" w:sz="2" w:space="0" w:color="auto"/>
              <w:left w:val="single" w:sz="2" w:space="0" w:color="auto"/>
              <w:bottom w:val="single" w:sz="2" w:space="0" w:color="auto"/>
              <w:right w:val="single" w:sz="2" w:space="0" w:color="auto"/>
            </w:tcBorders>
          </w:tcPr>
          <w:p w14:paraId="67CFF301" w14:textId="77777777" w:rsidR="009F4766" w:rsidRPr="00DE12A3" w:rsidRDefault="009F4766" w:rsidP="00C917D6">
            <w:pPr>
              <w:pStyle w:val="NormalLeft"/>
            </w:pPr>
            <w:r w:rsidRPr="00DE12A3">
              <w:t>12</w:t>
            </w:r>
          </w:p>
        </w:tc>
        <w:tc>
          <w:tcPr>
            <w:tcW w:w="2489" w:type="dxa"/>
            <w:tcBorders>
              <w:top w:val="single" w:sz="2" w:space="0" w:color="auto"/>
              <w:left w:val="single" w:sz="2" w:space="0" w:color="auto"/>
              <w:bottom w:val="single" w:sz="2" w:space="0" w:color="auto"/>
              <w:right w:val="single" w:sz="2" w:space="0" w:color="auto"/>
            </w:tcBorders>
          </w:tcPr>
          <w:p w14:paraId="2FAA5271" w14:textId="77777777" w:rsidR="009F4766" w:rsidRPr="00DE12A3" w:rsidRDefault="009F4766" w:rsidP="00C917D6">
            <w:pPr>
              <w:pStyle w:val="NormalLeft"/>
            </w:pPr>
            <w:r w:rsidRPr="00DE12A3">
              <w:t>34</w:t>
            </w:r>
          </w:p>
        </w:tc>
        <w:tc>
          <w:tcPr>
            <w:tcW w:w="2551" w:type="dxa"/>
            <w:tcBorders>
              <w:top w:val="single" w:sz="2" w:space="0" w:color="auto"/>
              <w:left w:val="single" w:sz="2" w:space="0" w:color="auto"/>
              <w:bottom w:val="single" w:sz="2" w:space="0" w:color="auto"/>
              <w:right w:val="single" w:sz="2" w:space="0" w:color="auto"/>
            </w:tcBorders>
          </w:tcPr>
          <w:p w14:paraId="3429942A" w14:textId="77777777" w:rsidR="009F4766" w:rsidRPr="00DE12A3" w:rsidRDefault="009F4766" w:rsidP="00C917D6">
            <w:pPr>
              <w:pStyle w:val="NormalLeft"/>
            </w:pPr>
            <w:r w:rsidRPr="00DE12A3">
              <w:t>59</w:t>
            </w:r>
          </w:p>
        </w:tc>
      </w:tr>
      <w:tr w:rsidR="00DE12A3" w:rsidRPr="00DE12A3" w14:paraId="397AD37E" w14:textId="77777777" w:rsidTr="009F4766">
        <w:tc>
          <w:tcPr>
            <w:tcW w:w="1182" w:type="dxa"/>
            <w:tcBorders>
              <w:top w:val="single" w:sz="2" w:space="0" w:color="auto"/>
              <w:left w:val="single" w:sz="2" w:space="0" w:color="auto"/>
              <w:bottom w:val="single" w:sz="2" w:space="0" w:color="auto"/>
              <w:right w:val="single" w:sz="2" w:space="0" w:color="auto"/>
            </w:tcBorders>
          </w:tcPr>
          <w:p w14:paraId="5AB43E08" w14:textId="77777777" w:rsidR="009F4766" w:rsidRPr="00DE12A3" w:rsidRDefault="009F4766" w:rsidP="00C917D6">
            <w:pPr>
              <w:pStyle w:val="NormalLeft"/>
            </w:pPr>
            <w:r w:rsidRPr="00DE12A3">
              <w:t>13</w:t>
            </w:r>
          </w:p>
        </w:tc>
        <w:tc>
          <w:tcPr>
            <w:tcW w:w="2489" w:type="dxa"/>
            <w:tcBorders>
              <w:top w:val="single" w:sz="2" w:space="0" w:color="auto"/>
              <w:left w:val="single" w:sz="2" w:space="0" w:color="auto"/>
              <w:bottom w:val="single" w:sz="2" w:space="0" w:color="auto"/>
              <w:right w:val="single" w:sz="2" w:space="0" w:color="auto"/>
            </w:tcBorders>
          </w:tcPr>
          <w:p w14:paraId="4FBC8D80" w14:textId="77777777" w:rsidR="009F4766" w:rsidRPr="00DE12A3" w:rsidRDefault="009F4766" w:rsidP="00C917D6">
            <w:pPr>
              <w:pStyle w:val="NormalLeft"/>
            </w:pPr>
            <w:r w:rsidRPr="00DE12A3">
              <w:t>22</w:t>
            </w:r>
          </w:p>
        </w:tc>
        <w:tc>
          <w:tcPr>
            <w:tcW w:w="2551" w:type="dxa"/>
            <w:tcBorders>
              <w:top w:val="single" w:sz="2" w:space="0" w:color="auto"/>
              <w:left w:val="single" w:sz="2" w:space="0" w:color="auto"/>
              <w:bottom w:val="single" w:sz="2" w:space="0" w:color="auto"/>
              <w:right w:val="single" w:sz="2" w:space="0" w:color="auto"/>
            </w:tcBorders>
          </w:tcPr>
          <w:p w14:paraId="0F8D441D" w14:textId="77777777" w:rsidR="009F4766" w:rsidRPr="00DE12A3" w:rsidRDefault="009F4766" w:rsidP="00C917D6">
            <w:pPr>
              <w:pStyle w:val="NormalLeft"/>
            </w:pPr>
            <w:r w:rsidRPr="00DE12A3">
              <w:t>46</w:t>
            </w:r>
          </w:p>
        </w:tc>
      </w:tr>
      <w:tr w:rsidR="00DE12A3" w:rsidRPr="00DE12A3" w14:paraId="76070215" w14:textId="77777777" w:rsidTr="009F4766">
        <w:tc>
          <w:tcPr>
            <w:tcW w:w="1182" w:type="dxa"/>
            <w:tcBorders>
              <w:top w:val="single" w:sz="2" w:space="0" w:color="auto"/>
              <w:left w:val="single" w:sz="2" w:space="0" w:color="auto"/>
              <w:bottom w:val="single" w:sz="2" w:space="0" w:color="auto"/>
              <w:right w:val="single" w:sz="2" w:space="0" w:color="auto"/>
            </w:tcBorders>
          </w:tcPr>
          <w:p w14:paraId="38106323" w14:textId="77777777" w:rsidR="009F4766" w:rsidRPr="00DE12A3" w:rsidRDefault="009F4766" w:rsidP="00C917D6">
            <w:pPr>
              <w:pStyle w:val="NormalLeft"/>
            </w:pPr>
            <w:r w:rsidRPr="00DE12A3">
              <w:t>14</w:t>
            </w:r>
          </w:p>
        </w:tc>
        <w:tc>
          <w:tcPr>
            <w:tcW w:w="2489" w:type="dxa"/>
            <w:tcBorders>
              <w:top w:val="single" w:sz="2" w:space="0" w:color="auto"/>
              <w:left w:val="single" w:sz="2" w:space="0" w:color="auto"/>
              <w:bottom w:val="single" w:sz="2" w:space="0" w:color="auto"/>
              <w:right w:val="single" w:sz="2" w:space="0" w:color="auto"/>
            </w:tcBorders>
          </w:tcPr>
          <w:p w14:paraId="67B811CD" w14:textId="77777777" w:rsidR="009F4766" w:rsidRPr="00DE12A3" w:rsidRDefault="009F4766" w:rsidP="00C917D6">
            <w:pPr>
              <w:pStyle w:val="NormalLeft"/>
            </w:pPr>
            <w:r w:rsidRPr="00DE12A3">
              <w:t>5</w:t>
            </w:r>
          </w:p>
        </w:tc>
        <w:tc>
          <w:tcPr>
            <w:tcW w:w="2551" w:type="dxa"/>
            <w:tcBorders>
              <w:top w:val="single" w:sz="2" w:space="0" w:color="auto"/>
              <w:left w:val="single" w:sz="2" w:space="0" w:color="auto"/>
              <w:bottom w:val="single" w:sz="2" w:space="0" w:color="auto"/>
              <w:right w:val="single" w:sz="2" w:space="0" w:color="auto"/>
            </w:tcBorders>
          </w:tcPr>
          <w:p w14:paraId="1B8FC861" w14:textId="77777777" w:rsidR="009F4766" w:rsidRPr="00DE12A3" w:rsidRDefault="009F4766" w:rsidP="00C917D6">
            <w:pPr>
              <w:pStyle w:val="NormalLeft"/>
            </w:pPr>
            <w:r w:rsidRPr="00DE12A3">
              <w:t>51</w:t>
            </w:r>
          </w:p>
        </w:tc>
      </w:tr>
      <w:tr w:rsidR="00DE12A3" w:rsidRPr="00DE12A3" w14:paraId="5F314587" w14:textId="77777777" w:rsidTr="009F4766">
        <w:tc>
          <w:tcPr>
            <w:tcW w:w="1182" w:type="dxa"/>
            <w:tcBorders>
              <w:top w:val="single" w:sz="2" w:space="0" w:color="auto"/>
              <w:left w:val="single" w:sz="2" w:space="0" w:color="auto"/>
              <w:bottom w:val="single" w:sz="2" w:space="0" w:color="auto"/>
              <w:right w:val="single" w:sz="2" w:space="0" w:color="auto"/>
            </w:tcBorders>
          </w:tcPr>
          <w:p w14:paraId="05E7DF76" w14:textId="77777777" w:rsidR="009F4766" w:rsidRPr="00DE12A3" w:rsidRDefault="009F4766" w:rsidP="00C917D6">
            <w:pPr>
              <w:pStyle w:val="NormalLeft"/>
            </w:pPr>
            <w:r w:rsidRPr="00DE12A3">
              <w:t>15</w:t>
            </w:r>
          </w:p>
        </w:tc>
        <w:tc>
          <w:tcPr>
            <w:tcW w:w="2489" w:type="dxa"/>
            <w:tcBorders>
              <w:top w:val="single" w:sz="2" w:space="0" w:color="auto"/>
              <w:left w:val="single" w:sz="2" w:space="0" w:color="auto"/>
              <w:bottom w:val="single" w:sz="2" w:space="0" w:color="auto"/>
              <w:right w:val="single" w:sz="2" w:space="0" w:color="auto"/>
            </w:tcBorders>
          </w:tcPr>
          <w:p w14:paraId="2B7460D9" w14:textId="77777777" w:rsidR="009F4766" w:rsidRPr="00DE12A3" w:rsidRDefault="009F4766" w:rsidP="00C917D6">
            <w:pPr>
              <w:pStyle w:val="NormalLeft"/>
            </w:pPr>
            <w:r w:rsidRPr="00DE12A3">
              <w:t>18</w:t>
            </w:r>
          </w:p>
        </w:tc>
        <w:tc>
          <w:tcPr>
            <w:tcW w:w="2551" w:type="dxa"/>
            <w:tcBorders>
              <w:top w:val="single" w:sz="2" w:space="0" w:color="auto"/>
              <w:left w:val="single" w:sz="2" w:space="0" w:color="auto"/>
              <w:bottom w:val="single" w:sz="2" w:space="0" w:color="auto"/>
              <w:right w:val="single" w:sz="2" w:space="0" w:color="auto"/>
            </w:tcBorders>
          </w:tcPr>
          <w:p w14:paraId="2AB43A67" w14:textId="77777777" w:rsidR="009F4766" w:rsidRPr="00DE12A3" w:rsidRDefault="009F4766" w:rsidP="00C917D6">
            <w:pPr>
              <w:pStyle w:val="NormalLeft"/>
            </w:pPr>
            <w:r w:rsidRPr="00DE12A3">
              <w:t>51</w:t>
            </w:r>
          </w:p>
        </w:tc>
      </w:tr>
      <w:tr w:rsidR="00DE12A3" w:rsidRPr="00DE12A3" w14:paraId="6A6372F5" w14:textId="77777777" w:rsidTr="009F4766">
        <w:tc>
          <w:tcPr>
            <w:tcW w:w="1182" w:type="dxa"/>
            <w:tcBorders>
              <w:top w:val="single" w:sz="2" w:space="0" w:color="auto"/>
              <w:left w:val="single" w:sz="2" w:space="0" w:color="auto"/>
              <w:bottom w:val="single" w:sz="2" w:space="0" w:color="auto"/>
              <w:right w:val="single" w:sz="2" w:space="0" w:color="auto"/>
            </w:tcBorders>
          </w:tcPr>
          <w:p w14:paraId="00452A28" w14:textId="77777777" w:rsidR="009F4766" w:rsidRPr="00DE12A3" w:rsidRDefault="009F4766" w:rsidP="00C917D6">
            <w:pPr>
              <w:pStyle w:val="NormalLeft"/>
            </w:pPr>
            <w:r w:rsidRPr="00DE12A3">
              <w:t>16</w:t>
            </w:r>
          </w:p>
        </w:tc>
        <w:tc>
          <w:tcPr>
            <w:tcW w:w="2489" w:type="dxa"/>
            <w:tcBorders>
              <w:top w:val="single" w:sz="2" w:space="0" w:color="auto"/>
              <w:left w:val="single" w:sz="2" w:space="0" w:color="auto"/>
              <w:bottom w:val="single" w:sz="2" w:space="0" w:color="auto"/>
              <w:right w:val="single" w:sz="2" w:space="0" w:color="auto"/>
            </w:tcBorders>
          </w:tcPr>
          <w:p w14:paraId="786EF966" w14:textId="77777777" w:rsidR="009F4766" w:rsidRPr="00DE12A3" w:rsidRDefault="009F4766" w:rsidP="00C917D6">
            <w:pPr>
              <w:pStyle w:val="NormalLeft"/>
            </w:pPr>
            <w:r w:rsidRPr="00DE12A3">
              <w:t>31</w:t>
            </w:r>
          </w:p>
        </w:tc>
        <w:tc>
          <w:tcPr>
            <w:tcW w:w="2551" w:type="dxa"/>
            <w:tcBorders>
              <w:top w:val="single" w:sz="2" w:space="0" w:color="auto"/>
              <w:left w:val="single" w:sz="2" w:space="0" w:color="auto"/>
              <w:bottom w:val="single" w:sz="2" w:space="0" w:color="auto"/>
              <w:right w:val="single" w:sz="2" w:space="0" w:color="auto"/>
            </w:tcBorders>
          </w:tcPr>
          <w:p w14:paraId="5462B916" w14:textId="77777777" w:rsidR="009F4766" w:rsidRPr="00DE12A3" w:rsidRDefault="009F4766" w:rsidP="00C917D6">
            <w:pPr>
              <w:pStyle w:val="NormalLeft"/>
            </w:pPr>
            <w:r w:rsidRPr="00DE12A3">
              <w:t>50</w:t>
            </w:r>
          </w:p>
        </w:tc>
      </w:tr>
      <w:tr w:rsidR="00DE12A3" w:rsidRPr="00DE12A3" w14:paraId="086C0E6A" w14:textId="77777777" w:rsidTr="009F4766">
        <w:tc>
          <w:tcPr>
            <w:tcW w:w="1182" w:type="dxa"/>
            <w:tcBorders>
              <w:top w:val="single" w:sz="2" w:space="0" w:color="auto"/>
              <w:left w:val="single" w:sz="2" w:space="0" w:color="auto"/>
              <w:bottom w:val="single" w:sz="2" w:space="0" w:color="auto"/>
              <w:right w:val="single" w:sz="2" w:space="0" w:color="auto"/>
            </w:tcBorders>
          </w:tcPr>
          <w:p w14:paraId="043E0569" w14:textId="77777777" w:rsidR="009F4766" w:rsidRPr="00DE12A3" w:rsidRDefault="009F4766" w:rsidP="00C917D6">
            <w:pPr>
              <w:pStyle w:val="NormalLeft"/>
            </w:pPr>
            <w:r w:rsidRPr="00DE12A3">
              <w:t>17</w:t>
            </w:r>
          </w:p>
        </w:tc>
        <w:tc>
          <w:tcPr>
            <w:tcW w:w="2489" w:type="dxa"/>
            <w:tcBorders>
              <w:top w:val="single" w:sz="2" w:space="0" w:color="auto"/>
              <w:left w:val="single" w:sz="2" w:space="0" w:color="auto"/>
              <w:bottom w:val="single" w:sz="2" w:space="0" w:color="auto"/>
              <w:right w:val="single" w:sz="2" w:space="0" w:color="auto"/>
            </w:tcBorders>
          </w:tcPr>
          <w:p w14:paraId="5A624FE8" w14:textId="77777777" w:rsidR="009F4766" w:rsidRPr="00DE12A3" w:rsidRDefault="009F4766" w:rsidP="00C917D6">
            <w:pPr>
              <w:pStyle w:val="NormalLeft"/>
            </w:pPr>
            <w:r w:rsidRPr="00DE12A3">
              <w:t>30</w:t>
            </w:r>
          </w:p>
        </w:tc>
        <w:tc>
          <w:tcPr>
            <w:tcW w:w="2551" w:type="dxa"/>
            <w:tcBorders>
              <w:top w:val="single" w:sz="2" w:space="0" w:color="auto"/>
              <w:left w:val="single" w:sz="2" w:space="0" w:color="auto"/>
              <w:bottom w:val="single" w:sz="2" w:space="0" w:color="auto"/>
              <w:right w:val="single" w:sz="2" w:space="0" w:color="auto"/>
            </w:tcBorders>
          </w:tcPr>
          <w:p w14:paraId="08A04B0E" w14:textId="77777777" w:rsidR="009F4766" w:rsidRPr="00DE12A3" w:rsidRDefault="009F4766" w:rsidP="00C917D6">
            <w:pPr>
              <w:pStyle w:val="NormalLeft"/>
            </w:pPr>
            <w:r w:rsidRPr="00DE12A3">
              <w:t>56</w:t>
            </w:r>
          </w:p>
        </w:tc>
      </w:tr>
      <w:tr w:rsidR="00DE12A3" w:rsidRPr="00DE12A3" w14:paraId="2F10A749" w14:textId="77777777" w:rsidTr="009F4766">
        <w:tc>
          <w:tcPr>
            <w:tcW w:w="1182" w:type="dxa"/>
            <w:tcBorders>
              <w:top w:val="single" w:sz="2" w:space="0" w:color="auto"/>
              <w:left w:val="single" w:sz="2" w:space="0" w:color="auto"/>
              <w:bottom w:val="single" w:sz="2" w:space="0" w:color="auto"/>
              <w:right w:val="single" w:sz="2" w:space="0" w:color="auto"/>
            </w:tcBorders>
          </w:tcPr>
          <w:p w14:paraId="3471A012" w14:textId="77777777" w:rsidR="009F4766" w:rsidRPr="00DE12A3" w:rsidRDefault="009F4766" w:rsidP="00C917D6">
            <w:pPr>
              <w:pStyle w:val="NormalLeft"/>
            </w:pPr>
            <w:r w:rsidRPr="00DE12A3">
              <w:t>18</w:t>
            </w:r>
          </w:p>
        </w:tc>
        <w:tc>
          <w:tcPr>
            <w:tcW w:w="2489" w:type="dxa"/>
            <w:tcBorders>
              <w:top w:val="single" w:sz="2" w:space="0" w:color="auto"/>
              <w:left w:val="single" w:sz="2" w:space="0" w:color="auto"/>
              <w:bottom w:val="single" w:sz="2" w:space="0" w:color="auto"/>
              <w:right w:val="single" w:sz="2" w:space="0" w:color="auto"/>
            </w:tcBorders>
          </w:tcPr>
          <w:p w14:paraId="0616A8C9" w14:textId="77777777" w:rsidR="009F4766" w:rsidRPr="00DE12A3" w:rsidRDefault="009F4766" w:rsidP="00C917D6">
            <w:pPr>
              <w:pStyle w:val="NormalLeft"/>
            </w:pPr>
            <w:r w:rsidRPr="00DE12A3">
              <w:t>31</w:t>
            </w:r>
          </w:p>
        </w:tc>
        <w:tc>
          <w:tcPr>
            <w:tcW w:w="2551" w:type="dxa"/>
            <w:tcBorders>
              <w:top w:val="single" w:sz="2" w:space="0" w:color="auto"/>
              <w:left w:val="single" w:sz="2" w:space="0" w:color="auto"/>
              <w:bottom w:val="single" w:sz="2" w:space="0" w:color="auto"/>
              <w:right w:val="single" w:sz="2" w:space="0" w:color="auto"/>
            </w:tcBorders>
          </w:tcPr>
          <w:p w14:paraId="2E55DD1F" w14:textId="77777777" w:rsidR="009F4766" w:rsidRPr="00DE12A3" w:rsidRDefault="009F4766" w:rsidP="00C917D6">
            <w:pPr>
              <w:pStyle w:val="NormalLeft"/>
            </w:pPr>
            <w:r w:rsidRPr="00DE12A3">
              <w:t>49</w:t>
            </w:r>
          </w:p>
        </w:tc>
      </w:tr>
      <w:tr w:rsidR="00DE12A3" w:rsidRPr="00DE12A3" w14:paraId="7699A64D" w14:textId="77777777" w:rsidTr="009F4766">
        <w:tc>
          <w:tcPr>
            <w:tcW w:w="1182" w:type="dxa"/>
            <w:tcBorders>
              <w:top w:val="single" w:sz="2" w:space="0" w:color="auto"/>
              <w:left w:val="single" w:sz="2" w:space="0" w:color="auto"/>
              <w:bottom w:val="single" w:sz="2" w:space="0" w:color="auto"/>
              <w:right w:val="single" w:sz="2" w:space="0" w:color="auto"/>
            </w:tcBorders>
          </w:tcPr>
          <w:p w14:paraId="2CEE57C3" w14:textId="77777777" w:rsidR="009F4766" w:rsidRPr="00DE12A3" w:rsidRDefault="009F4766" w:rsidP="00C917D6">
            <w:pPr>
              <w:pStyle w:val="NormalLeft"/>
            </w:pPr>
            <w:r w:rsidRPr="00DE12A3">
              <w:t>19</w:t>
            </w:r>
          </w:p>
        </w:tc>
        <w:tc>
          <w:tcPr>
            <w:tcW w:w="2489" w:type="dxa"/>
            <w:tcBorders>
              <w:top w:val="single" w:sz="2" w:space="0" w:color="auto"/>
              <w:left w:val="single" w:sz="2" w:space="0" w:color="auto"/>
              <w:bottom w:val="single" w:sz="2" w:space="0" w:color="auto"/>
              <w:right w:val="single" w:sz="2" w:space="0" w:color="auto"/>
            </w:tcBorders>
          </w:tcPr>
          <w:p w14:paraId="4EA9AF2D" w14:textId="77777777" w:rsidR="009F4766" w:rsidRPr="00DE12A3" w:rsidRDefault="009F4766" w:rsidP="00C917D6">
            <w:pPr>
              <w:pStyle w:val="NormalLeft"/>
            </w:pPr>
            <w:r w:rsidRPr="00DE12A3">
              <w:t>25</w:t>
            </w:r>
          </w:p>
        </w:tc>
        <w:tc>
          <w:tcPr>
            <w:tcW w:w="2551" w:type="dxa"/>
            <w:tcBorders>
              <w:top w:val="single" w:sz="2" w:space="0" w:color="auto"/>
              <w:left w:val="single" w:sz="2" w:space="0" w:color="auto"/>
              <w:bottom w:val="single" w:sz="2" w:space="0" w:color="auto"/>
              <w:right w:val="single" w:sz="2" w:space="0" w:color="auto"/>
            </w:tcBorders>
          </w:tcPr>
          <w:p w14:paraId="5EB23B4B" w14:textId="77777777" w:rsidR="009F4766" w:rsidRPr="00DE12A3" w:rsidRDefault="009F4766" w:rsidP="00C917D6">
            <w:pPr>
              <w:pStyle w:val="NormalLeft"/>
            </w:pPr>
            <w:r w:rsidRPr="00DE12A3">
              <w:t>66</w:t>
            </w:r>
          </w:p>
        </w:tc>
      </w:tr>
      <w:tr w:rsidR="00DE12A3" w:rsidRPr="00DE12A3" w14:paraId="388A4146" w14:textId="77777777" w:rsidTr="009F4766">
        <w:tc>
          <w:tcPr>
            <w:tcW w:w="1182" w:type="dxa"/>
            <w:tcBorders>
              <w:top w:val="single" w:sz="2" w:space="0" w:color="auto"/>
              <w:left w:val="single" w:sz="2" w:space="0" w:color="auto"/>
              <w:bottom w:val="single" w:sz="2" w:space="0" w:color="auto"/>
              <w:right w:val="single" w:sz="2" w:space="0" w:color="auto"/>
            </w:tcBorders>
          </w:tcPr>
          <w:p w14:paraId="7F8DD40D" w14:textId="77777777" w:rsidR="009F4766" w:rsidRPr="00DE12A3" w:rsidRDefault="009F4766" w:rsidP="00C917D6">
            <w:pPr>
              <w:pStyle w:val="NormalLeft"/>
            </w:pPr>
            <w:r w:rsidRPr="00DE12A3">
              <w:t>20</w:t>
            </w:r>
          </w:p>
        </w:tc>
        <w:tc>
          <w:tcPr>
            <w:tcW w:w="2489" w:type="dxa"/>
            <w:tcBorders>
              <w:top w:val="single" w:sz="2" w:space="0" w:color="auto"/>
              <w:left w:val="single" w:sz="2" w:space="0" w:color="auto"/>
              <w:bottom w:val="single" w:sz="2" w:space="0" w:color="auto"/>
              <w:right w:val="single" w:sz="2" w:space="0" w:color="auto"/>
            </w:tcBorders>
          </w:tcPr>
          <w:p w14:paraId="7F0CEF21" w14:textId="77777777" w:rsidR="009F4766" w:rsidRPr="00DE12A3" w:rsidRDefault="009F4766" w:rsidP="00C917D6">
            <w:pPr>
              <w:pStyle w:val="NormalLeft"/>
            </w:pPr>
            <w:r w:rsidRPr="00DE12A3">
              <w:t>58</w:t>
            </w:r>
          </w:p>
        </w:tc>
        <w:tc>
          <w:tcPr>
            <w:tcW w:w="2551" w:type="dxa"/>
            <w:tcBorders>
              <w:top w:val="single" w:sz="2" w:space="0" w:color="auto"/>
              <w:left w:val="single" w:sz="2" w:space="0" w:color="auto"/>
              <w:bottom w:val="single" w:sz="2" w:space="0" w:color="auto"/>
              <w:right w:val="single" w:sz="2" w:space="0" w:color="auto"/>
            </w:tcBorders>
          </w:tcPr>
          <w:p w14:paraId="2E3EC14C" w14:textId="77777777" w:rsidR="009F4766" w:rsidRPr="00DE12A3" w:rsidRDefault="009F4766" w:rsidP="00C917D6">
            <w:pPr>
              <w:pStyle w:val="NormalLeft"/>
            </w:pPr>
            <w:r w:rsidRPr="00DE12A3">
              <w:t>55</w:t>
            </w:r>
          </w:p>
        </w:tc>
      </w:tr>
      <w:tr w:rsidR="00DE12A3" w:rsidRPr="00DE12A3" w14:paraId="1071BF9B" w14:textId="77777777" w:rsidTr="009F4766">
        <w:tc>
          <w:tcPr>
            <w:tcW w:w="1182" w:type="dxa"/>
            <w:tcBorders>
              <w:top w:val="single" w:sz="2" w:space="0" w:color="auto"/>
              <w:left w:val="single" w:sz="2" w:space="0" w:color="auto"/>
              <w:bottom w:val="single" w:sz="2" w:space="0" w:color="auto"/>
              <w:right w:val="single" w:sz="2" w:space="0" w:color="auto"/>
            </w:tcBorders>
          </w:tcPr>
          <w:p w14:paraId="2AF6EAE7" w14:textId="77777777" w:rsidR="009F4766" w:rsidRPr="00DE12A3" w:rsidRDefault="009F4766" w:rsidP="00C917D6">
            <w:pPr>
              <w:pStyle w:val="NormalLeft"/>
            </w:pPr>
            <w:r w:rsidRPr="00DE12A3">
              <w:t>21</w:t>
            </w:r>
          </w:p>
        </w:tc>
        <w:tc>
          <w:tcPr>
            <w:tcW w:w="2489" w:type="dxa"/>
            <w:tcBorders>
              <w:top w:val="single" w:sz="2" w:space="0" w:color="auto"/>
              <w:left w:val="single" w:sz="2" w:space="0" w:color="auto"/>
              <w:bottom w:val="single" w:sz="2" w:space="0" w:color="auto"/>
              <w:right w:val="single" w:sz="2" w:space="0" w:color="auto"/>
            </w:tcBorders>
          </w:tcPr>
          <w:p w14:paraId="5D9E7CE7" w14:textId="77777777" w:rsidR="009F4766" w:rsidRPr="00DE12A3" w:rsidRDefault="009F4766" w:rsidP="00C917D6">
            <w:pPr>
              <w:pStyle w:val="NormalLeft"/>
            </w:pPr>
            <w:r w:rsidRPr="00DE12A3">
              <w:t>43</w:t>
            </w:r>
          </w:p>
        </w:tc>
        <w:tc>
          <w:tcPr>
            <w:tcW w:w="2551" w:type="dxa"/>
            <w:tcBorders>
              <w:top w:val="single" w:sz="2" w:space="0" w:color="auto"/>
              <w:left w:val="single" w:sz="2" w:space="0" w:color="auto"/>
              <w:bottom w:val="single" w:sz="2" w:space="0" w:color="auto"/>
              <w:right w:val="single" w:sz="2" w:space="0" w:color="auto"/>
            </w:tcBorders>
          </w:tcPr>
          <w:p w14:paraId="242A93B8" w14:textId="77777777" w:rsidR="009F4766" w:rsidRPr="00DE12A3" w:rsidRDefault="009F4766" w:rsidP="00C917D6">
            <w:pPr>
              <w:pStyle w:val="NormalLeft"/>
            </w:pPr>
            <w:r w:rsidRPr="00DE12A3">
              <w:t>31</w:t>
            </w:r>
          </w:p>
        </w:tc>
      </w:tr>
      <w:tr w:rsidR="00DE12A3" w:rsidRPr="00DE12A3" w14:paraId="1E6EF28D" w14:textId="77777777" w:rsidTr="009F4766">
        <w:tc>
          <w:tcPr>
            <w:tcW w:w="1182" w:type="dxa"/>
            <w:tcBorders>
              <w:top w:val="single" w:sz="2" w:space="0" w:color="auto"/>
              <w:left w:val="single" w:sz="2" w:space="0" w:color="auto"/>
              <w:bottom w:val="single" w:sz="2" w:space="0" w:color="auto"/>
              <w:right w:val="single" w:sz="2" w:space="0" w:color="auto"/>
            </w:tcBorders>
          </w:tcPr>
          <w:p w14:paraId="76D054E7" w14:textId="77777777" w:rsidR="009F4766" w:rsidRPr="00DE12A3" w:rsidRDefault="009F4766" w:rsidP="00C917D6">
            <w:pPr>
              <w:pStyle w:val="NormalLeft"/>
            </w:pPr>
            <w:r w:rsidRPr="00DE12A3">
              <w:t>22</w:t>
            </w:r>
          </w:p>
        </w:tc>
        <w:tc>
          <w:tcPr>
            <w:tcW w:w="2489" w:type="dxa"/>
            <w:tcBorders>
              <w:top w:val="single" w:sz="2" w:space="0" w:color="auto"/>
              <w:left w:val="single" w:sz="2" w:space="0" w:color="auto"/>
              <w:bottom w:val="single" w:sz="2" w:space="0" w:color="auto"/>
              <w:right w:val="single" w:sz="2" w:space="0" w:color="auto"/>
            </w:tcBorders>
          </w:tcPr>
          <w:p w14:paraId="31561994" w14:textId="77777777" w:rsidR="009F4766" w:rsidRPr="00DE12A3" w:rsidRDefault="009F4766" w:rsidP="00C917D6">
            <w:pPr>
              <w:pStyle w:val="NormalLeft"/>
            </w:pPr>
            <w:r w:rsidRPr="00DE12A3">
              <w:t>16</w:t>
            </w:r>
          </w:p>
        </w:tc>
        <w:tc>
          <w:tcPr>
            <w:tcW w:w="2551" w:type="dxa"/>
            <w:tcBorders>
              <w:top w:val="single" w:sz="2" w:space="0" w:color="auto"/>
              <w:left w:val="single" w:sz="2" w:space="0" w:color="auto"/>
              <w:bottom w:val="single" w:sz="2" w:space="0" w:color="auto"/>
              <w:right w:val="single" w:sz="2" w:space="0" w:color="auto"/>
            </w:tcBorders>
          </w:tcPr>
          <w:p w14:paraId="4F201FC0" w14:textId="77777777" w:rsidR="009F4766" w:rsidRPr="00DE12A3" w:rsidRDefault="009F4766" w:rsidP="00C917D6">
            <w:pPr>
              <w:pStyle w:val="NormalLeft"/>
            </w:pPr>
            <w:r w:rsidRPr="00DE12A3">
              <w:t>45</w:t>
            </w:r>
          </w:p>
        </w:tc>
      </w:tr>
      <w:tr w:rsidR="00DE12A3" w:rsidRPr="00DE12A3" w14:paraId="60393E92" w14:textId="77777777" w:rsidTr="009F4766">
        <w:tc>
          <w:tcPr>
            <w:tcW w:w="1182" w:type="dxa"/>
            <w:tcBorders>
              <w:top w:val="single" w:sz="2" w:space="0" w:color="auto"/>
              <w:left w:val="single" w:sz="2" w:space="0" w:color="auto"/>
              <w:bottom w:val="single" w:sz="2" w:space="0" w:color="auto"/>
              <w:right w:val="single" w:sz="2" w:space="0" w:color="auto"/>
            </w:tcBorders>
          </w:tcPr>
          <w:p w14:paraId="215BD0FC" w14:textId="77777777" w:rsidR="009F4766" w:rsidRPr="00DE12A3" w:rsidRDefault="009F4766" w:rsidP="00C917D6">
            <w:pPr>
              <w:pStyle w:val="NormalLeft"/>
            </w:pPr>
            <w:r w:rsidRPr="00DE12A3">
              <w:t>23</w:t>
            </w:r>
          </w:p>
        </w:tc>
        <w:tc>
          <w:tcPr>
            <w:tcW w:w="2489" w:type="dxa"/>
            <w:tcBorders>
              <w:top w:val="single" w:sz="2" w:space="0" w:color="auto"/>
              <w:left w:val="single" w:sz="2" w:space="0" w:color="auto"/>
              <w:bottom w:val="single" w:sz="2" w:space="0" w:color="auto"/>
              <w:right w:val="single" w:sz="2" w:space="0" w:color="auto"/>
            </w:tcBorders>
          </w:tcPr>
          <w:p w14:paraId="5A6D0B24" w14:textId="77777777" w:rsidR="009F4766" w:rsidRPr="00DE12A3" w:rsidRDefault="009F4766" w:rsidP="00C917D6">
            <w:pPr>
              <w:pStyle w:val="NormalLeft"/>
            </w:pPr>
            <w:r w:rsidRPr="00DE12A3">
              <w:t>24</w:t>
            </w:r>
          </w:p>
        </w:tc>
        <w:tc>
          <w:tcPr>
            <w:tcW w:w="2551" w:type="dxa"/>
            <w:tcBorders>
              <w:top w:val="single" w:sz="2" w:space="0" w:color="auto"/>
              <w:left w:val="single" w:sz="2" w:space="0" w:color="auto"/>
              <w:bottom w:val="single" w:sz="2" w:space="0" w:color="auto"/>
              <w:right w:val="single" w:sz="2" w:space="0" w:color="auto"/>
            </w:tcBorders>
          </w:tcPr>
          <w:p w14:paraId="24515BBE" w14:textId="77777777" w:rsidR="009F4766" w:rsidRPr="00DE12A3" w:rsidRDefault="009F4766" w:rsidP="00C917D6">
            <w:pPr>
              <w:pStyle w:val="NormalLeft"/>
            </w:pPr>
            <w:r w:rsidRPr="00DE12A3">
              <w:t>38</w:t>
            </w:r>
          </w:p>
        </w:tc>
      </w:tr>
      <w:tr w:rsidR="00DE12A3" w:rsidRPr="00DE12A3" w14:paraId="75C0E053" w14:textId="77777777" w:rsidTr="009F4766">
        <w:tc>
          <w:tcPr>
            <w:tcW w:w="1182" w:type="dxa"/>
            <w:tcBorders>
              <w:top w:val="single" w:sz="2" w:space="0" w:color="auto"/>
              <w:left w:val="single" w:sz="2" w:space="0" w:color="auto"/>
              <w:bottom w:val="single" w:sz="2" w:space="0" w:color="auto"/>
              <w:right w:val="single" w:sz="2" w:space="0" w:color="auto"/>
            </w:tcBorders>
          </w:tcPr>
          <w:p w14:paraId="0F2249DF" w14:textId="77777777" w:rsidR="009F4766" w:rsidRPr="00DE12A3" w:rsidRDefault="009F4766" w:rsidP="00C917D6">
            <w:pPr>
              <w:pStyle w:val="NormalLeft"/>
            </w:pPr>
            <w:r w:rsidRPr="00DE12A3">
              <w:t>24</w:t>
            </w:r>
          </w:p>
        </w:tc>
        <w:tc>
          <w:tcPr>
            <w:tcW w:w="2489" w:type="dxa"/>
            <w:tcBorders>
              <w:top w:val="single" w:sz="2" w:space="0" w:color="auto"/>
              <w:left w:val="single" w:sz="2" w:space="0" w:color="auto"/>
              <w:bottom w:val="single" w:sz="2" w:space="0" w:color="auto"/>
              <w:right w:val="single" w:sz="2" w:space="0" w:color="auto"/>
            </w:tcBorders>
          </w:tcPr>
          <w:p w14:paraId="3178B9E4" w14:textId="77777777" w:rsidR="009F4766" w:rsidRPr="00DE12A3" w:rsidRDefault="009F4766" w:rsidP="00C917D6">
            <w:pPr>
              <w:pStyle w:val="NormalLeft"/>
            </w:pPr>
            <w:r w:rsidRPr="00DE12A3">
              <w:t>24</w:t>
            </w:r>
          </w:p>
        </w:tc>
        <w:tc>
          <w:tcPr>
            <w:tcW w:w="2551" w:type="dxa"/>
            <w:tcBorders>
              <w:top w:val="single" w:sz="2" w:space="0" w:color="auto"/>
              <w:left w:val="single" w:sz="2" w:space="0" w:color="auto"/>
              <w:bottom w:val="single" w:sz="2" w:space="0" w:color="auto"/>
              <w:right w:val="single" w:sz="2" w:space="0" w:color="auto"/>
            </w:tcBorders>
          </w:tcPr>
          <w:p w14:paraId="7F803D69" w14:textId="77777777" w:rsidR="009F4766" w:rsidRPr="00DE12A3" w:rsidRDefault="009F4766" w:rsidP="00C917D6">
            <w:pPr>
              <w:pStyle w:val="NormalLeft"/>
            </w:pPr>
            <w:r w:rsidRPr="00DE12A3">
              <w:t>27</w:t>
            </w:r>
          </w:p>
        </w:tc>
      </w:tr>
      <w:tr w:rsidR="00DE12A3" w:rsidRPr="00DE12A3" w14:paraId="40E46787" w14:textId="77777777" w:rsidTr="009F4766">
        <w:tc>
          <w:tcPr>
            <w:tcW w:w="1182" w:type="dxa"/>
            <w:tcBorders>
              <w:top w:val="single" w:sz="2" w:space="0" w:color="auto"/>
              <w:left w:val="single" w:sz="2" w:space="0" w:color="auto"/>
              <w:bottom w:val="single" w:sz="2" w:space="0" w:color="auto"/>
              <w:right w:val="single" w:sz="2" w:space="0" w:color="auto"/>
            </w:tcBorders>
          </w:tcPr>
          <w:p w14:paraId="036AC1AC" w14:textId="77777777" w:rsidR="009F4766" w:rsidRPr="00DE12A3" w:rsidRDefault="009F4766" w:rsidP="00C917D6">
            <w:pPr>
              <w:pStyle w:val="NormalLeft"/>
            </w:pPr>
            <w:r w:rsidRPr="00DE12A3">
              <w:t>25</w:t>
            </w:r>
          </w:p>
        </w:tc>
        <w:tc>
          <w:tcPr>
            <w:tcW w:w="2489" w:type="dxa"/>
            <w:tcBorders>
              <w:top w:val="single" w:sz="2" w:space="0" w:color="auto"/>
              <w:left w:val="single" w:sz="2" w:space="0" w:color="auto"/>
              <w:bottom w:val="single" w:sz="2" w:space="0" w:color="auto"/>
              <w:right w:val="single" w:sz="2" w:space="0" w:color="auto"/>
            </w:tcBorders>
          </w:tcPr>
          <w:p w14:paraId="31949E28" w14:textId="77777777" w:rsidR="009F4766" w:rsidRPr="00DE12A3" w:rsidRDefault="009F4766" w:rsidP="00C917D6">
            <w:pPr>
              <w:pStyle w:val="NormalLeft"/>
            </w:pPr>
            <w:r w:rsidRPr="00DE12A3">
              <w:t>30</w:t>
            </w:r>
          </w:p>
        </w:tc>
        <w:tc>
          <w:tcPr>
            <w:tcW w:w="2551" w:type="dxa"/>
            <w:tcBorders>
              <w:top w:val="single" w:sz="2" w:space="0" w:color="auto"/>
              <w:left w:val="single" w:sz="2" w:space="0" w:color="auto"/>
              <w:bottom w:val="single" w:sz="2" w:space="0" w:color="auto"/>
              <w:right w:val="single" w:sz="2" w:space="0" w:color="auto"/>
            </w:tcBorders>
          </w:tcPr>
          <w:p w14:paraId="2D8420A0" w14:textId="77777777" w:rsidR="009F4766" w:rsidRPr="00DE12A3" w:rsidRDefault="009F4766" w:rsidP="00C917D6">
            <w:pPr>
              <w:pStyle w:val="NormalLeft"/>
            </w:pPr>
            <w:r w:rsidRPr="00DE12A3">
              <w:t>33</w:t>
            </w:r>
          </w:p>
        </w:tc>
      </w:tr>
      <w:tr w:rsidR="00DE12A3" w:rsidRPr="00DE12A3" w14:paraId="5B93B518" w14:textId="77777777" w:rsidTr="009F4766">
        <w:tc>
          <w:tcPr>
            <w:tcW w:w="1182" w:type="dxa"/>
            <w:tcBorders>
              <w:top w:val="single" w:sz="2" w:space="0" w:color="auto"/>
              <w:left w:val="single" w:sz="2" w:space="0" w:color="auto"/>
              <w:bottom w:val="single" w:sz="2" w:space="0" w:color="auto"/>
              <w:right w:val="single" w:sz="2" w:space="0" w:color="auto"/>
            </w:tcBorders>
          </w:tcPr>
          <w:p w14:paraId="156471E0" w14:textId="77777777" w:rsidR="009F4766" w:rsidRPr="00DE12A3" w:rsidRDefault="009F4766" w:rsidP="00C917D6">
            <w:pPr>
              <w:pStyle w:val="NormalLeft"/>
            </w:pPr>
            <w:r w:rsidRPr="00DE12A3">
              <w:t>26</w:t>
            </w:r>
          </w:p>
        </w:tc>
        <w:tc>
          <w:tcPr>
            <w:tcW w:w="2489" w:type="dxa"/>
            <w:tcBorders>
              <w:top w:val="single" w:sz="2" w:space="0" w:color="auto"/>
              <w:left w:val="single" w:sz="2" w:space="0" w:color="auto"/>
              <w:bottom w:val="single" w:sz="2" w:space="0" w:color="auto"/>
              <w:right w:val="single" w:sz="2" w:space="0" w:color="auto"/>
            </w:tcBorders>
          </w:tcPr>
          <w:p w14:paraId="49714AF5" w14:textId="77777777" w:rsidR="009F4766" w:rsidRPr="00DE12A3" w:rsidRDefault="009F4766" w:rsidP="00C917D6">
            <w:pPr>
              <w:pStyle w:val="NormalLeft"/>
            </w:pPr>
            <w:r w:rsidRPr="00DE12A3">
              <w:t>45</w:t>
            </w:r>
          </w:p>
        </w:tc>
        <w:tc>
          <w:tcPr>
            <w:tcW w:w="2551" w:type="dxa"/>
            <w:tcBorders>
              <w:top w:val="single" w:sz="2" w:space="0" w:color="auto"/>
              <w:left w:val="single" w:sz="2" w:space="0" w:color="auto"/>
              <w:bottom w:val="single" w:sz="2" w:space="0" w:color="auto"/>
              <w:right w:val="single" w:sz="2" w:space="0" w:color="auto"/>
            </w:tcBorders>
          </w:tcPr>
          <w:p w14:paraId="1A5575C5" w14:textId="77777777" w:rsidR="009F4766" w:rsidRPr="00DE12A3" w:rsidRDefault="009F4766" w:rsidP="00C917D6">
            <w:pPr>
              <w:pStyle w:val="NormalLeft"/>
            </w:pPr>
            <w:r w:rsidRPr="00DE12A3">
              <w:t>65</w:t>
            </w:r>
          </w:p>
        </w:tc>
      </w:tr>
      <w:tr w:rsidR="00DE12A3" w:rsidRPr="00DE12A3" w14:paraId="6D321852" w14:textId="77777777" w:rsidTr="009F4766">
        <w:tc>
          <w:tcPr>
            <w:tcW w:w="1182" w:type="dxa"/>
            <w:tcBorders>
              <w:top w:val="single" w:sz="2" w:space="0" w:color="auto"/>
              <w:left w:val="single" w:sz="2" w:space="0" w:color="auto"/>
              <w:bottom w:val="single" w:sz="2" w:space="0" w:color="auto"/>
              <w:right w:val="single" w:sz="2" w:space="0" w:color="auto"/>
            </w:tcBorders>
          </w:tcPr>
          <w:p w14:paraId="4C975234" w14:textId="77777777" w:rsidR="009F4766" w:rsidRPr="00DE12A3" w:rsidRDefault="009F4766" w:rsidP="00C917D6">
            <w:pPr>
              <w:pStyle w:val="NormalLeft"/>
            </w:pPr>
            <w:r w:rsidRPr="00DE12A3">
              <w:lastRenderedPageBreak/>
              <w:t>27</w:t>
            </w:r>
          </w:p>
        </w:tc>
        <w:tc>
          <w:tcPr>
            <w:tcW w:w="2489" w:type="dxa"/>
            <w:tcBorders>
              <w:top w:val="single" w:sz="2" w:space="0" w:color="auto"/>
              <w:left w:val="single" w:sz="2" w:space="0" w:color="auto"/>
              <w:bottom w:val="single" w:sz="2" w:space="0" w:color="auto"/>
              <w:right w:val="single" w:sz="2" w:space="0" w:color="auto"/>
            </w:tcBorders>
          </w:tcPr>
          <w:p w14:paraId="643971BA" w14:textId="77777777" w:rsidR="009F4766" w:rsidRPr="00DE12A3" w:rsidRDefault="009F4766" w:rsidP="00C917D6">
            <w:pPr>
              <w:pStyle w:val="NormalLeft"/>
            </w:pPr>
            <w:r w:rsidRPr="00DE12A3">
              <w:t>50</w:t>
            </w:r>
          </w:p>
        </w:tc>
        <w:tc>
          <w:tcPr>
            <w:tcW w:w="2551" w:type="dxa"/>
            <w:tcBorders>
              <w:top w:val="single" w:sz="2" w:space="0" w:color="auto"/>
              <w:left w:val="single" w:sz="2" w:space="0" w:color="auto"/>
              <w:bottom w:val="single" w:sz="2" w:space="0" w:color="auto"/>
              <w:right w:val="single" w:sz="2" w:space="0" w:color="auto"/>
            </w:tcBorders>
          </w:tcPr>
          <w:p w14:paraId="0ACCC870" w14:textId="77777777" w:rsidR="009F4766" w:rsidRPr="00DE12A3" w:rsidRDefault="009F4766" w:rsidP="00C917D6">
            <w:pPr>
              <w:pStyle w:val="NormalLeft"/>
            </w:pPr>
            <w:r w:rsidRPr="00DE12A3">
              <w:t>49</w:t>
            </w:r>
          </w:p>
        </w:tc>
      </w:tr>
      <w:tr w:rsidR="00DE12A3" w:rsidRPr="00DE12A3" w14:paraId="65CBCEAF" w14:textId="77777777" w:rsidTr="009F4766">
        <w:tc>
          <w:tcPr>
            <w:tcW w:w="1182" w:type="dxa"/>
            <w:tcBorders>
              <w:top w:val="single" w:sz="2" w:space="0" w:color="auto"/>
              <w:left w:val="single" w:sz="2" w:space="0" w:color="auto"/>
              <w:bottom w:val="single" w:sz="2" w:space="0" w:color="auto"/>
              <w:right w:val="single" w:sz="2" w:space="0" w:color="auto"/>
            </w:tcBorders>
          </w:tcPr>
          <w:p w14:paraId="35DC055D" w14:textId="77777777" w:rsidR="009F4766" w:rsidRPr="00DE12A3" w:rsidRDefault="009F4766" w:rsidP="00C917D6">
            <w:pPr>
              <w:pStyle w:val="NormalLeft"/>
            </w:pPr>
            <w:r w:rsidRPr="00DE12A3">
              <w:t>28</w:t>
            </w:r>
          </w:p>
        </w:tc>
        <w:tc>
          <w:tcPr>
            <w:tcW w:w="2489" w:type="dxa"/>
            <w:tcBorders>
              <w:top w:val="single" w:sz="2" w:space="0" w:color="auto"/>
              <w:left w:val="single" w:sz="2" w:space="0" w:color="auto"/>
              <w:bottom w:val="single" w:sz="2" w:space="0" w:color="auto"/>
              <w:right w:val="single" w:sz="2" w:space="0" w:color="auto"/>
            </w:tcBorders>
          </w:tcPr>
          <w:p w14:paraId="54C69920" w14:textId="77777777" w:rsidR="009F4766" w:rsidRPr="00DE12A3" w:rsidRDefault="009F4766" w:rsidP="00C917D6">
            <w:pPr>
              <w:pStyle w:val="NormalLeft"/>
            </w:pPr>
            <w:r w:rsidRPr="00DE12A3">
              <w:t>23</w:t>
            </w:r>
          </w:p>
        </w:tc>
        <w:tc>
          <w:tcPr>
            <w:tcW w:w="2551" w:type="dxa"/>
            <w:tcBorders>
              <w:top w:val="single" w:sz="2" w:space="0" w:color="auto"/>
              <w:left w:val="single" w:sz="2" w:space="0" w:color="auto"/>
              <w:bottom w:val="single" w:sz="2" w:space="0" w:color="auto"/>
              <w:right w:val="single" w:sz="2" w:space="0" w:color="auto"/>
            </w:tcBorders>
          </w:tcPr>
          <w:p w14:paraId="61ED4062" w14:textId="77777777" w:rsidR="009F4766" w:rsidRPr="00DE12A3" w:rsidRDefault="009F4766" w:rsidP="00C917D6">
            <w:pPr>
              <w:pStyle w:val="NormalLeft"/>
            </w:pPr>
            <w:r w:rsidRPr="00DE12A3">
              <w:t>42</w:t>
            </w:r>
          </w:p>
        </w:tc>
      </w:tr>
      <w:tr w:rsidR="00DE12A3" w:rsidRPr="00DE12A3" w14:paraId="085B1EC9" w14:textId="77777777" w:rsidTr="009F4766">
        <w:tc>
          <w:tcPr>
            <w:tcW w:w="1182" w:type="dxa"/>
            <w:tcBorders>
              <w:top w:val="single" w:sz="2" w:space="0" w:color="auto"/>
              <w:left w:val="single" w:sz="2" w:space="0" w:color="auto"/>
              <w:bottom w:val="single" w:sz="2" w:space="0" w:color="auto"/>
              <w:right w:val="single" w:sz="2" w:space="0" w:color="auto"/>
            </w:tcBorders>
          </w:tcPr>
          <w:p w14:paraId="56C4FCAB" w14:textId="77777777" w:rsidR="009F4766" w:rsidRPr="00DE12A3" w:rsidRDefault="009F4766" w:rsidP="00C917D6">
            <w:pPr>
              <w:pStyle w:val="NormalLeft"/>
            </w:pPr>
            <w:r w:rsidRPr="00DE12A3">
              <w:t>29</w:t>
            </w:r>
          </w:p>
        </w:tc>
        <w:tc>
          <w:tcPr>
            <w:tcW w:w="2489" w:type="dxa"/>
            <w:tcBorders>
              <w:top w:val="single" w:sz="2" w:space="0" w:color="auto"/>
              <w:left w:val="single" w:sz="2" w:space="0" w:color="auto"/>
              <w:bottom w:val="single" w:sz="2" w:space="0" w:color="auto"/>
              <w:right w:val="single" w:sz="2" w:space="0" w:color="auto"/>
            </w:tcBorders>
          </w:tcPr>
          <w:p w14:paraId="5E1E17F1" w14:textId="77777777" w:rsidR="009F4766" w:rsidRPr="00DE12A3" w:rsidRDefault="009F4766" w:rsidP="00C917D6">
            <w:pPr>
              <w:pStyle w:val="NormalLeft"/>
            </w:pPr>
            <w:r w:rsidRPr="00DE12A3">
              <w:t>13</w:t>
            </w:r>
          </w:p>
        </w:tc>
        <w:tc>
          <w:tcPr>
            <w:tcW w:w="2551" w:type="dxa"/>
            <w:tcBorders>
              <w:top w:val="single" w:sz="2" w:space="0" w:color="auto"/>
              <w:left w:val="single" w:sz="2" w:space="0" w:color="auto"/>
              <w:bottom w:val="single" w:sz="2" w:space="0" w:color="auto"/>
              <w:right w:val="single" w:sz="2" w:space="0" w:color="auto"/>
            </w:tcBorders>
          </w:tcPr>
          <w:p w14:paraId="43896100" w14:textId="77777777" w:rsidR="009F4766" w:rsidRPr="00DE12A3" w:rsidRDefault="009F4766" w:rsidP="00C917D6">
            <w:pPr>
              <w:pStyle w:val="NormalLeft"/>
            </w:pPr>
            <w:r w:rsidRPr="00DE12A3">
              <w:t>42</w:t>
            </w:r>
          </w:p>
        </w:tc>
      </w:tr>
      <w:tr w:rsidR="00DE12A3" w:rsidRPr="00DE12A3" w14:paraId="45DBA257" w14:textId="77777777" w:rsidTr="009F4766">
        <w:tc>
          <w:tcPr>
            <w:tcW w:w="1182" w:type="dxa"/>
            <w:tcBorders>
              <w:top w:val="single" w:sz="2" w:space="0" w:color="auto"/>
              <w:left w:val="single" w:sz="2" w:space="0" w:color="auto"/>
              <w:bottom w:val="single" w:sz="2" w:space="0" w:color="auto"/>
              <w:right w:val="single" w:sz="2" w:space="0" w:color="auto"/>
            </w:tcBorders>
          </w:tcPr>
          <w:p w14:paraId="2AB8BA12" w14:textId="77777777" w:rsidR="009F4766" w:rsidRPr="00DE12A3" w:rsidRDefault="009F4766" w:rsidP="00C917D6">
            <w:pPr>
              <w:pStyle w:val="NormalLeft"/>
            </w:pPr>
            <w:r w:rsidRPr="00DE12A3">
              <w:t>30</w:t>
            </w:r>
          </w:p>
        </w:tc>
        <w:tc>
          <w:tcPr>
            <w:tcW w:w="2489" w:type="dxa"/>
            <w:tcBorders>
              <w:top w:val="single" w:sz="2" w:space="0" w:color="auto"/>
              <w:left w:val="single" w:sz="2" w:space="0" w:color="auto"/>
              <w:bottom w:val="single" w:sz="2" w:space="0" w:color="auto"/>
              <w:right w:val="single" w:sz="2" w:space="0" w:color="auto"/>
            </w:tcBorders>
          </w:tcPr>
          <w:p w14:paraId="0BC70F19" w14:textId="77777777" w:rsidR="009F4766" w:rsidRPr="00DE12A3" w:rsidRDefault="009F4766" w:rsidP="00C917D6">
            <w:pPr>
              <w:pStyle w:val="NormalLeft"/>
            </w:pPr>
            <w:r w:rsidRPr="00DE12A3">
              <w:t>9</w:t>
            </w:r>
          </w:p>
        </w:tc>
        <w:tc>
          <w:tcPr>
            <w:tcW w:w="2551" w:type="dxa"/>
            <w:tcBorders>
              <w:top w:val="single" w:sz="2" w:space="0" w:color="auto"/>
              <w:left w:val="single" w:sz="2" w:space="0" w:color="auto"/>
              <w:bottom w:val="single" w:sz="2" w:space="0" w:color="auto"/>
              <w:right w:val="single" w:sz="2" w:space="0" w:color="auto"/>
            </w:tcBorders>
          </w:tcPr>
          <w:p w14:paraId="6E9ADB4A" w14:textId="77777777" w:rsidR="009F4766" w:rsidRPr="00DE12A3" w:rsidRDefault="009F4766" w:rsidP="00C917D6">
            <w:pPr>
              <w:pStyle w:val="NormalLeft"/>
            </w:pPr>
            <w:r w:rsidRPr="00DE12A3">
              <w:t>45</w:t>
            </w:r>
          </w:p>
        </w:tc>
      </w:tr>
      <w:tr w:rsidR="00DE12A3" w:rsidRPr="00DE12A3" w14:paraId="1E1C006A" w14:textId="77777777" w:rsidTr="009F4766">
        <w:tc>
          <w:tcPr>
            <w:tcW w:w="1182" w:type="dxa"/>
            <w:tcBorders>
              <w:top w:val="single" w:sz="2" w:space="0" w:color="auto"/>
              <w:left w:val="single" w:sz="2" w:space="0" w:color="auto"/>
              <w:bottom w:val="single" w:sz="2" w:space="0" w:color="auto"/>
              <w:right w:val="single" w:sz="2" w:space="0" w:color="auto"/>
            </w:tcBorders>
          </w:tcPr>
          <w:p w14:paraId="15EFB235" w14:textId="77777777" w:rsidR="009F4766" w:rsidRPr="00DE12A3" w:rsidRDefault="009F4766" w:rsidP="00C917D6">
            <w:pPr>
              <w:pStyle w:val="NormalLeft"/>
            </w:pPr>
            <w:r w:rsidRPr="00DE12A3">
              <w:t>31</w:t>
            </w:r>
          </w:p>
        </w:tc>
        <w:tc>
          <w:tcPr>
            <w:tcW w:w="2489" w:type="dxa"/>
            <w:tcBorders>
              <w:top w:val="single" w:sz="2" w:space="0" w:color="auto"/>
              <w:left w:val="single" w:sz="2" w:space="0" w:color="auto"/>
              <w:bottom w:val="single" w:sz="2" w:space="0" w:color="auto"/>
              <w:right w:val="single" w:sz="2" w:space="0" w:color="auto"/>
            </w:tcBorders>
          </w:tcPr>
          <w:p w14:paraId="2794637D" w14:textId="77777777" w:rsidR="009F4766" w:rsidRPr="00DE12A3" w:rsidRDefault="009F4766" w:rsidP="00C917D6">
            <w:pPr>
              <w:pStyle w:val="NormalLeft"/>
            </w:pPr>
            <w:r w:rsidRPr="00DE12A3">
              <w:t>23</w:t>
            </w:r>
          </w:p>
        </w:tc>
        <w:tc>
          <w:tcPr>
            <w:tcW w:w="2551" w:type="dxa"/>
            <w:tcBorders>
              <w:top w:val="single" w:sz="2" w:space="0" w:color="auto"/>
              <w:left w:val="single" w:sz="2" w:space="0" w:color="auto"/>
              <w:bottom w:val="single" w:sz="2" w:space="0" w:color="auto"/>
              <w:right w:val="single" w:sz="2" w:space="0" w:color="auto"/>
            </w:tcBorders>
          </w:tcPr>
          <w:p w14:paraId="02B969C9" w14:textId="77777777" w:rsidR="009F4766" w:rsidRPr="00DE12A3" w:rsidRDefault="009F4766" w:rsidP="00C917D6">
            <w:pPr>
              <w:pStyle w:val="NormalLeft"/>
            </w:pPr>
            <w:r w:rsidRPr="00DE12A3">
              <w:t>30</w:t>
            </w:r>
          </w:p>
        </w:tc>
      </w:tr>
      <w:tr w:rsidR="00DE12A3" w:rsidRPr="00DE12A3" w14:paraId="60528FB9" w14:textId="77777777" w:rsidTr="009F4766">
        <w:tc>
          <w:tcPr>
            <w:tcW w:w="1182" w:type="dxa"/>
            <w:tcBorders>
              <w:top w:val="single" w:sz="2" w:space="0" w:color="auto"/>
              <w:left w:val="single" w:sz="2" w:space="0" w:color="auto"/>
              <w:bottom w:val="single" w:sz="2" w:space="0" w:color="auto"/>
              <w:right w:val="single" w:sz="2" w:space="0" w:color="auto"/>
            </w:tcBorders>
          </w:tcPr>
          <w:p w14:paraId="3348A56C" w14:textId="77777777" w:rsidR="009F4766" w:rsidRPr="00DE12A3" w:rsidRDefault="009F4766" w:rsidP="00C917D6">
            <w:pPr>
              <w:pStyle w:val="NormalLeft"/>
            </w:pPr>
            <w:r w:rsidRPr="00DE12A3">
              <w:t>32</w:t>
            </w:r>
          </w:p>
        </w:tc>
        <w:tc>
          <w:tcPr>
            <w:tcW w:w="2489" w:type="dxa"/>
            <w:tcBorders>
              <w:top w:val="single" w:sz="2" w:space="0" w:color="auto"/>
              <w:left w:val="single" w:sz="2" w:space="0" w:color="auto"/>
              <w:bottom w:val="single" w:sz="2" w:space="0" w:color="auto"/>
              <w:right w:val="single" w:sz="2" w:space="0" w:color="auto"/>
            </w:tcBorders>
          </w:tcPr>
          <w:p w14:paraId="04FEF296" w14:textId="77777777" w:rsidR="009F4766" w:rsidRPr="00DE12A3" w:rsidRDefault="009F4766" w:rsidP="00C917D6">
            <w:pPr>
              <w:pStyle w:val="NormalLeft"/>
            </w:pPr>
            <w:r w:rsidRPr="00DE12A3">
              <w:t>37</w:t>
            </w:r>
          </w:p>
        </w:tc>
        <w:tc>
          <w:tcPr>
            <w:tcW w:w="2551" w:type="dxa"/>
            <w:tcBorders>
              <w:top w:val="single" w:sz="2" w:space="0" w:color="auto"/>
              <w:left w:val="single" w:sz="2" w:space="0" w:color="auto"/>
              <w:bottom w:val="single" w:sz="2" w:space="0" w:color="auto"/>
              <w:right w:val="single" w:sz="2" w:space="0" w:color="auto"/>
            </w:tcBorders>
          </w:tcPr>
          <w:p w14:paraId="43AD0982" w14:textId="77777777" w:rsidR="009F4766" w:rsidRPr="00DE12A3" w:rsidRDefault="009F4766" w:rsidP="00C917D6">
            <w:pPr>
              <w:pStyle w:val="NormalLeft"/>
            </w:pPr>
            <w:r w:rsidRPr="00DE12A3">
              <w:t>45</w:t>
            </w:r>
          </w:p>
        </w:tc>
      </w:tr>
      <w:tr w:rsidR="00DE12A3" w:rsidRPr="00DE12A3" w14:paraId="4FACD4A8" w14:textId="77777777" w:rsidTr="009F4766">
        <w:tc>
          <w:tcPr>
            <w:tcW w:w="1182" w:type="dxa"/>
            <w:tcBorders>
              <w:top w:val="single" w:sz="2" w:space="0" w:color="auto"/>
              <w:left w:val="single" w:sz="2" w:space="0" w:color="auto"/>
              <w:bottom w:val="single" w:sz="2" w:space="0" w:color="auto"/>
              <w:right w:val="single" w:sz="2" w:space="0" w:color="auto"/>
            </w:tcBorders>
          </w:tcPr>
          <w:p w14:paraId="5A60A1B1" w14:textId="77777777" w:rsidR="009F4766" w:rsidRPr="00DE12A3" w:rsidRDefault="009F4766" w:rsidP="00C917D6">
            <w:pPr>
              <w:pStyle w:val="NormalLeft"/>
            </w:pPr>
            <w:r w:rsidRPr="00DE12A3">
              <w:t>33</w:t>
            </w:r>
          </w:p>
        </w:tc>
        <w:tc>
          <w:tcPr>
            <w:tcW w:w="2489" w:type="dxa"/>
            <w:tcBorders>
              <w:top w:val="single" w:sz="2" w:space="0" w:color="auto"/>
              <w:left w:val="single" w:sz="2" w:space="0" w:color="auto"/>
              <w:bottom w:val="single" w:sz="2" w:space="0" w:color="auto"/>
              <w:right w:val="single" w:sz="2" w:space="0" w:color="auto"/>
            </w:tcBorders>
          </w:tcPr>
          <w:p w14:paraId="4827FC4F" w14:textId="77777777" w:rsidR="009F4766" w:rsidRPr="00DE12A3" w:rsidRDefault="009F4766" w:rsidP="00C917D6">
            <w:pPr>
              <w:pStyle w:val="NormalLeft"/>
            </w:pPr>
            <w:r w:rsidRPr="00DE12A3">
              <w:t>44</w:t>
            </w:r>
          </w:p>
        </w:tc>
        <w:tc>
          <w:tcPr>
            <w:tcW w:w="2551" w:type="dxa"/>
            <w:tcBorders>
              <w:top w:val="single" w:sz="2" w:space="0" w:color="auto"/>
              <w:left w:val="single" w:sz="2" w:space="0" w:color="auto"/>
              <w:bottom w:val="single" w:sz="2" w:space="0" w:color="auto"/>
              <w:right w:val="single" w:sz="2" w:space="0" w:color="auto"/>
            </w:tcBorders>
          </w:tcPr>
          <w:p w14:paraId="410749F3" w14:textId="77777777" w:rsidR="009F4766" w:rsidRPr="00DE12A3" w:rsidRDefault="009F4766" w:rsidP="00C917D6">
            <w:pPr>
              <w:pStyle w:val="NormalLeft"/>
            </w:pPr>
            <w:r w:rsidRPr="00DE12A3">
              <w:t>50</w:t>
            </w:r>
          </w:p>
        </w:tc>
      </w:tr>
      <w:tr w:rsidR="00DE12A3" w:rsidRPr="00DE12A3" w14:paraId="30D1212B" w14:textId="77777777" w:rsidTr="009F4766">
        <w:tc>
          <w:tcPr>
            <w:tcW w:w="1182" w:type="dxa"/>
            <w:tcBorders>
              <w:top w:val="single" w:sz="2" w:space="0" w:color="auto"/>
              <w:left w:val="single" w:sz="2" w:space="0" w:color="auto"/>
              <w:bottom w:val="single" w:sz="2" w:space="0" w:color="auto"/>
              <w:right w:val="single" w:sz="2" w:space="0" w:color="auto"/>
            </w:tcBorders>
          </w:tcPr>
          <w:p w14:paraId="346701A8" w14:textId="77777777" w:rsidR="009F4766" w:rsidRPr="00DE12A3" w:rsidRDefault="009F4766" w:rsidP="00C917D6">
            <w:pPr>
              <w:pStyle w:val="NormalLeft"/>
            </w:pPr>
            <w:r w:rsidRPr="00DE12A3">
              <w:t>34</w:t>
            </w:r>
          </w:p>
        </w:tc>
        <w:tc>
          <w:tcPr>
            <w:tcW w:w="2489" w:type="dxa"/>
            <w:tcBorders>
              <w:top w:val="single" w:sz="2" w:space="0" w:color="auto"/>
              <w:left w:val="single" w:sz="2" w:space="0" w:color="auto"/>
              <w:bottom w:val="single" w:sz="2" w:space="0" w:color="auto"/>
              <w:right w:val="single" w:sz="2" w:space="0" w:color="auto"/>
            </w:tcBorders>
          </w:tcPr>
          <w:p w14:paraId="6EB74E97" w14:textId="77777777" w:rsidR="009F4766" w:rsidRPr="00DE12A3" w:rsidRDefault="009F4766" w:rsidP="00C917D6">
            <w:pPr>
              <w:pStyle w:val="NormalLeft"/>
            </w:pPr>
            <w:r w:rsidRPr="00DE12A3">
              <w:t>49</w:t>
            </w:r>
          </w:p>
        </w:tc>
        <w:tc>
          <w:tcPr>
            <w:tcW w:w="2551" w:type="dxa"/>
            <w:tcBorders>
              <w:top w:val="single" w:sz="2" w:space="0" w:color="auto"/>
              <w:left w:val="single" w:sz="2" w:space="0" w:color="auto"/>
              <w:bottom w:val="single" w:sz="2" w:space="0" w:color="auto"/>
              <w:right w:val="single" w:sz="2" w:space="0" w:color="auto"/>
            </w:tcBorders>
          </w:tcPr>
          <w:p w14:paraId="094ED86A" w14:textId="77777777" w:rsidR="009F4766" w:rsidRPr="00DE12A3" w:rsidRDefault="009F4766" w:rsidP="00C917D6">
            <w:pPr>
              <w:pStyle w:val="NormalLeft"/>
            </w:pPr>
            <w:r w:rsidRPr="00DE12A3">
              <w:t>52</w:t>
            </w:r>
          </w:p>
        </w:tc>
      </w:tr>
      <w:tr w:rsidR="00DE12A3" w:rsidRPr="00DE12A3" w14:paraId="15F87BE6" w14:textId="77777777" w:rsidTr="009F4766">
        <w:tc>
          <w:tcPr>
            <w:tcW w:w="1182" w:type="dxa"/>
            <w:tcBorders>
              <w:top w:val="single" w:sz="2" w:space="0" w:color="auto"/>
              <w:left w:val="single" w:sz="2" w:space="0" w:color="auto"/>
              <w:bottom w:val="single" w:sz="2" w:space="0" w:color="auto"/>
              <w:right w:val="single" w:sz="2" w:space="0" w:color="auto"/>
            </w:tcBorders>
          </w:tcPr>
          <w:p w14:paraId="61F22D1C" w14:textId="77777777" w:rsidR="009F4766" w:rsidRPr="00DE12A3" w:rsidRDefault="009F4766" w:rsidP="00C917D6">
            <w:pPr>
              <w:pStyle w:val="NormalLeft"/>
            </w:pPr>
            <w:r w:rsidRPr="00DE12A3">
              <w:t>35</w:t>
            </w:r>
          </w:p>
        </w:tc>
        <w:tc>
          <w:tcPr>
            <w:tcW w:w="2489" w:type="dxa"/>
            <w:tcBorders>
              <w:top w:val="single" w:sz="2" w:space="0" w:color="auto"/>
              <w:left w:val="single" w:sz="2" w:space="0" w:color="auto"/>
              <w:bottom w:val="single" w:sz="2" w:space="0" w:color="auto"/>
              <w:right w:val="single" w:sz="2" w:space="0" w:color="auto"/>
            </w:tcBorders>
          </w:tcPr>
          <w:p w14:paraId="22B977BF" w14:textId="77777777" w:rsidR="009F4766" w:rsidRPr="00DE12A3" w:rsidRDefault="009F4766" w:rsidP="00C917D6">
            <w:pPr>
              <w:pStyle w:val="NormalLeft"/>
            </w:pPr>
            <w:r w:rsidRPr="00DE12A3">
              <w:t>55</w:t>
            </w:r>
          </w:p>
        </w:tc>
        <w:tc>
          <w:tcPr>
            <w:tcW w:w="2551" w:type="dxa"/>
            <w:tcBorders>
              <w:top w:val="single" w:sz="2" w:space="0" w:color="auto"/>
              <w:left w:val="single" w:sz="2" w:space="0" w:color="auto"/>
              <w:bottom w:val="single" w:sz="2" w:space="0" w:color="auto"/>
              <w:right w:val="single" w:sz="2" w:space="0" w:color="auto"/>
            </w:tcBorders>
          </w:tcPr>
          <w:p w14:paraId="4033956E" w14:textId="77777777" w:rsidR="009F4766" w:rsidRPr="00DE12A3" w:rsidRDefault="009F4766" w:rsidP="00C917D6">
            <w:pPr>
              <w:pStyle w:val="NormalLeft"/>
            </w:pPr>
            <w:r w:rsidRPr="00DE12A3">
              <w:t>49</w:t>
            </w:r>
          </w:p>
        </w:tc>
      </w:tr>
      <w:tr w:rsidR="00DE12A3" w:rsidRPr="00DE12A3" w14:paraId="42D5DC19" w14:textId="77777777" w:rsidTr="009F4766">
        <w:tc>
          <w:tcPr>
            <w:tcW w:w="1182" w:type="dxa"/>
            <w:tcBorders>
              <w:top w:val="single" w:sz="2" w:space="0" w:color="auto"/>
              <w:left w:val="single" w:sz="2" w:space="0" w:color="auto"/>
              <w:bottom w:val="single" w:sz="2" w:space="0" w:color="auto"/>
              <w:right w:val="single" w:sz="2" w:space="0" w:color="auto"/>
            </w:tcBorders>
          </w:tcPr>
          <w:p w14:paraId="78B5DF59" w14:textId="77777777" w:rsidR="009F4766" w:rsidRPr="00DE12A3" w:rsidRDefault="009F4766" w:rsidP="00C917D6">
            <w:pPr>
              <w:pStyle w:val="NormalLeft"/>
            </w:pPr>
            <w:r w:rsidRPr="00DE12A3">
              <w:t>36</w:t>
            </w:r>
          </w:p>
        </w:tc>
        <w:tc>
          <w:tcPr>
            <w:tcW w:w="2489" w:type="dxa"/>
            <w:tcBorders>
              <w:top w:val="single" w:sz="2" w:space="0" w:color="auto"/>
              <w:left w:val="single" w:sz="2" w:space="0" w:color="auto"/>
              <w:bottom w:val="single" w:sz="2" w:space="0" w:color="auto"/>
              <w:right w:val="single" w:sz="2" w:space="0" w:color="auto"/>
            </w:tcBorders>
          </w:tcPr>
          <w:p w14:paraId="74464D65" w14:textId="77777777" w:rsidR="009F4766" w:rsidRPr="00DE12A3" w:rsidRDefault="009F4766" w:rsidP="00C917D6">
            <w:pPr>
              <w:pStyle w:val="NormalLeft"/>
            </w:pPr>
            <w:r w:rsidRPr="00DE12A3">
              <w:t>61</w:t>
            </w:r>
          </w:p>
        </w:tc>
        <w:tc>
          <w:tcPr>
            <w:tcW w:w="2551" w:type="dxa"/>
            <w:tcBorders>
              <w:top w:val="single" w:sz="2" w:space="0" w:color="auto"/>
              <w:left w:val="single" w:sz="2" w:space="0" w:color="auto"/>
              <w:bottom w:val="single" w:sz="2" w:space="0" w:color="auto"/>
              <w:right w:val="single" w:sz="2" w:space="0" w:color="auto"/>
            </w:tcBorders>
          </w:tcPr>
          <w:p w14:paraId="48140378" w14:textId="77777777" w:rsidR="009F4766" w:rsidRPr="00DE12A3" w:rsidRDefault="009F4766" w:rsidP="00C917D6">
            <w:pPr>
              <w:pStyle w:val="NormalLeft"/>
            </w:pPr>
            <w:r w:rsidRPr="00DE12A3">
              <w:t>46</w:t>
            </w:r>
          </w:p>
        </w:tc>
      </w:tr>
      <w:tr w:rsidR="00DE12A3" w:rsidRPr="00DE12A3" w14:paraId="4B8397E1" w14:textId="77777777" w:rsidTr="009F4766">
        <w:tc>
          <w:tcPr>
            <w:tcW w:w="1182" w:type="dxa"/>
            <w:tcBorders>
              <w:top w:val="single" w:sz="2" w:space="0" w:color="auto"/>
              <w:left w:val="single" w:sz="2" w:space="0" w:color="auto"/>
              <w:bottom w:val="single" w:sz="2" w:space="0" w:color="auto"/>
              <w:right w:val="single" w:sz="2" w:space="0" w:color="auto"/>
            </w:tcBorders>
          </w:tcPr>
          <w:p w14:paraId="21698C31" w14:textId="77777777" w:rsidR="009F4766" w:rsidRPr="00DE12A3" w:rsidRDefault="009F4766" w:rsidP="00C917D6">
            <w:pPr>
              <w:pStyle w:val="NormalLeft"/>
            </w:pPr>
            <w:r w:rsidRPr="00DE12A3">
              <w:t>37</w:t>
            </w:r>
          </w:p>
        </w:tc>
        <w:tc>
          <w:tcPr>
            <w:tcW w:w="2489" w:type="dxa"/>
            <w:tcBorders>
              <w:top w:val="single" w:sz="2" w:space="0" w:color="auto"/>
              <w:left w:val="single" w:sz="2" w:space="0" w:color="auto"/>
              <w:bottom w:val="single" w:sz="2" w:space="0" w:color="auto"/>
              <w:right w:val="single" w:sz="2" w:space="0" w:color="auto"/>
            </w:tcBorders>
          </w:tcPr>
          <w:p w14:paraId="6933F6DC" w14:textId="77777777" w:rsidR="009F4766" w:rsidRPr="00DE12A3" w:rsidRDefault="009F4766" w:rsidP="00C917D6">
            <w:pPr>
              <w:pStyle w:val="NormalLeft"/>
            </w:pPr>
            <w:r w:rsidRPr="00DE12A3">
              <w:t>66</w:t>
            </w:r>
          </w:p>
        </w:tc>
        <w:tc>
          <w:tcPr>
            <w:tcW w:w="2551" w:type="dxa"/>
            <w:tcBorders>
              <w:top w:val="single" w:sz="2" w:space="0" w:color="auto"/>
              <w:left w:val="single" w:sz="2" w:space="0" w:color="auto"/>
              <w:bottom w:val="single" w:sz="2" w:space="0" w:color="auto"/>
              <w:right w:val="single" w:sz="2" w:space="0" w:color="auto"/>
            </w:tcBorders>
          </w:tcPr>
          <w:p w14:paraId="09924592" w14:textId="77777777" w:rsidR="009F4766" w:rsidRPr="00DE12A3" w:rsidRDefault="009F4766" w:rsidP="00C917D6">
            <w:pPr>
              <w:pStyle w:val="NormalLeft"/>
            </w:pPr>
            <w:r w:rsidRPr="00DE12A3">
              <w:t>38</w:t>
            </w:r>
          </w:p>
        </w:tc>
      </w:tr>
      <w:tr w:rsidR="00DE12A3" w:rsidRPr="00DE12A3" w14:paraId="5A8D6E74" w14:textId="77777777" w:rsidTr="009F4766">
        <w:tc>
          <w:tcPr>
            <w:tcW w:w="1182" w:type="dxa"/>
            <w:tcBorders>
              <w:top w:val="single" w:sz="2" w:space="0" w:color="auto"/>
              <w:left w:val="single" w:sz="2" w:space="0" w:color="auto"/>
              <w:bottom w:val="single" w:sz="2" w:space="0" w:color="auto"/>
              <w:right w:val="single" w:sz="2" w:space="0" w:color="auto"/>
            </w:tcBorders>
          </w:tcPr>
          <w:p w14:paraId="1266622A" w14:textId="77777777" w:rsidR="009F4766" w:rsidRPr="00DE12A3" w:rsidRDefault="009F4766" w:rsidP="00C917D6">
            <w:pPr>
              <w:pStyle w:val="NormalLeft"/>
            </w:pPr>
            <w:r w:rsidRPr="00DE12A3">
              <w:t>38</w:t>
            </w:r>
          </w:p>
        </w:tc>
        <w:tc>
          <w:tcPr>
            <w:tcW w:w="2489" w:type="dxa"/>
            <w:tcBorders>
              <w:top w:val="single" w:sz="2" w:space="0" w:color="auto"/>
              <w:left w:val="single" w:sz="2" w:space="0" w:color="auto"/>
              <w:bottom w:val="single" w:sz="2" w:space="0" w:color="auto"/>
              <w:right w:val="single" w:sz="2" w:space="0" w:color="auto"/>
            </w:tcBorders>
          </w:tcPr>
          <w:p w14:paraId="7CD0AD69" w14:textId="77777777" w:rsidR="009F4766" w:rsidRPr="00DE12A3" w:rsidRDefault="009F4766" w:rsidP="00C917D6">
            <w:pPr>
              <w:pStyle w:val="NormalLeft"/>
            </w:pPr>
            <w:r w:rsidRPr="00DE12A3">
              <w:t>42</w:t>
            </w:r>
          </w:p>
        </w:tc>
        <w:tc>
          <w:tcPr>
            <w:tcW w:w="2551" w:type="dxa"/>
            <w:tcBorders>
              <w:top w:val="single" w:sz="2" w:space="0" w:color="auto"/>
              <w:left w:val="single" w:sz="2" w:space="0" w:color="auto"/>
              <w:bottom w:val="single" w:sz="2" w:space="0" w:color="auto"/>
              <w:right w:val="single" w:sz="2" w:space="0" w:color="auto"/>
            </w:tcBorders>
          </w:tcPr>
          <w:p w14:paraId="6C999246" w14:textId="77777777" w:rsidR="009F4766" w:rsidRPr="00DE12A3" w:rsidRDefault="009F4766" w:rsidP="00C917D6">
            <w:pPr>
              <w:pStyle w:val="NormalLeft"/>
            </w:pPr>
            <w:r w:rsidRPr="00DE12A3">
              <w:t>33</w:t>
            </w:r>
          </w:p>
        </w:tc>
      </w:tr>
      <w:tr w:rsidR="00DE12A3" w:rsidRPr="00DE12A3" w14:paraId="44E99BEB" w14:textId="77777777" w:rsidTr="009F4766">
        <w:tc>
          <w:tcPr>
            <w:tcW w:w="1182" w:type="dxa"/>
            <w:tcBorders>
              <w:top w:val="single" w:sz="2" w:space="0" w:color="auto"/>
              <w:left w:val="single" w:sz="2" w:space="0" w:color="auto"/>
              <w:bottom w:val="single" w:sz="2" w:space="0" w:color="auto"/>
              <w:right w:val="single" w:sz="2" w:space="0" w:color="auto"/>
            </w:tcBorders>
          </w:tcPr>
          <w:p w14:paraId="7ED34F0C" w14:textId="77777777" w:rsidR="009F4766" w:rsidRPr="00DE12A3" w:rsidRDefault="009F4766" w:rsidP="00C917D6">
            <w:pPr>
              <w:pStyle w:val="NormalLeft"/>
            </w:pPr>
            <w:r w:rsidRPr="00DE12A3">
              <w:t>39</w:t>
            </w:r>
          </w:p>
        </w:tc>
        <w:tc>
          <w:tcPr>
            <w:tcW w:w="2489" w:type="dxa"/>
            <w:tcBorders>
              <w:top w:val="single" w:sz="2" w:space="0" w:color="auto"/>
              <w:left w:val="single" w:sz="2" w:space="0" w:color="auto"/>
              <w:bottom w:val="single" w:sz="2" w:space="0" w:color="auto"/>
              <w:right w:val="single" w:sz="2" w:space="0" w:color="auto"/>
            </w:tcBorders>
          </w:tcPr>
          <w:p w14:paraId="0B8C89AE" w14:textId="77777777" w:rsidR="009F4766" w:rsidRPr="00DE12A3" w:rsidRDefault="009F4766" w:rsidP="00C917D6">
            <w:pPr>
              <w:pStyle w:val="NormalLeft"/>
            </w:pPr>
            <w:r w:rsidRPr="00DE12A3">
              <w:t>17</w:t>
            </w:r>
          </w:p>
        </w:tc>
        <w:tc>
          <w:tcPr>
            <w:tcW w:w="2551" w:type="dxa"/>
            <w:tcBorders>
              <w:top w:val="single" w:sz="2" w:space="0" w:color="auto"/>
              <w:left w:val="single" w:sz="2" w:space="0" w:color="auto"/>
              <w:bottom w:val="single" w:sz="2" w:space="0" w:color="auto"/>
              <w:right w:val="single" w:sz="2" w:space="0" w:color="auto"/>
            </w:tcBorders>
          </w:tcPr>
          <w:p w14:paraId="298A97AD" w14:textId="77777777" w:rsidR="009F4766" w:rsidRPr="00DE12A3" w:rsidRDefault="009F4766" w:rsidP="00C917D6">
            <w:pPr>
              <w:pStyle w:val="NormalLeft"/>
            </w:pPr>
            <w:r w:rsidRPr="00DE12A3">
              <w:t>41</w:t>
            </w:r>
          </w:p>
        </w:tc>
      </w:tr>
      <w:tr w:rsidR="00DE12A3" w:rsidRPr="00DE12A3" w14:paraId="72BE57F8" w14:textId="77777777" w:rsidTr="009F4766">
        <w:tc>
          <w:tcPr>
            <w:tcW w:w="1182" w:type="dxa"/>
            <w:tcBorders>
              <w:top w:val="single" w:sz="2" w:space="0" w:color="auto"/>
              <w:left w:val="single" w:sz="2" w:space="0" w:color="auto"/>
              <w:bottom w:val="single" w:sz="2" w:space="0" w:color="auto"/>
              <w:right w:val="single" w:sz="2" w:space="0" w:color="auto"/>
            </w:tcBorders>
          </w:tcPr>
          <w:p w14:paraId="510F5891" w14:textId="77777777" w:rsidR="009F4766" w:rsidRPr="00DE12A3" w:rsidRDefault="009F4766" w:rsidP="00C917D6">
            <w:pPr>
              <w:pStyle w:val="NormalLeft"/>
            </w:pPr>
            <w:r w:rsidRPr="00DE12A3">
              <w:t>40</w:t>
            </w:r>
          </w:p>
        </w:tc>
        <w:tc>
          <w:tcPr>
            <w:tcW w:w="2489" w:type="dxa"/>
            <w:tcBorders>
              <w:top w:val="single" w:sz="2" w:space="0" w:color="auto"/>
              <w:left w:val="single" w:sz="2" w:space="0" w:color="auto"/>
              <w:bottom w:val="single" w:sz="2" w:space="0" w:color="auto"/>
              <w:right w:val="single" w:sz="2" w:space="0" w:color="auto"/>
            </w:tcBorders>
          </w:tcPr>
          <w:p w14:paraId="54C5967B" w14:textId="77777777" w:rsidR="009F4766" w:rsidRPr="00DE12A3" w:rsidRDefault="009F4766" w:rsidP="00C917D6">
            <w:pPr>
              <w:pStyle w:val="NormalLeft"/>
            </w:pPr>
            <w:r w:rsidRPr="00DE12A3">
              <w:t>17</w:t>
            </w:r>
          </w:p>
        </w:tc>
        <w:tc>
          <w:tcPr>
            <w:tcW w:w="2551" w:type="dxa"/>
            <w:tcBorders>
              <w:top w:val="single" w:sz="2" w:space="0" w:color="auto"/>
              <w:left w:val="single" w:sz="2" w:space="0" w:color="auto"/>
              <w:bottom w:val="single" w:sz="2" w:space="0" w:color="auto"/>
              <w:right w:val="single" w:sz="2" w:space="0" w:color="auto"/>
            </w:tcBorders>
          </w:tcPr>
          <w:p w14:paraId="3B2AC46D" w14:textId="77777777" w:rsidR="009F4766" w:rsidRPr="00DE12A3" w:rsidRDefault="009F4766" w:rsidP="00C917D6">
            <w:pPr>
              <w:pStyle w:val="NormalLeft"/>
            </w:pPr>
            <w:r w:rsidRPr="00DE12A3">
              <w:t>37</w:t>
            </w:r>
          </w:p>
        </w:tc>
      </w:tr>
      <w:tr w:rsidR="00DE12A3" w:rsidRPr="00DE12A3" w14:paraId="05EB3F93" w14:textId="77777777" w:rsidTr="009F4766">
        <w:tc>
          <w:tcPr>
            <w:tcW w:w="1182" w:type="dxa"/>
            <w:tcBorders>
              <w:top w:val="single" w:sz="2" w:space="0" w:color="auto"/>
              <w:left w:val="single" w:sz="2" w:space="0" w:color="auto"/>
              <w:bottom w:val="single" w:sz="2" w:space="0" w:color="auto"/>
              <w:right w:val="single" w:sz="2" w:space="0" w:color="auto"/>
            </w:tcBorders>
          </w:tcPr>
          <w:p w14:paraId="0B41C526" w14:textId="77777777" w:rsidR="009F4766" w:rsidRPr="00DE12A3" w:rsidRDefault="009F4766" w:rsidP="00C917D6">
            <w:pPr>
              <w:pStyle w:val="NormalLeft"/>
            </w:pPr>
            <w:r w:rsidRPr="00DE12A3">
              <w:t>41</w:t>
            </w:r>
          </w:p>
        </w:tc>
        <w:tc>
          <w:tcPr>
            <w:tcW w:w="2489" w:type="dxa"/>
            <w:tcBorders>
              <w:top w:val="single" w:sz="2" w:space="0" w:color="auto"/>
              <w:left w:val="single" w:sz="2" w:space="0" w:color="auto"/>
              <w:bottom w:val="single" w:sz="2" w:space="0" w:color="auto"/>
              <w:right w:val="single" w:sz="2" w:space="0" w:color="auto"/>
            </w:tcBorders>
          </w:tcPr>
          <w:p w14:paraId="7535069D" w14:textId="77777777" w:rsidR="009F4766" w:rsidRPr="00DE12A3" w:rsidRDefault="009F4766" w:rsidP="00C917D6">
            <w:pPr>
              <w:pStyle w:val="NormalLeft"/>
            </w:pPr>
            <w:r w:rsidRPr="00DE12A3">
              <w:t>7</w:t>
            </w:r>
          </w:p>
        </w:tc>
        <w:tc>
          <w:tcPr>
            <w:tcW w:w="2551" w:type="dxa"/>
            <w:tcBorders>
              <w:top w:val="single" w:sz="2" w:space="0" w:color="auto"/>
              <w:left w:val="single" w:sz="2" w:space="0" w:color="auto"/>
              <w:bottom w:val="single" w:sz="2" w:space="0" w:color="auto"/>
              <w:right w:val="single" w:sz="2" w:space="0" w:color="auto"/>
            </w:tcBorders>
          </w:tcPr>
          <w:p w14:paraId="0E4B9DA3" w14:textId="77777777" w:rsidR="009F4766" w:rsidRPr="00DE12A3" w:rsidRDefault="009F4766" w:rsidP="00C917D6">
            <w:pPr>
              <w:pStyle w:val="NormalLeft"/>
            </w:pPr>
            <w:r w:rsidRPr="00DE12A3">
              <w:t>50</w:t>
            </w:r>
          </w:p>
        </w:tc>
      </w:tr>
      <w:tr w:rsidR="00DE12A3" w:rsidRPr="00DE12A3" w14:paraId="492D36F3" w14:textId="77777777" w:rsidTr="009F4766">
        <w:tc>
          <w:tcPr>
            <w:tcW w:w="1182" w:type="dxa"/>
            <w:tcBorders>
              <w:top w:val="single" w:sz="2" w:space="0" w:color="auto"/>
              <w:left w:val="single" w:sz="2" w:space="0" w:color="auto"/>
              <w:bottom w:val="single" w:sz="2" w:space="0" w:color="auto"/>
              <w:right w:val="single" w:sz="2" w:space="0" w:color="auto"/>
            </w:tcBorders>
          </w:tcPr>
          <w:p w14:paraId="2CF29736" w14:textId="77777777" w:rsidR="009F4766" w:rsidRPr="00DE12A3" w:rsidRDefault="009F4766" w:rsidP="00C917D6">
            <w:pPr>
              <w:pStyle w:val="NormalLeft"/>
            </w:pPr>
            <w:r w:rsidRPr="00DE12A3">
              <w:t>42</w:t>
            </w:r>
          </w:p>
        </w:tc>
        <w:tc>
          <w:tcPr>
            <w:tcW w:w="2489" w:type="dxa"/>
            <w:tcBorders>
              <w:top w:val="single" w:sz="2" w:space="0" w:color="auto"/>
              <w:left w:val="single" w:sz="2" w:space="0" w:color="auto"/>
              <w:bottom w:val="single" w:sz="2" w:space="0" w:color="auto"/>
              <w:right w:val="single" w:sz="2" w:space="0" w:color="auto"/>
            </w:tcBorders>
          </w:tcPr>
          <w:p w14:paraId="719FBDEB" w14:textId="77777777" w:rsidR="009F4766" w:rsidRPr="00DE12A3" w:rsidRDefault="009F4766" w:rsidP="00C917D6">
            <w:pPr>
              <w:pStyle w:val="NormalLeft"/>
            </w:pPr>
            <w:r w:rsidRPr="00DE12A3">
              <w:t>20</w:t>
            </w:r>
          </w:p>
        </w:tc>
        <w:tc>
          <w:tcPr>
            <w:tcW w:w="2551" w:type="dxa"/>
            <w:tcBorders>
              <w:top w:val="single" w:sz="2" w:space="0" w:color="auto"/>
              <w:left w:val="single" w:sz="2" w:space="0" w:color="auto"/>
              <w:bottom w:val="single" w:sz="2" w:space="0" w:color="auto"/>
              <w:right w:val="single" w:sz="2" w:space="0" w:color="auto"/>
            </w:tcBorders>
          </w:tcPr>
          <w:p w14:paraId="1845CF45" w14:textId="77777777" w:rsidR="009F4766" w:rsidRPr="00DE12A3" w:rsidRDefault="009F4766" w:rsidP="00C917D6">
            <w:pPr>
              <w:pStyle w:val="NormalLeft"/>
            </w:pPr>
            <w:r w:rsidRPr="00DE12A3">
              <w:t>32</w:t>
            </w:r>
          </w:p>
        </w:tc>
      </w:tr>
      <w:tr w:rsidR="00DE12A3" w:rsidRPr="00DE12A3" w14:paraId="499C71B5" w14:textId="77777777" w:rsidTr="009F4766">
        <w:tc>
          <w:tcPr>
            <w:tcW w:w="1182" w:type="dxa"/>
            <w:tcBorders>
              <w:top w:val="single" w:sz="2" w:space="0" w:color="auto"/>
              <w:left w:val="single" w:sz="2" w:space="0" w:color="auto"/>
              <w:bottom w:val="single" w:sz="2" w:space="0" w:color="auto"/>
              <w:right w:val="single" w:sz="2" w:space="0" w:color="auto"/>
            </w:tcBorders>
          </w:tcPr>
          <w:p w14:paraId="66A1DA8C" w14:textId="77777777" w:rsidR="009F4766" w:rsidRPr="00DE12A3" w:rsidRDefault="009F4766" w:rsidP="00C917D6">
            <w:pPr>
              <w:pStyle w:val="NormalLeft"/>
            </w:pPr>
            <w:r w:rsidRPr="00DE12A3">
              <w:t>43</w:t>
            </w:r>
          </w:p>
        </w:tc>
        <w:tc>
          <w:tcPr>
            <w:tcW w:w="2489" w:type="dxa"/>
            <w:tcBorders>
              <w:top w:val="single" w:sz="2" w:space="0" w:color="auto"/>
              <w:left w:val="single" w:sz="2" w:space="0" w:color="auto"/>
              <w:bottom w:val="single" w:sz="2" w:space="0" w:color="auto"/>
              <w:right w:val="single" w:sz="2" w:space="0" w:color="auto"/>
            </w:tcBorders>
          </w:tcPr>
          <w:p w14:paraId="6A4A17A1" w14:textId="77777777" w:rsidR="009F4766" w:rsidRPr="00DE12A3" w:rsidRDefault="009F4766" w:rsidP="00C917D6">
            <w:pPr>
              <w:pStyle w:val="NormalLeft"/>
            </w:pPr>
            <w:r w:rsidRPr="00DE12A3">
              <w:t>5</w:t>
            </w:r>
          </w:p>
        </w:tc>
        <w:tc>
          <w:tcPr>
            <w:tcW w:w="2551" w:type="dxa"/>
            <w:tcBorders>
              <w:top w:val="single" w:sz="2" w:space="0" w:color="auto"/>
              <w:left w:val="single" w:sz="2" w:space="0" w:color="auto"/>
              <w:bottom w:val="single" w:sz="2" w:space="0" w:color="auto"/>
              <w:right w:val="single" w:sz="2" w:space="0" w:color="auto"/>
            </w:tcBorders>
          </w:tcPr>
          <w:p w14:paraId="37797579" w14:textId="77777777" w:rsidR="009F4766" w:rsidRPr="00DE12A3" w:rsidRDefault="009F4766" w:rsidP="00C917D6">
            <w:pPr>
              <w:pStyle w:val="NormalLeft"/>
            </w:pPr>
            <w:r w:rsidRPr="00DE12A3">
              <w:t>55</w:t>
            </w:r>
          </w:p>
        </w:tc>
      </w:tr>
      <w:tr w:rsidR="00DE12A3" w:rsidRPr="00DE12A3" w14:paraId="79CFC2A2" w14:textId="77777777" w:rsidTr="009F4766">
        <w:tc>
          <w:tcPr>
            <w:tcW w:w="1182" w:type="dxa"/>
            <w:tcBorders>
              <w:top w:val="single" w:sz="2" w:space="0" w:color="auto"/>
              <w:left w:val="single" w:sz="2" w:space="0" w:color="auto"/>
              <w:bottom w:val="single" w:sz="2" w:space="0" w:color="auto"/>
              <w:right w:val="single" w:sz="2" w:space="0" w:color="auto"/>
            </w:tcBorders>
          </w:tcPr>
          <w:p w14:paraId="11C302ED" w14:textId="77777777" w:rsidR="009F4766" w:rsidRPr="00DE12A3" w:rsidRDefault="009F4766" w:rsidP="00C917D6">
            <w:pPr>
              <w:pStyle w:val="NormalLeft"/>
            </w:pPr>
            <w:r w:rsidRPr="00DE12A3">
              <w:t>44</w:t>
            </w:r>
          </w:p>
        </w:tc>
        <w:tc>
          <w:tcPr>
            <w:tcW w:w="2489" w:type="dxa"/>
            <w:tcBorders>
              <w:top w:val="single" w:sz="2" w:space="0" w:color="auto"/>
              <w:left w:val="single" w:sz="2" w:space="0" w:color="auto"/>
              <w:bottom w:val="single" w:sz="2" w:space="0" w:color="auto"/>
              <w:right w:val="single" w:sz="2" w:space="0" w:color="auto"/>
            </w:tcBorders>
          </w:tcPr>
          <w:p w14:paraId="0153ED3B" w14:textId="77777777" w:rsidR="009F4766" w:rsidRPr="00DE12A3" w:rsidRDefault="009F4766" w:rsidP="00C917D6">
            <w:pPr>
              <w:pStyle w:val="NormalLeft"/>
            </w:pPr>
            <w:r w:rsidRPr="00DE12A3">
              <w:t>30</w:t>
            </w:r>
          </w:p>
        </w:tc>
        <w:tc>
          <w:tcPr>
            <w:tcW w:w="2551" w:type="dxa"/>
            <w:tcBorders>
              <w:top w:val="single" w:sz="2" w:space="0" w:color="auto"/>
              <w:left w:val="single" w:sz="2" w:space="0" w:color="auto"/>
              <w:bottom w:val="single" w:sz="2" w:space="0" w:color="auto"/>
              <w:right w:val="single" w:sz="2" w:space="0" w:color="auto"/>
            </w:tcBorders>
          </w:tcPr>
          <w:p w14:paraId="0BC0AD94" w14:textId="77777777" w:rsidR="009F4766" w:rsidRPr="00DE12A3" w:rsidRDefault="009F4766" w:rsidP="00C917D6">
            <w:pPr>
              <w:pStyle w:val="NormalLeft"/>
            </w:pPr>
            <w:r w:rsidRPr="00DE12A3">
              <w:t>42</w:t>
            </w:r>
          </w:p>
        </w:tc>
      </w:tr>
      <w:tr w:rsidR="00DE12A3" w:rsidRPr="00DE12A3" w14:paraId="355DD2B7" w14:textId="77777777" w:rsidTr="009F4766">
        <w:tc>
          <w:tcPr>
            <w:tcW w:w="1182" w:type="dxa"/>
            <w:tcBorders>
              <w:top w:val="single" w:sz="2" w:space="0" w:color="auto"/>
              <w:left w:val="single" w:sz="2" w:space="0" w:color="auto"/>
              <w:bottom w:val="single" w:sz="2" w:space="0" w:color="auto"/>
              <w:right w:val="single" w:sz="2" w:space="0" w:color="auto"/>
            </w:tcBorders>
          </w:tcPr>
          <w:p w14:paraId="326AAB37" w14:textId="77777777" w:rsidR="009F4766" w:rsidRPr="00DE12A3" w:rsidRDefault="009F4766" w:rsidP="00C917D6">
            <w:pPr>
              <w:pStyle w:val="NormalLeft"/>
            </w:pPr>
            <w:r w:rsidRPr="00DE12A3">
              <w:t>45</w:t>
            </w:r>
          </w:p>
        </w:tc>
        <w:tc>
          <w:tcPr>
            <w:tcW w:w="2489" w:type="dxa"/>
            <w:tcBorders>
              <w:top w:val="single" w:sz="2" w:space="0" w:color="auto"/>
              <w:left w:val="single" w:sz="2" w:space="0" w:color="auto"/>
              <w:bottom w:val="single" w:sz="2" w:space="0" w:color="auto"/>
              <w:right w:val="single" w:sz="2" w:space="0" w:color="auto"/>
            </w:tcBorders>
          </w:tcPr>
          <w:p w14:paraId="41371D7E" w14:textId="77777777" w:rsidR="009F4766" w:rsidRPr="00DE12A3" w:rsidRDefault="009F4766" w:rsidP="00C917D6">
            <w:pPr>
              <w:pStyle w:val="NormalLeft"/>
            </w:pPr>
            <w:r w:rsidRPr="00DE12A3">
              <w:t>44</w:t>
            </w:r>
          </w:p>
        </w:tc>
        <w:tc>
          <w:tcPr>
            <w:tcW w:w="2551" w:type="dxa"/>
            <w:tcBorders>
              <w:top w:val="single" w:sz="2" w:space="0" w:color="auto"/>
              <w:left w:val="single" w:sz="2" w:space="0" w:color="auto"/>
              <w:bottom w:val="single" w:sz="2" w:space="0" w:color="auto"/>
              <w:right w:val="single" w:sz="2" w:space="0" w:color="auto"/>
            </w:tcBorders>
          </w:tcPr>
          <w:p w14:paraId="7A7353AB" w14:textId="77777777" w:rsidR="009F4766" w:rsidRPr="00DE12A3" w:rsidRDefault="009F4766" w:rsidP="00C917D6">
            <w:pPr>
              <w:pStyle w:val="NormalLeft"/>
            </w:pPr>
            <w:r w:rsidRPr="00DE12A3">
              <w:t>53</w:t>
            </w:r>
          </w:p>
        </w:tc>
      </w:tr>
      <w:tr w:rsidR="00DE12A3" w:rsidRPr="00DE12A3" w14:paraId="3BC85E7E" w14:textId="77777777" w:rsidTr="009F4766">
        <w:tc>
          <w:tcPr>
            <w:tcW w:w="1182" w:type="dxa"/>
            <w:tcBorders>
              <w:top w:val="single" w:sz="2" w:space="0" w:color="auto"/>
              <w:left w:val="single" w:sz="2" w:space="0" w:color="auto"/>
              <w:bottom w:val="single" w:sz="2" w:space="0" w:color="auto"/>
              <w:right w:val="single" w:sz="2" w:space="0" w:color="auto"/>
            </w:tcBorders>
          </w:tcPr>
          <w:p w14:paraId="6B69793D" w14:textId="77777777" w:rsidR="009F4766" w:rsidRPr="00DE12A3" w:rsidRDefault="009F4766" w:rsidP="00C917D6">
            <w:pPr>
              <w:pStyle w:val="NormalLeft"/>
            </w:pPr>
            <w:r w:rsidRPr="00DE12A3">
              <w:t>46</w:t>
            </w:r>
          </w:p>
        </w:tc>
        <w:tc>
          <w:tcPr>
            <w:tcW w:w="2489" w:type="dxa"/>
            <w:tcBorders>
              <w:top w:val="single" w:sz="2" w:space="0" w:color="auto"/>
              <w:left w:val="single" w:sz="2" w:space="0" w:color="auto"/>
              <w:bottom w:val="single" w:sz="2" w:space="0" w:color="auto"/>
              <w:right w:val="single" w:sz="2" w:space="0" w:color="auto"/>
            </w:tcBorders>
          </w:tcPr>
          <w:p w14:paraId="485D134B" w14:textId="77777777" w:rsidR="009F4766" w:rsidRPr="00DE12A3" w:rsidRDefault="009F4766" w:rsidP="00C917D6">
            <w:pPr>
              <w:pStyle w:val="NormalLeft"/>
            </w:pPr>
            <w:r w:rsidRPr="00DE12A3">
              <w:t>45</w:t>
            </w:r>
          </w:p>
        </w:tc>
        <w:tc>
          <w:tcPr>
            <w:tcW w:w="2551" w:type="dxa"/>
            <w:tcBorders>
              <w:top w:val="single" w:sz="2" w:space="0" w:color="auto"/>
              <w:left w:val="single" w:sz="2" w:space="0" w:color="auto"/>
              <w:bottom w:val="single" w:sz="2" w:space="0" w:color="auto"/>
              <w:right w:val="single" w:sz="2" w:space="0" w:color="auto"/>
            </w:tcBorders>
          </w:tcPr>
          <w:p w14:paraId="35BA0115" w14:textId="77777777" w:rsidR="009F4766" w:rsidRPr="00DE12A3" w:rsidRDefault="009F4766" w:rsidP="00C917D6">
            <w:pPr>
              <w:pStyle w:val="NormalLeft"/>
            </w:pPr>
            <w:r w:rsidRPr="00DE12A3">
              <w:t>56</w:t>
            </w:r>
          </w:p>
        </w:tc>
      </w:tr>
      <w:tr w:rsidR="00DE12A3" w:rsidRPr="00DE12A3" w14:paraId="4A12CBA1" w14:textId="77777777" w:rsidTr="009F4766">
        <w:tc>
          <w:tcPr>
            <w:tcW w:w="1182" w:type="dxa"/>
            <w:tcBorders>
              <w:top w:val="single" w:sz="2" w:space="0" w:color="auto"/>
              <w:left w:val="single" w:sz="2" w:space="0" w:color="auto"/>
              <w:bottom w:val="single" w:sz="2" w:space="0" w:color="auto"/>
              <w:right w:val="single" w:sz="2" w:space="0" w:color="auto"/>
            </w:tcBorders>
          </w:tcPr>
          <w:p w14:paraId="10DDD5C7" w14:textId="77777777" w:rsidR="009F4766" w:rsidRPr="00DE12A3" w:rsidRDefault="009F4766" w:rsidP="00C917D6">
            <w:pPr>
              <w:pStyle w:val="NormalLeft"/>
            </w:pPr>
            <w:r w:rsidRPr="00DE12A3">
              <w:t>47</w:t>
            </w:r>
          </w:p>
        </w:tc>
        <w:tc>
          <w:tcPr>
            <w:tcW w:w="2489" w:type="dxa"/>
            <w:tcBorders>
              <w:top w:val="single" w:sz="2" w:space="0" w:color="auto"/>
              <w:left w:val="single" w:sz="2" w:space="0" w:color="auto"/>
              <w:bottom w:val="single" w:sz="2" w:space="0" w:color="auto"/>
              <w:right w:val="single" w:sz="2" w:space="0" w:color="auto"/>
            </w:tcBorders>
          </w:tcPr>
          <w:p w14:paraId="295EEA24" w14:textId="77777777" w:rsidR="009F4766" w:rsidRPr="00DE12A3" w:rsidRDefault="009F4766" w:rsidP="00C917D6">
            <w:pPr>
              <w:pStyle w:val="NormalLeft"/>
            </w:pPr>
            <w:r w:rsidRPr="00DE12A3">
              <w:t>41</w:t>
            </w:r>
          </w:p>
        </w:tc>
        <w:tc>
          <w:tcPr>
            <w:tcW w:w="2551" w:type="dxa"/>
            <w:tcBorders>
              <w:top w:val="single" w:sz="2" w:space="0" w:color="auto"/>
              <w:left w:val="single" w:sz="2" w:space="0" w:color="auto"/>
              <w:bottom w:val="single" w:sz="2" w:space="0" w:color="auto"/>
              <w:right w:val="single" w:sz="2" w:space="0" w:color="auto"/>
            </w:tcBorders>
          </w:tcPr>
          <w:p w14:paraId="39493F6B" w14:textId="77777777" w:rsidR="009F4766" w:rsidRPr="00DE12A3" w:rsidRDefault="009F4766" w:rsidP="00C917D6">
            <w:pPr>
              <w:pStyle w:val="NormalLeft"/>
            </w:pPr>
            <w:r w:rsidRPr="00DE12A3">
              <w:t>52</w:t>
            </w:r>
          </w:p>
        </w:tc>
      </w:tr>
      <w:tr w:rsidR="00DE12A3" w:rsidRPr="00DE12A3" w14:paraId="54966882" w14:textId="77777777" w:rsidTr="009F4766">
        <w:tc>
          <w:tcPr>
            <w:tcW w:w="1182" w:type="dxa"/>
            <w:tcBorders>
              <w:top w:val="single" w:sz="2" w:space="0" w:color="auto"/>
              <w:left w:val="single" w:sz="2" w:space="0" w:color="auto"/>
              <w:bottom w:val="single" w:sz="2" w:space="0" w:color="auto"/>
              <w:right w:val="single" w:sz="2" w:space="0" w:color="auto"/>
            </w:tcBorders>
          </w:tcPr>
          <w:p w14:paraId="4E1ABE92" w14:textId="77777777" w:rsidR="009F4766" w:rsidRPr="00DE12A3" w:rsidRDefault="009F4766" w:rsidP="00C917D6">
            <w:pPr>
              <w:pStyle w:val="NormalLeft"/>
            </w:pPr>
            <w:r w:rsidRPr="00DE12A3">
              <w:t>48</w:t>
            </w:r>
          </w:p>
        </w:tc>
        <w:tc>
          <w:tcPr>
            <w:tcW w:w="2489" w:type="dxa"/>
            <w:tcBorders>
              <w:top w:val="single" w:sz="2" w:space="0" w:color="auto"/>
              <w:left w:val="single" w:sz="2" w:space="0" w:color="auto"/>
              <w:bottom w:val="single" w:sz="2" w:space="0" w:color="auto"/>
              <w:right w:val="single" w:sz="2" w:space="0" w:color="auto"/>
            </w:tcBorders>
          </w:tcPr>
          <w:p w14:paraId="730DD422" w14:textId="77777777" w:rsidR="009F4766" w:rsidRPr="00DE12A3" w:rsidRDefault="009F4766" w:rsidP="00C917D6">
            <w:pPr>
              <w:pStyle w:val="NormalLeft"/>
            </w:pPr>
            <w:r w:rsidRPr="00DE12A3">
              <w:t>24</w:t>
            </w:r>
          </w:p>
        </w:tc>
        <w:tc>
          <w:tcPr>
            <w:tcW w:w="2551" w:type="dxa"/>
            <w:tcBorders>
              <w:top w:val="single" w:sz="2" w:space="0" w:color="auto"/>
              <w:left w:val="single" w:sz="2" w:space="0" w:color="auto"/>
              <w:bottom w:val="single" w:sz="2" w:space="0" w:color="auto"/>
              <w:right w:val="single" w:sz="2" w:space="0" w:color="auto"/>
            </w:tcBorders>
          </w:tcPr>
          <w:p w14:paraId="7490082C" w14:textId="77777777" w:rsidR="009F4766" w:rsidRPr="00DE12A3" w:rsidRDefault="009F4766" w:rsidP="00C917D6">
            <w:pPr>
              <w:pStyle w:val="NormalLeft"/>
            </w:pPr>
            <w:r w:rsidRPr="00DE12A3">
              <w:t>41</w:t>
            </w:r>
          </w:p>
        </w:tc>
      </w:tr>
      <w:tr w:rsidR="00DE12A3" w:rsidRPr="00DE12A3" w14:paraId="2F88BD7D" w14:textId="77777777" w:rsidTr="009F4766">
        <w:tc>
          <w:tcPr>
            <w:tcW w:w="1182" w:type="dxa"/>
            <w:tcBorders>
              <w:top w:val="single" w:sz="2" w:space="0" w:color="auto"/>
              <w:left w:val="single" w:sz="2" w:space="0" w:color="auto"/>
              <w:bottom w:val="single" w:sz="2" w:space="0" w:color="auto"/>
              <w:right w:val="single" w:sz="2" w:space="0" w:color="auto"/>
            </w:tcBorders>
          </w:tcPr>
          <w:p w14:paraId="29342C0E" w14:textId="77777777" w:rsidR="009F4766" w:rsidRPr="00DE12A3" w:rsidRDefault="009F4766" w:rsidP="00C917D6">
            <w:pPr>
              <w:pStyle w:val="NormalLeft"/>
            </w:pPr>
            <w:r w:rsidRPr="00DE12A3">
              <w:t>49</w:t>
            </w:r>
          </w:p>
        </w:tc>
        <w:tc>
          <w:tcPr>
            <w:tcW w:w="2489" w:type="dxa"/>
            <w:tcBorders>
              <w:top w:val="single" w:sz="2" w:space="0" w:color="auto"/>
              <w:left w:val="single" w:sz="2" w:space="0" w:color="auto"/>
              <w:bottom w:val="single" w:sz="2" w:space="0" w:color="auto"/>
              <w:right w:val="single" w:sz="2" w:space="0" w:color="auto"/>
            </w:tcBorders>
          </w:tcPr>
          <w:p w14:paraId="518ACCFB" w14:textId="77777777" w:rsidR="009F4766" w:rsidRPr="00DE12A3" w:rsidRDefault="009F4766" w:rsidP="00C917D6">
            <w:pPr>
              <w:pStyle w:val="NormalLeft"/>
            </w:pPr>
            <w:r w:rsidRPr="00DE12A3">
              <w:t>15</w:t>
            </w:r>
          </w:p>
        </w:tc>
        <w:tc>
          <w:tcPr>
            <w:tcW w:w="2551" w:type="dxa"/>
            <w:tcBorders>
              <w:top w:val="single" w:sz="2" w:space="0" w:color="auto"/>
              <w:left w:val="single" w:sz="2" w:space="0" w:color="auto"/>
              <w:bottom w:val="single" w:sz="2" w:space="0" w:color="auto"/>
              <w:right w:val="single" w:sz="2" w:space="0" w:color="auto"/>
            </w:tcBorders>
          </w:tcPr>
          <w:p w14:paraId="54E6A65A" w14:textId="77777777" w:rsidR="009F4766" w:rsidRPr="00DE12A3" w:rsidRDefault="009F4766" w:rsidP="00C917D6">
            <w:pPr>
              <w:pStyle w:val="NormalLeft"/>
            </w:pPr>
            <w:r w:rsidRPr="00DE12A3">
              <w:t>40</w:t>
            </w:r>
          </w:p>
        </w:tc>
      </w:tr>
      <w:tr w:rsidR="00DE12A3" w:rsidRPr="00DE12A3" w14:paraId="35EDE76C" w14:textId="77777777" w:rsidTr="009F4766">
        <w:tc>
          <w:tcPr>
            <w:tcW w:w="1182" w:type="dxa"/>
            <w:tcBorders>
              <w:top w:val="single" w:sz="2" w:space="0" w:color="auto"/>
              <w:left w:val="single" w:sz="2" w:space="0" w:color="auto"/>
              <w:bottom w:val="single" w:sz="2" w:space="0" w:color="auto"/>
              <w:right w:val="single" w:sz="2" w:space="0" w:color="auto"/>
            </w:tcBorders>
          </w:tcPr>
          <w:p w14:paraId="2BDA2261" w14:textId="77777777" w:rsidR="009F4766" w:rsidRPr="00DE12A3" w:rsidRDefault="009F4766" w:rsidP="00C917D6">
            <w:pPr>
              <w:pStyle w:val="NormalLeft"/>
            </w:pPr>
            <w:r w:rsidRPr="00DE12A3">
              <w:t>50</w:t>
            </w:r>
          </w:p>
        </w:tc>
        <w:tc>
          <w:tcPr>
            <w:tcW w:w="2489" w:type="dxa"/>
            <w:tcBorders>
              <w:top w:val="single" w:sz="2" w:space="0" w:color="auto"/>
              <w:left w:val="single" w:sz="2" w:space="0" w:color="auto"/>
              <w:bottom w:val="single" w:sz="2" w:space="0" w:color="auto"/>
              <w:right w:val="single" w:sz="2" w:space="0" w:color="auto"/>
            </w:tcBorders>
          </w:tcPr>
          <w:p w14:paraId="6A659F07" w14:textId="77777777" w:rsidR="009F4766" w:rsidRPr="00DE12A3" w:rsidRDefault="009F4766" w:rsidP="00C917D6">
            <w:pPr>
              <w:pStyle w:val="NormalLeft"/>
            </w:pPr>
            <w:r w:rsidRPr="00DE12A3">
              <w:t>11</w:t>
            </w:r>
          </w:p>
        </w:tc>
        <w:tc>
          <w:tcPr>
            <w:tcW w:w="2551" w:type="dxa"/>
            <w:tcBorders>
              <w:top w:val="single" w:sz="2" w:space="0" w:color="auto"/>
              <w:left w:val="single" w:sz="2" w:space="0" w:color="auto"/>
              <w:bottom w:val="single" w:sz="2" w:space="0" w:color="auto"/>
              <w:right w:val="single" w:sz="2" w:space="0" w:color="auto"/>
            </w:tcBorders>
          </w:tcPr>
          <w:p w14:paraId="5792CDCC" w14:textId="77777777" w:rsidR="009F4766" w:rsidRPr="00DE12A3" w:rsidRDefault="009F4766" w:rsidP="00C917D6">
            <w:pPr>
              <w:pStyle w:val="NormalLeft"/>
            </w:pPr>
            <w:r w:rsidRPr="00DE12A3">
              <w:t>44</w:t>
            </w:r>
          </w:p>
        </w:tc>
      </w:tr>
      <w:tr w:rsidR="00DE12A3" w:rsidRPr="00DE12A3" w14:paraId="1945D844" w14:textId="77777777" w:rsidTr="009F4766">
        <w:tc>
          <w:tcPr>
            <w:tcW w:w="1182" w:type="dxa"/>
            <w:tcBorders>
              <w:top w:val="single" w:sz="2" w:space="0" w:color="auto"/>
              <w:left w:val="single" w:sz="2" w:space="0" w:color="auto"/>
              <w:bottom w:val="single" w:sz="2" w:space="0" w:color="auto"/>
              <w:right w:val="single" w:sz="2" w:space="0" w:color="auto"/>
            </w:tcBorders>
          </w:tcPr>
          <w:p w14:paraId="02D3EBAF" w14:textId="77777777" w:rsidR="009F4766" w:rsidRPr="00DE12A3" w:rsidRDefault="009F4766" w:rsidP="00C917D6">
            <w:pPr>
              <w:pStyle w:val="NormalLeft"/>
            </w:pPr>
            <w:r w:rsidRPr="00DE12A3">
              <w:lastRenderedPageBreak/>
              <w:t>51</w:t>
            </w:r>
          </w:p>
        </w:tc>
        <w:tc>
          <w:tcPr>
            <w:tcW w:w="2489" w:type="dxa"/>
            <w:tcBorders>
              <w:top w:val="single" w:sz="2" w:space="0" w:color="auto"/>
              <w:left w:val="single" w:sz="2" w:space="0" w:color="auto"/>
              <w:bottom w:val="single" w:sz="2" w:space="0" w:color="auto"/>
              <w:right w:val="single" w:sz="2" w:space="0" w:color="auto"/>
            </w:tcBorders>
          </w:tcPr>
          <w:p w14:paraId="17055D10" w14:textId="77777777" w:rsidR="009F4766" w:rsidRPr="00DE12A3" w:rsidRDefault="009F4766" w:rsidP="00C917D6">
            <w:pPr>
              <w:pStyle w:val="NormalLeft"/>
            </w:pPr>
            <w:r w:rsidRPr="00DE12A3">
              <w:t>32</w:t>
            </w:r>
          </w:p>
        </w:tc>
        <w:tc>
          <w:tcPr>
            <w:tcW w:w="2551" w:type="dxa"/>
            <w:tcBorders>
              <w:top w:val="single" w:sz="2" w:space="0" w:color="auto"/>
              <w:left w:val="single" w:sz="2" w:space="0" w:color="auto"/>
              <w:bottom w:val="single" w:sz="2" w:space="0" w:color="auto"/>
              <w:right w:val="single" w:sz="2" w:space="0" w:color="auto"/>
            </w:tcBorders>
          </w:tcPr>
          <w:p w14:paraId="43CFE30A" w14:textId="77777777" w:rsidR="009F4766" w:rsidRPr="00DE12A3" w:rsidRDefault="009F4766" w:rsidP="00C917D6">
            <w:pPr>
              <w:pStyle w:val="NormalLeft"/>
            </w:pPr>
            <w:r w:rsidRPr="00DE12A3">
              <w:t>31</w:t>
            </w:r>
          </w:p>
        </w:tc>
      </w:tr>
      <w:tr w:rsidR="00DE12A3" w:rsidRPr="00DE12A3" w14:paraId="2E2BAEDC" w14:textId="77777777" w:rsidTr="009F4766">
        <w:tc>
          <w:tcPr>
            <w:tcW w:w="1182" w:type="dxa"/>
            <w:tcBorders>
              <w:top w:val="single" w:sz="2" w:space="0" w:color="auto"/>
              <w:left w:val="single" w:sz="2" w:space="0" w:color="auto"/>
              <w:bottom w:val="single" w:sz="2" w:space="0" w:color="auto"/>
              <w:right w:val="single" w:sz="2" w:space="0" w:color="auto"/>
            </w:tcBorders>
          </w:tcPr>
          <w:p w14:paraId="2786762E" w14:textId="77777777" w:rsidR="009F4766" w:rsidRPr="00DE12A3" w:rsidRDefault="009F4766" w:rsidP="00C917D6">
            <w:pPr>
              <w:pStyle w:val="NormalLeft"/>
            </w:pPr>
            <w:r w:rsidRPr="00DE12A3">
              <w:t>52</w:t>
            </w:r>
          </w:p>
        </w:tc>
        <w:tc>
          <w:tcPr>
            <w:tcW w:w="2489" w:type="dxa"/>
            <w:tcBorders>
              <w:top w:val="single" w:sz="2" w:space="0" w:color="auto"/>
              <w:left w:val="single" w:sz="2" w:space="0" w:color="auto"/>
              <w:bottom w:val="single" w:sz="2" w:space="0" w:color="auto"/>
              <w:right w:val="single" w:sz="2" w:space="0" w:color="auto"/>
            </w:tcBorders>
          </w:tcPr>
          <w:p w14:paraId="6C709581" w14:textId="77777777" w:rsidR="009F4766" w:rsidRPr="00DE12A3" w:rsidRDefault="009F4766" w:rsidP="00C917D6">
            <w:pPr>
              <w:pStyle w:val="NormalLeft"/>
            </w:pPr>
            <w:r w:rsidRPr="00DE12A3">
              <w:t>38</w:t>
            </w:r>
          </w:p>
        </w:tc>
        <w:tc>
          <w:tcPr>
            <w:tcW w:w="2551" w:type="dxa"/>
            <w:tcBorders>
              <w:top w:val="single" w:sz="2" w:space="0" w:color="auto"/>
              <w:left w:val="single" w:sz="2" w:space="0" w:color="auto"/>
              <w:bottom w:val="single" w:sz="2" w:space="0" w:color="auto"/>
              <w:right w:val="single" w:sz="2" w:space="0" w:color="auto"/>
            </w:tcBorders>
          </w:tcPr>
          <w:p w14:paraId="36246B0D" w14:textId="77777777" w:rsidR="009F4766" w:rsidRPr="00DE12A3" w:rsidRDefault="009F4766" w:rsidP="00C917D6">
            <w:pPr>
              <w:pStyle w:val="NormalLeft"/>
            </w:pPr>
            <w:r w:rsidRPr="00DE12A3">
              <w:t>54</w:t>
            </w:r>
          </w:p>
        </w:tc>
      </w:tr>
      <w:tr w:rsidR="00DE12A3" w:rsidRPr="00DE12A3" w14:paraId="41A7537F" w14:textId="77777777" w:rsidTr="009F4766">
        <w:tc>
          <w:tcPr>
            <w:tcW w:w="1182" w:type="dxa"/>
            <w:tcBorders>
              <w:top w:val="single" w:sz="2" w:space="0" w:color="auto"/>
              <w:left w:val="single" w:sz="2" w:space="0" w:color="auto"/>
              <w:bottom w:val="single" w:sz="2" w:space="0" w:color="auto"/>
              <w:right w:val="single" w:sz="2" w:space="0" w:color="auto"/>
            </w:tcBorders>
          </w:tcPr>
          <w:p w14:paraId="5CDFFF4B" w14:textId="77777777" w:rsidR="009F4766" w:rsidRPr="00DE12A3" w:rsidRDefault="009F4766" w:rsidP="00C917D6">
            <w:pPr>
              <w:pStyle w:val="NormalLeft"/>
            </w:pPr>
            <w:r w:rsidRPr="00DE12A3">
              <w:t>53</w:t>
            </w:r>
          </w:p>
        </w:tc>
        <w:tc>
          <w:tcPr>
            <w:tcW w:w="2489" w:type="dxa"/>
            <w:tcBorders>
              <w:top w:val="single" w:sz="2" w:space="0" w:color="auto"/>
              <w:left w:val="single" w:sz="2" w:space="0" w:color="auto"/>
              <w:bottom w:val="single" w:sz="2" w:space="0" w:color="auto"/>
              <w:right w:val="single" w:sz="2" w:space="0" w:color="auto"/>
            </w:tcBorders>
          </w:tcPr>
          <w:p w14:paraId="1851C421" w14:textId="77777777" w:rsidR="009F4766" w:rsidRPr="00DE12A3" w:rsidRDefault="009F4766" w:rsidP="00C917D6">
            <w:pPr>
              <w:pStyle w:val="NormalLeft"/>
            </w:pPr>
            <w:r w:rsidRPr="00DE12A3">
              <w:t>38</w:t>
            </w:r>
          </w:p>
        </w:tc>
        <w:tc>
          <w:tcPr>
            <w:tcW w:w="2551" w:type="dxa"/>
            <w:tcBorders>
              <w:top w:val="single" w:sz="2" w:space="0" w:color="auto"/>
              <w:left w:val="single" w:sz="2" w:space="0" w:color="auto"/>
              <w:bottom w:val="single" w:sz="2" w:space="0" w:color="auto"/>
              <w:right w:val="single" w:sz="2" w:space="0" w:color="auto"/>
            </w:tcBorders>
          </w:tcPr>
          <w:p w14:paraId="13DDDE56" w14:textId="77777777" w:rsidR="009F4766" w:rsidRPr="00DE12A3" w:rsidRDefault="009F4766" w:rsidP="00C917D6">
            <w:pPr>
              <w:pStyle w:val="NormalLeft"/>
            </w:pPr>
            <w:r w:rsidRPr="00DE12A3">
              <w:t>47</w:t>
            </w:r>
          </w:p>
        </w:tc>
      </w:tr>
      <w:tr w:rsidR="00DE12A3" w:rsidRPr="00DE12A3" w14:paraId="154AA918" w14:textId="77777777" w:rsidTr="009F4766">
        <w:tc>
          <w:tcPr>
            <w:tcW w:w="1182" w:type="dxa"/>
            <w:tcBorders>
              <w:top w:val="single" w:sz="2" w:space="0" w:color="auto"/>
              <w:left w:val="single" w:sz="2" w:space="0" w:color="auto"/>
              <w:bottom w:val="single" w:sz="2" w:space="0" w:color="auto"/>
              <w:right w:val="single" w:sz="2" w:space="0" w:color="auto"/>
            </w:tcBorders>
          </w:tcPr>
          <w:p w14:paraId="4B3B0933" w14:textId="77777777" w:rsidR="009F4766" w:rsidRPr="00DE12A3" w:rsidRDefault="009F4766" w:rsidP="00C917D6">
            <w:pPr>
              <w:pStyle w:val="NormalLeft"/>
            </w:pPr>
            <w:r w:rsidRPr="00DE12A3">
              <w:t>54</w:t>
            </w:r>
          </w:p>
        </w:tc>
        <w:tc>
          <w:tcPr>
            <w:tcW w:w="2489" w:type="dxa"/>
            <w:tcBorders>
              <w:top w:val="single" w:sz="2" w:space="0" w:color="auto"/>
              <w:left w:val="single" w:sz="2" w:space="0" w:color="auto"/>
              <w:bottom w:val="single" w:sz="2" w:space="0" w:color="auto"/>
              <w:right w:val="single" w:sz="2" w:space="0" w:color="auto"/>
            </w:tcBorders>
          </w:tcPr>
          <w:p w14:paraId="32DCD01B" w14:textId="77777777" w:rsidR="009F4766" w:rsidRPr="00DE12A3" w:rsidRDefault="009F4766" w:rsidP="00C917D6">
            <w:pPr>
              <w:pStyle w:val="NormalLeft"/>
            </w:pPr>
            <w:r w:rsidRPr="00DE12A3">
              <w:t>9</w:t>
            </w:r>
          </w:p>
        </w:tc>
        <w:tc>
          <w:tcPr>
            <w:tcW w:w="2551" w:type="dxa"/>
            <w:tcBorders>
              <w:top w:val="single" w:sz="2" w:space="0" w:color="auto"/>
              <w:left w:val="single" w:sz="2" w:space="0" w:color="auto"/>
              <w:bottom w:val="single" w:sz="2" w:space="0" w:color="auto"/>
              <w:right w:val="single" w:sz="2" w:space="0" w:color="auto"/>
            </w:tcBorders>
          </w:tcPr>
          <w:p w14:paraId="5C2868D5" w14:textId="77777777" w:rsidR="009F4766" w:rsidRPr="00DE12A3" w:rsidRDefault="009F4766" w:rsidP="00C917D6">
            <w:pPr>
              <w:pStyle w:val="NormalLeft"/>
            </w:pPr>
            <w:r w:rsidRPr="00DE12A3">
              <w:t>55</w:t>
            </w:r>
          </w:p>
        </w:tc>
      </w:tr>
      <w:tr w:rsidR="00DE12A3" w:rsidRPr="00DE12A3" w14:paraId="25BEF68E" w14:textId="77777777" w:rsidTr="009F4766">
        <w:tc>
          <w:tcPr>
            <w:tcW w:w="1182" w:type="dxa"/>
            <w:tcBorders>
              <w:top w:val="single" w:sz="2" w:space="0" w:color="auto"/>
              <w:left w:val="single" w:sz="2" w:space="0" w:color="auto"/>
              <w:bottom w:val="single" w:sz="2" w:space="0" w:color="auto"/>
              <w:right w:val="single" w:sz="2" w:space="0" w:color="auto"/>
            </w:tcBorders>
          </w:tcPr>
          <w:p w14:paraId="6C45BEE7" w14:textId="77777777" w:rsidR="009F4766" w:rsidRPr="00DE12A3" w:rsidRDefault="009F4766" w:rsidP="00C917D6">
            <w:pPr>
              <w:pStyle w:val="NormalLeft"/>
            </w:pPr>
            <w:r w:rsidRPr="00DE12A3">
              <w:t>55</w:t>
            </w:r>
          </w:p>
        </w:tc>
        <w:tc>
          <w:tcPr>
            <w:tcW w:w="2489" w:type="dxa"/>
            <w:tcBorders>
              <w:top w:val="single" w:sz="2" w:space="0" w:color="auto"/>
              <w:left w:val="single" w:sz="2" w:space="0" w:color="auto"/>
              <w:bottom w:val="single" w:sz="2" w:space="0" w:color="auto"/>
              <w:right w:val="single" w:sz="2" w:space="0" w:color="auto"/>
            </w:tcBorders>
          </w:tcPr>
          <w:p w14:paraId="4AB9A52B" w14:textId="77777777" w:rsidR="009F4766" w:rsidRPr="00DE12A3" w:rsidRDefault="009F4766" w:rsidP="00C917D6">
            <w:pPr>
              <w:pStyle w:val="NormalLeft"/>
            </w:pPr>
            <w:r w:rsidRPr="00DE12A3">
              <w:t>10</w:t>
            </w:r>
          </w:p>
        </w:tc>
        <w:tc>
          <w:tcPr>
            <w:tcW w:w="2551" w:type="dxa"/>
            <w:tcBorders>
              <w:top w:val="single" w:sz="2" w:space="0" w:color="auto"/>
              <w:left w:val="single" w:sz="2" w:space="0" w:color="auto"/>
              <w:bottom w:val="single" w:sz="2" w:space="0" w:color="auto"/>
              <w:right w:val="single" w:sz="2" w:space="0" w:color="auto"/>
            </w:tcBorders>
          </w:tcPr>
          <w:p w14:paraId="4F024933" w14:textId="77777777" w:rsidR="009F4766" w:rsidRPr="00DE12A3" w:rsidRDefault="009F4766" w:rsidP="00C917D6">
            <w:pPr>
              <w:pStyle w:val="NormalLeft"/>
            </w:pPr>
            <w:r w:rsidRPr="00DE12A3">
              <w:t>50</w:t>
            </w:r>
          </w:p>
        </w:tc>
      </w:tr>
      <w:tr w:rsidR="00DE12A3" w:rsidRPr="00DE12A3" w14:paraId="48F10457" w14:textId="77777777" w:rsidTr="009F4766">
        <w:tc>
          <w:tcPr>
            <w:tcW w:w="1182" w:type="dxa"/>
            <w:tcBorders>
              <w:top w:val="single" w:sz="2" w:space="0" w:color="auto"/>
              <w:left w:val="single" w:sz="2" w:space="0" w:color="auto"/>
              <w:bottom w:val="single" w:sz="2" w:space="0" w:color="auto"/>
              <w:right w:val="single" w:sz="2" w:space="0" w:color="auto"/>
            </w:tcBorders>
          </w:tcPr>
          <w:p w14:paraId="2A0574F0" w14:textId="77777777" w:rsidR="009F4766" w:rsidRPr="00DE12A3" w:rsidRDefault="009F4766" w:rsidP="00C917D6">
            <w:pPr>
              <w:pStyle w:val="NormalLeft"/>
            </w:pPr>
            <w:r w:rsidRPr="00DE12A3">
              <w:t>56</w:t>
            </w:r>
          </w:p>
        </w:tc>
        <w:tc>
          <w:tcPr>
            <w:tcW w:w="2489" w:type="dxa"/>
            <w:tcBorders>
              <w:top w:val="single" w:sz="2" w:space="0" w:color="auto"/>
              <w:left w:val="single" w:sz="2" w:space="0" w:color="auto"/>
              <w:bottom w:val="single" w:sz="2" w:space="0" w:color="auto"/>
              <w:right w:val="single" w:sz="2" w:space="0" w:color="auto"/>
            </w:tcBorders>
          </w:tcPr>
          <w:p w14:paraId="2E63DC60" w14:textId="77777777" w:rsidR="009F4766" w:rsidRPr="00DE12A3" w:rsidRDefault="009F4766" w:rsidP="00C917D6">
            <w:pPr>
              <w:pStyle w:val="NormalLeft"/>
            </w:pPr>
            <w:r w:rsidRPr="00DE12A3">
              <w:t>33</w:t>
            </w:r>
          </w:p>
        </w:tc>
        <w:tc>
          <w:tcPr>
            <w:tcW w:w="2551" w:type="dxa"/>
            <w:tcBorders>
              <w:top w:val="single" w:sz="2" w:space="0" w:color="auto"/>
              <w:left w:val="single" w:sz="2" w:space="0" w:color="auto"/>
              <w:bottom w:val="single" w:sz="2" w:space="0" w:color="auto"/>
              <w:right w:val="single" w:sz="2" w:space="0" w:color="auto"/>
            </w:tcBorders>
          </w:tcPr>
          <w:p w14:paraId="480A29C3" w14:textId="77777777" w:rsidR="009F4766" w:rsidRPr="00DE12A3" w:rsidRDefault="009F4766" w:rsidP="00C917D6">
            <w:pPr>
              <w:pStyle w:val="NormalLeft"/>
            </w:pPr>
            <w:r w:rsidRPr="00DE12A3">
              <w:t>55</w:t>
            </w:r>
          </w:p>
        </w:tc>
      </w:tr>
      <w:tr w:rsidR="00DE12A3" w:rsidRPr="00DE12A3" w14:paraId="1DA3B331" w14:textId="77777777" w:rsidTr="009F4766">
        <w:tc>
          <w:tcPr>
            <w:tcW w:w="1182" w:type="dxa"/>
            <w:tcBorders>
              <w:top w:val="single" w:sz="2" w:space="0" w:color="auto"/>
              <w:left w:val="single" w:sz="2" w:space="0" w:color="auto"/>
              <w:bottom w:val="single" w:sz="2" w:space="0" w:color="auto"/>
              <w:right w:val="single" w:sz="2" w:space="0" w:color="auto"/>
            </w:tcBorders>
          </w:tcPr>
          <w:p w14:paraId="61406A06" w14:textId="77777777" w:rsidR="009F4766" w:rsidRPr="00DE12A3" w:rsidRDefault="009F4766" w:rsidP="00C917D6">
            <w:pPr>
              <w:pStyle w:val="NormalLeft"/>
            </w:pPr>
            <w:r w:rsidRPr="00DE12A3">
              <w:t>57</w:t>
            </w:r>
          </w:p>
        </w:tc>
        <w:tc>
          <w:tcPr>
            <w:tcW w:w="2489" w:type="dxa"/>
            <w:tcBorders>
              <w:top w:val="single" w:sz="2" w:space="0" w:color="auto"/>
              <w:left w:val="single" w:sz="2" w:space="0" w:color="auto"/>
              <w:bottom w:val="single" w:sz="2" w:space="0" w:color="auto"/>
              <w:right w:val="single" w:sz="2" w:space="0" w:color="auto"/>
            </w:tcBorders>
          </w:tcPr>
          <w:p w14:paraId="7F306202" w14:textId="77777777" w:rsidR="009F4766" w:rsidRPr="00DE12A3" w:rsidRDefault="009F4766" w:rsidP="00C917D6">
            <w:pPr>
              <w:pStyle w:val="NormalLeft"/>
            </w:pPr>
            <w:r w:rsidRPr="00DE12A3">
              <w:t>48</w:t>
            </w:r>
          </w:p>
        </w:tc>
        <w:tc>
          <w:tcPr>
            <w:tcW w:w="2551" w:type="dxa"/>
            <w:tcBorders>
              <w:top w:val="single" w:sz="2" w:space="0" w:color="auto"/>
              <w:left w:val="single" w:sz="2" w:space="0" w:color="auto"/>
              <w:bottom w:val="single" w:sz="2" w:space="0" w:color="auto"/>
              <w:right w:val="single" w:sz="2" w:space="0" w:color="auto"/>
            </w:tcBorders>
          </w:tcPr>
          <w:p w14:paraId="7E2CF443" w14:textId="77777777" w:rsidR="009F4766" w:rsidRPr="00DE12A3" w:rsidRDefault="009F4766" w:rsidP="00C917D6">
            <w:pPr>
              <w:pStyle w:val="NormalLeft"/>
            </w:pPr>
            <w:r w:rsidRPr="00DE12A3">
              <w:t>56</w:t>
            </w:r>
          </w:p>
        </w:tc>
      </w:tr>
      <w:tr w:rsidR="00DE12A3" w:rsidRPr="00DE12A3" w14:paraId="6B503442" w14:textId="77777777" w:rsidTr="009F4766">
        <w:tc>
          <w:tcPr>
            <w:tcW w:w="1182" w:type="dxa"/>
            <w:tcBorders>
              <w:top w:val="single" w:sz="2" w:space="0" w:color="auto"/>
              <w:left w:val="single" w:sz="2" w:space="0" w:color="auto"/>
              <w:bottom w:val="single" w:sz="2" w:space="0" w:color="auto"/>
              <w:right w:val="single" w:sz="2" w:space="0" w:color="auto"/>
            </w:tcBorders>
          </w:tcPr>
          <w:p w14:paraId="2C1E143A" w14:textId="77777777" w:rsidR="009F4766" w:rsidRPr="00DE12A3" w:rsidRDefault="009F4766" w:rsidP="00C917D6">
            <w:pPr>
              <w:pStyle w:val="NormalLeft"/>
            </w:pPr>
            <w:r w:rsidRPr="00DE12A3">
              <w:t>58</w:t>
            </w:r>
          </w:p>
        </w:tc>
        <w:tc>
          <w:tcPr>
            <w:tcW w:w="2489" w:type="dxa"/>
            <w:tcBorders>
              <w:top w:val="single" w:sz="2" w:space="0" w:color="auto"/>
              <w:left w:val="single" w:sz="2" w:space="0" w:color="auto"/>
              <w:bottom w:val="single" w:sz="2" w:space="0" w:color="auto"/>
              <w:right w:val="single" w:sz="2" w:space="0" w:color="auto"/>
            </w:tcBorders>
          </w:tcPr>
          <w:p w14:paraId="18FABC1B" w14:textId="77777777" w:rsidR="009F4766" w:rsidRPr="00DE12A3" w:rsidRDefault="009F4766" w:rsidP="00C917D6">
            <w:pPr>
              <w:pStyle w:val="NormalLeft"/>
            </w:pPr>
            <w:r w:rsidRPr="00DE12A3">
              <w:t>49</w:t>
            </w:r>
          </w:p>
        </w:tc>
        <w:tc>
          <w:tcPr>
            <w:tcW w:w="2551" w:type="dxa"/>
            <w:tcBorders>
              <w:top w:val="single" w:sz="2" w:space="0" w:color="auto"/>
              <w:left w:val="single" w:sz="2" w:space="0" w:color="auto"/>
              <w:bottom w:val="single" w:sz="2" w:space="0" w:color="auto"/>
              <w:right w:val="single" w:sz="2" w:space="0" w:color="auto"/>
            </w:tcBorders>
          </w:tcPr>
          <w:p w14:paraId="660F12C6" w14:textId="77777777" w:rsidR="009F4766" w:rsidRPr="00DE12A3" w:rsidRDefault="009F4766" w:rsidP="00C917D6">
            <w:pPr>
              <w:pStyle w:val="NormalLeft"/>
            </w:pPr>
            <w:r w:rsidRPr="00DE12A3">
              <w:t>47</w:t>
            </w:r>
          </w:p>
        </w:tc>
      </w:tr>
      <w:tr w:rsidR="00DE12A3" w:rsidRPr="00DE12A3" w14:paraId="506C6FFE" w14:textId="77777777" w:rsidTr="009F4766">
        <w:tc>
          <w:tcPr>
            <w:tcW w:w="1182" w:type="dxa"/>
            <w:tcBorders>
              <w:top w:val="single" w:sz="2" w:space="0" w:color="auto"/>
              <w:left w:val="single" w:sz="2" w:space="0" w:color="auto"/>
              <w:bottom w:val="single" w:sz="2" w:space="0" w:color="auto"/>
              <w:right w:val="single" w:sz="2" w:space="0" w:color="auto"/>
            </w:tcBorders>
          </w:tcPr>
          <w:p w14:paraId="7EF1AB41" w14:textId="77777777" w:rsidR="009F4766" w:rsidRPr="00DE12A3" w:rsidRDefault="009F4766" w:rsidP="00C917D6">
            <w:pPr>
              <w:pStyle w:val="NormalLeft"/>
            </w:pPr>
            <w:r w:rsidRPr="00DE12A3">
              <w:t>59</w:t>
            </w:r>
          </w:p>
        </w:tc>
        <w:tc>
          <w:tcPr>
            <w:tcW w:w="2489" w:type="dxa"/>
            <w:tcBorders>
              <w:top w:val="single" w:sz="2" w:space="0" w:color="auto"/>
              <w:left w:val="single" w:sz="2" w:space="0" w:color="auto"/>
              <w:bottom w:val="single" w:sz="2" w:space="0" w:color="auto"/>
              <w:right w:val="single" w:sz="2" w:space="0" w:color="auto"/>
            </w:tcBorders>
          </w:tcPr>
          <w:p w14:paraId="1843D061" w14:textId="77777777" w:rsidR="009F4766" w:rsidRPr="00DE12A3" w:rsidRDefault="009F4766" w:rsidP="00C917D6">
            <w:pPr>
              <w:pStyle w:val="NormalLeft"/>
            </w:pPr>
            <w:r w:rsidRPr="00DE12A3">
              <w:t>33</w:t>
            </w:r>
          </w:p>
        </w:tc>
        <w:tc>
          <w:tcPr>
            <w:tcW w:w="2551" w:type="dxa"/>
            <w:tcBorders>
              <w:top w:val="single" w:sz="2" w:space="0" w:color="auto"/>
              <w:left w:val="single" w:sz="2" w:space="0" w:color="auto"/>
              <w:bottom w:val="single" w:sz="2" w:space="0" w:color="auto"/>
              <w:right w:val="single" w:sz="2" w:space="0" w:color="auto"/>
            </w:tcBorders>
          </w:tcPr>
          <w:p w14:paraId="7C9DE523" w14:textId="77777777" w:rsidR="009F4766" w:rsidRPr="00DE12A3" w:rsidRDefault="009F4766" w:rsidP="00C917D6">
            <w:pPr>
              <w:pStyle w:val="NormalLeft"/>
            </w:pPr>
            <w:r w:rsidRPr="00DE12A3">
              <w:t>44</w:t>
            </w:r>
          </w:p>
        </w:tc>
      </w:tr>
      <w:tr w:rsidR="00DE12A3" w:rsidRPr="00DE12A3" w14:paraId="6B69D1A9" w14:textId="77777777" w:rsidTr="009F4766">
        <w:tc>
          <w:tcPr>
            <w:tcW w:w="1182" w:type="dxa"/>
            <w:tcBorders>
              <w:top w:val="single" w:sz="2" w:space="0" w:color="auto"/>
              <w:left w:val="single" w:sz="2" w:space="0" w:color="auto"/>
              <w:bottom w:val="single" w:sz="2" w:space="0" w:color="auto"/>
              <w:right w:val="single" w:sz="2" w:space="0" w:color="auto"/>
            </w:tcBorders>
          </w:tcPr>
          <w:p w14:paraId="6B113BE9" w14:textId="77777777" w:rsidR="009F4766" w:rsidRPr="00DE12A3" w:rsidRDefault="009F4766" w:rsidP="00C917D6">
            <w:pPr>
              <w:pStyle w:val="NormalLeft"/>
            </w:pPr>
            <w:r w:rsidRPr="00DE12A3">
              <w:t>60</w:t>
            </w:r>
          </w:p>
        </w:tc>
        <w:tc>
          <w:tcPr>
            <w:tcW w:w="2489" w:type="dxa"/>
            <w:tcBorders>
              <w:top w:val="single" w:sz="2" w:space="0" w:color="auto"/>
              <w:left w:val="single" w:sz="2" w:space="0" w:color="auto"/>
              <w:bottom w:val="single" w:sz="2" w:space="0" w:color="auto"/>
              <w:right w:val="single" w:sz="2" w:space="0" w:color="auto"/>
            </w:tcBorders>
          </w:tcPr>
          <w:p w14:paraId="0F345548" w14:textId="77777777" w:rsidR="009F4766" w:rsidRPr="00DE12A3" w:rsidRDefault="009F4766" w:rsidP="00C917D6">
            <w:pPr>
              <w:pStyle w:val="NormalLeft"/>
            </w:pPr>
            <w:r w:rsidRPr="00DE12A3">
              <w:t>52</w:t>
            </w:r>
          </w:p>
        </w:tc>
        <w:tc>
          <w:tcPr>
            <w:tcW w:w="2551" w:type="dxa"/>
            <w:tcBorders>
              <w:top w:val="single" w:sz="2" w:space="0" w:color="auto"/>
              <w:left w:val="single" w:sz="2" w:space="0" w:color="auto"/>
              <w:bottom w:val="single" w:sz="2" w:space="0" w:color="auto"/>
              <w:right w:val="single" w:sz="2" w:space="0" w:color="auto"/>
            </w:tcBorders>
          </w:tcPr>
          <w:p w14:paraId="65B8538A" w14:textId="77777777" w:rsidR="009F4766" w:rsidRPr="00DE12A3" w:rsidRDefault="009F4766" w:rsidP="00C917D6">
            <w:pPr>
              <w:pStyle w:val="NormalLeft"/>
            </w:pPr>
            <w:r w:rsidRPr="00DE12A3">
              <w:t>43</w:t>
            </w:r>
          </w:p>
        </w:tc>
      </w:tr>
      <w:tr w:rsidR="00DE12A3" w:rsidRPr="00DE12A3" w14:paraId="75CE44B7" w14:textId="77777777" w:rsidTr="009F4766">
        <w:tc>
          <w:tcPr>
            <w:tcW w:w="1182" w:type="dxa"/>
            <w:tcBorders>
              <w:top w:val="single" w:sz="2" w:space="0" w:color="auto"/>
              <w:left w:val="single" w:sz="2" w:space="0" w:color="auto"/>
              <w:bottom w:val="single" w:sz="2" w:space="0" w:color="auto"/>
              <w:right w:val="single" w:sz="2" w:space="0" w:color="auto"/>
            </w:tcBorders>
          </w:tcPr>
          <w:p w14:paraId="559D3C40" w14:textId="77777777" w:rsidR="009F4766" w:rsidRPr="00DE12A3" w:rsidRDefault="009F4766" w:rsidP="00C917D6">
            <w:pPr>
              <w:pStyle w:val="NormalLeft"/>
            </w:pPr>
            <w:r w:rsidRPr="00DE12A3">
              <w:t>61</w:t>
            </w:r>
          </w:p>
        </w:tc>
        <w:tc>
          <w:tcPr>
            <w:tcW w:w="2489" w:type="dxa"/>
            <w:tcBorders>
              <w:top w:val="single" w:sz="2" w:space="0" w:color="auto"/>
              <w:left w:val="single" w:sz="2" w:space="0" w:color="auto"/>
              <w:bottom w:val="single" w:sz="2" w:space="0" w:color="auto"/>
              <w:right w:val="single" w:sz="2" w:space="0" w:color="auto"/>
            </w:tcBorders>
          </w:tcPr>
          <w:p w14:paraId="0C1D46D5" w14:textId="77777777" w:rsidR="009F4766" w:rsidRPr="00DE12A3" w:rsidRDefault="009F4766" w:rsidP="00C917D6">
            <w:pPr>
              <w:pStyle w:val="NormalLeft"/>
            </w:pPr>
            <w:r w:rsidRPr="00DE12A3">
              <w:t>55</w:t>
            </w:r>
          </w:p>
        </w:tc>
        <w:tc>
          <w:tcPr>
            <w:tcW w:w="2551" w:type="dxa"/>
            <w:tcBorders>
              <w:top w:val="single" w:sz="2" w:space="0" w:color="auto"/>
              <w:left w:val="single" w:sz="2" w:space="0" w:color="auto"/>
              <w:bottom w:val="single" w:sz="2" w:space="0" w:color="auto"/>
              <w:right w:val="single" w:sz="2" w:space="0" w:color="auto"/>
            </w:tcBorders>
          </w:tcPr>
          <w:p w14:paraId="5A331C37" w14:textId="77777777" w:rsidR="009F4766" w:rsidRPr="00DE12A3" w:rsidRDefault="009F4766" w:rsidP="00C917D6">
            <w:pPr>
              <w:pStyle w:val="NormalLeft"/>
            </w:pPr>
            <w:r w:rsidRPr="00DE12A3">
              <w:t>43</w:t>
            </w:r>
          </w:p>
        </w:tc>
      </w:tr>
      <w:tr w:rsidR="00DE12A3" w:rsidRPr="00DE12A3" w14:paraId="0A5A1782" w14:textId="77777777" w:rsidTr="009F4766">
        <w:tc>
          <w:tcPr>
            <w:tcW w:w="1182" w:type="dxa"/>
            <w:tcBorders>
              <w:top w:val="single" w:sz="2" w:space="0" w:color="auto"/>
              <w:left w:val="single" w:sz="2" w:space="0" w:color="auto"/>
              <w:bottom w:val="single" w:sz="2" w:space="0" w:color="auto"/>
              <w:right w:val="single" w:sz="2" w:space="0" w:color="auto"/>
            </w:tcBorders>
          </w:tcPr>
          <w:p w14:paraId="052F1F6A" w14:textId="77777777" w:rsidR="009F4766" w:rsidRPr="00DE12A3" w:rsidRDefault="009F4766" w:rsidP="00C917D6">
            <w:pPr>
              <w:pStyle w:val="NormalLeft"/>
            </w:pPr>
            <w:r w:rsidRPr="00DE12A3">
              <w:t>62</w:t>
            </w:r>
          </w:p>
        </w:tc>
        <w:tc>
          <w:tcPr>
            <w:tcW w:w="2489" w:type="dxa"/>
            <w:tcBorders>
              <w:top w:val="single" w:sz="2" w:space="0" w:color="auto"/>
              <w:left w:val="single" w:sz="2" w:space="0" w:color="auto"/>
              <w:bottom w:val="single" w:sz="2" w:space="0" w:color="auto"/>
              <w:right w:val="single" w:sz="2" w:space="0" w:color="auto"/>
            </w:tcBorders>
          </w:tcPr>
          <w:p w14:paraId="7BD4CD97" w14:textId="77777777" w:rsidR="009F4766" w:rsidRPr="00DE12A3" w:rsidRDefault="009F4766" w:rsidP="00C917D6">
            <w:pPr>
              <w:pStyle w:val="NormalLeft"/>
            </w:pPr>
            <w:r w:rsidRPr="00DE12A3">
              <w:t>59</w:t>
            </w:r>
          </w:p>
        </w:tc>
        <w:tc>
          <w:tcPr>
            <w:tcW w:w="2551" w:type="dxa"/>
            <w:tcBorders>
              <w:top w:val="single" w:sz="2" w:space="0" w:color="auto"/>
              <w:left w:val="single" w:sz="2" w:space="0" w:color="auto"/>
              <w:bottom w:val="single" w:sz="2" w:space="0" w:color="auto"/>
              <w:right w:val="single" w:sz="2" w:space="0" w:color="auto"/>
            </w:tcBorders>
          </w:tcPr>
          <w:p w14:paraId="2DE020E1" w14:textId="77777777" w:rsidR="009F4766" w:rsidRPr="00DE12A3" w:rsidRDefault="009F4766" w:rsidP="00C917D6">
            <w:pPr>
              <w:pStyle w:val="NormalLeft"/>
            </w:pPr>
            <w:r w:rsidRPr="00DE12A3">
              <w:t>38</w:t>
            </w:r>
          </w:p>
        </w:tc>
      </w:tr>
      <w:tr w:rsidR="00DE12A3" w:rsidRPr="00DE12A3" w14:paraId="37C4901E" w14:textId="77777777" w:rsidTr="009F4766">
        <w:tc>
          <w:tcPr>
            <w:tcW w:w="1182" w:type="dxa"/>
            <w:tcBorders>
              <w:top w:val="single" w:sz="2" w:space="0" w:color="auto"/>
              <w:left w:val="single" w:sz="2" w:space="0" w:color="auto"/>
              <w:bottom w:val="single" w:sz="2" w:space="0" w:color="auto"/>
              <w:right w:val="single" w:sz="2" w:space="0" w:color="auto"/>
            </w:tcBorders>
          </w:tcPr>
          <w:p w14:paraId="3D447971" w14:textId="77777777" w:rsidR="009F4766" w:rsidRPr="00DE12A3" w:rsidRDefault="009F4766" w:rsidP="00C917D6">
            <w:pPr>
              <w:pStyle w:val="NormalLeft"/>
            </w:pPr>
            <w:r w:rsidRPr="00DE12A3">
              <w:t>63</w:t>
            </w:r>
          </w:p>
        </w:tc>
        <w:tc>
          <w:tcPr>
            <w:tcW w:w="2489" w:type="dxa"/>
            <w:tcBorders>
              <w:top w:val="single" w:sz="2" w:space="0" w:color="auto"/>
              <w:left w:val="single" w:sz="2" w:space="0" w:color="auto"/>
              <w:bottom w:val="single" w:sz="2" w:space="0" w:color="auto"/>
              <w:right w:val="single" w:sz="2" w:space="0" w:color="auto"/>
            </w:tcBorders>
          </w:tcPr>
          <w:p w14:paraId="06F3CC21" w14:textId="77777777" w:rsidR="009F4766" w:rsidRPr="00DE12A3" w:rsidRDefault="009F4766" w:rsidP="00C917D6">
            <w:pPr>
              <w:pStyle w:val="NormalLeft"/>
            </w:pPr>
            <w:r w:rsidRPr="00DE12A3">
              <w:t>44</w:t>
            </w:r>
          </w:p>
        </w:tc>
        <w:tc>
          <w:tcPr>
            <w:tcW w:w="2551" w:type="dxa"/>
            <w:tcBorders>
              <w:top w:val="single" w:sz="2" w:space="0" w:color="auto"/>
              <w:left w:val="single" w:sz="2" w:space="0" w:color="auto"/>
              <w:bottom w:val="single" w:sz="2" w:space="0" w:color="auto"/>
              <w:right w:val="single" w:sz="2" w:space="0" w:color="auto"/>
            </w:tcBorders>
          </w:tcPr>
          <w:p w14:paraId="51EACCED" w14:textId="77777777" w:rsidR="009F4766" w:rsidRPr="00DE12A3" w:rsidRDefault="009F4766" w:rsidP="00C917D6">
            <w:pPr>
              <w:pStyle w:val="NormalLeft"/>
            </w:pPr>
            <w:r w:rsidRPr="00DE12A3">
              <w:t>28</w:t>
            </w:r>
          </w:p>
        </w:tc>
      </w:tr>
      <w:tr w:rsidR="00DE12A3" w:rsidRPr="00DE12A3" w14:paraId="14C470DC" w14:textId="77777777" w:rsidTr="009F4766">
        <w:tc>
          <w:tcPr>
            <w:tcW w:w="1182" w:type="dxa"/>
            <w:tcBorders>
              <w:top w:val="single" w:sz="2" w:space="0" w:color="auto"/>
              <w:left w:val="single" w:sz="2" w:space="0" w:color="auto"/>
              <w:bottom w:val="single" w:sz="2" w:space="0" w:color="auto"/>
              <w:right w:val="single" w:sz="2" w:space="0" w:color="auto"/>
            </w:tcBorders>
          </w:tcPr>
          <w:p w14:paraId="0AD99795" w14:textId="77777777" w:rsidR="009F4766" w:rsidRPr="00DE12A3" w:rsidRDefault="009F4766" w:rsidP="00C917D6">
            <w:pPr>
              <w:pStyle w:val="NormalLeft"/>
            </w:pPr>
            <w:r w:rsidRPr="00DE12A3">
              <w:t>64</w:t>
            </w:r>
          </w:p>
        </w:tc>
        <w:tc>
          <w:tcPr>
            <w:tcW w:w="2489" w:type="dxa"/>
            <w:tcBorders>
              <w:top w:val="single" w:sz="2" w:space="0" w:color="auto"/>
              <w:left w:val="single" w:sz="2" w:space="0" w:color="auto"/>
              <w:bottom w:val="single" w:sz="2" w:space="0" w:color="auto"/>
              <w:right w:val="single" w:sz="2" w:space="0" w:color="auto"/>
            </w:tcBorders>
          </w:tcPr>
          <w:p w14:paraId="5898E9F2" w14:textId="77777777" w:rsidR="009F4766" w:rsidRPr="00DE12A3" w:rsidRDefault="009F4766" w:rsidP="00C917D6">
            <w:pPr>
              <w:pStyle w:val="NormalLeft"/>
            </w:pPr>
            <w:r w:rsidRPr="00DE12A3">
              <w:t>24</w:t>
            </w:r>
          </w:p>
        </w:tc>
        <w:tc>
          <w:tcPr>
            <w:tcW w:w="2551" w:type="dxa"/>
            <w:tcBorders>
              <w:top w:val="single" w:sz="2" w:space="0" w:color="auto"/>
              <w:left w:val="single" w:sz="2" w:space="0" w:color="auto"/>
              <w:bottom w:val="single" w:sz="2" w:space="0" w:color="auto"/>
              <w:right w:val="single" w:sz="2" w:space="0" w:color="auto"/>
            </w:tcBorders>
          </w:tcPr>
          <w:p w14:paraId="7D53D94E" w14:textId="77777777" w:rsidR="009F4766" w:rsidRPr="00DE12A3" w:rsidRDefault="009F4766" w:rsidP="00C917D6">
            <w:pPr>
              <w:pStyle w:val="NormalLeft"/>
            </w:pPr>
            <w:r w:rsidRPr="00DE12A3">
              <w:t>37</w:t>
            </w:r>
          </w:p>
        </w:tc>
      </w:tr>
      <w:tr w:rsidR="00DE12A3" w:rsidRPr="00DE12A3" w14:paraId="6AA3F8B8" w14:textId="77777777" w:rsidTr="009F4766">
        <w:tc>
          <w:tcPr>
            <w:tcW w:w="1182" w:type="dxa"/>
            <w:tcBorders>
              <w:top w:val="single" w:sz="2" w:space="0" w:color="auto"/>
              <w:left w:val="single" w:sz="2" w:space="0" w:color="auto"/>
              <w:bottom w:val="single" w:sz="2" w:space="0" w:color="auto"/>
              <w:right w:val="single" w:sz="2" w:space="0" w:color="auto"/>
            </w:tcBorders>
          </w:tcPr>
          <w:p w14:paraId="4F2A7493" w14:textId="77777777" w:rsidR="009F4766" w:rsidRPr="00DE12A3" w:rsidRDefault="009F4766" w:rsidP="00C917D6">
            <w:pPr>
              <w:pStyle w:val="NormalLeft"/>
            </w:pPr>
            <w:r w:rsidRPr="00DE12A3">
              <w:t>65</w:t>
            </w:r>
          </w:p>
        </w:tc>
        <w:tc>
          <w:tcPr>
            <w:tcW w:w="2489" w:type="dxa"/>
            <w:tcBorders>
              <w:top w:val="single" w:sz="2" w:space="0" w:color="auto"/>
              <w:left w:val="single" w:sz="2" w:space="0" w:color="auto"/>
              <w:bottom w:val="single" w:sz="2" w:space="0" w:color="auto"/>
              <w:right w:val="single" w:sz="2" w:space="0" w:color="auto"/>
            </w:tcBorders>
          </w:tcPr>
          <w:p w14:paraId="2AC6FE46" w14:textId="77777777" w:rsidR="009F4766" w:rsidRPr="00DE12A3" w:rsidRDefault="009F4766" w:rsidP="00C917D6">
            <w:pPr>
              <w:pStyle w:val="NormalLeft"/>
            </w:pPr>
            <w:r w:rsidRPr="00DE12A3">
              <w:t>12</w:t>
            </w:r>
          </w:p>
        </w:tc>
        <w:tc>
          <w:tcPr>
            <w:tcW w:w="2551" w:type="dxa"/>
            <w:tcBorders>
              <w:top w:val="single" w:sz="2" w:space="0" w:color="auto"/>
              <w:left w:val="single" w:sz="2" w:space="0" w:color="auto"/>
              <w:bottom w:val="single" w:sz="2" w:space="0" w:color="auto"/>
              <w:right w:val="single" w:sz="2" w:space="0" w:color="auto"/>
            </w:tcBorders>
          </w:tcPr>
          <w:p w14:paraId="2F159939" w14:textId="77777777" w:rsidR="009F4766" w:rsidRPr="00DE12A3" w:rsidRDefault="009F4766" w:rsidP="00C917D6">
            <w:pPr>
              <w:pStyle w:val="NormalLeft"/>
            </w:pPr>
            <w:r w:rsidRPr="00DE12A3">
              <w:t>44</w:t>
            </w:r>
          </w:p>
        </w:tc>
      </w:tr>
      <w:tr w:rsidR="00DE12A3" w:rsidRPr="00DE12A3" w14:paraId="78311CEF" w14:textId="77777777" w:rsidTr="009F4766">
        <w:tc>
          <w:tcPr>
            <w:tcW w:w="1182" w:type="dxa"/>
            <w:tcBorders>
              <w:top w:val="single" w:sz="2" w:space="0" w:color="auto"/>
              <w:left w:val="single" w:sz="2" w:space="0" w:color="auto"/>
              <w:bottom w:val="single" w:sz="2" w:space="0" w:color="auto"/>
              <w:right w:val="single" w:sz="2" w:space="0" w:color="auto"/>
            </w:tcBorders>
          </w:tcPr>
          <w:p w14:paraId="2F89A2F5" w14:textId="77777777" w:rsidR="009F4766" w:rsidRPr="00DE12A3" w:rsidRDefault="009F4766" w:rsidP="00C917D6">
            <w:pPr>
              <w:pStyle w:val="NormalLeft"/>
            </w:pPr>
            <w:r w:rsidRPr="00DE12A3">
              <w:t>66</w:t>
            </w:r>
          </w:p>
        </w:tc>
        <w:tc>
          <w:tcPr>
            <w:tcW w:w="2489" w:type="dxa"/>
            <w:tcBorders>
              <w:top w:val="single" w:sz="2" w:space="0" w:color="auto"/>
              <w:left w:val="single" w:sz="2" w:space="0" w:color="auto"/>
              <w:bottom w:val="single" w:sz="2" w:space="0" w:color="auto"/>
              <w:right w:val="single" w:sz="2" w:space="0" w:color="auto"/>
            </w:tcBorders>
          </w:tcPr>
          <w:p w14:paraId="4E3D4AFF" w14:textId="77777777" w:rsidR="009F4766" w:rsidRPr="00DE12A3" w:rsidRDefault="009F4766" w:rsidP="00C917D6">
            <w:pPr>
              <w:pStyle w:val="NormalLeft"/>
            </w:pPr>
            <w:r w:rsidRPr="00DE12A3">
              <w:t>9</w:t>
            </w:r>
          </w:p>
        </w:tc>
        <w:tc>
          <w:tcPr>
            <w:tcW w:w="2551" w:type="dxa"/>
            <w:tcBorders>
              <w:top w:val="single" w:sz="2" w:space="0" w:color="auto"/>
              <w:left w:val="single" w:sz="2" w:space="0" w:color="auto"/>
              <w:bottom w:val="single" w:sz="2" w:space="0" w:color="auto"/>
              <w:right w:val="single" w:sz="2" w:space="0" w:color="auto"/>
            </w:tcBorders>
          </w:tcPr>
          <w:p w14:paraId="2073091B" w14:textId="77777777" w:rsidR="009F4766" w:rsidRPr="00DE12A3" w:rsidRDefault="009F4766" w:rsidP="00C917D6">
            <w:pPr>
              <w:pStyle w:val="NormalLeft"/>
            </w:pPr>
            <w:r w:rsidRPr="00DE12A3">
              <w:t>47</w:t>
            </w:r>
          </w:p>
        </w:tc>
      </w:tr>
      <w:tr w:rsidR="00DE12A3" w:rsidRPr="00DE12A3" w14:paraId="71AD5F95" w14:textId="77777777" w:rsidTr="009F4766">
        <w:tc>
          <w:tcPr>
            <w:tcW w:w="1182" w:type="dxa"/>
            <w:tcBorders>
              <w:top w:val="single" w:sz="2" w:space="0" w:color="auto"/>
              <w:left w:val="single" w:sz="2" w:space="0" w:color="auto"/>
              <w:bottom w:val="single" w:sz="2" w:space="0" w:color="auto"/>
              <w:right w:val="single" w:sz="2" w:space="0" w:color="auto"/>
            </w:tcBorders>
          </w:tcPr>
          <w:p w14:paraId="0F2FEBA5" w14:textId="77777777" w:rsidR="009F4766" w:rsidRPr="00DE12A3" w:rsidRDefault="009F4766" w:rsidP="00C917D6">
            <w:pPr>
              <w:pStyle w:val="NormalLeft"/>
            </w:pPr>
            <w:r w:rsidRPr="00DE12A3">
              <w:t>67</w:t>
            </w:r>
          </w:p>
        </w:tc>
        <w:tc>
          <w:tcPr>
            <w:tcW w:w="2489" w:type="dxa"/>
            <w:tcBorders>
              <w:top w:val="single" w:sz="2" w:space="0" w:color="auto"/>
              <w:left w:val="single" w:sz="2" w:space="0" w:color="auto"/>
              <w:bottom w:val="single" w:sz="2" w:space="0" w:color="auto"/>
              <w:right w:val="single" w:sz="2" w:space="0" w:color="auto"/>
            </w:tcBorders>
          </w:tcPr>
          <w:p w14:paraId="3C6FE54B" w14:textId="77777777" w:rsidR="009F4766" w:rsidRPr="00DE12A3" w:rsidRDefault="009F4766" w:rsidP="00C917D6">
            <w:pPr>
              <w:pStyle w:val="NormalLeft"/>
            </w:pPr>
            <w:r w:rsidRPr="00DE12A3">
              <w:t>12</w:t>
            </w:r>
          </w:p>
        </w:tc>
        <w:tc>
          <w:tcPr>
            <w:tcW w:w="2551" w:type="dxa"/>
            <w:tcBorders>
              <w:top w:val="single" w:sz="2" w:space="0" w:color="auto"/>
              <w:left w:val="single" w:sz="2" w:space="0" w:color="auto"/>
              <w:bottom w:val="single" w:sz="2" w:space="0" w:color="auto"/>
              <w:right w:val="single" w:sz="2" w:space="0" w:color="auto"/>
            </w:tcBorders>
          </w:tcPr>
          <w:p w14:paraId="2BBC4B9C" w14:textId="77777777" w:rsidR="009F4766" w:rsidRPr="00DE12A3" w:rsidRDefault="009F4766" w:rsidP="00C917D6">
            <w:pPr>
              <w:pStyle w:val="NormalLeft"/>
            </w:pPr>
            <w:r w:rsidRPr="00DE12A3">
              <w:t>52</w:t>
            </w:r>
          </w:p>
        </w:tc>
      </w:tr>
      <w:tr w:rsidR="00DE12A3" w:rsidRPr="00DE12A3" w14:paraId="7F5521F9" w14:textId="77777777" w:rsidTr="009F4766">
        <w:tc>
          <w:tcPr>
            <w:tcW w:w="1182" w:type="dxa"/>
            <w:tcBorders>
              <w:top w:val="single" w:sz="2" w:space="0" w:color="auto"/>
              <w:left w:val="single" w:sz="2" w:space="0" w:color="auto"/>
              <w:bottom w:val="single" w:sz="2" w:space="0" w:color="auto"/>
              <w:right w:val="single" w:sz="2" w:space="0" w:color="auto"/>
            </w:tcBorders>
          </w:tcPr>
          <w:p w14:paraId="2338D503" w14:textId="77777777" w:rsidR="009F4766" w:rsidRPr="00DE12A3" w:rsidRDefault="009F4766" w:rsidP="00C917D6">
            <w:pPr>
              <w:pStyle w:val="NormalLeft"/>
            </w:pPr>
            <w:r w:rsidRPr="00DE12A3">
              <w:t>68</w:t>
            </w:r>
          </w:p>
        </w:tc>
        <w:tc>
          <w:tcPr>
            <w:tcW w:w="2489" w:type="dxa"/>
            <w:tcBorders>
              <w:top w:val="single" w:sz="2" w:space="0" w:color="auto"/>
              <w:left w:val="single" w:sz="2" w:space="0" w:color="auto"/>
              <w:bottom w:val="single" w:sz="2" w:space="0" w:color="auto"/>
              <w:right w:val="single" w:sz="2" w:space="0" w:color="auto"/>
            </w:tcBorders>
          </w:tcPr>
          <w:p w14:paraId="56508D8F" w14:textId="77777777" w:rsidR="009F4766" w:rsidRPr="00DE12A3" w:rsidRDefault="009F4766" w:rsidP="00C917D6">
            <w:pPr>
              <w:pStyle w:val="NormalLeft"/>
            </w:pPr>
            <w:r w:rsidRPr="00DE12A3">
              <w:t>34</w:t>
            </w:r>
          </w:p>
        </w:tc>
        <w:tc>
          <w:tcPr>
            <w:tcW w:w="2551" w:type="dxa"/>
            <w:tcBorders>
              <w:top w:val="single" w:sz="2" w:space="0" w:color="auto"/>
              <w:left w:val="single" w:sz="2" w:space="0" w:color="auto"/>
              <w:bottom w:val="single" w:sz="2" w:space="0" w:color="auto"/>
              <w:right w:val="single" w:sz="2" w:space="0" w:color="auto"/>
            </w:tcBorders>
          </w:tcPr>
          <w:p w14:paraId="6B538D00" w14:textId="77777777" w:rsidR="009F4766" w:rsidRPr="00DE12A3" w:rsidRDefault="009F4766" w:rsidP="00C917D6">
            <w:pPr>
              <w:pStyle w:val="NormalLeft"/>
            </w:pPr>
            <w:r w:rsidRPr="00DE12A3">
              <w:t>21</w:t>
            </w:r>
          </w:p>
        </w:tc>
      </w:tr>
      <w:tr w:rsidR="00DE12A3" w:rsidRPr="00DE12A3" w14:paraId="6A39E9B7" w14:textId="77777777" w:rsidTr="009F4766">
        <w:tc>
          <w:tcPr>
            <w:tcW w:w="1182" w:type="dxa"/>
            <w:tcBorders>
              <w:top w:val="single" w:sz="2" w:space="0" w:color="auto"/>
              <w:left w:val="single" w:sz="2" w:space="0" w:color="auto"/>
              <w:bottom w:val="single" w:sz="2" w:space="0" w:color="auto"/>
              <w:right w:val="single" w:sz="2" w:space="0" w:color="auto"/>
            </w:tcBorders>
          </w:tcPr>
          <w:p w14:paraId="000539BC" w14:textId="77777777" w:rsidR="009F4766" w:rsidRPr="00DE12A3" w:rsidRDefault="009F4766" w:rsidP="00C917D6">
            <w:pPr>
              <w:pStyle w:val="NormalLeft"/>
            </w:pPr>
            <w:r w:rsidRPr="00DE12A3">
              <w:t>69</w:t>
            </w:r>
          </w:p>
        </w:tc>
        <w:tc>
          <w:tcPr>
            <w:tcW w:w="2489" w:type="dxa"/>
            <w:tcBorders>
              <w:top w:val="single" w:sz="2" w:space="0" w:color="auto"/>
              <w:left w:val="single" w:sz="2" w:space="0" w:color="auto"/>
              <w:bottom w:val="single" w:sz="2" w:space="0" w:color="auto"/>
              <w:right w:val="single" w:sz="2" w:space="0" w:color="auto"/>
            </w:tcBorders>
          </w:tcPr>
          <w:p w14:paraId="6384808A" w14:textId="77777777" w:rsidR="009F4766" w:rsidRPr="00DE12A3" w:rsidRDefault="009F4766" w:rsidP="00C917D6">
            <w:pPr>
              <w:pStyle w:val="NormalLeft"/>
            </w:pPr>
            <w:r w:rsidRPr="00DE12A3">
              <w:t>29</w:t>
            </w:r>
          </w:p>
        </w:tc>
        <w:tc>
          <w:tcPr>
            <w:tcW w:w="2551" w:type="dxa"/>
            <w:tcBorders>
              <w:top w:val="single" w:sz="2" w:space="0" w:color="auto"/>
              <w:left w:val="single" w:sz="2" w:space="0" w:color="auto"/>
              <w:bottom w:val="single" w:sz="2" w:space="0" w:color="auto"/>
              <w:right w:val="single" w:sz="2" w:space="0" w:color="auto"/>
            </w:tcBorders>
          </w:tcPr>
          <w:p w14:paraId="6D442485" w14:textId="77777777" w:rsidR="009F4766" w:rsidRPr="00DE12A3" w:rsidRDefault="009F4766" w:rsidP="00C917D6">
            <w:pPr>
              <w:pStyle w:val="NormalLeft"/>
            </w:pPr>
            <w:r w:rsidRPr="00DE12A3">
              <w:t>44</w:t>
            </w:r>
          </w:p>
        </w:tc>
      </w:tr>
      <w:tr w:rsidR="00DE12A3" w:rsidRPr="00DE12A3" w14:paraId="29DD6938" w14:textId="77777777" w:rsidTr="009F4766">
        <w:tc>
          <w:tcPr>
            <w:tcW w:w="1182" w:type="dxa"/>
            <w:tcBorders>
              <w:top w:val="single" w:sz="2" w:space="0" w:color="auto"/>
              <w:left w:val="single" w:sz="2" w:space="0" w:color="auto"/>
              <w:bottom w:val="single" w:sz="2" w:space="0" w:color="auto"/>
              <w:right w:val="single" w:sz="2" w:space="0" w:color="auto"/>
            </w:tcBorders>
          </w:tcPr>
          <w:p w14:paraId="4AC804CB" w14:textId="77777777" w:rsidR="009F4766" w:rsidRPr="00DE12A3" w:rsidRDefault="009F4766" w:rsidP="00C917D6">
            <w:pPr>
              <w:pStyle w:val="NormalLeft"/>
            </w:pPr>
            <w:r w:rsidRPr="00DE12A3">
              <w:t>70</w:t>
            </w:r>
          </w:p>
        </w:tc>
        <w:tc>
          <w:tcPr>
            <w:tcW w:w="2489" w:type="dxa"/>
            <w:tcBorders>
              <w:top w:val="single" w:sz="2" w:space="0" w:color="auto"/>
              <w:left w:val="single" w:sz="2" w:space="0" w:color="auto"/>
              <w:bottom w:val="single" w:sz="2" w:space="0" w:color="auto"/>
              <w:right w:val="single" w:sz="2" w:space="0" w:color="auto"/>
            </w:tcBorders>
          </w:tcPr>
          <w:p w14:paraId="766CCE7D" w14:textId="77777777" w:rsidR="009F4766" w:rsidRPr="00DE12A3" w:rsidRDefault="009F4766" w:rsidP="00C917D6">
            <w:pPr>
              <w:pStyle w:val="NormalLeft"/>
            </w:pPr>
            <w:r w:rsidRPr="00DE12A3">
              <w:t>44</w:t>
            </w:r>
          </w:p>
        </w:tc>
        <w:tc>
          <w:tcPr>
            <w:tcW w:w="2551" w:type="dxa"/>
            <w:tcBorders>
              <w:top w:val="single" w:sz="2" w:space="0" w:color="auto"/>
              <w:left w:val="single" w:sz="2" w:space="0" w:color="auto"/>
              <w:bottom w:val="single" w:sz="2" w:space="0" w:color="auto"/>
              <w:right w:val="single" w:sz="2" w:space="0" w:color="auto"/>
            </w:tcBorders>
          </w:tcPr>
          <w:p w14:paraId="473A7D15" w14:textId="77777777" w:rsidR="009F4766" w:rsidRPr="00DE12A3" w:rsidRDefault="009F4766" w:rsidP="00C917D6">
            <w:pPr>
              <w:pStyle w:val="NormalLeft"/>
            </w:pPr>
            <w:r w:rsidRPr="00DE12A3">
              <w:t>54</w:t>
            </w:r>
          </w:p>
        </w:tc>
      </w:tr>
      <w:tr w:rsidR="00DE12A3" w:rsidRPr="00DE12A3" w14:paraId="30674A5C" w14:textId="77777777" w:rsidTr="009F4766">
        <w:tc>
          <w:tcPr>
            <w:tcW w:w="1182" w:type="dxa"/>
            <w:tcBorders>
              <w:top w:val="single" w:sz="2" w:space="0" w:color="auto"/>
              <w:left w:val="single" w:sz="2" w:space="0" w:color="auto"/>
              <w:bottom w:val="single" w:sz="2" w:space="0" w:color="auto"/>
              <w:right w:val="single" w:sz="2" w:space="0" w:color="auto"/>
            </w:tcBorders>
          </w:tcPr>
          <w:p w14:paraId="2E1A53F9" w14:textId="77777777" w:rsidR="009F4766" w:rsidRPr="00DE12A3" w:rsidRDefault="009F4766" w:rsidP="00C917D6">
            <w:pPr>
              <w:pStyle w:val="NormalLeft"/>
            </w:pPr>
            <w:r w:rsidRPr="00DE12A3">
              <w:t>71</w:t>
            </w:r>
          </w:p>
        </w:tc>
        <w:tc>
          <w:tcPr>
            <w:tcW w:w="2489" w:type="dxa"/>
            <w:tcBorders>
              <w:top w:val="single" w:sz="2" w:space="0" w:color="auto"/>
              <w:left w:val="single" w:sz="2" w:space="0" w:color="auto"/>
              <w:bottom w:val="single" w:sz="2" w:space="0" w:color="auto"/>
              <w:right w:val="single" w:sz="2" w:space="0" w:color="auto"/>
            </w:tcBorders>
          </w:tcPr>
          <w:p w14:paraId="43144E00" w14:textId="77777777" w:rsidR="009F4766" w:rsidRPr="00DE12A3" w:rsidRDefault="009F4766" w:rsidP="00C917D6">
            <w:pPr>
              <w:pStyle w:val="NormalLeft"/>
            </w:pPr>
            <w:r w:rsidRPr="00DE12A3">
              <w:t>54</w:t>
            </w:r>
          </w:p>
        </w:tc>
        <w:tc>
          <w:tcPr>
            <w:tcW w:w="2551" w:type="dxa"/>
            <w:tcBorders>
              <w:top w:val="single" w:sz="2" w:space="0" w:color="auto"/>
              <w:left w:val="single" w:sz="2" w:space="0" w:color="auto"/>
              <w:bottom w:val="single" w:sz="2" w:space="0" w:color="auto"/>
              <w:right w:val="single" w:sz="2" w:space="0" w:color="auto"/>
            </w:tcBorders>
          </w:tcPr>
          <w:p w14:paraId="7D0127F8" w14:textId="77777777" w:rsidR="009F4766" w:rsidRPr="00DE12A3" w:rsidRDefault="009F4766" w:rsidP="00C917D6">
            <w:pPr>
              <w:pStyle w:val="NormalLeft"/>
            </w:pPr>
            <w:r w:rsidRPr="00DE12A3">
              <w:t>62</w:t>
            </w:r>
          </w:p>
        </w:tc>
      </w:tr>
      <w:tr w:rsidR="00DE12A3" w:rsidRPr="00DE12A3" w14:paraId="63140213" w14:textId="77777777" w:rsidTr="009F4766">
        <w:tc>
          <w:tcPr>
            <w:tcW w:w="1182" w:type="dxa"/>
            <w:tcBorders>
              <w:top w:val="single" w:sz="2" w:space="0" w:color="auto"/>
              <w:left w:val="single" w:sz="2" w:space="0" w:color="auto"/>
              <w:bottom w:val="single" w:sz="2" w:space="0" w:color="auto"/>
              <w:right w:val="single" w:sz="2" w:space="0" w:color="auto"/>
            </w:tcBorders>
          </w:tcPr>
          <w:p w14:paraId="059C693E" w14:textId="77777777" w:rsidR="009F4766" w:rsidRPr="00DE12A3" w:rsidRDefault="009F4766" w:rsidP="00C917D6">
            <w:pPr>
              <w:pStyle w:val="NormalLeft"/>
            </w:pPr>
            <w:r w:rsidRPr="00DE12A3">
              <w:t>72</w:t>
            </w:r>
          </w:p>
        </w:tc>
        <w:tc>
          <w:tcPr>
            <w:tcW w:w="2489" w:type="dxa"/>
            <w:tcBorders>
              <w:top w:val="single" w:sz="2" w:space="0" w:color="auto"/>
              <w:left w:val="single" w:sz="2" w:space="0" w:color="auto"/>
              <w:bottom w:val="single" w:sz="2" w:space="0" w:color="auto"/>
              <w:right w:val="single" w:sz="2" w:space="0" w:color="auto"/>
            </w:tcBorders>
          </w:tcPr>
          <w:p w14:paraId="5C7E1D61" w14:textId="77777777" w:rsidR="009F4766" w:rsidRPr="00DE12A3" w:rsidRDefault="009F4766" w:rsidP="00C917D6">
            <w:pPr>
              <w:pStyle w:val="NormalLeft"/>
            </w:pPr>
            <w:r w:rsidRPr="00DE12A3">
              <w:t>62</w:t>
            </w:r>
          </w:p>
        </w:tc>
        <w:tc>
          <w:tcPr>
            <w:tcW w:w="2551" w:type="dxa"/>
            <w:tcBorders>
              <w:top w:val="single" w:sz="2" w:space="0" w:color="auto"/>
              <w:left w:val="single" w:sz="2" w:space="0" w:color="auto"/>
              <w:bottom w:val="single" w:sz="2" w:space="0" w:color="auto"/>
              <w:right w:val="single" w:sz="2" w:space="0" w:color="auto"/>
            </w:tcBorders>
          </w:tcPr>
          <w:p w14:paraId="6D39F25E" w14:textId="77777777" w:rsidR="009F4766" w:rsidRPr="00DE12A3" w:rsidRDefault="009F4766" w:rsidP="00C917D6">
            <w:pPr>
              <w:pStyle w:val="NormalLeft"/>
            </w:pPr>
            <w:r w:rsidRPr="00DE12A3">
              <w:t>57</w:t>
            </w:r>
          </w:p>
        </w:tc>
      </w:tr>
      <w:tr w:rsidR="00DE12A3" w:rsidRPr="00DE12A3" w14:paraId="5718C811" w14:textId="77777777" w:rsidTr="009F4766">
        <w:tc>
          <w:tcPr>
            <w:tcW w:w="1182" w:type="dxa"/>
            <w:tcBorders>
              <w:top w:val="single" w:sz="2" w:space="0" w:color="auto"/>
              <w:left w:val="single" w:sz="2" w:space="0" w:color="auto"/>
              <w:bottom w:val="single" w:sz="2" w:space="0" w:color="auto"/>
              <w:right w:val="single" w:sz="2" w:space="0" w:color="auto"/>
            </w:tcBorders>
          </w:tcPr>
          <w:p w14:paraId="11A06B8C" w14:textId="77777777" w:rsidR="009F4766" w:rsidRPr="00DE12A3" w:rsidRDefault="009F4766" w:rsidP="00C917D6">
            <w:pPr>
              <w:pStyle w:val="NormalLeft"/>
            </w:pPr>
            <w:r w:rsidRPr="00DE12A3">
              <w:t>73</w:t>
            </w:r>
          </w:p>
        </w:tc>
        <w:tc>
          <w:tcPr>
            <w:tcW w:w="2489" w:type="dxa"/>
            <w:tcBorders>
              <w:top w:val="single" w:sz="2" w:space="0" w:color="auto"/>
              <w:left w:val="single" w:sz="2" w:space="0" w:color="auto"/>
              <w:bottom w:val="single" w:sz="2" w:space="0" w:color="auto"/>
              <w:right w:val="single" w:sz="2" w:space="0" w:color="auto"/>
            </w:tcBorders>
          </w:tcPr>
          <w:p w14:paraId="524A88C4" w14:textId="77777777" w:rsidR="009F4766" w:rsidRPr="00DE12A3" w:rsidRDefault="009F4766" w:rsidP="00C917D6">
            <w:pPr>
              <w:pStyle w:val="NormalLeft"/>
            </w:pPr>
            <w:r w:rsidRPr="00DE12A3">
              <w:t>72</w:t>
            </w:r>
          </w:p>
        </w:tc>
        <w:tc>
          <w:tcPr>
            <w:tcW w:w="2551" w:type="dxa"/>
            <w:tcBorders>
              <w:top w:val="single" w:sz="2" w:space="0" w:color="auto"/>
              <w:left w:val="single" w:sz="2" w:space="0" w:color="auto"/>
              <w:bottom w:val="single" w:sz="2" w:space="0" w:color="auto"/>
              <w:right w:val="single" w:sz="2" w:space="0" w:color="auto"/>
            </w:tcBorders>
          </w:tcPr>
          <w:p w14:paraId="106D95CE" w14:textId="77777777" w:rsidR="009F4766" w:rsidRPr="00DE12A3" w:rsidRDefault="009F4766" w:rsidP="00C917D6">
            <w:pPr>
              <w:pStyle w:val="NormalLeft"/>
            </w:pPr>
            <w:r w:rsidRPr="00DE12A3">
              <w:t>56</w:t>
            </w:r>
          </w:p>
        </w:tc>
      </w:tr>
      <w:tr w:rsidR="00DE12A3" w:rsidRPr="00DE12A3" w14:paraId="69B2ABF6" w14:textId="77777777" w:rsidTr="009F4766">
        <w:tc>
          <w:tcPr>
            <w:tcW w:w="1182" w:type="dxa"/>
            <w:tcBorders>
              <w:top w:val="single" w:sz="2" w:space="0" w:color="auto"/>
              <w:left w:val="single" w:sz="2" w:space="0" w:color="auto"/>
              <w:bottom w:val="single" w:sz="2" w:space="0" w:color="auto"/>
              <w:right w:val="single" w:sz="2" w:space="0" w:color="auto"/>
            </w:tcBorders>
          </w:tcPr>
          <w:p w14:paraId="6CC011E9" w14:textId="77777777" w:rsidR="009F4766" w:rsidRPr="00DE12A3" w:rsidRDefault="009F4766" w:rsidP="00C917D6">
            <w:pPr>
              <w:pStyle w:val="NormalLeft"/>
            </w:pPr>
            <w:r w:rsidRPr="00DE12A3">
              <w:t>74</w:t>
            </w:r>
          </w:p>
        </w:tc>
        <w:tc>
          <w:tcPr>
            <w:tcW w:w="2489" w:type="dxa"/>
            <w:tcBorders>
              <w:top w:val="single" w:sz="2" w:space="0" w:color="auto"/>
              <w:left w:val="single" w:sz="2" w:space="0" w:color="auto"/>
              <w:bottom w:val="single" w:sz="2" w:space="0" w:color="auto"/>
              <w:right w:val="single" w:sz="2" w:space="0" w:color="auto"/>
            </w:tcBorders>
          </w:tcPr>
          <w:p w14:paraId="1F7BFA67" w14:textId="77777777" w:rsidR="009F4766" w:rsidRPr="00DE12A3" w:rsidRDefault="009F4766" w:rsidP="00C917D6">
            <w:pPr>
              <w:pStyle w:val="NormalLeft"/>
            </w:pPr>
            <w:r w:rsidRPr="00DE12A3">
              <w:t>88</w:t>
            </w:r>
          </w:p>
        </w:tc>
        <w:tc>
          <w:tcPr>
            <w:tcW w:w="2551" w:type="dxa"/>
            <w:tcBorders>
              <w:top w:val="single" w:sz="2" w:space="0" w:color="auto"/>
              <w:left w:val="single" w:sz="2" w:space="0" w:color="auto"/>
              <w:bottom w:val="single" w:sz="2" w:space="0" w:color="auto"/>
              <w:right w:val="single" w:sz="2" w:space="0" w:color="auto"/>
            </w:tcBorders>
          </w:tcPr>
          <w:p w14:paraId="7242047A" w14:textId="77777777" w:rsidR="009F4766" w:rsidRPr="00DE12A3" w:rsidRDefault="009F4766" w:rsidP="00C917D6">
            <w:pPr>
              <w:pStyle w:val="NormalLeft"/>
            </w:pPr>
            <w:r w:rsidRPr="00DE12A3">
              <w:t>71</w:t>
            </w:r>
          </w:p>
        </w:tc>
      </w:tr>
      <w:tr w:rsidR="00DE12A3" w:rsidRPr="00DE12A3" w14:paraId="0698D5F5" w14:textId="77777777" w:rsidTr="009F4766">
        <w:tc>
          <w:tcPr>
            <w:tcW w:w="1182" w:type="dxa"/>
            <w:tcBorders>
              <w:top w:val="single" w:sz="2" w:space="0" w:color="auto"/>
              <w:left w:val="single" w:sz="2" w:space="0" w:color="auto"/>
              <w:bottom w:val="single" w:sz="2" w:space="0" w:color="auto"/>
              <w:right w:val="single" w:sz="2" w:space="0" w:color="auto"/>
            </w:tcBorders>
          </w:tcPr>
          <w:p w14:paraId="067BEF16" w14:textId="77777777" w:rsidR="009F4766" w:rsidRPr="00DE12A3" w:rsidRDefault="009F4766" w:rsidP="00C917D6">
            <w:pPr>
              <w:pStyle w:val="NormalLeft"/>
            </w:pPr>
            <w:r w:rsidRPr="00DE12A3">
              <w:lastRenderedPageBreak/>
              <w:t>75</w:t>
            </w:r>
          </w:p>
        </w:tc>
        <w:tc>
          <w:tcPr>
            <w:tcW w:w="2489" w:type="dxa"/>
            <w:tcBorders>
              <w:top w:val="single" w:sz="2" w:space="0" w:color="auto"/>
              <w:left w:val="single" w:sz="2" w:space="0" w:color="auto"/>
              <w:bottom w:val="single" w:sz="2" w:space="0" w:color="auto"/>
              <w:right w:val="single" w:sz="2" w:space="0" w:color="auto"/>
            </w:tcBorders>
          </w:tcPr>
          <w:p w14:paraId="5B8FD5FD" w14:textId="77777777" w:rsidR="009F4766" w:rsidRPr="00DE12A3" w:rsidRDefault="009F4766" w:rsidP="00C917D6">
            <w:pPr>
              <w:pStyle w:val="NormalLeft"/>
            </w:pPr>
            <w:r w:rsidRPr="00DE12A3">
              <w:t>100</w:t>
            </w:r>
          </w:p>
        </w:tc>
        <w:tc>
          <w:tcPr>
            <w:tcW w:w="2551" w:type="dxa"/>
            <w:tcBorders>
              <w:top w:val="single" w:sz="2" w:space="0" w:color="auto"/>
              <w:left w:val="single" w:sz="2" w:space="0" w:color="auto"/>
              <w:bottom w:val="single" w:sz="2" w:space="0" w:color="auto"/>
              <w:right w:val="single" w:sz="2" w:space="0" w:color="auto"/>
            </w:tcBorders>
          </w:tcPr>
          <w:p w14:paraId="38113130" w14:textId="77777777" w:rsidR="009F4766" w:rsidRPr="00DE12A3" w:rsidRDefault="009F4766" w:rsidP="00C917D6">
            <w:pPr>
              <w:pStyle w:val="NormalLeft"/>
            </w:pPr>
            <w:r w:rsidRPr="00DE12A3">
              <w:t>69</w:t>
            </w:r>
          </w:p>
        </w:tc>
      </w:tr>
      <w:tr w:rsidR="00DE12A3" w:rsidRPr="00DE12A3" w14:paraId="09075D3A" w14:textId="77777777" w:rsidTr="009F4766">
        <w:tc>
          <w:tcPr>
            <w:tcW w:w="1182" w:type="dxa"/>
            <w:tcBorders>
              <w:top w:val="single" w:sz="2" w:space="0" w:color="auto"/>
              <w:left w:val="single" w:sz="2" w:space="0" w:color="auto"/>
              <w:bottom w:val="single" w:sz="2" w:space="0" w:color="auto"/>
              <w:right w:val="single" w:sz="2" w:space="0" w:color="auto"/>
            </w:tcBorders>
          </w:tcPr>
          <w:p w14:paraId="3054D17A" w14:textId="77777777" w:rsidR="009F4766" w:rsidRPr="00DE12A3" w:rsidRDefault="009F4766" w:rsidP="00C917D6">
            <w:pPr>
              <w:pStyle w:val="NormalLeft"/>
            </w:pPr>
            <w:r w:rsidRPr="00DE12A3">
              <w:t>76</w:t>
            </w:r>
          </w:p>
        </w:tc>
        <w:tc>
          <w:tcPr>
            <w:tcW w:w="2489" w:type="dxa"/>
            <w:tcBorders>
              <w:top w:val="single" w:sz="2" w:space="0" w:color="auto"/>
              <w:left w:val="single" w:sz="2" w:space="0" w:color="auto"/>
              <w:bottom w:val="single" w:sz="2" w:space="0" w:color="auto"/>
              <w:right w:val="single" w:sz="2" w:space="0" w:color="auto"/>
            </w:tcBorders>
          </w:tcPr>
          <w:p w14:paraId="40F4F502" w14:textId="77777777" w:rsidR="009F4766" w:rsidRPr="00DE12A3" w:rsidRDefault="009F4766" w:rsidP="00C917D6">
            <w:pPr>
              <w:pStyle w:val="NormalLeft"/>
            </w:pPr>
            <w:r w:rsidRPr="00DE12A3">
              <w:t>100</w:t>
            </w:r>
          </w:p>
        </w:tc>
        <w:tc>
          <w:tcPr>
            <w:tcW w:w="2551" w:type="dxa"/>
            <w:tcBorders>
              <w:top w:val="single" w:sz="2" w:space="0" w:color="auto"/>
              <w:left w:val="single" w:sz="2" w:space="0" w:color="auto"/>
              <w:bottom w:val="single" w:sz="2" w:space="0" w:color="auto"/>
              <w:right w:val="single" w:sz="2" w:space="0" w:color="auto"/>
            </w:tcBorders>
          </w:tcPr>
          <w:p w14:paraId="106836B4" w14:textId="77777777" w:rsidR="009F4766" w:rsidRPr="00DE12A3" w:rsidRDefault="009F4766" w:rsidP="00C917D6">
            <w:pPr>
              <w:pStyle w:val="NormalLeft"/>
            </w:pPr>
            <w:r w:rsidRPr="00DE12A3">
              <w:t>34</w:t>
            </w:r>
          </w:p>
        </w:tc>
      </w:tr>
      <w:tr w:rsidR="00DE12A3" w:rsidRPr="00DE12A3" w14:paraId="611B9D15" w14:textId="77777777" w:rsidTr="009F4766">
        <w:tc>
          <w:tcPr>
            <w:tcW w:w="1182" w:type="dxa"/>
            <w:tcBorders>
              <w:top w:val="single" w:sz="2" w:space="0" w:color="auto"/>
              <w:left w:val="single" w:sz="2" w:space="0" w:color="auto"/>
              <w:bottom w:val="single" w:sz="2" w:space="0" w:color="auto"/>
              <w:right w:val="single" w:sz="2" w:space="0" w:color="auto"/>
            </w:tcBorders>
          </w:tcPr>
          <w:p w14:paraId="7A9038A2" w14:textId="77777777" w:rsidR="009F4766" w:rsidRPr="00DE12A3" w:rsidRDefault="009F4766" w:rsidP="00C917D6">
            <w:pPr>
              <w:pStyle w:val="NormalLeft"/>
            </w:pPr>
            <w:r w:rsidRPr="00DE12A3">
              <w:t>77</w:t>
            </w:r>
          </w:p>
        </w:tc>
        <w:tc>
          <w:tcPr>
            <w:tcW w:w="2489" w:type="dxa"/>
            <w:tcBorders>
              <w:top w:val="single" w:sz="2" w:space="0" w:color="auto"/>
              <w:left w:val="single" w:sz="2" w:space="0" w:color="auto"/>
              <w:bottom w:val="single" w:sz="2" w:space="0" w:color="auto"/>
              <w:right w:val="single" w:sz="2" w:space="0" w:color="auto"/>
            </w:tcBorders>
          </w:tcPr>
          <w:p w14:paraId="09D99265" w14:textId="77777777" w:rsidR="009F4766" w:rsidRPr="00DE12A3" w:rsidRDefault="009F4766" w:rsidP="00C917D6">
            <w:pPr>
              <w:pStyle w:val="NormalLeft"/>
            </w:pPr>
            <w:r w:rsidRPr="00DE12A3">
              <w:t>100</w:t>
            </w:r>
          </w:p>
        </w:tc>
        <w:tc>
          <w:tcPr>
            <w:tcW w:w="2551" w:type="dxa"/>
            <w:tcBorders>
              <w:top w:val="single" w:sz="2" w:space="0" w:color="auto"/>
              <w:left w:val="single" w:sz="2" w:space="0" w:color="auto"/>
              <w:bottom w:val="single" w:sz="2" w:space="0" w:color="auto"/>
              <w:right w:val="single" w:sz="2" w:space="0" w:color="auto"/>
            </w:tcBorders>
          </w:tcPr>
          <w:p w14:paraId="7AD1E3C3" w14:textId="77777777" w:rsidR="009F4766" w:rsidRPr="00DE12A3" w:rsidRDefault="009F4766" w:rsidP="00C917D6">
            <w:pPr>
              <w:pStyle w:val="NormalLeft"/>
            </w:pPr>
            <w:r w:rsidRPr="00DE12A3">
              <w:t>42</w:t>
            </w:r>
          </w:p>
        </w:tc>
      </w:tr>
      <w:tr w:rsidR="00DE12A3" w:rsidRPr="00DE12A3" w14:paraId="144CFC79" w14:textId="77777777" w:rsidTr="009F4766">
        <w:tc>
          <w:tcPr>
            <w:tcW w:w="1182" w:type="dxa"/>
            <w:tcBorders>
              <w:top w:val="single" w:sz="2" w:space="0" w:color="auto"/>
              <w:left w:val="single" w:sz="2" w:space="0" w:color="auto"/>
              <w:bottom w:val="single" w:sz="2" w:space="0" w:color="auto"/>
              <w:right w:val="single" w:sz="2" w:space="0" w:color="auto"/>
            </w:tcBorders>
          </w:tcPr>
          <w:p w14:paraId="7B662889" w14:textId="77777777" w:rsidR="009F4766" w:rsidRPr="00DE12A3" w:rsidRDefault="009F4766" w:rsidP="00C917D6">
            <w:pPr>
              <w:pStyle w:val="NormalLeft"/>
            </w:pPr>
            <w:r w:rsidRPr="00DE12A3">
              <w:t>78</w:t>
            </w:r>
          </w:p>
        </w:tc>
        <w:tc>
          <w:tcPr>
            <w:tcW w:w="2489" w:type="dxa"/>
            <w:tcBorders>
              <w:top w:val="single" w:sz="2" w:space="0" w:color="auto"/>
              <w:left w:val="single" w:sz="2" w:space="0" w:color="auto"/>
              <w:bottom w:val="single" w:sz="2" w:space="0" w:color="auto"/>
              <w:right w:val="single" w:sz="2" w:space="0" w:color="auto"/>
            </w:tcBorders>
          </w:tcPr>
          <w:p w14:paraId="192DFDEB" w14:textId="77777777" w:rsidR="009F4766" w:rsidRPr="00DE12A3" w:rsidRDefault="009F4766" w:rsidP="00C917D6">
            <w:pPr>
              <w:pStyle w:val="NormalLeft"/>
            </w:pPr>
            <w:r w:rsidRPr="00DE12A3">
              <w:t>100</w:t>
            </w:r>
          </w:p>
        </w:tc>
        <w:tc>
          <w:tcPr>
            <w:tcW w:w="2551" w:type="dxa"/>
            <w:tcBorders>
              <w:top w:val="single" w:sz="2" w:space="0" w:color="auto"/>
              <w:left w:val="single" w:sz="2" w:space="0" w:color="auto"/>
              <w:bottom w:val="single" w:sz="2" w:space="0" w:color="auto"/>
              <w:right w:val="single" w:sz="2" w:space="0" w:color="auto"/>
            </w:tcBorders>
          </w:tcPr>
          <w:p w14:paraId="1472D473" w14:textId="77777777" w:rsidR="009F4766" w:rsidRPr="00DE12A3" w:rsidRDefault="009F4766" w:rsidP="00C917D6">
            <w:pPr>
              <w:pStyle w:val="NormalLeft"/>
            </w:pPr>
            <w:r w:rsidRPr="00DE12A3">
              <w:t>54</w:t>
            </w:r>
          </w:p>
        </w:tc>
      </w:tr>
      <w:tr w:rsidR="00DE12A3" w:rsidRPr="00DE12A3" w14:paraId="78ED8826" w14:textId="77777777" w:rsidTr="009F4766">
        <w:tc>
          <w:tcPr>
            <w:tcW w:w="1182" w:type="dxa"/>
            <w:tcBorders>
              <w:top w:val="single" w:sz="2" w:space="0" w:color="auto"/>
              <w:left w:val="single" w:sz="2" w:space="0" w:color="auto"/>
              <w:bottom w:val="single" w:sz="2" w:space="0" w:color="auto"/>
              <w:right w:val="single" w:sz="2" w:space="0" w:color="auto"/>
            </w:tcBorders>
          </w:tcPr>
          <w:p w14:paraId="687E6660" w14:textId="77777777" w:rsidR="009F4766" w:rsidRPr="00DE12A3" w:rsidRDefault="009F4766" w:rsidP="00C917D6">
            <w:pPr>
              <w:pStyle w:val="NormalLeft"/>
            </w:pPr>
            <w:r w:rsidRPr="00DE12A3">
              <w:t>79</w:t>
            </w:r>
          </w:p>
        </w:tc>
        <w:tc>
          <w:tcPr>
            <w:tcW w:w="2489" w:type="dxa"/>
            <w:tcBorders>
              <w:top w:val="single" w:sz="2" w:space="0" w:color="auto"/>
              <w:left w:val="single" w:sz="2" w:space="0" w:color="auto"/>
              <w:bottom w:val="single" w:sz="2" w:space="0" w:color="auto"/>
              <w:right w:val="single" w:sz="2" w:space="0" w:color="auto"/>
            </w:tcBorders>
          </w:tcPr>
          <w:p w14:paraId="542A6876" w14:textId="77777777" w:rsidR="009F4766" w:rsidRPr="00DE12A3" w:rsidRDefault="009F4766" w:rsidP="00C917D6">
            <w:pPr>
              <w:pStyle w:val="NormalLeft"/>
            </w:pPr>
            <w:r w:rsidRPr="00DE12A3">
              <w:t>100</w:t>
            </w:r>
          </w:p>
        </w:tc>
        <w:tc>
          <w:tcPr>
            <w:tcW w:w="2551" w:type="dxa"/>
            <w:tcBorders>
              <w:top w:val="single" w:sz="2" w:space="0" w:color="auto"/>
              <w:left w:val="single" w:sz="2" w:space="0" w:color="auto"/>
              <w:bottom w:val="single" w:sz="2" w:space="0" w:color="auto"/>
              <w:right w:val="single" w:sz="2" w:space="0" w:color="auto"/>
            </w:tcBorders>
          </w:tcPr>
          <w:p w14:paraId="79F64CCF" w14:textId="77777777" w:rsidR="009F4766" w:rsidRPr="00DE12A3" w:rsidRDefault="009F4766" w:rsidP="00C917D6">
            <w:pPr>
              <w:pStyle w:val="NormalLeft"/>
            </w:pPr>
            <w:r w:rsidRPr="00DE12A3">
              <w:t>58</w:t>
            </w:r>
          </w:p>
        </w:tc>
      </w:tr>
      <w:tr w:rsidR="00DE12A3" w:rsidRPr="00DE12A3" w14:paraId="39C90BE2" w14:textId="77777777" w:rsidTr="009F4766">
        <w:tc>
          <w:tcPr>
            <w:tcW w:w="1182" w:type="dxa"/>
            <w:tcBorders>
              <w:top w:val="single" w:sz="2" w:space="0" w:color="auto"/>
              <w:left w:val="single" w:sz="2" w:space="0" w:color="auto"/>
              <w:bottom w:val="single" w:sz="2" w:space="0" w:color="auto"/>
              <w:right w:val="single" w:sz="2" w:space="0" w:color="auto"/>
            </w:tcBorders>
          </w:tcPr>
          <w:p w14:paraId="4B8D09D2" w14:textId="77777777" w:rsidR="009F4766" w:rsidRPr="00DE12A3" w:rsidRDefault="009F4766" w:rsidP="00C917D6">
            <w:pPr>
              <w:pStyle w:val="NormalLeft"/>
            </w:pPr>
            <w:r w:rsidRPr="00DE12A3">
              <w:t>80</w:t>
            </w:r>
          </w:p>
        </w:tc>
        <w:tc>
          <w:tcPr>
            <w:tcW w:w="2489" w:type="dxa"/>
            <w:tcBorders>
              <w:top w:val="single" w:sz="2" w:space="0" w:color="auto"/>
              <w:left w:val="single" w:sz="2" w:space="0" w:color="auto"/>
              <w:bottom w:val="single" w:sz="2" w:space="0" w:color="auto"/>
              <w:right w:val="single" w:sz="2" w:space="0" w:color="auto"/>
            </w:tcBorders>
          </w:tcPr>
          <w:p w14:paraId="7CBEAC68" w14:textId="77777777" w:rsidR="009F4766" w:rsidRPr="00DE12A3" w:rsidRDefault="009F4766" w:rsidP="00C917D6">
            <w:pPr>
              <w:pStyle w:val="NormalLeft"/>
            </w:pPr>
            <w:r w:rsidRPr="00DE12A3">
              <w:t>100</w:t>
            </w:r>
          </w:p>
        </w:tc>
        <w:tc>
          <w:tcPr>
            <w:tcW w:w="2551" w:type="dxa"/>
            <w:tcBorders>
              <w:top w:val="single" w:sz="2" w:space="0" w:color="auto"/>
              <w:left w:val="single" w:sz="2" w:space="0" w:color="auto"/>
              <w:bottom w:val="single" w:sz="2" w:space="0" w:color="auto"/>
              <w:right w:val="single" w:sz="2" w:space="0" w:color="auto"/>
            </w:tcBorders>
          </w:tcPr>
          <w:p w14:paraId="39E8F9EF" w14:textId="77777777" w:rsidR="009F4766" w:rsidRPr="00DE12A3" w:rsidRDefault="009F4766" w:rsidP="00C917D6">
            <w:pPr>
              <w:pStyle w:val="NormalLeft"/>
            </w:pPr>
            <w:r w:rsidRPr="00DE12A3">
              <w:t>38</w:t>
            </w:r>
          </w:p>
        </w:tc>
      </w:tr>
      <w:tr w:rsidR="00DE12A3" w:rsidRPr="00DE12A3" w14:paraId="1DA954F2" w14:textId="77777777" w:rsidTr="009F4766">
        <w:tc>
          <w:tcPr>
            <w:tcW w:w="1182" w:type="dxa"/>
            <w:tcBorders>
              <w:top w:val="single" w:sz="2" w:space="0" w:color="auto"/>
              <w:left w:val="single" w:sz="2" w:space="0" w:color="auto"/>
              <w:bottom w:val="single" w:sz="2" w:space="0" w:color="auto"/>
              <w:right w:val="single" w:sz="2" w:space="0" w:color="auto"/>
            </w:tcBorders>
          </w:tcPr>
          <w:p w14:paraId="70D9B092" w14:textId="77777777" w:rsidR="009F4766" w:rsidRPr="00DE12A3" w:rsidRDefault="009F4766" w:rsidP="00C917D6">
            <w:pPr>
              <w:pStyle w:val="NormalLeft"/>
            </w:pPr>
            <w:r w:rsidRPr="00DE12A3">
              <w:t>81</w:t>
            </w:r>
          </w:p>
        </w:tc>
        <w:tc>
          <w:tcPr>
            <w:tcW w:w="2489" w:type="dxa"/>
            <w:tcBorders>
              <w:top w:val="single" w:sz="2" w:space="0" w:color="auto"/>
              <w:left w:val="single" w:sz="2" w:space="0" w:color="auto"/>
              <w:bottom w:val="single" w:sz="2" w:space="0" w:color="auto"/>
              <w:right w:val="single" w:sz="2" w:space="0" w:color="auto"/>
            </w:tcBorders>
          </w:tcPr>
          <w:p w14:paraId="6A57B837" w14:textId="77777777" w:rsidR="009F4766" w:rsidRPr="00DE12A3" w:rsidRDefault="009F4766" w:rsidP="00C917D6">
            <w:pPr>
              <w:pStyle w:val="NormalLeft"/>
            </w:pPr>
            <w:r w:rsidRPr="00DE12A3">
              <w:t>83</w:t>
            </w:r>
          </w:p>
        </w:tc>
        <w:tc>
          <w:tcPr>
            <w:tcW w:w="2551" w:type="dxa"/>
            <w:tcBorders>
              <w:top w:val="single" w:sz="2" w:space="0" w:color="auto"/>
              <w:left w:val="single" w:sz="2" w:space="0" w:color="auto"/>
              <w:bottom w:val="single" w:sz="2" w:space="0" w:color="auto"/>
              <w:right w:val="single" w:sz="2" w:space="0" w:color="auto"/>
            </w:tcBorders>
          </w:tcPr>
          <w:p w14:paraId="4242F477" w14:textId="77777777" w:rsidR="009F4766" w:rsidRPr="00DE12A3" w:rsidRDefault="009F4766" w:rsidP="00C917D6">
            <w:pPr>
              <w:pStyle w:val="NormalLeft"/>
            </w:pPr>
            <w:r w:rsidRPr="00DE12A3">
              <w:t>17</w:t>
            </w:r>
          </w:p>
        </w:tc>
      </w:tr>
      <w:tr w:rsidR="00DE12A3" w:rsidRPr="00DE12A3" w14:paraId="38F2669E" w14:textId="77777777" w:rsidTr="009F4766">
        <w:tc>
          <w:tcPr>
            <w:tcW w:w="1182" w:type="dxa"/>
            <w:tcBorders>
              <w:top w:val="single" w:sz="2" w:space="0" w:color="auto"/>
              <w:left w:val="single" w:sz="2" w:space="0" w:color="auto"/>
              <w:bottom w:val="single" w:sz="2" w:space="0" w:color="auto"/>
              <w:right w:val="single" w:sz="2" w:space="0" w:color="auto"/>
            </w:tcBorders>
          </w:tcPr>
          <w:p w14:paraId="042C87FB" w14:textId="77777777" w:rsidR="009F4766" w:rsidRPr="00DE12A3" w:rsidRDefault="009F4766" w:rsidP="00C917D6">
            <w:pPr>
              <w:pStyle w:val="NormalLeft"/>
            </w:pPr>
            <w:r w:rsidRPr="00DE12A3">
              <w:t>82</w:t>
            </w:r>
          </w:p>
        </w:tc>
        <w:tc>
          <w:tcPr>
            <w:tcW w:w="2489" w:type="dxa"/>
            <w:tcBorders>
              <w:top w:val="single" w:sz="2" w:space="0" w:color="auto"/>
              <w:left w:val="single" w:sz="2" w:space="0" w:color="auto"/>
              <w:bottom w:val="single" w:sz="2" w:space="0" w:color="auto"/>
              <w:right w:val="single" w:sz="2" w:space="0" w:color="auto"/>
            </w:tcBorders>
          </w:tcPr>
          <w:p w14:paraId="3B696746" w14:textId="77777777" w:rsidR="009F4766" w:rsidRPr="00DE12A3" w:rsidRDefault="009F4766" w:rsidP="00C917D6">
            <w:pPr>
              <w:pStyle w:val="NormalLeft"/>
            </w:pPr>
            <w:r w:rsidRPr="00DE12A3">
              <w:t>61</w:t>
            </w:r>
          </w:p>
        </w:tc>
        <w:tc>
          <w:tcPr>
            <w:tcW w:w="2551" w:type="dxa"/>
            <w:tcBorders>
              <w:top w:val="single" w:sz="2" w:space="0" w:color="auto"/>
              <w:left w:val="single" w:sz="2" w:space="0" w:color="auto"/>
              <w:bottom w:val="single" w:sz="2" w:space="0" w:color="auto"/>
              <w:right w:val="single" w:sz="2" w:space="0" w:color="auto"/>
            </w:tcBorders>
          </w:tcPr>
          <w:p w14:paraId="55ABC005" w14:textId="77777777" w:rsidR="009F4766" w:rsidRPr="00DE12A3" w:rsidRDefault="009F4766" w:rsidP="00C917D6">
            <w:pPr>
              <w:pStyle w:val="NormalLeft"/>
            </w:pPr>
            <w:r w:rsidRPr="00DE12A3">
              <w:t>15</w:t>
            </w:r>
          </w:p>
        </w:tc>
      </w:tr>
      <w:tr w:rsidR="00DE12A3" w:rsidRPr="00DE12A3" w14:paraId="63F3A3B0" w14:textId="77777777" w:rsidTr="009F4766">
        <w:tc>
          <w:tcPr>
            <w:tcW w:w="1182" w:type="dxa"/>
            <w:tcBorders>
              <w:top w:val="single" w:sz="2" w:space="0" w:color="auto"/>
              <w:left w:val="single" w:sz="2" w:space="0" w:color="auto"/>
              <w:bottom w:val="single" w:sz="2" w:space="0" w:color="auto"/>
              <w:right w:val="single" w:sz="2" w:space="0" w:color="auto"/>
            </w:tcBorders>
          </w:tcPr>
          <w:p w14:paraId="46579D54" w14:textId="77777777" w:rsidR="009F4766" w:rsidRPr="00DE12A3" w:rsidRDefault="009F4766" w:rsidP="00C917D6">
            <w:pPr>
              <w:pStyle w:val="NormalLeft"/>
            </w:pPr>
            <w:r w:rsidRPr="00DE12A3">
              <w:t>83</w:t>
            </w:r>
          </w:p>
        </w:tc>
        <w:tc>
          <w:tcPr>
            <w:tcW w:w="2489" w:type="dxa"/>
            <w:tcBorders>
              <w:top w:val="single" w:sz="2" w:space="0" w:color="auto"/>
              <w:left w:val="single" w:sz="2" w:space="0" w:color="auto"/>
              <w:bottom w:val="single" w:sz="2" w:space="0" w:color="auto"/>
              <w:right w:val="single" w:sz="2" w:space="0" w:color="auto"/>
            </w:tcBorders>
          </w:tcPr>
          <w:p w14:paraId="2A3B88DE" w14:textId="77777777" w:rsidR="009F4766" w:rsidRPr="00DE12A3" w:rsidRDefault="009F4766" w:rsidP="00C917D6">
            <w:pPr>
              <w:pStyle w:val="NormalLeft"/>
            </w:pPr>
            <w:r w:rsidRPr="00DE12A3">
              <w:t>43</w:t>
            </w:r>
          </w:p>
        </w:tc>
        <w:tc>
          <w:tcPr>
            <w:tcW w:w="2551" w:type="dxa"/>
            <w:tcBorders>
              <w:top w:val="single" w:sz="2" w:space="0" w:color="auto"/>
              <w:left w:val="single" w:sz="2" w:space="0" w:color="auto"/>
              <w:bottom w:val="single" w:sz="2" w:space="0" w:color="auto"/>
              <w:right w:val="single" w:sz="2" w:space="0" w:color="auto"/>
            </w:tcBorders>
          </w:tcPr>
          <w:p w14:paraId="48FE6EF6" w14:textId="77777777" w:rsidR="009F4766" w:rsidRPr="00DE12A3" w:rsidRDefault="009F4766" w:rsidP="00C917D6">
            <w:pPr>
              <w:pStyle w:val="NormalLeft"/>
            </w:pPr>
            <w:r w:rsidRPr="00DE12A3">
              <w:t>22</w:t>
            </w:r>
          </w:p>
        </w:tc>
      </w:tr>
      <w:tr w:rsidR="00DE12A3" w:rsidRPr="00DE12A3" w14:paraId="344A321B" w14:textId="77777777" w:rsidTr="009F4766">
        <w:tc>
          <w:tcPr>
            <w:tcW w:w="1182" w:type="dxa"/>
            <w:tcBorders>
              <w:top w:val="single" w:sz="2" w:space="0" w:color="auto"/>
              <w:left w:val="single" w:sz="2" w:space="0" w:color="auto"/>
              <w:bottom w:val="single" w:sz="2" w:space="0" w:color="auto"/>
              <w:right w:val="single" w:sz="2" w:space="0" w:color="auto"/>
            </w:tcBorders>
          </w:tcPr>
          <w:p w14:paraId="14DB8C5A" w14:textId="77777777" w:rsidR="009F4766" w:rsidRPr="00DE12A3" w:rsidRDefault="009F4766" w:rsidP="00C917D6">
            <w:pPr>
              <w:pStyle w:val="NormalLeft"/>
            </w:pPr>
            <w:r w:rsidRPr="00DE12A3">
              <w:t>84</w:t>
            </w:r>
          </w:p>
        </w:tc>
        <w:tc>
          <w:tcPr>
            <w:tcW w:w="2489" w:type="dxa"/>
            <w:tcBorders>
              <w:top w:val="single" w:sz="2" w:space="0" w:color="auto"/>
              <w:left w:val="single" w:sz="2" w:space="0" w:color="auto"/>
              <w:bottom w:val="single" w:sz="2" w:space="0" w:color="auto"/>
              <w:right w:val="single" w:sz="2" w:space="0" w:color="auto"/>
            </w:tcBorders>
          </w:tcPr>
          <w:p w14:paraId="45A4245F" w14:textId="77777777" w:rsidR="009F4766" w:rsidRPr="00DE12A3" w:rsidRDefault="009F4766" w:rsidP="00C917D6">
            <w:pPr>
              <w:pStyle w:val="NormalLeft"/>
            </w:pPr>
            <w:r w:rsidRPr="00DE12A3">
              <w:t>24</w:t>
            </w:r>
          </w:p>
        </w:tc>
        <w:tc>
          <w:tcPr>
            <w:tcW w:w="2551" w:type="dxa"/>
            <w:tcBorders>
              <w:top w:val="single" w:sz="2" w:space="0" w:color="auto"/>
              <w:left w:val="single" w:sz="2" w:space="0" w:color="auto"/>
              <w:bottom w:val="single" w:sz="2" w:space="0" w:color="auto"/>
              <w:right w:val="single" w:sz="2" w:space="0" w:color="auto"/>
            </w:tcBorders>
          </w:tcPr>
          <w:p w14:paraId="45143BE2" w14:textId="77777777" w:rsidR="009F4766" w:rsidRPr="00DE12A3" w:rsidRDefault="009F4766" w:rsidP="00C917D6">
            <w:pPr>
              <w:pStyle w:val="NormalLeft"/>
            </w:pPr>
            <w:r w:rsidRPr="00DE12A3">
              <w:t>35</w:t>
            </w:r>
          </w:p>
        </w:tc>
      </w:tr>
      <w:tr w:rsidR="00DE12A3" w:rsidRPr="00DE12A3" w14:paraId="70C66A6E" w14:textId="77777777" w:rsidTr="009F4766">
        <w:tc>
          <w:tcPr>
            <w:tcW w:w="1182" w:type="dxa"/>
            <w:tcBorders>
              <w:top w:val="single" w:sz="2" w:space="0" w:color="auto"/>
              <w:left w:val="single" w:sz="2" w:space="0" w:color="auto"/>
              <w:bottom w:val="single" w:sz="2" w:space="0" w:color="auto"/>
              <w:right w:val="single" w:sz="2" w:space="0" w:color="auto"/>
            </w:tcBorders>
          </w:tcPr>
          <w:p w14:paraId="1D7109F5" w14:textId="77777777" w:rsidR="009F4766" w:rsidRPr="00DE12A3" w:rsidRDefault="009F4766" w:rsidP="00C917D6">
            <w:pPr>
              <w:pStyle w:val="NormalLeft"/>
            </w:pPr>
            <w:r w:rsidRPr="00DE12A3">
              <w:t>85</w:t>
            </w:r>
          </w:p>
        </w:tc>
        <w:tc>
          <w:tcPr>
            <w:tcW w:w="2489" w:type="dxa"/>
            <w:tcBorders>
              <w:top w:val="single" w:sz="2" w:space="0" w:color="auto"/>
              <w:left w:val="single" w:sz="2" w:space="0" w:color="auto"/>
              <w:bottom w:val="single" w:sz="2" w:space="0" w:color="auto"/>
              <w:right w:val="single" w:sz="2" w:space="0" w:color="auto"/>
            </w:tcBorders>
          </w:tcPr>
          <w:p w14:paraId="1497AECF" w14:textId="77777777" w:rsidR="009F4766" w:rsidRPr="00DE12A3" w:rsidRDefault="009F4766" w:rsidP="00C917D6">
            <w:pPr>
              <w:pStyle w:val="NormalLeft"/>
            </w:pPr>
            <w:r w:rsidRPr="00DE12A3">
              <w:t>16</w:t>
            </w:r>
          </w:p>
        </w:tc>
        <w:tc>
          <w:tcPr>
            <w:tcW w:w="2551" w:type="dxa"/>
            <w:tcBorders>
              <w:top w:val="single" w:sz="2" w:space="0" w:color="auto"/>
              <w:left w:val="single" w:sz="2" w:space="0" w:color="auto"/>
              <w:bottom w:val="single" w:sz="2" w:space="0" w:color="auto"/>
              <w:right w:val="single" w:sz="2" w:space="0" w:color="auto"/>
            </w:tcBorders>
          </w:tcPr>
          <w:p w14:paraId="1A19F486" w14:textId="77777777" w:rsidR="009F4766" w:rsidRPr="00DE12A3" w:rsidRDefault="009F4766" w:rsidP="00C917D6">
            <w:pPr>
              <w:pStyle w:val="NormalLeft"/>
            </w:pPr>
            <w:r w:rsidRPr="00DE12A3">
              <w:t>39</w:t>
            </w:r>
          </w:p>
        </w:tc>
      </w:tr>
      <w:tr w:rsidR="00DE12A3" w:rsidRPr="00DE12A3" w14:paraId="36A9C3E9" w14:textId="77777777" w:rsidTr="009F4766">
        <w:tc>
          <w:tcPr>
            <w:tcW w:w="1182" w:type="dxa"/>
            <w:tcBorders>
              <w:top w:val="single" w:sz="2" w:space="0" w:color="auto"/>
              <w:left w:val="single" w:sz="2" w:space="0" w:color="auto"/>
              <w:bottom w:val="single" w:sz="2" w:space="0" w:color="auto"/>
              <w:right w:val="single" w:sz="2" w:space="0" w:color="auto"/>
            </w:tcBorders>
          </w:tcPr>
          <w:p w14:paraId="06EDEF2E" w14:textId="77777777" w:rsidR="009F4766" w:rsidRPr="00DE12A3" w:rsidRDefault="009F4766" w:rsidP="00C917D6">
            <w:pPr>
              <w:pStyle w:val="NormalLeft"/>
            </w:pPr>
            <w:r w:rsidRPr="00DE12A3">
              <w:t>86</w:t>
            </w:r>
          </w:p>
        </w:tc>
        <w:tc>
          <w:tcPr>
            <w:tcW w:w="2489" w:type="dxa"/>
            <w:tcBorders>
              <w:top w:val="single" w:sz="2" w:space="0" w:color="auto"/>
              <w:left w:val="single" w:sz="2" w:space="0" w:color="auto"/>
              <w:bottom w:val="single" w:sz="2" w:space="0" w:color="auto"/>
              <w:right w:val="single" w:sz="2" w:space="0" w:color="auto"/>
            </w:tcBorders>
          </w:tcPr>
          <w:p w14:paraId="70FD7CDE" w14:textId="77777777" w:rsidR="009F4766" w:rsidRPr="00DE12A3" w:rsidRDefault="009F4766" w:rsidP="00C917D6">
            <w:pPr>
              <w:pStyle w:val="NormalLeft"/>
            </w:pPr>
            <w:r w:rsidRPr="00DE12A3">
              <w:t>15</w:t>
            </w:r>
          </w:p>
        </w:tc>
        <w:tc>
          <w:tcPr>
            <w:tcW w:w="2551" w:type="dxa"/>
            <w:tcBorders>
              <w:top w:val="single" w:sz="2" w:space="0" w:color="auto"/>
              <w:left w:val="single" w:sz="2" w:space="0" w:color="auto"/>
              <w:bottom w:val="single" w:sz="2" w:space="0" w:color="auto"/>
              <w:right w:val="single" w:sz="2" w:space="0" w:color="auto"/>
            </w:tcBorders>
          </w:tcPr>
          <w:p w14:paraId="47AC4397" w14:textId="77777777" w:rsidR="009F4766" w:rsidRPr="00DE12A3" w:rsidRDefault="009F4766" w:rsidP="00C917D6">
            <w:pPr>
              <w:pStyle w:val="NormalLeft"/>
            </w:pPr>
            <w:r w:rsidRPr="00DE12A3">
              <w:t>45</w:t>
            </w:r>
          </w:p>
        </w:tc>
      </w:tr>
      <w:tr w:rsidR="00DE12A3" w:rsidRPr="00DE12A3" w14:paraId="0FFC5320" w14:textId="77777777" w:rsidTr="009F4766">
        <w:tc>
          <w:tcPr>
            <w:tcW w:w="1182" w:type="dxa"/>
            <w:tcBorders>
              <w:top w:val="single" w:sz="2" w:space="0" w:color="auto"/>
              <w:left w:val="single" w:sz="2" w:space="0" w:color="auto"/>
              <w:bottom w:val="single" w:sz="2" w:space="0" w:color="auto"/>
              <w:right w:val="single" w:sz="2" w:space="0" w:color="auto"/>
            </w:tcBorders>
          </w:tcPr>
          <w:p w14:paraId="29CD8322" w14:textId="77777777" w:rsidR="009F4766" w:rsidRPr="00DE12A3" w:rsidRDefault="009F4766" w:rsidP="00C917D6">
            <w:pPr>
              <w:pStyle w:val="NormalLeft"/>
            </w:pPr>
            <w:r w:rsidRPr="00DE12A3">
              <w:t>87</w:t>
            </w:r>
          </w:p>
        </w:tc>
        <w:tc>
          <w:tcPr>
            <w:tcW w:w="2489" w:type="dxa"/>
            <w:tcBorders>
              <w:top w:val="single" w:sz="2" w:space="0" w:color="auto"/>
              <w:left w:val="single" w:sz="2" w:space="0" w:color="auto"/>
              <w:bottom w:val="single" w:sz="2" w:space="0" w:color="auto"/>
              <w:right w:val="single" w:sz="2" w:space="0" w:color="auto"/>
            </w:tcBorders>
          </w:tcPr>
          <w:p w14:paraId="4C2C7FC0" w14:textId="77777777" w:rsidR="009F4766" w:rsidRPr="00DE12A3" w:rsidRDefault="009F4766" w:rsidP="00C917D6">
            <w:pPr>
              <w:pStyle w:val="NormalLeft"/>
            </w:pPr>
            <w:r w:rsidRPr="00DE12A3">
              <w:t>32</w:t>
            </w:r>
          </w:p>
        </w:tc>
        <w:tc>
          <w:tcPr>
            <w:tcW w:w="2551" w:type="dxa"/>
            <w:tcBorders>
              <w:top w:val="single" w:sz="2" w:space="0" w:color="auto"/>
              <w:left w:val="single" w:sz="2" w:space="0" w:color="auto"/>
              <w:bottom w:val="single" w:sz="2" w:space="0" w:color="auto"/>
              <w:right w:val="single" w:sz="2" w:space="0" w:color="auto"/>
            </w:tcBorders>
          </w:tcPr>
          <w:p w14:paraId="622DBEC4" w14:textId="77777777" w:rsidR="009F4766" w:rsidRPr="00DE12A3" w:rsidRDefault="009F4766" w:rsidP="00C917D6">
            <w:pPr>
              <w:pStyle w:val="NormalLeft"/>
            </w:pPr>
            <w:r w:rsidRPr="00DE12A3">
              <w:t>34</w:t>
            </w:r>
          </w:p>
        </w:tc>
      </w:tr>
      <w:tr w:rsidR="00DE12A3" w:rsidRPr="00DE12A3" w14:paraId="09E2AA93" w14:textId="77777777" w:rsidTr="009F4766">
        <w:tc>
          <w:tcPr>
            <w:tcW w:w="1182" w:type="dxa"/>
            <w:tcBorders>
              <w:top w:val="single" w:sz="2" w:space="0" w:color="auto"/>
              <w:left w:val="single" w:sz="2" w:space="0" w:color="auto"/>
              <w:bottom w:val="single" w:sz="2" w:space="0" w:color="auto"/>
              <w:right w:val="single" w:sz="2" w:space="0" w:color="auto"/>
            </w:tcBorders>
          </w:tcPr>
          <w:p w14:paraId="5E0DB802" w14:textId="77777777" w:rsidR="009F4766" w:rsidRPr="00DE12A3" w:rsidRDefault="009F4766" w:rsidP="00C917D6">
            <w:pPr>
              <w:pStyle w:val="NormalLeft"/>
            </w:pPr>
            <w:r w:rsidRPr="00DE12A3">
              <w:t>88</w:t>
            </w:r>
          </w:p>
        </w:tc>
        <w:tc>
          <w:tcPr>
            <w:tcW w:w="2489" w:type="dxa"/>
            <w:tcBorders>
              <w:top w:val="single" w:sz="2" w:space="0" w:color="auto"/>
              <w:left w:val="single" w:sz="2" w:space="0" w:color="auto"/>
              <w:bottom w:val="single" w:sz="2" w:space="0" w:color="auto"/>
              <w:right w:val="single" w:sz="2" w:space="0" w:color="auto"/>
            </w:tcBorders>
          </w:tcPr>
          <w:p w14:paraId="4F590635" w14:textId="77777777" w:rsidR="009F4766" w:rsidRPr="00DE12A3" w:rsidRDefault="009F4766" w:rsidP="00C917D6">
            <w:pPr>
              <w:pStyle w:val="NormalLeft"/>
            </w:pPr>
            <w:r w:rsidRPr="00DE12A3">
              <w:t>14</w:t>
            </w:r>
          </w:p>
        </w:tc>
        <w:tc>
          <w:tcPr>
            <w:tcW w:w="2551" w:type="dxa"/>
            <w:tcBorders>
              <w:top w:val="single" w:sz="2" w:space="0" w:color="auto"/>
              <w:left w:val="single" w:sz="2" w:space="0" w:color="auto"/>
              <w:bottom w:val="single" w:sz="2" w:space="0" w:color="auto"/>
              <w:right w:val="single" w:sz="2" w:space="0" w:color="auto"/>
            </w:tcBorders>
          </w:tcPr>
          <w:p w14:paraId="25500529" w14:textId="77777777" w:rsidR="009F4766" w:rsidRPr="00DE12A3" w:rsidRDefault="009F4766" w:rsidP="00C917D6">
            <w:pPr>
              <w:pStyle w:val="NormalLeft"/>
            </w:pPr>
            <w:r w:rsidRPr="00DE12A3">
              <w:t>42</w:t>
            </w:r>
          </w:p>
        </w:tc>
      </w:tr>
      <w:tr w:rsidR="00DE12A3" w:rsidRPr="00DE12A3" w14:paraId="11F3442A" w14:textId="77777777" w:rsidTr="009F4766">
        <w:tc>
          <w:tcPr>
            <w:tcW w:w="1182" w:type="dxa"/>
            <w:tcBorders>
              <w:top w:val="single" w:sz="2" w:space="0" w:color="auto"/>
              <w:left w:val="single" w:sz="2" w:space="0" w:color="auto"/>
              <w:bottom w:val="single" w:sz="2" w:space="0" w:color="auto"/>
              <w:right w:val="single" w:sz="2" w:space="0" w:color="auto"/>
            </w:tcBorders>
          </w:tcPr>
          <w:p w14:paraId="57B6711D" w14:textId="77777777" w:rsidR="009F4766" w:rsidRPr="00DE12A3" w:rsidRDefault="009F4766" w:rsidP="00C917D6">
            <w:pPr>
              <w:pStyle w:val="NormalLeft"/>
            </w:pPr>
            <w:r w:rsidRPr="00DE12A3">
              <w:t>89</w:t>
            </w:r>
          </w:p>
        </w:tc>
        <w:tc>
          <w:tcPr>
            <w:tcW w:w="2489" w:type="dxa"/>
            <w:tcBorders>
              <w:top w:val="single" w:sz="2" w:space="0" w:color="auto"/>
              <w:left w:val="single" w:sz="2" w:space="0" w:color="auto"/>
              <w:bottom w:val="single" w:sz="2" w:space="0" w:color="auto"/>
              <w:right w:val="single" w:sz="2" w:space="0" w:color="auto"/>
            </w:tcBorders>
          </w:tcPr>
          <w:p w14:paraId="0D1E49B8" w14:textId="77777777" w:rsidR="009F4766" w:rsidRPr="00DE12A3" w:rsidRDefault="009F4766" w:rsidP="00C917D6">
            <w:pPr>
              <w:pStyle w:val="NormalLeft"/>
            </w:pPr>
            <w:r w:rsidRPr="00DE12A3">
              <w:t>8</w:t>
            </w:r>
          </w:p>
        </w:tc>
        <w:tc>
          <w:tcPr>
            <w:tcW w:w="2551" w:type="dxa"/>
            <w:tcBorders>
              <w:top w:val="single" w:sz="2" w:space="0" w:color="auto"/>
              <w:left w:val="single" w:sz="2" w:space="0" w:color="auto"/>
              <w:bottom w:val="single" w:sz="2" w:space="0" w:color="auto"/>
              <w:right w:val="single" w:sz="2" w:space="0" w:color="auto"/>
            </w:tcBorders>
          </w:tcPr>
          <w:p w14:paraId="5DFEC5B3" w14:textId="77777777" w:rsidR="009F4766" w:rsidRPr="00DE12A3" w:rsidRDefault="009F4766" w:rsidP="00C917D6">
            <w:pPr>
              <w:pStyle w:val="NormalLeft"/>
            </w:pPr>
            <w:r w:rsidRPr="00DE12A3">
              <w:t>48</w:t>
            </w:r>
          </w:p>
        </w:tc>
      </w:tr>
      <w:tr w:rsidR="00DE12A3" w:rsidRPr="00DE12A3" w14:paraId="4D54CDEF" w14:textId="77777777" w:rsidTr="009F4766">
        <w:tc>
          <w:tcPr>
            <w:tcW w:w="1182" w:type="dxa"/>
            <w:tcBorders>
              <w:top w:val="single" w:sz="2" w:space="0" w:color="auto"/>
              <w:left w:val="single" w:sz="2" w:space="0" w:color="auto"/>
              <w:bottom w:val="single" w:sz="2" w:space="0" w:color="auto"/>
              <w:right w:val="single" w:sz="2" w:space="0" w:color="auto"/>
            </w:tcBorders>
          </w:tcPr>
          <w:p w14:paraId="3C8AB475" w14:textId="77777777" w:rsidR="009F4766" w:rsidRPr="00DE12A3" w:rsidRDefault="009F4766" w:rsidP="00C917D6">
            <w:pPr>
              <w:pStyle w:val="NormalLeft"/>
            </w:pPr>
            <w:r w:rsidRPr="00DE12A3">
              <w:t>90</w:t>
            </w:r>
          </w:p>
        </w:tc>
        <w:tc>
          <w:tcPr>
            <w:tcW w:w="2489" w:type="dxa"/>
            <w:tcBorders>
              <w:top w:val="single" w:sz="2" w:space="0" w:color="auto"/>
              <w:left w:val="single" w:sz="2" w:space="0" w:color="auto"/>
              <w:bottom w:val="single" w:sz="2" w:space="0" w:color="auto"/>
              <w:right w:val="single" w:sz="2" w:space="0" w:color="auto"/>
            </w:tcBorders>
          </w:tcPr>
          <w:p w14:paraId="3039C4FF" w14:textId="77777777" w:rsidR="009F4766" w:rsidRPr="00DE12A3" w:rsidRDefault="009F4766" w:rsidP="00C917D6">
            <w:pPr>
              <w:pStyle w:val="NormalLeft"/>
            </w:pPr>
            <w:r w:rsidRPr="00DE12A3">
              <w:t>5</w:t>
            </w:r>
          </w:p>
        </w:tc>
        <w:tc>
          <w:tcPr>
            <w:tcW w:w="2551" w:type="dxa"/>
            <w:tcBorders>
              <w:top w:val="single" w:sz="2" w:space="0" w:color="auto"/>
              <w:left w:val="single" w:sz="2" w:space="0" w:color="auto"/>
              <w:bottom w:val="single" w:sz="2" w:space="0" w:color="auto"/>
              <w:right w:val="single" w:sz="2" w:space="0" w:color="auto"/>
            </w:tcBorders>
          </w:tcPr>
          <w:p w14:paraId="334731F8" w14:textId="77777777" w:rsidR="009F4766" w:rsidRPr="00DE12A3" w:rsidRDefault="009F4766" w:rsidP="00C917D6">
            <w:pPr>
              <w:pStyle w:val="NormalLeft"/>
            </w:pPr>
            <w:r w:rsidRPr="00DE12A3">
              <w:t>51</w:t>
            </w:r>
          </w:p>
        </w:tc>
      </w:tr>
      <w:tr w:rsidR="00DE12A3" w:rsidRPr="00DE12A3" w14:paraId="56E1640F" w14:textId="77777777" w:rsidTr="009F4766">
        <w:tc>
          <w:tcPr>
            <w:tcW w:w="1182" w:type="dxa"/>
            <w:tcBorders>
              <w:top w:val="single" w:sz="2" w:space="0" w:color="auto"/>
              <w:left w:val="single" w:sz="2" w:space="0" w:color="auto"/>
              <w:bottom w:val="single" w:sz="2" w:space="0" w:color="auto"/>
              <w:right w:val="single" w:sz="2" w:space="0" w:color="auto"/>
            </w:tcBorders>
          </w:tcPr>
          <w:p w14:paraId="496D37AB" w14:textId="77777777" w:rsidR="009F4766" w:rsidRPr="00DE12A3" w:rsidRDefault="009F4766" w:rsidP="00C917D6">
            <w:pPr>
              <w:pStyle w:val="NormalLeft"/>
            </w:pPr>
            <w:r w:rsidRPr="00DE12A3">
              <w:t>91</w:t>
            </w:r>
          </w:p>
        </w:tc>
        <w:tc>
          <w:tcPr>
            <w:tcW w:w="2489" w:type="dxa"/>
            <w:tcBorders>
              <w:top w:val="single" w:sz="2" w:space="0" w:color="auto"/>
              <w:left w:val="single" w:sz="2" w:space="0" w:color="auto"/>
              <w:bottom w:val="single" w:sz="2" w:space="0" w:color="auto"/>
              <w:right w:val="single" w:sz="2" w:space="0" w:color="auto"/>
            </w:tcBorders>
          </w:tcPr>
          <w:p w14:paraId="7DFD7FE5" w14:textId="77777777" w:rsidR="009F4766" w:rsidRPr="00DE12A3" w:rsidRDefault="009F4766" w:rsidP="00C917D6">
            <w:pPr>
              <w:pStyle w:val="NormalLeft"/>
            </w:pPr>
            <w:r w:rsidRPr="00DE12A3">
              <w:t>10</w:t>
            </w:r>
          </w:p>
        </w:tc>
        <w:tc>
          <w:tcPr>
            <w:tcW w:w="2551" w:type="dxa"/>
            <w:tcBorders>
              <w:top w:val="single" w:sz="2" w:space="0" w:color="auto"/>
              <w:left w:val="single" w:sz="2" w:space="0" w:color="auto"/>
              <w:bottom w:val="single" w:sz="2" w:space="0" w:color="auto"/>
              <w:right w:val="single" w:sz="2" w:space="0" w:color="auto"/>
            </w:tcBorders>
          </w:tcPr>
          <w:p w14:paraId="01208029" w14:textId="77777777" w:rsidR="009F4766" w:rsidRPr="00DE12A3" w:rsidRDefault="009F4766" w:rsidP="00C917D6">
            <w:pPr>
              <w:pStyle w:val="NormalLeft"/>
            </w:pPr>
            <w:r w:rsidRPr="00DE12A3">
              <w:t>41</w:t>
            </w:r>
          </w:p>
        </w:tc>
      </w:tr>
      <w:tr w:rsidR="00DE12A3" w:rsidRPr="00DE12A3" w14:paraId="4E543417" w14:textId="77777777" w:rsidTr="009F4766">
        <w:tc>
          <w:tcPr>
            <w:tcW w:w="1182" w:type="dxa"/>
            <w:tcBorders>
              <w:top w:val="single" w:sz="2" w:space="0" w:color="auto"/>
              <w:left w:val="single" w:sz="2" w:space="0" w:color="auto"/>
              <w:bottom w:val="single" w:sz="2" w:space="0" w:color="auto"/>
              <w:right w:val="single" w:sz="2" w:space="0" w:color="auto"/>
            </w:tcBorders>
          </w:tcPr>
          <w:p w14:paraId="1FC87203" w14:textId="77777777" w:rsidR="009F4766" w:rsidRPr="00DE12A3" w:rsidRDefault="009F4766" w:rsidP="00C917D6">
            <w:pPr>
              <w:pStyle w:val="NormalLeft"/>
            </w:pPr>
            <w:r w:rsidRPr="00DE12A3">
              <w:t>92</w:t>
            </w:r>
          </w:p>
        </w:tc>
        <w:tc>
          <w:tcPr>
            <w:tcW w:w="2489" w:type="dxa"/>
            <w:tcBorders>
              <w:top w:val="single" w:sz="2" w:space="0" w:color="auto"/>
              <w:left w:val="single" w:sz="2" w:space="0" w:color="auto"/>
              <w:bottom w:val="single" w:sz="2" w:space="0" w:color="auto"/>
              <w:right w:val="single" w:sz="2" w:space="0" w:color="auto"/>
            </w:tcBorders>
          </w:tcPr>
          <w:p w14:paraId="67CAA4DE" w14:textId="77777777" w:rsidR="009F4766" w:rsidRPr="00DE12A3" w:rsidRDefault="009F4766" w:rsidP="00C917D6">
            <w:pPr>
              <w:pStyle w:val="NormalLeft"/>
            </w:pPr>
            <w:r w:rsidRPr="00DE12A3">
              <w:t>12</w:t>
            </w:r>
          </w:p>
        </w:tc>
        <w:tc>
          <w:tcPr>
            <w:tcW w:w="2551" w:type="dxa"/>
            <w:tcBorders>
              <w:top w:val="single" w:sz="2" w:space="0" w:color="auto"/>
              <w:left w:val="single" w:sz="2" w:space="0" w:color="auto"/>
              <w:bottom w:val="single" w:sz="2" w:space="0" w:color="auto"/>
              <w:right w:val="single" w:sz="2" w:space="0" w:color="auto"/>
            </w:tcBorders>
          </w:tcPr>
          <w:p w14:paraId="6423D94C" w14:textId="77777777" w:rsidR="009F4766" w:rsidRPr="00DE12A3" w:rsidRDefault="009F4766" w:rsidP="00C917D6">
            <w:pPr>
              <w:pStyle w:val="NormalLeft"/>
            </w:pPr>
            <w:r w:rsidRPr="00DE12A3">
              <w:t>37</w:t>
            </w:r>
          </w:p>
        </w:tc>
      </w:tr>
      <w:tr w:rsidR="00DE12A3" w:rsidRPr="00DE12A3" w14:paraId="565D6043" w14:textId="77777777" w:rsidTr="009F4766">
        <w:tc>
          <w:tcPr>
            <w:tcW w:w="1182" w:type="dxa"/>
            <w:tcBorders>
              <w:top w:val="single" w:sz="2" w:space="0" w:color="auto"/>
              <w:left w:val="single" w:sz="2" w:space="0" w:color="auto"/>
              <w:bottom w:val="single" w:sz="2" w:space="0" w:color="auto"/>
              <w:right w:val="single" w:sz="2" w:space="0" w:color="auto"/>
            </w:tcBorders>
          </w:tcPr>
          <w:p w14:paraId="0F5F3D63" w14:textId="77777777" w:rsidR="009F4766" w:rsidRPr="00DE12A3" w:rsidRDefault="009F4766" w:rsidP="00C917D6">
            <w:pPr>
              <w:pStyle w:val="NormalLeft"/>
            </w:pPr>
            <w:r w:rsidRPr="00DE12A3">
              <w:t>93</w:t>
            </w:r>
          </w:p>
        </w:tc>
        <w:tc>
          <w:tcPr>
            <w:tcW w:w="2489" w:type="dxa"/>
            <w:tcBorders>
              <w:top w:val="single" w:sz="2" w:space="0" w:color="auto"/>
              <w:left w:val="single" w:sz="2" w:space="0" w:color="auto"/>
              <w:bottom w:val="single" w:sz="2" w:space="0" w:color="auto"/>
              <w:right w:val="single" w:sz="2" w:space="0" w:color="auto"/>
            </w:tcBorders>
          </w:tcPr>
          <w:p w14:paraId="53C2A913" w14:textId="77777777" w:rsidR="009F4766" w:rsidRPr="00DE12A3" w:rsidRDefault="009F4766" w:rsidP="00C917D6">
            <w:pPr>
              <w:pStyle w:val="NormalLeft"/>
            </w:pPr>
            <w:r w:rsidRPr="00DE12A3">
              <w:t>4</w:t>
            </w:r>
          </w:p>
        </w:tc>
        <w:tc>
          <w:tcPr>
            <w:tcW w:w="2551" w:type="dxa"/>
            <w:tcBorders>
              <w:top w:val="single" w:sz="2" w:space="0" w:color="auto"/>
              <w:left w:val="single" w:sz="2" w:space="0" w:color="auto"/>
              <w:bottom w:val="single" w:sz="2" w:space="0" w:color="auto"/>
              <w:right w:val="single" w:sz="2" w:space="0" w:color="auto"/>
            </w:tcBorders>
          </w:tcPr>
          <w:p w14:paraId="6DDD1AE3" w14:textId="77777777" w:rsidR="009F4766" w:rsidRPr="00DE12A3" w:rsidRDefault="009F4766" w:rsidP="00C917D6">
            <w:pPr>
              <w:pStyle w:val="NormalLeft"/>
            </w:pPr>
            <w:r w:rsidRPr="00DE12A3">
              <w:t>47</w:t>
            </w:r>
          </w:p>
        </w:tc>
      </w:tr>
      <w:tr w:rsidR="00DE12A3" w:rsidRPr="00DE12A3" w14:paraId="326571FA" w14:textId="77777777" w:rsidTr="009F4766">
        <w:tc>
          <w:tcPr>
            <w:tcW w:w="1182" w:type="dxa"/>
            <w:tcBorders>
              <w:top w:val="single" w:sz="2" w:space="0" w:color="auto"/>
              <w:left w:val="single" w:sz="2" w:space="0" w:color="auto"/>
              <w:bottom w:val="single" w:sz="2" w:space="0" w:color="auto"/>
              <w:right w:val="single" w:sz="2" w:space="0" w:color="auto"/>
            </w:tcBorders>
          </w:tcPr>
          <w:p w14:paraId="5742D676" w14:textId="77777777" w:rsidR="009F4766" w:rsidRPr="00DE12A3" w:rsidRDefault="009F4766" w:rsidP="00C917D6">
            <w:pPr>
              <w:pStyle w:val="NormalLeft"/>
            </w:pPr>
            <w:r w:rsidRPr="00DE12A3">
              <w:t>94</w:t>
            </w:r>
          </w:p>
        </w:tc>
        <w:tc>
          <w:tcPr>
            <w:tcW w:w="2489" w:type="dxa"/>
            <w:tcBorders>
              <w:top w:val="single" w:sz="2" w:space="0" w:color="auto"/>
              <w:left w:val="single" w:sz="2" w:space="0" w:color="auto"/>
              <w:bottom w:val="single" w:sz="2" w:space="0" w:color="auto"/>
              <w:right w:val="single" w:sz="2" w:space="0" w:color="auto"/>
            </w:tcBorders>
          </w:tcPr>
          <w:p w14:paraId="3A2A4AD4" w14:textId="77777777" w:rsidR="009F4766" w:rsidRPr="00DE12A3" w:rsidRDefault="009F4766" w:rsidP="00C917D6">
            <w:pPr>
              <w:pStyle w:val="NormalLeft"/>
            </w:pPr>
            <w:r w:rsidRPr="00DE12A3">
              <w:t>3</w:t>
            </w:r>
          </w:p>
        </w:tc>
        <w:tc>
          <w:tcPr>
            <w:tcW w:w="2551" w:type="dxa"/>
            <w:tcBorders>
              <w:top w:val="single" w:sz="2" w:space="0" w:color="auto"/>
              <w:left w:val="single" w:sz="2" w:space="0" w:color="auto"/>
              <w:bottom w:val="single" w:sz="2" w:space="0" w:color="auto"/>
              <w:right w:val="single" w:sz="2" w:space="0" w:color="auto"/>
            </w:tcBorders>
          </w:tcPr>
          <w:p w14:paraId="03857851" w14:textId="77777777" w:rsidR="009F4766" w:rsidRPr="00DE12A3" w:rsidRDefault="009F4766" w:rsidP="00C917D6">
            <w:pPr>
              <w:pStyle w:val="NormalLeft"/>
            </w:pPr>
            <w:r w:rsidRPr="00DE12A3">
              <w:t>49</w:t>
            </w:r>
          </w:p>
        </w:tc>
      </w:tr>
      <w:tr w:rsidR="00DE12A3" w:rsidRPr="00DE12A3" w14:paraId="1CEB0829" w14:textId="77777777" w:rsidTr="009F4766">
        <w:tc>
          <w:tcPr>
            <w:tcW w:w="1182" w:type="dxa"/>
            <w:tcBorders>
              <w:top w:val="single" w:sz="2" w:space="0" w:color="auto"/>
              <w:left w:val="single" w:sz="2" w:space="0" w:color="auto"/>
              <w:bottom w:val="single" w:sz="2" w:space="0" w:color="auto"/>
              <w:right w:val="single" w:sz="2" w:space="0" w:color="auto"/>
            </w:tcBorders>
          </w:tcPr>
          <w:p w14:paraId="78D24049" w14:textId="77777777" w:rsidR="009F4766" w:rsidRPr="00DE12A3" w:rsidRDefault="009F4766" w:rsidP="00C917D6">
            <w:pPr>
              <w:pStyle w:val="NormalLeft"/>
            </w:pPr>
            <w:r w:rsidRPr="00DE12A3">
              <w:t>95</w:t>
            </w:r>
          </w:p>
        </w:tc>
        <w:tc>
          <w:tcPr>
            <w:tcW w:w="2489" w:type="dxa"/>
            <w:tcBorders>
              <w:top w:val="single" w:sz="2" w:space="0" w:color="auto"/>
              <w:left w:val="single" w:sz="2" w:space="0" w:color="auto"/>
              <w:bottom w:val="single" w:sz="2" w:space="0" w:color="auto"/>
              <w:right w:val="single" w:sz="2" w:space="0" w:color="auto"/>
            </w:tcBorders>
          </w:tcPr>
          <w:p w14:paraId="34F920C3" w14:textId="77777777" w:rsidR="009F4766" w:rsidRPr="00DE12A3" w:rsidRDefault="009F4766" w:rsidP="00C917D6">
            <w:pPr>
              <w:pStyle w:val="NormalLeft"/>
            </w:pPr>
            <w:r w:rsidRPr="00DE12A3">
              <w:t>3</w:t>
            </w:r>
          </w:p>
        </w:tc>
        <w:tc>
          <w:tcPr>
            <w:tcW w:w="2551" w:type="dxa"/>
            <w:tcBorders>
              <w:top w:val="single" w:sz="2" w:space="0" w:color="auto"/>
              <w:left w:val="single" w:sz="2" w:space="0" w:color="auto"/>
              <w:bottom w:val="single" w:sz="2" w:space="0" w:color="auto"/>
              <w:right w:val="single" w:sz="2" w:space="0" w:color="auto"/>
            </w:tcBorders>
          </w:tcPr>
          <w:p w14:paraId="546AB693" w14:textId="77777777" w:rsidR="009F4766" w:rsidRPr="00DE12A3" w:rsidRDefault="009F4766" w:rsidP="00C917D6">
            <w:pPr>
              <w:pStyle w:val="NormalLeft"/>
            </w:pPr>
            <w:r w:rsidRPr="00DE12A3">
              <w:t>50</w:t>
            </w:r>
          </w:p>
        </w:tc>
      </w:tr>
      <w:tr w:rsidR="00DE12A3" w:rsidRPr="00DE12A3" w14:paraId="3464BF4D" w14:textId="77777777" w:rsidTr="009F4766">
        <w:tc>
          <w:tcPr>
            <w:tcW w:w="1182" w:type="dxa"/>
            <w:tcBorders>
              <w:top w:val="single" w:sz="2" w:space="0" w:color="auto"/>
              <w:left w:val="single" w:sz="2" w:space="0" w:color="auto"/>
              <w:bottom w:val="single" w:sz="2" w:space="0" w:color="auto"/>
              <w:right w:val="single" w:sz="2" w:space="0" w:color="auto"/>
            </w:tcBorders>
          </w:tcPr>
          <w:p w14:paraId="7FA4CFCD" w14:textId="77777777" w:rsidR="009F4766" w:rsidRPr="00DE12A3" w:rsidRDefault="009F4766" w:rsidP="00C917D6">
            <w:pPr>
              <w:pStyle w:val="NormalLeft"/>
            </w:pPr>
            <w:r w:rsidRPr="00DE12A3">
              <w:t>96</w:t>
            </w:r>
          </w:p>
        </w:tc>
        <w:tc>
          <w:tcPr>
            <w:tcW w:w="2489" w:type="dxa"/>
            <w:tcBorders>
              <w:top w:val="single" w:sz="2" w:space="0" w:color="auto"/>
              <w:left w:val="single" w:sz="2" w:space="0" w:color="auto"/>
              <w:bottom w:val="single" w:sz="2" w:space="0" w:color="auto"/>
              <w:right w:val="single" w:sz="2" w:space="0" w:color="auto"/>
            </w:tcBorders>
          </w:tcPr>
          <w:p w14:paraId="70C4F38A" w14:textId="77777777" w:rsidR="009F4766" w:rsidRPr="00DE12A3" w:rsidRDefault="009F4766" w:rsidP="00C917D6">
            <w:pPr>
              <w:pStyle w:val="NormalLeft"/>
            </w:pPr>
            <w:r w:rsidRPr="00DE12A3">
              <w:t>4</w:t>
            </w:r>
          </w:p>
        </w:tc>
        <w:tc>
          <w:tcPr>
            <w:tcW w:w="2551" w:type="dxa"/>
            <w:tcBorders>
              <w:top w:val="single" w:sz="2" w:space="0" w:color="auto"/>
              <w:left w:val="single" w:sz="2" w:space="0" w:color="auto"/>
              <w:bottom w:val="single" w:sz="2" w:space="0" w:color="auto"/>
              <w:right w:val="single" w:sz="2" w:space="0" w:color="auto"/>
            </w:tcBorders>
          </w:tcPr>
          <w:p w14:paraId="4EBFEFF1" w14:textId="77777777" w:rsidR="009F4766" w:rsidRPr="00DE12A3" w:rsidRDefault="009F4766" w:rsidP="00C917D6">
            <w:pPr>
              <w:pStyle w:val="NormalLeft"/>
            </w:pPr>
            <w:r w:rsidRPr="00DE12A3">
              <w:t>49</w:t>
            </w:r>
          </w:p>
        </w:tc>
      </w:tr>
      <w:tr w:rsidR="00DE12A3" w:rsidRPr="00DE12A3" w14:paraId="7D8F43B9" w14:textId="77777777" w:rsidTr="009F4766">
        <w:tc>
          <w:tcPr>
            <w:tcW w:w="1182" w:type="dxa"/>
            <w:tcBorders>
              <w:top w:val="single" w:sz="2" w:space="0" w:color="auto"/>
              <w:left w:val="single" w:sz="2" w:space="0" w:color="auto"/>
              <w:bottom w:val="single" w:sz="2" w:space="0" w:color="auto"/>
              <w:right w:val="single" w:sz="2" w:space="0" w:color="auto"/>
            </w:tcBorders>
          </w:tcPr>
          <w:p w14:paraId="180BC325" w14:textId="77777777" w:rsidR="009F4766" w:rsidRPr="00DE12A3" w:rsidRDefault="009F4766" w:rsidP="00C917D6">
            <w:pPr>
              <w:pStyle w:val="NormalLeft"/>
            </w:pPr>
            <w:r w:rsidRPr="00DE12A3">
              <w:t>97</w:t>
            </w:r>
          </w:p>
        </w:tc>
        <w:tc>
          <w:tcPr>
            <w:tcW w:w="2489" w:type="dxa"/>
            <w:tcBorders>
              <w:top w:val="single" w:sz="2" w:space="0" w:color="auto"/>
              <w:left w:val="single" w:sz="2" w:space="0" w:color="auto"/>
              <w:bottom w:val="single" w:sz="2" w:space="0" w:color="auto"/>
              <w:right w:val="single" w:sz="2" w:space="0" w:color="auto"/>
            </w:tcBorders>
          </w:tcPr>
          <w:p w14:paraId="164A1193" w14:textId="77777777" w:rsidR="009F4766" w:rsidRPr="00DE12A3" w:rsidRDefault="009F4766" w:rsidP="00C917D6">
            <w:pPr>
              <w:pStyle w:val="NormalLeft"/>
            </w:pPr>
            <w:r w:rsidRPr="00DE12A3">
              <w:t>4</w:t>
            </w:r>
          </w:p>
        </w:tc>
        <w:tc>
          <w:tcPr>
            <w:tcW w:w="2551" w:type="dxa"/>
            <w:tcBorders>
              <w:top w:val="single" w:sz="2" w:space="0" w:color="auto"/>
              <w:left w:val="single" w:sz="2" w:space="0" w:color="auto"/>
              <w:bottom w:val="single" w:sz="2" w:space="0" w:color="auto"/>
              <w:right w:val="single" w:sz="2" w:space="0" w:color="auto"/>
            </w:tcBorders>
          </w:tcPr>
          <w:p w14:paraId="3290F18C" w14:textId="77777777" w:rsidR="009F4766" w:rsidRPr="00DE12A3" w:rsidRDefault="009F4766" w:rsidP="00C917D6">
            <w:pPr>
              <w:pStyle w:val="NormalLeft"/>
            </w:pPr>
            <w:r w:rsidRPr="00DE12A3">
              <w:t>48</w:t>
            </w:r>
          </w:p>
        </w:tc>
      </w:tr>
      <w:tr w:rsidR="00DE12A3" w:rsidRPr="00DE12A3" w14:paraId="2BD146E4" w14:textId="77777777" w:rsidTr="009F4766">
        <w:tc>
          <w:tcPr>
            <w:tcW w:w="1182" w:type="dxa"/>
            <w:tcBorders>
              <w:top w:val="single" w:sz="2" w:space="0" w:color="auto"/>
              <w:left w:val="single" w:sz="2" w:space="0" w:color="auto"/>
              <w:bottom w:val="single" w:sz="2" w:space="0" w:color="auto"/>
              <w:right w:val="single" w:sz="2" w:space="0" w:color="auto"/>
            </w:tcBorders>
          </w:tcPr>
          <w:p w14:paraId="7C26156D" w14:textId="77777777" w:rsidR="009F4766" w:rsidRPr="00DE12A3" w:rsidRDefault="009F4766" w:rsidP="00C917D6">
            <w:pPr>
              <w:pStyle w:val="NormalLeft"/>
            </w:pPr>
            <w:r w:rsidRPr="00DE12A3">
              <w:t>98</w:t>
            </w:r>
          </w:p>
        </w:tc>
        <w:tc>
          <w:tcPr>
            <w:tcW w:w="2489" w:type="dxa"/>
            <w:tcBorders>
              <w:top w:val="single" w:sz="2" w:space="0" w:color="auto"/>
              <w:left w:val="single" w:sz="2" w:space="0" w:color="auto"/>
              <w:bottom w:val="single" w:sz="2" w:space="0" w:color="auto"/>
              <w:right w:val="single" w:sz="2" w:space="0" w:color="auto"/>
            </w:tcBorders>
          </w:tcPr>
          <w:p w14:paraId="5C10F54D" w14:textId="77777777" w:rsidR="009F4766" w:rsidRPr="00DE12A3" w:rsidRDefault="009F4766" w:rsidP="00C917D6">
            <w:pPr>
              <w:pStyle w:val="NormalLeft"/>
            </w:pPr>
            <w:r w:rsidRPr="00DE12A3">
              <w:t>8</w:t>
            </w:r>
          </w:p>
        </w:tc>
        <w:tc>
          <w:tcPr>
            <w:tcW w:w="2551" w:type="dxa"/>
            <w:tcBorders>
              <w:top w:val="single" w:sz="2" w:space="0" w:color="auto"/>
              <w:left w:val="single" w:sz="2" w:space="0" w:color="auto"/>
              <w:bottom w:val="single" w:sz="2" w:space="0" w:color="auto"/>
              <w:right w:val="single" w:sz="2" w:space="0" w:color="auto"/>
            </w:tcBorders>
          </w:tcPr>
          <w:p w14:paraId="119F6ACF" w14:textId="77777777" w:rsidR="009F4766" w:rsidRPr="00DE12A3" w:rsidRDefault="009F4766" w:rsidP="00C917D6">
            <w:pPr>
              <w:pStyle w:val="NormalLeft"/>
            </w:pPr>
            <w:r w:rsidRPr="00DE12A3">
              <w:t>43</w:t>
            </w:r>
          </w:p>
        </w:tc>
      </w:tr>
      <w:tr w:rsidR="00DE12A3" w:rsidRPr="00DE12A3" w14:paraId="3149F215" w14:textId="77777777" w:rsidTr="009F4766">
        <w:tc>
          <w:tcPr>
            <w:tcW w:w="1182" w:type="dxa"/>
            <w:tcBorders>
              <w:top w:val="single" w:sz="2" w:space="0" w:color="auto"/>
              <w:left w:val="single" w:sz="2" w:space="0" w:color="auto"/>
              <w:bottom w:val="single" w:sz="2" w:space="0" w:color="auto"/>
              <w:right w:val="single" w:sz="2" w:space="0" w:color="auto"/>
            </w:tcBorders>
          </w:tcPr>
          <w:p w14:paraId="16995B71" w14:textId="77777777" w:rsidR="009F4766" w:rsidRPr="00DE12A3" w:rsidRDefault="009F4766" w:rsidP="00C917D6">
            <w:pPr>
              <w:pStyle w:val="NormalLeft"/>
            </w:pPr>
            <w:r w:rsidRPr="00DE12A3">
              <w:lastRenderedPageBreak/>
              <w:t>99</w:t>
            </w:r>
          </w:p>
        </w:tc>
        <w:tc>
          <w:tcPr>
            <w:tcW w:w="2489" w:type="dxa"/>
            <w:tcBorders>
              <w:top w:val="single" w:sz="2" w:space="0" w:color="auto"/>
              <w:left w:val="single" w:sz="2" w:space="0" w:color="auto"/>
              <w:bottom w:val="single" w:sz="2" w:space="0" w:color="auto"/>
              <w:right w:val="single" w:sz="2" w:space="0" w:color="auto"/>
            </w:tcBorders>
          </w:tcPr>
          <w:p w14:paraId="1455C3E3" w14:textId="77777777" w:rsidR="009F4766" w:rsidRPr="00DE12A3" w:rsidRDefault="009F4766" w:rsidP="00C917D6">
            <w:pPr>
              <w:pStyle w:val="NormalLeft"/>
            </w:pPr>
            <w:r w:rsidRPr="00DE12A3">
              <w:t>2</w:t>
            </w:r>
          </w:p>
        </w:tc>
        <w:tc>
          <w:tcPr>
            <w:tcW w:w="2551" w:type="dxa"/>
            <w:tcBorders>
              <w:top w:val="single" w:sz="2" w:space="0" w:color="auto"/>
              <w:left w:val="single" w:sz="2" w:space="0" w:color="auto"/>
              <w:bottom w:val="single" w:sz="2" w:space="0" w:color="auto"/>
              <w:right w:val="single" w:sz="2" w:space="0" w:color="auto"/>
            </w:tcBorders>
          </w:tcPr>
          <w:p w14:paraId="39489A08" w14:textId="77777777" w:rsidR="009F4766" w:rsidRPr="00DE12A3" w:rsidRDefault="009F4766" w:rsidP="00C917D6">
            <w:pPr>
              <w:pStyle w:val="NormalLeft"/>
            </w:pPr>
            <w:r w:rsidRPr="00DE12A3">
              <w:t>51</w:t>
            </w:r>
          </w:p>
        </w:tc>
      </w:tr>
      <w:tr w:rsidR="00DE12A3" w:rsidRPr="00DE12A3" w14:paraId="626DF445" w14:textId="77777777" w:rsidTr="009F4766">
        <w:tc>
          <w:tcPr>
            <w:tcW w:w="1182" w:type="dxa"/>
            <w:tcBorders>
              <w:top w:val="single" w:sz="2" w:space="0" w:color="auto"/>
              <w:left w:val="single" w:sz="2" w:space="0" w:color="auto"/>
              <w:bottom w:val="single" w:sz="2" w:space="0" w:color="auto"/>
              <w:right w:val="single" w:sz="2" w:space="0" w:color="auto"/>
            </w:tcBorders>
          </w:tcPr>
          <w:p w14:paraId="7CD8ECE9" w14:textId="77777777" w:rsidR="009F4766" w:rsidRPr="00DE12A3" w:rsidRDefault="009F4766" w:rsidP="00C917D6">
            <w:pPr>
              <w:pStyle w:val="NormalLeft"/>
            </w:pPr>
            <w:r w:rsidRPr="00DE12A3">
              <w:t>100</w:t>
            </w:r>
          </w:p>
        </w:tc>
        <w:tc>
          <w:tcPr>
            <w:tcW w:w="2489" w:type="dxa"/>
            <w:tcBorders>
              <w:top w:val="single" w:sz="2" w:space="0" w:color="auto"/>
              <w:left w:val="single" w:sz="2" w:space="0" w:color="auto"/>
              <w:bottom w:val="single" w:sz="2" w:space="0" w:color="auto"/>
              <w:right w:val="single" w:sz="2" w:space="0" w:color="auto"/>
            </w:tcBorders>
          </w:tcPr>
          <w:p w14:paraId="2905AC51" w14:textId="77777777" w:rsidR="009F4766" w:rsidRPr="00DE12A3" w:rsidRDefault="009F4766" w:rsidP="00C917D6">
            <w:pPr>
              <w:pStyle w:val="NormalLeft"/>
            </w:pPr>
            <w:r w:rsidRPr="00DE12A3">
              <w:t>5</w:t>
            </w:r>
          </w:p>
        </w:tc>
        <w:tc>
          <w:tcPr>
            <w:tcW w:w="2551" w:type="dxa"/>
            <w:tcBorders>
              <w:top w:val="single" w:sz="2" w:space="0" w:color="auto"/>
              <w:left w:val="single" w:sz="2" w:space="0" w:color="auto"/>
              <w:bottom w:val="single" w:sz="2" w:space="0" w:color="auto"/>
              <w:right w:val="single" w:sz="2" w:space="0" w:color="auto"/>
            </w:tcBorders>
          </w:tcPr>
          <w:p w14:paraId="59B07B10" w14:textId="77777777" w:rsidR="009F4766" w:rsidRPr="00DE12A3" w:rsidRDefault="009F4766" w:rsidP="00C917D6">
            <w:pPr>
              <w:pStyle w:val="NormalLeft"/>
            </w:pPr>
            <w:r w:rsidRPr="00DE12A3">
              <w:t>46</w:t>
            </w:r>
          </w:p>
        </w:tc>
      </w:tr>
      <w:tr w:rsidR="00DE12A3" w:rsidRPr="00DE12A3" w14:paraId="78986EB6" w14:textId="77777777" w:rsidTr="009F4766">
        <w:tc>
          <w:tcPr>
            <w:tcW w:w="1182" w:type="dxa"/>
            <w:tcBorders>
              <w:top w:val="single" w:sz="2" w:space="0" w:color="auto"/>
              <w:left w:val="single" w:sz="2" w:space="0" w:color="auto"/>
              <w:bottom w:val="single" w:sz="2" w:space="0" w:color="auto"/>
              <w:right w:val="single" w:sz="2" w:space="0" w:color="auto"/>
            </w:tcBorders>
          </w:tcPr>
          <w:p w14:paraId="2F40E4A4" w14:textId="77777777" w:rsidR="009F4766" w:rsidRPr="00DE12A3" w:rsidRDefault="009F4766" w:rsidP="00C917D6">
            <w:pPr>
              <w:pStyle w:val="NormalLeft"/>
            </w:pPr>
            <w:r w:rsidRPr="00DE12A3">
              <w:t>101</w:t>
            </w:r>
          </w:p>
        </w:tc>
        <w:tc>
          <w:tcPr>
            <w:tcW w:w="2489" w:type="dxa"/>
            <w:tcBorders>
              <w:top w:val="single" w:sz="2" w:space="0" w:color="auto"/>
              <w:left w:val="single" w:sz="2" w:space="0" w:color="auto"/>
              <w:bottom w:val="single" w:sz="2" w:space="0" w:color="auto"/>
              <w:right w:val="single" w:sz="2" w:space="0" w:color="auto"/>
            </w:tcBorders>
          </w:tcPr>
          <w:p w14:paraId="67903ECB" w14:textId="77777777" w:rsidR="009F4766" w:rsidRPr="00DE12A3" w:rsidRDefault="009F4766" w:rsidP="00C917D6">
            <w:pPr>
              <w:pStyle w:val="NormalLeft"/>
            </w:pPr>
            <w:r w:rsidRPr="00DE12A3">
              <w:t>8</w:t>
            </w:r>
          </w:p>
        </w:tc>
        <w:tc>
          <w:tcPr>
            <w:tcW w:w="2551" w:type="dxa"/>
            <w:tcBorders>
              <w:top w:val="single" w:sz="2" w:space="0" w:color="auto"/>
              <w:left w:val="single" w:sz="2" w:space="0" w:color="auto"/>
              <w:bottom w:val="single" w:sz="2" w:space="0" w:color="auto"/>
              <w:right w:val="single" w:sz="2" w:space="0" w:color="auto"/>
            </w:tcBorders>
          </w:tcPr>
          <w:p w14:paraId="23C5DC12" w14:textId="77777777" w:rsidR="009F4766" w:rsidRPr="00DE12A3" w:rsidRDefault="009F4766" w:rsidP="00C917D6">
            <w:pPr>
              <w:pStyle w:val="NormalLeft"/>
            </w:pPr>
            <w:r w:rsidRPr="00DE12A3">
              <w:t>41</w:t>
            </w:r>
          </w:p>
        </w:tc>
      </w:tr>
      <w:tr w:rsidR="00DE12A3" w:rsidRPr="00DE12A3" w14:paraId="5917802E" w14:textId="77777777" w:rsidTr="009F4766">
        <w:tc>
          <w:tcPr>
            <w:tcW w:w="1182" w:type="dxa"/>
            <w:tcBorders>
              <w:top w:val="single" w:sz="2" w:space="0" w:color="auto"/>
              <w:left w:val="single" w:sz="2" w:space="0" w:color="auto"/>
              <w:bottom w:val="single" w:sz="2" w:space="0" w:color="auto"/>
              <w:right w:val="single" w:sz="2" w:space="0" w:color="auto"/>
            </w:tcBorders>
          </w:tcPr>
          <w:p w14:paraId="0ADC2399" w14:textId="77777777" w:rsidR="009F4766" w:rsidRPr="00DE12A3" w:rsidRDefault="009F4766" w:rsidP="00C917D6">
            <w:pPr>
              <w:pStyle w:val="NormalLeft"/>
            </w:pPr>
            <w:r w:rsidRPr="00DE12A3">
              <w:t>102</w:t>
            </w:r>
          </w:p>
        </w:tc>
        <w:tc>
          <w:tcPr>
            <w:tcW w:w="2489" w:type="dxa"/>
            <w:tcBorders>
              <w:top w:val="single" w:sz="2" w:space="0" w:color="auto"/>
              <w:left w:val="single" w:sz="2" w:space="0" w:color="auto"/>
              <w:bottom w:val="single" w:sz="2" w:space="0" w:color="auto"/>
              <w:right w:val="single" w:sz="2" w:space="0" w:color="auto"/>
            </w:tcBorders>
          </w:tcPr>
          <w:p w14:paraId="3A4E5237" w14:textId="77777777" w:rsidR="009F4766" w:rsidRPr="00DE12A3" w:rsidRDefault="009F4766" w:rsidP="00C917D6">
            <w:pPr>
              <w:pStyle w:val="NormalLeft"/>
            </w:pPr>
            <w:r w:rsidRPr="00DE12A3">
              <w:t>4</w:t>
            </w:r>
          </w:p>
        </w:tc>
        <w:tc>
          <w:tcPr>
            <w:tcW w:w="2551" w:type="dxa"/>
            <w:tcBorders>
              <w:top w:val="single" w:sz="2" w:space="0" w:color="auto"/>
              <w:left w:val="single" w:sz="2" w:space="0" w:color="auto"/>
              <w:bottom w:val="single" w:sz="2" w:space="0" w:color="auto"/>
              <w:right w:val="single" w:sz="2" w:space="0" w:color="auto"/>
            </w:tcBorders>
          </w:tcPr>
          <w:p w14:paraId="69B4D335" w14:textId="77777777" w:rsidR="009F4766" w:rsidRPr="00DE12A3" w:rsidRDefault="009F4766" w:rsidP="00C917D6">
            <w:pPr>
              <w:pStyle w:val="NormalLeft"/>
            </w:pPr>
            <w:r w:rsidRPr="00DE12A3">
              <w:t>47</w:t>
            </w:r>
          </w:p>
        </w:tc>
      </w:tr>
      <w:tr w:rsidR="00DE12A3" w:rsidRPr="00DE12A3" w14:paraId="38812589" w14:textId="77777777" w:rsidTr="009F4766">
        <w:tc>
          <w:tcPr>
            <w:tcW w:w="1182" w:type="dxa"/>
            <w:tcBorders>
              <w:top w:val="single" w:sz="2" w:space="0" w:color="auto"/>
              <w:left w:val="single" w:sz="2" w:space="0" w:color="auto"/>
              <w:bottom w:val="single" w:sz="2" w:space="0" w:color="auto"/>
              <w:right w:val="single" w:sz="2" w:space="0" w:color="auto"/>
            </w:tcBorders>
          </w:tcPr>
          <w:p w14:paraId="759D3C13" w14:textId="77777777" w:rsidR="009F4766" w:rsidRPr="00DE12A3" w:rsidRDefault="009F4766" w:rsidP="00C917D6">
            <w:pPr>
              <w:pStyle w:val="NormalLeft"/>
            </w:pPr>
            <w:r w:rsidRPr="00DE12A3">
              <w:t>103</w:t>
            </w:r>
          </w:p>
        </w:tc>
        <w:tc>
          <w:tcPr>
            <w:tcW w:w="2489" w:type="dxa"/>
            <w:tcBorders>
              <w:top w:val="single" w:sz="2" w:space="0" w:color="auto"/>
              <w:left w:val="single" w:sz="2" w:space="0" w:color="auto"/>
              <w:bottom w:val="single" w:sz="2" w:space="0" w:color="auto"/>
              <w:right w:val="single" w:sz="2" w:space="0" w:color="auto"/>
            </w:tcBorders>
          </w:tcPr>
          <w:p w14:paraId="2C169D2A" w14:textId="77777777" w:rsidR="009F4766" w:rsidRPr="00DE12A3" w:rsidRDefault="009F4766" w:rsidP="00C917D6">
            <w:pPr>
              <w:pStyle w:val="NormalLeft"/>
            </w:pPr>
            <w:r w:rsidRPr="00DE12A3">
              <w:t>3</w:t>
            </w:r>
          </w:p>
        </w:tc>
        <w:tc>
          <w:tcPr>
            <w:tcW w:w="2551" w:type="dxa"/>
            <w:tcBorders>
              <w:top w:val="single" w:sz="2" w:space="0" w:color="auto"/>
              <w:left w:val="single" w:sz="2" w:space="0" w:color="auto"/>
              <w:bottom w:val="single" w:sz="2" w:space="0" w:color="auto"/>
              <w:right w:val="single" w:sz="2" w:space="0" w:color="auto"/>
            </w:tcBorders>
          </w:tcPr>
          <w:p w14:paraId="7A981C43" w14:textId="77777777" w:rsidR="009F4766" w:rsidRPr="00DE12A3" w:rsidRDefault="009F4766" w:rsidP="00C917D6">
            <w:pPr>
              <w:pStyle w:val="NormalLeft"/>
            </w:pPr>
            <w:r w:rsidRPr="00DE12A3">
              <w:t>49</w:t>
            </w:r>
          </w:p>
        </w:tc>
      </w:tr>
      <w:tr w:rsidR="00DE12A3" w:rsidRPr="00DE12A3" w14:paraId="7D04CA6A" w14:textId="77777777" w:rsidTr="009F4766">
        <w:tc>
          <w:tcPr>
            <w:tcW w:w="1182" w:type="dxa"/>
            <w:tcBorders>
              <w:top w:val="single" w:sz="2" w:space="0" w:color="auto"/>
              <w:left w:val="single" w:sz="2" w:space="0" w:color="auto"/>
              <w:bottom w:val="single" w:sz="2" w:space="0" w:color="auto"/>
              <w:right w:val="single" w:sz="2" w:space="0" w:color="auto"/>
            </w:tcBorders>
          </w:tcPr>
          <w:p w14:paraId="4D89C186" w14:textId="77777777" w:rsidR="009F4766" w:rsidRPr="00DE12A3" w:rsidRDefault="009F4766" w:rsidP="00C917D6">
            <w:pPr>
              <w:pStyle w:val="NormalLeft"/>
            </w:pPr>
            <w:r w:rsidRPr="00DE12A3">
              <w:t>104</w:t>
            </w:r>
          </w:p>
        </w:tc>
        <w:tc>
          <w:tcPr>
            <w:tcW w:w="2489" w:type="dxa"/>
            <w:tcBorders>
              <w:top w:val="single" w:sz="2" w:space="0" w:color="auto"/>
              <w:left w:val="single" w:sz="2" w:space="0" w:color="auto"/>
              <w:bottom w:val="single" w:sz="2" w:space="0" w:color="auto"/>
              <w:right w:val="single" w:sz="2" w:space="0" w:color="auto"/>
            </w:tcBorders>
          </w:tcPr>
          <w:p w14:paraId="38D219D5" w14:textId="77777777" w:rsidR="009F4766" w:rsidRPr="00DE12A3" w:rsidRDefault="009F4766" w:rsidP="00C917D6">
            <w:pPr>
              <w:pStyle w:val="NormalLeft"/>
            </w:pPr>
            <w:r w:rsidRPr="00DE12A3">
              <w:t>6</w:t>
            </w:r>
          </w:p>
        </w:tc>
        <w:tc>
          <w:tcPr>
            <w:tcW w:w="2551" w:type="dxa"/>
            <w:tcBorders>
              <w:top w:val="single" w:sz="2" w:space="0" w:color="auto"/>
              <w:left w:val="single" w:sz="2" w:space="0" w:color="auto"/>
              <w:bottom w:val="single" w:sz="2" w:space="0" w:color="auto"/>
              <w:right w:val="single" w:sz="2" w:space="0" w:color="auto"/>
            </w:tcBorders>
          </w:tcPr>
          <w:p w14:paraId="6F35C649" w14:textId="77777777" w:rsidR="009F4766" w:rsidRPr="00DE12A3" w:rsidRDefault="009F4766" w:rsidP="00C917D6">
            <w:pPr>
              <w:pStyle w:val="NormalLeft"/>
            </w:pPr>
            <w:r w:rsidRPr="00DE12A3">
              <w:t>45</w:t>
            </w:r>
          </w:p>
        </w:tc>
      </w:tr>
      <w:tr w:rsidR="00DE12A3" w:rsidRPr="00DE12A3" w14:paraId="1C8CFFA1" w14:textId="77777777" w:rsidTr="009F4766">
        <w:tc>
          <w:tcPr>
            <w:tcW w:w="1182" w:type="dxa"/>
            <w:tcBorders>
              <w:top w:val="single" w:sz="2" w:space="0" w:color="auto"/>
              <w:left w:val="single" w:sz="2" w:space="0" w:color="auto"/>
              <w:bottom w:val="single" w:sz="2" w:space="0" w:color="auto"/>
              <w:right w:val="single" w:sz="2" w:space="0" w:color="auto"/>
            </w:tcBorders>
          </w:tcPr>
          <w:p w14:paraId="3BD633ED" w14:textId="77777777" w:rsidR="009F4766" w:rsidRPr="00DE12A3" w:rsidRDefault="009F4766" w:rsidP="00C917D6">
            <w:pPr>
              <w:pStyle w:val="NormalLeft"/>
            </w:pPr>
            <w:r w:rsidRPr="00DE12A3">
              <w:t>105</w:t>
            </w:r>
          </w:p>
        </w:tc>
        <w:tc>
          <w:tcPr>
            <w:tcW w:w="2489" w:type="dxa"/>
            <w:tcBorders>
              <w:top w:val="single" w:sz="2" w:space="0" w:color="auto"/>
              <w:left w:val="single" w:sz="2" w:space="0" w:color="auto"/>
              <w:bottom w:val="single" w:sz="2" w:space="0" w:color="auto"/>
              <w:right w:val="single" w:sz="2" w:space="0" w:color="auto"/>
            </w:tcBorders>
          </w:tcPr>
          <w:p w14:paraId="2392E8D6" w14:textId="77777777" w:rsidR="009F4766" w:rsidRPr="00DE12A3" w:rsidRDefault="009F4766" w:rsidP="00C917D6">
            <w:pPr>
              <w:pStyle w:val="NormalLeft"/>
            </w:pPr>
            <w:r w:rsidRPr="00DE12A3">
              <w:t>3</w:t>
            </w:r>
          </w:p>
        </w:tc>
        <w:tc>
          <w:tcPr>
            <w:tcW w:w="2551" w:type="dxa"/>
            <w:tcBorders>
              <w:top w:val="single" w:sz="2" w:space="0" w:color="auto"/>
              <w:left w:val="single" w:sz="2" w:space="0" w:color="auto"/>
              <w:bottom w:val="single" w:sz="2" w:space="0" w:color="auto"/>
              <w:right w:val="single" w:sz="2" w:space="0" w:color="auto"/>
            </w:tcBorders>
          </w:tcPr>
          <w:p w14:paraId="55FB1622" w14:textId="77777777" w:rsidR="009F4766" w:rsidRPr="00DE12A3" w:rsidRDefault="009F4766" w:rsidP="00C917D6">
            <w:pPr>
              <w:pStyle w:val="NormalLeft"/>
            </w:pPr>
            <w:r w:rsidRPr="00DE12A3">
              <w:t>48</w:t>
            </w:r>
          </w:p>
        </w:tc>
      </w:tr>
      <w:tr w:rsidR="00DE12A3" w:rsidRPr="00DE12A3" w14:paraId="30156BB7" w14:textId="77777777" w:rsidTr="009F4766">
        <w:tc>
          <w:tcPr>
            <w:tcW w:w="1182" w:type="dxa"/>
            <w:tcBorders>
              <w:top w:val="single" w:sz="2" w:space="0" w:color="auto"/>
              <w:left w:val="single" w:sz="2" w:space="0" w:color="auto"/>
              <w:bottom w:val="single" w:sz="2" w:space="0" w:color="auto"/>
              <w:right w:val="single" w:sz="2" w:space="0" w:color="auto"/>
            </w:tcBorders>
          </w:tcPr>
          <w:p w14:paraId="68377ED4" w14:textId="77777777" w:rsidR="009F4766" w:rsidRPr="00DE12A3" w:rsidRDefault="009F4766" w:rsidP="00C917D6">
            <w:pPr>
              <w:pStyle w:val="NormalLeft"/>
            </w:pPr>
            <w:r w:rsidRPr="00DE12A3">
              <w:t>106</w:t>
            </w:r>
          </w:p>
        </w:tc>
        <w:tc>
          <w:tcPr>
            <w:tcW w:w="2489" w:type="dxa"/>
            <w:tcBorders>
              <w:top w:val="single" w:sz="2" w:space="0" w:color="auto"/>
              <w:left w:val="single" w:sz="2" w:space="0" w:color="auto"/>
              <w:bottom w:val="single" w:sz="2" w:space="0" w:color="auto"/>
              <w:right w:val="single" w:sz="2" w:space="0" w:color="auto"/>
            </w:tcBorders>
          </w:tcPr>
          <w:p w14:paraId="340985D3" w14:textId="77777777" w:rsidR="009F4766" w:rsidRPr="00DE12A3" w:rsidRDefault="009F4766" w:rsidP="00C917D6">
            <w:pPr>
              <w:pStyle w:val="NormalLeft"/>
            </w:pPr>
            <w:r w:rsidRPr="00DE12A3">
              <w:t>10</w:t>
            </w:r>
          </w:p>
        </w:tc>
        <w:tc>
          <w:tcPr>
            <w:tcW w:w="2551" w:type="dxa"/>
            <w:tcBorders>
              <w:top w:val="single" w:sz="2" w:space="0" w:color="auto"/>
              <w:left w:val="single" w:sz="2" w:space="0" w:color="auto"/>
              <w:bottom w:val="single" w:sz="2" w:space="0" w:color="auto"/>
              <w:right w:val="single" w:sz="2" w:space="0" w:color="auto"/>
            </w:tcBorders>
          </w:tcPr>
          <w:p w14:paraId="6C5FBE53" w14:textId="77777777" w:rsidR="009F4766" w:rsidRPr="00DE12A3" w:rsidRDefault="009F4766" w:rsidP="00C917D6">
            <w:pPr>
              <w:pStyle w:val="NormalLeft"/>
            </w:pPr>
            <w:r w:rsidRPr="00DE12A3">
              <w:t>42</w:t>
            </w:r>
          </w:p>
        </w:tc>
      </w:tr>
      <w:tr w:rsidR="00DE12A3" w:rsidRPr="00DE12A3" w14:paraId="5B6D65CB" w14:textId="77777777" w:rsidTr="009F4766">
        <w:tc>
          <w:tcPr>
            <w:tcW w:w="1182" w:type="dxa"/>
            <w:tcBorders>
              <w:top w:val="single" w:sz="2" w:space="0" w:color="auto"/>
              <w:left w:val="single" w:sz="2" w:space="0" w:color="auto"/>
              <w:bottom w:val="single" w:sz="2" w:space="0" w:color="auto"/>
              <w:right w:val="single" w:sz="2" w:space="0" w:color="auto"/>
            </w:tcBorders>
          </w:tcPr>
          <w:p w14:paraId="40D2252B" w14:textId="77777777" w:rsidR="009F4766" w:rsidRPr="00DE12A3" w:rsidRDefault="009F4766" w:rsidP="00C917D6">
            <w:pPr>
              <w:pStyle w:val="NormalLeft"/>
            </w:pPr>
            <w:r w:rsidRPr="00DE12A3">
              <w:t>107</w:t>
            </w:r>
          </w:p>
        </w:tc>
        <w:tc>
          <w:tcPr>
            <w:tcW w:w="2489" w:type="dxa"/>
            <w:tcBorders>
              <w:top w:val="single" w:sz="2" w:space="0" w:color="auto"/>
              <w:left w:val="single" w:sz="2" w:space="0" w:color="auto"/>
              <w:bottom w:val="single" w:sz="2" w:space="0" w:color="auto"/>
              <w:right w:val="single" w:sz="2" w:space="0" w:color="auto"/>
            </w:tcBorders>
          </w:tcPr>
          <w:p w14:paraId="58E8CCB8" w14:textId="77777777" w:rsidR="009F4766" w:rsidRPr="00DE12A3" w:rsidRDefault="009F4766" w:rsidP="00C917D6">
            <w:pPr>
              <w:pStyle w:val="NormalLeft"/>
            </w:pPr>
            <w:r w:rsidRPr="00DE12A3">
              <w:t>18</w:t>
            </w:r>
          </w:p>
        </w:tc>
        <w:tc>
          <w:tcPr>
            <w:tcW w:w="2551" w:type="dxa"/>
            <w:tcBorders>
              <w:top w:val="single" w:sz="2" w:space="0" w:color="auto"/>
              <w:left w:val="single" w:sz="2" w:space="0" w:color="auto"/>
              <w:bottom w:val="single" w:sz="2" w:space="0" w:color="auto"/>
              <w:right w:val="single" w:sz="2" w:space="0" w:color="auto"/>
            </w:tcBorders>
          </w:tcPr>
          <w:p w14:paraId="76029079" w14:textId="77777777" w:rsidR="009F4766" w:rsidRPr="00DE12A3" w:rsidRDefault="009F4766" w:rsidP="00C917D6">
            <w:pPr>
              <w:pStyle w:val="NormalLeft"/>
            </w:pPr>
            <w:r w:rsidRPr="00DE12A3">
              <w:t>27</w:t>
            </w:r>
          </w:p>
        </w:tc>
      </w:tr>
      <w:tr w:rsidR="00DE12A3" w:rsidRPr="00DE12A3" w14:paraId="402AD1B1" w14:textId="77777777" w:rsidTr="009F4766">
        <w:tc>
          <w:tcPr>
            <w:tcW w:w="1182" w:type="dxa"/>
            <w:tcBorders>
              <w:top w:val="single" w:sz="2" w:space="0" w:color="auto"/>
              <w:left w:val="single" w:sz="2" w:space="0" w:color="auto"/>
              <w:bottom w:val="single" w:sz="2" w:space="0" w:color="auto"/>
              <w:right w:val="single" w:sz="2" w:space="0" w:color="auto"/>
            </w:tcBorders>
          </w:tcPr>
          <w:p w14:paraId="0EE7160F" w14:textId="77777777" w:rsidR="009F4766" w:rsidRPr="00DE12A3" w:rsidRDefault="009F4766" w:rsidP="00C917D6">
            <w:pPr>
              <w:pStyle w:val="NormalLeft"/>
            </w:pPr>
            <w:r w:rsidRPr="00DE12A3">
              <w:t>108</w:t>
            </w:r>
          </w:p>
        </w:tc>
        <w:tc>
          <w:tcPr>
            <w:tcW w:w="2489" w:type="dxa"/>
            <w:tcBorders>
              <w:top w:val="single" w:sz="2" w:space="0" w:color="auto"/>
              <w:left w:val="single" w:sz="2" w:space="0" w:color="auto"/>
              <w:bottom w:val="single" w:sz="2" w:space="0" w:color="auto"/>
              <w:right w:val="single" w:sz="2" w:space="0" w:color="auto"/>
            </w:tcBorders>
          </w:tcPr>
          <w:p w14:paraId="5245F3D9" w14:textId="77777777" w:rsidR="009F4766" w:rsidRPr="00DE12A3" w:rsidRDefault="009F4766" w:rsidP="00C917D6">
            <w:pPr>
              <w:pStyle w:val="NormalLeft"/>
            </w:pPr>
            <w:r w:rsidRPr="00DE12A3">
              <w:t>3</w:t>
            </w:r>
          </w:p>
        </w:tc>
        <w:tc>
          <w:tcPr>
            <w:tcW w:w="2551" w:type="dxa"/>
            <w:tcBorders>
              <w:top w:val="single" w:sz="2" w:space="0" w:color="auto"/>
              <w:left w:val="single" w:sz="2" w:space="0" w:color="auto"/>
              <w:bottom w:val="single" w:sz="2" w:space="0" w:color="auto"/>
              <w:right w:val="single" w:sz="2" w:space="0" w:color="auto"/>
            </w:tcBorders>
          </w:tcPr>
          <w:p w14:paraId="60A8A0B9" w14:textId="77777777" w:rsidR="009F4766" w:rsidRPr="00DE12A3" w:rsidRDefault="009F4766" w:rsidP="00C917D6">
            <w:pPr>
              <w:pStyle w:val="NormalLeft"/>
            </w:pPr>
            <w:r w:rsidRPr="00DE12A3">
              <w:t>50</w:t>
            </w:r>
          </w:p>
        </w:tc>
      </w:tr>
      <w:tr w:rsidR="00DE12A3" w:rsidRPr="00DE12A3" w14:paraId="4FB2656A" w14:textId="77777777" w:rsidTr="009F4766">
        <w:tc>
          <w:tcPr>
            <w:tcW w:w="1182" w:type="dxa"/>
            <w:tcBorders>
              <w:top w:val="single" w:sz="2" w:space="0" w:color="auto"/>
              <w:left w:val="single" w:sz="2" w:space="0" w:color="auto"/>
              <w:bottom w:val="single" w:sz="2" w:space="0" w:color="auto"/>
              <w:right w:val="single" w:sz="2" w:space="0" w:color="auto"/>
            </w:tcBorders>
          </w:tcPr>
          <w:p w14:paraId="45BB5023" w14:textId="77777777" w:rsidR="009F4766" w:rsidRPr="00DE12A3" w:rsidRDefault="009F4766" w:rsidP="00C917D6">
            <w:pPr>
              <w:pStyle w:val="NormalLeft"/>
            </w:pPr>
            <w:r w:rsidRPr="00DE12A3">
              <w:t>109</w:t>
            </w:r>
          </w:p>
        </w:tc>
        <w:tc>
          <w:tcPr>
            <w:tcW w:w="2489" w:type="dxa"/>
            <w:tcBorders>
              <w:top w:val="single" w:sz="2" w:space="0" w:color="auto"/>
              <w:left w:val="single" w:sz="2" w:space="0" w:color="auto"/>
              <w:bottom w:val="single" w:sz="2" w:space="0" w:color="auto"/>
              <w:right w:val="single" w:sz="2" w:space="0" w:color="auto"/>
            </w:tcBorders>
          </w:tcPr>
          <w:p w14:paraId="3DFE2A94" w14:textId="77777777" w:rsidR="009F4766" w:rsidRPr="00DE12A3" w:rsidRDefault="009F4766" w:rsidP="00C917D6">
            <w:pPr>
              <w:pStyle w:val="NormalLeft"/>
            </w:pPr>
            <w:r w:rsidRPr="00DE12A3">
              <w:t>11</w:t>
            </w:r>
          </w:p>
        </w:tc>
        <w:tc>
          <w:tcPr>
            <w:tcW w:w="2551" w:type="dxa"/>
            <w:tcBorders>
              <w:top w:val="single" w:sz="2" w:space="0" w:color="auto"/>
              <w:left w:val="single" w:sz="2" w:space="0" w:color="auto"/>
              <w:bottom w:val="single" w:sz="2" w:space="0" w:color="auto"/>
              <w:right w:val="single" w:sz="2" w:space="0" w:color="auto"/>
            </w:tcBorders>
          </w:tcPr>
          <w:p w14:paraId="5AB43DC4" w14:textId="77777777" w:rsidR="009F4766" w:rsidRPr="00DE12A3" w:rsidRDefault="009F4766" w:rsidP="00C917D6">
            <w:pPr>
              <w:pStyle w:val="NormalLeft"/>
            </w:pPr>
            <w:r w:rsidRPr="00DE12A3">
              <w:t>41</w:t>
            </w:r>
          </w:p>
        </w:tc>
      </w:tr>
      <w:tr w:rsidR="00DE12A3" w:rsidRPr="00DE12A3" w14:paraId="6F8EA248" w14:textId="77777777" w:rsidTr="009F4766">
        <w:tc>
          <w:tcPr>
            <w:tcW w:w="1182" w:type="dxa"/>
            <w:tcBorders>
              <w:top w:val="single" w:sz="2" w:space="0" w:color="auto"/>
              <w:left w:val="single" w:sz="2" w:space="0" w:color="auto"/>
              <w:bottom w:val="single" w:sz="2" w:space="0" w:color="auto"/>
              <w:right w:val="single" w:sz="2" w:space="0" w:color="auto"/>
            </w:tcBorders>
          </w:tcPr>
          <w:p w14:paraId="09E96BDA" w14:textId="77777777" w:rsidR="009F4766" w:rsidRPr="00DE12A3" w:rsidRDefault="009F4766" w:rsidP="00C917D6">
            <w:pPr>
              <w:pStyle w:val="NormalLeft"/>
            </w:pPr>
            <w:r w:rsidRPr="00DE12A3">
              <w:t>110</w:t>
            </w:r>
          </w:p>
        </w:tc>
        <w:tc>
          <w:tcPr>
            <w:tcW w:w="2489" w:type="dxa"/>
            <w:tcBorders>
              <w:top w:val="single" w:sz="2" w:space="0" w:color="auto"/>
              <w:left w:val="single" w:sz="2" w:space="0" w:color="auto"/>
              <w:bottom w:val="single" w:sz="2" w:space="0" w:color="auto"/>
              <w:right w:val="single" w:sz="2" w:space="0" w:color="auto"/>
            </w:tcBorders>
          </w:tcPr>
          <w:p w14:paraId="5ADB4397" w14:textId="77777777" w:rsidR="009F4766" w:rsidRPr="00DE12A3" w:rsidRDefault="009F4766" w:rsidP="00C917D6">
            <w:pPr>
              <w:pStyle w:val="NormalLeft"/>
            </w:pPr>
            <w:r w:rsidRPr="00DE12A3">
              <w:t>34</w:t>
            </w:r>
          </w:p>
        </w:tc>
        <w:tc>
          <w:tcPr>
            <w:tcW w:w="2551" w:type="dxa"/>
            <w:tcBorders>
              <w:top w:val="single" w:sz="2" w:space="0" w:color="auto"/>
              <w:left w:val="single" w:sz="2" w:space="0" w:color="auto"/>
              <w:bottom w:val="single" w:sz="2" w:space="0" w:color="auto"/>
              <w:right w:val="single" w:sz="2" w:space="0" w:color="auto"/>
            </w:tcBorders>
          </w:tcPr>
          <w:p w14:paraId="28BCD6F1" w14:textId="77777777" w:rsidR="009F4766" w:rsidRPr="00DE12A3" w:rsidRDefault="009F4766" w:rsidP="00C917D6">
            <w:pPr>
              <w:pStyle w:val="NormalLeft"/>
            </w:pPr>
            <w:r w:rsidRPr="00DE12A3">
              <w:t>29</w:t>
            </w:r>
          </w:p>
        </w:tc>
      </w:tr>
      <w:tr w:rsidR="00DE12A3" w:rsidRPr="00DE12A3" w14:paraId="31618423" w14:textId="77777777" w:rsidTr="009F4766">
        <w:tc>
          <w:tcPr>
            <w:tcW w:w="1182" w:type="dxa"/>
            <w:tcBorders>
              <w:top w:val="single" w:sz="2" w:space="0" w:color="auto"/>
              <w:left w:val="single" w:sz="2" w:space="0" w:color="auto"/>
              <w:bottom w:val="single" w:sz="2" w:space="0" w:color="auto"/>
              <w:right w:val="single" w:sz="2" w:space="0" w:color="auto"/>
            </w:tcBorders>
          </w:tcPr>
          <w:p w14:paraId="4DF48FFA" w14:textId="77777777" w:rsidR="009F4766" w:rsidRPr="00DE12A3" w:rsidRDefault="009F4766" w:rsidP="00C917D6">
            <w:pPr>
              <w:pStyle w:val="NormalLeft"/>
            </w:pPr>
            <w:r w:rsidRPr="00DE12A3">
              <w:t>111</w:t>
            </w:r>
          </w:p>
        </w:tc>
        <w:tc>
          <w:tcPr>
            <w:tcW w:w="2489" w:type="dxa"/>
            <w:tcBorders>
              <w:top w:val="single" w:sz="2" w:space="0" w:color="auto"/>
              <w:left w:val="single" w:sz="2" w:space="0" w:color="auto"/>
              <w:bottom w:val="single" w:sz="2" w:space="0" w:color="auto"/>
              <w:right w:val="single" w:sz="2" w:space="0" w:color="auto"/>
            </w:tcBorders>
          </w:tcPr>
          <w:p w14:paraId="3A445259" w14:textId="77777777" w:rsidR="009F4766" w:rsidRPr="00DE12A3" w:rsidRDefault="009F4766" w:rsidP="00C917D6">
            <w:pPr>
              <w:pStyle w:val="NormalLeft"/>
            </w:pPr>
            <w:r w:rsidRPr="00DE12A3">
              <w:t>51</w:t>
            </w:r>
          </w:p>
        </w:tc>
        <w:tc>
          <w:tcPr>
            <w:tcW w:w="2551" w:type="dxa"/>
            <w:tcBorders>
              <w:top w:val="single" w:sz="2" w:space="0" w:color="auto"/>
              <w:left w:val="single" w:sz="2" w:space="0" w:color="auto"/>
              <w:bottom w:val="single" w:sz="2" w:space="0" w:color="auto"/>
              <w:right w:val="single" w:sz="2" w:space="0" w:color="auto"/>
            </w:tcBorders>
          </w:tcPr>
          <w:p w14:paraId="6A17E2B7" w14:textId="77777777" w:rsidR="009F4766" w:rsidRPr="00DE12A3" w:rsidRDefault="009F4766" w:rsidP="00C917D6">
            <w:pPr>
              <w:pStyle w:val="NormalLeft"/>
            </w:pPr>
            <w:r w:rsidRPr="00DE12A3">
              <w:t>57</w:t>
            </w:r>
          </w:p>
        </w:tc>
      </w:tr>
      <w:tr w:rsidR="00DE12A3" w:rsidRPr="00DE12A3" w14:paraId="62271205" w14:textId="77777777" w:rsidTr="009F4766">
        <w:tc>
          <w:tcPr>
            <w:tcW w:w="1182" w:type="dxa"/>
            <w:tcBorders>
              <w:top w:val="single" w:sz="2" w:space="0" w:color="auto"/>
              <w:left w:val="single" w:sz="2" w:space="0" w:color="auto"/>
              <w:bottom w:val="single" w:sz="2" w:space="0" w:color="auto"/>
              <w:right w:val="single" w:sz="2" w:space="0" w:color="auto"/>
            </w:tcBorders>
          </w:tcPr>
          <w:p w14:paraId="0516FDA6" w14:textId="77777777" w:rsidR="009F4766" w:rsidRPr="00DE12A3" w:rsidRDefault="009F4766" w:rsidP="00C917D6">
            <w:pPr>
              <w:pStyle w:val="NormalLeft"/>
            </w:pPr>
            <w:r w:rsidRPr="00DE12A3">
              <w:t>112</w:t>
            </w:r>
          </w:p>
        </w:tc>
        <w:tc>
          <w:tcPr>
            <w:tcW w:w="2489" w:type="dxa"/>
            <w:tcBorders>
              <w:top w:val="single" w:sz="2" w:space="0" w:color="auto"/>
              <w:left w:val="single" w:sz="2" w:space="0" w:color="auto"/>
              <w:bottom w:val="single" w:sz="2" w:space="0" w:color="auto"/>
              <w:right w:val="single" w:sz="2" w:space="0" w:color="auto"/>
            </w:tcBorders>
          </w:tcPr>
          <w:p w14:paraId="5E0D6EFE" w14:textId="77777777" w:rsidR="009F4766" w:rsidRPr="00DE12A3" w:rsidRDefault="009F4766" w:rsidP="00C917D6">
            <w:pPr>
              <w:pStyle w:val="NormalLeft"/>
            </w:pPr>
            <w:r w:rsidRPr="00DE12A3">
              <w:t>67</w:t>
            </w:r>
          </w:p>
        </w:tc>
        <w:tc>
          <w:tcPr>
            <w:tcW w:w="2551" w:type="dxa"/>
            <w:tcBorders>
              <w:top w:val="single" w:sz="2" w:space="0" w:color="auto"/>
              <w:left w:val="single" w:sz="2" w:space="0" w:color="auto"/>
              <w:bottom w:val="single" w:sz="2" w:space="0" w:color="auto"/>
              <w:right w:val="single" w:sz="2" w:space="0" w:color="auto"/>
            </w:tcBorders>
          </w:tcPr>
          <w:p w14:paraId="4467EE20" w14:textId="77777777" w:rsidR="009F4766" w:rsidRPr="00DE12A3" w:rsidRDefault="009F4766" w:rsidP="00C917D6">
            <w:pPr>
              <w:pStyle w:val="NormalLeft"/>
            </w:pPr>
            <w:r w:rsidRPr="00DE12A3">
              <w:t>63</w:t>
            </w:r>
          </w:p>
        </w:tc>
      </w:tr>
      <w:tr w:rsidR="00DE12A3" w:rsidRPr="00DE12A3" w14:paraId="0D849B5C" w14:textId="77777777" w:rsidTr="009F4766">
        <w:tc>
          <w:tcPr>
            <w:tcW w:w="1182" w:type="dxa"/>
            <w:tcBorders>
              <w:top w:val="single" w:sz="2" w:space="0" w:color="auto"/>
              <w:left w:val="single" w:sz="2" w:space="0" w:color="auto"/>
              <w:bottom w:val="single" w:sz="2" w:space="0" w:color="auto"/>
              <w:right w:val="single" w:sz="2" w:space="0" w:color="auto"/>
            </w:tcBorders>
          </w:tcPr>
          <w:p w14:paraId="0FEB4633" w14:textId="77777777" w:rsidR="009F4766" w:rsidRPr="00DE12A3" w:rsidRDefault="009F4766" w:rsidP="00C917D6">
            <w:pPr>
              <w:pStyle w:val="NormalLeft"/>
            </w:pPr>
            <w:r w:rsidRPr="00DE12A3">
              <w:t>113</w:t>
            </w:r>
          </w:p>
        </w:tc>
        <w:tc>
          <w:tcPr>
            <w:tcW w:w="2489" w:type="dxa"/>
            <w:tcBorders>
              <w:top w:val="single" w:sz="2" w:space="0" w:color="auto"/>
              <w:left w:val="single" w:sz="2" w:space="0" w:color="auto"/>
              <w:bottom w:val="single" w:sz="2" w:space="0" w:color="auto"/>
              <w:right w:val="single" w:sz="2" w:space="0" w:color="auto"/>
            </w:tcBorders>
          </w:tcPr>
          <w:p w14:paraId="4FF0DA15" w14:textId="77777777" w:rsidR="009F4766" w:rsidRPr="00DE12A3" w:rsidRDefault="009F4766" w:rsidP="00C917D6">
            <w:pPr>
              <w:pStyle w:val="NormalLeft"/>
            </w:pPr>
            <w:r w:rsidRPr="00DE12A3">
              <w:t>61</w:t>
            </w:r>
          </w:p>
        </w:tc>
        <w:tc>
          <w:tcPr>
            <w:tcW w:w="2551" w:type="dxa"/>
            <w:tcBorders>
              <w:top w:val="single" w:sz="2" w:space="0" w:color="auto"/>
              <w:left w:val="single" w:sz="2" w:space="0" w:color="auto"/>
              <w:bottom w:val="single" w:sz="2" w:space="0" w:color="auto"/>
              <w:right w:val="single" w:sz="2" w:space="0" w:color="auto"/>
            </w:tcBorders>
          </w:tcPr>
          <w:p w14:paraId="65EB4360" w14:textId="77777777" w:rsidR="009F4766" w:rsidRPr="00DE12A3" w:rsidRDefault="009F4766" w:rsidP="00C917D6">
            <w:pPr>
              <w:pStyle w:val="NormalLeft"/>
            </w:pPr>
            <w:r w:rsidRPr="00DE12A3">
              <w:t>32</w:t>
            </w:r>
          </w:p>
        </w:tc>
      </w:tr>
      <w:tr w:rsidR="00DE12A3" w:rsidRPr="00DE12A3" w14:paraId="1F7557BD" w14:textId="77777777" w:rsidTr="009F4766">
        <w:tc>
          <w:tcPr>
            <w:tcW w:w="1182" w:type="dxa"/>
            <w:tcBorders>
              <w:top w:val="single" w:sz="2" w:space="0" w:color="auto"/>
              <w:left w:val="single" w:sz="2" w:space="0" w:color="auto"/>
              <w:bottom w:val="single" w:sz="2" w:space="0" w:color="auto"/>
              <w:right w:val="single" w:sz="2" w:space="0" w:color="auto"/>
            </w:tcBorders>
          </w:tcPr>
          <w:p w14:paraId="3348D7F6" w14:textId="77777777" w:rsidR="009F4766" w:rsidRPr="00DE12A3" w:rsidRDefault="009F4766" w:rsidP="00C917D6">
            <w:pPr>
              <w:pStyle w:val="NormalLeft"/>
            </w:pPr>
            <w:r w:rsidRPr="00DE12A3">
              <w:t>114</w:t>
            </w:r>
          </w:p>
        </w:tc>
        <w:tc>
          <w:tcPr>
            <w:tcW w:w="2489" w:type="dxa"/>
            <w:tcBorders>
              <w:top w:val="single" w:sz="2" w:space="0" w:color="auto"/>
              <w:left w:val="single" w:sz="2" w:space="0" w:color="auto"/>
              <w:bottom w:val="single" w:sz="2" w:space="0" w:color="auto"/>
              <w:right w:val="single" w:sz="2" w:space="0" w:color="auto"/>
            </w:tcBorders>
          </w:tcPr>
          <w:p w14:paraId="0C91D369" w14:textId="77777777" w:rsidR="009F4766" w:rsidRPr="00DE12A3" w:rsidRDefault="009F4766" w:rsidP="00C917D6">
            <w:pPr>
              <w:pStyle w:val="NormalLeft"/>
            </w:pPr>
            <w:r w:rsidRPr="00DE12A3">
              <w:t>44</w:t>
            </w:r>
          </w:p>
        </w:tc>
        <w:tc>
          <w:tcPr>
            <w:tcW w:w="2551" w:type="dxa"/>
            <w:tcBorders>
              <w:top w:val="single" w:sz="2" w:space="0" w:color="auto"/>
              <w:left w:val="single" w:sz="2" w:space="0" w:color="auto"/>
              <w:bottom w:val="single" w:sz="2" w:space="0" w:color="auto"/>
              <w:right w:val="single" w:sz="2" w:space="0" w:color="auto"/>
            </w:tcBorders>
          </w:tcPr>
          <w:p w14:paraId="51680ADB" w14:textId="77777777" w:rsidR="009F4766" w:rsidRPr="00DE12A3" w:rsidRDefault="009F4766" w:rsidP="00C917D6">
            <w:pPr>
              <w:pStyle w:val="NormalLeft"/>
            </w:pPr>
            <w:r w:rsidRPr="00DE12A3">
              <w:t>31</w:t>
            </w:r>
          </w:p>
        </w:tc>
      </w:tr>
      <w:tr w:rsidR="00DE12A3" w:rsidRPr="00DE12A3" w14:paraId="03B381C4" w14:textId="77777777" w:rsidTr="009F4766">
        <w:tc>
          <w:tcPr>
            <w:tcW w:w="1182" w:type="dxa"/>
            <w:tcBorders>
              <w:top w:val="single" w:sz="2" w:space="0" w:color="auto"/>
              <w:left w:val="single" w:sz="2" w:space="0" w:color="auto"/>
              <w:bottom w:val="single" w:sz="2" w:space="0" w:color="auto"/>
              <w:right w:val="single" w:sz="2" w:space="0" w:color="auto"/>
            </w:tcBorders>
          </w:tcPr>
          <w:p w14:paraId="73B3C1E0" w14:textId="77777777" w:rsidR="009F4766" w:rsidRPr="00DE12A3" w:rsidRDefault="009F4766" w:rsidP="00C917D6">
            <w:pPr>
              <w:pStyle w:val="NormalLeft"/>
            </w:pPr>
            <w:r w:rsidRPr="00DE12A3">
              <w:t>115</w:t>
            </w:r>
          </w:p>
        </w:tc>
        <w:tc>
          <w:tcPr>
            <w:tcW w:w="2489" w:type="dxa"/>
            <w:tcBorders>
              <w:top w:val="single" w:sz="2" w:space="0" w:color="auto"/>
              <w:left w:val="single" w:sz="2" w:space="0" w:color="auto"/>
              <w:bottom w:val="single" w:sz="2" w:space="0" w:color="auto"/>
              <w:right w:val="single" w:sz="2" w:space="0" w:color="auto"/>
            </w:tcBorders>
          </w:tcPr>
          <w:p w14:paraId="5221B4DF" w14:textId="77777777" w:rsidR="009F4766" w:rsidRPr="00DE12A3" w:rsidRDefault="009F4766" w:rsidP="00C917D6">
            <w:pPr>
              <w:pStyle w:val="NormalLeft"/>
            </w:pPr>
            <w:r w:rsidRPr="00DE12A3">
              <w:t>48</w:t>
            </w:r>
          </w:p>
        </w:tc>
        <w:tc>
          <w:tcPr>
            <w:tcW w:w="2551" w:type="dxa"/>
            <w:tcBorders>
              <w:top w:val="single" w:sz="2" w:space="0" w:color="auto"/>
              <w:left w:val="single" w:sz="2" w:space="0" w:color="auto"/>
              <w:bottom w:val="single" w:sz="2" w:space="0" w:color="auto"/>
              <w:right w:val="single" w:sz="2" w:space="0" w:color="auto"/>
            </w:tcBorders>
          </w:tcPr>
          <w:p w14:paraId="7224AAA5" w14:textId="77777777" w:rsidR="009F4766" w:rsidRPr="00DE12A3" w:rsidRDefault="009F4766" w:rsidP="00C917D6">
            <w:pPr>
              <w:pStyle w:val="NormalLeft"/>
            </w:pPr>
            <w:r w:rsidRPr="00DE12A3">
              <w:t>54</w:t>
            </w:r>
          </w:p>
        </w:tc>
      </w:tr>
      <w:tr w:rsidR="00DE12A3" w:rsidRPr="00DE12A3" w14:paraId="63A744FC" w14:textId="77777777" w:rsidTr="009F4766">
        <w:tc>
          <w:tcPr>
            <w:tcW w:w="1182" w:type="dxa"/>
            <w:tcBorders>
              <w:top w:val="single" w:sz="2" w:space="0" w:color="auto"/>
              <w:left w:val="single" w:sz="2" w:space="0" w:color="auto"/>
              <w:bottom w:val="single" w:sz="2" w:space="0" w:color="auto"/>
              <w:right w:val="single" w:sz="2" w:space="0" w:color="auto"/>
            </w:tcBorders>
          </w:tcPr>
          <w:p w14:paraId="1885FF91" w14:textId="77777777" w:rsidR="009F4766" w:rsidRPr="00DE12A3" w:rsidRDefault="009F4766" w:rsidP="00C917D6">
            <w:pPr>
              <w:pStyle w:val="NormalLeft"/>
            </w:pPr>
            <w:r w:rsidRPr="00DE12A3">
              <w:t>116</w:t>
            </w:r>
          </w:p>
        </w:tc>
        <w:tc>
          <w:tcPr>
            <w:tcW w:w="2489" w:type="dxa"/>
            <w:tcBorders>
              <w:top w:val="single" w:sz="2" w:space="0" w:color="auto"/>
              <w:left w:val="single" w:sz="2" w:space="0" w:color="auto"/>
              <w:bottom w:val="single" w:sz="2" w:space="0" w:color="auto"/>
              <w:right w:val="single" w:sz="2" w:space="0" w:color="auto"/>
            </w:tcBorders>
          </w:tcPr>
          <w:p w14:paraId="67AA1C77" w14:textId="77777777" w:rsidR="009F4766" w:rsidRPr="00DE12A3" w:rsidRDefault="009F4766" w:rsidP="00C917D6">
            <w:pPr>
              <w:pStyle w:val="NormalLeft"/>
            </w:pPr>
            <w:r w:rsidRPr="00DE12A3">
              <w:t>69</w:t>
            </w:r>
          </w:p>
        </w:tc>
        <w:tc>
          <w:tcPr>
            <w:tcW w:w="2551" w:type="dxa"/>
            <w:tcBorders>
              <w:top w:val="single" w:sz="2" w:space="0" w:color="auto"/>
              <w:left w:val="single" w:sz="2" w:space="0" w:color="auto"/>
              <w:bottom w:val="single" w:sz="2" w:space="0" w:color="auto"/>
              <w:right w:val="single" w:sz="2" w:space="0" w:color="auto"/>
            </w:tcBorders>
          </w:tcPr>
          <w:p w14:paraId="0412E351" w14:textId="77777777" w:rsidR="009F4766" w:rsidRPr="00DE12A3" w:rsidRDefault="009F4766" w:rsidP="00C917D6">
            <w:pPr>
              <w:pStyle w:val="NormalLeft"/>
            </w:pPr>
            <w:r w:rsidRPr="00DE12A3">
              <w:t>65</w:t>
            </w:r>
          </w:p>
        </w:tc>
      </w:tr>
      <w:tr w:rsidR="00DE12A3" w:rsidRPr="00DE12A3" w14:paraId="0FDEBC75" w14:textId="77777777" w:rsidTr="009F4766">
        <w:tc>
          <w:tcPr>
            <w:tcW w:w="1182" w:type="dxa"/>
            <w:tcBorders>
              <w:top w:val="single" w:sz="2" w:space="0" w:color="auto"/>
              <w:left w:val="single" w:sz="2" w:space="0" w:color="auto"/>
              <w:bottom w:val="single" w:sz="2" w:space="0" w:color="auto"/>
              <w:right w:val="single" w:sz="2" w:space="0" w:color="auto"/>
            </w:tcBorders>
          </w:tcPr>
          <w:p w14:paraId="230E57FB" w14:textId="77777777" w:rsidR="009F4766" w:rsidRPr="00DE12A3" w:rsidRDefault="009F4766" w:rsidP="00C917D6">
            <w:pPr>
              <w:pStyle w:val="NormalLeft"/>
            </w:pPr>
            <w:r w:rsidRPr="00DE12A3">
              <w:t>117</w:t>
            </w:r>
          </w:p>
        </w:tc>
        <w:tc>
          <w:tcPr>
            <w:tcW w:w="2489" w:type="dxa"/>
            <w:tcBorders>
              <w:top w:val="single" w:sz="2" w:space="0" w:color="auto"/>
              <w:left w:val="single" w:sz="2" w:space="0" w:color="auto"/>
              <w:bottom w:val="single" w:sz="2" w:space="0" w:color="auto"/>
              <w:right w:val="single" w:sz="2" w:space="0" w:color="auto"/>
            </w:tcBorders>
          </w:tcPr>
          <w:p w14:paraId="78520941" w14:textId="77777777" w:rsidR="009F4766" w:rsidRPr="00DE12A3" w:rsidRDefault="009F4766" w:rsidP="00C917D6">
            <w:pPr>
              <w:pStyle w:val="NormalLeft"/>
            </w:pPr>
            <w:r w:rsidRPr="00DE12A3">
              <w:t>85</w:t>
            </w:r>
          </w:p>
        </w:tc>
        <w:tc>
          <w:tcPr>
            <w:tcW w:w="2551" w:type="dxa"/>
            <w:tcBorders>
              <w:top w:val="single" w:sz="2" w:space="0" w:color="auto"/>
              <w:left w:val="single" w:sz="2" w:space="0" w:color="auto"/>
              <w:bottom w:val="single" w:sz="2" w:space="0" w:color="auto"/>
              <w:right w:val="single" w:sz="2" w:space="0" w:color="auto"/>
            </w:tcBorders>
          </w:tcPr>
          <w:p w14:paraId="7E39F0FB" w14:textId="77777777" w:rsidR="009F4766" w:rsidRPr="00DE12A3" w:rsidRDefault="009F4766" w:rsidP="00C917D6">
            <w:pPr>
              <w:pStyle w:val="NormalLeft"/>
            </w:pPr>
            <w:r w:rsidRPr="00DE12A3">
              <w:t>65</w:t>
            </w:r>
          </w:p>
        </w:tc>
      </w:tr>
      <w:tr w:rsidR="00DE12A3" w:rsidRPr="00DE12A3" w14:paraId="090B0056" w14:textId="77777777" w:rsidTr="009F4766">
        <w:tc>
          <w:tcPr>
            <w:tcW w:w="1182" w:type="dxa"/>
            <w:tcBorders>
              <w:top w:val="single" w:sz="2" w:space="0" w:color="auto"/>
              <w:left w:val="single" w:sz="2" w:space="0" w:color="auto"/>
              <w:bottom w:val="single" w:sz="2" w:space="0" w:color="auto"/>
              <w:right w:val="single" w:sz="2" w:space="0" w:color="auto"/>
            </w:tcBorders>
          </w:tcPr>
          <w:p w14:paraId="6EF07DF0" w14:textId="77777777" w:rsidR="009F4766" w:rsidRPr="00DE12A3" w:rsidRDefault="009F4766" w:rsidP="00C917D6">
            <w:pPr>
              <w:pStyle w:val="NormalLeft"/>
            </w:pPr>
            <w:r w:rsidRPr="00DE12A3">
              <w:t>118</w:t>
            </w:r>
          </w:p>
        </w:tc>
        <w:tc>
          <w:tcPr>
            <w:tcW w:w="2489" w:type="dxa"/>
            <w:tcBorders>
              <w:top w:val="single" w:sz="2" w:space="0" w:color="auto"/>
              <w:left w:val="single" w:sz="2" w:space="0" w:color="auto"/>
              <w:bottom w:val="single" w:sz="2" w:space="0" w:color="auto"/>
              <w:right w:val="single" w:sz="2" w:space="0" w:color="auto"/>
            </w:tcBorders>
          </w:tcPr>
          <w:p w14:paraId="1B1C4B30" w14:textId="77777777" w:rsidR="009F4766" w:rsidRPr="00DE12A3" w:rsidRDefault="009F4766" w:rsidP="00C917D6">
            <w:pPr>
              <w:pStyle w:val="NormalLeft"/>
            </w:pPr>
            <w:r w:rsidRPr="00DE12A3">
              <w:t>81</w:t>
            </w:r>
          </w:p>
        </w:tc>
        <w:tc>
          <w:tcPr>
            <w:tcW w:w="2551" w:type="dxa"/>
            <w:tcBorders>
              <w:top w:val="single" w:sz="2" w:space="0" w:color="auto"/>
              <w:left w:val="single" w:sz="2" w:space="0" w:color="auto"/>
              <w:bottom w:val="single" w:sz="2" w:space="0" w:color="auto"/>
              <w:right w:val="single" w:sz="2" w:space="0" w:color="auto"/>
            </w:tcBorders>
          </w:tcPr>
          <w:p w14:paraId="277D329A" w14:textId="77777777" w:rsidR="009F4766" w:rsidRPr="00DE12A3" w:rsidRDefault="009F4766" w:rsidP="00C917D6">
            <w:pPr>
              <w:pStyle w:val="NormalLeft"/>
            </w:pPr>
            <w:r w:rsidRPr="00DE12A3">
              <w:t>29</w:t>
            </w:r>
          </w:p>
        </w:tc>
      </w:tr>
      <w:tr w:rsidR="00DE12A3" w:rsidRPr="00DE12A3" w14:paraId="13ED4661" w14:textId="77777777" w:rsidTr="009F4766">
        <w:tc>
          <w:tcPr>
            <w:tcW w:w="1182" w:type="dxa"/>
            <w:tcBorders>
              <w:top w:val="single" w:sz="2" w:space="0" w:color="auto"/>
              <w:left w:val="single" w:sz="2" w:space="0" w:color="auto"/>
              <w:bottom w:val="single" w:sz="2" w:space="0" w:color="auto"/>
              <w:right w:val="single" w:sz="2" w:space="0" w:color="auto"/>
            </w:tcBorders>
          </w:tcPr>
          <w:p w14:paraId="0618942D" w14:textId="77777777" w:rsidR="009F4766" w:rsidRPr="00DE12A3" w:rsidRDefault="009F4766" w:rsidP="00C917D6">
            <w:pPr>
              <w:pStyle w:val="NormalLeft"/>
            </w:pPr>
            <w:r w:rsidRPr="00DE12A3">
              <w:t>119</w:t>
            </w:r>
          </w:p>
        </w:tc>
        <w:tc>
          <w:tcPr>
            <w:tcW w:w="2489" w:type="dxa"/>
            <w:tcBorders>
              <w:top w:val="single" w:sz="2" w:space="0" w:color="auto"/>
              <w:left w:val="single" w:sz="2" w:space="0" w:color="auto"/>
              <w:bottom w:val="single" w:sz="2" w:space="0" w:color="auto"/>
              <w:right w:val="single" w:sz="2" w:space="0" w:color="auto"/>
            </w:tcBorders>
          </w:tcPr>
          <w:p w14:paraId="77F926E9" w14:textId="77777777" w:rsidR="009F4766" w:rsidRPr="00DE12A3" w:rsidRDefault="009F4766" w:rsidP="00C917D6">
            <w:pPr>
              <w:pStyle w:val="NormalLeft"/>
            </w:pPr>
            <w:r w:rsidRPr="00DE12A3">
              <w:t>74</w:t>
            </w:r>
          </w:p>
        </w:tc>
        <w:tc>
          <w:tcPr>
            <w:tcW w:w="2551" w:type="dxa"/>
            <w:tcBorders>
              <w:top w:val="single" w:sz="2" w:space="0" w:color="auto"/>
              <w:left w:val="single" w:sz="2" w:space="0" w:color="auto"/>
              <w:bottom w:val="single" w:sz="2" w:space="0" w:color="auto"/>
              <w:right w:val="single" w:sz="2" w:space="0" w:color="auto"/>
            </w:tcBorders>
          </w:tcPr>
          <w:p w14:paraId="2C56AB10" w14:textId="77777777" w:rsidR="009F4766" w:rsidRPr="00DE12A3" w:rsidRDefault="009F4766" w:rsidP="00C917D6">
            <w:pPr>
              <w:pStyle w:val="NormalLeft"/>
            </w:pPr>
            <w:r w:rsidRPr="00DE12A3">
              <w:t>21</w:t>
            </w:r>
          </w:p>
        </w:tc>
      </w:tr>
      <w:tr w:rsidR="00DE12A3" w:rsidRPr="00DE12A3" w14:paraId="5303327B" w14:textId="77777777" w:rsidTr="009F4766">
        <w:tc>
          <w:tcPr>
            <w:tcW w:w="1182" w:type="dxa"/>
            <w:tcBorders>
              <w:top w:val="single" w:sz="2" w:space="0" w:color="auto"/>
              <w:left w:val="single" w:sz="2" w:space="0" w:color="auto"/>
              <w:bottom w:val="single" w:sz="2" w:space="0" w:color="auto"/>
              <w:right w:val="single" w:sz="2" w:space="0" w:color="auto"/>
            </w:tcBorders>
          </w:tcPr>
          <w:p w14:paraId="10B1A83F" w14:textId="77777777" w:rsidR="009F4766" w:rsidRPr="00DE12A3" w:rsidRDefault="009F4766" w:rsidP="00C917D6">
            <w:pPr>
              <w:pStyle w:val="NormalLeft"/>
            </w:pPr>
            <w:r w:rsidRPr="00DE12A3">
              <w:t>120</w:t>
            </w:r>
          </w:p>
        </w:tc>
        <w:tc>
          <w:tcPr>
            <w:tcW w:w="2489" w:type="dxa"/>
            <w:tcBorders>
              <w:top w:val="single" w:sz="2" w:space="0" w:color="auto"/>
              <w:left w:val="single" w:sz="2" w:space="0" w:color="auto"/>
              <w:bottom w:val="single" w:sz="2" w:space="0" w:color="auto"/>
              <w:right w:val="single" w:sz="2" w:space="0" w:color="auto"/>
            </w:tcBorders>
          </w:tcPr>
          <w:p w14:paraId="0A90246C" w14:textId="77777777" w:rsidR="009F4766" w:rsidRPr="00DE12A3" w:rsidRDefault="009F4766" w:rsidP="00C917D6">
            <w:pPr>
              <w:pStyle w:val="NormalLeft"/>
            </w:pPr>
            <w:r w:rsidRPr="00DE12A3">
              <w:t>62</w:t>
            </w:r>
          </w:p>
        </w:tc>
        <w:tc>
          <w:tcPr>
            <w:tcW w:w="2551" w:type="dxa"/>
            <w:tcBorders>
              <w:top w:val="single" w:sz="2" w:space="0" w:color="auto"/>
              <w:left w:val="single" w:sz="2" w:space="0" w:color="auto"/>
              <w:bottom w:val="single" w:sz="2" w:space="0" w:color="auto"/>
              <w:right w:val="single" w:sz="2" w:space="0" w:color="auto"/>
            </w:tcBorders>
          </w:tcPr>
          <w:p w14:paraId="56D20B2A" w14:textId="77777777" w:rsidR="009F4766" w:rsidRPr="00DE12A3" w:rsidRDefault="009F4766" w:rsidP="00C917D6">
            <w:pPr>
              <w:pStyle w:val="NormalLeft"/>
            </w:pPr>
            <w:r w:rsidRPr="00DE12A3">
              <w:t>23</w:t>
            </w:r>
          </w:p>
        </w:tc>
      </w:tr>
      <w:tr w:rsidR="00DE12A3" w:rsidRPr="00DE12A3" w14:paraId="09AC5CF5" w14:textId="77777777" w:rsidTr="009F4766">
        <w:tc>
          <w:tcPr>
            <w:tcW w:w="1182" w:type="dxa"/>
            <w:tcBorders>
              <w:top w:val="single" w:sz="2" w:space="0" w:color="auto"/>
              <w:left w:val="single" w:sz="2" w:space="0" w:color="auto"/>
              <w:bottom w:val="single" w:sz="2" w:space="0" w:color="auto"/>
              <w:right w:val="single" w:sz="2" w:space="0" w:color="auto"/>
            </w:tcBorders>
          </w:tcPr>
          <w:p w14:paraId="3CB48BED" w14:textId="77777777" w:rsidR="009F4766" w:rsidRPr="00DE12A3" w:rsidRDefault="009F4766" w:rsidP="00C917D6">
            <w:pPr>
              <w:pStyle w:val="NormalLeft"/>
            </w:pPr>
            <w:r w:rsidRPr="00DE12A3">
              <w:t>121</w:t>
            </w:r>
          </w:p>
        </w:tc>
        <w:tc>
          <w:tcPr>
            <w:tcW w:w="2489" w:type="dxa"/>
            <w:tcBorders>
              <w:top w:val="single" w:sz="2" w:space="0" w:color="auto"/>
              <w:left w:val="single" w:sz="2" w:space="0" w:color="auto"/>
              <w:bottom w:val="single" w:sz="2" w:space="0" w:color="auto"/>
              <w:right w:val="single" w:sz="2" w:space="0" w:color="auto"/>
            </w:tcBorders>
          </w:tcPr>
          <w:p w14:paraId="7568C482" w14:textId="77777777" w:rsidR="009F4766" w:rsidRPr="00DE12A3" w:rsidRDefault="009F4766" w:rsidP="00C917D6">
            <w:pPr>
              <w:pStyle w:val="NormalLeft"/>
            </w:pPr>
            <w:r w:rsidRPr="00DE12A3">
              <w:t>76</w:t>
            </w:r>
          </w:p>
        </w:tc>
        <w:tc>
          <w:tcPr>
            <w:tcW w:w="2551" w:type="dxa"/>
            <w:tcBorders>
              <w:top w:val="single" w:sz="2" w:space="0" w:color="auto"/>
              <w:left w:val="single" w:sz="2" w:space="0" w:color="auto"/>
              <w:bottom w:val="single" w:sz="2" w:space="0" w:color="auto"/>
              <w:right w:val="single" w:sz="2" w:space="0" w:color="auto"/>
            </w:tcBorders>
          </w:tcPr>
          <w:p w14:paraId="4F479F05" w14:textId="77777777" w:rsidR="009F4766" w:rsidRPr="00DE12A3" w:rsidRDefault="009F4766" w:rsidP="00C917D6">
            <w:pPr>
              <w:pStyle w:val="NormalLeft"/>
            </w:pPr>
            <w:r w:rsidRPr="00DE12A3">
              <w:t>58</w:t>
            </w:r>
          </w:p>
        </w:tc>
      </w:tr>
      <w:tr w:rsidR="00DE12A3" w:rsidRPr="00DE12A3" w14:paraId="22D6E955" w14:textId="77777777" w:rsidTr="009F4766">
        <w:tc>
          <w:tcPr>
            <w:tcW w:w="1182" w:type="dxa"/>
            <w:tcBorders>
              <w:top w:val="single" w:sz="2" w:space="0" w:color="auto"/>
              <w:left w:val="single" w:sz="2" w:space="0" w:color="auto"/>
              <w:bottom w:val="single" w:sz="2" w:space="0" w:color="auto"/>
              <w:right w:val="single" w:sz="2" w:space="0" w:color="auto"/>
            </w:tcBorders>
          </w:tcPr>
          <w:p w14:paraId="3476EA30" w14:textId="77777777" w:rsidR="009F4766" w:rsidRPr="00DE12A3" w:rsidRDefault="009F4766" w:rsidP="00C917D6">
            <w:pPr>
              <w:pStyle w:val="NormalLeft"/>
            </w:pPr>
            <w:r w:rsidRPr="00DE12A3">
              <w:t>122</w:t>
            </w:r>
          </w:p>
        </w:tc>
        <w:tc>
          <w:tcPr>
            <w:tcW w:w="2489" w:type="dxa"/>
            <w:tcBorders>
              <w:top w:val="single" w:sz="2" w:space="0" w:color="auto"/>
              <w:left w:val="single" w:sz="2" w:space="0" w:color="auto"/>
              <w:bottom w:val="single" w:sz="2" w:space="0" w:color="auto"/>
              <w:right w:val="single" w:sz="2" w:space="0" w:color="auto"/>
            </w:tcBorders>
          </w:tcPr>
          <w:p w14:paraId="5102FC58" w14:textId="77777777" w:rsidR="009F4766" w:rsidRPr="00DE12A3" w:rsidRDefault="009F4766" w:rsidP="00C917D6">
            <w:pPr>
              <w:pStyle w:val="NormalLeft"/>
            </w:pPr>
            <w:r w:rsidRPr="00DE12A3">
              <w:t>96</w:t>
            </w:r>
          </w:p>
        </w:tc>
        <w:tc>
          <w:tcPr>
            <w:tcW w:w="2551" w:type="dxa"/>
            <w:tcBorders>
              <w:top w:val="single" w:sz="2" w:space="0" w:color="auto"/>
              <w:left w:val="single" w:sz="2" w:space="0" w:color="auto"/>
              <w:bottom w:val="single" w:sz="2" w:space="0" w:color="auto"/>
              <w:right w:val="single" w:sz="2" w:space="0" w:color="auto"/>
            </w:tcBorders>
          </w:tcPr>
          <w:p w14:paraId="7A978BB0" w14:textId="77777777" w:rsidR="009F4766" w:rsidRPr="00DE12A3" w:rsidRDefault="009F4766" w:rsidP="00C917D6">
            <w:pPr>
              <w:pStyle w:val="NormalLeft"/>
            </w:pPr>
            <w:r w:rsidRPr="00DE12A3">
              <w:t>75</w:t>
            </w:r>
          </w:p>
        </w:tc>
      </w:tr>
      <w:tr w:rsidR="00DE12A3" w:rsidRPr="00DE12A3" w14:paraId="64C6B179" w14:textId="77777777" w:rsidTr="009F4766">
        <w:tc>
          <w:tcPr>
            <w:tcW w:w="1182" w:type="dxa"/>
            <w:tcBorders>
              <w:top w:val="single" w:sz="2" w:space="0" w:color="auto"/>
              <w:left w:val="single" w:sz="2" w:space="0" w:color="auto"/>
              <w:bottom w:val="single" w:sz="2" w:space="0" w:color="auto"/>
              <w:right w:val="single" w:sz="2" w:space="0" w:color="auto"/>
            </w:tcBorders>
          </w:tcPr>
          <w:p w14:paraId="29C2283D" w14:textId="77777777" w:rsidR="009F4766" w:rsidRPr="00DE12A3" w:rsidRDefault="009F4766" w:rsidP="00C917D6">
            <w:pPr>
              <w:pStyle w:val="NormalLeft"/>
            </w:pPr>
            <w:r w:rsidRPr="00DE12A3">
              <w:lastRenderedPageBreak/>
              <w:t>123</w:t>
            </w:r>
          </w:p>
        </w:tc>
        <w:tc>
          <w:tcPr>
            <w:tcW w:w="2489" w:type="dxa"/>
            <w:tcBorders>
              <w:top w:val="single" w:sz="2" w:space="0" w:color="auto"/>
              <w:left w:val="single" w:sz="2" w:space="0" w:color="auto"/>
              <w:bottom w:val="single" w:sz="2" w:space="0" w:color="auto"/>
              <w:right w:val="single" w:sz="2" w:space="0" w:color="auto"/>
            </w:tcBorders>
          </w:tcPr>
          <w:p w14:paraId="188E7525" w14:textId="77777777" w:rsidR="009F4766" w:rsidRPr="00DE12A3" w:rsidRDefault="009F4766" w:rsidP="00C917D6">
            <w:pPr>
              <w:pStyle w:val="NormalLeft"/>
            </w:pPr>
            <w:r w:rsidRPr="00DE12A3">
              <w:t>100</w:t>
            </w:r>
          </w:p>
        </w:tc>
        <w:tc>
          <w:tcPr>
            <w:tcW w:w="2551" w:type="dxa"/>
            <w:tcBorders>
              <w:top w:val="single" w:sz="2" w:space="0" w:color="auto"/>
              <w:left w:val="single" w:sz="2" w:space="0" w:color="auto"/>
              <w:bottom w:val="single" w:sz="2" w:space="0" w:color="auto"/>
              <w:right w:val="single" w:sz="2" w:space="0" w:color="auto"/>
            </w:tcBorders>
          </w:tcPr>
          <w:p w14:paraId="2C30BCC6" w14:textId="77777777" w:rsidR="009F4766" w:rsidRPr="00DE12A3" w:rsidRDefault="009F4766" w:rsidP="00C917D6">
            <w:pPr>
              <w:pStyle w:val="NormalLeft"/>
            </w:pPr>
            <w:r w:rsidRPr="00DE12A3">
              <w:t>77</w:t>
            </w:r>
          </w:p>
        </w:tc>
      </w:tr>
      <w:tr w:rsidR="00DE12A3" w:rsidRPr="00DE12A3" w14:paraId="4F613B91" w14:textId="77777777" w:rsidTr="009F4766">
        <w:tc>
          <w:tcPr>
            <w:tcW w:w="1182" w:type="dxa"/>
            <w:tcBorders>
              <w:top w:val="single" w:sz="2" w:space="0" w:color="auto"/>
              <w:left w:val="single" w:sz="2" w:space="0" w:color="auto"/>
              <w:bottom w:val="single" w:sz="2" w:space="0" w:color="auto"/>
              <w:right w:val="single" w:sz="2" w:space="0" w:color="auto"/>
            </w:tcBorders>
          </w:tcPr>
          <w:p w14:paraId="35935BFB" w14:textId="77777777" w:rsidR="009F4766" w:rsidRPr="00DE12A3" w:rsidRDefault="009F4766" w:rsidP="00C917D6">
            <w:pPr>
              <w:pStyle w:val="NormalLeft"/>
            </w:pPr>
            <w:r w:rsidRPr="00DE12A3">
              <w:t>124</w:t>
            </w:r>
          </w:p>
        </w:tc>
        <w:tc>
          <w:tcPr>
            <w:tcW w:w="2489" w:type="dxa"/>
            <w:tcBorders>
              <w:top w:val="single" w:sz="2" w:space="0" w:color="auto"/>
              <w:left w:val="single" w:sz="2" w:space="0" w:color="auto"/>
              <w:bottom w:val="single" w:sz="2" w:space="0" w:color="auto"/>
              <w:right w:val="single" w:sz="2" w:space="0" w:color="auto"/>
            </w:tcBorders>
          </w:tcPr>
          <w:p w14:paraId="713C6AAC" w14:textId="77777777" w:rsidR="009F4766" w:rsidRPr="00DE12A3" w:rsidRDefault="009F4766" w:rsidP="00C917D6">
            <w:pPr>
              <w:pStyle w:val="NormalLeft"/>
            </w:pPr>
            <w:r w:rsidRPr="00DE12A3">
              <w:t>100</w:t>
            </w:r>
          </w:p>
        </w:tc>
        <w:tc>
          <w:tcPr>
            <w:tcW w:w="2551" w:type="dxa"/>
            <w:tcBorders>
              <w:top w:val="single" w:sz="2" w:space="0" w:color="auto"/>
              <w:left w:val="single" w:sz="2" w:space="0" w:color="auto"/>
              <w:bottom w:val="single" w:sz="2" w:space="0" w:color="auto"/>
              <w:right w:val="single" w:sz="2" w:space="0" w:color="auto"/>
            </w:tcBorders>
          </w:tcPr>
          <w:p w14:paraId="35D5350E" w14:textId="77777777" w:rsidR="009F4766" w:rsidRPr="00DE12A3" w:rsidRDefault="009F4766" w:rsidP="00C917D6">
            <w:pPr>
              <w:pStyle w:val="NormalLeft"/>
            </w:pPr>
            <w:r w:rsidRPr="00DE12A3">
              <w:t>27</w:t>
            </w:r>
          </w:p>
        </w:tc>
      </w:tr>
      <w:tr w:rsidR="00DE12A3" w:rsidRPr="00DE12A3" w14:paraId="5AC9DDD3" w14:textId="77777777" w:rsidTr="009F4766">
        <w:tc>
          <w:tcPr>
            <w:tcW w:w="1182" w:type="dxa"/>
            <w:tcBorders>
              <w:top w:val="single" w:sz="2" w:space="0" w:color="auto"/>
              <w:left w:val="single" w:sz="2" w:space="0" w:color="auto"/>
              <w:bottom w:val="single" w:sz="2" w:space="0" w:color="auto"/>
              <w:right w:val="single" w:sz="2" w:space="0" w:color="auto"/>
            </w:tcBorders>
          </w:tcPr>
          <w:p w14:paraId="60370F94" w14:textId="77777777" w:rsidR="009F4766" w:rsidRPr="00DE12A3" w:rsidRDefault="009F4766" w:rsidP="00C917D6">
            <w:pPr>
              <w:pStyle w:val="NormalLeft"/>
            </w:pPr>
            <w:r w:rsidRPr="00DE12A3">
              <w:t>125</w:t>
            </w:r>
          </w:p>
        </w:tc>
        <w:tc>
          <w:tcPr>
            <w:tcW w:w="2489" w:type="dxa"/>
            <w:tcBorders>
              <w:top w:val="single" w:sz="2" w:space="0" w:color="auto"/>
              <w:left w:val="single" w:sz="2" w:space="0" w:color="auto"/>
              <w:bottom w:val="single" w:sz="2" w:space="0" w:color="auto"/>
              <w:right w:val="single" w:sz="2" w:space="0" w:color="auto"/>
            </w:tcBorders>
          </w:tcPr>
          <w:p w14:paraId="3B5D7BCE" w14:textId="77777777" w:rsidR="009F4766" w:rsidRPr="00DE12A3" w:rsidRDefault="009F4766" w:rsidP="00C917D6">
            <w:pPr>
              <w:pStyle w:val="NormalLeft"/>
            </w:pPr>
            <w:r w:rsidRPr="00DE12A3">
              <w:t>100</w:t>
            </w:r>
          </w:p>
        </w:tc>
        <w:tc>
          <w:tcPr>
            <w:tcW w:w="2551" w:type="dxa"/>
            <w:tcBorders>
              <w:top w:val="single" w:sz="2" w:space="0" w:color="auto"/>
              <w:left w:val="single" w:sz="2" w:space="0" w:color="auto"/>
              <w:bottom w:val="single" w:sz="2" w:space="0" w:color="auto"/>
              <w:right w:val="single" w:sz="2" w:space="0" w:color="auto"/>
            </w:tcBorders>
          </w:tcPr>
          <w:p w14:paraId="0C635BEA" w14:textId="77777777" w:rsidR="009F4766" w:rsidRPr="00DE12A3" w:rsidRDefault="009F4766" w:rsidP="00C917D6">
            <w:pPr>
              <w:pStyle w:val="NormalLeft"/>
            </w:pPr>
            <w:r w:rsidRPr="00DE12A3">
              <w:t>79</w:t>
            </w:r>
          </w:p>
        </w:tc>
      </w:tr>
      <w:tr w:rsidR="00DE12A3" w:rsidRPr="00DE12A3" w14:paraId="5364F3DA" w14:textId="77777777" w:rsidTr="009F4766">
        <w:tc>
          <w:tcPr>
            <w:tcW w:w="1182" w:type="dxa"/>
            <w:tcBorders>
              <w:top w:val="single" w:sz="2" w:space="0" w:color="auto"/>
              <w:left w:val="single" w:sz="2" w:space="0" w:color="auto"/>
              <w:bottom w:val="single" w:sz="2" w:space="0" w:color="auto"/>
              <w:right w:val="single" w:sz="2" w:space="0" w:color="auto"/>
            </w:tcBorders>
          </w:tcPr>
          <w:p w14:paraId="0D4FBBE0" w14:textId="77777777" w:rsidR="009F4766" w:rsidRPr="00DE12A3" w:rsidRDefault="009F4766" w:rsidP="00C917D6">
            <w:pPr>
              <w:pStyle w:val="NormalLeft"/>
            </w:pPr>
            <w:r w:rsidRPr="00DE12A3">
              <w:t>126</w:t>
            </w:r>
          </w:p>
        </w:tc>
        <w:tc>
          <w:tcPr>
            <w:tcW w:w="2489" w:type="dxa"/>
            <w:tcBorders>
              <w:top w:val="single" w:sz="2" w:space="0" w:color="auto"/>
              <w:left w:val="single" w:sz="2" w:space="0" w:color="auto"/>
              <w:bottom w:val="single" w:sz="2" w:space="0" w:color="auto"/>
              <w:right w:val="single" w:sz="2" w:space="0" w:color="auto"/>
            </w:tcBorders>
          </w:tcPr>
          <w:p w14:paraId="46E73A25" w14:textId="77777777" w:rsidR="009F4766" w:rsidRPr="00DE12A3" w:rsidRDefault="009F4766" w:rsidP="00C917D6">
            <w:pPr>
              <w:pStyle w:val="NormalLeft"/>
            </w:pPr>
            <w:r w:rsidRPr="00DE12A3">
              <w:t>100</w:t>
            </w:r>
          </w:p>
        </w:tc>
        <w:tc>
          <w:tcPr>
            <w:tcW w:w="2551" w:type="dxa"/>
            <w:tcBorders>
              <w:top w:val="single" w:sz="2" w:space="0" w:color="auto"/>
              <w:left w:val="single" w:sz="2" w:space="0" w:color="auto"/>
              <w:bottom w:val="single" w:sz="2" w:space="0" w:color="auto"/>
              <w:right w:val="single" w:sz="2" w:space="0" w:color="auto"/>
            </w:tcBorders>
          </w:tcPr>
          <w:p w14:paraId="2FAE7901" w14:textId="77777777" w:rsidR="009F4766" w:rsidRPr="00DE12A3" w:rsidRDefault="009F4766" w:rsidP="00C917D6">
            <w:pPr>
              <w:pStyle w:val="NormalLeft"/>
            </w:pPr>
            <w:r w:rsidRPr="00DE12A3">
              <w:t>79</w:t>
            </w:r>
          </w:p>
        </w:tc>
      </w:tr>
      <w:tr w:rsidR="00DE12A3" w:rsidRPr="00DE12A3" w14:paraId="7D994581" w14:textId="77777777" w:rsidTr="009F4766">
        <w:tc>
          <w:tcPr>
            <w:tcW w:w="1182" w:type="dxa"/>
            <w:tcBorders>
              <w:top w:val="single" w:sz="2" w:space="0" w:color="auto"/>
              <w:left w:val="single" w:sz="2" w:space="0" w:color="auto"/>
              <w:bottom w:val="single" w:sz="2" w:space="0" w:color="auto"/>
              <w:right w:val="single" w:sz="2" w:space="0" w:color="auto"/>
            </w:tcBorders>
          </w:tcPr>
          <w:p w14:paraId="62EBDFE3" w14:textId="77777777" w:rsidR="009F4766" w:rsidRPr="00DE12A3" w:rsidRDefault="009F4766" w:rsidP="00C917D6">
            <w:pPr>
              <w:pStyle w:val="NormalLeft"/>
            </w:pPr>
            <w:r w:rsidRPr="00DE12A3">
              <w:t>127</w:t>
            </w:r>
          </w:p>
        </w:tc>
        <w:tc>
          <w:tcPr>
            <w:tcW w:w="2489" w:type="dxa"/>
            <w:tcBorders>
              <w:top w:val="single" w:sz="2" w:space="0" w:color="auto"/>
              <w:left w:val="single" w:sz="2" w:space="0" w:color="auto"/>
              <w:bottom w:val="single" w:sz="2" w:space="0" w:color="auto"/>
              <w:right w:val="single" w:sz="2" w:space="0" w:color="auto"/>
            </w:tcBorders>
          </w:tcPr>
          <w:p w14:paraId="0DF904AC" w14:textId="77777777" w:rsidR="009F4766" w:rsidRPr="00DE12A3" w:rsidRDefault="009F4766" w:rsidP="00C917D6">
            <w:pPr>
              <w:pStyle w:val="NormalLeft"/>
            </w:pPr>
            <w:r w:rsidRPr="00DE12A3">
              <w:t>100</w:t>
            </w:r>
          </w:p>
        </w:tc>
        <w:tc>
          <w:tcPr>
            <w:tcW w:w="2551" w:type="dxa"/>
            <w:tcBorders>
              <w:top w:val="single" w:sz="2" w:space="0" w:color="auto"/>
              <w:left w:val="single" w:sz="2" w:space="0" w:color="auto"/>
              <w:bottom w:val="single" w:sz="2" w:space="0" w:color="auto"/>
              <w:right w:val="single" w:sz="2" w:space="0" w:color="auto"/>
            </w:tcBorders>
          </w:tcPr>
          <w:p w14:paraId="253501F8" w14:textId="77777777" w:rsidR="009F4766" w:rsidRPr="00DE12A3" w:rsidRDefault="009F4766" w:rsidP="00C917D6">
            <w:pPr>
              <w:pStyle w:val="NormalLeft"/>
            </w:pPr>
            <w:r w:rsidRPr="00DE12A3">
              <w:t>81</w:t>
            </w:r>
          </w:p>
        </w:tc>
      </w:tr>
      <w:tr w:rsidR="00DE12A3" w:rsidRPr="00DE12A3" w14:paraId="63FB91A3" w14:textId="77777777" w:rsidTr="009F4766">
        <w:tc>
          <w:tcPr>
            <w:tcW w:w="1182" w:type="dxa"/>
            <w:tcBorders>
              <w:top w:val="single" w:sz="2" w:space="0" w:color="auto"/>
              <w:left w:val="single" w:sz="2" w:space="0" w:color="auto"/>
              <w:bottom w:val="single" w:sz="2" w:space="0" w:color="auto"/>
              <w:right w:val="single" w:sz="2" w:space="0" w:color="auto"/>
            </w:tcBorders>
          </w:tcPr>
          <w:p w14:paraId="7C0C71D3" w14:textId="77777777" w:rsidR="009F4766" w:rsidRPr="00DE12A3" w:rsidRDefault="009F4766" w:rsidP="00C917D6">
            <w:pPr>
              <w:pStyle w:val="NormalLeft"/>
            </w:pPr>
            <w:r w:rsidRPr="00DE12A3">
              <w:t>128</w:t>
            </w:r>
          </w:p>
        </w:tc>
        <w:tc>
          <w:tcPr>
            <w:tcW w:w="2489" w:type="dxa"/>
            <w:tcBorders>
              <w:top w:val="single" w:sz="2" w:space="0" w:color="auto"/>
              <w:left w:val="single" w:sz="2" w:space="0" w:color="auto"/>
              <w:bottom w:val="single" w:sz="2" w:space="0" w:color="auto"/>
              <w:right w:val="single" w:sz="2" w:space="0" w:color="auto"/>
            </w:tcBorders>
          </w:tcPr>
          <w:p w14:paraId="0477B78C" w14:textId="77777777" w:rsidR="009F4766" w:rsidRPr="00DE12A3" w:rsidRDefault="009F4766" w:rsidP="00C917D6">
            <w:pPr>
              <w:pStyle w:val="NormalLeft"/>
            </w:pPr>
            <w:r w:rsidRPr="00DE12A3">
              <w:t>100</w:t>
            </w:r>
          </w:p>
        </w:tc>
        <w:tc>
          <w:tcPr>
            <w:tcW w:w="2551" w:type="dxa"/>
            <w:tcBorders>
              <w:top w:val="single" w:sz="2" w:space="0" w:color="auto"/>
              <w:left w:val="single" w:sz="2" w:space="0" w:color="auto"/>
              <w:bottom w:val="single" w:sz="2" w:space="0" w:color="auto"/>
              <w:right w:val="single" w:sz="2" w:space="0" w:color="auto"/>
            </w:tcBorders>
          </w:tcPr>
          <w:p w14:paraId="7FC92E21" w14:textId="77777777" w:rsidR="009F4766" w:rsidRPr="00DE12A3" w:rsidRDefault="009F4766" w:rsidP="00C917D6">
            <w:pPr>
              <w:pStyle w:val="NormalLeft"/>
            </w:pPr>
            <w:r w:rsidRPr="00DE12A3">
              <w:t>57</w:t>
            </w:r>
          </w:p>
        </w:tc>
      </w:tr>
      <w:tr w:rsidR="00DE12A3" w:rsidRPr="00DE12A3" w14:paraId="738FBC09" w14:textId="77777777" w:rsidTr="009F4766">
        <w:tc>
          <w:tcPr>
            <w:tcW w:w="1182" w:type="dxa"/>
            <w:tcBorders>
              <w:top w:val="single" w:sz="2" w:space="0" w:color="auto"/>
              <w:left w:val="single" w:sz="2" w:space="0" w:color="auto"/>
              <w:bottom w:val="single" w:sz="2" w:space="0" w:color="auto"/>
              <w:right w:val="single" w:sz="2" w:space="0" w:color="auto"/>
            </w:tcBorders>
          </w:tcPr>
          <w:p w14:paraId="450EF88D" w14:textId="77777777" w:rsidR="009F4766" w:rsidRPr="00DE12A3" w:rsidRDefault="009F4766" w:rsidP="00C917D6">
            <w:pPr>
              <w:pStyle w:val="NormalLeft"/>
            </w:pPr>
            <w:r w:rsidRPr="00DE12A3">
              <w:t>129</w:t>
            </w:r>
          </w:p>
        </w:tc>
        <w:tc>
          <w:tcPr>
            <w:tcW w:w="2489" w:type="dxa"/>
            <w:tcBorders>
              <w:top w:val="single" w:sz="2" w:space="0" w:color="auto"/>
              <w:left w:val="single" w:sz="2" w:space="0" w:color="auto"/>
              <w:bottom w:val="single" w:sz="2" w:space="0" w:color="auto"/>
              <w:right w:val="single" w:sz="2" w:space="0" w:color="auto"/>
            </w:tcBorders>
          </w:tcPr>
          <w:p w14:paraId="6A6206FF" w14:textId="77777777" w:rsidR="009F4766" w:rsidRPr="00DE12A3" w:rsidRDefault="009F4766" w:rsidP="00C917D6">
            <w:pPr>
              <w:pStyle w:val="NormalLeft"/>
            </w:pPr>
            <w:r w:rsidRPr="00DE12A3">
              <w:t>99</w:t>
            </w:r>
          </w:p>
        </w:tc>
        <w:tc>
          <w:tcPr>
            <w:tcW w:w="2551" w:type="dxa"/>
            <w:tcBorders>
              <w:top w:val="single" w:sz="2" w:space="0" w:color="auto"/>
              <w:left w:val="single" w:sz="2" w:space="0" w:color="auto"/>
              <w:bottom w:val="single" w:sz="2" w:space="0" w:color="auto"/>
              <w:right w:val="single" w:sz="2" w:space="0" w:color="auto"/>
            </w:tcBorders>
          </w:tcPr>
          <w:p w14:paraId="4DB3534E" w14:textId="77777777" w:rsidR="009F4766" w:rsidRPr="00DE12A3" w:rsidRDefault="009F4766" w:rsidP="00C917D6">
            <w:pPr>
              <w:pStyle w:val="NormalLeft"/>
            </w:pPr>
            <w:r w:rsidRPr="00DE12A3">
              <w:t>52</w:t>
            </w:r>
          </w:p>
        </w:tc>
      </w:tr>
      <w:tr w:rsidR="00DE12A3" w:rsidRPr="00DE12A3" w14:paraId="6C7055B3" w14:textId="77777777" w:rsidTr="009F4766">
        <w:tc>
          <w:tcPr>
            <w:tcW w:w="1182" w:type="dxa"/>
            <w:tcBorders>
              <w:top w:val="single" w:sz="2" w:space="0" w:color="auto"/>
              <w:left w:val="single" w:sz="2" w:space="0" w:color="auto"/>
              <w:bottom w:val="single" w:sz="2" w:space="0" w:color="auto"/>
              <w:right w:val="single" w:sz="2" w:space="0" w:color="auto"/>
            </w:tcBorders>
          </w:tcPr>
          <w:p w14:paraId="6C2DAA44" w14:textId="77777777" w:rsidR="009F4766" w:rsidRPr="00DE12A3" w:rsidRDefault="009F4766" w:rsidP="00C917D6">
            <w:pPr>
              <w:pStyle w:val="NormalLeft"/>
            </w:pPr>
            <w:r w:rsidRPr="00DE12A3">
              <w:t>130</w:t>
            </w:r>
          </w:p>
        </w:tc>
        <w:tc>
          <w:tcPr>
            <w:tcW w:w="2489" w:type="dxa"/>
            <w:tcBorders>
              <w:top w:val="single" w:sz="2" w:space="0" w:color="auto"/>
              <w:left w:val="single" w:sz="2" w:space="0" w:color="auto"/>
              <w:bottom w:val="single" w:sz="2" w:space="0" w:color="auto"/>
              <w:right w:val="single" w:sz="2" w:space="0" w:color="auto"/>
            </w:tcBorders>
          </w:tcPr>
          <w:p w14:paraId="2EE9DC6E" w14:textId="77777777" w:rsidR="009F4766" w:rsidRPr="00DE12A3" w:rsidRDefault="009F4766" w:rsidP="00C917D6">
            <w:pPr>
              <w:pStyle w:val="NormalLeft"/>
            </w:pPr>
            <w:r w:rsidRPr="00DE12A3">
              <w:t>81</w:t>
            </w:r>
          </w:p>
        </w:tc>
        <w:tc>
          <w:tcPr>
            <w:tcW w:w="2551" w:type="dxa"/>
            <w:tcBorders>
              <w:top w:val="single" w:sz="2" w:space="0" w:color="auto"/>
              <w:left w:val="single" w:sz="2" w:space="0" w:color="auto"/>
              <w:bottom w:val="single" w:sz="2" w:space="0" w:color="auto"/>
              <w:right w:val="single" w:sz="2" w:space="0" w:color="auto"/>
            </w:tcBorders>
          </w:tcPr>
          <w:p w14:paraId="5CBA26D3" w14:textId="77777777" w:rsidR="009F4766" w:rsidRPr="00DE12A3" w:rsidRDefault="009F4766" w:rsidP="00C917D6">
            <w:pPr>
              <w:pStyle w:val="NormalLeft"/>
            </w:pPr>
            <w:r w:rsidRPr="00DE12A3">
              <w:t>35</w:t>
            </w:r>
          </w:p>
        </w:tc>
      </w:tr>
      <w:tr w:rsidR="00DE12A3" w:rsidRPr="00DE12A3" w14:paraId="62EBBF5C" w14:textId="77777777" w:rsidTr="009F4766">
        <w:tc>
          <w:tcPr>
            <w:tcW w:w="1182" w:type="dxa"/>
            <w:tcBorders>
              <w:top w:val="single" w:sz="2" w:space="0" w:color="auto"/>
              <w:left w:val="single" w:sz="2" w:space="0" w:color="auto"/>
              <w:bottom w:val="single" w:sz="2" w:space="0" w:color="auto"/>
              <w:right w:val="single" w:sz="2" w:space="0" w:color="auto"/>
            </w:tcBorders>
          </w:tcPr>
          <w:p w14:paraId="2C94A732" w14:textId="77777777" w:rsidR="009F4766" w:rsidRPr="00DE12A3" w:rsidRDefault="009F4766" w:rsidP="00C917D6">
            <w:pPr>
              <w:pStyle w:val="NormalLeft"/>
            </w:pPr>
            <w:r w:rsidRPr="00DE12A3">
              <w:t>131</w:t>
            </w:r>
          </w:p>
        </w:tc>
        <w:tc>
          <w:tcPr>
            <w:tcW w:w="2489" w:type="dxa"/>
            <w:tcBorders>
              <w:top w:val="single" w:sz="2" w:space="0" w:color="auto"/>
              <w:left w:val="single" w:sz="2" w:space="0" w:color="auto"/>
              <w:bottom w:val="single" w:sz="2" w:space="0" w:color="auto"/>
              <w:right w:val="single" w:sz="2" w:space="0" w:color="auto"/>
            </w:tcBorders>
          </w:tcPr>
          <w:p w14:paraId="5DDEE3AE" w14:textId="77777777" w:rsidR="009F4766" w:rsidRPr="00DE12A3" w:rsidRDefault="009F4766" w:rsidP="00C917D6">
            <w:pPr>
              <w:pStyle w:val="NormalLeft"/>
            </w:pPr>
            <w:r w:rsidRPr="00DE12A3">
              <w:t>69</w:t>
            </w:r>
          </w:p>
        </w:tc>
        <w:tc>
          <w:tcPr>
            <w:tcW w:w="2551" w:type="dxa"/>
            <w:tcBorders>
              <w:top w:val="single" w:sz="2" w:space="0" w:color="auto"/>
              <w:left w:val="single" w:sz="2" w:space="0" w:color="auto"/>
              <w:bottom w:val="single" w:sz="2" w:space="0" w:color="auto"/>
              <w:right w:val="single" w:sz="2" w:space="0" w:color="auto"/>
            </w:tcBorders>
          </w:tcPr>
          <w:p w14:paraId="4AD18518" w14:textId="77777777" w:rsidR="009F4766" w:rsidRPr="00DE12A3" w:rsidRDefault="009F4766" w:rsidP="00C917D6">
            <w:pPr>
              <w:pStyle w:val="NormalLeft"/>
            </w:pPr>
            <w:r w:rsidRPr="00DE12A3">
              <w:t>29</w:t>
            </w:r>
          </w:p>
        </w:tc>
      </w:tr>
      <w:tr w:rsidR="00DE12A3" w:rsidRPr="00DE12A3" w14:paraId="6CAE62C7" w14:textId="77777777" w:rsidTr="009F4766">
        <w:tc>
          <w:tcPr>
            <w:tcW w:w="1182" w:type="dxa"/>
            <w:tcBorders>
              <w:top w:val="single" w:sz="2" w:space="0" w:color="auto"/>
              <w:left w:val="single" w:sz="2" w:space="0" w:color="auto"/>
              <w:bottom w:val="single" w:sz="2" w:space="0" w:color="auto"/>
              <w:right w:val="single" w:sz="2" w:space="0" w:color="auto"/>
            </w:tcBorders>
          </w:tcPr>
          <w:p w14:paraId="09191DDE" w14:textId="77777777" w:rsidR="009F4766" w:rsidRPr="00DE12A3" w:rsidRDefault="009F4766" w:rsidP="00C917D6">
            <w:pPr>
              <w:pStyle w:val="NormalLeft"/>
            </w:pPr>
            <w:r w:rsidRPr="00DE12A3">
              <w:t>132</w:t>
            </w:r>
          </w:p>
        </w:tc>
        <w:tc>
          <w:tcPr>
            <w:tcW w:w="2489" w:type="dxa"/>
            <w:tcBorders>
              <w:top w:val="single" w:sz="2" w:space="0" w:color="auto"/>
              <w:left w:val="single" w:sz="2" w:space="0" w:color="auto"/>
              <w:bottom w:val="single" w:sz="2" w:space="0" w:color="auto"/>
              <w:right w:val="single" w:sz="2" w:space="0" w:color="auto"/>
            </w:tcBorders>
          </w:tcPr>
          <w:p w14:paraId="239B8147" w14:textId="77777777" w:rsidR="009F4766" w:rsidRPr="00DE12A3" w:rsidRDefault="009F4766" w:rsidP="00C917D6">
            <w:pPr>
              <w:pStyle w:val="NormalLeft"/>
            </w:pPr>
            <w:r w:rsidRPr="00DE12A3">
              <w:t>47</w:t>
            </w:r>
          </w:p>
        </w:tc>
        <w:tc>
          <w:tcPr>
            <w:tcW w:w="2551" w:type="dxa"/>
            <w:tcBorders>
              <w:top w:val="single" w:sz="2" w:space="0" w:color="auto"/>
              <w:left w:val="single" w:sz="2" w:space="0" w:color="auto"/>
              <w:bottom w:val="single" w:sz="2" w:space="0" w:color="auto"/>
              <w:right w:val="single" w:sz="2" w:space="0" w:color="auto"/>
            </w:tcBorders>
          </w:tcPr>
          <w:p w14:paraId="1FBB3A0A" w14:textId="77777777" w:rsidR="009F4766" w:rsidRPr="00DE12A3" w:rsidRDefault="009F4766" w:rsidP="00C917D6">
            <w:pPr>
              <w:pStyle w:val="NormalLeft"/>
            </w:pPr>
            <w:r w:rsidRPr="00DE12A3">
              <w:t>22</w:t>
            </w:r>
          </w:p>
        </w:tc>
      </w:tr>
      <w:tr w:rsidR="00DE12A3" w:rsidRPr="00DE12A3" w14:paraId="6745D854" w14:textId="77777777" w:rsidTr="009F4766">
        <w:tc>
          <w:tcPr>
            <w:tcW w:w="1182" w:type="dxa"/>
            <w:tcBorders>
              <w:top w:val="single" w:sz="2" w:space="0" w:color="auto"/>
              <w:left w:val="single" w:sz="2" w:space="0" w:color="auto"/>
              <w:bottom w:val="single" w:sz="2" w:space="0" w:color="auto"/>
              <w:right w:val="single" w:sz="2" w:space="0" w:color="auto"/>
            </w:tcBorders>
          </w:tcPr>
          <w:p w14:paraId="791061A1" w14:textId="77777777" w:rsidR="009F4766" w:rsidRPr="00DE12A3" w:rsidRDefault="009F4766" w:rsidP="00C917D6">
            <w:pPr>
              <w:pStyle w:val="NormalLeft"/>
            </w:pPr>
            <w:r w:rsidRPr="00DE12A3">
              <w:t>133</w:t>
            </w:r>
          </w:p>
        </w:tc>
        <w:tc>
          <w:tcPr>
            <w:tcW w:w="2489" w:type="dxa"/>
            <w:tcBorders>
              <w:top w:val="single" w:sz="2" w:space="0" w:color="auto"/>
              <w:left w:val="single" w:sz="2" w:space="0" w:color="auto"/>
              <w:bottom w:val="single" w:sz="2" w:space="0" w:color="auto"/>
              <w:right w:val="single" w:sz="2" w:space="0" w:color="auto"/>
            </w:tcBorders>
          </w:tcPr>
          <w:p w14:paraId="047E48B7" w14:textId="77777777" w:rsidR="009F4766" w:rsidRPr="00DE12A3" w:rsidRDefault="009F4766" w:rsidP="00C917D6">
            <w:pPr>
              <w:pStyle w:val="NormalLeft"/>
            </w:pPr>
            <w:r w:rsidRPr="00DE12A3">
              <w:t>34</w:t>
            </w:r>
          </w:p>
        </w:tc>
        <w:tc>
          <w:tcPr>
            <w:tcW w:w="2551" w:type="dxa"/>
            <w:tcBorders>
              <w:top w:val="single" w:sz="2" w:space="0" w:color="auto"/>
              <w:left w:val="single" w:sz="2" w:space="0" w:color="auto"/>
              <w:bottom w:val="single" w:sz="2" w:space="0" w:color="auto"/>
              <w:right w:val="single" w:sz="2" w:space="0" w:color="auto"/>
            </w:tcBorders>
          </w:tcPr>
          <w:p w14:paraId="7BB84541" w14:textId="77777777" w:rsidR="009F4766" w:rsidRPr="00DE12A3" w:rsidRDefault="009F4766" w:rsidP="00C917D6">
            <w:pPr>
              <w:pStyle w:val="NormalLeft"/>
            </w:pPr>
            <w:r w:rsidRPr="00DE12A3">
              <w:t>28</w:t>
            </w:r>
          </w:p>
        </w:tc>
      </w:tr>
      <w:tr w:rsidR="00DE12A3" w:rsidRPr="00DE12A3" w14:paraId="31917656" w14:textId="77777777" w:rsidTr="009F4766">
        <w:tc>
          <w:tcPr>
            <w:tcW w:w="1182" w:type="dxa"/>
            <w:tcBorders>
              <w:top w:val="single" w:sz="2" w:space="0" w:color="auto"/>
              <w:left w:val="single" w:sz="2" w:space="0" w:color="auto"/>
              <w:bottom w:val="single" w:sz="2" w:space="0" w:color="auto"/>
              <w:right w:val="single" w:sz="2" w:space="0" w:color="auto"/>
            </w:tcBorders>
          </w:tcPr>
          <w:p w14:paraId="7D890952" w14:textId="77777777" w:rsidR="009F4766" w:rsidRPr="00DE12A3" w:rsidRDefault="009F4766" w:rsidP="00C917D6">
            <w:pPr>
              <w:pStyle w:val="NormalLeft"/>
            </w:pPr>
            <w:r w:rsidRPr="00DE12A3">
              <w:t>134</w:t>
            </w:r>
          </w:p>
        </w:tc>
        <w:tc>
          <w:tcPr>
            <w:tcW w:w="2489" w:type="dxa"/>
            <w:tcBorders>
              <w:top w:val="single" w:sz="2" w:space="0" w:color="auto"/>
              <w:left w:val="single" w:sz="2" w:space="0" w:color="auto"/>
              <w:bottom w:val="single" w:sz="2" w:space="0" w:color="auto"/>
              <w:right w:val="single" w:sz="2" w:space="0" w:color="auto"/>
            </w:tcBorders>
          </w:tcPr>
          <w:p w14:paraId="0D3783D5" w14:textId="77777777" w:rsidR="009F4766" w:rsidRPr="00DE12A3" w:rsidRDefault="009F4766" w:rsidP="00C917D6">
            <w:pPr>
              <w:pStyle w:val="NormalLeft"/>
            </w:pPr>
            <w:r w:rsidRPr="00DE12A3">
              <w:t>27</w:t>
            </w:r>
          </w:p>
        </w:tc>
        <w:tc>
          <w:tcPr>
            <w:tcW w:w="2551" w:type="dxa"/>
            <w:tcBorders>
              <w:top w:val="single" w:sz="2" w:space="0" w:color="auto"/>
              <w:left w:val="single" w:sz="2" w:space="0" w:color="auto"/>
              <w:bottom w:val="single" w:sz="2" w:space="0" w:color="auto"/>
              <w:right w:val="single" w:sz="2" w:space="0" w:color="auto"/>
            </w:tcBorders>
          </w:tcPr>
          <w:p w14:paraId="25C92B5E" w14:textId="77777777" w:rsidR="009F4766" w:rsidRPr="00DE12A3" w:rsidRDefault="009F4766" w:rsidP="00C917D6">
            <w:pPr>
              <w:pStyle w:val="NormalLeft"/>
            </w:pPr>
            <w:r w:rsidRPr="00DE12A3">
              <w:t>37</w:t>
            </w:r>
          </w:p>
        </w:tc>
      </w:tr>
      <w:tr w:rsidR="00DE12A3" w:rsidRPr="00DE12A3" w14:paraId="3A1D0DDA" w14:textId="77777777" w:rsidTr="009F4766">
        <w:tc>
          <w:tcPr>
            <w:tcW w:w="1182" w:type="dxa"/>
            <w:tcBorders>
              <w:top w:val="single" w:sz="2" w:space="0" w:color="auto"/>
              <w:left w:val="single" w:sz="2" w:space="0" w:color="auto"/>
              <w:bottom w:val="single" w:sz="2" w:space="0" w:color="auto"/>
              <w:right w:val="single" w:sz="2" w:space="0" w:color="auto"/>
            </w:tcBorders>
          </w:tcPr>
          <w:p w14:paraId="34759C22" w14:textId="77777777" w:rsidR="009F4766" w:rsidRPr="00DE12A3" w:rsidRDefault="009F4766" w:rsidP="00C917D6">
            <w:pPr>
              <w:pStyle w:val="NormalLeft"/>
            </w:pPr>
            <w:r w:rsidRPr="00DE12A3">
              <w:t>135</w:t>
            </w:r>
          </w:p>
        </w:tc>
        <w:tc>
          <w:tcPr>
            <w:tcW w:w="2489" w:type="dxa"/>
            <w:tcBorders>
              <w:top w:val="single" w:sz="2" w:space="0" w:color="auto"/>
              <w:left w:val="single" w:sz="2" w:space="0" w:color="auto"/>
              <w:bottom w:val="single" w:sz="2" w:space="0" w:color="auto"/>
              <w:right w:val="single" w:sz="2" w:space="0" w:color="auto"/>
            </w:tcBorders>
          </w:tcPr>
          <w:p w14:paraId="1EF3847E" w14:textId="77777777" w:rsidR="009F4766" w:rsidRPr="00DE12A3" w:rsidRDefault="009F4766" w:rsidP="00C917D6">
            <w:pPr>
              <w:pStyle w:val="NormalLeft"/>
            </w:pPr>
            <w:r w:rsidRPr="00DE12A3">
              <w:t>83</w:t>
            </w:r>
          </w:p>
        </w:tc>
        <w:tc>
          <w:tcPr>
            <w:tcW w:w="2551" w:type="dxa"/>
            <w:tcBorders>
              <w:top w:val="single" w:sz="2" w:space="0" w:color="auto"/>
              <w:left w:val="single" w:sz="2" w:space="0" w:color="auto"/>
              <w:bottom w:val="single" w:sz="2" w:space="0" w:color="auto"/>
              <w:right w:val="single" w:sz="2" w:space="0" w:color="auto"/>
            </w:tcBorders>
          </w:tcPr>
          <w:p w14:paraId="7F2E9BD4" w14:textId="77777777" w:rsidR="009F4766" w:rsidRPr="00DE12A3" w:rsidRDefault="009F4766" w:rsidP="00C917D6">
            <w:pPr>
              <w:pStyle w:val="NormalLeft"/>
            </w:pPr>
            <w:r w:rsidRPr="00DE12A3">
              <w:t>60</w:t>
            </w:r>
          </w:p>
        </w:tc>
      </w:tr>
      <w:tr w:rsidR="00DE12A3" w:rsidRPr="00DE12A3" w14:paraId="7B657687" w14:textId="77777777" w:rsidTr="009F4766">
        <w:tc>
          <w:tcPr>
            <w:tcW w:w="1182" w:type="dxa"/>
            <w:tcBorders>
              <w:top w:val="single" w:sz="2" w:space="0" w:color="auto"/>
              <w:left w:val="single" w:sz="2" w:space="0" w:color="auto"/>
              <w:bottom w:val="single" w:sz="2" w:space="0" w:color="auto"/>
              <w:right w:val="single" w:sz="2" w:space="0" w:color="auto"/>
            </w:tcBorders>
          </w:tcPr>
          <w:p w14:paraId="07A92529" w14:textId="77777777" w:rsidR="009F4766" w:rsidRPr="00DE12A3" w:rsidRDefault="009F4766" w:rsidP="00C917D6">
            <w:pPr>
              <w:pStyle w:val="NormalLeft"/>
            </w:pPr>
            <w:r w:rsidRPr="00DE12A3">
              <w:t>136</w:t>
            </w:r>
          </w:p>
        </w:tc>
        <w:tc>
          <w:tcPr>
            <w:tcW w:w="2489" w:type="dxa"/>
            <w:tcBorders>
              <w:top w:val="single" w:sz="2" w:space="0" w:color="auto"/>
              <w:left w:val="single" w:sz="2" w:space="0" w:color="auto"/>
              <w:bottom w:val="single" w:sz="2" w:space="0" w:color="auto"/>
              <w:right w:val="single" w:sz="2" w:space="0" w:color="auto"/>
            </w:tcBorders>
          </w:tcPr>
          <w:p w14:paraId="7F035BE0" w14:textId="77777777" w:rsidR="009F4766" w:rsidRPr="00DE12A3" w:rsidRDefault="009F4766" w:rsidP="00C917D6">
            <w:pPr>
              <w:pStyle w:val="NormalLeft"/>
            </w:pPr>
            <w:r w:rsidRPr="00DE12A3">
              <w:t>100</w:t>
            </w:r>
          </w:p>
        </w:tc>
        <w:tc>
          <w:tcPr>
            <w:tcW w:w="2551" w:type="dxa"/>
            <w:tcBorders>
              <w:top w:val="single" w:sz="2" w:space="0" w:color="auto"/>
              <w:left w:val="single" w:sz="2" w:space="0" w:color="auto"/>
              <w:bottom w:val="single" w:sz="2" w:space="0" w:color="auto"/>
              <w:right w:val="single" w:sz="2" w:space="0" w:color="auto"/>
            </w:tcBorders>
          </w:tcPr>
          <w:p w14:paraId="3EE8933E" w14:textId="77777777" w:rsidR="009F4766" w:rsidRPr="00DE12A3" w:rsidRDefault="009F4766" w:rsidP="00C917D6">
            <w:pPr>
              <w:pStyle w:val="NormalLeft"/>
            </w:pPr>
            <w:r w:rsidRPr="00DE12A3">
              <w:t>74</w:t>
            </w:r>
          </w:p>
        </w:tc>
      </w:tr>
      <w:tr w:rsidR="00DE12A3" w:rsidRPr="00DE12A3" w14:paraId="58C67FEA" w14:textId="77777777" w:rsidTr="009F4766">
        <w:tc>
          <w:tcPr>
            <w:tcW w:w="1182" w:type="dxa"/>
            <w:tcBorders>
              <w:top w:val="single" w:sz="2" w:space="0" w:color="auto"/>
              <w:left w:val="single" w:sz="2" w:space="0" w:color="auto"/>
              <w:bottom w:val="single" w:sz="2" w:space="0" w:color="auto"/>
              <w:right w:val="single" w:sz="2" w:space="0" w:color="auto"/>
            </w:tcBorders>
          </w:tcPr>
          <w:p w14:paraId="7E812468" w14:textId="77777777" w:rsidR="009F4766" w:rsidRPr="00DE12A3" w:rsidRDefault="009F4766" w:rsidP="00C917D6">
            <w:pPr>
              <w:pStyle w:val="NormalLeft"/>
            </w:pPr>
            <w:r w:rsidRPr="00DE12A3">
              <w:t>137</w:t>
            </w:r>
          </w:p>
        </w:tc>
        <w:tc>
          <w:tcPr>
            <w:tcW w:w="2489" w:type="dxa"/>
            <w:tcBorders>
              <w:top w:val="single" w:sz="2" w:space="0" w:color="auto"/>
              <w:left w:val="single" w:sz="2" w:space="0" w:color="auto"/>
              <w:bottom w:val="single" w:sz="2" w:space="0" w:color="auto"/>
              <w:right w:val="single" w:sz="2" w:space="0" w:color="auto"/>
            </w:tcBorders>
          </w:tcPr>
          <w:p w14:paraId="3B5EA44A" w14:textId="77777777" w:rsidR="009F4766" w:rsidRPr="00DE12A3" w:rsidRDefault="009F4766" w:rsidP="00C917D6">
            <w:pPr>
              <w:pStyle w:val="NormalLeft"/>
            </w:pPr>
            <w:r w:rsidRPr="00DE12A3">
              <w:t>100</w:t>
            </w:r>
          </w:p>
        </w:tc>
        <w:tc>
          <w:tcPr>
            <w:tcW w:w="2551" w:type="dxa"/>
            <w:tcBorders>
              <w:top w:val="single" w:sz="2" w:space="0" w:color="auto"/>
              <w:left w:val="single" w:sz="2" w:space="0" w:color="auto"/>
              <w:bottom w:val="single" w:sz="2" w:space="0" w:color="auto"/>
              <w:right w:val="single" w:sz="2" w:space="0" w:color="auto"/>
            </w:tcBorders>
          </w:tcPr>
          <w:p w14:paraId="38D18420" w14:textId="77777777" w:rsidR="009F4766" w:rsidRPr="00DE12A3" w:rsidRDefault="009F4766" w:rsidP="00C917D6">
            <w:pPr>
              <w:pStyle w:val="NormalLeft"/>
            </w:pPr>
            <w:r w:rsidRPr="00DE12A3">
              <w:t>7</w:t>
            </w:r>
          </w:p>
        </w:tc>
      </w:tr>
      <w:tr w:rsidR="00DE12A3" w:rsidRPr="00DE12A3" w14:paraId="40579906" w14:textId="77777777" w:rsidTr="009F4766">
        <w:tc>
          <w:tcPr>
            <w:tcW w:w="1182" w:type="dxa"/>
            <w:tcBorders>
              <w:top w:val="single" w:sz="2" w:space="0" w:color="auto"/>
              <w:left w:val="single" w:sz="2" w:space="0" w:color="auto"/>
              <w:bottom w:val="single" w:sz="2" w:space="0" w:color="auto"/>
              <w:right w:val="single" w:sz="2" w:space="0" w:color="auto"/>
            </w:tcBorders>
          </w:tcPr>
          <w:p w14:paraId="52260800" w14:textId="77777777" w:rsidR="009F4766" w:rsidRPr="00DE12A3" w:rsidRDefault="009F4766" w:rsidP="00C917D6">
            <w:pPr>
              <w:pStyle w:val="NormalLeft"/>
            </w:pPr>
            <w:r w:rsidRPr="00DE12A3">
              <w:t>138</w:t>
            </w:r>
          </w:p>
        </w:tc>
        <w:tc>
          <w:tcPr>
            <w:tcW w:w="2489" w:type="dxa"/>
            <w:tcBorders>
              <w:top w:val="single" w:sz="2" w:space="0" w:color="auto"/>
              <w:left w:val="single" w:sz="2" w:space="0" w:color="auto"/>
              <w:bottom w:val="single" w:sz="2" w:space="0" w:color="auto"/>
              <w:right w:val="single" w:sz="2" w:space="0" w:color="auto"/>
            </w:tcBorders>
          </w:tcPr>
          <w:p w14:paraId="180DD998" w14:textId="77777777" w:rsidR="009F4766" w:rsidRPr="00DE12A3" w:rsidRDefault="009F4766" w:rsidP="00C917D6">
            <w:pPr>
              <w:pStyle w:val="NormalLeft"/>
            </w:pPr>
            <w:r w:rsidRPr="00DE12A3">
              <w:t>100</w:t>
            </w:r>
          </w:p>
        </w:tc>
        <w:tc>
          <w:tcPr>
            <w:tcW w:w="2551" w:type="dxa"/>
            <w:tcBorders>
              <w:top w:val="single" w:sz="2" w:space="0" w:color="auto"/>
              <w:left w:val="single" w:sz="2" w:space="0" w:color="auto"/>
              <w:bottom w:val="single" w:sz="2" w:space="0" w:color="auto"/>
              <w:right w:val="single" w:sz="2" w:space="0" w:color="auto"/>
            </w:tcBorders>
          </w:tcPr>
          <w:p w14:paraId="66615DC7" w14:textId="77777777" w:rsidR="009F4766" w:rsidRPr="00DE12A3" w:rsidRDefault="009F4766" w:rsidP="00C917D6">
            <w:pPr>
              <w:pStyle w:val="NormalLeft"/>
            </w:pPr>
            <w:r w:rsidRPr="00DE12A3">
              <w:t>2</w:t>
            </w:r>
          </w:p>
        </w:tc>
      </w:tr>
      <w:tr w:rsidR="00DE12A3" w:rsidRPr="00DE12A3" w14:paraId="240E9735" w14:textId="77777777" w:rsidTr="009F4766">
        <w:tc>
          <w:tcPr>
            <w:tcW w:w="1182" w:type="dxa"/>
            <w:tcBorders>
              <w:top w:val="single" w:sz="2" w:space="0" w:color="auto"/>
              <w:left w:val="single" w:sz="2" w:space="0" w:color="auto"/>
              <w:bottom w:val="single" w:sz="2" w:space="0" w:color="auto"/>
              <w:right w:val="single" w:sz="2" w:space="0" w:color="auto"/>
            </w:tcBorders>
          </w:tcPr>
          <w:p w14:paraId="7B964D13" w14:textId="77777777" w:rsidR="009F4766" w:rsidRPr="00DE12A3" w:rsidRDefault="009F4766" w:rsidP="00C917D6">
            <w:pPr>
              <w:pStyle w:val="NormalLeft"/>
            </w:pPr>
            <w:r w:rsidRPr="00DE12A3">
              <w:t>139</w:t>
            </w:r>
          </w:p>
        </w:tc>
        <w:tc>
          <w:tcPr>
            <w:tcW w:w="2489" w:type="dxa"/>
            <w:tcBorders>
              <w:top w:val="single" w:sz="2" w:space="0" w:color="auto"/>
              <w:left w:val="single" w:sz="2" w:space="0" w:color="auto"/>
              <w:bottom w:val="single" w:sz="2" w:space="0" w:color="auto"/>
              <w:right w:val="single" w:sz="2" w:space="0" w:color="auto"/>
            </w:tcBorders>
          </w:tcPr>
          <w:p w14:paraId="5017C032" w14:textId="77777777" w:rsidR="009F4766" w:rsidRPr="00DE12A3" w:rsidRDefault="009F4766" w:rsidP="00C917D6">
            <w:pPr>
              <w:pStyle w:val="NormalLeft"/>
            </w:pPr>
            <w:r w:rsidRPr="00DE12A3">
              <w:t>70</w:t>
            </w:r>
          </w:p>
        </w:tc>
        <w:tc>
          <w:tcPr>
            <w:tcW w:w="2551" w:type="dxa"/>
            <w:tcBorders>
              <w:top w:val="single" w:sz="2" w:space="0" w:color="auto"/>
              <w:left w:val="single" w:sz="2" w:space="0" w:color="auto"/>
              <w:bottom w:val="single" w:sz="2" w:space="0" w:color="auto"/>
              <w:right w:val="single" w:sz="2" w:space="0" w:color="auto"/>
            </w:tcBorders>
          </w:tcPr>
          <w:p w14:paraId="3A352664" w14:textId="77777777" w:rsidR="009F4766" w:rsidRPr="00DE12A3" w:rsidRDefault="009F4766" w:rsidP="00C917D6">
            <w:pPr>
              <w:pStyle w:val="NormalLeft"/>
            </w:pPr>
            <w:r w:rsidRPr="00DE12A3">
              <w:t>18</w:t>
            </w:r>
          </w:p>
        </w:tc>
      </w:tr>
      <w:tr w:rsidR="00DE12A3" w:rsidRPr="00DE12A3" w14:paraId="1C8417F8" w14:textId="77777777" w:rsidTr="009F4766">
        <w:tc>
          <w:tcPr>
            <w:tcW w:w="1182" w:type="dxa"/>
            <w:tcBorders>
              <w:top w:val="single" w:sz="2" w:space="0" w:color="auto"/>
              <w:left w:val="single" w:sz="2" w:space="0" w:color="auto"/>
              <w:bottom w:val="single" w:sz="2" w:space="0" w:color="auto"/>
              <w:right w:val="single" w:sz="2" w:space="0" w:color="auto"/>
            </w:tcBorders>
          </w:tcPr>
          <w:p w14:paraId="5ECB8DAA" w14:textId="77777777" w:rsidR="009F4766" w:rsidRPr="00DE12A3" w:rsidRDefault="009F4766" w:rsidP="00C917D6">
            <w:pPr>
              <w:pStyle w:val="NormalLeft"/>
            </w:pPr>
            <w:r w:rsidRPr="00DE12A3">
              <w:t>140</w:t>
            </w:r>
          </w:p>
        </w:tc>
        <w:tc>
          <w:tcPr>
            <w:tcW w:w="2489" w:type="dxa"/>
            <w:tcBorders>
              <w:top w:val="single" w:sz="2" w:space="0" w:color="auto"/>
              <w:left w:val="single" w:sz="2" w:space="0" w:color="auto"/>
              <w:bottom w:val="single" w:sz="2" w:space="0" w:color="auto"/>
              <w:right w:val="single" w:sz="2" w:space="0" w:color="auto"/>
            </w:tcBorders>
          </w:tcPr>
          <w:p w14:paraId="4206A28D" w14:textId="77777777" w:rsidR="009F4766" w:rsidRPr="00DE12A3" w:rsidRDefault="009F4766" w:rsidP="00C917D6">
            <w:pPr>
              <w:pStyle w:val="NormalLeft"/>
            </w:pPr>
            <w:r w:rsidRPr="00DE12A3">
              <w:t>23</w:t>
            </w:r>
          </w:p>
        </w:tc>
        <w:tc>
          <w:tcPr>
            <w:tcW w:w="2551" w:type="dxa"/>
            <w:tcBorders>
              <w:top w:val="single" w:sz="2" w:space="0" w:color="auto"/>
              <w:left w:val="single" w:sz="2" w:space="0" w:color="auto"/>
              <w:bottom w:val="single" w:sz="2" w:space="0" w:color="auto"/>
              <w:right w:val="single" w:sz="2" w:space="0" w:color="auto"/>
            </w:tcBorders>
          </w:tcPr>
          <w:p w14:paraId="1396D55D" w14:textId="77777777" w:rsidR="009F4766" w:rsidRPr="00DE12A3" w:rsidRDefault="009F4766" w:rsidP="00C917D6">
            <w:pPr>
              <w:pStyle w:val="NormalLeft"/>
            </w:pPr>
            <w:r w:rsidRPr="00DE12A3">
              <w:t>39</w:t>
            </w:r>
          </w:p>
        </w:tc>
      </w:tr>
      <w:tr w:rsidR="00DE12A3" w:rsidRPr="00DE12A3" w14:paraId="46F00085" w14:textId="77777777" w:rsidTr="009F4766">
        <w:tc>
          <w:tcPr>
            <w:tcW w:w="1182" w:type="dxa"/>
            <w:tcBorders>
              <w:top w:val="single" w:sz="2" w:space="0" w:color="auto"/>
              <w:left w:val="single" w:sz="2" w:space="0" w:color="auto"/>
              <w:bottom w:val="single" w:sz="2" w:space="0" w:color="auto"/>
              <w:right w:val="single" w:sz="2" w:space="0" w:color="auto"/>
            </w:tcBorders>
          </w:tcPr>
          <w:p w14:paraId="12984E01" w14:textId="77777777" w:rsidR="009F4766" w:rsidRPr="00DE12A3" w:rsidRDefault="009F4766" w:rsidP="00C917D6">
            <w:pPr>
              <w:pStyle w:val="NormalLeft"/>
            </w:pPr>
            <w:r w:rsidRPr="00DE12A3">
              <w:t>141</w:t>
            </w:r>
          </w:p>
        </w:tc>
        <w:tc>
          <w:tcPr>
            <w:tcW w:w="2489" w:type="dxa"/>
            <w:tcBorders>
              <w:top w:val="single" w:sz="2" w:space="0" w:color="auto"/>
              <w:left w:val="single" w:sz="2" w:space="0" w:color="auto"/>
              <w:bottom w:val="single" w:sz="2" w:space="0" w:color="auto"/>
              <w:right w:val="single" w:sz="2" w:space="0" w:color="auto"/>
            </w:tcBorders>
          </w:tcPr>
          <w:p w14:paraId="77F525B8" w14:textId="77777777" w:rsidR="009F4766" w:rsidRPr="00DE12A3" w:rsidRDefault="009F4766" w:rsidP="00C917D6">
            <w:pPr>
              <w:pStyle w:val="NormalLeft"/>
            </w:pPr>
            <w:r w:rsidRPr="00DE12A3">
              <w:t>5</w:t>
            </w:r>
          </w:p>
        </w:tc>
        <w:tc>
          <w:tcPr>
            <w:tcW w:w="2551" w:type="dxa"/>
            <w:tcBorders>
              <w:top w:val="single" w:sz="2" w:space="0" w:color="auto"/>
              <w:left w:val="single" w:sz="2" w:space="0" w:color="auto"/>
              <w:bottom w:val="single" w:sz="2" w:space="0" w:color="auto"/>
              <w:right w:val="single" w:sz="2" w:space="0" w:color="auto"/>
            </w:tcBorders>
          </w:tcPr>
          <w:p w14:paraId="12B50E3D" w14:textId="77777777" w:rsidR="009F4766" w:rsidRPr="00DE12A3" w:rsidRDefault="009F4766" w:rsidP="00C917D6">
            <w:pPr>
              <w:pStyle w:val="NormalLeft"/>
            </w:pPr>
            <w:r w:rsidRPr="00DE12A3">
              <w:t>54</w:t>
            </w:r>
          </w:p>
        </w:tc>
      </w:tr>
      <w:tr w:rsidR="00DE12A3" w:rsidRPr="00DE12A3" w14:paraId="6705F525" w14:textId="77777777" w:rsidTr="009F4766">
        <w:tc>
          <w:tcPr>
            <w:tcW w:w="1182" w:type="dxa"/>
            <w:tcBorders>
              <w:top w:val="single" w:sz="2" w:space="0" w:color="auto"/>
              <w:left w:val="single" w:sz="2" w:space="0" w:color="auto"/>
              <w:bottom w:val="single" w:sz="2" w:space="0" w:color="auto"/>
              <w:right w:val="single" w:sz="2" w:space="0" w:color="auto"/>
            </w:tcBorders>
          </w:tcPr>
          <w:p w14:paraId="0050B74D" w14:textId="77777777" w:rsidR="009F4766" w:rsidRPr="00DE12A3" w:rsidRDefault="009F4766" w:rsidP="00C917D6">
            <w:pPr>
              <w:pStyle w:val="NormalLeft"/>
            </w:pPr>
            <w:r w:rsidRPr="00DE12A3">
              <w:t>142</w:t>
            </w:r>
          </w:p>
        </w:tc>
        <w:tc>
          <w:tcPr>
            <w:tcW w:w="2489" w:type="dxa"/>
            <w:tcBorders>
              <w:top w:val="single" w:sz="2" w:space="0" w:color="auto"/>
              <w:left w:val="single" w:sz="2" w:space="0" w:color="auto"/>
              <w:bottom w:val="single" w:sz="2" w:space="0" w:color="auto"/>
              <w:right w:val="single" w:sz="2" w:space="0" w:color="auto"/>
            </w:tcBorders>
          </w:tcPr>
          <w:p w14:paraId="3394B54D" w14:textId="77777777" w:rsidR="009F4766" w:rsidRPr="00DE12A3" w:rsidRDefault="009F4766" w:rsidP="00C917D6">
            <w:pPr>
              <w:pStyle w:val="NormalLeft"/>
            </w:pPr>
            <w:r w:rsidRPr="00DE12A3">
              <w:t>11</w:t>
            </w:r>
          </w:p>
        </w:tc>
        <w:tc>
          <w:tcPr>
            <w:tcW w:w="2551" w:type="dxa"/>
            <w:tcBorders>
              <w:top w:val="single" w:sz="2" w:space="0" w:color="auto"/>
              <w:left w:val="single" w:sz="2" w:space="0" w:color="auto"/>
              <w:bottom w:val="single" w:sz="2" w:space="0" w:color="auto"/>
              <w:right w:val="single" w:sz="2" w:space="0" w:color="auto"/>
            </w:tcBorders>
          </w:tcPr>
          <w:p w14:paraId="6AFC2AE1" w14:textId="77777777" w:rsidR="009F4766" w:rsidRPr="00DE12A3" w:rsidRDefault="009F4766" w:rsidP="00C917D6">
            <w:pPr>
              <w:pStyle w:val="NormalLeft"/>
            </w:pPr>
            <w:r w:rsidRPr="00DE12A3">
              <w:t>40</w:t>
            </w:r>
          </w:p>
        </w:tc>
      </w:tr>
      <w:tr w:rsidR="00DE12A3" w:rsidRPr="00DE12A3" w14:paraId="4D7BCC0A" w14:textId="77777777" w:rsidTr="009F4766">
        <w:tc>
          <w:tcPr>
            <w:tcW w:w="1182" w:type="dxa"/>
            <w:tcBorders>
              <w:top w:val="single" w:sz="2" w:space="0" w:color="auto"/>
              <w:left w:val="single" w:sz="2" w:space="0" w:color="auto"/>
              <w:bottom w:val="single" w:sz="2" w:space="0" w:color="auto"/>
              <w:right w:val="single" w:sz="2" w:space="0" w:color="auto"/>
            </w:tcBorders>
          </w:tcPr>
          <w:p w14:paraId="6A9A6C92" w14:textId="77777777" w:rsidR="009F4766" w:rsidRPr="00DE12A3" w:rsidRDefault="009F4766" w:rsidP="00C917D6">
            <w:pPr>
              <w:pStyle w:val="NormalLeft"/>
            </w:pPr>
            <w:r w:rsidRPr="00DE12A3">
              <w:t>143</w:t>
            </w:r>
          </w:p>
        </w:tc>
        <w:tc>
          <w:tcPr>
            <w:tcW w:w="2489" w:type="dxa"/>
            <w:tcBorders>
              <w:top w:val="single" w:sz="2" w:space="0" w:color="auto"/>
              <w:left w:val="single" w:sz="2" w:space="0" w:color="auto"/>
              <w:bottom w:val="single" w:sz="2" w:space="0" w:color="auto"/>
              <w:right w:val="single" w:sz="2" w:space="0" w:color="auto"/>
            </w:tcBorders>
          </w:tcPr>
          <w:p w14:paraId="41441EF7" w14:textId="77777777" w:rsidR="009F4766" w:rsidRPr="00DE12A3" w:rsidRDefault="009F4766" w:rsidP="00C917D6">
            <w:pPr>
              <w:pStyle w:val="NormalLeft"/>
            </w:pPr>
            <w:r w:rsidRPr="00DE12A3">
              <w:t>11</w:t>
            </w:r>
          </w:p>
        </w:tc>
        <w:tc>
          <w:tcPr>
            <w:tcW w:w="2551" w:type="dxa"/>
            <w:tcBorders>
              <w:top w:val="single" w:sz="2" w:space="0" w:color="auto"/>
              <w:left w:val="single" w:sz="2" w:space="0" w:color="auto"/>
              <w:bottom w:val="single" w:sz="2" w:space="0" w:color="auto"/>
              <w:right w:val="single" w:sz="2" w:space="0" w:color="auto"/>
            </w:tcBorders>
          </w:tcPr>
          <w:p w14:paraId="6D64C238" w14:textId="77777777" w:rsidR="009F4766" w:rsidRPr="00DE12A3" w:rsidRDefault="009F4766" w:rsidP="00C917D6">
            <w:pPr>
              <w:pStyle w:val="NormalLeft"/>
            </w:pPr>
            <w:r w:rsidRPr="00DE12A3">
              <w:t>34</w:t>
            </w:r>
          </w:p>
        </w:tc>
      </w:tr>
      <w:tr w:rsidR="00DE12A3" w:rsidRPr="00DE12A3" w14:paraId="0B4F86EE" w14:textId="77777777" w:rsidTr="009F4766">
        <w:tc>
          <w:tcPr>
            <w:tcW w:w="1182" w:type="dxa"/>
            <w:tcBorders>
              <w:top w:val="single" w:sz="2" w:space="0" w:color="auto"/>
              <w:left w:val="single" w:sz="2" w:space="0" w:color="auto"/>
              <w:bottom w:val="single" w:sz="2" w:space="0" w:color="auto"/>
              <w:right w:val="single" w:sz="2" w:space="0" w:color="auto"/>
            </w:tcBorders>
          </w:tcPr>
          <w:p w14:paraId="214F727A" w14:textId="77777777" w:rsidR="009F4766" w:rsidRPr="00DE12A3" w:rsidRDefault="009F4766" w:rsidP="00C917D6">
            <w:pPr>
              <w:pStyle w:val="NormalLeft"/>
            </w:pPr>
            <w:r w:rsidRPr="00DE12A3">
              <w:t>144</w:t>
            </w:r>
          </w:p>
        </w:tc>
        <w:tc>
          <w:tcPr>
            <w:tcW w:w="2489" w:type="dxa"/>
            <w:tcBorders>
              <w:top w:val="single" w:sz="2" w:space="0" w:color="auto"/>
              <w:left w:val="single" w:sz="2" w:space="0" w:color="auto"/>
              <w:bottom w:val="single" w:sz="2" w:space="0" w:color="auto"/>
              <w:right w:val="single" w:sz="2" w:space="0" w:color="auto"/>
            </w:tcBorders>
          </w:tcPr>
          <w:p w14:paraId="7FE779CC" w14:textId="77777777" w:rsidR="009F4766" w:rsidRPr="00DE12A3" w:rsidRDefault="009F4766" w:rsidP="00C917D6">
            <w:pPr>
              <w:pStyle w:val="NormalLeft"/>
            </w:pPr>
            <w:r w:rsidRPr="00DE12A3">
              <w:t>11</w:t>
            </w:r>
          </w:p>
        </w:tc>
        <w:tc>
          <w:tcPr>
            <w:tcW w:w="2551" w:type="dxa"/>
            <w:tcBorders>
              <w:top w:val="single" w:sz="2" w:space="0" w:color="auto"/>
              <w:left w:val="single" w:sz="2" w:space="0" w:color="auto"/>
              <w:bottom w:val="single" w:sz="2" w:space="0" w:color="auto"/>
              <w:right w:val="single" w:sz="2" w:space="0" w:color="auto"/>
            </w:tcBorders>
          </w:tcPr>
          <w:p w14:paraId="6E389240" w14:textId="77777777" w:rsidR="009F4766" w:rsidRPr="00DE12A3" w:rsidRDefault="009F4766" w:rsidP="00C917D6">
            <w:pPr>
              <w:pStyle w:val="NormalLeft"/>
            </w:pPr>
            <w:r w:rsidRPr="00DE12A3">
              <w:t>41</w:t>
            </w:r>
          </w:p>
        </w:tc>
      </w:tr>
      <w:tr w:rsidR="00DE12A3" w:rsidRPr="00DE12A3" w14:paraId="07AF49FC" w14:textId="77777777" w:rsidTr="009F4766">
        <w:tc>
          <w:tcPr>
            <w:tcW w:w="1182" w:type="dxa"/>
            <w:tcBorders>
              <w:top w:val="single" w:sz="2" w:space="0" w:color="auto"/>
              <w:left w:val="single" w:sz="2" w:space="0" w:color="auto"/>
              <w:bottom w:val="single" w:sz="2" w:space="0" w:color="auto"/>
              <w:right w:val="single" w:sz="2" w:space="0" w:color="auto"/>
            </w:tcBorders>
          </w:tcPr>
          <w:p w14:paraId="04F81EAC" w14:textId="77777777" w:rsidR="009F4766" w:rsidRPr="00DE12A3" w:rsidRDefault="009F4766" w:rsidP="00C917D6">
            <w:pPr>
              <w:pStyle w:val="NormalLeft"/>
            </w:pPr>
            <w:r w:rsidRPr="00DE12A3">
              <w:t>145</w:t>
            </w:r>
          </w:p>
        </w:tc>
        <w:tc>
          <w:tcPr>
            <w:tcW w:w="2489" w:type="dxa"/>
            <w:tcBorders>
              <w:top w:val="single" w:sz="2" w:space="0" w:color="auto"/>
              <w:left w:val="single" w:sz="2" w:space="0" w:color="auto"/>
              <w:bottom w:val="single" w:sz="2" w:space="0" w:color="auto"/>
              <w:right w:val="single" w:sz="2" w:space="0" w:color="auto"/>
            </w:tcBorders>
          </w:tcPr>
          <w:p w14:paraId="3DBD6787" w14:textId="77777777" w:rsidR="009F4766" w:rsidRPr="00DE12A3" w:rsidRDefault="009F4766" w:rsidP="00C917D6">
            <w:pPr>
              <w:pStyle w:val="NormalLeft"/>
            </w:pPr>
            <w:r w:rsidRPr="00DE12A3">
              <w:t>19</w:t>
            </w:r>
          </w:p>
        </w:tc>
        <w:tc>
          <w:tcPr>
            <w:tcW w:w="2551" w:type="dxa"/>
            <w:tcBorders>
              <w:top w:val="single" w:sz="2" w:space="0" w:color="auto"/>
              <w:left w:val="single" w:sz="2" w:space="0" w:color="auto"/>
              <w:bottom w:val="single" w:sz="2" w:space="0" w:color="auto"/>
              <w:right w:val="single" w:sz="2" w:space="0" w:color="auto"/>
            </w:tcBorders>
          </w:tcPr>
          <w:p w14:paraId="263984FB" w14:textId="77777777" w:rsidR="009F4766" w:rsidRPr="00DE12A3" w:rsidRDefault="009F4766" w:rsidP="00C917D6">
            <w:pPr>
              <w:pStyle w:val="NormalLeft"/>
            </w:pPr>
            <w:r w:rsidRPr="00DE12A3">
              <w:t>25</w:t>
            </w:r>
          </w:p>
        </w:tc>
      </w:tr>
      <w:tr w:rsidR="00DE12A3" w:rsidRPr="00DE12A3" w14:paraId="034716E0" w14:textId="77777777" w:rsidTr="009F4766">
        <w:tc>
          <w:tcPr>
            <w:tcW w:w="1182" w:type="dxa"/>
            <w:tcBorders>
              <w:top w:val="single" w:sz="2" w:space="0" w:color="auto"/>
              <w:left w:val="single" w:sz="2" w:space="0" w:color="auto"/>
              <w:bottom w:val="single" w:sz="2" w:space="0" w:color="auto"/>
              <w:right w:val="single" w:sz="2" w:space="0" w:color="auto"/>
            </w:tcBorders>
          </w:tcPr>
          <w:p w14:paraId="6AB5EFE2" w14:textId="77777777" w:rsidR="009F4766" w:rsidRPr="00DE12A3" w:rsidRDefault="009F4766" w:rsidP="00C917D6">
            <w:pPr>
              <w:pStyle w:val="NormalLeft"/>
            </w:pPr>
            <w:r w:rsidRPr="00DE12A3">
              <w:t>146</w:t>
            </w:r>
          </w:p>
        </w:tc>
        <w:tc>
          <w:tcPr>
            <w:tcW w:w="2489" w:type="dxa"/>
            <w:tcBorders>
              <w:top w:val="single" w:sz="2" w:space="0" w:color="auto"/>
              <w:left w:val="single" w:sz="2" w:space="0" w:color="auto"/>
              <w:bottom w:val="single" w:sz="2" w:space="0" w:color="auto"/>
              <w:right w:val="single" w:sz="2" w:space="0" w:color="auto"/>
            </w:tcBorders>
          </w:tcPr>
          <w:p w14:paraId="60C098CD" w14:textId="77777777" w:rsidR="009F4766" w:rsidRPr="00DE12A3" w:rsidRDefault="009F4766" w:rsidP="00C917D6">
            <w:pPr>
              <w:pStyle w:val="NormalLeft"/>
            </w:pPr>
            <w:r w:rsidRPr="00DE12A3">
              <w:t>16</w:t>
            </w:r>
          </w:p>
        </w:tc>
        <w:tc>
          <w:tcPr>
            <w:tcW w:w="2551" w:type="dxa"/>
            <w:tcBorders>
              <w:top w:val="single" w:sz="2" w:space="0" w:color="auto"/>
              <w:left w:val="single" w:sz="2" w:space="0" w:color="auto"/>
              <w:bottom w:val="single" w:sz="2" w:space="0" w:color="auto"/>
              <w:right w:val="single" w:sz="2" w:space="0" w:color="auto"/>
            </w:tcBorders>
          </w:tcPr>
          <w:p w14:paraId="57B2D94C" w14:textId="77777777" w:rsidR="009F4766" w:rsidRPr="00DE12A3" w:rsidRDefault="009F4766" w:rsidP="00C917D6">
            <w:pPr>
              <w:pStyle w:val="NormalLeft"/>
            </w:pPr>
            <w:r w:rsidRPr="00DE12A3">
              <w:t>32</w:t>
            </w:r>
          </w:p>
        </w:tc>
      </w:tr>
      <w:tr w:rsidR="00DE12A3" w:rsidRPr="00DE12A3" w14:paraId="402ABEA7" w14:textId="77777777" w:rsidTr="009F4766">
        <w:tc>
          <w:tcPr>
            <w:tcW w:w="1182" w:type="dxa"/>
            <w:tcBorders>
              <w:top w:val="single" w:sz="2" w:space="0" w:color="auto"/>
              <w:left w:val="single" w:sz="2" w:space="0" w:color="auto"/>
              <w:bottom w:val="single" w:sz="2" w:space="0" w:color="auto"/>
              <w:right w:val="single" w:sz="2" w:space="0" w:color="auto"/>
            </w:tcBorders>
          </w:tcPr>
          <w:p w14:paraId="59452FD1" w14:textId="77777777" w:rsidR="009F4766" w:rsidRPr="00DE12A3" w:rsidRDefault="009F4766" w:rsidP="00C917D6">
            <w:pPr>
              <w:pStyle w:val="NormalLeft"/>
            </w:pPr>
            <w:r w:rsidRPr="00DE12A3">
              <w:lastRenderedPageBreak/>
              <w:t>147</w:t>
            </w:r>
          </w:p>
        </w:tc>
        <w:tc>
          <w:tcPr>
            <w:tcW w:w="2489" w:type="dxa"/>
            <w:tcBorders>
              <w:top w:val="single" w:sz="2" w:space="0" w:color="auto"/>
              <w:left w:val="single" w:sz="2" w:space="0" w:color="auto"/>
              <w:bottom w:val="single" w:sz="2" w:space="0" w:color="auto"/>
              <w:right w:val="single" w:sz="2" w:space="0" w:color="auto"/>
            </w:tcBorders>
          </w:tcPr>
          <w:p w14:paraId="4E4857B8" w14:textId="77777777" w:rsidR="009F4766" w:rsidRPr="00DE12A3" w:rsidRDefault="009F4766" w:rsidP="00C917D6">
            <w:pPr>
              <w:pStyle w:val="NormalLeft"/>
            </w:pPr>
            <w:r w:rsidRPr="00DE12A3">
              <w:t>20</w:t>
            </w:r>
          </w:p>
        </w:tc>
        <w:tc>
          <w:tcPr>
            <w:tcW w:w="2551" w:type="dxa"/>
            <w:tcBorders>
              <w:top w:val="single" w:sz="2" w:space="0" w:color="auto"/>
              <w:left w:val="single" w:sz="2" w:space="0" w:color="auto"/>
              <w:bottom w:val="single" w:sz="2" w:space="0" w:color="auto"/>
              <w:right w:val="single" w:sz="2" w:space="0" w:color="auto"/>
            </w:tcBorders>
          </w:tcPr>
          <w:p w14:paraId="485A02D0" w14:textId="77777777" w:rsidR="009F4766" w:rsidRPr="00DE12A3" w:rsidRDefault="009F4766" w:rsidP="00C917D6">
            <w:pPr>
              <w:pStyle w:val="NormalLeft"/>
            </w:pPr>
            <w:r w:rsidRPr="00DE12A3">
              <w:t>31</w:t>
            </w:r>
          </w:p>
        </w:tc>
      </w:tr>
      <w:tr w:rsidR="00DE12A3" w:rsidRPr="00DE12A3" w14:paraId="3C549919" w14:textId="77777777" w:rsidTr="009F4766">
        <w:tc>
          <w:tcPr>
            <w:tcW w:w="1182" w:type="dxa"/>
            <w:tcBorders>
              <w:top w:val="single" w:sz="2" w:space="0" w:color="auto"/>
              <w:left w:val="single" w:sz="2" w:space="0" w:color="auto"/>
              <w:bottom w:val="single" w:sz="2" w:space="0" w:color="auto"/>
              <w:right w:val="single" w:sz="2" w:space="0" w:color="auto"/>
            </w:tcBorders>
          </w:tcPr>
          <w:p w14:paraId="42E0E562" w14:textId="77777777" w:rsidR="009F4766" w:rsidRPr="00DE12A3" w:rsidRDefault="009F4766" w:rsidP="00C917D6">
            <w:pPr>
              <w:pStyle w:val="NormalLeft"/>
            </w:pPr>
            <w:r w:rsidRPr="00DE12A3">
              <w:t>148</w:t>
            </w:r>
          </w:p>
        </w:tc>
        <w:tc>
          <w:tcPr>
            <w:tcW w:w="2489" w:type="dxa"/>
            <w:tcBorders>
              <w:top w:val="single" w:sz="2" w:space="0" w:color="auto"/>
              <w:left w:val="single" w:sz="2" w:space="0" w:color="auto"/>
              <w:bottom w:val="single" w:sz="2" w:space="0" w:color="auto"/>
              <w:right w:val="single" w:sz="2" w:space="0" w:color="auto"/>
            </w:tcBorders>
          </w:tcPr>
          <w:p w14:paraId="48CCBCD7" w14:textId="77777777" w:rsidR="009F4766" w:rsidRPr="00DE12A3" w:rsidRDefault="009F4766" w:rsidP="00C917D6">
            <w:pPr>
              <w:pStyle w:val="NormalLeft"/>
            </w:pPr>
            <w:r w:rsidRPr="00DE12A3">
              <w:t>21</w:t>
            </w:r>
          </w:p>
        </w:tc>
        <w:tc>
          <w:tcPr>
            <w:tcW w:w="2551" w:type="dxa"/>
            <w:tcBorders>
              <w:top w:val="single" w:sz="2" w:space="0" w:color="auto"/>
              <w:left w:val="single" w:sz="2" w:space="0" w:color="auto"/>
              <w:bottom w:val="single" w:sz="2" w:space="0" w:color="auto"/>
              <w:right w:val="single" w:sz="2" w:space="0" w:color="auto"/>
            </w:tcBorders>
          </w:tcPr>
          <w:p w14:paraId="71754E95" w14:textId="77777777" w:rsidR="009F4766" w:rsidRPr="00DE12A3" w:rsidRDefault="009F4766" w:rsidP="00C917D6">
            <w:pPr>
              <w:pStyle w:val="NormalLeft"/>
            </w:pPr>
            <w:r w:rsidRPr="00DE12A3">
              <w:t>38</w:t>
            </w:r>
          </w:p>
        </w:tc>
      </w:tr>
      <w:tr w:rsidR="00DE12A3" w:rsidRPr="00DE12A3" w14:paraId="6DE6626C" w14:textId="77777777" w:rsidTr="009F4766">
        <w:tc>
          <w:tcPr>
            <w:tcW w:w="1182" w:type="dxa"/>
            <w:tcBorders>
              <w:top w:val="single" w:sz="2" w:space="0" w:color="auto"/>
              <w:left w:val="single" w:sz="2" w:space="0" w:color="auto"/>
              <w:bottom w:val="single" w:sz="2" w:space="0" w:color="auto"/>
              <w:right w:val="single" w:sz="2" w:space="0" w:color="auto"/>
            </w:tcBorders>
          </w:tcPr>
          <w:p w14:paraId="14822E60" w14:textId="77777777" w:rsidR="009F4766" w:rsidRPr="00DE12A3" w:rsidRDefault="009F4766" w:rsidP="00C917D6">
            <w:pPr>
              <w:pStyle w:val="NormalLeft"/>
            </w:pPr>
            <w:r w:rsidRPr="00DE12A3">
              <w:t>149</w:t>
            </w:r>
          </w:p>
        </w:tc>
        <w:tc>
          <w:tcPr>
            <w:tcW w:w="2489" w:type="dxa"/>
            <w:tcBorders>
              <w:top w:val="single" w:sz="2" w:space="0" w:color="auto"/>
              <w:left w:val="single" w:sz="2" w:space="0" w:color="auto"/>
              <w:bottom w:val="single" w:sz="2" w:space="0" w:color="auto"/>
              <w:right w:val="single" w:sz="2" w:space="0" w:color="auto"/>
            </w:tcBorders>
          </w:tcPr>
          <w:p w14:paraId="6139C7A1" w14:textId="77777777" w:rsidR="009F4766" w:rsidRPr="00DE12A3" w:rsidRDefault="009F4766" w:rsidP="00C917D6">
            <w:pPr>
              <w:pStyle w:val="NormalLeft"/>
            </w:pPr>
            <w:r w:rsidRPr="00DE12A3">
              <w:t>21</w:t>
            </w:r>
          </w:p>
        </w:tc>
        <w:tc>
          <w:tcPr>
            <w:tcW w:w="2551" w:type="dxa"/>
            <w:tcBorders>
              <w:top w:val="single" w:sz="2" w:space="0" w:color="auto"/>
              <w:left w:val="single" w:sz="2" w:space="0" w:color="auto"/>
              <w:bottom w:val="single" w:sz="2" w:space="0" w:color="auto"/>
              <w:right w:val="single" w:sz="2" w:space="0" w:color="auto"/>
            </w:tcBorders>
          </w:tcPr>
          <w:p w14:paraId="00AC5285" w14:textId="77777777" w:rsidR="009F4766" w:rsidRPr="00DE12A3" w:rsidRDefault="009F4766" w:rsidP="00C917D6">
            <w:pPr>
              <w:pStyle w:val="NormalLeft"/>
            </w:pPr>
            <w:r w:rsidRPr="00DE12A3">
              <w:t>42</w:t>
            </w:r>
          </w:p>
        </w:tc>
      </w:tr>
      <w:tr w:rsidR="00DE12A3" w:rsidRPr="00DE12A3" w14:paraId="7DC9F05A" w14:textId="77777777" w:rsidTr="009F4766">
        <w:tc>
          <w:tcPr>
            <w:tcW w:w="1182" w:type="dxa"/>
            <w:tcBorders>
              <w:top w:val="single" w:sz="2" w:space="0" w:color="auto"/>
              <w:left w:val="single" w:sz="2" w:space="0" w:color="auto"/>
              <w:bottom w:val="single" w:sz="2" w:space="0" w:color="auto"/>
              <w:right w:val="single" w:sz="2" w:space="0" w:color="auto"/>
            </w:tcBorders>
          </w:tcPr>
          <w:p w14:paraId="3A5ACC96" w14:textId="77777777" w:rsidR="009F4766" w:rsidRPr="00DE12A3" w:rsidRDefault="009F4766" w:rsidP="00C917D6">
            <w:pPr>
              <w:pStyle w:val="NormalLeft"/>
            </w:pPr>
            <w:r w:rsidRPr="00DE12A3">
              <w:t>150</w:t>
            </w:r>
          </w:p>
        </w:tc>
        <w:tc>
          <w:tcPr>
            <w:tcW w:w="2489" w:type="dxa"/>
            <w:tcBorders>
              <w:top w:val="single" w:sz="2" w:space="0" w:color="auto"/>
              <w:left w:val="single" w:sz="2" w:space="0" w:color="auto"/>
              <w:bottom w:val="single" w:sz="2" w:space="0" w:color="auto"/>
              <w:right w:val="single" w:sz="2" w:space="0" w:color="auto"/>
            </w:tcBorders>
          </w:tcPr>
          <w:p w14:paraId="4867658B" w14:textId="77777777" w:rsidR="009F4766" w:rsidRPr="00DE12A3" w:rsidRDefault="009F4766" w:rsidP="00C917D6">
            <w:pPr>
              <w:pStyle w:val="NormalLeft"/>
            </w:pPr>
            <w:r w:rsidRPr="00DE12A3">
              <w:t>9</w:t>
            </w:r>
          </w:p>
        </w:tc>
        <w:tc>
          <w:tcPr>
            <w:tcW w:w="2551" w:type="dxa"/>
            <w:tcBorders>
              <w:top w:val="single" w:sz="2" w:space="0" w:color="auto"/>
              <w:left w:val="single" w:sz="2" w:space="0" w:color="auto"/>
              <w:bottom w:val="single" w:sz="2" w:space="0" w:color="auto"/>
              <w:right w:val="single" w:sz="2" w:space="0" w:color="auto"/>
            </w:tcBorders>
          </w:tcPr>
          <w:p w14:paraId="41AF512D" w14:textId="77777777" w:rsidR="009F4766" w:rsidRPr="00DE12A3" w:rsidRDefault="009F4766" w:rsidP="00C917D6">
            <w:pPr>
              <w:pStyle w:val="NormalLeft"/>
            </w:pPr>
            <w:r w:rsidRPr="00DE12A3">
              <w:t>51</w:t>
            </w:r>
          </w:p>
        </w:tc>
      </w:tr>
      <w:tr w:rsidR="00DE12A3" w:rsidRPr="00DE12A3" w14:paraId="25AEFA4E" w14:textId="77777777" w:rsidTr="009F4766">
        <w:tc>
          <w:tcPr>
            <w:tcW w:w="1182" w:type="dxa"/>
            <w:tcBorders>
              <w:top w:val="single" w:sz="2" w:space="0" w:color="auto"/>
              <w:left w:val="single" w:sz="2" w:space="0" w:color="auto"/>
              <w:bottom w:val="single" w:sz="2" w:space="0" w:color="auto"/>
              <w:right w:val="single" w:sz="2" w:space="0" w:color="auto"/>
            </w:tcBorders>
          </w:tcPr>
          <w:p w14:paraId="4716B810" w14:textId="77777777" w:rsidR="009F4766" w:rsidRPr="00DE12A3" w:rsidRDefault="009F4766" w:rsidP="00C917D6">
            <w:pPr>
              <w:pStyle w:val="NormalLeft"/>
            </w:pPr>
            <w:r w:rsidRPr="00DE12A3">
              <w:t>151</w:t>
            </w:r>
          </w:p>
        </w:tc>
        <w:tc>
          <w:tcPr>
            <w:tcW w:w="2489" w:type="dxa"/>
            <w:tcBorders>
              <w:top w:val="single" w:sz="2" w:space="0" w:color="auto"/>
              <w:left w:val="single" w:sz="2" w:space="0" w:color="auto"/>
              <w:bottom w:val="single" w:sz="2" w:space="0" w:color="auto"/>
              <w:right w:val="single" w:sz="2" w:space="0" w:color="auto"/>
            </w:tcBorders>
          </w:tcPr>
          <w:p w14:paraId="4DA011F5" w14:textId="77777777" w:rsidR="009F4766" w:rsidRPr="00DE12A3" w:rsidRDefault="009F4766" w:rsidP="00C917D6">
            <w:pPr>
              <w:pStyle w:val="NormalLeft"/>
            </w:pPr>
            <w:r w:rsidRPr="00DE12A3">
              <w:t>4</w:t>
            </w:r>
          </w:p>
        </w:tc>
        <w:tc>
          <w:tcPr>
            <w:tcW w:w="2551" w:type="dxa"/>
            <w:tcBorders>
              <w:top w:val="single" w:sz="2" w:space="0" w:color="auto"/>
              <w:left w:val="single" w:sz="2" w:space="0" w:color="auto"/>
              <w:bottom w:val="single" w:sz="2" w:space="0" w:color="auto"/>
              <w:right w:val="single" w:sz="2" w:space="0" w:color="auto"/>
            </w:tcBorders>
          </w:tcPr>
          <w:p w14:paraId="10DDBD2C" w14:textId="77777777" w:rsidR="009F4766" w:rsidRPr="00DE12A3" w:rsidRDefault="009F4766" w:rsidP="00C917D6">
            <w:pPr>
              <w:pStyle w:val="NormalLeft"/>
            </w:pPr>
            <w:r w:rsidRPr="00DE12A3">
              <w:t>49</w:t>
            </w:r>
          </w:p>
        </w:tc>
      </w:tr>
      <w:tr w:rsidR="00DE12A3" w:rsidRPr="00DE12A3" w14:paraId="2746FBD1" w14:textId="77777777" w:rsidTr="009F4766">
        <w:tc>
          <w:tcPr>
            <w:tcW w:w="1182" w:type="dxa"/>
            <w:tcBorders>
              <w:top w:val="single" w:sz="2" w:space="0" w:color="auto"/>
              <w:left w:val="single" w:sz="2" w:space="0" w:color="auto"/>
              <w:bottom w:val="single" w:sz="2" w:space="0" w:color="auto"/>
              <w:right w:val="single" w:sz="2" w:space="0" w:color="auto"/>
            </w:tcBorders>
          </w:tcPr>
          <w:p w14:paraId="44C55A74" w14:textId="77777777" w:rsidR="009F4766" w:rsidRPr="00DE12A3" w:rsidRDefault="009F4766" w:rsidP="00C917D6">
            <w:pPr>
              <w:pStyle w:val="NormalLeft"/>
            </w:pPr>
            <w:r w:rsidRPr="00DE12A3">
              <w:t>152</w:t>
            </w:r>
          </w:p>
        </w:tc>
        <w:tc>
          <w:tcPr>
            <w:tcW w:w="2489" w:type="dxa"/>
            <w:tcBorders>
              <w:top w:val="single" w:sz="2" w:space="0" w:color="auto"/>
              <w:left w:val="single" w:sz="2" w:space="0" w:color="auto"/>
              <w:bottom w:val="single" w:sz="2" w:space="0" w:color="auto"/>
              <w:right w:val="single" w:sz="2" w:space="0" w:color="auto"/>
            </w:tcBorders>
          </w:tcPr>
          <w:p w14:paraId="622BDEFE" w14:textId="77777777" w:rsidR="009F4766" w:rsidRPr="00DE12A3" w:rsidRDefault="009F4766" w:rsidP="00C917D6">
            <w:pPr>
              <w:pStyle w:val="NormalLeft"/>
            </w:pPr>
            <w:r w:rsidRPr="00DE12A3">
              <w:t>2</w:t>
            </w:r>
          </w:p>
        </w:tc>
        <w:tc>
          <w:tcPr>
            <w:tcW w:w="2551" w:type="dxa"/>
            <w:tcBorders>
              <w:top w:val="single" w:sz="2" w:space="0" w:color="auto"/>
              <w:left w:val="single" w:sz="2" w:space="0" w:color="auto"/>
              <w:bottom w:val="single" w:sz="2" w:space="0" w:color="auto"/>
              <w:right w:val="single" w:sz="2" w:space="0" w:color="auto"/>
            </w:tcBorders>
          </w:tcPr>
          <w:p w14:paraId="4816A1B8" w14:textId="77777777" w:rsidR="009F4766" w:rsidRPr="00DE12A3" w:rsidRDefault="009F4766" w:rsidP="00C917D6">
            <w:pPr>
              <w:pStyle w:val="NormalLeft"/>
            </w:pPr>
            <w:r w:rsidRPr="00DE12A3">
              <w:t>51</w:t>
            </w:r>
          </w:p>
        </w:tc>
      </w:tr>
      <w:tr w:rsidR="00DE12A3" w:rsidRPr="00DE12A3" w14:paraId="72AA16DD" w14:textId="77777777" w:rsidTr="009F4766">
        <w:tc>
          <w:tcPr>
            <w:tcW w:w="1182" w:type="dxa"/>
            <w:tcBorders>
              <w:top w:val="single" w:sz="2" w:space="0" w:color="auto"/>
              <w:left w:val="single" w:sz="2" w:space="0" w:color="auto"/>
              <w:bottom w:val="single" w:sz="2" w:space="0" w:color="auto"/>
              <w:right w:val="single" w:sz="2" w:space="0" w:color="auto"/>
            </w:tcBorders>
          </w:tcPr>
          <w:p w14:paraId="693750F2" w14:textId="77777777" w:rsidR="009F4766" w:rsidRPr="00DE12A3" w:rsidRDefault="009F4766" w:rsidP="00C917D6">
            <w:pPr>
              <w:pStyle w:val="NormalLeft"/>
            </w:pPr>
            <w:r w:rsidRPr="00DE12A3">
              <w:t>153</w:t>
            </w:r>
          </w:p>
        </w:tc>
        <w:tc>
          <w:tcPr>
            <w:tcW w:w="2489" w:type="dxa"/>
            <w:tcBorders>
              <w:top w:val="single" w:sz="2" w:space="0" w:color="auto"/>
              <w:left w:val="single" w:sz="2" w:space="0" w:color="auto"/>
              <w:bottom w:val="single" w:sz="2" w:space="0" w:color="auto"/>
              <w:right w:val="single" w:sz="2" w:space="0" w:color="auto"/>
            </w:tcBorders>
          </w:tcPr>
          <w:p w14:paraId="0A2953D2" w14:textId="77777777" w:rsidR="009F4766" w:rsidRPr="00DE12A3" w:rsidRDefault="009F4766" w:rsidP="00C917D6">
            <w:pPr>
              <w:pStyle w:val="NormalLeft"/>
            </w:pPr>
            <w:r w:rsidRPr="00DE12A3">
              <w:t>1</w:t>
            </w:r>
          </w:p>
        </w:tc>
        <w:tc>
          <w:tcPr>
            <w:tcW w:w="2551" w:type="dxa"/>
            <w:tcBorders>
              <w:top w:val="single" w:sz="2" w:space="0" w:color="auto"/>
              <w:left w:val="single" w:sz="2" w:space="0" w:color="auto"/>
              <w:bottom w:val="single" w:sz="2" w:space="0" w:color="auto"/>
              <w:right w:val="single" w:sz="2" w:space="0" w:color="auto"/>
            </w:tcBorders>
          </w:tcPr>
          <w:p w14:paraId="6E815516" w14:textId="77777777" w:rsidR="009F4766" w:rsidRPr="00DE12A3" w:rsidRDefault="009F4766" w:rsidP="00C917D6">
            <w:pPr>
              <w:pStyle w:val="NormalLeft"/>
            </w:pPr>
            <w:r w:rsidRPr="00DE12A3">
              <w:t>58</w:t>
            </w:r>
          </w:p>
        </w:tc>
      </w:tr>
      <w:tr w:rsidR="00DE12A3" w:rsidRPr="00DE12A3" w14:paraId="5F0A6FA7" w14:textId="77777777" w:rsidTr="009F4766">
        <w:tc>
          <w:tcPr>
            <w:tcW w:w="1182" w:type="dxa"/>
            <w:tcBorders>
              <w:top w:val="single" w:sz="2" w:space="0" w:color="auto"/>
              <w:left w:val="single" w:sz="2" w:space="0" w:color="auto"/>
              <w:bottom w:val="single" w:sz="2" w:space="0" w:color="auto"/>
              <w:right w:val="single" w:sz="2" w:space="0" w:color="auto"/>
            </w:tcBorders>
          </w:tcPr>
          <w:p w14:paraId="023C0F74" w14:textId="77777777" w:rsidR="009F4766" w:rsidRPr="00DE12A3" w:rsidRDefault="009F4766" w:rsidP="00C917D6">
            <w:pPr>
              <w:pStyle w:val="NormalLeft"/>
            </w:pPr>
            <w:r w:rsidRPr="00DE12A3">
              <w:t>154</w:t>
            </w:r>
          </w:p>
        </w:tc>
        <w:tc>
          <w:tcPr>
            <w:tcW w:w="2489" w:type="dxa"/>
            <w:tcBorders>
              <w:top w:val="single" w:sz="2" w:space="0" w:color="auto"/>
              <w:left w:val="single" w:sz="2" w:space="0" w:color="auto"/>
              <w:bottom w:val="single" w:sz="2" w:space="0" w:color="auto"/>
              <w:right w:val="single" w:sz="2" w:space="0" w:color="auto"/>
            </w:tcBorders>
          </w:tcPr>
          <w:p w14:paraId="55298FA9" w14:textId="77777777" w:rsidR="009F4766" w:rsidRPr="00DE12A3" w:rsidRDefault="009F4766" w:rsidP="00C917D6">
            <w:pPr>
              <w:pStyle w:val="NormalLeft"/>
            </w:pPr>
            <w:r w:rsidRPr="00DE12A3">
              <w:t>21</w:t>
            </w:r>
          </w:p>
        </w:tc>
        <w:tc>
          <w:tcPr>
            <w:tcW w:w="2551" w:type="dxa"/>
            <w:tcBorders>
              <w:top w:val="single" w:sz="2" w:space="0" w:color="auto"/>
              <w:left w:val="single" w:sz="2" w:space="0" w:color="auto"/>
              <w:bottom w:val="single" w:sz="2" w:space="0" w:color="auto"/>
              <w:right w:val="single" w:sz="2" w:space="0" w:color="auto"/>
            </w:tcBorders>
          </w:tcPr>
          <w:p w14:paraId="36791AEB" w14:textId="77777777" w:rsidR="009F4766" w:rsidRPr="00DE12A3" w:rsidRDefault="009F4766" w:rsidP="00C917D6">
            <w:pPr>
              <w:pStyle w:val="NormalLeft"/>
            </w:pPr>
            <w:r w:rsidRPr="00DE12A3">
              <w:t>57</w:t>
            </w:r>
          </w:p>
        </w:tc>
      </w:tr>
      <w:tr w:rsidR="00DE12A3" w:rsidRPr="00DE12A3" w14:paraId="4278947A" w14:textId="77777777" w:rsidTr="009F4766">
        <w:tc>
          <w:tcPr>
            <w:tcW w:w="1182" w:type="dxa"/>
            <w:tcBorders>
              <w:top w:val="single" w:sz="2" w:space="0" w:color="auto"/>
              <w:left w:val="single" w:sz="2" w:space="0" w:color="auto"/>
              <w:bottom w:val="single" w:sz="2" w:space="0" w:color="auto"/>
              <w:right w:val="single" w:sz="2" w:space="0" w:color="auto"/>
            </w:tcBorders>
          </w:tcPr>
          <w:p w14:paraId="2E6A420B" w14:textId="77777777" w:rsidR="009F4766" w:rsidRPr="00DE12A3" w:rsidRDefault="009F4766" w:rsidP="00C917D6">
            <w:pPr>
              <w:pStyle w:val="NormalLeft"/>
            </w:pPr>
            <w:r w:rsidRPr="00DE12A3">
              <w:t>155</w:t>
            </w:r>
          </w:p>
        </w:tc>
        <w:tc>
          <w:tcPr>
            <w:tcW w:w="2489" w:type="dxa"/>
            <w:tcBorders>
              <w:top w:val="single" w:sz="2" w:space="0" w:color="auto"/>
              <w:left w:val="single" w:sz="2" w:space="0" w:color="auto"/>
              <w:bottom w:val="single" w:sz="2" w:space="0" w:color="auto"/>
              <w:right w:val="single" w:sz="2" w:space="0" w:color="auto"/>
            </w:tcBorders>
          </w:tcPr>
          <w:p w14:paraId="3D747ACF" w14:textId="77777777" w:rsidR="009F4766" w:rsidRPr="00DE12A3" w:rsidRDefault="009F4766" w:rsidP="00C917D6">
            <w:pPr>
              <w:pStyle w:val="NormalLeft"/>
            </w:pPr>
            <w:r w:rsidRPr="00DE12A3">
              <w:t>29</w:t>
            </w:r>
          </w:p>
        </w:tc>
        <w:tc>
          <w:tcPr>
            <w:tcW w:w="2551" w:type="dxa"/>
            <w:tcBorders>
              <w:top w:val="single" w:sz="2" w:space="0" w:color="auto"/>
              <w:left w:val="single" w:sz="2" w:space="0" w:color="auto"/>
              <w:bottom w:val="single" w:sz="2" w:space="0" w:color="auto"/>
              <w:right w:val="single" w:sz="2" w:space="0" w:color="auto"/>
            </w:tcBorders>
          </w:tcPr>
          <w:p w14:paraId="389836BC" w14:textId="77777777" w:rsidR="009F4766" w:rsidRPr="00DE12A3" w:rsidRDefault="009F4766" w:rsidP="00C917D6">
            <w:pPr>
              <w:pStyle w:val="NormalLeft"/>
            </w:pPr>
            <w:r w:rsidRPr="00DE12A3">
              <w:t>47</w:t>
            </w:r>
          </w:p>
        </w:tc>
      </w:tr>
      <w:tr w:rsidR="00DE12A3" w:rsidRPr="00DE12A3" w14:paraId="636C9026" w14:textId="77777777" w:rsidTr="009F4766">
        <w:tc>
          <w:tcPr>
            <w:tcW w:w="1182" w:type="dxa"/>
            <w:tcBorders>
              <w:top w:val="single" w:sz="2" w:space="0" w:color="auto"/>
              <w:left w:val="single" w:sz="2" w:space="0" w:color="auto"/>
              <w:bottom w:val="single" w:sz="2" w:space="0" w:color="auto"/>
              <w:right w:val="single" w:sz="2" w:space="0" w:color="auto"/>
            </w:tcBorders>
          </w:tcPr>
          <w:p w14:paraId="26E4DF6B" w14:textId="77777777" w:rsidR="009F4766" w:rsidRPr="00DE12A3" w:rsidRDefault="009F4766" w:rsidP="00C917D6">
            <w:pPr>
              <w:pStyle w:val="NormalLeft"/>
            </w:pPr>
            <w:r w:rsidRPr="00DE12A3">
              <w:t>156</w:t>
            </w:r>
          </w:p>
        </w:tc>
        <w:tc>
          <w:tcPr>
            <w:tcW w:w="2489" w:type="dxa"/>
            <w:tcBorders>
              <w:top w:val="single" w:sz="2" w:space="0" w:color="auto"/>
              <w:left w:val="single" w:sz="2" w:space="0" w:color="auto"/>
              <w:bottom w:val="single" w:sz="2" w:space="0" w:color="auto"/>
              <w:right w:val="single" w:sz="2" w:space="0" w:color="auto"/>
            </w:tcBorders>
          </w:tcPr>
          <w:p w14:paraId="355BD035" w14:textId="77777777" w:rsidR="009F4766" w:rsidRPr="00DE12A3" w:rsidRDefault="009F4766" w:rsidP="00C917D6">
            <w:pPr>
              <w:pStyle w:val="NormalLeft"/>
            </w:pPr>
            <w:r w:rsidRPr="00DE12A3">
              <w:t>33</w:t>
            </w:r>
          </w:p>
        </w:tc>
        <w:tc>
          <w:tcPr>
            <w:tcW w:w="2551" w:type="dxa"/>
            <w:tcBorders>
              <w:top w:val="single" w:sz="2" w:space="0" w:color="auto"/>
              <w:left w:val="single" w:sz="2" w:space="0" w:color="auto"/>
              <w:bottom w:val="single" w:sz="2" w:space="0" w:color="auto"/>
              <w:right w:val="single" w:sz="2" w:space="0" w:color="auto"/>
            </w:tcBorders>
          </w:tcPr>
          <w:p w14:paraId="1E4F4DE8" w14:textId="77777777" w:rsidR="009F4766" w:rsidRPr="00DE12A3" w:rsidRDefault="009F4766" w:rsidP="00C917D6">
            <w:pPr>
              <w:pStyle w:val="NormalLeft"/>
            </w:pPr>
            <w:r w:rsidRPr="00DE12A3">
              <w:t>45</w:t>
            </w:r>
          </w:p>
        </w:tc>
      </w:tr>
      <w:tr w:rsidR="00DE12A3" w:rsidRPr="00DE12A3" w14:paraId="6FBAEAB0" w14:textId="77777777" w:rsidTr="009F4766">
        <w:tc>
          <w:tcPr>
            <w:tcW w:w="1182" w:type="dxa"/>
            <w:tcBorders>
              <w:top w:val="single" w:sz="2" w:space="0" w:color="auto"/>
              <w:left w:val="single" w:sz="2" w:space="0" w:color="auto"/>
              <w:bottom w:val="single" w:sz="2" w:space="0" w:color="auto"/>
              <w:right w:val="single" w:sz="2" w:space="0" w:color="auto"/>
            </w:tcBorders>
          </w:tcPr>
          <w:p w14:paraId="56E2FDF6" w14:textId="77777777" w:rsidR="009F4766" w:rsidRPr="00DE12A3" w:rsidRDefault="009F4766" w:rsidP="00C917D6">
            <w:pPr>
              <w:pStyle w:val="NormalLeft"/>
            </w:pPr>
            <w:r w:rsidRPr="00DE12A3">
              <w:t>157</w:t>
            </w:r>
          </w:p>
        </w:tc>
        <w:tc>
          <w:tcPr>
            <w:tcW w:w="2489" w:type="dxa"/>
            <w:tcBorders>
              <w:top w:val="single" w:sz="2" w:space="0" w:color="auto"/>
              <w:left w:val="single" w:sz="2" w:space="0" w:color="auto"/>
              <w:bottom w:val="single" w:sz="2" w:space="0" w:color="auto"/>
              <w:right w:val="single" w:sz="2" w:space="0" w:color="auto"/>
            </w:tcBorders>
          </w:tcPr>
          <w:p w14:paraId="5D359F61" w14:textId="77777777" w:rsidR="009F4766" w:rsidRPr="00DE12A3" w:rsidRDefault="009F4766" w:rsidP="00C917D6">
            <w:pPr>
              <w:pStyle w:val="NormalLeft"/>
            </w:pPr>
            <w:r w:rsidRPr="00DE12A3">
              <w:t>16</w:t>
            </w:r>
          </w:p>
        </w:tc>
        <w:tc>
          <w:tcPr>
            <w:tcW w:w="2551" w:type="dxa"/>
            <w:tcBorders>
              <w:top w:val="single" w:sz="2" w:space="0" w:color="auto"/>
              <w:left w:val="single" w:sz="2" w:space="0" w:color="auto"/>
              <w:bottom w:val="single" w:sz="2" w:space="0" w:color="auto"/>
              <w:right w:val="single" w:sz="2" w:space="0" w:color="auto"/>
            </w:tcBorders>
          </w:tcPr>
          <w:p w14:paraId="6D304459" w14:textId="77777777" w:rsidR="009F4766" w:rsidRPr="00DE12A3" w:rsidRDefault="009F4766" w:rsidP="00C917D6">
            <w:pPr>
              <w:pStyle w:val="NormalLeft"/>
            </w:pPr>
            <w:r w:rsidRPr="00DE12A3">
              <w:t>49</w:t>
            </w:r>
          </w:p>
        </w:tc>
      </w:tr>
      <w:tr w:rsidR="00DE12A3" w:rsidRPr="00DE12A3" w14:paraId="7AC165E3" w14:textId="77777777" w:rsidTr="009F4766">
        <w:tc>
          <w:tcPr>
            <w:tcW w:w="1182" w:type="dxa"/>
            <w:tcBorders>
              <w:top w:val="single" w:sz="2" w:space="0" w:color="auto"/>
              <w:left w:val="single" w:sz="2" w:space="0" w:color="auto"/>
              <w:bottom w:val="single" w:sz="2" w:space="0" w:color="auto"/>
              <w:right w:val="single" w:sz="2" w:space="0" w:color="auto"/>
            </w:tcBorders>
          </w:tcPr>
          <w:p w14:paraId="70CA528D" w14:textId="77777777" w:rsidR="009F4766" w:rsidRPr="00DE12A3" w:rsidRDefault="009F4766" w:rsidP="00C917D6">
            <w:pPr>
              <w:pStyle w:val="NormalLeft"/>
            </w:pPr>
            <w:r w:rsidRPr="00DE12A3">
              <w:t>158</w:t>
            </w:r>
          </w:p>
        </w:tc>
        <w:tc>
          <w:tcPr>
            <w:tcW w:w="2489" w:type="dxa"/>
            <w:tcBorders>
              <w:top w:val="single" w:sz="2" w:space="0" w:color="auto"/>
              <w:left w:val="single" w:sz="2" w:space="0" w:color="auto"/>
              <w:bottom w:val="single" w:sz="2" w:space="0" w:color="auto"/>
              <w:right w:val="single" w:sz="2" w:space="0" w:color="auto"/>
            </w:tcBorders>
          </w:tcPr>
          <w:p w14:paraId="1CCDEBBA" w14:textId="77777777" w:rsidR="009F4766" w:rsidRPr="00DE12A3" w:rsidRDefault="009F4766" w:rsidP="00C917D6">
            <w:pPr>
              <w:pStyle w:val="NormalLeft"/>
            </w:pPr>
            <w:r w:rsidRPr="00DE12A3">
              <w:t>38</w:t>
            </w:r>
          </w:p>
        </w:tc>
        <w:tc>
          <w:tcPr>
            <w:tcW w:w="2551" w:type="dxa"/>
            <w:tcBorders>
              <w:top w:val="single" w:sz="2" w:space="0" w:color="auto"/>
              <w:left w:val="single" w:sz="2" w:space="0" w:color="auto"/>
              <w:bottom w:val="single" w:sz="2" w:space="0" w:color="auto"/>
              <w:right w:val="single" w:sz="2" w:space="0" w:color="auto"/>
            </w:tcBorders>
          </w:tcPr>
          <w:p w14:paraId="22D905D4" w14:textId="77777777" w:rsidR="009F4766" w:rsidRPr="00DE12A3" w:rsidRDefault="009F4766" w:rsidP="00C917D6">
            <w:pPr>
              <w:pStyle w:val="NormalLeft"/>
            </w:pPr>
            <w:r w:rsidRPr="00DE12A3">
              <w:t>45</w:t>
            </w:r>
          </w:p>
        </w:tc>
      </w:tr>
      <w:tr w:rsidR="00DE12A3" w:rsidRPr="00DE12A3" w14:paraId="19D8434F" w14:textId="77777777" w:rsidTr="009F4766">
        <w:tc>
          <w:tcPr>
            <w:tcW w:w="1182" w:type="dxa"/>
            <w:tcBorders>
              <w:top w:val="single" w:sz="2" w:space="0" w:color="auto"/>
              <w:left w:val="single" w:sz="2" w:space="0" w:color="auto"/>
              <w:bottom w:val="single" w:sz="2" w:space="0" w:color="auto"/>
              <w:right w:val="single" w:sz="2" w:space="0" w:color="auto"/>
            </w:tcBorders>
          </w:tcPr>
          <w:p w14:paraId="686EA76E" w14:textId="77777777" w:rsidR="009F4766" w:rsidRPr="00DE12A3" w:rsidRDefault="009F4766" w:rsidP="00C917D6">
            <w:pPr>
              <w:pStyle w:val="NormalLeft"/>
            </w:pPr>
            <w:r w:rsidRPr="00DE12A3">
              <w:t>159</w:t>
            </w:r>
          </w:p>
        </w:tc>
        <w:tc>
          <w:tcPr>
            <w:tcW w:w="2489" w:type="dxa"/>
            <w:tcBorders>
              <w:top w:val="single" w:sz="2" w:space="0" w:color="auto"/>
              <w:left w:val="single" w:sz="2" w:space="0" w:color="auto"/>
              <w:bottom w:val="single" w:sz="2" w:space="0" w:color="auto"/>
              <w:right w:val="single" w:sz="2" w:space="0" w:color="auto"/>
            </w:tcBorders>
          </w:tcPr>
          <w:p w14:paraId="781A0B70" w14:textId="77777777" w:rsidR="009F4766" w:rsidRPr="00DE12A3" w:rsidRDefault="009F4766" w:rsidP="00C917D6">
            <w:pPr>
              <w:pStyle w:val="NormalLeft"/>
            </w:pPr>
            <w:r w:rsidRPr="00DE12A3">
              <w:t>37</w:t>
            </w:r>
          </w:p>
        </w:tc>
        <w:tc>
          <w:tcPr>
            <w:tcW w:w="2551" w:type="dxa"/>
            <w:tcBorders>
              <w:top w:val="single" w:sz="2" w:space="0" w:color="auto"/>
              <w:left w:val="single" w:sz="2" w:space="0" w:color="auto"/>
              <w:bottom w:val="single" w:sz="2" w:space="0" w:color="auto"/>
              <w:right w:val="single" w:sz="2" w:space="0" w:color="auto"/>
            </w:tcBorders>
          </w:tcPr>
          <w:p w14:paraId="1A35B7C8" w14:textId="77777777" w:rsidR="009F4766" w:rsidRPr="00DE12A3" w:rsidRDefault="009F4766" w:rsidP="00C917D6">
            <w:pPr>
              <w:pStyle w:val="NormalLeft"/>
            </w:pPr>
            <w:r w:rsidRPr="00DE12A3">
              <w:t>43</w:t>
            </w:r>
          </w:p>
        </w:tc>
      </w:tr>
      <w:tr w:rsidR="00DE12A3" w:rsidRPr="00DE12A3" w14:paraId="13074233" w14:textId="77777777" w:rsidTr="009F4766">
        <w:tc>
          <w:tcPr>
            <w:tcW w:w="1182" w:type="dxa"/>
            <w:tcBorders>
              <w:top w:val="single" w:sz="2" w:space="0" w:color="auto"/>
              <w:left w:val="single" w:sz="2" w:space="0" w:color="auto"/>
              <w:bottom w:val="single" w:sz="2" w:space="0" w:color="auto"/>
              <w:right w:val="single" w:sz="2" w:space="0" w:color="auto"/>
            </w:tcBorders>
          </w:tcPr>
          <w:p w14:paraId="189AE466" w14:textId="77777777" w:rsidR="009F4766" w:rsidRPr="00DE12A3" w:rsidRDefault="009F4766" w:rsidP="00C917D6">
            <w:pPr>
              <w:pStyle w:val="NormalLeft"/>
            </w:pPr>
            <w:r w:rsidRPr="00DE12A3">
              <w:t>160</w:t>
            </w:r>
          </w:p>
        </w:tc>
        <w:tc>
          <w:tcPr>
            <w:tcW w:w="2489" w:type="dxa"/>
            <w:tcBorders>
              <w:top w:val="single" w:sz="2" w:space="0" w:color="auto"/>
              <w:left w:val="single" w:sz="2" w:space="0" w:color="auto"/>
              <w:bottom w:val="single" w:sz="2" w:space="0" w:color="auto"/>
              <w:right w:val="single" w:sz="2" w:space="0" w:color="auto"/>
            </w:tcBorders>
          </w:tcPr>
          <w:p w14:paraId="0938E776" w14:textId="77777777" w:rsidR="009F4766" w:rsidRPr="00DE12A3" w:rsidRDefault="009F4766" w:rsidP="00C917D6">
            <w:pPr>
              <w:pStyle w:val="NormalLeft"/>
            </w:pPr>
            <w:r w:rsidRPr="00DE12A3">
              <w:t>35</w:t>
            </w:r>
          </w:p>
        </w:tc>
        <w:tc>
          <w:tcPr>
            <w:tcW w:w="2551" w:type="dxa"/>
            <w:tcBorders>
              <w:top w:val="single" w:sz="2" w:space="0" w:color="auto"/>
              <w:left w:val="single" w:sz="2" w:space="0" w:color="auto"/>
              <w:bottom w:val="single" w:sz="2" w:space="0" w:color="auto"/>
              <w:right w:val="single" w:sz="2" w:space="0" w:color="auto"/>
            </w:tcBorders>
          </w:tcPr>
          <w:p w14:paraId="67145B81" w14:textId="77777777" w:rsidR="009F4766" w:rsidRPr="00DE12A3" w:rsidRDefault="009F4766" w:rsidP="00C917D6">
            <w:pPr>
              <w:pStyle w:val="NormalLeft"/>
            </w:pPr>
            <w:r w:rsidRPr="00DE12A3">
              <w:t>42</w:t>
            </w:r>
          </w:p>
        </w:tc>
      </w:tr>
      <w:tr w:rsidR="00DE12A3" w:rsidRPr="00DE12A3" w14:paraId="114394CB" w14:textId="77777777" w:rsidTr="009F4766">
        <w:tc>
          <w:tcPr>
            <w:tcW w:w="1182" w:type="dxa"/>
            <w:tcBorders>
              <w:top w:val="single" w:sz="2" w:space="0" w:color="auto"/>
              <w:left w:val="single" w:sz="2" w:space="0" w:color="auto"/>
              <w:bottom w:val="single" w:sz="2" w:space="0" w:color="auto"/>
              <w:right w:val="single" w:sz="2" w:space="0" w:color="auto"/>
            </w:tcBorders>
          </w:tcPr>
          <w:p w14:paraId="18836C4E" w14:textId="77777777" w:rsidR="009F4766" w:rsidRPr="00DE12A3" w:rsidRDefault="009F4766" w:rsidP="00C917D6">
            <w:pPr>
              <w:pStyle w:val="NormalLeft"/>
            </w:pPr>
            <w:r w:rsidRPr="00DE12A3">
              <w:t>161</w:t>
            </w:r>
          </w:p>
        </w:tc>
        <w:tc>
          <w:tcPr>
            <w:tcW w:w="2489" w:type="dxa"/>
            <w:tcBorders>
              <w:top w:val="single" w:sz="2" w:space="0" w:color="auto"/>
              <w:left w:val="single" w:sz="2" w:space="0" w:color="auto"/>
              <w:bottom w:val="single" w:sz="2" w:space="0" w:color="auto"/>
              <w:right w:val="single" w:sz="2" w:space="0" w:color="auto"/>
            </w:tcBorders>
          </w:tcPr>
          <w:p w14:paraId="04DEB4A5" w14:textId="77777777" w:rsidR="009F4766" w:rsidRPr="00DE12A3" w:rsidRDefault="009F4766" w:rsidP="00C917D6">
            <w:pPr>
              <w:pStyle w:val="NormalLeft"/>
            </w:pPr>
            <w:r w:rsidRPr="00DE12A3">
              <w:t>39</w:t>
            </w:r>
          </w:p>
        </w:tc>
        <w:tc>
          <w:tcPr>
            <w:tcW w:w="2551" w:type="dxa"/>
            <w:tcBorders>
              <w:top w:val="single" w:sz="2" w:space="0" w:color="auto"/>
              <w:left w:val="single" w:sz="2" w:space="0" w:color="auto"/>
              <w:bottom w:val="single" w:sz="2" w:space="0" w:color="auto"/>
              <w:right w:val="single" w:sz="2" w:space="0" w:color="auto"/>
            </w:tcBorders>
          </w:tcPr>
          <w:p w14:paraId="6EC4DC47" w14:textId="77777777" w:rsidR="009F4766" w:rsidRPr="00DE12A3" w:rsidRDefault="009F4766" w:rsidP="00C917D6">
            <w:pPr>
              <w:pStyle w:val="NormalLeft"/>
            </w:pPr>
            <w:r w:rsidRPr="00DE12A3">
              <w:t>43</w:t>
            </w:r>
          </w:p>
        </w:tc>
      </w:tr>
      <w:tr w:rsidR="00DE12A3" w:rsidRPr="00DE12A3" w14:paraId="7A4E9EB2" w14:textId="77777777" w:rsidTr="009F4766">
        <w:tc>
          <w:tcPr>
            <w:tcW w:w="1182" w:type="dxa"/>
            <w:tcBorders>
              <w:top w:val="single" w:sz="2" w:space="0" w:color="auto"/>
              <w:left w:val="single" w:sz="2" w:space="0" w:color="auto"/>
              <w:bottom w:val="single" w:sz="2" w:space="0" w:color="auto"/>
              <w:right w:val="single" w:sz="2" w:space="0" w:color="auto"/>
            </w:tcBorders>
          </w:tcPr>
          <w:p w14:paraId="68AFF31B" w14:textId="77777777" w:rsidR="009F4766" w:rsidRPr="00DE12A3" w:rsidRDefault="009F4766" w:rsidP="00C917D6">
            <w:pPr>
              <w:pStyle w:val="NormalLeft"/>
            </w:pPr>
            <w:r w:rsidRPr="00DE12A3">
              <w:t>162</w:t>
            </w:r>
          </w:p>
        </w:tc>
        <w:tc>
          <w:tcPr>
            <w:tcW w:w="2489" w:type="dxa"/>
            <w:tcBorders>
              <w:top w:val="single" w:sz="2" w:space="0" w:color="auto"/>
              <w:left w:val="single" w:sz="2" w:space="0" w:color="auto"/>
              <w:bottom w:val="single" w:sz="2" w:space="0" w:color="auto"/>
              <w:right w:val="single" w:sz="2" w:space="0" w:color="auto"/>
            </w:tcBorders>
          </w:tcPr>
          <w:p w14:paraId="410E37F6" w14:textId="77777777" w:rsidR="009F4766" w:rsidRPr="00DE12A3" w:rsidRDefault="009F4766" w:rsidP="00C917D6">
            <w:pPr>
              <w:pStyle w:val="NormalLeft"/>
            </w:pPr>
            <w:r w:rsidRPr="00DE12A3">
              <w:t>51</w:t>
            </w:r>
          </w:p>
        </w:tc>
        <w:tc>
          <w:tcPr>
            <w:tcW w:w="2551" w:type="dxa"/>
            <w:tcBorders>
              <w:top w:val="single" w:sz="2" w:space="0" w:color="auto"/>
              <w:left w:val="single" w:sz="2" w:space="0" w:color="auto"/>
              <w:bottom w:val="single" w:sz="2" w:space="0" w:color="auto"/>
              <w:right w:val="single" w:sz="2" w:space="0" w:color="auto"/>
            </w:tcBorders>
          </w:tcPr>
          <w:p w14:paraId="5985BA72" w14:textId="77777777" w:rsidR="009F4766" w:rsidRPr="00DE12A3" w:rsidRDefault="009F4766" w:rsidP="00C917D6">
            <w:pPr>
              <w:pStyle w:val="NormalLeft"/>
            </w:pPr>
            <w:r w:rsidRPr="00DE12A3">
              <w:t>49</w:t>
            </w:r>
          </w:p>
        </w:tc>
      </w:tr>
      <w:tr w:rsidR="00DE12A3" w:rsidRPr="00DE12A3" w14:paraId="0C3E05AC" w14:textId="77777777" w:rsidTr="009F4766">
        <w:tc>
          <w:tcPr>
            <w:tcW w:w="1182" w:type="dxa"/>
            <w:tcBorders>
              <w:top w:val="single" w:sz="2" w:space="0" w:color="auto"/>
              <w:left w:val="single" w:sz="2" w:space="0" w:color="auto"/>
              <w:bottom w:val="single" w:sz="2" w:space="0" w:color="auto"/>
              <w:right w:val="single" w:sz="2" w:space="0" w:color="auto"/>
            </w:tcBorders>
          </w:tcPr>
          <w:p w14:paraId="352B1976" w14:textId="77777777" w:rsidR="009F4766" w:rsidRPr="00DE12A3" w:rsidRDefault="009F4766" w:rsidP="00C917D6">
            <w:pPr>
              <w:pStyle w:val="NormalLeft"/>
            </w:pPr>
            <w:r w:rsidRPr="00DE12A3">
              <w:t>163</w:t>
            </w:r>
          </w:p>
        </w:tc>
        <w:tc>
          <w:tcPr>
            <w:tcW w:w="2489" w:type="dxa"/>
            <w:tcBorders>
              <w:top w:val="single" w:sz="2" w:space="0" w:color="auto"/>
              <w:left w:val="single" w:sz="2" w:space="0" w:color="auto"/>
              <w:bottom w:val="single" w:sz="2" w:space="0" w:color="auto"/>
              <w:right w:val="single" w:sz="2" w:space="0" w:color="auto"/>
            </w:tcBorders>
          </w:tcPr>
          <w:p w14:paraId="517C9504" w14:textId="77777777" w:rsidR="009F4766" w:rsidRPr="00DE12A3" w:rsidRDefault="009F4766" w:rsidP="00C917D6">
            <w:pPr>
              <w:pStyle w:val="NormalLeft"/>
            </w:pPr>
            <w:r w:rsidRPr="00DE12A3">
              <w:t>59</w:t>
            </w:r>
          </w:p>
        </w:tc>
        <w:tc>
          <w:tcPr>
            <w:tcW w:w="2551" w:type="dxa"/>
            <w:tcBorders>
              <w:top w:val="single" w:sz="2" w:space="0" w:color="auto"/>
              <w:left w:val="single" w:sz="2" w:space="0" w:color="auto"/>
              <w:bottom w:val="single" w:sz="2" w:space="0" w:color="auto"/>
              <w:right w:val="single" w:sz="2" w:space="0" w:color="auto"/>
            </w:tcBorders>
          </w:tcPr>
          <w:p w14:paraId="336D896E" w14:textId="77777777" w:rsidR="009F4766" w:rsidRPr="00DE12A3" w:rsidRDefault="009F4766" w:rsidP="00C917D6">
            <w:pPr>
              <w:pStyle w:val="NormalLeft"/>
            </w:pPr>
            <w:r w:rsidRPr="00DE12A3">
              <w:t>55</w:t>
            </w:r>
          </w:p>
        </w:tc>
      </w:tr>
      <w:tr w:rsidR="00DE12A3" w:rsidRPr="00DE12A3" w14:paraId="46C36D01" w14:textId="77777777" w:rsidTr="009F4766">
        <w:tc>
          <w:tcPr>
            <w:tcW w:w="1182" w:type="dxa"/>
            <w:tcBorders>
              <w:top w:val="single" w:sz="2" w:space="0" w:color="auto"/>
              <w:left w:val="single" w:sz="2" w:space="0" w:color="auto"/>
              <w:bottom w:val="single" w:sz="2" w:space="0" w:color="auto"/>
              <w:right w:val="single" w:sz="2" w:space="0" w:color="auto"/>
            </w:tcBorders>
          </w:tcPr>
          <w:p w14:paraId="426C609D" w14:textId="77777777" w:rsidR="009F4766" w:rsidRPr="00DE12A3" w:rsidRDefault="009F4766" w:rsidP="00C917D6">
            <w:pPr>
              <w:pStyle w:val="NormalLeft"/>
            </w:pPr>
            <w:r w:rsidRPr="00DE12A3">
              <w:t>164</w:t>
            </w:r>
          </w:p>
        </w:tc>
        <w:tc>
          <w:tcPr>
            <w:tcW w:w="2489" w:type="dxa"/>
            <w:tcBorders>
              <w:top w:val="single" w:sz="2" w:space="0" w:color="auto"/>
              <w:left w:val="single" w:sz="2" w:space="0" w:color="auto"/>
              <w:bottom w:val="single" w:sz="2" w:space="0" w:color="auto"/>
              <w:right w:val="single" w:sz="2" w:space="0" w:color="auto"/>
            </w:tcBorders>
          </w:tcPr>
          <w:p w14:paraId="52C34BAA" w14:textId="77777777" w:rsidR="009F4766" w:rsidRPr="00DE12A3" w:rsidRDefault="009F4766" w:rsidP="00C917D6">
            <w:pPr>
              <w:pStyle w:val="NormalLeft"/>
            </w:pPr>
            <w:r w:rsidRPr="00DE12A3">
              <w:t>65</w:t>
            </w:r>
          </w:p>
        </w:tc>
        <w:tc>
          <w:tcPr>
            <w:tcW w:w="2551" w:type="dxa"/>
            <w:tcBorders>
              <w:top w:val="single" w:sz="2" w:space="0" w:color="auto"/>
              <w:left w:val="single" w:sz="2" w:space="0" w:color="auto"/>
              <w:bottom w:val="single" w:sz="2" w:space="0" w:color="auto"/>
              <w:right w:val="single" w:sz="2" w:space="0" w:color="auto"/>
            </w:tcBorders>
          </w:tcPr>
          <w:p w14:paraId="293A906D" w14:textId="77777777" w:rsidR="009F4766" w:rsidRPr="00DE12A3" w:rsidRDefault="009F4766" w:rsidP="00C917D6">
            <w:pPr>
              <w:pStyle w:val="NormalLeft"/>
            </w:pPr>
            <w:r w:rsidRPr="00DE12A3">
              <w:t>54</w:t>
            </w:r>
          </w:p>
        </w:tc>
      </w:tr>
      <w:tr w:rsidR="00DE12A3" w:rsidRPr="00DE12A3" w14:paraId="55A6745D" w14:textId="77777777" w:rsidTr="009F4766">
        <w:tc>
          <w:tcPr>
            <w:tcW w:w="1182" w:type="dxa"/>
            <w:tcBorders>
              <w:top w:val="single" w:sz="2" w:space="0" w:color="auto"/>
              <w:left w:val="single" w:sz="2" w:space="0" w:color="auto"/>
              <w:bottom w:val="single" w:sz="2" w:space="0" w:color="auto"/>
              <w:right w:val="single" w:sz="2" w:space="0" w:color="auto"/>
            </w:tcBorders>
          </w:tcPr>
          <w:p w14:paraId="52399D2C" w14:textId="77777777" w:rsidR="009F4766" w:rsidRPr="00DE12A3" w:rsidRDefault="009F4766" w:rsidP="00C917D6">
            <w:pPr>
              <w:pStyle w:val="NormalLeft"/>
            </w:pPr>
            <w:r w:rsidRPr="00DE12A3">
              <w:t>165</w:t>
            </w:r>
          </w:p>
        </w:tc>
        <w:tc>
          <w:tcPr>
            <w:tcW w:w="2489" w:type="dxa"/>
            <w:tcBorders>
              <w:top w:val="single" w:sz="2" w:space="0" w:color="auto"/>
              <w:left w:val="single" w:sz="2" w:space="0" w:color="auto"/>
              <w:bottom w:val="single" w:sz="2" w:space="0" w:color="auto"/>
              <w:right w:val="single" w:sz="2" w:space="0" w:color="auto"/>
            </w:tcBorders>
          </w:tcPr>
          <w:p w14:paraId="074F8AB6" w14:textId="77777777" w:rsidR="009F4766" w:rsidRPr="00DE12A3" w:rsidRDefault="009F4766" w:rsidP="00C917D6">
            <w:pPr>
              <w:pStyle w:val="NormalLeft"/>
            </w:pPr>
            <w:r w:rsidRPr="00DE12A3">
              <w:t>76</w:t>
            </w:r>
          </w:p>
        </w:tc>
        <w:tc>
          <w:tcPr>
            <w:tcW w:w="2551" w:type="dxa"/>
            <w:tcBorders>
              <w:top w:val="single" w:sz="2" w:space="0" w:color="auto"/>
              <w:left w:val="single" w:sz="2" w:space="0" w:color="auto"/>
              <w:bottom w:val="single" w:sz="2" w:space="0" w:color="auto"/>
              <w:right w:val="single" w:sz="2" w:space="0" w:color="auto"/>
            </w:tcBorders>
          </w:tcPr>
          <w:p w14:paraId="118926E9" w14:textId="77777777" w:rsidR="009F4766" w:rsidRPr="00DE12A3" w:rsidRDefault="009F4766" w:rsidP="00C917D6">
            <w:pPr>
              <w:pStyle w:val="NormalLeft"/>
            </w:pPr>
            <w:r w:rsidRPr="00DE12A3">
              <w:t>62</w:t>
            </w:r>
          </w:p>
        </w:tc>
      </w:tr>
      <w:tr w:rsidR="00DE12A3" w:rsidRPr="00DE12A3" w14:paraId="57327777" w14:textId="77777777" w:rsidTr="009F4766">
        <w:tc>
          <w:tcPr>
            <w:tcW w:w="1182" w:type="dxa"/>
            <w:tcBorders>
              <w:top w:val="single" w:sz="2" w:space="0" w:color="auto"/>
              <w:left w:val="single" w:sz="2" w:space="0" w:color="auto"/>
              <w:bottom w:val="single" w:sz="2" w:space="0" w:color="auto"/>
              <w:right w:val="single" w:sz="2" w:space="0" w:color="auto"/>
            </w:tcBorders>
          </w:tcPr>
          <w:p w14:paraId="6DCAE4B5" w14:textId="77777777" w:rsidR="009F4766" w:rsidRPr="00DE12A3" w:rsidRDefault="009F4766" w:rsidP="00C917D6">
            <w:pPr>
              <w:pStyle w:val="NormalLeft"/>
            </w:pPr>
            <w:r w:rsidRPr="00DE12A3">
              <w:t>166</w:t>
            </w:r>
          </w:p>
        </w:tc>
        <w:tc>
          <w:tcPr>
            <w:tcW w:w="2489" w:type="dxa"/>
            <w:tcBorders>
              <w:top w:val="single" w:sz="2" w:space="0" w:color="auto"/>
              <w:left w:val="single" w:sz="2" w:space="0" w:color="auto"/>
              <w:bottom w:val="single" w:sz="2" w:space="0" w:color="auto"/>
              <w:right w:val="single" w:sz="2" w:space="0" w:color="auto"/>
            </w:tcBorders>
          </w:tcPr>
          <w:p w14:paraId="1BB4D430" w14:textId="77777777" w:rsidR="009F4766" w:rsidRPr="00DE12A3" w:rsidRDefault="009F4766" w:rsidP="00C917D6">
            <w:pPr>
              <w:pStyle w:val="NormalLeft"/>
            </w:pPr>
            <w:r w:rsidRPr="00DE12A3">
              <w:t>84</w:t>
            </w:r>
          </w:p>
        </w:tc>
        <w:tc>
          <w:tcPr>
            <w:tcW w:w="2551" w:type="dxa"/>
            <w:tcBorders>
              <w:top w:val="single" w:sz="2" w:space="0" w:color="auto"/>
              <w:left w:val="single" w:sz="2" w:space="0" w:color="auto"/>
              <w:bottom w:val="single" w:sz="2" w:space="0" w:color="auto"/>
              <w:right w:val="single" w:sz="2" w:space="0" w:color="auto"/>
            </w:tcBorders>
          </w:tcPr>
          <w:p w14:paraId="033D0697" w14:textId="77777777" w:rsidR="009F4766" w:rsidRPr="00DE12A3" w:rsidRDefault="009F4766" w:rsidP="00C917D6">
            <w:pPr>
              <w:pStyle w:val="NormalLeft"/>
            </w:pPr>
            <w:r w:rsidRPr="00DE12A3">
              <w:t>59</w:t>
            </w:r>
          </w:p>
        </w:tc>
      </w:tr>
      <w:tr w:rsidR="00DE12A3" w:rsidRPr="00DE12A3" w14:paraId="0D77E906" w14:textId="77777777" w:rsidTr="009F4766">
        <w:tc>
          <w:tcPr>
            <w:tcW w:w="1182" w:type="dxa"/>
            <w:tcBorders>
              <w:top w:val="single" w:sz="2" w:space="0" w:color="auto"/>
              <w:left w:val="single" w:sz="2" w:space="0" w:color="auto"/>
              <w:bottom w:val="single" w:sz="2" w:space="0" w:color="auto"/>
              <w:right w:val="single" w:sz="2" w:space="0" w:color="auto"/>
            </w:tcBorders>
          </w:tcPr>
          <w:p w14:paraId="461DFB4E" w14:textId="77777777" w:rsidR="009F4766" w:rsidRPr="00DE12A3" w:rsidRDefault="009F4766" w:rsidP="00C917D6">
            <w:pPr>
              <w:pStyle w:val="NormalLeft"/>
            </w:pPr>
            <w:r w:rsidRPr="00DE12A3">
              <w:t>167</w:t>
            </w:r>
          </w:p>
        </w:tc>
        <w:tc>
          <w:tcPr>
            <w:tcW w:w="2489" w:type="dxa"/>
            <w:tcBorders>
              <w:top w:val="single" w:sz="2" w:space="0" w:color="auto"/>
              <w:left w:val="single" w:sz="2" w:space="0" w:color="auto"/>
              <w:bottom w:val="single" w:sz="2" w:space="0" w:color="auto"/>
              <w:right w:val="single" w:sz="2" w:space="0" w:color="auto"/>
            </w:tcBorders>
          </w:tcPr>
          <w:p w14:paraId="073EBF79" w14:textId="77777777" w:rsidR="009F4766" w:rsidRPr="00DE12A3" w:rsidRDefault="009F4766" w:rsidP="00C917D6">
            <w:pPr>
              <w:pStyle w:val="NormalLeft"/>
            </w:pPr>
            <w:r w:rsidRPr="00DE12A3">
              <w:t>83</w:t>
            </w:r>
          </w:p>
        </w:tc>
        <w:tc>
          <w:tcPr>
            <w:tcW w:w="2551" w:type="dxa"/>
            <w:tcBorders>
              <w:top w:val="single" w:sz="2" w:space="0" w:color="auto"/>
              <w:left w:val="single" w:sz="2" w:space="0" w:color="auto"/>
              <w:bottom w:val="single" w:sz="2" w:space="0" w:color="auto"/>
              <w:right w:val="single" w:sz="2" w:space="0" w:color="auto"/>
            </w:tcBorders>
          </w:tcPr>
          <w:p w14:paraId="0D443A29" w14:textId="77777777" w:rsidR="009F4766" w:rsidRPr="00DE12A3" w:rsidRDefault="009F4766" w:rsidP="00C917D6">
            <w:pPr>
              <w:pStyle w:val="NormalLeft"/>
            </w:pPr>
            <w:r w:rsidRPr="00DE12A3">
              <w:t>29</w:t>
            </w:r>
          </w:p>
        </w:tc>
      </w:tr>
      <w:tr w:rsidR="00DE12A3" w:rsidRPr="00DE12A3" w14:paraId="4A97BA9D" w14:textId="77777777" w:rsidTr="009F4766">
        <w:tc>
          <w:tcPr>
            <w:tcW w:w="1182" w:type="dxa"/>
            <w:tcBorders>
              <w:top w:val="single" w:sz="2" w:space="0" w:color="auto"/>
              <w:left w:val="single" w:sz="2" w:space="0" w:color="auto"/>
              <w:bottom w:val="single" w:sz="2" w:space="0" w:color="auto"/>
              <w:right w:val="single" w:sz="2" w:space="0" w:color="auto"/>
            </w:tcBorders>
          </w:tcPr>
          <w:p w14:paraId="4C335283" w14:textId="77777777" w:rsidR="009F4766" w:rsidRPr="00DE12A3" w:rsidRDefault="009F4766" w:rsidP="00C917D6">
            <w:pPr>
              <w:pStyle w:val="NormalLeft"/>
            </w:pPr>
            <w:r w:rsidRPr="00DE12A3">
              <w:t>168</w:t>
            </w:r>
          </w:p>
        </w:tc>
        <w:tc>
          <w:tcPr>
            <w:tcW w:w="2489" w:type="dxa"/>
            <w:tcBorders>
              <w:top w:val="single" w:sz="2" w:space="0" w:color="auto"/>
              <w:left w:val="single" w:sz="2" w:space="0" w:color="auto"/>
              <w:bottom w:val="single" w:sz="2" w:space="0" w:color="auto"/>
              <w:right w:val="single" w:sz="2" w:space="0" w:color="auto"/>
            </w:tcBorders>
          </w:tcPr>
          <w:p w14:paraId="67F1426E" w14:textId="77777777" w:rsidR="009F4766" w:rsidRPr="00DE12A3" w:rsidRDefault="009F4766" w:rsidP="00C917D6">
            <w:pPr>
              <w:pStyle w:val="NormalLeft"/>
            </w:pPr>
            <w:r w:rsidRPr="00DE12A3">
              <w:t>67</w:t>
            </w:r>
          </w:p>
        </w:tc>
        <w:tc>
          <w:tcPr>
            <w:tcW w:w="2551" w:type="dxa"/>
            <w:tcBorders>
              <w:top w:val="single" w:sz="2" w:space="0" w:color="auto"/>
              <w:left w:val="single" w:sz="2" w:space="0" w:color="auto"/>
              <w:bottom w:val="single" w:sz="2" w:space="0" w:color="auto"/>
              <w:right w:val="single" w:sz="2" w:space="0" w:color="auto"/>
            </w:tcBorders>
          </w:tcPr>
          <w:p w14:paraId="2D8E63CF" w14:textId="77777777" w:rsidR="009F4766" w:rsidRPr="00DE12A3" w:rsidRDefault="009F4766" w:rsidP="00C917D6">
            <w:pPr>
              <w:pStyle w:val="NormalLeft"/>
            </w:pPr>
            <w:r w:rsidRPr="00DE12A3">
              <w:t>35</w:t>
            </w:r>
          </w:p>
        </w:tc>
      </w:tr>
      <w:tr w:rsidR="00DE12A3" w:rsidRPr="00DE12A3" w14:paraId="59B429CF" w14:textId="77777777" w:rsidTr="009F4766">
        <w:tc>
          <w:tcPr>
            <w:tcW w:w="1182" w:type="dxa"/>
            <w:tcBorders>
              <w:top w:val="single" w:sz="2" w:space="0" w:color="auto"/>
              <w:left w:val="single" w:sz="2" w:space="0" w:color="auto"/>
              <w:bottom w:val="single" w:sz="2" w:space="0" w:color="auto"/>
              <w:right w:val="single" w:sz="2" w:space="0" w:color="auto"/>
            </w:tcBorders>
          </w:tcPr>
          <w:p w14:paraId="39DEFEA3" w14:textId="77777777" w:rsidR="009F4766" w:rsidRPr="00DE12A3" w:rsidRDefault="009F4766" w:rsidP="00C917D6">
            <w:pPr>
              <w:pStyle w:val="NormalLeft"/>
            </w:pPr>
            <w:r w:rsidRPr="00DE12A3">
              <w:t>169</w:t>
            </w:r>
          </w:p>
        </w:tc>
        <w:tc>
          <w:tcPr>
            <w:tcW w:w="2489" w:type="dxa"/>
            <w:tcBorders>
              <w:top w:val="single" w:sz="2" w:space="0" w:color="auto"/>
              <w:left w:val="single" w:sz="2" w:space="0" w:color="auto"/>
              <w:bottom w:val="single" w:sz="2" w:space="0" w:color="auto"/>
              <w:right w:val="single" w:sz="2" w:space="0" w:color="auto"/>
            </w:tcBorders>
          </w:tcPr>
          <w:p w14:paraId="3ADB98BE" w14:textId="77777777" w:rsidR="009F4766" w:rsidRPr="00DE12A3" w:rsidRDefault="009F4766" w:rsidP="00C917D6">
            <w:pPr>
              <w:pStyle w:val="NormalLeft"/>
            </w:pPr>
            <w:r w:rsidRPr="00DE12A3">
              <w:t>84</w:t>
            </w:r>
          </w:p>
        </w:tc>
        <w:tc>
          <w:tcPr>
            <w:tcW w:w="2551" w:type="dxa"/>
            <w:tcBorders>
              <w:top w:val="single" w:sz="2" w:space="0" w:color="auto"/>
              <w:left w:val="single" w:sz="2" w:space="0" w:color="auto"/>
              <w:bottom w:val="single" w:sz="2" w:space="0" w:color="auto"/>
              <w:right w:val="single" w:sz="2" w:space="0" w:color="auto"/>
            </w:tcBorders>
          </w:tcPr>
          <w:p w14:paraId="157F8F96" w14:textId="77777777" w:rsidR="009F4766" w:rsidRPr="00DE12A3" w:rsidRDefault="009F4766" w:rsidP="00C917D6">
            <w:pPr>
              <w:pStyle w:val="NormalLeft"/>
            </w:pPr>
            <w:r w:rsidRPr="00DE12A3">
              <w:t>54</w:t>
            </w:r>
          </w:p>
        </w:tc>
      </w:tr>
      <w:tr w:rsidR="00DE12A3" w:rsidRPr="00DE12A3" w14:paraId="3ECD2694" w14:textId="77777777" w:rsidTr="009F4766">
        <w:tc>
          <w:tcPr>
            <w:tcW w:w="1182" w:type="dxa"/>
            <w:tcBorders>
              <w:top w:val="single" w:sz="2" w:space="0" w:color="auto"/>
              <w:left w:val="single" w:sz="2" w:space="0" w:color="auto"/>
              <w:bottom w:val="single" w:sz="2" w:space="0" w:color="auto"/>
              <w:right w:val="single" w:sz="2" w:space="0" w:color="auto"/>
            </w:tcBorders>
          </w:tcPr>
          <w:p w14:paraId="6FB4CC81" w14:textId="77777777" w:rsidR="009F4766" w:rsidRPr="00DE12A3" w:rsidRDefault="009F4766" w:rsidP="00C917D6">
            <w:pPr>
              <w:pStyle w:val="NormalLeft"/>
            </w:pPr>
            <w:r w:rsidRPr="00DE12A3">
              <w:t>170</w:t>
            </w:r>
          </w:p>
        </w:tc>
        <w:tc>
          <w:tcPr>
            <w:tcW w:w="2489" w:type="dxa"/>
            <w:tcBorders>
              <w:top w:val="single" w:sz="2" w:space="0" w:color="auto"/>
              <w:left w:val="single" w:sz="2" w:space="0" w:color="auto"/>
              <w:bottom w:val="single" w:sz="2" w:space="0" w:color="auto"/>
              <w:right w:val="single" w:sz="2" w:space="0" w:color="auto"/>
            </w:tcBorders>
          </w:tcPr>
          <w:p w14:paraId="061656B2" w14:textId="77777777" w:rsidR="009F4766" w:rsidRPr="00DE12A3" w:rsidRDefault="009F4766" w:rsidP="00C917D6">
            <w:pPr>
              <w:pStyle w:val="NormalLeft"/>
            </w:pPr>
            <w:r w:rsidRPr="00DE12A3">
              <w:t>90</w:t>
            </w:r>
          </w:p>
        </w:tc>
        <w:tc>
          <w:tcPr>
            <w:tcW w:w="2551" w:type="dxa"/>
            <w:tcBorders>
              <w:top w:val="single" w:sz="2" w:space="0" w:color="auto"/>
              <w:left w:val="single" w:sz="2" w:space="0" w:color="auto"/>
              <w:bottom w:val="single" w:sz="2" w:space="0" w:color="auto"/>
              <w:right w:val="single" w:sz="2" w:space="0" w:color="auto"/>
            </w:tcBorders>
          </w:tcPr>
          <w:p w14:paraId="22089873" w14:textId="77777777" w:rsidR="009F4766" w:rsidRPr="00DE12A3" w:rsidRDefault="009F4766" w:rsidP="00C917D6">
            <w:pPr>
              <w:pStyle w:val="NormalLeft"/>
            </w:pPr>
            <w:r w:rsidRPr="00DE12A3">
              <w:t>58</w:t>
            </w:r>
          </w:p>
        </w:tc>
      </w:tr>
      <w:tr w:rsidR="00DE12A3" w:rsidRPr="00DE12A3" w14:paraId="5594EF71" w14:textId="77777777" w:rsidTr="009F4766">
        <w:tc>
          <w:tcPr>
            <w:tcW w:w="1182" w:type="dxa"/>
            <w:tcBorders>
              <w:top w:val="single" w:sz="2" w:space="0" w:color="auto"/>
              <w:left w:val="single" w:sz="2" w:space="0" w:color="auto"/>
              <w:bottom w:val="single" w:sz="2" w:space="0" w:color="auto"/>
              <w:right w:val="single" w:sz="2" w:space="0" w:color="auto"/>
            </w:tcBorders>
          </w:tcPr>
          <w:p w14:paraId="5F4DDB73" w14:textId="77777777" w:rsidR="009F4766" w:rsidRPr="00DE12A3" w:rsidRDefault="009F4766" w:rsidP="00C917D6">
            <w:pPr>
              <w:pStyle w:val="NormalLeft"/>
            </w:pPr>
            <w:r w:rsidRPr="00DE12A3">
              <w:lastRenderedPageBreak/>
              <w:t>171</w:t>
            </w:r>
          </w:p>
        </w:tc>
        <w:tc>
          <w:tcPr>
            <w:tcW w:w="2489" w:type="dxa"/>
            <w:tcBorders>
              <w:top w:val="single" w:sz="2" w:space="0" w:color="auto"/>
              <w:left w:val="single" w:sz="2" w:space="0" w:color="auto"/>
              <w:bottom w:val="single" w:sz="2" w:space="0" w:color="auto"/>
              <w:right w:val="single" w:sz="2" w:space="0" w:color="auto"/>
            </w:tcBorders>
          </w:tcPr>
          <w:p w14:paraId="48E8A2E5" w14:textId="77777777" w:rsidR="009F4766" w:rsidRPr="00DE12A3" w:rsidRDefault="009F4766" w:rsidP="00C917D6">
            <w:pPr>
              <w:pStyle w:val="NormalLeft"/>
            </w:pPr>
            <w:r w:rsidRPr="00DE12A3">
              <w:t>93</w:t>
            </w:r>
          </w:p>
        </w:tc>
        <w:tc>
          <w:tcPr>
            <w:tcW w:w="2551" w:type="dxa"/>
            <w:tcBorders>
              <w:top w:val="single" w:sz="2" w:space="0" w:color="auto"/>
              <w:left w:val="single" w:sz="2" w:space="0" w:color="auto"/>
              <w:bottom w:val="single" w:sz="2" w:space="0" w:color="auto"/>
              <w:right w:val="single" w:sz="2" w:space="0" w:color="auto"/>
            </w:tcBorders>
          </w:tcPr>
          <w:p w14:paraId="1FBDF60C" w14:textId="77777777" w:rsidR="009F4766" w:rsidRPr="00DE12A3" w:rsidRDefault="009F4766" w:rsidP="00C917D6">
            <w:pPr>
              <w:pStyle w:val="NormalLeft"/>
            </w:pPr>
            <w:r w:rsidRPr="00DE12A3">
              <w:t>43</w:t>
            </w:r>
          </w:p>
        </w:tc>
      </w:tr>
      <w:tr w:rsidR="00DE12A3" w:rsidRPr="00DE12A3" w14:paraId="2F843820" w14:textId="77777777" w:rsidTr="009F4766">
        <w:tc>
          <w:tcPr>
            <w:tcW w:w="1182" w:type="dxa"/>
            <w:tcBorders>
              <w:top w:val="single" w:sz="2" w:space="0" w:color="auto"/>
              <w:left w:val="single" w:sz="2" w:space="0" w:color="auto"/>
              <w:bottom w:val="single" w:sz="2" w:space="0" w:color="auto"/>
              <w:right w:val="single" w:sz="2" w:space="0" w:color="auto"/>
            </w:tcBorders>
          </w:tcPr>
          <w:p w14:paraId="4DB2AE06" w14:textId="77777777" w:rsidR="009F4766" w:rsidRPr="00DE12A3" w:rsidRDefault="009F4766" w:rsidP="00C917D6">
            <w:pPr>
              <w:pStyle w:val="NormalLeft"/>
            </w:pPr>
            <w:r w:rsidRPr="00DE12A3">
              <w:t>172</w:t>
            </w:r>
          </w:p>
        </w:tc>
        <w:tc>
          <w:tcPr>
            <w:tcW w:w="2489" w:type="dxa"/>
            <w:tcBorders>
              <w:top w:val="single" w:sz="2" w:space="0" w:color="auto"/>
              <w:left w:val="single" w:sz="2" w:space="0" w:color="auto"/>
              <w:bottom w:val="single" w:sz="2" w:space="0" w:color="auto"/>
              <w:right w:val="single" w:sz="2" w:space="0" w:color="auto"/>
            </w:tcBorders>
          </w:tcPr>
          <w:p w14:paraId="5ACAEC34" w14:textId="77777777" w:rsidR="009F4766" w:rsidRPr="00DE12A3" w:rsidRDefault="009F4766" w:rsidP="00C917D6">
            <w:pPr>
              <w:pStyle w:val="NormalLeft"/>
            </w:pPr>
            <w:r w:rsidRPr="00DE12A3">
              <w:t>90</w:t>
            </w:r>
          </w:p>
        </w:tc>
        <w:tc>
          <w:tcPr>
            <w:tcW w:w="2551" w:type="dxa"/>
            <w:tcBorders>
              <w:top w:val="single" w:sz="2" w:space="0" w:color="auto"/>
              <w:left w:val="single" w:sz="2" w:space="0" w:color="auto"/>
              <w:bottom w:val="single" w:sz="2" w:space="0" w:color="auto"/>
              <w:right w:val="single" w:sz="2" w:space="0" w:color="auto"/>
            </w:tcBorders>
          </w:tcPr>
          <w:p w14:paraId="35D4606E" w14:textId="77777777" w:rsidR="009F4766" w:rsidRPr="00DE12A3" w:rsidRDefault="009F4766" w:rsidP="00C917D6">
            <w:pPr>
              <w:pStyle w:val="NormalLeft"/>
            </w:pPr>
            <w:r w:rsidRPr="00DE12A3">
              <w:t>29</w:t>
            </w:r>
          </w:p>
        </w:tc>
      </w:tr>
      <w:tr w:rsidR="00DE12A3" w:rsidRPr="00DE12A3" w14:paraId="4283CA80" w14:textId="77777777" w:rsidTr="009F4766">
        <w:tc>
          <w:tcPr>
            <w:tcW w:w="1182" w:type="dxa"/>
            <w:tcBorders>
              <w:top w:val="single" w:sz="2" w:space="0" w:color="auto"/>
              <w:left w:val="single" w:sz="2" w:space="0" w:color="auto"/>
              <w:bottom w:val="single" w:sz="2" w:space="0" w:color="auto"/>
              <w:right w:val="single" w:sz="2" w:space="0" w:color="auto"/>
            </w:tcBorders>
          </w:tcPr>
          <w:p w14:paraId="7E69E722" w14:textId="77777777" w:rsidR="009F4766" w:rsidRPr="00DE12A3" w:rsidRDefault="009F4766" w:rsidP="00C917D6">
            <w:pPr>
              <w:pStyle w:val="NormalLeft"/>
            </w:pPr>
            <w:r w:rsidRPr="00DE12A3">
              <w:t>173</w:t>
            </w:r>
          </w:p>
        </w:tc>
        <w:tc>
          <w:tcPr>
            <w:tcW w:w="2489" w:type="dxa"/>
            <w:tcBorders>
              <w:top w:val="single" w:sz="2" w:space="0" w:color="auto"/>
              <w:left w:val="single" w:sz="2" w:space="0" w:color="auto"/>
              <w:bottom w:val="single" w:sz="2" w:space="0" w:color="auto"/>
              <w:right w:val="single" w:sz="2" w:space="0" w:color="auto"/>
            </w:tcBorders>
          </w:tcPr>
          <w:p w14:paraId="3FD4F671" w14:textId="77777777" w:rsidR="009F4766" w:rsidRPr="00DE12A3" w:rsidRDefault="009F4766" w:rsidP="00C917D6">
            <w:pPr>
              <w:pStyle w:val="NormalLeft"/>
            </w:pPr>
            <w:r w:rsidRPr="00DE12A3">
              <w:t>66</w:t>
            </w:r>
          </w:p>
        </w:tc>
        <w:tc>
          <w:tcPr>
            <w:tcW w:w="2551" w:type="dxa"/>
            <w:tcBorders>
              <w:top w:val="single" w:sz="2" w:space="0" w:color="auto"/>
              <w:left w:val="single" w:sz="2" w:space="0" w:color="auto"/>
              <w:bottom w:val="single" w:sz="2" w:space="0" w:color="auto"/>
              <w:right w:val="single" w:sz="2" w:space="0" w:color="auto"/>
            </w:tcBorders>
          </w:tcPr>
          <w:p w14:paraId="67FF26E3" w14:textId="77777777" w:rsidR="009F4766" w:rsidRPr="00DE12A3" w:rsidRDefault="009F4766" w:rsidP="00C917D6">
            <w:pPr>
              <w:pStyle w:val="NormalLeft"/>
            </w:pPr>
            <w:r w:rsidRPr="00DE12A3">
              <w:t>19</w:t>
            </w:r>
          </w:p>
        </w:tc>
      </w:tr>
      <w:tr w:rsidR="00DE12A3" w:rsidRPr="00DE12A3" w14:paraId="581A6628" w14:textId="77777777" w:rsidTr="009F4766">
        <w:tc>
          <w:tcPr>
            <w:tcW w:w="1182" w:type="dxa"/>
            <w:tcBorders>
              <w:top w:val="single" w:sz="2" w:space="0" w:color="auto"/>
              <w:left w:val="single" w:sz="2" w:space="0" w:color="auto"/>
              <w:bottom w:val="single" w:sz="2" w:space="0" w:color="auto"/>
              <w:right w:val="single" w:sz="2" w:space="0" w:color="auto"/>
            </w:tcBorders>
          </w:tcPr>
          <w:p w14:paraId="54FC69E3" w14:textId="77777777" w:rsidR="009F4766" w:rsidRPr="00DE12A3" w:rsidRDefault="009F4766" w:rsidP="00C917D6">
            <w:pPr>
              <w:pStyle w:val="NormalLeft"/>
            </w:pPr>
            <w:r w:rsidRPr="00DE12A3">
              <w:t>174</w:t>
            </w:r>
          </w:p>
        </w:tc>
        <w:tc>
          <w:tcPr>
            <w:tcW w:w="2489" w:type="dxa"/>
            <w:tcBorders>
              <w:top w:val="single" w:sz="2" w:space="0" w:color="auto"/>
              <w:left w:val="single" w:sz="2" w:space="0" w:color="auto"/>
              <w:bottom w:val="single" w:sz="2" w:space="0" w:color="auto"/>
              <w:right w:val="single" w:sz="2" w:space="0" w:color="auto"/>
            </w:tcBorders>
          </w:tcPr>
          <w:p w14:paraId="72771E0D" w14:textId="77777777" w:rsidR="009F4766" w:rsidRPr="00DE12A3" w:rsidRDefault="009F4766" w:rsidP="00C917D6">
            <w:pPr>
              <w:pStyle w:val="NormalLeft"/>
            </w:pPr>
            <w:r w:rsidRPr="00DE12A3">
              <w:t>52</w:t>
            </w:r>
          </w:p>
        </w:tc>
        <w:tc>
          <w:tcPr>
            <w:tcW w:w="2551" w:type="dxa"/>
            <w:tcBorders>
              <w:top w:val="single" w:sz="2" w:space="0" w:color="auto"/>
              <w:left w:val="single" w:sz="2" w:space="0" w:color="auto"/>
              <w:bottom w:val="single" w:sz="2" w:space="0" w:color="auto"/>
              <w:right w:val="single" w:sz="2" w:space="0" w:color="auto"/>
            </w:tcBorders>
          </w:tcPr>
          <w:p w14:paraId="5EC8CAD6" w14:textId="77777777" w:rsidR="009F4766" w:rsidRPr="00DE12A3" w:rsidRDefault="009F4766" w:rsidP="00C917D6">
            <w:pPr>
              <w:pStyle w:val="NormalLeft"/>
            </w:pPr>
            <w:r w:rsidRPr="00DE12A3">
              <w:t>16</w:t>
            </w:r>
          </w:p>
        </w:tc>
      </w:tr>
      <w:tr w:rsidR="00DE12A3" w:rsidRPr="00DE12A3" w14:paraId="16388961" w14:textId="77777777" w:rsidTr="009F4766">
        <w:tc>
          <w:tcPr>
            <w:tcW w:w="1182" w:type="dxa"/>
            <w:tcBorders>
              <w:top w:val="single" w:sz="2" w:space="0" w:color="auto"/>
              <w:left w:val="single" w:sz="2" w:space="0" w:color="auto"/>
              <w:bottom w:val="single" w:sz="2" w:space="0" w:color="auto"/>
              <w:right w:val="single" w:sz="2" w:space="0" w:color="auto"/>
            </w:tcBorders>
          </w:tcPr>
          <w:p w14:paraId="07CDF463" w14:textId="77777777" w:rsidR="009F4766" w:rsidRPr="00DE12A3" w:rsidRDefault="009F4766" w:rsidP="00C917D6">
            <w:pPr>
              <w:pStyle w:val="NormalLeft"/>
            </w:pPr>
            <w:r w:rsidRPr="00DE12A3">
              <w:t>175</w:t>
            </w:r>
          </w:p>
        </w:tc>
        <w:tc>
          <w:tcPr>
            <w:tcW w:w="2489" w:type="dxa"/>
            <w:tcBorders>
              <w:top w:val="single" w:sz="2" w:space="0" w:color="auto"/>
              <w:left w:val="single" w:sz="2" w:space="0" w:color="auto"/>
              <w:bottom w:val="single" w:sz="2" w:space="0" w:color="auto"/>
              <w:right w:val="single" w:sz="2" w:space="0" w:color="auto"/>
            </w:tcBorders>
          </w:tcPr>
          <w:p w14:paraId="03252401" w14:textId="77777777" w:rsidR="009F4766" w:rsidRPr="00DE12A3" w:rsidRDefault="009F4766" w:rsidP="00C917D6">
            <w:pPr>
              <w:pStyle w:val="NormalLeft"/>
            </w:pPr>
            <w:r w:rsidRPr="00DE12A3">
              <w:t>49</w:t>
            </w:r>
          </w:p>
        </w:tc>
        <w:tc>
          <w:tcPr>
            <w:tcW w:w="2551" w:type="dxa"/>
            <w:tcBorders>
              <w:top w:val="single" w:sz="2" w:space="0" w:color="auto"/>
              <w:left w:val="single" w:sz="2" w:space="0" w:color="auto"/>
              <w:bottom w:val="single" w:sz="2" w:space="0" w:color="auto"/>
              <w:right w:val="single" w:sz="2" w:space="0" w:color="auto"/>
            </w:tcBorders>
          </w:tcPr>
          <w:p w14:paraId="42E2EA05" w14:textId="77777777" w:rsidR="009F4766" w:rsidRPr="00DE12A3" w:rsidRDefault="009F4766" w:rsidP="00C917D6">
            <w:pPr>
              <w:pStyle w:val="NormalLeft"/>
            </w:pPr>
            <w:r w:rsidRPr="00DE12A3">
              <w:t>17</w:t>
            </w:r>
          </w:p>
        </w:tc>
      </w:tr>
      <w:tr w:rsidR="00DE12A3" w:rsidRPr="00DE12A3" w14:paraId="3762E312" w14:textId="77777777" w:rsidTr="009F4766">
        <w:tc>
          <w:tcPr>
            <w:tcW w:w="1182" w:type="dxa"/>
            <w:tcBorders>
              <w:top w:val="single" w:sz="2" w:space="0" w:color="auto"/>
              <w:left w:val="single" w:sz="2" w:space="0" w:color="auto"/>
              <w:bottom w:val="single" w:sz="2" w:space="0" w:color="auto"/>
              <w:right w:val="single" w:sz="2" w:space="0" w:color="auto"/>
            </w:tcBorders>
          </w:tcPr>
          <w:p w14:paraId="11FB0444" w14:textId="77777777" w:rsidR="009F4766" w:rsidRPr="00DE12A3" w:rsidRDefault="009F4766" w:rsidP="00C917D6">
            <w:pPr>
              <w:pStyle w:val="NormalLeft"/>
            </w:pPr>
            <w:r w:rsidRPr="00DE12A3">
              <w:t>176</w:t>
            </w:r>
          </w:p>
        </w:tc>
        <w:tc>
          <w:tcPr>
            <w:tcW w:w="2489" w:type="dxa"/>
            <w:tcBorders>
              <w:top w:val="single" w:sz="2" w:space="0" w:color="auto"/>
              <w:left w:val="single" w:sz="2" w:space="0" w:color="auto"/>
              <w:bottom w:val="single" w:sz="2" w:space="0" w:color="auto"/>
              <w:right w:val="single" w:sz="2" w:space="0" w:color="auto"/>
            </w:tcBorders>
          </w:tcPr>
          <w:p w14:paraId="65DF56C1" w14:textId="77777777" w:rsidR="009F4766" w:rsidRPr="00DE12A3" w:rsidRDefault="009F4766" w:rsidP="00C917D6">
            <w:pPr>
              <w:pStyle w:val="NormalLeft"/>
            </w:pPr>
            <w:r w:rsidRPr="00DE12A3">
              <w:t>56</w:t>
            </w:r>
          </w:p>
        </w:tc>
        <w:tc>
          <w:tcPr>
            <w:tcW w:w="2551" w:type="dxa"/>
            <w:tcBorders>
              <w:top w:val="single" w:sz="2" w:space="0" w:color="auto"/>
              <w:left w:val="single" w:sz="2" w:space="0" w:color="auto"/>
              <w:bottom w:val="single" w:sz="2" w:space="0" w:color="auto"/>
              <w:right w:val="single" w:sz="2" w:space="0" w:color="auto"/>
            </w:tcBorders>
          </w:tcPr>
          <w:p w14:paraId="441010D7" w14:textId="77777777" w:rsidR="009F4766" w:rsidRPr="00DE12A3" w:rsidRDefault="009F4766" w:rsidP="00C917D6">
            <w:pPr>
              <w:pStyle w:val="NormalLeft"/>
            </w:pPr>
            <w:r w:rsidRPr="00DE12A3">
              <w:t>38</w:t>
            </w:r>
          </w:p>
        </w:tc>
      </w:tr>
      <w:tr w:rsidR="00DE12A3" w:rsidRPr="00DE12A3" w14:paraId="6BA3C1CD" w14:textId="77777777" w:rsidTr="009F4766">
        <w:tc>
          <w:tcPr>
            <w:tcW w:w="1182" w:type="dxa"/>
            <w:tcBorders>
              <w:top w:val="single" w:sz="2" w:space="0" w:color="auto"/>
              <w:left w:val="single" w:sz="2" w:space="0" w:color="auto"/>
              <w:bottom w:val="single" w:sz="2" w:space="0" w:color="auto"/>
              <w:right w:val="single" w:sz="2" w:space="0" w:color="auto"/>
            </w:tcBorders>
          </w:tcPr>
          <w:p w14:paraId="67ADF0A5" w14:textId="77777777" w:rsidR="009F4766" w:rsidRPr="00DE12A3" w:rsidRDefault="009F4766" w:rsidP="00C917D6">
            <w:pPr>
              <w:pStyle w:val="NormalLeft"/>
            </w:pPr>
            <w:r w:rsidRPr="00DE12A3">
              <w:t>177</w:t>
            </w:r>
          </w:p>
        </w:tc>
        <w:tc>
          <w:tcPr>
            <w:tcW w:w="2489" w:type="dxa"/>
            <w:tcBorders>
              <w:top w:val="single" w:sz="2" w:space="0" w:color="auto"/>
              <w:left w:val="single" w:sz="2" w:space="0" w:color="auto"/>
              <w:bottom w:val="single" w:sz="2" w:space="0" w:color="auto"/>
              <w:right w:val="single" w:sz="2" w:space="0" w:color="auto"/>
            </w:tcBorders>
          </w:tcPr>
          <w:p w14:paraId="16F5D23F" w14:textId="77777777" w:rsidR="009F4766" w:rsidRPr="00DE12A3" w:rsidRDefault="009F4766" w:rsidP="00C917D6">
            <w:pPr>
              <w:pStyle w:val="NormalLeft"/>
            </w:pPr>
            <w:r w:rsidRPr="00DE12A3">
              <w:t>73</w:t>
            </w:r>
          </w:p>
        </w:tc>
        <w:tc>
          <w:tcPr>
            <w:tcW w:w="2551" w:type="dxa"/>
            <w:tcBorders>
              <w:top w:val="single" w:sz="2" w:space="0" w:color="auto"/>
              <w:left w:val="single" w:sz="2" w:space="0" w:color="auto"/>
              <w:bottom w:val="single" w:sz="2" w:space="0" w:color="auto"/>
              <w:right w:val="single" w:sz="2" w:space="0" w:color="auto"/>
            </w:tcBorders>
          </w:tcPr>
          <w:p w14:paraId="6F8F685E" w14:textId="77777777" w:rsidR="009F4766" w:rsidRPr="00DE12A3" w:rsidRDefault="009F4766" w:rsidP="00C917D6">
            <w:pPr>
              <w:pStyle w:val="NormalLeft"/>
            </w:pPr>
            <w:r w:rsidRPr="00DE12A3">
              <w:t>71</w:t>
            </w:r>
          </w:p>
        </w:tc>
      </w:tr>
      <w:tr w:rsidR="00DE12A3" w:rsidRPr="00DE12A3" w14:paraId="6F518EE1" w14:textId="77777777" w:rsidTr="009F4766">
        <w:tc>
          <w:tcPr>
            <w:tcW w:w="1182" w:type="dxa"/>
            <w:tcBorders>
              <w:top w:val="single" w:sz="2" w:space="0" w:color="auto"/>
              <w:left w:val="single" w:sz="2" w:space="0" w:color="auto"/>
              <w:bottom w:val="single" w:sz="2" w:space="0" w:color="auto"/>
              <w:right w:val="single" w:sz="2" w:space="0" w:color="auto"/>
            </w:tcBorders>
          </w:tcPr>
          <w:p w14:paraId="044EC5CB" w14:textId="77777777" w:rsidR="009F4766" w:rsidRPr="00DE12A3" w:rsidRDefault="009F4766" w:rsidP="00C917D6">
            <w:pPr>
              <w:pStyle w:val="NormalLeft"/>
            </w:pPr>
            <w:r w:rsidRPr="00DE12A3">
              <w:t>178</w:t>
            </w:r>
          </w:p>
        </w:tc>
        <w:tc>
          <w:tcPr>
            <w:tcW w:w="2489" w:type="dxa"/>
            <w:tcBorders>
              <w:top w:val="single" w:sz="2" w:space="0" w:color="auto"/>
              <w:left w:val="single" w:sz="2" w:space="0" w:color="auto"/>
              <w:bottom w:val="single" w:sz="2" w:space="0" w:color="auto"/>
              <w:right w:val="single" w:sz="2" w:space="0" w:color="auto"/>
            </w:tcBorders>
          </w:tcPr>
          <w:p w14:paraId="5D06BB03" w14:textId="77777777" w:rsidR="009F4766" w:rsidRPr="00DE12A3" w:rsidRDefault="009F4766" w:rsidP="00C917D6">
            <w:pPr>
              <w:pStyle w:val="NormalLeft"/>
            </w:pPr>
            <w:r w:rsidRPr="00DE12A3">
              <w:t>86</w:t>
            </w:r>
          </w:p>
        </w:tc>
        <w:tc>
          <w:tcPr>
            <w:tcW w:w="2551" w:type="dxa"/>
            <w:tcBorders>
              <w:top w:val="single" w:sz="2" w:space="0" w:color="auto"/>
              <w:left w:val="single" w:sz="2" w:space="0" w:color="auto"/>
              <w:bottom w:val="single" w:sz="2" w:space="0" w:color="auto"/>
              <w:right w:val="single" w:sz="2" w:space="0" w:color="auto"/>
            </w:tcBorders>
          </w:tcPr>
          <w:p w14:paraId="664139C1" w14:textId="77777777" w:rsidR="009F4766" w:rsidRPr="00DE12A3" w:rsidRDefault="009F4766" w:rsidP="00C917D6">
            <w:pPr>
              <w:pStyle w:val="NormalLeft"/>
            </w:pPr>
            <w:r w:rsidRPr="00DE12A3">
              <w:t>80</w:t>
            </w:r>
          </w:p>
        </w:tc>
      </w:tr>
      <w:tr w:rsidR="00DE12A3" w:rsidRPr="00DE12A3" w14:paraId="65F1A434" w14:textId="77777777" w:rsidTr="009F4766">
        <w:tc>
          <w:tcPr>
            <w:tcW w:w="1182" w:type="dxa"/>
            <w:tcBorders>
              <w:top w:val="single" w:sz="2" w:space="0" w:color="auto"/>
              <w:left w:val="single" w:sz="2" w:space="0" w:color="auto"/>
              <w:bottom w:val="single" w:sz="2" w:space="0" w:color="auto"/>
              <w:right w:val="single" w:sz="2" w:space="0" w:color="auto"/>
            </w:tcBorders>
          </w:tcPr>
          <w:p w14:paraId="26E351EA" w14:textId="77777777" w:rsidR="009F4766" w:rsidRPr="00DE12A3" w:rsidRDefault="009F4766" w:rsidP="00C917D6">
            <w:pPr>
              <w:pStyle w:val="NormalLeft"/>
            </w:pPr>
            <w:r w:rsidRPr="00DE12A3">
              <w:t>179</w:t>
            </w:r>
          </w:p>
        </w:tc>
        <w:tc>
          <w:tcPr>
            <w:tcW w:w="2489" w:type="dxa"/>
            <w:tcBorders>
              <w:top w:val="single" w:sz="2" w:space="0" w:color="auto"/>
              <w:left w:val="single" w:sz="2" w:space="0" w:color="auto"/>
              <w:bottom w:val="single" w:sz="2" w:space="0" w:color="auto"/>
              <w:right w:val="single" w:sz="2" w:space="0" w:color="auto"/>
            </w:tcBorders>
          </w:tcPr>
          <w:p w14:paraId="79CA415D" w14:textId="77777777" w:rsidR="009F4766" w:rsidRPr="00DE12A3" w:rsidRDefault="009F4766" w:rsidP="00C917D6">
            <w:pPr>
              <w:pStyle w:val="NormalLeft"/>
            </w:pPr>
            <w:r w:rsidRPr="00DE12A3">
              <w:t>96</w:t>
            </w:r>
          </w:p>
        </w:tc>
        <w:tc>
          <w:tcPr>
            <w:tcW w:w="2551" w:type="dxa"/>
            <w:tcBorders>
              <w:top w:val="single" w:sz="2" w:space="0" w:color="auto"/>
              <w:left w:val="single" w:sz="2" w:space="0" w:color="auto"/>
              <w:bottom w:val="single" w:sz="2" w:space="0" w:color="auto"/>
              <w:right w:val="single" w:sz="2" w:space="0" w:color="auto"/>
            </w:tcBorders>
          </w:tcPr>
          <w:p w14:paraId="5F3A984D" w14:textId="77777777" w:rsidR="009F4766" w:rsidRPr="00DE12A3" w:rsidRDefault="009F4766" w:rsidP="00C917D6">
            <w:pPr>
              <w:pStyle w:val="NormalLeft"/>
            </w:pPr>
            <w:r w:rsidRPr="00DE12A3">
              <w:t>75</w:t>
            </w:r>
          </w:p>
        </w:tc>
      </w:tr>
      <w:tr w:rsidR="00DE12A3" w:rsidRPr="00DE12A3" w14:paraId="58A383D7" w14:textId="77777777" w:rsidTr="009F4766">
        <w:tc>
          <w:tcPr>
            <w:tcW w:w="1182" w:type="dxa"/>
            <w:tcBorders>
              <w:top w:val="single" w:sz="2" w:space="0" w:color="auto"/>
              <w:left w:val="single" w:sz="2" w:space="0" w:color="auto"/>
              <w:bottom w:val="single" w:sz="2" w:space="0" w:color="auto"/>
              <w:right w:val="single" w:sz="2" w:space="0" w:color="auto"/>
            </w:tcBorders>
          </w:tcPr>
          <w:p w14:paraId="02353DC1" w14:textId="77777777" w:rsidR="009F4766" w:rsidRPr="00DE12A3" w:rsidRDefault="009F4766" w:rsidP="00C917D6">
            <w:pPr>
              <w:pStyle w:val="NormalLeft"/>
            </w:pPr>
            <w:r w:rsidRPr="00DE12A3">
              <w:t>180</w:t>
            </w:r>
          </w:p>
        </w:tc>
        <w:tc>
          <w:tcPr>
            <w:tcW w:w="2489" w:type="dxa"/>
            <w:tcBorders>
              <w:top w:val="single" w:sz="2" w:space="0" w:color="auto"/>
              <w:left w:val="single" w:sz="2" w:space="0" w:color="auto"/>
              <w:bottom w:val="single" w:sz="2" w:space="0" w:color="auto"/>
              <w:right w:val="single" w:sz="2" w:space="0" w:color="auto"/>
            </w:tcBorders>
          </w:tcPr>
          <w:p w14:paraId="4F8EC6F1" w14:textId="77777777" w:rsidR="009F4766" w:rsidRPr="00DE12A3" w:rsidRDefault="009F4766" w:rsidP="00C917D6">
            <w:pPr>
              <w:pStyle w:val="NormalLeft"/>
            </w:pPr>
            <w:r w:rsidRPr="00DE12A3">
              <w:t>89</w:t>
            </w:r>
          </w:p>
        </w:tc>
        <w:tc>
          <w:tcPr>
            <w:tcW w:w="2551" w:type="dxa"/>
            <w:tcBorders>
              <w:top w:val="single" w:sz="2" w:space="0" w:color="auto"/>
              <w:left w:val="single" w:sz="2" w:space="0" w:color="auto"/>
              <w:bottom w:val="single" w:sz="2" w:space="0" w:color="auto"/>
              <w:right w:val="single" w:sz="2" w:space="0" w:color="auto"/>
            </w:tcBorders>
          </w:tcPr>
          <w:p w14:paraId="3372DD60" w14:textId="77777777" w:rsidR="009F4766" w:rsidRPr="00DE12A3" w:rsidRDefault="009F4766" w:rsidP="00C917D6">
            <w:pPr>
              <w:pStyle w:val="NormalLeft"/>
            </w:pPr>
            <w:r w:rsidRPr="00DE12A3">
              <w:t>27</w:t>
            </w:r>
          </w:p>
        </w:tc>
      </w:tr>
      <w:tr w:rsidR="00DE12A3" w:rsidRPr="00DE12A3" w14:paraId="5D4C11E0" w14:textId="77777777" w:rsidTr="009F4766">
        <w:tc>
          <w:tcPr>
            <w:tcW w:w="1182" w:type="dxa"/>
            <w:tcBorders>
              <w:top w:val="single" w:sz="2" w:space="0" w:color="auto"/>
              <w:left w:val="single" w:sz="2" w:space="0" w:color="auto"/>
              <w:bottom w:val="single" w:sz="2" w:space="0" w:color="auto"/>
              <w:right w:val="single" w:sz="2" w:space="0" w:color="auto"/>
            </w:tcBorders>
          </w:tcPr>
          <w:p w14:paraId="1405B263" w14:textId="77777777" w:rsidR="009F4766" w:rsidRPr="00DE12A3" w:rsidRDefault="009F4766" w:rsidP="00C917D6">
            <w:pPr>
              <w:pStyle w:val="NormalLeft"/>
            </w:pPr>
            <w:r w:rsidRPr="00DE12A3">
              <w:t>181</w:t>
            </w:r>
          </w:p>
        </w:tc>
        <w:tc>
          <w:tcPr>
            <w:tcW w:w="2489" w:type="dxa"/>
            <w:tcBorders>
              <w:top w:val="single" w:sz="2" w:space="0" w:color="auto"/>
              <w:left w:val="single" w:sz="2" w:space="0" w:color="auto"/>
              <w:bottom w:val="single" w:sz="2" w:space="0" w:color="auto"/>
              <w:right w:val="single" w:sz="2" w:space="0" w:color="auto"/>
            </w:tcBorders>
          </w:tcPr>
          <w:p w14:paraId="39994D4B" w14:textId="77777777" w:rsidR="009F4766" w:rsidRPr="00DE12A3" w:rsidRDefault="009F4766" w:rsidP="00C917D6">
            <w:pPr>
              <w:pStyle w:val="NormalLeft"/>
            </w:pPr>
            <w:r w:rsidRPr="00DE12A3">
              <w:t>66</w:t>
            </w:r>
          </w:p>
        </w:tc>
        <w:tc>
          <w:tcPr>
            <w:tcW w:w="2551" w:type="dxa"/>
            <w:tcBorders>
              <w:top w:val="single" w:sz="2" w:space="0" w:color="auto"/>
              <w:left w:val="single" w:sz="2" w:space="0" w:color="auto"/>
              <w:bottom w:val="single" w:sz="2" w:space="0" w:color="auto"/>
              <w:right w:val="single" w:sz="2" w:space="0" w:color="auto"/>
            </w:tcBorders>
          </w:tcPr>
          <w:p w14:paraId="4936FB1B" w14:textId="77777777" w:rsidR="009F4766" w:rsidRPr="00DE12A3" w:rsidRDefault="009F4766" w:rsidP="00C917D6">
            <w:pPr>
              <w:pStyle w:val="NormalLeft"/>
            </w:pPr>
            <w:r w:rsidRPr="00DE12A3">
              <w:t>17</w:t>
            </w:r>
          </w:p>
        </w:tc>
      </w:tr>
      <w:tr w:rsidR="00DE12A3" w:rsidRPr="00DE12A3" w14:paraId="6A40D3A4" w14:textId="77777777" w:rsidTr="009F4766">
        <w:tc>
          <w:tcPr>
            <w:tcW w:w="1182" w:type="dxa"/>
            <w:tcBorders>
              <w:top w:val="single" w:sz="2" w:space="0" w:color="auto"/>
              <w:left w:val="single" w:sz="2" w:space="0" w:color="auto"/>
              <w:bottom w:val="single" w:sz="2" w:space="0" w:color="auto"/>
              <w:right w:val="single" w:sz="2" w:space="0" w:color="auto"/>
            </w:tcBorders>
          </w:tcPr>
          <w:p w14:paraId="4A569AC3" w14:textId="77777777" w:rsidR="009F4766" w:rsidRPr="00DE12A3" w:rsidRDefault="009F4766" w:rsidP="00C917D6">
            <w:pPr>
              <w:pStyle w:val="NormalLeft"/>
            </w:pPr>
            <w:r w:rsidRPr="00DE12A3">
              <w:t>182</w:t>
            </w:r>
          </w:p>
        </w:tc>
        <w:tc>
          <w:tcPr>
            <w:tcW w:w="2489" w:type="dxa"/>
            <w:tcBorders>
              <w:top w:val="single" w:sz="2" w:space="0" w:color="auto"/>
              <w:left w:val="single" w:sz="2" w:space="0" w:color="auto"/>
              <w:bottom w:val="single" w:sz="2" w:space="0" w:color="auto"/>
              <w:right w:val="single" w:sz="2" w:space="0" w:color="auto"/>
            </w:tcBorders>
          </w:tcPr>
          <w:p w14:paraId="777C0341" w14:textId="77777777" w:rsidR="009F4766" w:rsidRPr="00DE12A3" w:rsidRDefault="009F4766" w:rsidP="00C917D6">
            <w:pPr>
              <w:pStyle w:val="NormalLeft"/>
            </w:pPr>
            <w:r w:rsidRPr="00DE12A3">
              <w:t>50</w:t>
            </w:r>
          </w:p>
        </w:tc>
        <w:tc>
          <w:tcPr>
            <w:tcW w:w="2551" w:type="dxa"/>
            <w:tcBorders>
              <w:top w:val="single" w:sz="2" w:space="0" w:color="auto"/>
              <w:left w:val="single" w:sz="2" w:space="0" w:color="auto"/>
              <w:bottom w:val="single" w:sz="2" w:space="0" w:color="auto"/>
              <w:right w:val="single" w:sz="2" w:space="0" w:color="auto"/>
            </w:tcBorders>
          </w:tcPr>
          <w:p w14:paraId="6B95BB56" w14:textId="77777777" w:rsidR="009F4766" w:rsidRPr="00DE12A3" w:rsidRDefault="009F4766" w:rsidP="00C917D6">
            <w:pPr>
              <w:pStyle w:val="NormalLeft"/>
            </w:pPr>
            <w:r w:rsidRPr="00DE12A3">
              <w:t>18</w:t>
            </w:r>
          </w:p>
        </w:tc>
      </w:tr>
      <w:tr w:rsidR="00DE12A3" w:rsidRPr="00DE12A3" w14:paraId="1885C1E1" w14:textId="77777777" w:rsidTr="009F4766">
        <w:tc>
          <w:tcPr>
            <w:tcW w:w="1182" w:type="dxa"/>
            <w:tcBorders>
              <w:top w:val="single" w:sz="2" w:space="0" w:color="auto"/>
              <w:left w:val="single" w:sz="2" w:space="0" w:color="auto"/>
              <w:bottom w:val="single" w:sz="2" w:space="0" w:color="auto"/>
              <w:right w:val="single" w:sz="2" w:space="0" w:color="auto"/>
            </w:tcBorders>
          </w:tcPr>
          <w:p w14:paraId="54042F17" w14:textId="77777777" w:rsidR="009F4766" w:rsidRPr="00DE12A3" w:rsidRDefault="009F4766" w:rsidP="00C917D6">
            <w:pPr>
              <w:pStyle w:val="NormalLeft"/>
            </w:pPr>
            <w:r w:rsidRPr="00DE12A3">
              <w:t>183</w:t>
            </w:r>
          </w:p>
        </w:tc>
        <w:tc>
          <w:tcPr>
            <w:tcW w:w="2489" w:type="dxa"/>
            <w:tcBorders>
              <w:top w:val="single" w:sz="2" w:space="0" w:color="auto"/>
              <w:left w:val="single" w:sz="2" w:space="0" w:color="auto"/>
              <w:bottom w:val="single" w:sz="2" w:space="0" w:color="auto"/>
              <w:right w:val="single" w:sz="2" w:space="0" w:color="auto"/>
            </w:tcBorders>
          </w:tcPr>
          <w:p w14:paraId="3F8F7081" w14:textId="77777777" w:rsidR="009F4766" w:rsidRPr="00DE12A3" w:rsidRDefault="009F4766" w:rsidP="00C917D6">
            <w:pPr>
              <w:pStyle w:val="NormalLeft"/>
            </w:pPr>
            <w:r w:rsidRPr="00DE12A3">
              <w:t>36</w:t>
            </w:r>
          </w:p>
        </w:tc>
        <w:tc>
          <w:tcPr>
            <w:tcW w:w="2551" w:type="dxa"/>
            <w:tcBorders>
              <w:top w:val="single" w:sz="2" w:space="0" w:color="auto"/>
              <w:left w:val="single" w:sz="2" w:space="0" w:color="auto"/>
              <w:bottom w:val="single" w:sz="2" w:space="0" w:color="auto"/>
              <w:right w:val="single" w:sz="2" w:space="0" w:color="auto"/>
            </w:tcBorders>
          </w:tcPr>
          <w:p w14:paraId="7CDBD4F5" w14:textId="77777777" w:rsidR="009F4766" w:rsidRPr="00DE12A3" w:rsidRDefault="009F4766" w:rsidP="00C917D6">
            <w:pPr>
              <w:pStyle w:val="NormalLeft"/>
            </w:pPr>
            <w:r w:rsidRPr="00DE12A3">
              <w:t>25</w:t>
            </w:r>
          </w:p>
        </w:tc>
      </w:tr>
      <w:tr w:rsidR="00DE12A3" w:rsidRPr="00DE12A3" w14:paraId="3ADF57CF" w14:textId="77777777" w:rsidTr="009F4766">
        <w:tc>
          <w:tcPr>
            <w:tcW w:w="1182" w:type="dxa"/>
            <w:tcBorders>
              <w:top w:val="single" w:sz="2" w:space="0" w:color="auto"/>
              <w:left w:val="single" w:sz="2" w:space="0" w:color="auto"/>
              <w:bottom w:val="single" w:sz="2" w:space="0" w:color="auto"/>
              <w:right w:val="single" w:sz="2" w:space="0" w:color="auto"/>
            </w:tcBorders>
          </w:tcPr>
          <w:p w14:paraId="5E6B866A" w14:textId="77777777" w:rsidR="009F4766" w:rsidRPr="00DE12A3" w:rsidRDefault="009F4766" w:rsidP="00C917D6">
            <w:pPr>
              <w:pStyle w:val="NormalLeft"/>
            </w:pPr>
            <w:r w:rsidRPr="00DE12A3">
              <w:t>184</w:t>
            </w:r>
          </w:p>
        </w:tc>
        <w:tc>
          <w:tcPr>
            <w:tcW w:w="2489" w:type="dxa"/>
            <w:tcBorders>
              <w:top w:val="single" w:sz="2" w:space="0" w:color="auto"/>
              <w:left w:val="single" w:sz="2" w:space="0" w:color="auto"/>
              <w:bottom w:val="single" w:sz="2" w:space="0" w:color="auto"/>
              <w:right w:val="single" w:sz="2" w:space="0" w:color="auto"/>
            </w:tcBorders>
          </w:tcPr>
          <w:p w14:paraId="5E107AC1" w14:textId="77777777" w:rsidR="009F4766" w:rsidRPr="00DE12A3" w:rsidRDefault="009F4766" w:rsidP="00C917D6">
            <w:pPr>
              <w:pStyle w:val="NormalLeft"/>
            </w:pPr>
            <w:r w:rsidRPr="00DE12A3">
              <w:t>36</w:t>
            </w:r>
          </w:p>
        </w:tc>
        <w:tc>
          <w:tcPr>
            <w:tcW w:w="2551" w:type="dxa"/>
            <w:tcBorders>
              <w:top w:val="single" w:sz="2" w:space="0" w:color="auto"/>
              <w:left w:val="single" w:sz="2" w:space="0" w:color="auto"/>
              <w:bottom w:val="single" w:sz="2" w:space="0" w:color="auto"/>
              <w:right w:val="single" w:sz="2" w:space="0" w:color="auto"/>
            </w:tcBorders>
          </w:tcPr>
          <w:p w14:paraId="39422DAF" w14:textId="77777777" w:rsidR="009F4766" w:rsidRPr="00DE12A3" w:rsidRDefault="009F4766" w:rsidP="00C917D6">
            <w:pPr>
              <w:pStyle w:val="NormalLeft"/>
            </w:pPr>
            <w:r w:rsidRPr="00DE12A3">
              <w:t>24</w:t>
            </w:r>
          </w:p>
        </w:tc>
      </w:tr>
      <w:tr w:rsidR="00DE12A3" w:rsidRPr="00DE12A3" w14:paraId="28D31CC4" w14:textId="77777777" w:rsidTr="009F4766">
        <w:tc>
          <w:tcPr>
            <w:tcW w:w="1182" w:type="dxa"/>
            <w:tcBorders>
              <w:top w:val="single" w:sz="2" w:space="0" w:color="auto"/>
              <w:left w:val="single" w:sz="2" w:space="0" w:color="auto"/>
              <w:bottom w:val="single" w:sz="2" w:space="0" w:color="auto"/>
              <w:right w:val="single" w:sz="2" w:space="0" w:color="auto"/>
            </w:tcBorders>
          </w:tcPr>
          <w:p w14:paraId="253873BF" w14:textId="77777777" w:rsidR="009F4766" w:rsidRPr="00DE12A3" w:rsidRDefault="009F4766" w:rsidP="00C917D6">
            <w:pPr>
              <w:pStyle w:val="NormalLeft"/>
            </w:pPr>
            <w:r w:rsidRPr="00DE12A3">
              <w:t>185</w:t>
            </w:r>
          </w:p>
        </w:tc>
        <w:tc>
          <w:tcPr>
            <w:tcW w:w="2489" w:type="dxa"/>
            <w:tcBorders>
              <w:top w:val="single" w:sz="2" w:space="0" w:color="auto"/>
              <w:left w:val="single" w:sz="2" w:space="0" w:color="auto"/>
              <w:bottom w:val="single" w:sz="2" w:space="0" w:color="auto"/>
              <w:right w:val="single" w:sz="2" w:space="0" w:color="auto"/>
            </w:tcBorders>
          </w:tcPr>
          <w:p w14:paraId="01BD2E2C" w14:textId="77777777" w:rsidR="009F4766" w:rsidRPr="00DE12A3" w:rsidRDefault="009F4766" w:rsidP="00C917D6">
            <w:pPr>
              <w:pStyle w:val="NormalLeft"/>
            </w:pPr>
            <w:r w:rsidRPr="00DE12A3">
              <w:t>38</w:t>
            </w:r>
          </w:p>
        </w:tc>
        <w:tc>
          <w:tcPr>
            <w:tcW w:w="2551" w:type="dxa"/>
            <w:tcBorders>
              <w:top w:val="single" w:sz="2" w:space="0" w:color="auto"/>
              <w:left w:val="single" w:sz="2" w:space="0" w:color="auto"/>
              <w:bottom w:val="single" w:sz="2" w:space="0" w:color="auto"/>
              <w:right w:val="single" w:sz="2" w:space="0" w:color="auto"/>
            </w:tcBorders>
          </w:tcPr>
          <w:p w14:paraId="51A101E9" w14:textId="77777777" w:rsidR="009F4766" w:rsidRPr="00DE12A3" w:rsidRDefault="009F4766" w:rsidP="00C917D6">
            <w:pPr>
              <w:pStyle w:val="NormalLeft"/>
            </w:pPr>
            <w:r w:rsidRPr="00DE12A3">
              <w:t>40</w:t>
            </w:r>
          </w:p>
        </w:tc>
      </w:tr>
      <w:tr w:rsidR="00DE12A3" w:rsidRPr="00DE12A3" w14:paraId="479AB6EF" w14:textId="77777777" w:rsidTr="009F4766">
        <w:tc>
          <w:tcPr>
            <w:tcW w:w="1182" w:type="dxa"/>
            <w:tcBorders>
              <w:top w:val="single" w:sz="2" w:space="0" w:color="auto"/>
              <w:left w:val="single" w:sz="2" w:space="0" w:color="auto"/>
              <w:bottom w:val="single" w:sz="2" w:space="0" w:color="auto"/>
              <w:right w:val="single" w:sz="2" w:space="0" w:color="auto"/>
            </w:tcBorders>
          </w:tcPr>
          <w:p w14:paraId="460362DF" w14:textId="77777777" w:rsidR="009F4766" w:rsidRPr="00DE12A3" w:rsidRDefault="009F4766" w:rsidP="00C917D6">
            <w:pPr>
              <w:pStyle w:val="NormalLeft"/>
            </w:pPr>
            <w:r w:rsidRPr="00DE12A3">
              <w:t>186</w:t>
            </w:r>
          </w:p>
        </w:tc>
        <w:tc>
          <w:tcPr>
            <w:tcW w:w="2489" w:type="dxa"/>
            <w:tcBorders>
              <w:top w:val="single" w:sz="2" w:space="0" w:color="auto"/>
              <w:left w:val="single" w:sz="2" w:space="0" w:color="auto"/>
              <w:bottom w:val="single" w:sz="2" w:space="0" w:color="auto"/>
              <w:right w:val="single" w:sz="2" w:space="0" w:color="auto"/>
            </w:tcBorders>
          </w:tcPr>
          <w:p w14:paraId="0AF4CC6C" w14:textId="77777777" w:rsidR="009F4766" w:rsidRPr="00DE12A3" w:rsidRDefault="009F4766" w:rsidP="00C917D6">
            <w:pPr>
              <w:pStyle w:val="NormalLeft"/>
            </w:pPr>
            <w:r w:rsidRPr="00DE12A3">
              <w:t>40</w:t>
            </w:r>
          </w:p>
        </w:tc>
        <w:tc>
          <w:tcPr>
            <w:tcW w:w="2551" w:type="dxa"/>
            <w:tcBorders>
              <w:top w:val="single" w:sz="2" w:space="0" w:color="auto"/>
              <w:left w:val="single" w:sz="2" w:space="0" w:color="auto"/>
              <w:bottom w:val="single" w:sz="2" w:space="0" w:color="auto"/>
              <w:right w:val="single" w:sz="2" w:space="0" w:color="auto"/>
            </w:tcBorders>
          </w:tcPr>
          <w:p w14:paraId="6C5302AE" w14:textId="77777777" w:rsidR="009F4766" w:rsidRPr="00DE12A3" w:rsidRDefault="009F4766" w:rsidP="00C917D6">
            <w:pPr>
              <w:pStyle w:val="NormalLeft"/>
            </w:pPr>
            <w:r w:rsidRPr="00DE12A3">
              <w:t>50</w:t>
            </w:r>
          </w:p>
        </w:tc>
      </w:tr>
      <w:tr w:rsidR="00DE12A3" w:rsidRPr="00DE12A3" w14:paraId="6F6B95D0" w14:textId="77777777" w:rsidTr="009F4766">
        <w:tc>
          <w:tcPr>
            <w:tcW w:w="1182" w:type="dxa"/>
            <w:tcBorders>
              <w:top w:val="single" w:sz="2" w:space="0" w:color="auto"/>
              <w:left w:val="single" w:sz="2" w:space="0" w:color="auto"/>
              <w:bottom w:val="single" w:sz="2" w:space="0" w:color="auto"/>
              <w:right w:val="single" w:sz="2" w:space="0" w:color="auto"/>
            </w:tcBorders>
          </w:tcPr>
          <w:p w14:paraId="1568D40E" w14:textId="77777777" w:rsidR="009F4766" w:rsidRPr="00DE12A3" w:rsidRDefault="009F4766" w:rsidP="00C917D6">
            <w:pPr>
              <w:pStyle w:val="NormalLeft"/>
            </w:pPr>
            <w:r w:rsidRPr="00DE12A3">
              <w:t>187</w:t>
            </w:r>
          </w:p>
        </w:tc>
        <w:tc>
          <w:tcPr>
            <w:tcW w:w="2489" w:type="dxa"/>
            <w:tcBorders>
              <w:top w:val="single" w:sz="2" w:space="0" w:color="auto"/>
              <w:left w:val="single" w:sz="2" w:space="0" w:color="auto"/>
              <w:bottom w:val="single" w:sz="2" w:space="0" w:color="auto"/>
              <w:right w:val="single" w:sz="2" w:space="0" w:color="auto"/>
            </w:tcBorders>
          </w:tcPr>
          <w:p w14:paraId="719BDFC5" w14:textId="77777777" w:rsidR="009F4766" w:rsidRPr="00DE12A3" w:rsidRDefault="009F4766" w:rsidP="00C917D6">
            <w:pPr>
              <w:pStyle w:val="NormalLeft"/>
            </w:pPr>
            <w:r w:rsidRPr="00DE12A3">
              <w:t>27</w:t>
            </w:r>
          </w:p>
        </w:tc>
        <w:tc>
          <w:tcPr>
            <w:tcW w:w="2551" w:type="dxa"/>
            <w:tcBorders>
              <w:top w:val="single" w:sz="2" w:space="0" w:color="auto"/>
              <w:left w:val="single" w:sz="2" w:space="0" w:color="auto"/>
              <w:bottom w:val="single" w:sz="2" w:space="0" w:color="auto"/>
              <w:right w:val="single" w:sz="2" w:space="0" w:color="auto"/>
            </w:tcBorders>
          </w:tcPr>
          <w:p w14:paraId="03E47BBC" w14:textId="77777777" w:rsidR="009F4766" w:rsidRPr="00DE12A3" w:rsidRDefault="009F4766" w:rsidP="00C917D6">
            <w:pPr>
              <w:pStyle w:val="NormalLeft"/>
            </w:pPr>
            <w:r w:rsidRPr="00DE12A3">
              <w:t>48</w:t>
            </w:r>
          </w:p>
        </w:tc>
      </w:tr>
      <w:tr w:rsidR="00DE12A3" w:rsidRPr="00DE12A3" w14:paraId="18649D09" w14:textId="77777777" w:rsidTr="009F4766">
        <w:tc>
          <w:tcPr>
            <w:tcW w:w="1182" w:type="dxa"/>
            <w:tcBorders>
              <w:top w:val="single" w:sz="2" w:space="0" w:color="auto"/>
              <w:left w:val="single" w:sz="2" w:space="0" w:color="auto"/>
              <w:bottom w:val="single" w:sz="2" w:space="0" w:color="auto"/>
              <w:right w:val="single" w:sz="2" w:space="0" w:color="auto"/>
            </w:tcBorders>
          </w:tcPr>
          <w:p w14:paraId="0D5F4773" w14:textId="77777777" w:rsidR="009F4766" w:rsidRPr="00DE12A3" w:rsidRDefault="009F4766" w:rsidP="00C917D6">
            <w:pPr>
              <w:pStyle w:val="NormalLeft"/>
            </w:pPr>
            <w:r w:rsidRPr="00DE12A3">
              <w:t>188</w:t>
            </w:r>
          </w:p>
        </w:tc>
        <w:tc>
          <w:tcPr>
            <w:tcW w:w="2489" w:type="dxa"/>
            <w:tcBorders>
              <w:top w:val="single" w:sz="2" w:space="0" w:color="auto"/>
              <w:left w:val="single" w:sz="2" w:space="0" w:color="auto"/>
              <w:bottom w:val="single" w:sz="2" w:space="0" w:color="auto"/>
              <w:right w:val="single" w:sz="2" w:space="0" w:color="auto"/>
            </w:tcBorders>
          </w:tcPr>
          <w:p w14:paraId="1B44B60F" w14:textId="77777777" w:rsidR="009F4766" w:rsidRPr="00DE12A3" w:rsidRDefault="009F4766" w:rsidP="00C917D6">
            <w:pPr>
              <w:pStyle w:val="NormalLeft"/>
            </w:pPr>
            <w:r w:rsidRPr="00DE12A3">
              <w:t>19</w:t>
            </w:r>
          </w:p>
        </w:tc>
        <w:tc>
          <w:tcPr>
            <w:tcW w:w="2551" w:type="dxa"/>
            <w:tcBorders>
              <w:top w:val="single" w:sz="2" w:space="0" w:color="auto"/>
              <w:left w:val="single" w:sz="2" w:space="0" w:color="auto"/>
              <w:bottom w:val="single" w:sz="2" w:space="0" w:color="auto"/>
              <w:right w:val="single" w:sz="2" w:space="0" w:color="auto"/>
            </w:tcBorders>
          </w:tcPr>
          <w:p w14:paraId="36092887" w14:textId="77777777" w:rsidR="009F4766" w:rsidRPr="00DE12A3" w:rsidRDefault="009F4766" w:rsidP="00C917D6">
            <w:pPr>
              <w:pStyle w:val="NormalLeft"/>
            </w:pPr>
            <w:r w:rsidRPr="00DE12A3">
              <w:t>48</w:t>
            </w:r>
          </w:p>
        </w:tc>
      </w:tr>
      <w:tr w:rsidR="00DE12A3" w:rsidRPr="00DE12A3" w14:paraId="5018FFF1" w14:textId="77777777" w:rsidTr="009F4766">
        <w:tc>
          <w:tcPr>
            <w:tcW w:w="1182" w:type="dxa"/>
            <w:tcBorders>
              <w:top w:val="single" w:sz="2" w:space="0" w:color="auto"/>
              <w:left w:val="single" w:sz="2" w:space="0" w:color="auto"/>
              <w:bottom w:val="single" w:sz="2" w:space="0" w:color="auto"/>
              <w:right w:val="single" w:sz="2" w:space="0" w:color="auto"/>
            </w:tcBorders>
          </w:tcPr>
          <w:p w14:paraId="66E91B83" w14:textId="77777777" w:rsidR="009F4766" w:rsidRPr="00DE12A3" w:rsidRDefault="009F4766" w:rsidP="00C917D6">
            <w:pPr>
              <w:pStyle w:val="NormalLeft"/>
            </w:pPr>
            <w:r w:rsidRPr="00DE12A3">
              <w:t>189</w:t>
            </w:r>
          </w:p>
        </w:tc>
        <w:tc>
          <w:tcPr>
            <w:tcW w:w="2489" w:type="dxa"/>
            <w:tcBorders>
              <w:top w:val="single" w:sz="2" w:space="0" w:color="auto"/>
              <w:left w:val="single" w:sz="2" w:space="0" w:color="auto"/>
              <w:bottom w:val="single" w:sz="2" w:space="0" w:color="auto"/>
              <w:right w:val="single" w:sz="2" w:space="0" w:color="auto"/>
            </w:tcBorders>
          </w:tcPr>
          <w:p w14:paraId="17D1681A" w14:textId="77777777" w:rsidR="009F4766" w:rsidRPr="00DE12A3" w:rsidRDefault="009F4766" w:rsidP="00C917D6">
            <w:pPr>
              <w:pStyle w:val="NormalLeft"/>
            </w:pPr>
            <w:r w:rsidRPr="00DE12A3">
              <w:t>23</w:t>
            </w:r>
          </w:p>
        </w:tc>
        <w:tc>
          <w:tcPr>
            <w:tcW w:w="2551" w:type="dxa"/>
            <w:tcBorders>
              <w:top w:val="single" w:sz="2" w:space="0" w:color="auto"/>
              <w:left w:val="single" w:sz="2" w:space="0" w:color="auto"/>
              <w:bottom w:val="single" w:sz="2" w:space="0" w:color="auto"/>
              <w:right w:val="single" w:sz="2" w:space="0" w:color="auto"/>
            </w:tcBorders>
          </w:tcPr>
          <w:p w14:paraId="57937C6B" w14:textId="77777777" w:rsidR="009F4766" w:rsidRPr="00DE12A3" w:rsidRDefault="009F4766" w:rsidP="00C917D6">
            <w:pPr>
              <w:pStyle w:val="NormalLeft"/>
            </w:pPr>
            <w:r w:rsidRPr="00DE12A3">
              <w:t>50</w:t>
            </w:r>
          </w:p>
        </w:tc>
      </w:tr>
      <w:tr w:rsidR="00DE12A3" w:rsidRPr="00DE12A3" w14:paraId="42FBEA27" w14:textId="77777777" w:rsidTr="009F4766">
        <w:tc>
          <w:tcPr>
            <w:tcW w:w="1182" w:type="dxa"/>
            <w:tcBorders>
              <w:top w:val="single" w:sz="2" w:space="0" w:color="auto"/>
              <w:left w:val="single" w:sz="2" w:space="0" w:color="auto"/>
              <w:bottom w:val="single" w:sz="2" w:space="0" w:color="auto"/>
              <w:right w:val="single" w:sz="2" w:space="0" w:color="auto"/>
            </w:tcBorders>
          </w:tcPr>
          <w:p w14:paraId="6A1FB00B" w14:textId="77777777" w:rsidR="009F4766" w:rsidRPr="00DE12A3" w:rsidRDefault="009F4766" w:rsidP="00C917D6">
            <w:pPr>
              <w:pStyle w:val="NormalLeft"/>
            </w:pPr>
            <w:r w:rsidRPr="00DE12A3">
              <w:t>190</w:t>
            </w:r>
          </w:p>
        </w:tc>
        <w:tc>
          <w:tcPr>
            <w:tcW w:w="2489" w:type="dxa"/>
            <w:tcBorders>
              <w:top w:val="single" w:sz="2" w:space="0" w:color="auto"/>
              <w:left w:val="single" w:sz="2" w:space="0" w:color="auto"/>
              <w:bottom w:val="single" w:sz="2" w:space="0" w:color="auto"/>
              <w:right w:val="single" w:sz="2" w:space="0" w:color="auto"/>
            </w:tcBorders>
          </w:tcPr>
          <w:p w14:paraId="5CB17AA0" w14:textId="77777777" w:rsidR="009F4766" w:rsidRPr="00DE12A3" w:rsidRDefault="009F4766" w:rsidP="00C917D6">
            <w:pPr>
              <w:pStyle w:val="NormalLeft"/>
            </w:pPr>
            <w:r w:rsidRPr="00DE12A3">
              <w:t>19</w:t>
            </w:r>
          </w:p>
        </w:tc>
        <w:tc>
          <w:tcPr>
            <w:tcW w:w="2551" w:type="dxa"/>
            <w:tcBorders>
              <w:top w:val="single" w:sz="2" w:space="0" w:color="auto"/>
              <w:left w:val="single" w:sz="2" w:space="0" w:color="auto"/>
              <w:bottom w:val="single" w:sz="2" w:space="0" w:color="auto"/>
              <w:right w:val="single" w:sz="2" w:space="0" w:color="auto"/>
            </w:tcBorders>
          </w:tcPr>
          <w:p w14:paraId="1FBA23CB" w14:textId="77777777" w:rsidR="009F4766" w:rsidRPr="00DE12A3" w:rsidRDefault="009F4766" w:rsidP="00C917D6">
            <w:pPr>
              <w:pStyle w:val="NormalLeft"/>
            </w:pPr>
            <w:r w:rsidRPr="00DE12A3">
              <w:t>45</w:t>
            </w:r>
          </w:p>
        </w:tc>
      </w:tr>
      <w:tr w:rsidR="00DE12A3" w:rsidRPr="00DE12A3" w14:paraId="41DEEA63" w14:textId="77777777" w:rsidTr="009F4766">
        <w:tc>
          <w:tcPr>
            <w:tcW w:w="1182" w:type="dxa"/>
            <w:tcBorders>
              <w:top w:val="single" w:sz="2" w:space="0" w:color="auto"/>
              <w:left w:val="single" w:sz="2" w:space="0" w:color="auto"/>
              <w:bottom w:val="single" w:sz="2" w:space="0" w:color="auto"/>
              <w:right w:val="single" w:sz="2" w:space="0" w:color="auto"/>
            </w:tcBorders>
          </w:tcPr>
          <w:p w14:paraId="5552B7FA" w14:textId="77777777" w:rsidR="009F4766" w:rsidRPr="00DE12A3" w:rsidRDefault="009F4766" w:rsidP="00C917D6">
            <w:pPr>
              <w:pStyle w:val="NormalLeft"/>
            </w:pPr>
            <w:r w:rsidRPr="00DE12A3">
              <w:t>191</w:t>
            </w:r>
          </w:p>
        </w:tc>
        <w:tc>
          <w:tcPr>
            <w:tcW w:w="2489" w:type="dxa"/>
            <w:tcBorders>
              <w:top w:val="single" w:sz="2" w:space="0" w:color="auto"/>
              <w:left w:val="single" w:sz="2" w:space="0" w:color="auto"/>
              <w:bottom w:val="single" w:sz="2" w:space="0" w:color="auto"/>
              <w:right w:val="single" w:sz="2" w:space="0" w:color="auto"/>
            </w:tcBorders>
          </w:tcPr>
          <w:p w14:paraId="6168DB8B" w14:textId="77777777" w:rsidR="009F4766" w:rsidRPr="00DE12A3" w:rsidRDefault="009F4766" w:rsidP="00C917D6">
            <w:pPr>
              <w:pStyle w:val="NormalLeft"/>
            </w:pPr>
            <w:r w:rsidRPr="00DE12A3">
              <w:t>6</w:t>
            </w:r>
          </w:p>
        </w:tc>
        <w:tc>
          <w:tcPr>
            <w:tcW w:w="2551" w:type="dxa"/>
            <w:tcBorders>
              <w:top w:val="single" w:sz="2" w:space="0" w:color="auto"/>
              <w:left w:val="single" w:sz="2" w:space="0" w:color="auto"/>
              <w:bottom w:val="single" w:sz="2" w:space="0" w:color="auto"/>
              <w:right w:val="single" w:sz="2" w:space="0" w:color="auto"/>
            </w:tcBorders>
          </w:tcPr>
          <w:p w14:paraId="0EBB48A7" w14:textId="77777777" w:rsidR="009F4766" w:rsidRPr="00DE12A3" w:rsidRDefault="009F4766" w:rsidP="00C917D6">
            <w:pPr>
              <w:pStyle w:val="NormalLeft"/>
            </w:pPr>
            <w:r w:rsidRPr="00DE12A3">
              <w:t>51</w:t>
            </w:r>
          </w:p>
        </w:tc>
      </w:tr>
      <w:tr w:rsidR="00DE12A3" w:rsidRPr="00DE12A3" w14:paraId="3C845CA5" w14:textId="77777777" w:rsidTr="009F4766">
        <w:tc>
          <w:tcPr>
            <w:tcW w:w="1182" w:type="dxa"/>
            <w:tcBorders>
              <w:top w:val="single" w:sz="2" w:space="0" w:color="auto"/>
              <w:left w:val="single" w:sz="2" w:space="0" w:color="auto"/>
              <w:bottom w:val="single" w:sz="2" w:space="0" w:color="auto"/>
              <w:right w:val="single" w:sz="2" w:space="0" w:color="auto"/>
            </w:tcBorders>
          </w:tcPr>
          <w:p w14:paraId="1FD2A8E4" w14:textId="77777777" w:rsidR="009F4766" w:rsidRPr="00DE12A3" w:rsidRDefault="009F4766" w:rsidP="00C917D6">
            <w:pPr>
              <w:pStyle w:val="NormalLeft"/>
            </w:pPr>
            <w:r w:rsidRPr="00DE12A3">
              <w:t>192</w:t>
            </w:r>
          </w:p>
        </w:tc>
        <w:tc>
          <w:tcPr>
            <w:tcW w:w="2489" w:type="dxa"/>
            <w:tcBorders>
              <w:top w:val="single" w:sz="2" w:space="0" w:color="auto"/>
              <w:left w:val="single" w:sz="2" w:space="0" w:color="auto"/>
              <w:bottom w:val="single" w:sz="2" w:space="0" w:color="auto"/>
              <w:right w:val="single" w:sz="2" w:space="0" w:color="auto"/>
            </w:tcBorders>
          </w:tcPr>
          <w:p w14:paraId="6FA5ECE5" w14:textId="77777777" w:rsidR="009F4766" w:rsidRPr="00DE12A3" w:rsidRDefault="009F4766" w:rsidP="00C917D6">
            <w:pPr>
              <w:pStyle w:val="NormalLeft"/>
            </w:pPr>
            <w:r w:rsidRPr="00DE12A3">
              <w:t>24</w:t>
            </w:r>
          </w:p>
        </w:tc>
        <w:tc>
          <w:tcPr>
            <w:tcW w:w="2551" w:type="dxa"/>
            <w:tcBorders>
              <w:top w:val="single" w:sz="2" w:space="0" w:color="auto"/>
              <w:left w:val="single" w:sz="2" w:space="0" w:color="auto"/>
              <w:bottom w:val="single" w:sz="2" w:space="0" w:color="auto"/>
              <w:right w:val="single" w:sz="2" w:space="0" w:color="auto"/>
            </w:tcBorders>
          </w:tcPr>
          <w:p w14:paraId="4B7E04A0" w14:textId="77777777" w:rsidR="009F4766" w:rsidRPr="00DE12A3" w:rsidRDefault="009F4766" w:rsidP="00C917D6">
            <w:pPr>
              <w:pStyle w:val="NormalLeft"/>
            </w:pPr>
            <w:r w:rsidRPr="00DE12A3">
              <w:t>48</w:t>
            </w:r>
          </w:p>
        </w:tc>
      </w:tr>
      <w:tr w:rsidR="00DE12A3" w:rsidRPr="00DE12A3" w14:paraId="090FA232" w14:textId="77777777" w:rsidTr="009F4766">
        <w:tc>
          <w:tcPr>
            <w:tcW w:w="1182" w:type="dxa"/>
            <w:tcBorders>
              <w:top w:val="single" w:sz="2" w:space="0" w:color="auto"/>
              <w:left w:val="single" w:sz="2" w:space="0" w:color="auto"/>
              <w:bottom w:val="single" w:sz="2" w:space="0" w:color="auto"/>
              <w:right w:val="single" w:sz="2" w:space="0" w:color="auto"/>
            </w:tcBorders>
          </w:tcPr>
          <w:p w14:paraId="3CE2FCB5" w14:textId="77777777" w:rsidR="009F4766" w:rsidRPr="00DE12A3" w:rsidRDefault="009F4766" w:rsidP="00C917D6">
            <w:pPr>
              <w:pStyle w:val="NormalLeft"/>
            </w:pPr>
            <w:r w:rsidRPr="00DE12A3">
              <w:t>193</w:t>
            </w:r>
          </w:p>
        </w:tc>
        <w:tc>
          <w:tcPr>
            <w:tcW w:w="2489" w:type="dxa"/>
            <w:tcBorders>
              <w:top w:val="single" w:sz="2" w:space="0" w:color="auto"/>
              <w:left w:val="single" w:sz="2" w:space="0" w:color="auto"/>
              <w:bottom w:val="single" w:sz="2" w:space="0" w:color="auto"/>
              <w:right w:val="single" w:sz="2" w:space="0" w:color="auto"/>
            </w:tcBorders>
          </w:tcPr>
          <w:p w14:paraId="6B0592A1" w14:textId="77777777" w:rsidR="009F4766" w:rsidRPr="00DE12A3" w:rsidRDefault="009F4766" w:rsidP="00C917D6">
            <w:pPr>
              <w:pStyle w:val="NormalLeft"/>
            </w:pPr>
            <w:r w:rsidRPr="00DE12A3">
              <w:t>49</w:t>
            </w:r>
          </w:p>
        </w:tc>
        <w:tc>
          <w:tcPr>
            <w:tcW w:w="2551" w:type="dxa"/>
            <w:tcBorders>
              <w:top w:val="single" w:sz="2" w:space="0" w:color="auto"/>
              <w:left w:val="single" w:sz="2" w:space="0" w:color="auto"/>
              <w:bottom w:val="single" w:sz="2" w:space="0" w:color="auto"/>
              <w:right w:val="single" w:sz="2" w:space="0" w:color="auto"/>
            </w:tcBorders>
          </w:tcPr>
          <w:p w14:paraId="4FD71363" w14:textId="77777777" w:rsidR="009F4766" w:rsidRPr="00DE12A3" w:rsidRDefault="009F4766" w:rsidP="00C917D6">
            <w:pPr>
              <w:pStyle w:val="NormalLeft"/>
            </w:pPr>
            <w:r w:rsidRPr="00DE12A3">
              <w:t>67</w:t>
            </w:r>
          </w:p>
        </w:tc>
      </w:tr>
      <w:tr w:rsidR="00DE12A3" w:rsidRPr="00DE12A3" w14:paraId="4BFB2EF7" w14:textId="77777777" w:rsidTr="009F4766">
        <w:tc>
          <w:tcPr>
            <w:tcW w:w="1182" w:type="dxa"/>
            <w:tcBorders>
              <w:top w:val="single" w:sz="2" w:space="0" w:color="auto"/>
              <w:left w:val="single" w:sz="2" w:space="0" w:color="auto"/>
              <w:bottom w:val="single" w:sz="2" w:space="0" w:color="auto"/>
              <w:right w:val="single" w:sz="2" w:space="0" w:color="auto"/>
            </w:tcBorders>
          </w:tcPr>
          <w:p w14:paraId="37CE1ADA" w14:textId="77777777" w:rsidR="009F4766" w:rsidRPr="00DE12A3" w:rsidRDefault="009F4766" w:rsidP="00C917D6">
            <w:pPr>
              <w:pStyle w:val="NormalLeft"/>
            </w:pPr>
            <w:r w:rsidRPr="00DE12A3">
              <w:t>194</w:t>
            </w:r>
          </w:p>
        </w:tc>
        <w:tc>
          <w:tcPr>
            <w:tcW w:w="2489" w:type="dxa"/>
            <w:tcBorders>
              <w:top w:val="single" w:sz="2" w:space="0" w:color="auto"/>
              <w:left w:val="single" w:sz="2" w:space="0" w:color="auto"/>
              <w:bottom w:val="single" w:sz="2" w:space="0" w:color="auto"/>
              <w:right w:val="single" w:sz="2" w:space="0" w:color="auto"/>
            </w:tcBorders>
          </w:tcPr>
          <w:p w14:paraId="78E8E9FE" w14:textId="77777777" w:rsidR="009F4766" w:rsidRPr="00DE12A3" w:rsidRDefault="009F4766" w:rsidP="00C917D6">
            <w:pPr>
              <w:pStyle w:val="NormalLeft"/>
            </w:pPr>
            <w:r w:rsidRPr="00DE12A3">
              <w:t>47</w:t>
            </w:r>
          </w:p>
        </w:tc>
        <w:tc>
          <w:tcPr>
            <w:tcW w:w="2551" w:type="dxa"/>
            <w:tcBorders>
              <w:top w:val="single" w:sz="2" w:space="0" w:color="auto"/>
              <w:left w:val="single" w:sz="2" w:space="0" w:color="auto"/>
              <w:bottom w:val="single" w:sz="2" w:space="0" w:color="auto"/>
              <w:right w:val="single" w:sz="2" w:space="0" w:color="auto"/>
            </w:tcBorders>
          </w:tcPr>
          <w:p w14:paraId="1A65BC72" w14:textId="77777777" w:rsidR="009F4766" w:rsidRPr="00DE12A3" w:rsidRDefault="009F4766" w:rsidP="00C917D6">
            <w:pPr>
              <w:pStyle w:val="NormalLeft"/>
            </w:pPr>
            <w:r w:rsidRPr="00DE12A3">
              <w:t>49</w:t>
            </w:r>
          </w:p>
        </w:tc>
      </w:tr>
      <w:tr w:rsidR="00DE12A3" w:rsidRPr="00DE12A3" w14:paraId="1EDFBD1F" w14:textId="77777777" w:rsidTr="009F4766">
        <w:tc>
          <w:tcPr>
            <w:tcW w:w="1182" w:type="dxa"/>
            <w:tcBorders>
              <w:top w:val="single" w:sz="2" w:space="0" w:color="auto"/>
              <w:left w:val="single" w:sz="2" w:space="0" w:color="auto"/>
              <w:bottom w:val="single" w:sz="2" w:space="0" w:color="auto"/>
              <w:right w:val="single" w:sz="2" w:space="0" w:color="auto"/>
            </w:tcBorders>
          </w:tcPr>
          <w:p w14:paraId="7E45937E" w14:textId="77777777" w:rsidR="009F4766" w:rsidRPr="00DE12A3" w:rsidRDefault="009F4766" w:rsidP="00C917D6">
            <w:pPr>
              <w:pStyle w:val="NormalLeft"/>
            </w:pPr>
            <w:r w:rsidRPr="00DE12A3">
              <w:lastRenderedPageBreak/>
              <w:t>195</w:t>
            </w:r>
          </w:p>
        </w:tc>
        <w:tc>
          <w:tcPr>
            <w:tcW w:w="2489" w:type="dxa"/>
            <w:tcBorders>
              <w:top w:val="single" w:sz="2" w:space="0" w:color="auto"/>
              <w:left w:val="single" w:sz="2" w:space="0" w:color="auto"/>
              <w:bottom w:val="single" w:sz="2" w:space="0" w:color="auto"/>
              <w:right w:val="single" w:sz="2" w:space="0" w:color="auto"/>
            </w:tcBorders>
          </w:tcPr>
          <w:p w14:paraId="4E3839D7" w14:textId="77777777" w:rsidR="009F4766" w:rsidRPr="00DE12A3" w:rsidRDefault="009F4766" w:rsidP="00C917D6">
            <w:pPr>
              <w:pStyle w:val="NormalLeft"/>
            </w:pPr>
            <w:r w:rsidRPr="00DE12A3">
              <w:t>22</w:t>
            </w:r>
          </w:p>
        </w:tc>
        <w:tc>
          <w:tcPr>
            <w:tcW w:w="2551" w:type="dxa"/>
            <w:tcBorders>
              <w:top w:val="single" w:sz="2" w:space="0" w:color="auto"/>
              <w:left w:val="single" w:sz="2" w:space="0" w:color="auto"/>
              <w:bottom w:val="single" w:sz="2" w:space="0" w:color="auto"/>
              <w:right w:val="single" w:sz="2" w:space="0" w:color="auto"/>
            </w:tcBorders>
          </w:tcPr>
          <w:p w14:paraId="5E0FCAB0" w14:textId="77777777" w:rsidR="009F4766" w:rsidRPr="00DE12A3" w:rsidRDefault="009F4766" w:rsidP="00C917D6">
            <w:pPr>
              <w:pStyle w:val="NormalLeft"/>
            </w:pPr>
            <w:r w:rsidRPr="00DE12A3">
              <w:t>44</w:t>
            </w:r>
          </w:p>
        </w:tc>
      </w:tr>
      <w:tr w:rsidR="00DE12A3" w:rsidRPr="00DE12A3" w14:paraId="5685EC71" w14:textId="77777777" w:rsidTr="009F4766">
        <w:tc>
          <w:tcPr>
            <w:tcW w:w="1182" w:type="dxa"/>
            <w:tcBorders>
              <w:top w:val="single" w:sz="2" w:space="0" w:color="auto"/>
              <w:left w:val="single" w:sz="2" w:space="0" w:color="auto"/>
              <w:bottom w:val="single" w:sz="2" w:space="0" w:color="auto"/>
              <w:right w:val="single" w:sz="2" w:space="0" w:color="auto"/>
            </w:tcBorders>
          </w:tcPr>
          <w:p w14:paraId="0867196B" w14:textId="77777777" w:rsidR="009F4766" w:rsidRPr="00DE12A3" w:rsidRDefault="009F4766" w:rsidP="00C917D6">
            <w:pPr>
              <w:pStyle w:val="NormalLeft"/>
            </w:pPr>
            <w:r w:rsidRPr="00DE12A3">
              <w:t>196</w:t>
            </w:r>
          </w:p>
        </w:tc>
        <w:tc>
          <w:tcPr>
            <w:tcW w:w="2489" w:type="dxa"/>
            <w:tcBorders>
              <w:top w:val="single" w:sz="2" w:space="0" w:color="auto"/>
              <w:left w:val="single" w:sz="2" w:space="0" w:color="auto"/>
              <w:bottom w:val="single" w:sz="2" w:space="0" w:color="auto"/>
              <w:right w:val="single" w:sz="2" w:space="0" w:color="auto"/>
            </w:tcBorders>
          </w:tcPr>
          <w:p w14:paraId="7646D876" w14:textId="77777777" w:rsidR="009F4766" w:rsidRPr="00DE12A3" w:rsidRDefault="009F4766" w:rsidP="00C917D6">
            <w:pPr>
              <w:pStyle w:val="NormalLeft"/>
            </w:pPr>
            <w:r w:rsidRPr="00DE12A3">
              <w:t>25</w:t>
            </w:r>
          </w:p>
        </w:tc>
        <w:tc>
          <w:tcPr>
            <w:tcW w:w="2551" w:type="dxa"/>
            <w:tcBorders>
              <w:top w:val="single" w:sz="2" w:space="0" w:color="auto"/>
              <w:left w:val="single" w:sz="2" w:space="0" w:color="auto"/>
              <w:bottom w:val="single" w:sz="2" w:space="0" w:color="auto"/>
              <w:right w:val="single" w:sz="2" w:space="0" w:color="auto"/>
            </w:tcBorders>
          </w:tcPr>
          <w:p w14:paraId="16EB28B9" w14:textId="77777777" w:rsidR="009F4766" w:rsidRPr="00DE12A3" w:rsidRDefault="009F4766" w:rsidP="00C917D6">
            <w:pPr>
              <w:pStyle w:val="NormalLeft"/>
            </w:pPr>
            <w:r w:rsidRPr="00DE12A3">
              <w:t>40</w:t>
            </w:r>
          </w:p>
        </w:tc>
      </w:tr>
      <w:tr w:rsidR="00DE12A3" w:rsidRPr="00DE12A3" w14:paraId="2569CFDA" w14:textId="77777777" w:rsidTr="009F4766">
        <w:tc>
          <w:tcPr>
            <w:tcW w:w="1182" w:type="dxa"/>
            <w:tcBorders>
              <w:top w:val="single" w:sz="2" w:space="0" w:color="auto"/>
              <w:left w:val="single" w:sz="2" w:space="0" w:color="auto"/>
              <w:bottom w:val="single" w:sz="2" w:space="0" w:color="auto"/>
              <w:right w:val="single" w:sz="2" w:space="0" w:color="auto"/>
            </w:tcBorders>
          </w:tcPr>
          <w:p w14:paraId="6ACC7D78" w14:textId="77777777" w:rsidR="009F4766" w:rsidRPr="00DE12A3" w:rsidRDefault="009F4766" w:rsidP="00C917D6">
            <w:pPr>
              <w:pStyle w:val="NormalLeft"/>
            </w:pPr>
            <w:r w:rsidRPr="00DE12A3">
              <w:t>197</w:t>
            </w:r>
          </w:p>
        </w:tc>
        <w:tc>
          <w:tcPr>
            <w:tcW w:w="2489" w:type="dxa"/>
            <w:tcBorders>
              <w:top w:val="single" w:sz="2" w:space="0" w:color="auto"/>
              <w:left w:val="single" w:sz="2" w:space="0" w:color="auto"/>
              <w:bottom w:val="single" w:sz="2" w:space="0" w:color="auto"/>
              <w:right w:val="single" w:sz="2" w:space="0" w:color="auto"/>
            </w:tcBorders>
          </w:tcPr>
          <w:p w14:paraId="41F65D4E" w14:textId="77777777" w:rsidR="009F4766" w:rsidRPr="00DE12A3" w:rsidRDefault="009F4766" w:rsidP="00C917D6">
            <w:pPr>
              <w:pStyle w:val="NormalLeft"/>
            </w:pPr>
            <w:r w:rsidRPr="00DE12A3">
              <w:t>38</w:t>
            </w:r>
          </w:p>
        </w:tc>
        <w:tc>
          <w:tcPr>
            <w:tcW w:w="2551" w:type="dxa"/>
            <w:tcBorders>
              <w:top w:val="single" w:sz="2" w:space="0" w:color="auto"/>
              <w:left w:val="single" w:sz="2" w:space="0" w:color="auto"/>
              <w:bottom w:val="single" w:sz="2" w:space="0" w:color="auto"/>
              <w:right w:val="single" w:sz="2" w:space="0" w:color="auto"/>
            </w:tcBorders>
          </w:tcPr>
          <w:p w14:paraId="236644CA" w14:textId="77777777" w:rsidR="009F4766" w:rsidRPr="00DE12A3" w:rsidRDefault="009F4766" w:rsidP="00C917D6">
            <w:pPr>
              <w:pStyle w:val="NormalLeft"/>
            </w:pPr>
            <w:r w:rsidRPr="00DE12A3">
              <w:t>54</w:t>
            </w:r>
          </w:p>
        </w:tc>
      </w:tr>
      <w:tr w:rsidR="00DE12A3" w:rsidRPr="00DE12A3" w14:paraId="710FD3A0" w14:textId="77777777" w:rsidTr="009F4766">
        <w:tc>
          <w:tcPr>
            <w:tcW w:w="1182" w:type="dxa"/>
            <w:tcBorders>
              <w:top w:val="single" w:sz="2" w:space="0" w:color="auto"/>
              <w:left w:val="single" w:sz="2" w:space="0" w:color="auto"/>
              <w:bottom w:val="single" w:sz="2" w:space="0" w:color="auto"/>
              <w:right w:val="single" w:sz="2" w:space="0" w:color="auto"/>
            </w:tcBorders>
          </w:tcPr>
          <w:p w14:paraId="6757A932" w14:textId="77777777" w:rsidR="009F4766" w:rsidRPr="00DE12A3" w:rsidRDefault="009F4766" w:rsidP="00C917D6">
            <w:pPr>
              <w:pStyle w:val="NormalLeft"/>
            </w:pPr>
            <w:r w:rsidRPr="00DE12A3">
              <w:t>198</w:t>
            </w:r>
          </w:p>
        </w:tc>
        <w:tc>
          <w:tcPr>
            <w:tcW w:w="2489" w:type="dxa"/>
            <w:tcBorders>
              <w:top w:val="single" w:sz="2" w:space="0" w:color="auto"/>
              <w:left w:val="single" w:sz="2" w:space="0" w:color="auto"/>
              <w:bottom w:val="single" w:sz="2" w:space="0" w:color="auto"/>
              <w:right w:val="single" w:sz="2" w:space="0" w:color="auto"/>
            </w:tcBorders>
          </w:tcPr>
          <w:p w14:paraId="2902DC8D" w14:textId="77777777" w:rsidR="009F4766" w:rsidRPr="00DE12A3" w:rsidRDefault="009F4766" w:rsidP="00C917D6">
            <w:pPr>
              <w:pStyle w:val="NormalLeft"/>
            </w:pPr>
            <w:r w:rsidRPr="00DE12A3">
              <w:t>43</w:t>
            </w:r>
          </w:p>
        </w:tc>
        <w:tc>
          <w:tcPr>
            <w:tcW w:w="2551" w:type="dxa"/>
            <w:tcBorders>
              <w:top w:val="single" w:sz="2" w:space="0" w:color="auto"/>
              <w:left w:val="single" w:sz="2" w:space="0" w:color="auto"/>
              <w:bottom w:val="single" w:sz="2" w:space="0" w:color="auto"/>
              <w:right w:val="single" w:sz="2" w:space="0" w:color="auto"/>
            </w:tcBorders>
          </w:tcPr>
          <w:p w14:paraId="6DD3CA96" w14:textId="77777777" w:rsidR="009F4766" w:rsidRPr="00DE12A3" w:rsidRDefault="009F4766" w:rsidP="00C917D6">
            <w:pPr>
              <w:pStyle w:val="NormalLeft"/>
            </w:pPr>
            <w:r w:rsidRPr="00DE12A3">
              <w:t>55</w:t>
            </w:r>
          </w:p>
        </w:tc>
      </w:tr>
      <w:tr w:rsidR="00DE12A3" w:rsidRPr="00DE12A3" w14:paraId="422C58AB" w14:textId="77777777" w:rsidTr="009F4766">
        <w:tc>
          <w:tcPr>
            <w:tcW w:w="1182" w:type="dxa"/>
            <w:tcBorders>
              <w:top w:val="single" w:sz="2" w:space="0" w:color="auto"/>
              <w:left w:val="single" w:sz="2" w:space="0" w:color="auto"/>
              <w:bottom w:val="single" w:sz="2" w:space="0" w:color="auto"/>
              <w:right w:val="single" w:sz="2" w:space="0" w:color="auto"/>
            </w:tcBorders>
          </w:tcPr>
          <w:p w14:paraId="07369A23" w14:textId="77777777" w:rsidR="009F4766" w:rsidRPr="00DE12A3" w:rsidRDefault="009F4766" w:rsidP="00C917D6">
            <w:pPr>
              <w:pStyle w:val="NormalLeft"/>
            </w:pPr>
            <w:r w:rsidRPr="00DE12A3">
              <w:t>199</w:t>
            </w:r>
          </w:p>
        </w:tc>
        <w:tc>
          <w:tcPr>
            <w:tcW w:w="2489" w:type="dxa"/>
            <w:tcBorders>
              <w:top w:val="single" w:sz="2" w:space="0" w:color="auto"/>
              <w:left w:val="single" w:sz="2" w:space="0" w:color="auto"/>
              <w:bottom w:val="single" w:sz="2" w:space="0" w:color="auto"/>
              <w:right w:val="single" w:sz="2" w:space="0" w:color="auto"/>
            </w:tcBorders>
          </w:tcPr>
          <w:p w14:paraId="54C3F1AD" w14:textId="77777777" w:rsidR="009F4766" w:rsidRPr="00DE12A3" w:rsidRDefault="009F4766" w:rsidP="00C917D6">
            <w:pPr>
              <w:pStyle w:val="NormalLeft"/>
            </w:pPr>
            <w:r w:rsidRPr="00DE12A3">
              <w:t>40</w:t>
            </w:r>
          </w:p>
        </w:tc>
        <w:tc>
          <w:tcPr>
            <w:tcW w:w="2551" w:type="dxa"/>
            <w:tcBorders>
              <w:top w:val="single" w:sz="2" w:space="0" w:color="auto"/>
              <w:left w:val="single" w:sz="2" w:space="0" w:color="auto"/>
              <w:bottom w:val="single" w:sz="2" w:space="0" w:color="auto"/>
              <w:right w:val="single" w:sz="2" w:space="0" w:color="auto"/>
            </w:tcBorders>
          </w:tcPr>
          <w:p w14:paraId="7C1B6631" w14:textId="77777777" w:rsidR="009F4766" w:rsidRPr="00DE12A3" w:rsidRDefault="009F4766" w:rsidP="00C917D6">
            <w:pPr>
              <w:pStyle w:val="NormalLeft"/>
            </w:pPr>
            <w:r w:rsidRPr="00DE12A3">
              <w:t>52</w:t>
            </w:r>
          </w:p>
        </w:tc>
      </w:tr>
      <w:tr w:rsidR="00DE12A3" w:rsidRPr="00DE12A3" w14:paraId="43B48D09" w14:textId="77777777" w:rsidTr="009F4766">
        <w:tc>
          <w:tcPr>
            <w:tcW w:w="1182" w:type="dxa"/>
            <w:tcBorders>
              <w:top w:val="single" w:sz="2" w:space="0" w:color="auto"/>
              <w:left w:val="single" w:sz="2" w:space="0" w:color="auto"/>
              <w:bottom w:val="single" w:sz="2" w:space="0" w:color="auto"/>
              <w:right w:val="single" w:sz="2" w:space="0" w:color="auto"/>
            </w:tcBorders>
          </w:tcPr>
          <w:p w14:paraId="3A525D21" w14:textId="77777777" w:rsidR="009F4766" w:rsidRPr="00DE12A3" w:rsidRDefault="009F4766" w:rsidP="00C917D6">
            <w:pPr>
              <w:pStyle w:val="NormalLeft"/>
            </w:pPr>
            <w:r w:rsidRPr="00DE12A3">
              <w:t>200</w:t>
            </w:r>
          </w:p>
        </w:tc>
        <w:tc>
          <w:tcPr>
            <w:tcW w:w="2489" w:type="dxa"/>
            <w:tcBorders>
              <w:top w:val="single" w:sz="2" w:space="0" w:color="auto"/>
              <w:left w:val="single" w:sz="2" w:space="0" w:color="auto"/>
              <w:bottom w:val="single" w:sz="2" w:space="0" w:color="auto"/>
              <w:right w:val="single" w:sz="2" w:space="0" w:color="auto"/>
            </w:tcBorders>
          </w:tcPr>
          <w:p w14:paraId="04CB9FFF" w14:textId="77777777" w:rsidR="009F4766" w:rsidRPr="00DE12A3" w:rsidRDefault="009F4766" w:rsidP="00C917D6">
            <w:pPr>
              <w:pStyle w:val="NormalLeft"/>
            </w:pPr>
            <w:r w:rsidRPr="00DE12A3">
              <w:t>14</w:t>
            </w:r>
          </w:p>
        </w:tc>
        <w:tc>
          <w:tcPr>
            <w:tcW w:w="2551" w:type="dxa"/>
            <w:tcBorders>
              <w:top w:val="single" w:sz="2" w:space="0" w:color="auto"/>
              <w:left w:val="single" w:sz="2" w:space="0" w:color="auto"/>
              <w:bottom w:val="single" w:sz="2" w:space="0" w:color="auto"/>
              <w:right w:val="single" w:sz="2" w:space="0" w:color="auto"/>
            </w:tcBorders>
          </w:tcPr>
          <w:p w14:paraId="12C5A76C" w14:textId="77777777" w:rsidR="009F4766" w:rsidRPr="00DE12A3" w:rsidRDefault="009F4766" w:rsidP="00C917D6">
            <w:pPr>
              <w:pStyle w:val="NormalLeft"/>
            </w:pPr>
            <w:r w:rsidRPr="00DE12A3">
              <w:t>49</w:t>
            </w:r>
          </w:p>
        </w:tc>
      </w:tr>
      <w:tr w:rsidR="00DE12A3" w:rsidRPr="00DE12A3" w14:paraId="71D8B376" w14:textId="77777777" w:rsidTr="009F4766">
        <w:tc>
          <w:tcPr>
            <w:tcW w:w="1182" w:type="dxa"/>
            <w:tcBorders>
              <w:top w:val="single" w:sz="2" w:space="0" w:color="auto"/>
              <w:left w:val="single" w:sz="2" w:space="0" w:color="auto"/>
              <w:bottom w:val="single" w:sz="2" w:space="0" w:color="auto"/>
              <w:right w:val="single" w:sz="2" w:space="0" w:color="auto"/>
            </w:tcBorders>
          </w:tcPr>
          <w:p w14:paraId="009371F5" w14:textId="77777777" w:rsidR="009F4766" w:rsidRPr="00DE12A3" w:rsidRDefault="009F4766" w:rsidP="00C917D6">
            <w:pPr>
              <w:pStyle w:val="NormalLeft"/>
            </w:pPr>
            <w:r w:rsidRPr="00DE12A3">
              <w:t>201</w:t>
            </w:r>
          </w:p>
        </w:tc>
        <w:tc>
          <w:tcPr>
            <w:tcW w:w="2489" w:type="dxa"/>
            <w:tcBorders>
              <w:top w:val="single" w:sz="2" w:space="0" w:color="auto"/>
              <w:left w:val="single" w:sz="2" w:space="0" w:color="auto"/>
              <w:bottom w:val="single" w:sz="2" w:space="0" w:color="auto"/>
              <w:right w:val="single" w:sz="2" w:space="0" w:color="auto"/>
            </w:tcBorders>
          </w:tcPr>
          <w:p w14:paraId="338775C2" w14:textId="77777777" w:rsidR="009F4766" w:rsidRPr="00DE12A3" w:rsidRDefault="009F4766" w:rsidP="00C917D6">
            <w:pPr>
              <w:pStyle w:val="NormalLeft"/>
            </w:pPr>
            <w:r w:rsidRPr="00DE12A3">
              <w:t>11</w:t>
            </w:r>
          </w:p>
        </w:tc>
        <w:tc>
          <w:tcPr>
            <w:tcW w:w="2551" w:type="dxa"/>
            <w:tcBorders>
              <w:top w:val="single" w:sz="2" w:space="0" w:color="auto"/>
              <w:left w:val="single" w:sz="2" w:space="0" w:color="auto"/>
              <w:bottom w:val="single" w:sz="2" w:space="0" w:color="auto"/>
              <w:right w:val="single" w:sz="2" w:space="0" w:color="auto"/>
            </w:tcBorders>
          </w:tcPr>
          <w:p w14:paraId="6EBD5E54" w14:textId="77777777" w:rsidR="009F4766" w:rsidRPr="00DE12A3" w:rsidRDefault="009F4766" w:rsidP="00C917D6">
            <w:pPr>
              <w:pStyle w:val="NormalLeft"/>
            </w:pPr>
            <w:r w:rsidRPr="00DE12A3">
              <w:t>45</w:t>
            </w:r>
          </w:p>
        </w:tc>
      </w:tr>
      <w:tr w:rsidR="00DE12A3" w:rsidRPr="00DE12A3" w14:paraId="768914D6" w14:textId="77777777" w:rsidTr="009F4766">
        <w:tc>
          <w:tcPr>
            <w:tcW w:w="1182" w:type="dxa"/>
            <w:tcBorders>
              <w:top w:val="single" w:sz="2" w:space="0" w:color="auto"/>
              <w:left w:val="single" w:sz="2" w:space="0" w:color="auto"/>
              <w:bottom w:val="single" w:sz="2" w:space="0" w:color="auto"/>
              <w:right w:val="single" w:sz="2" w:space="0" w:color="auto"/>
            </w:tcBorders>
          </w:tcPr>
          <w:p w14:paraId="2169B087" w14:textId="77777777" w:rsidR="009F4766" w:rsidRPr="00DE12A3" w:rsidRDefault="009F4766" w:rsidP="00C917D6">
            <w:pPr>
              <w:pStyle w:val="NormalLeft"/>
            </w:pPr>
            <w:r w:rsidRPr="00DE12A3">
              <w:t>202</w:t>
            </w:r>
          </w:p>
        </w:tc>
        <w:tc>
          <w:tcPr>
            <w:tcW w:w="2489" w:type="dxa"/>
            <w:tcBorders>
              <w:top w:val="single" w:sz="2" w:space="0" w:color="auto"/>
              <w:left w:val="single" w:sz="2" w:space="0" w:color="auto"/>
              <w:bottom w:val="single" w:sz="2" w:space="0" w:color="auto"/>
              <w:right w:val="single" w:sz="2" w:space="0" w:color="auto"/>
            </w:tcBorders>
          </w:tcPr>
          <w:p w14:paraId="6EA5EBDA" w14:textId="77777777" w:rsidR="009F4766" w:rsidRPr="00DE12A3" w:rsidRDefault="009F4766" w:rsidP="00C917D6">
            <w:pPr>
              <w:pStyle w:val="NormalLeft"/>
            </w:pPr>
            <w:r w:rsidRPr="00DE12A3">
              <w:t>7</w:t>
            </w:r>
          </w:p>
        </w:tc>
        <w:tc>
          <w:tcPr>
            <w:tcW w:w="2551" w:type="dxa"/>
            <w:tcBorders>
              <w:top w:val="single" w:sz="2" w:space="0" w:color="auto"/>
              <w:left w:val="single" w:sz="2" w:space="0" w:color="auto"/>
              <w:bottom w:val="single" w:sz="2" w:space="0" w:color="auto"/>
              <w:right w:val="single" w:sz="2" w:space="0" w:color="auto"/>
            </w:tcBorders>
          </w:tcPr>
          <w:p w14:paraId="6E560EF7" w14:textId="77777777" w:rsidR="009F4766" w:rsidRPr="00DE12A3" w:rsidRDefault="009F4766" w:rsidP="00C917D6">
            <w:pPr>
              <w:pStyle w:val="NormalLeft"/>
            </w:pPr>
            <w:r w:rsidRPr="00DE12A3">
              <w:t>48</w:t>
            </w:r>
          </w:p>
        </w:tc>
      </w:tr>
      <w:tr w:rsidR="00DE12A3" w:rsidRPr="00DE12A3" w14:paraId="5BEB28D2" w14:textId="77777777" w:rsidTr="009F4766">
        <w:tc>
          <w:tcPr>
            <w:tcW w:w="1182" w:type="dxa"/>
            <w:tcBorders>
              <w:top w:val="single" w:sz="2" w:space="0" w:color="auto"/>
              <w:left w:val="single" w:sz="2" w:space="0" w:color="auto"/>
              <w:bottom w:val="single" w:sz="2" w:space="0" w:color="auto"/>
              <w:right w:val="single" w:sz="2" w:space="0" w:color="auto"/>
            </w:tcBorders>
          </w:tcPr>
          <w:p w14:paraId="03F1405F" w14:textId="77777777" w:rsidR="009F4766" w:rsidRPr="00DE12A3" w:rsidRDefault="009F4766" w:rsidP="00C917D6">
            <w:pPr>
              <w:pStyle w:val="NormalLeft"/>
            </w:pPr>
            <w:r w:rsidRPr="00DE12A3">
              <w:t>203</w:t>
            </w:r>
          </w:p>
        </w:tc>
        <w:tc>
          <w:tcPr>
            <w:tcW w:w="2489" w:type="dxa"/>
            <w:tcBorders>
              <w:top w:val="single" w:sz="2" w:space="0" w:color="auto"/>
              <w:left w:val="single" w:sz="2" w:space="0" w:color="auto"/>
              <w:bottom w:val="single" w:sz="2" w:space="0" w:color="auto"/>
              <w:right w:val="single" w:sz="2" w:space="0" w:color="auto"/>
            </w:tcBorders>
          </w:tcPr>
          <w:p w14:paraId="593F1BE8" w14:textId="77777777" w:rsidR="009F4766" w:rsidRPr="00DE12A3" w:rsidRDefault="009F4766" w:rsidP="00C917D6">
            <w:pPr>
              <w:pStyle w:val="NormalLeft"/>
            </w:pPr>
            <w:r w:rsidRPr="00DE12A3">
              <w:t>26</w:t>
            </w:r>
          </w:p>
        </w:tc>
        <w:tc>
          <w:tcPr>
            <w:tcW w:w="2551" w:type="dxa"/>
            <w:tcBorders>
              <w:top w:val="single" w:sz="2" w:space="0" w:color="auto"/>
              <w:left w:val="single" w:sz="2" w:space="0" w:color="auto"/>
              <w:bottom w:val="single" w:sz="2" w:space="0" w:color="auto"/>
              <w:right w:val="single" w:sz="2" w:space="0" w:color="auto"/>
            </w:tcBorders>
          </w:tcPr>
          <w:p w14:paraId="651E713D" w14:textId="77777777" w:rsidR="009F4766" w:rsidRPr="00DE12A3" w:rsidRDefault="009F4766" w:rsidP="00C917D6">
            <w:pPr>
              <w:pStyle w:val="NormalLeft"/>
            </w:pPr>
            <w:r w:rsidRPr="00DE12A3">
              <w:t>41</w:t>
            </w:r>
          </w:p>
        </w:tc>
      </w:tr>
      <w:tr w:rsidR="00DE12A3" w:rsidRPr="00DE12A3" w14:paraId="6AB41E8E" w14:textId="77777777" w:rsidTr="009F4766">
        <w:tc>
          <w:tcPr>
            <w:tcW w:w="1182" w:type="dxa"/>
            <w:tcBorders>
              <w:top w:val="single" w:sz="2" w:space="0" w:color="auto"/>
              <w:left w:val="single" w:sz="2" w:space="0" w:color="auto"/>
              <w:bottom w:val="single" w:sz="2" w:space="0" w:color="auto"/>
              <w:right w:val="single" w:sz="2" w:space="0" w:color="auto"/>
            </w:tcBorders>
          </w:tcPr>
          <w:p w14:paraId="6789DD33" w14:textId="77777777" w:rsidR="009F4766" w:rsidRPr="00DE12A3" w:rsidRDefault="009F4766" w:rsidP="00C917D6">
            <w:pPr>
              <w:pStyle w:val="NormalLeft"/>
            </w:pPr>
            <w:r w:rsidRPr="00DE12A3">
              <w:t>204</w:t>
            </w:r>
          </w:p>
        </w:tc>
        <w:tc>
          <w:tcPr>
            <w:tcW w:w="2489" w:type="dxa"/>
            <w:tcBorders>
              <w:top w:val="single" w:sz="2" w:space="0" w:color="auto"/>
              <w:left w:val="single" w:sz="2" w:space="0" w:color="auto"/>
              <w:bottom w:val="single" w:sz="2" w:space="0" w:color="auto"/>
              <w:right w:val="single" w:sz="2" w:space="0" w:color="auto"/>
            </w:tcBorders>
          </w:tcPr>
          <w:p w14:paraId="2EF7D05C" w14:textId="77777777" w:rsidR="009F4766" w:rsidRPr="00DE12A3" w:rsidRDefault="009F4766" w:rsidP="00C917D6">
            <w:pPr>
              <w:pStyle w:val="NormalLeft"/>
            </w:pPr>
            <w:r w:rsidRPr="00DE12A3">
              <w:t>41</w:t>
            </w:r>
          </w:p>
        </w:tc>
        <w:tc>
          <w:tcPr>
            <w:tcW w:w="2551" w:type="dxa"/>
            <w:tcBorders>
              <w:top w:val="single" w:sz="2" w:space="0" w:color="auto"/>
              <w:left w:val="single" w:sz="2" w:space="0" w:color="auto"/>
              <w:bottom w:val="single" w:sz="2" w:space="0" w:color="auto"/>
              <w:right w:val="single" w:sz="2" w:space="0" w:color="auto"/>
            </w:tcBorders>
          </w:tcPr>
          <w:p w14:paraId="7401234C" w14:textId="77777777" w:rsidR="009F4766" w:rsidRPr="00DE12A3" w:rsidRDefault="009F4766" w:rsidP="00C917D6">
            <w:pPr>
              <w:pStyle w:val="NormalLeft"/>
            </w:pPr>
            <w:r w:rsidRPr="00DE12A3">
              <w:t>59</w:t>
            </w:r>
          </w:p>
        </w:tc>
      </w:tr>
      <w:tr w:rsidR="00DE12A3" w:rsidRPr="00DE12A3" w14:paraId="44DE432A" w14:textId="77777777" w:rsidTr="009F4766">
        <w:tc>
          <w:tcPr>
            <w:tcW w:w="1182" w:type="dxa"/>
            <w:tcBorders>
              <w:top w:val="single" w:sz="2" w:space="0" w:color="auto"/>
              <w:left w:val="single" w:sz="2" w:space="0" w:color="auto"/>
              <w:bottom w:val="single" w:sz="2" w:space="0" w:color="auto"/>
              <w:right w:val="single" w:sz="2" w:space="0" w:color="auto"/>
            </w:tcBorders>
          </w:tcPr>
          <w:p w14:paraId="1B0528D8" w14:textId="77777777" w:rsidR="009F4766" w:rsidRPr="00DE12A3" w:rsidRDefault="009F4766" w:rsidP="00C917D6">
            <w:pPr>
              <w:pStyle w:val="NormalLeft"/>
            </w:pPr>
            <w:r w:rsidRPr="00DE12A3">
              <w:t>205</w:t>
            </w:r>
          </w:p>
        </w:tc>
        <w:tc>
          <w:tcPr>
            <w:tcW w:w="2489" w:type="dxa"/>
            <w:tcBorders>
              <w:top w:val="single" w:sz="2" w:space="0" w:color="auto"/>
              <w:left w:val="single" w:sz="2" w:space="0" w:color="auto"/>
              <w:bottom w:val="single" w:sz="2" w:space="0" w:color="auto"/>
              <w:right w:val="single" w:sz="2" w:space="0" w:color="auto"/>
            </w:tcBorders>
          </w:tcPr>
          <w:p w14:paraId="2FFCB897" w14:textId="77777777" w:rsidR="009F4766" w:rsidRPr="00DE12A3" w:rsidRDefault="009F4766" w:rsidP="00C917D6">
            <w:pPr>
              <w:pStyle w:val="NormalLeft"/>
            </w:pPr>
            <w:r w:rsidRPr="00DE12A3">
              <w:t>53</w:t>
            </w:r>
          </w:p>
        </w:tc>
        <w:tc>
          <w:tcPr>
            <w:tcW w:w="2551" w:type="dxa"/>
            <w:tcBorders>
              <w:top w:val="single" w:sz="2" w:space="0" w:color="auto"/>
              <w:left w:val="single" w:sz="2" w:space="0" w:color="auto"/>
              <w:bottom w:val="single" w:sz="2" w:space="0" w:color="auto"/>
              <w:right w:val="single" w:sz="2" w:space="0" w:color="auto"/>
            </w:tcBorders>
          </w:tcPr>
          <w:p w14:paraId="0D4255B2" w14:textId="77777777" w:rsidR="009F4766" w:rsidRPr="00DE12A3" w:rsidRDefault="009F4766" w:rsidP="00C917D6">
            <w:pPr>
              <w:pStyle w:val="NormalLeft"/>
            </w:pPr>
            <w:r w:rsidRPr="00DE12A3">
              <w:t>60</w:t>
            </w:r>
          </w:p>
        </w:tc>
      </w:tr>
      <w:tr w:rsidR="00DE12A3" w:rsidRPr="00DE12A3" w14:paraId="0F73B021" w14:textId="77777777" w:rsidTr="009F4766">
        <w:tc>
          <w:tcPr>
            <w:tcW w:w="1182" w:type="dxa"/>
            <w:tcBorders>
              <w:top w:val="single" w:sz="2" w:space="0" w:color="auto"/>
              <w:left w:val="single" w:sz="2" w:space="0" w:color="auto"/>
              <w:bottom w:val="single" w:sz="2" w:space="0" w:color="auto"/>
              <w:right w:val="single" w:sz="2" w:space="0" w:color="auto"/>
            </w:tcBorders>
          </w:tcPr>
          <w:p w14:paraId="1DC37043" w14:textId="77777777" w:rsidR="009F4766" w:rsidRPr="00DE12A3" w:rsidRDefault="009F4766" w:rsidP="00C917D6">
            <w:pPr>
              <w:pStyle w:val="NormalLeft"/>
            </w:pPr>
            <w:r w:rsidRPr="00DE12A3">
              <w:t>206</w:t>
            </w:r>
          </w:p>
        </w:tc>
        <w:tc>
          <w:tcPr>
            <w:tcW w:w="2489" w:type="dxa"/>
            <w:tcBorders>
              <w:top w:val="single" w:sz="2" w:space="0" w:color="auto"/>
              <w:left w:val="single" w:sz="2" w:space="0" w:color="auto"/>
              <w:bottom w:val="single" w:sz="2" w:space="0" w:color="auto"/>
              <w:right w:val="single" w:sz="2" w:space="0" w:color="auto"/>
            </w:tcBorders>
          </w:tcPr>
          <w:p w14:paraId="6DB6712F" w14:textId="77777777" w:rsidR="009F4766" w:rsidRPr="00DE12A3" w:rsidRDefault="009F4766" w:rsidP="00C917D6">
            <w:pPr>
              <w:pStyle w:val="NormalLeft"/>
            </w:pPr>
            <w:r w:rsidRPr="00DE12A3">
              <w:t>44</w:t>
            </w:r>
          </w:p>
        </w:tc>
        <w:tc>
          <w:tcPr>
            <w:tcW w:w="2551" w:type="dxa"/>
            <w:tcBorders>
              <w:top w:val="single" w:sz="2" w:space="0" w:color="auto"/>
              <w:left w:val="single" w:sz="2" w:space="0" w:color="auto"/>
              <w:bottom w:val="single" w:sz="2" w:space="0" w:color="auto"/>
              <w:right w:val="single" w:sz="2" w:space="0" w:color="auto"/>
            </w:tcBorders>
          </w:tcPr>
          <w:p w14:paraId="0B2116C8" w14:textId="77777777" w:rsidR="009F4766" w:rsidRPr="00DE12A3" w:rsidRDefault="009F4766" w:rsidP="00C917D6">
            <w:pPr>
              <w:pStyle w:val="NormalLeft"/>
            </w:pPr>
            <w:r w:rsidRPr="00DE12A3">
              <w:t>54</w:t>
            </w:r>
          </w:p>
        </w:tc>
      </w:tr>
      <w:tr w:rsidR="00DE12A3" w:rsidRPr="00DE12A3" w14:paraId="5EB92FF9" w14:textId="77777777" w:rsidTr="009F4766">
        <w:tc>
          <w:tcPr>
            <w:tcW w:w="1182" w:type="dxa"/>
            <w:tcBorders>
              <w:top w:val="single" w:sz="2" w:space="0" w:color="auto"/>
              <w:left w:val="single" w:sz="2" w:space="0" w:color="auto"/>
              <w:bottom w:val="single" w:sz="2" w:space="0" w:color="auto"/>
              <w:right w:val="single" w:sz="2" w:space="0" w:color="auto"/>
            </w:tcBorders>
          </w:tcPr>
          <w:p w14:paraId="6438A1AD" w14:textId="77777777" w:rsidR="009F4766" w:rsidRPr="00DE12A3" w:rsidRDefault="009F4766" w:rsidP="00C917D6">
            <w:pPr>
              <w:pStyle w:val="NormalLeft"/>
            </w:pPr>
            <w:r w:rsidRPr="00DE12A3">
              <w:t>207</w:t>
            </w:r>
          </w:p>
        </w:tc>
        <w:tc>
          <w:tcPr>
            <w:tcW w:w="2489" w:type="dxa"/>
            <w:tcBorders>
              <w:top w:val="single" w:sz="2" w:space="0" w:color="auto"/>
              <w:left w:val="single" w:sz="2" w:space="0" w:color="auto"/>
              <w:bottom w:val="single" w:sz="2" w:space="0" w:color="auto"/>
              <w:right w:val="single" w:sz="2" w:space="0" w:color="auto"/>
            </w:tcBorders>
          </w:tcPr>
          <w:p w14:paraId="6B9F52D2" w14:textId="77777777" w:rsidR="009F4766" w:rsidRPr="00DE12A3" w:rsidRDefault="009F4766" w:rsidP="00C917D6">
            <w:pPr>
              <w:pStyle w:val="NormalLeft"/>
            </w:pPr>
            <w:r w:rsidRPr="00DE12A3">
              <w:t>22</w:t>
            </w:r>
          </w:p>
        </w:tc>
        <w:tc>
          <w:tcPr>
            <w:tcW w:w="2551" w:type="dxa"/>
            <w:tcBorders>
              <w:top w:val="single" w:sz="2" w:space="0" w:color="auto"/>
              <w:left w:val="single" w:sz="2" w:space="0" w:color="auto"/>
              <w:bottom w:val="single" w:sz="2" w:space="0" w:color="auto"/>
              <w:right w:val="single" w:sz="2" w:space="0" w:color="auto"/>
            </w:tcBorders>
          </w:tcPr>
          <w:p w14:paraId="5A392E7C" w14:textId="77777777" w:rsidR="009F4766" w:rsidRPr="00DE12A3" w:rsidRDefault="009F4766" w:rsidP="00C917D6">
            <w:pPr>
              <w:pStyle w:val="NormalLeft"/>
            </w:pPr>
            <w:r w:rsidRPr="00DE12A3">
              <w:t>40</w:t>
            </w:r>
          </w:p>
        </w:tc>
      </w:tr>
      <w:tr w:rsidR="00DE12A3" w:rsidRPr="00DE12A3" w14:paraId="1E2F4F23" w14:textId="77777777" w:rsidTr="009F4766">
        <w:tc>
          <w:tcPr>
            <w:tcW w:w="1182" w:type="dxa"/>
            <w:tcBorders>
              <w:top w:val="single" w:sz="2" w:space="0" w:color="auto"/>
              <w:left w:val="single" w:sz="2" w:space="0" w:color="auto"/>
              <w:bottom w:val="single" w:sz="2" w:space="0" w:color="auto"/>
              <w:right w:val="single" w:sz="2" w:space="0" w:color="auto"/>
            </w:tcBorders>
          </w:tcPr>
          <w:p w14:paraId="01725700" w14:textId="77777777" w:rsidR="009F4766" w:rsidRPr="00DE12A3" w:rsidRDefault="009F4766" w:rsidP="00C917D6">
            <w:pPr>
              <w:pStyle w:val="NormalLeft"/>
            </w:pPr>
            <w:r w:rsidRPr="00DE12A3">
              <w:t>208</w:t>
            </w:r>
          </w:p>
        </w:tc>
        <w:tc>
          <w:tcPr>
            <w:tcW w:w="2489" w:type="dxa"/>
            <w:tcBorders>
              <w:top w:val="single" w:sz="2" w:space="0" w:color="auto"/>
              <w:left w:val="single" w:sz="2" w:space="0" w:color="auto"/>
              <w:bottom w:val="single" w:sz="2" w:space="0" w:color="auto"/>
              <w:right w:val="single" w:sz="2" w:space="0" w:color="auto"/>
            </w:tcBorders>
          </w:tcPr>
          <w:p w14:paraId="1A8051ED" w14:textId="77777777" w:rsidR="009F4766" w:rsidRPr="00DE12A3" w:rsidRDefault="009F4766" w:rsidP="00C917D6">
            <w:pPr>
              <w:pStyle w:val="NormalLeft"/>
            </w:pPr>
            <w:r w:rsidRPr="00DE12A3">
              <w:t>24</w:t>
            </w:r>
          </w:p>
        </w:tc>
        <w:tc>
          <w:tcPr>
            <w:tcW w:w="2551" w:type="dxa"/>
            <w:tcBorders>
              <w:top w:val="single" w:sz="2" w:space="0" w:color="auto"/>
              <w:left w:val="single" w:sz="2" w:space="0" w:color="auto"/>
              <w:bottom w:val="single" w:sz="2" w:space="0" w:color="auto"/>
              <w:right w:val="single" w:sz="2" w:space="0" w:color="auto"/>
            </w:tcBorders>
          </w:tcPr>
          <w:p w14:paraId="47D3AA0B" w14:textId="77777777" w:rsidR="009F4766" w:rsidRPr="00DE12A3" w:rsidRDefault="009F4766" w:rsidP="00C917D6">
            <w:pPr>
              <w:pStyle w:val="NormalLeft"/>
            </w:pPr>
            <w:r w:rsidRPr="00DE12A3">
              <w:t>41</w:t>
            </w:r>
          </w:p>
        </w:tc>
      </w:tr>
      <w:tr w:rsidR="00DE12A3" w:rsidRPr="00DE12A3" w14:paraId="5851A481" w14:textId="77777777" w:rsidTr="009F4766">
        <w:tc>
          <w:tcPr>
            <w:tcW w:w="1182" w:type="dxa"/>
            <w:tcBorders>
              <w:top w:val="single" w:sz="2" w:space="0" w:color="auto"/>
              <w:left w:val="single" w:sz="2" w:space="0" w:color="auto"/>
              <w:bottom w:val="single" w:sz="2" w:space="0" w:color="auto"/>
              <w:right w:val="single" w:sz="2" w:space="0" w:color="auto"/>
            </w:tcBorders>
          </w:tcPr>
          <w:p w14:paraId="17FBB980" w14:textId="77777777" w:rsidR="009F4766" w:rsidRPr="00DE12A3" w:rsidRDefault="009F4766" w:rsidP="00C917D6">
            <w:pPr>
              <w:pStyle w:val="NormalLeft"/>
            </w:pPr>
            <w:r w:rsidRPr="00DE12A3">
              <w:t>209</w:t>
            </w:r>
          </w:p>
        </w:tc>
        <w:tc>
          <w:tcPr>
            <w:tcW w:w="2489" w:type="dxa"/>
            <w:tcBorders>
              <w:top w:val="single" w:sz="2" w:space="0" w:color="auto"/>
              <w:left w:val="single" w:sz="2" w:space="0" w:color="auto"/>
              <w:bottom w:val="single" w:sz="2" w:space="0" w:color="auto"/>
              <w:right w:val="single" w:sz="2" w:space="0" w:color="auto"/>
            </w:tcBorders>
          </w:tcPr>
          <w:p w14:paraId="2F08176D" w14:textId="77777777" w:rsidR="009F4766" w:rsidRPr="00DE12A3" w:rsidRDefault="009F4766" w:rsidP="00C917D6">
            <w:pPr>
              <w:pStyle w:val="NormalLeft"/>
            </w:pPr>
            <w:r w:rsidRPr="00DE12A3">
              <w:t>32</w:t>
            </w:r>
          </w:p>
        </w:tc>
        <w:tc>
          <w:tcPr>
            <w:tcW w:w="2551" w:type="dxa"/>
            <w:tcBorders>
              <w:top w:val="single" w:sz="2" w:space="0" w:color="auto"/>
              <w:left w:val="single" w:sz="2" w:space="0" w:color="auto"/>
              <w:bottom w:val="single" w:sz="2" w:space="0" w:color="auto"/>
              <w:right w:val="single" w:sz="2" w:space="0" w:color="auto"/>
            </w:tcBorders>
          </w:tcPr>
          <w:p w14:paraId="647785B7" w14:textId="77777777" w:rsidR="009F4766" w:rsidRPr="00DE12A3" w:rsidRDefault="009F4766" w:rsidP="00C917D6">
            <w:pPr>
              <w:pStyle w:val="NormalLeft"/>
            </w:pPr>
            <w:r w:rsidRPr="00DE12A3">
              <w:t>53</w:t>
            </w:r>
          </w:p>
        </w:tc>
      </w:tr>
      <w:tr w:rsidR="00DE12A3" w:rsidRPr="00DE12A3" w14:paraId="60A6E796" w14:textId="77777777" w:rsidTr="009F4766">
        <w:tc>
          <w:tcPr>
            <w:tcW w:w="1182" w:type="dxa"/>
            <w:tcBorders>
              <w:top w:val="single" w:sz="2" w:space="0" w:color="auto"/>
              <w:left w:val="single" w:sz="2" w:space="0" w:color="auto"/>
              <w:bottom w:val="single" w:sz="2" w:space="0" w:color="auto"/>
              <w:right w:val="single" w:sz="2" w:space="0" w:color="auto"/>
            </w:tcBorders>
          </w:tcPr>
          <w:p w14:paraId="4F20DFB3" w14:textId="77777777" w:rsidR="009F4766" w:rsidRPr="00DE12A3" w:rsidRDefault="009F4766" w:rsidP="00C917D6">
            <w:pPr>
              <w:pStyle w:val="NormalLeft"/>
            </w:pPr>
            <w:r w:rsidRPr="00DE12A3">
              <w:t>210</w:t>
            </w:r>
          </w:p>
        </w:tc>
        <w:tc>
          <w:tcPr>
            <w:tcW w:w="2489" w:type="dxa"/>
            <w:tcBorders>
              <w:top w:val="single" w:sz="2" w:space="0" w:color="auto"/>
              <w:left w:val="single" w:sz="2" w:space="0" w:color="auto"/>
              <w:bottom w:val="single" w:sz="2" w:space="0" w:color="auto"/>
              <w:right w:val="single" w:sz="2" w:space="0" w:color="auto"/>
            </w:tcBorders>
          </w:tcPr>
          <w:p w14:paraId="3B32B304" w14:textId="77777777" w:rsidR="009F4766" w:rsidRPr="00DE12A3" w:rsidRDefault="009F4766" w:rsidP="00C917D6">
            <w:pPr>
              <w:pStyle w:val="NormalLeft"/>
            </w:pPr>
            <w:r w:rsidRPr="00DE12A3">
              <w:t>44</w:t>
            </w:r>
          </w:p>
        </w:tc>
        <w:tc>
          <w:tcPr>
            <w:tcW w:w="2551" w:type="dxa"/>
            <w:tcBorders>
              <w:top w:val="single" w:sz="2" w:space="0" w:color="auto"/>
              <w:left w:val="single" w:sz="2" w:space="0" w:color="auto"/>
              <w:bottom w:val="single" w:sz="2" w:space="0" w:color="auto"/>
              <w:right w:val="single" w:sz="2" w:space="0" w:color="auto"/>
            </w:tcBorders>
          </w:tcPr>
          <w:p w14:paraId="230A63E4" w14:textId="77777777" w:rsidR="009F4766" w:rsidRPr="00DE12A3" w:rsidRDefault="009F4766" w:rsidP="00C917D6">
            <w:pPr>
              <w:pStyle w:val="NormalLeft"/>
            </w:pPr>
            <w:r w:rsidRPr="00DE12A3">
              <w:t>74</w:t>
            </w:r>
          </w:p>
        </w:tc>
      </w:tr>
      <w:tr w:rsidR="00DE12A3" w:rsidRPr="00DE12A3" w14:paraId="1A6AFB49" w14:textId="77777777" w:rsidTr="009F4766">
        <w:tc>
          <w:tcPr>
            <w:tcW w:w="1182" w:type="dxa"/>
            <w:tcBorders>
              <w:top w:val="single" w:sz="2" w:space="0" w:color="auto"/>
              <w:left w:val="single" w:sz="2" w:space="0" w:color="auto"/>
              <w:bottom w:val="single" w:sz="2" w:space="0" w:color="auto"/>
              <w:right w:val="single" w:sz="2" w:space="0" w:color="auto"/>
            </w:tcBorders>
          </w:tcPr>
          <w:p w14:paraId="7E0F4373" w14:textId="77777777" w:rsidR="009F4766" w:rsidRPr="00DE12A3" w:rsidRDefault="009F4766" w:rsidP="00C917D6">
            <w:pPr>
              <w:pStyle w:val="NormalLeft"/>
            </w:pPr>
            <w:r w:rsidRPr="00DE12A3">
              <w:t>211</w:t>
            </w:r>
          </w:p>
        </w:tc>
        <w:tc>
          <w:tcPr>
            <w:tcW w:w="2489" w:type="dxa"/>
            <w:tcBorders>
              <w:top w:val="single" w:sz="2" w:space="0" w:color="auto"/>
              <w:left w:val="single" w:sz="2" w:space="0" w:color="auto"/>
              <w:bottom w:val="single" w:sz="2" w:space="0" w:color="auto"/>
              <w:right w:val="single" w:sz="2" w:space="0" w:color="auto"/>
            </w:tcBorders>
          </w:tcPr>
          <w:p w14:paraId="2A9B8A71" w14:textId="77777777" w:rsidR="009F4766" w:rsidRPr="00DE12A3" w:rsidRDefault="009F4766" w:rsidP="00C917D6">
            <w:pPr>
              <w:pStyle w:val="NormalLeft"/>
            </w:pPr>
            <w:r w:rsidRPr="00DE12A3">
              <w:t>57</w:t>
            </w:r>
          </w:p>
        </w:tc>
        <w:tc>
          <w:tcPr>
            <w:tcW w:w="2551" w:type="dxa"/>
            <w:tcBorders>
              <w:top w:val="single" w:sz="2" w:space="0" w:color="auto"/>
              <w:left w:val="single" w:sz="2" w:space="0" w:color="auto"/>
              <w:bottom w:val="single" w:sz="2" w:space="0" w:color="auto"/>
              <w:right w:val="single" w:sz="2" w:space="0" w:color="auto"/>
            </w:tcBorders>
          </w:tcPr>
          <w:p w14:paraId="2C1AC7AD" w14:textId="77777777" w:rsidR="009F4766" w:rsidRPr="00DE12A3" w:rsidRDefault="009F4766" w:rsidP="00C917D6">
            <w:pPr>
              <w:pStyle w:val="NormalLeft"/>
            </w:pPr>
            <w:r w:rsidRPr="00DE12A3">
              <w:t>25</w:t>
            </w:r>
          </w:p>
        </w:tc>
      </w:tr>
      <w:tr w:rsidR="00DE12A3" w:rsidRPr="00DE12A3" w14:paraId="16000422" w14:textId="77777777" w:rsidTr="009F4766">
        <w:tc>
          <w:tcPr>
            <w:tcW w:w="1182" w:type="dxa"/>
            <w:tcBorders>
              <w:top w:val="single" w:sz="2" w:space="0" w:color="auto"/>
              <w:left w:val="single" w:sz="2" w:space="0" w:color="auto"/>
              <w:bottom w:val="single" w:sz="2" w:space="0" w:color="auto"/>
              <w:right w:val="single" w:sz="2" w:space="0" w:color="auto"/>
            </w:tcBorders>
          </w:tcPr>
          <w:p w14:paraId="1536E548" w14:textId="77777777" w:rsidR="009F4766" w:rsidRPr="00DE12A3" w:rsidRDefault="009F4766" w:rsidP="00C917D6">
            <w:pPr>
              <w:pStyle w:val="NormalLeft"/>
            </w:pPr>
            <w:r w:rsidRPr="00DE12A3">
              <w:t>212</w:t>
            </w:r>
          </w:p>
        </w:tc>
        <w:tc>
          <w:tcPr>
            <w:tcW w:w="2489" w:type="dxa"/>
            <w:tcBorders>
              <w:top w:val="single" w:sz="2" w:space="0" w:color="auto"/>
              <w:left w:val="single" w:sz="2" w:space="0" w:color="auto"/>
              <w:bottom w:val="single" w:sz="2" w:space="0" w:color="auto"/>
              <w:right w:val="single" w:sz="2" w:space="0" w:color="auto"/>
            </w:tcBorders>
          </w:tcPr>
          <w:p w14:paraId="7606B2C0" w14:textId="77777777" w:rsidR="009F4766" w:rsidRPr="00DE12A3" w:rsidRDefault="009F4766" w:rsidP="00C917D6">
            <w:pPr>
              <w:pStyle w:val="NormalLeft"/>
            </w:pPr>
            <w:r w:rsidRPr="00DE12A3">
              <w:t>22</w:t>
            </w:r>
          </w:p>
        </w:tc>
        <w:tc>
          <w:tcPr>
            <w:tcW w:w="2551" w:type="dxa"/>
            <w:tcBorders>
              <w:top w:val="single" w:sz="2" w:space="0" w:color="auto"/>
              <w:left w:val="single" w:sz="2" w:space="0" w:color="auto"/>
              <w:bottom w:val="single" w:sz="2" w:space="0" w:color="auto"/>
              <w:right w:val="single" w:sz="2" w:space="0" w:color="auto"/>
            </w:tcBorders>
          </w:tcPr>
          <w:p w14:paraId="7A046768" w14:textId="77777777" w:rsidR="009F4766" w:rsidRPr="00DE12A3" w:rsidRDefault="009F4766" w:rsidP="00C917D6">
            <w:pPr>
              <w:pStyle w:val="NormalLeft"/>
            </w:pPr>
            <w:r w:rsidRPr="00DE12A3">
              <w:t>49</w:t>
            </w:r>
          </w:p>
        </w:tc>
      </w:tr>
      <w:tr w:rsidR="00DE12A3" w:rsidRPr="00DE12A3" w14:paraId="6DEA2621" w14:textId="77777777" w:rsidTr="009F4766">
        <w:tc>
          <w:tcPr>
            <w:tcW w:w="1182" w:type="dxa"/>
            <w:tcBorders>
              <w:top w:val="single" w:sz="2" w:space="0" w:color="auto"/>
              <w:left w:val="single" w:sz="2" w:space="0" w:color="auto"/>
              <w:bottom w:val="single" w:sz="2" w:space="0" w:color="auto"/>
              <w:right w:val="single" w:sz="2" w:space="0" w:color="auto"/>
            </w:tcBorders>
          </w:tcPr>
          <w:p w14:paraId="19AB4FDD" w14:textId="77777777" w:rsidR="009F4766" w:rsidRPr="00DE12A3" w:rsidRDefault="009F4766" w:rsidP="00C917D6">
            <w:pPr>
              <w:pStyle w:val="NormalLeft"/>
            </w:pPr>
            <w:r w:rsidRPr="00DE12A3">
              <w:t>213</w:t>
            </w:r>
          </w:p>
        </w:tc>
        <w:tc>
          <w:tcPr>
            <w:tcW w:w="2489" w:type="dxa"/>
            <w:tcBorders>
              <w:top w:val="single" w:sz="2" w:space="0" w:color="auto"/>
              <w:left w:val="single" w:sz="2" w:space="0" w:color="auto"/>
              <w:bottom w:val="single" w:sz="2" w:space="0" w:color="auto"/>
              <w:right w:val="single" w:sz="2" w:space="0" w:color="auto"/>
            </w:tcBorders>
          </w:tcPr>
          <w:p w14:paraId="5C239E03" w14:textId="77777777" w:rsidR="009F4766" w:rsidRPr="00DE12A3" w:rsidRDefault="009F4766" w:rsidP="00C917D6">
            <w:pPr>
              <w:pStyle w:val="NormalLeft"/>
            </w:pPr>
            <w:r w:rsidRPr="00DE12A3">
              <w:t>29</w:t>
            </w:r>
          </w:p>
        </w:tc>
        <w:tc>
          <w:tcPr>
            <w:tcW w:w="2551" w:type="dxa"/>
            <w:tcBorders>
              <w:top w:val="single" w:sz="2" w:space="0" w:color="auto"/>
              <w:left w:val="single" w:sz="2" w:space="0" w:color="auto"/>
              <w:bottom w:val="single" w:sz="2" w:space="0" w:color="auto"/>
              <w:right w:val="single" w:sz="2" w:space="0" w:color="auto"/>
            </w:tcBorders>
          </w:tcPr>
          <w:p w14:paraId="5D71B2ED" w14:textId="77777777" w:rsidR="009F4766" w:rsidRPr="00DE12A3" w:rsidRDefault="009F4766" w:rsidP="00C917D6">
            <w:pPr>
              <w:pStyle w:val="NormalLeft"/>
            </w:pPr>
            <w:r w:rsidRPr="00DE12A3">
              <w:t>45</w:t>
            </w:r>
          </w:p>
        </w:tc>
      </w:tr>
      <w:tr w:rsidR="00DE12A3" w:rsidRPr="00DE12A3" w14:paraId="590FCD3B" w14:textId="77777777" w:rsidTr="009F4766">
        <w:tc>
          <w:tcPr>
            <w:tcW w:w="1182" w:type="dxa"/>
            <w:tcBorders>
              <w:top w:val="single" w:sz="2" w:space="0" w:color="auto"/>
              <w:left w:val="single" w:sz="2" w:space="0" w:color="auto"/>
              <w:bottom w:val="single" w:sz="2" w:space="0" w:color="auto"/>
              <w:right w:val="single" w:sz="2" w:space="0" w:color="auto"/>
            </w:tcBorders>
          </w:tcPr>
          <w:p w14:paraId="4AC5BFBE" w14:textId="77777777" w:rsidR="009F4766" w:rsidRPr="00DE12A3" w:rsidRDefault="009F4766" w:rsidP="00C917D6">
            <w:pPr>
              <w:pStyle w:val="NormalLeft"/>
            </w:pPr>
            <w:r w:rsidRPr="00DE12A3">
              <w:t>214</w:t>
            </w:r>
          </w:p>
        </w:tc>
        <w:tc>
          <w:tcPr>
            <w:tcW w:w="2489" w:type="dxa"/>
            <w:tcBorders>
              <w:top w:val="single" w:sz="2" w:space="0" w:color="auto"/>
              <w:left w:val="single" w:sz="2" w:space="0" w:color="auto"/>
              <w:bottom w:val="single" w:sz="2" w:space="0" w:color="auto"/>
              <w:right w:val="single" w:sz="2" w:space="0" w:color="auto"/>
            </w:tcBorders>
          </w:tcPr>
          <w:p w14:paraId="1F59AA53" w14:textId="77777777" w:rsidR="009F4766" w:rsidRPr="00DE12A3" w:rsidRDefault="009F4766" w:rsidP="00C917D6">
            <w:pPr>
              <w:pStyle w:val="NormalLeft"/>
            </w:pPr>
            <w:r w:rsidRPr="00DE12A3">
              <w:t>19</w:t>
            </w:r>
          </w:p>
        </w:tc>
        <w:tc>
          <w:tcPr>
            <w:tcW w:w="2551" w:type="dxa"/>
            <w:tcBorders>
              <w:top w:val="single" w:sz="2" w:space="0" w:color="auto"/>
              <w:left w:val="single" w:sz="2" w:space="0" w:color="auto"/>
              <w:bottom w:val="single" w:sz="2" w:space="0" w:color="auto"/>
              <w:right w:val="single" w:sz="2" w:space="0" w:color="auto"/>
            </w:tcBorders>
          </w:tcPr>
          <w:p w14:paraId="4DE804DF" w14:textId="77777777" w:rsidR="009F4766" w:rsidRPr="00DE12A3" w:rsidRDefault="009F4766" w:rsidP="00C917D6">
            <w:pPr>
              <w:pStyle w:val="NormalLeft"/>
            </w:pPr>
            <w:r w:rsidRPr="00DE12A3">
              <w:t>37</w:t>
            </w:r>
          </w:p>
        </w:tc>
      </w:tr>
      <w:tr w:rsidR="00DE12A3" w:rsidRPr="00DE12A3" w14:paraId="2CAEC30B" w14:textId="77777777" w:rsidTr="009F4766">
        <w:tc>
          <w:tcPr>
            <w:tcW w:w="1182" w:type="dxa"/>
            <w:tcBorders>
              <w:top w:val="single" w:sz="2" w:space="0" w:color="auto"/>
              <w:left w:val="single" w:sz="2" w:space="0" w:color="auto"/>
              <w:bottom w:val="single" w:sz="2" w:space="0" w:color="auto"/>
              <w:right w:val="single" w:sz="2" w:space="0" w:color="auto"/>
            </w:tcBorders>
          </w:tcPr>
          <w:p w14:paraId="4E4131B1" w14:textId="77777777" w:rsidR="009F4766" w:rsidRPr="00DE12A3" w:rsidRDefault="009F4766" w:rsidP="00C917D6">
            <w:pPr>
              <w:pStyle w:val="NormalLeft"/>
            </w:pPr>
            <w:r w:rsidRPr="00DE12A3">
              <w:t>215</w:t>
            </w:r>
          </w:p>
        </w:tc>
        <w:tc>
          <w:tcPr>
            <w:tcW w:w="2489" w:type="dxa"/>
            <w:tcBorders>
              <w:top w:val="single" w:sz="2" w:space="0" w:color="auto"/>
              <w:left w:val="single" w:sz="2" w:space="0" w:color="auto"/>
              <w:bottom w:val="single" w:sz="2" w:space="0" w:color="auto"/>
              <w:right w:val="single" w:sz="2" w:space="0" w:color="auto"/>
            </w:tcBorders>
          </w:tcPr>
          <w:p w14:paraId="361C244D" w14:textId="77777777" w:rsidR="009F4766" w:rsidRPr="00DE12A3" w:rsidRDefault="009F4766" w:rsidP="00C917D6">
            <w:pPr>
              <w:pStyle w:val="NormalLeft"/>
            </w:pPr>
            <w:r w:rsidRPr="00DE12A3">
              <w:t>14</w:t>
            </w:r>
          </w:p>
        </w:tc>
        <w:tc>
          <w:tcPr>
            <w:tcW w:w="2551" w:type="dxa"/>
            <w:tcBorders>
              <w:top w:val="single" w:sz="2" w:space="0" w:color="auto"/>
              <w:left w:val="single" w:sz="2" w:space="0" w:color="auto"/>
              <w:bottom w:val="single" w:sz="2" w:space="0" w:color="auto"/>
              <w:right w:val="single" w:sz="2" w:space="0" w:color="auto"/>
            </w:tcBorders>
          </w:tcPr>
          <w:p w14:paraId="70A95F02" w14:textId="77777777" w:rsidR="009F4766" w:rsidRPr="00DE12A3" w:rsidRDefault="009F4766" w:rsidP="00C917D6">
            <w:pPr>
              <w:pStyle w:val="NormalLeft"/>
            </w:pPr>
            <w:r w:rsidRPr="00DE12A3">
              <w:t>43</w:t>
            </w:r>
          </w:p>
        </w:tc>
      </w:tr>
      <w:tr w:rsidR="00DE12A3" w:rsidRPr="00DE12A3" w14:paraId="44B06EBD" w14:textId="77777777" w:rsidTr="009F4766">
        <w:tc>
          <w:tcPr>
            <w:tcW w:w="1182" w:type="dxa"/>
            <w:tcBorders>
              <w:top w:val="single" w:sz="2" w:space="0" w:color="auto"/>
              <w:left w:val="single" w:sz="2" w:space="0" w:color="auto"/>
              <w:bottom w:val="single" w:sz="2" w:space="0" w:color="auto"/>
              <w:right w:val="single" w:sz="2" w:space="0" w:color="auto"/>
            </w:tcBorders>
          </w:tcPr>
          <w:p w14:paraId="477D4574" w14:textId="77777777" w:rsidR="009F4766" w:rsidRPr="00DE12A3" w:rsidRDefault="009F4766" w:rsidP="00C917D6">
            <w:pPr>
              <w:pStyle w:val="NormalLeft"/>
            </w:pPr>
            <w:r w:rsidRPr="00DE12A3">
              <w:t>216</w:t>
            </w:r>
          </w:p>
        </w:tc>
        <w:tc>
          <w:tcPr>
            <w:tcW w:w="2489" w:type="dxa"/>
            <w:tcBorders>
              <w:top w:val="single" w:sz="2" w:space="0" w:color="auto"/>
              <w:left w:val="single" w:sz="2" w:space="0" w:color="auto"/>
              <w:bottom w:val="single" w:sz="2" w:space="0" w:color="auto"/>
              <w:right w:val="single" w:sz="2" w:space="0" w:color="auto"/>
            </w:tcBorders>
          </w:tcPr>
          <w:p w14:paraId="2BDE3F6B" w14:textId="77777777" w:rsidR="009F4766" w:rsidRPr="00DE12A3" w:rsidRDefault="009F4766" w:rsidP="00C917D6">
            <w:pPr>
              <w:pStyle w:val="NormalLeft"/>
            </w:pPr>
            <w:r w:rsidRPr="00DE12A3">
              <w:t>36</w:t>
            </w:r>
          </w:p>
        </w:tc>
        <w:tc>
          <w:tcPr>
            <w:tcW w:w="2551" w:type="dxa"/>
            <w:tcBorders>
              <w:top w:val="single" w:sz="2" w:space="0" w:color="auto"/>
              <w:left w:val="single" w:sz="2" w:space="0" w:color="auto"/>
              <w:bottom w:val="single" w:sz="2" w:space="0" w:color="auto"/>
              <w:right w:val="single" w:sz="2" w:space="0" w:color="auto"/>
            </w:tcBorders>
          </w:tcPr>
          <w:p w14:paraId="0833C244" w14:textId="77777777" w:rsidR="009F4766" w:rsidRPr="00DE12A3" w:rsidRDefault="009F4766" w:rsidP="00C917D6">
            <w:pPr>
              <w:pStyle w:val="NormalLeft"/>
            </w:pPr>
            <w:r w:rsidRPr="00DE12A3">
              <w:t>40</w:t>
            </w:r>
          </w:p>
        </w:tc>
      </w:tr>
      <w:tr w:rsidR="00DE12A3" w:rsidRPr="00DE12A3" w14:paraId="0FCFA0CE" w14:textId="77777777" w:rsidTr="009F4766">
        <w:tc>
          <w:tcPr>
            <w:tcW w:w="1182" w:type="dxa"/>
            <w:tcBorders>
              <w:top w:val="single" w:sz="2" w:space="0" w:color="auto"/>
              <w:left w:val="single" w:sz="2" w:space="0" w:color="auto"/>
              <w:bottom w:val="single" w:sz="2" w:space="0" w:color="auto"/>
              <w:right w:val="single" w:sz="2" w:space="0" w:color="auto"/>
            </w:tcBorders>
          </w:tcPr>
          <w:p w14:paraId="3F951FCD" w14:textId="77777777" w:rsidR="009F4766" w:rsidRPr="00DE12A3" w:rsidRDefault="009F4766" w:rsidP="00C917D6">
            <w:pPr>
              <w:pStyle w:val="NormalLeft"/>
            </w:pPr>
            <w:r w:rsidRPr="00DE12A3">
              <w:t>217</w:t>
            </w:r>
          </w:p>
        </w:tc>
        <w:tc>
          <w:tcPr>
            <w:tcW w:w="2489" w:type="dxa"/>
            <w:tcBorders>
              <w:top w:val="single" w:sz="2" w:space="0" w:color="auto"/>
              <w:left w:val="single" w:sz="2" w:space="0" w:color="auto"/>
              <w:bottom w:val="single" w:sz="2" w:space="0" w:color="auto"/>
              <w:right w:val="single" w:sz="2" w:space="0" w:color="auto"/>
            </w:tcBorders>
          </w:tcPr>
          <w:p w14:paraId="56F1DED4" w14:textId="77777777" w:rsidR="009F4766" w:rsidRPr="00DE12A3" w:rsidRDefault="009F4766" w:rsidP="00C917D6">
            <w:pPr>
              <w:pStyle w:val="NormalLeft"/>
            </w:pPr>
            <w:r w:rsidRPr="00DE12A3">
              <w:t>43</w:t>
            </w:r>
          </w:p>
        </w:tc>
        <w:tc>
          <w:tcPr>
            <w:tcW w:w="2551" w:type="dxa"/>
            <w:tcBorders>
              <w:top w:val="single" w:sz="2" w:space="0" w:color="auto"/>
              <w:left w:val="single" w:sz="2" w:space="0" w:color="auto"/>
              <w:bottom w:val="single" w:sz="2" w:space="0" w:color="auto"/>
              <w:right w:val="single" w:sz="2" w:space="0" w:color="auto"/>
            </w:tcBorders>
          </w:tcPr>
          <w:p w14:paraId="17FE3F50" w14:textId="77777777" w:rsidR="009F4766" w:rsidRPr="00DE12A3" w:rsidRDefault="009F4766" w:rsidP="00C917D6">
            <w:pPr>
              <w:pStyle w:val="NormalLeft"/>
            </w:pPr>
            <w:r w:rsidRPr="00DE12A3">
              <w:t>63</w:t>
            </w:r>
          </w:p>
        </w:tc>
      </w:tr>
      <w:tr w:rsidR="00DE12A3" w:rsidRPr="00DE12A3" w14:paraId="489D30AD" w14:textId="77777777" w:rsidTr="009F4766">
        <w:tc>
          <w:tcPr>
            <w:tcW w:w="1182" w:type="dxa"/>
            <w:tcBorders>
              <w:top w:val="single" w:sz="2" w:space="0" w:color="auto"/>
              <w:left w:val="single" w:sz="2" w:space="0" w:color="auto"/>
              <w:bottom w:val="single" w:sz="2" w:space="0" w:color="auto"/>
              <w:right w:val="single" w:sz="2" w:space="0" w:color="auto"/>
            </w:tcBorders>
          </w:tcPr>
          <w:p w14:paraId="2B58AFEA" w14:textId="77777777" w:rsidR="009F4766" w:rsidRPr="00DE12A3" w:rsidRDefault="009F4766" w:rsidP="00C917D6">
            <w:pPr>
              <w:pStyle w:val="NormalLeft"/>
            </w:pPr>
            <w:r w:rsidRPr="00DE12A3">
              <w:t>218</w:t>
            </w:r>
          </w:p>
        </w:tc>
        <w:tc>
          <w:tcPr>
            <w:tcW w:w="2489" w:type="dxa"/>
            <w:tcBorders>
              <w:top w:val="single" w:sz="2" w:space="0" w:color="auto"/>
              <w:left w:val="single" w:sz="2" w:space="0" w:color="auto"/>
              <w:bottom w:val="single" w:sz="2" w:space="0" w:color="auto"/>
              <w:right w:val="single" w:sz="2" w:space="0" w:color="auto"/>
            </w:tcBorders>
          </w:tcPr>
          <w:p w14:paraId="04617CE0" w14:textId="77777777" w:rsidR="009F4766" w:rsidRPr="00DE12A3" w:rsidRDefault="009F4766" w:rsidP="00C917D6">
            <w:pPr>
              <w:pStyle w:val="NormalLeft"/>
            </w:pPr>
            <w:r w:rsidRPr="00DE12A3">
              <w:t>42</w:t>
            </w:r>
          </w:p>
        </w:tc>
        <w:tc>
          <w:tcPr>
            <w:tcW w:w="2551" w:type="dxa"/>
            <w:tcBorders>
              <w:top w:val="single" w:sz="2" w:space="0" w:color="auto"/>
              <w:left w:val="single" w:sz="2" w:space="0" w:color="auto"/>
              <w:bottom w:val="single" w:sz="2" w:space="0" w:color="auto"/>
              <w:right w:val="single" w:sz="2" w:space="0" w:color="auto"/>
            </w:tcBorders>
          </w:tcPr>
          <w:p w14:paraId="2B006130" w14:textId="77777777" w:rsidR="009F4766" w:rsidRPr="00DE12A3" w:rsidRDefault="009F4766" w:rsidP="00C917D6">
            <w:pPr>
              <w:pStyle w:val="NormalLeft"/>
            </w:pPr>
            <w:r w:rsidRPr="00DE12A3">
              <w:t>49</w:t>
            </w:r>
          </w:p>
        </w:tc>
      </w:tr>
      <w:tr w:rsidR="00DE12A3" w:rsidRPr="00DE12A3" w14:paraId="5D47E06D" w14:textId="77777777" w:rsidTr="009F4766">
        <w:tc>
          <w:tcPr>
            <w:tcW w:w="1182" w:type="dxa"/>
            <w:tcBorders>
              <w:top w:val="single" w:sz="2" w:space="0" w:color="auto"/>
              <w:left w:val="single" w:sz="2" w:space="0" w:color="auto"/>
              <w:bottom w:val="single" w:sz="2" w:space="0" w:color="auto"/>
              <w:right w:val="single" w:sz="2" w:space="0" w:color="auto"/>
            </w:tcBorders>
          </w:tcPr>
          <w:p w14:paraId="51612634" w14:textId="77777777" w:rsidR="009F4766" w:rsidRPr="00DE12A3" w:rsidRDefault="009F4766" w:rsidP="00C917D6">
            <w:pPr>
              <w:pStyle w:val="NormalLeft"/>
            </w:pPr>
            <w:r w:rsidRPr="00DE12A3">
              <w:lastRenderedPageBreak/>
              <w:t>219</w:t>
            </w:r>
          </w:p>
        </w:tc>
        <w:tc>
          <w:tcPr>
            <w:tcW w:w="2489" w:type="dxa"/>
            <w:tcBorders>
              <w:top w:val="single" w:sz="2" w:space="0" w:color="auto"/>
              <w:left w:val="single" w:sz="2" w:space="0" w:color="auto"/>
              <w:bottom w:val="single" w:sz="2" w:space="0" w:color="auto"/>
              <w:right w:val="single" w:sz="2" w:space="0" w:color="auto"/>
            </w:tcBorders>
          </w:tcPr>
          <w:p w14:paraId="17036C10" w14:textId="77777777" w:rsidR="009F4766" w:rsidRPr="00DE12A3" w:rsidRDefault="009F4766" w:rsidP="00C917D6">
            <w:pPr>
              <w:pStyle w:val="NormalLeft"/>
            </w:pPr>
            <w:r w:rsidRPr="00DE12A3">
              <w:t>15</w:t>
            </w:r>
          </w:p>
        </w:tc>
        <w:tc>
          <w:tcPr>
            <w:tcW w:w="2551" w:type="dxa"/>
            <w:tcBorders>
              <w:top w:val="single" w:sz="2" w:space="0" w:color="auto"/>
              <w:left w:val="single" w:sz="2" w:space="0" w:color="auto"/>
              <w:bottom w:val="single" w:sz="2" w:space="0" w:color="auto"/>
              <w:right w:val="single" w:sz="2" w:space="0" w:color="auto"/>
            </w:tcBorders>
          </w:tcPr>
          <w:p w14:paraId="79556D1D" w14:textId="77777777" w:rsidR="009F4766" w:rsidRPr="00DE12A3" w:rsidRDefault="009F4766" w:rsidP="00C917D6">
            <w:pPr>
              <w:pStyle w:val="NormalLeft"/>
            </w:pPr>
            <w:r w:rsidRPr="00DE12A3">
              <w:t>50</w:t>
            </w:r>
          </w:p>
        </w:tc>
      </w:tr>
      <w:tr w:rsidR="00DE12A3" w:rsidRPr="00DE12A3" w14:paraId="0D515EC4" w14:textId="77777777" w:rsidTr="009F4766">
        <w:tc>
          <w:tcPr>
            <w:tcW w:w="1182" w:type="dxa"/>
            <w:tcBorders>
              <w:top w:val="single" w:sz="2" w:space="0" w:color="auto"/>
              <w:left w:val="single" w:sz="2" w:space="0" w:color="auto"/>
              <w:bottom w:val="single" w:sz="2" w:space="0" w:color="auto"/>
              <w:right w:val="single" w:sz="2" w:space="0" w:color="auto"/>
            </w:tcBorders>
          </w:tcPr>
          <w:p w14:paraId="2979AF35" w14:textId="77777777" w:rsidR="009F4766" w:rsidRPr="00DE12A3" w:rsidRDefault="009F4766" w:rsidP="00C917D6">
            <w:pPr>
              <w:pStyle w:val="NormalLeft"/>
            </w:pPr>
            <w:r w:rsidRPr="00DE12A3">
              <w:t>220</w:t>
            </w:r>
          </w:p>
        </w:tc>
        <w:tc>
          <w:tcPr>
            <w:tcW w:w="2489" w:type="dxa"/>
            <w:tcBorders>
              <w:top w:val="single" w:sz="2" w:space="0" w:color="auto"/>
              <w:left w:val="single" w:sz="2" w:space="0" w:color="auto"/>
              <w:bottom w:val="single" w:sz="2" w:space="0" w:color="auto"/>
              <w:right w:val="single" w:sz="2" w:space="0" w:color="auto"/>
            </w:tcBorders>
          </w:tcPr>
          <w:p w14:paraId="3C435687" w14:textId="77777777" w:rsidR="009F4766" w:rsidRPr="00DE12A3" w:rsidRDefault="009F4766" w:rsidP="00C917D6">
            <w:pPr>
              <w:pStyle w:val="NormalLeft"/>
            </w:pPr>
            <w:r w:rsidRPr="00DE12A3">
              <w:t>19</w:t>
            </w:r>
          </w:p>
        </w:tc>
        <w:tc>
          <w:tcPr>
            <w:tcW w:w="2551" w:type="dxa"/>
            <w:tcBorders>
              <w:top w:val="single" w:sz="2" w:space="0" w:color="auto"/>
              <w:left w:val="single" w:sz="2" w:space="0" w:color="auto"/>
              <w:bottom w:val="single" w:sz="2" w:space="0" w:color="auto"/>
              <w:right w:val="single" w:sz="2" w:space="0" w:color="auto"/>
            </w:tcBorders>
          </w:tcPr>
          <w:p w14:paraId="7E5B3D73" w14:textId="77777777" w:rsidR="009F4766" w:rsidRPr="00DE12A3" w:rsidRDefault="009F4766" w:rsidP="00C917D6">
            <w:pPr>
              <w:pStyle w:val="NormalLeft"/>
            </w:pPr>
            <w:r w:rsidRPr="00DE12A3">
              <w:t>44</w:t>
            </w:r>
          </w:p>
        </w:tc>
      </w:tr>
      <w:tr w:rsidR="00DE12A3" w:rsidRPr="00DE12A3" w14:paraId="3E22E8FD" w14:textId="77777777" w:rsidTr="009F4766">
        <w:tc>
          <w:tcPr>
            <w:tcW w:w="1182" w:type="dxa"/>
            <w:tcBorders>
              <w:top w:val="single" w:sz="2" w:space="0" w:color="auto"/>
              <w:left w:val="single" w:sz="2" w:space="0" w:color="auto"/>
              <w:bottom w:val="single" w:sz="2" w:space="0" w:color="auto"/>
              <w:right w:val="single" w:sz="2" w:space="0" w:color="auto"/>
            </w:tcBorders>
          </w:tcPr>
          <w:p w14:paraId="05AD2D98" w14:textId="77777777" w:rsidR="009F4766" w:rsidRPr="00DE12A3" w:rsidRDefault="009F4766" w:rsidP="00C917D6">
            <w:pPr>
              <w:pStyle w:val="NormalLeft"/>
            </w:pPr>
            <w:r w:rsidRPr="00DE12A3">
              <w:t>221</w:t>
            </w:r>
          </w:p>
        </w:tc>
        <w:tc>
          <w:tcPr>
            <w:tcW w:w="2489" w:type="dxa"/>
            <w:tcBorders>
              <w:top w:val="single" w:sz="2" w:space="0" w:color="auto"/>
              <w:left w:val="single" w:sz="2" w:space="0" w:color="auto"/>
              <w:bottom w:val="single" w:sz="2" w:space="0" w:color="auto"/>
              <w:right w:val="single" w:sz="2" w:space="0" w:color="auto"/>
            </w:tcBorders>
          </w:tcPr>
          <w:p w14:paraId="5FBAD005" w14:textId="77777777" w:rsidR="009F4766" w:rsidRPr="00DE12A3" w:rsidRDefault="009F4766" w:rsidP="00C917D6">
            <w:pPr>
              <w:pStyle w:val="NormalLeft"/>
            </w:pPr>
            <w:r w:rsidRPr="00DE12A3">
              <w:t>47</w:t>
            </w:r>
          </w:p>
        </w:tc>
        <w:tc>
          <w:tcPr>
            <w:tcW w:w="2551" w:type="dxa"/>
            <w:tcBorders>
              <w:top w:val="single" w:sz="2" w:space="0" w:color="auto"/>
              <w:left w:val="single" w:sz="2" w:space="0" w:color="auto"/>
              <w:bottom w:val="single" w:sz="2" w:space="0" w:color="auto"/>
              <w:right w:val="single" w:sz="2" w:space="0" w:color="auto"/>
            </w:tcBorders>
          </w:tcPr>
          <w:p w14:paraId="1CCB4BAD" w14:textId="77777777" w:rsidR="009F4766" w:rsidRPr="00DE12A3" w:rsidRDefault="009F4766" w:rsidP="00C917D6">
            <w:pPr>
              <w:pStyle w:val="NormalLeft"/>
            </w:pPr>
            <w:r w:rsidRPr="00DE12A3">
              <w:t>59</w:t>
            </w:r>
          </w:p>
        </w:tc>
      </w:tr>
      <w:tr w:rsidR="00DE12A3" w:rsidRPr="00DE12A3" w14:paraId="15938D10" w14:textId="77777777" w:rsidTr="009F4766">
        <w:tc>
          <w:tcPr>
            <w:tcW w:w="1182" w:type="dxa"/>
            <w:tcBorders>
              <w:top w:val="single" w:sz="2" w:space="0" w:color="auto"/>
              <w:left w:val="single" w:sz="2" w:space="0" w:color="auto"/>
              <w:bottom w:val="single" w:sz="2" w:space="0" w:color="auto"/>
              <w:right w:val="single" w:sz="2" w:space="0" w:color="auto"/>
            </w:tcBorders>
          </w:tcPr>
          <w:p w14:paraId="5C511424" w14:textId="77777777" w:rsidR="009F4766" w:rsidRPr="00DE12A3" w:rsidRDefault="009F4766" w:rsidP="00C917D6">
            <w:pPr>
              <w:pStyle w:val="NormalLeft"/>
            </w:pPr>
            <w:r w:rsidRPr="00DE12A3">
              <w:t>222</w:t>
            </w:r>
          </w:p>
        </w:tc>
        <w:tc>
          <w:tcPr>
            <w:tcW w:w="2489" w:type="dxa"/>
            <w:tcBorders>
              <w:top w:val="single" w:sz="2" w:space="0" w:color="auto"/>
              <w:left w:val="single" w:sz="2" w:space="0" w:color="auto"/>
              <w:bottom w:val="single" w:sz="2" w:space="0" w:color="auto"/>
              <w:right w:val="single" w:sz="2" w:space="0" w:color="auto"/>
            </w:tcBorders>
          </w:tcPr>
          <w:p w14:paraId="2D7E87F0" w14:textId="77777777" w:rsidR="009F4766" w:rsidRPr="00DE12A3" w:rsidRDefault="009F4766" w:rsidP="00C917D6">
            <w:pPr>
              <w:pStyle w:val="NormalLeft"/>
            </w:pPr>
            <w:r w:rsidRPr="00DE12A3">
              <w:t>67</w:t>
            </w:r>
          </w:p>
        </w:tc>
        <w:tc>
          <w:tcPr>
            <w:tcW w:w="2551" w:type="dxa"/>
            <w:tcBorders>
              <w:top w:val="single" w:sz="2" w:space="0" w:color="auto"/>
              <w:left w:val="single" w:sz="2" w:space="0" w:color="auto"/>
              <w:bottom w:val="single" w:sz="2" w:space="0" w:color="auto"/>
              <w:right w:val="single" w:sz="2" w:space="0" w:color="auto"/>
            </w:tcBorders>
          </w:tcPr>
          <w:p w14:paraId="6A31DA60" w14:textId="77777777" w:rsidR="009F4766" w:rsidRPr="00DE12A3" w:rsidRDefault="009F4766" w:rsidP="00C917D6">
            <w:pPr>
              <w:pStyle w:val="NormalLeft"/>
            </w:pPr>
            <w:r w:rsidRPr="00DE12A3">
              <w:t>80</w:t>
            </w:r>
          </w:p>
        </w:tc>
      </w:tr>
      <w:tr w:rsidR="00DE12A3" w:rsidRPr="00DE12A3" w14:paraId="66120B8B" w14:textId="77777777" w:rsidTr="009F4766">
        <w:tc>
          <w:tcPr>
            <w:tcW w:w="1182" w:type="dxa"/>
            <w:tcBorders>
              <w:top w:val="single" w:sz="2" w:space="0" w:color="auto"/>
              <w:left w:val="single" w:sz="2" w:space="0" w:color="auto"/>
              <w:bottom w:val="single" w:sz="2" w:space="0" w:color="auto"/>
              <w:right w:val="single" w:sz="2" w:space="0" w:color="auto"/>
            </w:tcBorders>
          </w:tcPr>
          <w:p w14:paraId="58975FC6" w14:textId="77777777" w:rsidR="009F4766" w:rsidRPr="00DE12A3" w:rsidRDefault="009F4766" w:rsidP="00C917D6">
            <w:pPr>
              <w:pStyle w:val="NormalLeft"/>
            </w:pPr>
            <w:r w:rsidRPr="00DE12A3">
              <w:t>223</w:t>
            </w:r>
          </w:p>
        </w:tc>
        <w:tc>
          <w:tcPr>
            <w:tcW w:w="2489" w:type="dxa"/>
            <w:tcBorders>
              <w:top w:val="single" w:sz="2" w:space="0" w:color="auto"/>
              <w:left w:val="single" w:sz="2" w:space="0" w:color="auto"/>
              <w:bottom w:val="single" w:sz="2" w:space="0" w:color="auto"/>
              <w:right w:val="single" w:sz="2" w:space="0" w:color="auto"/>
            </w:tcBorders>
          </w:tcPr>
          <w:p w14:paraId="42421B47" w14:textId="77777777" w:rsidR="009F4766" w:rsidRPr="00DE12A3" w:rsidRDefault="009F4766" w:rsidP="00C917D6">
            <w:pPr>
              <w:pStyle w:val="NormalLeft"/>
            </w:pPr>
            <w:r w:rsidRPr="00DE12A3">
              <w:t>76</w:t>
            </w:r>
          </w:p>
        </w:tc>
        <w:tc>
          <w:tcPr>
            <w:tcW w:w="2551" w:type="dxa"/>
            <w:tcBorders>
              <w:top w:val="single" w:sz="2" w:space="0" w:color="auto"/>
              <w:left w:val="single" w:sz="2" w:space="0" w:color="auto"/>
              <w:bottom w:val="single" w:sz="2" w:space="0" w:color="auto"/>
              <w:right w:val="single" w:sz="2" w:space="0" w:color="auto"/>
            </w:tcBorders>
          </w:tcPr>
          <w:p w14:paraId="7D1D3F4B" w14:textId="77777777" w:rsidR="009F4766" w:rsidRPr="00DE12A3" w:rsidRDefault="009F4766" w:rsidP="00C917D6">
            <w:pPr>
              <w:pStyle w:val="NormalLeft"/>
            </w:pPr>
            <w:r w:rsidRPr="00DE12A3">
              <w:t>74</w:t>
            </w:r>
          </w:p>
        </w:tc>
      </w:tr>
      <w:tr w:rsidR="00DE12A3" w:rsidRPr="00DE12A3" w14:paraId="16C459A3" w14:textId="77777777" w:rsidTr="009F4766">
        <w:tc>
          <w:tcPr>
            <w:tcW w:w="1182" w:type="dxa"/>
            <w:tcBorders>
              <w:top w:val="single" w:sz="2" w:space="0" w:color="auto"/>
              <w:left w:val="single" w:sz="2" w:space="0" w:color="auto"/>
              <w:bottom w:val="single" w:sz="2" w:space="0" w:color="auto"/>
              <w:right w:val="single" w:sz="2" w:space="0" w:color="auto"/>
            </w:tcBorders>
          </w:tcPr>
          <w:p w14:paraId="5D51B188" w14:textId="77777777" w:rsidR="009F4766" w:rsidRPr="00DE12A3" w:rsidRDefault="009F4766" w:rsidP="00C917D6">
            <w:pPr>
              <w:pStyle w:val="NormalLeft"/>
            </w:pPr>
            <w:r w:rsidRPr="00DE12A3">
              <w:t>224</w:t>
            </w:r>
          </w:p>
        </w:tc>
        <w:tc>
          <w:tcPr>
            <w:tcW w:w="2489" w:type="dxa"/>
            <w:tcBorders>
              <w:top w:val="single" w:sz="2" w:space="0" w:color="auto"/>
              <w:left w:val="single" w:sz="2" w:space="0" w:color="auto"/>
              <w:bottom w:val="single" w:sz="2" w:space="0" w:color="auto"/>
              <w:right w:val="single" w:sz="2" w:space="0" w:color="auto"/>
            </w:tcBorders>
          </w:tcPr>
          <w:p w14:paraId="221486AD" w14:textId="77777777" w:rsidR="009F4766" w:rsidRPr="00DE12A3" w:rsidRDefault="009F4766" w:rsidP="00C917D6">
            <w:pPr>
              <w:pStyle w:val="NormalLeft"/>
            </w:pPr>
            <w:r w:rsidRPr="00DE12A3">
              <w:t>87</w:t>
            </w:r>
          </w:p>
        </w:tc>
        <w:tc>
          <w:tcPr>
            <w:tcW w:w="2551" w:type="dxa"/>
            <w:tcBorders>
              <w:top w:val="single" w:sz="2" w:space="0" w:color="auto"/>
              <w:left w:val="single" w:sz="2" w:space="0" w:color="auto"/>
              <w:bottom w:val="single" w:sz="2" w:space="0" w:color="auto"/>
              <w:right w:val="single" w:sz="2" w:space="0" w:color="auto"/>
            </w:tcBorders>
          </w:tcPr>
          <w:p w14:paraId="087F4D47" w14:textId="77777777" w:rsidR="009F4766" w:rsidRPr="00DE12A3" w:rsidRDefault="009F4766" w:rsidP="00C917D6">
            <w:pPr>
              <w:pStyle w:val="NormalLeft"/>
            </w:pPr>
            <w:r w:rsidRPr="00DE12A3">
              <w:t>66</w:t>
            </w:r>
          </w:p>
        </w:tc>
      </w:tr>
      <w:tr w:rsidR="00DE12A3" w:rsidRPr="00DE12A3" w14:paraId="128EC328" w14:textId="77777777" w:rsidTr="009F4766">
        <w:tc>
          <w:tcPr>
            <w:tcW w:w="1182" w:type="dxa"/>
            <w:tcBorders>
              <w:top w:val="single" w:sz="2" w:space="0" w:color="auto"/>
              <w:left w:val="single" w:sz="2" w:space="0" w:color="auto"/>
              <w:bottom w:val="single" w:sz="2" w:space="0" w:color="auto"/>
              <w:right w:val="single" w:sz="2" w:space="0" w:color="auto"/>
            </w:tcBorders>
          </w:tcPr>
          <w:p w14:paraId="05AF8894" w14:textId="77777777" w:rsidR="009F4766" w:rsidRPr="00DE12A3" w:rsidRDefault="009F4766" w:rsidP="00C917D6">
            <w:pPr>
              <w:pStyle w:val="NormalLeft"/>
            </w:pPr>
            <w:r w:rsidRPr="00DE12A3">
              <w:t>225</w:t>
            </w:r>
          </w:p>
        </w:tc>
        <w:tc>
          <w:tcPr>
            <w:tcW w:w="2489" w:type="dxa"/>
            <w:tcBorders>
              <w:top w:val="single" w:sz="2" w:space="0" w:color="auto"/>
              <w:left w:val="single" w:sz="2" w:space="0" w:color="auto"/>
              <w:bottom w:val="single" w:sz="2" w:space="0" w:color="auto"/>
              <w:right w:val="single" w:sz="2" w:space="0" w:color="auto"/>
            </w:tcBorders>
          </w:tcPr>
          <w:p w14:paraId="3A173862" w14:textId="77777777" w:rsidR="009F4766" w:rsidRPr="00DE12A3" w:rsidRDefault="009F4766" w:rsidP="00C917D6">
            <w:pPr>
              <w:pStyle w:val="NormalLeft"/>
            </w:pPr>
            <w:r w:rsidRPr="00DE12A3">
              <w:t>98</w:t>
            </w:r>
          </w:p>
        </w:tc>
        <w:tc>
          <w:tcPr>
            <w:tcW w:w="2551" w:type="dxa"/>
            <w:tcBorders>
              <w:top w:val="single" w:sz="2" w:space="0" w:color="auto"/>
              <w:left w:val="single" w:sz="2" w:space="0" w:color="auto"/>
              <w:bottom w:val="single" w:sz="2" w:space="0" w:color="auto"/>
              <w:right w:val="single" w:sz="2" w:space="0" w:color="auto"/>
            </w:tcBorders>
          </w:tcPr>
          <w:p w14:paraId="27DADE4C" w14:textId="77777777" w:rsidR="009F4766" w:rsidRPr="00DE12A3" w:rsidRDefault="009F4766" w:rsidP="00C917D6">
            <w:pPr>
              <w:pStyle w:val="NormalLeft"/>
            </w:pPr>
            <w:r w:rsidRPr="00DE12A3">
              <w:t>61</w:t>
            </w:r>
          </w:p>
        </w:tc>
      </w:tr>
      <w:tr w:rsidR="00DE12A3" w:rsidRPr="00DE12A3" w14:paraId="0B94AC8D" w14:textId="77777777" w:rsidTr="009F4766">
        <w:tc>
          <w:tcPr>
            <w:tcW w:w="1182" w:type="dxa"/>
            <w:tcBorders>
              <w:top w:val="single" w:sz="2" w:space="0" w:color="auto"/>
              <w:left w:val="single" w:sz="2" w:space="0" w:color="auto"/>
              <w:bottom w:val="single" w:sz="2" w:space="0" w:color="auto"/>
              <w:right w:val="single" w:sz="2" w:space="0" w:color="auto"/>
            </w:tcBorders>
          </w:tcPr>
          <w:p w14:paraId="09E19C31" w14:textId="77777777" w:rsidR="009F4766" w:rsidRPr="00DE12A3" w:rsidRDefault="009F4766" w:rsidP="00C917D6">
            <w:pPr>
              <w:pStyle w:val="NormalLeft"/>
            </w:pPr>
            <w:r w:rsidRPr="00DE12A3">
              <w:t>226</w:t>
            </w:r>
          </w:p>
        </w:tc>
        <w:tc>
          <w:tcPr>
            <w:tcW w:w="2489" w:type="dxa"/>
            <w:tcBorders>
              <w:top w:val="single" w:sz="2" w:space="0" w:color="auto"/>
              <w:left w:val="single" w:sz="2" w:space="0" w:color="auto"/>
              <w:bottom w:val="single" w:sz="2" w:space="0" w:color="auto"/>
              <w:right w:val="single" w:sz="2" w:space="0" w:color="auto"/>
            </w:tcBorders>
          </w:tcPr>
          <w:p w14:paraId="2F31C24B" w14:textId="77777777" w:rsidR="009F4766" w:rsidRPr="00DE12A3" w:rsidRDefault="009F4766" w:rsidP="00C917D6">
            <w:pPr>
              <w:pStyle w:val="NormalLeft"/>
            </w:pPr>
            <w:r w:rsidRPr="00DE12A3">
              <w:t>100</w:t>
            </w:r>
          </w:p>
        </w:tc>
        <w:tc>
          <w:tcPr>
            <w:tcW w:w="2551" w:type="dxa"/>
            <w:tcBorders>
              <w:top w:val="single" w:sz="2" w:space="0" w:color="auto"/>
              <w:left w:val="single" w:sz="2" w:space="0" w:color="auto"/>
              <w:bottom w:val="single" w:sz="2" w:space="0" w:color="auto"/>
              <w:right w:val="single" w:sz="2" w:space="0" w:color="auto"/>
            </w:tcBorders>
          </w:tcPr>
          <w:p w14:paraId="22F77D75" w14:textId="77777777" w:rsidR="009F4766" w:rsidRPr="00DE12A3" w:rsidRDefault="009F4766" w:rsidP="00C917D6">
            <w:pPr>
              <w:pStyle w:val="NormalLeft"/>
            </w:pPr>
            <w:r w:rsidRPr="00DE12A3">
              <w:t>38</w:t>
            </w:r>
          </w:p>
        </w:tc>
      </w:tr>
      <w:tr w:rsidR="00DE12A3" w:rsidRPr="00DE12A3" w14:paraId="2564F4E3" w14:textId="77777777" w:rsidTr="009F4766">
        <w:tc>
          <w:tcPr>
            <w:tcW w:w="1182" w:type="dxa"/>
            <w:tcBorders>
              <w:top w:val="single" w:sz="2" w:space="0" w:color="auto"/>
              <w:left w:val="single" w:sz="2" w:space="0" w:color="auto"/>
              <w:bottom w:val="single" w:sz="2" w:space="0" w:color="auto"/>
              <w:right w:val="single" w:sz="2" w:space="0" w:color="auto"/>
            </w:tcBorders>
          </w:tcPr>
          <w:p w14:paraId="61AC55CB" w14:textId="77777777" w:rsidR="009F4766" w:rsidRPr="00DE12A3" w:rsidRDefault="009F4766" w:rsidP="00C917D6">
            <w:pPr>
              <w:pStyle w:val="NormalLeft"/>
            </w:pPr>
            <w:r w:rsidRPr="00DE12A3">
              <w:t>227</w:t>
            </w:r>
          </w:p>
        </w:tc>
        <w:tc>
          <w:tcPr>
            <w:tcW w:w="2489" w:type="dxa"/>
            <w:tcBorders>
              <w:top w:val="single" w:sz="2" w:space="0" w:color="auto"/>
              <w:left w:val="single" w:sz="2" w:space="0" w:color="auto"/>
              <w:bottom w:val="single" w:sz="2" w:space="0" w:color="auto"/>
              <w:right w:val="single" w:sz="2" w:space="0" w:color="auto"/>
            </w:tcBorders>
          </w:tcPr>
          <w:p w14:paraId="2B642BE8" w14:textId="77777777" w:rsidR="009F4766" w:rsidRPr="00DE12A3" w:rsidRDefault="009F4766" w:rsidP="00C917D6">
            <w:pPr>
              <w:pStyle w:val="NormalLeft"/>
            </w:pPr>
            <w:r w:rsidRPr="00DE12A3">
              <w:t>97</w:t>
            </w:r>
          </w:p>
        </w:tc>
        <w:tc>
          <w:tcPr>
            <w:tcW w:w="2551" w:type="dxa"/>
            <w:tcBorders>
              <w:top w:val="single" w:sz="2" w:space="0" w:color="auto"/>
              <w:left w:val="single" w:sz="2" w:space="0" w:color="auto"/>
              <w:bottom w:val="single" w:sz="2" w:space="0" w:color="auto"/>
              <w:right w:val="single" w:sz="2" w:space="0" w:color="auto"/>
            </w:tcBorders>
          </w:tcPr>
          <w:p w14:paraId="3CF530FB" w14:textId="77777777" w:rsidR="009F4766" w:rsidRPr="00DE12A3" w:rsidRDefault="009F4766" w:rsidP="00C917D6">
            <w:pPr>
              <w:pStyle w:val="NormalLeft"/>
            </w:pPr>
            <w:r w:rsidRPr="00DE12A3">
              <w:t>27</w:t>
            </w:r>
          </w:p>
        </w:tc>
      </w:tr>
      <w:tr w:rsidR="00DE12A3" w:rsidRPr="00DE12A3" w14:paraId="7EA3F7DB" w14:textId="77777777" w:rsidTr="009F4766">
        <w:tc>
          <w:tcPr>
            <w:tcW w:w="1182" w:type="dxa"/>
            <w:tcBorders>
              <w:top w:val="single" w:sz="2" w:space="0" w:color="auto"/>
              <w:left w:val="single" w:sz="2" w:space="0" w:color="auto"/>
              <w:bottom w:val="single" w:sz="2" w:space="0" w:color="auto"/>
              <w:right w:val="single" w:sz="2" w:space="0" w:color="auto"/>
            </w:tcBorders>
          </w:tcPr>
          <w:p w14:paraId="2D136AED" w14:textId="77777777" w:rsidR="009F4766" w:rsidRPr="00DE12A3" w:rsidRDefault="009F4766" w:rsidP="00C917D6">
            <w:pPr>
              <w:pStyle w:val="NormalLeft"/>
            </w:pPr>
            <w:r w:rsidRPr="00DE12A3">
              <w:t>228</w:t>
            </w:r>
          </w:p>
        </w:tc>
        <w:tc>
          <w:tcPr>
            <w:tcW w:w="2489" w:type="dxa"/>
            <w:tcBorders>
              <w:top w:val="single" w:sz="2" w:space="0" w:color="auto"/>
              <w:left w:val="single" w:sz="2" w:space="0" w:color="auto"/>
              <w:bottom w:val="single" w:sz="2" w:space="0" w:color="auto"/>
              <w:right w:val="single" w:sz="2" w:space="0" w:color="auto"/>
            </w:tcBorders>
          </w:tcPr>
          <w:p w14:paraId="5CF9E45B" w14:textId="77777777" w:rsidR="009F4766" w:rsidRPr="00DE12A3" w:rsidRDefault="009F4766" w:rsidP="00C917D6">
            <w:pPr>
              <w:pStyle w:val="NormalLeft"/>
            </w:pPr>
            <w:r w:rsidRPr="00DE12A3">
              <w:t>100</w:t>
            </w:r>
          </w:p>
        </w:tc>
        <w:tc>
          <w:tcPr>
            <w:tcW w:w="2551" w:type="dxa"/>
            <w:tcBorders>
              <w:top w:val="single" w:sz="2" w:space="0" w:color="auto"/>
              <w:left w:val="single" w:sz="2" w:space="0" w:color="auto"/>
              <w:bottom w:val="single" w:sz="2" w:space="0" w:color="auto"/>
              <w:right w:val="single" w:sz="2" w:space="0" w:color="auto"/>
            </w:tcBorders>
          </w:tcPr>
          <w:p w14:paraId="79BA643A" w14:textId="77777777" w:rsidR="009F4766" w:rsidRPr="00DE12A3" w:rsidRDefault="009F4766" w:rsidP="00C917D6">
            <w:pPr>
              <w:pStyle w:val="NormalLeft"/>
            </w:pPr>
            <w:r w:rsidRPr="00DE12A3">
              <w:t>53</w:t>
            </w:r>
          </w:p>
        </w:tc>
      </w:tr>
      <w:tr w:rsidR="00DE12A3" w:rsidRPr="00DE12A3" w14:paraId="29EE798F" w14:textId="77777777" w:rsidTr="009F4766">
        <w:tc>
          <w:tcPr>
            <w:tcW w:w="1182" w:type="dxa"/>
            <w:tcBorders>
              <w:top w:val="single" w:sz="2" w:space="0" w:color="auto"/>
              <w:left w:val="single" w:sz="2" w:space="0" w:color="auto"/>
              <w:bottom w:val="single" w:sz="2" w:space="0" w:color="auto"/>
              <w:right w:val="single" w:sz="2" w:space="0" w:color="auto"/>
            </w:tcBorders>
          </w:tcPr>
          <w:p w14:paraId="73689740" w14:textId="77777777" w:rsidR="009F4766" w:rsidRPr="00DE12A3" w:rsidRDefault="009F4766" w:rsidP="00C917D6">
            <w:pPr>
              <w:pStyle w:val="NormalLeft"/>
            </w:pPr>
            <w:r w:rsidRPr="00DE12A3">
              <w:t>229</w:t>
            </w:r>
          </w:p>
        </w:tc>
        <w:tc>
          <w:tcPr>
            <w:tcW w:w="2489" w:type="dxa"/>
            <w:tcBorders>
              <w:top w:val="single" w:sz="2" w:space="0" w:color="auto"/>
              <w:left w:val="single" w:sz="2" w:space="0" w:color="auto"/>
              <w:bottom w:val="single" w:sz="2" w:space="0" w:color="auto"/>
              <w:right w:val="single" w:sz="2" w:space="0" w:color="auto"/>
            </w:tcBorders>
          </w:tcPr>
          <w:p w14:paraId="0E7F547C" w14:textId="77777777" w:rsidR="009F4766" w:rsidRPr="00DE12A3" w:rsidRDefault="009F4766" w:rsidP="00C917D6">
            <w:pPr>
              <w:pStyle w:val="NormalLeft"/>
            </w:pPr>
            <w:r w:rsidRPr="00DE12A3">
              <w:t>100</w:t>
            </w:r>
          </w:p>
        </w:tc>
        <w:tc>
          <w:tcPr>
            <w:tcW w:w="2551" w:type="dxa"/>
            <w:tcBorders>
              <w:top w:val="single" w:sz="2" w:space="0" w:color="auto"/>
              <w:left w:val="single" w:sz="2" w:space="0" w:color="auto"/>
              <w:bottom w:val="single" w:sz="2" w:space="0" w:color="auto"/>
              <w:right w:val="single" w:sz="2" w:space="0" w:color="auto"/>
            </w:tcBorders>
          </w:tcPr>
          <w:p w14:paraId="45D8D19E" w14:textId="77777777" w:rsidR="009F4766" w:rsidRPr="00DE12A3" w:rsidRDefault="009F4766" w:rsidP="00C917D6">
            <w:pPr>
              <w:pStyle w:val="NormalLeft"/>
            </w:pPr>
            <w:r w:rsidRPr="00DE12A3">
              <w:t>72</w:t>
            </w:r>
          </w:p>
        </w:tc>
      </w:tr>
      <w:tr w:rsidR="00DE12A3" w:rsidRPr="00DE12A3" w14:paraId="01817AB4" w14:textId="77777777" w:rsidTr="009F4766">
        <w:tc>
          <w:tcPr>
            <w:tcW w:w="1182" w:type="dxa"/>
            <w:tcBorders>
              <w:top w:val="single" w:sz="2" w:space="0" w:color="auto"/>
              <w:left w:val="single" w:sz="2" w:space="0" w:color="auto"/>
              <w:bottom w:val="single" w:sz="2" w:space="0" w:color="auto"/>
              <w:right w:val="single" w:sz="2" w:space="0" w:color="auto"/>
            </w:tcBorders>
          </w:tcPr>
          <w:p w14:paraId="3CBA30A6" w14:textId="77777777" w:rsidR="009F4766" w:rsidRPr="00DE12A3" w:rsidRDefault="009F4766" w:rsidP="00C917D6">
            <w:pPr>
              <w:pStyle w:val="NormalLeft"/>
            </w:pPr>
            <w:r w:rsidRPr="00DE12A3">
              <w:t>230</w:t>
            </w:r>
          </w:p>
        </w:tc>
        <w:tc>
          <w:tcPr>
            <w:tcW w:w="2489" w:type="dxa"/>
            <w:tcBorders>
              <w:top w:val="single" w:sz="2" w:space="0" w:color="auto"/>
              <w:left w:val="single" w:sz="2" w:space="0" w:color="auto"/>
              <w:bottom w:val="single" w:sz="2" w:space="0" w:color="auto"/>
              <w:right w:val="single" w:sz="2" w:space="0" w:color="auto"/>
            </w:tcBorders>
          </w:tcPr>
          <w:p w14:paraId="4DE93801" w14:textId="77777777" w:rsidR="009F4766" w:rsidRPr="00DE12A3" w:rsidRDefault="009F4766" w:rsidP="00C917D6">
            <w:pPr>
              <w:pStyle w:val="NormalLeft"/>
            </w:pPr>
            <w:r w:rsidRPr="00DE12A3">
              <w:t>100</w:t>
            </w:r>
          </w:p>
        </w:tc>
        <w:tc>
          <w:tcPr>
            <w:tcW w:w="2551" w:type="dxa"/>
            <w:tcBorders>
              <w:top w:val="single" w:sz="2" w:space="0" w:color="auto"/>
              <w:left w:val="single" w:sz="2" w:space="0" w:color="auto"/>
              <w:bottom w:val="single" w:sz="2" w:space="0" w:color="auto"/>
              <w:right w:val="single" w:sz="2" w:space="0" w:color="auto"/>
            </w:tcBorders>
          </w:tcPr>
          <w:p w14:paraId="07166731" w14:textId="77777777" w:rsidR="009F4766" w:rsidRPr="00DE12A3" w:rsidRDefault="009F4766" w:rsidP="00C917D6">
            <w:pPr>
              <w:pStyle w:val="NormalLeft"/>
            </w:pPr>
            <w:r w:rsidRPr="00DE12A3">
              <w:t>49</w:t>
            </w:r>
          </w:p>
        </w:tc>
      </w:tr>
      <w:tr w:rsidR="00DE12A3" w:rsidRPr="00DE12A3" w14:paraId="0EC5DEA6" w14:textId="77777777" w:rsidTr="009F4766">
        <w:tc>
          <w:tcPr>
            <w:tcW w:w="1182" w:type="dxa"/>
            <w:tcBorders>
              <w:top w:val="single" w:sz="2" w:space="0" w:color="auto"/>
              <w:left w:val="single" w:sz="2" w:space="0" w:color="auto"/>
              <w:bottom w:val="single" w:sz="2" w:space="0" w:color="auto"/>
              <w:right w:val="single" w:sz="2" w:space="0" w:color="auto"/>
            </w:tcBorders>
          </w:tcPr>
          <w:p w14:paraId="5F4CEBD5" w14:textId="77777777" w:rsidR="009F4766" w:rsidRPr="00DE12A3" w:rsidRDefault="009F4766" w:rsidP="00C917D6">
            <w:pPr>
              <w:pStyle w:val="NormalLeft"/>
            </w:pPr>
            <w:r w:rsidRPr="00DE12A3">
              <w:t>231</w:t>
            </w:r>
          </w:p>
        </w:tc>
        <w:tc>
          <w:tcPr>
            <w:tcW w:w="2489" w:type="dxa"/>
            <w:tcBorders>
              <w:top w:val="single" w:sz="2" w:space="0" w:color="auto"/>
              <w:left w:val="single" w:sz="2" w:space="0" w:color="auto"/>
              <w:bottom w:val="single" w:sz="2" w:space="0" w:color="auto"/>
              <w:right w:val="single" w:sz="2" w:space="0" w:color="auto"/>
            </w:tcBorders>
          </w:tcPr>
          <w:p w14:paraId="25003D2C" w14:textId="77777777" w:rsidR="009F4766" w:rsidRPr="00DE12A3" w:rsidRDefault="009F4766" w:rsidP="00C917D6">
            <w:pPr>
              <w:pStyle w:val="NormalLeft"/>
            </w:pPr>
            <w:r w:rsidRPr="00DE12A3">
              <w:t>100</w:t>
            </w:r>
          </w:p>
        </w:tc>
        <w:tc>
          <w:tcPr>
            <w:tcW w:w="2551" w:type="dxa"/>
            <w:tcBorders>
              <w:top w:val="single" w:sz="2" w:space="0" w:color="auto"/>
              <w:left w:val="single" w:sz="2" w:space="0" w:color="auto"/>
              <w:bottom w:val="single" w:sz="2" w:space="0" w:color="auto"/>
              <w:right w:val="single" w:sz="2" w:space="0" w:color="auto"/>
            </w:tcBorders>
          </w:tcPr>
          <w:p w14:paraId="15378A6B" w14:textId="77777777" w:rsidR="009F4766" w:rsidRPr="00DE12A3" w:rsidRDefault="009F4766" w:rsidP="00C917D6">
            <w:pPr>
              <w:pStyle w:val="NormalLeft"/>
            </w:pPr>
            <w:r w:rsidRPr="00DE12A3">
              <w:t>4</w:t>
            </w:r>
          </w:p>
        </w:tc>
      </w:tr>
      <w:tr w:rsidR="00DE12A3" w:rsidRPr="00DE12A3" w14:paraId="367801D6" w14:textId="77777777" w:rsidTr="009F4766">
        <w:tc>
          <w:tcPr>
            <w:tcW w:w="1182" w:type="dxa"/>
            <w:tcBorders>
              <w:top w:val="single" w:sz="2" w:space="0" w:color="auto"/>
              <w:left w:val="single" w:sz="2" w:space="0" w:color="auto"/>
              <w:bottom w:val="single" w:sz="2" w:space="0" w:color="auto"/>
              <w:right w:val="single" w:sz="2" w:space="0" w:color="auto"/>
            </w:tcBorders>
          </w:tcPr>
          <w:p w14:paraId="57FB4D7C" w14:textId="77777777" w:rsidR="009F4766" w:rsidRPr="00DE12A3" w:rsidRDefault="009F4766" w:rsidP="00C917D6">
            <w:pPr>
              <w:pStyle w:val="NormalLeft"/>
            </w:pPr>
            <w:r w:rsidRPr="00DE12A3">
              <w:t>232</w:t>
            </w:r>
          </w:p>
        </w:tc>
        <w:tc>
          <w:tcPr>
            <w:tcW w:w="2489" w:type="dxa"/>
            <w:tcBorders>
              <w:top w:val="single" w:sz="2" w:space="0" w:color="auto"/>
              <w:left w:val="single" w:sz="2" w:space="0" w:color="auto"/>
              <w:bottom w:val="single" w:sz="2" w:space="0" w:color="auto"/>
              <w:right w:val="single" w:sz="2" w:space="0" w:color="auto"/>
            </w:tcBorders>
          </w:tcPr>
          <w:p w14:paraId="5ED87D50" w14:textId="77777777" w:rsidR="009F4766" w:rsidRPr="00DE12A3" w:rsidRDefault="009F4766" w:rsidP="00C917D6">
            <w:pPr>
              <w:pStyle w:val="NormalLeft"/>
            </w:pPr>
            <w:r w:rsidRPr="00DE12A3">
              <w:t>100</w:t>
            </w:r>
          </w:p>
        </w:tc>
        <w:tc>
          <w:tcPr>
            <w:tcW w:w="2551" w:type="dxa"/>
            <w:tcBorders>
              <w:top w:val="single" w:sz="2" w:space="0" w:color="auto"/>
              <w:left w:val="single" w:sz="2" w:space="0" w:color="auto"/>
              <w:bottom w:val="single" w:sz="2" w:space="0" w:color="auto"/>
              <w:right w:val="single" w:sz="2" w:space="0" w:color="auto"/>
            </w:tcBorders>
          </w:tcPr>
          <w:p w14:paraId="324C5C27" w14:textId="77777777" w:rsidR="009F4766" w:rsidRPr="00DE12A3" w:rsidRDefault="009F4766" w:rsidP="00C917D6">
            <w:pPr>
              <w:pStyle w:val="NormalLeft"/>
            </w:pPr>
            <w:r w:rsidRPr="00DE12A3">
              <w:t>13</w:t>
            </w:r>
          </w:p>
        </w:tc>
      </w:tr>
      <w:tr w:rsidR="00DE12A3" w:rsidRPr="00DE12A3" w14:paraId="217B4997" w14:textId="77777777" w:rsidTr="009F4766">
        <w:tc>
          <w:tcPr>
            <w:tcW w:w="1182" w:type="dxa"/>
            <w:tcBorders>
              <w:top w:val="single" w:sz="2" w:space="0" w:color="auto"/>
              <w:left w:val="single" w:sz="2" w:space="0" w:color="auto"/>
              <w:bottom w:val="single" w:sz="2" w:space="0" w:color="auto"/>
              <w:right w:val="single" w:sz="2" w:space="0" w:color="auto"/>
            </w:tcBorders>
          </w:tcPr>
          <w:p w14:paraId="34EB3507" w14:textId="77777777" w:rsidR="009F4766" w:rsidRPr="00DE12A3" w:rsidRDefault="009F4766" w:rsidP="00C917D6">
            <w:pPr>
              <w:pStyle w:val="NormalLeft"/>
            </w:pPr>
            <w:r w:rsidRPr="00DE12A3">
              <w:t>233</w:t>
            </w:r>
          </w:p>
        </w:tc>
        <w:tc>
          <w:tcPr>
            <w:tcW w:w="2489" w:type="dxa"/>
            <w:tcBorders>
              <w:top w:val="single" w:sz="2" w:space="0" w:color="auto"/>
              <w:left w:val="single" w:sz="2" w:space="0" w:color="auto"/>
              <w:bottom w:val="single" w:sz="2" w:space="0" w:color="auto"/>
              <w:right w:val="single" w:sz="2" w:space="0" w:color="auto"/>
            </w:tcBorders>
          </w:tcPr>
          <w:p w14:paraId="3E5E0F8E" w14:textId="77777777" w:rsidR="009F4766" w:rsidRPr="00DE12A3" w:rsidRDefault="009F4766" w:rsidP="00C917D6">
            <w:pPr>
              <w:pStyle w:val="NormalLeft"/>
            </w:pPr>
            <w:r w:rsidRPr="00DE12A3">
              <w:t>87</w:t>
            </w:r>
          </w:p>
        </w:tc>
        <w:tc>
          <w:tcPr>
            <w:tcW w:w="2551" w:type="dxa"/>
            <w:tcBorders>
              <w:top w:val="single" w:sz="2" w:space="0" w:color="auto"/>
              <w:left w:val="single" w:sz="2" w:space="0" w:color="auto"/>
              <w:bottom w:val="single" w:sz="2" w:space="0" w:color="auto"/>
              <w:right w:val="single" w:sz="2" w:space="0" w:color="auto"/>
            </w:tcBorders>
          </w:tcPr>
          <w:p w14:paraId="39879566" w14:textId="77777777" w:rsidR="009F4766" w:rsidRPr="00DE12A3" w:rsidRDefault="009F4766" w:rsidP="00C917D6">
            <w:pPr>
              <w:pStyle w:val="NormalLeft"/>
            </w:pPr>
            <w:r w:rsidRPr="00DE12A3">
              <w:t>15</w:t>
            </w:r>
          </w:p>
        </w:tc>
      </w:tr>
      <w:tr w:rsidR="00DE12A3" w:rsidRPr="00DE12A3" w14:paraId="6D27CFB2" w14:textId="77777777" w:rsidTr="009F4766">
        <w:tc>
          <w:tcPr>
            <w:tcW w:w="1182" w:type="dxa"/>
            <w:tcBorders>
              <w:top w:val="single" w:sz="2" w:space="0" w:color="auto"/>
              <w:left w:val="single" w:sz="2" w:space="0" w:color="auto"/>
              <w:bottom w:val="single" w:sz="2" w:space="0" w:color="auto"/>
              <w:right w:val="single" w:sz="2" w:space="0" w:color="auto"/>
            </w:tcBorders>
          </w:tcPr>
          <w:p w14:paraId="11C2F00A" w14:textId="77777777" w:rsidR="009F4766" w:rsidRPr="00DE12A3" w:rsidRDefault="009F4766" w:rsidP="00C917D6">
            <w:pPr>
              <w:pStyle w:val="NormalLeft"/>
            </w:pPr>
            <w:r w:rsidRPr="00DE12A3">
              <w:t>234</w:t>
            </w:r>
          </w:p>
        </w:tc>
        <w:tc>
          <w:tcPr>
            <w:tcW w:w="2489" w:type="dxa"/>
            <w:tcBorders>
              <w:top w:val="single" w:sz="2" w:space="0" w:color="auto"/>
              <w:left w:val="single" w:sz="2" w:space="0" w:color="auto"/>
              <w:bottom w:val="single" w:sz="2" w:space="0" w:color="auto"/>
              <w:right w:val="single" w:sz="2" w:space="0" w:color="auto"/>
            </w:tcBorders>
          </w:tcPr>
          <w:p w14:paraId="7E7F5C5D" w14:textId="77777777" w:rsidR="009F4766" w:rsidRPr="00DE12A3" w:rsidRDefault="009F4766" w:rsidP="00C917D6">
            <w:pPr>
              <w:pStyle w:val="NormalLeft"/>
            </w:pPr>
            <w:r w:rsidRPr="00DE12A3">
              <w:t>53</w:t>
            </w:r>
          </w:p>
        </w:tc>
        <w:tc>
          <w:tcPr>
            <w:tcW w:w="2551" w:type="dxa"/>
            <w:tcBorders>
              <w:top w:val="single" w:sz="2" w:space="0" w:color="auto"/>
              <w:left w:val="single" w:sz="2" w:space="0" w:color="auto"/>
              <w:bottom w:val="single" w:sz="2" w:space="0" w:color="auto"/>
              <w:right w:val="single" w:sz="2" w:space="0" w:color="auto"/>
            </w:tcBorders>
          </w:tcPr>
          <w:p w14:paraId="7707467B" w14:textId="77777777" w:rsidR="009F4766" w:rsidRPr="00DE12A3" w:rsidRDefault="009F4766" w:rsidP="00C917D6">
            <w:pPr>
              <w:pStyle w:val="NormalLeft"/>
            </w:pPr>
            <w:r w:rsidRPr="00DE12A3">
              <w:t>26</w:t>
            </w:r>
          </w:p>
        </w:tc>
      </w:tr>
      <w:tr w:rsidR="00DE12A3" w:rsidRPr="00DE12A3" w14:paraId="009DA22D" w14:textId="77777777" w:rsidTr="009F4766">
        <w:tc>
          <w:tcPr>
            <w:tcW w:w="1182" w:type="dxa"/>
            <w:tcBorders>
              <w:top w:val="single" w:sz="2" w:space="0" w:color="auto"/>
              <w:left w:val="single" w:sz="2" w:space="0" w:color="auto"/>
              <w:bottom w:val="single" w:sz="2" w:space="0" w:color="auto"/>
              <w:right w:val="single" w:sz="2" w:space="0" w:color="auto"/>
            </w:tcBorders>
          </w:tcPr>
          <w:p w14:paraId="2B57D8F9" w14:textId="77777777" w:rsidR="009F4766" w:rsidRPr="00DE12A3" w:rsidRDefault="009F4766" w:rsidP="00C917D6">
            <w:pPr>
              <w:pStyle w:val="NormalLeft"/>
            </w:pPr>
            <w:r w:rsidRPr="00DE12A3">
              <w:t>235</w:t>
            </w:r>
          </w:p>
        </w:tc>
        <w:tc>
          <w:tcPr>
            <w:tcW w:w="2489" w:type="dxa"/>
            <w:tcBorders>
              <w:top w:val="single" w:sz="2" w:space="0" w:color="auto"/>
              <w:left w:val="single" w:sz="2" w:space="0" w:color="auto"/>
              <w:bottom w:val="single" w:sz="2" w:space="0" w:color="auto"/>
              <w:right w:val="single" w:sz="2" w:space="0" w:color="auto"/>
            </w:tcBorders>
          </w:tcPr>
          <w:p w14:paraId="642BA54B" w14:textId="77777777" w:rsidR="009F4766" w:rsidRPr="00DE12A3" w:rsidRDefault="009F4766" w:rsidP="00C917D6">
            <w:pPr>
              <w:pStyle w:val="NormalLeft"/>
            </w:pPr>
            <w:r w:rsidRPr="00DE12A3">
              <w:t>33</w:t>
            </w:r>
          </w:p>
        </w:tc>
        <w:tc>
          <w:tcPr>
            <w:tcW w:w="2551" w:type="dxa"/>
            <w:tcBorders>
              <w:top w:val="single" w:sz="2" w:space="0" w:color="auto"/>
              <w:left w:val="single" w:sz="2" w:space="0" w:color="auto"/>
              <w:bottom w:val="single" w:sz="2" w:space="0" w:color="auto"/>
              <w:right w:val="single" w:sz="2" w:space="0" w:color="auto"/>
            </w:tcBorders>
          </w:tcPr>
          <w:p w14:paraId="79710A1B" w14:textId="77777777" w:rsidR="009F4766" w:rsidRPr="00DE12A3" w:rsidRDefault="009F4766" w:rsidP="00C917D6">
            <w:pPr>
              <w:pStyle w:val="NormalLeft"/>
            </w:pPr>
            <w:r w:rsidRPr="00DE12A3">
              <w:t>27</w:t>
            </w:r>
          </w:p>
        </w:tc>
      </w:tr>
      <w:tr w:rsidR="00DE12A3" w:rsidRPr="00DE12A3" w14:paraId="09B1C444" w14:textId="77777777" w:rsidTr="009F4766">
        <w:tc>
          <w:tcPr>
            <w:tcW w:w="1182" w:type="dxa"/>
            <w:tcBorders>
              <w:top w:val="single" w:sz="2" w:space="0" w:color="auto"/>
              <w:left w:val="single" w:sz="2" w:space="0" w:color="auto"/>
              <w:bottom w:val="single" w:sz="2" w:space="0" w:color="auto"/>
              <w:right w:val="single" w:sz="2" w:space="0" w:color="auto"/>
            </w:tcBorders>
          </w:tcPr>
          <w:p w14:paraId="3A634F45" w14:textId="77777777" w:rsidR="009F4766" w:rsidRPr="00DE12A3" w:rsidRDefault="009F4766" w:rsidP="00C917D6">
            <w:pPr>
              <w:pStyle w:val="NormalLeft"/>
            </w:pPr>
            <w:r w:rsidRPr="00DE12A3">
              <w:t>236</w:t>
            </w:r>
          </w:p>
        </w:tc>
        <w:tc>
          <w:tcPr>
            <w:tcW w:w="2489" w:type="dxa"/>
            <w:tcBorders>
              <w:top w:val="single" w:sz="2" w:space="0" w:color="auto"/>
              <w:left w:val="single" w:sz="2" w:space="0" w:color="auto"/>
              <w:bottom w:val="single" w:sz="2" w:space="0" w:color="auto"/>
              <w:right w:val="single" w:sz="2" w:space="0" w:color="auto"/>
            </w:tcBorders>
          </w:tcPr>
          <w:p w14:paraId="0EE4E961" w14:textId="77777777" w:rsidR="009F4766" w:rsidRPr="00DE12A3" w:rsidRDefault="009F4766" w:rsidP="00C917D6">
            <w:pPr>
              <w:pStyle w:val="NormalLeft"/>
            </w:pPr>
            <w:r w:rsidRPr="00DE12A3">
              <w:t>39</w:t>
            </w:r>
          </w:p>
        </w:tc>
        <w:tc>
          <w:tcPr>
            <w:tcW w:w="2551" w:type="dxa"/>
            <w:tcBorders>
              <w:top w:val="single" w:sz="2" w:space="0" w:color="auto"/>
              <w:left w:val="single" w:sz="2" w:space="0" w:color="auto"/>
              <w:bottom w:val="single" w:sz="2" w:space="0" w:color="auto"/>
              <w:right w:val="single" w:sz="2" w:space="0" w:color="auto"/>
            </w:tcBorders>
          </w:tcPr>
          <w:p w14:paraId="7ED9EEF9" w14:textId="77777777" w:rsidR="009F4766" w:rsidRPr="00DE12A3" w:rsidRDefault="009F4766" w:rsidP="00C917D6">
            <w:pPr>
              <w:pStyle w:val="NormalLeft"/>
            </w:pPr>
            <w:r w:rsidRPr="00DE12A3">
              <w:t>19</w:t>
            </w:r>
          </w:p>
        </w:tc>
      </w:tr>
      <w:tr w:rsidR="00DE12A3" w:rsidRPr="00DE12A3" w14:paraId="4236E224" w14:textId="77777777" w:rsidTr="009F4766">
        <w:tc>
          <w:tcPr>
            <w:tcW w:w="1182" w:type="dxa"/>
            <w:tcBorders>
              <w:top w:val="single" w:sz="2" w:space="0" w:color="auto"/>
              <w:left w:val="single" w:sz="2" w:space="0" w:color="auto"/>
              <w:bottom w:val="single" w:sz="2" w:space="0" w:color="auto"/>
              <w:right w:val="single" w:sz="2" w:space="0" w:color="auto"/>
            </w:tcBorders>
          </w:tcPr>
          <w:p w14:paraId="03C31749" w14:textId="77777777" w:rsidR="009F4766" w:rsidRPr="00DE12A3" w:rsidRDefault="009F4766" w:rsidP="00C917D6">
            <w:pPr>
              <w:pStyle w:val="NormalLeft"/>
            </w:pPr>
            <w:r w:rsidRPr="00DE12A3">
              <w:t>237</w:t>
            </w:r>
          </w:p>
        </w:tc>
        <w:tc>
          <w:tcPr>
            <w:tcW w:w="2489" w:type="dxa"/>
            <w:tcBorders>
              <w:top w:val="single" w:sz="2" w:space="0" w:color="auto"/>
              <w:left w:val="single" w:sz="2" w:space="0" w:color="auto"/>
              <w:bottom w:val="single" w:sz="2" w:space="0" w:color="auto"/>
              <w:right w:val="single" w:sz="2" w:space="0" w:color="auto"/>
            </w:tcBorders>
          </w:tcPr>
          <w:p w14:paraId="6E60EFEF" w14:textId="77777777" w:rsidR="009F4766" w:rsidRPr="00DE12A3" w:rsidRDefault="009F4766" w:rsidP="00C917D6">
            <w:pPr>
              <w:pStyle w:val="NormalLeft"/>
            </w:pPr>
            <w:r w:rsidRPr="00DE12A3">
              <w:t>51</w:t>
            </w:r>
          </w:p>
        </w:tc>
        <w:tc>
          <w:tcPr>
            <w:tcW w:w="2551" w:type="dxa"/>
            <w:tcBorders>
              <w:top w:val="single" w:sz="2" w:space="0" w:color="auto"/>
              <w:left w:val="single" w:sz="2" w:space="0" w:color="auto"/>
              <w:bottom w:val="single" w:sz="2" w:space="0" w:color="auto"/>
              <w:right w:val="single" w:sz="2" w:space="0" w:color="auto"/>
            </w:tcBorders>
          </w:tcPr>
          <w:p w14:paraId="17E1884E" w14:textId="77777777" w:rsidR="009F4766" w:rsidRPr="00DE12A3" w:rsidRDefault="009F4766" w:rsidP="00C917D6">
            <w:pPr>
              <w:pStyle w:val="NormalLeft"/>
            </w:pPr>
            <w:r w:rsidRPr="00DE12A3">
              <w:t>33</w:t>
            </w:r>
          </w:p>
        </w:tc>
      </w:tr>
      <w:tr w:rsidR="00DE12A3" w:rsidRPr="00DE12A3" w14:paraId="544C1778" w14:textId="77777777" w:rsidTr="009F4766">
        <w:tc>
          <w:tcPr>
            <w:tcW w:w="1182" w:type="dxa"/>
            <w:tcBorders>
              <w:top w:val="single" w:sz="2" w:space="0" w:color="auto"/>
              <w:left w:val="single" w:sz="2" w:space="0" w:color="auto"/>
              <w:bottom w:val="single" w:sz="2" w:space="0" w:color="auto"/>
              <w:right w:val="single" w:sz="2" w:space="0" w:color="auto"/>
            </w:tcBorders>
          </w:tcPr>
          <w:p w14:paraId="4E8E55B2" w14:textId="77777777" w:rsidR="009F4766" w:rsidRPr="00DE12A3" w:rsidRDefault="009F4766" w:rsidP="00C917D6">
            <w:pPr>
              <w:pStyle w:val="NormalLeft"/>
            </w:pPr>
            <w:r w:rsidRPr="00DE12A3">
              <w:t>238</w:t>
            </w:r>
          </w:p>
        </w:tc>
        <w:tc>
          <w:tcPr>
            <w:tcW w:w="2489" w:type="dxa"/>
            <w:tcBorders>
              <w:top w:val="single" w:sz="2" w:space="0" w:color="auto"/>
              <w:left w:val="single" w:sz="2" w:space="0" w:color="auto"/>
              <w:bottom w:val="single" w:sz="2" w:space="0" w:color="auto"/>
              <w:right w:val="single" w:sz="2" w:space="0" w:color="auto"/>
            </w:tcBorders>
          </w:tcPr>
          <w:p w14:paraId="457A669B" w14:textId="77777777" w:rsidR="009F4766" w:rsidRPr="00DE12A3" w:rsidRDefault="009F4766" w:rsidP="00C917D6">
            <w:pPr>
              <w:pStyle w:val="NormalLeft"/>
            </w:pPr>
            <w:r w:rsidRPr="00DE12A3">
              <w:t>67</w:t>
            </w:r>
          </w:p>
        </w:tc>
        <w:tc>
          <w:tcPr>
            <w:tcW w:w="2551" w:type="dxa"/>
            <w:tcBorders>
              <w:top w:val="single" w:sz="2" w:space="0" w:color="auto"/>
              <w:left w:val="single" w:sz="2" w:space="0" w:color="auto"/>
              <w:bottom w:val="single" w:sz="2" w:space="0" w:color="auto"/>
              <w:right w:val="single" w:sz="2" w:space="0" w:color="auto"/>
            </w:tcBorders>
          </w:tcPr>
          <w:p w14:paraId="03BF1317" w14:textId="77777777" w:rsidR="009F4766" w:rsidRPr="00DE12A3" w:rsidRDefault="009F4766" w:rsidP="00C917D6">
            <w:pPr>
              <w:pStyle w:val="NormalLeft"/>
            </w:pPr>
            <w:r w:rsidRPr="00DE12A3">
              <w:t>54</w:t>
            </w:r>
          </w:p>
        </w:tc>
      </w:tr>
      <w:tr w:rsidR="00DE12A3" w:rsidRPr="00DE12A3" w14:paraId="35EBF1FE" w14:textId="77777777" w:rsidTr="009F4766">
        <w:tc>
          <w:tcPr>
            <w:tcW w:w="1182" w:type="dxa"/>
            <w:tcBorders>
              <w:top w:val="single" w:sz="2" w:space="0" w:color="auto"/>
              <w:left w:val="single" w:sz="2" w:space="0" w:color="auto"/>
              <w:bottom w:val="single" w:sz="2" w:space="0" w:color="auto"/>
              <w:right w:val="single" w:sz="2" w:space="0" w:color="auto"/>
            </w:tcBorders>
          </w:tcPr>
          <w:p w14:paraId="062D46B1" w14:textId="77777777" w:rsidR="009F4766" w:rsidRPr="00DE12A3" w:rsidRDefault="009F4766" w:rsidP="00C917D6">
            <w:pPr>
              <w:pStyle w:val="NormalLeft"/>
            </w:pPr>
            <w:r w:rsidRPr="00DE12A3">
              <w:t>239</w:t>
            </w:r>
          </w:p>
        </w:tc>
        <w:tc>
          <w:tcPr>
            <w:tcW w:w="2489" w:type="dxa"/>
            <w:tcBorders>
              <w:top w:val="single" w:sz="2" w:space="0" w:color="auto"/>
              <w:left w:val="single" w:sz="2" w:space="0" w:color="auto"/>
              <w:bottom w:val="single" w:sz="2" w:space="0" w:color="auto"/>
              <w:right w:val="single" w:sz="2" w:space="0" w:color="auto"/>
            </w:tcBorders>
          </w:tcPr>
          <w:p w14:paraId="11FD9D97" w14:textId="77777777" w:rsidR="009F4766" w:rsidRPr="00DE12A3" w:rsidRDefault="009F4766" w:rsidP="00C917D6">
            <w:pPr>
              <w:pStyle w:val="NormalLeft"/>
            </w:pPr>
            <w:r w:rsidRPr="00DE12A3">
              <w:t>83</w:t>
            </w:r>
          </w:p>
        </w:tc>
        <w:tc>
          <w:tcPr>
            <w:tcW w:w="2551" w:type="dxa"/>
            <w:tcBorders>
              <w:top w:val="single" w:sz="2" w:space="0" w:color="auto"/>
              <w:left w:val="single" w:sz="2" w:space="0" w:color="auto"/>
              <w:bottom w:val="single" w:sz="2" w:space="0" w:color="auto"/>
              <w:right w:val="single" w:sz="2" w:space="0" w:color="auto"/>
            </w:tcBorders>
          </w:tcPr>
          <w:p w14:paraId="4993608E" w14:textId="77777777" w:rsidR="009F4766" w:rsidRPr="00DE12A3" w:rsidRDefault="009F4766" w:rsidP="00C917D6">
            <w:pPr>
              <w:pStyle w:val="NormalLeft"/>
            </w:pPr>
            <w:r w:rsidRPr="00DE12A3">
              <w:t>60</w:t>
            </w:r>
          </w:p>
        </w:tc>
      </w:tr>
      <w:tr w:rsidR="00DE12A3" w:rsidRPr="00DE12A3" w14:paraId="614705AC" w14:textId="77777777" w:rsidTr="009F4766">
        <w:tc>
          <w:tcPr>
            <w:tcW w:w="1182" w:type="dxa"/>
            <w:tcBorders>
              <w:top w:val="single" w:sz="2" w:space="0" w:color="auto"/>
              <w:left w:val="single" w:sz="2" w:space="0" w:color="auto"/>
              <w:bottom w:val="single" w:sz="2" w:space="0" w:color="auto"/>
              <w:right w:val="single" w:sz="2" w:space="0" w:color="auto"/>
            </w:tcBorders>
          </w:tcPr>
          <w:p w14:paraId="37AF5EE9" w14:textId="77777777" w:rsidR="009F4766" w:rsidRPr="00DE12A3" w:rsidRDefault="009F4766" w:rsidP="00C917D6">
            <w:pPr>
              <w:pStyle w:val="NormalLeft"/>
            </w:pPr>
            <w:r w:rsidRPr="00DE12A3">
              <w:t>240</w:t>
            </w:r>
          </w:p>
        </w:tc>
        <w:tc>
          <w:tcPr>
            <w:tcW w:w="2489" w:type="dxa"/>
            <w:tcBorders>
              <w:top w:val="single" w:sz="2" w:space="0" w:color="auto"/>
              <w:left w:val="single" w:sz="2" w:space="0" w:color="auto"/>
              <w:bottom w:val="single" w:sz="2" w:space="0" w:color="auto"/>
              <w:right w:val="single" w:sz="2" w:space="0" w:color="auto"/>
            </w:tcBorders>
          </w:tcPr>
          <w:p w14:paraId="5DD8EEFA" w14:textId="77777777" w:rsidR="009F4766" w:rsidRPr="00DE12A3" w:rsidRDefault="009F4766" w:rsidP="00C917D6">
            <w:pPr>
              <w:pStyle w:val="NormalLeft"/>
            </w:pPr>
            <w:r w:rsidRPr="00DE12A3">
              <w:t>95</w:t>
            </w:r>
          </w:p>
        </w:tc>
        <w:tc>
          <w:tcPr>
            <w:tcW w:w="2551" w:type="dxa"/>
            <w:tcBorders>
              <w:top w:val="single" w:sz="2" w:space="0" w:color="auto"/>
              <w:left w:val="single" w:sz="2" w:space="0" w:color="auto"/>
              <w:bottom w:val="single" w:sz="2" w:space="0" w:color="auto"/>
              <w:right w:val="single" w:sz="2" w:space="0" w:color="auto"/>
            </w:tcBorders>
          </w:tcPr>
          <w:p w14:paraId="6654E0F5" w14:textId="77777777" w:rsidR="009F4766" w:rsidRPr="00DE12A3" w:rsidRDefault="009F4766" w:rsidP="00C917D6">
            <w:pPr>
              <w:pStyle w:val="NormalLeft"/>
            </w:pPr>
            <w:r w:rsidRPr="00DE12A3">
              <w:t>52</w:t>
            </w:r>
          </w:p>
        </w:tc>
      </w:tr>
      <w:tr w:rsidR="00DE12A3" w:rsidRPr="00DE12A3" w14:paraId="0FD2977F" w14:textId="77777777" w:rsidTr="009F4766">
        <w:tc>
          <w:tcPr>
            <w:tcW w:w="1182" w:type="dxa"/>
            <w:tcBorders>
              <w:top w:val="single" w:sz="2" w:space="0" w:color="auto"/>
              <w:left w:val="single" w:sz="2" w:space="0" w:color="auto"/>
              <w:bottom w:val="single" w:sz="2" w:space="0" w:color="auto"/>
              <w:right w:val="single" w:sz="2" w:space="0" w:color="auto"/>
            </w:tcBorders>
          </w:tcPr>
          <w:p w14:paraId="7CB17C2F" w14:textId="77777777" w:rsidR="009F4766" w:rsidRPr="00DE12A3" w:rsidRDefault="009F4766" w:rsidP="00C917D6">
            <w:pPr>
              <w:pStyle w:val="NormalLeft"/>
            </w:pPr>
            <w:r w:rsidRPr="00DE12A3">
              <w:t>241</w:t>
            </w:r>
          </w:p>
        </w:tc>
        <w:tc>
          <w:tcPr>
            <w:tcW w:w="2489" w:type="dxa"/>
            <w:tcBorders>
              <w:top w:val="single" w:sz="2" w:space="0" w:color="auto"/>
              <w:left w:val="single" w:sz="2" w:space="0" w:color="auto"/>
              <w:bottom w:val="single" w:sz="2" w:space="0" w:color="auto"/>
              <w:right w:val="single" w:sz="2" w:space="0" w:color="auto"/>
            </w:tcBorders>
          </w:tcPr>
          <w:p w14:paraId="3FF61C13" w14:textId="77777777" w:rsidR="009F4766" w:rsidRPr="00DE12A3" w:rsidRDefault="009F4766" w:rsidP="00C917D6">
            <w:pPr>
              <w:pStyle w:val="NormalLeft"/>
            </w:pPr>
            <w:r w:rsidRPr="00DE12A3">
              <w:t>100</w:t>
            </w:r>
          </w:p>
        </w:tc>
        <w:tc>
          <w:tcPr>
            <w:tcW w:w="2551" w:type="dxa"/>
            <w:tcBorders>
              <w:top w:val="single" w:sz="2" w:space="0" w:color="auto"/>
              <w:left w:val="single" w:sz="2" w:space="0" w:color="auto"/>
              <w:bottom w:val="single" w:sz="2" w:space="0" w:color="auto"/>
              <w:right w:val="single" w:sz="2" w:space="0" w:color="auto"/>
            </w:tcBorders>
          </w:tcPr>
          <w:p w14:paraId="5F9FC843" w14:textId="77777777" w:rsidR="009F4766" w:rsidRPr="00DE12A3" w:rsidRDefault="009F4766" w:rsidP="00C917D6">
            <w:pPr>
              <w:pStyle w:val="NormalLeft"/>
            </w:pPr>
            <w:r w:rsidRPr="00DE12A3">
              <w:t>50</w:t>
            </w:r>
          </w:p>
        </w:tc>
      </w:tr>
      <w:tr w:rsidR="00DE12A3" w:rsidRPr="00DE12A3" w14:paraId="173E4AF9" w14:textId="77777777" w:rsidTr="009F4766">
        <w:tc>
          <w:tcPr>
            <w:tcW w:w="1182" w:type="dxa"/>
            <w:tcBorders>
              <w:top w:val="single" w:sz="2" w:space="0" w:color="auto"/>
              <w:left w:val="single" w:sz="2" w:space="0" w:color="auto"/>
              <w:bottom w:val="single" w:sz="2" w:space="0" w:color="auto"/>
              <w:right w:val="single" w:sz="2" w:space="0" w:color="auto"/>
            </w:tcBorders>
          </w:tcPr>
          <w:p w14:paraId="1D0A9EDB" w14:textId="77777777" w:rsidR="009F4766" w:rsidRPr="00DE12A3" w:rsidRDefault="009F4766" w:rsidP="00C917D6">
            <w:pPr>
              <w:pStyle w:val="NormalLeft"/>
            </w:pPr>
            <w:r w:rsidRPr="00DE12A3">
              <w:t>242</w:t>
            </w:r>
          </w:p>
        </w:tc>
        <w:tc>
          <w:tcPr>
            <w:tcW w:w="2489" w:type="dxa"/>
            <w:tcBorders>
              <w:top w:val="single" w:sz="2" w:space="0" w:color="auto"/>
              <w:left w:val="single" w:sz="2" w:space="0" w:color="auto"/>
              <w:bottom w:val="single" w:sz="2" w:space="0" w:color="auto"/>
              <w:right w:val="single" w:sz="2" w:space="0" w:color="auto"/>
            </w:tcBorders>
          </w:tcPr>
          <w:p w14:paraId="3B7D087B" w14:textId="77777777" w:rsidR="009F4766" w:rsidRPr="00DE12A3" w:rsidRDefault="009F4766" w:rsidP="00C917D6">
            <w:pPr>
              <w:pStyle w:val="NormalLeft"/>
            </w:pPr>
            <w:r w:rsidRPr="00DE12A3">
              <w:t>100</w:t>
            </w:r>
          </w:p>
        </w:tc>
        <w:tc>
          <w:tcPr>
            <w:tcW w:w="2551" w:type="dxa"/>
            <w:tcBorders>
              <w:top w:val="single" w:sz="2" w:space="0" w:color="auto"/>
              <w:left w:val="single" w:sz="2" w:space="0" w:color="auto"/>
              <w:bottom w:val="single" w:sz="2" w:space="0" w:color="auto"/>
              <w:right w:val="single" w:sz="2" w:space="0" w:color="auto"/>
            </w:tcBorders>
          </w:tcPr>
          <w:p w14:paraId="46BB371E" w14:textId="77777777" w:rsidR="009F4766" w:rsidRPr="00DE12A3" w:rsidRDefault="009F4766" w:rsidP="00C917D6">
            <w:pPr>
              <w:pStyle w:val="NormalLeft"/>
            </w:pPr>
            <w:r w:rsidRPr="00DE12A3">
              <w:t>36</w:t>
            </w:r>
          </w:p>
        </w:tc>
      </w:tr>
      <w:tr w:rsidR="00DE12A3" w:rsidRPr="00DE12A3" w14:paraId="348548D4" w14:textId="77777777" w:rsidTr="009F4766">
        <w:tc>
          <w:tcPr>
            <w:tcW w:w="1182" w:type="dxa"/>
            <w:tcBorders>
              <w:top w:val="single" w:sz="2" w:space="0" w:color="auto"/>
              <w:left w:val="single" w:sz="2" w:space="0" w:color="auto"/>
              <w:bottom w:val="single" w:sz="2" w:space="0" w:color="auto"/>
              <w:right w:val="single" w:sz="2" w:space="0" w:color="auto"/>
            </w:tcBorders>
          </w:tcPr>
          <w:p w14:paraId="4BCEFA76" w14:textId="77777777" w:rsidR="009F4766" w:rsidRPr="00DE12A3" w:rsidRDefault="009F4766" w:rsidP="00C917D6">
            <w:pPr>
              <w:pStyle w:val="NormalLeft"/>
            </w:pPr>
            <w:r w:rsidRPr="00DE12A3">
              <w:lastRenderedPageBreak/>
              <w:t>243</w:t>
            </w:r>
          </w:p>
        </w:tc>
        <w:tc>
          <w:tcPr>
            <w:tcW w:w="2489" w:type="dxa"/>
            <w:tcBorders>
              <w:top w:val="single" w:sz="2" w:space="0" w:color="auto"/>
              <w:left w:val="single" w:sz="2" w:space="0" w:color="auto"/>
              <w:bottom w:val="single" w:sz="2" w:space="0" w:color="auto"/>
              <w:right w:val="single" w:sz="2" w:space="0" w:color="auto"/>
            </w:tcBorders>
          </w:tcPr>
          <w:p w14:paraId="5E6B700F" w14:textId="77777777" w:rsidR="009F4766" w:rsidRPr="00DE12A3" w:rsidRDefault="009F4766" w:rsidP="00C917D6">
            <w:pPr>
              <w:pStyle w:val="NormalLeft"/>
            </w:pPr>
            <w:r w:rsidRPr="00DE12A3">
              <w:t>100</w:t>
            </w:r>
          </w:p>
        </w:tc>
        <w:tc>
          <w:tcPr>
            <w:tcW w:w="2551" w:type="dxa"/>
            <w:tcBorders>
              <w:top w:val="single" w:sz="2" w:space="0" w:color="auto"/>
              <w:left w:val="single" w:sz="2" w:space="0" w:color="auto"/>
              <w:bottom w:val="single" w:sz="2" w:space="0" w:color="auto"/>
              <w:right w:val="single" w:sz="2" w:space="0" w:color="auto"/>
            </w:tcBorders>
          </w:tcPr>
          <w:p w14:paraId="5AB6DE91" w14:textId="77777777" w:rsidR="009F4766" w:rsidRPr="00DE12A3" w:rsidRDefault="009F4766" w:rsidP="00C917D6">
            <w:pPr>
              <w:pStyle w:val="NormalLeft"/>
            </w:pPr>
            <w:r w:rsidRPr="00DE12A3">
              <w:t>25</w:t>
            </w:r>
          </w:p>
        </w:tc>
      </w:tr>
      <w:tr w:rsidR="00DE12A3" w:rsidRPr="00DE12A3" w14:paraId="0024E005" w14:textId="77777777" w:rsidTr="009F4766">
        <w:tc>
          <w:tcPr>
            <w:tcW w:w="1182" w:type="dxa"/>
            <w:tcBorders>
              <w:top w:val="single" w:sz="2" w:space="0" w:color="auto"/>
              <w:left w:val="single" w:sz="2" w:space="0" w:color="auto"/>
              <w:bottom w:val="single" w:sz="2" w:space="0" w:color="auto"/>
              <w:right w:val="single" w:sz="2" w:space="0" w:color="auto"/>
            </w:tcBorders>
          </w:tcPr>
          <w:p w14:paraId="7847B2EC" w14:textId="77777777" w:rsidR="009F4766" w:rsidRPr="00DE12A3" w:rsidRDefault="009F4766" w:rsidP="00C917D6">
            <w:pPr>
              <w:pStyle w:val="NormalLeft"/>
            </w:pPr>
            <w:r w:rsidRPr="00DE12A3">
              <w:t>244</w:t>
            </w:r>
          </w:p>
        </w:tc>
        <w:tc>
          <w:tcPr>
            <w:tcW w:w="2489" w:type="dxa"/>
            <w:tcBorders>
              <w:top w:val="single" w:sz="2" w:space="0" w:color="auto"/>
              <w:left w:val="single" w:sz="2" w:space="0" w:color="auto"/>
              <w:bottom w:val="single" w:sz="2" w:space="0" w:color="auto"/>
              <w:right w:val="single" w:sz="2" w:space="0" w:color="auto"/>
            </w:tcBorders>
          </w:tcPr>
          <w:p w14:paraId="71A7F3A1" w14:textId="77777777" w:rsidR="009F4766" w:rsidRPr="00DE12A3" w:rsidRDefault="009F4766" w:rsidP="00C917D6">
            <w:pPr>
              <w:pStyle w:val="NormalLeft"/>
            </w:pPr>
            <w:r w:rsidRPr="00DE12A3">
              <w:t>85</w:t>
            </w:r>
          </w:p>
        </w:tc>
        <w:tc>
          <w:tcPr>
            <w:tcW w:w="2551" w:type="dxa"/>
            <w:tcBorders>
              <w:top w:val="single" w:sz="2" w:space="0" w:color="auto"/>
              <w:left w:val="single" w:sz="2" w:space="0" w:color="auto"/>
              <w:bottom w:val="single" w:sz="2" w:space="0" w:color="auto"/>
              <w:right w:val="single" w:sz="2" w:space="0" w:color="auto"/>
            </w:tcBorders>
          </w:tcPr>
          <w:p w14:paraId="533A56E8" w14:textId="77777777" w:rsidR="009F4766" w:rsidRPr="00DE12A3" w:rsidRDefault="009F4766" w:rsidP="00C917D6">
            <w:pPr>
              <w:pStyle w:val="NormalLeft"/>
            </w:pPr>
            <w:r w:rsidRPr="00DE12A3">
              <w:t>16</w:t>
            </w:r>
          </w:p>
        </w:tc>
      </w:tr>
      <w:tr w:rsidR="00DE12A3" w:rsidRPr="00DE12A3" w14:paraId="6930235D" w14:textId="77777777" w:rsidTr="009F4766">
        <w:tc>
          <w:tcPr>
            <w:tcW w:w="1182" w:type="dxa"/>
            <w:tcBorders>
              <w:top w:val="single" w:sz="2" w:space="0" w:color="auto"/>
              <w:left w:val="single" w:sz="2" w:space="0" w:color="auto"/>
              <w:bottom w:val="single" w:sz="2" w:space="0" w:color="auto"/>
              <w:right w:val="single" w:sz="2" w:space="0" w:color="auto"/>
            </w:tcBorders>
          </w:tcPr>
          <w:p w14:paraId="21B2DC36" w14:textId="77777777" w:rsidR="009F4766" w:rsidRPr="00DE12A3" w:rsidRDefault="009F4766" w:rsidP="00C917D6">
            <w:pPr>
              <w:pStyle w:val="NormalLeft"/>
            </w:pPr>
            <w:r w:rsidRPr="00DE12A3">
              <w:t>245</w:t>
            </w:r>
          </w:p>
        </w:tc>
        <w:tc>
          <w:tcPr>
            <w:tcW w:w="2489" w:type="dxa"/>
            <w:tcBorders>
              <w:top w:val="single" w:sz="2" w:space="0" w:color="auto"/>
              <w:left w:val="single" w:sz="2" w:space="0" w:color="auto"/>
              <w:bottom w:val="single" w:sz="2" w:space="0" w:color="auto"/>
              <w:right w:val="single" w:sz="2" w:space="0" w:color="auto"/>
            </w:tcBorders>
          </w:tcPr>
          <w:p w14:paraId="65B6C687" w14:textId="77777777" w:rsidR="009F4766" w:rsidRPr="00DE12A3" w:rsidRDefault="009F4766" w:rsidP="00C917D6">
            <w:pPr>
              <w:pStyle w:val="NormalLeft"/>
            </w:pPr>
            <w:r w:rsidRPr="00DE12A3">
              <w:t>62</w:t>
            </w:r>
          </w:p>
        </w:tc>
        <w:tc>
          <w:tcPr>
            <w:tcW w:w="2551" w:type="dxa"/>
            <w:tcBorders>
              <w:top w:val="single" w:sz="2" w:space="0" w:color="auto"/>
              <w:left w:val="single" w:sz="2" w:space="0" w:color="auto"/>
              <w:bottom w:val="single" w:sz="2" w:space="0" w:color="auto"/>
              <w:right w:val="single" w:sz="2" w:space="0" w:color="auto"/>
            </w:tcBorders>
          </w:tcPr>
          <w:p w14:paraId="2FEB1923" w14:textId="77777777" w:rsidR="009F4766" w:rsidRPr="00DE12A3" w:rsidRDefault="009F4766" w:rsidP="00C917D6">
            <w:pPr>
              <w:pStyle w:val="NormalLeft"/>
            </w:pPr>
            <w:r w:rsidRPr="00DE12A3">
              <w:t>16</w:t>
            </w:r>
          </w:p>
        </w:tc>
      </w:tr>
      <w:tr w:rsidR="00DE12A3" w:rsidRPr="00DE12A3" w14:paraId="264E1751" w14:textId="77777777" w:rsidTr="009F4766">
        <w:tc>
          <w:tcPr>
            <w:tcW w:w="1182" w:type="dxa"/>
            <w:tcBorders>
              <w:top w:val="single" w:sz="2" w:space="0" w:color="auto"/>
              <w:left w:val="single" w:sz="2" w:space="0" w:color="auto"/>
              <w:bottom w:val="single" w:sz="2" w:space="0" w:color="auto"/>
              <w:right w:val="single" w:sz="2" w:space="0" w:color="auto"/>
            </w:tcBorders>
          </w:tcPr>
          <w:p w14:paraId="76C983D8" w14:textId="77777777" w:rsidR="009F4766" w:rsidRPr="00DE12A3" w:rsidRDefault="009F4766" w:rsidP="00C917D6">
            <w:pPr>
              <w:pStyle w:val="NormalLeft"/>
            </w:pPr>
            <w:r w:rsidRPr="00DE12A3">
              <w:t>246</w:t>
            </w:r>
          </w:p>
        </w:tc>
        <w:tc>
          <w:tcPr>
            <w:tcW w:w="2489" w:type="dxa"/>
            <w:tcBorders>
              <w:top w:val="single" w:sz="2" w:space="0" w:color="auto"/>
              <w:left w:val="single" w:sz="2" w:space="0" w:color="auto"/>
              <w:bottom w:val="single" w:sz="2" w:space="0" w:color="auto"/>
              <w:right w:val="single" w:sz="2" w:space="0" w:color="auto"/>
            </w:tcBorders>
          </w:tcPr>
          <w:p w14:paraId="2BD3E63D" w14:textId="77777777" w:rsidR="009F4766" w:rsidRPr="00DE12A3" w:rsidRDefault="009F4766" w:rsidP="00C917D6">
            <w:pPr>
              <w:pStyle w:val="NormalLeft"/>
            </w:pPr>
            <w:r w:rsidRPr="00DE12A3">
              <w:t>40</w:t>
            </w:r>
          </w:p>
        </w:tc>
        <w:tc>
          <w:tcPr>
            <w:tcW w:w="2551" w:type="dxa"/>
            <w:tcBorders>
              <w:top w:val="single" w:sz="2" w:space="0" w:color="auto"/>
              <w:left w:val="single" w:sz="2" w:space="0" w:color="auto"/>
              <w:bottom w:val="single" w:sz="2" w:space="0" w:color="auto"/>
              <w:right w:val="single" w:sz="2" w:space="0" w:color="auto"/>
            </w:tcBorders>
          </w:tcPr>
          <w:p w14:paraId="7B3473DE" w14:textId="77777777" w:rsidR="009F4766" w:rsidRPr="00DE12A3" w:rsidRDefault="009F4766" w:rsidP="00C917D6">
            <w:pPr>
              <w:pStyle w:val="NormalLeft"/>
            </w:pPr>
            <w:r w:rsidRPr="00DE12A3">
              <w:t>26</w:t>
            </w:r>
          </w:p>
        </w:tc>
      </w:tr>
      <w:tr w:rsidR="00DE12A3" w:rsidRPr="00DE12A3" w14:paraId="1B316922" w14:textId="77777777" w:rsidTr="009F4766">
        <w:tc>
          <w:tcPr>
            <w:tcW w:w="1182" w:type="dxa"/>
            <w:tcBorders>
              <w:top w:val="single" w:sz="2" w:space="0" w:color="auto"/>
              <w:left w:val="single" w:sz="2" w:space="0" w:color="auto"/>
              <w:bottom w:val="single" w:sz="2" w:space="0" w:color="auto"/>
              <w:right w:val="single" w:sz="2" w:space="0" w:color="auto"/>
            </w:tcBorders>
          </w:tcPr>
          <w:p w14:paraId="1CE14815" w14:textId="77777777" w:rsidR="009F4766" w:rsidRPr="00DE12A3" w:rsidRDefault="009F4766" w:rsidP="00C917D6">
            <w:pPr>
              <w:pStyle w:val="NormalLeft"/>
            </w:pPr>
            <w:r w:rsidRPr="00DE12A3">
              <w:t>247</w:t>
            </w:r>
          </w:p>
        </w:tc>
        <w:tc>
          <w:tcPr>
            <w:tcW w:w="2489" w:type="dxa"/>
            <w:tcBorders>
              <w:top w:val="single" w:sz="2" w:space="0" w:color="auto"/>
              <w:left w:val="single" w:sz="2" w:space="0" w:color="auto"/>
              <w:bottom w:val="single" w:sz="2" w:space="0" w:color="auto"/>
              <w:right w:val="single" w:sz="2" w:space="0" w:color="auto"/>
            </w:tcBorders>
          </w:tcPr>
          <w:p w14:paraId="09971650" w14:textId="77777777" w:rsidR="009F4766" w:rsidRPr="00DE12A3" w:rsidRDefault="009F4766" w:rsidP="00C917D6">
            <w:pPr>
              <w:pStyle w:val="NormalLeft"/>
            </w:pPr>
            <w:r w:rsidRPr="00DE12A3">
              <w:t>56</w:t>
            </w:r>
          </w:p>
        </w:tc>
        <w:tc>
          <w:tcPr>
            <w:tcW w:w="2551" w:type="dxa"/>
            <w:tcBorders>
              <w:top w:val="single" w:sz="2" w:space="0" w:color="auto"/>
              <w:left w:val="single" w:sz="2" w:space="0" w:color="auto"/>
              <w:bottom w:val="single" w:sz="2" w:space="0" w:color="auto"/>
              <w:right w:val="single" w:sz="2" w:space="0" w:color="auto"/>
            </w:tcBorders>
          </w:tcPr>
          <w:p w14:paraId="043FB5E3" w14:textId="77777777" w:rsidR="009F4766" w:rsidRPr="00DE12A3" w:rsidRDefault="009F4766" w:rsidP="00C917D6">
            <w:pPr>
              <w:pStyle w:val="NormalLeft"/>
            </w:pPr>
            <w:r w:rsidRPr="00DE12A3">
              <w:t>39</w:t>
            </w:r>
          </w:p>
        </w:tc>
      </w:tr>
      <w:tr w:rsidR="00DE12A3" w:rsidRPr="00DE12A3" w14:paraId="736F7F97" w14:textId="77777777" w:rsidTr="009F4766">
        <w:tc>
          <w:tcPr>
            <w:tcW w:w="1182" w:type="dxa"/>
            <w:tcBorders>
              <w:top w:val="single" w:sz="2" w:space="0" w:color="auto"/>
              <w:left w:val="single" w:sz="2" w:space="0" w:color="auto"/>
              <w:bottom w:val="single" w:sz="2" w:space="0" w:color="auto"/>
              <w:right w:val="single" w:sz="2" w:space="0" w:color="auto"/>
            </w:tcBorders>
          </w:tcPr>
          <w:p w14:paraId="519B0282" w14:textId="77777777" w:rsidR="009F4766" w:rsidRPr="00DE12A3" w:rsidRDefault="009F4766" w:rsidP="00C917D6">
            <w:pPr>
              <w:pStyle w:val="NormalLeft"/>
            </w:pPr>
            <w:r w:rsidRPr="00DE12A3">
              <w:t>248</w:t>
            </w:r>
          </w:p>
        </w:tc>
        <w:tc>
          <w:tcPr>
            <w:tcW w:w="2489" w:type="dxa"/>
            <w:tcBorders>
              <w:top w:val="single" w:sz="2" w:space="0" w:color="auto"/>
              <w:left w:val="single" w:sz="2" w:space="0" w:color="auto"/>
              <w:bottom w:val="single" w:sz="2" w:space="0" w:color="auto"/>
              <w:right w:val="single" w:sz="2" w:space="0" w:color="auto"/>
            </w:tcBorders>
          </w:tcPr>
          <w:p w14:paraId="42BC282B" w14:textId="77777777" w:rsidR="009F4766" w:rsidRPr="00DE12A3" w:rsidRDefault="009F4766" w:rsidP="00C917D6">
            <w:pPr>
              <w:pStyle w:val="NormalLeft"/>
            </w:pPr>
            <w:r w:rsidRPr="00DE12A3">
              <w:t>81</w:t>
            </w:r>
          </w:p>
        </w:tc>
        <w:tc>
          <w:tcPr>
            <w:tcW w:w="2551" w:type="dxa"/>
            <w:tcBorders>
              <w:top w:val="single" w:sz="2" w:space="0" w:color="auto"/>
              <w:left w:val="single" w:sz="2" w:space="0" w:color="auto"/>
              <w:bottom w:val="single" w:sz="2" w:space="0" w:color="auto"/>
              <w:right w:val="single" w:sz="2" w:space="0" w:color="auto"/>
            </w:tcBorders>
          </w:tcPr>
          <w:p w14:paraId="475DC586" w14:textId="77777777" w:rsidR="009F4766" w:rsidRPr="00DE12A3" w:rsidRDefault="009F4766" w:rsidP="00C917D6">
            <w:pPr>
              <w:pStyle w:val="NormalLeft"/>
            </w:pPr>
            <w:r w:rsidRPr="00DE12A3">
              <w:t>75</w:t>
            </w:r>
          </w:p>
        </w:tc>
      </w:tr>
      <w:tr w:rsidR="00DE12A3" w:rsidRPr="00DE12A3" w14:paraId="5AB12EB0" w14:textId="77777777" w:rsidTr="009F4766">
        <w:tc>
          <w:tcPr>
            <w:tcW w:w="1182" w:type="dxa"/>
            <w:tcBorders>
              <w:top w:val="single" w:sz="2" w:space="0" w:color="auto"/>
              <w:left w:val="single" w:sz="2" w:space="0" w:color="auto"/>
              <w:bottom w:val="single" w:sz="2" w:space="0" w:color="auto"/>
              <w:right w:val="single" w:sz="2" w:space="0" w:color="auto"/>
            </w:tcBorders>
          </w:tcPr>
          <w:p w14:paraId="177EC2DD" w14:textId="77777777" w:rsidR="009F4766" w:rsidRPr="00DE12A3" w:rsidRDefault="009F4766" w:rsidP="00C917D6">
            <w:pPr>
              <w:pStyle w:val="NormalLeft"/>
            </w:pPr>
            <w:r w:rsidRPr="00DE12A3">
              <w:t>249</w:t>
            </w:r>
          </w:p>
        </w:tc>
        <w:tc>
          <w:tcPr>
            <w:tcW w:w="2489" w:type="dxa"/>
            <w:tcBorders>
              <w:top w:val="single" w:sz="2" w:space="0" w:color="auto"/>
              <w:left w:val="single" w:sz="2" w:space="0" w:color="auto"/>
              <w:bottom w:val="single" w:sz="2" w:space="0" w:color="auto"/>
              <w:right w:val="single" w:sz="2" w:space="0" w:color="auto"/>
            </w:tcBorders>
          </w:tcPr>
          <w:p w14:paraId="75064743" w14:textId="77777777" w:rsidR="009F4766" w:rsidRPr="00DE12A3" w:rsidRDefault="009F4766" w:rsidP="00C917D6">
            <w:pPr>
              <w:pStyle w:val="NormalLeft"/>
            </w:pPr>
            <w:r w:rsidRPr="00DE12A3">
              <w:t>98</w:t>
            </w:r>
          </w:p>
        </w:tc>
        <w:tc>
          <w:tcPr>
            <w:tcW w:w="2551" w:type="dxa"/>
            <w:tcBorders>
              <w:top w:val="single" w:sz="2" w:space="0" w:color="auto"/>
              <w:left w:val="single" w:sz="2" w:space="0" w:color="auto"/>
              <w:bottom w:val="single" w:sz="2" w:space="0" w:color="auto"/>
              <w:right w:val="single" w:sz="2" w:space="0" w:color="auto"/>
            </w:tcBorders>
          </w:tcPr>
          <w:p w14:paraId="0CE8D146" w14:textId="77777777" w:rsidR="009F4766" w:rsidRPr="00DE12A3" w:rsidRDefault="009F4766" w:rsidP="00C917D6">
            <w:pPr>
              <w:pStyle w:val="NormalLeft"/>
            </w:pPr>
            <w:r w:rsidRPr="00DE12A3">
              <w:t>86</w:t>
            </w:r>
          </w:p>
        </w:tc>
      </w:tr>
      <w:tr w:rsidR="00DE12A3" w:rsidRPr="00DE12A3" w14:paraId="2BB283C3" w14:textId="77777777" w:rsidTr="009F4766">
        <w:tc>
          <w:tcPr>
            <w:tcW w:w="1182" w:type="dxa"/>
            <w:tcBorders>
              <w:top w:val="single" w:sz="2" w:space="0" w:color="auto"/>
              <w:left w:val="single" w:sz="2" w:space="0" w:color="auto"/>
              <w:bottom w:val="single" w:sz="2" w:space="0" w:color="auto"/>
              <w:right w:val="single" w:sz="2" w:space="0" w:color="auto"/>
            </w:tcBorders>
          </w:tcPr>
          <w:p w14:paraId="5A5901FC" w14:textId="77777777" w:rsidR="009F4766" w:rsidRPr="00DE12A3" w:rsidRDefault="009F4766" w:rsidP="00C917D6">
            <w:pPr>
              <w:pStyle w:val="NormalLeft"/>
            </w:pPr>
            <w:r w:rsidRPr="00DE12A3">
              <w:t>250</w:t>
            </w:r>
          </w:p>
        </w:tc>
        <w:tc>
          <w:tcPr>
            <w:tcW w:w="2489" w:type="dxa"/>
            <w:tcBorders>
              <w:top w:val="single" w:sz="2" w:space="0" w:color="auto"/>
              <w:left w:val="single" w:sz="2" w:space="0" w:color="auto"/>
              <w:bottom w:val="single" w:sz="2" w:space="0" w:color="auto"/>
              <w:right w:val="single" w:sz="2" w:space="0" w:color="auto"/>
            </w:tcBorders>
          </w:tcPr>
          <w:p w14:paraId="23ADF78A" w14:textId="77777777" w:rsidR="009F4766" w:rsidRPr="00DE12A3" w:rsidRDefault="009F4766" w:rsidP="00C917D6">
            <w:pPr>
              <w:pStyle w:val="NormalLeft"/>
            </w:pPr>
            <w:r w:rsidRPr="00DE12A3">
              <w:t>100</w:t>
            </w:r>
          </w:p>
        </w:tc>
        <w:tc>
          <w:tcPr>
            <w:tcW w:w="2551" w:type="dxa"/>
            <w:tcBorders>
              <w:top w:val="single" w:sz="2" w:space="0" w:color="auto"/>
              <w:left w:val="single" w:sz="2" w:space="0" w:color="auto"/>
              <w:bottom w:val="single" w:sz="2" w:space="0" w:color="auto"/>
              <w:right w:val="single" w:sz="2" w:space="0" w:color="auto"/>
            </w:tcBorders>
          </w:tcPr>
          <w:p w14:paraId="63FE3E8D" w14:textId="77777777" w:rsidR="009F4766" w:rsidRPr="00DE12A3" w:rsidRDefault="009F4766" w:rsidP="00C917D6">
            <w:pPr>
              <w:pStyle w:val="NormalLeft"/>
            </w:pPr>
            <w:r w:rsidRPr="00DE12A3">
              <w:t>76</w:t>
            </w:r>
          </w:p>
        </w:tc>
      </w:tr>
      <w:tr w:rsidR="00DE12A3" w:rsidRPr="00DE12A3" w14:paraId="379E45EA" w14:textId="77777777" w:rsidTr="009F4766">
        <w:tc>
          <w:tcPr>
            <w:tcW w:w="1182" w:type="dxa"/>
            <w:tcBorders>
              <w:top w:val="single" w:sz="2" w:space="0" w:color="auto"/>
              <w:left w:val="single" w:sz="2" w:space="0" w:color="auto"/>
              <w:bottom w:val="single" w:sz="2" w:space="0" w:color="auto"/>
              <w:right w:val="single" w:sz="2" w:space="0" w:color="auto"/>
            </w:tcBorders>
          </w:tcPr>
          <w:p w14:paraId="7A758FD3" w14:textId="77777777" w:rsidR="009F4766" w:rsidRPr="00DE12A3" w:rsidRDefault="009F4766" w:rsidP="00C917D6">
            <w:pPr>
              <w:pStyle w:val="NormalLeft"/>
            </w:pPr>
            <w:r w:rsidRPr="00DE12A3">
              <w:t>251</w:t>
            </w:r>
          </w:p>
        </w:tc>
        <w:tc>
          <w:tcPr>
            <w:tcW w:w="2489" w:type="dxa"/>
            <w:tcBorders>
              <w:top w:val="single" w:sz="2" w:space="0" w:color="auto"/>
              <w:left w:val="single" w:sz="2" w:space="0" w:color="auto"/>
              <w:bottom w:val="single" w:sz="2" w:space="0" w:color="auto"/>
              <w:right w:val="single" w:sz="2" w:space="0" w:color="auto"/>
            </w:tcBorders>
          </w:tcPr>
          <w:p w14:paraId="0B1B9681" w14:textId="77777777" w:rsidR="009F4766" w:rsidRPr="00DE12A3" w:rsidRDefault="009F4766" w:rsidP="00C917D6">
            <w:pPr>
              <w:pStyle w:val="NormalLeft"/>
            </w:pPr>
            <w:r w:rsidRPr="00DE12A3">
              <w:t>100</w:t>
            </w:r>
          </w:p>
        </w:tc>
        <w:tc>
          <w:tcPr>
            <w:tcW w:w="2551" w:type="dxa"/>
            <w:tcBorders>
              <w:top w:val="single" w:sz="2" w:space="0" w:color="auto"/>
              <w:left w:val="single" w:sz="2" w:space="0" w:color="auto"/>
              <w:bottom w:val="single" w:sz="2" w:space="0" w:color="auto"/>
              <w:right w:val="single" w:sz="2" w:space="0" w:color="auto"/>
            </w:tcBorders>
          </w:tcPr>
          <w:p w14:paraId="3C69884A" w14:textId="77777777" w:rsidR="009F4766" w:rsidRPr="00DE12A3" w:rsidRDefault="009F4766" w:rsidP="00C917D6">
            <w:pPr>
              <w:pStyle w:val="NormalLeft"/>
            </w:pPr>
            <w:r w:rsidRPr="00DE12A3">
              <w:t>51</w:t>
            </w:r>
          </w:p>
        </w:tc>
      </w:tr>
      <w:tr w:rsidR="00DE12A3" w:rsidRPr="00DE12A3" w14:paraId="0A3A031E" w14:textId="77777777" w:rsidTr="009F4766">
        <w:tc>
          <w:tcPr>
            <w:tcW w:w="1182" w:type="dxa"/>
            <w:tcBorders>
              <w:top w:val="single" w:sz="2" w:space="0" w:color="auto"/>
              <w:left w:val="single" w:sz="2" w:space="0" w:color="auto"/>
              <w:bottom w:val="single" w:sz="2" w:space="0" w:color="auto"/>
              <w:right w:val="single" w:sz="2" w:space="0" w:color="auto"/>
            </w:tcBorders>
          </w:tcPr>
          <w:p w14:paraId="4DED0357" w14:textId="77777777" w:rsidR="009F4766" w:rsidRPr="00DE12A3" w:rsidRDefault="009F4766" w:rsidP="00C917D6">
            <w:pPr>
              <w:pStyle w:val="NormalLeft"/>
            </w:pPr>
            <w:r w:rsidRPr="00DE12A3">
              <w:t>252</w:t>
            </w:r>
          </w:p>
        </w:tc>
        <w:tc>
          <w:tcPr>
            <w:tcW w:w="2489" w:type="dxa"/>
            <w:tcBorders>
              <w:top w:val="single" w:sz="2" w:space="0" w:color="auto"/>
              <w:left w:val="single" w:sz="2" w:space="0" w:color="auto"/>
              <w:bottom w:val="single" w:sz="2" w:space="0" w:color="auto"/>
              <w:right w:val="single" w:sz="2" w:space="0" w:color="auto"/>
            </w:tcBorders>
          </w:tcPr>
          <w:p w14:paraId="18A5F893" w14:textId="77777777" w:rsidR="009F4766" w:rsidRPr="00DE12A3" w:rsidRDefault="009F4766" w:rsidP="00C917D6">
            <w:pPr>
              <w:pStyle w:val="NormalLeft"/>
            </w:pPr>
            <w:r w:rsidRPr="00DE12A3">
              <w:t>100</w:t>
            </w:r>
          </w:p>
        </w:tc>
        <w:tc>
          <w:tcPr>
            <w:tcW w:w="2551" w:type="dxa"/>
            <w:tcBorders>
              <w:top w:val="single" w:sz="2" w:space="0" w:color="auto"/>
              <w:left w:val="single" w:sz="2" w:space="0" w:color="auto"/>
              <w:bottom w:val="single" w:sz="2" w:space="0" w:color="auto"/>
              <w:right w:val="single" w:sz="2" w:space="0" w:color="auto"/>
            </w:tcBorders>
          </w:tcPr>
          <w:p w14:paraId="323DDC52" w14:textId="77777777" w:rsidR="009F4766" w:rsidRPr="00DE12A3" w:rsidRDefault="009F4766" w:rsidP="00C917D6">
            <w:pPr>
              <w:pStyle w:val="NormalLeft"/>
            </w:pPr>
            <w:r w:rsidRPr="00DE12A3">
              <w:t>78</w:t>
            </w:r>
          </w:p>
        </w:tc>
      </w:tr>
      <w:tr w:rsidR="00DE12A3" w:rsidRPr="00DE12A3" w14:paraId="5FBE1942" w14:textId="77777777" w:rsidTr="009F4766">
        <w:tc>
          <w:tcPr>
            <w:tcW w:w="1182" w:type="dxa"/>
            <w:tcBorders>
              <w:top w:val="single" w:sz="2" w:space="0" w:color="auto"/>
              <w:left w:val="single" w:sz="2" w:space="0" w:color="auto"/>
              <w:bottom w:val="single" w:sz="2" w:space="0" w:color="auto"/>
              <w:right w:val="single" w:sz="2" w:space="0" w:color="auto"/>
            </w:tcBorders>
          </w:tcPr>
          <w:p w14:paraId="6E965AC1" w14:textId="77777777" w:rsidR="009F4766" w:rsidRPr="00DE12A3" w:rsidRDefault="009F4766" w:rsidP="00C917D6">
            <w:pPr>
              <w:pStyle w:val="NormalLeft"/>
            </w:pPr>
            <w:r w:rsidRPr="00DE12A3">
              <w:t>253</w:t>
            </w:r>
          </w:p>
        </w:tc>
        <w:tc>
          <w:tcPr>
            <w:tcW w:w="2489" w:type="dxa"/>
            <w:tcBorders>
              <w:top w:val="single" w:sz="2" w:space="0" w:color="auto"/>
              <w:left w:val="single" w:sz="2" w:space="0" w:color="auto"/>
              <w:bottom w:val="single" w:sz="2" w:space="0" w:color="auto"/>
              <w:right w:val="single" w:sz="2" w:space="0" w:color="auto"/>
            </w:tcBorders>
          </w:tcPr>
          <w:p w14:paraId="19249B8C" w14:textId="77777777" w:rsidR="009F4766" w:rsidRPr="00DE12A3" w:rsidRDefault="009F4766" w:rsidP="00C917D6">
            <w:pPr>
              <w:pStyle w:val="NormalLeft"/>
            </w:pPr>
            <w:r w:rsidRPr="00DE12A3">
              <w:t>100</w:t>
            </w:r>
          </w:p>
        </w:tc>
        <w:tc>
          <w:tcPr>
            <w:tcW w:w="2551" w:type="dxa"/>
            <w:tcBorders>
              <w:top w:val="single" w:sz="2" w:space="0" w:color="auto"/>
              <w:left w:val="single" w:sz="2" w:space="0" w:color="auto"/>
              <w:bottom w:val="single" w:sz="2" w:space="0" w:color="auto"/>
              <w:right w:val="single" w:sz="2" w:space="0" w:color="auto"/>
            </w:tcBorders>
          </w:tcPr>
          <w:p w14:paraId="2C700009" w14:textId="77777777" w:rsidR="009F4766" w:rsidRPr="00DE12A3" w:rsidRDefault="009F4766" w:rsidP="00C917D6">
            <w:pPr>
              <w:pStyle w:val="NormalLeft"/>
            </w:pPr>
            <w:r w:rsidRPr="00DE12A3">
              <w:t>83</w:t>
            </w:r>
          </w:p>
        </w:tc>
      </w:tr>
      <w:tr w:rsidR="00DE12A3" w:rsidRPr="00DE12A3" w14:paraId="73EA0E53" w14:textId="77777777" w:rsidTr="009F4766">
        <w:tc>
          <w:tcPr>
            <w:tcW w:w="1182" w:type="dxa"/>
            <w:tcBorders>
              <w:top w:val="single" w:sz="2" w:space="0" w:color="auto"/>
              <w:left w:val="single" w:sz="2" w:space="0" w:color="auto"/>
              <w:bottom w:val="single" w:sz="2" w:space="0" w:color="auto"/>
              <w:right w:val="single" w:sz="2" w:space="0" w:color="auto"/>
            </w:tcBorders>
          </w:tcPr>
          <w:p w14:paraId="1ADBD777" w14:textId="77777777" w:rsidR="009F4766" w:rsidRPr="00DE12A3" w:rsidRDefault="009F4766" w:rsidP="00C917D6">
            <w:pPr>
              <w:pStyle w:val="NormalLeft"/>
            </w:pPr>
            <w:r w:rsidRPr="00DE12A3">
              <w:t>254</w:t>
            </w:r>
          </w:p>
        </w:tc>
        <w:tc>
          <w:tcPr>
            <w:tcW w:w="2489" w:type="dxa"/>
            <w:tcBorders>
              <w:top w:val="single" w:sz="2" w:space="0" w:color="auto"/>
              <w:left w:val="single" w:sz="2" w:space="0" w:color="auto"/>
              <w:bottom w:val="single" w:sz="2" w:space="0" w:color="auto"/>
              <w:right w:val="single" w:sz="2" w:space="0" w:color="auto"/>
            </w:tcBorders>
          </w:tcPr>
          <w:p w14:paraId="7EE5A593" w14:textId="77777777" w:rsidR="009F4766" w:rsidRPr="00DE12A3" w:rsidRDefault="009F4766" w:rsidP="00C917D6">
            <w:pPr>
              <w:pStyle w:val="NormalLeft"/>
            </w:pPr>
            <w:r w:rsidRPr="00DE12A3">
              <w:t>100</w:t>
            </w:r>
          </w:p>
        </w:tc>
        <w:tc>
          <w:tcPr>
            <w:tcW w:w="2551" w:type="dxa"/>
            <w:tcBorders>
              <w:top w:val="single" w:sz="2" w:space="0" w:color="auto"/>
              <w:left w:val="single" w:sz="2" w:space="0" w:color="auto"/>
              <w:bottom w:val="single" w:sz="2" w:space="0" w:color="auto"/>
              <w:right w:val="single" w:sz="2" w:space="0" w:color="auto"/>
            </w:tcBorders>
          </w:tcPr>
          <w:p w14:paraId="4B0E0531" w14:textId="77777777" w:rsidR="009F4766" w:rsidRPr="00DE12A3" w:rsidRDefault="009F4766" w:rsidP="00C917D6">
            <w:pPr>
              <w:pStyle w:val="NormalLeft"/>
            </w:pPr>
            <w:r w:rsidRPr="00DE12A3">
              <w:t>100</w:t>
            </w:r>
          </w:p>
        </w:tc>
      </w:tr>
      <w:tr w:rsidR="00DE12A3" w:rsidRPr="00DE12A3" w14:paraId="568363E1" w14:textId="77777777" w:rsidTr="009F4766">
        <w:tc>
          <w:tcPr>
            <w:tcW w:w="1182" w:type="dxa"/>
            <w:tcBorders>
              <w:top w:val="single" w:sz="2" w:space="0" w:color="auto"/>
              <w:left w:val="single" w:sz="2" w:space="0" w:color="auto"/>
              <w:bottom w:val="single" w:sz="2" w:space="0" w:color="auto"/>
              <w:right w:val="single" w:sz="2" w:space="0" w:color="auto"/>
            </w:tcBorders>
          </w:tcPr>
          <w:p w14:paraId="75348B12" w14:textId="77777777" w:rsidR="009F4766" w:rsidRPr="00DE12A3" w:rsidRDefault="009F4766" w:rsidP="00C917D6">
            <w:pPr>
              <w:pStyle w:val="NormalLeft"/>
            </w:pPr>
            <w:r w:rsidRPr="00DE12A3">
              <w:t>255</w:t>
            </w:r>
          </w:p>
        </w:tc>
        <w:tc>
          <w:tcPr>
            <w:tcW w:w="2489" w:type="dxa"/>
            <w:tcBorders>
              <w:top w:val="single" w:sz="2" w:space="0" w:color="auto"/>
              <w:left w:val="single" w:sz="2" w:space="0" w:color="auto"/>
              <w:bottom w:val="single" w:sz="2" w:space="0" w:color="auto"/>
              <w:right w:val="single" w:sz="2" w:space="0" w:color="auto"/>
            </w:tcBorders>
          </w:tcPr>
          <w:p w14:paraId="7BC83ABB" w14:textId="77777777" w:rsidR="009F4766" w:rsidRPr="00DE12A3" w:rsidRDefault="009F4766" w:rsidP="00C917D6">
            <w:pPr>
              <w:pStyle w:val="NormalLeft"/>
            </w:pPr>
            <w:r w:rsidRPr="00DE12A3">
              <w:t>100</w:t>
            </w:r>
          </w:p>
        </w:tc>
        <w:tc>
          <w:tcPr>
            <w:tcW w:w="2551" w:type="dxa"/>
            <w:tcBorders>
              <w:top w:val="single" w:sz="2" w:space="0" w:color="auto"/>
              <w:left w:val="single" w:sz="2" w:space="0" w:color="auto"/>
              <w:bottom w:val="single" w:sz="2" w:space="0" w:color="auto"/>
              <w:right w:val="single" w:sz="2" w:space="0" w:color="auto"/>
            </w:tcBorders>
          </w:tcPr>
          <w:p w14:paraId="4B820840" w14:textId="77777777" w:rsidR="009F4766" w:rsidRPr="00DE12A3" w:rsidRDefault="009F4766" w:rsidP="00C917D6">
            <w:pPr>
              <w:pStyle w:val="NormalLeft"/>
            </w:pPr>
            <w:r w:rsidRPr="00DE12A3">
              <w:t>66</w:t>
            </w:r>
          </w:p>
        </w:tc>
      </w:tr>
      <w:tr w:rsidR="00DE12A3" w:rsidRPr="00DE12A3" w14:paraId="2B41709D" w14:textId="77777777" w:rsidTr="009F4766">
        <w:tc>
          <w:tcPr>
            <w:tcW w:w="1182" w:type="dxa"/>
            <w:tcBorders>
              <w:top w:val="single" w:sz="2" w:space="0" w:color="auto"/>
              <w:left w:val="single" w:sz="2" w:space="0" w:color="auto"/>
              <w:bottom w:val="single" w:sz="2" w:space="0" w:color="auto"/>
              <w:right w:val="single" w:sz="2" w:space="0" w:color="auto"/>
            </w:tcBorders>
          </w:tcPr>
          <w:p w14:paraId="099B8668" w14:textId="77777777" w:rsidR="009F4766" w:rsidRPr="00DE12A3" w:rsidRDefault="009F4766" w:rsidP="00C917D6">
            <w:pPr>
              <w:pStyle w:val="NormalLeft"/>
            </w:pPr>
            <w:r w:rsidRPr="00DE12A3">
              <w:t>256</w:t>
            </w:r>
          </w:p>
        </w:tc>
        <w:tc>
          <w:tcPr>
            <w:tcW w:w="2489" w:type="dxa"/>
            <w:tcBorders>
              <w:top w:val="single" w:sz="2" w:space="0" w:color="auto"/>
              <w:left w:val="single" w:sz="2" w:space="0" w:color="auto"/>
              <w:bottom w:val="single" w:sz="2" w:space="0" w:color="auto"/>
              <w:right w:val="single" w:sz="2" w:space="0" w:color="auto"/>
            </w:tcBorders>
          </w:tcPr>
          <w:p w14:paraId="2E800B30" w14:textId="77777777" w:rsidR="009F4766" w:rsidRPr="00DE12A3" w:rsidRDefault="009F4766" w:rsidP="00C917D6">
            <w:pPr>
              <w:pStyle w:val="NormalLeft"/>
            </w:pPr>
            <w:r w:rsidRPr="00DE12A3">
              <w:t>100</w:t>
            </w:r>
          </w:p>
        </w:tc>
        <w:tc>
          <w:tcPr>
            <w:tcW w:w="2551" w:type="dxa"/>
            <w:tcBorders>
              <w:top w:val="single" w:sz="2" w:space="0" w:color="auto"/>
              <w:left w:val="single" w:sz="2" w:space="0" w:color="auto"/>
              <w:bottom w:val="single" w:sz="2" w:space="0" w:color="auto"/>
              <w:right w:val="single" w:sz="2" w:space="0" w:color="auto"/>
            </w:tcBorders>
          </w:tcPr>
          <w:p w14:paraId="013A0E40" w14:textId="77777777" w:rsidR="009F4766" w:rsidRPr="00DE12A3" w:rsidRDefault="009F4766" w:rsidP="00C917D6">
            <w:pPr>
              <w:pStyle w:val="NormalLeft"/>
            </w:pPr>
            <w:r w:rsidRPr="00DE12A3">
              <w:t>85</w:t>
            </w:r>
          </w:p>
        </w:tc>
      </w:tr>
      <w:tr w:rsidR="00DE12A3" w:rsidRPr="00DE12A3" w14:paraId="3F49F4FE" w14:textId="77777777" w:rsidTr="009F4766">
        <w:tc>
          <w:tcPr>
            <w:tcW w:w="1182" w:type="dxa"/>
            <w:tcBorders>
              <w:top w:val="single" w:sz="2" w:space="0" w:color="auto"/>
              <w:left w:val="single" w:sz="2" w:space="0" w:color="auto"/>
              <w:bottom w:val="single" w:sz="2" w:space="0" w:color="auto"/>
              <w:right w:val="single" w:sz="2" w:space="0" w:color="auto"/>
            </w:tcBorders>
          </w:tcPr>
          <w:p w14:paraId="0889F5D4" w14:textId="77777777" w:rsidR="009F4766" w:rsidRPr="00DE12A3" w:rsidRDefault="009F4766" w:rsidP="00C917D6">
            <w:pPr>
              <w:pStyle w:val="NormalLeft"/>
            </w:pPr>
            <w:r w:rsidRPr="00DE12A3">
              <w:t>257</w:t>
            </w:r>
          </w:p>
        </w:tc>
        <w:tc>
          <w:tcPr>
            <w:tcW w:w="2489" w:type="dxa"/>
            <w:tcBorders>
              <w:top w:val="single" w:sz="2" w:space="0" w:color="auto"/>
              <w:left w:val="single" w:sz="2" w:space="0" w:color="auto"/>
              <w:bottom w:val="single" w:sz="2" w:space="0" w:color="auto"/>
              <w:right w:val="single" w:sz="2" w:space="0" w:color="auto"/>
            </w:tcBorders>
          </w:tcPr>
          <w:p w14:paraId="2FA88D3C" w14:textId="77777777" w:rsidR="009F4766" w:rsidRPr="00DE12A3" w:rsidRDefault="009F4766" w:rsidP="00C917D6">
            <w:pPr>
              <w:pStyle w:val="NormalLeft"/>
            </w:pPr>
            <w:r w:rsidRPr="00DE12A3">
              <w:t>100</w:t>
            </w:r>
          </w:p>
        </w:tc>
        <w:tc>
          <w:tcPr>
            <w:tcW w:w="2551" w:type="dxa"/>
            <w:tcBorders>
              <w:top w:val="single" w:sz="2" w:space="0" w:color="auto"/>
              <w:left w:val="single" w:sz="2" w:space="0" w:color="auto"/>
              <w:bottom w:val="single" w:sz="2" w:space="0" w:color="auto"/>
              <w:right w:val="single" w:sz="2" w:space="0" w:color="auto"/>
            </w:tcBorders>
          </w:tcPr>
          <w:p w14:paraId="703F165E" w14:textId="77777777" w:rsidR="009F4766" w:rsidRPr="00DE12A3" w:rsidRDefault="009F4766" w:rsidP="00C917D6">
            <w:pPr>
              <w:pStyle w:val="NormalLeft"/>
            </w:pPr>
            <w:r w:rsidRPr="00DE12A3">
              <w:t>72</w:t>
            </w:r>
          </w:p>
        </w:tc>
      </w:tr>
      <w:tr w:rsidR="00DE12A3" w:rsidRPr="00DE12A3" w14:paraId="3141868E" w14:textId="77777777" w:rsidTr="009F4766">
        <w:tc>
          <w:tcPr>
            <w:tcW w:w="1182" w:type="dxa"/>
            <w:tcBorders>
              <w:top w:val="single" w:sz="2" w:space="0" w:color="auto"/>
              <w:left w:val="single" w:sz="2" w:space="0" w:color="auto"/>
              <w:bottom w:val="single" w:sz="2" w:space="0" w:color="auto"/>
              <w:right w:val="single" w:sz="2" w:space="0" w:color="auto"/>
            </w:tcBorders>
          </w:tcPr>
          <w:p w14:paraId="1348989B" w14:textId="77777777" w:rsidR="009F4766" w:rsidRPr="00DE12A3" w:rsidRDefault="009F4766" w:rsidP="00C917D6">
            <w:pPr>
              <w:pStyle w:val="NormalLeft"/>
            </w:pPr>
            <w:r w:rsidRPr="00DE12A3">
              <w:t>258</w:t>
            </w:r>
          </w:p>
        </w:tc>
        <w:tc>
          <w:tcPr>
            <w:tcW w:w="2489" w:type="dxa"/>
            <w:tcBorders>
              <w:top w:val="single" w:sz="2" w:space="0" w:color="auto"/>
              <w:left w:val="single" w:sz="2" w:space="0" w:color="auto"/>
              <w:bottom w:val="single" w:sz="2" w:space="0" w:color="auto"/>
              <w:right w:val="single" w:sz="2" w:space="0" w:color="auto"/>
            </w:tcBorders>
          </w:tcPr>
          <w:p w14:paraId="63132E19" w14:textId="77777777" w:rsidR="009F4766" w:rsidRPr="00DE12A3" w:rsidRDefault="009F4766" w:rsidP="00C917D6">
            <w:pPr>
              <w:pStyle w:val="NormalLeft"/>
            </w:pPr>
            <w:r w:rsidRPr="00DE12A3">
              <w:t>100</w:t>
            </w:r>
          </w:p>
        </w:tc>
        <w:tc>
          <w:tcPr>
            <w:tcW w:w="2551" w:type="dxa"/>
            <w:tcBorders>
              <w:top w:val="single" w:sz="2" w:space="0" w:color="auto"/>
              <w:left w:val="single" w:sz="2" w:space="0" w:color="auto"/>
              <w:bottom w:val="single" w:sz="2" w:space="0" w:color="auto"/>
              <w:right w:val="single" w:sz="2" w:space="0" w:color="auto"/>
            </w:tcBorders>
          </w:tcPr>
          <w:p w14:paraId="71DC7355" w14:textId="77777777" w:rsidR="009F4766" w:rsidRPr="00DE12A3" w:rsidRDefault="009F4766" w:rsidP="00C917D6">
            <w:pPr>
              <w:pStyle w:val="NormalLeft"/>
            </w:pPr>
            <w:r w:rsidRPr="00DE12A3">
              <w:t>45</w:t>
            </w:r>
          </w:p>
        </w:tc>
      </w:tr>
      <w:tr w:rsidR="00DE12A3" w:rsidRPr="00DE12A3" w14:paraId="12D15A06" w14:textId="77777777" w:rsidTr="009F4766">
        <w:tc>
          <w:tcPr>
            <w:tcW w:w="1182" w:type="dxa"/>
            <w:tcBorders>
              <w:top w:val="single" w:sz="2" w:space="0" w:color="auto"/>
              <w:left w:val="single" w:sz="2" w:space="0" w:color="auto"/>
              <w:bottom w:val="single" w:sz="2" w:space="0" w:color="auto"/>
              <w:right w:val="single" w:sz="2" w:space="0" w:color="auto"/>
            </w:tcBorders>
          </w:tcPr>
          <w:p w14:paraId="39D3C709" w14:textId="77777777" w:rsidR="009F4766" w:rsidRPr="00DE12A3" w:rsidRDefault="009F4766" w:rsidP="00C917D6">
            <w:pPr>
              <w:pStyle w:val="NormalLeft"/>
            </w:pPr>
            <w:r w:rsidRPr="00DE12A3">
              <w:t>259</w:t>
            </w:r>
          </w:p>
        </w:tc>
        <w:tc>
          <w:tcPr>
            <w:tcW w:w="2489" w:type="dxa"/>
            <w:tcBorders>
              <w:top w:val="single" w:sz="2" w:space="0" w:color="auto"/>
              <w:left w:val="single" w:sz="2" w:space="0" w:color="auto"/>
              <w:bottom w:val="single" w:sz="2" w:space="0" w:color="auto"/>
              <w:right w:val="single" w:sz="2" w:space="0" w:color="auto"/>
            </w:tcBorders>
          </w:tcPr>
          <w:p w14:paraId="0C8768C2" w14:textId="77777777" w:rsidR="009F4766" w:rsidRPr="00DE12A3" w:rsidRDefault="009F4766" w:rsidP="00C917D6">
            <w:pPr>
              <w:pStyle w:val="NormalLeft"/>
            </w:pPr>
            <w:r w:rsidRPr="00DE12A3">
              <w:t>98</w:t>
            </w:r>
          </w:p>
        </w:tc>
        <w:tc>
          <w:tcPr>
            <w:tcW w:w="2551" w:type="dxa"/>
            <w:tcBorders>
              <w:top w:val="single" w:sz="2" w:space="0" w:color="auto"/>
              <w:left w:val="single" w:sz="2" w:space="0" w:color="auto"/>
              <w:bottom w:val="single" w:sz="2" w:space="0" w:color="auto"/>
              <w:right w:val="single" w:sz="2" w:space="0" w:color="auto"/>
            </w:tcBorders>
          </w:tcPr>
          <w:p w14:paraId="41CA8EB4" w14:textId="77777777" w:rsidR="009F4766" w:rsidRPr="00DE12A3" w:rsidRDefault="009F4766" w:rsidP="00C917D6">
            <w:pPr>
              <w:pStyle w:val="NormalLeft"/>
            </w:pPr>
            <w:r w:rsidRPr="00DE12A3">
              <w:t>58</w:t>
            </w:r>
          </w:p>
        </w:tc>
      </w:tr>
      <w:tr w:rsidR="00DE12A3" w:rsidRPr="00DE12A3" w14:paraId="49F72D09" w14:textId="77777777" w:rsidTr="009F4766">
        <w:tc>
          <w:tcPr>
            <w:tcW w:w="1182" w:type="dxa"/>
            <w:tcBorders>
              <w:top w:val="single" w:sz="2" w:space="0" w:color="auto"/>
              <w:left w:val="single" w:sz="2" w:space="0" w:color="auto"/>
              <w:bottom w:val="single" w:sz="2" w:space="0" w:color="auto"/>
              <w:right w:val="single" w:sz="2" w:space="0" w:color="auto"/>
            </w:tcBorders>
          </w:tcPr>
          <w:p w14:paraId="0477485D" w14:textId="77777777" w:rsidR="009F4766" w:rsidRPr="00DE12A3" w:rsidRDefault="009F4766" w:rsidP="00C917D6">
            <w:pPr>
              <w:pStyle w:val="NormalLeft"/>
            </w:pPr>
            <w:r w:rsidRPr="00DE12A3">
              <w:t>260</w:t>
            </w:r>
          </w:p>
        </w:tc>
        <w:tc>
          <w:tcPr>
            <w:tcW w:w="2489" w:type="dxa"/>
            <w:tcBorders>
              <w:top w:val="single" w:sz="2" w:space="0" w:color="auto"/>
              <w:left w:val="single" w:sz="2" w:space="0" w:color="auto"/>
              <w:bottom w:val="single" w:sz="2" w:space="0" w:color="auto"/>
              <w:right w:val="single" w:sz="2" w:space="0" w:color="auto"/>
            </w:tcBorders>
          </w:tcPr>
          <w:p w14:paraId="6F1FC364" w14:textId="77777777" w:rsidR="009F4766" w:rsidRPr="00DE12A3" w:rsidRDefault="009F4766" w:rsidP="00C917D6">
            <w:pPr>
              <w:pStyle w:val="NormalLeft"/>
            </w:pPr>
            <w:r w:rsidRPr="00DE12A3">
              <w:t>60</w:t>
            </w:r>
          </w:p>
        </w:tc>
        <w:tc>
          <w:tcPr>
            <w:tcW w:w="2551" w:type="dxa"/>
            <w:tcBorders>
              <w:top w:val="single" w:sz="2" w:space="0" w:color="auto"/>
              <w:left w:val="single" w:sz="2" w:space="0" w:color="auto"/>
              <w:bottom w:val="single" w:sz="2" w:space="0" w:color="auto"/>
              <w:right w:val="single" w:sz="2" w:space="0" w:color="auto"/>
            </w:tcBorders>
          </w:tcPr>
          <w:p w14:paraId="3097C898" w14:textId="77777777" w:rsidR="009F4766" w:rsidRPr="00DE12A3" w:rsidRDefault="009F4766" w:rsidP="00C917D6">
            <w:pPr>
              <w:pStyle w:val="NormalLeft"/>
            </w:pPr>
            <w:r w:rsidRPr="00DE12A3">
              <w:t>30</w:t>
            </w:r>
          </w:p>
        </w:tc>
      </w:tr>
      <w:tr w:rsidR="00DE12A3" w:rsidRPr="00DE12A3" w14:paraId="640158F0" w14:textId="77777777" w:rsidTr="009F4766">
        <w:tc>
          <w:tcPr>
            <w:tcW w:w="1182" w:type="dxa"/>
            <w:tcBorders>
              <w:top w:val="single" w:sz="2" w:space="0" w:color="auto"/>
              <w:left w:val="single" w:sz="2" w:space="0" w:color="auto"/>
              <w:bottom w:val="single" w:sz="2" w:space="0" w:color="auto"/>
              <w:right w:val="single" w:sz="2" w:space="0" w:color="auto"/>
            </w:tcBorders>
          </w:tcPr>
          <w:p w14:paraId="2A87867E" w14:textId="77777777" w:rsidR="009F4766" w:rsidRPr="00DE12A3" w:rsidRDefault="009F4766" w:rsidP="00C917D6">
            <w:pPr>
              <w:pStyle w:val="NormalLeft"/>
            </w:pPr>
            <w:r w:rsidRPr="00DE12A3">
              <w:t>261</w:t>
            </w:r>
          </w:p>
        </w:tc>
        <w:tc>
          <w:tcPr>
            <w:tcW w:w="2489" w:type="dxa"/>
            <w:tcBorders>
              <w:top w:val="single" w:sz="2" w:space="0" w:color="auto"/>
              <w:left w:val="single" w:sz="2" w:space="0" w:color="auto"/>
              <w:bottom w:val="single" w:sz="2" w:space="0" w:color="auto"/>
              <w:right w:val="single" w:sz="2" w:space="0" w:color="auto"/>
            </w:tcBorders>
          </w:tcPr>
          <w:p w14:paraId="2C3F498B" w14:textId="77777777" w:rsidR="009F4766" w:rsidRPr="00DE12A3" w:rsidRDefault="009F4766" w:rsidP="00C917D6">
            <w:pPr>
              <w:pStyle w:val="NormalLeft"/>
            </w:pPr>
            <w:r w:rsidRPr="00DE12A3">
              <w:t>43</w:t>
            </w:r>
          </w:p>
        </w:tc>
        <w:tc>
          <w:tcPr>
            <w:tcW w:w="2551" w:type="dxa"/>
            <w:tcBorders>
              <w:top w:val="single" w:sz="2" w:space="0" w:color="auto"/>
              <w:left w:val="single" w:sz="2" w:space="0" w:color="auto"/>
              <w:bottom w:val="single" w:sz="2" w:space="0" w:color="auto"/>
              <w:right w:val="single" w:sz="2" w:space="0" w:color="auto"/>
            </w:tcBorders>
          </w:tcPr>
          <w:p w14:paraId="12F53510" w14:textId="77777777" w:rsidR="009F4766" w:rsidRPr="00DE12A3" w:rsidRDefault="009F4766" w:rsidP="00C917D6">
            <w:pPr>
              <w:pStyle w:val="NormalLeft"/>
            </w:pPr>
            <w:r w:rsidRPr="00DE12A3">
              <w:t>32</w:t>
            </w:r>
          </w:p>
        </w:tc>
      </w:tr>
      <w:tr w:rsidR="00DE12A3" w:rsidRPr="00DE12A3" w14:paraId="37B3A679" w14:textId="77777777" w:rsidTr="009F4766">
        <w:tc>
          <w:tcPr>
            <w:tcW w:w="1182" w:type="dxa"/>
            <w:tcBorders>
              <w:top w:val="single" w:sz="2" w:space="0" w:color="auto"/>
              <w:left w:val="single" w:sz="2" w:space="0" w:color="auto"/>
              <w:bottom w:val="single" w:sz="2" w:space="0" w:color="auto"/>
              <w:right w:val="single" w:sz="2" w:space="0" w:color="auto"/>
            </w:tcBorders>
          </w:tcPr>
          <w:p w14:paraId="22BDDCE2" w14:textId="77777777" w:rsidR="009F4766" w:rsidRPr="00DE12A3" w:rsidRDefault="009F4766" w:rsidP="00C917D6">
            <w:pPr>
              <w:pStyle w:val="NormalLeft"/>
            </w:pPr>
            <w:r w:rsidRPr="00DE12A3">
              <w:t>262</w:t>
            </w:r>
          </w:p>
        </w:tc>
        <w:tc>
          <w:tcPr>
            <w:tcW w:w="2489" w:type="dxa"/>
            <w:tcBorders>
              <w:top w:val="single" w:sz="2" w:space="0" w:color="auto"/>
              <w:left w:val="single" w:sz="2" w:space="0" w:color="auto"/>
              <w:bottom w:val="single" w:sz="2" w:space="0" w:color="auto"/>
              <w:right w:val="single" w:sz="2" w:space="0" w:color="auto"/>
            </w:tcBorders>
          </w:tcPr>
          <w:p w14:paraId="68CFA0F1" w14:textId="77777777" w:rsidR="009F4766" w:rsidRPr="00DE12A3" w:rsidRDefault="009F4766" w:rsidP="00C917D6">
            <w:pPr>
              <w:pStyle w:val="NormalLeft"/>
            </w:pPr>
            <w:r w:rsidRPr="00DE12A3">
              <w:t>71</w:t>
            </w:r>
          </w:p>
        </w:tc>
        <w:tc>
          <w:tcPr>
            <w:tcW w:w="2551" w:type="dxa"/>
            <w:tcBorders>
              <w:top w:val="single" w:sz="2" w:space="0" w:color="auto"/>
              <w:left w:val="single" w:sz="2" w:space="0" w:color="auto"/>
              <w:bottom w:val="single" w:sz="2" w:space="0" w:color="auto"/>
              <w:right w:val="single" w:sz="2" w:space="0" w:color="auto"/>
            </w:tcBorders>
          </w:tcPr>
          <w:p w14:paraId="005E2B66" w14:textId="77777777" w:rsidR="009F4766" w:rsidRPr="00DE12A3" w:rsidRDefault="009F4766" w:rsidP="00C917D6">
            <w:pPr>
              <w:pStyle w:val="NormalLeft"/>
            </w:pPr>
            <w:r w:rsidRPr="00DE12A3">
              <w:t>36</w:t>
            </w:r>
          </w:p>
        </w:tc>
      </w:tr>
      <w:tr w:rsidR="00DE12A3" w:rsidRPr="00DE12A3" w14:paraId="4F14569D" w14:textId="77777777" w:rsidTr="009F4766">
        <w:tc>
          <w:tcPr>
            <w:tcW w:w="1182" w:type="dxa"/>
            <w:tcBorders>
              <w:top w:val="single" w:sz="2" w:space="0" w:color="auto"/>
              <w:left w:val="single" w:sz="2" w:space="0" w:color="auto"/>
              <w:bottom w:val="single" w:sz="2" w:space="0" w:color="auto"/>
              <w:right w:val="single" w:sz="2" w:space="0" w:color="auto"/>
            </w:tcBorders>
          </w:tcPr>
          <w:p w14:paraId="02062F34" w14:textId="77777777" w:rsidR="009F4766" w:rsidRPr="00DE12A3" w:rsidRDefault="009F4766" w:rsidP="00C917D6">
            <w:pPr>
              <w:pStyle w:val="NormalLeft"/>
            </w:pPr>
            <w:r w:rsidRPr="00DE12A3">
              <w:t>263</w:t>
            </w:r>
          </w:p>
        </w:tc>
        <w:tc>
          <w:tcPr>
            <w:tcW w:w="2489" w:type="dxa"/>
            <w:tcBorders>
              <w:top w:val="single" w:sz="2" w:space="0" w:color="auto"/>
              <w:left w:val="single" w:sz="2" w:space="0" w:color="auto"/>
              <w:bottom w:val="single" w:sz="2" w:space="0" w:color="auto"/>
              <w:right w:val="single" w:sz="2" w:space="0" w:color="auto"/>
            </w:tcBorders>
          </w:tcPr>
          <w:p w14:paraId="424D8514" w14:textId="77777777" w:rsidR="009F4766" w:rsidRPr="00DE12A3" w:rsidRDefault="009F4766" w:rsidP="00C917D6">
            <w:pPr>
              <w:pStyle w:val="NormalLeft"/>
            </w:pPr>
            <w:r w:rsidRPr="00DE12A3">
              <w:t>44</w:t>
            </w:r>
          </w:p>
        </w:tc>
        <w:tc>
          <w:tcPr>
            <w:tcW w:w="2551" w:type="dxa"/>
            <w:tcBorders>
              <w:top w:val="single" w:sz="2" w:space="0" w:color="auto"/>
              <w:left w:val="single" w:sz="2" w:space="0" w:color="auto"/>
              <w:bottom w:val="single" w:sz="2" w:space="0" w:color="auto"/>
              <w:right w:val="single" w:sz="2" w:space="0" w:color="auto"/>
            </w:tcBorders>
          </w:tcPr>
          <w:p w14:paraId="32F72A08" w14:textId="77777777" w:rsidR="009F4766" w:rsidRPr="00DE12A3" w:rsidRDefault="009F4766" w:rsidP="00C917D6">
            <w:pPr>
              <w:pStyle w:val="NormalLeft"/>
            </w:pPr>
            <w:r w:rsidRPr="00DE12A3">
              <w:t>32</w:t>
            </w:r>
          </w:p>
        </w:tc>
      </w:tr>
      <w:tr w:rsidR="00DE12A3" w:rsidRPr="00DE12A3" w14:paraId="32EFC761" w14:textId="77777777" w:rsidTr="009F4766">
        <w:tc>
          <w:tcPr>
            <w:tcW w:w="1182" w:type="dxa"/>
            <w:tcBorders>
              <w:top w:val="single" w:sz="2" w:space="0" w:color="auto"/>
              <w:left w:val="single" w:sz="2" w:space="0" w:color="auto"/>
              <w:bottom w:val="single" w:sz="2" w:space="0" w:color="auto"/>
              <w:right w:val="single" w:sz="2" w:space="0" w:color="auto"/>
            </w:tcBorders>
          </w:tcPr>
          <w:p w14:paraId="5A4B997A" w14:textId="77777777" w:rsidR="009F4766" w:rsidRPr="00DE12A3" w:rsidRDefault="009F4766" w:rsidP="00C917D6">
            <w:pPr>
              <w:pStyle w:val="NormalLeft"/>
            </w:pPr>
            <w:r w:rsidRPr="00DE12A3">
              <w:t>264</w:t>
            </w:r>
          </w:p>
        </w:tc>
        <w:tc>
          <w:tcPr>
            <w:tcW w:w="2489" w:type="dxa"/>
            <w:tcBorders>
              <w:top w:val="single" w:sz="2" w:space="0" w:color="auto"/>
              <w:left w:val="single" w:sz="2" w:space="0" w:color="auto"/>
              <w:bottom w:val="single" w:sz="2" w:space="0" w:color="auto"/>
              <w:right w:val="single" w:sz="2" w:space="0" w:color="auto"/>
            </w:tcBorders>
          </w:tcPr>
          <w:p w14:paraId="214BD25C" w14:textId="77777777" w:rsidR="009F4766" w:rsidRPr="00DE12A3" w:rsidRDefault="009F4766" w:rsidP="00C917D6">
            <w:pPr>
              <w:pStyle w:val="NormalLeft"/>
            </w:pPr>
            <w:r w:rsidRPr="00DE12A3">
              <w:t>24</w:t>
            </w:r>
          </w:p>
        </w:tc>
        <w:tc>
          <w:tcPr>
            <w:tcW w:w="2551" w:type="dxa"/>
            <w:tcBorders>
              <w:top w:val="single" w:sz="2" w:space="0" w:color="auto"/>
              <w:left w:val="single" w:sz="2" w:space="0" w:color="auto"/>
              <w:bottom w:val="single" w:sz="2" w:space="0" w:color="auto"/>
              <w:right w:val="single" w:sz="2" w:space="0" w:color="auto"/>
            </w:tcBorders>
          </w:tcPr>
          <w:p w14:paraId="74D1E29E" w14:textId="77777777" w:rsidR="009F4766" w:rsidRPr="00DE12A3" w:rsidRDefault="009F4766" w:rsidP="00C917D6">
            <w:pPr>
              <w:pStyle w:val="NormalLeft"/>
            </w:pPr>
            <w:r w:rsidRPr="00DE12A3">
              <w:t>38</w:t>
            </w:r>
          </w:p>
        </w:tc>
      </w:tr>
      <w:tr w:rsidR="00DE12A3" w:rsidRPr="00DE12A3" w14:paraId="4BC2B364" w14:textId="77777777" w:rsidTr="009F4766">
        <w:tc>
          <w:tcPr>
            <w:tcW w:w="1182" w:type="dxa"/>
            <w:tcBorders>
              <w:top w:val="single" w:sz="2" w:space="0" w:color="auto"/>
              <w:left w:val="single" w:sz="2" w:space="0" w:color="auto"/>
              <w:bottom w:val="single" w:sz="2" w:space="0" w:color="auto"/>
              <w:right w:val="single" w:sz="2" w:space="0" w:color="auto"/>
            </w:tcBorders>
          </w:tcPr>
          <w:p w14:paraId="33C09102" w14:textId="77777777" w:rsidR="009F4766" w:rsidRPr="00DE12A3" w:rsidRDefault="009F4766" w:rsidP="00C917D6">
            <w:pPr>
              <w:pStyle w:val="NormalLeft"/>
            </w:pPr>
            <w:r w:rsidRPr="00DE12A3">
              <w:t>265</w:t>
            </w:r>
          </w:p>
        </w:tc>
        <w:tc>
          <w:tcPr>
            <w:tcW w:w="2489" w:type="dxa"/>
            <w:tcBorders>
              <w:top w:val="single" w:sz="2" w:space="0" w:color="auto"/>
              <w:left w:val="single" w:sz="2" w:space="0" w:color="auto"/>
              <w:bottom w:val="single" w:sz="2" w:space="0" w:color="auto"/>
              <w:right w:val="single" w:sz="2" w:space="0" w:color="auto"/>
            </w:tcBorders>
          </w:tcPr>
          <w:p w14:paraId="7D87B91D" w14:textId="77777777" w:rsidR="009F4766" w:rsidRPr="00DE12A3" w:rsidRDefault="009F4766" w:rsidP="00C917D6">
            <w:pPr>
              <w:pStyle w:val="NormalLeft"/>
            </w:pPr>
            <w:r w:rsidRPr="00DE12A3">
              <w:t>42</w:t>
            </w:r>
          </w:p>
        </w:tc>
        <w:tc>
          <w:tcPr>
            <w:tcW w:w="2551" w:type="dxa"/>
            <w:tcBorders>
              <w:top w:val="single" w:sz="2" w:space="0" w:color="auto"/>
              <w:left w:val="single" w:sz="2" w:space="0" w:color="auto"/>
              <w:bottom w:val="single" w:sz="2" w:space="0" w:color="auto"/>
              <w:right w:val="single" w:sz="2" w:space="0" w:color="auto"/>
            </w:tcBorders>
          </w:tcPr>
          <w:p w14:paraId="5AD58100" w14:textId="77777777" w:rsidR="009F4766" w:rsidRPr="00DE12A3" w:rsidRDefault="009F4766" w:rsidP="00C917D6">
            <w:pPr>
              <w:pStyle w:val="NormalLeft"/>
            </w:pPr>
            <w:r w:rsidRPr="00DE12A3">
              <w:t>17</w:t>
            </w:r>
          </w:p>
        </w:tc>
      </w:tr>
      <w:tr w:rsidR="00DE12A3" w:rsidRPr="00DE12A3" w14:paraId="0F556241" w14:textId="77777777" w:rsidTr="009F4766">
        <w:tc>
          <w:tcPr>
            <w:tcW w:w="1182" w:type="dxa"/>
            <w:tcBorders>
              <w:top w:val="single" w:sz="2" w:space="0" w:color="auto"/>
              <w:left w:val="single" w:sz="2" w:space="0" w:color="auto"/>
              <w:bottom w:val="single" w:sz="2" w:space="0" w:color="auto"/>
              <w:right w:val="single" w:sz="2" w:space="0" w:color="auto"/>
            </w:tcBorders>
          </w:tcPr>
          <w:p w14:paraId="0768EDBB" w14:textId="77777777" w:rsidR="009F4766" w:rsidRPr="00DE12A3" w:rsidRDefault="009F4766" w:rsidP="00C917D6">
            <w:pPr>
              <w:pStyle w:val="NormalLeft"/>
            </w:pPr>
            <w:r w:rsidRPr="00DE12A3">
              <w:t>266</w:t>
            </w:r>
          </w:p>
        </w:tc>
        <w:tc>
          <w:tcPr>
            <w:tcW w:w="2489" w:type="dxa"/>
            <w:tcBorders>
              <w:top w:val="single" w:sz="2" w:space="0" w:color="auto"/>
              <w:left w:val="single" w:sz="2" w:space="0" w:color="auto"/>
              <w:bottom w:val="single" w:sz="2" w:space="0" w:color="auto"/>
              <w:right w:val="single" w:sz="2" w:space="0" w:color="auto"/>
            </w:tcBorders>
          </w:tcPr>
          <w:p w14:paraId="5F74CFB6" w14:textId="77777777" w:rsidR="009F4766" w:rsidRPr="00DE12A3" w:rsidRDefault="009F4766" w:rsidP="00C917D6">
            <w:pPr>
              <w:pStyle w:val="NormalLeft"/>
            </w:pPr>
            <w:r w:rsidRPr="00DE12A3">
              <w:t>22</w:t>
            </w:r>
          </w:p>
        </w:tc>
        <w:tc>
          <w:tcPr>
            <w:tcW w:w="2551" w:type="dxa"/>
            <w:tcBorders>
              <w:top w:val="single" w:sz="2" w:space="0" w:color="auto"/>
              <w:left w:val="single" w:sz="2" w:space="0" w:color="auto"/>
              <w:bottom w:val="single" w:sz="2" w:space="0" w:color="auto"/>
              <w:right w:val="single" w:sz="2" w:space="0" w:color="auto"/>
            </w:tcBorders>
          </w:tcPr>
          <w:p w14:paraId="1F515C79" w14:textId="77777777" w:rsidR="009F4766" w:rsidRPr="00DE12A3" w:rsidRDefault="009F4766" w:rsidP="00C917D6">
            <w:pPr>
              <w:pStyle w:val="NormalLeft"/>
            </w:pPr>
            <w:r w:rsidRPr="00DE12A3">
              <w:t>51</w:t>
            </w:r>
          </w:p>
        </w:tc>
      </w:tr>
      <w:tr w:rsidR="00DE12A3" w:rsidRPr="00DE12A3" w14:paraId="16D2DF17" w14:textId="77777777" w:rsidTr="009F4766">
        <w:tc>
          <w:tcPr>
            <w:tcW w:w="1182" w:type="dxa"/>
            <w:tcBorders>
              <w:top w:val="single" w:sz="2" w:space="0" w:color="auto"/>
              <w:left w:val="single" w:sz="2" w:space="0" w:color="auto"/>
              <w:bottom w:val="single" w:sz="2" w:space="0" w:color="auto"/>
              <w:right w:val="single" w:sz="2" w:space="0" w:color="auto"/>
            </w:tcBorders>
          </w:tcPr>
          <w:p w14:paraId="59A7185A" w14:textId="77777777" w:rsidR="009F4766" w:rsidRPr="00DE12A3" w:rsidRDefault="009F4766" w:rsidP="00C917D6">
            <w:pPr>
              <w:pStyle w:val="NormalLeft"/>
            </w:pPr>
            <w:r w:rsidRPr="00DE12A3">
              <w:lastRenderedPageBreak/>
              <w:t>267</w:t>
            </w:r>
          </w:p>
        </w:tc>
        <w:tc>
          <w:tcPr>
            <w:tcW w:w="2489" w:type="dxa"/>
            <w:tcBorders>
              <w:top w:val="single" w:sz="2" w:space="0" w:color="auto"/>
              <w:left w:val="single" w:sz="2" w:space="0" w:color="auto"/>
              <w:bottom w:val="single" w:sz="2" w:space="0" w:color="auto"/>
              <w:right w:val="single" w:sz="2" w:space="0" w:color="auto"/>
            </w:tcBorders>
          </w:tcPr>
          <w:p w14:paraId="7A5E0C22" w14:textId="77777777" w:rsidR="009F4766" w:rsidRPr="00DE12A3" w:rsidRDefault="009F4766" w:rsidP="00C917D6">
            <w:pPr>
              <w:pStyle w:val="NormalLeft"/>
            </w:pPr>
            <w:r w:rsidRPr="00DE12A3">
              <w:t>13</w:t>
            </w:r>
          </w:p>
        </w:tc>
        <w:tc>
          <w:tcPr>
            <w:tcW w:w="2551" w:type="dxa"/>
            <w:tcBorders>
              <w:top w:val="single" w:sz="2" w:space="0" w:color="auto"/>
              <w:left w:val="single" w:sz="2" w:space="0" w:color="auto"/>
              <w:bottom w:val="single" w:sz="2" w:space="0" w:color="auto"/>
              <w:right w:val="single" w:sz="2" w:space="0" w:color="auto"/>
            </w:tcBorders>
          </w:tcPr>
          <w:p w14:paraId="05047395" w14:textId="77777777" w:rsidR="009F4766" w:rsidRPr="00DE12A3" w:rsidRDefault="009F4766" w:rsidP="00C917D6">
            <w:pPr>
              <w:pStyle w:val="NormalLeft"/>
            </w:pPr>
            <w:r w:rsidRPr="00DE12A3">
              <w:t>53</w:t>
            </w:r>
          </w:p>
        </w:tc>
      </w:tr>
      <w:tr w:rsidR="00DE12A3" w:rsidRPr="00DE12A3" w14:paraId="6EA86D6B" w14:textId="77777777" w:rsidTr="009F4766">
        <w:tc>
          <w:tcPr>
            <w:tcW w:w="1182" w:type="dxa"/>
            <w:tcBorders>
              <w:top w:val="single" w:sz="2" w:space="0" w:color="auto"/>
              <w:left w:val="single" w:sz="2" w:space="0" w:color="auto"/>
              <w:bottom w:val="single" w:sz="2" w:space="0" w:color="auto"/>
              <w:right w:val="single" w:sz="2" w:space="0" w:color="auto"/>
            </w:tcBorders>
          </w:tcPr>
          <w:p w14:paraId="32C54588" w14:textId="77777777" w:rsidR="009F4766" w:rsidRPr="00DE12A3" w:rsidRDefault="009F4766" w:rsidP="00C917D6">
            <w:pPr>
              <w:pStyle w:val="NormalLeft"/>
            </w:pPr>
            <w:r w:rsidRPr="00DE12A3">
              <w:t>268</w:t>
            </w:r>
          </w:p>
        </w:tc>
        <w:tc>
          <w:tcPr>
            <w:tcW w:w="2489" w:type="dxa"/>
            <w:tcBorders>
              <w:top w:val="single" w:sz="2" w:space="0" w:color="auto"/>
              <w:left w:val="single" w:sz="2" w:space="0" w:color="auto"/>
              <w:bottom w:val="single" w:sz="2" w:space="0" w:color="auto"/>
              <w:right w:val="single" w:sz="2" w:space="0" w:color="auto"/>
            </w:tcBorders>
          </w:tcPr>
          <w:p w14:paraId="55093385" w14:textId="77777777" w:rsidR="009F4766" w:rsidRPr="00DE12A3" w:rsidRDefault="009F4766" w:rsidP="00C917D6">
            <w:pPr>
              <w:pStyle w:val="NormalLeft"/>
            </w:pPr>
            <w:r w:rsidRPr="00DE12A3">
              <w:t>23</w:t>
            </w:r>
          </w:p>
        </w:tc>
        <w:tc>
          <w:tcPr>
            <w:tcW w:w="2551" w:type="dxa"/>
            <w:tcBorders>
              <w:top w:val="single" w:sz="2" w:space="0" w:color="auto"/>
              <w:left w:val="single" w:sz="2" w:space="0" w:color="auto"/>
              <w:bottom w:val="single" w:sz="2" w:space="0" w:color="auto"/>
              <w:right w:val="single" w:sz="2" w:space="0" w:color="auto"/>
            </w:tcBorders>
          </w:tcPr>
          <w:p w14:paraId="5D0A493C" w14:textId="77777777" w:rsidR="009F4766" w:rsidRPr="00DE12A3" w:rsidRDefault="009F4766" w:rsidP="00C917D6">
            <w:pPr>
              <w:pStyle w:val="NormalLeft"/>
            </w:pPr>
            <w:r w:rsidRPr="00DE12A3">
              <w:t>45</w:t>
            </w:r>
          </w:p>
        </w:tc>
      </w:tr>
      <w:tr w:rsidR="00DE12A3" w:rsidRPr="00DE12A3" w14:paraId="0C36CB36" w14:textId="77777777" w:rsidTr="009F4766">
        <w:tc>
          <w:tcPr>
            <w:tcW w:w="1182" w:type="dxa"/>
            <w:tcBorders>
              <w:top w:val="single" w:sz="2" w:space="0" w:color="auto"/>
              <w:left w:val="single" w:sz="2" w:space="0" w:color="auto"/>
              <w:bottom w:val="single" w:sz="2" w:space="0" w:color="auto"/>
              <w:right w:val="single" w:sz="2" w:space="0" w:color="auto"/>
            </w:tcBorders>
          </w:tcPr>
          <w:p w14:paraId="4E7A8DEB" w14:textId="77777777" w:rsidR="009F4766" w:rsidRPr="00DE12A3" w:rsidRDefault="009F4766" w:rsidP="00C917D6">
            <w:pPr>
              <w:pStyle w:val="NormalLeft"/>
            </w:pPr>
            <w:r w:rsidRPr="00DE12A3">
              <w:t>269</w:t>
            </w:r>
          </w:p>
        </w:tc>
        <w:tc>
          <w:tcPr>
            <w:tcW w:w="2489" w:type="dxa"/>
            <w:tcBorders>
              <w:top w:val="single" w:sz="2" w:space="0" w:color="auto"/>
              <w:left w:val="single" w:sz="2" w:space="0" w:color="auto"/>
              <w:bottom w:val="single" w:sz="2" w:space="0" w:color="auto"/>
              <w:right w:val="single" w:sz="2" w:space="0" w:color="auto"/>
            </w:tcBorders>
          </w:tcPr>
          <w:p w14:paraId="4EA34783" w14:textId="77777777" w:rsidR="009F4766" w:rsidRPr="00DE12A3" w:rsidRDefault="009F4766" w:rsidP="00C917D6">
            <w:pPr>
              <w:pStyle w:val="NormalLeft"/>
            </w:pPr>
            <w:r w:rsidRPr="00DE12A3">
              <w:t>29</w:t>
            </w:r>
          </w:p>
        </w:tc>
        <w:tc>
          <w:tcPr>
            <w:tcW w:w="2551" w:type="dxa"/>
            <w:tcBorders>
              <w:top w:val="single" w:sz="2" w:space="0" w:color="auto"/>
              <w:left w:val="single" w:sz="2" w:space="0" w:color="auto"/>
              <w:bottom w:val="single" w:sz="2" w:space="0" w:color="auto"/>
              <w:right w:val="single" w:sz="2" w:space="0" w:color="auto"/>
            </w:tcBorders>
          </w:tcPr>
          <w:p w14:paraId="68FB4FF1" w14:textId="77777777" w:rsidR="009F4766" w:rsidRPr="00DE12A3" w:rsidRDefault="009F4766" w:rsidP="00C917D6">
            <w:pPr>
              <w:pStyle w:val="NormalLeft"/>
            </w:pPr>
            <w:r w:rsidRPr="00DE12A3">
              <w:t>50</w:t>
            </w:r>
          </w:p>
        </w:tc>
      </w:tr>
      <w:tr w:rsidR="00DE12A3" w:rsidRPr="00DE12A3" w14:paraId="4D3421F5" w14:textId="77777777" w:rsidTr="009F4766">
        <w:tc>
          <w:tcPr>
            <w:tcW w:w="1182" w:type="dxa"/>
            <w:tcBorders>
              <w:top w:val="single" w:sz="2" w:space="0" w:color="auto"/>
              <w:left w:val="single" w:sz="2" w:space="0" w:color="auto"/>
              <w:bottom w:val="single" w:sz="2" w:space="0" w:color="auto"/>
              <w:right w:val="single" w:sz="2" w:space="0" w:color="auto"/>
            </w:tcBorders>
          </w:tcPr>
          <w:p w14:paraId="2D1E975B" w14:textId="77777777" w:rsidR="009F4766" w:rsidRPr="00DE12A3" w:rsidRDefault="009F4766" w:rsidP="00C917D6">
            <w:pPr>
              <w:pStyle w:val="NormalLeft"/>
            </w:pPr>
            <w:r w:rsidRPr="00DE12A3">
              <w:t>270</w:t>
            </w:r>
          </w:p>
        </w:tc>
        <w:tc>
          <w:tcPr>
            <w:tcW w:w="2489" w:type="dxa"/>
            <w:tcBorders>
              <w:top w:val="single" w:sz="2" w:space="0" w:color="auto"/>
              <w:left w:val="single" w:sz="2" w:space="0" w:color="auto"/>
              <w:bottom w:val="single" w:sz="2" w:space="0" w:color="auto"/>
              <w:right w:val="single" w:sz="2" w:space="0" w:color="auto"/>
            </w:tcBorders>
          </w:tcPr>
          <w:p w14:paraId="09A15581" w14:textId="77777777" w:rsidR="009F4766" w:rsidRPr="00DE12A3" w:rsidRDefault="009F4766" w:rsidP="00C917D6">
            <w:pPr>
              <w:pStyle w:val="NormalLeft"/>
            </w:pPr>
            <w:r w:rsidRPr="00DE12A3">
              <w:t>28</w:t>
            </w:r>
          </w:p>
        </w:tc>
        <w:tc>
          <w:tcPr>
            <w:tcW w:w="2551" w:type="dxa"/>
            <w:tcBorders>
              <w:top w:val="single" w:sz="2" w:space="0" w:color="auto"/>
              <w:left w:val="single" w:sz="2" w:space="0" w:color="auto"/>
              <w:bottom w:val="single" w:sz="2" w:space="0" w:color="auto"/>
              <w:right w:val="single" w:sz="2" w:space="0" w:color="auto"/>
            </w:tcBorders>
          </w:tcPr>
          <w:p w14:paraId="0D59E85E" w14:textId="77777777" w:rsidR="009F4766" w:rsidRPr="00DE12A3" w:rsidRDefault="009F4766" w:rsidP="00C917D6">
            <w:pPr>
              <w:pStyle w:val="NormalLeft"/>
            </w:pPr>
            <w:r w:rsidRPr="00DE12A3">
              <w:t>42</w:t>
            </w:r>
          </w:p>
        </w:tc>
      </w:tr>
      <w:tr w:rsidR="00DE12A3" w:rsidRPr="00DE12A3" w14:paraId="43E578C4" w14:textId="77777777" w:rsidTr="009F4766">
        <w:tc>
          <w:tcPr>
            <w:tcW w:w="1182" w:type="dxa"/>
            <w:tcBorders>
              <w:top w:val="single" w:sz="2" w:space="0" w:color="auto"/>
              <w:left w:val="single" w:sz="2" w:space="0" w:color="auto"/>
              <w:bottom w:val="single" w:sz="2" w:space="0" w:color="auto"/>
              <w:right w:val="single" w:sz="2" w:space="0" w:color="auto"/>
            </w:tcBorders>
          </w:tcPr>
          <w:p w14:paraId="64079C9A" w14:textId="77777777" w:rsidR="009F4766" w:rsidRPr="00DE12A3" w:rsidRDefault="009F4766" w:rsidP="00C917D6">
            <w:pPr>
              <w:pStyle w:val="NormalLeft"/>
            </w:pPr>
            <w:r w:rsidRPr="00DE12A3">
              <w:t>271</w:t>
            </w:r>
          </w:p>
        </w:tc>
        <w:tc>
          <w:tcPr>
            <w:tcW w:w="2489" w:type="dxa"/>
            <w:tcBorders>
              <w:top w:val="single" w:sz="2" w:space="0" w:color="auto"/>
              <w:left w:val="single" w:sz="2" w:space="0" w:color="auto"/>
              <w:bottom w:val="single" w:sz="2" w:space="0" w:color="auto"/>
              <w:right w:val="single" w:sz="2" w:space="0" w:color="auto"/>
            </w:tcBorders>
          </w:tcPr>
          <w:p w14:paraId="130FAFAB" w14:textId="77777777" w:rsidR="009F4766" w:rsidRPr="00DE12A3" w:rsidRDefault="009F4766" w:rsidP="00C917D6">
            <w:pPr>
              <w:pStyle w:val="NormalLeft"/>
            </w:pPr>
            <w:r w:rsidRPr="00DE12A3">
              <w:t>21</w:t>
            </w:r>
          </w:p>
        </w:tc>
        <w:tc>
          <w:tcPr>
            <w:tcW w:w="2551" w:type="dxa"/>
            <w:tcBorders>
              <w:top w:val="single" w:sz="2" w:space="0" w:color="auto"/>
              <w:left w:val="single" w:sz="2" w:space="0" w:color="auto"/>
              <w:bottom w:val="single" w:sz="2" w:space="0" w:color="auto"/>
              <w:right w:val="single" w:sz="2" w:space="0" w:color="auto"/>
            </w:tcBorders>
          </w:tcPr>
          <w:p w14:paraId="5BD2DFED" w14:textId="77777777" w:rsidR="009F4766" w:rsidRPr="00DE12A3" w:rsidRDefault="009F4766" w:rsidP="00C917D6">
            <w:pPr>
              <w:pStyle w:val="NormalLeft"/>
            </w:pPr>
            <w:r w:rsidRPr="00DE12A3">
              <w:t>55</w:t>
            </w:r>
          </w:p>
        </w:tc>
      </w:tr>
      <w:tr w:rsidR="00DE12A3" w:rsidRPr="00DE12A3" w14:paraId="2A648A21" w14:textId="77777777" w:rsidTr="009F4766">
        <w:tc>
          <w:tcPr>
            <w:tcW w:w="1182" w:type="dxa"/>
            <w:tcBorders>
              <w:top w:val="single" w:sz="2" w:space="0" w:color="auto"/>
              <w:left w:val="single" w:sz="2" w:space="0" w:color="auto"/>
              <w:bottom w:val="single" w:sz="2" w:space="0" w:color="auto"/>
              <w:right w:val="single" w:sz="2" w:space="0" w:color="auto"/>
            </w:tcBorders>
          </w:tcPr>
          <w:p w14:paraId="5556BFBC" w14:textId="77777777" w:rsidR="009F4766" w:rsidRPr="00DE12A3" w:rsidRDefault="009F4766" w:rsidP="00C917D6">
            <w:pPr>
              <w:pStyle w:val="NormalLeft"/>
            </w:pPr>
            <w:r w:rsidRPr="00DE12A3">
              <w:t>272</w:t>
            </w:r>
          </w:p>
        </w:tc>
        <w:tc>
          <w:tcPr>
            <w:tcW w:w="2489" w:type="dxa"/>
            <w:tcBorders>
              <w:top w:val="single" w:sz="2" w:space="0" w:color="auto"/>
              <w:left w:val="single" w:sz="2" w:space="0" w:color="auto"/>
              <w:bottom w:val="single" w:sz="2" w:space="0" w:color="auto"/>
              <w:right w:val="single" w:sz="2" w:space="0" w:color="auto"/>
            </w:tcBorders>
          </w:tcPr>
          <w:p w14:paraId="7C06628A" w14:textId="77777777" w:rsidR="009F4766" w:rsidRPr="00DE12A3" w:rsidRDefault="009F4766" w:rsidP="00C917D6">
            <w:pPr>
              <w:pStyle w:val="NormalLeft"/>
            </w:pPr>
            <w:r w:rsidRPr="00DE12A3">
              <w:t>34</w:t>
            </w:r>
          </w:p>
        </w:tc>
        <w:tc>
          <w:tcPr>
            <w:tcW w:w="2551" w:type="dxa"/>
            <w:tcBorders>
              <w:top w:val="single" w:sz="2" w:space="0" w:color="auto"/>
              <w:left w:val="single" w:sz="2" w:space="0" w:color="auto"/>
              <w:bottom w:val="single" w:sz="2" w:space="0" w:color="auto"/>
              <w:right w:val="single" w:sz="2" w:space="0" w:color="auto"/>
            </w:tcBorders>
          </w:tcPr>
          <w:p w14:paraId="1BFF40C5" w14:textId="77777777" w:rsidR="009F4766" w:rsidRPr="00DE12A3" w:rsidRDefault="009F4766" w:rsidP="00C917D6">
            <w:pPr>
              <w:pStyle w:val="NormalLeft"/>
            </w:pPr>
            <w:r w:rsidRPr="00DE12A3">
              <w:t>57</w:t>
            </w:r>
          </w:p>
        </w:tc>
      </w:tr>
      <w:tr w:rsidR="00DE12A3" w:rsidRPr="00DE12A3" w14:paraId="3F313DAE" w14:textId="77777777" w:rsidTr="009F4766">
        <w:tc>
          <w:tcPr>
            <w:tcW w:w="1182" w:type="dxa"/>
            <w:tcBorders>
              <w:top w:val="single" w:sz="2" w:space="0" w:color="auto"/>
              <w:left w:val="single" w:sz="2" w:space="0" w:color="auto"/>
              <w:bottom w:val="single" w:sz="2" w:space="0" w:color="auto"/>
              <w:right w:val="single" w:sz="2" w:space="0" w:color="auto"/>
            </w:tcBorders>
          </w:tcPr>
          <w:p w14:paraId="6E13CF2E" w14:textId="77777777" w:rsidR="009F4766" w:rsidRPr="00DE12A3" w:rsidRDefault="009F4766" w:rsidP="00C917D6">
            <w:pPr>
              <w:pStyle w:val="NormalLeft"/>
            </w:pPr>
            <w:r w:rsidRPr="00DE12A3">
              <w:t>273</w:t>
            </w:r>
          </w:p>
        </w:tc>
        <w:tc>
          <w:tcPr>
            <w:tcW w:w="2489" w:type="dxa"/>
            <w:tcBorders>
              <w:top w:val="single" w:sz="2" w:space="0" w:color="auto"/>
              <w:left w:val="single" w:sz="2" w:space="0" w:color="auto"/>
              <w:bottom w:val="single" w:sz="2" w:space="0" w:color="auto"/>
              <w:right w:val="single" w:sz="2" w:space="0" w:color="auto"/>
            </w:tcBorders>
          </w:tcPr>
          <w:p w14:paraId="09000496" w14:textId="77777777" w:rsidR="009F4766" w:rsidRPr="00DE12A3" w:rsidRDefault="009F4766" w:rsidP="00C917D6">
            <w:pPr>
              <w:pStyle w:val="NormalLeft"/>
            </w:pPr>
            <w:r w:rsidRPr="00DE12A3">
              <w:t>44</w:t>
            </w:r>
          </w:p>
        </w:tc>
        <w:tc>
          <w:tcPr>
            <w:tcW w:w="2551" w:type="dxa"/>
            <w:tcBorders>
              <w:top w:val="single" w:sz="2" w:space="0" w:color="auto"/>
              <w:left w:val="single" w:sz="2" w:space="0" w:color="auto"/>
              <w:bottom w:val="single" w:sz="2" w:space="0" w:color="auto"/>
              <w:right w:val="single" w:sz="2" w:space="0" w:color="auto"/>
            </w:tcBorders>
          </w:tcPr>
          <w:p w14:paraId="60BC9F1E" w14:textId="77777777" w:rsidR="009F4766" w:rsidRPr="00DE12A3" w:rsidRDefault="009F4766" w:rsidP="00C917D6">
            <w:pPr>
              <w:pStyle w:val="NormalLeft"/>
            </w:pPr>
            <w:r w:rsidRPr="00DE12A3">
              <w:t>47</w:t>
            </w:r>
          </w:p>
        </w:tc>
      </w:tr>
      <w:tr w:rsidR="00DE12A3" w:rsidRPr="00DE12A3" w14:paraId="42521927" w14:textId="77777777" w:rsidTr="009F4766">
        <w:tc>
          <w:tcPr>
            <w:tcW w:w="1182" w:type="dxa"/>
            <w:tcBorders>
              <w:top w:val="single" w:sz="2" w:space="0" w:color="auto"/>
              <w:left w:val="single" w:sz="2" w:space="0" w:color="auto"/>
              <w:bottom w:val="single" w:sz="2" w:space="0" w:color="auto"/>
              <w:right w:val="single" w:sz="2" w:space="0" w:color="auto"/>
            </w:tcBorders>
          </w:tcPr>
          <w:p w14:paraId="5F1818BF" w14:textId="77777777" w:rsidR="009F4766" w:rsidRPr="00DE12A3" w:rsidRDefault="009F4766" w:rsidP="00C917D6">
            <w:pPr>
              <w:pStyle w:val="NormalLeft"/>
            </w:pPr>
            <w:r w:rsidRPr="00DE12A3">
              <w:t>274</w:t>
            </w:r>
          </w:p>
        </w:tc>
        <w:tc>
          <w:tcPr>
            <w:tcW w:w="2489" w:type="dxa"/>
            <w:tcBorders>
              <w:top w:val="single" w:sz="2" w:space="0" w:color="auto"/>
              <w:left w:val="single" w:sz="2" w:space="0" w:color="auto"/>
              <w:bottom w:val="single" w:sz="2" w:space="0" w:color="auto"/>
              <w:right w:val="single" w:sz="2" w:space="0" w:color="auto"/>
            </w:tcBorders>
          </w:tcPr>
          <w:p w14:paraId="3A7A3DBD" w14:textId="77777777" w:rsidR="009F4766" w:rsidRPr="00DE12A3" w:rsidRDefault="009F4766" w:rsidP="00C917D6">
            <w:pPr>
              <w:pStyle w:val="NormalLeft"/>
            </w:pPr>
            <w:r w:rsidRPr="00DE12A3">
              <w:t>19</w:t>
            </w:r>
          </w:p>
        </w:tc>
        <w:tc>
          <w:tcPr>
            <w:tcW w:w="2551" w:type="dxa"/>
            <w:tcBorders>
              <w:top w:val="single" w:sz="2" w:space="0" w:color="auto"/>
              <w:left w:val="single" w:sz="2" w:space="0" w:color="auto"/>
              <w:bottom w:val="single" w:sz="2" w:space="0" w:color="auto"/>
              <w:right w:val="single" w:sz="2" w:space="0" w:color="auto"/>
            </w:tcBorders>
          </w:tcPr>
          <w:p w14:paraId="7E9F5A24" w14:textId="77777777" w:rsidR="009F4766" w:rsidRPr="00DE12A3" w:rsidRDefault="009F4766" w:rsidP="00C917D6">
            <w:pPr>
              <w:pStyle w:val="NormalLeft"/>
            </w:pPr>
            <w:r w:rsidRPr="00DE12A3">
              <w:t>46</w:t>
            </w:r>
          </w:p>
        </w:tc>
      </w:tr>
      <w:tr w:rsidR="00DE12A3" w:rsidRPr="00DE12A3" w14:paraId="3F6C50B4" w14:textId="77777777" w:rsidTr="009F4766">
        <w:tc>
          <w:tcPr>
            <w:tcW w:w="1182" w:type="dxa"/>
            <w:tcBorders>
              <w:top w:val="single" w:sz="2" w:space="0" w:color="auto"/>
              <w:left w:val="single" w:sz="2" w:space="0" w:color="auto"/>
              <w:bottom w:val="single" w:sz="2" w:space="0" w:color="auto"/>
              <w:right w:val="single" w:sz="2" w:space="0" w:color="auto"/>
            </w:tcBorders>
          </w:tcPr>
          <w:p w14:paraId="629BD398" w14:textId="77777777" w:rsidR="009F4766" w:rsidRPr="00DE12A3" w:rsidRDefault="009F4766" w:rsidP="00C917D6">
            <w:pPr>
              <w:pStyle w:val="NormalLeft"/>
            </w:pPr>
            <w:r w:rsidRPr="00DE12A3">
              <w:t>275</w:t>
            </w:r>
          </w:p>
        </w:tc>
        <w:tc>
          <w:tcPr>
            <w:tcW w:w="2489" w:type="dxa"/>
            <w:tcBorders>
              <w:top w:val="single" w:sz="2" w:space="0" w:color="auto"/>
              <w:left w:val="single" w:sz="2" w:space="0" w:color="auto"/>
              <w:bottom w:val="single" w:sz="2" w:space="0" w:color="auto"/>
              <w:right w:val="single" w:sz="2" w:space="0" w:color="auto"/>
            </w:tcBorders>
          </w:tcPr>
          <w:p w14:paraId="0F1153AD" w14:textId="77777777" w:rsidR="009F4766" w:rsidRPr="00DE12A3" w:rsidRDefault="009F4766" w:rsidP="00C917D6">
            <w:pPr>
              <w:pStyle w:val="NormalLeft"/>
            </w:pPr>
            <w:r w:rsidRPr="00DE12A3">
              <w:t>13</w:t>
            </w:r>
          </w:p>
        </w:tc>
        <w:tc>
          <w:tcPr>
            <w:tcW w:w="2551" w:type="dxa"/>
            <w:tcBorders>
              <w:top w:val="single" w:sz="2" w:space="0" w:color="auto"/>
              <w:left w:val="single" w:sz="2" w:space="0" w:color="auto"/>
              <w:bottom w:val="single" w:sz="2" w:space="0" w:color="auto"/>
              <w:right w:val="single" w:sz="2" w:space="0" w:color="auto"/>
            </w:tcBorders>
          </w:tcPr>
          <w:p w14:paraId="26C3C514" w14:textId="77777777" w:rsidR="009F4766" w:rsidRPr="00DE12A3" w:rsidRDefault="009F4766" w:rsidP="00C917D6">
            <w:pPr>
              <w:pStyle w:val="NormalLeft"/>
            </w:pPr>
            <w:r w:rsidRPr="00DE12A3">
              <w:t>44</w:t>
            </w:r>
          </w:p>
        </w:tc>
      </w:tr>
      <w:tr w:rsidR="00DE12A3" w:rsidRPr="00DE12A3" w14:paraId="186A99A7" w14:textId="77777777" w:rsidTr="009F4766">
        <w:tc>
          <w:tcPr>
            <w:tcW w:w="1182" w:type="dxa"/>
            <w:tcBorders>
              <w:top w:val="single" w:sz="2" w:space="0" w:color="auto"/>
              <w:left w:val="single" w:sz="2" w:space="0" w:color="auto"/>
              <w:bottom w:val="single" w:sz="2" w:space="0" w:color="auto"/>
              <w:right w:val="single" w:sz="2" w:space="0" w:color="auto"/>
            </w:tcBorders>
          </w:tcPr>
          <w:p w14:paraId="3960EB53" w14:textId="77777777" w:rsidR="009F4766" w:rsidRPr="00DE12A3" w:rsidRDefault="009F4766" w:rsidP="00C917D6">
            <w:pPr>
              <w:pStyle w:val="NormalLeft"/>
            </w:pPr>
            <w:r w:rsidRPr="00DE12A3">
              <w:t>276</w:t>
            </w:r>
          </w:p>
        </w:tc>
        <w:tc>
          <w:tcPr>
            <w:tcW w:w="2489" w:type="dxa"/>
            <w:tcBorders>
              <w:top w:val="single" w:sz="2" w:space="0" w:color="auto"/>
              <w:left w:val="single" w:sz="2" w:space="0" w:color="auto"/>
              <w:bottom w:val="single" w:sz="2" w:space="0" w:color="auto"/>
              <w:right w:val="single" w:sz="2" w:space="0" w:color="auto"/>
            </w:tcBorders>
          </w:tcPr>
          <w:p w14:paraId="56309223" w14:textId="77777777" w:rsidR="009F4766" w:rsidRPr="00DE12A3" w:rsidRDefault="009F4766" w:rsidP="00C917D6">
            <w:pPr>
              <w:pStyle w:val="NormalLeft"/>
            </w:pPr>
            <w:r w:rsidRPr="00DE12A3">
              <w:t>25</w:t>
            </w:r>
          </w:p>
        </w:tc>
        <w:tc>
          <w:tcPr>
            <w:tcW w:w="2551" w:type="dxa"/>
            <w:tcBorders>
              <w:top w:val="single" w:sz="2" w:space="0" w:color="auto"/>
              <w:left w:val="single" w:sz="2" w:space="0" w:color="auto"/>
              <w:bottom w:val="single" w:sz="2" w:space="0" w:color="auto"/>
              <w:right w:val="single" w:sz="2" w:space="0" w:color="auto"/>
            </w:tcBorders>
          </w:tcPr>
          <w:p w14:paraId="20633164" w14:textId="77777777" w:rsidR="009F4766" w:rsidRPr="00DE12A3" w:rsidRDefault="009F4766" w:rsidP="00C917D6">
            <w:pPr>
              <w:pStyle w:val="NormalLeft"/>
            </w:pPr>
            <w:r w:rsidRPr="00DE12A3">
              <w:t>36</w:t>
            </w:r>
          </w:p>
        </w:tc>
      </w:tr>
      <w:tr w:rsidR="00DE12A3" w:rsidRPr="00DE12A3" w14:paraId="301EF9F1" w14:textId="77777777" w:rsidTr="009F4766">
        <w:tc>
          <w:tcPr>
            <w:tcW w:w="1182" w:type="dxa"/>
            <w:tcBorders>
              <w:top w:val="single" w:sz="2" w:space="0" w:color="auto"/>
              <w:left w:val="single" w:sz="2" w:space="0" w:color="auto"/>
              <w:bottom w:val="single" w:sz="2" w:space="0" w:color="auto"/>
              <w:right w:val="single" w:sz="2" w:space="0" w:color="auto"/>
            </w:tcBorders>
          </w:tcPr>
          <w:p w14:paraId="4C956AB8" w14:textId="77777777" w:rsidR="009F4766" w:rsidRPr="00DE12A3" w:rsidRDefault="009F4766" w:rsidP="00C917D6">
            <w:pPr>
              <w:pStyle w:val="NormalLeft"/>
            </w:pPr>
            <w:r w:rsidRPr="00DE12A3">
              <w:t>277</w:t>
            </w:r>
          </w:p>
        </w:tc>
        <w:tc>
          <w:tcPr>
            <w:tcW w:w="2489" w:type="dxa"/>
            <w:tcBorders>
              <w:top w:val="single" w:sz="2" w:space="0" w:color="auto"/>
              <w:left w:val="single" w:sz="2" w:space="0" w:color="auto"/>
              <w:bottom w:val="single" w:sz="2" w:space="0" w:color="auto"/>
              <w:right w:val="single" w:sz="2" w:space="0" w:color="auto"/>
            </w:tcBorders>
          </w:tcPr>
          <w:p w14:paraId="1B2BE086" w14:textId="77777777" w:rsidR="009F4766" w:rsidRPr="00DE12A3" w:rsidRDefault="009F4766" w:rsidP="00C917D6">
            <w:pPr>
              <w:pStyle w:val="NormalLeft"/>
            </w:pPr>
            <w:r w:rsidRPr="00DE12A3">
              <w:t>43</w:t>
            </w:r>
          </w:p>
        </w:tc>
        <w:tc>
          <w:tcPr>
            <w:tcW w:w="2551" w:type="dxa"/>
            <w:tcBorders>
              <w:top w:val="single" w:sz="2" w:space="0" w:color="auto"/>
              <w:left w:val="single" w:sz="2" w:space="0" w:color="auto"/>
              <w:bottom w:val="single" w:sz="2" w:space="0" w:color="auto"/>
              <w:right w:val="single" w:sz="2" w:space="0" w:color="auto"/>
            </w:tcBorders>
          </w:tcPr>
          <w:p w14:paraId="7D5139AF" w14:textId="77777777" w:rsidR="009F4766" w:rsidRPr="00DE12A3" w:rsidRDefault="009F4766" w:rsidP="00C917D6">
            <w:pPr>
              <w:pStyle w:val="NormalLeft"/>
            </w:pPr>
            <w:r w:rsidRPr="00DE12A3">
              <w:t>51</w:t>
            </w:r>
          </w:p>
        </w:tc>
      </w:tr>
      <w:tr w:rsidR="00DE12A3" w:rsidRPr="00DE12A3" w14:paraId="1BA4AA25" w14:textId="77777777" w:rsidTr="009F4766">
        <w:tc>
          <w:tcPr>
            <w:tcW w:w="1182" w:type="dxa"/>
            <w:tcBorders>
              <w:top w:val="single" w:sz="2" w:space="0" w:color="auto"/>
              <w:left w:val="single" w:sz="2" w:space="0" w:color="auto"/>
              <w:bottom w:val="single" w:sz="2" w:space="0" w:color="auto"/>
              <w:right w:val="single" w:sz="2" w:space="0" w:color="auto"/>
            </w:tcBorders>
          </w:tcPr>
          <w:p w14:paraId="2F6766B2" w14:textId="77777777" w:rsidR="009F4766" w:rsidRPr="00DE12A3" w:rsidRDefault="009F4766" w:rsidP="00C917D6">
            <w:pPr>
              <w:pStyle w:val="NormalLeft"/>
            </w:pPr>
            <w:r w:rsidRPr="00DE12A3">
              <w:t>278</w:t>
            </w:r>
          </w:p>
        </w:tc>
        <w:tc>
          <w:tcPr>
            <w:tcW w:w="2489" w:type="dxa"/>
            <w:tcBorders>
              <w:top w:val="single" w:sz="2" w:space="0" w:color="auto"/>
              <w:left w:val="single" w:sz="2" w:space="0" w:color="auto"/>
              <w:bottom w:val="single" w:sz="2" w:space="0" w:color="auto"/>
              <w:right w:val="single" w:sz="2" w:space="0" w:color="auto"/>
            </w:tcBorders>
          </w:tcPr>
          <w:p w14:paraId="2CDB93D5" w14:textId="77777777" w:rsidR="009F4766" w:rsidRPr="00DE12A3" w:rsidRDefault="009F4766" w:rsidP="00C917D6">
            <w:pPr>
              <w:pStyle w:val="NormalLeft"/>
            </w:pPr>
            <w:r w:rsidRPr="00DE12A3">
              <w:t>55</w:t>
            </w:r>
          </w:p>
        </w:tc>
        <w:tc>
          <w:tcPr>
            <w:tcW w:w="2551" w:type="dxa"/>
            <w:tcBorders>
              <w:top w:val="single" w:sz="2" w:space="0" w:color="auto"/>
              <w:left w:val="single" w:sz="2" w:space="0" w:color="auto"/>
              <w:bottom w:val="single" w:sz="2" w:space="0" w:color="auto"/>
              <w:right w:val="single" w:sz="2" w:space="0" w:color="auto"/>
            </w:tcBorders>
          </w:tcPr>
          <w:p w14:paraId="7EC30BB2" w14:textId="77777777" w:rsidR="009F4766" w:rsidRPr="00DE12A3" w:rsidRDefault="009F4766" w:rsidP="00C917D6">
            <w:pPr>
              <w:pStyle w:val="NormalLeft"/>
            </w:pPr>
            <w:r w:rsidRPr="00DE12A3">
              <w:t>73</w:t>
            </w:r>
          </w:p>
        </w:tc>
      </w:tr>
      <w:tr w:rsidR="00DE12A3" w:rsidRPr="00DE12A3" w14:paraId="15379775" w14:textId="77777777" w:rsidTr="009F4766">
        <w:tc>
          <w:tcPr>
            <w:tcW w:w="1182" w:type="dxa"/>
            <w:tcBorders>
              <w:top w:val="single" w:sz="2" w:space="0" w:color="auto"/>
              <w:left w:val="single" w:sz="2" w:space="0" w:color="auto"/>
              <w:bottom w:val="single" w:sz="2" w:space="0" w:color="auto"/>
              <w:right w:val="single" w:sz="2" w:space="0" w:color="auto"/>
            </w:tcBorders>
          </w:tcPr>
          <w:p w14:paraId="1720184C" w14:textId="77777777" w:rsidR="009F4766" w:rsidRPr="00DE12A3" w:rsidRDefault="009F4766" w:rsidP="00C917D6">
            <w:pPr>
              <w:pStyle w:val="NormalLeft"/>
            </w:pPr>
            <w:r w:rsidRPr="00DE12A3">
              <w:t>279</w:t>
            </w:r>
          </w:p>
        </w:tc>
        <w:tc>
          <w:tcPr>
            <w:tcW w:w="2489" w:type="dxa"/>
            <w:tcBorders>
              <w:top w:val="single" w:sz="2" w:space="0" w:color="auto"/>
              <w:left w:val="single" w:sz="2" w:space="0" w:color="auto"/>
              <w:bottom w:val="single" w:sz="2" w:space="0" w:color="auto"/>
              <w:right w:val="single" w:sz="2" w:space="0" w:color="auto"/>
            </w:tcBorders>
          </w:tcPr>
          <w:p w14:paraId="4550E0B1" w14:textId="77777777" w:rsidR="009F4766" w:rsidRPr="00DE12A3" w:rsidRDefault="009F4766" w:rsidP="00C917D6">
            <w:pPr>
              <w:pStyle w:val="NormalLeft"/>
            </w:pPr>
            <w:r w:rsidRPr="00DE12A3">
              <w:t>68</w:t>
            </w:r>
          </w:p>
        </w:tc>
        <w:tc>
          <w:tcPr>
            <w:tcW w:w="2551" w:type="dxa"/>
            <w:tcBorders>
              <w:top w:val="single" w:sz="2" w:space="0" w:color="auto"/>
              <w:left w:val="single" w:sz="2" w:space="0" w:color="auto"/>
              <w:bottom w:val="single" w:sz="2" w:space="0" w:color="auto"/>
              <w:right w:val="single" w:sz="2" w:space="0" w:color="auto"/>
            </w:tcBorders>
          </w:tcPr>
          <w:p w14:paraId="4AC8D246" w14:textId="77777777" w:rsidR="009F4766" w:rsidRPr="00DE12A3" w:rsidRDefault="009F4766" w:rsidP="00C917D6">
            <w:pPr>
              <w:pStyle w:val="NormalLeft"/>
            </w:pPr>
            <w:r w:rsidRPr="00DE12A3">
              <w:t>72</w:t>
            </w:r>
          </w:p>
        </w:tc>
      </w:tr>
      <w:tr w:rsidR="00DE12A3" w:rsidRPr="00DE12A3" w14:paraId="337385B1" w14:textId="77777777" w:rsidTr="009F4766">
        <w:tc>
          <w:tcPr>
            <w:tcW w:w="1182" w:type="dxa"/>
            <w:tcBorders>
              <w:top w:val="single" w:sz="2" w:space="0" w:color="auto"/>
              <w:left w:val="single" w:sz="2" w:space="0" w:color="auto"/>
              <w:bottom w:val="single" w:sz="2" w:space="0" w:color="auto"/>
              <w:right w:val="single" w:sz="2" w:space="0" w:color="auto"/>
            </w:tcBorders>
          </w:tcPr>
          <w:p w14:paraId="10BA16AF" w14:textId="77777777" w:rsidR="009F4766" w:rsidRPr="00DE12A3" w:rsidRDefault="009F4766" w:rsidP="00C917D6">
            <w:pPr>
              <w:pStyle w:val="NormalLeft"/>
            </w:pPr>
            <w:r w:rsidRPr="00DE12A3">
              <w:t>280</w:t>
            </w:r>
          </w:p>
        </w:tc>
        <w:tc>
          <w:tcPr>
            <w:tcW w:w="2489" w:type="dxa"/>
            <w:tcBorders>
              <w:top w:val="single" w:sz="2" w:space="0" w:color="auto"/>
              <w:left w:val="single" w:sz="2" w:space="0" w:color="auto"/>
              <w:bottom w:val="single" w:sz="2" w:space="0" w:color="auto"/>
              <w:right w:val="single" w:sz="2" w:space="0" w:color="auto"/>
            </w:tcBorders>
          </w:tcPr>
          <w:p w14:paraId="4E04ED5F" w14:textId="77777777" w:rsidR="009F4766" w:rsidRPr="00DE12A3" w:rsidRDefault="009F4766" w:rsidP="00C917D6">
            <w:pPr>
              <w:pStyle w:val="NormalLeft"/>
            </w:pPr>
            <w:r w:rsidRPr="00DE12A3">
              <w:t>76</w:t>
            </w:r>
          </w:p>
        </w:tc>
        <w:tc>
          <w:tcPr>
            <w:tcW w:w="2551" w:type="dxa"/>
            <w:tcBorders>
              <w:top w:val="single" w:sz="2" w:space="0" w:color="auto"/>
              <w:left w:val="single" w:sz="2" w:space="0" w:color="auto"/>
              <w:bottom w:val="single" w:sz="2" w:space="0" w:color="auto"/>
              <w:right w:val="single" w:sz="2" w:space="0" w:color="auto"/>
            </w:tcBorders>
          </w:tcPr>
          <w:p w14:paraId="2E133F63" w14:textId="77777777" w:rsidR="009F4766" w:rsidRPr="00DE12A3" w:rsidRDefault="009F4766" w:rsidP="00C917D6">
            <w:pPr>
              <w:pStyle w:val="NormalLeft"/>
            </w:pPr>
            <w:r w:rsidRPr="00DE12A3">
              <w:t>63</w:t>
            </w:r>
          </w:p>
        </w:tc>
      </w:tr>
      <w:tr w:rsidR="00DE12A3" w:rsidRPr="00DE12A3" w14:paraId="2A92910C" w14:textId="77777777" w:rsidTr="009F4766">
        <w:tc>
          <w:tcPr>
            <w:tcW w:w="1182" w:type="dxa"/>
            <w:tcBorders>
              <w:top w:val="single" w:sz="2" w:space="0" w:color="auto"/>
              <w:left w:val="single" w:sz="2" w:space="0" w:color="auto"/>
              <w:bottom w:val="single" w:sz="2" w:space="0" w:color="auto"/>
              <w:right w:val="single" w:sz="2" w:space="0" w:color="auto"/>
            </w:tcBorders>
          </w:tcPr>
          <w:p w14:paraId="71DCB123" w14:textId="77777777" w:rsidR="009F4766" w:rsidRPr="00DE12A3" w:rsidRDefault="009F4766" w:rsidP="00C917D6">
            <w:pPr>
              <w:pStyle w:val="NormalLeft"/>
            </w:pPr>
            <w:r w:rsidRPr="00DE12A3">
              <w:t>281</w:t>
            </w:r>
          </w:p>
        </w:tc>
        <w:tc>
          <w:tcPr>
            <w:tcW w:w="2489" w:type="dxa"/>
            <w:tcBorders>
              <w:top w:val="single" w:sz="2" w:space="0" w:color="auto"/>
              <w:left w:val="single" w:sz="2" w:space="0" w:color="auto"/>
              <w:bottom w:val="single" w:sz="2" w:space="0" w:color="auto"/>
              <w:right w:val="single" w:sz="2" w:space="0" w:color="auto"/>
            </w:tcBorders>
          </w:tcPr>
          <w:p w14:paraId="3A8483C0" w14:textId="77777777" w:rsidR="009F4766" w:rsidRPr="00DE12A3" w:rsidRDefault="009F4766" w:rsidP="00C917D6">
            <w:pPr>
              <w:pStyle w:val="NormalLeft"/>
            </w:pPr>
            <w:r w:rsidRPr="00DE12A3">
              <w:t>80</w:t>
            </w:r>
          </w:p>
        </w:tc>
        <w:tc>
          <w:tcPr>
            <w:tcW w:w="2551" w:type="dxa"/>
            <w:tcBorders>
              <w:top w:val="single" w:sz="2" w:space="0" w:color="auto"/>
              <w:left w:val="single" w:sz="2" w:space="0" w:color="auto"/>
              <w:bottom w:val="single" w:sz="2" w:space="0" w:color="auto"/>
              <w:right w:val="single" w:sz="2" w:space="0" w:color="auto"/>
            </w:tcBorders>
          </w:tcPr>
          <w:p w14:paraId="08BF364B" w14:textId="77777777" w:rsidR="009F4766" w:rsidRPr="00DE12A3" w:rsidRDefault="009F4766" w:rsidP="00C917D6">
            <w:pPr>
              <w:pStyle w:val="NormalLeft"/>
            </w:pPr>
            <w:r w:rsidRPr="00DE12A3">
              <w:t>45</w:t>
            </w:r>
          </w:p>
        </w:tc>
      </w:tr>
      <w:tr w:rsidR="00DE12A3" w:rsidRPr="00DE12A3" w14:paraId="3281572C" w14:textId="77777777" w:rsidTr="009F4766">
        <w:tc>
          <w:tcPr>
            <w:tcW w:w="1182" w:type="dxa"/>
            <w:tcBorders>
              <w:top w:val="single" w:sz="2" w:space="0" w:color="auto"/>
              <w:left w:val="single" w:sz="2" w:space="0" w:color="auto"/>
              <w:bottom w:val="single" w:sz="2" w:space="0" w:color="auto"/>
              <w:right w:val="single" w:sz="2" w:space="0" w:color="auto"/>
            </w:tcBorders>
          </w:tcPr>
          <w:p w14:paraId="53D33CDE" w14:textId="77777777" w:rsidR="009F4766" w:rsidRPr="00DE12A3" w:rsidRDefault="009F4766" w:rsidP="00C917D6">
            <w:pPr>
              <w:pStyle w:val="NormalLeft"/>
            </w:pPr>
            <w:r w:rsidRPr="00DE12A3">
              <w:t>282</w:t>
            </w:r>
          </w:p>
        </w:tc>
        <w:tc>
          <w:tcPr>
            <w:tcW w:w="2489" w:type="dxa"/>
            <w:tcBorders>
              <w:top w:val="single" w:sz="2" w:space="0" w:color="auto"/>
              <w:left w:val="single" w:sz="2" w:space="0" w:color="auto"/>
              <w:bottom w:val="single" w:sz="2" w:space="0" w:color="auto"/>
              <w:right w:val="single" w:sz="2" w:space="0" w:color="auto"/>
            </w:tcBorders>
          </w:tcPr>
          <w:p w14:paraId="69D303BC" w14:textId="77777777" w:rsidR="009F4766" w:rsidRPr="00DE12A3" w:rsidRDefault="009F4766" w:rsidP="00C917D6">
            <w:pPr>
              <w:pStyle w:val="NormalLeft"/>
            </w:pPr>
            <w:r w:rsidRPr="00DE12A3">
              <w:t>83</w:t>
            </w:r>
          </w:p>
        </w:tc>
        <w:tc>
          <w:tcPr>
            <w:tcW w:w="2551" w:type="dxa"/>
            <w:tcBorders>
              <w:top w:val="single" w:sz="2" w:space="0" w:color="auto"/>
              <w:left w:val="single" w:sz="2" w:space="0" w:color="auto"/>
              <w:bottom w:val="single" w:sz="2" w:space="0" w:color="auto"/>
              <w:right w:val="single" w:sz="2" w:space="0" w:color="auto"/>
            </w:tcBorders>
          </w:tcPr>
          <w:p w14:paraId="5F43437F" w14:textId="77777777" w:rsidR="009F4766" w:rsidRPr="00DE12A3" w:rsidRDefault="009F4766" w:rsidP="00C917D6">
            <w:pPr>
              <w:pStyle w:val="NormalLeft"/>
            </w:pPr>
            <w:r w:rsidRPr="00DE12A3">
              <w:t>40</w:t>
            </w:r>
          </w:p>
        </w:tc>
      </w:tr>
      <w:tr w:rsidR="00DE12A3" w:rsidRPr="00DE12A3" w14:paraId="55337281" w14:textId="77777777" w:rsidTr="009F4766">
        <w:tc>
          <w:tcPr>
            <w:tcW w:w="1182" w:type="dxa"/>
            <w:tcBorders>
              <w:top w:val="single" w:sz="2" w:space="0" w:color="auto"/>
              <w:left w:val="single" w:sz="2" w:space="0" w:color="auto"/>
              <w:bottom w:val="single" w:sz="2" w:space="0" w:color="auto"/>
              <w:right w:val="single" w:sz="2" w:space="0" w:color="auto"/>
            </w:tcBorders>
          </w:tcPr>
          <w:p w14:paraId="26FA0C60" w14:textId="77777777" w:rsidR="009F4766" w:rsidRPr="00DE12A3" w:rsidRDefault="009F4766" w:rsidP="00C917D6">
            <w:pPr>
              <w:pStyle w:val="NormalLeft"/>
            </w:pPr>
            <w:r w:rsidRPr="00DE12A3">
              <w:t>283</w:t>
            </w:r>
          </w:p>
        </w:tc>
        <w:tc>
          <w:tcPr>
            <w:tcW w:w="2489" w:type="dxa"/>
            <w:tcBorders>
              <w:top w:val="single" w:sz="2" w:space="0" w:color="auto"/>
              <w:left w:val="single" w:sz="2" w:space="0" w:color="auto"/>
              <w:bottom w:val="single" w:sz="2" w:space="0" w:color="auto"/>
              <w:right w:val="single" w:sz="2" w:space="0" w:color="auto"/>
            </w:tcBorders>
          </w:tcPr>
          <w:p w14:paraId="61B98D19" w14:textId="77777777" w:rsidR="009F4766" w:rsidRPr="00DE12A3" w:rsidRDefault="009F4766" w:rsidP="00C917D6">
            <w:pPr>
              <w:pStyle w:val="NormalLeft"/>
            </w:pPr>
            <w:r w:rsidRPr="00DE12A3">
              <w:t>78</w:t>
            </w:r>
          </w:p>
        </w:tc>
        <w:tc>
          <w:tcPr>
            <w:tcW w:w="2551" w:type="dxa"/>
            <w:tcBorders>
              <w:top w:val="single" w:sz="2" w:space="0" w:color="auto"/>
              <w:left w:val="single" w:sz="2" w:space="0" w:color="auto"/>
              <w:bottom w:val="single" w:sz="2" w:space="0" w:color="auto"/>
              <w:right w:val="single" w:sz="2" w:space="0" w:color="auto"/>
            </w:tcBorders>
          </w:tcPr>
          <w:p w14:paraId="2666EA33" w14:textId="77777777" w:rsidR="009F4766" w:rsidRPr="00DE12A3" w:rsidRDefault="009F4766" w:rsidP="00C917D6">
            <w:pPr>
              <w:pStyle w:val="NormalLeft"/>
            </w:pPr>
            <w:r w:rsidRPr="00DE12A3">
              <w:t>26</w:t>
            </w:r>
          </w:p>
        </w:tc>
      </w:tr>
      <w:tr w:rsidR="00DE12A3" w:rsidRPr="00DE12A3" w14:paraId="288A4A2D" w14:textId="77777777" w:rsidTr="009F4766">
        <w:tc>
          <w:tcPr>
            <w:tcW w:w="1182" w:type="dxa"/>
            <w:tcBorders>
              <w:top w:val="single" w:sz="2" w:space="0" w:color="auto"/>
              <w:left w:val="single" w:sz="2" w:space="0" w:color="auto"/>
              <w:bottom w:val="single" w:sz="2" w:space="0" w:color="auto"/>
              <w:right w:val="single" w:sz="2" w:space="0" w:color="auto"/>
            </w:tcBorders>
          </w:tcPr>
          <w:p w14:paraId="31BC9FBF" w14:textId="77777777" w:rsidR="009F4766" w:rsidRPr="00DE12A3" w:rsidRDefault="009F4766" w:rsidP="00C917D6">
            <w:pPr>
              <w:pStyle w:val="NormalLeft"/>
            </w:pPr>
            <w:r w:rsidRPr="00DE12A3">
              <w:t>284</w:t>
            </w:r>
          </w:p>
        </w:tc>
        <w:tc>
          <w:tcPr>
            <w:tcW w:w="2489" w:type="dxa"/>
            <w:tcBorders>
              <w:top w:val="single" w:sz="2" w:space="0" w:color="auto"/>
              <w:left w:val="single" w:sz="2" w:space="0" w:color="auto"/>
              <w:bottom w:val="single" w:sz="2" w:space="0" w:color="auto"/>
              <w:right w:val="single" w:sz="2" w:space="0" w:color="auto"/>
            </w:tcBorders>
          </w:tcPr>
          <w:p w14:paraId="2C4936E8" w14:textId="77777777" w:rsidR="009F4766" w:rsidRPr="00DE12A3" w:rsidRDefault="009F4766" w:rsidP="00C917D6">
            <w:pPr>
              <w:pStyle w:val="NormalLeft"/>
            </w:pPr>
            <w:r w:rsidRPr="00DE12A3">
              <w:t>60</w:t>
            </w:r>
          </w:p>
        </w:tc>
        <w:tc>
          <w:tcPr>
            <w:tcW w:w="2551" w:type="dxa"/>
            <w:tcBorders>
              <w:top w:val="single" w:sz="2" w:space="0" w:color="auto"/>
              <w:left w:val="single" w:sz="2" w:space="0" w:color="auto"/>
              <w:bottom w:val="single" w:sz="2" w:space="0" w:color="auto"/>
              <w:right w:val="single" w:sz="2" w:space="0" w:color="auto"/>
            </w:tcBorders>
          </w:tcPr>
          <w:p w14:paraId="0FCC37ED" w14:textId="77777777" w:rsidR="009F4766" w:rsidRPr="00DE12A3" w:rsidRDefault="009F4766" w:rsidP="00C917D6">
            <w:pPr>
              <w:pStyle w:val="NormalLeft"/>
            </w:pPr>
            <w:r w:rsidRPr="00DE12A3">
              <w:t>20</w:t>
            </w:r>
          </w:p>
        </w:tc>
      </w:tr>
      <w:tr w:rsidR="00DE12A3" w:rsidRPr="00DE12A3" w14:paraId="5F49BF04" w14:textId="77777777" w:rsidTr="009F4766">
        <w:tc>
          <w:tcPr>
            <w:tcW w:w="1182" w:type="dxa"/>
            <w:tcBorders>
              <w:top w:val="single" w:sz="2" w:space="0" w:color="auto"/>
              <w:left w:val="single" w:sz="2" w:space="0" w:color="auto"/>
              <w:bottom w:val="single" w:sz="2" w:space="0" w:color="auto"/>
              <w:right w:val="single" w:sz="2" w:space="0" w:color="auto"/>
            </w:tcBorders>
          </w:tcPr>
          <w:p w14:paraId="5C4C7A56" w14:textId="77777777" w:rsidR="009F4766" w:rsidRPr="00DE12A3" w:rsidRDefault="009F4766" w:rsidP="00C917D6">
            <w:pPr>
              <w:pStyle w:val="NormalLeft"/>
            </w:pPr>
            <w:r w:rsidRPr="00DE12A3">
              <w:t>285</w:t>
            </w:r>
          </w:p>
        </w:tc>
        <w:tc>
          <w:tcPr>
            <w:tcW w:w="2489" w:type="dxa"/>
            <w:tcBorders>
              <w:top w:val="single" w:sz="2" w:space="0" w:color="auto"/>
              <w:left w:val="single" w:sz="2" w:space="0" w:color="auto"/>
              <w:bottom w:val="single" w:sz="2" w:space="0" w:color="auto"/>
              <w:right w:val="single" w:sz="2" w:space="0" w:color="auto"/>
            </w:tcBorders>
          </w:tcPr>
          <w:p w14:paraId="7CFE14D9" w14:textId="77777777" w:rsidR="009F4766" w:rsidRPr="00DE12A3" w:rsidRDefault="009F4766" w:rsidP="00C917D6">
            <w:pPr>
              <w:pStyle w:val="NormalLeft"/>
            </w:pPr>
            <w:r w:rsidRPr="00DE12A3">
              <w:t>47</w:t>
            </w:r>
          </w:p>
        </w:tc>
        <w:tc>
          <w:tcPr>
            <w:tcW w:w="2551" w:type="dxa"/>
            <w:tcBorders>
              <w:top w:val="single" w:sz="2" w:space="0" w:color="auto"/>
              <w:left w:val="single" w:sz="2" w:space="0" w:color="auto"/>
              <w:bottom w:val="single" w:sz="2" w:space="0" w:color="auto"/>
              <w:right w:val="single" w:sz="2" w:space="0" w:color="auto"/>
            </w:tcBorders>
          </w:tcPr>
          <w:p w14:paraId="3A72C058" w14:textId="77777777" w:rsidR="009F4766" w:rsidRPr="00DE12A3" w:rsidRDefault="009F4766" w:rsidP="00C917D6">
            <w:pPr>
              <w:pStyle w:val="NormalLeft"/>
            </w:pPr>
            <w:r w:rsidRPr="00DE12A3">
              <w:t>19</w:t>
            </w:r>
          </w:p>
        </w:tc>
      </w:tr>
      <w:tr w:rsidR="00DE12A3" w:rsidRPr="00DE12A3" w14:paraId="6AAB348E" w14:textId="77777777" w:rsidTr="009F4766">
        <w:tc>
          <w:tcPr>
            <w:tcW w:w="1182" w:type="dxa"/>
            <w:tcBorders>
              <w:top w:val="single" w:sz="2" w:space="0" w:color="auto"/>
              <w:left w:val="single" w:sz="2" w:space="0" w:color="auto"/>
              <w:bottom w:val="single" w:sz="2" w:space="0" w:color="auto"/>
              <w:right w:val="single" w:sz="2" w:space="0" w:color="auto"/>
            </w:tcBorders>
          </w:tcPr>
          <w:p w14:paraId="2B31EE7F" w14:textId="77777777" w:rsidR="009F4766" w:rsidRPr="00DE12A3" w:rsidRDefault="009F4766" w:rsidP="00C917D6">
            <w:pPr>
              <w:pStyle w:val="NormalLeft"/>
            </w:pPr>
            <w:r w:rsidRPr="00DE12A3">
              <w:t>286</w:t>
            </w:r>
          </w:p>
        </w:tc>
        <w:tc>
          <w:tcPr>
            <w:tcW w:w="2489" w:type="dxa"/>
            <w:tcBorders>
              <w:top w:val="single" w:sz="2" w:space="0" w:color="auto"/>
              <w:left w:val="single" w:sz="2" w:space="0" w:color="auto"/>
              <w:bottom w:val="single" w:sz="2" w:space="0" w:color="auto"/>
              <w:right w:val="single" w:sz="2" w:space="0" w:color="auto"/>
            </w:tcBorders>
          </w:tcPr>
          <w:p w14:paraId="35974326" w14:textId="77777777" w:rsidR="009F4766" w:rsidRPr="00DE12A3" w:rsidRDefault="009F4766" w:rsidP="00C917D6">
            <w:pPr>
              <w:pStyle w:val="NormalLeft"/>
            </w:pPr>
            <w:r w:rsidRPr="00DE12A3">
              <w:t>52</w:t>
            </w:r>
          </w:p>
        </w:tc>
        <w:tc>
          <w:tcPr>
            <w:tcW w:w="2551" w:type="dxa"/>
            <w:tcBorders>
              <w:top w:val="single" w:sz="2" w:space="0" w:color="auto"/>
              <w:left w:val="single" w:sz="2" w:space="0" w:color="auto"/>
              <w:bottom w:val="single" w:sz="2" w:space="0" w:color="auto"/>
              <w:right w:val="single" w:sz="2" w:space="0" w:color="auto"/>
            </w:tcBorders>
          </w:tcPr>
          <w:p w14:paraId="06F7C773" w14:textId="77777777" w:rsidR="009F4766" w:rsidRPr="00DE12A3" w:rsidRDefault="009F4766" w:rsidP="00C917D6">
            <w:pPr>
              <w:pStyle w:val="NormalLeft"/>
            </w:pPr>
            <w:r w:rsidRPr="00DE12A3">
              <w:t>25</w:t>
            </w:r>
          </w:p>
        </w:tc>
      </w:tr>
      <w:tr w:rsidR="00DE12A3" w:rsidRPr="00DE12A3" w14:paraId="236F14B9" w14:textId="77777777" w:rsidTr="009F4766">
        <w:tc>
          <w:tcPr>
            <w:tcW w:w="1182" w:type="dxa"/>
            <w:tcBorders>
              <w:top w:val="single" w:sz="2" w:space="0" w:color="auto"/>
              <w:left w:val="single" w:sz="2" w:space="0" w:color="auto"/>
              <w:bottom w:val="single" w:sz="2" w:space="0" w:color="auto"/>
              <w:right w:val="single" w:sz="2" w:space="0" w:color="auto"/>
            </w:tcBorders>
          </w:tcPr>
          <w:p w14:paraId="450C2B1D" w14:textId="77777777" w:rsidR="009F4766" w:rsidRPr="00DE12A3" w:rsidRDefault="009F4766" w:rsidP="00C917D6">
            <w:pPr>
              <w:pStyle w:val="NormalLeft"/>
            </w:pPr>
            <w:r w:rsidRPr="00DE12A3">
              <w:t>287</w:t>
            </w:r>
          </w:p>
        </w:tc>
        <w:tc>
          <w:tcPr>
            <w:tcW w:w="2489" w:type="dxa"/>
            <w:tcBorders>
              <w:top w:val="single" w:sz="2" w:space="0" w:color="auto"/>
              <w:left w:val="single" w:sz="2" w:space="0" w:color="auto"/>
              <w:bottom w:val="single" w:sz="2" w:space="0" w:color="auto"/>
              <w:right w:val="single" w:sz="2" w:space="0" w:color="auto"/>
            </w:tcBorders>
          </w:tcPr>
          <w:p w14:paraId="7EDED737" w14:textId="77777777" w:rsidR="009F4766" w:rsidRPr="00DE12A3" w:rsidRDefault="009F4766" w:rsidP="00C917D6">
            <w:pPr>
              <w:pStyle w:val="NormalLeft"/>
            </w:pPr>
            <w:r w:rsidRPr="00DE12A3">
              <w:t>36</w:t>
            </w:r>
          </w:p>
        </w:tc>
        <w:tc>
          <w:tcPr>
            <w:tcW w:w="2551" w:type="dxa"/>
            <w:tcBorders>
              <w:top w:val="single" w:sz="2" w:space="0" w:color="auto"/>
              <w:left w:val="single" w:sz="2" w:space="0" w:color="auto"/>
              <w:bottom w:val="single" w:sz="2" w:space="0" w:color="auto"/>
              <w:right w:val="single" w:sz="2" w:space="0" w:color="auto"/>
            </w:tcBorders>
          </w:tcPr>
          <w:p w14:paraId="45F35776" w14:textId="77777777" w:rsidR="009F4766" w:rsidRPr="00DE12A3" w:rsidRDefault="009F4766" w:rsidP="00C917D6">
            <w:pPr>
              <w:pStyle w:val="NormalLeft"/>
            </w:pPr>
            <w:r w:rsidRPr="00DE12A3">
              <w:t>30</w:t>
            </w:r>
          </w:p>
        </w:tc>
      </w:tr>
      <w:tr w:rsidR="00DE12A3" w:rsidRPr="00DE12A3" w14:paraId="60E8E68A" w14:textId="77777777" w:rsidTr="009F4766">
        <w:tc>
          <w:tcPr>
            <w:tcW w:w="1182" w:type="dxa"/>
            <w:tcBorders>
              <w:top w:val="single" w:sz="2" w:space="0" w:color="auto"/>
              <w:left w:val="single" w:sz="2" w:space="0" w:color="auto"/>
              <w:bottom w:val="single" w:sz="2" w:space="0" w:color="auto"/>
              <w:right w:val="single" w:sz="2" w:space="0" w:color="auto"/>
            </w:tcBorders>
          </w:tcPr>
          <w:p w14:paraId="777AC24A" w14:textId="77777777" w:rsidR="009F4766" w:rsidRPr="00DE12A3" w:rsidRDefault="009F4766" w:rsidP="00C917D6">
            <w:pPr>
              <w:pStyle w:val="NormalLeft"/>
            </w:pPr>
            <w:r w:rsidRPr="00DE12A3">
              <w:t>288</w:t>
            </w:r>
          </w:p>
        </w:tc>
        <w:tc>
          <w:tcPr>
            <w:tcW w:w="2489" w:type="dxa"/>
            <w:tcBorders>
              <w:top w:val="single" w:sz="2" w:space="0" w:color="auto"/>
              <w:left w:val="single" w:sz="2" w:space="0" w:color="auto"/>
              <w:bottom w:val="single" w:sz="2" w:space="0" w:color="auto"/>
              <w:right w:val="single" w:sz="2" w:space="0" w:color="auto"/>
            </w:tcBorders>
          </w:tcPr>
          <w:p w14:paraId="3B7C7CDB" w14:textId="77777777" w:rsidR="009F4766" w:rsidRPr="00DE12A3" w:rsidRDefault="009F4766" w:rsidP="00C917D6">
            <w:pPr>
              <w:pStyle w:val="NormalLeft"/>
            </w:pPr>
            <w:r w:rsidRPr="00DE12A3">
              <w:t>40</w:t>
            </w:r>
          </w:p>
        </w:tc>
        <w:tc>
          <w:tcPr>
            <w:tcW w:w="2551" w:type="dxa"/>
            <w:tcBorders>
              <w:top w:val="single" w:sz="2" w:space="0" w:color="auto"/>
              <w:left w:val="single" w:sz="2" w:space="0" w:color="auto"/>
              <w:bottom w:val="single" w:sz="2" w:space="0" w:color="auto"/>
              <w:right w:val="single" w:sz="2" w:space="0" w:color="auto"/>
            </w:tcBorders>
          </w:tcPr>
          <w:p w14:paraId="31CEADA8" w14:textId="77777777" w:rsidR="009F4766" w:rsidRPr="00DE12A3" w:rsidRDefault="009F4766" w:rsidP="00C917D6">
            <w:pPr>
              <w:pStyle w:val="NormalLeft"/>
            </w:pPr>
            <w:r w:rsidRPr="00DE12A3">
              <w:t>26</w:t>
            </w:r>
          </w:p>
        </w:tc>
      </w:tr>
      <w:tr w:rsidR="00DE12A3" w:rsidRPr="00DE12A3" w14:paraId="11D0AC9A" w14:textId="77777777" w:rsidTr="009F4766">
        <w:tc>
          <w:tcPr>
            <w:tcW w:w="1182" w:type="dxa"/>
            <w:tcBorders>
              <w:top w:val="single" w:sz="2" w:space="0" w:color="auto"/>
              <w:left w:val="single" w:sz="2" w:space="0" w:color="auto"/>
              <w:bottom w:val="single" w:sz="2" w:space="0" w:color="auto"/>
              <w:right w:val="single" w:sz="2" w:space="0" w:color="auto"/>
            </w:tcBorders>
          </w:tcPr>
          <w:p w14:paraId="61E1142C" w14:textId="77777777" w:rsidR="009F4766" w:rsidRPr="00DE12A3" w:rsidRDefault="009F4766" w:rsidP="00C917D6">
            <w:pPr>
              <w:pStyle w:val="NormalLeft"/>
            </w:pPr>
            <w:r w:rsidRPr="00DE12A3">
              <w:t>289</w:t>
            </w:r>
          </w:p>
        </w:tc>
        <w:tc>
          <w:tcPr>
            <w:tcW w:w="2489" w:type="dxa"/>
            <w:tcBorders>
              <w:top w:val="single" w:sz="2" w:space="0" w:color="auto"/>
              <w:left w:val="single" w:sz="2" w:space="0" w:color="auto"/>
              <w:bottom w:val="single" w:sz="2" w:space="0" w:color="auto"/>
              <w:right w:val="single" w:sz="2" w:space="0" w:color="auto"/>
            </w:tcBorders>
          </w:tcPr>
          <w:p w14:paraId="12CFC63C" w14:textId="77777777" w:rsidR="009F4766" w:rsidRPr="00DE12A3" w:rsidRDefault="009F4766" w:rsidP="00C917D6">
            <w:pPr>
              <w:pStyle w:val="NormalLeft"/>
            </w:pPr>
            <w:r w:rsidRPr="00DE12A3">
              <w:t>45</w:t>
            </w:r>
          </w:p>
        </w:tc>
        <w:tc>
          <w:tcPr>
            <w:tcW w:w="2551" w:type="dxa"/>
            <w:tcBorders>
              <w:top w:val="single" w:sz="2" w:space="0" w:color="auto"/>
              <w:left w:val="single" w:sz="2" w:space="0" w:color="auto"/>
              <w:bottom w:val="single" w:sz="2" w:space="0" w:color="auto"/>
              <w:right w:val="single" w:sz="2" w:space="0" w:color="auto"/>
            </w:tcBorders>
          </w:tcPr>
          <w:p w14:paraId="47F4B500" w14:textId="77777777" w:rsidR="009F4766" w:rsidRPr="00DE12A3" w:rsidRDefault="009F4766" w:rsidP="00C917D6">
            <w:pPr>
              <w:pStyle w:val="NormalLeft"/>
            </w:pPr>
            <w:r w:rsidRPr="00DE12A3">
              <w:t>34</w:t>
            </w:r>
          </w:p>
        </w:tc>
      </w:tr>
      <w:tr w:rsidR="00DE12A3" w:rsidRPr="00DE12A3" w14:paraId="2B369BAE" w14:textId="77777777" w:rsidTr="009F4766">
        <w:tc>
          <w:tcPr>
            <w:tcW w:w="1182" w:type="dxa"/>
            <w:tcBorders>
              <w:top w:val="single" w:sz="2" w:space="0" w:color="auto"/>
              <w:left w:val="single" w:sz="2" w:space="0" w:color="auto"/>
              <w:bottom w:val="single" w:sz="2" w:space="0" w:color="auto"/>
              <w:right w:val="single" w:sz="2" w:space="0" w:color="auto"/>
            </w:tcBorders>
          </w:tcPr>
          <w:p w14:paraId="0D7A3D21" w14:textId="77777777" w:rsidR="009F4766" w:rsidRPr="00DE12A3" w:rsidRDefault="009F4766" w:rsidP="00C917D6">
            <w:pPr>
              <w:pStyle w:val="NormalLeft"/>
            </w:pPr>
            <w:r w:rsidRPr="00DE12A3">
              <w:t>290</w:t>
            </w:r>
          </w:p>
        </w:tc>
        <w:tc>
          <w:tcPr>
            <w:tcW w:w="2489" w:type="dxa"/>
            <w:tcBorders>
              <w:top w:val="single" w:sz="2" w:space="0" w:color="auto"/>
              <w:left w:val="single" w:sz="2" w:space="0" w:color="auto"/>
              <w:bottom w:val="single" w:sz="2" w:space="0" w:color="auto"/>
              <w:right w:val="single" w:sz="2" w:space="0" w:color="auto"/>
            </w:tcBorders>
          </w:tcPr>
          <w:p w14:paraId="2587E2C6" w14:textId="77777777" w:rsidR="009F4766" w:rsidRPr="00DE12A3" w:rsidRDefault="009F4766" w:rsidP="00C917D6">
            <w:pPr>
              <w:pStyle w:val="NormalLeft"/>
            </w:pPr>
            <w:r w:rsidRPr="00DE12A3">
              <w:t>47</w:t>
            </w:r>
          </w:p>
        </w:tc>
        <w:tc>
          <w:tcPr>
            <w:tcW w:w="2551" w:type="dxa"/>
            <w:tcBorders>
              <w:top w:val="single" w:sz="2" w:space="0" w:color="auto"/>
              <w:left w:val="single" w:sz="2" w:space="0" w:color="auto"/>
              <w:bottom w:val="single" w:sz="2" w:space="0" w:color="auto"/>
              <w:right w:val="single" w:sz="2" w:space="0" w:color="auto"/>
            </w:tcBorders>
          </w:tcPr>
          <w:p w14:paraId="691379DA" w14:textId="77777777" w:rsidR="009F4766" w:rsidRPr="00DE12A3" w:rsidRDefault="009F4766" w:rsidP="00C917D6">
            <w:pPr>
              <w:pStyle w:val="NormalLeft"/>
            </w:pPr>
            <w:r w:rsidRPr="00DE12A3">
              <w:t>35</w:t>
            </w:r>
          </w:p>
        </w:tc>
      </w:tr>
      <w:tr w:rsidR="00DE12A3" w:rsidRPr="00DE12A3" w14:paraId="10A14BBA" w14:textId="77777777" w:rsidTr="009F4766">
        <w:tc>
          <w:tcPr>
            <w:tcW w:w="1182" w:type="dxa"/>
            <w:tcBorders>
              <w:top w:val="single" w:sz="2" w:space="0" w:color="auto"/>
              <w:left w:val="single" w:sz="2" w:space="0" w:color="auto"/>
              <w:bottom w:val="single" w:sz="2" w:space="0" w:color="auto"/>
              <w:right w:val="single" w:sz="2" w:space="0" w:color="auto"/>
            </w:tcBorders>
          </w:tcPr>
          <w:p w14:paraId="68FF22DF" w14:textId="77777777" w:rsidR="009F4766" w:rsidRPr="00DE12A3" w:rsidRDefault="009F4766" w:rsidP="00C917D6">
            <w:pPr>
              <w:pStyle w:val="NormalLeft"/>
            </w:pPr>
            <w:r w:rsidRPr="00DE12A3">
              <w:lastRenderedPageBreak/>
              <w:t>291</w:t>
            </w:r>
          </w:p>
        </w:tc>
        <w:tc>
          <w:tcPr>
            <w:tcW w:w="2489" w:type="dxa"/>
            <w:tcBorders>
              <w:top w:val="single" w:sz="2" w:space="0" w:color="auto"/>
              <w:left w:val="single" w:sz="2" w:space="0" w:color="auto"/>
              <w:bottom w:val="single" w:sz="2" w:space="0" w:color="auto"/>
              <w:right w:val="single" w:sz="2" w:space="0" w:color="auto"/>
            </w:tcBorders>
          </w:tcPr>
          <w:p w14:paraId="1EE9BBDA" w14:textId="77777777" w:rsidR="009F4766" w:rsidRPr="00DE12A3" w:rsidRDefault="009F4766" w:rsidP="00C917D6">
            <w:pPr>
              <w:pStyle w:val="NormalLeft"/>
            </w:pPr>
            <w:r w:rsidRPr="00DE12A3">
              <w:t>42</w:t>
            </w:r>
          </w:p>
        </w:tc>
        <w:tc>
          <w:tcPr>
            <w:tcW w:w="2551" w:type="dxa"/>
            <w:tcBorders>
              <w:top w:val="single" w:sz="2" w:space="0" w:color="auto"/>
              <w:left w:val="single" w:sz="2" w:space="0" w:color="auto"/>
              <w:bottom w:val="single" w:sz="2" w:space="0" w:color="auto"/>
              <w:right w:val="single" w:sz="2" w:space="0" w:color="auto"/>
            </w:tcBorders>
          </w:tcPr>
          <w:p w14:paraId="07D850D2" w14:textId="77777777" w:rsidR="009F4766" w:rsidRPr="00DE12A3" w:rsidRDefault="009F4766" w:rsidP="00C917D6">
            <w:pPr>
              <w:pStyle w:val="NormalLeft"/>
            </w:pPr>
            <w:r w:rsidRPr="00DE12A3">
              <w:t>28</w:t>
            </w:r>
          </w:p>
        </w:tc>
      </w:tr>
      <w:tr w:rsidR="00DE12A3" w:rsidRPr="00DE12A3" w14:paraId="5155274F" w14:textId="77777777" w:rsidTr="009F4766">
        <w:tc>
          <w:tcPr>
            <w:tcW w:w="1182" w:type="dxa"/>
            <w:tcBorders>
              <w:top w:val="single" w:sz="2" w:space="0" w:color="auto"/>
              <w:left w:val="single" w:sz="2" w:space="0" w:color="auto"/>
              <w:bottom w:val="single" w:sz="2" w:space="0" w:color="auto"/>
              <w:right w:val="single" w:sz="2" w:space="0" w:color="auto"/>
            </w:tcBorders>
          </w:tcPr>
          <w:p w14:paraId="16E2E455" w14:textId="77777777" w:rsidR="009F4766" w:rsidRPr="00DE12A3" w:rsidRDefault="009F4766" w:rsidP="00C917D6">
            <w:pPr>
              <w:pStyle w:val="NormalLeft"/>
            </w:pPr>
            <w:r w:rsidRPr="00DE12A3">
              <w:t>292</w:t>
            </w:r>
          </w:p>
        </w:tc>
        <w:tc>
          <w:tcPr>
            <w:tcW w:w="2489" w:type="dxa"/>
            <w:tcBorders>
              <w:top w:val="single" w:sz="2" w:space="0" w:color="auto"/>
              <w:left w:val="single" w:sz="2" w:space="0" w:color="auto"/>
              <w:bottom w:val="single" w:sz="2" w:space="0" w:color="auto"/>
              <w:right w:val="single" w:sz="2" w:space="0" w:color="auto"/>
            </w:tcBorders>
          </w:tcPr>
          <w:p w14:paraId="195E487A" w14:textId="77777777" w:rsidR="009F4766" w:rsidRPr="00DE12A3" w:rsidRDefault="009F4766" w:rsidP="00C917D6">
            <w:pPr>
              <w:pStyle w:val="NormalLeft"/>
            </w:pPr>
            <w:r w:rsidRPr="00DE12A3">
              <w:t>46</w:t>
            </w:r>
          </w:p>
        </w:tc>
        <w:tc>
          <w:tcPr>
            <w:tcW w:w="2551" w:type="dxa"/>
            <w:tcBorders>
              <w:top w:val="single" w:sz="2" w:space="0" w:color="auto"/>
              <w:left w:val="single" w:sz="2" w:space="0" w:color="auto"/>
              <w:bottom w:val="single" w:sz="2" w:space="0" w:color="auto"/>
              <w:right w:val="single" w:sz="2" w:space="0" w:color="auto"/>
            </w:tcBorders>
          </w:tcPr>
          <w:p w14:paraId="510F419E" w14:textId="77777777" w:rsidR="009F4766" w:rsidRPr="00DE12A3" w:rsidRDefault="009F4766" w:rsidP="00C917D6">
            <w:pPr>
              <w:pStyle w:val="NormalLeft"/>
            </w:pPr>
            <w:r w:rsidRPr="00DE12A3">
              <w:t>38</w:t>
            </w:r>
          </w:p>
        </w:tc>
      </w:tr>
      <w:tr w:rsidR="00DE12A3" w:rsidRPr="00DE12A3" w14:paraId="364DEDB4" w14:textId="77777777" w:rsidTr="009F4766">
        <w:tc>
          <w:tcPr>
            <w:tcW w:w="1182" w:type="dxa"/>
            <w:tcBorders>
              <w:top w:val="single" w:sz="2" w:space="0" w:color="auto"/>
              <w:left w:val="single" w:sz="2" w:space="0" w:color="auto"/>
              <w:bottom w:val="single" w:sz="2" w:space="0" w:color="auto"/>
              <w:right w:val="single" w:sz="2" w:space="0" w:color="auto"/>
            </w:tcBorders>
          </w:tcPr>
          <w:p w14:paraId="4AD1E488" w14:textId="77777777" w:rsidR="009F4766" w:rsidRPr="00DE12A3" w:rsidRDefault="009F4766" w:rsidP="00C917D6">
            <w:pPr>
              <w:pStyle w:val="NormalLeft"/>
            </w:pPr>
            <w:r w:rsidRPr="00DE12A3">
              <w:t>293</w:t>
            </w:r>
          </w:p>
        </w:tc>
        <w:tc>
          <w:tcPr>
            <w:tcW w:w="2489" w:type="dxa"/>
            <w:tcBorders>
              <w:top w:val="single" w:sz="2" w:space="0" w:color="auto"/>
              <w:left w:val="single" w:sz="2" w:space="0" w:color="auto"/>
              <w:bottom w:val="single" w:sz="2" w:space="0" w:color="auto"/>
              <w:right w:val="single" w:sz="2" w:space="0" w:color="auto"/>
            </w:tcBorders>
          </w:tcPr>
          <w:p w14:paraId="7138FF48" w14:textId="77777777" w:rsidR="009F4766" w:rsidRPr="00DE12A3" w:rsidRDefault="009F4766" w:rsidP="00C917D6">
            <w:pPr>
              <w:pStyle w:val="NormalLeft"/>
            </w:pPr>
            <w:r w:rsidRPr="00DE12A3">
              <w:t>48</w:t>
            </w:r>
          </w:p>
        </w:tc>
        <w:tc>
          <w:tcPr>
            <w:tcW w:w="2551" w:type="dxa"/>
            <w:tcBorders>
              <w:top w:val="single" w:sz="2" w:space="0" w:color="auto"/>
              <w:left w:val="single" w:sz="2" w:space="0" w:color="auto"/>
              <w:bottom w:val="single" w:sz="2" w:space="0" w:color="auto"/>
              <w:right w:val="single" w:sz="2" w:space="0" w:color="auto"/>
            </w:tcBorders>
          </w:tcPr>
          <w:p w14:paraId="32A6711B" w14:textId="77777777" w:rsidR="009F4766" w:rsidRPr="00DE12A3" w:rsidRDefault="009F4766" w:rsidP="00C917D6">
            <w:pPr>
              <w:pStyle w:val="NormalLeft"/>
            </w:pPr>
            <w:r w:rsidRPr="00DE12A3">
              <w:t>44</w:t>
            </w:r>
          </w:p>
        </w:tc>
      </w:tr>
      <w:tr w:rsidR="00DE12A3" w:rsidRPr="00DE12A3" w14:paraId="54E0ABDE" w14:textId="77777777" w:rsidTr="009F4766">
        <w:tc>
          <w:tcPr>
            <w:tcW w:w="1182" w:type="dxa"/>
            <w:tcBorders>
              <w:top w:val="single" w:sz="2" w:space="0" w:color="auto"/>
              <w:left w:val="single" w:sz="2" w:space="0" w:color="auto"/>
              <w:bottom w:val="single" w:sz="2" w:space="0" w:color="auto"/>
              <w:right w:val="single" w:sz="2" w:space="0" w:color="auto"/>
            </w:tcBorders>
          </w:tcPr>
          <w:p w14:paraId="66A4E483" w14:textId="77777777" w:rsidR="009F4766" w:rsidRPr="00DE12A3" w:rsidRDefault="009F4766" w:rsidP="00C917D6">
            <w:pPr>
              <w:pStyle w:val="NormalLeft"/>
            </w:pPr>
            <w:r w:rsidRPr="00DE12A3">
              <w:t>294</w:t>
            </w:r>
          </w:p>
        </w:tc>
        <w:tc>
          <w:tcPr>
            <w:tcW w:w="2489" w:type="dxa"/>
            <w:tcBorders>
              <w:top w:val="single" w:sz="2" w:space="0" w:color="auto"/>
              <w:left w:val="single" w:sz="2" w:space="0" w:color="auto"/>
              <w:bottom w:val="single" w:sz="2" w:space="0" w:color="auto"/>
              <w:right w:val="single" w:sz="2" w:space="0" w:color="auto"/>
            </w:tcBorders>
          </w:tcPr>
          <w:p w14:paraId="5EDF526D" w14:textId="77777777" w:rsidR="009F4766" w:rsidRPr="00DE12A3" w:rsidRDefault="009F4766" w:rsidP="00C917D6">
            <w:pPr>
              <w:pStyle w:val="NormalLeft"/>
            </w:pPr>
            <w:r w:rsidRPr="00DE12A3">
              <w:t>68</w:t>
            </w:r>
          </w:p>
        </w:tc>
        <w:tc>
          <w:tcPr>
            <w:tcW w:w="2551" w:type="dxa"/>
            <w:tcBorders>
              <w:top w:val="single" w:sz="2" w:space="0" w:color="auto"/>
              <w:left w:val="single" w:sz="2" w:space="0" w:color="auto"/>
              <w:bottom w:val="single" w:sz="2" w:space="0" w:color="auto"/>
              <w:right w:val="single" w:sz="2" w:space="0" w:color="auto"/>
            </w:tcBorders>
          </w:tcPr>
          <w:p w14:paraId="3869FB76" w14:textId="77777777" w:rsidR="009F4766" w:rsidRPr="00DE12A3" w:rsidRDefault="009F4766" w:rsidP="00C917D6">
            <w:pPr>
              <w:pStyle w:val="NormalLeft"/>
            </w:pPr>
            <w:r w:rsidRPr="00DE12A3">
              <w:t>61</w:t>
            </w:r>
          </w:p>
        </w:tc>
      </w:tr>
      <w:tr w:rsidR="00DE12A3" w:rsidRPr="00DE12A3" w14:paraId="078F3052" w14:textId="77777777" w:rsidTr="009F4766">
        <w:tc>
          <w:tcPr>
            <w:tcW w:w="1182" w:type="dxa"/>
            <w:tcBorders>
              <w:top w:val="single" w:sz="2" w:space="0" w:color="auto"/>
              <w:left w:val="single" w:sz="2" w:space="0" w:color="auto"/>
              <w:bottom w:val="single" w:sz="2" w:space="0" w:color="auto"/>
              <w:right w:val="single" w:sz="2" w:space="0" w:color="auto"/>
            </w:tcBorders>
          </w:tcPr>
          <w:p w14:paraId="4A2E40DC" w14:textId="77777777" w:rsidR="009F4766" w:rsidRPr="00DE12A3" w:rsidRDefault="009F4766" w:rsidP="00C917D6">
            <w:pPr>
              <w:pStyle w:val="NormalLeft"/>
            </w:pPr>
            <w:r w:rsidRPr="00DE12A3">
              <w:t>295</w:t>
            </w:r>
          </w:p>
        </w:tc>
        <w:tc>
          <w:tcPr>
            <w:tcW w:w="2489" w:type="dxa"/>
            <w:tcBorders>
              <w:top w:val="single" w:sz="2" w:space="0" w:color="auto"/>
              <w:left w:val="single" w:sz="2" w:space="0" w:color="auto"/>
              <w:bottom w:val="single" w:sz="2" w:space="0" w:color="auto"/>
              <w:right w:val="single" w:sz="2" w:space="0" w:color="auto"/>
            </w:tcBorders>
          </w:tcPr>
          <w:p w14:paraId="6B7B1043" w14:textId="77777777" w:rsidR="009F4766" w:rsidRPr="00DE12A3" w:rsidRDefault="009F4766" w:rsidP="00C917D6">
            <w:pPr>
              <w:pStyle w:val="NormalLeft"/>
            </w:pPr>
            <w:r w:rsidRPr="00DE12A3">
              <w:t>70</w:t>
            </w:r>
          </w:p>
        </w:tc>
        <w:tc>
          <w:tcPr>
            <w:tcW w:w="2551" w:type="dxa"/>
            <w:tcBorders>
              <w:top w:val="single" w:sz="2" w:space="0" w:color="auto"/>
              <w:left w:val="single" w:sz="2" w:space="0" w:color="auto"/>
              <w:bottom w:val="single" w:sz="2" w:space="0" w:color="auto"/>
              <w:right w:val="single" w:sz="2" w:space="0" w:color="auto"/>
            </w:tcBorders>
          </w:tcPr>
          <w:p w14:paraId="6B2BBA19" w14:textId="77777777" w:rsidR="009F4766" w:rsidRPr="00DE12A3" w:rsidRDefault="009F4766" w:rsidP="00C917D6">
            <w:pPr>
              <w:pStyle w:val="NormalLeft"/>
            </w:pPr>
            <w:r w:rsidRPr="00DE12A3">
              <w:t>47</w:t>
            </w:r>
          </w:p>
        </w:tc>
      </w:tr>
      <w:tr w:rsidR="00DE12A3" w:rsidRPr="00DE12A3" w14:paraId="3A843024" w14:textId="77777777" w:rsidTr="009F4766">
        <w:tc>
          <w:tcPr>
            <w:tcW w:w="1182" w:type="dxa"/>
            <w:tcBorders>
              <w:top w:val="single" w:sz="2" w:space="0" w:color="auto"/>
              <w:left w:val="single" w:sz="2" w:space="0" w:color="auto"/>
              <w:bottom w:val="single" w:sz="2" w:space="0" w:color="auto"/>
              <w:right w:val="single" w:sz="2" w:space="0" w:color="auto"/>
            </w:tcBorders>
          </w:tcPr>
          <w:p w14:paraId="1B3D682C" w14:textId="77777777" w:rsidR="009F4766" w:rsidRPr="00DE12A3" w:rsidRDefault="009F4766" w:rsidP="00C917D6">
            <w:pPr>
              <w:pStyle w:val="NormalLeft"/>
            </w:pPr>
            <w:r w:rsidRPr="00DE12A3">
              <w:t>296</w:t>
            </w:r>
          </w:p>
        </w:tc>
        <w:tc>
          <w:tcPr>
            <w:tcW w:w="2489" w:type="dxa"/>
            <w:tcBorders>
              <w:top w:val="single" w:sz="2" w:space="0" w:color="auto"/>
              <w:left w:val="single" w:sz="2" w:space="0" w:color="auto"/>
              <w:bottom w:val="single" w:sz="2" w:space="0" w:color="auto"/>
              <w:right w:val="single" w:sz="2" w:space="0" w:color="auto"/>
            </w:tcBorders>
          </w:tcPr>
          <w:p w14:paraId="1DD2242C" w14:textId="77777777" w:rsidR="009F4766" w:rsidRPr="00DE12A3" w:rsidRDefault="009F4766" w:rsidP="00C917D6">
            <w:pPr>
              <w:pStyle w:val="NormalLeft"/>
            </w:pPr>
            <w:r w:rsidRPr="00DE12A3">
              <w:t>48</w:t>
            </w:r>
          </w:p>
        </w:tc>
        <w:tc>
          <w:tcPr>
            <w:tcW w:w="2551" w:type="dxa"/>
            <w:tcBorders>
              <w:top w:val="single" w:sz="2" w:space="0" w:color="auto"/>
              <w:left w:val="single" w:sz="2" w:space="0" w:color="auto"/>
              <w:bottom w:val="single" w:sz="2" w:space="0" w:color="auto"/>
              <w:right w:val="single" w:sz="2" w:space="0" w:color="auto"/>
            </w:tcBorders>
          </w:tcPr>
          <w:p w14:paraId="21C26AB4" w14:textId="77777777" w:rsidR="009F4766" w:rsidRPr="00DE12A3" w:rsidRDefault="009F4766" w:rsidP="00C917D6">
            <w:pPr>
              <w:pStyle w:val="NormalLeft"/>
            </w:pPr>
            <w:r w:rsidRPr="00DE12A3">
              <w:t>28</w:t>
            </w:r>
          </w:p>
        </w:tc>
      </w:tr>
      <w:tr w:rsidR="00DE12A3" w:rsidRPr="00DE12A3" w14:paraId="208DF108" w14:textId="77777777" w:rsidTr="009F4766">
        <w:tc>
          <w:tcPr>
            <w:tcW w:w="1182" w:type="dxa"/>
            <w:tcBorders>
              <w:top w:val="single" w:sz="2" w:space="0" w:color="auto"/>
              <w:left w:val="single" w:sz="2" w:space="0" w:color="auto"/>
              <w:bottom w:val="single" w:sz="2" w:space="0" w:color="auto"/>
              <w:right w:val="single" w:sz="2" w:space="0" w:color="auto"/>
            </w:tcBorders>
          </w:tcPr>
          <w:p w14:paraId="7C37AA1E" w14:textId="77777777" w:rsidR="009F4766" w:rsidRPr="00DE12A3" w:rsidRDefault="009F4766" w:rsidP="00C917D6">
            <w:pPr>
              <w:pStyle w:val="NormalLeft"/>
            </w:pPr>
            <w:r w:rsidRPr="00DE12A3">
              <w:t>297</w:t>
            </w:r>
          </w:p>
        </w:tc>
        <w:tc>
          <w:tcPr>
            <w:tcW w:w="2489" w:type="dxa"/>
            <w:tcBorders>
              <w:top w:val="single" w:sz="2" w:space="0" w:color="auto"/>
              <w:left w:val="single" w:sz="2" w:space="0" w:color="auto"/>
              <w:bottom w:val="single" w:sz="2" w:space="0" w:color="auto"/>
              <w:right w:val="single" w:sz="2" w:space="0" w:color="auto"/>
            </w:tcBorders>
          </w:tcPr>
          <w:p w14:paraId="7E864751" w14:textId="77777777" w:rsidR="009F4766" w:rsidRPr="00DE12A3" w:rsidRDefault="009F4766" w:rsidP="00C917D6">
            <w:pPr>
              <w:pStyle w:val="NormalLeft"/>
            </w:pPr>
            <w:r w:rsidRPr="00DE12A3">
              <w:t>42</w:t>
            </w:r>
          </w:p>
        </w:tc>
        <w:tc>
          <w:tcPr>
            <w:tcW w:w="2551" w:type="dxa"/>
            <w:tcBorders>
              <w:top w:val="single" w:sz="2" w:space="0" w:color="auto"/>
              <w:left w:val="single" w:sz="2" w:space="0" w:color="auto"/>
              <w:bottom w:val="single" w:sz="2" w:space="0" w:color="auto"/>
              <w:right w:val="single" w:sz="2" w:space="0" w:color="auto"/>
            </w:tcBorders>
          </w:tcPr>
          <w:p w14:paraId="006AE98A" w14:textId="77777777" w:rsidR="009F4766" w:rsidRPr="00DE12A3" w:rsidRDefault="009F4766" w:rsidP="00C917D6">
            <w:pPr>
              <w:pStyle w:val="NormalLeft"/>
            </w:pPr>
            <w:r w:rsidRPr="00DE12A3">
              <w:t>22</w:t>
            </w:r>
          </w:p>
        </w:tc>
      </w:tr>
      <w:tr w:rsidR="00DE12A3" w:rsidRPr="00DE12A3" w14:paraId="44B6BA64" w14:textId="77777777" w:rsidTr="009F4766">
        <w:tc>
          <w:tcPr>
            <w:tcW w:w="1182" w:type="dxa"/>
            <w:tcBorders>
              <w:top w:val="single" w:sz="2" w:space="0" w:color="auto"/>
              <w:left w:val="single" w:sz="2" w:space="0" w:color="auto"/>
              <w:bottom w:val="single" w:sz="2" w:space="0" w:color="auto"/>
              <w:right w:val="single" w:sz="2" w:space="0" w:color="auto"/>
            </w:tcBorders>
          </w:tcPr>
          <w:p w14:paraId="00648598" w14:textId="77777777" w:rsidR="009F4766" w:rsidRPr="00DE12A3" w:rsidRDefault="009F4766" w:rsidP="00C917D6">
            <w:pPr>
              <w:pStyle w:val="NormalLeft"/>
            </w:pPr>
            <w:r w:rsidRPr="00DE12A3">
              <w:t>298</w:t>
            </w:r>
          </w:p>
        </w:tc>
        <w:tc>
          <w:tcPr>
            <w:tcW w:w="2489" w:type="dxa"/>
            <w:tcBorders>
              <w:top w:val="single" w:sz="2" w:space="0" w:color="auto"/>
              <w:left w:val="single" w:sz="2" w:space="0" w:color="auto"/>
              <w:bottom w:val="single" w:sz="2" w:space="0" w:color="auto"/>
              <w:right w:val="single" w:sz="2" w:space="0" w:color="auto"/>
            </w:tcBorders>
          </w:tcPr>
          <w:p w14:paraId="2B65D45A" w14:textId="77777777" w:rsidR="009F4766" w:rsidRPr="00DE12A3" w:rsidRDefault="009F4766" w:rsidP="00C917D6">
            <w:pPr>
              <w:pStyle w:val="NormalLeft"/>
            </w:pPr>
            <w:r w:rsidRPr="00DE12A3">
              <w:t>31</w:t>
            </w:r>
          </w:p>
        </w:tc>
        <w:tc>
          <w:tcPr>
            <w:tcW w:w="2551" w:type="dxa"/>
            <w:tcBorders>
              <w:top w:val="single" w:sz="2" w:space="0" w:color="auto"/>
              <w:left w:val="single" w:sz="2" w:space="0" w:color="auto"/>
              <w:bottom w:val="single" w:sz="2" w:space="0" w:color="auto"/>
              <w:right w:val="single" w:sz="2" w:space="0" w:color="auto"/>
            </w:tcBorders>
          </w:tcPr>
          <w:p w14:paraId="7C903E66" w14:textId="77777777" w:rsidR="009F4766" w:rsidRPr="00DE12A3" w:rsidRDefault="009F4766" w:rsidP="00C917D6">
            <w:pPr>
              <w:pStyle w:val="NormalLeft"/>
            </w:pPr>
            <w:r w:rsidRPr="00DE12A3">
              <w:t>29</w:t>
            </w:r>
          </w:p>
        </w:tc>
      </w:tr>
      <w:tr w:rsidR="00DE12A3" w:rsidRPr="00DE12A3" w14:paraId="0F2F3D9F" w14:textId="77777777" w:rsidTr="009F4766">
        <w:tc>
          <w:tcPr>
            <w:tcW w:w="1182" w:type="dxa"/>
            <w:tcBorders>
              <w:top w:val="single" w:sz="2" w:space="0" w:color="auto"/>
              <w:left w:val="single" w:sz="2" w:space="0" w:color="auto"/>
              <w:bottom w:val="single" w:sz="2" w:space="0" w:color="auto"/>
              <w:right w:val="single" w:sz="2" w:space="0" w:color="auto"/>
            </w:tcBorders>
          </w:tcPr>
          <w:p w14:paraId="31195CC7" w14:textId="77777777" w:rsidR="009F4766" w:rsidRPr="00DE12A3" w:rsidRDefault="009F4766" w:rsidP="00C917D6">
            <w:pPr>
              <w:pStyle w:val="NormalLeft"/>
            </w:pPr>
            <w:r w:rsidRPr="00DE12A3">
              <w:t>299</w:t>
            </w:r>
          </w:p>
        </w:tc>
        <w:tc>
          <w:tcPr>
            <w:tcW w:w="2489" w:type="dxa"/>
            <w:tcBorders>
              <w:top w:val="single" w:sz="2" w:space="0" w:color="auto"/>
              <w:left w:val="single" w:sz="2" w:space="0" w:color="auto"/>
              <w:bottom w:val="single" w:sz="2" w:space="0" w:color="auto"/>
              <w:right w:val="single" w:sz="2" w:space="0" w:color="auto"/>
            </w:tcBorders>
          </w:tcPr>
          <w:p w14:paraId="35091EF4" w14:textId="77777777" w:rsidR="009F4766" w:rsidRPr="00DE12A3" w:rsidRDefault="009F4766" w:rsidP="00C917D6">
            <w:pPr>
              <w:pStyle w:val="NormalLeft"/>
            </w:pPr>
            <w:r w:rsidRPr="00DE12A3">
              <w:t>22</w:t>
            </w:r>
          </w:p>
        </w:tc>
        <w:tc>
          <w:tcPr>
            <w:tcW w:w="2551" w:type="dxa"/>
            <w:tcBorders>
              <w:top w:val="single" w:sz="2" w:space="0" w:color="auto"/>
              <w:left w:val="single" w:sz="2" w:space="0" w:color="auto"/>
              <w:bottom w:val="single" w:sz="2" w:space="0" w:color="auto"/>
              <w:right w:val="single" w:sz="2" w:space="0" w:color="auto"/>
            </w:tcBorders>
          </w:tcPr>
          <w:p w14:paraId="39F53641" w14:textId="77777777" w:rsidR="009F4766" w:rsidRPr="00DE12A3" w:rsidRDefault="009F4766" w:rsidP="00C917D6">
            <w:pPr>
              <w:pStyle w:val="NormalLeft"/>
            </w:pPr>
            <w:r w:rsidRPr="00DE12A3">
              <w:t>35</w:t>
            </w:r>
          </w:p>
        </w:tc>
      </w:tr>
      <w:tr w:rsidR="00DE12A3" w:rsidRPr="00DE12A3" w14:paraId="1F5C51A0" w14:textId="77777777" w:rsidTr="009F4766">
        <w:tc>
          <w:tcPr>
            <w:tcW w:w="1182" w:type="dxa"/>
            <w:tcBorders>
              <w:top w:val="single" w:sz="2" w:space="0" w:color="auto"/>
              <w:left w:val="single" w:sz="2" w:space="0" w:color="auto"/>
              <w:bottom w:val="single" w:sz="2" w:space="0" w:color="auto"/>
              <w:right w:val="single" w:sz="2" w:space="0" w:color="auto"/>
            </w:tcBorders>
          </w:tcPr>
          <w:p w14:paraId="225BC6B8" w14:textId="77777777" w:rsidR="009F4766" w:rsidRPr="00DE12A3" w:rsidRDefault="009F4766" w:rsidP="00C917D6">
            <w:pPr>
              <w:pStyle w:val="NormalLeft"/>
            </w:pPr>
            <w:r w:rsidRPr="00DE12A3">
              <w:t>300</w:t>
            </w:r>
          </w:p>
        </w:tc>
        <w:tc>
          <w:tcPr>
            <w:tcW w:w="2489" w:type="dxa"/>
            <w:tcBorders>
              <w:top w:val="single" w:sz="2" w:space="0" w:color="auto"/>
              <w:left w:val="single" w:sz="2" w:space="0" w:color="auto"/>
              <w:bottom w:val="single" w:sz="2" w:space="0" w:color="auto"/>
              <w:right w:val="single" w:sz="2" w:space="0" w:color="auto"/>
            </w:tcBorders>
          </w:tcPr>
          <w:p w14:paraId="35E33F09" w14:textId="77777777" w:rsidR="009F4766" w:rsidRPr="00DE12A3" w:rsidRDefault="009F4766" w:rsidP="00C917D6">
            <w:pPr>
              <w:pStyle w:val="NormalLeft"/>
            </w:pPr>
            <w:r w:rsidRPr="00DE12A3">
              <w:t>28</w:t>
            </w:r>
          </w:p>
        </w:tc>
        <w:tc>
          <w:tcPr>
            <w:tcW w:w="2551" w:type="dxa"/>
            <w:tcBorders>
              <w:top w:val="single" w:sz="2" w:space="0" w:color="auto"/>
              <w:left w:val="single" w:sz="2" w:space="0" w:color="auto"/>
              <w:bottom w:val="single" w:sz="2" w:space="0" w:color="auto"/>
              <w:right w:val="single" w:sz="2" w:space="0" w:color="auto"/>
            </w:tcBorders>
          </w:tcPr>
          <w:p w14:paraId="69F60CF7" w14:textId="77777777" w:rsidR="009F4766" w:rsidRPr="00DE12A3" w:rsidRDefault="009F4766" w:rsidP="00C917D6">
            <w:pPr>
              <w:pStyle w:val="NormalLeft"/>
            </w:pPr>
            <w:r w:rsidRPr="00DE12A3">
              <w:t>28</w:t>
            </w:r>
          </w:p>
        </w:tc>
      </w:tr>
      <w:tr w:rsidR="00DE12A3" w:rsidRPr="00DE12A3" w14:paraId="50B71A57" w14:textId="77777777" w:rsidTr="009F4766">
        <w:tc>
          <w:tcPr>
            <w:tcW w:w="1182" w:type="dxa"/>
            <w:tcBorders>
              <w:top w:val="single" w:sz="2" w:space="0" w:color="auto"/>
              <w:left w:val="single" w:sz="2" w:space="0" w:color="auto"/>
              <w:bottom w:val="single" w:sz="2" w:space="0" w:color="auto"/>
              <w:right w:val="single" w:sz="2" w:space="0" w:color="auto"/>
            </w:tcBorders>
          </w:tcPr>
          <w:p w14:paraId="33B41E33" w14:textId="77777777" w:rsidR="009F4766" w:rsidRPr="00DE12A3" w:rsidRDefault="009F4766" w:rsidP="00C917D6">
            <w:pPr>
              <w:pStyle w:val="NormalLeft"/>
            </w:pPr>
            <w:r w:rsidRPr="00DE12A3">
              <w:t>301</w:t>
            </w:r>
          </w:p>
        </w:tc>
        <w:tc>
          <w:tcPr>
            <w:tcW w:w="2489" w:type="dxa"/>
            <w:tcBorders>
              <w:top w:val="single" w:sz="2" w:space="0" w:color="auto"/>
              <w:left w:val="single" w:sz="2" w:space="0" w:color="auto"/>
              <w:bottom w:val="single" w:sz="2" w:space="0" w:color="auto"/>
              <w:right w:val="single" w:sz="2" w:space="0" w:color="auto"/>
            </w:tcBorders>
          </w:tcPr>
          <w:p w14:paraId="1FF75169" w14:textId="77777777" w:rsidR="009F4766" w:rsidRPr="00DE12A3" w:rsidRDefault="009F4766" w:rsidP="00C917D6">
            <w:pPr>
              <w:pStyle w:val="NormalLeft"/>
            </w:pPr>
            <w:r w:rsidRPr="00DE12A3">
              <w:t>46</w:t>
            </w:r>
          </w:p>
        </w:tc>
        <w:tc>
          <w:tcPr>
            <w:tcW w:w="2551" w:type="dxa"/>
            <w:tcBorders>
              <w:top w:val="single" w:sz="2" w:space="0" w:color="auto"/>
              <w:left w:val="single" w:sz="2" w:space="0" w:color="auto"/>
              <w:bottom w:val="single" w:sz="2" w:space="0" w:color="auto"/>
              <w:right w:val="single" w:sz="2" w:space="0" w:color="auto"/>
            </w:tcBorders>
          </w:tcPr>
          <w:p w14:paraId="6DFAFC8A" w14:textId="77777777" w:rsidR="009F4766" w:rsidRPr="00DE12A3" w:rsidRDefault="009F4766" w:rsidP="00C917D6">
            <w:pPr>
              <w:pStyle w:val="NormalLeft"/>
            </w:pPr>
            <w:r w:rsidRPr="00DE12A3">
              <w:t>46</w:t>
            </w:r>
          </w:p>
        </w:tc>
      </w:tr>
      <w:tr w:rsidR="00DE12A3" w:rsidRPr="00DE12A3" w14:paraId="35DC4E59" w14:textId="77777777" w:rsidTr="009F4766">
        <w:tc>
          <w:tcPr>
            <w:tcW w:w="1182" w:type="dxa"/>
            <w:tcBorders>
              <w:top w:val="single" w:sz="2" w:space="0" w:color="auto"/>
              <w:left w:val="single" w:sz="2" w:space="0" w:color="auto"/>
              <w:bottom w:val="single" w:sz="2" w:space="0" w:color="auto"/>
              <w:right w:val="single" w:sz="2" w:space="0" w:color="auto"/>
            </w:tcBorders>
          </w:tcPr>
          <w:p w14:paraId="1B7A5E24" w14:textId="77777777" w:rsidR="009F4766" w:rsidRPr="00DE12A3" w:rsidRDefault="009F4766" w:rsidP="00C917D6">
            <w:pPr>
              <w:pStyle w:val="NormalLeft"/>
            </w:pPr>
            <w:r w:rsidRPr="00DE12A3">
              <w:t>302</w:t>
            </w:r>
          </w:p>
        </w:tc>
        <w:tc>
          <w:tcPr>
            <w:tcW w:w="2489" w:type="dxa"/>
            <w:tcBorders>
              <w:top w:val="single" w:sz="2" w:space="0" w:color="auto"/>
              <w:left w:val="single" w:sz="2" w:space="0" w:color="auto"/>
              <w:bottom w:val="single" w:sz="2" w:space="0" w:color="auto"/>
              <w:right w:val="single" w:sz="2" w:space="0" w:color="auto"/>
            </w:tcBorders>
          </w:tcPr>
          <w:p w14:paraId="407A3916" w14:textId="77777777" w:rsidR="009F4766" w:rsidRPr="00DE12A3" w:rsidRDefault="009F4766" w:rsidP="00C917D6">
            <w:pPr>
              <w:pStyle w:val="NormalLeft"/>
            </w:pPr>
            <w:r w:rsidRPr="00DE12A3">
              <w:t>62</w:t>
            </w:r>
          </w:p>
        </w:tc>
        <w:tc>
          <w:tcPr>
            <w:tcW w:w="2551" w:type="dxa"/>
            <w:tcBorders>
              <w:top w:val="single" w:sz="2" w:space="0" w:color="auto"/>
              <w:left w:val="single" w:sz="2" w:space="0" w:color="auto"/>
              <w:bottom w:val="single" w:sz="2" w:space="0" w:color="auto"/>
              <w:right w:val="single" w:sz="2" w:space="0" w:color="auto"/>
            </w:tcBorders>
          </w:tcPr>
          <w:p w14:paraId="2BECC8B3" w14:textId="77777777" w:rsidR="009F4766" w:rsidRPr="00DE12A3" w:rsidRDefault="009F4766" w:rsidP="00C917D6">
            <w:pPr>
              <w:pStyle w:val="NormalLeft"/>
            </w:pPr>
            <w:r w:rsidRPr="00DE12A3">
              <w:t>69</w:t>
            </w:r>
          </w:p>
        </w:tc>
      </w:tr>
      <w:tr w:rsidR="00DE12A3" w:rsidRPr="00DE12A3" w14:paraId="5971B8E9" w14:textId="77777777" w:rsidTr="009F4766">
        <w:tc>
          <w:tcPr>
            <w:tcW w:w="1182" w:type="dxa"/>
            <w:tcBorders>
              <w:top w:val="single" w:sz="2" w:space="0" w:color="auto"/>
              <w:left w:val="single" w:sz="2" w:space="0" w:color="auto"/>
              <w:bottom w:val="single" w:sz="2" w:space="0" w:color="auto"/>
              <w:right w:val="single" w:sz="2" w:space="0" w:color="auto"/>
            </w:tcBorders>
          </w:tcPr>
          <w:p w14:paraId="5FB68592" w14:textId="77777777" w:rsidR="009F4766" w:rsidRPr="00DE12A3" w:rsidRDefault="009F4766" w:rsidP="00C917D6">
            <w:pPr>
              <w:pStyle w:val="NormalLeft"/>
            </w:pPr>
            <w:r w:rsidRPr="00DE12A3">
              <w:t>303</w:t>
            </w:r>
          </w:p>
        </w:tc>
        <w:tc>
          <w:tcPr>
            <w:tcW w:w="2489" w:type="dxa"/>
            <w:tcBorders>
              <w:top w:val="single" w:sz="2" w:space="0" w:color="auto"/>
              <w:left w:val="single" w:sz="2" w:space="0" w:color="auto"/>
              <w:bottom w:val="single" w:sz="2" w:space="0" w:color="auto"/>
              <w:right w:val="single" w:sz="2" w:space="0" w:color="auto"/>
            </w:tcBorders>
          </w:tcPr>
          <w:p w14:paraId="782F18B0" w14:textId="77777777" w:rsidR="009F4766" w:rsidRPr="00DE12A3" w:rsidRDefault="009F4766" w:rsidP="00C917D6">
            <w:pPr>
              <w:pStyle w:val="NormalLeft"/>
            </w:pPr>
            <w:r w:rsidRPr="00DE12A3">
              <w:t>76</w:t>
            </w:r>
          </w:p>
        </w:tc>
        <w:tc>
          <w:tcPr>
            <w:tcW w:w="2551" w:type="dxa"/>
            <w:tcBorders>
              <w:top w:val="single" w:sz="2" w:space="0" w:color="auto"/>
              <w:left w:val="single" w:sz="2" w:space="0" w:color="auto"/>
              <w:bottom w:val="single" w:sz="2" w:space="0" w:color="auto"/>
              <w:right w:val="single" w:sz="2" w:space="0" w:color="auto"/>
            </w:tcBorders>
          </w:tcPr>
          <w:p w14:paraId="41D3124C" w14:textId="77777777" w:rsidR="009F4766" w:rsidRPr="00DE12A3" w:rsidRDefault="009F4766" w:rsidP="00C917D6">
            <w:pPr>
              <w:pStyle w:val="NormalLeft"/>
            </w:pPr>
            <w:r w:rsidRPr="00DE12A3">
              <w:t>81</w:t>
            </w:r>
          </w:p>
        </w:tc>
      </w:tr>
      <w:tr w:rsidR="00DE12A3" w:rsidRPr="00DE12A3" w14:paraId="577712DE" w14:textId="77777777" w:rsidTr="009F4766">
        <w:tc>
          <w:tcPr>
            <w:tcW w:w="1182" w:type="dxa"/>
            <w:tcBorders>
              <w:top w:val="single" w:sz="2" w:space="0" w:color="auto"/>
              <w:left w:val="single" w:sz="2" w:space="0" w:color="auto"/>
              <w:bottom w:val="single" w:sz="2" w:space="0" w:color="auto"/>
              <w:right w:val="single" w:sz="2" w:space="0" w:color="auto"/>
            </w:tcBorders>
          </w:tcPr>
          <w:p w14:paraId="7ACFB189" w14:textId="77777777" w:rsidR="009F4766" w:rsidRPr="00DE12A3" w:rsidRDefault="009F4766" w:rsidP="00C917D6">
            <w:pPr>
              <w:pStyle w:val="NormalLeft"/>
            </w:pPr>
            <w:r w:rsidRPr="00DE12A3">
              <w:t>304</w:t>
            </w:r>
          </w:p>
        </w:tc>
        <w:tc>
          <w:tcPr>
            <w:tcW w:w="2489" w:type="dxa"/>
            <w:tcBorders>
              <w:top w:val="single" w:sz="2" w:space="0" w:color="auto"/>
              <w:left w:val="single" w:sz="2" w:space="0" w:color="auto"/>
              <w:bottom w:val="single" w:sz="2" w:space="0" w:color="auto"/>
              <w:right w:val="single" w:sz="2" w:space="0" w:color="auto"/>
            </w:tcBorders>
          </w:tcPr>
          <w:p w14:paraId="0CDACE62" w14:textId="77777777" w:rsidR="009F4766" w:rsidRPr="00DE12A3" w:rsidRDefault="009F4766" w:rsidP="00C917D6">
            <w:pPr>
              <w:pStyle w:val="NormalLeft"/>
            </w:pPr>
            <w:r w:rsidRPr="00DE12A3">
              <w:t>88</w:t>
            </w:r>
          </w:p>
        </w:tc>
        <w:tc>
          <w:tcPr>
            <w:tcW w:w="2551" w:type="dxa"/>
            <w:tcBorders>
              <w:top w:val="single" w:sz="2" w:space="0" w:color="auto"/>
              <w:left w:val="single" w:sz="2" w:space="0" w:color="auto"/>
              <w:bottom w:val="single" w:sz="2" w:space="0" w:color="auto"/>
              <w:right w:val="single" w:sz="2" w:space="0" w:color="auto"/>
            </w:tcBorders>
          </w:tcPr>
          <w:p w14:paraId="412C3196" w14:textId="77777777" w:rsidR="009F4766" w:rsidRPr="00DE12A3" w:rsidRDefault="009F4766" w:rsidP="00C917D6">
            <w:pPr>
              <w:pStyle w:val="NormalLeft"/>
            </w:pPr>
            <w:r w:rsidRPr="00DE12A3">
              <w:t>85</w:t>
            </w:r>
          </w:p>
        </w:tc>
      </w:tr>
      <w:tr w:rsidR="00DE12A3" w:rsidRPr="00DE12A3" w14:paraId="44DD59E0" w14:textId="77777777" w:rsidTr="009F4766">
        <w:tc>
          <w:tcPr>
            <w:tcW w:w="1182" w:type="dxa"/>
            <w:tcBorders>
              <w:top w:val="single" w:sz="2" w:space="0" w:color="auto"/>
              <w:left w:val="single" w:sz="2" w:space="0" w:color="auto"/>
              <w:bottom w:val="single" w:sz="2" w:space="0" w:color="auto"/>
              <w:right w:val="single" w:sz="2" w:space="0" w:color="auto"/>
            </w:tcBorders>
          </w:tcPr>
          <w:p w14:paraId="0E1BC484" w14:textId="77777777" w:rsidR="009F4766" w:rsidRPr="00DE12A3" w:rsidRDefault="009F4766" w:rsidP="00C917D6">
            <w:pPr>
              <w:pStyle w:val="NormalLeft"/>
            </w:pPr>
            <w:r w:rsidRPr="00DE12A3">
              <w:t>305</w:t>
            </w:r>
          </w:p>
        </w:tc>
        <w:tc>
          <w:tcPr>
            <w:tcW w:w="2489" w:type="dxa"/>
            <w:tcBorders>
              <w:top w:val="single" w:sz="2" w:space="0" w:color="auto"/>
              <w:left w:val="single" w:sz="2" w:space="0" w:color="auto"/>
              <w:bottom w:val="single" w:sz="2" w:space="0" w:color="auto"/>
              <w:right w:val="single" w:sz="2" w:space="0" w:color="auto"/>
            </w:tcBorders>
          </w:tcPr>
          <w:p w14:paraId="5A4EA4B6" w14:textId="77777777" w:rsidR="009F4766" w:rsidRPr="00DE12A3" w:rsidRDefault="009F4766" w:rsidP="00C917D6">
            <w:pPr>
              <w:pStyle w:val="NormalLeft"/>
            </w:pPr>
            <w:r w:rsidRPr="00DE12A3">
              <w:t>98</w:t>
            </w:r>
          </w:p>
        </w:tc>
        <w:tc>
          <w:tcPr>
            <w:tcW w:w="2551" w:type="dxa"/>
            <w:tcBorders>
              <w:top w:val="single" w:sz="2" w:space="0" w:color="auto"/>
              <w:left w:val="single" w:sz="2" w:space="0" w:color="auto"/>
              <w:bottom w:val="single" w:sz="2" w:space="0" w:color="auto"/>
              <w:right w:val="single" w:sz="2" w:space="0" w:color="auto"/>
            </w:tcBorders>
          </w:tcPr>
          <w:p w14:paraId="1611D321" w14:textId="77777777" w:rsidR="009F4766" w:rsidRPr="00DE12A3" w:rsidRDefault="009F4766" w:rsidP="00C917D6">
            <w:pPr>
              <w:pStyle w:val="NormalLeft"/>
            </w:pPr>
            <w:r w:rsidRPr="00DE12A3">
              <w:t>81</w:t>
            </w:r>
          </w:p>
        </w:tc>
      </w:tr>
      <w:tr w:rsidR="00DE12A3" w:rsidRPr="00DE12A3" w14:paraId="779A33E6" w14:textId="77777777" w:rsidTr="009F4766">
        <w:tc>
          <w:tcPr>
            <w:tcW w:w="1182" w:type="dxa"/>
            <w:tcBorders>
              <w:top w:val="single" w:sz="2" w:space="0" w:color="auto"/>
              <w:left w:val="single" w:sz="2" w:space="0" w:color="auto"/>
              <w:bottom w:val="single" w:sz="2" w:space="0" w:color="auto"/>
              <w:right w:val="single" w:sz="2" w:space="0" w:color="auto"/>
            </w:tcBorders>
          </w:tcPr>
          <w:p w14:paraId="7ACDCBC0" w14:textId="77777777" w:rsidR="009F4766" w:rsidRPr="00DE12A3" w:rsidRDefault="009F4766" w:rsidP="00C917D6">
            <w:pPr>
              <w:pStyle w:val="NormalLeft"/>
            </w:pPr>
            <w:r w:rsidRPr="00DE12A3">
              <w:t>306</w:t>
            </w:r>
          </w:p>
        </w:tc>
        <w:tc>
          <w:tcPr>
            <w:tcW w:w="2489" w:type="dxa"/>
            <w:tcBorders>
              <w:top w:val="single" w:sz="2" w:space="0" w:color="auto"/>
              <w:left w:val="single" w:sz="2" w:space="0" w:color="auto"/>
              <w:bottom w:val="single" w:sz="2" w:space="0" w:color="auto"/>
              <w:right w:val="single" w:sz="2" w:space="0" w:color="auto"/>
            </w:tcBorders>
          </w:tcPr>
          <w:p w14:paraId="440E7BBC" w14:textId="77777777" w:rsidR="009F4766" w:rsidRPr="00DE12A3" w:rsidRDefault="009F4766" w:rsidP="00C917D6">
            <w:pPr>
              <w:pStyle w:val="NormalLeft"/>
            </w:pPr>
            <w:r w:rsidRPr="00DE12A3">
              <w:t>100</w:t>
            </w:r>
          </w:p>
        </w:tc>
        <w:tc>
          <w:tcPr>
            <w:tcW w:w="2551" w:type="dxa"/>
            <w:tcBorders>
              <w:top w:val="single" w:sz="2" w:space="0" w:color="auto"/>
              <w:left w:val="single" w:sz="2" w:space="0" w:color="auto"/>
              <w:bottom w:val="single" w:sz="2" w:space="0" w:color="auto"/>
              <w:right w:val="single" w:sz="2" w:space="0" w:color="auto"/>
            </w:tcBorders>
          </w:tcPr>
          <w:p w14:paraId="7AADC637" w14:textId="77777777" w:rsidR="009F4766" w:rsidRPr="00DE12A3" w:rsidRDefault="009F4766" w:rsidP="00C917D6">
            <w:pPr>
              <w:pStyle w:val="NormalLeft"/>
            </w:pPr>
            <w:r w:rsidRPr="00DE12A3">
              <w:t>74</w:t>
            </w:r>
          </w:p>
        </w:tc>
      </w:tr>
      <w:tr w:rsidR="00DE12A3" w:rsidRPr="00DE12A3" w14:paraId="71F1DB3D" w14:textId="77777777" w:rsidTr="009F4766">
        <w:tc>
          <w:tcPr>
            <w:tcW w:w="1182" w:type="dxa"/>
            <w:tcBorders>
              <w:top w:val="single" w:sz="2" w:space="0" w:color="auto"/>
              <w:left w:val="single" w:sz="2" w:space="0" w:color="auto"/>
              <w:bottom w:val="single" w:sz="2" w:space="0" w:color="auto"/>
              <w:right w:val="single" w:sz="2" w:space="0" w:color="auto"/>
            </w:tcBorders>
          </w:tcPr>
          <w:p w14:paraId="71C5EB93" w14:textId="77777777" w:rsidR="009F4766" w:rsidRPr="00DE12A3" w:rsidRDefault="009F4766" w:rsidP="00C917D6">
            <w:pPr>
              <w:pStyle w:val="NormalLeft"/>
            </w:pPr>
            <w:r w:rsidRPr="00DE12A3">
              <w:t>307</w:t>
            </w:r>
          </w:p>
        </w:tc>
        <w:tc>
          <w:tcPr>
            <w:tcW w:w="2489" w:type="dxa"/>
            <w:tcBorders>
              <w:top w:val="single" w:sz="2" w:space="0" w:color="auto"/>
              <w:left w:val="single" w:sz="2" w:space="0" w:color="auto"/>
              <w:bottom w:val="single" w:sz="2" w:space="0" w:color="auto"/>
              <w:right w:val="single" w:sz="2" w:space="0" w:color="auto"/>
            </w:tcBorders>
          </w:tcPr>
          <w:p w14:paraId="50EB4B54" w14:textId="77777777" w:rsidR="009F4766" w:rsidRPr="00DE12A3" w:rsidRDefault="009F4766" w:rsidP="00C917D6">
            <w:pPr>
              <w:pStyle w:val="NormalLeft"/>
            </w:pPr>
            <w:r w:rsidRPr="00DE12A3">
              <w:t>100</w:t>
            </w:r>
          </w:p>
        </w:tc>
        <w:tc>
          <w:tcPr>
            <w:tcW w:w="2551" w:type="dxa"/>
            <w:tcBorders>
              <w:top w:val="single" w:sz="2" w:space="0" w:color="auto"/>
              <w:left w:val="single" w:sz="2" w:space="0" w:color="auto"/>
              <w:bottom w:val="single" w:sz="2" w:space="0" w:color="auto"/>
              <w:right w:val="single" w:sz="2" w:space="0" w:color="auto"/>
            </w:tcBorders>
          </w:tcPr>
          <w:p w14:paraId="6DB5C921" w14:textId="77777777" w:rsidR="009F4766" w:rsidRPr="00DE12A3" w:rsidRDefault="009F4766" w:rsidP="00C917D6">
            <w:pPr>
              <w:pStyle w:val="NormalLeft"/>
            </w:pPr>
            <w:r w:rsidRPr="00DE12A3">
              <w:t>13</w:t>
            </w:r>
          </w:p>
        </w:tc>
      </w:tr>
      <w:tr w:rsidR="00DE12A3" w:rsidRPr="00DE12A3" w14:paraId="6479125C" w14:textId="77777777" w:rsidTr="009F4766">
        <w:tc>
          <w:tcPr>
            <w:tcW w:w="1182" w:type="dxa"/>
            <w:tcBorders>
              <w:top w:val="single" w:sz="2" w:space="0" w:color="auto"/>
              <w:left w:val="single" w:sz="2" w:space="0" w:color="auto"/>
              <w:bottom w:val="single" w:sz="2" w:space="0" w:color="auto"/>
              <w:right w:val="single" w:sz="2" w:space="0" w:color="auto"/>
            </w:tcBorders>
          </w:tcPr>
          <w:p w14:paraId="6674B4DC" w14:textId="77777777" w:rsidR="009F4766" w:rsidRPr="00DE12A3" w:rsidRDefault="009F4766" w:rsidP="00C917D6">
            <w:pPr>
              <w:pStyle w:val="NormalLeft"/>
            </w:pPr>
            <w:r w:rsidRPr="00DE12A3">
              <w:t>308</w:t>
            </w:r>
          </w:p>
        </w:tc>
        <w:tc>
          <w:tcPr>
            <w:tcW w:w="2489" w:type="dxa"/>
            <w:tcBorders>
              <w:top w:val="single" w:sz="2" w:space="0" w:color="auto"/>
              <w:left w:val="single" w:sz="2" w:space="0" w:color="auto"/>
              <w:bottom w:val="single" w:sz="2" w:space="0" w:color="auto"/>
              <w:right w:val="single" w:sz="2" w:space="0" w:color="auto"/>
            </w:tcBorders>
          </w:tcPr>
          <w:p w14:paraId="264B45F3" w14:textId="77777777" w:rsidR="009F4766" w:rsidRPr="00DE12A3" w:rsidRDefault="009F4766" w:rsidP="00C917D6">
            <w:pPr>
              <w:pStyle w:val="NormalLeft"/>
            </w:pPr>
            <w:r w:rsidRPr="00DE12A3">
              <w:t>100</w:t>
            </w:r>
          </w:p>
        </w:tc>
        <w:tc>
          <w:tcPr>
            <w:tcW w:w="2551" w:type="dxa"/>
            <w:tcBorders>
              <w:top w:val="single" w:sz="2" w:space="0" w:color="auto"/>
              <w:left w:val="single" w:sz="2" w:space="0" w:color="auto"/>
              <w:bottom w:val="single" w:sz="2" w:space="0" w:color="auto"/>
              <w:right w:val="single" w:sz="2" w:space="0" w:color="auto"/>
            </w:tcBorders>
          </w:tcPr>
          <w:p w14:paraId="30C72F94" w14:textId="77777777" w:rsidR="009F4766" w:rsidRPr="00DE12A3" w:rsidRDefault="009F4766" w:rsidP="00C917D6">
            <w:pPr>
              <w:pStyle w:val="NormalLeft"/>
            </w:pPr>
            <w:r w:rsidRPr="00DE12A3">
              <w:t>11</w:t>
            </w:r>
          </w:p>
        </w:tc>
      </w:tr>
      <w:tr w:rsidR="00DE12A3" w:rsidRPr="00DE12A3" w14:paraId="30AAD9A7" w14:textId="77777777" w:rsidTr="009F4766">
        <w:tc>
          <w:tcPr>
            <w:tcW w:w="1182" w:type="dxa"/>
            <w:tcBorders>
              <w:top w:val="single" w:sz="2" w:space="0" w:color="auto"/>
              <w:left w:val="single" w:sz="2" w:space="0" w:color="auto"/>
              <w:bottom w:val="single" w:sz="2" w:space="0" w:color="auto"/>
              <w:right w:val="single" w:sz="2" w:space="0" w:color="auto"/>
            </w:tcBorders>
          </w:tcPr>
          <w:p w14:paraId="13C24C36" w14:textId="77777777" w:rsidR="009F4766" w:rsidRPr="00DE12A3" w:rsidRDefault="009F4766" w:rsidP="00C917D6">
            <w:pPr>
              <w:pStyle w:val="NormalLeft"/>
            </w:pPr>
            <w:r w:rsidRPr="00DE12A3">
              <w:t>309</w:t>
            </w:r>
          </w:p>
        </w:tc>
        <w:tc>
          <w:tcPr>
            <w:tcW w:w="2489" w:type="dxa"/>
            <w:tcBorders>
              <w:top w:val="single" w:sz="2" w:space="0" w:color="auto"/>
              <w:left w:val="single" w:sz="2" w:space="0" w:color="auto"/>
              <w:bottom w:val="single" w:sz="2" w:space="0" w:color="auto"/>
              <w:right w:val="single" w:sz="2" w:space="0" w:color="auto"/>
            </w:tcBorders>
          </w:tcPr>
          <w:p w14:paraId="1FF25F9A" w14:textId="77777777" w:rsidR="009F4766" w:rsidRPr="00DE12A3" w:rsidRDefault="009F4766" w:rsidP="00C917D6">
            <w:pPr>
              <w:pStyle w:val="NormalLeft"/>
            </w:pPr>
            <w:r w:rsidRPr="00DE12A3">
              <w:t>100</w:t>
            </w:r>
          </w:p>
        </w:tc>
        <w:tc>
          <w:tcPr>
            <w:tcW w:w="2551" w:type="dxa"/>
            <w:tcBorders>
              <w:top w:val="single" w:sz="2" w:space="0" w:color="auto"/>
              <w:left w:val="single" w:sz="2" w:space="0" w:color="auto"/>
              <w:bottom w:val="single" w:sz="2" w:space="0" w:color="auto"/>
              <w:right w:val="single" w:sz="2" w:space="0" w:color="auto"/>
            </w:tcBorders>
          </w:tcPr>
          <w:p w14:paraId="304A6253" w14:textId="77777777" w:rsidR="009F4766" w:rsidRPr="00DE12A3" w:rsidRDefault="009F4766" w:rsidP="00C917D6">
            <w:pPr>
              <w:pStyle w:val="NormalLeft"/>
            </w:pPr>
            <w:r w:rsidRPr="00DE12A3">
              <w:t>17</w:t>
            </w:r>
          </w:p>
        </w:tc>
      </w:tr>
      <w:tr w:rsidR="00DE12A3" w:rsidRPr="00DE12A3" w14:paraId="599F8A24" w14:textId="77777777" w:rsidTr="009F4766">
        <w:tc>
          <w:tcPr>
            <w:tcW w:w="1182" w:type="dxa"/>
            <w:tcBorders>
              <w:top w:val="single" w:sz="2" w:space="0" w:color="auto"/>
              <w:left w:val="single" w:sz="2" w:space="0" w:color="auto"/>
              <w:bottom w:val="single" w:sz="2" w:space="0" w:color="auto"/>
              <w:right w:val="single" w:sz="2" w:space="0" w:color="auto"/>
            </w:tcBorders>
          </w:tcPr>
          <w:p w14:paraId="256CAACB" w14:textId="77777777" w:rsidR="009F4766" w:rsidRPr="00DE12A3" w:rsidRDefault="009F4766" w:rsidP="00C917D6">
            <w:pPr>
              <w:pStyle w:val="NormalLeft"/>
            </w:pPr>
            <w:r w:rsidRPr="00DE12A3">
              <w:t>310</w:t>
            </w:r>
          </w:p>
        </w:tc>
        <w:tc>
          <w:tcPr>
            <w:tcW w:w="2489" w:type="dxa"/>
            <w:tcBorders>
              <w:top w:val="single" w:sz="2" w:space="0" w:color="auto"/>
              <w:left w:val="single" w:sz="2" w:space="0" w:color="auto"/>
              <w:bottom w:val="single" w:sz="2" w:space="0" w:color="auto"/>
              <w:right w:val="single" w:sz="2" w:space="0" w:color="auto"/>
            </w:tcBorders>
          </w:tcPr>
          <w:p w14:paraId="54E10064" w14:textId="77777777" w:rsidR="009F4766" w:rsidRPr="00DE12A3" w:rsidRDefault="009F4766" w:rsidP="00C917D6">
            <w:pPr>
              <w:pStyle w:val="NormalLeft"/>
            </w:pPr>
            <w:r w:rsidRPr="00DE12A3">
              <w:t>99</w:t>
            </w:r>
          </w:p>
        </w:tc>
        <w:tc>
          <w:tcPr>
            <w:tcW w:w="2551" w:type="dxa"/>
            <w:tcBorders>
              <w:top w:val="single" w:sz="2" w:space="0" w:color="auto"/>
              <w:left w:val="single" w:sz="2" w:space="0" w:color="auto"/>
              <w:bottom w:val="single" w:sz="2" w:space="0" w:color="auto"/>
              <w:right w:val="single" w:sz="2" w:space="0" w:color="auto"/>
            </w:tcBorders>
          </w:tcPr>
          <w:p w14:paraId="56D8E394" w14:textId="77777777" w:rsidR="009F4766" w:rsidRPr="00DE12A3" w:rsidRDefault="009F4766" w:rsidP="00C917D6">
            <w:pPr>
              <w:pStyle w:val="NormalLeft"/>
            </w:pPr>
            <w:r w:rsidRPr="00DE12A3">
              <w:t>3</w:t>
            </w:r>
          </w:p>
        </w:tc>
      </w:tr>
      <w:tr w:rsidR="00DE12A3" w:rsidRPr="00DE12A3" w14:paraId="1D1C9712" w14:textId="77777777" w:rsidTr="009F4766">
        <w:tc>
          <w:tcPr>
            <w:tcW w:w="1182" w:type="dxa"/>
            <w:tcBorders>
              <w:top w:val="single" w:sz="2" w:space="0" w:color="auto"/>
              <w:left w:val="single" w:sz="2" w:space="0" w:color="auto"/>
              <w:bottom w:val="single" w:sz="2" w:space="0" w:color="auto"/>
              <w:right w:val="single" w:sz="2" w:space="0" w:color="auto"/>
            </w:tcBorders>
          </w:tcPr>
          <w:p w14:paraId="58837E10" w14:textId="77777777" w:rsidR="009F4766" w:rsidRPr="00DE12A3" w:rsidRDefault="009F4766" w:rsidP="00C917D6">
            <w:pPr>
              <w:pStyle w:val="NormalLeft"/>
            </w:pPr>
            <w:r w:rsidRPr="00DE12A3">
              <w:t>311</w:t>
            </w:r>
          </w:p>
        </w:tc>
        <w:tc>
          <w:tcPr>
            <w:tcW w:w="2489" w:type="dxa"/>
            <w:tcBorders>
              <w:top w:val="single" w:sz="2" w:space="0" w:color="auto"/>
              <w:left w:val="single" w:sz="2" w:space="0" w:color="auto"/>
              <w:bottom w:val="single" w:sz="2" w:space="0" w:color="auto"/>
              <w:right w:val="single" w:sz="2" w:space="0" w:color="auto"/>
            </w:tcBorders>
          </w:tcPr>
          <w:p w14:paraId="478816BC" w14:textId="77777777" w:rsidR="009F4766" w:rsidRPr="00DE12A3" w:rsidRDefault="009F4766" w:rsidP="00C917D6">
            <w:pPr>
              <w:pStyle w:val="NormalLeft"/>
            </w:pPr>
            <w:r w:rsidRPr="00DE12A3">
              <w:t>80</w:t>
            </w:r>
          </w:p>
        </w:tc>
        <w:tc>
          <w:tcPr>
            <w:tcW w:w="2551" w:type="dxa"/>
            <w:tcBorders>
              <w:top w:val="single" w:sz="2" w:space="0" w:color="auto"/>
              <w:left w:val="single" w:sz="2" w:space="0" w:color="auto"/>
              <w:bottom w:val="single" w:sz="2" w:space="0" w:color="auto"/>
              <w:right w:val="single" w:sz="2" w:space="0" w:color="auto"/>
            </w:tcBorders>
          </w:tcPr>
          <w:p w14:paraId="4ADD0BDA" w14:textId="77777777" w:rsidR="009F4766" w:rsidRPr="00DE12A3" w:rsidRDefault="009F4766" w:rsidP="00C917D6">
            <w:pPr>
              <w:pStyle w:val="NormalLeft"/>
            </w:pPr>
            <w:r w:rsidRPr="00DE12A3">
              <w:t>7</w:t>
            </w:r>
          </w:p>
        </w:tc>
      </w:tr>
      <w:tr w:rsidR="00DE12A3" w:rsidRPr="00DE12A3" w14:paraId="4EF448A4" w14:textId="77777777" w:rsidTr="009F4766">
        <w:tc>
          <w:tcPr>
            <w:tcW w:w="1182" w:type="dxa"/>
            <w:tcBorders>
              <w:top w:val="single" w:sz="2" w:space="0" w:color="auto"/>
              <w:left w:val="single" w:sz="2" w:space="0" w:color="auto"/>
              <w:bottom w:val="single" w:sz="2" w:space="0" w:color="auto"/>
              <w:right w:val="single" w:sz="2" w:space="0" w:color="auto"/>
            </w:tcBorders>
          </w:tcPr>
          <w:p w14:paraId="6CDC3E17" w14:textId="77777777" w:rsidR="009F4766" w:rsidRPr="00DE12A3" w:rsidRDefault="009F4766" w:rsidP="00C917D6">
            <w:pPr>
              <w:pStyle w:val="NormalLeft"/>
            </w:pPr>
            <w:r w:rsidRPr="00DE12A3">
              <w:t>312</w:t>
            </w:r>
          </w:p>
        </w:tc>
        <w:tc>
          <w:tcPr>
            <w:tcW w:w="2489" w:type="dxa"/>
            <w:tcBorders>
              <w:top w:val="single" w:sz="2" w:space="0" w:color="auto"/>
              <w:left w:val="single" w:sz="2" w:space="0" w:color="auto"/>
              <w:bottom w:val="single" w:sz="2" w:space="0" w:color="auto"/>
              <w:right w:val="single" w:sz="2" w:space="0" w:color="auto"/>
            </w:tcBorders>
          </w:tcPr>
          <w:p w14:paraId="5846ED2B" w14:textId="77777777" w:rsidR="009F4766" w:rsidRPr="00DE12A3" w:rsidRDefault="009F4766" w:rsidP="00C917D6">
            <w:pPr>
              <w:pStyle w:val="NormalLeft"/>
            </w:pPr>
            <w:r w:rsidRPr="00DE12A3">
              <w:t>62</w:t>
            </w:r>
          </w:p>
        </w:tc>
        <w:tc>
          <w:tcPr>
            <w:tcW w:w="2551" w:type="dxa"/>
            <w:tcBorders>
              <w:top w:val="single" w:sz="2" w:space="0" w:color="auto"/>
              <w:left w:val="single" w:sz="2" w:space="0" w:color="auto"/>
              <w:bottom w:val="single" w:sz="2" w:space="0" w:color="auto"/>
              <w:right w:val="single" w:sz="2" w:space="0" w:color="auto"/>
            </w:tcBorders>
          </w:tcPr>
          <w:p w14:paraId="34056B5B" w14:textId="77777777" w:rsidR="009F4766" w:rsidRPr="00DE12A3" w:rsidRDefault="009F4766" w:rsidP="00C917D6">
            <w:pPr>
              <w:pStyle w:val="NormalLeft"/>
            </w:pPr>
            <w:r w:rsidRPr="00DE12A3">
              <w:t>11</w:t>
            </w:r>
          </w:p>
        </w:tc>
      </w:tr>
      <w:tr w:rsidR="00DE12A3" w:rsidRPr="00DE12A3" w14:paraId="3F14A9A4" w14:textId="77777777" w:rsidTr="009F4766">
        <w:tc>
          <w:tcPr>
            <w:tcW w:w="1182" w:type="dxa"/>
            <w:tcBorders>
              <w:top w:val="single" w:sz="2" w:space="0" w:color="auto"/>
              <w:left w:val="single" w:sz="2" w:space="0" w:color="auto"/>
              <w:bottom w:val="single" w:sz="2" w:space="0" w:color="auto"/>
              <w:right w:val="single" w:sz="2" w:space="0" w:color="auto"/>
            </w:tcBorders>
          </w:tcPr>
          <w:p w14:paraId="0C939977" w14:textId="77777777" w:rsidR="009F4766" w:rsidRPr="00DE12A3" w:rsidRDefault="009F4766" w:rsidP="00C917D6">
            <w:pPr>
              <w:pStyle w:val="NormalLeft"/>
            </w:pPr>
            <w:r w:rsidRPr="00DE12A3">
              <w:t>313</w:t>
            </w:r>
          </w:p>
        </w:tc>
        <w:tc>
          <w:tcPr>
            <w:tcW w:w="2489" w:type="dxa"/>
            <w:tcBorders>
              <w:top w:val="single" w:sz="2" w:space="0" w:color="auto"/>
              <w:left w:val="single" w:sz="2" w:space="0" w:color="auto"/>
              <w:bottom w:val="single" w:sz="2" w:space="0" w:color="auto"/>
              <w:right w:val="single" w:sz="2" w:space="0" w:color="auto"/>
            </w:tcBorders>
          </w:tcPr>
          <w:p w14:paraId="15733490" w14:textId="77777777" w:rsidR="009F4766" w:rsidRPr="00DE12A3" w:rsidRDefault="009F4766" w:rsidP="00C917D6">
            <w:pPr>
              <w:pStyle w:val="NormalLeft"/>
            </w:pPr>
            <w:r w:rsidRPr="00DE12A3">
              <w:t>63</w:t>
            </w:r>
          </w:p>
        </w:tc>
        <w:tc>
          <w:tcPr>
            <w:tcW w:w="2551" w:type="dxa"/>
            <w:tcBorders>
              <w:top w:val="single" w:sz="2" w:space="0" w:color="auto"/>
              <w:left w:val="single" w:sz="2" w:space="0" w:color="auto"/>
              <w:bottom w:val="single" w:sz="2" w:space="0" w:color="auto"/>
              <w:right w:val="single" w:sz="2" w:space="0" w:color="auto"/>
            </w:tcBorders>
          </w:tcPr>
          <w:p w14:paraId="7FB432FA" w14:textId="77777777" w:rsidR="009F4766" w:rsidRPr="00DE12A3" w:rsidRDefault="009F4766" w:rsidP="00C917D6">
            <w:pPr>
              <w:pStyle w:val="NormalLeft"/>
            </w:pPr>
            <w:r w:rsidRPr="00DE12A3">
              <w:t>11</w:t>
            </w:r>
          </w:p>
        </w:tc>
      </w:tr>
      <w:tr w:rsidR="00DE12A3" w:rsidRPr="00DE12A3" w14:paraId="218E8E70" w14:textId="77777777" w:rsidTr="009F4766">
        <w:tc>
          <w:tcPr>
            <w:tcW w:w="1182" w:type="dxa"/>
            <w:tcBorders>
              <w:top w:val="single" w:sz="2" w:space="0" w:color="auto"/>
              <w:left w:val="single" w:sz="2" w:space="0" w:color="auto"/>
              <w:bottom w:val="single" w:sz="2" w:space="0" w:color="auto"/>
              <w:right w:val="single" w:sz="2" w:space="0" w:color="auto"/>
            </w:tcBorders>
          </w:tcPr>
          <w:p w14:paraId="16BCC622" w14:textId="77777777" w:rsidR="009F4766" w:rsidRPr="00DE12A3" w:rsidRDefault="009F4766" w:rsidP="00C917D6">
            <w:pPr>
              <w:pStyle w:val="NormalLeft"/>
            </w:pPr>
            <w:r w:rsidRPr="00DE12A3">
              <w:t>314</w:t>
            </w:r>
          </w:p>
        </w:tc>
        <w:tc>
          <w:tcPr>
            <w:tcW w:w="2489" w:type="dxa"/>
            <w:tcBorders>
              <w:top w:val="single" w:sz="2" w:space="0" w:color="auto"/>
              <w:left w:val="single" w:sz="2" w:space="0" w:color="auto"/>
              <w:bottom w:val="single" w:sz="2" w:space="0" w:color="auto"/>
              <w:right w:val="single" w:sz="2" w:space="0" w:color="auto"/>
            </w:tcBorders>
          </w:tcPr>
          <w:p w14:paraId="6309B9C0" w14:textId="77777777" w:rsidR="009F4766" w:rsidRPr="00DE12A3" w:rsidRDefault="009F4766" w:rsidP="00C917D6">
            <w:pPr>
              <w:pStyle w:val="NormalLeft"/>
            </w:pPr>
            <w:r w:rsidRPr="00DE12A3">
              <w:t>64</w:t>
            </w:r>
          </w:p>
        </w:tc>
        <w:tc>
          <w:tcPr>
            <w:tcW w:w="2551" w:type="dxa"/>
            <w:tcBorders>
              <w:top w:val="single" w:sz="2" w:space="0" w:color="auto"/>
              <w:left w:val="single" w:sz="2" w:space="0" w:color="auto"/>
              <w:bottom w:val="single" w:sz="2" w:space="0" w:color="auto"/>
              <w:right w:val="single" w:sz="2" w:space="0" w:color="auto"/>
            </w:tcBorders>
          </w:tcPr>
          <w:p w14:paraId="0727EBD2" w14:textId="77777777" w:rsidR="009F4766" w:rsidRPr="00DE12A3" w:rsidRDefault="009F4766" w:rsidP="00C917D6">
            <w:pPr>
              <w:pStyle w:val="NormalLeft"/>
            </w:pPr>
            <w:r w:rsidRPr="00DE12A3">
              <w:t>16</w:t>
            </w:r>
          </w:p>
        </w:tc>
      </w:tr>
      <w:tr w:rsidR="00DE12A3" w:rsidRPr="00DE12A3" w14:paraId="3ED76D89" w14:textId="77777777" w:rsidTr="009F4766">
        <w:tc>
          <w:tcPr>
            <w:tcW w:w="1182" w:type="dxa"/>
            <w:tcBorders>
              <w:top w:val="single" w:sz="2" w:space="0" w:color="auto"/>
              <w:left w:val="single" w:sz="2" w:space="0" w:color="auto"/>
              <w:bottom w:val="single" w:sz="2" w:space="0" w:color="auto"/>
              <w:right w:val="single" w:sz="2" w:space="0" w:color="auto"/>
            </w:tcBorders>
          </w:tcPr>
          <w:p w14:paraId="74FB2C89" w14:textId="77777777" w:rsidR="009F4766" w:rsidRPr="00DE12A3" w:rsidRDefault="009F4766" w:rsidP="00C917D6">
            <w:pPr>
              <w:pStyle w:val="NormalLeft"/>
            </w:pPr>
            <w:r w:rsidRPr="00DE12A3">
              <w:lastRenderedPageBreak/>
              <w:t>315</w:t>
            </w:r>
          </w:p>
        </w:tc>
        <w:tc>
          <w:tcPr>
            <w:tcW w:w="2489" w:type="dxa"/>
            <w:tcBorders>
              <w:top w:val="single" w:sz="2" w:space="0" w:color="auto"/>
              <w:left w:val="single" w:sz="2" w:space="0" w:color="auto"/>
              <w:bottom w:val="single" w:sz="2" w:space="0" w:color="auto"/>
              <w:right w:val="single" w:sz="2" w:space="0" w:color="auto"/>
            </w:tcBorders>
          </w:tcPr>
          <w:p w14:paraId="62E87968" w14:textId="77777777" w:rsidR="009F4766" w:rsidRPr="00DE12A3" w:rsidRDefault="009F4766" w:rsidP="00C917D6">
            <w:pPr>
              <w:pStyle w:val="NormalLeft"/>
            </w:pPr>
            <w:r w:rsidRPr="00DE12A3">
              <w:t>69</w:t>
            </w:r>
          </w:p>
        </w:tc>
        <w:tc>
          <w:tcPr>
            <w:tcW w:w="2551" w:type="dxa"/>
            <w:tcBorders>
              <w:top w:val="single" w:sz="2" w:space="0" w:color="auto"/>
              <w:left w:val="single" w:sz="2" w:space="0" w:color="auto"/>
              <w:bottom w:val="single" w:sz="2" w:space="0" w:color="auto"/>
              <w:right w:val="single" w:sz="2" w:space="0" w:color="auto"/>
            </w:tcBorders>
          </w:tcPr>
          <w:p w14:paraId="0B866B84" w14:textId="77777777" w:rsidR="009F4766" w:rsidRPr="00DE12A3" w:rsidRDefault="009F4766" w:rsidP="00C917D6">
            <w:pPr>
              <w:pStyle w:val="NormalLeft"/>
            </w:pPr>
            <w:r w:rsidRPr="00DE12A3">
              <w:t>43</w:t>
            </w:r>
          </w:p>
        </w:tc>
      </w:tr>
      <w:tr w:rsidR="00DE12A3" w:rsidRPr="00DE12A3" w14:paraId="027DEB9A" w14:textId="77777777" w:rsidTr="009F4766">
        <w:tc>
          <w:tcPr>
            <w:tcW w:w="1182" w:type="dxa"/>
            <w:tcBorders>
              <w:top w:val="single" w:sz="2" w:space="0" w:color="auto"/>
              <w:left w:val="single" w:sz="2" w:space="0" w:color="auto"/>
              <w:bottom w:val="single" w:sz="2" w:space="0" w:color="auto"/>
              <w:right w:val="single" w:sz="2" w:space="0" w:color="auto"/>
            </w:tcBorders>
          </w:tcPr>
          <w:p w14:paraId="6991FEA7" w14:textId="77777777" w:rsidR="009F4766" w:rsidRPr="00DE12A3" w:rsidRDefault="009F4766" w:rsidP="00C917D6">
            <w:pPr>
              <w:pStyle w:val="NormalLeft"/>
            </w:pPr>
            <w:r w:rsidRPr="00DE12A3">
              <w:t>316</w:t>
            </w:r>
          </w:p>
        </w:tc>
        <w:tc>
          <w:tcPr>
            <w:tcW w:w="2489" w:type="dxa"/>
            <w:tcBorders>
              <w:top w:val="single" w:sz="2" w:space="0" w:color="auto"/>
              <w:left w:val="single" w:sz="2" w:space="0" w:color="auto"/>
              <w:bottom w:val="single" w:sz="2" w:space="0" w:color="auto"/>
              <w:right w:val="single" w:sz="2" w:space="0" w:color="auto"/>
            </w:tcBorders>
          </w:tcPr>
          <w:p w14:paraId="20E33D5D" w14:textId="77777777" w:rsidR="009F4766" w:rsidRPr="00DE12A3" w:rsidRDefault="009F4766" w:rsidP="00C917D6">
            <w:pPr>
              <w:pStyle w:val="NormalLeft"/>
            </w:pPr>
            <w:r w:rsidRPr="00DE12A3">
              <w:t>81</w:t>
            </w:r>
          </w:p>
        </w:tc>
        <w:tc>
          <w:tcPr>
            <w:tcW w:w="2551" w:type="dxa"/>
            <w:tcBorders>
              <w:top w:val="single" w:sz="2" w:space="0" w:color="auto"/>
              <w:left w:val="single" w:sz="2" w:space="0" w:color="auto"/>
              <w:bottom w:val="single" w:sz="2" w:space="0" w:color="auto"/>
              <w:right w:val="single" w:sz="2" w:space="0" w:color="auto"/>
            </w:tcBorders>
          </w:tcPr>
          <w:p w14:paraId="48B5D374" w14:textId="77777777" w:rsidR="009F4766" w:rsidRPr="00DE12A3" w:rsidRDefault="009F4766" w:rsidP="00C917D6">
            <w:pPr>
              <w:pStyle w:val="NormalLeft"/>
            </w:pPr>
            <w:r w:rsidRPr="00DE12A3">
              <w:t>67</w:t>
            </w:r>
          </w:p>
        </w:tc>
      </w:tr>
      <w:tr w:rsidR="00DE12A3" w:rsidRPr="00DE12A3" w14:paraId="3200D259" w14:textId="77777777" w:rsidTr="009F4766">
        <w:tc>
          <w:tcPr>
            <w:tcW w:w="1182" w:type="dxa"/>
            <w:tcBorders>
              <w:top w:val="single" w:sz="2" w:space="0" w:color="auto"/>
              <w:left w:val="single" w:sz="2" w:space="0" w:color="auto"/>
              <w:bottom w:val="single" w:sz="2" w:space="0" w:color="auto"/>
              <w:right w:val="single" w:sz="2" w:space="0" w:color="auto"/>
            </w:tcBorders>
          </w:tcPr>
          <w:p w14:paraId="33C419FC" w14:textId="77777777" w:rsidR="009F4766" w:rsidRPr="00DE12A3" w:rsidRDefault="009F4766" w:rsidP="00C917D6">
            <w:pPr>
              <w:pStyle w:val="NormalLeft"/>
            </w:pPr>
            <w:r w:rsidRPr="00DE12A3">
              <w:t>317</w:t>
            </w:r>
          </w:p>
        </w:tc>
        <w:tc>
          <w:tcPr>
            <w:tcW w:w="2489" w:type="dxa"/>
            <w:tcBorders>
              <w:top w:val="single" w:sz="2" w:space="0" w:color="auto"/>
              <w:left w:val="single" w:sz="2" w:space="0" w:color="auto"/>
              <w:bottom w:val="single" w:sz="2" w:space="0" w:color="auto"/>
              <w:right w:val="single" w:sz="2" w:space="0" w:color="auto"/>
            </w:tcBorders>
          </w:tcPr>
          <w:p w14:paraId="0525A461" w14:textId="77777777" w:rsidR="009F4766" w:rsidRPr="00DE12A3" w:rsidRDefault="009F4766" w:rsidP="00C917D6">
            <w:pPr>
              <w:pStyle w:val="NormalLeft"/>
            </w:pPr>
            <w:r w:rsidRPr="00DE12A3">
              <w:t>93</w:t>
            </w:r>
          </w:p>
        </w:tc>
        <w:tc>
          <w:tcPr>
            <w:tcW w:w="2551" w:type="dxa"/>
            <w:tcBorders>
              <w:top w:val="single" w:sz="2" w:space="0" w:color="auto"/>
              <w:left w:val="single" w:sz="2" w:space="0" w:color="auto"/>
              <w:bottom w:val="single" w:sz="2" w:space="0" w:color="auto"/>
              <w:right w:val="single" w:sz="2" w:space="0" w:color="auto"/>
            </w:tcBorders>
          </w:tcPr>
          <w:p w14:paraId="101FE0D4" w14:textId="77777777" w:rsidR="009F4766" w:rsidRPr="00DE12A3" w:rsidRDefault="009F4766" w:rsidP="00C917D6">
            <w:pPr>
              <w:pStyle w:val="NormalLeft"/>
            </w:pPr>
            <w:r w:rsidRPr="00DE12A3">
              <w:t>74</w:t>
            </w:r>
          </w:p>
        </w:tc>
      </w:tr>
      <w:tr w:rsidR="00DE12A3" w:rsidRPr="00DE12A3" w14:paraId="495AC34F" w14:textId="77777777" w:rsidTr="009F4766">
        <w:tc>
          <w:tcPr>
            <w:tcW w:w="1182" w:type="dxa"/>
            <w:tcBorders>
              <w:top w:val="single" w:sz="2" w:space="0" w:color="auto"/>
              <w:left w:val="single" w:sz="2" w:space="0" w:color="auto"/>
              <w:bottom w:val="single" w:sz="2" w:space="0" w:color="auto"/>
              <w:right w:val="single" w:sz="2" w:space="0" w:color="auto"/>
            </w:tcBorders>
          </w:tcPr>
          <w:p w14:paraId="6492760C" w14:textId="77777777" w:rsidR="009F4766" w:rsidRPr="00DE12A3" w:rsidRDefault="009F4766" w:rsidP="00C917D6">
            <w:pPr>
              <w:pStyle w:val="NormalLeft"/>
            </w:pPr>
            <w:r w:rsidRPr="00DE12A3">
              <w:t>318</w:t>
            </w:r>
          </w:p>
        </w:tc>
        <w:tc>
          <w:tcPr>
            <w:tcW w:w="2489" w:type="dxa"/>
            <w:tcBorders>
              <w:top w:val="single" w:sz="2" w:space="0" w:color="auto"/>
              <w:left w:val="single" w:sz="2" w:space="0" w:color="auto"/>
              <w:bottom w:val="single" w:sz="2" w:space="0" w:color="auto"/>
              <w:right w:val="single" w:sz="2" w:space="0" w:color="auto"/>
            </w:tcBorders>
          </w:tcPr>
          <w:p w14:paraId="61C7A2C4" w14:textId="77777777" w:rsidR="009F4766" w:rsidRPr="00DE12A3" w:rsidRDefault="009F4766" w:rsidP="00C917D6">
            <w:pPr>
              <w:pStyle w:val="NormalLeft"/>
            </w:pPr>
            <w:r w:rsidRPr="00DE12A3">
              <w:t>100</w:t>
            </w:r>
          </w:p>
        </w:tc>
        <w:tc>
          <w:tcPr>
            <w:tcW w:w="2551" w:type="dxa"/>
            <w:tcBorders>
              <w:top w:val="single" w:sz="2" w:space="0" w:color="auto"/>
              <w:left w:val="single" w:sz="2" w:space="0" w:color="auto"/>
              <w:bottom w:val="single" w:sz="2" w:space="0" w:color="auto"/>
              <w:right w:val="single" w:sz="2" w:space="0" w:color="auto"/>
            </w:tcBorders>
          </w:tcPr>
          <w:p w14:paraId="42BC356F" w14:textId="77777777" w:rsidR="009F4766" w:rsidRPr="00DE12A3" w:rsidRDefault="009F4766" w:rsidP="00C917D6">
            <w:pPr>
              <w:pStyle w:val="NormalLeft"/>
            </w:pPr>
            <w:r w:rsidRPr="00DE12A3">
              <w:t>72</w:t>
            </w:r>
          </w:p>
        </w:tc>
      </w:tr>
      <w:tr w:rsidR="00DE12A3" w:rsidRPr="00DE12A3" w14:paraId="4F49A03E" w14:textId="77777777" w:rsidTr="009F4766">
        <w:tc>
          <w:tcPr>
            <w:tcW w:w="1182" w:type="dxa"/>
            <w:tcBorders>
              <w:top w:val="single" w:sz="2" w:space="0" w:color="auto"/>
              <w:left w:val="single" w:sz="2" w:space="0" w:color="auto"/>
              <w:bottom w:val="single" w:sz="2" w:space="0" w:color="auto"/>
              <w:right w:val="single" w:sz="2" w:space="0" w:color="auto"/>
            </w:tcBorders>
          </w:tcPr>
          <w:p w14:paraId="3A037B53" w14:textId="77777777" w:rsidR="009F4766" w:rsidRPr="00DE12A3" w:rsidRDefault="009F4766" w:rsidP="00C917D6">
            <w:pPr>
              <w:pStyle w:val="NormalLeft"/>
            </w:pPr>
            <w:r w:rsidRPr="00DE12A3">
              <w:t>319</w:t>
            </w:r>
          </w:p>
        </w:tc>
        <w:tc>
          <w:tcPr>
            <w:tcW w:w="2489" w:type="dxa"/>
            <w:tcBorders>
              <w:top w:val="single" w:sz="2" w:space="0" w:color="auto"/>
              <w:left w:val="single" w:sz="2" w:space="0" w:color="auto"/>
              <w:bottom w:val="single" w:sz="2" w:space="0" w:color="auto"/>
              <w:right w:val="single" w:sz="2" w:space="0" w:color="auto"/>
            </w:tcBorders>
          </w:tcPr>
          <w:p w14:paraId="329EFFE3" w14:textId="77777777" w:rsidR="009F4766" w:rsidRPr="00DE12A3" w:rsidRDefault="009F4766" w:rsidP="00C917D6">
            <w:pPr>
              <w:pStyle w:val="NormalLeft"/>
            </w:pPr>
            <w:r w:rsidRPr="00DE12A3">
              <w:t>94</w:t>
            </w:r>
          </w:p>
        </w:tc>
        <w:tc>
          <w:tcPr>
            <w:tcW w:w="2551" w:type="dxa"/>
            <w:tcBorders>
              <w:top w:val="single" w:sz="2" w:space="0" w:color="auto"/>
              <w:left w:val="single" w:sz="2" w:space="0" w:color="auto"/>
              <w:bottom w:val="single" w:sz="2" w:space="0" w:color="auto"/>
              <w:right w:val="single" w:sz="2" w:space="0" w:color="auto"/>
            </w:tcBorders>
          </w:tcPr>
          <w:p w14:paraId="18CB6E0D" w14:textId="77777777" w:rsidR="009F4766" w:rsidRPr="00DE12A3" w:rsidRDefault="009F4766" w:rsidP="00C917D6">
            <w:pPr>
              <w:pStyle w:val="NormalLeft"/>
            </w:pPr>
            <w:r w:rsidRPr="00DE12A3">
              <w:t>27</w:t>
            </w:r>
          </w:p>
        </w:tc>
      </w:tr>
      <w:tr w:rsidR="00DE12A3" w:rsidRPr="00DE12A3" w14:paraId="4712C743" w14:textId="77777777" w:rsidTr="009F4766">
        <w:tc>
          <w:tcPr>
            <w:tcW w:w="1182" w:type="dxa"/>
            <w:tcBorders>
              <w:top w:val="single" w:sz="2" w:space="0" w:color="auto"/>
              <w:left w:val="single" w:sz="2" w:space="0" w:color="auto"/>
              <w:bottom w:val="single" w:sz="2" w:space="0" w:color="auto"/>
              <w:right w:val="single" w:sz="2" w:space="0" w:color="auto"/>
            </w:tcBorders>
          </w:tcPr>
          <w:p w14:paraId="56955B37" w14:textId="77777777" w:rsidR="009F4766" w:rsidRPr="00DE12A3" w:rsidRDefault="009F4766" w:rsidP="00C917D6">
            <w:pPr>
              <w:pStyle w:val="NormalLeft"/>
            </w:pPr>
            <w:r w:rsidRPr="00DE12A3">
              <w:t>320</w:t>
            </w:r>
          </w:p>
        </w:tc>
        <w:tc>
          <w:tcPr>
            <w:tcW w:w="2489" w:type="dxa"/>
            <w:tcBorders>
              <w:top w:val="single" w:sz="2" w:space="0" w:color="auto"/>
              <w:left w:val="single" w:sz="2" w:space="0" w:color="auto"/>
              <w:bottom w:val="single" w:sz="2" w:space="0" w:color="auto"/>
              <w:right w:val="single" w:sz="2" w:space="0" w:color="auto"/>
            </w:tcBorders>
          </w:tcPr>
          <w:p w14:paraId="3AD92E03" w14:textId="77777777" w:rsidR="009F4766" w:rsidRPr="00DE12A3" w:rsidRDefault="009F4766" w:rsidP="00C917D6">
            <w:pPr>
              <w:pStyle w:val="NormalLeft"/>
            </w:pPr>
            <w:r w:rsidRPr="00DE12A3">
              <w:t>73</w:t>
            </w:r>
          </w:p>
        </w:tc>
        <w:tc>
          <w:tcPr>
            <w:tcW w:w="2551" w:type="dxa"/>
            <w:tcBorders>
              <w:top w:val="single" w:sz="2" w:space="0" w:color="auto"/>
              <w:left w:val="single" w:sz="2" w:space="0" w:color="auto"/>
              <w:bottom w:val="single" w:sz="2" w:space="0" w:color="auto"/>
              <w:right w:val="single" w:sz="2" w:space="0" w:color="auto"/>
            </w:tcBorders>
          </w:tcPr>
          <w:p w14:paraId="38C70B8C" w14:textId="77777777" w:rsidR="009F4766" w:rsidRPr="00DE12A3" w:rsidRDefault="009F4766" w:rsidP="00C917D6">
            <w:pPr>
              <w:pStyle w:val="NormalLeft"/>
            </w:pPr>
            <w:r w:rsidRPr="00DE12A3">
              <w:t>15</w:t>
            </w:r>
          </w:p>
        </w:tc>
      </w:tr>
      <w:tr w:rsidR="00DE12A3" w:rsidRPr="00DE12A3" w14:paraId="057481BC" w14:textId="77777777" w:rsidTr="009F4766">
        <w:tc>
          <w:tcPr>
            <w:tcW w:w="1182" w:type="dxa"/>
            <w:tcBorders>
              <w:top w:val="single" w:sz="2" w:space="0" w:color="auto"/>
              <w:left w:val="single" w:sz="2" w:space="0" w:color="auto"/>
              <w:bottom w:val="single" w:sz="2" w:space="0" w:color="auto"/>
              <w:right w:val="single" w:sz="2" w:space="0" w:color="auto"/>
            </w:tcBorders>
          </w:tcPr>
          <w:p w14:paraId="3673212B" w14:textId="77777777" w:rsidR="009F4766" w:rsidRPr="00DE12A3" w:rsidRDefault="009F4766" w:rsidP="00C917D6">
            <w:pPr>
              <w:pStyle w:val="NormalLeft"/>
            </w:pPr>
            <w:r w:rsidRPr="00DE12A3">
              <w:t>321</w:t>
            </w:r>
          </w:p>
        </w:tc>
        <w:tc>
          <w:tcPr>
            <w:tcW w:w="2489" w:type="dxa"/>
            <w:tcBorders>
              <w:top w:val="single" w:sz="2" w:space="0" w:color="auto"/>
              <w:left w:val="single" w:sz="2" w:space="0" w:color="auto"/>
              <w:bottom w:val="single" w:sz="2" w:space="0" w:color="auto"/>
              <w:right w:val="single" w:sz="2" w:space="0" w:color="auto"/>
            </w:tcBorders>
          </w:tcPr>
          <w:p w14:paraId="79CC4190" w14:textId="77777777" w:rsidR="009F4766" w:rsidRPr="00DE12A3" w:rsidRDefault="009F4766" w:rsidP="00C917D6">
            <w:pPr>
              <w:pStyle w:val="NormalLeft"/>
            </w:pPr>
            <w:r w:rsidRPr="00DE12A3">
              <w:t>40</w:t>
            </w:r>
          </w:p>
        </w:tc>
        <w:tc>
          <w:tcPr>
            <w:tcW w:w="2551" w:type="dxa"/>
            <w:tcBorders>
              <w:top w:val="single" w:sz="2" w:space="0" w:color="auto"/>
              <w:left w:val="single" w:sz="2" w:space="0" w:color="auto"/>
              <w:bottom w:val="single" w:sz="2" w:space="0" w:color="auto"/>
              <w:right w:val="single" w:sz="2" w:space="0" w:color="auto"/>
            </w:tcBorders>
          </w:tcPr>
          <w:p w14:paraId="2BFC3470" w14:textId="77777777" w:rsidR="009F4766" w:rsidRPr="00DE12A3" w:rsidRDefault="009F4766" w:rsidP="00C917D6">
            <w:pPr>
              <w:pStyle w:val="NormalLeft"/>
            </w:pPr>
            <w:r w:rsidRPr="00DE12A3">
              <w:t>33</w:t>
            </w:r>
          </w:p>
        </w:tc>
      </w:tr>
      <w:tr w:rsidR="00DE12A3" w:rsidRPr="00DE12A3" w14:paraId="0AC09C4D" w14:textId="77777777" w:rsidTr="009F4766">
        <w:tc>
          <w:tcPr>
            <w:tcW w:w="1182" w:type="dxa"/>
            <w:tcBorders>
              <w:top w:val="single" w:sz="2" w:space="0" w:color="auto"/>
              <w:left w:val="single" w:sz="2" w:space="0" w:color="auto"/>
              <w:bottom w:val="single" w:sz="2" w:space="0" w:color="auto"/>
              <w:right w:val="single" w:sz="2" w:space="0" w:color="auto"/>
            </w:tcBorders>
          </w:tcPr>
          <w:p w14:paraId="61A1C2FD" w14:textId="77777777" w:rsidR="009F4766" w:rsidRPr="00DE12A3" w:rsidRDefault="009F4766" w:rsidP="00C917D6">
            <w:pPr>
              <w:pStyle w:val="NormalLeft"/>
            </w:pPr>
            <w:r w:rsidRPr="00DE12A3">
              <w:t>322</w:t>
            </w:r>
          </w:p>
        </w:tc>
        <w:tc>
          <w:tcPr>
            <w:tcW w:w="2489" w:type="dxa"/>
            <w:tcBorders>
              <w:top w:val="single" w:sz="2" w:space="0" w:color="auto"/>
              <w:left w:val="single" w:sz="2" w:space="0" w:color="auto"/>
              <w:bottom w:val="single" w:sz="2" w:space="0" w:color="auto"/>
              <w:right w:val="single" w:sz="2" w:space="0" w:color="auto"/>
            </w:tcBorders>
          </w:tcPr>
          <w:p w14:paraId="15C25EDF" w14:textId="77777777" w:rsidR="009F4766" w:rsidRPr="00DE12A3" w:rsidRDefault="009F4766" w:rsidP="00C917D6">
            <w:pPr>
              <w:pStyle w:val="NormalLeft"/>
            </w:pPr>
            <w:r w:rsidRPr="00DE12A3">
              <w:t>40</w:t>
            </w:r>
          </w:p>
        </w:tc>
        <w:tc>
          <w:tcPr>
            <w:tcW w:w="2551" w:type="dxa"/>
            <w:tcBorders>
              <w:top w:val="single" w:sz="2" w:space="0" w:color="auto"/>
              <w:left w:val="single" w:sz="2" w:space="0" w:color="auto"/>
              <w:bottom w:val="single" w:sz="2" w:space="0" w:color="auto"/>
              <w:right w:val="single" w:sz="2" w:space="0" w:color="auto"/>
            </w:tcBorders>
          </w:tcPr>
          <w:p w14:paraId="5CBE4742" w14:textId="77777777" w:rsidR="009F4766" w:rsidRPr="00DE12A3" w:rsidRDefault="009F4766" w:rsidP="00C917D6">
            <w:pPr>
              <w:pStyle w:val="NormalLeft"/>
            </w:pPr>
            <w:r w:rsidRPr="00DE12A3">
              <w:t>52</w:t>
            </w:r>
          </w:p>
        </w:tc>
      </w:tr>
      <w:tr w:rsidR="00DE12A3" w:rsidRPr="00DE12A3" w14:paraId="348AD444" w14:textId="77777777" w:rsidTr="009F4766">
        <w:tc>
          <w:tcPr>
            <w:tcW w:w="1182" w:type="dxa"/>
            <w:tcBorders>
              <w:top w:val="single" w:sz="2" w:space="0" w:color="auto"/>
              <w:left w:val="single" w:sz="2" w:space="0" w:color="auto"/>
              <w:bottom w:val="single" w:sz="2" w:space="0" w:color="auto"/>
              <w:right w:val="single" w:sz="2" w:space="0" w:color="auto"/>
            </w:tcBorders>
          </w:tcPr>
          <w:p w14:paraId="1A38E9FA" w14:textId="77777777" w:rsidR="009F4766" w:rsidRPr="00DE12A3" w:rsidRDefault="009F4766" w:rsidP="00C917D6">
            <w:pPr>
              <w:pStyle w:val="NormalLeft"/>
            </w:pPr>
            <w:r w:rsidRPr="00DE12A3">
              <w:t>323</w:t>
            </w:r>
          </w:p>
        </w:tc>
        <w:tc>
          <w:tcPr>
            <w:tcW w:w="2489" w:type="dxa"/>
            <w:tcBorders>
              <w:top w:val="single" w:sz="2" w:space="0" w:color="auto"/>
              <w:left w:val="single" w:sz="2" w:space="0" w:color="auto"/>
              <w:bottom w:val="single" w:sz="2" w:space="0" w:color="auto"/>
              <w:right w:val="single" w:sz="2" w:space="0" w:color="auto"/>
            </w:tcBorders>
          </w:tcPr>
          <w:p w14:paraId="1474D18C" w14:textId="77777777" w:rsidR="009F4766" w:rsidRPr="00DE12A3" w:rsidRDefault="009F4766" w:rsidP="00C917D6">
            <w:pPr>
              <w:pStyle w:val="NormalLeft"/>
            </w:pPr>
            <w:r w:rsidRPr="00DE12A3">
              <w:t>50</w:t>
            </w:r>
          </w:p>
        </w:tc>
        <w:tc>
          <w:tcPr>
            <w:tcW w:w="2551" w:type="dxa"/>
            <w:tcBorders>
              <w:top w:val="single" w:sz="2" w:space="0" w:color="auto"/>
              <w:left w:val="single" w:sz="2" w:space="0" w:color="auto"/>
              <w:bottom w:val="single" w:sz="2" w:space="0" w:color="auto"/>
              <w:right w:val="single" w:sz="2" w:space="0" w:color="auto"/>
            </w:tcBorders>
          </w:tcPr>
          <w:p w14:paraId="6097A466" w14:textId="77777777" w:rsidR="009F4766" w:rsidRPr="00DE12A3" w:rsidRDefault="009F4766" w:rsidP="00C917D6">
            <w:pPr>
              <w:pStyle w:val="NormalLeft"/>
            </w:pPr>
            <w:r w:rsidRPr="00DE12A3">
              <w:t>50</w:t>
            </w:r>
          </w:p>
        </w:tc>
      </w:tr>
      <w:tr w:rsidR="00DE12A3" w:rsidRPr="00DE12A3" w14:paraId="42938B4D" w14:textId="77777777" w:rsidTr="009F4766">
        <w:tc>
          <w:tcPr>
            <w:tcW w:w="1182" w:type="dxa"/>
            <w:tcBorders>
              <w:top w:val="single" w:sz="2" w:space="0" w:color="auto"/>
              <w:left w:val="single" w:sz="2" w:space="0" w:color="auto"/>
              <w:bottom w:val="single" w:sz="2" w:space="0" w:color="auto"/>
              <w:right w:val="single" w:sz="2" w:space="0" w:color="auto"/>
            </w:tcBorders>
          </w:tcPr>
          <w:p w14:paraId="4CFE0E2B" w14:textId="77777777" w:rsidR="009F4766" w:rsidRPr="00DE12A3" w:rsidRDefault="009F4766" w:rsidP="00C917D6">
            <w:pPr>
              <w:pStyle w:val="NormalLeft"/>
            </w:pPr>
            <w:r w:rsidRPr="00DE12A3">
              <w:t>324</w:t>
            </w:r>
          </w:p>
        </w:tc>
        <w:tc>
          <w:tcPr>
            <w:tcW w:w="2489" w:type="dxa"/>
            <w:tcBorders>
              <w:top w:val="single" w:sz="2" w:space="0" w:color="auto"/>
              <w:left w:val="single" w:sz="2" w:space="0" w:color="auto"/>
              <w:bottom w:val="single" w:sz="2" w:space="0" w:color="auto"/>
              <w:right w:val="single" w:sz="2" w:space="0" w:color="auto"/>
            </w:tcBorders>
          </w:tcPr>
          <w:p w14:paraId="49725CD0" w14:textId="77777777" w:rsidR="009F4766" w:rsidRPr="00DE12A3" w:rsidRDefault="009F4766" w:rsidP="00C917D6">
            <w:pPr>
              <w:pStyle w:val="NormalLeft"/>
            </w:pPr>
            <w:r w:rsidRPr="00DE12A3">
              <w:t>11</w:t>
            </w:r>
          </w:p>
        </w:tc>
        <w:tc>
          <w:tcPr>
            <w:tcW w:w="2551" w:type="dxa"/>
            <w:tcBorders>
              <w:top w:val="single" w:sz="2" w:space="0" w:color="auto"/>
              <w:left w:val="single" w:sz="2" w:space="0" w:color="auto"/>
              <w:bottom w:val="single" w:sz="2" w:space="0" w:color="auto"/>
              <w:right w:val="single" w:sz="2" w:space="0" w:color="auto"/>
            </w:tcBorders>
          </w:tcPr>
          <w:p w14:paraId="435F858F" w14:textId="77777777" w:rsidR="009F4766" w:rsidRPr="00DE12A3" w:rsidRDefault="009F4766" w:rsidP="00C917D6">
            <w:pPr>
              <w:pStyle w:val="NormalLeft"/>
            </w:pPr>
            <w:r w:rsidRPr="00DE12A3">
              <w:t>53</w:t>
            </w:r>
          </w:p>
        </w:tc>
      </w:tr>
      <w:tr w:rsidR="00DE12A3" w:rsidRPr="00DE12A3" w14:paraId="2275E332" w14:textId="77777777" w:rsidTr="009F4766">
        <w:tc>
          <w:tcPr>
            <w:tcW w:w="1182" w:type="dxa"/>
            <w:tcBorders>
              <w:top w:val="single" w:sz="2" w:space="0" w:color="auto"/>
              <w:left w:val="single" w:sz="2" w:space="0" w:color="auto"/>
              <w:bottom w:val="single" w:sz="2" w:space="0" w:color="auto"/>
              <w:right w:val="single" w:sz="2" w:space="0" w:color="auto"/>
            </w:tcBorders>
          </w:tcPr>
          <w:p w14:paraId="3153E656" w14:textId="77777777" w:rsidR="009F4766" w:rsidRPr="00DE12A3" w:rsidRDefault="009F4766" w:rsidP="00C917D6">
            <w:pPr>
              <w:pStyle w:val="NormalLeft"/>
            </w:pPr>
            <w:r w:rsidRPr="00DE12A3">
              <w:t>325</w:t>
            </w:r>
          </w:p>
        </w:tc>
        <w:tc>
          <w:tcPr>
            <w:tcW w:w="2489" w:type="dxa"/>
            <w:tcBorders>
              <w:top w:val="single" w:sz="2" w:space="0" w:color="auto"/>
              <w:left w:val="single" w:sz="2" w:space="0" w:color="auto"/>
              <w:bottom w:val="single" w:sz="2" w:space="0" w:color="auto"/>
              <w:right w:val="single" w:sz="2" w:space="0" w:color="auto"/>
            </w:tcBorders>
          </w:tcPr>
          <w:p w14:paraId="7AB83127" w14:textId="77777777" w:rsidR="009F4766" w:rsidRPr="00DE12A3" w:rsidRDefault="009F4766" w:rsidP="00C917D6">
            <w:pPr>
              <w:pStyle w:val="NormalLeft"/>
            </w:pPr>
            <w:r w:rsidRPr="00DE12A3">
              <w:t>12</w:t>
            </w:r>
          </w:p>
        </w:tc>
        <w:tc>
          <w:tcPr>
            <w:tcW w:w="2551" w:type="dxa"/>
            <w:tcBorders>
              <w:top w:val="single" w:sz="2" w:space="0" w:color="auto"/>
              <w:left w:val="single" w:sz="2" w:space="0" w:color="auto"/>
              <w:bottom w:val="single" w:sz="2" w:space="0" w:color="auto"/>
              <w:right w:val="single" w:sz="2" w:space="0" w:color="auto"/>
            </w:tcBorders>
          </w:tcPr>
          <w:p w14:paraId="0742A30D" w14:textId="77777777" w:rsidR="009F4766" w:rsidRPr="00DE12A3" w:rsidRDefault="009F4766" w:rsidP="00C917D6">
            <w:pPr>
              <w:pStyle w:val="NormalLeft"/>
            </w:pPr>
            <w:r w:rsidRPr="00DE12A3">
              <w:t>45</w:t>
            </w:r>
          </w:p>
        </w:tc>
      </w:tr>
      <w:tr w:rsidR="00DE12A3" w:rsidRPr="00DE12A3" w14:paraId="48B0B7DB" w14:textId="77777777" w:rsidTr="009F4766">
        <w:tc>
          <w:tcPr>
            <w:tcW w:w="1182" w:type="dxa"/>
            <w:tcBorders>
              <w:top w:val="single" w:sz="2" w:space="0" w:color="auto"/>
              <w:left w:val="single" w:sz="2" w:space="0" w:color="auto"/>
              <w:bottom w:val="single" w:sz="2" w:space="0" w:color="auto"/>
              <w:right w:val="single" w:sz="2" w:space="0" w:color="auto"/>
            </w:tcBorders>
          </w:tcPr>
          <w:p w14:paraId="1F99B4DB" w14:textId="77777777" w:rsidR="009F4766" w:rsidRPr="00DE12A3" w:rsidRDefault="009F4766" w:rsidP="00C917D6">
            <w:pPr>
              <w:pStyle w:val="NormalLeft"/>
            </w:pPr>
            <w:r w:rsidRPr="00DE12A3">
              <w:t>326</w:t>
            </w:r>
          </w:p>
        </w:tc>
        <w:tc>
          <w:tcPr>
            <w:tcW w:w="2489" w:type="dxa"/>
            <w:tcBorders>
              <w:top w:val="single" w:sz="2" w:space="0" w:color="auto"/>
              <w:left w:val="single" w:sz="2" w:space="0" w:color="auto"/>
              <w:bottom w:val="single" w:sz="2" w:space="0" w:color="auto"/>
              <w:right w:val="single" w:sz="2" w:space="0" w:color="auto"/>
            </w:tcBorders>
          </w:tcPr>
          <w:p w14:paraId="66BBF82B" w14:textId="77777777" w:rsidR="009F4766" w:rsidRPr="00DE12A3" w:rsidRDefault="009F4766" w:rsidP="00C917D6">
            <w:pPr>
              <w:pStyle w:val="NormalLeft"/>
            </w:pPr>
            <w:r w:rsidRPr="00DE12A3">
              <w:t>5</w:t>
            </w:r>
          </w:p>
        </w:tc>
        <w:tc>
          <w:tcPr>
            <w:tcW w:w="2551" w:type="dxa"/>
            <w:tcBorders>
              <w:top w:val="single" w:sz="2" w:space="0" w:color="auto"/>
              <w:left w:val="single" w:sz="2" w:space="0" w:color="auto"/>
              <w:bottom w:val="single" w:sz="2" w:space="0" w:color="auto"/>
              <w:right w:val="single" w:sz="2" w:space="0" w:color="auto"/>
            </w:tcBorders>
          </w:tcPr>
          <w:p w14:paraId="542C75D1" w14:textId="77777777" w:rsidR="009F4766" w:rsidRPr="00DE12A3" w:rsidRDefault="009F4766" w:rsidP="00C917D6">
            <w:pPr>
              <w:pStyle w:val="NormalLeft"/>
            </w:pPr>
            <w:r w:rsidRPr="00DE12A3">
              <w:t>50</w:t>
            </w:r>
          </w:p>
        </w:tc>
      </w:tr>
      <w:tr w:rsidR="00DE12A3" w:rsidRPr="00DE12A3" w14:paraId="3D90B953" w14:textId="77777777" w:rsidTr="009F4766">
        <w:tc>
          <w:tcPr>
            <w:tcW w:w="1182" w:type="dxa"/>
            <w:tcBorders>
              <w:top w:val="single" w:sz="2" w:space="0" w:color="auto"/>
              <w:left w:val="single" w:sz="2" w:space="0" w:color="auto"/>
              <w:bottom w:val="single" w:sz="2" w:space="0" w:color="auto"/>
              <w:right w:val="single" w:sz="2" w:space="0" w:color="auto"/>
            </w:tcBorders>
          </w:tcPr>
          <w:p w14:paraId="3E8A19BC" w14:textId="77777777" w:rsidR="009F4766" w:rsidRPr="00DE12A3" w:rsidRDefault="009F4766" w:rsidP="00C917D6">
            <w:pPr>
              <w:pStyle w:val="NormalLeft"/>
            </w:pPr>
            <w:r w:rsidRPr="00DE12A3">
              <w:t>327</w:t>
            </w:r>
          </w:p>
        </w:tc>
        <w:tc>
          <w:tcPr>
            <w:tcW w:w="2489" w:type="dxa"/>
            <w:tcBorders>
              <w:top w:val="single" w:sz="2" w:space="0" w:color="auto"/>
              <w:left w:val="single" w:sz="2" w:space="0" w:color="auto"/>
              <w:bottom w:val="single" w:sz="2" w:space="0" w:color="auto"/>
              <w:right w:val="single" w:sz="2" w:space="0" w:color="auto"/>
            </w:tcBorders>
          </w:tcPr>
          <w:p w14:paraId="530A1E95" w14:textId="77777777" w:rsidR="009F4766" w:rsidRPr="00DE12A3" w:rsidRDefault="009F4766" w:rsidP="00C917D6">
            <w:pPr>
              <w:pStyle w:val="NormalLeft"/>
            </w:pPr>
            <w:r w:rsidRPr="00DE12A3">
              <w:t>1</w:t>
            </w:r>
          </w:p>
        </w:tc>
        <w:tc>
          <w:tcPr>
            <w:tcW w:w="2551" w:type="dxa"/>
            <w:tcBorders>
              <w:top w:val="single" w:sz="2" w:space="0" w:color="auto"/>
              <w:left w:val="single" w:sz="2" w:space="0" w:color="auto"/>
              <w:bottom w:val="single" w:sz="2" w:space="0" w:color="auto"/>
              <w:right w:val="single" w:sz="2" w:space="0" w:color="auto"/>
            </w:tcBorders>
          </w:tcPr>
          <w:p w14:paraId="46441970" w14:textId="77777777" w:rsidR="009F4766" w:rsidRPr="00DE12A3" w:rsidRDefault="009F4766" w:rsidP="00C917D6">
            <w:pPr>
              <w:pStyle w:val="NormalLeft"/>
            </w:pPr>
            <w:r w:rsidRPr="00DE12A3">
              <w:t>55</w:t>
            </w:r>
          </w:p>
        </w:tc>
      </w:tr>
      <w:tr w:rsidR="00DE12A3" w:rsidRPr="00DE12A3" w14:paraId="18C885B8" w14:textId="77777777" w:rsidTr="009F4766">
        <w:tc>
          <w:tcPr>
            <w:tcW w:w="1182" w:type="dxa"/>
            <w:tcBorders>
              <w:top w:val="single" w:sz="2" w:space="0" w:color="auto"/>
              <w:left w:val="single" w:sz="2" w:space="0" w:color="auto"/>
              <w:bottom w:val="single" w:sz="2" w:space="0" w:color="auto"/>
              <w:right w:val="single" w:sz="2" w:space="0" w:color="auto"/>
            </w:tcBorders>
          </w:tcPr>
          <w:p w14:paraId="7422849C" w14:textId="77777777" w:rsidR="009F4766" w:rsidRPr="00DE12A3" w:rsidRDefault="009F4766" w:rsidP="00C917D6">
            <w:pPr>
              <w:pStyle w:val="NormalLeft"/>
            </w:pPr>
            <w:r w:rsidRPr="00DE12A3">
              <w:t>328</w:t>
            </w:r>
          </w:p>
        </w:tc>
        <w:tc>
          <w:tcPr>
            <w:tcW w:w="2489" w:type="dxa"/>
            <w:tcBorders>
              <w:top w:val="single" w:sz="2" w:space="0" w:color="auto"/>
              <w:left w:val="single" w:sz="2" w:space="0" w:color="auto"/>
              <w:bottom w:val="single" w:sz="2" w:space="0" w:color="auto"/>
              <w:right w:val="single" w:sz="2" w:space="0" w:color="auto"/>
            </w:tcBorders>
          </w:tcPr>
          <w:p w14:paraId="6B463E3E" w14:textId="77777777" w:rsidR="009F4766" w:rsidRPr="00DE12A3" w:rsidRDefault="009F4766" w:rsidP="00C917D6">
            <w:pPr>
              <w:pStyle w:val="NormalLeft"/>
            </w:pPr>
            <w:r w:rsidRPr="00DE12A3">
              <w:t>7</w:t>
            </w:r>
          </w:p>
        </w:tc>
        <w:tc>
          <w:tcPr>
            <w:tcW w:w="2551" w:type="dxa"/>
            <w:tcBorders>
              <w:top w:val="single" w:sz="2" w:space="0" w:color="auto"/>
              <w:left w:val="single" w:sz="2" w:space="0" w:color="auto"/>
              <w:bottom w:val="single" w:sz="2" w:space="0" w:color="auto"/>
              <w:right w:val="single" w:sz="2" w:space="0" w:color="auto"/>
            </w:tcBorders>
          </w:tcPr>
          <w:p w14:paraId="00CECE2F" w14:textId="77777777" w:rsidR="009F4766" w:rsidRPr="00DE12A3" w:rsidRDefault="009F4766" w:rsidP="00C917D6">
            <w:pPr>
              <w:pStyle w:val="NormalLeft"/>
            </w:pPr>
            <w:r w:rsidRPr="00DE12A3">
              <w:t>55</w:t>
            </w:r>
          </w:p>
        </w:tc>
      </w:tr>
      <w:tr w:rsidR="00DE12A3" w:rsidRPr="00DE12A3" w14:paraId="1ECDABE8" w14:textId="77777777" w:rsidTr="009F4766">
        <w:tc>
          <w:tcPr>
            <w:tcW w:w="1182" w:type="dxa"/>
            <w:tcBorders>
              <w:top w:val="single" w:sz="2" w:space="0" w:color="auto"/>
              <w:left w:val="single" w:sz="2" w:space="0" w:color="auto"/>
              <w:bottom w:val="single" w:sz="2" w:space="0" w:color="auto"/>
              <w:right w:val="single" w:sz="2" w:space="0" w:color="auto"/>
            </w:tcBorders>
          </w:tcPr>
          <w:p w14:paraId="5FBE9080" w14:textId="77777777" w:rsidR="009F4766" w:rsidRPr="00DE12A3" w:rsidRDefault="009F4766" w:rsidP="00C917D6">
            <w:pPr>
              <w:pStyle w:val="NormalLeft"/>
            </w:pPr>
            <w:r w:rsidRPr="00DE12A3">
              <w:t>329</w:t>
            </w:r>
          </w:p>
        </w:tc>
        <w:tc>
          <w:tcPr>
            <w:tcW w:w="2489" w:type="dxa"/>
            <w:tcBorders>
              <w:top w:val="single" w:sz="2" w:space="0" w:color="auto"/>
              <w:left w:val="single" w:sz="2" w:space="0" w:color="auto"/>
              <w:bottom w:val="single" w:sz="2" w:space="0" w:color="auto"/>
              <w:right w:val="single" w:sz="2" w:space="0" w:color="auto"/>
            </w:tcBorders>
          </w:tcPr>
          <w:p w14:paraId="2CBA6DBC" w14:textId="77777777" w:rsidR="009F4766" w:rsidRPr="00DE12A3" w:rsidRDefault="009F4766" w:rsidP="00C917D6">
            <w:pPr>
              <w:pStyle w:val="NormalLeft"/>
            </w:pPr>
            <w:r w:rsidRPr="00DE12A3">
              <w:t>62</w:t>
            </w:r>
          </w:p>
        </w:tc>
        <w:tc>
          <w:tcPr>
            <w:tcW w:w="2551" w:type="dxa"/>
            <w:tcBorders>
              <w:top w:val="single" w:sz="2" w:space="0" w:color="auto"/>
              <w:left w:val="single" w:sz="2" w:space="0" w:color="auto"/>
              <w:bottom w:val="single" w:sz="2" w:space="0" w:color="auto"/>
              <w:right w:val="single" w:sz="2" w:space="0" w:color="auto"/>
            </w:tcBorders>
          </w:tcPr>
          <w:p w14:paraId="07107E65" w14:textId="77777777" w:rsidR="009F4766" w:rsidRPr="00DE12A3" w:rsidRDefault="009F4766" w:rsidP="00C917D6">
            <w:pPr>
              <w:pStyle w:val="NormalLeft"/>
            </w:pPr>
            <w:r w:rsidRPr="00DE12A3">
              <w:t>60</w:t>
            </w:r>
          </w:p>
        </w:tc>
      </w:tr>
      <w:tr w:rsidR="00DE12A3" w:rsidRPr="00DE12A3" w14:paraId="12D6C64C" w14:textId="77777777" w:rsidTr="009F4766">
        <w:tc>
          <w:tcPr>
            <w:tcW w:w="1182" w:type="dxa"/>
            <w:tcBorders>
              <w:top w:val="single" w:sz="2" w:space="0" w:color="auto"/>
              <w:left w:val="single" w:sz="2" w:space="0" w:color="auto"/>
              <w:bottom w:val="single" w:sz="2" w:space="0" w:color="auto"/>
              <w:right w:val="single" w:sz="2" w:space="0" w:color="auto"/>
            </w:tcBorders>
          </w:tcPr>
          <w:p w14:paraId="53489422" w14:textId="77777777" w:rsidR="009F4766" w:rsidRPr="00DE12A3" w:rsidRDefault="009F4766" w:rsidP="00C917D6">
            <w:pPr>
              <w:pStyle w:val="NormalLeft"/>
            </w:pPr>
            <w:r w:rsidRPr="00DE12A3">
              <w:t>330</w:t>
            </w:r>
          </w:p>
        </w:tc>
        <w:tc>
          <w:tcPr>
            <w:tcW w:w="2489" w:type="dxa"/>
            <w:tcBorders>
              <w:top w:val="single" w:sz="2" w:space="0" w:color="auto"/>
              <w:left w:val="single" w:sz="2" w:space="0" w:color="auto"/>
              <w:bottom w:val="single" w:sz="2" w:space="0" w:color="auto"/>
              <w:right w:val="single" w:sz="2" w:space="0" w:color="auto"/>
            </w:tcBorders>
          </w:tcPr>
          <w:p w14:paraId="2267C6AD" w14:textId="77777777" w:rsidR="009F4766" w:rsidRPr="00DE12A3" w:rsidRDefault="009F4766" w:rsidP="00C917D6">
            <w:pPr>
              <w:pStyle w:val="NormalLeft"/>
            </w:pPr>
            <w:r w:rsidRPr="00DE12A3">
              <w:t>80</w:t>
            </w:r>
          </w:p>
        </w:tc>
        <w:tc>
          <w:tcPr>
            <w:tcW w:w="2551" w:type="dxa"/>
            <w:tcBorders>
              <w:top w:val="single" w:sz="2" w:space="0" w:color="auto"/>
              <w:left w:val="single" w:sz="2" w:space="0" w:color="auto"/>
              <w:bottom w:val="single" w:sz="2" w:space="0" w:color="auto"/>
              <w:right w:val="single" w:sz="2" w:space="0" w:color="auto"/>
            </w:tcBorders>
          </w:tcPr>
          <w:p w14:paraId="023DAB06" w14:textId="77777777" w:rsidR="009F4766" w:rsidRPr="00DE12A3" w:rsidRDefault="009F4766" w:rsidP="00C917D6">
            <w:pPr>
              <w:pStyle w:val="NormalLeft"/>
            </w:pPr>
            <w:r w:rsidRPr="00DE12A3">
              <w:t>28</w:t>
            </w:r>
          </w:p>
        </w:tc>
      </w:tr>
      <w:tr w:rsidR="00DE12A3" w:rsidRPr="00DE12A3" w14:paraId="03B6C173" w14:textId="77777777" w:rsidTr="009F4766">
        <w:tc>
          <w:tcPr>
            <w:tcW w:w="1182" w:type="dxa"/>
            <w:tcBorders>
              <w:top w:val="single" w:sz="2" w:space="0" w:color="auto"/>
              <w:left w:val="single" w:sz="2" w:space="0" w:color="auto"/>
              <w:bottom w:val="single" w:sz="2" w:space="0" w:color="auto"/>
              <w:right w:val="single" w:sz="2" w:space="0" w:color="auto"/>
            </w:tcBorders>
          </w:tcPr>
          <w:p w14:paraId="5481FF2B" w14:textId="77777777" w:rsidR="009F4766" w:rsidRPr="00DE12A3" w:rsidRDefault="009F4766" w:rsidP="00C917D6">
            <w:pPr>
              <w:pStyle w:val="NormalLeft"/>
            </w:pPr>
            <w:r w:rsidRPr="00DE12A3">
              <w:t>331</w:t>
            </w:r>
          </w:p>
        </w:tc>
        <w:tc>
          <w:tcPr>
            <w:tcW w:w="2489" w:type="dxa"/>
            <w:tcBorders>
              <w:top w:val="single" w:sz="2" w:space="0" w:color="auto"/>
              <w:left w:val="single" w:sz="2" w:space="0" w:color="auto"/>
              <w:bottom w:val="single" w:sz="2" w:space="0" w:color="auto"/>
              <w:right w:val="single" w:sz="2" w:space="0" w:color="auto"/>
            </w:tcBorders>
          </w:tcPr>
          <w:p w14:paraId="1A26EFE3" w14:textId="77777777" w:rsidR="009F4766" w:rsidRPr="00DE12A3" w:rsidRDefault="009F4766" w:rsidP="00C917D6">
            <w:pPr>
              <w:pStyle w:val="NormalLeft"/>
            </w:pPr>
            <w:r w:rsidRPr="00DE12A3">
              <w:t>23</w:t>
            </w:r>
          </w:p>
        </w:tc>
        <w:tc>
          <w:tcPr>
            <w:tcW w:w="2551" w:type="dxa"/>
            <w:tcBorders>
              <w:top w:val="single" w:sz="2" w:space="0" w:color="auto"/>
              <w:left w:val="single" w:sz="2" w:space="0" w:color="auto"/>
              <w:bottom w:val="single" w:sz="2" w:space="0" w:color="auto"/>
              <w:right w:val="single" w:sz="2" w:space="0" w:color="auto"/>
            </w:tcBorders>
          </w:tcPr>
          <w:p w14:paraId="62CD9414" w14:textId="77777777" w:rsidR="009F4766" w:rsidRPr="00DE12A3" w:rsidRDefault="009F4766" w:rsidP="00C917D6">
            <w:pPr>
              <w:pStyle w:val="NormalLeft"/>
            </w:pPr>
            <w:r w:rsidRPr="00DE12A3">
              <w:t>37</w:t>
            </w:r>
          </w:p>
        </w:tc>
      </w:tr>
      <w:tr w:rsidR="00DE12A3" w:rsidRPr="00DE12A3" w14:paraId="693874B4" w14:textId="77777777" w:rsidTr="009F4766">
        <w:tc>
          <w:tcPr>
            <w:tcW w:w="1182" w:type="dxa"/>
            <w:tcBorders>
              <w:top w:val="single" w:sz="2" w:space="0" w:color="auto"/>
              <w:left w:val="single" w:sz="2" w:space="0" w:color="auto"/>
              <w:bottom w:val="single" w:sz="2" w:space="0" w:color="auto"/>
              <w:right w:val="single" w:sz="2" w:space="0" w:color="auto"/>
            </w:tcBorders>
          </w:tcPr>
          <w:p w14:paraId="152807C3" w14:textId="77777777" w:rsidR="009F4766" w:rsidRPr="00DE12A3" w:rsidRDefault="009F4766" w:rsidP="00C917D6">
            <w:pPr>
              <w:pStyle w:val="NormalLeft"/>
            </w:pPr>
            <w:r w:rsidRPr="00DE12A3">
              <w:t>332</w:t>
            </w:r>
          </w:p>
        </w:tc>
        <w:tc>
          <w:tcPr>
            <w:tcW w:w="2489" w:type="dxa"/>
            <w:tcBorders>
              <w:top w:val="single" w:sz="2" w:space="0" w:color="auto"/>
              <w:left w:val="single" w:sz="2" w:space="0" w:color="auto"/>
              <w:bottom w:val="single" w:sz="2" w:space="0" w:color="auto"/>
              <w:right w:val="single" w:sz="2" w:space="0" w:color="auto"/>
            </w:tcBorders>
          </w:tcPr>
          <w:p w14:paraId="3BBE730C" w14:textId="77777777" w:rsidR="009F4766" w:rsidRPr="00DE12A3" w:rsidRDefault="009F4766" w:rsidP="00C917D6">
            <w:pPr>
              <w:pStyle w:val="NormalLeft"/>
            </w:pPr>
            <w:r w:rsidRPr="00DE12A3">
              <w:t>39</w:t>
            </w:r>
          </w:p>
        </w:tc>
        <w:tc>
          <w:tcPr>
            <w:tcW w:w="2551" w:type="dxa"/>
            <w:tcBorders>
              <w:top w:val="single" w:sz="2" w:space="0" w:color="auto"/>
              <w:left w:val="single" w:sz="2" w:space="0" w:color="auto"/>
              <w:bottom w:val="single" w:sz="2" w:space="0" w:color="auto"/>
              <w:right w:val="single" w:sz="2" w:space="0" w:color="auto"/>
            </w:tcBorders>
          </w:tcPr>
          <w:p w14:paraId="14505779" w14:textId="77777777" w:rsidR="009F4766" w:rsidRPr="00DE12A3" w:rsidRDefault="009F4766" w:rsidP="00C917D6">
            <w:pPr>
              <w:pStyle w:val="NormalLeft"/>
            </w:pPr>
            <w:r w:rsidRPr="00DE12A3">
              <w:t>58</w:t>
            </w:r>
          </w:p>
        </w:tc>
      </w:tr>
      <w:tr w:rsidR="00DE12A3" w:rsidRPr="00DE12A3" w14:paraId="63D4B65A" w14:textId="77777777" w:rsidTr="009F4766">
        <w:tc>
          <w:tcPr>
            <w:tcW w:w="1182" w:type="dxa"/>
            <w:tcBorders>
              <w:top w:val="single" w:sz="2" w:space="0" w:color="auto"/>
              <w:left w:val="single" w:sz="2" w:space="0" w:color="auto"/>
              <w:bottom w:val="single" w:sz="2" w:space="0" w:color="auto"/>
              <w:right w:val="single" w:sz="2" w:space="0" w:color="auto"/>
            </w:tcBorders>
          </w:tcPr>
          <w:p w14:paraId="35E1FCA0" w14:textId="77777777" w:rsidR="009F4766" w:rsidRPr="00DE12A3" w:rsidRDefault="009F4766" w:rsidP="00C917D6">
            <w:pPr>
              <w:pStyle w:val="NormalLeft"/>
            </w:pPr>
            <w:r w:rsidRPr="00DE12A3">
              <w:t>333</w:t>
            </w:r>
          </w:p>
        </w:tc>
        <w:tc>
          <w:tcPr>
            <w:tcW w:w="2489" w:type="dxa"/>
            <w:tcBorders>
              <w:top w:val="single" w:sz="2" w:space="0" w:color="auto"/>
              <w:left w:val="single" w:sz="2" w:space="0" w:color="auto"/>
              <w:bottom w:val="single" w:sz="2" w:space="0" w:color="auto"/>
              <w:right w:val="single" w:sz="2" w:space="0" w:color="auto"/>
            </w:tcBorders>
          </w:tcPr>
          <w:p w14:paraId="39A55ACB" w14:textId="77777777" w:rsidR="009F4766" w:rsidRPr="00DE12A3" w:rsidRDefault="009F4766" w:rsidP="00C917D6">
            <w:pPr>
              <w:pStyle w:val="NormalLeft"/>
            </w:pPr>
            <w:r w:rsidRPr="00DE12A3">
              <w:t>47</w:t>
            </w:r>
          </w:p>
        </w:tc>
        <w:tc>
          <w:tcPr>
            <w:tcW w:w="2551" w:type="dxa"/>
            <w:tcBorders>
              <w:top w:val="single" w:sz="2" w:space="0" w:color="auto"/>
              <w:left w:val="single" w:sz="2" w:space="0" w:color="auto"/>
              <w:bottom w:val="single" w:sz="2" w:space="0" w:color="auto"/>
              <w:right w:val="single" w:sz="2" w:space="0" w:color="auto"/>
            </w:tcBorders>
          </w:tcPr>
          <w:p w14:paraId="17990154" w14:textId="77777777" w:rsidR="009F4766" w:rsidRPr="00DE12A3" w:rsidRDefault="009F4766" w:rsidP="00C917D6">
            <w:pPr>
              <w:pStyle w:val="NormalLeft"/>
            </w:pPr>
            <w:r w:rsidRPr="00DE12A3">
              <w:t>24</w:t>
            </w:r>
          </w:p>
        </w:tc>
      </w:tr>
      <w:tr w:rsidR="00DE12A3" w:rsidRPr="00DE12A3" w14:paraId="2DB30C74" w14:textId="77777777" w:rsidTr="009F4766">
        <w:tc>
          <w:tcPr>
            <w:tcW w:w="1182" w:type="dxa"/>
            <w:tcBorders>
              <w:top w:val="single" w:sz="2" w:space="0" w:color="auto"/>
              <w:left w:val="single" w:sz="2" w:space="0" w:color="auto"/>
              <w:bottom w:val="single" w:sz="2" w:space="0" w:color="auto"/>
              <w:right w:val="single" w:sz="2" w:space="0" w:color="auto"/>
            </w:tcBorders>
          </w:tcPr>
          <w:p w14:paraId="7264756E" w14:textId="77777777" w:rsidR="009F4766" w:rsidRPr="00DE12A3" w:rsidRDefault="009F4766" w:rsidP="00C917D6">
            <w:pPr>
              <w:pStyle w:val="NormalLeft"/>
            </w:pPr>
            <w:r w:rsidRPr="00DE12A3">
              <w:t>334</w:t>
            </w:r>
          </w:p>
        </w:tc>
        <w:tc>
          <w:tcPr>
            <w:tcW w:w="2489" w:type="dxa"/>
            <w:tcBorders>
              <w:top w:val="single" w:sz="2" w:space="0" w:color="auto"/>
              <w:left w:val="single" w:sz="2" w:space="0" w:color="auto"/>
              <w:bottom w:val="single" w:sz="2" w:space="0" w:color="auto"/>
              <w:right w:val="single" w:sz="2" w:space="0" w:color="auto"/>
            </w:tcBorders>
          </w:tcPr>
          <w:p w14:paraId="12F9FBE4" w14:textId="77777777" w:rsidR="009F4766" w:rsidRPr="00DE12A3" w:rsidRDefault="009F4766" w:rsidP="00C917D6">
            <w:pPr>
              <w:pStyle w:val="NormalLeft"/>
            </w:pPr>
            <w:r w:rsidRPr="00DE12A3">
              <w:t>59</w:t>
            </w:r>
          </w:p>
        </w:tc>
        <w:tc>
          <w:tcPr>
            <w:tcW w:w="2551" w:type="dxa"/>
            <w:tcBorders>
              <w:top w:val="single" w:sz="2" w:space="0" w:color="auto"/>
              <w:left w:val="single" w:sz="2" w:space="0" w:color="auto"/>
              <w:bottom w:val="single" w:sz="2" w:space="0" w:color="auto"/>
              <w:right w:val="single" w:sz="2" w:space="0" w:color="auto"/>
            </w:tcBorders>
          </w:tcPr>
          <w:p w14:paraId="1B412848" w14:textId="77777777" w:rsidR="009F4766" w:rsidRPr="00DE12A3" w:rsidRDefault="009F4766" w:rsidP="00C917D6">
            <w:pPr>
              <w:pStyle w:val="NormalLeft"/>
            </w:pPr>
            <w:r w:rsidRPr="00DE12A3">
              <w:t>51</w:t>
            </w:r>
          </w:p>
        </w:tc>
      </w:tr>
      <w:tr w:rsidR="00DE12A3" w:rsidRPr="00DE12A3" w14:paraId="072CA49D" w14:textId="77777777" w:rsidTr="009F4766">
        <w:tc>
          <w:tcPr>
            <w:tcW w:w="1182" w:type="dxa"/>
            <w:tcBorders>
              <w:top w:val="single" w:sz="2" w:space="0" w:color="auto"/>
              <w:left w:val="single" w:sz="2" w:space="0" w:color="auto"/>
              <w:bottom w:val="single" w:sz="2" w:space="0" w:color="auto"/>
              <w:right w:val="single" w:sz="2" w:space="0" w:color="auto"/>
            </w:tcBorders>
          </w:tcPr>
          <w:p w14:paraId="48F17DC1" w14:textId="77777777" w:rsidR="009F4766" w:rsidRPr="00DE12A3" w:rsidRDefault="009F4766" w:rsidP="00C917D6">
            <w:pPr>
              <w:pStyle w:val="NormalLeft"/>
            </w:pPr>
            <w:r w:rsidRPr="00DE12A3">
              <w:t>335</w:t>
            </w:r>
          </w:p>
        </w:tc>
        <w:tc>
          <w:tcPr>
            <w:tcW w:w="2489" w:type="dxa"/>
            <w:tcBorders>
              <w:top w:val="single" w:sz="2" w:space="0" w:color="auto"/>
              <w:left w:val="single" w:sz="2" w:space="0" w:color="auto"/>
              <w:bottom w:val="single" w:sz="2" w:space="0" w:color="auto"/>
              <w:right w:val="single" w:sz="2" w:space="0" w:color="auto"/>
            </w:tcBorders>
          </w:tcPr>
          <w:p w14:paraId="7372371E" w14:textId="77777777" w:rsidR="009F4766" w:rsidRPr="00DE12A3" w:rsidRDefault="009F4766" w:rsidP="00C917D6">
            <w:pPr>
              <w:pStyle w:val="NormalLeft"/>
            </w:pPr>
            <w:r w:rsidRPr="00DE12A3">
              <w:t>58</w:t>
            </w:r>
          </w:p>
        </w:tc>
        <w:tc>
          <w:tcPr>
            <w:tcW w:w="2551" w:type="dxa"/>
            <w:tcBorders>
              <w:top w:val="single" w:sz="2" w:space="0" w:color="auto"/>
              <w:left w:val="single" w:sz="2" w:space="0" w:color="auto"/>
              <w:bottom w:val="single" w:sz="2" w:space="0" w:color="auto"/>
              <w:right w:val="single" w:sz="2" w:space="0" w:color="auto"/>
            </w:tcBorders>
          </w:tcPr>
          <w:p w14:paraId="7FB96A36" w14:textId="77777777" w:rsidR="009F4766" w:rsidRPr="00DE12A3" w:rsidRDefault="009F4766" w:rsidP="00C917D6">
            <w:pPr>
              <w:pStyle w:val="NormalLeft"/>
            </w:pPr>
            <w:r w:rsidRPr="00DE12A3">
              <w:t>68</w:t>
            </w:r>
          </w:p>
        </w:tc>
      </w:tr>
      <w:tr w:rsidR="00DE12A3" w:rsidRPr="00DE12A3" w14:paraId="7EA6D67A" w14:textId="77777777" w:rsidTr="009F4766">
        <w:tc>
          <w:tcPr>
            <w:tcW w:w="1182" w:type="dxa"/>
            <w:tcBorders>
              <w:top w:val="single" w:sz="2" w:space="0" w:color="auto"/>
              <w:left w:val="single" w:sz="2" w:space="0" w:color="auto"/>
              <w:bottom w:val="single" w:sz="2" w:space="0" w:color="auto"/>
              <w:right w:val="single" w:sz="2" w:space="0" w:color="auto"/>
            </w:tcBorders>
          </w:tcPr>
          <w:p w14:paraId="56B3CC69" w14:textId="77777777" w:rsidR="009F4766" w:rsidRPr="00DE12A3" w:rsidRDefault="009F4766" w:rsidP="00C917D6">
            <w:pPr>
              <w:pStyle w:val="NormalLeft"/>
            </w:pPr>
            <w:r w:rsidRPr="00DE12A3">
              <w:t>336</w:t>
            </w:r>
          </w:p>
        </w:tc>
        <w:tc>
          <w:tcPr>
            <w:tcW w:w="2489" w:type="dxa"/>
            <w:tcBorders>
              <w:top w:val="single" w:sz="2" w:space="0" w:color="auto"/>
              <w:left w:val="single" w:sz="2" w:space="0" w:color="auto"/>
              <w:bottom w:val="single" w:sz="2" w:space="0" w:color="auto"/>
              <w:right w:val="single" w:sz="2" w:space="0" w:color="auto"/>
            </w:tcBorders>
          </w:tcPr>
          <w:p w14:paraId="4AB5CCE2" w14:textId="77777777" w:rsidR="009F4766" w:rsidRPr="00DE12A3" w:rsidRDefault="009F4766" w:rsidP="00C917D6">
            <w:pPr>
              <w:pStyle w:val="NormalLeft"/>
            </w:pPr>
            <w:r w:rsidRPr="00DE12A3">
              <w:t>36</w:t>
            </w:r>
          </w:p>
        </w:tc>
        <w:tc>
          <w:tcPr>
            <w:tcW w:w="2551" w:type="dxa"/>
            <w:tcBorders>
              <w:top w:val="single" w:sz="2" w:space="0" w:color="auto"/>
              <w:left w:val="single" w:sz="2" w:space="0" w:color="auto"/>
              <w:bottom w:val="single" w:sz="2" w:space="0" w:color="auto"/>
              <w:right w:val="single" w:sz="2" w:space="0" w:color="auto"/>
            </w:tcBorders>
          </w:tcPr>
          <w:p w14:paraId="3B81D3CB" w14:textId="77777777" w:rsidR="009F4766" w:rsidRPr="00DE12A3" w:rsidRDefault="009F4766" w:rsidP="00C917D6">
            <w:pPr>
              <w:pStyle w:val="NormalLeft"/>
            </w:pPr>
            <w:r w:rsidRPr="00DE12A3">
              <w:t>52</w:t>
            </w:r>
          </w:p>
        </w:tc>
      </w:tr>
      <w:tr w:rsidR="00DE12A3" w:rsidRPr="00DE12A3" w14:paraId="687A0B32" w14:textId="77777777" w:rsidTr="009F4766">
        <w:tc>
          <w:tcPr>
            <w:tcW w:w="1182" w:type="dxa"/>
            <w:tcBorders>
              <w:top w:val="single" w:sz="2" w:space="0" w:color="auto"/>
              <w:left w:val="single" w:sz="2" w:space="0" w:color="auto"/>
              <w:bottom w:val="single" w:sz="2" w:space="0" w:color="auto"/>
              <w:right w:val="single" w:sz="2" w:space="0" w:color="auto"/>
            </w:tcBorders>
          </w:tcPr>
          <w:p w14:paraId="617F0E50" w14:textId="77777777" w:rsidR="009F4766" w:rsidRPr="00DE12A3" w:rsidRDefault="009F4766" w:rsidP="00C917D6">
            <w:pPr>
              <w:pStyle w:val="NormalLeft"/>
            </w:pPr>
            <w:r w:rsidRPr="00DE12A3">
              <w:t>337</w:t>
            </w:r>
          </w:p>
        </w:tc>
        <w:tc>
          <w:tcPr>
            <w:tcW w:w="2489" w:type="dxa"/>
            <w:tcBorders>
              <w:top w:val="single" w:sz="2" w:space="0" w:color="auto"/>
              <w:left w:val="single" w:sz="2" w:space="0" w:color="auto"/>
              <w:bottom w:val="single" w:sz="2" w:space="0" w:color="auto"/>
              <w:right w:val="single" w:sz="2" w:space="0" w:color="auto"/>
            </w:tcBorders>
          </w:tcPr>
          <w:p w14:paraId="625506FA" w14:textId="77777777" w:rsidR="009F4766" w:rsidRPr="00DE12A3" w:rsidRDefault="009F4766" w:rsidP="00C917D6">
            <w:pPr>
              <w:pStyle w:val="NormalLeft"/>
            </w:pPr>
            <w:r w:rsidRPr="00DE12A3">
              <w:t>18</w:t>
            </w:r>
          </w:p>
        </w:tc>
        <w:tc>
          <w:tcPr>
            <w:tcW w:w="2551" w:type="dxa"/>
            <w:tcBorders>
              <w:top w:val="single" w:sz="2" w:space="0" w:color="auto"/>
              <w:left w:val="single" w:sz="2" w:space="0" w:color="auto"/>
              <w:bottom w:val="single" w:sz="2" w:space="0" w:color="auto"/>
              <w:right w:val="single" w:sz="2" w:space="0" w:color="auto"/>
            </w:tcBorders>
          </w:tcPr>
          <w:p w14:paraId="72F97E95" w14:textId="77777777" w:rsidR="009F4766" w:rsidRPr="00DE12A3" w:rsidRDefault="009F4766" w:rsidP="00C917D6">
            <w:pPr>
              <w:pStyle w:val="NormalLeft"/>
            </w:pPr>
            <w:r w:rsidRPr="00DE12A3">
              <w:t>42</w:t>
            </w:r>
          </w:p>
        </w:tc>
      </w:tr>
      <w:tr w:rsidR="00DE12A3" w:rsidRPr="00DE12A3" w14:paraId="421E60C2" w14:textId="77777777" w:rsidTr="009F4766">
        <w:tc>
          <w:tcPr>
            <w:tcW w:w="1182" w:type="dxa"/>
            <w:tcBorders>
              <w:top w:val="single" w:sz="2" w:space="0" w:color="auto"/>
              <w:left w:val="single" w:sz="2" w:space="0" w:color="auto"/>
              <w:bottom w:val="single" w:sz="2" w:space="0" w:color="auto"/>
              <w:right w:val="single" w:sz="2" w:space="0" w:color="auto"/>
            </w:tcBorders>
          </w:tcPr>
          <w:p w14:paraId="2D0C5AC0" w14:textId="77777777" w:rsidR="009F4766" w:rsidRPr="00DE12A3" w:rsidRDefault="009F4766" w:rsidP="00C917D6">
            <w:pPr>
              <w:pStyle w:val="NormalLeft"/>
            </w:pPr>
            <w:r w:rsidRPr="00DE12A3">
              <w:t>338</w:t>
            </w:r>
          </w:p>
        </w:tc>
        <w:tc>
          <w:tcPr>
            <w:tcW w:w="2489" w:type="dxa"/>
            <w:tcBorders>
              <w:top w:val="single" w:sz="2" w:space="0" w:color="auto"/>
              <w:left w:val="single" w:sz="2" w:space="0" w:color="auto"/>
              <w:bottom w:val="single" w:sz="2" w:space="0" w:color="auto"/>
              <w:right w:val="single" w:sz="2" w:space="0" w:color="auto"/>
            </w:tcBorders>
          </w:tcPr>
          <w:p w14:paraId="4E024C91" w14:textId="77777777" w:rsidR="009F4766" w:rsidRPr="00DE12A3" w:rsidRDefault="009F4766" w:rsidP="00C917D6">
            <w:pPr>
              <w:pStyle w:val="NormalLeft"/>
            </w:pPr>
            <w:r w:rsidRPr="00DE12A3">
              <w:t>36</w:t>
            </w:r>
          </w:p>
        </w:tc>
        <w:tc>
          <w:tcPr>
            <w:tcW w:w="2551" w:type="dxa"/>
            <w:tcBorders>
              <w:top w:val="single" w:sz="2" w:space="0" w:color="auto"/>
              <w:left w:val="single" w:sz="2" w:space="0" w:color="auto"/>
              <w:bottom w:val="single" w:sz="2" w:space="0" w:color="auto"/>
              <w:right w:val="single" w:sz="2" w:space="0" w:color="auto"/>
            </w:tcBorders>
          </w:tcPr>
          <w:p w14:paraId="49404831" w14:textId="77777777" w:rsidR="009F4766" w:rsidRPr="00DE12A3" w:rsidRDefault="009F4766" w:rsidP="00C917D6">
            <w:pPr>
              <w:pStyle w:val="NormalLeft"/>
            </w:pPr>
            <w:r w:rsidRPr="00DE12A3">
              <w:t>52</w:t>
            </w:r>
          </w:p>
        </w:tc>
      </w:tr>
      <w:tr w:rsidR="00DE12A3" w:rsidRPr="00DE12A3" w14:paraId="2D5C65A5" w14:textId="77777777" w:rsidTr="009F4766">
        <w:tc>
          <w:tcPr>
            <w:tcW w:w="1182" w:type="dxa"/>
            <w:tcBorders>
              <w:top w:val="single" w:sz="2" w:space="0" w:color="auto"/>
              <w:left w:val="single" w:sz="2" w:space="0" w:color="auto"/>
              <w:bottom w:val="single" w:sz="2" w:space="0" w:color="auto"/>
              <w:right w:val="single" w:sz="2" w:space="0" w:color="auto"/>
            </w:tcBorders>
          </w:tcPr>
          <w:p w14:paraId="2272CDF7" w14:textId="77777777" w:rsidR="009F4766" w:rsidRPr="00DE12A3" w:rsidRDefault="009F4766" w:rsidP="00C917D6">
            <w:pPr>
              <w:pStyle w:val="NormalLeft"/>
            </w:pPr>
            <w:r w:rsidRPr="00DE12A3">
              <w:lastRenderedPageBreak/>
              <w:t>339</w:t>
            </w:r>
          </w:p>
        </w:tc>
        <w:tc>
          <w:tcPr>
            <w:tcW w:w="2489" w:type="dxa"/>
            <w:tcBorders>
              <w:top w:val="single" w:sz="2" w:space="0" w:color="auto"/>
              <w:left w:val="single" w:sz="2" w:space="0" w:color="auto"/>
              <w:bottom w:val="single" w:sz="2" w:space="0" w:color="auto"/>
              <w:right w:val="single" w:sz="2" w:space="0" w:color="auto"/>
            </w:tcBorders>
          </w:tcPr>
          <w:p w14:paraId="29544E41" w14:textId="77777777" w:rsidR="009F4766" w:rsidRPr="00DE12A3" w:rsidRDefault="009F4766" w:rsidP="00C917D6">
            <w:pPr>
              <w:pStyle w:val="NormalLeft"/>
            </w:pPr>
            <w:r w:rsidRPr="00DE12A3">
              <w:t>59</w:t>
            </w:r>
          </w:p>
        </w:tc>
        <w:tc>
          <w:tcPr>
            <w:tcW w:w="2551" w:type="dxa"/>
            <w:tcBorders>
              <w:top w:val="single" w:sz="2" w:space="0" w:color="auto"/>
              <w:left w:val="single" w:sz="2" w:space="0" w:color="auto"/>
              <w:bottom w:val="single" w:sz="2" w:space="0" w:color="auto"/>
              <w:right w:val="single" w:sz="2" w:space="0" w:color="auto"/>
            </w:tcBorders>
          </w:tcPr>
          <w:p w14:paraId="224ADF11" w14:textId="77777777" w:rsidR="009F4766" w:rsidRPr="00DE12A3" w:rsidRDefault="009F4766" w:rsidP="00C917D6">
            <w:pPr>
              <w:pStyle w:val="NormalLeft"/>
            </w:pPr>
            <w:r w:rsidRPr="00DE12A3">
              <w:t>73</w:t>
            </w:r>
          </w:p>
        </w:tc>
      </w:tr>
      <w:tr w:rsidR="00DE12A3" w:rsidRPr="00DE12A3" w14:paraId="2F40CB5C" w14:textId="77777777" w:rsidTr="009F4766">
        <w:tc>
          <w:tcPr>
            <w:tcW w:w="1182" w:type="dxa"/>
            <w:tcBorders>
              <w:top w:val="single" w:sz="2" w:space="0" w:color="auto"/>
              <w:left w:val="single" w:sz="2" w:space="0" w:color="auto"/>
              <w:bottom w:val="single" w:sz="2" w:space="0" w:color="auto"/>
              <w:right w:val="single" w:sz="2" w:space="0" w:color="auto"/>
            </w:tcBorders>
          </w:tcPr>
          <w:p w14:paraId="4CB435F2" w14:textId="77777777" w:rsidR="009F4766" w:rsidRPr="00DE12A3" w:rsidRDefault="009F4766" w:rsidP="00C917D6">
            <w:pPr>
              <w:pStyle w:val="NormalLeft"/>
            </w:pPr>
            <w:r w:rsidRPr="00DE12A3">
              <w:t>340</w:t>
            </w:r>
          </w:p>
        </w:tc>
        <w:tc>
          <w:tcPr>
            <w:tcW w:w="2489" w:type="dxa"/>
            <w:tcBorders>
              <w:top w:val="single" w:sz="2" w:space="0" w:color="auto"/>
              <w:left w:val="single" w:sz="2" w:space="0" w:color="auto"/>
              <w:bottom w:val="single" w:sz="2" w:space="0" w:color="auto"/>
              <w:right w:val="single" w:sz="2" w:space="0" w:color="auto"/>
            </w:tcBorders>
          </w:tcPr>
          <w:p w14:paraId="388657EF" w14:textId="77777777" w:rsidR="009F4766" w:rsidRPr="00DE12A3" w:rsidRDefault="009F4766" w:rsidP="00C917D6">
            <w:pPr>
              <w:pStyle w:val="NormalLeft"/>
            </w:pPr>
            <w:r w:rsidRPr="00DE12A3">
              <w:t>72</w:t>
            </w:r>
          </w:p>
        </w:tc>
        <w:tc>
          <w:tcPr>
            <w:tcW w:w="2551" w:type="dxa"/>
            <w:tcBorders>
              <w:top w:val="single" w:sz="2" w:space="0" w:color="auto"/>
              <w:left w:val="single" w:sz="2" w:space="0" w:color="auto"/>
              <w:bottom w:val="single" w:sz="2" w:space="0" w:color="auto"/>
              <w:right w:val="single" w:sz="2" w:space="0" w:color="auto"/>
            </w:tcBorders>
          </w:tcPr>
          <w:p w14:paraId="14E84F8F" w14:textId="77777777" w:rsidR="009F4766" w:rsidRPr="00DE12A3" w:rsidRDefault="009F4766" w:rsidP="00C917D6">
            <w:pPr>
              <w:pStyle w:val="NormalLeft"/>
            </w:pPr>
            <w:r w:rsidRPr="00DE12A3">
              <w:t>85</w:t>
            </w:r>
          </w:p>
        </w:tc>
      </w:tr>
      <w:tr w:rsidR="00DE12A3" w:rsidRPr="00DE12A3" w14:paraId="23D3CB0A" w14:textId="77777777" w:rsidTr="009F4766">
        <w:tc>
          <w:tcPr>
            <w:tcW w:w="1182" w:type="dxa"/>
            <w:tcBorders>
              <w:top w:val="single" w:sz="2" w:space="0" w:color="auto"/>
              <w:left w:val="single" w:sz="2" w:space="0" w:color="auto"/>
              <w:bottom w:val="single" w:sz="2" w:space="0" w:color="auto"/>
              <w:right w:val="single" w:sz="2" w:space="0" w:color="auto"/>
            </w:tcBorders>
          </w:tcPr>
          <w:p w14:paraId="63C65AEB" w14:textId="77777777" w:rsidR="009F4766" w:rsidRPr="00DE12A3" w:rsidRDefault="009F4766" w:rsidP="00C917D6">
            <w:pPr>
              <w:pStyle w:val="NormalLeft"/>
            </w:pPr>
            <w:r w:rsidRPr="00DE12A3">
              <w:t>341</w:t>
            </w:r>
          </w:p>
        </w:tc>
        <w:tc>
          <w:tcPr>
            <w:tcW w:w="2489" w:type="dxa"/>
            <w:tcBorders>
              <w:top w:val="single" w:sz="2" w:space="0" w:color="auto"/>
              <w:left w:val="single" w:sz="2" w:space="0" w:color="auto"/>
              <w:bottom w:val="single" w:sz="2" w:space="0" w:color="auto"/>
              <w:right w:val="single" w:sz="2" w:space="0" w:color="auto"/>
            </w:tcBorders>
          </w:tcPr>
          <w:p w14:paraId="4B9AC2AF" w14:textId="77777777" w:rsidR="009F4766" w:rsidRPr="00DE12A3" w:rsidRDefault="009F4766" w:rsidP="00C917D6">
            <w:pPr>
              <w:pStyle w:val="NormalLeft"/>
            </w:pPr>
            <w:r w:rsidRPr="00DE12A3">
              <w:t>85</w:t>
            </w:r>
          </w:p>
        </w:tc>
        <w:tc>
          <w:tcPr>
            <w:tcW w:w="2551" w:type="dxa"/>
            <w:tcBorders>
              <w:top w:val="single" w:sz="2" w:space="0" w:color="auto"/>
              <w:left w:val="single" w:sz="2" w:space="0" w:color="auto"/>
              <w:bottom w:val="single" w:sz="2" w:space="0" w:color="auto"/>
              <w:right w:val="single" w:sz="2" w:space="0" w:color="auto"/>
            </w:tcBorders>
          </w:tcPr>
          <w:p w14:paraId="0B2BA133" w14:textId="77777777" w:rsidR="009F4766" w:rsidRPr="00DE12A3" w:rsidRDefault="009F4766" w:rsidP="00C917D6">
            <w:pPr>
              <w:pStyle w:val="NormalLeft"/>
            </w:pPr>
            <w:r w:rsidRPr="00DE12A3">
              <w:t>92</w:t>
            </w:r>
          </w:p>
        </w:tc>
      </w:tr>
      <w:tr w:rsidR="00DE12A3" w:rsidRPr="00DE12A3" w14:paraId="6208B770" w14:textId="77777777" w:rsidTr="009F4766">
        <w:tc>
          <w:tcPr>
            <w:tcW w:w="1182" w:type="dxa"/>
            <w:tcBorders>
              <w:top w:val="single" w:sz="2" w:space="0" w:color="auto"/>
              <w:left w:val="single" w:sz="2" w:space="0" w:color="auto"/>
              <w:bottom w:val="single" w:sz="2" w:space="0" w:color="auto"/>
              <w:right w:val="single" w:sz="2" w:space="0" w:color="auto"/>
            </w:tcBorders>
          </w:tcPr>
          <w:p w14:paraId="0F210A3D" w14:textId="77777777" w:rsidR="009F4766" w:rsidRPr="00DE12A3" w:rsidRDefault="009F4766" w:rsidP="00C917D6">
            <w:pPr>
              <w:pStyle w:val="NormalLeft"/>
            </w:pPr>
            <w:r w:rsidRPr="00DE12A3">
              <w:t>342</w:t>
            </w:r>
          </w:p>
        </w:tc>
        <w:tc>
          <w:tcPr>
            <w:tcW w:w="2489" w:type="dxa"/>
            <w:tcBorders>
              <w:top w:val="single" w:sz="2" w:space="0" w:color="auto"/>
              <w:left w:val="single" w:sz="2" w:space="0" w:color="auto"/>
              <w:bottom w:val="single" w:sz="2" w:space="0" w:color="auto"/>
              <w:right w:val="single" w:sz="2" w:space="0" w:color="auto"/>
            </w:tcBorders>
          </w:tcPr>
          <w:p w14:paraId="01928434" w14:textId="77777777" w:rsidR="009F4766" w:rsidRPr="00DE12A3" w:rsidRDefault="009F4766" w:rsidP="00C917D6">
            <w:pPr>
              <w:pStyle w:val="NormalLeft"/>
            </w:pPr>
            <w:r w:rsidRPr="00DE12A3">
              <w:t>99</w:t>
            </w:r>
          </w:p>
        </w:tc>
        <w:tc>
          <w:tcPr>
            <w:tcW w:w="2551" w:type="dxa"/>
            <w:tcBorders>
              <w:top w:val="single" w:sz="2" w:space="0" w:color="auto"/>
              <w:left w:val="single" w:sz="2" w:space="0" w:color="auto"/>
              <w:bottom w:val="single" w:sz="2" w:space="0" w:color="auto"/>
              <w:right w:val="single" w:sz="2" w:space="0" w:color="auto"/>
            </w:tcBorders>
          </w:tcPr>
          <w:p w14:paraId="6CE681A6" w14:textId="77777777" w:rsidR="009F4766" w:rsidRPr="00DE12A3" w:rsidRDefault="009F4766" w:rsidP="00C917D6">
            <w:pPr>
              <w:pStyle w:val="NormalLeft"/>
            </w:pPr>
            <w:r w:rsidRPr="00DE12A3">
              <w:t>90</w:t>
            </w:r>
          </w:p>
        </w:tc>
      </w:tr>
      <w:tr w:rsidR="00DE12A3" w:rsidRPr="00DE12A3" w14:paraId="31FA6E2B" w14:textId="77777777" w:rsidTr="009F4766">
        <w:tc>
          <w:tcPr>
            <w:tcW w:w="1182" w:type="dxa"/>
            <w:tcBorders>
              <w:top w:val="single" w:sz="2" w:space="0" w:color="auto"/>
              <w:left w:val="single" w:sz="2" w:space="0" w:color="auto"/>
              <w:bottom w:val="single" w:sz="2" w:space="0" w:color="auto"/>
              <w:right w:val="single" w:sz="2" w:space="0" w:color="auto"/>
            </w:tcBorders>
          </w:tcPr>
          <w:p w14:paraId="03722BEB" w14:textId="77777777" w:rsidR="009F4766" w:rsidRPr="00DE12A3" w:rsidRDefault="009F4766" w:rsidP="00C917D6">
            <w:pPr>
              <w:pStyle w:val="NormalLeft"/>
            </w:pPr>
            <w:r w:rsidRPr="00DE12A3">
              <w:t>343</w:t>
            </w:r>
          </w:p>
        </w:tc>
        <w:tc>
          <w:tcPr>
            <w:tcW w:w="2489" w:type="dxa"/>
            <w:tcBorders>
              <w:top w:val="single" w:sz="2" w:space="0" w:color="auto"/>
              <w:left w:val="single" w:sz="2" w:space="0" w:color="auto"/>
              <w:bottom w:val="single" w:sz="2" w:space="0" w:color="auto"/>
              <w:right w:val="single" w:sz="2" w:space="0" w:color="auto"/>
            </w:tcBorders>
          </w:tcPr>
          <w:p w14:paraId="4E0B7CE2" w14:textId="77777777" w:rsidR="009F4766" w:rsidRPr="00DE12A3" w:rsidRDefault="009F4766" w:rsidP="00C917D6">
            <w:pPr>
              <w:pStyle w:val="NormalLeft"/>
            </w:pPr>
            <w:r w:rsidRPr="00DE12A3">
              <w:t>100</w:t>
            </w:r>
          </w:p>
        </w:tc>
        <w:tc>
          <w:tcPr>
            <w:tcW w:w="2551" w:type="dxa"/>
            <w:tcBorders>
              <w:top w:val="single" w:sz="2" w:space="0" w:color="auto"/>
              <w:left w:val="single" w:sz="2" w:space="0" w:color="auto"/>
              <w:bottom w:val="single" w:sz="2" w:space="0" w:color="auto"/>
              <w:right w:val="single" w:sz="2" w:space="0" w:color="auto"/>
            </w:tcBorders>
          </w:tcPr>
          <w:p w14:paraId="29C2D1E1" w14:textId="77777777" w:rsidR="009F4766" w:rsidRPr="00DE12A3" w:rsidRDefault="009F4766" w:rsidP="00C917D6">
            <w:pPr>
              <w:pStyle w:val="NormalLeft"/>
            </w:pPr>
            <w:r w:rsidRPr="00DE12A3">
              <w:t>72</w:t>
            </w:r>
          </w:p>
        </w:tc>
      </w:tr>
      <w:tr w:rsidR="00DE12A3" w:rsidRPr="00DE12A3" w14:paraId="07B0B376" w14:textId="77777777" w:rsidTr="009F4766">
        <w:tc>
          <w:tcPr>
            <w:tcW w:w="1182" w:type="dxa"/>
            <w:tcBorders>
              <w:top w:val="single" w:sz="2" w:space="0" w:color="auto"/>
              <w:left w:val="single" w:sz="2" w:space="0" w:color="auto"/>
              <w:bottom w:val="single" w:sz="2" w:space="0" w:color="auto"/>
              <w:right w:val="single" w:sz="2" w:space="0" w:color="auto"/>
            </w:tcBorders>
          </w:tcPr>
          <w:p w14:paraId="6F6141C2" w14:textId="77777777" w:rsidR="009F4766" w:rsidRPr="00DE12A3" w:rsidRDefault="009F4766" w:rsidP="00C917D6">
            <w:pPr>
              <w:pStyle w:val="NormalLeft"/>
            </w:pPr>
            <w:r w:rsidRPr="00DE12A3">
              <w:t>344</w:t>
            </w:r>
          </w:p>
        </w:tc>
        <w:tc>
          <w:tcPr>
            <w:tcW w:w="2489" w:type="dxa"/>
            <w:tcBorders>
              <w:top w:val="single" w:sz="2" w:space="0" w:color="auto"/>
              <w:left w:val="single" w:sz="2" w:space="0" w:color="auto"/>
              <w:bottom w:val="single" w:sz="2" w:space="0" w:color="auto"/>
              <w:right w:val="single" w:sz="2" w:space="0" w:color="auto"/>
            </w:tcBorders>
          </w:tcPr>
          <w:p w14:paraId="01249D07" w14:textId="77777777" w:rsidR="009F4766" w:rsidRPr="00DE12A3" w:rsidRDefault="009F4766" w:rsidP="00C917D6">
            <w:pPr>
              <w:pStyle w:val="NormalLeft"/>
            </w:pPr>
            <w:r w:rsidRPr="00DE12A3">
              <w:t>100</w:t>
            </w:r>
          </w:p>
        </w:tc>
        <w:tc>
          <w:tcPr>
            <w:tcW w:w="2551" w:type="dxa"/>
            <w:tcBorders>
              <w:top w:val="single" w:sz="2" w:space="0" w:color="auto"/>
              <w:left w:val="single" w:sz="2" w:space="0" w:color="auto"/>
              <w:bottom w:val="single" w:sz="2" w:space="0" w:color="auto"/>
              <w:right w:val="single" w:sz="2" w:space="0" w:color="auto"/>
            </w:tcBorders>
          </w:tcPr>
          <w:p w14:paraId="74A8B83B" w14:textId="77777777" w:rsidR="009F4766" w:rsidRPr="00DE12A3" w:rsidRDefault="009F4766" w:rsidP="00C917D6">
            <w:pPr>
              <w:pStyle w:val="NormalLeft"/>
            </w:pPr>
            <w:r w:rsidRPr="00DE12A3">
              <w:t>18</w:t>
            </w:r>
          </w:p>
        </w:tc>
      </w:tr>
      <w:tr w:rsidR="00DE12A3" w:rsidRPr="00DE12A3" w14:paraId="5A116ED1" w14:textId="77777777" w:rsidTr="009F4766">
        <w:tc>
          <w:tcPr>
            <w:tcW w:w="1182" w:type="dxa"/>
            <w:tcBorders>
              <w:top w:val="single" w:sz="2" w:space="0" w:color="auto"/>
              <w:left w:val="single" w:sz="2" w:space="0" w:color="auto"/>
              <w:bottom w:val="single" w:sz="2" w:space="0" w:color="auto"/>
              <w:right w:val="single" w:sz="2" w:space="0" w:color="auto"/>
            </w:tcBorders>
          </w:tcPr>
          <w:p w14:paraId="20E176D5" w14:textId="77777777" w:rsidR="009F4766" w:rsidRPr="00DE12A3" w:rsidRDefault="009F4766" w:rsidP="00C917D6">
            <w:pPr>
              <w:pStyle w:val="NormalLeft"/>
            </w:pPr>
            <w:r w:rsidRPr="00DE12A3">
              <w:t>345</w:t>
            </w:r>
          </w:p>
        </w:tc>
        <w:tc>
          <w:tcPr>
            <w:tcW w:w="2489" w:type="dxa"/>
            <w:tcBorders>
              <w:top w:val="single" w:sz="2" w:space="0" w:color="auto"/>
              <w:left w:val="single" w:sz="2" w:space="0" w:color="auto"/>
              <w:bottom w:val="single" w:sz="2" w:space="0" w:color="auto"/>
              <w:right w:val="single" w:sz="2" w:space="0" w:color="auto"/>
            </w:tcBorders>
          </w:tcPr>
          <w:p w14:paraId="04988F5E" w14:textId="77777777" w:rsidR="009F4766" w:rsidRPr="00DE12A3" w:rsidRDefault="009F4766" w:rsidP="00C917D6">
            <w:pPr>
              <w:pStyle w:val="NormalLeft"/>
            </w:pPr>
            <w:r w:rsidRPr="00DE12A3">
              <w:t>100</w:t>
            </w:r>
          </w:p>
        </w:tc>
        <w:tc>
          <w:tcPr>
            <w:tcW w:w="2551" w:type="dxa"/>
            <w:tcBorders>
              <w:top w:val="single" w:sz="2" w:space="0" w:color="auto"/>
              <w:left w:val="single" w:sz="2" w:space="0" w:color="auto"/>
              <w:bottom w:val="single" w:sz="2" w:space="0" w:color="auto"/>
              <w:right w:val="single" w:sz="2" w:space="0" w:color="auto"/>
            </w:tcBorders>
          </w:tcPr>
          <w:p w14:paraId="6BC0AF49" w14:textId="77777777" w:rsidR="009F4766" w:rsidRPr="00DE12A3" w:rsidRDefault="009F4766" w:rsidP="00C917D6">
            <w:pPr>
              <w:pStyle w:val="NormalLeft"/>
            </w:pPr>
            <w:r w:rsidRPr="00DE12A3">
              <w:t>76</w:t>
            </w:r>
          </w:p>
        </w:tc>
      </w:tr>
      <w:tr w:rsidR="00DE12A3" w:rsidRPr="00DE12A3" w14:paraId="26F58FC9" w14:textId="77777777" w:rsidTr="009F4766">
        <w:tc>
          <w:tcPr>
            <w:tcW w:w="1182" w:type="dxa"/>
            <w:tcBorders>
              <w:top w:val="single" w:sz="2" w:space="0" w:color="auto"/>
              <w:left w:val="single" w:sz="2" w:space="0" w:color="auto"/>
              <w:bottom w:val="single" w:sz="2" w:space="0" w:color="auto"/>
              <w:right w:val="single" w:sz="2" w:space="0" w:color="auto"/>
            </w:tcBorders>
          </w:tcPr>
          <w:p w14:paraId="69D525F5" w14:textId="77777777" w:rsidR="009F4766" w:rsidRPr="00DE12A3" w:rsidRDefault="009F4766" w:rsidP="00C917D6">
            <w:pPr>
              <w:pStyle w:val="NormalLeft"/>
            </w:pPr>
            <w:r w:rsidRPr="00DE12A3">
              <w:t>346</w:t>
            </w:r>
          </w:p>
        </w:tc>
        <w:tc>
          <w:tcPr>
            <w:tcW w:w="2489" w:type="dxa"/>
            <w:tcBorders>
              <w:top w:val="single" w:sz="2" w:space="0" w:color="auto"/>
              <w:left w:val="single" w:sz="2" w:space="0" w:color="auto"/>
              <w:bottom w:val="single" w:sz="2" w:space="0" w:color="auto"/>
              <w:right w:val="single" w:sz="2" w:space="0" w:color="auto"/>
            </w:tcBorders>
          </w:tcPr>
          <w:p w14:paraId="311E26A2" w14:textId="77777777" w:rsidR="009F4766" w:rsidRPr="00DE12A3" w:rsidRDefault="009F4766" w:rsidP="00C917D6">
            <w:pPr>
              <w:pStyle w:val="NormalLeft"/>
            </w:pPr>
            <w:r w:rsidRPr="00DE12A3">
              <w:t>100</w:t>
            </w:r>
          </w:p>
        </w:tc>
        <w:tc>
          <w:tcPr>
            <w:tcW w:w="2551" w:type="dxa"/>
            <w:tcBorders>
              <w:top w:val="single" w:sz="2" w:space="0" w:color="auto"/>
              <w:left w:val="single" w:sz="2" w:space="0" w:color="auto"/>
              <w:bottom w:val="single" w:sz="2" w:space="0" w:color="auto"/>
              <w:right w:val="single" w:sz="2" w:space="0" w:color="auto"/>
            </w:tcBorders>
          </w:tcPr>
          <w:p w14:paraId="6CBCEDA4" w14:textId="77777777" w:rsidR="009F4766" w:rsidRPr="00DE12A3" w:rsidRDefault="009F4766" w:rsidP="00C917D6">
            <w:pPr>
              <w:pStyle w:val="NormalLeft"/>
            </w:pPr>
            <w:r w:rsidRPr="00DE12A3">
              <w:t>64</w:t>
            </w:r>
          </w:p>
        </w:tc>
      </w:tr>
      <w:tr w:rsidR="00DE12A3" w:rsidRPr="00DE12A3" w14:paraId="7F45422D" w14:textId="77777777" w:rsidTr="009F4766">
        <w:tc>
          <w:tcPr>
            <w:tcW w:w="1182" w:type="dxa"/>
            <w:tcBorders>
              <w:top w:val="single" w:sz="2" w:space="0" w:color="auto"/>
              <w:left w:val="single" w:sz="2" w:space="0" w:color="auto"/>
              <w:bottom w:val="single" w:sz="2" w:space="0" w:color="auto"/>
              <w:right w:val="single" w:sz="2" w:space="0" w:color="auto"/>
            </w:tcBorders>
          </w:tcPr>
          <w:p w14:paraId="3599D861" w14:textId="77777777" w:rsidR="009F4766" w:rsidRPr="00DE12A3" w:rsidRDefault="009F4766" w:rsidP="00C917D6">
            <w:pPr>
              <w:pStyle w:val="NormalLeft"/>
            </w:pPr>
            <w:r w:rsidRPr="00DE12A3">
              <w:t>347</w:t>
            </w:r>
          </w:p>
        </w:tc>
        <w:tc>
          <w:tcPr>
            <w:tcW w:w="2489" w:type="dxa"/>
            <w:tcBorders>
              <w:top w:val="single" w:sz="2" w:space="0" w:color="auto"/>
              <w:left w:val="single" w:sz="2" w:space="0" w:color="auto"/>
              <w:bottom w:val="single" w:sz="2" w:space="0" w:color="auto"/>
              <w:right w:val="single" w:sz="2" w:space="0" w:color="auto"/>
            </w:tcBorders>
          </w:tcPr>
          <w:p w14:paraId="6A0ECA37" w14:textId="77777777" w:rsidR="009F4766" w:rsidRPr="00DE12A3" w:rsidRDefault="009F4766" w:rsidP="00C917D6">
            <w:pPr>
              <w:pStyle w:val="NormalLeft"/>
            </w:pPr>
            <w:r w:rsidRPr="00DE12A3">
              <w:t>100</w:t>
            </w:r>
          </w:p>
        </w:tc>
        <w:tc>
          <w:tcPr>
            <w:tcW w:w="2551" w:type="dxa"/>
            <w:tcBorders>
              <w:top w:val="single" w:sz="2" w:space="0" w:color="auto"/>
              <w:left w:val="single" w:sz="2" w:space="0" w:color="auto"/>
              <w:bottom w:val="single" w:sz="2" w:space="0" w:color="auto"/>
              <w:right w:val="single" w:sz="2" w:space="0" w:color="auto"/>
            </w:tcBorders>
          </w:tcPr>
          <w:p w14:paraId="54709D09" w14:textId="77777777" w:rsidR="009F4766" w:rsidRPr="00DE12A3" w:rsidRDefault="009F4766" w:rsidP="00C917D6">
            <w:pPr>
              <w:pStyle w:val="NormalLeft"/>
            </w:pPr>
            <w:r w:rsidRPr="00DE12A3">
              <w:t>87</w:t>
            </w:r>
          </w:p>
        </w:tc>
      </w:tr>
      <w:tr w:rsidR="00DE12A3" w:rsidRPr="00DE12A3" w14:paraId="1BB43457" w14:textId="77777777" w:rsidTr="009F4766">
        <w:tc>
          <w:tcPr>
            <w:tcW w:w="1182" w:type="dxa"/>
            <w:tcBorders>
              <w:top w:val="single" w:sz="2" w:space="0" w:color="auto"/>
              <w:left w:val="single" w:sz="2" w:space="0" w:color="auto"/>
              <w:bottom w:val="single" w:sz="2" w:space="0" w:color="auto"/>
              <w:right w:val="single" w:sz="2" w:space="0" w:color="auto"/>
            </w:tcBorders>
          </w:tcPr>
          <w:p w14:paraId="1F08A55F" w14:textId="77777777" w:rsidR="009F4766" w:rsidRPr="00DE12A3" w:rsidRDefault="009F4766" w:rsidP="00C917D6">
            <w:pPr>
              <w:pStyle w:val="NormalLeft"/>
            </w:pPr>
            <w:r w:rsidRPr="00DE12A3">
              <w:t>348</w:t>
            </w:r>
          </w:p>
        </w:tc>
        <w:tc>
          <w:tcPr>
            <w:tcW w:w="2489" w:type="dxa"/>
            <w:tcBorders>
              <w:top w:val="single" w:sz="2" w:space="0" w:color="auto"/>
              <w:left w:val="single" w:sz="2" w:space="0" w:color="auto"/>
              <w:bottom w:val="single" w:sz="2" w:space="0" w:color="auto"/>
              <w:right w:val="single" w:sz="2" w:space="0" w:color="auto"/>
            </w:tcBorders>
          </w:tcPr>
          <w:p w14:paraId="29BCEC14" w14:textId="77777777" w:rsidR="009F4766" w:rsidRPr="00DE12A3" w:rsidRDefault="009F4766" w:rsidP="00C917D6">
            <w:pPr>
              <w:pStyle w:val="NormalLeft"/>
            </w:pPr>
            <w:r w:rsidRPr="00DE12A3">
              <w:t>100</w:t>
            </w:r>
          </w:p>
        </w:tc>
        <w:tc>
          <w:tcPr>
            <w:tcW w:w="2551" w:type="dxa"/>
            <w:tcBorders>
              <w:top w:val="single" w:sz="2" w:space="0" w:color="auto"/>
              <w:left w:val="single" w:sz="2" w:space="0" w:color="auto"/>
              <w:bottom w:val="single" w:sz="2" w:space="0" w:color="auto"/>
              <w:right w:val="single" w:sz="2" w:space="0" w:color="auto"/>
            </w:tcBorders>
          </w:tcPr>
          <w:p w14:paraId="4FB98871" w14:textId="77777777" w:rsidR="009F4766" w:rsidRPr="00DE12A3" w:rsidRDefault="009F4766" w:rsidP="00C917D6">
            <w:pPr>
              <w:pStyle w:val="NormalLeft"/>
            </w:pPr>
            <w:r w:rsidRPr="00DE12A3">
              <w:t>97</w:t>
            </w:r>
          </w:p>
        </w:tc>
      </w:tr>
      <w:tr w:rsidR="00DE12A3" w:rsidRPr="00DE12A3" w14:paraId="5D8587AE" w14:textId="77777777" w:rsidTr="009F4766">
        <w:tc>
          <w:tcPr>
            <w:tcW w:w="1182" w:type="dxa"/>
            <w:tcBorders>
              <w:top w:val="single" w:sz="2" w:space="0" w:color="auto"/>
              <w:left w:val="single" w:sz="2" w:space="0" w:color="auto"/>
              <w:bottom w:val="single" w:sz="2" w:space="0" w:color="auto"/>
              <w:right w:val="single" w:sz="2" w:space="0" w:color="auto"/>
            </w:tcBorders>
          </w:tcPr>
          <w:p w14:paraId="6B48A68C" w14:textId="77777777" w:rsidR="009F4766" w:rsidRPr="00DE12A3" w:rsidRDefault="009F4766" w:rsidP="00C917D6">
            <w:pPr>
              <w:pStyle w:val="NormalLeft"/>
            </w:pPr>
            <w:r w:rsidRPr="00DE12A3">
              <w:t>349</w:t>
            </w:r>
          </w:p>
        </w:tc>
        <w:tc>
          <w:tcPr>
            <w:tcW w:w="2489" w:type="dxa"/>
            <w:tcBorders>
              <w:top w:val="single" w:sz="2" w:space="0" w:color="auto"/>
              <w:left w:val="single" w:sz="2" w:space="0" w:color="auto"/>
              <w:bottom w:val="single" w:sz="2" w:space="0" w:color="auto"/>
              <w:right w:val="single" w:sz="2" w:space="0" w:color="auto"/>
            </w:tcBorders>
          </w:tcPr>
          <w:p w14:paraId="5D2A4ADC" w14:textId="77777777" w:rsidR="009F4766" w:rsidRPr="00DE12A3" w:rsidRDefault="009F4766" w:rsidP="00C917D6">
            <w:pPr>
              <w:pStyle w:val="NormalLeft"/>
            </w:pPr>
            <w:r w:rsidRPr="00DE12A3">
              <w:t>100</w:t>
            </w:r>
          </w:p>
        </w:tc>
        <w:tc>
          <w:tcPr>
            <w:tcW w:w="2551" w:type="dxa"/>
            <w:tcBorders>
              <w:top w:val="single" w:sz="2" w:space="0" w:color="auto"/>
              <w:left w:val="single" w:sz="2" w:space="0" w:color="auto"/>
              <w:bottom w:val="single" w:sz="2" w:space="0" w:color="auto"/>
              <w:right w:val="single" w:sz="2" w:space="0" w:color="auto"/>
            </w:tcBorders>
          </w:tcPr>
          <w:p w14:paraId="3A86B975" w14:textId="77777777" w:rsidR="009F4766" w:rsidRPr="00DE12A3" w:rsidRDefault="009F4766" w:rsidP="00C917D6">
            <w:pPr>
              <w:pStyle w:val="NormalLeft"/>
            </w:pPr>
            <w:r w:rsidRPr="00DE12A3">
              <w:t>84</w:t>
            </w:r>
          </w:p>
        </w:tc>
      </w:tr>
      <w:tr w:rsidR="00DE12A3" w:rsidRPr="00DE12A3" w14:paraId="27F97180" w14:textId="77777777" w:rsidTr="009F4766">
        <w:tc>
          <w:tcPr>
            <w:tcW w:w="1182" w:type="dxa"/>
            <w:tcBorders>
              <w:top w:val="single" w:sz="2" w:space="0" w:color="auto"/>
              <w:left w:val="single" w:sz="2" w:space="0" w:color="auto"/>
              <w:bottom w:val="single" w:sz="2" w:space="0" w:color="auto"/>
              <w:right w:val="single" w:sz="2" w:space="0" w:color="auto"/>
            </w:tcBorders>
          </w:tcPr>
          <w:p w14:paraId="66B317AB" w14:textId="77777777" w:rsidR="009F4766" w:rsidRPr="00DE12A3" w:rsidRDefault="009F4766" w:rsidP="00C917D6">
            <w:pPr>
              <w:pStyle w:val="NormalLeft"/>
            </w:pPr>
            <w:r w:rsidRPr="00DE12A3">
              <w:t>350</w:t>
            </w:r>
          </w:p>
        </w:tc>
        <w:tc>
          <w:tcPr>
            <w:tcW w:w="2489" w:type="dxa"/>
            <w:tcBorders>
              <w:top w:val="single" w:sz="2" w:space="0" w:color="auto"/>
              <w:left w:val="single" w:sz="2" w:space="0" w:color="auto"/>
              <w:bottom w:val="single" w:sz="2" w:space="0" w:color="auto"/>
              <w:right w:val="single" w:sz="2" w:space="0" w:color="auto"/>
            </w:tcBorders>
          </w:tcPr>
          <w:p w14:paraId="7F9FE5D1" w14:textId="77777777" w:rsidR="009F4766" w:rsidRPr="00DE12A3" w:rsidRDefault="009F4766" w:rsidP="00C917D6">
            <w:pPr>
              <w:pStyle w:val="NormalLeft"/>
            </w:pPr>
            <w:r w:rsidRPr="00DE12A3">
              <w:t>100</w:t>
            </w:r>
          </w:p>
        </w:tc>
        <w:tc>
          <w:tcPr>
            <w:tcW w:w="2551" w:type="dxa"/>
            <w:tcBorders>
              <w:top w:val="single" w:sz="2" w:space="0" w:color="auto"/>
              <w:left w:val="single" w:sz="2" w:space="0" w:color="auto"/>
              <w:bottom w:val="single" w:sz="2" w:space="0" w:color="auto"/>
              <w:right w:val="single" w:sz="2" w:space="0" w:color="auto"/>
            </w:tcBorders>
          </w:tcPr>
          <w:p w14:paraId="344075F1" w14:textId="77777777" w:rsidR="009F4766" w:rsidRPr="00DE12A3" w:rsidRDefault="009F4766" w:rsidP="00C917D6">
            <w:pPr>
              <w:pStyle w:val="NormalLeft"/>
            </w:pPr>
            <w:r w:rsidRPr="00DE12A3">
              <w:t>100</w:t>
            </w:r>
          </w:p>
        </w:tc>
      </w:tr>
      <w:tr w:rsidR="00DE12A3" w:rsidRPr="00DE12A3" w14:paraId="5F226E64" w14:textId="77777777" w:rsidTr="009F4766">
        <w:tc>
          <w:tcPr>
            <w:tcW w:w="1182" w:type="dxa"/>
            <w:tcBorders>
              <w:top w:val="single" w:sz="2" w:space="0" w:color="auto"/>
              <w:left w:val="single" w:sz="2" w:space="0" w:color="auto"/>
              <w:bottom w:val="single" w:sz="2" w:space="0" w:color="auto"/>
              <w:right w:val="single" w:sz="2" w:space="0" w:color="auto"/>
            </w:tcBorders>
          </w:tcPr>
          <w:p w14:paraId="2783F1E6" w14:textId="77777777" w:rsidR="009F4766" w:rsidRPr="00DE12A3" w:rsidRDefault="009F4766" w:rsidP="00C917D6">
            <w:pPr>
              <w:pStyle w:val="NormalLeft"/>
            </w:pPr>
            <w:r w:rsidRPr="00DE12A3">
              <w:t>351</w:t>
            </w:r>
          </w:p>
        </w:tc>
        <w:tc>
          <w:tcPr>
            <w:tcW w:w="2489" w:type="dxa"/>
            <w:tcBorders>
              <w:top w:val="single" w:sz="2" w:space="0" w:color="auto"/>
              <w:left w:val="single" w:sz="2" w:space="0" w:color="auto"/>
              <w:bottom w:val="single" w:sz="2" w:space="0" w:color="auto"/>
              <w:right w:val="single" w:sz="2" w:space="0" w:color="auto"/>
            </w:tcBorders>
          </w:tcPr>
          <w:p w14:paraId="0BE3D974" w14:textId="77777777" w:rsidR="009F4766" w:rsidRPr="00DE12A3" w:rsidRDefault="009F4766" w:rsidP="00C917D6">
            <w:pPr>
              <w:pStyle w:val="NormalLeft"/>
            </w:pPr>
            <w:r w:rsidRPr="00DE12A3">
              <w:t>100</w:t>
            </w:r>
          </w:p>
        </w:tc>
        <w:tc>
          <w:tcPr>
            <w:tcW w:w="2551" w:type="dxa"/>
            <w:tcBorders>
              <w:top w:val="single" w:sz="2" w:space="0" w:color="auto"/>
              <w:left w:val="single" w:sz="2" w:space="0" w:color="auto"/>
              <w:bottom w:val="single" w:sz="2" w:space="0" w:color="auto"/>
              <w:right w:val="single" w:sz="2" w:space="0" w:color="auto"/>
            </w:tcBorders>
          </w:tcPr>
          <w:p w14:paraId="3F19E2E6" w14:textId="77777777" w:rsidR="009F4766" w:rsidRPr="00DE12A3" w:rsidRDefault="009F4766" w:rsidP="00C917D6">
            <w:pPr>
              <w:pStyle w:val="NormalLeft"/>
            </w:pPr>
            <w:r w:rsidRPr="00DE12A3">
              <w:t>91</w:t>
            </w:r>
          </w:p>
        </w:tc>
      </w:tr>
      <w:tr w:rsidR="00DE12A3" w:rsidRPr="00DE12A3" w14:paraId="44E545EA" w14:textId="77777777" w:rsidTr="009F4766">
        <w:tc>
          <w:tcPr>
            <w:tcW w:w="1182" w:type="dxa"/>
            <w:tcBorders>
              <w:top w:val="single" w:sz="2" w:space="0" w:color="auto"/>
              <w:left w:val="single" w:sz="2" w:space="0" w:color="auto"/>
              <w:bottom w:val="single" w:sz="2" w:space="0" w:color="auto"/>
              <w:right w:val="single" w:sz="2" w:space="0" w:color="auto"/>
            </w:tcBorders>
          </w:tcPr>
          <w:p w14:paraId="46F1CE31" w14:textId="77777777" w:rsidR="009F4766" w:rsidRPr="00DE12A3" w:rsidRDefault="009F4766" w:rsidP="00C917D6">
            <w:pPr>
              <w:pStyle w:val="NormalLeft"/>
            </w:pPr>
            <w:r w:rsidRPr="00DE12A3">
              <w:t>352</w:t>
            </w:r>
          </w:p>
        </w:tc>
        <w:tc>
          <w:tcPr>
            <w:tcW w:w="2489" w:type="dxa"/>
            <w:tcBorders>
              <w:top w:val="single" w:sz="2" w:space="0" w:color="auto"/>
              <w:left w:val="single" w:sz="2" w:space="0" w:color="auto"/>
              <w:bottom w:val="single" w:sz="2" w:space="0" w:color="auto"/>
              <w:right w:val="single" w:sz="2" w:space="0" w:color="auto"/>
            </w:tcBorders>
          </w:tcPr>
          <w:p w14:paraId="457FFBCD" w14:textId="77777777" w:rsidR="009F4766" w:rsidRPr="00DE12A3" w:rsidRDefault="009F4766" w:rsidP="00C917D6">
            <w:pPr>
              <w:pStyle w:val="NormalLeft"/>
            </w:pPr>
            <w:r w:rsidRPr="00DE12A3">
              <w:t>100</w:t>
            </w:r>
          </w:p>
        </w:tc>
        <w:tc>
          <w:tcPr>
            <w:tcW w:w="2551" w:type="dxa"/>
            <w:tcBorders>
              <w:top w:val="single" w:sz="2" w:space="0" w:color="auto"/>
              <w:left w:val="single" w:sz="2" w:space="0" w:color="auto"/>
              <w:bottom w:val="single" w:sz="2" w:space="0" w:color="auto"/>
              <w:right w:val="single" w:sz="2" w:space="0" w:color="auto"/>
            </w:tcBorders>
          </w:tcPr>
          <w:p w14:paraId="59EBC4AF" w14:textId="77777777" w:rsidR="009F4766" w:rsidRPr="00DE12A3" w:rsidRDefault="009F4766" w:rsidP="00C917D6">
            <w:pPr>
              <w:pStyle w:val="NormalLeft"/>
            </w:pPr>
            <w:r w:rsidRPr="00DE12A3">
              <w:t>83</w:t>
            </w:r>
          </w:p>
        </w:tc>
      </w:tr>
      <w:tr w:rsidR="00DE12A3" w:rsidRPr="00DE12A3" w14:paraId="2CEE6EDC" w14:textId="77777777" w:rsidTr="009F4766">
        <w:tc>
          <w:tcPr>
            <w:tcW w:w="1182" w:type="dxa"/>
            <w:tcBorders>
              <w:top w:val="single" w:sz="2" w:space="0" w:color="auto"/>
              <w:left w:val="single" w:sz="2" w:space="0" w:color="auto"/>
              <w:bottom w:val="single" w:sz="2" w:space="0" w:color="auto"/>
              <w:right w:val="single" w:sz="2" w:space="0" w:color="auto"/>
            </w:tcBorders>
          </w:tcPr>
          <w:p w14:paraId="2AB801C5" w14:textId="77777777" w:rsidR="009F4766" w:rsidRPr="00DE12A3" w:rsidRDefault="009F4766" w:rsidP="00C917D6">
            <w:pPr>
              <w:pStyle w:val="NormalLeft"/>
            </w:pPr>
            <w:r w:rsidRPr="00DE12A3">
              <w:t>353</w:t>
            </w:r>
          </w:p>
        </w:tc>
        <w:tc>
          <w:tcPr>
            <w:tcW w:w="2489" w:type="dxa"/>
            <w:tcBorders>
              <w:top w:val="single" w:sz="2" w:space="0" w:color="auto"/>
              <w:left w:val="single" w:sz="2" w:space="0" w:color="auto"/>
              <w:bottom w:val="single" w:sz="2" w:space="0" w:color="auto"/>
              <w:right w:val="single" w:sz="2" w:space="0" w:color="auto"/>
            </w:tcBorders>
          </w:tcPr>
          <w:p w14:paraId="70289B49" w14:textId="77777777" w:rsidR="009F4766" w:rsidRPr="00DE12A3" w:rsidRDefault="009F4766" w:rsidP="00C917D6">
            <w:pPr>
              <w:pStyle w:val="NormalLeft"/>
            </w:pPr>
            <w:r w:rsidRPr="00DE12A3">
              <w:t>100</w:t>
            </w:r>
          </w:p>
        </w:tc>
        <w:tc>
          <w:tcPr>
            <w:tcW w:w="2551" w:type="dxa"/>
            <w:tcBorders>
              <w:top w:val="single" w:sz="2" w:space="0" w:color="auto"/>
              <w:left w:val="single" w:sz="2" w:space="0" w:color="auto"/>
              <w:bottom w:val="single" w:sz="2" w:space="0" w:color="auto"/>
              <w:right w:val="single" w:sz="2" w:space="0" w:color="auto"/>
            </w:tcBorders>
          </w:tcPr>
          <w:p w14:paraId="60DA2C9D" w14:textId="77777777" w:rsidR="009F4766" w:rsidRPr="00DE12A3" w:rsidRDefault="009F4766" w:rsidP="00C917D6">
            <w:pPr>
              <w:pStyle w:val="NormalLeft"/>
            </w:pPr>
            <w:r w:rsidRPr="00DE12A3">
              <w:t>93</w:t>
            </w:r>
          </w:p>
        </w:tc>
      </w:tr>
      <w:tr w:rsidR="00DE12A3" w:rsidRPr="00DE12A3" w14:paraId="79162A21" w14:textId="77777777" w:rsidTr="009F4766">
        <w:tc>
          <w:tcPr>
            <w:tcW w:w="1182" w:type="dxa"/>
            <w:tcBorders>
              <w:top w:val="single" w:sz="2" w:space="0" w:color="auto"/>
              <w:left w:val="single" w:sz="2" w:space="0" w:color="auto"/>
              <w:bottom w:val="single" w:sz="2" w:space="0" w:color="auto"/>
              <w:right w:val="single" w:sz="2" w:space="0" w:color="auto"/>
            </w:tcBorders>
          </w:tcPr>
          <w:p w14:paraId="521FB002" w14:textId="77777777" w:rsidR="009F4766" w:rsidRPr="00DE12A3" w:rsidRDefault="009F4766" w:rsidP="00C917D6">
            <w:pPr>
              <w:pStyle w:val="NormalLeft"/>
            </w:pPr>
            <w:r w:rsidRPr="00DE12A3">
              <w:t>354</w:t>
            </w:r>
          </w:p>
        </w:tc>
        <w:tc>
          <w:tcPr>
            <w:tcW w:w="2489" w:type="dxa"/>
            <w:tcBorders>
              <w:top w:val="single" w:sz="2" w:space="0" w:color="auto"/>
              <w:left w:val="single" w:sz="2" w:space="0" w:color="auto"/>
              <w:bottom w:val="single" w:sz="2" w:space="0" w:color="auto"/>
              <w:right w:val="single" w:sz="2" w:space="0" w:color="auto"/>
            </w:tcBorders>
          </w:tcPr>
          <w:p w14:paraId="24B01E83" w14:textId="77777777" w:rsidR="009F4766" w:rsidRPr="00DE12A3" w:rsidRDefault="009F4766" w:rsidP="00C917D6">
            <w:pPr>
              <w:pStyle w:val="NormalLeft"/>
            </w:pPr>
            <w:r w:rsidRPr="00DE12A3">
              <w:t>100</w:t>
            </w:r>
          </w:p>
        </w:tc>
        <w:tc>
          <w:tcPr>
            <w:tcW w:w="2551" w:type="dxa"/>
            <w:tcBorders>
              <w:top w:val="single" w:sz="2" w:space="0" w:color="auto"/>
              <w:left w:val="single" w:sz="2" w:space="0" w:color="auto"/>
              <w:bottom w:val="single" w:sz="2" w:space="0" w:color="auto"/>
              <w:right w:val="single" w:sz="2" w:space="0" w:color="auto"/>
            </w:tcBorders>
          </w:tcPr>
          <w:p w14:paraId="138F3CA4" w14:textId="77777777" w:rsidR="009F4766" w:rsidRPr="00DE12A3" w:rsidRDefault="009F4766" w:rsidP="00C917D6">
            <w:pPr>
              <w:pStyle w:val="NormalLeft"/>
            </w:pPr>
            <w:r w:rsidRPr="00DE12A3">
              <w:t>100</w:t>
            </w:r>
          </w:p>
        </w:tc>
      </w:tr>
      <w:tr w:rsidR="00DE12A3" w:rsidRPr="00DE12A3" w14:paraId="6BD4708F" w14:textId="77777777" w:rsidTr="009F4766">
        <w:tc>
          <w:tcPr>
            <w:tcW w:w="1182" w:type="dxa"/>
            <w:tcBorders>
              <w:top w:val="single" w:sz="2" w:space="0" w:color="auto"/>
              <w:left w:val="single" w:sz="2" w:space="0" w:color="auto"/>
              <w:bottom w:val="single" w:sz="2" w:space="0" w:color="auto"/>
              <w:right w:val="single" w:sz="2" w:space="0" w:color="auto"/>
            </w:tcBorders>
          </w:tcPr>
          <w:p w14:paraId="625B29EC" w14:textId="77777777" w:rsidR="009F4766" w:rsidRPr="00DE12A3" w:rsidRDefault="009F4766" w:rsidP="00C917D6">
            <w:pPr>
              <w:pStyle w:val="NormalLeft"/>
            </w:pPr>
            <w:r w:rsidRPr="00DE12A3">
              <w:t>355</w:t>
            </w:r>
          </w:p>
        </w:tc>
        <w:tc>
          <w:tcPr>
            <w:tcW w:w="2489" w:type="dxa"/>
            <w:tcBorders>
              <w:top w:val="single" w:sz="2" w:space="0" w:color="auto"/>
              <w:left w:val="single" w:sz="2" w:space="0" w:color="auto"/>
              <w:bottom w:val="single" w:sz="2" w:space="0" w:color="auto"/>
              <w:right w:val="single" w:sz="2" w:space="0" w:color="auto"/>
            </w:tcBorders>
          </w:tcPr>
          <w:p w14:paraId="5E643F57" w14:textId="77777777" w:rsidR="009F4766" w:rsidRPr="00DE12A3" w:rsidRDefault="009F4766" w:rsidP="00C917D6">
            <w:pPr>
              <w:pStyle w:val="NormalLeft"/>
            </w:pPr>
            <w:r w:rsidRPr="00DE12A3">
              <w:t>94</w:t>
            </w:r>
          </w:p>
        </w:tc>
        <w:tc>
          <w:tcPr>
            <w:tcW w:w="2551" w:type="dxa"/>
            <w:tcBorders>
              <w:top w:val="single" w:sz="2" w:space="0" w:color="auto"/>
              <w:left w:val="single" w:sz="2" w:space="0" w:color="auto"/>
              <w:bottom w:val="single" w:sz="2" w:space="0" w:color="auto"/>
              <w:right w:val="single" w:sz="2" w:space="0" w:color="auto"/>
            </w:tcBorders>
          </w:tcPr>
          <w:p w14:paraId="46DEC911" w14:textId="77777777" w:rsidR="009F4766" w:rsidRPr="00DE12A3" w:rsidRDefault="009F4766" w:rsidP="00C917D6">
            <w:pPr>
              <w:pStyle w:val="NormalLeft"/>
            </w:pPr>
            <w:r w:rsidRPr="00DE12A3">
              <w:t>43</w:t>
            </w:r>
          </w:p>
        </w:tc>
      </w:tr>
      <w:tr w:rsidR="00DE12A3" w:rsidRPr="00DE12A3" w14:paraId="4CCC8A45" w14:textId="77777777" w:rsidTr="009F4766">
        <w:tc>
          <w:tcPr>
            <w:tcW w:w="1182" w:type="dxa"/>
            <w:tcBorders>
              <w:top w:val="single" w:sz="2" w:space="0" w:color="auto"/>
              <w:left w:val="single" w:sz="2" w:space="0" w:color="auto"/>
              <w:bottom w:val="single" w:sz="2" w:space="0" w:color="auto"/>
              <w:right w:val="single" w:sz="2" w:space="0" w:color="auto"/>
            </w:tcBorders>
          </w:tcPr>
          <w:p w14:paraId="4FEF008E" w14:textId="77777777" w:rsidR="009F4766" w:rsidRPr="00DE12A3" w:rsidRDefault="009F4766" w:rsidP="00C917D6">
            <w:pPr>
              <w:pStyle w:val="NormalLeft"/>
            </w:pPr>
            <w:r w:rsidRPr="00DE12A3">
              <w:t>356</w:t>
            </w:r>
          </w:p>
        </w:tc>
        <w:tc>
          <w:tcPr>
            <w:tcW w:w="2489" w:type="dxa"/>
            <w:tcBorders>
              <w:top w:val="single" w:sz="2" w:space="0" w:color="auto"/>
              <w:left w:val="single" w:sz="2" w:space="0" w:color="auto"/>
              <w:bottom w:val="single" w:sz="2" w:space="0" w:color="auto"/>
              <w:right w:val="single" w:sz="2" w:space="0" w:color="auto"/>
            </w:tcBorders>
          </w:tcPr>
          <w:p w14:paraId="1EF522ED" w14:textId="77777777" w:rsidR="009F4766" w:rsidRPr="00DE12A3" w:rsidRDefault="009F4766" w:rsidP="00C917D6">
            <w:pPr>
              <w:pStyle w:val="NormalLeft"/>
            </w:pPr>
            <w:r w:rsidRPr="00DE12A3">
              <w:t>72</w:t>
            </w:r>
          </w:p>
        </w:tc>
        <w:tc>
          <w:tcPr>
            <w:tcW w:w="2551" w:type="dxa"/>
            <w:tcBorders>
              <w:top w:val="single" w:sz="2" w:space="0" w:color="auto"/>
              <w:left w:val="single" w:sz="2" w:space="0" w:color="auto"/>
              <w:bottom w:val="single" w:sz="2" w:space="0" w:color="auto"/>
              <w:right w:val="single" w:sz="2" w:space="0" w:color="auto"/>
            </w:tcBorders>
          </w:tcPr>
          <w:p w14:paraId="3D49A1AF" w14:textId="77777777" w:rsidR="009F4766" w:rsidRPr="00DE12A3" w:rsidRDefault="009F4766" w:rsidP="00C917D6">
            <w:pPr>
              <w:pStyle w:val="NormalLeft"/>
            </w:pPr>
            <w:r w:rsidRPr="00DE12A3">
              <w:t>10</w:t>
            </w:r>
          </w:p>
        </w:tc>
      </w:tr>
      <w:tr w:rsidR="00DE12A3" w:rsidRPr="00DE12A3" w14:paraId="342BDEFB" w14:textId="77777777" w:rsidTr="009F4766">
        <w:tc>
          <w:tcPr>
            <w:tcW w:w="1182" w:type="dxa"/>
            <w:tcBorders>
              <w:top w:val="single" w:sz="2" w:space="0" w:color="auto"/>
              <w:left w:val="single" w:sz="2" w:space="0" w:color="auto"/>
              <w:bottom w:val="single" w:sz="2" w:space="0" w:color="auto"/>
              <w:right w:val="single" w:sz="2" w:space="0" w:color="auto"/>
            </w:tcBorders>
          </w:tcPr>
          <w:p w14:paraId="5DE14EC8" w14:textId="77777777" w:rsidR="009F4766" w:rsidRPr="00DE12A3" w:rsidRDefault="009F4766" w:rsidP="00C917D6">
            <w:pPr>
              <w:pStyle w:val="NormalLeft"/>
            </w:pPr>
            <w:r w:rsidRPr="00DE12A3">
              <w:t>357</w:t>
            </w:r>
          </w:p>
        </w:tc>
        <w:tc>
          <w:tcPr>
            <w:tcW w:w="2489" w:type="dxa"/>
            <w:tcBorders>
              <w:top w:val="single" w:sz="2" w:space="0" w:color="auto"/>
              <w:left w:val="single" w:sz="2" w:space="0" w:color="auto"/>
              <w:bottom w:val="single" w:sz="2" w:space="0" w:color="auto"/>
              <w:right w:val="single" w:sz="2" w:space="0" w:color="auto"/>
            </w:tcBorders>
          </w:tcPr>
          <w:p w14:paraId="27984711" w14:textId="77777777" w:rsidR="009F4766" w:rsidRPr="00DE12A3" w:rsidRDefault="009F4766" w:rsidP="00C917D6">
            <w:pPr>
              <w:pStyle w:val="NormalLeft"/>
            </w:pPr>
            <w:r w:rsidRPr="00DE12A3">
              <w:t>77</w:t>
            </w:r>
          </w:p>
        </w:tc>
        <w:tc>
          <w:tcPr>
            <w:tcW w:w="2551" w:type="dxa"/>
            <w:tcBorders>
              <w:top w:val="single" w:sz="2" w:space="0" w:color="auto"/>
              <w:left w:val="single" w:sz="2" w:space="0" w:color="auto"/>
              <w:bottom w:val="single" w:sz="2" w:space="0" w:color="auto"/>
              <w:right w:val="single" w:sz="2" w:space="0" w:color="auto"/>
            </w:tcBorders>
          </w:tcPr>
          <w:p w14:paraId="17EB2D0C" w14:textId="77777777" w:rsidR="009F4766" w:rsidRPr="00DE12A3" w:rsidRDefault="009F4766" w:rsidP="00C917D6">
            <w:pPr>
              <w:pStyle w:val="NormalLeft"/>
            </w:pPr>
            <w:r w:rsidRPr="00DE12A3">
              <w:t>3</w:t>
            </w:r>
          </w:p>
        </w:tc>
      </w:tr>
      <w:tr w:rsidR="00DE12A3" w:rsidRPr="00DE12A3" w14:paraId="11A36BD2" w14:textId="77777777" w:rsidTr="009F4766">
        <w:tc>
          <w:tcPr>
            <w:tcW w:w="1182" w:type="dxa"/>
            <w:tcBorders>
              <w:top w:val="single" w:sz="2" w:space="0" w:color="auto"/>
              <w:left w:val="single" w:sz="2" w:space="0" w:color="auto"/>
              <w:bottom w:val="single" w:sz="2" w:space="0" w:color="auto"/>
              <w:right w:val="single" w:sz="2" w:space="0" w:color="auto"/>
            </w:tcBorders>
          </w:tcPr>
          <w:p w14:paraId="121610D0" w14:textId="77777777" w:rsidR="009F4766" w:rsidRPr="00DE12A3" w:rsidRDefault="009F4766" w:rsidP="00C917D6">
            <w:pPr>
              <w:pStyle w:val="NormalLeft"/>
            </w:pPr>
            <w:r w:rsidRPr="00DE12A3">
              <w:t>358</w:t>
            </w:r>
          </w:p>
        </w:tc>
        <w:tc>
          <w:tcPr>
            <w:tcW w:w="2489" w:type="dxa"/>
            <w:tcBorders>
              <w:top w:val="single" w:sz="2" w:space="0" w:color="auto"/>
              <w:left w:val="single" w:sz="2" w:space="0" w:color="auto"/>
              <w:bottom w:val="single" w:sz="2" w:space="0" w:color="auto"/>
              <w:right w:val="single" w:sz="2" w:space="0" w:color="auto"/>
            </w:tcBorders>
          </w:tcPr>
          <w:p w14:paraId="738FB5EE" w14:textId="77777777" w:rsidR="009F4766" w:rsidRPr="00DE12A3" w:rsidRDefault="009F4766" w:rsidP="00C917D6">
            <w:pPr>
              <w:pStyle w:val="NormalLeft"/>
            </w:pPr>
            <w:r w:rsidRPr="00DE12A3">
              <w:t>48</w:t>
            </w:r>
          </w:p>
        </w:tc>
        <w:tc>
          <w:tcPr>
            <w:tcW w:w="2551" w:type="dxa"/>
            <w:tcBorders>
              <w:top w:val="single" w:sz="2" w:space="0" w:color="auto"/>
              <w:left w:val="single" w:sz="2" w:space="0" w:color="auto"/>
              <w:bottom w:val="single" w:sz="2" w:space="0" w:color="auto"/>
              <w:right w:val="single" w:sz="2" w:space="0" w:color="auto"/>
            </w:tcBorders>
          </w:tcPr>
          <w:p w14:paraId="6B435868" w14:textId="77777777" w:rsidR="009F4766" w:rsidRPr="00DE12A3" w:rsidRDefault="009F4766" w:rsidP="00C917D6">
            <w:pPr>
              <w:pStyle w:val="NormalLeft"/>
            </w:pPr>
            <w:r w:rsidRPr="00DE12A3">
              <w:t>2</w:t>
            </w:r>
          </w:p>
        </w:tc>
      </w:tr>
      <w:tr w:rsidR="00DE12A3" w:rsidRPr="00DE12A3" w14:paraId="67484D5F" w14:textId="77777777" w:rsidTr="009F4766">
        <w:tc>
          <w:tcPr>
            <w:tcW w:w="1182" w:type="dxa"/>
            <w:tcBorders>
              <w:top w:val="single" w:sz="2" w:space="0" w:color="auto"/>
              <w:left w:val="single" w:sz="2" w:space="0" w:color="auto"/>
              <w:bottom w:val="single" w:sz="2" w:space="0" w:color="auto"/>
              <w:right w:val="single" w:sz="2" w:space="0" w:color="auto"/>
            </w:tcBorders>
          </w:tcPr>
          <w:p w14:paraId="456C0944" w14:textId="77777777" w:rsidR="009F4766" w:rsidRPr="00DE12A3" w:rsidRDefault="009F4766" w:rsidP="00C917D6">
            <w:pPr>
              <w:pStyle w:val="NormalLeft"/>
            </w:pPr>
            <w:r w:rsidRPr="00DE12A3">
              <w:t>359</w:t>
            </w:r>
          </w:p>
        </w:tc>
        <w:tc>
          <w:tcPr>
            <w:tcW w:w="2489" w:type="dxa"/>
            <w:tcBorders>
              <w:top w:val="single" w:sz="2" w:space="0" w:color="auto"/>
              <w:left w:val="single" w:sz="2" w:space="0" w:color="auto"/>
              <w:bottom w:val="single" w:sz="2" w:space="0" w:color="auto"/>
              <w:right w:val="single" w:sz="2" w:space="0" w:color="auto"/>
            </w:tcBorders>
          </w:tcPr>
          <w:p w14:paraId="5CAC5576" w14:textId="77777777" w:rsidR="009F4766" w:rsidRPr="00DE12A3" w:rsidRDefault="009F4766" w:rsidP="00C917D6">
            <w:pPr>
              <w:pStyle w:val="NormalLeft"/>
            </w:pPr>
            <w:r w:rsidRPr="00DE12A3">
              <w:t>29</w:t>
            </w:r>
          </w:p>
        </w:tc>
        <w:tc>
          <w:tcPr>
            <w:tcW w:w="2551" w:type="dxa"/>
            <w:tcBorders>
              <w:top w:val="single" w:sz="2" w:space="0" w:color="auto"/>
              <w:left w:val="single" w:sz="2" w:space="0" w:color="auto"/>
              <w:bottom w:val="single" w:sz="2" w:space="0" w:color="auto"/>
              <w:right w:val="single" w:sz="2" w:space="0" w:color="auto"/>
            </w:tcBorders>
          </w:tcPr>
          <w:p w14:paraId="5A576EF3" w14:textId="77777777" w:rsidR="009F4766" w:rsidRPr="00DE12A3" w:rsidRDefault="009F4766" w:rsidP="00C917D6">
            <w:pPr>
              <w:pStyle w:val="NormalLeft"/>
            </w:pPr>
            <w:r w:rsidRPr="00DE12A3">
              <w:t>5</w:t>
            </w:r>
          </w:p>
        </w:tc>
      </w:tr>
      <w:tr w:rsidR="00DE12A3" w:rsidRPr="00DE12A3" w14:paraId="4BE60906" w14:textId="77777777" w:rsidTr="009F4766">
        <w:tc>
          <w:tcPr>
            <w:tcW w:w="1182" w:type="dxa"/>
            <w:tcBorders>
              <w:top w:val="single" w:sz="2" w:space="0" w:color="auto"/>
              <w:left w:val="single" w:sz="2" w:space="0" w:color="auto"/>
              <w:bottom w:val="single" w:sz="2" w:space="0" w:color="auto"/>
              <w:right w:val="single" w:sz="2" w:space="0" w:color="auto"/>
            </w:tcBorders>
          </w:tcPr>
          <w:p w14:paraId="5BCD2155" w14:textId="77777777" w:rsidR="009F4766" w:rsidRPr="00DE12A3" w:rsidRDefault="009F4766" w:rsidP="00C917D6">
            <w:pPr>
              <w:pStyle w:val="NormalLeft"/>
            </w:pPr>
            <w:r w:rsidRPr="00DE12A3">
              <w:t>360</w:t>
            </w:r>
          </w:p>
        </w:tc>
        <w:tc>
          <w:tcPr>
            <w:tcW w:w="2489" w:type="dxa"/>
            <w:tcBorders>
              <w:top w:val="single" w:sz="2" w:space="0" w:color="auto"/>
              <w:left w:val="single" w:sz="2" w:space="0" w:color="auto"/>
              <w:bottom w:val="single" w:sz="2" w:space="0" w:color="auto"/>
              <w:right w:val="single" w:sz="2" w:space="0" w:color="auto"/>
            </w:tcBorders>
          </w:tcPr>
          <w:p w14:paraId="6784A254" w14:textId="77777777" w:rsidR="009F4766" w:rsidRPr="00DE12A3" w:rsidRDefault="009F4766" w:rsidP="00C917D6">
            <w:pPr>
              <w:pStyle w:val="NormalLeft"/>
            </w:pPr>
            <w:r w:rsidRPr="00DE12A3">
              <w:t>59</w:t>
            </w:r>
          </w:p>
        </w:tc>
        <w:tc>
          <w:tcPr>
            <w:tcW w:w="2551" w:type="dxa"/>
            <w:tcBorders>
              <w:top w:val="single" w:sz="2" w:space="0" w:color="auto"/>
              <w:left w:val="single" w:sz="2" w:space="0" w:color="auto"/>
              <w:bottom w:val="single" w:sz="2" w:space="0" w:color="auto"/>
              <w:right w:val="single" w:sz="2" w:space="0" w:color="auto"/>
            </w:tcBorders>
          </w:tcPr>
          <w:p w14:paraId="6654524C" w14:textId="77777777" w:rsidR="009F4766" w:rsidRPr="00DE12A3" w:rsidRDefault="009F4766" w:rsidP="00C917D6">
            <w:pPr>
              <w:pStyle w:val="NormalLeft"/>
            </w:pPr>
            <w:r w:rsidRPr="00DE12A3">
              <w:t>19</w:t>
            </w:r>
          </w:p>
        </w:tc>
      </w:tr>
      <w:tr w:rsidR="00DE12A3" w:rsidRPr="00DE12A3" w14:paraId="1F315356" w14:textId="77777777" w:rsidTr="009F4766">
        <w:tc>
          <w:tcPr>
            <w:tcW w:w="1182" w:type="dxa"/>
            <w:tcBorders>
              <w:top w:val="single" w:sz="2" w:space="0" w:color="auto"/>
              <w:left w:val="single" w:sz="2" w:space="0" w:color="auto"/>
              <w:bottom w:val="single" w:sz="2" w:space="0" w:color="auto"/>
              <w:right w:val="single" w:sz="2" w:space="0" w:color="auto"/>
            </w:tcBorders>
          </w:tcPr>
          <w:p w14:paraId="52F4F5BC" w14:textId="77777777" w:rsidR="009F4766" w:rsidRPr="00DE12A3" w:rsidRDefault="009F4766" w:rsidP="00C917D6">
            <w:pPr>
              <w:pStyle w:val="NormalLeft"/>
            </w:pPr>
            <w:r w:rsidRPr="00DE12A3">
              <w:t>361</w:t>
            </w:r>
          </w:p>
        </w:tc>
        <w:tc>
          <w:tcPr>
            <w:tcW w:w="2489" w:type="dxa"/>
            <w:tcBorders>
              <w:top w:val="single" w:sz="2" w:space="0" w:color="auto"/>
              <w:left w:val="single" w:sz="2" w:space="0" w:color="auto"/>
              <w:bottom w:val="single" w:sz="2" w:space="0" w:color="auto"/>
              <w:right w:val="single" w:sz="2" w:space="0" w:color="auto"/>
            </w:tcBorders>
          </w:tcPr>
          <w:p w14:paraId="1A83FCE0" w14:textId="77777777" w:rsidR="009F4766" w:rsidRPr="00DE12A3" w:rsidRDefault="009F4766" w:rsidP="00C917D6">
            <w:pPr>
              <w:pStyle w:val="NormalLeft"/>
            </w:pPr>
            <w:r w:rsidRPr="00DE12A3">
              <w:t>63</w:t>
            </w:r>
          </w:p>
        </w:tc>
        <w:tc>
          <w:tcPr>
            <w:tcW w:w="2551" w:type="dxa"/>
            <w:tcBorders>
              <w:top w:val="single" w:sz="2" w:space="0" w:color="auto"/>
              <w:left w:val="single" w:sz="2" w:space="0" w:color="auto"/>
              <w:bottom w:val="single" w:sz="2" w:space="0" w:color="auto"/>
              <w:right w:val="single" w:sz="2" w:space="0" w:color="auto"/>
            </w:tcBorders>
          </w:tcPr>
          <w:p w14:paraId="5488CD1A" w14:textId="77777777" w:rsidR="009F4766" w:rsidRPr="00DE12A3" w:rsidRDefault="009F4766" w:rsidP="00C917D6">
            <w:pPr>
              <w:pStyle w:val="NormalLeft"/>
            </w:pPr>
            <w:r w:rsidRPr="00DE12A3">
              <w:t>5</w:t>
            </w:r>
          </w:p>
        </w:tc>
      </w:tr>
      <w:tr w:rsidR="00DE12A3" w:rsidRPr="00DE12A3" w14:paraId="43985581" w14:textId="77777777" w:rsidTr="009F4766">
        <w:tc>
          <w:tcPr>
            <w:tcW w:w="1182" w:type="dxa"/>
            <w:tcBorders>
              <w:top w:val="single" w:sz="2" w:space="0" w:color="auto"/>
              <w:left w:val="single" w:sz="2" w:space="0" w:color="auto"/>
              <w:bottom w:val="single" w:sz="2" w:space="0" w:color="auto"/>
              <w:right w:val="single" w:sz="2" w:space="0" w:color="auto"/>
            </w:tcBorders>
          </w:tcPr>
          <w:p w14:paraId="4256CB81" w14:textId="77777777" w:rsidR="009F4766" w:rsidRPr="00DE12A3" w:rsidRDefault="009F4766" w:rsidP="00C917D6">
            <w:pPr>
              <w:pStyle w:val="NormalLeft"/>
            </w:pPr>
            <w:r w:rsidRPr="00DE12A3">
              <w:t>362</w:t>
            </w:r>
          </w:p>
        </w:tc>
        <w:tc>
          <w:tcPr>
            <w:tcW w:w="2489" w:type="dxa"/>
            <w:tcBorders>
              <w:top w:val="single" w:sz="2" w:space="0" w:color="auto"/>
              <w:left w:val="single" w:sz="2" w:space="0" w:color="auto"/>
              <w:bottom w:val="single" w:sz="2" w:space="0" w:color="auto"/>
              <w:right w:val="single" w:sz="2" w:space="0" w:color="auto"/>
            </w:tcBorders>
          </w:tcPr>
          <w:p w14:paraId="16C9F5B9" w14:textId="77777777" w:rsidR="009F4766" w:rsidRPr="00DE12A3" w:rsidRDefault="009F4766" w:rsidP="00C917D6">
            <w:pPr>
              <w:pStyle w:val="NormalLeft"/>
            </w:pPr>
            <w:r w:rsidRPr="00DE12A3">
              <w:t>35</w:t>
            </w:r>
          </w:p>
        </w:tc>
        <w:tc>
          <w:tcPr>
            <w:tcW w:w="2551" w:type="dxa"/>
            <w:tcBorders>
              <w:top w:val="single" w:sz="2" w:space="0" w:color="auto"/>
              <w:left w:val="single" w:sz="2" w:space="0" w:color="auto"/>
              <w:bottom w:val="single" w:sz="2" w:space="0" w:color="auto"/>
              <w:right w:val="single" w:sz="2" w:space="0" w:color="auto"/>
            </w:tcBorders>
          </w:tcPr>
          <w:p w14:paraId="5CE47639" w14:textId="77777777" w:rsidR="009F4766" w:rsidRPr="00DE12A3" w:rsidRDefault="009F4766" w:rsidP="00C917D6">
            <w:pPr>
              <w:pStyle w:val="NormalLeft"/>
            </w:pPr>
            <w:r w:rsidRPr="00DE12A3">
              <w:t>2</w:t>
            </w:r>
          </w:p>
        </w:tc>
      </w:tr>
      <w:tr w:rsidR="00DE12A3" w:rsidRPr="00DE12A3" w14:paraId="56DDCF59" w14:textId="77777777" w:rsidTr="009F4766">
        <w:tc>
          <w:tcPr>
            <w:tcW w:w="1182" w:type="dxa"/>
            <w:tcBorders>
              <w:top w:val="single" w:sz="2" w:space="0" w:color="auto"/>
              <w:left w:val="single" w:sz="2" w:space="0" w:color="auto"/>
              <w:bottom w:val="single" w:sz="2" w:space="0" w:color="auto"/>
              <w:right w:val="single" w:sz="2" w:space="0" w:color="auto"/>
            </w:tcBorders>
          </w:tcPr>
          <w:p w14:paraId="461505D0" w14:textId="77777777" w:rsidR="009F4766" w:rsidRPr="00DE12A3" w:rsidRDefault="009F4766" w:rsidP="00C917D6">
            <w:pPr>
              <w:pStyle w:val="NormalLeft"/>
            </w:pPr>
            <w:r w:rsidRPr="00DE12A3">
              <w:lastRenderedPageBreak/>
              <w:t>363</w:t>
            </w:r>
          </w:p>
        </w:tc>
        <w:tc>
          <w:tcPr>
            <w:tcW w:w="2489" w:type="dxa"/>
            <w:tcBorders>
              <w:top w:val="single" w:sz="2" w:space="0" w:color="auto"/>
              <w:left w:val="single" w:sz="2" w:space="0" w:color="auto"/>
              <w:bottom w:val="single" w:sz="2" w:space="0" w:color="auto"/>
              <w:right w:val="single" w:sz="2" w:space="0" w:color="auto"/>
            </w:tcBorders>
          </w:tcPr>
          <w:p w14:paraId="2F8CCF23" w14:textId="77777777" w:rsidR="009F4766" w:rsidRPr="00DE12A3" w:rsidRDefault="009F4766" w:rsidP="00C917D6">
            <w:pPr>
              <w:pStyle w:val="NormalLeft"/>
            </w:pPr>
            <w:r w:rsidRPr="00DE12A3">
              <w:t>24</w:t>
            </w:r>
          </w:p>
        </w:tc>
        <w:tc>
          <w:tcPr>
            <w:tcW w:w="2551" w:type="dxa"/>
            <w:tcBorders>
              <w:top w:val="single" w:sz="2" w:space="0" w:color="auto"/>
              <w:left w:val="single" w:sz="2" w:space="0" w:color="auto"/>
              <w:bottom w:val="single" w:sz="2" w:space="0" w:color="auto"/>
              <w:right w:val="single" w:sz="2" w:space="0" w:color="auto"/>
            </w:tcBorders>
          </w:tcPr>
          <w:p w14:paraId="47F32BA2" w14:textId="77777777" w:rsidR="009F4766" w:rsidRPr="00DE12A3" w:rsidRDefault="009F4766" w:rsidP="00C917D6">
            <w:pPr>
              <w:pStyle w:val="NormalLeft"/>
            </w:pPr>
            <w:r w:rsidRPr="00DE12A3">
              <w:t>3</w:t>
            </w:r>
          </w:p>
        </w:tc>
      </w:tr>
      <w:tr w:rsidR="00DE12A3" w:rsidRPr="00DE12A3" w14:paraId="136DD953" w14:textId="77777777" w:rsidTr="009F4766">
        <w:tc>
          <w:tcPr>
            <w:tcW w:w="1182" w:type="dxa"/>
            <w:tcBorders>
              <w:top w:val="single" w:sz="2" w:space="0" w:color="auto"/>
              <w:left w:val="single" w:sz="2" w:space="0" w:color="auto"/>
              <w:bottom w:val="single" w:sz="2" w:space="0" w:color="auto"/>
              <w:right w:val="single" w:sz="2" w:space="0" w:color="auto"/>
            </w:tcBorders>
          </w:tcPr>
          <w:p w14:paraId="16687FF2" w14:textId="77777777" w:rsidR="009F4766" w:rsidRPr="00DE12A3" w:rsidRDefault="009F4766" w:rsidP="00C917D6">
            <w:pPr>
              <w:pStyle w:val="NormalLeft"/>
            </w:pPr>
            <w:r w:rsidRPr="00DE12A3">
              <w:t>364</w:t>
            </w:r>
          </w:p>
        </w:tc>
        <w:tc>
          <w:tcPr>
            <w:tcW w:w="2489" w:type="dxa"/>
            <w:tcBorders>
              <w:top w:val="single" w:sz="2" w:space="0" w:color="auto"/>
              <w:left w:val="single" w:sz="2" w:space="0" w:color="auto"/>
              <w:bottom w:val="single" w:sz="2" w:space="0" w:color="auto"/>
              <w:right w:val="single" w:sz="2" w:space="0" w:color="auto"/>
            </w:tcBorders>
          </w:tcPr>
          <w:p w14:paraId="42012EFF" w14:textId="77777777" w:rsidR="009F4766" w:rsidRPr="00DE12A3" w:rsidRDefault="009F4766" w:rsidP="00C917D6">
            <w:pPr>
              <w:pStyle w:val="NormalLeft"/>
            </w:pPr>
            <w:r w:rsidRPr="00DE12A3">
              <w:t>28</w:t>
            </w:r>
          </w:p>
        </w:tc>
        <w:tc>
          <w:tcPr>
            <w:tcW w:w="2551" w:type="dxa"/>
            <w:tcBorders>
              <w:top w:val="single" w:sz="2" w:space="0" w:color="auto"/>
              <w:left w:val="single" w:sz="2" w:space="0" w:color="auto"/>
              <w:bottom w:val="single" w:sz="2" w:space="0" w:color="auto"/>
              <w:right w:val="single" w:sz="2" w:space="0" w:color="auto"/>
            </w:tcBorders>
          </w:tcPr>
          <w:p w14:paraId="4274BC6F" w14:textId="77777777" w:rsidR="009F4766" w:rsidRPr="00DE12A3" w:rsidRDefault="009F4766" w:rsidP="00C917D6">
            <w:pPr>
              <w:pStyle w:val="NormalLeft"/>
            </w:pPr>
            <w:r w:rsidRPr="00DE12A3">
              <w:t>2</w:t>
            </w:r>
          </w:p>
        </w:tc>
      </w:tr>
      <w:tr w:rsidR="00DE12A3" w:rsidRPr="00DE12A3" w14:paraId="20A4064E" w14:textId="77777777" w:rsidTr="009F4766">
        <w:tc>
          <w:tcPr>
            <w:tcW w:w="1182" w:type="dxa"/>
            <w:tcBorders>
              <w:top w:val="single" w:sz="2" w:space="0" w:color="auto"/>
              <w:left w:val="single" w:sz="2" w:space="0" w:color="auto"/>
              <w:bottom w:val="single" w:sz="2" w:space="0" w:color="auto"/>
              <w:right w:val="single" w:sz="2" w:space="0" w:color="auto"/>
            </w:tcBorders>
          </w:tcPr>
          <w:p w14:paraId="78370750" w14:textId="77777777" w:rsidR="009F4766" w:rsidRPr="00DE12A3" w:rsidRDefault="009F4766" w:rsidP="00C917D6">
            <w:pPr>
              <w:pStyle w:val="NormalLeft"/>
            </w:pPr>
            <w:r w:rsidRPr="00DE12A3">
              <w:t>365</w:t>
            </w:r>
          </w:p>
        </w:tc>
        <w:tc>
          <w:tcPr>
            <w:tcW w:w="2489" w:type="dxa"/>
            <w:tcBorders>
              <w:top w:val="single" w:sz="2" w:space="0" w:color="auto"/>
              <w:left w:val="single" w:sz="2" w:space="0" w:color="auto"/>
              <w:bottom w:val="single" w:sz="2" w:space="0" w:color="auto"/>
              <w:right w:val="single" w:sz="2" w:space="0" w:color="auto"/>
            </w:tcBorders>
          </w:tcPr>
          <w:p w14:paraId="722070CF" w14:textId="77777777" w:rsidR="009F4766" w:rsidRPr="00DE12A3" w:rsidRDefault="009F4766" w:rsidP="00C917D6">
            <w:pPr>
              <w:pStyle w:val="NormalLeft"/>
            </w:pPr>
            <w:r w:rsidRPr="00DE12A3">
              <w:t>36</w:t>
            </w:r>
          </w:p>
        </w:tc>
        <w:tc>
          <w:tcPr>
            <w:tcW w:w="2551" w:type="dxa"/>
            <w:tcBorders>
              <w:top w:val="single" w:sz="2" w:space="0" w:color="auto"/>
              <w:left w:val="single" w:sz="2" w:space="0" w:color="auto"/>
              <w:bottom w:val="single" w:sz="2" w:space="0" w:color="auto"/>
              <w:right w:val="single" w:sz="2" w:space="0" w:color="auto"/>
            </w:tcBorders>
          </w:tcPr>
          <w:p w14:paraId="6194B301" w14:textId="77777777" w:rsidR="009F4766" w:rsidRPr="00DE12A3" w:rsidRDefault="009F4766" w:rsidP="00C917D6">
            <w:pPr>
              <w:pStyle w:val="NormalLeft"/>
            </w:pPr>
            <w:r w:rsidRPr="00DE12A3">
              <w:t>16</w:t>
            </w:r>
          </w:p>
        </w:tc>
      </w:tr>
      <w:tr w:rsidR="00DE12A3" w:rsidRPr="00DE12A3" w14:paraId="561A03B9" w14:textId="77777777" w:rsidTr="009F4766">
        <w:tc>
          <w:tcPr>
            <w:tcW w:w="1182" w:type="dxa"/>
            <w:tcBorders>
              <w:top w:val="single" w:sz="2" w:space="0" w:color="auto"/>
              <w:left w:val="single" w:sz="2" w:space="0" w:color="auto"/>
              <w:bottom w:val="single" w:sz="2" w:space="0" w:color="auto"/>
              <w:right w:val="single" w:sz="2" w:space="0" w:color="auto"/>
            </w:tcBorders>
          </w:tcPr>
          <w:p w14:paraId="4F92A91D" w14:textId="77777777" w:rsidR="009F4766" w:rsidRPr="00DE12A3" w:rsidRDefault="009F4766" w:rsidP="00C917D6">
            <w:pPr>
              <w:pStyle w:val="NormalLeft"/>
            </w:pPr>
            <w:r w:rsidRPr="00DE12A3">
              <w:t>366</w:t>
            </w:r>
          </w:p>
        </w:tc>
        <w:tc>
          <w:tcPr>
            <w:tcW w:w="2489" w:type="dxa"/>
            <w:tcBorders>
              <w:top w:val="single" w:sz="2" w:space="0" w:color="auto"/>
              <w:left w:val="single" w:sz="2" w:space="0" w:color="auto"/>
              <w:bottom w:val="single" w:sz="2" w:space="0" w:color="auto"/>
              <w:right w:val="single" w:sz="2" w:space="0" w:color="auto"/>
            </w:tcBorders>
          </w:tcPr>
          <w:p w14:paraId="486EA204" w14:textId="77777777" w:rsidR="009F4766" w:rsidRPr="00DE12A3" w:rsidRDefault="009F4766" w:rsidP="00C917D6">
            <w:pPr>
              <w:pStyle w:val="NormalLeft"/>
            </w:pPr>
            <w:r w:rsidRPr="00DE12A3">
              <w:t>54</w:t>
            </w:r>
          </w:p>
        </w:tc>
        <w:tc>
          <w:tcPr>
            <w:tcW w:w="2551" w:type="dxa"/>
            <w:tcBorders>
              <w:top w:val="single" w:sz="2" w:space="0" w:color="auto"/>
              <w:left w:val="single" w:sz="2" w:space="0" w:color="auto"/>
              <w:bottom w:val="single" w:sz="2" w:space="0" w:color="auto"/>
              <w:right w:val="single" w:sz="2" w:space="0" w:color="auto"/>
            </w:tcBorders>
          </w:tcPr>
          <w:p w14:paraId="574A3D2E" w14:textId="77777777" w:rsidR="009F4766" w:rsidRPr="00DE12A3" w:rsidRDefault="009F4766" w:rsidP="00C917D6">
            <w:pPr>
              <w:pStyle w:val="NormalLeft"/>
            </w:pPr>
            <w:r w:rsidRPr="00DE12A3">
              <w:t>23</w:t>
            </w:r>
          </w:p>
        </w:tc>
      </w:tr>
      <w:tr w:rsidR="00DE12A3" w:rsidRPr="00DE12A3" w14:paraId="0400668F" w14:textId="77777777" w:rsidTr="009F4766">
        <w:tc>
          <w:tcPr>
            <w:tcW w:w="1182" w:type="dxa"/>
            <w:tcBorders>
              <w:top w:val="single" w:sz="2" w:space="0" w:color="auto"/>
              <w:left w:val="single" w:sz="2" w:space="0" w:color="auto"/>
              <w:bottom w:val="single" w:sz="2" w:space="0" w:color="auto"/>
              <w:right w:val="single" w:sz="2" w:space="0" w:color="auto"/>
            </w:tcBorders>
          </w:tcPr>
          <w:p w14:paraId="3F0DAD45" w14:textId="77777777" w:rsidR="009F4766" w:rsidRPr="00DE12A3" w:rsidRDefault="009F4766" w:rsidP="00C917D6">
            <w:pPr>
              <w:pStyle w:val="NormalLeft"/>
            </w:pPr>
            <w:r w:rsidRPr="00DE12A3">
              <w:t>367</w:t>
            </w:r>
          </w:p>
        </w:tc>
        <w:tc>
          <w:tcPr>
            <w:tcW w:w="2489" w:type="dxa"/>
            <w:tcBorders>
              <w:top w:val="single" w:sz="2" w:space="0" w:color="auto"/>
              <w:left w:val="single" w:sz="2" w:space="0" w:color="auto"/>
              <w:bottom w:val="single" w:sz="2" w:space="0" w:color="auto"/>
              <w:right w:val="single" w:sz="2" w:space="0" w:color="auto"/>
            </w:tcBorders>
          </w:tcPr>
          <w:p w14:paraId="0ABCFA79" w14:textId="77777777" w:rsidR="009F4766" w:rsidRPr="00DE12A3" w:rsidRDefault="009F4766" w:rsidP="00C917D6">
            <w:pPr>
              <w:pStyle w:val="NormalLeft"/>
            </w:pPr>
            <w:r w:rsidRPr="00DE12A3">
              <w:t>60</w:t>
            </w:r>
          </w:p>
        </w:tc>
        <w:tc>
          <w:tcPr>
            <w:tcW w:w="2551" w:type="dxa"/>
            <w:tcBorders>
              <w:top w:val="single" w:sz="2" w:space="0" w:color="auto"/>
              <w:left w:val="single" w:sz="2" w:space="0" w:color="auto"/>
              <w:bottom w:val="single" w:sz="2" w:space="0" w:color="auto"/>
              <w:right w:val="single" w:sz="2" w:space="0" w:color="auto"/>
            </w:tcBorders>
          </w:tcPr>
          <w:p w14:paraId="0EE1B599" w14:textId="77777777" w:rsidR="009F4766" w:rsidRPr="00DE12A3" w:rsidRDefault="009F4766" w:rsidP="00C917D6">
            <w:pPr>
              <w:pStyle w:val="NormalLeft"/>
            </w:pPr>
            <w:r w:rsidRPr="00DE12A3">
              <w:t>10</w:t>
            </w:r>
          </w:p>
        </w:tc>
      </w:tr>
      <w:tr w:rsidR="00DE12A3" w:rsidRPr="00DE12A3" w14:paraId="4B2AE015" w14:textId="77777777" w:rsidTr="009F4766">
        <w:tc>
          <w:tcPr>
            <w:tcW w:w="1182" w:type="dxa"/>
            <w:tcBorders>
              <w:top w:val="single" w:sz="2" w:space="0" w:color="auto"/>
              <w:left w:val="single" w:sz="2" w:space="0" w:color="auto"/>
              <w:bottom w:val="single" w:sz="2" w:space="0" w:color="auto"/>
              <w:right w:val="single" w:sz="2" w:space="0" w:color="auto"/>
            </w:tcBorders>
          </w:tcPr>
          <w:p w14:paraId="1E6B235D" w14:textId="77777777" w:rsidR="009F4766" w:rsidRPr="00DE12A3" w:rsidRDefault="009F4766" w:rsidP="00C917D6">
            <w:pPr>
              <w:pStyle w:val="NormalLeft"/>
            </w:pPr>
            <w:r w:rsidRPr="00DE12A3">
              <w:t>368</w:t>
            </w:r>
          </w:p>
        </w:tc>
        <w:tc>
          <w:tcPr>
            <w:tcW w:w="2489" w:type="dxa"/>
            <w:tcBorders>
              <w:top w:val="single" w:sz="2" w:space="0" w:color="auto"/>
              <w:left w:val="single" w:sz="2" w:space="0" w:color="auto"/>
              <w:bottom w:val="single" w:sz="2" w:space="0" w:color="auto"/>
              <w:right w:val="single" w:sz="2" w:space="0" w:color="auto"/>
            </w:tcBorders>
          </w:tcPr>
          <w:p w14:paraId="0F386F18" w14:textId="77777777" w:rsidR="009F4766" w:rsidRPr="00DE12A3" w:rsidRDefault="009F4766" w:rsidP="00C917D6">
            <w:pPr>
              <w:pStyle w:val="NormalLeft"/>
            </w:pPr>
            <w:r w:rsidRPr="00DE12A3">
              <w:t>33</w:t>
            </w:r>
          </w:p>
        </w:tc>
        <w:tc>
          <w:tcPr>
            <w:tcW w:w="2551" w:type="dxa"/>
            <w:tcBorders>
              <w:top w:val="single" w:sz="2" w:space="0" w:color="auto"/>
              <w:left w:val="single" w:sz="2" w:space="0" w:color="auto"/>
              <w:bottom w:val="single" w:sz="2" w:space="0" w:color="auto"/>
              <w:right w:val="single" w:sz="2" w:space="0" w:color="auto"/>
            </w:tcBorders>
          </w:tcPr>
          <w:p w14:paraId="030AAA10" w14:textId="77777777" w:rsidR="009F4766" w:rsidRPr="00DE12A3" w:rsidRDefault="009F4766" w:rsidP="00C917D6">
            <w:pPr>
              <w:pStyle w:val="NormalLeft"/>
            </w:pPr>
            <w:r w:rsidRPr="00DE12A3">
              <w:t>1</w:t>
            </w:r>
          </w:p>
        </w:tc>
      </w:tr>
      <w:tr w:rsidR="00DE12A3" w:rsidRPr="00DE12A3" w14:paraId="2172F02A" w14:textId="77777777" w:rsidTr="009F4766">
        <w:tc>
          <w:tcPr>
            <w:tcW w:w="1182" w:type="dxa"/>
            <w:tcBorders>
              <w:top w:val="single" w:sz="2" w:space="0" w:color="auto"/>
              <w:left w:val="single" w:sz="2" w:space="0" w:color="auto"/>
              <w:bottom w:val="single" w:sz="2" w:space="0" w:color="auto"/>
              <w:right w:val="single" w:sz="2" w:space="0" w:color="auto"/>
            </w:tcBorders>
          </w:tcPr>
          <w:p w14:paraId="46E36F48" w14:textId="77777777" w:rsidR="009F4766" w:rsidRPr="00DE12A3" w:rsidRDefault="009F4766" w:rsidP="00C917D6">
            <w:pPr>
              <w:pStyle w:val="NormalLeft"/>
            </w:pPr>
            <w:r w:rsidRPr="00DE12A3">
              <w:t>369</w:t>
            </w:r>
          </w:p>
        </w:tc>
        <w:tc>
          <w:tcPr>
            <w:tcW w:w="2489" w:type="dxa"/>
            <w:tcBorders>
              <w:top w:val="single" w:sz="2" w:space="0" w:color="auto"/>
              <w:left w:val="single" w:sz="2" w:space="0" w:color="auto"/>
              <w:bottom w:val="single" w:sz="2" w:space="0" w:color="auto"/>
              <w:right w:val="single" w:sz="2" w:space="0" w:color="auto"/>
            </w:tcBorders>
          </w:tcPr>
          <w:p w14:paraId="1E30EBFC" w14:textId="77777777" w:rsidR="009F4766" w:rsidRPr="00DE12A3" w:rsidRDefault="009F4766" w:rsidP="00C917D6">
            <w:pPr>
              <w:pStyle w:val="NormalLeft"/>
            </w:pPr>
            <w:r w:rsidRPr="00DE12A3">
              <w:t>23</w:t>
            </w:r>
          </w:p>
        </w:tc>
        <w:tc>
          <w:tcPr>
            <w:tcW w:w="2551" w:type="dxa"/>
            <w:tcBorders>
              <w:top w:val="single" w:sz="2" w:space="0" w:color="auto"/>
              <w:left w:val="single" w:sz="2" w:space="0" w:color="auto"/>
              <w:bottom w:val="single" w:sz="2" w:space="0" w:color="auto"/>
              <w:right w:val="single" w:sz="2" w:space="0" w:color="auto"/>
            </w:tcBorders>
          </w:tcPr>
          <w:p w14:paraId="55D9D952" w14:textId="77777777" w:rsidR="009F4766" w:rsidRPr="00DE12A3" w:rsidRDefault="009F4766" w:rsidP="00C917D6">
            <w:pPr>
              <w:pStyle w:val="NormalLeft"/>
            </w:pPr>
            <w:r w:rsidRPr="00DE12A3">
              <w:t>0</w:t>
            </w:r>
          </w:p>
        </w:tc>
      </w:tr>
      <w:tr w:rsidR="00DE12A3" w:rsidRPr="00DE12A3" w14:paraId="40DB0085" w14:textId="77777777" w:rsidTr="009F4766">
        <w:tc>
          <w:tcPr>
            <w:tcW w:w="1182" w:type="dxa"/>
            <w:tcBorders>
              <w:top w:val="single" w:sz="2" w:space="0" w:color="auto"/>
              <w:left w:val="single" w:sz="2" w:space="0" w:color="auto"/>
              <w:bottom w:val="single" w:sz="2" w:space="0" w:color="auto"/>
              <w:right w:val="single" w:sz="2" w:space="0" w:color="auto"/>
            </w:tcBorders>
          </w:tcPr>
          <w:p w14:paraId="517438C6" w14:textId="77777777" w:rsidR="009F4766" w:rsidRPr="00DE12A3" w:rsidRDefault="009F4766" w:rsidP="00C917D6">
            <w:pPr>
              <w:pStyle w:val="NormalLeft"/>
            </w:pPr>
            <w:r w:rsidRPr="00DE12A3">
              <w:t>370</w:t>
            </w:r>
          </w:p>
        </w:tc>
        <w:tc>
          <w:tcPr>
            <w:tcW w:w="2489" w:type="dxa"/>
            <w:tcBorders>
              <w:top w:val="single" w:sz="2" w:space="0" w:color="auto"/>
              <w:left w:val="single" w:sz="2" w:space="0" w:color="auto"/>
              <w:bottom w:val="single" w:sz="2" w:space="0" w:color="auto"/>
              <w:right w:val="single" w:sz="2" w:space="0" w:color="auto"/>
            </w:tcBorders>
          </w:tcPr>
          <w:p w14:paraId="72B2E2A3" w14:textId="77777777" w:rsidR="009F4766" w:rsidRPr="00DE12A3" w:rsidRDefault="009F4766" w:rsidP="00C917D6">
            <w:pPr>
              <w:pStyle w:val="NormalLeft"/>
            </w:pPr>
            <w:r w:rsidRPr="00DE12A3">
              <w:t>16</w:t>
            </w:r>
          </w:p>
        </w:tc>
        <w:tc>
          <w:tcPr>
            <w:tcW w:w="2551" w:type="dxa"/>
            <w:tcBorders>
              <w:top w:val="single" w:sz="2" w:space="0" w:color="auto"/>
              <w:left w:val="single" w:sz="2" w:space="0" w:color="auto"/>
              <w:bottom w:val="single" w:sz="2" w:space="0" w:color="auto"/>
              <w:right w:val="single" w:sz="2" w:space="0" w:color="auto"/>
            </w:tcBorders>
          </w:tcPr>
          <w:p w14:paraId="53AD77D5" w14:textId="77777777" w:rsidR="009F4766" w:rsidRPr="00DE12A3" w:rsidRDefault="009F4766" w:rsidP="00C917D6">
            <w:pPr>
              <w:pStyle w:val="NormalLeft"/>
            </w:pPr>
            <w:r w:rsidRPr="00DE12A3">
              <w:t>0</w:t>
            </w:r>
          </w:p>
        </w:tc>
      </w:tr>
      <w:tr w:rsidR="00DE12A3" w:rsidRPr="00DE12A3" w14:paraId="2DB961E5" w14:textId="77777777" w:rsidTr="009F4766">
        <w:tc>
          <w:tcPr>
            <w:tcW w:w="1182" w:type="dxa"/>
            <w:tcBorders>
              <w:top w:val="single" w:sz="2" w:space="0" w:color="auto"/>
              <w:left w:val="single" w:sz="2" w:space="0" w:color="auto"/>
              <w:bottom w:val="single" w:sz="2" w:space="0" w:color="auto"/>
              <w:right w:val="single" w:sz="2" w:space="0" w:color="auto"/>
            </w:tcBorders>
          </w:tcPr>
          <w:p w14:paraId="2CAFB580" w14:textId="77777777" w:rsidR="009F4766" w:rsidRPr="00DE12A3" w:rsidRDefault="009F4766" w:rsidP="00C917D6">
            <w:pPr>
              <w:pStyle w:val="NormalLeft"/>
            </w:pPr>
            <w:r w:rsidRPr="00DE12A3">
              <w:t>371</w:t>
            </w:r>
          </w:p>
        </w:tc>
        <w:tc>
          <w:tcPr>
            <w:tcW w:w="2489" w:type="dxa"/>
            <w:tcBorders>
              <w:top w:val="single" w:sz="2" w:space="0" w:color="auto"/>
              <w:left w:val="single" w:sz="2" w:space="0" w:color="auto"/>
              <w:bottom w:val="single" w:sz="2" w:space="0" w:color="auto"/>
              <w:right w:val="single" w:sz="2" w:space="0" w:color="auto"/>
            </w:tcBorders>
          </w:tcPr>
          <w:p w14:paraId="6BD2B867" w14:textId="77777777" w:rsidR="009F4766" w:rsidRPr="00DE12A3" w:rsidRDefault="009F4766" w:rsidP="00C917D6">
            <w:pPr>
              <w:pStyle w:val="NormalLeft"/>
            </w:pPr>
            <w:r w:rsidRPr="00DE12A3">
              <w:t>11</w:t>
            </w:r>
          </w:p>
        </w:tc>
        <w:tc>
          <w:tcPr>
            <w:tcW w:w="2551" w:type="dxa"/>
            <w:tcBorders>
              <w:top w:val="single" w:sz="2" w:space="0" w:color="auto"/>
              <w:left w:val="single" w:sz="2" w:space="0" w:color="auto"/>
              <w:bottom w:val="single" w:sz="2" w:space="0" w:color="auto"/>
              <w:right w:val="single" w:sz="2" w:space="0" w:color="auto"/>
            </w:tcBorders>
          </w:tcPr>
          <w:p w14:paraId="0DF93D82" w14:textId="77777777" w:rsidR="009F4766" w:rsidRPr="00DE12A3" w:rsidRDefault="009F4766" w:rsidP="00C917D6">
            <w:pPr>
              <w:pStyle w:val="NormalLeft"/>
            </w:pPr>
            <w:r w:rsidRPr="00DE12A3">
              <w:t>0</w:t>
            </w:r>
          </w:p>
        </w:tc>
      </w:tr>
      <w:tr w:rsidR="00DE12A3" w:rsidRPr="00DE12A3" w14:paraId="3CE0BED6" w14:textId="77777777" w:rsidTr="009F4766">
        <w:tc>
          <w:tcPr>
            <w:tcW w:w="1182" w:type="dxa"/>
            <w:tcBorders>
              <w:top w:val="single" w:sz="2" w:space="0" w:color="auto"/>
              <w:left w:val="single" w:sz="2" w:space="0" w:color="auto"/>
              <w:bottom w:val="single" w:sz="2" w:space="0" w:color="auto"/>
              <w:right w:val="single" w:sz="2" w:space="0" w:color="auto"/>
            </w:tcBorders>
          </w:tcPr>
          <w:p w14:paraId="3BED547A" w14:textId="77777777" w:rsidR="009F4766" w:rsidRPr="00DE12A3" w:rsidRDefault="009F4766" w:rsidP="00C917D6">
            <w:pPr>
              <w:pStyle w:val="NormalLeft"/>
            </w:pPr>
            <w:r w:rsidRPr="00DE12A3">
              <w:t>372</w:t>
            </w:r>
          </w:p>
        </w:tc>
        <w:tc>
          <w:tcPr>
            <w:tcW w:w="2489" w:type="dxa"/>
            <w:tcBorders>
              <w:top w:val="single" w:sz="2" w:space="0" w:color="auto"/>
              <w:left w:val="single" w:sz="2" w:space="0" w:color="auto"/>
              <w:bottom w:val="single" w:sz="2" w:space="0" w:color="auto"/>
              <w:right w:val="single" w:sz="2" w:space="0" w:color="auto"/>
            </w:tcBorders>
          </w:tcPr>
          <w:p w14:paraId="1ACE8E56" w14:textId="77777777" w:rsidR="009F4766" w:rsidRPr="00DE12A3" w:rsidRDefault="009F4766" w:rsidP="00C917D6">
            <w:pPr>
              <w:pStyle w:val="NormalLeft"/>
            </w:pPr>
            <w:r w:rsidRPr="00DE12A3">
              <w:t>20</w:t>
            </w:r>
          </w:p>
        </w:tc>
        <w:tc>
          <w:tcPr>
            <w:tcW w:w="2551" w:type="dxa"/>
            <w:tcBorders>
              <w:top w:val="single" w:sz="2" w:space="0" w:color="auto"/>
              <w:left w:val="single" w:sz="2" w:space="0" w:color="auto"/>
              <w:bottom w:val="single" w:sz="2" w:space="0" w:color="auto"/>
              <w:right w:val="single" w:sz="2" w:space="0" w:color="auto"/>
            </w:tcBorders>
          </w:tcPr>
          <w:p w14:paraId="01372DB2" w14:textId="77777777" w:rsidR="009F4766" w:rsidRPr="00DE12A3" w:rsidRDefault="009F4766" w:rsidP="00C917D6">
            <w:pPr>
              <w:pStyle w:val="NormalLeft"/>
            </w:pPr>
            <w:r w:rsidRPr="00DE12A3">
              <w:t>0</w:t>
            </w:r>
          </w:p>
        </w:tc>
      </w:tr>
      <w:tr w:rsidR="00DE12A3" w:rsidRPr="00DE12A3" w14:paraId="349E2A68" w14:textId="77777777" w:rsidTr="009F4766">
        <w:tc>
          <w:tcPr>
            <w:tcW w:w="1182" w:type="dxa"/>
            <w:tcBorders>
              <w:top w:val="single" w:sz="2" w:space="0" w:color="auto"/>
              <w:left w:val="single" w:sz="2" w:space="0" w:color="auto"/>
              <w:bottom w:val="single" w:sz="2" w:space="0" w:color="auto"/>
              <w:right w:val="single" w:sz="2" w:space="0" w:color="auto"/>
            </w:tcBorders>
          </w:tcPr>
          <w:p w14:paraId="1505E1ED" w14:textId="77777777" w:rsidR="009F4766" w:rsidRPr="00DE12A3" w:rsidRDefault="009F4766" w:rsidP="00C917D6">
            <w:pPr>
              <w:pStyle w:val="NormalLeft"/>
            </w:pPr>
            <w:r w:rsidRPr="00DE12A3">
              <w:t>373</w:t>
            </w:r>
          </w:p>
        </w:tc>
        <w:tc>
          <w:tcPr>
            <w:tcW w:w="2489" w:type="dxa"/>
            <w:tcBorders>
              <w:top w:val="single" w:sz="2" w:space="0" w:color="auto"/>
              <w:left w:val="single" w:sz="2" w:space="0" w:color="auto"/>
              <w:bottom w:val="single" w:sz="2" w:space="0" w:color="auto"/>
              <w:right w:val="single" w:sz="2" w:space="0" w:color="auto"/>
            </w:tcBorders>
          </w:tcPr>
          <w:p w14:paraId="1DB8F94C" w14:textId="77777777" w:rsidR="009F4766" w:rsidRPr="00DE12A3" w:rsidRDefault="009F4766" w:rsidP="00C917D6">
            <w:pPr>
              <w:pStyle w:val="NormalLeft"/>
            </w:pPr>
            <w:r w:rsidRPr="00DE12A3">
              <w:t>25</w:t>
            </w:r>
          </w:p>
        </w:tc>
        <w:tc>
          <w:tcPr>
            <w:tcW w:w="2551" w:type="dxa"/>
            <w:tcBorders>
              <w:top w:val="single" w:sz="2" w:space="0" w:color="auto"/>
              <w:left w:val="single" w:sz="2" w:space="0" w:color="auto"/>
              <w:bottom w:val="single" w:sz="2" w:space="0" w:color="auto"/>
              <w:right w:val="single" w:sz="2" w:space="0" w:color="auto"/>
            </w:tcBorders>
          </w:tcPr>
          <w:p w14:paraId="5C4094ED" w14:textId="77777777" w:rsidR="009F4766" w:rsidRPr="00DE12A3" w:rsidRDefault="009F4766" w:rsidP="00C917D6">
            <w:pPr>
              <w:pStyle w:val="NormalLeft"/>
            </w:pPr>
            <w:r w:rsidRPr="00DE12A3">
              <w:t>2</w:t>
            </w:r>
          </w:p>
        </w:tc>
      </w:tr>
      <w:tr w:rsidR="00DE12A3" w:rsidRPr="00DE12A3" w14:paraId="5814A455" w14:textId="77777777" w:rsidTr="009F4766">
        <w:tc>
          <w:tcPr>
            <w:tcW w:w="1182" w:type="dxa"/>
            <w:tcBorders>
              <w:top w:val="single" w:sz="2" w:space="0" w:color="auto"/>
              <w:left w:val="single" w:sz="2" w:space="0" w:color="auto"/>
              <w:bottom w:val="single" w:sz="2" w:space="0" w:color="auto"/>
              <w:right w:val="single" w:sz="2" w:space="0" w:color="auto"/>
            </w:tcBorders>
          </w:tcPr>
          <w:p w14:paraId="32CD973F" w14:textId="77777777" w:rsidR="009F4766" w:rsidRPr="00DE12A3" w:rsidRDefault="009F4766" w:rsidP="00C917D6">
            <w:pPr>
              <w:pStyle w:val="NormalLeft"/>
            </w:pPr>
            <w:r w:rsidRPr="00DE12A3">
              <w:t>374</w:t>
            </w:r>
          </w:p>
        </w:tc>
        <w:tc>
          <w:tcPr>
            <w:tcW w:w="2489" w:type="dxa"/>
            <w:tcBorders>
              <w:top w:val="single" w:sz="2" w:space="0" w:color="auto"/>
              <w:left w:val="single" w:sz="2" w:space="0" w:color="auto"/>
              <w:bottom w:val="single" w:sz="2" w:space="0" w:color="auto"/>
              <w:right w:val="single" w:sz="2" w:space="0" w:color="auto"/>
            </w:tcBorders>
          </w:tcPr>
          <w:p w14:paraId="14301FF6" w14:textId="77777777" w:rsidR="009F4766" w:rsidRPr="00DE12A3" w:rsidRDefault="009F4766" w:rsidP="00C917D6">
            <w:pPr>
              <w:pStyle w:val="NormalLeft"/>
            </w:pPr>
            <w:r w:rsidRPr="00DE12A3">
              <w:t>40</w:t>
            </w:r>
          </w:p>
        </w:tc>
        <w:tc>
          <w:tcPr>
            <w:tcW w:w="2551" w:type="dxa"/>
            <w:tcBorders>
              <w:top w:val="single" w:sz="2" w:space="0" w:color="auto"/>
              <w:left w:val="single" w:sz="2" w:space="0" w:color="auto"/>
              <w:bottom w:val="single" w:sz="2" w:space="0" w:color="auto"/>
              <w:right w:val="single" w:sz="2" w:space="0" w:color="auto"/>
            </w:tcBorders>
          </w:tcPr>
          <w:p w14:paraId="1546CC34" w14:textId="77777777" w:rsidR="009F4766" w:rsidRPr="00DE12A3" w:rsidRDefault="009F4766" w:rsidP="00C917D6">
            <w:pPr>
              <w:pStyle w:val="NormalLeft"/>
            </w:pPr>
            <w:r w:rsidRPr="00DE12A3">
              <w:t>3</w:t>
            </w:r>
          </w:p>
        </w:tc>
      </w:tr>
      <w:tr w:rsidR="00DE12A3" w:rsidRPr="00DE12A3" w14:paraId="0F920B85" w14:textId="77777777" w:rsidTr="009F4766">
        <w:tc>
          <w:tcPr>
            <w:tcW w:w="1182" w:type="dxa"/>
            <w:tcBorders>
              <w:top w:val="single" w:sz="2" w:space="0" w:color="auto"/>
              <w:left w:val="single" w:sz="2" w:space="0" w:color="auto"/>
              <w:bottom w:val="single" w:sz="2" w:space="0" w:color="auto"/>
              <w:right w:val="single" w:sz="2" w:space="0" w:color="auto"/>
            </w:tcBorders>
          </w:tcPr>
          <w:p w14:paraId="2AF1289F" w14:textId="77777777" w:rsidR="009F4766" w:rsidRPr="00DE12A3" w:rsidRDefault="009F4766" w:rsidP="00C917D6">
            <w:pPr>
              <w:pStyle w:val="NormalLeft"/>
            </w:pPr>
            <w:r w:rsidRPr="00DE12A3">
              <w:t>375</w:t>
            </w:r>
          </w:p>
        </w:tc>
        <w:tc>
          <w:tcPr>
            <w:tcW w:w="2489" w:type="dxa"/>
            <w:tcBorders>
              <w:top w:val="single" w:sz="2" w:space="0" w:color="auto"/>
              <w:left w:val="single" w:sz="2" w:space="0" w:color="auto"/>
              <w:bottom w:val="single" w:sz="2" w:space="0" w:color="auto"/>
              <w:right w:val="single" w:sz="2" w:space="0" w:color="auto"/>
            </w:tcBorders>
          </w:tcPr>
          <w:p w14:paraId="00B02A24" w14:textId="77777777" w:rsidR="009F4766" w:rsidRPr="00DE12A3" w:rsidRDefault="009F4766" w:rsidP="00C917D6">
            <w:pPr>
              <w:pStyle w:val="NormalLeft"/>
            </w:pPr>
            <w:r w:rsidRPr="00DE12A3">
              <w:t>33</w:t>
            </w:r>
          </w:p>
        </w:tc>
        <w:tc>
          <w:tcPr>
            <w:tcW w:w="2551" w:type="dxa"/>
            <w:tcBorders>
              <w:top w:val="single" w:sz="2" w:space="0" w:color="auto"/>
              <w:left w:val="single" w:sz="2" w:space="0" w:color="auto"/>
              <w:bottom w:val="single" w:sz="2" w:space="0" w:color="auto"/>
              <w:right w:val="single" w:sz="2" w:space="0" w:color="auto"/>
            </w:tcBorders>
          </w:tcPr>
          <w:p w14:paraId="014D5A68" w14:textId="77777777" w:rsidR="009F4766" w:rsidRPr="00DE12A3" w:rsidRDefault="009F4766" w:rsidP="00C917D6">
            <w:pPr>
              <w:pStyle w:val="NormalLeft"/>
            </w:pPr>
            <w:r w:rsidRPr="00DE12A3">
              <w:t>4</w:t>
            </w:r>
          </w:p>
        </w:tc>
      </w:tr>
      <w:tr w:rsidR="00DE12A3" w:rsidRPr="00DE12A3" w14:paraId="6605F726" w14:textId="77777777" w:rsidTr="009F4766">
        <w:tc>
          <w:tcPr>
            <w:tcW w:w="1182" w:type="dxa"/>
            <w:tcBorders>
              <w:top w:val="single" w:sz="2" w:space="0" w:color="auto"/>
              <w:left w:val="single" w:sz="2" w:space="0" w:color="auto"/>
              <w:bottom w:val="single" w:sz="2" w:space="0" w:color="auto"/>
              <w:right w:val="single" w:sz="2" w:space="0" w:color="auto"/>
            </w:tcBorders>
          </w:tcPr>
          <w:p w14:paraId="70D0B415" w14:textId="77777777" w:rsidR="009F4766" w:rsidRPr="00DE12A3" w:rsidRDefault="009F4766" w:rsidP="00C917D6">
            <w:pPr>
              <w:pStyle w:val="NormalLeft"/>
            </w:pPr>
            <w:r w:rsidRPr="00DE12A3">
              <w:t>376</w:t>
            </w:r>
          </w:p>
        </w:tc>
        <w:tc>
          <w:tcPr>
            <w:tcW w:w="2489" w:type="dxa"/>
            <w:tcBorders>
              <w:top w:val="single" w:sz="2" w:space="0" w:color="auto"/>
              <w:left w:val="single" w:sz="2" w:space="0" w:color="auto"/>
              <w:bottom w:val="single" w:sz="2" w:space="0" w:color="auto"/>
              <w:right w:val="single" w:sz="2" w:space="0" w:color="auto"/>
            </w:tcBorders>
          </w:tcPr>
          <w:p w14:paraId="1199751E" w14:textId="77777777" w:rsidR="009F4766" w:rsidRPr="00DE12A3" w:rsidRDefault="009F4766" w:rsidP="00C917D6">
            <w:pPr>
              <w:pStyle w:val="NormalLeft"/>
            </w:pPr>
            <w:r w:rsidRPr="00DE12A3">
              <w:t>34</w:t>
            </w:r>
          </w:p>
        </w:tc>
        <w:tc>
          <w:tcPr>
            <w:tcW w:w="2551" w:type="dxa"/>
            <w:tcBorders>
              <w:top w:val="single" w:sz="2" w:space="0" w:color="auto"/>
              <w:left w:val="single" w:sz="2" w:space="0" w:color="auto"/>
              <w:bottom w:val="single" w:sz="2" w:space="0" w:color="auto"/>
              <w:right w:val="single" w:sz="2" w:space="0" w:color="auto"/>
            </w:tcBorders>
          </w:tcPr>
          <w:p w14:paraId="472EB5EC" w14:textId="77777777" w:rsidR="009F4766" w:rsidRPr="00DE12A3" w:rsidRDefault="009F4766" w:rsidP="00C917D6">
            <w:pPr>
              <w:pStyle w:val="NormalLeft"/>
            </w:pPr>
            <w:r w:rsidRPr="00DE12A3">
              <w:t>5</w:t>
            </w:r>
          </w:p>
        </w:tc>
      </w:tr>
      <w:tr w:rsidR="00DE12A3" w:rsidRPr="00DE12A3" w14:paraId="782767C5" w14:textId="77777777" w:rsidTr="009F4766">
        <w:tc>
          <w:tcPr>
            <w:tcW w:w="1182" w:type="dxa"/>
            <w:tcBorders>
              <w:top w:val="single" w:sz="2" w:space="0" w:color="auto"/>
              <w:left w:val="single" w:sz="2" w:space="0" w:color="auto"/>
              <w:bottom w:val="single" w:sz="2" w:space="0" w:color="auto"/>
              <w:right w:val="single" w:sz="2" w:space="0" w:color="auto"/>
            </w:tcBorders>
          </w:tcPr>
          <w:p w14:paraId="0DE75389" w14:textId="77777777" w:rsidR="009F4766" w:rsidRPr="00DE12A3" w:rsidRDefault="009F4766" w:rsidP="00C917D6">
            <w:pPr>
              <w:pStyle w:val="NormalLeft"/>
            </w:pPr>
            <w:r w:rsidRPr="00DE12A3">
              <w:t>377</w:t>
            </w:r>
          </w:p>
        </w:tc>
        <w:tc>
          <w:tcPr>
            <w:tcW w:w="2489" w:type="dxa"/>
            <w:tcBorders>
              <w:top w:val="single" w:sz="2" w:space="0" w:color="auto"/>
              <w:left w:val="single" w:sz="2" w:space="0" w:color="auto"/>
              <w:bottom w:val="single" w:sz="2" w:space="0" w:color="auto"/>
              <w:right w:val="single" w:sz="2" w:space="0" w:color="auto"/>
            </w:tcBorders>
          </w:tcPr>
          <w:p w14:paraId="7E7C635E" w14:textId="77777777" w:rsidR="009F4766" w:rsidRPr="00DE12A3" w:rsidRDefault="009F4766" w:rsidP="00C917D6">
            <w:pPr>
              <w:pStyle w:val="NormalLeft"/>
            </w:pPr>
            <w:r w:rsidRPr="00DE12A3">
              <w:t>46</w:t>
            </w:r>
          </w:p>
        </w:tc>
        <w:tc>
          <w:tcPr>
            <w:tcW w:w="2551" w:type="dxa"/>
            <w:tcBorders>
              <w:top w:val="single" w:sz="2" w:space="0" w:color="auto"/>
              <w:left w:val="single" w:sz="2" w:space="0" w:color="auto"/>
              <w:bottom w:val="single" w:sz="2" w:space="0" w:color="auto"/>
              <w:right w:val="single" w:sz="2" w:space="0" w:color="auto"/>
            </w:tcBorders>
          </w:tcPr>
          <w:p w14:paraId="04FCFA9F" w14:textId="77777777" w:rsidR="009F4766" w:rsidRPr="00DE12A3" w:rsidRDefault="009F4766" w:rsidP="00C917D6">
            <w:pPr>
              <w:pStyle w:val="NormalLeft"/>
            </w:pPr>
            <w:r w:rsidRPr="00DE12A3">
              <w:t>7</w:t>
            </w:r>
          </w:p>
        </w:tc>
      </w:tr>
      <w:tr w:rsidR="00DE12A3" w:rsidRPr="00DE12A3" w14:paraId="115EEA16" w14:textId="77777777" w:rsidTr="009F4766">
        <w:tc>
          <w:tcPr>
            <w:tcW w:w="1182" w:type="dxa"/>
            <w:tcBorders>
              <w:top w:val="single" w:sz="2" w:space="0" w:color="auto"/>
              <w:left w:val="single" w:sz="2" w:space="0" w:color="auto"/>
              <w:bottom w:val="single" w:sz="2" w:space="0" w:color="auto"/>
              <w:right w:val="single" w:sz="2" w:space="0" w:color="auto"/>
            </w:tcBorders>
          </w:tcPr>
          <w:p w14:paraId="1AC4F1BF" w14:textId="77777777" w:rsidR="009F4766" w:rsidRPr="00DE12A3" w:rsidRDefault="009F4766" w:rsidP="00C917D6">
            <w:pPr>
              <w:pStyle w:val="NormalLeft"/>
            </w:pPr>
            <w:r w:rsidRPr="00DE12A3">
              <w:t>378</w:t>
            </w:r>
          </w:p>
        </w:tc>
        <w:tc>
          <w:tcPr>
            <w:tcW w:w="2489" w:type="dxa"/>
            <w:tcBorders>
              <w:top w:val="single" w:sz="2" w:space="0" w:color="auto"/>
              <w:left w:val="single" w:sz="2" w:space="0" w:color="auto"/>
              <w:bottom w:val="single" w:sz="2" w:space="0" w:color="auto"/>
              <w:right w:val="single" w:sz="2" w:space="0" w:color="auto"/>
            </w:tcBorders>
          </w:tcPr>
          <w:p w14:paraId="107AE58F" w14:textId="77777777" w:rsidR="009F4766" w:rsidRPr="00DE12A3" w:rsidRDefault="009F4766" w:rsidP="00C917D6">
            <w:pPr>
              <w:pStyle w:val="NormalLeft"/>
            </w:pPr>
            <w:r w:rsidRPr="00DE12A3">
              <w:t>57</w:t>
            </w:r>
          </w:p>
        </w:tc>
        <w:tc>
          <w:tcPr>
            <w:tcW w:w="2551" w:type="dxa"/>
            <w:tcBorders>
              <w:top w:val="single" w:sz="2" w:space="0" w:color="auto"/>
              <w:left w:val="single" w:sz="2" w:space="0" w:color="auto"/>
              <w:bottom w:val="single" w:sz="2" w:space="0" w:color="auto"/>
              <w:right w:val="single" w:sz="2" w:space="0" w:color="auto"/>
            </w:tcBorders>
          </w:tcPr>
          <w:p w14:paraId="55C56921" w14:textId="77777777" w:rsidR="009F4766" w:rsidRPr="00DE12A3" w:rsidRDefault="009F4766" w:rsidP="00C917D6">
            <w:pPr>
              <w:pStyle w:val="NormalLeft"/>
            </w:pPr>
            <w:r w:rsidRPr="00DE12A3">
              <w:t>10</w:t>
            </w:r>
          </w:p>
        </w:tc>
      </w:tr>
      <w:tr w:rsidR="00DE12A3" w:rsidRPr="00DE12A3" w14:paraId="11B08C12" w14:textId="77777777" w:rsidTr="009F4766">
        <w:tc>
          <w:tcPr>
            <w:tcW w:w="1182" w:type="dxa"/>
            <w:tcBorders>
              <w:top w:val="single" w:sz="2" w:space="0" w:color="auto"/>
              <w:left w:val="single" w:sz="2" w:space="0" w:color="auto"/>
              <w:bottom w:val="single" w:sz="2" w:space="0" w:color="auto"/>
              <w:right w:val="single" w:sz="2" w:space="0" w:color="auto"/>
            </w:tcBorders>
          </w:tcPr>
          <w:p w14:paraId="01471255" w14:textId="77777777" w:rsidR="009F4766" w:rsidRPr="00DE12A3" w:rsidRDefault="009F4766" w:rsidP="00C917D6">
            <w:pPr>
              <w:pStyle w:val="NormalLeft"/>
            </w:pPr>
            <w:r w:rsidRPr="00DE12A3">
              <w:t>379</w:t>
            </w:r>
          </w:p>
        </w:tc>
        <w:tc>
          <w:tcPr>
            <w:tcW w:w="2489" w:type="dxa"/>
            <w:tcBorders>
              <w:top w:val="single" w:sz="2" w:space="0" w:color="auto"/>
              <w:left w:val="single" w:sz="2" w:space="0" w:color="auto"/>
              <w:bottom w:val="single" w:sz="2" w:space="0" w:color="auto"/>
              <w:right w:val="single" w:sz="2" w:space="0" w:color="auto"/>
            </w:tcBorders>
          </w:tcPr>
          <w:p w14:paraId="1E96ED2B" w14:textId="77777777" w:rsidR="009F4766" w:rsidRPr="00DE12A3" w:rsidRDefault="009F4766" w:rsidP="00C917D6">
            <w:pPr>
              <w:pStyle w:val="NormalLeft"/>
            </w:pPr>
            <w:r w:rsidRPr="00DE12A3">
              <w:t>66</w:t>
            </w:r>
          </w:p>
        </w:tc>
        <w:tc>
          <w:tcPr>
            <w:tcW w:w="2551" w:type="dxa"/>
            <w:tcBorders>
              <w:top w:val="single" w:sz="2" w:space="0" w:color="auto"/>
              <w:left w:val="single" w:sz="2" w:space="0" w:color="auto"/>
              <w:bottom w:val="single" w:sz="2" w:space="0" w:color="auto"/>
              <w:right w:val="single" w:sz="2" w:space="0" w:color="auto"/>
            </w:tcBorders>
          </w:tcPr>
          <w:p w14:paraId="1F155D7F" w14:textId="77777777" w:rsidR="009F4766" w:rsidRPr="00DE12A3" w:rsidRDefault="009F4766" w:rsidP="00C917D6">
            <w:pPr>
              <w:pStyle w:val="NormalLeft"/>
            </w:pPr>
            <w:r w:rsidRPr="00DE12A3">
              <w:t>11</w:t>
            </w:r>
          </w:p>
        </w:tc>
      </w:tr>
      <w:tr w:rsidR="00DE12A3" w:rsidRPr="00DE12A3" w14:paraId="4470E306" w14:textId="77777777" w:rsidTr="009F4766">
        <w:tc>
          <w:tcPr>
            <w:tcW w:w="1182" w:type="dxa"/>
            <w:tcBorders>
              <w:top w:val="single" w:sz="2" w:space="0" w:color="auto"/>
              <w:left w:val="single" w:sz="2" w:space="0" w:color="auto"/>
              <w:bottom w:val="single" w:sz="2" w:space="0" w:color="auto"/>
              <w:right w:val="single" w:sz="2" w:space="0" w:color="auto"/>
            </w:tcBorders>
          </w:tcPr>
          <w:p w14:paraId="3CFA4FD7" w14:textId="77777777" w:rsidR="009F4766" w:rsidRPr="00DE12A3" w:rsidRDefault="009F4766" w:rsidP="00C917D6">
            <w:pPr>
              <w:pStyle w:val="NormalLeft"/>
            </w:pPr>
            <w:r w:rsidRPr="00DE12A3">
              <w:t>380</w:t>
            </w:r>
          </w:p>
        </w:tc>
        <w:tc>
          <w:tcPr>
            <w:tcW w:w="2489" w:type="dxa"/>
            <w:tcBorders>
              <w:top w:val="single" w:sz="2" w:space="0" w:color="auto"/>
              <w:left w:val="single" w:sz="2" w:space="0" w:color="auto"/>
              <w:bottom w:val="single" w:sz="2" w:space="0" w:color="auto"/>
              <w:right w:val="single" w:sz="2" w:space="0" w:color="auto"/>
            </w:tcBorders>
          </w:tcPr>
          <w:p w14:paraId="69D5BD43" w14:textId="77777777" w:rsidR="009F4766" w:rsidRPr="00DE12A3" w:rsidRDefault="009F4766" w:rsidP="00C917D6">
            <w:pPr>
              <w:pStyle w:val="NormalLeft"/>
            </w:pPr>
            <w:r w:rsidRPr="00DE12A3">
              <w:t>75</w:t>
            </w:r>
          </w:p>
        </w:tc>
        <w:tc>
          <w:tcPr>
            <w:tcW w:w="2551" w:type="dxa"/>
            <w:tcBorders>
              <w:top w:val="single" w:sz="2" w:space="0" w:color="auto"/>
              <w:left w:val="single" w:sz="2" w:space="0" w:color="auto"/>
              <w:bottom w:val="single" w:sz="2" w:space="0" w:color="auto"/>
              <w:right w:val="single" w:sz="2" w:space="0" w:color="auto"/>
            </w:tcBorders>
          </w:tcPr>
          <w:p w14:paraId="47CAA6E1" w14:textId="77777777" w:rsidR="009F4766" w:rsidRPr="00DE12A3" w:rsidRDefault="009F4766" w:rsidP="00C917D6">
            <w:pPr>
              <w:pStyle w:val="NormalLeft"/>
            </w:pPr>
            <w:r w:rsidRPr="00DE12A3">
              <w:t>14</w:t>
            </w:r>
          </w:p>
        </w:tc>
      </w:tr>
      <w:tr w:rsidR="00DE12A3" w:rsidRPr="00DE12A3" w14:paraId="37D615A7" w14:textId="77777777" w:rsidTr="009F4766">
        <w:tc>
          <w:tcPr>
            <w:tcW w:w="1182" w:type="dxa"/>
            <w:tcBorders>
              <w:top w:val="single" w:sz="2" w:space="0" w:color="auto"/>
              <w:left w:val="single" w:sz="2" w:space="0" w:color="auto"/>
              <w:bottom w:val="single" w:sz="2" w:space="0" w:color="auto"/>
              <w:right w:val="single" w:sz="2" w:space="0" w:color="auto"/>
            </w:tcBorders>
          </w:tcPr>
          <w:p w14:paraId="39C23C7D" w14:textId="77777777" w:rsidR="009F4766" w:rsidRPr="00DE12A3" w:rsidRDefault="009F4766" w:rsidP="00C917D6">
            <w:pPr>
              <w:pStyle w:val="NormalLeft"/>
            </w:pPr>
            <w:r w:rsidRPr="00DE12A3">
              <w:t>381</w:t>
            </w:r>
          </w:p>
        </w:tc>
        <w:tc>
          <w:tcPr>
            <w:tcW w:w="2489" w:type="dxa"/>
            <w:tcBorders>
              <w:top w:val="single" w:sz="2" w:space="0" w:color="auto"/>
              <w:left w:val="single" w:sz="2" w:space="0" w:color="auto"/>
              <w:bottom w:val="single" w:sz="2" w:space="0" w:color="auto"/>
              <w:right w:val="single" w:sz="2" w:space="0" w:color="auto"/>
            </w:tcBorders>
          </w:tcPr>
          <w:p w14:paraId="6B97630C" w14:textId="77777777" w:rsidR="009F4766" w:rsidRPr="00DE12A3" w:rsidRDefault="009F4766" w:rsidP="00C917D6">
            <w:pPr>
              <w:pStyle w:val="NormalLeft"/>
            </w:pPr>
            <w:r w:rsidRPr="00DE12A3">
              <w:t>79</w:t>
            </w:r>
          </w:p>
        </w:tc>
        <w:tc>
          <w:tcPr>
            <w:tcW w:w="2551" w:type="dxa"/>
            <w:tcBorders>
              <w:top w:val="single" w:sz="2" w:space="0" w:color="auto"/>
              <w:left w:val="single" w:sz="2" w:space="0" w:color="auto"/>
              <w:bottom w:val="single" w:sz="2" w:space="0" w:color="auto"/>
              <w:right w:val="single" w:sz="2" w:space="0" w:color="auto"/>
            </w:tcBorders>
          </w:tcPr>
          <w:p w14:paraId="29BFA2D2" w14:textId="77777777" w:rsidR="009F4766" w:rsidRPr="00DE12A3" w:rsidRDefault="009F4766" w:rsidP="00C917D6">
            <w:pPr>
              <w:pStyle w:val="NormalLeft"/>
            </w:pPr>
            <w:r w:rsidRPr="00DE12A3">
              <w:t>11</w:t>
            </w:r>
          </w:p>
        </w:tc>
      </w:tr>
      <w:tr w:rsidR="00DE12A3" w:rsidRPr="00DE12A3" w14:paraId="4A1339F1" w14:textId="77777777" w:rsidTr="009F4766">
        <w:tc>
          <w:tcPr>
            <w:tcW w:w="1182" w:type="dxa"/>
            <w:tcBorders>
              <w:top w:val="single" w:sz="2" w:space="0" w:color="auto"/>
              <w:left w:val="single" w:sz="2" w:space="0" w:color="auto"/>
              <w:bottom w:val="single" w:sz="2" w:space="0" w:color="auto"/>
              <w:right w:val="single" w:sz="2" w:space="0" w:color="auto"/>
            </w:tcBorders>
          </w:tcPr>
          <w:p w14:paraId="2B096676" w14:textId="77777777" w:rsidR="009F4766" w:rsidRPr="00DE12A3" w:rsidRDefault="009F4766" w:rsidP="00C917D6">
            <w:pPr>
              <w:pStyle w:val="NormalLeft"/>
            </w:pPr>
            <w:r w:rsidRPr="00DE12A3">
              <w:t>382</w:t>
            </w:r>
          </w:p>
        </w:tc>
        <w:tc>
          <w:tcPr>
            <w:tcW w:w="2489" w:type="dxa"/>
            <w:tcBorders>
              <w:top w:val="single" w:sz="2" w:space="0" w:color="auto"/>
              <w:left w:val="single" w:sz="2" w:space="0" w:color="auto"/>
              <w:bottom w:val="single" w:sz="2" w:space="0" w:color="auto"/>
              <w:right w:val="single" w:sz="2" w:space="0" w:color="auto"/>
            </w:tcBorders>
          </w:tcPr>
          <w:p w14:paraId="22AC7896" w14:textId="77777777" w:rsidR="009F4766" w:rsidRPr="00DE12A3" w:rsidRDefault="009F4766" w:rsidP="00C917D6">
            <w:pPr>
              <w:pStyle w:val="NormalLeft"/>
            </w:pPr>
            <w:r w:rsidRPr="00DE12A3">
              <w:t>80</w:t>
            </w:r>
          </w:p>
        </w:tc>
        <w:tc>
          <w:tcPr>
            <w:tcW w:w="2551" w:type="dxa"/>
            <w:tcBorders>
              <w:top w:val="single" w:sz="2" w:space="0" w:color="auto"/>
              <w:left w:val="single" w:sz="2" w:space="0" w:color="auto"/>
              <w:bottom w:val="single" w:sz="2" w:space="0" w:color="auto"/>
              <w:right w:val="single" w:sz="2" w:space="0" w:color="auto"/>
            </w:tcBorders>
          </w:tcPr>
          <w:p w14:paraId="4D9AE36A" w14:textId="77777777" w:rsidR="009F4766" w:rsidRPr="00DE12A3" w:rsidRDefault="009F4766" w:rsidP="00C917D6">
            <w:pPr>
              <w:pStyle w:val="NormalLeft"/>
            </w:pPr>
            <w:r w:rsidRPr="00DE12A3">
              <w:t>16</w:t>
            </w:r>
          </w:p>
        </w:tc>
      </w:tr>
      <w:tr w:rsidR="00DE12A3" w:rsidRPr="00DE12A3" w14:paraId="0A9411D5" w14:textId="77777777" w:rsidTr="009F4766">
        <w:tc>
          <w:tcPr>
            <w:tcW w:w="1182" w:type="dxa"/>
            <w:tcBorders>
              <w:top w:val="single" w:sz="2" w:space="0" w:color="auto"/>
              <w:left w:val="single" w:sz="2" w:space="0" w:color="auto"/>
              <w:bottom w:val="single" w:sz="2" w:space="0" w:color="auto"/>
              <w:right w:val="single" w:sz="2" w:space="0" w:color="auto"/>
            </w:tcBorders>
          </w:tcPr>
          <w:p w14:paraId="5EA2A39F" w14:textId="77777777" w:rsidR="009F4766" w:rsidRPr="00DE12A3" w:rsidRDefault="009F4766" w:rsidP="00C917D6">
            <w:pPr>
              <w:pStyle w:val="NormalLeft"/>
            </w:pPr>
            <w:r w:rsidRPr="00DE12A3">
              <w:t>383</w:t>
            </w:r>
          </w:p>
        </w:tc>
        <w:tc>
          <w:tcPr>
            <w:tcW w:w="2489" w:type="dxa"/>
            <w:tcBorders>
              <w:top w:val="single" w:sz="2" w:space="0" w:color="auto"/>
              <w:left w:val="single" w:sz="2" w:space="0" w:color="auto"/>
              <w:bottom w:val="single" w:sz="2" w:space="0" w:color="auto"/>
              <w:right w:val="single" w:sz="2" w:space="0" w:color="auto"/>
            </w:tcBorders>
          </w:tcPr>
          <w:p w14:paraId="206BF922" w14:textId="77777777" w:rsidR="009F4766" w:rsidRPr="00DE12A3" w:rsidRDefault="009F4766" w:rsidP="00C917D6">
            <w:pPr>
              <w:pStyle w:val="NormalLeft"/>
            </w:pPr>
            <w:r w:rsidRPr="00DE12A3">
              <w:t>92</w:t>
            </w:r>
          </w:p>
        </w:tc>
        <w:tc>
          <w:tcPr>
            <w:tcW w:w="2551" w:type="dxa"/>
            <w:tcBorders>
              <w:top w:val="single" w:sz="2" w:space="0" w:color="auto"/>
              <w:left w:val="single" w:sz="2" w:space="0" w:color="auto"/>
              <w:bottom w:val="single" w:sz="2" w:space="0" w:color="auto"/>
              <w:right w:val="single" w:sz="2" w:space="0" w:color="auto"/>
            </w:tcBorders>
          </w:tcPr>
          <w:p w14:paraId="6941562E" w14:textId="77777777" w:rsidR="009F4766" w:rsidRPr="00DE12A3" w:rsidRDefault="009F4766" w:rsidP="00C917D6">
            <w:pPr>
              <w:pStyle w:val="NormalLeft"/>
            </w:pPr>
            <w:r w:rsidRPr="00DE12A3">
              <w:t>21</w:t>
            </w:r>
          </w:p>
        </w:tc>
      </w:tr>
      <w:tr w:rsidR="00DE12A3" w:rsidRPr="00DE12A3" w14:paraId="3854057A" w14:textId="77777777" w:rsidTr="009F4766">
        <w:tc>
          <w:tcPr>
            <w:tcW w:w="1182" w:type="dxa"/>
            <w:tcBorders>
              <w:top w:val="single" w:sz="2" w:space="0" w:color="auto"/>
              <w:left w:val="single" w:sz="2" w:space="0" w:color="auto"/>
              <w:bottom w:val="single" w:sz="2" w:space="0" w:color="auto"/>
              <w:right w:val="single" w:sz="2" w:space="0" w:color="auto"/>
            </w:tcBorders>
          </w:tcPr>
          <w:p w14:paraId="6D7CDA2A" w14:textId="77777777" w:rsidR="009F4766" w:rsidRPr="00DE12A3" w:rsidRDefault="009F4766" w:rsidP="00C917D6">
            <w:pPr>
              <w:pStyle w:val="NormalLeft"/>
            </w:pPr>
            <w:r w:rsidRPr="00DE12A3">
              <w:t>384</w:t>
            </w:r>
          </w:p>
        </w:tc>
        <w:tc>
          <w:tcPr>
            <w:tcW w:w="2489" w:type="dxa"/>
            <w:tcBorders>
              <w:top w:val="single" w:sz="2" w:space="0" w:color="auto"/>
              <w:left w:val="single" w:sz="2" w:space="0" w:color="auto"/>
              <w:bottom w:val="single" w:sz="2" w:space="0" w:color="auto"/>
              <w:right w:val="single" w:sz="2" w:space="0" w:color="auto"/>
            </w:tcBorders>
          </w:tcPr>
          <w:p w14:paraId="69CA6987" w14:textId="77777777" w:rsidR="009F4766" w:rsidRPr="00DE12A3" w:rsidRDefault="009F4766" w:rsidP="00C917D6">
            <w:pPr>
              <w:pStyle w:val="NormalLeft"/>
            </w:pPr>
            <w:r w:rsidRPr="00DE12A3">
              <w:t>99</w:t>
            </w:r>
          </w:p>
        </w:tc>
        <w:tc>
          <w:tcPr>
            <w:tcW w:w="2551" w:type="dxa"/>
            <w:tcBorders>
              <w:top w:val="single" w:sz="2" w:space="0" w:color="auto"/>
              <w:left w:val="single" w:sz="2" w:space="0" w:color="auto"/>
              <w:bottom w:val="single" w:sz="2" w:space="0" w:color="auto"/>
              <w:right w:val="single" w:sz="2" w:space="0" w:color="auto"/>
            </w:tcBorders>
          </w:tcPr>
          <w:p w14:paraId="153F4C04" w14:textId="77777777" w:rsidR="009F4766" w:rsidRPr="00DE12A3" w:rsidRDefault="009F4766" w:rsidP="00C917D6">
            <w:pPr>
              <w:pStyle w:val="NormalLeft"/>
            </w:pPr>
            <w:r w:rsidRPr="00DE12A3">
              <w:t>16</w:t>
            </w:r>
          </w:p>
        </w:tc>
      </w:tr>
      <w:tr w:rsidR="00DE12A3" w:rsidRPr="00DE12A3" w14:paraId="21ADC298" w14:textId="77777777" w:rsidTr="009F4766">
        <w:tc>
          <w:tcPr>
            <w:tcW w:w="1182" w:type="dxa"/>
            <w:tcBorders>
              <w:top w:val="single" w:sz="2" w:space="0" w:color="auto"/>
              <w:left w:val="single" w:sz="2" w:space="0" w:color="auto"/>
              <w:bottom w:val="single" w:sz="2" w:space="0" w:color="auto"/>
              <w:right w:val="single" w:sz="2" w:space="0" w:color="auto"/>
            </w:tcBorders>
          </w:tcPr>
          <w:p w14:paraId="0A62F2DD" w14:textId="77777777" w:rsidR="009F4766" w:rsidRPr="00DE12A3" w:rsidRDefault="009F4766" w:rsidP="00C917D6">
            <w:pPr>
              <w:pStyle w:val="NormalLeft"/>
            </w:pPr>
            <w:r w:rsidRPr="00DE12A3">
              <w:t>385</w:t>
            </w:r>
          </w:p>
        </w:tc>
        <w:tc>
          <w:tcPr>
            <w:tcW w:w="2489" w:type="dxa"/>
            <w:tcBorders>
              <w:top w:val="single" w:sz="2" w:space="0" w:color="auto"/>
              <w:left w:val="single" w:sz="2" w:space="0" w:color="auto"/>
              <w:bottom w:val="single" w:sz="2" w:space="0" w:color="auto"/>
              <w:right w:val="single" w:sz="2" w:space="0" w:color="auto"/>
            </w:tcBorders>
          </w:tcPr>
          <w:p w14:paraId="110BBE16" w14:textId="77777777" w:rsidR="009F4766" w:rsidRPr="00DE12A3" w:rsidRDefault="009F4766" w:rsidP="00C917D6">
            <w:pPr>
              <w:pStyle w:val="NormalLeft"/>
            </w:pPr>
            <w:r w:rsidRPr="00DE12A3">
              <w:t>83</w:t>
            </w:r>
          </w:p>
        </w:tc>
        <w:tc>
          <w:tcPr>
            <w:tcW w:w="2551" w:type="dxa"/>
            <w:tcBorders>
              <w:top w:val="single" w:sz="2" w:space="0" w:color="auto"/>
              <w:left w:val="single" w:sz="2" w:space="0" w:color="auto"/>
              <w:bottom w:val="single" w:sz="2" w:space="0" w:color="auto"/>
              <w:right w:val="single" w:sz="2" w:space="0" w:color="auto"/>
            </w:tcBorders>
          </w:tcPr>
          <w:p w14:paraId="0A881582" w14:textId="77777777" w:rsidR="009F4766" w:rsidRPr="00DE12A3" w:rsidRDefault="009F4766" w:rsidP="00C917D6">
            <w:pPr>
              <w:pStyle w:val="NormalLeft"/>
            </w:pPr>
            <w:r w:rsidRPr="00DE12A3">
              <w:t>2</w:t>
            </w:r>
          </w:p>
        </w:tc>
      </w:tr>
      <w:tr w:rsidR="00DE12A3" w:rsidRPr="00DE12A3" w14:paraId="36591314" w14:textId="77777777" w:rsidTr="009F4766">
        <w:tc>
          <w:tcPr>
            <w:tcW w:w="1182" w:type="dxa"/>
            <w:tcBorders>
              <w:top w:val="single" w:sz="2" w:space="0" w:color="auto"/>
              <w:left w:val="single" w:sz="2" w:space="0" w:color="auto"/>
              <w:bottom w:val="single" w:sz="2" w:space="0" w:color="auto"/>
              <w:right w:val="single" w:sz="2" w:space="0" w:color="auto"/>
            </w:tcBorders>
          </w:tcPr>
          <w:p w14:paraId="220EF4B2" w14:textId="77777777" w:rsidR="009F4766" w:rsidRPr="00DE12A3" w:rsidRDefault="009F4766" w:rsidP="00C917D6">
            <w:pPr>
              <w:pStyle w:val="NormalLeft"/>
            </w:pPr>
            <w:r w:rsidRPr="00DE12A3">
              <w:t>386</w:t>
            </w:r>
          </w:p>
        </w:tc>
        <w:tc>
          <w:tcPr>
            <w:tcW w:w="2489" w:type="dxa"/>
            <w:tcBorders>
              <w:top w:val="single" w:sz="2" w:space="0" w:color="auto"/>
              <w:left w:val="single" w:sz="2" w:space="0" w:color="auto"/>
              <w:bottom w:val="single" w:sz="2" w:space="0" w:color="auto"/>
              <w:right w:val="single" w:sz="2" w:space="0" w:color="auto"/>
            </w:tcBorders>
          </w:tcPr>
          <w:p w14:paraId="32CE2256" w14:textId="77777777" w:rsidR="009F4766" w:rsidRPr="00DE12A3" w:rsidRDefault="009F4766" w:rsidP="00C917D6">
            <w:pPr>
              <w:pStyle w:val="NormalLeft"/>
            </w:pPr>
            <w:r w:rsidRPr="00DE12A3">
              <w:t>71</w:t>
            </w:r>
          </w:p>
        </w:tc>
        <w:tc>
          <w:tcPr>
            <w:tcW w:w="2551" w:type="dxa"/>
            <w:tcBorders>
              <w:top w:val="single" w:sz="2" w:space="0" w:color="auto"/>
              <w:left w:val="single" w:sz="2" w:space="0" w:color="auto"/>
              <w:bottom w:val="single" w:sz="2" w:space="0" w:color="auto"/>
              <w:right w:val="single" w:sz="2" w:space="0" w:color="auto"/>
            </w:tcBorders>
          </w:tcPr>
          <w:p w14:paraId="290816A2" w14:textId="77777777" w:rsidR="009F4766" w:rsidRPr="00DE12A3" w:rsidRDefault="009F4766" w:rsidP="00C917D6">
            <w:pPr>
              <w:pStyle w:val="NormalLeft"/>
            </w:pPr>
            <w:r w:rsidRPr="00DE12A3">
              <w:t>2</w:t>
            </w:r>
          </w:p>
        </w:tc>
      </w:tr>
      <w:tr w:rsidR="00DE12A3" w:rsidRPr="00DE12A3" w14:paraId="1DAD2E03" w14:textId="77777777" w:rsidTr="009F4766">
        <w:tc>
          <w:tcPr>
            <w:tcW w:w="1182" w:type="dxa"/>
            <w:tcBorders>
              <w:top w:val="single" w:sz="2" w:space="0" w:color="auto"/>
              <w:left w:val="single" w:sz="2" w:space="0" w:color="auto"/>
              <w:bottom w:val="single" w:sz="2" w:space="0" w:color="auto"/>
              <w:right w:val="single" w:sz="2" w:space="0" w:color="auto"/>
            </w:tcBorders>
          </w:tcPr>
          <w:p w14:paraId="123DB205" w14:textId="77777777" w:rsidR="009F4766" w:rsidRPr="00DE12A3" w:rsidRDefault="009F4766" w:rsidP="00C917D6">
            <w:pPr>
              <w:pStyle w:val="NormalLeft"/>
            </w:pPr>
            <w:r w:rsidRPr="00DE12A3">
              <w:lastRenderedPageBreak/>
              <w:t>387</w:t>
            </w:r>
          </w:p>
        </w:tc>
        <w:tc>
          <w:tcPr>
            <w:tcW w:w="2489" w:type="dxa"/>
            <w:tcBorders>
              <w:top w:val="single" w:sz="2" w:space="0" w:color="auto"/>
              <w:left w:val="single" w:sz="2" w:space="0" w:color="auto"/>
              <w:bottom w:val="single" w:sz="2" w:space="0" w:color="auto"/>
              <w:right w:val="single" w:sz="2" w:space="0" w:color="auto"/>
            </w:tcBorders>
          </w:tcPr>
          <w:p w14:paraId="63E335CB" w14:textId="77777777" w:rsidR="009F4766" w:rsidRPr="00DE12A3" w:rsidRDefault="009F4766" w:rsidP="00C917D6">
            <w:pPr>
              <w:pStyle w:val="NormalLeft"/>
            </w:pPr>
            <w:r w:rsidRPr="00DE12A3">
              <w:t>69</w:t>
            </w:r>
          </w:p>
        </w:tc>
        <w:tc>
          <w:tcPr>
            <w:tcW w:w="2551" w:type="dxa"/>
            <w:tcBorders>
              <w:top w:val="single" w:sz="2" w:space="0" w:color="auto"/>
              <w:left w:val="single" w:sz="2" w:space="0" w:color="auto"/>
              <w:bottom w:val="single" w:sz="2" w:space="0" w:color="auto"/>
              <w:right w:val="single" w:sz="2" w:space="0" w:color="auto"/>
            </w:tcBorders>
          </w:tcPr>
          <w:p w14:paraId="1E938DA1" w14:textId="77777777" w:rsidR="009F4766" w:rsidRPr="00DE12A3" w:rsidRDefault="009F4766" w:rsidP="00C917D6">
            <w:pPr>
              <w:pStyle w:val="NormalLeft"/>
            </w:pPr>
            <w:r w:rsidRPr="00DE12A3">
              <w:t>4</w:t>
            </w:r>
          </w:p>
        </w:tc>
      </w:tr>
      <w:tr w:rsidR="00DE12A3" w:rsidRPr="00DE12A3" w14:paraId="28464714" w14:textId="77777777" w:rsidTr="009F4766">
        <w:tc>
          <w:tcPr>
            <w:tcW w:w="1182" w:type="dxa"/>
            <w:tcBorders>
              <w:top w:val="single" w:sz="2" w:space="0" w:color="auto"/>
              <w:left w:val="single" w:sz="2" w:space="0" w:color="auto"/>
              <w:bottom w:val="single" w:sz="2" w:space="0" w:color="auto"/>
              <w:right w:val="single" w:sz="2" w:space="0" w:color="auto"/>
            </w:tcBorders>
          </w:tcPr>
          <w:p w14:paraId="17CAD85F" w14:textId="77777777" w:rsidR="009F4766" w:rsidRPr="00DE12A3" w:rsidRDefault="009F4766" w:rsidP="00C917D6">
            <w:pPr>
              <w:pStyle w:val="NormalLeft"/>
            </w:pPr>
            <w:r w:rsidRPr="00DE12A3">
              <w:t>388</w:t>
            </w:r>
          </w:p>
        </w:tc>
        <w:tc>
          <w:tcPr>
            <w:tcW w:w="2489" w:type="dxa"/>
            <w:tcBorders>
              <w:top w:val="single" w:sz="2" w:space="0" w:color="auto"/>
              <w:left w:val="single" w:sz="2" w:space="0" w:color="auto"/>
              <w:bottom w:val="single" w:sz="2" w:space="0" w:color="auto"/>
              <w:right w:val="single" w:sz="2" w:space="0" w:color="auto"/>
            </w:tcBorders>
          </w:tcPr>
          <w:p w14:paraId="5BDB7F97" w14:textId="77777777" w:rsidR="009F4766" w:rsidRPr="00DE12A3" w:rsidRDefault="009F4766" w:rsidP="00C917D6">
            <w:pPr>
              <w:pStyle w:val="NormalLeft"/>
            </w:pPr>
            <w:r w:rsidRPr="00DE12A3">
              <w:t>67</w:t>
            </w:r>
          </w:p>
        </w:tc>
        <w:tc>
          <w:tcPr>
            <w:tcW w:w="2551" w:type="dxa"/>
            <w:tcBorders>
              <w:top w:val="single" w:sz="2" w:space="0" w:color="auto"/>
              <w:left w:val="single" w:sz="2" w:space="0" w:color="auto"/>
              <w:bottom w:val="single" w:sz="2" w:space="0" w:color="auto"/>
              <w:right w:val="single" w:sz="2" w:space="0" w:color="auto"/>
            </w:tcBorders>
          </w:tcPr>
          <w:p w14:paraId="0EBA9DD9" w14:textId="77777777" w:rsidR="009F4766" w:rsidRPr="00DE12A3" w:rsidRDefault="009F4766" w:rsidP="00C917D6">
            <w:pPr>
              <w:pStyle w:val="NormalLeft"/>
            </w:pPr>
            <w:r w:rsidRPr="00DE12A3">
              <w:t>4</w:t>
            </w:r>
          </w:p>
        </w:tc>
      </w:tr>
      <w:tr w:rsidR="00DE12A3" w:rsidRPr="00DE12A3" w14:paraId="7DB7309A" w14:textId="77777777" w:rsidTr="009F4766">
        <w:tc>
          <w:tcPr>
            <w:tcW w:w="1182" w:type="dxa"/>
            <w:tcBorders>
              <w:top w:val="single" w:sz="2" w:space="0" w:color="auto"/>
              <w:left w:val="single" w:sz="2" w:space="0" w:color="auto"/>
              <w:bottom w:val="single" w:sz="2" w:space="0" w:color="auto"/>
              <w:right w:val="single" w:sz="2" w:space="0" w:color="auto"/>
            </w:tcBorders>
          </w:tcPr>
          <w:p w14:paraId="2B219B6A" w14:textId="77777777" w:rsidR="009F4766" w:rsidRPr="00DE12A3" w:rsidRDefault="009F4766" w:rsidP="00C917D6">
            <w:pPr>
              <w:pStyle w:val="NormalLeft"/>
            </w:pPr>
            <w:r w:rsidRPr="00DE12A3">
              <w:t>389</w:t>
            </w:r>
          </w:p>
        </w:tc>
        <w:tc>
          <w:tcPr>
            <w:tcW w:w="2489" w:type="dxa"/>
            <w:tcBorders>
              <w:top w:val="single" w:sz="2" w:space="0" w:color="auto"/>
              <w:left w:val="single" w:sz="2" w:space="0" w:color="auto"/>
              <w:bottom w:val="single" w:sz="2" w:space="0" w:color="auto"/>
              <w:right w:val="single" w:sz="2" w:space="0" w:color="auto"/>
            </w:tcBorders>
          </w:tcPr>
          <w:p w14:paraId="4354007B" w14:textId="77777777" w:rsidR="009F4766" w:rsidRPr="00DE12A3" w:rsidRDefault="009F4766" w:rsidP="00C917D6">
            <w:pPr>
              <w:pStyle w:val="NormalLeft"/>
            </w:pPr>
            <w:r w:rsidRPr="00DE12A3">
              <w:t>74</w:t>
            </w:r>
          </w:p>
        </w:tc>
        <w:tc>
          <w:tcPr>
            <w:tcW w:w="2551" w:type="dxa"/>
            <w:tcBorders>
              <w:top w:val="single" w:sz="2" w:space="0" w:color="auto"/>
              <w:left w:val="single" w:sz="2" w:space="0" w:color="auto"/>
              <w:bottom w:val="single" w:sz="2" w:space="0" w:color="auto"/>
              <w:right w:val="single" w:sz="2" w:space="0" w:color="auto"/>
            </w:tcBorders>
          </w:tcPr>
          <w:p w14:paraId="08A359C3" w14:textId="77777777" w:rsidR="009F4766" w:rsidRPr="00DE12A3" w:rsidRDefault="009F4766" w:rsidP="00C917D6">
            <w:pPr>
              <w:pStyle w:val="NormalLeft"/>
            </w:pPr>
            <w:r w:rsidRPr="00DE12A3">
              <w:t>16</w:t>
            </w:r>
          </w:p>
        </w:tc>
      </w:tr>
      <w:tr w:rsidR="00DE12A3" w:rsidRPr="00DE12A3" w14:paraId="1105E74E" w14:textId="77777777" w:rsidTr="009F4766">
        <w:tc>
          <w:tcPr>
            <w:tcW w:w="1182" w:type="dxa"/>
            <w:tcBorders>
              <w:top w:val="single" w:sz="2" w:space="0" w:color="auto"/>
              <w:left w:val="single" w:sz="2" w:space="0" w:color="auto"/>
              <w:bottom w:val="single" w:sz="2" w:space="0" w:color="auto"/>
              <w:right w:val="single" w:sz="2" w:space="0" w:color="auto"/>
            </w:tcBorders>
          </w:tcPr>
          <w:p w14:paraId="77D08EEF" w14:textId="77777777" w:rsidR="009F4766" w:rsidRPr="00DE12A3" w:rsidRDefault="009F4766" w:rsidP="00C917D6">
            <w:pPr>
              <w:pStyle w:val="NormalLeft"/>
            </w:pPr>
            <w:r w:rsidRPr="00DE12A3">
              <w:t>390</w:t>
            </w:r>
          </w:p>
        </w:tc>
        <w:tc>
          <w:tcPr>
            <w:tcW w:w="2489" w:type="dxa"/>
            <w:tcBorders>
              <w:top w:val="single" w:sz="2" w:space="0" w:color="auto"/>
              <w:left w:val="single" w:sz="2" w:space="0" w:color="auto"/>
              <w:bottom w:val="single" w:sz="2" w:space="0" w:color="auto"/>
              <w:right w:val="single" w:sz="2" w:space="0" w:color="auto"/>
            </w:tcBorders>
          </w:tcPr>
          <w:p w14:paraId="170864EE" w14:textId="77777777" w:rsidR="009F4766" w:rsidRPr="00DE12A3" w:rsidRDefault="009F4766" w:rsidP="00C917D6">
            <w:pPr>
              <w:pStyle w:val="NormalLeft"/>
            </w:pPr>
            <w:r w:rsidRPr="00DE12A3">
              <w:t>86</w:t>
            </w:r>
          </w:p>
        </w:tc>
        <w:tc>
          <w:tcPr>
            <w:tcW w:w="2551" w:type="dxa"/>
            <w:tcBorders>
              <w:top w:val="single" w:sz="2" w:space="0" w:color="auto"/>
              <w:left w:val="single" w:sz="2" w:space="0" w:color="auto"/>
              <w:bottom w:val="single" w:sz="2" w:space="0" w:color="auto"/>
              <w:right w:val="single" w:sz="2" w:space="0" w:color="auto"/>
            </w:tcBorders>
          </w:tcPr>
          <w:p w14:paraId="3814CCE9" w14:textId="77777777" w:rsidR="009F4766" w:rsidRPr="00DE12A3" w:rsidRDefault="009F4766" w:rsidP="00C917D6">
            <w:pPr>
              <w:pStyle w:val="NormalLeft"/>
            </w:pPr>
            <w:r w:rsidRPr="00DE12A3">
              <w:t>25</w:t>
            </w:r>
          </w:p>
        </w:tc>
      </w:tr>
      <w:tr w:rsidR="00DE12A3" w:rsidRPr="00DE12A3" w14:paraId="2C1F0683" w14:textId="77777777" w:rsidTr="009F4766">
        <w:tc>
          <w:tcPr>
            <w:tcW w:w="1182" w:type="dxa"/>
            <w:tcBorders>
              <w:top w:val="single" w:sz="2" w:space="0" w:color="auto"/>
              <w:left w:val="single" w:sz="2" w:space="0" w:color="auto"/>
              <w:bottom w:val="single" w:sz="2" w:space="0" w:color="auto"/>
              <w:right w:val="single" w:sz="2" w:space="0" w:color="auto"/>
            </w:tcBorders>
          </w:tcPr>
          <w:p w14:paraId="2A875AF4" w14:textId="77777777" w:rsidR="009F4766" w:rsidRPr="00DE12A3" w:rsidRDefault="009F4766" w:rsidP="00C917D6">
            <w:pPr>
              <w:pStyle w:val="NormalLeft"/>
            </w:pPr>
            <w:r w:rsidRPr="00DE12A3">
              <w:t>391</w:t>
            </w:r>
          </w:p>
        </w:tc>
        <w:tc>
          <w:tcPr>
            <w:tcW w:w="2489" w:type="dxa"/>
            <w:tcBorders>
              <w:top w:val="single" w:sz="2" w:space="0" w:color="auto"/>
              <w:left w:val="single" w:sz="2" w:space="0" w:color="auto"/>
              <w:bottom w:val="single" w:sz="2" w:space="0" w:color="auto"/>
              <w:right w:val="single" w:sz="2" w:space="0" w:color="auto"/>
            </w:tcBorders>
          </w:tcPr>
          <w:p w14:paraId="25B8FE49" w14:textId="77777777" w:rsidR="009F4766" w:rsidRPr="00DE12A3" w:rsidRDefault="009F4766" w:rsidP="00C917D6">
            <w:pPr>
              <w:pStyle w:val="NormalLeft"/>
            </w:pPr>
            <w:r w:rsidRPr="00DE12A3">
              <w:t>97</w:t>
            </w:r>
          </w:p>
        </w:tc>
        <w:tc>
          <w:tcPr>
            <w:tcW w:w="2551" w:type="dxa"/>
            <w:tcBorders>
              <w:top w:val="single" w:sz="2" w:space="0" w:color="auto"/>
              <w:left w:val="single" w:sz="2" w:space="0" w:color="auto"/>
              <w:bottom w:val="single" w:sz="2" w:space="0" w:color="auto"/>
              <w:right w:val="single" w:sz="2" w:space="0" w:color="auto"/>
            </w:tcBorders>
          </w:tcPr>
          <w:p w14:paraId="45000079" w14:textId="77777777" w:rsidR="009F4766" w:rsidRPr="00DE12A3" w:rsidRDefault="009F4766" w:rsidP="00C917D6">
            <w:pPr>
              <w:pStyle w:val="NormalLeft"/>
            </w:pPr>
            <w:r w:rsidRPr="00DE12A3">
              <w:t>28</w:t>
            </w:r>
          </w:p>
        </w:tc>
      </w:tr>
      <w:tr w:rsidR="00DE12A3" w:rsidRPr="00DE12A3" w14:paraId="50474203" w14:textId="77777777" w:rsidTr="009F4766">
        <w:tc>
          <w:tcPr>
            <w:tcW w:w="1182" w:type="dxa"/>
            <w:tcBorders>
              <w:top w:val="single" w:sz="2" w:space="0" w:color="auto"/>
              <w:left w:val="single" w:sz="2" w:space="0" w:color="auto"/>
              <w:bottom w:val="single" w:sz="2" w:space="0" w:color="auto"/>
              <w:right w:val="single" w:sz="2" w:space="0" w:color="auto"/>
            </w:tcBorders>
          </w:tcPr>
          <w:p w14:paraId="3D49A04A" w14:textId="77777777" w:rsidR="009F4766" w:rsidRPr="00DE12A3" w:rsidRDefault="009F4766" w:rsidP="00C917D6">
            <w:pPr>
              <w:pStyle w:val="NormalLeft"/>
            </w:pPr>
            <w:r w:rsidRPr="00DE12A3">
              <w:t>392</w:t>
            </w:r>
          </w:p>
        </w:tc>
        <w:tc>
          <w:tcPr>
            <w:tcW w:w="2489" w:type="dxa"/>
            <w:tcBorders>
              <w:top w:val="single" w:sz="2" w:space="0" w:color="auto"/>
              <w:left w:val="single" w:sz="2" w:space="0" w:color="auto"/>
              <w:bottom w:val="single" w:sz="2" w:space="0" w:color="auto"/>
              <w:right w:val="single" w:sz="2" w:space="0" w:color="auto"/>
            </w:tcBorders>
          </w:tcPr>
          <w:p w14:paraId="4C970269" w14:textId="77777777" w:rsidR="009F4766" w:rsidRPr="00DE12A3" w:rsidRDefault="009F4766" w:rsidP="00C917D6">
            <w:pPr>
              <w:pStyle w:val="NormalLeft"/>
            </w:pPr>
            <w:r w:rsidRPr="00DE12A3">
              <w:t>100</w:t>
            </w:r>
          </w:p>
        </w:tc>
        <w:tc>
          <w:tcPr>
            <w:tcW w:w="2551" w:type="dxa"/>
            <w:tcBorders>
              <w:top w:val="single" w:sz="2" w:space="0" w:color="auto"/>
              <w:left w:val="single" w:sz="2" w:space="0" w:color="auto"/>
              <w:bottom w:val="single" w:sz="2" w:space="0" w:color="auto"/>
              <w:right w:val="single" w:sz="2" w:space="0" w:color="auto"/>
            </w:tcBorders>
          </w:tcPr>
          <w:p w14:paraId="58445394" w14:textId="77777777" w:rsidR="009F4766" w:rsidRPr="00DE12A3" w:rsidRDefault="009F4766" w:rsidP="00C917D6">
            <w:pPr>
              <w:pStyle w:val="NormalLeft"/>
            </w:pPr>
            <w:r w:rsidRPr="00DE12A3">
              <w:t>15</w:t>
            </w:r>
          </w:p>
        </w:tc>
      </w:tr>
      <w:tr w:rsidR="00DE12A3" w:rsidRPr="00DE12A3" w14:paraId="2BCB9CD0" w14:textId="77777777" w:rsidTr="009F4766">
        <w:tc>
          <w:tcPr>
            <w:tcW w:w="1182" w:type="dxa"/>
            <w:tcBorders>
              <w:top w:val="single" w:sz="2" w:space="0" w:color="auto"/>
              <w:left w:val="single" w:sz="2" w:space="0" w:color="auto"/>
              <w:bottom w:val="single" w:sz="2" w:space="0" w:color="auto"/>
              <w:right w:val="single" w:sz="2" w:space="0" w:color="auto"/>
            </w:tcBorders>
          </w:tcPr>
          <w:p w14:paraId="58BC407C" w14:textId="77777777" w:rsidR="009F4766" w:rsidRPr="00DE12A3" w:rsidRDefault="009F4766" w:rsidP="00C917D6">
            <w:pPr>
              <w:pStyle w:val="NormalLeft"/>
            </w:pPr>
            <w:r w:rsidRPr="00DE12A3">
              <w:t>393</w:t>
            </w:r>
          </w:p>
        </w:tc>
        <w:tc>
          <w:tcPr>
            <w:tcW w:w="2489" w:type="dxa"/>
            <w:tcBorders>
              <w:top w:val="single" w:sz="2" w:space="0" w:color="auto"/>
              <w:left w:val="single" w:sz="2" w:space="0" w:color="auto"/>
              <w:bottom w:val="single" w:sz="2" w:space="0" w:color="auto"/>
              <w:right w:val="single" w:sz="2" w:space="0" w:color="auto"/>
            </w:tcBorders>
          </w:tcPr>
          <w:p w14:paraId="4902B541" w14:textId="77777777" w:rsidR="009F4766" w:rsidRPr="00DE12A3" w:rsidRDefault="009F4766" w:rsidP="00C917D6">
            <w:pPr>
              <w:pStyle w:val="NormalLeft"/>
            </w:pPr>
            <w:r w:rsidRPr="00DE12A3">
              <w:t>83</w:t>
            </w:r>
          </w:p>
        </w:tc>
        <w:tc>
          <w:tcPr>
            <w:tcW w:w="2551" w:type="dxa"/>
            <w:tcBorders>
              <w:top w:val="single" w:sz="2" w:space="0" w:color="auto"/>
              <w:left w:val="single" w:sz="2" w:space="0" w:color="auto"/>
              <w:bottom w:val="single" w:sz="2" w:space="0" w:color="auto"/>
              <w:right w:val="single" w:sz="2" w:space="0" w:color="auto"/>
            </w:tcBorders>
          </w:tcPr>
          <w:p w14:paraId="07F06126" w14:textId="77777777" w:rsidR="009F4766" w:rsidRPr="00DE12A3" w:rsidRDefault="009F4766" w:rsidP="00C917D6">
            <w:pPr>
              <w:pStyle w:val="NormalLeft"/>
            </w:pPr>
            <w:r w:rsidRPr="00DE12A3">
              <w:t>2</w:t>
            </w:r>
          </w:p>
        </w:tc>
      </w:tr>
      <w:tr w:rsidR="00DE12A3" w:rsidRPr="00DE12A3" w14:paraId="1901598C" w14:textId="77777777" w:rsidTr="009F4766">
        <w:tc>
          <w:tcPr>
            <w:tcW w:w="1182" w:type="dxa"/>
            <w:tcBorders>
              <w:top w:val="single" w:sz="2" w:space="0" w:color="auto"/>
              <w:left w:val="single" w:sz="2" w:space="0" w:color="auto"/>
              <w:bottom w:val="single" w:sz="2" w:space="0" w:color="auto"/>
              <w:right w:val="single" w:sz="2" w:space="0" w:color="auto"/>
            </w:tcBorders>
          </w:tcPr>
          <w:p w14:paraId="3D4B9F45" w14:textId="77777777" w:rsidR="009F4766" w:rsidRPr="00DE12A3" w:rsidRDefault="009F4766" w:rsidP="00C917D6">
            <w:pPr>
              <w:pStyle w:val="NormalLeft"/>
            </w:pPr>
            <w:r w:rsidRPr="00DE12A3">
              <w:t>394</w:t>
            </w:r>
          </w:p>
        </w:tc>
        <w:tc>
          <w:tcPr>
            <w:tcW w:w="2489" w:type="dxa"/>
            <w:tcBorders>
              <w:top w:val="single" w:sz="2" w:space="0" w:color="auto"/>
              <w:left w:val="single" w:sz="2" w:space="0" w:color="auto"/>
              <w:bottom w:val="single" w:sz="2" w:space="0" w:color="auto"/>
              <w:right w:val="single" w:sz="2" w:space="0" w:color="auto"/>
            </w:tcBorders>
          </w:tcPr>
          <w:p w14:paraId="1929ED64" w14:textId="77777777" w:rsidR="009F4766" w:rsidRPr="00DE12A3" w:rsidRDefault="009F4766" w:rsidP="00C917D6">
            <w:pPr>
              <w:pStyle w:val="NormalLeft"/>
            </w:pPr>
            <w:r w:rsidRPr="00DE12A3">
              <w:t>62</w:t>
            </w:r>
          </w:p>
        </w:tc>
        <w:tc>
          <w:tcPr>
            <w:tcW w:w="2551" w:type="dxa"/>
            <w:tcBorders>
              <w:top w:val="single" w:sz="2" w:space="0" w:color="auto"/>
              <w:left w:val="single" w:sz="2" w:space="0" w:color="auto"/>
              <w:bottom w:val="single" w:sz="2" w:space="0" w:color="auto"/>
              <w:right w:val="single" w:sz="2" w:space="0" w:color="auto"/>
            </w:tcBorders>
          </w:tcPr>
          <w:p w14:paraId="7884C834" w14:textId="77777777" w:rsidR="009F4766" w:rsidRPr="00DE12A3" w:rsidRDefault="009F4766" w:rsidP="00C917D6">
            <w:pPr>
              <w:pStyle w:val="NormalLeft"/>
            </w:pPr>
            <w:r w:rsidRPr="00DE12A3">
              <w:t>4</w:t>
            </w:r>
          </w:p>
        </w:tc>
      </w:tr>
      <w:tr w:rsidR="00DE12A3" w:rsidRPr="00DE12A3" w14:paraId="012BACF3" w14:textId="77777777" w:rsidTr="009F4766">
        <w:tc>
          <w:tcPr>
            <w:tcW w:w="1182" w:type="dxa"/>
            <w:tcBorders>
              <w:top w:val="single" w:sz="2" w:space="0" w:color="auto"/>
              <w:left w:val="single" w:sz="2" w:space="0" w:color="auto"/>
              <w:bottom w:val="single" w:sz="2" w:space="0" w:color="auto"/>
              <w:right w:val="single" w:sz="2" w:space="0" w:color="auto"/>
            </w:tcBorders>
          </w:tcPr>
          <w:p w14:paraId="63D4FDA4" w14:textId="77777777" w:rsidR="009F4766" w:rsidRPr="00DE12A3" w:rsidRDefault="009F4766" w:rsidP="00C917D6">
            <w:pPr>
              <w:pStyle w:val="NormalLeft"/>
            </w:pPr>
            <w:r w:rsidRPr="00DE12A3">
              <w:t>395</w:t>
            </w:r>
          </w:p>
        </w:tc>
        <w:tc>
          <w:tcPr>
            <w:tcW w:w="2489" w:type="dxa"/>
            <w:tcBorders>
              <w:top w:val="single" w:sz="2" w:space="0" w:color="auto"/>
              <w:left w:val="single" w:sz="2" w:space="0" w:color="auto"/>
              <w:bottom w:val="single" w:sz="2" w:space="0" w:color="auto"/>
              <w:right w:val="single" w:sz="2" w:space="0" w:color="auto"/>
            </w:tcBorders>
          </w:tcPr>
          <w:p w14:paraId="7D1355BD" w14:textId="77777777" w:rsidR="009F4766" w:rsidRPr="00DE12A3" w:rsidRDefault="009F4766" w:rsidP="00C917D6">
            <w:pPr>
              <w:pStyle w:val="NormalLeft"/>
            </w:pPr>
            <w:r w:rsidRPr="00DE12A3">
              <w:t>40</w:t>
            </w:r>
          </w:p>
        </w:tc>
        <w:tc>
          <w:tcPr>
            <w:tcW w:w="2551" w:type="dxa"/>
            <w:tcBorders>
              <w:top w:val="single" w:sz="2" w:space="0" w:color="auto"/>
              <w:left w:val="single" w:sz="2" w:space="0" w:color="auto"/>
              <w:bottom w:val="single" w:sz="2" w:space="0" w:color="auto"/>
              <w:right w:val="single" w:sz="2" w:space="0" w:color="auto"/>
            </w:tcBorders>
          </w:tcPr>
          <w:p w14:paraId="69CD39B4" w14:textId="77777777" w:rsidR="009F4766" w:rsidRPr="00DE12A3" w:rsidRDefault="009F4766" w:rsidP="00C917D6">
            <w:pPr>
              <w:pStyle w:val="NormalLeft"/>
            </w:pPr>
            <w:r w:rsidRPr="00DE12A3">
              <w:t>6</w:t>
            </w:r>
          </w:p>
        </w:tc>
      </w:tr>
      <w:tr w:rsidR="00DE12A3" w:rsidRPr="00DE12A3" w14:paraId="77238CDA" w14:textId="77777777" w:rsidTr="009F4766">
        <w:tc>
          <w:tcPr>
            <w:tcW w:w="1182" w:type="dxa"/>
            <w:tcBorders>
              <w:top w:val="single" w:sz="2" w:space="0" w:color="auto"/>
              <w:left w:val="single" w:sz="2" w:space="0" w:color="auto"/>
              <w:bottom w:val="single" w:sz="2" w:space="0" w:color="auto"/>
              <w:right w:val="single" w:sz="2" w:space="0" w:color="auto"/>
            </w:tcBorders>
          </w:tcPr>
          <w:p w14:paraId="039691BD" w14:textId="77777777" w:rsidR="009F4766" w:rsidRPr="00DE12A3" w:rsidRDefault="009F4766" w:rsidP="00C917D6">
            <w:pPr>
              <w:pStyle w:val="NormalLeft"/>
            </w:pPr>
            <w:r w:rsidRPr="00DE12A3">
              <w:t>396</w:t>
            </w:r>
          </w:p>
        </w:tc>
        <w:tc>
          <w:tcPr>
            <w:tcW w:w="2489" w:type="dxa"/>
            <w:tcBorders>
              <w:top w:val="single" w:sz="2" w:space="0" w:color="auto"/>
              <w:left w:val="single" w:sz="2" w:space="0" w:color="auto"/>
              <w:bottom w:val="single" w:sz="2" w:space="0" w:color="auto"/>
              <w:right w:val="single" w:sz="2" w:space="0" w:color="auto"/>
            </w:tcBorders>
          </w:tcPr>
          <w:p w14:paraId="4261C0A0" w14:textId="77777777" w:rsidR="009F4766" w:rsidRPr="00DE12A3" w:rsidRDefault="009F4766" w:rsidP="00C917D6">
            <w:pPr>
              <w:pStyle w:val="NormalLeft"/>
            </w:pPr>
            <w:r w:rsidRPr="00DE12A3">
              <w:t>49</w:t>
            </w:r>
          </w:p>
        </w:tc>
        <w:tc>
          <w:tcPr>
            <w:tcW w:w="2551" w:type="dxa"/>
            <w:tcBorders>
              <w:top w:val="single" w:sz="2" w:space="0" w:color="auto"/>
              <w:left w:val="single" w:sz="2" w:space="0" w:color="auto"/>
              <w:bottom w:val="single" w:sz="2" w:space="0" w:color="auto"/>
              <w:right w:val="single" w:sz="2" w:space="0" w:color="auto"/>
            </w:tcBorders>
          </w:tcPr>
          <w:p w14:paraId="3B278B9B" w14:textId="77777777" w:rsidR="009F4766" w:rsidRPr="00DE12A3" w:rsidRDefault="009F4766" w:rsidP="00C917D6">
            <w:pPr>
              <w:pStyle w:val="NormalLeft"/>
            </w:pPr>
            <w:r w:rsidRPr="00DE12A3">
              <w:t>10</w:t>
            </w:r>
          </w:p>
        </w:tc>
      </w:tr>
      <w:tr w:rsidR="00DE12A3" w:rsidRPr="00DE12A3" w14:paraId="6C19E3A8" w14:textId="77777777" w:rsidTr="009F4766">
        <w:tc>
          <w:tcPr>
            <w:tcW w:w="1182" w:type="dxa"/>
            <w:tcBorders>
              <w:top w:val="single" w:sz="2" w:space="0" w:color="auto"/>
              <w:left w:val="single" w:sz="2" w:space="0" w:color="auto"/>
              <w:bottom w:val="single" w:sz="2" w:space="0" w:color="auto"/>
              <w:right w:val="single" w:sz="2" w:space="0" w:color="auto"/>
            </w:tcBorders>
          </w:tcPr>
          <w:p w14:paraId="29DF7557" w14:textId="77777777" w:rsidR="009F4766" w:rsidRPr="00DE12A3" w:rsidRDefault="009F4766" w:rsidP="00C917D6">
            <w:pPr>
              <w:pStyle w:val="NormalLeft"/>
            </w:pPr>
            <w:r w:rsidRPr="00DE12A3">
              <w:t>397</w:t>
            </w:r>
          </w:p>
        </w:tc>
        <w:tc>
          <w:tcPr>
            <w:tcW w:w="2489" w:type="dxa"/>
            <w:tcBorders>
              <w:top w:val="single" w:sz="2" w:space="0" w:color="auto"/>
              <w:left w:val="single" w:sz="2" w:space="0" w:color="auto"/>
              <w:bottom w:val="single" w:sz="2" w:space="0" w:color="auto"/>
              <w:right w:val="single" w:sz="2" w:space="0" w:color="auto"/>
            </w:tcBorders>
          </w:tcPr>
          <w:p w14:paraId="7CA5650A" w14:textId="77777777" w:rsidR="009F4766" w:rsidRPr="00DE12A3" w:rsidRDefault="009F4766" w:rsidP="00C917D6">
            <w:pPr>
              <w:pStyle w:val="NormalLeft"/>
            </w:pPr>
            <w:r w:rsidRPr="00DE12A3">
              <w:t>36</w:t>
            </w:r>
          </w:p>
        </w:tc>
        <w:tc>
          <w:tcPr>
            <w:tcW w:w="2551" w:type="dxa"/>
            <w:tcBorders>
              <w:top w:val="single" w:sz="2" w:space="0" w:color="auto"/>
              <w:left w:val="single" w:sz="2" w:space="0" w:color="auto"/>
              <w:bottom w:val="single" w:sz="2" w:space="0" w:color="auto"/>
              <w:right w:val="single" w:sz="2" w:space="0" w:color="auto"/>
            </w:tcBorders>
          </w:tcPr>
          <w:p w14:paraId="70223A0C" w14:textId="77777777" w:rsidR="009F4766" w:rsidRPr="00DE12A3" w:rsidRDefault="009F4766" w:rsidP="00C917D6">
            <w:pPr>
              <w:pStyle w:val="NormalLeft"/>
            </w:pPr>
            <w:r w:rsidRPr="00DE12A3">
              <w:t>5</w:t>
            </w:r>
          </w:p>
        </w:tc>
      </w:tr>
      <w:tr w:rsidR="00DE12A3" w:rsidRPr="00DE12A3" w14:paraId="184AE199" w14:textId="77777777" w:rsidTr="009F4766">
        <w:tc>
          <w:tcPr>
            <w:tcW w:w="1182" w:type="dxa"/>
            <w:tcBorders>
              <w:top w:val="single" w:sz="2" w:space="0" w:color="auto"/>
              <w:left w:val="single" w:sz="2" w:space="0" w:color="auto"/>
              <w:bottom w:val="single" w:sz="2" w:space="0" w:color="auto"/>
              <w:right w:val="single" w:sz="2" w:space="0" w:color="auto"/>
            </w:tcBorders>
          </w:tcPr>
          <w:p w14:paraId="383F8344" w14:textId="77777777" w:rsidR="009F4766" w:rsidRPr="00DE12A3" w:rsidRDefault="009F4766" w:rsidP="00C917D6">
            <w:pPr>
              <w:pStyle w:val="NormalLeft"/>
            </w:pPr>
            <w:r w:rsidRPr="00DE12A3">
              <w:t>398</w:t>
            </w:r>
          </w:p>
        </w:tc>
        <w:tc>
          <w:tcPr>
            <w:tcW w:w="2489" w:type="dxa"/>
            <w:tcBorders>
              <w:top w:val="single" w:sz="2" w:space="0" w:color="auto"/>
              <w:left w:val="single" w:sz="2" w:space="0" w:color="auto"/>
              <w:bottom w:val="single" w:sz="2" w:space="0" w:color="auto"/>
              <w:right w:val="single" w:sz="2" w:space="0" w:color="auto"/>
            </w:tcBorders>
          </w:tcPr>
          <w:p w14:paraId="779B9C72" w14:textId="77777777" w:rsidR="009F4766" w:rsidRPr="00DE12A3" w:rsidRDefault="009F4766" w:rsidP="00C917D6">
            <w:pPr>
              <w:pStyle w:val="NormalLeft"/>
            </w:pPr>
            <w:r w:rsidRPr="00DE12A3">
              <w:t>27</w:t>
            </w:r>
          </w:p>
        </w:tc>
        <w:tc>
          <w:tcPr>
            <w:tcW w:w="2551" w:type="dxa"/>
            <w:tcBorders>
              <w:top w:val="single" w:sz="2" w:space="0" w:color="auto"/>
              <w:left w:val="single" w:sz="2" w:space="0" w:color="auto"/>
              <w:bottom w:val="single" w:sz="2" w:space="0" w:color="auto"/>
              <w:right w:val="single" w:sz="2" w:space="0" w:color="auto"/>
            </w:tcBorders>
          </w:tcPr>
          <w:p w14:paraId="27CDABF7" w14:textId="77777777" w:rsidR="009F4766" w:rsidRPr="00DE12A3" w:rsidRDefault="009F4766" w:rsidP="00C917D6">
            <w:pPr>
              <w:pStyle w:val="NormalLeft"/>
            </w:pPr>
            <w:r w:rsidRPr="00DE12A3">
              <w:t>4</w:t>
            </w:r>
          </w:p>
        </w:tc>
      </w:tr>
      <w:tr w:rsidR="00DE12A3" w:rsidRPr="00DE12A3" w14:paraId="5A3C630E" w14:textId="77777777" w:rsidTr="009F4766">
        <w:tc>
          <w:tcPr>
            <w:tcW w:w="1182" w:type="dxa"/>
            <w:tcBorders>
              <w:top w:val="single" w:sz="2" w:space="0" w:color="auto"/>
              <w:left w:val="single" w:sz="2" w:space="0" w:color="auto"/>
              <w:bottom w:val="single" w:sz="2" w:space="0" w:color="auto"/>
              <w:right w:val="single" w:sz="2" w:space="0" w:color="auto"/>
            </w:tcBorders>
          </w:tcPr>
          <w:p w14:paraId="0BBD6D46" w14:textId="77777777" w:rsidR="009F4766" w:rsidRPr="00DE12A3" w:rsidRDefault="009F4766" w:rsidP="00C917D6">
            <w:pPr>
              <w:pStyle w:val="NormalLeft"/>
            </w:pPr>
            <w:r w:rsidRPr="00DE12A3">
              <w:t>399</w:t>
            </w:r>
          </w:p>
        </w:tc>
        <w:tc>
          <w:tcPr>
            <w:tcW w:w="2489" w:type="dxa"/>
            <w:tcBorders>
              <w:top w:val="single" w:sz="2" w:space="0" w:color="auto"/>
              <w:left w:val="single" w:sz="2" w:space="0" w:color="auto"/>
              <w:bottom w:val="single" w:sz="2" w:space="0" w:color="auto"/>
              <w:right w:val="single" w:sz="2" w:space="0" w:color="auto"/>
            </w:tcBorders>
          </w:tcPr>
          <w:p w14:paraId="7D15BCDD" w14:textId="77777777" w:rsidR="009F4766" w:rsidRPr="00DE12A3" w:rsidRDefault="009F4766" w:rsidP="00C917D6">
            <w:pPr>
              <w:pStyle w:val="NormalLeft"/>
            </w:pPr>
            <w:r w:rsidRPr="00DE12A3">
              <w:t>29</w:t>
            </w:r>
          </w:p>
        </w:tc>
        <w:tc>
          <w:tcPr>
            <w:tcW w:w="2551" w:type="dxa"/>
            <w:tcBorders>
              <w:top w:val="single" w:sz="2" w:space="0" w:color="auto"/>
              <w:left w:val="single" w:sz="2" w:space="0" w:color="auto"/>
              <w:bottom w:val="single" w:sz="2" w:space="0" w:color="auto"/>
              <w:right w:val="single" w:sz="2" w:space="0" w:color="auto"/>
            </w:tcBorders>
          </w:tcPr>
          <w:p w14:paraId="45FB7175" w14:textId="77777777" w:rsidR="009F4766" w:rsidRPr="00DE12A3" w:rsidRDefault="009F4766" w:rsidP="00C917D6">
            <w:pPr>
              <w:pStyle w:val="NormalLeft"/>
            </w:pPr>
            <w:r w:rsidRPr="00DE12A3">
              <w:t>3</w:t>
            </w:r>
          </w:p>
        </w:tc>
      </w:tr>
      <w:tr w:rsidR="00DE12A3" w:rsidRPr="00DE12A3" w14:paraId="346DA507" w14:textId="77777777" w:rsidTr="009F4766">
        <w:tc>
          <w:tcPr>
            <w:tcW w:w="1182" w:type="dxa"/>
            <w:tcBorders>
              <w:top w:val="single" w:sz="2" w:space="0" w:color="auto"/>
              <w:left w:val="single" w:sz="2" w:space="0" w:color="auto"/>
              <w:bottom w:val="single" w:sz="2" w:space="0" w:color="auto"/>
              <w:right w:val="single" w:sz="2" w:space="0" w:color="auto"/>
            </w:tcBorders>
          </w:tcPr>
          <w:p w14:paraId="59B0E9D9" w14:textId="77777777" w:rsidR="009F4766" w:rsidRPr="00DE12A3" w:rsidRDefault="009F4766" w:rsidP="00C917D6">
            <w:pPr>
              <w:pStyle w:val="NormalLeft"/>
            </w:pPr>
            <w:r w:rsidRPr="00DE12A3">
              <w:t>400</w:t>
            </w:r>
          </w:p>
        </w:tc>
        <w:tc>
          <w:tcPr>
            <w:tcW w:w="2489" w:type="dxa"/>
            <w:tcBorders>
              <w:top w:val="single" w:sz="2" w:space="0" w:color="auto"/>
              <w:left w:val="single" w:sz="2" w:space="0" w:color="auto"/>
              <w:bottom w:val="single" w:sz="2" w:space="0" w:color="auto"/>
              <w:right w:val="single" w:sz="2" w:space="0" w:color="auto"/>
            </w:tcBorders>
          </w:tcPr>
          <w:p w14:paraId="73081AE5" w14:textId="77777777" w:rsidR="009F4766" w:rsidRPr="00DE12A3" w:rsidRDefault="009F4766" w:rsidP="00C917D6">
            <w:pPr>
              <w:pStyle w:val="NormalLeft"/>
            </w:pPr>
            <w:r w:rsidRPr="00DE12A3">
              <w:t>22</w:t>
            </w:r>
          </w:p>
        </w:tc>
        <w:tc>
          <w:tcPr>
            <w:tcW w:w="2551" w:type="dxa"/>
            <w:tcBorders>
              <w:top w:val="single" w:sz="2" w:space="0" w:color="auto"/>
              <w:left w:val="single" w:sz="2" w:space="0" w:color="auto"/>
              <w:bottom w:val="single" w:sz="2" w:space="0" w:color="auto"/>
              <w:right w:val="single" w:sz="2" w:space="0" w:color="auto"/>
            </w:tcBorders>
          </w:tcPr>
          <w:p w14:paraId="18FCC711" w14:textId="77777777" w:rsidR="009F4766" w:rsidRPr="00DE12A3" w:rsidRDefault="009F4766" w:rsidP="00C917D6">
            <w:pPr>
              <w:pStyle w:val="NormalLeft"/>
            </w:pPr>
            <w:r w:rsidRPr="00DE12A3">
              <w:t>2</w:t>
            </w:r>
          </w:p>
        </w:tc>
      </w:tr>
      <w:tr w:rsidR="00DE12A3" w:rsidRPr="00DE12A3" w14:paraId="6E16B3CB" w14:textId="77777777" w:rsidTr="009F4766">
        <w:tc>
          <w:tcPr>
            <w:tcW w:w="1182" w:type="dxa"/>
            <w:tcBorders>
              <w:top w:val="single" w:sz="2" w:space="0" w:color="auto"/>
              <w:left w:val="single" w:sz="2" w:space="0" w:color="auto"/>
              <w:bottom w:val="single" w:sz="2" w:space="0" w:color="auto"/>
              <w:right w:val="single" w:sz="2" w:space="0" w:color="auto"/>
            </w:tcBorders>
          </w:tcPr>
          <w:p w14:paraId="6D60CCD1" w14:textId="77777777" w:rsidR="009F4766" w:rsidRPr="00DE12A3" w:rsidRDefault="009F4766" w:rsidP="00C917D6">
            <w:pPr>
              <w:pStyle w:val="NormalLeft"/>
            </w:pPr>
            <w:r w:rsidRPr="00DE12A3">
              <w:t>401</w:t>
            </w:r>
          </w:p>
        </w:tc>
        <w:tc>
          <w:tcPr>
            <w:tcW w:w="2489" w:type="dxa"/>
            <w:tcBorders>
              <w:top w:val="single" w:sz="2" w:space="0" w:color="auto"/>
              <w:left w:val="single" w:sz="2" w:space="0" w:color="auto"/>
              <w:bottom w:val="single" w:sz="2" w:space="0" w:color="auto"/>
              <w:right w:val="single" w:sz="2" w:space="0" w:color="auto"/>
            </w:tcBorders>
          </w:tcPr>
          <w:p w14:paraId="359E4E82" w14:textId="77777777" w:rsidR="009F4766" w:rsidRPr="00DE12A3" w:rsidRDefault="009F4766" w:rsidP="00C917D6">
            <w:pPr>
              <w:pStyle w:val="NormalLeft"/>
            </w:pPr>
            <w:r w:rsidRPr="00DE12A3">
              <w:t>13</w:t>
            </w:r>
          </w:p>
        </w:tc>
        <w:tc>
          <w:tcPr>
            <w:tcW w:w="2551" w:type="dxa"/>
            <w:tcBorders>
              <w:top w:val="single" w:sz="2" w:space="0" w:color="auto"/>
              <w:left w:val="single" w:sz="2" w:space="0" w:color="auto"/>
              <w:bottom w:val="single" w:sz="2" w:space="0" w:color="auto"/>
              <w:right w:val="single" w:sz="2" w:space="0" w:color="auto"/>
            </w:tcBorders>
          </w:tcPr>
          <w:p w14:paraId="1536B050" w14:textId="77777777" w:rsidR="009F4766" w:rsidRPr="00DE12A3" w:rsidRDefault="009F4766" w:rsidP="00C917D6">
            <w:pPr>
              <w:pStyle w:val="NormalLeft"/>
            </w:pPr>
            <w:r w:rsidRPr="00DE12A3">
              <w:t>3</w:t>
            </w:r>
          </w:p>
        </w:tc>
      </w:tr>
      <w:tr w:rsidR="00DE12A3" w:rsidRPr="00DE12A3" w14:paraId="776664F4" w14:textId="77777777" w:rsidTr="009F4766">
        <w:tc>
          <w:tcPr>
            <w:tcW w:w="1182" w:type="dxa"/>
            <w:tcBorders>
              <w:top w:val="single" w:sz="2" w:space="0" w:color="auto"/>
              <w:left w:val="single" w:sz="2" w:space="0" w:color="auto"/>
              <w:bottom w:val="single" w:sz="2" w:space="0" w:color="auto"/>
              <w:right w:val="single" w:sz="2" w:space="0" w:color="auto"/>
            </w:tcBorders>
          </w:tcPr>
          <w:p w14:paraId="77FC5E91" w14:textId="77777777" w:rsidR="009F4766" w:rsidRPr="00DE12A3" w:rsidRDefault="009F4766" w:rsidP="00C917D6">
            <w:pPr>
              <w:pStyle w:val="NormalLeft"/>
            </w:pPr>
            <w:r w:rsidRPr="00DE12A3">
              <w:t>402</w:t>
            </w:r>
          </w:p>
        </w:tc>
        <w:tc>
          <w:tcPr>
            <w:tcW w:w="2489" w:type="dxa"/>
            <w:tcBorders>
              <w:top w:val="single" w:sz="2" w:space="0" w:color="auto"/>
              <w:left w:val="single" w:sz="2" w:space="0" w:color="auto"/>
              <w:bottom w:val="single" w:sz="2" w:space="0" w:color="auto"/>
              <w:right w:val="single" w:sz="2" w:space="0" w:color="auto"/>
            </w:tcBorders>
          </w:tcPr>
          <w:p w14:paraId="27C4C934" w14:textId="77777777" w:rsidR="009F4766" w:rsidRPr="00DE12A3" w:rsidRDefault="009F4766" w:rsidP="00C917D6">
            <w:pPr>
              <w:pStyle w:val="NormalLeft"/>
            </w:pPr>
            <w:r w:rsidRPr="00DE12A3">
              <w:t>37</w:t>
            </w:r>
          </w:p>
        </w:tc>
        <w:tc>
          <w:tcPr>
            <w:tcW w:w="2551" w:type="dxa"/>
            <w:tcBorders>
              <w:top w:val="single" w:sz="2" w:space="0" w:color="auto"/>
              <w:left w:val="single" w:sz="2" w:space="0" w:color="auto"/>
              <w:bottom w:val="single" w:sz="2" w:space="0" w:color="auto"/>
              <w:right w:val="single" w:sz="2" w:space="0" w:color="auto"/>
            </w:tcBorders>
          </w:tcPr>
          <w:p w14:paraId="4367925A" w14:textId="77777777" w:rsidR="009F4766" w:rsidRPr="00DE12A3" w:rsidRDefault="009F4766" w:rsidP="00C917D6">
            <w:pPr>
              <w:pStyle w:val="NormalLeft"/>
            </w:pPr>
            <w:r w:rsidRPr="00DE12A3">
              <w:t>36</w:t>
            </w:r>
          </w:p>
        </w:tc>
      </w:tr>
      <w:tr w:rsidR="00DE12A3" w:rsidRPr="00DE12A3" w14:paraId="6EB84A34" w14:textId="77777777" w:rsidTr="009F4766">
        <w:tc>
          <w:tcPr>
            <w:tcW w:w="1182" w:type="dxa"/>
            <w:tcBorders>
              <w:top w:val="single" w:sz="2" w:space="0" w:color="auto"/>
              <w:left w:val="single" w:sz="2" w:space="0" w:color="auto"/>
              <w:bottom w:val="single" w:sz="2" w:space="0" w:color="auto"/>
              <w:right w:val="single" w:sz="2" w:space="0" w:color="auto"/>
            </w:tcBorders>
          </w:tcPr>
          <w:p w14:paraId="2E3BD1D0" w14:textId="77777777" w:rsidR="009F4766" w:rsidRPr="00DE12A3" w:rsidRDefault="009F4766" w:rsidP="00C917D6">
            <w:pPr>
              <w:pStyle w:val="NormalLeft"/>
            </w:pPr>
            <w:r w:rsidRPr="00DE12A3">
              <w:t>403</w:t>
            </w:r>
          </w:p>
        </w:tc>
        <w:tc>
          <w:tcPr>
            <w:tcW w:w="2489" w:type="dxa"/>
            <w:tcBorders>
              <w:top w:val="single" w:sz="2" w:space="0" w:color="auto"/>
              <w:left w:val="single" w:sz="2" w:space="0" w:color="auto"/>
              <w:bottom w:val="single" w:sz="2" w:space="0" w:color="auto"/>
              <w:right w:val="single" w:sz="2" w:space="0" w:color="auto"/>
            </w:tcBorders>
          </w:tcPr>
          <w:p w14:paraId="47ECE510" w14:textId="77777777" w:rsidR="009F4766" w:rsidRPr="00DE12A3" w:rsidRDefault="009F4766" w:rsidP="00C917D6">
            <w:pPr>
              <w:pStyle w:val="NormalLeft"/>
            </w:pPr>
            <w:r w:rsidRPr="00DE12A3">
              <w:t>90</w:t>
            </w:r>
          </w:p>
        </w:tc>
        <w:tc>
          <w:tcPr>
            <w:tcW w:w="2551" w:type="dxa"/>
            <w:tcBorders>
              <w:top w:val="single" w:sz="2" w:space="0" w:color="auto"/>
              <w:left w:val="single" w:sz="2" w:space="0" w:color="auto"/>
              <w:bottom w:val="single" w:sz="2" w:space="0" w:color="auto"/>
              <w:right w:val="single" w:sz="2" w:space="0" w:color="auto"/>
            </w:tcBorders>
          </w:tcPr>
          <w:p w14:paraId="661C821C" w14:textId="77777777" w:rsidR="009F4766" w:rsidRPr="00DE12A3" w:rsidRDefault="009F4766" w:rsidP="00C917D6">
            <w:pPr>
              <w:pStyle w:val="NormalLeft"/>
            </w:pPr>
            <w:r w:rsidRPr="00DE12A3">
              <w:t>26</w:t>
            </w:r>
          </w:p>
        </w:tc>
      </w:tr>
      <w:tr w:rsidR="00DE12A3" w:rsidRPr="00DE12A3" w14:paraId="028C9C99" w14:textId="77777777" w:rsidTr="009F4766">
        <w:tc>
          <w:tcPr>
            <w:tcW w:w="1182" w:type="dxa"/>
            <w:tcBorders>
              <w:top w:val="single" w:sz="2" w:space="0" w:color="auto"/>
              <w:left w:val="single" w:sz="2" w:space="0" w:color="auto"/>
              <w:bottom w:val="single" w:sz="2" w:space="0" w:color="auto"/>
              <w:right w:val="single" w:sz="2" w:space="0" w:color="auto"/>
            </w:tcBorders>
          </w:tcPr>
          <w:p w14:paraId="2F03AB85" w14:textId="77777777" w:rsidR="009F4766" w:rsidRPr="00DE12A3" w:rsidRDefault="009F4766" w:rsidP="00C917D6">
            <w:pPr>
              <w:pStyle w:val="NormalLeft"/>
            </w:pPr>
            <w:r w:rsidRPr="00DE12A3">
              <w:t>404</w:t>
            </w:r>
          </w:p>
        </w:tc>
        <w:tc>
          <w:tcPr>
            <w:tcW w:w="2489" w:type="dxa"/>
            <w:tcBorders>
              <w:top w:val="single" w:sz="2" w:space="0" w:color="auto"/>
              <w:left w:val="single" w:sz="2" w:space="0" w:color="auto"/>
              <w:bottom w:val="single" w:sz="2" w:space="0" w:color="auto"/>
              <w:right w:val="single" w:sz="2" w:space="0" w:color="auto"/>
            </w:tcBorders>
          </w:tcPr>
          <w:p w14:paraId="3AD7E642" w14:textId="77777777" w:rsidR="009F4766" w:rsidRPr="00DE12A3" w:rsidRDefault="009F4766" w:rsidP="00C917D6">
            <w:pPr>
              <w:pStyle w:val="NormalLeft"/>
            </w:pPr>
            <w:r w:rsidRPr="00DE12A3">
              <w:t>41</w:t>
            </w:r>
          </w:p>
        </w:tc>
        <w:tc>
          <w:tcPr>
            <w:tcW w:w="2551" w:type="dxa"/>
            <w:tcBorders>
              <w:top w:val="single" w:sz="2" w:space="0" w:color="auto"/>
              <w:left w:val="single" w:sz="2" w:space="0" w:color="auto"/>
              <w:bottom w:val="single" w:sz="2" w:space="0" w:color="auto"/>
              <w:right w:val="single" w:sz="2" w:space="0" w:color="auto"/>
            </w:tcBorders>
          </w:tcPr>
          <w:p w14:paraId="07A93CC2" w14:textId="77777777" w:rsidR="009F4766" w:rsidRPr="00DE12A3" w:rsidRDefault="009F4766" w:rsidP="00C917D6">
            <w:pPr>
              <w:pStyle w:val="NormalLeft"/>
            </w:pPr>
            <w:r w:rsidRPr="00DE12A3">
              <w:t>2</w:t>
            </w:r>
          </w:p>
        </w:tc>
      </w:tr>
      <w:tr w:rsidR="00DE12A3" w:rsidRPr="00DE12A3" w14:paraId="0CFA91AC" w14:textId="77777777" w:rsidTr="009F4766">
        <w:tc>
          <w:tcPr>
            <w:tcW w:w="1182" w:type="dxa"/>
            <w:tcBorders>
              <w:top w:val="single" w:sz="2" w:space="0" w:color="auto"/>
              <w:left w:val="single" w:sz="2" w:space="0" w:color="auto"/>
              <w:bottom w:val="single" w:sz="2" w:space="0" w:color="auto"/>
              <w:right w:val="single" w:sz="2" w:space="0" w:color="auto"/>
            </w:tcBorders>
          </w:tcPr>
          <w:p w14:paraId="67603CF2" w14:textId="77777777" w:rsidR="009F4766" w:rsidRPr="00DE12A3" w:rsidRDefault="009F4766" w:rsidP="00C917D6">
            <w:pPr>
              <w:pStyle w:val="NormalLeft"/>
            </w:pPr>
            <w:r w:rsidRPr="00DE12A3">
              <w:t>405</w:t>
            </w:r>
          </w:p>
        </w:tc>
        <w:tc>
          <w:tcPr>
            <w:tcW w:w="2489" w:type="dxa"/>
            <w:tcBorders>
              <w:top w:val="single" w:sz="2" w:space="0" w:color="auto"/>
              <w:left w:val="single" w:sz="2" w:space="0" w:color="auto"/>
              <w:bottom w:val="single" w:sz="2" w:space="0" w:color="auto"/>
              <w:right w:val="single" w:sz="2" w:space="0" w:color="auto"/>
            </w:tcBorders>
          </w:tcPr>
          <w:p w14:paraId="720F05ED" w14:textId="77777777" w:rsidR="009F4766" w:rsidRPr="00DE12A3" w:rsidRDefault="009F4766" w:rsidP="00C917D6">
            <w:pPr>
              <w:pStyle w:val="NormalLeft"/>
            </w:pPr>
            <w:r w:rsidRPr="00DE12A3">
              <w:t>25</w:t>
            </w:r>
          </w:p>
        </w:tc>
        <w:tc>
          <w:tcPr>
            <w:tcW w:w="2551" w:type="dxa"/>
            <w:tcBorders>
              <w:top w:val="single" w:sz="2" w:space="0" w:color="auto"/>
              <w:left w:val="single" w:sz="2" w:space="0" w:color="auto"/>
              <w:bottom w:val="single" w:sz="2" w:space="0" w:color="auto"/>
              <w:right w:val="single" w:sz="2" w:space="0" w:color="auto"/>
            </w:tcBorders>
          </w:tcPr>
          <w:p w14:paraId="45634929" w14:textId="77777777" w:rsidR="009F4766" w:rsidRPr="00DE12A3" w:rsidRDefault="009F4766" w:rsidP="00C917D6">
            <w:pPr>
              <w:pStyle w:val="NormalLeft"/>
            </w:pPr>
            <w:r w:rsidRPr="00DE12A3">
              <w:t>2</w:t>
            </w:r>
          </w:p>
        </w:tc>
      </w:tr>
      <w:tr w:rsidR="00DE12A3" w:rsidRPr="00DE12A3" w14:paraId="4A36F9D1" w14:textId="77777777" w:rsidTr="009F4766">
        <w:tc>
          <w:tcPr>
            <w:tcW w:w="1182" w:type="dxa"/>
            <w:tcBorders>
              <w:top w:val="single" w:sz="2" w:space="0" w:color="auto"/>
              <w:left w:val="single" w:sz="2" w:space="0" w:color="auto"/>
              <w:bottom w:val="single" w:sz="2" w:space="0" w:color="auto"/>
              <w:right w:val="single" w:sz="2" w:space="0" w:color="auto"/>
            </w:tcBorders>
          </w:tcPr>
          <w:p w14:paraId="03B33CEB" w14:textId="77777777" w:rsidR="009F4766" w:rsidRPr="00DE12A3" w:rsidRDefault="009F4766" w:rsidP="00C917D6">
            <w:pPr>
              <w:pStyle w:val="NormalLeft"/>
            </w:pPr>
            <w:r w:rsidRPr="00DE12A3">
              <w:t>406</w:t>
            </w:r>
          </w:p>
        </w:tc>
        <w:tc>
          <w:tcPr>
            <w:tcW w:w="2489" w:type="dxa"/>
            <w:tcBorders>
              <w:top w:val="single" w:sz="2" w:space="0" w:color="auto"/>
              <w:left w:val="single" w:sz="2" w:space="0" w:color="auto"/>
              <w:bottom w:val="single" w:sz="2" w:space="0" w:color="auto"/>
              <w:right w:val="single" w:sz="2" w:space="0" w:color="auto"/>
            </w:tcBorders>
          </w:tcPr>
          <w:p w14:paraId="0E34B726" w14:textId="77777777" w:rsidR="009F4766" w:rsidRPr="00DE12A3" w:rsidRDefault="009F4766" w:rsidP="00C917D6">
            <w:pPr>
              <w:pStyle w:val="NormalLeft"/>
            </w:pPr>
            <w:r w:rsidRPr="00DE12A3">
              <w:t>29</w:t>
            </w:r>
          </w:p>
        </w:tc>
        <w:tc>
          <w:tcPr>
            <w:tcW w:w="2551" w:type="dxa"/>
            <w:tcBorders>
              <w:top w:val="single" w:sz="2" w:space="0" w:color="auto"/>
              <w:left w:val="single" w:sz="2" w:space="0" w:color="auto"/>
              <w:bottom w:val="single" w:sz="2" w:space="0" w:color="auto"/>
              <w:right w:val="single" w:sz="2" w:space="0" w:color="auto"/>
            </w:tcBorders>
          </w:tcPr>
          <w:p w14:paraId="1762F3FD" w14:textId="77777777" w:rsidR="009F4766" w:rsidRPr="00DE12A3" w:rsidRDefault="009F4766" w:rsidP="00C917D6">
            <w:pPr>
              <w:pStyle w:val="NormalLeft"/>
            </w:pPr>
            <w:r w:rsidRPr="00DE12A3">
              <w:t>2</w:t>
            </w:r>
          </w:p>
        </w:tc>
      </w:tr>
      <w:tr w:rsidR="00DE12A3" w:rsidRPr="00DE12A3" w14:paraId="3A99340E" w14:textId="77777777" w:rsidTr="009F4766">
        <w:tc>
          <w:tcPr>
            <w:tcW w:w="1182" w:type="dxa"/>
            <w:tcBorders>
              <w:top w:val="single" w:sz="2" w:space="0" w:color="auto"/>
              <w:left w:val="single" w:sz="2" w:space="0" w:color="auto"/>
              <w:bottom w:val="single" w:sz="2" w:space="0" w:color="auto"/>
              <w:right w:val="single" w:sz="2" w:space="0" w:color="auto"/>
            </w:tcBorders>
          </w:tcPr>
          <w:p w14:paraId="3A1A96A6" w14:textId="77777777" w:rsidR="009F4766" w:rsidRPr="00DE12A3" w:rsidRDefault="009F4766" w:rsidP="00C917D6">
            <w:pPr>
              <w:pStyle w:val="NormalLeft"/>
            </w:pPr>
            <w:r w:rsidRPr="00DE12A3">
              <w:t>407</w:t>
            </w:r>
          </w:p>
        </w:tc>
        <w:tc>
          <w:tcPr>
            <w:tcW w:w="2489" w:type="dxa"/>
            <w:tcBorders>
              <w:top w:val="single" w:sz="2" w:space="0" w:color="auto"/>
              <w:left w:val="single" w:sz="2" w:space="0" w:color="auto"/>
              <w:bottom w:val="single" w:sz="2" w:space="0" w:color="auto"/>
              <w:right w:val="single" w:sz="2" w:space="0" w:color="auto"/>
            </w:tcBorders>
          </w:tcPr>
          <w:p w14:paraId="29124256" w14:textId="77777777" w:rsidR="009F4766" w:rsidRPr="00DE12A3" w:rsidRDefault="009F4766" w:rsidP="00C917D6">
            <w:pPr>
              <w:pStyle w:val="NormalLeft"/>
            </w:pPr>
            <w:r w:rsidRPr="00DE12A3">
              <w:t>38</w:t>
            </w:r>
          </w:p>
        </w:tc>
        <w:tc>
          <w:tcPr>
            <w:tcW w:w="2551" w:type="dxa"/>
            <w:tcBorders>
              <w:top w:val="single" w:sz="2" w:space="0" w:color="auto"/>
              <w:left w:val="single" w:sz="2" w:space="0" w:color="auto"/>
              <w:bottom w:val="single" w:sz="2" w:space="0" w:color="auto"/>
              <w:right w:val="single" w:sz="2" w:space="0" w:color="auto"/>
            </w:tcBorders>
          </w:tcPr>
          <w:p w14:paraId="3C87A387" w14:textId="77777777" w:rsidR="009F4766" w:rsidRPr="00DE12A3" w:rsidRDefault="009F4766" w:rsidP="00C917D6">
            <w:pPr>
              <w:pStyle w:val="NormalLeft"/>
            </w:pPr>
            <w:r w:rsidRPr="00DE12A3">
              <w:t>7</w:t>
            </w:r>
          </w:p>
        </w:tc>
      </w:tr>
      <w:tr w:rsidR="00DE12A3" w:rsidRPr="00DE12A3" w14:paraId="0677A8DE" w14:textId="77777777" w:rsidTr="009F4766">
        <w:tc>
          <w:tcPr>
            <w:tcW w:w="1182" w:type="dxa"/>
            <w:tcBorders>
              <w:top w:val="single" w:sz="2" w:space="0" w:color="auto"/>
              <w:left w:val="single" w:sz="2" w:space="0" w:color="auto"/>
              <w:bottom w:val="single" w:sz="2" w:space="0" w:color="auto"/>
              <w:right w:val="single" w:sz="2" w:space="0" w:color="auto"/>
            </w:tcBorders>
          </w:tcPr>
          <w:p w14:paraId="226ED7E7" w14:textId="77777777" w:rsidR="009F4766" w:rsidRPr="00DE12A3" w:rsidRDefault="009F4766" w:rsidP="00C917D6">
            <w:pPr>
              <w:pStyle w:val="NormalLeft"/>
            </w:pPr>
            <w:r w:rsidRPr="00DE12A3">
              <w:t>408</w:t>
            </w:r>
          </w:p>
        </w:tc>
        <w:tc>
          <w:tcPr>
            <w:tcW w:w="2489" w:type="dxa"/>
            <w:tcBorders>
              <w:top w:val="single" w:sz="2" w:space="0" w:color="auto"/>
              <w:left w:val="single" w:sz="2" w:space="0" w:color="auto"/>
              <w:bottom w:val="single" w:sz="2" w:space="0" w:color="auto"/>
              <w:right w:val="single" w:sz="2" w:space="0" w:color="auto"/>
            </w:tcBorders>
          </w:tcPr>
          <w:p w14:paraId="115D7217" w14:textId="77777777" w:rsidR="009F4766" w:rsidRPr="00DE12A3" w:rsidRDefault="009F4766" w:rsidP="00C917D6">
            <w:pPr>
              <w:pStyle w:val="NormalLeft"/>
            </w:pPr>
            <w:r w:rsidRPr="00DE12A3">
              <w:t>50</w:t>
            </w:r>
          </w:p>
        </w:tc>
        <w:tc>
          <w:tcPr>
            <w:tcW w:w="2551" w:type="dxa"/>
            <w:tcBorders>
              <w:top w:val="single" w:sz="2" w:space="0" w:color="auto"/>
              <w:left w:val="single" w:sz="2" w:space="0" w:color="auto"/>
              <w:bottom w:val="single" w:sz="2" w:space="0" w:color="auto"/>
              <w:right w:val="single" w:sz="2" w:space="0" w:color="auto"/>
            </w:tcBorders>
          </w:tcPr>
          <w:p w14:paraId="48EEA689" w14:textId="77777777" w:rsidR="009F4766" w:rsidRPr="00DE12A3" w:rsidRDefault="009F4766" w:rsidP="00C917D6">
            <w:pPr>
              <w:pStyle w:val="NormalLeft"/>
            </w:pPr>
            <w:r w:rsidRPr="00DE12A3">
              <w:t>13</w:t>
            </w:r>
          </w:p>
        </w:tc>
      </w:tr>
      <w:tr w:rsidR="00DE12A3" w:rsidRPr="00DE12A3" w14:paraId="1CA6B9DA" w14:textId="77777777" w:rsidTr="009F4766">
        <w:tc>
          <w:tcPr>
            <w:tcW w:w="1182" w:type="dxa"/>
            <w:tcBorders>
              <w:top w:val="single" w:sz="2" w:space="0" w:color="auto"/>
              <w:left w:val="single" w:sz="2" w:space="0" w:color="auto"/>
              <w:bottom w:val="single" w:sz="2" w:space="0" w:color="auto"/>
              <w:right w:val="single" w:sz="2" w:space="0" w:color="auto"/>
            </w:tcBorders>
          </w:tcPr>
          <w:p w14:paraId="379610FC" w14:textId="77777777" w:rsidR="009F4766" w:rsidRPr="00DE12A3" w:rsidRDefault="009F4766" w:rsidP="00C917D6">
            <w:pPr>
              <w:pStyle w:val="NormalLeft"/>
            </w:pPr>
            <w:r w:rsidRPr="00DE12A3">
              <w:t>409</w:t>
            </w:r>
          </w:p>
        </w:tc>
        <w:tc>
          <w:tcPr>
            <w:tcW w:w="2489" w:type="dxa"/>
            <w:tcBorders>
              <w:top w:val="single" w:sz="2" w:space="0" w:color="auto"/>
              <w:left w:val="single" w:sz="2" w:space="0" w:color="auto"/>
              <w:bottom w:val="single" w:sz="2" w:space="0" w:color="auto"/>
              <w:right w:val="single" w:sz="2" w:space="0" w:color="auto"/>
            </w:tcBorders>
          </w:tcPr>
          <w:p w14:paraId="13166034" w14:textId="77777777" w:rsidR="009F4766" w:rsidRPr="00DE12A3" w:rsidRDefault="009F4766" w:rsidP="00C917D6">
            <w:pPr>
              <w:pStyle w:val="NormalLeft"/>
            </w:pPr>
            <w:r w:rsidRPr="00DE12A3">
              <w:t>55</w:t>
            </w:r>
          </w:p>
        </w:tc>
        <w:tc>
          <w:tcPr>
            <w:tcW w:w="2551" w:type="dxa"/>
            <w:tcBorders>
              <w:top w:val="single" w:sz="2" w:space="0" w:color="auto"/>
              <w:left w:val="single" w:sz="2" w:space="0" w:color="auto"/>
              <w:bottom w:val="single" w:sz="2" w:space="0" w:color="auto"/>
              <w:right w:val="single" w:sz="2" w:space="0" w:color="auto"/>
            </w:tcBorders>
          </w:tcPr>
          <w:p w14:paraId="5C755766" w14:textId="77777777" w:rsidR="009F4766" w:rsidRPr="00DE12A3" w:rsidRDefault="009F4766" w:rsidP="00C917D6">
            <w:pPr>
              <w:pStyle w:val="NormalLeft"/>
            </w:pPr>
            <w:r w:rsidRPr="00DE12A3">
              <w:t>10</w:t>
            </w:r>
          </w:p>
        </w:tc>
      </w:tr>
      <w:tr w:rsidR="00DE12A3" w:rsidRPr="00DE12A3" w14:paraId="5C0F0BBA" w14:textId="77777777" w:rsidTr="009F4766">
        <w:tc>
          <w:tcPr>
            <w:tcW w:w="1182" w:type="dxa"/>
            <w:tcBorders>
              <w:top w:val="single" w:sz="2" w:space="0" w:color="auto"/>
              <w:left w:val="single" w:sz="2" w:space="0" w:color="auto"/>
              <w:bottom w:val="single" w:sz="2" w:space="0" w:color="auto"/>
              <w:right w:val="single" w:sz="2" w:space="0" w:color="auto"/>
            </w:tcBorders>
          </w:tcPr>
          <w:p w14:paraId="433492D9" w14:textId="77777777" w:rsidR="009F4766" w:rsidRPr="00DE12A3" w:rsidRDefault="009F4766" w:rsidP="00C917D6">
            <w:pPr>
              <w:pStyle w:val="NormalLeft"/>
            </w:pPr>
            <w:r w:rsidRPr="00DE12A3">
              <w:t>410</w:t>
            </w:r>
          </w:p>
        </w:tc>
        <w:tc>
          <w:tcPr>
            <w:tcW w:w="2489" w:type="dxa"/>
            <w:tcBorders>
              <w:top w:val="single" w:sz="2" w:space="0" w:color="auto"/>
              <w:left w:val="single" w:sz="2" w:space="0" w:color="auto"/>
              <w:bottom w:val="single" w:sz="2" w:space="0" w:color="auto"/>
              <w:right w:val="single" w:sz="2" w:space="0" w:color="auto"/>
            </w:tcBorders>
          </w:tcPr>
          <w:p w14:paraId="52F26094" w14:textId="77777777" w:rsidR="009F4766" w:rsidRPr="00DE12A3" w:rsidRDefault="009F4766" w:rsidP="00C917D6">
            <w:pPr>
              <w:pStyle w:val="NormalLeft"/>
            </w:pPr>
            <w:r w:rsidRPr="00DE12A3">
              <w:t>29</w:t>
            </w:r>
          </w:p>
        </w:tc>
        <w:tc>
          <w:tcPr>
            <w:tcW w:w="2551" w:type="dxa"/>
            <w:tcBorders>
              <w:top w:val="single" w:sz="2" w:space="0" w:color="auto"/>
              <w:left w:val="single" w:sz="2" w:space="0" w:color="auto"/>
              <w:bottom w:val="single" w:sz="2" w:space="0" w:color="auto"/>
              <w:right w:val="single" w:sz="2" w:space="0" w:color="auto"/>
            </w:tcBorders>
          </w:tcPr>
          <w:p w14:paraId="376FEE20" w14:textId="77777777" w:rsidR="009F4766" w:rsidRPr="00DE12A3" w:rsidRDefault="009F4766" w:rsidP="00C917D6">
            <w:pPr>
              <w:pStyle w:val="NormalLeft"/>
            </w:pPr>
            <w:r w:rsidRPr="00DE12A3">
              <w:t>3</w:t>
            </w:r>
          </w:p>
        </w:tc>
      </w:tr>
      <w:tr w:rsidR="00DE12A3" w:rsidRPr="00DE12A3" w14:paraId="3F25F05D" w14:textId="77777777" w:rsidTr="009F4766">
        <w:tc>
          <w:tcPr>
            <w:tcW w:w="1182" w:type="dxa"/>
            <w:tcBorders>
              <w:top w:val="single" w:sz="2" w:space="0" w:color="auto"/>
              <w:left w:val="single" w:sz="2" w:space="0" w:color="auto"/>
              <w:bottom w:val="single" w:sz="2" w:space="0" w:color="auto"/>
              <w:right w:val="single" w:sz="2" w:space="0" w:color="auto"/>
            </w:tcBorders>
          </w:tcPr>
          <w:p w14:paraId="4841D110" w14:textId="77777777" w:rsidR="009F4766" w:rsidRPr="00DE12A3" w:rsidRDefault="009F4766" w:rsidP="00C917D6">
            <w:pPr>
              <w:pStyle w:val="NormalLeft"/>
            </w:pPr>
            <w:r w:rsidRPr="00DE12A3">
              <w:lastRenderedPageBreak/>
              <w:t>411</w:t>
            </w:r>
          </w:p>
        </w:tc>
        <w:tc>
          <w:tcPr>
            <w:tcW w:w="2489" w:type="dxa"/>
            <w:tcBorders>
              <w:top w:val="single" w:sz="2" w:space="0" w:color="auto"/>
              <w:left w:val="single" w:sz="2" w:space="0" w:color="auto"/>
              <w:bottom w:val="single" w:sz="2" w:space="0" w:color="auto"/>
              <w:right w:val="single" w:sz="2" w:space="0" w:color="auto"/>
            </w:tcBorders>
          </w:tcPr>
          <w:p w14:paraId="1FFE1B45" w14:textId="77777777" w:rsidR="009F4766" w:rsidRPr="00DE12A3" w:rsidRDefault="009F4766" w:rsidP="00C917D6">
            <w:pPr>
              <w:pStyle w:val="NormalLeft"/>
            </w:pPr>
            <w:r w:rsidRPr="00DE12A3">
              <w:t>24</w:t>
            </w:r>
          </w:p>
        </w:tc>
        <w:tc>
          <w:tcPr>
            <w:tcW w:w="2551" w:type="dxa"/>
            <w:tcBorders>
              <w:top w:val="single" w:sz="2" w:space="0" w:color="auto"/>
              <w:left w:val="single" w:sz="2" w:space="0" w:color="auto"/>
              <w:bottom w:val="single" w:sz="2" w:space="0" w:color="auto"/>
              <w:right w:val="single" w:sz="2" w:space="0" w:color="auto"/>
            </w:tcBorders>
          </w:tcPr>
          <w:p w14:paraId="7268F257" w14:textId="77777777" w:rsidR="009F4766" w:rsidRPr="00DE12A3" w:rsidRDefault="009F4766" w:rsidP="00C917D6">
            <w:pPr>
              <w:pStyle w:val="NormalLeft"/>
            </w:pPr>
            <w:r w:rsidRPr="00DE12A3">
              <w:t>7</w:t>
            </w:r>
          </w:p>
        </w:tc>
      </w:tr>
      <w:tr w:rsidR="00DE12A3" w:rsidRPr="00DE12A3" w14:paraId="0F2E40ED" w14:textId="77777777" w:rsidTr="009F4766">
        <w:tc>
          <w:tcPr>
            <w:tcW w:w="1182" w:type="dxa"/>
            <w:tcBorders>
              <w:top w:val="single" w:sz="2" w:space="0" w:color="auto"/>
              <w:left w:val="single" w:sz="2" w:space="0" w:color="auto"/>
              <w:bottom w:val="single" w:sz="2" w:space="0" w:color="auto"/>
              <w:right w:val="single" w:sz="2" w:space="0" w:color="auto"/>
            </w:tcBorders>
          </w:tcPr>
          <w:p w14:paraId="2D82E3E5" w14:textId="77777777" w:rsidR="009F4766" w:rsidRPr="00DE12A3" w:rsidRDefault="009F4766" w:rsidP="00C917D6">
            <w:pPr>
              <w:pStyle w:val="NormalLeft"/>
            </w:pPr>
            <w:r w:rsidRPr="00DE12A3">
              <w:t>412</w:t>
            </w:r>
          </w:p>
        </w:tc>
        <w:tc>
          <w:tcPr>
            <w:tcW w:w="2489" w:type="dxa"/>
            <w:tcBorders>
              <w:top w:val="single" w:sz="2" w:space="0" w:color="auto"/>
              <w:left w:val="single" w:sz="2" w:space="0" w:color="auto"/>
              <w:bottom w:val="single" w:sz="2" w:space="0" w:color="auto"/>
              <w:right w:val="single" w:sz="2" w:space="0" w:color="auto"/>
            </w:tcBorders>
          </w:tcPr>
          <w:p w14:paraId="116DA64E" w14:textId="77777777" w:rsidR="009F4766" w:rsidRPr="00DE12A3" w:rsidRDefault="009F4766" w:rsidP="00C917D6">
            <w:pPr>
              <w:pStyle w:val="NormalLeft"/>
            </w:pPr>
            <w:r w:rsidRPr="00DE12A3">
              <w:t>51</w:t>
            </w:r>
          </w:p>
        </w:tc>
        <w:tc>
          <w:tcPr>
            <w:tcW w:w="2551" w:type="dxa"/>
            <w:tcBorders>
              <w:top w:val="single" w:sz="2" w:space="0" w:color="auto"/>
              <w:left w:val="single" w:sz="2" w:space="0" w:color="auto"/>
              <w:bottom w:val="single" w:sz="2" w:space="0" w:color="auto"/>
              <w:right w:val="single" w:sz="2" w:space="0" w:color="auto"/>
            </w:tcBorders>
          </w:tcPr>
          <w:p w14:paraId="3691B735" w14:textId="77777777" w:rsidR="009F4766" w:rsidRPr="00DE12A3" w:rsidRDefault="009F4766" w:rsidP="00C917D6">
            <w:pPr>
              <w:pStyle w:val="NormalLeft"/>
            </w:pPr>
            <w:r w:rsidRPr="00DE12A3">
              <w:t>16</w:t>
            </w:r>
          </w:p>
        </w:tc>
      </w:tr>
      <w:tr w:rsidR="00DE12A3" w:rsidRPr="00DE12A3" w14:paraId="68F523E7" w14:textId="77777777" w:rsidTr="009F4766">
        <w:tc>
          <w:tcPr>
            <w:tcW w:w="1182" w:type="dxa"/>
            <w:tcBorders>
              <w:top w:val="single" w:sz="2" w:space="0" w:color="auto"/>
              <w:left w:val="single" w:sz="2" w:space="0" w:color="auto"/>
              <w:bottom w:val="single" w:sz="2" w:space="0" w:color="auto"/>
              <w:right w:val="single" w:sz="2" w:space="0" w:color="auto"/>
            </w:tcBorders>
          </w:tcPr>
          <w:p w14:paraId="7C7D8150" w14:textId="77777777" w:rsidR="009F4766" w:rsidRPr="00DE12A3" w:rsidRDefault="009F4766" w:rsidP="00C917D6">
            <w:pPr>
              <w:pStyle w:val="NormalLeft"/>
            </w:pPr>
            <w:r w:rsidRPr="00DE12A3">
              <w:t>413</w:t>
            </w:r>
          </w:p>
        </w:tc>
        <w:tc>
          <w:tcPr>
            <w:tcW w:w="2489" w:type="dxa"/>
            <w:tcBorders>
              <w:top w:val="single" w:sz="2" w:space="0" w:color="auto"/>
              <w:left w:val="single" w:sz="2" w:space="0" w:color="auto"/>
              <w:bottom w:val="single" w:sz="2" w:space="0" w:color="auto"/>
              <w:right w:val="single" w:sz="2" w:space="0" w:color="auto"/>
            </w:tcBorders>
          </w:tcPr>
          <w:p w14:paraId="75D6C342" w14:textId="77777777" w:rsidR="009F4766" w:rsidRPr="00DE12A3" w:rsidRDefault="009F4766" w:rsidP="00C917D6">
            <w:pPr>
              <w:pStyle w:val="NormalLeft"/>
            </w:pPr>
            <w:r w:rsidRPr="00DE12A3">
              <w:t>62</w:t>
            </w:r>
          </w:p>
        </w:tc>
        <w:tc>
          <w:tcPr>
            <w:tcW w:w="2551" w:type="dxa"/>
            <w:tcBorders>
              <w:top w:val="single" w:sz="2" w:space="0" w:color="auto"/>
              <w:left w:val="single" w:sz="2" w:space="0" w:color="auto"/>
              <w:bottom w:val="single" w:sz="2" w:space="0" w:color="auto"/>
              <w:right w:val="single" w:sz="2" w:space="0" w:color="auto"/>
            </w:tcBorders>
          </w:tcPr>
          <w:p w14:paraId="4B0DBC14" w14:textId="77777777" w:rsidR="009F4766" w:rsidRPr="00DE12A3" w:rsidRDefault="009F4766" w:rsidP="00C917D6">
            <w:pPr>
              <w:pStyle w:val="NormalLeft"/>
            </w:pPr>
            <w:r w:rsidRPr="00DE12A3">
              <w:t>15</w:t>
            </w:r>
          </w:p>
        </w:tc>
      </w:tr>
      <w:tr w:rsidR="00DE12A3" w:rsidRPr="00DE12A3" w14:paraId="413800D6" w14:textId="77777777" w:rsidTr="009F4766">
        <w:tc>
          <w:tcPr>
            <w:tcW w:w="1182" w:type="dxa"/>
            <w:tcBorders>
              <w:top w:val="single" w:sz="2" w:space="0" w:color="auto"/>
              <w:left w:val="single" w:sz="2" w:space="0" w:color="auto"/>
              <w:bottom w:val="single" w:sz="2" w:space="0" w:color="auto"/>
              <w:right w:val="single" w:sz="2" w:space="0" w:color="auto"/>
            </w:tcBorders>
          </w:tcPr>
          <w:p w14:paraId="1F6F508D" w14:textId="77777777" w:rsidR="009F4766" w:rsidRPr="00DE12A3" w:rsidRDefault="009F4766" w:rsidP="00C917D6">
            <w:pPr>
              <w:pStyle w:val="NormalLeft"/>
            </w:pPr>
            <w:r w:rsidRPr="00DE12A3">
              <w:t>414</w:t>
            </w:r>
          </w:p>
        </w:tc>
        <w:tc>
          <w:tcPr>
            <w:tcW w:w="2489" w:type="dxa"/>
            <w:tcBorders>
              <w:top w:val="single" w:sz="2" w:space="0" w:color="auto"/>
              <w:left w:val="single" w:sz="2" w:space="0" w:color="auto"/>
              <w:bottom w:val="single" w:sz="2" w:space="0" w:color="auto"/>
              <w:right w:val="single" w:sz="2" w:space="0" w:color="auto"/>
            </w:tcBorders>
          </w:tcPr>
          <w:p w14:paraId="0C71FFD3" w14:textId="77777777" w:rsidR="009F4766" w:rsidRPr="00DE12A3" w:rsidRDefault="009F4766" w:rsidP="00C917D6">
            <w:pPr>
              <w:pStyle w:val="NormalLeft"/>
            </w:pPr>
            <w:r w:rsidRPr="00DE12A3">
              <w:t>72</w:t>
            </w:r>
          </w:p>
        </w:tc>
        <w:tc>
          <w:tcPr>
            <w:tcW w:w="2551" w:type="dxa"/>
            <w:tcBorders>
              <w:top w:val="single" w:sz="2" w:space="0" w:color="auto"/>
              <w:left w:val="single" w:sz="2" w:space="0" w:color="auto"/>
              <w:bottom w:val="single" w:sz="2" w:space="0" w:color="auto"/>
              <w:right w:val="single" w:sz="2" w:space="0" w:color="auto"/>
            </w:tcBorders>
          </w:tcPr>
          <w:p w14:paraId="0C7009E3" w14:textId="77777777" w:rsidR="009F4766" w:rsidRPr="00DE12A3" w:rsidRDefault="009F4766" w:rsidP="00C917D6">
            <w:pPr>
              <w:pStyle w:val="NormalLeft"/>
            </w:pPr>
            <w:r w:rsidRPr="00DE12A3">
              <w:t>35</w:t>
            </w:r>
          </w:p>
        </w:tc>
      </w:tr>
      <w:tr w:rsidR="00DE12A3" w:rsidRPr="00DE12A3" w14:paraId="6D1A85A3" w14:textId="77777777" w:rsidTr="009F4766">
        <w:tc>
          <w:tcPr>
            <w:tcW w:w="1182" w:type="dxa"/>
            <w:tcBorders>
              <w:top w:val="single" w:sz="2" w:space="0" w:color="auto"/>
              <w:left w:val="single" w:sz="2" w:space="0" w:color="auto"/>
              <w:bottom w:val="single" w:sz="2" w:space="0" w:color="auto"/>
              <w:right w:val="single" w:sz="2" w:space="0" w:color="auto"/>
            </w:tcBorders>
          </w:tcPr>
          <w:p w14:paraId="1C84F480" w14:textId="77777777" w:rsidR="009F4766" w:rsidRPr="00DE12A3" w:rsidRDefault="009F4766" w:rsidP="00C917D6">
            <w:pPr>
              <w:pStyle w:val="NormalLeft"/>
            </w:pPr>
            <w:r w:rsidRPr="00DE12A3">
              <w:t>415</w:t>
            </w:r>
          </w:p>
        </w:tc>
        <w:tc>
          <w:tcPr>
            <w:tcW w:w="2489" w:type="dxa"/>
            <w:tcBorders>
              <w:top w:val="single" w:sz="2" w:space="0" w:color="auto"/>
              <w:left w:val="single" w:sz="2" w:space="0" w:color="auto"/>
              <w:bottom w:val="single" w:sz="2" w:space="0" w:color="auto"/>
              <w:right w:val="single" w:sz="2" w:space="0" w:color="auto"/>
            </w:tcBorders>
          </w:tcPr>
          <w:p w14:paraId="33A49569" w14:textId="77777777" w:rsidR="009F4766" w:rsidRPr="00DE12A3" w:rsidRDefault="009F4766" w:rsidP="00C917D6">
            <w:pPr>
              <w:pStyle w:val="NormalLeft"/>
            </w:pPr>
            <w:r w:rsidRPr="00DE12A3">
              <w:t>91</w:t>
            </w:r>
          </w:p>
        </w:tc>
        <w:tc>
          <w:tcPr>
            <w:tcW w:w="2551" w:type="dxa"/>
            <w:tcBorders>
              <w:top w:val="single" w:sz="2" w:space="0" w:color="auto"/>
              <w:left w:val="single" w:sz="2" w:space="0" w:color="auto"/>
              <w:bottom w:val="single" w:sz="2" w:space="0" w:color="auto"/>
              <w:right w:val="single" w:sz="2" w:space="0" w:color="auto"/>
            </w:tcBorders>
          </w:tcPr>
          <w:p w14:paraId="4C04BEDA" w14:textId="77777777" w:rsidR="009F4766" w:rsidRPr="00DE12A3" w:rsidRDefault="009F4766" w:rsidP="00C917D6">
            <w:pPr>
              <w:pStyle w:val="NormalLeft"/>
            </w:pPr>
            <w:r w:rsidRPr="00DE12A3">
              <w:t>74</w:t>
            </w:r>
          </w:p>
        </w:tc>
      </w:tr>
      <w:tr w:rsidR="00DE12A3" w:rsidRPr="00DE12A3" w14:paraId="1DE0B169" w14:textId="77777777" w:rsidTr="009F4766">
        <w:tc>
          <w:tcPr>
            <w:tcW w:w="1182" w:type="dxa"/>
            <w:tcBorders>
              <w:top w:val="single" w:sz="2" w:space="0" w:color="auto"/>
              <w:left w:val="single" w:sz="2" w:space="0" w:color="auto"/>
              <w:bottom w:val="single" w:sz="2" w:space="0" w:color="auto"/>
              <w:right w:val="single" w:sz="2" w:space="0" w:color="auto"/>
            </w:tcBorders>
          </w:tcPr>
          <w:p w14:paraId="2D85B341" w14:textId="77777777" w:rsidR="009F4766" w:rsidRPr="00DE12A3" w:rsidRDefault="009F4766" w:rsidP="00C917D6">
            <w:pPr>
              <w:pStyle w:val="NormalLeft"/>
            </w:pPr>
            <w:r w:rsidRPr="00DE12A3">
              <w:t>416</w:t>
            </w:r>
          </w:p>
        </w:tc>
        <w:tc>
          <w:tcPr>
            <w:tcW w:w="2489" w:type="dxa"/>
            <w:tcBorders>
              <w:top w:val="single" w:sz="2" w:space="0" w:color="auto"/>
              <w:left w:val="single" w:sz="2" w:space="0" w:color="auto"/>
              <w:bottom w:val="single" w:sz="2" w:space="0" w:color="auto"/>
              <w:right w:val="single" w:sz="2" w:space="0" w:color="auto"/>
            </w:tcBorders>
          </w:tcPr>
          <w:p w14:paraId="7D3A93F5" w14:textId="77777777" w:rsidR="009F4766" w:rsidRPr="00DE12A3" w:rsidRDefault="009F4766" w:rsidP="00C917D6">
            <w:pPr>
              <w:pStyle w:val="NormalLeft"/>
            </w:pPr>
            <w:r w:rsidRPr="00DE12A3">
              <w:t>100</w:t>
            </w:r>
          </w:p>
        </w:tc>
        <w:tc>
          <w:tcPr>
            <w:tcW w:w="2551" w:type="dxa"/>
            <w:tcBorders>
              <w:top w:val="single" w:sz="2" w:space="0" w:color="auto"/>
              <w:left w:val="single" w:sz="2" w:space="0" w:color="auto"/>
              <w:bottom w:val="single" w:sz="2" w:space="0" w:color="auto"/>
              <w:right w:val="single" w:sz="2" w:space="0" w:color="auto"/>
            </w:tcBorders>
          </w:tcPr>
          <w:p w14:paraId="4B4B2BEB" w14:textId="77777777" w:rsidR="009F4766" w:rsidRPr="00DE12A3" w:rsidRDefault="009F4766" w:rsidP="00C917D6">
            <w:pPr>
              <w:pStyle w:val="NormalLeft"/>
            </w:pPr>
            <w:r w:rsidRPr="00DE12A3">
              <w:t>73</w:t>
            </w:r>
          </w:p>
        </w:tc>
      </w:tr>
      <w:tr w:rsidR="00DE12A3" w:rsidRPr="00DE12A3" w14:paraId="07775AB1" w14:textId="77777777" w:rsidTr="009F4766">
        <w:tc>
          <w:tcPr>
            <w:tcW w:w="1182" w:type="dxa"/>
            <w:tcBorders>
              <w:top w:val="single" w:sz="2" w:space="0" w:color="auto"/>
              <w:left w:val="single" w:sz="2" w:space="0" w:color="auto"/>
              <w:bottom w:val="single" w:sz="2" w:space="0" w:color="auto"/>
              <w:right w:val="single" w:sz="2" w:space="0" w:color="auto"/>
            </w:tcBorders>
          </w:tcPr>
          <w:p w14:paraId="5002D738" w14:textId="77777777" w:rsidR="009F4766" w:rsidRPr="00DE12A3" w:rsidRDefault="009F4766" w:rsidP="00C917D6">
            <w:pPr>
              <w:pStyle w:val="NormalLeft"/>
            </w:pPr>
            <w:r w:rsidRPr="00DE12A3">
              <w:t>417</w:t>
            </w:r>
          </w:p>
        </w:tc>
        <w:tc>
          <w:tcPr>
            <w:tcW w:w="2489" w:type="dxa"/>
            <w:tcBorders>
              <w:top w:val="single" w:sz="2" w:space="0" w:color="auto"/>
              <w:left w:val="single" w:sz="2" w:space="0" w:color="auto"/>
              <w:bottom w:val="single" w:sz="2" w:space="0" w:color="auto"/>
              <w:right w:val="single" w:sz="2" w:space="0" w:color="auto"/>
            </w:tcBorders>
          </w:tcPr>
          <w:p w14:paraId="18076387" w14:textId="77777777" w:rsidR="009F4766" w:rsidRPr="00DE12A3" w:rsidRDefault="009F4766" w:rsidP="00C917D6">
            <w:pPr>
              <w:pStyle w:val="NormalLeft"/>
            </w:pPr>
            <w:r w:rsidRPr="00DE12A3">
              <w:t>100</w:t>
            </w:r>
          </w:p>
        </w:tc>
        <w:tc>
          <w:tcPr>
            <w:tcW w:w="2551" w:type="dxa"/>
            <w:tcBorders>
              <w:top w:val="single" w:sz="2" w:space="0" w:color="auto"/>
              <w:left w:val="single" w:sz="2" w:space="0" w:color="auto"/>
              <w:bottom w:val="single" w:sz="2" w:space="0" w:color="auto"/>
              <w:right w:val="single" w:sz="2" w:space="0" w:color="auto"/>
            </w:tcBorders>
          </w:tcPr>
          <w:p w14:paraId="6E81DFE6" w14:textId="77777777" w:rsidR="009F4766" w:rsidRPr="00DE12A3" w:rsidRDefault="009F4766" w:rsidP="00C917D6">
            <w:pPr>
              <w:pStyle w:val="NormalLeft"/>
            </w:pPr>
            <w:r w:rsidRPr="00DE12A3">
              <w:t>8</w:t>
            </w:r>
          </w:p>
        </w:tc>
      </w:tr>
      <w:tr w:rsidR="00DE12A3" w:rsidRPr="00DE12A3" w14:paraId="22E7D36E" w14:textId="77777777" w:rsidTr="009F4766">
        <w:tc>
          <w:tcPr>
            <w:tcW w:w="1182" w:type="dxa"/>
            <w:tcBorders>
              <w:top w:val="single" w:sz="2" w:space="0" w:color="auto"/>
              <w:left w:val="single" w:sz="2" w:space="0" w:color="auto"/>
              <w:bottom w:val="single" w:sz="2" w:space="0" w:color="auto"/>
              <w:right w:val="single" w:sz="2" w:space="0" w:color="auto"/>
            </w:tcBorders>
          </w:tcPr>
          <w:p w14:paraId="08DEED94" w14:textId="77777777" w:rsidR="009F4766" w:rsidRPr="00DE12A3" w:rsidRDefault="009F4766" w:rsidP="00C917D6">
            <w:pPr>
              <w:pStyle w:val="NormalLeft"/>
            </w:pPr>
            <w:r w:rsidRPr="00DE12A3">
              <w:t>418</w:t>
            </w:r>
          </w:p>
        </w:tc>
        <w:tc>
          <w:tcPr>
            <w:tcW w:w="2489" w:type="dxa"/>
            <w:tcBorders>
              <w:top w:val="single" w:sz="2" w:space="0" w:color="auto"/>
              <w:left w:val="single" w:sz="2" w:space="0" w:color="auto"/>
              <w:bottom w:val="single" w:sz="2" w:space="0" w:color="auto"/>
              <w:right w:val="single" w:sz="2" w:space="0" w:color="auto"/>
            </w:tcBorders>
          </w:tcPr>
          <w:p w14:paraId="6B4CFFDC" w14:textId="77777777" w:rsidR="009F4766" w:rsidRPr="00DE12A3" w:rsidRDefault="009F4766" w:rsidP="00C917D6">
            <w:pPr>
              <w:pStyle w:val="NormalLeft"/>
            </w:pPr>
            <w:r w:rsidRPr="00DE12A3">
              <w:t>98</w:t>
            </w:r>
          </w:p>
        </w:tc>
        <w:tc>
          <w:tcPr>
            <w:tcW w:w="2551" w:type="dxa"/>
            <w:tcBorders>
              <w:top w:val="single" w:sz="2" w:space="0" w:color="auto"/>
              <w:left w:val="single" w:sz="2" w:space="0" w:color="auto"/>
              <w:bottom w:val="single" w:sz="2" w:space="0" w:color="auto"/>
              <w:right w:val="single" w:sz="2" w:space="0" w:color="auto"/>
            </w:tcBorders>
          </w:tcPr>
          <w:p w14:paraId="04008480" w14:textId="77777777" w:rsidR="009F4766" w:rsidRPr="00DE12A3" w:rsidRDefault="009F4766" w:rsidP="00C917D6">
            <w:pPr>
              <w:pStyle w:val="NormalLeft"/>
            </w:pPr>
            <w:r w:rsidRPr="00DE12A3">
              <w:t>11</w:t>
            </w:r>
          </w:p>
        </w:tc>
      </w:tr>
      <w:tr w:rsidR="00DE12A3" w:rsidRPr="00DE12A3" w14:paraId="3194FB41" w14:textId="77777777" w:rsidTr="009F4766">
        <w:tc>
          <w:tcPr>
            <w:tcW w:w="1182" w:type="dxa"/>
            <w:tcBorders>
              <w:top w:val="single" w:sz="2" w:space="0" w:color="auto"/>
              <w:left w:val="single" w:sz="2" w:space="0" w:color="auto"/>
              <w:bottom w:val="single" w:sz="2" w:space="0" w:color="auto"/>
              <w:right w:val="single" w:sz="2" w:space="0" w:color="auto"/>
            </w:tcBorders>
          </w:tcPr>
          <w:p w14:paraId="32A6EDE4" w14:textId="77777777" w:rsidR="009F4766" w:rsidRPr="00DE12A3" w:rsidRDefault="009F4766" w:rsidP="00C917D6">
            <w:pPr>
              <w:pStyle w:val="NormalLeft"/>
            </w:pPr>
            <w:r w:rsidRPr="00DE12A3">
              <w:t>419</w:t>
            </w:r>
          </w:p>
        </w:tc>
        <w:tc>
          <w:tcPr>
            <w:tcW w:w="2489" w:type="dxa"/>
            <w:tcBorders>
              <w:top w:val="single" w:sz="2" w:space="0" w:color="auto"/>
              <w:left w:val="single" w:sz="2" w:space="0" w:color="auto"/>
              <w:bottom w:val="single" w:sz="2" w:space="0" w:color="auto"/>
              <w:right w:val="single" w:sz="2" w:space="0" w:color="auto"/>
            </w:tcBorders>
          </w:tcPr>
          <w:p w14:paraId="49010FE1" w14:textId="77777777" w:rsidR="009F4766" w:rsidRPr="00DE12A3" w:rsidRDefault="009F4766" w:rsidP="00C917D6">
            <w:pPr>
              <w:pStyle w:val="NormalLeft"/>
            </w:pPr>
            <w:r w:rsidRPr="00DE12A3">
              <w:t>100</w:t>
            </w:r>
          </w:p>
        </w:tc>
        <w:tc>
          <w:tcPr>
            <w:tcW w:w="2551" w:type="dxa"/>
            <w:tcBorders>
              <w:top w:val="single" w:sz="2" w:space="0" w:color="auto"/>
              <w:left w:val="single" w:sz="2" w:space="0" w:color="auto"/>
              <w:bottom w:val="single" w:sz="2" w:space="0" w:color="auto"/>
              <w:right w:val="single" w:sz="2" w:space="0" w:color="auto"/>
            </w:tcBorders>
          </w:tcPr>
          <w:p w14:paraId="48CB1297" w14:textId="77777777" w:rsidR="009F4766" w:rsidRPr="00DE12A3" w:rsidRDefault="009F4766" w:rsidP="00C917D6">
            <w:pPr>
              <w:pStyle w:val="NormalLeft"/>
            </w:pPr>
            <w:r w:rsidRPr="00DE12A3">
              <w:t>59</w:t>
            </w:r>
          </w:p>
        </w:tc>
      </w:tr>
      <w:tr w:rsidR="00DE12A3" w:rsidRPr="00DE12A3" w14:paraId="6BF6C1AC" w14:textId="77777777" w:rsidTr="009F4766">
        <w:tc>
          <w:tcPr>
            <w:tcW w:w="1182" w:type="dxa"/>
            <w:tcBorders>
              <w:top w:val="single" w:sz="2" w:space="0" w:color="auto"/>
              <w:left w:val="single" w:sz="2" w:space="0" w:color="auto"/>
              <w:bottom w:val="single" w:sz="2" w:space="0" w:color="auto"/>
              <w:right w:val="single" w:sz="2" w:space="0" w:color="auto"/>
            </w:tcBorders>
          </w:tcPr>
          <w:p w14:paraId="3B77C2A2" w14:textId="77777777" w:rsidR="009F4766" w:rsidRPr="00DE12A3" w:rsidRDefault="009F4766" w:rsidP="00C917D6">
            <w:pPr>
              <w:pStyle w:val="NormalLeft"/>
            </w:pPr>
            <w:r w:rsidRPr="00DE12A3">
              <w:t>420</w:t>
            </w:r>
          </w:p>
        </w:tc>
        <w:tc>
          <w:tcPr>
            <w:tcW w:w="2489" w:type="dxa"/>
            <w:tcBorders>
              <w:top w:val="single" w:sz="2" w:space="0" w:color="auto"/>
              <w:left w:val="single" w:sz="2" w:space="0" w:color="auto"/>
              <w:bottom w:val="single" w:sz="2" w:space="0" w:color="auto"/>
              <w:right w:val="single" w:sz="2" w:space="0" w:color="auto"/>
            </w:tcBorders>
          </w:tcPr>
          <w:p w14:paraId="7C728868" w14:textId="77777777" w:rsidR="009F4766" w:rsidRPr="00DE12A3" w:rsidRDefault="009F4766" w:rsidP="00C917D6">
            <w:pPr>
              <w:pStyle w:val="NormalLeft"/>
            </w:pPr>
            <w:r w:rsidRPr="00DE12A3">
              <w:t>100</w:t>
            </w:r>
          </w:p>
        </w:tc>
        <w:tc>
          <w:tcPr>
            <w:tcW w:w="2551" w:type="dxa"/>
            <w:tcBorders>
              <w:top w:val="single" w:sz="2" w:space="0" w:color="auto"/>
              <w:left w:val="single" w:sz="2" w:space="0" w:color="auto"/>
              <w:bottom w:val="single" w:sz="2" w:space="0" w:color="auto"/>
              <w:right w:val="single" w:sz="2" w:space="0" w:color="auto"/>
            </w:tcBorders>
          </w:tcPr>
          <w:p w14:paraId="50E7E987" w14:textId="77777777" w:rsidR="009F4766" w:rsidRPr="00DE12A3" w:rsidRDefault="009F4766" w:rsidP="00C917D6">
            <w:pPr>
              <w:pStyle w:val="NormalLeft"/>
            </w:pPr>
            <w:r w:rsidRPr="00DE12A3">
              <w:t>98</w:t>
            </w:r>
          </w:p>
        </w:tc>
      </w:tr>
      <w:tr w:rsidR="00DE12A3" w:rsidRPr="00DE12A3" w14:paraId="74B3303B" w14:textId="77777777" w:rsidTr="009F4766">
        <w:tc>
          <w:tcPr>
            <w:tcW w:w="1182" w:type="dxa"/>
            <w:tcBorders>
              <w:top w:val="single" w:sz="2" w:space="0" w:color="auto"/>
              <w:left w:val="single" w:sz="2" w:space="0" w:color="auto"/>
              <w:bottom w:val="single" w:sz="2" w:space="0" w:color="auto"/>
              <w:right w:val="single" w:sz="2" w:space="0" w:color="auto"/>
            </w:tcBorders>
          </w:tcPr>
          <w:p w14:paraId="7470D752" w14:textId="77777777" w:rsidR="009F4766" w:rsidRPr="00DE12A3" w:rsidRDefault="009F4766" w:rsidP="00C917D6">
            <w:pPr>
              <w:pStyle w:val="NormalLeft"/>
            </w:pPr>
            <w:r w:rsidRPr="00DE12A3">
              <w:t>421</w:t>
            </w:r>
          </w:p>
        </w:tc>
        <w:tc>
          <w:tcPr>
            <w:tcW w:w="2489" w:type="dxa"/>
            <w:tcBorders>
              <w:top w:val="single" w:sz="2" w:space="0" w:color="auto"/>
              <w:left w:val="single" w:sz="2" w:space="0" w:color="auto"/>
              <w:bottom w:val="single" w:sz="2" w:space="0" w:color="auto"/>
              <w:right w:val="single" w:sz="2" w:space="0" w:color="auto"/>
            </w:tcBorders>
          </w:tcPr>
          <w:p w14:paraId="28015E1A" w14:textId="77777777" w:rsidR="009F4766" w:rsidRPr="00DE12A3" w:rsidRDefault="009F4766" w:rsidP="00C917D6">
            <w:pPr>
              <w:pStyle w:val="NormalLeft"/>
            </w:pPr>
            <w:r w:rsidRPr="00DE12A3">
              <w:t>100</w:t>
            </w:r>
          </w:p>
        </w:tc>
        <w:tc>
          <w:tcPr>
            <w:tcW w:w="2551" w:type="dxa"/>
            <w:tcBorders>
              <w:top w:val="single" w:sz="2" w:space="0" w:color="auto"/>
              <w:left w:val="single" w:sz="2" w:space="0" w:color="auto"/>
              <w:bottom w:val="single" w:sz="2" w:space="0" w:color="auto"/>
              <w:right w:val="single" w:sz="2" w:space="0" w:color="auto"/>
            </w:tcBorders>
          </w:tcPr>
          <w:p w14:paraId="5783C1EB" w14:textId="77777777" w:rsidR="009F4766" w:rsidRPr="00DE12A3" w:rsidRDefault="009F4766" w:rsidP="00C917D6">
            <w:pPr>
              <w:pStyle w:val="NormalLeft"/>
            </w:pPr>
            <w:r w:rsidRPr="00DE12A3">
              <w:t>99</w:t>
            </w:r>
          </w:p>
        </w:tc>
      </w:tr>
      <w:tr w:rsidR="00DE12A3" w:rsidRPr="00DE12A3" w14:paraId="1131E3A4" w14:textId="77777777" w:rsidTr="009F4766">
        <w:tc>
          <w:tcPr>
            <w:tcW w:w="1182" w:type="dxa"/>
            <w:tcBorders>
              <w:top w:val="single" w:sz="2" w:space="0" w:color="auto"/>
              <w:left w:val="single" w:sz="2" w:space="0" w:color="auto"/>
              <w:bottom w:val="single" w:sz="2" w:space="0" w:color="auto"/>
              <w:right w:val="single" w:sz="2" w:space="0" w:color="auto"/>
            </w:tcBorders>
          </w:tcPr>
          <w:p w14:paraId="194E3BCD" w14:textId="77777777" w:rsidR="009F4766" w:rsidRPr="00DE12A3" w:rsidRDefault="009F4766" w:rsidP="00C917D6">
            <w:pPr>
              <w:pStyle w:val="NormalLeft"/>
            </w:pPr>
            <w:r w:rsidRPr="00DE12A3">
              <w:t>422</w:t>
            </w:r>
          </w:p>
        </w:tc>
        <w:tc>
          <w:tcPr>
            <w:tcW w:w="2489" w:type="dxa"/>
            <w:tcBorders>
              <w:top w:val="single" w:sz="2" w:space="0" w:color="auto"/>
              <w:left w:val="single" w:sz="2" w:space="0" w:color="auto"/>
              <w:bottom w:val="single" w:sz="2" w:space="0" w:color="auto"/>
              <w:right w:val="single" w:sz="2" w:space="0" w:color="auto"/>
            </w:tcBorders>
          </w:tcPr>
          <w:p w14:paraId="6958DE65" w14:textId="77777777" w:rsidR="009F4766" w:rsidRPr="00DE12A3" w:rsidRDefault="009F4766" w:rsidP="00C917D6">
            <w:pPr>
              <w:pStyle w:val="NormalLeft"/>
            </w:pPr>
            <w:r w:rsidRPr="00DE12A3">
              <w:t>100</w:t>
            </w:r>
          </w:p>
        </w:tc>
        <w:tc>
          <w:tcPr>
            <w:tcW w:w="2551" w:type="dxa"/>
            <w:tcBorders>
              <w:top w:val="single" w:sz="2" w:space="0" w:color="auto"/>
              <w:left w:val="single" w:sz="2" w:space="0" w:color="auto"/>
              <w:bottom w:val="single" w:sz="2" w:space="0" w:color="auto"/>
              <w:right w:val="single" w:sz="2" w:space="0" w:color="auto"/>
            </w:tcBorders>
          </w:tcPr>
          <w:p w14:paraId="1158A801" w14:textId="77777777" w:rsidR="009F4766" w:rsidRPr="00DE12A3" w:rsidRDefault="009F4766" w:rsidP="00C917D6">
            <w:pPr>
              <w:pStyle w:val="NormalLeft"/>
            </w:pPr>
            <w:r w:rsidRPr="00DE12A3">
              <w:t>75</w:t>
            </w:r>
          </w:p>
        </w:tc>
      </w:tr>
      <w:tr w:rsidR="00DE12A3" w:rsidRPr="00DE12A3" w14:paraId="295F6115" w14:textId="77777777" w:rsidTr="009F4766">
        <w:tc>
          <w:tcPr>
            <w:tcW w:w="1182" w:type="dxa"/>
            <w:tcBorders>
              <w:top w:val="single" w:sz="2" w:space="0" w:color="auto"/>
              <w:left w:val="single" w:sz="2" w:space="0" w:color="auto"/>
              <w:bottom w:val="single" w:sz="2" w:space="0" w:color="auto"/>
              <w:right w:val="single" w:sz="2" w:space="0" w:color="auto"/>
            </w:tcBorders>
          </w:tcPr>
          <w:p w14:paraId="41F6C3AC" w14:textId="77777777" w:rsidR="009F4766" w:rsidRPr="00DE12A3" w:rsidRDefault="009F4766" w:rsidP="00C917D6">
            <w:pPr>
              <w:pStyle w:val="NormalLeft"/>
            </w:pPr>
            <w:r w:rsidRPr="00DE12A3">
              <w:t>423</w:t>
            </w:r>
          </w:p>
        </w:tc>
        <w:tc>
          <w:tcPr>
            <w:tcW w:w="2489" w:type="dxa"/>
            <w:tcBorders>
              <w:top w:val="single" w:sz="2" w:space="0" w:color="auto"/>
              <w:left w:val="single" w:sz="2" w:space="0" w:color="auto"/>
              <w:bottom w:val="single" w:sz="2" w:space="0" w:color="auto"/>
              <w:right w:val="single" w:sz="2" w:space="0" w:color="auto"/>
            </w:tcBorders>
          </w:tcPr>
          <w:p w14:paraId="32BD870F" w14:textId="77777777" w:rsidR="009F4766" w:rsidRPr="00DE12A3" w:rsidRDefault="009F4766" w:rsidP="00C917D6">
            <w:pPr>
              <w:pStyle w:val="NormalLeft"/>
            </w:pPr>
            <w:r w:rsidRPr="00DE12A3">
              <w:t>100</w:t>
            </w:r>
          </w:p>
        </w:tc>
        <w:tc>
          <w:tcPr>
            <w:tcW w:w="2551" w:type="dxa"/>
            <w:tcBorders>
              <w:top w:val="single" w:sz="2" w:space="0" w:color="auto"/>
              <w:left w:val="single" w:sz="2" w:space="0" w:color="auto"/>
              <w:bottom w:val="single" w:sz="2" w:space="0" w:color="auto"/>
              <w:right w:val="single" w:sz="2" w:space="0" w:color="auto"/>
            </w:tcBorders>
          </w:tcPr>
          <w:p w14:paraId="2BF321AB" w14:textId="77777777" w:rsidR="009F4766" w:rsidRPr="00DE12A3" w:rsidRDefault="009F4766" w:rsidP="00C917D6">
            <w:pPr>
              <w:pStyle w:val="NormalLeft"/>
            </w:pPr>
            <w:r w:rsidRPr="00DE12A3">
              <w:t>95</w:t>
            </w:r>
          </w:p>
        </w:tc>
      </w:tr>
      <w:tr w:rsidR="00DE12A3" w:rsidRPr="00DE12A3" w14:paraId="2A6BBFCA" w14:textId="77777777" w:rsidTr="009F4766">
        <w:tc>
          <w:tcPr>
            <w:tcW w:w="1182" w:type="dxa"/>
            <w:tcBorders>
              <w:top w:val="single" w:sz="2" w:space="0" w:color="auto"/>
              <w:left w:val="single" w:sz="2" w:space="0" w:color="auto"/>
              <w:bottom w:val="single" w:sz="2" w:space="0" w:color="auto"/>
              <w:right w:val="single" w:sz="2" w:space="0" w:color="auto"/>
            </w:tcBorders>
          </w:tcPr>
          <w:p w14:paraId="4B1C32CD" w14:textId="77777777" w:rsidR="009F4766" w:rsidRPr="00DE12A3" w:rsidRDefault="009F4766" w:rsidP="00C917D6">
            <w:pPr>
              <w:pStyle w:val="NormalLeft"/>
            </w:pPr>
            <w:r w:rsidRPr="00DE12A3">
              <w:t>424</w:t>
            </w:r>
          </w:p>
        </w:tc>
        <w:tc>
          <w:tcPr>
            <w:tcW w:w="2489" w:type="dxa"/>
            <w:tcBorders>
              <w:top w:val="single" w:sz="2" w:space="0" w:color="auto"/>
              <w:left w:val="single" w:sz="2" w:space="0" w:color="auto"/>
              <w:bottom w:val="single" w:sz="2" w:space="0" w:color="auto"/>
              <w:right w:val="single" w:sz="2" w:space="0" w:color="auto"/>
            </w:tcBorders>
          </w:tcPr>
          <w:p w14:paraId="13D5C9F4" w14:textId="77777777" w:rsidR="009F4766" w:rsidRPr="00DE12A3" w:rsidRDefault="009F4766" w:rsidP="00C917D6">
            <w:pPr>
              <w:pStyle w:val="NormalLeft"/>
            </w:pPr>
            <w:r w:rsidRPr="00DE12A3">
              <w:t>100</w:t>
            </w:r>
          </w:p>
        </w:tc>
        <w:tc>
          <w:tcPr>
            <w:tcW w:w="2551" w:type="dxa"/>
            <w:tcBorders>
              <w:top w:val="single" w:sz="2" w:space="0" w:color="auto"/>
              <w:left w:val="single" w:sz="2" w:space="0" w:color="auto"/>
              <w:bottom w:val="single" w:sz="2" w:space="0" w:color="auto"/>
              <w:right w:val="single" w:sz="2" w:space="0" w:color="auto"/>
            </w:tcBorders>
          </w:tcPr>
          <w:p w14:paraId="0BB14333" w14:textId="77777777" w:rsidR="009F4766" w:rsidRPr="00DE12A3" w:rsidRDefault="009F4766" w:rsidP="00C917D6">
            <w:pPr>
              <w:pStyle w:val="NormalLeft"/>
            </w:pPr>
            <w:r w:rsidRPr="00DE12A3">
              <w:t>100</w:t>
            </w:r>
          </w:p>
        </w:tc>
      </w:tr>
      <w:tr w:rsidR="00DE12A3" w:rsidRPr="00DE12A3" w14:paraId="5B041F2C" w14:textId="77777777" w:rsidTr="009F4766">
        <w:tc>
          <w:tcPr>
            <w:tcW w:w="1182" w:type="dxa"/>
            <w:tcBorders>
              <w:top w:val="single" w:sz="2" w:space="0" w:color="auto"/>
              <w:left w:val="single" w:sz="2" w:space="0" w:color="auto"/>
              <w:bottom w:val="single" w:sz="2" w:space="0" w:color="auto"/>
              <w:right w:val="single" w:sz="2" w:space="0" w:color="auto"/>
            </w:tcBorders>
          </w:tcPr>
          <w:p w14:paraId="02A96E12" w14:textId="77777777" w:rsidR="009F4766" w:rsidRPr="00DE12A3" w:rsidRDefault="009F4766" w:rsidP="00C917D6">
            <w:pPr>
              <w:pStyle w:val="NormalLeft"/>
            </w:pPr>
            <w:r w:rsidRPr="00DE12A3">
              <w:t>425</w:t>
            </w:r>
          </w:p>
        </w:tc>
        <w:tc>
          <w:tcPr>
            <w:tcW w:w="2489" w:type="dxa"/>
            <w:tcBorders>
              <w:top w:val="single" w:sz="2" w:space="0" w:color="auto"/>
              <w:left w:val="single" w:sz="2" w:space="0" w:color="auto"/>
              <w:bottom w:val="single" w:sz="2" w:space="0" w:color="auto"/>
              <w:right w:val="single" w:sz="2" w:space="0" w:color="auto"/>
            </w:tcBorders>
          </w:tcPr>
          <w:p w14:paraId="38F0592B" w14:textId="77777777" w:rsidR="009F4766" w:rsidRPr="00DE12A3" w:rsidRDefault="009F4766" w:rsidP="00C917D6">
            <w:pPr>
              <w:pStyle w:val="NormalLeft"/>
            </w:pPr>
            <w:r w:rsidRPr="00DE12A3">
              <w:t>100</w:t>
            </w:r>
          </w:p>
        </w:tc>
        <w:tc>
          <w:tcPr>
            <w:tcW w:w="2551" w:type="dxa"/>
            <w:tcBorders>
              <w:top w:val="single" w:sz="2" w:space="0" w:color="auto"/>
              <w:left w:val="single" w:sz="2" w:space="0" w:color="auto"/>
              <w:bottom w:val="single" w:sz="2" w:space="0" w:color="auto"/>
              <w:right w:val="single" w:sz="2" w:space="0" w:color="auto"/>
            </w:tcBorders>
          </w:tcPr>
          <w:p w14:paraId="77999C0A" w14:textId="77777777" w:rsidR="009F4766" w:rsidRPr="00DE12A3" w:rsidRDefault="009F4766" w:rsidP="00C917D6">
            <w:pPr>
              <w:pStyle w:val="NormalLeft"/>
            </w:pPr>
            <w:r w:rsidRPr="00DE12A3">
              <w:t>97</w:t>
            </w:r>
          </w:p>
        </w:tc>
      </w:tr>
      <w:tr w:rsidR="00DE12A3" w:rsidRPr="00DE12A3" w14:paraId="3889A588" w14:textId="77777777" w:rsidTr="009F4766">
        <w:tc>
          <w:tcPr>
            <w:tcW w:w="1182" w:type="dxa"/>
            <w:tcBorders>
              <w:top w:val="single" w:sz="2" w:space="0" w:color="auto"/>
              <w:left w:val="single" w:sz="2" w:space="0" w:color="auto"/>
              <w:bottom w:val="single" w:sz="2" w:space="0" w:color="auto"/>
              <w:right w:val="single" w:sz="2" w:space="0" w:color="auto"/>
            </w:tcBorders>
          </w:tcPr>
          <w:p w14:paraId="482CB86B" w14:textId="77777777" w:rsidR="009F4766" w:rsidRPr="00DE12A3" w:rsidRDefault="009F4766" w:rsidP="00C917D6">
            <w:pPr>
              <w:pStyle w:val="NormalLeft"/>
            </w:pPr>
            <w:r w:rsidRPr="00DE12A3">
              <w:t>426</w:t>
            </w:r>
          </w:p>
        </w:tc>
        <w:tc>
          <w:tcPr>
            <w:tcW w:w="2489" w:type="dxa"/>
            <w:tcBorders>
              <w:top w:val="single" w:sz="2" w:space="0" w:color="auto"/>
              <w:left w:val="single" w:sz="2" w:space="0" w:color="auto"/>
              <w:bottom w:val="single" w:sz="2" w:space="0" w:color="auto"/>
              <w:right w:val="single" w:sz="2" w:space="0" w:color="auto"/>
            </w:tcBorders>
          </w:tcPr>
          <w:p w14:paraId="76ABCE1D" w14:textId="77777777" w:rsidR="009F4766" w:rsidRPr="00DE12A3" w:rsidRDefault="009F4766" w:rsidP="00C917D6">
            <w:pPr>
              <w:pStyle w:val="NormalLeft"/>
            </w:pPr>
            <w:r w:rsidRPr="00DE12A3">
              <w:t>100</w:t>
            </w:r>
          </w:p>
        </w:tc>
        <w:tc>
          <w:tcPr>
            <w:tcW w:w="2551" w:type="dxa"/>
            <w:tcBorders>
              <w:top w:val="single" w:sz="2" w:space="0" w:color="auto"/>
              <w:left w:val="single" w:sz="2" w:space="0" w:color="auto"/>
              <w:bottom w:val="single" w:sz="2" w:space="0" w:color="auto"/>
              <w:right w:val="single" w:sz="2" w:space="0" w:color="auto"/>
            </w:tcBorders>
          </w:tcPr>
          <w:p w14:paraId="380F284B" w14:textId="77777777" w:rsidR="009F4766" w:rsidRPr="00DE12A3" w:rsidRDefault="009F4766" w:rsidP="00C917D6">
            <w:pPr>
              <w:pStyle w:val="NormalLeft"/>
            </w:pPr>
            <w:r w:rsidRPr="00DE12A3">
              <w:t>90</w:t>
            </w:r>
          </w:p>
        </w:tc>
      </w:tr>
      <w:tr w:rsidR="00DE12A3" w:rsidRPr="00DE12A3" w14:paraId="5F79638A" w14:textId="77777777" w:rsidTr="009F4766">
        <w:tc>
          <w:tcPr>
            <w:tcW w:w="1182" w:type="dxa"/>
            <w:tcBorders>
              <w:top w:val="single" w:sz="2" w:space="0" w:color="auto"/>
              <w:left w:val="single" w:sz="2" w:space="0" w:color="auto"/>
              <w:bottom w:val="single" w:sz="2" w:space="0" w:color="auto"/>
              <w:right w:val="single" w:sz="2" w:space="0" w:color="auto"/>
            </w:tcBorders>
          </w:tcPr>
          <w:p w14:paraId="13A0158C" w14:textId="77777777" w:rsidR="009F4766" w:rsidRPr="00DE12A3" w:rsidRDefault="009F4766" w:rsidP="00C917D6">
            <w:pPr>
              <w:pStyle w:val="NormalLeft"/>
            </w:pPr>
            <w:r w:rsidRPr="00DE12A3">
              <w:t>427</w:t>
            </w:r>
          </w:p>
        </w:tc>
        <w:tc>
          <w:tcPr>
            <w:tcW w:w="2489" w:type="dxa"/>
            <w:tcBorders>
              <w:top w:val="single" w:sz="2" w:space="0" w:color="auto"/>
              <w:left w:val="single" w:sz="2" w:space="0" w:color="auto"/>
              <w:bottom w:val="single" w:sz="2" w:space="0" w:color="auto"/>
              <w:right w:val="single" w:sz="2" w:space="0" w:color="auto"/>
            </w:tcBorders>
          </w:tcPr>
          <w:p w14:paraId="7F6745BE" w14:textId="77777777" w:rsidR="009F4766" w:rsidRPr="00DE12A3" w:rsidRDefault="009F4766" w:rsidP="00C917D6">
            <w:pPr>
              <w:pStyle w:val="NormalLeft"/>
            </w:pPr>
            <w:r w:rsidRPr="00DE12A3">
              <w:t>100</w:t>
            </w:r>
          </w:p>
        </w:tc>
        <w:tc>
          <w:tcPr>
            <w:tcW w:w="2551" w:type="dxa"/>
            <w:tcBorders>
              <w:top w:val="single" w:sz="2" w:space="0" w:color="auto"/>
              <w:left w:val="single" w:sz="2" w:space="0" w:color="auto"/>
              <w:bottom w:val="single" w:sz="2" w:space="0" w:color="auto"/>
              <w:right w:val="single" w:sz="2" w:space="0" w:color="auto"/>
            </w:tcBorders>
          </w:tcPr>
          <w:p w14:paraId="37EB7878" w14:textId="77777777" w:rsidR="009F4766" w:rsidRPr="00DE12A3" w:rsidRDefault="009F4766" w:rsidP="00C917D6">
            <w:pPr>
              <w:pStyle w:val="NormalLeft"/>
            </w:pPr>
            <w:r w:rsidRPr="00DE12A3">
              <w:t>86</w:t>
            </w:r>
          </w:p>
        </w:tc>
      </w:tr>
      <w:tr w:rsidR="00DE12A3" w:rsidRPr="00DE12A3" w14:paraId="4FEF429C" w14:textId="77777777" w:rsidTr="009F4766">
        <w:tc>
          <w:tcPr>
            <w:tcW w:w="1182" w:type="dxa"/>
            <w:tcBorders>
              <w:top w:val="single" w:sz="2" w:space="0" w:color="auto"/>
              <w:left w:val="single" w:sz="2" w:space="0" w:color="auto"/>
              <w:bottom w:val="single" w:sz="2" w:space="0" w:color="auto"/>
              <w:right w:val="single" w:sz="2" w:space="0" w:color="auto"/>
            </w:tcBorders>
          </w:tcPr>
          <w:p w14:paraId="4EEC9E11" w14:textId="77777777" w:rsidR="009F4766" w:rsidRPr="00DE12A3" w:rsidRDefault="009F4766" w:rsidP="00C917D6">
            <w:pPr>
              <w:pStyle w:val="NormalLeft"/>
            </w:pPr>
            <w:r w:rsidRPr="00DE12A3">
              <w:t>428</w:t>
            </w:r>
          </w:p>
        </w:tc>
        <w:tc>
          <w:tcPr>
            <w:tcW w:w="2489" w:type="dxa"/>
            <w:tcBorders>
              <w:top w:val="single" w:sz="2" w:space="0" w:color="auto"/>
              <w:left w:val="single" w:sz="2" w:space="0" w:color="auto"/>
              <w:bottom w:val="single" w:sz="2" w:space="0" w:color="auto"/>
              <w:right w:val="single" w:sz="2" w:space="0" w:color="auto"/>
            </w:tcBorders>
          </w:tcPr>
          <w:p w14:paraId="6678D275" w14:textId="77777777" w:rsidR="009F4766" w:rsidRPr="00DE12A3" w:rsidRDefault="009F4766" w:rsidP="00C917D6">
            <w:pPr>
              <w:pStyle w:val="NormalLeft"/>
            </w:pPr>
            <w:r w:rsidRPr="00DE12A3">
              <w:t>100</w:t>
            </w:r>
          </w:p>
        </w:tc>
        <w:tc>
          <w:tcPr>
            <w:tcW w:w="2551" w:type="dxa"/>
            <w:tcBorders>
              <w:top w:val="single" w:sz="2" w:space="0" w:color="auto"/>
              <w:left w:val="single" w:sz="2" w:space="0" w:color="auto"/>
              <w:bottom w:val="single" w:sz="2" w:space="0" w:color="auto"/>
              <w:right w:val="single" w:sz="2" w:space="0" w:color="auto"/>
            </w:tcBorders>
          </w:tcPr>
          <w:p w14:paraId="442EBC01" w14:textId="77777777" w:rsidR="009F4766" w:rsidRPr="00DE12A3" w:rsidRDefault="009F4766" w:rsidP="00C917D6">
            <w:pPr>
              <w:pStyle w:val="NormalLeft"/>
            </w:pPr>
            <w:r w:rsidRPr="00DE12A3">
              <w:t>82</w:t>
            </w:r>
          </w:p>
        </w:tc>
      </w:tr>
      <w:tr w:rsidR="00DE12A3" w:rsidRPr="00DE12A3" w14:paraId="5A6EC1EB" w14:textId="77777777" w:rsidTr="009F4766">
        <w:tc>
          <w:tcPr>
            <w:tcW w:w="1182" w:type="dxa"/>
            <w:tcBorders>
              <w:top w:val="single" w:sz="2" w:space="0" w:color="auto"/>
              <w:left w:val="single" w:sz="2" w:space="0" w:color="auto"/>
              <w:bottom w:val="single" w:sz="2" w:space="0" w:color="auto"/>
              <w:right w:val="single" w:sz="2" w:space="0" w:color="auto"/>
            </w:tcBorders>
          </w:tcPr>
          <w:p w14:paraId="28DB491E" w14:textId="77777777" w:rsidR="009F4766" w:rsidRPr="00DE12A3" w:rsidRDefault="009F4766" w:rsidP="00C917D6">
            <w:pPr>
              <w:pStyle w:val="NormalLeft"/>
            </w:pPr>
            <w:r w:rsidRPr="00DE12A3">
              <w:t>429</w:t>
            </w:r>
          </w:p>
        </w:tc>
        <w:tc>
          <w:tcPr>
            <w:tcW w:w="2489" w:type="dxa"/>
            <w:tcBorders>
              <w:top w:val="single" w:sz="2" w:space="0" w:color="auto"/>
              <w:left w:val="single" w:sz="2" w:space="0" w:color="auto"/>
              <w:bottom w:val="single" w:sz="2" w:space="0" w:color="auto"/>
              <w:right w:val="single" w:sz="2" w:space="0" w:color="auto"/>
            </w:tcBorders>
          </w:tcPr>
          <w:p w14:paraId="7F90D3B2" w14:textId="77777777" w:rsidR="009F4766" w:rsidRPr="00DE12A3" w:rsidRDefault="009F4766" w:rsidP="00C917D6">
            <w:pPr>
              <w:pStyle w:val="NormalLeft"/>
            </w:pPr>
            <w:r w:rsidRPr="00DE12A3">
              <w:t>97</w:t>
            </w:r>
          </w:p>
        </w:tc>
        <w:tc>
          <w:tcPr>
            <w:tcW w:w="2551" w:type="dxa"/>
            <w:tcBorders>
              <w:top w:val="single" w:sz="2" w:space="0" w:color="auto"/>
              <w:left w:val="single" w:sz="2" w:space="0" w:color="auto"/>
              <w:bottom w:val="single" w:sz="2" w:space="0" w:color="auto"/>
              <w:right w:val="single" w:sz="2" w:space="0" w:color="auto"/>
            </w:tcBorders>
          </w:tcPr>
          <w:p w14:paraId="72163EA9" w14:textId="77777777" w:rsidR="009F4766" w:rsidRPr="00DE12A3" w:rsidRDefault="009F4766" w:rsidP="00C917D6">
            <w:pPr>
              <w:pStyle w:val="NormalLeft"/>
            </w:pPr>
            <w:r w:rsidRPr="00DE12A3">
              <w:t>43</w:t>
            </w:r>
          </w:p>
        </w:tc>
      </w:tr>
      <w:tr w:rsidR="00DE12A3" w:rsidRPr="00DE12A3" w14:paraId="3AC2FB35" w14:textId="77777777" w:rsidTr="009F4766">
        <w:tc>
          <w:tcPr>
            <w:tcW w:w="1182" w:type="dxa"/>
            <w:tcBorders>
              <w:top w:val="single" w:sz="2" w:space="0" w:color="auto"/>
              <w:left w:val="single" w:sz="2" w:space="0" w:color="auto"/>
              <w:bottom w:val="single" w:sz="2" w:space="0" w:color="auto"/>
              <w:right w:val="single" w:sz="2" w:space="0" w:color="auto"/>
            </w:tcBorders>
          </w:tcPr>
          <w:p w14:paraId="66123D32" w14:textId="77777777" w:rsidR="009F4766" w:rsidRPr="00DE12A3" w:rsidRDefault="009F4766" w:rsidP="00C917D6">
            <w:pPr>
              <w:pStyle w:val="NormalLeft"/>
            </w:pPr>
            <w:r w:rsidRPr="00DE12A3">
              <w:t>430</w:t>
            </w:r>
          </w:p>
        </w:tc>
        <w:tc>
          <w:tcPr>
            <w:tcW w:w="2489" w:type="dxa"/>
            <w:tcBorders>
              <w:top w:val="single" w:sz="2" w:space="0" w:color="auto"/>
              <w:left w:val="single" w:sz="2" w:space="0" w:color="auto"/>
              <w:bottom w:val="single" w:sz="2" w:space="0" w:color="auto"/>
              <w:right w:val="single" w:sz="2" w:space="0" w:color="auto"/>
            </w:tcBorders>
          </w:tcPr>
          <w:p w14:paraId="64C2856C" w14:textId="77777777" w:rsidR="009F4766" w:rsidRPr="00DE12A3" w:rsidRDefault="009F4766" w:rsidP="00C917D6">
            <w:pPr>
              <w:pStyle w:val="NormalLeft"/>
            </w:pPr>
            <w:r w:rsidRPr="00DE12A3">
              <w:t>70</w:t>
            </w:r>
          </w:p>
        </w:tc>
        <w:tc>
          <w:tcPr>
            <w:tcW w:w="2551" w:type="dxa"/>
            <w:tcBorders>
              <w:top w:val="single" w:sz="2" w:space="0" w:color="auto"/>
              <w:left w:val="single" w:sz="2" w:space="0" w:color="auto"/>
              <w:bottom w:val="single" w:sz="2" w:space="0" w:color="auto"/>
              <w:right w:val="single" w:sz="2" w:space="0" w:color="auto"/>
            </w:tcBorders>
          </w:tcPr>
          <w:p w14:paraId="15856D68" w14:textId="77777777" w:rsidR="009F4766" w:rsidRPr="00DE12A3" w:rsidRDefault="009F4766" w:rsidP="00C917D6">
            <w:pPr>
              <w:pStyle w:val="NormalLeft"/>
            </w:pPr>
            <w:r w:rsidRPr="00DE12A3">
              <w:t>16</w:t>
            </w:r>
          </w:p>
        </w:tc>
      </w:tr>
      <w:tr w:rsidR="00DE12A3" w:rsidRPr="00DE12A3" w14:paraId="3AEFBA75" w14:textId="77777777" w:rsidTr="009F4766">
        <w:tc>
          <w:tcPr>
            <w:tcW w:w="1182" w:type="dxa"/>
            <w:tcBorders>
              <w:top w:val="single" w:sz="2" w:space="0" w:color="auto"/>
              <w:left w:val="single" w:sz="2" w:space="0" w:color="auto"/>
              <w:bottom w:val="single" w:sz="2" w:space="0" w:color="auto"/>
              <w:right w:val="single" w:sz="2" w:space="0" w:color="auto"/>
            </w:tcBorders>
          </w:tcPr>
          <w:p w14:paraId="652C0495" w14:textId="77777777" w:rsidR="009F4766" w:rsidRPr="00DE12A3" w:rsidRDefault="009F4766" w:rsidP="00C917D6">
            <w:pPr>
              <w:pStyle w:val="NormalLeft"/>
            </w:pPr>
            <w:r w:rsidRPr="00DE12A3">
              <w:t>431</w:t>
            </w:r>
          </w:p>
        </w:tc>
        <w:tc>
          <w:tcPr>
            <w:tcW w:w="2489" w:type="dxa"/>
            <w:tcBorders>
              <w:top w:val="single" w:sz="2" w:space="0" w:color="auto"/>
              <w:left w:val="single" w:sz="2" w:space="0" w:color="auto"/>
              <w:bottom w:val="single" w:sz="2" w:space="0" w:color="auto"/>
              <w:right w:val="single" w:sz="2" w:space="0" w:color="auto"/>
            </w:tcBorders>
          </w:tcPr>
          <w:p w14:paraId="64B8AA48" w14:textId="77777777" w:rsidR="009F4766" w:rsidRPr="00DE12A3" w:rsidRDefault="009F4766" w:rsidP="00C917D6">
            <w:pPr>
              <w:pStyle w:val="NormalLeft"/>
            </w:pPr>
            <w:r w:rsidRPr="00DE12A3">
              <w:t>50</w:t>
            </w:r>
          </w:p>
        </w:tc>
        <w:tc>
          <w:tcPr>
            <w:tcW w:w="2551" w:type="dxa"/>
            <w:tcBorders>
              <w:top w:val="single" w:sz="2" w:space="0" w:color="auto"/>
              <w:left w:val="single" w:sz="2" w:space="0" w:color="auto"/>
              <w:bottom w:val="single" w:sz="2" w:space="0" w:color="auto"/>
              <w:right w:val="single" w:sz="2" w:space="0" w:color="auto"/>
            </w:tcBorders>
          </w:tcPr>
          <w:p w14:paraId="1B698A6A" w14:textId="77777777" w:rsidR="009F4766" w:rsidRPr="00DE12A3" w:rsidRDefault="009F4766" w:rsidP="00C917D6">
            <w:pPr>
              <w:pStyle w:val="NormalLeft"/>
            </w:pPr>
            <w:r w:rsidRPr="00DE12A3">
              <w:t>20</w:t>
            </w:r>
          </w:p>
        </w:tc>
      </w:tr>
      <w:tr w:rsidR="00DE12A3" w:rsidRPr="00DE12A3" w14:paraId="294BAAB0" w14:textId="77777777" w:rsidTr="009F4766">
        <w:tc>
          <w:tcPr>
            <w:tcW w:w="1182" w:type="dxa"/>
            <w:tcBorders>
              <w:top w:val="single" w:sz="2" w:space="0" w:color="auto"/>
              <w:left w:val="single" w:sz="2" w:space="0" w:color="auto"/>
              <w:bottom w:val="single" w:sz="2" w:space="0" w:color="auto"/>
              <w:right w:val="single" w:sz="2" w:space="0" w:color="auto"/>
            </w:tcBorders>
          </w:tcPr>
          <w:p w14:paraId="19D0EBF4" w14:textId="77777777" w:rsidR="009F4766" w:rsidRPr="00DE12A3" w:rsidRDefault="009F4766" w:rsidP="00C917D6">
            <w:pPr>
              <w:pStyle w:val="NormalLeft"/>
            </w:pPr>
            <w:r w:rsidRPr="00DE12A3">
              <w:t>432</w:t>
            </w:r>
          </w:p>
        </w:tc>
        <w:tc>
          <w:tcPr>
            <w:tcW w:w="2489" w:type="dxa"/>
            <w:tcBorders>
              <w:top w:val="single" w:sz="2" w:space="0" w:color="auto"/>
              <w:left w:val="single" w:sz="2" w:space="0" w:color="auto"/>
              <w:bottom w:val="single" w:sz="2" w:space="0" w:color="auto"/>
              <w:right w:val="single" w:sz="2" w:space="0" w:color="auto"/>
            </w:tcBorders>
          </w:tcPr>
          <w:p w14:paraId="7EF8B41F" w14:textId="77777777" w:rsidR="009F4766" w:rsidRPr="00DE12A3" w:rsidRDefault="009F4766" w:rsidP="00C917D6">
            <w:pPr>
              <w:pStyle w:val="NormalLeft"/>
            </w:pPr>
            <w:r w:rsidRPr="00DE12A3">
              <w:t>42</w:t>
            </w:r>
          </w:p>
        </w:tc>
        <w:tc>
          <w:tcPr>
            <w:tcW w:w="2551" w:type="dxa"/>
            <w:tcBorders>
              <w:top w:val="single" w:sz="2" w:space="0" w:color="auto"/>
              <w:left w:val="single" w:sz="2" w:space="0" w:color="auto"/>
              <w:bottom w:val="single" w:sz="2" w:space="0" w:color="auto"/>
              <w:right w:val="single" w:sz="2" w:space="0" w:color="auto"/>
            </w:tcBorders>
          </w:tcPr>
          <w:p w14:paraId="26230A37" w14:textId="77777777" w:rsidR="009F4766" w:rsidRPr="00DE12A3" w:rsidRDefault="009F4766" w:rsidP="00C917D6">
            <w:pPr>
              <w:pStyle w:val="NormalLeft"/>
            </w:pPr>
            <w:r w:rsidRPr="00DE12A3">
              <w:t>33</w:t>
            </w:r>
          </w:p>
        </w:tc>
      </w:tr>
      <w:tr w:rsidR="00DE12A3" w:rsidRPr="00DE12A3" w14:paraId="6740909B" w14:textId="77777777" w:rsidTr="009F4766">
        <w:tc>
          <w:tcPr>
            <w:tcW w:w="1182" w:type="dxa"/>
            <w:tcBorders>
              <w:top w:val="single" w:sz="2" w:space="0" w:color="auto"/>
              <w:left w:val="single" w:sz="2" w:space="0" w:color="auto"/>
              <w:bottom w:val="single" w:sz="2" w:space="0" w:color="auto"/>
              <w:right w:val="single" w:sz="2" w:space="0" w:color="auto"/>
            </w:tcBorders>
          </w:tcPr>
          <w:p w14:paraId="56DFD915" w14:textId="77777777" w:rsidR="009F4766" w:rsidRPr="00DE12A3" w:rsidRDefault="009F4766" w:rsidP="00C917D6">
            <w:pPr>
              <w:pStyle w:val="NormalLeft"/>
            </w:pPr>
            <w:r w:rsidRPr="00DE12A3">
              <w:t>433</w:t>
            </w:r>
          </w:p>
        </w:tc>
        <w:tc>
          <w:tcPr>
            <w:tcW w:w="2489" w:type="dxa"/>
            <w:tcBorders>
              <w:top w:val="single" w:sz="2" w:space="0" w:color="auto"/>
              <w:left w:val="single" w:sz="2" w:space="0" w:color="auto"/>
              <w:bottom w:val="single" w:sz="2" w:space="0" w:color="auto"/>
              <w:right w:val="single" w:sz="2" w:space="0" w:color="auto"/>
            </w:tcBorders>
          </w:tcPr>
          <w:p w14:paraId="6497EED7" w14:textId="77777777" w:rsidR="009F4766" w:rsidRPr="00DE12A3" w:rsidRDefault="009F4766" w:rsidP="00C917D6">
            <w:pPr>
              <w:pStyle w:val="NormalLeft"/>
            </w:pPr>
            <w:r w:rsidRPr="00DE12A3">
              <w:t>89</w:t>
            </w:r>
          </w:p>
        </w:tc>
        <w:tc>
          <w:tcPr>
            <w:tcW w:w="2551" w:type="dxa"/>
            <w:tcBorders>
              <w:top w:val="single" w:sz="2" w:space="0" w:color="auto"/>
              <w:left w:val="single" w:sz="2" w:space="0" w:color="auto"/>
              <w:bottom w:val="single" w:sz="2" w:space="0" w:color="auto"/>
              <w:right w:val="single" w:sz="2" w:space="0" w:color="auto"/>
            </w:tcBorders>
          </w:tcPr>
          <w:p w14:paraId="33B2A3BE" w14:textId="77777777" w:rsidR="009F4766" w:rsidRPr="00DE12A3" w:rsidRDefault="009F4766" w:rsidP="00C917D6">
            <w:pPr>
              <w:pStyle w:val="NormalLeft"/>
            </w:pPr>
            <w:r w:rsidRPr="00DE12A3">
              <w:t>64</w:t>
            </w:r>
          </w:p>
        </w:tc>
      </w:tr>
      <w:tr w:rsidR="00DE12A3" w:rsidRPr="00DE12A3" w14:paraId="1A287E7C" w14:textId="77777777" w:rsidTr="009F4766">
        <w:tc>
          <w:tcPr>
            <w:tcW w:w="1182" w:type="dxa"/>
            <w:tcBorders>
              <w:top w:val="single" w:sz="2" w:space="0" w:color="auto"/>
              <w:left w:val="single" w:sz="2" w:space="0" w:color="auto"/>
              <w:bottom w:val="single" w:sz="2" w:space="0" w:color="auto"/>
              <w:right w:val="single" w:sz="2" w:space="0" w:color="auto"/>
            </w:tcBorders>
          </w:tcPr>
          <w:p w14:paraId="32F86952" w14:textId="77777777" w:rsidR="009F4766" w:rsidRPr="00DE12A3" w:rsidRDefault="009F4766" w:rsidP="00C917D6">
            <w:pPr>
              <w:pStyle w:val="NormalLeft"/>
            </w:pPr>
            <w:r w:rsidRPr="00DE12A3">
              <w:t>434</w:t>
            </w:r>
          </w:p>
        </w:tc>
        <w:tc>
          <w:tcPr>
            <w:tcW w:w="2489" w:type="dxa"/>
            <w:tcBorders>
              <w:top w:val="single" w:sz="2" w:space="0" w:color="auto"/>
              <w:left w:val="single" w:sz="2" w:space="0" w:color="auto"/>
              <w:bottom w:val="single" w:sz="2" w:space="0" w:color="auto"/>
              <w:right w:val="single" w:sz="2" w:space="0" w:color="auto"/>
            </w:tcBorders>
          </w:tcPr>
          <w:p w14:paraId="7EED2E8D" w14:textId="77777777" w:rsidR="009F4766" w:rsidRPr="00DE12A3" w:rsidRDefault="009F4766" w:rsidP="00C917D6">
            <w:pPr>
              <w:pStyle w:val="NormalLeft"/>
            </w:pPr>
            <w:r w:rsidRPr="00DE12A3">
              <w:t>89</w:t>
            </w:r>
          </w:p>
        </w:tc>
        <w:tc>
          <w:tcPr>
            <w:tcW w:w="2551" w:type="dxa"/>
            <w:tcBorders>
              <w:top w:val="single" w:sz="2" w:space="0" w:color="auto"/>
              <w:left w:val="single" w:sz="2" w:space="0" w:color="auto"/>
              <w:bottom w:val="single" w:sz="2" w:space="0" w:color="auto"/>
              <w:right w:val="single" w:sz="2" w:space="0" w:color="auto"/>
            </w:tcBorders>
          </w:tcPr>
          <w:p w14:paraId="6C1FC72A" w14:textId="77777777" w:rsidR="009F4766" w:rsidRPr="00DE12A3" w:rsidRDefault="009F4766" w:rsidP="00C917D6">
            <w:pPr>
              <w:pStyle w:val="NormalLeft"/>
            </w:pPr>
            <w:r w:rsidRPr="00DE12A3">
              <w:t>77</w:t>
            </w:r>
          </w:p>
        </w:tc>
      </w:tr>
      <w:tr w:rsidR="00DE12A3" w:rsidRPr="00DE12A3" w14:paraId="23FFB929" w14:textId="77777777" w:rsidTr="009F4766">
        <w:tc>
          <w:tcPr>
            <w:tcW w:w="1182" w:type="dxa"/>
            <w:tcBorders>
              <w:top w:val="single" w:sz="2" w:space="0" w:color="auto"/>
              <w:left w:val="single" w:sz="2" w:space="0" w:color="auto"/>
              <w:bottom w:val="single" w:sz="2" w:space="0" w:color="auto"/>
              <w:right w:val="single" w:sz="2" w:space="0" w:color="auto"/>
            </w:tcBorders>
          </w:tcPr>
          <w:p w14:paraId="1E892800" w14:textId="77777777" w:rsidR="009F4766" w:rsidRPr="00DE12A3" w:rsidRDefault="009F4766" w:rsidP="00C917D6">
            <w:pPr>
              <w:pStyle w:val="NormalLeft"/>
            </w:pPr>
            <w:r w:rsidRPr="00DE12A3">
              <w:lastRenderedPageBreak/>
              <w:t>435</w:t>
            </w:r>
          </w:p>
        </w:tc>
        <w:tc>
          <w:tcPr>
            <w:tcW w:w="2489" w:type="dxa"/>
            <w:tcBorders>
              <w:top w:val="single" w:sz="2" w:space="0" w:color="auto"/>
              <w:left w:val="single" w:sz="2" w:space="0" w:color="auto"/>
              <w:bottom w:val="single" w:sz="2" w:space="0" w:color="auto"/>
              <w:right w:val="single" w:sz="2" w:space="0" w:color="auto"/>
            </w:tcBorders>
          </w:tcPr>
          <w:p w14:paraId="0ED05062" w14:textId="77777777" w:rsidR="009F4766" w:rsidRPr="00DE12A3" w:rsidRDefault="009F4766" w:rsidP="00C917D6">
            <w:pPr>
              <w:pStyle w:val="NormalLeft"/>
            </w:pPr>
            <w:r w:rsidRPr="00DE12A3">
              <w:t>99</w:t>
            </w:r>
          </w:p>
        </w:tc>
        <w:tc>
          <w:tcPr>
            <w:tcW w:w="2551" w:type="dxa"/>
            <w:tcBorders>
              <w:top w:val="single" w:sz="2" w:space="0" w:color="auto"/>
              <w:left w:val="single" w:sz="2" w:space="0" w:color="auto"/>
              <w:bottom w:val="single" w:sz="2" w:space="0" w:color="auto"/>
              <w:right w:val="single" w:sz="2" w:space="0" w:color="auto"/>
            </w:tcBorders>
          </w:tcPr>
          <w:p w14:paraId="68A884E8" w14:textId="77777777" w:rsidR="009F4766" w:rsidRPr="00DE12A3" w:rsidRDefault="009F4766" w:rsidP="00C917D6">
            <w:pPr>
              <w:pStyle w:val="NormalLeft"/>
            </w:pPr>
            <w:r w:rsidRPr="00DE12A3">
              <w:t>95</w:t>
            </w:r>
          </w:p>
        </w:tc>
      </w:tr>
      <w:tr w:rsidR="00DE12A3" w:rsidRPr="00DE12A3" w14:paraId="107B6242" w14:textId="77777777" w:rsidTr="009F4766">
        <w:tc>
          <w:tcPr>
            <w:tcW w:w="1182" w:type="dxa"/>
            <w:tcBorders>
              <w:top w:val="single" w:sz="2" w:space="0" w:color="auto"/>
              <w:left w:val="single" w:sz="2" w:space="0" w:color="auto"/>
              <w:bottom w:val="single" w:sz="2" w:space="0" w:color="auto"/>
              <w:right w:val="single" w:sz="2" w:space="0" w:color="auto"/>
            </w:tcBorders>
          </w:tcPr>
          <w:p w14:paraId="246F1D8F" w14:textId="77777777" w:rsidR="009F4766" w:rsidRPr="00DE12A3" w:rsidRDefault="009F4766" w:rsidP="00C917D6">
            <w:pPr>
              <w:pStyle w:val="NormalLeft"/>
            </w:pPr>
            <w:r w:rsidRPr="00DE12A3">
              <w:t>436</w:t>
            </w:r>
          </w:p>
        </w:tc>
        <w:tc>
          <w:tcPr>
            <w:tcW w:w="2489" w:type="dxa"/>
            <w:tcBorders>
              <w:top w:val="single" w:sz="2" w:space="0" w:color="auto"/>
              <w:left w:val="single" w:sz="2" w:space="0" w:color="auto"/>
              <w:bottom w:val="single" w:sz="2" w:space="0" w:color="auto"/>
              <w:right w:val="single" w:sz="2" w:space="0" w:color="auto"/>
            </w:tcBorders>
          </w:tcPr>
          <w:p w14:paraId="55CDAB40" w14:textId="77777777" w:rsidR="009F4766" w:rsidRPr="00DE12A3" w:rsidRDefault="009F4766" w:rsidP="00C917D6">
            <w:pPr>
              <w:pStyle w:val="NormalLeft"/>
            </w:pPr>
            <w:r w:rsidRPr="00DE12A3">
              <w:t>100</w:t>
            </w:r>
          </w:p>
        </w:tc>
        <w:tc>
          <w:tcPr>
            <w:tcW w:w="2551" w:type="dxa"/>
            <w:tcBorders>
              <w:top w:val="single" w:sz="2" w:space="0" w:color="auto"/>
              <w:left w:val="single" w:sz="2" w:space="0" w:color="auto"/>
              <w:bottom w:val="single" w:sz="2" w:space="0" w:color="auto"/>
              <w:right w:val="single" w:sz="2" w:space="0" w:color="auto"/>
            </w:tcBorders>
          </w:tcPr>
          <w:p w14:paraId="4E2F87D9" w14:textId="77777777" w:rsidR="009F4766" w:rsidRPr="00DE12A3" w:rsidRDefault="009F4766" w:rsidP="00C917D6">
            <w:pPr>
              <w:pStyle w:val="NormalLeft"/>
            </w:pPr>
            <w:r w:rsidRPr="00DE12A3">
              <w:t>41</w:t>
            </w:r>
          </w:p>
        </w:tc>
      </w:tr>
      <w:tr w:rsidR="00DE12A3" w:rsidRPr="00DE12A3" w14:paraId="57E67EAA" w14:textId="77777777" w:rsidTr="009F4766">
        <w:tc>
          <w:tcPr>
            <w:tcW w:w="1182" w:type="dxa"/>
            <w:tcBorders>
              <w:top w:val="single" w:sz="2" w:space="0" w:color="auto"/>
              <w:left w:val="single" w:sz="2" w:space="0" w:color="auto"/>
              <w:bottom w:val="single" w:sz="2" w:space="0" w:color="auto"/>
              <w:right w:val="single" w:sz="2" w:space="0" w:color="auto"/>
            </w:tcBorders>
          </w:tcPr>
          <w:p w14:paraId="687529F5" w14:textId="77777777" w:rsidR="009F4766" w:rsidRPr="00DE12A3" w:rsidRDefault="009F4766" w:rsidP="00C917D6">
            <w:pPr>
              <w:pStyle w:val="NormalLeft"/>
            </w:pPr>
            <w:r w:rsidRPr="00DE12A3">
              <w:t>437</w:t>
            </w:r>
          </w:p>
        </w:tc>
        <w:tc>
          <w:tcPr>
            <w:tcW w:w="2489" w:type="dxa"/>
            <w:tcBorders>
              <w:top w:val="single" w:sz="2" w:space="0" w:color="auto"/>
              <w:left w:val="single" w:sz="2" w:space="0" w:color="auto"/>
              <w:bottom w:val="single" w:sz="2" w:space="0" w:color="auto"/>
              <w:right w:val="single" w:sz="2" w:space="0" w:color="auto"/>
            </w:tcBorders>
          </w:tcPr>
          <w:p w14:paraId="71D78DBE" w14:textId="77777777" w:rsidR="009F4766" w:rsidRPr="00DE12A3" w:rsidRDefault="009F4766" w:rsidP="00C917D6">
            <w:pPr>
              <w:pStyle w:val="NormalLeft"/>
            </w:pPr>
            <w:r w:rsidRPr="00DE12A3">
              <w:t>77</w:t>
            </w:r>
          </w:p>
        </w:tc>
        <w:tc>
          <w:tcPr>
            <w:tcW w:w="2551" w:type="dxa"/>
            <w:tcBorders>
              <w:top w:val="single" w:sz="2" w:space="0" w:color="auto"/>
              <w:left w:val="single" w:sz="2" w:space="0" w:color="auto"/>
              <w:bottom w:val="single" w:sz="2" w:space="0" w:color="auto"/>
              <w:right w:val="single" w:sz="2" w:space="0" w:color="auto"/>
            </w:tcBorders>
          </w:tcPr>
          <w:p w14:paraId="7565A7E2" w14:textId="77777777" w:rsidR="009F4766" w:rsidRPr="00DE12A3" w:rsidRDefault="009F4766" w:rsidP="00C917D6">
            <w:pPr>
              <w:pStyle w:val="NormalLeft"/>
            </w:pPr>
            <w:r w:rsidRPr="00DE12A3">
              <w:t>12</w:t>
            </w:r>
          </w:p>
        </w:tc>
      </w:tr>
      <w:tr w:rsidR="00DE12A3" w:rsidRPr="00DE12A3" w14:paraId="1B9DA32F" w14:textId="77777777" w:rsidTr="009F4766">
        <w:tc>
          <w:tcPr>
            <w:tcW w:w="1182" w:type="dxa"/>
            <w:tcBorders>
              <w:top w:val="single" w:sz="2" w:space="0" w:color="auto"/>
              <w:left w:val="single" w:sz="2" w:space="0" w:color="auto"/>
              <w:bottom w:val="single" w:sz="2" w:space="0" w:color="auto"/>
              <w:right w:val="single" w:sz="2" w:space="0" w:color="auto"/>
            </w:tcBorders>
          </w:tcPr>
          <w:p w14:paraId="40961973" w14:textId="77777777" w:rsidR="009F4766" w:rsidRPr="00DE12A3" w:rsidRDefault="009F4766" w:rsidP="00C917D6">
            <w:pPr>
              <w:pStyle w:val="NormalLeft"/>
            </w:pPr>
            <w:r w:rsidRPr="00DE12A3">
              <w:t>438</w:t>
            </w:r>
          </w:p>
        </w:tc>
        <w:tc>
          <w:tcPr>
            <w:tcW w:w="2489" w:type="dxa"/>
            <w:tcBorders>
              <w:top w:val="single" w:sz="2" w:space="0" w:color="auto"/>
              <w:left w:val="single" w:sz="2" w:space="0" w:color="auto"/>
              <w:bottom w:val="single" w:sz="2" w:space="0" w:color="auto"/>
              <w:right w:val="single" w:sz="2" w:space="0" w:color="auto"/>
            </w:tcBorders>
          </w:tcPr>
          <w:p w14:paraId="595B1483" w14:textId="77777777" w:rsidR="009F4766" w:rsidRPr="00DE12A3" w:rsidRDefault="009F4766" w:rsidP="00C917D6">
            <w:pPr>
              <w:pStyle w:val="NormalLeft"/>
            </w:pPr>
            <w:r w:rsidRPr="00DE12A3">
              <w:t>29</w:t>
            </w:r>
          </w:p>
        </w:tc>
        <w:tc>
          <w:tcPr>
            <w:tcW w:w="2551" w:type="dxa"/>
            <w:tcBorders>
              <w:top w:val="single" w:sz="2" w:space="0" w:color="auto"/>
              <w:left w:val="single" w:sz="2" w:space="0" w:color="auto"/>
              <w:bottom w:val="single" w:sz="2" w:space="0" w:color="auto"/>
              <w:right w:val="single" w:sz="2" w:space="0" w:color="auto"/>
            </w:tcBorders>
          </w:tcPr>
          <w:p w14:paraId="162EC739" w14:textId="77777777" w:rsidR="009F4766" w:rsidRPr="00DE12A3" w:rsidRDefault="009F4766" w:rsidP="00C917D6">
            <w:pPr>
              <w:pStyle w:val="NormalLeft"/>
            </w:pPr>
            <w:r w:rsidRPr="00DE12A3">
              <w:t>37</w:t>
            </w:r>
          </w:p>
        </w:tc>
      </w:tr>
      <w:tr w:rsidR="00DE12A3" w:rsidRPr="00DE12A3" w14:paraId="2F87241D" w14:textId="77777777" w:rsidTr="009F4766">
        <w:tc>
          <w:tcPr>
            <w:tcW w:w="1182" w:type="dxa"/>
            <w:tcBorders>
              <w:top w:val="single" w:sz="2" w:space="0" w:color="auto"/>
              <w:left w:val="single" w:sz="2" w:space="0" w:color="auto"/>
              <w:bottom w:val="single" w:sz="2" w:space="0" w:color="auto"/>
              <w:right w:val="single" w:sz="2" w:space="0" w:color="auto"/>
            </w:tcBorders>
          </w:tcPr>
          <w:p w14:paraId="098A14E0" w14:textId="77777777" w:rsidR="009F4766" w:rsidRPr="00DE12A3" w:rsidRDefault="009F4766" w:rsidP="00C917D6">
            <w:pPr>
              <w:pStyle w:val="NormalLeft"/>
            </w:pPr>
            <w:r w:rsidRPr="00DE12A3">
              <w:t>439</w:t>
            </w:r>
          </w:p>
        </w:tc>
        <w:tc>
          <w:tcPr>
            <w:tcW w:w="2489" w:type="dxa"/>
            <w:tcBorders>
              <w:top w:val="single" w:sz="2" w:space="0" w:color="auto"/>
              <w:left w:val="single" w:sz="2" w:space="0" w:color="auto"/>
              <w:bottom w:val="single" w:sz="2" w:space="0" w:color="auto"/>
              <w:right w:val="single" w:sz="2" w:space="0" w:color="auto"/>
            </w:tcBorders>
          </w:tcPr>
          <w:p w14:paraId="114F7DD7" w14:textId="77777777" w:rsidR="009F4766" w:rsidRPr="00DE12A3" w:rsidRDefault="009F4766" w:rsidP="00C917D6">
            <w:pPr>
              <w:pStyle w:val="NormalLeft"/>
            </w:pPr>
            <w:r w:rsidRPr="00DE12A3">
              <w:t>16</w:t>
            </w:r>
          </w:p>
        </w:tc>
        <w:tc>
          <w:tcPr>
            <w:tcW w:w="2551" w:type="dxa"/>
            <w:tcBorders>
              <w:top w:val="single" w:sz="2" w:space="0" w:color="auto"/>
              <w:left w:val="single" w:sz="2" w:space="0" w:color="auto"/>
              <w:bottom w:val="single" w:sz="2" w:space="0" w:color="auto"/>
              <w:right w:val="single" w:sz="2" w:space="0" w:color="auto"/>
            </w:tcBorders>
          </w:tcPr>
          <w:p w14:paraId="319B57E1" w14:textId="77777777" w:rsidR="009F4766" w:rsidRPr="00DE12A3" w:rsidRDefault="009F4766" w:rsidP="00C917D6">
            <w:pPr>
              <w:pStyle w:val="NormalLeft"/>
            </w:pPr>
            <w:r w:rsidRPr="00DE12A3">
              <w:t>41</w:t>
            </w:r>
          </w:p>
        </w:tc>
      </w:tr>
      <w:tr w:rsidR="00DE12A3" w:rsidRPr="00DE12A3" w14:paraId="20202EE8" w14:textId="77777777" w:rsidTr="009F4766">
        <w:tc>
          <w:tcPr>
            <w:tcW w:w="1182" w:type="dxa"/>
            <w:tcBorders>
              <w:top w:val="single" w:sz="2" w:space="0" w:color="auto"/>
              <w:left w:val="single" w:sz="2" w:space="0" w:color="auto"/>
              <w:bottom w:val="single" w:sz="2" w:space="0" w:color="auto"/>
              <w:right w:val="single" w:sz="2" w:space="0" w:color="auto"/>
            </w:tcBorders>
          </w:tcPr>
          <w:p w14:paraId="6E812A0C" w14:textId="77777777" w:rsidR="009F4766" w:rsidRPr="00DE12A3" w:rsidRDefault="009F4766" w:rsidP="00C917D6">
            <w:pPr>
              <w:pStyle w:val="NormalLeft"/>
            </w:pPr>
            <w:r w:rsidRPr="00DE12A3">
              <w:t>440</w:t>
            </w:r>
          </w:p>
        </w:tc>
        <w:tc>
          <w:tcPr>
            <w:tcW w:w="2489" w:type="dxa"/>
            <w:tcBorders>
              <w:top w:val="single" w:sz="2" w:space="0" w:color="auto"/>
              <w:left w:val="single" w:sz="2" w:space="0" w:color="auto"/>
              <w:bottom w:val="single" w:sz="2" w:space="0" w:color="auto"/>
              <w:right w:val="single" w:sz="2" w:space="0" w:color="auto"/>
            </w:tcBorders>
          </w:tcPr>
          <w:p w14:paraId="6C37136E" w14:textId="77777777" w:rsidR="009F4766" w:rsidRPr="00DE12A3" w:rsidRDefault="009F4766" w:rsidP="00C917D6">
            <w:pPr>
              <w:pStyle w:val="NormalLeft"/>
            </w:pPr>
            <w:r w:rsidRPr="00DE12A3">
              <w:t>16</w:t>
            </w:r>
          </w:p>
        </w:tc>
        <w:tc>
          <w:tcPr>
            <w:tcW w:w="2551" w:type="dxa"/>
            <w:tcBorders>
              <w:top w:val="single" w:sz="2" w:space="0" w:color="auto"/>
              <w:left w:val="single" w:sz="2" w:space="0" w:color="auto"/>
              <w:bottom w:val="single" w:sz="2" w:space="0" w:color="auto"/>
              <w:right w:val="single" w:sz="2" w:space="0" w:color="auto"/>
            </w:tcBorders>
          </w:tcPr>
          <w:p w14:paraId="17F15395" w14:textId="77777777" w:rsidR="009F4766" w:rsidRPr="00DE12A3" w:rsidRDefault="009F4766" w:rsidP="00C917D6">
            <w:pPr>
              <w:pStyle w:val="NormalLeft"/>
            </w:pPr>
            <w:r w:rsidRPr="00DE12A3">
              <w:t>38</w:t>
            </w:r>
          </w:p>
        </w:tc>
      </w:tr>
      <w:tr w:rsidR="00DE12A3" w:rsidRPr="00DE12A3" w14:paraId="10BE15B8" w14:textId="77777777" w:rsidTr="009F4766">
        <w:tc>
          <w:tcPr>
            <w:tcW w:w="1182" w:type="dxa"/>
            <w:tcBorders>
              <w:top w:val="single" w:sz="2" w:space="0" w:color="auto"/>
              <w:left w:val="single" w:sz="2" w:space="0" w:color="auto"/>
              <w:bottom w:val="single" w:sz="2" w:space="0" w:color="auto"/>
              <w:right w:val="single" w:sz="2" w:space="0" w:color="auto"/>
            </w:tcBorders>
          </w:tcPr>
          <w:p w14:paraId="0DB44177" w14:textId="77777777" w:rsidR="009F4766" w:rsidRPr="00DE12A3" w:rsidRDefault="009F4766" w:rsidP="00C917D6">
            <w:pPr>
              <w:pStyle w:val="NormalLeft"/>
            </w:pPr>
            <w:r w:rsidRPr="00DE12A3">
              <w:t>441</w:t>
            </w:r>
          </w:p>
        </w:tc>
        <w:tc>
          <w:tcPr>
            <w:tcW w:w="2489" w:type="dxa"/>
            <w:tcBorders>
              <w:top w:val="single" w:sz="2" w:space="0" w:color="auto"/>
              <w:left w:val="single" w:sz="2" w:space="0" w:color="auto"/>
              <w:bottom w:val="single" w:sz="2" w:space="0" w:color="auto"/>
              <w:right w:val="single" w:sz="2" w:space="0" w:color="auto"/>
            </w:tcBorders>
          </w:tcPr>
          <w:p w14:paraId="57403B22" w14:textId="77777777" w:rsidR="009F4766" w:rsidRPr="00DE12A3" w:rsidRDefault="009F4766" w:rsidP="00C917D6">
            <w:pPr>
              <w:pStyle w:val="NormalLeft"/>
            </w:pPr>
            <w:r w:rsidRPr="00DE12A3">
              <w:t>15</w:t>
            </w:r>
          </w:p>
        </w:tc>
        <w:tc>
          <w:tcPr>
            <w:tcW w:w="2551" w:type="dxa"/>
            <w:tcBorders>
              <w:top w:val="single" w:sz="2" w:space="0" w:color="auto"/>
              <w:left w:val="single" w:sz="2" w:space="0" w:color="auto"/>
              <w:bottom w:val="single" w:sz="2" w:space="0" w:color="auto"/>
              <w:right w:val="single" w:sz="2" w:space="0" w:color="auto"/>
            </w:tcBorders>
          </w:tcPr>
          <w:p w14:paraId="56297D70" w14:textId="77777777" w:rsidR="009F4766" w:rsidRPr="00DE12A3" w:rsidRDefault="009F4766" w:rsidP="00C917D6">
            <w:pPr>
              <w:pStyle w:val="NormalLeft"/>
            </w:pPr>
            <w:r w:rsidRPr="00DE12A3">
              <w:t>36</w:t>
            </w:r>
          </w:p>
        </w:tc>
      </w:tr>
      <w:tr w:rsidR="00DE12A3" w:rsidRPr="00DE12A3" w14:paraId="23F17319" w14:textId="77777777" w:rsidTr="009F4766">
        <w:tc>
          <w:tcPr>
            <w:tcW w:w="1182" w:type="dxa"/>
            <w:tcBorders>
              <w:top w:val="single" w:sz="2" w:space="0" w:color="auto"/>
              <w:left w:val="single" w:sz="2" w:space="0" w:color="auto"/>
              <w:bottom w:val="single" w:sz="2" w:space="0" w:color="auto"/>
              <w:right w:val="single" w:sz="2" w:space="0" w:color="auto"/>
            </w:tcBorders>
          </w:tcPr>
          <w:p w14:paraId="6753FA20" w14:textId="77777777" w:rsidR="009F4766" w:rsidRPr="00DE12A3" w:rsidRDefault="009F4766" w:rsidP="00C917D6">
            <w:pPr>
              <w:pStyle w:val="NormalLeft"/>
            </w:pPr>
            <w:r w:rsidRPr="00DE12A3">
              <w:t>442</w:t>
            </w:r>
          </w:p>
        </w:tc>
        <w:tc>
          <w:tcPr>
            <w:tcW w:w="2489" w:type="dxa"/>
            <w:tcBorders>
              <w:top w:val="single" w:sz="2" w:space="0" w:color="auto"/>
              <w:left w:val="single" w:sz="2" w:space="0" w:color="auto"/>
              <w:bottom w:val="single" w:sz="2" w:space="0" w:color="auto"/>
              <w:right w:val="single" w:sz="2" w:space="0" w:color="auto"/>
            </w:tcBorders>
          </w:tcPr>
          <w:p w14:paraId="1BAF8601" w14:textId="77777777" w:rsidR="009F4766" w:rsidRPr="00DE12A3" w:rsidRDefault="009F4766" w:rsidP="00C917D6">
            <w:pPr>
              <w:pStyle w:val="NormalLeft"/>
            </w:pPr>
            <w:r w:rsidRPr="00DE12A3">
              <w:t>18</w:t>
            </w:r>
          </w:p>
        </w:tc>
        <w:tc>
          <w:tcPr>
            <w:tcW w:w="2551" w:type="dxa"/>
            <w:tcBorders>
              <w:top w:val="single" w:sz="2" w:space="0" w:color="auto"/>
              <w:left w:val="single" w:sz="2" w:space="0" w:color="auto"/>
              <w:bottom w:val="single" w:sz="2" w:space="0" w:color="auto"/>
              <w:right w:val="single" w:sz="2" w:space="0" w:color="auto"/>
            </w:tcBorders>
          </w:tcPr>
          <w:p w14:paraId="37B488D0" w14:textId="77777777" w:rsidR="009F4766" w:rsidRPr="00DE12A3" w:rsidRDefault="009F4766" w:rsidP="00C917D6">
            <w:pPr>
              <w:pStyle w:val="NormalLeft"/>
            </w:pPr>
            <w:r w:rsidRPr="00DE12A3">
              <w:t>44</w:t>
            </w:r>
          </w:p>
        </w:tc>
      </w:tr>
      <w:tr w:rsidR="00DE12A3" w:rsidRPr="00DE12A3" w14:paraId="1B930C56" w14:textId="77777777" w:rsidTr="009F4766">
        <w:tc>
          <w:tcPr>
            <w:tcW w:w="1182" w:type="dxa"/>
            <w:tcBorders>
              <w:top w:val="single" w:sz="2" w:space="0" w:color="auto"/>
              <w:left w:val="single" w:sz="2" w:space="0" w:color="auto"/>
              <w:bottom w:val="single" w:sz="2" w:space="0" w:color="auto"/>
              <w:right w:val="single" w:sz="2" w:space="0" w:color="auto"/>
            </w:tcBorders>
          </w:tcPr>
          <w:p w14:paraId="00D95044" w14:textId="77777777" w:rsidR="009F4766" w:rsidRPr="00DE12A3" w:rsidRDefault="009F4766" w:rsidP="00C917D6">
            <w:pPr>
              <w:pStyle w:val="NormalLeft"/>
            </w:pPr>
            <w:r w:rsidRPr="00DE12A3">
              <w:t>443</w:t>
            </w:r>
          </w:p>
        </w:tc>
        <w:tc>
          <w:tcPr>
            <w:tcW w:w="2489" w:type="dxa"/>
            <w:tcBorders>
              <w:top w:val="single" w:sz="2" w:space="0" w:color="auto"/>
              <w:left w:val="single" w:sz="2" w:space="0" w:color="auto"/>
              <w:bottom w:val="single" w:sz="2" w:space="0" w:color="auto"/>
              <w:right w:val="single" w:sz="2" w:space="0" w:color="auto"/>
            </w:tcBorders>
          </w:tcPr>
          <w:p w14:paraId="2BE8ED70" w14:textId="77777777" w:rsidR="009F4766" w:rsidRPr="00DE12A3" w:rsidRDefault="009F4766" w:rsidP="00C917D6">
            <w:pPr>
              <w:pStyle w:val="NormalLeft"/>
            </w:pPr>
            <w:r w:rsidRPr="00DE12A3">
              <w:t>4</w:t>
            </w:r>
          </w:p>
        </w:tc>
        <w:tc>
          <w:tcPr>
            <w:tcW w:w="2551" w:type="dxa"/>
            <w:tcBorders>
              <w:top w:val="single" w:sz="2" w:space="0" w:color="auto"/>
              <w:left w:val="single" w:sz="2" w:space="0" w:color="auto"/>
              <w:bottom w:val="single" w:sz="2" w:space="0" w:color="auto"/>
              <w:right w:val="single" w:sz="2" w:space="0" w:color="auto"/>
            </w:tcBorders>
          </w:tcPr>
          <w:p w14:paraId="21E9A607" w14:textId="77777777" w:rsidR="009F4766" w:rsidRPr="00DE12A3" w:rsidRDefault="009F4766" w:rsidP="00C917D6">
            <w:pPr>
              <w:pStyle w:val="NormalLeft"/>
            </w:pPr>
            <w:r w:rsidRPr="00DE12A3">
              <w:t>55</w:t>
            </w:r>
          </w:p>
        </w:tc>
      </w:tr>
      <w:tr w:rsidR="00DE12A3" w:rsidRPr="00DE12A3" w14:paraId="740825DB" w14:textId="77777777" w:rsidTr="009F4766">
        <w:tc>
          <w:tcPr>
            <w:tcW w:w="1182" w:type="dxa"/>
            <w:tcBorders>
              <w:top w:val="single" w:sz="2" w:space="0" w:color="auto"/>
              <w:left w:val="single" w:sz="2" w:space="0" w:color="auto"/>
              <w:bottom w:val="single" w:sz="2" w:space="0" w:color="auto"/>
              <w:right w:val="single" w:sz="2" w:space="0" w:color="auto"/>
            </w:tcBorders>
          </w:tcPr>
          <w:p w14:paraId="734CFA65" w14:textId="77777777" w:rsidR="009F4766" w:rsidRPr="00DE12A3" w:rsidRDefault="009F4766" w:rsidP="00C917D6">
            <w:pPr>
              <w:pStyle w:val="NormalLeft"/>
            </w:pPr>
            <w:r w:rsidRPr="00DE12A3">
              <w:t>444</w:t>
            </w:r>
          </w:p>
        </w:tc>
        <w:tc>
          <w:tcPr>
            <w:tcW w:w="2489" w:type="dxa"/>
            <w:tcBorders>
              <w:top w:val="single" w:sz="2" w:space="0" w:color="auto"/>
              <w:left w:val="single" w:sz="2" w:space="0" w:color="auto"/>
              <w:bottom w:val="single" w:sz="2" w:space="0" w:color="auto"/>
              <w:right w:val="single" w:sz="2" w:space="0" w:color="auto"/>
            </w:tcBorders>
          </w:tcPr>
          <w:p w14:paraId="6B2EF142" w14:textId="77777777" w:rsidR="009F4766" w:rsidRPr="00DE12A3" w:rsidRDefault="009F4766" w:rsidP="00C917D6">
            <w:pPr>
              <w:pStyle w:val="NormalLeft"/>
            </w:pPr>
            <w:r w:rsidRPr="00DE12A3">
              <w:t>24</w:t>
            </w:r>
          </w:p>
        </w:tc>
        <w:tc>
          <w:tcPr>
            <w:tcW w:w="2551" w:type="dxa"/>
            <w:tcBorders>
              <w:top w:val="single" w:sz="2" w:space="0" w:color="auto"/>
              <w:left w:val="single" w:sz="2" w:space="0" w:color="auto"/>
              <w:bottom w:val="single" w:sz="2" w:space="0" w:color="auto"/>
              <w:right w:val="single" w:sz="2" w:space="0" w:color="auto"/>
            </w:tcBorders>
          </w:tcPr>
          <w:p w14:paraId="02EA5D41" w14:textId="77777777" w:rsidR="009F4766" w:rsidRPr="00DE12A3" w:rsidRDefault="009F4766" w:rsidP="00C917D6">
            <w:pPr>
              <w:pStyle w:val="NormalLeft"/>
            </w:pPr>
            <w:r w:rsidRPr="00DE12A3">
              <w:t>26</w:t>
            </w:r>
          </w:p>
        </w:tc>
      </w:tr>
      <w:tr w:rsidR="00DE12A3" w:rsidRPr="00DE12A3" w14:paraId="4FE21D1E" w14:textId="77777777" w:rsidTr="009F4766">
        <w:tc>
          <w:tcPr>
            <w:tcW w:w="1182" w:type="dxa"/>
            <w:tcBorders>
              <w:top w:val="single" w:sz="2" w:space="0" w:color="auto"/>
              <w:left w:val="single" w:sz="2" w:space="0" w:color="auto"/>
              <w:bottom w:val="single" w:sz="2" w:space="0" w:color="auto"/>
              <w:right w:val="single" w:sz="2" w:space="0" w:color="auto"/>
            </w:tcBorders>
          </w:tcPr>
          <w:p w14:paraId="77A138F2" w14:textId="77777777" w:rsidR="009F4766" w:rsidRPr="00DE12A3" w:rsidRDefault="009F4766" w:rsidP="00C917D6">
            <w:pPr>
              <w:pStyle w:val="NormalLeft"/>
            </w:pPr>
            <w:r w:rsidRPr="00DE12A3">
              <w:t>445</w:t>
            </w:r>
          </w:p>
        </w:tc>
        <w:tc>
          <w:tcPr>
            <w:tcW w:w="2489" w:type="dxa"/>
            <w:tcBorders>
              <w:top w:val="single" w:sz="2" w:space="0" w:color="auto"/>
              <w:left w:val="single" w:sz="2" w:space="0" w:color="auto"/>
              <w:bottom w:val="single" w:sz="2" w:space="0" w:color="auto"/>
              <w:right w:val="single" w:sz="2" w:space="0" w:color="auto"/>
            </w:tcBorders>
          </w:tcPr>
          <w:p w14:paraId="7F128C87" w14:textId="77777777" w:rsidR="009F4766" w:rsidRPr="00DE12A3" w:rsidRDefault="009F4766" w:rsidP="00C917D6">
            <w:pPr>
              <w:pStyle w:val="NormalLeft"/>
            </w:pPr>
            <w:r w:rsidRPr="00DE12A3">
              <w:t>26</w:t>
            </w:r>
          </w:p>
        </w:tc>
        <w:tc>
          <w:tcPr>
            <w:tcW w:w="2551" w:type="dxa"/>
            <w:tcBorders>
              <w:top w:val="single" w:sz="2" w:space="0" w:color="auto"/>
              <w:left w:val="single" w:sz="2" w:space="0" w:color="auto"/>
              <w:bottom w:val="single" w:sz="2" w:space="0" w:color="auto"/>
              <w:right w:val="single" w:sz="2" w:space="0" w:color="auto"/>
            </w:tcBorders>
          </w:tcPr>
          <w:p w14:paraId="05A6178D" w14:textId="77777777" w:rsidR="009F4766" w:rsidRPr="00DE12A3" w:rsidRDefault="009F4766" w:rsidP="00C917D6">
            <w:pPr>
              <w:pStyle w:val="NormalLeft"/>
            </w:pPr>
            <w:r w:rsidRPr="00DE12A3">
              <w:t>35</w:t>
            </w:r>
          </w:p>
        </w:tc>
      </w:tr>
      <w:tr w:rsidR="00DE12A3" w:rsidRPr="00DE12A3" w14:paraId="053DA154" w14:textId="77777777" w:rsidTr="009F4766">
        <w:tc>
          <w:tcPr>
            <w:tcW w:w="1182" w:type="dxa"/>
            <w:tcBorders>
              <w:top w:val="single" w:sz="2" w:space="0" w:color="auto"/>
              <w:left w:val="single" w:sz="2" w:space="0" w:color="auto"/>
              <w:bottom w:val="single" w:sz="2" w:space="0" w:color="auto"/>
              <w:right w:val="single" w:sz="2" w:space="0" w:color="auto"/>
            </w:tcBorders>
          </w:tcPr>
          <w:p w14:paraId="3083D7C6" w14:textId="77777777" w:rsidR="009F4766" w:rsidRPr="00DE12A3" w:rsidRDefault="009F4766" w:rsidP="00C917D6">
            <w:pPr>
              <w:pStyle w:val="NormalLeft"/>
            </w:pPr>
            <w:r w:rsidRPr="00DE12A3">
              <w:t>446</w:t>
            </w:r>
          </w:p>
        </w:tc>
        <w:tc>
          <w:tcPr>
            <w:tcW w:w="2489" w:type="dxa"/>
            <w:tcBorders>
              <w:top w:val="single" w:sz="2" w:space="0" w:color="auto"/>
              <w:left w:val="single" w:sz="2" w:space="0" w:color="auto"/>
              <w:bottom w:val="single" w:sz="2" w:space="0" w:color="auto"/>
              <w:right w:val="single" w:sz="2" w:space="0" w:color="auto"/>
            </w:tcBorders>
          </w:tcPr>
          <w:p w14:paraId="4CF99288" w14:textId="77777777" w:rsidR="009F4766" w:rsidRPr="00DE12A3" w:rsidRDefault="009F4766" w:rsidP="00C917D6">
            <w:pPr>
              <w:pStyle w:val="NormalLeft"/>
            </w:pPr>
            <w:r w:rsidRPr="00DE12A3">
              <w:t>15</w:t>
            </w:r>
          </w:p>
        </w:tc>
        <w:tc>
          <w:tcPr>
            <w:tcW w:w="2551" w:type="dxa"/>
            <w:tcBorders>
              <w:top w:val="single" w:sz="2" w:space="0" w:color="auto"/>
              <w:left w:val="single" w:sz="2" w:space="0" w:color="auto"/>
              <w:bottom w:val="single" w:sz="2" w:space="0" w:color="auto"/>
              <w:right w:val="single" w:sz="2" w:space="0" w:color="auto"/>
            </w:tcBorders>
          </w:tcPr>
          <w:p w14:paraId="1D774FD0" w14:textId="77777777" w:rsidR="009F4766" w:rsidRPr="00DE12A3" w:rsidRDefault="009F4766" w:rsidP="00C917D6">
            <w:pPr>
              <w:pStyle w:val="NormalLeft"/>
            </w:pPr>
            <w:r w:rsidRPr="00DE12A3">
              <w:t>45</w:t>
            </w:r>
          </w:p>
        </w:tc>
      </w:tr>
      <w:tr w:rsidR="00DE12A3" w:rsidRPr="00DE12A3" w14:paraId="2BC62E23" w14:textId="77777777" w:rsidTr="009F4766">
        <w:tc>
          <w:tcPr>
            <w:tcW w:w="1182" w:type="dxa"/>
            <w:tcBorders>
              <w:top w:val="single" w:sz="2" w:space="0" w:color="auto"/>
              <w:left w:val="single" w:sz="2" w:space="0" w:color="auto"/>
              <w:bottom w:val="single" w:sz="2" w:space="0" w:color="auto"/>
              <w:right w:val="single" w:sz="2" w:space="0" w:color="auto"/>
            </w:tcBorders>
          </w:tcPr>
          <w:p w14:paraId="2862C0ED" w14:textId="77777777" w:rsidR="009F4766" w:rsidRPr="00DE12A3" w:rsidRDefault="009F4766" w:rsidP="00C917D6">
            <w:pPr>
              <w:pStyle w:val="NormalLeft"/>
            </w:pPr>
            <w:r w:rsidRPr="00DE12A3">
              <w:t>447</w:t>
            </w:r>
          </w:p>
        </w:tc>
        <w:tc>
          <w:tcPr>
            <w:tcW w:w="2489" w:type="dxa"/>
            <w:tcBorders>
              <w:top w:val="single" w:sz="2" w:space="0" w:color="auto"/>
              <w:left w:val="single" w:sz="2" w:space="0" w:color="auto"/>
              <w:bottom w:val="single" w:sz="2" w:space="0" w:color="auto"/>
              <w:right w:val="single" w:sz="2" w:space="0" w:color="auto"/>
            </w:tcBorders>
          </w:tcPr>
          <w:p w14:paraId="6F8FFA6B" w14:textId="77777777" w:rsidR="009F4766" w:rsidRPr="00DE12A3" w:rsidRDefault="009F4766" w:rsidP="00C917D6">
            <w:pPr>
              <w:pStyle w:val="NormalLeft"/>
            </w:pPr>
            <w:r w:rsidRPr="00DE12A3">
              <w:t>21</w:t>
            </w:r>
          </w:p>
        </w:tc>
        <w:tc>
          <w:tcPr>
            <w:tcW w:w="2551" w:type="dxa"/>
            <w:tcBorders>
              <w:top w:val="single" w:sz="2" w:space="0" w:color="auto"/>
              <w:left w:val="single" w:sz="2" w:space="0" w:color="auto"/>
              <w:bottom w:val="single" w:sz="2" w:space="0" w:color="auto"/>
              <w:right w:val="single" w:sz="2" w:space="0" w:color="auto"/>
            </w:tcBorders>
          </w:tcPr>
          <w:p w14:paraId="0186CF2A" w14:textId="77777777" w:rsidR="009F4766" w:rsidRPr="00DE12A3" w:rsidRDefault="009F4766" w:rsidP="00C917D6">
            <w:pPr>
              <w:pStyle w:val="NormalLeft"/>
            </w:pPr>
            <w:r w:rsidRPr="00DE12A3">
              <w:t>39</w:t>
            </w:r>
          </w:p>
        </w:tc>
      </w:tr>
      <w:tr w:rsidR="00DE12A3" w:rsidRPr="00DE12A3" w14:paraId="31B9F97F" w14:textId="77777777" w:rsidTr="009F4766">
        <w:tc>
          <w:tcPr>
            <w:tcW w:w="1182" w:type="dxa"/>
            <w:tcBorders>
              <w:top w:val="single" w:sz="2" w:space="0" w:color="auto"/>
              <w:left w:val="single" w:sz="2" w:space="0" w:color="auto"/>
              <w:bottom w:val="single" w:sz="2" w:space="0" w:color="auto"/>
              <w:right w:val="single" w:sz="2" w:space="0" w:color="auto"/>
            </w:tcBorders>
          </w:tcPr>
          <w:p w14:paraId="6CE4D12D" w14:textId="77777777" w:rsidR="009F4766" w:rsidRPr="00DE12A3" w:rsidRDefault="009F4766" w:rsidP="00C917D6">
            <w:pPr>
              <w:pStyle w:val="NormalLeft"/>
            </w:pPr>
            <w:r w:rsidRPr="00DE12A3">
              <w:t>448</w:t>
            </w:r>
          </w:p>
        </w:tc>
        <w:tc>
          <w:tcPr>
            <w:tcW w:w="2489" w:type="dxa"/>
            <w:tcBorders>
              <w:top w:val="single" w:sz="2" w:space="0" w:color="auto"/>
              <w:left w:val="single" w:sz="2" w:space="0" w:color="auto"/>
              <w:bottom w:val="single" w:sz="2" w:space="0" w:color="auto"/>
              <w:right w:val="single" w:sz="2" w:space="0" w:color="auto"/>
            </w:tcBorders>
          </w:tcPr>
          <w:p w14:paraId="2139963C" w14:textId="77777777" w:rsidR="009F4766" w:rsidRPr="00DE12A3" w:rsidRDefault="009F4766" w:rsidP="00C917D6">
            <w:pPr>
              <w:pStyle w:val="NormalLeft"/>
            </w:pPr>
            <w:r w:rsidRPr="00DE12A3">
              <w:t>29</w:t>
            </w:r>
          </w:p>
        </w:tc>
        <w:tc>
          <w:tcPr>
            <w:tcW w:w="2551" w:type="dxa"/>
            <w:tcBorders>
              <w:top w:val="single" w:sz="2" w:space="0" w:color="auto"/>
              <w:left w:val="single" w:sz="2" w:space="0" w:color="auto"/>
              <w:bottom w:val="single" w:sz="2" w:space="0" w:color="auto"/>
              <w:right w:val="single" w:sz="2" w:space="0" w:color="auto"/>
            </w:tcBorders>
          </w:tcPr>
          <w:p w14:paraId="394546CD" w14:textId="77777777" w:rsidR="009F4766" w:rsidRPr="00DE12A3" w:rsidRDefault="009F4766" w:rsidP="00C917D6">
            <w:pPr>
              <w:pStyle w:val="NormalLeft"/>
            </w:pPr>
            <w:r w:rsidRPr="00DE12A3">
              <w:t>52</w:t>
            </w:r>
          </w:p>
        </w:tc>
      </w:tr>
      <w:tr w:rsidR="00DE12A3" w:rsidRPr="00DE12A3" w14:paraId="6622316E" w14:textId="77777777" w:rsidTr="009F4766">
        <w:tc>
          <w:tcPr>
            <w:tcW w:w="1182" w:type="dxa"/>
            <w:tcBorders>
              <w:top w:val="single" w:sz="2" w:space="0" w:color="auto"/>
              <w:left w:val="single" w:sz="2" w:space="0" w:color="auto"/>
              <w:bottom w:val="single" w:sz="2" w:space="0" w:color="auto"/>
              <w:right w:val="single" w:sz="2" w:space="0" w:color="auto"/>
            </w:tcBorders>
          </w:tcPr>
          <w:p w14:paraId="46A53A81" w14:textId="77777777" w:rsidR="009F4766" w:rsidRPr="00DE12A3" w:rsidRDefault="009F4766" w:rsidP="00C917D6">
            <w:pPr>
              <w:pStyle w:val="NormalLeft"/>
            </w:pPr>
            <w:r w:rsidRPr="00DE12A3">
              <w:t>449</w:t>
            </w:r>
          </w:p>
        </w:tc>
        <w:tc>
          <w:tcPr>
            <w:tcW w:w="2489" w:type="dxa"/>
            <w:tcBorders>
              <w:top w:val="single" w:sz="2" w:space="0" w:color="auto"/>
              <w:left w:val="single" w:sz="2" w:space="0" w:color="auto"/>
              <w:bottom w:val="single" w:sz="2" w:space="0" w:color="auto"/>
              <w:right w:val="single" w:sz="2" w:space="0" w:color="auto"/>
            </w:tcBorders>
          </w:tcPr>
          <w:p w14:paraId="4BC237A3" w14:textId="77777777" w:rsidR="009F4766" w:rsidRPr="00DE12A3" w:rsidRDefault="009F4766" w:rsidP="00C917D6">
            <w:pPr>
              <w:pStyle w:val="NormalLeft"/>
            </w:pPr>
            <w:r w:rsidRPr="00DE12A3">
              <w:t>26</w:t>
            </w:r>
          </w:p>
        </w:tc>
        <w:tc>
          <w:tcPr>
            <w:tcW w:w="2551" w:type="dxa"/>
            <w:tcBorders>
              <w:top w:val="single" w:sz="2" w:space="0" w:color="auto"/>
              <w:left w:val="single" w:sz="2" w:space="0" w:color="auto"/>
              <w:bottom w:val="single" w:sz="2" w:space="0" w:color="auto"/>
              <w:right w:val="single" w:sz="2" w:space="0" w:color="auto"/>
            </w:tcBorders>
          </w:tcPr>
          <w:p w14:paraId="74DD3AB5" w14:textId="77777777" w:rsidR="009F4766" w:rsidRPr="00DE12A3" w:rsidRDefault="009F4766" w:rsidP="00C917D6">
            <w:pPr>
              <w:pStyle w:val="NormalLeft"/>
            </w:pPr>
            <w:r w:rsidRPr="00DE12A3">
              <w:t>46</w:t>
            </w:r>
          </w:p>
        </w:tc>
      </w:tr>
      <w:tr w:rsidR="00DE12A3" w:rsidRPr="00DE12A3" w14:paraId="4712C722" w14:textId="77777777" w:rsidTr="009F4766">
        <w:tc>
          <w:tcPr>
            <w:tcW w:w="1182" w:type="dxa"/>
            <w:tcBorders>
              <w:top w:val="single" w:sz="2" w:space="0" w:color="auto"/>
              <w:left w:val="single" w:sz="2" w:space="0" w:color="auto"/>
              <w:bottom w:val="single" w:sz="2" w:space="0" w:color="auto"/>
              <w:right w:val="single" w:sz="2" w:space="0" w:color="auto"/>
            </w:tcBorders>
          </w:tcPr>
          <w:p w14:paraId="48CF3695" w14:textId="77777777" w:rsidR="009F4766" w:rsidRPr="00DE12A3" w:rsidRDefault="009F4766" w:rsidP="00C917D6">
            <w:pPr>
              <w:pStyle w:val="NormalLeft"/>
            </w:pPr>
            <w:r w:rsidRPr="00DE12A3">
              <w:t>450</w:t>
            </w:r>
          </w:p>
        </w:tc>
        <w:tc>
          <w:tcPr>
            <w:tcW w:w="2489" w:type="dxa"/>
            <w:tcBorders>
              <w:top w:val="single" w:sz="2" w:space="0" w:color="auto"/>
              <w:left w:val="single" w:sz="2" w:space="0" w:color="auto"/>
              <w:bottom w:val="single" w:sz="2" w:space="0" w:color="auto"/>
              <w:right w:val="single" w:sz="2" w:space="0" w:color="auto"/>
            </w:tcBorders>
          </w:tcPr>
          <w:p w14:paraId="506DC200" w14:textId="77777777" w:rsidR="009F4766" w:rsidRPr="00DE12A3" w:rsidRDefault="009F4766" w:rsidP="00C917D6">
            <w:pPr>
              <w:pStyle w:val="NormalLeft"/>
            </w:pPr>
            <w:r w:rsidRPr="00DE12A3">
              <w:t>27</w:t>
            </w:r>
          </w:p>
        </w:tc>
        <w:tc>
          <w:tcPr>
            <w:tcW w:w="2551" w:type="dxa"/>
            <w:tcBorders>
              <w:top w:val="single" w:sz="2" w:space="0" w:color="auto"/>
              <w:left w:val="single" w:sz="2" w:space="0" w:color="auto"/>
              <w:bottom w:val="single" w:sz="2" w:space="0" w:color="auto"/>
              <w:right w:val="single" w:sz="2" w:space="0" w:color="auto"/>
            </w:tcBorders>
          </w:tcPr>
          <w:p w14:paraId="1DB86BF8" w14:textId="77777777" w:rsidR="009F4766" w:rsidRPr="00DE12A3" w:rsidRDefault="009F4766" w:rsidP="00C917D6">
            <w:pPr>
              <w:pStyle w:val="NormalLeft"/>
            </w:pPr>
            <w:r w:rsidRPr="00DE12A3">
              <w:t>50</w:t>
            </w:r>
          </w:p>
        </w:tc>
      </w:tr>
      <w:tr w:rsidR="00DE12A3" w:rsidRPr="00DE12A3" w14:paraId="62559EEB" w14:textId="77777777" w:rsidTr="009F4766">
        <w:tc>
          <w:tcPr>
            <w:tcW w:w="1182" w:type="dxa"/>
            <w:tcBorders>
              <w:top w:val="single" w:sz="2" w:space="0" w:color="auto"/>
              <w:left w:val="single" w:sz="2" w:space="0" w:color="auto"/>
              <w:bottom w:val="single" w:sz="2" w:space="0" w:color="auto"/>
              <w:right w:val="single" w:sz="2" w:space="0" w:color="auto"/>
            </w:tcBorders>
          </w:tcPr>
          <w:p w14:paraId="366E4C7A" w14:textId="77777777" w:rsidR="009F4766" w:rsidRPr="00DE12A3" w:rsidRDefault="009F4766" w:rsidP="00C917D6">
            <w:pPr>
              <w:pStyle w:val="NormalLeft"/>
            </w:pPr>
            <w:r w:rsidRPr="00DE12A3">
              <w:t>451</w:t>
            </w:r>
          </w:p>
        </w:tc>
        <w:tc>
          <w:tcPr>
            <w:tcW w:w="2489" w:type="dxa"/>
            <w:tcBorders>
              <w:top w:val="single" w:sz="2" w:space="0" w:color="auto"/>
              <w:left w:val="single" w:sz="2" w:space="0" w:color="auto"/>
              <w:bottom w:val="single" w:sz="2" w:space="0" w:color="auto"/>
              <w:right w:val="single" w:sz="2" w:space="0" w:color="auto"/>
            </w:tcBorders>
          </w:tcPr>
          <w:p w14:paraId="4078B817" w14:textId="77777777" w:rsidR="009F4766" w:rsidRPr="00DE12A3" w:rsidRDefault="009F4766" w:rsidP="00C917D6">
            <w:pPr>
              <w:pStyle w:val="NormalLeft"/>
            </w:pPr>
            <w:r w:rsidRPr="00DE12A3">
              <w:t>13</w:t>
            </w:r>
          </w:p>
        </w:tc>
        <w:tc>
          <w:tcPr>
            <w:tcW w:w="2551" w:type="dxa"/>
            <w:tcBorders>
              <w:top w:val="single" w:sz="2" w:space="0" w:color="auto"/>
              <w:left w:val="single" w:sz="2" w:space="0" w:color="auto"/>
              <w:bottom w:val="single" w:sz="2" w:space="0" w:color="auto"/>
              <w:right w:val="single" w:sz="2" w:space="0" w:color="auto"/>
            </w:tcBorders>
          </w:tcPr>
          <w:p w14:paraId="723B270A" w14:textId="77777777" w:rsidR="009F4766" w:rsidRPr="00DE12A3" w:rsidRDefault="009F4766" w:rsidP="00C917D6">
            <w:pPr>
              <w:pStyle w:val="NormalLeft"/>
            </w:pPr>
            <w:r w:rsidRPr="00DE12A3">
              <w:t>43</w:t>
            </w:r>
          </w:p>
        </w:tc>
      </w:tr>
      <w:tr w:rsidR="00DE12A3" w:rsidRPr="00DE12A3" w14:paraId="17DB1DD1" w14:textId="77777777" w:rsidTr="009F4766">
        <w:tc>
          <w:tcPr>
            <w:tcW w:w="1182" w:type="dxa"/>
            <w:tcBorders>
              <w:top w:val="single" w:sz="2" w:space="0" w:color="auto"/>
              <w:left w:val="single" w:sz="2" w:space="0" w:color="auto"/>
              <w:bottom w:val="single" w:sz="2" w:space="0" w:color="auto"/>
              <w:right w:val="single" w:sz="2" w:space="0" w:color="auto"/>
            </w:tcBorders>
          </w:tcPr>
          <w:p w14:paraId="09BE99FB" w14:textId="77777777" w:rsidR="009F4766" w:rsidRPr="00DE12A3" w:rsidRDefault="009F4766" w:rsidP="00C917D6">
            <w:pPr>
              <w:pStyle w:val="NormalLeft"/>
            </w:pPr>
            <w:r w:rsidRPr="00DE12A3">
              <w:t>452</w:t>
            </w:r>
          </w:p>
        </w:tc>
        <w:tc>
          <w:tcPr>
            <w:tcW w:w="2489" w:type="dxa"/>
            <w:tcBorders>
              <w:top w:val="single" w:sz="2" w:space="0" w:color="auto"/>
              <w:left w:val="single" w:sz="2" w:space="0" w:color="auto"/>
              <w:bottom w:val="single" w:sz="2" w:space="0" w:color="auto"/>
              <w:right w:val="single" w:sz="2" w:space="0" w:color="auto"/>
            </w:tcBorders>
          </w:tcPr>
          <w:p w14:paraId="7025E847" w14:textId="77777777" w:rsidR="009F4766" w:rsidRPr="00DE12A3" w:rsidRDefault="009F4766" w:rsidP="00C917D6">
            <w:pPr>
              <w:pStyle w:val="NormalLeft"/>
            </w:pPr>
            <w:r w:rsidRPr="00DE12A3">
              <w:t>25</w:t>
            </w:r>
          </w:p>
        </w:tc>
        <w:tc>
          <w:tcPr>
            <w:tcW w:w="2551" w:type="dxa"/>
            <w:tcBorders>
              <w:top w:val="single" w:sz="2" w:space="0" w:color="auto"/>
              <w:left w:val="single" w:sz="2" w:space="0" w:color="auto"/>
              <w:bottom w:val="single" w:sz="2" w:space="0" w:color="auto"/>
              <w:right w:val="single" w:sz="2" w:space="0" w:color="auto"/>
            </w:tcBorders>
          </w:tcPr>
          <w:p w14:paraId="794CF189" w14:textId="77777777" w:rsidR="009F4766" w:rsidRPr="00DE12A3" w:rsidRDefault="009F4766" w:rsidP="00C917D6">
            <w:pPr>
              <w:pStyle w:val="NormalLeft"/>
            </w:pPr>
            <w:r w:rsidRPr="00DE12A3">
              <w:t>36</w:t>
            </w:r>
          </w:p>
        </w:tc>
      </w:tr>
      <w:tr w:rsidR="00DE12A3" w:rsidRPr="00DE12A3" w14:paraId="44B032BA" w14:textId="77777777" w:rsidTr="009F4766">
        <w:tc>
          <w:tcPr>
            <w:tcW w:w="1182" w:type="dxa"/>
            <w:tcBorders>
              <w:top w:val="single" w:sz="2" w:space="0" w:color="auto"/>
              <w:left w:val="single" w:sz="2" w:space="0" w:color="auto"/>
              <w:bottom w:val="single" w:sz="2" w:space="0" w:color="auto"/>
              <w:right w:val="single" w:sz="2" w:space="0" w:color="auto"/>
            </w:tcBorders>
          </w:tcPr>
          <w:p w14:paraId="4C1396F1" w14:textId="77777777" w:rsidR="009F4766" w:rsidRPr="00DE12A3" w:rsidRDefault="009F4766" w:rsidP="00C917D6">
            <w:pPr>
              <w:pStyle w:val="NormalLeft"/>
            </w:pPr>
            <w:r w:rsidRPr="00DE12A3">
              <w:t>453</w:t>
            </w:r>
          </w:p>
        </w:tc>
        <w:tc>
          <w:tcPr>
            <w:tcW w:w="2489" w:type="dxa"/>
            <w:tcBorders>
              <w:top w:val="single" w:sz="2" w:space="0" w:color="auto"/>
              <w:left w:val="single" w:sz="2" w:space="0" w:color="auto"/>
              <w:bottom w:val="single" w:sz="2" w:space="0" w:color="auto"/>
              <w:right w:val="single" w:sz="2" w:space="0" w:color="auto"/>
            </w:tcBorders>
          </w:tcPr>
          <w:p w14:paraId="26928859" w14:textId="77777777" w:rsidR="009F4766" w:rsidRPr="00DE12A3" w:rsidRDefault="009F4766" w:rsidP="00C917D6">
            <w:pPr>
              <w:pStyle w:val="NormalLeft"/>
            </w:pPr>
            <w:r w:rsidRPr="00DE12A3">
              <w:t>37</w:t>
            </w:r>
          </w:p>
        </w:tc>
        <w:tc>
          <w:tcPr>
            <w:tcW w:w="2551" w:type="dxa"/>
            <w:tcBorders>
              <w:top w:val="single" w:sz="2" w:space="0" w:color="auto"/>
              <w:left w:val="single" w:sz="2" w:space="0" w:color="auto"/>
              <w:bottom w:val="single" w:sz="2" w:space="0" w:color="auto"/>
              <w:right w:val="single" w:sz="2" w:space="0" w:color="auto"/>
            </w:tcBorders>
          </w:tcPr>
          <w:p w14:paraId="5E858E47" w14:textId="77777777" w:rsidR="009F4766" w:rsidRPr="00DE12A3" w:rsidRDefault="009F4766" w:rsidP="00C917D6">
            <w:pPr>
              <w:pStyle w:val="NormalLeft"/>
            </w:pPr>
            <w:r w:rsidRPr="00DE12A3">
              <w:t>57</w:t>
            </w:r>
          </w:p>
        </w:tc>
      </w:tr>
      <w:tr w:rsidR="00DE12A3" w:rsidRPr="00DE12A3" w14:paraId="3FF7A617" w14:textId="77777777" w:rsidTr="009F4766">
        <w:tc>
          <w:tcPr>
            <w:tcW w:w="1182" w:type="dxa"/>
            <w:tcBorders>
              <w:top w:val="single" w:sz="2" w:space="0" w:color="auto"/>
              <w:left w:val="single" w:sz="2" w:space="0" w:color="auto"/>
              <w:bottom w:val="single" w:sz="2" w:space="0" w:color="auto"/>
              <w:right w:val="single" w:sz="2" w:space="0" w:color="auto"/>
            </w:tcBorders>
          </w:tcPr>
          <w:p w14:paraId="3696E9DB" w14:textId="77777777" w:rsidR="009F4766" w:rsidRPr="00DE12A3" w:rsidRDefault="009F4766" w:rsidP="00C917D6">
            <w:pPr>
              <w:pStyle w:val="NormalLeft"/>
            </w:pPr>
            <w:r w:rsidRPr="00DE12A3">
              <w:t>454</w:t>
            </w:r>
          </w:p>
        </w:tc>
        <w:tc>
          <w:tcPr>
            <w:tcW w:w="2489" w:type="dxa"/>
            <w:tcBorders>
              <w:top w:val="single" w:sz="2" w:space="0" w:color="auto"/>
              <w:left w:val="single" w:sz="2" w:space="0" w:color="auto"/>
              <w:bottom w:val="single" w:sz="2" w:space="0" w:color="auto"/>
              <w:right w:val="single" w:sz="2" w:space="0" w:color="auto"/>
            </w:tcBorders>
          </w:tcPr>
          <w:p w14:paraId="569639B1" w14:textId="77777777" w:rsidR="009F4766" w:rsidRPr="00DE12A3" w:rsidRDefault="009F4766" w:rsidP="00C917D6">
            <w:pPr>
              <w:pStyle w:val="NormalLeft"/>
            </w:pPr>
            <w:r w:rsidRPr="00DE12A3">
              <w:t>29</w:t>
            </w:r>
          </w:p>
        </w:tc>
        <w:tc>
          <w:tcPr>
            <w:tcW w:w="2551" w:type="dxa"/>
            <w:tcBorders>
              <w:top w:val="single" w:sz="2" w:space="0" w:color="auto"/>
              <w:left w:val="single" w:sz="2" w:space="0" w:color="auto"/>
              <w:bottom w:val="single" w:sz="2" w:space="0" w:color="auto"/>
              <w:right w:val="single" w:sz="2" w:space="0" w:color="auto"/>
            </w:tcBorders>
          </w:tcPr>
          <w:p w14:paraId="5C3031E9" w14:textId="77777777" w:rsidR="009F4766" w:rsidRPr="00DE12A3" w:rsidRDefault="009F4766" w:rsidP="00C917D6">
            <w:pPr>
              <w:pStyle w:val="NormalLeft"/>
            </w:pPr>
            <w:r w:rsidRPr="00DE12A3">
              <w:t>46</w:t>
            </w:r>
          </w:p>
        </w:tc>
      </w:tr>
      <w:tr w:rsidR="00DE12A3" w:rsidRPr="00DE12A3" w14:paraId="21425368" w14:textId="77777777" w:rsidTr="009F4766">
        <w:tc>
          <w:tcPr>
            <w:tcW w:w="1182" w:type="dxa"/>
            <w:tcBorders>
              <w:top w:val="single" w:sz="2" w:space="0" w:color="auto"/>
              <w:left w:val="single" w:sz="2" w:space="0" w:color="auto"/>
              <w:bottom w:val="single" w:sz="2" w:space="0" w:color="auto"/>
              <w:right w:val="single" w:sz="2" w:space="0" w:color="auto"/>
            </w:tcBorders>
          </w:tcPr>
          <w:p w14:paraId="1AAB9028" w14:textId="77777777" w:rsidR="009F4766" w:rsidRPr="00DE12A3" w:rsidRDefault="009F4766" w:rsidP="00C917D6">
            <w:pPr>
              <w:pStyle w:val="NormalLeft"/>
            </w:pPr>
            <w:r w:rsidRPr="00DE12A3">
              <w:t>455</w:t>
            </w:r>
          </w:p>
        </w:tc>
        <w:tc>
          <w:tcPr>
            <w:tcW w:w="2489" w:type="dxa"/>
            <w:tcBorders>
              <w:top w:val="single" w:sz="2" w:space="0" w:color="auto"/>
              <w:left w:val="single" w:sz="2" w:space="0" w:color="auto"/>
              <w:bottom w:val="single" w:sz="2" w:space="0" w:color="auto"/>
              <w:right w:val="single" w:sz="2" w:space="0" w:color="auto"/>
            </w:tcBorders>
          </w:tcPr>
          <w:p w14:paraId="42C6132A" w14:textId="77777777" w:rsidR="009F4766" w:rsidRPr="00DE12A3" w:rsidRDefault="009F4766" w:rsidP="00C917D6">
            <w:pPr>
              <w:pStyle w:val="NormalLeft"/>
            </w:pPr>
            <w:r w:rsidRPr="00DE12A3">
              <w:t>17</w:t>
            </w:r>
          </w:p>
        </w:tc>
        <w:tc>
          <w:tcPr>
            <w:tcW w:w="2551" w:type="dxa"/>
            <w:tcBorders>
              <w:top w:val="single" w:sz="2" w:space="0" w:color="auto"/>
              <w:left w:val="single" w:sz="2" w:space="0" w:color="auto"/>
              <w:bottom w:val="single" w:sz="2" w:space="0" w:color="auto"/>
              <w:right w:val="single" w:sz="2" w:space="0" w:color="auto"/>
            </w:tcBorders>
          </w:tcPr>
          <w:p w14:paraId="43DA1AC8" w14:textId="77777777" w:rsidR="009F4766" w:rsidRPr="00DE12A3" w:rsidRDefault="009F4766" w:rsidP="00C917D6">
            <w:pPr>
              <w:pStyle w:val="NormalLeft"/>
            </w:pPr>
            <w:r w:rsidRPr="00DE12A3">
              <w:t>39</w:t>
            </w:r>
          </w:p>
        </w:tc>
      </w:tr>
      <w:tr w:rsidR="00DE12A3" w:rsidRPr="00DE12A3" w14:paraId="4F64BDD0" w14:textId="77777777" w:rsidTr="009F4766">
        <w:tc>
          <w:tcPr>
            <w:tcW w:w="1182" w:type="dxa"/>
            <w:tcBorders>
              <w:top w:val="single" w:sz="2" w:space="0" w:color="auto"/>
              <w:left w:val="single" w:sz="2" w:space="0" w:color="auto"/>
              <w:bottom w:val="single" w:sz="2" w:space="0" w:color="auto"/>
              <w:right w:val="single" w:sz="2" w:space="0" w:color="auto"/>
            </w:tcBorders>
          </w:tcPr>
          <w:p w14:paraId="08869414" w14:textId="77777777" w:rsidR="009F4766" w:rsidRPr="00DE12A3" w:rsidRDefault="009F4766" w:rsidP="00C917D6">
            <w:pPr>
              <w:pStyle w:val="NormalLeft"/>
            </w:pPr>
            <w:r w:rsidRPr="00DE12A3">
              <w:t>456</w:t>
            </w:r>
          </w:p>
        </w:tc>
        <w:tc>
          <w:tcPr>
            <w:tcW w:w="2489" w:type="dxa"/>
            <w:tcBorders>
              <w:top w:val="single" w:sz="2" w:space="0" w:color="auto"/>
              <w:left w:val="single" w:sz="2" w:space="0" w:color="auto"/>
              <w:bottom w:val="single" w:sz="2" w:space="0" w:color="auto"/>
              <w:right w:val="single" w:sz="2" w:space="0" w:color="auto"/>
            </w:tcBorders>
          </w:tcPr>
          <w:p w14:paraId="2DEB67D5" w14:textId="77777777" w:rsidR="009F4766" w:rsidRPr="00DE12A3" w:rsidRDefault="009F4766" w:rsidP="00C917D6">
            <w:pPr>
              <w:pStyle w:val="NormalLeft"/>
            </w:pPr>
            <w:r w:rsidRPr="00DE12A3">
              <w:t>13</w:t>
            </w:r>
          </w:p>
        </w:tc>
        <w:tc>
          <w:tcPr>
            <w:tcW w:w="2551" w:type="dxa"/>
            <w:tcBorders>
              <w:top w:val="single" w:sz="2" w:space="0" w:color="auto"/>
              <w:left w:val="single" w:sz="2" w:space="0" w:color="auto"/>
              <w:bottom w:val="single" w:sz="2" w:space="0" w:color="auto"/>
              <w:right w:val="single" w:sz="2" w:space="0" w:color="auto"/>
            </w:tcBorders>
          </w:tcPr>
          <w:p w14:paraId="3AFB226F" w14:textId="77777777" w:rsidR="009F4766" w:rsidRPr="00DE12A3" w:rsidRDefault="009F4766" w:rsidP="00C917D6">
            <w:pPr>
              <w:pStyle w:val="NormalLeft"/>
            </w:pPr>
            <w:r w:rsidRPr="00DE12A3">
              <w:t>41</w:t>
            </w:r>
          </w:p>
        </w:tc>
      </w:tr>
      <w:tr w:rsidR="00DE12A3" w:rsidRPr="00DE12A3" w14:paraId="63E0A210" w14:textId="77777777" w:rsidTr="009F4766">
        <w:tc>
          <w:tcPr>
            <w:tcW w:w="1182" w:type="dxa"/>
            <w:tcBorders>
              <w:top w:val="single" w:sz="2" w:space="0" w:color="auto"/>
              <w:left w:val="single" w:sz="2" w:space="0" w:color="auto"/>
              <w:bottom w:val="single" w:sz="2" w:space="0" w:color="auto"/>
              <w:right w:val="single" w:sz="2" w:space="0" w:color="auto"/>
            </w:tcBorders>
          </w:tcPr>
          <w:p w14:paraId="66D2A4F5" w14:textId="77777777" w:rsidR="009F4766" w:rsidRPr="00DE12A3" w:rsidRDefault="009F4766" w:rsidP="00C917D6">
            <w:pPr>
              <w:pStyle w:val="NormalLeft"/>
            </w:pPr>
            <w:r w:rsidRPr="00DE12A3">
              <w:t>457</w:t>
            </w:r>
          </w:p>
        </w:tc>
        <w:tc>
          <w:tcPr>
            <w:tcW w:w="2489" w:type="dxa"/>
            <w:tcBorders>
              <w:top w:val="single" w:sz="2" w:space="0" w:color="auto"/>
              <w:left w:val="single" w:sz="2" w:space="0" w:color="auto"/>
              <w:bottom w:val="single" w:sz="2" w:space="0" w:color="auto"/>
              <w:right w:val="single" w:sz="2" w:space="0" w:color="auto"/>
            </w:tcBorders>
          </w:tcPr>
          <w:p w14:paraId="3A0F4763" w14:textId="77777777" w:rsidR="009F4766" w:rsidRPr="00DE12A3" w:rsidRDefault="009F4766" w:rsidP="00C917D6">
            <w:pPr>
              <w:pStyle w:val="NormalLeft"/>
            </w:pPr>
            <w:r w:rsidRPr="00DE12A3">
              <w:t>19</w:t>
            </w:r>
          </w:p>
        </w:tc>
        <w:tc>
          <w:tcPr>
            <w:tcW w:w="2551" w:type="dxa"/>
            <w:tcBorders>
              <w:top w:val="single" w:sz="2" w:space="0" w:color="auto"/>
              <w:left w:val="single" w:sz="2" w:space="0" w:color="auto"/>
              <w:bottom w:val="single" w:sz="2" w:space="0" w:color="auto"/>
              <w:right w:val="single" w:sz="2" w:space="0" w:color="auto"/>
            </w:tcBorders>
          </w:tcPr>
          <w:p w14:paraId="77326885" w14:textId="77777777" w:rsidR="009F4766" w:rsidRPr="00DE12A3" w:rsidRDefault="009F4766" w:rsidP="00C917D6">
            <w:pPr>
              <w:pStyle w:val="NormalLeft"/>
            </w:pPr>
            <w:r w:rsidRPr="00DE12A3">
              <w:t>38</w:t>
            </w:r>
          </w:p>
        </w:tc>
      </w:tr>
      <w:tr w:rsidR="00DE12A3" w:rsidRPr="00DE12A3" w14:paraId="146BC8F4" w14:textId="77777777" w:rsidTr="009F4766">
        <w:tc>
          <w:tcPr>
            <w:tcW w:w="1182" w:type="dxa"/>
            <w:tcBorders>
              <w:top w:val="single" w:sz="2" w:space="0" w:color="auto"/>
              <w:left w:val="single" w:sz="2" w:space="0" w:color="auto"/>
              <w:bottom w:val="single" w:sz="2" w:space="0" w:color="auto"/>
              <w:right w:val="single" w:sz="2" w:space="0" w:color="auto"/>
            </w:tcBorders>
          </w:tcPr>
          <w:p w14:paraId="3BB62172" w14:textId="77777777" w:rsidR="009F4766" w:rsidRPr="00DE12A3" w:rsidRDefault="009F4766" w:rsidP="00C917D6">
            <w:pPr>
              <w:pStyle w:val="NormalLeft"/>
            </w:pPr>
            <w:r w:rsidRPr="00DE12A3">
              <w:t>458</w:t>
            </w:r>
          </w:p>
        </w:tc>
        <w:tc>
          <w:tcPr>
            <w:tcW w:w="2489" w:type="dxa"/>
            <w:tcBorders>
              <w:top w:val="single" w:sz="2" w:space="0" w:color="auto"/>
              <w:left w:val="single" w:sz="2" w:space="0" w:color="auto"/>
              <w:bottom w:val="single" w:sz="2" w:space="0" w:color="auto"/>
              <w:right w:val="single" w:sz="2" w:space="0" w:color="auto"/>
            </w:tcBorders>
          </w:tcPr>
          <w:p w14:paraId="552DDFE4" w14:textId="77777777" w:rsidR="009F4766" w:rsidRPr="00DE12A3" w:rsidRDefault="009F4766" w:rsidP="00C917D6">
            <w:pPr>
              <w:pStyle w:val="NormalLeft"/>
            </w:pPr>
            <w:r w:rsidRPr="00DE12A3">
              <w:t>28</w:t>
            </w:r>
          </w:p>
        </w:tc>
        <w:tc>
          <w:tcPr>
            <w:tcW w:w="2551" w:type="dxa"/>
            <w:tcBorders>
              <w:top w:val="single" w:sz="2" w:space="0" w:color="auto"/>
              <w:left w:val="single" w:sz="2" w:space="0" w:color="auto"/>
              <w:bottom w:val="single" w:sz="2" w:space="0" w:color="auto"/>
              <w:right w:val="single" w:sz="2" w:space="0" w:color="auto"/>
            </w:tcBorders>
          </w:tcPr>
          <w:p w14:paraId="5BF3009F" w14:textId="77777777" w:rsidR="009F4766" w:rsidRPr="00DE12A3" w:rsidRDefault="009F4766" w:rsidP="00C917D6">
            <w:pPr>
              <w:pStyle w:val="NormalLeft"/>
            </w:pPr>
            <w:r w:rsidRPr="00DE12A3">
              <w:t>35</w:t>
            </w:r>
          </w:p>
        </w:tc>
      </w:tr>
      <w:tr w:rsidR="00DE12A3" w:rsidRPr="00DE12A3" w14:paraId="02A9111D" w14:textId="77777777" w:rsidTr="009F4766">
        <w:tc>
          <w:tcPr>
            <w:tcW w:w="1182" w:type="dxa"/>
            <w:tcBorders>
              <w:top w:val="single" w:sz="2" w:space="0" w:color="auto"/>
              <w:left w:val="single" w:sz="2" w:space="0" w:color="auto"/>
              <w:bottom w:val="single" w:sz="2" w:space="0" w:color="auto"/>
              <w:right w:val="single" w:sz="2" w:space="0" w:color="auto"/>
            </w:tcBorders>
          </w:tcPr>
          <w:p w14:paraId="0608EF6B" w14:textId="77777777" w:rsidR="009F4766" w:rsidRPr="00DE12A3" w:rsidRDefault="009F4766" w:rsidP="00C917D6">
            <w:pPr>
              <w:pStyle w:val="NormalLeft"/>
            </w:pPr>
            <w:r w:rsidRPr="00DE12A3">
              <w:lastRenderedPageBreak/>
              <w:t>459</w:t>
            </w:r>
          </w:p>
        </w:tc>
        <w:tc>
          <w:tcPr>
            <w:tcW w:w="2489" w:type="dxa"/>
            <w:tcBorders>
              <w:top w:val="single" w:sz="2" w:space="0" w:color="auto"/>
              <w:left w:val="single" w:sz="2" w:space="0" w:color="auto"/>
              <w:bottom w:val="single" w:sz="2" w:space="0" w:color="auto"/>
              <w:right w:val="single" w:sz="2" w:space="0" w:color="auto"/>
            </w:tcBorders>
          </w:tcPr>
          <w:p w14:paraId="1FD586E2" w14:textId="77777777" w:rsidR="009F4766" w:rsidRPr="00DE12A3" w:rsidRDefault="009F4766" w:rsidP="00C917D6">
            <w:pPr>
              <w:pStyle w:val="NormalLeft"/>
            </w:pPr>
            <w:r w:rsidRPr="00DE12A3">
              <w:t>8</w:t>
            </w:r>
          </w:p>
        </w:tc>
        <w:tc>
          <w:tcPr>
            <w:tcW w:w="2551" w:type="dxa"/>
            <w:tcBorders>
              <w:top w:val="single" w:sz="2" w:space="0" w:color="auto"/>
              <w:left w:val="single" w:sz="2" w:space="0" w:color="auto"/>
              <w:bottom w:val="single" w:sz="2" w:space="0" w:color="auto"/>
              <w:right w:val="single" w:sz="2" w:space="0" w:color="auto"/>
            </w:tcBorders>
          </w:tcPr>
          <w:p w14:paraId="5DA4499E" w14:textId="77777777" w:rsidR="009F4766" w:rsidRPr="00DE12A3" w:rsidRDefault="009F4766" w:rsidP="00C917D6">
            <w:pPr>
              <w:pStyle w:val="NormalLeft"/>
            </w:pPr>
            <w:r w:rsidRPr="00DE12A3">
              <w:t>51</w:t>
            </w:r>
          </w:p>
        </w:tc>
      </w:tr>
      <w:tr w:rsidR="00DE12A3" w:rsidRPr="00DE12A3" w14:paraId="60ACFEC7" w14:textId="77777777" w:rsidTr="009F4766">
        <w:tc>
          <w:tcPr>
            <w:tcW w:w="1182" w:type="dxa"/>
            <w:tcBorders>
              <w:top w:val="single" w:sz="2" w:space="0" w:color="auto"/>
              <w:left w:val="single" w:sz="2" w:space="0" w:color="auto"/>
              <w:bottom w:val="single" w:sz="2" w:space="0" w:color="auto"/>
              <w:right w:val="single" w:sz="2" w:space="0" w:color="auto"/>
            </w:tcBorders>
          </w:tcPr>
          <w:p w14:paraId="2B02296D" w14:textId="77777777" w:rsidR="009F4766" w:rsidRPr="00DE12A3" w:rsidRDefault="009F4766" w:rsidP="00C917D6">
            <w:pPr>
              <w:pStyle w:val="NormalLeft"/>
            </w:pPr>
            <w:r w:rsidRPr="00DE12A3">
              <w:t>460</w:t>
            </w:r>
          </w:p>
        </w:tc>
        <w:tc>
          <w:tcPr>
            <w:tcW w:w="2489" w:type="dxa"/>
            <w:tcBorders>
              <w:top w:val="single" w:sz="2" w:space="0" w:color="auto"/>
              <w:left w:val="single" w:sz="2" w:space="0" w:color="auto"/>
              <w:bottom w:val="single" w:sz="2" w:space="0" w:color="auto"/>
              <w:right w:val="single" w:sz="2" w:space="0" w:color="auto"/>
            </w:tcBorders>
          </w:tcPr>
          <w:p w14:paraId="0CFC14AB" w14:textId="77777777" w:rsidR="009F4766" w:rsidRPr="00DE12A3" w:rsidRDefault="009F4766" w:rsidP="00C917D6">
            <w:pPr>
              <w:pStyle w:val="NormalLeft"/>
            </w:pPr>
            <w:r w:rsidRPr="00DE12A3">
              <w:t>14</w:t>
            </w:r>
          </w:p>
        </w:tc>
        <w:tc>
          <w:tcPr>
            <w:tcW w:w="2551" w:type="dxa"/>
            <w:tcBorders>
              <w:top w:val="single" w:sz="2" w:space="0" w:color="auto"/>
              <w:left w:val="single" w:sz="2" w:space="0" w:color="auto"/>
              <w:bottom w:val="single" w:sz="2" w:space="0" w:color="auto"/>
              <w:right w:val="single" w:sz="2" w:space="0" w:color="auto"/>
            </w:tcBorders>
          </w:tcPr>
          <w:p w14:paraId="3DB194FA" w14:textId="77777777" w:rsidR="009F4766" w:rsidRPr="00DE12A3" w:rsidRDefault="009F4766" w:rsidP="00C917D6">
            <w:pPr>
              <w:pStyle w:val="NormalLeft"/>
            </w:pPr>
            <w:r w:rsidRPr="00DE12A3">
              <w:t>36</w:t>
            </w:r>
          </w:p>
        </w:tc>
      </w:tr>
      <w:tr w:rsidR="00DE12A3" w:rsidRPr="00DE12A3" w14:paraId="631C83EC" w14:textId="77777777" w:rsidTr="009F4766">
        <w:tc>
          <w:tcPr>
            <w:tcW w:w="1182" w:type="dxa"/>
            <w:tcBorders>
              <w:top w:val="single" w:sz="2" w:space="0" w:color="auto"/>
              <w:left w:val="single" w:sz="2" w:space="0" w:color="auto"/>
              <w:bottom w:val="single" w:sz="2" w:space="0" w:color="auto"/>
              <w:right w:val="single" w:sz="2" w:space="0" w:color="auto"/>
            </w:tcBorders>
          </w:tcPr>
          <w:p w14:paraId="67B70ED4" w14:textId="77777777" w:rsidR="009F4766" w:rsidRPr="00DE12A3" w:rsidRDefault="009F4766" w:rsidP="00C917D6">
            <w:pPr>
              <w:pStyle w:val="NormalLeft"/>
            </w:pPr>
            <w:r w:rsidRPr="00DE12A3">
              <w:t>461</w:t>
            </w:r>
          </w:p>
        </w:tc>
        <w:tc>
          <w:tcPr>
            <w:tcW w:w="2489" w:type="dxa"/>
            <w:tcBorders>
              <w:top w:val="single" w:sz="2" w:space="0" w:color="auto"/>
              <w:left w:val="single" w:sz="2" w:space="0" w:color="auto"/>
              <w:bottom w:val="single" w:sz="2" w:space="0" w:color="auto"/>
              <w:right w:val="single" w:sz="2" w:space="0" w:color="auto"/>
            </w:tcBorders>
          </w:tcPr>
          <w:p w14:paraId="74C0C27D" w14:textId="77777777" w:rsidR="009F4766" w:rsidRPr="00DE12A3" w:rsidRDefault="009F4766" w:rsidP="00C917D6">
            <w:pPr>
              <w:pStyle w:val="NormalLeft"/>
            </w:pPr>
            <w:r w:rsidRPr="00DE12A3">
              <w:t>17</w:t>
            </w:r>
          </w:p>
        </w:tc>
        <w:tc>
          <w:tcPr>
            <w:tcW w:w="2551" w:type="dxa"/>
            <w:tcBorders>
              <w:top w:val="single" w:sz="2" w:space="0" w:color="auto"/>
              <w:left w:val="single" w:sz="2" w:space="0" w:color="auto"/>
              <w:bottom w:val="single" w:sz="2" w:space="0" w:color="auto"/>
              <w:right w:val="single" w:sz="2" w:space="0" w:color="auto"/>
            </w:tcBorders>
          </w:tcPr>
          <w:p w14:paraId="21F22FB2" w14:textId="77777777" w:rsidR="009F4766" w:rsidRPr="00DE12A3" w:rsidRDefault="009F4766" w:rsidP="00C917D6">
            <w:pPr>
              <w:pStyle w:val="NormalLeft"/>
            </w:pPr>
            <w:r w:rsidRPr="00DE12A3">
              <w:t>47</w:t>
            </w:r>
          </w:p>
        </w:tc>
      </w:tr>
      <w:tr w:rsidR="00DE12A3" w:rsidRPr="00DE12A3" w14:paraId="201E3DBF" w14:textId="77777777" w:rsidTr="009F4766">
        <w:tc>
          <w:tcPr>
            <w:tcW w:w="1182" w:type="dxa"/>
            <w:tcBorders>
              <w:top w:val="single" w:sz="2" w:space="0" w:color="auto"/>
              <w:left w:val="single" w:sz="2" w:space="0" w:color="auto"/>
              <w:bottom w:val="single" w:sz="2" w:space="0" w:color="auto"/>
              <w:right w:val="single" w:sz="2" w:space="0" w:color="auto"/>
            </w:tcBorders>
          </w:tcPr>
          <w:p w14:paraId="57FDE0C8" w14:textId="77777777" w:rsidR="009F4766" w:rsidRPr="00DE12A3" w:rsidRDefault="009F4766" w:rsidP="00C917D6">
            <w:pPr>
              <w:pStyle w:val="NormalLeft"/>
            </w:pPr>
            <w:r w:rsidRPr="00DE12A3">
              <w:t>462</w:t>
            </w:r>
          </w:p>
        </w:tc>
        <w:tc>
          <w:tcPr>
            <w:tcW w:w="2489" w:type="dxa"/>
            <w:tcBorders>
              <w:top w:val="single" w:sz="2" w:space="0" w:color="auto"/>
              <w:left w:val="single" w:sz="2" w:space="0" w:color="auto"/>
              <w:bottom w:val="single" w:sz="2" w:space="0" w:color="auto"/>
              <w:right w:val="single" w:sz="2" w:space="0" w:color="auto"/>
            </w:tcBorders>
          </w:tcPr>
          <w:p w14:paraId="41A52FA6" w14:textId="77777777" w:rsidR="009F4766" w:rsidRPr="00DE12A3" w:rsidRDefault="009F4766" w:rsidP="00C917D6">
            <w:pPr>
              <w:pStyle w:val="NormalLeft"/>
            </w:pPr>
            <w:r w:rsidRPr="00DE12A3">
              <w:t>34</w:t>
            </w:r>
          </w:p>
        </w:tc>
        <w:tc>
          <w:tcPr>
            <w:tcW w:w="2551" w:type="dxa"/>
            <w:tcBorders>
              <w:top w:val="single" w:sz="2" w:space="0" w:color="auto"/>
              <w:left w:val="single" w:sz="2" w:space="0" w:color="auto"/>
              <w:bottom w:val="single" w:sz="2" w:space="0" w:color="auto"/>
              <w:right w:val="single" w:sz="2" w:space="0" w:color="auto"/>
            </w:tcBorders>
          </w:tcPr>
          <w:p w14:paraId="7921C8B8" w14:textId="77777777" w:rsidR="009F4766" w:rsidRPr="00DE12A3" w:rsidRDefault="009F4766" w:rsidP="00C917D6">
            <w:pPr>
              <w:pStyle w:val="NormalLeft"/>
            </w:pPr>
            <w:r w:rsidRPr="00DE12A3">
              <w:t>39</w:t>
            </w:r>
          </w:p>
        </w:tc>
      </w:tr>
      <w:tr w:rsidR="00DE12A3" w:rsidRPr="00DE12A3" w14:paraId="7C2EF0FA" w14:textId="77777777" w:rsidTr="009F4766">
        <w:tc>
          <w:tcPr>
            <w:tcW w:w="1182" w:type="dxa"/>
            <w:tcBorders>
              <w:top w:val="single" w:sz="2" w:space="0" w:color="auto"/>
              <w:left w:val="single" w:sz="2" w:space="0" w:color="auto"/>
              <w:bottom w:val="single" w:sz="2" w:space="0" w:color="auto"/>
              <w:right w:val="single" w:sz="2" w:space="0" w:color="auto"/>
            </w:tcBorders>
          </w:tcPr>
          <w:p w14:paraId="43338873" w14:textId="77777777" w:rsidR="009F4766" w:rsidRPr="00DE12A3" w:rsidRDefault="009F4766" w:rsidP="00C917D6">
            <w:pPr>
              <w:pStyle w:val="NormalLeft"/>
            </w:pPr>
            <w:r w:rsidRPr="00DE12A3">
              <w:t>463</w:t>
            </w:r>
          </w:p>
        </w:tc>
        <w:tc>
          <w:tcPr>
            <w:tcW w:w="2489" w:type="dxa"/>
            <w:tcBorders>
              <w:top w:val="single" w:sz="2" w:space="0" w:color="auto"/>
              <w:left w:val="single" w:sz="2" w:space="0" w:color="auto"/>
              <w:bottom w:val="single" w:sz="2" w:space="0" w:color="auto"/>
              <w:right w:val="single" w:sz="2" w:space="0" w:color="auto"/>
            </w:tcBorders>
          </w:tcPr>
          <w:p w14:paraId="2B06893B" w14:textId="77777777" w:rsidR="009F4766" w:rsidRPr="00DE12A3" w:rsidRDefault="009F4766" w:rsidP="00C917D6">
            <w:pPr>
              <w:pStyle w:val="NormalLeft"/>
            </w:pPr>
            <w:r w:rsidRPr="00DE12A3">
              <w:t>34</w:t>
            </w:r>
          </w:p>
        </w:tc>
        <w:tc>
          <w:tcPr>
            <w:tcW w:w="2551" w:type="dxa"/>
            <w:tcBorders>
              <w:top w:val="single" w:sz="2" w:space="0" w:color="auto"/>
              <w:left w:val="single" w:sz="2" w:space="0" w:color="auto"/>
              <w:bottom w:val="single" w:sz="2" w:space="0" w:color="auto"/>
              <w:right w:val="single" w:sz="2" w:space="0" w:color="auto"/>
            </w:tcBorders>
          </w:tcPr>
          <w:p w14:paraId="34CB7407" w14:textId="77777777" w:rsidR="009F4766" w:rsidRPr="00DE12A3" w:rsidRDefault="009F4766" w:rsidP="00C917D6">
            <w:pPr>
              <w:pStyle w:val="NormalLeft"/>
            </w:pPr>
            <w:r w:rsidRPr="00DE12A3">
              <w:t>57</w:t>
            </w:r>
          </w:p>
        </w:tc>
      </w:tr>
      <w:tr w:rsidR="00DE12A3" w:rsidRPr="00DE12A3" w14:paraId="44726E82" w14:textId="77777777" w:rsidTr="009F4766">
        <w:tc>
          <w:tcPr>
            <w:tcW w:w="1182" w:type="dxa"/>
            <w:tcBorders>
              <w:top w:val="single" w:sz="2" w:space="0" w:color="auto"/>
              <w:left w:val="single" w:sz="2" w:space="0" w:color="auto"/>
              <w:bottom w:val="single" w:sz="2" w:space="0" w:color="auto"/>
              <w:right w:val="single" w:sz="2" w:space="0" w:color="auto"/>
            </w:tcBorders>
          </w:tcPr>
          <w:p w14:paraId="2FDFAF1E" w14:textId="77777777" w:rsidR="009F4766" w:rsidRPr="00DE12A3" w:rsidRDefault="009F4766" w:rsidP="00C917D6">
            <w:pPr>
              <w:pStyle w:val="NormalLeft"/>
            </w:pPr>
            <w:r w:rsidRPr="00DE12A3">
              <w:t>464</w:t>
            </w:r>
          </w:p>
        </w:tc>
        <w:tc>
          <w:tcPr>
            <w:tcW w:w="2489" w:type="dxa"/>
            <w:tcBorders>
              <w:top w:val="single" w:sz="2" w:space="0" w:color="auto"/>
              <w:left w:val="single" w:sz="2" w:space="0" w:color="auto"/>
              <w:bottom w:val="single" w:sz="2" w:space="0" w:color="auto"/>
              <w:right w:val="single" w:sz="2" w:space="0" w:color="auto"/>
            </w:tcBorders>
          </w:tcPr>
          <w:p w14:paraId="334DD4F6" w14:textId="77777777" w:rsidR="009F4766" w:rsidRPr="00DE12A3" w:rsidRDefault="009F4766" w:rsidP="00C917D6">
            <w:pPr>
              <w:pStyle w:val="NormalLeft"/>
            </w:pPr>
            <w:r w:rsidRPr="00DE12A3">
              <w:t>11</w:t>
            </w:r>
          </w:p>
        </w:tc>
        <w:tc>
          <w:tcPr>
            <w:tcW w:w="2551" w:type="dxa"/>
            <w:tcBorders>
              <w:top w:val="single" w:sz="2" w:space="0" w:color="auto"/>
              <w:left w:val="single" w:sz="2" w:space="0" w:color="auto"/>
              <w:bottom w:val="single" w:sz="2" w:space="0" w:color="auto"/>
              <w:right w:val="single" w:sz="2" w:space="0" w:color="auto"/>
            </w:tcBorders>
          </w:tcPr>
          <w:p w14:paraId="4BEFAAA6" w14:textId="77777777" w:rsidR="009F4766" w:rsidRPr="00DE12A3" w:rsidRDefault="009F4766" w:rsidP="00C917D6">
            <w:pPr>
              <w:pStyle w:val="NormalLeft"/>
            </w:pPr>
            <w:r w:rsidRPr="00DE12A3">
              <w:t>70</w:t>
            </w:r>
          </w:p>
        </w:tc>
      </w:tr>
      <w:tr w:rsidR="00DE12A3" w:rsidRPr="00DE12A3" w14:paraId="6A884E9E" w14:textId="77777777" w:rsidTr="009F4766">
        <w:tc>
          <w:tcPr>
            <w:tcW w:w="1182" w:type="dxa"/>
            <w:tcBorders>
              <w:top w:val="single" w:sz="2" w:space="0" w:color="auto"/>
              <w:left w:val="single" w:sz="2" w:space="0" w:color="auto"/>
              <w:bottom w:val="single" w:sz="2" w:space="0" w:color="auto"/>
              <w:right w:val="single" w:sz="2" w:space="0" w:color="auto"/>
            </w:tcBorders>
          </w:tcPr>
          <w:p w14:paraId="750640A6" w14:textId="77777777" w:rsidR="009F4766" w:rsidRPr="00DE12A3" w:rsidRDefault="009F4766" w:rsidP="00C917D6">
            <w:pPr>
              <w:pStyle w:val="NormalLeft"/>
            </w:pPr>
            <w:r w:rsidRPr="00DE12A3">
              <w:t>465</w:t>
            </w:r>
          </w:p>
        </w:tc>
        <w:tc>
          <w:tcPr>
            <w:tcW w:w="2489" w:type="dxa"/>
            <w:tcBorders>
              <w:top w:val="single" w:sz="2" w:space="0" w:color="auto"/>
              <w:left w:val="single" w:sz="2" w:space="0" w:color="auto"/>
              <w:bottom w:val="single" w:sz="2" w:space="0" w:color="auto"/>
              <w:right w:val="single" w:sz="2" w:space="0" w:color="auto"/>
            </w:tcBorders>
          </w:tcPr>
          <w:p w14:paraId="0BEB0ED4" w14:textId="77777777" w:rsidR="009F4766" w:rsidRPr="00DE12A3" w:rsidRDefault="009F4766" w:rsidP="00C917D6">
            <w:pPr>
              <w:pStyle w:val="NormalLeft"/>
            </w:pPr>
            <w:r w:rsidRPr="00DE12A3">
              <w:t>13</w:t>
            </w:r>
          </w:p>
        </w:tc>
        <w:tc>
          <w:tcPr>
            <w:tcW w:w="2551" w:type="dxa"/>
            <w:tcBorders>
              <w:top w:val="single" w:sz="2" w:space="0" w:color="auto"/>
              <w:left w:val="single" w:sz="2" w:space="0" w:color="auto"/>
              <w:bottom w:val="single" w:sz="2" w:space="0" w:color="auto"/>
              <w:right w:val="single" w:sz="2" w:space="0" w:color="auto"/>
            </w:tcBorders>
          </w:tcPr>
          <w:p w14:paraId="53A48B7E" w14:textId="77777777" w:rsidR="009F4766" w:rsidRPr="00DE12A3" w:rsidRDefault="009F4766" w:rsidP="00C917D6">
            <w:pPr>
              <w:pStyle w:val="NormalLeft"/>
            </w:pPr>
            <w:r w:rsidRPr="00DE12A3">
              <w:t>51</w:t>
            </w:r>
          </w:p>
        </w:tc>
      </w:tr>
      <w:tr w:rsidR="00DE12A3" w:rsidRPr="00DE12A3" w14:paraId="2D01F366" w14:textId="77777777" w:rsidTr="009F4766">
        <w:tc>
          <w:tcPr>
            <w:tcW w:w="1182" w:type="dxa"/>
            <w:tcBorders>
              <w:top w:val="single" w:sz="2" w:space="0" w:color="auto"/>
              <w:left w:val="single" w:sz="2" w:space="0" w:color="auto"/>
              <w:bottom w:val="single" w:sz="2" w:space="0" w:color="auto"/>
              <w:right w:val="single" w:sz="2" w:space="0" w:color="auto"/>
            </w:tcBorders>
          </w:tcPr>
          <w:p w14:paraId="0A3CE82E" w14:textId="77777777" w:rsidR="009F4766" w:rsidRPr="00DE12A3" w:rsidRDefault="009F4766" w:rsidP="00C917D6">
            <w:pPr>
              <w:pStyle w:val="NormalLeft"/>
            </w:pPr>
            <w:r w:rsidRPr="00DE12A3">
              <w:t>466</w:t>
            </w:r>
          </w:p>
        </w:tc>
        <w:tc>
          <w:tcPr>
            <w:tcW w:w="2489" w:type="dxa"/>
            <w:tcBorders>
              <w:top w:val="single" w:sz="2" w:space="0" w:color="auto"/>
              <w:left w:val="single" w:sz="2" w:space="0" w:color="auto"/>
              <w:bottom w:val="single" w:sz="2" w:space="0" w:color="auto"/>
              <w:right w:val="single" w:sz="2" w:space="0" w:color="auto"/>
            </w:tcBorders>
          </w:tcPr>
          <w:p w14:paraId="5DA3EBF3" w14:textId="77777777" w:rsidR="009F4766" w:rsidRPr="00DE12A3" w:rsidRDefault="009F4766" w:rsidP="00C917D6">
            <w:pPr>
              <w:pStyle w:val="NormalLeft"/>
            </w:pPr>
            <w:r w:rsidRPr="00DE12A3">
              <w:t>13</w:t>
            </w:r>
          </w:p>
        </w:tc>
        <w:tc>
          <w:tcPr>
            <w:tcW w:w="2551" w:type="dxa"/>
            <w:tcBorders>
              <w:top w:val="single" w:sz="2" w:space="0" w:color="auto"/>
              <w:left w:val="single" w:sz="2" w:space="0" w:color="auto"/>
              <w:bottom w:val="single" w:sz="2" w:space="0" w:color="auto"/>
              <w:right w:val="single" w:sz="2" w:space="0" w:color="auto"/>
            </w:tcBorders>
          </w:tcPr>
          <w:p w14:paraId="749FAECD" w14:textId="77777777" w:rsidR="009F4766" w:rsidRPr="00DE12A3" w:rsidRDefault="009F4766" w:rsidP="00C917D6">
            <w:pPr>
              <w:pStyle w:val="NormalLeft"/>
            </w:pPr>
            <w:r w:rsidRPr="00DE12A3">
              <w:t>68</w:t>
            </w:r>
          </w:p>
        </w:tc>
      </w:tr>
      <w:tr w:rsidR="00DE12A3" w:rsidRPr="00DE12A3" w14:paraId="323D6597" w14:textId="77777777" w:rsidTr="009F4766">
        <w:tc>
          <w:tcPr>
            <w:tcW w:w="1182" w:type="dxa"/>
            <w:tcBorders>
              <w:top w:val="single" w:sz="2" w:space="0" w:color="auto"/>
              <w:left w:val="single" w:sz="2" w:space="0" w:color="auto"/>
              <w:bottom w:val="single" w:sz="2" w:space="0" w:color="auto"/>
              <w:right w:val="single" w:sz="2" w:space="0" w:color="auto"/>
            </w:tcBorders>
          </w:tcPr>
          <w:p w14:paraId="3EE34C86" w14:textId="77777777" w:rsidR="009F4766" w:rsidRPr="00DE12A3" w:rsidRDefault="009F4766" w:rsidP="00C917D6">
            <w:pPr>
              <w:pStyle w:val="NormalLeft"/>
            </w:pPr>
            <w:r w:rsidRPr="00DE12A3">
              <w:t>467</w:t>
            </w:r>
          </w:p>
        </w:tc>
        <w:tc>
          <w:tcPr>
            <w:tcW w:w="2489" w:type="dxa"/>
            <w:tcBorders>
              <w:top w:val="single" w:sz="2" w:space="0" w:color="auto"/>
              <w:left w:val="single" w:sz="2" w:space="0" w:color="auto"/>
              <w:bottom w:val="single" w:sz="2" w:space="0" w:color="auto"/>
              <w:right w:val="single" w:sz="2" w:space="0" w:color="auto"/>
            </w:tcBorders>
          </w:tcPr>
          <w:p w14:paraId="30FB7A8F" w14:textId="77777777" w:rsidR="009F4766" w:rsidRPr="00DE12A3" w:rsidRDefault="009F4766" w:rsidP="00C917D6">
            <w:pPr>
              <w:pStyle w:val="NormalLeft"/>
            </w:pPr>
            <w:r w:rsidRPr="00DE12A3">
              <w:t>38</w:t>
            </w:r>
          </w:p>
        </w:tc>
        <w:tc>
          <w:tcPr>
            <w:tcW w:w="2551" w:type="dxa"/>
            <w:tcBorders>
              <w:top w:val="single" w:sz="2" w:space="0" w:color="auto"/>
              <w:left w:val="single" w:sz="2" w:space="0" w:color="auto"/>
              <w:bottom w:val="single" w:sz="2" w:space="0" w:color="auto"/>
              <w:right w:val="single" w:sz="2" w:space="0" w:color="auto"/>
            </w:tcBorders>
          </w:tcPr>
          <w:p w14:paraId="3A999D89" w14:textId="77777777" w:rsidR="009F4766" w:rsidRPr="00DE12A3" w:rsidRDefault="009F4766" w:rsidP="00C917D6">
            <w:pPr>
              <w:pStyle w:val="NormalLeft"/>
            </w:pPr>
            <w:r w:rsidRPr="00DE12A3">
              <w:t>44</w:t>
            </w:r>
          </w:p>
        </w:tc>
      </w:tr>
      <w:tr w:rsidR="00DE12A3" w:rsidRPr="00DE12A3" w14:paraId="5FCA7E13" w14:textId="77777777" w:rsidTr="009F4766">
        <w:tc>
          <w:tcPr>
            <w:tcW w:w="1182" w:type="dxa"/>
            <w:tcBorders>
              <w:top w:val="single" w:sz="2" w:space="0" w:color="auto"/>
              <w:left w:val="single" w:sz="2" w:space="0" w:color="auto"/>
              <w:bottom w:val="single" w:sz="2" w:space="0" w:color="auto"/>
              <w:right w:val="single" w:sz="2" w:space="0" w:color="auto"/>
            </w:tcBorders>
          </w:tcPr>
          <w:p w14:paraId="786F1D01" w14:textId="77777777" w:rsidR="009F4766" w:rsidRPr="00DE12A3" w:rsidRDefault="009F4766" w:rsidP="00C917D6">
            <w:pPr>
              <w:pStyle w:val="NormalLeft"/>
            </w:pPr>
            <w:r w:rsidRPr="00DE12A3">
              <w:t>468</w:t>
            </w:r>
          </w:p>
        </w:tc>
        <w:tc>
          <w:tcPr>
            <w:tcW w:w="2489" w:type="dxa"/>
            <w:tcBorders>
              <w:top w:val="single" w:sz="2" w:space="0" w:color="auto"/>
              <w:left w:val="single" w:sz="2" w:space="0" w:color="auto"/>
              <w:bottom w:val="single" w:sz="2" w:space="0" w:color="auto"/>
              <w:right w:val="single" w:sz="2" w:space="0" w:color="auto"/>
            </w:tcBorders>
          </w:tcPr>
          <w:p w14:paraId="59B8B6AF" w14:textId="77777777" w:rsidR="009F4766" w:rsidRPr="00DE12A3" w:rsidRDefault="009F4766" w:rsidP="00C917D6">
            <w:pPr>
              <w:pStyle w:val="NormalLeft"/>
            </w:pPr>
            <w:r w:rsidRPr="00DE12A3">
              <w:t>53</w:t>
            </w:r>
          </w:p>
        </w:tc>
        <w:tc>
          <w:tcPr>
            <w:tcW w:w="2551" w:type="dxa"/>
            <w:tcBorders>
              <w:top w:val="single" w:sz="2" w:space="0" w:color="auto"/>
              <w:left w:val="single" w:sz="2" w:space="0" w:color="auto"/>
              <w:bottom w:val="single" w:sz="2" w:space="0" w:color="auto"/>
              <w:right w:val="single" w:sz="2" w:space="0" w:color="auto"/>
            </w:tcBorders>
          </w:tcPr>
          <w:p w14:paraId="1E453337" w14:textId="77777777" w:rsidR="009F4766" w:rsidRPr="00DE12A3" w:rsidRDefault="009F4766" w:rsidP="00C917D6">
            <w:pPr>
              <w:pStyle w:val="NormalLeft"/>
            </w:pPr>
            <w:r w:rsidRPr="00DE12A3">
              <w:t>67</w:t>
            </w:r>
          </w:p>
        </w:tc>
      </w:tr>
      <w:tr w:rsidR="00DE12A3" w:rsidRPr="00DE12A3" w14:paraId="7D56D1F7" w14:textId="77777777" w:rsidTr="009F4766">
        <w:tc>
          <w:tcPr>
            <w:tcW w:w="1182" w:type="dxa"/>
            <w:tcBorders>
              <w:top w:val="single" w:sz="2" w:space="0" w:color="auto"/>
              <w:left w:val="single" w:sz="2" w:space="0" w:color="auto"/>
              <w:bottom w:val="single" w:sz="2" w:space="0" w:color="auto"/>
              <w:right w:val="single" w:sz="2" w:space="0" w:color="auto"/>
            </w:tcBorders>
          </w:tcPr>
          <w:p w14:paraId="76538879" w14:textId="77777777" w:rsidR="009F4766" w:rsidRPr="00DE12A3" w:rsidRDefault="009F4766" w:rsidP="00C917D6">
            <w:pPr>
              <w:pStyle w:val="NormalLeft"/>
            </w:pPr>
            <w:r w:rsidRPr="00DE12A3">
              <w:t>469</w:t>
            </w:r>
          </w:p>
        </w:tc>
        <w:tc>
          <w:tcPr>
            <w:tcW w:w="2489" w:type="dxa"/>
            <w:tcBorders>
              <w:top w:val="single" w:sz="2" w:space="0" w:color="auto"/>
              <w:left w:val="single" w:sz="2" w:space="0" w:color="auto"/>
              <w:bottom w:val="single" w:sz="2" w:space="0" w:color="auto"/>
              <w:right w:val="single" w:sz="2" w:space="0" w:color="auto"/>
            </w:tcBorders>
          </w:tcPr>
          <w:p w14:paraId="7DA78789" w14:textId="77777777" w:rsidR="009F4766" w:rsidRPr="00DE12A3" w:rsidRDefault="009F4766" w:rsidP="00C917D6">
            <w:pPr>
              <w:pStyle w:val="NormalLeft"/>
            </w:pPr>
            <w:r w:rsidRPr="00DE12A3">
              <w:t>29</w:t>
            </w:r>
          </w:p>
        </w:tc>
        <w:tc>
          <w:tcPr>
            <w:tcW w:w="2551" w:type="dxa"/>
            <w:tcBorders>
              <w:top w:val="single" w:sz="2" w:space="0" w:color="auto"/>
              <w:left w:val="single" w:sz="2" w:space="0" w:color="auto"/>
              <w:bottom w:val="single" w:sz="2" w:space="0" w:color="auto"/>
              <w:right w:val="single" w:sz="2" w:space="0" w:color="auto"/>
            </w:tcBorders>
          </w:tcPr>
          <w:p w14:paraId="1F077D18" w14:textId="77777777" w:rsidR="009F4766" w:rsidRPr="00DE12A3" w:rsidRDefault="009F4766" w:rsidP="00C917D6">
            <w:pPr>
              <w:pStyle w:val="NormalLeft"/>
            </w:pPr>
            <w:r w:rsidRPr="00DE12A3">
              <w:t>69</w:t>
            </w:r>
          </w:p>
        </w:tc>
      </w:tr>
      <w:tr w:rsidR="00DE12A3" w:rsidRPr="00DE12A3" w14:paraId="14153BFF" w14:textId="77777777" w:rsidTr="009F4766">
        <w:tc>
          <w:tcPr>
            <w:tcW w:w="1182" w:type="dxa"/>
            <w:tcBorders>
              <w:top w:val="single" w:sz="2" w:space="0" w:color="auto"/>
              <w:left w:val="single" w:sz="2" w:space="0" w:color="auto"/>
              <w:bottom w:val="single" w:sz="2" w:space="0" w:color="auto"/>
              <w:right w:val="single" w:sz="2" w:space="0" w:color="auto"/>
            </w:tcBorders>
          </w:tcPr>
          <w:p w14:paraId="06C1DF2E" w14:textId="77777777" w:rsidR="009F4766" w:rsidRPr="00DE12A3" w:rsidRDefault="009F4766" w:rsidP="00C917D6">
            <w:pPr>
              <w:pStyle w:val="NormalLeft"/>
            </w:pPr>
            <w:r w:rsidRPr="00DE12A3">
              <w:t>470</w:t>
            </w:r>
          </w:p>
        </w:tc>
        <w:tc>
          <w:tcPr>
            <w:tcW w:w="2489" w:type="dxa"/>
            <w:tcBorders>
              <w:top w:val="single" w:sz="2" w:space="0" w:color="auto"/>
              <w:left w:val="single" w:sz="2" w:space="0" w:color="auto"/>
              <w:bottom w:val="single" w:sz="2" w:space="0" w:color="auto"/>
              <w:right w:val="single" w:sz="2" w:space="0" w:color="auto"/>
            </w:tcBorders>
          </w:tcPr>
          <w:p w14:paraId="569B914C" w14:textId="77777777" w:rsidR="009F4766" w:rsidRPr="00DE12A3" w:rsidRDefault="009F4766" w:rsidP="00C917D6">
            <w:pPr>
              <w:pStyle w:val="NormalLeft"/>
            </w:pPr>
            <w:r w:rsidRPr="00DE12A3">
              <w:t>19</w:t>
            </w:r>
          </w:p>
        </w:tc>
        <w:tc>
          <w:tcPr>
            <w:tcW w:w="2551" w:type="dxa"/>
            <w:tcBorders>
              <w:top w:val="single" w:sz="2" w:space="0" w:color="auto"/>
              <w:left w:val="single" w:sz="2" w:space="0" w:color="auto"/>
              <w:bottom w:val="single" w:sz="2" w:space="0" w:color="auto"/>
              <w:right w:val="single" w:sz="2" w:space="0" w:color="auto"/>
            </w:tcBorders>
          </w:tcPr>
          <w:p w14:paraId="2921E32F" w14:textId="77777777" w:rsidR="009F4766" w:rsidRPr="00DE12A3" w:rsidRDefault="009F4766" w:rsidP="00C917D6">
            <w:pPr>
              <w:pStyle w:val="NormalLeft"/>
            </w:pPr>
            <w:r w:rsidRPr="00DE12A3">
              <w:t>65</w:t>
            </w:r>
          </w:p>
        </w:tc>
      </w:tr>
      <w:tr w:rsidR="00DE12A3" w:rsidRPr="00DE12A3" w14:paraId="78591B8B" w14:textId="77777777" w:rsidTr="009F4766">
        <w:tc>
          <w:tcPr>
            <w:tcW w:w="1182" w:type="dxa"/>
            <w:tcBorders>
              <w:top w:val="single" w:sz="2" w:space="0" w:color="auto"/>
              <w:left w:val="single" w:sz="2" w:space="0" w:color="auto"/>
              <w:bottom w:val="single" w:sz="2" w:space="0" w:color="auto"/>
              <w:right w:val="single" w:sz="2" w:space="0" w:color="auto"/>
            </w:tcBorders>
          </w:tcPr>
          <w:p w14:paraId="0DAB68C7" w14:textId="77777777" w:rsidR="009F4766" w:rsidRPr="00DE12A3" w:rsidRDefault="009F4766" w:rsidP="00C917D6">
            <w:pPr>
              <w:pStyle w:val="NormalLeft"/>
            </w:pPr>
            <w:r w:rsidRPr="00DE12A3">
              <w:t>471</w:t>
            </w:r>
          </w:p>
        </w:tc>
        <w:tc>
          <w:tcPr>
            <w:tcW w:w="2489" w:type="dxa"/>
            <w:tcBorders>
              <w:top w:val="single" w:sz="2" w:space="0" w:color="auto"/>
              <w:left w:val="single" w:sz="2" w:space="0" w:color="auto"/>
              <w:bottom w:val="single" w:sz="2" w:space="0" w:color="auto"/>
              <w:right w:val="single" w:sz="2" w:space="0" w:color="auto"/>
            </w:tcBorders>
          </w:tcPr>
          <w:p w14:paraId="03DF442F" w14:textId="77777777" w:rsidR="009F4766" w:rsidRPr="00DE12A3" w:rsidRDefault="009F4766" w:rsidP="00C917D6">
            <w:pPr>
              <w:pStyle w:val="NormalLeft"/>
            </w:pPr>
            <w:r w:rsidRPr="00DE12A3">
              <w:t>52</w:t>
            </w:r>
          </w:p>
        </w:tc>
        <w:tc>
          <w:tcPr>
            <w:tcW w:w="2551" w:type="dxa"/>
            <w:tcBorders>
              <w:top w:val="single" w:sz="2" w:space="0" w:color="auto"/>
              <w:left w:val="single" w:sz="2" w:space="0" w:color="auto"/>
              <w:bottom w:val="single" w:sz="2" w:space="0" w:color="auto"/>
              <w:right w:val="single" w:sz="2" w:space="0" w:color="auto"/>
            </w:tcBorders>
          </w:tcPr>
          <w:p w14:paraId="274760CB" w14:textId="77777777" w:rsidR="009F4766" w:rsidRPr="00DE12A3" w:rsidRDefault="009F4766" w:rsidP="00C917D6">
            <w:pPr>
              <w:pStyle w:val="NormalLeft"/>
            </w:pPr>
            <w:r w:rsidRPr="00DE12A3">
              <w:t>45</w:t>
            </w:r>
          </w:p>
        </w:tc>
      </w:tr>
      <w:tr w:rsidR="00DE12A3" w:rsidRPr="00DE12A3" w14:paraId="54CA9CB6" w14:textId="77777777" w:rsidTr="009F4766">
        <w:tc>
          <w:tcPr>
            <w:tcW w:w="1182" w:type="dxa"/>
            <w:tcBorders>
              <w:top w:val="single" w:sz="2" w:space="0" w:color="auto"/>
              <w:left w:val="single" w:sz="2" w:space="0" w:color="auto"/>
              <w:bottom w:val="single" w:sz="2" w:space="0" w:color="auto"/>
              <w:right w:val="single" w:sz="2" w:space="0" w:color="auto"/>
            </w:tcBorders>
          </w:tcPr>
          <w:p w14:paraId="0D828E7F" w14:textId="77777777" w:rsidR="009F4766" w:rsidRPr="00DE12A3" w:rsidRDefault="009F4766" w:rsidP="00C917D6">
            <w:pPr>
              <w:pStyle w:val="NormalLeft"/>
            </w:pPr>
            <w:r w:rsidRPr="00DE12A3">
              <w:t>472</w:t>
            </w:r>
          </w:p>
        </w:tc>
        <w:tc>
          <w:tcPr>
            <w:tcW w:w="2489" w:type="dxa"/>
            <w:tcBorders>
              <w:top w:val="single" w:sz="2" w:space="0" w:color="auto"/>
              <w:left w:val="single" w:sz="2" w:space="0" w:color="auto"/>
              <w:bottom w:val="single" w:sz="2" w:space="0" w:color="auto"/>
              <w:right w:val="single" w:sz="2" w:space="0" w:color="auto"/>
            </w:tcBorders>
          </w:tcPr>
          <w:p w14:paraId="64A1604C" w14:textId="77777777" w:rsidR="009F4766" w:rsidRPr="00DE12A3" w:rsidRDefault="009F4766" w:rsidP="00C917D6">
            <w:pPr>
              <w:pStyle w:val="NormalLeft"/>
            </w:pPr>
            <w:r w:rsidRPr="00DE12A3">
              <w:t>61</w:t>
            </w:r>
          </w:p>
        </w:tc>
        <w:tc>
          <w:tcPr>
            <w:tcW w:w="2551" w:type="dxa"/>
            <w:tcBorders>
              <w:top w:val="single" w:sz="2" w:space="0" w:color="auto"/>
              <w:left w:val="single" w:sz="2" w:space="0" w:color="auto"/>
              <w:bottom w:val="single" w:sz="2" w:space="0" w:color="auto"/>
              <w:right w:val="single" w:sz="2" w:space="0" w:color="auto"/>
            </w:tcBorders>
          </w:tcPr>
          <w:p w14:paraId="1DF82C5D" w14:textId="77777777" w:rsidR="009F4766" w:rsidRPr="00DE12A3" w:rsidRDefault="009F4766" w:rsidP="00C917D6">
            <w:pPr>
              <w:pStyle w:val="NormalLeft"/>
            </w:pPr>
            <w:r w:rsidRPr="00DE12A3">
              <w:t>79</w:t>
            </w:r>
          </w:p>
        </w:tc>
      </w:tr>
      <w:tr w:rsidR="00DE12A3" w:rsidRPr="00DE12A3" w14:paraId="505A8ECC" w14:textId="77777777" w:rsidTr="009F4766">
        <w:tc>
          <w:tcPr>
            <w:tcW w:w="1182" w:type="dxa"/>
            <w:tcBorders>
              <w:top w:val="single" w:sz="2" w:space="0" w:color="auto"/>
              <w:left w:val="single" w:sz="2" w:space="0" w:color="auto"/>
              <w:bottom w:val="single" w:sz="2" w:space="0" w:color="auto"/>
              <w:right w:val="single" w:sz="2" w:space="0" w:color="auto"/>
            </w:tcBorders>
          </w:tcPr>
          <w:p w14:paraId="7BEAE368" w14:textId="77777777" w:rsidR="009F4766" w:rsidRPr="00DE12A3" w:rsidRDefault="009F4766" w:rsidP="00C917D6">
            <w:pPr>
              <w:pStyle w:val="NormalLeft"/>
            </w:pPr>
            <w:r w:rsidRPr="00DE12A3">
              <w:t>473</w:t>
            </w:r>
          </w:p>
        </w:tc>
        <w:tc>
          <w:tcPr>
            <w:tcW w:w="2489" w:type="dxa"/>
            <w:tcBorders>
              <w:top w:val="single" w:sz="2" w:space="0" w:color="auto"/>
              <w:left w:val="single" w:sz="2" w:space="0" w:color="auto"/>
              <w:bottom w:val="single" w:sz="2" w:space="0" w:color="auto"/>
              <w:right w:val="single" w:sz="2" w:space="0" w:color="auto"/>
            </w:tcBorders>
          </w:tcPr>
          <w:p w14:paraId="7D22FF31" w14:textId="77777777" w:rsidR="009F4766" w:rsidRPr="00DE12A3" w:rsidRDefault="009F4766" w:rsidP="00C917D6">
            <w:pPr>
              <w:pStyle w:val="NormalLeft"/>
            </w:pPr>
            <w:r w:rsidRPr="00DE12A3">
              <w:t>29</w:t>
            </w:r>
          </w:p>
        </w:tc>
        <w:tc>
          <w:tcPr>
            <w:tcW w:w="2551" w:type="dxa"/>
            <w:tcBorders>
              <w:top w:val="single" w:sz="2" w:space="0" w:color="auto"/>
              <w:left w:val="single" w:sz="2" w:space="0" w:color="auto"/>
              <w:bottom w:val="single" w:sz="2" w:space="0" w:color="auto"/>
              <w:right w:val="single" w:sz="2" w:space="0" w:color="auto"/>
            </w:tcBorders>
          </w:tcPr>
          <w:p w14:paraId="42A50917" w14:textId="77777777" w:rsidR="009F4766" w:rsidRPr="00DE12A3" w:rsidRDefault="009F4766" w:rsidP="00C917D6">
            <w:pPr>
              <w:pStyle w:val="NormalLeft"/>
            </w:pPr>
            <w:r w:rsidRPr="00DE12A3">
              <w:t>70</w:t>
            </w:r>
          </w:p>
        </w:tc>
      </w:tr>
      <w:tr w:rsidR="00DE12A3" w:rsidRPr="00DE12A3" w14:paraId="45D50AB6" w14:textId="77777777" w:rsidTr="009F4766">
        <w:tc>
          <w:tcPr>
            <w:tcW w:w="1182" w:type="dxa"/>
            <w:tcBorders>
              <w:top w:val="single" w:sz="2" w:space="0" w:color="auto"/>
              <w:left w:val="single" w:sz="2" w:space="0" w:color="auto"/>
              <w:bottom w:val="single" w:sz="2" w:space="0" w:color="auto"/>
              <w:right w:val="single" w:sz="2" w:space="0" w:color="auto"/>
            </w:tcBorders>
          </w:tcPr>
          <w:p w14:paraId="3D2500FA" w14:textId="77777777" w:rsidR="009F4766" w:rsidRPr="00DE12A3" w:rsidRDefault="009F4766" w:rsidP="00C917D6">
            <w:pPr>
              <w:pStyle w:val="NormalLeft"/>
            </w:pPr>
            <w:r w:rsidRPr="00DE12A3">
              <w:t>474</w:t>
            </w:r>
          </w:p>
        </w:tc>
        <w:tc>
          <w:tcPr>
            <w:tcW w:w="2489" w:type="dxa"/>
            <w:tcBorders>
              <w:top w:val="single" w:sz="2" w:space="0" w:color="auto"/>
              <w:left w:val="single" w:sz="2" w:space="0" w:color="auto"/>
              <w:bottom w:val="single" w:sz="2" w:space="0" w:color="auto"/>
              <w:right w:val="single" w:sz="2" w:space="0" w:color="auto"/>
            </w:tcBorders>
          </w:tcPr>
          <w:p w14:paraId="4FA33AA1" w14:textId="77777777" w:rsidR="009F4766" w:rsidRPr="00DE12A3" w:rsidRDefault="009F4766" w:rsidP="00C917D6">
            <w:pPr>
              <w:pStyle w:val="NormalLeft"/>
            </w:pPr>
            <w:r w:rsidRPr="00DE12A3">
              <w:t>15</w:t>
            </w:r>
          </w:p>
        </w:tc>
        <w:tc>
          <w:tcPr>
            <w:tcW w:w="2551" w:type="dxa"/>
            <w:tcBorders>
              <w:top w:val="single" w:sz="2" w:space="0" w:color="auto"/>
              <w:left w:val="single" w:sz="2" w:space="0" w:color="auto"/>
              <w:bottom w:val="single" w:sz="2" w:space="0" w:color="auto"/>
              <w:right w:val="single" w:sz="2" w:space="0" w:color="auto"/>
            </w:tcBorders>
          </w:tcPr>
          <w:p w14:paraId="440D1B17" w14:textId="77777777" w:rsidR="009F4766" w:rsidRPr="00DE12A3" w:rsidRDefault="009F4766" w:rsidP="00C917D6">
            <w:pPr>
              <w:pStyle w:val="NormalLeft"/>
            </w:pPr>
            <w:r w:rsidRPr="00DE12A3">
              <w:t>53</w:t>
            </w:r>
          </w:p>
        </w:tc>
      </w:tr>
      <w:tr w:rsidR="00DE12A3" w:rsidRPr="00DE12A3" w14:paraId="5E478B56" w14:textId="77777777" w:rsidTr="009F4766">
        <w:tc>
          <w:tcPr>
            <w:tcW w:w="1182" w:type="dxa"/>
            <w:tcBorders>
              <w:top w:val="single" w:sz="2" w:space="0" w:color="auto"/>
              <w:left w:val="single" w:sz="2" w:space="0" w:color="auto"/>
              <w:bottom w:val="single" w:sz="2" w:space="0" w:color="auto"/>
              <w:right w:val="single" w:sz="2" w:space="0" w:color="auto"/>
            </w:tcBorders>
          </w:tcPr>
          <w:p w14:paraId="1908BB4A" w14:textId="77777777" w:rsidR="009F4766" w:rsidRPr="00DE12A3" w:rsidRDefault="009F4766" w:rsidP="00C917D6">
            <w:pPr>
              <w:pStyle w:val="NormalLeft"/>
            </w:pPr>
            <w:r w:rsidRPr="00DE12A3">
              <w:t>475</w:t>
            </w:r>
          </w:p>
        </w:tc>
        <w:tc>
          <w:tcPr>
            <w:tcW w:w="2489" w:type="dxa"/>
            <w:tcBorders>
              <w:top w:val="single" w:sz="2" w:space="0" w:color="auto"/>
              <w:left w:val="single" w:sz="2" w:space="0" w:color="auto"/>
              <w:bottom w:val="single" w:sz="2" w:space="0" w:color="auto"/>
              <w:right w:val="single" w:sz="2" w:space="0" w:color="auto"/>
            </w:tcBorders>
          </w:tcPr>
          <w:p w14:paraId="7F05D12F" w14:textId="77777777" w:rsidR="009F4766" w:rsidRPr="00DE12A3" w:rsidRDefault="009F4766" w:rsidP="00C917D6">
            <w:pPr>
              <w:pStyle w:val="NormalLeft"/>
            </w:pPr>
            <w:r w:rsidRPr="00DE12A3">
              <w:t>15</w:t>
            </w:r>
          </w:p>
        </w:tc>
        <w:tc>
          <w:tcPr>
            <w:tcW w:w="2551" w:type="dxa"/>
            <w:tcBorders>
              <w:top w:val="single" w:sz="2" w:space="0" w:color="auto"/>
              <w:left w:val="single" w:sz="2" w:space="0" w:color="auto"/>
              <w:bottom w:val="single" w:sz="2" w:space="0" w:color="auto"/>
              <w:right w:val="single" w:sz="2" w:space="0" w:color="auto"/>
            </w:tcBorders>
          </w:tcPr>
          <w:p w14:paraId="1D36E6F8" w14:textId="77777777" w:rsidR="009F4766" w:rsidRPr="00DE12A3" w:rsidRDefault="009F4766" w:rsidP="00C917D6">
            <w:pPr>
              <w:pStyle w:val="NormalLeft"/>
            </w:pPr>
            <w:r w:rsidRPr="00DE12A3">
              <w:t>60</w:t>
            </w:r>
          </w:p>
        </w:tc>
      </w:tr>
      <w:tr w:rsidR="00DE12A3" w:rsidRPr="00DE12A3" w14:paraId="3A927338" w14:textId="77777777" w:rsidTr="009F4766">
        <w:tc>
          <w:tcPr>
            <w:tcW w:w="1182" w:type="dxa"/>
            <w:tcBorders>
              <w:top w:val="single" w:sz="2" w:space="0" w:color="auto"/>
              <w:left w:val="single" w:sz="2" w:space="0" w:color="auto"/>
              <w:bottom w:val="single" w:sz="2" w:space="0" w:color="auto"/>
              <w:right w:val="single" w:sz="2" w:space="0" w:color="auto"/>
            </w:tcBorders>
          </w:tcPr>
          <w:p w14:paraId="79B95AE0" w14:textId="77777777" w:rsidR="009F4766" w:rsidRPr="00DE12A3" w:rsidRDefault="009F4766" w:rsidP="00C917D6">
            <w:pPr>
              <w:pStyle w:val="NormalLeft"/>
            </w:pPr>
            <w:r w:rsidRPr="00DE12A3">
              <w:t>476</w:t>
            </w:r>
          </w:p>
        </w:tc>
        <w:tc>
          <w:tcPr>
            <w:tcW w:w="2489" w:type="dxa"/>
            <w:tcBorders>
              <w:top w:val="single" w:sz="2" w:space="0" w:color="auto"/>
              <w:left w:val="single" w:sz="2" w:space="0" w:color="auto"/>
              <w:bottom w:val="single" w:sz="2" w:space="0" w:color="auto"/>
              <w:right w:val="single" w:sz="2" w:space="0" w:color="auto"/>
            </w:tcBorders>
          </w:tcPr>
          <w:p w14:paraId="56E02E26" w14:textId="77777777" w:rsidR="009F4766" w:rsidRPr="00DE12A3" w:rsidRDefault="009F4766" w:rsidP="00C917D6">
            <w:pPr>
              <w:pStyle w:val="NormalLeft"/>
            </w:pPr>
            <w:r w:rsidRPr="00DE12A3">
              <w:t>52</w:t>
            </w:r>
          </w:p>
        </w:tc>
        <w:tc>
          <w:tcPr>
            <w:tcW w:w="2551" w:type="dxa"/>
            <w:tcBorders>
              <w:top w:val="single" w:sz="2" w:space="0" w:color="auto"/>
              <w:left w:val="single" w:sz="2" w:space="0" w:color="auto"/>
              <w:bottom w:val="single" w:sz="2" w:space="0" w:color="auto"/>
              <w:right w:val="single" w:sz="2" w:space="0" w:color="auto"/>
            </w:tcBorders>
          </w:tcPr>
          <w:p w14:paraId="71573B7F" w14:textId="77777777" w:rsidR="009F4766" w:rsidRPr="00DE12A3" w:rsidRDefault="009F4766" w:rsidP="00C917D6">
            <w:pPr>
              <w:pStyle w:val="NormalLeft"/>
            </w:pPr>
            <w:r w:rsidRPr="00DE12A3">
              <w:t>40</w:t>
            </w:r>
          </w:p>
        </w:tc>
      </w:tr>
      <w:tr w:rsidR="00DE12A3" w:rsidRPr="00DE12A3" w14:paraId="31BD786F" w14:textId="77777777" w:rsidTr="009F4766">
        <w:tc>
          <w:tcPr>
            <w:tcW w:w="1182" w:type="dxa"/>
            <w:tcBorders>
              <w:top w:val="single" w:sz="2" w:space="0" w:color="auto"/>
              <w:left w:val="single" w:sz="2" w:space="0" w:color="auto"/>
              <w:bottom w:val="single" w:sz="2" w:space="0" w:color="auto"/>
              <w:right w:val="single" w:sz="2" w:space="0" w:color="auto"/>
            </w:tcBorders>
          </w:tcPr>
          <w:p w14:paraId="1F5AFD64" w14:textId="77777777" w:rsidR="009F4766" w:rsidRPr="00DE12A3" w:rsidRDefault="009F4766" w:rsidP="00C917D6">
            <w:pPr>
              <w:pStyle w:val="NormalLeft"/>
            </w:pPr>
            <w:r w:rsidRPr="00DE12A3">
              <w:t>477</w:t>
            </w:r>
          </w:p>
        </w:tc>
        <w:tc>
          <w:tcPr>
            <w:tcW w:w="2489" w:type="dxa"/>
            <w:tcBorders>
              <w:top w:val="single" w:sz="2" w:space="0" w:color="auto"/>
              <w:left w:val="single" w:sz="2" w:space="0" w:color="auto"/>
              <w:bottom w:val="single" w:sz="2" w:space="0" w:color="auto"/>
              <w:right w:val="single" w:sz="2" w:space="0" w:color="auto"/>
            </w:tcBorders>
          </w:tcPr>
          <w:p w14:paraId="00B7BB33" w14:textId="77777777" w:rsidR="009F4766" w:rsidRPr="00DE12A3" w:rsidRDefault="009F4766" w:rsidP="00C917D6">
            <w:pPr>
              <w:pStyle w:val="NormalLeft"/>
            </w:pPr>
            <w:r w:rsidRPr="00DE12A3">
              <w:t>50</w:t>
            </w:r>
          </w:p>
        </w:tc>
        <w:tc>
          <w:tcPr>
            <w:tcW w:w="2551" w:type="dxa"/>
            <w:tcBorders>
              <w:top w:val="single" w:sz="2" w:space="0" w:color="auto"/>
              <w:left w:val="single" w:sz="2" w:space="0" w:color="auto"/>
              <w:bottom w:val="single" w:sz="2" w:space="0" w:color="auto"/>
              <w:right w:val="single" w:sz="2" w:space="0" w:color="auto"/>
            </w:tcBorders>
          </w:tcPr>
          <w:p w14:paraId="23954D26" w14:textId="77777777" w:rsidR="009F4766" w:rsidRPr="00DE12A3" w:rsidRDefault="009F4766" w:rsidP="00C917D6">
            <w:pPr>
              <w:pStyle w:val="NormalLeft"/>
            </w:pPr>
            <w:r w:rsidRPr="00DE12A3">
              <w:t>61</w:t>
            </w:r>
          </w:p>
        </w:tc>
      </w:tr>
      <w:tr w:rsidR="00DE12A3" w:rsidRPr="00DE12A3" w14:paraId="5D638272" w14:textId="77777777" w:rsidTr="009F4766">
        <w:tc>
          <w:tcPr>
            <w:tcW w:w="1182" w:type="dxa"/>
            <w:tcBorders>
              <w:top w:val="single" w:sz="2" w:space="0" w:color="auto"/>
              <w:left w:val="single" w:sz="2" w:space="0" w:color="auto"/>
              <w:bottom w:val="single" w:sz="2" w:space="0" w:color="auto"/>
              <w:right w:val="single" w:sz="2" w:space="0" w:color="auto"/>
            </w:tcBorders>
          </w:tcPr>
          <w:p w14:paraId="4CC20032" w14:textId="77777777" w:rsidR="009F4766" w:rsidRPr="00DE12A3" w:rsidRDefault="009F4766" w:rsidP="00C917D6">
            <w:pPr>
              <w:pStyle w:val="NormalLeft"/>
            </w:pPr>
            <w:r w:rsidRPr="00DE12A3">
              <w:t>478</w:t>
            </w:r>
          </w:p>
        </w:tc>
        <w:tc>
          <w:tcPr>
            <w:tcW w:w="2489" w:type="dxa"/>
            <w:tcBorders>
              <w:top w:val="single" w:sz="2" w:space="0" w:color="auto"/>
              <w:left w:val="single" w:sz="2" w:space="0" w:color="auto"/>
              <w:bottom w:val="single" w:sz="2" w:space="0" w:color="auto"/>
              <w:right w:val="single" w:sz="2" w:space="0" w:color="auto"/>
            </w:tcBorders>
          </w:tcPr>
          <w:p w14:paraId="498E5365" w14:textId="77777777" w:rsidR="009F4766" w:rsidRPr="00DE12A3" w:rsidRDefault="009F4766" w:rsidP="00C917D6">
            <w:pPr>
              <w:pStyle w:val="NormalLeft"/>
            </w:pPr>
            <w:r w:rsidRPr="00DE12A3">
              <w:t>13</w:t>
            </w:r>
          </w:p>
        </w:tc>
        <w:tc>
          <w:tcPr>
            <w:tcW w:w="2551" w:type="dxa"/>
            <w:tcBorders>
              <w:top w:val="single" w:sz="2" w:space="0" w:color="auto"/>
              <w:left w:val="single" w:sz="2" w:space="0" w:color="auto"/>
              <w:bottom w:val="single" w:sz="2" w:space="0" w:color="auto"/>
              <w:right w:val="single" w:sz="2" w:space="0" w:color="auto"/>
            </w:tcBorders>
          </w:tcPr>
          <w:p w14:paraId="742227F3" w14:textId="77777777" w:rsidR="009F4766" w:rsidRPr="00DE12A3" w:rsidRDefault="009F4766" w:rsidP="00C917D6">
            <w:pPr>
              <w:pStyle w:val="NormalLeft"/>
            </w:pPr>
            <w:r w:rsidRPr="00DE12A3">
              <w:t>74</w:t>
            </w:r>
          </w:p>
        </w:tc>
      </w:tr>
      <w:tr w:rsidR="00DE12A3" w:rsidRPr="00DE12A3" w14:paraId="545C7598" w14:textId="77777777" w:rsidTr="009F4766">
        <w:tc>
          <w:tcPr>
            <w:tcW w:w="1182" w:type="dxa"/>
            <w:tcBorders>
              <w:top w:val="single" w:sz="2" w:space="0" w:color="auto"/>
              <w:left w:val="single" w:sz="2" w:space="0" w:color="auto"/>
              <w:bottom w:val="single" w:sz="2" w:space="0" w:color="auto"/>
              <w:right w:val="single" w:sz="2" w:space="0" w:color="auto"/>
            </w:tcBorders>
          </w:tcPr>
          <w:p w14:paraId="4D904247" w14:textId="77777777" w:rsidR="009F4766" w:rsidRPr="00DE12A3" w:rsidRDefault="009F4766" w:rsidP="00C917D6">
            <w:pPr>
              <w:pStyle w:val="NormalLeft"/>
            </w:pPr>
            <w:r w:rsidRPr="00DE12A3">
              <w:t>479</w:t>
            </w:r>
          </w:p>
        </w:tc>
        <w:tc>
          <w:tcPr>
            <w:tcW w:w="2489" w:type="dxa"/>
            <w:tcBorders>
              <w:top w:val="single" w:sz="2" w:space="0" w:color="auto"/>
              <w:left w:val="single" w:sz="2" w:space="0" w:color="auto"/>
              <w:bottom w:val="single" w:sz="2" w:space="0" w:color="auto"/>
              <w:right w:val="single" w:sz="2" w:space="0" w:color="auto"/>
            </w:tcBorders>
          </w:tcPr>
          <w:p w14:paraId="324B8917" w14:textId="77777777" w:rsidR="009F4766" w:rsidRPr="00DE12A3" w:rsidRDefault="009F4766" w:rsidP="00C917D6">
            <w:pPr>
              <w:pStyle w:val="NormalLeft"/>
            </w:pPr>
            <w:r w:rsidRPr="00DE12A3">
              <w:t>46</w:t>
            </w:r>
          </w:p>
        </w:tc>
        <w:tc>
          <w:tcPr>
            <w:tcW w:w="2551" w:type="dxa"/>
            <w:tcBorders>
              <w:top w:val="single" w:sz="2" w:space="0" w:color="auto"/>
              <w:left w:val="single" w:sz="2" w:space="0" w:color="auto"/>
              <w:bottom w:val="single" w:sz="2" w:space="0" w:color="auto"/>
              <w:right w:val="single" w:sz="2" w:space="0" w:color="auto"/>
            </w:tcBorders>
          </w:tcPr>
          <w:p w14:paraId="16D71565" w14:textId="77777777" w:rsidR="009F4766" w:rsidRPr="00DE12A3" w:rsidRDefault="009F4766" w:rsidP="00C917D6">
            <w:pPr>
              <w:pStyle w:val="NormalLeft"/>
            </w:pPr>
            <w:r w:rsidRPr="00DE12A3">
              <w:t>51</w:t>
            </w:r>
          </w:p>
        </w:tc>
      </w:tr>
      <w:tr w:rsidR="00DE12A3" w:rsidRPr="00DE12A3" w14:paraId="2B723B0E" w14:textId="77777777" w:rsidTr="009F4766">
        <w:tc>
          <w:tcPr>
            <w:tcW w:w="1182" w:type="dxa"/>
            <w:tcBorders>
              <w:top w:val="single" w:sz="2" w:space="0" w:color="auto"/>
              <w:left w:val="single" w:sz="2" w:space="0" w:color="auto"/>
              <w:bottom w:val="single" w:sz="2" w:space="0" w:color="auto"/>
              <w:right w:val="single" w:sz="2" w:space="0" w:color="auto"/>
            </w:tcBorders>
          </w:tcPr>
          <w:p w14:paraId="7A182101" w14:textId="77777777" w:rsidR="009F4766" w:rsidRPr="00DE12A3" w:rsidRDefault="009F4766" w:rsidP="00C917D6">
            <w:pPr>
              <w:pStyle w:val="NormalLeft"/>
            </w:pPr>
            <w:r w:rsidRPr="00DE12A3">
              <w:t>480</w:t>
            </w:r>
          </w:p>
        </w:tc>
        <w:tc>
          <w:tcPr>
            <w:tcW w:w="2489" w:type="dxa"/>
            <w:tcBorders>
              <w:top w:val="single" w:sz="2" w:space="0" w:color="auto"/>
              <w:left w:val="single" w:sz="2" w:space="0" w:color="auto"/>
              <w:bottom w:val="single" w:sz="2" w:space="0" w:color="auto"/>
              <w:right w:val="single" w:sz="2" w:space="0" w:color="auto"/>
            </w:tcBorders>
          </w:tcPr>
          <w:p w14:paraId="0AB72CEF" w14:textId="77777777" w:rsidR="009F4766" w:rsidRPr="00DE12A3" w:rsidRDefault="009F4766" w:rsidP="00C917D6">
            <w:pPr>
              <w:pStyle w:val="NormalLeft"/>
            </w:pPr>
            <w:r w:rsidRPr="00DE12A3">
              <w:t>60</w:t>
            </w:r>
          </w:p>
        </w:tc>
        <w:tc>
          <w:tcPr>
            <w:tcW w:w="2551" w:type="dxa"/>
            <w:tcBorders>
              <w:top w:val="single" w:sz="2" w:space="0" w:color="auto"/>
              <w:left w:val="single" w:sz="2" w:space="0" w:color="auto"/>
              <w:bottom w:val="single" w:sz="2" w:space="0" w:color="auto"/>
              <w:right w:val="single" w:sz="2" w:space="0" w:color="auto"/>
            </w:tcBorders>
          </w:tcPr>
          <w:p w14:paraId="3043932F" w14:textId="77777777" w:rsidR="009F4766" w:rsidRPr="00DE12A3" w:rsidRDefault="009F4766" w:rsidP="00C917D6">
            <w:pPr>
              <w:pStyle w:val="NormalLeft"/>
            </w:pPr>
            <w:r w:rsidRPr="00DE12A3">
              <w:t>73</w:t>
            </w:r>
          </w:p>
        </w:tc>
      </w:tr>
      <w:tr w:rsidR="00DE12A3" w:rsidRPr="00DE12A3" w14:paraId="241224B7" w14:textId="77777777" w:rsidTr="009F4766">
        <w:tc>
          <w:tcPr>
            <w:tcW w:w="1182" w:type="dxa"/>
            <w:tcBorders>
              <w:top w:val="single" w:sz="2" w:space="0" w:color="auto"/>
              <w:left w:val="single" w:sz="2" w:space="0" w:color="auto"/>
              <w:bottom w:val="single" w:sz="2" w:space="0" w:color="auto"/>
              <w:right w:val="single" w:sz="2" w:space="0" w:color="auto"/>
            </w:tcBorders>
          </w:tcPr>
          <w:p w14:paraId="58505EC7" w14:textId="77777777" w:rsidR="009F4766" w:rsidRPr="00DE12A3" w:rsidRDefault="009F4766" w:rsidP="00C917D6">
            <w:pPr>
              <w:pStyle w:val="NormalLeft"/>
            </w:pPr>
            <w:r w:rsidRPr="00DE12A3">
              <w:t>481</w:t>
            </w:r>
          </w:p>
        </w:tc>
        <w:tc>
          <w:tcPr>
            <w:tcW w:w="2489" w:type="dxa"/>
            <w:tcBorders>
              <w:top w:val="single" w:sz="2" w:space="0" w:color="auto"/>
              <w:left w:val="single" w:sz="2" w:space="0" w:color="auto"/>
              <w:bottom w:val="single" w:sz="2" w:space="0" w:color="auto"/>
              <w:right w:val="single" w:sz="2" w:space="0" w:color="auto"/>
            </w:tcBorders>
          </w:tcPr>
          <w:p w14:paraId="1E50D834" w14:textId="77777777" w:rsidR="009F4766" w:rsidRPr="00DE12A3" w:rsidRDefault="009F4766" w:rsidP="00C917D6">
            <w:pPr>
              <w:pStyle w:val="NormalLeft"/>
            </w:pPr>
            <w:r w:rsidRPr="00DE12A3">
              <w:t>33</w:t>
            </w:r>
          </w:p>
        </w:tc>
        <w:tc>
          <w:tcPr>
            <w:tcW w:w="2551" w:type="dxa"/>
            <w:tcBorders>
              <w:top w:val="single" w:sz="2" w:space="0" w:color="auto"/>
              <w:left w:val="single" w:sz="2" w:space="0" w:color="auto"/>
              <w:bottom w:val="single" w:sz="2" w:space="0" w:color="auto"/>
              <w:right w:val="single" w:sz="2" w:space="0" w:color="auto"/>
            </w:tcBorders>
          </w:tcPr>
          <w:p w14:paraId="1E83098D" w14:textId="77777777" w:rsidR="009F4766" w:rsidRPr="00DE12A3" w:rsidRDefault="009F4766" w:rsidP="00C917D6">
            <w:pPr>
              <w:pStyle w:val="NormalLeft"/>
            </w:pPr>
            <w:r w:rsidRPr="00DE12A3">
              <w:t>84</w:t>
            </w:r>
          </w:p>
        </w:tc>
      </w:tr>
      <w:tr w:rsidR="00DE12A3" w:rsidRPr="00DE12A3" w14:paraId="01ADFA15" w14:textId="77777777" w:rsidTr="009F4766">
        <w:tc>
          <w:tcPr>
            <w:tcW w:w="1182" w:type="dxa"/>
            <w:tcBorders>
              <w:top w:val="single" w:sz="2" w:space="0" w:color="auto"/>
              <w:left w:val="single" w:sz="2" w:space="0" w:color="auto"/>
              <w:bottom w:val="single" w:sz="2" w:space="0" w:color="auto"/>
              <w:right w:val="single" w:sz="2" w:space="0" w:color="auto"/>
            </w:tcBorders>
          </w:tcPr>
          <w:p w14:paraId="671746B0" w14:textId="77777777" w:rsidR="009F4766" w:rsidRPr="00DE12A3" w:rsidRDefault="009F4766" w:rsidP="00C917D6">
            <w:pPr>
              <w:pStyle w:val="NormalLeft"/>
            </w:pPr>
            <w:r w:rsidRPr="00DE12A3">
              <w:t>482</w:t>
            </w:r>
          </w:p>
        </w:tc>
        <w:tc>
          <w:tcPr>
            <w:tcW w:w="2489" w:type="dxa"/>
            <w:tcBorders>
              <w:top w:val="single" w:sz="2" w:space="0" w:color="auto"/>
              <w:left w:val="single" w:sz="2" w:space="0" w:color="auto"/>
              <w:bottom w:val="single" w:sz="2" w:space="0" w:color="auto"/>
              <w:right w:val="single" w:sz="2" w:space="0" w:color="auto"/>
            </w:tcBorders>
          </w:tcPr>
          <w:p w14:paraId="02FFAF59" w14:textId="77777777" w:rsidR="009F4766" w:rsidRPr="00DE12A3" w:rsidRDefault="009F4766" w:rsidP="00C917D6">
            <w:pPr>
              <w:pStyle w:val="NormalLeft"/>
            </w:pPr>
            <w:r w:rsidRPr="00DE12A3">
              <w:t>31</w:t>
            </w:r>
          </w:p>
        </w:tc>
        <w:tc>
          <w:tcPr>
            <w:tcW w:w="2551" w:type="dxa"/>
            <w:tcBorders>
              <w:top w:val="single" w:sz="2" w:space="0" w:color="auto"/>
              <w:left w:val="single" w:sz="2" w:space="0" w:color="auto"/>
              <w:bottom w:val="single" w:sz="2" w:space="0" w:color="auto"/>
              <w:right w:val="single" w:sz="2" w:space="0" w:color="auto"/>
            </w:tcBorders>
          </w:tcPr>
          <w:p w14:paraId="25F6A1E8" w14:textId="77777777" w:rsidR="009F4766" w:rsidRPr="00DE12A3" w:rsidRDefault="009F4766" w:rsidP="00C917D6">
            <w:pPr>
              <w:pStyle w:val="NormalLeft"/>
            </w:pPr>
            <w:r w:rsidRPr="00DE12A3">
              <w:t>63</w:t>
            </w:r>
          </w:p>
        </w:tc>
      </w:tr>
      <w:tr w:rsidR="00DE12A3" w:rsidRPr="00DE12A3" w14:paraId="74A534D9" w14:textId="77777777" w:rsidTr="009F4766">
        <w:tc>
          <w:tcPr>
            <w:tcW w:w="1182" w:type="dxa"/>
            <w:tcBorders>
              <w:top w:val="single" w:sz="2" w:space="0" w:color="auto"/>
              <w:left w:val="single" w:sz="2" w:space="0" w:color="auto"/>
              <w:bottom w:val="single" w:sz="2" w:space="0" w:color="auto"/>
              <w:right w:val="single" w:sz="2" w:space="0" w:color="auto"/>
            </w:tcBorders>
          </w:tcPr>
          <w:p w14:paraId="0A5FB5F9" w14:textId="77777777" w:rsidR="009F4766" w:rsidRPr="00DE12A3" w:rsidRDefault="009F4766" w:rsidP="00C917D6">
            <w:pPr>
              <w:pStyle w:val="NormalLeft"/>
            </w:pPr>
            <w:r w:rsidRPr="00DE12A3">
              <w:lastRenderedPageBreak/>
              <w:t>483</w:t>
            </w:r>
          </w:p>
        </w:tc>
        <w:tc>
          <w:tcPr>
            <w:tcW w:w="2489" w:type="dxa"/>
            <w:tcBorders>
              <w:top w:val="single" w:sz="2" w:space="0" w:color="auto"/>
              <w:left w:val="single" w:sz="2" w:space="0" w:color="auto"/>
              <w:bottom w:val="single" w:sz="2" w:space="0" w:color="auto"/>
              <w:right w:val="single" w:sz="2" w:space="0" w:color="auto"/>
            </w:tcBorders>
          </w:tcPr>
          <w:p w14:paraId="14D4C9BC" w14:textId="77777777" w:rsidR="009F4766" w:rsidRPr="00DE12A3" w:rsidRDefault="009F4766" w:rsidP="00C917D6">
            <w:pPr>
              <w:pStyle w:val="NormalLeft"/>
            </w:pPr>
            <w:r w:rsidRPr="00DE12A3">
              <w:t>41</w:t>
            </w:r>
          </w:p>
        </w:tc>
        <w:tc>
          <w:tcPr>
            <w:tcW w:w="2551" w:type="dxa"/>
            <w:tcBorders>
              <w:top w:val="single" w:sz="2" w:space="0" w:color="auto"/>
              <w:left w:val="single" w:sz="2" w:space="0" w:color="auto"/>
              <w:bottom w:val="single" w:sz="2" w:space="0" w:color="auto"/>
              <w:right w:val="single" w:sz="2" w:space="0" w:color="auto"/>
            </w:tcBorders>
          </w:tcPr>
          <w:p w14:paraId="424BE537" w14:textId="77777777" w:rsidR="009F4766" w:rsidRPr="00DE12A3" w:rsidRDefault="009F4766" w:rsidP="00C917D6">
            <w:pPr>
              <w:pStyle w:val="NormalLeft"/>
            </w:pPr>
            <w:r w:rsidRPr="00DE12A3">
              <w:t>42</w:t>
            </w:r>
          </w:p>
        </w:tc>
      </w:tr>
      <w:tr w:rsidR="00DE12A3" w:rsidRPr="00DE12A3" w14:paraId="469413B1" w14:textId="77777777" w:rsidTr="009F4766">
        <w:tc>
          <w:tcPr>
            <w:tcW w:w="1182" w:type="dxa"/>
            <w:tcBorders>
              <w:top w:val="single" w:sz="2" w:space="0" w:color="auto"/>
              <w:left w:val="single" w:sz="2" w:space="0" w:color="auto"/>
              <w:bottom w:val="single" w:sz="2" w:space="0" w:color="auto"/>
              <w:right w:val="single" w:sz="2" w:space="0" w:color="auto"/>
            </w:tcBorders>
          </w:tcPr>
          <w:p w14:paraId="00E96478" w14:textId="77777777" w:rsidR="009F4766" w:rsidRPr="00DE12A3" w:rsidRDefault="009F4766" w:rsidP="00C917D6">
            <w:pPr>
              <w:pStyle w:val="NormalLeft"/>
            </w:pPr>
            <w:r w:rsidRPr="00DE12A3">
              <w:t>484</w:t>
            </w:r>
          </w:p>
        </w:tc>
        <w:tc>
          <w:tcPr>
            <w:tcW w:w="2489" w:type="dxa"/>
            <w:tcBorders>
              <w:top w:val="single" w:sz="2" w:space="0" w:color="auto"/>
              <w:left w:val="single" w:sz="2" w:space="0" w:color="auto"/>
              <w:bottom w:val="single" w:sz="2" w:space="0" w:color="auto"/>
              <w:right w:val="single" w:sz="2" w:space="0" w:color="auto"/>
            </w:tcBorders>
          </w:tcPr>
          <w:p w14:paraId="14BFF7FC" w14:textId="77777777" w:rsidR="009F4766" w:rsidRPr="00DE12A3" w:rsidRDefault="009F4766" w:rsidP="00C917D6">
            <w:pPr>
              <w:pStyle w:val="NormalLeft"/>
            </w:pPr>
            <w:r w:rsidRPr="00DE12A3">
              <w:t>26</w:t>
            </w:r>
          </w:p>
        </w:tc>
        <w:tc>
          <w:tcPr>
            <w:tcW w:w="2551" w:type="dxa"/>
            <w:tcBorders>
              <w:top w:val="single" w:sz="2" w:space="0" w:color="auto"/>
              <w:left w:val="single" w:sz="2" w:space="0" w:color="auto"/>
              <w:bottom w:val="single" w:sz="2" w:space="0" w:color="auto"/>
              <w:right w:val="single" w:sz="2" w:space="0" w:color="auto"/>
            </w:tcBorders>
          </w:tcPr>
          <w:p w14:paraId="23992E5B" w14:textId="77777777" w:rsidR="009F4766" w:rsidRPr="00DE12A3" w:rsidRDefault="009F4766" w:rsidP="00C917D6">
            <w:pPr>
              <w:pStyle w:val="NormalLeft"/>
            </w:pPr>
            <w:r w:rsidRPr="00DE12A3">
              <w:t>69</w:t>
            </w:r>
          </w:p>
        </w:tc>
      </w:tr>
      <w:tr w:rsidR="00DE12A3" w:rsidRPr="00DE12A3" w14:paraId="3FBACC57" w14:textId="77777777" w:rsidTr="009F4766">
        <w:tc>
          <w:tcPr>
            <w:tcW w:w="1182" w:type="dxa"/>
            <w:tcBorders>
              <w:top w:val="single" w:sz="2" w:space="0" w:color="auto"/>
              <w:left w:val="single" w:sz="2" w:space="0" w:color="auto"/>
              <w:bottom w:val="single" w:sz="2" w:space="0" w:color="auto"/>
              <w:right w:val="single" w:sz="2" w:space="0" w:color="auto"/>
            </w:tcBorders>
          </w:tcPr>
          <w:p w14:paraId="39C43917" w14:textId="77777777" w:rsidR="009F4766" w:rsidRPr="00DE12A3" w:rsidRDefault="009F4766" w:rsidP="00C917D6">
            <w:pPr>
              <w:pStyle w:val="NormalLeft"/>
            </w:pPr>
            <w:r w:rsidRPr="00DE12A3">
              <w:t>485</w:t>
            </w:r>
          </w:p>
        </w:tc>
        <w:tc>
          <w:tcPr>
            <w:tcW w:w="2489" w:type="dxa"/>
            <w:tcBorders>
              <w:top w:val="single" w:sz="2" w:space="0" w:color="auto"/>
              <w:left w:val="single" w:sz="2" w:space="0" w:color="auto"/>
              <w:bottom w:val="single" w:sz="2" w:space="0" w:color="auto"/>
              <w:right w:val="single" w:sz="2" w:space="0" w:color="auto"/>
            </w:tcBorders>
          </w:tcPr>
          <w:p w14:paraId="37CF09F6" w14:textId="77777777" w:rsidR="009F4766" w:rsidRPr="00DE12A3" w:rsidRDefault="009F4766" w:rsidP="00C917D6">
            <w:pPr>
              <w:pStyle w:val="NormalLeft"/>
            </w:pPr>
            <w:r w:rsidRPr="00DE12A3">
              <w:t>23</w:t>
            </w:r>
          </w:p>
        </w:tc>
        <w:tc>
          <w:tcPr>
            <w:tcW w:w="2551" w:type="dxa"/>
            <w:tcBorders>
              <w:top w:val="single" w:sz="2" w:space="0" w:color="auto"/>
              <w:left w:val="single" w:sz="2" w:space="0" w:color="auto"/>
              <w:bottom w:val="single" w:sz="2" w:space="0" w:color="auto"/>
              <w:right w:val="single" w:sz="2" w:space="0" w:color="auto"/>
            </w:tcBorders>
          </w:tcPr>
          <w:p w14:paraId="1CBDFDB5" w14:textId="77777777" w:rsidR="009F4766" w:rsidRPr="00DE12A3" w:rsidRDefault="009F4766" w:rsidP="00C917D6">
            <w:pPr>
              <w:pStyle w:val="NormalLeft"/>
            </w:pPr>
            <w:r w:rsidRPr="00DE12A3">
              <w:t>65</w:t>
            </w:r>
          </w:p>
        </w:tc>
      </w:tr>
      <w:tr w:rsidR="00DE12A3" w:rsidRPr="00DE12A3" w14:paraId="07789847" w14:textId="77777777" w:rsidTr="009F4766">
        <w:tc>
          <w:tcPr>
            <w:tcW w:w="1182" w:type="dxa"/>
            <w:tcBorders>
              <w:top w:val="single" w:sz="2" w:space="0" w:color="auto"/>
              <w:left w:val="single" w:sz="2" w:space="0" w:color="auto"/>
              <w:bottom w:val="single" w:sz="2" w:space="0" w:color="auto"/>
              <w:right w:val="single" w:sz="2" w:space="0" w:color="auto"/>
            </w:tcBorders>
          </w:tcPr>
          <w:p w14:paraId="7C3DF94C" w14:textId="77777777" w:rsidR="009F4766" w:rsidRPr="00DE12A3" w:rsidRDefault="009F4766" w:rsidP="00C917D6">
            <w:pPr>
              <w:pStyle w:val="NormalLeft"/>
            </w:pPr>
            <w:r w:rsidRPr="00DE12A3">
              <w:t>486</w:t>
            </w:r>
          </w:p>
        </w:tc>
        <w:tc>
          <w:tcPr>
            <w:tcW w:w="2489" w:type="dxa"/>
            <w:tcBorders>
              <w:top w:val="single" w:sz="2" w:space="0" w:color="auto"/>
              <w:left w:val="single" w:sz="2" w:space="0" w:color="auto"/>
              <w:bottom w:val="single" w:sz="2" w:space="0" w:color="auto"/>
              <w:right w:val="single" w:sz="2" w:space="0" w:color="auto"/>
            </w:tcBorders>
          </w:tcPr>
          <w:p w14:paraId="7091D4B0" w14:textId="77777777" w:rsidR="009F4766" w:rsidRPr="00DE12A3" w:rsidRDefault="009F4766" w:rsidP="00C917D6">
            <w:pPr>
              <w:pStyle w:val="NormalLeft"/>
            </w:pPr>
            <w:r w:rsidRPr="00DE12A3">
              <w:t>48</w:t>
            </w:r>
          </w:p>
        </w:tc>
        <w:tc>
          <w:tcPr>
            <w:tcW w:w="2551" w:type="dxa"/>
            <w:tcBorders>
              <w:top w:val="single" w:sz="2" w:space="0" w:color="auto"/>
              <w:left w:val="single" w:sz="2" w:space="0" w:color="auto"/>
              <w:bottom w:val="single" w:sz="2" w:space="0" w:color="auto"/>
              <w:right w:val="single" w:sz="2" w:space="0" w:color="auto"/>
            </w:tcBorders>
          </w:tcPr>
          <w:p w14:paraId="25995C59" w14:textId="77777777" w:rsidR="009F4766" w:rsidRPr="00DE12A3" w:rsidRDefault="009F4766" w:rsidP="00C917D6">
            <w:pPr>
              <w:pStyle w:val="NormalLeft"/>
            </w:pPr>
            <w:r w:rsidRPr="00DE12A3">
              <w:t>49</w:t>
            </w:r>
          </w:p>
        </w:tc>
      </w:tr>
      <w:tr w:rsidR="00DE12A3" w:rsidRPr="00DE12A3" w14:paraId="2375C36F" w14:textId="77777777" w:rsidTr="009F4766">
        <w:tc>
          <w:tcPr>
            <w:tcW w:w="1182" w:type="dxa"/>
            <w:tcBorders>
              <w:top w:val="single" w:sz="2" w:space="0" w:color="auto"/>
              <w:left w:val="single" w:sz="2" w:space="0" w:color="auto"/>
              <w:bottom w:val="single" w:sz="2" w:space="0" w:color="auto"/>
              <w:right w:val="single" w:sz="2" w:space="0" w:color="auto"/>
            </w:tcBorders>
          </w:tcPr>
          <w:p w14:paraId="38769C62" w14:textId="77777777" w:rsidR="009F4766" w:rsidRPr="00DE12A3" w:rsidRDefault="009F4766" w:rsidP="00C917D6">
            <w:pPr>
              <w:pStyle w:val="NormalLeft"/>
            </w:pPr>
            <w:r w:rsidRPr="00DE12A3">
              <w:t>487</w:t>
            </w:r>
          </w:p>
        </w:tc>
        <w:tc>
          <w:tcPr>
            <w:tcW w:w="2489" w:type="dxa"/>
            <w:tcBorders>
              <w:top w:val="single" w:sz="2" w:space="0" w:color="auto"/>
              <w:left w:val="single" w:sz="2" w:space="0" w:color="auto"/>
              <w:bottom w:val="single" w:sz="2" w:space="0" w:color="auto"/>
              <w:right w:val="single" w:sz="2" w:space="0" w:color="auto"/>
            </w:tcBorders>
          </w:tcPr>
          <w:p w14:paraId="395A251B" w14:textId="77777777" w:rsidR="009F4766" w:rsidRPr="00DE12A3" w:rsidRDefault="009F4766" w:rsidP="00C917D6">
            <w:pPr>
              <w:pStyle w:val="NormalLeft"/>
            </w:pPr>
            <w:r w:rsidRPr="00DE12A3">
              <w:t>28</w:t>
            </w:r>
          </w:p>
        </w:tc>
        <w:tc>
          <w:tcPr>
            <w:tcW w:w="2551" w:type="dxa"/>
            <w:tcBorders>
              <w:top w:val="single" w:sz="2" w:space="0" w:color="auto"/>
              <w:left w:val="single" w:sz="2" w:space="0" w:color="auto"/>
              <w:bottom w:val="single" w:sz="2" w:space="0" w:color="auto"/>
              <w:right w:val="single" w:sz="2" w:space="0" w:color="auto"/>
            </w:tcBorders>
          </w:tcPr>
          <w:p w14:paraId="524E5DEA" w14:textId="77777777" w:rsidR="009F4766" w:rsidRPr="00DE12A3" w:rsidRDefault="009F4766" w:rsidP="00C917D6">
            <w:pPr>
              <w:pStyle w:val="NormalLeft"/>
            </w:pPr>
            <w:r w:rsidRPr="00DE12A3">
              <w:t>57</w:t>
            </w:r>
          </w:p>
        </w:tc>
      </w:tr>
      <w:tr w:rsidR="00DE12A3" w:rsidRPr="00DE12A3" w14:paraId="111A4E7C" w14:textId="77777777" w:rsidTr="009F4766">
        <w:tc>
          <w:tcPr>
            <w:tcW w:w="1182" w:type="dxa"/>
            <w:tcBorders>
              <w:top w:val="single" w:sz="2" w:space="0" w:color="auto"/>
              <w:left w:val="single" w:sz="2" w:space="0" w:color="auto"/>
              <w:bottom w:val="single" w:sz="2" w:space="0" w:color="auto"/>
              <w:right w:val="single" w:sz="2" w:space="0" w:color="auto"/>
            </w:tcBorders>
          </w:tcPr>
          <w:p w14:paraId="77D7429A" w14:textId="77777777" w:rsidR="009F4766" w:rsidRPr="00DE12A3" w:rsidRDefault="009F4766" w:rsidP="00C917D6">
            <w:pPr>
              <w:pStyle w:val="NormalLeft"/>
            </w:pPr>
            <w:r w:rsidRPr="00DE12A3">
              <w:t>488</w:t>
            </w:r>
          </w:p>
        </w:tc>
        <w:tc>
          <w:tcPr>
            <w:tcW w:w="2489" w:type="dxa"/>
            <w:tcBorders>
              <w:top w:val="single" w:sz="2" w:space="0" w:color="auto"/>
              <w:left w:val="single" w:sz="2" w:space="0" w:color="auto"/>
              <w:bottom w:val="single" w:sz="2" w:space="0" w:color="auto"/>
              <w:right w:val="single" w:sz="2" w:space="0" w:color="auto"/>
            </w:tcBorders>
          </w:tcPr>
          <w:p w14:paraId="18230083" w14:textId="77777777" w:rsidR="009F4766" w:rsidRPr="00DE12A3" w:rsidRDefault="009F4766" w:rsidP="00C917D6">
            <w:pPr>
              <w:pStyle w:val="NormalLeft"/>
            </w:pPr>
            <w:r w:rsidRPr="00DE12A3">
              <w:t>16</w:t>
            </w:r>
          </w:p>
        </w:tc>
        <w:tc>
          <w:tcPr>
            <w:tcW w:w="2551" w:type="dxa"/>
            <w:tcBorders>
              <w:top w:val="single" w:sz="2" w:space="0" w:color="auto"/>
              <w:left w:val="single" w:sz="2" w:space="0" w:color="auto"/>
              <w:bottom w:val="single" w:sz="2" w:space="0" w:color="auto"/>
              <w:right w:val="single" w:sz="2" w:space="0" w:color="auto"/>
            </w:tcBorders>
          </w:tcPr>
          <w:p w14:paraId="11D77118" w14:textId="77777777" w:rsidR="009F4766" w:rsidRPr="00DE12A3" w:rsidRDefault="009F4766" w:rsidP="00C917D6">
            <w:pPr>
              <w:pStyle w:val="NormalLeft"/>
            </w:pPr>
            <w:r w:rsidRPr="00DE12A3">
              <w:t>67</w:t>
            </w:r>
          </w:p>
        </w:tc>
      </w:tr>
      <w:tr w:rsidR="00DE12A3" w:rsidRPr="00DE12A3" w14:paraId="6C21F0C0" w14:textId="77777777" w:rsidTr="009F4766">
        <w:tc>
          <w:tcPr>
            <w:tcW w:w="1182" w:type="dxa"/>
            <w:tcBorders>
              <w:top w:val="single" w:sz="2" w:space="0" w:color="auto"/>
              <w:left w:val="single" w:sz="2" w:space="0" w:color="auto"/>
              <w:bottom w:val="single" w:sz="2" w:space="0" w:color="auto"/>
              <w:right w:val="single" w:sz="2" w:space="0" w:color="auto"/>
            </w:tcBorders>
          </w:tcPr>
          <w:p w14:paraId="39419755" w14:textId="77777777" w:rsidR="009F4766" w:rsidRPr="00DE12A3" w:rsidRDefault="009F4766" w:rsidP="00C917D6">
            <w:pPr>
              <w:pStyle w:val="NormalLeft"/>
            </w:pPr>
            <w:r w:rsidRPr="00DE12A3">
              <w:t>489</w:t>
            </w:r>
          </w:p>
        </w:tc>
        <w:tc>
          <w:tcPr>
            <w:tcW w:w="2489" w:type="dxa"/>
            <w:tcBorders>
              <w:top w:val="single" w:sz="2" w:space="0" w:color="auto"/>
              <w:left w:val="single" w:sz="2" w:space="0" w:color="auto"/>
              <w:bottom w:val="single" w:sz="2" w:space="0" w:color="auto"/>
              <w:right w:val="single" w:sz="2" w:space="0" w:color="auto"/>
            </w:tcBorders>
          </w:tcPr>
          <w:p w14:paraId="245758C5" w14:textId="77777777" w:rsidR="009F4766" w:rsidRPr="00DE12A3" w:rsidRDefault="009F4766" w:rsidP="00C917D6">
            <w:pPr>
              <w:pStyle w:val="NormalLeft"/>
            </w:pPr>
            <w:r w:rsidRPr="00DE12A3">
              <w:t>39</w:t>
            </w:r>
          </w:p>
        </w:tc>
        <w:tc>
          <w:tcPr>
            <w:tcW w:w="2551" w:type="dxa"/>
            <w:tcBorders>
              <w:top w:val="single" w:sz="2" w:space="0" w:color="auto"/>
              <w:left w:val="single" w:sz="2" w:space="0" w:color="auto"/>
              <w:bottom w:val="single" w:sz="2" w:space="0" w:color="auto"/>
              <w:right w:val="single" w:sz="2" w:space="0" w:color="auto"/>
            </w:tcBorders>
          </w:tcPr>
          <w:p w14:paraId="45F53C95" w14:textId="77777777" w:rsidR="009F4766" w:rsidRPr="00DE12A3" w:rsidRDefault="009F4766" w:rsidP="00C917D6">
            <w:pPr>
              <w:pStyle w:val="NormalLeft"/>
            </w:pPr>
            <w:r w:rsidRPr="00DE12A3">
              <w:t>48</w:t>
            </w:r>
          </w:p>
        </w:tc>
      </w:tr>
      <w:tr w:rsidR="00DE12A3" w:rsidRPr="00DE12A3" w14:paraId="4DA5F98A" w14:textId="77777777" w:rsidTr="009F4766">
        <w:tc>
          <w:tcPr>
            <w:tcW w:w="1182" w:type="dxa"/>
            <w:tcBorders>
              <w:top w:val="single" w:sz="2" w:space="0" w:color="auto"/>
              <w:left w:val="single" w:sz="2" w:space="0" w:color="auto"/>
              <w:bottom w:val="single" w:sz="2" w:space="0" w:color="auto"/>
              <w:right w:val="single" w:sz="2" w:space="0" w:color="auto"/>
            </w:tcBorders>
          </w:tcPr>
          <w:p w14:paraId="6D1DE0AC" w14:textId="77777777" w:rsidR="009F4766" w:rsidRPr="00DE12A3" w:rsidRDefault="009F4766" w:rsidP="00C917D6">
            <w:pPr>
              <w:pStyle w:val="NormalLeft"/>
            </w:pPr>
            <w:r w:rsidRPr="00DE12A3">
              <w:t>490</w:t>
            </w:r>
          </w:p>
        </w:tc>
        <w:tc>
          <w:tcPr>
            <w:tcW w:w="2489" w:type="dxa"/>
            <w:tcBorders>
              <w:top w:val="single" w:sz="2" w:space="0" w:color="auto"/>
              <w:left w:val="single" w:sz="2" w:space="0" w:color="auto"/>
              <w:bottom w:val="single" w:sz="2" w:space="0" w:color="auto"/>
              <w:right w:val="single" w:sz="2" w:space="0" w:color="auto"/>
            </w:tcBorders>
          </w:tcPr>
          <w:p w14:paraId="2E41081E" w14:textId="77777777" w:rsidR="009F4766" w:rsidRPr="00DE12A3" w:rsidRDefault="009F4766" w:rsidP="00C917D6">
            <w:pPr>
              <w:pStyle w:val="NormalLeft"/>
            </w:pPr>
            <w:r w:rsidRPr="00DE12A3">
              <w:t>47</w:t>
            </w:r>
          </w:p>
        </w:tc>
        <w:tc>
          <w:tcPr>
            <w:tcW w:w="2551" w:type="dxa"/>
            <w:tcBorders>
              <w:top w:val="single" w:sz="2" w:space="0" w:color="auto"/>
              <w:left w:val="single" w:sz="2" w:space="0" w:color="auto"/>
              <w:bottom w:val="single" w:sz="2" w:space="0" w:color="auto"/>
              <w:right w:val="single" w:sz="2" w:space="0" w:color="auto"/>
            </w:tcBorders>
          </w:tcPr>
          <w:p w14:paraId="0FE13474" w14:textId="77777777" w:rsidR="009F4766" w:rsidRPr="00DE12A3" w:rsidRDefault="009F4766" w:rsidP="00C917D6">
            <w:pPr>
              <w:pStyle w:val="NormalLeft"/>
            </w:pPr>
            <w:r w:rsidRPr="00DE12A3">
              <w:t>73</w:t>
            </w:r>
          </w:p>
        </w:tc>
      </w:tr>
      <w:tr w:rsidR="00DE12A3" w:rsidRPr="00DE12A3" w14:paraId="1862D353" w14:textId="77777777" w:rsidTr="009F4766">
        <w:tc>
          <w:tcPr>
            <w:tcW w:w="1182" w:type="dxa"/>
            <w:tcBorders>
              <w:top w:val="single" w:sz="2" w:space="0" w:color="auto"/>
              <w:left w:val="single" w:sz="2" w:space="0" w:color="auto"/>
              <w:bottom w:val="single" w:sz="2" w:space="0" w:color="auto"/>
              <w:right w:val="single" w:sz="2" w:space="0" w:color="auto"/>
            </w:tcBorders>
          </w:tcPr>
          <w:p w14:paraId="73631432" w14:textId="77777777" w:rsidR="009F4766" w:rsidRPr="00DE12A3" w:rsidRDefault="009F4766" w:rsidP="00C917D6">
            <w:pPr>
              <w:pStyle w:val="NormalLeft"/>
            </w:pPr>
            <w:r w:rsidRPr="00DE12A3">
              <w:t>491</w:t>
            </w:r>
          </w:p>
        </w:tc>
        <w:tc>
          <w:tcPr>
            <w:tcW w:w="2489" w:type="dxa"/>
            <w:tcBorders>
              <w:top w:val="single" w:sz="2" w:space="0" w:color="auto"/>
              <w:left w:val="single" w:sz="2" w:space="0" w:color="auto"/>
              <w:bottom w:val="single" w:sz="2" w:space="0" w:color="auto"/>
              <w:right w:val="single" w:sz="2" w:space="0" w:color="auto"/>
            </w:tcBorders>
          </w:tcPr>
          <w:p w14:paraId="3B0AC60A" w14:textId="77777777" w:rsidR="009F4766" w:rsidRPr="00DE12A3" w:rsidRDefault="009F4766" w:rsidP="00C917D6">
            <w:pPr>
              <w:pStyle w:val="NormalLeft"/>
            </w:pPr>
            <w:r w:rsidRPr="00DE12A3">
              <w:t>35</w:t>
            </w:r>
          </w:p>
        </w:tc>
        <w:tc>
          <w:tcPr>
            <w:tcW w:w="2551" w:type="dxa"/>
            <w:tcBorders>
              <w:top w:val="single" w:sz="2" w:space="0" w:color="auto"/>
              <w:left w:val="single" w:sz="2" w:space="0" w:color="auto"/>
              <w:bottom w:val="single" w:sz="2" w:space="0" w:color="auto"/>
              <w:right w:val="single" w:sz="2" w:space="0" w:color="auto"/>
            </w:tcBorders>
          </w:tcPr>
          <w:p w14:paraId="275C3B7C" w14:textId="77777777" w:rsidR="009F4766" w:rsidRPr="00DE12A3" w:rsidRDefault="009F4766" w:rsidP="00C917D6">
            <w:pPr>
              <w:pStyle w:val="NormalLeft"/>
            </w:pPr>
            <w:r w:rsidRPr="00DE12A3">
              <w:t>87</w:t>
            </w:r>
          </w:p>
        </w:tc>
      </w:tr>
      <w:tr w:rsidR="00DE12A3" w:rsidRPr="00DE12A3" w14:paraId="1F9B2AFF" w14:textId="77777777" w:rsidTr="009F4766">
        <w:tc>
          <w:tcPr>
            <w:tcW w:w="1182" w:type="dxa"/>
            <w:tcBorders>
              <w:top w:val="single" w:sz="2" w:space="0" w:color="auto"/>
              <w:left w:val="single" w:sz="2" w:space="0" w:color="auto"/>
              <w:bottom w:val="single" w:sz="2" w:space="0" w:color="auto"/>
              <w:right w:val="single" w:sz="2" w:space="0" w:color="auto"/>
            </w:tcBorders>
          </w:tcPr>
          <w:p w14:paraId="2251D160" w14:textId="77777777" w:rsidR="009F4766" w:rsidRPr="00DE12A3" w:rsidRDefault="009F4766" w:rsidP="00C917D6">
            <w:pPr>
              <w:pStyle w:val="NormalLeft"/>
            </w:pPr>
            <w:r w:rsidRPr="00DE12A3">
              <w:t>492</w:t>
            </w:r>
          </w:p>
        </w:tc>
        <w:tc>
          <w:tcPr>
            <w:tcW w:w="2489" w:type="dxa"/>
            <w:tcBorders>
              <w:top w:val="single" w:sz="2" w:space="0" w:color="auto"/>
              <w:left w:val="single" w:sz="2" w:space="0" w:color="auto"/>
              <w:bottom w:val="single" w:sz="2" w:space="0" w:color="auto"/>
              <w:right w:val="single" w:sz="2" w:space="0" w:color="auto"/>
            </w:tcBorders>
          </w:tcPr>
          <w:p w14:paraId="37DA0886" w14:textId="77777777" w:rsidR="009F4766" w:rsidRPr="00DE12A3" w:rsidRDefault="009F4766" w:rsidP="00C917D6">
            <w:pPr>
              <w:pStyle w:val="NormalLeft"/>
            </w:pPr>
            <w:r w:rsidRPr="00DE12A3">
              <w:t>26</w:t>
            </w:r>
          </w:p>
        </w:tc>
        <w:tc>
          <w:tcPr>
            <w:tcW w:w="2551" w:type="dxa"/>
            <w:tcBorders>
              <w:top w:val="single" w:sz="2" w:space="0" w:color="auto"/>
              <w:left w:val="single" w:sz="2" w:space="0" w:color="auto"/>
              <w:bottom w:val="single" w:sz="2" w:space="0" w:color="auto"/>
              <w:right w:val="single" w:sz="2" w:space="0" w:color="auto"/>
            </w:tcBorders>
          </w:tcPr>
          <w:p w14:paraId="4285BC72" w14:textId="77777777" w:rsidR="009F4766" w:rsidRPr="00DE12A3" w:rsidRDefault="009F4766" w:rsidP="00C917D6">
            <w:pPr>
              <w:pStyle w:val="NormalLeft"/>
            </w:pPr>
            <w:r w:rsidRPr="00DE12A3">
              <w:t>73</w:t>
            </w:r>
          </w:p>
        </w:tc>
      </w:tr>
      <w:tr w:rsidR="00DE12A3" w:rsidRPr="00DE12A3" w14:paraId="653046B1" w14:textId="77777777" w:rsidTr="009F4766">
        <w:tc>
          <w:tcPr>
            <w:tcW w:w="1182" w:type="dxa"/>
            <w:tcBorders>
              <w:top w:val="single" w:sz="2" w:space="0" w:color="auto"/>
              <w:left w:val="single" w:sz="2" w:space="0" w:color="auto"/>
              <w:bottom w:val="single" w:sz="2" w:space="0" w:color="auto"/>
              <w:right w:val="single" w:sz="2" w:space="0" w:color="auto"/>
            </w:tcBorders>
          </w:tcPr>
          <w:p w14:paraId="1ECD3A5A" w14:textId="77777777" w:rsidR="009F4766" w:rsidRPr="00DE12A3" w:rsidRDefault="009F4766" w:rsidP="00C917D6">
            <w:pPr>
              <w:pStyle w:val="NormalLeft"/>
            </w:pPr>
            <w:r w:rsidRPr="00DE12A3">
              <w:t>493</w:t>
            </w:r>
          </w:p>
        </w:tc>
        <w:tc>
          <w:tcPr>
            <w:tcW w:w="2489" w:type="dxa"/>
            <w:tcBorders>
              <w:top w:val="single" w:sz="2" w:space="0" w:color="auto"/>
              <w:left w:val="single" w:sz="2" w:space="0" w:color="auto"/>
              <w:bottom w:val="single" w:sz="2" w:space="0" w:color="auto"/>
              <w:right w:val="single" w:sz="2" w:space="0" w:color="auto"/>
            </w:tcBorders>
          </w:tcPr>
          <w:p w14:paraId="42444DA3" w14:textId="77777777" w:rsidR="009F4766" w:rsidRPr="00DE12A3" w:rsidRDefault="009F4766" w:rsidP="00C917D6">
            <w:pPr>
              <w:pStyle w:val="NormalLeft"/>
            </w:pPr>
            <w:r w:rsidRPr="00DE12A3">
              <w:t>30</w:t>
            </w:r>
          </w:p>
        </w:tc>
        <w:tc>
          <w:tcPr>
            <w:tcW w:w="2551" w:type="dxa"/>
            <w:tcBorders>
              <w:top w:val="single" w:sz="2" w:space="0" w:color="auto"/>
              <w:left w:val="single" w:sz="2" w:space="0" w:color="auto"/>
              <w:bottom w:val="single" w:sz="2" w:space="0" w:color="auto"/>
              <w:right w:val="single" w:sz="2" w:space="0" w:color="auto"/>
            </w:tcBorders>
          </w:tcPr>
          <w:p w14:paraId="51632FDE" w14:textId="77777777" w:rsidR="009F4766" w:rsidRPr="00DE12A3" w:rsidRDefault="009F4766" w:rsidP="00C917D6">
            <w:pPr>
              <w:pStyle w:val="NormalLeft"/>
            </w:pPr>
            <w:r w:rsidRPr="00DE12A3">
              <w:t>61</w:t>
            </w:r>
          </w:p>
        </w:tc>
      </w:tr>
      <w:tr w:rsidR="00DE12A3" w:rsidRPr="00DE12A3" w14:paraId="1A84162D" w14:textId="77777777" w:rsidTr="009F4766">
        <w:tc>
          <w:tcPr>
            <w:tcW w:w="1182" w:type="dxa"/>
            <w:tcBorders>
              <w:top w:val="single" w:sz="2" w:space="0" w:color="auto"/>
              <w:left w:val="single" w:sz="2" w:space="0" w:color="auto"/>
              <w:bottom w:val="single" w:sz="2" w:space="0" w:color="auto"/>
              <w:right w:val="single" w:sz="2" w:space="0" w:color="auto"/>
            </w:tcBorders>
          </w:tcPr>
          <w:p w14:paraId="0814D57D" w14:textId="77777777" w:rsidR="009F4766" w:rsidRPr="00DE12A3" w:rsidRDefault="009F4766" w:rsidP="00C917D6">
            <w:pPr>
              <w:pStyle w:val="NormalLeft"/>
            </w:pPr>
            <w:r w:rsidRPr="00DE12A3">
              <w:t>494</w:t>
            </w:r>
          </w:p>
        </w:tc>
        <w:tc>
          <w:tcPr>
            <w:tcW w:w="2489" w:type="dxa"/>
            <w:tcBorders>
              <w:top w:val="single" w:sz="2" w:space="0" w:color="auto"/>
              <w:left w:val="single" w:sz="2" w:space="0" w:color="auto"/>
              <w:bottom w:val="single" w:sz="2" w:space="0" w:color="auto"/>
              <w:right w:val="single" w:sz="2" w:space="0" w:color="auto"/>
            </w:tcBorders>
          </w:tcPr>
          <w:p w14:paraId="224EC014" w14:textId="77777777" w:rsidR="009F4766" w:rsidRPr="00DE12A3" w:rsidRDefault="009F4766" w:rsidP="00C917D6">
            <w:pPr>
              <w:pStyle w:val="NormalLeft"/>
            </w:pPr>
            <w:r w:rsidRPr="00DE12A3">
              <w:t>34</w:t>
            </w:r>
          </w:p>
        </w:tc>
        <w:tc>
          <w:tcPr>
            <w:tcW w:w="2551" w:type="dxa"/>
            <w:tcBorders>
              <w:top w:val="single" w:sz="2" w:space="0" w:color="auto"/>
              <w:left w:val="single" w:sz="2" w:space="0" w:color="auto"/>
              <w:bottom w:val="single" w:sz="2" w:space="0" w:color="auto"/>
              <w:right w:val="single" w:sz="2" w:space="0" w:color="auto"/>
            </w:tcBorders>
          </w:tcPr>
          <w:p w14:paraId="422B846D" w14:textId="77777777" w:rsidR="009F4766" w:rsidRPr="00DE12A3" w:rsidRDefault="009F4766" w:rsidP="00C917D6">
            <w:pPr>
              <w:pStyle w:val="NormalLeft"/>
            </w:pPr>
            <w:r w:rsidRPr="00DE12A3">
              <w:t>49</w:t>
            </w:r>
          </w:p>
        </w:tc>
      </w:tr>
      <w:tr w:rsidR="00DE12A3" w:rsidRPr="00DE12A3" w14:paraId="014264D4" w14:textId="77777777" w:rsidTr="009F4766">
        <w:tc>
          <w:tcPr>
            <w:tcW w:w="1182" w:type="dxa"/>
            <w:tcBorders>
              <w:top w:val="single" w:sz="2" w:space="0" w:color="auto"/>
              <w:left w:val="single" w:sz="2" w:space="0" w:color="auto"/>
              <w:bottom w:val="single" w:sz="2" w:space="0" w:color="auto"/>
              <w:right w:val="single" w:sz="2" w:space="0" w:color="auto"/>
            </w:tcBorders>
          </w:tcPr>
          <w:p w14:paraId="58538840" w14:textId="77777777" w:rsidR="009F4766" w:rsidRPr="00DE12A3" w:rsidRDefault="009F4766" w:rsidP="00C917D6">
            <w:pPr>
              <w:pStyle w:val="NormalLeft"/>
            </w:pPr>
            <w:r w:rsidRPr="00DE12A3">
              <w:t>495</w:t>
            </w:r>
          </w:p>
        </w:tc>
        <w:tc>
          <w:tcPr>
            <w:tcW w:w="2489" w:type="dxa"/>
            <w:tcBorders>
              <w:top w:val="single" w:sz="2" w:space="0" w:color="auto"/>
              <w:left w:val="single" w:sz="2" w:space="0" w:color="auto"/>
              <w:bottom w:val="single" w:sz="2" w:space="0" w:color="auto"/>
              <w:right w:val="single" w:sz="2" w:space="0" w:color="auto"/>
            </w:tcBorders>
          </w:tcPr>
          <w:p w14:paraId="179ED92B" w14:textId="77777777" w:rsidR="009F4766" w:rsidRPr="00DE12A3" w:rsidRDefault="009F4766" w:rsidP="00C917D6">
            <w:pPr>
              <w:pStyle w:val="NormalLeft"/>
            </w:pPr>
            <w:r w:rsidRPr="00DE12A3">
              <w:t>35</w:t>
            </w:r>
          </w:p>
        </w:tc>
        <w:tc>
          <w:tcPr>
            <w:tcW w:w="2551" w:type="dxa"/>
            <w:tcBorders>
              <w:top w:val="single" w:sz="2" w:space="0" w:color="auto"/>
              <w:left w:val="single" w:sz="2" w:space="0" w:color="auto"/>
              <w:bottom w:val="single" w:sz="2" w:space="0" w:color="auto"/>
              <w:right w:val="single" w:sz="2" w:space="0" w:color="auto"/>
            </w:tcBorders>
          </w:tcPr>
          <w:p w14:paraId="43FDF8E6" w14:textId="77777777" w:rsidR="009F4766" w:rsidRPr="00DE12A3" w:rsidRDefault="009F4766" w:rsidP="00C917D6">
            <w:pPr>
              <w:pStyle w:val="NormalLeft"/>
            </w:pPr>
            <w:r w:rsidRPr="00DE12A3">
              <w:t>66</w:t>
            </w:r>
          </w:p>
        </w:tc>
      </w:tr>
      <w:tr w:rsidR="00DE12A3" w:rsidRPr="00DE12A3" w14:paraId="247B57BB" w14:textId="77777777" w:rsidTr="009F4766">
        <w:tc>
          <w:tcPr>
            <w:tcW w:w="1182" w:type="dxa"/>
            <w:tcBorders>
              <w:top w:val="single" w:sz="2" w:space="0" w:color="auto"/>
              <w:left w:val="single" w:sz="2" w:space="0" w:color="auto"/>
              <w:bottom w:val="single" w:sz="2" w:space="0" w:color="auto"/>
              <w:right w:val="single" w:sz="2" w:space="0" w:color="auto"/>
            </w:tcBorders>
          </w:tcPr>
          <w:p w14:paraId="6B22C140" w14:textId="77777777" w:rsidR="009F4766" w:rsidRPr="00DE12A3" w:rsidRDefault="009F4766" w:rsidP="00C917D6">
            <w:pPr>
              <w:pStyle w:val="NormalLeft"/>
            </w:pPr>
            <w:r w:rsidRPr="00DE12A3">
              <w:t>496</w:t>
            </w:r>
          </w:p>
        </w:tc>
        <w:tc>
          <w:tcPr>
            <w:tcW w:w="2489" w:type="dxa"/>
            <w:tcBorders>
              <w:top w:val="single" w:sz="2" w:space="0" w:color="auto"/>
              <w:left w:val="single" w:sz="2" w:space="0" w:color="auto"/>
              <w:bottom w:val="single" w:sz="2" w:space="0" w:color="auto"/>
              <w:right w:val="single" w:sz="2" w:space="0" w:color="auto"/>
            </w:tcBorders>
          </w:tcPr>
          <w:p w14:paraId="2F5CA2D9" w14:textId="77777777" w:rsidR="009F4766" w:rsidRPr="00DE12A3" w:rsidRDefault="009F4766" w:rsidP="00C917D6">
            <w:pPr>
              <w:pStyle w:val="NormalLeft"/>
            </w:pPr>
            <w:r w:rsidRPr="00DE12A3">
              <w:t>56</w:t>
            </w:r>
          </w:p>
        </w:tc>
        <w:tc>
          <w:tcPr>
            <w:tcW w:w="2551" w:type="dxa"/>
            <w:tcBorders>
              <w:top w:val="single" w:sz="2" w:space="0" w:color="auto"/>
              <w:left w:val="single" w:sz="2" w:space="0" w:color="auto"/>
              <w:bottom w:val="single" w:sz="2" w:space="0" w:color="auto"/>
              <w:right w:val="single" w:sz="2" w:space="0" w:color="auto"/>
            </w:tcBorders>
          </w:tcPr>
          <w:p w14:paraId="0FE021BF" w14:textId="77777777" w:rsidR="009F4766" w:rsidRPr="00DE12A3" w:rsidRDefault="009F4766" w:rsidP="00C917D6">
            <w:pPr>
              <w:pStyle w:val="NormalLeft"/>
            </w:pPr>
            <w:r w:rsidRPr="00DE12A3">
              <w:t>47</w:t>
            </w:r>
          </w:p>
        </w:tc>
      </w:tr>
      <w:tr w:rsidR="00DE12A3" w:rsidRPr="00DE12A3" w14:paraId="603AC2DE" w14:textId="77777777" w:rsidTr="009F4766">
        <w:tc>
          <w:tcPr>
            <w:tcW w:w="1182" w:type="dxa"/>
            <w:tcBorders>
              <w:top w:val="single" w:sz="2" w:space="0" w:color="auto"/>
              <w:left w:val="single" w:sz="2" w:space="0" w:color="auto"/>
              <w:bottom w:val="single" w:sz="2" w:space="0" w:color="auto"/>
              <w:right w:val="single" w:sz="2" w:space="0" w:color="auto"/>
            </w:tcBorders>
          </w:tcPr>
          <w:p w14:paraId="2AE17561" w14:textId="77777777" w:rsidR="009F4766" w:rsidRPr="00DE12A3" w:rsidRDefault="009F4766" w:rsidP="00C917D6">
            <w:pPr>
              <w:pStyle w:val="NormalLeft"/>
            </w:pPr>
            <w:r w:rsidRPr="00DE12A3">
              <w:t>497</w:t>
            </w:r>
          </w:p>
        </w:tc>
        <w:tc>
          <w:tcPr>
            <w:tcW w:w="2489" w:type="dxa"/>
            <w:tcBorders>
              <w:top w:val="single" w:sz="2" w:space="0" w:color="auto"/>
              <w:left w:val="single" w:sz="2" w:space="0" w:color="auto"/>
              <w:bottom w:val="single" w:sz="2" w:space="0" w:color="auto"/>
              <w:right w:val="single" w:sz="2" w:space="0" w:color="auto"/>
            </w:tcBorders>
          </w:tcPr>
          <w:p w14:paraId="2660D8EA" w14:textId="77777777" w:rsidR="009F4766" w:rsidRPr="00DE12A3" w:rsidRDefault="009F4766" w:rsidP="00C917D6">
            <w:pPr>
              <w:pStyle w:val="NormalLeft"/>
            </w:pPr>
            <w:r w:rsidRPr="00DE12A3">
              <w:t>49</w:t>
            </w:r>
          </w:p>
        </w:tc>
        <w:tc>
          <w:tcPr>
            <w:tcW w:w="2551" w:type="dxa"/>
            <w:tcBorders>
              <w:top w:val="single" w:sz="2" w:space="0" w:color="auto"/>
              <w:left w:val="single" w:sz="2" w:space="0" w:color="auto"/>
              <w:bottom w:val="single" w:sz="2" w:space="0" w:color="auto"/>
              <w:right w:val="single" w:sz="2" w:space="0" w:color="auto"/>
            </w:tcBorders>
          </w:tcPr>
          <w:p w14:paraId="6C6E5834" w14:textId="77777777" w:rsidR="009F4766" w:rsidRPr="00DE12A3" w:rsidRDefault="009F4766" w:rsidP="00C917D6">
            <w:pPr>
              <w:pStyle w:val="NormalLeft"/>
            </w:pPr>
            <w:r w:rsidRPr="00DE12A3">
              <w:t>64</w:t>
            </w:r>
          </w:p>
        </w:tc>
      </w:tr>
      <w:tr w:rsidR="00DE12A3" w:rsidRPr="00DE12A3" w14:paraId="6FE9B72F" w14:textId="77777777" w:rsidTr="009F4766">
        <w:tc>
          <w:tcPr>
            <w:tcW w:w="1182" w:type="dxa"/>
            <w:tcBorders>
              <w:top w:val="single" w:sz="2" w:space="0" w:color="auto"/>
              <w:left w:val="single" w:sz="2" w:space="0" w:color="auto"/>
              <w:bottom w:val="single" w:sz="2" w:space="0" w:color="auto"/>
              <w:right w:val="single" w:sz="2" w:space="0" w:color="auto"/>
            </w:tcBorders>
          </w:tcPr>
          <w:p w14:paraId="4952A1C7" w14:textId="77777777" w:rsidR="009F4766" w:rsidRPr="00DE12A3" w:rsidRDefault="009F4766" w:rsidP="00C917D6">
            <w:pPr>
              <w:pStyle w:val="NormalLeft"/>
            </w:pPr>
            <w:r w:rsidRPr="00DE12A3">
              <w:t>498</w:t>
            </w:r>
          </w:p>
        </w:tc>
        <w:tc>
          <w:tcPr>
            <w:tcW w:w="2489" w:type="dxa"/>
            <w:tcBorders>
              <w:top w:val="single" w:sz="2" w:space="0" w:color="auto"/>
              <w:left w:val="single" w:sz="2" w:space="0" w:color="auto"/>
              <w:bottom w:val="single" w:sz="2" w:space="0" w:color="auto"/>
              <w:right w:val="single" w:sz="2" w:space="0" w:color="auto"/>
            </w:tcBorders>
          </w:tcPr>
          <w:p w14:paraId="0215350D" w14:textId="77777777" w:rsidR="009F4766" w:rsidRPr="00DE12A3" w:rsidRDefault="009F4766" w:rsidP="00C917D6">
            <w:pPr>
              <w:pStyle w:val="NormalLeft"/>
            </w:pPr>
            <w:r w:rsidRPr="00DE12A3">
              <w:t>59</w:t>
            </w:r>
          </w:p>
        </w:tc>
        <w:tc>
          <w:tcPr>
            <w:tcW w:w="2551" w:type="dxa"/>
            <w:tcBorders>
              <w:top w:val="single" w:sz="2" w:space="0" w:color="auto"/>
              <w:left w:val="single" w:sz="2" w:space="0" w:color="auto"/>
              <w:bottom w:val="single" w:sz="2" w:space="0" w:color="auto"/>
              <w:right w:val="single" w:sz="2" w:space="0" w:color="auto"/>
            </w:tcBorders>
          </w:tcPr>
          <w:p w14:paraId="02A0DA77" w14:textId="77777777" w:rsidR="009F4766" w:rsidRPr="00DE12A3" w:rsidRDefault="009F4766" w:rsidP="00C917D6">
            <w:pPr>
              <w:pStyle w:val="NormalLeft"/>
            </w:pPr>
            <w:r w:rsidRPr="00DE12A3">
              <w:t>64</w:t>
            </w:r>
          </w:p>
        </w:tc>
      </w:tr>
      <w:tr w:rsidR="00DE12A3" w:rsidRPr="00DE12A3" w14:paraId="4E0EEE28" w14:textId="77777777" w:rsidTr="009F4766">
        <w:tc>
          <w:tcPr>
            <w:tcW w:w="1182" w:type="dxa"/>
            <w:tcBorders>
              <w:top w:val="single" w:sz="2" w:space="0" w:color="auto"/>
              <w:left w:val="single" w:sz="2" w:space="0" w:color="auto"/>
              <w:bottom w:val="single" w:sz="2" w:space="0" w:color="auto"/>
              <w:right w:val="single" w:sz="2" w:space="0" w:color="auto"/>
            </w:tcBorders>
          </w:tcPr>
          <w:p w14:paraId="74258080" w14:textId="77777777" w:rsidR="009F4766" w:rsidRPr="00DE12A3" w:rsidRDefault="009F4766" w:rsidP="00C917D6">
            <w:pPr>
              <w:pStyle w:val="NormalLeft"/>
            </w:pPr>
            <w:r w:rsidRPr="00DE12A3">
              <w:t>499</w:t>
            </w:r>
          </w:p>
        </w:tc>
        <w:tc>
          <w:tcPr>
            <w:tcW w:w="2489" w:type="dxa"/>
            <w:tcBorders>
              <w:top w:val="single" w:sz="2" w:space="0" w:color="auto"/>
              <w:left w:val="single" w:sz="2" w:space="0" w:color="auto"/>
              <w:bottom w:val="single" w:sz="2" w:space="0" w:color="auto"/>
              <w:right w:val="single" w:sz="2" w:space="0" w:color="auto"/>
            </w:tcBorders>
          </w:tcPr>
          <w:p w14:paraId="5DBF9F91" w14:textId="77777777" w:rsidR="009F4766" w:rsidRPr="00DE12A3" w:rsidRDefault="009F4766" w:rsidP="00C917D6">
            <w:pPr>
              <w:pStyle w:val="NormalLeft"/>
            </w:pPr>
            <w:r w:rsidRPr="00DE12A3">
              <w:t>42</w:t>
            </w:r>
          </w:p>
        </w:tc>
        <w:tc>
          <w:tcPr>
            <w:tcW w:w="2551" w:type="dxa"/>
            <w:tcBorders>
              <w:top w:val="single" w:sz="2" w:space="0" w:color="auto"/>
              <w:left w:val="single" w:sz="2" w:space="0" w:color="auto"/>
              <w:bottom w:val="single" w:sz="2" w:space="0" w:color="auto"/>
              <w:right w:val="single" w:sz="2" w:space="0" w:color="auto"/>
            </w:tcBorders>
          </w:tcPr>
          <w:p w14:paraId="1B595B44" w14:textId="77777777" w:rsidR="009F4766" w:rsidRPr="00DE12A3" w:rsidRDefault="009F4766" w:rsidP="00C917D6">
            <w:pPr>
              <w:pStyle w:val="NormalLeft"/>
            </w:pPr>
            <w:r w:rsidRPr="00DE12A3">
              <w:t>69</w:t>
            </w:r>
          </w:p>
        </w:tc>
      </w:tr>
      <w:tr w:rsidR="00DE12A3" w:rsidRPr="00DE12A3" w14:paraId="6F07FB87" w14:textId="77777777" w:rsidTr="009F4766">
        <w:tc>
          <w:tcPr>
            <w:tcW w:w="1182" w:type="dxa"/>
            <w:tcBorders>
              <w:top w:val="single" w:sz="2" w:space="0" w:color="auto"/>
              <w:left w:val="single" w:sz="2" w:space="0" w:color="auto"/>
              <w:bottom w:val="single" w:sz="2" w:space="0" w:color="auto"/>
              <w:right w:val="single" w:sz="2" w:space="0" w:color="auto"/>
            </w:tcBorders>
          </w:tcPr>
          <w:p w14:paraId="2DD3660D" w14:textId="77777777" w:rsidR="009F4766" w:rsidRPr="00DE12A3" w:rsidRDefault="009F4766" w:rsidP="00C917D6">
            <w:pPr>
              <w:pStyle w:val="NormalLeft"/>
            </w:pPr>
            <w:r w:rsidRPr="00DE12A3">
              <w:t>500</w:t>
            </w:r>
          </w:p>
        </w:tc>
        <w:tc>
          <w:tcPr>
            <w:tcW w:w="2489" w:type="dxa"/>
            <w:tcBorders>
              <w:top w:val="single" w:sz="2" w:space="0" w:color="auto"/>
              <w:left w:val="single" w:sz="2" w:space="0" w:color="auto"/>
              <w:bottom w:val="single" w:sz="2" w:space="0" w:color="auto"/>
              <w:right w:val="single" w:sz="2" w:space="0" w:color="auto"/>
            </w:tcBorders>
          </w:tcPr>
          <w:p w14:paraId="21FEBB52" w14:textId="77777777" w:rsidR="009F4766" w:rsidRPr="00DE12A3" w:rsidRDefault="009F4766" w:rsidP="00C917D6">
            <w:pPr>
              <w:pStyle w:val="NormalLeft"/>
            </w:pPr>
            <w:r w:rsidRPr="00DE12A3">
              <w:t>6</w:t>
            </w:r>
          </w:p>
        </w:tc>
        <w:tc>
          <w:tcPr>
            <w:tcW w:w="2551" w:type="dxa"/>
            <w:tcBorders>
              <w:top w:val="single" w:sz="2" w:space="0" w:color="auto"/>
              <w:left w:val="single" w:sz="2" w:space="0" w:color="auto"/>
              <w:bottom w:val="single" w:sz="2" w:space="0" w:color="auto"/>
              <w:right w:val="single" w:sz="2" w:space="0" w:color="auto"/>
            </w:tcBorders>
          </w:tcPr>
          <w:p w14:paraId="4464EDEA" w14:textId="77777777" w:rsidR="009F4766" w:rsidRPr="00DE12A3" w:rsidRDefault="009F4766" w:rsidP="00C917D6">
            <w:pPr>
              <w:pStyle w:val="NormalLeft"/>
            </w:pPr>
            <w:r w:rsidRPr="00DE12A3">
              <w:t>77</w:t>
            </w:r>
          </w:p>
        </w:tc>
      </w:tr>
      <w:tr w:rsidR="00DE12A3" w:rsidRPr="00DE12A3" w14:paraId="4D94C9CA" w14:textId="77777777" w:rsidTr="009F4766">
        <w:tc>
          <w:tcPr>
            <w:tcW w:w="1182" w:type="dxa"/>
            <w:tcBorders>
              <w:top w:val="single" w:sz="2" w:space="0" w:color="auto"/>
              <w:left w:val="single" w:sz="2" w:space="0" w:color="auto"/>
              <w:bottom w:val="single" w:sz="2" w:space="0" w:color="auto"/>
              <w:right w:val="single" w:sz="2" w:space="0" w:color="auto"/>
            </w:tcBorders>
          </w:tcPr>
          <w:p w14:paraId="20495BDC" w14:textId="77777777" w:rsidR="009F4766" w:rsidRPr="00DE12A3" w:rsidRDefault="009F4766" w:rsidP="00C917D6">
            <w:pPr>
              <w:pStyle w:val="NormalLeft"/>
            </w:pPr>
            <w:r w:rsidRPr="00DE12A3">
              <w:t>501</w:t>
            </w:r>
          </w:p>
        </w:tc>
        <w:tc>
          <w:tcPr>
            <w:tcW w:w="2489" w:type="dxa"/>
            <w:tcBorders>
              <w:top w:val="single" w:sz="2" w:space="0" w:color="auto"/>
              <w:left w:val="single" w:sz="2" w:space="0" w:color="auto"/>
              <w:bottom w:val="single" w:sz="2" w:space="0" w:color="auto"/>
              <w:right w:val="single" w:sz="2" w:space="0" w:color="auto"/>
            </w:tcBorders>
          </w:tcPr>
          <w:p w14:paraId="3955DD77" w14:textId="77777777" w:rsidR="009F4766" w:rsidRPr="00DE12A3" w:rsidRDefault="009F4766" w:rsidP="00C917D6">
            <w:pPr>
              <w:pStyle w:val="NormalLeft"/>
            </w:pPr>
            <w:r w:rsidRPr="00DE12A3">
              <w:t>5</w:t>
            </w:r>
          </w:p>
        </w:tc>
        <w:tc>
          <w:tcPr>
            <w:tcW w:w="2551" w:type="dxa"/>
            <w:tcBorders>
              <w:top w:val="single" w:sz="2" w:space="0" w:color="auto"/>
              <w:left w:val="single" w:sz="2" w:space="0" w:color="auto"/>
              <w:bottom w:val="single" w:sz="2" w:space="0" w:color="auto"/>
              <w:right w:val="single" w:sz="2" w:space="0" w:color="auto"/>
            </w:tcBorders>
          </w:tcPr>
          <w:p w14:paraId="2E1DF034" w14:textId="77777777" w:rsidR="009F4766" w:rsidRPr="00DE12A3" w:rsidRDefault="009F4766" w:rsidP="00C917D6">
            <w:pPr>
              <w:pStyle w:val="NormalLeft"/>
            </w:pPr>
            <w:r w:rsidRPr="00DE12A3">
              <w:t>59</w:t>
            </w:r>
          </w:p>
        </w:tc>
      </w:tr>
      <w:tr w:rsidR="00DE12A3" w:rsidRPr="00DE12A3" w14:paraId="0D92647F" w14:textId="77777777" w:rsidTr="009F4766">
        <w:tc>
          <w:tcPr>
            <w:tcW w:w="1182" w:type="dxa"/>
            <w:tcBorders>
              <w:top w:val="single" w:sz="2" w:space="0" w:color="auto"/>
              <w:left w:val="single" w:sz="2" w:space="0" w:color="auto"/>
              <w:bottom w:val="single" w:sz="2" w:space="0" w:color="auto"/>
              <w:right w:val="single" w:sz="2" w:space="0" w:color="auto"/>
            </w:tcBorders>
          </w:tcPr>
          <w:p w14:paraId="600E2E7C" w14:textId="77777777" w:rsidR="009F4766" w:rsidRPr="00DE12A3" w:rsidRDefault="009F4766" w:rsidP="00C917D6">
            <w:pPr>
              <w:pStyle w:val="NormalLeft"/>
            </w:pPr>
            <w:r w:rsidRPr="00DE12A3">
              <w:t>502</w:t>
            </w:r>
          </w:p>
        </w:tc>
        <w:tc>
          <w:tcPr>
            <w:tcW w:w="2489" w:type="dxa"/>
            <w:tcBorders>
              <w:top w:val="single" w:sz="2" w:space="0" w:color="auto"/>
              <w:left w:val="single" w:sz="2" w:space="0" w:color="auto"/>
              <w:bottom w:val="single" w:sz="2" w:space="0" w:color="auto"/>
              <w:right w:val="single" w:sz="2" w:space="0" w:color="auto"/>
            </w:tcBorders>
          </w:tcPr>
          <w:p w14:paraId="1B1A3EAA" w14:textId="77777777" w:rsidR="009F4766" w:rsidRPr="00DE12A3" w:rsidRDefault="009F4766" w:rsidP="00C917D6">
            <w:pPr>
              <w:pStyle w:val="NormalLeft"/>
            </w:pPr>
            <w:r w:rsidRPr="00DE12A3">
              <w:t>17</w:t>
            </w:r>
          </w:p>
        </w:tc>
        <w:tc>
          <w:tcPr>
            <w:tcW w:w="2551" w:type="dxa"/>
            <w:tcBorders>
              <w:top w:val="single" w:sz="2" w:space="0" w:color="auto"/>
              <w:left w:val="single" w:sz="2" w:space="0" w:color="auto"/>
              <w:bottom w:val="single" w:sz="2" w:space="0" w:color="auto"/>
              <w:right w:val="single" w:sz="2" w:space="0" w:color="auto"/>
            </w:tcBorders>
          </w:tcPr>
          <w:p w14:paraId="58E2BDA6" w14:textId="77777777" w:rsidR="009F4766" w:rsidRPr="00DE12A3" w:rsidRDefault="009F4766" w:rsidP="00C917D6">
            <w:pPr>
              <w:pStyle w:val="NormalLeft"/>
            </w:pPr>
            <w:r w:rsidRPr="00DE12A3">
              <w:t>59</w:t>
            </w:r>
          </w:p>
        </w:tc>
      </w:tr>
      <w:tr w:rsidR="00DE12A3" w:rsidRPr="00DE12A3" w14:paraId="012A478D" w14:textId="77777777" w:rsidTr="009F4766">
        <w:tc>
          <w:tcPr>
            <w:tcW w:w="1182" w:type="dxa"/>
            <w:tcBorders>
              <w:top w:val="single" w:sz="2" w:space="0" w:color="auto"/>
              <w:left w:val="single" w:sz="2" w:space="0" w:color="auto"/>
              <w:bottom w:val="single" w:sz="2" w:space="0" w:color="auto"/>
              <w:right w:val="single" w:sz="2" w:space="0" w:color="auto"/>
            </w:tcBorders>
          </w:tcPr>
          <w:p w14:paraId="442611C9" w14:textId="77777777" w:rsidR="009F4766" w:rsidRPr="00DE12A3" w:rsidRDefault="009F4766" w:rsidP="00C917D6">
            <w:pPr>
              <w:pStyle w:val="NormalLeft"/>
            </w:pPr>
            <w:r w:rsidRPr="00DE12A3">
              <w:t>503</w:t>
            </w:r>
          </w:p>
        </w:tc>
        <w:tc>
          <w:tcPr>
            <w:tcW w:w="2489" w:type="dxa"/>
            <w:tcBorders>
              <w:top w:val="single" w:sz="2" w:space="0" w:color="auto"/>
              <w:left w:val="single" w:sz="2" w:space="0" w:color="auto"/>
              <w:bottom w:val="single" w:sz="2" w:space="0" w:color="auto"/>
              <w:right w:val="single" w:sz="2" w:space="0" w:color="auto"/>
            </w:tcBorders>
          </w:tcPr>
          <w:p w14:paraId="038527F6" w14:textId="77777777" w:rsidR="009F4766" w:rsidRPr="00DE12A3" w:rsidRDefault="009F4766" w:rsidP="00C917D6">
            <w:pPr>
              <w:pStyle w:val="NormalLeft"/>
            </w:pPr>
            <w:r w:rsidRPr="00DE12A3">
              <w:t>45</w:t>
            </w:r>
          </w:p>
        </w:tc>
        <w:tc>
          <w:tcPr>
            <w:tcW w:w="2551" w:type="dxa"/>
            <w:tcBorders>
              <w:top w:val="single" w:sz="2" w:space="0" w:color="auto"/>
              <w:left w:val="single" w:sz="2" w:space="0" w:color="auto"/>
              <w:bottom w:val="single" w:sz="2" w:space="0" w:color="auto"/>
              <w:right w:val="single" w:sz="2" w:space="0" w:color="auto"/>
            </w:tcBorders>
          </w:tcPr>
          <w:p w14:paraId="265AB6F9" w14:textId="77777777" w:rsidR="009F4766" w:rsidRPr="00DE12A3" w:rsidRDefault="009F4766" w:rsidP="00C917D6">
            <w:pPr>
              <w:pStyle w:val="NormalLeft"/>
            </w:pPr>
            <w:r w:rsidRPr="00DE12A3">
              <w:t>53</w:t>
            </w:r>
          </w:p>
        </w:tc>
      </w:tr>
      <w:tr w:rsidR="00DE12A3" w:rsidRPr="00DE12A3" w14:paraId="25DF4B45" w14:textId="77777777" w:rsidTr="009F4766">
        <w:tc>
          <w:tcPr>
            <w:tcW w:w="1182" w:type="dxa"/>
            <w:tcBorders>
              <w:top w:val="single" w:sz="2" w:space="0" w:color="auto"/>
              <w:left w:val="single" w:sz="2" w:space="0" w:color="auto"/>
              <w:bottom w:val="single" w:sz="2" w:space="0" w:color="auto"/>
              <w:right w:val="single" w:sz="2" w:space="0" w:color="auto"/>
            </w:tcBorders>
          </w:tcPr>
          <w:p w14:paraId="4E079E93" w14:textId="77777777" w:rsidR="009F4766" w:rsidRPr="00DE12A3" w:rsidRDefault="009F4766" w:rsidP="00C917D6">
            <w:pPr>
              <w:pStyle w:val="NormalLeft"/>
            </w:pPr>
            <w:r w:rsidRPr="00DE12A3">
              <w:t>504</w:t>
            </w:r>
          </w:p>
        </w:tc>
        <w:tc>
          <w:tcPr>
            <w:tcW w:w="2489" w:type="dxa"/>
            <w:tcBorders>
              <w:top w:val="single" w:sz="2" w:space="0" w:color="auto"/>
              <w:left w:val="single" w:sz="2" w:space="0" w:color="auto"/>
              <w:bottom w:val="single" w:sz="2" w:space="0" w:color="auto"/>
              <w:right w:val="single" w:sz="2" w:space="0" w:color="auto"/>
            </w:tcBorders>
          </w:tcPr>
          <w:p w14:paraId="155B49A5" w14:textId="77777777" w:rsidR="009F4766" w:rsidRPr="00DE12A3" w:rsidRDefault="009F4766" w:rsidP="00C917D6">
            <w:pPr>
              <w:pStyle w:val="NormalLeft"/>
            </w:pPr>
            <w:r w:rsidRPr="00DE12A3">
              <w:t>21</w:t>
            </w:r>
          </w:p>
        </w:tc>
        <w:tc>
          <w:tcPr>
            <w:tcW w:w="2551" w:type="dxa"/>
            <w:tcBorders>
              <w:top w:val="single" w:sz="2" w:space="0" w:color="auto"/>
              <w:left w:val="single" w:sz="2" w:space="0" w:color="auto"/>
              <w:bottom w:val="single" w:sz="2" w:space="0" w:color="auto"/>
              <w:right w:val="single" w:sz="2" w:space="0" w:color="auto"/>
            </w:tcBorders>
          </w:tcPr>
          <w:p w14:paraId="6A24EE85" w14:textId="77777777" w:rsidR="009F4766" w:rsidRPr="00DE12A3" w:rsidRDefault="009F4766" w:rsidP="00C917D6">
            <w:pPr>
              <w:pStyle w:val="NormalLeft"/>
            </w:pPr>
            <w:r w:rsidRPr="00DE12A3">
              <w:t>62</w:t>
            </w:r>
          </w:p>
        </w:tc>
      </w:tr>
      <w:tr w:rsidR="00DE12A3" w:rsidRPr="00DE12A3" w14:paraId="7E8B75EE" w14:textId="77777777" w:rsidTr="009F4766">
        <w:tc>
          <w:tcPr>
            <w:tcW w:w="1182" w:type="dxa"/>
            <w:tcBorders>
              <w:top w:val="single" w:sz="2" w:space="0" w:color="auto"/>
              <w:left w:val="single" w:sz="2" w:space="0" w:color="auto"/>
              <w:bottom w:val="single" w:sz="2" w:space="0" w:color="auto"/>
              <w:right w:val="single" w:sz="2" w:space="0" w:color="auto"/>
            </w:tcBorders>
          </w:tcPr>
          <w:p w14:paraId="02575F93" w14:textId="77777777" w:rsidR="009F4766" w:rsidRPr="00DE12A3" w:rsidRDefault="009F4766" w:rsidP="00C917D6">
            <w:pPr>
              <w:pStyle w:val="NormalLeft"/>
            </w:pPr>
            <w:r w:rsidRPr="00DE12A3">
              <w:t>505</w:t>
            </w:r>
          </w:p>
        </w:tc>
        <w:tc>
          <w:tcPr>
            <w:tcW w:w="2489" w:type="dxa"/>
            <w:tcBorders>
              <w:top w:val="single" w:sz="2" w:space="0" w:color="auto"/>
              <w:left w:val="single" w:sz="2" w:space="0" w:color="auto"/>
              <w:bottom w:val="single" w:sz="2" w:space="0" w:color="auto"/>
              <w:right w:val="single" w:sz="2" w:space="0" w:color="auto"/>
            </w:tcBorders>
          </w:tcPr>
          <w:p w14:paraId="6CFA4525" w14:textId="77777777" w:rsidR="009F4766" w:rsidRPr="00DE12A3" w:rsidRDefault="009F4766" w:rsidP="00C917D6">
            <w:pPr>
              <w:pStyle w:val="NormalLeft"/>
            </w:pPr>
            <w:r w:rsidRPr="00DE12A3">
              <w:t>31</w:t>
            </w:r>
          </w:p>
        </w:tc>
        <w:tc>
          <w:tcPr>
            <w:tcW w:w="2551" w:type="dxa"/>
            <w:tcBorders>
              <w:top w:val="single" w:sz="2" w:space="0" w:color="auto"/>
              <w:left w:val="single" w:sz="2" w:space="0" w:color="auto"/>
              <w:bottom w:val="single" w:sz="2" w:space="0" w:color="auto"/>
              <w:right w:val="single" w:sz="2" w:space="0" w:color="auto"/>
            </w:tcBorders>
          </w:tcPr>
          <w:p w14:paraId="583B85DE" w14:textId="77777777" w:rsidR="009F4766" w:rsidRPr="00DE12A3" w:rsidRDefault="009F4766" w:rsidP="00C917D6">
            <w:pPr>
              <w:pStyle w:val="NormalLeft"/>
            </w:pPr>
            <w:r w:rsidRPr="00DE12A3">
              <w:t>60</w:t>
            </w:r>
          </w:p>
        </w:tc>
      </w:tr>
      <w:tr w:rsidR="00DE12A3" w:rsidRPr="00DE12A3" w14:paraId="2A2DF87C" w14:textId="77777777" w:rsidTr="009F4766">
        <w:tc>
          <w:tcPr>
            <w:tcW w:w="1182" w:type="dxa"/>
            <w:tcBorders>
              <w:top w:val="single" w:sz="2" w:space="0" w:color="auto"/>
              <w:left w:val="single" w:sz="2" w:space="0" w:color="auto"/>
              <w:bottom w:val="single" w:sz="2" w:space="0" w:color="auto"/>
              <w:right w:val="single" w:sz="2" w:space="0" w:color="auto"/>
            </w:tcBorders>
          </w:tcPr>
          <w:p w14:paraId="473814F6" w14:textId="77777777" w:rsidR="009F4766" w:rsidRPr="00DE12A3" w:rsidRDefault="009F4766" w:rsidP="00C917D6">
            <w:pPr>
              <w:pStyle w:val="NormalLeft"/>
            </w:pPr>
            <w:r w:rsidRPr="00DE12A3">
              <w:t>506</w:t>
            </w:r>
          </w:p>
        </w:tc>
        <w:tc>
          <w:tcPr>
            <w:tcW w:w="2489" w:type="dxa"/>
            <w:tcBorders>
              <w:top w:val="single" w:sz="2" w:space="0" w:color="auto"/>
              <w:left w:val="single" w:sz="2" w:space="0" w:color="auto"/>
              <w:bottom w:val="single" w:sz="2" w:space="0" w:color="auto"/>
              <w:right w:val="single" w:sz="2" w:space="0" w:color="auto"/>
            </w:tcBorders>
          </w:tcPr>
          <w:p w14:paraId="4D88F19D" w14:textId="77777777" w:rsidR="009F4766" w:rsidRPr="00DE12A3" w:rsidRDefault="009F4766" w:rsidP="00C917D6">
            <w:pPr>
              <w:pStyle w:val="NormalLeft"/>
            </w:pPr>
            <w:r w:rsidRPr="00DE12A3">
              <w:t>53</w:t>
            </w:r>
          </w:p>
        </w:tc>
        <w:tc>
          <w:tcPr>
            <w:tcW w:w="2551" w:type="dxa"/>
            <w:tcBorders>
              <w:top w:val="single" w:sz="2" w:space="0" w:color="auto"/>
              <w:left w:val="single" w:sz="2" w:space="0" w:color="auto"/>
              <w:bottom w:val="single" w:sz="2" w:space="0" w:color="auto"/>
              <w:right w:val="single" w:sz="2" w:space="0" w:color="auto"/>
            </w:tcBorders>
          </w:tcPr>
          <w:p w14:paraId="19AA027B" w14:textId="77777777" w:rsidR="009F4766" w:rsidRPr="00DE12A3" w:rsidRDefault="009F4766" w:rsidP="00C917D6">
            <w:pPr>
              <w:pStyle w:val="NormalLeft"/>
            </w:pPr>
            <w:r w:rsidRPr="00DE12A3">
              <w:t>68</w:t>
            </w:r>
          </w:p>
        </w:tc>
      </w:tr>
      <w:tr w:rsidR="00DE12A3" w:rsidRPr="00DE12A3" w14:paraId="3E778CA7" w14:textId="77777777" w:rsidTr="009F4766">
        <w:tc>
          <w:tcPr>
            <w:tcW w:w="1182" w:type="dxa"/>
            <w:tcBorders>
              <w:top w:val="single" w:sz="2" w:space="0" w:color="auto"/>
              <w:left w:val="single" w:sz="2" w:space="0" w:color="auto"/>
              <w:bottom w:val="single" w:sz="2" w:space="0" w:color="auto"/>
              <w:right w:val="single" w:sz="2" w:space="0" w:color="auto"/>
            </w:tcBorders>
          </w:tcPr>
          <w:p w14:paraId="40A271AE" w14:textId="77777777" w:rsidR="009F4766" w:rsidRPr="00DE12A3" w:rsidRDefault="009F4766" w:rsidP="00C917D6">
            <w:pPr>
              <w:pStyle w:val="NormalLeft"/>
            </w:pPr>
            <w:r w:rsidRPr="00DE12A3">
              <w:lastRenderedPageBreak/>
              <w:t>507</w:t>
            </w:r>
          </w:p>
        </w:tc>
        <w:tc>
          <w:tcPr>
            <w:tcW w:w="2489" w:type="dxa"/>
            <w:tcBorders>
              <w:top w:val="single" w:sz="2" w:space="0" w:color="auto"/>
              <w:left w:val="single" w:sz="2" w:space="0" w:color="auto"/>
              <w:bottom w:val="single" w:sz="2" w:space="0" w:color="auto"/>
              <w:right w:val="single" w:sz="2" w:space="0" w:color="auto"/>
            </w:tcBorders>
          </w:tcPr>
          <w:p w14:paraId="32F008BD" w14:textId="77777777" w:rsidR="009F4766" w:rsidRPr="00DE12A3" w:rsidRDefault="009F4766" w:rsidP="00C917D6">
            <w:pPr>
              <w:pStyle w:val="NormalLeft"/>
            </w:pPr>
            <w:r w:rsidRPr="00DE12A3">
              <w:t>48</w:t>
            </w:r>
          </w:p>
        </w:tc>
        <w:tc>
          <w:tcPr>
            <w:tcW w:w="2551" w:type="dxa"/>
            <w:tcBorders>
              <w:top w:val="single" w:sz="2" w:space="0" w:color="auto"/>
              <w:left w:val="single" w:sz="2" w:space="0" w:color="auto"/>
              <w:bottom w:val="single" w:sz="2" w:space="0" w:color="auto"/>
              <w:right w:val="single" w:sz="2" w:space="0" w:color="auto"/>
            </w:tcBorders>
          </w:tcPr>
          <w:p w14:paraId="3D8BFD0C" w14:textId="77777777" w:rsidR="009F4766" w:rsidRPr="00DE12A3" w:rsidRDefault="009F4766" w:rsidP="00C917D6">
            <w:pPr>
              <w:pStyle w:val="NormalLeft"/>
            </w:pPr>
            <w:r w:rsidRPr="00DE12A3">
              <w:t>79</w:t>
            </w:r>
          </w:p>
        </w:tc>
      </w:tr>
      <w:tr w:rsidR="00DE12A3" w:rsidRPr="00DE12A3" w14:paraId="211121CA" w14:textId="77777777" w:rsidTr="009F4766">
        <w:tc>
          <w:tcPr>
            <w:tcW w:w="1182" w:type="dxa"/>
            <w:tcBorders>
              <w:top w:val="single" w:sz="2" w:space="0" w:color="auto"/>
              <w:left w:val="single" w:sz="2" w:space="0" w:color="auto"/>
              <w:bottom w:val="single" w:sz="2" w:space="0" w:color="auto"/>
              <w:right w:val="single" w:sz="2" w:space="0" w:color="auto"/>
            </w:tcBorders>
          </w:tcPr>
          <w:p w14:paraId="0B5BAD9A" w14:textId="77777777" w:rsidR="009F4766" w:rsidRPr="00DE12A3" w:rsidRDefault="009F4766" w:rsidP="00C917D6">
            <w:pPr>
              <w:pStyle w:val="NormalLeft"/>
            </w:pPr>
            <w:r w:rsidRPr="00DE12A3">
              <w:t>508</w:t>
            </w:r>
          </w:p>
        </w:tc>
        <w:tc>
          <w:tcPr>
            <w:tcW w:w="2489" w:type="dxa"/>
            <w:tcBorders>
              <w:top w:val="single" w:sz="2" w:space="0" w:color="auto"/>
              <w:left w:val="single" w:sz="2" w:space="0" w:color="auto"/>
              <w:bottom w:val="single" w:sz="2" w:space="0" w:color="auto"/>
              <w:right w:val="single" w:sz="2" w:space="0" w:color="auto"/>
            </w:tcBorders>
          </w:tcPr>
          <w:p w14:paraId="571F92A2" w14:textId="77777777" w:rsidR="009F4766" w:rsidRPr="00DE12A3" w:rsidRDefault="009F4766" w:rsidP="00C917D6">
            <w:pPr>
              <w:pStyle w:val="NormalLeft"/>
            </w:pPr>
            <w:r w:rsidRPr="00DE12A3">
              <w:t>45</w:t>
            </w:r>
          </w:p>
        </w:tc>
        <w:tc>
          <w:tcPr>
            <w:tcW w:w="2551" w:type="dxa"/>
            <w:tcBorders>
              <w:top w:val="single" w:sz="2" w:space="0" w:color="auto"/>
              <w:left w:val="single" w:sz="2" w:space="0" w:color="auto"/>
              <w:bottom w:val="single" w:sz="2" w:space="0" w:color="auto"/>
              <w:right w:val="single" w:sz="2" w:space="0" w:color="auto"/>
            </w:tcBorders>
          </w:tcPr>
          <w:p w14:paraId="714938B3" w14:textId="77777777" w:rsidR="009F4766" w:rsidRPr="00DE12A3" w:rsidRDefault="009F4766" w:rsidP="00C917D6">
            <w:pPr>
              <w:pStyle w:val="NormalLeft"/>
            </w:pPr>
            <w:r w:rsidRPr="00DE12A3">
              <w:t>61</w:t>
            </w:r>
          </w:p>
        </w:tc>
      </w:tr>
      <w:tr w:rsidR="00DE12A3" w:rsidRPr="00DE12A3" w14:paraId="54BFA693" w14:textId="77777777" w:rsidTr="009F4766">
        <w:tc>
          <w:tcPr>
            <w:tcW w:w="1182" w:type="dxa"/>
            <w:tcBorders>
              <w:top w:val="single" w:sz="2" w:space="0" w:color="auto"/>
              <w:left w:val="single" w:sz="2" w:space="0" w:color="auto"/>
              <w:bottom w:val="single" w:sz="2" w:space="0" w:color="auto"/>
              <w:right w:val="single" w:sz="2" w:space="0" w:color="auto"/>
            </w:tcBorders>
          </w:tcPr>
          <w:p w14:paraId="294A187A" w14:textId="77777777" w:rsidR="009F4766" w:rsidRPr="00DE12A3" w:rsidRDefault="009F4766" w:rsidP="00C917D6">
            <w:pPr>
              <w:pStyle w:val="NormalLeft"/>
            </w:pPr>
            <w:r w:rsidRPr="00DE12A3">
              <w:t>509</w:t>
            </w:r>
          </w:p>
        </w:tc>
        <w:tc>
          <w:tcPr>
            <w:tcW w:w="2489" w:type="dxa"/>
            <w:tcBorders>
              <w:top w:val="single" w:sz="2" w:space="0" w:color="auto"/>
              <w:left w:val="single" w:sz="2" w:space="0" w:color="auto"/>
              <w:bottom w:val="single" w:sz="2" w:space="0" w:color="auto"/>
              <w:right w:val="single" w:sz="2" w:space="0" w:color="auto"/>
            </w:tcBorders>
          </w:tcPr>
          <w:p w14:paraId="1A99CED9" w14:textId="77777777" w:rsidR="009F4766" w:rsidRPr="00DE12A3" w:rsidRDefault="009F4766" w:rsidP="00C917D6">
            <w:pPr>
              <w:pStyle w:val="NormalLeft"/>
            </w:pPr>
            <w:r w:rsidRPr="00DE12A3">
              <w:t>51</w:t>
            </w:r>
          </w:p>
        </w:tc>
        <w:tc>
          <w:tcPr>
            <w:tcW w:w="2551" w:type="dxa"/>
            <w:tcBorders>
              <w:top w:val="single" w:sz="2" w:space="0" w:color="auto"/>
              <w:left w:val="single" w:sz="2" w:space="0" w:color="auto"/>
              <w:bottom w:val="single" w:sz="2" w:space="0" w:color="auto"/>
              <w:right w:val="single" w:sz="2" w:space="0" w:color="auto"/>
            </w:tcBorders>
          </w:tcPr>
          <w:p w14:paraId="19A11C19" w14:textId="77777777" w:rsidR="009F4766" w:rsidRPr="00DE12A3" w:rsidRDefault="009F4766" w:rsidP="00C917D6">
            <w:pPr>
              <w:pStyle w:val="NormalLeft"/>
            </w:pPr>
            <w:r w:rsidRPr="00DE12A3">
              <w:t>47</w:t>
            </w:r>
          </w:p>
        </w:tc>
      </w:tr>
      <w:tr w:rsidR="00DE12A3" w:rsidRPr="00DE12A3" w14:paraId="302A4EEE" w14:textId="77777777" w:rsidTr="009F4766">
        <w:tc>
          <w:tcPr>
            <w:tcW w:w="1182" w:type="dxa"/>
            <w:tcBorders>
              <w:top w:val="single" w:sz="2" w:space="0" w:color="auto"/>
              <w:left w:val="single" w:sz="2" w:space="0" w:color="auto"/>
              <w:bottom w:val="single" w:sz="2" w:space="0" w:color="auto"/>
              <w:right w:val="single" w:sz="2" w:space="0" w:color="auto"/>
            </w:tcBorders>
          </w:tcPr>
          <w:p w14:paraId="576637C8" w14:textId="77777777" w:rsidR="009F4766" w:rsidRPr="00DE12A3" w:rsidRDefault="009F4766" w:rsidP="00C917D6">
            <w:pPr>
              <w:pStyle w:val="NormalLeft"/>
            </w:pPr>
            <w:r w:rsidRPr="00DE12A3">
              <w:t>510</w:t>
            </w:r>
          </w:p>
        </w:tc>
        <w:tc>
          <w:tcPr>
            <w:tcW w:w="2489" w:type="dxa"/>
            <w:tcBorders>
              <w:top w:val="single" w:sz="2" w:space="0" w:color="auto"/>
              <w:left w:val="single" w:sz="2" w:space="0" w:color="auto"/>
              <w:bottom w:val="single" w:sz="2" w:space="0" w:color="auto"/>
              <w:right w:val="single" w:sz="2" w:space="0" w:color="auto"/>
            </w:tcBorders>
          </w:tcPr>
          <w:p w14:paraId="0776E075" w14:textId="77777777" w:rsidR="009F4766" w:rsidRPr="00DE12A3" w:rsidRDefault="009F4766" w:rsidP="00C917D6">
            <w:pPr>
              <w:pStyle w:val="NormalLeft"/>
            </w:pPr>
            <w:r w:rsidRPr="00DE12A3">
              <w:t>41</w:t>
            </w:r>
          </w:p>
        </w:tc>
        <w:tc>
          <w:tcPr>
            <w:tcW w:w="2551" w:type="dxa"/>
            <w:tcBorders>
              <w:top w:val="single" w:sz="2" w:space="0" w:color="auto"/>
              <w:left w:val="single" w:sz="2" w:space="0" w:color="auto"/>
              <w:bottom w:val="single" w:sz="2" w:space="0" w:color="auto"/>
              <w:right w:val="single" w:sz="2" w:space="0" w:color="auto"/>
            </w:tcBorders>
          </w:tcPr>
          <w:p w14:paraId="768D9216" w14:textId="77777777" w:rsidR="009F4766" w:rsidRPr="00DE12A3" w:rsidRDefault="009F4766" w:rsidP="00C917D6">
            <w:pPr>
              <w:pStyle w:val="NormalLeft"/>
            </w:pPr>
            <w:r w:rsidRPr="00DE12A3">
              <w:t>48</w:t>
            </w:r>
          </w:p>
        </w:tc>
      </w:tr>
      <w:tr w:rsidR="00DE12A3" w:rsidRPr="00DE12A3" w14:paraId="0E79D122" w14:textId="77777777" w:rsidTr="009F4766">
        <w:tc>
          <w:tcPr>
            <w:tcW w:w="1182" w:type="dxa"/>
            <w:tcBorders>
              <w:top w:val="single" w:sz="2" w:space="0" w:color="auto"/>
              <w:left w:val="single" w:sz="2" w:space="0" w:color="auto"/>
              <w:bottom w:val="single" w:sz="2" w:space="0" w:color="auto"/>
              <w:right w:val="single" w:sz="2" w:space="0" w:color="auto"/>
            </w:tcBorders>
          </w:tcPr>
          <w:p w14:paraId="6222BA87" w14:textId="77777777" w:rsidR="009F4766" w:rsidRPr="00DE12A3" w:rsidRDefault="009F4766" w:rsidP="00C917D6">
            <w:pPr>
              <w:pStyle w:val="NormalLeft"/>
            </w:pPr>
            <w:r w:rsidRPr="00DE12A3">
              <w:t>511</w:t>
            </w:r>
          </w:p>
        </w:tc>
        <w:tc>
          <w:tcPr>
            <w:tcW w:w="2489" w:type="dxa"/>
            <w:tcBorders>
              <w:top w:val="single" w:sz="2" w:space="0" w:color="auto"/>
              <w:left w:val="single" w:sz="2" w:space="0" w:color="auto"/>
              <w:bottom w:val="single" w:sz="2" w:space="0" w:color="auto"/>
              <w:right w:val="single" w:sz="2" w:space="0" w:color="auto"/>
            </w:tcBorders>
          </w:tcPr>
          <w:p w14:paraId="695AC47A" w14:textId="77777777" w:rsidR="009F4766" w:rsidRPr="00DE12A3" w:rsidRDefault="009F4766" w:rsidP="00C917D6">
            <w:pPr>
              <w:pStyle w:val="NormalLeft"/>
            </w:pPr>
            <w:r w:rsidRPr="00DE12A3">
              <w:t>26</w:t>
            </w:r>
          </w:p>
        </w:tc>
        <w:tc>
          <w:tcPr>
            <w:tcW w:w="2551" w:type="dxa"/>
            <w:tcBorders>
              <w:top w:val="single" w:sz="2" w:space="0" w:color="auto"/>
              <w:left w:val="single" w:sz="2" w:space="0" w:color="auto"/>
              <w:bottom w:val="single" w:sz="2" w:space="0" w:color="auto"/>
              <w:right w:val="single" w:sz="2" w:space="0" w:color="auto"/>
            </w:tcBorders>
          </w:tcPr>
          <w:p w14:paraId="5A306AB0" w14:textId="77777777" w:rsidR="009F4766" w:rsidRPr="00DE12A3" w:rsidRDefault="009F4766" w:rsidP="00C917D6">
            <w:pPr>
              <w:pStyle w:val="NormalLeft"/>
            </w:pPr>
            <w:r w:rsidRPr="00DE12A3">
              <w:t>58</w:t>
            </w:r>
          </w:p>
        </w:tc>
      </w:tr>
      <w:tr w:rsidR="00DE12A3" w:rsidRPr="00DE12A3" w14:paraId="51B93111" w14:textId="77777777" w:rsidTr="009F4766">
        <w:tc>
          <w:tcPr>
            <w:tcW w:w="1182" w:type="dxa"/>
            <w:tcBorders>
              <w:top w:val="single" w:sz="2" w:space="0" w:color="auto"/>
              <w:left w:val="single" w:sz="2" w:space="0" w:color="auto"/>
              <w:bottom w:val="single" w:sz="2" w:space="0" w:color="auto"/>
              <w:right w:val="single" w:sz="2" w:space="0" w:color="auto"/>
            </w:tcBorders>
          </w:tcPr>
          <w:p w14:paraId="7258CE1B" w14:textId="77777777" w:rsidR="009F4766" w:rsidRPr="00DE12A3" w:rsidRDefault="009F4766" w:rsidP="00C917D6">
            <w:pPr>
              <w:pStyle w:val="NormalLeft"/>
            </w:pPr>
            <w:r w:rsidRPr="00DE12A3">
              <w:t>512</w:t>
            </w:r>
          </w:p>
        </w:tc>
        <w:tc>
          <w:tcPr>
            <w:tcW w:w="2489" w:type="dxa"/>
            <w:tcBorders>
              <w:top w:val="single" w:sz="2" w:space="0" w:color="auto"/>
              <w:left w:val="single" w:sz="2" w:space="0" w:color="auto"/>
              <w:bottom w:val="single" w:sz="2" w:space="0" w:color="auto"/>
              <w:right w:val="single" w:sz="2" w:space="0" w:color="auto"/>
            </w:tcBorders>
          </w:tcPr>
          <w:p w14:paraId="53E7C9F5" w14:textId="77777777" w:rsidR="009F4766" w:rsidRPr="00DE12A3" w:rsidRDefault="009F4766" w:rsidP="00C917D6">
            <w:pPr>
              <w:pStyle w:val="NormalLeft"/>
            </w:pPr>
            <w:r w:rsidRPr="00DE12A3">
              <w:t>21</w:t>
            </w:r>
          </w:p>
        </w:tc>
        <w:tc>
          <w:tcPr>
            <w:tcW w:w="2551" w:type="dxa"/>
            <w:tcBorders>
              <w:top w:val="single" w:sz="2" w:space="0" w:color="auto"/>
              <w:left w:val="single" w:sz="2" w:space="0" w:color="auto"/>
              <w:bottom w:val="single" w:sz="2" w:space="0" w:color="auto"/>
              <w:right w:val="single" w:sz="2" w:space="0" w:color="auto"/>
            </w:tcBorders>
          </w:tcPr>
          <w:p w14:paraId="7E3BA86C" w14:textId="77777777" w:rsidR="009F4766" w:rsidRPr="00DE12A3" w:rsidRDefault="009F4766" w:rsidP="00C917D6">
            <w:pPr>
              <w:pStyle w:val="NormalLeft"/>
            </w:pPr>
            <w:r w:rsidRPr="00DE12A3">
              <w:t>62</w:t>
            </w:r>
          </w:p>
        </w:tc>
      </w:tr>
      <w:tr w:rsidR="00DE12A3" w:rsidRPr="00DE12A3" w14:paraId="5709BF2D" w14:textId="77777777" w:rsidTr="009F4766">
        <w:tc>
          <w:tcPr>
            <w:tcW w:w="1182" w:type="dxa"/>
            <w:tcBorders>
              <w:top w:val="single" w:sz="2" w:space="0" w:color="auto"/>
              <w:left w:val="single" w:sz="2" w:space="0" w:color="auto"/>
              <w:bottom w:val="single" w:sz="2" w:space="0" w:color="auto"/>
              <w:right w:val="single" w:sz="2" w:space="0" w:color="auto"/>
            </w:tcBorders>
          </w:tcPr>
          <w:p w14:paraId="489C4080" w14:textId="77777777" w:rsidR="009F4766" w:rsidRPr="00DE12A3" w:rsidRDefault="009F4766" w:rsidP="00C917D6">
            <w:pPr>
              <w:pStyle w:val="NormalLeft"/>
            </w:pPr>
            <w:r w:rsidRPr="00DE12A3">
              <w:t>513</w:t>
            </w:r>
          </w:p>
        </w:tc>
        <w:tc>
          <w:tcPr>
            <w:tcW w:w="2489" w:type="dxa"/>
            <w:tcBorders>
              <w:top w:val="single" w:sz="2" w:space="0" w:color="auto"/>
              <w:left w:val="single" w:sz="2" w:space="0" w:color="auto"/>
              <w:bottom w:val="single" w:sz="2" w:space="0" w:color="auto"/>
              <w:right w:val="single" w:sz="2" w:space="0" w:color="auto"/>
            </w:tcBorders>
          </w:tcPr>
          <w:p w14:paraId="2D635AD9" w14:textId="77777777" w:rsidR="009F4766" w:rsidRPr="00DE12A3" w:rsidRDefault="009F4766" w:rsidP="00C917D6">
            <w:pPr>
              <w:pStyle w:val="NormalLeft"/>
            </w:pPr>
            <w:r w:rsidRPr="00DE12A3">
              <w:t>50</w:t>
            </w:r>
          </w:p>
        </w:tc>
        <w:tc>
          <w:tcPr>
            <w:tcW w:w="2551" w:type="dxa"/>
            <w:tcBorders>
              <w:top w:val="single" w:sz="2" w:space="0" w:color="auto"/>
              <w:left w:val="single" w:sz="2" w:space="0" w:color="auto"/>
              <w:bottom w:val="single" w:sz="2" w:space="0" w:color="auto"/>
              <w:right w:val="single" w:sz="2" w:space="0" w:color="auto"/>
            </w:tcBorders>
          </w:tcPr>
          <w:p w14:paraId="57A10355" w14:textId="77777777" w:rsidR="009F4766" w:rsidRPr="00DE12A3" w:rsidRDefault="009F4766" w:rsidP="00C917D6">
            <w:pPr>
              <w:pStyle w:val="NormalLeft"/>
            </w:pPr>
            <w:r w:rsidRPr="00DE12A3">
              <w:t>52</w:t>
            </w:r>
          </w:p>
        </w:tc>
      </w:tr>
      <w:tr w:rsidR="00DE12A3" w:rsidRPr="00DE12A3" w14:paraId="6F842EE4" w14:textId="77777777" w:rsidTr="009F4766">
        <w:tc>
          <w:tcPr>
            <w:tcW w:w="1182" w:type="dxa"/>
            <w:tcBorders>
              <w:top w:val="single" w:sz="2" w:space="0" w:color="auto"/>
              <w:left w:val="single" w:sz="2" w:space="0" w:color="auto"/>
              <w:bottom w:val="single" w:sz="2" w:space="0" w:color="auto"/>
              <w:right w:val="single" w:sz="2" w:space="0" w:color="auto"/>
            </w:tcBorders>
          </w:tcPr>
          <w:p w14:paraId="2BF7FF62" w14:textId="77777777" w:rsidR="009F4766" w:rsidRPr="00DE12A3" w:rsidRDefault="009F4766" w:rsidP="00C917D6">
            <w:pPr>
              <w:pStyle w:val="NormalLeft"/>
            </w:pPr>
            <w:r w:rsidRPr="00DE12A3">
              <w:t>514</w:t>
            </w:r>
          </w:p>
        </w:tc>
        <w:tc>
          <w:tcPr>
            <w:tcW w:w="2489" w:type="dxa"/>
            <w:tcBorders>
              <w:top w:val="single" w:sz="2" w:space="0" w:color="auto"/>
              <w:left w:val="single" w:sz="2" w:space="0" w:color="auto"/>
              <w:bottom w:val="single" w:sz="2" w:space="0" w:color="auto"/>
              <w:right w:val="single" w:sz="2" w:space="0" w:color="auto"/>
            </w:tcBorders>
          </w:tcPr>
          <w:p w14:paraId="640D2ADD" w14:textId="77777777" w:rsidR="009F4766" w:rsidRPr="00DE12A3" w:rsidRDefault="009F4766" w:rsidP="00C917D6">
            <w:pPr>
              <w:pStyle w:val="NormalLeft"/>
            </w:pPr>
            <w:r w:rsidRPr="00DE12A3">
              <w:t>39</w:t>
            </w:r>
          </w:p>
        </w:tc>
        <w:tc>
          <w:tcPr>
            <w:tcW w:w="2551" w:type="dxa"/>
            <w:tcBorders>
              <w:top w:val="single" w:sz="2" w:space="0" w:color="auto"/>
              <w:left w:val="single" w:sz="2" w:space="0" w:color="auto"/>
              <w:bottom w:val="single" w:sz="2" w:space="0" w:color="auto"/>
              <w:right w:val="single" w:sz="2" w:space="0" w:color="auto"/>
            </w:tcBorders>
          </w:tcPr>
          <w:p w14:paraId="68325F70" w14:textId="77777777" w:rsidR="009F4766" w:rsidRPr="00DE12A3" w:rsidRDefault="009F4766" w:rsidP="00C917D6">
            <w:pPr>
              <w:pStyle w:val="NormalLeft"/>
            </w:pPr>
            <w:r w:rsidRPr="00DE12A3">
              <w:t>65</w:t>
            </w:r>
          </w:p>
        </w:tc>
      </w:tr>
      <w:tr w:rsidR="00DE12A3" w:rsidRPr="00DE12A3" w14:paraId="1D7FD614" w14:textId="77777777" w:rsidTr="009F4766">
        <w:tc>
          <w:tcPr>
            <w:tcW w:w="1182" w:type="dxa"/>
            <w:tcBorders>
              <w:top w:val="single" w:sz="2" w:space="0" w:color="auto"/>
              <w:left w:val="single" w:sz="2" w:space="0" w:color="auto"/>
              <w:bottom w:val="single" w:sz="2" w:space="0" w:color="auto"/>
              <w:right w:val="single" w:sz="2" w:space="0" w:color="auto"/>
            </w:tcBorders>
          </w:tcPr>
          <w:p w14:paraId="3D07CD8D" w14:textId="77777777" w:rsidR="009F4766" w:rsidRPr="00DE12A3" w:rsidRDefault="009F4766" w:rsidP="00C917D6">
            <w:pPr>
              <w:pStyle w:val="NormalLeft"/>
            </w:pPr>
            <w:r w:rsidRPr="00DE12A3">
              <w:t>515</w:t>
            </w:r>
          </w:p>
        </w:tc>
        <w:tc>
          <w:tcPr>
            <w:tcW w:w="2489" w:type="dxa"/>
            <w:tcBorders>
              <w:top w:val="single" w:sz="2" w:space="0" w:color="auto"/>
              <w:left w:val="single" w:sz="2" w:space="0" w:color="auto"/>
              <w:bottom w:val="single" w:sz="2" w:space="0" w:color="auto"/>
              <w:right w:val="single" w:sz="2" w:space="0" w:color="auto"/>
            </w:tcBorders>
          </w:tcPr>
          <w:p w14:paraId="6F656346" w14:textId="77777777" w:rsidR="009F4766" w:rsidRPr="00DE12A3" w:rsidRDefault="009F4766" w:rsidP="00C917D6">
            <w:pPr>
              <w:pStyle w:val="NormalLeft"/>
            </w:pPr>
            <w:r w:rsidRPr="00DE12A3">
              <w:t>23</w:t>
            </w:r>
          </w:p>
        </w:tc>
        <w:tc>
          <w:tcPr>
            <w:tcW w:w="2551" w:type="dxa"/>
            <w:tcBorders>
              <w:top w:val="single" w:sz="2" w:space="0" w:color="auto"/>
              <w:left w:val="single" w:sz="2" w:space="0" w:color="auto"/>
              <w:bottom w:val="single" w:sz="2" w:space="0" w:color="auto"/>
              <w:right w:val="single" w:sz="2" w:space="0" w:color="auto"/>
            </w:tcBorders>
          </w:tcPr>
          <w:p w14:paraId="1F9E7875" w14:textId="77777777" w:rsidR="009F4766" w:rsidRPr="00DE12A3" w:rsidRDefault="009F4766" w:rsidP="00C917D6">
            <w:pPr>
              <w:pStyle w:val="NormalLeft"/>
            </w:pPr>
            <w:r w:rsidRPr="00DE12A3">
              <w:t>65</w:t>
            </w:r>
          </w:p>
        </w:tc>
      </w:tr>
      <w:tr w:rsidR="00DE12A3" w:rsidRPr="00DE12A3" w14:paraId="6271E9F2" w14:textId="77777777" w:rsidTr="009F4766">
        <w:tc>
          <w:tcPr>
            <w:tcW w:w="1182" w:type="dxa"/>
            <w:tcBorders>
              <w:top w:val="single" w:sz="2" w:space="0" w:color="auto"/>
              <w:left w:val="single" w:sz="2" w:space="0" w:color="auto"/>
              <w:bottom w:val="single" w:sz="2" w:space="0" w:color="auto"/>
              <w:right w:val="single" w:sz="2" w:space="0" w:color="auto"/>
            </w:tcBorders>
          </w:tcPr>
          <w:p w14:paraId="4C44923C" w14:textId="77777777" w:rsidR="009F4766" w:rsidRPr="00DE12A3" w:rsidRDefault="009F4766" w:rsidP="00C917D6">
            <w:pPr>
              <w:pStyle w:val="NormalLeft"/>
            </w:pPr>
            <w:r w:rsidRPr="00DE12A3">
              <w:t>516</w:t>
            </w:r>
          </w:p>
        </w:tc>
        <w:tc>
          <w:tcPr>
            <w:tcW w:w="2489" w:type="dxa"/>
            <w:tcBorders>
              <w:top w:val="single" w:sz="2" w:space="0" w:color="auto"/>
              <w:left w:val="single" w:sz="2" w:space="0" w:color="auto"/>
              <w:bottom w:val="single" w:sz="2" w:space="0" w:color="auto"/>
              <w:right w:val="single" w:sz="2" w:space="0" w:color="auto"/>
            </w:tcBorders>
          </w:tcPr>
          <w:p w14:paraId="7DAAE0E2" w14:textId="77777777" w:rsidR="009F4766" w:rsidRPr="00DE12A3" w:rsidRDefault="009F4766" w:rsidP="00C917D6">
            <w:pPr>
              <w:pStyle w:val="NormalLeft"/>
            </w:pPr>
            <w:r w:rsidRPr="00DE12A3">
              <w:t>42</w:t>
            </w:r>
          </w:p>
        </w:tc>
        <w:tc>
          <w:tcPr>
            <w:tcW w:w="2551" w:type="dxa"/>
            <w:tcBorders>
              <w:top w:val="single" w:sz="2" w:space="0" w:color="auto"/>
              <w:left w:val="single" w:sz="2" w:space="0" w:color="auto"/>
              <w:bottom w:val="single" w:sz="2" w:space="0" w:color="auto"/>
              <w:right w:val="single" w:sz="2" w:space="0" w:color="auto"/>
            </w:tcBorders>
          </w:tcPr>
          <w:p w14:paraId="1F823D2F" w14:textId="77777777" w:rsidR="009F4766" w:rsidRPr="00DE12A3" w:rsidRDefault="009F4766" w:rsidP="00C917D6">
            <w:pPr>
              <w:pStyle w:val="NormalLeft"/>
            </w:pPr>
            <w:r w:rsidRPr="00DE12A3">
              <w:t>62</w:t>
            </w:r>
          </w:p>
        </w:tc>
      </w:tr>
      <w:tr w:rsidR="00DE12A3" w:rsidRPr="00DE12A3" w14:paraId="17B6FF9F" w14:textId="77777777" w:rsidTr="009F4766">
        <w:tc>
          <w:tcPr>
            <w:tcW w:w="1182" w:type="dxa"/>
            <w:tcBorders>
              <w:top w:val="single" w:sz="2" w:space="0" w:color="auto"/>
              <w:left w:val="single" w:sz="2" w:space="0" w:color="auto"/>
              <w:bottom w:val="single" w:sz="2" w:space="0" w:color="auto"/>
              <w:right w:val="single" w:sz="2" w:space="0" w:color="auto"/>
            </w:tcBorders>
          </w:tcPr>
          <w:p w14:paraId="4728D9C2" w14:textId="77777777" w:rsidR="009F4766" w:rsidRPr="00DE12A3" w:rsidRDefault="009F4766" w:rsidP="00C917D6">
            <w:pPr>
              <w:pStyle w:val="NormalLeft"/>
            </w:pPr>
            <w:r w:rsidRPr="00DE12A3">
              <w:t>517</w:t>
            </w:r>
          </w:p>
        </w:tc>
        <w:tc>
          <w:tcPr>
            <w:tcW w:w="2489" w:type="dxa"/>
            <w:tcBorders>
              <w:top w:val="single" w:sz="2" w:space="0" w:color="auto"/>
              <w:left w:val="single" w:sz="2" w:space="0" w:color="auto"/>
              <w:bottom w:val="single" w:sz="2" w:space="0" w:color="auto"/>
              <w:right w:val="single" w:sz="2" w:space="0" w:color="auto"/>
            </w:tcBorders>
          </w:tcPr>
          <w:p w14:paraId="0536B016" w14:textId="77777777" w:rsidR="009F4766" w:rsidRPr="00DE12A3" w:rsidRDefault="009F4766" w:rsidP="00C917D6">
            <w:pPr>
              <w:pStyle w:val="NormalLeft"/>
            </w:pPr>
            <w:r w:rsidRPr="00DE12A3">
              <w:t>57</w:t>
            </w:r>
          </w:p>
        </w:tc>
        <w:tc>
          <w:tcPr>
            <w:tcW w:w="2551" w:type="dxa"/>
            <w:tcBorders>
              <w:top w:val="single" w:sz="2" w:space="0" w:color="auto"/>
              <w:left w:val="single" w:sz="2" w:space="0" w:color="auto"/>
              <w:bottom w:val="single" w:sz="2" w:space="0" w:color="auto"/>
              <w:right w:val="single" w:sz="2" w:space="0" w:color="auto"/>
            </w:tcBorders>
          </w:tcPr>
          <w:p w14:paraId="1E0DEFD8" w14:textId="77777777" w:rsidR="009F4766" w:rsidRPr="00DE12A3" w:rsidRDefault="009F4766" w:rsidP="00C917D6">
            <w:pPr>
              <w:pStyle w:val="NormalLeft"/>
            </w:pPr>
            <w:r w:rsidRPr="00DE12A3">
              <w:t>80</w:t>
            </w:r>
          </w:p>
        </w:tc>
      </w:tr>
      <w:tr w:rsidR="00DE12A3" w:rsidRPr="00DE12A3" w14:paraId="11AE15A2" w14:textId="77777777" w:rsidTr="009F4766">
        <w:tc>
          <w:tcPr>
            <w:tcW w:w="1182" w:type="dxa"/>
            <w:tcBorders>
              <w:top w:val="single" w:sz="2" w:space="0" w:color="auto"/>
              <w:left w:val="single" w:sz="2" w:space="0" w:color="auto"/>
              <w:bottom w:val="single" w:sz="2" w:space="0" w:color="auto"/>
              <w:right w:val="single" w:sz="2" w:space="0" w:color="auto"/>
            </w:tcBorders>
          </w:tcPr>
          <w:p w14:paraId="62793B8B" w14:textId="77777777" w:rsidR="009F4766" w:rsidRPr="00DE12A3" w:rsidRDefault="009F4766" w:rsidP="00C917D6">
            <w:pPr>
              <w:pStyle w:val="NormalLeft"/>
            </w:pPr>
            <w:r w:rsidRPr="00DE12A3">
              <w:t>518</w:t>
            </w:r>
          </w:p>
        </w:tc>
        <w:tc>
          <w:tcPr>
            <w:tcW w:w="2489" w:type="dxa"/>
            <w:tcBorders>
              <w:top w:val="single" w:sz="2" w:space="0" w:color="auto"/>
              <w:left w:val="single" w:sz="2" w:space="0" w:color="auto"/>
              <w:bottom w:val="single" w:sz="2" w:space="0" w:color="auto"/>
              <w:right w:val="single" w:sz="2" w:space="0" w:color="auto"/>
            </w:tcBorders>
          </w:tcPr>
          <w:p w14:paraId="5FEE39F5" w14:textId="77777777" w:rsidR="009F4766" w:rsidRPr="00DE12A3" w:rsidRDefault="009F4766" w:rsidP="00C917D6">
            <w:pPr>
              <w:pStyle w:val="NormalLeft"/>
            </w:pPr>
            <w:r w:rsidRPr="00DE12A3">
              <w:t>66</w:t>
            </w:r>
          </w:p>
        </w:tc>
        <w:tc>
          <w:tcPr>
            <w:tcW w:w="2551" w:type="dxa"/>
            <w:tcBorders>
              <w:top w:val="single" w:sz="2" w:space="0" w:color="auto"/>
              <w:left w:val="single" w:sz="2" w:space="0" w:color="auto"/>
              <w:bottom w:val="single" w:sz="2" w:space="0" w:color="auto"/>
              <w:right w:val="single" w:sz="2" w:space="0" w:color="auto"/>
            </w:tcBorders>
          </w:tcPr>
          <w:p w14:paraId="51324C83" w14:textId="77777777" w:rsidR="009F4766" w:rsidRPr="00DE12A3" w:rsidRDefault="009F4766" w:rsidP="00C917D6">
            <w:pPr>
              <w:pStyle w:val="NormalLeft"/>
            </w:pPr>
            <w:r w:rsidRPr="00DE12A3">
              <w:t>81</w:t>
            </w:r>
          </w:p>
        </w:tc>
      </w:tr>
      <w:tr w:rsidR="00DE12A3" w:rsidRPr="00DE12A3" w14:paraId="708E80A5" w14:textId="77777777" w:rsidTr="009F4766">
        <w:tc>
          <w:tcPr>
            <w:tcW w:w="1182" w:type="dxa"/>
            <w:tcBorders>
              <w:top w:val="single" w:sz="2" w:space="0" w:color="auto"/>
              <w:left w:val="single" w:sz="2" w:space="0" w:color="auto"/>
              <w:bottom w:val="single" w:sz="2" w:space="0" w:color="auto"/>
              <w:right w:val="single" w:sz="2" w:space="0" w:color="auto"/>
            </w:tcBorders>
          </w:tcPr>
          <w:p w14:paraId="5E80ABBC" w14:textId="77777777" w:rsidR="009F4766" w:rsidRPr="00DE12A3" w:rsidRDefault="009F4766" w:rsidP="00C917D6">
            <w:pPr>
              <w:pStyle w:val="NormalLeft"/>
            </w:pPr>
            <w:r w:rsidRPr="00DE12A3">
              <w:t>519</w:t>
            </w:r>
          </w:p>
        </w:tc>
        <w:tc>
          <w:tcPr>
            <w:tcW w:w="2489" w:type="dxa"/>
            <w:tcBorders>
              <w:top w:val="single" w:sz="2" w:space="0" w:color="auto"/>
              <w:left w:val="single" w:sz="2" w:space="0" w:color="auto"/>
              <w:bottom w:val="single" w:sz="2" w:space="0" w:color="auto"/>
              <w:right w:val="single" w:sz="2" w:space="0" w:color="auto"/>
            </w:tcBorders>
          </w:tcPr>
          <w:p w14:paraId="09493ADE" w14:textId="77777777" w:rsidR="009F4766" w:rsidRPr="00DE12A3" w:rsidRDefault="009F4766" w:rsidP="00C917D6">
            <w:pPr>
              <w:pStyle w:val="NormalLeft"/>
            </w:pPr>
            <w:r w:rsidRPr="00DE12A3">
              <w:t>64</w:t>
            </w:r>
          </w:p>
        </w:tc>
        <w:tc>
          <w:tcPr>
            <w:tcW w:w="2551" w:type="dxa"/>
            <w:tcBorders>
              <w:top w:val="single" w:sz="2" w:space="0" w:color="auto"/>
              <w:left w:val="single" w:sz="2" w:space="0" w:color="auto"/>
              <w:bottom w:val="single" w:sz="2" w:space="0" w:color="auto"/>
              <w:right w:val="single" w:sz="2" w:space="0" w:color="auto"/>
            </w:tcBorders>
          </w:tcPr>
          <w:p w14:paraId="59641BE2" w14:textId="77777777" w:rsidR="009F4766" w:rsidRPr="00DE12A3" w:rsidRDefault="009F4766" w:rsidP="00C917D6">
            <w:pPr>
              <w:pStyle w:val="NormalLeft"/>
            </w:pPr>
            <w:r w:rsidRPr="00DE12A3">
              <w:t>62</w:t>
            </w:r>
          </w:p>
        </w:tc>
      </w:tr>
      <w:tr w:rsidR="00DE12A3" w:rsidRPr="00DE12A3" w14:paraId="7B61993C" w14:textId="77777777" w:rsidTr="009F4766">
        <w:tc>
          <w:tcPr>
            <w:tcW w:w="1182" w:type="dxa"/>
            <w:tcBorders>
              <w:top w:val="single" w:sz="2" w:space="0" w:color="auto"/>
              <w:left w:val="single" w:sz="2" w:space="0" w:color="auto"/>
              <w:bottom w:val="single" w:sz="2" w:space="0" w:color="auto"/>
              <w:right w:val="single" w:sz="2" w:space="0" w:color="auto"/>
            </w:tcBorders>
          </w:tcPr>
          <w:p w14:paraId="25EA2817" w14:textId="77777777" w:rsidR="009F4766" w:rsidRPr="00DE12A3" w:rsidRDefault="009F4766" w:rsidP="00C917D6">
            <w:pPr>
              <w:pStyle w:val="NormalLeft"/>
            </w:pPr>
            <w:r w:rsidRPr="00DE12A3">
              <w:t>520</w:t>
            </w:r>
          </w:p>
        </w:tc>
        <w:tc>
          <w:tcPr>
            <w:tcW w:w="2489" w:type="dxa"/>
            <w:tcBorders>
              <w:top w:val="single" w:sz="2" w:space="0" w:color="auto"/>
              <w:left w:val="single" w:sz="2" w:space="0" w:color="auto"/>
              <w:bottom w:val="single" w:sz="2" w:space="0" w:color="auto"/>
              <w:right w:val="single" w:sz="2" w:space="0" w:color="auto"/>
            </w:tcBorders>
          </w:tcPr>
          <w:p w14:paraId="2310AE6F" w14:textId="77777777" w:rsidR="009F4766" w:rsidRPr="00DE12A3" w:rsidRDefault="009F4766" w:rsidP="00C917D6">
            <w:pPr>
              <w:pStyle w:val="NormalLeft"/>
            </w:pPr>
            <w:r w:rsidRPr="00DE12A3">
              <w:t>45</w:t>
            </w:r>
          </w:p>
        </w:tc>
        <w:tc>
          <w:tcPr>
            <w:tcW w:w="2551" w:type="dxa"/>
            <w:tcBorders>
              <w:top w:val="single" w:sz="2" w:space="0" w:color="auto"/>
              <w:left w:val="single" w:sz="2" w:space="0" w:color="auto"/>
              <w:bottom w:val="single" w:sz="2" w:space="0" w:color="auto"/>
              <w:right w:val="single" w:sz="2" w:space="0" w:color="auto"/>
            </w:tcBorders>
          </w:tcPr>
          <w:p w14:paraId="52009504" w14:textId="77777777" w:rsidR="009F4766" w:rsidRPr="00DE12A3" w:rsidRDefault="009F4766" w:rsidP="00C917D6">
            <w:pPr>
              <w:pStyle w:val="NormalLeft"/>
            </w:pPr>
            <w:r w:rsidRPr="00DE12A3">
              <w:t>42</w:t>
            </w:r>
          </w:p>
        </w:tc>
      </w:tr>
      <w:tr w:rsidR="00DE12A3" w:rsidRPr="00DE12A3" w14:paraId="0A001349" w14:textId="77777777" w:rsidTr="009F4766">
        <w:tc>
          <w:tcPr>
            <w:tcW w:w="1182" w:type="dxa"/>
            <w:tcBorders>
              <w:top w:val="single" w:sz="2" w:space="0" w:color="auto"/>
              <w:left w:val="single" w:sz="2" w:space="0" w:color="auto"/>
              <w:bottom w:val="single" w:sz="2" w:space="0" w:color="auto"/>
              <w:right w:val="single" w:sz="2" w:space="0" w:color="auto"/>
            </w:tcBorders>
          </w:tcPr>
          <w:p w14:paraId="6A408A61" w14:textId="77777777" w:rsidR="009F4766" w:rsidRPr="00DE12A3" w:rsidRDefault="009F4766" w:rsidP="00C917D6">
            <w:pPr>
              <w:pStyle w:val="NormalLeft"/>
            </w:pPr>
            <w:r w:rsidRPr="00DE12A3">
              <w:t>521</w:t>
            </w:r>
          </w:p>
        </w:tc>
        <w:tc>
          <w:tcPr>
            <w:tcW w:w="2489" w:type="dxa"/>
            <w:tcBorders>
              <w:top w:val="single" w:sz="2" w:space="0" w:color="auto"/>
              <w:left w:val="single" w:sz="2" w:space="0" w:color="auto"/>
              <w:bottom w:val="single" w:sz="2" w:space="0" w:color="auto"/>
              <w:right w:val="single" w:sz="2" w:space="0" w:color="auto"/>
            </w:tcBorders>
          </w:tcPr>
          <w:p w14:paraId="4909A78B" w14:textId="77777777" w:rsidR="009F4766" w:rsidRPr="00DE12A3" w:rsidRDefault="009F4766" w:rsidP="00C917D6">
            <w:pPr>
              <w:pStyle w:val="NormalLeft"/>
            </w:pPr>
            <w:r w:rsidRPr="00DE12A3">
              <w:t>33</w:t>
            </w:r>
          </w:p>
        </w:tc>
        <w:tc>
          <w:tcPr>
            <w:tcW w:w="2551" w:type="dxa"/>
            <w:tcBorders>
              <w:top w:val="single" w:sz="2" w:space="0" w:color="auto"/>
              <w:left w:val="single" w:sz="2" w:space="0" w:color="auto"/>
              <w:bottom w:val="single" w:sz="2" w:space="0" w:color="auto"/>
              <w:right w:val="single" w:sz="2" w:space="0" w:color="auto"/>
            </w:tcBorders>
          </w:tcPr>
          <w:p w14:paraId="126D6673" w14:textId="77777777" w:rsidR="009F4766" w:rsidRPr="00DE12A3" w:rsidRDefault="009F4766" w:rsidP="00C917D6">
            <w:pPr>
              <w:pStyle w:val="NormalLeft"/>
            </w:pPr>
            <w:r w:rsidRPr="00DE12A3">
              <w:t>42</w:t>
            </w:r>
          </w:p>
        </w:tc>
      </w:tr>
      <w:tr w:rsidR="00DE12A3" w:rsidRPr="00DE12A3" w14:paraId="468E8E40" w14:textId="77777777" w:rsidTr="009F4766">
        <w:tc>
          <w:tcPr>
            <w:tcW w:w="1182" w:type="dxa"/>
            <w:tcBorders>
              <w:top w:val="single" w:sz="2" w:space="0" w:color="auto"/>
              <w:left w:val="single" w:sz="2" w:space="0" w:color="auto"/>
              <w:bottom w:val="single" w:sz="2" w:space="0" w:color="auto"/>
              <w:right w:val="single" w:sz="2" w:space="0" w:color="auto"/>
            </w:tcBorders>
          </w:tcPr>
          <w:p w14:paraId="3FF09243" w14:textId="77777777" w:rsidR="009F4766" w:rsidRPr="00DE12A3" w:rsidRDefault="009F4766" w:rsidP="00C917D6">
            <w:pPr>
              <w:pStyle w:val="NormalLeft"/>
            </w:pPr>
            <w:r w:rsidRPr="00DE12A3">
              <w:t>522</w:t>
            </w:r>
          </w:p>
        </w:tc>
        <w:tc>
          <w:tcPr>
            <w:tcW w:w="2489" w:type="dxa"/>
            <w:tcBorders>
              <w:top w:val="single" w:sz="2" w:space="0" w:color="auto"/>
              <w:left w:val="single" w:sz="2" w:space="0" w:color="auto"/>
              <w:bottom w:val="single" w:sz="2" w:space="0" w:color="auto"/>
              <w:right w:val="single" w:sz="2" w:space="0" w:color="auto"/>
            </w:tcBorders>
          </w:tcPr>
          <w:p w14:paraId="0B27FDC4" w14:textId="77777777" w:rsidR="009F4766" w:rsidRPr="00DE12A3" w:rsidRDefault="009F4766" w:rsidP="00C917D6">
            <w:pPr>
              <w:pStyle w:val="NormalLeft"/>
            </w:pPr>
            <w:r w:rsidRPr="00DE12A3">
              <w:t>27</w:t>
            </w:r>
          </w:p>
        </w:tc>
        <w:tc>
          <w:tcPr>
            <w:tcW w:w="2551" w:type="dxa"/>
            <w:tcBorders>
              <w:top w:val="single" w:sz="2" w:space="0" w:color="auto"/>
              <w:left w:val="single" w:sz="2" w:space="0" w:color="auto"/>
              <w:bottom w:val="single" w:sz="2" w:space="0" w:color="auto"/>
              <w:right w:val="single" w:sz="2" w:space="0" w:color="auto"/>
            </w:tcBorders>
          </w:tcPr>
          <w:p w14:paraId="183F117C" w14:textId="77777777" w:rsidR="009F4766" w:rsidRPr="00DE12A3" w:rsidRDefault="009F4766" w:rsidP="00C917D6">
            <w:pPr>
              <w:pStyle w:val="NormalLeft"/>
            </w:pPr>
            <w:r w:rsidRPr="00DE12A3">
              <w:t>57</w:t>
            </w:r>
          </w:p>
        </w:tc>
      </w:tr>
      <w:tr w:rsidR="00DE12A3" w:rsidRPr="00DE12A3" w14:paraId="1B00CADE" w14:textId="77777777" w:rsidTr="009F4766">
        <w:tc>
          <w:tcPr>
            <w:tcW w:w="1182" w:type="dxa"/>
            <w:tcBorders>
              <w:top w:val="single" w:sz="2" w:space="0" w:color="auto"/>
              <w:left w:val="single" w:sz="2" w:space="0" w:color="auto"/>
              <w:bottom w:val="single" w:sz="2" w:space="0" w:color="auto"/>
              <w:right w:val="single" w:sz="2" w:space="0" w:color="auto"/>
            </w:tcBorders>
          </w:tcPr>
          <w:p w14:paraId="65F3FCAC" w14:textId="77777777" w:rsidR="009F4766" w:rsidRPr="00DE12A3" w:rsidRDefault="009F4766" w:rsidP="00C917D6">
            <w:pPr>
              <w:pStyle w:val="NormalLeft"/>
            </w:pPr>
            <w:r w:rsidRPr="00DE12A3">
              <w:t>523</w:t>
            </w:r>
          </w:p>
        </w:tc>
        <w:tc>
          <w:tcPr>
            <w:tcW w:w="2489" w:type="dxa"/>
            <w:tcBorders>
              <w:top w:val="single" w:sz="2" w:space="0" w:color="auto"/>
              <w:left w:val="single" w:sz="2" w:space="0" w:color="auto"/>
              <w:bottom w:val="single" w:sz="2" w:space="0" w:color="auto"/>
              <w:right w:val="single" w:sz="2" w:space="0" w:color="auto"/>
            </w:tcBorders>
          </w:tcPr>
          <w:p w14:paraId="5C314101" w14:textId="77777777" w:rsidR="009F4766" w:rsidRPr="00DE12A3" w:rsidRDefault="009F4766" w:rsidP="00C917D6">
            <w:pPr>
              <w:pStyle w:val="NormalLeft"/>
            </w:pPr>
            <w:r w:rsidRPr="00DE12A3">
              <w:t>31</w:t>
            </w:r>
          </w:p>
        </w:tc>
        <w:tc>
          <w:tcPr>
            <w:tcW w:w="2551" w:type="dxa"/>
            <w:tcBorders>
              <w:top w:val="single" w:sz="2" w:space="0" w:color="auto"/>
              <w:left w:val="single" w:sz="2" w:space="0" w:color="auto"/>
              <w:bottom w:val="single" w:sz="2" w:space="0" w:color="auto"/>
              <w:right w:val="single" w:sz="2" w:space="0" w:color="auto"/>
            </w:tcBorders>
          </w:tcPr>
          <w:p w14:paraId="68979A21" w14:textId="77777777" w:rsidR="009F4766" w:rsidRPr="00DE12A3" w:rsidRDefault="009F4766" w:rsidP="00C917D6">
            <w:pPr>
              <w:pStyle w:val="NormalLeft"/>
            </w:pPr>
            <w:r w:rsidRPr="00DE12A3">
              <w:t>59</w:t>
            </w:r>
          </w:p>
        </w:tc>
      </w:tr>
      <w:tr w:rsidR="00DE12A3" w:rsidRPr="00DE12A3" w14:paraId="7E21F6FA" w14:textId="77777777" w:rsidTr="009F4766">
        <w:tc>
          <w:tcPr>
            <w:tcW w:w="1182" w:type="dxa"/>
            <w:tcBorders>
              <w:top w:val="single" w:sz="2" w:space="0" w:color="auto"/>
              <w:left w:val="single" w:sz="2" w:space="0" w:color="auto"/>
              <w:bottom w:val="single" w:sz="2" w:space="0" w:color="auto"/>
              <w:right w:val="single" w:sz="2" w:space="0" w:color="auto"/>
            </w:tcBorders>
          </w:tcPr>
          <w:p w14:paraId="08736930" w14:textId="77777777" w:rsidR="009F4766" w:rsidRPr="00DE12A3" w:rsidRDefault="009F4766" w:rsidP="00C917D6">
            <w:pPr>
              <w:pStyle w:val="NormalLeft"/>
            </w:pPr>
            <w:r w:rsidRPr="00DE12A3">
              <w:t>524</w:t>
            </w:r>
          </w:p>
        </w:tc>
        <w:tc>
          <w:tcPr>
            <w:tcW w:w="2489" w:type="dxa"/>
            <w:tcBorders>
              <w:top w:val="single" w:sz="2" w:space="0" w:color="auto"/>
              <w:left w:val="single" w:sz="2" w:space="0" w:color="auto"/>
              <w:bottom w:val="single" w:sz="2" w:space="0" w:color="auto"/>
              <w:right w:val="single" w:sz="2" w:space="0" w:color="auto"/>
            </w:tcBorders>
          </w:tcPr>
          <w:p w14:paraId="4E97154D" w14:textId="77777777" w:rsidR="009F4766" w:rsidRPr="00DE12A3" w:rsidRDefault="009F4766" w:rsidP="00C917D6">
            <w:pPr>
              <w:pStyle w:val="NormalLeft"/>
            </w:pPr>
            <w:r w:rsidRPr="00DE12A3">
              <w:t>41</w:t>
            </w:r>
          </w:p>
        </w:tc>
        <w:tc>
          <w:tcPr>
            <w:tcW w:w="2551" w:type="dxa"/>
            <w:tcBorders>
              <w:top w:val="single" w:sz="2" w:space="0" w:color="auto"/>
              <w:left w:val="single" w:sz="2" w:space="0" w:color="auto"/>
              <w:bottom w:val="single" w:sz="2" w:space="0" w:color="auto"/>
              <w:right w:val="single" w:sz="2" w:space="0" w:color="auto"/>
            </w:tcBorders>
          </w:tcPr>
          <w:p w14:paraId="15191406" w14:textId="77777777" w:rsidR="009F4766" w:rsidRPr="00DE12A3" w:rsidRDefault="009F4766" w:rsidP="00C917D6">
            <w:pPr>
              <w:pStyle w:val="NormalLeft"/>
            </w:pPr>
            <w:r w:rsidRPr="00DE12A3">
              <w:t>53</w:t>
            </w:r>
          </w:p>
        </w:tc>
      </w:tr>
      <w:tr w:rsidR="00DE12A3" w:rsidRPr="00DE12A3" w14:paraId="43881772" w14:textId="77777777" w:rsidTr="009F4766">
        <w:tc>
          <w:tcPr>
            <w:tcW w:w="1182" w:type="dxa"/>
            <w:tcBorders>
              <w:top w:val="single" w:sz="2" w:space="0" w:color="auto"/>
              <w:left w:val="single" w:sz="2" w:space="0" w:color="auto"/>
              <w:bottom w:val="single" w:sz="2" w:space="0" w:color="auto"/>
              <w:right w:val="single" w:sz="2" w:space="0" w:color="auto"/>
            </w:tcBorders>
          </w:tcPr>
          <w:p w14:paraId="780CDBFD" w14:textId="77777777" w:rsidR="009F4766" w:rsidRPr="00DE12A3" w:rsidRDefault="009F4766" w:rsidP="00C917D6">
            <w:pPr>
              <w:pStyle w:val="NormalLeft"/>
            </w:pPr>
            <w:r w:rsidRPr="00DE12A3">
              <w:t>525</w:t>
            </w:r>
          </w:p>
        </w:tc>
        <w:tc>
          <w:tcPr>
            <w:tcW w:w="2489" w:type="dxa"/>
            <w:tcBorders>
              <w:top w:val="single" w:sz="2" w:space="0" w:color="auto"/>
              <w:left w:val="single" w:sz="2" w:space="0" w:color="auto"/>
              <w:bottom w:val="single" w:sz="2" w:space="0" w:color="auto"/>
              <w:right w:val="single" w:sz="2" w:space="0" w:color="auto"/>
            </w:tcBorders>
          </w:tcPr>
          <w:p w14:paraId="20606CD4" w14:textId="77777777" w:rsidR="009F4766" w:rsidRPr="00DE12A3" w:rsidRDefault="009F4766" w:rsidP="00C917D6">
            <w:pPr>
              <w:pStyle w:val="NormalLeft"/>
            </w:pPr>
            <w:r w:rsidRPr="00DE12A3">
              <w:t>45</w:t>
            </w:r>
          </w:p>
        </w:tc>
        <w:tc>
          <w:tcPr>
            <w:tcW w:w="2551" w:type="dxa"/>
            <w:tcBorders>
              <w:top w:val="single" w:sz="2" w:space="0" w:color="auto"/>
              <w:left w:val="single" w:sz="2" w:space="0" w:color="auto"/>
              <w:bottom w:val="single" w:sz="2" w:space="0" w:color="auto"/>
              <w:right w:val="single" w:sz="2" w:space="0" w:color="auto"/>
            </w:tcBorders>
          </w:tcPr>
          <w:p w14:paraId="2E3BB47E" w14:textId="77777777" w:rsidR="009F4766" w:rsidRPr="00DE12A3" w:rsidRDefault="009F4766" w:rsidP="00C917D6">
            <w:pPr>
              <w:pStyle w:val="NormalLeft"/>
            </w:pPr>
            <w:r w:rsidRPr="00DE12A3">
              <w:t>72</w:t>
            </w:r>
          </w:p>
        </w:tc>
      </w:tr>
      <w:tr w:rsidR="00DE12A3" w:rsidRPr="00DE12A3" w14:paraId="2ED295A8" w14:textId="77777777" w:rsidTr="009F4766">
        <w:tc>
          <w:tcPr>
            <w:tcW w:w="1182" w:type="dxa"/>
            <w:tcBorders>
              <w:top w:val="single" w:sz="2" w:space="0" w:color="auto"/>
              <w:left w:val="single" w:sz="2" w:space="0" w:color="auto"/>
              <w:bottom w:val="single" w:sz="2" w:space="0" w:color="auto"/>
              <w:right w:val="single" w:sz="2" w:space="0" w:color="auto"/>
            </w:tcBorders>
          </w:tcPr>
          <w:p w14:paraId="56F849CD" w14:textId="77777777" w:rsidR="009F4766" w:rsidRPr="00DE12A3" w:rsidRDefault="009F4766" w:rsidP="00C917D6">
            <w:pPr>
              <w:pStyle w:val="NormalLeft"/>
            </w:pPr>
            <w:r w:rsidRPr="00DE12A3">
              <w:t>526</w:t>
            </w:r>
          </w:p>
        </w:tc>
        <w:tc>
          <w:tcPr>
            <w:tcW w:w="2489" w:type="dxa"/>
            <w:tcBorders>
              <w:top w:val="single" w:sz="2" w:space="0" w:color="auto"/>
              <w:left w:val="single" w:sz="2" w:space="0" w:color="auto"/>
              <w:bottom w:val="single" w:sz="2" w:space="0" w:color="auto"/>
              <w:right w:val="single" w:sz="2" w:space="0" w:color="auto"/>
            </w:tcBorders>
          </w:tcPr>
          <w:p w14:paraId="0E343210" w14:textId="77777777" w:rsidR="009F4766" w:rsidRPr="00DE12A3" w:rsidRDefault="009F4766" w:rsidP="00C917D6">
            <w:pPr>
              <w:pStyle w:val="NormalLeft"/>
            </w:pPr>
            <w:r w:rsidRPr="00DE12A3">
              <w:t>48</w:t>
            </w:r>
          </w:p>
        </w:tc>
        <w:tc>
          <w:tcPr>
            <w:tcW w:w="2551" w:type="dxa"/>
            <w:tcBorders>
              <w:top w:val="single" w:sz="2" w:space="0" w:color="auto"/>
              <w:left w:val="single" w:sz="2" w:space="0" w:color="auto"/>
              <w:bottom w:val="single" w:sz="2" w:space="0" w:color="auto"/>
              <w:right w:val="single" w:sz="2" w:space="0" w:color="auto"/>
            </w:tcBorders>
          </w:tcPr>
          <w:p w14:paraId="03715B92" w14:textId="77777777" w:rsidR="009F4766" w:rsidRPr="00DE12A3" w:rsidRDefault="009F4766" w:rsidP="00C917D6">
            <w:pPr>
              <w:pStyle w:val="NormalLeft"/>
            </w:pPr>
            <w:r w:rsidRPr="00DE12A3">
              <w:t>73</w:t>
            </w:r>
          </w:p>
        </w:tc>
      </w:tr>
      <w:tr w:rsidR="00DE12A3" w:rsidRPr="00DE12A3" w14:paraId="625A4646" w14:textId="77777777" w:rsidTr="009F4766">
        <w:tc>
          <w:tcPr>
            <w:tcW w:w="1182" w:type="dxa"/>
            <w:tcBorders>
              <w:top w:val="single" w:sz="2" w:space="0" w:color="auto"/>
              <w:left w:val="single" w:sz="2" w:space="0" w:color="auto"/>
              <w:bottom w:val="single" w:sz="2" w:space="0" w:color="auto"/>
              <w:right w:val="single" w:sz="2" w:space="0" w:color="auto"/>
            </w:tcBorders>
          </w:tcPr>
          <w:p w14:paraId="5FC4088C" w14:textId="77777777" w:rsidR="009F4766" w:rsidRPr="00DE12A3" w:rsidRDefault="009F4766" w:rsidP="00C917D6">
            <w:pPr>
              <w:pStyle w:val="NormalLeft"/>
            </w:pPr>
            <w:r w:rsidRPr="00DE12A3">
              <w:t>527</w:t>
            </w:r>
          </w:p>
        </w:tc>
        <w:tc>
          <w:tcPr>
            <w:tcW w:w="2489" w:type="dxa"/>
            <w:tcBorders>
              <w:top w:val="single" w:sz="2" w:space="0" w:color="auto"/>
              <w:left w:val="single" w:sz="2" w:space="0" w:color="auto"/>
              <w:bottom w:val="single" w:sz="2" w:space="0" w:color="auto"/>
              <w:right w:val="single" w:sz="2" w:space="0" w:color="auto"/>
            </w:tcBorders>
          </w:tcPr>
          <w:p w14:paraId="7E88DDBD" w14:textId="77777777" w:rsidR="009F4766" w:rsidRPr="00DE12A3" w:rsidRDefault="009F4766" w:rsidP="00C917D6">
            <w:pPr>
              <w:pStyle w:val="NormalLeft"/>
            </w:pPr>
            <w:r w:rsidRPr="00DE12A3">
              <w:t>46</w:t>
            </w:r>
          </w:p>
        </w:tc>
        <w:tc>
          <w:tcPr>
            <w:tcW w:w="2551" w:type="dxa"/>
            <w:tcBorders>
              <w:top w:val="single" w:sz="2" w:space="0" w:color="auto"/>
              <w:left w:val="single" w:sz="2" w:space="0" w:color="auto"/>
              <w:bottom w:val="single" w:sz="2" w:space="0" w:color="auto"/>
              <w:right w:val="single" w:sz="2" w:space="0" w:color="auto"/>
            </w:tcBorders>
          </w:tcPr>
          <w:p w14:paraId="63AF97AA" w14:textId="77777777" w:rsidR="009F4766" w:rsidRPr="00DE12A3" w:rsidRDefault="009F4766" w:rsidP="00C917D6">
            <w:pPr>
              <w:pStyle w:val="NormalLeft"/>
            </w:pPr>
            <w:r w:rsidRPr="00DE12A3">
              <w:t>90</w:t>
            </w:r>
          </w:p>
        </w:tc>
      </w:tr>
      <w:tr w:rsidR="00DE12A3" w:rsidRPr="00DE12A3" w14:paraId="5ADDC136" w14:textId="77777777" w:rsidTr="009F4766">
        <w:tc>
          <w:tcPr>
            <w:tcW w:w="1182" w:type="dxa"/>
            <w:tcBorders>
              <w:top w:val="single" w:sz="2" w:space="0" w:color="auto"/>
              <w:left w:val="single" w:sz="2" w:space="0" w:color="auto"/>
              <w:bottom w:val="single" w:sz="2" w:space="0" w:color="auto"/>
              <w:right w:val="single" w:sz="2" w:space="0" w:color="auto"/>
            </w:tcBorders>
          </w:tcPr>
          <w:p w14:paraId="3C46CC63" w14:textId="77777777" w:rsidR="009F4766" w:rsidRPr="00DE12A3" w:rsidRDefault="009F4766" w:rsidP="00C917D6">
            <w:pPr>
              <w:pStyle w:val="NormalLeft"/>
            </w:pPr>
            <w:r w:rsidRPr="00DE12A3">
              <w:t>528</w:t>
            </w:r>
          </w:p>
        </w:tc>
        <w:tc>
          <w:tcPr>
            <w:tcW w:w="2489" w:type="dxa"/>
            <w:tcBorders>
              <w:top w:val="single" w:sz="2" w:space="0" w:color="auto"/>
              <w:left w:val="single" w:sz="2" w:space="0" w:color="auto"/>
              <w:bottom w:val="single" w:sz="2" w:space="0" w:color="auto"/>
              <w:right w:val="single" w:sz="2" w:space="0" w:color="auto"/>
            </w:tcBorders>
          </w:tcPr>
          <w:p w14:paraId="031BCD75" w14:textId="77777777" w:rsidR="009F4766" w:rsidRPr="00DE12A3" w:rsidRDefault="009F4766" w:rsidP="00C917D6">
            <w:pPr>
              <w:pStyle w:val="NormalLeft"/>
            </w:pPr>
            <w:r w:rsidRPr="00DE12A3">
              <w:t>56</w:t>
            </w:r>
          </w:p>
        </w:tc>
        <w:tc>
          <w:tcPr>
            <w:tcW w:w="2551" w:type="dxa"/>
            <w:tcBorders>
              <w:top w:val="single" w:sz="2" w:space="0" w:color="auto"/>
              <w:left w:val="single" w:sz="2" w:space="0" w:color="auto"/>
              <w:bottom w:val="single" w:sz="2" w:space="0" w:color="auto"/>
              <w:right w:val="single" w:sz="2" w:space="0" w:color="auto"/>
            </w:tcBorders>
          </w:tcPr>
          <w:p w14:paraId="5CA5ACA9" w14:textId="77777777" w:rsidR="009F4766" w:rsidRPr="00DE12A3" w:rsidRDefault="009F4766" w:rsidP="00C917D6">
            <w:pPr>
              <w:pStyle w:val="NormalLeft"/>
            </w:pPr>
            <w:r w:rsidRPr="00DE12A3">
              <w:t>76</w:t>
            </w:r>
          </w:p>
        </w:tc>
      </w:tr>
      <w:tr w:rsidR="00DE12A3" w:rsidRPr="00DE12A3" w14:paraId="21740103" w14:textId="77777777" w:rsidTr="009F4766">
        <w:tc>
          <w:tcPr>
            <w:tcW w:w="1182" w:type="dxa"/>
            <w:tcBorders>
              <w:top w:val="single" w:sz="2" w:space="0" w:color="auto"/>
              <w:left w:val="single" w:sz="2" w:space="0" w:color="auto"/>
              <w:bottom w:val="single" w:sz="2" w:space="0" w:color="auto"/>
              <w:right w:val="single" w:sz="2" w:space="0" w:color="auto"/>
            </w:tcBorders>
          </w:tcPr>
          <w:p w14:paraId="084A2217" w14:textId="77777777" w:rsidR="009F4766" w:rsidRPr="00DE12A3" w:rsidRDefault="009F4766" w:rsidP="00C917D6">
            <w:pPr>
              <w:pStyle w:val="NormalLeft"/>
            </w:pPr>
            <w:r w:rsidRPr="00DE12A3">
              <w:t>529</w:t>
            </w:r>
          </w:p>
        </w:tc>
        <w:tc>
          <w:tcPr>
            <w:tcW w:w="2489" w:type="dxa"/>
            <w:tcBorders>
              <w:top w:val="single" w:sz="2" w:space="0" w:color="auto"/>
              <w:left w:val="single" w:sz="2" w:space="0" w:color="auto"/>
              <w:bottom w:val="single" w:sz="2" w:space="0" w:color="auto"/>
              <w:right w:val="single" w:sz="2" w:space="0" w:color="auto"/>
            </w:tcBorders>
          </w:tcPr>
          <w:p w14:paraId="1F0A8E4B" w14:textId="77777777" w:rsidR="009F4766" w:rsidRPr="00DE12A3" w:rsidRDefault="009F4766" w:rsidP="00C917D6">
            <w:pPr>
              <w:pStyle w:val="NormalLeft"/>
            </w:pPr>
            <w:r w:rsidRPr="00DE12A3">
              <w:t>64</w:t>
            </w:r>
          </w:p>
        </w:tc>
        <w:tc>
          <w:tcPr>
            <w:tcW w:w="2551" w:type="dxa"/>
            <w:tcBorders>
              <w:top w:val="single" w:sz="2" w:space="0" w:color="auto"/>
              <w:left w:val="single" w:sz="2" w:space="0" w:color="auto"/>
              <w:bottom w:val="single" w:sz="2" w:space="0" w:color="auto"/>
              <w:right w:val="single" w:sz="2" w:space="0" w:color="auto"/>
            </w:tcBorders>
          </w:tcPr>
          <w:p w14:paraId="7301A717" w14:textId="77777777" w:rsidR="009F4766" w:rsidRPr="00DE12A3" w:rsidRDefault="009F4766" w:rsidP="00C917D6">
            <w:pPr>
              <w:pStyle w:val="NormalLeft"/>
            </w:pPr>
            <w:r w:rsidRPr="00DE12A3">
              <w:t>76</w:t>
            </w:r>
          </w:p>
        </w:tc>
      </w:tr>
      <w:tr w:rsidR="00DE12A3" w:rsidRPr="00DE12A3" w14:paraId="32A2D201" w14:textId="77777777" w:rsidTr="009F4766">
        <w:tc>
          <w:tcPr>
            <w:tcW w:w="1182" w:type="dxa"/>
            <w:tcBorders>
              <w:top w:val="single" w:sz="2" w:space="0" w:color="auto"/>
              <w:left w:val="single" w:sz="2" w:space="0" w:color="auto"/>
              <w:bottom w:val="single" w:sz="2" w:space="0" w:color="auto"/>
              <w:right w:val="single" w:sz="2" w:space="0" w:color="auto"/>
            </w:tcBorders>
          </w:tcPr>
          <w:p w14:paraId="7A579A0A" w14:textId="77777777" w:rsidR="009F4766" w:rsidRPr="00DE12A3" w:rsidRDefault="009F4766" w:rsidP="00C917D6">
            <w:pPr>
              <w:pStyle w:val="NormalLeft"/>
            </w:pPr>
            <w:r w:rsidRPr="00DE12A3">
              <w:t>530</w:t>
            </w:r>
          </w:p>
        </w:tc>
        <w:tc>
          <w:tcPr>
            <w:tcW w:w="2489" w:type="dxa"/>
            <w:tcBorders>
              <w:top w:val="single" w:sz="2" w:space="0" w:color="auto"/>
              <w:left w:val="single" w:sz="2" w:space="0" w:color="auto"/>
              <w:bottom w:val="single" w:sz="2" w:space="0" w:color="auto"/>
              <w:right w:val="single" w:sz="2" w:space="0" w:color="auto"/>
            </w:tcBorders>
          </w:tcPr>
          <w:p w14:paraId="0DBD7C8E" w14:textId="77777777" w:rsidR="009F4766" w:rsidRPr="00DE12A3" w:rsidRDefault="009F4766" w:rsidP="00C917D6">
            <w:pPr>
              <w:pStyle w:val="NormalLeft"/>
            </w:pPr>
            <w:r w:rsidRPr="00DE12A3">
              <w:t>69</w:t>
            </w:r>
          </w:p>
        </w:tc>
        <w:tc>
          <w:tcPr>
            <w:tcW w:w="2551" w:type="dxa"/>
            <w:tcBorders>
              <w:top w:val="single" w:sz="2" w:space="0" w:color="auto"/>
              <w:left w:val="single" w:sz="2" w:space="0" w:color="auto"/>
              <w:bottom w:val="single" w:sz="2" w:space="0" w:color="auto"/>
              <w:right w:val="single" w:sz="2" w:space="0" w:color="auto"/>
            </w:tcBorders>
          </w:tcPr>
          <w:p w14:paraId="395FFE12" w14:textId="77777777" w:rsidR="009F4766" w:rsidRPr="00DE12A3" w:rsidRDefault="009F4766" w:rsidP="00C917D6">
            <w:pPr>
              <w:pStyle w:val="NormalLeft"/>
            </w:pPr>
            <w:r w:rsidRPr="00DE12A3">
              <w:t>64</w:t>
            </w:r>
          </w:p>
        </w:tc>
      </w:tr>
      <w:tr w:rsidR="00DE12A3" w:rsidRPr="00DE12A3" w14:paraId="6D62E20B" w14:textId="77777777" w:rsidTr="009F4766">
        <w:tc>
          <w:tcPr>
            <w:tcW w:w="1182" w:type="dxa"/>
            <w:tcBorders>
              <w:top w:val="single" w:sz="2" w:space="0" w:color="auto"/>
              <w:left w:val="single" w:sz="2" w:space="0" w:color="auto"/>
              <w:bottom w:val="single" w:sz="2" w:space="0" w:color="auto"/>
              <w:right w:val="single" w:sz="2" w:space="0" w:color="auto"/>
            </w:tcBorders>
          </w:tcPr>
          <w:p w14:paraId="2B5F458F" w14:textId="77777777" w:rsidR="009F4766" w:rsidRPr="00DE12A3" w:rsidRDefault="009F4766" w:rsidP="00C917D6">
            <w:pPr>
              <w:pStyle w:val="NormalLeft"/>
            </w:pPr>
            <w:r w:rsidRPr="00DE12A3">
              <w:lastRenderedPageBreak/>
              <w:t>531</w:t>
            </w:r>
          </w:p>
        </w:tc>
        <w:tc>
          <w:tcPr>
            <w:tcW w:w="2489" w:type="dxa"/>
            <w:tcBorders>
              <w:top w:val="single" w:sz="2" w:space="0" w:color="auto"/>
              <w:left w:val="single" w:sz="2" w:space="0" w:color="auto"/>
              <w:bottom w:val="single" w:sz="2" w:space="0" w:color="auto"/>
              <w:right w:val="single" w:sz="2" w:space="0" w:color="auto"/>
            </w:tcBorders>
          </w:tcPr>
          <w:p w14:paraId="00FC4696" w14:textId="77777777" w:rsidR="009F4766" w:rsidRPr="00DE12A3" w:rsidRDefault="009F4766" w:rsidP="00C917D6">
            <w:pPr>
              <w:pStyle w:val="NormalLeft"/>
            </w:pPr>
            <w:r w:rsidRPr="00DE12A3">
              <w:t>72</w:t>
            </w:r>
          </w:p>
        </w:tc>
        <w:tc>
          <w:tcPr>
            <w:tcW w:w="2551" w:type="dxa"/>
            <w:tcBorders>
              <w:top w:val="single" w:sz="2" w:space="0" w:color="auto"/>
              <w:left w:val="single" w:sz="2" w:space="0" w:color="auto"/>
              <w:bottom w:val="single" w:sz="2" w:space="0" w:color="auto"/>
              <w:right w:val="single" w:sz="2" w:space="0" w:color="auto"/>
            </w:tcBorders>
          </w:tcPr>
          <w:p w14:paraId="692C8E7B" w14:textId="77777777" w:rsidR="009F4766" w:rsidRPr="00DE12A3" w:rsidRDefault="009F4766" w:rsidP="00C917D6">
            <w:pPr>
              <w:pStyle w:val="NormalLeft"/>
            </w:pPr>
            <w:r w:rsidRPr="00DE12A3">
              <w:t>59</w:t>
            </w:r>
          </w:p>
        </w:tc>
      </w:tr>
      <w:tr w:rsidR="00DE12A3" w:rsidRPr="00DE12A3" w14:paraId="6604313E" w14:textId="77777777" w:rsidTr="009F4766">
        <w:tc>
          <w:tcPr>
            <w:tcW w:w="1182" w:type="dxa"/>
            <w:tcBorders>
              <w:top w:val="single" w:sz="2" w:space="0" w:color="auto"/>
              <w:left w:val="single" w:sz="2" w:space="0" w:color="auto"/>
              <w:bottom w:val="single" w:sz="2" w:space="0" w:color="auto"/>
              <w:right w:val="single" w:sz="2" w:space="0" w:color="auto"/>
            </w:tcBorders>
          </w:tcPr>
          <w:p w14:paraId="0586B1BE" w14:textId="77777777" w:rsidR="009F4766" w:rsidRPr="00DE12A3" w:rsidRDefault="009F4766" w:rsidP="00C917D6">
            <w:pPr>
              <w:pStyle w:val="NormalLeft"/>
            </w:pPr>
            <w:r w:rsidRPr="00DE12A3">
              <w:t>532</w:t>
            </w:r>
          </w:p>
        </w:tc>
        <w:tc>
          <w:tcPr>
            <w:tcW w:w="2489" w:type="dxa"/>
            <w:tcBorders>
              <w:top w:val="single" w:sz="2" w:space="0" w:color="auto"/>
              <w:left w:val="single" w:sz="2" w:space="0" w:color="auto"/>
              <w:bottom w:val="single" w:sz="2" w:space="0" w:color="auto"/>
              <w:right w:val="single" w:sz="2" w:space="0" w:color="auto"/>
            </w:tcBorders>
          </w:tcPr>
          <w:p w14:paraId="1B5D6F50" w14:textId="77777777" w:rsidR="009F4766" w:rsidRPr="00DE12A3" w:rsidRDefault="009F4766" w:rsidP="00C917D6">
            <w:pPr>
              <w:pStyle w:val="NormalLeft"/>
            </w:pPr>
            <w:r w:rsidRPr="00DE12A3">
              <w:t>73</w:t>
            </w:r>
          </w:p>
        </w:tc>
        <w:tc>
          <w:tcPr>
            <w:tcW w:w="2551" w:type="dxa"/>
            <w:tcBorders>
              <w:top w:val="single" w:sz="2" w:space="0" w:color="auto"/>
              <w:left w:val="single" w:sz="2" w:space="0" w:color="auto"/>
              <w:bottom w:val="single" w:sz="2" w:space="0" w:color="auto"/>
              <w:right w:val="single" w:sz="2" w:space="0" w:color="auto"/>
            </w:tcBorders>
          </w:tcPr>
          <w:p w14:paraId="6A8406C2" w14:textId="77777777" w:rsidR="009F4766" w:rsidRPr="00DE12A3" w:rsidRDefault="009F4766" w:rsidP="00C917D6">
            <w:pPr>
              <w:pStyle w:val="NormalLeft"/>
            </w:pPr>
            <w:r w:rsidRPr="00DE12A3">
              <w:t>58</w:t>
            </w:r>
          </w:p>
        </w:tc>
      </w:tr>
      <w:tr w:rsidR="00DE12A3" w:rsidRPr="00DE12A3" w14:paraId="0725D0E5" w14:textId="77777777" w:rsidTr="009F4766">
        <w:tc>
          <w:tcPr>
            <w:tcW w:w="1182" w:type="dxa"/>
            <w:tcBorders>
              <w:top w:val="single" w:sz="2" w:space="0" w:color="auto"/>
              <w:left w:val="single" w:sz="2" w:space="0" w:color="auto"/>
              <w:bottom w:val="single" w:sz="2" w:space="0" w:color="auto"/>
              <w:right w:val="single" w:sz="2" w:space="0" w:color="auto"/>
            </w:tcBorders>
          </w:tcPr>
          <w:p w14:paraId="49E1FF86" w14:textId="77777777" w:rsidR="009F4766" w:rsidRPr="00DE12A3" w:rsidRDefault="009F4766" w:rsidP="00C917D6">
            <w:pPr>
              <w:pStyle w:val="NormalLeft"/>
            </w:pPr>
            <w:r w:rsidRPr="00DE12A3">
              <w:t>533</w:t>
            </w:r>
          </w:p>
        </w:tc>
        <w:tc>
          <w:tcPr>
            <w:tcW w:w="2489" w:type="dxa"/>
            <w:tcBorders>
              <w:top w:val="single" w:sz="2" w:space="0" w:color="auto"/>
              <w:left w:val="single" w:sz="2" w:space="0" w:color="auto"/>
              <w:bottom w:val="single" w:sz="2" w:space="0" w:color="auto"/>
              <w:right w:val="single" w:sz="2" w:space="0" w:color="auto"/>
            </w:tcBorders>
          </w:tcPr>
          <w:p w14:paraId="7E149603" w14:textId="77777777" w:rsidR="009F4766" w:rsidRPr="00DE12A3" w:rsidRDefault="009F4766" w:rsidP="00C917D6">
            <w:pPr>
              <w:pStyle w:val="NormalLeft"/>
            </w:pPr>
            <w:r w:rsidRPr="00DE12A3">
              <w:t>71</w:t>
            </w:r>
          </w:p>
        </w:tc>
        <w:tc>
          <w:tcPr>
            <w:tcW w:w="2551" w:type="dxa"/>
            <w:tcBorders>
              <w:top w:val="single" w:sz="2" w:space="0" w:color="auto"/>
              <w:left w:val="single" w:sz="2" w:space="0" w:color="auto"/>
              <w:bottom w:val="single" w:sz="2" w:space="0" w:color="auto"/>
              <w:right w:val="single" w:sz="2" w:space="0" w:color="auto"/>
            </w:tcBorders>
          </w:tcPr>
          <w:p w14:paraId="76CBE53A" w14:textId="77777777" w:rsidR="009F4766" w:rsidRPr="00DE12A3" w:rsidRDefault="009F4766" w:rsidP="00C917D6">
            <w:pPr>
              <w:pStyle w:val="NormalLeft"/>
            </w:pPr>
            <w:r w:rsidRPr="00DE12A3">
              <w:t>56</w:t>
            </w:r>
          </w:p>
        </w:tc>
      </w:tr>
      <w:tr w:rsidR="00DE12A3" w:rsidRPr="00DE12A3" w14:paraId="31955671" w14:textId="77777777" w:rsidTr="009F4766">
        <w:tc>
          <w:tcPr>
            <w:tcW w:w="1182" w:type="dxa"/>
            <w:tcBorders>
              <w:top w:val="single" w:sz="2" w:space="0" w:color="auto"/>
              <w:left w:val="single" w:sz="2" w:space="0" w:color="auto"/>
              <w:bottom w:val="single" w:sz="2" w:space="0" w:color="auto"/>
              <w:right w:val="single" w:sz="2" w:space="0" w:color="auto"/>
            </w:tcBorders>
          </w:tcPr>
          <w:p w14:paraId="50CB872E" w14:textId="77777777" w:rsidR="009F4766" w:rsidRPr="00DE12A3" w:rsidRDefault="009F4766" w:rsidP="00C917D6">
            <w:pPr>
              <w:pStyle w:val="NormalLeft"/>
            </w:pPr>
            <w:r w:rsidRPr="00DE12A3">
              <w:t>534</w:t>
            </w:r>
          </w:p>
        </w:tc>
        <w:tc>
          <w:tcPr>
            <w:tcW w:w="2489" w:type="dxa"/>
            <w:tcBorders>
              <w:top w:val="single" w:sz="2" w:space="0" w:color="auto"/>
              <w:left w:val="single" w:sz="2" w:space="0" w:color="auto"/>
              <w:bottom w:val="single" w:sz="2" w:space="0" w:color="auto"/>
              <w:right w:val="single" w:sz="2" w:space="0" w:color="auto"/>
            </w:tcBorders>
          </w:tcPr>
          <w:p w14:paraId="2B0DCD13" w14:textId="77777777" w:rsidR="009F4766" w:rsidRPr="00DE12A3" w:rsidRDefault="009F4766" w:rsidP="00C917D6">
            <w:pPr>
              <w:pStyle w:val="NormalLeft"/>
            </w:pPr>
            <w:r w:rsidRPr="00DE12A3">
              <w:t>66</w:t>
            </w:r>
          </w:p>
        </w:tc>
        <w:tc>
          <w:tcPr>
            <w:tcW w:w="2551" w:type="dxa"/>
            <w:tcBorders>
              <w:top w:val="single" w:sz="2" w:space="0" w:color="auto"/>
              <w:left w:val="single" w:sz="2" w:space="0" w:color="auto"/>
              <w:bottom w:val="single" w:sz="2" w:space="0" w:color="auto"/>
              <w:right w:val="single" w:sz="2" w:space="0" w:color="auto"/>
            </w:tcBorders>
          </w:tcPr>
          <w:p w14:paraId="4B8111D1" w14:textId="77777777" w:rsidR="009F4766" w:rsidRPr="00DE12A3" w:rsidRDefault="009F4766" w:rsidP="00C917D6">
            <w:pPr>
              <w:pStyle w:val="NormalLeft"/>
            </w:pPr>
            <w:r w:rsidRPr="00DE12A3">
              <w:t>48</w:t>
            </w:r>
          </w:p>
        </w:tc>
      </w:tr>
      <w:tr w:rsidR="00DE12A3" w:rsidRPr="00DE12A3" w14:paraId="3EFE8E46" w14:textId="77777777" w:rsidTr="009F4766">
        <w:tc>
          <w:tcPr>
            <w:tcW w:w="1182" w:type="dxa"/>
            <w:tcBorders>
              <w:top w:val="single" w:sz="2" w:space="0" w:color="auto"/>
              <w:left w:val="single" w:sz="2" w:space="0" w:color="auto"/>
              <w:bottom w:val="single" w:sz="2" w:space="0" w:color="auto"/>
              <w:right w:val="single" w:sz="2" w:space="0" w:color="auto"/>
            </w:tcBorders>
          </w:tcPr>
          <w:p w14:paraId="49220CE2" w14:textId="77777777" w:rsidR="009F4766" w:rsidRPr="00DE12A3" w:rsidRDefault="009F4766" w:rsidP="00C917D6">
            <w:pPr>
              <w:pStyle w:val="NormalLeft"/>
            </w:pPr>
            <w:r w:rsidRPr="00DE12A3">
              <w:t>535</w:t>
            </w:r>
          </w:p>
        </w:tc>
        <w:tc>
          <w:tcPr>
            <w:tcW w:w="2489" w:type="dxa"/>
            <w:tcBorders>
              <w:top w:val="single" w:sz="2" w:space="0" w:color="auto"/>
              <w:left w:val="single" w:sz="2" w:space="0" w:color="auto"/>
              <w:bottom w:val="single" w:sz="2" w:space="0" w:color="auto"/>
              <w:right w:val="single" w:sz="2" w:space="0" w:color="auto"/>
            </w:tcBorders>
          </w:tcPr>
          <w:p w14:paraId="3A552028" w14:textId="77777777" w:rsidR="009F4766" w:rsidRPr="00DE12A3" w:rsidRDefault="009F4766" w:rsidP="00C917D6">
            <w:pPr>
              <w:pStyle w:val="NormalLeft"/>
            </w:pPr>
            <w:r w:rsidRPr="00DE12A3">
              <w:t>61</w:t>
            </w:r>
          </w:p>
        </w:tc>
        <w:tc>
          <w:tcPr>
            <w:tcW w:w="2551" w:type="dxa"/>
            <w:tcBorders>
              <w:top w:val="single" w:sz="2" w:space="0" w:color="auto"/>
              <w:left w:val="single" w:sz="2" w:space="0" w:color="auto"/>
              <w:bottom w:val="single" w:sz="2" w:space="0" w:color="auto"/>
              <w:right w:val="single" w:sz="2" w:space="0" w:color="auto"/>
            </w:tcBorders>
          </w:tcPr>
          <w:p w14:paraId="6EBF6124" w14:textId="77777777" w:rsidR="009F4766" w:rsidRPr="00DE12A3" w:rsidRDefault="009F4766" w:rsidP="00C917D6">
            <w:pPr>
              <w:pStyle w:val="NormalLeft"/>
            </w:pPr>
            <w:r w:rsidRPr="00DE12A3">
              <w:t>50</w:t>
            </w:r>
          </w:p>
        </w:tc>
      </w:tr>
      <w:tr w:rsidR="00DE12A3" w:rsidRPr="00DE12A3" w14:paraId="44C123F5" w14:textId="77777777" w:rsidTr="009F4766">
        <w:tc>
          <w:tcPr>
            <w:tcW w:w="1182" w:type="dxa"/>
            <w:tcBorders>
              <w:top w:val="single" w:sz="2" w:space="0" w:color="auto"/>
              <w:left w:val="single" w:sz="2" w:space="0" w:color="auto"/>
              <w:bottom w:val="single" w:sz="2" w:space="0" w:color="auto"/>
              <w:right w:val="single" w:sz="2" w:space="0" w:color="auto"/>
            </w:tcBorders>
          </w:tcPr>
          <w:p w14:paraId="46A4F85C" w14:textId="77777777" w:rsidR="009F4766" w:rsidRPr="00DE12A3" w:rsidRDefault="009F4766" w:rsidP="00C917D6">
            <w:pPr>
              <w:pStyle w:val="NormalLeft"/>
            </w:pPr>
            <w:r w:rsidRPr="00DE12A3">
              <w:t>536</w:t>
            </w:r>
          </w:p>
        </w:tc>
        <w:tc>
          <w:tcPr>
            <w:tcW w:w="2489" w:type="dxa"/>
            <w:tcBorders>
              <w:top w:val="single" w:sz="2" w:space="0" w:color="auto"/>
              <w:left w:val="single" w:sz="2" w:space="0" w:color="auto"/>
              <w:bottom w:val="single" w:sz="2" w:space="0" w:color="auto"/>
              <w:right w:val="single" w:sz="2" w:space="0" w:color="auto"/>
            </w:tcBorders>
          </w:tcPr>
          <w:p w14:paraId="41D8AE99" w14:textId="77777777" w:rsidR="009F4766" w:rsidRPr="00DE12A3" w:rsidRDefault="009F4766" w:rsidP="00C917D6">
            <w:pPr>
              <w:pStyle w:val="NormalLeft"/>
            </w:pPr>
            <w:r w:rsidRPr="00DE12A3">
              <w:t>55</w:t>
            </w:r>
          </w:p>
        </w:tc>
        <w:tc>
          <w:tcPr>
            <w:tcW w:w="2551" w:type="dxa"/>
            <w:tcBorders>
              <w:top w:val="single" w:sz="2" w:space="0" w:color="auto"/>
              <w:left w:val="single" w:sz="2" w:space="0" w:color="auto"/>
              <w:bottom w:val="single" w:sz="2" w:space="0" w:color="auto"/>
              <w:right w:val="single" w:sz="2" w:space="0" w:color="auto"/>
            </w:tcBorders>
          </w:tcPr>
          <w:p w14:paraId="30AF00DE" w14:textId="77777777" w:rsidR="009F4766" w:rsidRPr="00DE12A3" w:rsidRDefault="009F4766" w:rsidP="00C917D6">
            <w:pPr>
              <w:pStyle w:val="NormalLeft"/>
            </w:pPr>
            <w:r w:rsidRPr="00DE12A3">
              <w:t>56</w:t>
            </w:r>
          </w:p>
        </w:tc>
      </w:tr>
      <w:tr w:rsidR="00DE12A3" w:rsidRPr="00DE12A3" w14:paraId="1F3FE7B0" w14:textId="77777777" w:rsidTr="009F4766">
        <w:tc>
          <w:tcPr>
            <w:tcW w:w="1182" w:type="dxa"/>
            <w:tcBorders>
              <w:top w:val="single" w:sz="2" w:space="0" w:color="auto"/>
              <w:left w:val="single" w:sz="2" w:space="0" w:color="auto"/>
              <w:bottom w:val="single" w:sz="2" w:space="0" w:color="auto"/>
              <w:right w:val="single" w:sz="2" w:space="0" w:color="auto"/>
            </w:tcBorders>
          </w:tcPr>
          <w:p w14:paraId="408D49A4" w14:textId="77777777" w:rsidR="009F4766" w:rsidRPr="00DE12A3" w:rsidRDefault="009F4766" w:rsidP="00C917D6">
            <w:pPr>
              <w:pStyle w:val="NormalLeft"/>
            </w:pPr>
            <w:r w:rsidRPr="00DE12A3">
              <w:t>537</w:t>
            </w:r>
          </w:p>
        </w:tc>
        <w:tc>
          <w:tcPr>
            <w:tcW w:w="2489" w:type="dxa"/>
            <w:tcBorders>
              <w:top w:val="single" w:sz="2" w:space="0" w:color="auto"/>
              <w:left w:val="single" w:sz="2" w:space="0" w:color="auto"/>
              <w:bottom w:val="single" w:sz="2" w:space="0" w:color="auto"/>
              <w:right w:val="single" w:sz="2" w:space="0" w:color="auto"/>
            </w:tcBorders>
          </w:tcPr>
          <w:p w14:paraId="074EF80A" w14:textId="77777777" w:rsidR="009F4766" w:rsidRPr="00DE12A3" w:rsidRDefault="009F4766" w:rsidP="00C917D6">
            <w:pPr>
              <w:pStyle w:val="NormalLeft"/>
            </w:pPr>
            <w:r w:rsidRPr="00DE12A3">
              <w:t>52</w:t>
            </w:r>
          </w:p>
        </w:tc>
        <w:tc>
          <w:tcPr>
            <w:tcW w:w="2551" w:type="dxa"/>
            <w:tcBorders>
              <w:top w:val="single" w:sz="2" w:space="0" w:color="auto"/>
              <w:left w:val="single" w:sz="2" w:space="0" w:color="auto"/>
              <w:bottom w:val="single" w:sz="2" w:space="0" w:color="auto"/>
              <w:right w:val="single" w:sz="2" w:space="0" w:color="auto"/>
            </w:tcBorders>
          </w:tcPr>
          <w:p w14:paraId="7B8E5AD7" w14:textId="77777777" w:rsidR="009F4766" w:rsidRPr="00DE12A3" w:rsidRDefault="009F4766" w:rsidP="00C917D6">
            <w:pPr>
              <w:pStyle w:val="NormalLeft"/>
            </w:pPr>
            <w:r w:rsidRPr="00DE12A3">
              <w:t>52</w:t>
            </w:r>
          </w:p>
        </w:tc>
      </w:tr>
      <w:tr w:rsidR="00DE12A3" w:rsidRPr="00DE12A3" w14:paraId="4C30B005" w14:textId="77777777" w:rsidTr="009F4766">
        <w:tc>
          <w:tcPr>
            <w:tcW w:w="1182" w:type="dxa"/>
            <w:tcBorders>
              <w:top w:val="single" w:sz="2" w:space="0" w:color="auto"/>
              <w:left w:val="single" w:sz="2" w:space="0" w:color="auto"/>
              <w:bottom w:val="single" w:sz="2" w:space="0" w:color="auto"/>
              <w:right w:val="single" w:sz="2" w:space="0" w:color="auto"/>
            </w:tcBorders>
          </w:tcPr>
          <w:p w14:paraId="71A80EE5" w14:textId="77777777" w:rsidR="009F4766" w:rsidRPr="00DE12A3" w:rsidRDefault="009F4766" w:rsidP="00C917D6">
            <w:pPr>
              <w:pStyle w:val="NormalLeft"/>
            </w:pPr>
            <w:r w:rsidRPr="00DE12A3">
              <w:t>538</w:t>
            </w:r>
          </w:p>
        </w:tc>
        <w:tc>
          <w:tcPr>
            <w:tcW w:w="2489" w:type="dxa"/>
            <w:tcBorders>
              <w:top w:val="single" w:sz="2" w:space="0" w:color="auto"/>
              <w:left w:val="single" w:sz="2" w:space="0" w:color="auto"/>
              <w:bottom w:val="single" w:sz="2" w:space="0" w:color="auto"/>
              <w:right w:val="single" w:sz="2" w:space="0" w:color="auto"/>
            </w:tcBorders>
          </w:tcPr>
          <w:p w14:paraId="57505DBA" w14:textId="77777777" w:rsidR="009F4766" w:rsidRPr="00DE12A3" w:rsidRDefault="009F4766" w:rsidP="00C917D6">
            <w:pPr>
              <w:pStyle w:val="NormalLeft"/>
            </w:pPr>
            <w:r w:rsidRPr="00DE12A3">
              <w:t>54</w:t>
            </w:r>
          </w:p>
        </w:tc>
        <w:tc>
          <w:tcPr>
            <w:tcW w:w="2551" w:type="dxa"/>
            <w:tcBorders>
              <w:top w:val="single" w:sz="2" w:space="0" w:color="auto"/>
              <w:left w:val="single" w:sz="2" w:space="0" w:color="auto"/>
              <w:bottom w:val="single" w:sz="2" w:space="0" w:color="auto"/>
              <w:right w:val="single" w:sz="2" w:space="0" w:color="auto"/>
            </w:tcBorders>
          </w:tcPr>
          <w:p w14:paraId="41289032" w14:textId="77777777" w:rsidR="009F4766" w:rsidRPr="00DE12A3" w:rsidRDefault="009F4766" w:rsidP="00C917D6">
            <w:pPr>
              <w:pStyle w:val="NormalLeft"/>
            </w:pPr>
            <w:r w:rsidRPr="00DE12A3">
              <w:t>49</w:t>
            </w:r>
          </w:p>
        </w:tc>
      </w:tr>
      <w:tr w:rsidR="00DE12A3" w:rsidRPr="00DE12A3" w14:paraId="457FF9FE" w14:textId="77777777" w:rsidTr="009F4766">
        <w:tc>
          <w:tcPr>
            <w:tcW w:w="1182" w:type="dxa"/>
            <w:tcBorders>
              <w:top w:val="single" w:sz="2" w:space="0" w:color="auto"/>
              <w:left w:val="single" w:sz="2" w:space="0" w:color="auto"/>
              <w:bottom w:val="single" w:sz="2" w:space="0" w:color="auto"/>
              <w:right w:val="single" w:sz="2" w:space="0" w:color="auto"/>
            </w:tcBorders>
          </w:tcPr>
          <w:p w14:paraId="02DD9234" w14:textId="77777777" w:rsidR="009F4766" w:rsidRPr="00DE12A3" w:rsidRDefault="009F4766" w:rsidP="00C917D6">
            <w:pPr>
              <w:pStyle w:val="NormalLeft"/>
            </w:pPr>
            <w:r w:rsidRPr="00DE12A3">
              <w:t>539</w:t>
            </w:r>
          </w:p>
        </w:tc>
        <w:tc>
          <w:tcPr>
            <w:tcW w:w="2489" w:type="dxa"/>
            <w:tcBorders>
              <w:top w:val="single" w:sz="2" w:space="0" w:color="auto"/>
              <w:left w:val="single" w:sz="2" w:space="0" w:color="auto"/>
              <w:bottom w:val="single" w:sz="2" w:space="0" w:color="auto"/>
              <w:right w:val="single" w:sz="2" w:space="0" w:color="auto"/>
            </w:tcBorders>
          </w:tcPr>
          <w:p w14:paraId="093E74F7" w14:textId="77777777" w:rsidR="009F4766" w:rsidRPr="00DE12A3" w:rsidRDefault="009F4766" w:rsidP="00C917D6">
            <w:pPr>
              <w:pStyle w:val="NormalLeft"/>
            </w:pPr>
            <w:r w:rsidRPr="00DE12A3">
              <w:t>61</w:t>
            </w:r>
          </w:p>
        </w:tc>
        <w:tc>
          <w:tcPr>
            <w:tcW w:w="2551" w:type="dxa"/>
            <w:tcBorders>
              <w:top w:val="single" w:sz="2" w:space="0" w:color="auto"/>
              <w:left w:val="single" w:sz="2" w:space="0" w:color="auto"/>
              <w:bottom w:val="single" w:sz="2" w:space="0" w:color="auto"/>
              <w:right w:val="single" w:sz="2" w:space="0" w:color="auto"/>
            </w:tcBorders>
          </w:tcPr>
          <w:p w14:paraId="3C19D152" w14:textId="77777777" w:rsidR="009F4766" w:rsidRPr="00DE12A3" w:rsidRDefault="009F4766" w:rsidP="00C917D6">
            <w:pPr>
              <w:pStyle w:val="NormalLeft"/>
            </w:pPr>
            <w:r w:rsidRPr="00DE12A3">
              <w:t>50</w:t>
            </w:r>
          </w:p>
        </w:tc>
      </w:tr>
      <w:tr w:rsidR="00DE12A3" w:rsidRPr="00DE12A3" w14:paraId="3D63DEB5" w14:textId="77777777" w:rsidTr="009F4766">
        <w:tc>
          <w:tcPr>
            <w:tcW w:w="1182" w:type="dxa"/>
            <w:tcBorders>
              <w:top w:val="single" w:sz="2" w:space="0" w:color="auto"/>
              <w:left w:val="single" w:sz="2" w:space="0" w:color="auto"/>
              <w:bottom w:val="single" w:sz="2" w:space="0" w:color="auto"/>
              <w:right w:val="single" w:sz="2" w:space="0" w:color="auto"/>
            </w:tcBorders>
          </w:tcPr>
          <w:p w14:paraId="59A64D34" w14:textId="77777777" w:rsidR="009F4766" w:rsidRPr="00DE12A3" w:rsidRDefault="009F4766" w:rsidP="00C917D6">
            <w:pPr>
              <w:pStyle w:val="NormalLeft"/>
            </w:pPr>
            <w:r w:rsidRPr="00DE12A3">
              <w:t>540</w:t>
            </w:r>
          </w:p>
        </w:tc>
        <w:tc>
          <w:tcPr>
            <w:tcW w:w="2489" w:type="dxa"/>
            <w:tcBorders>
              <w:top w:val="single" w:sz="2" w:space="0" w:color="auto"/>
              <w:left w:val="single" w:sz="2" w:space="0" w:color="auto"/>
              <w:bottom w:val="single" w:sz="2" w:space="0" w:color="auto"/>
              <w:right w:val="single" w:sz="2" w:space="0" w:color="auto"/>
            </w:tcBorders>
          </w:tcPr>
          <w:p w14:paraId="5BECAC1D" w14:textId="77777777" w:rsidR="009F4766" w:rsidRPr="00DE12A3" w:rsidRDefault="009F4766" w:rsidP="00C917D6">
            <w:pPr>
              <w:pStyle w:val="NormalLeft"/>
            </w:pPr>
            <w:r w:rsidRPr="00DE12A3">
              <w:t>64</w:t>
            </w:r>
          </w:p>
        </w:tc>
        <w:tc>
          <w:tcPr>
            <w:tcW w:w="2551" w:type="dxa"/>
            <w:tcBorders>
              <w:top w:val="single" w:sz="2" w:space="0" w:color="auto"/>
              <w:left w:val="single" w:sz="2" w:space="0" w:color="auto"/>
              <w:bottom w:val="single" w:sz="2" w:space="0" w:color="auto"/>
              <w:right w:val="single" w:sz="2" w:space="0" w:color="auto"/>
            </w:tcBorders>
          </w:tcPr>
          <w:p w14:paraId="2193C7C7" w14:textId="77777777" w:rsidR="009F4766" w:rsidRPr="00DE12A3" w:rsidRDefault="009F4766" w:rsidP="00C917D6">
            <w:pPr>
              <w:pStyle w:val="NormalLeft"/>
            </w:pPr>
            <w:r w:rsidRPr="00DE12A3">
              <w:t>54</w:t>
            </w:r>
          </w:p>
        </w:tc>
      </w:tr>
      <w:tr w:rsidR="00DE12A3" w:rsidRPr="00DE12A3" w14:paraId="2BCD7D51" w14:textId="77777777" w:rsidTr="009F4766">
        <w:tc>
          <w:tcPr>
            <w:tcW w:w="1182" w:type="dxa"/>
            <w:tcBorders>
              <w:top w:val="single" w:sz="2" w:space="0" w:color="auto"/>
              <w:left w:val="single" w:sz="2" w:space="0" w:color="auto"/>
              <w:bottom w:val="single" w:sz="2" w:space="0" w:color="auto"/>
              <w:right w:val="single" w:sz="2" w:space="0" w:color="auto"/>
            </w:tcBorders>
          </w:tcPr>
          <w:p w14:paraId="3B638F2F" w14:textId="77777777" w:rsidR="009F4766" w:rsidRPr="00DE12A3" w:rsidRDefault="009F4766" w:rsidP="00C917D6">
            <w:pPr>
              <w:pStyle w:val="NormalLeft"/>
            </w:pPr>
            <w:r w:rsidRPr="00DE12A3">
              <w:t>541</w:t>
            </w:r>
          </w:p>
        </w:tc>
        <w:tc>
          <w:tcPr>
            <w:tcW w:w="2489" w:type="dxa"/>
            <w:tcBorders>
              <w:top w:val="single" w:sz="2" w:space="0" w:color="auto"/>
              <w:left w:val="single" w:sz="2" w:space="0" w:color="auto"/>
              <w:bottom w:val="single" w:sz="2" w:space="0" w:color="auto"/>
              <w:right w:val="single" w:sz="2" w:space="0" w:color="auto"/>
            </w:tcBorders>
          </w:tcPr>
          <w:p w14:paraId="7578D836" w14:textId="77777777" w:rsidR="009F4766" w:rsidRPr="00DE12A3" w:rsidRDefault="009F4766" w:rsidP="00C917D6">
            <w:pPr>
              <w:pStyle w:val="NormalLeft"/>
            </w:pPr>
            <w:r w:rsidRPr="00DE12A3">
              <w:t>67</w:t>
            </w:r>
          </w:p>
        </w:tc>
        <w:tc>
          <w:tcPr>
            <w:tcW w:w="2551" w:type="dxa"/>
            <w:tcBorders>
              <w:top w:val="single" w:sz="2" w:space="0" w:color="auto"/>
              <w:left w:val="single" w:sz="2" w:space="0" w:color="auto"/>
              <w:bottom w:val="single" w:sz="2" w:space="0" w:color="auto"/>
              <w:right w:val="single" w:sz="2" w:space="0" w:color="auto"/>
            </w:tcBorders>
          </w:tcPr>
          <w:p w14:paraId="380B7D2A" w14:textId="77777777" w:rsidR="009F4766" w:rsidRPr="00DE12A3" w:rsidRDefault="009F4766" w:rsidP="00C917D6">
            <w:pPr>
              <w:pStyle w:val="NormalLeft"/>
            </w:pPr>
            <w:r w:rsidRPr="00DE12A3">
              <w:t>54</w:t>
            </w:r>
          </w:p>
        </w:tc>
      </w:tr>
      <w:tr w:rsidR="00DE12A3" w:rsidRPr="00DE12A3" w14:paraId="7234ED74" w14:textId="77777777" w:rsidTr="009F4766">
        <w:tc>
          <w:tcPr>
            <w:tcW w:w="1182" w:type="dxa"/>
            <w:tcBorders>
              <w:top w:val="single" w:sz="2" w:space="0" w:color="auto"/>
              <w:left w:val="single" w:sz="2" w:space="0" w:color="auto"/>
              <w:bottom w:val="single" w:sz="2" w:space="0" w:color="auto"/>
              <w:right w:val="single" w:sz="2" w:space="0" w:color="auto"/>
            </w:tcBorders>
          </w:tcPr>
          <w:p w14:paraId="054D43BA" w14:textId="77777777" w:rsidR="009F4766" w:rsidRPr="00DE12A3" w:rsidRDefault="009F4766" w:rsidP="00C917D6">
            <w:pPr>
              <w:pStyle w:val="NormalLeft"/>
            </w:pPr>
            <w:r w:rsidRPr="00DE12A3">
              <w:t>542</w:t>
            </w:r>
          </w:p>
        </w:tc>
        <w:tc>
          <w:tcPr>
            <w:tcW w:w="2489" w:type="dxa"/>
            <w:tcBorders>
              <w:top w:val="single" w:sz="2" w:space="0" w:color="auto"/>
              <w:left w:val="single" w:sz="2" w:space="0" w:color="auto"/>
              <w:bottom w:val="single" w:sz="2" w:space="0" w:color="auto"/>
              <w:right w:val="single" w:sz="2" w:space="0" w:color="auto"/>
            </w:tcBorders>
          </w:tcPr>
          <w:p w14:paraId="002BEC00" w14:textId="77777777" w:rsidR="009F4766" w:rsidRPr="00DE12A3" w:rsidRDefault="009F4766" w:rsidP="00C917D6">
            <w:pPr>
              <w:pStyle w:val="NormalLeft"/>
            </w:pPr>
            <w:r w:rsidRPr="00DE12A3">
              <w:t>68</w:t>
            </w:r>
          </w:p>
        </w:tc>
        <w:tc>
          <w:tcPr>
            <w:tcW w:w="2551" w:type="dxa"/>
            <w:tcBorders>
              <w:top w:val="single" w:sz="2" w:space="0" w:color="auto"/>
              <w:left w:val="single" w:sz="2" w:space="0" w:color="auto"/>
              <w:bottom w:val="single" w:sz="2" w:space="0" w:color="auto"/>
              <w:right w:val="single" w:sz="2" w:space="0" w:color="auto"/>
            </w:tcBorders>
          </w:tcPr>
          <w:p w14:paraId="30095CAC" w14:textId="77777777" w:rsidR="009F4766" w:rsidRPr="00DE12A3" w:rsidRDefault="009F4766" w:rsidP="00C917D6">
            <w:pPr>
              <w:pStyle w:val="NormalLeft"/>
            </w:pPr>
            <w:r w:rsidRPr="00DE12A3">
              <w:t>52</w:t>
            </w:r>
          </w:p>
        </w:tc>
      </w:tr>
      <w:tr w:rsidR="00DE12A3" w:rsidRPr="00DE12A3" w14:paraId="5C6A0204" w14:textId="77777777" w:rsidTr="009F4766">
        <w:tc>
          <w:tcPr>
            <w:tcW w:w="1182" w:type="dxa"/>
            <w:tcBorders>
              <w:top w:val="single" w:sz="2" w:space="0" w:color="auto"/>
              <w:left w:val="single" w:sz="2" w:space="0" w:color="auto"/>
              <w:bottom w:val="single" w:sz="2" w:space="0" w:color="auto"/>
              <w:right w:val="single" w:sz="2" w:space="0" w:color="auto"/>
            </w:tcBorders>
          </w:tcPr>
          <w:p w14:paraId="7386617D" w14:textId="77777777" w:rsidR="009F4766" w:rsidRPr="00DE12A3" w:rsidRDefault="009F4766" w:rsidP="00C917D6">
            <w:pPr>
              <w:pStyle w:val="NormalLeft"/>
            </w:pPr>
            <w:r w:rsidRPr="00DE12A3">
              <w:t>543</w:t>
            </w:r>
          </w:p>
        </w:tc>
        <w:tc>
          <w:tcPr>
            <w:tcW w:w="2489" w:type="dxa"/>
            <w:tcBorders>
              <w:top w:val="single" w:sz="2" w:space="0" w:color="auto"/>
              <w:left w:val="single" w:sz="2" w:space="0" w:color="auto"/>
              <w:bottom w:val="single" w:sz="2" w:space="0" w:color="auto"/>
              <w:right w:val="single" w:sz="2" w:space="0" w:color="auto"/>
            </w:tcBorders>
          </w:tcPr>
          <w:p w14:paraId="0556FD69" w14:textId="77777777" w:rsidR="009F4766" w:rsidRPr="00DE12A3" w:rsidRDefault="009F4766" w:rsidP="00C917D6">
            <w:pPr>
              <w:pStyle w:val="NormalLeft"/>
            </w:pPr>
            <w:r w:rsidRPr="00DE12A3">
              <w:t>60</w:t>
            </w:r>
          </w:p>
        </w:tc>
        <w:tc>
          <w:tcPr>
            <w:tcW w:w="2551" w:type="dxa"/>
            <w:tcBorders>
              <w:top w:val="single" w:sz="2" w:space="0" w:color="auto"/>
              <w:left w:val="single" w:sz="2" w:space="0" w:color="auto"/>
              <w:bottom w:val="single" w:sz="2" w:space="0" w:color="auto"/>
              <w:right w:val="single" w:sz="2" w:space="0" w:color="auto"/>
            </w:tcBorders>
          </w:tcPr>
          <w:p w14:paraId="75446881" w14:textId="77777777" w:rsidR="009F4766" w:rsidRPr="00DE12A3" w:rsidRDefault="009F4766" w:rsidP="00C917D6">
            <w:pPr>
              <w:pStyle w:val="NormalLeft"/>
            </w:pPr>
            <w:r w:rsidRPr="00DE12A3">
              <w:t>53</w:t>
            </w:r>
          </w:p>
        </w:tc>
      </w:tr>
      <w:tr w:rsidR="00DE12A3" w:rsidRPr="00DE12A3" w14:paraId="3510CCC7" w14:textId="77777777" w:rsidTr="009F4766">
        <w:tc>
          <w:tcPr>
            <w:tcW w:w="1182" w:type="dxa"/>
            <w:tcBorders>
              <w:top w:val="single" w:sz="2" w:space="0" w:color="auto"/>
              <w:left w:val="single" w:sz="2" w:space="0" w:color="auto"/>
              <w:bottom w:val="single" w:sz="2" w:space="0" w:color="auto"/>
              <w:right w:val="single" w:sz="2" w:space="0" w:color="auto"/>
            </w:tcBorders>
          </w:tcPr>
          <w:p w14:paraId="69DC35AF" w14:textId="77777777" w:rsidR="009F4766" w:rsidRPr="00DE12A3" w:rsidRDefault="009F4766" w:rsidP="00C917D6">
            <w:pPr>
              <w:pStyle w:val="NormalLeft"/>
            </w:pPr>
            <w:r w:rsidRPr="00DE12A3">
              <w:t>544</w:t>
            </w:r>
          </w:p>
        </w:tc>
        <w:tc>
          <w:tcPr>
            <w:tcW w:w="2489" w:type="dxa"/>
            <w:tcBorders>
              <w:top w:val="single" w:sz="2" w:space="0" w:color="auto"/>
              <w:left w:val="single" w:sz="2" w:space="0" w:color="auto"/>
              <w:bottom w:val="single" w:sz="2" w:space="0" w:color="auto"/>
              <w:right w:val="single" w:sz="2" w:space="0" w:color="auto"/>
            </w:tcBorders>
          </w:tcPr>
          <w:p w14:paraId="4004596F" w14:textId="77777777" w:rsidR="009F4766" w:rsidRPr="00DE12A3" w:rsidRDefault="009F4766" w:rsidP="00C917D6">
            <w:pPr>
              <w:pStyle w:val="NormalLeft"/>
            </w:pPr>
            <w:r w:rsidRPr="00DE12A3">
              <w:t>52</w:t>
            </w:r>
          </w:p>
        </w:tc>
        <w:tc>
          <w:tcPr>
            <w:tcW w:w="2551" w:type="dxa"/>
            <w:tcBorders>
              <w:top w:val="single" w:sz="2" w:space="0" w:color="auto"/>
              <w:left w:val="single" w:sz="2" w:space="0" w:color="auto"/>
              <w:bottom w:val="single" w:sz="2" w:space="0" w:color="auto"/>
              <w:right w:val="single" w:sz="2" w:space="0" w:color="auto"/>
            </w:tcBorders>
          </w:tcPr>
          <w:p w14:paraId="01E7CF85" w14:textId="77777777" w:rsidR="009F4766" w:rsidRPr="00DE12A3" w:rsidRDefault="009F4766" w:rsidP="00C917D6">
            <w:pPr>
              <w:pStyle w:val="NormalLeft"/>
            </w:pPr>
            <w:r w:rsidRPr="00DE12A3">
              <w:t>50</w:t>
            </w:r>
          </w:p>
        </w:tc>
      </w:tr>
      <w:tr w:rsidR="00DE12A3" w:rsidRPr="00DE12A3" w14:paraId="38C6AD61" w14:textId="77777777" w:rsidTr="009F4766">
        <w:tc>
          <w:tcPr>
            <w:tcW w:w="1182" w:type="dxa"/>
            <w:tcBorders>
              <w:top w:val="single" w:sz="2" w:space="0" w:color="auto"/>
              <w:left w:val="single" w:sz="2" w:space="0" w:color="auto"/>
              <w:bottom w:val="single" w:sz="2" w:space="0" w:color="auto"/>
              <w:right w:val="single" w:sz="2" w:space="0" w:color="auto"/>
            </w:tcBorders>
          </w:tcPr>
          <w:p w14:paraId="608CAF42" w14:textId="77777777" w:rsidR="009F4766" w:rsidRPr="00DE12A3" w:rsidRDefault="009F4766" w:rsidP="00C917D6">
            <w:pPr>
              <w:pStyle w:val="NormalLeft"/>
            </w:pPr>
            <w:r w:rsidRPr="00DE12A3">
              <w:t>545</w:t>
            </w:r>
          </w:p>
        </w:tc>
        <w:tc>
          <w:tcPr>
            <w:tcW w:w="2489" w:type="dxa"/>
            <w:tcBorders>
              <w:top w:val="single" w:sz="2" w:space="0" w:color="auto"/>
              <w:left w:val="single" w:sz="2" w:space="0" w:color="auto"/>
              <w:bottom w:val="single" w:sz="2" w:space="0" w:color="auto"/>
              <w:right w:val="single" w:sz="2" w:space="0" w:color="auto"/>
            </w:tcBorders>
          </w:tcPr>
          <w:p w14:paraId="102C53F7" w14:textId="77777777" w:rsidR="009F4766" w:rsidRPr="00DE12A3" w:rsidRDefault="009F4766" w:rsidP="00C917D6">
            <w:pPr>
              <w:pStyle w:val="NormalLeft"/>
            </w:pPr>
            <w:r w:rsidRPr="00DE12A3">
              <w:t>45</w:t>
            </w:r>
          </w:p>
        </w:tc>
        <w:tc>
          <w:tcPr>
            <w:tcW w:w="2551" w:type="dxa"/>
            <w:tcBorders>
              <w:top w:val="single" w:sz="2" w:space="0" w:color="auto"/>
              <w:left w:val="single" w:sz="2" w:space="0" w:color="auto"/>
              <w:bottom w:val="single" w:sz="2" w:space="0" w:color="auto"/>
              <w:right w:val="single" w:sz="2" w:space="0" w:color="auto"/>
            </w:tcBorders>
          </w:tcPr>
          <w:p w14:paraId="0F9DEE2B" w14:textId="77777777" w:rsidR="009F4766" w:rsidRPr="00DE12A3" w:rsidRDefault="009F4766" w:rsidP="00C917D6">
            <w:pPr>
              <w:pStyle w:val="NormalLeft"/>
            </w:pPr>
            <w:r w:rsidRPr="00DE12A3">
              <w:t>49</w:t>
            </w:r>
          </w:p>
        </w:tc>
      </w:tr>
      <w:tr w:rsidR="00DE12A3" w:rsidRPr="00DE12A3" w14:paraId="7BCD4324" w14:textId="77777777" w:rsidTr="009F4766">
        <w:tc>
          <w:tcPr>
            <w:tcW w:w="1182" w:type="dxa"/>
            <w:tcBorders>
              <w:top w:val="single" w:sz="2" w:space="0" w:color="auto"/>
              <w:left w:val="single" w:sz="2" w:space="0" w:color="auto"/>
              <w:bottom w:val="single" w:sz="2" w:space="0" w:color="auto"/>
              <w:right w:val="single" w:sz="2" w:space="0" w:color="auto"/>
            </w:tcBorders>
          </w:tcPr>
          <w:p w14:paraId="38F64033" w14:textId="77777777" w:rsidR="009F4766" w:rsidRPr="00DE12A3" w:rsidRDefault="009F4766" w:rsidP="00C917D6">
            <w:pPr>
              <w:pStyle w:val="NormalLeft"/>
            </w:pPr>
            <w:r w:rsidRPr="00DE12A3">
              <w:t>546</w:t>
            </w:r>
          </w:p>
        </w:tc>
        <w:tc>
          <w:tcPr>
            <w:tcW w:w="2489" w:type="dxa"/>
            <w:tcBorders>
              <w:top w:val="single" w:sz="2" w:space="0" w:color="auto"/>
              <w:left w:val="single" w:sz="2" w:space="0" w:color="auto"/>
              <w:bottom w:val="single" w:sz="2" w:space="0" w:color="auto"/>
              <w:right w:val="single" w:sz="2" w:space="0" w:color="auto"/>
            </w:tcBorders>
          </w:tcPr>
          <w:p w14:paraId="5A09B5D3" w14:textId="77777777" w:rsidR="009F4766" w:rsidRPr="00DE12A3" w:rsidRDefault="009F4766" w:rsidP="00C917D6">
            <w:pPr>
              <w:pStyle w:val="NormalLeft"/>
            </w:pPr>
            <w:r w:rsidRPr="00DE12A3">
              <w:t>38</w:t>
            </w:r>
          </w:p>
        </w:tc>
        <w:tc>
          <w:tcPr>
            <w:tcW w:w="2551" w:type="dxa"/>
            <w:tcBorders>
              <w:top w:val="single" w:sz="2" w:space="0" w:color="auto"/>
              <w:left w:val="single" w:sz="2" w:space="0" w:color="auto"/>
              <w:bottom w:val="single" w:sz="2" w:space="0" w:color="auto"/>
              <w:right w:val="single" w:sz="2" w:space="0" w:color="auto"/>
            </w:tcBorders>
          </w:tcPr>
          <w:p w14:paraId="41913C90" w14:textId="77777777" w:rsidR="009F4766" w:rsidRPr="00DE12A3" w:rsidRDefault="009F4766" w:rsidP="00C917D6">
            <w:pPr>
              <w:pStyle w:val="NormalLeft"/>
            </w:pPr>
            <w:r w:rsidRPr="00DE12A3">
              <w:t>45</w:t>
            </w:r>
          </w:p>
        </w:tc>
      </w:tr>
      <w:tr w:rsidR="00DE12A3" w:rsidRPr="00DE12A3" w14:paraId="3D984199" w14:textId="77777777" w:rsidTr="009F4766">
        <w:tc>
          <w:tcPr>
            <w:tcW w:w="1182" w:type="dxa"/>
            <w:tcBorders>
              <w:top w:val="single" w:sz="2" w:space="0" w:color="auto"/>
              <w:left w:val="single" w:sz="2" w:space="0" w:color="auto"/>
              <w:bottom w:val="single" w:sz="2" w:space="0" w:color="auto"/>
              <w:right w:val="single" w:sz="2" w:space="0" w:color="auto"/>
            </w:tcBorders>
          </w:tcPr>
          <w:p w14:paraId="0C95AC53" w14:textId="77777777" w:rsidR="009F4766" w:rsidRPr="00DE12A3" w:rsidRDefault="009F4766" w:rsidP="00C917D6">
            <w:pPr>
              <w:pStyle w:val="NormalLeft"/>
            </w:pPr>
            <w:r w:rsidRPr="00DE12A3">
              <w:t>547</w:t>
            </w:r>
          </w:p>
        </w:tc>
        <w:tc>
          <w:tcPr>
            <w:tcW w:w="2489" w:type="dxa"/>
            <w:tcBorders>
              <w:top w:val="single" w:sz="2" w:space="0" w:color="auto"/>
              <w:left w:val="single" w:sz="2" w:space="0" w:color="auto"/>
              <w:bottom w:val="single" w:sz="2" w:space="0" w:color="auto"/>
              <w:right w:val="single" w:sz="2" w:space="0" w:color="auto"/>
            </w:tcBorders>
          </w:tcPr>
          <w:p w14:paraId="6500A386" w14:textId="77777777" w:rsidR="009F4766" w:rsidRPr="00DE12A3" w:rsidRDefault="009F4766" w:rsidP="00C917D6">
            <w:pPr>
              <w:pStyle w:val="NormalLeft"/>
            </w:pPr>
            <w:r w:rsidRPr="00DE12A3">
              <w:t>32</w:t>
            </w:r>
          </w:p>
        </w:tc>
        <w:tc>
          <w:tcPr>
            <w:tcW w:w="2551" w:type="dxa"/>
            <w:tcBorders>
              <w:top w:val="single" w:sz="2" w:space="0" w:color="auto"/>
              <w:left w:val="single" w:sz="2" w:space="0" w:color="auto"/>
              <w:bottom w:val="single" w:sz="2" w:space="0" w:color="auto"/>
              <w:right w:val="single" w:sz="2" w:space="0" w:color="auto"/>
            </w:tcBorders>
          </w:tcPr>
          <w:p w14:paraId="648E2E6F" w14:textId="77777777" w:rsidR="009F4766" w:rsidRPr="00DE12A3" w:rsidRDefault="009F4766" w:rsidP="00C917D6">
            <w:pPr>
              <w:pStyle w:val="NormalLeft"/>
            </w:pPr>
            <w:r w:rsidRPr="00DE12A3">
              <w:t>45</w:t>
            </w:r>
          </w:p>
        </w:tc>
      </w:tr>
      <w:tr w:rsidR="00DE12A3" w:rsidRPr="00DE12A3" w14:paraId="45717700" w14:textId="77777777" w:rsidTr="009F4766">
        <w:tc>
          <w:tcPr>
            <w:tcW w:w="1182" w:type="dxa"/>
            <w:tcBorders>
              <w:top w:val="single" w:sz="2" w:space="0" w:color="auto"/>
              <w:left w:val="single" w:sz="2" w:space="0" w:color="auto"/>
              <w:bottom w:val="single" w:sz="2" w:space="0" w:color="auto"/>
              <w:right w:val="single" w:sz="2" w:space="0" w:color="auto"/>
            </w:tcBorders>
          </w:tcPr>
          <w:p w14:paraId="15196C4B" w14:textId="77777777" w:rsidR="009F4766" w:rsidRPr="00DE12A3" w:rsidRDefault="009F4766" w:rsidP="00C917D6">
            <w:pPr>
              <w:pStyle w:val="NormalLeft"/>
            </w:pPr>
            <w:r w:rsidRPr="00DE12A3">
              <w:t>548</w:t>
            </w:r>
          </w:p>
        </w:tc>
        <w:tc>
          <w:tcPr>
            <w:tcW w:w="2489" w:type="dxa"/>
            <w:tcBorders>
              <w:top w:val="single" w:sz="2" w:space="0" w:color="auto"/>
              <w:left w:val="single" w:sz="2" w:space="0" w:color="auto"/>
              <w:bottom w:val="single" w:sz="2" w:space="0" w:color="auto"/>
              <w:right w:val="single" w:sz="2" w:space="0" w:color="auto"/>
            </w:tcBorders>
          </w:tcPr>
          <w:p w14:paraId="0B5C2755" w14:textId="77777777" w:rsidR="009F4766" w:rsidRPr="00DE12A3" w:rsidRDefault="009F4766" w:rsidP="00C917D6">
            <w:pPr>
              <w:pStyle w:val="NormalLeft"/>
            </w:pPr>
            <w:r w:rsidRPr="00DE12A3">
              <w:t>26</w:t>
            </w:r>
          </w:p>
        </w:tc>
        <w:tc>
          <w:tcPr>
            <w:tcW w:w="2551" w:type="dxa"/>
            <w:tcBorders>
              <w:top w:val="single" w:sz="2" w:space="0" w:color="auto"/>
              <w:left w:val="single" w:sz="2" w:space="0" w:color="auto"/>
              <w:bottom w:val="single" w:sz="2" w:space="0" w:color="auto"/>
              <w:right w:val="single" w:sz="2" w:space="0" w:color="auto"/>
            </w:tcBorders>
          </w:tcPr>
          <w:p w14:paraId="695D9030" w14:textId="77777777" w:rsidR="009F4766" w:rsidRPr="00DE12A3" w:rsidRDefault="009F4766" w:rsidP="00C917D6">
            <w:pPr>
              <w:pStyle w:val="NormalLeft"/>
            </w:pPr>
            <w:r w:rsidRPr="00DE12A3">
              <w:t>53</w:t>
            </w:r>
          </w:p>
        </w:tc>
      </w:tr>
      <w:tr w:rsidR="00DE12A3" w:rsidRPr="00DE12A3" w14:paraId="3670AB58" w14:textId="77777777" w:rsidTr="009F4766">
        <w:tc>
          <w:tcPr>
            <w:tcW w:w="1182" w:type="dxa"/>
            <w:tcBorders>
              <w:top w:val="single" w:sz="2" w:space="0" w:color="auto"/>
              <w:left w:val="single" w:sz="2" w:space="0" w:color="auto"/>
              <w:bottom w:val="single" w:sz="2" w:space="0" w:color="auto"/>
              <w:right w:val="single" w:sz="2" w:space="0" w:color="auto"/>
            </w:tcBorders>
          </w:tcPr>
          <w:p w14:paraId="2CEF149E" w14:textId="77777777" w:rsidR="009F4766" w:rsidRPr="00DE12A3" w:rsidRDefault="009F4766" w:rsidP="00C917D6">
            <w:pPr>
              <w:pStyle w:val="NormalLeft"/>
            </w:pPr>
            <w:r w:rsidRPr="00DE12A3">
              <w:t>549</w:t>
            </w:r>
          </w:p>
        </w:tc>
        <w:tc>
          <w:tcPr>
            <w:tcW w:w="2489" w:type="dxa"/>
            <w:tcBorders>
              <w:top w:val="single" w:sz="2" w:space="0" w:color="auto"/>
              <w:left w:val="single" w:sz="2" w:space="0" w:color="auto"/>
              <w:bottom w:val="single" w:sz="2" w:space="0" w:color="auto"/>
              <w:right w:val="single" w:sz="2" w:space="0" w:color="auto"/>
            </w:tcBorders>
          </w:tcPr>
          <w:p w14:paraId="6AF6AE2A" w14:textId="77777777" w:rsidR="009F4766" w:rsidRPr="00DE12A3" w:rsidRDefault="009F4766" w:rsidP="00C917D6">
            <w:pPr>
              <w:pStyle w:val="NormalLeft"/>
            </w:pPr>
            <w:r w:rsidRPr="00DE12A3">
              <w:t>23</w:t>
            </w:r>
          </w:p>
        </w:tc>
        <w:tc>
          <w:tcPr>
            <w:tcW w:w="2551" w:type="dxa"/>
            <w:tcBorders>
              <w:top w:val="single" w:sz="2" w:space="0" w:color="auto"/>
              <w:left w:val="single" w:sz="2" w:space="0" w:color="auto"/>
              <w:bottom w:val="single" w:sz="2" w:space="0" w:color="auto"/>
              <w:right w:val="single" w:sz="2" w:space="0" w:color="auto"/>
            </w:tcBorders>
          </w:tcPr>
          <w:p w14:paraId="14846703" w14:textId="77777777" w:rsidR="009F4766" w:rsidRPr="00DE12A3" w:rsidRDefault="009F4766" w:rsidP="00C917D6">
            <w:pPr>
              <w:pStyle w:val="NormalLeft"/>
            </w:pPr>
            <w:r w:rsidRPr="00DE12A3">
              <w:t>56</w:t>
            </w:r>
          </w:p>
        </w:tc>
      </w:tr>
      <w:tr w:rsidR="00DE12A3" w:rsidRPr="00DE12A3" w14:paraId="578DE403" w14:textId="77777777" w:rsidTr="009F4766">
        <w:tc>
          <w:tcPr>
            <w:tcW w:w="1182" w:type="dxa"/>
            <w:tcBorders>
              <w:top w:val="single" w:sz="2" w:space="0" w:color="auto"/>
              <w:left w:val="single" w:sz="2" w:space="0" w:color="auto"/>
              <w:bottom w:val="single" w:sz="2" w:space="0" w:color="auto"/>
              <w:right w:val="single" w:sz="2" w:space="0" w:color="auto"/>
            </w:tcBorders>
          </w:tcPr>
          <w:p w14:paraId="1B6A0CDD" w14:textId="77777777" w:rsidR="009F4766" w:rsidRPr="00DE12A3" w:rsidRDefault="009F4766" w:rsidP="00C917D6">
            <w:pPr>
              <w:pStyle w:val="NormalLeft"/>
            </w:pPr>
            <w:r w:rsidRPr="00DE12A3">
              <w:t>550</w:t>
            </w:r>
          </w:p>
        </w:tc>
        <w:tc>
          <w:tcPr>
            <w:tcW w:w="2489" w:type="dxa"/>
            <w:tcBorders>
              <w:top w:val="single" w:sz="2" w:space="0" w:color="auto"/>
              <w:left w:val="single" w:sz="2" w:space="0" w:color="auto"/>
              <w:bottom w:val="single" w:sz="2" w:space="0" w:color="auto"/>
              <w:right w:val="single" w:sz="2" w:space="0" w:color="auto"/>
            </w:tcBorders>
          </w:tcPr>
          <w:p w14:paraId="4E7C2F1C" w14:textId="77777777" w:rsidR="009F4766" w:rsidRPr="00DE12A3" w:rsidRDefault="009F4766" w:rsidP="00C917D6">
            <w:pPr>
              <w:pStyle w:val="NormalLeft"/>
            </w:pPr>
            <w:r w:rsidRPr="00DE12A3">
              <w:t>30</w:t>
            </w:r>
          </w:p>
        </w:tc>
        <w:tc>
          <w:tcPr>
            <w:tcW w:w="2551" w:type="dxa"/>
            <w:tcBorders>
              <w:top w:val="single" w:sz="2" w:space="0" w:color="auto"/>
              <w:left w:val="single" w:sz="2" w:space="0" w:color="auto"/>
              <w:bottom w:val="single" w:sz="2" w:space="0" w:color="auto"/>
              <w:right w:val="single" w:sz="2" w:space="0" w:color="auto"/>
            </w:tcBorders>
          </w:tcPr>
          <w:p w14:paraId="0D282130" w14:textId="77777777" w:rsidR="009F4766" w:rsidRPr="00DE12A3" w:rsidRDefault="009F4766" w:rsidP="00C917D6">
            <w:pPr>
              <w:pStyle w:val="NormalLeft"/>
            </w:pPr>
            <w:r w:rsidRPr="00DE12A3">
              <w:t>49</w:t>
            </w:r>
          </w:p>
        </w:tc>
      </w:tr>
      <w:tr w:rsidR="00DE12A3" w:rsidRPr="00DE12A3" w14:paraId="0CE952F2" w14:textId="77777777" w:rsidTr="009F4766">
        <w:tc>
          <w:tcPr>
            <w:tcW w:w="1182" w:type="dxa"/>
            <w:tcBorders>
              <w:top w:val="single" w:sz="2" w:space="0" w:color="auto"/>
              <w:left w:val="single" w:sz="2" w:space="0" w:color="auto"/>
              <w:bottom w:val="single" w:sz="2" w:space="0" w:color="auto"/>
              <w:right w:val="single" w:sz="2" w:space="0" w:color="auto"/>
            </w:tcBorders>
          </w:tcPr>
          <w:p w14:paraId="79711C0E" w14:textId="77777777" w:rsidR="009F4766" w:rsidRPr="00DE12A3" w:rsidRDefault="009F4766" w:rsidP="00C917D6">
            <w:pPr>
              <w:pStyle w:val="NormalLeft"/>
            </w:pPr>
            <w:r w:rsidRPr="00DE12A3">
              <w:t>551</w:t>
            </w:r>
          </w:p>
        </w:tc>
        <w:tc>
          <w:tcPr>
            <w:tcW w:w="2489" w:type="dxa"/>
            <w:tcBorders>
              <w:top w:val="single" w:sz="2" w:space="0" w:color="auto"/>
              <w:left w:val="single" w:sz="2" w:space="0" w:color="auto"/>
              <w:bottom w:val="single" w:sz="2" w:space="0" w:color="auto"/>
              <w:right w:val="single" w:sz="2" w:space="0" w:color="auto"/>
            </w:tcBorders>
          </w:tcPr>
          <w:p w14:paraId="034E448B" w14:textId="77777777" w:rsidR="009F4766" w:rsidRPr="00DE12A3" w:rsidRDefault="009F4766" w:rsidP="00C917D6">
            <w:pPr>
              <w:pStyle w:val="NormalLeft"/>
            </w:pPr>
            <w:r w:rsidRPr="00DE12A3">
              <w:t>33</w:t>
            </w:r>
          </w:p>
        </w:tc>
        <w:tc>
          <w:tcPr>
            <w:tcW w:w="2551" w:type="dxa"/>
            <w:tcBorders>
              <w:top w:val="single" w:sz="2" w:space="0" w:color="auto"/>
              <w:left w:val="single" w:sz="2" w:space="0" w:color="auto"/>
              <w:bottom w:val="single" w:sz="2" w:space="0" w:color="auto"/>
              <w:right w:val="single" w:sz="2" w:space="0" w:color="auto"/>
            </w:tcBorders>
          </w:tcPr>
          <w:p w14:paraId="6CA83AEC" w14:textId="77777777" w:rsidR="009F4766" w:rsidRPr="00DE12A3" w:rsidRDefault="009F4766" w:rsidP="00C917D6">
            <w:pPr>
              <w:pStyle w:val="NormalLeft"/>
            </w:pPr>
            <w:r w:rsidRPr="00DE12A3">
              <w:t>55</w:t>
            </w:r>
          </w:p>
        </w:tc>
      </w:tr>
      <w:tr w:rsidR="00DE12A3" w:rsidRPr="00DE12A3" w14:paraId="7FA2EC06" w14:textId="77777777" w:rsidTr="009F4766">
        <w:tc>
          <w:tcPr>
            <w:tcW w:w="1182" w:type="dxa"/>
            <w:tcBorders>
              <w:top w:val="single" w:sz="2" w:space="0" w:color="auto"/>
              <w:left w:val="single" w:sz="2" w:space="0" w:color="auto"/>
              <w:bottom w:val="single" w:sz="2" w:space="0" w:color="auto"/>
              <w:right w:val="single" w:sz="2" w:space="0" w:color="auto"/>
            </w:tcBorders>
          </w:tcPr>
          <w:p w14:paraId="6E1FC4FC" w14:textId="77777777" w:rsidR="009F4766" w:rsidRPr="00DE12A3" w:rsidRDefault="009F4766" w:rsidP="00C917D6">
            <w:pPr>
              <w:pStyle w:val="NormalLeft"/>
            </w:pPr>
            <w:r w:rsidRPr="00DE12A3">
              <w:t>552</w:t>
            </w:r>
          </w:p>
        </w:tc>
        <w:tc>
          <w:tcPr>
            <w:tcW w:w="2489" w:type="dxa"/>
            <w:tcBorders>
              <w:top w:val="single" w:sz="2" w:space="0" w:color="auto"/>
              <w:left w:val="single" w:sz="2" w:space="0" w:color="auto"/>
              <w:bottom w:val="single" w:sz="2" w:space="0" w:color="auto"/>
              <w:right w:val="single" w:sz="2" w:space="0" w:color="auto"/>
            </w:tcBorders>
          </w:tcPr>
          <w:p w14:paraId="53D4E4CB" w14:textId="77777777" w:rsidR="009F4766" w:rsidRPr="00DE12A3" w:rsidRDefault="009F4766" w:rsidP="00C917D6">
            <w:pPr>
              <w:pStyle w:val="NormalLeft"/>
            </w:pPr>
            <w:r w:rsidRPr="00DE12A3">
              <w:t>35</w:t>
            </w:r>
          </w:p>
        </w:tc>
        <w:tc>
          <w:tcPr>
            <w:tcW w:w="2551" w:type="dxa"/>
            <w:tcBorders>
              <w:top w:val="single" w:sz="2" w:space="0" w:color="auto"/>
              <w:left w:val="single" w:sz="2" w:space="0" w:color="auto"/>
              <w:bottom w:val="single" w:sz="2" w:space="0" w:color="auto"/>
              <w:right w:val="single" w:sz="2" w:space="0" w:color="auto"/>
            </w:tcBorders>
          </w:tcPr>
          <w:p w14:paraId="295A134B" w14:textId="77777777" w:rsidR="009F4766" w:rsidRPr="00DE12A3" w:rsidRDefault="009F4766" w:rsidP="00C917D6">
            <w:pPr>
              <w:pStyle w:val="NormalLeft"/>
            </w:pPr>
            <w:r w:rsidRPr="00DE12A3">
              <w:t>59</w:t>
            </w:r>
          </w:p>
        </w:tc>
      </w:tr>
      <w:tr w:rsidR="00DE12A3" w:rsidRPr="00DE12A3" w14:paraId="773C429E" w14:textId="77777777" w:rsidTr="009F4766">
        <w:tc>
          <w:tcPr>
            <w:tcW w:w="1182" w:type="dxa"/>
            <w:tcBorders>
              <w:top w:val="single" w:sz="2" w:space="0" w:color="auto"/>
              <w:left w:val="single" w:sz="2" w:space="0" w:color="auto"/>
              <w:bottom w:val="single" w:sz="2" w:space="0" w:color="auto"/>
              <w:right w:val="single" w:sz="2" w:space="0" w:color="auto"/>
            </w:tcBorders>
          </w:tcPr>
          <w:p w14:paraId="2845A2D5" w14:textId="77777777" w:rsidR="009F4766" w:rsidRPr="00DE12A3" w:rsidRDefault="009F4766" w:rsidP="00C917D6">
            <w:pPr>
              <w:pStyle w:val="NormalLeft"/>
            </w:pPr>
            <w:r w:rsidRPr="00DE12A3">
              <w:t>553</w:t>
            </w:r>
          </w:p>
        </w:tc>
        <w:tc>
          <w:tcPr>
            <w:tcW w:w="2489" w:type="dxa"/>
            <w:tcBorders>
              <w:top w:val="single" w:sz="2" w:space="0" w:color="auto"/>
              <w:left w:val="single" w:sz="2" w:space="0" w:color="auto"/>
              <w:bottom w:val="single" w:sz="2" w:space="0" w:color="auto"/>
              <w:right w:val="single" w:sz="2" w:space="0" w:color="auto"/>
            </w:tcBorders>
          </w:tcPr>
          <w:p w14:paraId="12849A93" w14:textId="77777777" w:rsidR="009F4766" w:rsidRPr="00DE12A3" w:rsidRDefault="009F4766" w:rsidP="00C917D6">
            <w:pPr>
              <w:pStyle w:val="NormalLeft"/>
            </w:pPr>
            <w:r w:rsidRPr="00DE12A3">
              <w:t>33</w:t>
            </w:r>
          </w:p>
        </w:tc>
        <w:tc>
          <w:tcPr>
            <w:tcW w:w="2551" w:type="dxa"/>
            <w:tcBorders>
              <w:top w:val="single" w:sz="2" w:space="0" w:color="auto"/>
              <w:left w:val="single" w:sz="2" w:space="0" w:color="auto"/>
              <w:bottom w:val="single" w:sz="2" w:space="0" w:color="auto"/>
              <w:right w:val="single" w:sz="2" w:space="0" w:color="auto"/>
            </w:tcBorders>
          </w:tcPr>
          <w:p w14:paraId="042AC10A" w14:textId="77777777" w:rsidR="009F4766" w:rsidRPr="00DE12A3" w:rsidRDefault="009F4766" w:rsidP="00C917D6">
            <w:pPr>
              <w:pStyle w:val="NormalLeft"/>
            </w:pPr>
            <w:r w:rsidRPr="00DE12A3">
              <w:t>65</w:t>
            </w:r>
          </w:p>
        </w:tc>
      </w:tr>
      <w:tr w:rsidR="00DE12A3" w:rsidRPr="00DE12A3" w14:paraId="21C25EEC" w14:textId="77777777" w:rsidTr="009F4766">
        <w:tc>
          <w:tcPr>
            <w:tcW w:w="1182" w:type="dxa"/>
            <w:tcBorders>
              <w:top w:val="single" w:sz="2" w:space="0" w:color="auto"/>
              <w:left w:val="single" w:sz="2" w:space="0" w:color="auto"/>
              <w:bottom w:val="single" w:sz="2" w:space="0" w:color="auto"/>
              <w:right w:val="single" w:sz="2" w:space="0" w:color="auto"/>
            </w:tcBorders>
          </w:tcPr>
          <w:p w14:paraId="5DD4AB1F" w14:textId="77777777" w:rsidR="009F4766" w:rsidRPr="00DE12A3" w:rsidRDefault="009F4766" w:rsidP="00C917D6">
            <w:pPr>
              <w:pStyle w:val="NormalLeft"/>
            </w:pPr>
            <w:r w:rsidRPr="00DE12A3">
              <w:t>554</w:t>
            </w:r>
          </w:p>
        </w:tc>
        <w:tc>
          <w:tcPr>
            <w:tcW w:w="2489" w:type="dxa"/>
            <w:tcBorders>
              <w:top w:val="single" w:sz="2" w:space="0" w:color="auto"/>
              <w:left w:val="single" w:sz="2" w:space="0" w:color="auto"/>
              <w:bottom w:val="single" w:sz="2" w:space="0" w:color="auto"/>
              <w:right w:val="single" w:sz="2" w:space="0" w:color="auto"/>
            </w:tcBorders>
          </w:tcPr>
          <w:p w14:paraId="42B5AAB0" w14:textId="77777777" w:rsidR="009F4766" w:rsidRPr="00DE12A3" w:rsidRDefault="009F4766" w:rsidP="00C917D6">
            <w:pPr>
              <w:pStyle w:val="NormalLeft"/>
            </w:pPr>
            <w:r w:rsidRPr="00DE12A3">
              <w:t>30</w:t>
            </w:r>
          </w:p>
        </w:tc>
        <w:tc>
          <w:tcPr>
            <w:tcW w:w="2551" w:type="dxa"/>
            <w:tcBorders>
              <w:top w:val="single" w:sz="2" w:space="0" w:color="auto"/>
              <w:left w:val="single" w:sz="2" w:space="0" w:color="auto"/>
              <w:bottom w:val="single" w:sz="2" w:space="0" w:color="auto"/>
              <w:right w:val="single" w:sz="2" w:space="0" w:color="auto"/>
            </w:tcBorders>
          </w:tcPr>
          <w:p w14:paraId="4E620764" w14:textId="77777777" w:rsidR="009F4766" w:rsidRPr="00DE12A3" w:rsidRDefault="009F4766" w:rsidP="00C917D6">
            <w:pPr>
              <w:pStyle w:val="NormalLeft"/>
            </w:pPr>
            <w:r w:rsidRPr="00DE12A3">
              <w:t>67</w:t>
            </w:r>
          </w:p>
        </w:tc>
      </w:tr>
      <w:tr w:rsidR="00DE12A3" w:rsidRPr="00DE12A3" w14:paraId="6124B2BB" w14:textId="77777777" w:rsidTr="009F4766">
        <w:tc>
          <w:tcPr>
            <w:tcW w:w="1182" w:type="dxa"/>
            <w:tcBorders>
              <w:top w:val="single" w:sz="2" w:space="0" w:color="auto"/>
              <w:left w:val="single" w:sz="2" w:space="0" w:color="auto"/>
              <w:bottom w:val="single" w:sz="2" w:space="0" w:color="auto"/>
              <w:right w:val="single" w:sz="2" w:space="0" w:color="auto"/>
            </w:tcBorders>
          </w:tcPr>
          <w:p w14:paraId="38C0442C" w14:textId="77777777" w:rsidR="009F4766" w:rsidRPr="00DE12A3" w:rsidRDefault="009F4766" w:rsidP="00C917D6">
            <w:pPr>
              <w:pStyle w:val="NormalLeft"/>
            </w:pPr>
            <w:r w:rsidRPr="00DE12A3">
              <w:lastRenderedPageBreak/>
              <w:t>555</w:t>
            </w:r>
          </w:p>
        </w:tc>
        <w:tc>
          <w:tcPr>
            <w:tcW w:w="2489" w:type="dxa"/>
            <w:tcBorders>
              <w:top w:val="single" w:sz="2" w:space="0" w:color="auto"/>
              <w:left w:val="single" w:sz="2" w:space="0" w:color="auto"/>
              <w:bottom w:val="single" w:sz="2" w:space="0" w:color="auto"/>
              <w:right w:val="single" w:sz="2" w:space="0" w:color="auto"/>
            </w:tcBorders>
          </w:tcPr>
          <w:p w14:paraId="43042DEA" w14:textId="77777777" w:rsidR="009F4766" w:rsidRPr="00DE12A3" w:rsidRDefault="009F4766" w:rsidP="00C917D6">
            <w:pPr>
              <w:pStyle w:val="NormalLeft"/>
            </w:pPr>
            <w:r w:rsidRPr="00DE12A3">
              <w:t>28</w:t>
            </w:r>
          </w:p>
        </w:tc>
        <w:tc>
          <w:tcPr>
            <w:tcW w:w="2551" w:type="dxa"/>
            <w:tcBorders>
              <w:top w:val="single" w:sz="2" w:space="0" w:color="auto"/>
              <w:left w:val="single" w:sz="2" w:space="0" w:color="auto"/>
              <w:bottom w:val="single" w:sz="2" w:space="0" w:color="auto"/>
              <w:right w:val="single" w:sz="2" w:space="0" w:color="auto"/>
            </w:tcBorders>
          </w:tcPr>
          <w:p w14:paraId="1262535C" w14:textId="77777777" w:rsidR="009F4766" w:rsidRPr="00DE12A3" w:rsidRDefault="009F4766" w:rsidP="00C917D6">
            <w:pPr>
              <w:pStyle w:val="NormalLeft"/>
            </w:pPr>
            <w:r w:rsidRPr="00DE12A3">
              <w:t>59</w:t>
            </w:r>
          </w:p>
        </w:tc>
      </w:tr>
      <w:tr w:rsidR="00DE12A3" w:rsidRPr="00DE12A3" w14:paraId="4D563A88" w14:textId="77777777" w:rsidTr="009F4766">
        <w:tc>
          <w:tcPr>
            <w:tcW w:w="1182" w:type="dxa"/>
            <w:tcBorders>
              <w:top w:val="single" w:sz="2" w:space="0" w:color="auto"/>
              <w:left w:val="single" w:sz="2" w:space="0" w:color="auto"/>
              <w:bottom w:val="single" w:sz="2" w:space="0" w:color="auto"/>
              <w:right w:val="single" w:sz="2" w:space="0" w:color="auto"/>
            </w:tcBorders>
          </w:tcPr>
          <w:p w14:paraId="57E9A69E" w14:textId="77777777" w:rsidR="009F4766" w:rsidRPr="00DE12A3" w:rsidRDefault="009F4766" w:rsidP="00C917D6">
            <w:pPr>
              <w:pStyle w:val="NormalLeft"/>
            </w:pPr>
            <w:r w:rsidRPr="00DE12A3">
              <w:t>556</w:t>
            </w:r>
          </w:p>
        </w:tc>
        <w:tc>
          <w:tcPr>
            <w:tcW w:w="2489" w:type="dxa"/>
            <w:tcBorders>
              <w:top w:val="single" w:sz="2" w:space="0" w:color="auto"/>
              <w:left w:val="single" w:sz="2" w:space="0" w:color="auto"/>
              <w:bottom w:val="single" w:sz="2" w:space="0" w:color="auto"/>
              <w:right w:val="single" w:sz="2" w:space="0" w:color="auto"/>
            </w:tcBorders>
          </w:tcPr>
          <w:p w14:paraId="39A9F0D0" w14:textId="77777777" w:rsidR="009F4766" w:rsidRPr="00DE12A3" w:rsidRDefault="009F4766" w:rsidP="00C917D6">
            <w:pPr>
              <w:pStyle w:val="NormalLeft"/>
            </w:pPr>
            <w:r w:rsidRPr="00DE12A3">
              <w:t>25</w:t>
            </w:r>
          </w:p>
        </w:tc>
        <w:tc>
          <w:tcPr>
            <w:tcW w:w="2551" w:type="dxa"/>
            <w:tcBorders>
              <w:top w:val="single" w:sz="2" w:space="0" w:color="auto"/>
              <w:left w:val="single" w:sz="2" w:space="0" w:color="auto"/>
              <w:bottom w:val="single" w:sz="2" w:space="0" w:color="auto"/>
              <w:right w:val="single" w:sz="2" w:space="0" w:color="auto"/>
            </w:tcBorders>
          </w:tcPr>
          <w:p w14:paraId="4788273D" w14:textId="77777777" w:rsidR="009F4766" w:rsidRPr="00DE12A3" w:rsidRDefault="009F4766" w:rsidP="00C917D6">
            <w:pPr>
              <w:pStyle w:val="NormalLeft"/>
            </w:pPr>
            <w:r w:rsidRPr="00DE12A3">
              <w:t>58</w:t>
            </w:r>
          </w:p>
        </w:tc>
      </w:tr>
      <w:tr w:rsidR="00DE12A3" w:rsidRPr="00DE12A3" w14:paraId="1D2FB1B3" w14:textId="77777777" w:rsidTr="009F4766">
        <w:tc>
          <w:tcPr>
            <w:tcW w:w="1182" w:type="dxa"/>
            <w:tcBorders>
              <w:top w:val="single" w:sz="2" w:space="0" w:color="auto"/>
              <w:left w:val="single" w:sz="2" w:space="0" w:color="auto"/>
              <w:bottom w:val="single" w:sz="2" w:space="0" w:color="auto"/>
              <w:right w:val="single" w:sz="2" w:space="0" w:color="auto"/>
            </w:tcBorders>
          </w:tcPr>
          <w:p w14:paraId="0010586A" w14:textId="77777777" w:rsidR="009F4766" w:rsidRPr="00DE12A3" w:rsidRDefault="009F4766" w:rsidP="00C917D6">
            <w:pPr>
              <w:pStyle w:val="NormalLeft"/>
            </w:pPr>
            <w:r w:rsidRPr="00DE12A3">
              <w:t>557</w:t>
            </w:r>
          </w:p>
        </w:tc>
        <w:tc>
          <w:tcPr>
            <w:tcW w:w="2489" w:type="dxa"/>
            <w:tcBorders>
              <w:top w:val="single" w:sz="2" w:space="0" w:color="auto"/>
              <w:left w:val="single" w:sz="2" w:space="0" w:color="auto"/>
              <w:bottom w:val="single" w:sz="2" w:space="0" w:color="auto"/>
              <w:right w:val="single" w:sz="2" w:space="0" w:color="auto"/>
            </w:tcBorders>
          </w:tcPr>
          <w:p w14:paraId="0E1C884B" w14:textId="77777777" w:rsidR="009F4766" w:rsidRPr="00DE12A3" w:rsidRDefault="009F4766" w:rsidP="00C917D6">
            <w:pPr>
              <w:pStyle w:val="NormalLeft"/>
            </w:pPr>
            <w:r w:rsidRPr="00DE12A3">
              <w:t>23</w:t>
            </w:r>
          </w:p>
        </w:tc>
        <w:tc>
          <w:tcPr>
            <w:tcW w:w="2551" w:type="dxa"/>
            <w:tcBorders>
              <w:top w:val="single" w:sz="2" w:space="0" w:color="auto"/>
              <w:left w:val="single" w:sz="2" w:space="0" w:color="auto"/>
              <w:bottom w:val="single" w:sz="2" w:space="0" w:color="auto"/>
              <w:right w:val="single" w:sz="2" w:space="0" w:color="auto"/>
            </w:tcBorders>
          </w:tcPr>
          <w:p w14:paraId="77A5580C" w14:textId="77777777" w:rsidR="009F4766" w:rsidRPr="00DE12A3" w:rsidRDefault="009F4766" w:rsidP="00C917D6">
            <w:pPr>
              <w:pStyle w:val="NormalLeft"/>
            </w:pPr>
            <w:r w:rsidRPr="00DE12A3">
              <w:t>56</w:t>
            </w:r>
          </w:p>
        </w:tc>
      </w:tr>
      <w:tr w:rsidR="00DE12A3" w:rsidRPr="00DE12A3" w14:paraId="27837979" w14:textId="77777777" w:rsidTr="009F4766">
        <w:tc>
          <w:tcPr>
            <w:tcW w:w="1182" w:type="dxa"/>
            <w:tcBorders>
              <w:top w:val="single" w:sz="2" w:space="0" w:color="auto"/>
              <w:left w:val="single" w:sz="2" w:space="0" w:color="auto"/>
              <w:bottom w:val="single" w:sz="2" w:space="0" w:color="auto"/>
              <w:right w:val="single" w:sz="2" w:space="0" w:color="auto"/>
            </w:tcBorders>
          </w:tcPr>
          <w:p w14:paraId="49C0F2AC" w14:textId="77777777" w:rsidR="009F4766" w:rsidRPr="00DE12A3" w:rsidRDefault="009F4766" w:rsidP="00C917D6">
            <w:pPr>
              <w:pStyle w:val="NormalLeft"/>
            </w:pPr>
            <w:r w:rsidRPr="00DE12A3">
              <w:t>558</w:t>
            </w:r>
          </w:p>
        </w:tc>
        <w:tc>
          <w:tcPr>
            <w:tcW w:w="2489" w:type="dxa"/>
            <w:tcBorders>
              <w:top w:val="single" w:sz="2" w:space="0" w:color="auto"/>
              <w:left w:val="single" w:sz="2" w:space="0" w:color="auto"/>
              <w:bottom w:val="single" w:sz="2" w:space="0" w:color="auto"/>
              <w:right w:val="single" w:sz="2" w:space="0" w:color="auto"/>
            </w:tcBorders>
          </w:tcPr>
          <w:p w14:paraId="0A2A97BD" w14:textId="77777777" w:rsidR="009F4766" w:rsidRPr="00DE12A3" w:rsidRDefault="009F4766" w:rsidP="00C917D6">
            <w:pPr>
              <w:pStyle w:val="NormalLeft"/>
            </w:pPr>
            <w:r w:rsidRPr="00DE12A3">
              <w:t>22</w:t>
            </w:r>
          </w:p>
        </w:tc>
        <w:tc>
          <w:tcPr>
            <w:tcW w:w="2551" w:type="dxa"/>
            <w:tcBorders>
              <w:top w:val="single" w:sz="2" w:space="0" w:color="auto"/>
              <w:left w:val="single" w:sz="2" w:space="0" w:color="auto"/>
              <w:bottom w:val="single" w:sz="2" w:space="0" w:color="auto"/>
              <w:right w:val="single" w:sz="2" w:space="0" w:color="auto"/>
            </w:tcBorders>
          </w:tcPr>
          <w:p w14:paraId="1F0BECAD" w14:textId="77777777" w:rsidR="009F4766" w:rsidRPr="00DE12A3" w:rsidRDefault="009F4766" w:rsidP="00C917D6">
            <w:pPr>
              <w:pStyle w:val="NormalLeft"/>
            </w:pPr>
            <w:r w:rsidRPr="00DE12A3">
              <w:t>57</w:t>
            </w:r>
          </w:p>
        </w:tc>
      </w:tr>
      <w:tr w:rsidR="00DE12A3" w:rsidRPr="00DE12A3" w14:paraId="4B0515BD" w14:textId="77777777" w:rsidTr="009F4766">
        <w:tc>
          <w:tcPr>
            <w:tcW w:w="1182" w:type="dxa"/>
            <w:tcBorders>
              <w:top w:val="single" w:sz="2" w:space="0" w:color="auto"/>
              <w:left w:val="single" w:sz="2" w:space="0" w:color="auto"/>
              <w:bottom w:val="single" w:sz="2" w:space="0" w:color="auto"/>
              <w:right w:val="single" w:sz="2" w:space="0" w:color="auto"/>
            </w:tcBorders>
          </w:tcPr>
          <w:p w14:paraId="79D7DB83" w14:textId="77777777" w:rsidR="009F4766" w:rsidRPr="00DE12A3" w:rsidRDefault="009F4766" w:rsidP="00C917D6">
            <w:pPr>
              <w:pStyle w:val="NormalLeft"/>
            </w:pPr>
            <w:r w:rsidRPr="00DE12A3">
              <w:t>559</w:t>
            </w:r>
          </w:p>
        </w:tc>
        <w:tc>
          <w:tcPr>
            <w:tcW w:w="2489" w:type="dxa"/>
            <w:tcBorders>
              <w:top w:val="single" w:sz="2" w:space="0" w:color="auto"/>
              <w:left w:val="single" w:sz="2" w:space="0" w:color="auto"/>
              <w:bottom w:val="single" w:sz="2" w:space="0" w:color="auto"/>
              <w:right w:val="single" w:sz="2" w:space="0" w:color="auto"/>
            </w:tcBorders>
          </w:tcPr>
          <w:p w14:paraId="690D3882" w14:textId="77777777" w:rsidR="009F4766" w:rsidRPr="00DE12A3" w:rsidRDefault="009F4766" w:rsidP="00C917D6">
            <w:pPr>
              <w:pStyle w:val="NormalLeft"/>
            </w:pPr>
            <w:r w:rsidRPr="00DE12A3">
              <w:t>19</w:t>
            </w:r>
          </w:p>
        </w:tc>
        <w:tc>
          <w:tcPr>
            <w:tcW w:w="2551" w:type="dxa"/>
            <w:tcBorders>
              <w:top w:val="single" w:sz="2" w:space="0" w:color="auto"/>
              <w:left w:val="single" w:sz="2" w:space="0" w:color="auto"/>
              <w:bottom w:val="single" w:sz="2" w:space="0" w:color="auto"/>
              <w:right w:val="single" w:sz="2" w:space="0" w:color="auto"/>
            </w:tcBorders>
          </w:tcPr>
          <w:p w14:paraId="3B3DC03F" w14:textId="77777777" w:rsidR="009F4766" w:rsidRPr="00DE12A3" w:rsidRDefault="009F4766" w:rsidP="00C917D6">
            <w:pPr>
              <w:pStyle w:val="NormalLeft"/>
            </w:pPr>
            <w:r w:rsidRPr="00DE12A3">
              <w:t>63</w:t>
            </w:r>
          </w:p>
        </w:tc>
      </w:tr>
      <w:tr w:rsidR="00DE12A3" w:rsidRPr="00DE12A3" w14:paraId="595E91DE" w14:textId="77777777" w:rsidTr="009F4766">
        <w:tc>
          <w:tcPr>
            <w:tcW w:w="1182" w:type="dxa"/>
            <w:tcBorders>
              <w:top w:val="single" w:sz="2" w:space="0" w:color="auto"/>
              <w:left w:val="single" w:sz="2" w:space="0" w:color="auto"/>
              <w:bottom w:val="single" w:sz="2" w:space="0" w:color="auto"/>
              <w:right w:val="single" w:sz="2" w:space="0" w:color="auto"/>
            </w:tcBorders>
          </w:tcPr>
          <w:p w14:paraId="1D1FE03C" w14:textId="77777777" w:rsidR="009F4766" w:rsidRPr="00DE12A3" w:rsidRDefault="009F4766" w:rsidP="00C917D6">
            <w:pPr>
              <w:pStyle w:val="NormalLeft"/>
            </w:pPr>
            <w:r w:rsidRPr="00DE12A3">
              <w:t>560</w:t>
            </w:r>
          </w:p>
        </w:tc>
        <w:tc>
          <w:tcPr>
            <w:tcW w:w="2489" w:type="dxa"/>
            <w:tcBorders>
              <w:top w:val="single" w:sz="2" w:space="0" w:color="auto"/>
              <w:left w:val="single" w:sz="2" w:space="0" w:color="auto"/>
              <w:bottom w:val="single" w:sz="2" w:space="0" w:color="auto"/>
              <w:right w:val="single" w:sz="2" w:space="0" w:color="auto"/>
            </w:tcBorders>
          </w:tcPr>
          <w:p w14:paraId="6AEA18D7" w14:textId="77777777" w:rsidR="009F4766" w:rsidRPr="00DE12A3" w:rsidRDefault="009F4766" w:rsidP="00C917D6">
            <w:pPr>
              <w:pStyle w:val="NormalLeft"/>
            </w:pPr>
            <w:r w:rsidRPr="00DE12A3">
              <w:t>14</w:t>
            </w:r>
          </w:p>
        </w:tc>
        <w:tc>
          <w:tcPr>
            <w:tcW w:w="2551" w:type="dxa"/>
            <w:tcBorders>
              <w:top w:val="single" w:sz="2" w:space="0" w:color="auto"/>
              <w:left w:val="single" w:sz="2" w:space="0" w:color="auto"/>
              <w:bottom w:val="single" w:sz="2" w:space="0" w:color="auto"/>
              <w:right w:val="single" w:sz="2" w:space="0" w:color="auto"/>
            </w:tcBorders>
          </w:tcPr>
          <w:p w14:paraId="31C7CF0A" w14:textId="77777777" w:rsidR="009F4766" w:rsidRPr="00DE12A3" w:rsidRDefault="009F4766" w:rsidP="00C917D6">
            <w:pPr>
              <w:pStyle w:val="NormalLeft"/>
            </w:pPr>
            <w:r w:rsidRPr="00DE12A3">
              <w:t>63</w:t>
            </w:r>
          </w:p>
        </w:tc>
      </w:tr>
      <w:tr w:rsidR="00DE12A3" w:rsidRPr="00DE12A3" w14:paraId="21E63F0E" w14:textId="77777777" w:rsidTr="009F4766">
        <w:tc>
          <w:tcPr>
            <w:tcW w:w="1182" w:type="dxa"/>
            <w:tcBorders>
              <w:top w:val="single" w:sz="2" w:space="0" w:color="auto"/>
              <w:left w:val="single" w:sz="2" w:space="0" w:color="auto"/>
              <w:bottom w:val="single" w:sz="2" w:space="0" w:color="auto"/>
              <w:right w:val="single" w:sz="2" w:space="0" w:color="auto"/>
            </w:tcBorders>
          </w:tcPr>
          <w:p w14:paraId="1C0EC652" w14:textId="77777777" w:rsidR="009F4766" w:rsidRPr="00DE12A3" w:rsidRDefault="009F4766" w:rsidP="00C917D6">
            <w:pPr>
              <w:pStyle w:val="NormalLeft"/>
            </w:pPr>
            <w:r w:rsidRPr="00DE12A3">
              <w:t>561</w:t>
            </w:r>
          </w:p>
        </w:tc>
        <w:tc>
          <w:tcPr>
            <w:tcW w:w="2489" w:type="dxa"/>
            <w:tcBorders>
              <w:top w:val="single" w:sz="2" w:space="0" w:color="auto"/>
              <w:left w:val="single" w:sz="2" w:space="0" w:color="auto"/>
              <w:bottom w:val="single" w:sz="2" w:space="0" w:color="auto"/>
              <w:right w:val="single" w:sz="2" w:space="0" w:color="auto"/>
            </w:tcBorders>
          </w:tcPr>
          <w:p w14:paraId="7DDAF501" w14:textId="77777777" w:rsidR="009F4766" w:rsidRPr="00DE12A3" w:rsidRDefault="009F4766" w:rsidP="00C917D6">
            <w:pPr>
              <w:pStyle w:val="NormalLeft"/>
            </w:pPr>
            <w:r w:rsidRPr="00DE12A3">
              <w:t>31</w:t>
            </w:r>
          </w:p>
        </w:tc>
        <w:tc>
          <w:tcPr>
            <w:tcW w:w="2551" w:type="dxa"/>
            <w:tcBorders>
              <w:top w:val="single" w:sz="2" w:space="0" w:color="auto"/>
              <w:left w:val="single" w:sz="2" w:space="0" w:color="auto"/>
              <w:bottom w:val="single" w:sz="2" w:space="0" w:color="auto"/>
              <w:right w:val="single" w:sz="2" w:space="0" w:color="auto"/>
            </w:tcBorders>
          </w:tcPr>
          <w:p w14:paraId="53F61090" w14:textId="77777777" w:rsidR="009F4766" w:rsidRPr="00DE12A3" w:rsidRDefault="009F4766" w:rsidP="00C917D6">
            <w:pPr>
              <w:pStyle w:val="NormalLeft"/>
            </w:pPr>
            <w:r w:rsidRPr="00DE12A3">
              <w:t>61</w:t>
            </w:r>
          </w:p>
        </w:tc>
      </w:tr>
      <w:tr w:rsidR="00DE12A3" w:rsidRPr="00DE12A3" w14:paraId="4038D5F7" w14:textId="77777777" w:rsidTr="009F4766">
        <w:tc>
          <w:tcPr>
            <w:tcW w:w="1182" w:type="dxa"/>
            <w:tcBorders>
              <w:top w:val="single" w:sz="2" w:space="0" w:color="auto"/>
              <w:left w:val="single" w:sz="2" w:space="0" w:color="auto"/>
              <w:bottom w:val="single" w:sz="2" w:space="0" w:color="auto"/>
              <w:right w:val="single" w:sz="2" w:space="0" w:color="auto"/>
            </w:tcBorders>
          </w:tcPr>
          <w:p w14:paraId="190DAE4A" w14:textId="77777777" w:rsidR="009F4766" w:rsidRPr="00DE12A3" w:rsidRDefault="009F4766" w:rsidP="00C917D6">
            <w:pPr>
              <w:pStyle w:val="NormalLeft"/>
            </w:pPr>
            <w:r w:rsidRPr="00DE12A3">
              <w:t>562</w:t>
            </w:r>
          </w:p>
        </w:tc>
        <w:tc>
          <w:tcPr>
            <w:tcW w:w="2489" w:type="dxa"/>
            <w:tcBorders>
              <w:top w:val="single" w:sz="2" w:space="0" w:color="auto"/>
              <w:left w:val="single" w:sz="2" w:space="0" w:color="auto"/>
              <w:bottom w:val="single" w:sz="2" w:space="0" w:color="auto"/>
              <w:right w:val="single" w:sz="2" w:space="0" w:color="auto"/>
            </w:tcBorders>
          </w:tcPr>
          <w:p w14:paraId="3CE41B2F" w14:textId="77777777" w:rsidR="009F4766" w:rsidRPr="00DE12A3" w:rsidRDefault="009F4766" w:rsidP="00C917D6">
            <w:pPr>
              <w:pStyle w:val="NormalLeft"/>
            </w:pPr>
            <w:r w:rsidRPr="00DE12A3">
              <w:t>35</w:t>
            </w:r>
          </w:p>
        </w:tc>
        <w:tc>
          <w:tcPr>
            <w:tcW w:w="2551" w:type="dxa"/>
            <w:tcBorders>
              <w:top w:val="single" w:sz="2" w:space="0" w:color="auto"/>
              <w:left w:val="single" w:sz="2" w:space="0" w:color="auto"/>
              <w:bottom w:val="single" w:sz="2" w:space="0" w:color="auto"/>
              <w:right w:val="single" w:sz="2" w:space="0" w:color="auto"/>
            </w:tcBorders>
          </w:tcPr>
          <w:p w14:paraId="15F3ACCC" w14:textId="77777777" w:rsidR="009F4766" w:rsidRPr="00DE12A3" w:rsidRDefault="009F4766" w:rsidP="00C917D6">
            <w:pPr>
              <w:pStyle w:val="NormalLeft"/>
            </w:pPr>
            <w:r w:rsidRPr="00DE12A3">
              <w:t>62</w:t>
            </w:r>
          </w:p>
        </w:tc>
      </w:tr>
      <w:tr w:rsidR="00DE12A3" w:rsidRPr="00DE12A3" w14:paraId="7D328886" w14:textId="77777777" w:rsidTr="009F4766">
        <w:tc>
          <w:tcPr>
            <w:tcW w:w="1182" w:type="dxa"/>
            <w:tcBorders>
              <w:top w:val="single" w:sz="2" w:space="0" w:color="auto"/>
              <w:left w:val="single" w:sz="2" w:space="0" w:color="auto"/>
              <w:bottom w:val="single" w:sz="2" w:space="0" w:color="auto"/>
              <w:right w:val="single" w:sz="2" w:space="0" w:color="auto"/>
            </w:tcBorders>
          </w:tcPr>
          <w:p w14:paraId="5F7545FC" w14:textId="77777777" w:rsidR="009F4766" w:rsidRPr="00DE12A3" w:rsidRDefault="009F4766" w:rsidP="00C917D6">
            <w:pPr>
              <w:pStyle w:val="NormalLeft"/>
            </w:pPr>
            <w:r w:rsidRPr="00DE12A3">
              <w:t>563</w:t>
            </w:r>
          </w:p>
        </w:tc>
        <w:tc>
          <w:tcPr>
            <w:tcW w:w="2489" w:type="dxa"/>
            <w:tcBorders>
              <w:top w:val="single" w:sz="2" w:space="0" w:color="auto"/>
              <w:left w:val="single" w:sz="2" w:space="0" w:color="auto"/>
              <w:bottom w:val="single" w:sz="2" w:space="0" w:color="auto"/>
              <w:right w:val="single" w:sz="2" w:space="0" w:color="auto"/>
            </w:tcBorders>
          </w:tcPr>
          <w:p w14:paraId="310ACBE9" w14:textId="77777777" w:rsidR="009F4766" w:rsidRPr="00DE12A3" w:rsidRDefault="009F4766" w:rsidP="00C917D6">
            <w:pPr>
              <w:pStyle w:val="NormalLeft"/>
            </w:pPr>
            <w:r w:rsidRPr="00DE12A3">
              <w:t>21</w:t>
            </w:r>
          </w:p>
        </w:tc>
        <w:tc>
          <w:tcPr>
            <w:tcW w:w="2551" w:type="dxa"/>
            <w:tcBorders>
              <w:top w:val="single" w:sz="2" w:space="0" w:color="auto"/>
              <w:left w:val="single" w:sz="2" w:space="0" w:color="auto"/>
              <w:bottom w:val="single" w:sz="2" w:space="0" w:color="auto"/>
              <w:right w:val="single" w:sz="2" w:space="0" w:color="auto"/>
            </w:tcBorders>
          </w:tcPr>
          <w:p w14:paraId="063D6AB0" w14:textId="77777777" w:rsidR="009F4766" w:rsidRPr="00DE12A3" w:rsidRDefault="009F4766" w:rsidP="00C917D6">
            <w:pPr>
              <w:pStyle w:val="NormalLeft"/>
            </w:pPr>
            <w:r w:rsidRPr="00DE12A3">
              <w:t>80</w:t>
            </w:r>
          </w:p>
        </w:tc>
      </w:tr>
      <w:tr w:rsidR="00DE12A3" w:rsidRPr="00DE12A3" w14:paraId="6B7A10B3" w14:textId="77777777" w:rsidTr="009F4766">
        <w:tc>
          <w:tcPr>
            <w:tcW w:w="1182" w:type="dxa"/>
            <w:tcBorders>
              <w:top w:val="single" w:sz="2" w:space="0" w:color="auto"/>
              <w:left w:val="single" w:sz="2" w:space="0" w:color="auto"/>
              <w:bottom w:val="single" w:sz="2" w:space="0" w:color="auto"/>
              <w:right w:val="single" w:sz="2" w:space="0" w:color="auto"/>
            </w:tcBorders>
          </w:tcPr>
          <w:p w14:paraId="16AC6B6D" w14:textId="77777777" w:rsidR="009F4766" w:rsidRPr="00DE12A3" w:rsidRDefault="009F4766" w:rsidP="00C917D6">
            <w:pPr>
              <w:pStyle w:val="NormalLeft"/>
            </w:pPr>
            <w:r w:rsidRPr="00DE12A3">
              <w:t>564</w:t>
            </w:r>
          </w:p>
        </w:tc>
        <w:tc>
          <w:tcPr>
            <w:tcW w:w="2489" w:type="dxa"/>
            <w:tcBorders>
              <w:top w:val="single" w:sz="2" w:space="0" w:color="auto"/>
              <w:left w:val="single" w:sz="2" w:space="0" w:color="auto"/>
              <w:bottom w:val="single" w:sz="2" w:space="0" w:color="auto"/>
              <w:right w:val="single" w:sz="2" w:space="0" w:color="auto"/>
            </w:tcBorders>
          </w:tcPr>
          <w:p w14:paraId="6FA1FA0E" w14:textId="77777777" w:rsidR="009F4766" w:rsidRPr="00DE12A3" w:rsidRDefault="009F4766" w:rsidP="00C917D6">
            <w:pPr>
              <w:pStyle w:val="NormalLeft"/>
            </w:pPr>
            <w:r w:rsidRPr="00DE12A3">
              <w:t>28</w:t>
            </w:r>
          </w:p>
        </w:tc>
        <w:tc>
          <w:tcPr>
            <w:tcW w:w="2551" w:type="dxa"/>
            <w:tcBorders>
              <w:top w:val="single" w:sz="2" w:space="0" w:color="auto"/>
              <w:left w:val="single" w:sz="2" w:space="0" w:color="auto"/>
              <w:bottom w:val="single" w:sz="2" w:space="0" w:color="auto"/>
              <w:right w:val="single" w:sz="2" w:space="0" w:color="auto"/>
            </w:tcBorders>
          </w:tcPr>
          <w:p w14:paraId="3402D389" w14:textId="77777777" w:rsidR="009F4766" w:rsidRPr="00DE12A3" w:rsidRDefault="009F4766" w:rsidP="00C917D6">
            <w:pPr>
              <w:pStyle w:val="NormalLeft"/>
            </w:pPr>
            <w:r w:rsidRPr="00DE12A3">
              <w:t>65</w:t>
            </w:r>
          </w:p>
        </w:tc>
      </w:tr>
      <w:tr w:rsidR="00DE12A3" w:rsidRPr="00DE12A3" w14:paraId="2253C9B1" w14:textId="77777777" w:rsidTr="009F4766">
        <w:tc>
          <w:tcPr>
            <w:tcW w:w="1182" w:type="dxa"/>
            <w:tcBorders>
              <w:top w:val="single" w:sz="2" w:space="0" w:color="auto"/>
              <w:left w:val="single" w:sz="2" w:space="0" w:color="auto"/>
              <w:bottom w:val="single" w:sz="2" w:space="0" w:color="auto"/>
              <w:right w:val="single" w:sz="2" w:space="0" w:color="auto"/>
            </w:tcBorders>
          </w:tcPr>
          <w:p w14:paraId="44DF8C60" w14:textId="77777777" w:rsidR="009F4766" w:rsidRPr="00DE12A3" w:rsidRDefault="009F4766" w:rsidP="00C917D6">
            <w:pPr>
              <w:pStyle w:val="NormalLeft"/>
            </w:pPr>
            <w:r w:rsidRPr="00DE12A3">
              <w:t>565</w:t>
            </w:r>
          </w:p>
        </w:tc>
        <w:tc>
          <w:tcPr>
            <w:tcW w:w="2489" w:type="dxa"/>
            <w:tcBorders>
              <w:top w:val="single" w:sz="2" w:space="0" w:color="auto"/>
              <w:left w:val="single" w:sz="2" w:space="0" w:color="auto"/>
              <w:bottom w:val="single" w:sz="2" w:space="0" w:color="auto"/>
              <w:right w:val="single" w:sz="2" w:space="0" w:color="auto"/>
            </w:tcBorders>
          </w:tcPr>
          <w:p w14:paraId="4F1927B3" w14:textId="77777777" w:rsidR="009F4766" w:rsidRPr="00DE12A3" w:rsidRDefault="009F4766" w:rsidP="00C917D6">
            <w:pPr>
              <w:pStyle w:val="NormalLeft"/>
            </w:pPr>
            <w:r w:rsidRPr="00DE12A3">
              <w:t>7</w:t>
            </w:r>
          </w:p>
        </w:tc>
        <w:tc>
          <w:tcPr>
            <w:tcW w:w="2551" w:type="dxa"/>
            <w:tcBorders>
              <w:top w:val="single" w:sz="2" w:space="0" w:color="auto"/>
              <w:left w:val="single" w:sz="2" w:space="0" w:color="auto"/>
              <w:bottom w:val="single" w:sz="2" w:space="0" w:color="auto"/>
              <w:right w:val="single" w:sz="2" w:space="0" w:color="auto"/>
            </w:tcBorders>
          </w:tcPr>
          <w:p w14:paraId="1314DC4A" w14:textId="77777777" w:rsidR="009F4766" w:rsidRPr="00DE12A3" w:rsidRDefault="009F4766" w:rsidP="00C917D6">
            <w:pPr>
              <w:pStyle w:val="NormalLeft"/>
            </w:pPr>
            <w:r w:rsidRPr="00DE12A3">
              <w:t>74</w:t>
            </w:r>
          </w:p>
        </w:tc>
      </w:tr>
      <w:tr w:rsidR="00DE12A3" w:rsidRPr="00DE12A3" w14:paraId="1CA44103" w14:textId="77777777" w:rsidTr="009F4766">
        <w:tc>
          <w:tcPr>
            <w:tcW w:w="1182" w:type="dxa"/>
            <w:tcBorders>
              <w:top w:val="single" w:sz="2" w:space="0" w:color="auto"/>
              <w:left w:val="single" w:sz="2" w:space="0" w:color="auto"/>
              <w:bottom w:val="single" w:sz="2" w:space="0" w:color="auto"/>
              <w:right w:val="single" w:sz="2" w:space="0" w:color="auto"/>
            </w:tcBorders>
          </w:tcPr>
          <w:p w14:paraId="036D57BB" w14:textId="77777777" w:rsidR="009F4766" w:rsidRPr="00DE12A3" w:rsidRDefault="009F4766" w:rsidP="00C917D6">
            <w:pPr>
              <w:pStyle w:val="NormalLeft"/>
            </w:pPr>
            <w:r w:rsidRPr="00DE12A3">
              <w:t>566</w:t>
            </w:r>
          </w:p>
        </w:tc>
        <w:tc>
          <w:tcPr>
            <w:tcW w:w="2489" w:type="dxa"/>
            <w:tcBorders>
              <w:top w:val="single" w:sz="2" w:space="0" w:color="auto"/>
              <w:left w:val="single" w:sz="2" w:space="0" w:color="auto"/>
              <w:bottom w:val="single" w:sz="2" w:space="0" w:color="auto"/>
              <w:right w:val="single" w:sz="2" w:space="0" w:color="auto"/>
            </w:tcBorders>
          </w:tcPr>
          <w:p w14:paraId="14CB5EE7" w14:textId="77777777" w:rsidR="009F4766" w:rsidRPr="00DE12A3" w:rsidRDefault="009F4766" w:rsidP="00C917D6">
            <w:pPr>
              <w:pStyle w:val="NormalLeft"/>
            </w:pPr>
            <w:r w:rsidRPr="00DE12A3">
              <w:t>23</w:t>
            </w:r>
          </w:p>
        </w:tc>
        <w:tc>
          <w:tcPr>
            <w:tcW w:w="2551" w:type="dxa"/>
            <w:tcBorders>
              <w:top w:val="single" w:sz="2" w:space="0" w:color="auto"/>
              <w:left w:val="single" w:sz="2" w:space="0" w:color="auto"/>
              <w:bottom w:val="single" w:sz="2" w:space="0" w:color="auto"/>
              <w:right w:val="single" w:sz="2" w:space="0" w:color="auto"/>
            </w:tcBorders>
          </w:tcPr>
          <w:p w14:paraId="59047FB6" w14:textId="77777777" w:rsidR="009F4766" w:rsidRPr="00DE12A3" w:rsidRDefault="009F4766" w:rsidP="00C917D6">
            <w:pPr>
              <w:pStyle w:val="NormalLeft"/>
            </w:pPr>
            <w:r w:rsidRPr="00DE12A3">
              <w:t>54</w:t>
            </w:r>
          </w:p>
        </w:tc>
      </w:tr>
      <w:tr w:rsidR="00DE12A3" w:rsidRPr="00DE12A3" w14:paraId="3E29AC20" w14:textId="77777777" w:rsidTr="009F4766">
        <w:tc>
          <w:tcPr>
            <w:tcW w:w="1182" w:type="dxa"/>
            <w:tcBorders>
              <w:top w:val="single" w:sz="2" w:space="0" w:color="auto"/>
              <w:left w:val="single" w:sz="2" w:space="0" w:color="auto"/>
              <w:bottom w:val="single" w:sz="2" w:space="0" w:color="auto"/>
              <w:right w:val="single" w:sz="2" w:space="0" w:color="auto"/>
            </w:tcBorders>
          </w:tcPr>
          <w:p w14:paraId="645EC609" w14:textId="77777777" w:rsidR="009F4766" w:rsidRPr="00DE12A3" w:rsidRDefault="009F4766" w:rsidP="00C917D6">
            <w:pPr>
              <w:pStyle w:val="NormalLeft"/>
            </w:pPr>
            <w:r w:rsidRPr="00DE12A3">
              <w:t>567</w:t>
            </w:r>
          </w:p>
        </w:tc>
        <w:tc>
          <w:tcPr>
            <w:tcW w:w="2489" w:type="dxa"/>
            <w:tcBorders>
              <w:top w:val="single" w:sz="2" w:space="0" w:color="auto"/>
              <w:left w:val="single" w:sz="2" w:space="0" w:color="auto"/>
              <w:bottom w:val="single" w:sz="2" w:space="0" w:color="auto"/>
              <w:right w:val="single" w:sz="2" w:space="0" w:color="auto"/>
            </w:tcBorders>
          </w:tcPr>
          <w:p w14:paraId="22E03F15" w14:textId="77777777" w:rsidR="009F4766" w:rsidRPr="00DE12A3" w:rsidRDefault="009F4766" w:rsidP="00C917D6">
            <w:pPr>
              <w:pStyle w:val="NormalLeft"/>
            </w:pPr>
            <w:r w:rsidRPr="00DE12A3">
              <w:t>38</w:t>
            </w:r>
          </w:p>
        </w:tc>
        <w:tc>
          <w:tcPr>
            <w:tcW w:w="2551" w:type="dxa"/>
            <w:tcBorders>
              <w:top w:val="single" w:sz="2" w:space="0" w:color="auto"/>
              <w:left w:val="single" w:sz="2" w:space="0" w:color="auto"/>
              <w:bottom w:val="single" w:sz="2" w:space="0" w:color="auto"/>
              <w:right w:val="single" w:sz="2" w:space="0" w:color="auto"/>
            </w:tcBorders>
          </w:tcPr>
          <w:p w14:paraId="0FE0CD1E" w14:textId="77777777" w:rsidR="009F4766" w:rsidRPr="00DE12A3" w:rsidRDefault="009F4766" w:rsidP="00C917D6">
            <w:pPr>
              <w:pStyle w:val="NormalLeft"/>
            </w:pPr>
            <w:r w:rsidRPr="00DE12A3">
              <w:t>54</w:t>
            </w:r>
          </w:p>
        </w:tc>
      </w:tr>
      <w:tr w:rsidR="00DE12A3" w:rsidRPr="00DE12A3" w14:paraId="029541EB" w14:textId="77777777" w:rsidTr="009F4766">
        <w:tc>
          <w:tcPr>
            <w:tcW w:w="1182" w:type="dxa"/>
            <w:tcBorders>
              <w:top w:val="single" w:sz="2" w:space="0" w:color="auto"/>
              <w:left w:val="single" w:sz="2" w:space="0" w:color="auto"/>
              <w:bottom w:val="single" w:sz="2" w:space="0" w:color="auto"/>
              <w:right w:val="single" w:sz="2" w:space="0" w:color="auto"/>
            </w:tcBorders>
          </w:tcPr>
          <w:p w14:paraId="5FBD1241" w14:textId="77777777" w:rsidR="009F4766" w:rsidRPr="00DE12A3" w:rsidRDefault="009F4766" w:rsidP="00C917D6">
            <w:pPr>
              <w:pStyle w:val="NormalLeft"/>
            </w:pPr>
            <w:r w:rsidRPr="00DE12A3">
              <w:t>568</w:t>
            </w:r>
          </w:p>
        </w:tc>
        <w:tc>
          <w:tcPr>
            <w:tcW w:w="2489" w:type="dxa"/>
            <w:tcBorders>
              <w:top w:val="single" w:sz="2" w:space="0" w:color="auto"/>
              <w:left w:val="single" w:sz="2" w:space="0" w:color="auto"/>
              <w:bottom w:val="single" w:sz="2" w:space="0" w:color="auto"/>
              <w:right w:val="single" w:sz="2" w:space="0" w:color="auto"/>
            </w:tcBorders>
          </w:tcPr>
          <w:p w14:paraId="73721E27" w14:textId="77777777" w:rsidR="009F4766" w:rsidRPr="00DE12A3" w:rsidRDefault="009F4766" w:rsidP="00C917D6">
            <w:pPr>
              <w:pStyle w:val="NormalLeft"/>
            </w:pPr>
            <w:r w:rsidRPr="00DE12A3">
              <w:t>14</w:t>
            </w:r>
          </w:p>
        </w:tc>
        <w:tc>
          <w:tcPr>
            <w:tcW w:w="2551" w:type="dxa"/>
            <w:tcBorders>
              <w:top w:val="single" w:sz="2" w:space="0" w:color="auto"/>
              <w:left w:val="single" w:sz="2" w:space="0" w:color="auto"/>
              <w:bottom w:val="single" w:sz="2" w:space="0" w:color="auto"/>
              <w:right w:val="single" w:sz="2" w:space="0" w:color="auto"/>
            </w:tcBorders>
          </w:tcPr>
          <w:p w14:paraId="7BFBB680" w14:textId="77777777" w:rsidR="009F4766" w:rsidRPr="00DE12A3" w:rsidRDefault="009F4766" w:rsidP="00C917D6">
            <w:pPr>
              <w:pStyle w:val="NormalLeft"/>
            </w:pPr>
            <w:r w:rsidRPr="00DE12A3">
              <w:t>78</w:t>
            </w:r>
          </w:p>
        </w:tc>
      </w:tr>
      <w:tr w:rsidR="00DE12A3" w:rsidRPr="00DE12A3" w14:paraId="6AD9FD03" w14:textId="77777777" w:rsidTr="009F4766">
        <w:tc>
          <w:tcPr>
            <w:tcW w:w="1182" w:type="dxa"/>
            <w:tcBorders>
              <w:top w:val="single" w:sz="2" w:space="0" w:color="auto"/>
              <w:left w:val="single" w:sz="2" w:space="0" w:color="auto"/>
              <w:bottom w:val="single" w:sz="2" w:space="0" w:color="auto"/>
              <w:right w:val="single" w:sz="2" w:space="0" w:color="auto"/>
            </w:tcBorders>
          </w:tcPr>
          <w:p w14:paraId="330E79C3" w14:textId="77777777" w:rsidR="009F4766" w:rsidRPr="00DE12A3" w:rsidRDefault="009F4766" w:rsidP="00C917D6">
            <w:pPr>
              <w:pStyle w:val="NormalLeft"/>
            </w:pPr>
            <w:r w:rsidRPr="00DE12A3">
              <w:t>569</w:t>
            </w:r>
          </w:p>
        </w:tc>
        <w:tc>
          <w:tcPr>
            <w:tcW w:w="2489" w:type="dxa"/>
            <w:tcBorders>
              <w:top w:val="single" w:sz="2" w:space="0" w:color="auto"/>
              <w:left w:val="single" w:sz="2" w:space="0" w:color="auto"/>
              <w:bottom w:val="single" w:sz="2" w:space="0" w:color="auto"/>
              <w:right w:val="single" w:sz="2" w:space="0" w:color="auto"/>
            </w:tcBorders>
          </w:tcPr>
          <w:p w14:paraId="4D61F9D2" w14:textId="77777777" w:rsidR="009F4766" w:rsidRPr="00DE12A3" w:rsidRDefault="009F4766" w:rsidP="00C917D6">
            <w:pPr>
              <w:pStyle w:val="NormalLeft"/>
            </w:pPr>
            <w:r w:rsidRPr="00DE12A3">
              <w:t>38</w:t>
            </w:r>
          </w:p>
        </w:tc>
        <w:tc>
          <w:tcPr>
            <w:tcW w:w="2551" w:type="dxa"/>
            <w:tcBorders>
              <w:top w:val="single" w:sz="2" w:space="0" w:color="auto"/>
              <w:left w:val="single" w:sz="2" w:space="0" w:color="auto"/>
              <w:bottom w:val="single" w:sz="2" w:space="0" w:color="auto"/>
              <w:right w:val="single" w:sz="2" w:space="0" w:color="auto"/>
            </w:tcBorders>
          </w:tcPr>
          <w:p w14:paraId="42B9BED0" w14:textId="77777777" w:rsidR="009F4766" w:rsidRPr="00DE12A3" w:rsidRDefault="009F4766" w:rsidP="00C917D6">
            <w:pPr>
              <w:pStyle w:val="NormalLeft"/>
            </w:pPr>
            <w:r w:rsidRPr="00DE12A3">
              <w:t>58</w:t>
            </w:r>
          </w:p>
        </w:tc>
      </w:tr>
      <w:tr w:rsidR="00DE12A3" w:rsidRPr="00DE12A3" w14:paraId="43395BB9" w14:textId="77777777" w:rsidTr="009F4766">
        <w:tc>
          <w:tcPr>
            <w:tcW w:w="1182" w:type="dxa"/>
            <w:tcBorders>
              <w:top w:val="single" w:sz="2" w:space="0" w:color="auto"/>
              <w:left w:val="single" w:sz="2" w:space="0" w:color="auto"/>
              <w:bottom w:val="single" w:sz="2" w:space="0" w:color="auto"/>
              <w:right w:val="single" w:sz="2" w:space="0" w:color="auto"/>
            </w:tcBorders>
          </w:tcPr>
          <w:p w14:paraId="47CC58EC" w14:textId="77777777" w:rsidR="009F4766" w:rsidRPr="00DE12A3" w:rsidRDefault="009F4766" w:rsidP="00C917D6">
            <w:pPr>
              <w:pStyle w:val="NormalLeft"/>
            </w:pPr>
            <w:r w:rsidRPr="00DE12A3">
              <w:t>570</w:t>
            </w:r>
          </w:p>
        </w:tc>
        <w:tc>
          <w:tcPr>
            <w:tcW w:w="2489" w:type="dxa"/>
            <w:tcBorders>
              <w:top w:val="single" w:sz="2" w:space="0" w:color="auto"/>
              <w:left w:val="single" w:sz="2" w:space="0" w:color="auto"/>
              <w:bottom w:val="single" w:sz="2" w:space="0" w:color="auto"/>
              <w:right w:val="single" w:sz="2" w:space="0" w:color="auto"/>
            </w:tcBorders>
          </w:tcPr>
          <w:p w14:paraId="057C20E4" w14:textId="77777777" w:rsidR="009F4766" w:rsidRPr="00DE12A3" w:rsidRDefault="009F4766" w:rsidP="00C917D6">
            <w:pPr>
              <w:pStyle w:val="NormalLeft"/>
            </w:pPr>
            <w:r w:rsidRPr="00DE12A3">
              <w:t>52</w:t>
            </w:r>
          </w:p>
        </w:tc>
        <w:tc>
          <w:tcPr>
            <w:tcW w:w="2551" w:type="dxa"/>
            <w:tcBorders>
              <w:top w:val="single" w:sz="2" w:space="0" w:color="auto"/>
              <w:left w:val="single" w:sz="2" w:space="0" w:color="auto"/>
              <w:bottom w:val="single" w:sz="2" w:space="0" w:color="auto"/>
              <w:right w:val="single" w:sz="2" w:space="0" w:color="auto"/>
            </w:tcBorders>
          </w:tcPr>
          <w:p w14:paraId="0606856D" w14:textId="77777777" w:rsidR="009F4766" w:rsidRPr="00DE12A3" w:rsidRDefault="009F4766" w:rsidP="00C917D6">
            <w:pPr>
              <w:pStyle w:val="NormalLeft"/>
            </w:pPr>
            <w:r w:rsidRPr="00DE12A3">
              <w:t>75</w:t>
            </w:r>
          </w:p>
        </w:tc>
      </w:tr>
      <w:tr w:rsidR="00DE12A3" w:rsidRPr="00DE12A3" w14:paraId="3B16FF55" w14:textId="77777777" w:rsidTr="009F4766">
        <w:tc>
          <w:tcPr>
            <w:tcW w:w="1182" w:type="dxa"/>
            <w:tcBorders>
              <w:top w:val="single" w:sz="2" w:space="0" w:color="auto"/>
              <w:left w:val="single" w:sz="2" w:space="0" w:color="auto"/>
              <w:bottom w:val="single" w:sz="2" w:space="0" w:color="auto"/>
              <w:right w:val="single" w:sz="2" w:space="0" w:color="auto"/>
            </w:tcBorders>
          </w:tcPr>
          <w:p w14:paraId="0A8099BC" w14:textId="77777777" w:rsidR="009F4766" w:rsidRPr="00DE12A3" w:rsidRDefault="009F4766" w:rsidP="00C917D6">
            <w:pPr>
              <w:pStyle w:val="NormalLeft"/>
            </w:pPr>
            <w:r w:rsidRPr="00DE12A3">
              <w:t>571</w:t>
            </w:r>
          </w:p>
        </w:tc>
        <w:tc>
          <w:tcPr>
            <w:tcW w:w="2489" w:type="dxa"/>
            <w:tcBorders>
              <w:top w:val="single" w:sz="2" w:space="0" w:color="auto"/>
              <w:left w:val="single" w:sz="2" w:space="0" w:color="auto"/>
              <w:bottom w:val="single" w:sz="2" w:space="0" w:color="auto"/>
              <w:right w:val="single" w:sz="2" w:space="0" w:color="auto"/>
            </w:tcBorders>
          </w:tcPr>
          <w:p w14:paraId="02966664" w14:textId="77777777" w:rsidR="009F4766" w:rsidRPr="00DE12A3" w:rsidRDefault="009F4766" w:rsidP="00C917D6">
            <w:pPr>
              <w:pStyle w:val="NormalLeft"/>
            </w:pPr>
            <w:r w:rsidRPr="00DE12A3">
              <w:t>59</w:t>
            </w:r>
          </w:p>
        </w:tc>
        <w:tc>
          <w:tcPr>
            <w:tcW w:w="2551" w:type="dxa"/>
            <w:tcBorders>
              <w:top w:val="single" w:sz="2" w:space="0" w:color="auto"/>
              <w:left w:val="single" w:sz="2" w:space="0" w:color="auto"/>
              <w:bottom w:val="single" w:sz="2" w:space="0" w:color="auto"/>
              <w:right w:val="single" w:sz="2" w:space="0" w:color="auto"/>
            </w:tcBorders>
          </w:tcPr>
          <w:p w14:paraId="5EE2BA6E" w14:textId="77777777" w:rsidR="009F4766" w:rsidRPr="00DE12A3" w:rsidRDefault="009F4766" w:rsidP="00C917D6">
            <w:pPr>
              <w:pStyle w:val="NormalLeft"/>
            </w:pPr>
            <w:r w:rsidRPr="00DE12A3">
              <w:t>81</w:t>
            </w:r>
          </w:p>
        </w:tc>
      </w:tr>
      <w:tr w:rsidR="00DE12A3" w:rsidRPr="00DE12A3" w14:paraId="433D1FEB" w14:textId="77777777" w:rsidTr="009F4766">
        <w:tc>
          <w:tcPr>
            <w:tcW w:w="1182" w:type="dxa"/>
            <w:tcBorders>
              <w:top w:val="single" w:sz="2" w:space="0" w:color="auto"/>
              <w:left w:val="single" w:sz="2" w:space="0" w:color="auto"/>
              <w:bottom w:val="single" w:sz="2" w:space="0" w:color="auto"/>
              <w:right w:val="single" w:sz="2" w:space="0" w:color="auto"/>
            </w:tcBorders>
          </w:tcPr>
          <w:p w14:paraId="7C4E2389" w14:textId="77777777" w:rsidR="009F4766" w:rsidRPr="00DE12A3" w:rsidRDefault="009F4766" w:rsidP="00C917D6">
            <w:pPr>
              <w:pStyle w:val="NormalLeft"/>
            </w:pPr>
            <w:r w:rsidRPr="00DE12A3">
              <w:t>572</w:t>
            </w:r>
          </w:p>
        </w:tc>
        <w:tc>
          <w:tcPr>
            <w:tcW w:w="2489" w:type="dxa"/>
            <w:tcBorders>
              <w:top w:val="single" w:sz="2" w:space="0" w:color="auto"/>
              <w:left w:val="single" w:sz="2" w:space="0" w:color="auto"/>
              <w:bottom w:val="single" w:sz="2" w:space="0" w:color="auto"/>
              <w:right w:val="single" w:sz="2" w:space="0" w:color="auto"/>
            </w:tcBorders>
          </w:tcPr>
          <w:p w14:paraId="5CB63FCB" w14:textId="77777777" w:rsidR="009F4766" w:rsidRPr="00DE12A3" w:rsidRDefault="009F4766" w:rsidP="00C917D6">
            <w:pPr>
              <w:pStyle w:val="NormalLeft"/>
            </w:pPr>
            <w:r w:rsidRPr="00DE12A3">
              <w:t>66</w:t>
            </w:r>
          </w:p>
        </w:tc>
        <w:tc>
          <w:tcPr>
            <w:tcW w:w="2551" w:type="dxa"/>
            <w:tcBorders>
              <w:top w:val="single" w:sz="2" w:space="0" w:color="auto"/>
              <w:left w:val="single" w:sz="2" w:space="0" w:color="auto"/>
              <w:bottom w:val="single" w:sz="2" w:space="0" w:color="auto"/>
              <w:right w:val="single" w:sz="2" w:space="0" w:color="auto"/>
            </w:tcBorders>
          </w:tcPr>
          <w:p w14:paraId="56BA46DB" w14:textId="77777777" w:rsidR="009F4766" w:rsidRPr="00DE12A3" w:rsidRDefault="009F4766" w:rsidP="00C917D6">
            <w:pPr>
              <w:pStyle w:val="NormalLeft"/>
            </w:pPr>
            <w:r w:rsidRPr="00DE12A3">
              <w:t>69</w:t>
            </w:r>
          </w:p>
        </w:tc>
      </w:tr>
      <w:tr w:rsidR="00DE12A3" w:rsidRPr="00DE12A3" w14:paraId="4AD74613" w14:textId="77777777" w:rsidTr="009F4766">
        <w:tc>
          <w:tcPr>
            <w:tcW w:w="1182" w:type="dxa"/>
            <w:tcBorders>
              <w:top w:val="single" w:sz="2" w:space="0" w:color="auto"/>
              <w:left w:val="single" w:sz="2" w:space="0" w:color="auto"/>
              <w:bottom w:val="single" w:sz="2" w:space="0" w:color="auto"/>
              <w:right w:val="single" w:sz="2" w:space="0" w:color="auto"/>
            </w:tcBorders>
          </w:tcPr>
          <w:p w14:paraId="1AFE447A" w14:textId="77777777" w:rsidR="009F4766" w:rsidRPr="00DE12A3" w:rsidRDefault="009F4766" w:rsidP="00C917D6">
            <w:pPr>
              <w:pStyle w:val="NormalLeft"/>
            </w:pPr>
            <w:r w:rsidRPr="00DE12A3">
              <w:t>573</w:t>
            </w:r>
          </w:p>
        </w:tc>
        <w:tc>
          <w:tcPr>
            <w:tcW w:w="2489" w:type="dxa"/>
            <w:tcBorders>
              <w:top w:val="single" w:sz="2" w:space="0" w:color="auto"/>
              <w:left w:val="single" w:sz="2" w:space="0" w:color="auto"/>
              <w:bottom w:val="single" w:sz="2" w:space="0" w:color="auto"/>
              <w:right w:val="single" w:sz="2" w:space="0" w:color="auto"/>
            </w:tcBorders>
          </w:tcPr>
          <w:p w14:paraId="2795C873" w14:textId="77777777" w:rsidR="009F4766" w:rsidRPr="00DE12A3" w:rsidRDefault="009F4766" w:rsidP="00C917D6">
            <w:pPr>
              <w:pStyle w:val="NormalLeft"/>
            </w:pPr>
            <w:r w:rsidRPr="00DE12A3">
              <w:t>54</w:t>
            </w:r>
          </w:p>
        </w:tc>
        <w:tc>
          <w:tcPr>
            <w:tcW w:w="2551" w:type="dxa"/>
            <w:tcBorders>
              <w:top w:val="single" w:sz="2" w:space="0" w:color="auto"/>
              <w:left w:val="single" w:sz="2" w:space="0" w:color="auto"/>
              <w:bottom w:val="single" w:sz="2" w:space="0" w:color="auto"/>
              <w:right w:val="single" w:sz="2" w:space="0" w:color="auto"/>
            </w:tcBorders>
          </w:tcPr>
          <w:p w14:paraId="3837AC3C" w14:textId="77777777" w:rsidR="009F4766" w:rsidRPr="00DE12A3" w:rsidRDefault="009F4766" w:rsidP="00C917D6">
            <w:pPr>
              <w:pStyle w:val="NormalLeft"/>
            </w:pPr>
            <w:r w:rsidRPr="00DE12A3">
              <w:t>44</w:t>
            </w:r>
          </w:p>
        </w:tc>
      </w:tr>
      <w:tr w:rsidR="00DE12A3" w:rsidRPr="00DE12A3" w14:paraId="3AEDE5FC" w14:textId="77777777" w:rsidTr="009F4766">
        <w:tc>
          <w:tcPr>
            <w:tcW w:w="1182" w:type="dxa"/>
            <w:tcBorders>
              <w:top w:val="single" w:sz="2" w:space="0" w:color="auto"/>
              <w:left w:val="single" w:sz="2" w:space="0" w:color="auto"/>
              <w:bottom w:val="single" w:sz="2" w:space="0" w:color="auto"/>
              <w:right w:val="single" w:sz="2" w:space="0" w:color="auto"/>
            </w:tcBorders>
          </w:tcPr>
          <w:p w14:paraId="3FA81D4C" w14:textId="77777777" w:rsidR="009F4766" w:rsidRPr="00DE12A3" w:rsidRDefault="009F4766" w:rsidP="00C917D6">
            <w:pPr>
              <w:pStyle w:val="NormalLeft"/>
            </w:pPr>
            <w:r w:rsidRPr="00DE12A3">
              <w:t>574</w:t>
            </w:r>
          </w:p>
        </w:tc>
        <w:tc>
          <w:tcPr>
            <w:tcW w:w="2489" w:type="dxa"/>
            <w:tcBorders>
              <w:top w:val="single" w:sz="2" w:space="0" w:color="auto"/>
              <w:left w:val="single" w:sz="2" w:space="0" w:color="auto"/>
              <w:bottom w:val="single" w:sz="2" w:space="0" w:color="auto"/>
              <w:right w:val="single" w:sz="2" w:space="0" w:color="auto"/>
            </w:tcBorders>
          </w:tcPr>
          <w:p w14:paraId="2F78B0A5" w14:textId="77777777" w:rsidR="009F4766" w:rsidRPr="00DE12A3" w:rsidRDefault="009F4766" w:rsidP="00C917D6">
            <w:pPr>
              <w:pStyle w:val="NormalLeft"/>
            </w:pPr>
            <w:r w:rsidRPr="00DE12A3">
              <w:t>48</w:t>
            </w:r>
          </w:p>
        </w:tc>
        <w:tc>
          <w:tcPr>
            <w:tcW w:w="2551" w:type="dxa"/>
            <w:tcBorders>
              <w:top w:val="single" w:sz="2" w:space="0" w:color="auto"/>
              <w:left w:val="single" w:sz="2" w:space="0" w:color="auto"/>
              <w:bottom w:val="single" w:sz="2" w:space="0" w:color="auto"/>
              <w:right w:val="single" w:sz="2" w:space="0" w:color="auto"/>
            </w:tcBorders>
          </w:tcPr>
          <w:p w14:paraId="441D8115" w14:textId="77777777" w:rsidR="009F4766" w:rsidRPr="00DE12A3" w:rsidRDefault="009F4766" w:rsidP="00C917D6">
            <w:pPr>
              <w:pStyle w:val="NormalLeft"/>
            </w:pPr>
            <w:r w:rsidRPr="00DE12A3">
              <w:t>34</w:t>
            </w:r>
          </w:p>
        </w:tc>
      </w:tr>
      <w:tr w:rsidR="00DE12A3" w:rsidRPr="00DE12A3" w14:paraId="45046C87" w14:textId="77777777" w:rsidTr="009F4766">
        <w:tc>
          <w:tcPr>
            <w:tcW w:w="1182" w:type="dxa"/>
            <w:tcBorders>
              <w:top w:val="single" w:sz="2" w:space="0" w:color="auto"/>
              <w:left w:val="single" w:sz="2" w:space="0" w:color="auto"/>
              <w:bottom w:val="single" w:sz="2" w:space="0" w:color="auto"/>
              <w:right w:val="single" w:sz="2" w:space="0" w:color="auto"/>
            </w:tcBorders>
          </w:tcPr>
          <w:p w14:paraId="539CC8D7" w14:textId="77777777" w:rsidR="009F4766" w:rsidRPr="00DE12A3" w:rsidRDefault="009F4766" w:rsidP="00C917D6">
            <w:pPr>
              <w:pStyle w:val="NormalLeft"/>
            </w:pPr>
            <w:r w:rsidRPr="00DE12A3">
              <w:t>575</w:t>
            </w:r>
          </w:p>
        </w:tc>
        <w:tc>
          <w:tcPr>
            <w:tcW w:w="2489" w:type="dxa"/>
            <w:tcBorders>
              <w:top w:val="single" w:sz="2" w:space="0" w:color="auto"/>
              <w:left w:val="single" w:sz="2" w:space="0" w:color="auto"/>
              <w:bottom w:val="single" w:sz="2" w:space="0" w:color="auto"/>
              <w:right w:val="single" w:sz="2" w:space="0" w:color="auto"/>
            </w:tcBorders>
          </w:tcPr>
          <w:p w14:paraId="40D1C735" w14:textId="77777777" w:rsidR="009F4766" w:rsidRPr="00DE12A3" w:rsidRDefault="009F4766" w:rsidP="00C917D6">
            <w:pPr>
              <w:pStyle w:val="NormalLeft"/>
            </w:pPr>
            <w:r w:rsidRPr="00DE12A3">
              <w:t>44</w:t>
            </w:r>
          </w:p>
        </w:tc>
        <w:tc>
          <w:tcPr>
            <w:tcW w:w="2551" w:type="dxa"/>
            <w:tcBorders>
              <w:top w:val="single" w:sz="2" w:space="0" w:color="auto"/>
              <w:left w:val="single" w:sz="2" w:space="0" w:color="auto"/>
              <w:bottom w:val="single" w:sz="2" w:space="0" w:color="auto"/>
              <w:right w:val="single" w:sz="2" w:space="0" w:color="auto"/>
            </w:tcBorders>
          </w:tcPr>
          <w:p w14:paraId="4AD413B2" w14:textId="77777777" w:rsidR="009F4766" w:rsidRPr="00DE12A3" w:rsidRDefault="009F4766" w:rsidP="00C917D6">
            <w:pPr>
              <w:pStyle w:val="NormalLeft"/>
            </w:pPr>
            <w:r w:rsidRPr="00DE12A3">
              <w:t>33</w:t>
            </w:r>
          </w:p>
        </w:tc>
      </w:tr>
      <w:tr w:rsidR="00DE12A3" w:rsidRPr="00DE12A3" w14:paraId="7375AC37" w14:textId="77777777" w:rsidTr="009F4766">
        <w:tc>
          <w:tcPr>
            <w:tcW w:w="1182" w:type="dxa"/>
            <w:tcBorders>
              <w:top w:val="single" w:sz="2" w:space="0" w:color="auto"/>
              <w:left w:val="single" w:sz="2" w:space="0" w:color="auto"/>
              <w:bottom w:val="single" w:sz="2" w:space="0" w:color="auto"/>
              <w:right w:val="single" w:sz="2" w:space="0" w:color="auto"/>
            </w:tcBorders>
          </w:tcPr>
          <w:p w14:paraId="55C46137" w14:textId="77777777" w:rsidR="009F4766" w:rsidRPr="00DE12A3" w:rsidRDefault="009F4766" w:rsidP="00C917D6">
            <w:pPr>
              <w:pStyle w:val="NormalLeft"/>
            </w:pPr>
            <w:r w:rsidRPr="00DE12A3">
              <w:t>576</w:t>
            </w:r>
          </w:p>
        </w:tc>
        <w:tc>
          <w:tcPr>
            <w:tcW w:w="2489" w:type="dxa"/>
            <w:tcBorders>
              <w:top w:val="single" w:sz="2" w:space="0" w:color="auto"/>
              <w:left w:val="single" w:sz="2" w:space="0" w:color="auto"/>
              <w:bottom w:val="single" w:sz="2" w:space="0" w:color="auto"/>
              <w:right w:val="single" w:sz="2" w:space="0" w:color="auto"/>
            </w:tcBorders>
          </w:tcPr>
          <w:p w14:paraId="69D26394" w14:textId="77777777" w:rsidR="009F4766" w:rsidRPr="00DE12A3" w:rsidRDefault="009F4766" w:rsidP="00C917D6">
            <w:pPr>
              <w:pStyle w:val="NormalLeft"/>
            </w:pPr>
            <w:r w:rsidRPr="00DE12A3">
              <w:t>40</w:t>
            </w:r>
          </w:p>
        </w:tc>
        <w:tc>
          <w:tcPr>
            <w:tcW w:w="2551" w:type="dxa"/>
            <w:tcBorders>
              <w:top w:val="single" w:sz="2" w:space="0" w:color="auto"/>
              <w:left w:val="single" w:sz="2" w:space="0" w:color="auto"/>
              <w:bottom w:val="single" w:sz="2" w:space="0" w:color="auto"/>
              <w:right w:val="single" w:sz="2" w:space="0" w:color="auto"/>
            </w:tcBorders>
          </w:tcPr>
          <w:p w14:paraId="4743147C" w14:textId="77777777" w:rsidR="009F4766" w:rsidRPr="00DE12A3" w:rsidRDefault="009F4766" w:rsidP="00C917D6">
            <w:pPr>
              <w:pStyle w:val="NormalLeft"/>
            </w:pPr>
            <w:r w:rsidRPr="00DE12A3">
              <w:t>40</w:t>
            </w:r>
          </w:p>
        </w:tc>
      </w:tr>
      <w:tr w:rsidR="00DE12A3" w:rsidRPr="00DE12A3" w14:paraId="74A03912" w14:textId="77777777" w:rsidTr="009F4766">
        <w:tc>
          <w:tcPr>
            <w:tcW w:w="1182" w:type="dxa"/>
            <w:tcBorders>
              <w:top w:val="single" w:sz="2" w:space="0" w:color="auto"/>
              <w:left w:val="single" w:sz="2" w:space="0" w:color="auto"/>
              <w:bottom w:val="single" w:sz="2" w:space="0" w:color="auto"/>
              <w:right w:val="single" w:sz="2" w:space="0" w:color="auto"/>
            </w:tcBorders>
          </w:tcPr>
          <w:p w14:paraId="045CABA7" w14:textId="77777777" w:rsidR="009F4766" w:rsidRPr="00DE12A3" w:rsidRDefault="009F4766" w:rsidP="00C917D6">
            <w:pPr>
              <w:pStyle w:val="NormalLeft"/>
            </w:pPr>
            <w:r w:rsidRPr="00DE12A3">
              <w:t>577</w:t>
            </w:r>
          </w:p>
        </w:tc>
        <w:tc>
          <w:tcPr>
            <w:tcW w:w="2489" w:type="dxa"/>
            <w:tcBorders>
              <w:top w:val="single" w:sz="2" w:space="0" w:color="auto"/>
              <w:left w:val="single" w:sz="2" w:space="0" w:color="auto"/>
              <w:bottom w:val="single" w:sz="2" w:space="0" w:color="auto"/>
              <w:right w:val="single" w:sz="2" w:space="0" w:color="auto"/>
            </w:tcBorders>
          </w:tcPr>
          <w:p w14:paraId="7231C7E8" w14:textId="77777777" w:rsidR="009F4766" w:rsidRPr="00DE12A3" w:rsidRDefault="009F4766" w:rsidP="00C917D6">
            <w:pPr>
              <w:pStyle w:val="NormalLeft"/>
            </w:pPr>
            <w:r w:rsidRPr="00DE12A3">
              <w:t>28</w:t>
            </w:r>
          </w:p>
        </w:tc>
        <w:tc>
          <w:tcPr>
            <w:tcW w:w="2551" w:type="dxa"/>
            <w:tcBorders>
              <w:top w:val="single" w:sz="2" w:space="0" w:color="auto"/>
              <w:left w:val="single" w:sz="2" w:space="0" w:color="auto"/>
              <w:bottom w:val="single" w:sz="2" w:space="0" w:color="auto"/>
              <w:right w:val="single" w:sz="2" w:space="0" w:color="auto"/>
            </w:tcBorders>
          </w:tcPr>
          <w:p w14:paraId="7ACF0FDB" w14:textId="77777777" w:rsidR="009F4766" w:rsidRPr="00DE12A3" w:rsidRDefault="009F4766" w:rsidP="00C917D6">
            <w:pPr>
              <w:pStyle w:val="NormalLeft"/>
            </w:pPr>
            <w:r w:rsidRPr="00DE12A3">
              <w:t>58</w:t>
            </w:r>
          </w:p>
        </w:tc>
      </w:tr>
      <w:tr w:rsidR="00DE12A3" w:rsidRPr="00DE12A3" w14:paraId="7C46636C" w14:textId="77777777" w:rsidTr="009F4766">
        <w:tc>
          <w:tcPr>
            <w:tcW w:w="1182" w:type="dxa"/>
            <w:tcBorders>
              <w:top w:val="single" w:sz="2" w:space="0" w:color="auto"/>
              <w:left w:val="single" w:sz="2" w:space="0" w:color="auto"/>
              <w:bottom w:val="single" w:sz="2" w:space="0" w:color="auto"/>
              <w:right w:val="single" w:sz="2" w:space="0" w:color="auto"/>
            </w:tcBorders>
          </w:tcPr>
          <w:p w14:paraId="41BA52C3" w14:textId="77777777" w:rsidR="009F4766" w:rsidRPr="00DE12A3" w:rsidRDefault="009F4766" w:rsidP="00C917D6">
            <w:pPr>
              <w:pStyle w:val="NormalLeft"/>
            </w:pPr>
            <w:r w:rsidRPr="00DE12A3">
              <w:t>578</w:t>
            </w:r>
          </w:p>
        </w:tc>
        <w:tc>
          <w:tcPr>
            <w:tcW w:w="2489" w:type="dxa"/>
            <w:tcBorders>
              <w:top w:val="single" w:sz="2" w:space="0" w:color="auto"/>
              <w:left w:val="single" w:sz="2" w:space="0" w:color="auto"/>
              <w:bottom w:val="single" w:sz="2" w:space="0" w:color="auto"/>
              <w:right w:val="single" w:sz="2" w:space="0" w:color="auto"/>
            </w:tcBorders>
          </w:tcPr>
          <w:p w14:paraId="2405D9FC" w14:textId="77777777" w:rsidR="009F4766" w:rsidRPr="00DE12A3" w:rsidRDefault="009F4766" w:rsidP="00C917D6">
            <w:pPr>
              <w:pStyle w:val="NormalLeft"/>
            </w:pPr>
            <w:r w:rsidRPr="00DE12A3">
              <w:t>27</w:t>
            </w:r>
          </w:p>
        </w:tc>
        <w:tc>
          <w:tcPr>
            <w:tcW w:w="2551" w:type="dxa"/>
            <w:tcBorders>
              <w:top w:val="single" w:sz="2" w:space="0" w:color="auto"/>
              <w:left w:val="single" w:sz="2" w:space="0" w:color="auto"/>
              <w:bottom w:val="single" w:sz="2" w:space="0" w:color="auto"/>
              <w:right w:val="single" w:sz="2" w:space="0" w:color="auto"/>
            </w:tcBorders>
          </w:tcPr>
          <w:p w14:paraId="0F88558B" w14:textId="77777777" w:rsidR="009F4766" w:rsidRPr="00DE12A3" w:rsidRDefault="009F4766" w:rsidP="00C917D6">
            <w:pPr>
              <w:pStyle w:val="NormalLeft"/>
            </w:pPr>
            <w:r w:rsidRPr="00DE12A3">
              <w:t>63</w:t>
            </w:r>
          </w:p>
        </w:tc>
      </w:tr>
      <w:tr w:rsidR="00DE12A3" w:rsidRPr="00DE12A3" w14:paraId="732DEFAD" w14:textId="77777777" w:rsidTr="009F4766">
        <w:tc>
          <w:tcPr>
            <w:tcW w:w="1182" w:type="dxa"/>
            <w:tcBorders>
              <w:top w:val="single" w:sz="2" w:space="0" w:color="auto"/>
              <w:left w:val="single" w:sz="2" w:space="0" w:color="auto"/>
              <w:bottom w:val="single" w:sz="2" w:space="0" w:color="auto"/>
              <w:right w:val="single" w:sz="2" w:space="0" w:color="auto"/>
            </w:tcBorders>
          </w:tcPr>
          <w:p w14:paraId="336133B3" w14:textId="77777777" w:rsidR="009F4766" w:rsidRPr="00DE12A3" w:rsidRDefault="009F4766" w:rsidP="00C917D6">
            <w:pPr>
              <w:pStyle w:val="NormalLeft"/>
            </w:pPr>
            <w:r w:rsidRPr="00DE12A3">
              <w:lastRenderedPageBreak/>
              <w:t>579</w:t>
            </w:r>
          </w:p>
        </w:tc>
        <w:tc>
          <w:tcPr>
            <w:tcW w:w="2489" w:type="dxa"/>
            <w:tcBorders>
              <w:top w:val="single" w:sz="2" w:space="0" w:color="auto"/>
              <w:left w:val="single" w:sz="2" w:space="0" w:color="auto"/>
              <w:bottom w:val="single" w:sz="2" w:space="0" w:color="auto"/>
              <w:right w:val="single" w:sz="2" w:space="0" w:color="auto"/>
            </w:tcBorders>
          </w:tcPr>
          <w:p w14:paraId="33093178" w14:textId="77777777" w:rsidR="009F4766" w:rsidRPr="00DE12A3" w:rsidRDefault="009F4766" w:rsidP="00C917D6">
            <w:pPr>
              <w:pStyle w:val="NormalLeft"/>
            </w:pPr>
            <w:r w:rsidRPr="00DE12A3">
              <w:t>35</w:t>
            </w:r>
          </w:p>
        </w:tc>
        <w:tc>
          <w:tcPr>
            <w:tcW w:w="2551" w:type="dxa"/>
            <w:tcBorders>
              <w:top w:val="single" w:sz="2" w:space="0" w:color="auto"/>
              <w:left w:val="single" w:sz="2" w:space="0" w:color="auto"/>
              <w:bottom w:val="single" w:sz="2" w:space="0" w:color="auto"/>
              <w:right w:val="single" w:sz="2" w:space="0" w:color="auto"/>
            </w:tcBorders>
          </w:tcPr>
          <w:p w14:paraId="02BBA176" w14:textId="77777777" w:rsidR="009F4766" w:rsidRPr="00DE12A3" w:rsidRDefault="009F4766" w:rsidP="00C917D6">
            <w:pPr>
              <w:pStyle w:val="NormalLeft"/>
            </w:pPr>
            <w:r w:rsidRPr="00DE12A3">
              <w:t>45</w:t>
            </w:r>
          </w:p>
        </w:tc>
      </w:tr>
      <w:tr w:rsidR="00DE12A3" w:rsidRPr="00DE12A3" w14:paraId="4652DA4F" w14:textId="77777777" w:rsidTr="009F4766">
        <w:tc>
          <w:tcPr>
            <w:tcW w:w="1182" w:type="dxa"/>
            <w:tcBorders>
              <w:top w:val="single" w:sz="2" w:space="0" w:color="auto"/>
              <w:left w:val="single" w:sz="2" w:space="0" w:color="auto"/>
              <w:bottom w:val="single" w:sz="2" w:space="0" w:color="auto"/>
              <w:right w:val="single" w:sz="2" w:space="0" w:color="auto"/>
            </w:tcBorders>
          </w:tcPr>
          <w:p w14:paraId="4450A873" w14:textId="77777777" w:rsidR="009F4766" w:rsidRPr="00DE12A3" w:rsidRDefault="009F4766" w:rsidP="00C917D6">
            <w:pPr>
              <w:pStyle w:val="NormalLeft"/>
            </w:pPr>
            <w:r w:rsidRPr="00DE12A3">
              <w:t>580</w:t>
            </w:r>
          </w:p>
        </w:tc>
        <w:tc>
          <w:tcPr>
            <w:tcW w:w="2489" w:type="dxa"/>
            <w:tcBorders>
              <w:top w:val="single" w:sz="2" w:space="0" w:color="auto"/>
              <w:left w:val="single" w:sz="2" w:space="0" w:color="auto"/>
              <w:bottom w:val="single" w:sz="2" w:space="0" w:color="auto"/>
              <w:right w:val="single" w:sz="2" w:space="0" w:color="auto"/>
            </w:tcBorders>
          </w:tcPr>
          <w:p w14:paraId="655B2435" w14:textId="77777777" w:rsidR="009F4766" w:rsidRPr="00DE12A3" w:rsidRDefault="009F4766" w:rsidP="00C917D6">
            <w:pPr>
              <w:pStyle w:val="NormalLeft"/>
            </w:pPr>
            <w:r w:rsidRPr="00DE12A3">
              <w:t>20</w:t>
            </w:r>
          </w:p>
        </w:tc>
        <w:tc>
          <w:tcPr>
            <w:tcW w:w="2551" w:type="dxa"/>
            <w:tcBorders>
              <w:top w:val="single" w:sz="2" w:space="0" w:color="auto"/>
              <w:left w:val="single" w:sz="2" w:space="0" w:color="auto"/>
              <w:bottom w:val="single" w:sz="2" w:space="0" w:color="auto"/>
              <w:right w:val="single" w:sz="2" w:space="0" w:color="auto"/>
            </w:tcBorders>
          </w:tcPr>
          <w:p w14:paraId="7488FCB0" w14:textId="77777777" w:rsidR="009F4766" w:rsidRPr="00DE12A3" w:rsidRDefault="009F4766" w:rsidP="00C917D6">
            <w:pPr>
              <w:pStyle w:val="NormalLeft"/>
            </w:pPr>
            <w:r w:rsidRPr="00DE12A3">
              <w:t>66</w:t>
            </w:r>
          </w:p>
        </w:tc>
      </w:tr>
      <w:tr w:rsidR="00DE12A3" w:rsidRPr="00DE12A3" w14:paraId="374DAA79" w14:textId="77777777" w:rsidTr="009F4766">
        <w:tc>
          <w:tcPr>
            <w:tcW w:w="1182" w:type="dxa"/>
            <w:tcBorders>
              <w:top w:val="single" w:sz="2" w:space="0" w:color="auto"/>
              <w:left w:val="single" w:sz="2" w:space="0" w:color="auto"/>
              <w:bottom w:val="single" w:sz="2" w:space="0" w:color="auto"/>
              <w:right w:val="single" w:sz="2" w:space="0" w:color="auto"/>
            </w:tcBorders>
          </w:tcPr>
          <w:p w14:paraId="738DD19A" w14:textId="77777777" w:rsidR="009F4766" w:rsidRPr="00DE12A3" w:rsidRDefault="009F4766" w:rsidP="00C917D6">
            <w:pPr>
              <w:pStyle w:val="NormalLeft"/>
            </w:pPr>
            <w:r w:rsidRPr="00DE12A3">
              <w:t>581</w:t>
            </w:r>
          </w:p>
        </w:tc>
        <w:tc>
          <w:tcPr>
            <w:tcW w:w="2489" w:type="dxa"/>
            <w:tcBorders>
              <w:top w:val="single" w:sz="2" w:space="0" w:color="auto"/>
              <w:left w:val="single" w:sz="2" w:space="0" w:color="auto"/>
              <w:bottom w:val="single" w:sz="2" w:space="0" w:color="auto"/>
              <w:right w:val="single" w:sz="2" w:space="0" w:color="auto"/>
            </w:tcBorders>
          </w:tcPr>
          <w:p w14:paraId="22AEF709" w14:textId="77777777" w:rsidR="009F4766" w:rsidRPr="00DE12A3" w:rsidRDefault="009F4766" w:rsidP="00C917D6">
            <w:pPr>
              <w:pStyle w:val="NormalLeft"/>
            </w:pPr>
            <w:r w:rsidRPr="00DE12A3">
              <w:t>15</w:t>
            </w:r>
          </w:p>
        </w:tc>
        <w:tc>
          <w:tcPr>
            <w:tcW w:w="2551" w:type="dxa"/>
            <w:tcBorders>
              <w:top w:val="single" w:sz="2" w:space="0" w:color="auto"/>
              <w:left w:val="single" w:sz="2" w:space="0" w:color="auto"/>
              <w:bottom w:val="single" w:sz="2" w:space="0" w:color="auto"/>
              <w:right w:val="single" w:sz="2" w:space="0" w:color="auto"/>
            </w:tcBorders>
          </w:tcPr>
          <w:p w14:paraId="2D47D1F0" w14:textId="77777777" w:rsidR="009F4766" w:rsidRPr="00DE12A3" w:rsidRDefault="009F4766" w:rsidP="00C917D6">
            <w:pPr>
              <w:pStyle w:val="NormalLeft"/>
            </w:pPr>
            <w:r w:rsidRPr="00DE12A3">
              <w:t>60</w:t>
            </w:r>
          </w:p>
        </w:tc>
      </w:tr>
      <w:tr w:rsidR="00DE12A3" w:rsidRPr="00DE12A3" w14:paraId="38A5B01B" w14:textId="77777777" w:rsidTr="009F4766">
        <w:tc>
          <w:tcPr>
            <w:tcW w:w="1182" w:type="dxa"/>
            <w:tcBorders>
              <w:top w:val="single" w:sz="2" w:space="0" w:color="auto"/>
              <w:left w:val="single" w:sz="2" w:space="0" w:color="auto"/>
              <w:bottom w:val="single" w:sz="2" w:space="0" w:color="auto"/>
              <w:right w:val="single" w:sz="2" w:space="0" w:color="auto"/>
            </w:tcBorders>
          </w:tcPr>
          <w:p w14:paraId="3991A5F8" w14:textId="77777777" w:rsidR="009F4766" w:rsidRPr="00DE12A3" w:rsidRDefault="009F4766" w:rsidP="00C917D6">
            <w:pPr>
              <w:pStyle w:val="NormalLeft"/>
            </w:pPr>
            <w:r w:rsidRPr="00DE12A3">
              <w:t>582</w:t>
            </w:r>
          </w:p>
        </w:tc>
        <w:tc>
          <w:tcPr>
            <w:tcW w:w="2489" w:type="dxa"/>
            <w:tcBorders>
              <w:top w:val="single" w:sz="2" w:space="0" w:color="auto"/>
              <w:left w:val="single" w:sz="2" w:space="0" w:color="auto"/>
              <w:bottom w:val="single" w:sz="2" w:space="0" w:color="auto"/>
              <w:right w:val="single" w:sz="2" w:space="0" w:color="auto"/>
            </w:tcBorders>
          </w:tcPr>
          <w:p w14:paraId="2398F5E9" w14:textId="77777777" w:rsidR="009F4766" w:rsidRPr="00DE12A3" w:rsidRDefault="009F4766" w:rsidP="00C917D6">
            <w:pPr>
              <w:pStyle w:val="NormalLeft"/>
            </w:pPr>
            <w:r w:rsidRPr="00DE12A3">
              <w:t>10</w:t>
            </w:r>
          </w:p>
        </w:tc>
        <w:tc>
          <w:tcPr>
            <w:tcW w:w="2551" w:type="dxa"/>
            <w:tcBorders>
              <w:top w:val="single" w:sz="2" w:space="0" w:color="auto"/>
              <w:left w:val="single" w:sz="2" w:space="0" w:color="auto"/>
              <w:bottom w:val="single" w:sz="2" w:space="0" w:color="auto"/>
              <w:right w:val="single" w:sz="2" w:space="0" w:color="auto"/>
            </w:tcBorders>
          </w:tcPr>
          <w:p w14:paraId="3E1EA4D1" w14:textId="77777777" w:rsidR="009F4766" w:rsidRPr="00DE12A3" w:rsidRDefault="009F4766" w:rsidP="00C917D6">
            <w:pPr>
              <w:pStyle w:val="NormalLeft"/>
            </w:pPr>
            <w:r w:rsidRPr="00DE12A3">
              <w:t>52</w:t>
            </w:r>
          </w:p>
        </w:tc>
      </w:tr>
      <w:tr w:rsidR="00DE12A3" w:rsidRPr="00DE12A3" w14:paraId="60FDE597" w14:textId="77777777" w:rsidTr="009F4766">
        <w:tc>
          <w:tcPr>
            <w:tcW w:w="1182" w:type="dxa"/>
            <w:tcBorders>
              <w:top w:val="single" w:sz="2" w:space="0" w:color="auto"/>
              <w:left w:val="single" w:sz="2" w:space="0" w:color="auto"/>
              <w:bottom w:val="single" w:sz="2" w:space="0" w:color="auto"/>
              <w:right w:val="single" w:sz="2" w:space="0" w:color="auto"/>
            </w:tcBorders>
          </w:tcPr>
          <w:p w14:paraId="4761CEE7" w14:textId="77777777" w:rsidR="009F4766" w:rsidRPr="00DE12A3" w:rsidRDefault="009F4766" w:rsidP="00C917D6">
            <w:pPr>
              <w:pStyle w:val="NormalLeft"/>
            </w:pPr>
            <w:r w:rsidRPr="00DE12A3">
              <w:t>583</w:t>
            </w:r>
          </w:p>
        </w:tc>
        <w:tc>
          <w:tcPr>
            <w:tcW w:w="2489" w:type="dxa"/>
            <w:tcBorders>
              <w:top w:val="single" w:sz="2" w:space="0" w:color="auto"/>
              <w:left w:val="single" w:sz="2" w:space="0" w:color="auto"/>
              <w:bottom w:val="single" w:sz="2" w:space="0" w:color="auto"/>
              <w:right w:val="single" w:sz="2" w:space="0" w:color="auto"/>
            </w:tcBorders>
          </w:tcPr>
          <w:p w14:paraId="0E4B5E9F" w14:textId="77777777" w:rsidR="009F4766" w:rsidRPr="00DE12A3" w:rsidRDefault="009F4766" w:rsidP="00C917D6">
            <w:pPr>
              <w:pStyle w:val="NormalLeft"/>
            </w:pPr>
            <w:r w:rsidRPr="00DE12A3">
              <w:t>22</w:t>
            </w:r>
          </w:p>
        </w:tc>
        <w:tc>
          <w:tcPr>
            <w:tcW w:w="2551" w:type="dxa"/>
            <w:tcBorders>
              <w:top w:val="single" w:sz="2" w:space="0" w:color="auto"/>
              <w:left w:val="single" w:sz="2" w:space="0" w:color="auto"/>
              <w:bottom w:val="single" w:sz="2" w:space="0" w:color="auto"/>
              <w:right w:val="single" w:sz="2" w:space="0" w:color="auto"/>
            </w:tcBorders>
          </w:tcPr>
          <w:p w14:paraId="7C79A00C" w14:textId="77777777" w:rsidR="009F4766" w:rsidRPr="00DE12A3" w:rsidRDefault="009F4766" w:rsidP="00C917D6">
            <w:pPr>
              <w:pStyle w:val="NormalLeft"/>
            </w:pPr>
            <w:r w:rsidRPr="00DE12A3">
              <w:t>56</w:t>
            </w:r>
          </w:p>
        </w:tc>
      </w:tr>
      <w:tr w:rsidR="00DE12A3" w:rsidRPr="00DE12A3" w14:paraId="71FAC359" w14:textId="77777777" w:rsidTr="009F4766">
        <w:tc>
          <w:tcPr>
            <w:tcW w:w="1182" w:type="dxa"/>
            <w:tcBorders>
              <w:top w:val="single" w:sz="2" w:space="0" w:color="auto"/>
              <w:left w:val="single" w:sz="2" w:space="0" w:color="auto"/>
              <w:bottom w:val="single" w:sz="2" w:space="0" w:color="auto"/>
              <w:right w:val="single" w:sz="2" w:space="0" w:color="auto"/>
            </w:tcBorders>
          </w:tcPr>
          <w:p w14:paraId="075DCE2A" w14:textId="77777777" w:rsidR="009F4766" w:rsidRPr="00DE12A3" w:rsidRDefault="009F4766" w:rsidP="00C917D6">
            <w:pPr>
              <w:pStyle w:val="NormalLeft"/>
            </w:pPr>
            <w:r w:rsidRPr="00DE12A3">
              <w:t>584</w:t>
            </w:r>
          </w:p>
        </w:tc>
        <w:tc>
          <w:tcPr>
            <w:tcW w:w="2489" w:type="dxa"/>
            <w:tcBorders>
              <w:top w:val="single" w:sz="2" w:space="0" w:color="auto"/>
              <w:left w:val="single" w:sz="2" w:space="0" w:color="auto"/>
              <w:bottom w:val="single" w:sz="2" w:space="0" w:color="auto"/>
              <w:right w:val="single" w:sz="2" w:space="0" w:color="auto"/>
            </w:tcBorders>
          </w:tcPr>
          <w:p w14:paraId="34BAE1D9" w14:textId="77777777" w:rsidR="009F4766" w:rsidRPr="00DE12A3" w:rsidRDefault="009F4766" w:rsidP="00C917D6">
            <w:pPr>
              <w:pStyle w:val="NormalLeft"/>
            </w:pPr>
            <w:r w:rsidRPr="00DE12A3">
              <w:t>30</w:t>
            </w:r>
          </w:p>
        </w:tc>
        <w:tc>
          <w:tcPr>
            <w:tcW w:w="2551" w:type="dxa"/>
            <w:tcBorders>
              <w:top w:val="single" w:sz="2" w:space="0" w:color="auto"/>
              <w:left w:val="single" w:sz="2" w:space="0" w:color="auto"/>
              <w:bottom w:val="single" w:sz="2" w:space="0" w:color="auto"/>
              <w:right w:val="single" w:sz="2" w:space="0" w:color="auto"/>
            </w:tcBorders>
          </w:tcPr>
          <w:p w14:paraId="00770B57" w14:textId="77777777" w:rsidR="009F4766" w:rsidRPr="00DE12A3" w:rsidRDefault="009F4766" w:rsidP="00C917D6">
            <w:pPr>
              <w:pStyle w:val="NormalLeft"/>
            </w:pPr>
            <w:r w:rsidRPr="00DE12A3">
              <w:t>62</w:t>
            </w:r>
          </w:p>
        </w:tc>
      </w:tr>
      <w:tr w:rsidR="00DE12A3" w:rsidRPr="00DE12A3" w14:paraId="5C6806B0" w14:textId="77777777" w:rsidTr="009F4766">
        <w:tc>
          <w:tcPr>
            <w:tcW w:w="1182" w:type="dxa"/>
            <w:tcBorders>
              <w:top w:val="single" w:sz="2" w:space="0" w:color="auto"/>
              <w:left w:val="single" w:sz="2" w:space="0" w:color="auto"/>
              <w:bottom w:val="single" w:sz="2" w:space="0" w:color="auto"/>
              <w:right w:val="single" w:sz="2" w:space="0" w:color="auto"/>
            </w:tcBorders>
          </w:tcPr>
          <w:p w14:paraId="3C2516C2" w14:textId="77777777" w:rsidR="009F4766" w:rsidRPr="00DE12A3" w:rsidRDefault="009F4766" w:rsidP="00C917D6">
            <w:pPr>
              <w:pStyle w:val="NormalLeft"/>
            </w:pPr>
            <w:r w:rsidRPr="00DE12A3">
              <w:t>585</w:t>
            </w:r>
          </w:p>
        </w:tc>
        <w:tc>
          <w:tcPr>
            <w:tcW w:w="2489" w:type="dxa"/>
            <w:tcBorders>
              <w:top w:val="single" w:sz="2" w:space="0" w:color="auto"/>
              <w:left w:val="single" w:sz="2" w:space="0" w:color="auto"/>
              <w:bottom w:val="single" w:sz="2" w:space="0" w:color="auto"/>
              <w:right w:val="single" w:sz="2" w:space="0" w:color="auto"/>
            </w:tcBorders>
          </w:tcPr>
          <w:p w14:paraId="75E6E55E" w14:textId="77777777" w:rsidR="009F4766" w:rsidRPr="00DE12A3" w:rsidRDefault="009F4766" w:rsidP="00C917D6">
            <w:pPr>
              <w:pStyle w:val="NormalLeft"/>
            </w:pPr>
            <w:r w:rsidRPr="00DE12A3">
              <w:t>21</w:t>
            </w:r>
          </w:p>
        </w:tc>
        <w:tc>
          <w:tcPr>
            <w:tcW w:w="2551" w:type="dxa"/>
            <w:tcBorders>
              <w:top w:val="single" w:sz="2" w:space="0" w:color="auto"/>
              <w:left w:val="single" w:sz="2" w:space="0" w:color="auto"/>
              <w:bottom w:val="single" w:sz="2" w:space="0" w:color="auto"/>
              <w:right w:val="single" w:sz="2" w:space="0" w:color="auto"/>
            </w:tcBorders>
          </w:tcPr>
          <w:p w14:paraId="35FA3FA2" w14:textId="77777777" w:rsidR="009F4766" w:rsidRPr="00DE12A3" w:rsidRDefault="009F4766" w:rsidP="00C917D6">
            <w:pPr>
              <w:pStyle w:val="NormalLeft"/>
            </w:pPr>
            <w:r w:rsidRPr="00DE12A3">
              <w:t>67</w:t>
            </w:r>
          </w:p>
        </w:tc>
      </w:tr>
      <w:tr w:rsidR="00DE12A3" w:rsidRPr="00DE12A3" w14:paraId="5A7D2FF6" w14:textId="77777777" w:rsidTr="009F4766">
        <w:tc>
          <w:tcPr>
            <w:tcW w:w="1182" w:type="dxa"/>
            <w:tcBorders>
              <w:top w:val="single" w:sz="2" w:space="0" w:color="auto"/>
              <w:left w:val="single" w:sz="2" w:space="0" w:color="auto"/>
              <w:bottom w:val="single" w:sz="2" w:space="0" w:color="auto"/>
              <w:right w:val="single" w:sz="2" w:space="0" w:color="auto"/>
            </w:tcBorders>
          </w:tcPr>
          <w:p w14:paraId="1DD569CD" w14:textId="77777777" w:rsidR="009F4766" w:rsidRPr="00DE12A3" w:rsidRDefault="009F4766" w:rsidP="00C917D6">
            <w:pPr>
              <w:pStyle w:val="NormalLeft"/>
            </w:pPr>
            <w:r w:rsidRPr="00DE12A3">
              <w:t>586</w:t>
            </w:r>
          </w:p>
        </w:tc>
        <w:tc>
          <w:tcPr>
            <w:tcW w:w="2489" w:type="dxa"/>
            <w:tcBorders>
              <w:top w:val="single" w:sz="2" w:space="0" w:color="auto"/>
              <w:left w:val="single" w:sz="2" w:space="0" w:color="auto"/>
              <w:bottom w:val="single" w:sz="2" w:space="0" w:color="auto"/>
              <w:right w:val="single" w:sz="2" w:space="0" w:color="auto"/>
            </w:tcBorders>
          </w:tcPr>
          <w:p w14:paraId="1F48AB7A" w14:textId="77777777" w:rsidR="009F4766" w:rsidRPr="00DE12A3" w:rsidRDefault="009F4766" w:rsidP="00C917D6">
            <w:pPr>
              <w:pStyle w:val="NormalLeft"/>
            </w:pPr>
            <w:r w:rsidRPr="00DE12A3">
              <w:t>29</w:t>
            </w:r>
          </w:p>
        </w:tc>
        <w:tc>
          <w:tcPr>
            <w:tcW w:w="2551" w:type="dxa"/>
            <w:tcBorders>
              <w:top w:val="single" w:sz="2" w:space="0" w:color="auto"/>
              <w:left w:val="single" w:sz="2" w:space="0" w:color="auto"/>
              <w:bottom w:val="single" w:sz="2" w:space="0" w:color="auto"/>
              <w:right w:val="single" w:sz="2" w:space="0" w:color="auto"/>
            </w:tcBorders>
          </w:tcPr>
          <w:p w14:paraId="41E71E2B" w14:textId="77777777" w:rsidR="009F4766" w:rsidRPr="00DE12A3" w:rsidRDefault="009F4766" w:rsidP="00C917D6">
            <w:pPr>
              <w:pStyle w:val="NormalLeft"/>
            </w:pPr>
            <w:r w:rsidRPr="00DE12A3">
              <w:t>53</w:t>
            </w:r>
          </w:p>
        </w:tc>
      </w:tr>
      <w:tr w:rsidR="00DE12A3" w:rsidRPr="00DE12A3" w14:paraId="549F56A7" w14:textId="77777777" w:rsidTr="009F4766">
        <w:tc>
          <w:tcPr>
            <w:tcW w:w="1182" w:type="dxa"/>
            <w:tcBorders>
              <w:top w:val="single" w:sz="2" w:space="0" w:color="auto"/>
              <w:left w:val="single" w:sz="2" w:space="0" w:color="auto"/>
              <w:bottom w:val="single" w:sz="2" w:space="0" w:color="auto"/>
              <w:right w:val="single" w:sz="2" w:space="0" w:color="auto"/>
            </w:tcBorders>
          </w:tcPr>
          <w:p w14:paraId="0FA5D021" w14:textId="77777777" w:rsidR="009F4766" w:rsidRPr="00DE12A3" w:rsidRDefault="009F4766" w:rsidP="00C917D6">
            <w:pPr>
              <w:pStyle w:val="NormalLeft"/>
            </w:pPr>
            <w:r w:rsidRPr="00DE12A3">
              <w:t>587</w:t>
            </w:r>
          </w:p>
        </w:tc>
        <w:tc>
          <w:tcPr>
            <w:tcW w:w="2489" w:type="dxa"/>
            <w:tcBorders>
              <w:top w:val="single" w:sz="2" w:space="0" w:color="auto"/>
              <w:left w:val="single" w:sz="2" w:space="0" w:color="auto"/>
              <w:bottom w:val="single" w:sz="2" w:space="0" w:color="auto"/>
              <w:right w:val="single" w:sz="2" w:space="0" w:color="auto"/>
            </w:tcBorders>
          </w:tcPr>
          <w:p w14:paraId="672E3AB5" w14:textId="77777777" w:rsidR="009F4766" w:rsidRPr="00DE12A3" w:rsidRDefault="009F4766" w:rsidP="00C917D6">
            <w:pPr>
              <w:pStyle w:val="NormalLeft"/>
            </w:pPr>
            <w:r w:rsidRPr="00DE12A3">
              <w:t>41</w:t>
            </w:r>
          </w:p>
        </w:tc>
        <w:tc>
          <w:tcPr>
            <w:tcW w:w="2551" w:type="dxa"/>
            <w:tcBorders>
              <w:top w:val="single" w:sz="2" w:space="0" w:color="auto"/>
              <w:left w:val="single" w:sz="2" w:space="0" w:color="auto"/>
              <w:bottom w:val="single" w:sz="2" w:space="0" w:color="auto"/>
              <w:right w:val="single" w:sz="2" w:space="0" w:color="auto"/>
            </w:tcBorders>
          </w:tcPr>
          <w:p w14:paraId="738F1ED9" w14:textId="77777777" w:rsidR="009F4766" w:rsidRPr="00DE12A3" w:rsidRDefault="009F4766" w:rsidP="00C917D6">
            <w:pPr>
              <w:pStyle w:val="NormalLeft"/>
            </w:pPr>
            <w:r w:rsidRPr="00DE12A3">
              <w:t>56</w:t>
            </w:r>
          </w:p>
        </w:tc>
      </w:tr>
      <w:tr w:rsidR="00DE12A3" w:rsidRPr="00DE12A3" w14:paraId="10988BA0" w14:textId="77777777" w:rsidTr="009F4766">
        <w:tc>
          <w:tcPr>
            <w:tcW w:w="1182" w:type="dxa"/>
            <w:tcBorders>
              <w:top w:val="single" w:sz="2" w:space="0" w:color="auto"/>
              <w:left w:val="single" w:sz="2" w:space="0" w:color="auto"/>
              <w:bottom w:val="single" w:sz="2" w:space="0" w:color="auto"/>
              <w:right w:val="single" w:sz="2" w:space="0" w:color="auto"/>
            </w:tcBorders>
          </w:tcPr>
          <w:p w14:paraId="7FCC2D30" w14:textId="77777777" w:rsidR="009F4766" w:rsidRPr="00DE12A3" w:rsidRDefault="009F4766" w:rsidP="00C917D6">
            <w:pPr>
              <w:pStyle w:val="NormalLeft"/>
            </w:pPr>
            <w:r w:rsidRPr="00DE12A3">
              <w:t>588</w:t>
            </w:r>
          </w:p>
        </w:tc>
        <w:tc>
          <w:tcPr>
            <w:tcW w:w="2489" w:type="dxa"/>
            <w:tcBorders>
              <w:top w:val="single" w:sz="2" w:space="0" w:color="auto"/>
              <w:left w:val="single" w:sz="2" w:space="0" w:color="auto"/>
              <w:bottom w:val="single" w:sz="2" w:space="0" w:color="auto"/>
              <w:right w:val="single" w:sz="2" w:space="0" w:color="auto"/>
            </w:tcBorders>
          </w:tcPr>
          <w:p w14:paraId="56EE998D" w14:textId="77777777" w:rsidR="009F4766" w:rsidRPr="00DE12A3" w:rsidRDefault="009F4766" w:rsidP="00C917D6">
            <w:pPr>
              <w:pStyle w:val="NormalLeft"/>
            </w:pPr>
            <w:r w:rsidRPr="00DE12A3">
              <w:t>15</w:t>
            </w:r>
          </w:p>
        </w:tc>
        <w:tc>
          <w:tcPr>
            <w:tcW w:w="2551" w:type="dxa"/>
            <w:tcBorders>
              <w:top w:val="single" w:sz="2" w:space="0" w:color="auto"/>
              <w:left w:val="single" w:sz="2" w:space="0" w:color="auto"/>
              <w:bottom w:val="single" w:sz="2" w:space="0" w:color="auto"/>
              <w:right w:val="single" w:sz="2" w:space="0" w:color="auto"/>
            </w:tcBorders>
          </w:tcPr>
          <w:p w14:paraId="1A858DAB" w14:textId="77777777" w:rsidR="009F4766" w:rsidRPr="00DE12A3" w:rsidRDefault="009F4766" w:rsidP="00C917D6">
            <w:pPr>
              <w:pStyle w:val="NormalLeft"/>
            </w:pPr>
            <w:r w:rsidRPr="00DE12A3">
              <w:t>67</w:t>
            </w:r>
          </w:p>
        </w:tc>
      </w:tr>
      <w:tr w:rsidR="00DE12A3" w:rsidRPr="00DE12A3" w14:paraId="6EE5B6CF" w14:textId="77777777" w:rsidTr="009F4766">
        <w:tc>
          <w:tcPr>
            <w:tcW w:w="1182" w:type="dxa"/>
            <w:tcBorders>
              <w:top w:val="single" w:sz="2" w:space="0" w:color="auto"/>
              <w:left w:val="single" w:sz="2" w:space="0" w:color="auto"/>
              <w:bottom w:val="single" w:sz="2" w:space="0" w:color="auto"/>
              <w:right w:val="single" w:sz="2" w:space="0" w:color="auto"/>
            </w:tcBorders>
          </w:tcPr>
          <w:p w14:paraId="47313CEF" w14:textId="77777777" w:rsidR="009F4766" w:rsidRPr="00DE12A3" w:rsidRDefault="009F4766" w:rsidP="00C917D6">
            <w:pPr>
              <w:pStyle w:val="NormalLeft"/>
            </w:pPr>
            <w:r w:rsidRPr="00DE12A3">
              <w:t>589</w:t>
            </w:r>
          </w:p>
        </w:tc>
        <w:tc>
          <w:tcPr>
            <w:tcW w:w="2489" w:type="dxa"/>
            <w:tcBorders>
              <w:top w:val="single" w:sz="2" w:space="0" w:color="auto"/>
              <w:left w:val="single" w:sz="2" w:space="0" w:color="auto"/>
              <w:bottom w:val="single" w:sz="2" w:space="0" w:color="auto"/>
              <w:right w:val="single" w:sz="2" w:space="0" w:color="auto"/>
            </w:tcBorders>
          </w:tcPr>
          <w:p w14:paraId="46FB856D" w14:textId="77777777" w:rsidR="009F4766" w:rsidRPr="00DE12A3" w:rsidRDefault="009F4766" w:rsidP="00C917D6">
            <w:pPr>
              <w:pStyle w:val="NormalLeft"/>
            </w:pPr>
            <w:r w:rsidRPr="00DE12A3">
              <w:t>24</w:t>
            </w:r>
          </w:p>
        </w:tc>
        <w:tc>
          <w:tcPr>
            <w:tcW w:w="2551" w:type="dxa"/>
            <w:tcBorders>
              <w:top w:val="single" w:sz="2" w:space="0" w:color="auto"/>
              <w:left w:val="single" w:sz="2" w:space="0" w:color="auto"/>
              <w:bottom w:val="single" w:sz="2" w:space="0" w:color="auto"/>
              <w:right w:val="single" w:sz="2" w:space="0" w:color="auto"/>
            </w:tcBorders>
          </w:tcPr>
          <w:p w14:paraId="3A3A6FF4" w14:textId="77777777" w:rsidR="009F4766" w:rsidRPr="00DE12A3" w:rsidRDefault="009F4766" w:rsidP="00C917D6">
            <w:pPr>
              <w:pStyle w:val="NormalLeft"/>
            </w:pPr>
            <w:r w:rsidRPr="00DE12A3">
              <w:t>56</w:t>
            </w:r>
          </w:p>
        </w:tc>
      </w:tr>
      <w:tr w:rsidR="00DE12A3" w:rsidRPr="00DE12A3" w14:paraId="2E5EE71D" w14:textId="77777777" w:rsidTr="009F4766">
        <w:tc>
          <w:tcPr>
            <w:tcW w:w="1182" w:type="dxa"/>
            <w:tcBorders>
              <w:top w:val="single" w:sz="2" w:space="0" w:color="auto"/>
              <w:left w:val="single" w:sz="2" w:space="0" w:color="auto"/>
              <w:bottom w:val="single" w:sz="2" w:space="0" w:color="auto"/>
              <w:right w:val="single" w:sz="2" w:space="0" w:color="auto"/>
            </w:tcBorders>
          </w:tcPr>
          <w:p w14:paraId="7DA314DD" w14:textId="77777777" w:rsidR="009F4766" w:rsidRPr="00DE12A3" w:rsidRDefault="009F4766" w:rsidP="00C917D6">
            <w:pPr>
              <w:pStyle w:val="NormalLeft"/>
            </w:pPr>
            <w:r w:rsidRPr="00DE12A3">
              <w:t>590</w:t>
            </w:r>
          </w:p>
        </w:tc>
        <w:tc>
          <w:tcPr>
            <w:tcW w:w="2489" w:type="dxa"/>
            <w:tcBorders>
              <w:top w:val="single" w:sz="2" w:space="0" w:color="auto"/>
              <w:left w:val="single" w:sz="2" w:space="0" w:color="auto"/>
              <w:bottom w:val="single" w:sz="2" w:space="0" w:color="auto"/>
              <w:right w:val="single" w:sz="2" w:space="0" w:color="auto"/>
            </w:tcBorders>
          </w:tcPr>
          <w:p w14:paraId="74645140" w14:textId="77777777" w:rsidR="009F4766" w:rsidRPr="00DE12A3" w:rsidRDefault="009F4766" w:rsidP="00C917D6">
            <w:pPr>
              <w:pStyle w:val="NormalLeft"/>
            </w:pPr>
            <w:r w:rsidRPr="00DE12A3">
              <w:t>42</w:t>
            </w:r>
          </w:p>
        </w:tc>
        <w:tc>
          <w:tcPr>
            <w:tcW w:w="2551" w:type="dxa"/>
            <w:tcBorders>
              <w:top w:val="single" w:sz="2" w:space="0" w:color="auto"/>
              <w:left w:val="single" w:sz="2" w:space="0" w:color="auto"/>
              <w:bottom w:val="single" w:sz="2" w:space="0" w:color="auto"/>
              <w:right w:val="single" w:sz="2" w:space="0" w:color="auto"/>
            </w:tcBorders>
          </w:tcPr>
          <w:p w14:paraId="478E04E7" w14:textId="77777777" w:rsidR="009F4766" w:rsidRPr="00DE12A3" w:rsidRDefault="009F4766" w:rsidP="00C917D6">
            <w:pPr>
              <w:pStyle w:val="NormalLeft"/>
            </w:pPr>
            <w:r w:rsidRPr="00DE12A3">
              <w:t>69</w:t>
            </w:r>
          </w:p>
        </w:tc>
      </w:tr>
      <w:tr w:rsidR="00DE12A3" w:rsidRPr="00DE12A3" w14:paraId="1AF9AD35" w14:textId="77777777" w:rsidTr="009F4766">
        <w:tc>
          <w:tcPr>
            <w:tcW w:w="1182" w:type="dxa"/>
            <w:tcBorders>
              <w:top w:val="single" w:sz="2" w:space="0" w:color="auto"/>
              <w:left w:val="single" w:sz="2" w:space="0" w:color="auto"/>
              <w:bottom w:val="single" w:sz="2" w:space="0" w:color="auto"/>
              <w:right w:val="single" w:sz="2" w:space="0" w:color="auto"/>
            </w:tcBorders>
          </w:tcPr>
          <w:p w14:paraId="09D50B2C" w14:textId="77777777" w:rsidR="009F4766" w:rsidRPr="00DE12A3" w:rsidRDefault="009F4766" w:rsidP="00C917D6">
            <w:pPr>
              <w:pStyle w:val="NormalLeft"/>
            </w:pPr>
            <w:r w:rsidRPr="00DE12A3">
              <w:t>591</w:t>
            </w:r>
          </w:p>
        </w:tc>
        <w:tc>
          <w:tcPr>
            <w:tcW w:w="2489" w:type="dxa"/>
            <w:tcBorders>
              <w:top w:val="single" w:sz="2" w:space="0" w:color="auto"/>
              <w:left w:val="single" w:sz="2" w:space="0" w:color="auto"/>
              <w:bottom w:val="single" w:sz="2" w:space="0" w:color="auto"/>
              <w:right w:val="single" w:sz="2" w:space="0" w:color="auto"/>
            </w:tcBorders>
          </w:tcPr>
          <w:p w14:paraId="4D1A3CF9" w14:textId="77777777" w:rsidR="009F4766" w:rsidRPr="00DE12A3" w:rsidRDefault="009F4766" w:rsidP="00C917D6">
            <w:pPr>
              <w:pStyle w:val="NormalLeft"/>
            </w:pPr>
            <w:r w:rsidRPr="00DE12A3">
              <w:t>39</w:t>
            </w:r>
          </w:p>
        </w:tc>
        <w:tc>
          <w:tcPr>
            <w:tcW w:w="2551" w:type="dxa"/>
            <w:tcBorders>
              <w:top w:val="single" w:sz="2" w:space="0" w:color="auto"/>
              <w:left w:val="single" w:sz="2" w:space="0" w:color="auto"/>
              <w:bottom w:val="single" w:sz="2" w:space="0" w:color="auto"/>
              <w:right w:val="single" w:sz="2" w:space="0" w:color="auto"/>
            </w:tcBorders>
          </w:tcPr>
          <w:p w14:paraId="02A1F9D2" w14:textId="77777777" w:rsidR="009F4766" w:rsidRPr="00DE12A3" w:rsidRDefault="009F4766" w:rsidP="00C917D6">
            <w:pPr>
              <w:pStyle w:val="NormalLeft"/>
            </w:pPr>
            <w:r w:rsidRPr="00DE12A3">
              <w:t>83</w:t>
            </w:r>
          </w:p>
        </w:tc>
      </w:tr>
      <w:tr w:rsidR="00DE12A3" w:rsidRPr="00DE12A3" w14:paraId="7B11CE23" w14:textId="77777777" w:rsidTr="009F4766">
        <w:tc>
          <w:tcPr>
            <w:tcW w:w="1182" w:type="dxa"/>
            <w:tcBorders>
              <w:top w:val="single" w:sz="2" w:space="0" w:color="auto"/>
              <w:left w:val="single" w:sz="2" w:space="0" w:color="auto"/>
              <w:bottom w:val="single" w:sz="2" w:space="0" w:color="auto"/>
              <w:right w:val="single" w:sz="2" w:space="0" w:color="auto"/>
            </w:tcBorders>
          </w:tcPr>
          <w:p w14:paraId="77767B68" w14:textId="77777777" w:rsidR="009F4766" w:rsidRPr="00DE12A3" w:rsidRDefault="009F4766" w:rsidP="00C917D6">
            <w:pPr>
              <w:pStyle w:val="NormalLeft"/>
            </w:pPr>
            <w:r w:rsidRPr="00DE12A3">
              <w:t>592</w:t>
            </w:r>
          </w:p>
        </w:tc>
        <w:tc>
          <w:tcPr>
            <w:tcW w:w="2489" w:type="dxa"/>
            <w:tcBorders>
              <w:top w:val="single" w:sz="2" w:space="0" w:color="auto"/>
              <w:left w:val="single" w:sz="2" w:space="0" w:color="auto"/>
              <w:bottom w:val="single" w:sz="2" w:space="0" w:color="auto"/>
              <w:right w:val="single" w:sz="2" w:space="0" w:color="auto"/>
            </w:tcBorders>
          </w:tcPr>
          <w:p w14:paraId="17693B9F" w14:textId="77777777" w:rsidR="009F4766" w:rsidRPr="00DE12A3" w:rsidRDefault="009F4766" w:rsidP="00C917D6">
            <w:pPr>
              <w:pStyle w:val="NormalLeft"/>
            </w:pPr>
            <w:r w:rsidRPr="00DE12A3">
              <w:t>40</w:t>
            </w:r>
          </w:p>
        </w:tc>
        <w:tc>
          <w:tcPr>
            <w:tcW w:w="2551" w:type="dxa"/>
            <w:tcBorders>
              <w:top w:val="single" w:sz="2" w:space="0" w:color="auto"/>
              <w:left w:val="single" w:sz="2" w:space="0" w:color="auto"/>
              <w:bottom w:val="single" w:sz="2" w:space="0" w:color="auto"/>
              <w:right w:val="single" w:sz="2" w:space="0" w:color="auto"/>
            </w:tcBorders>
          </w:tcPr>
          <w:p w14:paraId="3B20F989" w14:textId="77777777" w:rsidR="009F4766" w:rsidRPr="00DE12A3" w:rsidRDefault="009F4766" w:rsidP="00C917D6">
            <w:pPr>
              <w:pStyle w:val="NormalLeft"/>
            </w:pPr>
            <w:r w:rsidRPr="00DE12A3">
              <w:t>73</w:t>
            </w:r>
          </w:p>
        </w:tc>
      </w:tr>
      <w:tr w:rsidR="00DE12A3" w:rsidRPr="00DE12A3" w14:paraId="0A078120" w14:textId="77777777" w:rsidTr="009F4766">
        <w:tc>
          <w:tcPr>
            <w:tcW w:w="1182" w:type="dxa"/>
            <w:tcBorders>
              <w:top w:val="single" w:sz="2" w:space="0" w:color="auto"/>
              <w:left w:val="single" w:sz="2" w:space="0" w:color="auto"/>
              <w:bottom w:val="single" w:sz="2" w:space="0" w:color="auto"/>
              <w:right w:val="single" w:sz="2" w:space="0" w:color="auto"/>
            </w:tcBorders>
          </w:tcPr>
          <w:p w14:paraId="751E1EF4" w14:textId="77777777" w:rsidR="009F4766" w:rsidRPr="00DE12A3" w:rsidRDefault="009F4766" w:rsidP="00C917D6">
            <w:pPr>
              <w:pStyle w:val="NormalLeft"/>
            </w:pPr>
            <w:r w:rsidRPr="00DE12A3">
              <w:t>593</w:t>
            </w:r>
          </w:p>
        </w:tc>
        <w:tc>
          <w:tcPr>
            <w:tcW w:w="2489" w:type="dxa"/>
            <w:tcBorders>
              <w:top w:val="single" w:sz="2" w:space="0" w:color="auto"/>
              <w:left w:val="single" w:sz="2" w:space="0" w:color="auto"/>
              <w:bottom w:val="single" w:sz="2" w:space="0" w:color="auto"/>
              <w:right w:val="single" w:sz="2" w:space="0" w:color="auto"/>
            </w:tcBorders>
          </w:tcPr>
          <w:p w14:paraId="1F967BCA" w14:textId="77777777" w:rsidR="009F4766" w:rsidRPr="00DE12A3" w:rsidRDefault="009F4766" w:rsidP="00C917D6">
            <w:pPr>
              <w:pStyle w:val="NormalLeft"/>
            </w:pPr>
            <w:r w:rsidRPr="00DE12A3">
              <w:t>35</w:t>
            </w:r>
          </w:p>
        </w:tc>
        <w:tc>
          <w:tcPr>
            <w:tcW w:w="2551" w:type="dxa"/>
            <w:tcBorders>
              <w:top w:val="single" w:sz="2" w:space="0" w:color="auto"/>
              <w:left w:val="single" w:sz="2" w:space="0" w:color="auto"/>
              <w:bottom w:val="single" w:sz="2" w:space="0" w:color="auto"/>
              <w:right w:val="single" w:sz="2" w:space="0" w:color="auto"/>
            </w:tcBorders>
          </w:tcPr>
          <w:p w14:paraId="6B17C5AD" w14:textId="77777777" w:rsidR="009F4766" w:rsidRPr="00DE12A3" w:rsidRDefault="009F4766" w:rsidP="00C917D6">
            <w:pPr>
              <w:pStyle w:val="NormalLeft"/>
            </w:pPr>
            <w:r w:rsidRPr="00DE12A3">
              <w:t>67</w:t>
            </w:r>
          </w:p>
        </w:tc>
      </w:tr>
      <w:tr w:rsidR="00DE12A3" w:rsidRPr="00DE12A3" w14:paraId="640BF070" w14:textId="77777777" w:rsidTr="009F4766">
        <w:tc>
          <w:tcPr>
            <w:tcW w:w="1182" w:type="dxa"/>
            <w:tcBorders>
              <w:top w:val="single" w:sz="2" w:space="0" w:color="auto"/>
              <w:left w:val="single" w:sz="2" w:space="0" w:color="auto"/>
              <w:bottom w:val="single" w:sz="2" w:space="0" w:color="auto"/>
              <w:right w:val="single" w:sz="2" w:space="0" w:color="auto"/>
            </w:tcBorders>
          </w:tcPr>
          <w:p w14:paraId="5CF16517" w14:textId="77777777" w:rsidR="009F4766" w:rsidRPr="00DE12A3" w:rsidRDefault="009F4766" w:rsidP="00C917D6">
            <w:pPr>
              <w:pStyle w:val="NormalLeft"/>
            </w:pPr>
            <w:r w:rsidRPr="00DE12A3">
              <w:t>594</w:t>
            </w:r>
          </w:p>
        </w:tc>
        <w:tc>
          <w:tcPr>
            <w:tcW w:w="2489" w:type="dxa"/>
            <w:tcBorders>
              <w:top w:val="single" w:sz="2" w:space="0" w:color="auto"/>
              <w:left w:val="single" w:sz="2" w:space="0" w:color="auto"/>
              <w:bottom w:val="single" w:sz="2" w:space="0" w:color="auto"/>
              <w:right w:val="single" w:sz="2" w:space="0" w:color="auto"/>
            </w:tcBorders>
          </w:tcPr>
          <w:p w14:paraId="33C01399" w14:textId="77777777" w:rsidR="009F4766" w:rsidRPr="00DE12A3" w:rsidRDefault="009F4766" w:rsidP="00C917D6">
            <w:pPr>
              <w:pStyle w:val="NormalLeft"/>
            </w:pPr>
            <w:r w:rsidRPr="00DE12A3">
              <w:t>32</w:t>
            </w:r>
          </w:p>
        </w:tc>
        <w:tc>
          <w:tcPr>
            <w:tcW w:w="2551" w:type="dxa"/>
            <w:tcBorders>
              <w:top w:val="single" w:sz="2" w:space="0" w:color="auto"/>
              <w:left w:val="single" w:sz="2" w:space="0" w:color="auto"/>
              <w:bottom w:val="single" w:sz="2" w:space="0" w:color="auto"/>
              <w:right w:val="single" w:sz="2" w:space="0" w:color="auto"/>
            </w:tcBorders>
          </w:tcPr>
          <w:p w14:paraId="6ABCB22A" w14:textId="77777777" w:rsidR="009F4766" w:rsidRPr="00DE12A3" w:rsidRDefault="009F4766" w:rsidP="00C917D6">
            <w:pPr>
              <w:pStyle w:val="NormalLeft"/>
            </w:pPr>
            <w:r w:rsidRPr="00DE12A3">
              <w:t>61</w:t>
            </w:r>
          </w:p>
        </w:tc>
      </w:tr>
      <w:tr w:rsidR="00DE12A3" w:rsidRPr="00DE12A3" w14:paraId="5B81D04F" w14:textId="77777777" w:rsidTr="009F4766">
        <w:tc>
          <w:tcPr>
            <w:tcW w:w="1182" w:type="dxa"/>
            <w:tcBorders>
              <w:top w:val="single" w:sz="2" w:space="0" w:color="auto"/>
              <w:left w:val="single" w:sz="2" w:space="0" w:color="auto"/>
              <w:bottom w:val="single" w:sz="2" w:space="0" w:color="auto"/>
              <w:right w:val="single" w:sz="2" w:space="0" w:color="auto"/>
            </w:tcBorders>
          </w:tcPr>
          <w:p w14:paraId="3913EA34" w14:textId="77777777" w:rsidR="009F4766" w:rsidRPr="00DE12A3" w:rsidRDefault="009F4766" w:rsidP="00C917D6">
            <w:pPr>
              <w:pStyle w:val="NormalLeft"/>
            </w:pPr>
            <w:r w:rsidRPr="00DE12A3">
              <w:t>595</w:t>
            </w:r>
          </w:p>
        </w:tc>
        <w:tc>
          <w:tcPr>
            <w:tcW w:w="2489" w:type="dxa"/>
            <w:tcBorders>
              <w:top w:val="single" w:sz="2" w:space="0" w:color="auto"/>
              <w:left w:val="single" w:sz="2" w:space="0" w:color="auto"/>
              <w:bottom w:val="single" w:sz="2" w:space="0" w:color="auto"/>
              <w:right w:val="single" w:sz="2" w:space="0" w:color="auto"/>
            </w:tcBorders>
          </w:tcPr>
          <w:p w14:paraId="4C0CADD9" w14:textId="77777777" w:rsidR="009F4766" w:rsidRPr="00DE12A3" w:rsidRDefault="009F4766" w:rsidP="00C917D6">
            <w:pPr>
              <w:pStyle w:val="NormalLeft"/>
            </w:pPr>
            <w:r w:rsidRPr="00DE12A3">
              <w:t>30</w:t>
            </w:r>
          </w:p>
        </w:tc>
        <w:tc>
          <w:tcPr>
            <w:tcW w:w="2551" w:type="dxa"/>
            <w:tcBorders>
              <w:top w:val="single" w:sz="2" w:space="0" w:color="auto"/>
              <w:left w:val="single" w:sz="2" w:space="0" w:color="auto"/>
              <w:bottom w:val="single" w:sz="2" w:space="0" w:color="auto"/>
              <w:right w:val="single" w:sz="2" w:space="0" w:color="auto"/>
            </w:tcBorders>
          </w:tcPr>
          <w:p w14:paraId="1D763952" w14:textId="77777777" w:rsidR="009F4766" w:rsidRPr="00DE12A3" w:rsidRDefault="009F4766" w:rsidP="00C917D6">
            <w:pPr>
              <w:pStyle w:val="NormalLeft"/>
            </w:pPr>
            <w:r w:rsidRPr="00DE12A3">
              <w:t>65</w:t>
            </w:r>
          </w:p>
        </w:tc>
      </w:tr>
      <w:tr w:rsidR="00DE12A3" w:rsidRPr="00DE12A3" w14:paraId="30618F2F" w14:textId="77777777" w:rsidTr="009F4766">
        <w:tc>
          <w:tcPr>
            <w:tcW w:w="1182" w:type="dxa"/>
            <w:tcBorders>
              <w:top w:val="single" w:sz="2" w:space="0" w:color="auto"/>
              <w:left w:val="single" w:sz="2" w:space="0" w:color="auto"/>
              <w:bottom w:val="single" w:sz="2" w:space="0" w:color="auto"/>
              <w:right w:val="single" w:sz="2" w:space="0" w:color="auto"/>
            </w:tcBorders>
          </w:tcPr>
          <w:p w14:paraId="1E215885" w14:textId="77777777" w:rsidR="009F4766" w:rsidRPr="00DE12A3" w:rsidRDefault="009F4766" w:rsidP="00C917D6">
            <w:pPr>
              <w:pStyle w:val="NormalLeft"/>
            </w:pPr>
            <w:r w:rsidRPr="00DE12A3">
              <w:t>596</w:t>
            </w:r>
          </w:p>
        </w:tc>
        <w:tc>
          <w:tcPr>
            <w:tcW w:w="2489" w:type="dxa"/>
            <w:tcBorders>
              <w:top w:val="single" w:sz="2" w:space="0" w:color="auto"/>
              <w:left w:val="single" w:sz="2" w:space="0" w:color="auto"/>
              <w:bottom w:val="single" w:sz="2" w:space="0" w:color="auto"/>
              <w:right w:val="single" w:sz="2" w:space="0" w:color="auto"/>
            </w:tcBorders>
          </w:tcPr>
          <w:p w14:paraId="004D966D" w14:textId="77777777" w:rsidR="009F4766" w:rsidRPr="00DE12A3" w:rsidRDefault="009F4766" w:rsidP="00C917D6">
            <w:pPr>
              <w:pStyle w:val="NormalLeft"/>
            </w:pPr>
            <w:r w:rsidRPr="00DE12A3">
              <w:t>30</w:t>
            </w:r>
          </w:p>
        </w:tc>
        <w:tc>
          <w:tcPr>
            <w:tcW w:w="2551" w:type="dxa"/>
            <w:tcBorders>
              <w:top w:val="single" w:sz="2" w:space="0" w:color="auto"/>
              <w:left w:val="single" w:sz="2" w:space="0" w:color="auto"/>
              <w:bottom w:val="single" w:sz="2" w:space="0" w:color="auto"/>
              <w:right w:val="single" w:sz="2" w:space="0" w:color="auto"/>
            </w:tcBorders>
          </w:tcPr>
          <w:p w14:paraId="3B90783D" w14:textId="77777777" w:rsidR="009F4766" w:rsidRPr="00DE12A3" w:rsidRDefault="009F4766" w:rsidP="00C917D6">
            <w:pPr>
              <w:pStyle w:val="NormalLeft"/>
            </w:pPr>
            <w:r w:rsidRPr="00DE12A3">
              <w:t>72</w:t>
            </w:r>
          </w:p>
        </w:tc>
      </w:tr>
      <w:tr w:rsidR="00DE12A3" w:rsidRPr="00DE12A3" w14:paraId="41695D0D" w14:textId="77777777" w:rsidTr="009F4766">
        <w:tc>
          <w:tcPr>
            <w:tcW w:w="1182" w:type="dxa"/>
            <w:tcBorders>
              <w:top w:val="single" w:sz="2" w:space="0" w:color="auto"/>
              <w:left w:val="single" w:sz="2" w:space="0" w:color="auto"/>
              <w:bottom w:val="single" w:sz="2" w:space="0" w:color="auto"/>
              <w:right w:val="single" w:sz="2" w:space="0" w:color="auto"/>
            </w:tcBorders>
          </w:tcPr>
          <w:p w14:paraId="29BEC9D4" w14:textId="77777777" w:rsidR="009F4766" w:rsidRPr="00DE12A3" w:rsidRDefault="009F4766" w:rsidP="00C917D6">
            <w:pPr>
              <w:pStyle w:val="NormalLeft"/>
            </w:pPr>
            <w:r w:rsidRPr="00DE12A3">
              <w:t>597</w:t>
            </w:r>
          </w:p>
        </w:tc>
        <w:tc>
          <w:tcPr>
            <w:tcW w:w="2489" w:type="dxa"/>
            <w:tcBorders>
              <w:top w:val="single" w:sz="2" w:space="0" w:color="auto"/>
              <w:left w:val="single" w:sz="2" w:space="0" w:color="auto"/>
              <w:bottom w:val="single" w:sz="2" w:space="0" w:color="auto"/>
              <w:right w:val="single" w:sz="2" w:space="0" w:color="auto"/>
            </w:tcBorders>
          </w:tcPr>
          <w:p w14:paraId="175195FF" w14:textId="77777777" w:rsidR="009F4766" w:rsidRPr="00DE12A3" w:rsidRDefault="009F4766" w:rsidP="00C917D6">
            <w:pPr>
              <w:pStyle w:val="NormalLeft"/>
            </w:pPr>
            <w:r w:rsidRPr="00DE12A3">
              <w:t>48</w:t>
            </w:r>
          </w:p>
        </w:tc>
        <w:tc>
          <w:tcPr>
            <w:tcW w:w="2551" w:type="dxa"/>
            <w:tcBorders>
              <w:top w:val="single" w:sz="2" w:space="0" w:color="auto"/>
              <w:left w:val="single" w:sz="2" w:space="0" w:color="auto"/>
              <w:bottom w:val="single" w:sz="2" w:space="0" w:color="auto"/>
              <w:right w:val="single" w:sz="2" w:space="0" w:color="auto"/>
            </w:tcBorders>
          </w:tcPr>
          <w:p w14:paraId="2FF41228" w14:textId="77777777" w:rsidR="009F4766" w:rsidRPr="00DE12A3" w:rsidRDefault="009F4766" w:rsidP="00C917D6">
            <w:pPr>
              <w:pStyle w:val="NormalLeft"/>
            </w:pPr>
            <w:r w:rsidRPr="00DE12A3">
              <w:t>51</w:t>
            </w:r>
          </w:p>
        </w:tc>
      </w:tr>
      <w:tr w:rsidR="00DE12A3" w:rsidRPr="00DE12A3" w14:paraId="7AB6330F" w14:textId="77777777" w:rsidTr="009F4766">
        <w:tc>
          <w:tcPr>
            <w:tcW w:w="1182" w:type="dxa"/>
            <w:tcBorders>
              <w:top w:val="single" w:sz="2" w:space="0" w:color="auto"/>
              <w:left w:val="single" w:sz="2" w:space="0" w:color="auto"/>
              <w:bottom w:val="single" w:sz="2" w:space="0" w:color="auto"/>
              <w:right w:val="single" w:sz="2" w:space="0" w:color="auto"/>
            </w:tcBorders>
          </w:tcPr>
          <w:p w14:paraId="0223915F" w14:textId="77777777" w:rsidR="009F4766" w:rsidRPr="00DE12A3" w:rsidRDefault="009F4766" w:rsidP="00C917D6">
            <w:pPr>
              <w:pStyle w:val="NormalLeft"/>
            </w:pPr>
            <w:r w:rsidRPr="00DE12A3">
              <w:t>598</w:t>
            </w:r>
          </w:p>
        </w:tc>
        <w:tc>
          <w:tcPr>
            <w:tcW w:w="2489" w:type="dxa"/>
            <w:tcBorders>
              <w:top w:val="single" w:sz="2" w:space="0" w:color="auto"/>
              <w:left w:val="single" w:sz="2" w:space="0" w:color="auto"/>
              <w:bottom w:val="single" w:sz="2" w:space="0" w:color="auto"/>
              <w:right w:val="single" w:sz="2" w:space="0" w:color="auto"/>
            </w:tcBorders>
          </w:tcPr>
          <w:p w14:paraId="298C8E3A" w14:textId="77777777" w:rsidR="009F4766" w:rsidRPr="00DE12A3" w:rsidRDefault="009F4766" w:rsidP="00C917D6">
            <w:pPr>
              <w:pStyle w:val="NormalLeft"/>
            </w:pPr>
            <w:r w:rsidRPr="00DE12A3">
              <w:t>66</w:t>
            </w:r>
          </w:p>
        </w:tc>
        <w:tc>
          <w:tcPr>
            <w:tcW w:w="2551" w:type="dxa"/>
            <w:tcBorders>
              <w:top w:val="single" w:sz="2" w:space="0" w:color="auto"/>
              <w:left w:val="single" w:sz="2" w:space="0" w:color="auto"/>
              <w:bottom w:val="single" w:sz="2" w:space="0" w:color="auto"/>
              <w:right w:val="single" w:sz="2" w:space="0" w:color="auto"/>
            </w:tcBorders>
          </w:tcPr>
          <w:p w14:paraId="10392111" w14:textId="77777777" w:rsidR="009F4766" w:rsidRPr="00DE12A3" w:rsidRDefault="009F4766" w:rsidP="00C917D6">
            <w:pPr>
              <w:pStyle w:val="NormalLeft"/>
            </w:pPr>
            <w:r w:rsidRPr="00DE12A3">
              <w:t>58</w:t>
            </w:r>
          </w:p>
        </w:tc>
      </w:tr>
      <w:tr w:rsidR="00DE12A3" w:rsidRPr="00DE12A3" w14:paraId="3E042897" w14:textId="77777777" w:rsidTr="009F4766">
        <w:tc>
          <w:tcPr>
            <w:tcW w:w="1182" w:type="dxa"/>
            <w:tcBorders>
              <w:top w:val="single" w:sz="2" w:space="0" w:color="auto"/>
              <w:left w:val="single" w:sz="2" w:space="0" w:color="auto"/>
              <w:bottom w:val="single" w:sz="2" w:space="0" w:color="auto"/>
              <w:right w:val="single" w:sz="2" w:space="0" w:color="auto"/>
            </w:tcBorders>
          </w:tcPr>
          <w:p w14:paraId="3AD1B4E5" w14:textId="77777777" w:rsidR="009F4766" w:rsidRPr="00DE12A3" w:rsidRDefault="009F4766" w:rsidP="00C917D6">
            <w:pPr>
              <w:pStyle w:val="NormalLeft"/>
            </w:pPr>
            <w:r w:rsidRPr="00DE12A3">
              <w:t>599</w:t>
            </w:r>
          </w:p>
        </w:tc>
        <w:tc>
          <w:tcPr>
            <w:tcW w:w="2489" w:type="dxa"/>
            <w:tcBorders>
              <w:top w:val="single" w:sz="2" w:space="0" w:color="auto"/>
              <w:left w:val="single" w:sz="2" w:space="0" w:color="auto"/>
              <w:bottom w:val="single" w:sz="2" w:space="0" w:color="auto"/>
              <w:right w:val="single" w:sz="2" w:space="0" w:color="auto"/>
            </w:tcBorders>
          </w:tcPr>
          <w:p w14:paraId="1A158524" w14:textId="77777777" w:rsidR="009F4766" w:rsidRPr="00DE12A3" w:rsidRDefault="009F4766" w:rsidP="00C917D6">
            <w:pPr>
              <w:pStyle w:val="NormalLeft"/>
            </w:pPr>
            <w:r w:rsidRPr="00DE12A3">
              <w:t>62</w:t>
            </w:r>
          </w:p>
        </w:tc>
        <w:tc>
          <w:tcPr>
            <w:tcW w:w="2551" w:type="dxa"/>
            <w:tcBorders>
              <w:top w:val="single" w:sz="2" w:space="0" w:color="auto"/>
              <w:left w:val="single" w:sz="2" w:space="0" w:color="auto"/>
              <w:bottom w:val="single" w:sz="2" w:space="0" w:color="auto"/>
              <w:right w:val="single" w:sz="2" w:space="0" w:color="auto"/>
            </w:tcBorders>
          </w:tcPr>
          <w:p w14:paraId="46A188A6" w14:textId="77777777" w:rsidR="009F4766" w:rsidRPr="00DE12A3" w:rsidRDefault="009F4766" w:rsidP="00C917D6">
            <w:pPr>
              <w:pStyle w:val="NormalLeft"/>
            </w:pPr>
            <w:r w:rsidRPr="00DE12A3">
              <w:t>71</w:t>
            </w:r>
          </w:p>
        </w:tc>
      </w:tr>
      <w:tr w:rsidR="00DE12A3" w:rsidRPr="00DE12A3" w14:paraId="74996BA3" w14:textId="77777777" w:rsidTr="009F4766">
        <w:tc>
          <w:tcPr>
            <w:tcW w:w="1182" w:type="dxa"/>
            <w:tcBorders>
              <w:top w:val="single" w:sz="2" w:space="0" w:color="auto"/>
              <w:left w:val="single" w:sz="2" w:space="0" w:color="auto"/>
              <w:bottom w:val="single" w:sz="2" w:space="0" w:color="auto"/>
              <w:right w:val="single" w:sz="2" w:space="0" w:color="auto"/>
            </w:tcBorders>
          </w:tcPr>
          <w:p w14:paraId="4095EBFE" w14:textId="77777777" w:rsidR="009F4766" w:rsidRPr="00DE12A3" w:rsidRDefault="009F4766" w:rsidP="00C917D6">
            <w:pPr>
              <w:pStyle w:val="NormalLeft"/>
            </w:pPr>
            <w:r w:rsidRPr="00DE12A3">
              <w:t>600</w:t>
            </w:r>
          </w:p>
        </w:tc>
        <w:tc>
          <w:tcPr>
            <w:tcW w:w="2489" w:type="dxa"/>
            <w:tcBorders>
              <w:top w:val="single" w:sz="2" w:space="0" w:color="auto"/>
              <w:left w:val="single" w:sz="2" w:space="0" w:color="auto"/>
              <w:bottom w:val="single" w:sz="2" w:space="0" w:color="auto"/>
              <w:right w:val="single" w:sz="2" w:space="0" w:color="auto"/>
            </w:tcBorders>
          </w:tcPr>
          <w:p w14:paraId="528B3F85" w14:textId="77777777" w:rsidR="009F4766" w:rsidRPr="00DE12A3" w:rsidRDefault="009F4766" w:rsidP="00C917D6">
            <w:pPr>
              <w:pStyle w:val="NormalLeft"/>
            </w:pPr>
            <w:r w:rsidRPr="00DE12A3">
              <w:t>36</w:t>
            </w:r>
          </w:p>
        </w:tc>
        <w:tc>
          <w:tcPr>
            <w:tcW w:w="2551" w:type="dxa"/>
            <w:tcBorders>
              <w:top w:val="single" w:sz="2" w:space="0" w:color="auto"/>
              <w:left w:val="single" w:sz="2" w:space="0" w:color="auto"/>
              <w:bottom w:val="single" w:sz="2" w:space="0" w:color="auto"/>
              <w:right w:val="single" w:sz="2" w:space="0" w:color="auto"/>
            </w:tcBorders>
          </w:tcPr>
          <w:p w14:paraId="4310BFC3" w14:textId="77777777" w:rsidR="009F4766" w:rsidRPr="00DE12A3" w:rsidRDefault="009F4766" w:rsidP="00C917D6">
            <w:pPr>
              <w:pStyle w:val="NormalLeft"/>
            </w:pPr>
            <w:r w:rsidRPr="00DE12A3">
              <w:t>63</w:t>
            </w:r>
          </w:p>
        </w:tc>
      </w:tr>
      <w:tr w:rsidR="00DE12A3" w:rsidRPr="00DE12A3" w14:paraId="7485A84E" w14:textId="77777777" w:rsidTr="009F4766">
        <w:tc>
          <w:tcPr>
            <w:tcW w:w="1182" w:type="dxa"/>
            <w:tcBorders>
              <w:top w:val="single" w:sz="2" w:space="0" w:color="auto"/>
              <w:left w:val="single" w:sz="2" w:space="0" w:color="auto"/>
              <w:bottom w:val="single" w:sz="2" w:space="0" w:color="auto"/>
              <w:right w:val="single" w:sz="2" w:space="0" w:color="auto"/>
            </w:tcBorders>
          </w:tcPr>
          <w:p w14:paraId="3CC33737" w14:textId="77777777" w:rsidR="009F4766" w:rsidRPr="00DE12A3" w:rsidRDefault="009F4766" w:rsidP="00C917D6">
            <w:pPr>
              <w:pStyle w:val="NormalLeft"/>
            </w:pPr>
            <w:r w:rsidRPr="00DE12A3">
              <w:t>601</w:t>
            </w:r>
          </w:p>
        </w:tc>
        <w:tc>
          <w:tcPr>
            <w:tcW w:w="2489" w:type="dxa"/>
            <w:tcBorders>
              <w:top w:val="single" w:sz="2" w:space="0" w:color="auto"/>
              <w:left w:val="single" w:sz="2" w:space="0" w:color="auto"/>
              <w:bottom w:val="single" w:sz="2" w:space="0" w:color="auto"/>
              <w:right w:val="single" w:sz="2" w:space="0" w:color="auto"/>
            </w:tcBorders>
          </w:tcPr>
          <w:p w14:paraId="2829FB25" w14:textId="77777777" w:rsidR="009F4766" w:rsidRPr="00DE12A3" w:rsidRDefault="009F4766" w:rsidP="00C917D6">
            <w:pPr>
              <w:pStyle w:val="NormalLeft"/>
            </w:pPr>
            <w:r w:rsidRPr="00DE12A3">
              <w:t>17</w:t>
            </w:r>
          </w:p>
        </w:tc>
        <w:tc>
          <w:tcPr>
            <w:tcW w:w="2551" w:type="dxa"/>
            <w:tcBorders>
              <w:top w:val="single" w:sz="2" w:space="0" w:color="auto"/>
              <w:left w:val="single" w:sz="2" w:space="0" w:color="auto"/>
              <w:bottom w:val="single" w:sz="2" w:space="0" w:color="auto"/>
              <w:right w:val="single" w:sz="2" w:space="0" w:color="auto"/>
            </w:tcBorders>
          </w:tcPr>
          <w:p w14:paraId="6D947CD3" w14:textId="77777777" w:rsidR="009F4766" w:rsidRPr="00DE12A3" w:rsidRDefault="009F4766" w:rsidP="00C917D6">
            <w:pPr>
              <w:pStyle w:val="NormalLeft"/>
            </w:pPr>
            <w:r w:rsidRPr="00DE12A3">
              <w:t>59</w:t>
            </w:r>
          </w:p>
        </w:tc>
      </w:tr>
      <w:tr w:rsidR="00DE12A3" w:rsidRPr="00DE12A3" w14:paraId="6A490809" w14:textId="77777777" w:rsidTr="009F4766">
        <w:tc>
          <w:tcPr>
            <w:tcW w:w="1182" w:type="dxa"/>
            <w:tcBorders>
              <w:top w:val="single" w:sz="2" w:space="0" w:color="auto"/>
              <w:left w:val="single" w:sz="2" w:space="0" w:color="auto"/>
              <w:bottom w:val="single" w:sz="2" w:space="0" w:color="auto"/>
              <w:right w:val="single" w:sz="2" w:space="0" w:color="auto"/>
            </w:tcBorders>
          </w:tcPr>
          <w:p w14:paraId="4696A9B4" w14:textId="77777777" w:rsidR="009F4766" w:rsidRPr="00DE12A3" w:rsidRDefault="009F4766" w:rsidP="00C917D6">
            <w:pPr>
              <w:pStyle w:val="NormalLeft"/>
            </w:pPr>
            <w:r w:rsidRPr="00DE12A3">
              <w:t>602</w:t>
            </w:r>
          </w:p>
        </w:tc>
        <w:tc>
          <w:tcPr>
            <w:tcW w:w="2489" w:type="dxa"/>
            <w:tcBorders>
              <w:top w:val="single" w:sz="2" w:space="0" w:color="auto"/>
              <w:left w:val="single" w:sz="2" w:space="0" w:color="auto"/>
              <w:bottom w:val="single" w:sz="2" w:space="0" w:color="auto"/>
              <w:right w:val="single" w:sz="2" w:space="0" w:color="auto"/>
            </w:tcBorders>
          </w:tcPr>
          <w:p w14:paraId="1CF9317D" w14:textId="77777777" w:rsidR="009F4766" w:rsidRPr="00DE12A3" w:rsidRDefault="009F4766" w:rsidP="00C917D6">
            <w:pPr>
              <w:pStyle w:val="NormalLeft"/>
            </w:pPr>
            <w:r w:rsidRPr="00DE12A3">
              <w:t>16</w:t>
            </w:r>
          </w:p>
        </w:tc>
        <w:tc>
          <w:tcPr>
            <w:tcW w:w="2551" w:type="dxa"/>
            <w:tcBorders>
              <w:top w:val="single" w:sz="2" w:space="0" w:color="auto"/>
              <w:left w:val="single" w:sz="2" w:space="0" w:color="auto"/>
              <w:bottom w:val="single" w:sz="2" w:space="0" w:color="auto"/>
              <w:right w:val="single" w:sz="2" w:space="0" w:color="auto"/>
            </w:tcBorders>
          </w:tcPr>
          <w:p w14:paraId="1EEC4CBF" w14:textId="77777777" w:rsidR="009F4766" w:rsidRPr="00DE12A3" w:rsidRDefault="009F4766" w:rsidP="00C917D6">
            <w:pPr>
              <w:pStyle w:val="NormalLeft"/>
            </w:pPr>
            <w:r w:rsidRPr="00DE12A3">
              <w:t>50</w:t>
            </w:r>
          </w:p>
        </w:tc>
      </w:tr>
      <w:tr w:rsidR="00DE12A3" w:rsidRPr="00DE12A3" w14:paraId="7334E81A" w14:textId="77777777" w:rsidTr="009F4766">
        <w:tc>
          <w:tcPr>
            <w:tcW w:w="1182" w:type="dxa"/>
            <w:tcBorders>
              <w:top w:val="single" w:sz="2" w:space="0" w:color="auto"/>
              <w:left w:val="single" w:sz="2" w:space="0" w:color="auto"/>
              <w:bottom w:val="single" w:sz="2" w:space="0" w:color="auto"/>
              <w:right w:val="single" w:sz="2" w:space="0" w:color="auto"/>
            </w:tcBorders>
          </w:tcPr>
          <w:p w14:paraId="0EC63A82" w14:textId="77777777" w:rsidR="009F4766" w:rsidRPr="00DE12A3" w:rsidRDefault="009F4766" w:rsidP="00C917D6">
            <w:pPr>
              <w:pStyle w:val="NormalLeft"/>
            </w:pPr>
            <w:r w:rsidRPr="00DE12A3">
              <w:lastRenderedPageBreak/>
              <w:t>603</w:t>
            </w:r>
          </w:p>
        </w:tc>
        <w:tc>
          <w:tcPr>
            <w:tcW w:w="2489" w:type="dxa"/>
            <w:tcBorders>
              <w:top w:val="single" w:sz="2" w:space="0" w:color="auto"/>
              <w:left w:val="single" w:sz="2" w:space="0" w:color="auto"/>
              <w:bottom w:val="single" w:sz="2" w:space="0" w:color="auto"/>
              <w:right w:val="single" w:sz="2" w:space="0" w:color="auto"/>
            </w:tcBorders>
          </w:tcPr>
          <w:p w14:paraId="65BF3CA7" w14:textId="77777777" w:rsidR="009F4766" w:rsidRPr="00DE12A3" w:rsidRDefault="009F4766" w:rsidP="00C917D6">
            <w:pPr>
              <w:pStyle w:val="NormalLeft"/>
            </w:pPr>
            <w:r w:rsidRPr="00DE12A3">
              <w:t>16</w:t>
            </w:r>
          </w:p>
        </w:tc>
        <w:tc>
          <w:tcPr>
            <w:tcW w:w="2551" w:type="dxa"/>
            <w:tcBorders>
              <w:top w:val="single" w:sz="2" w:space="0" w:color="auto"/>
              <w:left w:val="single" w:sz="2" w:space="0" w:color="auto"/>
              <w:bottom w:val="single" w:sz="2" w:space="0" w:color="auto"/>
              <w:right w:val="single" w:sz="2" w:space="0" w:color="auto"/>
            </w:tcBorders>
          </w:tcPr>
          <w:p w14:paraId="7486D20B" w14:textId="77777777" w:rsidR="009F4766" w:rsidRPr="00DE12A3" w:rsidRDefault="009F4766" w:rsidP="00C917D6">
            <w:pPr>
              <w:pStyle w:val="NormalLeft"/>
            </w:pPr>
            <w:r w:rsidRPr="00DE12A3">
              <w:t>62</w:t>
            </w:r>
          </w:p>
        </w:tc>
      </w:tr>
      <w:tr w:rsidR="00DE12A3" w:rsidRPr="00DE12A3" w14:paraId="08C8CB95" w14:textId="77777777" w:rsidTr="009F4766">
        <w:tc>
          <w:tcPr>
            <w:tcW w:w="1182" w:type="dxa"/>
            <w:tcBorders>
              <w:top w:val="single" w:sz="2" w:space="0" w:color="auto"/>
              <w:left w:val="single" w:sz="2" w:space="0" w:color="auto"/>
              <w:bottom w:val="single" w:sz="2" w:space="0" w:color="auto"/>
              <w:right w:val="single" w:sz="2" w:space="0" w:color="auto"/>
            </w:tcBorders>
          </w:tcPr>
          <w:p w14:paraId="4FB9343E" w14:textId="77777777" w:rsidR="009F4766" w:rsidRPr="00DE12A3" w:rsidRDefault="009F4766" w:rsidP="00C917D6">
            <w:pPr>
              <w:pStyle w:val="NormalLeft"/>
            </w:pPr>
            <w:r w:rsidRPr="00DE12A3">
              <w:t>604</w:t>
            </w:r>
          </w:p>
        </w:tc>
        <w:tc>
          <w:tcPr>
            <w:tcW w:w="2489" w:type="dxa"/>
            <w:tcBorders>
              <w:top w:val="single" w:sz="2" w:space="0" w:color="auto"/>
              <w:left w:val="single" w:sz="2" w:space="0" w:color="auto"/>
              <w:bottom w:val="single" w:sz="2" w:space="0" w:color="auto"/>
              <w:right w:val="single" w:sz="2" w:space="0" w:color="auto"/>
            </w:tcBorders>
          </w:tcPr>
          <w:p w14:paraId="0F15FFAD" w14:textId="77777777" w:rsidR="009F4766" w:rsidRPr="00DE12A3" w:rsidRDefault="009F4766" w:rsidP="00C917D6">
            <w:pPr>
              <w:pStyle w:val="NormalLeft"/>
            </w:pPr>
            <w:r w:rsidRPr="00DE12A3">
              <w:t>34</w:t>
            </w:r>
          </w:p>
        </w:tc>
        <w:tc>
          <w:tcPr>
            <w:tcW w:w="2551" w:type="dxa"/>
            <w:tcBorders>
              <w:top w:val="single" w:sz="2" w:space="0" w:color="auto"/>
              <w:left w:val="single" w:sz="2" w:space="0" w:color="auto"/>
              <w:bottom w:val="single" w:sz="2" w:space="0" w:color="auto"/>
              <w:right w:val="single" w:sz="2" w:space="0" w:color="auto"/>
            </w:tcBorders>
          </w:tcPr>
          <w:p w14:paraId="59FE3875" w14:textId="77777777" w:rsidR="009F4766" w:rsidRPr="00DE12A3" w:rsidRDefault="009F4766" w:rsidP="00C917D6">
            <w:pPr>
              <w:pStyle w:val="NormalLeft"/>
            </w:pPr>
            <w:r w:rsidRPr="00DE12A3">
              <w:t>48</w:t>
            </w:r>
          </w:p>
        </w:tc>
      </w:tr>
      <w:tr w:rsidR="00DE12A3" w:rsidRPr="00DE12A3" w14:paraId="3AAF5769" w14:textId="77777777" w:rsidTr="009F4766">
        <w:tc>
          <w:tcPr>
            <w:tcW w:w="1182" w:type="dxa"/>
            <w:tcBorders>
              <w:top w:val="single" w:sz="2" w:space="0" w:color="auto"/>
              <w:left w:val="single" w:sz="2" w:space="0" w:color="auto"/>
              <w:bottom w:val="single" w:sz="2" w:space="0" w:color="auto"/>
              <w:right w:val="single" w:sz="2" w:space="0" w:color="auto"/>
            </w:tcBorders>
          </w:tcPr>
          <w:p w14:paraId="1A36B5E6" w14:textId="77777777" w:rsidR="009F4766" w:rsidRPr="00DE12A3" w:rsidRDefault="009F4766" w:rsidP="00C917D6">
            <w:pPr>
              <w:pStyle w:val="NormalLeft"/>
            </w:pPr>
            <w:r w:rsidRPr="00DE12A3">
              <w:t>605</w:t>
            </w:r>
          </w:p>
        </w:tc>
        <w:tc>
          <w:tcPr>
            <w:tcW w:w="2489" w:type="dxa"/>
            <w:tcBorders>
              <w:top w:val="single" w:sz="2" w:space="0" w:color="auto"/>
              <w:left w:val="single" w:sz="2" w:space="0" w:color="auto"/>
              <w:bottom w:val="single" w:sz="2" w:space="0" w:color="auto"/>
              <w:right w:val="single" w:sz="2" w:space="0" w:color="auto"/>
            </w:tcBorders>
          </w:tcPr>
          <w:p w14:paraId="3FECF6D2" w14:textId="77777777" w:rsidR="009F4766" w:rsidRPr="00DE12A3" w:rsidRDefault="009F4766" w:rsidP="00C917D6">
            <w:pPr>
              <w:pStyle w:val="NormalLeft"/>
            </w:pPr>
            <w:r w:rsidRPr="00DE12A3">
              <w:t>51</w:t>
            </w:r>
          </w:p>
        </w:tc>
        <w:tc>
          <w:tcPr>
            <w:tcW w:w="2551" w:type="dxa"/>
            <w:tcBorders>
              <w:top w:val="single" w:sz="2" w:space="0" w:color="auto"/>
              <w:left w:val="single" w:sz="2" w:space="0" w:color="auto"/>
              <w:bottom w:val="single" w:sz="2" w:space="0" w:color="auto"/>
              <w:right w:val="single" w:sz="2" w:space="0" w:color="auto"/>
            </w:tcBorders>
          </w:tcPr>
          <w:p w14:paraId="00C5ADF6" w14:textId="77777777" w:rsidR="009F4766" w:rsidRPr="00DE12A3" w:rsidRDefault="009F4766" w:rsidP="00C917D6">
            <w:pPr>
              <w:pStyle w:val="NormalLeft"/>
            </w:pPr>
            <w:r w:rsidRPr="00DE12A3">
              <w:t>66</w:t>
            </w:r>
          </w:p>
        </w:tc>
      </w:tr>
      <w:tr w:rsidR="00DE12A3" w:rsidRPr="00DE12A3" w14:paraId="0DA5F48B" w14:textId="77777777" w:rsidTr="009F4766">
        <w:tc>
          <w:tcPr>
            <w:tcW w:w="1182" w:type="dxa"/>
            <w:tcBorders>
              <w:top w:val="single" w:sz="2" w:space="0" w:color="auto"/>
              <w:left w:val="single" w:sz="2" w:space="0" w:color="auto"/>
              <w:bottom w:val="single" w:sz="2" w:space="0" w:color="auto"/>
              <w:right w:val="single" w:sz="2" w:space="0" w:color="auto"/>
            </w:tcBorders>
          </w:tcPr>
          <w:p w14:paraId="73B934F4" w14:textId="77777777" w:rsidR="009F4766" w:rsidRPr="00DE12A3" w:rsidRDefault="009F4766" w:rsidP="00C917D6">
            <w:pPr>
              <w:pStyle w:val="NormalLeft"/>
            </w:pPr>
            <w:r w:rsidRPr="00DE12A3">
              <w:t>606</w:t>
            </w:r>
          </w:p>
        </w:tc>
        <w:tc>
          <w:tcPr>
            <w:tcW w:w="2489" w:type="dxa"/>
            <w:tcBorders>
              <w:top w:val="single" w:sz="2" w:space="0" w:color="auto"/>
              <w:left w:val="single" w:sz="2" w:space="0" w:color="auto"/>
              <w:bottom w:val="single" w:sz="2" w:space="0" w:color="auto"/>
              <w:right w:val="single" w:sz="2" w:space="0" w:color="auto"/>
            </w:tcBorders>
          </w:tcPr>
          <w:p w14:paraId="233169D5" w14:textId="77777777" w:rsidR="009F4766" w:rsidRPr="00DE12A3" w:rsidRDefault="009F4766" w:rsidP="00C917D6">
            <w:pPr>
              <w:pStyle w:val="NormalLeft"/>
            </w:pPr>
            <w:r w:rsidRPr="00DE12A3">
              <w:t>35</w:t>
            </w:r>
          </w:p>
        </w:tc>
        <w:tc>
          <w:tcPr>
            <w:tcW w:w="2551" w:type="dxa"/>
            <w:tcBorders>
              <w:top w:val="single" w:sz="2" w:space="0" w:color="auto"/>
              <w:left w:val="single" w:sz="2" w:space="0" w:color="auto"/>
              <w:bottom w:val="single" w:sz="2" w:space="0" w:color="auto"/>
              <w:right w:val="single" w:sz="2" w:space="0" w:color="auto"/>
            </w:tcBorders>
          </w:tcPr>
          <w:p w14:paraId="39B5C727" w14:textId="77777777" w:rsidR="009F4766" w:rsidRPr="00DE12A3" w:rsidRDefault="009F4766" w:rsidP="00C917D6">
            <w:pPr>
              <w:pStyle w:val="NormalLeft"/>
            </w:pPr>
            <w:r w:rsidRPr="00DE12A3">
              <w:t>74</w:t>
            </w:r>
          </w:p>
        </w:tc>
      </w:tr>
      <w:tr w:rsidR="00DE12A3" w:rsidRPr="00DE12A3" w14:paraId="71E49AA2" w14:textId="77777777" w:rsidTr="009F4766">
        <w:tc>
          <w:tcPr>
            <w:tcW w:w="1182" w:type="dxa"/>
            <w:tcBorders>
              <w:top w:val="single" w:sz="2" w:space="0" w:color="auto"/>
              <w:left w:val="single" w:sz="2" w:space="0" w:color="auto"/>
              <w:bottom w:val="single" w:sz="2" w:space="0" w:color="auto"/>
              <w:right w:val="single" w:sz="2" w:space="0" w:color="auto"/>
            </w:tcBorders>
          </w:tcPr>
          <w:p w14:paraId="32A33603" w14:textId="77777777" w:rsidR="009F4766" w:rsidRPr="00DE12A3" w:rsidRDefault="009F4766" w:rsidP="00C917D6">
            <w:pPr>
              <w:pStyle w:val="NormalLeft"/>
            </w:pPr>
            <w:r w:rsidRPr="00DE12A3">
              <w:t>607</w:t>
            </w:r>
          </w:p>
        </w:tc>
        <w:tc>
          <w:tcPr>
            <w:tcW w:w="2489" w:type="dxa"/>
            <w:tcBorders>
              <w:top w:val="single" w:sz="2" w:space="0" w:color="auto"/>
              <w:left w:val="single" w:sz="2" w:space="0" w:color="auto"/>
              <w:bottom w:val="single" w:sz="2" w:space="0" w:color="auto"/>
              <w:right w:val="single" w:sz="2" w:space="0" w:color="auto"/>
            </w:tcBorders>
          </w:tcPr>
          <w:p w14:paraId="3A5BEFCD" w14:textId="77777777" w:rsidR="009F4766" w:rsidRPr="00DE12A3" w:rsidRDefault="009F4766" w:rsidP="00C917D6">
            <w:pPr>
              <w:pStyle w:val="NormalLeft"/>
            </w:pPr>
            <w:r w:rsidRPr="00DE12A3">
              <w:t>15</w:t>
            </w:r>
          </w:p>
        </w:tc>
        <w:tc>
          <w:tcPr>
            <w:tcW w:w="2551" w:type="dxa"/>
            <w:tcBorders>
              <w:top w:val="single" w:sz="2" w:space="0" w:color="auto"/>
              <w:left w:val="single" w:sz="2" w:space="0" w:color="auto"/>
              <w:bottom w:val="single" w:sz="2" w:space="0" w:color="auto"/>
              <w:right w:val="single" w:sz="2" w:space="0" w:color="auto"/>
            </w:tcBorders>
          </w:tcPr>
          <w:p w14:paraId="740B55B9" w14:textId="77777777" w:rsidR="009F4766" w:rsidRPr="00DE12A3" w:rsidRDefault="009F4766" w:rsidP="00C917D6">
            <w:pPr>
              <w:pStyle w:val="NormalLeft"/>
            </w:pPr>
            <w:r w:rsidRPr="00DE12A3">
              <w:t>56</w:t>
            </w:r>
          </w:p>
        </w:tc>
      </w:tr>
      <w:tr w:rsidR="00DE12A3" w:rsidRPr="00DE12A3" w14:paraId="78782DD2" w14:textId="77777777" w:rsidTr="009F4766">
        <w:tc>
          <w:tcPr>
            <w:tcW w:w="1182" w:type="dxa"/>
            <w:tcBorders>
              <w:top w:val="single" w:sz="2" w:space="0" w:color="auto"/>
              <w:left w:val="single" w:sz="2" w:space="0" w:color="auto"/>
              <w:bottom w:val="single" w:sz="2" w:space="0" w:color="auto"/>
              <w:right w:val="single" w:sz="2" w:space="0" w:color="auto"/>
            </w:tcBorders>
          </w:tcPr>
          <w:p w14:paraId="6A0D1F93" w14:textId="77777777" w:rsidR="009F4766" w:rsidRPr="00DE12A3" w:rsidRDefault="009F4766" w:rsidP="00C917D6">
            <w:pPr>
              <w:pStyle w:val="NormalLeft"/>
            </w:pPr>
            <w:r w:rsidRPr="00DE12A3">
              <w:t>608</w:t>
            </w:r>
          </w:p>
        </w:tc>
        <w:tc>
          <w:tcPr>
            <w:tcW w:w="2489" w:type="dxa"/>
            <w:tcBorders>
              <w:top w:val="single" w:sz="2" w:space="0" w:color="auto"/>
              <w:left w:val="single" w:sz="2" w:space="0" w:color="auto"/>
              <w:bottom w:val="single" w:sz="2" w:space="0" w:color="auto"/>
              <w:right w:val="single" w:sz="2" w:space="0" w:color="auto"/>
            </w:tcBorders>
          </w:tcPr>
          <w:p w14:paraId="14814BCE" w14:textId="77777777" w:rsidR="009F4766" w:rsidRPr="00DE12A3" w:rsidRDefault="009F4766" w:rsidP="00C917D6">
            <w:pPr>
              <w:pStyle w:val="NormalLeft"/>
            </w:pPr>
            <w:r w:rsidRPr="00DE12A3">
              <w:t>19</w:t>
            </w:r>
          </w:p>
        </w:tc>
        <w:tc>
          <w:tcPr>
            <w:tcW w:w="2551" w:type="dxa"/>
            <w:tcBorders>
              <w:top w:val="single" w:sz="2" w:space="0" w:color="auto"/>
              <w:left w:val="single" w:sz="2" w:space="0" w:color="auto"/>
              <w:bottom w:val="single" w:sz="2" w:space="0" w:color="auto"/>
              <w:right w:val="single" w:sz="2" w:space="0" w:color="auto"/>
            </w:tcBorders>
          </w:tcPr>
          <w:p w14:paraId="3F45EBE9" w14:textId="77777777" w:rsidR="009F4766" w:rsidRPr="00DE12A3" w:rsidRDefault="009F4766" w:rsidP="00C917D6">
            <w:pPr>
              <w:pStyle w:val="NormalLeft"/>
            </w:pPr>
            <w:r w:rsidRPr="00DE12A3">
              <w:t>54</w:t>
            </w:r>
          </w:p>
        </w:tc>
      </w:tr>
      <w:tr w:rsidR="00DE12A3" w:rsidRPr="00DE12A3" w14:paraId="30E44401" w14:textId="77777777" w:rsidTr="009F4766">
        <w:tc>
          <w:tcPr>
            <w:tcW w:w="1182" w:type="dxa"/>
            <w:tcBorders>
              <w:top w:val="single" w:sz="2" w:space="0" w:color="auto"/>
              <w:left w:val="single" w:sz="2" w:space="0" w:color="auto"/>
              <w:bottom w:val="single" w:sz="2" w:space="0" w:color="auto"/>
              <w:right w:val="single" w:sz="2" w:space="0" w:color="auto"/>
            </w:tcBorders>
          </w:tcPr>
          <w:p w14:paraId="3582CBDF" w14:textId="77777777" w:rsidR="009F4766" w:rsidRPr="00DE12A3" w:rsidRDefault="009F4766" w:rsidP="00C917D6">
            <w:pPr>
              <w:pStyle w:val="NormalLeft"/>
            </w:pPr>
            <w:r w:rsidRPr="00DE12A3">
              <w:t>609</w:t>
            </w:r>
          </w:p>
        </w:tc>
        <w:tc>
          <w:tcPr>
            <w:tcW w:w="2489" w:type="dxa"/>
            <w:tcBorders>
              <w:top w:val="single" w:sz="2" w:space="0" w:color="auto"/>
              <w:left w:val="single" w:sz="2" w:space="0" w:color="auto"/>
              <w:bottom w:val="single" w:sz="2" w:space="0" w:color="auto"/>
              <w:right w:val="single" w:sz="2" w:space="0" w:color="auto"/>
            </w:tcBorders>
          </w:tcPr>
          <w:p w14:paraId="75D40A24" w14:textId="77777777" w:rsidR="009F4766" w:rsidRPr="00DE12A3" w:rsidRDefault="009F4766" w:rsidP="00C917D6">
            <w:pPr>
              <w:pStyle w:val="NormalLeft"/>
            </w:pPr>
            <w:r w:rsidRPr="00DE12A3">
              <w:t>43</w:t>
            </w:r>
          </w:p>
        </w:tc>
        <w:tc>
          <w:tcPr>
            <w:tcW w:w="2551" w:type="dxa"/>
            <w:tcBorders>
              <w:top w:val="single" w:sz="2" w:space="0" w:color="auto"/>
              <w:left w:val="single" w:sz="2" w:space="0" w:color="auto"/>
              <w:bottom w:val="single" w:sz="2" w:space="0" w:color="auto"/>
              <w:right w:val="single" w:sz="2" w:space="0" w:color="auto"/>
            </w:tcBorders>
          </w:tcPr>
          <w:p w14:paraId="62960901" w14:textId="77777777" w:rsidR="009F4766" w:rsidRPr="00DE12A3" w:rsidRDefault="009F4766" w:rsidP="00C917D6">
            <w:pPr>
              <w:pStyle w:val="NormalLeft"/>
            </w:pPr>
            <w:r w:rsidRPr="00DE12A3">
              <w:t>65</w:t>
            </w:r>
          </w:p>
        </w:tc>
      </w:tr>
      <w:tr w:rsidR="00DE12A3" w:rsidRPr="00DE12A3" w14:paraId="18FB4440" w14:textId="77777777" w:rsidTr="009F4766">
        <w:tc>
          <w:tcPr>
            <w:tcW w:w="1182" w:type="dxa"/>
            <w:tcBorders>
              <w:top w:val="single" w:sz="2" w:space="0" w:color="auto"/>
              <w:left w:val="single" w:sz="2" w:space="0" w:color="auto"/>
              <w:bottom w:val="single" w:sz="2" w:space="0" w:color="auto"/>
              <w:right w:val="single" w:sz="2" w:space="0" w:color="auto"/>
            </w:tcBorders>
          </w:tcPr>
          <w:p w14:paraId="4011AFA2" w14:textId="77777777" w:rsidR="009F4766" w:rsidRPr="00DE12A3" w:rsidRDefault="009F4766" w:rsidP="00C917D6">
            <w:pPr>
              <w:pStyle w:val="NormalLeft"/>
            </w:pPr>
            <w:r w:rsidRPr="00DE12A3">
              <w:t>610</w:t>
            </w:r>
          </w:p>
        </w:tc>
        <w:tc>
          <w:tcPr>
            <w:tcW w:w="2489" w:type="dxa"/>
            <w:tcBorders>
              <w:top w:val="single" w:sz="2" w:space="0" w:color="auto"/>
              <w:left w:val="single" w:sz="2" w:space="0" w:color="auto"/>
              <w:bottom w:val="single" w:sz="2" w:space="0" w:color="auto"/>
              <w:right w:val="single" w:sz="2" w:space="0" w:color="auto"/>
            </w:tcBorders>
          </w:tcPr>
          <w:p w14:paraId="018BA875" w14:textId="77777777" w:rsidR="009F4766" w:rsidRPr="00DE12A3" w:rsidRDefault="009F4766" w:rsidP="00C917D6">
            <w:pPr>
              <w:pStyle w:val="NormalLeft"/>
            </w:pPr>
            <w:r w:rsidRPr="00DE12A3">
              <w:t>52</w:t>
            </w:r>
          </w:p>
        </w:tc>
        <w:tc>
          <w:tcPr>
            <w:tcW w:w="2551" w:type="dxa"/>
            <w:tcBorders>
              <w:top w:val="single" w:sz="2" w:space="0" w:color="auto"/>
              <w:left w:val="single" w:sz="2" w:space="0" w:color="auto"/>
              <w:bottom w:val="single" w:sz="2" w:space="0" w:color="auto"/>
              <w:right w:val="single" w:sz="2" w:space="0" w:color="auto"/>
            </w:tcBorders>
          </w:tcPr>
          <w:p w14:paraId="65CA325F" w14:textId="77777777" w:rsidR="009F4766" w:rsidRPr="00DE12A3" w:rsidRDefault="009F4766" w:rsidP="00C917D6">
            <w:pPr>
              <w:pStyle w:val="NormalLeft"/>
            </w:pPr>
            <w:r w:rsidRPr="00DE12A3">
              <w:t>80</w:t>
            </w:r>
          </w:p>
        </w:tc>
      </w:tr>
      <w:tr w:rsidR="00DE12A3" w:rsidRPr="00DE12A3" w14:paraId="15E57C21" w14:textId="77777777" w:rsidTr="009F4766">
        <w:tc>
          <w:tcPr>
            <w:tcW w:w="1182" w:type="dxa"/>
            <w:tcBorders>
              <w:top w:val="single" w:sz="2" w:space="0" w:color="auto"/>
              <w:left w:val="single" w:sz="2" w:space="0" w:color="auto"/>
              <w:bottom w:val="single" w:sz="2" w:space="0" w:color="auto"/>
              <w:right w:val="single" w:sz="2" w:space="0" w:color="auto"/>
            </w:tcBorders>
          </w:tcPr>
          <w:p w14:paraId="7A76131A" w14:textId="77777777" w:rsidR="009F4766" w:rsidRPr="00DE12A3" w:rsidRDefault="009F4766" w:rsidP="00C917D6">
            <w:pPr>
              <w:pStyle w:val="NormalLeft"/>
            </w:pPr>
            <w:r w:rsidRPr="00DE12A3">
              <w:t>611</w:t>
            </w:r>
          </w:p>
        </w:tc>
        <w:tc>
          <w:tcPr>
            <w:tcW w:w="2489" w:type="dxa"/>
            <w:tcBorders>
              <w:top w:val="single" w:sz="2" w:space="0" w:color="auto"/>
              <w:left w:val="single" w:sz="2" w:space="0" w:color="auto"/>
              <w:bottom w:val="single" w:sz="2" w:space="0" w:color="auto"/>
              <w:right w:val="single" w:sz="2" w:space="0" w:color="auto"/>
            </w:tcBorders>
          </w:tcPr>
          <w:p w14:paraId="1EC7D411" w14:textId="77777777" w:rsidR="009F4766" w:rsidRPr="00DE12A3" w:rsidRDefault="009F4766" w:rsidP="00C917D6">
            <w:pPr>
              <w:pStyle w:val="NormalLeft"/>
            </w:pPr>
            <w:r w:rsidRPr="00DE12A3">
              <w:t>52</w:t>
            </w:r>
          </w:p>
        </w:tc>
        <w:tc>
          <w:tcPr>
            <w:tcW w:w="2551" w:type="dxa"/>
            <w:tcBorders>
              <w:top w:val="single" w:sz="2" w:space="0" w:color="auto"/>
              <w:left w:val="single" w:sz="2" w:space="0" w:color="auto"/>
              <w:bottom w:val="single" w:sz="2" w:space="0" w:color="auto"/>
              <w:right w:val="single" w:sz="2" w:space="0" w:color="auto"/>
            </w:tcBorders>
          </w:tcPr>
          <w:p w14:paraId="731F6152" w14:textId="77777777" w:rsidR="009F4766" w:rsidRPr="00DE12A3" w:rsidRDefault="009F4766" w:rsidP="00C917D6">
            <w:pPr>
              <w:pStyle w:val="NormalLeft"/>
            </w:pPr>
            <w:r w:rsidRPr="00DE12A3">
              <w:t>83</w:t>
            </w:r>
          </w:p>
        </w:tc>
      </w:tr>
      <w:tr w:rsidR="00DE12A3" w:rsidRPr="00DE12A3" w14:paraId="4E4659F7" w14:textId="77777777" w:rsidTr="009F4766">
        <w:tc>
          <w:tcPr>
            <w:tcW w:w="1182" w:type="dxa"/>
            <w:tcBorders>
              <w:top w:val="single" w:sz="2" w:space="0" w:color="auto"/>
              <w:left w:val="single" w:sz="2" w:space="0" w:color="auto"/>
              <w:bottom w:val="single" w:sz="2" w:space="0" w:color="auto"/>
              <w:right w:val="single" w:sz="2" w:space="0" w:color="auto"/>
            </w:tcBorders>
          </w:tcPr>
          <w:p w14:paraId="1FD7C2DA" w14:textId="77777777" w:rsidR="009F4766" w:rsidRPr="00DE12A3" w:rsidRDefault="009F4766" w:rsidP="00C917D6">
            <w:pPr>
              <w:pStyle w:val="NormalLeft"/>
            </w:pPr>
            <w:r w:rsidRPr="00DE12A3">
              <w:t>612</w:t>
            </w:r>
          </w:p>
        </w:tc>
        <w:tc>
          <w:tcPr>
            <w:tcW w:w="2489" w:type="dxa"/>
            <w:tcBorders>
              <w:top w:val="single" w:sz="2" w:space="0" w:color="auto"/>
              <w:left w:val="single" w:sz="2" w:space="0" w:color="auto"/>
              <w:bottom w:val="single" w:sz="2" w:space="0" w:color="auto"/>
              <w:right w:val="single" w:sz="2" w:space="0" w:color="auto"/>
            </w:tcBorders>
          </w:tcPr>
          <w:p w14:paraId="335AD5E6" w14:textId="77777777" w:rsidR="009F4766" w:rsidRPr="00DE12A3" w:rsidRDefault="009F4766" w:rsidP="00C917D6">
            <w:pPr>
              <w:pStyle w:val="NormalLeft"/>
            </w:pPr>
            <w:r w:rsidRPr="00DE12A3">
              <w:t>49</w:t>
            </w:r>
          </w:p>
        </w:tc>
        <w:tc>
          <w:tcPr>
            <w:tcW w:w="2551" w:type="dxa"/>
            <w:tcBorders>
              <w:top w:val="single" w:sz="2" w:space="0" w:color="auto"/>
              <w:left w:val="single" w:sz="2" w:space="0" w:color="auto"/>
              <w:bottom w:val="single" w:sz="2" w:space="0" w:color="auto"/>
              <w:right w:val="single" w:sz="2" w:space="0" w:color="auto"/>
            </w:tcBorders>
          </w:tcPr>
          <w:p w14:paraId="3ECCB4F1" w14:textId="77777777" w:rsidR="009F4766" w:rsidRPr="00DE12A3" w:rsidRDefault="009F4766" w:rsidP="00C917D6">
            <w:pPr>
              <w:pStyle w:val="NormalLeft"/>
            </w:pPr>
            <w:r w:rsidRPr="00DE12A3">
              <w:t>57</w:t>
            </w:r>
          </w:p>
        </w:tc>
      </w:tr>
      <w:tr w:rsidR="00DE12A3" w:rsidRPr="00DE12A3" w14:paraId="571FEB11" w14:textId="77777777" w:rsidTr="009F4766">
        <w:tc>
          <w:tcPr>
            <w:tcW w:w="1182" w:type="dxa"/>
            <w:tcBorders>
              <w:top w:val="single" w:sz="2" w:space="0" w:color="auto"/>
              <w:left w:val="single" w:sz="2" w:space="0" w:color="auto"/>
              <w:bottom w:val="single" w:sz="2" w:space="0" w:color="auto"/>
              <w:right w:val="single" w:sz="2" w:space="0" w:color="auto"/>
            </w:tcBorders>
          </w:tcPr>
          <w:p w14:paraId="7BF63F74" w14:textId="77777777" w:rsidR="009F4766" w:rsidRPr="00DE12A3" w:rsidRDefault="009F4766" w:rsidP="00C917D6">
            <w:pPr>
              <w:pStyle w:val="NormalLeft"/>
            </w:pPr>
            <w:r w:rsidRPr="00DE12A3">
              <w:t>613</w:t>
            </w:r>
          </w:p>
        </w:tc>
        <w:tc>
          <w:tcPr>
            <w:tcW w:w="2489" w:type="dxa"/>
            <w:tcBorders>
              <w:top w:val="single" w:sz="2" w:space="0" w:color="auto"/>
              <w:left w:val="single" w:sz="2" w:space="0" w:color="auto"/>
              <w:bottom w:val="single" w:sz="2" w:space="0" w:color="auto"/>
              <w:right w:val="single" w:sz="2" w:space="0" w:color="auto"/>
            </w:tcBorders>
          </w:tcPr>
          <w:p w14:paraId="30ED4678" w14:textId="77777777" w:rsidR="009F4766" w:rsidRPr="00DE12A3" w:rsidRDefault="009F4766" w:rsidP="00C917D6">
            <w:pPr>
              <w:pStyle w:val="NormalLeft"/>
            </w:pPr>
            <w:r w:rsidRPr="00DE12A3">
              <w:t>48</w:t>
            </w:r>
          </w:p>
        </w:tc>
        <w:tc>
          <w:tcPr>
            <w:tcW w:w="2551" w:type="dxa"/>
            <w:tcBorders>
              <w:top w:val="single" w:sz="2" w:space="0" w:color="auto"/>
              <w:left w:val="single" w:sz="2" w:space="0" w:color="auto"/>
              <w:bottom w:val="single" w:sz="2" w:space="0" w:color="auto"/>
              <w:right w:val="single" w:sz="2" w:space="0" w:color="auto"/>
            </w:tcBorders>
          </w:tcPr>
          <w:p w14:paraId="19B530DA" w14:textId="77777777" w:rsidR="009F4766" w:rsidRPr="00DE12A3" w:rsidRDefault="009F4766" w:rsidP="00C917D6">
            <w:pPr>
              <w:pStyle w:val="NormalLeft"/>
            </w:pPr>
            <w:r w:rsidRPr="00DE12A3">
              <w:t>46</w:t>
            </w:r>
          </w:p>
        </w:tc>
      </w:tr>
      <w:tr w:rsidR="00DE12A3" w:rsidRPr="00DE12A3" w14:paraId="291215F9" w14:textId="77777777" w:rsidTr="009F4766">
        <w:tc>
          <w:tcPr>
            <w:tcW w:w="1182" w:type="dxa"/>
            <w:tcBorders>
              <w:top w:val="single" w:sz="2" w:space="0" w:color="auto"/>
              <w:left w:val="single" w:sz="2" w:space="0" w:color="auto"/>
              <w:bottom w:val="single" w:sz="2" w:space="0" w:color="auto"/>
              <w:right w:val="single" w:sz="2" w:space="0" w:color="auto"/>
            </w:tcBorders>
          </w:tcPr>
          <w:p w14:paraId="7E89DD23" w14:textId="77777777" w:rsidR="009F4766" w:rsidRPr="00DE12A3" w:rsidRDefault="009F4766" w:rsidP="00C917D6">
            <w:pPr>
              <w:pStyle w:val="NormalLeft"/>
            </w:pPr>
            <w:r w:rsidRPr="00DE12A3">
              <w:t>614</w:t>
            </w:r>
          </w:p>
        </w:tc>
        <w:tc>
          <w:tcPr>
            <w:tcW w:w="2489" w:type="dxa"/>
            <w:tcBorders>
              <w:top w:val="single" w:sz="2" w:space="0" w:color="auto"/>
              <w:left w:val="single" w:sz="2" w:space="0" w:color="auto"/>
              <w:bottom w:val="single" w:sz="2" w:space="0" w:color="auto"/>
              <w:right w:val="single" w:sz="2" w:space="0" w:color="auto"/>
            </w:tcBorders>
          </w:tcPr>
          <w:p w14:paraId="09F5927C" w14:textId="77777777" w:rsidR="009F4766" w:rsidRPr="00DE12A3" w:rsidRDefault="009F4766" w:rsidP="00C917D6">
            <w:pPr>
              <w:pStyle w:val="NormalLeft"/>
            </w:pPr>
            <w:r w:rsidRPr="00DE12A3">
              <w:t>37</w:t>
            </w:r>
          </w:p>
        </w:tc>
        <w:tc>
          <w:tcPr>
            <w:tcW w:w="2551" w:type="dxa"/>
            <w:tcBorders>
              <w:top w:val="single" w:sz="2" w:space="0" w:color="auto"/>
              <w:left w:val="single" w:sz="2" w:space="0" w:color="auto"/>
              <w:bottom w:val="single" w:sz="2" w:space="0" w:color="auto"/>
              <w:right w:val="single" w:sz="2" w:space="0" w:color="auto"/>
            </w:tcBorders>
          </w:tcPr>
          <w:p w14:paraId="2D0161CF" w14:textId="77777777" w:rsidR="009F4766" w:rsidRPr="00DE12A3" w:rsidRDefault="009F4766" w:rsidP="00C917D6">
            <w:pPr>
              <w:pStyle w:val="NormalLeft"/>
            </w:pPr>
            <w:r w:rsidRPr="00DE12A3">
              <w:t>36</w:t>
            </w:r>
          </w:p>
        </w:tc>
      </w:tr>
      <w:tr w:rsidR="00DE12A3" w:rsidRPr="00DE12A3" w14:paraId="4EC113F9" w14:textId="77777777" w:rsidTr="009F4766">
        <w:tc>
          <w:tcPr>
            <w:tcW w:w="1182" w:type="dxa"/>
            <w:tcBorders>
              <w:top w:val="single" w:sz="2" w:space="0" w:color="auto"/>
              <w:left w:val="single" w:sz="2" w:space="0" w:color="auto"/>
              <w:bottom w:val="single" w:sz="2" w:space="0" w:color="auto"/>
              <w:right w:val="single" w:sz="2" w:space="0" w:color="auto"/>
            </w:tcBorders>
          </w:tcPr>
          <w:p w14:paraId="35E1A7C8" w14:textId="77777777" w:rsidR="009F4766" w:rsidRPr="00DE12A3" w:rsidRDefault="009F4766" w:rsidP="00C917D6">
            <w:pPr>
              <w:pStyle w:val="NormalLeft"/>
            </w:pPr>
            <w:r w:rsidRPr="00DE12A3">
              <w:t>615</w:t>
            </w:r>
          </w:p>
        </w:tc>
        <w:tc>
          <w:tcPr>
            <w:tcW w:w="2489" w:type="dxa"/>
            <w:tcBorders>
              <w:top w:val="single" w:sz="2" w:space="0" w:color="auto"/>
              <w:left w:val="single" w:sz="2" w:space="0" w:color="auto"/>
              <w:bottom w:val="single" w:sz="2" w:space="0" w:color="auto"/>
              <w:right w:val="single" w:sz="2" w:space="0" w:color="auto"/>
            </w:tcBorders>
          </w:tcPr>
          <w:p w14:paraId="2CEE7195" w14:textId="77777777" w:rsidR="009F4766" w:rsidRPr="00DE12A3" w:rsidRDefault="009F4766" w:rsidP="00C917D6">
            <w:pPr>
              <w:pStyle w:val="NormalLeft"/>
            </w:pPr>
            <w:r w:rsidRPr="00DE12A3">
              <w:t>25</w:t>
            </w:r>
          </w:p>
        </w:tc>
        <w:tc>
          <w:tcPr>
            <w:tcW w:w="2551" w:type="dxa"/>
            <w:tcBorders>
              <w:top w:val="single" w:sz="2" w:space="0" w:color="auto"/>
              <w:left w:val="single" w:sz="2" w:space="0" w:color="auto"/>
              <w:bottom w:val="single" w:sz="2" w:space="0" w:color="auto"/>
              <w:right w:val="single" w:sz="2" w:space="0" w:color="auto"/>
            </w:tcBorders>
          </w:tcPr>
          <w:p w14:paraId="5288375F" w14:textId="77777777" w:rsidR="009F4766" w:rsidRPr="00DE12A3" w:rsidRDefault="009F4766" w:rsidP="00C917D6">
            <w:pPr>
              <w:pStyle w:val="NormalLeft"/>
            </w:pPr>
            <w:r w:rsidRPr="00DE12A3">
              <w:t>44</w:t>
            </w:r>
          </w:p>
        </w:tc>
      </w:tr>
      <w:tr w:rsidR="00DE12A3" w:rsidRPr="00DE12A3" w14:paraId="4A2C212A" w14:textId="77777777" w:rsidTr="009F4766">
        <w:tc>
          <w:tcPr>
            <w:tcW w:w="1182" w:type="dxa"/>
            <w:tcBorders>
              <w:top w:val="single" w:sz="2" w:space="0" w:color="auto"/>
              <w:left w:val="single" w:sz="2" w:space="0" w:color="auto"/>
              <w:bottom w:val="single" w:sz="2" w:space="0" w:color="auto"/>
              <w:right w:val="single" w:sz="2" w:space="0" w:color="auto"/>
            </w:tcBorders>
          </w:tcPr>
          <w:p w14:paraId="602816D7" w14:textId="77777777" w:rsidR="009F4766" w:rsidRPr="00DE12A3" w:rsidRDefault="009F4766" w:rsidP="00C917D6">
            <w:pPr>
              <w:pStyle w:val="NormalLeft"/>
            </w:pPr>
            <w:r w:rsidRPr="00DE12A3">
              <w:t>616</w:t>
            </w:r>
          </w:p>
        </w:tc>
        <w:tc>
          <w:tcPr>
            <w:tcW w:w="2489" w:type="dxa"/>
            <w:tcBorders>
              <w:top w:val="single" w:sz="2" w:space="0" w:color="auto"/>
              <w:left w:val="single" w:sz="2" w:space="0" w:color="auto"/>
              <w:bottom w:val="single" w:sz="2" w:space="0" w:color="auto"/>
              <w:right w:val="single" w:sz="2" w:space="0" w:color="auto"/>
            </w:tcBorders>
          </w:tcPr>
          <w:p w14:paraId="7D0118B5" w14:textId="77777777" w:rsidR="009F4766" w:rsidRPr="00DE12A3" w:rsidRDefault="009F4766" w:rsidP="00C917D6">
            <w:pPr>
              <w:pStyle w:val="NormalLeft"/>
            </w:pPr>
            <w:r w:rsidRPr="00DE12A3">
              <w:t>14</w:t>
            </w:r>
          </w:p>
        </w:tc>
        <w:tc>
          <w:tcPr>
            <w:tcW w:w="2551" w:type="dxa"/>
            <w:tcBorders>
              <w:top w:val="single" w:sz="2" w:space="0" w:color="auto"/>
              <w:left w:val="single" w:sz="2" w:space="0" w:color="auto"/>
              <w:bottom w:val="single" w:sz="2" w:space="0" w:color="auto"/>
              <w:right w:val="single" w:sz="2" w:space="0" w:color="auto"/>
            </w:tcBorders>
          </w:tcPr>
          <w:p w14:paraId="2E1DD975" w14:textId="77777777" w:rsidR="009F4766" w:rsidRPr="00DE12A3" w:rsidRDefault="009F4766" w:rsidP="00C917D6">
            <w:pPr>
              <w:pStyle w:val="NormalLeft"/>
            </w:pPr>
            <w:r w:rsidRPr="00DE12A3">
              <w:t>53</w:t>
            </w:r>
          </w:p>
        </w:tc>
      </w:tr>
      <w:tr w:rsidR="00DE12A3" w:rsidRPr="00DE12A3" w14:paraId="25B8E052" w14:textId="77777777" w:rsidTr="009F4766">
        <w:tc>
          <w:tcPr>
            <w:tcW w:w="1182" w:type="dxa"/>
            <w:tcBorders>
              <w:top w:val="single" w:sz="2" w:space="0" w:color="auto"/>
              <w:left w:val="single" w:sz="2" w:space="0" w:color="auto"/>
              <w:bottom w:val="single" w:sz="2" w:space="0" w:color="auto"/>
              <w:right w:val="single" w:sz="2" w:space="0" w:color="auto"/>
            </w:tcBorders>
          </w:tcPr>
          <w:p w14:paraId="1A0122EC" w14:textId="77777777" w:rsidR="009F4766" w:rsidRPr="00DE12A3" w:rsidRDefault="009F4766" w:rsidP="00C917D6">
            <w:pPr>
              <w:pStyle w:val="NormalLeft"/>
            </w:pPr>
            <w:r w:rsidRPr="00DE12A3">
              <w:t>617</w:t>
            </w:r>
          </w:p>
        </w:tc>
        <w:tc>
          <w:tcPr>
            <w:tcW w:w="2489" w:type="dxa"/>
            <w:tcBorders>
              <w:top w:val="single" w:sz="2" w:space="0" w:color="auto"/>
              <w:left w:val="single" w:sz="2" w:space="0" w:color="auto"/>
              <w:bottom w:val="single" w:sz="2" w:space="0" w:color="auto"/>
              <w:right w:val="single" w:sz="2" w:space="0" w:color="auto"/>
            </w:tcBorders>
          </w:tcPr>
          <w:p w14:paraId="38A58955" w14:textId="77777777" w:rsidR="009F4766" w:rsidRPr="00DE12A3" w:rsidRDefault="009F4766" w:rsidP="00C917D6">
            <w:pPr>
              <w:pStyle w:val="NormalLeft"/>
            </w:pPr>
            <w:r w:rsidRPr="00DE12A3">
              <w:t>13</w:t>
            </w:r>
          </w:p>
        </w:tc>
        <w:tc>
          <w:tcPr>
            <w:tcW w:w="2551" w:type="dxa"/>
            <w:tcBorders>
              <w:top w:val="single" w:sz="2" w:space="0" w:color="auto"/>
              <w:left w:val="single" w:sz="2" w:space="0" w:color="auto"/>
              <w:bottom w:val="single" w:sz="2" w:space="0" w:color="auto"/>
              <w:right w:val="single" w:sz="2" w:space="0" w:color="auto"/>
            </w:tcBorders>
          </w:tcPr>
          <w:p w14:paraId="4192544D" w14:textId="77777777" w:rsidR="009F4766" w:rsidRPr="00DE12A3" w:rsidRDefault="009F4766" w:rsidP="00C917D6">
            <w:pPr>
              <w:pStyle w:val="NormalLeft"/>
            </w:pPr>
            <w:r w:rsidRPr="00DE12A3">
              <w:t>64</w:t>
            </w:r>
          </w:p>
        </w:tc>
      </w:tr>
      <w:tr w:rsidR="00DE12A3" w:rsidRPr="00DE12A3" w14:paraId="1CBA1E9D" w14:textId="77777777" w:rsidTr="009F4766">
        <w:tc>
          <w:tcPr>
            <w:tcW w:w="1182" w:type="dxa"/>
            <w:tcBorders>
              <w:top w:val="single" w:sz="2" w:space="0" w:color="auto"/>
              <w:left w:val="single" w:sz="2" w:space="0" w:color="auto"/>
              <w:bottom w:val="single" w:sz="2" w:space="0" w:color="auto"/>
              <w:right w:val="single" w:sz="2" w:space="0" w:color="auto"/>
            </w:tcBorders>
          </w:tcPr>
          <w:p w14:paraId="4082752B" w14:textId="77777777" w:rsidR="009F4766" w:rsidRPr="00DE12A3" w:rsidRDefault="009F4766" w:rsidP="00C917D6">
            <w:pPr>
              <w:pStyle w:val="NormalLeft"/>
            </w:pPr>
            <w:r w:rsidRPr="00DE12A3">
              <w:t>618</w:t>
            </w:r>
          </w:p>
        </w:tc>
        <w:tc>
          <w:tcPr>
            <w:tcW w:w="2489" w:type="dxa"/>
            <w:tcBorders>
              <w:top w:val="single" w:sz="2" w:space="0" w:color="auto"/>
              <w:left w:val="single" w:sz="2" w:space="0" w:color="auto"/>
              <w:bottom w:val="single" w:sz="2" w:space="0" w:color="auto"/>
              <w:right w:val="single" w:sz="2" w:space="0" w:color="auto"/>
            </w:tcBorders>
          </w:tcPr>
          <w:p w14:paraId="67D5C21E" w14:textId="77777777" w:rsidR="009F4766" w:rsidRPr="00DE12A3" w:rsidRDefault="009F4766" w:rsidP="00C917D6">
            <w:pPr>
              <w:pStyle w:val="NormalLeft"/>
            </w:pPr>
            <w:r w:rsidRPr="00DE12A3">
              <w:t>23</w:t>
            </w:r>
          </w:p>
        </w:tc>
        <w:tc>
          <w:tcPr>
            <w:tcW w:w="2551" w:type="dxa"/>
            <w:tcBorders>
              <w:top w:val="single" w:sz="2" w:space="0" w:color="auto"/>
              <w:left w:val="single" w:sz="2" w:space="0" w:color="auto"/>
              <w:bottom w:val="single" w:sz="2" w:space="0" w:color="auto"/>
              <w:right w:val="single" w:sz="2" w:space="0" w:color="auto"/>
            </w:tcBorders>
          </w:tcPr>
          <w:p w14:paraId="0E84EE64" w14:textId="77777777" w:rsidR="009F4766" w:rsidRPr="00DE12A3" w:rsidRDefault="009F4766" w:rsidP="00C917D6">
            <w:pPr>
              <w:pStyle w:val="NormalLeft"/>
            </w:pPr>
            <w:r w:rsidRPr="00DE12A3">
              <w:t>56</w:t>
            </w:r>
          </w:p>
        </w:tc>
      </w:tr>
      <w:tr w:rsidR="00DE12A3" w:rsidRPr="00DE12A3" w14:paraId="6DF24A74" w14:textId="77777777" w:rsidTr="009F4766">
        <w:tc>
          <w:tcPr>
            <w:tcW w:w="1182" w:type="dxa"/>
            <w:tcBorders>
              <w:top w:val="single" w:sz="2" w:space="0" w:color="auto"/>
              <w:left w:val="single" w:sz="2" w:space="0" w:color="auto"/>
              <w:bottom w:val="single" w:sz="2" w:space="0" w:color="auto"/>
              <w:right w:val="single" w:sz="2" w:space="0" w:color="auto"/>
            </w:tcBorders>
          </w:tcPr>
          <w:p w14:paraId="2B352DED" w14:textId="77777777" w:rsidR="009F4766" w:rsidRPr="00DE12A3" w:rsidRDefault="009F4766" w:rsidP="00C917D6">
            <w:pPr>
              <w:pStyle w:val="NormalLeft"/>
            </w:pPr>
            <w:r w:rsidRPr="00DE12A3">
              <w:t>619</w:t>
            </w:r>
          </w:p>
        </w:tc>
        <w:tc>
          <w:tcPr>
            <w:tcW w:w="2489" w:type="dxa"/>
            <w:tcBorders>
              <w:top w:val="single" w:sz="2" w:space="0" w:color="auto"/>
              <w:left w:val="single" w:sz="2" w:space="0" w:color="auto"/>
              <w:bottom w:val="single" w:sz="2" w:space="0" w:color="auto"/>
              <w:right w:val="single" w:sz="2" w:space="0" w:color="auto"/>
            </w:tcBorders>
          </w:tcPr>
          <w:p w14:paraId="322F9C1D" w14:textId="77777777" w:rsidR="009F4766" w:rsidRPr="00DE12A3" w:rsidRDefault="009F4766" w:rsidP="00C917D6">
            <w:pPr>
              <w:pStyle w:val="NormalLeft"/>
            </w:pPr>
            <w:r w:rsidRPr="00DE12A3">
              <w:t>21</w:t>
            </w:r>
          </w:p>
        </w:tc>
        <w:tc>
          <w:tcPr>
            <w:tcW w:w="2551" w:type="dxa"/>
            <w:tcBorders>
              <w:top w:val="single" w:sz="2" w:space="0" w:color="auto"/>
              <w:left w:val="single" w:sz="2" w:space="0" w:color="auto"/>
              <w:bottom w:val="single" w:sz="2" w:space="0" w:color="auto"/>
              <w:right w:val="single" w:sz="2" w:space="0" w:color="auto"/>
            </w:tcBorders>
          </w:tcPr>
          <w:p w14:paraId="6784D528" w14:textId="77777777" w:rsidR="009F4766" w:rsidRPr="00DE12A3" w:rsidRDefault="009F4766" w:rsidP="00C917D6">
            <w:pPr>
              <w:pStyle w:val="NormalLeft"/>
            </w:pPr>
            <w:r w:rsidRPr="00DE12A3">
              <w:t>63</w:t>
            </w:r>
          </w:p>
        </w:tc>
      </w:tr>
      <w:tr w:rsidR="00DE12A3" w:rsidRPr="00DE12A3" w14:paraId="5F57192C" w14:textId="77777777" w:rsidTr="009F4766">
        <w:tc>
          <w:tcPr>
            <w:tcW w:w="1182" w:type="dxa"/>
            <w:tcBorders>
              <w:top w:val="single" w:sz="2" w:space="0" w:color="auto"/>
              <w:left w:val="single" w:sz="2" w:space="0" w:color="auto"/>
              <w:bottom w:val="single" w:sz="2" w:space="0" w:color="auto"/>
              <w:right w:val="single" w:sz="2" w:space="0" w:color="auto"/>
            </w:tcBorders>
          </w:tcPr>
          <w:p w14:paraId="031F25B4" w14:textId="77777777" w:rsidR="009F4766" w:rsidRPr="00DE12A3" w:rsidRDefault="009F4766" w:rsidP="00C917D6">
            <w:pPr>
              <w:pStyle w:val="NormalLeft"/>
            </w:pPr>
            <w:r w:rsidRPr="00DE12A3">
              <w:t>620</w:t>
            </w:r>
          </w:p>
        </w:tc>
        <w:tc>
          <w:tcPr>
            <w:tcW w:w="2489" w:type="dxa"/>
            <w:tcBorders>
              <w:top w:val="single" w:sz="2" w:space="0" w:color="auto"/>
              <w:left w:val="single" w:sz="2" w:space="0" w:color="auto"/>
              <w:bottom w:val="single" w:sz="2" w:space="0" w:color="auto"/>
              <w:right w:val="single" w:sz="2" w:space="0" w:color="auto"/>
            </w:tcBorders>
          </w:tcPr>
          <w:p w14:paraId="5CF60AAF" w14:textId="77777777" w:rsidR="009F4766" w:rsidRPr="00DE12A3" w:rsidRDefault="009F4766" w:rsidP="00C917D6">
            <w:pPr>
              <w:pStyle w:val="NormalLeft"/>
            </w:pPr>
            <w:r w:rsidRPr="00DE12A3">
              <w:t>18</w:t>
            </w:r>
          </w:p>
        </w:tc>
        <w:tc>
          <w:tcPr>
            <w:tcW w:w="2551" w:type="dxa"/>
            <w:tcBorders>
              <w:top w:val="single" w:sz="2" w:space="0" w:color="auto"/>
              <w:left w:val="single" w:sz="2" w:space="0" w:color="auto"/>
              <w:bottom w:val="single" w:sz="2" w:space="0" w:color="auto"/>
              <w:right w:val="single" w:sz="2" w:space="0" w:color="auto"/>
            </w:tcBorders>
          </w:tcPr>
          <w:p w14:paraId="6604C06E" w14:textId="77777777" w:rsidR="009F4766" w:rsidRPr="00DE12A3" w:rsidRDefault="009F4766" w:rsidP="00C917D6">
            <w:pPr>
              <w:pStyle w:val="NormalLeft"/>
            </w:pPr>
            <w:r w:rsidRPr="00DE12A3">
              <w:t>67</w:t>
            </w:r>
          </w:p>
        </w:tc>
      </w:tr>
      <w:tr w:rsidR="00DE12A3" w:rsidRPr="00DE12A3" w14:paraId="029871AC" w14:textId="77777777" w:rsidTr="009F4766">
        <w:tc>
          <w:tcPr>
            <w:tcW w:w="1182" w:type="dxa"/>
            <w:tcBorders>
              <w:top w:val="single" w:sz="2" w:space="0" w:color="auto"/>
              <w:left w:val="single" w:sz="2" w:space="0" w:color="auto"/>
              <w:bottom w:val="single" w:sz="2" w:space="0" w:color="auto"/>
              <w:right w:val="single" w:sz="2" w:space="0" w:color="auto"/>
            </w:tcBorders>
          </w:tcPr>
          <w:p w14:paraId="2B6D8554" w14:textId="77777777" w:rsidR="009F4766" w:rsidRPr="00DE12A3" w:rsidRDefault="009F4766" w:rsidP="00C917D6">
            <w:pPr>
              <w:pStyle w:val="NormalLeft"/>
            </w:pPr>
            <w:r w:rsidRPr="00DE12A3">
              <w:t>621</w:t>
            </w:r>
          </w:p>
        </w:tc>
        <w:tc>
          <w:tcPr>
            <w:tcW w:w="2489" w:type="dxa"/>
            <w:tcBorders>
              <w:top w:val="single" w:sz="2" w:space="0" w:color="auto"/>
              <w:left w:val="single" w:sz="2" w:space="0" w:color="auto"/>
              <w:bottom w:val="single" w:sz="2" w:space="0" w:color="auto"/>
              <w:right w:val="single" w:sz="2" w:space="0" w:color="auto"/>
            </w:tcBorders>
          </w:tcPr>
          <w:p w14:paraId="23A0A0EA" w14:textId="77777777" w:rsidR="009F4766" w:rsidRPr="00DE12A3" w:rsidRDefault="009F4766" w:rsidP="00C917D6">
            <w:pPr>
              <w:pStyle w:val="NormalLeft"/>
            </w:pPr>
            <w:r w:rsidRPr="00DE12A3">
              <w:t>20</w:t>
            </w:r>
          </w:p>
        </w:tc>
        <w:tc>
          <w:tcPr>
            <w:tcW w:w="2551" w:type="dxa"/>
            <w:tcBorders>
              <w:top w:val="single" w:sz="2" w:space="0" w:color="auto"/>
              <w:left w:val="single" w:sz="2" w:space="0" w:color="auto"/>
              <w:bottom w:val="single" w:sz="2" w:space="0" w:color="auto"/>
              <w:right w:val="single" w:sz="2" w:space="0" w:color="auto"/>
            </w:tcBorders>
          </w:tcPr>
          <w:p w14:paraId="6449E9BA" w14:textId="77777777" w:rsidR="009F4766" w:rsidRPr="00DE12A3" w:rsidRDefault="009F4766" w:rsidP="00C917D6">
            <w:pPr>
              <w:pStyle w:val="NormalLeft"/>
            </w:pPr>
            <w:r w:rsidRPr="00DE12A3">
              <w:t>54</w:t>
            </w:r>
          </w:p>
        </w:tc>
      </w:tr>
      <w:tr w:rsidR="00DE12A3" w:rsidRPr="00DE12A3" w14:paraId="11404F8D" w14:textId="77777777" w:rsidTr="009F4766">
        <w:tc>
          <w:tcPr>
            <w:tcW w:w="1182" w:type="dxa"/>
            <w:tcBorders>
              <w:top w:val="single" w:sz="2" w:space="0" w:color="auto"/>
              <w:left w:val="single" w:sz="2" w:space="0" w:color="auto"/>
              <w:bottom w:val="single" w:sz="2" w:space="0" w:color="auto"/>
              <w:right w:val="single" w:sz="2" w:space="0" w:color="auto"/>
            </w:tcBorders>
          </w:tcPr>
          <w:p w14:paraId="2D4D7295" w14:textId="77777777" w:rsidR="009F4766" w:rsidRPr="00DE12A3" w:rsidRDefault="009F4766" w:rsidP="00C917D6">
            <w:pPr>
              <w:pStyle w:val="NormalLeft"/>
            </w:pPr>
            <w:r w:rsidRPr="00DE12A3">
              <w:t>622</w:t>
            </w:r>
          </w:p>
        </w:tc>
        <w:tc>
          <w:tcPr>
            <w:tcW w:w="2489" w:type="dxa"/>
            <w:tcBorders>
              <w:top w:val="single" w:sz="2" w:space="0" w:color="auto"/>
              <w:left w:val="single" w:sz="2" w:space="0" w:color="auto"/>
              <w:bottom w:val="single" w:sz="2" w:space="0" w:color="auto"/>
              <w:right w:val="single" w:sz="2" w:space="0" w:color="auto"/>
            </w:tcBorders>
          </w:tcPr>
          <w:p w14:paraId="0F318039" w14:textId="77777777" w:rsidR="009F4766" w:rsidRPr="00DE12A3" w:rsidRDefault="009F4766" w:rsidP="00C917D6">
            <w:pPr>
              <w:pStyle w:val="NormalLeft"/>
            </w:pPr>
            <w:r w:rsidRPr="00DE12A3">
              <w:t>16</w:t>
            </w:r>
          </w:p>
        </w:tc>
        <w:tc>
          <w:tcPr>
            <w:tcW w:w="2551" w:type="dxa"/>
            <w:tcBorders>
              <w:top w:val="single" w:sz="2" w:space="0" w:color="auto"/>
              <w:left w:val="single" w:sz="2" w:space="0" w:color="auto"/>
              <w:bottom w:val="single" w:sz="2" w:space="0" w:color="auto"/>
              <w:right w:val="single" w:sz="2" w:space="0" w:color="auto"/>
            </w:tcBorders>
          </w:tcPr>
          <w:p w14:paraId="7910B6C3" w14:textId="77777777" w:rsidR="009F4766" w:rsidRPr="00DE12A3" w:rsidRDefault="009F4766" w:rsidP="00C917D6">
            <w:pPr>
              <w:pStyle w:val="NormalLeft"/>
            </w:pPr>
            <w:r w:rsidRPr="00DE12A3">
              <w:t>67</w:t>
            </w:r>
          </w:p>
        </w:tc>
      </w:tr>
      <w:tr w:rsidR="00DE12A3" w:rsidRPr="00DE12A3" w14:paraId="743EBACB" w14:textId="77777777" w:rsidTr="009F4766">
        <w:tc>
          <w:tcPr>
            <w:tcW w:w="1182" w:type="dxa"/>
            <w:tcBorders>
              <w:top w:val="single" w:sz="2" w:space="0" w:color="auto"/>
              <w:left w:val="single" w:sz="2" w:space="0" w:color="auto"/>
              <w:bottom w:val="single" w:sz="2" w:space="0" w:color="auto"/>
              <w:right w:val="single" w:sz="2" w:space="0" w:color="auto"/>
            </w:tcBorders>
          </w:tcPr>
          <w:p w14:paraId="6B389FAC" w14:textId="77777777" w:rsidR="009F4766" w:rsidRPr="00DE12A3" w:rsidRDefault="009F4766" w:rsidP="00C917D6">
            <w:pPr>
              <w:pStyle w:val="NormalLeft"/>
            </w:pPr>
            <w:r w:rsidRPr="00DE12A3">
              <w:t>623</w:t>
            </w:r>
          </w:p>
        </w:tc>
        <w:tc>
          <w:tcPr>
            <w:tcW w:w="2489" w:type="dxa"/>
            <w:tcBorders>
              <w:top w:val="single" w:sz="2" w:space="0" w:color="auto"/>
              <w:left w:val="single" w:sz="2" w:space="0" w:color="auto"/>
              <w:bottom w:val="single" w:sz="2" w:space="0" w:color="auto"/>
              <w:right w:val="single" w:sz="2" w:space="0" w:color="auto"/>
            </w:tcBorders>
          </w:tcPr>
          <w:p w14:paraId="76528650" w14:textId="77777777" w:rsidR="009F4766" w:rsidRPr="00DE12A3" w:rsidRDefault="009F4766" w:rsidP="00C917D6">
            <w:pPr>
              <w:pStyle w:val="NormalLeft"/>
            </w:pPr>
            <w:r w:rsidRPr="00DE12A3">
              <w:t>26</w:t>
            </w:r>
          </w:p>
        </w:tc>
        <w:tc>
          <w:tcPr>
            <w:tcW w:w="2551" w:type="dxa"/>
            <w:tcBorders>
              <w:top w:val="single" w:sz="2" w:space="0" w:color="auto"/>
              <w:left w:val="single" w:sz="2" w:space="0" w:color="auto"/>
              <w:bottom w:val="single" w:sz="2" w:space="0" w:color="auto"/>
              <w:right w:val="single" w:sz="2" w:space="0" w:color="auto"/>
            </w:tcBorders>
          </w:tcPr>
          <w:p w14:paraId="56F79C94" w14:textId="77777777" w:rsidR="009F4766" w:rsidRPr="00DE12A3" w:rsidRDefault="009F4766" w:rsidP="00C917D6">
            <w:pPr>
              <w:pStyle w:val="NormalLeft"/>
            </w:pPr>
            <w:r w:rsidRPr="00DE12A3">
              <w:t>56</w:t>
            </w:r>
          </w:p>
        </w:tc>
      </w:tr>
      <w:tr w:rsidR="00DE12A3" w:rsidRPr="00DE12A3" w14:paraId="6385E472" w14:textId="77777777" w:rsidTr="009F4766">
        <w:tc>
          <w:tcPr>
            <w:tcW w:w="1182" w:type="dxa"/>
            <w:tcBorders>
              <w:top w:val="single" w:sz="2" w:space="0" w:color="auto"/>
              <w:left w:val="single" w:sz="2" w:space="0" w:color="auto"/>
              <w:bottom w:val="single" w:sz="2" w:space="0" w:color="auto"/>
              <w:right w:val="single" w:sz="2" w:space="0" w:color="auto"/>
            </w:tcBorders>
          </w:tcPr>
          <w:p w14:paraId="25910691" w14:textId="77777777" w:rsidR="009F4766" w:rsidRPr="00DE12A3" w:rsidRDefault="009F4766" w:rsidP="00C917D6">
            <w:pPr>
              <w:pStyle w:val="NormalLeft"/>
            </w:pPr>
            <w:r w:rsidRPr="00DE12A3">
              <w:t>624</w:t>
            </w:r>
          </w:p>
        </w:tc>
        <w:tc>
          <w:tcPr>
            <w:tcW w:w="2489" w:type="dxa"/>
            <w:tcBorders>
              <w:top w:val="single" w:sz="2" w:space="0" w:color="auto"/>
              <w:left w:val="single" w:sz="2" w:space="0" w:color="auto"/>
              <w:bottom w:val="single" w:sz="2" w:space="0" w:color="auto"/>
              <w:right w:val="single" w:sz="2" w:space="0" w:color="auto"/>
            </w:tcBorders>
          </w:tcPr>
          <w:p w14:paraId="47B5B63A" w14:textId="77777777" w:rsidR="009F4766" w:rsidRPr="00DE12A3" w:rsidRDefault="009F4766" w:rsidP="00C917D6">
            <w:pPr>
              <w:pStyle w:val="NormalLeft"/>
            </w:pPr>
            <w:r w:rsidRPr="00DE12A3">
              <w:t>41</w:t>
            </w:r>
          </w:p>
        </w:tc>
        <w:tc>
          <w:tcPr>
            <w:tcW w:w="2551" w:type="dxa"/>
            <w:tcBorders>
              <w:top w:val="single" w:sz="2" w:space="0" w:color="auto"/>
              <w:left w:val="single" w:sz="2" w:space="0" w:color="auto"/>
              <w:bottom w:val="single" w:sz="2" w:space="0" w:color="auto"/>
              <w:right w:val="single" w:sz="2" w:space="0" w:color="auto"/>
            </w:tcBorders>
          </w:tcPr>
          <w:p w14:paraId="211CA8D6" w14:textId="77777777" w:rsidR="009F4766" w:rsidRPr="00DE12A3" w:rsidRDefault="009F4766" w:rsidP="00C917D6">
            <w:pPr>
              <w:pStyle w:val="NormalLeft"/>
            </w:pPr>
            <w:r w:rsidRPr="00DE12A3">
              <w:t>65</w:t>
            </w:r>
          </w:p>
        </w:tc>
      </w:tr>
      <w:tr w:rsidR="00DE12A3" w:rsidRPr="00DE12A3" w14:paraId="3FE72DCF" w14:textId="77777777" w:rsidTr="009F4766">
        <w:tc>
          <w:tcPr>
            <w:tcW w:w="1182" w:type="dxa"/>
            <w:tcBorders>
              <w:top w:val="single" w:sz="2" w:space="0" w:color="auto"/>
              <w:left w:val="single" w:sz="2" w:space="0" w:color="auto"/>
              <w:bottom w:val="single" w:sz="2" w:space="0" w:color="auto"/>
              <w:right w:val="single" w:sz="2" w:space="0" w:color="auto"/>
            </w:tcBorders>
          </w:tcPr>
          <w:p w14:paraId="2299C6ED" w14:textId="77777777" w:rsidR="009F4766" w:rsidRPr="00DE12A3" w:rsidRDefault="009F4766" w:rsidP="00C917D6">
            <w:pPr>
              <w:pStyle w:val="NormalLeft"/>
            </w:pPr>
            <w:r w:rsidRPr="00DE12A3">
              <w:t>625</w:t>
            </w:r>
          </w:p>
        </w:tc>
        <w:tc>
          <w:tcPr>
            <w:tcW w:w="2489" w:type="dxa"/>
            <w:tcBorders>
              <w:top w:val="single" w:sz="2" w:space="0" w:color="auto"/>
              <w:left w:val="single" w:sz="2" w:space="0" w:color="auto"/>
              <w:bottom w:val="single" w:sz="2" w:space="0" w:color="auto"/>
              <w:right w:val="single" w:sz="2" w:space="0" w:color="auto"/>
            </w:tcBorders>
          </w:tcPr>
          <w:p w14:paraId="00713FF4" w14:textId="77777777" w:rsidR="009F4766" w:rsidRPr="00DE12A3" w:rsidRDefault="009F4766" w:rsidP="00C917D6">
            <w:pPr>
              <w:pStyle w:val="NormalLeft"/>
            </w:pPr>
            <w:r w:rsidRPr="00DE12A3">
              <w:t>28</w:t>
            </w:r>
          </w:p>
        </w:tc>
        <w:tc>
          <w:tcPr>
            <w:tcW w:w="2551" w:type="dxa"/>
            <w:tcBorders>
              <w:top w:val="single" w:sz="2" w:space="0" w:color="auto"/>
              <w:left w:val="single" w:sz="2" w:space="0" w:color="auto"/>
              <w:bottom w:val="single" w:sz="2" w:space="0" w:color="auto"/>
              <w:right w:val="single" w:sz="2" w:space="0" w:color="auto"/>
            </w:tcBorders>
          </w:tcPr>
          <w:p w14:paraId="13AF1C8E" w14:textId="77777777" w:rsidR="009F4766" w:rsidRPr="00DE12A3" w:rsidRDefault="009F4766" w:rsidP="00C917D6">
            <w:pPr>
              <w:pStyle w:val="NormalLeft"/>
            </w:pPr>
            <w:r w:rsidRPr="00DE12A3">
              <w:t>62</w:t>
            </w:r>
          </w:p>
        </w:tc>
      </w:tr>
      <w:tr w:rsidR="00DE12A3" w:rsidRPr="00DE12A3" w14:paraId="0E6D3C27" w14:textId="77777777" w:rsidTr="009F4766">
        <w:tc>
          <w:tcPr>
            <w:tcW w:w="1182" w:type="dxa"/>
            <w:tcBorders>
              <w:top w:val="single" w:sz="2" w:space="0" w:color="auto"/>
              <w:left w:val="single" w:sz="2" w:space="0" w:color="auto"/>
              <w:bottom w:val="single" w:sz="2" w:space="0" w:color="auto"/>
              <w:right w:val="single" w:sz="2" w:space="0" w:color="auto"/>
            </w:tcBorders>
          </w:tcPr>
          <w:p w14:paraId="22D52259" w14:textId="77777777" w:rsidR="009F4766" w:rsidRPr="00DE12A3" w:rsidRDefault="009F4766" w:rsidP="00C917D6">
            <w:pPr>
              <w:pStyle w:val="NormalLeft"/>
            </w:pPr>
            <w:r w:rsidRPr="00DE12A3">
              <w:t>626</w:t>
            </w:r>
          </w:p>
        </w:tc>
        <w:tc>
          <w:tcPr>
            <w:tcW w:w="2489" w:type="dxa"/>
            <w:tcBorders>
              <w:top w:val="single" w:sz="2" w:space="0" w:color="auto"/>
              <w:left w:val="single" w:sz="2" w:space="0" w:color="auto"/>
              <w:bottom w:val="single" w:sz="2" w:space="0" w:color="auto"/>
              <w:right w:val="single" w:sz="2" w:space="0" w:color="auto"/>
            </w:tcBorders>
          </w:tcPr>
          <w:p w14:paraId="65937EB4" w14:textId="77777777" w:rsidR="009F4766" w:rsidRPr="00DE12A3" w:rsidRDefault="009F4766" w:rsidP="00C917D6">
            <w:pPr>
              <w:pStyle w:val="NormalLeft"/>
            </w:pPr>
            <w:r w:rsidRPr="00DE12A3">
              <w:t>19</w:t>
            </w:r>
          </w:p>
        </w:tc>
        <w:tc>
          <w:tcPr>
            <w:tcW w:w="2551" w:type="dxa"/>
            <w:tcBorders>
              <w:top w:val="single" w:sz="2" w:space="0" w:color="auto"/>
              <w:left w:val="single" w:sz="2" w:space="0" w:color="auto"/>
              <w:bottom w:val="single" w:sz="2" w:space="0" w:color="auto"/>
              <w:right w:val="single" w:sz="2" w:space="0" w:color="auto"/>
            </w:tcBorders>
          </w:tcPr>
          <w:p w14:paraId="6670BF71" w14:textId="77777777" w:rsidR="009F4766" w:rsidRPr="00DE12A3" w:rsidRDefault="009F4766" w:rsidP="00C917D6">
            <w:pPr>
              <w:pStyle w:val="NormalLeft"/>
            </w:pPr>
            <w:r w:rsidRPr="00DE12A3">
              <w:t>60</w:t>
            </w:r>
          </w:p>
        </w:tc>
      </w:tr>
      <w:tr w:rsidR="00DE12A3" w:rsidRPr="00DE12A3" w14:paraId="40F46EFC" w14:textId="77777777" w:rsidTr="009F4766">
        <w:tc>
          <w:tcPr>
            <w:tcW w:w="1182" w:type="dxa"/>
            <w:tcBorders>
              <w:top w:val="single" w:sz="2" w:space="0" w:color="auto"/>
              <w:left w:val="single" w:sz="2" w:space="0" w:color="auto"/>
              <w:bottom w:val="single" w:sz="2" w:space="0" w:color="auto"/>
              <w:right w:val="single" w:sz="2" w:space="0" w:color="auto"/>
            </w:tcBorders>
          </w:tcPr>
          <w:p w14:paraId="0FA95F71" w14:textId="77777777" w:rsidR="009F4766" w:rsidRPr="00DE12A3" w:rsidRDefault="009F4766" w:rsidP="00C917D6">
            <w:pPr>
              <w:pStyle w:val="NormalLeft"/>
            </w:pPr>
            <w:r w:rsidRPr="00DE12A3">
              <w:lastRenderedPageBreak/>
              <w:t>627</w:t>
            </w:r>
          </w:p>
        </w:tc>
        <w:tc>
          <w:tcPr>
            <w:tcW w:w="2489" w:type="dxa"/>
            <w:tcBorders>
              <w:top w:val="single" w:sz="2" w:space="0" w:color="auto"/>
              <w:left w:val="single" w:sz="2" w:space="0" w:color="auto"/>
              <w:bottom w:val="single" w:sz="2" w:space="0" w:color="auto"/>
              <w:right w:val="single" w:sz="2" w:space="0" w:color="auto"/>
            </w:tcBorders>
          </w:tcPr>
          <w:p w14:paraId="6FBF1929" w14:textId="77777777" w:rsidR="009F4766" w:rsidRPr="00DE12A3" w:rsidRDefault="009F4766" w:rsidP="00C917D6">
            <w:pPr>
              <w:pStyle w:val="NormalLeft"/>
            </w:pPr>
            <w:r w:rsidRPr="00DE12A3">
              <w:t>33</w:t>
            </w:r>
          </w:p>
        </w:tc>
        <w:tc>
          <w:tcPr>
            <w:tcW w:w="2551" w:type="dxa"/>
            <w:tcBorders>
              <w:top w:val="single" w:sz="2" w:space="0" w:color="auto"/>
              <w:left w:val="single" w:sz="2" w:space="0" w:color="auto"/>
              <w:bottom w:val="single" w:sz="2" w:space="0" w:color="auto"/>
              <w:right w:val="single" w:sz="2" w:space="0" w:color="auto"/>
            </w:tcBorders>
          </w:tcPr>
          <w:p w14:paraId="1135330F" w14:textId="77777777" w:rsidR="009F4766" w:rsidRPr="00DE12A3" w:rsidRDefault="009F4766" w:rsidP="00C917D6">
            <w:pPr>
              <w:pStyle w:val="NormalLeft"/>
            </w:pPr>
            <w:r w:rsidRPr="00DE12A3">
              <w:t>56</w:t>
            </w:r>
          </w:p>
        </w:tc>
      </w:tr>
      <w:tr w:rsidR="00DE12A3" w:rsidRPr="00DE12A3" w14:paraId="2962402F" w14:textId="77777777" w:rsidTr="009F4766">
        <w:tc>
          <w:tcPr>
            <w:tcW w:w="1182" w:type="dxa"/>
            <w:tcBorders>
              <w:top w:val="single" w:sz="2" w:space="0" w:color="auto"/>
              <w:left w:val="single" w:sz="2" w:space="0" w:color="auto"/>
              <w:bottom w:val="single" w:sz="2" w:space="0" w:color="auto"/>
              <w:right w:val="single" w:sz="2" w:space="0" w:color="auto"/>
            </w:tcBorders>
          </w:tcPr>
          <w:p w14:paraId="7C529DA6" w14:textId="77777777" w:rsidR="009F4766" w:rsidRPr="00DE12A3" w:rsidRDefault="009F4766" w:rsidP="00C917D6">
            <w:pPr>
              <w:pStyle w:val="NormalLeft"/>
            </w:pPr>
            <w:r w:rsidRPr="00DE12A3">
              <w:t>628</w:t>
            </w:r>
          </w:p>
        </w:tc>
        <w:tc>
          <w:tcPr>
            <w:tcW w:w="2489" w:type="dxa"/>
            <w:tcBorders>
              <w:top w:val="single" w:sz="2" w:space="0" w:color="auto"/>
              <w:left w:val="single" w:sz="2" w:space="0" w:color="auto"/>
              <w:bottom w:val="single" w:sz="2" w:space="0" w:color="auto"/>
              <w:right w:val="single" w:sz="2" w:space="0" w:color="auto"/>
            </w:tcBorders>
          </w:tcPr>
          <w:p w14:paraId="0876DCEC" w14:textId="77777777" w:rsidR="009F4766" w:rsidRPr="00DE12A3" w:rsidRDefault="009F4766" w:rsidP="00C917D6">
            <w:pPr>
              <w:pStyle w:val="NormalLeft"/>
            </w:pPr>
            <w:r w:rsidRPr="00DE12A3">
              <w:t>37</w:t>
            </w:r>
          </w:p>
        </w:tc>
        <w:tc>
          <w:tcPr>
            <w:tcW w:w="2551" w:type="dxa"/>
            <w:tcBorders>
              <w:top w:val="single" w:sz="2" w:space="0" w:color="auto"/>
              <w:left w:val="single" w:sz="2" w:space="0" w:color="auto"/>
              <w:bottom w:val="single" w:sz="2" w:space="0" w:color="auto"/>
              <w:right w:val="single" w:sz="2" w:space="0" w:color="auto"/>
            </w:tcBorders>
          </w:tcPr>
          <w:p w14:paraId="530607B3" w14:textId="77777777" w:rsidR="009F4766" w:rsidRPr="00DE12A3" w:rsidRDefault="009F4766" w:rsidP="00C917D6">
            <w:pPr>
              <w:pStyle w:val="NormalLeft"/>
            </w:pPr>
            <w:r w:rsidRPr="00DE12A3">
              <w:t>70</w:t>
            </w:r>
          </w:p>
        </w:tc>
      </w:tr>
      <w:tr w:rsidR="00DE12A3" w:rsidRPr="00DE12A3" w14:paraId="087B9EE7" w14:textId="77777777" w:rsidTr="009F4766">
        <w:tc>
          <w:tcPr>
            <w:tcW w:w="1182" w:type="dxa"/>
            <w:tcBorders>
              <w:top w:val="single" w:sz="2" w:space="0" w:color="auto"/>
              <w:left w:val="single" w:sz="2" w:space="0" w:color="auto"/>
              <w:bottom w:val="single" w:sz="2" w:space="0" w:color="auto"/>
              <w:right w:val="single" w:sz="2" w:space="0" w:color="auto"/>
            </w:tcBorders>
          </w:tcPr>
          <w:p w14:paraId="394522F7" w14:textId="77777777" w:rsidR="009F4766" w:rsidRPr="00DE12A3" w:rsidRDefault="009F4766" w:rsidP="00C917D6">
            <w:pPr>
              <w:pStyle w:val="NormalLeft"/>
            </w:pPr>
            <w:r w:rsidRPr="00DE12A3">
              <w:t>629</w:t>
            </w:r>
          </w:p>
        </w:tc>
        <w:tc>
          <w:tcPr>
            <w:tcW w:w="2489" w:type="dxa"/>
            <w:tcBorders>
              <w:top w:val="single" w:sz="2" w:space="0" w:color="auto"/>
              <w:left w:val="single" w:sz="2" w:space="0" w:color="auto"/>
              <w:bottom w:val="single" w:sz="2" w:space="0" w:color="auto"/>
              <w:right w:val="single" w:sz="2" w:space="0" w:color="auto"/>
            </w:tcBorders>
          </w:tcPr>
          <w:p w14:paraId="2C5B3A0B" w14:textId="77777777" w:rsidR="009F4766" w:rsidRPr="00DE12A3" w:rsidRDefault="009F4766" w:rsidP="00C917D6">
            <w:pPr>
              <w:pStyle w:val="NormalLeft"/>
            </w:pPr>
            <w:r w:rsidRPr="00DE12A3">
              <w:t>24</w:t>
            </w:r>
          </w:p>
        </w:tc>
        <w:tc>
          <w:tcPr>
            <w:tcW w:w="2551" w:type="dxa"/>
            <w:tcBorders>
              <w:top w:val="single" w:sz="2" w:space="0" w:color="auto"/>
              <w:left w:val="single" w:sz="2" w:space="0" w:color="auto"/>
              <w:bottom w:val="single" w:sz="2" w:space="0" w:color="auto"/>
              <w:right w:val="single" w:sz="2" w:space="0" w:color="auto"/>
            </w:tcBorders>
          </w:tcPr>
          <w:p w14:paraId="42CE8971" w14:textId="77777777" w:rsidR="009F4766" w:rsidRPr="00DE12A3" w:rsidRDefault="009F4766" w:rsidP="00C917D6">
            <w:pPr>
              <w:pStyle w:val="NormalLeft"/>
            </w:pPr>
            <w:r w:rsidRPr="00DE12A3">
              <w:t>79</w:t>
            </w:r>
          </w:p>
        </w:tc>
      </w:tr>
      <w:tr w:rsidR="00DE12A3" w:rsidRPr="00DE12A3" w14:paraId="3268DA9A" w14:textId="77777777" w:rsidTr="009F4766">
        <w:tc>
          <w:tcPr>
            <w:tcW w:w="1182" w:type="dxa"/>
            <w:tcBorders>
              <w:top w:val="single" w:sz="2" w:space="0" w:color="auto"/>
              <w:left w:val="single" w:sz="2" w:space="0" w:color="auto"/>
              <w:bottom w:val="single" w:sz="2" w:space="0" w:color="auto"/>
              <w:right w:val="single" w:sz="2" w:space="0" w:color="auto"/>
            </w:tcBorders>
          </w:tcPr>
          <w:p w14:paraId="098BB826" w14:textId="77777777" w:rsidR="009F4766" w:rsidRPr="00DE12A3" w:rsidRDefault="009F4766" w:rsidP="00C917D6">
            <w:pPr>
              <w:pStyle w:val="NormalLeft"/>
            </w:pPr>
            <w:r w:rsidRPr="00DE12A3">
              <w:t>630</w:t>
            </w:r>
          </w:p>
        </w:tc>
        <w:tc>
          <w:tcPr>
            <w:tcW w:w="2489" w:type="dxa"/>
            <w:tcBorders>
              <w:top w:val="single" w:sz="2" w:space="0" w:color="auto"/>
              <w:left w:val="single" w:sz="2" w:space="0" w:color="auto"/>
              <w:bottom w:val="single" w:sz="2" w:space="0" w:color="auto"/>
              <w:right w:val="single" w:sz="2" w:space="0" w:color="auto"/>
            </w:tcBorders>
          </w:tcPr>
          <w:p w14:paraId="50242E12" w14:textId="77777777" w:rsidR="009F4766" w:rsidRPr="00DE12A3" w:rsidRDefault="009F4766" w:rsidP="00C917D6">
            <w:pPr>
              <w:pStyle w:val="NormalLeft"/>
            </w:pPr>
            <w:r w:rsidRPr="00DE12A3">
              <w:t>28</w:t>
            </w:r>
          </w:p>
        </w:tc>
        <w:tc>
          <w:tcPr>
            <w:tcW w:w="2551" w:type="dxa"/>
            <w:tcBorders>
              <w:top w:val="single" w:sz="2" w:space="0" w:color="auto"/>
              <w:left w:val="single" w:sz="2" w:space="0" w:color="auto"/>
              <w:bottom w:val="single" w:sz="2" w:space="0" w:color="auto"/>
              <w:right w:val="single" w:sz="2" w:space="0" w:color="auto"/>
            </w:tcBorders>
          </w:tcPr>
          <w:p w14:paraId="17083F16" w14:textId="77777777" w:rsidR="009F4766" w:rsidRPr="00DE12A3" w:rsidRDefault="009F4766" w:rsidP="00C917D6">
            <w:pPr>
              <w:pStyle w:val="NormalLeft"/>
            </w:pPr>
            <w:r w:rsidRPr="00DE12A3">
              <w:t>57</w:t>
            </w:r>
          </w:p>
        </w:tc>
      </w:tr>
      <w:tr w:rsidR="00DE12A3" w:rsidRPr="00DE12A3" w14:paraId="0E1B2500" w14:textId="77777777" w:rsidTr="009F4766">
        <w:tc>
          <w:tcPr>
            <w:tcW w:w="1182" w:type="dxa"/>
            <w:tcBorders>
              <w:top w:val="single" w:sz="2" w:space="0" w:color="auto"/>
              <w:left w:val="single" w:sz="2" w:space="0" w:color="auto"/>
              <w:bottom w:val="single" w:sz="2" w:space="0" w:color="auto"/>
              <w:right w:val="single" w:sz="2" w:space="0" w:color="auto"/>
            </w:tcBorders>
          </w:tcPr>
          <w:p w14:paraId="7B9714D7" w14:textId="77777777" w:rsidR="009F4766" w:rsidRPr="00DE12A3" w:rsidRDefault="009F4766" w:rsidP="00C917D6">
            <w:pPr>
              <w:pStyle w:val="NormalLeft"/>
            </w:pPr>
            <w:r w:rsidRPr="00DE12A3">
              <w:t>631</w:t>
            </w:r>
          </w:p>
        </w:tc>
        <w:tc>
          <w:tcPr>
            <w:tcW w:w="2489" w:type="dxa"/>
            <w:tcBorders>
              <w:top w:val="single" w:sz="2" w:space="0" w:color="auto"/>
              <w:left w:val="single" w:sz="2" w:space="0" w:color="auto"/>
              <w:bottom w:val="single" w:sz="2" w:space="0" w:color="auto"/>
              <w:right w:val="single" w:sz="2" w:space="0" w:color="auto"/>
            </w:tcBorders>
          </w:tcPr>
          <w:p w14:paraId="6E078692" w14:textId="77777777" w:rsidR="009F4766" w:rsidRPr="00DE12A3" w:rsidRDefault="009F4766" w:rsidP="00C917D6">
            <w:pPr>
              <w:pStyle w:val="NormalLeft"/>
            </w:pPr>
            <w:r w:rsidRPr="00DE12A3">
              <w:t>40</w:t>
            </w:r>
          </w:p>
        </w:tc>
        <w:tc>
          <w:tcPr>
            <w:tcW w:w="2551" w:type="dxa"/>
            <w:tcBorders>
              <w:top w:val="single" w:sz="2" w:space="0" w:color="auto"/>
              <w:left w:val="single" w:sz="2" w:space="0" w:color="auto"/>
              <w:bottom w:val="single" w:sz="2" w:space="0" w:color="auto"/>
              <w:right w:val="single" w:sz="2" w:space="0" w:color="auto"/>
            </w:tcBorders>
          </w:tcPr>
          <w:p w14:paraId="31C282A8" w14:textId="77777777" w:rsidR="009F4766" w:rsidRPr="00DE12A3" w:rsidRDefault="009F4766" w:rsidP="00C917D6">
            <w:pPr>
              <w:pStyle w:val="NormalLeft"/>
            </w:pPr>
            <w:r w:rsidRPr="00DE12A3">
              <w:t>57</w:t>
            </w:r>
          </w:p>
        </w:tc>
      </w:tr>
      <w:tr w:rsidR="00DE12A3" w:rsidRPr="00DE12A3" w14:paraId="6D55087D" w14:textId="77777777" w:rsidTr="009F4766">
        <w:tc>
          <w:tcPr>
            <w:tcW w:w="1182" w:type="dxa"/>
            <w:tcBorders>
              <w:top w:val="single" w:sz="2" w:space="0" w:color="auto"/>
              <w:left w:val="single" w:sz="2" w:space="0" w:color="auto"/>
              <w:bottom w:val="single" w:sz="2" w:space="0" w:color="auto"/>
              <w:right w:val="single" w:sz="2" w:space="0" w:color="auto"/>
            </w:tcBorders>
          </w:tcPr>
          <w:p w14:paraId="42672CCB" w14:textId="77777777" w:rsidR="009F4766" w:rsidRPr="00DE12A3" w:rsidRDefault="009F4766" w:rsidP="00C917D6">
            <w:pPr>
              <w:pStyle w:val="NormalLeft"/>
            </w:pPr>
            <w:r w:rsidRPr="00DE12A3">
              <w:t>632</w:t>
            </w:r>
          </w:p>
        </w:tc>
        <w:tc>
          <w:tcPr>
            <w:tcW w:w="2489" w:type="dxa"/>
            <w:tcBorders>
              <w:top w:val="single" w:sz="2" w:space="0" w:color="auto"/>
              <w:left w:val="single" w:sz="2" w:space="0" w:color="auto"/>
              <w:bottom w:val="single" w:sz="2" w:space="0" w:color="auto"/>
              <w:right w:val="single" w:sz="2" w:space="0" w:color="auto"/>
            </w:tcBorders>
          </w:tcPr>
          <w:p w14:paraId="0B2E3FA4" w14:textId="77777777" w:rsidR="009F4766" w:rsidRPr="00DE12A3" w:rsidRDefault="009F4766" w:rsidP="00C917D6">
            <w:pPr>
              <w:pStyle w:val="NormalLeft"/>
            </w:pPr>
            <w:r w:rsidRPr="00DE12A3">
              <w:t>40</w:t>
            </w:r>
          </w:p>
        </w:tc>
        <w:tc>
          <w:tcPr>
            <w:tcW w:w="2551" w:type="dxa"/>
            <w:tcBorders>
              <w:top w:val="single" w:sz="2" w:space="0" w:color="auto"/>
              <w:left w:val="single" w:sz="2" w:space="0" w:color="auto"/>
              <w:bottom w:val="single" w:sz="2" w:space="0" w:color="auto"/>
              <w:right w:val="single" w:sz="2" w:space="0" w:color="auto"/>
            </w:tcBorders>
          </w:tcPr>
          <w:p w14:paraId="084C2C88" w14:textId="77777777" w:rsidR="009F4766" w:rsidRPr="00DE12A3" w:rsidRDefault="009F4766" w:rsidP="00C917D6">
            <w:pPr>
              <w:pStyle w:val="NormalLeft"/>
            </w:pPr>
            <w:r w:rsidRPr="00DE12A3">
              <w:t>58</w:t>
            </w:r>
          </w:p>
        </w:tc>
      </w:tr>
      <w:tr w:rsidR="00DE12A3" w:rsidRPr="00DE12A3" w14:paraId="50037F88" w14:textId="77777777" w:rsidTr="009F4766">
        <w:tc>
          <w:tcPr>
            <w:tcW w:w="1182" w:type="dxa"/>
            <w:tcBorders>
              <w:top w:val="single" w:sz="2" w:space="0" w:color="auto"/>
              <w:left w:val="single" w:sz="2" w:space="0" w:color="auto"/>
              <w:bottom w:val="single" w:sz="2" w:space="0" w:color="auto"/>
              <w:right w:val="single" w:sz="2" w:space="0" w:color="auto"/>
            </w:tcBorders>
          </w:tcPr>
          <w:p w14:paraId="72338E41" w14:textId="77777777" w:rsidR="009F4766" w:rsidRPr="00DE12A3" w:rsidRDefault="009F4766" w:rsidP="00C917D6">
            <w:pPr>
              <w:pStyle w:val="NormalLeft"/>
            </w:pPr>
            <w:r w:rsidRPr="00DE12A3">
              <w:t>633</w:t>
            </w:r>
          </w:p>
        </w:tc>
        <w:tc>
          <w:tcPr>
            <w:tcW w:w="2489" w:type="dxa"/>
            <w:tcBorders>
              <w:top w:val="single" w:sz="2" w:space="0" w:color="auto"/>
              <w:left w:val="single" w:sz="2" w:space="0" w:color="auto"/>
              <w:bottom w:val="single" w:sz="2" w:space="0" w:color="auto"/>
              <w:right w:val="single" w:sz="2" w:space="0" w:color="auto"/>
            </w:tcBorders>
          </w:tcPr>
          <w:p w14:paraId="3EE554B7" w14:textId="77777777" w:rsidR="009F4766" w:rsidRPr="00DE12A3" w:rsidRDefault="009F4766" w:rsidP="00C917D6">
            <w:pPr>
              <w:pStyle w:val="NormalLeft"/>
            </w:pPr>
            <w:r w:rsidRPr="00DE12A3">
              <w:t>28</w:t>
            </w:r>
          </w:p>
        </w:tc>
        <w:tc>
          <w:tcPr>
            <w:tcW w:w="2551" w:type="dxa"/>
            <w:tcBorders>
              <w:top w:val="single" w:sz="2" w:space="0" w:color="auto"/>
              <w:left w:val="single" w:sz="2" w:space="0" w:color="auto"/>
              <w:bottom w:val="single" w:sz="2" w:space="0" w:color="auto"/>
              <w:right w:val="single" w:sz="2" w:space="0" w:color="auto"/>
            </w:tcBorders>
          </w:tcPr>
          <w:p w14:paraId="7EEFC91E" w14:textId="77777777" w:rsidR="009F4766" w:rsidRPr="00DE12A3" w:rsidRDefault="009F4766" w:rsidP="00C917D6">
            <w:pPr>
              <w:pStyle w:val="NormalLeft"/>
            </w:pPr>
            <w:r w:rsidRPr="00DE12A3">
              <w:t>44</w:t>
            </w:r>
          </w:p>
        </w:tc>
      </w:tr>
      <w:tr w:rsidR="00DE12A3" w:rsidRPr="00DE12A3" w14:paraId="4FDEECD2" w14:textId="77777777" w:rsidTr="009F4766">
        <w:tc>
          <w:tcPr>
            <w:tcW w:w="1182" w:type="dxa"/>
            <w:tcBorders>
              <w:top w:val="single" w:sz="2" w:space="0" w:color="auto"/>
              <w:left w:val="single" w:sz="2" w:space="0" w:color="auto"/>
              <w:bottom w:val="single" w:sz="2" w:space="0" w:color="auto"/>
              <w:right w:val="single" w:sz="2" w:space="0" w:color="auto"/>
            </w:tcBorders>
          </w:tcPr>
          <w:p w14:paraId="31405328" w14:textId="77777777" w:rsidR="009F4766" w:rsidRPr="00DE12A3" w:rsidRDefault="009F4766" w:rsidP="00C917D6">
            <w:pPr>
              <w:pStyle w:val="NormalLeft"/>
            </w:pPr>
            <w:r w:rsidRPr="00DE12A3">
              <w:t>634</w:t>
            </w:r>
          </w:p>
        </w:tc>
        <w:tc>
          <w:tcPr>
            <w:tcW w:w="2489" w:type="dxa"/>
            <w:tcBorders>
              <w:top w:val="single" w:sz="2" w:space="0" w:color="auto"/>
              <w:left w:val="single" w:sz="2" w:space="0" w:color="auto"/>
              <w:bottom w:val="single" w:sz="2" w:space="0" w:color="auto"/>
              <w:right w:val="single" w:sz="2" w:space="0" w:color="auto"/>
            </w:tcBorders>
          </w:tcPr>
          <w:p w14:paraId="0BC2FBB4" w14:textId="77777777" w:rsidR="009F4766" w:rsidRPr="00DE12A3" w:rsidRDefault="009F4766" w:rsidP="00C917D6">
            <w:pPr>
              <w:pStyle w:val="NormalLeft"/>
            </w:pPr>
            <w:r w:rsidRPr="00DE12A3">
              <w:t>25</w:t>
            </w:r>
          </w:p>
        </w:tc>
        <w:tc>
          <w:tcPr>
            <w:tcW w:w="2551" w:type="dxa"/>
            <w:tcBorders>
              <w:top w:val="single" w:sz="2" w:space="0" w:color="auto"/>
              <w:left w:val="single" w:sz="2" w:space="0" w:color="auto"/>
              <w:bottom w:val="single" w:sz="2" w:space="0" w:color="auto"/>
              <w:right w:val="single" w:sz="2" w:space="0" w:color="auto"/>
            </w:tcBorders>
          </w:tcPr>
          <w:p w14:paraId="523ED785" w14:textId="77777777" w:rsidR="009F4766" w:rsidRPr="00DE12A3" w:rsidRDefault="009F4766" w:rsidP="00C917D6">
            <w:pPr>
              <w:pStyle w:val="NormalLeft"/>
            </w:pPr>
            <w:r w:rsidRPr="00DE12A3">
              <w:t>41</w:t>
            </w:r>
          </w:p>
        </w:tc>
      </w:tr>
      <w:tr w:rsidR="00DE12A3" w:rsidRPr="00DE12A3" w14:paraId="12BD6108" w14:textId="77777777" w:rsidTr="009F4766">
        <w:tc>
          <w:tcPr>
            <w:tcW w:w="1182" w:type="dxa"/>
            <w:tcBorders>
              <w:top w:val="single" w:sz="2" w:space="0" w:color="auto"/>
              <w:left w:val="single" w:sz="2" w:space="0" w:color="auto"/>
              <w:bottom w:val="single" w:sz="2" w:space="0" w:color="auto"/>
              <w:right w:val="single" w:sz="2" w:space="0" w:color="auto"/>
            </w:tcBorders>
          </w:tcPr>
          <w:p w14:paraId="36301685" w14:textId="77777777" w:rsidR="009F4766" w:rsidRPr="00DE12A3" w:rsidRDefault="009F4766" w:rsidP="00C917D6">
            <w:pPr>
              <w:pStyle w:val="NormalLeft"/>
            </w:pPr>
            <w:r w:rsidRPr="00DE12A3">
              <w:t>635</w:t>
            </w:r>
          </w:p>
        </w:tc>
        <w:tc>
          <w:tcPr>
            <w:tcW w:w="2489" w:type="dxa"/>
            <w:tcBorders>
              <w:top w:val="single" w:sz="2" w:space="0" w:color="auto"/>
              <w:left w:val="single" w:sz="2" w:space="0" w:color="auto"/>
              <w:bottom w:val="single" w:sz="2" w:space="0" w:color="auto"/>
              <w:right w:val="single" w:sz="2" w:space="0" w:color="auto"/>
            </w:tcBorders>
          </w:tcPr>
          <w:p w14:paraId="6DDCCB2C" w14:textId="77777777" w:rsidR="009F4766" w:rsidRPr="00DE12A3" w:rsidRDefault="009F4766" w:rsidP="00C917D6">
            <w:pPr>
              <w:pStyle w:val="NormalLeft"/>
            </w:pPr>
            <w:r w:rsidRPr="00DE12A3">
              <w:t>29</w:t>
            </w:r>
          </w:p>
        </w:tc>
        <w:tc>
          <w:tcPr>
            <w:tcW w:w="2551" w:type="dxa"/>
            <w:tcBorders>
              <w:top w:val="single" w:sz="2" w:space="0" w:color="auto"/>
              <w:left w:val="single" w:sz="2" w:space="0" w:color="auto"/>
              <w:bottom w:val="single" w:sz="2" w:space="0" w:color="auto"/>
              <w:right w:val="single" w:sz="2" w:space="0" w:color="auto"/>
            </w:tcBorders>
          </w:tcPr>
          <w:p w14:paraId="4A6B558A" w14:textId="77777777" w:rsidR="009F4766" w:rsidRPr="00DE12A3" w:rsidRDefault="009F4766" w:rsidP="00C917D6">
            <w:pPr>
              <w:pStyle w:val="NormalLeft"/>
            </w:pPr>
            <w:r w:rsidRPr="00DE12A3">
              <w:t>53</w:t>
            </w:r>
          </w:p>
        </w:tc>
      </w:tr>
      <w:tr w:rsidR="00DE12A3" w:rsidRPr="00DE12A3" w14:paraId="573A03DE" w14:textId="77777777" w:rsidTr="009F4766">
        <w:tc>
          <w:tcPr>
            <w:tcW w:w="1182" w:type="dxa"/>
            <w:tcBorders>
              <w:top w:val="single" w:sz="2" w:space="0" w:color="auto"/>
              <w:left w:val="single" w:sz="2" w:space="0" w:color="auto"/>
              <w:bottom w:val="single" w:sz="2" w:space="0" w:color="auto"/>
              <w:right w:val="single" w:sz="2" w:space="0" w:color="auto"/>
            </w:tcBorders>
          </w:tcPr>
          <w:p w14:paraId="064037D7" w14:textId="77777777" w:rsidR="009F4766" w:rsidRPr="00DE12A3" w:rsidRDefault="009F4766" w:rsidP="00C917D6">
            <w:pPr>
              <w:pStyle w:val="NormalLeft"/>
            </w:pPr>
            <w:r w:rsidRPr="00DE12A3">
              <w:t>636</w:t>
            </w:r>
          </w:p>
        </w:tc>
        <w:tc>
          <w:tcPr>
            <w:tcW w:w="2489" w:type="dxa"/>
            <w:tcBorders>
              <w:top w:val="single" w:sz="2" w:space="0" w:color="auto"/>
              <w:left w:val="single" w:sz="2" w:space="0" w:color="auto"/>
              <w:bottom w:val="single" w:sz="2" w:space="0" w:color="auto"/>
              <w:right w:val="single" w:sz="2" w:space="0" w:color="auto"/>
            </w:tcBorders>
          </w:tcPr>
          <w:p w14:paraId="68AAF4F7" w14:textId="77777777" w:rsidR="009F4766" w:rsidRPr="00DE12A3" w:rsidRDefault="009F4766" w:rsidP="00C917D6">
            <w:pPr>
              <w:pStyle w:val="NormalLeft"/>
            </w:pPr>
            <w:r w:rsidRPr="00DE12A3">
              <w:t>31</w:t>
            </w:r>
          </w:p>
        </w:tc>
        <w:tc>
          <w:tcPr>
            <w:tcW w:w="2551" w:type="dxa"/>
            <w:tcBorders>
              <w:top w:val="single" w:sz="2" w:space="0" w:color="auto"/>
              <w:left w:val="single" w:sz="2" w:space="0" w:color="auto"/>
              <w:bottom w:val="single" w:sz="2" w:space="0" w:color="auto"/>
              <w:right w:val="single" w:sz="2" w:space="0" w:color="auto"/>
            </w:tcBorders>
          </w:tcPr>
          <w:p w14:paraId="01849AF9" w14:textId="77777777" w:rsidR="009F4766" w:rsidRPr="00DE12A3" w:rsidRDefault="009F4766" w:rsidP="00C917D6">
            <w:pPr>
              <w:pStyle w:val="NormalLeft"/>
            </w:pPr>
            <w:r w:rsidRPr="00DE12A3">
              <w:t>55</w:t>
            </w:r>
          </w:p>
        </w:tc>
      </w:tr>
      <w:tr w:rsidR="00DE12A3" w:rsidRPr="00DE12A3" w14:paraId="7EEB03B8" w14:textId="77777777" w:rsidTr="009F4766">
        <w:tc>
          <w:tcPr>
            <w:tcW w:w="1182" w:type="dxa"/>
            <w:tcBorders>
              <w:top w:val="single" w:sz="2" w:space="0" w:color="auto"/>
              <w:left w:val="single" w:sz="2" w:space="0" w:color="auto"/>
              <w:bottom w:val="single" w:sz="2" w:space="0" w:color="auto"/>
              <w:right w:val="single" w:sz="2" w:space="0" w:color="auto"/>
            </w:tcBorders>
          </w:tcPr>
          <w:p w14:paraId="67B34B71" w14:textId="77777777" w:rsidR="009F4766" w:rsidRPr="00DE12A3" w:rsidRDefault="009F4766" w:rsidP="00C917D6">
            <w:pPr>
              <w:pStyle w:val="NormalLeft"/>
            </w:pPr>
            <w:r w:rsidRPr="00DE12A3">
              <w:t>637</w:t>
            </w:r>
          </w:p>
        </w:tc>
        <w:tc>
          <w:tcPr>
            <w:tcW w:w="2489" w:type="dxa"/>
            <w:tcBorders>
              <w:top w:val="single" w:sz="2" w:space="0" w:color="auto"/>
              <w:left w:val="single" w:sz="2" w:space="0" w:color="auto"/>
              <w:bottom w:val="single" w:sz="2" w:space="0" w:color="auto"/>
              <w:right w:val="single" w:sz="2" w:space="0" w:color="auto"/>
            </w:tcBorders>
          </w:tcPr>
          <w:p w14:paraId="646213A7" w14:textId="77777777" w:rsidR="009F4766" w:rsidRPr="00DE12A3" w:rsidRDefault="009F4766" w:rsidP="00C917D6">
            <w:pPr>
              <w:pStyle w:val="NormalLeft"/>
            </w:pPr>
            <w:r w:rsidRPr="00DE12A3">
              <w:t>26</w:t>
            </w:r>
          </w:p>
        </w:tc>
        <w:tc>
          <w:tcPr>
            <w:tcW w:w="2551" w:type="dxa"/>
            <w:tcBorders>
              <w:top w:val="single" w:sz="2" w:space="0" w:color="auto"/>
              <w:left w:val="single" w:sz="2" w:space="0" w:color="auto"/>
              <w:bottom w:val="single" w:sz="2" w:space="0" w:color="auto"/>
              <w:right w:val="single" w:sz="2" w:space="0" w:color="auto"/>
            </w:tcBorders>
          </w:tcPr>
          <w:p w14:paraId="2198D333" w14:textId="77777777" w:rsidR="009F4766" w:rsidRPr="00DE12A3" w:rsidRDefault="009F4766" w:rsidP="00C917D6">
            <w:pPr>
              <w:pStyle w:val="NormalLeft"/>
            </w:pPr>
            <w:r w:rsidRPr="00DE12A3">
              <w:t>64</w:t>
            </w:r>
          </w:p>
        </w:tc>
      </w:tr>
      <w:tr w:rsidR="00DE12A3" w:rsidRPr="00DE12A3" w14:paraId="53434FA7" w14:textId="77777777" w:rsidTr="009F4766">
        <w:tc>
          <w:tcPr>
            <w:tcW w:w="1182" w:type="dxa"/>
            <w:tcBorders>
              <w:top w:val="single" w:sz="2" w:space="0" w:color="auto"/>
              <w:left w:val="single" w:sz="2" w:space="0" w:color="auto"/>
              <w:bottom w:val="single" w:sz="2" w:space="0" w:color="auto"/>
              <w:right w:val="single" w:sz="2" w:space="0" w:color="auto"/>
            </w:tcBorders>
          </w:tcPr>
          <w:p w14:paraId="18FAB2E4" w14:textId="77777777" w:rsidR="009F4766" w:rsidRPr="00DE12A3" w:rsidRDefault="009F4766" w:rsidP="00C917D6">
            <w:pPr>
              <w:pStyle w:val="NormalLeft"/>
            </w:pPr>
            <w:r w:rsidRPr="00DE12A3">
              <w:t>638</w:t>
            </w:r>
          </w:p>
        </w:tc>
        <w:tc>
          <w:tcPr>
            <w:tcW w:w="2489" w:type="dxa"/>
            <w:tcBorders>
              <w:top w:val="single" w:sz="2" w:space="0" w:color="auto"/>
              <w:left w:val="single" w:sz="2" w:space="0" w:color="auto"/>
              <w:bottom w:val="single" w:sz="2" w:space="0" w:color="auto"/>
              <w:right w:val="single" w:sz="2" w:space="0" w:color="auto"/>
            </w:tcBorders>
          </w:tcPr>
          <w:p w14:paraId="64AD90D8" w14:textId="77777777" w:rsidR="009F4766" w:rsidRPr="00DE12A3" w:rsidRDefault="009F4766" w:rsidP="00C917D6">
            <w:pPr>
              <w:pStyle w:val="NormalLeft"/>
            </w:pPr>
            <w:r w:rsidRPr="00DE12A3">
              <w:t>20</w:t>
            </w:r>
          </w:p>
        </w:tc>
        <w:tc>
          <w:tcPr>
            <w:tcW w:w="2551" w:type="dxa"/>
            <w:tcBorders>
              <w:top w:val="single" w:sz="2" w:space="0" w:color="auto"/>
              <w:left w:val="single" w:sz="2" w:space="0" w:color="auto"/>
              <w:bottom w:val="single" w:sz="2" w:space="0" w:color="auto"/>
              <w:right w:val="single" w:sz="2" w:space="0" w:color="auto"/>
            </w:tcBorders>
          </w:tcPr>
          <w:p w14:paraId="719A9B43" w14:textId="77777777" w:rsidR="009F4766" w:rsidRPr="00DE12A3" w:rsidRDefault="009F4766" w:rsidP="00C917D6">
            <w:pPr>
              <w:pStyle w:val="NormalLeft"/>
            </w:pPr>
            <w:r w:rsidRPr="00DE12A3">
              <w:t>50</w:t>
            </w:r>
          </w:p>
        </w:tc>
      </w:tr>
      <w:tr w:rsidR="00DE12A3" w:rsidRPr="00DE12A3" w14:paraId="4A9499AC" w14:textId="77777777" w:rsidTr="009F4766">
        <w:tc>
          <w:tcPr>
            <w:tcW w:w="1182" w:type="dxa"/>
            <w:tcBorders>
              <w:top w:val="single" w:sz="2" w:space="0" w:color="auto"/>
              <w:left w:val="single" w:sz="2" w:space="0" w:color="auto"/>
              <w:bottom w:val="single" w:sz="2" w:space="0" w:color="auto"/>
              <w:right w:val="single" w:sz="2" w:space="0" w:color="auto"/>
            </w:tcBorders>
          </w:tcPr>
          <w:p w14:paraId="58538C50" w14:textId="77777777" w:rsidR="009F4766" w:rsidRPr="00DE12A3" w:rsidRDefault="009F4766" w:rsidP="00C917D6">
            <w:pPr>
              <w:pStyle w:val="NormalLeft"/>
            </w:pPr>
            <w:r w:rsidRPr="00DE12A3">
              <w:t>639</w:t>
            </w:r>
          </w:p>
        </w:tc>
        <w:tc>
          <w:tcPr>
            <w:tcW w:w="2489" w:type="dxa"/>
            <w:tcBorders>
              <w:top w:val="single" w:sz="2" w:space="0" w:color="auto"/>
              <w:left w:val="single" w:sz="2" w:space="0" w:color="auto"/>
              <w:bottom w:val="single" w:sz="2" w:space="0" w:color="auto"/>
              <w:right w:val="single" w:sz="2" w:space="0" w:color="auto"/>
            </w:tcBorders>
          </w:tcPr>
          <w:p w14:paraId="183AC051" w14:textId="77777777" w:rsidR="009F4766" w:rsidRPr="00DE12A3" w:rsidRDefault="009F4766" w:rsidP="00C917D6">
            <w:pPr>
              <w:pStyle w:val="NormalLeft"/>
            </w:pPr>
            <w:r w:rsidRPr="00DE12A3">
              <w:t>16</w:t>
            </w:r>
          </w:p>
        </w:tc>
        <w:tc>
          <w:tcPr>
            <w:tcW w:w="2551" w:type="dxa"/>
            <w:tcBorders>
              <w:top w:val="single" w:sz="2" w:space="0" w:color="auto"/>
              <w:left w:val="single" w:sz="2" w:space="0" w:color="auto"/>
              <w:bottom w:val="single" w:sz="2" w:space="0" w:color="auto"/>
              <w:right w:val="single" w:sz="2" w:space="0" w:color="auto"/>
            </w:tcBorders>
          </w:tcPr>
          <w:p w14:paraId="20F0A271" w14:textId="77777777" w:rsidR="009F4766" w:rsidRPr="00DE12A3" w:rsidRDefault="009F4766" w:rsidP="00C917D6">
            <w:pPr>
              <w:pStyle w:val="NormalLeft"/>
            </w:pPr>
            <w:r w:rsidRPr="00DE12A3">
              <w:t>53</w:t>
            </w:r>
          </w:p>
        </w:tc>
      </w:tr>
      <w:tr w:rsidR="00DE12A3" w:rsidRPr="00DE12A3" w14:paraId="506F8C74" w14:textId="77777777" w:rsidTr="009F4766">
        <w:tc>
          <w:tcPr>
            <w:tcW w:w="1182" w:type="dxa"/>
            <w:tcBorders>
              <w:top w:val="single" w:sz="2" w:space="0" w:color="auto"/>
              <w:left w:val="single" w:sz="2" w:space="0" w:color="auto"/>
              <w:bottom w:val="single" w:sz="2" w:space="0" w:color="auto"/>
              <w:right w:val="single" w:sz="2" w:space="0" w:color="auto"/>
            </w:tcBorders>
          </w:tcPr>
          <w:p w14:paraId="41D84668" w14:textId="77777777" w:rsidR="009F4766" w:rsidRPr="00DE12A3" w:rsidRDefault="009F4766" w:rsidP="00C917D6">
            <w:pPr>
              <w:pStyle w:val="NormalLeft"/>
            </w:pPr>
            <w:r w:rsidRPr="00DE12A3">
              <w:t>640</w:t>
            </w:r>
          </w:p>
        </w:tc>
        <w:tc>
          <w:tcPr>
            <w:tcW w:w="2489" w:type="dxa"/>
            <w:tcBorders>
              <w:top w:val="single" w:sz="2" w:space="0" w:color="auto"/>
              <w:left w:val="single" w:sz="2" w:space="0" w:color="auto"/>
              <w:bottom w:val="single" w:sz="2" w:space="0" w:color="auto"/>
              <w:right w:val="single" w:sz="2" w:space="0" w:color="auto"/>
            </w:tcBorders>
          </w:tcPr>
          <w:p w14:paraId="2111E557" w14:textId="77777777" w:rsidR="009F4766" w:rsidRPr="00DE12A3" w:rsidRDefault="009F4766" w:rsidP="00C917D6">
            <w:pPr>
              <w:pStyle w:val="NormalLeft"/>
            </w:pPr>
            <w:r w:rsidRPr="00DE12A3">
              <w:t>11</w:t>
            </w:r>
          </w:p>
        </w:tc>
        <w:tc>
          <w:tcPr>
            <w:tcW w:w="2551" w:type="dxa"/>
            <w:tcBorders>
              <w:top w:val="single" w:sz="2" w:space="0" w:color="auto"/>
              <w:left w:val="single" w:sz="2" w:space="0" w:color="auto"/>
              <w:bottom w:val="single" w:sz="2" w:space="0" w:color="auto"/>
              <w:right w:val="single" w:sz="2" w:space="0" w:color="auto"/>
            </w:tcBorders>
          </w:tcPr>
          <w:p w14:paraId="4698011D" w14:textId="77777777" w:rsidR="009F4766" w:rsidRPr="00DE12A3" w:rsidRDefault="009F4766" w:rsidP="00C917D6">
            <w:pPr>
              <w:pStyle w:val="NormalLeft"/>
            </w:pPr>
            <w:r w:rsidRPr="00DE12A3">
              <w:t>54</w:t>
            </w:r>
          </w:p>
        </w:tc>
      </w:tr>
      <w:tr w:rsidR="00DE12A3" w:rsidRPr="00DE12A3" w14:paraId="47972CAF" w14:textId="77777777" w:rsidTr="009F4766">
        <w:tc>
          <w:tcPr>
            <w:tcW w:w="1182" w:type="dxa"/>
            <w:tcBorders>
              <w:top w:val="single" w:sz="2" w:space="0" w:color="auto"/>
              <w:left w:val="single" w:sz="2" w:space="0" w:color="auto"/>
              <w:bottom w:val="single" w:sz="2" w:space="0" w:color="auto"/>
              <w:right w:val="single" w:sz="2" w:space="0" w:color="auto"/>
            </w:tcBorders>
          </w:tcPr>
          <w:p w14:paraId="626C0C97" w14:textId="77777777" w:rsidR="009F4766" w:rsidRPr="00DE12A3" w:rsidRDefault="009F4766" w:rsidP="00C917D6">
            <w:pPr>
              <w:pStyle w:val="NormalLeft"/>
            </w:pPr>
            <w:r w:rsidRPr="00DE12A3">
              <w:t>641</w:t>
            </w:r>
          </w:p>
        </w:tc>
        <w:tc>
          <w:tcPr>
            <w:tcW w:w="2489" w:type="dxa"/>
            <w:tcBorders>
              <w:top w:val="single" w:sz="2" w:space="0" w:color="auto"/>
              <w:left w:val="single" w:sz="2" w:space="0" w:color="auto"/>
              <w:bottom w:val="single" w:sz="2" w:space="0" w:color="auto"/>
              <w:right w:val="single" w:sz="2" w:space="0" w:color="auto"/>
            </w:tcBorders>
          </w:tcPr>
          <w:p w14:paraId="662BDD83" w14:textId="77777777" w:rsidR="009F4766" w:rsidRPr="00DE12A3" w:rsidRDefault="009F4766" w:rsidP="00C917D6">
            <w:pPr>
              <w:pStyle w:val="NormalLeft"/>
            </w:pPr>
            <w:r w:rsidRPr="00DE12A3">
              <w:t>13</w:t>
            </w:r>
          </w:p>
        </w:tc>
        <w:tc>
          <w:tcPr>
            <w:tcW w:w="2551" w:type="dxa"/>
            <w:tcBorders>
              <w:top w:val="single" w:sz="2" w:space="0" w:color="auto"/>
              <w:left w:val="single" w:sz="2" w:space="0" w:color="auto"/>
              <w:bottom w:val="single" w:sz="2" w:space="0" w:color="auto"/>
              <w:right w:val="single" w:sz="2" w:space="0" w:color="auto"/>
            </w:tcBorders>
          </w:tcPr>
          <w:p w14:paraId="3BDDD091" w14:textId="77777777" w:rsidR="009F4766" w:rsidRPr="00DE12A3" w:rsidRDefault="009F4766" w:rsidP="00C917D6">
            <w:pPr>
              <w:pStyle w:val="NormalLeft"/>
            </w:pPr>
            <w:r w:rsidRPr="00DE12A3">
              <w:t>53</w:t>
            </w:r>
          </w:p>
        </w:tc>
      </w:tr>
      <w:tr w:rsidR="00DE12A3" w:rsidRPr="00DE12A3" w14:paraId="6765EDAF" w14:textId="77777777" w:rsidTr="009F4766">
        <w:tc>
          <w:tcPr>
            <w:tcW w:w="1182" w:type="dxa"/>
            <w:tcBorders>
              <w:top w:val="single" w:sz="2" w:space="0" w:color="auto"/>
              <w:left w:val="single" w:sz="2" w:space="0" w:color="auto"/>
              <w:bottom w:val="single" w:sz="2" w:space="0" w:color="auto"/>
              <w:right w:val="single" w:sz="2" w:space="0" w:color="auto"/>
            </w:tcBorders>
          </w:tcPr>
          <w:p w14:paraId="0D99FF88" w14:textId="77777777" w:rsidR="009F4766" w:rsidRPr="00DE12A3" w:rsidRDefault="009F4766" w:rsidP="00C917D6">
            <w:pPr>
              <w:pStyle w:val="NormalLeft"/>
            </w:pPr>
            <w:r w:rsidRPr="00DE12A3">
              <w:t>642</w:t>
            </w:r>
          </w:p>
        </w:tc>
        <w:tc>
          <w:tcPr>
            <w:tcW w:w="2489" w:type="dxa"/>
            <w:tcBorders>
              <w:top w:val="single" w:sz="2" w:space="0" w:color="auto"/>
              <w:left w:val="single" w:sz="2" w:space="0" w:color="auto"/>
              <w:bottom w:val="single" w:sz="2" w:space="0" w:color="auto"/>
              <w:right w:val="single" w:sz="2" w:space="0" w:color="auto"/>
            </w:tcBorders>
          </w:tcPr>
          <w:p w14:paraId="67ECC298" w14:textId="77777777" w:rsidR="009F4766" w:rsidRPr="00DE12A3" w:rsidRDefault="009F4766" w:rsidP="00C917D6">
            <w:pPr>
              <w:pStyle w:val="NormalLeft"/>
            </w:pPr>
            <w:r w:rsidRPr="00DE12A3">
              <w:t>23</w:t>
            </w:r>
          </w:p>
        </w:tc>
        <w:tc>
          <w:tcPr>
            <w:tcW w:w="2551" w:type="dxa"/>
            <w:tcBorders>
              <w:top w:val="single" w:sz="2" w:space="0" w:color="auto"/>
              <w:left w:val="single" w:sz="2" w:space="0" w:color="auto"/>
              <w:bottom w:val="single" w:sz="2" w:space="0" w:color="auto"/>
              <w:right w:val="single" w:sz="2" w:space="0" w:color="auto"/>
            </w:tcBorders>
          </w:tcPr>
          <w:p w14:paraId="00F23849" w14:textId="77777777" w:rsidR="009F4766" w:rsidRPr="00DE12A3" w:rsidRDefault="009F4766" w:rsidP="00C917D6">
            <w:pPr>
              <w:pStyle w:val="NormalLeft"/>
            </w:pPr>
            <w:r w:rsidRPr="00DE12A3">
              <w:t>50</w:t>
            </w:r>
          </w:p>
        </w:tc>
      </w:tr>
      <w:tr w:rsidR="00DE12A3" w:rsidRPr="00DE12A3" w14:paraId="706F3CAC" w14:textId="77777777" w:rsidTr="009F4766">
        <w:tc>
          <w:tcPr>
            <w:tcW w:w="1182" w:type="dxa"/>
            <w:tcBorders>
              <w:top w:val="single" w:sz="2" w:space="0" w:color="auto"/>
              <w:left w:val="single" w:sz="2" w:space="0" w:color="auto"/>
              <w:bottom w:val="single" w:sz="2" w:space="0" w:color="auto"/>
              <w:right w:val="single" w:sz="2" w:space="0" w:color="auto"/>
            </w:tcBorders>
          </w:tcPr>
          <w:p w14:paraId="4C5C3003" w14:textId="77777777" w:rsidR="009F4766" w:rsidRPr="00DE12A3" w:rsidRDefault="009F4766" w:rsidP="00C917D6">
            <w:pPr>
              <w:pStyle w:val="NormalLeft"/>
            </w:pPr>
            <w:r w:rsidRPr="00DE12A3">
              <w:t>643</w:t>
            </w:r>
          </w:p>
        </w:tc>
        <w:tc>
          <w:tcPr>
            <w:tcW w:w="2489" w:type="dxa"/>
            <w:tcBorders>
              <w:top w:val="single" w:sz="2" w:space="0" w:color="auto"/>
              <w:left w:val="single" w:sz="2" w:space="0" w:color="auto"/>
              <w:bottom w:val="single" w:sz="2" w:space="0" w:color="auto"/>
              <w:right w:val="single" w:sz="2" w:space="0" w:color="auto"/>
            </w:tcBorders>
          </w:tcPr>
          <w:p w14:paraId="07AAB571" w14:textId="77777777" w:rsidR="009F4766" w:rsidRPr="00DE12A3" w:rsidRDefault="009F4766" w:rsidP="00C917D6">
            <w:pPr>
              <w:pStyle w:val="NormalLeft"/>
            </w:pPr>
            <w:r w:rsidRPr="00DE12A3">
              <w:t>32</w:t>
            </w:r>
          </w:p>
        </w:tc>
        <w:tc>
          <w:tcPr>
            <w:tcW w:w="2551" w:type="dxa"/>
            <w:tcBorders>
              <w:top w:val="single" w:sz="2" w:space="0" w:color="auto"/>
              <w:left w:val="single" w:sz="2" w:space="0" w:color="auto"/>
              <w:bottom w:val="single" w:sz="2" w:space="0" w:color="auto"/>
              <w:right w:val="single" w:sz="2" w:space="0" w:color="auto"/>
            </w:tcBorders>
          </w:tcPr>
          <w:p w14:paraId="3AFF5511" w14:textId="77777777" w:rsidR="009F4766" w:rsidRPr="00DE12A3" w:rsidRDefault="009F4766" w:rsidP="00C917D6">
            <w:pPr>
              <w:pStyle w:val="NormalLeft"/>
            </w:pPr>
            <w:r w:rsidRPr="00DE12A3">
              <w:t>59</w:t>
            </w:r>
          </w:p>
        </w:tc>
      </w:tr>
      <w:tr w:rsidR="00DE12A3" w:rsidRPr="00DE12A3" w14:paraId="608EABE9" w14:textId="77777777" w:rsidTr="009F4766">
        <w:tc>
          <w:tcPr>
            <w:tcW w:w="1182" w:type="dxa"/>
            <w:tcBorders>
              <w:top w:val="single" w:sz="2" w:space="0" w:color="auto"/>
              <w:left w:val="single" w:sz="2" w:space="0" w:color="auto"/>
              <w:bottom w:val="single" w:sz="2" w:space="0" w:color="auto"/>
              <w:right w:val="single" w:sz="2" w:space="0" w:color="auto"/>
            </w:tcBorders>
          </w:tcPr>
          <w:p w14:paraId="767787F8" w14:textId="77777777" w:rsidR="009F4766" w:rsidRPr="00DE12A3" w:rsidRDefault="009F4766" w:rsidP="00C917D6">
            <w:pPr>
              <w:pStyle w:val="NormalLeft"/>
            </w:pPr>
            <w:r w:rsidRPr="00DE12A3">
              <w:t>644</w:t>
            </w:r>
          </w:p>
        </w:tc>
        <w:tc>
          <w:tcPr>
            <w:tcW w:w="2489" w:type="dxa"/>
            <w:tcBorders>
              <w:top w:val="single" w:sz="2" w:space="0" w:color="auto"/>
              <w:left w:val="single" w:sz="2" w:space="0" w:color="auto"/>
              <w:bottom w:val="single" w:sz="2" w:space="0" w:color="auto"/>
              <w:right w:val="single" w:sz="2" w:space="0" w:color="auto"/>
            </w:tcBorders>
          </w:tcPr>
          <w:p w14:paraId="62A82E1A" w14:textId="77777777" w:rsidR="009F4766" w:rsidRPr="00DE12A3" w:rsidRDefault="009F4766" w:rsidP="00C917D6">
            <w:pPr>
              <w:pStyle w:val="NormalLeft"/>
            </w:pPr>
            <w:r w:rsidRPr="00DE12A3">
              <w:t>36</w:t>
            </w:r>
          </w:p>
        </w:tc>
        <w:tc>
          <w:tcPr>
            <w:tcW w:w="2551" w:type="dxa"/>
            <w:tcBorders>
              <w:top w:val="single" w:sz="2" w:space="0" w:color="auto"/>
              <w:left w:val="single" w:sz="2" w:space="0" w:color="auto"/>
              <w:bottom w:val="single" w:sz="2" w:space="0" w:color="auto"/>
              <w:right w:val="single" w:sz="2" w:space="0" w:color="auto"/>
            </w:tcBorders>
          </w:tcPr>
          <w:p w14:paraId="68FD82C5" w14:textId="77777777" w:rsidR="009F4766" w:rsidRPr="00DE12A3" w:rsidRDefault="009F4766" w:rsidP="00C917D6">
            <w:pPr>
              <w:pStyle w:val="NormalLeft"/>
            </w:pPr>
            <w:r w:rsidRPr="00DE12A3">
              <w:t>63</w:t>
            </w:r>
          </w:p>
        </w:tc>
      </w:tr>
      <w:tr w:rsidR="00DE12A3" w:rsidRPr="00DE12A3" w14:paraId="5AA830BF" w14:textId="77777777" w:rsidTr="009F4766">
        <w:tc>
          <w:tcPr>
            <w:tcW w:w="1182" w:type="dxa"/>
            <w:tcBorders>
              <w:top w:val="single" w:sz="2" w:space="0" w:color="auto"/>
              <w:left w:val="single" w:sz="2" w:space="0" w:color="auto"/>
              <w:bottom w:val="single" w:sz="2" w:space="0" w:color="auto"/>
              <w:right w:val="single" w:sz="2" w:space="0" w:color="auto"/>
            </w:tcBorders>
          </w:tcPr>
          <w:p w14:paraId="5C65FC82" w14:textId="77777777" w:rsidR="009F4766" w:rsidRPr="00DE12A3" w:rsidRDefault="009F4766" w:rsidP="00C917D6">
            <w:pPr>
              <w:pStyle w:val="NormalLeft"/>
            </w:pPr>
            <w:r w:rsidRPr="00DE12A3">
              <w:t>645</w:t>
            </w:r>
          </w:p>
        </w:tc>
        <w:tc>
          <w:tcPr>
            <w:tcW w:w="2489" w:type="dxa"/>
            <w:tcBorders>
              <w:top w:val="single" w:sz="2" w:space="0" w:color="auto"/>
              <w:left w:val="single" w:sz="2" w:space="0" w:color="auto"/>
              <w:bottom w:val="single" w:sz="2" w:space="0" w:color="auto"/>
              <w:right w:val="single" w:sz="2" w:space="0" w:color="auto"/>
            </w:tcBorders>
          </w:tcPr>
          <w:p w14:paraId="4F94F286" w14:textId="77777777" w:rsidR="009F4766" w:rsidRPr="00DE12A3" w:rsidRDefault="009F4766" w:rsidP="00C917D6">
            <w:pPr>
              <w:pStyle w:val="NormalLeft"/>
            </w:pPr>
            <w:r w:rsidRPr="00DE12A3">
              <w:t>33</w:t>
            </w:r>
          </w:p>
        </w:tc>
        <w:tc>
          <w:tcPr>
            <w:tcW w:w="2551" w:type="dxa"/>
            <w:tcBorders>
              <w:top w:val="single" w:sz="2" w:space="0" w:color="auto"/>
              <w:left w:val="single" w:sz="2" w:space="0" w:color="auto"/>
              <w:bottom w:val="single" w:sz="2" w:space="0" w:color="auto"/>
              <w:right w:val="single" w:sz="2" w:space="0" w:color="auto"/>
            </w:tcBorders>
          </w:tcPr>
          <w:p w14:paraId="2028DCB8" w14:textId="77777777" w:rsidR="009F4766" w:rsidRPr="00DE12A3" w:rsidRDefault="009F4766" w:rsidP="00C917D6">
            <w:pPr>
              <w:pStyle w:val="NormalLeft"/>
            </w:pPr>
            <w:r w:rsidRPr="00DE12A3">
              <w:t>59</w:t>
            </w:r>
          </w:p>
        </w:tc>
      </w:tr>
      <w:tr w:rsidR="00DE12A3" w:rsidRPr="00DE12A3" w14:paraId="67F2C25B" w14:textId="77777777" w:rsidTr="009F4766">
        <w:tc>
          <w:tcPr>
            <w:tcW w:w="1182" w:type="dxa"/>
            <w:tcBorders>
              <w:top w:val="single" w:sz="2" w:space="0" w:color="auto"/>
              <w:left w:val="single" w:sz="2" w:space="0" w:color="auto"/>
              <w:bottom w:val="single" w:sz="2" w:space="0" w:color="auto"/>
              <w:right w:val="single" w:sz="2" w:space="0" w:color="auto"/>
            </w:tcBorders>
          </w:tcPr>
          <w:p w14:paraId="0162E82E" w14:textId="77777777" w:rsidR="009F4766" w:rsidRPr="00DE12A3" w:rsidRDefault="009F4766" w:rsidP="00C917D6">
            <w:pPr>
              <w:pStyle w:val="NormalLeft"/>
            </w:pPr>
            <w:r w:rsidRPr="00DE12A3">
              <w:t>646</w:t>
            </w:r>
          </w:p>
        </w:tc>
        <w:tc>
          <w:tcPr>
            <w:tcW w:w="2489" w:type="dxa"/>
            <w:tcBorders>
              <w:top w:val="single" w:sz="2" w:space="0" w:color="auto"/>
              <w:left w:val="single" w:sz="2" w:space="0" w:color="auto"/>
              <w:bottom w:val="single" w:sz="2" w:space="0" w:color="auto"/>
              <w:right w:val="single" w:sz="2" w:space="0" w:color="auto"/>
            </w:tcBorders>
          </w:tcPr>
          <w:p w14:paraId="4A71E98D" w14:textId="77777777" w:rsidR="009F4766" w:rsidRPr="00DE12A3" w:rsidRDefault="009F4766" w:rsidP="00C917D6">
            <w:pPr>
              <w:pStyle w:val="NormalLeft"/>
            </w:pPr>
            <w:r w:rsidRPr="00DE12A3">
              <w:t>24</w:t>
            </w:r>
          </w:p>
        </w:tc>
        <w:tc>
          <w:tcPr>
            <w:tcW w:w="2551" w:type="dxa"/>
            <w:tcBorders>
              <w:top w:val="single" w:sz="2" w:space="0" w:color="auto"/>
              <w:left w:val="single" w:sz="2" w:space="0" w:color="auto"/>
              <w:bottom w:val="single" w:sz="2" w:space="0" w:color="auto"/>
              <w:right w:val="single" w:sz="2" w:space="0" w:color="auto"/>
            </w:tcBorders>
          </w:tcPr>
          <w:p w14:paraId="0F19B2F3" w14:textId="77777777" w:rsidR="009F4766" w:rsidRPr="00DE12A3" w:rsidRDefault="009F4766" w:rsidP="00C917D6">
            <w:pPr>
              <w:pStyle w:val="NormalLeft"/>
            </w:pPr>
            <w:r w:rsidRPr="00DE12A3">
              <w:t>52</w:t>
            </w:r>
          </w:p>
        </w:tc>
      </w:tr>
      <w:tr w:rsidR="00DE12A3" w:rsidRPr="00DE12A3" w14:paraId="3F4B77B2" w14:textId="77777777" w:rsidTr="009F4766">
        <w:tc>
          <w:tcPr>
            <w:tcW w:w="1182" w:type="dxa"/>
            <w:tcBorders>
              <w:top w:val="single" w:sz="2" w:space="0" w:color="auto"/>
              <w:left w:val="single" w:sz="2" w:space="0" w:color="auto"/>
              <w:bottom w:val="single" w:sz="2" w:space="0" w:color="auto"/>
              <w:right w:val="single" w:sz="2" w:space="0" w:color="auto"/>
            </w:tcBorders>
          </w:tcPr>
          <w:p w14:paraId="67171218" w14:textId="77777777" w:rsidR="009F4766" w:rsidRPr="00DE12A3" w:rsidRDefault="009F4766" w:rsidP="00C917D6">
            <w:pPr>
              <w:pStyle w:val="NormalLeft"/>
            </w:pPr>
            <w:r w:rsidRPr="00DE12A3">
              <w:t>647</w:t>
            </w:r>
          </w:p>
        </w:tc>
        <w:tc>
          <w:tcPr>
            <w:tcW w:w="2489" w:type="dxa"/>
            <w:tcBorders>
              <w:top w:val="single" w:sz="2" w:space="0" w:color="auto"/>
              <w:left w:val="single" w:sz="2" w:space="0" w:color="auto"/>
              <w:bottom w:val="single" w:sz="2" w:space="0" w:color="auto"/>
              <w:right w:val="single" w:sz="2" w:space="0" w:color="auto"/>
            </w:tcBorders>
          </w:tcPr>
          <w:p w14:paraId="7B1E1847" w14:textId="77777777" w:rsidR="009F4766" w:rsidRPr="00DE12A3" w:rsidRDefault="009F4766" w:rsidP="00C917D6">
            <w:pPr>
              <w:pStyle w:val="NormalLeft"/>
            </w:pPr>
            <w:r w:rsidRPr="00DE12A3">
              <w:t>20</w:t>
            </w:r>
          </w:p>
        </w:tc>
        <w:tc>
          <w:tcPr>
            <w:tcW w:w="2551" w:type="dxa"/>
            <w:tcBorders>
              <w:top w:val="single" w:sz="2" w:space="0" w:color="auto"/>
              <w:left w:val="single" w:sz="2" w:space="0" w:color="auto"/>
              <w:bottom w:val="single" w:sz="2" w:space="0" w:color="auto"/>
              <w:right w:val="single" w:sz="2" w:space="0" w:color="auto"/>
            </w:tcBorders>
          </w:tcPr>
          <w:p w14:paraId="4C965BC5" w14:textId="77777777" w:rsidR="009F4766" w:rsidRPr="00DE12A3" w:rsidRDefault="009F4766" w:rsidP="00C917D6">
            <w:pPr>
              <w:pStyle w:val="NormalLeft"/>
            </w:pPr>
            <w:r w:rsidRPr="00DE12A3">
              <w:t>52</w:t>
            </w:r>
          </w:p>
        </w:tc>
      </w:tr>
      <w:tr w:rsidR="00DE12A3" w:rsidRPr="00DE12A3" w14:paraId="1D3D9B5D" w14:textId="77777777" w:rsidTr="009F4766">
        <w:tc>
          <w:tcPr>
            <w:tcW w:w="1182" w:type="dxa"/>
            <w:tcBorders>
              <w:top w:val="single" w:sz="2" w:space="0" w:color="auto"/>
              <w:left w:val="single" w:sz="2" w:space="0" w:color="auto"/>
              <w:bottom w:val="single" w:sz="2" w:space="0" w:color="auto"/>
              <w:right w:val="single" w:sz="2" w:space="0" w:color="auto"/>
            </w:tcBorders>
          </w:tcPr>
          <w:p w14:paraId="4D3BCD6B" w14:textId="77777777" w:rsidR="009F4766" w:rsidRPr="00DE12A3" w:rsidRDefault="009F4766" w:rsidP="00C917D6">
            <w:pPr>
              <w:pStyle w:val="NormalLeft"/>
            </w:pPr>
            <w:r w:rsidRPr="00DE12A3">
              <w:t>648</w:t>
            </w:r>
          </w:p>
        </w:tc>
        <w:tc>
          <w:tcPr>
            <w:tcW w:w="2489" w:type="dxa"/>
            <w:tcBorders>
              <w:top w:val="single" w:sz="2" w:space="0" w:color="auto"/>
              <w:left w:val="single" w:sz="2" w:space="0" w:color="auto"/>
              <w:bottom w:val="single" w:sz="2" w:space="0" w:color="auto"/>
              <w:right w:val="single" w:sz="2" w:space="0" w:color="auto"/>
            </w:tcBorders>
          </w:tcPr>
          <w:p w14:paraId="0A444EFA" w14:textId="77777777" w:rsidR="009F4766" w:rsidRPr="00DE12A3" w:rsidRDefault="009F4766" w:rsidP="00C917D6">
            <w:pPr>
              <w:pStyle w:val="NormalLeft"/>
            </w:pPr>
            <w:r w:rsidRPr="00DE12A3">
              <w:t>22</w:t>
            </w:r>
          </w:p>
        </w:tc>
        <w:tc>
          <w:tcPr>
            <w:tcW w:w="2551" w:type="dxa"/>
            <w:tcBorders>
              <w:top w:val="single" w:sz="2" w:space="0" w:color="auto"/>
              <w:left w:val="single" w:sz="2" w:space="0" w:color="auto"/>
              <w:bottom w:val="single" w:sz="2" w:space="0" w:color="auto"/>
              <w:right w:val="single" w:sz="2" w:space="0" w:color="auto"/>
            </w:tcBorders>
          </w:tcPr>
          <w:p w14:paraId="79967CC5" w14:textId="77777777" w:rsidR="009F4766" w:rsidRPr="00DE12A3" w:rsidRDefault="009F4766" w:rsidP="00C917D6">
            <w:pPr>
              <w:pStyle w:val="NormalLeft"/>
            </w:pPr>
            <w:r w:rsidRPr="00DE12A3">
              <w:t>55</w:t>
            </w:r>
          </w:p>
        </w:tc>
      </w:tr>
      <w:tr w:rsidR="00DE12A3" w:rsidRPr="00DE12A3" w14:paraId="2C16930A" w14:textId="77777777" w:rsidTr="009F4766">
        <w:tc>
          <w:tcPr>
            <w:tcW w:w="1182" w:type="dxa"/>
            <w:tcBorders>
              <w:top w:val="single" w:sz="2" w:space="0" w:color="auto"/>
              <w:left w:val="single" w:sz="2" w:space="0" w:color="auto"/>
              <w:bottom w:val="single" w:sz="2" w:space="0" w:color="auto"/>
              <w:right w:val="single" w:sz="2" w:space="0" w:color="auto"/>
            </w:tcBorders>
          </w:tcPr>
          <w:p w14:paraId="5F7DF3C2" w14:textId="77777777" w:rsidR="009F4766" w:rsidRPr="00DE12A3" w:rsidRDefault="009F4766" w:rsidP="00C917D6">
            <w:pPr>
              <w:pStyle w:val="NormalLeft"/>
            </w:pPr>
            <w:r w:rsidRPr="00DE12A3">
              <w:t>649</w:t>
            </w:r>
          </w:p>
        </w:tc>
        <w:tc>
          <w:tcPr>
            <w:tcW w:w="2489" w:type="dxa"/>
            <w:tcBorders>
              <w:top w:val="single" w:sz="2" w:space="0" w:color="auto"/>
              <w:left w:val="single" w:sz="2" w:space="0" w:color="auto"/>
              <w:bottom w:val="single" w:sz="2" w:space="0" w:color="auto"/>
              <w:right w:val="single" w:sz="2" w:space="0" w:color="auto"/>
            </w:tcBorders>
          </w:tcPr>
          <w:p w14:paraId="7DFD436C" w14:textId="77777777" w:rsidR="009F4766" w:rsidRPr="00DE12A3" w:rsidRDefault="009F4766" w:rsidP="00C917D6">
            <w:pPr>
              <w:pStyle w:val="NormalLeft"/>
            </w:pPr>
            <w:r w:rsidRPr="00DE12A3">
              <w:t>30</w:t>
            </w:r>
          </w:p>
        </w:tc>
        <w:tc>
          <w:tcPr>
            <w:tcW w:w="2551" w:type="dxa"/>
            <w:tcBorders>
              <w:top w:val="single" w:sz="2" w:space="0" w:color="auto"/>
              <w:left w:val="single" w:sz="2" w:space="0" w:color="auto"/>
              <w:bottom w:val="single" w:sz="2" w:space="0" w:color="auto"/>
              <w:right w:val="single" w:sz="2" w:space="0" w:color="auto"/>
            </w:tcBorders>
          </w:tcPr>
          <w:p w14:paraId="7810804A" w14:textId="77777777" w:rsidR="009F4766" w:rsidRPr="00DE12A3" w:rsidRDefault="009F4766" w:rsidP="00C917D6">
            <w:pPr>
              <w:pStyle w:val="NormalLeft"/>
            </w:pPr>
            <w:r w:rsidRPr="00DE12A3">
              <w:t>53</w:t>
            </w:r>
          </w:p>
        </w:tc>
      </w:tr>
      <w:tr w:rsidR="00DE12A3" w:rsidRPr="00DE12A3" w14:paraId="50AE63EF" w14:textId="77777777" w:rsidTr="009F4766">
        <w:tc>
          <w:tcPr>
            <w:tcW w:w="1182" w:type="dxa"/>
            <w:tcBorders>
              <w:top w:val="single" w:sz="2" w:space="0" w:color="auto"/>
              <w:left w:val="single" w:sz="2" w:space="0" w:color="auto"/>
              <w:bottom w:val="single" w:sz="2" w:space="0" w:color="auto"/>
              <w:right w:val="single" w:sz="2" w:space="0" w:color="auto"/>
            </w:tcBorders>
          </w:tcPr>
          <w:p w14:paraId="7913BFB8" w14:textId="77777777" w:rsidR="009F4766" w:rsidRPr="00DE12A3" w:rsidRDefault="009F4766" w:rsidP="00C917D6">
            <w:pPr>
              <w:pStyle w:val="NormalLeft"/>
            </w:pPr>
            <w:r w:rsidRPr="00DE12A3">
              <w:t>650</w:t>
            </w:r>
          </w:p>
        </w:tc>
        <w:tc>
          <w:tcPr>
            <w:tcW w:w="2489" w:type="dxa"/>
            <w:tcBorders>
              <w:top w:val="single" w:sz="2" w:space="0" w:color="auto"/>
              <w:left w:val="single" w:sz="2" w:space="0" w:color="auto"/>
              <w:bottom w:val="single" w:sz="2" w:space="0" w:color="auto"/>
              <w:right w:val="single" w:sz="2" w:space="0" w:color="auto"/>
            </w:tcBorders>
          </w:tcPr>
          <w:p w14:paraId="05AEF4ED" w14:textId="77777777" w:rsidR="009F4766" w:rsidRPr="00DE12A3" w:rsidRDefault="009F4766" w:rsidP="00C917D6">
            <w:pPr>
              <w:pStyle w:val="NormalLeft"/>
            </w:pPr>
            <w:r w:rsidRPr="00DE12A3">
              <w:t>37</w:t>
            </w:r>
          </w:p>
        </w:tc>
        <w:tc>
          <w:tcPr>
            <w:tcW w:w="2551" w:type="dxa"/>
            <w:tcBorders>
              <w:top w:val="single" w:sz="2" w:space="0" w:color="auto"/>
              <w:left w:val="single" w:sz="2" w:space="0" w:color="auto"/>
              <w:bottom w:val="single" w:sz="2" w:space="0" w:color="auto"/>
              <w:right w:val="single" w:sz="2" w:space="0" w:color="auto"/>
            </w:tcBorders>
          </w:tcPr>
          <w:p w14:paraId="23F6DDF9" w14:textId="77777777" w:rsidR="009F4766" w:rsidRPr="00DE12A3" w:rsidRDefault="009F4766" w:rsidP="00C917D6">
            <w:pPr>
              <w:pStyle w:val="NormalLeft"/>
            </w:pPr>
            <w:r w:rsidRPr="00DE12A3">
              <w:t>59</w:t>
            </w:r>
          </w:p>
        </w:tc>
      </w:tr>
      <w:tr w:rsidR="00DE12A3" w:rsidRPr="00DE12A3" w14:paraId="0FD78D1B" w14:textId="77777777" w:rsidTr="009F4766">
        <w:tc>
          <w:tcPr>
            <w:tcW w:w="1182" w:type="dxa"/>
            <w:tcBorders>
              <w:top w:val="single" w:sz="2" w:space="0" w:color="auto"/>
              <w:left w:val="single" w:sz="2" w:space="0" w:color="auto"/>
              <w:bottom w:val="single" w:sz="2" w:space="0" w:color="auto"/>
              <w:right w:val="single" w:sz="2" w:space="0" w:color="auto"/>
            </w:tcBorders>
          </w:tcPr>
          <w:p w14:paraId="4D3CB6CB" w14:textId="77777777" w:rsidR="009F4766" w:rsidRPr="00DE12A3" w:rsidRDefault="009F4766" w:rsidP="00C917D6">
            <w:pPr>
              <w:pStyle w:val="NormalLeft"/>
            </w:pPr>
            <w:r w:rsidRPr="00DE12A3">
              <w:lastRenderedPageBreak/>
              <w:t>651</w:t>
            </w:r>
          </w:p>
        </w:tc>
        <w:tc>
          <w:tcPr>
            <w:tcW w:w="2489" w:type="dxa"/>
            <w:tcBorders>
              <w:top w:val="single" w:sz="2" w:space="0" w:color="auto"/>
              <w:left w:val="single" w:sz="2" w:space="0" w:color="auto"/>
              <w:bottom w:val="single" w:sz="2" w:space="0" w:color="auto"/>
              <w:right w:val="single" w:sz="2" w:space="0" w:color="auto"/>
            </w:tcBorders>
          </w:tcPr>
          <w:p w14:paraId="2D3D63F6" w14:textId="77777777" w:rsidR="009F4766" w:rsidRPr="00DE12A3" w:rsidRDefault="009F4766" w:rsidP="00C917D6">
            <w:pPr>
              <w:pStyle w:val="NormalLeft"/>
            </w:pPr>
            <w:r w:rsidRPr="00DE12A3">
              <w:t>41</w:t>
            </w:r>
          </w:p>
        </w:tc>
        <w:tc>
          <w:tcPr>
            <w:tcW w:w="2551" w:type="dxa"/>
            <w:tcBorders>
              <w:top w:val="single" w:sz="2" w:space="0" w:color="auto"/>
              <w:left w:val="single" w:sz="2" w:space="0" w:color="auto"/>
              <w:bottom w:val="single" w:sz="2" w:space="0" w:color="auto"/>
              <w:right w:val="single" w:sz="2" w:space="0" w:color="auto"/>
            </w:tcBorders>
          </w:tcPr>
          <w:p w14:paraId="2730A285" w14:textId="77777777" w:rsidR="009F4766" w:rsidRPr="00DE12A3" w:rsidRDefault="009F4766" w:rsidP="00C917D6">
            <w:pPr>
              <w:pStyle w:val="NormalLeft"/>
            </w:pPr>
            <w:r w:rsidRPr="00DE12A3">
              <w:t>58</w:t>
            </w:r>
          </w:p>
        </w:tc>
      </w:tr>
      <w:tr w:rsidR="00DE12A3" w:rsidRPr="00DE12A3" w14:paraId="241162AB" w14:textId="77777777" w:rsidTr="009F4766">
        <w:tc>
          <w:tcPr>
            <w:tcW w:w="1182" w:type="dxa"/>
            <w:tcBorders>
              <w:top w:val="single" w:sz="2" w:space="0" w:color="auto"/>
              <w:left w:val="single" w:sz="2" w:space="0" w:color="auto"/>
              <w:bottom w:val="single" w:sz="2" w:space="0" w:color="auto"/>
              <w:right w:val="single" w:sz="2" w:space="0" w:color="auto"/>
            </w:tcBorders>
          </w:tcPr>
          <w:p w14:paraId="5B4CEE8B" w14:textId="77777777" w:rsidR="009F4766" w:rsidRPr="00DE12A3" w:rsidRDefault="009F4766" w:rsidP="00C917D6">
            <w:pPr>
              <w:pStyle w:val="NormalLeft"/>
            </w:pPr>
            <w:r w:rsidRPr="00DE12A3">
              <w:t>652</w:t>
            </w:r>
          </w:p>
        </w:tc>
        <w:tc>
          <w:tcPr>
            <w:tcW w:w="2489" w:type="dxa"/>
            <w:tcBorders>
              <w:top w:val="single" w:sz="2" w:space="0" w:color="auto"/>
              <w:left w:val="single" w:sz="2" w:space="0" w:color="auto"/>
              <w:bottom w:val="single" w:sz="2" w:space="0" w:color="auto"/>
              <w:right w:val="single" w:sz="2" w:space="0" w:color="auto"/>
            </w:tcBorders>
          </w:tcPr>
          <w:p w14:paraId="31682B01" w14:textId="77777777" w:rsidR="009F4766" w:rsidRPr="00DE12A3" w:rsidRDefault="009F4766" w:rsidP="00C917D6">
            <w:pPr>
              <w:pStyle w:val="NormalLeft"/>
            </w:pPr>
            <w:r w:rsidRPr="00DE12A3">
              <w:t>36</w:t>
            </w:r>
          </w:p>
        </w:tc>
        <w:tc>
          <w:tcPr>
            <w:tcW w:w="2551" w:type="dxa"/>
            <w:tcBorders>
              <w:top w:val="single" w:sz="2" w:space="0" w:color="auto"/>
              <w:left w:val="single" w:sz="2" w:space="0" w:color="auto"/>
              <w:bottom w:val="single" w:sz="2" w:space="0" w:color="auto"/>
              <w:right w:val="single" w:sz="2" w:space="0" w:color="auto"/>
            </w:tcBorders>
          </w:tcPr>
          <w:p w14:paraId="04469D68" w14:textId="77777777" w:rsidR="009F4766" w:rsidRPr="00DE12A3" w:rsidRDefault="009F4766" w:rsidP="00C917D6">
            <w:pPr>
              <w:pStyle w:val="NormalLeft"/>
            </w:pPr>
            <w:r w:rsidRPr="00DE12A3">
              <w:t>54</w:t>
            </w:r>
          </w:p>
        </w:tc>
      </w:tr>
      <w:tr w:rsidR="00DE12A3" w:rsidRPr="00DE12A3" w14:paraId="4F694277" w14:textId="77777777" w:rsidTr="009F4766">
        <w:tc>
          <w:tcPr>
            <w:tcW w:w="1182" w:type="dxa"/>
            <w:tcBorders>
              <w:top w:val="single" w:sz="2" w:space="0" w:color="auto"/>
              <w:left w:val="single" w:sz="2" w:space="0" w:color="auto"/>
              <w:bottom w:val="single" w:sz="2" w:space="0" w:color="auto"/>
              <w:right w:val="single" w:sz="2" w:space="0" w:color="auto"/>
            </w:tcBorders>
          </w:tcPr>
          <w:p w14:paraId="4A030353" w14:textId="77777777" w:rsidR="009F4766" w:rsidRPr="00DE12A3" w:rsidRDefault="009F4766" w:rsidP="00C917D6">
            <w:pPr>
              <w:pStyle w:val="NormalLeft"/>
            </w:pPr>
            <w:r w:rsidRPr="00DE12A3">
              <w:t>653</w:t>
            </w:r>
          </w:p>
        </w:tc>
        <w:tc>
          <w:tcPr>
            <w:tcW w:w="2489" w:type="dxa"/>
            <w:tcBorders>
              <w:top w:val="single" w:sz="2" w:space="0" w:color="auto"/>
              <w:left w:val="single" w:sz="2" w:space="0" w:color="auto"/>
              <w:bottom w:val="single" w:sz="2" w:space="0" w:color="auto"/>
              <w:right w:val="single" w:sz="2" w:space="0" w:color="auto"/>
            </w:tcBorders>
          </w:tcPr>
          <w:p w14:paraId="70A372BF" w14:textId="77777777" w:rsidR="009F4766" w:rsidRPr="00DE12A3" w:rsidRDefault="009F4766" w:rsidP="00C917D6">
            <w:pPr>
              <w:pStyle w:val="NormalLeft"/>
            </w:pPr>
            <w:r w:rsidRPr="00DE12A3">
              <w:t>29</w:t>
            </w:r>
          </w:p>
        </w:tc>
        <w:tc>
          <w:tcPr>
            <w:tcW w:w="2551" w:type="dxa"/>
            <w:tcBorders>
              <w:top w:val="single" w:sz="2" w:space="0" w:color="auto"/>
              <w:left w:val="single" w:sz="2" w:space="0" w:color="auto"/>
              <w:bottom w:val="single" w:sz="2" w:space="0" w:color="auto"/>
              <w:right w:val="single" w:sz="2" w:space="0" w:color="auto"/>
            </w:tcBorders>
          </w:tcPr>
          <w:p w14:paraId="4976034B" w14:textId="77777777" w:rsidR="009F4766" w:rsidRPr="00DE12A3" w:rsidRDefault="009F4766" w:rsidP="00C917D6">
            <w:pPr>
              <w:pStyle w:val="NormalLeft"/>
            </w:pPr>
            <w:r w:rsidRPr="00DE12A3">
              <w:t>49</w:t>
            </w:r>
          </w:p>
        </w:tc>
      </w:tr>
      <w:tr w:rsidR="00DE12A3" w:rsidRPr="00DE12A3" w14:paraId="2F629D07" w14:textId="77777777" w:rsidTr="009F4766">
        <w:tc>
          <w:tcPr>
            <w:tcW w:w="1182" w:type="dxa"/>
            <w:tcBorders>
              <w:top w:val="single" w:sz="2" w:space="0" w:color="auto"/>
              <w:left w:val="single" w:sz="2" w:space="0" w:color="auto"/>
              <w:bottom w:val="single" w:sz="2" w:space="0" w:color="auto"/>
              <w:right w:val="single" w:sz="2" w:space="0" w:color="auto"/>
            </w:tcBorders>
          </w:tcPr>
          <w:p w14:paraId="1427B07E" w14:textId="77777777" w:rsidR="009F4766" w:rsidRPr="00DE12A3" w:rsidRDefault="009F4766" w:rsidP="00C917D6">
            <w:pPr>
              <w:pStyle w:val="NormalLeft"/>
            </w:pPr>
            <w:r w:rsidRPr="00DE12A3">
              <w:t>654</w:t>
            </w:r>
          </w:p>
        </w:tc>
        <w:tc>
          <w:tcPr>
            <w:tcW w:w="2489" w:type="dxa"/>
            <w:tcBorders>
              <w:top w:val="single" w:sz="2" w:space="0" w:color="auto"/>
              <w:left w:val="single" w:sz="2" w:space="0" w:color="auto"/>
              <w:bottom w:val="single" w:sz="2" w:space="0" w:color="auto"/>
              <w:right w:val="single" w:sz="2" w:space="0" w:color="auto"/>
            </w:tcBorders>
          </w:tcPr>
          <w:p w14:paraId="51AA7C68" w14:textId="77777777" w:rsidR="009F4766" w:rsidRPr="00DE12A3" w:rsidRDefault="009F4766" w:rsidP="00C917D6">
            <w:pPr>
              <w:pStyle w:val="NormalLeft"/>
            </w:pPr>
            <w:r w:rsidRPr="00DE12A3">
              <w:t>24</w:t>
            </w:r>
          </w:p>
        </w:tc>
        <w:tc>
          <w:tcPr>
            <w:tcW w:w="2551" w:type="dxa"/>
            <w:tcBorders>
              <w:top w:val="single" w:sz="2" w:space="0" w:color="auto"/>
              <w:left w:val="single" w:sz="2" w:space="0" w:color="auto"/>
              <w:bottom w:val="single" w:sz="2" w:space="0" w:color="auto"/>
              <w:right w:val="single" w:sz="2" w:space="0" w:color="auto"/>
            </w:tcBorders>
          </w:tcPr>
          <w:p w14:paraId="1473892F" w14:textId="77777777" w:rsidR="009F4766" w:rsidRPr="00DE12A3" w:rsidRDefault="009F4766" w:rsidP="00C917D6">
            <w:pPr>
              <w:pStyle w:val="NormalLeft"/>
            </w:pPr>
            <w:r w:rsidRPr="00DE12A3">
              <w:t>53</w:t>
            </w:r>
          </w:p>
        </w:tc>
      </w:tr>
      <w:tr w:rsidR="00DE12A3" w:rsidRPr="00DE12A3" w14:paraId="30705924" w14:textId="77777777" w:rsidTr="009F4766">
        <w:tc>
          <w:tcPr>
            <w:tcW w:w="1182" w:type="dxa"/>
            <w:tcBorders>
              <w:top w:val="single" w:sz="2" w:space="0" w:color="auto"/>
              <w:left w:val="single" w:sz="2" w:space="0" w:color="auto"/>
              <w:bottom w:val="single" w:sz="2" w:space="0" w:color="auto"/>
              <w:right w:val="single" w:sz="2" w:space="0" w:color="auto"/>
            </w:tcBorders>
          </w:tcPr>
          <w:p w14:paraId="752EDDEC" w14:textId="77777777" w:rsidR="009F4766" w:rsidRPr="00DE12A3" w:rsidRDefault="009F4766" w:rsidP="00C917D6">
            <w:pPr>
              <w:pStyle w:val="NormalLeft"/>
            </w:pPr>
            <w:r w:rsidRPr="00DE12A3">
              <w:t>655</w:t>
            </w:r>
          </w:p>
        </w:tc>
        <w:tc>
          <w:tcPr>
            <w:tcW w:w="2489" w:type="dxa"/>
            <w:tcBorders>
              <w:top w:val="single" w:sz="2" w:space="0" w:color="auto"/>
              <w:left w:val="single" w:sz="2" w:space="0" w:color="auto"/>
              <w:bottom w:val="single" w:sz="2" w:space="0" w:color="auto"/>
              <w:right w:val="single" w:sz="2" w:space="0" w:color="auto"/>
            </w:tcBorders>
          </w:tcPr>
          <w:p w14:paraId="22049269" w14:textId="77777777" w:rsidR="009F4766" w:rsidRPr="00DE12A3" w:rsidRDefault="009F4766" w:rsidP="00C917D6">
            <w:pPr>
              <w:pStyle w:val="NormalLeft"/>
            </w:pPr>
            <w:r w:rsidRPr="00DE12A3">
              <w:t>14</w:t>
            </w:r>
          </w:p>
        </w:tc>
        <w:tc>
          <w:tcPr>
            <w:tcW w:w="2551" w:type="dxa"/>
            <w:tcBorders>
              <w:top w:val="single" w:sz="2" w:space="0" w:color="auto"/>
              <w:left w:val="single" w:sz="2" w:space="0" w:color="auto"/>
              <w:bottom w:val="single" w:sz="2" w:space="0" w:color="auto"/>
              <w:right w:val="single" w:sz="2" w:space="0" w:color="auto"/>
            </w:tcBorders>
          </w:tcPr>
          <w:p w14:paraId="24717A5F" w14:textId="77777777" w:rsidR="009F4766" w:rsidRPr="00DE12A3" w:rsidRDefault="009F4766" w:rsidP="00C917D6">
            <w:pPr>
              <w:pStyle w:val="NormalLeft"/>
            </w:pPr>
            <w:r w:rsidRPr="00DE12A3">
              <w:t>57</w:t>
            </w:r>
          </w:p>
        </w:tc>
      </w:tr>
      <w:tr w:rsidR="00DE12A3" w:rsidRPr="00DE12A3" w14:paraId="4CCAEE45" w14:textId="77777777" w:rsidTr="009F4766">
        <w:tc>
          <w:tcPr>
            <w:tcW w:w="1182" w:type="dxa"/>
            <w:tcBorders>
              <w:top w:val="single" w:sz="2" w:space="0" w:color="auto"/>
              <w:left w:val="single" w:sz="2" w:space="0" w:color="auto"/>
              <w:bottom w:val="single" w:sz="2" w:space="0" w:color="auto"/>
              <w:right w:val="single" w:sz="2" w:space="0" w:color="auto"/>
            </w:tcBorders>
          </w:tcPr>
          <w:p w14:paraId="6118909E" w14:textId="77777777" w:rsidR="009F4766" w:rsidRPr="00DE12A3" w:rsidRDefault="009F4766" w:rsidP="00C917D6">
            <w:pPr>
              <w:pStyle w:val="NormalLeft"/>
            </w:pPr>
            <w:r w:rsidRPr="00DE12A3">
              <w:t>656</w:t>
            </w:r>
          </w:p>
        </w:tc>
        <w:tc>
          <w:tcPr>
            <w:tcW w:w="2489" w:type="dxa"/>
            <w:tcBorders>
              <w:top w:val="single" w:sz="2" w:space="0" w:color="auto"/>
              <w:left w:val="single" w:sz="2" w:space="0" w:color="auto"/>
              <w:bottom w:val="single" w:sz="2" w:space="0" w:color="auto"/>
              <w:right w:val="single" w:sz="2" w:space="0" w:color="auto"/>
            </w:tcBorders>
          </w:tcPr>
          <w:p w14:paraId="0670F5BD" w14:textId="77777777" w:rsidR="009F4766" w:rsidRPr="00DE12A3" w:rsidRDefault="009F4766" w:rsidP="00C917D6">
            <w:pPr>
              <w:pStyle w:val="NormalLeft"/>
            </w:pPr>
            <w:r w:rsidRPr="00DE12A3">
              <w:t>10</w:t>
            </w:r>
          </w:p>
        </w:tc>
        <w:tc>
          <w:tcPr>
            <w:tcW w:w="2551" w:type="dxa"/>
            <w:tcBorders>
              <w:top w:val="single" w:sz="2" w:space="0" w:color="auto"/>
              <w:left w:val="single" w:sz="2" w:space="0" w:color="auto"/>
              <w:bottom w:val="single" w:sz="2" w:space="0" w:color="auto"/>
              <w:right w:val="single" w:sz="2" w:space="0" w:color="auto"/>
            </w:tcBorders>
          </w:tcPr>
          <w:p w14:paraId="368FFC33" w14:textId="77777777" w:rsidR="009F4766" w:rsidRPr="00DE12A3" w:rsidRDefault="009F4766" w:rsidP="00C917D6">
            <w:pPr>
              <w:pStyle w:val="NormalLeft"/>
            </w:pPr>
            <w:r w:rsidRPr="00DE12A3">
              <w:t>54</w:t>
            </w:r>
          </w:p>
        </w:tc>
      </w:tr>
      <w:tr w:rsidR="00DE12A3" w:rsidRPr="00DE12A3" w14:paraId="18681C12" w14:textId="77777777" w:rsidTr="009F4766">
        <w:tc>
          <w:tcPr>
            <w:tcW w:w="1182" w:type="dxa"/>
            <w:tcBorders>
              <w:top w:val="single" w:sz="2" w:space="0" w:color="auto"/>
              <w:left w:val="single" w:sz="2" w:space="0" w:color="auto"/>
              <w:bottom w:val="single" w:sz="2" w:space="0" w:color="auto"/>
              <w:right w:val="single" w:sz="2" w:space="0" w:color="auto"/>
            </w:tcBorders>
          </w:tcPr>
          <w:p w14:paraId="20239A52" w14:textId="77777777" w:rsidR="009F4766" w:rsidRPr="00DE12A3" w:rsidRDefault="009F4766" w:rsidP="00C917D6">
            <w:pPr>
              <w:pStyle w:val="NormalLeft"/>
            </w:pPr>
            <w:r w:rsidRPr="00DE12A3">
              <w:t>657</w:t>
            </w:r>
          </w:p>
        </w:tc>
        <w:tc>
          <w:tcPr>
            <w:tcW w:w="2489" w:type="dxa"/>
            <w:tcBorders>
              <w:top w:val="single" w:sz="2" w:space="0" w:color="auto"/>
              <w:left w:val="single" w:sz="2" w:space="0" w:color="auto"/>
              <w:bottom w:val="single" w:sz="2" w:space="0" w:color="auto"/>
              <w:right w:val="single" w:sz="2" w:space="0" w:color="auto"/>
            </w:tcBorders>
          </w:tcPr>
          <w:p w14:paraId="10E3F9AF" w14:textId="77777777" w:rsidR="009F4766" w:rsidRPr="00DE12A3" w:rsidRDefault="009F4766" w:rsidP="00C917D6">
            <w:pPr>
              <w:pStyle w:val="NormalLeft"/>
            </w:pPr>
            <w:r w:rsidRPr="00DE12A3">
              <w:t>9</w:t>
            </w:r>
          </w:p>
        </w:tc>
        <w:tc>
          <w:tcPr>
            <w:tcW w:w="2551" w:type="dxa"/>
            <w:tcBorders>
              <w:top w:val="single" w:sz="2" w:space="0" w:color="auto"/>
              <w:left w:val="single" w:sz="2" w:space="0" w:color="auto"/>
              <w:bottom w:val="single" w:sz="2" w:space="0" w:color="auto"/>
              <w:right w:val="single" w:sz="2" w:space="0" w:color="auto"/>
            </w:tcBorders>
          </w:tcPr>
          <w:p w14:paraId="14EE6367" w14:textId="77777777" w:rsidR="009F4766" w:rsidRPr="00DE12A3" w:rsidRDefault="009F4766" w:rsidP="00C917D6">
            <w:pPr>
              <w:pStyle w:val="NormalLeft"/>
            </w:pPr>
            <w:r w:rsidRPr="00DE12A3">
              <w:t>55</w:t>
            </w:r>
          </w:p>
        </w:tc>
      </w:tr>
      <w:tr w:rsidR="00DE12A3" w:rsidRPr="00DE12A3" w14:paraId="571ABB19" w14:textId="77777777" w:rsidTr="009F4766">
        <w:tc>
          <w:tcPr>
            <w:tcW w:w="1182" w:type="dxa"/>
            <w:tcBorders>
              <w:top w:val="single" w:sz="2" w:space="0" w:color="auto"/>
              <w:left w:val="single" w:sz="2" w:space="0" w:color="auto"/>
              <w:bottom w:val="single" w:sz="2" w:space="0" w:color="auto"/>
              <w:right w:val="single" w:sz="2" w:space="0" w:color="auto"/>
            </w:tcBorders>
          </w:tcPr>
          <w:p w14:paraId="6D09941C" w14:textId="77777777" w:rsidR="009F4766" w:rsidRPr="00DE12A3" w:rsidRDefault="009F4766" w:rsidP="00C917D6">
            <w:pPr>
              <w:pStyle w:val="NormalLeft"/>
            </w:pPr>
            <w:r w:rsidRPr="00DE12A3">
              <w:t>658</w:t>
            </w:r>
          </w:p>
        </w:tc>
        <w:tc>
          <w:tcPr>
            <w:tcW w:w="2489" w:type="dxa"/>
            <w:tcBorders>
              <w:top w:val="single" w:sz="2" w:space="0" w:color="auto"/>
              <w:left w:val="single" w:sz="2" w:space="0" w:color="auto"/>
              <w:bottom w:val="single" w:sz="2" w:space="0" w:color="auto"/>
              <w:right w:val="single" w:sz="2" w:space="0" w:color="auto"/>
            </w:tcBorders>
          </w:tcPr>
          <w:p w14:paraId="2383F182" w14:textId="77777777" w:rsidR="009F4766" w:rsidRPr="00DE12A3" w:rsidRDefault="009F4766" w:rsidP="00C917D6">
            <w:pPr>
              <w:pStyle w:val="NormalLeft"/>
            </w:pPr>
            <w:r w:rsidRPr="00DE12A3">
              <w:t>10</w:t>
            </w:r>
          </w:p>
        </w:tc>
        <w:tc>
          <w:tcPr>
            <w:tcW w:w="2551" w:type="dxa"/>
            <w:tcBorders>
              <w:top w:val="single" w:sz="2" w:space="0" w:color="auto"/>
              <w:left w:val="single" w:sz="2" w:space="0" w:color="auto"/>
              <w:bottom w:val="single" w:sz="2" w:space="0" w:color="auto"/>
              <w:right w:val="single" w:sz="2" w:space="0" w:color="auto"/>
            </w:tcBorders>
          </w:tcPr>
          <w:p w14:paraId="17D4BB1B" w14:textId="77777777" w:rsidR="009F4766" w:rsidRPr="00DE12A3" w:rsidRDefault="009F4766" w:rsidP="00C917D6">
            <w:pPr>
              <w:pStyle w:val="NormalLeft"/>
            </w:pPr>
            <w:r w:rsidRPr="00DE12A3">
              <w:t>57</w:t>
            </w:r>
          </w:p>
        </w:tc>
      </w:tr>
      <w:tr w:rsidR="00DE12A3" w:rsidRPr="00DE12A3" w14:paraId="2C4BD365" w14:textId="77777777" w:rsidTr="009F4766">
        <w:tc>
          <w:tcPr>
            <w:tcW w:w="1182" w:type="dxa"/>
            <w:tcBorders>
              <w:top w:val="single" w:sz="2" w:space="0" w:color="auto"/>
              <w:left w:val="single" w:sz="2" w:space="0" w:color="auto"/>
              <w:bottom w:val="single" w:sz="2" w:space="0" w:color="auto"/>
              <w:right w:val="single" w:sz="2" w:space="0" w:color="auto"/>
            </w:tcBorders>
          </w:tcPr>
          <w:p w14:paraId="37888214" w14:textId="77777777" w:rsidR="009F4766" w:rsidRPr="00DE12A3" w:rsidRDefault="009F4766" w:rsidP="00C917D6">
            <w:pPr>
              <w:pStyle w:val="NormalLeft"/>
            </w:pPr>
            <w:r w:rsidRPr="00DE12A3">
              <w:t>659</w:t>
            </w:r>
          </w:p>
        </w:tc>
        <w:tc>
          <w:tcPr>
            <w:tcW w:w="2489" w:type="dxa"/>
            <w:tcBorders>
              <w:top w:val="single" w:sz="2" w:space="0" w:color="auto"/>
              <w:left w:val="single" w:sz="2" w:space="0" w:color="auto"/>
              <w:bottom w:val="single" w:sz="2" w:space="0" w:color="auto"/>
              <w:right w:val="single" w:sz="2" w:space="0" w:color="auto"/>
            </w:tcBorders>
          </w:tcPr>
          <w:p w14:paraId="0AF3047F" w14:textId="77777777" w:rsidR="009F4766" w:rsidRPr="00DE12A3" w:rsidRDefault="009F4766" w:rsidP="00C917D6">
            <w:pPr>
              <w:pStyle w:val="NormalLeft"/>
            </w:pPr>
            <w:r w:rsidRPr="00DE12A3">
              <w:t>13</w:t>
            </w:r>
          </w:p>
        </w:tc>
        <w:tc>
          <w:tcPr>
            <w:tcW w:w="2551" w:type="dxa"/>
            <w:tcBorders>
              <w:top w:val="single" w:sz="2" w:space="0" w:color="auto"/>
              <w:left w:val="single" w:sz="2" w:space="0" w:color="auto"/>
              <w:bottom w:val="single" w:sz="2" w:space="0" w:color="auto"/>
              <w:right w:val="single" w:sz="2" w:space="0" w:color="auto"/>
            </w:tcBorders>
          </w:tcPr>
          <w:p w14:paraId="28003DB3" w14:textId="77777777" w:rsidR="009F4766" w:rsidRPr="00DE12A3" w:rsidRDefault="009F4766" w:rsidP="00C917D6">
            <w:pPr>
              <w:pStyle w:val="NormalLeft"/>
            </w:pPr>
            <w:r w:rsidRPr="00DE12A3">
              <w:t>55</w:t>
            </w:r>
          </w:p>
        </w:tc>
      </w:tr>
      <w:tr w:rsidR="00DE12A3" w:rsidRPr="00DE12A3" w14:paraId="6D4E77C3" w14:textId="77777777" w:rsidTr="009F4766">
        <w:tc>
          <w:tcPr>
            <w:tcW w:w="1182" w:type="dxa"/>
            <w:tcBorders>
              <w:top w:val="single" w:sz="2" w:space="0" w:color="auto"/>
              <w:left w:val="single" w:sz="2" w:space="0" w:color="auto"/>
              <w:bottom w:val="single" w:sz="2" w:space="0" w:color="auto"/>
              <w:right w:val="single" w:sz="2" w:space="0" w:color="auto"/>
            </w:tcBorders>
          </w:tcPr>
          <w:p w14:paraId="73F99B96" w14:textId="77777777" w:rsidR="009F4766" w:rsidRPr="00DE12A3" w:rsidRDefault="009F4766" w:rsidP="00C917D6">
            <w:pPr>
              <w:pStyle w:val="NormalLeft"/>
            </w:pPr>
            <w:r w:rsidRPr="00DE12A3">
              <w:t>660</w:t>
            </w:r>
          </w:p>
        </w:tc>
        <w:tc>
          <w:tcPr>
            <w:tcW w:w="2489" w:type="dxa"/>
            <w:tcBorders>
              <w:top w:val="single" w:sz="2" w:space="0" w:color="auto"/>
              <w:left w:val="single" w:sz="2" w:space="0" w:color="auto"/>
              <w:bottom w:val="single" w:sz="2" w:space="0" w:color="auto"/>
              <w:right w:val="single" w:sz="2" w:space="0" w:color="auto"/>
            </w:tcBorders>
          </w:tcPr>
          <w:p w14:paraId="49D2B7C9" w14:textId="77777777" w:rsidR="009F4766" w:rsidRPr="00DE12A3" w:rsidRDefault="009F4766" w:rsidP="00C917D6">
            <w:pPr>
              <w:pStyle w:val="NormalLeft"/>
            </w:pPr>
            <w:r w:rsidRPr="00DE12A3">
              <w:t>15</w:t>
            </w:r>
          </w:p>
        </w:tc>
        <w:tc>
          <w:tcPr>
            <w:tcW w:w="2551" w:type="dxa"/>
            <w:tcBorders>
              <w:top w:val="single" w:sz="2" w:space="0" w:color="auto"/>
              <w:left w:val="single" w:sz="2" w:space="0" w:color="auto"/>
              <w:bottom w:val="single" w:sz="2" w:space="0" w:color="auto"/>
              <w:right w:val="single" w:sz="2" w:space="0" w:color="auto"/>
            </w:tcBorders>
          </w:tcPr>
          <w:p w14:paraId="33E1823F" w14:textId="77777777" w:rsidR="009F4766" w:rsidRPr="00DE12A3" w:rsidRDefault="009F4766" w:rsidP="00C917D6">
            <w:pPr>
              <w:pStyle w:val="NormalLeft"/>
            </w:pPr>
            <w:r w:rsidRPr="00DE12A3">
              <w:t>64</w:t>
            </w:r>
          </w:p>
        </w:tc>
      </w:tr>
      <w:tr w:rsidR="00DE12A3" w:rsidRPr="00DE12A3" w14:paraId="4CAD3F79" w14:textId="77777777" w:rsidTr="009F4766">
        <w:tc>
          <w:tcPr>
            <w:tcW w:w="1182" w:type="dxa"/>
            <w:tcBorders>
              <w:top w:val="single" w:sz="2" w:space="0" w:color="auto"/>
              <w:left w:val="single" w:sz="2" w:space="0" w:color="auto"/>
              <w:bottom w:val="single" w:sz="2" w:space="0" w:color="auto"/>
              <w:right w:val="single" w:sz="2" w:space="0" w:color="auto"/>
            </w:tcBorders>
          </w:tcPr>
          <w:p w14:paraId="76555B9D" w14:textId="77777777" w:rsidR="009F4766" w:rsidRPr="00DE12A3" w:rsidRDefault="009F4766" w:rsidP="00C917D6">
            <w:pPr>
              <w:pStyle w:val="NormalLeft"/>
            </w:pPr>
            <w:r w:rsidRPr="00DE12A3">
              <w:t>661</w:t>
            </w:r>
          </w:p>
        </w:tc>
        <w:tc>
          <w:tcPr>
            <w:tcW w:w="2489" w:type="dxa"/>
            <w:tcBorders>
              <w:top w:val="single" w:sz="2" w:space="0" w:color="auto"/>
              <w:left w:val="single" w:sz="2" w:space="0" w:color="auto"/>
              <w:bottom w:val="single" w:sz="2" w:space="0" w:color="auto"/>
              <w:right w:val="single" w:sz="2" w:space="0" w:color="auto"/>
            </w:tcBorders>
          </w:tcPr>
          <w:p w14:paraId="43A885E7" w14:textId="77777777" w:rsidR="009F4766" w:rsidRPr="00DE12A3" w:rsidRDefault="009F4766" w:rsidP="00C917D6">
            <w:pPr>
              <w:pStyle w:val="NormalLeft"/>
            </w:pPr>
            <w:r w:rsidRPr="00DE12A3">
              <w:t>31</w:t>
            </w:r>
          </w:p>
        </w:tc>
        <w:tc>
          <w:tcPr>
            <w:tcW w:w="2551" w:type="dxa"/>
            <w:tcBorders>
              <w:top w:val="single" w:sz="2" w:space="0" w:color="auto"/>
              <w:left w:val="single" w:sz="2" w:space="0" w:color="auto"/>
              <w:bottom w:val="single" w:sz="2" w:space="0" w:color="auto"/>
              <w:right w:val="single" w:sz="2" w:space="0" w:color="auto"/>
            </w:tcBorders>
          </w:tcPr>
          <w:p w14:paraId="3325D01A" w14:textId="77777777" w:rsidR="009F4766" w:rsidRPr="00DE12A3" w:rsidRDefault="009F4766" w:rsidP="00C917D6">
            <w:pPr>
              <w:pStyle w:val="NormalLeft"/>
            </w:pPr>
            <w:r w:rsidRPr="00DE12A3">
              <w:t>57</w:t>
            </w:r>
          </w:p>
        </w:tc>
      </w:tr>
      <w:tr w:rsidR="00DE12A3" w:rsidRPr="00DE12A3" w14:paraId="63C6E56F" w14:textId="77777777" w:rsidTr="009F4766">
        <w:tc>
          <w:tcPr>
            <w:tcW w:w="1182" w:type="dxa"/>
            <w:tcBorders>
              <w:top w:val="single" w:sz="2" w:space="0" w:color="auto"/>
              <w:left w:val="single" w:sz="2" w:space="0" w:color="auto"/>
              <w:bottom w:val="single" w:sz="2" w:space="0" w:color="auto"/>
              <w:right w:val="single" w:sz="2" w:space="0" w:color="auto"/>
            </w:tcBorders>
          </w:tcPr>
          <w:p w14:paraId="2D68F07B" w14:textId="77777777" w:rsidR="009F4766" w:rsidRPr="00DE12A3" w:rsidRDefault="009F4766" w:rsidP="00C917D6">
            <w:pPr>
              <w:pStyle w:val="NormalLeft"/>
            </w:pPr>
            <w:r w:rsidRPr="00DE12A3">
              <w:t>662</w:t>
            </w:r>
          </w:p>
        </w:tc>
        <w:tc>
          <w:tcPr>
            <w:tcW w:w="2489" w:type="dxa"/>
            <w:tcBorders>
              <w:top w:val="single" w:sz="2" w:space="0" w:color="auto"/>
              <w:left w:val="single" w:sz="2" w:space="0" w:color="auto"/>
              <w:bottom w:val="single" w:sz="2" w:space="0" w:color="auto"/>
              <w:right w:val="single" w:sz="2" w:space="0" w:color="auto"/>
            </w:tcBorders>
          </w:tcPr>
          <w:p w14:paraId="2DDE6B43" w14:textId="77777777" w:rsidR="009F4766" w:rsidRPr="00DE12A3" w:rsidRDefault="009F4766" w:rsidP="00C917D6">
            <w:pPr>
              <w:pStyle w:val="NormalLeft"/>
            </w:pPr>
            <w:r w:rsidRPr="00DE12A3">
              <w:t>19</w:t>
            </w:r>
          </w:p>
        </w:tc>
        <w:tc>
          <w:tcPr>
            <w:tcW w:w="2551" w:type="dxa"/>
            <w:tcBorders>
              <w:top w:val="single" w:sz="2" w:space="0" w:color="auto"/>
              <w:left w:val="single" w:sz="2" w:space="0" w:color="auto"/>
              <w:bottom w:val="single" w:sz="2" w:space="0" w:color="auto"/>
              <w:right w:val="single" w:sz="2" w:space="0" w:color="auto"/>
            </w:tcBorders>
          </w:tcPr>
          <w:p w14:paraId="48C5B53E" w14:textId="77777777" w:rsidR="009F4766" w:rsidRPr="00DE12A3" w:rsidRDefault="009F4766" w:rsidP="00C917D6">
            <w:pPr>
              <w:pStyle w:val="NormalLeft"/>
            </w:pPr>
            <w:r w:rsidRPr="00DE12A3">
              <w:t>69</w:t>
            </w:r>
          </w:p>
        </w:tc>
      </w:tr>
      <w:tr w:rsidR="00DE12A3" w:rsidRPr="00DE12A3" w14:paraId="34BED1FE" w14:textId="77777777" w:rsidTr="009F4766">
        <w:tc>
          <w:tcPr>
            <w:tcW w:w="1182" w:type="dxa"/>
            <w:tcBorders>
              <w:top w:val="single" w:sz="2" w:space="0" w:color="auto"/>
              <w:left w:val="single" w:sz="2" w:space="0" w:color="auto"/>
              <w:bottom w:val="single" w:sz="2" w:space="0" w:color="auto"/>
              <w:right w:val="single" w:sz="2" w:space="0" w:color="auto"/>
            </w:tcBorders>
          </w:tcPr>
          <w:p w14:paraId="605CD253" w14:textId="77777777" w:rsidR="009F4766" w:rsidRPr="00DE12A3" w:rsidRDefault="009F4766" w:rsidP="00C917D6">
            <w:pPr>
              <w:pStyle w:val="NormalLeft"/>
            </w:pPr>
            <w:r w:rsidRPr="00DE12A3">
              <w:t>663</w:t>
            </w:r>
          </w:p>
        </w:tc>
        <w:tc>
          <w:tcPr>
            <w:tcW w:w="2489" w:type="dxa"/>
            <w:tcBorders>
              <w:top w:val="single" w:sz="2" w:space="0" w:color="auto"/>
              <w:left w:val="single" w:sz="2" w:space="0" w:color="auto"/>
              <w:bottom w:val="single" w:sz="2" w:space="0" w:color="auto"/>
              <w:right w:val="single" w:sz="2" w:space="0" w:color="auto"/>
            </w:tcBorders>
          </w:tcPr>
          <w:p w14:paraId="63FDB5C8" w14:textId="77777777" w:rsidR="009F4766" w:rsidRPr="00DE12A3" w:rsidRDefault="009F4766" w:rsidP="00C917D6">
            <w:pPr>
              <w:pStyle w:val="NormalLeft"/>
            </w:pPr>
            <w:r w:rsidRPr="00DE12A3">
              <w:t>14</w:t>
            </w:r>
          </w:p>
        </w:tc>
        <w:tc>
          <w:tcPr>
            <w:tcW w:w="2551" w:type="dxa"/>
            <w:tcBorders>
              <w:top w:val="single" w:sz="2" w:space="0" w:color="auto"/>
              <w:left w:val="single" w:sz="2" w:space="0" w:color="auto"/>
              <w:bottom w:val="single" w:sz="2" w:space="0" w:color="auto"/>
              <w:right w:val="single" w:sz="2" w:space="0" w:color="auto"/>
            </w:tcBorders>
          </w:tcPr>
          <w:p w14:paraId="1733AE9F" w14:textId="77777777" w:rsidR="009F4766" w:rsidRPr="00DE12A3" w:rsidRDefault="009F4766" w:rsidP="00C917D6">
            <w:pPr>
              <w:pStyle w:val="NormalLeft"/>
            </w:pPr>
            <w:r w:rsidRPr="00DE12A3">
              <w:t>59</w:t>
            </w:r>
          </w:p>
        </w:tc>
      </w:tr>
      <w:tr w:rsidR="00DE12A3" w:rsidRPr="00DE12A3" w14:paraId="185961B7" w14:textId="77777777" w:rsidTr="009F4766">
        <w:tc>
          <w:tcPr>
            <w:tcW w:w="1182" w:type="dxa"/>
            <w:tcBorders>
              <w:top w:val="single" w:sz="2" w:space="0" w:color="auto"/>
              <w:left w:val="single" w:sz="2" w:space="0" w:color="auto"/>
              <w:bottom w:val="single" w:sz="2" w:space="0" w:color="auto"/>
              <w:right w:val="single" w:sz="2" w:space="0" w:color="auto"/>
            </w:tcBorders>
          </w:tcPr>
          <w:p w14:paraId="178ADB03" w14:textId="77777777" w:rsidR="009F4766" w:rsidRPr="00DE12A3" w:rsidRDefault="009F4766" w:rsidP="00C917D6">
            <w:pPr>
              <w:pStyle w:val="NormalLeft"/>
            </w:pPr>
            <w:r w:rsidRPr="00DE12A3">
              <w:t>664</w:t>
            </w:r>
          </w:p>
        </w:tc>
        <w:tc>
          <w:tcPr>
            <w:tcW w:w="2489" w:type="dxa"/>
            <w:tcBorders>
              <w:top w:val="single" w:sz="2" w:space="0" w:color="auto"/>
              <w:left w:val="single" w:sz="2" w:space="0" w:color="auto"/>
              <w:bottom w:val="single" w:sz="2" w:space="0" w:color="auto"/>
              <w:right w:val="single" w:sz="2" w:space="0" w:color="auto"/>
            </w:tcBorders>
          </w:tcPr>
          <w:p w14:paraId="4500BE7B" w14:textId="77777777" w:rsidR="009F4766" w:rsidRPr="00DE12A3" w:rsidRDefault="009F4766" w:rsidP="00C917D6">
            <w:pPr>
              <w:pStyle w:val="NormalLeft"/>
            </w:pPr>
            <w:r w:rsidRPr="00DE12A3">
              <w:t>33</w:t>
            </w:r>
          </w:p>
        </w:tc>
        <w:tc>
          <w:tcPr>
            <w:tcW w:w="2551" w:type="dxa"/>
            <w:tcBorders>
              <w:top w:val="single" w:sz="2" w:space="0" w:color="auto"/>
              <w:left w:val="single" w:sz="2" w:space="0" w:color="auto"/>
              <w:bottom w:val="single" w:sz="2" w:space="0" w:color="auto"/>
              <w:right w:val="single" w:sz="2" w:space="0" w:color="auto"/>
            </w:tcBorders>
          </w:tcPr>
          <w:p w14:paraId="48985DF5" w14:textId="77777777" w:rsidR="009F4766" w:rsidRPr="00DE12A3" w:rsidRDefault="009F4766" w:rsidP="00C917D6">
            <w:pPr>
              <w:pStyle w:val="NormalLeft"/>
            </w:pPr>
            <w:r w:rsidRPr="00DE12A3">
              <w:t>57</w:t>
            </w:r>
          </w:p>
        </w:tc>
      </w:tr>
      <w:tr w:rsidR="00DE12A3" w:rsidRPr="00DE12A3" w14:paraId="1364E5CA" w14:textId="77777777" w:rsidTr="009F4766">
        <w:tc>
          <w:tcPr>
            <w:tcW w:w="1182" w:type="dxa"/>
            <w:tcBorders>
              <w:top w:val="single" w:sz="2" w:space="0" w:color="auto"/>
              <w:left w:val="single" w:sz="2" w:space="0" w:color="auto"/>
              <w:bottom w:val="single" w:sz="2" w:space="0" w:color="auto"/>
              <w:right w:val="single" w:sz="2" w:space="0" w:color="auto"/>
            </w:tcBorders>
          </w:tcPr>
          <w:p w14:paraId="38065790" w14:textId="77777777" w:rsidR="009F4766" w:rsidRPr="00DE12A3" w:rsidRDefault="009F4766" w:rsidP="00C917D6">
            <w:pPr>
              <w:pStyle w:val="NormalLeft"/>
            </w:pPr>
            <w:r w:rsidRPr="00DE12A3">
              <w:t>665</w:t>
            </w:r>
          </w:p>
        </w:tc>
        <w:tc>
          <w:tcPr>
            <w:tcW w:w="2489" w:type="dxa"/>
            <w:tcBorders>
              <w:top w:val="single" w:sz="2" w:space="0" w:color="auto"/>
              <w:left w:val="single" w:sz="2" w:space="0" w:color="auto"/>
              <w:bottom w:val="single" w:sz="2" w:space="0" w:color="auto"/>
              <w:right w:val="single" w:sz="2" w:space="0" w:color="auto"/>
            </w:tcBorders>
          </w:tcPr>
          <w:p w14:paraId="6659FDFC" w14:textId="77777777" w:rsidR="009F4766" w:rsidRPr="00DE12A3" w:rsidRDefault="009F4766" w:rsidP="00C917D6">
            <w:pPr>
              <w:pStyle w:val="NormalLeft"/>
            </w:pPr>
            <w:r w:rsidRPr="00DE12A3">
              <w:t>41</w:t>
            </w:r>
          </w:p>
        </w:tc>
        <w:tc>
          <w:tcPr>
            <w:tcW w:w="2551" w:type="dxa"/>
            <w:tcBorders>
              <w:top w:val="single" w:sz="2" w:space="0" w:color="auto"/>
              <w:left w:val="single" w:sz="2" w:space="0" w:color="auto"/>
              <w:bottom w:val="single" w:sz="2" w:space="0" w:color="auto"/>
              <w:right w:val="single" w:sz="2" w:space="0" w:color="auto"/>
            </w:tcBorders>
          </w:tcPr>
          <w:p w14:paraId="2571A21C" w14:textId="77777777" w:rsidR="009F4766" w:rsidRPr="00DE12A3" w:rsidRDefault="009F4766" w:rsidP="00C917D6">
            <w:pPr>
              <w:pStyle w:val="NormalLeft"/>
            </w:pPr>
            <w:r w:rsidRPr="00DE12A3">
              <w:t>65</w:t>
            </w:r>
          </w:p>
        </w:tc>
      </w:tr>
      <w:tr w:rsidR="00DE12A3" w:rsidRPr="00DE12A3" w14:paraId="043CC61E" w14:textId="77777777" w:rsidTr="009F4766">
        <w:tc>
          <w:tcPr>
            <w:tcW w:w="1182" w:type="dxa"/>
            <w:tcBorders>
              <w:top w:val="single" w:sz="2" w:space="0" w:color="auto"/>
              <w:left w:val="single" w:sz="2" w:space="0" w:color="auto"/>
              <w:bottom w:val="single" w:sz="2" w:space="0" w:color="auto"/>
              <w:right w:val="single" w:sz="2" w:space="0" w:color="auto"/>
            </w:tcBorders>
          </w:tcPr>
          <w:p w14:paraId="20D03327" w14:textId="77777777" w:rsidR="009F4766" w:rsidRPr="00DE12A3" w:rsidRDefault="009F4766" w:rsidP="00C917D6">
            <w:pPr>
              <w:pStyle w:val="NormalLeft"/>
            </w:pPr>
            <w:r w:rsidRPr="00DE12A3">
              <w:t>666</w:t>
            </w:r>
          </w:p>
        </w:tc>
        <w:tc>
          <w:tcPr>
            <w:tcW w:w="2489" w:type="dxa"/>
            <w:tcBorders>
              <w:top w:val="single" w:sz="2" w:space="0" w:color="auto"/>
              <w:left w:val="single" w:sz="2" w:space="0" w:color="auto"/>
              <w:bottom w:val="single" w:sz="2" w:space="0" w:color="auto"/>
              <w:right w:val="single" w:sz="2" w:space="0" w:color="auto"/>
            </w:tcBorders>
          </w:tcPr>
          <w:p w14:paraId="6E471E8E" w14:textId="77777777" w:rsidR="009F4766" w:rsidRPr="00DE12A3" w:rsidRDefault="009F4766" w:rsidP="00C917D6">
            <w:pPr>
              <w:pStyle w:val="NormalLeft"/>
            </w:pPr>
            <w:r w:rsidRPr="00DE12A3">
              <w:t>39</w:t>
            </w:r>
          </w:p>
        </w:tc>
        <w:tc>
          <w:tcPr>
            <w:tcW w:w="2551" w:type="dxa"/>
            <w:tcBorders>
              <w:top w:val="single" w:sz="2" w:space="0" w:color="auto"/>
              <w:left w:val="single" w:sz="2" w:space="0" w:color="auto"/>
              <w:bottom w:val="single" w:sz="2" w:space="0" w:color="auto"/>
              <w:right w:val="single" w:sz="2" w:space="0" w:color="auto"/>
            </w:tcBorders>
          </w:tcPr>
          <w:p w14:paraId="396C210D" w14:textId="77777777" w:rsidR="009F4766" w:rsidRPr="00DE12A3" w:rsidRDefault="009F4766" w:rsidP="00C917D6">
            <w:pPr>
              <w:pStyle w:val="NormalLeft"/>
            </w:pPr>
            <w:r w:rsidRPr="00DE12A3">
              <w:t>64</w:t>
            </w:r>
          </w:p>
        </w:tc>
      </w:tr>
      <w:tr w:rsidR="00DE12A3" w:rsidRPr="00DE12A3" w14:paraId="54271A6F" w14:textId="77777777" w:rsidTr="009F4766">
        <w:tc>
          <w:tcPr>
            <w:tcW w:w="1182" w:type="dxa"/>
            <w:tcBorders>
              <w:top w:val="single" w:sz="2" w:space="0" w:color="auto"/>
              <w:left w:val="single" w:sz="2" w:space="0" w:color="auto"/>
              <w:bottom w:val="single" w:sz="2" w:space="0" w:color="auto"/>
              <w:right w:val="single" w:sz="2" w:space="0" w:color="auto"/>
            </w:tcBorders>
          </w:tcPr>
          <w:p w14:paraId="2A8930EF" w14:textId="77777777" w:rsidR="009F4766" w:rsidRPr="00DE12A3" w:rsidRDefault="009F4766" w:rsidP="00C917D6">
            <w:pPr>
              <w:pStyle w:val="NormalLeft"/>
            </w:pPr>
            <w:r w:rsidRPr="00DE12A3">
              <w:t>667</w:t>
            </w:r>
          </w:p>
        </w:tc>
        <w:tc>
          <w:tcPr>
            <w:tcW w:w="2489" w:type="dxa"/>
            <w:tcBorders>
              <w:top w:val="single" w:sz="2" w:space="0" w:color="auto"/>
              <w:left w:val="single" w:sz="2" w:space="0" w:color="auto"/>
              <w:bottom w:val="single" w:sz="2" w:space="0" w:color="auto"/>
              <w:right w:val="single" w:sz="2" w:space="0" w:color="auto"/>
            </w:tcBorders>
          </w:tcPr>
          <w:p w14:paraId="6C2717F7" w14:textId="77777777" w:rsidR="009F4766" w:rsidRPr="00DE12A3" w:rsidRDefault="009F4766" w:rsidP="00C917D6">
            <w:pPr>
              <w:pStyle w:val="NormalLeft"/>
            </w:pPr>
            <w:r w:rsidRPr="00DE12A3">
              <w:t>39</w:t>
            </w:r>
          </w:p>
        </w:tc>
        <w:tc>
          <w:tcPr>
            <w:tcW w:w="2551" w:type="dxa"/>
            <w:tcBorders>
              <w:top w:val="single" w:sz="2" w:space="0" w:color="auto"/>
              <w:left w:val="single" w:sz="2" w:space="0" w:color="auto"/>
              <w:bottom w:val="single" w:sz="2" w:space="0" w:color="auto"/>
              <w:right w:val="single" w:sz="2" w:space="0" w:color="auto"/>
            </w:tcBorders>
          </w:tcPr>
          <w:p w14:paraId="32CF4216" w14:textId="77777777" w:rsidR="009F4766" w:rsidRPr="00DE12A3" w:rsidRDefault="009F4766" w:rsidP="00C917D6">
            <w:pPr>
              <w:pStyle w:val="NormalLeft"/>
            </w:pPr>
            <w:r w:rsidRPr="00DE12A3">
              <w:t>59</w:t>
            </w:r>
          </w:p>
        </w:tc>
      </w:tr>
      <w:tr w:rsidR="00DE12A3" w:rsidRPr="00DE12A3" w14:paraId="11FA4BE6" w14:textId="77777777" w:rsidTr="009F4766">
        <w:tc>
          <w:tcPr>
            <w:tcW w:w="1182" w:type="dxa"/>
            <w:tcBorders>
              <w:top w:val="single" w:sz="2" w:space="0" w:color="auto"/>
              <w:left w:val="single" w:sz="2" w:space="0" w:color="auto"/>
              <w:bottom w:val="single" w:sz="2" w:space="0" w:color="auto"/>
              <w:right w:val="single" w:sz="2" w:space="0" w:color="auto"/>
            </w:tcBorders>
          </w:tcPr>
          <w:p w14:paraId="7B2E095C" w14:textId="77777777" w:rsidR="009F4766" w:rsidRPr="00DE12A3" w:rsidRDefault="009F4766" w:rsidP="00C917D6">
            <w:pPr>
              <w:pStyle w:val="NormalLeft"/>
            </w:pPr>
            <w:r w:rsidRPr="00DE12A3">
              <w:t>668</w:t>
            </w:r>
          </w:p>
        </w:tc>
        <w:tc>
          <w:tcPr>
            <w:tcW w:w="2489" w:type="dxa"/>
            <w:tcBorders>
              <w:top w:val="single" w:sz="2" w:space="0" w:color="auto"/>
              <w:left w:val="single" w:sz="2" w:space="0" w:color="auto"/>
              <w:bottom w:val="single" w:sz="2" w:space="0" w:color="auto"/>
              <w:right w:val="single" w:sz="2" w:space="0" w:color="auto"/>
            </w:tcBorders>
          </w:tcPr>
          <w:p w14:paraId="302A03FC" w14:textId="77777777" w:rsidR="009F4766" w:rsidRPr="00DE12A3" w:rsidRDefault="009F4766" w:rsidP="00C917D6">
            <w:pPr>
              <w:pStyle w:val="NormalLeft"/>
            </w:pPr>
            <w:r w:rsidRPr="00DE12A3">
              <w:t>39</w:t>
            </w:r>
          </w:p>
        </w:tc>
        <w:tc>
          <w:tcPr>
            <w:tcW w:w="2551" w:type="dxa"/>
            <w:tcBorders>
              <w:top w:val="single" w:sz="2" w:space="0" w:color="auto"/>
              <w:left w:val="single" w:sz="2" w:space="0" w:color="auto"/>
              <w:bottom w:val="single" w:sz="2" w:space="0" w:color="auto"/>
              <w:right w:val="single" w:sz="2" w:space="0" w:color="auto"/>
            </w:tcBorders>
          </w:tcPr>
          <w:p w14:paraId="56E7B43C" w14:textId="77777777" w:rsidR="009F4766" w:rsidRPr="00DE12A3" w:rsidRDefault="009F4766" w:rsidP="00C917D6">
            <w:pPr>
              <w:pStyle w:val="NormalLeft"/>
            </w:pPr>
            <w:r w:rsidRPr="00DE12A3">
              <w:t>51</w:t>
            </w:r>
          </w:p>
        </w:tc>
      </w:tr>
      <w:tr w:rsidR="00DE12A3" w:rsidRPr="00DE12A3" w14:paraId="27D422D9" w14:textId="77777777" w:rsidTr="009F4766">
        <w:tc>
          <w:tcPr>
            <w:tcW w:w="1182" w:type="dxa"/>
            <w:tcBorders>
              <w:top w:val="single" w:sz="2" w:space="0" w:color="auto"/>
              <w:left w:val="single" w:sz="2" w:space="0" w:color="auto"/>
              <w:bottom w:val="single" w:sz="2" w:space="0" w:color="auto"/>
              <w:right w:val="single" w:sz="2" w:space="0" w:color="auto"/>
            </w:tcBorders>
          </w:tcPr>
          <w:p w14:paraId="4A3E71D3" w14:textId="77777777" w:rsidR="009F4766" w:rsidRPr="00DE12A3" w:rsidRDefault="009F4766" w:rsidP="00C917D6">
            <w:pPr>
              <w:pStyle w:val="NormalLeft"/>
            </w:pPr>
            <w:r w:rsidRPr="00DE12A3">
              <w:t>669</w:t>
            </w:r>
          </w:p>
        </w:tc>
        <w:tc>
          <w:tcPr>
            <w:tcW w:w="2489" w:type="dxa"/>
            <w:tcBorders>
              <w:top w:val="single" w:sz="2" w:space="0" w:color="auto"/>
              <w:left w:val="single" w:sz="2" w:space="0" w:color="auto"/>
              <w:bottom w:val="single" w:sz="2" w:space="0" w:color="auto"/>
              <w:right w:val="single" w:sz="2" w:space="0" w:color="auto"/>
            </w:tcBorders>
          </w:tcPr>
          <w:p w14:paraId="58A17921" w14:textId="77777777" w:rsidR="009F4766" w:rsidRPr="00DE12A3" w:rsidRDefault="009F4766" w:rsidP="00C917D6">
            <w:pPr>
              <w:pStyle w:val="NormalLeft"/>
            </w:pPr>
            <w:r w:rsidRPr="00DE12A3">
              <w:t>28</w:t>
            </w:r>
          </w:p>
        </w:tc>
        <w:tc>
          <w:tcPr>
            <w:tcW w:w="2551" w:type="dxa"/>
            <w:tcBorders>
              <w:top w:val="single" w:sz="2" w:space="0" w:color="auto"/>
              <w:left w:val="single" w:sz="2" w:space="0" w:color="auto"/>
              <w:bottom w:val="single" w:sz="2" w:space="0" w:color="auto"/>
              <w:right w:val="single" w:sz="2" w:space="0" w:color="auto"/>
            </w:tcBorders>
          </w:tcPr>
          <w:p w14:paraId="45B0B9C9" w14:textId="77777777" w:rsidR="009F4766" w:rsidRPr="00DE12A3" w:rsidRDefault="009F4766" w:rsidP="00C917D6">
            <w:pPr>
              <w:pStyle w:val="NormalLeft"/>
            </w:pPr>
            <w:r w:rsidRPr="00DE12A3">
              <w:t>41</w:t>
            </w:r>
          </w:p>
        </w:tc>
      </w:tr>
      <w:tr w:rsidR="00DE12A3" w:rsidRPr="00DE12A3" w14:paraId="7E259823" w14:textId="77777777" w:rsidTr="009F4766">
        <w:tc>
          <w:tcPr>
            <w:tcW w:w="1182" w:type="dxa"/>
            <w:tcBorders>
              <w:top w:val="single" w:sz="2" w:space="0" w:color="auto"/>
              <w:left w:val="single" w:sz="2" w:space="0" w:color="auto"/>
              <w:bottom w:val="single" w:sz="2" w:space="0" w:color="auto"/>
              <w:right w:val="single" w:sz="2" w:space="0" w:color="auto"/>
            </w:tcBorders>
          </w:tcPr>
          <w:p w14:paraId="1049959C" w14:textId="77777777" w:rsidR="009F4766" w:rsidRPr="00DE12A3" w:rsidRDefault="009F4766" w:rsidP="00C917D6">
            <w:pPr>
              <w:pStyle w:val="NormalLeft"/>
            </w:pPr>
            <w:r w:rsidRPr="00DE12A3">
              <w:t>670</w:t>
            </w:r>
          </w:p>
        </w:tc>
        <w:tc>
          <w:tcPr>
            <w:tcW w:w="2489" w:type="dxa"/>
            <w:tcBorders>
              <w:top w:val="single" w:sz="2" w:space="0" w:color="auto"/>
              <w:left w:val="single" w:sz="2" w:space="0" w:color="auto"/>
              <w:bottom w:val="single" w:sz="2" w:space="0" w:color="auto"/>
              <w:right w:val="single" w:sz="2" w:space="0" w:color="auto"/>
            </w:tcBorders>
          </w:tcPr>
          <w:p w14:paraId="71FD2CAE" w14:textId="77777777" w:rsidR="009F4766" w:rsidRPr="00DE12A3" w:rsidRDefault="009F4766" w:rsidP="00C917D6">
            <w:pPr>
              <w:pStyle w:val="NormalLeft"/>
            </w:pPr>
            <w:r w:rsidRPr="00DE12A3">
              <w:t>19</w:t>
            </w:r>
          </w:p>
        </w:tc>
        <w:tc>
          <w:tcPr>
            <w:tcW w:w="2551" w:type="dxa"/>
            <w:tcBorders>
              <w:top w:val="single" w:sz="2" w:space="0" w:color="auto"/>
              <w:left w:val="single" w:sz="2" w:space="0" w:color="auto"/>
              <w:bottom w:val="single" w:sz="2" w:space="0" w:color="auto"/>
              <w:right w:val="single" w:sz="2" w:space="0" w:color="auto"/>
            </w:tcBorders>
          </w:tcPr>
          <w:p w14:paraId="18A7F318" w14:textId="77777777" w:rsidR="009F4766" w:rsidRPr="00DE12A3" w:rsidRDefault="009F4766" w:rsidP="00C917D6">
            <w:pPr>
              <w:pStyle w:val="NormalLeft"/>
            </w:pPr>
            <w:r w:rsidRPr="00DE12A3">
              <w:t>49</w:t>
            </w:r>
          </w:p>
        </w:tc>
      </w:tr>
      <w:tr w:rsidR="00DE12A3" w:rsidRPr="00DE12A3" w14:paraId="1FF235E1" w14:textId="77777777" w:rsidTr="009F4766">
        <w:tc>
          <w:tcPr>
            <w:tcW w:w="1182" w:type="dxa"/>
            <w:tcBorders>
              <w:top w:val="single" w:sz="2" w:space="0" w:color="auto"/>
              <w:left w:val="single" w:sz="2" w:space="0" w:color="auto"/>
              <w:bottom w:val="single" w:sz="2" w:space="0" w:color="auto"/>
              <w:right w:val="single" w:sz="2" w:space="0" w:color="auto"/>
            </w:tcBorders>
          </w:tcPr>
          <w:p w14:paraId="034A6E4E" w14:textId="77777777" w:rsidR="009F4766" w:rsidRPr="00DE12A3" w:rsidRDefault="009F4766" w:rsidP="00C917D6">
            <w:pPr>
              <w:pStyle w:val="NormalLeft"/>
            </w:pPr>
            <w:r w:rsidRPr="00DE12A3">
              <w:t>671</w:t>
            </w:r>
          </w:p>
        </w:tc>
        <w:tc>
          <w:tcPr>
            <w:tcW w:w="2489" w:type="dxa"/>
            <w:tcBorders>
              <w:top w:val="single" w:sz="2" w:space="0" w:color="auto"/>
              <w:left w:val="single" w:sz="2" w:space="0" w:color="auto"/>
              <w:bottom w:val="single" w:sz="2" w:space="0" w:color="auto"/>
              <w:right w:val="single" w:sz="2" w:space="0" w:color="auto"/>
            </w:tcBorders>
          </w:tcPr>
          <w:p w14:paraId="597655EA" w14:textId="77777777" w:rsidR="009F4766" w:rsidRPr="00DE12A3" w:rsidRDefault="009F4766" w:rsidP="00C917D6">
            <w:pPr>
              <w:pStyle w:val="NormalLeft"/>
            </w:pPr>
            <w:r w:rsidRPr="00DE12A3">
              <w:t>27</w:t>
            </w:r>
          </w:p>
        </w:tc>
        <w:tc>
          <w:tcPr>
            <w:tcW w:w="2551" w:type="dxa"/>
            <w:tcBorders>
              <w:top w:val="single" w:sz="2" w:space="0" w:color="auto"/>
              <w:left w:val="single" w:sz="2" w:space="0" w:color="auto"/>
              <w:bottom w:val="single" w:sz="2" w:space="0" w:color="auto"/>
              <w:right w:val="single" w:sz="2" w:space="0" w:color="auto"/>
            </w:tcBorders>
          </w:tcPr>
          <w:p w14:paraId="2BCAD8F7" w14:textId="77777777" w:rsidR="009F4766" w:rsidRPr="00DE12A3" w:rsidRDefault="009F4766" w:rsidP="00C917D6">
            <w:pPr>
              <w:pStyle w:val="NormalLeft"/>
            </w:pPr>
            <w:r w:rsidRPr="00DE12A3">
              <w:t>54</w:t>
            </w:r>
          </w:p>
        </w:tc>
      </w:tr>
      <w:tr w:rsidR="00DE12A3" w:rsidRPr="00DE12A3" w14:paraId="6D160BCE" w14:textId="77777777" w:rsidTr="009F4766">
        <w:tc>
          <w:tcPr>
            <w:tcW w:w="1182" w:type="dxa"/>
            <w:tcBorders>
              <w:top w:val="single" w:sz="2" w:space="0" w:color="auto"/>
              <w:left w:val="single" w:sz="2" w:space="0" w:color="auto"/>
              <w:bottom w:val="single" w:sz="2" w:space="0" w:color="auto"/>
              <w:right w:val="single" w:sz="2" w:space="0" w:color="auto"/>
            </w:tcBorders>
          </w:tcPr>
          <w:p w14:paraId="2A09AA6B" w14:textId="77777777" w:rsidR="009F4766" w:rsidRPr="00DE12A3" w:rsidRDefault="009F4766" w:rsidP="00C917D6">
            <w:pPr>
              <w:pStyle w:val="NormalLeft"/>
            </w:pPr>
            <w:r w:rsidRPr="00DE12A3">
              <w:t>672</w:t>
            </w:r>
          </w:p>
        </w:tc>
        <w:tc>
          <w:tcPr>
            <w:tcW w:w="2489" w:type="dxa"/>
            <w:tcBorders>
              <w:top w:val="single" w:sz="2" w:space="0" w:color="auto"/>
              <w:left w:val="single" w:sz="2" w:space="0" w:color="auto"/>
              <w:bottom w:val="single" w:sz="2" w:space="0" w:color="auto"/>
              <w:right w:val="single" w:sz="2" w:space="0" w:color="auto"/>
            </w:tcBorders>
          </w:tcPr>
          <w:p w14:paraId="4FDB8EC1" w14:textId="77777777" w:rsidR="009F4766" w:rsidRPr="00DE12A3" w:rsidRDefault="009F4766" w:rsidP="00C917D6">
            <w:pPr>
              <w:pStyle w:val="NormalLeft"/>
            </w:pPr>
            <w:r w:rsidRPr="00DE12A3">
              <w:t>37</w:t>
            </w:r>
          </w:p>
        </w:tc>
        <w:tc>
          <w:tcPr>
            <w:tcW w:w="2551" w:type="dxa"/>
            <w:tcBorders>
              <w:top w:val="single" w:sz="2" w:space="0" w:color="auto"/>
              <w:left w:val="single" w:sz="2" w:space="0" w:color="auto"/>
              <w:bottom w:val="single" w:sz="2" w:space="0" w:color="auto"/>
              <w:right w:val="single" w:sz="2" w:space="0" w:color="auto"/>
            </w:tcBorders>
          </w:tcPr>
          <w:p w14:paraId="350071AF" w14:textId="77777777" w:rsidR="009F4766" w:rsidRPr="00DE12A3" w:rsidRDefault="009F4766" w:rsidP="00C917D6">
            <w:pPr>
              <w:pStyle w:val="NormalLeft"/>
            </w:pPr>
            <w:r w:rsidRPr="00DE12A3">
              <w:t>63</w:t>
            </w:r>
          </w:p>
        </w:tc>
      </w:tr>
      <w:tr w:rsidR="00DE12A3" w:rsidRPr="00DE12A3" w14:paraId="182E91A9" w14:textId="77777777" w:rsidTr="009F4766">
        <w:tc>
          <w:tcPr>
            <w:tcW w:w="1182" w:type="dxa"/>
            <w:tcBorders>
              <w:top w:val="single" w:sz="2" w:space="0" w:color="auto"/>
              <w:left w:val="single" w:sz="2" w:space="0" w:color="auto"/>
              <w:bottom w:val="single" w:sz="2" w:space="0" w:color="auto"/>
              <w:right w:val="single" w:sz="2" w:space="0" w:color="auto"/>
            </w:tcBorders>
          </w:tcPr>
          <w:p w14:paraId="01CFD7C0" w14:textId="77777777" w:rsidR="009F4766" w:rsidRPr="00DE12A3" w:rsidRDefault="009F4766" w:rsidP="00C917D6">
            <w:pPr>
              <w:pStyle w:val="NormalLeft"/>
            </w:pPr>
            <w:r w:rsidRPr="00DE12A3">
              <w:t>673</w:t>
            </w:r>
          </w:p>
        </w:tc>
        <w:tc>
          <w:tcPr>
            <w:tcW w:w="2489" w:type="dxa"/>
            <w:tcBorders>
              <w:top w:val="single" w:sz="2" w:space="0" w:color="auto"/>
              <w:left w:val="single" w:sz="2" w:space="0" w:color="auto"/>
              <w:bottom w:val="single" w:sz="2" w:space="0" w:color="auto"/>
              <w:right w:val="single" w:sz="2" w:space="0" w:color="auto"/>
            </w:tcBorders>
          </w:tcPr>
          <w:p w14:paraId="1D94823F" w14:textId="77777777" w:rsidR="009F4766" w:rsidRPr="00DE12A3" w:rsidRDefault="009F4766" w:rsidP="00C917D6">
            <w:pPr>
              <w:pStyle w:val="NormalLeft"/>
            </w:pPr>
            <w:r w:rsidRPr="00DE12A3">
              <w:t>32</w:t>
            </w:r>
          </w:p>
        </w:tc>
        <w:tc>
          <w:tcPr>
            <w:tcW w:w="2551" w:type="dxa"/>
            <w:tcBorders>
              <w:top w:val="single" w:sz="2" w:space="0" w:color="auto"/>
              <w:left w:val="single" w:sz="2" w:space="0" w:color="auto"/>
              <w:bottom w:val="single" w:sz="2" w:space="0" w:color="auto"/>
              <w:right w:val="single" w:sz="2" w:space="0" w:color="auto"/>
            </w:tcBorders>
          </w:tcPr>
          <w:p w14:paraId="655565C8" w14:textId="77777777" w:rsidR="009F4766" w:rsidRPr="00DE12A3" w:rsidRDefault="009F4766" w:rsidP="00C917D6">
            <w:pPr>
              <w:pStyle w:val="NormalLeft"/>
            </w:pPr>
            <w:r w:rsidRPr="00DE12A3">
              <w:t>74</w:t>
            </w:r>
          </w:p>
        </w:tc>
      </w:tr>
      <w:tr w:rsidR="00DE12A3" w:rsidRPr="00DE12A3" w14:paraId="1154C320" w14:textId="77777777" w:rsidTr="009F4766">
        <w:tc>
          <w:tcPr>
            <w:tcW w:w="1182" w:type="dxa"/>
            <w:tcBorders>
              <w:top w:val="single" w:sz="2" w:space="0" w:color="auto"/>
              <w:left w:val="single" w:sz="2" w:space="0" w:color="auto"/>
              <w:bottom w:val="single" w:sz="2" w:space="0" w:color="auto"/>
              <w:right w:val="single" w:sz="2" w:space="0" w:color="auto"/>
            </w:tcBorders>
          </w:tcPr>
          <w:p w14:paraId="4D96B85E" w14:textId="77777777" w:rsidR="009F4766" w:rsidRPr="00DE12A3" w:rsidRDefault="009F4766" w:rsidP="00C917D6">
            <w:pPr>
              <w:pStyle w:val="NormalLeft"/>
            </w:pPr>
            <w:r w:rsidRPr="00DE12A3">
              <w:t>674</w:t>
            </w:r>
          </w:p>
        </w:tc>
        <w:tc>
          <w:tcPr>
            <w:tcW w:w="2489" w:type="dxa"/>
            <w:tcBorders>
              <w:top w:val="single" w:sz="2" w:space="0" w:color="auto"/>
              <w:left w:val="single" w:sz="2" w:space="0" w:color="auto"/>
              <w:bottom w:val="single" w:sz="2" w:space="0" w:color="auto"/>
              <w:right w:val="single" w:sz="2" w:space="0" w:color="auto"/>
            </w:tcBorders>
          </w:tcPr>
          <w:p w14:paraId="2A2BBBED" w14:textId="77777777" w:rsidR="009F4766" w:rsidRPr="00DE12A3" w:rsidRDefault="009F4766" w:rsidP="00C917D6">
            <w:pPr>
              <w:pStyle w:val="NormalLeft"/>
            </w:pPr>
            <w:r w:rsidRPr="00DE12A3">
              <w:t>16</w:t>
            </w:r>
          </w:p>
        </w:tc>
        <w:tc>
          <w:tcPr>
            <w:tcW w:w="2551" w:type="dxa"/>
            <w:tcBorders>
              <w:top w:val="single" w:sz="2" w:space="0" w:color="auto"/>
              <w:left w:val="single" w:sz="2" w:space="0" w:color="auto"/>
              <w:bottom w:val="single" w:sz="2" w:space="0" w:color="auto"/>
              <w:right w:val="single" w:sz="2" w:space="0" w:color="auto"/>
            </w:tcBorders>
          </w:tcPr>
          <w:p w14:paraId="6AD53B67" w14:textId="77777777" w:rsidR="009F4766" w:rsidRPr="00DE12A3" w:rsidRDefault="009F4766" w:rsidP="00C917D6">
            <w:pPr>
              <w:pStyle w:val="NormalLeft"/>
            </w:pPr>
            <w:r w:rsidRPr="00DE12A3">
              <w:t>70</w:t>
            </w:r>
          </w:p>
        </w:tc>
      </w:tr>
      <w:tr w:rsidR="00DE12A3" w:rsidRPr="00DE12A3" w14:paraId="770106D3" w14:textId="77777777" w:rsidTr="009F4766">
        <w:tc>
          <w:tcPr>
            <w:tcW w:w="1182" w:type="dxa"/>
            <w:tcBorders>
              <w:top w:val="single" w:sz="2" w:space="0" w:color="auto"/>
              <w:left w:val="single" w:sz="2" w:space="0" w:color="auto"/>
              <w:bottom w:val="single" w:sz="2" w:space="0" w:color="auto"/>
              <w:right w:val="single" w:sz="2" w:space="0" w:color="auto"/>
            </w:tcBorders>
          </w:tcPr>
          <w:p w14:paraId="7BCE5AE5" w14:textId="77777777" w:rsidR="009F4766" w:rsidRPr="00DE12A3" w:rsidRDefault="009F4766" w:rsidP="00C917D6">
            <w:pPr>
              <w:pStyle w:val="NormalLeft"/>
            </w:pPr>
            <w:r w:rsidRPr="00DE12A3">
              <w:lastRenderedPageBreak/>
              <w:t>675</w:t>
            </w:r>
          </w:p>
        </w:tc>
        <w:tc>
          <w:tcPr>
            <w:tcW w:w="2489" w:type="dxa"/>
            <w:tcBorders>
              <w:top w:val="single" w:sz="2" w:space="0" w:color="auto"/>
              <w:left w:val="single" w:sz="2" w:space="0" w:color="auto"/>
              <w:bottom w:val="single" w:sz="2" w:space="0" w:color="auto"/>
              <w:right w:val="single" w:sz="2" w:space="0" w:color="auto"/>
            </w:tcBorders>
          </w:tcPr>
          <w:p w14:paraId="3681ECD7" w14:textId="77777777" w:rsidR="009F4766" w:rsidRPr="00DE12A3" w:rsidRDefault="009F4766" w:rsidP="00C917D6">
            <w:pPr>
              <w:pStyle w:val="NormalLeft"/>
            </w:pPr>
            <w:r w:rsidRPr="00DE12A3">
              <w:t>12</w:t>
            </w:r>
          </w:p>
        </w:tc>
        <w:tc>
          <w:tcPr>
            <w:tcW w:w="2551" w:type="dxa"/>
            <w:tcBorders>
              <w:top w:val="single" w:sz="2" w:space="0" w:color="auto"/>
              <w:left w:val="single" w:sz="2" w:space="0" w:color="auto"/>
              <w:bottom w:val="single" w:sz="2" w:space="0" w:color="auto"/>
              <w:right w:val="single" w:sz="2" w:space="0" w:color="auto"/>
            </w:tcBorders>
          </w:tcPr>
          <w:p w14:paraId="3167D271" w14:textId="77777777" w:rsidR="009F4766" w:rsidRPr="00DE12A3" w:rsidRDefault="009F4766" w:rsidP="00C917D6">
            <w:pPr>
              <w:pStyle w:val="NormalLeft"/>
            </w:pPr>
            <w:r w:rsidRPr="00DE12A3">
              <w:t>67</w:t>
            </w:r>
          </w:p>
        </w:tc>
      </w:tr>
      <w:tr w:rsidR="00DE12A3" w:rsidRPr="00DE12A3" w14:paraId="28704E31" w14:textId="77777777" w:rsidTr="009F4766">
        <w:tc>
          <w:tcPr>
            <w:tcW w:w="1182" w:type="dxa"/>
            <w:tcBorders>
              <w:top w:val="single" w:sz="2" w:space="0" w:color="auto"/>
              <w:left w:val="single" w:sz="2" w:space="0" w:color="auto"/>
              <w:bottom w:val="single" w:sz="2" w:space="0" w:color="auto"/>
              <w:right w:val="single" w:sz="2" w:space="0" w:color="auto"/>
            </w:tcBorders>
          </w:tcPr>
          <w:p w14:paraId="7D6FBB51" w14:textId="77777777" w:rsidR="009F4766" w:rsidRPr="00DE12A3" w:rsidRDefault="009F4766" w:rsidP="00C917D6">
            <w:pPr>
              <w:pStyle w:val="NormalLeft"/>
            </w:pPr>
            <w:r w:rsidRPr="00DE12A3">
              <w:t>676</w:t>
            </w:r>
          </w:p>
        </w:tc>
        <w:tc>
          <w:tcPr>
            <w:tcW w:w="2489" w:type="dxa"/>
            <w:tcBorders>
              <w:top w:val="single" w:sz="2" w:space="0" w:color="auto"/>
              <w:left w:val="single" w:sz="2" w:space="0" w:color="auto"/>
              <w:bottom w:val="single" w:sz="2" w:space="0" w:color="auto"/>
              <w:right w:val="single" w:sz="2" w:space="0" w:color="auto"/>
            </w:tcBorders>
          </w:tcPr>
          <w:p w14:paraId="42721D91" w14:textId="77777777" w:rsidR="009F4766" w:rsidRPr="00DE12A3" w:rsidRDefault="009F4766" w:rsidP="00C917D6">
            <w:pPr>
              <w:pStyle w:val="NormalLeft"/>
            </w:pPr>
            <w:r w:rsidRPr="00DE12A3">
              <w:t>13</w:t>
            </w:r>
          </w:p>
        </w:tc>
        <w:tc>
          <w:tcPr>
            <w:tcW w:w="2551" w:type="dxa"/>
            <w:tcBorders>
              <w:top w:val="single" w:sz="2" w:space="0" w:color="auto"/>
              <w:left w:val="single" w:sz="2" w:space="0" w:color="auto"/>
              <w:bottom w:val="single" w:sz="2" w:space="0" w:color="auto"/>
              <w:right w:val="single" w:sz="2" w:space="0" w:color="auto"/>
            </w:tcBorders>
          </w:tcPr>
          <w:p w14:paraId="2EE5295B" w14:textId="77777777" w:rsidR="009F4766" w:rsidRPr="00DE12A3" w:rsidRDefault="009F4766" w:rsidP="00C917D6">
            <w:pPr>
              <w:pStyle w:val="NormalLeft"/>
            </w:pPr>
            <w:r w:rsidRPr="00DE12A3">
              <w:t>60</w:t>
            </w:r>
          </w:p>
        </w:tc>
      </w:tr>
      <w:tr w:rsidR="00DE12A3" w:rsidRPr="00DE12A3" w14:paraId="4C00432B" w14:textId="77777777" w:rsidTr="009F4766">
        <w:tc>
          <w:tcPr>
            <w:tcW w:w="1182" w:type="dxa"/>
            <w:tcBorders>
              <w:top w:val="single" w:sz="2" w:space="0" w:color="auto"/>
              <w:left w:val="single" w:sz="2" w:space="0" w:color="auto"/>
              <w:bottom w:val="single" w:sz="2" w:space="0" w:color="auto"/>
              <w:right w:val="single" w:sz="2" w:space="0" w:color="auto"/>
            </w:tcBorders>
          </w:tcPr>
          <w:p w14:paraId="7774883C" w14:textId="77777777" w:rsidR="009F4766" w:rsidRPr="00DE12A3" w:rsidRDefault="009F4766" w:rsidP="00C917D6">
            <w:pPr>
              <w:pStyle w:val="NormalLeft"/>
            </w:pPr>
            <w:r w:rsidRPr="00DE12A3">
              <w:t>677</w:t>
            </w:r>
          </w:p>
        </w:tc>
        <w:tc>
          <w:tcPr>
            <w:tcW w:w="2489" w:type="dxa"/>
            <w:tcBorders>
              <w:top w:val="single" w:sz="2" w:space="0" w:color="auto"/>
              <w:left w:val="single" w:sz="2" w:space="0" w:color="auto"/>
              <w:bottom w:val="single" w:sz="2" w:space="0" w:color="auto"/>
              <w:right w:val="single" w:sz="2" w:space="0" w:color="auto"/>
            </w:tcBorders>
          </w:tcPr>
          <w:p w14:paraId="4C9B6F37" w14:textId="77777777" w:rsidR="009F4766" w:rsidRPr="00DE12A3" w:rsidRDefault="009F4766" w:rsidP="00C917D6">
            <w:pPr>
              <w:pStyle w:val="NormalLeft"/>
            </w:pPr>
            <w:r w:rsidRPr="00DE12A3">
              <w:t>17</w:t>
            </w:r>
          </w:p>
        </w:tc>
        <w:tc>
          <w:tcPr>
            <w:tcW w:w="2551" w:type="dxa"/>
            <w:tcBorders>
              <w:top w:val="single" w:sz="2" w:space="0" w:color="auto"/>
              <w:left w:val="single" w:sz="2" w:space="0" w:color="auto"/>
              <w:bottom w:val="single" w:sz="2" w:space="0" w:color="auto"/>
              <w:right w:val="single" w:sz="2" w:space="0" w:color="auto"/>
            </w:tcBorders>
          </w:tcPr>
          <w:p w14:paraId="02066FEB" w14:textId="77777777" w:rsidR="009F4766" w:rsidRPr="00DE12A3" w:rsidRDefault="009F4766" w:rsidP="00C917D6">
            <w:pPr>
              <w:pStyle w:val="NormalLeft"/>
            </w:pPr>
            <w:r w:rsidRPr="00DE12A3">
              <w:t>56</w:t>
            </w:r>
          </w:p>
        </w:tc>
      </w:tr>
      <w:tr w:rsidR="00DE12A3" w:rsidRPr="00DE12A3" w14:paraId="5A15D37D" w14:textId="77777777" w:rsidTr="009F4766">
        <w:tc>
          <w:tcPr>
            <w:tcW w:w="1182" w:type="dxa"/>
            <w:tcBorders>
              <w:top w:val="single" w:sz="2" w:space="0" w:color="auto"/>
              <w:left w:val="single" w:sz="2" w:space="0" w:color="auto"/>
              <w:bottom w:val="single" w:sz="2" w:space="0" w:color="auto"/>
              <w:right w:val="single" w:sz="2" w:space="0" w:color="auto"/>
            </w:tcBorders>
          </w:tcPr>
          <w:p w14:paraId="411D9653" w14:textId="77777777" w:rsidR="009F4766" w:rsidRPr="00DE12A3" w:rsidRDefault="009F4766" w:rsidP="00C917D6">
            <w:pPr>
              <w:pStyle w:val="NormalLeft"/>
            </w:pPr>
            <w:r w:rsidRPr="00DE12A3">
              <w:t>678</w:t>
            </w:r>
          </w:p>
        </w:tc>
        <w:tc>
          <w:tcPr>
            <w:tcW w:w="2489" w:type="dxa"/>
            <w:tcBorders>
              <w:top w:val="single" w:sz="2" w:space="0" w:color="auto"/>
              <w:left w:val="single" w:sz="2" w:space="0" w:color="auto"/>
              <w:bottom w:val="single" w:sz="2" w:space="0" w:color="auto"/>
              <w:right w:val="single" w:sz="2" w:space="0" w:color="auto"/>
            </w:tcBorders>
          </w:tcPr>
          <w:p w14:paraId="271CC67F" w14:textId="77777777" w:rsidR="009F4766" w:rsidRPr="00DE12A3" w:rsidRDefault="009F4766" w:rsidP="00C917D6">
            <w:pPr>
              <w:pStyle w:val="NormalLeft"/>
            </w:pPr>
            <w:r w:rsidRPr="00DE12A3">
              <w:t>15</w:t>
            </w:r>
          </w:p>
        </w:tc>
        <w:tc>
          <w:tcPr>
            <w:tcW w:w="2551" w:type="dxa"/>
            <w:tcBorders>
              <w:top w:val="single" w:sz="2" w:space="0" w:color="auto"/>
              <w:left w:val="single" w:sz="2" w:space="0" w:color="auto"/>
              <w:bottom w:val="single" w:sz="2" w:space="0" w:color="auto"/>
              <w:right w:val="single" w:sz="2" w:space="0" w:color="auto"/>
            </w:tcBorders>
          </w:tcPr>
          <w:p w14:paraId="15F7AF89" w14:textId="77777777" w:rsidR="009F4766" w:rsidRPr="00DE12A3" w:rsidRDefault="009F4766" w:rsidP="00C917D6">
            <w:pPr>
              <w:pStyle w:val="NormalLeft"/>
            </w:pPr>
            <w:r w:rsidRPr="00DE12A3">
              <w:t>62</w:t>
            </w:r>
          </w:p>
        </w:tc>
      </w:tr>
      <w:tr w:rsidR="00DE12A3" w:rsidRPr="00DE12A3" w14:paraId="1177ED1D" w14:textId="77777777" w:rsidTr="009F4766">
        <w:tc>
          <w:tcPr>
            <w:tcW w:w="1182" w:type="dxa"/>
            <w:tcBorders>
              <w:top w:val="single" w:sz="2" w:space="0" w:color="auto"/>
              <w:left w:val="single" w:sz="2" w:space="0" w:color="auto"/>
              <w:bottom w:val="single" w:sz="2" w:space="0" w:color="auto"/>
              <w:right w:val="single" w:sz="2" w:space="0" w:color="auto"/>
            </w:tcBorders>
          </w:tcPr>
          <w:p w14:paraId="125F4F82" w14:textId="77777777" w:rsidR="009F4766" w:rsidRPr="00DE12A3" w:rsidRDefault="009F4766" w:rsidP="00C917D6">
            <w:pPr>
              <w:pStyle w:val="NormalLeft"/>
            </w:pPr>
            <w:r w:rsidRPr="00DE12A3">
              <w:t>679</w:t>
            </w:r>
          </w:p>
        </w:tc>
        <w:tc>
          <w:tcPr>
            <w:tcW w:w="2489" w:type="dxa"/>
            <w:tcBorders>
              <w:top w:val="single" w:sz="2" w:space="0" w:color="auto"/>
              <w:left w:val="single" w:sz="2" w:space="0" w:color="auto"/>
              <w:bottom w:val="single" w:sz="2" w:space="0" w:color="auto"/>
              <w:right w:val="single" w:sz="2" w:space="0" w:color="auto"/>
            </w:tcBorders>
          </w:tcPr>
          <w:p w14:paraId="6D79F3AF" w14:textId="77777777" w:rsidR="009F4766" w:rsidRPr="00DE12A3" w:rsidRDefault="009F4766" w:rsidP="00C917D6">
            <w:pPr>
              <w:pStyle w:val="NormalLeft"/>
            </w:pPr>
            <w:r w:rsidRPr="00DE12A3">
              <w:t>25</w:t>
            </w:r>
          </w:p>
        </w:tc>
        <w:tc>
          <w:tcPr>
            <w:tcW w:w="2551" w:type="dxa"/>
            <w:tcBorders>
              <w:top w:val="single" w:sz="2" w:space="0" w:color="auto"/>
              <w:left w:val="single" w:sz="2" w:space="0" w:color="auto"/>
              <w:bottom w:val="single" w:sz="2" w:space="0" w:color="auto"/>
              <w:right w:val="single" w:sz="2" w:space="0" w:color="auto"/>
            </w:tcBorders>
          </w:tcPr>
          <w:p w14:paraId="7A866905" w14:textId="77777777" w:rsidR="009F4766" w:rsidRPr="00DE12A3" w:rsidRDefault="009F4766" w:rsidP="00C917D6">
            <w:pPr>
              <w:pStyle w:val="NormalLeft"/>
            </w:pPr>
            <w:r w:rsidRPr="00DE12A3">
              <w:t>47</w:t>
            </w:r>
          </w:p>
        </w:tc>
      </w:tr>
      <w:tr w:rsidR="00DE12A3" w:rsidRPr="00DE12A3" w14:paraId="0AA276D6" w14:textId="77777777" w:rsidTr="009F4766">
        <w:tc>
          <w:tcPr>
            <w:tcW w:w="1182" w:type="dxa"/>
            <w:tcBorders>
              <w:top w:val="single" w:sz="2" w:space="0" w:color="auto"/>
              <w:left w:val="single" w:sz="2" w:space="0" w:color="auto"/>
              <w:bottom w:val="single" w:sz="2" w:space="0" w:color="auto"/>
              <w:right w:val="single" w:sz="2" w:space="0" w:color="auto"/>
            </w:tcBorders>
          </w:tcPr>
          <w:p w14:paraId="40D03499" w14:textId="77777777" w:rsidR="009F4766" w:rsidRPr="00DE12A3" w:rsidRDefault="009F4766" w:rsidP="00C917D6">
            <w:pPr>
              <w:pStyle w:val="NormalLeft"/>
            </w:pPr>
            <w:r w:rsidRPr="00DE12A3">
              <w:t>680</w:t>
            </w:r>
          </w:p>
        </w:tc>
        <w:tc>
          <w:tcPr>
            <w:tcW w:w="2489" w:type="dxa"/>
            <w:tcBorders>
              <w:top w:val="single" w:sz="2" w:space="0" w:color="auto"/>
              <w:left w:val="single" w:sz="2" w:space="0" w:color="auto"/>
              <w:bottom w:val="single" w:sz="2" w:space="0" w:color="auto"/>
              <w:right w:val="single" w:sz="2" w:space="0" w:color="auto"/>
            </w:tcBorders>
          </w:tcPr>
          <w:p w14:paraId="0E7E9ADE" w14:textId="77777777" w:rsidR="009F4766" w:rsidRPr="00DE12A3" w:rsidRDefault="009F4766" w:rsidP="00C917D6">
            <w:pPr>
              <w:pStyle w:val="NormalLeft"/>
            </w:pPr>
            <w:r w:rsidRPr="00DE12A3">
              <w:t>27</w:t>
            </w:r>
          </w:p>
        </w:tc>
        <w:tc>
          <w:tcPr>
            <w:tcW w:w="2551" w:type="dxa"/>
            <w:tcBorders>
              <w:top w:val="single" w:sz="2" w:space="0" w:color="auto"/>
              <w:left w:val="single" w:sz="2" w:space="0" w:color="auto"/>
              <w:bottom w:val="single" w:sz="2" w:space="0" w:color="auto"/>
              <w:right w:val="single" w:sz="2" w:space="0" w:color="auto"/>
            </w:tcBorders>
          </w:tcPr>
          <w:p w14:paraId="2A07DC7D" w14:textId="77777777" w:rsidR="009F4766" w:rsidRPr="00DE12A3" w:rsidRDefault="009F4766" w:rsidP="00C917D6">
            <w:pPr>
              <w:pStyle w:val="NormalLeft"/>
            </w:pPr>
            <w:r w:rsidRPr="00DE12A3">
              <w:t>64</w:t>
            </w:r>
          </w:p>
        </w:tc>
      </w:tr>
      <w:tr w:rsidR="00DE12A3" w:rsidRPr="00DE12A3" w14:paraId="5FABA3BB" w14:textId="77777777" w:rsidTr="009F4766">
        <w:tc>
          <w:tcPr>
            <w:tcW w:w="1182" w:type="dxa"/>
            <w:tcBorders>
              <w:top w:val="single" w:sz="2" w:space="0" w:color="auto"/>
              <w:left w:val="single" w:sz="2" w:space="0" w:color="auto"/>
              <w:bottom w:val="single" w:sz="2" w:space="0" w:color="auto"/>
              <w:right w:val="single" w:sz="2" w:space="0" w:color="auto"/>
            </w:tcBorders>
          </w:tcPr>
          <w:p w14:paraId="15B5B7E7" w14:textId="77777777" w:rsidR="009F4766" w:rsidRPr="00DE12A3" w:rsidRDefault="009F4766" w:rsidP="00C917D6">
            <w:pPr>
              <w:pStyle w:val="NormalLeft"/>
            </w:pPr>
            <w:r w:rsidRPr="00DE12A3">
              <w:t>681</w:t>
            </w:r>
          </w:p>
        </w:tc>
        <w:tc>
          <w:tcPr>
            <w:tcW w:w="2489" w:type="dxa"/>
            <w:tcBorders>
              <w:top w:val="single" w:sz="2" w:space="0" w:color="auto"/>
              <w:left w:val="single" w:sz="2" w:space="0" w:color="auto"/>
              <w:bottom w:val="single" w:sz="2" w:space="0" w:color="auto"/>
              <w:right w:val="single" w:sz="2" w:space="0" w:color="auto"/>
            </w:tcBorders>
          </w:tcPr>
          <w:p w14:paraId="775CC952" w14:textId="77777777" w:rsidR="009F4766" w:rsidRPr="00DE12A3" w:rsidRDefault="009F4766" w:rsidP="00C917D6">
            <w:pPr>
              <w:pStyle w:val="NormalLeft"/>
            </w:pPr>
            <w:r w:rsidRPr="00DE12A3">
              <w:t>14</w:t>
            </w:r>
          </w:p>
        </w:tc>
        <w:tc>
          <w:tcPr>
            <w:tcW w:w="2551" w:type="dxa"/>
            <w:tcBorders>
              <w:top w:val="single" w:sz="2" w:space="0" w:color="auto"/>
              <w:left w:val="single" w:sz="2" w:space="0" w:color="auto"/>
              <w:bottom w:val="single" w:sz="2" w:space="0" w:color="auto"/>
              <w:right w:val="single" w:sz="2" w:space="0" w:color="auto"/>
            </w:tcBorders>
          </w:tcPr>
          <w:p w14:paraId="3DA435AB" w14:textId="77777777" w:rsidR="009F4766" w:rsidRPr="00DE12A3" w:rsidRDefault="009F4766" w:rsidP="00C917D6">
            <w:pPr>
              <w:pStyle w:val="NormalLeft"/>
            </w:pPr>
            <w:r w:rsidRPr="00DE12A3">
              <w:t>71</w:t>
            </w:r>
          </w:p>
        </w:tc>
      </w:tr>
      <w:tr w:rsidR="00DE12A3" w:rsidRPr="00DE12A3" w14:paraId="36BC1F4C" w14:textId="77777777" w:rsidTr="009F4766">
        <w:tc>
          <w:tcPr>
            <w:tcW w:w="1182" w:type="dxa"/>
            <w:tcBorders>
              <w:top w:val="single" w:sz="2" w:space="0" w:color="auto"/>
              <w:left w:val="single" w:sz="2" w:space="0" w:color="auto"/>
              <w:bottom w:val="single" w:sz="2" w:space="0" w:color="auto"/>
              <w:right w:val="single" w:sz="2" w:space="0" w:color="auto"/>
            </w:tcBorders>
          </w:tcPr>
          <w:p w14:paraId="56B52921" w14:textId="77777777" w:rsidR="009F4766" w:rsidRPr="00DE12A3" w:rsidRDefault="009F4766" w:rsidP="00C917D6">
            <w:pPr>
              <w:pStyle w:val="NormalLeft"/>
            </w:pPr>
            <w:r w:rsidRPr="00DE12A3">
              <w:t>682</w:t>
            </w:r>
          </w:p>
        </w:tc>
        <w:tc>
          <w:tcPr>
            <w:tcW w:w="2489" w:type="dxa"/>
            <w:tcBorders>
              <w:top w:val="single" w:sz="2" w:space="0" w:color="auto"/>
              <w:left w:val="single" w:sz="2" w:space="0" w:color="auto"/>
              <w:bottom w:val="single" w:sz="2" w:space="0" w:color="auto"/>
              <w:right w:val="single" w:sz="2" w:space="0" w:color="auto"/>
            </w:tcBorders>
          </w:tcPr>
          <w:p w14:paraId="7EF7BBEA" w14:textId="77777777" w:rsidR="009F4766" w:rsidRPr="00DE12A3" w:rsidRDefault="009F4766" w:rsidP="00C917D6">
            <w:pPr>
              <w:pStyle w:val="NormalLeft"/>
            </w:pPr>
            <w:r w:rsidRPr="00DE12A3">
              <w:t>5</w:t>
            </w:r>
          </w:p>
        </w:tc>
        <w:tc>
          <w:tcPr>
            <w:tcW w:w="2551" w:type="dxa"/>
            <w:tcBorders>
              <w:top w:val="single" w:sz="2" w:space="0" w:color="auto"/>
              <w:left w:val="single" w:sz="2" w:space="0" w:color="auto"/>
              <w:bottom w:val="single" w:sz="2" w:space="0" w:color="auto"/>
              <w:right w:val="single" w:sz="2" w:space="0" w:color="auto"/>
            </w:tcBorders>
          </w:tcPr>
          <w:p w14:paraId="00F0F38D" w14:textId="77777777" w:rsidR="009F4766" w:rsidRPr="00DE12A3" w:rsidRDefault="009F4766" w:rsidP="00C917D6">
            <w:pPr>
              <w:pStyle w:val="NormalLeft"/>
            </w:pPr>
            <w:r w:rsidRPr="00DE12A3">
              <w:t>65</w:t>
            </w:r>
          </w:p>
        </w:tc>
      </w:tr>
      <w:tr w:rsidR="00DE12A3" w:rsidRPr="00DE12A3" w14:paraId="3D299BD1" w14:textId="77777777" w:rsidTr="009F4766">
        <w:tc>
          <w:tcPr>
            <w:tcW w:w="1182" w:type="dxa"/>
            <w:tcBorders>
              <w:top w:val="single" w:sz="2" w:space="0" w:color="auto"/>
              <w:left w:val="single" w:sz="2" w:space="0" w:color="auto"/>
              <w:bottom w:val="single" w:sz="2" w:space="0" w:color="auto"/>
              <w:right w:val="single" w:sz="2" w:space="0" w:color="auto"/>
            </w:tcBorders>
          </w:tcPr>
          <w:p w14:paraId="6A096D7E" w14:textId="77777777" w:rsidR="009F4766" w:rsidRPr="00DE12A3" w:rsidRDefault="009F4766" w:rsidP="00C917D6">
            <w:pPr>
              <w:pStyle w:val="NormalLeft"/>
            </w:pPr>
            <w:r w:rsidRPr="00DE12A3">
              <w:t>683</w:t>
            </w:r>
          </w:p>
        </w:tc>
        <w:tc>
          <w:tcPr>
            <w:tcW w:w="2489" w:type="dxa"/>
            <w:tcBorders>
              <w:top w:val="single" w:sz="2" w:space="0" w:color="auto"/>
              <w:left w:val="single" w:sz="2" w:space="0" w:color="auto"/>
              <w:bottom w:val="single" w:sz="2" w:space="0" w:color="auto"/>
              <w:right w:val="single" w:sz="2" w:space="0" w:color="auto"/>
            </w:tcBorders>
          </w:tcPr>
          <w:p w14:paraId="06BA59A3" w14:textId="77777777" w:rsidR="009F4766" w:rsidRPr="00DE12A3" w:rsidRDefault="009F4766" w:rsidP="00C917D6">
            <w:pPr>
              <w:pStyle w:val="NormalLeft"/>
            </w:pPr>
            <w:r w:rsidRPr="00DE12A3">
              <w:t>6</w:t>
            </w:r>
          </w:p>
        </w:tc>
        <w:tc>
          <w:tcPr>
            <w:tcW w:w="2551" w:type="dxa"/>
            <w:tcBorders>
              <w:top w:val="single" w:sz="2" w:space="0" w:color="auto"/>
              <w:left w:val="single" w:sz="2" w:space="0" w:color="auto"/>
              <w:bottom w:val="single" w:sz="2" w:space="0" w:color="auto"/>
              <w:right w:val="single" w:sz="2" w:space="0" w:color="auto"/>
            </w:tcBorders>
          </w:tcPr>
          <w:p w14:paraId="360D740B" w14:textId="77777777" w:rsidR="009F4766" w:rsidRPr="00DE12A3" w:rsidRDefault="009F4766" w:rsidP="00C917D6">
            <w:pPr>
              <w:pStyle w:val="NormalLeft"/>
            </w:pPr>
            <w:r w:rsidRPr="00DE12A3">
              <w:t>57</w:t>
            </w:r>
          </w:p>
        </w:tc>
      </w:tr>
      <w:tr w:rsidR="00DE12A3" w:rsidRPr="00DE12A3" w14:paraId="00C43464" w14:textId="77777777" w:rsidTr="009F4766">
        <w:tc>
          <w:tcPr>
            <w:tcW w:w="1182" w:type="dxa"/>
            <w:tcBorders>
              <w:top w:val="single" w:sz="2" w:space="0" w:color="auto"/>
              <w:left w:val="single" w:sz="2" w:space="0" w:color="auto"/>
              <w:bottom w:val="single" w:sz="2" w:space="0" w:color="auto"/>
              <w:right w:val="single" w:sz="2" w:space="0" w:color="auto"/>
            </w:tcBorders>
          </w:tcPr>
          <w:p w14:paraId="004B8842" w14:textId="77777777" w:rsidR="009F4766" w:rsidRPr="00DE12A3" w:rsidRDefault="009F4766" w:rsidP="00C917D6">
            <w:pPr>
              <w:pStyle w:val="NormalLeft"/>
            </w:pPr>
            <w:r w:rsidRPr="00DE12A3">
              <w:t>684</w:t>
            </w:r>
          </w:p>
        </w:tc>
        <w:tc>
          <w:tcPr>
            <w:tcW w:w="2489" w:type="dxa"/>
            <w:tcBorders>
              <w:top w:val="single" w:sz="2" w:space="0" w:color="auto"/>
              <w:left w:val="single" w:sz="2" w:space="0" w:color="auto"/>
              <w:bottom w:val="single" w:sz="2" w:space="0" w:color="auto"/>
              <w:right w:val="single" w:sz="2" w:space="0" w:color="auto"/>
            </w:tcBorders>
          </w:tcPr>
          <w:p w14:paraId="6CB6EB98" w14:textId="77777777" w:rsidR="009F4766" w:rsidRPr="00DE12A3" w:rsidRDefault="009F4766" w:rsidP="00C917D6">
            <w:pPr>
              <w:pStyle w:val="NormalLeft"/>
            </w:pPr>
            <w:r w:rsidRPr="00DE12A3">
              <w:t>6</w:t>
            </w:r>
          </w:p>
        </w:tc>
        <w:tc>
          <w:tcPr>
            <w:tcW w:w="2551" w:type="dxa"/>
            <w:tcBorders>
              <w:top w:val="single" w:sz="2" w:space="0" w:color="auto"/>
              <w:left w:val="single" w:sz="2" w:space="0" w:color="auto"/>
              <w:bottom w:val="single" w:sz="2" w:space="0" w:color="auto"/>
              <w:right w:val="single" w:sz="2" w:space="0" w:color="auto"/>
            </w:tcBorders>
          </w:tcPr>
          <w:p w14:paraId="40791916" w14:textId="77777777" w:rsidR="009F4766" w:rsidRPr="00DE12A3" w:rsidRDefault="009F4766" w:rsidP="00C917D6">
            <w:pPr>
              <w:pStyle w:val="NormalLeft"/>
            </w:pPr>
            <w:r w:rsidRPr="00DE12A3">
              <w:t>57</w:t>
            </w:r>
          </w:p>
        </w:tc>
      </w:tr>
      <w:tr w:rsidR="00DE12A3" w:rsidRPr="00DE12A3" w14:paraId="3904D50B" w14:textId="77777777" w:rsidTr="009F4766">
        <w:tc>
          <w:tcPr>
            <w:tcW w:w="1182" w:type="dxa"/>
            <w:tcBorders>
              <w:top w:val="single" w:sz="2" w:space="0" w:color="auto"/>
              <w:left w:val="single" w:sz="2" w:space="0" w:color="auto"/>
              <w:bottom w:val="single" w:sz="2" w:space="0" w:color="auto"/>
              <w:right w:val="single" w:sz="2" w:space="0" w:color="auto"/>
            </w:tcBorders>
          </w:tcPr>
          <w:p w14:paraId="021A9A2D" w14:textId="77777777" w:rsidR="009F4766" w:rsidRPr="00DE12A3" w:rsidRDefault="009F4766" w:rsidP="00C917D6">
            <w:pPr>
              <w:pStyle w:val="NormalLeft"/>
            </w:pPr>
            <w:r w:rsidRPr="00DE12A3">
              <w:t>685</w:t>
            </w:r>
          </w:p>
        </w:tc>
        <w:tc>
          <w:tcPr>
            <w:tcW w:w="2489" w:type="dxa"/>
            <w:tcBorders>
              <w:top w:val="single" w:sz="2" w:space="0" w:color="auto"/>
              <w:left w:val="single" w:sz="2" w:space="0" w:color="auto"/>
              <w:bottom w:val="single" w:sz="2" w:space="0" w:color="auto"/>
              <w:right w:val="single" w:sz="2" w:space="0" w:color="auto"/>
            </w:tcBorders>
          </w:tcPr>
          <w:p w14:paraId="51996C84" w14:textId="77777777" w:rsidR="009F4766" w:rsidRPr="00DE12A3" w:rsidRDefault="009F4766" w:rsidP="00C917D6">
            <w:pPr>
              <w:pStyle w:val="NormalLeft"/>
            </w:pPr>
            <w:r w:rsidRPr="00DE12A3">
              <w:t>15</w:t>
            </w:r>
          </w:p>
        </w:tc>
        <w:tc>
          <w:tcPr>
            <w:tcW w:w="2551" w:type="dxa"/>
            <w:tcBorders>
              <w:top w:val="single" w:sz="2" w:space="0" w:color="auto"/>
              <w:left w:val="single" w:sz="2" w:space="0" w:color="auto"/>
              <w:bottom w:val="single" w:sz="2" w:space="0" w:color="auto"/>
              <w:right w:val="single" w:sz="2" w:space="0" w:color="auto"/>
            </w:tcBorders>
          </w:tcPr>
          <w:p w14:paraId="05E4E3D3" w14:textId="77777777" w:rsidR="009F4766" w:rsidRPr="00DE12A3" w:rsidRDefault="009F4766" w:rsidP="00C917D6">
            <w:pPr>
              <w:pStyle w:val="NormalLeft"/>
            </w:pPr>
            <w:r w:rsidRPr="00DE12A3">
              <w:t>52</w:t>
            </w:r>
          </w:p>
        </w:tc>
      </w:tr>
      <w:tr w:rsidR="00DE12A3" w:rsidRPr="00DE12A3" w14:paraId="04AE8D50" w14:textId="77777777" w:rsidTr="009F4766">
        <w:tc>
          <w:tcPr>
            <w:tcW w:w="1182" w:type="dxa"/>
            <w:tcBorders>
              <w:top w:val="single" w:sz="2" w:space="0" w:color="auto"/>
              <w:left w:val="single" w:sz="2" w:space="0" w:color="auto"/>
              <w:bottom w:val="single" w:sz="2" w:space="0" w:color="auto"/>
              <w:right w:val="single" w:sz="2" w:space="0" w:color="auto"/>
            </w:tcBorders>
          </w:tcPr>
          <w:p w14:paraId="096DD41A" w14:textId="77777777" w:rsidR="009F4766" w:rsidRPr="00DE12A3" w:rsidRDefault="009F4766" w:rsidP="00C917D6">
            <w:pPr>
              <w:pStyle w:val="NormalLeft"/>
            </w:pPr>
            <w:r w:rsidRPr="00DE12A3">
              <w:t>686</w:t>
            </w:r>
          </w:p>
        </w:tc>
        <w:tc>
          <w:tcPr>
            <w:tcW w:w="2489" w:type="dxa"/>
            <w:tcBorders>
              <w:top w:val="single" w:sz="2" w:space="0" w:color="auto"/>
              <w:left w:val="single" w:sz="2" w:space="0" w:color="auto"/>
              <w:bottom w:val="single" w:sz="2" w:space="0" w:color="auto"/>
              <w:right w:val="single" w:sz="2" w:space="0" w:color="auto"/>
            </w:tcBorders>
          </w:tcPr>
          <w:p w14:paraId="556E9966" w14:textId="77777777" w:rsidR="009F4766" w:rsidRPr="00DE12A3" w:rsidRDefault="009F4766" w:rsidP="00C917D6">
            <w:pPr>
              <w:pStyle w:val="NormalLeft"/>
            </w:pPr>
            <w:r w:rsidRPr="00DE12A3">
              <w:t>22</w:t>
            </w:r>
          </w:p>
        </w:tc>
        <w:tc>
          <w:tcPr>
            <w:tcW w:w="2551" w:type="dxa"/>
            <w:tcBorders>
              <w:top w:val="single" w:sz="2" w:space="0" w:color="auto"/>
              <w:left w:val="single" w:sz="2" w:space="0" w:color="auto"/>
              <w:bottom w:val="single" w:sz="2" w:space="0" w:color="auto"/>
              <w:right w:val="single" w:sz="2" w:space="0" w:color="auto"/>
            </w:tcBorders>
          </w:tcPr>
          <w:p w14:paraId="0EFFC17D" w14:textId="77777777" w:rsidR="009F4766" w:rsidRPr="00DE12A3" w:rsidRDefault="009F4766" w:rsidP="00C917D6">
            <w:pPr>
              <w:pStyle w:val="NormalLeft"/>
            </w:pPr>
            <w:r w:rsidRPr="00DE12A3">
              <w:t>61</w:t>
            </w:r>
          </w:p>
        </w:tc>
      </w:tr>
      <w:tr w:rsidR="00DE12A3" w:rsidRPr="00DE12A3" w14:paraId="60ECD408" w14:textId="77777777" w:rsidTr="009F4766">
        <w:tc>
          <w:tcPr>
            <w:tcW w:w="1182" w:type="dxa"/>
            <w:tcBorders>
              <w:top w:val="single" w:sz="2" w:space="0" w:color="auto"/>
              <w:left w:val="single" w:sz="2" w:space="0" w:color="auto"/>
              <w:bottom w:val="single" w:sz="2" w:space="0" w:color="auto"/>
              <w:right w:val="single" w:sz="2" w:space="0" w:color="auto"/>
            </w:tcBorders>
          </w:tcPr>
          <w:p w14:paraId="376FF2AE" w14:textId="77777777" w:rsidR="009F4766" w:rsidRPr="00DE12A3" w:rsidRDefault="009F4766" w:rsidP="00C917D6">
            <w:pPr>
              <w:pStyle w:val="NormalLeft"/>
            </w:pPr>
            <w:r w:rsidRPr="00DE12A3">
              <w:t>687</w:t>
            </w:r>
          </w:p>
        </w:tc>
        <w:tc>
          <w:tcPr>
            <w:tcW w:w="2489" w:type="dxa"/>
            <w:tcBorders>
              <w:top w:val="single" w:sz="2" w:space="0" w:color="auto"/>
              <w:left w:val="single" w:sz="2" w:space="0" w:color="auto"/>
              <w:bottom w:val="single" w:sz="2" w:space="0" w:color="auto"/>
              <w:right w:val="single" w:sz="2" w:space="0" w:color="auto"/>
            </w:tcBorders>
          </w:tcPr>
          <w:p w14:paraId="5CBDD507" w14:textId="77777777" w:rsidR="009F4766" w:rsidRPr="00DE12A3" w:rsidRDefault="009F4766" w:rsidP="00C917D6">
            <w:pPr>
              <w:pStyle w:val="NormalLeft"/>
            </w:pPr>
            <w:r w:rsidRPr="00DE12A3">
              <w:t>14</w:t>
            </w:r>
          </w:p>
        </w:tc>
        <w:tc>
          <w:tcPr>
            <w:tcW w:w="2551" w:type="dxa"/>
            <w:tcBorders>
              <w:top w:val="single" w:sz="2" w:space="0" w:color="auto"/>
              <w:left w:val="single" w:sz="2" w:space="0" w:color="auto"/>
              <w:bottom w:val="single" w:sz="2" w:space="0" w:color="auto"/>
              <w:right w:val="single" w:sz="2" w:space="0" w:color="auto"/>
            </w:tcBorders>
          </w:tcPr>
          <w:p w14:paraId="79A242E2" w14:textId="77777777" w:rsidR="009F4766" w:rsidRPr="00DE12A3" w:rsidRDefault="009F4766" w:rsidP="00C917D6">
            <w:pPr>
              <w:pStyle w:val="NormalLeft"/>
            </w:pPr>
            <w:r w:rsidRPr="00DE12A3">
              <w:t>77</w:t>
            </w:r>
          </w:p>
        </w:tc>
      </w:tr>
      <w:tr w:rsidR="00DE12A3" w:rsidRPr="00DE12A3" w14:paraId="1A46B47F" w14:textId="77777777" w:rsidTr="009F4766">
        <w:tc>
          <w:tcPr>
            <w:tcW w:w="1182" w:type="dxa"/>
            <w:tcBorders>
              <w:top w:val="single" w:sz="2" w:space="0" w:color="auto"/>
              <w:left w:val="single" w:sz="2" w:space="0" w:color="auto"/>
              <w:bottom w:val="single" w:sz="2" w:space="0" w:color="auto"/>
              <w:right w:val="single" w:sz="2" w:space="0" w:color="auto"/>
            </w:tcBorders>
          </w:tcPr>
          <w:p w14:paraId="788F2187" w14:textId="77777777" w:rsidR="009F4766" w:rsidRPr="00DE12A3" w:rsidRDefault="009F4766" w:rsidP="00C917D6">
            <w:pPr>
              <w:pStyle w:val="NormalLeft"/>
            </w:pPr>
            <w:r w:rsidRPr="00DE12A3">
              <w:t>688</w:t>
            </w:r>
          </w:p>
        </w:tc>
        <w:tc>
          <w:tcPr>
            <w:tcW w:w="2489" w:type="dxa"/>
            <w:tcBorders>
              <w:top w:val="single" w:sz="2" w:space="0" w:color="auto"/>
              <w:left w:val="single" w:sz="2" w:space="0" w:color="auto"/>
              <w:bottom w:val="single" w:sz="2" w:space="0" w:color="auto"/>
              <w:right w:val="single" w:sz="2" w:space="0" w:color="auto"/>
            </w:tcBorders>
          </w:tcPr>
          <w:p w14:paraId="26062417" w14:textId="77777777" w:rsidR="009F4766" w:rsidRPr="00DE12A3" w:rsidRDefault="009F4766" w:rsidP="00C917D6">
            <w:pPr>
              <w:pStyle w:val="NormalLeft"/>
            </w:pPr>
            <w:r w:rsidRPr="00DE12A3">
              <w:t>12</w:t>
            </w:r>
          </w:p>
        </w:tc>
        <w:tc>
          <w:tcPr>
            <w:tcW w:w="2551" w:type="dxa"/>
            <w:tcBorders>
              <w:top w:val="single" w:sz="2" w:space="0" w:color="auto"/>
              <w:left w:val="single" w:sz="2" w:space="0" w:color="auto"/>
              <w:bottom w:val="single" w:sz="2" w:space="0" w:color="auto"/>
              <w:right w:val="single" w:sz="2" w:space="0" w:color="auto"/>
            </w:tcBorders>
          </w:tcPr>
          <w:p w14:paraId="54A35D7F" w14:textId="77777777" w:rsidR="009F4766" w:rsidRPr="00DE12A3" w:rsidRDefault="009F4766" w:rsidP="00C917D6">
            <w:pPr>
              <w:pStyle w:val="NormalLeft"/>
            </w:pPr>
            <w:r w:rsidRPr="00DE12A3">
              <w:t>67</w:t>
            </w:r>
          </w:p>
        </w:tc>
      </w:tr>
      <w:tr w:rsidR="00DE12A3" w:rsidRPr="00DE12A3" w14:paraId="18DB52AA" w14:textId="77777777" w:rsidTr="009F4766">
        <w:tc>
          <w:tcPr>
            <w:tcW w:w="1182" w:type="dxa"/>
            <w:tcBorders>
              <w:top w:val="single" w:sz="2" w:space="0" w:color="auto"/>
              <w:left w:val="single" w:sz="2" w:space="0" w:color="auto"/>
              <w:bottom w:val="single" w:sz="2" w:space="0" w:color="auto"/>
              <w:right w:val="single" w:sz="2" w:space="0" w:color="auto"/>
            </w:tcBorders>
          </w:tcPr>
          <w:p w14:paraId="25871A12" w14:textId="77777777" w:rsidR="009F4766" w:rsidRPr="00DE12A3" w:rsidRDefault="009F4766" w:rsidP="00C917D6">
            <w:pPr>
              <w:pStyle w:val="NormalLeft"/>
            </w:pPr>
            <w:r w:rsidRPr="00DE12A3">
              <w:t>689</w:t>
            </w:r>
          </w:p>
        </w:tc>
        <w:tc>
          <w:tcPr>
            <w:tcW w:w="2489" w:type="dxa"/>
            <w:tcBorders>
              <w:top w:val="single" w:sz="2" w:space="0" w:color="auto"/>
              <w:left w:val="single" w:sz="2" w:space="0" w:color="auto"/>
              <w:bottom w:val="single" w:sz="2" w:space="0" w:color="auto"/>
              <w:right w:val="single" w:sz="2" w:space="0" w:color="auto"/>
            </w:tcBorders>
          </w:tcPr>
          <w:p w14:paraId="4AFFE547" w14:textId="77777777" w:rsidR="009F4766" w:rsidRPr="00DE12A3" w:rsidRDefault="009F4766" w:rsidP="00C917D6">
            <w:pPr>
              <w:pStyle w:val="NormalLeft"/>
            </w:pPr>
            <w:r w:rsidRPr="00DE12A3">
              <w:t>12</w:t>
            </w:r>
          </w:p>
        </w:tc>
        <w:tc>
          <w:tcPr>
            <w:tcW w:w="2551" w:type="dxa"/>
            <w:tcBorders>
              <w:top w:val="single" w:sz="2" w:space="0" w:color="auto"/>
              <w:left w:val="single" w:sz="2" w:space="0" w:color="auto"/>
              <w:bottom w:val="single" w:sz="2" w:space="0" w:color="auto"/>
              <w:right w:val="single" w:sz="2" w:space="0" w:color="auto"/>
            </w:tcBorders>
          </w:tcPr>
          <w:p w14:paraId="560BAC3C" w14:textId="77777777" w:rsidR="009F4766" w:rsidRPr="00DE12A3" w:rsidRDefault="009F4766" w:rsidP="00C917D6">
            <w:pPr>
              <w:pStyle w:val="NormalLeft"/>
            </w:pPr>
            <w:r w:rsidRPr="00DE12A3">
              <w:t>62</w:t>
            </w:r>
          </w:p>
        </w:tc>
      </w:tr>
      <w:tr w:rsidR="00DE12A3" w:rsidRPr="00DE12A3" w14:paraId="61BF3BF9" w14:textId="77777777" w:rsidTr="009F4766">
        <w:tc>
          <w:tcPr>
            <w:tcW w:w="1182" w:type="dxa"/>
            <w:tcBorders>
              <w:top w:val="single" w:sz="2" w:space="0" w:color="auto"/>
              <w:left w:val="single" w:sz="2" w:space="0" w:color="auto"/>
              <w:bottom w:val="single" w:sz="2" w:space="0" w:color="auto"/>
              <w:right w:val="single" w:sz="2" w:space="0" w:color="auto"/>
            </w:tcBorders>
          </w:tcPr>
          <w:p w14:paraId="30FF0792" w14:textId="77777777" w:rsidR="009F4766" w:rsidRPr="00DE12A3" w:rsidRDefault="009F4766" w:rsidP="00C917D6">
            <w:pPr>
              <w:pStyle w:val="NormalLeft"/>
            </w:pPr>
            <w:r w:rsidRPr="00DE12A3">
              <w:t>690</w:t>
            </w:r>
          </w:p>
        </w:tc>
        <w:tc>
          <w:tcPr>
            <w:tcW w:w="2489" w:type="dxa"/>
            <w:tcBorders>
              <w:top w:val="single" w:sz="2" w:space="0" w:color="auto"/>
              <w:left w:val="single" w:sz="2" w:space="0" w:color="auto"/>
              <w:bottom w:val="single" w:sz="2" w:space="0" w:color="auto"/>
              <w:right w:val="single" w:sz="2" w:space="0" w:color="auto"/>
            </w:tcBorders>
          </w:tcPr>
          <w:p w14:paraId="42D22E47" w14:textId="77777777" w:rsidR="009F4766" w:rsidRPr="00DE12A3" w:rsidRDefault="009F4766" w:rsidP="00C917D6">
            <w:pPr>
              <w:pStyle w:val="NormalLeft"/>
            </w:pPr>
            <w:r w:rsidRPr="00DE12A3">
              <w:t>14</w:t>
            </w:r>
          </w:p>
        </w:tc>
        <w:tc>
          <w:tcPr>
            <w:tcW w:w="2551" w:type="dxa"/>
            <w:tcBorders>
              <w:top w:val="single" w:sz="2" w:space="0" w:color="auto"/>
              <w:left w:val="single" w:sz="2" w:space="0" w:color="auto"/>
              <w:bottom w:val="single" w:sz="2" w:space="0" w:color="auto"/>
              <w:right w:val="single" w:sz="2" w:space="0" w:color="auto"/>
            </w:tcBorders>
          </w:tcPr>
          <w:p w14:paraId="14462327" w14:textId="77777777" w:rsidR="009F4766" w:rsidRPr="00DE12A3" w:rsidRDefault="009F4766" w:rsidP="00C917D6">
            <w:pPr>
              <w:pStyle w:val="NormalLeft"/>
            </w:pPr>
            <w:r w:rsidRPr="00DE12A3">
              <w:t>59</w:t>
            </w:r>
          </w:p>
        </w:tc>
      </w:tr>
      <w:tr w:rsidR="00DE12A3" w:rsidRPr="00DE12A3" w14:paraId="327F4608" w14:textId="77777777" w:rsidTr="009F4766">
        <w:tc>
          <w:tcPr>
            <w:tcW w:w="1182" w:type="dxa"/>
            <w:tcBorders>
              <w:top w:val="single" w:sz="2" w:space="0" w:color="auto"/>
              <w:left w:val="single" w:sz="2" w:space="0" w:color="auto"/>
              <w:bottom w:val="single" w:sz="2" w:space="0" w:color="auto"/>
              <w:right w:val="single" w:sz="2" w:space="0" w:color="auto"/>
            </w:tcBorders>
          </w:tcPr>
          <w:p w14:paraId="006CB121" w14:textId="77777777" w:rsidR="009F4766" w:rsidRPr="00DE12A3" w:rsidRDefault="009F4766" w:rsidP="00C917D6">
            <w:pPr>
              <w:pStyle w:val="NormalLeft"/>
            </w:pPr>
            <w:r w:rsidRPr="00DE12A3">
              <w:t>691</w:t>
            </w:r>
          </w:p>
        </w:tc>
        <w:tc>
          <w:tcPr>
            <w:tcW w:w="2489" w:type="dxa"/>
            <w:tcBorders>
              <w:top w:val="single" w:sz="2" w:space="0" w:color="auto"/>
              <w:left w:val="single" w:sz="2" w:space="0" w:color="auto"/>
              <w:bottom w:val="single" w:sz="2" w:space="0" w:color="auto"/>
              <w:right w:val="single" w:sz="2" w:space="0" w:color="auto"/>
            </w:tcBorders>
          </w:tcPr>
          <w:p w14:paraId="64D3E127" w14:textId="77777777" w:rsidR="009F4766" w:rsidRPr="00DE12A3" w:rsidRDefault="009F4766" w:rsidP="00C917D6">
            <w:pPr>
              <w:pStyle w:val="NormalLeft"/>
            </w:pPr>
            <w:r w:rsidRPr="00DE12A3">
              <w:t>15</w:t>
            </w:r>
          </w:p>
        </w:tc>
        <w:tc>
          <w:tcPr>
            <w:tcW w:w="2551" w:type="dxa"/>
            <w:tcBorders>
              <w:top w:val="single" w:sz="2" w:space="0" w:color="auto"/>
              <w:left w:val="single" w:sz="2" w:space="0" w:color="auto"/>
              <w:bottom w:val="single" w:sz="2" w:space="0" w:color="auto"/>
              <w:right w:val="single" w:sz="2" w:space="0" w:color="auto"/>
            </w:tcBorders>
          </w:tcPr>
          <w:p w14:paraId="2F718EC7" w14:textId="77777777" w:rsidR="009F4766" w:rsidRPr="00DE12A3" w:rsidRDefault="009F4766" w:rsidP="00C917D6">
            <w:pPr>
              <w:pStyle w:val="NormalLeft"/>
            </w:pPr>
            <w:r w:rsidRPr="00DE12A3">
              <w:t>58</w:t>
            </w:r>
          </w:p>
        </w:tc>
      </w:tr>
      <w:tr w:rsidR="00DE12A3" w:rsidRPr="00DE12A3" w14:paraId="6BC0B9A4" w14:textId="77777777" w:rsidTr="009F4766">
        <w:tc>
          <w:tcPr>
            <w:tcW w:w="1182" w:type="dxa"/>
            <w:tcBorders>
              <w:top w:val="single" w:sz="2" w:space="0" w:color="auto"/>
              <w:left w:val="single" w:sz="2" w:space="0" w:color="auto"/>
              <w:bottom w:val="single" w:sz="2" w:space="0" w:color="auto"/>
              <w:right w:val="single" w:sz="2" w:space="0" w:color="auto"/>
            </w:tcBorders>
          </w:tcPr>
          <w:p w14:paraId="57AE5D4C" w14:textId="77777777" w:rsidR="009F4766" w:rsidRPr="00DE12A3" w:rsidRDefault="009F4766" w:rsidP="00C917D6">
            <w:pPr>
              <w:pStyle w:val="NormalLeft"/>
            </w:pPr>
            <w:r w:rsidRPr="00DE12A3">
              <w:t>692</w:t>
            </w:r>
          </w:p>
        </w:tc>
        <w:tc>
          <w:tcPr>
            <w:tcW w:w="2489" w:type="dxa"/>
            <w:tcBorders>
              <w:top w:val="single" w:sz="2" w:space="0" w:color="auto"/>
              <w:left w:val="single" w:sz="2" w:space="0" w:color="auto"/>
              <w:bottom w:val="single" w:sz="2" w:space="0" w:color="auto"/>
              <w:right w:val="single" w:sz="2" w:space="0" w:color="auto"/>
            </w:tcBorders>
          </w:tcPr>
          <w:p w14:paraId="573E15E2" w14:textId="77777777" w:rsidR="009F4766" w:rsidRPr="00DE12A3" w:rsidRDefault="009F4766" w:rsidP="00C917D6">
            <w:pPr>
              <w:pStyle w:val="NormalLeft"/>
            </w:pPr>
            <w:r w:rsidRPr="00DE12A3">
              <w:t>18</w:t>
            </w:r>
          </w:p>
        </w:tc>
        <w:tc>
          <w:tcPr>
            <w:tcW w:w="2551" w:type="dxa"/>
            <w:tcBorders>
              <w:top w:val="single" w:sz="2" w:space="0" w:color="auto"/>
              <w:left w:val="single" w:sz="2" w:space="0" w:color="auto"/>
              <w:bottom w:val="single" w:sz="2" w:space="0" w:color="auto"/>
              <w:right w:val="single" w:sz="2" w:space="0" w:color="auto"/>
            </w:tcBorders>
          </w:tcPr>
          <w:p w14:paraId="03DA60D0" w14:textId="77777777" w:rsidR="009F4766" w:rsidRPr="00DE12A3" w:rsidRDefault="009F4766" w:rsidP="00C917D6">
            <w:pPr>
              <w:pStyle w:val="NormalLeft"/>
            </w:pPr>
            <w:r w:rsidRPr="00DE12A3">
              <w:t>55</w:t>
            </w:r>
          </w:p>
        </w:tc>
      </w:tr>
      <w:tr w:rsidR="00DE12A3" w:rsidRPr="00DE12A3" w14:paraId="7B1D8D39" w14:textId="77777777" w:rsidTr="009F4766">
        <w:tc>
          <w:tcPr>
            <w:tcW w:w="1182" w:type="dxa"/>
            <w:tcBorders>
              <w:top w:val="single" w:sz="2" w:space="0" w:color="auto"/>
              <w:left w:val="single" w:sz="2" w:space="0" w:color="auto"/>
              <w:bottom w:val="single" w:sz="2" w:space="0" w:color="auto"/>
              <w:right w:val="single" w:sz="2" w:space="0" w:color="auto"/>
            </w:tcBorders>
          </w:tcPr>
          <w:p w14:paraId="5B9EBD9D" w14:textId="77777777" w:rsidR="009F4766" w:rsidRPr="00DE12A3" w:rsidRDefault="009F4766" w:rsidP="00C917D6">
            <w:pPr>
              <w:pStyle w:val="NormalLeft"/>
            </w:pPr>
            <w:r w:rsidRPr="00DE12A3">
              <w:t>693</w:t>
            </w:r>
          </w:p>
        </w:tc>
        <w:tc>
          <w:tcPr>
            <w:tcW w:w="2489" w:type="dxa"/>
            <w:tcBorders>
              <w:top w:val="single" w:sz="2" w:space="0" w:color="auto"/>
              <w:left w:val="single" w:sz="2" w:space="0" w:color="auto"/>
              <w:bottom w:val="single" w:sz="2" w:space="0" w:color="auto"/>
              <w:right w:val="single" w:sz="2" w:space="0" w:color="auto"/>
            </w:tcBorders>
          </w:tcPr>
          <w:p w14:paraId="73DD25BF" w14:textId="77777777" w:rsidR="009F4766" w:rsidRPr="00DE12A3" w:rsidRDefault="009F4766" w:rsidP="00C917D6">
            <w:pPr>
              <w:pStyle w:val="NormalLeft"/>
            </w:pPr>
            <w:r w:rsidRPr="00DE12A3">
              <w:t>22</w:t>
            </w:r>
          </w:p>
        </w:tc>
        <w:tc>
          <w:tcPr>
            <w:tcW w:w="2551" w:type="dxa"/>
            <w:tcBorders>
              <w:top w:val="single" w:sz="2" w:space="0" w:color="auto"/>
              <w:left w:val="single" w:sz="2" w:space="0" w:color="auto"/>
              <w:bottom w:val="single" w:sz="2" w:space="0" w:color="auto"/>
              <w:right w:val="single" w:sz="2" w:space="0" w:color="auto"/>
            </w:tcBorders>
          </w:tcPr>
          <w:p w14:paraId="05FDF7F1" w14:textId="77777777" w:rsidR="009F4766" w:rsidRPr="00DE12A3" w:rsidRDefault="009F4766" w:rsidP="00C917D6">
            <w:pPr>
              <w:pStyle w:val="NormalLeft"/>
            </w:pPr>
            <w:r w:rsidRPr="00DE12A3">
              <w:t>53</w:t>
            </w:r>
          </w:p>
        </w:tc>
      </w:tr>
      <w:tr w:rsidR="00DE12A3" w:rsidRPr="00DE12A3" w14:paraId="79C4BB18" w14:textId="77777777" w:rsidTr="009F4766">
        <w:tc>
          <w:tcPr>
            <w:tcW w:w="1182" w:type="dxa"/>
            <w:tcBorders>
              <w:top w:val="single" w:sz="2" w:space="0" w:color="auto"/>
              <w:left w:val="single" w:sz="2" w:space="0" w:color="auto"/>
              <w:bottom w:val="single" w:sz="2" w:space="0" w:color="auto"/>
              <w:right w:val="single" w:sz="2" w:space="0" w:color="auto"/>
            </w:tcBorders>
          </w:tcPr>
          <w:p w14:paraId="37BFB825" w14:textId="77777777" w:rsidR="009F4766" w:rsidRPr="00DE12A3" w:rsidRDefault="009F4766" w:rsidP="00C917D6">
            <w:pPr>
              <w:pStyle w:val="NormalLeft"/>
            </w:pPr>
            <w:r w:rsidRPr="00DE12A3">
              <w:t>694</w:t>
            </w:r>
          </w:p>
        </w:tc>
        <w:tc>
          <w:tcPr>
            <w:tcW w:w="2489" w:type="dxa"/>
            <w:tcBorders>
              <w:top w:val="single" w:sz="2" w:space="0" w:color="auto"/>
              <w:left w:val="single" w:sz="2" w:space="0" w:color="auto"/>
              <w:bottom w:val="single" w:sz="2" w:space="0" w:color="auto"/>
              <w:right w:val="single" w:sz="2" w:space="0" w:color="auto"/>
            </w:tcBorders>
          </w:tcPr>
          <w:p w14:paraId="510847C5" w14:textId="77777777" w:rsidR="009F4766" w:rsidRPr="00DE12A3" w:rsidRDefault="009F4766" w:rsidP="00C917D6">
            <w:pPr>
              <w:pStyle w:val="NormalLeft"/>
            </w:pPr>
            <w:r w:rsidRPr="00DE12A3">
              <w:t>19</w:t>
            </w:r>
          </w:p>
        </w:tc>
        <w:tc>
          <w:tcPr>
            <w:tcW w:w="2551" w:type="dxa"/>
            <w:tcBorders>
              <w:top w:val="single" w:sz="2" w:space="0" w:color="auto"/>
              <w:left w:val="single" w:sz="2" w:space="0" w:color="auto"/>
              <w:bottom w:val="single" w:sz="2" w:space="0" w:color="auto"/>
              <w:right w:val="single" w:sz="2" w:space="0" w:color="auto"/>
            </w:tcBorders>
          </w:tcPr>
          <w:p w14:paraId="45B632B9" w14:textId="77777777" w:rsidR="009F4766" w:rsidRPr="00DE12A3" w:rsidRDefault="009F4766" w:rsidP="00C917D6">
            <w:pPr>
              <w:pStyle w:val="NormalLeft"/>
            </w:pPr>
            <w:r w:rsidRPr="00DE12A3">
              <w:t>69</w:t>
            </w:r>
          </w:p>
        </w:tc>
      </w:tr>
      <w:tr w:rsidR="00DE12A3" w:rsidRPr="00DE12A3" w14:paraId="4D2C99E6" w14:textId="77777777" w:rsidTr="009F4766">
        <w:tc>
          <w:tcPr>
            <w:tcW w:w="1182" w:type="dxa"/>
            <w:tcBorders>
              <w:top w:val="single" w:sz="2" w:space="0" w:color="auto"/>
              <w:left w:val="single" w:sz="2" w:space="0" w:color="auto"/>
              <w:bottom w:val="single" w:sz="2" w:space="0" w:color="auto"/>
              <w:right w:val="single" w:sz="2" w:space="0" w:color="auto"/>
            </w:tcBorders>
          </w:tcPr>
          <w:p w14:paraId="0B4A8A66" w14:textId="77777777" w:rsidR="009F4766" w:rsidRPr="00DE12A3" w:rsidRDefault="009F4766" w:rsidP="00C917D6">
            <w:pPr>
              <w:pStyle w:val="NormalLeft"/>
            </w:pPr>
            <w:r w:rsidRPr="00DE12A3">
              <w:t>695</w:t>
            </w:r>
          </w:p>
        </w:tc>
        <w:tc>
          <w:tcPr>
            <w:tcW w:w="2489" w:type="dxa"/>
            <w:tcBorders>
              <w:top w:val="single" w:sz="2" w:space="0" w:color="auto"/>
              <w:left w:val="single" w:sz="2" w:space="0" w:color="auto"/>
              <w:bottom w:val="single" w:sz="2" w:space="0" w:color="auto"/>
              <w:right w:val="single" w:sz="2" w:space="0" w:color="auto"/>
            </w:tcBorders>
          </w:tcPr>
          <w:p w14:paraId="45AC1623" w14:textId="77777777" w:rsidR="009F4766" w:rsidRPr="00DE12A3" w:rsidRDefault="009F4766" w:rsidP="00C917D6">
            <w:pPr>
              <w:pStyle w:val="NormalLeft"/>
            </w:pPr>
            <w:r w:rsidRPr="00DE12A3">
              <w:t>14</w:t>
            </w:r>
          </w:p>
        </w:tc>
        <w:tc>
          <w:tcPr>
            <w:tcW w:w="2551" w:type="dxa"/>
            <w:tcBorders>
              <w:top w:val="single" w:sz="2" w:space="0" w:color="auto"/>
              <w:left w:val="single" w:sz="2" w:space="0" w:color="auto"/>
              <w:bottom w:val="single" w:sz="2" w:space="0" w:color="auto"/>
              <w:right w:val="single" w:sz="2" w:space="0" w:color="auto"/>
            </w:tcBorders>
          </w:tcPr>
          <w:p w14:paraId="75DA278F" w14:textId="77777777" w:rsidR="009F4766" w:rsidRPr="00DE12A3" w:rsidRDefault="009F4766" w:rsidP="00C917D6">
            <w:pPr>
              <w:pStyle w:val="NormalLeft"/>
            </w:pPr>
            <w:r w:rsidRPr="00DE12A3">
              <w:t>67</w:t>
            </w:r>
          </w:p>
        </w:tc>
      </w:tr>
      <w:tr w:rsidR="00DE12A3" w:rsidRPr="00DE12A3" w14:paraId="3950C26E" w14:textId="77777777" w:rsidTr="009F4766">
        <w:tc>
          <w:tcPr>
            <w:tcW w:w="1182" w:type="dxa"/>
            <w:tcBorders>
              <w:top w:val="single" w:sz="2" w:space="0" w:color="auto"/>
              <w:left w:val="single" w:sz="2" w:space="0" w:color="auto"/>
              <w:bottom w:val="single" w:sz="2" w:space="0" w:color="auto"/>
              <w:right w:val="single" w:sz="2" w:space="0" w:color="auto"/>
            </w:tcBorders>
          </w:tcPr>
          <w:p w14:paraId="4318FD9F" w14:textId="77777777" w:rsidR="009F4766" w:rsidRPr="00DE12A3" w:rsidRDefault="009F4766" w:rsidP="00C917D6">
            <w:pPr>
              <w:pStyle w:val="NormalLeft"/>
            </w:pPr>
            <w:r w:rsidRPr="00DE12A3">
              <w:t>696</w:t>
            </w:r>
          </w:p>
        </w:tc>
        <w:tc>
          <w:tcPr>
            <w:tcW w:w="2489" w:type="dxa"/>
            <w:tcBorders>
              <w:top w:val="single" w:sz="2" w:space="0" w:color="auto"/>
              <w:left w:val="single" w:sz="2" w:space="0" w:color="auto"/>
              <w:bottom w:val="single" w:sz="2" w:space="0" w:color="auto"/>
              <w:right w:val="single" w:sz="2" w:space="0" w:color="auto"/>
            </w:tcBorders>
          </w:tcPr>
          <w:p w14:paraId="30C69A46" w14:textId="77777777" w:rsidR="009F4766" w:rsidRPr="00DE12A3" w:rsidRDefault="009F4766" w:rsidP="00C917D6">
            <w:pPr>
              <w:pStyle w:val="NormalLeft"/>
            </w:pPr>
            <w:r w:rsidRPr="00DE12A3">
              <w:t>9</w:t>
            </w:r>
          </w:p>
        </w:tc>
        <w:tc>
          <w:tcPr>
            <w:tcW w:w="2551" w:type="dxa"/>
            <w:tcBorders>
              <w:top w:val="single" w:sz="2" w:space="0" w:color="auto"/>
              <w:left w:val="single" w:sz="2" w:space="0" w:color="auto"/>
              <w:bottom w:val="single" w:sz="2" w:space="0" w:color="auto"/>
              <w:right w:val="single" w:sz="2" w:space="0" w:color="auto"/>
            </w:tcBorders>
          </w:tcPr>
          <w:p w14:paraId="4E193D48" w14:textId="77777777" w:rsidR="009F4766" w:rsidRPr="00DE12A3" w:rsidRDefault="009F4766" w:rsidP="00C917D6">
            <w:pPr>
              <w:pStyle w:val="NormalLeft"/>
            </w:pPr>
            <w:r w:rsidRPr="00DE12A3">
              <w:t>63</w:t>
            </w:r>
          </w:p>
        </w:tc>
      </w:tr>
      <w:tr w:rsidR="00DE12A3" w:rsidRPr="00DE12A3" w14:paraId="4E8FA4DA" w14:textId="77777777" w:rsidTr="009F4766">
        <w:tc>
          <w:tcPr>
            <w:tcW w:w="1182" w:type="dxa"/>
            <w:tcBorders>
              <w:top w:val="single" w:sz="2" w:space="0" w:color="auto"/>
              <w:left w:val="single" w:sz="2" w:space="0" w:color="auto"/>
              <w:bottom w:val="single" w:sz="2" w:space="0" w:color="auto"/>
              <w:right w:val="single" w:sz="2" w:space="0" w:color="auto"/>
            </w:tcBorders>
          </w:tcPr>
          <w:p w14:paraId="6A3FD68B" w14:textId="77777777" w:rsidR="009F4766" w:rsidRPr="00DE12A3" w:rsidRDefault="009F4766" w:rsidP="00C917D6">
            <w:pPr>
              <w:pStyle w:val="NormalLeft"/>
            </w:pPr>
            <w:r w:rsidRPr="00DE12A3">
              <w:t>697</w:t>
            </w:r>
          </w:p>
        </w:tc>
        <w:tc>
          <w:tcPr>
            <w:tcW w:w="2489" w:type="dxa"/>
            <w:tcBorders>
              <w:top w:val="single" w:sz="2" w:space="0" w:color="auto"/>
              <w:left w:val="single" w:sz="2" w:space="0" w:color="auto"/>
              <w:bottom w:val="single" w:sz="2" w:space="0" w:color="auto"/>
              <w:right w:val="single" w:sz="2" w:space="0" w:color="auto"/>
            </w:tcBorders>
          </w:tcPr>
          <w:p w14:paraId="2E167182" w14:textId="77777777" w:rsidR="009F4766" w:rsidRPr="00DE12A3" w:rsidRDefault="009F4766" w:rsidP="00C917D6">
            <w:pPr>
              <w:pStyle w:val="NormalLeft"/>
            </w:pPr>
            <w:r w:rsidRPr="00DE12A3">
              <w:t>8</w:t>
            </w:r>
          </w:p>
        </w:tc>
        <w:tc>
          <w:tcPr>
            <w:tcW w:w="2551" w:type="dxa"/>
            <w:tcBorders>
              <w:top w:val="single" w:sz="2" w:space="0" w:color="auto"/>
              <w:left w:val="single" w:sz="2" w:space="0" w:color="auto"/>
              <w:bottom w:val="single" w:sz="2" w:space="0" w:color="auto"/>
              <w:right w:val="single" w:sz="2" w:space="0" w:color="auto"/>
            </w:tcBorders>
          </w:tcPr>
          <w:p w14:paraId="2E0D47FE" w14:textId="77777777" w:rsidR="009F4766" w:rsidRPr="00DE12A3" w:rsidRDefault="009F4766" w:rsidP="00C917D6">
            <w:pPr>
              <w:pStyle w:val="NormalLeft"/>
            </w:pPr>
            <w:r w:rsidRPr="00DE12A3">
              <w:t>56</w:t>
            </w:r>
          </w:p>
        </w:tc>
      </w:tr>
      <w:tr w:rsidR="00DE12A3" w:rsidRPr="00DE12A3" w14:paraId="614F474D" w14:textId="77777777" w:rsidTr="009F4766">
        <w:tc>
          <w:tcPr>
            <w:tcW w:w="1182" w:type="dxa"/>
            <w:tcBorders>
              <w:top w:val="single" w:sz="2" w:space="0" w:color="auto"/>
              <w:left w:val="single" w:sz="2" w:space="0" w:color="auto"/>
              <w:bottom w:val="single" w:sz="2" w:space="0" w:color="auto"/>
              <w:right w:val="single" w:sz="2" w:space="0" w:color="auto"/>
            </w:tcBorders>
          </w:tcPr>
          <w:p w14:paraId="77B42745" w14:textId="77777777" w:rsidR="009F4766" w:rsidRPr="00DE12A3" w:rsidRDefault="009F4766" w:rsidP="00C917D6">
            <w:pPr>
              <w:pStyle w:val="NormalLeft"/>
            </w:pPr>
            <w:r w:rsidRPr="00DE12A3">
              <w:t>698</w:t>
            </w:r>
          </w:p>
        </w:tc>
        <w:tc>
          <w:tcPr>
            <w:tcW w:w="2489" w:type="dxa"/>
            <w:tcBorders>
              <w:top w:val="single" w:sz="2" w:space="0" w:color="auto"/>
              <w:left w:val="single" w:sz="2" w:space="0" w:color="auto"/>
              <w:bottom w:val="single" w:sz="2" w:space="0" w:color="auto"/>
              <w:right w:val="single" w:sz="2" w:space="0" w:color="auto"/>
            </w:tcBorders>
          </w:tcPr>
          <w:p w14:paraId="5553675E" w14:textId="77777777" w:rsidR="009F4766" w:rsidRPr="00DE12A3" w:rsidRDefault="009F4766" w:rsidP="00C917D6">
            <w:pPr>
              <w:pStyle w:val="NormalLeft"/>
            </w:pPr>
            <w:r w:rsidRPr="00DE12A3">
              <w:t>17</w:t>
            </w:r>
          </w:p>
        </w:tc>
        <w:tc>
          <w:tcPr>
            <w:tcW w:w="2551" w:type="dxa"/>
            <w:tcBorders>
              <w:top w:val="single" w:sz="2" w:space="0" w:color="auto"/>
              <w:left w:val="single" w:sz="2" w:space="0" w:color="auto"/>
              <w:bottom w:val="single" w:sz="2" w:space="0" w:color="auto"/>
              <w:right w:val="single" w:sz="2" w:space="0" w:color="auto"/>
            </w:tcBorders>
          </w:tcPr>
          <w:p w14:paraId="7BB1712A" w14:textId="77777777" w:rsidR="009F4766" w:rsidRPr="00DE12A3" w:rsidRDefault="009F4766" w:rsidP="00C917D6">
            <w:pPr>
              <w:pStyle w:val="NormalLeft"/>
            </w:pPr>
            <w:r w:rsidRPr="00DE12A3">
              <w:t>49</w:t>
            </w:r>
          </w:p>
        </w:tc>
      </w:tr>
      <w:tr w:rsidR="00DE12A3" w:rsidRPr="00DE12A3" w14:paraId="712AFA03" w14:textId="77777777" w:rsidTr="009F4766">
        <w:tc>
          <w:tcPr>
            <w:tcW w:w="1182" w:type="dxa"/>
            <w:tcBorders>
              <w:top w:val="single" w:sz="2" w:space="0" w:color="auto"/>
              <w:left w:val="single" w:sz="2" w:space="0" w:color="auto"/>
              <w:bottom w:val="single" w:sz="2" w:space="0" w:color="auto"/>
              <w:right w:val="single" w:sz="2" w:space="0" w:color="auto"/>
            </w:tcBorders>
          </w:tcPr>
          <w:p w14:paraId="396F364E" w14:textId="77777777" w:rsidR="009F4766" w:rsidRPr="00DE12A3" w:rsidRDefault="009F4766" w:rsidP="00C917D6">
            <w:pPr>
              <w:pStyle w:val="NormalLeft"/>
            </w:pPr>
            <w:r w:rsidRPr="00DE12A3">
              <w:lastRenderedPageBreak/>
              <w:t>699</w:t>
            </w:r>
          </w:p>
        </w:tc>
        <w:tc>
          <w:tcPr>
            <w:tcW w:w="2489" w:type="dxa"/>
            <w:tcBorders>
              <w:top w:val="single" w:sz="2" w:space="0" w:color="auto"/>
              <w:left w:val="single" w:sz="2" w:space="0" w:color="auto"/>
              <w:bottom w:val="single" w:sz="2" w:space="0" w:color="auto"/>
              <w:right w:val="single" w:sz="2" w:space="0" w:color="auto"/>
            </w:tcBorders>
          </w:tcPr>
          <w:p w14:paraId="7A83264C" w14:textId="77777777" w:rsidR="009F4766" w:rsidRPr="00DE12A3" w:rsidRDefault="009F4766" w:rsidP="00C917D6">
            <w:pPr>
              <w:pStyle w:val="NormalLeft"/>
            </w:pPr>
            <w:r w:rsidRPr="00DE12A3">
              <w:t>25</w:t>
            </w:r>
          </w:p>
        </w:tc>
        <w:tc>
          <w:tcPr>
            <w:tcW w:w="2551" w:type="dxa"/>
            <w:tcBorders>
              <w:top w:val="single" w:sz="2" w:space="0" w:color="auto"/>
              <w:left w:val="single" w:sz="2" w:space="0" w:color="auto"/>
              <w:bottom w:val="single" w:sz="2" w:space="0" w:color="auto"/>
              <w:right w:val="single" w:sz="2" w:space="0" w:color="auto"/>
            </w:tcBorders>
          </w:tcPr>
          <w:p w14:paraId="14613B41" w14:textId="77777777" w:rsidR="009F4766" w:rsidRPr="00DE12A3" w:rsidRDefault="009F4766" w:rsidP="00C917D6">
            <w:pPr>
              <w:pStyle w:val="NormalLeft"/>
            </w:pPr>
            <w:r w:rsidRPr="00DE12A3">
              <w:t>55</w:t>
            </w:r>
          </w:p>
        </w:tc>
      </w:tr>
      <w:tr w:rsidR="00DE12A3" w:rsidRPr="00DE12A3" w14:paraId="70419825" w14:textId="77777777" w:rsidTr="009F4766">
        <w:tc>
          <w:tcPr>
            <w:tcW w:w="1182" w:type="dxa"/>
            <w:tcBorders>
              <w:top w:val="single" w:sz="2" w:space="0" w:color="auto"/>
              <w:left w:val="single" w:sz="2" w:space="0" w:color="auto"/>
              <w:bottom w:val="single" w:sz="2" w:space="0" w:color="auto"/>
              <w:right w:val="single" w:sz="2" w:space="0" w:color="auto"/>
            </w:tcBorders>
          </w:tcPr>
          <w:p w14:paraId="18C63749" w14:textId="77777777" w:rsidR="009F4766" w:rsidRPr="00DE12A3" w:rsidRDefault="009F4766" w:rsidP="00C917D6">
            <w:pPr>
              <w:pStyle w:val="NormalLeft"/>
            </w:pPr>
            <w:r w:rsidRPr="00DE12A3">
              <w:t>700</w:t>
            </w:r>
          </w:p>
        </w:tc>
        <w:tc>
          <w:tcPr>
            <w:tcW w:w="2489" w:type="dxa"/>
            <w:tcBorders>
              <w:top w:val="single" w:sz="2" w:space="0" w:color="auto"/>
              <w:left w:val="single" w:sz="2" w:space="0" w:color="auto"/>
              <w:bottom w:val="single" w:sz="2" w:space="0" w:color="auto"/>
              <w:right w:val="single" w:sz="2" w:space="0" w:color="auto"/>
            </w:tcBorders>
          </w:tcPr>
          <w:p w14:paraId="0743981B" w14:textId="77777777" w:rsidR="009F4766" w:rsidRPr="00DE12A3" w:rsidRDefault="009F4766" w:rsidP="00C917D6">
            <w:pPr>
              <w:pStyle w:val="NormalLeft"/>
            </w:pPr>
            <w:r w:rsidRPr="00DE12A3">
              <w:t>14</w:t>
            </w:r>
          </w:p>
        </w:tc>
        <w:tc>
          <w:tcPr>
            <w:tcW w:w="2551" w:type="dxa"/>
            <w:tcBorders>
              <w:top w:val="single" w:sz="2" w:space="0" w:color="auto"/>
              <w:left w:val="single" w:sz="2" w:space="0" w:color="auto"/>
              <w:bottom w:val="single" w:sz="2" w:space="0" w:color="auto"/>
              <w:right w:val="single" w:sz="2" w:space="0" w:color="auto"/>
            </w:tcBorders>
          </w:tcPr>
          <w:p w14:paraId="472EFA35" w14:textId="77777777" w:rsidR="009F4766" w:rsidRPr="00DE12A3" w:rsidRDefault="009F4766" w:rsidP="00C917D6">
            <w:pPr>
              <w:pStyle w:val="NormalLeft"/>
            </w:pPr>
            <w:r w:rsidRPr="00DE12A3">
              <w:t>70</w:t>
            </w:r>
          </w:p>
        </w:tc>
      </w:tr>
      <w:tr w:rsidR="00DE12A3" w:rsidRPr="00DE12A3" w14:paraId="65A2B0F0" w14:textId="77777777" w:rsidTr="009F4766">
        <w:tc>
          <w:tcPr>
            <w:tcW w:w="1182" w:type="dxa"/>
            <w:tcBorders>
              <w:top w:val="single" w:sz="2" w:space="0" w:color="auto"/>
              <w:left w:val="single" w:sz="2" w:space="0" w:color="auto"/>
              <w:bottom w:val="single" w:sz="2" w:space="0" w:color="auto"/>
              <w:right w:val="single" w:sz="2" w:space="0" w:color="auto"/>
            </w:tcBorders>
          </w:tcPr>
          <w:p w14:paraId="1F76BBEE" w14:textId="77777777" w:rsidR="009F4766" w:rsidRPr="00DE12A3" w:rsidRDefault="009F4766" w:rsidP="00C917D6">
            <w:pPr>
              <w:pStyle w:val="NormalLeft"/>
            </w:pPr>
            <w:r w:rsidRPr="00DE12A3">
              <w:t>701</w:t>
            </w:r>
          </w:p>
        </w:tc>
        <w:tc>
          <w:tcPr>
            <w:tcW w:w="2489" w:type="dxa"/>
            <w:tcBorders>
              <w:top w:val="single" w:sz="2" w:space="0" w:color="auto"/>
              <w:left w:val="single" w:sz="2" w:space="0" w:color="auto"/>
              <w:bottom w:val="single" w:sz="2" w:space="0" w:color="auto"/>
              <w:right w:val="single" w:sz="2" w:space="0" w:color="auto"/>
            </w:tcBorders>
          </w:tcPr>
          <w:p w14:paraId="29144FEF" w14:textId="77777777" w:rsidR="009F4766" w:rsidRPr="00DE12A3" w:rsidRDefault="009F4766" w:rsidP="00C917D6">
            <w:pPr>
              <w:pStyle w:val="NormalLeft"/>
            </w:pPr>
            <w:r w:rsidRPr="00DE12A3">
              <w:t>12</w:t>
            </w:r>
          </w:p>
        </w:tc>
        <w:tc>
          <w:tcPr>
            <w:tcW w:w="2551" w:type="dxa"/>
            <w:tcBorders>
              <w:top w:val="single" w:sz="2" w:space="0" w:color="auto"/>
              <w:left w:val="single" w:sz="2" w:space="0" w:color="auto"/>
              <w:bottom w:val="single" w:sz="2" w:space="0" w:color="auto"/>
              <w:right w:val="single" w:sz="2" w:space="0" w:color="auto"/>
            </w:tcBorders>
          </w:tcPr>
          <w:p w14:paraId="0B4B5FB1" w14:textId="77777777" w:rsidR="009F4766" w:rsidRPr="00DE12A3" w:rsidRDefault="009F4766" w:rsidP="00C917D6">
            <w:pPr>
              <w:pStyle w:val="NormalLeft"/>
            </w:pPr>
            <w:r w:rsidRPr="00DE12A3">
              <w:t>60</w:t>
            </w:r>
          </w:p>
        </w:tc>
      </w:tr>
      <w:tr w:rsidR="00DE12A3" w:rsidRPr="00DE12A3" w14:paraId="213F9203" w14:textId="77777777" w:rsidTr="009F4766">
        <w:tc>
          <w:tcPr>
            <w:tcW w:w="1182" w:type="dxa"/>
            <w:tcBorders>
              <w:top w:val="single" w:sz="2" w:space="0" w:color="auto"/>
              <w:left w:val="single" w:sz="2" w:space="0" w:color="auto"/>
              <w:bottom w:val="single" w:sz="2" w:space="0" w:color="auto"/>
              <w:right w:val="single" w:sz="2" w:space="0" w:color="auto"/>
            </w:tcBorders>
          </w:tcPr>
          <w:p w14:paraId="2D6AC466" w14:textId="77777777" w:rsidR="009F4766" w:rsidRPr="00DE12A3" w:rsidRDefault="009F4766" w:rsidP="00C917D6">
            <w:pPr>
              <w:pStyle w:val="NormalLeft"/>
            </w:pPr>
            <w:r w:rsidRPr="00DE12A3">
              <w:t>702</w:t>
            </w:r>
          </w:p>
        </w:tc>
        <w:tc>
          <w:tcPr>
            <w:tcW w:w="2489" w:type="dxa"/>
            <w:tcBorders>
              <w:top w:val="single" w:sz="2" w:space="0" w:color="auto"/>
              <w:left w:val="single" w:sz="2" w:space="0" w:color="auto"/>
              <w:bottom w:val="single" w:sz="2" w:space="0" w:color="auto"/>
              <w:right w:val="single" w:sz="2" w:space="0" w:color="auto"/>
            </w:tcBorders>
          </w:tcPr>
          <w:p w14:paraId="73FD5564" w14:textId="77777777" w:rsidR="009F4766" w:rsidRPr="00DE12A3" w:rsidRDefault="009F4766" w:rsidP="00C917D6">
            <w:pPr>
              <w:pStyle w:val="NormalLeft"/>
            </w:pPr>
            <w:r w:rsidRPr="00DE12A3">
              <w:t>22</w:t>
            </w:r>
          </w:p>
        </w:tc>
        <w:tc>
          <w:tcPr>
            <w:tcW w:w="2551" w:type="dxa"/>
            <w:tcBorders>
              <w:top w:val="single" w:sz="2" w:space="0" w:color="auto"/>
              <w:left w:val="single" w:sz="2" w:space="0" w:color="auto"/>
              <w:bottom w:val="single" w:sz="2" w:space="0" w:color="auto"/>
              <w:right w:val="single" w:sz="2" w:space="0" w:color="auto"/>
            </w:tcBorders>
          </w:tcPr>
          <w:p w14:paraId="58C1E373" w14:textId="77777777" w:rsidR="009F4766" w:rsidRPr="00DE12A3" w:rsidRDefault="009F4766" w:rsidP="00C917D6">
            <w:pPr>
              <w:pStyle w:val="NormalLeft"/>
            </w:pPr>
            <w:r w:rsidRPr="00DE12A3">
              <w:t>57</w:t>
            </w:r>
          </w:p>
        </w:tc>
      </w:tr>
      <w:tr w:rsidR="00DE12A3" w:rsidRPr="00DE12A3" w14:paraId="66C64041" w14:textId="77777777" w:rsidTr="009F4766">
        <w:tc>
          <w:tcPr>
            <w:tcW w:w="1182" w:type="dxa"/>
            <w:tcBorders>
              <w:top w:val="single" w:sz="2" w:space="0" w:color="auto"/>
              <w:left w:val="single" w:sz="2" w:space="0" w:color="auto"/>
              <w:bottom w:val="single" w:sz="2" w:space="0" w:color="auto"/>
              <w:right w:val="single" w:sz="2" w:space="0" w:color="auto"/>
            </w:tcBorders>
          </w:tcPr>
          <w:p w14:paraId="1ED151C3" w14:textId="77777777" w:rsidR="009F4766" w:rsidRPr="00DE12A3" w:rsidRDefault="009F4766" w:rsidP="00C917D6">
            <w:pPr>
              <w:pStyle w:val="NormalLeft"/>
            </w:pPr>
            <w:r w:rsidRPr="00DE12A3">
              <w:t>703</w:t>
            </w:r>
          </w:p>
        </w:tc>
        <w:tc>
          <w:tcPr>
            <w:tcW w:w="2489" w:type="dxa"/>
            <w:tcBorders>
              <w:top w:val="single" w:sz="2" w:space="0" w:color="auto"/>
              <w:left w:val="single" w:sz="2" w:space="0" w:color="auto"/>
              <w:bottom w:val="single" w:sz="2" w:space="0" w:color="auto"/>
              <w:right w:val="single" w:sz="2" w:space="0" w:color="auto"/>
            </w:tcBorders>
          </w:tcPr>
          <w:p w14:paraId="5F3A630E" w14:textId="77777777" w:rsidR="009F4766" w:rsidRPr="00DE12A3" w:rsidRDefault="009F4766" w:rsidP="00C917D6">
            <w:pPr>
              <w:pStyle w:val="NormalLeft"/>
            </w:pPr>
            <w:r w:rsidRPr="00DE12A3">
              <w:t>27</w:t>
            </w:r>
          </w:p>
        </w:tc>
        <w:tc>
          <w:tcPr>
            <w:tcW w:w="2551" w:type="dxa"/>
            <w:tcBorders>
              <w:top w:val="single" w:sz="2" w:space="0" w:color="auto"/>
              <w:left w:val="single" w:sz="2" w:space="0" w:color="auto"/>
              <w:bottom w:val="single" w:sz="2" w:space="0" w:color="auto"/>
              <w:right w:val="single" w:sz="2" w:space="0" w:color="auto"/>
            </w:tcBorders>
          </w:tcPr>
          <w:p w14:paraId="5DF6F949" w14:textId="77777777" w:rsidR="009F4766" w:rsidRPr="00DE12A3" w:rsidRDefault="009F4766" w:rsidP="00C917D6">
            <w:pPr>
              <w:pStyle w:val="NormalLeft"/>
            </w:pPr>
            <w:r w:rsidRPr="00DE12A3">
              <w:t>67</w:t>
            </w:r>
          </w:p>
        </w:tc>
      </w:tr>
      <w:tr w:rsidR="00DE12A3" w:rsidRPr="00DE12A3" w14:paraId="54B6253C" w14:textId="77777777" w:rsidTr="009F4766">
        <w:tc>
          <w:tcPr>
            <w:tcW w:w="1182" w:type="dxa"/>
            <w:tcBorders>
              <w:top w:val="single" w:sz="2" w:space="0" w:color="auto"/>
              <w:left w:val="single" w:sz="2" w:space="0" w:color="auto"/>
              <w:bottom w:val="single" w:sz="2" w:space="0" w:color="auto"/>
              <w:right w:val="single" w:sz="2" w:space="0" w:color="auto"/>
            </w:tcBorders>
          </w:tcPr>
          <w:p w14:paraId="5E9BFC8A" w14:textId="77777777" w:rsidR="009F4766" w:rsidRPr="00DE12A3" w:rsidRDefault="009F4766" w:rsidP="00C917D6">
            <w:pPr>
              <w:pStyle w:val="NormalLeft"/>
            </w:pPr>
            <w:r w:rsidRPr="00DE12A3">
              <w:t>704</w:t>
            </w:r>
          </w:p>
        </w:tc>
        <w:tc>
          <w:tcPr>
            <w:tcW w:w="2489" w:type="dxa"/>
            <w:tcBorders>
              <w:top w:val="single" w:sz="2" w:space="0" w:color="auto"/>
              <w:left w:val="single" w:sz="2" w:space="0" w:color="auto"/>
              <w:bottom w:val="single" w:sz="2" w:space="0" w:color="auto"/>
              <w:right w:val="single" w:sz="2" w:space="0" w:color="auto"/>
            </w:tcBorders>
          </w:tcPr>
          <w:p w14:paraId="21342ECC" w14:textId="77777777" w:rsidR="009F4766" w:rsidRPr="00DE12A3" w:rsidRDefault="009F4766" w:rsidP="00C917D6">
            <w:pPr>
              <w:pStyle w:val="NormalLeft"/>
            </w:pPr>
            <w:r w:rsidRPr="00DE12A3">
              <w:t>29</w:t>
            </w:r>
          </w:p>
        </w:tc>
        <w:tc>
          <w:tcPr>
            <w:tcW w:w="2551" w:type="dxa"/>
            <w:tcBorders>
              <w:top w:val="single" w:sz="2" w:space="0" w:color="auto"/>
              <w:left w:val="single" w:sz="2" w:space="0" w:color="auto"/>
              <w:bottom w:val="single" w:sz="2" w:space="0" w:color="auto"/>
              <w:right w:val="single" w:sz="2" w:space="0" w:color="auto"/>
            </w:tcBorders>
          </w:tcPr>
          <w:p w14:paraId="69F41AD4" w14:textId="77777777" w:rsidR="009F4766" w:rsidRPr="00DE12A3" w:rsidRDefault="009F4766" w:rsidP="00C917D6">
            <w:pPr>
              <w:pStyle w:val="NormalLeft"/>
            </w:pPr>
            <w:r w:rsidRPr="00DE12A3">
              <w:t>68</w:t>
            </w:r>
          </w:p>
        </w:tc>
      </w:tr>
      <w:tr w:rsidR="00DE12A3" w:rsidRPr="00DE12A3" w14:paraId="258502DC" w14:textId="77777777" w:rsidTr="009F4766">
        <w:tc>
          <w:tcPr>
            <w:tcW w:w="1182" w:type="dxa"/>
            <w:tcBorders>
              <w:top w:val="single" w:sz="2" w:space="0" w:color="auto"/>
              <w:left w:val="single" w:sz="2" w:space="0" w:color="auto"/>
              <w:bottom w:val="single" w:sz="2" w:space="0" w:color="auto"/>
              <w:right w:val="single" w:sz="2" w:space="0" w:color="auto"/>
            </w:tcBorders>
          </w:tcPr>
          <w:p w14:paraId="6ABF500D" w14:textId="77777777" w:rsidR="009F4766" w:rsidRPr="00DE12A3" w:rsidRDefault="009F4766" w:rsidP="00C917D6">
            <w:pPr>
              <w:pStyle w:val="NormalLeft"/>
            </w:pPr>
            <w:r w:rsidRPr="00DE12A3">
              <w:t>705</w:t>
            </w:r>
          </w:p>
        </w:tc>
        <w:tc>
          <w:tcPr>
            <w:tcW w:w="2489" w:type="dxa"/>
            <w:tcBorders>
              <w:top w:val="single" w:sz="2" w:space="0" w:color="auto"/>
              <w:left w:val="single" w:sz="2" w:space="0" w:color="auto"/>
              <w:bottom w:val="single" w:sz="2" w:space="0" w:color="auto"/>
              <w:right w:val="single" w:sz="2" w:space="0" w:color="auto"/>
            </w:tcBorders>
          </w:tcPr>
          <w:p w14:paraId="486EFA15" w14:textId="77777777" w:rsidR="009F4766" w:rsidRPr="00DE12A3" w:rsidRDefault="009F4766" w:rsidP="00C917D6">
            <w:pPr>
              <w:pStyle w:val="NormalLeft"/>
            </w:pPr>
            <w:r w:rsidRPr="00DE12A3">
              <w:t>34</w:t>
            </w:r>
          </w:p>
        </w:tc>
        <w:tc>
          <w:tcPr>
            <w:tcW w:w="2551" w:type="dxa"/>
            <w:tcBorders>
              <w:top w:val="single" w:sz="2" w:space="0" w:color="auto"/>
              <w:left w:val="single" w:sz="2" w:space="0" w:color="auto"/>
              <w:bottom w:val="single" w:sz="2" w:space="0" w:color="auto"/>
              <w:right w:val="single" w:sz="2" w:space="0" w:color="auto"/>
            </w:tcBorders>
          </w:tcPr>
          <w:p w14:paraId="647CDF07" w14:textId="77777777" w:rsidR="009F4766" w:rsidRPr="00DE12A3" w:rsidRDefault="009F4766" w:rsidP="00C917D6">
            <w:pPr>
              <w:pStyle w:val="NormalLeft"/>
            </w:pPr>
            <w:r w:rsidRPr="00DE12A3">
              <w:t>62</w:t>
            </w:r>
          </w:p>
        </w:tc>
      </w:tr>
      <w:tr w:rsidR="00DE12A3" w:rsidRPr="00DE12A3" w14:paraId="169E2F1D" w14:textId="77777777" w:rsidTr="009F4766">
        <w:tc>
          <w:tcPr>
            <w:tcW w:w="1182" w:type="dxa"/>
            <w:tcBorders>
              <w:top w:val="single" w:sz="2" w:space="0" w:color="auto"/>
              <w:left w:val="single" w:sz="2" w:space="0" w:color="auto"/>
              <w:bottom w:val="single" w:sz="2" w:space="0" w:color="auto"/>
              <w:right w:val="single" w:sz="2" w:space="0" w:color="auto"/>
            </w:tcBorders>
          </w:tcPr>
          <w:p w14:paraId="7ACB7A4D" w14:textId="77777777" w:rsidR="009F4766" w:rsidRPr="00DE12A3" w:rsidRDefault="009F4766" w:rsidP="00C917D6">
            <w:pPr>
              <w:pStyle w:val="NormalLeft"/>
            </w:pPr>
            <w:r w:rsidRPr="00DE12A3">
              <w:t>706</w:t>
            </w:r>
          </w:p>
        </w:tc>
        <w:tc>
          <w:tcPr>
            <w:tcW w:w="2489" w:type="dxa"/>
            <w:tcBorders>
              <w:top w:val="single" w:sz="2" w:space="0" w:color="auto"/>
              <w:left w:val="single" w:sz="2" w:space="0" w:color="auto"/>
              <w:bottom w:val="single" w:sz="2" w:space="0" w:color="auto"/>
              <w:right w:val="single" w:sz="2" w:space="0" w:color="auto"/>
            </w:tcBorders>
          </w:tcPr>
          <w:p w14:paraId="6B1FC7A4" w14:textId="77777777" w:rsidR="009F4766" w:rsidRPr="00DE12A3" w:rsidRDefault="009F4766" w:rsidP="00C917D6">
            <w:pPr>
              <w:pStyle w:val="NormalLeft"/>
            </w:pPr>
            <w:r w:rsidRPr="00DE12A3">
              <w:t>35</w:t>
            </w:r>
          </w:p>
        </w:tc>
        <w:tc>
          <w:tcPr>
            <w:tcW w:w="2551" w:type="dxa"/>
            <w:tcBorders>
              <w:top w:val="single" w:sz="2" w:space="0" w:color="auto"/>
              <w:left w:val="single" w:sz="2" w:space="0" w:color="auto"/>
              <w:bottom w:val="single" w:sz="2" w:space="0" w:color="auto"/>
              <w:right w:val="single" w:sz="2" w:space="0" w:color="auto"/>
            </w:tcBorders>
          </w:tcPr>
          <w:p w14:paraId="3D3ADF88" w14:textId="77777777" w:rsidR="009F4766" w:rsidRPr="00DE12A3" w:rsidRDefault="009F4766" w:rsidP="00C917D6">
            <w:pPr>
              <w:pStyle w:val="NormalLeft"/>
            </w:pPr>
            <w:r w:rsidRPr="00DE12A3">
              <w:t>61</w:t>
            </w:r>
          </w:p>
        </w:tc>
      </w:tr>
      <w:tr w:rsidR="00DE12A3" w:rsidRPr="00DE12A3" w14:paraId="57068898" w14:textId="77777777" w:rsidTr="009F4766">
        <w:tc>
          <w:tcPr>
            <w:tcW w:w="1182" w:type="dxa"/>
            <w:tcBorders>
              <w:top w:val="single" w:sz="2" w:space="0" w:color="auto"/>
              <w:left w:val="single" w:sz="2" w:space="0" w:color="auto"/>
              <w:bottom w:val="single" w:sz="2" w:space="0" w:color="auto"/>
              <w:right w:val="single" w:sz="2" w:space="0" w:color="auto"/>
            </w:tcBorders>
          </w:tcPr>
          <w:p w14:paraId="4D8222AF" w14:textId="77777777" w:rsidR="009F4766" w:rsidRPr="00DE12A3" w:rsidRDefault="009F4766" w:rsidP="00C917D6">
            <w:pPr>
              <w:pStyle w:val="NormalLeft"/>
            </w:pPr>
            <w:r w:rsidRPr="00DE12A3">
              <w:t>707</w:t>
            </w:r>
          </w:p>
        </w:tc>
        <w:tc>
          <w:tcPr>
            <w:tcW w:w="2489" w:type="dxa"/>
            <w:tcBorders>
              <w:top w:val="single" w:sz="2" w:space="0" w:color="auto"/>
              <w:left w:val="single" w:sz="2" w:space="0" w:color="auto"/>
              <w:bottom w:val="single" w:sz="2" w:space="0" w:color="auto"/>
              <w:right w:val="single" w:sz="2" w:space="0" w:color="auto"/>
            </w:tcBorders>
          </w:tcPr>
          <w:p w14:paraId="1479616D" w14:textId="77777777" w:rsidR="009F4766" w:rsidRPr="00DE12A3" w:rsidRDefault="009F4766" w:rsidP="00C917D6">
            <w:pPr>
              <w:pStyle w:val="NormalLeft"/>
            </w:pPr>
            <w:r w:rsidRPr="00DE12A3">
              <w:t>28</w:t>
            </w:r>
          </w:p>
        </w:tc>
        <w:tc>
          <w:tcPr>
            <w:tcW w:w="2551" w:type="dxa"/>
            <w:tcBorders>
              <w:top w:val="single" w:sz="2" w:space="0" w:color="auto"/>
              <w:left w:val="single" w:sz="2" w:space="0" w:color="auto"/>
              <w:bottom w:val="single" w:sz="2" w:space="0" w:color="auto"/>
              <w:right w:val="single" w:sz="2" w:space="0" w:color="auto"/>
            </w:tcBorders>
          </w:tcPr>
          <w:p w14:paraId="0F9B61E0" w14:textId="77777777" w:rsidR="009F4766" w:rsidRPr="00DE12A3" w:rsidRDefault="009F4766" w:rsidP="00C917D6">
            <w:pPr>
              <w:pStyle w:val="NormalLeft"/>
            </w:pPr>
            <w:r w:rsidRPr="00DE12A3">
              <w:t>78</w:t>
            </w:r>
          </w:p>
        </w:tc>
      </w:tr>
      <w:tr w:rsidR="00DE12A3" w:rsidRPr="00DE12A3" w14:paraId="37AEBEE3" w14:textId="77777777" w:rsidTr="009F4766">
        <w:tc>
          <w:tcPr>
            <w:tcW w:w="1182" w:type="dxa"/>
            <w:tcBorders>
              <w:top w:val="single" w:sz="2" w:space="0" w:color="auto"/>
              <w:left w:val="single" w:sz="2" w:space="0" w:color="auto"/>
              <w:bottom w:val="single" w:sz="2" w:space="0" w:color="auto"/>
              <w:right w:val="single" w:sz="2" w:space="0" w:color="auto"/>
            </w:tcBorders>
          </w:tcPr>
          <w:p w14:paraId="30B30E3B" w14:textId="77777777" w:rsidR="009F4766" w:rsidRPr="00DE12A3" w:rsidRDefault="009F4766" w:rsidP="00C917D6">
            <w:pPr>
              <w:pStyle w:val="NormalLeft"/>
            </w:pPr>
            <w:r w:rsidRPr="00DE12A3">
              <w:t>708</w:t>
            </w:r>
          </w:p>
        </w:tc>
        <w:tc>
          <w:tcPr>
            <w:tcW w:w="2489" w:type="dxa"/>
            <w:tcBorders>
              <w:top w:val="single" w:sz="2" w:space="0" w:color="auto"/>
              <w:left w:val="single" w:sz="2" w:space="0" w:color="auto"/>
              <w:bottom w:val="single" w:sz="2" w:space="0" w:color="auto"/>
              <w:right w:val="single" w:sz="2" w:space="0" w:color="auto"/>
            </w:tcBorders>
          </w:tcPr>
          <w:p w14:paraId="6035AD32" w14:textId="77777777" w:rsidR="009F4766" w:rsidRPr="00DE12A3" w:rsidRDefault="009F4766" w:rsidP="00C917D6">
            <w:pPr>
              <w:pStyle w:val="NormalLeft"/>
            </w:pPr>
            <w:r w:rsidRPr="00DE12A3">
              <w:t>11</w:t>
            </w:r>
          </w:p>
        </w:tc>
        <w:tc>
          <w:tcPr>
            <w:tcW w:w="2551" w:type="dxa"/>
            <w:tcBorders>
              <w:top w:val="single" w:sz="2" w:space="0" w:color="auto"/>
              <w:left w:val="single" w:sz="2" w:space="0" w:color="auto"/>
              <w:bottom w:val="single" w:sz="2" w:space="0" w:color="auto"/>
              <w:right w:val="single" w:sz="2" w:space="0" w:color="auto"/>
            </w:tcBorders>
          </w:tcPr>
          <w:p w14:paraId="0642471C" w14:textId="77777777" w:rsidR="009F4766" w:rsidRPr="00DE12A3" w:rsidRDefault="009F4766" w:rsidP="00C917D6">
            <w:pPr>
              <w:pStyle w:val="NormalLeft"/>
            </w:pPr>
            <w:r w:rsidRPr="00DE12A3">
              <w:t>71</w:t>
            </w:r>
          </w:p>
        </w:tc>
      </w:tr>
      <w:tr w:rsidR="00DE12A3" w:rsidRPr="00DE12A3" w14:paraId="42252855" w14:textId="77777777" w:rsidTr="009F4766">
        <w:tc>
          <w:tcPr>
            <w:tcW w:w="1182" w:type="dxa"/>
            <w:tcBorders>
              <w:top w:val="single" w:sz="2" w:space="0" w:color="auto"/>
              <w:left w:val="single" w:sz="2" w:space="0" w:color="auto"/>
              <w:bottom w:val="single" w:sz="2" w:space="0" w:color="auto"/>
              <w:right w:val="single" w:sz="2" w:space="0" w:color="auto"/>
            </w:tcBorders>
          </w:tcPr>
          <w:p w14:paraId="45DDC968" w14:textId="77777777" w:rsidR="009F4766" w:rsidRPr="00DE12A3" w:rsidRDefault="009F4766" w:rsidP="00C917D6">
            <w:pPr>
              <w:pStyle w:val="NormalLeft"/>
            </w:pPr>
            <w:r w:rsidRPr="00DE12A3">
              <w:t>709</w:t>
            </w:r>
          </w:p>
        </w:tc>
        <w:tc>
          <w:tcPr>
            <w:tcW w:w="2489" w:type="dxa"/>
            <w:tcBorders>
              <w:top w:val="single" w:sz="2" w:space="0" w:color="auto"/>
              <w:left w:val="single" w:sz="2" w:space="0" w:color="auto"/>
              <w:bottom w:val="single" w:sz="2" w:space="0" w:color="auto"/>
              <w:right w:val="single" w:sz="2" w:space="0" w:color="auto"/>
            </w:tcBorders>
          </w:tcPr>
          <w:p w14:paraId="6884646F" w14:textId="77777777" w:rsidR="009F4766" w:rsidRPr="00DE12A3" w:rsidRDefault="009F4766" w:rsidP="00C917D6">
            <w:pPr>
              <w:pStyle w:val="NormalLeft"/>
            </w:pPr>
            <w:r w:rsidRPr="00DE12A3">
              <w:t>4</w:t>
            </w:r>
          </w:p>
        </w:tc>
        <w:tc>
          <w:tcPr>
            <w:tcW w:w="2551" w:type="dxa"/>
            <w:tcBorders>
              <w:top w:val="single" w:sz="2" w:space="0" w:color="auto"/>
              <w:left w:val="single" w:sz="2" w:space="0" w:color="auto"/>
              <w:bottom w:val="single" w:sz="2" w:space="0" w:color="auto"/>
              <w:right w:val="single" w:sz="2" w:space="0" w:color="auto"/>
            </w:tcBorders>
          </w:tcPr>
          <w:p w14:paraId="3A0DE55E" w14:textId="77777777" w:rsidR="009F4766" w:rsidRPr="00DE12A3" w:rsidRDefault="009F4766" w:rsidP="00C917D6">
            <w:pPr>
              <w:pStyle w:val="NormalLeft"/>
            </w:pPr>
            <w:r w:rsidRPr="00DE12A3">
              <w:t>58</w:t>
            </w:r>
          </w:p>
        </w:tc>
      </w:tr>
      <w:tr w:rsidR="00DE12A3" w:rsidRPr="00DE12A3" w14:paraId="709C7A8F" w14:textId="77777777" w:rsidTr="009F4766">
        <w:tc>
          <w:tcPr>
            <w:tcW w:w="1182" w:type="dxa"/>
            <w:tcBorders>
              <w:top w:val="single" w:sz="2" w:space="0" w:color="auto"/>
              <w:left w:val="single" w:sz="2" w:space="0" w:color="auto"/>
              <w:bottom w:val="single" w:sz="2" w:space="0" w:color="auto"/>
              <w:right w:val="single" w:sz="2" w:space="0" w:color="auto"/>
            </w:tcBorders>
          </w:tcPr>
          <w:p w14:paraId="26890EE9" w14:textId="77777777" w:rsidR="009F4766" w:rsidRPr="00DE12A3" w:rsidRDefault="009F4766" w:rsidP="00C917D6">
            <w:pPr>
              <w:pStyle w:val="NormalLeft"/>
            </w:pPr>
            <w:r w:rsidRPr="00DE12A3">
              <w:t>710</w:t>
            </w:r>
          </w:p>
        </w:tc>
        <w:tc>
          <w:tcPr>
            <w:tcW w:w="2489" w:type="dxa"/>
            <w:tcBorders>
              <w:top w:val="single" w:sz="2" w:space="0" w:color="auto"/>
              <w:left w:val="single" w:sz="2" w:space="0" w:color="auto"/>
              <w:bottom w:val="single" w:sz="2" w:space="0" w:color="auto"/>
              <w:right w:val="single" w:sz="2" w:space="0" w:color="auto"/>
            </w:tcBorders>
          </w:tcPr>
          <w:p w14:paraId="730DC5CD" w14:textId="77777777" w:rsidR="009F4766" w:rsidRPr="00DE12A3" w:rsidRDefault="009F4766" w:rsidP="00C917D6">
            <w:pPr>
              <w:pStyle w:val="NormalLeft"/>
            </w:pPr>
            <w:r w:rsidRPr="00DE12A3">
              <w:t>5</w:t>
            </w:r>
          </w:p>
        </w:tc>
        <w:tc>
          <w:tcPr>
            <w:tcW w:w="2551" w:type="dxa"/>
            <w:tcBorders>
              <w:top w:val="single" w:sz="2" w:space="0" w:color="auto"/>
              <w:left w:val="single" w:sz="2" w:space="0" w:color="auto"/>
              <w:bottom w:val="single" w:sz="2" w:space="0" w:color="auto"/>
              <w:right w:val="single" w:sz="2" w:space="0" w:color="auto"/>
            </w:tcBorders>
          </w:tcPr>
          <w:p w14:paraId="726A3C69" w14:textId="77777777" w:rsidR="009F4766" w:rsidRPr="00DE12A3" w:rsidRDefault="009F4766" w:rsidP="00C917D6">
            <w:pPr>
              <w:pStyle w:val="NormalLeft"/>
            </w:pPr>
            <w:r w:rsidRPr="00DE12A3">
              <w:t>58</w:t>
            </w:r>
          </w:p>
        </w:tc>
      </w:tr>
      <w:tr w:rsidR="00DE12A3" w:rsidRPr="00DE12A3" w14:paraId="48935C8E" w14:textId="77777777" w:rsidTr="009F4766">
        <w:tc>
          <w:tcPr>
            <w:tcW w:w="1182" w:type="dxa"/>
            <w:tcBorders>
              <w:top w:val="single" w:sz="2" w:space="0" w:color="auto"/>
              <w:left w:val="single" w:sz="2" w:space="0" w:color="auto"/>
              <w:bottom w:val="single" w:sz="2" w:space="0" w:color="auto"/>
              <w:right w:val="single" w:sz="2" w:space="0" w:color="auto"/>
            </w:tcBorders>
          </w:tcPr>
          <w:p w14:paraId="3E16A7E0" w14:textId="77777777" w:rsidR="009F4766" w:rsidRPr="00DE12A3" w:rsidRDefault="009F4766" w:rsidP="00C917D6">
            <w:pPr>
              <w:pStyle w:val="NormalLeft"/>
            </w:pPr>
            <w:r w:rsidRPr="00DE12A3">
              <w:t>711</w:t>
            </w:r>
          </w:p>
        </w:tc>
        <w:tc>
          <w:tcPr>
            <w:tcW w:w="2489" w:type="dxa"/>
            <w:tcBorders>
              <w:top w:val="single" w:sz="2" w:space="0" w:color="auto"/>
              <w:left w:val="single" w:sz="2" w:space="0" w:color="auto"/>
              <w:bottom w:val="single" w:sz="2" w:space="0" w:color="auto"/>
              <w:right w:val="single" w:sz="2" w:space="0" w:color="auto"/>
            </w:tcBorders>
          </w:tcPr>
          <w:p w14:paraId="063313D2" w14:textId="77777777" w:rsidR="009F4766" w:rsidRPr="00DE12A3" w:rsidRDefault="009F4766" w:rsidP="00C917D6">
            <w:pPr>
              <w:pStyle w:val="NormalLeft"/>
            </w:pPr>
            <w:r w:rsidRPr="00DE12A3">
              <w:t>10</w:t>
            </w:r>
          </w:p>
        </w:tc>
        <w:tc>
          <w:tcPr>
            <w:tcW w:w="2551" w:type="dxa"/>
            <w:tcBorders>
              <w:top w:val="single" w:sz="2" w:space="0" w:color="auto"/>
              <w:left w:val="single" w:sz="2" w:space="0" w:color="auto"/>
              <w:bottom w:val="single" w:sz="2" w:space="0" w:color="auto"/>
              <w:right w:val="single" w:sz="2" w:space="0" w:color="auto"/>
            </w:tcBorders>
          </w:tcPr>
          <w:p w14:paraId="708C11CA" w14:textId="77777777" w:rsidR="009F4766" w:rsidRPr="00DE12A3" w:rsidRDefault="009F4766" w:rsidP="00C917D6">
            <w:pPr>
              <w:pStyle w:val="NormalLeft"/>
            </w:pPr>
            <w:r w:rsidRPr="00DE12A3">
              <w:t>56</w:t>
            </w:r>
          </w:p>
        </w:tc>
      </w:tr>
      <w:tr w:rsidR="00DE12A3" w:rsidRPr="00DE12A3" w14:paraId="48242EF4" w14:textId="77777777" w:rsidTr="009F4766">
        <w:tc>
          <w:tcPr>
            <w:tcW w:w="1182" w:type="dxa"/>
            <w:tcBorders>
              <w:top w:val="single" w:sz="2" w:space="0" w:color="auto"/>
              <w:left w:val="single" w:sz="2" w:space="0" w:color="auto"/>
              <w:bottom w:val="single" w:sz="2" w:space="0" w:color="auto"/>
              <w:right w:val="single" w:sz="2" w:space="0" w:color="auto"/>
            </w:tcBorders>
          </w:tcPr>
          <w:p w14:paraId="58529C42" w14:textId="77777777" w:rsidR="009F4766" w:rsidRPr="00DE12A3" w:rsidRDefault="009F4766" w:rsidP="00C917D6">
            <w:pPr>
              <w:pStyle w:val="NormalLeft"/>
            </w:pPr>
            <w:r w:rsidRPr="00DE12A3">
              <w:t>712</w:t>
            </w:r>
          </w:p>
        </w:tc>
        <w:tc>
          <w:tcPr>
            <w:tcW w:w="2489" w:type="dxa"/>
            <w:tcBorders>
              <w:top w:val="single" w:sz="2" w:space="0" w:color="auto"/>
              <w:left w:val="single" w:sz="2" w:space="0" w:color="auto"/>
              <w:bottom w:val="single" w:sz="2" w:space="0" w:color="auto"/>
              <w:right w:val="single" w:sz="2" w:space="0" w:color="auto"/>
            </w:tcBorders>
          </w:tcPr>
          <w:p w14:paraId="744186A9" w14:textId="77777777" w:rsidR="009F4766" w:rsidRPr="00DE12A3" w:rsidRDefault="009F4766" w:rsidP="00C917D6">
            <w:pPr>
              <w:pStyle w:val="NormalLeft"/>
            </w:pPr>
            <w:r w:rsidRPr="00DE12A3">
              <w:t>20</w:t>
            </w:r>
          </w:p>
        </w:tc>
        <w:tc>
          <w:tcPr>
            <w:tcW w:w="2551" w:type="dxa"/>
            <w:tcBorders>
              <w:top w:val="single" w:sz="2" w:space="0" w:color="auto"/>
              <w:left w:val="single" w:sz="2" w:space="0" w:color="auto"/>
              <w:bottom w:val="single" w:sz="2" w:space="0" w:color="auto"/>
              <w:right w:val="single" w:sz="2" w:space="0" w:color="auto"/>
            </w:tcBorders>
          </w:tcPr>
          <w:p w14:paraId="10D7F6CF" w14:textId="77777777" w:rsidR="009F4766" w:rsidRPr="00DE12A3" w:rsidRDefault="009F4766" w:rsidP="00C917D6">
            <w:pPr>
              <w:pStyle w:val="NormalLeft"/>
            </w:pPr>
            <w:r w:rsidRPr="00DE12A3">
              <w:t>63</w:t>
            </w:r>
          </w:p>
        </w:tc>
      </w:tr>
      <w:tr w:rsidR="00DE12A3" w:rsidRPr="00DE12A3" w14:paraId="529B007D" w14:textId="77777777" w:rsidTr="009F4766">
        <w:tc>
          <w:tcPr>
            <w:tcW w:w="1182" w:type="dxa"/>
            <w:tcBorders>
              <w:top w:val="single" w:sz="2" w:space="0" w:color="auto"/>
              <w:left w:val="single" w:sz="2" w:space="0" w:color="auto"/>
              <w:bottom w:val="single" w:sz="2" w:space="0" w:color="auto"/>
              <w:right w:val="single" w:sz="2" w:space="0" w:color="auto"/>
            </w:tcBorders>
          </w:tcPr>
          <w:p w14:paraId="2F2A129F" w14:textId="77777777" w:rsidR="009F4766" w:rsidRPr="00DE12A3" w:rsidRDefault="009F4766" w:rsidP="00C917D6">
            <w:pPr>
              <w:pStyle w:val="NormalLeft"/>
            </w:pPr>
            <w:r w:rsidRPr="00DE12A3">
              <w:t>713</w:t>
            </w:r>
          </w:p>
        </w:tc>
        <w:tc>
          <w:tcPr>
            <w:tcW w:w="2489" w:type="dxa"/>
            <w:tcBorders>
              <w:top w:val="single" w:sz="2" w:space="0" w:color="auto"/>
              <w:left w:val="single" w:sz="2" w:space="0" w:color="auto"/>
              <w:bottom w:val="single" w:sz="2" w:space="0" w:color="auto"/>
              <w:right w:val="single" w:sz="2" w:space="0" w:color="auto"/>
            </w:tcBorders>
          </w:tcPr>
          <w:p w14:paraId="7C191847" w14:textId="77777777" w:rsidR="009F4766" w:rsidRPr="00DE12A3" w:rsidRDefault="009F4766" w:rsidP="00C917D6">
            <w:pPr>
              <w:pStyle w:val="NormalLeft"/>
            </w:pPr>
            <w:r w:rsidRPr="00DE12A3">
              <w:t>13</w:t>
            </w:r>
          </w:p>
        </w:tc>
        <w:tc>
          <w:tcPr>
            <w:tcW w:w="2551" w:type="dxa"/>
            <w:tcBorders>
              <w:top w:val="single" w:sz="2" w:space="0" w:color="auto"/>
              <w:left w:val="single" w:sz="2" w:space="0" w:color="auto"/>
              <w:bottom w:val="single" w:sz="2" w:space="0" w:color="auto"/>
              <w:right w:val="single" w:sz="2" w:space="0" w:color="auto"/>
            </w:tcBorders>
          </w:tcPr>
          <w:p w14:paraId="69C556AC" w14:textId="77777777" w:rsidR="009F4766" w:rsidRPr="00DE12A3" w:rsidRDefault="009F4766" w:rsidP="00C917D6">
            <w:pPr>
              <w:pStyle w:val="NormalLeft"/>
            </w:pPr>
            <w:r w:rsidRPr="00DE12A3">
              <w:t>76</w:t>
            </w:r>
          </w:p>
        </w:tc>
      </w:tr>
      <w:tr w:rsidR="00DE12A3" w:rsidRPr="00DE12A3" w14:paraId="6A96D5B8" w14:textId="77777777" w:rsidTr="009F4766">
        <w:tc>
          <w:tcPr>
            <w:tcW w:w="1182" w:type="dxa"/>
            <w:tcBorders>
              <w:top w:val="single" w:sz="2" w:space="0" w:color="auto"/>
              <w:left w:val="single" w:sz="2" w:space="0" w:color="auto"/>
              <w:bottom w:val="single" w:sz="2" w:space="0" w:color="auto"/>
              <w:right w:val="single" w:sz="2" w:space="0" w:color="auto"/>
            </w:tcBorders>
          </w:tcPr>
          <w:p w14:paraId="1F6EACDB" w14:textId="77777777" w:rsidR="009F4766" w:rsidRPr="00DE12A3" w:rsidRDefault="009F4766" w:rsidP="00C917D6">
            <w:pPr>
              <w:pStyle w:val="NormalLeft"/>
            </w:pPr>
            <w:r w:rsidRPr="00DE12A3">
              <w:t>714</w:t>
            </w:r>
          </w:p>
        </w:tc>
        <w:tc>
          <w:tcPr>
            <w:tcW w:w="2489" w:type="dxa"/>
            <w:tcBorders>
              <w:top w:val="single" w:sz="2" w:space="0" w:color="auto"/>
              <w:left w:val="single" w:sz="2" w:space="0" w:color="auto"/>
              <w:bottom w:val="single" w:sz="2" w:space="0" w:color="auto"/>
              <w:right w:val="single" w:sz="2" w:space="0" w:color="auto"/>
            </w:tcBorders>
          </w:tcPr>
          <w:p w14:paraId="73EA012E" w14:textId="77777777" w:rsidR="009F4766" w:rsidRPr="00DE12A3" w:rsidRDefault="009F4766" w:rsidP="00C917D6">
            <w:pPr>
              <w:pStyle w:val="NormalLeft"/>
            </w:pPr>
            <w:r w:rsidRPr="00DE12A3">
              <w:t>11</w:t>
            </w:r>
          </w:p>
        </w:tc>
        <w:tc>
          <w:tcPr>
            <w:tcW w:w="2551" w:type="dxa"/>
            <w:tcBorders>
              <w:top w:val="single" w:sz="2" w:space="0" w:color="auto"/>
              <w:left w:val="single" w:sz="2" w:space="0" w:color="auto"/>
              <w:bottom w:val="single" w:sz="2" w:space="0" w:color="auto"/>
              <w:right w:val="single" w:sz="2" w:space="0" w:color="auto"/>
            </w:tcBorders>
          </w:tcPr>
          <w:p w14:paraId="733C47AE" w14:textId="77777777" w:rsidR="009F4766" w:rsidRPr="00DE12A3" w:rsidRDefault="009F4766" w:rsidP="00C917D6">
            <w:pPr>
              <w:pStyle w:val="NormalLeft"/>
            </w:pPr>
            <w:r w:rsidRPr="00DE12A3">
              <w:t>65</w:t>
            </w:r>
          </w:p>
        </w:tc>
      </w:tr>
      <w:tr w:rsidR="00DE12A3" w:rsidRPr="00DE12A3" w14:paraId="4DA742B6" w14:textId="77777777" w:rsidTr="009F4766">
        <w:tc>
          <w:tcPr>
            <w:tcW w:w="1182" w:type="dxa"/>
            <w:tcBorders>
              <w:top w:val="single" w:sz="2" w:space="0" w:color="auto"/>
              <w:left w:val="single" w:sz="2" w:space="0" w:color="auto"/>
              <w:bottom w:val="single" w:sz="2" w:space="0" w:color="auto"/>
              <w:right w:val="single" w:sz="2" w:space="0" w:color="auto"/>
            </w:tcBorders>
          </w:tcPr>
          <w:p w14:paraId="3791E942" w14:textId="77777777" w:rsidR="009F4766" w:rsidRPr="00DE12A3" w:rsidRDefault="009F4766" w:rsidP="00C917D6">
            <w:pPr>
              <w:pStyle w:val="NormalLeft"/>
            </w:pPr>
            <w:r w:rsidRPr="00DE12A3">
              <w:t>715</w:t>
            </w:r>
          </w:p>
        </w:tc>
        <w:tc>
          <w:tcPr>
            <w:tcW w:w="2489" w:type="dxa"/>
            <w:tcBorders>
              <w:top w:val="single" w:sz="2" w:space="0" w:color="auto"/>
              <w:left w:val="single" w:sz="2" w:space="0" w:color="auto"/>
              <w:bottom w:val="single" w:sz="2" w:space="0" w:color="auto"/>
              <w:right w:val="single" w:sz="2" w:space="0" w:color="auto"/>
            </w:tcBorders>
          </w:tcPr>
          <w:p w14:paraId="73AE54A7" w14:textId="77777777" w:rsidR="009F4766" w:rsidRPr="00DE12A3" w:rsidRDefault="009F4766" w:rsidP="00C917D6">
            <w:pPr>
              <w:pStyle w:val="NormalLeft"/>
            </w:pPr>
            <w:r w:rsidRPr="00DE12A3">
              <w:t>9</w:t>
            </w:r>
          </w:p>
        </w:tc>
        <w:tc>
          <w:tcPr>
            <w:tcW w:w="2551" w:type="dxa"/>
            <w:tcBorders>
              <w:top w:val="single" w:sz="2" w:space="0" w:color="auto"/>
              <w:left w:val="single" w:sz="2" w:space="0" w:color="auto"/>
              <w:bottom w:val="single" w:sz="2" w:space="0" w:color="auto"/>
              <w:right w:val="single" w:sz="2" w:space="0" w:color="auto"/>
            </w:tcBorders>
          </w:tcPr>
          <w:p w14:paraId="01F2760B" w14:textId="77777777" w:rsidR="009F4766" w:rsidRPr="00DE12A3" w:rsidRDefault="009F4766" w:rsidP="00C917D6">
            <w:pPr>
              <w:pStyle w:val="NormalLeft"/>
            </w:pPr>
            <w:r w:rsidRPr="00DE12A3">
              <w:t>60</w:t>
            </w:r>
          </w:p>
        </w:tc>
      </w:tr>
      <w:tr w:rsidR="00DE12A3" w:rsidRPr="00DE12A3" w14:paraId="71797543" w14:textId="77777777" w:rsidTr="009F4766">
        <w:tc>
          <w:tcPr>
            <w:tcW w:w="1182" w:type="dxa"/>
            <w:tcBorders>
              <w:top w:val="single" w:sz="2" w:space="0" w:color="auto"/>
              <w:left w:val="single" w:sz="2" w:space="0" w:color="auto"/>
              <w:bottom w:val="single" w:sz="2" w:space="0" w:color="auto"/>
              <w:right w:val="single" w:sz="2" w:space="0" w:color="auto"/>
            </w:tcBorders>
          </w:tcPr>
          <w:p w14:paraId="24B71B3C" w14:textId="77777777" w:rsidR="009F4766" w:rsidRPr="00DE12A3" w:rsidRDefault="009F4766" w:rsidP="00C917D6">
            <w:pPr>
              <w:pStyle w:val="NormalLeft"/>
            </w:pPr>
            <w:r w:rsidRPr="00DE12A3">
              <w:t>716</w:t>
            </w:r>
          </w:p>
        </w:tc>
        <w:tc>
          <w:tcPr>
            <w:tcW w:w="2489" w:type="dxa"/>
            <w:tcBorders>
              <w:top w:val="single" w:sz="2" w:space="0" w:color="auto"/>
              <w:left w:val="single" w:sz="2" w:space="0" w:color="auto"/>
              <w:bottom w:val="single" w:sz="2" w:space="0" w:color="auto"/>
              <w:right w:val="single" w:sz="2" w:space="0" w:color="auto"/>
            </w:tcBorders>
          </w:tcPr>
          <w:p w14:paraId="1F9C927C" w14:textId="77777777" w:rsidR="009F4766" w:rsidRPr="00DE12A3" w:rsidRDefault="009F4766" w:rsidP="00C917D6">
            <w:pPr>
              <w:pStyle w:val="NormalLeft"/>
            </w:pPr>
            <w:r w:rsidRPr="00DE12A3">
              <w:t>7</w:t>
            </w:r>
          </w:p>
        </w:tc>
        <w:tc>
          <w:tcPr>
            <w:tcW w:w="2551" w:type="dxa"/>
            <w:tcBorders>
              <w:top w:val="single" w:sz="2" w:space="0" w:color="auto"/>
              <w:left w:val="single" w:sz="2" w:space="0" w:color="auto"/>
              <w:bottom w:val="single" w:sz="2" w:space="0" w:color="auto"/>
              <w:right w:val="single" w:sz="2" w:space="0" w:color="auto"/>
            </w:tcBorders>
          </w:tcPr>
          <w:p w14:paraId="54AC4FAD" w14:textId="77777777" w:rsidR="009F4766" w:rsidRPr="00DE12A3" w:rsidRDefault="009F4766" w:rsidP="00C917D6">
            <w:pPr>
              <w:pStyle w:val="NormalLeft"/>
            </w:pPr>
            <w:r w:rsidRPr="00DE12A3">
              <w:t>55</w:t>
            </w:r>
          </w:p>
        </w:tc>
      </w:tr>
      <w:tr w:rsidR="00DE12A3" w:rsidRPr="00DE12A3" w14:paraId="19AB3EA8" w14:textId="77777777" w:rsidTr="009F4766">
        <w:tc>
          <w:tcPr>
            <w:tcW w:w="1182" w:type="dxa"/>
            <w:tcBorders>
              <w:top w:val="single" w:sz="2" w:space="0" w:color="auto"/>
              <w:left w:val="single" w:sz="2" w:space="0" w:color="auto"/>
              <w:bottom w:val="single" w:sz="2" w:space="0" w:color="auto"/>
              <w:right w:val="single" w:sz="2" w:space="0" w:color="auto"/>
            </w:tcBorders>
          </w:tcPr>
          <w:p w14:paraId="5B948E3D" w14:textId="77777777" w:rsidR="009F4766" w:rsidRPr="00DE12A3" w:rsidRDefault="009F4766" w:rsidP="00C917D6">
            <w:pPr>
              <w:pStyle w:val="NormalLeft"/>
            </w:pPr>
            <w:r w:rsidRPr="00DE12A3">
              <w:t>717</w:t>
            </w:r>
          </w:p>
        </w:tc>
        <w:tc>
          <w:tcPr>
            <w:tcW w:w="2489" w:type="dxa"/>
            <w:tcBorders>
              <w:top w:val="single" w:sz="2" w:space="0" w:color="auto"/>
              <w:left w:val="single" w:sz="2" w:space="0" w:color="auto"/>
              <w:bottom w:val="single" w:sz="2" w:space="0" w:color="auto"/>
              <w:right w:val="single" w:sz="2" w:space="0" w:color="auto"/>
            </w:tcBorders>
          </w:tcPr>
          <w:p w14:paraId="6D21A096" w14:textId="77777777" w:rsidR="009F4766" w:rsidRPr="00DE12A3" w:rsidRDefault="009F4766" w:rsidP="00C917D6">
            <w:pPr>
              <w:pStyle w:val="NormalLeft"/>
            </w:pPr>
            <w:r w:rsidRPr="00DE12A3">
              <w:t>8</w:t>
            </w:r>
          </w:p>
        </w:tc>
        <w:tc>
          <w:tcPr>
            <w:tcW w:w="2551" w:type="dxa"/>
            <w:tcBorders>
              <w:top w:val="single" w:sz="2" w:space="0" w:color="auto"/>
              <w:left w:val="single" w:sz="2" w:space="0" w:color="auto"/>
              <w:bottom w:val="single" w:sz="2" w:space="0" w:color="auto"/>
              <w:right w:val="single" w:sz="2" w:space="0" w:color="auto"/>
            </w:tcBorders>
          </w:tcPr>
          <w:p w14:paraId="3E1A7FF2" w14:textId="77777777" w:rsidR="009F4766" w:rsidRPr="00DE12A3" w:rsidRDefault="009F4766" w:rsidP="00C917D6">
            <w:pPr>
              <w:pStyle w:val="NormalLeft"/>
            </w:pPr>
            <w:r w:rsidRPr="00DE12A3">
              <w:t>53</w:t>
            </w:r>
          </w:p>
        </w:tc>
      </w:tr>
      <w:tr w:rsidR="00DE12A3" w:rsidRPr="00DE12A3" w14:paraId="533A44EE" w14:textId="77777777" w:rsidTr="009F4766">
        <w:tc>
          <w:tcPr>
            <w:tcW w:w="1182" w:type="dxa"/>
            <w:tcBorders>
              <w:top w:val="single" w:sz="2" w:space="0" w:color="auto"/>
              <w:left w:val="single" w:sz="2" w:space="0" w:color="auto"/>
              <w:bottom w:val="single" w:sz="2" w:space="0" w:color="auto"/>
              <w:right w:val="single" w:sz="2" w:space="0" w:color="auto"/>
            </w:tcBorders>
          </w:tcPr>
          <w:p w14:paraId="598F8168" w14:textId="77777777" w:rsidR="009F4766" w:rsidRPr="00DE12A3" w:rsidRDefault="009F4766" w:rsidP="00C917D6">
            <w:pPr>
              <w:pStyle w:val="NormalLeft"/>
            </w:pPr>
            <w:r w:rsidRPr="00DE12A3">
              <w:t>718</w:t>
            </w:r>
          </w:p>
        </w:tc>
        <w:tc>
          <w:tcPr>
            <w:tcW w:w="2489" w:type="dxa"/>
            <w:tcBorders>
              <w:top w:val="single" w:sz="2" w:space="0" w:color="auto"/>
              <w:left w:val="single" w:sz="2" w:space="0" w:color="auto"/>
              <w:bottom w:val="single" w:sz="2" w:space="0" w:color="auto"/>
              <w:right w:val="single" w:sz="2" w:space="0" w:color="auto"/>
            </w:tcBorders>
          </w:tcPr>
          <w:p w14:paraId="71644C78" w14:textId="77777777" w:rsidR="009F4766" w:rsidRPr="00DE12A3" w:rsidRDefault="009F4766" w:rsidP="00C917D6">
            <w:pPr>
              <w:pStyle w:val="NormalLeft"/>
            </w:pPr>
            <w:r w:rsidRPr="00DE12A3">
              <w:t>10</w:t>
            </w:r>
          </w:p>
        </w:tc>
        <w:tc>
          <w:tcPr>
            <w:tcW w:w="2551" w:type="dxa"/>
            <w:tcBorders>
              <w:top w:val="single" w:sz="2" w:space="0" w:color="auto"/>
              <w:left w:val="single" w:sz="2" w:space="0" w:color="auto"/>
              <w:bottom w:val="single" w:sz="2" w:space="0" w:color="auto"/>
              <w:right w:val="single" w:sz="2" w:space="0" w:color="auto"/>
            </w:tcBorders>
          </w:tcPr>
          <w:p w14:paraId="2FD681B2" w14:textId="77777777" w:rsidR="009F4766" w:rsidRPr="00DE12A3" w:rsidRDefault="009F4766" w:rsidP="00C917D6">
            <w:pPr>
              <w:pStyle w:val="NormalLeft"/>
            </w:pPr>
            <w:r w:rsidRPr="00DE12A3">
              <w:t>60</w:t>
            </w:r>
          </w:p>
        </w:tc>
      </w:tr>
      <w:tr w:rsidR="00DE12A3" w:rsidRPr="00DE12A3" w14:paraId="49541356" w14:textId="77777777" w:rsidTr="009F4766">
        <w:tc>
          <w:tcPr>
            <w:tcW w:w="1182" w:type="dxa"/>
            <w:tcBorders>
              <w:top w:val="single" w:sz="2" w:space="0" w:color="auto"/>
              <w:left w:val="single" w:sz="2" w:space="0" w:color="auto"/>
              <w:bottom w:val="single" w:sz="2" w:space="0" w:color="auto"/>
              <w:right w:val="single" w:sz="2" w:space="0" w:color="auto"/>
            </w:tcBorders>
          </w:tcPr>
          <w:p w14:paraId="7D73524C" w14:textId="77777777" w:rsidR="009F4766" w:rsidRPr="00DE12A3" w:rsidRDefault="009F4766" w:rsidP="00C917D6">
            <w:pPr>
              <w:pStyle w:val="NormalLeft"/>
            </w:pPr>
            <w:r w:rsidRPr="00DE12A3">
              <w:t>719</w:t>
            </w:r>
          </w:p>
        </w:tc>
        <w:tc>
          <w:tcPr>
            <w:tcW w:w="2489" w:type="dxa"/>
            <w:tcBorders>
              <w:top w:val="single" w:sz="2" w:space="0" w:color="auto"/>
              <w:left w:val="single" w:sz="2" w:space="0" w:color="auto"/>
              <w:bottom w:val="single" w:sz="2" w:space="0" w:color="auto"/>
              <w:right w:val="single" w:sz="2" w:space="0" w:color="auto"/>
            </w:tcBorders>
          </w:tcPr>
          <w:p w14:paraId="4C2926C5" w14:textId="77777777" w:rsidR="009F4766" w:rsidRPr="00DE12A3" w:rsidRDefault="009F4766" w:rsidP="00C917D6">
            <w:pPr>
              <w:pStyle w:val="NormalLeft"/>
            </w:pPr>
            <w:r w:rsidRPr="00DE12A3">
              <w:t>28</w:t>
            </w:r>
          </w:p>
        </w:tc>
        <w:tc>
          <w:tcPr>
            <w:tcW w:w="2551" w:type="dxa"/>
            <w:tcBorders>
              <w:top w:val="single" w:sz="2" w:space="0" w:color="auto"/>
              <w:left w:val="single" w:sz="2" w:space="0" w:color="auto"/>
              <w:bottom w:val="single" w:sz="2" w:space="0" w:color="auto"/>
              <w:right w:val="single" w:sz="2" w:space="0" w:color="auto"/>
            </w:tcBorders>
          </w:tcPr>
          <w:p w14:paraId="61C12277" w14:textId="77777777" w:rsidR="009F4766" w:rsidRPr="00DE12A3" w:rsidRDefault="009F4766" w:rsidP="00C917D6">
            <w:pPr>
              <w:pStyle w:val="NormalLeft"/>
            </w:pPr>
            <w:r w:rsidRPr="00DE12A3">
              <w:t>53</w:t>
            </w:r>
          </w:p>
        </w:tc>
      </w:tr>
      <w:tr w:rsidR="00DE12A3" w:rsidRPr="00DE12A3" w14:paraId="34E935F2" w14:textId="77777777" w:rsidTr="009F4766">
        <w:tc>
          <w:tcPr>
            <w:tcW w:w="1182" w:type="dxa"/>
            <w:tcBorders>
              <w:top w:val="single" w:sz="2" w:space="0" w:color="auto"/>
              <w:left w:val="single" w:sz="2" w:space="0" w:color="auto"/>
              <w:bottom w:val="single" w:sz="2" w:space="0" w:color="auto"/>
              <w:right w:val="single" w:sz="2" w:space="0" w:color="auto"/>
            </w:tcBorders>
          </w:tcPr>
          <w:p w14:paraId="3976977E" w14:textId="77777777" w:rsidR="009F4766" w:rsidRPr="00DE12A3" w:rsidRDefault="009F4766" w:rsidP="00C917D6">
            <w:pPr>
              <w:pStyle w:val="NormalLeft"/>
            </w:pPr>
            <w:r w:rsidRPr="00DE12A3">
              <w:t>720</w:t>
            </w:r>
          </w:p>
        </w:tc>
        <w:tc>
          <w:tcPr>
            <w:tcW w:w="2489" w:type="dxa"/>
            <w:tcBorders>
              <w:top w:val="single" w:sz="2" w:space="0" w:color="auto"/>
              <w:left w:val="single" w:sz="2" w:space="0" w:color="auto"/>
              <w:bottom w:val="single" w:sz="2" w:space="0" w:color="auto"/>
              <w:right w:val="single" w:sz="2" w:space="0" w:color="auto"/>
            </w:tcBorders>
          </w:tcPr>
          <w:p w14:paraId="159EA108" w14:textId="77777777" w:rsidR="009F4766" w:rsidRPr="00DE12A3" w:rsidRDefault="009F4766" w:rsidP="00C917D6">
            <w:pPr>
              <w:pStyle w:val="NormalLeft"/>
            </w:pPr>
            <w:r w:rsidRPr="00DE12A3">
              <w:t>12</w:t>
            </w:r>
          </w:p>
        </w:tc>
        <w:tc>
          <w:tcPr>
            <w:tcW w:w="2551" w:type="dxa"/>
            <w:tcBorders>
              <w:top w:val="single" w:sz="2" w:space="0" w:color="auto"/>
              <w:left w:val="single" w:sz="2" w:space="0" w:color="auto"/>
              <w:bottom w:val="single" w:sz="2" w:space="0" w:color="auto"/>
              <w:right w:val="single" w:sz="2" w:space="0" w:color="auto"/>
            </w:tcBorders>
          </w:tcPr>
          <w:p w14:paraId="019464BC" w14:textId="77777777" w:rsidR="009F4766" w:rsidRPr="00DE12A3" w:rsidRDefault="009F4766" w:rsidP="00C917D6">
            <w:pPr>
              <w:pStyle w:val="NormalLeft"/>
            </w:pPr>
            <w:r w:rsidRPr="00DE12A3">
              <w:t>73</w:t>
            </w:r>
          </w:p>
        </w:tc>
      </w:tr>
      <w:tr w:rsidR="00DE12A3" w:rsidRPr="00DE12A3" w14:paraId="71BE9132" w14:textId="77777777" w:rsidTr="009F4766">
        <w:tc>
          <w:tcPr>
            <w:tcW w:w="1182" w:type="dxa"/>
            <w:tcBorders>
              <w:top w:val="single" w:sz="2" w:space="0" w:color="auto"/>
              <w:left w:val="single" w:sz="2" w:space="0" w:color="auto"/>
              <w:bottom w:val="single" w:sz="2" w:space="0" w:color="auto"/>
              <w:right w:val="single" w:sz="2" w:space="0" w:color="auto"/>
            </w:tcBorders>
          </w:tcPr>
          <w:p w14:paraId="71C760D9" w14:textId="77777777" w:rsidR="009F4766" w:rsidRPr="00DE12A3" w:rsidRDefault="009F4766" w:rsidP="00C917D6">
            <w:pPr>
              <w:pStyle w:val="NormalLeft"/>
            </w:pPr>
            <w:r w:rsidRPr="00DE12A3">
              <w:t>721</w:t>
            </w:r>
          </w:p>
        </w:tc>
        <w:tc>
          <w:tcPr>
            <w:tcW w:w="2489" w:type="dxa"/>
            <w:tcBorders>
              <w:top w:val="single" w:sz="2" w:space="0" w:color="auto"/>
              <w:left w:val="single" w:sz="2" w:space="0" w:color="auto"/>
              <w:bottom w:val="single" w:sz="2" w:space="0" w:color="auto"/>
              <w:right w:val="single" w:sz="2" w:space="0" w:color="auto"/>
            </w:tcBorders>
          </w:tcPr>
          <w:p w14:paraId="08DB6BAB" w14:textId="77777777" w:rsidR="009F4766" w:rsidRPr="00DE12A3" w:rsidRDefault="009F4766" w:rsidP="00C917D6">
            <w:pPr>
              <w:pStyle w:val="NormalLeft"/>
            </w:pPr>
            <w:r w:rsidRPr="00DE12A3">
              <w:t>4</w:t>
            </w:r>
          </w:p>
        </w:tc>
        <w:tc>
          <w:tcPr>
            <w:tcW w:w="2551" w:type="dxa"/>
            <w:tcBorders>
              <w:top w:val="single" w:sz="2" w:space="0" w:color="auto"/>
              <w:left w:val="single" w:sz="2" w:space="0" w:color="auto"/>
              <w:bottom w:val="single" w:sz="2" w:space="0" w:color="auto"/>
              <w:right w:val="single" w:sz="2" w:space="0" w:color="auto"/>
            </w:tcBorders>
          </w:tcPr>
          <w:p w14:paraId="64BE4088" w14:textId="77777777" w:rsidR="009F4766" w:rsidRPr="00DE12A3" w:rsidRDefault="009F4766" w:rsidP="00C917D6">
            <w:pPr>
              <w:pStyle w:val="NormalLeft"/>
            </w:pPr>
            <w:r w:rsidRPr="00DE12A3">
              <w:t>64</w:t>
            </w:r>
          </w:p>
        </w:tc>
      </w:tr>
      <w:tr w:rsidR="00DE12A3" w:rsidRPr="00DE12A3" w14:paraId="142A2F24" w14:textId="77777777" w:rsidTr="009F4766">
        <w:tc>
          <w:tcPr>
            <w:tcW w:w="1182" w:type="dxa"/>
            <w:tcBorders>
              <w:top w:val="single" w:sz="2" w:space="0" w:color="auto"/>
              <w:left w:val="single" w:sz="2" w:space="0" w:color="auto"/>
              <w:bottom w:val="single" w:sz="2" w:space="0" w:color="auto"/>
              <w:right w:val="single" w:sz="2" w:space="0" w:color="auto"/>
            </w:tcBorders>
          </w:tcPr>
          <w:p w14:paraId="36D52BAB" w14:textId="77777777" w:rsidR="009F4766" w:rsidRPr="00DE12A3" w:rsidRDefault="009F4766" w:rsidP="00C917D6">
            <w:pPr>
              <w:pStyle w:val="NormalLeft"/>
            </w:pPr>
            <w:r w:rsidRPr="00DE12A3">
              <w:t>722</w:t>
            </w:r>
          </w:p>
        </w:tc>
        <w:tc>
          <w:tcPr>
            <w:tcW w:w="2489" w:type="dxa"/>
            <w:tcBorders>
              <w:top w:val="single" w:sz="2" w:space="0" w:color="auto"/>
              <w:left w:val="single" w:sz="2" w:space="0" w:color="auto"/>
              <w:bottom w:val="single" w:sz="2" w:space="0" w:color="auto"/>
              <w:right w:val="single" w:sz="2" w:space="0" w:color="auto"/>
            </w:tcBorders>
          </w:tcPr>
          <w:p w14:paraId="2AF90661" w14:textId="77777777" w:rsidR="009F4766" w:rsidRPr="00DE12A3" w:rsidRDefault="009F4766" w:rsidP="00C917D6">
            <w:pPr>
              <w:pStyle w:val="NormalLeft"/>
            </w:pPr>
            <w:r w:rsidRPr="00DE12A3">
              <w:t>4</w:t>
            </w:r>
          </w:p>
        </w:tc>
        <w:tc>
          <w:tcPr>
            <w:tcW w:w="2551" w:type="dxa"/>
            <w:tcBorders>
              <w:top w:val="single" w:sz="2" w:space="0" w:color="auto"/>
              <w:left w:val="single" w:sz="2" w:space="0" w:color="auto"/>
              <w:bottom w:val="single" w:sz="2" w:space="0" w:color="auto"/>
              <w:right w:val="single" w:sz="2" w:space="0" w:color="auto"/>
            </w:tcBorders>
          </w:tcPr>
          <w:p w14:paraId="2E76871D" w14:textId="77777777" w:rsidR="009F4766" w:rsidRPr="00DE12A3" w:rsidRDefault="009F4766" w:rsidP="00C917D6">
            <w:pPr>
              <w:pStyle w:val="NormalLeft"/>
            </w:pPr>
            <w:r w:rsidRPr="00DE12A3">
              <w:t>61</w:t>
            </w:r>
          </w:p>
        </w:tc>
      </w:tr>
      <w:tr w:rsidR="00DE12A3" w:rsidRPr="00DE12A3" w14:paraId="062231F8" w14:textId="77777777" w:rsidTr="009F4766">
        <w:tc>
          <w:tcPr>
            <w:tcW w:w="1182" w:type="dxa"/>
            <w:tcBorders>
              <w:top w:val="single" w:sz="2" w:space="0" w:color="auto"/>
              <w:left w:val="single" w:sz="2" w:space="0" w:color="auto"/>
              <w:bottom w:val="single" w:sz="2" w:space="0" w:color="auto"/>
              <w:right w:val="single" w:sz="2" w:space="0" w:color="auto"/>
            </w:tcBorders>
          </w:tcPr>
          <w:p w14:paraId="315F361F" w14:textId="77777777" w:rsidR="009F4766" w:rsidRPr="00DE12A3" w:rsidRDefault="009F4766" w:rsidP="00C917D6">
            <w:pPr>
              <w:pStyle w:val="NormalLeft"/>
            </w:pPr>
            <w:r w:rsidRPr="00DE12A3">
              <w:lastRenderedPageBreak/>
              <w:t>723</w:t>
            </w:r>
          </w:p>
        </w:tc>
        <w:tc>
          <w:tcPr>
            <w:tcW w:w="2489" w:type="dxa"/>
            <w:tcBorders>
              <w:top w:val="single" w:sz="2" w:space="0" w:color="auto"/>
              <w:left w:val="single" w:sz="2" w:space="0" w:color="auto"/>
              <w:bottom w:val="single" w:sz="2" w:space="0" w:color="auto"/>
              <w:right w:val="single" w:sz="2" w:space="0" w:color="auto"/>
            </w:tcBorders>
          </w:tcPr>
          <w:p w14:paraId="2CAC0606" w14:textId="77777777" w:rsidR="009F4766" w:rsidRPr="00DE12A3" w:rsidRDefault="009F4766" w:rsidP="00C917D6">
            <w:pPr>
              <w:pStyle w:val="NormalLeft"/>
            </w:pPr>
            <w:r w:rsidRPr="00DE12A3">
              <w:t>4</w:t>
            </w:r>
          </w:p>
        </w:tc>
        <w:tc>
          <w:tcPr>
            <w:tcW w:w="2551" w:type="dxa"/>
            <w:tcBorders>
              <w:top w:val="single" w:sz="2" w:space="0" w:color="auto"/>
              <w:left w:val="single" w:sz="2" w:space="0" w:color="auto"/>
              <w:bottom w:val="single" w:sz="2" w:space="0" w:color="auto"/>
              <w:right w:val="single" w:sz="2" w:space="0" w:color="auto"/>
            </w:tcBorders>
          </w:tcPr>
          <w:p w14:paraId="5E6FE7F3" w14:textId="77777777" w:rsidR="009F4766" w:rsidRPr="00DE12A3" w:rsidRDefault="009F4766" w:rsidP="00C917D6">
            <w:pPr>
              <w:pStyle w:val="NormalLeft"/>
            </w:pPr>
            <w:r w:rsidRPr="00DE12A3">
              <w:t>61</w:t>
            </w:r>
          </w:p>
        </w:tc>
      </w:tr>
      <w:tr w:rsidR="00DE12A3" w:rsidRPr="00DE12A3" w14:paraId="21D1D05D" w14:textId="77777777" w:rsidTr="009F4766">
        <w:tc>
          <w:tcPr>
            <w:tcW w:w="1182" w:type="dxa"/>
            <w:tcBorders>
              <w:top w:val="single" w:sz="2" w:space="0" w:color="auto"/>
              <w:left w:val="single" w:sz="2" w:space="0" w:color="auto"/>
              <w:bottom w:val="single" w:sz="2" w:space="0" w:color="auto"/>
              <w:right w:val="single" w:sz="2" w:space="0" w:color="auto"/>
            </w:tcBorders>
          </w:tcPr>
          <w:p w14:paraId="68E39EA7" w14:textId="77777777" w:rsidR="009F4766" w:rsidRPr="00DE12A3" w:rsidRDefault="009F4766" w:rsidP="00C917D6">
            <w:pPr>
              <w:pStyle w:val="NormalLeft"/>
            </w:pPr>
            <w:r w:rsidRPr="00DE12A3">
              <w:t>724</w:t>
            </w:r>
          </w:p>
        </w:tc>
        <w:tc>
          <w:tcPr>
            <w:tcW w:w="2489" w:type="dxa"/>
            <w:tcBorders>
              <w:top w:val="single" w:sz="2" w:space="0" w:color="auto"/>
              <w:left w:val="single" w:sz="2" w:space="0" w:color="auto"/>
              <w:bottom w:val="single" w:sz="2" w:space="0" w:color="auto"/>
              <w:right w:val="single" w:sz="2" w:space="0" w:color="auto"/>
            </w:tcBorders>
          </w:tcPr>
          <w:p w14:paraId="7F4A6945" w14:textId="77777777" w:rsidR="009F4766" w:rsidRPr="00DE12A3" w:rsidRDefault="009F4766" w:rsidP="00C917D6">
            <w:pPr>
              <w:pStyle w:val="NormalLeft"/>
            </w:pPr>
            <w:r w:rsidRPr="00DE12A3">
              <w:t>10</w:t>
            </w:r>
          </w:p>
        </w:tc>
        <w:tc>
          <w:tcPr>
            <w:tcW w:w="2551" w:type="dxa"/>
            <w:tcBorders>
              <w:top w:val="single" w:sz="2" w:space="0" w:color="auto"/>
              <w:left w:val="single" w:sz="2" w:space="0" w:color="auto"/>
              <w:bottom w:val="single" w:sz="2" w:space="0" w:color="auto"/>
              <w:right w:val="single" w:sz="2" w:space="0" w:color="auto"/>
            </w:tcBorders>
          </w:tcPr>
          <w:p w14:paraId="64B57EE4" w14:textId="77777777" w:rsidR="009F4766" w:rsidRPr="00DE12A3" w:rsidRDefault="009F4766" w:rsidP="00C917D6">
            <w:pPr>
              <w:pStyle w:val="NormalLeft"/>
            </w:pPr>
            <w:r w:rsidRPr="00DE12A3">
              <w:t>56</w:t>
            </w:r>
          </w:p>
        </w:tc>
      </w:tr>
      <w:tr w:rsidR="00DE12A3" w:rsidRPr="00DE12A3" w14:paraId="4FC58159" w14:textId="77777777" w:rsidTr="009F4766">
        <w:tc>
          <w:tcPr>
            <w:tcW w:w="1182" w:type="dxa"/>
            <w:tcBorders>
              <w:top w:val="single" w:sz="2" w:space="0" w:color="auto"/>
              <w:left w:val="single" w:sz="2" w:space="0" w:color="auto"/>
              <w:bottom w:val="single" w:sz="2" w:space="0" w:color="auto"/>
              <w:right w:val="single" w:sz="2" w:space="0" w:color="auto"/>
            </w:tcBorders>
          </w:tcPr>
          <w:p w14:paraId="093349F8" w14:textId="77777777" w:rsidR="009F4766" w:rsidRPr="00DE12A3" w:rsidRDefault="009F4766" w:rsidP="00C917D6">
            <w:pPr>
              <w:pStyle w:val="NormalLeft"/>
            </w:pPr>
            <w:r w:rsidRPr="00DE12A3">
              <w:t>725</w:t>
            </w:r>
          </w:p>
        </w:tc>
        <w:tc>
          <w:tcPr>
            <w:tcW w:w="2489" w:type="dxa"/>
            <w:tcBorders>
              <w:top w:val="single" w:sz="2" w:space="0" w:color="auto"/>
              <w:left w:val="single" w:sz="2" w:space="0" w:color="auto"/>
              <w:bottom w:val="single" w:sz="2" w:space="0" w:color="auto"/>
              <w:right w:val="single" w:sz="2" w:space="0" w:color="auto"/>
            </w:tcBorders>
          </w:tcPr>
          <w:p w14:paraId="0FA95BD4" w14:textId="77777777" w:rsidR="009F4766" w:rsidRPr="00DE12A3" w:rsidRDefault="009F4766" w:rsidP="00C917D6">
            <w:pPr>
              <w:pStyle w:val="NormalLeft"/>
            </w:pPr>
            <w:r w:rsidRPr="00DE12A3">
              <w:t>8</w:t>
            </w:r>
          </w:p>
        </w:tc>
        <w:tc>
          <w:tcPr>
            <w:tcW w:w="2551" w:type="dxa"/>
            <w:tcBorders>
              <w:top w:val="single" w:sz="2" w:space="0" w:color="auto"/>
              <w:left w:val="single" w:sz="2" w:space="0" w:color="auto"/>
              <w:bottom w:val="single" w:sz="2" w:space="0" w:color="auto"/>
              <w:right w:val="single" w:sz="2" w:space="0" w:color="auto"/>
            </w:tcBorders>
          </w:tcPr>
          <w:p w14:paraId="6F349859" w14:textId="77777777" w:rsidR="009F4766" w:rsidRPr="00DE12A3" w:rsidRDefault="009F4766" w:rsidP="00C917D6">
            <w:pPr>
              <w:pStyle w:val="NormalLeft"/>
            </w:pPr>
            <w:r w:rsidRPr="00DE12A3">
              <w:t>61</w:t>
            </w:r>
          </w:p>
        </w:tc>
      </w:tr>
      <w:tr w:rsidR="00DE12A3" w:rsidRPr="00DE12A3" w14:paraId="1F4F0ACF" w14:textId="77777777" w:rsidTr="009F4766">
        <w:tc>
          <w:tcPr>
            <w:tcW w:w="1182" w:type="dxa"/>
            <w:tcBorders>
              <w:top w:val="single" w:sz="2" w:space="0" w:color="auto"/>
              <w:left w:val="single" w:sz="2" w:space="0" w:color="auto"/>
              <w:bottom w:val="single" w:sz="2" w:space="0" w:color="auto"/>
              <w:right w:val="single" w:sz="2" w:space="0" w:color="auto"/>
            </w:tcBorders>
          </w:tcPr>
          <w:p w14:paraId="67000647" w14:textId="77777777" w:rsidR="009F4766" w:rsidRPr="00DE12A3" w:rsidRDefault="009F4766" w:rsidP="00C917D6">
            <w:pPr>
              <w:pStyle w:val="NormalLeft"/>
            </w:pPr>
            <w:r w:rsidRPr="00DE12A3">
              <w:t>726</w:t>
            </w:r>
          </w:p>
        </w:tc>
        <w:tc>
          <w:tcPr>
            <w:tcW w:w="2489" w:type="dxa"/>
            <w:tcBorders>
              <w:top w:val="single" w:sz="2" w:space="0" w:color="auto"/>
              <w:left w:val="single" w:sz="2" w:space="0" w:color="auto"/>
              <w:bottom w:val="single" w:sz="2" w:space="0" w:color="auto"/>
              <w:right w:val="single" w:sz="2" w:space="0" w:color="auto"/>
            </w:tcBorders>
          </w:tcPr>
          <w:p w14:paraId="06FDAE8F" w14:textId="77777777" w:rsidR="009F4766" w:rsidRPr="00DE12A3" w:rsidRDefault="009F4766" w:rsidP="00C917D6">
            <w:pPr>
              <w:pStyle w:val="NormalLeft"/>
            </w:pPr>
            <w:r w:rsidRPr="00DE12A3">
              <w:t>20</w:t>
            </w:r>
          </w:p>
        </w:tc>
        <w:tc>
          <w:tcPr>
            <w:tcW w:w="2551" w:type="dxa"/>
            <w:tcBorders>
              <w:top w:val="single" w:sz="2" w:space="0" w:color="auto"/>
              <w:left w:val="single" w:sz="2" w:space="0" w:color="auto"/>
              <w:bottom w:val="single" w:sz="2" w:space="0" w:color="auto"/>
              <w:right w:val="single" w:sz="2" w:space="0" w:color="auto"/>
            </w:tcBorders>
          </w:tcPr>
          <w:p w14:paraId="4D1E527B" w14:textId="77777777" w:rsidR="009F4766" w:rsidRPr="00DE12A3" w:rsidRDefault="009F4766" w:rsidP="00C917D6">
            <w:pPr>
              <w:pStyle w:val="NormalLeft"/>
            </w:pPr>
            <w:r w:rsidRPr="00DE12A3">
              <w:t>56</w:t>
            </w:r>
          </w:p>
        </w:tc>
      </w:tr>
      <w:tr w:rsidR="00DE12A3" w:rsidRPr="00DE12A3" w14:paraId="795FB116" w14:textId="77777777" w:rsidTr="009F4766">
        <w:tc>
          <w:tcPr>
            <w:tcW w:w="1182" w:type="dxa"/>
            <w:tcBorders>
              <w:top w:val="single" w:sz="2" w:space="0" w:color="auto"/>
              <w:left w:val="single" w:sz="2" w:space="0" w:color="auto"/>
              <w:bottom w:val="single" w:sz="2" w:space="0" w:color="auto"/>
              <w:right w:val="single" w:sz="2" w:space="0" w:color="auto"/>
            </w:tcBorders>
          </w:tcPr>
          <w:p w14:paraId="365E5DAC" w14:textId="77777777" w:rsidR="009F4766" w:rsidRPr="00DE12A3" w:rsidRDefault="009F4766" w:rsidP="00C917D6">
            <w:pPr>
              <w:pStyle w:val="NormalLeft"/>
            </w:pPr>
            <w:r w:rsidRPr="00DE12A3">
              <w:t>727</w:t>
            </w:r>
          </w:p>
        </w:tc>
        <w:tc>
          <w:tcPr>
            <w:tcW w:w="2489" w:type="dxa"/>
            <w:tcBorders>
              <w:top w:val="single" w:sz="2" w:space="0" w:color="auto"/>
              <w:left w:val="single" w:sz="2" w:space="0" w:color="auto"/>
              <w:bottom w:val="single" w:sz="2" w:space="0" w:color="auto"/>
              <w:right w:val="single" w:sz="2" w:space="0" w:color="auto"/>
            </w:tcBorders>
          </w:tcPr>
          <w:p w14:paraId="5D3C6B58" w14:textId="77777777" w:rsidR="009F4766" w:rsidRPr="00DE12A3" w:rsidRDefault="009F4766" w:rsidP="00C917D6">
            <w:pPr>
              <w:pStyle w:val="NormalLeft"/>
            </w:pPr>
            <w:r w:rsidRPr="00DE12A3">
              <w:t>32</w:t>
            </w:r>
          </w:p>
        </w:tc>
        <w:tc>
          <w:tcPr>
            <w:tcW w:w="2551" w:type="dxa"/>
            <w:tcBorders>
              <w:top w:val="single" w:sz="2" w:space="0" w:color="auto"/>
              <w:left w:val="single" w:sz="2" w:space="0" w:color="auto"/>
              <w:bottom w:val="single" w:sz="2" w:space="0" w:color="auto"/>
              <w:right w:val="single" w:sz="2" w:space="0" w:color="auto"/>
            </w:tcBorders>
          </w:tcPr>
          <w:p w14:paraId="71EF0354" w14:textId="77777777" w:rsidR="009F4766" w:rsidRPr="00DE12A3" w:rsidRDefault="009F4766" w:rsidP="00C917D6">
            <w:pPr>
              <w:pStyle w:val="NormalLeft"/>
            </w:pPr>
            <w:r w:rsidRPr="00DE12A3">
              <w:t>62</w:t>
            </w:r>
          </w:p>
        </w:tc>
      </w:tr>
      <w:tr w:rsidR="00DE12A3" w:rsidRPr="00DE12A3" w14:paraId="21E26F6A" w14:textId="77777777" w:rsidTr="009F4766">
        <w:tc>
          <w:tcPr>
            <w:tcW w:w="1182" w:type="dxa"/>
            <w:tcBorders>
              <w:top w:val="single" w:sz="2" w:space="0" w:color="auto"/>
              <w:left w:val="single" w:sz="2" w:space="0" w:color="auto"/>
              <w:bottom w:val="single" w:sz="2" w:space="0" w:color="auto"/>
              <w:right w:val="single" w:sz="2" w:space="0" w:color="auto"/>
            </w:tcBorders>
          </w:tcPr>
          <w:p w14:paraId="671997B2" w14:textId="77777777" w:rsidR="009F4766" w:rsidRPr="00DE12A3" w:rsidRDefault="009F4766" w:rsidP="00C917D6">
            <w:pPr>
              <w:pStyle w:val="NormalLeft"/>
            </w:pPr>
            <w:r w:rsidRPr="00DE12A3">
              <w:t>728</w:t>
            </w:r>
          </w:p>
        </w:tc>
        <w:tc>
          <w:tcPr>
            <w:tcW w:w="2489" w:type="dxa"/>
            <w:tcBorders>
              <w:top w:val="single" w:sz="2" w:space="0" w:color="auto"/>
              <w:left w:val="single" w:sz="2" w:space="0" w:color="auto"/>
              <w:bottom w:val="single" w:sz="2" w:space="0" w:color="auto"/>
              <w:right w:val="single" w:sz="2" w:space="0" w:color="auto"/>
            </w:tcBorders>
          </w:tcPr>
          <w:p w14:paraId="5BDD677F" w14:textId="77777777" w:rsidR="009F4766" w:rsidRPr="00DE12A3" w:rsidRDefault="009F4766" w:rsidP="00C917D6">
            <w:pPr>
              <w:pStyle w:val="NormalLeft"/>
            </w:pPr>
            <w:r w:rsidRPr="00DE12A3">
              <w:t>33</w:t>
            </w:r>
          </w:p>
        </w:tc>
        <w:tc>
          <w:tcPr>
            <w:tcW w:w="2551" w:type="dxa"/>
            <w:tcBorders>
              <w:top w:val="single" w:sz="2" w:space="0" w:color="auto"/>
              <w:left w:val="single" w:sz="2" w:space="0" w:color="auto"/>
              <w:bottom w:val="single" w:sz="2" w:space="0" w:color="auto"/>
              <w:right w:val="single" w:sz="2" w:space="0" w:color="auto"/>
            </w:tcBorders>
          </w:tcPr>
          <w:p w14:paraId="57D85930" w14:textId="77777777" w:rsidR="009F4766" w:rsidRPr="00DE12A3" w:rsidRDefault="009F4766" w:rsidP="00C917D6">
            <w:pPr>
              <w:pStyle w:val="NormalLeft"/>
            </w:pPr>
            <w:r w:rsidRPr="00DE12A3">
              <w:t>66</w:t>
            </w:r>
          </w:p>
        </w:tc>
      </w:tr>
      <w:tr w:rsidR="00DE12A3" w:rsidRPr="00DE12A3" w14:paraId="6E2B6A33" w14:textId="77777777" w:rsidTr="009F4766">
        <w:tc>
          <w:tcPr>
            <w:tcW w:w="1182" w:type="dxa"/>
            <w:tcBorders>
              <w:top w:val="single" w:sz="2" w:space="0" w:color="auto"/>
              <w:left w:val="single" w:sz="2" w:space="0" w:color="auto"/>
              <w:bottom w:val="single" w:sz="2" w:space="0" w:color="auto"/>
              <w:right w:val="single" w:sz="2" w:space="0" w:color="auto"/>
            </w:tcBorders>
          </w:tcPr>
          <w:p w14:paraId="06D8FB58" w14:textId="77777777" w:rsidR="009F4766" w:rsidRPr="00DE12A3" w:rsidRDefault="009F4766" w:rsidP="00C917D6">
            <w:pPr>
              <w:pStyle w:val="NormalLeft"/>
            </w:pPr>
            <w:r w:rsidRPr="00DE12A3">
              <w:t>729</w:t>
            </w:r>
          </w:p>
        </w:tc>
        <w:tc>
          <w:tcPr>
            <w:tcW w:w="2489" w:type="dxa"/>
            <w:tcBorders>
              <w:top w:val="single" w:sz="2" w:space="0" w:color="auto"/>
              <w:left w:val="single" w:sz="2" w:space="0" w:color="auto"/>
              <w:bottom w:val="single" w:sz="2" w:space="0" w:color="auto"/>
              <w:right w:val="single" w:sz="2" w:space="0" w:color="auto"/>
            </w:tcBorders>
          </w:tcPr>
          <w:p w14:paraId="4D2F1D89" w14:textId="77777777" w:rsidR="009F4766" w:rsidRPr="00DE12A3" w:rsidRDefault="009F4766" w:rsidP="00C917D6">
            <w:pPr>
              <w:pStyle w:val="NormalLeft"/>
            </w:pPr>
            <w:r w:rsidRPr="00DE12A3">
              <w:t>34</w:t>
            </w:r>
          </w:p>
        </w:tc>
        <w:tc>
          <w:tcPr>
            <w:tcW w:w="2551" w:type="dxa"/>
            <w:tcBorders>
              <w:top w:val="single" w:sz="2" w:space="0" w:color="auto"/>
              <w:left w:val="single" w:sz="2" w:space="0" w:color="auto"/>
              <w:bottom w:val="single" w:sz="2" w:space="0" w:color="auto"/>
              <w:right w:val="single" w:sz="2" w:space="0" w:color="auto"/>
            </w:tcBorders>
          </w:tcPr>
          <w:p w14:paraId="238CDDF3" w14:textId="77777777" w:rsidR="009F4766" w:rsidRPr="00DE12A3" w:rsidRDefault="009F4766" w:rsidP="00C917D6">
            <w:pPr>
              <w:pStyle w:val="NormalLeft"/>
            </w:pPr>
            <w:r w:rsidRPr="00DE12A3">
              <w:t>73</w:t>
            </w:r>
          </w:p>
        </w:tc>
      </w:tr>
      <w:tr w:rsidR="00DE12A3" w:rsidRPr="00DE12A3" w14:paraId="09A18C3E" w14:textId="77777777" w:rsidTr="009F4766">
        <w:tc>
          <w:tcPr>
            <w:tcW w:w="1182" w:type="dxa"/>
            <w:tcBorders>
              <w:top w:val="single" w:sz="2" w:space="0" w:color="auto"/>
              <w:left w:val="single" w:sz="2" w:space="0" w:color="auto"/>
              <w:bottom w:val="single" w:sz="2" w:space="0" w:color="auto"/>
              <w:right w:val="single" w:sz="2" w:space="0" w:color="auto"/>
            </w:tcBorders>
          </w:tcPr>
          <w:p w14:paraId="129605D7" w14:textId="77777777" w:rsidR="009F4766" w:rsidRPr="00DE12A3" w:rsidRDefault="009F4766" w:rsidP="00C917D6">
            <w:pPr>
              <w:pStyle w:val="NormalLeft"/>
            </w:pPr>
            <w:r w:rsidRPr="00DE12A3">
              <w:t>730</w:t>
            </w:r>
          </w:p>
        </w:tc>
        <w:tc>
          <w:tcPr>
            <w:tcW w:w="2489" w:type="dxa"/>
            <w:tcBorders>
              <w:top w:val="single" w:sz="2" w:space="0" w:color="auto"/>
              <w:left w:val="single" w:sz="2" w:space="0" w:color="auto"/>
              <w:bottom w:val="single" w:sz="2" w:space="0" w:color="auto"/>
              <w:right w:val="single" w:sz="2" w:space="0" w:color="auto"/>
            </w:tcBorders>
          </w:tcPr>
          <w:p w14:paraId="206ABE62" w14:textId="77777777" w:rsidR="009F4766" w:rsidRPr="00DE12A3" w:rsidRDefault="009F4766" w:rsidP="00C917D6">
            <w:pPr>
              <w:pStyle w:val="NormalLeft"/>
            </w:pPr>
            <w:r w:rsidRPr="00DE12A3">
              <w:t>31</w:t>
            </w:r>
          </w:p>
        </w:tc>
        <w:tc>
          <w:tcPr>
            <w:tcW w:w="2551" w:type="dxa"/>
            <w:tcBorders>
              <w:top w:val="single" w:sz="2" w:space="0" w:color="auto"/>
              <w:left w:val="single" w:sz="2" w:space="0" w:color="auto"/>
              <w:bottom w:val="single" w:sz="2" w:space="0" w:color="auto"/>
              <w:right w:val="single" w:sz="2" w:space="0" w:color="auto"/>
            </w:tcBorders>
          </w:tcPr>
          <w:p w14:paraId="3A166EB3" w14:textId="77777777" w:rsidR="009F4766" w:rsidRPr="00DE12A3" w:rsidRDefault="009F4766" w:rsidP="00C917D6">
            <w:pPr>
              <w:pStyle w:val="NormalLeft"/>
            </w:pPr>
            <w:r w:rsidRPr="00DE12A3">
              <w:t>61</w:t>
            </w:r>
          </w:p>
        </w:tc>
      </w:tr>
      <w:tr w:rsidR="00DE12A3" w:rsidRPr="00DE12A3" w14:paraId="4ED386A7" w14:textId="77777777" w:rsidTr="009F4766">
        <w:tc>
          <w:tcPr>
            <w:tcW w:w="1182" w:type="dxa"/>
            <w:tcBorders>
              <w:top w:val="single" w:sz="2" w:space="0" w:color="auto"/>
              <w:left w:val="single" w:sz="2" w:space="0" w:color="auto"/>
              <w:bottom w:val="single" w:sz="2" w:space="0" w:color="auto"/>
              <w:right w:val="single" w:sz="2" w:space="0" w:color="auto"/>
            </w:tcBorders>
          </w:tcPr>
          <w:p w14:paraId="158DD761" w14:textId="77777777" w:rsidR="009F4766" w:rsidRPr="00DE12A3" w:rsidRDefault="009F4766" w:rsidP="00C917D6">
            <w:pPr>
              <w:pStyle w:val="NormalLeft"/>
            </w:pPr>
            <w:r w:rsidRPr="00DE12A3">
              <w:t>731</w:t>
            </w:r>
          </w:p>
        </w:tc>
        <w:tc>
          <w:tcPr>
            <w:tcW w:w="2489" w:type="dxa"/>
            <w:tcBorders>
              <w:top w:val="single" w:sz="2" w:space="0" w:color="auto"/>
              <w:left w:val="single" w:sz="2" w:space="0" w:color="auto"/>
              <w:bottom w:val="single" w:sz="2" w:space="0" w:color="auto"/>
              <w:right w:val="single" w:sz="2" w:space="0" w:color="auto"/>
            </w:tcBorders>
          </w:tcPr>
          <w:p w14:paraId="7D8C6832" w14:textId="77777777" w:rsidR="009F4766" w:rsidRPr="00DE12A3" w:rsidRDefault="009F4766" w:rsidP="00C917D6">
            <w:pPr>
              <w:pStyle w:val="NormalLeft"/>
            </w:pPr>
            <w:r w:rsidRPr="00DE12A3">
              <w:t>33</w:t>
            </w:r>
          </w:p>
        </w:tc>
        <w:tc>
          <w:tcPr>
            <w:tcW w:w="2551" w:type="dxa"/>
            <w:tcBorders>
              <w:top w:val="single" w:sz="2" w:space="0" w:color="auto"/>
              <w:left w:val="single" w:sz="2" w:space="0" w:color="auto"/>
              <w:bottom w:val="single" w:sz="2" w:space="0" w:color="auto"/>
              <w:right w:val="single" w:sz="2" w:space="0" w:color="auto"/>
            </w:tcBorders>
          </w:tcPr>
          <w:p w14:paraId="0E863CB4" w14:textId="77777777" w:rsidR="009F4766" w:rsidRPr="00DE12A3" w:rsidRDefault="009F4766" w:rsidP="00C917D6">
            <w:pPr>
              <w:pStyle w:val="NormalLeft"/>
            </w:pPr>
            <w:r w:rsidRPr="00DE12A3">
              <w:t>55</w:t>
            </w:r>
          </w:p>
        </w:tc>
      </w:tr>
      <w:tr w:rsidR="00DE12A3" w:rsidRPr="00DE12A3" w14:paraId="2EF619D6" w14:textId="77777777" w:rsidTr="009F4766">
        <w:tc>
          <w:tcPr>
            <w:tcW w:w="1182" w:type="dxa"/>
            <w:tcBorders>
              <w:top w:val="single" w:sz="2" w:space="0" w:color="auto"/>
              <w:left w:val="single" w:sz="2" w:space="0" w:color="auto"/>
              <w:bottom w:val="single" w:sz="2" w:space="0" w:color="auto"/>
              <w:right w:val="single" w:sz="2" w:space="0" w:color="auto"/>
            </w:tcBorders>
          </w:tcPr>
          <w:p w14:paraId="23E19687" w14:textId="77777777" w:rsidR="009F4766" w:rsidRPr="00DE12A3" w:rsidRDefault="009F4766" w:rsidP="00C917D6">
            <w:pPr>
              <w:pStyle w:val="NormalLeft"/>
            </w:pPr>
            <w:r w:rsidRPr="00DE12A3">
              <w:t>732</w:t>
            </w:r>
          </w:p>
        </w:tc>
        <w:tc>
          <w:tcPr>
            <w:tcW w:w="2489" w:type="dxa"/>
            <w:tcBorders>
              <w:top w:val="single" w:sz="2" w:space="0" w:color="auto"/>
              <w:left w:val="single" w:sz="2" w:space="0" w:color="auto"/>
              <w:bottom w:val="single" w:sz="2" w:space="0" w:color="auto"/>
              <w:right w:val="single" w:sz="2" w:space="0" w:color="auto"/>
            </w:tcBorders>
          </w:tcPr>
          <w:p w14:paraId="20587510" w14:textId="77777777" w:rsidR="009F4766" w:rsidRPr="00DE12A3" w:rsidRDefault="009F4766" w:rsidP="00C917D6">
            <w:pPr>
              <w:pStyle w:val="NormalLeft"/>
            </w:pPr>
            <w:r w:rsidRPr="00DE12A3">
              <w:t>33</w:t>
            </w:r>
          </w:p>
        </w:tc>
        <w:tc>
          <w:tcPr>
            <w:tcW w:w="2551" w:type="dxa"/>
            <w:tcBorders>
              <w:top w:val="single" w:sz="2" w:space="0" w:color="auto"/>
              <w:left w:val="single" w:sz="2" w:space="0" w:color="auto"/>
              <w:bottom w:val="single" w:sz="2" w:space="0" w:color="auto"/>
              <w:right w:val="single" w:sz="2" w:space="0" w:color="auto"/>
            </w:tcBorders>
          </w:tcPr>
          <w:p w14:paraId="7C8FAD3E" w14:textId="77777777" w:rsidR="009F4766" w:rsidRPr="00DE12A3" w:rsidRDefault="009F4766" w:rsidP="00C917D6">
            <w:pPr>
              <w:pStyle w:val="NormalLeft"/>
            </w:pPr>
            <w:r w:rsidRPr="00DE12A3">
              <w:t>60</w:t>
            </w:r>
          </w:p>
        </w:tc>
      </w:tr>
      <w:tr w:rsidR="00DE12A3" w:rsidRPr="00DE12A3" w14:paraId="5C44930B" w14:textId="77777777" w:rsidTr="009F4766">
        <w:tc>
          <w:tcPr>
            <w:tcW w:w="1182" w:type="dxa"/>
            <w:tcBorders>
              <w:top w:val="single" w:sz="2" w:space="0" w:color="auto"/>
              <w:left w:val="single" w:sz="2" w:space="0" w:color="auto"/>
              <w:bottom w:val="single" w:sz="2" w:space="0" w:color="auto"/>
              <w:right w:val="single" w:sz="2" w:space="0" w:color="auto"/>
            </w:tcBorders>
          </w:tcPr>
          <w:p w14:paraId="3249F964" w14:textId="77777777" w:rsidR="009F4766" w:rsidRPr="00DE12A3" w:rsidRDefault="009F4766" w:rsidP="00C917D6">
            <w:pPr>
              <w:pStyle w:val="NormalLeft"/>
            </w:pPr>
            <w:r w:rsidRPr="00DE12A3">
              <w:t>733</w:t>
            </w:r>
          </w:p>
        </w:tc>
        <w:tc>
          <w:tcPr>
            <w:tcW w:w="2489" w:type="dxa"/>
            <w:tcBorders>
              <w:top w:val="single" w:sz="2" w:space="0" w:color="auto"/>
              <w:left w:val="single" w:sz="2" w:space="0" w:color="auto"/>
              <w:bottom w:val="single" w:sz="2" w:space="0" w:color="auto"/>
              <w:right w:val="single" w:sz="2" w:space="0" w:color="auto"/>
            </w:tcBorders>
          </w:tcPr>
          <w:p w14:paraId="5AF13237" w14:textId="77777777" w:rsidR="009F4766" w:rsidRPr="00DE12A3" w:rsidRDefault="009F4766" w:rsidP="00C917D6">
            <w:pPr>
              <w:pStyle w:val="NormalLeft"/>
            </w:pPr>
            <w:r w:rsidRPr="00DE12A3">
              <w:t>31</w:t>
            </w:r>
          </w:p>
        </w:tc>
        <w:tc>
          <w:tcPr>
            <w:tcW w:w="2551" w:type="dxa"/>
            <w:tcBorders>
              <w:top w:val="single" w:sz="2" w:space="0" w:color="auto"/>
              <w:left w:val="single" w:sz="2" w:space="0" w:color="auto"/>
              <w:bottom w:val="single" w:sz="2" w:space="0" w:color="auto"/>
              <w:right w:val="single" w:sz="2" w:space="0" w:color="auto"/>
            </w:tcBorders>
          </w:tcPr>
          <w:p w14:paraId="72204D5B" w14:textId="77777777" w:rsidR="009F4766" w:rsidRPr="00DE12A3" w:rsidRDefault="009F4766" w:rsidP="00C917D6">
            <w:pPr>
              <w:pStyle w:val="NormalLeft"/>
            </w:pPr>
            <w:r w:rsidRPr="00DE12A3">
              <w:t>59</w:t>
            </w:r>
          </w:p>
        </w:tc>
      </w:tr>
      <w:tr w:rsidR="00DE12A3" w:rsidRPr="00DE12A3" w14:paraId="51CF5C03" w14:textId="77777777" w:rsidTr="009F4766">
        <w:tc>
          <w:tcPr>
            <w:tcW w:w="1182" w:type="dxa"/>
            <w:tcBorders>
              <w:top w:val="single" w:sz="2" w:space="0" w:color="auto"/>
              <w:left w:val="single" w:sz="2" w:space="0" w:color="auto"/>
              <w:bottom w:val="single" w:sz="2" w:space="0" w:color="auto"/>
              <w:right w:val="single" w:sz="2" w:space="0" w:color="auto"/>
            </w:tcBorders>
          </w:tcPr>
          <w:p w14:paraId="4DC9F7EB" w14:textId="77777777" w:rsidR="009F4766" w:rsidRPr="00DE12A3" w:rsidRDefault="009F4766" w:rsidP="00C917D6">
            <w:pPr>
              <w:pStyle w:val="NormalLeft"/>
            </w:pPr>
            <w:r w:rsidRPr="00DE12A3">
              <w:t>734</w:t>
            </w:r>
          </w:p>
        </w:tc>
        <w:tc>
          <w:tcPr>
            <w:tcW w:w="2489" w:type="dxa"/>
            <w:tcBorders>
              <w:top w:val="single" w:sz="2" w:space="0" w:color="auto"/>
              <w:left w:val="single" w:sz="2" w:space="0" w:color="auto"/>
              <w:bottom w:val="single" w:sz="2" w:space="0" w:color="auto"/>
              <w:right w:val="single" w:sz="2" w:space="0" w:color="auto"/>
            </w:tcBorders>
          </w:tcPr>
          <w:p w14:paraId="5838D3ED" w14:textId="77777777" w:rsidR="009F4766" w:rsidRPr="00DE12A3" w:rsidRDefault="009F4766" w:rsidP="00C917D6">
            <w:pPr>
              <w:pStyle w:val="NormalLeft"/>
            </w:pPr>
            <w:r w:rsidRPr="00DE12A3">
              <w:t>29</w:t>
            </w:r>
          </w:p>
        </w:tc>
        <w:tc>
          <w:tcPr>
            <w:tcW w:w="2551" w:type="dxa"/>
            <w:tcBorders>
              <w:top w:val="single" w:sz="2" w:space="0" w:color="auto"/>
              <w:left w:val="single" w:sz="2" w:space="0" w:color="auto"/>
              <w:bottom w:val="single" w:sz="2" w:space="0" w:color="auto"/>
              <w:right w:val="single" w:sz="2" w:space="0" w:color="auto"/>
            </w:tcBorders>
          </w:tcPr>
          <w:p w14:paraId="172717F9" w14:textId="77777777" w:rsidR="009F4766" w:rsidRPr="00DE12A3" w:rsidRDefault="009F4766" w:rsidP="00C917D6">
            <w:pPr>
              <w:pStyle w:val="NormalLeft"/>
            </w:pPr>
            <w:r w:rsidRPr="00DE12A3">
              <w:t>58</w:t>
            </w:r>
          </w:p>
        </w:tc>
      </w:tr>
      <w:tr w:rsidR="00DE12A3" w:rsidRPr="00DE12A3" w14:paraId="14B2296E" w14:textId="77777777" w:rsidTr="009F4766">
        <w:tc>
          <w:tcPr>
            <w:tcW w:w="1182" w:type="dxa"/>
            <w:tcBorders>
              <w:top w:val="single" w:sz="2" w:space="0" w:color="auto"/>
              <w:left w:val="single" w:sz="2" w:space="0" w:color="auto"/>
              <w:bottom w:val="single" w:sz="2" w:space="0" w:color="auto"/>
              <w:right w:val="single" w:sz="2" w:space="0" w:color="auto"/>
            </w:tcBorders>
          </w:tcPr>
          <w:p w14:paraId="1B09AD8B" w14:textId="77777777" w:rsidR="009F4766" w:rsidRPr="00DE12A3" w:rsidRDefault="009F4766" w:rsidP="00C917D6">
            <w:pPr>
              <w:pStyle w:val="NormalLeft"/>
            </w:pPr>
            <w:r w:rsidRPr="00DE12A3">
              <w:t>735</w:t>
            </w:r>
          </w:p>
        </w:tc>
        <w:tc>
          <w:tcPr>
            <w:tcW w:w="2489" w:type="dxa"/>
            <w:tcBorders>
              <w:top w:val="single" w:sz="2" w:space="0" w:color="auto"/>
              <w:left w:val="single" w:sz="2" w:space="0" w:color="auto"/>
              <w:bottom w:val="single" w:sz="2" w:space="0" w:color="auto"/>
              <w:right w:val="single" w:sz="2" w:space="0" w:color="auto"/>
            </w:tcBorders>
          </w:tcPr>
          <w:p w14:paraId="5D5367CA" w14:textId="77777777" w:rsidR="009F4766" w:rsidRPr="00DE12A3" w:rsidRDefault="009F4766" w:rsidP="00C917D6">
            <w:pPr>
              <w:pStyle w:val="NormalLeft"/>
            </w:pPr>
            <w:r w:rsidRPr="00DE12A3">
              <w:t>31</w:t>
            </w:r>
          </w:p>
        </w:tc>
        <w:tc>
          <w:tcPr>
            <w:tcW w:w="2551" w:type="dxa"/>
            <w:tcBorders>
              <w:top w:val="single" w:sz="2" w:space="0" w:color="auto"/>
              <w:left w:val="single" w:sz="2" w:space="0" w:color="auto"/>
              <w:bottom w:val="single" w:sz="2" w:space="0" w:color="auto"/>
              <w:right w:val="single" w:sz="2" w:space="0" w:color="auto"/>
            </w:tcBorders>
          </w:tcPr>
          <w:p w14:paraId="63C1965C" w14:textId="77777777" w:rsidR="009F4766" w:rsidRPr="00DE12A3" w:rsidRDefault="009F4766" w:rsidP="00C917D6">
            <w:pPr>
              <w:pStyle w:val="NormalLeft"/>
            </w:pPr>
            <w:r w:rsidRPr="00DE12A3">
              <w:t>53</w:t>
            </w:r>
          </w:p>
        </w:tc>
      </w:tr>
      <w:tr w:rsidR="00DE12A3" w:rsidRPr="00DE12A3" w14:paraId="157F1E9F" w14:textId="77777777" w:rsidTr="009F4766">
        <w:tc>
          <w:tcPr>
            <w:tcW w:w="1182" w:type="dxa"/>
            <w:tcBorders>
              <w:top w:val="single" w:sz="2" w:space="0" w:color="auto"/>
              <w:left w:val="single" w:sz="2" w:space="0" w:color="auto"/>
              <w:bottom w:val="single" w:sz="2" w:space="0" w:color="auto"/>
              <w:right w:val="single" w:sz="2" w:space="0" w:color="auto"/>
            </w:tcBorders>
          </w:tcPr>
          <w:p w14:paraId="11EC2AEB" w14:textId="77777777" w:rsidR="009F4766" w:rsidRPr="00DE12A3" w:rsidRDefault="009F4766" w:rsidP="00C917D6">
            <w:pPr>
              <w:pStyle w:val="NormalLeft"/>
            </w:pPr>
            <w:r w:rsidRPr="00DE12A3">
              <w:t>736</w:t>
            </w:r>
          </w:p>
        </w:tc>
        <w:tc>
          <w:tcPr>
            <w:tcW w:w="2489" w:type="dxa"/>
            <w:tcBorders>
              <w:top w:val="single" w:sz="2" w:space="0" w:color="auto"/>
              <w:left w:val="single" w:sz="2" w:space="0" w:color="auto"/>
              <w:bottom w:val="single" w:sz="2" w:space="0" w:color="auto"/>
              <w:right w:val="single" w:sz="2" w:space="0" w:color="auto"/>
            </w:tcBorders>
          </w:tcPr>
          <w:p w14:paraId="2C373790" w14:textId="77777777" w:rsidR="009F4766" w:rsidRPr="00DE12A3" w:rsidRDefault="009F4766" w:rsidP="00C917D6">
            <w:pPr>
              <w:pStyle w:val="NormalLeft"/>
            </w:pPr>
            <w:r w:rsidRPr="00DE12A3">
              <w:t>33</w:t>
            </w:r>
          </w:p>
        </w:tc>
        <w:tc>
          <w:tcPr>
            <w:tcW w:w="2551" w:type="dxa"/>
            <w:tcBorders>
              <w:top w:val="single" w:sz="2" w:space="0" w:color="auto"/>
              <w:left w:val="single" w:sz="2" w:space="0" w:color="auto"/>
              <w:bottom w:val="single" w:sz="2" w:space="0" w:color="auto"/>
              <w:right w:val="single" w:sz="2" w:space="0" w:color="auto"/>
            </w:tcBorders>
          </w:tcPr>
          <w:p w14:paraId="5D5B6002" w14:textId="77777777" w:rsidR="009F4766" w:rsidRPr="00DE12A3" w:rsidRDefault="009F4766" w:rsidP="00C917D6">
            <w:pPr>
              <w:pStyle w:val="NormalLeft"/>
            </w:pPr>
            <w:r w:rsidRPr="00DE12A3">
              <w:t>51</w:t>
            </w:r>
          </w:p>
        </w:tc>
      </w:tr>
      <w:tr w:rsidR="00DE12A3" w:rsidRPr="00DE12A3" w14:paraId="4AFB0F99" w14:textId="77777777" w:rsidTr="009F4766">
        <w:tc>
          <w:tcPr>
            <w:tcW w:w="1182" w:type="dxa"/>
            <w:tcBorders>
              <w:top w:val="single" w:sz="2" w:space="0" w:color="auto"/>
              <w:left w:val="single" w:sz="2" w:space="0" w:color="auto"/>
              <w:bottom w:val="single" w:sz="2" w:space="0" w:color="auto"/>
              <w:right w:val="single" w:sz="2" w:space="0" w:color="auto"/>
            </w:tcBorders>
          </w:tcPr>
          <w:p w14:paraId="48C670D5" w14:textId="77777777" w:rsidR="009F4766" w:rsidRPr="00DE12A3" w:rsidRDefault="009F4766" w:rsidP="00C917D6">
            <w:pPr>
              <w:pStyle w:val="NormalLeft"/>
            </w:pPr>
            <w:r w:rsidRPr="00DE12A3">
              <w:t>737</w:t>
            </w:r>
          </w:p>
        </w:tc>
        <w:tc>
          <w:tcPr>
            <w:tcW w:w="2489" w:type="dxa"/>
            <w:tcBorders>
              <w:top w:val="single" w:sz="2" w:space="0" w:color="auto"/>
              <w:left w:val="single" w:sz="2" w:space="0" w:color="auto"/>
              <w:bottom w:val="single" w:sz="2" w:space="0" w:color="auto"/>
              <w:right w:val="single" w:sz="2" w:space="0" w:color="auto"/>
            </w:tcBorders>
          </w:tcPr>
          <w:p w14:paraId="7FE3889F" w14:textId="77777777" w:rsidR="009F4766" w:rsidRPr="00DE12A3" w:rsidRDefault="009F4766" w:rsidP="00C917D6">
            <w:pPr>
              <w:pStyle w:val="NormalLeft"/>
            </w:pPr>
            <w:r w:rsidRPr="00DE12A3">
              <w:t>33</w:t>
            </w:r>
          </w:p>
        </w:tc>
        <w:tc>
          <w:tcPr>
            <w:tcW w:w="2551" w:type="dxa"/>
            <w:tcBorders>
              <w:top w:val="single" w:sz="2" w:space="0" w:color="auto"/>
              <w:left w:val="single" w:sz="2" w:space="0" w:color="auto"/>
              <w:bottom w:val="single" w:sz="2" w:space="0" w:color="auto"/>
              <w:right w:val="single" w:sz="2" w:space="0" w:color="auto"/>
            </w:tcBorders>
          </w:tcPr>
          <w:p w14:paraId="56FD3585" w14:textId="77777777" w:rsidR="009F4766" w:rsidRPr="00DE12A3" w:rsidRDefault="009F4766" w:rsidP="00C917D6">
            <w:pPr>
              <w:pStyle w:val="NormalLeft"/>
            </w:pPr>
            <w:r w:rsidRPr="00DE12A3">
              <w:t>48</w:t>
            </w:r>
          </w:p>
        </w:tc>
      </w:tr>
      <w:tr w:rsidR="00DE12A3" w:rsidRPr="00DE12A3" w14:paraId="0AFE3A17" w14:textId="77777777" w:rsidTr="009F4766">
        <w:tc>
          <w:tcPr>
            <w:tcW w:w="1182" w:type="dxa"/>
            <w:tcBorders>
              <w:top w:val="single" w:sz="2" w:space="0" w:color="auto"/>
              <w:left w:val="single" w:sz="2" w:space="0" w:color="auto"/>
              <w:bottom w:val="single" w:sz="2" w:space="0" w:color="auto"/>
              <w:right w:val="single" w:sz="2" w:space="0" w:color="auto"/>
            </w:tcBorders>
          </w:tcPr>
          <w:p w14:paraId="1C924A15" w14:textId="77777777" w:rsidR="009F4766" w:rsidRPr="00DE12A3" w:rsidRDefault="009F4766" w:rsidP="00C917D6">
            <w:pPr>
              <w:pStyle w:val="NormalLeft"/>
            </w:pPr>
            <w:r w:rsidRPr="00DE12A3">
              <w:t>738</w:t>
            </w:r>
          </w:p>
        </w:tc>
        <w:tc>
          <w:tcPr>
            <w:tcW w:w="2489" w:type="dxa"/>
            <w:tcBorders>
              <w:top w:val="single" w:sz="2" w:space="0" w:color="auto"/>
              <w:left w:val="single" w:sz="2" w:space="0" w:color="auto"/>
              <w:bottom w:val="single" w:sz="2" w:space="0" w:color="auto"/>
              <w:right w:val="single" w:sz="2" w:space="0" w:color="auto"/>
            </w:tcBorders>
          </w:tcPr>
          <w:p w14:paraId="3330D7E1" w14:textId="77777777" w:rsidR="009F4766" w:rsidRPr="00DE12A3" w:rsidRDefault="009F4766" w:rsidP="00C917D6">
            <w:pPr>
              <w:pStyle w:val="NormalLeft"/>
            </w:pPr>
            <w:r w:rsidRPr="00DE12A3">
              <w:t>27</w:t>
            </w:r>
          </w:p>
        </w:tc>
        <w:tc>
          <w:tcPr>
            <w:tcW w:w="2551" w:type="dxa"/>
            <w:tcBorders>
              <w:top w:val="single" w:sz="2" w:space="0" w:color="auto"/>
              <w:left w:val="single" w:sz="2" w:space="0" w:color="auto"/>
              <w:bottom w:val="single" w:sz="2" w:space="0" w:color="auto"/>
              <w:right w:val="single" w:sz="2" w:space="0" w:color="auto"/>
            </w:tcBorders>
          </w:tcPr>
          <w:p w14:paraId="73D69AD1" w14:textId="77777777" w:rsidR="009F4766" w:rsidRPr="00DE12A3" w:rsidRDefault="009F4766" w:rsidP="00C917D6">
            <w:pPr>
              <w:pStyle w:val="NormalLeft"/>
            </w:pPr>
            <w:r w:rsidRPr="00DE12A3">
              <w:t>44</w:t>
            </w:r>
          </w:p>
        </w:tc>
      </w:tr>
      <w:tr w:rsidR="00DE12A3" w:rsidRPr="00DE12A3" w14:paraId="1F0EC979" w14:textId="77777777" w:rsidTr="009F4766">
        <w:tc>
          <w:tcPr>
            <w:tcW w:w="1182" w:type="dxa"/>
            <w:tcBorders>
              <w:top w:val="single" w:sz="2" w:space="0" w:color="auto"/>
              <w:left w:val="single" w:sz="2" w:space="0" w:color="auto"/>
              <w:bottom w:val="single" w:sz="2" w:space="0" w:color="auto"/>
              <w:right w:val="single" w:sz="2" w:space="0" w:color="auto"/>
            </w:tcBorders>
          </w:tcPr>
          <w:p w14:paraId="56074910" w14:textId="77777777" w:rsidR="009F4766" w:rsidRPr="00DE12A3" w:rsidRDefault="009F4766" w:rsidP="00C917D6">
            <w:pPr>
              <w:pStyle w:val="NormalLeft"/>
            </w:pPr>
            <w:r w:rsidRPr="00DE12A3">
              <w:t>739</w:t>
            </w:r>
          </w:p>
        </w:tc>
        <w:tc>
          <w:tcPr>
            <w:tcW w:w="2489" w:type="dxa"/>
            <w:tcBorders>
              <w:top w:val="single" w:sz="2" w:space="0" w:color="auto"/>
              <w:left w:val="single" w:sz="2" w:space="0" w:color="auto"/>
              <w:bottom w:val="single" w:sz="2" w:space="0" w:color="auto"/>
              <w:right w:val="single" w:sz="2" w:space="0" w:color="auto"/>
            </w:tcBorders>
          </w:tcPr>
          <w:p w14:paraId="708ADA4E" w14:textId="77777777" w:rsidR="009F4766" w:rsidRPr="00DE12A3" w:rsidRDefault="009F4766" w:rsidP="00C917D6">
            <w:pPr>
              <w:pStyle w:val="NormalLeft"/>
            </w:pPr>
            <w:r w:rsidRPr="00DE12A3">
              <w:t>21</w:t>
            </w:r>
          </w:p>
        </w:tc>
        <w:tc>
          <w:tcPr>
            <w:tcW w:w="2551" w:type="dxa"/>
            <w:tcBorders>
              <w:top w:val="single" w:sz="2" w:space="0" w:color="auto"/>
              <w:left w:val="single" w:sz="2" w:space="0" w:color="auto"/>
              <w:bottom w:val="single" w:sz="2" w:space="0" w:color="auto"/>
              <w:right w:val="single" w:sz="2" w:space="0" w:color="auto"/>
            </w:tcBorders>
          </w:tcPr>
          <w:p w14:paraId="19E5C6F8" w14:textId="77777777" w:rsidR="009F4766" w:rsidRPr="00DE12A3" w:rsidRDefault="009F4766" w:rsidP="00C917D6">
            <w:pPr>
              <w:pStyle w:val="NormalLeft"/>
            </w:pPr>
            <w:r w:rsidRPr="00DE12A3">
              <w:t>52</w:t>
            </w:r>
          </w:p>
        </w:tc>
      </w:tr>
      <w:tr w:rsidR="00DE12A3" w:rsidRPr="00DE12A3" w14:paraId="20F8B090" w14:textId="77777777" w:rsidTr="009F4766">
        <w:tc>
          <w:tcPr>
            <w:tcW w:w="1182" w:type="dxa"/>
            <w:tcBorders>
              <w:top w:val="single" w:sz="2" w:space="0" w:color="auto"/>
              <w:left w:val="single" w:sz="2" w:space="0" w:color="auto"/>
              <w:bottom w:val="single" w:sz="2" w:space="0" w:color="auto"/>
              <w:right w:val="single" w:sz="2" w:space="0" w:color="auto"/>
            </w:tcBorders>
          </w:tcPr>
          <w:p w14:paraId="1553F556" w14:textId="77777777" w:rsidR="009F4766" w:rsidRPr="00DE12A3" w:rsidRDefault="009F4766" w:rsidP="00C917D6">
            <w:pPr>
              <w:pStyle w:val="NormalLeft"/>
            </w:pPr>
            <w:r w:rsidRPr="00DE12A3">
              <w:t>740</w:t>
            </w:r>
          </w:p>
        </w:tc>
        <w:tc>
          <w:tcPr>
            <w:tcW w:w="2489" w:type="dxa"/>
            <w:tcBorders>
              <w:top w:val="single" w:sz="2" w:space="0" w:color="auto"/>
              <w:left w:val="single" w:sz="2" w:space="0" w:color="auto"/>
              <w:bottom w:val="single" w:sz="2" w:space="0" w:color="auto"/>
              <w:right w:val="single" w:sz="2" w:space="0" w:color="auto"/>
            </w:tcBorders>
          </w:tcPr>
          <w:p w14:paraId="50F79791" w14:textId="77777777" w:rsidR="009F4766" w:rsidRPr="00DE12A3" w:rsidRDefault="009F4766" w:rsidP="00C917D6">
            <w:pPr>
              <w:pStyle w:val="NormalLeft"/>
            </w:pPr>
            <w:r w:rsidRPr="00DE12A3">
              <w:t>13</w:t>
            </w:r>
          </w:p>
        </w:tc>
        <w:tc>
          <w:tcPr>
            <w:tcW w:w="2551" w:type="dxa"/>
            <w:tcBorders>
              <w:top w:val="single" w:sz="2" w:space="0" w:color="auto"/>
              <w:left w:val="single" w:sz="2" w:space="0" w:color="auto"/>
              <w:bottom w:val="single" w:sz="2" w:space="0" w:color="auto"/>
              <w:right w:val="single" w:sz="2" w:space="0" w:color="auto"/>
            </w:tcBorders>
          </w:tcPr>
          <w:p w14:paraId="457E7FC6" w14:textId="77777777" w:rsidR="009F4766" w:rsidRPr="00DE12A3" w:rsidRDefault="009F4766" w:rsidP="00C917D6">
            <w:pPr>
              <w:pStyle w:val="NormalLeft"/>
            </w:pPr>
            <w:r w:rsidRPr="00DE12A3">
              <w:t>57</w:t>
            </w:r>
          </w:p>
        </w:tc>
      </w:tr>
      <w:tr w:rsidR="00DE12A3" w:rsidRPr="00DE12A3" w14:paraId="3BB7B8C7" w14:textId="77777777" w:rsidTr="009F4766">
        <w:tc>
          <w:tcPr>
            <w:tcW w:w="1182" w:type="dxa"/>
            <w:tcBorders>
              <w:top w:val="single" w:sz="2" w:space="0" w:color="auto"/>
              <w:left w:val="single" w:sz="2" w:space="0" w:color="auto"/>
              <w:bottom w:val="single" w:sz="2" w:space="0" w:color="auto"/>
              <w:right w:val="single" w:sz="2" w:space="0" w:color="auto"/>
            </w:tcBorders>
          </w:tcPr>
          <w:p w14:paraId="7F9A51C9" w14:textId="77777777" w:rsidR="009F4766" w:rsidRPr="00DE12A3" w:rsidRDefault="009F4766" w:rsidP="00C917D6">
            <w:pPr>
              <w:pStyle w:val="NormalLeft"/>
            </w:pPr>
            <w:r w:rsidRPr="00DE12A3">
              <w:t>741</w:t>
            </w:r>
          </w:p>
        </w:tc>
        <w:tc>
          <w:tcPr>
            <w:tcW w:w="2489" w:type="dxa"/>
            <w:tcBorders>
              <w:top w:val="single" w:sz="2" w:space="0" w:color="auto"/>
              <w:left w:val="single" w:sz="2" w:space="0" w:color="auto"/>
              <w:bottom w:val="single" w:sz="2" w:space="0" w:color="auto"/>
              <w:right w:val="single" w:sz="2" w:space="0" w:color="auto"/>
            </w:tcBorders>
          </w:tcPr>
          <w:p w14:paraId="5E40852D" w14:textId="77777777" w:rsidR="009F4766" w:rsidRPr="00DE12A3" w:rsidRDefault="009F4766" w:rsidP="00C917D6">
            <w:pPr>
              <w:pStyle w:val="NormalLeft"/>
            </w:pPr>
            <w:r w:rsidRPr="00DE12A3">
              <w:t>12</w:t>
            </w:r>
          </w:p>
        </w:tc>
        <w:tc>
          <w:tcPr>
            <w:tcW w:w="2551" w:type="dxa"/>
            <w:tcBorders>
              <w:top w:val="single" w:sz="2" w:space="0" w:color="auto"/>
              <w:left w:val="single" w:sz="2" w:space="0" w:color="auto"/>
              <w:bottom w:val="single" w:sz="2" w:space="0" w:color="auto"/>
              <w:right w:val="single" w:sz="2" w:space="0" w:color="auto"/>
            </w:tcBorders>
          </w:tcPr>
          <w:p w14:paraId="6C42049C" w14:textId="77777777" w:rsidR="009F4766" w:rsidRPr="00DE12A3" w:rsidRDefault="009F4766" w:rsidP="00C917D6">
            <w:pPr>
              <w:pStyle w:val="NormalLeft"/>
            </w:pPr>
            <w:r w:rsidRPr="00DE12A3">
              <w:t>56</w:t>
            </w:r>
          </w:p>
        </w:tc>
      </w:tr>
      <w:tr w:rsidR="00DE12A3" w:rsidRPr="00DE12A3" w14:paraId="2E73BE33" w14:textId="77777777" w:rsidTr="009F4766">
        <w:tc>
          <w:tcPr>
            <w:tcW w:w="1182" w:type="dxa"/>
            <w:tcBorders>
              <w:top w:val="single" w:sz="2" w:space="0" w:color="auto"/>
              <w:left w:val="single" w:sz="2" w:space="0" w:color="auto"/>
              <w:bottom w:val="single" w:sz="2" w:space="0" w:color="auto"/>
              <w:right w:val="single" w:sz="2" w:space="0" w:color="auto"/>
            </w:tcBorders>
          </w:tcPr>
          <w:p w14:paraId="1238778C" w14:textId="77777777" w:rsidR="009F4766" w:rsidRPr="00DE12A3" w:rsidRDefault="009F4766" w:rsidP="00C917D6">
            <w:pPr>
              <w:pStyle w:val="NormalLeft"/>
            </w:pPr>
            <w:r w:rsidRPr="00DE12A3">
              <w:t>742</w:t>
            </w:r>
          </w:p>
        </w:tc>
        <w:tc>
          <w:tcPr>
            <w:tcW w:w="2489" w:type="dxa"/>
            <w:tcBorders>
              <w:top w:val="single" w:sz="2" w:space="0" w:color="auto"/>
              <w:left w:val="single" w:sz="2" w:space="0" w:color="auto"/>
              <w:bottom w:val="single" w:sz="2" w:space="0" w:color="auto"/>
              <w:right w:val="single" w:sz="2" w:space="0" w:color="auto"/>
            </w:tcBorders>
          </w:tcPr>
          <w:p w14:paraId="1B4EF3C1" w14:textId="77777777" w:rsidR="009F4766" w:rsidRPr="00DE12A3" w:rsidRDefault="009F4766" w:rsidP="00C917D6">
            <w:pPr>
              <w:pStyle w:val="NormalLeft"/>
            </w:pPr>
            <w:r w:rsidRPr="00DE12A3">
              <w:t>10</w:t>
            </w:r>
          </w:p>
        </w:tc>
        <w:tc>
          <w:tcPr>
            <w:tcW w:w="2551" w:type="dxa"/>
            <w:tcBorders>
              <w:top w:val="single" w:sz="2" w:space="0" w:color="auto"/>
              <w:left w:val="single" w:sz="2" w:space="0" w:color="auto"/>
              <w:bottom w:val="single" w:sz="2" w:space="0" w:color="auto"/>
              <w:right w:val="single" w:sz="2" w:space="0" w:color="auto"/>
            </w:tcBorders>
          </w:tcPr>
          <w:p w14:paraId="3EE9E7F0" w14:textId="77777777" w:rsidR="009F4766" w:rsidRPr="00DE12A3" w:rsidRDefault="009F4766" w:rsidP="00C917D6">
            <w:pPr>
              <w:pStyle w:val="NormalLeft"/>
            </w:pPr>
            <w:r w:rsidRPr="00DE12A3">
              <w:t>64</w:t>
            </w:r>
          </w:p>
        </w:tc>
      </w:tr>
      <w:tr w:rsidR="00DE12A3" w:rsidRPr="00DE12A3" w14:paraId="0A10071E" w14:textId="77777777" w:rsidTr="009F4766">
        <w:tc>
          <w:tcPr>
            <w:tcW w:w="1182" w:type="dxa"/>
            <w:tcBorders>
              <w:top w:val="single" w:sz="2" w:space="0" w:color="auto"/>
              <w:left w:val="single" w:sz="2" w:space="0" w:color="auto"/>
              <w:bottom w:val="single" w:sz="2" w:space="0" w:color="auto"/>
              <w:right w:val="single" w:sz="2" w:space="0" w:color="auto"/>
            </w:tcBorders>
          </w:tcPr>
          <w:p w14:paraId="29548677" w14:textId="77777777" w:rsidR="009F4766" w:rsidRPr="00DE12A3" w:rsidRDefault="009F4766" w:rsidP="00C917D6">
            <w:pPr>
              <w:pStyle w:val="NormalLeft"/>
            </w:pPr>
            <w:r w:rsidRPr="00DE12A3">
              <w:t>743</w:t>
            </w:r>
          </w:p>
        </w:tc>
        <w:tc>
          <w:tcPr>
            <w:tcW w:w="2489" w:type="dxa"/>
            <w:tcBorders>
              <w:top w:val="single" w:sz="2" w:space="0" w:color="auto"/>
              <w:left w:val="single" w:sz="2" w:space="0" w:color="auto"/>
              <w:bottom w:val="single" w:sz="2" w:space="0" w:color="auto"/>
              <w:right w:val="single" w:sz="2" w:space="0" w:color="auto"/>
            </w:tcBorders>
          </w:tcPr>
          <w:p w14:paraId="2AB75833" w14:textId="77777777" w:rsidR="009F4766" w:rsidRPr="00DE12A3" w:rsidRDefault="009F4766" w:rsidP="00C917D6">
            <w:pPr>
              <w:pStyle w:val="NormalLeft"/>
            </w:pPr>
            <w:r w:rsidRPr="00DE12A3">
              <w:t>22</w:t>
            </w:r>
          </w:p>
        </w:tc>
        <w:tc>
          <w:tcPr>
            <w:tcW w:w="2551" w:type="dxa"/>
            <w:tcBorders>
              <w:top w:val="single" w:sz="2" w:space="0" w:color="auto"/>
              <w:left w:val="single" w:sz="2" w:space="0" w:color="auto"/>
              <w:bottom w:val="single" w:sz="2" w:space="0" w:color="auto"/>
              <w:right w:val="single" w:sz="2" w:space="0" w:color="auto"/>
            </w:tcBorders>
          </w:tcPr>
          <w:p w14:paraId="56BF759E" w14:textId="77777777" w:rsidR="009F4766" w:rsidRPr="00DE12A3" w:rsidRDefault="009F4766" w:rsidP="00C917D6">
            <w:pPr>
              <w:pStyle w:val="NormalLeft"/>
            </w:pPr>
            <w:r w:rsidRPr="00DE12A3">
              <w:t>47</w:t>
            </w:r>
          </w:p>
        </w:tc>
      </w:tr>
      <w:tr w:rsidR="00DE12A3" w:rsidRPr="00DE12A3" w14:paraId="456EF50A" w14:textId="77777777" w:rsidTr="009F4766">
        <w:tc>
          <w:tcPr>
            <w:tcW w:w="1182" w:type="dxa"/>
            <w:tcBorders>
              <w:top w:val="single" w:sz="2" w:space="0" w:color="auto"/>
              <w:left w:val="single" w:sz="2" w:space="0" w:color="auto"/>
              <w:bottom w:val="single" w:sz="2" w:space="0" w:color="auto"/>
              <w:right w:val="single" w:sz="2" w:space="0" w:color="auto"/>
            </w:tcBorders>
          </w:tcPr>
          <w:p w14:paraId="23EDBFC6" w14:textId="77777777" w:rsidR="009F4766" w:rsidRPr="00DE12A3" w:rsidRDefault="009F4766" w:rsidP="00C917D6">
            <w:pPr>
              <w:pStyle w:val="NormalLeft"/>
            </w:pPr>
            <w:r w:rsidRPr="00DE12A3">
              <w:t>744</w:t>
            </w:r>
          </w:p>
        </w:tc>
        <w:tc>
          <w:tcPr>
            <w:tcW w:w="2489" w:type="dxa"/>
            <w:tcBorders>
              <w:top w:val="single" w:sz="2" w:space="0" w:color="auto"/>
              <w:left w:val="single" w:sz="2" w:space="0" w:color="auto"/>
              <w:bottom w:val="single" w:sz="2" w:space="0" w:color="auto"/>
              <w:right w:val="single" w:sz="2" w:space="0" w:color="auto"/>
            </w:tcBorders>
          </w:tcPr>
          <w:p w14:paraId="72E2D968" w14:textId="77777777" w:rsidR="009F4766" w:rsidRPr="00DE12A3" w:rsidRDefault="009F4766" w:rsidP="00C917D6">
            <w:pPr>
              <w:pStyle w:val="NormalLeft"/>
            </w:pPr>
            <w:r w:rsidRPr="00DE12A3">
              <w:t>15</w:t>
            </w:r>
          </w:p>
        </w:tc>
        <w:tc>
          <w:tcPr>
            <w:tcW w:w="2551" w:type="dxa"/>
            <w:tcBorders>
              <w:top w:val="single" w:sz="2" w:space="0" w:color="auto"/>
              <w:left w:val="single" w:sz="2" w:space="0" w:color="auto"/>
              <w:bottom w:val="single" w:sz="2" w:space="0" w:color="auto"/>
              <w:right w:val="single" w:sz="2" w:space="0" w:color="auto"/>
            </w:tcBorders>
          </w:tcPr>
          <w:p w14:paraId="03BB59C1" w14:textId="77777777" w:rsidR="009F4766" w:rsidRPr="00DE12A3" w:rsidRDefault="009F4766" w:rsidP="00C917D6">
            <w:pPr>
              <w:pStyle w:val="NormalLeft"/>
            </w:pPr>
            <w:r w:rsidRPr="00DE12A3">
              <w:t>74</w:t>
            </w:r>
          </w:p>
        </w:tc>
      </w:tr>
      <w:tr w:rsidR="00DE12A3" w:rsidRPr="00DE12A3" w14:paraId="2277CB31" w14:textId="77777777" w:rsidTr="009F4766">
        <w:tc>
          <w:tcPr>
            <w:tcW w:w="1182" w:type="dxa"/>
            <w:tcBorders>
              <w:top w:val="single" w:sz="2" w:space="0" w:color="auto"/>
              <w:left w:val="single" w:sz="2" w:space="0" w:color="auto"/>
              <w:bottom w:val="single" w:sz="2" w:space="0" w:color="auto"/>
              <w:right w:val="single" w:sz="2" w:space="0" w:color="auto"/>
            </w:tcBorders>
          </w:tcPr>
          <w:p w14:paraId="4CBB55C0" w14:textId="77777777" w:rsidR="009F4766" w:rsidRPr="00DE12A3" w:rsidRDefault="009F4766" w:rsidP="00C917D6">
            <w:pPr>
              <w:pStyle w:val="NormalLeft"/>
            </w:pPr>
            <w:r w:rsidRPr="00DE12A3">
              <w:t>745</w:t>
            </w:r>
          </w:p>
        </w:tc>
        <w:tc>
          <w:tcPr>
            <w:tcW w:w="2489" w:type="dxa"/>
            <w:tcBorders>
              <w:top w:val="single" w:sz="2" w:space="0" w:color="auto"/>
              <w:left w:val="single" w:sz="2" w:space="0" w:color="auto"/>
              <w:bottom w:val="single" w:sz="2" w:space="0" w:color="auto"/>
              <w:right w:val="single" w:sz="2" w:space="0" w:color="auto"/>
            </w:tcBorders>
          </w:tcPr>
          <w:p w14:paraId="49D58DC7" w14:textId="77777777" w:rsidR="009F4766" w:rsidRPr="00DE12A3" w:rsidRDefault="009F4766" w:rsidP="00C917D6">
            <w:pPr>
              <w:pStyle w:val="NormalLeft"/>
            </w:pPr>
            <w:r w:rsidRPr="00DE12A3">
              <w:t>8</w:t>
            </w:r>
          </w:p>
        </w:tc>
        <w:tc>
          <w:tcPr>
            <w:tcW w:w="2551" w:type="dxa"/>
            <w:tcBorders>
              <w:top w:val="single" w:sz="2" w:space="0" w:color="auto"/>
              <w:left w:val="single" w:sz="2" w:space="0" w:color="auto"/>
              <w:bottom w:val="single" w:sz="2" w:space="0" w:color="auto"/>
              <w:right w:val="single" w:sz="2" w:space="0" w:color="auto"/>
            </w:tcBorders>
          </w:tcPr>
          <w:p w14:paraId="20ACDBC5" w14:textId="77777777" w:rsidR="009F4766" w:rsidRPr="00DE12A3" w:rsidRDefault="009F4766" w:rsidP="00C917D6">
            <w:pPr>
              <w:pStyle w:val="NormalLeft"/>
            </w:pPr>
            <w:r w:rsidRPr="00DE12A3">
              <w:t>66</w:t>
            </w:r>
          </w:p>
        </w:tc>
      </w:tr>
      <w:tr w:rsidR="00DE12A3" w:rsidRPr="00DE12A3" w14:paraId="1ADE622E" w14:textId="77777777" w:rsidTr="009F4766">
        <w:tc>
          <w:tcPr>
            <w:tcW w:w="1182" w:type="dxa"/>
            <w:tcBorders>
              <w:top w:val="single" w:sz="2" w:space="0" w:color="auto"/>
              <w:left w:val="single" w:sz="2" w:space="0" w:color="auto"/>
              <w:bottom w:val="single" w:sz="2" w:space="0" w:color="auto"/>
              <w:right w:val="single" w:sz="2" w:space="0" w:color="auto"/>
            </w:tcBorders>
          </w:tcPr>
          <w:p w14:paraId="68BADA3C" w14:textId="77777777" w:rsidR="009F4766" w:rsidRPr="00DE12A3" w:rsidRDefault="009F4766" w:rsidP="00C917D6">
            <w:pPr>
              <w:pStyle w:val="NormalLeft"/>
            </w:pPr>
            <w:r w:rsidRPr="00DE12A3">
              <w:t>746</w:t>
            </w:r>
          </w:p>
        </w:tc>
        <w:tc>
          <w:tcPr>
            <w:tcW w:w="2489" w:type="dxa"/>
            <w:tcBorders>
              <w:top w:val="single" w:sz="2" w:space="0" w:color="auto"/>
              <w:left w:val="single" w:sz="2" w:space="0" w:color="auto"/>
              <w:bottom w:val="single" w:sz="2" w:space="0" w:color="auto"/>
              <w:right w:val="single" w:sz="2" w:space="0" w:color="auto"/>
            </w:tcBorders>
          </w:tcPr>
          <w:p w14:paraId="63531BEB" w14:textId="77777777" w:rsidR="009F4766" w:rsidRPr="00DE12A3" w:rsidRDefault="009F4766" w:rsidP="00C917D6">
            <w:pPr>
              <w:pStyle w:val="NormalLeft"/>
            </w:pPr>
            <w:r w:rsidRPr="00DE12A3">
              <w:t>34</w:t>
            </w:r>
          </w:p>
        </w:tc>
        <w:tc>
          <w:tcPr>
            <w:tcW w:w="2551" w:type="dxa"/>
            <w:tcBorders>
              <w:top w:val="single" w:sz="2" w:space="0" w:color="auto"/>
              <w:left w:val="single" w:sz="2" w:space="0" w:color="auto"/>
              <w:bottom w:val="single" w:sz="2" w:space="0" w:color="auto"/>
              <w:right w:val="single" w:sz="2" w:space="0" w:color="auto"/>
            </w:tcBorders>
          </w:tcPr>
          <w:p w14:paraId="0662E456" w14:textId="77777777" w:rsidR="009F4766" w:rsidRPr="00DE12A3" w:rsidRDefault="009F4766" w:rsidP="00C917D6">
            <w:pPr>
              <w:pStyle w:val="NormalLeft"/>
            </w:pPr>
            <w:r w:rsidRPr="00DE12A3">
              <w:t>47</w:t>
            </w:r>
          </w:p>
        </w:tc>
      </w:tr>
      <w:tr w:rsidR="00DE12A3" w:rsidRPr="00DE12A3" w14:paraId="0C398EDB" w14:textId="77777777" w:rsidTr="009F4766">
        <w:tc>
          <w:tcPr>
            <w:tcW w:w="1182" w:type="dxa"/>
            <w:tcBorders>
              <w:top w:val="single" w:sz="2" w:space="0" w:color="auto"/>
              <w:left w:val="single" w:sz="2" w:space="0" w:color="auto"/>
              <w:bottom w:val="single" w:sz="2" w:space="0" w:color="auto"/>
              <w:right w:val="single" w:sz="2" w:space="0" w:color="auto"/>
            </w:tcBorders>
          </w:tcPr>
          <w:p w14:paraId="60693542" w14:textId="77777777" w:rsidR="009F4766" w:rsidRPr="00DE12A3" w:rsidRDefault="009F4766" w:rsidP="00C917D6">
            <w:pPr>
              <w:pStyle w:val="NormalLeft"/>
            </w:pPr>
            <w:r w:rsidRPr="00DE12A3">
              <w:lastRenderedPageBreak/>
              <w:t>747</w:t>
            </w:r>
          </w:p>
        </w:tc>
        <w:tc>
          <w:tcPr>
            <w:tcW w:w="2489" w:type="dxa"/>
            <w:tcBorders>
              <w:top w:val="single" w:sz="2" w:space="0" w:color="auto"/>
              <w:left w:val="single" w:sz="2" w:space="0" w:color="auto"/>
              <w:bottom w:val="single" w:sz="2" w:space="0" w:color="auto"/>
              <w:right w:val="single" w:sz="2" w:space="0" w:color="auto"/>
            </w:tcBorders>
          </w:tcPr>
          <w:p w14:paraId="3F2D07CF" w14:textId="77777777" w:rsidR="009F4766" w:rsidRPr="00DE12A3" w:rsidRDefault="009F4766" w:rsidP="00C917D6">
            <w:pPr>
              <w:pStyle w:val="NormalLeft"/>
            </w:pPr>
            <w:r w:rsidRPr="00DE12A3">
              <w:t>18</w:t>
            </w:r>
          </w:p>
        </w:tc>
        <w:tc>
          <w:tcPr>
            <w:tcW w:w="2551" w:type="dxa"/>
            <w:tcBorders>
              <w:top w:val="single" w:sz="2" w:space="0" w:color="auto"/>
              <w:left w:val="single" w:sz="2" w:space="0" w:color="auto"/>
              <w:bottom w:val="single" w:sz="2" w:space="0" w:color="auto"/>
              <w:right w:val="single" w:sz="2" w:space="0" w:color="auto"/>
            </w:tcBorders>
          </w:tcPr>
          <w:p w14:paraId="3D915A14" w14:textId="77777777" w:rsidR="009F4766" w:rsidRPr="00DE12A3" w:rsidRDefault="009F4766" w:rsidP="00C917D6">
            <w:pPr>
              <w:pStyle w:val="NormalLeft"/>
            </w:pPr>
            <w:r w:rsidRPr="00DE12A3">
              <w:t>71</w:t>
            </w:r>
          </w:p>
        </w:tc>
      </w:tr>
      <w:tr w:rsidR="00DE12A3" w:rsidRPr="00DE12A3" w14:paraId="0690CD32" w14:textId="77777777" w:rsidTr="009F4766">
        <w:tc>
          <w:tcPr>
            <w:tcW w:w="1182" w:type="dxa"/>
            <w:tcBorders>
              <w:top w:val="single" w:sz="2" w:space="0" w:color="auto"/>
              <w:left w:val="single" w:sz="2" w:space="0" w:color="auto"/>
              <w:bottom w:val="single" w:sz="2" w:space="0" w:color="auto"/>
              <w:right w:val="single" w:sz="2" w:space="0" w:color="auto"/>
            </w:tcBorders>
          </w:tcPr>
          <w:p w14:paraId="172A1604" w14:textId="77777777" w:rsidR="009F4766" w:rsidRPr="00DE12A3" w:rsidRDefault="009F4766" w:rsidP="00C917D6">
            <w:pPr>
              <w:pStyle w:val="NormalLeft"/>
            </w:pPr>
            <w:r w:rsidRPr="00DE12A3">
              <w:t>748</w:t>
            </w:r>
          </w:p>
        </w:tc>
        <w:tc>
          <w:tcPr>
            <w:tcW w:w="2489" w:type="dxa"/>
            <w:tcBorders>
              <w:top w:val="single" w:sz="2" w:space="0" w:color="auto"/>
              <w:left w:val="single" w:sz="2" w:space="0" w:color="auto"/>
              <w:bottom w:val="single" w:sz="2" w:space="0" w:color="auto"/>
              <w:right w:val="single" w:sz="2" w:space="0" w:color="auto"/>
            </w:tcBorders>
          </w:tcPr>
          <w:p w14:paraId="449B629B" w14:textId="77777777" w:rsidR="009F4766" w:rsidRPr="00DE12A3" w:rsidRDefault="009F4766" w:rsidP="00C917D6">
            <w:pPr>
              <w:pStyle w:val="NormalLeft"/>
            </w:pPr>
            <w:r w:rsidRPr="00DE12A3">
              <w:t>9</w:t>
            </w:r>
          </w:p>
        </w:tc>
        <w:tc>
          <w:tcPr>
            <w:tcW w:w="2551" w:type="dxa"/>
            <w:tcBorders>
              <w:top w:val="single" w:sz="2" w:space="0" w:color="auto"/>
              <w:left w:val="single" w:sz="2" w:space="0" w:color="auto"/>
              <w:bottom w:val="single" w:sz="2" w:space="0" w:color="auto"/>
              <w:right w:val="single" w:sz="2" w:space="0" w:color="auto"/>
            </w:tcBorders>
          </w:tcPr>
          <w:p w14:paraId="1822B545" w14:textId="77777777" w:rsidR="009F4766" w:rsidRPr="00DE12A3" w:rsidRDefault="009F4766" w:rsidP="00C917D6">
            <w:pPr>
              <w:pStyle w:val="NormalLeft"/>
            </w:pPr>
            <w:r w:rsidRPr="00DE12A3">
              <w:t>57</w:t>
            </w:r>
          </w:p>
        </w:tc>
      </w:tr>
      <w:tr w:rsidR="00DE12A3" w:rsidRPr="00DE12A3" w14:paraId="0F24CA3F" w14:textId="77777777" w:rsidTr="009F4766">
        <w:tc>
          <w:tcPr>
            <w:tcW w:w="1182" w:type="dxa"/>
            <w:tcBorders>
              <w:top w:val="single" w:sz="2" w:space="0" w:color="auto"/>
              <w:left w:val="single" w:sz="2" w:space="0" w:color="auto"/>
              <w:bottom w:val="single" w:sz="2" w:space="0" w:color="auto"/>
              <w:right w:val="single" w:sz="2" w:space="0" w:color="auto"/>
            </w:tcBorders>
          </w:tcPr>
          <w:p w14:paraId="7C1CA252" w14:textId="77777777" w:rsidR="009F4766" w:rsidRPr="00DE12A3" w:rsidRDefault="009F4766" w:rsidP="00C917D6">
            <w:pPr>
              <w:pStyle w:val="NormalLeft"/>
            </w:pPr>
            <w:r w:rsidRPr="00DE12A3">
              <w:t>749</w:t>
            </w:r>
          </w:p>
        </w:tc>
        <w:tc>
          <w:tcPr>
            <w:tcW w:w="2489" w:type="dxa"/>
            <w:tcBorders>
              <w:top w:val="single" w:sz="2" w:space="0" w:color="auto"/>
              <w:left w:val="single" w:sz="2" w:space="0" w:color="auto"/>
              <w:bottom w:val="single" w:sz="2" w:space="0" w:color="auto"/>
              <w:right w:val="single" w:sz="2" w:space="0" w:color="auto"/>
            </w:tcBorders>
          </w:tcPr>
          <w:p w14:paraId="718C159A" w14:textId="77777777" w:rsidR="009F4766" w:rsidRPr="00DE12A3" w:rsidRDefault="009F4766" w:rsidP="00C917D6">
            <w:pPr>
              <w:pStyle w:val="NormalLeft"/>
            </w:pPr>
            <w:r w:rsidRPr="00DE12A3">
              <w:t>11</w:t>
            </w:r>
          </w:p>
        </w:tc>
        <w:tc>
          <w:tcPr>
            <w:tcW w:w="2551" w:type="dxa"/>
            <w:tcBorders>
              <w:top w:val="single" w:sz="2" w:space="0" w:color="auto"/>
              <w:left w:val="single" w:sz="2" w:space="0" w:color="auto"/>
              <w:bottom w:val="single" w:sz="2" w:space="0" w:color="auto"/>
              <w:right w:val="single" w:sz="2" w:space="0" w:color="auto"/>
            </w:tcBorders>
          </w:tcPr>
          <w:p w14:paraId="2625B1DA" w14:textId="77777777" w:rsidR="009F4766" w:rsidRPr="00DE12A3" w:rsidRDefault="009F4766" w:rsidP="00C917D6">
            <w:pPr>
              <w:pStyle w:val="NormalLeft"/>
            </w:pPr>
            <w:r w:rsidRPr="00DE12A3">
              <w:t>55</w:t>
            </w:r>
          </w:p>
        </w:tc>
      </w:tr>
      <w:tr w:rsidR="00DE12A3" w:rsidRPr="00DE12A3" w14:paraId="3A2DE8AC" w14:textId="77777777" w:rsidTr="009F4766">
        <w:tc>
          <w:tcPr>
            <w:tcW w:w="1182" w:type="dxa"/>
            <w:tcBorders>
              <w:top w:val="single" w:sz="2" w:space="0" w:color="auto"/>
              <w:left w:val="single" w:sz="2" w:space="0" w:color="auto"/>
              <w:bottom w:val="single" w:sz="2" w:space="0" w:color="auto"/>
              <w:right w:val="single" w:sz="2" w:space="0" w:color="auto"/>
            </w:tcBorders>
          </w:tcPr>
          <w:p w14:paraId="116F8265" w14:textId="77777777" w:rsidR="009F4766" w:rsidRPr="00DE12A3" w:rsidRDefault="009F4766" w:rsidP="00C917D6">
            <w:pPr>
              <w:pStyle w:val="NormalLeft"/>
            </w:pPr>
            <w:r w:rsidRPr="00DE12A3">
              <w:t>750</w:t>
            </w:r>
          </w:p>
        </w:tc>
        <w:tc>
          <w:tcPr>
            <w:tcW w:w="2489" w:type="dxa"/>
            <w:tcBorders>
              <w:top w:val="single" w:sz="2" w:space="0" w:color="auto"/>
              <w:left w:val="single" w:sz="2" w:space="0" w:color="auto"/>
              <w:bottom w:val="single" w:sz="2" w:space="0" w:color="auto"/>
              <w:right w:val="single" w:sz="2" w:space="0" w:color="auto"/>
            </w:tcBorders>
          </w:tcPr>
          <w:p w14:paraId="7DEA164F" w14:textId="77777777" w:rsidR="009F4766" w:rsidRPr="00DE12A3" w:rsidRDefault="009F4766" w:rsidP="00C917D6">
            <w:pPr>
              <w:pStyle w:val="NormalLeft"/>
            </w:pPr>
            <w:r w:rsidRPr="00DE12A3">
              <w:t>12</w:t>
            </w:r>
          </w:p>
        </w:tc>
        <w:tc>
          <w:tcPr>
            <w:tcW w:w="2551" w:type="dxa"/>
            <w:tcBorders>
              <w:top w:val="single" w:sz="2" w:space="0" w:color="auto"/>
              <w:left w:val="single" w:sz="2" w:space="0" w:color="auto"/>
              <w:bottom w:val="single" w:sz="2" w:space="0" w:color="auto"/>
              <w:right w:val="single" w:sz="2" w:space="0" w:color="auto"/>
            </w:tcBorders>
          </w:tcPr>
          <w:p w14:paraId="1866C8B1" w14:textId="77777777" w:rsidR="009F4766" w:rsidRPr="00DE12A3" w:rsidRDefault="009F4766" w:rsidP="00C917D6">
            <w:pPr>
              <w:pStyle w:val="NormalLeft"/>
            </w:pPr>
            <w:r w:rsidRPr="00DE12A3">
              <w:t>57</w:t>
            </w:r>
          </w:p>
        </w:tc>
      </w:tr>
      <w:tr w:rsidR="00DE12A3" w:rsidRPr="00DE12A3" w14:paraId="3BCE191C" w14:textId="77777777" w:rsidTr="009F4766">
        <w:tc>
          <w:tcPr>
            <w:tcW w:w="1182" w:type="dxa"/>
            <w:tcBorders>
              <w:top w:val="single" w:sz="2" w:space="0" w:color="auto"/>
              <w:left w:val="single" w:sz="2" w:space="0" w:color="auto"/>
              <w:bottom w:val="single" w:sz="2" w:space="0" w:color="auto"/>
              <w:right w:val="single" w:sz="2" w:space="0" w:color="auto"/>
            </w:tcBorders>
          </w:tcPr>
          <w:p w14:paraId="0E43D512" w14:textId="77777777" w:rsidR="009F4766" w:rsidRPr="00DE12A3" w:rsidRDefault="009F4766" w:rsidP="00C917D6">
            <w:pPr>
              <w:pStyle w:val="NormalLeft"/>
            </w:pPr>
            <w:r w:rsidRPr="00DE12A3">
              <w:t>751</w:t>
            </w:r>
          </w:p>
        </w:tc>
        <w:tc>
          <w:tcPr>
            <w:tcW w:w="2489" w:type="dxa"/>
            <w:tcBorders>
              <w:top w:val="single" w:sz="2" w:space="0" w:color="auto"/>
              <w:left w:val="single" w:sz="2" w:space="0" w:color="auto"/>
              <w:bottom w:val="single" w:sz="2" w:space="0" w:color="auto"/>
              <w:right w:val="single" w:sz="2" w:space="0" w:color="auto"/>
            </w:tcBorders>
          </w:tcPr>
          <w:p w14:paraId="5B51CB0F" w14:textId="77777777" w:rsidR="009F4766" w:rsidRPr="00DE12A3" w:rsidRDefault="009F4766" w:rsidP="00C917D6">
            <w:pPr>
              <w:pStyle w:val="NormalLeft"/>
            </w:pPr>
            <w:r w:rsidRPr="00DE12A3">
              <w:t>10</w:t>
            </w:r>
          </w:p>
        </w:tc>
        <w:tc>
          <w:tcPr>
            <w:tcW w:w="2551" w:type="dxa"/>
            <w:tcBorders>
              <w:top w:val="single" w:sz="2" w:space="0" w:color="auto"/>
              <w:left w:val="single" w:sz="2" w:space="0" w:color="auto"/>
              <w:bottom w:val="single" w:sz="2" w:space="0" w:color="auto"/>
              <w:right w:val="single" w:sz="2" w:space="0" w:color="auto"/>
            </w:tcBorders>
          </w:tcPr>
          <w:p w14:paraId="6BE7EF24" w14:textId="77777777" w:rsidR="009F4766" w:rsidRPr="00DE12A3" w:rsidRDefault="009F4766" w:rsidP="00C917D6">
            <w:pPr>
              <w:pStyle w:val="NormalLeft"/>
            </w:pPr>
            <w:r w:rsidRPr="00DE12A3">
              <w:t>61</w:t>
            </w:r>
          </w:p>
        </w:tc>
      </w:tr>
      <w:tr w:rsidR="00DE12A3" w:rsidRPr="00DE12A3" w14:paraId="17494FEC" w14:textId="77777777" w:rsidTr="009F4766">
        <w:tc>
          <w:tcPr>
            <w:tcW w:w="1182" w:type="dxa"/>
            <w:tcBorders>
              <w:top w:val="single" w:sz="2" w:space="0" w:color="auto"/>
              <w:left w:val="single" w:sz="2" w:space="0" w:color="auto"/>
              <w:bottom w:val="single" w:sz="2" w:space="0" w:color="auto"/>
              <w:right w:val="single" w:sz="2" w:space="0" w:color="auto"/>
            </w:tcBorders>
          </w:tcPr>
          <w:p w14:paraId="6CA629B3" w14:textId="77777777" w:rsidR="009F4766" w:rsidRPr="00DE12A3" w:rsidRDefault="009F4766" w:rsidP="00C917D6">
            <w:pPr>
              <w:pStyle w:val="NormalLeft"/>
            </w:pPr>
            <w:r w:rsidRPr="00DE12A3">
              <w:t>752</w:t>
            </w:r>
          </w:p>
        </w:tc>
        <w:tc>
          <w:tcPr>
            <w:tcW w:w="2489" w:type="dxa"/>
            <w:tcBorders>
              <w:top w:val="single" w:sz="2" w:space="0" w:color="auto"/>
              <w:left w:val="single" w:sz="2" w:space="0" w:color="auto"/>
              <w:bottom w:val="single" w:sz="2" w:space="0" w:color="auto"/>
              <w:right w:val="single" w:sz="2" w:space="0" w:color="auto"/>
            </w:tcBorders>
          </w:tcPr>
          <w:p w14:paraId="3D9AB2C3" w14:textId="77777777" w:rsidR="009F4766" w:rsidRPr="00DE12A3" w:rsidRDefault="009F4766" w:rsidP="00C917D6">
            <w:pPr>
              <w:pStyle w:val="NormalLeft"/>
            </w:pPr>
            <w:r w:rsidRPr="00DE12A3">
              <w:t>16</w:t>
            </w:r>
          </w:p>
        </w:tc>
        <w:tc>
          <w:tcPr>
            <w:tcW w:w="2551" w:type="dxa"/>
            <w:tcBorders>
              <w:top w:val="single" w:sz="2" w:space="0" w:color="auto"/>
              <w:left w:val="single" w:sz="2" w:space="0" w:color="auto"/>
              <w:bottom w:val="single" w:sz="2" w:space="0" w:color="auto"/>
              <w:right w:val="single" w:sz="2" w:space="0" w:color="auto"/>
            </w:tcBorders>
          </w:tcPr>
          <w:p w14:paraId="72C8AAB1" w14:textId="77777777" w:rsidR="009F4766" w:rsidRPr="00DE12A3" w:rsidRDefault="009F4766" w:rsidP="00C917D6">
            <w:pPr>
              <w:pStyle w:val="NormalLeft"/>
            </w:pPr>
            <w:r w:rsidRPr="00DE12A3">
              <w:t>53</w:t>
            </w:r>
          </w:p>
        </w:tc>
      </w:tr>
      <w:tr w:rsidR="00DE12A3" w:rsidRPr="00DE12A3" w14:paraId="1EC610C5" w14:textId="77777777" w:rsidTr="009F4766">
        <w:tc>
          <w:tcPr>
            <w:tcW w:w="1182" w:type="dxa"/>
            <w:tcBorders>
              <w:top w:val="single" w:sz="2" w:space="0" w:color="auto"/>
              <w:left w:val="single" w:sz="2" w:space="0" w:color="auto"/>
              <w:bottom w:val="single" w:sz="2" w:space="0" w:color="auto"/>
              <w:right w:val="single" w:sz="2" w:space="0" w:color="auto"/>
            </w:tcBorders>
          </w:tcPr>
          <w:p w14:paraId="728BE1E1" w14:textId="77777777" w:rsidR="009F4766" w:rsidRPr="00DE12A3" w:rsidRDefault="009F4766" w:rsidP="00C917D6">
            <w:pPr>
              <w:pStyle w:val="NormalLeft"/>
            </w:pPr>
            <w:r w:rsidRPr="00DE12A3">
              <w:t>753</w:t>
            </w:r>
          </w:p>
        </w:tc>
        <w:tc>
          <w:tcPr>
            <w:tcW w:w="2489" w:type="dxa"/>
            <w:tcBorders>
              <w:top w:val="single" w:sz="2" w:space="0" w:color="auto"/>
              <w:left w:val="single" w:sz="2" w:space="0" w:color="auto"/>
              <w:bottom w:val="single" w:sz="2" w:space="0" w:color="auto"/>
              <w:right w:val="single" w:sz="2" w:space="0" w:color="auto"/>
            </w:tcBorders>
          </w:tcPr>
          <w:p w14:paraId="7B656A13" w14:textId="77777777" w:rsidR="009F4766" w:rsidRPr="00DE12A3" w:rsidRDefault="009F4766" w:rsidP="00C917D6">
            <w:pPr>
              <w:pStyle w:val="NormalLeft"/>
            </w:pPr>
            <w:r w:rsidRPr="00DE12A3">
              <w:t>12</w:t>
            </w:r>
          </w:p>
        </w:tc>
        <w:tc>
          <w:tcPr>
            <w:tcW w:w="2551" w:type="dxa"/>
            <w:tcBorders>
              <w:top w:val="single" w:sz="2" w:space="0" w:color="auto"/>
              <w:left w:val="single" w:sz="2" w:space="0" w:color="auto"/>
              <w:bottom w:val="single" w:sz="2" w:space="0" w:color="auto"/>
              <w:right w:val="single" w:sz="2" w:space="0" w:color="auto"/>
            </w:tcBorders>
          </w:tcPr>
          <w:p w14:paraId="7CA3461F" w14:textId="77777777" w:rsidR="009F4766" w:rsidRPr="00DE12A3" w:rsidRDefault="009F4766" w:rsidP="00C917D6">
            <w:pPr>
              <w:pStyle w:val="NormalLeft"/>
            </w:pPr>
            <w:r w:rsidRPr="00DE12A3">
              <w:t>75</w:t>
            </w:r>
          </w:p>
        </w:tc>
      </w:tr>
      <w:tr w:rsidR="00DE12A3" w:rsidRPr="00DE12A3" w14:paraId="58ED1AC5" w14:textId="77777777" w:rsidTr="009F4766">
        <w:tc>
          <w:tcPr>
            <w:tcW w:w="1182" w:type="dxa"/>
            <w:tcBorders>
              <w:top w:val="single" w:sz="2" w:space="0" w:color="auto"/>
              <w:left w:val="single" w:sz="2" w:space="0" w:color="auto"/>
              <w:bottom w:val="single" w:sz="2" w:space="0" w:color="auto"/>
              <w:right w:val="single" w:sz="2" w:space="0" w:color="auto"/>
            </w:tcBorders>
          </w:tcPr>
          <w:p w14:paraId="2F7E12A2" w14:textId="77777777" w:rsidR="009F4766" w:rsidRPr="00DE12A3" w:rsidRDefault="009F4766" w:rsidP="00C917D6">
            <w:pPr>
              <w:pStyle w:val="NormalLeft"/>
            </w:pPr>
            <w:r w:rsidRPr="00DE12A3">
              <w:t>754</w:t>
            </w:r>
          </w:p>
        </w:tc>
        <w:tc>
          <w:tcPr>
            <w:tcW w:w="2489" w:type="dxa"/>
            <w:tcBorders>
              <w:top w:val="single" w:sz="2" w:space="0" w:color="auto"/>
              <w:left w:val="single" w:sz="2" w:space="0" w:color="auto"/>
              <w:bottom w:val="single" w:sz="2" w:space="0" w:color="auto"/>
              <w:right w:val="single" w:sz="2" w:space="0" w:color="auto"/>
            </w:tcBorders>
          </w:tcPr>
          <w:p w14:paraId="129DAC1E" w14:textId="77777777" w:rsidR="009F4766" w:rsidRPr="00DE12A3" w:rsidRDefault="009F4766" w:rsidP="00C917D6">
            <w:pPr>
              <w:pStyle w:val="NormalLeft"/>
            </w:pPr>
            <w:r w:rsidRPr="00DE12A3">
              <w:t>6</w:t>
            </w:r>
          </w:p>
        </w:tc>
        <w:tc>
          <w:tcPr>
            <w:tcW w:w="2551" w:type="dxa"/>
            <w:tcBorders>
              <w:top w:val="single" w:sz="2" w:space="0" w:color="auto"/>
              <w:left w:val="single" w:sz="2" w:space="0" w:color="auto"/>
              <w:bottom w:val="single" w:sz="2" w:space="0" w:color="auto"/>
              <w:right w:val="single" w:sz="2" w:space="0" w:color="auto"/>
            </w:tcBorders>
          </w:tcPr>
          <w:p w14:paraId="45E0B784" w14:textId="77777777" w:rsidR="009F4766" w:rsidRPr="00DE12A3" w:rsidRDefault="009F4766" w:rsidP="00C917D6">
            <w:pPr>
              <w:pStyle w:val="NormalLeft"/>
            </w:pPr>
            <w:r w:rsidRPr="00DE12A3">
              <w:t>70</w:t>
            </w:r>
          </w:p>
        </w:tc>
      </w:tr>
      <w:tr w:rsidR="00DE12A3" w:rsidRPr="00DE12A3" w14:paraId="7467C676" w14:textId="77777777" w:rsidTr="009F4766">
        <w:tc>
          <w:tcPr>
            <w:tcW w:w="1182" w:type="dxa"/>
            <w:tcBorders>
              <w:top w:val="single" w:sz="2" w:space="0" w:color="auto"/>
              <w:left w:val="single" w:sz="2" w:space="0" w:color="auto"/>
              <w:bottom w:val="single" w:sz="2" w:space="0" w:color="auto"/>
              <w:right w:val="single" w:sz="2" w:space="0" w:color="auto"/>
            </w:tcBorders>
          </w:tcPr>
          <w:p w14:paraId="1B28CCEA" w14:textId="77777777" w:rsidR="009F4766" w:rsidRPr="00DE12A3" w:rsidRDefault="009F4766" w:rsidP="00C917D6">
            <w:pPr>
              <w:pStyle w:val="NormalLeft"/>
            </w:pPr>
            <w:r w:rsidRPr="00DE12A3">
              <w:t>755</w:t>
            </w:r>
          </w:p>
        </w:tc>
        <w:tc>
          <w:tcPr>
            <w:tcW w:w="2489" w:type="dxa"/>
            <w:tcBorders>
              <w:top w:val="single" w:sz="2" w:space="0" w:color="auto"/>
              <w:left w:val="single" w:sz="2" w:space="0" w:color="auto"/>
              <w:bottom w:val="single" w:sz="2" w:space="0" w:color="auto"/>
              <w:right w:val="single" w:sz="2" w:space="0" w:color="auto"/>
            </w:tcBorders>
          </w:tcPr>
          <w:p w14:paraId="0749DC37" w14:textId="77777777" w:rsidR="009F4766" w:rsidRPr="00DE12A3" w:rsidRDefault="009F4766" w:rsidP="00C917D6">
            <w:pPr>
              <w:pStyle w:val="NormalLeft"/>
            </w:pPr>
            <w:r w:rsidRPr="00DE12A3">
              <w:t>12</w:t>
            </w:r>
          </w:p>
        </w:tc>
        <w:tc>
          <w:tcPr>
            <w:tcW w:w="2551" w:type="dxa"/>
            <w:tcBorders>
              <w:top w:val="single" w:sz="2" w:space="0" w:color="auto"/>
              <w:left w:val="single" w:sz="2" w:space="0" w:color="auto"/>
              <w:bottom w:val="single" w:sz="2" w:space="0" w:color="auto"/>
              <w:right w:val="single" w:sz="2" w:space="0" w:color="auto"/>
            </w:tcBorders>
          </w:tcPr>
          <w:p w14:paraId="3791EE17" w14:textId="77777777" w:rsidR="009F4766" w:rsidRPr="00DE12A3" w:rsidRDefault="009F4766" w:rsidP="00C917D6">
            <w:pPr>
              <w:pStyle w:val="NormalLeft"/>
            </w:pPr>
            <w:r w:rsidRPr="00DE12A3">
              <w:t>55</w:t>
            </w:r>
          </w:p>
        </w:tc>
      </w:tr>
      <w:tr w:rsidR="00DE12A3" w:rsidRPr="00DE12A3" w14:paraId="5F825571" w14:textId="77777777" w:rsidTr="009F4766">
        <w:tc>
          <w:tcPr>
            <w:tcW w:w="1182" w:type="dxa"/>
            <w:tcBorders>
              <w:top w:val="single" w:sz="2" w:space="0" w:color="auto"/>
              <w:left w:val="single" w:sz="2" w:space="0" w:color="auto"/>
              <w:bottom w:val="single" w:sz="2" w:space="0" w:color="auto"/>
              <w:right w:val="single" w:sz="2" w:space="0" w:color="auto"/>
            </w:tcBorders>
          </w:tcPr>
          <w:p w14:paraId="4C35A277" w14:textId="77777777" w:rsidR="009F4766" w:rsidRPr="00DE12A3" w:rsidRDefault="009F4766" w:rsidP="00C917D6">
            <w:pPr>
              <w:pStyle w:val="NormalLeft"/>
            </w:pPr>
            <w:r w:rsidRPr="00DE12A3">
              <w:t>756</w:t>
            </w:r>
          </w:p>
        </w:tc>
        <w:tc>
          <w:tcPr>
            <w:tcW w:w="2489" w:type="dxa"/>
            <w:tcBorders>
              <w:top w:val="single" w:sz="2" w:space="0" w:color="auto"/>
              <w:left w:val="single" w:sz="2" w:space="0" w:color="auto"/>
              <w:bottom w:val="single" w:sz="2" w:space="0" w:color="auto"/>
              <w:right w:val="single" w:sz="2" w:space="0" w:color="auto"/>
            </w:tcBorders>
          </w:tcPr>
          <w:p w14:paraId="40A683FA" w14:textId="77777777" w:rsidR="009F4766" w:rsidRPr="00DE12A3" w:rsidRDefault="009F4766" w:rsidP="00C917D6">
            <w:pPr>
              <w:pStyle w:val="NormalLeft"/>
            </w:pPr>
            <w:r w:rsidRPr="00DE12A3">
              <w:t>24</w:t>
            </w:r>
          </w:p>
        </w:tc>
        <w:tc>
          <w:tcPr>
            <w:tcW w:w="2551" w:type="dxa"/>
            <w:tcBorders>
              <w:top w:val="single" w:sz="2" w:space="0" w:color="auto"/>
              <w:left w:val="single" w:sz="2" w:space="0" w:color="auto"/>
              <w:bottom w:val="single" w:sz="2" w:space="0" w:color="auto"/>
              <w:right w:val="single" w:sz="2" w:space="0" w:color="auto"/>
            </w:tcBorders>
          </w:tcPr>
          <w:p w14:paraId="4F21D201" w14:textId="77777777" w:rsidR="009F4766" w:rsidRPr="00DE12A3" w:rsidRDefault="009F4766" w:rsidP="00C917D6">
            <w:pPr>
              <w:pStyle w:val="NormalLeft"/>
            </w:pPr>
            <w:r w:rsidRPr="00DE12A3">
              <w:t>50</w:t>
            </w:r>
          </w:p>
        </w:tc>
      </w:tr>
      <w:tr w:rsidR="00DE12A3" w:rsidRPr="00DE12A3" w14:paraId="284C0081" w14:textId="77777777" w:rsidTr="009F4766">
        <w:tc>
          <w:tcPr>
            <w:tcW w:w="1182" w:type="dxa"/>
            <w:tcBorders>
              <w:top w:val="single" w:sz="2" w:space="0" w:color="auto"/>
              <w:left w:val="single" w:sz="2" w:space="0" w:color="auto"/>
              <w:bottom w:val="single" w:sz="2" w:space="0" w:color="auto"/>
              <w:right w:val="single" w:sz="2" w:space="0" w:color="auto"/>
            </w:tcBorders>
          </w:tcPr>
          <w:p w14:paraId="2614AB2A" w14:textId="77777777" w:rsidR="009F4766" w:rsidRPr="00DE12A3" w:rsidRDefault="009F4766" w:rsidP="00C917D6">
            <w:pPr>
              <w:pStyle w:val="NormalLeft"/>
            </w:pPr>
            <w:r w:rsidRPr="00DE12A3">
              <w:t>757</w:t>
            </w:r>
          </w:p>
        </w:tc>
        <w:tc>
          <w:tcPr>
            <w:tcW w:w="2489" w:type="dxa"/>
            <w:tcBorders>
              <w:top w:val="single" w:sz="2" w:space="0" w:color="auto"/>
              <w:left w:val="single" w:sz="2" w:space="0" w:color="auto"/>
              <w:bottom w:val="single" w:sz="2" w:space="0" w:color="auto"/>
              <w:right w:val="single" w:sz="2" w:space="0" w:color="auto"/>
            </w:tcBorders>
          </w:tcPr>
          <w:p w14:paraId="01F73F4E" w14:textId="77777777" w:rsidR="009F4766" w:rsidRPr="00DE12A3" w:rsidRDefault="009F4766" w:rsidP="00C917D6">
            <w:pPr>
              <w:pStyle w:val="NormalLeft"/>
            </w:pPr>
            <w:r w:rsidRPr="00DE12A3">
              <w:t>28</w:t>
            </w:r>
          </w:p>
        </w:tc>
        <w:tc>
          <w:tcPr>
            <w:tcW w:w="2551" w:type="dxa"/>
            <w:tcBorders>
              <w:top w:val="single" w:sz="2" w:space="0" w:color="auto"/>
              <w:left w:val="single" w:sz="2" w:space="0" w:color="auto"/>
              <w:bottom w:val="single" w:sz="2" w:space="0" w:color="auto"/>
              <w:right w:val="single" w:sz="2" w:space="0" w:color="auto"/>
            </w:tcBorders>
          </w:tcPr>
          <w:p w14:paraId="05444D09" w14:textId="77777777" w:rsidR="009F4766" w:rsidRPr="00DE12A3" w:rsidRDefault="009F4766" w:rsidP="00C917D6">
            <w:pPr>
              <w:pStyle w:val="NormalLeft"/>
            </w:pPr>
            <w:r w:rsidRPr="00DE12A3">
              <w:t>60</w:t>
            </w:r>
          </w:p>
        </w:tc>
      </w:tr>
      <w:tr w:rsidR="00DE12A3" w:rsidRPr="00DE12A3" w14:paraId="7DFD664C" w14:textId="77777777" w:rsidTr="009F4766">
        <w:tc>
          <w:tcPr>
            <w:tcW w:w="1182" w:type="dxa"/>
            <w:tcBorders>
              <w:top w:val="single" w:sz="2" w:space="0" w:color="auto"/>
              <w:left w:val="single" w:sz="2" w:space="0" w:color="auto"/>
              <w:bottom w:val="single" w:sz="2" w:space="0" w:color="auto"/>
              <w:right w:val="single" w:sz="2" w:space="0" w:color="auto"/>
            </w:tcBorders>
          </w:tcPr>
          <w:p w14:paraId="06BC221C" w14:textId="77777777" w:rsidR="009F4766" w:rsidRPr="00DE12A3" w:rsidRDefault="009F4766" w:rsidP="00C917D6">
            <w:pPr>
              <w:pStyle w:val="NormalLeft"/>
            </w:pPr>
            <w:r w:rsidRPr="00DE12A3">
              <w:t>758</w:t>
            </w:r>
          </w:p>
        </w:tc>
        <w:tc>
          <w:tcPr>
            <w:tcW w:w="2489" w:type="dxa"/>
            <w:tcBorders>
              <w:top w:val="single" w:sz="2" w:space="0" w:color="auto"/>
              <w:left w:val="single" w:sz="2" w:space="0" w:color="auto"/>
              <w:bottom w:val="single" w:sz="2" w:space="0" w:color="auto"/>
              <w:right w:val="single" w:sz="2" w:space="0" w:color="auto"/>
            </w:tcBorders>
          </w:tcPr>
          <w:p w14:paraId="7A753AD0" w14:textId="77777777" w:rsidR="009F4766" w:rsidRPr="00DE12A3" w:rsidRDefault="009F4766" w:rsidP="00C917D6">
            <w:pPr>
              <w:pStyle w:val="NormalLeft"/>
            </w:pPr>
            <w:r w:rsidRPr="00DE12A3">
              <w:t>28</w:t>
            </w:r>
          </w:p>
        </w:tc>
        <w:tc>
          <w:tcPr>
            <w:tcW w:w="2551" w:type="dxa"/>
            <w:tcBorders>
              <w:top w:val="single" w:sz="2" w:space="0" w:color="auto"/>
              <w:left w:val="single" w:sz="2" w:space="0" w:color="auto"/>
              <w:bottom w:val="single" w:sz="2" w:space="0" w:color="auto"/>
              <w:right w:val="single" w:sz="2" w:space="0" w:color="auto"/>
            </w:tcBorders>
          </w:tcPr>
          <w:p w14:paraId="7E5E2D51" w14:textId="77777777" w:rsidR="009F4766" w:rsidRPr="00DE12A3" w:rsidRDefault="009F4766" w:rsidP="00C917D6">
            <w:pPr>
              <w:pStyle w:val="NormalLeft"/>
            </w:pPr>
            <w:r w:rsidRPr="00DE12A3">
              <w:t>64</w:t>
            </w:r>
          </w:p>
        </w:tc>
      </w:tr>
      <w:tr w:rsidR="00DE12A3" w:rsidRPr="00DE12A3" w14:paraId="3066BB25" w14:textId="77777777" w:rsidTr="009F4766">
        <w:tc>
          <w:tcPr>
            <w:tcW w:w="1182" w:type="dxa"/>
            <w:tcBorders>
              <w:top w:val="single" w:sz="2" w:space="0" w:color="auto"/>
              <w:left w:val="single" w:sz="2" w:space="0" w:color="auto"/>
              <w:bottom w:val="single" w:sz="2" w:space="0" w:color="auto"/>
              <w:right w:val="single" w:sz="2" w:space="0" w:color="auto"/>
            </w:tcBorders>
          </w:tcPr>
          <w:p w14:paraId="7D4A64C5" w14:textId="77777777" w:rsidR="009F4766" w:rsidRPr="00DE12A3" w:rsidRDefault="009F4766" w:rsidP="00C917D6">
            <w:pPr>
              <w:pStyle w:val="NormalLeft"/>
            </w:pPr>
            <w:r w:rsidRPr="00DE12A3">
              <w:t>759</w:t>
            </w:r>
          </w:p>
        </w:tc>
        <w:tc>
          <w:tcPr>
            <w:tcW w:w="2489" w:type="dxa"/>
            <w:tcBorders>
              <w:top w:val="single" w:sz="2" w:space="0" w:color="auto"/>
              <w:left w:val="single" w:sz="2" w:space="0" w:color="auto"/>
              <w:bottom w:val="single" w:sz="2" w:space="0" w:color="auto"/>
              <w:right w:val="single" w:sz="2" w:space="0" w:color="auto"/>
            </w:tcBorders>
          </w:tcPr>
          <w:p w14:paraId="2A08E0D0" w14:textId="77777777" w:rsidR="009F4766" w:rsidRPr="00DE12A3" w:rsidRDefault="009F4766" w:rsidP="00C917D6">
            <w:pPr>
              <w:pStyle w:val="NormalLeft"/>
            </w:pPr>
            <w:r w:rsidRPr="00DE12A3">
              <w:t>23</w:t>
            </w:r>
          </w:p>
        </w:tc>
        <w:tc>
          <w:tcPr>
            <w:tcW w:w="2551" w:type="dxa"/>
            <w:tcBorders>
              <w:top w:val="single" w:sz="2" w:space="0" w:color="auto"/>
              <w:left w:val="single" w:sz="2" w:space="0" w:color="auto"/>
              <w:bottom w:val="single" w:sz="2" w:space="0" w:color="auto"/>
              <w:right w:val="single" w:sz="2" w:space="0" w:color="auto"/>
            </w:tcBorders>
          </w:tcPr>
          <w:p w14:paraId="31A56028" w14:textId="77777777" w:rsidR="009F4766" w:rsidRPr="00DE12A3" w:rsidRDefault="009F4766" w:rsidP="00C917D6">
            <w:pPr>
              <w:pStyle w:val="NormalLeft"/>
            </w:pPr>
            <w:r w:rsidRPr="00DE12A3">
              <w:t>60</w:t>
            </w:r>
          </w:p>
        </w:tc>
      </w:tr>
      <w:tr w:rsidR="00DE12A3" w:rsidRPr="00DE12A3" w14:paraId="1103EDA7" w14:textId="77777777" w:rsidTr="009F4766">
        <w:tc>
          <w:tcPr>
            <w:tcW w:w="1182" w:type="dxa"/>
            <w:tcBorders>
              <w:top w:val="single" w:sz="2" w:space="0" w:color="auto"/>
              <w:left w:val="single" w:sz="2" w:space="0" w:color="auto"/>
              <w:bottom w:val="single" w:sz="2" w:space="0" w:color="auto"/>
              <w:right w:val="single" w:sz="2" w:space="0" w:color="auto"/>
            </w:tcBorders>
          </w:tcPr>
          <w:p w14:paraId="70264165" w14:textId="77777777" w:rsidR="009F4766" w:rsidRPr="00DE12A3" w:rsidRDefault="009F4766" w:rsidP="00C917D6">
            <w:pPr>
              <w:pStyle w:val="NormalLeft"/>
            </w:pPr>
            <w:r w:rsidRPr="00DE12A3">
              <w:t>760</w:t>
            </w:r>
          </w:p>
        </w:tc>
        <w:tc>
          <w:tcPr>
            <w:tcW w:w="2489" w:type="dxa"/>
            <w:tcBorders>
              <w:top w:val="single" w:sz="2" w:space="0" w:color="auto"/>
              <w:left w:val="single" w:sz="2" w:space="0" w:color="auto"/>
              <w:bottom w:val="single" w:sz="2" w:space="0" w:color="auto"/>
              <w:right w:val="single" w:sz="2" w:space="0" w:color="auto"/>
            </w:tcBorders>
          </w:tcPr>
          <w:p w14:paraId="06A7C06C" w14:textId="77777777" w:rsidR="009F4766" w:rsidRPr="00DE12A3" w:rsidRDefault="009F4766" w:rsidP="00C917D6">
            <w:pPr>
              <w:pStyle w:val="NormalLeft"/>
            </w:pPr>
            <w:r w:rsidRPr="00DE12A3">
              <w:t>20</w:t>
            </w:r>
          </w:p>
        </w:tc>
        <w:tc>
          <w:tcPr>
            <w:tcW w:w="2551" w:type="dxa"/>
            <w:tcBorders>
              <w:top w:val="single" w:sz="2" w:space="0" w:color="auto"/>
              <w:left w:val="single" w:sz="2" w:space="0" w:color="auto"/>
              <w:bottom w:val="single" w:sz="2" w:space="0" w:color="auto"/>
              <w:right w:val="single" w:sz="2" w:space="0" w:color="auto"/>
            </w:tcBorders>
          </w:tcPr>
          <w:p w14:paraId="6C8DA51B" w14:textId="77777777" w:rsidR="009F4766" w:rsidRPr="00DE12A3" w:rsidRDefault="009F4766" w:rsidP="00C917D6">
            <w:pPr>
              <w:pStyle w:val="NormalLeft"/>
            </w:pPr>
            <w:r w:rsidRPr="00DE12A3">
              <w:t>56</w:t>
            </w:r>
          </w:p>
        </w:tc>
      </w:tr>
      <w:tr w:rsidR="00DE12A3" w:rsidRPr="00DE12A3" w14:paraId="410E3CE9" w14:textId="77777777" w:rsidTr="009F4766">
        <w:tc>
          <w:tcPr>
            <w:tcW w:w="1182" w:type="dxa"/>
            <w:tcBorders>
              <w:top w:val="single" w:sz="2" w:space="0" w:color="auto"/>
              <w:left w:val="single" w:sz="2" w:space="0" w:color="auto"/>
              <w:bottom w:val="single" w:sz="2" w:space="0" w:color="auto"/>
              <w:right w:val="single" w:sz="2" w:space="0" w:color="auto"/>
            </w:tcBorders>
          </w:tcPr>
          <w:p w14:paraId="5EC0E86C" w14:textId="77777777" w:rsidR="009F4766" w:rsidRPr="00DE12A3" w:rsidRDefault="009F4766" w:rsidP="00C917D6">
            <w:pPr>
              <w:pStyle w:val="NormalLeft"/>
            </w:pPr>
            <w:r w:rsidRPr="00DE12A3">
              <w:t>761</w:t>
            </w:r>
          </w:p>
        </w:tc>
        <w:tc>
          <w:tcPr>
            <w:tcW w:w="2489" w:type="dxa"/>
            <w:tcBorders>
              <w:top w:val="single" w:sz="2" w:space="0" w:color="auto"/>
              <w:left w:val="single" w:sz="2" w:space="0" w:color="auto"/>
              <w:bottom w:val="single" w:sz="2" w:space="0" w:color="auto"/>
              <w:right w:val="single" w:sz="2" w:space="0" w:color="auto"/>
            </w:tcBorders>
          </w:tcPr>
          <w:p w14:paraId="29A15F63" w14:textId="77777777" w:rsidR="009F4766" w:rsidRPr="00DE12A3" w:rsidRDefault="009F4766" w:rsidP="00C917D6">
            <w:pPr>
              <w:pStyle w:val="NormalLeft"/>
            </w:pPr>
            <w:r w:rsidRPr="00DE12A3">
              <w:t>26</w:t>
            </w:r>
          </w:p>
        </w:tc>
        <w:tc>
          <w:tcPr>
            <w:tcW w:w="2551" w:type="dxa"/>
            <w:tcBorders>
              <w:top w:val="single" w:sz="2" w:space="0" w:color="auto"/>
              <w:left w:val="single" w:sz="2" w:space="0" w:color="auto"/>
              <w:bottom w:val="single" w:sz="2" w:space="0" w:color="auto"/>
              <w:right w:val="single" w:sz="2" w:space="0" w:color="auto"/>
            </w:tcBorders>
          </w:tcPr>
          <w:p w14:paraId="2ED51EE0" w14:textId="77777777" w:rsidR="009F4766" w:rsidRPr="00DE12A3" w:rsidRDefault="009F4766" w:rsidP="00C917D6">
            <w:pPr>
              <w:pStyle w:val="NormalLeft"/>
            </w:pPr>
            <w:r w:rsidRPr="00DE12A3">
              <w:t>50</w:t>
            </w:r>
          </w:p>
        </w:tc>
      </w:tr>
      <w:tr w:rsidR="00DE12A3" w:rsidRPr="00DE12A3" w14:paraId="65CDC09A" w14:textId="77777777" w:rsidTr="009F4766">
        <w:tc>
          <w:tcPr>
            <w:tcW w:w="1182" w:type="dxa"/>
            <w:tcBorders>
              <w:top w:val="single" w:sz="2" w:space="0" w:color="auto"/>
              <w:left w:val="single" w:sz="2" w:space="0" w:color="auto"/>
              <w:bottom w:val="single" w:sz="2" w:space="0" w:color="auto"/>
              <w:right w:val="single" w:sz="2" w:space="0" w:color="auto"/>
            </w:tcBorders>
          </w:tcPr>
          <w:p w14:paraId="5A437FB3" w14:textId="77777777" w:rsidR="009F4766" w:rsidRPr="00DE12A3" w:rsidRDefault="009F4766" w:rsidP="00C917D6">
            <w:pPr>
              <w:pStyle w:val="NormalLeft"/>
            </w:pPr>
            <w:r w:rsidRPr="00DE12A3">
              <w:t>762</w:t>
            </w:r>
          </w:p>
        </w:tc>
        <w:tc>
          <w:tcPr>
            <w:tcW w:w="2489" w:type="dxa"/>
            <w:tcBorders>
              <w:top w:val="single" w:sz="2" w:space="0" w:color="auto"/>
              <w:left w:val="single" w:sz="2" w:space="0" w:color="auto"/>
              <w:bottom w:val="single" w:sz="2" w:space="0" w:color="auto"/>
              <w:right w:val="single" w:sz="2" w:space="0" w:color="auto"/>
            </w:tcBorders>
          </w:tcPr>
          <w:p w14:paraId="6A86D3AF" w14:textId="77777777" w:rsidR="009F4766" w:rsidRPr="00DE12A3" w:rsidRDefault="009F4766" w:rsidP="00C917D6">
            <w:pPr>
              <w:pStyle w:val="NormalLeft"/>
            </w:pPr>
            <w:r w:rsidRPr="00DE12A3">
              <w:t>28</w:t>
            </w:r>
          </w:p>
        </w:tc>
        <w:tc>
          <w:tcPr>
            <w:tcW w:w="2551" w:type="dxa"/>
            <w:tcBorders>
              <w:top w:val="single" w:sz="2" w:space="0" w:color="auto"/>
              <w:left w:val="single" w:sz="2" w:space="0" w:color="auto"/>
              <w:bottom w:val="single" w:sz="2" w:space="0" w:color="auto"/>
              <w:right w:val="single" w:sz="2" w:space="0" w:color="auto"/>
            </w:tcBorders>
          </w:tcPr>
          <w:p w14:paraId="5173E2B9" w14:textId="77777777" w:rsidR="009F4766" w:rsidRPr="00DE12A3" w:rsidRDefault="009F4766" w:rsidP="00C917D6">
            <w:pPr>
              <w:pStyle w:val="NormalLeft"/>
            </w:pPr>
            <w:r w:rsidRPr="00DE12A3">
              <w:t>55</w:t>
            </w:r>
          </w:p>
        </w:tc>
      </w:tr>
      <w:tr w:rsidR="00DE12A3" w:rsidRPr="00DE12A3" w14:paraId="0759FCCE" w14:textId="77777777" w:rsidTr="009F4766">
        <w:tc>
          <w:tcPr>
            <w:tcW w:w="1182" w:type="dxa"/>
            <w:tcBorders>
              <w:top w:val="single" w:sz="2" w:space="0" w:color="auto"/>
              <w:left w:val="single" w:sz="2" w:space="0" w:color="auto"/>
              <w:bottom w:val="single" w:sz="2" w:space="0" w:color="auto"/>
              <w:right w:val="single" w:sz="2" w:space="0" w:color="auto"/>
            </w:tcBorders>
          </w:tcPr>
          <w:p w14:paraId="2162B548" w14:textId="77777777" w:rsidR="009F4766" w:rsidRPr="00DE12A3" w:rsidRDefault="009F4766" w:rsidP="00C917D6">
            <w:pPr>
              <w:pStyle w:val="NormalLeft"/>
            </w:pPr>
            <w:r w:rsidRPr="00DE12A3">
              <w:t>763</w:t>
            </w:r>
          </w:p>
        </w:tc>
        <w:tc>
          <w:tcPr>
            <w:tcW w:w="2489" w:type="dxa"/>
            <w:tcBorders>
              <w:top w:val="single" w:sz="2" w:space="0" w:color="auto"/>
              <w:left w:val="single" w:sz="2" w:space="0" w:color="auto"/>
              <w:bottom w:val="single" w:sz="2" w:space="0" w:color="auto"/>
              <w:right w:val="single" w:sz="2" w:space="0" w:color="auto"/>
            </w:tcBorders>
          </w:tcPr>
          <w:p w14:paraId="62D13CC2" w14:textId="77777777" w:rsidR="009F4766" w:rsidRPr="00DE12A3" w:rsidRDefault="009F4766" w:rsidP="00C917D6">
            <w:pPr>
              <w:pStyle w:val="NormalLeft"/>
            </w:pPr>
            <w:r w:rsidRPr="00DE12A3">
              <w:t>18</w:t>
            </w:r>
          </w:p>
        </w:tc>
        <w:tc>
          <w:tcPr>
            <w:tcW w:w="2551" w:type="dxa"/>
            <w:tcBorders>
              <w:top w:val="single" w:sz="2" w:space="0" w:color="auto"/>
              <w:left w:val="single" w:sz="2" w:space="0" w:color="auto"/>
              <w:bottom w:val="single" w:sz="2" w:space="0" w:color="auto"/>
              <w:right w:val="single" w:sz="2" w:space="0" w:color="auto"/>
            </w:tcBorders>
          </w:tcPr>
          <w:p w14:paraId="1014C1C3" w14:textId="77777777" w:rsidR="009F4766" w:rsidRPr="00DE12A3" w:rsidRDefault="009F4766" w:rsidP="00C917D6">
            <w:pPr>
              <w:pStyle w:val="NormalLeft"/>
            </w:pPr>
            <w:r w:rsidRPr="00DE12A3">
              <w:t>56</w:t>
            </w:r>
          </w:p>
        </w:tc>
      </w:tr>
      <w:tr w:rsidR="00DE12A3" w:rsidRPr="00DE12A3" w14:paraId="72490234" w14:textId="77777777" w:rsidTr="009F4766">
        <w:tc>
          <w:tcPr>
            <w:tcW w:w="1182" w:type="dxa"/>
            <w:tcBorders>
              <w:top w:val="single" w:sz="2" w:space="0" w:color="auto"/>
              <w:left w:val="single" w:sz="2" w:space="0" w:color="auto"/>
              <w:bottom w:val="single" w:sz="2" w:space="0" w:color="auto"/>
              <w:right w:val="single" w:sz="2" w:space="0" w:color="auto"/>
            </w:tcBorders>
          </w:tcPr>
          <w:p w14:paraId="22442FB2" w14:textId="77777777" w:rsidR="009F4766" w:rsidRPr="00DE12A3" w:rsidRDefault="009F4766" w:rsidP="00C917D6">
            <w:pPr>
              <w:pStyle w:val="NormalLeft"/>
            </w:pPr>
            <w:r w:rsidRPr="00DE12A3">
              <w:t>764</w:t>
            </w:r>
          </w:p>
        </w:tc>
        <w:tc>
          <w:tcPr>
            <w:tcW w:w="2489" w:type="dxa"/>
            <w:tcBorders>
              <w:top w:val="single" w:sz="2" w:space="0" w:color="auto"/>
              <w:left w:val="single" w:sz="2" w:space="0" w:color="auto"/>
              <w:bottom w:val="single" w:sz="2" w:space="0" w:color="auto"/>
              <w:right w:val="single" w:sz="2" w:space="0" w:color="auto"/>
            </w:tcBorders>
          </w:tcPr>
          <w:p w14:paraId="2CE696BB" w14:textId="77777777" w:rsidR="009F4766" w:rsidRPr="00DE12A3" w:rsidRDefault="009F4766" w:rsidP="00C917D6">
            <w:pPr>
              <w:pStyle w:val="NormalLeft"/>
            </w:pPr>
            <w:r w:rsidRPr="00DE12A3">
              <w:t>15</w:t>
            </w:r>
          </w:p>
        </w:tc>
        <w:tc>
          <w:tcPr>
            <w:tcW w:w="2551" w:type="dxa"/>
            <w:tcBorders>
              <w:top w:val="single" w:sz="2" w:space="0" w:color="auto"/>
              <w:left w:val="single" w:sz="2" w:space="0" w:color="auto"/>
              <w:bottom w:val="single" w:sz="2" w:space="0" w:color="auto"/>
              <w:right w:val="single" w:sz="2" w:space="0" w:color="auto"/>
            </w:tcBorders>
          </w:tcPr>
          <w:p w14:paraId="25316052" w14:textId="77777777" w:rsidR="009F4766" w:rsidRPr="00DE12A3" w:rsidRDefault="009F4766" w:rsidP="00C917D6">
            <w:pPr>
              <w:pStyle w:val="NormalLeft"/>
            </w:pPr>
            <w:r w:rsidRPr="00DE12A3">
              <w:t>52</w:t>
            </w:r>
          </w:p>
        </w:tc>
      </w:tr>
      <w:tr w:rsidR="00DE12A3" w:rsidRPr="00DE12A3" w14:paraId="1B5F59E4" w14:textId="77777777" w:rsidTr="009F4766">
        <w:tc>
          <w:tcPr>
            <w:tcW w:w="1182" w:type="dxa"/>
            <w:tcBorders>
              <w:top w:val="single" w:sz="2" w:space="0" w:color="auto"/>
              <w:left w:val="single" w:sz="2" w:space="0" w:color="auto"/>
              <w:bottom w:val="single" w:sz="2" w:space="0" w:color="auto"/>
              <w:right w:val="single" w:sz="2" w:space="0" w:color="auto"/>
            </w:tcBorders>
          </w:tcPr>
          <w:p w14:paraId="75E66B9D" w14:textId="77777777" w:rsidR="009F4766" w:rsidRPr="00DE12A3" w:rsidRDefault="009F4766" w:rsidP="00C917D6">
            <w:pPr>
              <w:pStyle w:val="NormalLeft"/>
            </w:pPr>
            <w:r w:rsidRPr="00DE12A3">
              <w:t>765</w:t>
            </w:r>
          </w:p>
        </w:tc>
        <w:tc>
          <w:tcPr>
            <w:tcW w:w="2489" w:type="dxa"/>
            <w:tcBorders>
              <w:top w:val="single" w:sz="2" w:space="0" w:color="auto"/>
              <w:left w:val="single" w:sz="2" w:space="0" w:color="auto"/>
              <w:bottom w:val="single" w:sz="2" w:space="0" w:color="auto"/>
              <w:right w:val="single" w:sz="2" w:space="0" w:color="auto"/>
            </w:tcBorders>
          </w:tcPr>
          <w:p w14:paraId="23BB6770" w14:textId="77777777" w:rsidR="009F4766" w:rsidRPr="00DE12A3" w:rsidRDefault="009F4766" w:rsidP="00C917D6">
            <w:pPr>
              <w:pStyle w:val="NormalLeft"/>
            </w:pPr>
            <w:r w:rsidRPr="00DE12A3">
              <w:t>11</w:t>
            </w:r>
          </w:p>
        </w:tc>
        <w:tc>
          <w:tcPr>
            <w:tcW w:w="2551" w:type="dxa"/>
            <w:tcBorders>
              <w:top w:val="single" w:sz="2" w:space="0" w:color="auto"/>
              <w:left w:val="single" w:sz="2" w:space="0" w:color="auto"/>
              <w:bottom w:val="single" w:sz="2" w:space="0" w:color="auto"/>
              <w:right w:val="single" w:sz="2" w:space="0" w:color="auto"/>
            </w:tcBorders>
          </w:tcPr>
          <w:p w14:paraId="677C01D6" w14:textId="77777777" w:rsidR="009F4766" w:rsidRPr="00DE12A3" w:rsidRDefault="009F4766" w:rsidP="00C917D6">
            <w:pPr>
              <w:pStyle w:val="NormalLeft"/>
            </w:pPr>
            <w:r w:rsidRPr="00DE12A3">
              <w:t>59</w:t>
            </w:r>
          </w:p>
        </w:tc>
      </w:tr>
      <w:tr w:rsidR="00DE12A3" w:rsidRPr="00DE12A3" w14:paraId="1F94D995" w14:textId="77777777" w:rsidTr="009F4766">
        <w:tc>
          <w:tcPr>
            <w:tcW w:w="1182" w:type="dxa"/>
            <w:tcBorders>
              <w:top w:val="single" w:sz="2" w:space="0" w:color="auto"/>
              <w:left w:val="single" w:sz="2" w:space="0" w:color="auto"/>
              <w:bottom w:val="single" w:sz="2" w:space="0" w:color="auto"/>
              <w:right w:val="single" w:sz="2" w:space="0" w:color="auto"/>
            </w:tcBorders>
          </w:tcPr>
          <w:p w14:paraId="34084FED" w14:textId="77777777" w:rsidR="009F4766" w:rsidRPr="00DE12A3" w:rsidRDefault="009F4766" w:rsidP="00C917D6">
            <w:pPr>
              <w:pStyle w:val="NormalLeft"/>
            </w:pPr>
            <w:r w:rsidRPr="00DE12A3">
              <w:t>766</w:t>
            </w:r>
          </w:p>
        </w:tc>
        <w:tc>
          <w:tcPr>
            <w:tcW w:w="2489" w:type="dxa"/>
            <w:tcBorders>
              <w:top w:val="single" w:sz="2" w:space="0" w:color="auto"/>
              <w:left w:val="single" w:sz="2" w:space="0" w:color="auto"/>
              <w:bottom w:val="single" w:sz="2" w:space="0" w:color="auto"/>
              <w:right w:val="single" w:sz="2" w:space="0" w:color="auto"/>
            </w:tcBorders>
          </w:tcPr>
          <w:p w14:paraId="3DEF179B" w14:textId="77777777" w:rsidR="009F4766" w:rsidRPr="00DE12A3" w:rsidRDefault="009F4766" w:rsidP="00C917D6">
            <w:pPr>
              <w:pStyle w:val="NormalLeft"/>
            </w:pPr>
            <w:r w:rsidRPr="00DE12A3">
              <w:t>16</w:t>
            </w:r>
          </w:p>
        </w:tc>
        <w:tc>
          <w:tcPr>
            <w:tcW w:w="2551" w:type="dxa"/>
            <w:tcBorders>
              <w:top w:val="single" w:sz="2" w:space="0" w:color="auto"/>
              <w:left w:val="single" w:sz="2" w:space="0" w:color="auto"/>
              <w:bottom w:val="single" w:sz="2" w:space="0" w:color="auto"/>
              <w:right w:val="single" w:sz="2" w:space="0" w:color="auto"/>
            </w:tcBorders>
          </w:tcPr>
          <w:p w14:paraId="18696D5A" w14:textId="77777777" w:rsidR="009F4766" w:rsidRPr="00DE12A3" w:rsidRDefault="009F4766" w:rsidP="00C917D6">
            <w:pPr>
              <w:pStyle w:val="NormalLeft"/>
            </w:pPr>
            <w:r w:rsidRPr="00DE12A3">
              <w:t>59</w:t>
            </w:r>
          </w:p>
        </w:tc>
      </w:tr>
      <w:tr w:rsidR="00DE12A3" w:rsidRPr="00DE12A3" w14:paraId="4CD57D6E" w14:textId="77777777" w:rsidTr="009F4766">
        <w:tc>
          <w:tcPr>
            <w:tcW w:w="1182" w:type="dxa"/>
            <w:tcBorders>
              <w:top w:val="single" w:sz="2" w:space="0" w:color="auto"/>
              <w:left w:val="single" w:sz="2" w:space="0" w:color="auto"/>
              <w:bottom w:val="single" w:sz="2" w:space="0" w:color="auto"/>
              <w:right w:val="single" w:sz="2" w:space="0" w:color="auto"/>
            </w:tcBorders>
          </w:tcPr>
          <w:p w14:paraId="2C6BF256" w14:textId="77777777" w:rsidR="009F4766" w:rsidRPr="00DE12A3" w:rsidRDefault="009F4766" w:rsidP="00C917D6">
            <w:pPr>
              <w:pStyle w:val="NormalLeft"/>
            </w:pPr>
            <w:r w:rsidRPr="00DE12A3">
              <w:t>767</w:t>
            </w:r>
          </w:p>
        </w:tc>
        <w:tc>
          <w:tcPr>
            <w:tcW w:w="2489" w:type="dxa"/>
            <w:tcBorders>
              <w:top w:val="single" w:sz="2" w:space="0" w:color="auto"/>
              <w:left w:val="single" w:sz="2" w:space="0" w:color="auto"/>
              <w:bottom w:val="single" w:sz="2" w:space="0" w:color="auto"/>
              <w:right w:val="single" w:sz="2" w:space="0" w:color="auto"/>
            </w:tcBorders>
          </w:tcPr>
          <w:p w14:paraId="443C927A" w14:textId="77777777" w:rsidR="009F4766" w:rsidRPr="00DE12A3" w:rsidRDefault="009F4766" w:rsidP="00C917D6">
            <w:pPr>
              <w:pStyle w:val="NormalLeft"/>
            </w:pPr>
            <w:r w:rsidRPr="00DE12A3">
              <w:t>34</w:t>
            </w:r>
          </w:p>
        </w:tc>
        <w:tc>
          <w:tcPr>
            <w:tcW w:w="2551" w:type="dxa"/>
            <w:tcBorders>
              <w:top w:val="single" w:sz="2" w:space="0" w:color="auto"/>
              <w:left w:val="single" w:sz="2" w:space="0" w:color="auto"/>
              <w:bottom w:val="single" w:sz="2" w:space="0" w:color="auto"/>
              <w:right w:val="single" w:sz="2" w:space="0" w:color="auto"/>
            </w:tcBorders>
          </w:tcPr>
          <w:p w14:paraId="62CC25DD" w14:textId="77777777" w:rsidR="009F4766" w:rsidRPr="00DE12A3" w:rsidRDefault="009F4766" w:rsidP="00C917D6">
            <w:pPr>
              <w:pStyle w:val="NormalLeft"/>
            </w:pPr>
            <w:r w:rsidRPr="00DE12A3">
              <w:t>54</w:t>
            </w:r>
          </w:p>
        </w:tc>
      </w:tr>
      <w:tr w:rsidR="00DE12A3" w:rsidRPr="00DE12A3" w14:paraId="701EFED1" w14:textId="77777777" w:rsidTr="009F4766">
        <w:tc>
          <w:tcPr>
            <w:tcW w:w="1182" w:type="dxa"/>
            <w:tcBorders>
              <w:top w:val="single" w:sz="2" w:space="0" w:color="auto"/>
              <w:left w:val="single" w:sz="2" w:space="0" w:color="auto"/>
              <w:bottom w:val="single" w:sz="2" w:space="0" w:color="auto"/>
              <w:right w:val="single" w:sz="2" w:space="0" w:color="auto"/>
            </w:tcBorders>
          </w:tcPr>
          <w:p w14:paraId="3539BF40" w14:textId="77777777" w:rsidR="009F4766" w:rsidRPr="00DE12A3" w:rsidRDefault="009F4766" w:rsidP="00C917D6">
            <w:pPr>
              <w:pStyle w:val="NormalLeft"/>
            </w:pPr>
            <w:r w:rsidRPr="00DE12A3">
              <w:t>768</w:t>
            </w:r>
          </w:p>
        </w:tc>
        <w:tc>
          <w:tcPr>
            <w:tcW w:w="2489" w:type="dxa"/>
            <w:tcBorders>
              <w:top w:val="single" w:sz="2" w:space="0" w:color="auto"/>
              <w:left w:val="single" w:sz="2" w:space="0" w:color="auto"/>
              <w:bottom w:val="single" w:sz="2" w:space="0" w:color="auto"/>
              <w:right w:val="single" w:sz="2" w:space="0" w:color="auto"/>
            </w:tcBorders>
          </w:tcPr>
          <w:p w14:paraId="036ACF5F" w14:textId="77777777" w:rsidR="009F4766" w:rsidRPr="00DE12A3" w:rsidRDefault="009F4766" w:rsidP="00C917D6">
            <w:pPr>
              <w:pStyle w:val="NormalLeft"/>
            </w:pPr>
            <w:r w:rsidRPr="00DE12A3">
              <w:t>16</w:t>
            </w:r>
          </w:p>
        </w:tc>
        <w:tc>
          <w:tcPr>
            <w:tcW w:w="2551" w:type="dxa"/>
            <w:tcBorders>
              <w:top w:val="single" w:sz="2" w:space="0" w:color="auto"/>
              <w:left w:val="single" w:sz="2" w:space="0" w:color="auto"/>
              <w:bottom w:val="single" w:sz="2" w:space="0" w:color="auto"/>
              <w:right w:val="single" w:sz="2" w:space="0" w:color="auto"/>
            </w:tcBorders>
          </w:tcPr>
          <w:p w14:paraId="33A2302D" w14:textId="77777777" w:rsidR="009F4766" w:rsidRPr="00DE12A3" w:rsidRDefault="009F4766" w:rsidP="00C917D6">
            <w:pPr>
              <w:pStyle w:val="NormalLeft"/>
            </w:pPr>
            <w:r w:rsidRPr="00DE12A3">
              <w:t>82</w:t>
            </w:r>
          </w:p>
        </w:tc>
      </w:tr>
      <w:tr w:rsidR="00DE12A3" w:rsidRPr="00DE12A3" w14:paraId="75B56E98" w14:textId="77777777" w:rsidTr="009F4766">
        <w:tc>
          <w:tcPr>
            <w:tcW w:w="1182" w:type="dxa"/>
            <w:tcBorders>
              <w:top w:val="single" w:sz="2" w:space="0" w:color="auto"/>
              <w:left w:val="single" w:sz="2" w:space="0" w:color="auto"/>
              <w:bottom w:val="single" w:sz="2" w:space="0" w:color="auto"/>
              <w:right w:val="single" w:sz="2" w:space="0" w:color="auto"/>
            </w:tcBorders>
          </w:tcPr>
          <w:p w14:paraId="70229B46" w14:textId="77777777" w:rsidR="009F4766" w:rsidRPr="00DE12A3" w:rsidRDefault="009F4766" w:rsidP="00C917D6">
            <w:pPr>
              <w:pStyle w:val="NormalLeft"/>
            </w:pPr>
            <w:r w:rsidRPr="00DE12A3">
              <w:t>769</w:t>
            </w:r>
          </w:p>
        </w:tc>
        <w:tc>
          <w:tcPr>
            <w:tcW w:w="2489" w:type="dxa"/>
            <w:tcBorders>
              <w:top w:val="single" w:sz="2" w:space="0" w:color="auto"/>
              <w:left w:val="single" w:sz="2" w:space="0" w:color="auto"/>
              <w:bottom w:val="single" w:sz="2" w:space="0" w:color="auto"/>
              <w:right w:val="single" w:sz="2" w:space="0" w:color="auto"/>
            </w:tcBorders>
          </w:tcPr>
          <w:p w14:paraId="7AABB64D" w14:textId="77777777" w:rsidR="009F4766" w:rsidRPr="00DE12A3" w:rsidRDefault="009F4766" w:rsidP="00C917D6">
            <w:pPr>
              <w:pStyle w:val="NormalLeft"/>
            </w:pPr>
            <w:r w:rsidRPr="00DE12A3">
              <w:t>15</w:t>
            </w:r>
          </w:p>
        </w:tc>
        <w:tc>
          <w:tcPr>
            <w:tcW w:w="2551" w:type="dxa"/>
            <w:tcBorders>
              <w:top w:val="single" w:sz="2" w:space="0" w:color="auto"/>
              <w:left w:val="single" w:sz="2" w:space="0" w:color="auto"/>
              <w:bottom w:val="single" w:sz="2" w:space="0" w:color="auto"/>
              <w:right w:val="single" w:sz="2" w:space="0" w:color="auto"/>
            </w:tcBorders>
          </w:tcPr>
          <w:p w14:paraId="287D9B24" w14:textId="77777777" w:rsidR="009F4766" w:rsidRPr="00DE12A3" w:rsidRDefault="009F4766" w:rsidP="00C917D6">
            <w:pPr>
              <w:pStyle w:val="NormalLeft"/>
            </w:pPr>
            <w:r w:rsidRPr="00DE12A3">
              <w:t>64</w:t>
            </w:r>
          </w:p>
        </w:tc>
      </w:tr>
      <w:tr w:rsidR="00DE12A3" w:rsidRPr="00DE12A3" w14:paraId="2DE71051" w14:textId="77777777" w:rsidTr="009F4766">
        <w:tc>
          <w:tcPr>
            <w:tcW w:w="1182" w:type="dxa"/>
            <w:tcBorders>
              <w:top w:val="single" w:sz="2" w:space="0" w:color="auto"/>
              <w:left w:val="single" w:sz="2" w:space="0" w:color="auto"/>
              <w:bottom w:val="single" w:sz="2" w:space="0" w:color="auto"/>
              <w:right w:val="single" w:sz="2" w:space="0" w:color="auto"/>
            </w:tcBorders>
          </w:tcPr>
          <w:p w14:paraId="4C60B81A" w14:textId="77777777" w:rsidR="009F4766" w:rsidRPr="00DE12A3" w:rsidRDefault="009F4766" w:rsidP="00C917D6">
            <w:pPr>
              <w:pStyle w:val="NormalLeft"/>
            </w:pPr>
            <w:r w:rsidRPr="00DE12A3">
              <w:t>770</w:t>
            </w:r>
          </w:p>
        </w:tc>
        <w:tc>
          <w:tcPr>
            <w:tcW w:w="2489" w:type="dxa"/>
            <w:tcBorders>
              <w:top w:val="single" w:sz="2" w:space="0" w:color="auto"/>
              <w:left w:val="single" w:sz="2" w:space="0" w:color="auto"/>
              <w:bottom w:val="single" w:sz="2" w:space="0" w:color="auto"/>
              <w:right w:val="single" w:sz="2" w:space="0" w:color="auto"/>
            </w:tcBorders>
          </w:tcPr>
          <w:p w14:paraId="35839317" w14:textId="77777777" w:rsidR="009F4766" w:rsidRPr="00DE12A3" w:rsidRDefault="009F4766" w:rsidP="00C917D6">
            <w:pPr>
              <w:pStyle w:val="NormalLeft"/>
            </w:pPr>
            <w:r w:rsidRPr="00DE12A3">
              <w:t>36</w:t>
            </w:r>
          </w:p>
        </w:tc>
        <w:tc>
          <w:tcPr>
            <w:tcW w:w="2551" w:type="dxa"/>
            <w:tcBorders>
              <w:top w:val="single" w:sz="2" w:space="0" w:color="auto"/>
              <w:left w:val="single" w:sz="2" w:space="0" w:color="auto"/>
              <w:bottom w:val="single" w:sz="2" w:space="0" w:color="auto"/>
              <w:right w:val="single" w:sz="2" w:space="0" w:color="auto"/>
            </w:tcBorders>
          </w:tcPr>
          <w:p w14:paraId="13AEA470" w14:textId="77777777" w:rsidR="009F4766" w:rsidRPr="00DE12A3" w:rsidRDefault="009F4766" w:rsidP="00C917D6">
            <w:pPr>
              <w:pStyle w:val="NormalLeft"/>
            </w:pPr>
            <w:r w:rsidRPr="00DE12A3">
              <w:t>53</w:t>
            </w:r>
          </w:p>
        </w:tc>
      </w:tr>
      <w:tr w:rsidR="00DE12A3" w:rsidRPr="00DE12A3" w14:paraId="28FB15BA" w14:textId="77777777" w:rsidTr="009F4766">
        <w:tc>
          <w:tcPr>
            <w:tcW w:w="1182" w:type="dxa"/>
            <w:tcBorders>
              <w:top w:val="single" w:sz="2" w:space="0" w:color="auto"/>
              <w:left w:val="single" w:sz="2" w:space="0" w:color="auto"/>
              <w:bottom w:val="single" w:sz="2" w:space="0" w:color="auto"/>
              <w:right w:val="single" w:sz="2" w:space="0" w:color="auto"/>
            </w:tcBorders>
          </w:tcPr>
          <w:p w14:paraId="1469ACAD" w14:textId="77777777" w:rsidR="009F4766" w:rsidRPr="00DE12A3" w:rsidRDefault="009F4766" w:rsidP="00C917D6">
            <w:pPr>
              <w:pStyle w:val="NormalLeft"/>
            </w:pPr>
            <w:r w:rsidRPr="00DE12A3">
              <w:lastRenderedPageBreak/>
              <w:t>771</w:t>
            </w:r>
          </w:p>
        </w:tc>
        <w:tc>
          <w:tcPr>
            <w:tcW w:w="2489" w:type="dxa"/>
            <w:tcBorders>
              <w:top w:val="single" w:sz="2" w:space="0" w:color="auto"/>
              <w:left w:val="single" w:sz="2" w:space="0" w:color="auto"/>
              <w:bottom w:val="single" w:sz="2" w:space="0" w:color="auto"/>
              <w:right w:val="single" w:sz="2" w:space="0" w:color="auto"/>
            </w:tcBorders>
          </w:tcPr>
          <w:p w14:paraId="351213A2" w14:textId="77777777" w:rsidR="009F4766" w:rsidRPr="00DE12A3" w:rsidRDefault="009F4766" w:rsidP="00C917D6">
            <w:pPr>
              <w:pStyle w:val="NormalLeft"/>
            </w:pPr>
            <w:r w:rsidRPr="00DE12A3">
              <w:t>45</w:t>
            </w:r>
          </w:p>
        </w:tc>
        <w:tc>
          <w:tcPr>
            <w:tcW w:w="2551" w:type="dxa"/>
            <w:tcBorders>
              <w:top w:val="single" w:sz="2" w:space="0" w:color="auto"/>
              <w:left w:val="single" w:sz="2" w:space="0" w:color="auto"/>
              <w:bottom w:val="single" w:sz="2" w:space="0" w:color="auto"/>
              <w:right w:val="single" w:sz="2" w:space="0" w:color="auto"/>
            </w:tcBorders>
          </w:tcPr>
          <w:p w14:paraId="1187FCD4" w14:textId="77777777" w:rsidR="009F4766" w:rsidRPr="00DE12A3" w:rsidRDefault="009F4766" w:rsidP="00C917D6">
            <w:pPr>
              <w:pStyle w:val="NormalLeft"/>
            </w:pPr>
            <w:r w:rsidRPr="00DE12A3">
              <w:t>64</w:t>
            </w:r>
          </w:p>
        </w:tc>
      </w:tr>
      <w:tr w:rsidR="00DE12A3" w:rsidRPr="00DE12A3" w14:paraId="27532A70" w14:textId="77777777" w:rsidTr="009F4766">
        <w:tc>
          <w:tcPr>
            <w:tcW w:w="1182" w:type="dxa"/>
            <w:tcBorders>
              <w:top w:val="single" w:sz="2" w:space="0" w:color="auto"/>
              <w:left w:val="single" w:sz="2" w:space="0" w:color="auto"/>
              <w:bottom w:val="single" w:sz="2" w:space="0" w:color="auto"/>
              <w:right w:val="single" w:sz="2" w:space="0" w:color="auto"/>
            </w:tcBorders>
          </w:tcPr>
          <w:p w14:paraId="437D49B3" w14:textId="77777777" w:rsidR="009F4766" w:rsidRPr="00DE12A3" w:rsidRDefault="009F4766" w:rsidP="00C917D6">
            <w:pPr>
              <w:pStyle w:val="NormalLeft"/>
            </w:pPr>
            <w:r w:rsidRPr="00DE12A3">
              <w:t>772</w:t>
            </w:r>
          </w:p>
        </w:tc>
        <w:tc>
          <w:tcPr>
            <w:tcW w:w="2489" w:type="dxa"/>
            <w:tcBorders>
              <w:top w:val="single" w:sz="2" w:space="0" w:color="auto"/>
              <w:left w:val="single" w:sz="2" w:space="0" w:color="auto"/>
              <w:bottom w:val="single" w:sz="2" w:space="0" w:color="auto"/>
              <w:right w:val="single" w:sz="2" w:space="0" w:color="auto"/>
            </w:tcBorders>
          </w:tcPr>
          <w:p w14:paraId="38813CA8" w14:textId="77777777" w:rsidR="009F4766" w:rsidRPr="00DE12A3" w:rsidRDefault="009F4766" w:rsidP="00C917D6">
            <w:pPr>
              <w:pStyle w:val="NormalLeft"/>
            </w:pPr>
            <w:r w:rsidRPr="00DE12A3">
              <w:t>41</w:t>
            </w:r>
          </w:p>
        </w:tc>
        <w:tc>
          <w:tcPr>
            <w:tcW w:w="2551" w:type="dxa"/>
            <w:tcBorders>
              <w:top w:val="single" w:sz="2" w:space="0" w:color="auto"/>
              <w:left w:val="single" w:sz="2" w:space="0" w:color="auto"/>
              <w:bottom w:val="single" w:sz="2" w:space="0" w:color="auto"/>
              <w:right w:val="single" w:sz="2" w:space="0" w:color="auto"/>
            </w:tcBorders>
          </w:tcPr>
          <w:p w14:paraId="5100D0B2" w14:textId="77777777" w:rsidR="009F4766" w:rsidRPr="00DE12A3" w:rsidRDefault="009F4766" w:rsidP="00C917D6">
            <w:pPr>
              <w:pStyle w:val="NormalLeft"/>
            </w:pPr>
            <w:r w:rsidRPr="00DE12A3">
              <w:t>59</w:t>
            </w:r>
          </w:p>
        </w:tc>
      </w:tr>
      <w:tr w:rsidR="00DE12A3" w:rsidRPr="00DE12A3" w14:paraId="34F75D51" w14:textId="77777777" w:rsidTr="009F4766">
        <w:tc>
          <w:tcPr>
            <w:tcW w:w="1182" w:type="dxa"/>
            <w:tcBorders>
              <w:top w:val="single" w:sz="2" w:space="0" w:color="auto"/>
              <w:left w:val="single" w:sz="2" w:space="0" w:color="auto"/>
              <w:bottom w:val="single" w:sz="2" w:space="0" w:color="auto"/>
              <w:right w:val="single" w:sz="2" w:space="0" w:color="auto"/>
            </w:tcBorders>
          </w:tcPr>
          <w:p w14:paraId="3C8FC223" w14:textId="77777777" w:rsidR="009F4766" w:rsidRPr="00DE12A3" w:rsidRDefault="009F4766" w:rsidP="00C917D6">
            <w:pPr>
              <w:pStyle w:val="NormalLeft"/>
            </w:pPr>
            <w:r w:rsidRPr="00DE12A3">
              <w:t>773</w:t>
            </w:r>
          </w:p>
        </w:tc>
        <w:tc>
          <w:tcPr>
            <w:tcW w:w="2489" w:type="dxa"/>
            <w:tcBorders>
              <w:top w:val="single" w:sz="2" w:space="0" w:color="auto"/>
              <w:left w:val="single" w:sz="2" w:space="0" w:color="auto"/>
              <w:bottom w:val="single" w:sz="2" w:space="0" w:color="auto"/>
              <w:right w:val="single" w:sz="2" w:space="0" w:color="auto"/>
            </w:tcBorders>
          </w:tcPr>
          <w:p w14:paraId="72177C13" w14:textId="77777777" w:rsidR="009F4766" w:rsidRPr="00DE12A3" w:rsidRDefault="009F4766" w:rsidP="00C917D6">
            <w:pPr>
              <w:pStyle w:val="NormalLeft"/>
            </w:pPr>
            <w:r w:rsidRPr="00DE12A3">
              <w:t>34</w:t>
            </w:r>
          </w:p>
        </w:tc>
        <w:tc>
          <w:tcPr>
            <w:tcW w:w="2551" w:type="dxa"/>
            <w:tcBorders>
              <w:top w:val="single" w:sz="2" w:space="0" w:color="auto"/>
              <w:left w:val="single" w:sz="2" w:space="0" w:color="auto"/>
              <w:bottom w:val="single" w:sz="2" w:space="0" w:color="auto"/>
              <w:right w:val="single" w:sz="2" w:space="0" w:color="auto"/>
            </w:tcBorders>
          </w:tcPr>
          <w:p w14:paraId="09FFCA0F" w14:textId="77777777" w:rsidR="009F4766" w:rsidRPr="00DE12A3" w:rsidRDefault="009F4766" w:rsidP="00C917D6">
            <w:pPr>
              <w:pStyle w:val="NormalLeft"/>
            </w:pPr>
            <w:r w:rsidRPr="00DE12A3">
              <w:t>50</w:t>
            </w:r>
          </w:p>
        </w:tc>
      </w:tr>
      <w:tr w:rsidR="00DE12A3" w:rsidRPr="00DE12A3" w14:paraId="13EA3884" w14:textId="77777777" w:rsidTr="009F4766">
        <w:tc>
          <w:tcPr>
            <w:tcW w:w="1182" w:type="dxa"/>
            <w:tcBorders>
              <w:top w:val="single" w:sz="2" w:space="0" w:color="auto"/>
              <w:left w:val="single" w:sz="2" w:space="0" w:color="auto"/>
              <w:bottom w:val="single" w:sz="2" w:space="0" w:color="auto"/>
              <w:right w:val="single" w:sz="2" w:space="0" w:color="auto"/>
            </w:tcBorders>
          </w:tcPr>
          <w:p w14:paraId="10C3CB4A" w14:textId="77777777" w:rsidR="009F4766" w:rsidRPr="00DE12A3" w:rsidRDefault="009F4766" w:rsidP="00C917D6">
            <w:pPr>
              <w:pStyle w:val="NormalLeft"/>
            </w:pPr>
            <w:r w:rsidRPr="00DE12A3">
              <w:t>774</w:t>
            </w:r>
          </w:p>
        </w:tc>
        <w:tc>
          <w:tcPr>
            <w:tcW w:w="2489" w:type="dxa"/>
            <w:tcBorders>
              <w:top w:val="single" w:sz="2" w:space="0" w:color="auto"/>
              <w:left w:val="single" w:sz="2" w:space="0" w:color="auto"/>
              <w:bottom w:val="single" w:sz="2" w:space="0" w:color="auto"/>
              <w:right w:val="single" w:sz="2" w:space="0" w:color="auto"/>
            </w:tcBorders>
          </w:tcPr>
          <w:p w14:paraId="425A87B6" w14:textId="77777777" w:rsidR="009F4766" w:rsidRPr="00DE12A3" w:rsidRDefault="009F4766" w:rsidP="00C917D6">
            <w:pPr>
              <w:pStyle w:val="NormalLeft"/>
            </w:pPr>
            <w:r w:rsidRPr="00DE12A3">
              <w:t>27</w:t>
            </w:r>
          </w:p>
        </w:tc>
        <w:tc>
          <w:tcPr>
            <w:tcW w:w="2551" w:type="dxa"/>
            <w:tcBorders>
              <w:top w:val="single" w:sz="2" w:space="0" w:color="auto"/>
              <w:left w:val="single" w:sz="2" w:space="0" w:color="auto"/>
              <w:bottom w:val="single" w:sz="2" w:space="0" w:color="auto"/>
              <w:right w:val="single" w:sz="2" w:space="0" w:color="auto"/>
            </w:tcBorders>
          </w:tcPr>
          <w:p w14:paraId="261522F1" w14:textId="77777777" w:rsidR="009F4766" w:rsidRPr="00DE12A3" w:rsidRDefault="009F4766" w:rsidP="00C917D6">
            <w:pPr>
              <w:pStyle w:val="NormalLeft"/>
            </w:pPr>
            <w:r w:rsidRPr="00DE12A3">
              <w:t>45</w:t>
            </w:r>
          </w:p>
        </w:tc>
      </w:tr>
      <w:tr w:rsidR="00DE12A3" w:rsidRPr="00DE12A3" w14:paraId="4F48AED5" w14:textId="77777777" w:rsidTr="009F4766">
        <w:tc>
          <w:tcPr>
            <w:tcW w:w="1182" w:type="dxa"/>
            <w:tcBorders>
              <w:top w:val="single" w:sz="2" w:space="0" w:color="auto"/>
              <w:left w:val="single" w:sz="2" w:space="0" w:color="auto"/>
              <w:bottom w:val="single" w:sz="2" w:space="0" w:color="auto"/>
              <w:right w:val="single" w:sz="2" w:space="0" w:color="auto"/>
            </w:tcBorders>
          </w:tcPr>
          <w:p w14:paraId="1B86E5F0" w14:textId="77777777" w:rsidR="009F4766" w:rsidRPr="00DE12A3" w:rsidRDefault="009F4766" w:rsidP="00C917D6">
            <w:pPr>
              <w:pStyle w:val="NormalLeft"/>
            </w:pPr>
            <w:r w:rsidRPr="00DE12A3">
              <w:t>775</w:t>
            </w:r>
          </w:p>
        </w:tc>
        <w:tc>
          <w:tcPr>
            <w:tcW w:w="2489" w:type="dxa"/>
            <w:tcBorders>
              <w:top w:val="single" w:sz="2" w:space="0" w:color="auto"/>
              <w:left w:val="single" w:sz="2" w:space="0" w:color="auto"/>
              <w:bottom w:val="single" w:sz="2" w:space="0" w:color="auto"/>
              <w:right w:val="single" w:sz="2" w:space="0" w:color="auto"/>
            </w:tcBorders>
          </w:tcPr>
          <w:p w14:paraId="212FF4B1" w14:textId="77777777" w:rsidR="009F4766" w:rsidRPr="00DE12A3" w:rsidRDefault="009F4766" w:rsidP="00C917D6">
            <w:pPr>
              <w:pStyle w:val="NormalLeft"/>
            </w:pPr>
            <w:r w:rsidRPr="00DE12A3">
              <w:t>22</w:t>
            </w:r>
          </w:p>
        </w:tc>
        <w:tc>
          <w:tcPr>
            <w:tcW w:w="2551" w:type="dxa"/>
            <w:tcBorders>
              <w:top w:val="single" w:sz="2" w:space="0" w:color="auto"/>
              <w:left w:val="single" w:sz="2" w:space="0" w:color="auto"/>
              <w:bottom w:val="single" w:sz="2" w:space="0" w:color="auto"/>
              <w:right w:val="single" w:sz="2" w:space="0" w:color="auto"/>
            </w:tcBorders>
          </w:tcPr>
          <w:p w14:paraId="47CAEF3C" w14:textId="77777777" w:rsidR="009F4766" w:rsidRPr="00DE12A3" w:rsidRDefault="009F4766" w:rsidP="00C917D6">
            <w:pPr>
              <w:pStyle w:val="NormalLeft"/>
            </w:pPr>
            <w:r w:rsidRPr="00DE12A3">
              <w:t>52</w:t>
            </w:r>
          </w:p>
        </w:tc>
      </w:tr>
      <w:tr w:rsidR="00DE12A3" w:rsidRPr="00DE12A3" w14:paraId="785E4F6F" w14:textId="77777777" w:rsidTr="009F4766">
        <w:tc>
          <w:tcPr>
            <w:tcW w:w="1182" w:type="dxa"/>
            <w:tcBorders>
              <w:top w:val="single" w:sz="2" w:space="0" w:color="auto"/>
              <w:left w:val="single" w:sz="2" w:space="0" w:color="auto"/>
              <w:bottom w:val="single" w:sz="2" w:space="0" w:color="auto"/>
              <w:right w:val="single" w:sz="2" w:space="0" w:color="auto"/>
            </w:tcBorders>
          </w:tcPr>
          <w:p w14:paraId="3267F9A5" w14:textId="77777777" w:rsidR="009F4766" w:rsidRPr="00DE12A3" w:rsidRDefault="009F4766" w:rsidP="00C917D6">
            <w:pPr>
              <w:pStyle w:val="NormalLeft"/>
            </w:pPr>
            <w:r w:rsidRPr="00DE12A3">
              <w:t>776</w:t>
            </w:r>
          </w:p>
        </w:tc>
        <w:tc>
          <w:tcPr>
            <w:tcW w:w="2489" w:type="dxa"/>
            <w:tcBorders>
              <w:top w:val="single" w:sz="2" w:space="0" w:color="auto"/>
              <w:left w:val="single" w:sz="2" w:space="0" w:color="auto"/>
              <w:bottom w:val="single" w:sz="2" w:space="0" w:color="auto"/>
              <w:right w:val="single" w:sz="2" w:space="0" w:color="auto"/>
            </w:tcBorders>
          </w:tcPr>
          <w:p w14:paraId="59E107BB" w14:textId="77777777" w:rsidR="009F4766" w:rsidRPr="00DE12A3" w:rsidRDefault="009F4766" w:rsidP="00C917D6">
            <w:pPr>
              <w:pStyle w:val="NormalLeft"/>
            </w:pPr>
            <w:r w:rsidRPr="00DE12A3">
              <w:t>18</w:t>
            </w:r>
          </w:p>
        </w:tc>
        <w:tc>
          <w:tcPr>
            <w:tcW w:w="2551" w:type="dxa"/>
            <w:tcBorders>
              <w:top w:val="single" w:sz="2" w:space="0" w:color="auto"/>
              <w:left w:val="single" w:sz="2" w:space="0" w:color="auto"/>
              <w:bottom w:val="single" w:sz="2" w:space="0" w:color="auto"/>
              <w:right w:val="single" w:sz="2" w:space="0" w:color="auto"/>
            </w:tcBorders>
          </w:tcPr>
          <w:p w14:paraId="28F27424" w14:textId="77777777" w:rsidR="009F4766" w:rsidRPr="00DE12A3" w:rsidRDefault="009F4766" w:rsidP="00C917D6">
            <w:pPr>
              <w:pStyle w:val="NormalLeft"/>
            </w:pPr>
            <w:r w:rsidRPr="00DE12A3">
              <w:t>55</w:t>
            </w:r>
          </w:p>
        </w:tc>
      </w:tr>
      <w:tr w:rsidR="00DE12A3" w:rsidRPr="00DE12A3" w14:paraId="5B41B58B" w14:textId="77777777" w:rsidTr="009F4766">
        <w:tc>
          <w:tcPr>
            <w:tcW w:w="1182" w:type="dxa"/>
            <w:tcBorders>
              <w:top w:val="single" w:sz="2" w:space="0" w:color="auto"/>
              <w:left w:val="single" w:sz="2" w:space="0" w:color="auto"/>
              <w:bottom w:val="single" w:sz="2" w:space="0" w:color="auto"/>
              <w:right w:val="single" w:sz="2" w:space="0" w:color="auto"/>
            </w:tcBorders>
          </w:tcPr>
          <w:p w14:paraId="551A44AB" w14:textId="77777777" w:rsidR="009F4766" w:rsidRPr="00DE12A3" w:rsidRDefault="009F4766" w:rsidP="00C917D6">
            <w:pPr>
              <w:pStyle w:val="NormalLeft"/>
            </w:pPr>
            <w:r w:rsidRPr="00DE12A3">
              <w:t>777</w:t>
            </w:r>
          </w:p>
        </w:tc>
        <w:tc>
          <w:tcPr>
            <w:tcW w:w="2489" w:type="dxa"/>
            <w:tcBorders>
              <w:top w:val="single" w:sz="2" w:space="0" w:color="auto"/>
              <w:left w:val="single" w:sz="2" w:space="0" w:color="auto"/>
              <w:bottom w:val="single" w:sz="2" w:space="0" w:color="auto"/>
              <w:right w:val="single" w:sz="2" w:space="0" w:color="auto"/>
            </w:tcBorders>
          </w:tcPr>
          <w:p w14:paraId="6BC92AF6" w14:textId="77777777" w:rsidR="009F4766" w:rsidRPr="00DE12A3" w:rsidRDefault="009F4766" w:rsidP="00C917D6">
            <w:pPr>
              <w:pStyle w:val="NormalLeft"/>
            </w:pPr>
            <w:r w:rsidRPr="00DE12A3">
              <w:t>26</w:t>
            </w:r>
          </w:p>
        </w:tc>
        <w:tc>
          <w:tcPr>
            <w:tcW w:w="2551" w:type="dxa"/>
            <w:tcBorders>
              <w:top w:val="single" w:sz="2" w:space="0" w:color="auto"/>
              <w:left w:val="single" w:sz="2" w:space="0" w:color="auto"/>
              <w:bottom w:val="single" w:sz="2" w:space="0" w:color="auto"/>
              <w:right w:val="single" w:sz="2" w:space="0" w:color="auto"/>
            </w:tcBorders>
          </w:tcPr>
          <w:p w14:paraId="1F820D37" w14:textId="77777777" w:rsidR="009F4766" w:rsidRPr="00DE12A3" w:rsidRDefault="009F4766" w:rsidP="00C917D6">
            <w:pPr>
              <w:pStyle w:val="NormalLeft"/>
            </w:pPr>
            <w:r w:rsidRPr="00DE12A3">
              <w:t>54</w:t>
            </w:r>
          </w:p>
        </w:tc>
      </w:tr>
      <w:tr w:rsidR="00DE12A3" w:rsidRPr="00DE12A3" w14:paraId="62A224D4" w14:textId="77777777" w:rsidTr="009F4766">
        <w:tc>
          <w:tcPr>
            <w:tcW w:w="1182" w:type="dxa"/>
            <w:tcBorders>
              <w:top w:val="single" w:sz="2" w:space="0" w:color="auto"/>
              <w:left w:val="single" w:sz="2" w:space="0" w:color="auto"/>
              <w:bottom w:val="single" w:sz="2" w:space="0" w:color="auto"/>
              <w:right w:val="single" w:sz="2" w:space="0" w:color="auto"/>
            </w:tcBorders>
          </w:tcPr>
          <w:p w14:paraId="02DE890A" w14:textId="77777777" w:rsidR="009F4766" w:rsidRPr="00DE12A3" w:rsidRDefault="009F4766" w:rsidP="00C917D6">
            <w:pPr>
              <w:pStyle w:val="NormalLeft"/>
            </w:pPr>
            <w:r w:rsidRPr="00DE12A3">
              <w:t>778</w:t>
            </w:r>
          </w:p>
        </w:tc>
        <w:tc>
          <w:tcPr>
            <w:tcW w:w="2489" w:type="dxa"/>
            <w:tcBorders>
              <w:top w:val="single" w:sz="2" w:space="0" w:color="auto"/>
              <w:left w:val="single" w:sz="2" w:space="0" w:color="auto"/>
              <w:bottom w:val="single" w:sz="2" w:space="0" w:color="auto"/>
              <w:right w:val="single" w:sz="2" w:space="0" w:color="auto"/>
            </w:tcBorders>
          </w:tcPr>
          <w:p w14:paraId="2E3BFB8F" w14:textId="77777777" w:rsidR="009F4766" w:rsidRPr="00DE12A3" w:rsidRDefault="009F4766" w:rsidP="00C917D6">
            <w:pPr>
              <w:pStyle w:val="NormalLeft"/>
            </w:pPr>
            <w:r w:rsidRPr="00DE12A3">
              <w:t>39</w:t>
            </w:r>
          </w:p>
        </w:tc>
        <w:tc>
          <w:tcPr>
            <w:tcW w:w="2551" w:type="dxa"/>
            <w:tcBorders>
              <w:top w:val="single" w:sz="2" w:space="0" w:color="auto"/>
              <w:left w:val="single" w:sz="2" w:space="0" w:color="auto"/>
              <w:bottom w:val="single" w:sz="2" w:space="0" w:color="auto"/>
              <w:right w:val="single" w:sz="2" w:space="0" w:color="auto"/>
            </w:tcBorders>
          </w:tcPr>
          <w:p w14:paraId="4E2E55E6" w14:textId="77777777" w:rsidR="009F4766" w:rsidRPr="00DE12A3" w:rsidRDefault="009F4766" w:rsidP="00C917D6">
            <w:pPr>
              <w:pStyle w:val="NormalLeft"/>
            </w:pPr>
            <w:r w:rsidRPr="00DE12A3">
              <w:t>62</w:t>
            </w:r>
          </w:p>
        </w:tc>
      </w:tr>
      <w:tr w:rsidR="00DE12A3" w:rsidRPr="00DE12A3" w14:paraId="306DDBDF" w14:textId="77777777" w:rsidTr="009F4766">
        <w:tc>
          <w:tcPr>
            <w:tcW w:w="1182" w:type="dxa"/>
            <w:tcBorders>
              <w:top w:val="single" w:sz="2" w:space="0" w:color="auto"/>
              <w:left w:val="single" w:sz="2" w:space="0" w:color="auto"/>
              <w:bottom w:val="single" w:sz="2" w:space="0" w:color="auto"/>
              <w:right w:val="single" w:sz="2" w:space="0" w:color="auto"/>
            </w:tcBorders>
          </w:tcPr>
          <w:p w14:paraId="016BD5C6" w14:textId="77777777" w:rsidR="009F4766" w:rsidRPr="00DE12A3" w:rsidRDefault="009F4766" w:rsidP="00C917D6">
            <w:pPr>
              <w:pStyle w:val="NormalLeft"/>
            </w:pPr>
            <w:r w:rsidRPr="00DE12A3">
              <w:t>779</w:t>
            </w:r>
          </w:p>
        </w:tc>
        <w:tc>
          <w:tcPr>
            <w:tcW w:w="2489" w:type="dxa"/>
            <w:tcBorders>
              <w:top w:val="single" w:sz="2" w:space="0" w:color="auto"/>
              <w:left w:val="single" w:sz="2" w:space="0" w:color="auto"/>
              <w:bottom w:val="single" w:sz="2" w:space="0" w:color="auto"/>
              <w:right w:val="single" w:sz="2" w:space="0" w:color="auto"/>
            </w:tcBorders>
          </w:tcPr>
          <w:p w14:paraId="20F4D0F8" w14:textId="77777777" w:rsidR="009F4766" w:rsidRPr="00DE12A3" w:rsidRDefault="009F4766" w:rsidP="00C917D6">
            <w:pPr>
              <w:pStyle w:val="NormalLeft"/>
            </w:pPr>
            <w:r w:rsidRPr="00DE12A3">
              <w:t>37</w:t>
            </w:r>
          </w:p>
        </w:tc>
        <w:tc>
          <w:tcPr>
            <w:tcW w:w="2551" w:type="dxa"/>
            <w:tcBorders>
              <w:top w:val="single" w:sz="2" w:space="0" w:color="auto"/>
              <w:left w:val="single" w:sz="2" w:space="0" w:color="auto"/>
              <w:bottom w:val="single" w:sz="2" w:space="0" w:color="auto"/>
              <w:right w:val="single" w:sz="2" w:space="0" w:color="auto"/>
            </w:tcBorders>
          </w:tcPr>
          <w:p w14:paraId="6B016ADF" w14:textId="77777777" w:rsidR="009F4766" w:rsidRPr="00DE12A3" w:rsidRDefault="009F4766" w:rsidP="00C917D6">
            <w:pPr>
              <w:pStyle w:val="NormalLeft"/>
            </w:pPr>
            <w:r w:rsidRPr="00DE12A3">
              <w:t>71</w:t>
            </w:r>
          </w:p>
        </w:tc>
      </w:tr>
      <w:tr w:rsidR="00DE12A3" w:rsidRPr="00DE12A3" w14:paraId="12178B3F" w14:textId="77777777" w:rsidTr="009F4766">
        <w:tc>
          <w:tcPr>
            <w:tcW w:w="1182" w:type="dxa"/>
            <w:tcBorders>
              <w:top w:val="single" w:sz="2" w:space="0" w:color="auto"/>
              <w:left w:val="single" w:sz="2" w:space="0" w:color="auto"/>
              <w:bottom w:val="single" w:sz="2" w:space="0" w:color="auto"/>
              <w:right w:val="single" w:sz="2" w:space="0" w:color="auto"/>
            </w:tcBorders>
          </w:tcPr>
          <w:p w14:paraId="0198B6A2" w14:textId="77777777" w:rsidR="009F4766" w:rsidRPr="00DE12A3" w:rsidRDefault="009F4766" w:rsidP="00C917D6">
            <w:pPr>
              <w:pStyle w:val="NormalLeft"/>
            </w:pPr>
            <w:r w:rsidRPr="00DE12A3">
              <w:t>780</w:t>
            </w:r>
          </w:p>
        </w:tc>
        <w:tc>
          <w:tcPr>
            <w:tcW w:w="2489" w:type="dxa"/>
            <w:tcBorders>
              <w:top w:val="single" w:sz="2" w:space="0" w:color="auto"/>
              <w:left w:val="single" w:sz="2" w:space="0" w:color="auto"/>
              <w:bottom w:val="single" w:sz="2" w:space="0" w:color="auto"/>
              <w:right w:val="single" w:sz="2" w:space="0" w:color="auto"/>
            </w:tcBorders>
          </w:tcPr>
          <w:p w14:paraId="5AA3164E" w14:textId="77777777" w:rsidR="009F4766" w:rsidRPr="00DE12A3" w:rsidRDefault="009F4766" w:rsidP="00C917D6">
            <w:pPr>
              <w:pStyle w:val="NormalLeft"/>
            </w:pPr>
            <w:r w:rsidRPr="00DE12A3">
              <w:t>32</w:t>
            </w:r>
          </w:p>
        </w:tc>
        <w:tc>
          <w:tcPr>
            <w:tcW w:w="2551" w:type="dxa"/>
            <w:tcBorders>
              <w:top w:val="single" w:sz="2" w:space="0" w:color="auto"/>
              <w:left w:val="single" w:sz="2" w:space="0" w:color="auto"/>
              <w:bottom w:val="single" w:sz="2" w:space="0" w:color="auto"/>
              <w:right w:val="single" w:sz="2" w:space="0" w:color="auto"/>
            </w:tcBorders>
          </w:tcPr>
          <w:p w14:paraId="3D9B83AE" w14:textId="77777777" w:rsidR="009F4766" w:rsidRPr="00DE12A3" w:rsidRDefault="009F4766" w:rsidP="00C917D6">
            <w:pPr>
              <w:pStyle w:val="NormalLeft"/>
            </w:pPr>
            <w:r w:rsidRPr="00DE12A3">
              <w:t>58</w:t>
            </w:r>
          </w:p>
        </w:tc>
      </w:tr>
      <w:tr w:rsidR="00DE12A3" w:rsidRPr="00DE12A3" w14:paraId="18191BBD" w14:textId="77777777" w:rsidTr="009F4766">
        <w:tc>
          <w:tcPr>
            <w:tcW w:w="1182" w:type="dxa"/>
            <w:tcBorders>
              <w:top w:val="single" w:sz="2" w:space="0" w:color="auto"/>
              <w:left w:val="single" w:sz="2" w:space="0" w:color="auto"/>
              <w:bottom w:val="single" w:sz="2" w:space="0" w:color="auto"/>
              <w:right w:val="single" w:sz="2" w:space="0" w:color="auto"/>
            </w:tcBorders>
          </w:tcPr>
          <w:p w14:paraId="2C45ABFB" w14:textId="77777777" w:rsidR="009F4766" w:rsidRPr="00DE12A3" w:rsidRDefault="009F4766" w:rsidP="00C917D6">
            <w:pPr>
              <w:pStyle w:val="NormalLeft"/>
            </w:pPr>
            <w:r w:rsidRPr="00DE12A3">
              <w:t>781</w:t>
            </w:r>
          </w:p>
        </w:tc>
        <w:tc>
          <w:tcPr>
            <w:tcW w:w="2489" w:type="dxa"/>
            <w:tcBorders>
              <w:top w:val="single" w:sz="2" w:space="0" w:color="auto"/>
              <w:left w:val="single" w:sz="2" w:space="0" w:color="auto"/>
              <w:bottom w:val="single" w:sz="2" w:space="0" w:color="auto"/>
              <w:right w:val="single" w:sz="2" w:space="0" w:color="auto"/>
            </w:tcBorders>
          </w:tcPr>
          <w:p w14:paraId="07E38997" w14:textId="77777777" w:rsidR="009F4766" w:rsidRPr="00DE12A3" w:rsidRDefault="009F4766" w:rsidP="00C917D6">
            <w:pPr>
              <w:pStyle w:val="NormalLeft"/>
            </w:pPr>
            <w:r w:rsidRPr="00DE12A3">
              <w:t>24</w:t>
            </w:r>
          </w:p>
        </w:tc>
        <w:tc>
          <w:tcPr>
            <w:tcW w:w="2551" w:type="dxa"/>
            <w:tcBorders>
              <w:top w:val="single" w:sz="2" w:space="0" w:color="auto"/>
              <w:left w:val="single" w:sz="2" w:space="0" w:color="auto"/>
              <w:bottom w:val="single" w:sz="2" w:space="0" w:color="auto"/>
              <w:right w:val="single" w:sz="2" w:space="0" w:color="auto"/>
            </w:tcBorders>
          </w:tcPr>
          <w:p w14:paraId="3F220B52" w14:textId="77777777" w:rsidR="009F4766" w:rsidRPr="00DE12A3" w:rsidRDefault="009F4766" w:rsidP="00C917D6">
            <w:pPr>
              <w:pStyle w:val="NormalLeft"/>
            </w:pPr>
            <w:r w:rsidRPr="00DE12A3">
              <w:t>48</w:t>
            </w:r>
          </w:p>
        </w:tc>
      </w:tr>
      <w:tr w:rsidR="00DE12A3" w:rsidRPr="00DE12A3" w14:paraId="449AF531" w14:textId="77777777" w:rsidTr="009F4766">
        <w:tc>
          <w:tcPr>
            <w:tcW w:w="1182" w:type="dxa"/>
            <w:tcBorders>
              <w:top w:val="single" w:sz="2" w:space="0" w:color="auto"/>
              <w:left w:val="single" w:sz="2" w:space="0" w:color="auto"/>
              <w:bottom w:val="single" w:sz="2" w:space="0" w:color="auto"/>
              <w:right w:val="single" w:sz="2" w:space="0" w:color="auto"/>
            </w:tcBorders>
          </w:tcPr>
          <w:p w14:paraId="1649D810" w14:textId="77777777" w:rsidR="009F4766" w:rsidRPr="00DE12A3" w:rsidRDefault="009F4766" w:rsidP="00C917D6">
            <w:pPr>
              <w:pStyle w:val="NormalLeft"/>
            </w:pPr>
            <w:r w:rsidRPr="00DE12A3">
              <w:t>782</w:t>
            </w:r>
          </w:p>
        </w:tc>
        <w:tc>
          <w:tcPr>
            <w:tcW w:w="2489" w:type="dxa"/>
            <w:tcBorders>
              <w:top w:val="single" w:sz="2" w:space="0" w:color="auto"/>
              <w:left w:val="single" w:sz="2" w:space="0" w:color="auto"/>
              <w:bottom w:val="single" w:sz="2" w:space="0" w:color="auto"/>
              <w:right w:val="single" w:sz="2" w:space="0" w:color="auto"/>
            </w:tcBorders>
          </w:tcPr>
          <w:p w14:paraId="29F28C58" w14:textId="77777777" w:rsidR="009F4766" w:rsidRPr="00DE12A3" w:rsidRDefault="009F4766" w:rsidP="00C917D6">
            <w:pPr>
              <w:pStyle w:val="NormalLeft"/>
            </w:pPr>
            <w:r w:rsidRPr="00DE12A3">
              <w:t>14</w:t>
            </w:r>
          </w:p>
        </w:tc>
        <w:tc>
          <w:tcPr>
            <w:tcW w:w="2551" w:type="dxa"/>
            <w:tcBorders>
              <w:top w:val="single" w:sz="2" w:space="0" w:color="auto"/>
              <w:left w:val="single" w:sz="2" w:space="0" w:color="auto"/>
              <w:bottom w:val="single" w:sz="2" w:space="0" w:color="auto"/>
              <w:right w:val="single" w:sz="2" w:space="0" w:color="auto"/>
            </w:tcBorders>
          </w:tcPr>
          <w:p w14:paraId="58FEDE17" w14:textId="77777777" w:rsidR="009F4766" w:rsidRPr="00DE12A3" w:rsidRDefault="009F4766" w:rsidP="00C917D6">
            <w:pPr>
              <w:pStyle w:val="NormalLeft"/>
            </w:pPr>
            <w:r w:rsidRPr="00DE12A3">
              <w:t>59</w:t>
            </w:r>
          </w:p>
        </w:tc>
      </w:tr>
      <w:tr w:rsidR="00DE12A3" w:rsidRPr="00DE12A3" w14:paraId="12A7CE48" w14:textId="77777777" w:rsidTr="009F4766">
        <w:tc>
          <w:tcPr>
            <w:tcW w:w="1182" w:type="dxa"/>
            <w:tcBorders>
              <w:top w:val="single" w:sz="2" w:space="0" w:color="auto"/>
              <w:left w:val="single" w:sz="2" w:space="0" w:color="auto"/>
              <w:bottom w:val="single" w:sz="2" w:space="0" w:color="auto"/>
              <w:right w:val="single" w:sz="2" w:space="0" w:color="auto"/>
            </w:tcBorders>
          </w:tcPr>
          <w:p w14:paraId="07BD34AB" w14:textId="77777777" w:rsidR="009F4766" w:rsidRPr="00DE12A3" w:rsidRDefault="009F4766" w:rsidP="00C917D6">
            <w:pPr>
              <w:pStyle w:val="NormalLeft"/>
            </w:pPr>
            <w:r w:rsidRPr="00DE12A3">
              <w:t>783</w:t>
            </w:r>
          </w:p>
        </w:tc>
        <w:tc>
          <w:tcPr>
            <w:tcW w:w="2489" w:type="dxa"/>
            <w:tcBorders>
              <w:top w:val="single" w:sz="2" w:space="0" w:color="auto"/>
              <w:left w:val="single" w:sz="2" w:space="0" w:color="auto"/>
              <w:bottom w:val="single" w:sz="2" w:space="0" w:color="auto"/>
              <w:right w:val="single" w:sz="2" w:space="0" w:color="auto"/>
            </w:tcBorders>
          </w:tcPr>
          <w:p w14:paraId="009A2BC3" w14:textId="77777777" w:rsidR="009F4766" w:rsidRPr="00DE12A3" w:rsidRDefault="009F4766" w:rsidP="00C917D6">
            <w:pPr>
              <w:pStyle w:val="NormalLeft"/>
            </w:pPr>
            <w:r w:rsidRPr="00DE12A3">
              <w:t>7</w:t>
            </w:r>
          </w:p>
        </w:tc>
        <w:tc>
          <w:tcPr>
            <w:tcW w:w="2551" w:type="dxa"/>
            <w:tcBorders>
              <w:top w:val="single" w:sz="2" w:space="0" w:color="auto"/>
              <w:left w:val="single" w:sz="2" w:space="0" w:color="auto"/>
              <w:bottom w:val="single" w:sz="2" w:space="0" w:color="auto"/>
              <w:right w:val="single" w:sz="2" w:space="0" w:color="auto"/>
            </w:tcBorders>
          </w:tcPr>
          <w:p w14:paraId="358D8EB0" w14:textId="77777777" w:rsidR="009F4766" w:rsidRPr="00DE12A3" w:rsidRDefault="009F4766" w:rsidP="00C917D6">
            <w:pPr>
              <w:pStyle w:val="NormalLeft"/>
            </w:pPr>
            <w:r w:rsidRPr="00DE12A3">
              <w:t>59</w:t>
            </w:r>
          </w:p>
        </w:tc>
      </w:tr>
      <w:tr w:rsidR="00DE12A3" w:rsidRPr="00DE12A3" w14:paraId="58591CCE" w14:textId="77777777" w:rsidTr="009F4766">
        <w:tc>
          <w:tcPr>
            <w:tcW w:w="1182" w:type="dxa"/>
            <w:tcBorders>
              <w:top w:val="single" w:sz="2" w:space="0" w:color="auto"/>
              <w:left w:val="single" w:sz="2" w:space="0" w:color="auto"/>
              <w:bottom w:val="single" w:sz="2" w:space="0" w:color="auto"/>
              <w:right w:val="single" w:sz="2" w:space="0" w:color="auto"/>
            </w:tcBorders>
          </w:tcPr>
          <w:p w14:paraId="4AA16504" w14:textId="77777777" w:rsidR="009F4766" w:rsidRPr="00DE12A3" w:rsidRDefault="009F4766" w:rsidP="00C917D6">
            <w:pPr>
              <w:pStyle w:val="NormalLeft"/>
            </w:pPr>
            <w:r w:rsidRPr="00DE12A3">
              <w:t>784</w:t>
            </w:r>
          </w:p>
        </w:tc>
        <w:tc>
          <w:tcPr>
            <w:tcW w:w="2489" w:type="dxa"/>
            <w:tcBorders>
              <w:top w:val="single" w:sz="2" w:space="0" w:color="auto"/>
              <w:left w:val="single" w:sz="2" w:space="0" w:color="auto"/>
              <w:bottom w:val="single" w:sz="2" w:space="0" w:color="auto"/>
              <w:right w:val="single" w:sz="2" w:space="0" w:color="auto"/>
            </w:tcBorders>
          </w:tcPr>
          <w:p w14:paraId="2CAD2185" w14:textId="77777777" w:rsidR="009F4766" w:rsidRPr="00DE12A3" w:rsidRDefault="009F4766" w:rsidP="00C917D6">
            <w:pPr>
              <w:pStyle w:val="NormalLeft"/>
            </w:pPr>
            <w:r w:rsidRPr="00DE12A3">
              <w:t>7</w:t>
            </w:r>
          </w:p>
        </w:tc>
        <w:tc>
          <w:tcPr>
            <w:tcW w:w="2551" w:type="dxa"/>
            <w:tcBorders>
              <w:top w:val="single" w:sz="2" w:space="0" w:color="auto"/>
              <w:left w:val="single" w:sz="2" w:space="0" w:color="auto"/>
              <w:bottom w:val="single" w:sz="2" w:space="0" w:color="auto"/>
              <w:right w:val="single" w:sz="2" w:space="0" w:color="auto"/>
            </w:tcBorders>
          </w:tcPr>
          <w:p w14:paraId="08EBC7B5" w14:textId="77777777" w:rsidR="009F4766" w:rsidRPr="00DE12A3" w:rsidRDefault="009F4766" w:rsidP="00C917D6">
            <w:pPr>
              <w:pStyle w:val="NormalLeft"/>
            </w:pPr>
            <w:r w:rsidRPr="00DE12A3">
              <w:t>55</w:t>
            </w:r>
          </w:p>
        </w:tc>
      </w:tr>
      <w:tr w:rsidR="00DE12A3" w:rsidRPr="00DE12A3" w14:paraId="0B357D9A" w14:textId="77777777" w:rsidTr="009F4766">
        <w:tc>
          <w:tcPr>
            <w:tcW w:w="1182" w:type="dxa"/>
            <w:tcBorders>
              <w:top w:val="single" w:sz="2" w:space="0" w:color="auto"/>
              <w:left w:val="single" w:sz="2" w:space="0" w:color="auto"/>
              <w:bottom w:val="single" w:sz="2" w:space="0" w:color="auto"/>
              <w:right w:val="single" w:sz="2" w:space="0" w:color="auto"/>
            </w:tcBorders>
          </w:tcPr>
          <w:p w14:paraId="6DB2F18F" w14:textId="77777777" w:rsidR="009F4766" w:rsidRPr="00DE12A3" w:rsidRDefault="009F4766" w:rsidP="00C917D6">
            <w:pPr>
              <w:pStyle w:val="NormalLeft"/>
            </w:pPr>
            <w:r w:rsidRPr="00DE12A3">
              <w:t>785</w:t>
            </w:r>
          </w:p>
        </w:tc>
        <w:tc>
          <w:tcPr>
            <w:tcW w:w="2489" w:type="dxa"/>
            <w:tcBorders>
              <w:top w:val="single" w:sz="2" w:space="0" w:color="auto"/>
              <w:left w:val="single" w:sz="2" w:space="0" w:color="auto"/>
              <w:bottom w:val="single" w:sz="2" w:space="0" w:color="auto"/>
              <w:right w:val="single" w:sz="2" w:space="0" w:color="auto"/>
            </w:tcBorders>
          </w:tcPr>
          <w:p w14:paraId="04E9FC48" w14:textId="77777777" w:rsidR="009F4766" w:rsidRPr="00DE12A3" w:rsidRDefault="009F4766" w:rsidP="00C917D6">
            <w:pPr>
              <w:pStyle w:val="NormalLeft"/>
            </w:pPr>
            <w:r w:rsidRPr="00DE12A3">
              <w:t>18</w:t>
            </w:r>
          </w:p>
        </w:tc>
        <w:tc>
          <w:tcPr>
            <w:tcW w:w="2551" w:type="dxa"/>
            <w:tcBorders>
              <w:top w:val="single" w:sz="2" w:space="0" w:color="auto"/>
              <w:left w:val="single" w:sz="2" w:space="0" w:color="auto"/>
              <w:bottom w:val="single" w:sz="2" w:space="0" w:color="auto"/>
              <w:right w:val="single" w:sz="2" w:space="0" w:color="auto"/>
            </w:tcBorders>
          </w:tcPr>
          <w:p w14:paraId="1F7FF70D" w14:textId="77777777" w:rsidR="009F4766" w:rsidRPr="00DE12A3" w:rsidRDefault="009F4766" w:rsidP="00C917D6">
            <w:pPr>
              <w:pStyle w:val="NormalLeft"/>
            </w:pPr>
            <w:r w:rsidRPr="00DE12A3">
              <w:t>49</w:t>
            </w:r>
          </w:p>
        </w:tc>
      </w:tr>
      <w:tr w:rsidR="00DE12A3" w:rsidRPr="00DE12A3" w14:paraId="19030730" w14:textId="77777777" w:rsidTr="009F4766">
        <w:tc>
          <w:tcPr>
            <w:tcW w:w="1182" w:type="dxa"/>
            <w:tcBorders>
              <w:top w:val="single" w:sz="2" w:space="0" w:color="auto"/>
              <w:left w:val="single" w:sz="2" w:space="0" w:color="auto"/>
              <w:bottom w:val="single" w:sz="2" w:space="0" w:color="auto"/>
              <w:right w:val="single" w:sz="2" w:space="0" w:color="auto"/>
            </w:tcBorders>
          </w:tcPr>
          <w:p w14:paraId="1E202230" w14:textId="77777777" w:rsidR="009F4766" w:rsidRPr="00DE12A3" w:rsidRDefault="009F4766" w:rsidP="00C917D6">
            <w:pPr>
              <w:pStyle w:val="NormalLeft"/>
            </w:pPr>
            <w:r w:rsidRPr="00DE12A3">
              <w:t>786</w:t>
            </w:r>
          </w:p>
        </w:tc>
        <w:tc>
          <w:tcPr>
            <w:tcW w:w="2489" w:type="dxa"/>
            <w:tcBorders>
              <w:top w:val="single" w:sz="2" w:space="0" w:color="auto"/>
              <w:left w:val="single" w:sz="2" w:space="0" w:color="auto"/>
              <w:bottom w:val="single" w:sz="2" w:space="0" w:color="auto"/>
              <w:right w:val="single" w:sz="2" w:space="0" w:color="auto"/>
            </w:tcBorders>
          </w:tcPr>
          <w:p w14:paraId="51CC497A" w14:textId="77777777" w:rsidR="009F4766" w:rsidRPr="00DE12A3" w:rsidRDefault="009F4766" w:rsidP="00C917D6">
            <w:pPr>
              <w:pStyle w:val="NormalLeft"/>
            </w:pPr>
            <w:r w:rsidRPr="00DE12A3">
              <w:t>40</w:t>
            </w:r>
          </w:p>
        </w:tc>
        <w:tc>
          <w:tcPr>
            <w:tcW w:w="2551" w:type="dxa"/>
            <w:tcBorders>
              <w:top w:val="single" w:sz="2" w:space="0" w:color="auto"/>
              <w:left w:val="single" w:sz="2" w:space="0" w:color="auto"/>
              <w:bottom w:val="single" w:sz="2" w:space="0" w:color="auto"/>
              <w:right w:val="single" w:sz="2" w:space="0" w:color="auto"/>
            </w:tcBorders>
          </w:tcPr>
          <w:p w14:paraId="252BB672" w14:textId="77777777" w:rsidR="009F4766" w:rsidRPr="00DE12A3" w:rsidRDefault="009F4766" w:rsidP="00C917D6">
            <w:pPr>
              <w:pStyle w:val="NormalLeft"/>
            </w:pPr>
            <w:r w:rsidRPr="00DE12A3">
              <w:t>62</w:t>
            </w:r>
          </w:p>
        </w:tc>
      </w:tr>
      <w:tr w:rsidR="00DE12A3" w:rsidRPr="00DE12A3" w14:paraId="0DE322F4" w14:textId="77777777" w:rsidTr="009F4766">
        <w:tc>
          <w:tcPr>
            <w:tcW w:w="1182" w:type="dxa"/>
            <w:tcBorders>
              <w:top w:val="single" w:sz="2" w:space="0" w:color="auto"/>
              <w:left w:val="single" w:sz="2" w:space="0" w:color="auto"/>
              <w:bottom w:val="single" w:sz="2" w:space="0" w:color="auto"/>
              <w:right w:val="single" w:sz="2" w:space="0" w:color="auto"/>
            </w:tcBorders>
          </w:tcPr>
          <w:p w14:paraId="243772C3" w14:textId="77777777" w:rsidR="009F4766" w:rsidRPr="00DE12A3" w:rsidRDefault="009F4766" w:rsidP="00C917D6">
            <w:pPr>
              <w:pStyle w:val="NormalLeft"/>
            </w:pPr>
            <w:r w:rsidRPr="00DE12A3">
              <w:t>787</w:t>
            </w:r>
          </w:p>
        </w:tc>
        <w:tc>
          <w:tcPr>
            <w:tcW w:w="2489" w:type="dxa"/>
            <w:tcBorders>
              <w:top w:val="single" w:sz="2" w:space="0" w:color="auto"/>
              <w:left w:val="single" w:sz="2" w:space="0" w:color="auto"/>
              <w:bottom w:val="single" w:sz="2" w:space="0" w:color="auto"/>
              <w:right w:val="single" w:sz="2" w:space="0" w:color="auto"/>
            </w:tcBorders>
          </w:tcPr>
          <w:p w14:paraId="7E3A70C3" w14:textId="77777777" w:rsidR="009F4766" w:rsidRPr="00DE12A3" w:rsidRDefault="009F4766" w:rsidP="00C917D6">
            <w:pPr>
              <w:pStyle w:val="NormalLeft"/>
            </w:pPr>
            <w:r w:rsidRPr="00DE12A3">
              <w:t>44</w:t>
            </w:r>
          </w:p>
        </w:tc>
        <w:tc>
          <w:tcPr>
            <w:tcW w:w="2551" w:type="dxa"/>
            <w:tcBorders>
              <w:top w:val="single" w:sz="2" w:space="0" w:color="auto"/>
              <w:left w:val="single" w:sz="2" w:space="0" w:color="auto"/>
              <w:bottom w:val="single" w:sz="2" w:space="0" w:color="auto"/>
              <w:right w:val="single" w:sz="2" w:space="0" w:color="auto"/>
            </w:tcBorders>
          </w:tcPr>
          <w:p w14:paraId="2304E573" w14:textId="77777777" w:rsidR="009F4766" w:rsidRPr="00DE12A3" w:rsidRDefault="009F4766" w:rsidP="00C917D6">
            <w:pPr>
              <w:pStyle w:val="NormalLeft"/>
            </w:pPr>
            <w:r w:rsidRPr="00DE12A3">
              <w:t>73</w:t>
            </w:r>
          </w:p>
        </w:tc>
      </w:tr>
      <w:tr w:rsidR="00DE12A3" w:rsidRPr="00DE12A3" w14:paraId="07FA140D" w14:textId="77777777" w:rsidTr="009F4766">
        <w:tc>
          <w:tcPr>
            <w:tcW w:w="1182" w:type="dxa"/>
            <w:tcBorders>
              <w:top w:val="single" w:sz="2" w:space="0" w:color="auto"/>
              <w:left w:val="single" w:sz="2" w:space="0" w:color="auto"/>
              <w:bottom w:val="single" w:sz="2" w:space="0" w:color="auto"/>
              <w:right w:val="single" w:sz="2" w:space="0" w:color="auto"/>
            </w:tcBorders>
          </w:tcPr>
          <w:p w14:paraId="5DC0AAA1" w14:textId="77777777" w:rsidR="009F4766" w:rsidRPr="00DE12A3" w:rsidRDefault="009F4766" w:rsidP="00C917D6">
            <w:pPr>
              <w:pStyle w:val="NormalLeft"/>
            </w:pPr>
            <w:r w:rsidRPr="00DE12A3">
              <w:t>788</w:t>
            </w:r>
          </w:p>
        </w:tc>
        <w:tc>
          <w:tcPr>
            <w:tcW w:w="2489" w:type="dxa"/>
            <w:tcBorders>
              <w:top w:val="single" w:sz="2" w:space="0" w:color="auto"/>
              <w:left w:val="single" w:sz="2" w:space="0" w:color="auto"/>
              <w:bottom w:val="single" w:sz="2" w:space="0" w:color="auto"/>
              <w:right w:val="single" w:sz="2" w:space="0" w:color="auto"/>
            </w:tcBorders>
          </w:tcPr>
          <w:p w14:paraId="435EC0F9" w14:textId="77777777" w:rsidR="009F4766" w:rsidRPr="00DE12A3" w:rsidRDefault="009F4766" w:rsidP="00C917D6">
            <w:pPr>
              <w:pStyle w:val="NormalLeft"/>
            </w:pPr>
            <w:r w:rsidRPr="00DE12A3">
              <w:t>41</w:t>
            </w:r>
          </w:p>
        </w:tc>
        <w:tc>
          <w:tcPr>
            <w:tcW w:w="2551" w:type="dxa"/>
            <w:tcBorders>
              <w:top w:val="single" w:sz="2" w:space="0" w:color="auto"/>
              <w:left w:val="single" w:sz="2" w:space="0" w:color="auto"/>
              <w:bottom w:val="single" w:sz="2" w:space="0" w:color="auto"/>
              <w:right w:val="single" w:sz="2" w:space="0" w:color="auto"/>
            </w:tcBorders>
          </w:tcPr>
          <w:p w14:paraId="251DEC2C" w14:textId="77777777" w:rsidR="009F4766" w:rsidRPr="00DE12A3" w:rsidRDefault="009F4766" w:rsidP="00C917D6">
            <w:pPr>
              <w:pStyle w:val="NormalLeft"/>
            </w:pPr>
            <w:r w:rsidRPr="00DE12A3">
              <w:t>68</w:t>
            </w:r>
          </w:p>
        </w:tc>
      </w:tr>
      <w:tr w:rsidR="00DE12A3" w:rsidRPr="00DE12A3" w14:paraId="4FC23606" w14:textId="77777777" w:rsidTr="009F4766">
        <w:tc>
          <w:tcPr>
            <w:tcW w:w="1182" w:type="dxa"/>
            <w:tcBorders>
              <w:top w:val="single" w:sz="2" w:space="0" w:color="auto"/>
              <w:left w:val="single" w:sz="2" w:space="0" w:color="auto"/>
              <w:bottom w:val="single" w:sz="2" w:space="0" w:color="auto"/>
              <w:right w:val="single" w:sz="2" w:space="0" w:color="auto"/>
            </w:tcBorders>
          </w:tcPr>
          <w:p w14:paraId="1FDFF5D1" w14:textId="77777777" w:rsidR="009F4766" w:rsidRPr="00DE12A3" w:rsidRDefault="009F4766" w:rsidP="00C917D6">
            <w:pPr>
              <w:pStyle w:val="NormalLeft"/>
            </w:pPr>
            <w:r w:rsidRPr="00DE12A3">
              <w:t>789</w:t>
            </w:r>
          </w:p>
        </w:tc>
        <w:tc>
          <w:tcPr>
            <w:tcW w:w="2489" w:type="dxa"/>
            <w:tcBorders>
              <w:top w:val="single" w:sz="2" w:space="0" w:color="auto"/>
              <w:left w:val="single" w:sz="2" w:space="0" w:color="auto"/>
              <w:bottom w:val="single" w:sz="2" w:space="0" w:color="auto"/>
              <w:right w:val="single" w:sz="2" w:space="0" w:color="auto"/>
            </w:tcBorders>
          </w:tcPr>
          <w:p w14:paraId="6DE60427" w14:textId="77777777" w:rsidR="009F4766" w:rsidRPr="00DE12A3" w:rsidRDefault="009F4766" w:rsidP="00C917D6">
            <w:pPr>
              <w:pStyle w:val="NormalLeft"/>
            </w:pPr>
            <w:r w:rsidRPr="00DE12A3">
              <w:t>35</w:t>
            </w:r>
          </w:p>
        </w:tc>
        <w:tc>
          <w:tcPr>
            <w:tcW w:w="2551" w:type="dxa"/>
            <w:tcBorders>
              <w:top w:val="single" w:sz="2" w:space="0" w:color="auto"/>
              <w:left w:val="single" w:sz="2" w:space="0" w:color="auto"/>
              <w:bottom w:val="single" w:sz="2" w:space="0" w:color="auto"/>
              <w:right w:val="single" w:sz="2" w:space="0" w:color="auto"/>
            </w:tcBorders>
          </w:tcPr>
          <w:p w14:paraId="2C3A32F9" w14:textId="77777777" w:rsidR="009F4766" w:rsidRPr="00DE12A3" w:rsidRDefault="009F4766" w:rsidP="00C917D6">
            <w:pPr>
              <w:pStyle w:val="NormalLeft"/>
            </w:pPr>
            <w:r w:rsidRPr="00DE12A3">
              <w:t>48</w:t>
            </w:r>
          </w:p>
        </w:tc>
      </w:tr>
      <w:tr w:rsidR="00DE12A3" w:rsidRPr="00DE12A3" w14:paraId="4791D3AC" w14:textId="77777777" w:rsidTr="009F4766">
        <w:tc>
          <w:tcPr>
            <w:tcW w:w="1182" w:type="dxa"/>
            <w:tcBorders>
              <w:top w:val="single" w:sz="2" w:space="0" w:color="auto"/>
              <w:left w:val="single" w:sz="2" w:space="0" w:color="auto"/>
              <w:bottom w:val="single" w:sz="2" w:space="0" w:color="auto"/>
              <w:right w:val="single" w:sz="2" w:space="0" w:color="auto"/>
            </w:tcBorders>
          </w:tcPr>
          <w:p w14:paraId="689F6D87" w14:textId="77777777" w:rsidR="009F4766" w:rsidRPr="00DE12A3" w:rsidRDefault="009F4766" w:rsidP="00C917D6">
            <w:pPr>
              <w:pStyle w:val="NormalLeft"/>
            </w:pPr>
            <w:r w:rsidRPr="00DE12A3">
              <w:t>790</w:t>
            </w:r>
          </w:p>
        </w:tc>
        <w:tc>
          <w:tcPr>
            <w:tcW w:w="2489" w:type="dxa"/>
            <w:tcBorders>
              <w:top w:val="single" w:sz="2" w:space="0" w:color="auto"/>
              <w:left w:val="single" w:sz="2" w:space="0" w:color="auto"/>
              <w:bottom w:val="single" w:sz="2" w:space="0" w:color="auto"/>
              <w:right w:val="single" w:sz="2" w:space="0" w:color="auto"/>
            </w:tcBorders>
          </w:tcPr>
          <w:p w14:paraId="4739BCB8" w14:textId="77777777" w:rsidR="009F4766" w:rsidRPr="00DE12A3" w:rsidRDefault="009F4766" w:rsidP="00C917D6">
            <w:pPr>
              <w:pStyle w:val="NormalLeft"/>
            </w:pPr>
            <w:r w:rsidRPr="00DE12A3">
              <w:t>29</w:t>
            </w:r>
          </w:p>
        </w:tc>
        <w:tc>
          <w:tcPr>
            <w:tcW w:w="2551" w:type="dxa"/>
            <w:tcBorders>
              <w:top w:val="single" w:sz="2" w:space="0" w:color="auto"/>
              <w:left w:val="single" w:sz="2" w:space="0" w:color="auto"/>
              <w:bottom w:val="single" w:sz="2" w:space="0" w:color="auto"/>
              <w:right w:val="single" w:sz="2" w:space="0" w:color="auto"/>
            </w:tcBorders>
          </w:tcPr>
          <w:p w14:paraId="0D09AF2C" w14:textId="77777777" w:rsidR="009F4766" w:rsidRPr="00DE12A3" w:rsidRDefault="009F4766" w:rsidP="00C917D6">
            <w:pPr>
              <w:pStyle w:val="NormalLeft"/>
            </w:pPr>
            <w:r w:rsidRPr="00DE12A3">
              <w:t>54</w:t>
            </w:r>
          </w:p>
        </w:tc>
      </w:tr>
      <w:tr w:rsidR="00DE12A3" w:rsidRPr="00DE12A3" w14:paraId="1E3341E7" w14:textId="77777777" w:rsidTr="009F4766">
        <w:tc>
          <w:tcPr>
            <w:tcW w:w="1182" w:type="dxa"/>
            <w:tcBorders>
              <w:top w:val="single" w:sz="2" w:space="0" w:color="auto"/>
              <w:left w:val="single" w:sz="2" w:space="0" w:color="auto"/>
              <w:bottom w:val="single" w:sz="2" w:space="0" w:color="auto"/>
              <w:right w:val="single" w:sz="2" w:space="0" w:color="auto"/>
            </w:tcBorders>
          </w:tcPr>
          <w:p w14:paraId="4072392A" w14:textId="77777777" w:rsidR="009F4766" w:rsidRPr="00DE12A3" w:rsidRDefault="009F4766" w:rsidP="00C917D6">
            <w:pPr>
              <w:pStyle w:val="NormalLeft"/>
            </w:pPr>
            <w:r w:rsidRPr="00DE12A3">
              <w:t>791</w:t>
            </w:r>
          </w:p>
        </w:tc>
        <w:tc>
          <w:tcPr>
            <w:tcW w:w="2489" w:type="dxa"/>
            <w:tcBorders>
              <w:top w:val="single" w:sz="2" w:space="0" w:color="auto"/>
              <w:left w:val="single" w:sz="2" w:space="0" w:color="auto"/>
              <w:bottom w:val="single" w:sz="2" w:space="0" w:color="auto"/>
              <w:right w:val="single" w:sz="2" w:space="0" w:color="auto"/>
            </w:tcBorders>
          </w:tcPr>
          <w:p w14:paraId="7907C543" w14:textId="77777777" w:rsidR="009F4766" w:rsidRPr="00DE12A3" w:rsidRDefault="009F4766" w:rsidP="00C917D6">
            <w:pPr>
              <w:pStyle w:val="NormalLeft"/>
            </w:pPr>
            <w:r w:rsidRPr="00DE12A3">
              <w:t>22</w:t>
            </w:r>
          </w:p>
        </w:tc>
        <w:tc>
          <w:tcPr>
            <w:tcW w:w="2551" w:type="dxa"/>
            <w:tcBorders>
              <w:top w:val="single" w:sz="2" w:space="0" w:color="auto"/>
              <w:left w:val="single" w:sz="2" w:space="0" w:color="auto"/>
              <w:bottom w:val="single" w:sz="2" w:space="0" w:color="auto"/>
              <w:right w:val="single" w:sz="2" w:space="0" w:color="auto"/>
            </w:tcBorders>
          </w:tcPr>
          <w:p w14:paraId="3A27A6B5" w14:textId="77777777" w:rsidR="009F4766" w:rsidRPr="00DE12A3" w:rsidRDefault="009F4766" w:rsidP="00C917D6">
            <w:pPr>
              <w:pStyle w:val="NormalLeft"/>
            </w:pPr>
            <w:r w:rsidRPr="00DE12A3">
              <w:t>69</w:t>
            </w:r>
          </w:p>
        </w:tc>
      </w:tr>
      <w:tr w:rsidR="00DE12A3" w:rsidRPr="00DE12A3" w14:paraId="713FF9BF" w14:textId="77777777" w:rsidTr="009F4766">
        <w:tc>
          <w:tcPr>
            <w:tcW w:w="1182" w:type="dxa"/>
            <w:tcBorders>
              <w:top w:val="single" w:sz="2" w:space="0" w:color="auto"/>
              <w:left w:val="single" w:sz="2" w:space="0" w:color="auto"/>
              <w:bottom w:val="single" w:sz="2" w:space="0" w:color="auto"/>
              <w:right w:val="single" w:sz="2" w:space="0" w:color="auto"/>
            </w:tcBorders>
          </w:tcPr>
          <w:p w14:paraId="2F73EDB8" w14:textId="77777777" w:rsidR="009F4766" w:rsidRPr="00DE12A3" w:rsidRDefault="009F4766" w:rsidP="00C917D6">
            <w:pPr>
              <w:pStyle w:val="NormalLeft"/>
            </w:pPr>
            <w:r w:rsidRPr="00DE12A3">
              <w:t>792</w:t>
            </w:r>
          </w:p>
        </w:tc>
        <w:tc>
          <w:tcPr>
            <w:tcW w:w="2489" w:type="dxa"/>
            <w:tcBorders>
              <w:top w:val="single" w:sz="2" w:space="0" w:color="auto"/>
              <w:left w:val="single" w:sz="2" w:space="0" w:color="auto"/>
              <w:bottom w:val="single" w:sz="2" w:space="0" w:color="auto"/>
              <w:right w:val="single" w:sz="2" w:space="0" w:color="auto"/>
            </w:tcBorders>
          </w:tcPr>
          <w:p w14:paraId="0D738B88" w14:textId="77777777" w:rsidR="009F4766" w:rsidRPr="00DE12A3" w:rsidRDefault="009F4766" w:rsidP="00C917D6">
            <w:pPr>
              <w:pStyle w:val="NormalLeft"/>
            </w:pPr>
            <w:r w:rsidRPr="00DE12A3">
              <w:t>46</w:t>
            </w:r>
          </w:p>
        </w:tc>
        <w:tc>
          <w:tcPr>
            <w:tcW w:w="2551" w:type="dxa"/>
            <w:tcBorders>
              <w:top w:val="single" w:sz="2" w:space="0" w:color="auto"/>
              <w:left w:val="single" w:sz="2" w:space="0" w:color="auto"/>
              <w:bottom w:val="single" w:sz="2" w:space="0" w:color="auto"/>
              <w:right w:val="single" w:sz="2" w:space="0" w:color="auto"/>
            </w:tcBorders>
          </w:tcPr>
          <w:p w14:paraId="24BC9229" w14:textId="77777777" w:rsidR="009F4766" w:rsidRPr="00DE12A3" w:rsidRDefault="009F4766" w:rsidP="00C917D6">
            <w:pPr>
              <w:pStyle w:val="NormalLeft"/>
            </w:pPr>
            <w:r w:rsidRPr="00DE12A3">
              <w:t>53</w:t>
            </w:r>
          </w:p>
        </w:tc>
      </w:tr>
      <w:tr w:rsidR="00DE12A3" w:rsidRPr="00DE12A3" w14:paraId="1D83A62B" w14:textId="77777777" w:rsidTr="009F4766">
        <w:tc>
          <w:tcPr>
            <w:tcW w:w="1182" w:type="dxa"/>
            <w:tcBorders>
              <w:top w:val="single" w:sz="2" w:space="0" w:color="auto"/>
              <w:left w:val="single" w:sz="2" w:space="0" w:color="auto"/>
              <w:bottom w:val="single" w:sz="2" w:space="0" w:color="auto"/>
              <w:right w:val="single" w:sz="2" w:space="0" w:color="auto"/>
            </w:tcBorders>
          </w:tcPr>
          <w:p w14:paraId="3E5CFFD6" w14:textId="77777777" w:rsidR="009F4766" w:rsidRPr="00DE12A3" w:rsidRDefault="009F4766" w:rsidP="00C917D6">
            <w:pPr>
              <w:pStyle w:val="NormalLeft"/>
            </w:pPr>
            <w:r w:rsidRPr="00DE12A3">
              <w:t>793</w:t>
            </w:r>
          </w:p>
        </w:tc>
        <w:tc>
          <w:tcPr>
            <w:tcW w:w="2489" w:type="dxa"/>
            <w:tcBorders>
              <w:top w:val="single" w:sz="2" w:space="0" w:color="auto"/>
              <w:left w:val="single" w:sz="2" w:space="0" w:color="auto"/>
              <w:bottom w:val="single" w:sz="2" w:space="0" w:color="auto"/>
              <w:right w:val="single" w:sz="2" w:space="0" w:color="auto"/>
            </w:tcBorders>
          </w:tcPr>
          <w:p w14:paraId="10CF7A81" w14:textId="77777777" w:rsidR="009F4766" w:rsidRPr="00DE12A3" w:rsidRDefault="009F4766" w:rsidP="00C917D6">
            <w:pPr>
              <w:pStyle w:val="NormalLeft"/>
            </w:pPr>
            <w:r w:rsidRPr="00DE12A3">
              <w:t>59</w:t>
            </w:r>
          </w:p>
        </w:tc>
        <w:tc>
          <w:tcPr>
            <w:tcW w:w="2551" w:type="dxa"/>
            <w:tcBorders>
              <w:top w:val="single" w:sz="2" w:space="0" w:color="auto"/>
              <w:left w:val="single" w:sz="2" w:space="0" w:color="auto"/>
              <w:bottom w:val="single" w:sz="2" w:space="0" w:color="auto"/>
              <w:right w:val="single" w:sz="2" w:space="0" w:color="auto"/>
            </w:tcBorders>
          </w:tcPr>
          <w:p w14:paraId="029B5E77" w14:textId="77777777" w:rsidR="009F4766" w:rsidRPr="00DE12A3" w:rsidRDefault="009F4766" w:rsidP="00C917D6">
            <w:pPr>
              <w:pStyle w:val="NormalLeft"/>
            </w:pPr>
            <w:r w:rsidRPr="00DE12A3">
              <w:t>71</w:t>
            </w:r>
          </w:p>
        </w:tc>
      </w:tr>
      <w:tr w:rsidR="00DE12A3" w:rsidRPr="00DE12A3" w14:paraId="2811D7D7" w14:textId="77777777" w:rsidTr="009F4766">
        <w:tc>
          <w:tcPr>
            <w:tcW w:w="1182" w:type="dxa"/>
            <w:tcBorders>
              <w:top w:val="single" w:sz="2" w:space="0" w:color="auto"/>
              <w:left w:val="single" w:sz="2" w:space="0" w:color="auto"/>
              <w:bottom w:val="single" w:sz="2" w:space="0" w:color="auto"/>
              <w:right w:val="single" w:sz="2" w:space="0" w:color="auto"/>
            </w:tcBorders>
          </w:tcPr>
          <w:p w14:paraId="5E8A762B" w14:textId="77777777" w:rsidR="009F4766" w:rsidRPr="00DE12A3" w:rsidRDefault="009F4766" w:rsidP="00C917D6">
            <w:pPr>
              <w:pStyle w:val="NormalLeft"/>
            </w:pPr>
            <w:r w:rsidRPr="00DE12A3">
              <w:t>794</w:t>
            </w:r>
          </w:p>
        </w:tc>
        <w:tc>
          <w:tcPr>
            <w:tcW w:w="2489" w:type="dxa"/>
            <w:tcBorders>
              <w:top w:val="single" w:sz="2" w:space="0" w:color="auto"/>
              <w:left w:val="single" w:sz="2" w:space="0" w:color="auto"/>
              <w:bottom w:val="single" w:sz="2" w:space="0" w:color="auto"/>
              <w:right w:val="single" w:sz="2" w:space="0" w:color="auto"/>
            </w:tcBorders>
          </w:tcPr>
          <w:p w14:paraId="00E44975" w14:textId="77777777" w:rsidR="009F4766" w:rsidRPr="00DE12A3" w:rsidRDefault="009F4766" w:rsidP="00C917D6">
            <w:pPr>
              <w:pStyle w:val="NormalLeft"/>
            </w:pPr>
            <w:r w:rsidRPr="00DE12A3">
              <w:t>69</w:t>
            </w:r>
          </w:p>
        </w:tc>
        <w:tc>
          <w:tcPr>
            <w:tcW w:w="2551" w:type="dxa"/>
            <w:tcBorders>
              <w:top w:val="single" w:sz="2" w:space="0" w:color="auto"/>
              <w:left w:val="single" w:sz="2" w:space="0" w:color="auto"/>
              <w:bottom w:val="single" w:sz="2" w:space="0" w:color="auto"/>
              <w:right w:val="single" w:sz="2" w:space="0" w:color="auto"/>
            </w:tcBorders>
          </w:tcPr>
          <w:p w14:paraId="50E2CE51" w14:textId="77777777" w:rsidR="009F4766" w:rsidRPr="00DE12A3" w:rsidRDefault="009F4766" w:rsidP="00C917D6">
            <w:pPr>
              <w:pStyle w:val="NormalLeft"/>
            </w:pPr>
            <w:r w:rsidRPr="00DE12A3">
              <w:t>68</w:t>
            </w:r>
          </w:p>
        </w:tc>
      </w:tr>
      <w:tr w:rsidR="00DE12A3" w:rsidRPr="00DE12A3" w14:paraId="7A5165BE" w14:textId="77777777" w:rsidTr="009F4766">
        <w:tc>
          <w:tcPr>
            <w:tcW w:w="1182" w:type="dxa"/>
            <w:tcBorders>
              <w:top w:val="single" w:sz="2" w:space="0" w:color="auto"/>
              <w:left w:val="single" w:sz="2" w:space="0" w:color="auto"/>
              <w:bottom w:val="single" w:sz="2" w:space="0" w:color="auto"/>
              <w:right w:val="single" w:sz="2" w:space="0" w:color="auto"/>
            </w:tcBorders>
          </w:tcPr>
          <w:p w14:paraId="4F920CF3" w14:textId="77777777" w:rsidR="009F4766" w:rsidRPr="00DE12A3" w:rsidRDefault="009F4766" w:rsidP="00C917D6">
            <w:pPr>
              <w:pStyle w:val="NormalLeft"/>
            </w:pPr>
            <w:r w:rsidRPr="00DE12A3">
              <w:lastRenderedPageBreak/>
              <w:t>795</w:t>
            </w:r>
          </w:p>
        </w:tc>
        <w:tc>
          <w:tcPr>
            <w:tcW w:w="2489" w:type="dxa"/>
            <w:tcBorders>
              <w:top w:val="single" w:sz="2" w:space="0" w:color="auto"/>
              <w:left w:val="single" w:sz="2" w:space="0" w:color="auto"/>
              <w:bottom w:val="single" w:sz="2" w:space="0" w:color="auto"/>
              <w:right w:val="single" w:sz="2" w:space="0" w:color="auto"/>
            </w:tcBorders>
          </w:tcPr>
          <w:p w14:paraId="3107A8CF" w14:textId="77777777" w:rsidR="009F4766" w:rsidRPr="00DE12A3" w:rsidRDefault="009F4766" w:rsidP="00C917D6">
            <w:pPr>
              <w:pStyle w:val="NormalLeft"/>
            </w:pPr>
            <w:r w:rsidRPr="00DE12A3">
              <w:t>75</w:t>
            </w:r>
          </w:p>
        </w:tc>
        <w:tc>
          <w:tcPr>
            <w:tcW w:w="2551" w:type="dxa"/>
            <w:tcBorders>
              <w:top w:val="single" w:sz="2" w:space="0" w:color="auto"/>
              <w:left w:val="single" w:sz="2" w:space="0" w:color="auto"/>
              <w:bottom w:val="single" w:sz="2" w:space="0" w:color="auto"/>
              <w:right w:val="single" w:sz="2" w:space="0" w:color="auto"/>
            </w:tcBorders>
          </w:tcPr>
          <w:p w14:paraId="0DE3E192" w14:textId="77777777" w:rsidR="009F4766" w:rsidRPr="00DE12A3" w:rsidRDefault="009F4766" w:rsidP="00C917D6">
            <w:pPr>
              <w:pStyle w:val="NormalLeft"/>
            </w:pPr>
            <w:r w:rsidRPr="00DE12A3">
              <w:t>47</w:t>
            </w:r>
          </w:p>
        </w:tc>
      </w:tr>
      <w:tr w:rsidR="00DE12A3" w:rsidRPr="00DE12A3" w14:paraId="04A71D19" w14:textId="77777777" w:rsidTr="009F4766">
        <w:tc>
          <w:tcPr>
            <w:tcW w:w="1182" w:type="dxa"/>
            <w:tcBorders>
              <w:top w:val="single" w:sz="2" w:space="0" w:color="auto"/>
              <w:left w:val="single" w:sz="2" w:space="0" w:color="auto"/>
              <w:bottom w:val="single" w:sz="2" w:space="0" w:color="auto"/>
              <w:right w:val="single" w:sz="2" w:space="0" w:color="auto"/>
            </w:tcBorders>
          </w:tcPr>
          <w:p w14:paraId="1FB923B6" w14:textId="77777777" w:rsidR="009F4766" w:rsidRPr="00DE12A3" w:rsidRDefault="009F4766" w:rsidP="00C917D6">
            <w:pPr>
              <w:pStyle w:val="NormalLeft"/>
            </w:pPr>
            <w:r w:rsidRPr="00DE12A3">
              <w:t>796</w:t>
            </w:r>
          </w:p>
        </w:tc>
        <w:tc>
          <w:tcPr>
            <w:tcW w:w="2489" w:type="dxa"/>
            <w:tcBorders>
              <w:top w:val="single" w:sz="2" w:space="0" w:color="auto"/>
              <w:left w:val="single" w:sz="2" w:space="0" w:color="auto"/>
              <w:bottom w:val="single" w:sz="2" w:space="0" w:color="auto"/>
              <w:right w:val="single" w:sz="2" w:space="0" w:color="auto"/>
            </w:tcBorders>
          </w:tcPr>
          <w:p w14:paraId="1C9BAFFF" w14:textId="77777777" w:rsidR="009F4766" w:rsidRPr="00DE12A3" w:rsidRDefault="009F4766" w:rsidP="00C917D6">
            <w:pPr>
              <w:pStyle w:val="NormalLeft"/>
            </w:pPr>
            <w:r w:rsidRPr="00DE12A3">
              <w:t>62</w:t>
            </w:r>
          </w:p>
        </w:tc>
        <w:tc>
          <w:tcPr>
            <w:tcW w:w="2551" w:type="dxa"/>
            <w:tcBorders>
              <w:top w:val="single" w:sz="2" w:space="0" w:color="auto"/>
              <w:left w:val="single" w:sz="2" w:space="0" w:color="auto"/>
              <w:bottom w:val="single" w:sz="2" w:space="0" w:color="auto"/>
              <w:right w:val="single" w:sz="2" w:space="0" w:color="auto"/>
            </w:tcBorders>
          </w:tcPr>
          <w:p w14:paraId="1BBB89EE" w14:textId="77777777" w:rsidR="009F4766" w:rsidRPr="00DE12A3" w:rsidRDefault="009F4766" w:rsidP="00C917D6">
            <w:pPr>
              <w:pStyle w:val="NormalLeft"/>
            </w:pPr>
            <w:r w:rsidRPr="00DE12A3">
              <w:t>32</w:t>
            </w:r>
          </w:p>
        </w:tc>
      </w:tr>
      <w:tr w:rsidR="00DE12A3" w:rsidRPr="00DE12A3" w14:paraId="7CD4C5DA" w14:textId="77777777" w:rsidTr="009F4766">
        <w:tc>
          <w:tcPr>
            <w:tcW w:w="1182" w:type="dxa"/>
            <w:tcBorders>
              <w:top w:val="single" w:sz="2" w:space="0" w:color="auto"/>
              <w:left w:val="single" w:sz="2" w:space="0" w:color="auto"/>
              <w:bottom w:val="single" w:sz="2" w:space="0" w:color="auto"/>
              <w:right w:val="single" w:sz="2" w:space="0" w:color="auto"/>
            </w:tcBorders>
          </w:tcPr>
          <w:p w14:paraId="1A13ECF3" w14:textId="77777777" w:rsidR="009F4766" w:rsidRPr="00DE12A3" w:rsidRDefault="009F4766" w:rsidP="00C917D6">
            <w:pPr>
              <w:pStyle w:val="NormalLeft"/>
            </w:pPr>
            <w:r w:rsidRPr="00DE12A3">
              <w:t>797</w:t>
            </w:r>
          </w:p>
        </w:tc>
        <w:tc>
          <w:tcPr>
            <w:tcW w:w="2489" w:type="dxa"/>
            <w:tcBorders>
              <w:top w:val="single" w:sz="2" w:space="0" w:color="auto"/>
              <w:left w:val="single" w:sz="2" w:space="0" w:color="auto"/>
              <w:bottom w:val="single" w:sz="2" w:space="0" w:color="auto"/>
              <w:right w:val="single" w:sz="2" w:space="0" w:color="auto"/>
            </w:tcBorders>
          </w:tcPr>
          <w:p w14:paraId="0975E7D8" w14:textId="77777777" w:rsidR="009F4766" w:rsidRPr="00DE12A3" w:rsidRDefault="009F4766" w:rsidP="00C917D6">
            <w:pPr>
              <w:pStyle w:val="NormalLeft"/>
            </w:pPr>
            <w:r w:rsidRPr="00DE12A3">
              <w:t>48</w:t>
            </w:r>
          </w:p>
        </w:tc>
        <w:tc>
          <w:tcPr>
            <w:tcW w:w="2551" w:type="dxa"/>
            <w:tcBorders>
              <w:top w:val="single" w:sz="2" w:space="0" w:color="auto"/>
              <w:left w:val="single" w:sz="2" w:space="0" w:color="auto"/>
              <w:bottom w:val="single" w:sz="2" w:space="0" w:color="auto"/>
              <w:right w:val="single" w:sz="2" w:space="0" w:color="auto"/>
            </w:tcBorders>
          </w:tcPr>
          <w:p w14:paraId="0B4BFA7A" w14:textId="77777777" w:rsidR="009F4766" w:rsidRPr="00DE12A3" w:rsidRDefault="009F4766" w:rsidP="00C917D6">
            <w:pPr>
              <w:pStyle w:val="NormalLeft"/>
            </w:pPr>
            <w:r w:rsidRPr="00DE12A3">
              <w:t>35</w:t>
            </w:r>
          </w:p>
        </w:tc>
      </w:tr>
      <w:tr w:rsidR="00DE12A3" w:rsidRPr="00DE12A3" w14:paraId="29C43922" w14:textId="77777777" w:rsidTr="009F4766">
        <w:tc>
          <w:tcPr>
            <w:tcW w:w="1182" w:type="dxa"/>
            <w:tcBorders>
              <w:top w:val="single" w:sz="2" w:space="0" w:color="auto"/>
              <w:left w:val="single" w:sz="2" w:space="0" w:color="auto"/>
              <w:bottom w:val="single" w:sz="2" w:space="0" w:color="auto"/>
              <w:right w:val="single" w:sz="2" w:space="0" w:color="auto"/>
            </w:tcBorders>
          </w:tcPr>
          <w:p w14:paraId="09B72A7E" w14:textId="77777777" w:rsidR="009F4766" w:rsidRPr="00DE12A3" w:rsidRDefault="009F4766" w:rsidP="00C917D6">
            <w:pPr>
              <w:pStyle w:val="NormalLeft"/>
            </w:pPr>
            <w:r w:rsidRPr="00DE12A3">
              <w:t>798</w:t>
            </w:r>
          </w:p>
        </w:tc>
        <w:tc>
          <w:tcPr>
            <w:tcW w:w="2489" w:type="dxa"/>
            <w:tcBorders>
              <w:top w:val="single" w:sz="2" w:space="0" w:color="auto"/>
              <w:left w:val="single" w:sz="2" w:space="0" w:color="auto"/>
              <w:bottom w:val="single" w:sz="2" w:space="0" w:color="auto"/>
              <w:right w:val="single" w:sz="2" w:space="0" w:color="auto"/>
            </w:tcBorders>
          </w:tcPr>
          <w:p w14:paraId="52E5E5A2" w14:textId="77777777" w:rsidR="009F4766" w:rsidRPr="00DE12A3" w:rsidRDefault="009F4766" w:rsidP="00C917D6">
            <w:pPr>
              <w:pStyle w:val="NormalLeft"/>
            </w:pPr>
            <w:r w:rsidRPr="00DE12A3">
              <w:t>27</w:t>
            </w:r>
          </w:p>
        </w:tc>
        <w:tc>
          <w:tcPr>
            <w:tcW w:w="2551" w:type="dxa"/>
            <w:tcBorders>
              <w:top w:val="single" w:sz="2" w:space="0" w:color="auto"/>
              <w:left w:val="single" w:sz="2" w:space="0" w:color="auto"/>
              <w:bottom w:val="single" w:sz="2" w:space="0" w:color="auto"/>
              <w:right w:val="single" w:sz="2" w:space="0" w:color="auto"/>
            </w:tcBorders>
          </w:tcPr>
          <w:p w14:paraId="58A76B17" w14:textId="77777777" w:rsidR="009F4766" w:rsidRPr="00DE12A3" w:rsidRDefault="009F4766" w:rsidP="00C917D6">
            <w:pPr>
              <w:pStyle w:val="NormalLeft"/>
            </w:pPr>
            <w:r w:rsidRPr="00DE12A3">
              <w:t>59</w:t>
            </w:r>
          </w:p>
        </w:tc>
      </w:tr>
      <w:tr w:rsidR="00DE12A3" w:rsidRPr="00DE12A3" w14:paraId="26F92B27" w14:textId="77777777" w:rsidTr="009F4766">
        <w:tc>
          <w:tcPr>
            <w:tcW w:w="1182" w:type="dxa"/>
            <w:tcBorders>
              <w:top w:val="single" w:sz="2" w:space="0" w:color="auto"/>
              <w:left w:val="single" w:sz="2" w:space="0" w:color="auto"/>
              <w:bottom w:val="single" w:sz="2" w:space="0" w:color="auto"/>
              <w:right w:val="single" w:sz="2" w:space="0" w:color="auto"/>
            </w:tcBorders>
          </w:tcPr>
          <w:p w14:paraId="67D096C7" w14:textId="77777777" w:rsidR="009F4766" w:rsidRPr="00DE12A3" w:rsidRDefault="009F4766" w:rsidP="00C917D6">
            <w:pPr>
              <w:pStyle w:val="NormalLeft"/>
            </w:pPr>
            <w:r w:rsidRPr="00DE12A3">
              <w:t>799</w:t>
            </w:r>
          </w:p>
        </w:tc>
        <w:tc>
          <w:tcPr>
            <w:tcW w:w="2489" w:type="dxa"/>
            <w:tcBorders>
              <w:top w:val="single" w:sz="2" w:space="0" w:color="auto"/>
              <w:left w:val="single" w:sz="2" w:space="0" w:color="auto"/>
              <w:bottom w:val="single" w:sz="2" w:space="0" w:color="auto"/>
              <w:right w:val="single" w:sz="2" w:space="0" w:color="auto"/>
            </w:tcBorders>
          </w:tcPr>
          <w:p w14:paraId="483550CB" w14:textId="77777777" w:rsidR="009F4766" w:rsidRPr="00DE12A3" w:rsidRDefault="009F4766" w:rsidP="00C917D6">
            <w:pPr>
              <w:pStyle w:val="NormalLeft"/>
            </w:pPr>
            <w:r w:rsidRPr="00DE12A3">
              <w:t>13</w:t>
            </w:r>
          </w:p>
        </w:tc>
        <w:tc>
          <w:tcPr>
            <w:tcW w:w="2551" w:type="dxa"/>
            <w:tcBorders>
              <w:top w:val="single" w:sz="2" w:space="0" w:color="auto"/>
              <w:left w:val="single" w:sz="2" w:space="0" w:color="auto"/>
              <w:bottom w:val="single" w:sz="2" w:space="0" w:color="auto"/>
              <w:right w:val="single" w:sz="2" w:space="0" w:color="auto"/>
            </w:tcBorders>
          </w:tcPr>
          <w:p w14:paraId="4069694B" w14:textId="77777777" w:rsidR="009F4766" w:rsidRPr="00DE12A3" w:rsidRDefault="009F4766" w:rsidP="00C917D6">
            <w:pPr>
              <w:pStyle w:val="NormalLeft"/>
            </w:pPr>
            <w:r w:rsidRPr="00DE12A3">
              <w:t>58</w:t>
            </w:r>
          </w:p>
        </w:tc>
      </w:tr>
      <w:tr w:rsidR="00DE12A3" w:rsidRPr="00DE12A3" w14:paraId="7CBD1543" w14:textId="77777777" w:rsidTr="009F4766">
        <w:tc>
          <w:tcPr>
            <w:tcW w:w="1182" w:type="dxa"/>
            <w:tcBorders>
              <w:top w:val="single" w:sz="2" w:space="0" w:color="auto"/>
              <w:left w:val="single" w:sz="2" w:space="0" w:color="auto"/>
              <w:bottom w:val="single" w:sz="2" w:space="0" w:color="auto"/>
              <w:right w:val="single" w:sz="2" w:space="0" w:color="auto"/>
            </w:tcBorders>
          </w:tcPr>
          <w:p w14:paraId="3FF946E4" w14:textId="77777777" w:rsidR="009F4766" w:rsidRPr="00DE12A3" w:rsidRDefault="009F4766" w:rsidP="00C917D6">
            <w:pPr>
              <w:pStyle w:val="NormalLeft"/>
            </w:pPr>
            <w:r w:rsidRPr="00DE12A3">
              <w:t>800</w:t>
            </w:r>
          </w:p>
        </w:tc>
        <w:tc>
          <w:tcPr>
            <w:tcW w:w="2489" w:type="dxa"/>
            <w:tcBorders>
              <w:top w:val="single" w:sz="2" w:space="0" w:color="auto"/>
              <w:left w:val="single" w:sz="2" w:space="0" w:color="auto"/>
              <w:bottom w:val="single" w:sz="2" w:space="0" w:color="auto"/>
              <w:right w:val="single" w:sz="2" w:space="0" w:color="auto"/>
            </w:tcBorders>
          </w:tcPr>
          <w:p w14:paraId="59217CDB" w14:textId="77777777" w:rsidR="009F4766" w:rsidRPr="00DE12A3" w:rsidRDefault="009F4766" w:rsidP="00C917D6">
            <w:pPr>
              <w:pStyle w:val="NormalLeft"/>
            </w:pPr>
            <w:r w:rsidRPr="00DE12A3">
              <w:t>14</w:t>
            </w:r>
          </w:p>
        </w:tc>
        <w:tc>
          <w:tcPr>
            <w:tcW w:w="2551" w:type="dxa"/>
            <w:tcBorders>
              <w:top w:val="single" w:sz="2" w:space="0" w:color="auto"/>
              <w:left w:val="single" w:sz="2" w:space="0" w:color="auto"/>
              <w:bottom w:val="single" w:sz="2" w:space="0" w:color="auto"/>
              <w:right w:val="single" w:sz="2" w:space="0" w:color="auto"/>
            </w:tcBorders>
          </w:tcPr>
          <w:p w14:paraId="74BFCA34" w14:textId="77777777" w:rsidR="009F4766" w:rsidRPr="00DE12A3" w:rsidRDefault="009F4766" w:rsidP="00C917D6">
            <w:pPr>
              <w:pStyle w:val="NormalLeft"/>
            </w:pPr>
            <w:r w:rsidRPr="00DE12A3">
              <w:t>54</w:t>
            </w:r>
          </w:p>
        </w:tc>
      </w:tr>
      <w:tr w:rsidR="00DE12A3" w:rsidRPr="00DE12A3" w14:paraId="38B4D9EA" w14:textId="77777777" w:rsidTr="009F4766">
        <w:tc>
          <w:tcPr>
            <w:tcW w:w="1182" w:type="dxa"/>
            <w:tcBorders>
              <w:top w:val="single" w:sz="2" w:space="0" w:color="auto"/>
              <w:left w:val="single" w:sz="2" w:space="0" w:color="auto"/>
              <w:bottom w:val="single" w:sz="2" w:space="0" w:color="auto"/>
              <w:right w:val="single" w:sz="2" w:space="0" w:color="auto"/>
            </w:tcBorders>
          </w:tcPr>
          <w:p w14:paraId="7CE5AC96" w14:textId="77777777" w:rsidR="009F4766" w:rsidRPr="00DE12A3" w:rsidRDefault="009F4766" w:rsidP="00C917D6">
            <w:pPr>
              <w:pStyle w:val="NormalLeft"/>
            </w:pPr>
            <w:r w:rsidRPr="00DE12A3">
              <w:t>801</w:t>
            </w:r>
          </w:p>
        </w:tc>
        <w:tc>
          <w:tcPr>
            <w:tcW w:w="2489" w:type="dxa"/>
            <w:tcBorders>
              <w:top w:val="single" w:sz="2" w:space="0" w:color="auto"/>
              <w:left w:val="single" w:sz="2" w:space="0" w:color="auto"/>
              <w:bottom w:val="single" w:sz="2" w:space="0" w:color="auto"/>
              <w:right w:val="single" w:sz="2" w:space="0" w:color="auto"/>
            </w:tcBorders>
          </w:tcPr>
          <w:p w14:paraId="121B036F" w14:textId="77777777" w:rsidR="009F4766" w:rsidRPr="00DE12A3" w:rsidRDefault="009F4766" w:rsidP="00C917D6">
            <w:pPr>
              <w:pStyle w:val="NormalLeft"/>
            </w:pPr>
            <w:r w:rsidRPr="00DE12A3">
              <w:t>21</w:t>
            </w:r>
          </w:p>
        </w:tc>
        <w:tc>
          <w:tcPr>
            <w:tcW w:w="2551" w:type="dxa"/>
            <w:tcBorders>
              <w:top w:val="single" w:sz="2" w:space="0" w:color="auto"/>
              <w:left w:val="single" w:sz="2" w:space="0" w:color="auto"/>
              <w:bottom w:val="single" w:sz="2" w:space="0" w:color="auto"/>
              <w:right w:val="single" w:sz="2" w:space="0" w:color="auto"/>
            </w:tcBorders>
          </w:tcPr>
          <w:p w14:paraId="315F866D" w14:textId="77777777" w:rsidR="009F4766" w:rsidRPr="00DE12A3" w:rsidRDefault="009F4766" w:rsidP="00C917D6">
            <w:pPr>
              <w:pStyle w:val="NormalLeft"/>
            </w:pPr>
            <w:r w:rsidRPr="00DE12A3">
              <w:t>53</w:t>
            </w:r>
          </w:p>
        </w:tc>
      </w:tr>
      <w:tr w:rsidR="00DE12A3" w:rsidRPr="00DE12A3" w14:paraId="5F8D9CCA" w14:textId="77777777" w:rsidTr="009F4766">
        <w:tc>
          <w:tcPr>
            <w:tcW w:w="1182" w:type="dxa"/>
            <w:tcBorders>
              <w:top w:val="single" w:sz="2" w:space="0" w:color="auto"/>
              <w:left w:val="single" w:sz="2" w:space="0" w:color="auto"/>
              <w:bottom w:val="single" w:sz="2" w:space="0" w:color="auto"/>
              <w:right w:val="single" w:sz="2" w:space="0" w:color="auto"/>
            </w:tcBorders>
          </w:tcPr>
          <w:p w14:paraId="0D18C971" w14:textId="77777777" w:rsidR="009F4766" w:rsidRPr="00DE12A3" w:rsidRDefault="009F4766" w:rsidP="00C917D6">
            <w:pPr>
              <w:pStyle w:val="NormalLeft"/>
            </w:pPr>
            <w:r w:rsidRPr="00DE12A3">
              <w:t>802</w:t>
            </w:r>
          </w:p>
        </w:tc>
        <w:tc>
          <w:tcPr>
            <w:tcW w:w="2489" w:type="dxa"/>
            <w:tcBorders>
              <w:top w:val="single" w:sz="2" w:space="0" w:color="auto"/>
              <w:left w:val="single" w:sz="2" w:space="0" w:color="auto"/>
              <w:bottom w:val="single" w:sz="2" w:space="0" w:color="auto"/>
              <w:right w:val="single" w:sz="2" w:space="0" w:color="auto"/>
            </w:tcBorders>
          </w:tcPr>
          <w:p w14:paraId="0AF4A8F4" w14:textId="77777777" w:rsidR="009F4766" w:rsidRPr="00DE12A3" w:rsidRDefault="009F4766" w:rsidP="00C917D6">
            <w:pPr>
              <w:pStyle w:val="NormalLeft"/>
            </w:pPr>
            <w:r w:rsidRPr="00DE12A3">
              <w:t>23</w:t>
            </w:r>
          </w:p>
        </w:tc>
        <w:tc>
          <w:tcPr>
            <w:tcW w:w="2551" w:type="dxa"/>
            <w:tcBorders>
              <w:top w:val="single" w:sz="2" w:space="0" w:color="auto"/>
              <w:left w:val="single" w:sz="2" w:space="0" w:color="auto"/>
              <w:bottom w:val="single" w:sz="2" w:space="0" w:color="auto"/>
              <w:right w:val="single" w:sz="2" w:space="0" w:color="auto"/>
            </w:tcBorders>
          </w:tcPr>
          <w:p w14:paraId="67025541" w14:textId="77777777" w:rsidR="009F4766" w:rsidRPr="00DE12A3" w:rsidRDefault="009F4766" w:rsidP="00C917D6">
            <w:pPr>
              <w:pStyle w:val="NormalLeft"/>
            </w:pPr>
            <w:r w:rsidRPr="00DE12A3">
              <w:t>56</w:t>
            </w:r>
          </w:p>
        </w:tc>
      </w:tr>
      <w:tr w:rsidR="00DE12A3" w:rsidRPr="00DE12A3" w14:paraId="4582575D" w14:textId="77777777" w:rsidTr="009F4766">
        <w:tc>
          <w:tcPr>
            <w:tcW w:w="1182" w:type="dxa"/>
            <w:tcBorders>
              <w:top w:val="single" w:sz="2" w:space="0" w:color="auto"/>
              <w:left w:val="single" w:sz="2" w:space="0" w:color="auto"/>
              <w:bottom w:val="single" w:sz="2" w:space="0" w:color="auto"/>
              <w:right w:val="single" w:sz="2" w:space="0" w:color="auto"/>
            </w:tcBorders>
          </w:tcPr>
          <w:p w14:paraId="56C4ED17" w14:textId="77777777" w:rsidR="009F4766" w:rsidRPr="00DE12A3" w:rsidRDefault="009F4766" w:rsidP="00C917D6">
            <w:pPr>
              <w:pStyle w:val="NormalLeft"/>
            </w:pPr>
            <w:r w:rsidRPr="00DE12A3">
              <w:t>803</w:t>
            </w:r>
          </w:p>
        </w:tc>
        <w:tc>
          <w:tcPr>
            <w:tcW w:w="2489" w:type="dxa"/>
            <w:tcBorders>
              <w:top w:val="single" w:sz="2" w:space="0" w:color="auto"/>
              <w:left w:val="single" w:sz="2" w:space="0" w:color="auto"/>
              <w:bottom w:val="single" w:sz="2" w:space="0" w:color="auto"/>
              <w:right w:val="single" w:sz="2" w:space="0" w:color="auto"/>
            </w:tcBorders>
          </w:tcPr>
          <w:p w14:paraId="5BC860EC" w14:textId="77777777" w:rsidR="009F4766" w:rsidRPr="00DE12A3" w:rsidRDefault="009F4766" w:rsidP="00C917D6">
            <w:pPr>
              <w:pStyle w:val="NormalLeft"/>
            </w:pPr>
            <w:r w:rsidRPr="00DE12A3">
              <w:t>23</w:t>
            </w:r>
          </w:p>
        </w:tc>
        <w:tc>
          <w:tcPr>
            <w:tcW w:w="2551" w:type="dxa"/>
            <w:tcBorders>
              <w:top w:val="single" w:sz="2" w:space="0" w:color="auto"/>
              <w:left w:val="single" w:sz="2" w:space="0" w:color="auto"/>
              <w:bottom w:val="single" w:sz="2" w:space="0" w:color="auto"/>
              <w:right w:val="single" w:sz="2" w:space="0" w:color="auto"/>
            </w:tcBorders>
          </w:tcPr>
          <w:p w14:paraId="313B2835" w14:textId="77777777" w:rsidR="009F4766" w:rsidRPr="00DE12A3" w:rsidRDefault="009F4766" w:rsidP="00C917D6">
            <w:pPr>
              <w:pStyle w:val="NormalLeft"/>
            </w:pPr>
            <w:r w:rsidRPr="00DE12A3">
              <w:t>57</w:t>
            </w:r>
          </w:p>
        </w:tc>
      </w:tr>
      <w:tr w:rsidR="00DE12A3" w:rsidRPr="00DE12A3" w14:paraId="77F8C152" w14:textId="77777777" w:rsidTr="009F4766">
        <w:tc>
          <w:tcPr>
            <w:tcW w:w="1182" w:type="dxa"/>
            <w:tcBorders>
              <w:top w:val="single" w:sz="2" w:space="0" w:color="auto"/>
              <w:left w:val="single" w:sz="2" w:space="0" w:color="auto"/>
              <w:bottom w:val="single" w:sz="2" w:space="0" w:color="auto"/>
              <w:right w:val="single" w:sz="2" w:space="0" w:color="auto"/>
            </w:tcBorders>
          </w:tcPr>
          <w:p w14:paraId="345E6A05" w14:textId="77777777" w:rsidR="009F4766" w:rsidRPr="00DE12A3" w:rsidRDefault="009F4766" w:rsidP="00C917D6">
            <w:pPr>
              <w:pStyle w:val="NormalLeft"/>
            </w:pPr>
            <w:r w:rsidRPr="00DE12A3">
              <w:t>804</w:t>
            </w:r>
          </w:p>
        </w:tc>
        <w:tc>
          <w:tcPr>
            <w:tcW w:w="2489" w:type="dxa"/>
            <w:tcBorders>
              <w:top w:val="single" w:sz="2" w:space="0" w:color="auto"/>
              <w:left w:val="single" w:sz="2" w:space="0" w:color="auto"/>
              <w:bottom w:val="single" w:sz="2" w:space="0" w:color="auto"/>
              <w:right w:val="single" w:sz="2" w:space="0" w:color="auto"/>
            </w:tcBorders>
          </w:tcPr>
          <w:p w14:paraId="2516167D" w14:textId="77777777" w:rsidR="009F4766" w:rsidRPr="00DE12A3" w:rsidRDefault="009F4766" w:rsidP="00C917D6">
            <w:pPr>
              <w:pStyle w:val="NormalLeft"/>
            </w:pPr>
            <w:r w:rsidRPr="00DE12A3">
              <w:t>23</w:t>
            </w:r>
          </w:p>
        </w:tc>
        <w:tc>
          <w:tcPr>
            <w:tcW w:w="2551" w:type="dxa"/>
            <w:tcBorders>
              <w:top w:val="single" w:sz="2" w:space="0" w:color="auto"/>
              <w:left w:val="single" w:sz="2" w:space="0" w:color="auto"/>
              <w:bottom w:val="single" w:sz="2" w:space="0" w:color="auto"/>
              <w:right w:val="single" w:sz="2" w:space="0" w:color="auto"/>
            </w:tcBorders>
          </w:tcPr>
          <w:p w14:paraId="5B6976A0" w14:textId="77777777" w:rsidR="009F4766" w:rsidRPr="00DE12A3" w:rsidRDefault="009F4766" w:rsidP="00C917D6">
            <w:pPr>
              <w:pStyle w:val="NormalLeft"/>
            </w:pPr>
            <w:r w:rsidRPr="00DE12A3">
              <w:t>65</w:t>
            </w:r>
          </w:p>
        </w:tc>
      </w:tr>
      <w:tr w:rsidR="00DE12A3" w:rsidRPr="00DE12A3" w14:paraId="416ADAE3" w14:textId="77777777" w:rsidTr="009F4766">
        <w:tc>
          <w:tcPr>
            <w:tcW w:w="1182" w:type="dxa"/>
            <w:tcBorders>
              <w:top w:val="single" w:sz="2" w:space="0" w:color="auto"/>
              <w:left w:val="single" w:sz="2" w:space="0" w:color="auto"/>
              <w:bottom w:val="single" w:sz="2" w:space="0" w:color="auto"/>
              <w:right w:val="single" w:sz="2" w:space="0" w:color="auto"/>
            </w:tcBorders>
          </w:tcPr>
          <w:p w14:paraId="1D1D67E5" w14:textId="77777777" w:rsidR="009F4766" w:rsidRPr="00DE12A3" w:rsidRDefault="009F4766" w:rsidP="00C917D6">
            <w:pPr>
              <w:pStyle w:val="NormalLeft"/>
            </w:pPr>
            <w:r w:rsidRPr="00DE12A3">
              <w:t>805</w:t>
            </w:r>
          </w:p>
        </w:tc>
        <w:tc>
          <w:tcPr>
            <w:tcW w:w="2489" w:type="dxa"/>
            <w:tcBorders>
              <w:top w:val="single" w:sz="2" w:space="0" w:color="auto"/>
              <w:left w:val="single" w:sz="2" w:space="0" w:color="auto"/>
              <w:bottom w:val="single" w:sz="2" w:space="0" w:color="auto"/>
              <w:right w:val="single" w:sz="2" w:space="0" w:color="auto"/>
            </w:tcBorders>
          </w:tcPr>
          <w:p w14:paraId="0C276E79" w14:textId="77777777" w:rsidR="009F4766" w:rsidRPr="00DE12A3" w:rsidRDefault="009F4766" w:rsidP="00C917D6">
            <w:pPr>
              <w:pStyle w:val="NormalLeft"/>
            </w:pPr>
            <w:r w:rsidRPr="00DE12A3">
              <w:t>13</w:t>
            </w:r>
          </w:p>
        </w:tc>
        <w:tc>
          <w:tcPr>
            <w:tcW w:w="2551" w:type="dxa"/>
            <w:tcBorders>
              <w:top w:val="single" w:sz="2" w:space="0" w:color="auto"/>
              <w:left w:val="single" w:sz="2" w:space="0" w:color="auto"/>
              <w:bottom w:val="single" w:sz="2" w:space="0" w:color="auto"/>
              <w:right w:val="single" w:sz="2" w:space="0" w:color="auto"/>
            </w:tcBorders>
          </w:tcPr>
          <w:p w14:paraId="5FC5C6DC" w14:textId="77777777" w:rsidR="009F4766" w:rsidRPr="00DE12A3" w:rsidRDefault="009F4766" w:rsidP="00C917D6">
            <w:pPr>
              <w:pStyle w:val="NormalLeft"/>
            </w:pPr>
            <w:r w:rsidRPr="00DE12A3">
              <w:t>65</w:t>
            </w:r>
          </w:p>
        </w:tc>
      </w:tr>
      <w:tr w:rsidR="00DE12A3" w:rsidRPr="00DE12A3" w14:paraId="7CF2DD78" w14:textId="77777777" w:rsidTr="009F4766">
        <w:tc>
          <w:tcPr>
            <w:tcW w:w="1182" w:type="dxa"/>
            <w:tcBorders>
              <w:top w:val="single" w:sz="2" w:space="0" w:color="auto"/>
              <w:left w:val="single" w:sz="2" w:space="0" w:color="auto"/>
              <w:bottom w:val="single" w:sz="2" w:space="0" w:color="auto"/>
              <w:right w:val="single" w:sz="2" w:space="0" w:color="auto"/>
            </w:tcBorders>
          </w:tcPr>
          <w:p w14:paraId="3B5BFEB2" w14:textId="77777777" w:rsidR="009F4766" w:rsidRPr="00DE12A3" w:rsidRDefault="009F4766" w:rsidP="00C917D6">
            <w:pPr>
              <w:pStyle w:val="NormalLeft"/>
            </w:pPr>
            <w:r w:rsidRPr="00DE12A3">
              <w:t>806</w:t>
            </w:r>
          </w:p>
        </w:tc>
        <w:tc>
          <w:tcPr>
            <w:tcW w:w="2489" w:type="dxa"/>
            <w:tcBorders>
              <w:top w:val="single" w:sz="2" w:space="0" w:color="auto"/>
              <w:left w:val="single" w:sz="2" w:space="0" w:color="auto"/>
              <w:bottom w:val="single" w:sz="2" w:space="0" w:color="auto"/>
              <w:right w:val="single" w:sz="2" w:space="0" w:color="auto"/>
            </w:tcBorders>
          </w:tcPr>
          <w:p w14:paraId="5346D066" w14:textId="77777777" w:rsidR="009F4766" w:rsidRPr="00DE12A3" w:rsidRDefault="009F4766" w:rsidP="00C917D6">
            <w:pPr>
              <w:pStyle w:val="NormalLeft"/>
            </w:pPr>
            <w:r w:rsidRPr="00DE12A3">
              <w:t>9</w:t>
            </w:r>
          </w:p>
        </w:tc>
        <w:tc>
          <w:tcPr>
            <w:tcW w:w="2551" w:type="dxa"/>
            <w:tcBorders>
              <w:top w:val="single" w:sz="2" w:space="0" w:color="auto"/>
              <w:left w:val="single" w:sz="2" w:space="0" w:color="auto"/>
              <w:bottom w:val="single" w:sz="2" w:space="0" w:color="auto"/>
              <w:right w:val="single" w:sz="2" w:space="0" w:color="auto"/>
            </w:tcBorders>
          </w:tcPr>
          <w:p w14:paraId="5EB5BBCF" w14:textId="77777777" w:rsidR="009F4766" w:rsidRPr="00DE12A3" w:rsidRDefault="009F4766" w:rsidP="00C917D6">
            <w:pPr>
              <w:pStyle w:val="NormalLeft"/>
            </w:pPr>
            <w:r w:rsidRPr="00DE12A3">
              <w:t>64</w:t>
            </w:r>
          </w:p>
        </w:tc>
      </w:tr>
      <w:tr w:rsidR="00DE12A3" w:rsidRPr="00DE12A3" w14:paraId="5F21D8E0" w14:textId="77777777" w:rsidTr="009F4766">
        <w:tc>
          <w:tcPr>
            <w:tcW w:w="1182" w:type="dxa"/>
            <w:tcBorders>
              <w:top w:val="single" w:sz="2" w:space="0" w:color="auto"/>
              <w:left w:val="single" w:sz="2" w:space="0" w:color="auto"/>
              <w:bottom w:val="single" w:sz="2" w:space="0" w:color="auto"/>
              <w:right w:val="single" w:sz="2" w:space="0" w:color="auto"/>
            </w:tcBorders>
          </w:tcPr>
          <w:p w14:paraId="0C274CAB" w14:textId="77777777" w:rsidR="009F4766" w:rsidRPr="00DE12A3" w:rsidRDefault="009F4766" w:rsidP="00C917D6">
            <w:pPr>
              <w:pStyle w:val="NormalLeft"/>
            </w:pPr>
            <w:r w:rsidRPr="00DE12A3">
              <w:t>807</w:t>
            </w:r>
          </w:p>
        </w:tc>
        <w:tc>
          <w:tcPr>
            <w:tcW w:w="2489" w:type="dxa"/>
            <w:tcBorders>
              <w:top w:val="single" w:sz="2" w:space="0" w:color="auto"/>
              <w:left w:val="single" w:sz="2" w:space="0" w:color="auto"/>
              <w:bottom w:val="single" w:sz="2" w:space="0" w:color="auto"/>
              <w:right w:val="single" w:sz="2" w:space="0" w:color="auto"/>
            </w:tcBorders>
          </w:tcPr>
          <w:p w14:paraId="5AB4EA33" w14:textId="77777777" w:rsidR="009F4766" w:rsidRPr="00DE12A3" w:rsidRDefault="009F4766" w:rsidP="00C917D6">
            <w:pPr>
              <w:pStyle w:val="NormalLeft"/>
            </w:pPr>
            <w:r w:rsidRPr="00DE12A3">
              <w:t>27</w:t>
            </w:r>
          </w:p>
        </w:tc>
        <w:tc>
          <w:tcPr>
            <w:tcW w:w="2551" w:type="dxa"/>
            <w:tcBorders>
              <w:top w:val="single" w:sz="2" w:space="0" w:color="auto"/>
              <w:left w:val="single" w:sz="2" w:space="0" w:color="auto"/>
              <w:bottom w:val="single" w:sz="2" w:space="0" w:color="auto"/>
              <w:right w:val="single" w:sz="2" w:space="0" w:color="auto"/>
            </w:tcBorders>
          </w:tcPr>
          <w:p w14:paraId="69899B90" w14:textId="77777777" w:rsidR="009F4766" w:rsidRPr="00DE12A3" w:rsidRDefault="009F4766" w:rsidP="00C917D6">
            <w:pPr>
              <w:pStyle w:val="NormalLeft"/>
            </w:pPr>
            <w:r w:rsidRPr="00DE12A3">
              <w:t>56</w:t>
            </w:r>
          </w:p>
        </w:tc>
      </w:tr>
      <w:tr w:rsidR="00DE12A3" w:rsidRPr="00DE12A3" w14:paraId="52D1B311" w14:textId="77777777" w:rsidTr="009F4766">
        <w:tc>
          <w:tcPr>
            <w:tcW w:w="1182" w:type="dxa"/>
            <w:tcBorders>
              <w:top w:val="single" w:sz="2" w:space="0" w:color="auto"/>
              <w:left w:val="single" w:sz="2" w:space="0" w:color="auto"/>
              <w:bottom w:val="single" w:sz="2" w:space="0" w:color="auto"/>
              <w:right w:val="single" w:sz="2" w:space="0" w:color="auto"/>
            </w:tcBorders>
          </w:tcPr>
          <w:p w14:paraId="3089E2FE" w14:textId="77777777" w:rsidR="009F4766" w:rsidRPr="00DE12A3" w:rsidRDefault="009F4766" w:rsidP="00C917D6">
            <w:pPr>
              <w:pStyle w:val="NormalLeft"/>
            </w:pPr>
            <w:r w:rsidRPr="00DE12A3">
              <w:t>808</w:t>
            </w:r>
          </w:p>
        </w:tc>
        <w:tc>
          <w:tcPr>
            <w:tcW w:w="2489" w:type="dxa"/>
            <w:tcBorders>
              <w:top w:val="single" w:sz="2" w:space="0" w:color="auto"/>
              <w:left w:val="single" w:sz="2" w:space="0" w:color="auto"/>
              <w:bottom w:val="single" w:sz="2" w:space="0" w:color="auto"/>
              <w:right w:val="single" w:sz="2" w:space="0" w:color="auto"/>
            </w:tcBorders>
          </w:tcPr>
          <w:p w14:paraId="34D5E70B" w14:textId="77777777" w:rsidR="009F4766" w:rsidRPr="00DE12A3" w:rsidRDefault="009F4766" w:rsidP="00C917D6">
            <w:pPr>
              <w:pStyle w:val="NormalLeft"/>
            </w:pPr>
            <w:r w:rsidRPr="00DE12A3">
              <w:t>26</w:t>
            </w:r>
          </w:p>
        </w:tc>
        <w:tc>
          <w:tcPr>
            <w:tcW w:w="2551" w:type="dxa"/>
            <w:tcBorders>
              <w:top w:val="single" w:sz="2" w:space="0" w:color="auto"/>
              <w:left w:val="single" w:sz="2" w:space="0" w:color="auto"/>
              <w:bottom w:val="single" w:sz="2" w:space="0" w:color="auto"/>
              <w:right w:val="single" w:sz="2" w:space="0" w:color="auto"/>
            </w:tcBorders>
          </w:tcPr>
          <w:p w14:paraId="0D0D5064" w14:textId="77777777" w:rsidR="009F4766" w:rsidRPr="00DE12A3" w:rsidRDefault="009F4766" w:rsidP="00C917D6">
            <w:pPr>
              <w:pStyle w:val="NormalLeft"/>
            </w:pPr>
            <w:r w:rsidRPr="00DE12A3">
              <w:t>78</w:t>
            </w:r>
          </w:p>
        </w:tc>
      </w:tr>
      <w:tr w:rsidR="00DE12A3" w:rsidRPr="00DE12A3" w14:paraId="6BAEC325" w14:textId="77777777" w:rsidTr="009F4766">
        <w:tc>
          <w:tcPr>
            <w:tcW w:w="1182" w:type="dxa"/>
            <w:tcBorders>
              <w:top w:val="single" w:sz="2" w:space="0" w:color="auto"/>
              <w:left w:val="single" w:sz="2" w:space="0" w:color="auto"/>
              <w:bottom w:val="single" w:sz="2" w:space="0" w:color="auto"/>
              <w:right w:val="single" w:sz="2" w:space="0" w:color="auto"/>
            </w:tcBorders>
          </w:tcPr>
          <w:p w14:paraId="51CF697E" w14:textId="77777777" w:rsidR="009F4766" w:rsidRPr="00DE12A3" w:rsidRDefault="009F4766" w:rsidP="00C917D6">
            <w:pPr>
              <w:pStyle w:val="NormalLeft"/>
            </w:pPr>
            <w:r w:rsidRPr="00DE12A3">
              <w:t>809</w:t>
            </w:r>
          </w:p>
        </w:tc>
        <w:tc>
          <w:tcPr>
            <w:tcW w:w="2489" w:type="dxa"/>
            <w:tcBorders>
              <w:top w:val="single" w:sz="2" w:space="0" w:color="auto"/>
              <w:left w:val="single" w:sz="2" w:space="0" w:color="auto"/>
              <w:bottom w:val="single" w:sz="2" w:space="0" w:color="auto"/>
              <w:right w:val="single" w:sz="2" w:space="0" w:color="auto"/>
            </w:tcBorders>
          </w:tcPr>
          <w:p w14:paraId="1D0EEA35" w14:textId="77777777" w:rsidR="009F4766" w:rsidRPr="00DE12A3" w:rsidRDefault="009F4766" w:rsidP="00C917D6">
            <w:pPr>
              <w:pStyle w:val="NormalLeft"/>
            </w:pPr>
            <w:r w:rsidRPr="00DE12A3">
              <w:t>40</w:t>
            </w:r>
          </w:p>
        </w:tc>
        <w:tc>
          <w:tcPr>
            <w:tcW w:w="2551" w:type="dxa"/>
            <w:tcBorders>
              <w:top w:val="single" w:sz="2" w:space="0" w:color="auto"/>
              <w:left w:val="single" w:sz="2" w:space="0" w:color="auto"/>
              <w:bottom w:val="single" w:sz="2" w:space="0" w:color="auto"/>
              <w:right w:val="single" w:sz="2" w:space="0" w:color="auto"/>
            </w:tcBorders>
          </w:tcPr>
          <w:p w14:paraId="603BA827" w14:textId="77777777" w:rsidR="009F4766" w:rsidRPr="00DE12A3" w:rsidRDefault="009F4766" w:rsidP="00C917D6">
            <w:pPr>
              <w:pStyle w:val="NormalLeft"/>
            </w:pPr>
            <w:r w:rsidRPr="00DE12A3">
              <w:t>61</w:t>
            </w:r>
          </w:p>
        </w:tc>
      </w:tr>
      <w:tr w:rsidR="00DE12A3" w:rsidRPr="00DE12A3" w14:paraId="70B79B58" w14:textId="77777777" w:rsidTr="009F4766">
        <w:tc>
          <w:tcPr>
            <w:tcW w:w="1182" w:type="dxa"/>
            <w:tcBorders>
              <w:top w:val="single" w:sz="2" w:space="0" w:color="auto"/>
              <w:left w:val="single" w:sz="2" w:space="0" w:color="auto"/>
              <w:bottom w:val="single" w:sz="2" w:space="0" w:color="auto"/>
              <w:right w:val="single" w:sz="2" w:space="0" w:color="auto"/>
            </w:tcBorders>
          </w:tcPr>
          <w:p w14:paraId="2A81609F" w14:textId="77777777" w:rsidR="009F4766" w:rsidRPr="00DE12A3" w:rsidRDefault="009F4766" w:rsidP="00C917D6">
            <w:pPr>
              <w:pStyle w:val="NormalLeft"/>
            </w:pPr>
            <w:r w:rsidRPr="00DE12A3">
              <w:t>810</w:t>
            </w:r>
          </w:p>
        </w:tc>
        <w:tc>
          <w:tcPr>
            <w:tcW w:w="2489" w:type="dxa"/>
            <w:tcBorders>
              <w:top w:val="single" w:sz="2" w:space="0" w:color="auto"/>
              <w:left w:val="single" w:sz="2" w:space="0" w:color="auto"/>
              <w:bottom w:val="single" w:sz="2" w:space="0" w:color="auto"/>
              <w:right w:val="single" w:sz="2" w:space="0" w:color="auto"/>
            </w:tcBorders>
          </w:tcPr>
          <w:p w14:paraId="4064891B" w14:textId="77777777" w:rsidR="009F4766" w:rsidRPr="00DE12A3" w:rsidRDefault="009F4766" w:rsidP="00C917D6">
            <w:pPr>
              <w:pStyle w:val="NormalLeft"/>
            </w:pPr>
            <w:r w:rsidRPr="00DE12A3">
              <w:t>35</w:t>
            </w:r>
          </w:p>
        </w:tc>
        <w:tc>
          <w:tcPr>
            <w:tcW w:w="2551" w:type="dxa"/>
            <w:tcBorders>
              <w:top w:val="single" w:sz="2" w:space="0" w:color="auto"/>
              <w:left w:val="single" w:sz="2" w:space="0" w:color="auto"/>
              <w:bottom w:val="single" w:sz="2" w:space="0" w:color="auto"/>
              <w:right w:val="single" w:sz="2" w:space="0" w:color="auto"/>
            </w:tcBorders>
          </w:tcPr>
          <w:p w14:paraId="6BECA660" w14:textId="77777777" w:rsidR="009F4766" w:rsidRPr="00DE12A3" w:rsidRDefault="009F4766" w:rsidP="00C917D6">
            <w:pPr>
              <w:pStyle w:val="NormalLeft"/>
            </w:pPr>
            <w:r w:rsidRPr="00DE12A3">
              <w:t>76</w:t>
            </w:r>
          </w:p>
        </w:tc>
      </w:tr>
      <w:tr w:rsidR="00DE12A3" w:rsidRPr="00DE12A3" w14:paraId="0A69AD1D" w14:textId="77777777" w:rsidTr="009F4766">
        <w:tc>
          <w:tcPr>
            <w:tcW w:w="1182" w:type="dxa"/>
            <w:tcBorders>
              <w:top w:val="single" w:sz="2" w:space="0" w:color="auto"/>
              <w:left w:val="single" w:sz="2" w:space="0" w:color="auto"/>
              <w:bottom w:val="single" w:sz="2" w:space="0" w:color="auto"/>
              <w:right w:val="single" w:sz="2" w:space="0" w:color="auto"/>
            </w:tcBorders>
          </w:tcPr>
          <w:p w14:paraId="4ECF8384" w14:textId="77777777" w:rsidR="009F4766" w:rsidRPr="00DE12A3" w:rsidRDefault="009F4766" w:rsidP="00C917D6">
            <w:pPr>
              <w:pStyle w:val="NormalLeft"/>
            </w:pPr>
            <w:r w:rsidRPr="00DE12A3">
              <w:t>811</w:t>
            </w:r>
          </w:p>
        </w:tc>
        <w:tc>
          <w:tcPr>
            <w:tcW w:w="2489" w:type="dxa"/>
            <w:tcBorders>
              <w:top w:val="single" w:sz="2" w:space="0" w:color="auto"/>
              <w:left w:val="single" w:sz="2" w:space="0" w:color="auto"/>
              <w:bottom w:val="single" w:sz="2" w:space="0" w:color="auto"/>
              <w:right w:val="single" w:sz="2" w:space="0" w:color="auto"/>
            </w:tcBorders>
          </w:tcPr>
          <w:p w14:paraId="09F5453C" w14:textId="77777777" w:rsidR="009F4766" w:rsidRPr="00DE12A3" w:rsidRDefault="009F4766" w:rsidP="00C917D6">
            <w:pPr>
              <w:pStyle w:val="NormalLeft"/>
            </w:pPr>
            <w:r w:rsidRPr="00DE12A3">
              <w:t>28</w:t>
            </w:r>
          </w:p>
        </w:tc>
        <w:tc>
          <w:tcPr>
            <w:tcW w:w="2551" w:type="dxa"/>
            <w:tcBorders>
              <w:top w:val="single" w:sz="2" w:space="0" w:color="auto"/>
              <w:left w:val="single" w:sz="2" w:space="0" w:color="auto"/>
              <w:bottom w:val="single" w:sz="2" w:space="0" w:color="auto"/>
              <w:right w:val="single" w:sz="2" w:space="0" w:color="auto"/>
            </w:tcBorders>
          </w:tcPr>
          <w:p w14:paraId="216DBFF4" w14:textId="77777777" w:rsidR="009F4766" w:rsidRPr="00DE12A3" w:rsidRDefault="009F4766" w:rsidP="00C917D6">
            <w:pPr>
              <w:pStyle w:val="NormalLeft"/>
            </w:pPr>
            <w:r w:rsidRPr="00DE12A3">
              <w:t>66</w:t>
            </w:r>
          </w:p>
        </w:tc>
      </w:tr>
      <w:tr w:rsidR="00DE12A3" w:rsidRPr="00DE12A3" w14:paraId="77D61DB5" w14:textId="77777777" w:rsidTr="009F4766">
        <w:tc>
          <w:tcPr>
            <w:tcW w:w="1182" w:type="dxa"/>
            <w:tcBorders>
              <w:top w:val="single" w:sz="2" w:space="0" w:color="auto"/>
              <w:left w:val="single" w:sz="2" w:space="0" w:color="auto"/>
              <w:bottom w:val="single" w:sz="2" w:space="0" w:color="auto"/>
              <w:right w:val="single" w:sz="2" w:space="0" w:color="auto"/>
            </w:tcBorders>
          </w:tcPr>
          <w:p w14:paraId="1322F13A" w14:textId="77777777" w:rsidR="009F4766" w:rsidRPr="00DE12A3" w:rsidRDefault="009F4766" w:rsidP="00C917D6">
            <w:pPr>
              <w:pStyle w:val="NormalLeft"/>
            </w:pPr>
            <w:r w:rsidRPr="00DE12A3">
              <w:t>812</w:t>
            </w:r>
          </w:p>
        </w:tc>
        <w:tc>
          <w:tcPr>
            <w:tcW w:w="2489" w:type="dxa"/>
            <w:tcBorders>
              <w:top w:val="single" w:sz="2" w:space="0" w:color="auto"/>
              <w:left w:val="single" w:sz="2" w:space="0" w:color="auto"/>
              <w:bottom w:val="single" w:sz="2" w:space="0" w:color="auto"/>
              <w:right w:val="single" w:sz="2" w:space="0" w:color="auto"/>
            </w:tcBorders>
          </w:tcPr>
          <w:p w14:paraId="3E8D00AF" w14:textId="77777777" w:rsidR="009F4766" w:rsidRPr="00DE12A3" w:rsidRDefault="009F4766" w:rsidP="00C917D6">
            <w:pPr>
              <w:pStyle w:val="NormalLeft"/>
            </w:pPr>
            <w:r w:rsidRPr="00DE12A3">
              <w:t>23</w:t>
            </w:r>
          </w:p>
        </w:tc>
        <w:tc>
          <w:tcPr>
            <w:tcW w:w="2551" w:type="dxa"/>
            <w:tcBorders>
              <w:top w:val="single" w:sz="2" w:space="0" w:color="auto"/>
              <w:left w:val="single" w:sz="2" w:space="0" w:color="auto"/>
              <w:bottom w:val="single" w:sz="2" w:space="0" w:color="auto"/>
              <w:right w:val="single" w:sz="2" w:space="0" w:color="auto"/>
            </w:tcBorders>
          </w:tcPr>
          <w:p w14:paraId="425FFF68" w14:textId="77777777" w:rsidR="009F4766" w:rsidRPr="00DE12A3" w:rsidRDefault="009F4766" w:rsidP="00C917D6">
            <w:pPr>
              <w:pStyle w:val="NormalLeft"/>
            </w:pPr>
            <w:r w:rsidRPr="00DE12A3">
              <w:t>57</w:t>
            </w:r>
          </w:p>
        </w:tc>
      </w:tr>
      <w:tr w:rsidR="00DE12A3" w:rsidRPr="00DE12A3" w14:paraId="5483B1C5" w14:textId="77777777" w:rsidTr="009F4766">
        <w:tc>
          <w:tcPr>
            <w:tcW w:w="1182" w:type="dxa"/>
            <w:tcBorders>
              <w:top w:val="single" w:sz="2" w:space="0" w:color="auto"/>
              <w:left w:val="single" w:sz="2" w:space="0" w:color="auto"/>
              <w:bottom w:val="single" w:sz="2" w:space="0" w:color="auto"/>
              <w:right w:val="single" w:sz="2" w:space="0" w:color="auto"/>
            </w:tcBorders>
          </w:tcPr>
          <w:p w14:paraId="6C3E9C4A" w14:textId="77777777" w:rsidR="009F4766" w:rsidRPr="00DE12A3" w:rsidRDefault="009F4766" w:rsidP="00C917D6">
            <w:pPr>
              <w:pStyle w:val="NormalLeft"/>
            </w:pPr>
            <w:r w:rsidRPr="00DE12A3">
              <w:t>813</w:t>
            </w:r>
          </w:p>
        </w:tc>
        <w:tc>
          <w:tcPr>
            <w:tcW w:w="2489" w:type="dxa"/>
            <w:tcBorders>
              <w:top w:val="single" w:sz="2" w:space="0" w:color="auto"/>
              <w:left w:val="single" w:sz="2" w:space="0" w:color="auto"/>
              <w:bottom w:val="single" w:sz="2" w:space="0" w:color="auto"/>
              <w:right w:val="single" w:sz="2" w:space="0" w:color="auto"/>
            </w:tcBorders>
          </w:tcPr>
          <w:p w14:paraId="38FEC6AF" w14:textId="77777777" w:rsidR="009F4766" w:rsidRPr="00DE12A3" w:rsidRDefault="009F4766" w:rsidP="00C917D6">
            <w:pPr>
              <w:pStyle w:val="NormalLeft"/>
            </w:pPr>
            <w:r w:rsidRPr="00DE12A3">
              <w:t>16</w:t>
            </w:r>
          </w:p>
        </w:tc>
        <w:tc>
          <w:tcPr>
            <w:tcW w:w="2551" w:type="dxa"/>
            <w:tcBorders>
              <w:top w:val="single" w:sz="2" w:space="0" w:color="auto"/>
              <w:left w:val="single" w:sz="2" w:space="0" w:color="auto"/>
              <w:bottom w:val="single" w:sz="2" w:space="0" w:color="auto"/>
              <w:right w:val="single" w:sz="2" w:space="0" w:color="auto"/>
            </w:tcBorders>
          </w:tcPr>
          <w:p w14:paraId="2118EE89" w14:textId="77777777" w:rsidR="009F4766" w:rsidRPr="00DE12A3" w:rsidRDefault="009F4766" w:rsidP="00C917D6">
            <w:pPr>
              <w:pStyle w:val="NormalLeft"/>
            </w:pPr>
            <w:r w:rsidRPr="00DE12A3">
              <w:t>50</w:t>
            </w:r>
          </w:p>
        </w:tc>
      </w:tr>
      <w:tr w:rsidR="00DE12A3" w:rsidRPr="00DE12A3" w14:paraId="79EE3FB6" w14:textId="77777777" w:rsidTr="009F4766">
        <w:tc>
          <w:tcPr>
            <w:tcW w:w="1182" w:type="dxa"/>
            <w:tcBorders>
              <w:top w:val="single" w:sz="2" w:space="0" w:color="auto"/>
              <w:left w:val="single" w:sz="2" w:space="0" w:color="auto"/>
              <w:bottom w:val="single" w:sz="2" w:space="0" w:color="auto"/>
              <w:right w:val="single" w:sz="2" w:space="0" w:color="auto"/>
            </w:tcBorders>
          </w:tcPr>
          <w:p w14:paraId="5B47AEA7" w14:textId="77777777" w:rsidR="009F4766" w:rsidRPr="00DE12A3" w:rsidRDefault="009F4766" w:rsidP="00C917D6">
            <w:pPr>
              <w:pStyle w:val="NormalLeft"/>
            </w:pPr>
            <w:r w:rsidRPr="00DE12A3">
              <w:t>814</w:t>
            </w:r>
          </w:p>
        </w:tc>
        <w:tc>
          <w:tcPr>
            <w:tcW w:w="2489" w:type="dxa"/>
            <w:tcBorders>
              <w:top w:val="single" w:sz="2" w:space="0" w:color="auto"/>
              <w:left w:val="single" w:sz="2" w:space="0" w:color="auto"/>
              <w:bottom w:val="single" w:sz="2" w:space="0" w:color="auto"/>
              <w:right w:val="single" w:sz="2" w:space="0" w:color="auto"/>
            </w:tcBorders>
          </w:tcPr>
          <w:p w14:paraId="68041F92" w14:textId="77777777" w:rsidR="009F4766" w:rsidRPr="00DE12A3" w:rsidRDefault="009F4766" w:rsidP="00C917D6">
            <w:pPr>
              <w:pStyle w:val="NormalLeft"/>
            </w:pPr>
            <w:r w:rsidRPr="00DE12A3">
              <w:t>11</w:t>
            </w:r>
          </w:p>
        </w:tc>
        <w:tc>
          <w:tcPr>
            <w:tcW w:w="2551" w:type="dxa"/>
            <w:tcBorders>
              <w:top w:val="single" w:sz="2" w:space="0" w:color="auto"/>
              <w:left w:val="single" w:sz="2" w:space="0" w:color="auto"/>
              <w:bottom w:val="single" w:sz="2" w:space="0" w:color="auto"/>
              <w:right w:val="single" w:sz="2" w:space="0" w:color="auto"/>
            </w:tcBorders>
          </w:tcPr>
          <w:p w14:paraId="013C1B41" w14:textId="77777777" w:rsidR="009F4766" w:rsidRPr="00DE12A3" w:rsidRDefault="009F4766" w:rsidP="00C917D6">
            <w:pPr>
              <w:pStyle w:val="NormalLeft"/>
            </w:pPr>
            <w:r w:rsidRPr="00DE12A3">
              <w:t>53</w:t>
            </w:r>
          </w:p>
        </w:tc>
      </w:tr>
      <w:tr w:rsidR="00DE12A3" w:rsidRPr="00DE12A3" w14:paraId="617DCAAE" w14:textId="77777777" w:rsidTr="009F4766">
        <w:tc>
          <w:tcPr>
            <w:tcW w:w="1182" w:type="dxa"/>
            <w:tcBorders>
              <w:top w:val="single" w:sz="2" w:space="0" w:color="auto"/>
              <w:left w:val="single" w:sz="2" w:space="0" w:color="auto"/>
              <w:bottom w:val="single" w:sz="2" w:space="0" w:color="auto"/>
              <w:right w:val="single" w:sz="2" w:space="0" w:color="auto"/>
            </w:tcBorders>
          </w:tcPr>
          <w:p w14:paraId="440F24AD" w14:textId="77777777" w:rsidR="009F4766" w:rsidRPr="00DE12A3" w:rsidRDefault="009F4766" w:rsidP="00C917D6">
            <w:pPr>
              <w:pStyle w:val="NormalLeft"/>
            </w:pPr>
            <w:r w:rsidRPr="00DE12A3">
              <w:t>815</w:t>
            </w:r>
          </w:p>
        </w:tc>
        <w:tc>
          <w:tcPr>
            <w:tcW w:w="2489" w:type="dxa"/>
            <w:tcBorders>
              <w:top w:val="single" w:sz="2" w:space="0" w:color="auto"/>
              <w:left w:val="single" w:sz="2" w:space="0" w:color="auto"/>
              <w:bottom w:val="single" w:sz="2" w:space="0" w:color="auto"/>
              <w:right w:val="single" w:sz="2" w:space="0" w:color="auto"/>
            </w:tcBorders>
          </w:tcPr>
          <w:p w14:paraId="13FED419" w14:textId="77777777" w:rsidR="009F4766" w:rsidRPr="00DE12A3" w:rsidRDefault="009F4766" w:rsidP="00C917D6">
            <w:pPr>
              <w:pStyle w:val="NormalLeft"/>
            </w:pPr>
            <w:r w:rsidRPr="00DE12A3">
              <w:t>9</w:t>
            </w:r>
          </w:p>
        </w:tc>
        <w:tc>
          <w:tcPr>
            <w:tcW w:w="2551" w:type="dxa"/>
            <w:tcBorders>
              <w:top w:val="single" w:sz="2" w:space="0" w:color="auto"/>
              <w:left w:val="single" w:sz="2" w:space="0" w:color="auto"/>
              <w:bottom w:val="single" w:sz="2" w:space="0" w:color="auto"/>
              <w:right w:val="single" w:sz="2" w:space="0" w:color="auto"/>
            </w:tcBorders>
          </w:tcPr>
          <w:p w14:paraId="321B6EFE" w14:textId="77777777" w:rsidR="009F4766" w:rsidRPr="00DE12A3" w:rsidRDefault="009F4766" w:rsidP="00C917D6">
            <w:pPr>
              <w:pStyle w:val="NormalLeft"/>
            </w:pPr>
            <w:r w:rsidRPr="00DE12A3">
              <w:t>57</w:t>
            </w:r>
          </w:p>
        </w:tc>
      </w:tr>
      <w:tr w:rsidR="00DE12A3" w:rsidRPr="00DE12A3" w14:paraId="3FB355D7" w14:textId="77777777" w:rsidTr="009F4766">
        <w:tc>
          <w:tcPr>
            <w:tcW w:w="1182" w:type="dxa"/>
            <w:tcBorders>
              <w:top w:val="single" w:sz="2" w:space="0" w:color="auto"/>
              <w:left w:val="single" w:sz="2" w:space="0" w:color="auto"/>
              <w:bottom w:val="single" w:sz="2" w:space="0" w:color="auto"/>
              <w:right w:val="single" w:sz="2" w:space="0" w:color="auto"/>
            </w:tcBorders>
          </w:tcPr>
          <w:p w14:paraId="31D56F32" w14:textId="77777777" w:rsidR="009F4766" w:rsidRPr="00DE12A3" w:rsidRDefault="009F4766" w:rsidP="00C917D6">
            <w:pPr>
              <w:pStyle w:val="NormalLeft"/>
            </w:pPr>
            <w:r w:rsidRPr="00DE12A3">
              <w:t>816</w:t>
            </w:r>
          </w:p>
        </w:tc>
        <w:tc>
          <w:tcPr>
            <w:tcW w:w="2489" w:type="dxa"/>
            <w:tcBorders>
              <w:top w:val="single" w:sz="2" w:space="0" w:color="auto"/>
              <w:left w:val="single" w:sz="2" w:space="0" w:color="auto"/>
              <w:bottom w:val="single" w:sz="2" w:space="0" w:color="auto"/>
              <w:right w:val="single" w:sz="2" w:space="0" w:color="auto"/>
            </w:tcBorders>
          </w:tcPr>
          <w:p w14:paraId="64179FE9" w14:textId="77777777" w:rsidR="009F4766" w:rsidRPr="00DE12A3" w:rsidRDefault="009F4766" w:rsidP="00C917D6">
            <w:pPr>
              <w:pStyle w:val="NormalLeft"/>
            </w:pPr>
            <w:r w:rsidRPr="00DE12A3">
              <w:t>9</w:t>
            </w:r>
          </w:p>
        </w:tc>
        <w:tc>
          <w:tcPr>
            <w:tcW w:w="2551" w:type="dxa"/>
            <w:tcBorders>
              <w:top w:val="single" w:sz="2" w:space="0" w:color="auto"/>
              <w:left w:val="single" w:sz="2" w:space="0" w:color="auto"/>
              <w:bottom w:val="single" w:sz="2" w:space="0" w:color="auto"/>
              <w:right w:val="single" w:sz="2" w:space="0" w:color="auto"/>
            </w:tcBorders>
          </w:tcPr>
          <w:p w14:paraId="795EAA2C" w14:textId="77777777" w:rsidR="009F4766" w:rsidRPr="00DE12A3" w:rsidRDefault="009F4766" w:rsidP="00C917D6">
            <w:pPr>
              <w:pStyle w:val="NormalLeft"/>
            </w:pPr>
            <w:r w:rsidRPr="00DE12A3">
              <w:t>62</w:t>
            </w:r>
          </w:p>
        </w:tc>
      </w:tr>
      <w:tr w:rsidR="00DE12A3" w:rsidRPr="00DE12A3" w14:paraId="2BE5C4B0" w14:textId="77777777" w:rsidTr="009F4766">
        <w:tc>
          <w:tcPr>
            <w:tcW w:w="1182" w:type="dxa"/>
            <w:tcBorders>
              <w:top w:val="single" w:sz="2" w:space="0" w:color="auto"/>
              <w:left w:val="single" w:sz="2" w:space="0" w:color="auto"/>
              <w:bottom w:val="single" w:sz="2" w:space="0" w:color="auto"/>
              <w:right w:val="single" w:sz="2" w:space="0" w:color="auto"/>
            </w:tcBorders>
          </w:tcPr>
          <w:p w14:paraId="5DF0FCAF" w14:textId="77777777" w:rsidR="009F4766" w:rsidRPr="00DE12A3" w:rsidRDefault="009F4766" w:rsidP="00C917D6">
            <w:pPr>
              <w:pStyle w:val="NormalLeft"/>
            </w:pPr>
            <w:r w:rsidRPr="00DE12A3">
              <w:t>817</w:t>
            </w:r>
          </w:p>
        </w:tc>
        <w:tc>
          <w:tcPr>
            <w:tcW w:w="2489" w:type="dxa"/>
            <w:tcBorders>
              <w:top w:val="single" w:sz="2" w:space="0" w:color="auto"/>
              <w:left w:val="single" w:sz="2" w:space="0" w:color="auto"/>
              <w:bottom w:val="single" w:sz="2" w:space="0" w:color="auto"/>
              <w:right w:val="single" w:sz="2" w:space="0" w:color="auto"/>
            </w:tcBorders>
          </w:tcPr>
          <w:p w14:paraId="011AAEC7" w14:textId="77777777" w:rsidR="009F4766" w:rsidRPr="00DE12A3" w:rsidRDefault="009F4766" w:rsidP="00C917D6">
            <w:pPr>
              <w:pStyle w:val="NormalLeft"/>
            </w:pPr>
            <w:r w:rsidRPr="00DE12A3">
              <w:t>27</w:t>
            </w:r>
          </w:p>
        </w:tc>
        <w:tc>
          <w:tcPr>
            <w:tcW w:w="2551" w:type="dxa"/>
            <w:tcBorders>
              <w:top w:val="single" w:sz="2" w:space="0" w:color="auto"/>
              <w:left w:val="single" w:sz="2" w:space="0" w:color="auto"/>
              <w:bottom w:val="single" w:sz="2" w:space="0" w:color="auto"/>
              <w:right w:val="single" w:sz="2" w:space="0" w:color="auto"/>
            </w:tcBorders>
          </w:tcPr>
          <w:p w14:paraId="77AFBCAA" w14:textId="77777777" w:rsidR="009F4766" w:rsidRPr="00DE12A3" w:rsidRDefault="009F4766" w:rsidP="00C917D6">
            <w:pPr>
              <w:pStyle w:val="NormalLeft"/>
            </w:pPr>
            <w:r w:rsidRPr="00DE12A3">
              <w:t>57</w:t>
            </w:r>
          </w:p>
        </w:tc>
      </w:tr>
      <w:tr w:rsidR="00DE12A3" w:rsidRPr="00DE12A3" w14:paraId="3E8AD87D" w14:textId="77777777" w:rsidTr="009F4766">
        <w:tc>
          <w:tcPr>
            <w:tcW w:w="1182" w:type="dxa"/>
            <w:tcBorders>
              <w:top w:val="single" w:sz="2" w:space="0" w:color="auto"/>
              <w:left w:val="single" w:sz="2" w:space="0" w:color="auto"/>
              <w:bottom w:val="single" w:sz="2" w:space="0" w:color="auto"/>
              <w:right w:val="single" w:sz="2" w:space="0" w:color="auto"/>
            </w:tcBorders>
          </w:tcPr>
          <w:p w14:paraId="28B76DC7" w14:textId="77777777" w:rsidR="009F4766" w:rsidRPr="00DE12A3" w:rsidRDefault="009F4766" w:rsidP="00C917D6">
            <w:pPr>
              <w:pStyle w:val="NormalLeft"/>
            </w:pPr>
            <w:r w:rsidRPr="00DE12A3">
              <w:t>818</w:t>
            </w:r>
          </w:p>
        </w:tc>
        <w:tc>
          <w:tcPr>
            <w:tcW w:w="2489" w:type="dxa"/>
            <w:tcBorders>
              <w:top w:val="single" w:sz="2" w:space="0" w:color="auto"/>
              <w:left w:val="single" w:sz="2" w:space="0" w:color="auto"/>
              <w:bottom w:val="single" w:sz="2" w:space="0" w:color="auto"/>
              <w:right w:val="single" w:sz="2" w:space="0" w:color="auto"/>
            </w:tcBorders>
          </w:tcPr>
          <w:p w14:paraId="1FFB3CF8" w14:textId="77777777" w:rsidR="009F4766" w:rsidRPr="00DE12A3" w:rsidRDefault="009F4766" w:rsidP="00C917D6">
            <w:pPr>
              <w:pStyle w:val="NormalLeft"/>
            </w:pPr>
            <w:r w:rsidRPr="00DE12A3">
              <w:t>42</w:t>
            </w:r>
          </w:p>
        </w:tc>
        <w:tc>
          <w:tcPr>
            <w:tcW w:w="2551" w:type="dxa"/>
            <w:tcBorders>
              <w:top w:val="single" w:sz="2" w:space="0" w:color="auto"/>
              <w:left w:val="single" w:sz="2" w:space="0" w:color="auto"/>
              <w:bottom w:val="single" w:sz="2" w:space="0" w:color="auto"/>
              <w:right w:val="single" w:sz="2" w:space="0" w:color="auto"/>
            </w:tcBorders>
          </w:tcPr>
          <w:p w14:paraId="045EA920" w14:textId="77777777" w:rsidR="009F4766" w:rsidRPr="00DE12A3" w:rsidRDefault="009F4766" w:rsidP="00C917D6">
            <w:pPr>
              <w:pStyle w:val="NormalLeft"/>
            </w:pPr>
            <w:r w:rsidRPr="00DE12A3">
              <w:t>69</w:t>
            </w:r>
          </w:p>
        </w:tc>
      </w:tr>
      <w:tr w:rsidR="00DE12A3" w:rsidRPr="00DE12A3" w14:paraId="0E62577A" w14:textId="77777777" w:rsidTr="009F4766">
        <w:tc>
          <w:tcPr>
            <w:tcW w:w="1182" w:type="dxa"/>
            <w:tcBorders>
              <w:top w:val="single" w:sz="2" w:space="0" w:color="auto"/>
              <w:left w:val="single" w:sz="2" w:space="0" w:color="auto"/>
              <w:bottom w:val="single" w:sz="2" w:space="0" w:color="auto"/>
              <w:right w:val="single" w:sz="2" w:space="0" w:color="auto"/>
            </w:tcBorders>
          </w:tcPr>
          <w:p w14:paraId="6F9FFF29" w14:textId="77777777" w:rsidR="009F4766" w:rsidRPr="00DE12A3" w:rsidRDefault="009F4766" w:rsidP="00C917D6">
            <w:pPr>
              <w:pStyle w:val="NormalLeft"/>
            </w:pPr>
            <w:r w:rsidRPr="00DE12A3">
              <w:lastRenderedPageBreak/>
              <w:t>819</w:t>
            </w:r>
          </w:p>
        </w:tc>
        <w:tc>
          <w:tcPr>
            <w:tcW w:w="2489" w:type="dxa"/>
            <w:tcBorders>
              <w:top w:val="single" w:sz="2" w:space="0" w:color="auto"/>
              <w:left w:val="single" w:sz="2" w:space="0" w:color="auto"/>
              <w:bottom w:val="single" w:sz="2" w:space="0" w:color="auto"/>
              <w:right w:val="single" w:sz="2" w:space="0" w:color="auto"/>
            </w:tcBorders>
          </w:tcPr>
          <w:p w14:paraId="680CBA3C" w14:textId="77777777" w:rsidR="009F4766" w:rsidRPr="00DE12A3" w:rsidRDefault="009F4766" w:rsidP="00C917D6">
            <w:pPr>
              <w:pStyle w:val="NormalLeft"/>
            </w:pPr>
            <w:r w:rsidRPr="00DE12A3">
              <w:t>47</w:t>
            </w:r>
          </w:p>
        </w:tc>
        <w:tc>
          <w:tcPr>
            <w:tcW w:w="2551" w:type="dxa"/>
            <w:tcBorders>
              <w:top w:val="single" w:sz="2" w:space="0" w:color="auto"/>
              <w:left w:val="single" w:sz="2" w:space="0" w:color="auto"/>
              <w:bottom w:val="single" w:sz="2" w:space="0" w:color="auto"/>
              <w:right w:val="single" w:sz="2" w:space="0" w:color="auto"/>
            </w:tcBorders>
          </w:tcPr>
          <w:p w14:paraId="4B5170D4" w14:textId="77777777" w:rsidR="009F4766" w:rsidRPr="00DE12A3" w:rsidRDefault="009F4766" w:rsidP="00C917D6">
            <w:pPr>
              <w:pStyle w:val="NormalLeft"/>
            </w:pPr>
            <w:r w:rsidRPr="00DE12A3">
              <w:t>75</w:t>
            </w:r>
          </w:p>
        </w:tc>
      </w:tr>
      <w:tr w:rsidR="00DE12A3" w:rsidRPr="00DE12A3" w14:paraId="37718BED" w14:textId="77777777" w:rsidTr="009F4766">
        <w:tc>
          <w:tcPr>
            <w:tcW w:w="1182" w:type="dxa"/>
            <w:tcBorders>
              <w:top w:val="single" w:sz="2" w:space="0" w:color="auto"/>
              <w:left w:val="single" w:sz="2" w:space="0" w:color="auto"/>
              <w:bottom w:val="single" w:sz="2" w:space="0" w:color="auto"/>
              <w:right w:val="single" w:sz="2" w:space="0" w:color="auto"/>
            </w:tcBorders>
          </w:tcPr>
          <w:p w14:paraId="6DC28A5B" w14:textId="77777777" w:rsidR="009F4766" w:rsidRPr="00DE12A3" w:rsidRDefault="009F4766" w:rsidP="00C917D6">
            <w:pPr>
              <w:pStyle w:val="NormalLeft"/>
            </w:pPr>
            <w:r w:rsidRPr="00DE12A3">
              <w:t>820</w:t>
            </w:r>
          </w:p>
        </w:tc>
        <w:tc>
          <w:tcPr>
            <w:tcW w:w="2489" w:type="dxa"/>
            <w:tcBorders>
              <w:top w:val="single" w:sz="2" w:space="0" w:color="auto"/>
              <w:left w:val="single" w:sz="2" w:space="0" w:color="auto"/>
              <w:bottom w:val="single" w:sz="2" w:space="0" w:color="auto"/>
              <w:right w:val="single" w:sz="2" w:space="0" w:color="auto"/>
            </w:tcBorders>
          </w:tcPr>
          <w:p w14:paraId="5B42B73F" w14:textId="77777777" w:rsidR="009F4766" w:rsidRPr="00DE12A3" w:rsidRDefault="009F4766" w:rsidP="00C917D6">
            <w:pPr>
              <w:pStyle w:val="NormalLeft"/>
            </w:pPr>
            <w:r w:rsidRPr="00DE12A3">
              <w:t>53</w:t>
            </w:r>
          </w:p>
        </w:tc>
        <w:tc>
          <w:tcPr>
            <w:tcW w:w="2551" w:type="dxa"/>
            <w:tcBorders>
              <w:top w:val="single" w:sz="2" w:space="0" w:color="auto"/>
              <w:left w:val="single" w:sz="2" w:space="0" w:color="auto"/>
              <w:bottom w:val="single" w:sz="2" w:space="0" w:color="auto"/>
              <w:right w:val="single" w:sz="2" w:space="0" w:color="auto"/>
            </w:tcBorders>
          </w:tcPr>
          <w:p w14:paraId="297CE533" w14:textId="77777777" w:rsidR="009F4766" w:rsidRPr="00DE12A3" w:rsidRDefault="009F4766" w:rsidP="00C917D6">
            <w:pPr>
              <w:pStyle w:val="NormalLeft"/>
            </w:pPr>
            <w:r w:rsidRPr="00DE12A3">
              <w:t>67</w:t>
            </w:r>
          </w:p>
        </w:tc>
      </w:tr>
      <w:tr w:rsidR="00DE12A3" w:rsidRPr="00DE12A3" w14:paraId="4D455EE8" w14:textId="77777777" w:rsidTr="009F4766">
        <w:tc>
          <w:tcPr>
            <w:tcW w:w="1182" w:type="dxa"/>
            <w:tcBorders>
              <w:top w:val="single" w:sz="2" w:space="0" w:color="auto"/>
              <w:left w:val="single" w:sz="2" w:space="0" w:color="auto"/>
              <w:bottom w:val="single" w:sz="2" w:space="0" w:color="auto"/>
              <w:right w:val="single" w:sz="2" w:space="0" w:color="auto"/>
            </w:tcBorders>
          </w:tcPr>
          <w:p w14:paraId="1A11D7FE" w14:textId="77777777" w:rsidR="009F4766" w:rsidRPr="00DE12A3" w:rsidRDefault="009F4766" w:rsidP="00C917D6">
            <w:pPr>
              <w:pStyle w:val="NormalLeft"/>
            </w:pPr>
            <w:r w:rsidRPr="00DE12A3">
              <w:t>821</w:t>
            </w:r>
          </w:p>
        </w:tc>
        <w:tc>
          <w:tcPr>
            <w:tcW w:w="2489" w:type="dxa"/>
            <w:tcBorders>
              <w:top w:val="single" w:sz="2" w:space="0" w:color="auto"/>
              <w:left w:val="single" w:sz="2" w:space="0" w:color="auto"/>
              <w:bottom w:val="single" w:sz="2" w:space="0" w:color="auto"/>
              <w:right w:val="single" w:sz="2" w:space="0" w:color="auto"/>
            </w:tcBorders>
          </w:tcPr>
          <w:p w14:paraId="3997FD65" w14:textId="77777777" w:rsidR="009F4766" w:rsidRPr="00DE12A3" w:rsidRDefault="009F4766" w:rsidP="00C917D6">
            <w:pPr>
              <w:pStyle w:val="NormalLeft"/>
            </w:pPr>
            <w:r w:rsidRPr="00DE12A3">
              <w:t>61</w:t>
            </w:r>
          </w:p>
        </w:tc>
        <w:tc>
          <w:tcPr>
            <w:tcW w:w="2551" w:type="dxa"/>
            <w:tcBorders>
              <w:top w:val="single" w:sz="2" w:space="0" w:color="auto"/>
              <w:left w:val="single" w:sz="2" w:space="0" w:color="auto"/>
              <w:bottom w:val="single" w:sz="2" w:space="0" w:color="auto"/>
              <w:right w:val="single" w:sz="2" w:space="0" w:color="auto"/>
            </w:tcBorders>
          </w:tcPr>
          <w:p w14:paraId="16E0E888" w14:textId="77777777" w:rsidR="009F4766" w:rsidRPr="00DE12A3" w:rsidRDefault="009F4766" w:rsidP="00C917D6">
            <w:pPr>
              <w:pStyle w:val="NormalLeft"/>
            </w:pPr>
            <w:r w:rsidRPr="00DE12A3">
              <w:t>62</w:t>
            </w:r>
          </w:p>
        </w:tc>
      </w:tr>
      <w:tr w:rsidR="00DE12A3" w:rsidRPr="00DE12A3" w14:paraId="0E8AC82C" w14:textId="77777777" w:rsidTr="009F4766">
        <w:tc>
          <w:tcPr>
            <w:tcW w:w="1182" w:type="dxa"/>
            <w:tcBorders>
              <w:top w:val="single" w:sz="2" w:space="0" w:color="auto"/>
              <w:left w:val="single" w:sz="2" w:space="0" w:color="auto"/>
              <w:bottom w:val="single" w:sz="2" w:space="0" w:color="auto"/>
              <w:right w:val="single" w:sz="2" w:space="0" w:color="auto"/>
            </w:tcBorders>
          </w:tcPr>
          <w:p w14:paraId="7956B847" w14:textId="77777777" w:rsidR="009F4766" w:rsidRPr="00DE12A3" w:rsidRDefault="009F4766" w:rsidP="00C917D6">
            <w:pPr>
              <w:pStyle w:val="NormalLeft"/>
            </w:pPr>
            <w:r w:rsidRPr="00DE12A3">
              <w:t>822</w:t>
            </w:r>
          </w:p>
        </w:tc>
        <w:tc>
          <w:tcPr>
            <w:tcW w:w="2489" w:type="dxa"/>
            <w:tcBorders>
              <w:top w:val="single" w:sz="2" w:space="0" w:color="auto"/>
              <w:left w:val="single" w:sz="2" w:space="0" w:color="auto"/>
              <w:bottom w:val="single" w:sz="2" w:space="0" w:color="auto"/>
              <w:right w:val="single" w:sz="2" w:space="0" w:color="auto"/>
            </w:tcBorders>
          </w:tcPr>
          <w:p w14:paraId="0EE87F5F" w14:textId="77777777" w:rsidR="009F4766" w:rsidRPr="00DE12A3" w:rsidRDefault="009F4766" w:rsidP="00C917D6">
            <w:pPr>
              <w:pStyle w:val="NormalLeft"/>
            </w:pPr>
            <w:r w:rsidRPr="00DE12A3">
              <w:t>63</w:t>
            </w:r>
          </w:p>
        </w:tc>
        <w:tc>
          <w:tcPr>
            <w:tcW w:w="2551" w:type="dxa"/>
            <w:tcBorders>
              <w:top w:val="single" w:sz="2" w:space="0" w:color="auto"/>
              <w:left w:val="single" w:sz="2" w:space="0" w:color="auto"/>
              <w:bottom w:val="single" w:sz="2" w:space="0" w:color="auto"/>
              <w:right w:val="single" w:sz="2" w:space="0" w:color="auto"/>
            </w:tcBorders>
          </w:tcPr>
          <w:p w14:paraId="086B117E" w14:textId="77777777" w:rsidR="009F4766" w:rsidRPr="00DE12A3" w:rsidRDefault="009F4766" w:rsidP="00C917D6">
            <w:pPr>
              <w:pStyle w:val="NormalLeft"/>
            </w:pPr>
            <w:r w:rsidRPr="00DE12A3">
              <w:t>53</w:t>
            </w:r>
          </w:p>
        </w:tc>
      </w:tr>
      <w:tr w:rsidR="00DE12A3" w:rsidRPr="00DE12A3" w14:paraId="47671B19" w14:textId="77777777" w:rsidTr="009F4766">
        <w:tc>
          <w:tcPr>
            <w:tcW w:w="1182" w:type="dxa"/>
            <w:tcBorders>
              <w:top w:val="single" w:sz="2" w:space="0" w:color="auto"/>
              <w:left w:val="single" w:sz="2" w:space="0" w:color="auto"/>
              <w:bottom w:val="single" w:sz="2" w:space="0" w:color="auto"/>
              <w:right w:val="single" w:sz="2" w:space="0" w:color="auto"/>
            </w:tcBorders>
          </w:tcPr>
          <w:p w14:paraId="7D2DF8B4" w14:textId="77777777" w:rsidR="009F4766" w:rsidRPr="00DE12A3" w:rsidRDefault="009F4766" w:rsidP="00C917D6">
            <w:pPr>
              <w:pStyle w:val="NormalLeft"/>
            </w:pPr>
            <w:r w:rsidRPr="00DE12A3">
              <w:t>823</w:t>
            </w:r>
          </w:p>
        </w:tc>
        <w:tc>
          <w:tcPr>
            <w:tcW w:w="2489" w:type="dxa"/>
            <w:tcBorders>
              <w:top w:val="single" w:sz="2" w:space="0" w:color="auto"/>
              <w:left w:val="single" w:sz="2" w:space="0" w:color="auto"/>
              <w:bottom w:val="single" w:sz="2" w:space="0" w:color="auto"/>
              <w:right w:val="single" w:sz="2" w:space="0" w:color="auto"/>
            </w:tcBorders>
          </w:tcPr>
          <w:p w14:paraId="67AAFE7C" w14:textId="77777777" w:rsidR="009F4766" w:rsidRPr="00DE12A3" w:rsidRDefault="009F4766" w:rsidP="00C917D6">
            <w:pPr>
              <w:pStyle w:val="NormalLeft"/>
            </w:pPr>
            <w:r w:rsidRPr="00DE12A3">
              <w:t>60</w:t>
            </w:r>
          </w:p>
        </w:tc>
        <w:tc>
          <w:tcPr>
            <w:tcW w:w="2551" w:type="dxa"/>
            <w:tcBorders>
              <w:top w:val="single" w:sz="2" w:space="0" w:color="auto"/>
              <w:left w:val="single" w:sz="2" w:space="0" w:color="auto"/>
              <w:bottom w:val="single" w:sz="2" w:space="0" w:color="auto"/>
              <w:right w:val="single" w:sz="2" w:space="0" w:color="auto"/>
            </w:tcBorders>
          </w:tcPr>
          <w:p w14:paraId="25F1C6DF" w14:textId="77777777" w:rsidR="009F4766" w:rsidRPr="00DE12A3" w:rsidRDefault="009F4766" w:rsidP="00C917D6">
            <w:pPr>
              <w:pStyle w:val="NormalLeft"/>
            </w:pPr>
            <w:r w:rsidRPr="00DE12A3">
              <w:t>54</w:t>
            </w:r>
          </w:p>
        </w:tc>
      </w:tr>
      <w:tr w:rsidR="00DE12A3" w:rsidRPr="00DE12A3" w14:paraId="741FD8B3" w14:textId="77777777" w:rsidTr="009F4766">
        <w:tc>
          <w:tcPr>
            <w:tcW w:w="1182" w:type="dxa"/>
            <w:tcBorders>
              <w:top w:val="single" w:sz="2" w:space="0" w:color="auto"/>
              <w:left w:val="single" w:sz="2" w:space="0" w:color="auto"/>
              <w:bottom w:val="single" w:sz="2" w:space="0" w:color="auto"/>
              <w:right w:val="single" w:sz="2" w:space="0" w:color="auto"/>
            </w:tcBorders>
          </w:tcPr>
          <w:p w14:paraId="59876FDD" w14:textId="77777777" w:rsidR="009F4766" w:rsidRPr="00DE12A3" w:rsidRDefault="009F4766" w:rsidP="00C917D6">
            <w:pPr>
              <w:pStyle w:val="NormalLeft"/>
            </w:pPr>
            <w:r w:rsidRPr="00DE12A3">
              <w:t>824</w:t>
            </w:r>
          </w:p>
        </w:tc>
        <w:tc>
          <w:tcPr>
            <w:tcW w:w="2489" w:type="dxa"/>
            <w:tcBorders>
              <w:top w:val="single" w:sz="2" w:space="0" w:color="auto"/>
              <w:left w:val="single" w:sz="2" w:space="0" w:color="auto"/>
              <w:bottom w:val="single" w:sz="2" w:space="0" w:color="auto"/>
              <w:right w:val="single" w:sz="2" w:space="0" w:color="auto"/>
            </w:tcBorders>
          </w:tcPr>
          <w:p w14:paraId="3BDB4CB3" w14:textId="77777777" w:rsidR="009F4766" w:rsidRPr="00DE12A3" w:rsidRDefault="009F4766" w:rsidP="00C917D6">
            <w:pPr>
              <w:pStyle w:val="NormalLeft"/>
            </w:pPr>
            <w:r w:rsidRPr="00DE12A3">
              <w:t>56</w:t>
            </w:r>
          </w:p>
        </w:tc>
        <w:tc>
          <w:tcPr>
            <w:tcW w:w="2551" w:type="dxa"/>
            <w:tcBorders>
              <w:top w:val="single" w:sz="2" w:space="0" w:color="auto"/>
              <w:left w:val="single" w:sz="2" w:space="0" w:color="auto"/>
              <w:bottom w:val="single" w:sz="2" w:space="0" w:color="auto"/>
              <w:right w:val="single" w:sz="2" w:space="0" w:color="auto"/>
            </w:tcBorders>
          </w:tcPr>
          <w:p w14:paraId="671A3994" w14:textId="77777777" w:rsidR="009F4766" w:rsidRPr="00DE12A3" w:rsidRDefault="009F4766" w:rsidP="00C917D6">
            <w:pPr>
              <w:pStyle w:val="NormalLeft"/>
            </w:pPr>
            <w:r w:rsidRPr="00DE12A3">
              <w:t>44</w:t>
            </w:r>
          </w:p>
        </w:tc>
      </w:tr>
      <w:tr w:rsidR="00DE12A3" w:rsidRPr="00DE12A3" w14:paraId="3FE18B81" w14:textId="77777777" w:rsidTr="009F4766">
        <w:tc>
          <w:tcPr>
            <w:tcW w:w="1182" w:type="dxa"/>
            <w:tcBorders>
              <w:top w:val="single" w:sz="2" w:space="0" w:color="auto"/>
              <w:left w:val="single" w:sz="2" w:space="0" w:color="auto"/>
              <w:bottom w:val="single" w:sz="2" w:space="0" w:color="auto"/>
              <w:right w:val="single" w:sz="2" w:space="0" w:color="auto"/>
            </w:tcBorders>
          </w:tcPr>
          <w:p w14:paraId="04C9477D" w14:textId="77777777" w:rsidR="009F4766" w:rsidRPr="00DE12A3" w:rsidRDefault="009F4766" w:rsidP="00C917D6">
            <w:pPr>
              <w:pStyle w:val="NormalLeft"/>
            </w:pPr>
            <w:r w:rsidRPr="00DE12A3">
              <w:t>825</w:t>
            </w:r>
          </w:p>
        </w:tc>
        <w:tc>
          <w:tcPr>
            <w:tcW w:w="2489" w:type="dxa"/>
            <w:tcBorders>
              <w:top w:val="single" w:sz="2" w:space="0" w:color="auto"/>
              <w:left w:val="single" w:sz="2" w:space="0" w:color="auto"/>
              <w:bottom w:val="single" w:sz="2" w:space="0" w:color="auto"/>
              <w:right w:val="single" w:sz="2" w:space="0" w:color="auto"/>
            </w:tcBorders>
          </w:tcPr>
          <w:p w14:paraId="38C82EA6" w14:textId="77777777" w:rsidR="009F4766" w:rsidRPr="00DE12A3" w:rsidRDefault="009F4766" w:rsidP="00C917D6">
            <w:pPr>
              <w:pStyle w:val="NormalLeft"/>
            </w:pPr>
            <w:r w:rsidRPr="00DE12A3">
              <w:t>49</w:t>
            </w:r>
          </w:p>
        </w:tc>
        <w:tc>
          <w:tcPr>
            <w:tcW w:w="2551" w:type="dxa"/>
            <w:tcBorders>
              <w:top w:val="single" w:sz="2" w:space="0" w:color="auto"/>
              <w:left w:val="single" w:sz="2" w:space="0" w:color="auto"/>
              <w:bottom w:val="single" w:sz="2" w:space="0" w:color="auto"/>
              <w:right w:val="single" w:sz="2" w:space="0" w:color="auto"/>
            </w:tcBorders>
          </w:tcPr>
          <w:p w14:paraId="72B25E88" w14:textId="77777777" w:rsidR="009F4766" w:rsidRPr="00DE12A3" w:rsidRDefault="009F4766" w:rsidP="00C917D6">
            <w:pPr>
              <w:pStyle w:val="NormalLeft"/>
            </w:pPr>
            <w:r w:rsidRPr="00DE12A3">
              <w:t>39</w:t>
            </w:r>
          </w:p>
        </w:tc>
      </w:tr>
      <w:tr w:rsidR="00DE12A3" w:rsidRPr="00DE12A3" w14:paraId="427BD873" w14:textId="77777777" w:rsidTr="009F4766">
        <w:tc>
          <w:tcPr>
            <w:tcW w:w="1182" w:type="dxa"/>
            <w:tcBorders>
              <w:top w:val="single" w:sz="2" w:space="0" w:color="auto"/>
              <w:left w:val="single" w:sz="2" w:space="0" w:color="auto"/>
              <w:bottom w:val="single" w:sz="2" w:space="0" w:color="auto"/>
              <w:right w:val="single" w:sz="2" w:space="0" w:color="auto"/>
            </w:tcBorders>
          </w:tcPr>
          <w:p w14:paraId="4AB1B6B2" w14:textId="77777777" w:rsidR="009F4766" w:rsidRPr="00DE12A3" w:rsidRDefault="009F4766" w:rsidP="00C917D6">
            <w:pPr>
              <w:pStyle w:val="NormalLeft"/>
            </w:pPr>
            <w:r w:rsidRPr="00DE12A3">
              <w:t>826</w:t>
            </w:r>
          </w:p>
        </w:tc>
        <w:tc>
          <w:tcPr>
            <w:tcW w:w="2489" w:type="dxa"/>
            <w:tcBorders>
              <w:top w:val="single" w:sz="2" w:space="0" w:color="auto"/>
              <w:left w:val="single" w:sz="2" w:space="0" w:color="auto"/>
              <w:bottom w:val="single" w:sz="2" w:space="0" w:color="auto"/>
              <w:right w:val="single" w:sz="2" w:space="0" w:color="auto"/>
            </w:tcBorders>
          </w:tcPr>
          <w:p w14:paraId="1EBA948C" w14:textId="77777777" w:rsidR="009F4766" w:rsidRPr="00DE12A3" w:rsidRDefault="009F4766" w:rsidP="00C917D6">
            <w:pPr>
              <w:pStyle w:val="NormalLeft"/>
            </w:pPr>
            <w:r w:rsidRPr="00DE12A3">
              <w:t>39</w:t>
            </w:r>
          </w:p>
        </w:tc>
        <w:tc>
          <w:tcPr>
            <w:tcW w:w="2551" w:type="dxa"/>
            <w:tcBorders>
              <w:top w:val="single" w:sz="2" w:space="0" w:color="auto"/>
              <w:left w:val="single" w:sz="2" w:space="0" w:color="auto"/>
              <w:bottom w:val="single" w:sz="2" w:space="0" w:color="auto"/>
              <w:right w:val="single" w:sz="2" w:space="0" w:color="auto"/>
            </w:tcBorders>
          </w:tcPr>
          <w:p w14:paraId="76E17614" w14:textId="77777777" w:rsidR="009F4766" w:rsidRPr="00DE12A3" w:rsidRDefault="009F4766" w:rsidP="00C917D6">
            <w:pPr>
              <w:pStyle w:val="NormalLeft"/>
            </w:pPr>
            <w:r w:rsidRPr="00DE12A3">
              <w:t>35</w:t>
            </w:r>
          </w:p>
        </w:tc>
      </w:tr>
      <w:tr w:rsidR="00DE12A3" w:rsidRPr="00DE12A3" w14:paraId="2C7707F2" w14:textId="77777777" w:rsidTr="009F4766">
        <w:tc>
          <w:tcPr>
            <w:tcW w:w="1182" w:type="dxa"/>
            <w:tcBorders>
              <w:top w:val="single" w:sz="2" w:space="0" w:color="auto"/>
              <w:left w:val="single" w:sz="2" w:space="0" w:color="auto"/>
              <w:bottom w:val="single" w:sz="2" w:space="0" w:color="auto"/>
              <w:right w:val="single" w:sz="2" w:space="0" w:color="auto"/>
            </w:tcBorders>
          </w:tcPr>
          <w:p w14:paraId="242B7EEF" w14:textId="77777777" w:rsidR="009F4766" w:rsidRPr="00DE12A3" w:rsidRDefault="009F4766" w:rsidP="00C917D6">
            <w:pPr>
              <w:pStyle w:val="NormalLeft"/>
            </w:pPr>
            <w:r w:rsidRPr="00DE12A3">
              <w:t>827</w:t>
            </w:r>
          </w:p>
        </w:tc>
        <w:tc>
          <w:tcPr>
            <w:tcW w:w="2489" w:type="dxa"/>
            <w:tcBorders>
              <w:top w:val="single" w:sz="2" w:space="0" w:color="auto"/>
              <w:left w:val="single" w:sz="2" w:space="0" w:color="auto"/>
              <w:bottom w:val="single" w:sz="2" w:space="0" w:color="auto"/>
              <w:right w:val="single" w:sz="2" w:space="0" w:color="auto"/>
            </w:tcBorders>
          </w:tcPr>
          <w:p w14:paraId="33B1516B" w14:textId="77777777" w:rsidR="009F4766" w:rsidRPr="00DE12A3" w:rsidRDefault="009F4766" w:rsidP="00C917D6">
            <w:pPr>
              <w:pStyle w:val="NormalLeft"/>
            </w:pPr>
            <w:r w:rsidRPr="00DE12A3">
              <w:t>30</w:t>
            </w:r>
          </w:p>
        </w:tc>
        <w:tc>
          <w:tcPr>
            <w:tcW w:w="2551" w:type="dxa"/>
            <w:tcBorders>
              <w:top w:val="single" w:sz="2" w:space="0" w:color="auto"/>
              <w:left w:val="single" w:sz="2" w:space="0" w:color="auto"/>
              <w:bottom w:val="single" w:sz="2" w:space="0" w:color="auto"/>
              <w:right w:val="single" w:sz="2" w:space="0" w:color="auto"/>
            </w:tcBorders>
          </w:tcPr>
          <w:p w14:paraId="348D515C" w14:textId="77777777" w:rsidR="009F4766" w:rsidRPr="00DE12A3" w:rsidRDefault="009F4766" w:rsidP="00C917D6">
            <w:pPr>
              <w:pStyle w:val="NormalLeft"/>
            </w:pPr>
            <w:r w:rsidRPr="00DE12A3">
              <w:t>34</w:t>
            </w:r>
          </w:p>
        </w:tc>
      </w:tr>
      <w:tr w:rsidR="00DE12A3" w:rsidRPr="00DE12A3" w14:paraId="673BE82E" w14:textId="77777777" w:rsidTr="009F4766">
        <w:tc>
          <w:tcPr>
            <w:tcW w:w="1182" w:type="dxa"/>
            <w:tcBorders>
              <w:top w:val="single" w:sz="2" w:space="0" w:color="auto"/>
              <w:left w:val="single" w:sz="2" w:space="0" w:color="auto"/>
              <w:bottom w:val="single" w:sz="2" w:space="0" w:color="auto"/>
              <w:right w:val="single" w:sz="2" w:space="0" w:color="auto"/>
            </w:tcBorders>
          </w:tcPr>
          <w:p w14:paraId="6D789A5D" w14:textId="77777777" w:rsidR="009F4766" w:rsidRPr="00DE12A3" w:rsidRDefault="009F4766" w:rsidP="00C917D6">
            <w:pPr>
              <w:pStyle w:val="NormalLeft"/>
            </w:pPr>
            <w:r w:rsidRPr="00DE12A3">
              <w:t>828</w:t>
            </w:r>
          </w:p>
        </w:tc>
        <w:tc>
          <w:tcPr>
            <w:tcW w:w="2489" w:type="dxa"/>
            <w:tcBorders>
              <w:top w:val="single" w:sz="2" w:space="0" w:color="auto"/>
              <w:left w:val="single" w:sz="2" w:space="0" w:color="auto"/>
              <w:bottom w:val="single" w:sz="2" w:space="0" w:color="auto"/>
              <w:right w:val="single" w:sz="2" w:space="0" w:color="auto"/>
            </w:tcBorders>
          </w:tcPr>
          <w:p w14:paraId="46C6DE9E" w14:textId="77777777" w:rsidR="009F4766" w:rsidRPr="00DE12A3" w:rsidRDefault="009F4766" w:rsidP="00C917D6">
            <w:pPr>
              <w:pStyle w:val="NormalLeft"/>
            </w:pPr>
            <w:r w:rsidRPr="00DE12A3">
              <w:t>33</w:t>
            </w:r>
          </w:p>
        </w:tc>
        <w:tc>
          <w:tcPr>
            <w:tcW w:w="2551" w:type="dxa"/>
            <w:tcBorders>
              <w:top w:val="single" w:sz="2" w:space="0" w:color="auto"/>
              <w:left w:val="single" w:sz="2" w:space="0" w:color="auto"/>
              <w:bottom w:val="single" w:sz="2" w:space="0" w:color="auto"/>
              <w:right w:val="single" w:sz="2" w:space="0" w:color="auto"/>
            </w:tcBorders>
          </w:tcPr>
          <w:p w14:paraId="56571E8D" w14:textId="77777777" w:rsidR="009F4766" w:rsidRPr="00DE12A3" w:rsidRDefault="009F4766" w:rsidP="00C917D6">
            <w:pPr>
              <w:pStyle w:val="NormalLeft"/>
            </w:pPr>
            <w:r w:rsidRPr="00DE12A3">
              <w:t>46</w:t>
            </w:r>
          </w:p>
        </w:tc>
      </w:tr>
      <w:tr w:rsidR="00DE12A3" w:rsidRPr="00DE12A3" w14:paraId="1F747734" w14:textId="77777777" w:rsidTr="009F4766">
        <w:tc>
          <w:tcPr>
            <w:tcW w:w="1182" w:type="dxa"/>
            <w:tcBorders>
              <w:top w:val="single" w:sz="2" w:space="0" w:color="auto"/>
              <w:left w:val="single" w:sz="2" w:space="0" w:color="auto"/>
              <w:bottom w:val="single" w:sz="2" w:space="0" w:color="auto"/>
              <w:right w:val="single" w:sz="2" w:space="0" w:color="auto"/>
            </w:tcBorders>
          </w:tcPr>
          <w:p w14:paraId="00470834" w14:textId="77777777" w:rsidR="009F4766" w:rsidRPr="00DE12A3" w:rsidRDefault="009F4766" w:rsidP="00C917D6">
            <w:pPr>
              <w:pStyle w:val="NormalLeft"/>
            </w:pPr>
            <w:r w:rsidRPr="00DE12A3">
              <w:t>829</w:t>
            </w:r>
          </w:p>
        </w:tc>
        <w:tc>
          <w:tcPr>
            <w:tcW w:w="2489" w:type="dxa"/>
            <w:tcBorders>
              <w:top w:val="single" w:sz="2" w:space="0" w:color="auto"/>
              <w:left w:val="single" w:sz="2" w:space="0" w:color="auto"/>
              <w:bottom w:val="single" w:sz="2" w:space="0" w:color="auto"/>
              <w:right w:val="single" w:sz="2" w:space="0" w:color="auto"/>
            </w:tcBorders>
          </w:tcPr>
          <w:p w14:paraId="40125E0D" w14:textId="77777777" w:rsidR="009F4766" w:rsidRPr="00DE12A3" w:rsidRDefault="009F4766" w:rsidP="00C917D6">
            <w:pPr>
              <w:pStyle w:val="NormalLeft"/>
            </w:pPr>
            <w:r w:rsidRPr="00DE12A3">
              <w:t>44</w:t>
            </w:r>
          </w:p>
        </w:tc>
        <w:tc>
          <w:tcPr>
            <w:tcW w:w="2551" w:type="dxa"/>
            <w:tcBorders>
              <w:top w:val="single" w:sz="2" w:space="0" w:color="auto"/>
              <w:left w:val="single" w:sz="2" w:space="0" w:color="auto"/>
              <w:bottom w:val="single" w:sz="2" w:space="0" w:color="auto"/>
              <w:right w:val="single" w:sz="2" w:space="0" w:color="auto"/>
            </w:tcBorders>
          </w:tcPr>
          <w:p w14:paraId="1BAEE42E" w14:textId="77777777" w:rsidR="009F4766" w:rsidRPr="00DE12A3" w:rsidRDefault="009F4766" w:rsidP="00C917D6">
            <w:pPr>
              <w:pStyle w:val="NormalLeft"/>
            </w:pPr>
            <w:r w:rsidRPr="00DE12A3">
              <w:t>56</w:t>
            </w:r>
          </w:p>
        </w:tc>
      </w:tr>
      <w:tr w:rsidR="00DE12A3" w:rsidRPr="00DE12A3" w14:paraId="12439D35" w14:textId="77777777" w:rsidTr="009F4766">
        <w:tc>
          <w:tcPr>
            <w:tcW w:w="1182" w:type="dxa"/>
            <w:tcBorders>
              <w:top w:val="single" w:sz="2" w:space="0" w:color="auto"/>
              <w:left w:val="single" w:sz="2" w:space="0" w:color="auto"/>
              <w:bottom w:val="single" w:sz="2" w:space="0" w:color="auto"/>
              <w:right w:val="single" w:sz="2" w:space="0" w:color="auto"/>
            </w:tcBorders>
          </w:tcPr>
          <w:p w14:paraId="520DCC19" w14:textId="77777777" w:rsidR="009F4766" w:rsidRPr="00DE12A3" w:rsidRDefault="009F4766" w:rsidP="00C917D6">
            <w:pPr>
              <w:pStyle w:val="NormalLeft"/>
            </w:pPr>
            <w:r w:rsidRPr="00DE12A3">
              <w:t>830</w:t>
            </w:r>
          </w:p>
        </w:tc>
        <w:tc>
          <w:tcPr>
            <w:tcW w:w="2489" w:type="dxa"/>
            <w:tcBorders>
              <w:top w:val="single" w:sz="2" w:space="0" w:color="auto"/>
              <w:left w:val="single" w:sz="2" w:space="0" w:color="auto"/>
              <w:bottom w:val="single" w:sz="2" w:space="0" w:color="auto"/>
              <w:right w:val="single" w:sz="2" w:space="0" w:color="auto"/>
            </w:tcBorders>
          </w:tcPr>
          <w:p w14:paraId="765BBC7C" w14:textId="77777777" w:rsidR="009F4766" w:rsidRPr="00DE12A3" w:rsidRDefault="009F4766" w:rsidP="00C917D6">
            <w:pPr>
              <w:pStyle w:val="NormalLeft"/>
            </w:pPr>
            <w:r w:rsidRPr="00DE12A3">
              <w:t>50</w:t>
            </w:r>
          </w:p>
        </w:tc>
        <w:tc>
          <w:tcPr>
            <w:tcW w:w="2551" w:type="dxa"/>
            <w:tcBorders>
              <w:top w:val="single" w:sz="2" w:space="0" w:color="auto"/>
              <w:left w:val="single" w:sz="2" w:space="0" w:color="auto"/>
              <w:bottom w:val="single" w:sz="2" w:space="0" w:color="auto"/>
              <w:right w:val="single" w:sz="2" w:space="0" w:color="auto"/>
            </w:tcBorders>
          </w:tcPr>
          <w:p w14:paraId="385AE658" w14:textId="77777777" w:rsidR="009F4766" w:rsidRPr="00DE12A3" w:rsidRDefault="009F4766" w:rsidP="00C917D6">
            <w:pPr>
              <w:pStyle w:val="NormalLeft"/>
            </w:pPr>
            <w:r w:rsidRPr="00DE12A3">
              <w:t>56</w:t>
            </w:r>
          </w:p>
        </w:tc>
      </w:tr>
      <w:tr w:rsidR="00DE12A3" w:rsidRPr="00DE12A3" w14:paraId="62341A43" w14:textId="77777777" w:rsidTr="009F4766">
        <w:tc>
          <w:tcPr>
            <w:tcW w:w="1182" w:type="dxa"/>
            <w:tcBorders>
              <w:top w:val="single" w:sz="2" w:space="0" w:color="auto"/>
              <w:left w:val="single" w:sz="2" w:space="0" w:color="auto"/>
              <w:bottom w:val="single" w:sz="2" w:space="0" w:color="auto"/>
              <w:right w:val="single" w:sz="2" w:space="0" w:color="auto"/>
            </w:tcBorders>
          </w:tcPr>
          <w:p w14:paraId="46F2A88F" w14:textId="77777777" w:rsidR="009F4766" w:rsidRPr="00DE12A3" w:rsidRDefault="009F4766" w:rsidP="00C917D6">
            <w:pPr>
              <w:pStyle w:val="NormalLeft"/>
            </w:pPr>
            <w:r w:rsidRPr="00DE12A3">
              <w:t>831</w:t>
            </w:r>
          </w:p>
        </w:tc>
        <w:tc>
          <w:tcPr>
            <w:tcW w:w="2489" w:type="dxa"/>
            <w:tcBorders>
              <w:top w:val="single" w:sz="2" w:space="0" w:color="auto"/>
              <w:left w:val="single" w:sz="2" w:space="0" w:color="auto"/>
              <w:bottom w:val="single" w:sz="2" w:space="0" w:color="auto"/>
              <w:right w:val="single" w:sz="2" w:space="0" w:color="auto"/>
            </w:tcBorders>
          </w:tcPr>
          <w:p w14:paraId="66395987" w14:textId="77777777" w:rsidR="009F4766" w:rsidRPr="00DE12A3" w:rsidRDefault="009F4766" w:rsidP="00C917D6">
            <w:pPr>
              <w:pStyle w:val="NormalLeft"/>
            </w:pPr>
            <w:r w:rsidRPr="00DE12A3">
              <w:t>44</w:t>
            </w:r>
          </w:p>
        </w:tc>
        <w:tc>
          <w:tcPr>
            <w:tcW w:w="2551" w:type="dxa"/>
            <w:tcBorders>
              <w:top w:val="single" w:sz="2" w:space="0" w:color="auto"/>
              <w:left w:val="single" w:sz="2" w:space="0" w:color="auto"/>
              <w:bottom w:val="single" w:sz="2" w:space="0" w:color="auto"/>
              <w:right w:val="single" w:sz="2" w:space="0" w:color="auto"/>
            </w:tcBorders>
          </w:tcPr>
          <w:p w14:paraId="412C793E" w14:textId="77777777" w:rsidR="009F4766" w:rsidRPr="00DE12A3" w:rsidRDefault="009F4766" w:rsidP="00C917D6">
            <w:pPr>
              <w:pStyle w:val="NormalLeft"/>
            </w:pPr>
            <w:r w:rsidRPr="00DE12A3">
              <w:t>52</w:t>
            </w:r>
          </w:p>
        </w:tc>
      </w:tr>
      <w:tr w:rsidR="00DE12A3" w:rsidRPr="00DE12A3" w14:paraId="24BB870E" w14:textId="77777777" w:rsidTr="009F4766">
        <w:tc>
          <w:tcPr>
            <w:tcW w:w="1182" w:type="dxa"/>
            <w:tcBorders>
              <w:top w:val="single" w:sz="2" w:space="0" w:color="auto"/>
              <w:left w:val="single" w:sz="2" w:space="0" w:color="auto"/>
              <w:bottom w:val="single" w:sz="2" w:space="0" w:color="auto"/>
              <w:right w:val="single" w:sz="2" w:space="0" w:color="auto"/>
            </w:tcBorders>
          </w:tcPr>
          <w:p w14:paraId="03E054E9" w14:textId="77777777" w:rsidR="009F4766" w:rsidRPr="00DE12A3" w:rsidRDefault="009F4766" w:rsidP="00C917D6">
            <w:pPr>
              <w:pStyle w:val="NormalLeft"/>
            </w:pPr>
            <w:r w:rsidRPr="00DE12A3">
              <w:t>832</w:t>
            </w:r>
          </w:p>
        </w:tc>
        <w:tc>
          <w:tcPr>
            <w:tcW w:w="2489" w:type="dxa"/>
            <w:tcBorders>
              <w:top w:val="single" w:sz="2" w:space="0" w:color="auto"/>
              <w:left w:val="single" w:sz="2" w:space="0" w:color="auto"/>
              <w:bottom w:val="single" w:sz="2" w:space="0" w:color="auto"/>
              <w:right w:val="single" w:sz="2" w:space="0" w:color="auto"/>
            </w:tcBorders>
          </w:tcPr>
          <w:p w14:paraId="50261695" w14:textId="77777777" w:rsidR="009F4766" w:rsidRPr="00DE12A3" w:rsidRDefault="009F4766" w:rsidP="00C917D6">
            <w:pPr>
              <w:pStyle w:val="NormalLeft"/>
            </w:pPr>
            <w:r w:rsidRPr="00DE12A3">
              <w:t>38</w:t>
            </w:r>
          </w:p>
        </w:tc>
        <w:tc>
          <w:tcPr>
            <w:tcW w:w="2551" w:type="dxa"/>
            <w:tcBorders>
              <w:top w:val="single" w:sz="2" w:space="0" w:color="auto"/>
              <w:left w:val="single" w:sz="2" w:space="0" w:color="auto"/>
              <w:bottom w:val="single" w:sz="2" w:space="0" w:color="auto"/>
              <w:right w:val="single" w:sz="2" w:space="0" w:color="auto"/>
            </w:tcBorders>
          </w:tcPr>
          <w:p w14:paraId="603D24D9" w14:textId="77777777" w:rsidR="009F4766" w:rsidRPr="00DE12A3" w:rsidRDefault="009F4766" w:rsidP="00C917D6">
            <w:pPr>
              <w:pStyle w:val="NormalLeft"/>
            </w:pPr>
            <w:r w:rsidRPr="00DE12A3">
              <w:t>46</w:t>
            </w:r>
          </w:p>
        </w:tc>
      </w:tr>
      <w:tr w:rsidR="00DE12A3" w:rsidRPr="00DE12A3" w14:paraId="5EE4F57C" w14:textId="77777777" w:rsidTr="009F4766">
        <w:tc>
          <w:tcPr>
            <w:tcW w:w="1182" w:type="dxa"/>
            <w:tcBorders>
              <w:top w:val="single" w:sz="2" w:space="0" w:color="auto"/>
              <w:left w:val="single" w:sz="2" w:space="0" w:color="auto"/>
              <w:bottom w:val="single" w:sz="2" w:space="0" w:color="auto"/>
              <w:right w:val="single" w:sz="2" w:space="0" w:color="auto"/>
            </w:tcBorders>
          </w:tcPr>
          <w:p w14:paraId="4938DEFB" w14:textId="77777777" w:rsidR="009F4766" w:rsidRPr="00DE12A3" w:rsidRDefault="009F4766" w:rsidP="00C917D6">
            <w:pPr>
              <w:pStyle w:val="NormalLeft"/>
            </w:pPr>
            <w:r w:rsidRPr="00DE12A3">
              <w:t>833</w:t>
            </w:r>
          </w:p>
        </w:tc>
        <w:tc>
          <w:tcPr>
            <w:tcW w:w="2489" w:type="dxa"/>
            <w:tcBorders>
              <w:top w:val="single" w:sz="2" w:space="0" w:color="auto"/>
              <w:left w:val="single" w:sz="2" w:space="0" w:color="auto"/>
              <w:bottom w:val="single" w:sz="2" w:space="0" w:color="auto"/>
              <w:right w:val="single" w:sz="2" w:space="0" w:color="auto"/>
            </w:tcBorders>
          </w:tcPr>
          <w:p w14:paraId="25CF142F" w14:textId="77777777" w:rsidR="009F4766" w:rsidRPr="00DE12A3" w:rsidRDefault="009F4766" w:rsidP="00C917D6">
            <w:pPr>
              <w:pStyle w:val="NormalLeft"/>
            </w:pPr>
            <w:r w:rsidRPr="00DE12A3">
              <w:t>33</w:t>
            </w:r>
          </w:p>
        </w:tc>
        <w:tc>
          <w:tcPr>
            <w:tcW w:w="2551" w:type="dxa"/>
            <w:tcBorders>
              <w:top w:val="single" w:sz="2" w:space="0" w:color="auto"/>
              <w:left w:val="single" w:sz="2" w:space="0" w:color="auto"/>
              <w:bottom w:val="single" w:sz="2" w:space="0" w:color="auto"/>
              <w:right w:val="single" w:sz="2" w:space="0" w:color="auto"/>
            </w:tcBorders>
          </w:tcPr>
          <w:p w14:paraId="1446101D" w14:textId="77777777" w:rsidR="009F4766" w:rsidRPr="00DE12A3" w:rsidRDefault="009F4766" w:rsidP="00C917D6">
            <w:pPr>
              <w:pStyle w:val="NormalLeft"/>
            </w:pPr>
            <w:r w:rsidRPr="00DE12A3">
              <w:t>44</w:t>
            </w:r>
          </w:p>
        </w:tc>
      </w:tr>
      <w:tr w:rsidR="00DE12A3" w:rsidRPr="00DE12A3" w14:paraId="452F2B9B" w14:textId="77777777" w:rsidTr="009F4766">
        <w:tc>
          <w:tcPr>
            <w:tcW w:w="1182" w:type="dxa"/>
            <w:tcBorders>
              <w:top w:val="single" w:sz="2" w:space="0" w:color="auto"/>
              <w:left w:val="single" w:sz="2" w:space="0" w:color="auto"/>
              <w:bottom w:val="single" w:sz="2" w:space="0" w:color="auto"/>
              <w:right w:val="single" w:sz="2" w:space="0" w:color="auto"/>
            </w:tcBorders>
          </w:tcPr>
          <w:p w14:paraId="10AA84CB" w14:textId="77777777" w:rsidR="009F4766" w:rsidRPr="00DE12A3" w:rsidRDefault="009F4766" w:rsidP="00C917D6">
            <w:pPr>
              <w:pStyle w:val="NormalLeft"/>
            </w:pPr>
            <w:r w:rsidRPr="00DE12A3">
              <w:t>834</w:t>
            </w:r>
          </w:p>
        </w:tc>
        <w:tc>
          <w:tcPr>
            <w:tcW w:w="2489" w:type="dxa"/>
            <w:tcBorders>
              <w:top w:val="single" w:sz="2" w:space="0" w:color="auto"/>
              <w:left w:val="single" w:sz="2" w:space="0" w:color="auto"/>
              <w:bottom w:val="single" w:sz="2" w:space="0" w:color="auto"/>
              <w:right w:val="single" w:sz="2" w:space="0" w:color="auto"/>
            </w:tcBorders>
          </w:tcPr>
          <w:p w14:paraId="78B5250D" w14:textId="77777777" w:rsidR="009F4766" w:rsidRPr="00DE12A3" w:rsidRDefault="009F4766" w:rsidP="00C917D6">
            <w:pPr>
              <w:pStyle w:val="NormalLeft"/>
            </w:pPr>
            <w:r w:rsidRPr="00DE12A3">
              <w:t>29</w:t>
            </w:r>
          </w:p>
        </w:tc>
        <w:tc>
          <w:tcPr>
            <w:tcW w:w="2551" w:type="dxa"/>
            <w:tcBorders>
              <w:top w:val="single" w:sz="2" w:space="0" w:color="auto"/>
              <w:left w:val="single" w:sz="2" w:space="0" w:color="auto"/>
              <w:bottom w:val="single" w:sz="2" w:space="0" w:color="auto"/>
              <w:right w:val="single" w:sz="2" w:space="0" w:color="auto"/>
            </w:tcBorders>
          </w:tcPr>
          <w:p w14:paraId="585B6499" w14:textId="77777777" w:rsidR="009F4766" w:rsidRPr="00DE12A3" w:rsidRDefault="009F4766" w:rsidP="00C917D6">
            <w:pPr>
              <w:pStyle w:val="NormalLeft"/>
            </w:pPr>
            <w:r w:rsidRPr="00DE12A3">
              <w:t>45</w:t>
            </w:r>
          </w:p>
        </w:tc>
      </w:tr>
      <w:tr w:rsidR="00DE12A3" w:rsidRPr="00DE12A3" w14:paraId="6B07DD92" w14:textId="77777777" w:rsidTr="009F4766">
        <w:tc>
          <w:tcPr>
            <w:tcW w:w="1182" w:type="dxa"/>
            <w:tcBorders>
              <w:top w:val="single" w:sz="2" w:space="0" w:color="auto"/>
              <w:left w:val="single" w:sz="2" w:space="0" w:color="auto"/>
              <w:bottom w:val="single" w:sz="2" w:space="0" w:color="auto"/>
              <w:right w:val="single" w:sz="2" w:space="0" w:color="auto"/>
            </w:tcBorders>
          </w:tcPr>
          <w:p w14:paraId="3DA8B3F9" w14:textId="77777777" w:rsidR="009F4766" w:rsidRPr="00DE12A3" w:rsidRDefault="009F4766" w:rsidP="00C917D6">
            <w:pPr>
              <w:pStyle w:val="NormalLeft"/>
            </w:pPr>
            <w:r w:rsidRPr="00DE12A3">
              <w:t>835</w:t>
            </w:r>
          </w:p>
        </w:tc>
        <w:tc>
          <w:tcPr>
            <w:tcW w:w="2489" w:type="dxa"/>
            <w:tcBorders>
              <w:top w:val="single" w:sz="2" w:space="0" w:color="auto"/>
              <w:left w:val="single" w:sz="2" w:space="0" w:color="auto"/>
              <w:bottom w:val="single" w:sz="2" w:space="0" w:color="auto"/>
              <w:right w:val="single" w:sz="2" w:space="0" w:color="auto"/>
            </w:tcBorders>
          </w:tcPr>
          <w:p w14:paraId="0C0D290F" w14:textId="77777777" w:rsidR="009F4766" w:rsidRPr="00DE12A3" w:rsidRDefault="009F4766" w:rsidP="00C917D6">
            <w:pPr>
              <w:pStyle w:val="NormalLeft"/>
            </w:pPr>
            <w:r w:rsidRPr="00DE12A3">
              <w:t>24</w:t>
            </w:r>
          </w:p>
        </w:tc>
        <w:tc>
          <w:tcPr>
            <w:tcW w:w="2551" w:type="dxa"/>
            <w:tcBorders>
              <w:top w:val="single" w:sz="2" w:space="0" w:color="auto"/>
              <w:left w:val="single" w:sz="2" w:space="0" w:color="auto"/>
              <w:bottom w:val="single" w:sz="2" w:space="0" w:color="auto"/>
              <w:right w:val="single" w:sz="2" w:space="0" w:color="auto"/>
            </w:tcBorders>
          </w:tcPr>
          <w:p w14:paraId="6FECD081" w14:textId="77777777" w:rsidR="009F4766" w:rsidRPr="00DE12A3" w:rsidRDefault="009F4766" w:rsidP="00C917D6">
            <w:pPr>
              <w:pStyle w:val="NormalLeft"/>
            </w:pPr>
            <w:r w:rsidRPr="00DE12A3">
              <w:t>46</w:t>
            </w:r>
          </w:p>
        </w:tc>
      </w:tr>
      <w:tr w:rsidR="00DE12A3" w:rsidRPr="00DE12A3" w14:paraId="4C4EC1C5" w14:textId="77777777" w:rsidTr="009F4766">
        <w:tc>
          <w:tcPr>
            <w:tcW w:w="1182" w:type="dxa"/>
            <w:tcBorders>
              <w:top w:val="single" w:sz="2" w:space="0" w:color="auto"/>
              <w:left w:val="single" w:sz="2" w:space="0" w:color="auto"/>
              <w:bottom w:val="single" w:sz="2" w:space="0" w:color="auto"/>
              <w:right w:val="single" w:sz="2" w:space="0" w:color="auto"/>
            </w:tcBorders>
          </w:tcPr>
          <w:p w14:paraId="27CC1BDB" w14:textId="77777777" w:rsidR="009F4766" w:rsidRPr="00DE12A3" w:rsidRDefault="009F4766" w:rsidP="00C917D6">
            <w:pPr>
              <w:pStyle w:val="NormalLeft"/>
            </w:pPr>
            <w:r w:rsidRPr="00DE12A3">
              <w:t>836</w:t>
            </w:r>
          </w:p>
        </w:tc>
        <w:tc>
          <w:tcPr>
            <w:tcW w:w="2489" w:type="dxa"/>
            <w:tcBorders>
              <w:top w:val="single" w:sz="2" w:space="0" w:color="auto"/>
              <w:left w:val="single" w:sz="2" w:space="0" w:color="auto"/>
              <w:bottom w:val="single" w:sz="2" w:space="0" w:color="auto"/>
              <w:right w:val="single" w:sz="2" w:space="0" w:color="auto"/>
            </w:tcBorders>
          </w:tcPr>
          <w:p w14:paraId="5C557719" w14:textId="77777777" w:rsidR="009F4766" w:rsidRPr="00DE12A3" w:rsidRDefault="009F4766" w:rsidP="00C917D6">
            <w:pPr>
              <w:pStyle w:val="NormalLeft"/>
            </w:pPr>
            <w:r w:rsidRPr="00DE12A3">
              <w:t>18</w:t>
            </w:r>
          </w:p>
        </w:tc>
        <w:tc>
          <w:tcPr>
            <w:tcW w:w="2551" w:type="dxa"/>
            <w:tcBorders>
              <w:top w:val="single" w:sz="2" w:space="0" w:color="auto"/>
              <w:left w:val="single" w:sz="2" w:space="0" w:color="auto"/>
              <w:bottom w:val="single" w:sz="2" w:space="0" w:color="auto"/>
              <w:right w:val="single" w:sz="2" w:space="0" w:color="auto"/>
            </w:tcBorders>
          </w:tcPr>
          <w:p w14:paraId="55C6F26A" w14:textId="77777777" w:rsidR="009F4766" w:rsidRPr="00DE12A3" w:rsidRDefault="009F4766" w:rsidP="00C917D6">
            <w:pPr>
              <w:pStyle w:val="NormalLeft"/>
            </w:pPr>
            <w:r w:rsidRPr="00DE12A3">
              <w:t>52</w:t>
            </w:r>
          </w:p>
        </w:tc>
      </w:tr>
      <w:tr w:rsidR="00DE12A3" w:rsidRPr="00DE12A3" w14:paraId="5B0BD569" w14:textId="77777777" w:rsidTr="009F4766">
        <w:tc>
          <w:tcPr>
            <w:tcW w:w="1182" w:type="dxa"/>
            <w:tcBorders>
              <w:top w:val="single" w:sz="2" w:space="0" w:color="auto"/>
              <w:left w:val="single" w:sz="2" w:space="0" w:color="auto"/>
              <w:bottom w:val="single" w:sz="2" w:space="0" w:color="auto"/>
              <w:right w:val="single" w:sz="2" w:space="0" w:color="auto"/>
            </w:tcBorders>
          </w:tcPr>
          <w:p w14:paraId="046C86AD" w14:textId="77777777" w:rsidR="009F4766" w:rsidRPr="00DE12A3" w:rsidRDefault="009F4766" w:rsidP="00C917D6">
            <w:pPr>
              <w:pStyle w:val="NormalLeft"/>
            </w:pPr>
            <w:r w:rsidRPr="00DE12A3">
              <w:t>837</w:t>
            </w:r>
          </w:p>
        </w:tc>
        <w:tc>
          <w:tcPr>
            <w:tcW w:w="2489" w:type="dxa"/>
            <w:tcBorders>
              <w:top w:val="single" w:sz="2" w:space="0" w:color="auto"/>
              <w:left w:val="single" w:sz="2" w:space="0" w:color="auto"/>
              <w:bottom w:val="single" w:sz="2" w:space="0" w:color="auto"/>
              <w:right w:val="single" w:sz="2" w:space="0" w:color="auto"/>
            </w:tcBorders>
          </w:tcPr>
          <w:p w14:paraId="527741BC" w14:textId="77777777" w:rsidR="009F4766" w:rsidRPr="00DE12A3" w:rsidRDefault="009F4766" w:rsidP="00C917D6">
            <w:pPr>
              <w:pStyle w:val="NormalLeft"/>
            </w:pPr>
            <w:r w:rsidRPr="00DE12A3">
              <w:t>9</w:t>
            </w:r>
          </w:p>
        </w:tc>
        <w:tc>
          <w:tcPr>
            <w:tcW w:w="2551" w:type="dxa"/>
            <w:tcBorders>
              <w:top w:val="single" w:sz="2" w:space="0" w:color="auto"/>
              <w:left w:val="single" w:sz="2" w:space="0" w:color="auto"/>
              <w:bottom w:val="single" w:sz="2" w:space="0" w:color="auto"/>
              <w:right w:val="single" w:sz="2" w:space="0" w:color="auto"/>
            </w:tcBorders>
          </w:tcPr>
          <w:p w14:paraId="4421AD8D" w14:textId="77777777" w:rsidR="009F4766" w:rsidRPr="00DE12A3" w:rsidRDefault="009F4766" w:rsidP="00C917D6">
            <w:pPr>
              <w:pStyle w:val="NormalLeft"/>
            </w:pPr>
            <w:r w:rsidRPr="00DE12A3">
              <w:t>55</w:t>
            </w:r>
          </w:p>
        </w:tc>
      </w:tr>
      <w:tr w:rsidR="00DE12A3" w:rsidRPr="00DE12A3" w14:paraId="38A0E446" w14:textId="77777777" w:rsidTr="009F4766">
        <w:tc>
          <w:tcPr>
            <w:tcW w:w="1182" w:type="dxa"/>
            <w:tcBorders>
              <w:top w:val="single" w:sz="2" w:space="0" w:color="auto"/>
              <w:left w:val="single" w:sz="2" w:space="0" w:color="auto"/>
              <w:bottom w:val="single" w:sz="2" w:space="0" w:color="auto"/>
              <w:right w:val="single" w:sz="2" w:space="0" w:color="auto"/>
            </w:tcBorders>
          </w:tcPr>
          <w:p w14:paraId="7006F927" w14:textId="77777777" w:rsidR="009F4766" w:rsidRPr="00DE12A3" w:rsidRDefault="009F4766" w:rsidP="00C917D6">
            <w:pPr>
              <w:pStyle w:val="NormalLeft"/>
            </w:pPr>
            <w:r w:rsidRPr="00DE12A3">
              <w:t>838</w:t>
            </w:r>
          </w:p>
        </w:tc>
        <w:tc>
          <w:tcPr>
            <w:tcW w:w="2489" w:type="dxa"/>
            <w:tcBorders>
              <w:top w:val="single" w:sz="2" w:space="0" w:color="auto"/>
              <w:left w:val="single" w:sz="2" w:space="0" w:color="auto"/>
              <w:bottom w:val="single" w:sz="2" w:space="0" w:color="auto"/>
              <w:right w:val="single" w:sz="2" w:space="0" w:color="auto"/>
            </w:tcBorders>
          </w:tcPr>
          <w:p w14:paraId="56914F78" w14:textId="77777777" w:rsidR="009F4766" w:rsidRPr="00DE12A3" w:rsidRDefault="009F4766" w:rsidP="00C917D6">
            <w:pPr>
              <w:pStyle w:val="NormalLeft"/>
            </w:pPr>
            <w:r w:rsidRPr="00DE12A3">
              <w:t>10</w:t>
            </w:r>
          </w:p>
        </w:tc>
        <w:tc>
          <w:tcPr>
            <w:tcW w:w="2551" w:type="dxa"/>
            <w:tcBorders>
              <w:top w:val="single" w:sz="2" w:space="0" w:color="auto"/>
              <w:left w:val="single" w:sz="2" w:space="0" w:color="auto"/>
              <w:bottom w:val="single" w:sz="2" w:space="0" w:color="auto"/>
              <w:right w:val="single" w:sz="2" w:space="0" w:color="auto"/>
            </w:tcBorders>
          </w:tcPr>
          <w:p w14:paraId="1FA283A4" w14:textId="77777777" w:rsidR="009F4766" w:rsidRPr="00DE12A3" w:rsidRDefault="009F4766" w:rsidP="00C917D6">
            <w:pPr>
              <w:pStyle w:val="NormalLeft"/>
            </w:pPr>
            <w:r w:rsidRPr="00DE12A3">
              <w:t>54</w:t>
            </w:r>
          </w:p>
        </w:tc>
      </w:tr>
      <w:tr w:rsidR="00DE12A3" w:rsidRPr="00DE12A3" w14:paraId="53E70DC1" w14:textId="77777777" w:rsidTr="009F4766">
        <w:tc>
          <w:tcPr>
            <w:tcW w:w="1182" w:type="dxa"/>
            <w:tcBorders>
              <w:top w:val="single" w:sz="2" w:space="0" w:color="auto"/>
              <w:left w:val="single" w:sz="2" w:space="0" w:color="auto"/>
              <w:bottom w:val="single" w:sz="2" w:space="0" w:color="auto"/>
              <w:right w:val="single" w:sz="2" w:space="0" w:color="auto"/>
            </w:tcBorders>
          </w:tcPr>
          <w:p w14:paraId="0F622607" w14:textId="77777777" w:rsidR="009F4766" w:rsidRPr="00DE12A3" w:rsidRDefault="009F4766" w:rsidP="00C917D6">
            <w:pPr>
              <w:pStyle w:val="NormalLeft"/>
            </w:pPr>
            <w:r w:rsidRPr="00DE12A3">
              <w:t>839</w:t>
            </w:r>
          </w:p>
        </w:tc>
        <w:tc>
          <w:tcPr>
            <w:tcW w:w="2489" w:type="dxa"/>
            <w:tcBorders>
              <w:top w:val="single" w:sz="2" w:space="0" w:color="auto"/>
              <w:left w:val="single" w:sz="2" w:space="0" w:color="auto"/>
              <w:bottom w:val="single" w:sz="2" w:space="0" w:color="auto"/>
              <w:right w:val="single" w:sz="2" w:space="0" w:color="auto"/>
            </w:tcBorders>
          </w:tcPr>
          <w:p w14:paraId="435990CB" w14:textId="77777777" w:rsidR="009F4766" w:rsidRPr="00DE12A3" w:rsidRDefault="009F4766" w:rsidP="00C917D6">
            <w:pPr>
              <w:pStyle w:val="NormalLeft"/>
            </w:pPr>
            <w:r w:rsidRPr="00DE12A3">
              <w:t>20</w:t>
            </w:r>
          </w:p>
        </w:tc>
        <w:tc>
          <w:tcPr>
            <w:tcW w:w="2551" w:type="dxa"/>
            <w:tcBorders>
              <w:top w:val="single" w:sz="2" w:space="0" w:color="auto"/>
              <w:left w:val="single" w:sz="2" w:space="0" w:color="auto"/>
              <w:bottom w:val="single" w:sz="2" w:space="0" w:color="auto"/>
              <w:right w:val="single" w:sz="2" w:space="0" w:color="auto"/>
            </w:tcBorders>
          </w:tcPr>
          <w:p w14:paraId="5E1482B4" w14:textId="77777777" w:rsidR="009F4766" w:rsidRPr="00DE12A3" w:rsidRDefault="009F4766" w:rsidP="00C917D6">
            <w:pPr>
              <w:pStyle w:val="NormalLeft"/>
            </w:pPr>
            <w:r w:rsidRPr="00DE12A3">
              <w:t>53</w:t>
            </w:r>
          </w:p>
        </w:tc>
      </w:tr>
      <w:tr w:rsidR="00DE12A3" w:rsidRPr="00DE12A3" w14:paraId="118EBC74" w14:textId="77777777" w:rsidTr="009F4766">
        <w:tc>
          <w:tcPr>
            <w:tcW w:w="1182" w:type="dxa"/>
            <w:tcBorders>
              <w:top w:val="single" w:sz="2" w:space="0" w:color="auto"/>
              <w:left w:val="single" w:sz="2" w:space="0" w:color="auto"/>
              <w:bottom w:val="single" w:sz="2" w:space="0" w:color="auto"/>
              <w:right w:val="single" w:sz="2" w:space="0" w:color="auto"/>
            </w:tcBorders>
          </w:tcPr>
          <w:p w14:paraId="62078133" w14:textId="77777777" w:rsidR="009F4766" w:rsidRPr="00DE12A3" w:rsidRDefault="009F4766" w:rsidP="00C917D6">
            <w:pPr>
              <w:pStyle w:val="NormalLeft"/>
            </w:pPr>
            <w:r w:rsidRPr="00DE12A3">
              <w:t>840</w:t>
            </w:r>
          </w:p>
        </w:tc>
        <w:tc>
          <w:tcPr>
            <w:tcW w:w="2489" w:type="dxa"/>
            <w:tcBorders>
              <w:top w:val="single" w:sz="2" w:space="0" w:color="auto"/>
              <w:left w:val="single" w:sz="2" w:space="0" w:color="auto"/>
              <w:bottom w:val="single" w:sz="2" w:space="0" w:color="auto"/>
              <w:right w:val="single" w:sz="2" w:space="0" w:color="auto"/>
            </w:tcBorders>
          </w:tcPr>
          <w:p w14:paraId="54F4646F" w14:textId="77777777" w:rsidR="009F4766" w:rsidRPr="00DE12A3" w:rsidRDefault="009F4766" w:rsidP="00C917D6">
            <w:pPr>
              <w:pStyle w:val="NormalLeft"/>
            </w:pPr>
            <w:r w:rsidRPr="00DE12A3">
              <w:t>27</w:t>
            </w:r>
          </w:p>
        </w:tc>
        <w:tc>
          <w:tcPr>
            <w:tcW w:w="2551" w:type="dxa"/>
            <w:tcBorders>
              <w:top w:val="single" w:sz="2" w:space="0" w:color="auto"/>
              <w:left w:val="single" w:sz="2" w:space="0" w:color="auto"/>
              <w:bottom w:val="single" w:sz="2" w:space="0" w:color="auto"/>
              <w:right w:val="single" w:sz="2" w:space="0" w:color="auto"/>
            </w:tcBorders>
          </w:tcPr>
          <w:p w14:paraId="3EBDC72C" w14:textId="77777777" w:rsidR="009F4766" w:rsidRPr="00DE12A3" w:rsidRDefault="009F4766" w:rsidP="00C917D6">
            <w:pPr>
              <w:pStyle w:val="NormalLeft"/>
            </w:pPr>
            <w:r w:rsidRPr="00DE12A3">
              <w:t>58</w:t>
            </w:r>
          </w:p>
        </w:tc>
      </w:tr>
      <w:tr w:rsidR="00DE12A3" w:rsidRPr="00DE12A3" w14:paraId="0E91271E" w14:textId="77777777" w:rsidTr="009F4766">
        <w:tc>
          <w:tcPr>
            <w:tcW w:w="1182" w:type="dxa"/>
            <w:tcBorders>
              <w:top w:val="single" w:sz="2" w:space="0" w:color="auto"/>
              <w:left w:val="single" w:sz="2" w:space="0" w:color="auto"/>
              <w:bottom w:val="single" w:sz="2" w:space="0" w:color="auto"/>
              <w:right w:val="single" w:sz="2" w:space="0" w:color="auto"/>
            </w:tcBorders>
          </w:tcPr>
          <w:p w14:paraId="2BE05CF9" w14:textId="77777777" w:rsidR="009F4766" w:rsidRPr="00DE12A3" w:rsidRDefault="009F4766" w:rsidP="00C917D6">
            <w:pPr>
              <w:pStyle w:val="NormalLeft"/>
            </w:pPr>
            <w:r w:rsidRPr="00DE12A3">
              <w:t>841</w:t>
            </w:r>
          </w:p>
        </w:tc>
        <w:tc>
          <w:tcPr>
            <w:tcW w:w="2489" w:type="dxa"/>
            <w:tcBorders>
              <w:top w:val="single" w:sz="2" w:space="0" w:color="auto"/>
              <w:left w:val="single" w:sz="2" w:space="0" w:color="auto"/>
              <w:bottom w:val="single" w:sz="2" w:space="0" w:color="auto"/>
              <w:right w:val="single" w:sz="2" w:space="0" w:color="auto"/>
            </w:tcBorders>
          </w:tcPr>
          <w:p w14:paraId="595B8416" w14:textId="77777777" w:rsidR="009F4766" w:rsidRPr="00DE12A3" w:rsidRDefault="009F4766" w:rsidP="00C917D6">
            <w:pPr>
              <w:pStyle w:val="NormalLeft"/>
            </w:pPr>
            <w:r w:rsidRPr="00DE12A3">
              <w:t>29</w:t>
            </w:r>
          </w:p>
        </w:tc>
        <w:tc>
          <w:tcPr>
            <w:tcW w:w="2551" w:type="dxa"/>
            <w:tcBorders>
              <w:top w:val="single" w:sz="2" w:space="0" w:color="auto"/>
              <w:left w:val="single" w:sz="2" w:space="0" w:color="auto"/>
              <w:bottom w:val="single" w:sz="2" w:space="0" w:color="auto"/>
              <w:right w:val="single" w:sz="2" w:space="0" w:color="auto"/>
            </w:tcBorders>
          </w:tcPr>
          <w:p w14:paraId="26E732B6" w14:textId="77777777" w:rsidR="009F4766" w:rsidRPr="00DE12A3" w:rsidRDefault="009F4766" w:rsidP="00C917D6">
            <w:pPr>
              <w:pStyle w:val="NormalLeft"/>
            </w:pPr>
            <w:r w:rsidRPr="00DE12A3">
              <w:t>59</w:t>
            </w:r>
          </w:p>
        </w:tc>
      </w:tr>
      <w:tr w:rsidR="00DE12A3" w:rsidRPr="00DE12A3" w14:paraId="20AC1023" w14:textId="77777777" w:rsidTr="009F4766">
        <w:tc>
          <w:tcPr>
            <w:tcW w:w="1182" w:type="dxa"/>
            <w:tcBorders>
              <w:top w:val="single" w:sz="2" w:space="0" w:color="auto"/>
              <w:left w:val="single" w:sz="2" w:space="0" w:color="auto"/>
              <w:bottom w:val="single" w:sz="2" w:space="0" w:color="auto"/>
              <w:right w:val="single" w:sz="2" w:space="0" w:color="auto"/>
            </w:tcBorders>
          </w:tcPr>
          <w:p w14:paraId="719669CF" w14:textId="77777777" w:rsidR="009F4766" w:rsidRPr="00DE12A3" w:rsidRDefault="009F4766" w:rsidP="00C917D6">
            <w:pPr>
              <w:pStyle w:val="NormalLeft"/>
            </w:pPr>
            <w:r w:rsidRPr="00DE12A3">
              <w:t>842</w:t>
            </w:r>
          </w:p>
        </w:tc>
        <w:tc>
          <w:tcPr>
            <w:tcW w:w="2489" w:type="dxa"/>
            <w:tcBorders>
              <w:top w:val="single" w:sz="2" w:space="0" w:color="auto"/>
              <w:left w:val="single" w:sz="2" w:space="0" w:color="auto"/>
              <w:bottom w:val="single" w:sz="2" w:space="0" w:color="auto"/>
              <w:right w:val="single" w:sz="2" w:space="0" w:color="auto"/>
            </w:tcBorders>
          </w:tcPr>
          <w:p w14:paraId="32662814" w14:textId="77777777" w:rsidR="009F4766" w:rsidRPr="00DE12A3" w:rsidRDefault="009F4766" w:rsidP="00C917D6">
            <w:pPr>
              <w:pStyle w:val="NormalLeft"/>
            </w:pPr>
            <w:r w:rsidRPr="00DE12A3">
              <w:t>30</w:t>
            </w:r>
          </w:p>
        </w:tc>
        <w:tc>
          <w:tcPr>
            <w:tcW w:w="2551" w:type="dxa"/>
            <w:tcBorders>
              <w:top w:val="single" w:sz="2" w:space="0" w:color="auto"/>
              <w:left w:val="single" w:sz="2" w:space="0" w:color="auto"/>
              <w:bottom w:val="single" w:sz="2" w:space="0" w:color="auto"/>
              <w:right w:val="single" w:sz="2" w:space="0" w:color="auto"/>
            </w:tcBorders>
          </w:tcPr>
          <w:p w14:paraId="141C671A" w14:textId="77777777" w:rsidR="009F4766" w:rsidRPr="00DE12A3" w:rsidRDefault="009F4766" w:rsidP="00C917D6">
            <w:pPr>
              <w:pStyle w:val="NormalLeft"/>
            </w:pPr>
            <w:r w:rsidRPr="00DE12A3">
              <w:t>62</w:t>
            </w:r>
          </w:p>
        </w:tc>
      </w:tr>
      <w:tr w:rsidR="00DE12A3" w:rsidRPr="00DE12A3" w14:paraId="4E409784" w14:textId="77777777" w:rsidTr="009F4766">
        <w:tc>
          <w:tcPr>
            <w:tcW w:w="1182" w:type="dxa"/>
            <w:tcBorders>
              <w:top w:val="single" w:sz="2" w:space="0" w:color="auto"/>
              <w:left w:val="single" w:sz="2" w:space="0" w:color="auto"/>
              <w:bottom w:val="single" w:sz="2" w:space="0" w:color="auto"/>
              <w:right w:val="single" w:sz="2" w:space="0" w:color="auto"/>
            </w:tcBorders>
          </w:tcPr>
          <w:p w14:paraId="03F3D155" w14:textId="77777777" w:rsidR="009F4766" w:rsidRPr="00DE12A3" w:rsidRDefault="009F4766" w:rsidP="00C917D6">
            <w:pPr>
              <w:pStyle w:val="NormalLeft"/>
            </w:pPr>
            <w:r w:rsidRPr="00DE12A3">
              <w:lastRenderedPageBreak/>
              <w:t>843</w:t>
            </w:r>
          </w:p>
        </w:tc>
        <w:tc>
          <w:tcPr>
            <w:tcW w:w="2489" w:type="dxa"/>
            <w:tcBorders>
              <w:top w:val="single" w:sz="2" w:space="0" w:color="auto"/>
              <w:left w:val="single" w:sz="2" w:space="0" w:color="auto"/>
              <w:bottom w:val="single" w:sz="2" w:space="0" w:color="auto"/>
              <w:right w:val="single" w:sz="2" w:space="0" w:color="auto"/>
            </w:tcBorders>
          </w:tcPr>
          <w:p w14:paraId="3BB24959" w14:textId="77777777" w:rsidR="009F4766" w:rsidRPr="00DE12A3" w:rsidRDefault="009F4766" w:rsidP="00C917D6">
            <w:pPr>
              <w:pStyle w:val="NormalLeft"/>
            </w:pPr>
            <w:r w:rsidRPr="00DE12A3">
              <w:t>30</w:t>
            </w:r>
          </w:p>
        </w:tc>
        <w:tc>
          <w:tcPr>
            <w:tcW w:w="2551" w:type="dxa"/>
            <w:tcBorders>
              <w:top w:val="single" w:sz="2" w:space="0" w:color="auto"/>
              <w:left w:val="single" w:sz="2" w:space="0" w:color="auto"/>
              <w:bottom w:val="single" w:sz="2" w:space="0" w:color="auto"/>
              <w:right w:val="single" w:sz="2" w:space="0" w:color="auto"/>
            </w:tcBorders>
          </w:tcPr>
          <w:p w14:paraId="41B4C043" w14:textId="77777777" w:rsidR="009F4766" w:rsidRPr="00DE12A3" w:rsidRDefault="009F4766" w:rsidP="00C917D6">
            <w:pPr>
              <w:pStyle w:val="NormalLeft"/>
            </w:pPr>
            <w:r w:rsidRPr="00DE12A3">
              <w:t>65</w:t>
            </w:r>
          </w:p>
        </w:tc>
      </w:tr>
      <w:tr w:rsidR="00DE12A3" w:rsidRPr="00DE12A3" w14:paraId="11BAACE5" w14:textId="77777777" w:rsidTr="009F4766">
        <w:tc>
          <w:tcPr>
            <w:tcW w:w="1182" w:type="dxa"/>
            <w:tcBorders>
              <w:top w:val="single" w:sz="2" w:space="0" w:color="auto"/>
              <w:left w:val="single" w:sz="2" w:space="0" w:color="auto"/>
              <w:bottom w:val="single" w:sz="2" w:space="0" w:color="auto"/>
              <w:right w:val="single" w:sz="2" w:space="0" w:color="auto"/>
            </w:tcBorders>
          </w:tcPr>
          <w:p w14:paraId="1F01803E" w14:textId="77777777" w:rsidR="009F4766" w:rsidRPr="00DE12A3" w:rsidRDefault="009F4766" w:rsidP="00C917D6">
            <w:pPr>
              <w:pStyle w:val="NormalLeft"/>
            </w:pPr>
            <w:r w:rsidRPr="00DE12A3">
              <w:t>844</w:t>
            </w:r>
          </w:p>
        </w:tc>
        <w:tc>
          <w:tcPr>
            <w:tcW w:w="2489" w:type="dxa"/>
            <w:tcBorders>
              <w:top w:val="single" w:sz="2" w:space="0" w:color="auto"/>
              <w:left w:val="single" w:sz="2" w:space="0" w:color="auto"/>
              <w:bottom w:val="single" w:sz="2" w:space="0" w:color="auto"/>
              <w:right w:val="single" w:sz="2" w:space="0" w:color="auto"/>
            </w:tcBorders>
          </w:tcPr>
          <w:p w14:paraId="17A18379" w14:textId="77777777" w:rsidR="009F4766" w:rsidRPr="00DE12A3" w:rsidRDefault="009F4766" w:rsidP="00C917D6">
            <w:pPr>
              <w:pStyle w:val="NormalLeft"/>
            </w:pPr>
            <w:r w:rsidRPr="00DE12A3">
              <w:t>27</w:t>
            </w:r>
          </w:p>
        </w:tc>
        <w:tc>
          <w:tcPr>
            <w:tcW w:w="2551" w:type="dxa"/>
            <w:tcBorders>
              <w:top w:val="single" w:sz="2" w:space="0" w:color="auto"/>
              <w:left w:val="single" w:sz="2" w:space="0" w:color="auto"/>
              <w:bottom w:val="single" w:sz="2" w:space="0" w:color="auto"/>
              <w:right w:val="single" w:sz="2" w:space="0" w:color="auto"/>
            </w:tcBorders>
          </w:tcPr>
          <w:p w14:paraId="2A3D6E3C" w14:textId="77777777" w:rsidR="009F4766" w:rsidRPr="00DE12A3" w:rsidRDefault="009F4766" w:rsidP="00C917D6">
            <w:pPr>
              <w:pStyle w:val="NormalLeft"/>
            </w:pPr>
            <w:r w:rsidRPr="00DE12A3">
              <w:t>66</w:t>
            </w:r>
          </w:p>
        </w:tc>
      </w:tr>
      <w:tr w:rsidR="00DE12A3" w:rsidRPr="00DE12A3" w14:paraId="3FE32185" w14:textId="77777777" w:rsidTr="009F4766">
        <w:tc>
          <w:tcPr>
            <w:tcW w:w="1182" w:type="dxa"/>
            <w:tcBorders>
              <w:top w:val="single" w:sz="2" w:space="0" w:color="auto"/>
              <w:left w:val="single" w:sz="2" w:space="0" w:color="auto"/>
              <w:bottom w:val="single" w:sz="2" w:space="0" w:color="auto"/>
              <w:right w:val="single" w:sz="2" w:space="0" w:color="auto"/>
            </w:tcBorders>
          </w:tcPr>
          <w:p w14:paraId="41879067" w14:textId="77777777" w:rsidR="009F4766" w:rsidRPr="00DE12A3" w:rsidRDefault="009F4766" w:rsidP="00C917D6">
            <w:pPr>
              <w:pStyle w:val="NormalLeft"/>
            </w:pPr>
            <w:r w:rsidRPr="00DE12A3">
              <w:t>845</w:t>
            </w:r>
          </w:p>
        </w:tc>
        <w:tc>
          <w:tcPr>
            <w:tcW w:w="2489" w:type="dxa"/>
            <w:tcBorders>
              <w:top w:val="single" w:sz="2" w:space="0" w:color="auto"/>
              <w:left w:val="single" w:sz="2" w:space="0" w:color="auto"/>
              <w:bottom w:val="single" w:sz="2" w:space="0" w:color="auto"/>
              <w:right w:val="single" w:sz="2" w:space="0" w:color="auto"/>
            </w:tcBorders>
          </w:tcPr>
          <w:p w14:paraId="08BB96A3" w14:textId="77777777" w:rsidR="009F4766" w:rsidRPr="00DE12A3" w:rsidRDefault="009F4766" w:rsidP="00C917D6">
            <w:pPr>
              <w:pStyle w:val="NormalLeft"/>
            </w:pPr>
            <w:r w:rsidRPr="00DE12A3">
              <w:t>32</w:t>
            </w:r>
          </w:p>
        </w:tc>
        <w:tc>
          <w:tcPr>
            <w:tcW w:w="2551" w:type="dxa"/>
            <w:tcBorders>
              <w:top w:val="single" w:sz="2" w:space="0" w:color="auto"/>
              <w:left w:val="single" w:sz="2" w:space="0" w:color="auto"/>
              <w:bottom w:val="single" w:sz="2" w:space="0" w:color="auto"/>
              <w:right w:val="single" w:sz="2" w:space="0" w:color="auto"/>
            </w:tcBorders>
          </w:tcPr>
          <w:p w14:paraId="1F8EAF2D" w14:textId="77777777" w:rsidR="009F4766" w:rsidRPr="00DE12A3" w:rsidRDefault="009F4766" w:rsidP="00C917D6">
            <w:pPr>
              <w:pStyle w:val="NormalLeft"/>
            </w:pPr>
            <w:r w:rsidRPr="00DE12A3">
              <w:t>58</w:t>
            </w:r>
          </w:p>
        </w:tc>
      </w:tr>
      <w:tr w:rsidR="00DE12A3" w:rsidRPr="00DE12A3" w14:paraId="561E5A49" w14:textId="77777777" w:rsidTr="009F4766">
        <w:tc>
          <w:tcPr>
            <w:tcW w:w="1182" w:type="dxa"/>
            <w:tcBorders>
              <w:top w:val="single" w:sz="2" w:space="0" w:color="auto"/>
              <w:left w:val="single" w:sz="2" w:space="0" w:color="auto"/>
              <w:bottom w:val="single" w:sz="2" w:space="0" w:color="auto"/>
              <w:right w:val="single" w:sz="2" w:space="0" w:color="auto"/>
            </w:tcBorders>
          </w:tcPr>
          <w:p w14:paraId="0789D2CC" w14:textId="77777777" w:rsidR="009F4766" w:rsidRPr="00DE12A3" w:rsidRDefault="009F4766" w:rsidP="00C917D6">
            <w:pPr>
              <w:pStyle w:val="NormalLeft"/>
            </w:pPr>
            <w:r w:rsidRPr="00DE12A3">
              <w:t>846</w:t>
            </w:r>
          </w:p>
        </w:tc>
        <w:tc>
          <w:tcPr>
            <w:tcW w:w="2489" w:type="dxa"/>
            <w:tcBorders>
              <w:top w:val="single" w:sz="2" w:space="0" w:color="auto"/>
              <w:left w:val="single" w:sz="2" w:space="0" w:color="auto"/>
              <w:bottom w:val="single" w:sz="2" w:space="0" w:color="auto"/>
              <w:right w:val="single" w:sz="2" w:space="0" w:color="auto"/>
            </w:tcBorders>
          </w:tcPr>
          <w:p w14:paraId="4D6889AA" w14:textId="77777777" w:rsidR="009F4766" w:rsidRPr="00DE12A3" w:rsidRDefault="009F4766" w:rsidP="00C917D6">
            <w:pPr>
              <w:pStyle w:val="NormalLeft"/>
            </w:pPr>
            <w:r w:rsidRPr="00DE12A3">
              <w:t>40</w:t>
            </w:r>
          </w:p>
        </w:tc>
        <w:tc>
          <w:tcPr>
            <w:tcW w:w="2551" w:type="dxa"/>
            <w:tcBorders>
              <w:top w:val="single" w:sz="2" w:space="0" w:color="auto"/>
              <w:left w:val="single" w:sz="2" w:space="0" w:color="auto"/>
              <w:bottom w:val="single" w:sz="2" w:space="0" w:color="auto"/>
              <w:right w:val="single" w:sz="2" w:space="0" w:color="auto"/>
            </w:tcBorders>
          </w:tcPr>
          <w:p w14:paraId="3E762962" w14:textId="77777777" w:rsidR="009F4766" w:rsidRPr="00DE12A3" w:rsidRDefault="009F4766" w:rsidP="00C917D6">
            <w:pPr>
              <w:pStyle w:val="NormalLeft"/>
            </w:pPr>
            <w:r w:rsidRPr="00DE12A3">
              <w:t>56</w:t>
            </w:r>
          </w:p>
        </w:tc>
      </w:tr>
      <w:tr w:rsidR="00DE12A3" w:rsidRPr="00DE12A3" w14:paraId="5539A1B1" w14:textId="77777777" w:rsidTr="009F4766">
        <w:tc>
          <w:tcPr>
            <w:tcW w:w="1182" w:type="dxa"/>
            <w:tcBorders>
              <w:top w:val="single" w:sz="2" w:space="0" w:color="auto"/>
              <w:left w:val="single" w:sz="2" w:space="0" w:color="auto"/>
              <w:bottom w:val="single" w:sz="2" w:space="0" w:color="auto"/>
              <w:right w:val="single" w:sz="2" w:space="0" w:color="auto"/>
            </w:tcBorders>
          </w:tcPr>
          <w:p w14:paraId="657A7982" w14:textId="77777777" w:rsidR="009F4766" w:rsidRPr="00DE12A3" w:rsidRDefault="009F4766" w:rsidP="00C917D6">
            <w:pPr>
              <w:pStyle w:val="NormalLeft"/>
            </w:pPr>
            <w:r w:rsidRPr="00DE12A3">
              <w:t>847</w:t>
            </w:r>
          </w:p>
        </w:tc>
        <w:tc>
          <w:tcPr>
            <w:tcW w:w="2489" w:type="dxa"/>
            <w:tcBorders>
              <w:top w:val="single" w:sz="2" w:space="0" w:color="auto"/>
              <w:left w:val="single" w:sz="2" w:space="0" w:color="auto"/>
              <w:bottom w:val="single" w:sz="2" w:space="0" w:color="auto"/>
              <w:right w:val="single" w:sz="2" w:space="0" w:color="auto"/>
            </w:tcBorders>
          </w:tcPr>
          <w:p w14:paraId="26946C03" w14:textId="77777777" w:rsidR="009F4766" w:rsidRPr="00DE12A3" w:rsidRDefault="009F4766" w:rsidP="00C917D6">
            <w:pPr>
              <w:pStyle w:val="NormalLeft"/>
            </w:pPr>
            <w:r w:rsidRPr="00DE12A3">
              <w:t>41</w:t>
            </w:r>
          </w:p>
        </w:tc>
        <w:tc>
          <w:tcPr>
            <w:tcW w:w="2551" w:type="dxa"/>
            <w:tcBorders>
              <w:top w:val="single" w:sz="2" w:space="0" w:color="auto"/>
              <w:left w:val="single" w:sz="2" w:space="0" w:color="auto"/>
              <w:bottom w:val="single" w:sz="2" w:space="0" w:color="auto"/>
              <w:right w:val="single" w:sz="2" w:space="0" w:color="auto"/>
            </w:tcBorders>
          </w:tcPr>
          <w:p w14:paraId="27006544" w14:textId="77777777" w:rsidR="009F4766" w:rsidRPr="00DE12A3" w:rsidRDefault="009F4766" w:rsidP="00C917D6">
            <w:pPr>
              <w:pStyle w:val="NormalLeft"/>
            </w:pPr>
            <w:r w:rsidRPr="00DE12A3">
              <w:t>57</w:t>
            </w:r>
          </w:p>
        </w:tc>
      </w:tr>
      <w:tr w:rsidR="00DE12A3" w:rsidRPr="00DE12A3" w14:paraId="3F0919E0" w14:textId="77777777" w:rsidTr="009F4766">
        <w:tc>
          <w:tcPr>
            <w:tcW w:w="1182" w:type="dxa"/>
            <w:tcBorders>
              <w:top w:val="single" w:sz="2" w:space="0" w:color="auto"/>
              <w:left w:val="single" w:sz="2" w:space="0" w:color="auto"/>
              <w:bottom w:val="single" w:sz="2" w:space="0" w:color="auto"/>
              <w:right w:val="single" w:sz="2" w:space="0" w:color="auto"/>
            </w:tcBorders>
          </w:tcPr>
          <w:p w14:paraId="1EFCE1CA" w14:textId="77777777" w:rsidR="009F4766" w:rsidRPr="00DE12A3" w:rsidRDefault="009F4766" w:rsidP="00C917D6">
            <w:pPr>
              <w:pStyle w:val="NormalLeft"/>
            </w:pPr>
            <w:r w:rsidRPr="00DE12A3">
              <w:t>848</w:t>
            </w:r>
          </w:p>
        </w:tc>
        <w:tc>
          <w:tcPr>
            <w:tcW w:w="2489" w:type="dxa"/>
            <w:tcBorders>
              <w:top w:val="single" w:sz="2" w:space="0" w:color="auto"/>
              <w:left w:val="single" w:sz="2" w:space="0" w:color="auto"/>
              <w:bottom w:val="single" w:sz="2" w:space="0" w:color="auto"/>
              <w:right w:val="single" w:sz="2" w:space="0" w:color="auto"/>
            </w:tcBorders>
          </w:tcPr>
          <w:p w14:paraId="666EB7BB" w14:textId="77777777" w:rsidR="009F4766" w:rsidRPr="00DE12A3" w:rsidRDefault="009F4766" w:rsidP="00C917D6">
            <w:pPr>
              <w:pStyle w:val="NormalLeft"/>
            </w:pPr>
            <w:r w:rsidRPr="00DE12A3">
              <w:t>18</w:t>
            </w:r>
          </w:p>
        </w:tc>
        <w:tc>
          <w:tcPr>
            <w:tcW w:w="2551" w:type="dxa"/>
            <w:tcBorders>
              <w:top w:val="single" w:sz="2" w:space="0" w:color="auto"/>
              <w:left w:val="single" w:sz="2" w:space="0" w:color="auto"/>
              <w:bottom w:val="single" w:sz="2" w:space="0" w:color="auto"/>
              <w:right w:val="single" w:sz="2" w:space="0" w:color="auto"/>
            </w:tcBorders>
          </w:tcPr>
          <w:p w14:paraId="408B675C" w14:textId="77777777" w:rsidR="009F4766" w:rsidRPr="00DE12A3" w:rsidRDefault="009F4766" w:rsidP="00C917D6">
            <w:pPr>
              <w:pStyle w:val="NormalLeft"/>
            </w:pPr>
            <w:r w:rsidRPr="00DE12A3">
              <w:t>73</w:t>
            </w:r>
          </w:p>
        </w:tc>
      </w:tr>
      <w:tr w:rsidR="00DE12A3" w:rsidRPr="00DE12A3" w14:paraId="70B84E97" w14:textId="77777777" w:rsidTr="009F4766">
        <w:tc>
          <w:tcPr>
            <w:tcW w:w="1182" w:type="dxa"/>
            <w:tcBorders>
              <w:top w:val="single" w:sz="2" w:space="0" w:color="auto"/>
              <w:left w:val="single" w:sz="2" w:space="0" w:color="auto"/>
              <w:bottom w:val="single" w:sz="2" w:space="0" w:color="auto"/>
              <w:right w:val="single" w:sz="2" w:space="0" w:color="auto"/>
            </w:tcBorders>
          </w:tcPr>
          <w:p w14:paraId="5B327DF7" w14:textId="77777777" w:rsidR="009F4766" w:rsidRPr="00DE12A3" w:rsidRDefault="009F4766" w:rsidP="00C917D6">
            <w:pPr>
              <w:pStyle w:val="NormalLeft"/>
            </w:pPr>
            <w:r w:rsidRPr="00DE12A3">
              <w:t>849</w:t>
            </w:r>
          </w:p>
        </w:tc>
        <w:tc>
          <w:tcPr>
            <w:tcW w:w="2489" w:type="dxa"/>
            <w:tcBorders>
              <w:top w:val="single" w:sz="2" w:space="0" w:color="auto"/>
              <w:left w:val="single" w:sz="2" w:space="0" w:color="auto"/>
              <w:bottom w:val="single" w:sz="2" w:space="0" w:color="auto"/>
              <w:right w:val="single" w:sz="2" w:space="0" w:color="auto"/>
            </w:tcBorders>
          </w:tcPr>
          <w:p w14:paraId="3B175388" w14:textId="77777777" w:rsidR="009F4766" w:rsidRPr="00DE12A3" w:rsidRDefault="009F4766" w:rsidP="00C917D6">
            <w:pPr>
              <w:pStyle w:val="NormalLeft"/>
            </w:pPr>
            <w:r w:rsidRPr="00DE12A3">
              <w:t>15</w:t>
            </w:r>
          </w:p>
        </w:tc>
        <w:tc>
          <w:tcPr>
            <w:tcW w:w="2551" w:type="dxa"/>
            <w:tcBorders>
              <w:top w:val="single" w:sz="2" w:space="0" w:color="auto"/>
              <w:left w:val="single" w:sz="2" w:space="0" w:color="auto"/>
              <w:bottom w:val="single" w:sz="2" w:space="0" w:color="auto"/>
              <w:right w:val="single" w:sz="2" w:space="0" w:color="auto"/>
            </w:tcBorders>
          </w:tcPr>
          <w:p w14:paraId="08EC6A57" w14:textId="77777777" w:rsidR="009F4766" w:rsidRPr="00DE12A3" w:rsidRDefault="009F4766" w:rsidP="00C917D6">
            <w:pPr>
              <w:pStyle w:val="NormalLeft"/>
            </w:pPr>
            <w:r w:rsidRPr="00DE12A3">
              <w:t>55</w:t>
            </w:r>
          </w:p>
        </w:tc>
      </w:tr>
      <w:tr w:rsidR="00DE12A3" w:rsidRPr="00DE12A3" w14:paraId="7795D11D" w14:textId="77777777" w:rsidTr="009F4766">
        <w:tc>
          <w:tcPr>
            <w:tcW w:w="1182" w:type="dxa"/>
            <w:tcBorders>
              <w:top w:val="single" w:sz="2" w:space="0" w:color="auto"/>
              <w:left w:val="single" w:sz="2" w:space="0" w:color="auto"/>
              <w:bottom w:val="single" w:sz="2" w:space="0" w:color="auto"/>
              <w:right w:val="single" w:sz="2" w:space="0" w:color="auto"/>
            </w:tcBorders>
          </w:tcPr>
          <w:p w14:paraId="69ABDF87" w14:textId="77777777" w:rsidR="009F4766" w:rsidRPr="00DE12A3" w:rsidRDefault="009F4766" w:rsidP="00C917D6">
            <w:pPr>
              <w:pStyle w:val="NormalLeft"/>
            </w:pPr>
            <w:r w:rsidRPr="00DE12A3">
              <w:t>850</w:t>
            </w:r>
          </w:p>
        </w:tc>
        <w:tc>
          <w:tcPr>
            <w:tcW w:w="2489" w:type="dxa"/>
            <w:tcBorders>
              <w:top w:val="single" w:sz="2" w:space="0" w:color="auto"/>
              <w:left w:val="single" w:sz="2" w:space="0" w:color="auto"/>
              <w:bottom w:val="single" w:sz="2" w:space="0" w:color="auto"/>
              <w:right w:val="single" w:sz="2" w:space="0" w:color="auto"/>
            </w:tcBorders>
          </w:tcPr>
          <w:p w14:paraId="01AB34CF" w14:textId="77777777" w:rsidR="009F4766" w:rsidRPr="00DE12A3" w:rsidRDefault="009F4766" w:rsidP="00C917D6">
            <w:pPr>
              <w:pStyle w:val="NormalLeft"/>
            </w:pPr>
            <w:r w:rsidRPr="00DE12A3">
              <w:t>18</w:t>
            </w:r>
          </w:p>
        </w:tc>
        <w:tc>
          <w:tcPr>
            <w:tcW w:w="2551" w:type="dxa"/>
            <w:tcBorders>
              <w:top w:val="single" w:sz="2" w:space="0" w:color="auto"/>
              <w:left w:val="single" w:sz="2" w:space="0" w:color="auto"/>
              <w:bottom w:val="single" w:sz="2" w:space="0" w:color="auto"/>
              <w:right w:val="single" w:sz="2" w:space="0" w:color="auto"/>
            </w:tcBorders>
          </w:tcPr>
          <w:p w14:paraId="201598DB" w14:textId="77777777" w:rsidR="009F4766" w:rsidRPr="00DE12A3" w:rsidRDefault="009F4766" w:rsidP="00C917D6">
            <w:pPr>
              <w:pStyle w:val="NormalLeft"/>
            </w:pPr>
            <w:r w:rsidRPr="00DE12A3">
              <w:t>50</w:t>
            </w:r>
          </w:p>
        </w:tc>
      </w:tr>
      <w:tr w:rsidR="00DE12A3" w:rsidRPr="00DE12A3" w14:paraId="516E5113" w14:textId="77777777" w:rsidTr="009F4766">
        <w:tc>
          <w:tcPr>
            <w:tcW w:w="1182" w:type="dxa"/>
            <w:tcBorders>
              <w:top w:val="single" w:sz="2" w:space="0" w:color="auto"/>
              <w:left w:val="single" w:sz="2" w:space="0" w:color="auto"/>
              <w:bottom w:val="single" w:sz="2" w:space="0" w:color="auto"/>
              <w:right w:val="single" w:sz="2" w:space="0" w:color="auto"/>
            </w:tcBorders>
          </w:tcPr>
          <w:p w14:paraId="49844849" w14:textId="77777777" w:rsidR="009F4766" w:rsidRPr="00DE12A3" w:rsidRDefault="009F4766" w:rsidP="00C917D6">
            <w:pPr>
              <w:pStyle w:val="NormalLeft"/>
            </w:pPr>
            <w:r w:rsidRPr="00DE12A3">
              <w:t>851</w:t>
            </w:r>
          </w:p>
        </w:tc>
        <w:tc>
          <w:tcPr>
            <w:tcW w:w="2489" w:type="dxa"/>
            <w:tcBorders>
              <w:top w:val="single" w:sz="2" w:space="0" w:color="auto"/>
              <w:left w:val="single" w:sz="2" w:space="0" w:color="auto"/>
              <w:bottom w:val="single" w:sz="2" w:space="0" w:color="auto"/>
              <w:right w:val="single" w:sz="2" w:space="0" w:color="auto"/>
            </w:tcBorders>
          </w:tcPr>
          <w:p w14:paraId="72D5F102" w14:textId="77777777" w:rsidR="009F4766" w:rsidRPr="00DE12A3" w:rsidRDefault="009F4766" w:rsidP="00C917D6">
            <w:pPr>
              <w:pStyle w:val="NormalLeft"/>
            </w:pPr>
            <w:r w:rsidRPr="00DE12A3">
              <w:t>17</w:t>
            </w:r>
          </w:p>
        </w:tc>
        <w:tc>
          <w:tcPr>
            <w:tcW w:w="2551" w:type="dxa"/>
            <w:tcBorders>
              <w:top w:val="single" w:sz="2" w:space="0" w:color="auto"/>
              <w:left w:val="single" w:sz="2" w:space="0" w:color="auto"/>
              <w:bottom w:val="single" w:sz="2" w:space="0" w:color="auto"/>
              <w:right w:val="single" w:sz="2" w:space="0" w:color="auto"/>
            </w:tcBorders>
          </w:tcPr>
          <w:p w14:paraId="148BC76D" w14:textId="77777777" w:rsidR="009F4766" w:rsidRPr="00DE12A3" w:rsidRDefault="009F4766" w:rsidP="00C917D6">
            <w:pPr>
              <w:pStyle w:val="NormalLeft"/>
            </w:pPr>
            <w:r w:rsidRPr="00DE12A3">
              <w:t>52</w:t>
            </w:r>
          </w:p>
        </w:tc>
      </w:tr>
      <w:tr w:rsidR="00DE12A3" w:rsidRPr="00DE12A3" w14:paraId="49F8F073" w14:textId="77777777" w:rsidTr="009F4766">
        <w:tc>
          <w:tcPr>
            <w:tcW w:w="1182" w:type="dxa"/>
            <w:tcBorders>
              <w:top w:val="single" w:sz="2" w:space="0" w:color="auto"/>
              <w:left w:val="single" w:sz="2" w:space="0" w:color="auto"/>
              <w:bottom w:val="single" w:sz="2" w:space="0" w:color="auto"/>
              <w:right w:val="single" w:sz="2" w:space="0" w:color="auto"/>
            </w:tcBorders>
          </w:tcPr>
          <w:p w14:paraId="102933C0" w14:textId="77777777" w:rsidR="009F4766" w:rsidRPr="00DE12A3" w:rsidRDefault="009F4766" w:rsidP="00C917D6">
            <w:pPr>
              <w:pStyle w:val="NormalLeft"/>
            </w:pPr>
            <w:r w:rsidRPr="00DE12A3">
              <w:t>852</w:t>
            </w:r>
          </w:p>
        </w:tc>
        <w:tc>
          <w:tcPr>
            <w:tcW w:w="2489" w:type="dxa"/>
            <w:tcBorders>
              <w:top w:val="single" w:sz="2" w:space="0" w:color="auto"/>
              <w:left w:val="single" w:sz="2" w:space="0" w:color="auto"/>
              <w:bottom w:val="single" w:sz="2" w:space="0" w:color="auto"/>
              <w:right w:val="single" w:sz="2" w:space="0" w:color="auto"/>
            </w:tcBorders>
          </w:tcPr>
          <w:p w14:paraId="17B30B2B" w14:textId="77777777" w:rsidR="009F4766" w:rsidRPr="00DE12A3" w:rsidRDefault="009F4766" w:rsidP="00C917D6">
            <w:pPr>
              <w:pStyle w:val="NormalLeft"/>
            </w:pPr>
            <w:r w:rsidRPr="00DE12A3">
              <w:t>20</w:t>
            </w:r>
          </w:p>
        </w:tc>
        <w:tc>
          <w:tcPr>
            <w:tcW w:w="2551" w:type="dxa"/>
            <w:tcBorders>
              <w:top w:val="single" w:sz="2" w:space="0" w:color="auto"/>
              <w:left w:val="single" w:sz="2" w:space="0" w:color="auto"/>
              <w:bottom w:val="single" w:sz="2" w:space="0" w:color="auto"/>
              <w:right w:val="single" w:sz="2" w:space="0" w:color="auto"/>
            </w:tcBorders>
          </w:tcPr>
          <w:p w14:paraId="4AC02FDC" w14:textId="77777777" w:rsidR="009F4766" w:rsidRPr="00DE12A3" w:rsidRDefault="009F4766" w:rsidP="00C917D6">
            <w:pPr>
              <w:pStyle w:val="NormalLeft"/>
            </w:pPr>
            <w:r w:rsidRPr="00DE12A3">
              <w:t>49</w:t>
            </w:r>
          </w:p>
        </w:tc>
      </w:tr>
      <w:tr w:rsidR="00DE12A3" w:rsidRPr="00DE12A3" w14:paraId="7477A454" w14:textId="77777777" w:rsidTr="009F4766">
        <w:tc>
          <w:tcPr>
            <w:tcW w:w="1182" w:type="dxa"/>
            <w:tcBorders>
              <w:top w:val="single" w:sz="2" w:space="0" w:color="auto"/>
              <w:left w:val="single" w:sz="2" w:space="0" w:color="auto"/>
              <w:bottom w:val="single" w:sz="2" w:space="0" w:color="auto"/>
              <w:right w:val="single" w:sz="2" w:space="0" w:color="auto"/>
            </w:tcBorders>
          </w:tcPr>
          <w:p w14:paraId="6E2D4A56" w14:textId="77777777" w:rsidR="009F4766" w:rsidRPr="00DE12A3" w:rsidRDefault="009F4766" w:rsidP="00C917D6">
            <w:pPr>
              <w:pStyle w:val="NormalLeft"/>
            </w:pPr>
            <w:r w:rsidRPr="00DE12A3">
              <w:t>853</w:t>
            </w:r>
          </w:p>
        </w:tc>
        <w:tc>
          <w:tcPr>
            <w:tcW w:w="2489" w:type="dxa"/>
            <w:tcBorders>
              <w:top w:val="single" w:sz="2" w:space="0" w:color="auto"/>
              <w:left w:val="single" w:sz="2" w:space="0" w:color="auto"/>
              <w:bottom w:val="single" w:sz="2" w:space="0" w:color="auto"/>
              <w:right w:val="single" w:sz="2" w:space="0" w:color="auto"/>
            </w:tcBorders>
          </w:tcPr>
          <w:p w14:paraId="5A89A7EC" w14:textId="77777777" w:rsidR="009F4766" w:rsidRPr="00DE12A3" w:rsidRDefault="009F4766" w:rsidP="00C917D6">
            <w:pPr>
              <w:pStyle w:val="NormalLeft"/>
            </w:pPr>
            <w:r w:rsidRPr="00DE12A3">
              <w:t>16</w:t>
            </w:r>
          </w:p>
        </w:tc>
        <w:tc>
          <w:tcPr>
            <w:tcW w:w="2551" w:type="dxa"/>
            <w:tcBorders>
              <w:top w:val="single" w:sz="2" w:space="0" w:color="auto"/>
              <w:left w:val="single" w:sz="2" w:space="0" w:color="auto"/>
              <w:bottom w:val="single" w:sz="2" w:space="0" w:color="auto"/>
              <w:right w:val="single" w:sz="2" w:space="0" w:color="auto"/>
            </w:tcBorders>
          </w:tcPr>
          <w:p w14:paraId="6DFBEB1D" w14:textId="77777777" w:rsidR="009F4766" w:rsidRPr="00DE12A3" w:rsidRDefault="009F4766" w:rsidP="00C917D6">
            <w:pPr>
              <w:pStyle w:val="NormalLeft"/>
            </w:pPr>
            <w:r w:rsidRPr="00DE12A3">
              <w:t>62</w:t>
            </w:r>
          </w:p>
        </w:tc>
      </w:tr>
      <w:tr w:rsidR="00DE12A3" w:rsidRPr="00DE12A3" w14:paraId="28AAE052" w14:textId="77777777" w:rsidTr="009F4766">
        <w:tc>
          <w:tcPr>
            <w:tcW w:w="1182" w:type="dxa"/>
            <w:tcBorders>
              <w:top w:val="single" w:sz="2" w:space="0" w:color="auto"/>
              <w:left w:val="single" w:sz="2" w:space="0" w:color="auto"/>
              <w:bottom w:val="single" w:sz="2" w:space="0" w:color="auto"/>
              <w:right w:val="single" w:sz="2" w:space="0" w:color="auto"/>
            </w:tcBorders>
          </w:tcPr>
          <w:p w14:paraId="2CE820D4" w14:textId="77777777" w:rsidR="009F4766" w:rsidRPr="00DE12A3" w:rsidRDefault="009F4766" w:rsidP="00C917D6">
            <w:pPr>
              <w:pStyle w:val="NormalLeft"/>
            </w:pPr>
            <w:r w:rsidRPr="00DE12A3">
              <w:t>854</w:t>
            </w:r>
          </w:p>
        </w:tc>
        <w:tc>
          <w:tcPr>
            <w:tcW w:w="2489" w:type="dxa"/>
            <w:tcBorders>
              <w:top w:val="single" w:sz="2" w:space="0" w:color="auto"/>
              <w:left w:val="single" w:sz="2" w:space="0" w:color="auto"/>
              <w:bottom w:val="single" w:sz="2" w:space="0" w:color="auto"/>
              <w:right w:val="single" w:sz="2" w:space="0" w:color="auto"/>
            </w:tcBorders>
          </w:tcPr>
          <w:p w14:paraId="604037A9" w14:textId="77777777" w:rsidR="009F4766" w:rsidRPr="00DE12A3" w:rsidRDefault="009F4766" w:rsidP="00C917D6">
            <w:pPr>
              <w:pStyle w:val="NormalLeft"/>
            </w:pPr>
            <w:r w:rsidRPr="00DE12A3">
              <w:t>4</w:t>
            </w:r>
          </w:p>
        </w:tc>
        <w:tc>
          <w:tcPr>
            <w:tcW w:w="2551" w:type="dxa"/>
            <w:tcBorders>
              <w:top w:val="single" w:sz="2" w:space="0" w:color="auto"/>
              <w:left w:val="single" w:sz="2" w:space="0" w:color="auto"/>
              <w:bottom w:val="single" w:sz="2" w:space="0" w:color="auto"/>
              <w:right w:val="single" w:sz="2" w:space="0" w:color="auto"/>
            </w:tcBorders>
          </w:tcPr>
          <w:p w14:paraId="1AA435A6" w14:textId="77777777" w:rsidR="009F4766" w:rsidRPr="00DE12A3" w:rsidRDefault="009F4766" w:rsidP="00C917D6">
            <w:pPr>
              <w:pStyle w:val="NormalLeft"/>
            </w:pPr>
            <w:r w:rsidRPr="00DE12A3">
              <w:t>67</w:t>
            </w:r>
          </w:p>
        </w:tc>
      </w:tr>
      <w:tr w:rsidR="00DE12A3" w:rsidRPr="00DE12A3" w14:paraId="492A0CCE" w14:textId="77777777" w:rsidTr="009F4766">
        <w:tc>
          <w:tcPr>
            <w:tcW w:w="1182" w:type="dxa"/>
            <w:tcBorders>
              <w:top w:val="single" w:sz="2" w:space="0" w:color="auto"/>
              <w:left w:val="single" w:sz="2" w:space="0" w:color="auto"/>
              <w:bottom w:val="single" w:sz="2" w:space="0" w:color="auto"/>
              <w:right w:val="single" w:sz="2" w:space="0" w:color="auto"/>
            </w:tcBorders>
          </w:tcPr>
          <w:p w14:paraId="3E6C7A6A" w14:textId="77777777" w:rsidR="009F4766" w:rsidRPr="00DE12A3" w:rsidRDefault="009F4766" w:rsidP="00C917D6">
            <w:pPr>
              <w:pStyle w:val="NormalLeft"/>
            </w:pPr>
            <w:r w:rsidRPr="00DE12A3">
              <w:t>855</w:t>
            </w:r>
          </w:p>
        </w:tc>
        <w:tc>
          <w:tcPr>
            <w:tcW w:w="2489" w:type="dxa"/>
            <w:tcBorders>
              <w:top w:val="single" w:sz="2" w:space="0" w:color="auto"/>
              <w:left w:val="single" w:sz="2" w:space="0" w:color="auto"/>
              <w:bottom w:val="single" w:sz="2" w:space="0" w:color="auto"/>
              <w:right w:val="single" w:sz="2" w:space="0" w:color="auto"/>
            </w:tcBorders>
          </w:tcPr>
          <w:p w14:paraId="62A0F911" w14:textId="77777777" w:rsidR="009F4766" w:rsidRPr="00DE12A3" w:rsidRDefault="009F4766" w:rsidP="00C917D6">
            <w:pPr>
              <w:pStyle w:val="NormalLeft"/>
            </w:pPr>
            <w:r w:rsidRPr="00DE12A3">
              <w:t>2</w:t>
            </w:r>
          </w:p>
        </w:tc>
        <w:tc>
          <w:tcPr>
            <w:tcW w:w="2551" w:type="dxa"/>
            <w:tcBorders>
              <w:top w:val="single" w:sz="2" w:space="0" w:color="auto"/>
              <w:left w:val="single" w:sz="2" w:space="0" w:color="auto"/>
              <w:bottom w:val="single" w:sz="2" w:space="0" w:color="auto"/>
              <w:right w:val="single" w:sz="2" w:space="0" w:color="auto"/>
            </w:tcBorders>
          </w:tcPr>
          <w:p w14:paraId="547FE2BB" w14:textId="77777777" w:rsidR="009F4766" w:rsidRPr="00DE12A3" w:rsidRDefault="009F4766" w:rsidP="00C917D6">
            <w:pPr>
              <w:pStyle w:val="NormalLeft"/>
            </w:pPr>
            <w:r w:rsidRPr="00DE12A3">
              <w:t>64</w:t>
            </w:r>
          </w:p>
        </w:tc>
      </w:tr>
      <w:tr w:rsidR="00DE12A3" w:rsidRPr="00DE12A3" w14:paraId="7E7072F0" w14:textId="77777777" w:rsidTr="009F4766">
        <w:tc>
          <w:tcPr>
            <w:tcW w:w="1182" w:type="dxa"/>
            <w:tcBorders>
              <w:top w:val="single" w:sz="2" w:space="0" w:color="auto"/>
              <w:left w:val="single" w:sz="2" w:space="0" w:color="auto"/>
              <w:bottom w:val="single" w:sz="2" w:space="0" w:color="auto"/>
              <w:right w:val="single" w:sz="2" w:space="0" w:color="auto"/>
            </w:tcBorders>
          </w:tcPr>
          <w:p w14:paraId="6D3A11C0" w14:textId="77777777" w:rsidR="009F4766" w:rsidRPr="00DE12A3" w:rsidRDefault="009F4766" w:rsidP="00C917D6">
            <w:pPr>
              <w:pStyle w:val="NormalLeft"/>
            </w:pPr>
            <w:r w:rsidRPr="00DE12A3">
              <w:t>856</w:t>
            </w:r>
          </w:p>
        </w:tc>
        <w:tc>
          <w:tcPr>
            <w:tcW w:w="2489" w:type="dxa"/>
            <w:tcBorders>
              <w:top w:val="single" w:sz="2" w:space="0" w:color="auto"/>
              <w:left w:val="single" w:sz="2" w:space="0" w:color="auto"/>
              <w:bottom w:val="single" w:sz="2" w:space="0" w:color="auto"/>
              <w:right w:val="single" w:sz="2" w:space="0" w:color="auto"/>
            </w:tcBorders>
          </w:tcPr>
          <w:p w14:paraId="67C7E790" w14:textId="77777777" w:rsidR="009F4766" w:rsidRPr="00DE12A3" w:rsidRDefault="009F4766" w:rsidP="00C917D6">
            <w:pPr>
              <w:pStyle w:val="NormalLeft"/>
            </w:pPr>
            <w:r w:rsidRPr="00DE12A3">
              <w:t>7</w:t>
            </w:r>
          </w:p>
        </w:tc>
        <w:tc>
          <w:tcPr>
            <w:tcW w:w="2551" w:type="dxa"/>
            <w:tcBorders>
              <w:top w:val="single" w:sz="2" w:space="0" w:color="auto"/>
              <w:left w:val="single" w:sz="2" w:space="0" w:color="auto"/>
              <w:bottom w:val="single" w:sz="2" w:space="0" w:color="auto"/>
              <w:right w:val="single" w:sz="2" w:space="0" w:color="auto"/>
            </w:tcBorders>
          </w:tcPr>
          <w:p w14:paraId="7B0B600B" w14:textId="77777777" w:rsidR="009F4766" w:rsidRPr="00DE12A3" w:rsidRDefault="009F4766" w:rsidP="00C917D6">
            <w:pPr>
              <w:pStyle w:val="NormalLeft"/>
            </w:pPr>
            <w:r w:rsidRPr="00DE12A3">
              <w:t>54</w:t>
            </w:r>
          </w:p>
        </w:tc>
      </w:tr>
      <w:tr w:rsidR="00DE12A3" w:rsidRPr="00DE12A3" w14:paraId="157737CD" w14:textId="77777777" w:rsidTr="009F4766">
        <w:tc>
          <w:tcPr>
            <w:tcW w:w="1182" w:type="dxa"/>
            <w:tcBorders>
              <w:top w:val="single" w:sz="2" w:space="0" w:color="auto"/>
              <w:left w:val="single" w:sz="2" w:space="0" w:color="auto"/>
              <w:bottom w:val="single" w:sz="2" w:space="0" w:color="auto"/>
              <w:right w:val="single" w:sz="2" w:space="0" w:color="auto"/>
            </w:tcBorders>
          </w:tcPr>
          <w:p w14:paraId="3AF66596" w14:textId="77777777" w:rsidR="009F4766" w:rsidRPr="00DE12A3" w:rsidRDefault="009F4766" w:rsidP="00C917D6">
            <w:pPr>
              <w:pStyle w:val="NormalLeft"/>
            </w:pPr>
            <w:r w:rsidRPr="00DE12A3">
              <w:t>857</w:t>
            </w:r>
          </w:p>
        </w:tc>
        <w:tc>
          <w:tcPr>
            <w:tcW w:w="2489" w:type="dxa"/>
            <w:tcBorders>
              <w:top w:val="single" w:sz="2" w:space="0" w:color="auto"/>
              <w:left w:val="single" w:sz="2" w:space="0" w:color="auto"/>
              <w:bottom w:val="single" w:sz="2" w:space="0" w:color="auto"/>
              <w:right w:val="single" w:sz="2" w:space="0" w:color="auto"/>
            </w:tcBorders>
          </w:tcPr>
          <w:p w14:paraId="19A403D6" w14:textId="77777777" w:rsidR="009F4766" w:rsidRPr="00DE12A3" w:rsidRDefault="009F4766" w:rsidP="00C917D6">
            <w:pPr>
              <w:pStyle w:val="NormalLeft"/>
            </w:pPr>
            <w:r w:rsidRPr="00DE12A3">
              <w:t>10</w:t>
            </w:r>
          </w:p>
        </w:tc>
        <w:tc>
          <w:tcPr>
            <w:tcW w:w="2551" w:type="dxa"/>
            <w:tcBorders>
              <w:top w:val="single" w:sz="2" w:space="0" w:color="auto"/>
              <w:left w:val="single" w:sz="2" w:space="0" w:color="auto"/>
              <w:bottom w:val="single" w:sz="2" w:space="0" w:color="auto"/>
              <w:right w:val="single" w:sz="2" w:space="0" w:color="auto"/>
            </w:tcBorders>
          </w:tcPr>
          <w:p w14:paraId="4433E223" w14:textId="77777777" w:rsidR="009F4766" w:rsidRPr="00DE12A3" w:rsidRDefault="009F4766" w:rsidP="00C917D6">
            <w:pPr>
              <w:pStyle w:val="NormalLeft"/>
            </w:pPr>
            <w:r w:rsidRPr="00DE12A3">
              <w:t>50</w:t>
            </w:r>
          </w:p>
        </w:tc>
      </w:tr>
      <w:tr w:rsidR="00DE12A3" w:rsidRPr="00DE12A3" w14:paraId="54B69A75" w14:textId="77777777" w:rsidTr="009F4766">
        <w:tc>
          <w:tcPr>
            <w:tcW w:w="1182" w:type="dxa"/>
            <w:tcBorders>
              <w:top w:val="single" w:sz="2" w:space="0" w:color="auto"/>
              <w:left w:val="single" w:sz="2" w:space="0" w:color="auto"/>
              <w:bottom w:val="single" w:sz="2" w:space="0" w:color="auto"/>
              <w:right w:val="single" w:sz="2" w:space="0" w:color="auto"/>
            </w:tcBorders>
          </w:tcPr>
          <w:p w14:paraId="19A47A35" w14:textId="77777777" w:rsidR="009F4766" w:rsidRPr="00DE12A3" w:rsidRDefault="009F4766" w:rsidP="00C917D6">
            <w:pPr>
              <w:pStyle w:val="NormalLeft"/>
            </w:pPr>
            <w:r w:rsidRPr="00DE12A3">
              <w:t>858</w:t>
            </w:r>
          </w:p>
        </w:tc>
        <w:tc>
          <w:tcPr>
            <w:tcW w:w="2489" w:type="dxa"/>
            <w:tcBorders>
              <w:top w:val="single" w:sz="2" w:space="0" w:color="auto"/>
              <w:left w:val="single" w:sz="2" w:space="0" w:color="auto"/>
              <w:bottom w:val="single" w:sz="2" w:space="0" w:color="auto"/>
              <w:right w:val="single" w:sz="2" w:space="0" w:color="auto"/>
            </w:tcBorders>
          </w:tcPr>
          <w:p w14:paraId="55F108B6" w14:textId="77777777" w:rsidR="009F4766" w:rsidRPr="00DE12A3" w:rsidRDefault="009F4766" w:rsidP="00C917D6">
            <w:pPr>
              <w:pStyle w:val="NormalLeft"/>
            </w:pPr>
            <w:r w:rsidRPr="00DE12A3">
              <w:t>9</w:t>
            </w:r>
          </w:p>
        </w:tc>
        <w:tc>
          <w:tcPr>
            <w:tcW w:w="2551" w:type="dxa"/>
            <w:tcBorders>
              <w:top w:val="single" w:sz="2" w:space="0" w:color="auto"/>
              <w:left w:val="single" w:sz="2" w:space="0" w:color="auto"/>
              <w:bottom w:val="single" w:sz="2" w:space="0" w:color="auto"/>
              <w:right w:val="single" w:sz="2" w:space="0" w:color="auto"/>
            </w:tcBorders>
          </w:tcPr>
          <w:p w14:paraId="1AE81692" w14:textId="77777777" w:rsidR="009F4766" w:rsidRPr="00DE12A3" w:rsidRDefault="009F4766" w:rsidP="00C917D6">
            <w:pPr>
              <w:pStyle w:val="NormalLeft"/>
            </w:pPr>
            <w:r w:rsidRPr="00DE12A3">
              <w:t>57</w:t>
            </w:r>
          </w:p>
        </w:tc>
      </w:tr>
      <w:tr w:rsidR="00DE12A3" w:rsidRPr="00DE12A3" w14:paraId="6F711572" w14:textId="77777777" w:rsidTr="009F4766">
        <w:tc>
          <w:tcPr>
            <w:tcW w:w="1182" w:type="dxa"/>
            <w:tcBorders>
              <w:top w:val="single" w:sz="2" w:space="0" w:color="auto"/>
              <w:left w:val="single" w:sz="2" w:space="0" w:color="auto"/>
              <w:bottom w:val="single" w:sz="2" w:space="0" w:color="auto"/>
              <w:right w:val="single" w:sz="2" w:space="0" w:color="auto"/>
            </w:tcBorders>
          </w:tcPr>
          <w:p w14:paraId="7C5055EA" w14:textId="77777777" w:rsidR="009F4766" w:rsidRPr="00DE12A3" w:rsidRDefault="009F4766" w:rsidP="00C917D6">
            <w:pPr>
              <w:pStyle w:val="NormalLeft"/>
            </w:pPr>
            <w:r w:rsidRPr="00DE12A3">
              <w:t>859</w:t>
            </w:r>
          </w:p>
        </w:tc>
        <w:tc>
          <w:tcPr>
            <w:tcW w:w="2489" w:type="dxa"/>
            <w:tcBorders>
              <w:top w:val="single" w:sz="2" w:space="0" w:color="auto"/>
              <w:left w:val="single" w:sz="2" w:space="0" w:color="auto"/>
              <w:bottom w:val="single" w:sz="2" w:space="0" w:color="auto"/>
              <w:right w:val="single" w:sz="2" w:space="0" w:color="auto"/>
            </w:tcBorders>
          </w:tcPr>
          <w:p w14:paraId="30FCE2ED" w14:textId="77777777" w:rsidR="009F4766" w:rsidRPr="00DE12A3" w:rsidRDefault="009F4766" w:rsidP="00C917D6">
            <w:pPr>
              <w:pStyle w:val="NormalLeft"/>
            </w:pPr>
            <w:r w:rsidRPr="00DE12A3">
              <w:t>5</w:t>
            </w:r>
          </w:p>
        </w:tc>
        <w:tc>
          <w:tcPr>
            <w:tcW w:w="2551" w:type="dxa"/>
            <w:tcBorders>
              <w:top w:val="single" w:sz="2" w:space="0" w:color="auto"/>
              <w:left w:val="single" w:sz="2" w:space="0" w:color="auto"/>
              <w:bottom w:val="single" w:sz="2" w:space="0" w:color="auto"/>
              <w:right w:val="single" w:sz="2" w:space="0" w:color="auto"/>
            </w:tcBorders>
          </w:tcPr>
          <w:p w14:paraId="709A6DBE" w14:textId="77777777" w:rsidR="009F4766" w:rsidRPr="00DE12A3" w:rsidRDefault="009F4766" w:rsidP="00C917D6">
            <w:pPr>
              <w:pStyle w:val="NormalLeft"/>
            </w:pPr>
            <w:r w:rsidRPr="00DE12A3">
              <w:t>62</w:t>
            </w:r>
          </w:p>
        </w:tc>
      </w:tr>
      <w:tr w:rsidR="00DE12A3" w:rsidRPr="00DE12A3" w14:paraId="001CBD37" w14:textId="77777777" w:rsidTr="009F4766">
        <w:tc>
          <w:tcPr>
            <w:tcW w:w="1182" w:type="dxa"/>
            <w:tcBorders>
              <w:top w:val="single" w:sz="2" w:space="0" w:color="auto"/>
              <w:left w:val="single" w:sz="2" w:space="0" w:color="auto"/>
              <w:bottom w:val="single" w:sz="2" w:space="0" w:color="auto"/>
              <w:right w:val="single" w:sz="2" w:space="0" w:color="auto"/>
            </w:tcBorders>
          </w:tcPr>
          <w:p w14:paraId="6050A754" w14:textId="77777777" w:rsidR="009F4766" w:rsidRPr="00DE12A3" w:rsidRDefault="009F4766" w:rsidP="00C917D6">
            <w:pPr>
              <w:pStyle w:val="NormalLeft"/>
            </w:pPr>
            <w:r w:rsidRPr="00DE12A3">
              <w:t>860</w:t>
            </w:r>
          </w:p>
        </w:tc>
        <w:tc>
          <w:tcPr>
            <w:tcW w:w="2489" w:type="dxa"/>
            <w:tcBorders>
              <w:top w:val="single" w:sz="2" w:space="0" w:color="auto"/>
              <w:left w:val="single" w:sz="2" w:space="0" w:color="auto"/>
              <w:bottom w:val="single" w:sz="2" w:space="0" w:color="auto"/>
              <w:right w:val="single" w:sz="2" w:space="0" w:color="auto"/>
            </w:tcBorders>
          </w:tcPr>
          <w:p w14:paraId="11303788" w14:textId="77777777" w:rsidR="009F4766" w:rsidRPr="00DE12A3" w:rsidRDefault="009F4766" w:rsidP="00C917D6">
            <w:pPr>
              <w:pStyle w:val="NormalLeft"/>
            </w:pPr>
            <w:r w:rsidRPr="00DE12A3">
              <w:t>12</w:t>
            </w:r>
          </w:p>
        </w:tc>
        <w:tc>
          <w:tcPr>
            <w:tcW w:w="2551" w:type="dxa"/>
            <w:tcBorders>
              <w:top w:val="single" w:sz="2" w:space="0" w:color="auto"/>
              <w:left w:val="single" w:sz="2" w:space="0" w:color="auto"/>
              <w:bottom w:val="single" w:sz="2" w:space="0" w:color="auto"/>
              <w:right w:val="single" w:sz="2" w:space="0" w:color="auto"/>
            </w:tcBorders>
          </w:tcPr>
          <w:p w14:paraId="01CF131C" w14:textId="77777777" w:rsidR="009F4766" w:rsidRPr="00DE12A3" w:rsidRDefault="009F4766" w:rsidP="00C917D6">
            <w:pPr>
              <w:pStyle w:val="NormalLeft"/>
            </w:pPr>
            <w:r w:rsidRPr="00DE12A3">
              <w:t>51</w:t>
            </w:r>
          </w:p>
        </w:tc>
      </w:tr>
      <w:tr w:rsidR="00DE12A3" w:rsidRPr="00DE12A3" w14:paraId="26C258EC" w14:textId="77777777" w:rsidTr="009F4766">
        <w:tc>
          <w:tcPr>
            <w:tcW w:w="1182" w:type="dxa"/>
            <w:tcBorders>
              <w:top w:val="single" w:sz="2" w:space="0" w:color="auto"/>
              <w:left w:val="single" w:sz="2" w:space="0" w:color="auto"/>
              <w:bottom w:val="single" w:sz="2" w:space="0" w:color="auto"/>
              <w:right w:val="single" w:sz="2" w:space="0" w:color="auto"/>
            </w:tcBorders>
          </w:tcPr>
          <w:p w14:paraId="6993A89E" w14:textId="77777777" w:rsidR="009F4766" w:rsidRPr="00DE12A3" w:rsidRDefault="009F4766" w:rsidP="00C917D6">
            <w:pPr>
              <w:pStyle w:val="NormalLeft"/>
            </w:pPr>
            <w:r w:rsidRPr="00DE12A3">
              <w:t>861</w:t>
            </w:r>
          </w:p>
        </w:tc>
        <w:tc>
          <w:tcPr>
            <w:tcW w:w="2489" w:type="dxa"/>
            <w:tcBorders>
              <w:top w:val="single" w:sz="2" w:space="0" w:color="auto"/>
              <w:left w:val="single" w:sz="2" w:space="0" w:color="auto"/>
              <w:bottom w:val="single" w:sz="2" w:space="0" w:color="auto"/>
              <w:right w:val="single" w:sz="2" w:space="0" w:color="auto"/>
            </w:tcBorders>
          </w:tcPr>
          <w:p w14:paraId="60B8AABB" w14:textId="77777777" w:rsidR="009F4766" w:rsidRPr="00DE12A3" w:rsidRDefault="009F4766" w:rsidP="00C917D6">
            <w:pPr>
              <w:pStyle w:val="NormalLeft"/>
            </w:pPr>
            <w:r w:rsidRPr="00DE12A3">
              <w:t>14</w:t>
            </w:r>
          </w:p>
        </w:tc>
        <w:tc>
          <w:tcPr>
            <w:tcW w:w="2551" w:type="dxa"/>
            <w:tcBorders>
              <w:top w:val="single" w:sz="2" w:space="0" w:color="auto"/>
              <w:left w:val="single" w:sz="2" w:space="0" w:color="auto"/>
              <w:bottom w:val="single" w:sz="2" w:space="0" w:color="auto"/>
              <w:right w:val="single" w:sz="2" w:space="0" w:color="auto"/>
            </w:tcBorders>
          </w:tcPr>
          <w:p w14:paraId="277AA2C0" w14:textId="77777777" w:rsidR="009F4766" w:rsidRPr="00DE12A3" w:rsidRDefault="009F4766" w:rsidP="00C917D6">
            <w:pPr>
              <w:pStyle w:val="NormalLeft"/>
            </w:pPr>
            <w:r w:rsidRPr="00DE12A3">
              <w:t>65</w:t>
            </w:r>
          </w:p>
        </w:tc>
      </w:tr>
      <w:tr w:rsidR="00DE12A3" w:rsidRPr="00DE12A3" w14:paraId="60768717" w14:textId="77777777" w:rsidTr="009F4766">
        <w:tc>
          <w:tcPr>
            <w:tcW w:w="1182" w:type="dxa"/>
            <w:tcBorders>
              <w:top w:val="single" w:sz="2" w:space="0" w:color="auto"/>
              <w:left w:val="single" w:sz="2" w:space="0" w:color="auto"/>
              <w:bottom w:val="single" w:sz="2" w:space="0" w:color="auto"/>
              <w:right w:val="single" w:sz="2" w:space="0" w:color="auto"/>
            </w:tcBorders>
          </w:tcPr>
          <w:p w14:paraId="08DA1FEB" w14:textId="77777777" w:rsidR="009F4766" w:rsidRPr="00DE12A3" w:rsidRDefault="009F4766" w:rsidP="00C917D6">
            <w:pPr>
              <w:pStyle w:val="NormalLeft"/>
            </w:pPr>
            <w:r w:rsidRPr="00DE12A3">
              <w:t>862</w:t>
            </w:r>
          </w:p>
        </w:tc>
        <w:tc>
          <w:tcPr>
            <w:tcW w:w="2489" w:type="dxa"/>
            <w:tcBorders>
              <w:top w:val="single" w:sz="2" w:space="0" w:color="auto"/>
              <w:left w:val="single" w:sz="2" w:space="0" w:color="auto"/>
              <w:bottom w:val="single" w:sz="2" w:space="0" w:color="auto"/>
              <w:right w:val="single" w:sz="2" w:space="0" w:color="auto"/>
            </w:tcBorders>
          </w:tcPr>
          <w:p w14:paraId="3307271B" w14:textId="77777777" w:rsidR="009F4766" w:rsidRPr="00DE12A3" w:rsidRDefault="009F4766" w:rsidP="00C917D6">
            <w:pPr>
              <w:pStyle w:val="NormalLeft"/>
            </w:pPr>
            <w:r w:rsidRPr="00DE12A3">
              <w:t>9</w:t>
            </w:r>
          </w:p>
        </w:tc>
        <w:tc>
          <w:tcPr>
            <w:tcW w:w="2551" w:type="dxa"/>
            <w:tcBorders>
              <w:top w:val="single" w:sz="2" w:space="0" w:color="auto"/>
              <w:left w:val="single" w:sz="2" w:space="0" w:color="auto"/>
              <w:bottom w:val="single" w:sz="2" w:space="0" w:color="auto"/>
              <w:right w:val="single" w:sz="2" w:space="0" w:color="auto"/>
            </w:tcBorders>
          </w:tcPr>
          <w:p w14:paraId="3473FB25" w14:textId="77777777" w:rsidR="009F4766" w:rsidRPr="00DE12A3" w:rsidRDefault="009F4766" w:rsidP="00C917D6">
            <w:pPr>
              <w:pStyle w:val="NormalLeft"/>
            </w:pPr>
            <w:r w:rsidRPr="00DE12A3">
              <w:t>64</w:t>
            </w:r>
          </w:p>
        </w:tc>
      </w:tr>
      <w:tr w:rsidR="00DE12A3" w:rsidRPr="00DE12A3" w14:paraId="75384488" w14:textId="77777777" w:rsidTr="009F4766">
        <w:tc>
          <w:tcPr>
            <w:tcW w:w="1182" w:type="dxa"/>
            <w:tcBorders>
              <w:top w:val="single" w:sz="2" w:space="0" w:color="auto"/>
              <w:left w:val="single" w:sz="2" w:space="0" w:color="auto"/>
              <w:bottom w:val="single" w:sz="2" w:space="0" w:color="auto"/>
              <w:right w:val="single" w:sz="2" w:space="0" w:color="auto"/>
            </w:tcBorders>
          </w:tcPr>
          <w:p w14:paraId="3E297697" w14:textId="77777777" w:rsidR="009F4766" w:rsidRPr="00DE12A3" w:rsidRDefault="009F4766" w:rsidP="00C917D6">
            <w:pPr>
              <w:pStyle w:val="NormalLeft"/>
            </w:pPr>
            <w:r w:rsidRPr="00DE12A3">
              <w:t>863</w:t>
            </w:r>
          </w:p>
        </w:tc>
        <w:tc>
          <w:tcPr>
            <w:tcW w:w="2489" w:type="dxa"/>
            <w:tcBorders>
              <w:top w:val="single" w:sz="2" w:space="0" w:color="auto"/>
              <w:left w:val="single" w:sz="2" w:space="0" w:color="auto"/>
              <w:bottom w:val="single" w:sz="2" w:space="0" w:color="auto"/>
              <w:right w:val="single" w:sz="2" w:space="0" w:color="auto"/>
            </w:tcBorders>
          </w:tcPr>
          <w:p w14:paraId="57B754A6" w14:textId="77777777" w:rsidR="009F4766" w:rsidRPr="00DE12A3" w:rsidRDefault="009F4766" w:rsidP="00C917D6">
            <w:pPr>
              <w:pStyle w:val="NormalLeft"/>
            </w:pPr>
            <w:r w:rsidRPr="00DE12A3">
              <w:t>31</w:t>
            </w:r>
          </w:p>
        </w:tc>
        <w:tc>
          <w:tcPr>
            <w:tcW w:w="2551" w:type="dxa"/>
            <w:tcBorders>
              <w:top w:val="single" w:sz="2" w:space="0" w:color="auto"/>
              <w:left w:val="single" w:sz="2" w:space="0" w:color="auto"/>
              <w:bottom w:val="single" w:sz="2" w:space="0" w:color="auto"/>
              <w:right w:val="single" w:sz="2" w:space="0" w:color="auto"/>
            </w:tcBorders>
          </w:tcPr>
          <w:p w14:paraId="2F373D52" w14:textId="77777777" w:rsidR="009F4766" w:rsidRPr="00DE12A3" w:rsidRDefault="009F4766" w:rsidP="00C917D6">
            <w:pPr>
              <w:pStyle w:val="NormalLeft"/>
            </w:pPr>
            <w:r w:rsidRPr="00DE12A3">
              <w:t>50</w:t>
            </w:r>
          </w:p>
        </w:tc>
      </w:tr>
      <w:tr w:rsidR="00DE12A3" w:rsidRPr="00DE12A3" w14:paraId="07719D13" w14:textId="77777777" w:rsidTr="009F4766">
        <w:tc>
          <w:tcPr>
            <w:tcW w:w="1182" w:type="dxa"/>
            <w:tcBorders>
              <w:top w:val="single" w:sz="2" w:space="0" w:color="auto"/>
              <w:left w:val="single" w:sz="2" w:space="0" w:color="auto"/>
              <w:bottom w:val="single" w:sz="2" w:space="0" w:color="auto"/>
              <w:right w:val="single" w:sz="2" w:space="0" w:color="auto"/>
            </w:tcBorders>
          </w:tcPr>
          <w:p w14:paraId="0AAA1C22" w14:textId="77777777" w:rsidR="009F4766" w:rsidRPr="00DE12A3" w:rsidRDefault="009F4766" w:rsidP="00C917D6">
            <w:pPr>
              <w:pStyle w:val="NormalLeft"/>
            </w:pPr>
            <w:r w:rsidRPr="00DE12A3">
              <w:t>864</w:t>
            </w:r>
          </w:p>
        </w:tc>
        <w:tc>
          <w:tcPr>
            <w:tcW w:w="2489" w:type="dxa"/>
            <w:tcBorders>
              <w:top w:val="single" w:sz="2" w:space="0" w:color="auto"/>
              <w:left w:val="single" w:sz="2" w:space="0" w:color="auto"/>
              <w:bottom w:val="single" w:sz="2" w:space="0" w:color="auto"/>
              <w:right w:val="single" w:sz="2" w:space="0" w:color="auto"/>
            </w:tcBorders>
          </w:tcPr>
          <w:p w14:paraId="3B05E83E" w14:textId="77777777" w:rsidR="009F4766" w:rsidRPr="00DE12A3" w:rsidRDefault="009F4766" w:rsidP="00C917D6">
            <w:pPr>
              <w:pStyle w:val="NormalLeft"/>
            </w:pPr>
            <w:r w:rsidRPr="00DE12A3">
              <w:t>30</w:t>
            </w:r>
          </w:p>
        </w:tc>
        <w:tc>
          <w:tcPr>
            <w:tcW w:w="2551" w:type="dxa"/>
            <w:tcBorders>
              <w:top w:val="single" w:sz="2" w:space="0" w:color="auto"/>
              <w:left w:val="single" w:sz="2" w:space="0" w:color="auto"/>
              <w:bottom w:val="single" w:sz="2" w:space="0" w:color="auto"/>
              <w:right w:val="single" w:sz="2" w:space="0" w:color="auto"/>
            </w:tcBorders>
          </w:tcPr>
          <w:p w14:paraId="6CAB6C96" w14:textId="77777777" w:rsidR="009F4766" w:rsidRPr="00DE12A3" w:rsidRDefault="009F4766" w:rsidP="00C917D6">
            <w:pPr>
              <w:pStyle w:val="NormalLeft"/>
            </w:pPr>
            <w:r w:rsidRPr="00DE12A3">
              <w:t>78</w:t>
            </w:r>
          </w:p>
        </w:tc>
      </w:tr>
      <w:tr w:rsidR="00DE12A3" w:rsidRPr="00DE12A3" w14:paraId="7C58AC05" w14:textId="77777777" w:rsidTr="009F4766">
        <w:tc>
          <w:tcPr>
            <w:tcW w:w="1182" w:type="dxa"/>
            <w:tcBorders>
              <w:top w:val="single" w:sz="2" w:space="0" w:color="auto"/>
              <w:left w:val="single" w:sz="2" w:space="0" w:color="auto"/>
              <w:bottom w:val="single" w:sz="2" w:space="0" w:color="auto"/>
              <w:right w:val="single" w:sz="2" w:space="0" w:color="auto"/>
            </w:tcBorders>
          </w:tcPr>
          <w:p w14:paraId="2CA388A4" w14:textId="77777777" w:rsidR="009F4766" w:rsidRPr="00DE12A3" w:rsidRDefault="009F4766" w:rsidP="00C917D6">
            <w:pPr>
              <w:pStyle w:val="NormalLeft"/>
            </w:pPr>
            <w:r w:rsidRPr="00DE12A3">
              <w:t>865</w:t>
            </w:r>
          </w:p>
        </w:tc>
        <w:tc>
          <w:tcPr>
            <w:tcW w:w="2489" w:type="dxa"/>
            <w:tcBorders>
              <w:top w:val="single" w:sz="2" w:space="0" w:color="auto"/>
              <w:left w:val="single" w:sz="2" w:space="0" w:color="auto"/>
              <w:bottom w:val="single" w:sz="2" w:space="0" w:color="auto"/>
              <w:right w:val="single" w:sz="2" w:space="0" w:color="auto"/>
            </w:tcBorders>
          </w:tcPr>
          <w:p w14:paraId="18BDD1E6" w14:textId="77777777" w:rsidR="009F4766" w:rsidRPr="00DE12A3" w:rsidRDefault="009F4766" w:rsidP="00C917D6">
            <w:pPr>
              <w:pStyle w:val="NormalLeft"/>
            </w:pPr>
            <w:r w:rsidRPr="00DE12A3">
              <w:t>21</w:t>
            </w:r>
          </w:p>
        </w:tc>
        <w:tc>
          <w:tcPr>
            <w:tcW w:w="2551" w:type="dxa"/>
            <w:tcBorders>
              <w:top w:val="single" w:sz="2" w:space="0" w:color="auto"/>
              <w:left w:val="single" w:sz="2" w:space="0" w:color="auto"/>
              <w:bottom w:val="single" w:sz="2" w:space="0" w:color="auto"/>
              <w:right w:val="single" w:sz="2" w:space="0" w:color="auto"/>
            </w:tcBorders>
          </w:tcPr>
          <w:p w14:paraId="452A219F" w14:textId="77777777" w:rsidR="009F4766" w:rsidRPr="00DE12A3" w:rsidRDefault="009F4766" w:rsidP="00C917D6">
            <w:pPr>
              <w:pStyle w:val="NormalLeft"/>
            </w:pPr>
            <w:r w:rsidRPr="00DE12A3">
              <w:t>65</w:t>
            </w:r>
          </w:p>
        </w:tc>
      </w:tr>
      <w:tr w:rsidR="00DE12A3" w:rsidRPr="00DE12A3" w14:paraId="4DD4D232" w14:textId="77777777" w:rsidTr="009F4766">
        <w:tc>
          <w:tcPr>
            <w:tcW w:w="1182" w:type="dxa"/>
            <w:tcBorders>
              <w:top w:val="single" w:sz="2" w:space="0" w:color="auto"/>
              <w:left w:val="single" w:sz="2" w:space="0" w:color="auto"/>
              <w:bottom w:val="single" w:sz="2" w:space="0" w:color="auto"/>
              <w:right w:val="single" w:sz="2" w:space="0" w:color="auto"/>
            </w:tcBorders>
          </w:tcPr>
          <w:p w14:paraId="70CC4528" w14:textId="77777777" w:rsidR="009F4766" w:rsidRPr="00DE12A3" w:rsidRDefault="009F4766" w:rsidP="00C917D6">
            <w:pPr>
              <w:pStyle w:val="NormalLeft"/>
            </w:pPr>
            <w:r w:rsidRPr="00DE12A3">
              <w:t>866</w:t>
            </w:r>
          </w:p>
        </w:tc>
        <w:tc>
          <w:tcPr>
            <w:tcW w:w="2489" w:type="dxa"/>
            <w:tcBorders>
              <w:top w:val="single" w:sz="2" w:space="0" w:color="auto"/>
              <w:left w:val="single" w:sz="2" w:space="0" w:color="auto"/>
              <w:bottom w:val="single" w:sz="2" w:space="0" w:color="auto"/>
              <w:right w:val="single" w:sz="2" w:space="0" w:color="auto"/>
            </w:tcBorders>
          </w:tcPr>
          <w:p w14:paraId="67860DC9" w14:textId="77777777" w:rsidR="009F4766" w:rsidRPr="00DE12A3" w:rsidRDefault="009F4766" w:rsidP="00C917D6">
            <w:pPr>
              <w:pStyle w:val="NormalLeft"/>
            </w:pPr>
            <w:r w:rsidRPr="00DE12A3">
              <w:t>14</w:t>
            </w:r>
          </w:p>
        </w:tc>
        <w:tc>
          <w:tcPr>
            <w:tcW w:w="2551" w:type="dxa"/>
            <w:tcBorders>
              <w:top w:val="single" w:sz="2" w:space="0" w:color="auto"/>
              <w:left w:val="single" w:sz="2" w:space="0" w:color="auto"/>
              <w:bottom w:val="single" w:sz="2" w:space="0" w:color="auto"/>
              <w:right w:val="single" w:sz="2" w:space="0" w:color="auto"/>
            </w:tcBorders>
          </w:tcPr>
          <w:p w14:paraId="1CCBB469" w14:textId="77777777" w:rsidR="009F4766" w:rsidRPr="00DE12A3" w:rsidRDefault="009F4766" w:rsidP="00C917D6">
            <w:pPr>
              <w:pStyle w:val="NormalLeft"/>
            </w:pPr>
            <w:r w:rsidRPr="00DE12A3">
              <w:t>51</w:t>
            </w:r>
          </w:p>
        </w:tc>
      </w:tr>
      <w:tr w:rsidR="00DE12A3" w:rsidRPr="00DE12A3" w14:paraId="79AFD03C" w14:textId="77777777" w:rsidTr="009F4766">
        <w:tc>
          <w:tcPr>
            <w:tcW w:w="1182" w:type="dxa"/>
            <w:tcBorders>
              <w:top w:val="single" w:sz="2" w:space="0" w:color="auto"/>
              <w:left w:val="single" w:sz="2" w:space="0" w:color="auto"/>
              <w:bottom w:val="single" w:sz="2" w:space="0" w:color="auto"/>
              <w:right w:val="single" w:sz="2" w:space="0" w:color="auto"/>
            </w:tcBorders>
          </w:tcPr>
          <w:p w14:paraId="7890AEE3" w14:textId="77777777" w:rsidR="009F4766" w:rsidRPr="00DE12A3" w:rsidRDefault="009F4766" w:rsidP="00C917D6">
            <w:pPr>
              <w:pStyle w:val="NormalLeft"/>
            </w:pPr>
            <w:r w:rsidRPr="00DE12A3">
              <w:lastRenderedPageBreak/>
              <w:t>867</w:t>
            </w:r>
          </w:p>
        </w:tc>
        <w:tc>
          <w:tcPr>
            <w:tcW w:w="2489" w:type="dxa"/>
            <w:tcBorders>
              <w:top w:val="single" w:sz="2" w:space="0" w:color="auto"/>
              <w:left w:val="single" w:sz="2" w:space="0" w:color="auto"/>
              <w:bottom w:val="single" w:sz="2" w:space="0" w:color="auto"/>
              <w:right w:val="single" w:sz="2" w:space="0" w:color="auto"/>
            </w:tcBorders>
          </w:tcPr>
          <w:p w14:paraId="61923BCA" w14:textId="77777777" w:rsidR="009F4766" w:rsidRPr="00DE12A3" w:rsidRDefault="009F4766" w:rsidP="00C917D6">
            <w:pPr>
              <w:pStyle w:val="NormalLeft"/>
            </w:pPr>
            <w:r w:rsidRPr="00DE12A3">
              <w:t>10</w:t>
            </w:r>
          </w:p>
        </w:tc>
        <w:tc>
          <w:tcPr>
            <w:tcW w:w="2551" w:type="dxa"/>
            <w:tcBorders>
              <w:top w:val="single" w:sz="2" w:space="0" w:color="auto"/>
              <w:left w:val="single" w:sz="2" w:space="0" w:color="auto"/>
              <w:bottom w:val="single" w:sz="2" w:space="0" w:color="auto"/>
              <w:right w:val="single" w:sz="2" w:space="0" w:color="auto"/>
            </w:tcBorders>
          </w:tcPr>
          <w:p w14:paraId="420CA201" w14:textId="77777777" w:rsidR="009F4766" w:rsidRPr="00DE12A3" w:rsidRDefault="009F4766" w:rsidP="00C917D6">
            <w:pPr>
              <w:pStyle w:val="NormalLeft"/>
            </w:pPr>
            <w:r w:rsidRPr="00DE12A3">
              <w:t>55</w:t>
            </w:r>
          </w:p>
        </w:tc>
      </w:tr>
      <w:tr w:rsidR="00DE12A3" w:rsidRPr="00DE12A3" w14:paraId="76E6E4F6" w14:textId="77777777" w:rsidTr="009F4766">
        <w:tc>
          <w:tcPr>
            <w:tcW w:w="1182" w:type="dxa"/>
            <w:tcBorders>
              <w:top w:val="single" w:sz="2" w:space="0" w:color="auto"/>
              <w:left w:val="single" w:sz="2" w:space="0" w:color="auto"/>
              <w:bottom w:val="single" w:sz="2" w:space="0" w:color="auto"/>
              <w:right w:val="single" w:sz="2" w:space="0" w:color="auto"/>
            </w:tcBorders>
          </w:tcPr>
          <w:p w14:paraId="68D47FC3" w14:textId="77777777" w:rsidR="009F4766" w:rsidRPr="00DE12A3" w:rsidRDefault="009F4766" w:rsidP="00C917D6">
            <w:pPr>
              <w:pStyle w:val="NormalLeft"/>
            </w:pPr>
            <w:r w:rsidRPr="00DE12A3">
              <w:t>868</w:t>
            </w:r>
          </w:p>
        </w:tc>
        <w:tc>
          <w:tcPr>
            <w:tcW w:w="2489" w:type="dxa"/>
            <w:tcBorders>
              <w:top w:val="single" w:sz="2" w:space="0" w:color="auto"/>
              <w:left w:val="single" w:sz="2" w:space="0" w:color="auto"/>
              <w:bottom w:val="single" w:sz="2" w:space="0" w:color="auto"/>
              <w:right w:val="single" w:sz="2" w:space="0" w:color="auto"/>
            </w:tcBorders>
          </w:tcPr>
          <w:p w14:paraId="3B364052" w14:textId="77777777" w:rsidR="009F4766" w:rsidRPr="00DE12A3" w:rsidRDefault="009F4766" w:rsidP="00C917D6">
            <w:pPr>
              <w:pStyle w:val="NormalLeft"/>
            </w:pPr>
            <w:r w:rsidRPr="00DE12A3">
              <w:t>6</w:t>
            </w:r>
          </w:p>
        </w:tc>
        <w:tc>
          <w:tcPr>
            <w:tcW w:w="2551" w:type="dxa"/>
            <w:tcBorders>
              <w:top w:val="single" w:sz="2" w:space="0" w:color="auto"/>
              <w:left w:val="single" w:sz="2" w:space="0" w:color="auto"/>
              <w:bottom w:val="single" w:sz="2" w:space="0" w:color="auto"/>
              <w:right w:val="single" w:sz="2" w:space="0" w:color="auto"/>
            </w:tcBorders>
          </w:tcPr>
          <w:p w14:paraId="2B4E5385" w14:textId="77777777" w:rsidR="009F4766" w:rsidRPr="00DE12A3" w:rsidRDefault="009F4766" w:rsidP="00C917D6">
            <w:pPr>
              <w:pStyle w:val="NormalLeft"/>
            </w:pPr>
            <w:r w:rsidRPr="00DE12A3">
              <w:t>59</w:t>
            </w:r>
          </w:p>
        </w:tc>
      </w:tr>
      <w:tr w:rsidR="00DE12A3" w:rsidRPr="00DE12A3" w14:paraId="2D310FF4" w14:textId="77777777" w:rsidTr="009F4766">
        <w:tc>
          <w:tcPr>
            <w:tcW w:w="1182" w:type="dxa"/>
            <w:tcBorders>
              <w:top w:val="single" w:sz="2" w:space="0" w:color="auto"/>
              <w:left w:val="single" w:sz="2" w:space="0" w:color="auto"/>
              <w:bottom w:val="single" w:sz="2" w:space="0" w:color="auto"/>
              <w:right w:val="single" w:sz="2" w:space="0" w:color="auto"/>
            </w:tcBorders>
          </w:tcPr>
          <w:p w14:paraId="12EAB4CB" w14:textId="77777777" w:rsidR="009F4766" w:rsidRPr="00DE12A3" w:rsidRDefault="009F4766" w:rsidP="00C917D6">
            <w:pPr>
              <w:pStyle w:val="NormalLeft"/>
            </w:pPr>
            <w:r w:rsidRPr="00DE12A3">
              <w:t>869</w:t>
            </w:r>
          </w:p>
        </w:tc>
        <w:tc>
          <w:tcPr>
            <w:tcW w:w="2489" w:type="dxa"/>
            <w:tcBorders>
              <w:top w:val="single" w:sz="2" w:space="0" w:color="auto"/>
              <w:left w:val="single" w:sz="2" w:space="0" w:color="auto"/>
              <w:bottom w:val="single" w:sz="2" w:space="0" w:color="auto"/>
              <w:right w:val="single" w:sz="2" w:space="0" w:color="auto"/>
            </w:tcBorders>
          </w:tcPr>
          <w:p w14:paraId="51269A4D" w14:textId="77777777" w:rsidR="009F4766" w:rsidRPr="00DE12A3" w:rsidRDefault="009F4766" w:rsidP="00C917D6">
            <w:pPr>
              <w:pStyle w:val="NormalLeft"/>
            </w:pPr>
            <w:r w:rsidRPr="00DE12A3">
              <w:t>7</w:t>
            </w:r>
          </w:p>
        </w:tc>
        <w:tc>
          <w:tcPr>
            <w:tcW w:w="2551" w:type="dxa"/>
            <w:tcBorders>
              <w:top w:val="single" w:sz="2" w:space="0" w:color="auto"/>
              <w:left w:val="single" w:sz="2" w:space="0" w:color="auto"/>
              <w:bottom w:val="single" w:sz="2" w:space="0" w:color="auto"/>
              <w:right w:val="single" w:sz="2" w:space="0" w:color="auto"/>
            </w:tcBorders>
          </w:tcPr>
          <w:p w14:paraId="50FA4B8C" w14:textId="77777777" w:rsidR="009F4766" w:rsidRPr="00DE12A3" w:rsidRDefault="009F4766" w:rsidP="00C917D6">
            <w:pPr>
              <w:pStyle w:val="NormalLeft"/>
            </w:pPr>
            <w:r w:rsidRPr="00DE12A3">
              <w:t>59</w:t>
            </w:r>
          </w:p>
        </w:tc>
      </w:tr>
      <w:tr w:rsidR="00DE12A3" w:rsidRPr="00DE12A3" w14:paraId="10C85863" w14:textId="77777777" w:rsidTr="009F4766">
        <w:tc>
          <w:tcPr>
            <w:tcW w:w="1182" w:type="dxa"/>
            <w:tcBorders>
              <w:top w:val="single" w:sz="2" w:space="0" w:color="auto"/>
              <w:left w:val="single" w:sz="2" w:space="0" w:color="auto"/>
              <w:bottom w:val="single" w:sz="2" w:space="0" w:color="auto"/>
              <w:right w:val="single" w:sz="2" w:space="0" w:color="auto"/>
            </w:tcBorders>
          </w:tcPr>
          <w:p w14:paraId="4E3DD22A" w14:textId="77777777" w:rsidR="009F4766" w:rsidRPr="00DE12A3" w:rsidRDefault="009F4766" w:rsidP="00C917D6">
            <w:pPr>
              <w:pStyle w:val="NormalLeft"/>
            </w:pPr>
            <w:r w:rsidRPr="00DE12A3">
              <w:t>870</w:t>
            </w:r>
          </w:p>
        </w:tc>
        <w:tc>
          <w:tcPr>
            <w:tcW w:w="2489" w:type="dxa"/>
            <w:tcBorders>
              <w:top w:val="single" w:sz="2" w:space="0" w:color="auto"/>
              <w:left w:val="single" w:sz="2" w:space="0" w:color="auto"/>
              <w:bottom w:val="single" w:sz="2" w:space="0" w:color="auto"/>
              <w:right w:val="single" w:sz="2" w:space="0" w:color="auto"/>
            </w:tcBorders>
          </w:tcPr>
          <w:p w14:paraId="34B47CE2" w14:textId="77777777" w:rsidR="009F4766" w:rsidRPr="00DE12A3" w:rsidRDefault="009F4766" w:rsidP="00C917D6">
            <w:pPr>
              <w:pStyle w:val="NormalLeft"/>
            </w:pPr>
            <w:r w:rsidRPr="00DE12A3">
              <w:t>19</w:t>
            </w:r>
          </w:p>
        </w:tc>
        <w:tc>
          <w:tcPr>
            <w:tcW w:w="2551" w:type="dxa"/>
            <w:tcBorders>
              <w:top w:val="single" w:sz="2" w:space="0" w:color="auto"/>
              <w:left w:val="single" w:sz="2" w:space="0" w:color="auto"/>
              <w:bottom w:val="single" w:sz="2" w:space="0" w:color="auto"/>
              <w:right w:val="single" w:sz="2" w:space="0" w:color="auto"/>
            </w:tcBorders>
          </w:tcPr>
          <w:p w14:paraId="0B27CBF6" w14:textId="77777777" w:rsidR="009F4766" w:rsidRPr="00DE12A3" w:rsidRDefault="009F4766" w:rsidP="00C917D6">
            <w:pPr>
              <w:pStyle w:val="NormalLeft"/>
            </w:pPr>
            <w:r w:rsidRPr="00DE12A3">
              <w:t>54</w:t>
            </w:r>
          </w:p>
        </w:tc>
      </w:tr>
      <w:tr w:rsidR="00DE12A3" w:rsidRPr="00DE12A3" w14:paraId="06A02DFB" w14:textId="77777777" w:rsidTr="009F4766">
        <w:tc>
          <w:tcPr>
            <w:tcW w:w="1182" w:type="dxa"/>
            <w:tcBorders>
              <w:top w:val="single" w:sz="2" w:space="0" w:color="auto"/>
              <w:left w:val="single" w:sz="2" w:space="0" w:color="auto"/>
              <w:bottom w:val="single" w:sz="2" w:space="0" w:color="auto"/>
              <w:right w:val="single" w:sz="2" w:space="0" w:color="auto"/>
            </w:tcBorders>
          </w:tcPr>
          <w:p w14:paraId="70F39465" w14:textId="77777777" w:rsidR="009F4766" w:rsidRPr="00DE12A3" w:rsidRDefault="009F4766" w:rsidP="00C917D6">
            <w:pPr>
              <w:pStyle w:val="NormalLeft"/>
            </w:pPr>
            <w:r w:rsidRPr="00DE12A3">
              <w:t>871</w:t>
            </w:r>
          </w:p>
        </w:tc>
        <w:tc>
          <w:tcPr>
            <w:tcW w:w="2489" w:type="dxa"/>
            <w:tcBorders>
              <w:top w:val="single" w:sz="2" w:space="0" w:color="auto"/>
              <w:left w:val="single" w:sz="2" w:space="0" w:color="auto"/>
              <w:bottom w:val="single" w:sz="2" w:space="0" w:color="auto"/>
              <w:right w:val="single" w:sz="2" w:space="0" w:color="auto"/>
            </w:tcBorders>
          </w:tcPr>
          <w:p w14:paraId="4B90DD01" w14:textId="77777777" w:rsidR="009F4766" w:rsidRPr="00DE12A3" w:rsidRDefault="009F4766" w:rsidP="00C917D6">
            <w:pPr>
              <w:pStyle w:val="NormalLeft"/>
            </w:pPr>
            <w:r w:rsidRPr="00DE12A3">
              <w:t>23</w:t>
            </w:r>
          </w:p>
        </w:tc>
        <w:tc>
          <w:tcPr>
            <w:tcW w:w="2551" w:type="dxa"/>
            <w:tcBorders>
              <w:top w:val="single" w:sz="2" w:space="0" w:color="auto"/>
              <w:left w:val="single" w:sz="2" w:space="0" w:color="auto"/>
              <w:bottom w:val="single" w:sz="2" w:space="0" w:color="auto"/>
              <w:right w:val="single" w:sz="2" w:space="0" w:color="auto"/>
            </w:tcBorders>
          </w:tcPr>
          <w:p w14:paraId="0F7B4203" w14:textId="77777777" w:rsidR="009F4766" w:rsidRPr="00DE12A3" w:rsidRDefault="009F4766" w:rsidP="00C917D6">
            <w:pPr>
              <w:pStyle w:val="NormalLeft"/>
            </w:pPr>
            <w:r w:rsidRPr="00DE12A3">
              <w:t>61</w:t>
            </w:r>
          </w:p>
        </w:tc>
      </w:tr>
      <w:tr w:rsidR="00DE12A3" w:rsidRPr="00DE12A3" w14:paraId="0B3FD335" w14:textId="77777777" w:rsidTr="009F4766">
        <w:tc>
          <w:tcPr>
            <w:tcW w:w="1182" w:type="dxa"/>
            <w:tcBorders>
              <w:top w:val="single" w:sz="2" w:space="0" w:color="auto"/>
              <w:left w:val="single" w:sz="2" w:space="0" w:color="auto"/>
              <w:bottom w:val="single" w:sz="2" w:space="0" w:color="auto"/>
              <w:right w:val="single" w:sz="2" w:space="0" w:color="auto"/>
            </w:tcBorders>
          </w:tcPr>
          <w:p w14:paraId="4A10B533" w14:textId="77777777" w:rsidR="009F4766" w:rsidRPr="00DE12A3" w:rsidRDefault="009F4766" w:rsidP="00C917D6">
            <w:pPr>
              <w:pStyle w:val="NormalLeft"/>
            </w:pPr>
            <w:r w:rsidRPr="00DE12A3">
              <w:t>872</w:t>
            </w:r>
          </w:p>
        </w:tc>
        <w:tc>
          <w:tcPr>
            <w:tcW w:w="2489" w:type="dxa"/>
            <w:tcBorders>
              <w:top w:val="single" w:sz="2" w:space="0" w:color="auto"/>
              <w:left w:val="single" w:sz="2" w:space="0" w:color="auto"/>
              <w:bottom w:val="single" w:sz="2" w:space="0" w:color="auto"/>
              <w:right w:val="single" w:sz="2" w:space="0" w:color="auto"/>
            </w:tcBorders>
          </w:tcPr>
          <w:p w14:paraId="7E043626" w14:textId="77777777" w:rsidR="009F4766" w:rsidRPr="00DE12A3" w:rsidRDefault="009F4766" w:rsidP="00C917D6">
            <w:pPr>
              <w:pStyle w:val="NormalLeft"/>
            </w:pPr>
            <w:r w:rsidRPr="00DE12A3">
              <w:t>24</w:t>
            </w:r>
          </w:p>
        </w:tc>
        <w:tc>
          <w:tcPr>
            <w:tcW w:w="2551" w:type="dxa"/>
            <w:tcBorders>
              <w:top w:val="single" w:sz="2" w:space="0" w:color="auto"/>
              <w:left w:val="single" w:sz="2" w:space="0" w:color="auto"/>
              <w:bottom w:val="single" w:sz="2" w:space="0" w:color="auto"/>
              <w:right w:val="single" w:sz="2" w:space="0" w:color="auto"/>
            </w:tcBorders>
          </w:tcPr>
          <w:p w14:paraId="029E3ABB" w14:textId="77777777" w:rsidR="009F4766" w:rsidRPr="00DE12A3" w:rsidRDefault="009F4766" w:rsidP="00C917D6">
            <w:pPr>
              <w:pStyle w:val="NormalLeft"/>
            </w:pPr>
            <w:r w:rsidRPr="00DE12A3">
              <w:t>62</w:t>
            </w:r>
          </w:p>
        </w:tc>
      </w:tr>
      <w:tr w:rsidR="00DE12A3" w:rsidRPr="00DE12A3" w14:paraId="55E0A7F0" w14:textId="77777777" w:rsidTr="009F4766">
        <w:tc>
          <w:tcPr>
            <w:tcW w:w="1182" w:type="dxa"/>
            <w:tcBorders>
              <w:top w:val="single" w:sz="2" w:space="0" w:color="auto"/>
              <w:left w:val="single" w:sz="2" w:space="0" w:color="auto"/>
              <w:bottom w:val="single" w:sz="2" w:space="0" w:color="auto"/>
              <w:right w:val="single" w:sz="2" w:space="0" w:color="auto"/>
            </w:tcBorders>
          </w:tcPr>
          <w:p w14:paraId="2A963F5F" w14:textId="77777777" w:rsidR="009F4766" w:rsidRPr="00DE12A3" w:rsidRDefault="009F4766" w:rsidP="00C917D6">
            <w:pPr>
              <w:pStyle w:val="NormalLeft"/>
            </w:pPr>
            <w:r w:rsidRPr="00DE12A3">
              <w:t>873</w:t>
            </w:r>
          </w:p>
        </w:tc>
        <w:tc>
          <w:tcPr>
            <w:tcW w:w="2489" w:type="dxa"/>
            <w:tcBorders>
              <w:top w:val="single" w:sz="2" w:space="0" w:color="auto"/>
              <w:left w:val="single" w:sz="2" w:space="0" w:color="auto"/>
              <w:bottom w:val="single" w:sz="2" w:space="0" w:color="auto"/>
              <w:right w:val="single" w:sz="2" w:space="0" w:color="auto"/>
            </w:tcBorders>
          </w:tcPr>
          <w:p w14:paraId="6109E2F0" w14:textId="77777777" w:rsidR="009F4766" w:rsidRPr="00DE12A3" w:rsidRDefault="009F4766" w:rsidP="00C917D6">
            <w:pPr>
              <w:pStyle w:val="NormalLeft"/>
            </w:pPr>
            <w:r w:rsidRPr="00DE12A3">
              <w:t>34</w:t>
            </w:r>
          </w:p>
        </w:tc>
        <w:tc>
          <w:tcPr>
            <w:tcW w:w="2551" w:type="dxa"/>
            <w:tcBorders>
              <w:top w:val="single" w:sz="2" w:space="0" w:color="auto"/>
              <w:left w:val="single" w:sz="2" w:space="0" w:color="auto"/>
              <w:bottom w:val="single" w:sz="2" w:space="0" w:color="auto"/>
              <w:right w:val="single" w:sz="2" w:space="0" w:color="auto"/>
            </w:tcBorders>
          </w:tcPr>
          <w:p w14:paraId="5353EE0F" w14:textId="77777777" w:rsidR="009F4766" w:rsidRPr="00DE12A3" w:rsidRDefault="009F4766" w:rsidP="00C917D6">
            <w:pPr>
              <w:pStyle w:val="NormalLeft"/>
            </w:pPr>
            <w:r w:rsidRPr="00DE12A3">
              <w:t>61</w:t>
            </w:r>
          </w:p>
        </w:tc>
      </w:tr>
      <w:tr w:rsidR="00DE12A3" w:rsidRPr="00DE12A3" w14:paraId="1944D884" w14:textId="77777777" w:rsidTr="009F4766">
        <w:tc>
          <w:tcPr>
            <w:tcW w:w="1182" w:type="dxa"/>
            <w:tcBorders>
              <w:top w:val="single" w:sz="2" w:space="0" w:color="auto"/>
              <w:left w:val="single" w:sz="2" w:space="0" w:color="auto"/>
              <w:bottom w:val="single" w:sz="2" w:space="0" w:color="auto"/>
              <w:right w:val="single" w:sz="2" w:space="0" w:color="auto"/>
            </w:tcBorders>
          </w:tcPr>
          <w:p w14:paraId="26979102" w14:textId="77777777" w:rsidR="009F4766" w:rsidRPr="00DE12A3" w:rsidRDefault="009F4766" w:rsidP="00C917D6">
            <w:pPr>
              <w:pStyle w:val="NormalLeft"/>
            </w:pPr>
            <w:r w:rsidRPr="00DE12A3">
              <w:t>874</w:t>
            </w:r>
          </w:p>
        </w:tc>
        <w:tc>
          <w:tcPr>
            <w:tcW w:w="2489" w:type="dxa"/>
            <w:tcBorders>
              <w:top w:val="single" w:sz="2" w:space="0" w:color="auto"/>
              <w:left w:val="single" w:sz="2" w:space="0" w:color="auto"/>
              <w:bottom w:val="single" w:sz="2" w:space="0" w:color="auto"/>
              <w:right w:val="single" w:sz="2" w:space="0" w:color="auto"/>
            </w:tcBorders>
          </w:tcPr>
          <w:p w14:paraId="1FA2C602" w14:textId="77777777" w:rsidR="009F4766" w:rsidRPr="00DE12A3" w:rsidRDefault="009F4766" w:rsidP="00C917D6">
            <w:pPr>
              <w:pStyle w:val="NormalLeft"/>
            </w:pPr>
            <w:r w:rsidRPr="00DE12A3">
              <w:t>51</w:t>
            </w:r>
          </w:p>
        </w:tc>
        <w:tc>
          <w:tcPr>
            <w:tcW w:w="2551" w:type="dxa"/>
            <w:tcBorders>
              <w:top w:val="single" w:sz="2" w:space="0" w:color="auto"/>
              <w:left w:val="single" w:sz="2" w:space="0" w:color="auto"/>
              <w:bottom w:val="single" w:sz="2" w:space="0" w:color="auto"/>
              <w:right w:val="single" w:sz="2" w:space="0" w:color="auto"/>
            </w:tcBorders>
          </w:tcPr>
          <w:p w14:paraId="4292EAC1" w14:textId="77777777" w:rsidR="009F4766" w:rsidRPr="00DE12A3" w:rsidRDefault="009F4766" w:rsidP="00C917D6">
            <w:pPr>
              <w:pStyle w:val="NormalLeft"/>
            </w:pPr>
            <w:r w:rsidRPr="00DE12A3">
              <w:t>67</w:t>
            </w:r>
          </w:p>
        </w:tc>
      </w:tr>
      <w:tr w:rsidR="00DE12A3" w:rsidRPr="00DE12A3" w14:paraId="7F48B0F2" w14:textId="77777777" w:rsidTr="009F4766">
        <w:tc>
          <w:tcPr>
            <w:tcW w:w="1182" w:type="dxa"/>
            <w:tcBorders>
              <w:top w:val="single" w:sz="2" w:space="0" w:color="auto"/>
              <w:left w:val="single" w:sz="2" w:space="0" w:color="auto"/>
              <w:bottom w:val="single" w:sz="2" w:space="0" w:color="auto"/>
              <w:right w:val="single" w:sz="2" w:space="0" w:color="auto"/>
            </w:tcBorders>
          </w:tcPr>
          <w:p w14:paraId="0132F0BC" w14:textId="77777777" w:rsidR="009F4766" w:rsidRPr="00DE12A3" w:rsidRDefault="009F4766" w:rsidP="00C917D6">
            <w:pPr>
              <w:pStyle w:val="NormalLeft"/>
            </w:pPr>
            <w:r w:rsidRPr="00DE12A3">
              <w:t>875</w:t>
            </w:r>
          </w:p>
        </w:tc>
        <w:tc>
          <w:tcPr>
            <w:tcW w:w="2489" w:type="dxa"/>
            <w:tcBorders>
              <w:top w:val="single" w:sz="2" w:space="0" w:color="auto"/>
              <w:left w:val="single" w:sz="2" w:space="0" w:color="auto"/>
              <w:bottom w:val="single" w:sz="2" w:space="0" w:color="auto"/>
              <w:right w:val="single" w:sz="2" w:space="0" w:color="auto"/>
            </w:tcBorders>
          </w:tcPr>
          <w:p w14:paraId="1A4A194B" w14:textId="77777777" w:rsidR="009F4766" w:rsidRPr="00DE12A3" w:rsidRDefault="009F4766" w:rsidP="00C917D6">
            <w:pPr>
              <w:pStyle w:val="NormalLeft"/>
            </w:pPr>
            <w:r w:rsidRPr="00DE12A3">
              <w:t>60</w:t>
            </w:r>
          </w:p>
        </w:tc>
        <w:tc>
          <w:tcPr>
            <w:tcW w:w="2551" w:type="dxa"/>
            <w:tcBorders>
              <w:top w:val="single" w:sz="2" w:space="0" w:color="auto"/>
              <w:left w:val="single" w:sz="2" w:space="0" w:color="auto"/>
              <w:bottom w:val="single" w:sz="2" w:space="0" w:color="auto"/>
              <w:right w:val="single" w:sz="2" w:space="0" w:color="auto"/>
            </w:tcBorders>
          </w:tcPr>
          <w:p w14:paraId="27B9002E" w14:textId="77777777" w:rsidR="009F4766" w:rsidRPr="00DE12A3" w:rsidRDefault="009F4766" w:rsidP="00C917D6">
            <w:pPr>
              <w:pStyle w:val="NormalLeft"/>
            </w:pPr>
            <w:r w:rsidRPr="00DE12A3">
              <w:t>66</w:t>
            </w:r>
          </w:p>
        </w:tc>
      </w:tr>
      <w:tr w:rsidR="00DE12A3" w:rsidRPr="00DE12A3" w14:paraId="11E3882D" w14:textId="77777777" w:rsidTr="009F4766">
        <w:tc>
          <w:tcPr>
            <w:tcW w:w="1182" w:type="dxa"/>
            <w:tcBorders>
              <w:top w:val="single" w:sz="2" w:space="0" w:color="auto"/>
              <w:left w:val="single" w:sz="2" w:space="0" w:color="auto"/>
              <w:bottom w:val="single" w:sz="2" w:space="0" w:color="auto"/>
              <w:right w:val="single" w:sz="2" w:space="0" w:color="auto"/>
            </w:tcBorders>
          </w:tcPr>
          <w:p w14:paraId="22B9405F" w14:textId="77777777" w:rsidR="009F4766" w:rsidRPr="00DE12A3" w:rsidRDefault="009F4766" w:rsidP="00C917D6">
            <w:pPr>
              <w:pStyle w:val="NormalLeft"/>
            </w:pPr>
            <w:r w:rsidRPr="00DE12A3">
              <w:t>876</w:t>
            </w:r>
          </w:p>
        </w:tc>
        <w:tc>
          <w:tcPr>
            <w:tcW w:w="2489" w:type="dxa"/>
            <w:tcBorders>
              <w:top w:val="single" w:sz="2" w:space="0" w:color="auto"/>
              <w:left w:val="single" w:sz="2" w:space="0" w:color="auto"/>
              <w:bottom w:val="single" w:sz="2" w:space="0" w:color="auto"/>
              <w:right w:val="single" w:sz="2" w:space="0" w:color="auto"/>
            </w:tcBorders>
          </w:tcPr>
          <w:p w14:paraId="37E72F8A" w14:textId="77777777" w:rsidR="009F4766" w:rsidRPr="00DE12A3" w:rsidRDefault="009F4766" w:rsidP="00C917D6">
            <w:pPr>
              <w:pStyle w:val="NormalLeft"/>
            </w:pPr>
            <w:r w:rsidRPr="00DE12A3">
              <w:t>58</w:t>
            </w:r>
          </w:p>
        </w:tc>
        <w:tc>
          <w:tcPr>
            <w:tcW w:w="2551" w:type="dxa"/>
            <w:tcBorders>
              <w:top w:val="single" w:sz="2" w:space="0" w:color="auto"/>
              <w:left w:val="single" w:sz="2" w:space="0" w:color="auto"/>
              <w:bottom w:val="single" w:sz="2" w:space="0" w:color="auto"/>
              <w:right w:val="single" w:sz="2" w:space="0" w:color="auto"/>
            </w:tcBorders>
          </w:tcPr>
          <w:p w14:paraId="3B178F5C" w14:textId="77777777" w:rsidR="009F4766" w:rsidRPr="00DE12A3" w:rsidRDefault="009F4766" w:rsidP="00C917D6">
            <w:pPr>
              <w:pStyle w:val="NormalLeft"/>
            </w:pPr>
            <w:r w:rsidRPr="00DE12A3">
              <w:t>55</w:t>
            </w:r>
          </w:p>
        </w:tc>
      </w:tr>
      <w:tr w:rsidR="00DE12A3" w:rsidRPr="00DE12A3" w14:paraId="2058C707" w14:textId="77777777" w:rsidTr="009F4766">
        <w:tc>
          <w:tcPr>
            <w:tcW w:w="1182" w:type="dxa"/>
            <w:tcBorders>
              <w:top w:val="single" w:sz="2" w:space="0" w:color="auto"/>
              <w:left w:val="single" w:sz="2" w:space="0" w:color="auto"/>
              <w:bottom w:val="single" w:sz="2" w:space="0" w:color="auto"/>
              <w:right w:val="single" w:sz="2" w:space="0" w:color="auto"/>
            </w:tcBorders>
          </w:tcPr>
          <w:p w14:paraId="60EBF253" w14:textId="77777777" w:rsidR="009F4766" w:rsidRPr="00DE12A3" w:rsidRDefault="009F4766" w:rsidP="00C917D6">
            <w:pPr>
              <w:pStyle w:val="NormalLeft"/>
            </w:pPr>
            <w:r w:rsidRPr="00DE12A3">
              <w:t>877</w:t>
            </w:r>
          </w:p>
        </w:tc>
        <w:tc>
          <w:tcPr>
            <w:tcW w:w="2489" w:type="dxa"/>
            <w:tcBorders>
              <w:top w:val="single" w:sz="2" w:space="0" w:color="auto"/>
              <w:left w:val="single" w:sz="2" w:space="0" w:color="auto"/>
              <w:bottom w:val="single" w:sz="2" w:space="0" w:color="auto"/>
              <w:right w:val="single" w:sz="2" w:space="0" w:color="auto"/>
            </w:tcBorders>
          </w:tcPr>
          <w:p w14:paraId="56BC3B09" w14:textId="77777777" w:rsidR="009F4766" w:rsidRPr="00DE12A3" w:rsidRDefault="009F4766" w:rsidP="00C917D6">
            <w:pPr>
              <w:pStyle w:val="NormalLeft"/>
            </w:pPr>
            <w:r w:rsidRPr="00DE12A3">
              <w:t>60</w:t>
            </w:r>
          </w:p>
        </w:tc>
        <w:tc>
          <w:tcPr>
            <w:tcW w:w="2551" w:type="dxa"/>
            <w:tcBorders>
              <w:top w:val="single" w:sz="2" w:space="0" w:color="auto"/>
              <w:left w:val="single" w:sz="2" w:space="0" w:color="auto"/>
              <w:bottom w:val="single" w:sz="2" w:space="0" w:color="auto"/>
              <w:right w:val="single" w:sz="2" w:space="0" w:color="auto"/>
            </w:tcBorders>
          </w:tcPr>
          <w:p w14:paraId="0E319CCB" w14:textId="77777777" w:rsidR="009F4766" w:rsidRPr="00DE12A3" w:rsidRDefault="009F4766" w:rsidP="00C917D6">
            <w:pPr>
              <w:pStyle w:val="NormalLeft"/>
            </w:pPr>
            <w:r w:rsidRPr="00DE12A3">
              <w:t>52</w:t>
            </w:r>
          </w:p>
        </w:tc>
      </w:tr>
      <w:tr w:rsidR="00DE12A3" w:rsidRPr="00DE12A3" w14:paraId="2B070A92" w14:textId="77777777" w:rsidTr="009F4766">
        <w:tc>
          <w:tcPr>
            <w:tcW w:w="1182" w:type="dxa"/>
            <w:tcBorders>
              <w:top w:val="single" w:sz="2" w:space="0" w:color="auto"/>
              <w:left w:val="single" w:sz="2" w:space="0" w:color="auto"/>
              <w:bottom w:val="single" w:sz="2" w:space="0" w:color="auto"/>
              <w:right w:val="single" w:sz="2" w:space="0" w:color="auto"/>
            </w:tcBorders>
          </w:tcPr>
          <w:p w14:paraId="08D822A0" w14:textId="77777777" w:rsidR="009F4766" w:rsidRPr="00DE12A3" w:rsidRDefault="009F4766" w:rsidP="00C917D6">
            <w:pPr>
              <w:pStyle w:val="NormalLeft"/>
            </w:pPr>
            <w:r w:rsidRPr="00DE12A3">
              <w:t>878</w:t>
            </w:r>
          </w:p>
        </w:tc>
        <w:tc>
          <w:tcPr>
            <w:tcW w:w="2489" w:type="dxa"/>
            <w:tcBorders>
              <w:top w:val="single" w:sz="2" w:space="0" w:color="auto"/>
              <w:left w:val="single" w:sz="2" w:space="0" w:color="auto"/>
              <w:bottom w:val="single" w:sz="2" w:space="0" w:color="auto"/>
              <w:right w:val="single" w:sz="2" w:space="0" w:color="auto"/>
            </w:tcBorders>
          </w:tcPr>
          <w:p w14:paraId="66B507C0" w14:textId="77777777" w:rsidR="009F4766" w:rsidRPr="00DE12A3" w:rsidRDefault="009F4766" w:rsidP="00C917D6">
            <w:pPr>
              <w:pStyle w:val="NormalLeft"/>
            </w:pPr>
            <w:r w:rsidRPr="00DE12A3">
              <w:t>64</w:t>
            </w:r>
          </w:p>
        </w:tc>
        <w:tc>
          <w:tcPr>
            <w:tcW w:w="2551" w:type="dxa"/>
            <w:tcBorders>
              <w:top w:val="single" w:sz="2" w:space="0" w:color="auto"/>
              <w:left w:val="single" w:sz="2" w:space="0" w:color="auto"/>
              <w:bottom w:val="single" w:sz="2" w:space="0" w:color="auto"/>
              <w:right w:val="single" w:sz="2" w:space="0" w:color="auto"/>
            </w:tcBorders>
          </w:tcPr>
          <w:p w14:paraId="49F7305C" w14:textId="77777777" w:rsidR="009F4766" w:rsidRPr="00DE12A3" w:rsidRDefault="009F4766" w:rsidP="00C917D6">
            <w:pPr>
              <w:pStyle w:val="NormalLeft"/>
            </w:pPr>
            <w:r w:rsidRPr="00DE12A3">
              <w:t>55</w:t>
            </w:r>
          </w:p>
        </w:tc>
      </w:tr>
      <w:tr w:rsidR="00DE12A3" w:rsidRPr="00DE12A3" w14:paraId="6AD96697" w14:textId="77777777" w:rsidTr="009F4766">
        <w:tc>
          <w:tcPr>
            <w:tcW w:w="1182" w:type="dxa"/>
            <w:tcBorders>
              <w:top w:val="single" w:sz="2" w:space="0" w:color="auto"/>
              <w:left w:val="single" w:sz="2" w:space="0" w:color="auto"/>
              <w:bottom w:val="single" w:sz="2" w:space="0" w:color="auto"/>
              <w:right w:val="single" w:sz="2" w:space="0" w:color="auto"/>
            </w:tcBorders>
          </w:tcPr>
          <w:p w14:paraId="482D5203" w14:textId="77777777" w:rsidR="009F4766" w:rsidRPr="00DE12A3" w:rsidRDefault="009F4766" w:rsidP="00C917D6">
            <w:pPr>
              <w:pStyle w:val="NormalLeft"/>
            </w:pPr>
            <w:r w:rsidRPr="00DE12A3">
              <w:t>879</w:t>
            </w:r>
          </w:p>
        </w:tc>
        <w:tc>
          <w:tcPr>
            <w:tcW w:w="2489" w:type="dxa"/>
            <w:tcBorders>
              <w:top w:val="single" w:sz="2" w:space="0" w:color="auto"/>
              <w:left w:val="single" w:sz="2" w:space="0" w:color="auto"/>
              <w:bottom w:val="single" w:sz="2" w:space="0" w:color="auto"/>
              <w:right w:val="single" w:sz="2" w:space="0" w:color="auto"/>
            </w:tcBorders>
          </w:tcPr>
          <w:p w14:paraId="0DB0282A" w14:textId="77777777" w:rsidR="009F4766" w:rsidRPr="00DE12A3" w:rsidRDefault="009F4766" w:rsidP="00C917D6">
            <w:pPr>
              <w:pStyle w:val="NormalLeft"/>
            </w:pPr>
            <w:r w:rsidRPr="00DE12A3">
              <w:t>68</w:t>
            </w:r>
          </w:p>
        </w:tc>
        <w:tc>
          <w:tcPr>
            <w:tcW w:w="2551" w:type="dxa"/>
            <w:tcBorders>
              <w:top w:val="single" w:sz="2" w:space="0" w:color="auto"/>
              <w:left w:val="single" w:sz="2" w:space="0" w:color="auto"/>
              <w:bottom w:val="single" w:sz="2" w:space="0" w:color="auto"/>
              <w:right w:val="single" w:sz="2" w:space="0" w:color="auto"/>
            </w:tcBorders>
          </w:tcPr>
          <w:p w14:paraId="3A019C63" w14:textId="77777777" w:rsidR="009F4766" w:rsidRPr="00DE12A3" w:rsidRDefault="009F4766" w:rsidP="00C917D6">
            <w:pPr>
              <w:pStyle w:val="NormalLeft"/>
            </w:pPr>
            <w:r w:rsidRPr="00DE12A3">
              <w:t>51</w:t>
            </w:r>
          </w:p>
        </w:tc>
      </w:tr>
      <w:tr w:rsidR="00DE12A3" w:rsidRPr="00DE12A3" w14:paraId="177E1CCC" w14:textId="77777777" w:rsidTr="009F4766">
        <w:tc>
          <w:tcPr>
            <w:tcW w:w="1182" w:type="dxa"/>
            <w:tcBorders>
              <w:top w:val="single" w:sz="2" w:space="0" w:color="auto"/>
              <w:left w:val="single" w:sz="2" w:space="0" w:color="auto"/>
              <w:bottom w:val="single" w:sz="2" w:space="0" w:color="auto"/>
              <w:right w:val="single" w:sz="2" w:space="0" w:color="auto"/>
            </w:tcBorders>
          </w:tcPr>
          <w:p w14:paraId="3141ACE3" w14:textId="77777777" w:rsidR="009F4766" w:rsidRPr="00DE12A3" w:rsidRDefault="009F4766" w:rsidP="00C917D6">
            <w:pPr>
              <w:pStyle w:val="NormalLeft"/>
            </w:pPr>
            <w:r w:rsidRPr="00DE12A3">
              <w:t>880</w:t>
            </w:r>
          </w:p>
        </w:tc>
        <w:tc>
          <w:tcPr>
            <w:tcW w:w="2489" w:type="dxa"/>
            <w:tcBorders>
              <w:top w:val="single" w:sz="2" w:space="0" w:color="auto"/>
              <w:left w:val="single" w:sz="2" w:space="0" w:color="auto"/>
              <w:bottom w:val="single" w:sz="2" w:space="0" w:color="auto"/>
              <w:right w:val="single" w:sz="2" w:space="0" w:color="auto"/>
            </w:tcBorders>
          </w:tcPr>
          <w:p w14:paraId="3F924806" w14:textId="77777777" w:rsidR="009F4766" w:rsidRPr="00DE12A3" w:rsidRDefault="009F4766" w:rsidP="00C917D6">
            <w:pPr>
              <w:pStyle w:val="NormalLeft"/>
            </w:pPr>
            <w:r w:rsidRPr="00DE12A3">
              <w:t>63</w:t>
            </w:r>
          </w:p>
        </w:tc>
        <w:tc>
          <w:tcPr>
            <w:tcW w:w="2551" w:type="dxa"/>
            <w:tcBorders>
              <w:top w:val="single" w:sz="2" w:space="0" w:color="auto"/>
              <w:left w:val="single" w:sz="2" w:space="0" w:color="auto"/>
              <w:bottom w:val="single" w:sz="2" w:space="0" w:color="auto"/>
              <w:right w:val="single" w:sz="2" w:space="0" w:color="auto"/>
            </w:tcBorders>
          </w:tcPr>
          <w:p w14:paraId="69E1D390" w14:textId="77777777" w:rsidR="009F4766" w:rsidRPr="00DE12A3" w:rsidRDefault="009F4766" w:rsidP="00C917D6">
            <w:pPr>
              <w:pStyle w:val="NormalLeft"/>
            </w:pPr>
            <w:r w:rsidRPr="00DE12A3">
              <w:t>54</w:t>
            </w:r>
          </w:p>
        </w:tc>
      </w:tr>
      <w:tr w:rsidR="00DE12A3" w:rsidRPr="00DE12A3" w14:paraId="0D3C142E" w14:textId="77777777" w:rsidTr="009F4766">
        <w:tc>
          <w:tcPr>
            <w:tcW w:w="1182" w:type="dxa"/>
            <w:tcBorders>
              <w:top w:val="single" w:sz="2" w:space="0" w:color="auto"/>
              <w:left w:val="single" w:sz="2" w:space="0" w:color="auto"/>
              <w:bottom w:val="single" w:sz="2" w:space="0" w:color="auto"/>
              <w:right w:val="single" w:sz="2" w:space="0" w:color="auto"/>
            </w:tcBorders>
          </w:tcPr>
          <w:p w14:paraId="5C237DA6" w14:textId="77777777" w:rsidR="009F4766" w:rsidRPr="00DE12A3" w:rsidRDefault="009F4766" w:rsidP="00C917D6">
            <w:pPr>
              <w:pStyle w:val="NormalLeft"/>
            </w:pPr>
            <w:r w:rsidRPr="00DE12A3">
              <w:t>881</w:t>
            </w:r>
          </w:p>
        </w:tc>
        <w:tc>
          <w:tcPr>
            <w:tcW w:w="2489" w:type="dxa"/>
            <w:tcBorders>
              <w:top w:val="single" w:sz="2" w:space="0" w:color="auto"/>
              <w:left w:val="single" w:sz="2" w:space="0" w:color="auto"/>
              <w:bottom w:val="single" w:sz="2" w:space="0" w:color="auto"/>
              <w:right w:val="single" w:sz="2" w:space="0" w:color="auto"/>
            </w:tcBorders>
          </w:tcPr>
          <w:p w14:paraId="58982457" w14:textId="77777777" w:rsidR="009F4766" w:rsidRPr="00DE12A3" w:rsidRDefault="009F4766" w:rsidP="00C917D6">
            <w:pPr>
              <w:pStyle w:val="NormalLeft"/>
            </w:pPr>
            <w:r w:rsidRPr="00DE12A3">
              <w:t>64</w:t>
            </w:r>
          </w:p>
        </w:tc>
        <w:tc>
          <w:tcPr>
            <w:tcW w:w="2551" w:type="dxa"/>
            <w:tcBorders>
              <w:top w:val="single" w:sz="2" w:space="0" w:color="auto"/>
              <w:left w:val="single" w:sz="2" w:space="0" w:color="auto"/>
              <w:bottom w:val="single" w:sz="2" w:space="0" w:color="auto"/>
              <w:right w:val="single" w:sz="2" w:space="0" w:color="auto"/>
            </w:tcBorders>
          </w:tcPr>
          <w:p w14:paraId="5FB7120B" w14:textId="77777777" w:rsidR="009F4766" w:rsidRPr="00DE12A3" w:rsidRDefault="009F4766" w:rsidP="00C917D6">
            <w:pPr>
              <w:pStyle w:val="NormalLeft"/>
            </w:pPr>
            <w:r w:rsidRPr="00DE12A3">
              <w:t>50</w:t>
            </w:r>
          </w:p>
        </w:tc>
      </w:tr>
      <w:tr w:rsidR="00DE12A3" w:rsidRPr="00DE12A3" w14:paraId="5EC18954" w14:textId="77777777" w:rsidTr="009F4766">
        <w:tc>
          <w:tcPr>
            <w:tcW w:w="1182" w:type="dxa"/>
            <w:tcBorders>
              <w:top w:val="single" w:sz="2" w:space="0" w:color="auto"/>
              <w:left w:val="single" w:sz="2" w:space="0" w:color="auto"/>
              <w:bottom w:val="single" w:sz="2" w:space="0" w:color="auto"/>
              <w:right w:val="single" w:sz="2" w:space="0" w:color="auto"/>
            </w:tcBorders>
          </w:tcPr>
          <w:p w14:paraId="54DED691" w14:textId="77777777" w:rsidR="009F4766" w:rsidRPr="00DE12A3" w:rsidRDefault="009F4766" w:rsidP="00C917D6">
            <w:pPr>
              <w:pStyle w:val="NormalLeft"/>
            </w:pPr>
            <w:r w:rsidRPr="00DE12A3">
              <w:t>882</w:t>
            </w:r>
          </w:p>
        </w:tc>
        <w:tc>
          <w:tcPr>
            <w:tcW w:w="2489" w:type="dxa"/>
            <w:tcBorders>
              <w:top w:val="single" w:sz="2" w:space="0" w:color="auto"/>
              <w:left w:val="single" w:sz="2" w:space="0" w:color="auto"/>
              <w:bottom w:val="single" w:sz="2" w:space="0" w:color="auto"/>
              <w:right w:val="single" w:sz="2" w:space="0" w:color="auto"/>
            </w:tcBorders>
          </w:tcPr>
          <w:p w14:paraId="03DA58D0" w14:textId="77777777" w:rsidR="009F4766" w:rsidRPr="00DE12A3" w:rsidRDefault="009F4766" w:rsidP="00C917D6">
            <w:pPr>
              <w:pStyle w:val="NormalLeft"/>
            </w:pPr>
            <w:r w:rsidRPr="00DE12A3">
              <w:t>68</w:t>
            </w:r>
          </w:p>
        </w:tc>
        <w:tc>
          <w:tcPr>
            <w:tcW w:w="2551" w:type="dxa"/>
            <w:tcBorders>
              <w:top w:val="single" w:sz="2" w:space="0" w:color="auto"/>
              <w:left w:val="single" w:sz="2" w:space="0" w:color="auto"/>
              <w:bottom w:val="single" w:sz="2" w:space="0" w:color="auto"/>
              <w:right w:val="single" w:sz="2" w:space="0" w:color="auto"/>
            </w:tcBorders>
          </w:tcPr>
          <w:p w14:paraId="6A8DD8C2" w14:textId="77777777" w:rsidR="009F4766" w:rsidRPr="00DE12A3" w:rsidRDefault="009F4766" w:rsidP="00C917D6">
            <w:pPr>
              <w:pStyle w:val="NormalLeft"/>
            </w:pPr>
            <w:r w:rsidRPr="00DE12A3">
              <w:t>58</w:t>
            </w:r>
          </w:p>
        </w:tc>
      </w:tr>
      <w:tr w:rsidR="00DE12A3" w:rsidRPr="00DE12A3" w14:paraId="6093641C" w14:textId="77777777" w:rsidTr="009F4766">
        <w:tc>
          <w:tcPr>
            <w:tcW w:w="1182" w:type="dxa"/>
            <w:tcBorders>
              <w:top w:val="single" w:sz="2" w:space="0" w:color="auto"/>
              <w:left w:val="single" w:sz="2" w:space="0" w:color="auto"/>
              <w:bottom w:val="single" w:sz="2" w:space="0" w:color="auto"/>
              <w:right w:val="single" w:sz="2" w:space="0" w:color="auto"/>
            </w:tcBorders>
          </w:tcPr>
          <w:p w14:paraId="41BE4936" w14:textId="77777777" w:rsidR="009F4766" w:rsidRPr="00DE12A3" w:rsidRDefault="009F4766" w:rsidP="00C917D6">
            <w:pPr>
              <w:pStyle w:val="NormalLeft"/>
            </w:pPr>
            <w:r w:rsidRPr="00DE12A3">
              <w:t>883</w:t>
            </w:r>
          </w:p>
        </w:tc>
        <w:tc>
          <w:tcPr>
            <w:tcW w:w="2489" w:type="dxa"/>
            <w:tcBorders>
              <w:top w:val="single" w:sz="2" w:space="0" w:color="auto"/>
              <w:left w:val="single" w:sz="2" w:space="0" w:color="auto"/>
              <w:bottom w:val="single" w:sz="2" w:space="0" w:color="auto"/>
              <w:right w:val="single" w:sz="2" w:space="0" w:color="auto"/>
            </w:tcBorders>
          </w:tcPr>
          <w:p w14:paraId="3C0B7376" w14:textId="77777777" w:rsidR="009F4766" w:rsidRPr="00DE12A3" w:rsidRDefault="009F4766" w:rsidP="00C917D6">
            <w:pPr>
              <w:pStyle w:val="NormalLeft"/>
            </w:pPr>
            <w:r w:rsidRPr="00DE12A3">
              <w:t>73</w:t>
            </w:r>
          </w:p>
        </w:tc>
        <w:tc>
          <w:tcPr>
            <w:tcW w:w="2551" w:type="dxa"/>
            <w:tcBorders>
              <w:top w:val="single" w:sz="2" w:space="0" w:color="auto"/>
              <w:left w:val="single" w:sz="2" w:space="0" w:color="auto"/>
              <w:bottom w:val="single" w:sz="2" w:space="0" w:color="auto"/>
              <w:right w:val="single" w:sz="2" w:space="0" w:color="auto"/>
            </w:tcBorders>
          </w:tcPr>
          <w:p w14:paraId="1E593D5A" w14:textId="77777777" w:rsidR="009F4766" w:rsidRPr="00DE12A3" w:rsidRDefault="009F4766" w:rsidP="00C917D6">
            <w:pPr>
              <w:pStyle w:val="NormalLeft"/>
            </w:pPr>
            <w:r w:rsidRPr="00DE12A3">
              <w:t>47</w:t>
            </w:r>
          </w:p>
        </w:tc>
      </w:tr>
      <w:tr w:rsidR="00DE12A3" w:rsidRPr="00DE12A3" w14:paraId="64BBA37E" w14:textId="77777777" w:rsidTr="009F4766">
        <w:tc>
          <w:tcPr>
            <w:tcW w:w="1182" w:type="dxa"/>
            <w:tcBorders>
              <w:top w:val="single" w:sz="2" w:space="0" w:color="auto"/>
              <w:left w:val="single" w:sz="2" w:space="0" w:color="auto"/>
              <w:bottom w:val="single" w:sz="2" w:space="0" w:color="auto"/>
              <w:right w:val="single" w:sz="2" w:space="0" w:color="auto"/>
            </w:tcBorders>
          </w:tcPr>
          <w:p w14:paraId="11746BC7" w14:textId="77777777" w:rsidR="009F4766" w:rsidRPr="00DE12A3" w:rsidRDefault="009F4766" w:rsidP="00C917D6">
            <w:pPr>
              <w:pStyle w:val="NormalLeft"/>
            </w:pPr>
            <w:r w:rsidRPr="00DE12A3">
              <w:t>884</w:t>
            </w:r>
          </w:p>
        </w:tc>
        <w:tc>
          <w:tcPr>
            <w:tcW w:w="2489" w:type="dxa"/>
            <w:tcBorders>
              <w:top w:val="single" w:sz="2" w:space="0" w:color="auto"/>
              <w:left w:val="single" w:sz="2" w:space="0" w:color="auto"/>
              <w:bottom w:val="single" w:sz="2" w:space="0" w:color="auto"/>
              <w:right w:val="single" w:sz="2" w:space="0" w:color="auto"/>
            </w:tcBorders>
          </w:tcPr>
          <w:p w14:paraId="3A577075" w14:textId="77777777" w:rsidR="009F4766" w:rsidRPr="00DE12A3" w:rsidRDefault="009F4766" w:rsidP="00C917D6">
            <w:pPr>
              <w:pStyle w:val="NormalLeft"/>
            </w:pPr>
            <w:r w:rsidRPr="00DE12A3">
              <w:t>63</w:t>
            </w:r>
          </w:p>
        </w:tc>
        <w:tc>
          <w:tcPr>
            <w:tcW w:w="2551" w:type="dxa"/>
            <w:tcBorders>
              <w:top w:val="single" w:sz="2" w:space="0" w:color="auto"/>
              <w:left w:val="single" w:sz="2" w:space="0" w:color="auto"/>
              <w:bottom w:val="single" w:sz="2" w:space="0" w:color="auto"/>
              <w:right w:val="single" w:sz="2" w:space="0" w:color="auto"/>
            </w:tcBorders>
          </w:tcPr>
          <w:p w14:paraId="47821710" w14:textId="77777777" w:rsidR="009F4766" w:rsidRPr="00DE12A3" w:rsidRDefault="009F4766" w:rsidP="00C917D6">
            <w:pPr>
              <w:pStyle w:val="NormalLeft"/>
            </w:pPr>
            <w:r w:rsidRPr="00DE12A3">
              <w:t>40</w:t>
            </w:r>
          </w:p>
        </w:tc>
      </w:tr>
      <w:tr w:rsidR="00DE12A3" w:rsidRPr="00DE12A3" w14:paraId="373A0794" w14:textId="77777777" w:rsidTr="009F4766">
        <w:tc>
          <w:tcPr>
            <w:tcW w:w="1182" w:type="dxa"/>
            <w:tcBorders>
              <w:top w:val="single" w:sz="2" w:space="0" w:color="auto"/>
              <w:left w:val="single" w:sz="2" w:space="0" w:color="auto"/>
              <w:bottom w:val="single" w:sz="2" w:space="0" w:color="auto"/>
              <w:right w:val="single" w:sz="2" w:space="0" w:color="auto"/>
            </w:tcBorders>
          </w:tcPr>
          <w:p w14:paraId="0D7BFB15" w14:textId="77777777" w:rsidR="009F4766" w:rsidRPr="00DE12A3" w:rsidRDefault="009F4766" w:rsidP="00C917D6">
            <w:pPr>
              <w:pStyle w:val="NormalLeft"/>
            </w:pPr>
            <w:r w:rsidRPr="00DE12A3">
              <w:t>885</w:t>
            </w:r>
          </w:p>
        </w:tc>
        <w:tc>
          <w:tcPr>
            <w:tcW w:w="2489" w:type="dxa"/>
            <w:tcBorders>
              <w:top w:val="single" w:sz="2" w:space="0" w:color="auto"/>
              <w:left w:val="single" w:sz="2" w:space="0" w:color="auto"/>
              <w:bottom w:val="single" w:sz="2" w:space="0" w:color="auto"/>
              <w:right w:val="single" w:sz="2" w:space="0" w:color="auto"/>
            </w:tcBorders>
          </w:tcPr>
          <w:p w14:paraId="685C1417" w14:textId="77777777" w:rsidR="009F4766" w:rsidRPr="00DE12A3" w:rsidRDefault="009F4766" w:rsidP="00C917D6">
            <w:pPr>
              <w:pStyle w:val="NormalLeft"/>
            </w:pPr>
            <w:r w:rsidRPr="00DE12A3">
              <w:t>50</w:t>
            </w:r>
          </w:p>
        </w:tc>
        <w:tc>
          <w:tcPr>
            <w:tcW w:w="2551" w:type="dxa"/>
            <w:tcBorders>
              <w:top w:val="single" w:sz="2" w:space="0" w:color="auto"/>
              <w:left w:val="single" w:sz="2" w:space="0" w:color="auto"/>
              <w:bottom w:val="single" w:sz="2" w:space="0" w:color="auto"/>
              <w:right w:val="single" w:sz="2" w:space="0" w:color="auto"/>
            </w:tcBorders>
          </w:tcPr>
          <w:p w14:paraId="2F7BB0CA" w14:textId="77777777" w:rsidR="009F4766" w:rsidRPr="00DE12A3" w:rsidRDefault="009F4766" w:rsidP="00C917D6">
            <w:pPr>
              <w:pStyle w:val="NormalLeft"/>
            </w:pPr>
            <w:r w:rsidRPr="00DE12A3">
              <w:t>38</w:t>
            </w:r>
          </w:p>
        </w:tc>
      </w:tr>
      <w:tr w:rsidR="00DE12A3" w:rsidRPr="00DE12A3" w14:paraId="4A64DB98" w14:textId="77777777" w:rsidTr="009F4766">
        <w:tc>
          <w:tcPr>
            <w:tcW w:w="1182" w:type="dxa"/>
            <w:tcBorders>
              <w:top w:val="single" w:sz="2" w:space="0" w:color="auto"/>
              <w:left w:val="single" w:sz="2" w:space="0" w:color="auto"/>
              <w:bottom w:val="single" w:sz="2" w:space="0" w:color="auto"/>
              <w:right w:val="single" w:sz="2" w:space="0" w:color="auto"/>
            </w:tcBorders>
          </w:tcPr>
          <w:p w14:paraId="48419C92" w14:textId="77777777" w:rsidR="009F4766" w:rsidRPr="00DE12A3" w:rsidRDefault="009F4766" w:rsidP="00C917D6">
            <w:pPr>
              <w:pStyle w:val="NormalLeft"/>
            </w:pPr>
            <w:r w:rsidRPr="00DE12A3">
              <w:t>886</w:t>
            </w:r>
          </w:p>
        </w:tc>
        <w:tc>
          <w:tcPr>
            <w:tcW w:w="2489" w:type="dxa"/>
            <w:tcBorders>
              <w:top w:val="single" w:sz="2" w:space="0" w:color="auto"/>
              <w:left w:val="single" w:sz="2" w:space="0" w:color="auto"/>
              <w:bottom w:val="single" w:sz="2" w:space="0" w:color="auto"/>
              <w:right w:val="single" w:sz="2" w:space="0" w:color="auto"/>
            </w:tcBorders>
          </w:tcPr>
          <w:p w14:paraId="182064C8" w14:textId="77777777" w:rsidR="009F4766" w:rsidRPr="00DE12A3" w:rsidRDefault="009F4766" w:rsidP="00C917D6">
            <w:pPr>
              <w:pStyle w:val="NormalLeft"/>
            </w:pPr>
            <w:r w:rsidRPr="00DE12A3">
              <w:t>29</w:t>
            </w:r>
          </w:p>
        </w:tc>
        <w:tc>
          <w:tcPr>
            <w:tcW w:w="2551" w:type="dxa"/>
            <w:tcBorders>
              <w:top w:val="single" w:sz="2" w:space="0" w:color="auto"/>
              <w:left w:val="single" w:sz="2" w:space="0" w:color="auto"/>
              <w:bottom w:val="single" w:sz="2" w:space="0" w:color="auto"/>
              <w:right w:val="single" w:sz="2" w:space="0" w:color="auto"/>
            </w:tcBorders>
          </w:tcPr>
          <w:p w14:paraId="2DC71B08" w14:textId="77777777" w:rsidR="009F4766" w:rsidRPr="00DE12A3" w:rsidRDefault="009F4766" w:rsidP="00C917D6">
            <w:pPr>
              <w:pStyle w:val="NormalLeft"/>
            </w:pPr>
            <w:r w:rsidRPr="00DE12A3">
              <w:t>61</w:t>
            </w:r>
          </w:p>
        </w:tc>
      </w:tr>
      <w:tr w:rsidR="00DE12A3" w:rsidRPr="00DE12A3" w14:paraId="2333DFE5" w14:textId="77777777" w:rsidTr="009F4766">
        <w:tc>
          <w:tcPr>
            <w:tcW w:w="1182" w:type="dxa"/>
            <w:tcBorders>
              <w:top w:val="single" w:sz="2" w:space="0" w:color="auto"/>
              <w:left w:val="single" w:sz="2" w:space="0" w:color="auto"/>
              <w:bottom w:val="single" w:sz="2" w:space="0" w:color="auto"/>
              <w:right w:val="single" w:sz="2" w:space="0" w:color="auto"/>
            </w:tcBorders>
          </w:tcPr>
          <w:p w14:paraId="1A494052" w14:textId="77777777" w:rsidR="009F4766" w:rsidRPr="00DE12A3" w:rsidRDefault="009F4766" w:rsidP="00C917D6">
            <w:pPr>
              <w:pStyle w:val="NormalLeft"/>
            </w:pPr>
            <w:r w:rsidRPr="00DE12A3">
              <w:t>887</w:t>
            </w:r>
          </w:p>
        </w:tc>
        <w:tc>
          <w:tcPr>
            <w:tcW w:w="2489" w:type="dxa"/>
            <w:tcBorders>
              <w:top w:val="single" w:sz="2" w:space="0" w:color="auto"/>
              <w:left w:val="single" w:sz="2" w:space="0" w:color="auto"/>
              <w:bottom w:val="single" w:sz="2" w:space="0" w:color="auto"/>
              <w:right w:val="single" w:sz="2" w:space="0" w:color="auto"/>
            </w:tcBorders>
          </w:tcPr>
          <w:p w14:paraId="07354510" w14:textId="77777777" w:rsidR="009F4766" w:rsidRPr="00DE12A3" w:rsidRDefault="009F4766" w:rsidP="00C917D6">
            <w:pPr>
              <w:pStyle w:val="NormalLeft"/>
            </w:pPr>
            <w:r w:rsidRPr="00DE12A3">
              <w:t>14</w:t>
            </w:r>
          </w:p>
        </w:tc>
        <w:tc>
          <w:tcPr>
            <w:tcW w:w="2551" w:type="dxa"/>
            <w:tcBorders>
              <w:top w:val="single" w:sz="2" w:space="0" w:color="auto"/>
              <w:left w:val="single" w:sz="2" w:space="0" w:color="auto"/>
              <w:bottom w:val="single" w:sz="2" w:space="0" w:color="auto"/>
              <w:right w:val="single" w:sz="2" w:space="0" w:color="auto"/>
            </w:tcBorders>
          </w:tcPr>
          <w:p w14:paraId="21A71DED" w14:textId="77777777" w:rsidR="009F4766" w:rsidRPr="00DE12A3" w:rsidRDefault="009F4766" w:rsidP="00C917D6">
            <w:pPr>
              <w:pStyle w:val="NormalLeft"/>
            </w:pPr>
            <w:r w:rsidRPr="00DE12A3">
              <w:t>61</w:t>
            </w:r>
          </w:p>
        </w:tc>
      </w:tr>
      <w:tr w:rsidR="00DE12A3" w:rsidRPr="00DE12A3" w14:paraId="268F53F4" w14:textId="77777777" w:rsidTr="009F4766">
        <w:tc>
          <w:tcPr>
            <w:tcW w:w="1182" w:type="dxa"/>
            <w:tcBorders>
              <w:top w:val="single" w:sz="2" w:space="0" w:color="auto"/>
              <w:left w:val="single" w:sz="2" w:space="0" w:color="auto"/>
              <w:bottom w:val="single" w:sz="2" w:space="0" w:color="auto"/>
              <w:right w:val="single" w:sz="2" w:space="0" w:color="auto"/>
            </w:tcBorders>
          </w:tcPr>
          <w:p w14:paraId="18212305" w14:textId="77777777" w:rsidR="009F4766" w:rsidRPr="00DE12A3" w:rsidRDefault="009F4766" w:rsidP="00C917D6">
            <w:pPr>
              <w:pStyle w:val="NormalLeft"/>
            </w:pPr>
            <w:r w:rsidRPr="00DE12A3">
              <w:t>888</w:t>
            </w:r>
          </w:p>
        </w:tc>
        <w:tc>
          <w:tcPr>
            <w:tcW w:w="2489" w:type="dxa"/>
            <w:tcBorders>
              <w:top w:val="single" w:sz="2" w:space="0" w:color="auto"/>
              <w:left w:val="single" w:sz="2" w:space="0" w:color="auto"/>
              <w:bottom w:val="single" w:sz="2" w:space="0" w:color="auto"/>
              <w:right w:val="single" w:sz="2" w:space="0" w:color="auto"/>
            </w:tcBorders>
          </w:tcPr>
          <w:p w14:paraId="4A492D97" w14:textId="77777777" w:rsidR="009F4766" w:rsidRPr="00DE12A3" w:rsidRDefault="009F4766" w:rsidP="00C917D6">
            <w:pPr>
              <w:pStyle w:val="NormalLeft"/>
            </w:pPr>
            <w:r w:rsidRPr="00DE12A3">
              <w:t>14</w:t>
            </w:r>
          </w:p>
        </w:tc>
        <w:tc>
          <w:tcPr>
            <w:tcW w:w="2551" w:type="dxa"/>
            <w:tcBorders>
              <w:top w:val="single" w:sz="2" w:space="0" w:color="auto"/>
              <w:left w:val="single" w:sz="2" w:space="0" w:color="auto"/>
              <w:bottom w:val="single" w:sz="2" w:space="0" w:color="auto"/>
              <w:right w:val="single" w:sz="2" w:space="0" w:color="auto"/>
            </w:tcBorders>
          </w:tcPr>
          <w:p w14:paraId="7466CB3A" w14:textId="77777777" w:rsidR="009F4766" w:rsidRPr="00DE12A3" w:rsidRDefault="009F4766" w:rsidP="00C917D6">
            <w:pPr>
              <w:pStyle w:val="NormalLeft"/>
            </w:pPr>
            <w:r w:rsidRPr="00DE12A3">
              <w:t>53</w:t>
            </w:r>
          </w:p>
        </w:tc>
      </w:tr>
      <w:tr w:rsidR="00DE12A3" w:rsidRPr="00DE12A3" w14:paraId="47297092" w14:textId="77777777" w:rsidTr="009F4766">
        <w:tc>
          <w:tcPr>
            <w:tcW w:w="1182" w:type="dxa"/>
            <w:tcBorders>
              <w:top w:val="single" w:sz="2" w:space="0" w:color="auto"/>
              <w:left w:val="single" w:sz="2" w:space="0" w:color="auto"/>
              <w:bottom w:val="single" w:sz="2" w:space="0" w:color="auto"/>
              <w:right w:val="single" w:sz="2" w:space="0" w:color="auto"/>
            </w:tcBorders>
          </w:tcPr>
          <w:p w14:paraId="6394700F" w14:textId="77777777" w:rsidR="009F4766" w:rsidRPr="00DE12A3" w:rsidRDefault="009F4766" w:rsidP="00C917D6">
            <w:pPr>
              <w:pStyle w:val="NormalLeft"/>
            </w:pPr>
            <w:r w:rsidRPr="00DE12A3">
              <w:t>889</w:t>
            </w:r>
          </w:p>
        </w:tc>
        <w:tc>
          <w:tcPr>
            <w:tcW w:w="2489" w:type="dxa"/>
            <w:tcBorders>
              <w:top w:val="single" w:sz="2" w:space="0" w:color="auto"/>
              <w:left w:val="single" w:sz="2" w:space="0" w:color="auto"/>
              <w:bottom w:val="single" w:sz="2" w:space="0" w:color="auto"/>
              <w:right w:val="single" w:sz="2" w:space="0" w:color="auto"/>
            </w:tcBorders>
          </w:tcPr>
          <w:p w14:paraId="509BE709" w14:textId="77777777" w:rsidR="009F4766" w:rsidRPr="00DE12A3" w:rsidRDefault="009F4766" w:rsidP="00C917D6">
            <w:pPr>
              <w:pStyle w:val="NormalLeft"/>
            </w:pPr>
            <w:r w:rsidRPr="00DE12A3">
              <w:t>42</w:t>
            </w:r>
          </w:p>
        </w:tc>
        <w:tc>
          <w:tcPr>
            <w:tcW w:w="2551" w:type="dxa"/>
            <w:tcBorders>
              <w:top w:val="single" w:sz="2" w:space="0" w:color="auto"/>
              <w:left w:val="single" w:sz="2" w:space="0" w:color="auto"/>
              <w:bottom w:val="single" w:sz="2" w:space="0" w:color="auto"/>
              <w:right w:val="single" w:sz="2" w:space="0" w:color="auto"/>
            </w:tcBorders>
          </w:tcPr>
          <w:p w14:paraId="07FB1A37" w14:textId="77777777" w:rsidR="009F4766" w:rsidRPr="00DE12A3" w:rsidRDefault="009F4766" w:rsidP="00C917D6">
            <w:pPr>
              <w:pStyle w:val="NormalLeft"/>
            </w:pPr>
            <w:r w:rsidRPr="00DE12A3">
              <w:t>6</w:t>
            </w:r>
          </w:p>
        </w:tc>
      </w:tr>
      <w:tr w:rsidR="00DE12A3" w:rsidRPr="00DE12A3" w14:paraId="0935CDCC" w14:textId="77777777" w:rsidTr="009F4766">
        <w:tc>
          <w:tcPr>
            <w:tcW w:w="1182" w:type="dxa"/>
            <w:tcBorders>
              <w:top w:val="single" w:sz="2" w:space="0" w:color="auto"/>
              <w:left w:val="single" w:sz="2" w:space="0" w:color="auto"/>
              <w:bottom w:val="single" w:sz="2" w:space="0" w:color="auto"/>
              <w:right w:val="single" w:sz="2" w:space="0" w:color="auto"/>
            </w:tcBorders>
          </w:tcPr>
          <w:p w14:paraId="1BD05A8C" w14:textId="77777777" w:rsidR="009F4766" w:rsidRPr="00DE12A3" w:rsidRDefault="009F4766" w:rsidP="00C917D6">
            <w:pPr>
              <w:pStyle w:val="NormalLeft"/>
            </w:pPr>
            <w:r w:rsidRPr="00DE12A3">
              <w:t>890</w:t>
            </w:r>
          </w:p>
        </w:tc>
        <w:tc>
          <w:tcPr>
            <w:tcW w:w="2489" w:type="dxa"/>
            <w:tcBorders>
              <w:top w:val="single" w:sz="2" w:space="0" w:color="auto"/>
              <w:left w:val="single" w:sz="2" w:space="0" w:color="auto"/>
              <w:bottom w:val="single" w:sz="2" w:space="0" w:color="auto"/>
              <w:right w:val="single" w:sz="2" w:space="0" w:color="auto"/>
            </w:tcBorders>
          </w:tcPr>
          <w:p w14:paraId="232E679B" w14:textId="77777777" w:rsidR="009F4766" w:rsidRPr="00DE12A3" w:rsidRDefault="009F4766" w:rsidP="00C917D6">
            <w:pPr>
              <w:pStyle w:val="NormalLeft"/>
            </w:pPr>
            <w:r w:rsidRPr="00DE12A3">
              <w:t>58</w:t>
            </w:r>
          </w:p>
        </w:tc>
        <w:tc>
          <w:tcPr>
            <w:tcW w:w="2551" w:type="dxa"/>
            <w:tcBorders>
              <w:top w:val="single" w:sz="2" w:space="0" w:color="auto"/>
              <w:left w:val="single" w:sz="2" w:space="0" w:color="auto"/>
              <w:bottom w:val="single" w:sz="2" w:space="0" w:color="auto"/>
              <w:right w:val="single" w:sz="2" w:space="0" w:color="auto"/>
            </w:tcBorders>
          </w:tcPr>
          <w:p w14:paraId="4649685F" w14:textId="77777777" w:rsidR="009F4766" w:rsidRPr="00DE12A3" w:rsidRDefault="009F4766" w:rsidP="00C917D6">
            <w:pPr>
              <w:pStyle w:val="NormalLeft"/>
            </w:pPr>
            <w:r w:rsidRPr="00DE12A3">
              <w:t>6</w:t>
            </w:r>
          </w:p>
        </w:tc>
      </w:tr>
      <w:tr w:rsidR="00DE12A3" w:rsidRPr="00DE12A3" w14:paraId="012B1FA1" w14:textId="77777777" w:rsidTr="009F4766">
        <w:tc>
          <w:tcPr>
            <w:tcW w:w="1182" w:type="dxa"/>
            <w:tcBorders>
              <w:top w:val="single" w:sz="2" w:space="0" w:color="auto"/>
              <w:left w:val="single" w:sz="2" w:space="0" w:color="auto"/>
              <w:bottom w:val="single" w:sz="2" w:space="0" w:color="auto"/>
              <w:right w:val="single" w:sz="2" w:space="0" w:color="auto"/>
            </w:tcBorders>
          </w:tcPr>
          <w:p w14:paraId="7024B0F2" w14:textId="77777777" w:rsidR="009F4766" w:rsidRPr="00DE12A3" w:rsidRDefault="009F4766" w:rsidP="00C917D6">
            <w:pPr>
              <w:pStyle w:val="NormalLeft"/>
            </w:pPr>
            <w:r w:rsidRPr="00DE12A3">
              <w:lastRenderedPageBreak/>
              <w:t>891</w:t>
            </w:r>
          </w:p>
        </w:tc>
        <w:tc>
          <w:tcPr>
            <w:tcW w:w="2489" w:type="dxa"/>
            <w:tcBorders>
              <w:top w:val="single" w:sz="2" w:space="0" w:color="auto"/>
              <w:left w:val="single" w:sz="2" w:space="0" w:color="auto"/>
              <w:bottom w:val="single" w:sz="2" w:space="0" w:color="auto"/>
              <w:right w:val="single" w:sz="2" w:space="0" w:color="auto"/>
            </w:tcBorders>
          </w:tcPr>
          <w:p w14:paraId="4AA529B3" w14:textId="77777777" w:rsidR="009F4766" w:rsidRPr="00DE12A3" w:rsidRDefault="009F4766" w:rsidP="00C917D6">
            <w:pPr>
              <w:pStyle w:val="NormalLeft"/>
            </w:pPr>
            <w:r w:rsidRPr="00DE12A3">
              <w:t>58</w:t>
            </w:r>
          </w:p>
        </w:tc>
        <w:tc>
          <w:tcPr>
            <w:tcW w:w="2551" w:type="dxa"/>
            <w:tcBorders>
              <w:top w:val="single" w:sz="2" w:space="0" w:color="auto"/>
              <w:left w:val="single" w:sz="2" w:space="0" w:color="auto"/>
              <w:bottom w:val="single" w:sz="2" w:space="0" w:color="auto"/>
              <w:right w:val="single" w:sz="2" w:space="0" w:color="auto"/>
            </w:tcBorders>
          </w:tcPr>
          <w:p w14:paraId="3D3DA68C" w14:textId="77777777" w:rsidR="009F4766" w:rsidRPr="00DE12A3" w:rsidRDefault="009F4766" w:rsidP="00C917D6">
            <w:pPr>
              <w:pStyle w:val="NormalLeft"/>
            </w:pPr>
            <w:r w:rsidRPr="00DE12A3">
              <w:t>6</w:t>
            </w:r>
          </w:p>
        </w:tc>
      </w:tr>
      <w:tr w:rsidR="00DE12A3" w:rsidRPr="00DE12A3" w14:paraId="5959D5CA" w14:textId="77777777" w:rsidTr="009F4766">
        <w:tc>
          <w:tcPr>
            <w:tcW w:w="1182" w:type="dxa"/>
            <w:tcBorders>
              <w:top w:val="single" w:sz="2" w:space="0" w:color="auto"/>
              <w:left w:val="single" w:sz="2" w:space="0" w:color="auto"/>
              <w:bottom w:val="single" w:sz="2" w:space="0" w:color="auto"/>
              <w:right w:val="single" w:sz="2" w:space="0" w:color="auto"/>
            </w:tcBorders>
          </w:tcPr>
          <w:p w14:paraId="6E692400" w14:textId="77777777" w:rsidR="009F4766" w:rsidRPr="00DE12A3" w:rsidRDefault="009F4766" w:rsidP="00C917D6">
            <w:pPr>
              <w:pStyle w:val="NormalLeft"/>
            </w:pPr>
            <w:r w:rsidRPr="00DE12A3">
              <w:t>892</w:t>
            </w:r>
          </w:p>
        </w:tc>
        <w:tc>
          <w:tcPr>
            <w:tcW w:w="2489" w:type="dxa"/>
            <w:tcBorders>
              <w:top w:val="single" w:sz="2" w:space="0" w:color="auto"/>
              <w:left w:val="single" w:sz="2" w:space="0" w:color="auto"/>
              <w:bottom w:val="single" w:sz="2" w:space="0" w:color="auto"/>
              <w:right w:val="single" w:sz="2" w:space="0" w:color="auto"/>
            </w:tcBorders>
          </w:tcPr>
          <w:p w14:paraId="5296FCE6" w14:textId="77777777" w:rsidR="009F4766" w:rsidRPr="00DE12A3" w:rsidRDefault="009F4766" w:rsidP="00C917D6">
            <w:pPr>
              <w:pStyle w:val="NormalLeft"/>
            </w:pPr>
            <w:r w:rsidRPr="00DE12A3">
              <w:t>77</w:t>
            </w:r>
          </w:p>
        </w:tc>
        <w:tc>
          <w:tcPr>
            <w:tcW w:w="2551" w:type="dxa"/>
            <w:tcBorders>
              <w:top w:val="single" w:sz="2" w:space="0" w:color="auto"/>
              <w:left w:val="single" w:sz="2" w:space="0" w:color="auto"/>
              <w:bottom w:val="single" w:sz="2" w:space="0" w:color="auto"/>
              <w:right w:val="single" w:sz="2" w:space="0" w:color="auto"/>
            </w:tcBorders>
          </w:tcPr>
          <w:p w14:paraId="0570F453" w14:textId="77777777" w:rsidR="009F4766" w:rsidRPr="00DE12A3" w:rsidRDefault="009F4766" w:rsidP="00C917D6">
            <w:pPr>
              <w:pStyle w:val="NormalLeft"/>
            </w:pPr>
            <w:r w:rsidRPr="00DE12A3">
              <w:t>39</w:t>
            </w:r>
          </w:p>
        </w:tc>
      </w:tr>
      <w:tr w:rsidR="00DE12A3" w:rsidRPr="00DE12A3" w14:paraId="735110E0" w14:textId="77777777" w:rsidTr="009F4766">
        <w:tc>
          <w:tcPr>
            <w:tcW w:w="1182" w:type="dxa"/>
            <w:tcBorders>
              <w:top w:val="single" w:sz="2" w:space="0" w:color="auto"/>
              <w:left w:val="single" w:sz="2" w:space="0" w:color="auto"/>
              <w:bottom w:val="single" w:sz="2" w:space="0" w:color="auto"/>
              <w:right w:val="single" w:sz="2" w:space="0" w:color="auto"/>
            </w:tcBorders>
          </w:tcPr>
          <w:p w14:paraId="666B84B7" w14:textId="77777777" w:rsidR="009F4766" w:rsidRPr="00DE12A3" w:rsidRDefault="009F4766" w:rsidP="00C917D6">
            <w:pPr>
              <w:pStyle w:val="NormalLeft"/>
            </w:pPr>
            <w:r w:rsidRPr="00DE12A3">
              <w:t>893</w:t>
            </w:r>
          </w:p>
        </w:tc>
        <w:tc>
          <w:tcPr>
            <w:tcW w:w="2489" w:type="dxa"/>
            <w:tcBorders>
              <w:top w:val="single" w:sz="2" w:space="0" w:color="auto"/>
              <w:left w:val="single" w:sz="2" w:space="0" w:color="auto"/>
              <w:bottom w:val="single" w:sz="2" w:space="0" w:color="auto"/>
              <w:right w:val="single" w:sz="2" w:space="0" w:color="auto"/>
            </w:tcBorders>
          </w:tcPr>
          <w:p w14:paraId="45CF549F" w14:textId="77777777" w:rsidR="009F4766" w:rsidRPr="00DE12A3" w:rsidRDefault="009F4766" w:rsidP="00C917D6">
            <w:pPr>
              <w:pStyle w:val="NormalLeft"/>
            </w:pPr>
            <w:r w:rsidRPr="00DE12A3">
              <w:t>93</w:t>
            </w:r>
          </w:p>
        </w:tc>
        <w:tc>
          <w:tcPr>
            <w:tcW w:w="2551" w:type="dxa"/>
            <w:tcBorders>
              <w:top w:val="single" w:sz="2" w:space="0" w:color="auto"/>
              <w:left w:val="single" w:sz="2" w:space="0" w:color="auto"/>
              <w:bottom w:val="single" w:sz="2" w:space="0" w:color="auto"/>
              <w:right w:val="single" w:sz="2" w:space="0" w:color="auto"/>
            </w:tcBorders>
          </w:tcPr>
          <w:p w14:paraId="3DEE2011" w14:textId="77777777" w:rsidR="009F4766" w:rsidRPr="00DE12A3" w:rsidRDefault="009F4766" w:rsidP="00C917D6">
            <w:pPr>
              <w:pStyle w:val="NormalLeft"/>
            </w:pPr>
            <w:r w:rsidRPr="00DE12A3">
              <w:t>56</w:t>
            </w:r>
          </w:p>
        </w:tc>
      </w:tr>
      <w:tr w:rsidR="00DE12A3" w:rsidRPr="00DE12A3" w14:paraId="30C63A5C" w14:textId="77777777" w:rsidTr="009F4766">
        <w:tc>
          <w:tcPr>
            <w:tcW w:w="1182" w:type="dxa"/>
            <w:tcBorders>
              <w:top w:val="single" w:sz="2" w:space="0" w:color="auto"/>
              <w:left w:val="single" w:sz="2" w:space="0" w:color="auto"/>
              <w:bottom w:val="single" w:sz="2" w:space="0" w:color="auto"/>
              <w:right w:val="single" w:sz="2" w:space="0" w:color="auto"/>
            </w:tcBorders>
          </w:tcPr>
          <w:p w14:paraId="08016660" w14:textId="77777777" w:rsidR="009F4766" w:rsidRPr="00DE12A3" w:rsidRDefault="009F4766" w:rsidP="00C917D6">
            <w:pPr>
              <w:pStyle w:val="NormalLeft"/>
            </w:pPr>
            <w:r w:rsidRPr="00DE12A3">
              <w:t>894</w:t>
            </w:r>
          </w:p>
        </w:tc>
        <w:tc>
          <w:tcPr>
            <w:tcW w:w="2489" w:type="dxa"/>
            <w:tcBorders>
              <w:top w:val="single" w:sz="2" w:space="0" w:color="auto"/>
              <w:left w:val="single" w:sz="2" w:space="0" w:color="auto"/>
              <w:bottom w:val="single" w:sz="2" w:space="0" w:color="auto"/>
              <w:right w:val="single" w:sz="2" w:space="0" w:color="auto"/>
            </w:tcBorders>
          </w:tcPr>
          <w:p w14:paraId="38C1343C" w14:textId="77777777" w:rsidR="009F4766" w:rsidRPr="00DE12A3" w:rsidRDefault="009F4766" w:rsidP="00C917D6">
            <w:pPr>
              <w:pStyle w:val="NormalLeft"/>
            </w:pPr>
            <w:r w:rsidRPr="00DE12A3">
              <w:t>93</w:t>
            </w:r>
          </w:p>
        </w:tc>
        <w:tc>
          <w:tcPr>
            <w:tcW w:w="2551" w:type="dxa"/>
            <w:tcBorders>
              <w:top w:val="single" w:sz="2" w:space="0" w:color="auto"/>
              <w:left w:val="single" w:sz="2" w:space="0" w:color="auto"/>
              <w:bottom w:val="single" w:sz="2" w:space="0" w:color="auto"/>
              <w:right w:val="single" w:sz="2" w:space="0" w:color="auto"/>
            </w:tcBorders>
          </w:tcPr>
          <w:p w14:paraId="66FDC6F3" w14:textId="77777777" w:rsidR="009F4766" w:rsidRPr="00DE12A3" w:rsidRDefault="009F4766" w:rsidP="00C917D6">
            <w:pPr>
              <w:pStyle w:val="NormalLeft"/>
            </w:pPr>
            <w:r w:rsidRPr="00DE12A3">
              <w:t>44</w:t>
            </w:r>
          </w:p>
        </w:tc>
      </w:tr>
      <w:tr w:rsidR="00DE12A3" w:rsidRPr="00DE12A3" w14:paraId="2C29D5C8" w14:textId="77777777" w:rsidTr="009F4766">
        <w:tc>
          <w:tcPr>
            <w:tcW w:w="1182" w:type="dxa"/>
            <w:tcBorders>
              <w:top w:val="single" w:sz="2" w:space="0" w:color="auto"/>
              <w:left w:val="single" w:sz="2" w:space="0" w:color="auto"/>
              <w:bottom w:val="single" w:sz="2" w:space="0" w:color="auto"/>
              <w:right w:val="single" w:sz="2" w:space="0" w:color="auto"/>
            </w:tcBorders>
          </w:tcPr>
          <w:p w14:paraId="3FB9AC58" w14:textId="77777777" w:rsidR="009F4766" w:rsidRPr="00DE12A3" w:rsidRDefault="009F4766" w:rsidP="00C917D6">
            <w:pPr>
              <w:pStyle w:val="NormalLeft"/>
            </w:pPr>
            <w:r w:rsidRPr="00DE12A3">
              <w:t>895</w:t>
            </w:r>
          </w:p>
        </w:tc>
        <w:tc>
          <w:tcPr>
            <w:tcW w:w="2489" w:type="dxa"/>
            <w:tcBorders>
              <w:top w:val="single" w:sz="2" w:space="0" w:color="auto"/>
              <w:left w:val="single" w:sz="2" w:space="0" w:color="auto"/>
              <w:bottom w:val="single" w:sz="2" w:space="0" w:color="auto"/>
              <w:right w:val="single" w:sz="2" w:space="0" w:color="auto"/>
            </w:tcBorders>
          </w:tcPr>
          <w:p w14:paraId="51158C67" w14:textId="77777777" w:rsidR="009F4766" w:rsidRPr="00DE12A3" w:rsidRDefault="009F4766" w:rsidP="00C917D6">
            <w:pPr>
              <w:pStyle w:val="NormalLeft"/>
            </w:pPr>
            <w:r w:rsidRPr="00DE12A3">
              <w:t>93</w:t>
            </w:r>
          </w:p>
        </w:tc>
        <w:tc>
          <w:tcPr>
            <w:tcW w:w="2551" w:type="dxa"/>
            <w:tcBorders>
              <w:top w:val="single" w:sz="2" w:space="0" w:color="auto"/>
              <w:left w:val="single" w:sz="2" w:space="0" w:color="auto"/>
              <w:bottom w:val="single" w:sz="2" w:space="0" w:color="auto"/>
              <w:right w:val="single" w:sz="2" w:space="0" w:color="auto"/>
            </w:tcBorders>
          </w:tcPr>
          <w:p w14:paraId="42B81C7E" w14:textId="77777777" w:rsidR="009F4766" w:rsidRPr="00DE12A3" w:rsidRDefault="009F4766" w:rsidP="00C917D6">
            <w:pPr>
              <w:pStyle w:val="NormalLeft"/>
            </w:pPr>
            <w:r w:rsidRPr="00DE12A3">
              <w:t>37</w:t>
            </w:r>
          </w:p>
        </w:tc>
      </w:tr>
      <w:tr w:rsidR="00DE12A3" w:rsidRPr="00DE12A3" w14:paraId="5B52570D" w14:textId="77777777" w:rsidTr="009F4766">
        <w:tc>
          <w:tcPr>
            <w:tcW w:w="1182" w:type="dxa"/>
            <w:tcBorders>
              <w:top w:val="single" w:sz="2" w:space="0" w:color="auto"/>
              <w:left w:val="single" w:sz="2" w:space="0" w:color="auto"/>
              <w:bottom w:val="single" w:sz="2" w:space="0" w:color="auto"/>
              <w:right w:val="single" w:sz="2" w:space="0" w:color="auto"/>
            </w:tcBorders>
          </w:tcPr>
          <w:p w14:paraId="5BFB227C" w14:textId="77777777" w:rsidR="009F4766" w:rsidRPr="00DE12A3" w:rsidRDefault="009F4766" w:rsidP="00C917D6">
            <w:pPr>
              <w:pStyle w:val="NormalLeft"/>
            </w:pPr>
            <w:r w:rsidRPr="00DE12A3">
              <w:t>896</w:t>
            </w:r>
          </w:p>
        </w:tc>
        <w:tc>
          <w:tcPr>
            <w:tcW w:w="2489" w:type="dxa"/>
            <w:tcBorders>
              <w:top w:val="single" w:sz="2" w:space="0" w:color="auto"/>
              <w:left w:val="single" w:sz="2" w:space="0" w:color="auto"/>
              <w:bottom w:val="single" w:sz="2" w:space="0" w:color="auto"/>
              <w:right w:val="single" w:sz="2" w:space="0" w:color="auto"/>
            </w:tcBorders>
          </w:tcPr>
          <w:p w14:paraId="4C66DE2A" w14:textId="77777777" w:rsidR="009F4766" w:rsidRPr="00DE12A3" w:rsidRDefault="009F4766" w:rsidP="00C917D6">
            <w:pPr>
              <w:pStyle w:val="NormalLeft"/>
            </w:pPr>
            <w:r w:rsidRPr="00DE12A3">
              <w:t>93</w:t>
            </w:r>
          </w:p>
        </w:tc>
        <w:tc>
          <w:tcPr>
            <w:tcW w:w="2551" w:type="dxa"/>
            <w:tcBorders>
              <w:top w:val="single" w:sz="2" w:space="0" w:color="auto"/>
              <w:left w:val="single" w:sz="2" w:space="0" w:color="auto"/>
              <w:bottom w:val="single" w:sz="2" w:space="0" w:color="auto"/>
              <w:right w:val="single" w:sz="2" w:space="0" w:color="auto"/>
            </w:tcBorders>
          </w:tcPr>
          <w:p w14:paraId="2165D969" w14:textId="77777777" w:rsidR="009F4766" w:rsidRPr="00DE12A3" w:rsidRDefault="009F4766" w:rsidP="00C917D6">
            <w:pPr>
              <w:pStyle w:val="NormalLeft"/>
            </w:pPr>
            <w:r w:rsidRPr="00DE12A3">
              <w:t>31</w:t>
            </w:r>
          </w:p>
        </w:tc>
      </w:tr>
      <w:tr w:rsidR="00DE12A3" w:rsidRPr="00DE12A3" w14:paraId="72094DC7" w14:textId="77777777" w:rsidTr="009F4766">
        <w:tc>
          <w:tcPr>
            <w:tcW w:w="1182" w:type="dxa"/>
            <w:tcBorders>
              <w:top w:val="single" w:sz="2" w:space="0" w:color="auto"/>
              <w:left w:val="single" w:sz="2" w:space="0" w:color="auto"/>
              <w:bottom w:val="single" w:sz="2" w:space="0" w:color="auto"/>
              <w:right w:val="single" w:sz="2" w:space="0" w:color="auto"/>
            </w:tcBorders>
          </w:tcPr>
          <w:p w14:paraId="00E279A0" w14:textId="77777777" w:rsidR="009F4766" w:rsidRPr="00DE12A3" w:rsidRDefault="009F4766" w:rsidP="00C917D6">
            <w:pPr>
              <w:pStyle w:val="NormalLeft"/>
            </w:pPr>
            <w:r w:rsidRPr="00DE12A3">
              <w:t>897</w:t>
            </w:r>
          </w:p>
        </w:tc>
        <w:tc>
          <w:tcPr>
            <w:tcW w:w="2489" w:type="dxa"/>
            <w:tcBorders>
              <w:top w:val="single" w:sz="2" w:space="0" w:color="auto"/>
              <w:left w:val="single" w:sz="2" w:space="0" w:color="auto"/>
              <w:bottom w:val="single" w:sz="2" w:space="0" w:color="auto"/>
              <w:right w:val="single" w:sz="2" w:space="0" w:color="auto"/>
            </w:tcBorders>
          </w:tcPr>
          <w:p w14:paraId="0B6091D2" w14:textId="77777777" w:rsidR="009F4766" w:rsidRPr="00DE12A3" w:rsidRDefault="009F4766" w:rsidP="00C917D6">
            <w:pPr>
              <w:pStyle w:val="NormalLeft"/>
            </w:pPr>
            <w:r w:rsidRPr="00DE12A3">
              <w:t>93</w:t>
            </w:r>
          </w:p>
        </w:tc>
        <w:tc>
          <w:tcPr>
            <w:tcW w:w="2551" w:type="dxa"/>
            <w:tcBorders>
              <w:top w:val="single" w:sz="2" w:space="0" w:color="auto"/>
              <w:left w:val="single" w:sz="2" w:space="0" w:color="auto"/>
              <w:bottom w:val="single" w:sz="2" w:space="0" w:color="auto"/>
              <w:right w:val="single" w:sz="2" w:space="0" w:color="auto"/>
            </w:tcBorders>
          </w:tcPr>
          <w:p w14:paraId="12C6DC97" w14:textId="77777777" w:rsidR="009F4766" w:rsidRPr="00DE12A3" w:rsidRDefault="009F4766" w:rsidP="00C917D6">
            <w:pPr>
              <w:pStyle w:val="NormalLeft"/>
            </w:pPr>
            <w:r w:rsidRPr="00DE12A3">
              <w:t>25</w:t>
            </w:r>
          </w:p>
        </w:tc>
      </w:tr>
      <w:tr w:rsidR="00DE12A3" w:rsidRPr="00DE12A3" w14:paraId="7CCE3EC5" w14:textId="77777777" w:rsidTr="009F4766">
        <w:tc>
          <w:tcPr>
            <w:tcW w:w="1182" w:type="dxa"/>
            <w:tcBorders>
              <w:top w:val="single" w:sz="2" w:space="0" w:color="auto"/>
              <w:left w:val="single" w:sz="2" w:space="0" w:color="auto"/>
              <w:bottom w:val="single" w:sz="2" w:space="0" w:color="auto"/>
              <w:right w:val="single" w:sz="2" w:space="0" w:color="auto"/>
            </w:tcBorders>
          </w:tcPr>
          <w:p w14:paraId="69F9C756" w14:textId="77777777" w:rsidR="009F4766" w:rsidRPr="00DE12A3" w:rsidRDefault="009F4766" w:rsidP="00C917D6">
            <w:pPr>
              <w:pStyle w:val="NormalLeft"/>
            </w:pPr>
            <w:r w:rsidRPr="00DE12A3">
              <w:t>898</w:t>
            </w:r>
          </w:p>
        </w:tc>
        <w:tc>
          <w:tcPr>
            <w:tcW w:w="2489" w:type="dxa"/>
            <w:tcBorders>
              <w:top w:val="single" w:sz="2" w:space="0" w:color="auto"/>
              <w:left w:val="single" w:sz="2" w:space="0" w:color="auto"/>
              <w:bottom w:val="single" w:sz="2" w:space="0" w:color="auto"/>
              <w:right w:val="single" w:sz="2" w:space="0" w:color="auto"/>
            </w:tcBorders>
          </w:tcPr>
          <w:p w14:paraId="2E611006" w14:textId="77777777" w:rsidR="009F4766" w:rsidRPr="00DE12A3" w:rsidRDefault="009F4766" w:rsidP="00C917D6">
            <w:pPr>
              <w:pStyle w:val="NormalLeft"/>
            </w:pPr>
            <w:r w:rsidRPr="00DE12A3">
              <w:t>93</w:t>
            </w:r>
          </w:p>
        </w:tc>
        <w:tc>
          <w:tcPr>
            <w:tcW w:w="2551" w:type="dxa"/>
            <w:tcBorders>
              <w:top w:val="single" w:sz="2" w:space="0" w:color="auto"/>
              <w:left w:val="single" w:sz="2" w:space="0" w:color="auto"/>
              <w:bottom w:val="single" w:sz="2" w:space="0" w:color="auto"/>
              <w:right w:val="single" w:sz="2" w:space="0" w:color="auto"/>
            </w:tcBorders>
          </w:tcPr>
          <w:p w14:paraId="5CB09197" w14:textId="77777777" w:rsidR="009F4766" w:rsidRPr="00DE12A3" w:rsidRDefault="009F4766" w:rsidP="00C917D6">
            <w:pPr>
              <w:pStyle w:val="NormalLeft"/>
            </w:pPr>
            <w:r w:rsidRPr="00DE12A3">
              <w:t>26</w:t>
            </w:r>
          </w:p>
        </w:tc>
      </w:tr>
      <w:tr w:rsidR="00DE12A3" w:rsidRPr="00DE12A3" w14:paraId="4BEB4673" w14:textId="77777777" w:rsidTr="009F4766">
        <w:tc>
          <w:tcPr>
            <w:tcW w:w="1182" w:type="dxa"/>
            <w:tcBorders>
              <w:top w:val="single" w:sz="2" w:space="0" w:color="auto"/>
              <w:left w:val="single" w:sz="2" w:space="0" w:color="auto"/>
              <w:bottom w:val="single" w:sz="2" w:space="0" w:color="auto"/>
              <w:right w:val="single" w:sz="2" w:space="0" w:color="auto"/>
            </w:tcBorders>
          </w:tcPr>
          <w:p w14:paraId="0F4B0182" w14:textId="77777777" w:rsidR="009F4766" w:rsidRPr="00DE12A3" w:rsidRDefault="009F4766" w:rsidP="00C917D6">
            <w:pPr>
              <w:pStyle w:val="NormalLeft"/>
            </w:pPr>
            <w:r w:rsidRPr="00DE12A3">
              <w:t>899</w:t>
            </w:r>
          </w:p>
        </w:tc>
        <w:tc>
          <w:tcPr>
            <w:tcW w:w="2489" w:type="dxa"/>
            <w:tcBorders>
              <w:top w:val="single" w:sz="2" w:space="0" w:color="auto"/>
              <w:left w:val="single" w:sz="2" w:space="0" w:color="auto"/>
              <w:bottom w:val="single" w:sz="2" w:space="0" w:color="auto"/>
              <w:right w:val="single" w:sz="2" w:space="0" w:color="auto"/>
            </w:tcBorders>
          </w:tcPr>
          <w:p w14:paraId="4B85881B" w14:textId="77777777" w:rsidR="009F4766" w:rsidRPr="00DE12A3" w:rsidRDefault="009F4766" w:rsidP="00C917D6">
            <w:pPr>
              <w:pStyle w:val="NormalLeft"/>
            </w:pPr>
            <w:r w:rsidRPr="00DE12A3">
              <w:t>93</w:t>
            </w:r>
          </w:p>
        </w:tc>
        <w:tc>
          <w:tcPr>
            <w:tcW w:w="2551" w:type="dxa"/>
            <w:tcBorders>
              <w:top w:val="single" w:sz="2" w:space="0" w:color="auto"/>
              <w:left w:val="single" w:sz="2" w:space="0" w:color="auto"/>
              <w:bottom w:val="single" w:sz="2" w:space="0" w:color="auto"/>
              <w:right w:val="single" w:sz="2" w:space="0" w:color="auto"/>
            </w:tcBorders>
          </w:tcPr>
          <w:p w14:paraId="5CC35045" w14:textId="77777777" w:rsidR="009F4766" w:rsidRPr="00DE12A3" w:rsidRDefault="009F4766" w:rsidP="00C917D6">
            <w:pPr>
              <w:pStyle w:val="NormalLeft"/>
            </w:pPr>
            <w:r w:rsidRPr="00DE12A3">
              <w:t>27</w:t>
            </w:r>
          </w:p>
        </w:tc>
      </w:tr>
      <w:tr w:rsidR="00DE12A3" w:rsidRPr="00DE12A3" w14:paraId="7DFFE58E" w14:textId="77777777" w:rsidTr="009F4766">
        <w:tc>
          <w:tcPr>
            <w:tcW w:w="1182" w:type="dxa"/>
            <w:tcBorders>
              <w:top w:val="single" w:sz="2" w:space="0" w:color="auto"/>
              <w:left w:val="single" w:sz="2" w:space="0" w:color="auto"/>
              <w:bottom w:val="single" w:sz="2" w:space="0" w:color="auto"/>
              <w:right w:val="single" w:sz="2" w:space="0" w:color="auto"/>
            </w:tcBorders>
          </w:tcPr>
          <w:p w14:paraId="1BFA8C63" w14:textId="77777777" w:rsidR="009F4766" w:rsidRPr="00DE12A3" w:rsidRDefault="009F4766" w:rsidP="00C917D6">
            <w:pPr>
              <w:pStyle w:val="NormalLeft"/>
            </w:pPr>
            <w:r w:rsidRPr="00DE12A3">
              <w:t>900</w:t>
            </w:r>
          </w:p>
        </w:tc>
        <w:tc>
          <w:tcPr>
            <w:tcW w:w="2489" w:type="dxa"/>
            <w:tcBorders>
              <w:top w:val="single" w:sz="2" w:space="0" w:color="auto"/>
              <w:left w:val="single" w:sz="2" w:space="0" w:color="auto"/>
              <w:bottom w:val="single" w:sz="2" w:space="0" w:color="auto"/>
              <w:right w:val="single" w:sz="2" w:space="0" w:color="auto"/>
            </w:tcBorders>
          </w:tcPr>
          <w:p w14:paraId="75E866F0" w14:textId="77777777" w:rsidR="009F4766" w:rsidRPr="00DE12A3" w:rsidRDefault="009F4766" w:rsidP="00C917D6">
            <w:pPr>
              <w:pStyle w:val="NormalLeft"/>
            </w:pPr>
            <w:r w:rsidRPr="00DE12A3">
              <w:t>93</w:t>
            </w:r>
          </w:p>
        </w:tc>
        <w:tc>
          <w:tcPr>
            <w:tcW w:w="2551" w:type="dxa"/>
            <w:tcBorders>
              <w:top w:val="single" w:sz="2" w:space="0" w:color="auto"/>
              <w:left w:val="single" w:sz="2" w:space="0" w:color="auto"/>
              <w:bottom w:val="single" w:sz="2" w:space="0" w:color="auto"/>
              <w:right w:val="single" w:sz="2" w:space="0" w:color="auto"/>
            </w:tcBorders>
          </w:tcPr>
          <w:p w14:paraId="6FC1EF22" w14:textId="77777777" w:rsidR="009F4766" w:rsidRPr="00DE12A3" w:rsidRDefault="009F4766" w:rsidP="00C917D6">
            <w:pPr>
              <w:pStyle w:val="NormalLeft"/>
            </w:pPr>
            <w:r w:rsidRPr="00DE12A3">
              <w:t>25</w:t>
            </w:r>
          </w:p>
        </w:tc>
      </w:tr>
      <w:tr w:rsidR="00DE12A3" w:rsidRPr="00DE12A3" w14:paraId="5E192C33" w14:textId="77777777" w:rsidTr="009F4766">
        <w:tc>
          <w:tcPr>
            <w:tcW w:w="1182" w:type="dxa"/>
            <w:tcBorders>
              <w:top w:val="single" w:sz="2" w:space="0" w:color="auto"/>
              <w:left w:val="single" w:sz="2" w:space="0" w:color="auto"/>
              <w:bottom w:val="single" w:sz="2" w:space="0" w:color="auto"/>
              <w:right w:val="single" w:sz="2" w:space="0" w:color="auto"/>
            </w:tcBorders>
          </w:tcPr>
          <w:p w14:paraId="5D1682AD" w14:textId="77777777" w:rsidR="009F4766" w:rsidRPr="00DE12A3" w:rsidRDefault="009F4766" w:rsidP="00C917D6">
            <w:pPr>
              <w:pStyle w:val="NormalLeft"/>
            </w:pPr>
            <w:r w:rsidRPr="00DE12A3">
              <w:t>901</w:t>
            </w:r>
          </w:p>
        </w:tc>
        <w:tc>
          <w:tcPr>
            <w:tcW w:w="2489" w:type="dxa"/>
            <w:tcBorders>
              <w:top w:val="single" w:sz="2" w:space="0" w:color="auto"/>
              <w:left w:val="single" w:sz="2" w:space="0" w:color="auto"/>
              <w:bottom w:val="single" w:sz="2" w:space="0" w:color="auto"/>
              <w:right w:val="single" w:sz="2" w:space="0" w:color="auto"/>
            </w:tcBorders>
          </w:tcPr>
          <w:p w14:paraId="43A01E0F" w14:textId="77777777" w:rsidR="009F4766" w:rsidRPr="00DE12A3" w:rsidRDefault="009F4766" w:rsidP="00C917D6">
            <w:pPr>
              <w:pStyle w:val="NormalLeft"/>
            </w:pPr>
            <w:r w:rsidRPr="00DE12A3">
              <w:t>93</w:t>
            </w:r>
          </w:p>
        </w:tc>
        <w:tc>
          <w:tcPr>
            <w:tcW w:w="2551" w:type="dxa"/>
            <w:tcBorders>
              <w:top w:val="single" w:sz="2" w:space="0" w:color="auto"/>
              <w:left w:val="single" w:sz="2" w:space="0" w:color="auto"/>
              <w:bottom w:val="single" w:sz="2" w:space="0" w:color="auto"/>
              <w:right w:val="single" w:sz="2" w:space="0" w:color="auto"/>
            </w:tcBorders>
          </w:tcPr>
          <w:p w14:paraId="70ADFEE9" w14:textId="77777777" w:rsidR="009F4766" w:rsidRPr="00DE12A3" w:rsidRDefault="009F4766" w:rsidP="00C917D6">
            <w:pPr>
              <w:pStyle w:val="NormalLeft"/>
            </w:pPr>
            <w:r w:rsidRPr="00DE12A3">
              <w:t>21</w:t>
            </w:r>
          </w:p>
        </w:tc>
      </w:tr>
      <w:tr w:rsidR="00DE12A3" w:rsidRPr="00DE12A3" w14:paraId="5D84A62E" w14:textId="77777777" w:rsidTr="009F4766">
        <w:tc>
          <w:tcPr>
            <w:tcW w:w="1182" w:type="dxa"/>
            <w:tcBorders>
              <w:top w:val="single" w:sz="2" w:space="0" w:color="auto"/>
              <w:left w:val="single" w:sz="2" w:space="0" w:color="auto"/>
              <w:bottom w:val="single" w:sz="2" w:space="0" w:color="auto"/>
              <w:right w:val="single" w:sz="2" w:space="0" w:color="auto"/>
            </w:tcBorders>
          </w:tcPr>
          <w:p w14:paraId="06C18E9A" w14:textId="77777777" w:rsidR="009F4766" w:rsidRPr="00DE12A3" w:rsidRDefault="009F4766" w:rsidP="00C917D6">
            <w:pPr>
              <w:pStyle w:val="NormalLeft"/>
            </w:pPr>
            <w:r w:rsidRPr="00DE12A3">
              <w:t>902</w:t>
            </w:r>
          </w:p>
        </w:tc>
        <w:tc>
          <w:tcPr>
            <w:tcW w:w="2489" w:type="dxa"/>
            <w:tcBorders>
              <w:top w:val="single" w:sz="2" w:space="0" w:color="auto"/>
              <w:left w:val="single" w:sz="2" w:space="0" w:color="auto"/>
              <w:bottom w:val="single" w:sz="2" w:space="0" w:color="auto"/>
              <w:right w:val="single" w:sz="2" w:space="0" w:color="auto"/>
            </w:tcBorders>
          </w:tcPr>
          <w:p w14:paraId="4A8856E7" w14:textId="77777777" w:rsidR="009F4766" w:rsidRPr="00DE12A3" w:rsidRDefault="009F4766" w:rsidP="00C917D6">
            <w:pPr>
              <w:pStyle w:val="NormalLeft"/>
            </w:pPr>
            <w:r w:rsidRPr="00DE12A3">
              <w:t>93</w:t>
            </w:r>
          </w:p>
        </w:tc>
        <w:tc>
          <w:tcPr>
            <w:tcW w:w="2551" w:type="dxa"/>
            <w:tcBorders>
              <w:top w:val="single" w:sz="2" w:space="0" w:color="auto"/>
              <w:left w:val="single" w:sz="2" w:space="0" w:color="auto"/>
              <w:bottom w:val="single" w:sz="2" w:space="0" w:color="auto"/>
              <w:right w:val="single" w:sz="2" w:space="0" w:color="auto"/>
            </w:tcBorders>
          </w:tcPr>
          <w:p w14:paraId="6B7AB528" w14:textId="77777777" w:rsidR="009F4766" w:rsidRPr="00DE12A3" w:rsidRDefault="009F4766" w:rsidP="00C917D6">
            <w:pPr>
              <w:pStyle w:val="NormalLeft"/>
            </w:pPr>
            <w:r w:rsidRPr="00DE12A3">
              <w:t>22</w:t>
            </w:r>
          </w:p>
        </w:tc>
      </w:tr>
      <w:tr w:rsidR="00DE12A3" w:rsidRPr="00DE12A3" w14:paraId="0AB33AC4" w14:textId="77777777" w:rsidTr="009F4766">
        <w:tc>
          <w:tcPr>
            <w:tcW w:w="1182" w:type="dxa"/>
            <w:tcBorders>
              <w:top w:val="single" w:sz="2" w:space="0" w:color="auto"/>
              <w:left w:val="single" w:sz="2" w:space="0" w:color="auto"/>
              <w:bottom w:val="single" w:sz="2" w:space="0" w:color="auto"/>
              <w:right w:val="single" w:sz="2" w:space="0" w:color="auto"/>
            </w:tcBorders>
          </w:tcPr>
          <w:p w14:paraId="44E82D38" w14:textId="77777777" w:rsidR="009F4766" w:rsidRPr="00DE12A3" w:rsidRDefault="009F4766" w:rsidP="00C917D6">
            <w:pPr>
              <w:pStyle w:val="NormalLeft"/>
            </w:pPr>
            <w:r w:rsidRPr="00DE12A3">
              <w:t>903</w:t>
            </w:r>
          </w:p>
        </w:tc>
        <w:tc>
          <w:tcPr>
            <w:tcW w:w="2489" w:type="dxa"/>
            <w:tcBorders>
              <w:top w:val="single" w:sz="2" w:space="0" w:color="auto"/>
              <w:left w:val="single" w:sz="2" w:space="0" w:color="auto"/>
              <w:bottom w:val="single" w:sz="2" w:space="0" w:color="auto"/>
              <w:right w:val="single" w:sz="2" w:space="0" w:color="auto"/>
            </w:tcBorders>
          </w:tcPr>
          <w:p w14:paraId="1A1B9683" w14:textId="77777777" w:rsidR="009F4766" w:rsidRPr="00DE12A3" w:rsidRDefault="009F4766" w:rsidP="00C917D6">
            <w:pPr>
              <w:pStyle w:val="NormalLeft"/>
            </w:pPr>
            <w:r w:rsidRPr="00DE12A3">
              <w:t>93</w:t>
            </w:r>
          </w:p>
        </w:tc>
        <w:tc>
          <w:tcPr>
            <w:tcW w:w="2551" w:type="dxa"/>
            <w:tcBorders>
              <w:top w:val="single" w:sz="2" w:space="0" w:color="auto"/>
              <w:left w:val="single" w:sz="2" w:space="0" w:color="auto"/>
              <w:bottom w:val="single" w:sz="2" w:space="0" w:color="auto"/>
              <w:right w:val="single" w:sz="2" w:space="0" w:color="auto"/>
            </w:tcBorders>
          </w:tcPr>
          <w:p w14:paraId="2F69D8E9" w14:textId="77777777" w:rsidR="009F4766" w:rsidRPr="00DE12A3" w:rsidRDefault="009F4766" w:rsidP="00C917D6">
            <w:pPr>
              <w:pStyle w:val="NormalLeft"/>
            </w:pPr>
            <w:r w:rsidRPr="00DE12A3">
              <w:t>24</w:t>
            </w:r>
          </w:p>
        </w:tc>
      </w:tr>
      <w:tr w:rsidR="00DE12A3" w:rsidRPr="00DE12A3" w14:paraId="4F0B3A72" w14:textId="77777777" w:rsidTr="009F4766">
        <w:tc>
          <w:tcPr>
            <w:tcW w:w="1182" w:type="dxa"/>
            <w:tcBorders>
              <w:top w:val="single" w:sz="2" w:space="0" w:color="auto"/>
              <w:left w:val="single" w:sz="2" w:space="0" w:color="auto"/>
              <w:bottom w:val="single" w:sz="2" w:space="0" w:color="auto"/>
              <w:right w:val="single" w:sz="2" w:space="0" w:color="auto"/>
            </w:tcBorders>
          </w:tcPr>
          <w:p w14:paraId="18E215B2" w14:textId="77777777" w:rsidR="009F4766" w:rsidRPr="00DE12A3" w:rsidRDefault="009F4766" w:rsidP="00C917D6">
            <w:pPr>
              <w:pStyle w:val="NormalLeft"/>
            </w:pPr>
            <w:r w:rsidRPr="00DE12A3">
              <w:t>904</w:t>
            </w:r>
          </w:p>
        </w:tc>
        <w:tc>
          <w:tcPr>
            <w:tcW w:w="2489" w:type="dxa"/>
            <w:tcBorders>
              <w:top w:val="single" w:sz="2" w:space="0" w:color="auto"/>
              <w:left w:val="single" w:sz="2" w:space="0" w:color="auto"/>
              <w:bottom w:val="single" w:sz="2" w:space="0" w:color="auto"/>
              <w:right w:val="single" w:sz="2" w:space="0" w:color="auto"/>
            </w:tcBorders>
          </w:tcPr>
          <w:p w14:paraId="346712C0" w14:textId="77777777" w:rsidR="009F4766" w:rsidRPr="00DE12A3" w:rsidRDefault="009F4766" w:rsidP="00C917D6">
            <w:pPr>
              <w:pStyle w:val="NormalLeft"/>
            </w:pPr>
            <w:r w:rsidRPr="00DE12A3">
              <w:t>93</w:t>
            </w:r>
          </w:p>
        </w:tc>
        <w:tc>
          <w:tcPr>
            <w:tcW w:w="2551" w:type="dxa"/>
            <w:tcBorders>
              <w:top w:val="single" w:sz="2" w:space="0" w:color="auto"/>
              <w:left w:val="single" w:sz="2" w:space="0" w:color="auto"/>
              <w:bottom w:val="single" w:sz="2" w:space="0" w:color="auto"/>
              <w:right w:val="single" w:sz="2" w:space="0" w:color="auto"/>
            </w:tcBorders>
          </w:tcPr>
          <w:p w14:paraId="7147155B" w14:textId="77777777" w:rsidR="009F4766" w:rsidRPr="00DE12A3" w:rsidRDefault="009F4766" w:rsidP="00C917D6">
            <w:pPr>
              <w:pStyle w:val="NormalLeft"/>
            </w:pPr>
            <w:r w:rsidRPr="00DE12A3">
              <w:t>23</w:t>
            </w:r>
          </w:p>
        </w:tc>
      </w:tr>
      <w:tr w:rsidR="00DE12A3" w:rsidRPr="00DE12A3" w14:paraId="3E9588CD" w14:textId="77777777" w:rsidTr="009F4766">
        <w:tc>
          <w:tcPr>
            <w:tcW w:w="1182" w:type="dxa"/>
            <w:tcBorders>
              <w:top w:val="single" w:sz="2" w:space="0" w:color="auto"/>
              <w:left w:val="single" w:sz="2" w:space="0" w:color="auto"/>
              <w:bottom w:val="single" w:sz="2" w:space="0" w:color="auto"/>
              <w:right w:val="single" w:sz="2" w:space="0" w:color="auto"/>
            </w:tcBorders>
          </w:tcPr>
          <w:p w14:paraId="7CCE00F3" w14:textId="77777777" w:rsidR="009F4766" w:rsidRPr="00DE12A3" w:rsidRDefault="009F4766" w:rsidP="00C917D6">
            <w:pPr>
              <w:pStyle w:val="NormalLeft"/>
            </w:pPr>
            <w:r w:rsidRPr="00DE12A3">
              <w:t>905</w:t>
            </w:r>
          </w:p>
        </w:tc>
        <w:tc>
          <w:tcPr>
            <w:tcW w:w="2489" w:type="dxa"/>
            <w:tcBorders>
              <w:top w:val="single" w:sz="2" w:space="0" w:color="auto"/>
              <w:left w:val="single" w:sz="2" w:space="0" w:color="auto"/>
              <w:bottom w:val="single" w:sz="2" w:space="0" w:color="auto"/>
              <w:right w:val="single" w:sz="2" w:space="0" w:color="auto"/>
            </w:tcBorders>
          </w:tcPr>
          <w:p w14:paraId="06076CCE" w14:textId="77777777" w:rsidR="009F4766" w:rsidRPr="00DE12A3" w:rsidRDefault="009F4766" w:rsidP="00C917D6">
            <w:pPr>
              <w:pStyle w:val="NormalLeft"/>
            </w:pPr>
            <w:r w:rsidRPr="00DE12A3">
              <w:t>93</w:t>
            </w:r>
          </w:p>
        </w:tc>
        <w:tc>
          <w:tcPr>
            <w:tcW w:w="2551" w:type="dxa"/>
            <w:tcBorders>
              <w:top w:val="single" w:sz="2" w:space="0" w:color="auto"/>
              <w:left w:val="single" w:sz="2" w:space="0" w:color="auto"/>
              <w:bottom w:val="single" w:sz="2" w:space="0" w:color="auto"/>
              <w:right w:val="single" w:sz="2" w:space="0" w:color="auto"/>
            </w:tcBorders>
          </w:tcPr>
          <w:p w14:paraId="65E5DE7F" w14:textId="77777777" w:rsidR="009F4766" w:rsidRPr="00DE12A3" w:rsidRDefault="009F4766" w:rsidP="00C917D6">
            <w:pPr>
              <w:pStyle w:val="NormalLeft"/>
            </w:pPr>
            <w:r w:rsidRPr="00DE12A3">
              <w:t>27</w:t>
            </w:r>
          </w:p>
        </w:tc>
      </w:tr>
      <w:tr w:rsidR="00DE12A3" w:rsidRPr="00DE12A3" w14:paraId="174728F0" w14:textId="77777777" w:rsidTr="009F4766">
        <w:tc>
          <w:tcPr>
            <w:tcW w:w="1182" w:type="dxa"/>
            <w:tcBorders>
              <w:top w:val="single" w:sz="2" w:space="0" w:color="auto"/>
              <w:left w:val="single" w:sz="2" w:space="0" w:color="auto"/>
              <w:bottom w:val="single" w:sz="2" w:space="0" w:color="auto"/>
              <w:right w:val="single" w:sz="2" w:space="0" w:color="auto"/>
            </w:tcBorders>
          </w:tcPr>
          <w:p w14:paraId="09ADF213" w14:textId="77777777" w:rsidR="009F4766" w:rsidRPr="00DE12A3" w:rsidRDefault="009F4766" w:rsidP="00C917D6">
            <w:pPr>
              <w:pStyle w:val="NormalLeft"/>
            </w:pPr>
            <w:r w:rsidRPr="00DE12A3">
              <w:t>906</w:t>
            </w:r>
          </w:p>
        </w:tc>
        <w:tc>
          <w:tcPr>
            <w:tcW w:w="2489" w:type="dxa"/>
            <w:tcBorders>
              <w:top w:val="single" w:sz="2" w:space="0" w:color="auto"/>
              <w:left w:val="single" w:sz="2" w:space="0" w:color="auto"/>
              <w:bottom w:val="single" w:sz="2" w:space="0" w:color="auto"/>
              <w:right w:val="single" w:sz="2" w:space="0" w:color="auto"/>
            </w:tcBorders>
          </w:tcPr>
          <w:p w14:paraId="712C6EF5" w14:textId="77777777" w:rsidR="009F4766" w:rsidRPr="00DE12A3" w:rsidRDefault="009F4766" w:rsidP="00C917D6">
            <w:pPr>
              <w:pStyle w:val="NormalLeft"/>
            </w:pPr>
            <w:r w:rsidRPr="00DE12A3">
              <w:t>93</w:t>
            </w:r>
          </w:p>
        </w:tc>
        <w:tc>
          <w:tcPr>
            <w:tcW w:w="2551" w:type="dxa"/>
            <w:tcBorders>
              <w:top w:val="single" w:sz="2" w:space="0" w:color="auto"/>
              <w:left w:val="single" w:sz="2" w:space="0" w:color="auto"/>
              <w:bottom w:val="single" w:sz="2" w:space="0" w:color="auto"/>
              <w:right w:val="single" w:sz="2" w:space="0" w:color="auto"/>
            </w:tcBorders>
          </w:tcPr>
          <w:p w14:paraId="50A9A5B6" w14:textId="77777777" w:rsidR="009F4766" w:rsidRPr="00DE12A3" w:rsidRDefault="009F4766" w:rsidP="00C917D6">
            <w:pPr>
              <w:pStyle w:val="NormalLeft"/>
            </w:pPr>
            <w:r w:rsidRPr="00DE12A3">
              <w:t>34</w:t>
            </w:r>
          </w:p>
        </w:tc>
      </w:tr>
      <w:tr w:rsidR="00DE12A3" w:rsidRPr="00DE12A3" w14:paraId="1358EFCD" w14:textId="77777777" w:rsidTr="009F4766">
        <w:tc>
          <w:tcPr>
            <w:tcW w:w="1182" w:type="dxa"/>
            <w:tcBorders>
              <w:top w:val="single" w:sz="2" w:space="0" w:color="auto"/>
              <w:left w:val="single" w:sz="2" w:space="0" w:color="auto"/>
              <w:bottom w:val="single" w:sz="2" w:space="0" w:color="auto"/>
              <w:right w:val="single" w:sz="2" w:space="0" w:color="auto"/>
            </w:tcBorders>
          </w:tcPr>
          <w:p w14:paraId="1FFA2F4B" w14:textId="77777777" w:rsidR="009F4766" w:rsidRPr="00DE12A3" w:rsidRDefault="009F4766" w:rsidP="00C917D6">
            <w:pPr>
              <w:pStyle w:val="NormalLeft"/>
            </w:pPr>
            <w:r w:rsidRPr="00DE12A3">
              <w:t>907</w:t>
            </w:r>
          </w:p>
        </w:tc>
        <w:tc>
          <w:tcPr>
            <w:tcW w:w="2489" w:type="dxa"/>
            <w:tcBorders>
              <w:top w:val="single" w:sz="2" w:space="0" w:color="auto"/>
              <w:left w:val="single" w:sz="2" w:space="0" w:color="auto"/>
              <w:bottom w:val="single" w:sz="2" w:space="0" w:color="auto"/>
              <w:right w:val="single" w:sz="2" w:space="0" w:color="auto"/>
            </w:tcBorders>
          </w:tcPr>
          <w:p w14:paraId="5BF51B3F" w14:textId="77777777" w:rsidR="009F4766" w:rsidRPr="00DE12A3" w:rsidRDefault="009F4766" w:rsidP="00C917D6">
            <w:pPr>
              <w:pStyle w:val="NormalLeft"/>
            </w:pPr>
            <w:r w:rsidRPr="00DE12A3">
              <w:t>93</w:t>
            </w:r>
          </w:p>
        </w:tc>
        <w:tc>
          <w:tcPr>
            <w:tcW w:w="2551" w:type="dxa"/>
            <w:tcBorders>
              <w:top w:val="single" w:sz="2" w:space="0" w:color="auto"/>
              <w:left w:val="single" w:sz="2" w:space="0" w:color="auto"/>
              <w:bottom w:val="single" w:sz="2" w:space="0" w:color="auto"/>
              <w:right w:val="single" w:sz="2" w:space="0" w:color="auto"/>
            </w:tcBorders>
          </w:tcPr>
          <w:p w14:paraId="65233945" w14:textId="77777777" w:rsidR="009F4766" w:rsidRPr="00DE12A3" w:rsidRDefault="009F4766" w:rsidP="00C917D6">
            <w:pPr>
              <w:pStyle w:val="NormalLeft"/>
            </w:pPr>
            <w:r w:rsidRPr="00DE12A3">
              <w:t>32</w:t>
            </w:r>
          </w:p>
        </w:tc>
      </w:tr>
      <w:tr w:rsidR="00DE12A3" w:rsidRPr="00DE12A3" w14:paraId="0C5765D1" w14:textId="77777777" w:rsidTr="009F4766">
        <w:tc>
          <w:tcPr>
            <w:tcW w:w="1182" w:type="dxa"/>
            <w:tcBorders>
              <w:top w:val="single" w:sz="2" w:space="0" w:color="auto"/>
              <w:left w:val="single" w:sz="2" w:space="0" w:color="auto"/>
              <w:bottom w:val="single" w:sz="2" w:space="0" w:color="auto"/>
              <w:right w:val="single" w:sz="2" w:space="0" w:color="auto"/>
            </w:tcBorders>
          </w:tcPr>
          <w:p w14:paraId="55F435E2" w14:textId="77777777" w:rsidR="009F4766" w:rsidRPr="00DE12A3" w:rsidRDefault="009F4766" w:rsidP="00C917D6">
            <w:pPr>
              <w:pStyle w:val="NormalLeft"/>
            </w:pPr>
            <w:r w:rsidRPr="00DE12A3">
              <w:t>908</w:t>
            </w:r>
          </w:p>
        </w:tc>
        <w:tc>
          <w:tcPr>
            <w:tcW w:w="2489" w:type="dxa"/>
            <w:tcBorders>
              <w:top w:val="single" w:sz="2" w:space="0" w:color="auto"/>
              <w:left w:val="single" w:sz="2" w:space="0" w:color="auto"/>
              <w:bottom w:val="single" w:sz="2" w:space="0" w:color="auto"/>
              <w:right w:val="single" w:sz="2" w:space="0" w:color="auto"/>
            </w:tcBorders>
          </w:tcPr>
          <w:p w14:paraId="14C3F19A" w14:textId="77777777" w:rsidR="009F4766" w:rsidRPr="00DE12A3" w:rsidRDefault="009F4766" w:rsidP="00C917D6">
            <w:pPr>
              <w:pStyle w:val="NormalLeft"/>
            </w:pPr>
            <w:r w:rsidRPr="00DE12A3">
              <w:t>93</w:t>
            </w:r>
          </w:p>
        </w:tc>
        <w:tc>
          <w:tcPr>
            <w:tcW w:w="2551" w:type="dxa"/>
            <w:tcBorders>
              <w:top w:val="single" w:sz="2" w:space="0" w:color="auto"/>
              <w:left w:val="single" w:sz="2" w:space="0" w:color="auto"/>
              <w:bottom w:val="single" w:sz="2" w:space="0" w:color="auto"/>
              <w:right w:val="single" w:sz="2" w:space="0" w:color="auto"/>
            </w:tcBorders>
          </w:tcPr>
          <w:p w14:paraId="3C1853E6" w14:textId="77777777" w:rsidR="009F4766" w:rsidRPr="00DE12A3" w:rsidRDefault="009F4766" w:rsidP="00C917D6">
            <w:pPr>
              <w:pStyle w:val="NormalLeft"/>
            </w:pPr>
            <w:r w:rsidRPr="00DE12A3">
              <w:t>26</w:t>
            </w:r>
          </w:p>
        </w:tc>
      </w:tr>
      <w:tr w:rsidR="00DE12A3" w:rsidRPr="00DE12A3" w14:paraId="307D98A5" w14:textId="77777777" w:rsidTr="009F4766">
        <w:tc>
          <w:tcPr>
            <w:tcW w:w="1182" w:type="dxa"/>
            <w:tcBorders>
              <w:top w:val="single" w:sz="2" w:space="0" w:color="auto"/>
              <w:left w:val="single" w:sz="2" w:space="0" w:color="auto"/>
              <w:bottom w:val="single" w:sz="2" w:space="0" w:color="auto"/>
              <w:right w:val="single" w:sz="2" w:space="0" w:color="auto"/>
            </w:tcBorders>
          </w:tcPr>
          <w:p w14:paraId="0FE9AC70" w14:textId="77777777" w:rsidR="009F4766" w:rsidRPr="00DE12A3" w:rsidRDefault="009F4766" w:rsidP="00C917D6">
            <w:pPr>
              <w:pStyle w:val="NormalLeft"/>
            </w:pPr>
            <w:r w:rsidRPr="00DE12A3">
              <w:t>909</w:t>
            </w:r>
          </w:p>
        </w:tc>
        <w:tc>
          <w:tcPr>
            <w:tcW w:w="2489" w:type="dxa"/>
            <w:tcBorders>
              <w:top w:val="single" w:sz="2" w:space="0" w:color="auto"/>
              <w:left w:val="single" w:sz="2" w:space="0" w:color="auto"/>
              <w:bottom w:val="single" w:sz="2" w:space="0" w:color="auto"/>
              <w:right w:val="single" w:sz="2" w:space="0" w:color="auto"/>
            </w:tcBorders>
          </w:tcPr>
          <w:p w14:paraId="1289104B" w14:textId="77777777" w:rsidR="009F4766" w:rsidRPr="00DE12A3" w:rsidRDefault="009F4766" w:rsidP="00C917D6">
            <w:pPr>
              <w:pStyle w:val="NormalLeft"/>
            </w:pPr>
            <w:r w:rsidRPr="00DE12A3">
              <w:t>93</w:t>
            </w:r>
          </w:p>
        </w:tc>
        <w:tc>
          <w:tcPr>
            <w:tcW w:w="2551" w:type="dxa"/>
            <w:tcBorders>
              <w:top w:val="single" w:sz="2" w:space="0" w:color="auto"/>
              <w:left w:val="single" w:sz="2" w:space="0" w:color="auto"/>
              <w:bottom w:val="single" w:sz="2" w:space="0" w:color="auto"/>
              <w:right w:val="single" w:sz="2" w:space="0" w:color="auto"/>
            </w:tcBorders>
          </w:tcPr>
          <w:p w14:paraId="2F42CB4A" w14:textId="77777777" w:rsidR="009F4766" w:rsidRPr="00DE12A3" w:rsidRDefault="009F4766" w:rsidP="00C917D6">
            <w:pPr>
              <w:pStyle w:val="NormalLeft"/>
            </w:pPr>
            <w:r w:rsidRPr="00DE12A3">
              <w:t>31</w:t>
            </w:r>
          </w:p>
        </w:tc>
      </w:tr>
      <w:tr w:rsidR="00DE12A3" w:rsidRPr="00DE12A3" w14:paraId="7AC11614" w14:textId="77777777" w:rsidTr="009F4766">
        <w:tc>
          <w:tcPr>
            <w:tcW w:w="1182" w:type="dxa"/>
            <w:tcBorders>
              <w:top w:val="single" w:sz="2" w:space="0" w:color="auto"/>
              <w:left w:val="single" w:sz="2" w:space="0" w:color="auto"/>
              <w:bottom w:val="single" w:sz="2" w:space="0" w:color="auto"/>
              <w:right w:val="single" w:sz="2" w:space="0" w:color="auto"/>
            </w:tcBorders>
          </w:tcPr>
          <w:p w14:paraId="5D55C5B6" w14:textId="77777777" w:rsidR="009F4766" w:rsidRPr="00DE12A3" w:rsidRDefault="009F4766" w:rsidP="00C917D6">
            <w:pPr>
              <w:pStyle w:val="NormalLeft"/>
            </w:pPr>
            <w:r w:rsidRPr="00DE12A3">
              <w:t>910</w:t>
            </w:r>
          </w:p>
        </w:tc>
        <w:tc>
          <w:tcPr>
            <w:tcW w:w="2489" w:type="dxa"/>
            <w:tcBorders>
              <w:top w:val="single" w:sz="2" w:space="0" w:color="auto"/>
              <w:left w:val="single" w:sz="2" w:space="0" w:color="auto"/>
              <w:bottom w:val="single" w:sz="2" w:space="0" w:color="auto"/>
              <w:right w:val="single" w:sz="2" w:space="0" w:color="auto"/>
            </w:tcBorders>
          </w:tcPr>
          <w:p w14:paraId="3E8EB3CE" w14:textId="77777777" w:rsidR="009F4766" w:rsidRPr="00DE12A3" w:rsidRDefault="009F4766" w:rsidP="00C917D6">
            <w:pPr>
              <w:pStyle w:val="NormalLeft"/>
            </w:pPr>
            <w:r w:rsidRPr="00DE12A3">
              <w:t>93</w:t>
            </w:r>
          </w:p>
        </w:tc>
        <w:tc>
          <w:tcPr>
            <w:tcW w:w="2551" w:type="dxa"/>
            <w:tcBorders>
              <w:top w:val="single" w:sz="2" w:space="0" w:color="auto"/>
              <w:left w:val="single" w:sz="2" w:space="0" w:color="auto"/>
              <w:bottom w:val="single" w:sz="2" w:space="0" w:color="auto"/>
              <w:right w:val="single" w:sz="2" w:space="0" w:color="auto"/>
            </w:tcBorders>
          </w:tcPr>
          <w:p w14:paraId="0394B3C4" w14:textId="77777777" w:rsidR="009F4766" w:rsidRPr="00DE12A3" w:rsidRDefault="009F4766" w:rsidP="00C917D6">
            <w:pPr>
              <w:pStyle w:val="NormalLeft"/>
            </w:pPr>
            <w:r w:rsidRPr="00DE12A3">
              <w:t>34</w:t>
            </w:r>
          </w:p>
        </w:tc>
      </w:tr>
      <w:tr w:rsidR="00DE12A3" w:rsidRPr="00DE12A3" w14:paraId="0473B9D3" w14:textId="77777777" w:rsidTr="009F4766">
        <w:tc>
          <w:tcPr>
            <w:tcW w:w="1182" w:type="dxa"/>
            <w:tcBorders>
              <w:top w:val="single" w:sz="2" w:space="0" w:color="auto"/>
              <w:left w:val="single" w:sz="2" w:space="0" w:color="auto"/>
              <w:bottom w:val="single" w:sz="2" w:space="0" w:color="auto"/>
              <w:right w:val="single" w:sz="2" w:space="0" w:color="auto"/>
            </w:tcBorders>
          </w:tcPr>
          <w:p w14:paraId="5C790017" w14:textId="77777777" w:rsidR="009F4766" w:rsidRPr="00DE12A3" w:rsidRDefault="009F4766" w:rsidP="00C917D6">
            <w:pPr>
              <w:pStyle w:val="NormalLeft"/>
            </w:pPr>
            <w:r w:rsidRPr="00DE12A3">
              <w:t>911</w:t>
            </w:r>
          </w:p>
        </w:tc>
        <w:tc>
          <w:tcPr>
            <w:tcW w:w="2489" w:type="dxa"/>
            <w:tcBorders>
              <w:top w:val="single" w:sz="2" w:space="0" w:color="auto"/>
              <w:left w:val="single" w:sz="2" w:space="0" w:color="auto"/>
              <w:bottom w:val="single" w:sz="2" w:space="0" w:color="auto"/>
              <w:right w:val="single" w:sz="2" w:space="0" w:color="auto"/>
            </w:tcBorders>
          </w:tcPr>
          <w:p w14:paraId="290551E4" w14:textId="77777777" w:rsidR="009F4766" w:rsidRPr="00DE12A3" w:rsidRDefault="009F4766" w:rsidP="00C917D6">
            <w:pPr>
              <w:pStyle w:val="NormalLeft"/>
            </w:pPr>
            <w:r w:rsidRPr="00DE12A3">
              <w:t>93</w:t>
            </w:r>
          </w:p>
        </w:tc>
        <w:tc>
          <w:tcPr>
            <w:tcW w:w="2551" w:type="dxa"/>
            <w:tcBorders>
              <w:top w:val="single" w:sz="2" w:space="0" w:color="auto"/>
              <w:left w:val="single" w:sz="2" w:space="0" w:color="auto"/>
              <w:bottom w:val="single" w:sz="2" w:space="0" w:color="auto"/>
              <w:right w:val="single" w:sz="2" w:space="0" w:color="auto"/>
            </w:tcBorders>
          </w:tcPr>
          <w:p w14:paraId="4C236202" w14:textId="77777777" w:rsidR="009F4766" w:rsidRPr="00DE12A3" w:rsidRDefault="009F4766" w:rsidP="00C917D6">
            <w:pPr>
              <w:pStyle w:val="NormalLeft"/>
            </w:pPr>
            <w:r w:rsidRPr="00DE12A3">
              <w:t>31</w:t>
            </w:r>
          </w:p>
        </w:tc>
      </w:tr>
      <w:tr w:rsidR="00DE12A3" w:rsidRPr="00DE12A3" w14:paraId="736324DD" w14:textId="77777777" w:rsidTr="009F4766">
        <w:tc>
          <w:tcPr>
            <w:tcW w:w="1182" w:type="dxa"/>
            <w:tcBorders>
              <w:top w:val="single" w:sz="2" w:space="0" w:color="auto"/>
              <w:left w:val="single" w:sz="2" w:space="0" w:color="auto"/>
              <w:bottom w:val="single" w:sz="2" w:space="0" w:color="auto"/>
              <w:right w:val="single" w:sz="2" w:space="0" w:color="auto"/>
            </w:tcBorders>
          </w:tcPr>
          <w:p w14:paraId="66AC97FC" w14:textId="77777777" w:rsidR="009F4766" w:rsidRPr="00DE12A3" w:rsidRDefault="009F4766" w:rsidP="00C917D6">
            <w:pPr>
              <w:pStyle w:val="NormalLeft"/>
            </w:pPr>
            <w:r w:rsidRPr="00DE12A3">
              <w:t>912</w:t>
            </w:r>
          </w:p>
        </w:tc>
        <w:tc>
          <w:tcPr>
            <w:tcW w:w="2489" w:type="dxa"/>
            <w:tcBorders>
              <w:top w:val="single" w:sz="2" w:space="0" w:color="auto"/>
              <w:left w:val="single" w:sz="2" w:space="0" w:color="auto"/>
              <w:bottom w:val="single" w:sz="2" w:space="0" w:color="auto"/>
              <w:right w:val="single" w:sz="2" w:space="0" w:color="auto"/>
            </w:tcBorders>
          </w:tcPr>
          <w:p w14:paraId="064F9191" w14:textId="77777777" w:rsidR="009F4766" w:rsidRPr="00DE12A3" w:rsidRDefault="009F4766" w:rsidP="00C917D6">
            <w:pPr>
              <w:pStyle w:val="NormalLeft"/>
            </w:pPr>
            <w:r w:rsidRPr="00DE12A3">
              <w:t>93</w:t>
            </w:r>
          </w:p>
        </w:tc>
        <w:tc>
          <w:tcPr>
            <w:tcW w:w="2551" w:type="dxa"/>
            <w:tcBorders>
              <w:top w:val="single" w:sz="2" w:space="0" w:color="auto"/>
              <w:left w:val="single" w:sz="2" w:space="0" w:color="auto"/>
              <w:bottom w:val="single" w:sz="2" w:space="0" w:color="auto"/>
              <w:right w:val="single" w:sz="2" w:space="0" w:color="auto"/>
            </w:tcBorders>
          </w:tcPr>
          <w:p w14:paraId="3590142F" w14:textId="77777777" w:rsidR="009F4766" w:rsidRPr="00DE12A3" w:rsidRDefault="009F4766" w:rsidP="00C917D6">
            <w:pPr>
              <w:pStyle w:val="NormalLeft"/>
            </w:pPr>
            <w:r w:rsidRPr="00DE12A3">
              <w:t>33</w:t>
            </w:r>
          </w:p>
        </w:tc>
      </w:tr>
      <w:tr w:rsidR="00DE12A3" w:rsidRPr="00DE12A3" w14:paraId="56116DF6" w14:textId="77777777" w:rsidTr="009F4766">
        <w:tc>
          <w:tcPr>
            <w:tcW w:w="1182" w:type="dxa"/>
            <w:tcBorders>
              <w:top w:val="single" w:sz="2" w:space="0" w:color="auto"/>
              <w:left w:val="single" w:sz="2" w:space="0" w:color="auto"/>
              <w:bottom w:val="single" w:sz="2" w:space="0" w:color="auto"/>
              <w:right w:val="single" w:sz="2" w:space="0" w:color="auto"/>
            </w:tcBorders>
          </w:tcPr>
          <w:p w14:paraId="3D8A31AA" w14:textId="77777777" w:rsidR="009F4766" w:rsidRPr="00DE12A3" w:rsidRDefault="009F4766" w:rsidP="00C917D6">
            <w:pPr>
              <w:pStyle w:val="NormalLeft"/>
            </w:pPr>
            <w:r w:rsidRPr="00DE12A3">
              <w:t>913</w:t>
            </w:r>
          </w:p>
        </w:tc>
        <w:tc>
          <w:tcPr>
            <w:tcW w:w="2489" w:type="dxa"/>
            <w:tcBorders>
              <w:top w:val="single" w:sz="2" w:space="0" w:color="auto"/>
              <w:left w:val="single" w:sz="2" w:space="0" w:color="auto"/>
              <w:bottom w:val="single" w:sz="2" w:space="0" w:color="auto"/>
              <w:right w:val="single" w:sz="2" w:space="0" w:color="auto"/>
            </w:tcBorders>
          </w:tcPr>
          <w:p w14:paraId="79A01880" w14:textId="77777777" w:rsidR="009F4766" w:rsidRPr="00DE12A3" w:rsidRDefault="009F4766" w:rsidP="00C917D6">
            <w:pPr>
              <w:pStyle w:val="NormalLeft"/>
            </w:pPr>
            <w:r w:rsidRPr="00DE12A3">
              <w:t>93</w:t>
            </w:r>
          </w:p>
        </w:tc>
        <w:tc>
          <w:tcPr>
            <w:tcW w:w="2551" w:type="dxa"/>
            <w:tcBorders>
              <w:top w:val="single" w:sz="2" w:space="0" w:color="auto"/>
              <w:left w:val="single" w:sz="2" w:space="0" w:color="auto"/>
              <w:bottom w:val="single" w:sz="2" w:space="0" w:color="auto"/>
              <w:right w:val="single" w:sz="2" w:space="0" w:color="auto"/>
            </w:tcBorders>
          </w:tcPr>
          <w:p w14:paraId="0DD8ED39" w14:textId="77777777" w:rsidR="009F4766" w:rsidRPr="00DE12A3" w:rsidRDefault="009F4766" w:rsidP="00C917D6">
            <w:pPr>
              <w:pStyle w:val="NormalLeft"/>
            </w:pPr>
            <w:r w:rsidRPr="00DE12A3">
              <w:t>36</w:t>
            </w:r>
          </w:p>
        </w:tc>
      </w:tr>
      <w:tr w:rsidR="00DE12A3" w:rsidRPr="00DE12A3" w14:paraId="22F3051E" w14:textId="77777777" w:rsidTr="009F4766">
        <w:tc>
          <w:tcPr>
            <w:tcW w:w="1182" w:type="dxa"/>
            <w:tcBorders>
              <w:top w:val="single" w:sz="2" w:space="0" w:color="auto"/>
              <w:left w:val="single" w:sz="2" w:space="0" w:color="auto"/>
              <w:bottom w:val="single" w:sz="2" w:space="0" w:color="auto"/>
              <w:right w:val="single" w:sz="2" w:space="0" w:color="auto"/>
            </w:tcBorders>
          </w:tcPr>
          <w:p w14:paraId="75B4506E" w14:textId="77777777" w:rsidR="009F4766" w:rsidRPr="00DE12A3" w:rsidRDefault="009F4766" w:rsidP="00C917D6">
            <w:pPr>
              <w:pStyle w:val="NormalLeft"/>
            </w:pPr>
            <w:r w:rsidRPr="00DE12A3">
              <w:t>914</w:t>
            </w:r>
          </w:p>
        </w:tc>
        <w:tc>
          <w:tcPr>
            <w:tcW w:w="2489" w:type="dxa"/>
            <w:tcBorders>
              <w:top w:val="single" w:sz="2" w:space="0" w:color="auto"/>
              <w:left w:val="single" w:sz="2" w:space="0" w:color="auto"/>
              <w:bottom w:val="single" w:sz="2" w:space="0" w:color="auto"/>
              <w:right w:val="single" w:sz="2" w:space="0" w:color="auto"/>
            </w:tcBorders>
          </w:tcPr>
          <w:p w14:paraId="217E728A" w14:textId="77777777" w:rsidR="009F4766" w:rsidRPr="00DE12A3" w:rsidRDefault="009F4766" w:rsidP="00C917D6">
            <w:pPr>
              <w:pStyle w:val="NormalLeft"/>
            </w:pPr>
            <w:r w:rsidRPr="00DE12A3">
              <w:t>93</w:t>
            </w:r>
          </w:p>
        </w:tc>
        <w:tc>
          <w:tcPr>
            <w:tcW w:w="2551" w:type="dxa"/>
            <w:tcBorders>
              <w:top w:val="single" w:sz="2" w:space="0" w:color="auto"/>
              <w:left w:val="single" w:sz="2" w:space="0" w:color="auto"/>
              <w:bottom w:val="single" w:sz="2" w:space="0" w:color="auto"/>
              <w:right w:val="single" w:sz="2" w:space="0" w:color="auto"/>
            </w:tcBorders>
          </w:tcPr>
          <w:p w14:paraId="0AFCE53D" w14:textId="77777777" w:rsidR="009F4766" w:rsidRPr="00DE12A3" w:rsidRDefault="009F4766" w:rsidP="00C917D6">
            <w:pPr>
              <w:pStyle w:val="NormalLeft"/>
            </w:pPr>
            <w:r w:rsidRPr="00DE12A3">
              <w:t>37</w:t>
            </w:r>
          </w:p>
        </w:tc>
      </w:tr>
      <w:tr w:rsidR="00DE12A3" w:rsidRPr="00DE12A3" w14:paraId="6790666D" w14:textId="77777777" w:rsidTr="009F4766">
        <w:tc>
          <w:tcPr>
            <w:tcW w:w="1182" w:type="dxa"/>
            <w:tcBorders>
              <w:top w:val="single" w:sz="2" w:space="0" w:color="auto"/>
              <w:left w:val="single" w:sz="2" w:space="0" w:color="auto"/>
              <w:bottom w:val="single" w:sz="2" w:space="0" w:color="auto"/>
              <w:right w:val="single" w:sz="2" w:space="0" w:color="auto"/>
            </w:tcBorders>
          </w:tcPr>
          <w:p w14:paraId="60180CF7" w14:textId="77777777" w:rsidR="009F4766" w:rsidRPr="00DE12A3" w:rsidRDefault="009F4766" w:rsidP="00C917D6">
            <w:pPr>
              <w:pStyle w:val="NormalLeft"/>
            </w:pPr>
            <w:r w:rsidRPr="00DE12A3">
              <w:lastRenderedPageBreak/>
              <w:t>915</w:t>
            </w:r>
          </w:p>
        </w:tc>
        <w:tc>
          <w:tcPr>
            <w:tcW w:w="2489" w:type="dxa"/>
            <w:tcBorders>
              <w:top w:val="single" w:sz="2" w:space="0" w:color="auto"/>
              <w:left w:val="single" w:sz="2" w:space="0" w:color="auto"/>
              <w:bottom w:val="single" w:sz="2" w:space="0" w:color="auto"/>
              <w:right w:val="single" w:sz="2" w:space="0" w:color="auto"/>
            </w:tcBorders>
          </w:tcPr>
          <w:p w14:paraId="15B63AFF" w14:textId="77777777" w:rsidR="009F4766" w:rsidRPr="00DE12A3" w:rsidRDefault="009F4766" w:rsidP="00C917D6">
            <w:pPr>
              <w:pStyle w:val="NormalLeft"/>
            </w:pPr>
            <w:r w:rsidRPr="00DE12A3">
              <w:t>93</w:t>
            </w:r>
          </w:p>
        </w:tc>
        <w:tc>
          <w:tcPr>
            <w:tcW w:w="2551" w:type="dxa"/>
            <w:tcBorders>
              <w:top w:val="single" w:sz="2" w:space="0" w:color="auto"/>
              <w:left w:val="single" w:sz="2" w:space="0" w:color="auto"/>
              <w:bottom w:val="single" w:sz="2" w:space="0" w:color="auto"/>
              <w:right w:val="single" w:sz="2" w:space="0" w:color="auto"/>
            </w:tcBorders>
          </w:tcPr>
          <w:p w14:paraId="0B020542" w14:textId="77777777" w:rsidR="009F4766" w:rsidRPr="00DE12A3" w:rsidRDefault="009F4766" w:rsidP="00C917D6">
            <w:pPr>
              <w:pStyle w:val="NormalLeft"/>
            </w:pPr>
            <w:r w:rsidRPr="00DE12A3">
              <w:t>34</w:t>
            </w:r>
          </w:p>
        </w:tc>
      </w:tr>
      <w:tr w:rsidR="00DE12A3" w:rsidRPr="00DE12A3" w14:paraId="3CC98A70" w14:textId="77777777" w:rsidTr="009F4766">
        <w:tc>
          <w:tcPr>
            <w:tcW w:w="1182" w:type="dxa"/>
            <w:tcBorders>
              <w:top w:val="single" w:sz="2" w:space="0" w:color="auto"/>
              <w:left w:val="single" w:sz="2" w:space="0" w:color="auto"/>
              <w:bottom w:val="single" w:sz="2" w:space="0" w:color="auto"/>
              <w:right w:val="single" w:sz="2" w:space="0" w:color="auto"/>
            </w:tcBorders>
          </w:tcPr>
          <w:p w14:paraId="29B65F4E" w14:textId="77777777" w:rsidR="009F4766" w:rsidRPr="00DE12A3" w:rsidRDefault="009F4766" w:rsidP="00C917D6">
            <w:pPr>
              <w:pStyle w:val="NormalLeft"/>
            </w:pPr>
            <w:r w:rsidRPr="00DE12A3">
              <w:t>916</w:t>
            </w:r>
          </w:p>
        </w:tc>
        <w:tc>
          <w:tcPr>
            <w:tcW w:w="2489" w:type="dxa"/>
            <w:tcBorders>
              <w:top w:val="single" w:sz="2" w:space="0" w:color="auto"/>
              <w:left w:val="single" w:sz="2" w:space="0" w:color="auto"/>
              <w:bottom w:val="single" w:sz="2" w:space="0" w:color="auto"/>
              <w:right w:val="single" w:sz="2" w:space="0" w:color="auto"/>
            </w:tcBorders>
          </w:tcPr>
          <w:p w14:paraId="547308E7" w14:textId="77777777" w:rsidR="009F4766" w:rsidRPr="00DE12A3" w:rsidRDefault="009F4766" w:rsidP="00C917D6">
            <w:pPr>
              <w:pStyle w:val="NormalLeft"/>
            </w:pPr>
            <w:r w:rsidRPr="00DE12A3">
              <w:t>93</w:t>
            </w:r>
          </w:p>
        </w:tc>
        <w:tc>
          <w:tcPr>
            <w:tcW w:w="2551" w:type="dxa"/>
            <w:tcBorders>
              <w:top w:val="single" w:sz="2" w:space="0" w:color="auto"/>
              <w:left w:val="single" w:sz="2" w:space="0" w:color="auto"/>
              <w:bottom w:val="single" w:sz="2" w:space="0" w:color="auto"/>
              <w:right w:val="single" w:sz="2" w:space="0" w:color="auto"/>
            </w:tcBorders>
          </w:tcPr>
          <w:p w14:paraId="5C297064" w14:textId="77777777" w:rsidR="009F4766" w:rsidRPr="00DE12A3" w:rsidRDefault="009F4766" w:rsidP="00C917D6">
            <w:pPr>
              <w:pStyle w:val="NormalLeft"/>
            </w:pPr>
            <w:r w:rsidRPr="00DE12A3">
              <w:t>30</w:t>
            </w:r>
          </w:p>
        </w:tc>
      </w:tr>
      <w:tr w:rsidR="00DE12A3" w:rsidRPr="00DE12A3" w14:paraId="328618D6" w14:textId="77777777" w:rsidTr="009F4766">
        <w:tc>
          <w:tcPr>
            <w:tcW w:w="1182" w:type="dxa"/>
            <w:tcBorders>
              <w:top w:val="single" w:sz="2" w:space="0" w:color="auto"/>
              <w:left w:val="single" w:sz="2" w:space="0" w:color="auto"/>
              <w:bottom w:val="single" w:sz="2" w:space="0" w:color="auto"/>
              <w:right w:val="single" w:sz="2" w:space="0" w:color="auto"/>
            </w:tcBorders>
          </w:tcPr>
          <w:p w14:paraId="1AD0C9ED" w14:textId="77777777" w:rsidR="009F4766" w:rsidRPr="00DE12A3" w:rsidRDefault="009F4766" w:rsidP="00C917D6">
            <w:pPr>
              <w:pStyle w:val="NormalLeft"/>
            </w:pPr>
            <w:r w:rsidRPr="00DE12A3">
              <w:t>917</w:t>
            </w:r>
          </w:p>
        </w:tc>
        <w:tc>
          <w:tcPr>
            <w:tcW w:w="2489" w:type="dxa"/>
            <w:tcBorders>
              <w:top w:val="single" w:sz="2" w:space="0" w:color="auto"/>
              <w:left w:val="single" w:sz="2" w:space="0" w:color="auto"/>
              <w:bottom w:val="single" w:sz="2" w:space="0" w:color="auto"/>
              <w:right w:val="single" w:sz="2" w:space="0" w:color="auto"/>
            </w:tcBorders>
          </w:tcPr>
          <w:p w14:paraId="56DF3767" w14:textId="77777777" w:rsidR="009F4766" w:rsidRPr="00DE12A3" w:rsidRDefault="009F4766" w:rsidP="00C917D6">
            <w:pPr>
              <w:pStyle w:val="NormalLeft"/>
            </w:pPr>
            <w:r w:rsidRPr="00DE12A3">
              <w:t>93</w:t>
            </w:r>
          </w:p>
        </w:tc>
        <w:tc>
          <w:tcPr>
            <w:tcW w:w="2551" w:type="dxa"/>
            <w:tcBorders>
              <w:top w:val="single" w:sz="2" w:space="0" w:color="auto"/>
              <w:left w:val="single" w:sz="2" w:space="0" w:color="auto"/>
              <w:bottom w:val="single" w:sz="2" w:space="0" w:color="auto"/>
              <w:right w:val="single" w:sz="2" w:space="0" w:color="auto"/>
            </w:tcBorders>
          </w:tcPr>
          <w:p w14:paraId="4C5D4DFF" w14:textId="77777777" w:rsidR="009F4766" w:rsidRPr="00DE12A3" w:rsidRDefault="009F4766" w:rsidP="00C917D6">
            <w:pPr>
              <w:pStyle w:val="NormalLeft"/>
            </w:pPr>
            <w:r w:rsidRPr="00DE12A3">
              <w:t>32</w:t>
            </w:r>
          </w:p>
        </w:tc>
      </w:tr>
      <w:tr w:rsidR="00DE12A3" w:rsidRPr="00DE12A3" w14:paraId="789E97F1" w14:textId="77777777" w:rsidTr="009F4766">
        <w:tc>
          <w:tcPr>
            <w:tcW w:w="1182" w:type="dxa"/>
            <w:tcBorders>
              <w:top w:val="single" w:sz="2" w:space="0" w:color="auto"/>
              <w:left w:val="single" w:sz="2" w:space="0" w:color="auto"/>
              <w:bottom w:val="single" w:sz="2" w:space="0" w:color="auto"/>
              <w:right w:val="single" w:sz="2" w:space="0" w:color="auto"/>
            </w:tcBorders>
          </w:tcPr>
          <w:p w14:paraId="5D73A47B" w14:textId="77777777" w:rsidR="009F4766" w:rsidRPr="00DE12A3" w:rsidRDefault="009F4766" w:rsidP="00C917D6">
            <w:pPr>
              <w:pStyle w:val="NormalLeft"/>
            </w:pPr>
            <w:r w:rsidRPr="00DE12A3">
              <w:t>918</w:t>
            </w:r>
          </w:p>
        </w:tc>
        <w:tc>
          <w:tcPr>
            <w:tcW w:w="2489" w:type="dxa"/>
            <w:tcBorders>
              <w:top w:val="single" w:sz="2" w:space="0" w:color="auto"/>
              <w:left w:val="single" w:sz="2" w:space="0" w:color="auto"/>
              <w:bottom w:val="single" w:sz="2" w:space="0" w:color="auto"/>
              <w:right w:val="single" w:sz="2" w:space="0" w:color="auto"/>
            </w:tcBorders>
          </w:tcPr>
          <w:p w14:paraId="3879DB40" w14:textId="77777777" w:rsidR="009F4766" w:rsidRPr="00DE12A3" w:rsidRDefault="009F4766" w:rsidP="00C917D6">
            <w:pPr>
              <w:pStyle w:val="NormalLeft"/>
            </w:pPr>
            <w:r w:rsidRPr="00DE12A3">
              <w:t>93</w:t>
            </w:r>
          </w:p>
        </w:tc>
        <w:tc>
          <w:tcPr>
            <w:tcW w:w="2551" w:type="dxa"/>
            <w:tcBorders>
              <w:top w:val="single" w:sz="2" w:space="0" w:color="auto"/>
              <w:left w:val="single" w:sz="2" w:space="0" w:color="auto"/>
              <w:bottom w:val="single" w:sz="2" w:space="0" w:color="auto"/>
              <w:right w:val="single" w:sz="2" w:space="0" w:color="auto"/>
            </w:tcBorders>
          </w:tcPr>
          <w:p w14:paraId="35DCF48D" w14:textId="77777777" w:rsidR="009F4766" w:rsidRPr="00DE12A3" w:rsidRDefault="009F4766" w:rsidP="00C917D6">
            <w:pPr>
              <w:pStyle w:val="NormalLeft"/>
            </w:pPr>
            <w:r w:rsidRPr="00DE12A3">
              <w:t>35</w:t>
            </w:r>
          </w:p>
        </w:tc>
      </w:tr>
      <w:tr w:rsidR="00DE12A3" w:rsidRPr="00DE12A3" w14:paraId="4E6CF877" w14:textId="77777777" w:rsidTr="009F4766">
        <w:tc>
          <w:tcPr>
            <w:tcW w:w="1182" w:type="dxa"/>
            <w:tcBorders>
              <w:top w:val="single" w:sz="2" w:space="0" w:color="auto"/>
              <w:left w:val="single" w:sz="2" w:space="0" w:color="auto"/>
              <w:bottom w:val="single" w:sz="2" w:space="0" w:color="auto"/>
              <w:right w:val="single" w:sz="2" w:space="0" w:color="auto"/>
            </w:tcBorders>
          </w:tcPr>
          <w:p w14:paraId="7737E6C4" w14:textId="77777777" w:rsidR="009F4766" w:rsidRPr="00DE12A3" w:rsidRDefault="009F4766" w:rsidP="00C917D6">
            <w:pPr>
              <w:pStyle w:val="NormalLeft"/>
            </w:pPr>
            <w:r w:rsidRPr="00DE12A3">
              <w:t>919</w:t>
            </w:r>
          </w:p>
        </w:tc>
        <w:tc>
          <w:tcPr>
            <w:tcW w:w="2489" w:type="dxa"/>
            <w:tcBorders>
              <w:top w:val="single" w:sz="2" w:space="0" w:color="auto"/>
              <w:left w:val="single" w:sz="2" w:space="0" w:color="auto"/>
              <w:bottom w:val="single" w:sz="2" w:space="0" w:color="auto"/>
              <w:right w:val="single" w:sz="2" w:space="0" w:color="auto"/>
            </w:tcBorders>
          </w:tcPr>
          <w:p w14:paraId="369CF4E6" w14:textId="77777777" w:rsidR="009F4766" w:rsidRPr="00DE12A3" w:rsidRDefault="009F4766" w:rsidP="00C917D6">
            <w:pPr>
              <w:pStyle w:val="NormalLeft"/>
            </w:pPr>
            <w:r w:rsidRPr="00DE12A3">
              <w:t>93</w:t>
            </w:r>
          </w:p>
        </w:tc>
        <w:tc>
          <w:tcPr>
            <w:tcW w:w="2551" w:type="dxa"/>
            <w:tcBorders>
              <w:top w:val="single" w:sz="2" w:space="0" w:color="auto"/>
              <w:left w:val="single" w:sz="2" w:space="0" w:color="auto"/>
              <w:bottom w:val="single" w:sz="2" w:space="0" w:color="auto"/>
              <w:right w:val="single" w:sz="2" w:space="0" w:color="auto"/>
            </w:tcBorders>
          </w:tcPr>
          <w:p w14:paraId="3E6BF399" w14:textId="77777777" w:rsidR="009F4766" w:rsidRPr="00DE12A3" w:rsidRDefault="009F4766" w:rsidP="00C917D6">
            <w:pPr>
              <w:pStyle w:val="NormalLeft"/>
            </w:pPr>
            <w:r w:rsidRPr="00DE12A3">
              <w:t>35</w:t>
            </w:r>
          </w:p>
        </w:tc>
      </w:tr>
      <w:tr w:rsidR="00DE12A3" w:rsidRPr="00DE12A3" w14:paraId="159409C2" w14:textId="77777777" w:rsidTr="009F4766">
        <w:tc>
          <w:tcPr>
            <w:tcW w:w="1182" w:type="dxa"/>
            <w:tcBorders>
              <w:top w:val="single" w:sz="2" w:space="0" w:color="auto"/>
              <w:left w:val="single" w:sz="2" w:space="0" w:color="auto"/>
              <w:bottom w:val="single" w:sz="2" w:space="0" w:color="auto"/>
              <w:right w:val="single" w:sz="2" w:space="0" w:color="auto"/>
            </w:tcBorders>
          </w:tcPr>
          <w:p w14:paraId="4584DCCC" w14:textId="77777777" w:rsidR="009F4766" w:rsidRPr="00DE12A3" w:rsidRDefault="009F4766" w:rsidP="00C917D6">
            <w:pPr>
              <w:pStyle w:val="NormalLeft"/>
            </w:pPr>
            <w:r w:rsidRPr="00DE12A3">
              <w:t>920</w:t>
            </w:r>
          </w:p>
        </w:tc>
        <w:tc>
          <w:tcPr>
            <w:tcW w:w="2489" w:type="dxa"/>
            <w:tcBorders>
              <w:top w:val="single" w:sz="2" w:space="0" w:color="auto"/>
              <w:left w:val="single" w:sz="2" w:space="0" w:color="auto"/>
              <w:bottom w:val="single" w:sz="2" w:space="0" w:color="auto"/>
              <w:right w:val="single" w:sz="2" w:space="0" w:color="auto"/>
            </w:tcBorders>
          </w:tcPr>
          <w:p w14:paraId="151769B6" w14:textId="77777777" w:rsidR="009F4766" w:rsidRPr="00DE12A3" w:rsidRDefault="009F4766" w:rsidP="00C917D6">
            <w:pPr>
              <w:pStyle w:val="NormalLeft"/>
            </w:pPr>
            <w:r w:rsidRPr="00DE12A3">
              <w:t>93</w:t>
            </w:r>
          </w:p>
        </w:tc>
        <w:tc>
          <w:tcPr>
            <w:tcW w:w="2551" w:type="dxa"/>
            <w:tcBorders>
              <w:top w:val="single" w:sz="2" w:space="0" w:color="auto"/>
              <w:left w:val="single" w:sz="2" w:space="0" w:color="auto"/>
              <w:bottom w:val="single" w:sz="2" w:space="0" w:color="auto"/>
              <w:right w:val="single" w:sz="2" w:space="0" w:color="auto"/>
            </w:tcBorders>
          </w:tcPr>
          <w:p w14:paraId="3E3F184D" w14:textId="77777777" w:rsidR="009F4766" w:rsidRPr="00DE12A3" w:rsidRDefault="009F4766" w:rsidP="00C917D6">
            <w:pPr>
              <w:pStyle w:val="NormalLeft"/>
            </w:pPr>
            <w:r w:rsidRPr="00DE12A3">
              <w:t>32</w:t>
            </w:r>
          </w:p>
        </w:tc>
      </w:tr>
      <w:tr w:rsidR="00DE12A3" w:rsidRPr="00DE12A3" w14:paraId="7A04F394" w14:textId="77777777" w:rsidTr="009F4766">
        <w:tc>
          <w:tcPr>
            <w:tcW w:w="1182" w:type="dxa"/>
            <w:tcBorders>
              <w:top w:val="single" w:sz="2" w:space="0" w:color="auto"/>
              <w:left w:val="single" w:sz="2" w:space="0" w:color="auto"/>
              <w:bottom w:val="single" w:sz="2" w:space="0" w:color="auto"/>
              <w:right w:val="single" w:sz="2" w:space="0" w:color="auto"/>
            </w:tcBorders>
          </w:tcPr>
          <w:p w14:paraId="6B470B66" w14:textId="77777777" w:rsidR="009F4766" w:rsidRPr="00DE12A3" w:rsidRDefault="009F4766" w:rsidP="00C917D6">
            <w:pPr>
              <w:pStyle w:val="NormalLeft"/>
            </w:pPr>
            <w:r w:rsidRPr="00DE12A3">
              <w:t>921</w:t>
            </w:r>
          </w:p>
        </w:tc>
        <w:tc>
          <w:tcPr>
            <w:tcW w:w="2489" w:type="dxa"/>
            <w:tcBorders>
              <w:top w:val="single" w:sz="2" w:space="0" w:color="auto"/>
              <w:left w:val="single" w:sz="2" w:space="0" w:color="auto"/>
              <w:bottom w:val="single" w:sz="2" w:space="0" w:color="auto"/>
              <w:right w:val="single" w:sz="2" w:space="0" w:color="auto"/>
            </w:tcBorders>
          </w:tcPr>
          <w:p w14:paraId="1F8D438A" w14:textId="77777777" w:rsidR="009F4766" w:rsidRPr="00DE12A3" w:rsidRDefault="009F4766" w:rsidP="00C917D6">
            <w:pPr>
              <w:pStyle w:val="NormalLeft"/>
            </w:pPr>
            <w:r w:rsidRPr="00DE12A3">
              <w:t>93</w:t>
            </w:r>
          </w:p>
        </w:tc>
        <w:tc>
          <w:tcPr>
            <w:tcW w:w="2551" w:type="dxa"/>
            <w:tcBorders>
              <w:top w:val="single" w:sz="2" w:space="0" w:color="auto"/>
              <w:left w:val="single" w:sz="2" w:space="0" w:color="auto"/>
              <w:bottom w:val="single" w:sz="2" w:space="0" w:color="auto"/>
              <w:right w:val="single" w:sz="2" w:space="0" w:color="auto"/>
            </w:tcBorders>
          </w:tcPr>
          <w:p w14:paraId="0964C5CD" w14:textId="77777777" w:rsidR="009F4766" w:rsidRPr="00DE12A3" w:rsidRDefault="009F4766" w:rsidP="00C917D6">
            <w:pPr>
              <w:pStyle w:val="NormalLeft"/>
            </w:pPr>
            <w:r w:rsidRPr="00DE12A3">
              <w:t>28</w:t>
            </w:r>
          </w:p>
        </w:tc>
      </w:tr>
      <w:tr w:rsidR="00DE12A3" w:rsidRPr="00DE12A3" w14:paraId="51C9D6DA" w14:textId="77777777" w:rsidTr="009F4766">
        <w:tc>
          <w:tcPr>
            <w:tcW w:w="1182" w:type="dxa"/>
            <w:tcBorders>
              <w:top w:val="single" w:sz="2" w:space="0" w:color="auto"/>
              <w:left w:val="single" w:sz="2" w:space="0" w:color="auto"/>
              <w:bottom w:val="single" w:sz="2" w:space="0" w:color="auto"/>
              <w:right w:val="single" w:sz="2" w:space="0" w:color="auto"/>
            </w:tcBorders>
          </w:tcPr>
          <w:p w14:paraId="2B01781E" w14:textId="77777777" w:rsidR="009F4766" w:rsidRPr="00DE12A3" w:rsidRDefault="009F4766" w:rsidP="00C917D6">
            <w:pPr>
              <w:pStyle w:val="NormalLeft"/>
            </w:pPr>
            <w:r w:rsidRPr="00DE12A3">
              <w:t>922</w:t>
            </w:r>
          </w:p>
        </w:tc>
        <w:tc>
          <w:tcPr>
            <w:tcW w:w="2489" w:type="dxa"/>
            <w:tcBorders>
              <w:top w:val="single" w:sz="2" w:space="0" w:color="auto"/>
              <w:left w:val="single" w:sz="2" w:space="0" w:color="auto"/>
              <w:bottom w:val="single" w:sz="2" w:space="0" w:color="auto"/>
              <w:right w:val="single" w:sz="2" w:space="0" w:color="auto"/>
            </w:tcBorders>
          </w:tcPr>
          <w:p w14:paraId="7269DA68" w14:textId="77777777" w:rsidR="009F4766" w:rsidRPr="00DE12A3" w:rsidRDefault="009F4766" w:rsidP="00C917D6">
            <w:pPr>
              <w:pStyle w:val="NormalLeft"/>
            </w:pPr>
            <w:r w:rsidRPr="00DE12A3">
              <w:t>93</w:t>
            </w:r>
          </w:p>
        </w:tc>
        <w:tc>
          <w:tcPr>
            <w:tcW w:w="2551" w:type="dxa"/>
            <w:tcBorders>
              <w:top w:val="single" w:sz="2" w:space="0" w:color="auto"/>
              <w:left w:val="single" w:sz="2" w:space="0" w:color="auto"/>
              <w:bottom w:val="single" w:sz="2" w:space="0" w:color="auto"/>
              <w:right w:val="single" w:sz="2" w:space="0" w:color="auto"/>
            </w:tcBorders>
          </w:tcPr>
          <w:p w14:paraId="61ECBADF" w14:textId="77777777" w:rsidR="009F4766" w:rsidRPr="00DE12A3" w:rsidRDefault="009F4766" w:rsidP="00C917D6">
            <w:pPr>
              <w:pStyle w:val="NormalLeft"/>
            </w:pPr>
            <w:r w:rsidRPr="00DE12A3">
              <w:t>23</w:t>
            </w:r>
          </w:p>
        </w:tc>
      </w:tr>
      <w:tr w:rsidR="00DE12A3" w:rsidRPr="00DE12A3" w14:paraId="53CE6CAC" w14:textId="77777777" w:rsidTr="009F4766">
        <w:tc>
          <w:tcPr>
            <w:tcW w:w="1182" w:type="dxa"/>
            <w:tcBorders>
              <w:top w:val="single" w:sz="2" w:space="0" w:color="auto"/>
              <w:left w:val="single" w:sz="2" w:space="0" w:color="auto"/>
              <w:bottom w:val="single" w:sz="2" w:space="0" w:color="auto"/>
              <w:right w:val="single" w:sz="2" w:space="0" w:color="auto"/>
            </w:tcBorders>
          </w:tcPr>
          <w:p w14:paraId="47443ADE" w14:textId="77777777" w:rsidR="009F4766" w:rsidRPr="00DE12A3" w:rsidRDefault="009F4766" w:rsidP="00C917D6">
            <w:pPr>
              <w:pStyle w:val="NormalLeft"/>
            </w:pPr>
            <w:r w:rsidRPr="00DE12A3">
              <w:t>923</w:t>
            </w:r>
          </w:p>
        </w:tc>
        <w:tc>
          <w:tcPr>
            <w:tcW w:w="2489" w:type="dxa"/>
            <w:tcBorders>
              <w:top w:val="single" w:sz="2" w:space="0" w:color="auto"/>
              <w:left w:val="single" w:sz="2" w:space="0" w:color="auto"/>
              <w:bottom w:val="single" w:sz="2" w:space="0" w:color="auto"/>
              <w:right w:val="single" w:sz="2" w:space="0" w:color="auto"/>
            </w:tcBorders>
          </w:tcPr>
          <w:p w14:paraId="1F93300A" w14:textId="77777777" w:rsidR="009F4766" w:rsidRPr="00DE12A3" w:rsidRDefault="009F4766" w:rsidP="00C917D6">
            <w:pPr>
              <w:pStyle w:val="NormalLeft"/>
            </w:pPr>
            <w:r w:rsidRPr="00DE12A3">
              <w:t>94</w:t>
            </w:r>
          </w:p>
        </w:tc>
        <w:tc>
          <w:tcPr>
            <w:tcW w:w="2551" w:type="dxa"/>
            <w:tcBorders>
              <w:top w:val="single" w:sz="2" w:space="0" w:color="auto"/>
              <w:left w:val="single" w:sz="2" w:space="0" w:color="auto"/>
              <w:bottom w:val="single" w:sz="2" w:space="0" w:color="auto"/>
              <w:right w:val="single" w:sz="2" w:space="0" w:color="auto"/>
            </w:tcBorders>
          </w:tcPr>
          <w:p w14:paraId="6CA6BDDB" w14:textId="77777777" w:rsidR="009F4766" w:rsidRPr="00DE12A3" w:rsidRDefault="009F4766" w:rsidP="00C917D6">
            <w:pPr>
              <w:pStyle w:val="NormalLeft"/>
            </w:pPr>
            <w:r w:rsidRPr="00DE12A3">
              <w:t>18</w:t>
            </w:r>
          </w:p>
        </w:tc>
      </w:tr>
      <w:tr w:rsidR="00DE12A3" w:rsidRPr="00DE12A3" w14:paraId="465923CE" w14:textId="77777777" w:rsidTr="009F4766">
        <w:tc>
          <w:tcPr>
            <w:tcW w:w="1182" w:type="dxa"/>
            <w:tcBorders>
              <w:top w:val="single" w:sz="2" w:space="0" w:color="auto"/>
              <w:left w:val="single" w:sz="2" w:space="0" w:color="auto"/>
              <w:bottom w:val="single" w:sz="2" w:space="0" w:color="auto"/>
              <w:right w:val="single" w:sz="2" w:space="0" w:color="auto"/>
            </w:tcBorders>
          </w:tcPr>
          <w:p w14:paraId="312BF4E7" w14:textId="77777777" w:rsidR="009F4766" w:rsidRPr="00DE12A3" w:rsidRDefault="009F4766" w:rsidP="00C917D6">
            <w:pPr>
              <w:pStyle w:val="NormalLeft"/>
            </w:pPr>
            <w:r w:rsidRPr="00DE12A3">
              <w:t>924</w:t>
            </w:r>
          </w:p>
        </w:tc>
        <w:tc>
          <w:tcPr>
            <w:tcW w:w="2489" w:type="dxa"/>
            <w:tcBorders>
              <w:top w:val="single" w:sz="2" w:space="0" w:color="auto"/>
              <w:left w:val="single" w:sz="2" w:space="0" w:color="auto"/>
              <w:bottom w:val="single" w:sz="2" w:space="0" w:color="auto"/>
              <w:right w:val="single" w:sz="2" w:space="0" w:color="auto"/>
            </w:tcBorders>
          </w:tcPr>
          <w:p w14:paraId="7E5F0367" w14:textId="77777777" w:rsidR="009F4766" w:rsidRPr="00DE12A3" w:rsidRDefault="009F4766" w:rsidP="00C917D6">
            <w:pPr>
              <w:pStyle w:val="NormalLeft"/>
            </w:pPr>
            <w:r w:rsidRPr="00DE12A3">
              <w:t>95</w:t>
            </w:r>
          </w:p>
        </w:tc>
        <w:tc>
          <w:tcPr>
            <w:tcW w:w="2551" w:type="dxa"/>
            <w:tcBorders>
              <w:top w:val="single" w:sz="2" w:space="0" w:color="auto"/>
              <w:left w:val="single" w:sz="2" w:space="0" w:color="auto"/>
              <w:bottom w:val="single" w:sz="2" w:space="0" w:color="auto"/>
              <w:right w:val="single" w:sz="2" w:space="0" w:color="auto"/>
            </w:tcBorders>
          </w:tcPr>
          <w:p w14:paraId="1E127D2F" w14:textId="77777777" w:rsidR="009F4766" w:rsidRPr="00DE12A3" w:rsidRDefault="009F4766" w:rsidP="00C917D6">
            <w:pPr>
              <w:pStyle w:val="NormalLeft"/>
            </w:pPr>
            <w:r w:rsidRPr="00DE12A3">
              <w:t>18</w:t>
            </w:r>
          </w:p>
        </w:tc>
      </w:tr>
      <w:tr w:rsidR="00DE12A3" w:rsidRPr="00DE12A3" w14:paraId="12BD435D" w14:textId="77777777" w:rsidTr="009F4766">
        <w:tc>
          <w:tcPr>
            <w:tcW w:w="1182" w:type="dxa"/>
            <w:tcBorders>
              <w:top w:val="single" w:sz="2" w:space="0" w:color="auto"/>
              <w:left w:val="single" w:sz="2" w:space="0" w:color="auto"/>
              <w:bottom w:val="single" w:sz="2" w:space="0" w:color="auto"/>
              <w:right w:val="single" w:sz="2" w:space="0" w:color="auto"/>
            </w:tcBorders>
          </w:tcPr>
          <w:p w14:paraId="64BF645C" w14:textId="77777777" w:rsidR="009F4766" w:rsidRPr="00DE12A3" w:rsidRDefault="009F4766" w:rsidP="00C917D6">
            <w:pPr>
              <w:pStyle w:val="NormalLeft"/>
            </w:pPr>
            <w:r w:rsidRPr="00DE12A3">
              <w:t>925</w:t>
            </w:r>
          </w:p>
        </w:tc>
        <w:tc>
          <w:tcPr>
            <w:tcW w:w="2489" w:type="dxa"/>
            <w:tcBorders>
              <w:top w:val="single" w:sz="2" w:space="0" w:color="auto"/>
              <w:left w:val="single" w:sz="2" w:space="0" w:color="auto"/>
              <w:bottom w:val="single" w:sz="2" w:space="0" w:color="auto"/>
              <w:right w:val="single" w:sz="2" w:space="0" w:color="auto"/>
            </w:tcBorders>
          </w:tcPr>
          <w:p w14:paraId="1D7A050D" w14:textId="77777777" w:rsidR="009F4766" w:rsidRPr="00DE12A3" w:rsidRDefault="009F4766" w:rsidP="00C917D6">
            <w:pPr>
              <w:pStyle w:val="NormalLeft"/>
            </w:pPr>
            <w:r w:rsidRPr="00DE12A3">
              <w:t>96</w:t>
            </w:r>
          </w:p>
        </w:tc>
        <w:tc>
          <w:tcPr>
            <w:tcW w:w="2551" w:type="dxa"/>
            <w:tcBorders>
              <w:top w:val="single" w:sz="2" w:space="0" w:color="auto"/>
              <w:left w:val="single" w:sz="2" w:space="0" w:color="auto"/>
              <w:bottom w:val="single" w:sz="2" w:space="0" w:color="auto"/>
              <w:right w:val="single" w:sz="2" w:space="0" w:color="auto"/>
            </w:tcBorders>
          </w:tcPr>
          <w:p w14:paraId="6D207F37" w14:textId="77777777" w:rsidR="009F4766" w:rsidRPr="00DE12A3" w:rsidRDefault="009F4766" w:rsidP="00C917D6">
            <w:pPr>
              <w:pStyle w:val="NormalLeft"/>
            </w:pPr>
            <w:r w:rsidRPr="00DE12A3">
              <w:t>17</w:t>
            </w:r>
          </w:p>
        </w:tc>
      </w:tr>
      <w:tr w:rsidR="00DE12A3" w:rsidRPr="00DE12A3" w14:paraId="79A82169" w14:textId="77777777" w:rsidTr="009F4766">
        <w:tc>
          <w:tcPr>
            <w:tcW w:w="1182" w:type="dxa"/>
            <w:tcBorders>
              <w:top w:val="single" w:sz="2" w:space="0" w:color="auto"/>
              <w:left w:val="single" w:sz="2" w:space="0" w:color="auto"/>
              <w:bottom w:val="single" w:sz="2" w:space="0" w:color="auto"/>
              <w:right w:val="single" w:sz="2" w:space="0" w:color="auto"/>
            </w:tcBorders>
          </w:tcPr>
          <w:p w14:paraId="01CE0D4C" w14:textId="77777777" w:rsidR="009F4766" w:rsidRPr="00DE12A3" w:rsidRDefault="009F4766" w:rsidP="00C917D6">
            <w:pPr>
              <w:pStyle w:val="NormalLeft"/>
            </w:pPr>
            <w:r w:rsidRPr="00DE12A3">
              <w:t>926</w:t>
            </w:r>
          </w:p>
        </w:tc>
        <w:tc>
          <w:tcPr>
            <w:tcW w:w="2489" w:type="dxa"/>
            <w:tcBorders>
              <w:top w:val="single" w:sz="2" w:space="0" w:color="auto"/>
              <w:left w:val="single" w:sz="2" w:space="0" w:color="auto"/>
              <w:bottom w:val="single" w:sz="2" w:space="0" w:color="auto"/>
              <w:right w:val="single" w:sz="2" w:space="0" w:color="auto"/>
            </w:tcBorders>
          </w:tcPr>
          <w:p w14:paraId="58E0CD29" w14:textId="77777777" w:rsidR="009F4766" w:rsidRPr="00DE12A3" w:rsidRDefault="009F4766" w:rsidP="00C917D6">
            <w:pPr>
              <w:pStyle w:val="NormalLeft"/>
            </w:pPr>
            <w:r w:rsidRPr="00DE12A3">
              <w:t>95</w:t>
            </w:r>
          </w:p>
        </w:tc>
        <w:tc>
          <w:tcPr>
            <w:tcW w:w="2551" w:type="dxa"/>
            <w:tcBorders>
              <w:top w:val="single" w:sz="2" w:space="0" w:color="auto"/>
              <w:left w:val="single" w:sz="2" w:space="0" w:color="auto"/>
              <w:bottom w:val="single" w:sz="2" w:space="0" w:color="auto"/>
              <w:right w:val="single" w:sz="2" w:space="0" w:color="auto"/>
            </w:tcBorders>
          </w:tcPr>
          <w:p w14:paraId="432B92B6" w14:textId="77777777" w:rsidR="009F4766" w:rsidRPr="00DE12A3" w:rsidRDefault="009F4766" w:rsidP="00C917D6">
            <w:pPr>
              <w:pStyle w:val="NormalLeft"/>
            </w:pPr>
            <w:r w:rsidRPr="00DE12A3">
              <w:t>13</w:t>
            </w:r>
          </w:p>
        </w:tc>
      </w:tr>
      <w:tr w:rsidR="00DE12A3" w:rsidRPr="00DE12A3" w14:paraId="59003ACD" w14:textId="77777777" w:rsidTr="009F4766">
        <w:tc>
          <w:tcPr>
            <w:tcW w:w="1182" w:type="dxa"/>
            <w:tcBorders>
              <w:top w:val="single" w:sz="2" w:space="0" w:color="auto"/>
              <w:left w:val="single" w:sz="2" w:space="0" w:color="auto"/>
              <w:bottom w:val="single" w:sz="2" w:space="0" w:color="auto"/>
              <w:right w:val="single" w:sz="2" w:space="0" w:color="auto"/>
            </w:tcBorders>
          </w:tcPr>
          <w:p w14:paraId="4216BC6B" w14:textId="77777777" w:rsidR="009F4766" w:rsidRPr="00DE12A3" w:rsidRDefault="009F4766" w:rsidP="00C917D6">
            <w:pPr>
              <w:pStyle w:val="NormalLeft"/>
            </w:pPr>
            <w:r w:rsidRPr="00DE12A3">
              <w:t>927</w:t>
            </w:r>
          </w:p>
        </w:tc>
        <w:tc>
          <w:tcPr>
            <w:tcW w:w="2489" w:type="dxa"/>
            <w:tcBorders>
              <w:top w:val="single" w:sz="2" w:space="0" w:color="auto"/>
              <w:left w:val="single" w:sz="2" w:space="0" w:color="auto"/>
              <w:bottom w:val="single" w:sz="2" w:space="0" w:color="auto"/>
              <w:right w:val="single" w:sz="2" w:space="0" w:color="auto"/>
            </w:tcBorders>
          </w:tcPr>
          <w:p w14:paraId="7D4737B3" w14:textId="77777777" w:rsidR="009F4766" w:rsidRPr="00DE12A3" w:rsidRDefault="009F4766" w:rsidP="00C917D6">
            <w:pPr>
              <w:pStyle w:val="NormalLeft"/>
            </w:pPr>
            <w:r w:rsidRPr="00DE12A3">
              <w:t>96</w:t>
            </w:r>
          </w:p>
        </w:tc>
        <w:tc>
          <w:tcPr>
            <w:tcW w:w="2551" w:type="dxa"/>
            <w:tcBorders>
              <w:top w:val="single" w:sz="2" w:space="0" w:color="auto"/>
              <w:left w:val="single" w:sz="2" w:space="0" w:color="auto"/>
              <w:bottom w:val="single" w:sz="2" w:space="0" w:color="auto"/>
              <w:right w:val="single" w:sz="2" w:space="0" w:color="auto"/>
            </w:tcBorders>
          </w:tcPr>
          <w:p w14:paraId="3030BE45" w14:textId="77777777" w:rsidR="009F4766" w:rsidRPr="00DE12A3" w:rsidRDefault="009F4766" w:rsidP="00C917D6">
            <w:pPr>
              <w:pStyle w:val="NormalLeft"/>
            </w:pPr>
            <w:r w:rsidRPr="00DE12A3">
              <w:t>10</w:t>
            </w:r>
          </w:p>
        </w:tc>
      </w:tr>
      <w:tr w:rsidR="00DE12A3" w:rsidRPr="00DE12A3" w14:paraId="4947192A" w14:textId="77777777" w:rsidTr="009F4766">
        <w:tc>
          <w:tcPr>
            <w:tcW w:w="1182" w:type="dxa"/>
            <w:tcBorders>
              <w:top w:val="single" w:sz="2" w:space="0" w:color="auto"/>
              <w:left w:val="single" w:sz="2" w:space="0" w:color="auto"/>
              <w:bottom w:val="single" w:sz="2" w:space="0" w:color="auto"/>
              <w:right w:val="single" w:sz="2" w:space="0" w:color="auto"/>
            </w:tcBorders>
          </w:tcPr>
          <w:p w14:paraId="78DCAD3A" w14:textId="77777777" w:rsidR="009F4766" w:rsidRPr="00DE12A3" w:rsidRDefault="009F4766" w:rsidP="00C917D6">
            <w:pPr>
              <w:pStyle w:val="NormalLeft"/>
            </w:pPr>
            <w:r w:rsidRPr="00DE12A3">
              <w:t>928</w:t>
            </w:r>
          </w:p>
        </w:tc>
        <w:tc>
          <w:tcPr>
            <w:tcW w:w="2489" w:type="dxa"/>
            <w:tcBorders>
              <w:top w:val="single" w:sz="2" w:space="0" w:color="auto"/>
              <w:left w:val="single" w:sz="2" w:space="0" w:color="auto"/>
              <w:bottom w:val="single" w:sz="2" w:space="0" w:color="auto"/>
              <w:right w:val="single" w:sz="2" w:space="0" w:color="auto"/>
            </w:tcBorders>
          </w:tcPr>
          <w:p w14:paraId="44EE7358" w14:textId="77777777" w:rsidR="009F4766" w:rsidRPr="00DE12A3" w:rsidRDefault="009F4766" w:rsidP="00C917D6">
            <w:pPr>
              <w:pStyle w:val="NormalLeft"/>
            </w:pPr>
            <w:r w:rsidRPr="00DE12A3">
              <w:t>95</w:t>
            </w:r>
          </w:p>
        </w:tc>
        <w:tc>
          <w:tcPr>
            <w:tcW w:w="2551" w:type="dxa"/>
            <w:tcBorders>
              <w:top w:val="single" w:sz="2" w:space="0" w:color="auto"/>
              <w:left w:val="single" w:sz="2" w:space="0" w:color="auto"/>
              <w:bottom w:val="single" w:sz="2" w:space="0" w:color="auto"/>
              <w:right w:val="single" w:sz="2" w:space="0" w:color="auto"/>
            </w:tcBorders>
          </w:tcPr>
          <w:p w14:paraId="0ACBD8C1" w14:textId="77777777" w:rsidR="009F4766" w:rsidRPr="00DE12A3" w:rsidRDefault="009F4766" w:rsidP="00C917D6">
            <w:pPr>
              <w:pStyle w:val="NormalLeft"/>
            </w:pPr>
            <w:r w:rsidRPr="00DE12A3">
              <w:t>9</w:t>
            </w:r>
          </w:p>
        </w:tc>
      </w:tr>
      <w:tr w:rsidR="00DE12A3" w:rsidRPr="00DE12A3" w14:paraId="7F6DFCCC" w14:textId="77777777" w:rsidTr="009F4766">
        <w:tc>
          <w:tcPr>
            <w:tcW w:w="1182" w:type="dxa"/>
            <w:tcBorders>
              <w:top w:val="single" w:sz="2" w:space="0" w:color="auto"/>
              <w:left w:val="single" w:sz="2" w:space="0" w:color="auto"/>
              <w:bottom w:val="single" w:sz="2" w:space="0" w:color="auto"/>
              <w:right w:val="single" w:sz="2" w:space="0" w:color="auto"/>
            </w:tcBorders>
          </w:tcPr>
          <w:p w14:paraId="479D2AD0" w14:textId="77777777" w:rsidR="009F4766" w:rsidRPr="00DE12A3" w:rsidRDefault="009F4766" w:rsidP="00C917D6">
            <w:pPr>
              <w:pStyle w:val="NormalLeft"/>
            </w:pPr>
            <w:r w:rsidRPr="00DE12A3">
              <w:t>929</w:t>
            </w:r>
          </w:p>
        </w:tc>
        <w:tc>
          <w:tcPr>
            <w:tcW w:w="2489" w:type="dxa"/>
            <w:tcBorders>
              <w:top w:val="single" w:sz="2" w:space="0" w:color="auto"/>
              <w:left w:val="single" w:sz="2" w:space="0" w:color="auto"/>
              <w:bottom w:val="single" w:sz="2" w:space="0" w:color="auto"/>
              <w:right w:val="single" w:sz="2" w:space="0" w:color="auto"/>
            </w:tcBorders>
          </w:tcPr>
          <w:p w14:paraId="73803D22" w14:textId="77777777" w:rsidR="009F4766" w:rsidRPr="00DE12A3" w:rsidRDefault="009F4766" w:rsidP="00C917D6">
            <w:pPr>
              <w:pStyle w:val="NormalLeft"/>
            </w:pPr>
            <w:r w:rsidRPr="00DE12A3">
              <w:t>95</w:t>
            </w:r>
          </w:p>
        </w:tc>
        <w:tc>
          <w:tcPr>
            <w:tcW w:w="2551" w:type="dxa"/>
            <w:tcBorders>
              <w:top w:val="single" w:sz="2" w:space="0" w:color="auto"/>
              <w:left w:val="single" w:sz="2" w:space="0" w:color="auto"/>
              <w:bottom w:val="single" w:sz="2" w:space="0" w:color="auto"/>
              <w:right w:val="single" w:sz="2" w:space="0" w:color="auto"/>
            </w:tcBorders>
          </w:tcPr>
          <w:p w14:paraId="19B63DCF" w14:textId="77777777" w:rsidR="009F4766" w:rsidRPr="00DE12A3" w:rsidRDefault="009F4766" w:rsidP="00C917D6">
            <w:pPr>
              <w:pStyle w:val="NormalLeft"/>
            </w:pPr>
            <w:r w:rsidRPr="00DE12A3">
              <w:t>7</w:t>
            </w:r>
          </w:p>
        </w:tc>
      </w:tr>
      <w:tr w:rsidR="00DE12A3" w:rsidRPr="00DE12A3" w14:paraId="0266B384" w14:textId="77777777" w:rsidTr="009F4766">
        <w:tc>
          <w:tcPr>
            <w:tcW w:w="1182" w:type="dxa"/>
            <w:tcBorders>
              <w:top w:val="single" w:sz="2" w:space="0" w:color="auto"/>
              <w:left w:val="single" w:sz="2" w:space="0" w:color="auto"/>
              <w:bottom w:val="single" w:sz="2" w:space="0" w:color="auto"/>
              <w:right w:val="single" w:sz="2" w:space="0" w:color="auto"/>
            </w:tcBorders>
          </w:tcPr>
          <w:p w14:paraId="39880CB4" w14:textId="77777777" w:rsidR="009F4766" w:rsidRPr="00DE12A3" w:rsidRDefault="009F4766" w:rsidP="00C917D6">
            <w:pPr>
              <w:pStyle w:val="NormalLeft"/>
            </w:pPr>
            <w:r w:rsidRPr="00DE12A3">
              <w:t>930</w:t>
            </w:r>
          </w:p>
        </w:tc>
        <w:tc>
          <w:tcPr>
            <w:tcW w:w="2489" w:type="dxa"/>
            <w:tcBorders>
              <w:top w:val="single" w:sz="2" w:space="0" w:color="auto"/>
              <w:left w:val="single" w:sz="2" w:space="0" w:color="auto"/>
              <w:bottom w:val="single" w:sz="2" w:space="0" w:color="auto"/>
              <w:right w:val="single" w:sz="2" w:space="0" w:color="auto"/>
            </w:tcBorders>
          </w:tcPr>
          <w:p w14:paraId="335C3321" w14:textId="77777777" w:rsidR="009F4766" w:rsidRPr="00DE12A3" w:rsidRDefault="009F4766" w:rsidP="00C917D6">
            <w:pPr>
              <w:pStyle w:val="NormalLeft"/>
            </w:pPr>
            <w:r w:rsidRPr="00DE12A3">
              <w:t>95</w:t>
            </w:r>
          </w:p>
        </w:tc>
        <w:tc>
          <w:tcPr>
            <w:tcW w:w="2551" w:type="dxa"/>
            <w:tcBorders>
              <w:top w:val="single" w:sz="2" w:space="0" w:color="auto"/>
              <w:left w:val="single" w:sz="2" w:space="0" w:color="auto"/>
              <w:bottom w:val="single" w:sz="2" w:space="0" w:color="auto"/>
              <w:right w:val="single" w:sz="2" w:space="0" w:color="auto"/>
            </w:tcBorders>
          </w:tcPr>
          <w:p w14:paraId="73223561" w14:textId="77777777" w:rsidR="009F4766" w:rsidRPr="00DE12A3" w:rsidRDefault="009F4766" w:rsidP="00C917D6">
            <w:pPr>
              <w:pStyle w:val="NormalLeft"/>
            </w:pPr>
            <w:r w:rsidRPr="00DE12A3">
              <w:t>7</w:t>
            </w:r>
          </w:p>
        </w:tc>
      </w:tr>
      <w:tr w:rsidR="00DE12A3" w:rsidRPr="00DE12A3" w14:paraId="2AD0658A" w14:textId="77777777" w:rsidTr="009F4766">
        <w:tc>
          <w:tcPr>
            <w:tcW w:w="1182" w:type="dxa"/>
            <w:tcBorders>
              <w:top w:val="single" w:sz="2" w:space="0" w:color="auto"/>
              <w:left w:val="single" w:sz="2" w:space="0" w:color="auto"/>
              <w:bottom w:val="single" w:sz="2" w:space="0" w:color="auto"/>
              <w:right w:val="single" w:sz="2" w:space="0" w:color="auto"/>
            </w:tcBorders>
          </w:tcPr>
          <w:p w14:paraId="39018A5F" w14:textId="77777777" w:rsidR="009F4766" w:rsidRPr="00DE12A3" w:rsidRDefault="009F4766" w:rsidP="00C917D6">
            <w:pPr>
              <w:pStyle w:val="NormalLeft"/>
            </w:pPr>
            <w:r w:rsidRPr="00DE12A3">
              <w:t>931</w:t>
            </w:r>
          </w:p>
        </w:tc>
        <w:tc>
          <w:tcPr>
            <w:tcW w:w="2489" w:type="dxa"/>
            <w:tcBorders>
              <w:top w:val="single" w:sz="2" w:space="0" w:color="auto"/>
              <w:left w:val="single" w:sz="2" w:space="0" w:color="auto"/>
              <w:bottom w:val="single" w:sz="2" w:space="0" w:color="auto"/>
              <w:right w:val="single" w:sz="2" w:space="0" w:color="auto"/>
            </w:tcBorders>
          </w:tcPr>
          <w:p w14:paraId="0B2639EE" w14:textId="77777777" w:rsidR="009F4766" w:rsidRPr="00DE12A3" w:rsidRDefault="009F4766" w:rsidP="00C917D6">
            <w:pPr>
              <w:pStyle w:val="NormalLeft"/>
            </w:pPr>
            <w:r w:rsidRPr="00DE12A3">
              <w:t>96</w:t>
            </w:r>
          </w:p>
        </w:tc>
        <w:tc>
          <w:tcPr>
            <w:tcW w:w="2551" w:type="dxa"/>
            <w:tcBorders>
              <w:top w:val="single" w:sz="2" w:space="0" w:color="auto"/>
              <w:left w:val="single" w:sz="2" w:space="0" w:color="auto"/>
              <w:bottom w:val="single" w:sz="2" w:space="0" w:color="auto"/>
              <w:right w:val="single" w:sz="2" w:space="0" w:color="auto"/>
            </w:tcBorders>
          </w:tcPr>
          <w:p w14:paraId="54891AA7" w14:textId="77777777" w:rsidR="009F4766" w:rsidRPr="00DE12A3" w:rsidRDefault="009F4766" w:rsidP="00C917D6">
            <w:pPr>
              <w:pStyle w:val="NormalLeft"/>
            </w:pPr>
            <w:r w:rsidRPr="00DE12A3">
              <w:t>7</w:t>
            </w:r>
          </w:p>
        </w:tc>
      </w:tr>
      <w:tr w:rsidR="00DE12A3" w:rsidRPr="00DE12A3" w14:paraId="3A6FA88E" w14:textId="77777777" w:rsidTr="009F4766">
        <w:tc>
          <w:tcPr>
            <w:tcW w:w="1182" w:type="dxa"/>
            <w:tcBorders>
              <w:top w:val="single" w:sz="2" w:space="0" w:color="auto"/>
              <w:left w:val="single" w:sz="2" w:space="0" w:color="auto"/>
              <w:bottom w:val="single" w:sz="2" w:space="0" w:color="auto"/>
              <w:right w:val="single" w:sz="2" w:space="0" w:color="auto"/>
            </w:tcBorders>
          </w:tcPr>
          <w:p w14:paraId="17D4360D" w14:textId="77777777" w:rsidR="009F4766" w:rsidRPr="00DE12A3" w:rsidRDefault="009F4766" w:rsidP="00C917D6">
            <w:pPr>
              <w:pStyle w:val="NormalLeft"/>
            </w:pPr>
            <w:r w:rsidRPr="00DE12A3">
              <w:t>932</w:t>
            </w:r>
          </w:p>
        </w:tc>
        <w:tc>
          <w:tcPr>
            <w:tcW w:w="2489" w:type="dxa"/>
            <w:tcBorders>
              <w:top w:val="single" w:sz="2" w:space="0" w:color="auto"/>
              <w:left w:val="single" w:sz="2" w:space="0" w:color="auto"/>
              <w:bottom w:val="single" w:sz="2" w:space="0" w:color="auto"/>
              <w:right w:val="single" w:sz="2" w:space="0" w:color="auto"/>
            </w:tcBorders>
          </w:tcPr>
          <w:p w14:paraId="432A5F2C" w14:textId="77777777" w:rsidR="009F4766" w:rsidRPr="00DE12A3" w:rsidRDefault="009F4766" w:rsidP="00C917D6">
            <w:pPr>
              <w:pStyle w:val="NormalLeft"/>
            </w:pPr>
            <w:r w:rsidRPr="00DE12A3">
              <w:t>96</w:t>
            </w:r>
          </w:p>
        </w:tc>
        <w:tc>
          <w:tcPr>
            <w:tcW w:w="2551" w:type="dxa"/>
            <w:tcBorders>
              <w:top w:val="single" w:sz="2" w:space="0" w:color="auto"/>
              <w:left w:val="single" w:sz="2" w:space="0" w:color="auto"/>
              <w:bottom w:val="single" w:sz="2" w:space="0" w:color="auto"/>
              <w:right w:val="single" w:sz="2" w:space="0" w:color="auto"/>
            </w:tcBorders>
          </w:tcPr>
          <w:p w14:paraId="4B91FBA4" w14:textId="77777777" w:rsidR="009F4766" w:rsidRPr="00DE12A3" w:rsidRDefault="009F4766" w:rsidP="00C917D6">
            <w:pPr>
              <w:pStyle w:val="NormalLeft"/>
            </w:pPr>
            <w:r w:rsidRPr="00DE12A3">
              <w:t>6</w:t>
            </w:r>
          </w:p>
        </w:tc>
      </w:tr>
      <w:tr w:rsidR="00DE12A3" w:rsidRPr="00DE12A3" w14:paraId="3A0A58D5" w14:textId="77777777" w:rsidTr="009F4766">
        <w:tc>
          <w:tcPr>
            <w:tcW w:w="1182" w:type="dxa"/>
            <w:tcBorders>
              <w:top w:val="single" w:sz="2" w:space="0" w:color="auto"/>
              <w:left w:val="single" w:sz="2" w:space="0" w:color="auto"/>
              <w:bottom w:val="single" w:sz="2" w:space="0" w:color="auto"/>
              <w:right w:val="single" w:sz="2" w:space="0" w:color="auto"/>
            </w:tcBorders>
          </w:tcPr>
          <w:p w14:paraId="68A23197" w14:textId="77777777" w:rsidR="009F4766" w:rsidRPr="00DE12A3" w:rsidRDefault="009F4766" w:rsidP="00C917D6">
            <w:pPr>
              <w:pStyle w:val="NormalLeft"/>
            </w:pPr>
            <w:r w:rsidRPr="00DE12A3">
              <w:t>933</w:t>
            </w:r>
          </w:p>
        </w:tc>
        <w:tc>
          <w:tcPr>
            <w:tcW w:w="2489" w:type="dxa"/>
            <w:tcBorders>
              <w:top w:val="single" w:sz="2" w:space="0" w:color="auto"/>
              <w:left w:val="single" w:sz="2" w:space="0" w:color="auto"/>
              <w:bottom w:val="single" w:sz="2" w:space="0" w:color="auto"/>
              <w:right w:val="single" w:sz="2" w:space="0" w:color="auto"/>
            </w:tcBorders>
          </w:tcPr>
          <w:p w14:paraId="31555E2D" w14:textId="77777777" w:rsidR="009F4766" w:rsidRPr="00DE12A3" w:rsidRDefault="009F4766" w:rsidP="00C917D6">
            <w:pPr>
              <w:pStyle w:val="NormalLeft"/>
            </w:pPr>
            <w:r w:rsidRPr="00DE12A3">
              <w:t>96</w:t>
            </w:r>
          </w:p>
        </w:tc>
        <w:tc>
          <w:tcPr>
            <w:tcW w:w="2551" w:type="dxa"/>
            <w:tcBorders>
              <w:top w:val="single" w:sz="2" w:space="0" w:color="auto"/>
              <w:left w:val="single" w:sz="2" w:space="0" w:color="auto"/>
              <w:bottom w:val="single" w:sz="2" w:space="0" w:color="auto"/>
              <w:right w:val="single" w:sz="2" w:space="0" w:color="auto"/>
            </w:tcBorders>
          </w:tcPr>
          <w:p w14:paraId="330AA28A" w14:textId="77777777" w:rsidR="009F4766" w:rsidRPr="00DE12A3" w:rsidRDefault="009F4766" w:rsidP="00C917D6">
            <w:pPr>
              <w:pStyle w:val="NormalLeft"/>
            </w:pPr>
            <w:r w:rsidRPr="00DE12A3">
              <w:t>6</w:t>
            </w:r>
          </w:p>
        </w:tc>
      </w:tr>
      <w:tr w:rsidR="00DE12A3" w:rsidRPr="00DE12A3" w14:paraId="1B32D71E" w14:textId="77777777" w:rsidTr="009F4766">
        <w:tc>
          <w:tcPr>
            <w:tcW w:w="1182" w:type="dxa"/>
            <w:tcBorders>
              <w:top w:val="single" w:sz="2" w:space="0" w:color="auto"/>
              <w:left w:val="single" w:sz="2" w:space="0" w:color="auto"/>
              <w:bottom w:val="single" w:sz="2" w:space="0" w:color="auto"/>
              <w:right w:val="single" w:sz="2" w:space="0" w:color="auto"/>
            </w:tcBorders>
          </w:tcPr>
          <w:p w14:paraId="39FEAEE8" w14:textId="77777777" w:rsidR="009F4766" w:rsidRPr="00DE12A3" w:rsidRDefault="009F4766" w:rsidP="00C917D6">
            <w:pPr>
              <w:pStyle w:val="NormalLeft"/>
            </w:pPr>
            <w:r w:rsidRPr="00DE12A3">
              <w:t>934</w:t>
            </w:r>
          </w:p>
        </w:tc>
        <w:tc>
          <w:tcPr>
            <w:tcW w:w="2489" w:type="dxa"/>
            <w:tcBorders>
              <w:top w:val="single" w:sz="2" w:space="0" w:color="auto"/>
              <w:left w:val="single" w:sz="2" w:space="0" w:color="auto"/>
              <w:bottom w:val="single" w:sz="2" w:space="0" w:color="auto"/>
              <w:right w:val="single" w:sz="2" w:space="0" w:color="auto"/>
            </w:tcBorders>
          </w:tcPr>
          <w:p w14:paraId="7A88D7B7" w14:textId="77777777" w:rsidR="009F4766" w:rsidRPr="00DE12A3" w:rsidRDefault="009F4766" w:rsidP="00C917D6">
            <w:pPr>
              <w:pStyle w:val="NormalLeft"/>
            </w:pPr>
            <w:r w:rsidRPr="00DE12A3">
              <w:t>95</w:t>
            </w:r>
          </w:p>
        </w:tc>
        <w:tc>
          <w:tcPr>
            <w:tcW w:w="2551" w:type="dxa"/>
            <w:tcBorders>
              <w:top w:val="single" w:sz="2" w:space="0" w:color="auto"/>
              <w:left w:val="single" w:sz="2" w:space="0" w:color="auto"/>
              <w:bottom w:val="single" w:sz="2" w:space="0" w:color="auto"/>
              <w:right w:val="single" w:sz="2" w:space="0" w:color="auto"/>
            </w:tcBorders>
          </w:tcPr>
          <w:p w14:paraId="6EC874B9" w14:textId="77777777" w:rsidR="009F4766" w:rsidRPr="00DE12A3" w:rsidRDefault="009F4766" w:rsidP="00C917D6">
            <w:pPr>
              <w:pStyle w:val="NormalLeft"/>
            </w:pPr>
            <w:r w:rsidRPr="00DE12A3">
              <w:t>6</w:t>
            </w:r>
          </w:p>
        </w:tc>
      </w:tr>
      <w:tr w:rsidR="00DE12A3" w:rsidRPr="00DE12A3" w14:paraId="5C15F5A0" w14:textId="77777777" w:rsidTr="009F4766">
        <w:tc>
          <w:tcPr>
            <w:tcW w:w="1182" w:type="dxa"/>
            <w:tcBorders>
              <w:top w:val="single" w:sz="2" w:space="0" w:color="auto"/>
              <w:left w:val="single" w:sz="2" w:space="0" w:color="auto"/>
              <w:bottom w:val="single" w:sz="2" w:space="0" w:color="auto"/>
              <w:right w:val="single" w:sz="2" w:space="0" w:color="auto"/>
            </w:tcBorders>
          </w:tcPr>
          <w:p w14:paraId="087361C2" w14:textId="77777777" w:rsidR="009F4766" w:rsidRPr="00DE12A3" w:rsidRDefault="009F4766" w:rsidP="00C917D6">
            <w:pPr>
              <w:pStyle w:val="NormalLeft"/>
            </w:pPr>
            <w:r w:rsidRPr="00DE12A3">
              <w:t>935</w:t>
            </w:r>
          </w:p>
        </w:tc>
        <w:tc>
          <w:tcPr>
            <w:tcW w:w="2489" w:type="dxa"/>
            <w:tcBorders>
              <w:top w:val="single" w:sz="2" w:space="0" w:color="auto"/>
              <w:left w:val="single" w:sz="2" w:space="0" w:color="auto"/>
              <w:bottom w:val="single" w:sz="2" w:space="0" w:color="auto"/>
              <w:right w:val="single" w:sz="2" w:space="0" w:color="auto"/>
            </w:tcBorders>
          </w:tcPr>
          <w:p w14:paraId="4D7A0A5F" w14:textId="77777777" w:rsidR="009F4766" w:rsidRPr="00DE12A3" w:rsidRDefault="009F4766" w:rsidP="00C917D6">
            <w:pPr>
              <w:pStyle w:val="NormalLeft"/>
            </w:pPr>
            <w:r w:rsidRPr="00DE12A3">
              <w:t>90</w:t>
            </w:r>
          </w:p>
        </w:tc>
        <w:tc>
          <w:tcPr>
            <w:tcW w:w="2551" w:type="dxa"/>
            <w:tcBorders>
              <w:top w:val="single" w:sz="2" w:space="0" w:color="auto"/>
              <w:left w:val="single" w:sz="2" w:space="0" w:color="auto"/>
              <w:bottom w:val="single" w:sz="2" w:space="0" w:color="auto"/>
              <w:right w:val="single" w:sz="2" w:space="0" w:color="auto"/>
            </w:tcBorders>
          </w:tcPr>
          <w:p w14:paraId="5DECAF82" w14:textId="77777777" w:rsidR="009F4766" w:rsidRPr="00DE12A3" w:rsidRDefault="009F4766" w:rsidP="00C917D6">
            <w:pPr>
              <w:pStyle w:val="NormalLeft"/>
            </w:pPr>
            <w:r w:rsidRPr="00DE12A3">
              <w:t>6</w:t>
            </w:r>
          </w:p>
        </w:tc>
      </w:tr>
      <w:tr w:rsidR="00DE12A3" w:rsidRPr="00DE12A3" w14:paraId="70EDE15D" w14:textId="77777777" w:rsidTr="009F4766">
        <w:tc>
          <w:tcPr>
            <w:tcW w:w="1182" w:type="dxa"/>
            <w:tcBorders>
              <w:top w:val="single" w:sz="2" w:space="0" w:color="auto"/>
              <w:left w:val="single" w:sz="2" w:space="0" w:color="auto"/>
              <w:bottom w:val="single" w:sz="2" w:space="0" w:color="auto"/>
              <w:right w:val="single" w:sz="2" w:space="0" w:color="auto"/>
            </w:tcBorders>
          </w:tcPr>
          <w:p w14:paraId="517CEE70" w14:textId="77777777" w:rsidR="009F4766" w:rsidRPr="00DE12A3" w:rsidRDefault="009F4766" w:rsidP="00C917D6">
            <w:pPr>
              <w:pStyle w:val="NormalLeft"/>
            </w:pPr>
            <w:r w:rsidRPr="00DE12A3">
              <w:t>936</w:t>
            </w:r>
          </w:p>
        </w:tc>
        <w:tc>
          <w:tcPr>
            <w:tcW w:w="2489" w:type="dxa"/>
            <w:tcBorders>
              <w:top w:val="single" w:sz="2" w:space="0" w:color="auto"/>
              <w:left w:val="single" w:sz="2" w:space="0" w:color="auto"/>
              <w:bottom w:val="single" w:sz="2" w:space="0" w:color="auto"/>
              <w:right w:val="single" w:sz="2" w:space="0" w:color="auto"/>
            </w:tcBorders>
          </w:tcPr>
          <w:p w14:paraId="40D42D6F" w14:textId="77777777" w:rsidR="009F4766" w:rsidRPr="00DE12A3" w:rsidRDefault="009F4766" w:rsidP="00C917D6">
            <w:pPr>
              <w:pStyle w:val="NormalLeft"/>
            </w:pPr>
            <w:r w:rsidRPr="00DE12A3">
              <w:t>69</w:t>
            </w:r>
          </w:p>
        </w:tc>
        <w:tc>
          <w:tcPr>
            <w:tcW w:w="2551" w:type="dxa"/>
            <w:tcBorders>
              <w:top w:val="single" w:sz="2" w:space="0" w:color="auto"/>
              <w:left w:val="single" w:sz="2" w:space="0" w:color="auto"/>
              <w:bottom w:val="single" w:sz="2" w:space="0" w:color="auto"/>
              <w:right w:val="single" w:sz="2" w:space="0" w:color="auto"/>
            </w:tcBorders>
          </w:tcPr>
          <w:p w14:paraId="26DFC0A2" w14:textId="77777777" w:rsidR="009F4766" w:rsidRPr="00DE12A3" w:rsidRDefault="009F4766" w:rsidP="00C917D6">
            <w:pPr>
              <w:pStyle w:val="NormalLeft"/>
            </w:pPr>
            <w:r w:rsidRPr="00DE12A3">
              <w:t>43</w:t>
            </w:r>
          </w:p>
        </w:tc>
      </w:tr>
      <w:tr w:rsidR="00DE12A3" w:rsidRPr="00DE12A3" w14:paraId="3880D249" w14:textId="77777777" w:rsidTr="009F4766">
        <w:tc>
          <w:tcPr>
            <w:tcW w:w="1182" w:type="dxa"/>
            <w:tcBorders>
              <w:top w:val="single" w:sz="2" w:space="0" w:color="auto"/>
              <w:left w:val="single" w:sz="2" w:space="0" w:color="auto"/>
              <w:bottom w:val="single" w:sz="2" w:space="0" w:color="auto"/>
              <w:right w:val="single" w:sz="2" w:space="0" w:color="auto"/>
            </w:tcBorders>
          </w:tcPr>
          <w:p w14:paraId="70EB96CE" w14:textId="77777777" w:rsidR="009F4766" w:rsidRPr="00DE12A3" w:rsidRDefault="009F4766" w:rsidP="00C917D6">
            <w:pPr>
              <w:pStyle w:val="NormalLeft"/>
            </w:pPr>
            <w:r w:rsidRPr="00DE12A3">
              <w:t>937</w:t>
            </w:r>
          </w:p>
        </w:tc>
        <w:tc>
          <w:tcPr>
            <w:tcW w:w="2489" w:type="dxa"/>
            <w:tcBorders>
              <w:top w:val="single" w:sz="2" w:space="0" w:color="auto"/>
              <w:left w:val="single" w:sz="2" w:space="0" w:color="auto"/>
              <w:bottom w:val="single" w:sz="2" w:space="0" w:color="auto"/>
              <w:right w:val="single" w:sz="2" w:space="0" w:color="auto"/>
            </w:tcBorders>
          </w:tcPr>
          <w:p w14:paraId="19055DF1" w14:textId="77777777" w:rsidR="009F4766" w:rsidRPr="00DE12A3" w:rsidRDefault="009F4766" w:rsidP="00C917D6">
            <w:pPr>
              <w:pStyle w:val="NormalLeft"/>
            </w:pPr>
            <w:r w:rsidRPr="00DE12A3">
              <w:t>76</w:t>
            </w:r>
          </w:p>
        </w:tc>
        <w:tc>
          <w:tcPr>
            <w:tcW w:w="2551" w:type="dxa"/>
            <w:tcBorders>
              <w:top w:val="single" w:sz="2" w:space="0" w:color="auto"/>
              <w:left w:val="single" w:sz="2" w:space="0" w:color="auto"/>
              <w:bottom w:val="single" w:sz="2" w:space="0" w:color="auto"/>
              <w:right w:val="single" w:sz="2" w:space="0" w:color="auto"/>
            </w:tcBorders>
          </w:tcPr>
          <w:p w14:paraId="7DF198D3" w14:textId="77777777" w:rsidR="009F4766" w:rsidRPr="00DE12A3" w:rsidRDefault="009F4766" w:rsidP="00C917D6">
            <w:pPr>
              <w:pStyle w:val="NormalLeft"/>
            </w:pPr>
            <w:r w:rsidRPr="00DE12A3">
              <w:t>62</w:t>
            </w:r>
          </w:p>
        </w:tc>
      </w:tr>
      <w:tr w:rsidR="00DE12A3" w:rsidRPr="00DE12A3" w14:paraId="5B1B2363" w14:textId="77777777" w:rsidTr="009F4766">
        <w:tc>
          <w:tcPr>
            <w:tcW w:w="1182" w:type="dxa"/>
            <w:tcBorders>
              <w:top w:val="single" w:sz="2" w:space="0" w:color="auto"/>
              <w:left w:val="single" w:sz="2" w:space="0" w:color="auto"/>
              <w:bottom w:val="single" w:sz="2" w:space="0" w:color="auto"/>
              <w:right w:val="single" w:sz="2" w:space="0" w:color="auto"/>
            </w:tcBorders>
          </w:tcPr>
          <w:p w14:paraId="41100945" w14:textId="77777777" w:rsidR="009F4766" w:rsidRPr="00DE12A3" w:rsidRDefault="009F4766" w:rsidP="00C917D6">
            <w:pPr>
              <w:pStyle w:val="NormalLeft"/>
            </w:pPr>
            <w:r w:rsidRPr="00DE12A3">
              <w:t>938</w:t>
            </w:r>
          </w:p>
        </w:tc>
        <w:tc>
          <w:tcPr>
            <w:tcW w:w="2489" w:type="dxa"/>
            <w:tcBorders>
              <w:top w:val="single" w:sz="2" w:space="0" w:color="auto"/>
              <w:left w:val="single" w:sz="2" w:space="0" w:color="auto"/>
              <w:bottom w:val="single" w:sz="2" w:space="0" w:color="auto"/>
              <w:right w:val="single" w:sz="2" w:space="0" w:color="auto"/>
            </w:tcBorders>
          </w:tcPr>
          <w:p w14:paraId="1F40723C" w14:textId="77777777" w:rsidR="009F4766" w:rsidRPr="00DE12A3" w:rsidRDefault="009F4766" w:rsidP="00C917D6">
            <w:pPr>
              <w:pStyle w:val="NormalLeft"/>
            </w:pPr>
            <w:r w:rsidRPr="00DE12A3">
              <w:t>93</w:t>
            </w:r>
          </w:p>
        </w:tc>
        <w:tc>
          <w:tcPr>
            <w:tcW w:w="2551" w:type="dxa"/>
            <w:tcBorders>
              <w:top w:val="single" w:sz="2" w:space="0" w:color="auto"/>
              <w:left w:val="single" w:sz="2" w:space="0" w:color="auto"/>
              <w:bottom w:val="single" w:sz="2" w:space="0" w:color="auto"/>
              <w:right w:val="single" w:sz="2" w:space="0" w:color="auto"/>
            </w:tcBorders>
          </w:tcPr>
          <w:p w14:paraId="066B3D4B" w14:textId="77777777" w:rsidR="009F4766" w:rsidRPr="00DE12A3" w:rsidRDefault="009F4766" w:rsidP="00C917D6">
            <w:pPr>
              <w:pStyle w:val="NormalLeft"/>
            </w:pPr>
            <w:r w:rsidRPr="00DE12A3">
              <w:t>47</w:t>
            </w:r>
          </w:p>
        </w:tc>
      </w:tr>
      <w:tr w:rsidR="00DE12A3" w:rsidRPr="00DE12A3" w14:paraId="2B7A4456" w14:textId="77777777" w:rsidTr="009F4766">
        <w:tc>
          <w:tcPr>
            <w:tcW w:w="1182" w:type="dxa"/>
            <w:tcBorders>
              <w:top w:val="single" w:sz="2" w:space="0" w:color="auto"/>
              <w:left w:val="single" w:sz="2" w:space="0" w:color="auto"/>
              <w:bottom w:val="single" w:sz="2" w:space="0" w:color="auto"/>
              <w:right w:val="single" w:sz="2" w:space="0" w:color="auto"/>
            </w:tcBorders>
          </w:tcPr>
          <w:p w14:paraId="3B296F32" w14:textId="77777777" w:rsidR="009F4766" w:rsidRPr="00DE12A3" w:rsidRDefault="009F4766" w:rsidP="00C917D6">
            <w:pPr>
              <w:pStyle w:val="NormalLeft"/>
            </w:pPr>
            <w:r w:rsidRPr="00DE12A3">
              <w:lastRenderedPageBreak/>
              <w:t>939</w:t>
            </w:r>
          </w:p>
        </w:tc>
        <w:tc>
          <w:tcPr>
            <w:tcW w:w="2489" w:type="dxa"/>
            <w:tcBorders>
              <w:top w:val="single" w:sz="2" w:space="0" w:color="auto"/>
              <w:left w:val="single" w:sz="2" w:space="0" w:color="auto"/>
              <w:bottom w:val="single" w:sz="2" w:space="0" w:color="auto"/>
              <w:right w:val="single" w:sz="2" w:space="0" w:color="auto"/>
            </w:tcBorders>
          </w:tcPr>
          <w:p w14:paraId="3F9BB006" w14:textId="77777777" w:rsidR="009F4766" w:rsidRPr="00DE12A3" w:rsidRDefault="009F4766" w:rsidP="00C917D6">
            <w:pPr>
              <w:pStyle w:val="NormalLeft"/>
            </w:pPr>
            <w:r w:rsidRPr="00DE12A3">
              <w:t>93</w:t>
            </w:r>
          </w:p>
        </w:tc>
        <w:tc>
          <w:tcPr>
            <w:tcW w:w="2551" w:type="dxa"/>
            <w:tcBorders>
              <w:top w:val="single" w:sz="2" w:space="0" w:color="auto"/>
              <w:left w:val="single" w:sz="2" w:space="0" w:color="auto"/>
              <w:bottom w:val="single" w:sz="2" w:space="0" w:color="auto"/>
              <w:right w:val="single" w:sz="2" w:space="0" w:color="auto"/>
            </w:tcBorders>
          </w:tcPr>
          <w:p w14:paraId="52BCAE5F" w14:textId="77777777" w:rsidR="009F4766" w:rsidRPr="00DE12A3" w:rsidRDefault="009F4766" w:rsidP="00C917D6">
            <w:pPr>
              <w:pStyle w:val="NormalLeft"/>
            </w:pPr>
            <w:r w:rsidRPr="00DE12A3">
              <w:t>39</w:t>
            </w:r>
          </w:p>
        </w:tc>
      </w:tr>
      <w:tr w:rsidR="00DE12A3" w:rsidRPr="00DE12A3" w14:paraId="36EAD5B1" w14:textId="77777777" w:rsidTr="009F4766">
        <w:tc>
          <w:tcPr>
            <w:tcW w:w="1182" w:type="dxa"/>
            <w:tcBorders>
              <w:top w:val="single" w:sz="2" w:space="0" w:color="auto"/>
              <w:left w:val="single" w:sz="2" w:space="0" w:color="auto"/>
              <w:bottom w:val="single" w:sz="2" w:space="0" w:color="auto"/>
              <w:right w:val="single" w:sz="2" w:space="0" w:color="auto"/>
            </w:tcBorders>
          </w:tcPr>
          <w:p w14:paraId="0C9C5835" w14:textId="77777777" w:rsidR="009F4766" w:rsidRPr="00DE12A3" w:rsidRDefault="009F4766" w:rsidP="00C917D6">
            <w:pPr>
              <w:pStyle w:val="NormalLeft"/>
            </w:pPr>
            <w:r w:rsidRPr="00DE12A3">
              <w:t>940</w:t>
            </w:r>
          </w:p>
        </w:tc>
        <w:tc>
          <w:tcPr>
            <w:tcW w:w="2489" w:type="dxa"/>
            <w:tcBorders>
              <w:top w:val="single" w:sz="2" w:space="0" w:color="auto"/>
              <w:left w:val="single" w:sz="2" w:space="0" w:color="auto"/>
              <w:bottom w:val="single" w:sz="2" w:space="0" w:color="auto"/>
              <w:right w:val="single" w:sz="2" w:space="0" w:color="auto"/>
            </w:tcBorders>
          </w:tcPr>
          <w:p w14:paraId="64F0AF3C" w14:textId="77777777" w:rsidR="009F4766" w:rsidRPr="00DE12A3" w:rsidRDefault="009F4766" w:rsidP="00C917D6">
            <w:pPr>
              <w:pStyle w:val="NormalLeft"/>
            </w:pPr>
            <w:r w:rsidRPr="00DE12A3">
              <w:t>93</w:t>
            </w:r>
          </w:p>
        </w:tc>
        <w:tc>
          <w:tcPr>
            <w:tcW w:w="2551" w:type="dxa"/>
            <w:tcBorders>
              <w:top w:val="single" w:sz="2" w:space="0" w:color="auto"/>
              <w:left w:val="single" w:sz="2" w:space="0" w:color="auto"/>
              <w:bottom w:val="single" w:sz="2" w:space="0" w:color="auto"/>
              <w:right w:val="single" w:sz="2" w:space="0" w:color="auto"/>
            </w:tcBorders>
          </w:tcPr>
          <w:p w14:paraId="007F83AB" w14:textId="77777777" w:rsidR="009F4766" w:rsidRPr="00DE12A3" w:rsidRDefault="009F4766" w:rsidP="00C917D6">
            <w:pPr>
              <w:pStyle w:val="NormalLeft"/>
            </w:pPr>
            <w:r w:rsidRPr="00DE12A3">
              <w:t>35</w:t>
            </w:r>
          </w:p>
        </w:tc>
      </w:tr>
      <w:tr w:rsidR="00DE12A3" w:rsidRPr="00DE12A3" w14:paraId="20EBF5EF" w14:textId="77777777" w:rsidTr="009F4766">
        <w:tc>
          <w:tcPr>
            <w:tcW w:w="1182" w:type="dxa"/>
            <w:tcBorders>
              <w:top w:val="single" w:sz="2" w:space="0" w:color="auto"/>
              <w:left w:val="single" w:sz="2" w:space="0" w:color="auto"/>
              <w:bottom w:val="single" w:sz="2" w:space="0" w:color="auto"/>
              <w:right w:val="single" w:sz="2" w:space="0" w:color="auto"/>
            </w:tcBorders>
          </w:tcPr>
          <w:p w14:paraId="6A14C556" w14:textId="77777777" w:rsidR="009F4766" w:rsidRPr="00DE12A3" w:rsidRDefault="009F4766" w:rsidP="00C917D6">
            <w:pPr>
              <w:pStyle w:val="NormalLeft"/>
            </w:pPr>
            <w:r w:rsidRPr="00DE12A3">
              <w:t>941</w:t>
            </w:r>
          </w:p>
        </w:tc>
        <w:tc>
          <w:tcPr>
            <w:tcW w:w="2489" w:type="dxa"/>
            <w:tcBorders>
              <w:top w:val="single" w:sz="2" w:space="0" w:color="auto"/>
              <w:left w:val="single" w:sz="2" w:space="0" w:color="auto"/>
              <w:bottom w:val="single" w:sz="2" w:space="0" w:color="auto"/>
              <w:right w:val="single" w:sz="2" w:space="0" w:color="auto"/>
            </w:tcBorders>
          </w:tcPr>
          <w:p w14:paraId="39E357F9" w14:textId="77777777" w:rsidR="009F4766" w:rsidRPr="00DE12A3" w:rsidRDefault="009F4766" w:rsidP="00C917D6">
            <w:pPr>
              <w:pStyle w:val="NormalLeft"/>
            </w:pPr>
            <w:r w:rsidRPr="00DE12A3">
              <w:t>93</w:t>
            </w:r>
          </w:p>
        </w:tc>
        <w:tc>
          <w:tcPr>
            <w:tcW w:w="2551" w:type="dxa"/>
            <w:tcBorders>
              <w:top w:val="single" w:sz="2" w:space="0" w:color="auto"/>
              <w:left w:val="single" w:sz="2" w:space="0" w:color="auto"/>
              <w:bottom w:val="single" w:sz="2" w:space="0" w:color="auto"/>
              <w:right w:val="single" w:sz="2" w:space="0" w:color="auto"/>
            </w:tcBorders>
          </w:tcPr>
          <w:p w14:paraId="61B2BC3A" w14:textId="77777777" w:rsidR="009F4766" w:rsidRPr="00DE12A3" w:rsidRDefault="009F4766" w:rsidP="00C917D6">
            <w:pPr>
              <w:pStyle w:val="NormalLeft"/>
            </w:pPr>
            <w:r w:rsidRPr="00DE12A3">
              <w:t>34</w:t>
            </w:r>
          </w:p>
        </w:tc>
      </w:tr>
      <w:tr w:rsidR="00DE12A3" w:rsidRPr="00DE12A3" w14:paraId="4612CCAF" w14:textId="77777777" w:rsidTr="009F4766">
        <w:tc>
          <w:tcPr>
            <w:tcW w:w="1182" w:type="dxa"/>
            <w:tcBorders>
              <w:top w:val="single" w:sz="2" w:space="0" w:color="auto"/>
              <w:left w:val="single" w:sz="2" w:space="0" w:color="auto"/>
              <w:bottom w:val="single" w:sz="2" w:space="0" w:color="auto"/>
              <w:right w:val="single" w:sz="2" w:space="0" w:color="auto"/>
            </w:tcBorders>
          </w:tcPr>
          <w:p w14:paraId="174684C7" w14:textId="77777777" w:rsidR="009F4766" w:rsidRPr="00DE12A3" w:rsidRDefault="009F4766" w:rsidP="00C917D6">
            <w:pPr>
              <w:pStyle w:val="NormalLeft"/>
            </w:pPr>
            <w:r w:rsidRPr="00DE12A3">
              <w:t>942</w:t>
            </w:r>
          </w:p>
        </w:tc>
        <w:tc>
          <w:tcPr>
            <w:tcW w:w="2489" w:type="dxa"/>
            <w:tcBorders>
              <w:top w:val="single" w:sz="2" w:space="0" w:color="auto"/>
              <w:left w:val="single" w:sz="2" w:space="0" w:color="auto"/>
              <w:bottom w:val="single" w:sz="2" w:space="0" w:color="auto"/>
              <w:right w:val="single" w:sz="2" w:space="0" w:color="auto"/>
            </w:tcBorders>
          </w:tcPr>
          <w:p w14:paraId="07608D8E" w14:textId="77777777" w:rsidR="009F4766" w:rsidRPr="00DE12A3" w:rsidRDefault="009F4766" w:rsidP="00C917D6">
            <w:pPr>
              <w:pStyle w:val="NormalLeft"/>
            </w:pPr>
            <w:r w:rsidRPr="00DE12A3">
              <w:t>93</w:t>
            </w:r>
          </w:p>
        </w:tc>
        <w:tc>
          <w:tcPr>
            <w:tcW w:w="2551" w:type="dxa"/>
            <w:tcBorders>
              <w:top w:val="single" w:sz="2" w:space="0" w:color="auto"/>
              <w:left w:val="single" w:sz="2" w:space="0" w:color="auto"/>
              <w:bottom w:val="single" w:sz="2" w:space="0" w:color="auto"/>
              <w:right w:val="single" w:sz="2" w:space="0" w:color="auto"/>
            </w:tcBorders>
          </w:tcPr>
          <w:p w14:paraId="1E232A19" w14:textId="77777777" w:rsidR="009F4766" w:rsidRPr="00DE12A3" w:rsidRDefault="009F4766" w:rsidP="00C917D6">
            <w:pPr>
              <w:pStyle w:val="NormalLeft"/>
            </w:pPr>
            <w:r w:rsidRPr="00DE12A3">
              <w:t>36</w:t>
            </w:r>
          </w:p>
        </w:tc>
      </w:tr>
      <w:tr w:rsidR="00DE12A3" w:rsidRPr="00DE12A3" w14:paraId="73EE2542" w14:textId="77777777" w:rsidTr="009F4766">
        <w:tc>
          <w:tcPr>
            <w:tcW w:w="1182" w:type="dxa"/>
            <w:tcBorders>
              <w:top w:val="single" w:sz="2" w:space="0" w:color="auto"/>
              <w:left w:val="single" w:sz="2" w:space="0" w:color="auto"/>
              <w:bottom w:val="single" w:sz="2" w:space="0" w:color="auto"/>
              <w:right w:val="single" w:sz="2" w:space="0" w:color="auto"/>
            </w:tcBorders>
          </w:tcPr>
          <w:p w14:paraId="5A4339FA" w14:textId="77777777" w:rsidR="009F4766" w:rsidRPr="00DE12A3" w:rsidRDefault="009F4766" w:rsidP="00C917D6">
            <w:pPr>
              <w:pStyle w:val="NormalLeft"/>
            </w:pPr>
            <w:r w:rsidRPr="00DE12A3">
              <w:t>943</w:t>
            </w:r>
          </w:p>
        </w:tc>
        <w:tc>
          <w:tcPr>
            <w:tcW w:w="2489" w:type="dxa"/>
            <w:tcBorders>
              <w:top w:val="single" w:sz="2" w:space="0" w:color="auto"/>
              <w:left w:val="single" w:sz="2" w:space="0" w:color="auto"/>
              <w:bottom w:val="single" w:sz="2" w:space="0" w:color="auto"/>
              <w:right w:val="single" w:sz="2" w:space="0" w:color="auto"/>
            </w:tcBorders>
          </w:tcPr>
          <w:p w14:paraId="601414F1" w14:textId="77777777" w:rsidR="009F4766" w:rsidRPr="00DE12A3" w:rsidRDefault="009F4766" w:rsidP="00C917D6">
            <w:pPr>
              <w:pStyle w:val="NormalLeft"/>
            </w:pPr>
            <w:r w:rsidRPr="00DE12A3">
              <w:t>93</w:t>
            </w:r>
          </w:p>
        </w:tc>
        <w:tc>
          <w:tcPr>
            <w:tcW w:w="2551" w:type="dxa"/>
            <w:tcBorders>
              <w:top w:val="single" w:sz="2" w:space="0" w:color="auto"/>
              <w:left w:val="single" w:sz="2" w:space="0" w:color="auto"/>
              <w:bottom w:val="single" w:sz="2" w:space="0" w:color="auto"/>
              <w:right w:val="single" w:sz="2" w:space="0" w:color="auto"/>
            </w:tcBorders>
          </w:tcPr>
          <w:p w14:paraId="7D745BAE" w14:textId="77777777" w:rsidR="009F4766" w:rsidRPr="00DE12A3" w:rsidRDefault="009F4766" w:rsidP="00C917D6">
            <w:pPr>
              <w:pStyle w:val="NormalLeft"/>
            </w:pPr>
            <w:r w:rsidRPr="00DE12A3">
              <w:t>39</w:t>
            </w:r>
          </w:p>
        </w:tc>
      </w:tr>
      <w:tr w:rsidR="00DE12A3" w:rsidRPr="00DE12A3" w14:paraId="7549BF59" w14:textId="77777777" w:rsidTr="009F4766">
        <w:tc>
          <w:tcPr>
            <w:tcW w:w="1182" w:type="dxa"/>
            <w:tcBorders>
              <w:top w:val="single" w:sz="2" w:space="0" w:color="auto"/>
              <w:left w:val="single" w:sz="2" w:space="0" w:color="auto"/>
              <w:bottom w:val="single" w:sz="2" w:space="0" w:color="auto"/>
              <w:right w:val="single" w:sz="2" w:space="0" w:color="auto"/>
            </w:tcBorders>
          </w:tcPr>
          <w:p w14:paraId="12184958" w14:textId="77777777" w:rsidR="009F4766" w:rsidRPr="00DE12A3" w:rsidRDefault="009F4766" w:rsidP="00C917D6">
            <w:pPr>
              <w:pStyle w:val="NormalLeft"/>
            </w:pPr>
            <w:r w:rsidRPr="00DE12A3">
              <w:t>944</w:t>
            </w:r>
          </w:p>
        </w:tc>
        <w:tc>
          <w:tcPr>
            <w:tcW w:w="2489" w:type="dxa"/>
            <w:tcBorders>
              <w:top w:val="single" w:sz="2" w:space="0" w:color="auto"/>
              <w:left w:val="single" w:sz="2" w:space="0" w:color="auto"/>
              <w:bottom w:val="single" w:sz="2" w:space="0" w:color="auto"/>
              <w:right w:val="single" w:sz="2" w:space="0" w:color="auto"/>
            </w:tcBorders>
          </w:tcPr>
          <w:p w14:paraId="48C26BE4" w14:textId="77777777" w:rsidR="009F4766" w:rsidRPr="00DE12A3" w:rsidRDefault="009F4766" w:rsidP="00C917D6">
            <w:pPr>
              <w:pStyle w:val="NormalLeft"/>
            </w:pPr>
            <w:r w:rsidRPr="00DE12A3">
              <w:t>93</w:t>
            </w:r>
          </w:p>
        </w:tc>
        <w:tc>
          <w:tcPr>
            <w:tcW w:w="2551" w:type="dxa"/>
            <w:tcBorders>
              <w:top w:val="single" w:sz="2" w:space="0" w:color="auto"/>
              <w:left w:val="single" w:sz="2" w:space="0" w:color="auto"/>
              <w:bottom w:val="single" w:sz="2" w:space="0" w:color="auto"/>
              <w:right w:val="single" w:sz="2" w:space="0" w:color="auto"/>
            </w:tcBorders>
          </w:tcPr>
          <w:p w14:paraId="65B1E923" w14:textId="77777777" w:rsidR="009F4766" w:rsidRPr="00DE12A3" w:rsidRDefault="009F4766" w:rsidP="00C917D6">
            <w:pPr>
              <w:pStyle w:val="NormalLeft"/>
            </w:pPr>
            <w:r w:rsidRPr="00DE12A3">
              <w:t>34</w:t>
            </w:r>
          </w:p>
        </w:tc>
      </w:tr>
      <w:tr w:rsidR="00DE12A3" w:rsidRPr="00DE12A3" w14:paraId="512D3644" w14:textId="77777777" w:rsidTr="009F4766">
        <w:tc>
          <w:tcPr>
            <w:tcW w:w="1182" w:type="dxa"/>
            <w:tcBorders>
              <w:top w:val="single" w:sz="2" w:space="0" w:color="auto"/>
              <w:left w:val="single" w:sz="2" w:space="0" w:color="auto"/>
              <w:bottom w:val="single" w:sz="2" w:space="0" w:color="auto"/>
              <w:right w:val="single" w:sz="2" w:space="0" w:color="auto"/>
            </w:tcBorders>
          </w:tcPr>
          <w:p w14:paraId="293EBF28" w14:textId="77777777" w:rsidR="009F4766" w:rsidRPr="00DE12A3" w:rsidRDefault="009F4766" w:rsidP="00C917D6">
            <w:pPr>
              <w:pStyle w:val="NormalLeft"/>
            </w:pPr>
            <w:r w:rsidRPr="00DE12A3">
              <w:t>945</w:t>
            </w:r>
          </w:p>
        </w:tc>
        <w:tc>
          <w:tcPr>
            <w:tcW w:w="2489" w:type="dxa"/>
            <w:tcBorders>
              <w:top w:val="single" w:sz="2" w:space="0" w:color="auto"/>
              <w:left w:val="single" w:sz="2" w:space="0" w:color="auto"/>
              <w:bottom w:val="single" w:sz="2" w:space="0" w:color="auto"/>
              <w:right w:val="single" w:sz="2" w:space="0" w:color="auto"/>
            </w:tcBorders>
          </w:tcPr>
          <w:p w14:paraId="673824E4" w14:textId="77777777" w:rsidR="009F4766" w:rsidRPr="00DE12A3" w:rsidRDefault="009F4766" w:rsidP="00C917D6">
            <w:pPr>
              <w:pStyle w:val="NormalLeft"/>
            </w:pPr>
            <w:r w:rsidRPr="00DE12A3">
              <w:t>93</w:t>
            </w:r>
          </w:p>
        </w:tc>
        <w:tc>
          <w:tcPr>
            <w:tcW w:w="2551" w:type="dxa"/>
            <w:tcBorders>
              <w:top w:val="single" w:sz="2" w:space="0" w:color="auto"/>
              <w:left w:val="single" w:sz="2" w:space="0" w:color="auto"/>
              <w:bottom w:val="single" w:sz="2" w:space="0" w:color="auto"/>
              <w:right w:val="single" w:sz="2" w:space="0" w:color="auto"/>
            </w:tcBorders>
          </w:tcPr>
          <w:p w14:paraId="6FEC23FB" w14:textId="77777777" w:rsidR="009F4766" w:rsidRPr="00DE12A3" w:rsidRDefault="009F4766" w:rsidP="00C917D6">
            <w:pPr>
              <w:pStyle w:val="NormalLeft"/>
            </w:pPr>
            <w:r w:rsidRPr="00DE12A3">
              <w:t>26</w:t>
            </w:r>
          </w:p>
        </w:tc>
      </w:tr>
      <w:tr w:rsidR="00DE12A3" w:rsidRPr="00DE12A3" w14:paraId="43E42663" w14:textId="77777777" w:rsidTr="009F4766">
        <w:tc>
          <w:tcPr>
            <w:tcW w:w="1182" w:type="dxa"/>
            <w:tcBorders>
              <w:top w:val="single" w:sz="2" w:space="0" w:color="auto"/>
              <w:left w:val="single" w:sz="2" w:space="0" w:color="auto"/>
              <w:bottom w:val="single" w:sz="2" w:space="0" w:color="auto"/>
              <w:right w:val="single" w:sz="2" w:space="0" w:color="auto"/>
            </w:tcBorders>
          </w:tcPr>
          <w:p w14:paraId="4E879FB3" w14:textId="77777777" w:rsidR="009F4766" w:rsidRPr="00DE12A3" w:rsidRDefault="009F4766" w:rsidP="00C917D6">
            <w:pPr>
              <w:pStyle w:val="NormalLeft"/>
            </w:pPr>
            <w:r w:rsidRPr="00DE12A3">
              <w:t>946</w:t>
            </w:r>
          </w:p>
        </w:tc>
        <w:tc>
          <w:tcPr>
            <w:tcW w:w="2489" w:type="dxa"/>
            <w:tcBorders>
              <w:top w:val="single" w:sz="2" w:space="0" w:color="auto"/>
              <w:left w:val="single" w:sz="2" w:space="0" w:color="auto"/>
              <w:bottom w:val="single" w:sz="2" w:space="0" w:color="auto"/>
              <w:right w:val="single" w:sz="2" w:space="0" w:color="auto"/>
            </w:tcBorders>
          </w:tcPr>
          <w:p w14:paraId="44067D6E" w14:textId="77777777" w:rsidR="009F4766" w:rsidRPr="00DE12A3" w:rsidRDefault="009F4766" w:rsidP="00C917D6">
            <w:pPr>
              <w:pStyle w:val="NormalLeft"/>
            </w:pPr>
            <w:r w:rsidRPr="00DE12A3">
              <w:t>93</w:t>
            </w:r>
          </w:p>
        </w:tc>
        <w:tc>
          <w:tcPr>
            <w:tcW w:w="2551" w:type="dxa"/>
            <w:tcBorders>
              <w:top w:val="single" w:sz="2" w:space="0" w:color="auto"/>
              <w:left w:val="single" w:sz="2" w:space="0" w:color="auto"/>
              <w:bottom w:val="single" w:sz="2" w:space="0" w:color="auto"/>
              <w:right w:val="single" w:sz="2" w:space="0" w:color="auto"/>
            </w:tcBorders>
          </w:tcPr>
          <w:p w14:paraId="4806B1EA" w14:textId="77777777" w:rsidR="009F4766" w:rsidRPr="00DE12A3" w:rsidRDefault="009F4766" w:rsidP="00C917D6">
            <w:pPr>
              <w:pStyle w:val="NormalLeft"/>
            </w:pPr>
            <w:r w:rsidRPr="00DE12A3">
              <w:t>23</w:t>
            </w:r>
          </w:p>
        </w:tc>
      </w:tr>
      <w:tr w:rsidR="00DE12A3" w:rsidRPr="00DE12A3" w14:paraId="175A30E3" w14:textId="77777777" w:rsidTr="009F4766">
        <w:tc>
          <w:tcPr>
            <w:tcW w:w="1182" w:type="dxa"/>
            <w:tcBorders>
              <w:top w:val="single" w:sz="2" w:space="0" w:color="auto"/>
              <w:left w:val="single" w:sz="2" w:space="0" w:color="auto"/>
              <w:bottom w:val="single" w:sz="2" w:space="0" w:color="auto"/>
              <w:right w:val="single" w:sz="2" w:space="0" w:color="auto"/>
            </w:tcBorders>
          </w:tcPr>
          <w:p w14:paraId="22A18FA4" w14:textId="77777777" w:rsidR="009F4766" w:rsidRPr="00DE12A3" w:rsidRDefault="009F4766" w:rsidP="00C917D6">
            <w:pPr>
              <w:pStyle w:val="NormalLeft"/>
            </w:pPr>
            <w:r w:rsidRPr="00DE12A3">
              <w:t>947</w:t>
            </w:r>
          </w:p>
        </w:tc>
        <w:tc>
          <w:tcPr>
            <w:tcW w:w="2489" w:type="dxa"/>
            <w:tcBorders>
              <w:top w:val="single" w:sz="2" w:space="0" w:color="auto"/>
              <w:left w:val="single" w:sz="2" w:space="0" w:color="auto"/>
              <w:bottom w:val="single" w:sz="2" w:space="0" w:color="auto"/>
              <w:right w:val="single" w:sz="2" w:space="0" w:color="auto"/>
            </w:tcBorders>
          </w:tcPr>
          <w:p w14:paraId="2B103ABB" w14:textId="77777777" w:rsidR="009F4766" w:rsidRPr="00DE12A3" w:rsidRDefault="009F4766" w:rsidP="00C917D6">
            <w:pPr>
              <w:pStyle w:val="NormalLeft"/>
            </w:pPr>
            <w:r w:rsidRPr="00DE12A3">
              <w:t>93</w:t>
            </w:r>
          </w:p>
        </w:tc>
        <w:tc>
          <w:tcPr>
            <w:tcW w:w="2551" w:type="dxa"/>
            <w:tcBorders>
              <w:top w:val="single" w:sz="2" w:space="0" w:color="auto"/>
              <w:left w:val="single" w:sz="2" w:space="0" w:color="auto"/>
              <w:bottom w:val="single" w:sz="2" w:space="0" w:color="auto"/>
              <w:right w:val="single" w:sz="2" w:space="0" w:color="auto"/>
            </w:tcBorders>
          </w:tcPr>
          <w:p w14:paraId="28A9DB98" w14:textId="77777777" w:rsidR="009F4766" w:rsidRPr="00DE12A3" w:rsidRDefault="009F4766" w:rsidP="00C917D6">
            <w:pPr>
              <w:pStyle w:val="NormalLeft"/>
            </w:pPr>
            <w:r w:rsidRPr="00DE12A3">
              <w:t>24</w:t>
            </w:r>
          </w:p>
        </w:tc>
      </w:tr>
      <w:tr w:rsidR="00DE12A3" w:rsidRPr="00DE12A3" w14:paraId="3494D501" w14:textId="77777777" w:rsidTr="009F4766">
        <w:tc>
          <w:tcPr>
            <w:tcW w:w="1182" w:type="dxa"/>
            <w:tcBorders>
              <w:top w:val="single" w:sz="2" w:space="0" w:color="auto"/>
              <w:left w:val="single" w:sz="2" w:space="0" w:color="auto"/>
              <w:bottom w:val="single" w:sz="2" w:space="0" w:color="auto"/>
              <w:right w:val="single" w:sz="2" w:space="0" w:color="auto"/>
            </w:tcBorders>
          </w:tcPr>
          <w:p w14:paraId="7A121FB2" w14:textId="77777777" w:rsidR="009F4766" w:rsidRPr="00DE12A3" w:rsidRDefault="009F4766" w:rsidP="00C917D6">
            <w:pPr>
              <w:pStyle w:val="NormalLeft"/>
            </w:pPr>
            <w:r w:rsidRPr="00DE12A3">
              <w:t>948</w:t>
            </w:r>
          </w:p>
        </w:tc>
        <w:tc>
          <w:tcPr>
            <w:tcW w:w="2489" w:type="dxa"/>
            <w:tcBorders>
              <w:top w:val="single" w:sz="2" w:space="0" w:color="auto"/>
              <w:left w:val="single" w:sz="2" w:space="0" w:color="auto"/>
              <w:bottom w:val="single" w:sz="2" w:space="0" w:color="auto"/>
              <w:right w:val="single" w:sz="2" w:space="0" w:color="auto"/>
            </w:tcBorders>
          </w:tcPr>
          <w:p w14:paraId="2456E873" w14:textId="77777777" w:rsidR="009F4766" w:rsidRPr="00DE12A3" w:rsidRDefault="009F4766" w:rsidP="00C917D6">
            <w:pPr>
              <w:pStyle w:val="NormalLeft"/>
            </w:pPr>
            <w:r w:rsidRPr="00DE12A3">
              <w:t>93</w:t>
            </w:r>
          </w:p>
        </w:tc>
        <w:tc>
          <w:tcPr>
            <w:tcW w:w="2551" w:type="dxa"/>
            <w:tcBorders>
              <w:top w:val="single" w:sz="2" w:space="0" w:color="auto"/>
              <w:left w:val="single" w:sz="2" w:space="0" w:color="auto"/>
              <w:bottom w:val="single" w:sz="2" w:space="0" w:color="auto"/>
              <w:right w:val="single" w:sz="2" w:space="0" w:color="auto"/>
            </w:tcBorders>
          </w:tcPr>
          <w:p w14:paraId="35205620" w14:textId="77777777" w:rsidR="009F4766" w:rsidRPr="00DE12A3" w:rsidRDefault="009F4766" w:rsidP="00C917D6">
            <w:pPr>
              <w:pStyle w:val="NormalLeft"/>
            </w:pPr>
            <w:r w:rsidRPr="00DE12A3">
              <w:t>24</w:t>
            </w:r>
          </w:p>
        </w:tc>
      </w:tr>
      <w:tr w:rsidR="00DE12A3" w:rsidRPr="00DE12A3" w14:paraId="488485B5" w14:textId="77777777" w:rsidTr="009F4766">
        <w:tc>
          <w:tcPr>
            <w:tcW w:w="1182" w:type="dxa"/>
            <w:tcBorders>
              <w:top w:val="single" w:sz="2" w:space="0" w:color="auto"/>
              <w:left w:val="single" w:sz="2" w:space="0" w:color="auto"/>
              <w:bottom w:val="single" w:sz="2" w:space="0" w:color="auto"/>
              <w:right w:val="single" w:sz="2" w:space="0" w:color="auto"/>
            </w:tcBorders>
          </w:tcPr>
          <w:p w14:paraId="4CBC56DD" w14:textId="77777777" w:rsidR="009F4766" w:rsidRPr="00DE12A3" w:rsidRDefault="009F4766" w:rsidP="00C917D6">
            <w:pPr>
              <w:pStyle w:val="NormalLeft"/>
            </w:pPr>
            <w:r w:rsidRPr="00DE12A3">
              <w:t>949</w:t>
            </w:r>
          </w:p>
        </w:tc>
        <w:tc>
          <w:tcPr>
            <w:tcW w:w="2489" w:type="dxa"/>
            <w:tcBorders>
              <w:top w:val="single" w:sz="2" w:space="0" w:color="auto"/>
              <w:left w:val="single" w:sz="2" w:space="0" w:color="auto"/>
              <w:bottom w:val="single" w:sz="2" w:space="0" w:color="auto"/>
              <w:right w:val="single" w:sz="2" w:space="0" w:color="auto"/>
            </w:tcBorders>
          </w:tcPr>
          <w:p w14:paraId="705D2B68" w14:textId="77777777" w:rsidR="009F4766" w:rsidRPr="00DE12A3" w:rsidRDefault="009F4766" w:rsidP="00C917D6">
            <w:pPr>
              <w:pStyle w:val="NormalLeft"/>
            </w:pPr>
            <w:r w:rsidRPr="00DE12A3">
              <w:t>93</w:t>
            </w:r>
          </w:p>
        </w:tc>
        <w:tc>
          <w:tcPr>
            <w:tcW w:w="2551" w:type="dxa"/>
            <w:tcBorders>
              <w:top w:val="single" w:sz="2" w:space="0" w:color="auto"/>
              <w:left w:val="single" w:sz="2" w:space="0" w:color="auto"/>
              <w:bottom w:val="single" w:sz="2" w:space="0" w:color="auto"/>
              <w:right w:val="single" w:sz="2" w:space="0" w:color="auto"/>
            </w:tcBorders>
          </w:tcPr>
          <w:p w14:paraId="41572DCA" w14:textId="77777777" w:rsidR="009F4766" w:rsidRPr="00DE12A3" w:rsidRDefault="009F4766" w:rsidP="00C917D6">
            <w:pPr>
              <w:pStyle w:val="NormalLeft"/>
            </w:pPr>
            <w:r w:rsidRPr="00DE12A3">
              <w:t>22</w:t>
            </w:r>
          </w:p>
        </w:tc>
      </w:tr>
      <w:tr w:rsidR="00DE12A3" w:rsidRPr="00DE12A3" w14:paraId="4590D2A7" w14:textId="77777777" w:rsidTr="009F4766">
        <w:tc>
          <w:tcPr>
            <w:tcW w:w="1182" w:type="dxa"/>
            <w:tcBorders>
              <w:top w:val="single" w:sz="2" w:space="0" w:color="auto"/>
              <w:left w:val="single" w:sz="2" w:space="0" w:color="auto"/>
              <w:bottom w:val="single" w:sz="2" w:space="0" w:color="auto"/>
              <w:right w:val="single" w:sz="2" w:space="0" w:color="auto"/>
            </w:tcBorders>
          </w:tcPr>
          <w:p w14:paraId="1F0A5D1A" w14:textId="77777777" w:rsidR="009F4766" w:rsidRPr="00DE12A3" w:rsidRDefault="009F4766" w:rsidP="00C917D6">
            <w:pPr>
              <w:pStyle w:val="NormalLeft"/>
            </w:pPr>
            <w:r w:rsidRPr="00DE12A3">
              <w:t>950</w:t>
            </w:r>
          </w:p>
        </w:tc>
        <w:tc>
          <w:tcPr>
            <w:tcW w:w="2489" w:type="dxa"/>
            <w:tcBorders>
              <w:top w:val="single" w:sz="2" w:space="0" w:color="auto"/>
              <w:left w:val="single" w:sz="2" w:space="0" w:color="auto"/>
              <w:bottom w:val="single" w:sz="2" w:space="0" w:color="auto"/>
              <w:right w:val="single" w:sz="2" w:space="0" w:color="auto"/>
            </w:tcBorders>
          </w:tcPr>
          <w:p w14:paraId="6BA27AF2" w14:textId="77777777" w:rsidR="009F4766" w:rsidRPr="00DE12A3" w:rsidRDefault="009F4766" w:rsidP="00C917D6">
            <w:pPr>
              <w:pStyle w:val="NormalLeft"/>
            </w:pPr>
            <w:r w:rsidRPr="00DE12A3">
              <w:t>93</w:t>
            </w:r>
          </w:p>
        </w:tc>
        <w:tc>
          <w:tcPr>
            <w:tcW w:w="2551" w:type="dxa"/>
            <w:tcBorders>
              <w:top w:val="single" w:sz="2" w:space="0" w:color="auto"/>
              <w:left w:val="single" w:sz="2" w:space="0" w:color="auto"/>
              <w:bottom w:val="single" w:sz="2" w:space="0" w:color="auto"/>
              <w:right w:val="single" w:sz="2" w:space="0" w:color="auto"/>
            </w:tcBorders>
          </w:tcPr>
          <w:p w14:paraId="53538136" w14:textId="77777777" w:rsidR="009F4766" w:rsidRPr="00DE12A3" w:rsidRDefault="009F4766" w:rsidP="00C917D6">
            <w:pPr>
              <w:pStyle w:val="NormalLeft"/>
            </w:pPr>
            <w:r w:rsidRPr="00DE12A3">
              <w:t>19</w:t>
            </w:r>
          </w:p>
        </w:tc>
      </w:tr>
      <w:tr w:rsidR="00DE12A3" w:rsidRPr="00DE12A3" w14:paraId="22ED0BE2" w14:textId="77777777" w:rsidTr="009F4766">
        <w:tc>
          <w:tcPr>
            <w:tcW w:w="1182" w:type="dxa"/>
            <w:tcBorders>
              <w:top w:val="single" w:sz="2" w:space="0" w:color="auto"/>
              <w:left w:val="single" w:sz="2" w:space="0" w:color="auto"/>
              <w:bottom w:val="single" w:sz="2" w:space="0" w:color="auto"/>
              <w:right w:val="single" w:sz="2" w:space="0" w:color="auto"/>
            </w:tcBorders>
          </w:tcPr>
          <w:p w14:paraId="5FEE28EF" w14:textId="77777777" w:rsidR="009F4766" w:rsidRPr="00DE12A3" w:rsidRDefault="009F4766" w:rsidP="00C917D6">
            <w:pPr>
              <w:pStyle w:val="NormalLeft"/>
            </w:pPr>
            <w:r w:rsidRPr="00DE12A3">
              <w:t>951</w:t>
            </w:r>
          </w:p>
        </w:tc>
        <w:tc>
          <w:tcPr>
            <w:tcW w:w="2489" w:type="dxa"/>
            <w:tcBorders>
              <w:top w:val="single" w:sz="2" w:space="0" w:color="auto"/>
              <w:left w:val="single" w:sz="2" w:space="0" w:color="auto"/>
              <w:bottom w:val="single" w:sz="2" w:space="0" w:color="auto"/>
              <w:right w:val="single" w:sz="2" w:space="0" w:color="auto"/>
            </w:tcBorders>
          </w:tcPr>
          <w:p w14:paraId="4EA5319D" w14:textId="77777777" w:rsidR="009F4766" w:rsidRPr="00DE12A3" w:rsidRDefault="009F4766" w:rsidP="00C917D6">
            <w:pPr>
              <w:pStyle w:val="NormalLeft"/>
            </w:pPr>
            <w:r w:rsidRPr="00DE12A3">
              <w:t>93</w:t>
            </w:r>
          </w:p>
        </w:tc>
        <w:tc>
          <w:tcPr>
            <w:tcW w:w="2551" w:type="dxa"/>
            <w:tcBorders>
              <w:top w:val="single" w:sz="2" w:space="0" w:color="auto"/>
              <w:left w:val="single" w:sz="2" w:space="0" w:color="auto"/>
              <w:bottom w:val="single" w:sz="2" w:space="0" w:color="auto"/>
              <w:right w:val="single" w:sz="2" w:space="0" w:color="auto"/>
            </w:tcBorders>
          </w:tcPr>
          <w:p w14:paraId="326D373E" w14:textId="77777777" w:rsidR="009F4766" w:rsidRPr="00DE12A3" w:rsidRDefault="009F4766" w:rsidP="00C917D6">
            <w:pPr>
              <w:pStyle w:val="NormalLeft"/>
            </w:pPr>
            <w:r w:rsidRPr="00DE12A3">
              <w:t>17</w:t>
            </w:r>
          </w:p>
        </w:tc>
      </w:tr>
      <w:tr w:rsidR="00DE12A3" w:rsidRPr="00DE12A3" w14:paraId="2251788F" w14:textId="77777777" w:rsidTr="009F4766">
        <w:tc>
          <w:tcPr>
            <w:tcW w:w="1182" w:type="dxa"/>
            <w:tcBorders>
              <w:top w:val="single" w:sz="2" w:space="0" w:color="auto"/>
              <w:left w:val="single" w:sz="2" w:space="0" w:color="auto"/>
              <w:bottom w:val="single" w:sz="2" w:space="0" w:color="auto"/>
              <w:right w:val="single" w:sz="2" w:space="0" w:color="auto"/>
            </w:tcBorders>
          </w:tcPr>
          <w:p w14:paraId="7AEDA614" w14:textId="77777777" w:rsidR="009F4766" w:rsidRPr="00DE12A3" w:rsidRDefault="009F4766" w:rsidP="00C917D6">
            <w:pPr>
              <w:pStyle w:val="NormalLeft"/>
            </w:pPr>
            <w:r w:rsidRPr="00DE12A3">
              <w:t>952</w:t>
            </w:r>
          </w:p>
        </w:tc>
        <w:tc>
          <w:tcPr>
            <w:tcW w:w="2489" w:type="dxa"/>
            <w:tcBorders>
              <w:top w:val="single" w:sz="2" w:space="0" w:color="auto"/>
              <w:left w:val="single" w:sz="2" w:space="0" w:color="auto"/>
              <w:bottom w:val="single" w:sz="2" w:space="0" w:color="auto"/>
              <w:right w:val="single" w:sz="2" w:space="0" w:color="auto"/>
            </w:tcBorders>
          </w:tcPr>
          <w:p w14:paraId="0A094A53" w14:textId="77777777" w:rsidR="009F4766" w:rsidRPr="00DE12A3" w:rsidRDefault="009F4766" w:rsidP="00C917D6">
            <w:pPr>
              <w:pStyle w:val="NormalLeft"/>
            </w:pPr>
            <w:r w:rsidRPr="00DE12A3">
              <w:t>93</w:t>
            </w:r>
          </w:p>
        </w:tc>
        <w:tc>
          <w:tcPr>
            <w:tcW w:w="2551" w:type="dxa"/>
            <w:tcBorders>
              <w:top w:val="single" w:sz="2" w:space="0" w:color="auto"/>
              <w:left w:val="single" w:sz="2" w:space="0" w:color="auto"/>
              <w:bottom w:val="single" w:sz="2" w:space="0" w:color="auto"/>
              <w:right w:val="single" w:sz="2" w:space="0" w:color="auto"/>
            </w:tcBorders>
          </w:tcPr>
          <w:p w14:paraId="21750BC6" w14:textId="77777777" w:rsidR="009F4766" w:rsidRPr="00DE12A3" w:rsidRDefault="009F4766" w:rsidP="00C917D6">
            <w:pPr>
              <w:pStyle w:val="NormalLeft"/>
            </w:pPr>
            <w:r w:rsidRPr="00DE12A3">
              <w:t>19</w:t>
            </w:r>
          </w:p>
        </w:tc>
      </w:tr>
      <w:tr w:rsidR="00DE12A3" w:rsidRPr="00DE12A3" w14:paraId="2C03D563" w14:textId="77777777" w:rsidTr="009F4766">
        <w:tc>
          <w:tcPr>
            <w:tcW w:w="1182" w:type="dxa"/>
            <w:tcBorders>
              <w:top w:val="single" w:sz="2" w:space="0" w:color="auto"/>
              <w:left w:val="single" w:sz="2" w:space="0" w:color="auto"/>
              <w:bottom w:val="single" w:sz="2" w:space="0" w:color="auto"/>
              <w:right w:val="single" w:sz="2" w:space="0" w:color="auto"/>
            </w:tcBorders>
          </w:tcPr>
          <w:p w14:paraId="2A8AC052" w14:textId="77777777" w:rsidR="009F4766" w:rsidRPr="00DE12A3" w:rsidRDefault="009F4766" w:rsidP="00C917D6">
            <w:pPr>
              <w:pStyle w:val="NormalLeft"/>
            </w:pPr>
            <w:r w:rsidRPr="00DE12A3">
              <w:t>953</w:t>
            </w:r>
          </w:p>
        </w:tc>
        <w:tc>
          <w:tcPr>
            <w:tcW w:w="2489" w:type="dxa"/>
            <w:tcBorders>
              <w:top w:val="single" w:sz="2" w:space="0" w:color="auto"/>
              <w:left w:val="single" w:sz="2" w:space="0" w:color="auto"/>
              <w:bottom w:val="single" w:sz="2" w:space="0" w:color="auto"/>
              <w:right w:val="single" w:sz="2" w:space="0" w:color="auto"/>
            </w:tcBorders>
          </w:tcPr>
          <w:p w14:paraId="2800D060" w14:textId="77777777" w:rsidR="009F4766" w:rsidRPr="00DE12A3" w:rsidRDefault="009F4766" w:rsidP="00C917D6">
            <w:pPr>
              <w:pStyle w:val="NormalLeft"/>
            </w:pPr>
            <w:r w:rsidRPr="00DE12A3">
              <w:t>93</w:t>
            </w:r>
          </w:p>
        </w:tc>
        <w:tc>
          <w:tcPr>
            <w:tcW w:w="2551" w:type="dxa"/>
            <w:tcBorders>
              <w:top w:val="single" w:sz="2" w:space="0" w:color="auto"/>
              <w:left w:val="single" w:sz="2" w:space="0" w:color="auto"/>
              <w:bottom w:val="single" w:sz="2" w:space="0" w:color="auto"/>
              <w:right w:val="single" w:sz="2" w:space="0" w:color="auto"/>
            </w:tcBorders>
          </w:tcPr>
          <w:p w14:paraId="4246AA66" w14:textId="77777777" w:rsidR="009F4766" w:rsidRPr="00DE12A3" w:rsidRDefault="009F4766" w:rsidP="00C917D6">
            <w:pPr>
              <w:pStyle w:val="NormalLeft"/>
            </w:pPr>
            <w:r w:rsidRPr="00DE12A3">
              <w:t>22</w:t>
            </w:r>
          </w:p>
        </w:tc>
      </w:tr>
      <w:tr w:rsidR="00DE12A3" w:rsidRPr="00DE12A3" w14:paraId="4BAC2B46" w14:textId="77777777" w:rsidTr="009F4766">
        <w:tc>
          <w:tcPr>
            <w:tcW w:w="1182" w:type="dxa"/>
            <w:tcBorders>
              <w:top w:val="single" w:sz="2" w:space="0" w:color="auto"/>
              <w:left w:val="single" w:sz="2" w:space="0" w:color="auto"/>
              <w:bottom w:val="single" w:sz="2" w:space="0" w:color="auto"/>
              <w:right w:val="single" w:sz="2" w:space="0" w:color="auto"/>
            </w:tcBorders>
          </w:tcPr>
          <w:p w14:paraId="2A1DF1A3" w14:textId="77777777" w:rsidR="009F4766" w:rsidRPr="00DE12A3" w:rsidRDefault="009F4766" w:rsidP="00C917D6">
            <w:pPr>
              <w:pStyle w:val="NormalLeft"/>
            </w:pPr>
            <w:r w:rsidRPr="00DE12A3">
              <w:t>954</w:t>
            </w:r>
          </w:p>
        </w:tc>
        <w:tc>
          <w:tcPr>
            <w:tcW w:w="2489" w:type="dxa"/>
            <w:tcBorders>
              <w:top w:val="single" w:sz="2" w:space="0" w:color="auto"/>
              <w:left w:val="single" w:sz="2" w:space="0" w:color="auto"/>
              <w:bottom w:val="single" w:sz="2" w:space="0" w:color="auto"/>
              <w:right w:val="single" w:sz="2" w:space="0" w:color="auto"/>
            </w:tcBorders>
          </w:tcPr>
          <w:p w14:paraId="59CBB64E" w14:textId="77777777" w:rsidR="009F4766" w:rsidRPr="00DE12A3" w:rsidRDefault="009F4766" w:rsidP="00C917D6">
            <w:pPr>
              <w:pStyle w:val="NormalLeft"/>
            </w:pPr>
            <w:r w:rsidRPr="00DE12A3">
              <w:t>93</w:t>
            </w:r>
          </w:p>
        </w:tc>
        <w:tc>
          <w:tcPr>
            <w:tcW w:w="2551" w:type="dxa"/>
            <w:tcBorders>
              <w:top w:val="single" w:sz="2" w:space="0" w:color="auto"/>
              <w:left w:val="single" w:sz="2" w:space="0" w:color="auto"/>
              <w:bottom w:val="single" w:sz="2" w:space="0" w:color="auto"/>
              <w:right w:val="single" w:sz="2" w:space="0" w:color="auto"/>
            </w:tcBorders>
          </w:tcPr>
          <w:p w14:paraId="771DC219" w14:textId="77777777" w:rsidR="009F4766" w:rsidRPr="00DE12A3" w:rsidRDefault="009F4766" w:rsidP="00C917D6">
            <w:pPr>
              <w:pStyle w:val="NormalLeft"/>
            </w:pPr>
            <w:r w:rsidRPr="00DE12A3">
              <w:t>24</w:t>
            </w:r>
          </w:p>
        </w:tc>
      </w:tr>
      <w:tr w:rsidR="00DE12A3" w:rsidRPr="00DE12A3" w14:paraId="011E204C" w14:textId="77777777" w:rsidTr="009F4766">
        <w:tc>
          <w:tcPr>
            <w:tcW w:w="1182" w:type="dxa"/>
            <w:tcBorders>
              <w:top w:val="single" w:sz="2" w:space="0" w:color="auto"/>
              <w:left w:val="single" w:sz="2" w:space="0" w:color="auto"/>
              <w:bottom w:val="single" w:sz="2" w:space="0" w:color="auto"/>
              <w:right w:val="single" w:sz="2" w:space="0" w:color="auto"/>
            </w:tcBorders>
          </w:tcPr>
          <w:p w14:paraId="2704EF61" w14:textId="77777777" w:rsidR="009F4766" w:rsidRPr="00DE12A3" w:rsidRDefault="009F4766" w:rsidP="00C917D6">
            <w:pPr>
              <w:pStyle w:val="NormalLeft"/>
            </w:pPr>
            <w:r w:rsidRPr="00DE12A3">
              <w:t>955</w:t>
            </w:r>
          </w:p>
        </w:tc>
        <w:tc>
          <w:tcPr>
            <w:tcW w:w="2489" w:type="dxa"/>
            <w:tcBorders>
              <w:top w:val="single" w:sz="2" w:space="0" w:color="auto"/>
              <w:left w:val="single" w:sz="2" w:space="0" w:color="auto"/>
              <w:bottom w:val="single" w:sz="2" w:space="0" w:color="auto"/>
              <w:right w:val="single" w:sz="2" w:space="0" w:color="auto"/>
            </w:tcBorders>
          </w:tcPr>
          <w:p w14:paraId="036012A4" w14:textId="77777777" w:rsidR="009F4766" w:rsidRPr="00DE12A3" w:rsidRDefault="009F4766" w:rsidP="00C917D6">
            <w:pPr>
              <w:pStyle w:val="NormalLeft"/>
            </w:pPr>
            <w:r w:rsidRPr="00DE12A3">
              <w:t>93</w:t>
            </w:r>
          </w:p>
        </w:tc>
        <w:tc>
          <w:tcPr>
            <w:tcW w:w="2551" w:type="dxa"/>
            <w:tcBorders>
              <w:top w:val="single" w:sz="2" w:space="0" w:color="auto"/>
              <w:left w:val="single" w:sz="2" w:space="0" w:color="auto"/>
              <w:bottom w:val="single" w:sz="2" w:space="0" w:color="auto"/>
              <w:right w:val="single" w:sz="2" w:space="0" w:color="auto"/>
            </w:tcBorders>
          </w:tcPr>
          <w:p w14:paraId="17B7CC1D" w14:textId="77777777" w:rsidR="009F4766" w:rsidRPr="00DE12A3" w:rsidRDefault="009F4766" w:rsidP="00C917D6">
            <w:pPr>
              <w:pStyle w:val="NormalLeft"/>
            </w:pPr>
            <w:r w:rsidRPr="00DE12A3">
              <w:t>23</w:t>
            </w:r>
          </w:p>
        </w:tc>
      </w:tr>
      <w:tr w:rsidR="00DE12A3" w:rsidRPr="00DE12A3" w14:paraId="4CF03339" w14:textId="77777777" w:rsidTr="009F4766">
        <w:tc>
          <w:tcPr>
            <w:tcW w:w="1182" w:type="dxa"/>
            <w:tcBorders>
              <w:top w:val="single" w:sz="2" w:space="0" w:color="auto"/>
              <w:left w:val="single" w:sz="2" w:space="0" w:color="auto"/>
              <w:bottom w:val="single" w:sz="2" w:space="0" w:color="auto"/>
              <w:right w:val="single" w:sz="2" w:space="0" w:color="auto"/>
            </w:tcBorders>
          </w:tcPr>
          <w:p w14:paraId="7BC9BA14" w14:textId="77777777" w:rsidR="009F4766" w:rsidRPr="00DE12A3" w:rsidRDefault="009F4766" w:rsidP="00C917D6">
            <w:pPr>
              <w:pStyle w:val="NormalLeft"/>
            </w:pPr>
            <w:r w:rsidRPr="00DE12A3">
              <w:t>956</w:t>
            </w:r>
          </w:p>
        </w:tc>
        <w:tc>
          <w:tcPr>
            <w:tcW w:w="2489" w:type="dxa"/>
            <w:tcBorders>
              <w:top w:val="single" w:sz="2" w:space="0" w:color="auto"/>
              <w:left w:val="single" w:sz="2" w:space="0" w:color="auto"/>
              <w:bottom w:val="single" w:sz="2" w:space="0" w:color="auto"/>
              <w:right w:val="single" w:sz="2" w:space="0" w:color="auto"/>
            </w:tcBorders>
          </w:tcPr>
          <w:p w14:paraId="04F4937F" w14:textId="77777777" w:rsidR="009F4766" w:rsidRPr="00DE12A3" w:rsidRDefault="009F4766" w:rsidP="00C917D6">
            <w:pPr>
              <w:pStyle w:val="NormalLeft"/>
            </w:pPr>
            <w:r w:rsidRPr="00DE12A3">
              <w:t>93</w:t>
            </w:r>
          </w:p>
        </w:tc>
        <w:tc>
          <w:tcPr>
            <w:tcW w:w="2551" w:type="dxa"/>
            <w:tcBorders>
              <w:top w:val="single" w:sz="2" w:space="0" w:color="auto"/>
              <w:left w:val="single" w:sz="2" w:space="0" w:color="auto"/>
              <w:bottom w:val="single" w:sz="2" w:space="0" w:color="auto"/>
              <w:right w:val="single" w:sz="2" w:space="0" w:color="auto"/>
            </w:tcBorders>
          </w:tcPr>
          <w:p w14:paraId="35CB2250" w14:textId="77777777" w:rsidR="009F4766" w:rsidRPr="00DE12A3" w:rsidRDefault="009F4766" w:rsidP="00C917D6">
            <w:pPr>
              <w:pStyle w:val="NormalLeft"/>
            </w:pPr>
            <w:r w:rsidRPr="00DE12A3">
              <w:t>20</w:t>
            </w:r>
          </w:p>
        </w:tc>
      </w:tr>
      <w:tr w:rsidR="00DE12A3" w:rsidRPr="00DE12A3" w14:paraId="19F340CE" w14:textId="77777777" w:rsidTr="009F4766">
        <w:tc>
          <w:tcPr>
            <w:tcW w:w="1182" w:type="dxa"/>
            <w:tcBorders>
              <w:top w:val="single" w:sz="2" w:space="0" w:color="auto"/>
              <w:left w:val="single" w:sz="2" w:space="0" w:color="auto"/>
              <w:bottom w:val="single" w:sz="2" w:space="0" w:color="auto"/>
              <w:right w:val="single" w:sz="2" w:space="0" w:color="auto"/>
            </w:tcBorders>
          </w:tcPr>
          <w:p w14:paraId="35E9FB95" w14:textId="77777777" w:rsidR="009F4766" w:rsidRPr="00DE12A3" w:rsidRDefault="009F4766" w:rsidP="00C917D6">
            <w:pPr>
              <w:pStyle w:val="NormalLeft"/>
            </w:pPr>
            <w:r w:rsidRPr="00DE12A3">
              <w:t>957</w:t>
            </w:r>
          </w:p>
        </w:tc>
        <w:tc>
          <w:tcPr>
            <w:tcW w:w="2489" w:type="dxa"/>
            <w:tcBorders>
              <w:top w:val="single" w:sz="2" w:space="0" w:color="auto"/>
              <w:left w:val="single" w:sz="2" w:space="0" w:color="auto"/>
              <w:bottom w:val="single" w:sz="2" w:space="0" w:color="auto"/>
              <w:right w:val="single" w:sz="2" w:space="0" w:color="auto"/>
            </w:tcBorders>
          </w:tcPr>
          <w:p w14:paraId="6C654FDA" w14:textId="77777777" w:rsidR="009F4766" w:rsidRPr="00DE12A3" w:rsidRDefault="009F4766" w:rsidP="00C917D6">
            <w:pPr>
              <w:pStyle w:val="NormalLeft"/>
            </w:pPr>
            <w:r w:rsidRPr="00DE12A3">
              <w:t>93</w:t>
            </w:r>
          </w:p>
        </w:tc>
        <w:tc>
          <w:tcPr>
            <w:tcW w:w="2551" w:type="dxa"/>
            <w:tcBorders>
              <w:top w:val="single" w:sz="2" w:space="0" w:color="auto"/>
              <w:left w:val="single" w:sz="2" w:space="0" w:color="auto"/>
              <w:bottom w:val="single" w:sz="2" w:space="0" w:color="auto"/>
              <w:right w:val="single" w:sz="2" w:space="0" w:color="auto"/>
            </w:tcBorders>
          </w:tcPr>
          <w:p w14:paraId="05B55E67" w14:textId="77777777" w:rsidR="009F4766" w:rsidRPr="00DE12A3" w:rsidRDefault="009F4766" w:rsidP="00C917D6">
            <w:pPr>
              <w:pStyle w:val="NormalLeft"/>
            </w:pPr>
            <w:r w:rsidRPr="00DE12A3">
              <w:t>20</w:t>
            </w:r>
          </w:p>
        </w:tc>
      </w:tr>
      <w:tr w:rsidR="00DE12A3" w:rsidRPr="00DE12A3" w14:paraId="6D8C18CD" w14:textId="77777777" w:rsidTr="009F4766">
        <w:tc>
          <w:tcPr>
            <w:tcW w:w="1182" w:type="dxa"/>
            <w:tcBorders>
              <w:top w:val="single" w:sz="2" w:space="0" w:color="auto"/>
              <w:left w:val="single" w:sz="2" w:space="0" w:color="auto"/>
              <w:bottom w:val="single" w:sz="2" w:space="0" w:color="auto"/>
              <w:right w:val="single" w:sz="2" w:space="0" w:color="auto"/>
            </w:tcBorders>
          </w:tcPr>
          <w:p w14:paraId="2409D8D5" w14:textId="77777777" w:rsidR="009F4766" w:rsidRPr="00DE12A3" w:rsidRDefault="009F4766" w:rsidP="00C917D6">
            <w:pPr>
              <w:pStyle w:val="NormalLeft"/>
            </w:pPr>
            <w:r w:rsidRPr="00DE12A3">
              <w:t>958</w:t>
            </w:r>
          </w:p>
        </w:tc>
        <w:tc>
          <w:tcPr>
            <w:tcW w:w="2489" w:type="dxa"/>
            <w:tcBorders>
              <w:top w:val="single" w:sz="2" w:space="0" w:color="auto"/>
              <w:left w:val="single" w:sz="2" w:space="0" w:color="auto"/>
              <w:bottom w:val="single" w:sz="2" w:space="0" w:color="auto"/>
              <w:right w:val="single" w:sz="2" w:space="0" w:color="auto"/>
            </w:tcBorders>
          </w:tcPr>
          <w:p w14:paraId="28D02D7C" w14:textId="77777777" w:rsidR="009F4766" w:rsidRPr="00DE12A3" w:rsidRDefault="009F4766" w:rsidP="00C917D6">
            <w:pPr>
              <w:pStyle w:val="NormalLeft"/>
            </w:pPr>
            <w:r w:rsidRPr="00DE12A3">
              <w:t>94</w:t>
            </w:r>
          </w:p>
        </w:tc>
        <w:tc>
          <w:tcPr>
            <w:tcW w:w="2551" w:type="dxa"/>
            <w:tcBorders>
              <w:top w:val="single" w:sz="2" w:space="0" w:color="auto"/>
              <w:left w:val="single" w:sz="2" w:space="0" w:color="auto"/>
              <w:bottom w:val="single" w:sz="2" w:space="0" w:color="auto"/>
              <w:right w:val="single" w:sz="2" w:space="0" w:color="auto"/>
            </w:tcBorders>
          </w:tcPr>
          <w:p w14:paraId="556DBA2C" w14:textId="77777777" w:rsidR="009F4766" w:rsidRPr="00DE12A3" w:rsidRDefault="009F4766" w:rsidP="00C917D6">
            <w:pPr>
              <w:pStyle w:val="NormalLeft"/>
            </w:pPr>
            <w:r w:rsidRPr="00DE12A3">
              <w:t>19</w:t>
            </w:r>
          </w:p>
        </w:tc>
      </w:tr>
      <w:tr w:rsidR="00DE12A3" w:rsidRPr="00DE12A3" w14:paraId="2D85B610" w14:textId="77777777" w:rsidTr="009F4766">
        <w:tc>
          <w:tcPr>
            <w:tcW w:w="1182" w:type="dxa"/>
            <w:tcBorders>
              <w:top w:val="single" w:sz="2" w:space="0" w:color="auto"/>
              <w:left w:val="single" w:sz="2" w:space="0" w:color="auto"/>
              <w:bottom w:val="single" w:sz="2" w:space="0" w:color="auto"/>
              <w:right w:val="single" w:sz="2" w:space="0" w:color="auto"/>
            </w:tcBorders>
          </w:tcPr>
          <w:p w14:paraId="32A0631D" w14:textId="77777777" w:rsidR="009F4766" w:rsidRPr="00DE12A3" w:rsidRDefault="009F4766" w:rsidP="00C917D6">
            <w:pPr>
              <w:pStyle w:val="NormalLeft"/>
            </w:pPr>
            <w:r w:rsidRPr="00DE12A3">
              <w:t>959</w:t>
            </w:r>
          </w:p>
        </w:tc>
        <w:tc>
          <w:tcPr>
            <w:tcW w:w="2489" w:type="dxa"/>
            <w:tcBorders>
              <w:top w:val="single" w:sz="2" w:space="0" w:color="auto"/>
              <w:left w:val="single" w:sz="2" w:space="0" w:color="auto"/>
              <w:bottom w:val="single" w:sz="2" w:space="0" w:color="auto"/>
              <w:right w:val="single" w:sz="2" w:space="0" w:color="auto"/>
            </w:tcBorders>
          </w:tcPr>
          <w:p w14:paraId="4E072614" w14:textId="77777777" w:rsidR="009F4766" w:rsidRPr="00DE12A3" w:rsidRDefault="009F4766" w:rsidP="00C917D6">
            <w:pPr>
              <w:pStyle w:val="NormalLeft"/>
            </w:pPr>
            <w:r w:rsidRPr="00DE12A3">
              <w:t>95</w:t>
            </w:r>
          </w:p>
        </w:tc>
        <w:tc>
          <w:tcPr>
            <w:tcW w:w="2551" w:type="dxa"/>
            <w:tcBorders>
              <w:top w:val="single" w:sz="2" w:space="0" w:color="auto"/>
              <w:left w:val="single" w:sz="2" w:space="0" w:color="auto"/>
              <w:bottom w:val="single" w:sz="2" w:space="0" w:color="auto"/>
              <w:right w:val="single" w:sz="2" w:space="0" w:color="auto"/>
            </w:tcBorders>
          </w:tcPr>
          <w:p w14:paraId="034C9F3E" w14:textId="77777777" w:rsidR="009F4766" w:rsidRPr="00DE12A3" w:rsidRDefault="009F4766" w:rsidP="00C917D6">
            <w:pPr>
              <w:pStyle w:val="NormalLeft"/>
            </w:pPr>
            <w:r w:rsidRPr="00DE12A3">
              <w:t>19</w:t>
            </w:r>
          </w:p>
        </w:tc>
      </w:tr>
      <w:tr w:rsidR="00DE12A3" w:rsidRPr="00DE12A3" w14:paraId="31E9C813" w14:textId="77777777" w:rsidTr="009F4766">
        <w:tc>
          <w:tcPr>
            <w:tcW w:w="1182" w:type="dxa"/>
            <w:tcBorders>
              <w:top w:val="single" w:sz="2" w:space="0" w:color="auto"/>
              <w:left w:val="single" w:sz="2" w:space="0" w:color="auto"/>
              <w:bottom w:val="single" w:sz="2" w:space="0" w:color="auto"/>
              <w:right w:val="single" w:sz="2" w:space="0" w:color="auto"/>
            </w:tcBorders>
          </w:tcPr>
          <w:p w14:paraId="7DA6418D" w14:textId="77777777" w:rsidR="009F4766" w:rsidRPr="00DE12A3" w:rsidRDefault="009F4766" w:rsidP="00C917D6">
            <w:pPr>
              <w:pStyle w:val="NormalLeft"/>
            </w:pPr>
            <w:r w:rsidRPr="00DE12A3">
              <w:t>960</w:t>
            </w:r>
          </w:p>
        </w:tc>
        <w:tc>
          <w:tcPr>
            <w:tcW w:w="2489" w:type="dxa"/>
            <w:tcBorders>
              <w:top w:val="single" w:sz="2" w:space="0" w:color="auto"/>
              <w:left w:val="single" w:sz="2" w:space="0" w:color="auto"/>
              <w:bottom w:val="single" w:sz="2" w:space="0" w:color="auto"/>
              <w:right w:val="single" w:sz="2" w:space="0" w:color="auto"/>
            </w:tcBorders>
          </w:tcPr>
          <w:p w14:paraId="6E2DC8D6" w14:textId="77777777" w:rsidR="009F4766" w:rsidRPr="00DE12A3" w:rsidRDefault="009F4766" w:rsidP="00C917D6">
            <w:pPr>
              <w:pStyle w:val="NormalLeft"/>
            </w:pPr>
            <w:r w:rsidRPr="00DE12A3">
              <w:t>95</w:t>
            </w:r>
          </w:p>
        </w:tc>
        <w:tc>
          <w:tcPr>
            <w:tcW w:w="2551" w:type="dxa"/>
            <w:tcBorders>
              <w:top w:val="single" w:sz="2" w:space="0" w:color="auto"/>
              <w:left w:val="single" w:sz="2" w:space="0" w:color="auto"/>
              <w:bottom w:val="single" w:sz="2" w:space="0" w:color="auto"/>
              <w:right w:val="single" w:sz="2" w:space="0" w:color="auto"/>
            </w:tcBorders>
          </w:tcPr>
          <w:p w14:paraId="6D7EBB71" w14:textId="77777777" w:rsidR="009F4766" w:rsidRPr="00DE12A3" w:rsidRDefault="009F4766" w:rsidP="00C917D6">
            <w:pPr>
              <w:pStyle w:val="NormalLeft"/>
            </w:pPr>
            <w:r w:rsidRPr="00DE12A3">
              <w:t>17</w:t>
            </w:r>
          </w:p>
        </w:tc>
      </w:tr>
      <w:tr w:rsidR="00DE12A3" w:rsidRPr="00DE12A3" w14:paraId="52A7F37C" w14:textId="77777777" w:rsidTr="009F4766">
        <w:tc>
          <w:tcPr>
            <w:tcW w:w="1182" w:type="dxa"/>
            <w:tcBorders>
              <w:top w:val="single" w:sz="2" w:space="0" w:color="auto"/>
              <w:left w:val="single" w:sz="2" w:space="0" w:color="auto"/>
              <w:bottom w:val="single" w:sz="2" w:space="0" w:color="auto"/>
              <w:right w:val="single" w:sz="2" w:space="0" w:color="auto"/>
            </w:tcBorders>
          </w:tcPr>
          <w:p w14:paraId="70AD5BA3" w14:textId="77777777" w:rsidR="009F4766" w:rsidRPr="00DE12A3" w:rsidRDefault="009F4766" w:rsidP="00C917D6">
            <w:pPr>
              <w:pStyle w:val="NormalLeft"/>
            </w:pPr>
            <w:r w:rsidRPr="00DE12A3">
              <w:t>961</w:t>
            </w:r>
          </w:p>
        </w:tc>
        <w:tc>
          <w:tcPr>
            <w:tcW w:w="2489" w:type="dxa"/>
            <w:tcBorders>
              <w:top w:val="single" w:sz="2" w:space="0" w:color="auto"/>
              <w:left w:val="single" w:sz="2" w:space="0" w:color="auto"/>
              <w:bottom w:val="single" w:sz="2" w:space="0" w:color="auto"/>
              <w:right w:val="single" w:sz="2" w:space="0" w:color="auto"/>
            </w:tcBorders>
          </w:tcPr>
          <w:p w14:paraId="45A17B25" w14:textId="77777777" w:rsidR="009F4766" w:rsidRPr="00DE12A3" w:rsidRDefault="009F4766" w:rsidP="00C917D6">
            <w:pPr>
              <w:pStyle w:val="NormalLeft"/>
            </w:pPr>
            <w:r w:rsidRPr="00DE12A3">
              <w:t>96</w:t>
            </w:r>
          </w:p>
        </w:tc>
        <w:tc>
          <w:tcPr>
            <w:tcW w:w="2551" w:type="dxa"/>
            <w:tcBorders>
              <w:top w:val="single" w:sz="2" w:space="0" w:color="auto"/>
              <w:left w:val="single" w:sz="2" w:space="0" w:color="auto"/>
              <w:bottom w:val="single" w:sz="2" w:space="0" w:color="auto"/>
              <w:right w:val="single" w:sz="2" w:space="0" w:color="auto"/>
            </w:tcBorders>
          </w:tcPr>
          <w:p w14:paraId="5EFE08E4" w14:textId="77777777" w:rsidR="009F4766" w:rsidRPr="00DE12A3" w:rsidRDefault="009F4766" w:rsidP="00C917D6">
            <w:pPr>
              <w:pStyle w:val="NormalLeft"/>
            </w:pPr>
            <w:r w:rsidRPr="00DE12A3">
              <w:t>13</w:t>
            </w:r>
          </w:p>
        </w:tc>
      </w:tr>
      <w:tr w:rsidR="00DE12A3" w:rsidRPr="00DE12A3" w14:paraId="79B1E1E1" w14:textId="77777777" w:rsidTr="009F4766">
        <w:tc>
          <w:tcPr>
            <w:tcW w:w="1182" w:type="dxa"/>
            <w:tcBorders>
              <w:top w:val="single" w:sz="2" w:space="0" w:color="auto"/>
              <w:left w:val="single" w:sz="2" w:space="0" w:color="auto"/>
              <w:bottom w:val="single" w:sz="2" w:space="0" w:color="auto"/>
              <w:right w:val="single" w:sz="2" w:space="0" w:color="auto"/>
            </w:tcBorders>
          </w:tcPr>
          <w:p w14:paraId="1034C207" w14:textId="77777777" w:rsidR="009F4766" w:rsidRPr="00DE12A3" w:rsidRDefault="009F4766" w:rsidP="00C917D6">
            <w:pPr>
              <w:pStyle w:val="NormalLeft"/>
            </w:pPr>
            <w:r w:rsidRPr="00DE12A3">
              <w:t>962</w:t>
            </w:r>
          </w:p>
        </w:tc>
        <w:tc>
          <w:tcPr>
            <w:tcW w:w="2489" w:type="dxa"/>
            <w:tcBorders>
              <w:top w:val="single" w:sz="2" w:space="0" w:color="auto"/>
              <w:left w:val="single" w:sz="2" w:space="0" w:color="auto"/>
              <w:bottom w:val="single" w:sz="2" w:space="0" w:color="auto"/>
              <w:right w:val="single" w:sz="2" w:space="0" w:color="auto"/>
            </w:tcBorders>
          </w:tcPr>
          <w:p w14:paraId="5304422F" w14:textId="77777777" w:rsidR="009F4766" w:rsidRPr="00DE12A3" w:rsidRDefault="009F4766" w:rsidP="00C917D6">
            <w:pPr>
              <w:pStyle w:val="NormalLeft"/>
            </w:pPr>
            <w:r w:rsidRPr="00DE12A3">
              <w:t>95</w:t>
            </w:r>
          </w:p>
        </w:tc>
        <w:tc>
          <w:tcPr>
            <w:tcW w:w="2551" w:type="dxa"/>
            <w:tcBorders>
              <w:top w:val="single" w:sz="2" w:space="0" w:color="auto"/>
              <w:left w:val="single" w:sz="2" w:space="0" w:color="auto"/>
              <w:bottom w:val="single" w:sz="2" w:space="0" w:color="auto"/>
              <w:right w:val="single" w:sz="2" w:space="0" w:color="auto"/>
            </w:tcBorders>
          </w:tcPr>
          <w:p w14:paraId="656BF564" w14:textId="77777777" w:rsidR="009F4766" w:rsidRPr="00DE12A3" w:rsidRDefault="009F4766" w:rsidP="00C917D6">
            <w:pPr>
              <w:pStyle w:val="NormalLeft"/>
            </w:pPr>
            <w:r w:rsidRPr="00DE12A3">
              <w:t>10</w:t>
            </w:r>
          </w:p>
        </w:tc>
      </w:tr>
      <w:tr w:rsidR="00DE12A3" w:rsidRPr="00DE12A3" w14:paraId="2D15FD76" w14:textId="77777777" w:rsidTr="009F4766">
        <w:tc>
          <w:tcPr>
            <w:tcW w:w="1182" w:type="dxa"/>
            <w:tcBorders>
              <w:top w:val="single" w:sz="2" w:space="0" w:color="auto"/>
              <w:left w:val="single" w:sz="2" w:space="0" w:color="auto"/>
              <w:bottom w:val="single" w:sz="2" w:space="0" w:color="auto"/>
              <w:right w:val="single" w:sz="2" w:space="0" w:color="auto"/>
            </w:tcBorders>
          </w:tcPr>
          <w:p w14:paraId="38336BCD" w14:textId="77777777" w:rsidR="009F4766" w:rsidRPr="00DE12A3" w:rsidRDefault="009F4766" w:rsidP="00C917D6">
            <w:pPr>
              <w:pStyle w:val="NormalLeft"/>
            </w:pPr>
            <w:r w:rsidRPr="00DE12A3">
              <w:lastRenderedPageBreak/>
              <w:t>963</w:t>
            </w:r>
          </w:p>
        </w:tc>
        <w:tc>
          <w:tcPr>
            <w:tcW w:w="2489" w:type="dxa"/>
            <w:tcBorders>
              <w:top w:val="single" w:sz="2" w:space="0" w:color="auto"/>
              <w:left w:val="single" w:sz="2" w:space="0" w:color="auto"/>
              <w:bottom w:val="single" w:sz="2" w:space="0" w:color="auto"/>
              <w:right w:val="single" w:sz="2" w:space="0" w:color="auto"/>
            </w:tcBorders>
          </w:tcPr>
          <w:p w14:paraId="27BB6314" w14:textId="77777777" w:rsidR="009F4766" w:rsidRPr="00DE12A3" w:rsidRDefault="009F4766" w:rsidP="00C917D6">
            <w:pPr>
              <w:pStyle w:val="NormalLeft"/>
            </w:pPr>
            <w:r w:rsidRPr="00DE12A3">
              <w:t>96</w:t>
            </w:r>
          </w:p>
        </w:tc>
        <w:tc>
          <w:tcPr>
            <w:tcW w:w="2551" w:type="dxa"/>
            <w:tcBorders>
              <w:top w:val="single" w:sz="2" w:space="0" w:color="auto"/>
              <w:left w:val="single" w:sz="2" w:space="0" w:color="auto"/>
              <w:bottom w:val="single" w:sz="2" w:space="0" w:color="auto"/>
              <w:right w:val="single" w:sz="2" w:space="0" w:color="auto"/>
            </w:tcBorders>
          </w:tcPr>
          <w:p w14:paraId="5AD4B44E" w14:textId="77777777" w:rsidR="009F4766" w:rsidRPr="00DE12A3" w:rsidRDefault="009F4766" w:rsidP="00C917D6">
            <w:pPr>
              <w:pStyle w:val="NormalLeft"/>
            </w:pPr>
            <w:r w:rsidRPr="00DE12A3">
              <w:t>9</w:t>
            </w:r>
          </w:p>
        </w:tc>
      </w:tr>
      <w:tr w:rsidR="00DE12A3" w:rsidRPr="00DE12A3" w14:paraId="1E5B7BB7" w14:textId="77777777" w:rsidTr="009F4766">
        <w:tc>
          <w:tcPr>
            <w:tcW w:w="1182" w:type="dxa"/>
            <w:tcBorders>
              <w:top w:val="single" w:sz="2" w:space="0" w:color="auto"/>
              <w:left w:val="single" w:sz="2" w:space="0" w:color="auto"/>
              <w:bottom w:val="single" w:sz="2" w:space="0" w:color="auto"/>
              <w:right w:val="single" w:sz="2" w:space="0" w:color="auto"/>
            </w:tcBorders>
          </w:tcPr>
          <w:p w14:paraId="3FA96BA3" w14:textId="77777777" w:rsidR="009F4766" w:rsidRPr="00DE12A3" w:rsidRDefault="009F4766" w:rsidP="00C917D6">
            <w:pPr>
              <w:pStyle w:val="NormalLeft"/>
            </w:pPr>
            <w:r w:rsidRPr="00DE12A3">
              <w:t>964</w:t>
            </w:r>
          </w:p>
        </w:tc>
        <w:tc>
          <w:tcPr>
            <w:tcW w:w="2489" w:type="dxa"/>
            <w:tcBorders>
              <w:top w:val="single" w:sz="2" w:space="0" w:color="auto"/>
              <w:left w:val="single" w:sz="2" w:space="0" w:color="auto"/>
              <w:bottom w:val="single" w:sz="2" w:space="0" w:color="auto"/>
              <w:right w:val="single" w:sz="2" w:space="0" w:color="auto"/>
            </w:tcBorders>
          </w:tcPr>
          <w:p w14:paraId="619328E6" w14:textId="77777777" w:rsidR="009F4766" w:rsidRPr="00DE12A3" w:rsidRDefault="009F4766" w:rsidP="00C917D6">
            <w:pPr>
              <w:pStyle w:val="NormalLeft"/>
            </w:pPr>
            <w:r w:rsidRPr="00DE12A3">
              <w:t>95</w:t>
            </w:r>
          </w:p>
        </w:tc>
        <w:tc>
          <w:tcPr>
            <w:tcW w:w="2551" w:type="dxa"/>
            <w:tcBorders>
              <w:top w:val="single" w:sz="2" w:space="0" w:color="auto"/>
              <w:left w:val="single" w:sz="2" w:space="0" w:color="auto"/>
              <w:bottom w:val="single" w:sz="2" w:space="0" w:color="auto"/>
              <w:right w:val="single" w:sz="2" w:space="0" w:color="auto"/>
            </w:tcBorders>
          </w:tcPr>
          <w:p w14:paraId="6594F3D7" w14:textId="77777777" w:rsidR="009F4766" w:rsidRPr="00DE12A3" w:rsidRDefault="009F4766" w:rsidP="00C917D6">
            <w:pPr>
              <w:pStyle w:val="NormalLeft"/>
            </w:pPr>
            <w:r w:rsidRPr="00DE12A3">
              <w:t>7</w:t>
            </w:r>
          </w:p>
        </w:tc>
      </w:tr>
      <w:tr w:rsidR="00DE12A3" w:rsidRPr="00DE12A3" w14:paraId="7477A57B" w14:textId="77777777" w:rsidTr="009F4766">
        <w:tc>
          <w:tcPr>
            <w:tcW w:w="1182" w:type="dxa"/>
            <w:tcBorders>
              <w:top w:val="single" w:sz="2" w:space="0" w:color="auto"/>
              <w:left w:val="single" w:sz="2" w:space="0" w:color="auto"/>
              <w:bottom w:val="single" w:sz="2" w:space="0" w:color="auto"/>
              <w:right w:val="single" w:sz="2" w:space="0" w:color="auto"/>
            </w:tcBorders>
          </w:tcPr>
          <w:p w14:paraId="36A5D194" w14:textId="77777777" w:rsidR="009F4766" w:rsidRPr="00DE12A3" w:rsidRDefault="009F4766" w:rsidP="00C917D6">
            <w:pPr>
              <w:pStyle w:val="NormalLeft"/>
            </w:pPr>
            <w:r w:rsidRPr="00DE12A3">
              <w:t>965</w:t>
            </w:r>
          </w:p>
        </w:tc>
        <w:tc>
          <w:tcPr>
            <w:tcW w:w="2489" w:type="dxa"/>
            <w:tcBorders>
              <w:top w:val="single" w:sz="2" w:space="0" w:color="auto"/>
              <w:left w:val="single" w:sz="2" w:space="0" w:color="auto"/>
              <w:bottom w:val="single" w:sz="2" w:space="0" w:color="auto"/>
              <w:right w:val="single" w:sz="2" w:space="0" w:color="auto"/>
            </w:tcBorders>
          </w:tcPr>
          <w:p w14:paraId="1265FA27" w14:textId="77777777" w:rsidR="009F4766" w:rsidRPr="00DE12A3" w:rsidRDefault="009F4766" w:rsidP="00C917D6">
            <w:pPr>
              <w:pStyle w:val="NormalLeft"/>
            </w:pPr>
            <w:r w:rsidRPr="00DE12A3">
              <w:t>95</w:t>
            </w:r>
          </w:p>
        </w:tc>
        <w:tc>
          <w:tcPr>
            <w:tcW w:w="2551" w:type="dxa"/>
            <w:tcBorders>
              <w:top w:val="single" w:sz="2" w:space="0" w:color="auto"/>
              <w:left w:val="single" w:sz="2" w:space="0" w:color="auto"/>
              <w:bottom w:val="single" w:sz="2" w:space="0" w:color="auto"/>
              <w:right w:val="single" w:sz="2" w:space="0" w:color="auto"/>
            </w:tcBorders>
          </w:tcPr>
          <w:p w14:paraId="6D3A6668" w14:textId="77777777" w:rsidR="009F4766" w:rsidRPr="00DE12A3" w:rsidRDefault="009F4766" w:rsidP="00C917D6">
            <w:pPr>
              <w:pStyle w:val="NormalLeft"/>
            </w:pPr>
            <w:r w:rsidRPr="00DE12A3">
              <w:t>7</w:t>
            </w:r>
          </w:p>
        </w:tc>
      </w:tr>
      <w:tr w:rsidR="00DE12A3" w:rsidRPr="00DE12A3" w14:paraId="6C9F210E" w14:textId="77777777" w:rsidTr="009F4766">
        <w:tc>
          <w:tcPr>
            <w:tcW w:w="1182" w:type="dxa"/>
            <w:tcBorders>
              <w:top w:val="single" w:sz="2" w:space="0" w:color="auto"/>
              <w:left w:val="single" w:sz="2" w:space="0" w:color="auto"/>
              <w:bottom w:val="single" w:sz="2" w:space="0" w:color="auto"/>
              <w:right w:val="single" w:sz="2" w:space="0" w:color="auto"/>
            </w:tcBorders>
          </w:tcPr>
          <w:p w14:paraId="2D1449B5" w14:textId="77777777" w:rsidR="009F4766" w:rsidRPr="00DE12A3" w:rsidRDefault="009F4766" w:rsidP="00C917D6">
            <w:pPr>
              <w:pStyle w:val="NormalLeft"/>
            </w:pPr>
            <w:r w:rsidRPr="00DE12A3">
              <w:t>966</w:t>
            </w:r>
          </w:p>
        </w:tc>
        <w:tc>
          <w:tcPr>
            <w:tcW w:w="2489" w:type="dxa"/>
            <w:tcBorders>
              <w:top w:val="single" w:sz="2" w:space="0" w:color="auto"/>
              <w:left w:val="single" w:sz="2" w:space="0" w:color="auto"/>
              <w:bottom w:val="single" w:sz="2" w:space="0" w:color="auto"/>
              <w:right w:val="single" w:sz="2" w:space="0" w:color="auto"/>
            </w:tcBorders>
          </w:tcPr>
          <w:p w14:paraId="7E5C7F7D" w14:textId="77777777" w:rsidR="009F4766" w:rsidRPr="00DE12A3" w:rsidRDefault="009F4766" w:rsidP="00C917D6">
            <w:pPr>
              <w:pStyle w:val="NormalLeft"/>
            </w:pPr>
            <w:r w:rsidRPr="00DE12A3">
              <w:t>95</w:t>
            </w:r>
          </w:p>
        </w:tc>
        <w:tc>
          <w:tcPr>
            <w:tcW w:w="2551" w:type="dxa"/>
            <w:tcBorders>
              <w:top w:val="single" w:sz="2" w:space="0" w:color="auto"/>
              <w:left w:val="single" w:sz="2" w:space="0" w:color="auto"/>
              <w:bottom w:val="single" w:sz="2" w:space="0" w:color="auto"/>
              <w:right w:val="single" w:sz="2" w:space="0" w:color="auto"/>
            </w:tcBorders>
          </w:tcPr>
          <w:p w14:paraId="3D93DD57" w14:textId="77777777" w:rsidR="009F4766" w:rsidRPr="00DE12A3" w:rsidRDefault="009F4766" w:rsidP="00C917D6">
            <w:pPr>
              <w:pStyle w:val="NormalLeft"/>
            </w:pPr>
            <w:r w:rsidRPr="00DE12A3">
              <w:t>7</w:t>
            </w:r>
          </w:p>
        </w:tc>
      </w:tr>
      <w:tr w:rsidR="00DE12A3" w:rsidRPr="00DE12A3" w14:paraId="3D766976" w14:textId="77777777" w:rsidTr="009F4766">
        <w:tc>
          <w:tcPr>
            <w:tcW w:w="1182" w:type="dxa"/>
            <w:tcBorders>
              <w:top w:val="single" w:sz="2" w:space="0" w:color="auto"/>
              <w:left w:val="single" w:sz="2" w:space="0" w:color="auto"/>
              <w:bottom w:val="single" w:sz="2" w:space="0" w:color="auto"/>
              <w:right w:val="single" w:sz="2" w:space="0" w:color="auto"/>
            </w:tcBorders>
          </w:tcPr>
          <w:p w14:paraId="2FC3F6BF" w14:textId="77777777" w:rsidR="009F4766" w:rsidRPr="00DE12A3" w:rsidRDefault="009F4766" w:rsidP="00C917D6">
            <w:pPr>
              <w:pStyle w:val="NormalLeft"/>
            </w:pPr>
            <w:r w:rsidRPr="00DE12A3">
              <w:t>967</w:t>
            </w:r>
          </w:p>
        </w:tc>
        <w:tc>
          <w:tcPr>
            <w:tcW w:w="2489" w:type="dxa"/>
            <w:tcBorders>
              <w:top w:val="single" w:sz="2" w:space="0" w:color="auto"/>
              <w:left w:val="single" w:sz="2" w:space="0" w:color="auto"/>
              <w:bottom w:val="single" w:sz="2" w:space="0" w:color="auto"/>
              <w:right w:val="single" w:sz="2" w:space="0" w:color="auto"/>
            </w:tcBorders>
          </w:tcPr>
          <w:p w14:paraId="0BDDBD27" w14:textId="77777777" w:rsidR="009F4766" w:rsidRPr="00DE12A3" w:rsidRDefault="009F4766" w:rsidP="00C917D6">
            <w:pPr>
              <w:pStyle w:val="NormalLeft"/>
            </w:pPr>
            <w:r w:rsidRPr="00DE12A3">
              <w:t>95</w:t>
            </w:r>
          </w:p>
        </w:tc>
        <w:tc>
          <w:tcPr>
            <w:tcW w:w="2551" w:type="dxa"/>
            <w:tcBorders>
              <w:top w:val="single" w:sz="2" w:space="0" w:color="auto"/>
              <w:left w:val="single" w:sz="2" w:space="0" w:color="auto"/>
              <w:bottom w:val="single" w:sz="2" w:space="0" w:color="auto"/>
              <w:right w:val="single" w:sz="2" w:space="0" w:color="auto"/>
            </w:tcBorders>
          </w:tcPr>
          <w:p w14:paraId="54AE4ABF" w14:textId="77777777" w:rsidR="009F4766" w:rsidRPr="00DE12A3" w:rsidRDefault="009F4766" w:rsidP="00C917D6">
            <w:pPr>
              <w:pStyle w:val="NormalLeft"/>
            </w:pPr>
            <w:r w:rsidRPr="00DE12A3">
              <w:t>6</w:t>
            </w:r>
          </w:p>
        </w:tc>
      </w:tr>
      <w:tr w:rsidR="00DE12A3" w:rsidRPr="00DE12A3" w14:paraId="4C490E27" w14:textId="77777777" w:rsidTr="009F4766">
        <w:tc>
          <w:tcPr>
            <w:tcW w:w="1182" w:type="dxa"/>
            <w:tcBorders>
              <w:top w:val="single" w:sz="2" w:space="0" w:color="auto"/>
              <w:left w:val="single" w:sz="2" w:space="0" w:color="auto"/>
              <w:bottom w:val="single" w:sz="2" w:space="0" w:color="auto"/>
              <w:right w:val="single" w:sz="2" w:space="0" w:color="auto"/>
            </w:tcBorders>
          </w:tcPr>
          <w:p w14:paraId="02B8B92D" w14:textId="77777777" w:rsidR="009F4766" w:rsidRPr="00DE12A3" w:rsidRDefault="009F4766" w:rsidP="00C917D6">
            <w:pPr>
              <w:pStyle w:val="NormalLeft"/>
            </w:pPr>
            <w:r w:rsidRPr="00DE12A3">
              <w:t>968</w:t>
            </w:r>
          </w:p>
        </w:tc>
        <w:tc>
          <w:tcPr>
            <w:tcW w:w="2489" w:type="dxa"/>
            <w:tcBorders>
              <w:top w:val="single" w:sz="2" w:space="0" w:color="auto"/>
              <w:left w:val="single" w:sz="2" w:space="0" w:color="auto"/>
              <w:bottom w:val="single" w:sz="2" w:space="0" w:color="auto"/>
              <w:right w:val="single" w:sz="2" w:space="0" w:color="auto"/>
            </w:tcBorders>
          </w:tcPr>
          <w:p w14:paraId="03A496A5" w14:textId="77777777" w:rsidR="009F4766" w:rsidRPr="00DE12A3" w:rsidRDefault="009F4766" w:rsidP="00C917D6">
            <w:pPr>
              <w:pStyle w:val="NormalLeft"/>
            </w:pPr>
            <w:r w:rsidRPr="00DE12A3">
              <w:t>96</w:t>
            </w:r>
          </w:p>
        </w:tc>
        <w:tc>
          <w:tcPr>
            <w:tcW w:w="2551" w:type="dxa"/>
            <w:tcBorders>
              <w:top w:val="single" w:sz="2" w:space="0" w:color="auto"/>
              <w:left w:val="single" w:sz="2" w:space="0" w:color="auto"/>
              <w:bottom w:val="single" w:sz="2" w:space="0" w:color="auto"/>
              <w:right w:val="single" w:sz="2" w:space="0" w:color="auto"/>
            </w:tcBorders>
          </w:tcPr>
          <w:p w14:paraId="5C33DA42" w14:textId="77777777" w:rsidR="009F4766" w:rsidRPr="00DE12A3" w:rsidRDefault="009F4766" w:rsidP="00C917D6">
            <w:pPr>
              <w:pStyle w:val="NormalLeft"/>
            </w:pPr>
            <w:r w:rsidRPr="00DE12A3">
              <w:t>6</w:t>
            </w:r>
          </w:p>
        </w:tc>
      </w:tr>
      <w:tr w:rsidR="00DE12A3" w:rsidRPr="00DE12A3" w14:paraId="65612ED9" w14:textId="77777777" w:rsidTr="009F4766">
        <w:tc>
          <w:tcPr>
            <w:tcW w:w="1182" w:type="dxa"/>
            <w:tcBorders>
              <w:top w:val="single" w:sz="2" w:space="0" w:color="auto"/>
              <w:left w:val="single" w:sz="2" w:space="0" w:color="auto"/>
              <w:bottom w:val="single" w:sz="2" w:space="0" w:color="auto"/>
              <w:right w:val="single" w:sz="2" w:space="0" w:color="auto"/>
            </w:tcBorders>
          </w:tcPr>
          <w:p w14:paraId="29B0C636" w14:textId="77777777" w:rsidR="009F4766" w:rsidRPr="00DE12A3" w:rsidRDefault="009F4766" w:rsidP="00C917D6">
            <w:pPr>
              <w:pStyle w:val="NormalLeft"/>
            </w:pPr>
            <w:r w:rsidRPr="00DE12A3">
              <w:t>969</w:t>
            </w:r>
          </w:p>
        </w:tc>
        <w:tc>
          <w:tcPr>
            <w:tcW w:w="2489" w:type="dxa"/>
            <w:tcBorders>
              <w:top w:val="single" w:sz="2" w:space="0" w:color="auto"/>
              <w:left w:val="single" w:sz="2" w:space="0" w:color="auto"/>
              <w:bottom w:val="single" w:sz="2" w:space="0" w:color="auto"/>
              <w:right w:val="single" w:sz="2" w:space="0" w:color="auto"/>
            </w:tcBorders>
          </w:tcPr>
          <w:p w14:paraId="7DB0C980" w14:textId="77777777" w:rsidR="009F4766" w:rsidRPr="00DE12A3" w:rsidRDefault="009F4766" w:rsidP="00C917D6">
            <w:pPr>
              <w:pStyle w:val="NormalLeft"/>
            </w:pPr>
            <w:r w:rsidRPr="00DE12A3">
              <w:t>96</w:t>
            </w:r>
          </w:p>
        </w:tc>
        <w:tc>
          <w:tcPr>
            <w:tcW w:w="2551" w:type="dxa"/>
            <w:tcBorders>
              <w:top w:val="single" w:sz="2" w:space="0" w:color="auto"/>
              <w:left w:val="single" w:sz="2" w:space="0" w:color="auto"/>
              <w:bottom w:val="single" w:sz="2" w:space="0" w:color="auto"/>
              <w:right w:val="single" w:sz="2" w:space="0" w:color="auto"/>
            </w:tcBorders>
          </w:tcPr>
          <w:p w14:paraId="022F2313" w14:textId="77777777" w:rsidR="009F4766" w:rsidRPr="00DE12A3" w:rsidRDefault="009F4766" w:rsidP="00C917D6">
            <w:pPr>
              <w:pStyle w:val="NormalLeft"/>
            </w:pPr>
            <w:r w:rsidRPr="00DE12A3">
              <w:t>6</w:t>
            </w:r>
          </w:p>
        </w:tc>
      </w:tr>
      <w:tr w:rsidR="00DE12A3" w:rsidRPr="00DE12A3" w14:paraId="61C2D137" w14:textId="77777777" w:rsidTr="009F4766">
        <w:tc>
          <w:tcPr>
            <w:tcW w:w="1182" w:type="dxa"/>
            <w:tcBorders>
              <w:top w:val="single" w:sz="2" w:space="0" w:color="auto"/>
              <w:left w:val="single" w:sz="2" w:space="0" w:color="auto"/>
              <w:bottom w:val="single" w:sz="2" w:space="0" w:color="auto"/>
              <w:right w:val="single" w:sz="2" w:space="0" w:color="auto"/>
            </w:tcBorders>
          </w:tcPr>
          <w:p w14:paraId="5C4F1559" w14:textId="77777777" w:rsidR="009F4766" w:rsidRPr="00DE12A3" w:rsidRDefault="009F4766" w:rsidP="00C917D6">
            <w:pPr>
              <w:pStyle w:val="NormalLeft"/>
            </w:pPr>
            <w:r w:rsidRPr="00DE12A3">
              <w:t>970</w:t>
            </w:r>
          </w:p>
        </w:tc>
        <w:tc>
          <w:tcPr>
            <w:tcW w:w="2489" w:type="dxa"/>
            <w:tcBorders>
              <w:top w:val="single" w:sz="2" w:space="0" w:color="auto"/>
              <w:left w:val="single" w:sz="2" w:space="0" w:color="auto"/>
              <w:bottom w:val="single" w:sz="2" w:space="0" w:color="auto"/>
              <w:right w:val="single" w:sz="2" w:space="0" w:color="auto"/>
            </w:tcBorders>
          </w:tcPr>
          <w:p w14:paraId="60F2D1FE" w14:textId="77777777" w:rsidR="009F4766" w:rsidRPr="00DE12A3" w:rsidRDefault="009F4766" w:rsidP="00C917D6">
            <w:pPr>
              <w:pStyle w:val="NormalLeft"/>
            </w:pPr>
            <w:r w:rsidRPr="00DE12A3">
              <w:t>89</w:t>
            </w:r>
          </w:p>
        </w:tc>
        <w:tc>
          <w:tcPr>
            <w:tcW w:w="2551" w:type="dxa"/>
            <w:tcBorders>
              <w:top w:val="single" w:sz="2" w:space="0" w:color="auto"/>
              <w:left w:val="single" w:sz="2" w:space="0" w:color="auto"/>
              <w:bottom w:val="single" w:sz="2" w:space="0" w:color="auto"/>
              <w:right w:val="single" w:sz="2" w:space="0" w:color="auto"/>
            </w:tcBorders>
          </w:tcPr>
          <w:p w14:paraId="5E6EF53B" w14:textId="77777777" w:rsidR="009F4766" w:rsidRPr="00DE12A3" w:rsidRDefault="009F4766" w:rsidP="00C917D6">
            <w:pPr>
              <w:pStyle w:val="NormalLeft"/>
            </w:pPr>
            <w:r w:rsidRPr="00DE12A3">
              <w:t>6</w:t>
            </w:r>
          </w:p>
        </w:tc>
      </w:tr>
      <w:tr w:rsidR="00DE12A3" w:rsidRPr="00DE12A3" w14:paraId="733D773D" w14:textId="77777777" w:rsidTr="009F4766">
        <w:tc>
          <w:tcPr>
            <w:tcW w:w="1182" w:type="dxa"/>
            <w:tcBorders>
              <w:top w:val="single" w:sz="2" w:space="0" w:color="auto"/>
              <w:left w:val="single" w:sz="2" w:space="0" w:color="auto"/>
              <w:bottom w:val="single" w:sz="2" w:space="0" w:color="auto"/>
              <w:right w:val="single" w:sz="2" w:space="0" w:color="auto"/>
            </w:tcBorders>
          </w:tcPr>
          <w:p w14:paraId="09E123B2" w14:textId="77777777" w:rsidR="009F4766" w:rsidRPr="00DE12A3" w:rsidRDefault="009F4766" w:rsidP="00C917D6">
            <w:pPr>
              <w:pStyle w:val="NormalLeft"/>
            </w:pPr>
            <w:r w:rsidRPr="00DE12A3">
              <w:t>971</w:t>
            </w:r>
          </w:p>
        </w:tc>
        <w:tc>
          <w:tcPr>
            <w:tcW w:w="2489" w:type="dxa"/>
            <w:tcBorders>
              <w:top w:val="single" w:sz="2" w:space="0" w:color="auto"/>
              <w:left w:val="single" w:sz="2" w:space="0" w:color="auto"/>
              <w:bottom w:val="single" w:sz="2" w:space="0" w:color="auto"/>
              <w:right w:val="single" w:sz="2" w:space="0" w:color="auto"/>
            </w:tcBorders>
          </w:tcPr>
          <w:p w14:paraId="1D2308AE" w14:textId="77777777" w:rsidR="009F4766" w:rsidRPr="00DE12A3" w:rsidRDefault="009F4766" w:rsidP="00C917D6">
            <w:pPr>
              <w:pStyle w:val="NormalLeft"/>
            </w:pPr>
            <w:r w:rsidRPr="00DE12A3">
              <w:t>68</w:t>
            </w:r>
          </w:p>
        </w:tc>
        <w:tc>
          <w:tcPr>
            <w:tcW w:w="2551" w:type="dxa"/>
            <w:tcBorders>
              <w:top w:val="single" w:sz="2" w:space="0" w:color="auto"/>
              <w:left w:val="single" w:sz="2" w:space="0" w:color="auto"/>
              <w:bottom w:val="single" w:sz="2" w:space="0" w:color="auto"/>
              <w:right w:val="single" w:sz="2" w:space="0" w:color="auto"/>
            </w:tcBorders>
          </w:tcPr>
          <w:p w14:paraId="6410CAB5" w14:textId="77777777" w:rsidR="009F4766" w:rsidRPr="00DE12A3" w:rsidRDefault="009F4766" w:rsidP="00C917D6">
            <w:pPr>
              <w:pStyle w:val="NormalLeft"/>
            </w:pPr>
            <w:r w:rsidRPr="00DE12A3">
              <w:t>6</w:t>
            </w:r>
          </w:p>
        </w:tc>
      </w:tr>
      <w:tr w:rsidR="00DE12A3" w:rsidRPr="00DE12A3" w14:paraId="606316D7" w14:textId="77777777" w:rsidTr="009F4766">
        <w:tc>
          <w:tcPr>
            <w:tcW w:w="1182" w:type="dxa"/>
            <w:tcBorders>
              <w:top w:val="single" w:sz="2" w:space="0" w:color="auto"/>
              <w:left w:val="single" w:sz="2" w:space="0" w:color="auto"/>
              <w:bottom w:val="single" w:sz="2" w:space="0" w:color="auto"/>
              <w:right w:val="single" w:sz="2" w:space="0" w:color="auto"/>
            </w:tcBorders>
          </w:tcPr>
          <w:p w14:paraId="1814582C" w14:textId="77777777" w:rsidR="009F4766" w:rsidRPr="00DE12A3" w:rsidRDefault="009F4766" w:rsidP="00C917D6">
            <w:pPr>
              <w:pStyle w:val="NormalLeft"/>
            </w:pPr>
            <w:r w:rsidRPr="00DE12A3">
              <w:t>972</w:t>
            </w:r>
          </w:p>
        </w:tc>
        <w:tc>
          <w:tcPr>
            <w:tcW w:w="2489" w:type="dxa"/>
            <w:tcBorders>
              <w:top w:val="single" w:sz="2" w:space="0" w:color="auto"/>
              <w:left w:val="single" w:sz="2" w:space="0" w:color="auto"/>
              <w:bottom w:val="single" w:sz="2" w:space="0" w:color="auto"/>
              <w:right w:val="single" w:sz="2" w:space="0" w:color="auto"/>
            </w:tcBorders>
          </w:tcPr>
          <w:p w14:paraId="5F8750F2" w14:textId="77777777" w:rsidR="009F4766" w:rsidRPr="00DE12A3" w:rsidRDefault="009F4766" w:rsidP="00C917D6">
            <w:pPr>
              <w:pStyle w:val="NormalLeft"/>
            </w:pPr>
            <w:r w:rsidRPr="00DE12A3">
              <w:t>57</w:t>
            </w:r>
          </w:p>
        </w:tc>
        <w:tc>
          <w:tcPr>
            <w:tcW w:w="2551" w:type="dxa"/>
            <w:tcBorders>
              <w:top w:val="single" w:sz="2" w:space="0" w:color="auto"/>
              <w:left w:val="single" w:sz="2" w:space="0" w:color="auto"/>
              <w:bottom w:val="single" w:sz="2" w:space="0" w:color="auto"/>
              <w:right w:val="single" w:sz="2" w:space="0" w:color="auto"/>
            </w:tcBorders>
          </w:tcPr>
          <w:p w14:paraId="65394042" w14:textId="77777777" w:rsidR="009F4766" w:rsidRPr="00DE12A3" w:rsidRDefault="009F4766" w:rsidP="00C917D6">
            <w:pPr>
              <w:pStyle w:val="NormalLeft"/>
            </w:pPr>
            <w:r w:rsidRPr="00DE12A3">
              <w:t>6</w:t>
            </w:r>
          </w:p>
        </w:tc>
      </w:tr>
      <w:tr w:rsidR="00DE12A3" w:rsidRPr="00DE12A3" w14:paraId="05BD9ABA" w14:textId="77777777" w:rsidTr="009F4766">
        <w:tc>
          <w:tcPr>
            <w:tcW w:w="1182" w:type="dxa"/>
            <w:tcBorders>
              <w:top w:val="single" w:sz="2" w:space="0" w:color="auto"/>
              <w:left w:val="single" w:sz="2" w:space="0" w:color="auto"/>
              <w:bottom w:val="single" w:sz="2" w:space="0" w:color="auto"/>
              <w:right w:val="single" w:sz="2" w:space="0" w:color="auto"/>
            </w:tcBorders>
          </w:tcPr>
          <w:p w14:paraId="54702167" w14:textId="77777777" w:rsidR="009F4766" w:rsidRPr="00DE12A3" w:rsidRDefault="009F4766" w:rsidP="00C917D6">
            <w:pPr>
              <w:pStyle w:val="NormalLeft"/>
            </w:pPr>
            <w:r w:rsidRPr="00DE12A3">
              <w:t>973</w:t>
            </w:r>
          </w:p>
        </w:tc>
        <w:tc>
          <w:tcPr>
            <w:tcW w:w="2489" w:type="dxa"/>
            <w:tcBorders>
              <w:top w:val="single" w:sz="2" w:space="0" w:color="auto"/>
              <w:left w:val="single" w:sz="2" w:space="0" w:color="auto"/>
              <w:bottom w:val="single" w:sz="2" w:space="0" w:color="auto"/>
              <w:right w:val="single" w:sz="2" w:space="0" w:color="auto"/>
            </w:tcBorders>
          </w:tcPr>
          <w:p w14:paraId="6CBE4A73" w14:textId="77777777" w:rsidR="009F4766" w:rsidRPr="00DE12A3" w:rsidRDefault="009F4766" w:rsidP="00C917D6">
            <w:pPr>
              <w:pStyle w:val="NormalLeft"/>
            </w:pPr>
            <w:r w:rsidRPr="00DE12A3">
              <w:t>66</w:t>
            </w:r>
          </w:p>
        </w:tc>
        <w:tc>
          <w:tcPr>
            <w:tcW w:w="2551" w:type="dxa"/>
            <w:tcBorders>
              <w:top w:val="single" w:sz="2" w:space="0" w:color="auto"/>
              <w:left w:val="single" w:sz="2" w:space="0" w:color="auto"/>
              <w:bottom w:val="single" w:sz="2" w:space="0" w:color="auto"/>
              <w:right w:val="single" w:sz="2" w:space="0" w:color="auto"/>
            </w:tcBorders>
          </w:tcPr>
          <w:p w14:paraId="5B3B1C68" w14:textId="77777777" w:rsidR="009F4766" w:rsidRPr="00DE12A3" w:rsidRDefault="009F4766" w:rsidP="00C917D6">
            <w:pPr>
              <w:pStyle w:val="NormalLeft"/>
            </w:pPr>
            <w:r w:rsidRPr="00DE12A3">
              <w:t>32</w:t>
            </w:r>
          </w:p>
        </w:tc>
      </w:tr>
      <w:tr w:rsidR="00DE12A3" w:rsidRPr="00DE12A3" w14:paraId="75933C13" w14:textId="77777777" w:rsidTr="009F4766">
        <w:tc>
          <w:tcPr>
            <w:tcW w:w="1182" w:type="dxa"/>
            <w:tcBorders>
              <w:top w:val="single" w:sz="2" w:space="0" w:color="auto"/>
              <w:left w:val="single" w:sz="2" w:space="0" w:color="auto"/>
              <w:bottom w:val="single" w:sz="2" w:space="0" w:color="auto"/>
              <w:right w:val="single" w:sz="2" w:space="0" w:color="auto"/>
            </w:tcBorders>
          </w:tcPr>
          <w:p w14:paraId="55E575FC" w14:textId="77777777" w:rsidR="009F4766" w:rsidRPr="00DE12A3" w:rsidRDefault="009F4766" w:rsidP="00C917D6">
            <w:pPr>
              <w:pStyle w:val="NormalLeft"/>
            </w:pPr>
            <w:r w:rsidRPr="00DE12A3">
              <w:t>974</w:t>
            </w:r>
          </w:p>
        </w:tc>
        <w:tc>
          <w:tcPr>
            <w:tcW w:w="2489" w:type="dxa"/>
            <w:tcBorders>
              <w:top w:val="single" w:sz="2" w:space="0" w:color="auto"/>
              <w:left w:val="single" w:sz="2" w:space="0" w:color="auto"/>
              <w:bottom w:val="single" w:sz="2" w:space="0" w:color="auto"/>
              <w:right w:val="single" w:sz="2" w:space="0" w:color="auto"/>
            </w:tcBorders>
          </w:tcPr>
          <w:p w14:paraId="5EEC2906" w14:textId="77777777" w:rsidR="009F4766" w:rsidRPr="00DE12A3" w:rsidRDefault="009F4766" w:rsidP="00C917D6">
            <w:pPr>
              <w:pStyle w:val="NormalLeft"/>
            </w:pPr>
            <w:r w:rsidRPr="00DE12A3">
              <w:t>84</w:t>
            </w:r>
          </w:p>
        </w:tc>
        <w:tc>
          <w:tcPr>
            <w:tcW w:w="2551" w:type="dxa"/>
            <w:tcBorders>
              <w:top w:val="single" w:sz="2" w:space="0" w:color="auto"/>
              <w:left w:val="single" w:sz="2" w:space="0" w:color="auto"/>
              <w:bottom w:val="single" w:sz="2" w:space="0" w:color="auto"/>
              <w:right w:val="single" w:sz="2" w:space="0" w:color="auto"/>
            </w:tcBorders>
          </w:tcPr>
          <w:p w14:paraId="24EEBB46" w14:textId="77777777" w:rsidR="009F4766" w:rsidRPr="00DE12A3" w:rsidRDefault="009F4766" w:rsidP="00C917D6">
            <w:pPr>
              <w:pStyle w:val="NormalLeft"/>
            </w:pPr>
            <w:r w:rsidRPr="00DE12A3">
              <w:t>52</w:t>
            </w:r>
          </w:p>
        </w:tc>
      </w:tr>
      <w:tr w:rsidR="00DE12A3" w:rsidRPr="00DE12A3" w14:paraId="1910D9A1" w14:textId="77777777" w:rsidTr="009F4766">
        <w:tc>
          <w:tcPr>
            <w:tcW w:w="1182" w:type="dxa"/>
            <w:tcBorders>
              <w:top w:val="single" w:sz="2" w:space="0" w:color="auto"/>
              <w:left w:val="single" w:sz="2" w:space="0" w:color="auto"/>
              <w:bottom w:val="single" w:sz="2" w:space="0" w:color="auto"/>
              <w:right w:val="single" w:sz="2" w:space="0" w:color="auto"/>
            </w:tcBorders>
          </w:tcPr>
          <w:p w14:paraId="2C74A854" w14:textId="77777777" w:rsidR="009F4766" w:rsidRPr="00DE12A3" w:rsidRDefault="009F4766" w:rsidP="00C917D6">
            <w:pPr>
              <w:pStyle w:val="NormalLeft"/>
            </w:pPr>
            <w:r w:rsidRPr="00DE12A3">
              <w:t>975</w:t>
            </w:r>
          </w:p>
        </w:tc>
        <w:tc>
          <w:tcPr>
            <w:tcW w:w="2489" w:type="dxa"/>
            <w:tcBorders>
              <w:top w:val="single" w:sz="2" w:space="0" w:color="auto"/>
              <w:left w:val="single" w:sz="2" w:space="0" w:color="auto"/>
              <w:bottom w:val="single" w:sz="2" w:space="0" w:color="auto"/>
              <w:right w:val="single" w:sz="2" w:space="0" w:color="auto"/>
            </w:tcBorders>
          </w:tcPr>
          <w:p w14:paraId="126A6913" w14:textId="77777777" w:rsidR="009F4766" w:rsidRPr="00DE12A3" w:rsidRDefault="009F4766" w:rsidP="00C917D6">
            <w:pPr>
              <w:pStyle w:val="NormalLeft"/>
            </w:pPr>
            <w:r w:rsidRPr="00DE12A3">
              <w:t>93</w:t>
            </w:r>
          </w:p>
        </w:tc>
        <w:tc>
          <w:tcPr>
            <w:tcW w:w="2551" w:type="dxa"/>
            <w:tcBorders>
              <w:top w:val="single" w:sz="2" w:space="0" w:color="auto"/>
              <w:left w:val="single" w:sz="2" w:space="0" w:color="auto"/>
              <w:bottom w:val="single" w:sz="2" w:space="0" w:color="auto"/>
              <w:right w:val="single" w:sz="2" w:space="0" w:color="auto"/>
            </w:tcBorders>
          </w:tcPr>
          <w:p w14:paraId="174DA71E" w14:textId="77777777" w:rsidR="009F4766" w:rsidRPr="00DE12A3" w:rsidRDefault="009F4766" w:rsidP="00C917D6">
            <w:pPr>
              <w:pStyle w:val="NormalLeft"/>
            </w:pPr>
            <w:r w:rsidRPr="00DE12A3">
              <w:t>46</w:t>
            </w:r>
          </w:p>
        </w:tc>
      </w:tr>
      <w:tr w:rsidR="00DE12A3" w:rsidRPr="00DE12A3" w14:paraId="70C099C5" w14:textId="77777777" w:rsidTr="009F4766">
        <w:tc>
          <w:tcPr>
            <w:tcW w:w="1182" w:type="dxa"/>
            <w:tcBorders>
              <w:top w:val="single" w:sz="2" w:space="0" w:color="auto"/>
              <w:left w:val="single" w:sz="2" w:space="0" w:color="auto"/>
              <w:bottom w:val="single" w:sz="2" w:space="0" w:color="auto"/>
              <w:right w:val="single" w:sz="2" w:space="0" w:color="auto"/>
            </w:tcBorders>
          </w:tcPr>
          <w:p w14:paraId="3679C404" w14:textId="77777777" w:rsidR="009F4766" w:rsidRPr="00DE12A3" w:rsidRDefault="009F4766" w:rsidP="00C917D6">
            <w:pPr>
              <w:pStyle w:val="NormalLeft"/>
            </w:pPr>
            <w:r w:rsidRPr="00DE12A3">
              <w:t>976</w:t>
            </w:r>
          </w:p>
        </w:tc>
        <w:tc>
          <w:tcPr>
            <w:tcW w:w="2489" w:type="dxa"/>
            <w:tcBorders>
              <w:top w:val="single" w:sz="2" w:space="0" w:color="auto"/>
              <w:left w:val="single" w:sz="2" w:space="0" w:color="auto"/>
              <w:bottom w:val="single" w:sz="2" w:space="0" w:color="auto"/>
              <w:right w:val="single" w:sz="2" w:space="0" w:color="auto"/>
            </w:tcBorders>
          </w:tcPr>
          <w:p w14:paraId="78618EB6" w14:textId="77777777" w:rsidR="009F4766" w:rsidRPr="00DE12A3" w:rsidRDefault="009F4766" w:rsidP="00C917D6">
            <w:pPr>
              <w:pStyle w:val="NormalLeft"/>
            </w:pPr>
            <w:r w:rsidRPr="00DE12A3">
              <w:t>93</w:t>
            </w:r>
          </w:p>
        </w:tc>
        <w:tc>
          <w:tcPr>
            <w:tcW w:w="2551" w:type="dxa"/>
            <w:tcBorders>
              <w:top w:val="single" w:sz="2" w:space="0" w:color="auto"/>
              <w:left w:val="single" w:sz="2" w:space="0" w:color="auto"/>
              <w:bottom w:val="single" w:sz="2" w:space="0" w:color="auto"/>
              <w:right w:val="single" w:sz="2" w:space="0" w:color="auto"/>
            </w:tcBorders>
          </w:tcPr>
          <w:p w14:paraId="51ACE456" w14:textId="77777777" w:rsidR="009F4766" w:rsidRPr="00DE12A3" w:rsidRDefault="009F4766" w:rsidP="00C917D6">
            <w:pPr>
              <w:pStyle w:val="NormalLeft"/>
            </w:pPr>
            <w:r w:rsidRPr="00DE12A3">
              <w:t>42</w:t>
            </w:r>
          </w:p>
        </w:tc>
      </w:tr>
      <w:tr w:rsidR="00DE12A3" w:rsidRPr="00DE12A3" w14:paraId="2A789E6E" w14:textId="77777777" w:rsidTr="009F4766">
        <w:tc>
          <w:tcPr>
            <w:tcW w:w="1182" w:type="dxa"/>
            <w:tcBorders>
              <w:top w:val="single" w:sz="2" w:space="0" w:color="auto"/>
              <w:left w:val="single" w:sz="2" w:space="0" w:color="auto"/>
              <w:bottom w:val="single" w:sz="2" w:space="0" w:color="auto"/>
              <w:right w:val="single" w:sz="2" w:space="0" w:color="auto"/>
            </w:tcBorders>
          </w:tcPr>
          <w:p w14:paraId="27D8154D" w14:textId="77777777" w:rsidR="009F4766" w:rsidRPr="00DE12A3" w:rsidRDefault="009F4766" w:rsidP="00C917D6">
            <w:pPr>
              <w:pStyle w:val="NormalLeft"/>
            </w:pPr>
            <w:r w:rsidRPr="00DE12A3">
              <w:t>977</w:t>
            </w:r>
          </w:p>
        </w:tc>
        <w:tc>
          <w:tcPr>
            <w:tcW w:w="2489" w:type="dxa"/>
            <w:tcBorders>
              <w:top w:val="single" w:sz="2" w:space="0" w:color="auto"/>
              <w:left w:val="single" w:sz="2" w:space="0" w:color="auto"/>
              <w:bottom w:val="single" w:sz="2" w:space="0" w:color="auto"/>
              <w:right w:val="single" w:sz="2" w:space="0" w:color="auto"/>
            </w:tcBorders>
          </w:tcPr>
          <w:p w14:paraId="27B5F2D5" w14:textId="77777777" w:rsidR="009F4766" w:rsidRPr="00DE12A3" w:rsidRDefault="009F4766" w:rsidP="00C917D6">
            <w:pPr>
              <w:pStyle w:val="NormalLeft"/>
            </w:pPr>
            <w:r w:rsidRPr="00DE12A3">
              <w:t>93</w:t>
            </w:r>
          </w:p>
        </w:tc>
        <w:tc>
          <w:tcPr>
            <w:tcW w:w="2551" w:type="dxa"/>
            <w:tcBorders>
              <w:top w:val="single" w:sz="2" w:space="0" w:color="auto"/>
              <w:left w:val="single" w:sz="2" w:space="0" w:color="auto"/>
              <w:bottom w:val="single" w:sz="2" w:space="0" w:color="auto"/>
              <w:right w:val="single" w:sz="2" w:space="0" w:color="auto"/>
            </w:tcBorders>
          </w:tcPr>
          <w:p w14:paraId="0A319047" w14:textId="77777777" w:rsidR="009F4766" w:rsidRPr="00DE12A3" w:rsidRDefault="009F4766" w:rsidP="00C917D6">
            <w:pPr>
              <w:pStyle w:val="NormalLeft"/>
            </w:pPr>
            <w:r w:rsidRPr="00DE12A3">
              <w:t>36</w:t>
            </w:r>
          </w:p>
        </w:tc>
      </w:tr>
      <w:tr w:rsidR="00DE12A3" w:rsidRPr="00DE12A3" w14:paraId="4D213B5C" w14:textId="77777777" w:rsidTr="009F4766">
        <w:tc>
          <w:tcPr>
            <w:tcW w:w="1182" w:type="dxa"/>
            <w:tcBorders>
              <w:top w:val="single" w:sz="2" w:space="0" w:color="auto"/>
              <w:left w:val="single" w:sz="2" w:space="0" w:color="auto"/>
              <w:bottom w:val="single" w:sz="2" w:space="0" w:color="auto"/>
              <w:right w:val="single" w:sz="2" w:space="0" w:color="auto"/>
            </w:tcBorders>
          </w:tcPr>
          <w:p w14:paraId="7062A2FF" w14:textId="77777777" w:rsidR="009F4766" w:rsidRPr="00DE12A3" w:rsidRDefault="009F4766" w:rsidP="00C917D6">
            <w:pPr>
              <w:pStyle w:val="NormalLeft"/>
            </w:pPr>
            <w:r w:rsidRPr="00DE12A3">
              <w:t>978</w:t>
            </w:r>
          </w:p>
        </w:tc>
        <w:tc>
          <w:tcPr>
            <w:tcW w:w="2489" w:type="dxa"/>
            <w:tcBorders>
              <w:top w:val="single" w:sz="2" w:space="0" w:color="auto"/>
              <w:left w:val="single" w:sz="2" w:space="0" w:color="auto"/>
              <w:bottom w:val="single" w:sz="2" w:space="0" w:color="auto"/>
              <w:right w:val="single" w:sz="2" w:space="0" w:color="auto"/>
            </w:tcBorders>
          </w:tcPr>
          <w:p w14:paraId="131403F4" w14:textId="77777777" w:rsidR="009F4766" w:rsidRPr="00DE12A3" w:rsidRDefault="009F4766" w:rsidP="00C917D6">
            <w:pPr>
              <w:pStyle w:val="NormalLeft"/>
            </w:pPr>
            <w:r w:rsidRPr="00DE12A3">
              <w:t>93</w:t>
            </w:r>
          </w:p>
        </w:tc>
        <w:tc>
          <w:tcPr>
            <w:tcW w:w="2551" w:type="dxa"/>
            <w:tcBorders>
              <w:top w:val="single" w:sz="2" w:space="0" w:color="auto"/>
              <w:left w:val="single" w:sz="2" w:space="0" w:color="auto"/>
              <w:bottom w:val="single" w:sz="2" w:space="0" w:color="auto"/>
              <w:right w:val="single" w:sz="2" w:space="0" w:color="auto"/>
            </w:tcBorders>
          </w:tcPr>
          <w:p w14:paraId="01E8701A" w14:textId="77777777" w:rsidR="009F4766" w:rsidRPr="00DE12A3" w:rsidRDefault="009F4766" w:rsidP="00C917D6">
            <w:pPr>
              <w:pStyle w:val="NormalLeft"/>
            </w:pPr>
            <w:r w:rsidRPr="00DE12A3">
              <w:t>28</w:t>
            </w:r>
          </w:p>
        </w:tc>
      </w:tr>
      <w:tr w:rsidR="00DE12A3" w:rsidRPr="00DE12A3" w14:paraId="3F108204" w14:textId="77777777" w:rsidTr="009F4766">
        <w:tc>
          <w:tcPr>
            <w:tcW w:w="1182" w:type="dxa"/>
            <w:tcBorders>
              <w:top w:val="single" w:sz="2" w:space="0" w:color="auto"/>
              <w:left w:val="single" w:sz="2" w:space="0" w:color="auto"/>
              <w:bottom w:val="single" w:sz="2" w:space="0" w:color="auto"/>
              <w:right w:val="single" w:sz="2" w:space="0" w:color="auto"/>
            </w:tcBorders>
          </w:tcPr>
          <w:p w14:paraId="0EEF0ED2" w14:textId="77777777" w:rsidR="009F4766" w:rsidRPr="00DE12A3" w:rsidRDefault="009F4766" w:rsidP="00C917D6">
            <w:pPr>
              <w:pStyle w:val="NormalLeft"/>
            </w:pPr>
            <w:r w:rsidRPr="00DE12A3">
              <w:t>979</w:t>
            </w:r>
          </w:p>
        </w:tc>
        <w:tc>
          <w:tcPr>
            <w:tcW w:w="2489" w:type="dxa"/>
            <w:tcBorders>
              <w:top w:val="single" w:sz="2" w:space="0" w:color="auto"/>
              <w:left w:val="single" w:sz="2" w:space="0" w:color="auto"/>
              <w:bottom w:val="single" w:sz="2" w:space="0" w:color="auto"/>
              <w:right w:val="single" w:sz="2" w:space="0" w:color="auto"/>
            </w:tcBorders>
          </w:tcPr>
          <w:p w14:paraId="041842F8" w14:textId="77777777" w:rsidR="009F4766" w:rsidRPr="00DE12A3" w:rsidRDefault="009F4766" w:rsidP="00C917D6">
            <w:pPr>
              <w:pStyle w:val="NormalLeft"/>
            </w:pPr>
            <w:r w:rsidRPr="00DE12A3">
              <w:t>93</w:t>
            </w:r>
          </w:p>
        </w:tc>
        <w:tc>
          <w:tcPr>
            <w:tcW w:w="2551" w:type="dxa"/>
            <w:tcBorders>
              <w:top w:val="single" w:sz="2" w:space="0" w:color="auto"/>
              <w:left w:val="single" w:sz="2" w:space="0" w:color="auto"/>
              <w:bottom w:val="single" w:sz="2" w:space="0" w:color="auto"/>
              <w:right w:val="single" w:sz="2" w:space="0" w:color="auto"/>
            </w:tcBorders>
          </w:tcPr>
          <w:p w14:paraId="31CDCBCF" w14:textId="77777777" w:rsidR="009F4766" w:rsidRPr="00DE12A3" w:rsidRDefault="009F4766" w:rsidP="00C917D6">
            <w:pPr>
              <w:pStyle w:val="NormalLeft"/>
            </w:pPr>
            <w:r w:rsidRPr="00DE12A3">
              <w:t>23</w:t>
            </w:r>
          </w:p>
        </w:tc>
      </w:tr>
      <w:tr w:rsidR="00DE12A3" w:rsidRPr="00DE12A3" w14:paraId="53C396BA" w14:textId="77777777" w:rsidTr="009F4766">
        <w:tc>
          <w:tcPr>
            <w:tcW w:w="1182" w:type="dxa"/>
            <w:tcBorders>
              <w:top w:val="single" w:sz="2" w:space="0" w:color="auto"/>
              <w:left w:val="single" w:sz="2" w:space="0" w:color="auto"/>
              <w:bottom w:val="single" w:sz="2" w:space="0" w:color="auto"/>
              <w:right w:val="single" w:sz="2" w:space="0" w:color="auto"/>
            </w:tcBorders>
          </w:tcPr>
          <w:p w14:paraId="7758A7AB" w14:textId="77777777" w:rsidR="009F4766" w:rsidRPr="00DE12A3" w:rsidRDefault="009F4766" w:rsidP="00C917D6">
            <w:pPr>
              <w:pStyle w:val="NormalLeft"/>
            </w:pPr>
            <w:r w:rsidRPr="00DE12A3">
              <w:t>980</w:t>
            </w:r>
          </w:p>
        </w:tc>
        <w:tc>
          <w:tcPr>
            <w:tcW w:w="2489" w:type="dxa"/>
            <w:tcBorders>
              <w:top w:val="single" w:sz="2" w:space="0" w:color="auto"/>
              <w:left w:val="single" w:sz="2" w:space="0" w:color="auto"/>
              <w:bottom w:val="single" w:sz="2" w:space="0" w:color="auto"/>
              <w:right w:val="single" w:sz="2" w:space="0" w:color="auto"/>
            </w:tcBorders>
          </w:tcPr>
          <w:p w14:paraId="1F25519F" w14:textId="77777777" w:rsidR="009F4766" w:rsidRPr="00DE12A3" w:rsidRDefault="009F4766" w:rsidP="00C917D6">
            <w:pPr>
              <w:pStyle w:val="NormalLeft"/>
            </w:pPr>
            <w:r w:rsidRPr="00DE12A3">
              <w:t>93</w:t>
            </w:r>
          </w:p>
        </w:tc>
        <w:tc>
          <w:tcPr>
            <w:tcW w:w="2551" w:type="dxa"/>
            <w:tcBorders>
              <w:top w:val="single" w:sz="2" w:space="0" w:color="auto"/>
              <w:left w:val="single" w:sz="2" w:space="0" w:color="auto"/>
              <w:bottom w:val="single" w:sz="2" w:space="0" w:color="auto"/>
              <w:right w:val="single" w:sz="2" w:space="0" w:color="auto"/>
            </w:tcBorders>
          </w:tcPr>
          <w:p w14:paraId="75B8F608" w14:textId="77777777" w:rsidR="009F4766" w:rsidRPr="00DE12A3" w:rsidRDefault="009F4766" w:rsidP="00C917D6">
            <w:pPr>
              <w:pStyle w:val="NormalLeft"/>
            </w:pPr>
            <w:r w:rsidRPr="00DE12A3">
              <w:t>19</w:t>
            </w:r>
          </w:p>
        </w:tc>
      </w:tr>
      <w:tr w:rsidR="00DE12A3" w:rsidRPr="00DE12A3" w14:paraId="7B97C3A2" w14:textId="77777777" w:rsidTr="009F4766">
        <w:tc>
          <w:tcPr>
            <w:tcW w:w="1182" w:type="dxa"/>
            <w:tcBorders>
              <w:top w:val="single" w:sz="2" w:space="0" w:color="auto"/>
              <w:left w:val="single" w:sz="2" w:space="0" w:color="auto"/>
              <w:bottom w:val="single" w:sz="2" w:space="0" w:color="auto"/>
              <w:right w:val="single" w:sz="2" w:space="0" w:color="auto"/>
            </w:tcBorders>
          </w:tcPr>
          <w:p w14:paraId="117A474C" w14:textId="77777777" w:rsidR="009F4766" w:rsidRPr="00DE12A3" w:rsidRDefault="009F4766" w:rsidP="00C917D6">
            <w:pPr>
              <w:pStyle w:val="NormalLeft"/>
            </w:pPr>
            <w:r w:rsidRPr="00DE12A3">
              <w:t>981</w:t>
            </w:r>
          </w:p>
        </w:tc>
        <w:tc>
          <w:tcPr>
            <w:tcW w:w="2489" w:type="dxa"/>
            <w:tcBorders>
              <w:top w:val="single" w:sz="2" w:space="0" w:color="auto"/>
              <w:left w:val="single" w:sz="2" w:space="0" w:color="auto"/>
              <w:bottom w:val="single" w:sz="2" w:space="0" w:color="auto"/>
              <w:right w:val="single" w:sz="2" w:space="0" w:color="auto"/>
            </w:tcBorders>
          </w:tcPr>
          <w:p w14:paraId="1B0DED67" w14:textId="77777777" w:rsidR="009F4766" w:rsidRPr="00DE12A3" w:rsidRDefault="009F4766" w:rsidP="00C917D6">
            <w:pPr>
              <w:pStyle w:val="NormalLeft"/>
            </w:pPr>
            <w:r w:rsidRPr="00DE12A3">
              <w:t>93</w:t>
            </w:r>
          </w:p>
        </w:tc>
        <w:tc>
          <w:tcPr>
            <w:tcW w:w="2551" w:type="dxa"/>
            <w:tcBorders>
              <w:top w:val="single" w:sz="2" w:space="0" w:color="auto"/>
              <w:left w:val="single" w:sz="2" w:space="0" w:color="auto"/>
              <w:bottom w:val="single" w:sz="2" w:space="0" w:color="auto"/>
              <w:right w:val="single" w:sz="2" w:space="0" w:color="auto"/>
            </w:tcBorders>
          </w:tcPr>
          <w:p w14:paraId="00594424" w14:textId="77777777" w:rsidR="009F4766" w:rsidRPr="00DE12A3" w:rsidRDefault="009F4766" w:rsidP="00C917D6">
            <w:pPr>
              <w:pStyle w:val="NormalLeft"/>
            </w:pPr>
            <w:r w:rsidRPr="00DE12A3">
              <w:t>16</w:t>
            </w:r>
          </w:p>
        </w:tc>
      </w:tr>
      <w:tr w:rsidR="00DE12A3" w:rsidRPr="00DE12A3" w14:paraId="51A1289D" w14:textId="77777777" w:rsidTr="009F4766">
        <w:tc>
          <w:tcPr>
            <w:tcW w:w="1182" w:type="dxa"/>
            <w:tcBorders>
              <w:top w:val="single" w:sz="2" w:space="0" w:color="auto"/>
              <w:left w:val="single" w:sz="2" w:space="0" w:color="auto"/>
              <w:bottom w:val="single" w:sz="2" w:space="0" w:color="auto"/>
              <w:right w:val="single" w:sz="2" w:space="0" w:color="auto"/>
            </w:tcBorders>
          </w:tcPr>
          <w:p w14:paraId="083924A7" w14:textId="77777777" w:rsidR="009F4766" w:rsidRPr="00DE12A3" w:rsidRDefault="009F4766" w:rsidP="00C917D6">
            <w:pPr>
              <w:pStyle w:val="NormalLeft"/>
            </w:pPr>
            <w:r w:rsidRPr="00DE12A3">
              <w:t>982</w:t>
            </w:r>
          </w:p>
        </w:tc>
        <w:tc>
          <w:tcPr>
            <w:tcW w:w="2489" w:type="dxa"/>
            <w:tcBorders>
              <w:top w:val="single" w:sz="2" w:space="0" w:color="auto"/>
              <w:left w:val="single" w:sz="2" w:space="0" w:color="auto"/>
              <w:bottom w:val="single" w:sz="2" w:space="0" w:color="auto"/>
              <w:right w:val="single" w:sz="2" w:space="0" w:color="auto"/>
            </w:tcBorders>
          </w:tcPr>
          <w:p w14:paraId="133FD3D7" w14:textId="77777777" w:rsidR="009F4766" w:rsidRPr="00DE12A3" w:rsidRDefault="009F4766" w:rsidP="00C917D6">
            <w:pPr>
              <w:pStyle w:val="NormalLeft"/>
            </w:pPr>
            <w:r w:rsidRPr="00DE12A3">
              <w:t>93</w:t>
            </w:r>
          </w:p>
        </w:tc>
        <w:tc>
          <w:tcPr>
            <w:tcW w:w="2551" w:type="dxa"/>
            <w:tcBorders>
              <w:top w:val="single" w:sz="2" w:space="0" w:color="auto"/>
              <w:left w:val="single" w:sz="2" w:space="0" w:color="auto"/>
              <w:bottom w:val="single" w:sz="2" w:space="0" w:color="auto"/>
              <w:right w:val="single" w:sz="2" w:space="0" w:color="auto"/>
            </w:tcBorders>
          </w:tcPr>
          <w:p w14:paraId="12AEA94A" w14:textId="77777777" w:rsidR="009F4766" w:rsidRPr="00DE12A3" w:rsidRDefault="009F4766" w:rsidP="00C917D6">
            <w:pPr>
              <w:pStyle w:val="NormalLeft"/>
            </w:pPr>
            <w:r w:rsidRPr="00DE12A3">
              <w:t>15</w:t>
            </w:r>
          </w:p>
        </w:tc>
      </w:tr>
      <w:tr w:rsidR="00DE12A3" w:rsidRPr="00DE12A3" w14:paraId="03EE459A" w14:textId="77777777" w:rsidTr="009F4766">
        <w:tc>
          <w:tcPr>
            <w:tcW w:w="1182" w:type="dxa"/>
            <w:tcBorders>
              <w:top w:val="single" w:sz="2" w:space="0" w:color="auto"/>
              <w:left w:val="single" w:sz="2" w:space="0" w:color="auto"/>
              <w:bottom w:val="single" w:sz="2" w:space="0" w:color="auto"/>
              <w:right w:val="single" w:sz="2" w:space="0" w:color="auto"/>
            </w:tcBorders>
          </w:tcPr>
          <w:p w14:paraId="2E9FF9BC" w14:textId="77777777" w:rsidR="009F4766" w:rsidRPr="00DE12A3" w:rsidRDefault="009F4766" w:rsidP="00C917D6">
            <w:pPr>
              <w:pStyle w:val="NormalLeft"/>
            </w:pPr>
            <w:r w:rsidRPr="00DE12A3">
              <w:t>983</w:t>
            </w:r>
          </w:p>
        </w:tc>
        <w:tc>
          <w:tcPr>
            <w:tcW w:w="2489" w:type="dxa"/>
            <w:tcBorders>
              <w:top w:val="single" w:sz="2" w:space="0" w:color="auto"/>
              <w:left w:val="single" w:sz="2" w:space="0" w:color="auto"/>
              <w:bottom w:val="single" w:sz="2" w:space="0" w:color="auto"/>
              <w:right w:val="single" w:sz="2" w:space="0" w:color="auto"/>
            </w:tcBorders>
          </w:tcPr>
          <w:p w14:paraId="4A3C6DF3" w14:textId="77777777" w:rsidR="009F4766" w:rsidRPr="00DE12A3" w:rsidRDefault="009F4766" w:rsidP="00C917D6">
            <w:pPr>
              <w:pStyle w:val="NormalLeft"/>
            </w:pPr>
            <w:r w:rsidRPr="00DE12A3">
              <w:t>93</w:t>
            </w:r>
          </w:p>
        </w:tc>
        <w:tc>
          <w:tcPr>
            <w:tcW w:w="2551" w:type="dxa"/>
            <w:tcBorders>
              <w:top w:val="single" w:sz="2" w:space="0" w:color="auto"/>
              <w:left w:val="single" w:sz="2" w:space="0" w:color="auto"/>
              <w:bottom w:val="single" w:sz="2" w:space="0" w:color="auto"/>
              <w:right w:val="single" w:sz="2" w:space="0" w:color="auto"/>
            </w:tcBorders>
          </w:tcPr>
          <w:p w14:paraId="0B52D627" w14:textId="77777777" w:rsidR="009F4766" w:rsidRPr="00DE12A3" w:rsidRDefault="009F4766" w:rsidP="00C917D6">
            <w:pPr>
              <w:pStyle w:val="NormalLeft"/>
            </w:pPr>
            <w:r w:rsidRPr="00DE12A3">
              <w:t>16</w:t>
            </w:r>
          </w:p>
        </w:tc>
      </w:tr>
      <w:tr w:rsidR="00DE12A3" w:rsidRPr="00DE12A3" w14:paraId="4EB2637A" w14:textId="77777777" w:rsidTr="009F4766">
        <w:tc>
          <w:tcPr>
            <w:tcW w:w="1182" w:type="dxa"/>
            <w:tcBorders>
              <w:top w:val="single" w:sz="2" w:space="0" w:color="auto"/>
              <w:left w:val="single" w:sz="2" w:space="0" w:color="auto"/>
              <w:bottom w:val="single" w:sz="2" w:space="0" w:color="auto"/>
              <w:right w:val="single" w:sz="2" w:space="0" w:color="auto"/>
            </w:tcBorders>
          </w:tcPr>
          <w:p w14:paraId="66F0D798" w14:textId="77777777" w:rsidR="009F4766" w:rsidRPr="00DE12A3" w:rsidRDefault="009F4766" w:rsidP="00C917D6">
            <w:pPr>
              <w:pStyle w:val="NormalLeft"/>
            </w:pPr>
            <w:r w:rsidRPr="00DE12A3">
              <w:t>984</w:t>
            </w:r>
          </w:p>
        </w:tc>
        <w:tc>
          <w:tcPr>
            <w:tcW w:w="2489" w:type="dxa"/>
            <w:tcBorders>
              <w:top w:val="single" w:sz="2" w:space="0" w:color="auto"/>
              <w:left w:val="single" w:sz="2" w:space="0" w:color="auto"/>
              <w:bottom w:val="single" w:sz="2" w:space="0" w:color="auto"/>
              <w:right w:val="single" w:sz="2" w:space="0" w:color="auto"/>
            </w:tcBorders>
          </w:tcPr>
          <w:p w14:paraId="408BDA54" w14:textId="77777777" w:rsidR="009F4766" w:rsidRPr="00DE12A3" w:rsidRDefault="009F4766" w:rsidP="00C917D6">
            <w:pPr>
              <w:pStyle w:val="NormalLeft"/>
            </w:pPr>
            <w:r w:rsidRPr="00DE12A3">
              <w:t>93</w:t>
            </w:r>
          </w:p>
        </w:tc>
        <w:tc>
          <w:tcPr>
            <w:tcW w:w="2551" w:type="dxa"/>
            <w:tcBorders>
              <w:top w:val="single" w:sz="2" w:space="0" w:color="auto"/>
              <w:left w:val="single" w:sz="2" w:space="0" w:color="auto"/>
              <w:bottom w:val="single" w:sz="2" w:space="0" w:color="auto"/>
              <w:right w:val="single" w:sz="2" w:space="0" w:color="auto"/>
            </w:tcBorders>
          </w:tcPr>
          <w:p w14:paraId="5043A8DF" w14:textId="77777777" w:rsidR="009F4766" w:rsidRPr="00DE12A3" w:rsidRDefault="009F4766" w:rsidP="00C917D6">
            <w:pPr>
              <w:pStyle w:val="NormalLeft"/>
            </w:pPr>
            <w:r w:rsidRPr="00DE12A3">
              <w:t>15</w:t>
            </w:r>
          </w:p>
        </w:tc>
      </w:tr>
      <w:tr w:rsidR="00DE12A3" w:rsidRPr="00DE12A3" w14:paraId="66CED442" w14:textId="77777777" w:rsidTr="009F4766">
        <w:tc>
          <w:tcPr>
            <w:tcW w:w="1182" w:type="dxa"/>
            <w:tcBorders>
              <w:top w:val="single" w:sz="2" w:space="0" w:color="auto"/>
              <w:left w:val="single" w:sz="2" w:space="0" w:color="auto"/>
              <w:bottom w:val="single" w:sz="2" w:space="0" w:color="auto"/>
              <w:right w:val="single" w:sz="2" w:space="0" w:color="auto"/>
            </w:tcBorders>
          </w:tcPr>
          <w:p w14:paraId="2C9F31D0" w14:textId="77777777" w:rsidR="009F4766" w:rsidRPr="00DE12A3" w:rsidRDefault="009F4766" w:rsidP="00C917D6">
            <w:pPr>
              <w:pStyle w:val="NormalLeft"/>
            </w:pPr>
            <w:r w:rsidRPr="00DE12A3">
              <w:t>985</w:t>
            </w:r>
          </w:p>
        </w:tc>
        <w:tc>
          <w:tcPr>
            <w:tcW w:w="2489" w:type="dxa"/>
            <w:tcBorders>
              <w:top w:val="single" w:sz="2" w:space="0" w:color="auto"/>
              <w:left w:val="single" w:sz="2" w:space="0" w:color="auto"/>
              <w:bottom w:val="single" w:sz="2" w:space="0" w:color="auto"/>
              <w:right w:val="single" w:sz="2" w:space="0" w:color="auto"/>
            </w:tcBorders>
          </w:tcPr>
          <w:p w14:paraId="7246C104" w14:textId="77777777" w:rsidR="009F4766" w:rsidRPr="00DE12A3" w:rsidRDefault="009F4766" w:rsidP="00C917D6">
            <w:pPr>
              <w:pStyle w:val="NormalLeft"/>
            </w:pPr>
            <w:r w:rsidRPr="00DE12A3">
              <w:t>93</w:t>
            </w:r>
          </w:p>
        </w:tc>
        <w:tc>
          <w:tcPr>
            <w:tcW w:w="2551" w:type="dxa"/>
            <w:tcBorders>
              <w:top w:val="single" w:sz="2" w:space="0" w:color="auto"/>
              <w:left w:val="single" w:sz="2" w:space="0" w:color="auto"/>
              <w:bottom w:val="single" w:sz="2" w:space="0" w:color="auto"/>
              <w:right w:val="single" w:sz="2" w:space="0" w:color="auto"/>
            </w:tcBorders>
          </w:tcPr>
          <w:p w14:paraId="1F67A919" w14:textId="77777777" w:rsidR="009F4766" w:rsidRPr="00DE12A3" w:rsidRDefault="009F4766" w:rsidP="00C917D6">
            <w:pPr>
              <w:pStyle w:val="NormalLeft"/>
            </w:pPr>
            <w:r w:rsidRPr="00DE12A3">
              <w:t>14</w:t>
            </w:r>
          </w:p>
        </w:tc>
      </w:tr>
      <w:tr w:rsidR="00DE12A3" w:rsidRPr="00DE12A3" w14:paraId="45A7CF35" w14:textId="77777777" w:rsidTr="009F4766">
        <w:tc>
          <w:tcPr>
            <w:tcW w:w="1182" w:type="dxa"/>
            <w:tcBorders>
              <w:top w:val="single" w:sz="2" w:space="0" w:color="auto"/>
              <w:left w:val="single" w:sz="2" w:space="0" w:color="auto"/>
              <w:bottom w:val="single" w:sz="2" w:space="0" w:color="auto"/>
              <w:right w:val="single" w:sz="2" w:space="0" w:color="auto"/>
            </w:tcBorders>
          </w:tcPr>
          <w:p w14:paraId="27B1E050" w14:textId="77777777" w:rsidR="009F4766" w:rsidRPr="00DE12A3" w:rsidRDefault="009F4766" w:rsidP="00C917D6">
            <w:pPr>
              <w:pStyle w:val="NormalLeft"/>
            </w:pPr>
            <w:r w:rsidRPr="00DE12A3">
              <w:t>986</w:t>
            </w:r>
          </w:p>
        </w:tc>
        <w:tc>
          <w:tcPr>
            <w:tcW w:w="2489" w:type="dxa"/>
            <w:tcBorders>
              <w:top w:val="single" w:sz="2" w:space="0" w:color="auto"/>
              <w:left w:val="single" w:sz="2" w:space="0" w:color="auto"/>
              <w:bottom w:val="single" w:sz="2" w:space="0" w:color="auto"/>
              <w:right w:val="single" w:sz="2" w:space="0" w:color="auto"/>
            </w:tcBorders>
          </w:tcPr>
          <w:p w14:paraId="6DF72BF6" w14:textId="77777777" w:rsidR="009F4766" w:rsidRPr="00DE12A3" w:rsidRDefault="009F4766" w:rsidP="00C917D6">
            <w:pPr>
              <w:pStyle w:val="NormalLeft"/>
            </w:pPr>
            <w:r w:rsidRPr="00DE12A3">
              <w:t>93</w:t>
            </w:r>
          </w:p>
        </w:tc>
        <w:tc>
          <w:tcPr>
            <w:tcW w:w="2551" w:type="dxa"/>
            <w:tcBorders>
              <w:top w:val="single" w:sz="2" w:space="0" w:color="auto"/>
              <w:left w:val="single" w:sz="2" w:space="0" w:color="auto"/>
              <w:bottom w:val="single" w:sz="2" w:space="0" w:color="auto"/>
              <w:right w:val="single" w:sz="2" w:space="0" w:color="auto"/>
            </w:tcBorders>
          </w:tcPr>
          <w:p w14:paraId="3E5E6079" w14:textId="77777777" w:rsidR="009F4766" w:rsidRPr="00DE12A3" w:rsidRDefault="009F4766" w:rsidP="00C917D6">
            <w:pPr>
              <w:pStyle w:val="NormalLeft"/>
            </w:pPr>
            <w:r w:rsidRPr="00DE12A3">
              <w:t>15</w:t>
            </w:r>
          </w:p>
        </w:tc>
      </w:tr>
      <w:tr w:rsidR="00DE12A3" w:rsidRPr="00DE12A3" w14:paraId="2DC07E41" w14:textId="77777777" w:rsidTr="009F4766">
        <w:tc>
          <w:tcPr>
            <w:tcW w:w="1182" w:type="dxa"/>
            <w:tcBorders>
              <w:top w:val="single" w:sz="2" w:space="0" w:color="auto"/>
              <w:left w:val="single" w:sz="2" w:space="0" w:color="auto"/>
              <w:bottom w:val="single" w:sz="2" w:space="0" w:color="auto"/>
              <w:right w:val="single" w:sz="2" w:space="0" w:color="auto"/>
            </w:tcBorders>
          </w:tcPr>
          <w:p w14:paraId="51C50882" w14:textId="77777777" w:rsidR="009F4766" w:rsidRPr="00DE12A3" w:rsidRDefault="009F4766" w:rsidP="00C917D6">
            <w:pPr>
              <w:pStyle w:val="NormalLeft"/>
            </w:pPr>
            <w:r w:rsidRPr="00DE12A3">
              <w:lastRenderedPageBreak/>
              <w:t>987</w:t>
            </w:r>
          </w:p>
        </w:tc>
        <w:tc>
          <w:tcPr>
            <w:tcW w:w="2489" w:type="dxa"/>
            <w:tcBorders>
              <w:top w:val="single" w:sz="2" w:space="0" w:color="auto"/>
              <w:left w:val="single" w:sz="2" w:space="0" w:color="auto"/>
              <w:bottom w:val="single" w:sz="2" w:space="0" w:color="auto"/>
              <w:right w:val="single" w:sz="2" w:space="0" w:color="auto"/>
            </w:tcBorders>
          </w:tcPr>
          <w:p w14:paraId="0EE43E6B" w14:textId="77777777" w:rsidR="009F4766" w:rsidRPr="00DE12A3" w:rsidRDefault="009F4766" w:rsidP="00C917D6">
            <w:pPr>
              <w:pStyle w:val="NormalLeft"/>
            </w:pPr>
            <w:r w:rsidRPr="00DE12A3">
              <w:t>93</w:t>
            </w:r>
          </w:p>
        </w:tc>
        <w:tc>
          <w:tcPr>
            <w:tcW w:w="2551" w:type="dxa"/>
            <w:tcBorders>
              <w:top w:val="single" w:sz="2" w:space="0" w:color="auto"/>
              <w:left w:val="single" w:sz="2" w:space="0" w:color="auto"/>
              <w:bottom w:val="single" w:sz="2" w:space="0" w:color="auto"/>
              <w:right w:val="single" w:sz="2" w:space="0" w:color="auto"/>
            </w:tcBorders>
          </w:tcPr>
          <w:p w14:paraId="653B4485" w14:textId="77777777" w:rsidR="009F4766" w:rsidRPr="00DE12A3" w:rsidRDefault="009F4766" w:rsidP="00C917D6">
            <w:pPr>
              <w:pStyle w:val="NormalLeft"/>
            </w:pPr>
            <w:r w:rsidRPr="00DE12A3">
              <w:t>16</w:t>
            </w:r>
          </w:p>
        </w:tc>
      </w:tr>
      <w:tr w:rsidR="00DE12A3" w:rsidRPr="00DE12A3" w14:paraId="7F0551AF" w14:textId="77777777" w:rsidTr="009F4766">
        <w:tc>
          <w:tcPr>
            <w:tcW w:w="1182" w:type="dxa"/>
            <w:tcBorders>
              <w:top w:val="single" w:sz="2" w:space="0" w:color="auto"/>
              <w:left w:val="single" w:sz="2" w:space="0" w:color="auto"/>
              <w:bottom w:val="single" w:sz="2" w:space="0" w:color="auto"/>
              <w:right w:val="single" w:sz="2" w:space="0" w:color="auto"/>
            </w:tcBorders>
          </w:tcPr>
          <w:p w14:paraId="4CB85895" w14:textId="77777777" w:rsidR="009F4766" w:rsidRPr="00DE12A3" w:rsidRDefault="009F4766" w:rsidP="00C917D6">
            <w:pPr>
              <w:pStyle w:val="NormalLeft"/>
            </w:pPr>
            <w:r w:rsidRPr="00DE12A3">
              <w:t>988</w:t>
            </w:r>
          </w:p>
        </w:tc>
        <w:tc>
          <w:tcPr>
            <w:tcW w:w="2489" w:type="dxa"/>
            <w:tcBorders>
              <w:top w:val="single" w:sz="2" w:space="0" w:color="auto"/>
              <w:left w:val="single" w:sz="2" w:space="0" w:color="auto"/>
              <w:bottom w:val="single" w:sz="2" w:space="0" w:color="auto"/>
              <w:right w:val="single" w:sz="2" w:space="0" w:color="auto"/>
            </w:tcBorders>
          </w:tcPr>
          <w:p w14:paraId="572B2538" w14:textId="77777777" w:rsidR="009F4766" w:rsidRPr="00DE12A3" w:rsidRDefault="009F4766" w:rsidP="00C917D6">
            <w:pPr>
              <w:pStyle w:val="NormalLeft"/>
            </w:pPr>
            <w:r w:rsidRPr="00DE12A3">
              <w:t>94</w:t>
            </w:r>
          </w:p>
        </w:tc>
        <w:tc>
          <w:tcPr>
            <w:tcW w:w="2551" w:type="dxa"/>
            <w:tcBorders>
              <w:top w:val="single" w:sz="2" w:space="0" w:color="auto"/>
              <w:left w:val="single" w:sz="2" w:space="0" w:color="auto"/>
              <w:bottom w:val="single" w:sz="2" w:space="0" w:color="auto"/>
              <w:right w:val="single" w:sz="2" w:space="0" w:color="auto"/>
            </w:tcBorders>
          </w:tcPr>
          <w:p w14:paraId="2D3FAE0F" w14:textId="77777777" w:rsidR="009F4766" w:rsidRPr="00DE12A3" w:rsidRDefault="009F4766" w:rsidP="00C917D6">
            <w:pPr>
              <w:pStyle w:val="NormalLeft"/>
            </w:pPr>
            <w:r w:rsidRPr="00DE12A3">
              <w:t>15</w:t>
            </w:r>
          </w:p>
        </w:tc>
      </w:tr>
      <w:tr w:rsidR="00DE12A3" w:rsidRPr="00DE12A3" w14:paraId="25788FB4" w14:textId="77777777" w:rsidTr="009F4766">
        <w:tc>
          <w:tcPr>
            <w:tcW w:w="1182" w:type="dxa"/>
            <w:tcBorders>
              <w:top w:val="single" w:sz="2" w:space="0" w:color="auto"/>
              <w:left w:val="single" w:sz="2" w:space="0" w:color="auto"/>
              <w:bottom w:val="single" w:sz="2" w:space="0" w:color="auto"/>
              <w:right w:val="single" w:sz="2" w:space="0" w:color="auto"/>
            </w:tcBorders>
          </w:tcPr>
          <w:p w14:paraId="0A1B976B" w14:textId="77777777" w:rsidR="009F4766" w:rsidRPr="00DE12A3" w:rsidRDefault="009F4766" w:rsidP="00C917D6">
            <w:pPr>
              <w:pStyle w:val="NormalLeft"/>
            </w:pPr>
            <w:r w:rsidRPr="00DE12A3">
              <w:t>989</w:t>
            </w:r>
          </w:p>
        </w:tc>
        <w:tc>
          <w:tcPr>
            <w:tcW w:w="2489" w:type="dxa"/>
            <w:tcBorders>
              <w:top w:val="single" w:sz="2" w:space="0" w:color="auto"/>
              <w:left w:val="single" w:sz="2" w:space="0" w:color="auto"/>
              <w:bottom w:val="single" w:sz="2" w:space="0" w:color="auto"/>
              <w:right w:val="single" w:sz="2" w:space="0" w:color="auto"/>
            </w:tcBorders>
          </w:tcPr>
          <w:p w14:paraId="5F8CACA0" w14:textId="77777777" w:rsidR="009F4766" w:rsidRPr="00DE12A3" w:rsidRDefault="009F4766" w:rsidP="00C917D6">
            <w:pPr>
              <w:pStyle w:val="NormalLeft"/>
            </w:pPr>
            <w:r w:rsidRPr="00DE12A3">
              <w:t>93</w:t>
            </w:r>
          </w:p>
        </w:tc>
        <w:tc>
          <w:tcPr>
            <w:tcW w:w="2551" w:type="dxa"/>
            <w:tcBorders>
              <w:top w:val="single" w:sz="2" w:space="0" w:color="auto"/>
              <w:left w:val="single" w:sz="2" w:space="0" w:color="auto"/>
              <w:bottom w:val="single" w:sz="2" w:space="0" w:color="auto"/>
              <w:right w:val="single" w:sz="2" w:space="0" w:color="auto"/>
            </w:tcBorders>
          </w:tcPr>
          <w:p w14:paraId="32C75E47" w14:textId="77777777" w:rsidR="009F4766" w:rsidRPr="00DE12A3" w:rsidRDefault="009F4766" w:rsidP="00C917D6">
            <w:pPr>
              <w:pStyle w:val="NormalLeft"/>
            </w:pPr>
            <w:r w:rsidRPr="00DE12A3">
              <w:t>32</w:t>
            </w:r>
          </w:p>
        </w:tc>
      </w:tr>
      <w:tr w:rsidR="00DE12A3" w:rsidRPr="00DE12A3" w14:paraId="53C84BF4" w14:textId="77777777" w:rsidTr="009F4766">
        <w:tc>
          <w:tcPr>
            <w:tcW w:w="1182" w:type="dxa"/>
            <w:tcBorders>
              <w:top w:val="single" w:sz="2" w:space="0" w:color="auto"/>
              <w:left w:val="single" w:sz="2" w:space="0" w:color="auto"/>
              <w:bottom w:val="single" w:sz="2" w:space="0" w:color="auto"/>
              <w:right w:val="single" w:sz="2" w:space="0" w:color="auto"/>
            </w:tcBorders>
          </w:tcPr>
          <w:p w14:paraId="1D2DB1ED" w14:textId="77777777" w:rsidR="009F4766" w:rsidRPr="00DE12A3" w:rsidRDefault="009F4766" w:rsidP="00C917D6">
            <w:pPr>
              <w:pStyle w:val="NormalLeft"/>
            </w:pPr>
            <w:r w:rsidRPr="00DE12A3">
              <w:t>990</w:t>
            </w:r>
          </w:p>
        </w:tc>
        <w:tc>
          <w:tcPr>
            <w:tcW w:w="2489" w:type="dxa"/>
            <w:tcBorders>
              <w:top w:val="single" w:sz="2" w:space="0" w:color="auto"/>
              <w:left w:val="single" w:sz="2" w:space="0" w:color="auto"/>
              <w:bottom w:val="single" w:sz="2" w:space="0" w:color="auto"/>
              <w:right w:val="single" w:sz="2" w:space="0" w:color="auto"/>
            </w:tcBorders>
          </w:tcPr>
          <w:p w14:paraId="7D0F9A26" w14:textId="77777777" w:rsidR="009F4766" w:rsidRPr="00DE12A3" w:rsidRDefault="009F4766" w:rsidP="00C917D6">
            <w:pPr>
              <w:pStyle w:val="NormalLeft"/>
            </w:pPr>
            <w:r w:rsidRPr="00DE12A3">
              <w:t>93</w:t>
            </w:r>
          </w:p>
        </w:tc>
        <w:tc>
          <w:tcPr>
            <w:tcW w:w="2551" w:type="dxa"/>
            <w:tcBorders>
              <w:top w:val="single" w:sz="2" w:space="0" w:color="auto"/>
              <w:left w:val="single" w:sz="2" w:space="0" w:color="auto"/>
              <w:bottom w:val="single" w:sz="2" w:space="0" w:color="auto"/>
              <w:right w:val="single" w:sz="2" w:space="0" w:color="auto"/>
            </w:tcBorders>
          </w:tcPr>
          <w:p w14:paraId="5A99A7D4" w14:textId="77777777" w:rsidR="009F4766" w:rsidRPr="00DE12A3" w:rsidRDefault="009F4766" w:rsidP="00C917D6">
            <w:pPr>
              <w:pStyle w:val="NormalLeft"/>
            </w:pPr>
            <w:r w:rsidRPr="00DE12A3">
              <w:t>45</w:t>
            </w:r>
          </w:p>
        </w:tc>
      </w:tr>
      <w:tr w:rsidR="00DE12A3" w:rsidRPr="00DE12A3" w14:paraId="070745D4" w14:textId="77777777" w:rsidTr="009F4766">
        <w:tc>
          <w:tcPr>
            <w:tcW w:w="1182" w:type="dxa"/>
            <w:tcBorders>
              <w:top w:val="single" w:sz="2" w:space="0" w:color="auto"/>
              <w:left w:val="single" w:sz="2" w:space="0" w:color="auto"/>
              <w:bottom w:val="single" w:sz="2" w:space="0" w:color="auto"/>
              <w:right w:val="single" w:sz="2" w:space="0" w:color="auto"/>
            </w:tcBorders>
          </w:tcPr>
          <w:p w14:paraId="4616A49C" w14:textId="77777777" w:rsidR="009F4766" w:rsidRPr="00DE12A3" w:rsidRDefault="009F4766" w:rsidP="00C917D6">
            <w:pPr>
              <w:pStyle w:val="NormalLeft"/>
            </w:pPr>
            <w:r w:rsidRPr="00DE12A3">
              <w:t>991</w:t>
            </w:r>
          </w:p>
        </w:tc>
        <w:tc>
          <w:tcPr>
            <w:tcW w:w="2489" w:type="dxa"/>
            <w:tcBorders>
              <w:top w:val="single" w:sz="2" w:space="0" w:color="auto"/>
              <w:left w:val="single" w:sz="2" w:space="0" w:color="auto"/>
              <w:bottom w:val="single" w:sz="2" w:space="0" w:color="auto"/>
              <w:right w:val="single" w:sz="2" w:space="0" w:color="auto"/>
            </w:tcBorders>
          </w:tcPr>
          <w:p w14:paraId="6DB5CDC2" w14:textId="77777777" w:rsidR="009F4766" w:rsidRPr="00DE12A3" w:rsidRDefault="009F4766" w:rsidP="00C917D6">
            <w:pPr>
              <w:pStyle w:val="NormalLeft"/>
            </w:pPr>
            <w:r w:rsidRPr="00DE12A3">
              <w:t>93</w:t>
            </w:r>
          </w:p>
        </w:tc>
        <w:tc>
          <w:tcPr>
            <w:tcW w:w="2551" w:type="dxa"/>
            <w:tcBorders>
              <w:top w:val="single" w:sz="2" w:space="0" w:color="auto"/>
              <w:left w:val="single" w:sz="2" w:space="0" w:color="auto"/>
              <w:bottom w:val="single" w:sz="2" w:space="0" w:color="auto"/>
              <w:right w:val="single" w:sz="2" w:space="0" w:color="auto"/>
            </w:tcBorders>
          </w:tcPr>
          <w:p w14:paraId="72A38A8D" w14:textId="77777777" w:rsidR="009F4766" w:rsidRPr="00DE12A3" w:rsidRDefault="009F4766" w:rsidP="00C917D6">
            <w:pPr>
              <w:pStyle w:val="NormalLeft"/>
            </w:pPr>
            <w:r w:rsidRPr="00DE12A3">
              <w:t>43</w:t>
            </w:r>
          </w:p>
        </w:tc>
      </w:tr>
      <w:tr w:rsidR="00DE12A3" w:rsidRPr="00DE12A3" w14:paraId="7CEA71C5" w14:textId="77777777" w:rsidTr="009F4766">
        <w:tc>
          <w:tcPr>
            <w:tcW w:w="1182" w:type="dxa"/>
            <w:tcBorders>
              <w:top w:val="single" w:sz="2" w:space="0" w:color="auto"/>
              <w:left w:val="single" w:sz="2" w:space="0" w:color="auto"/>
              <w:bottom w:val="single" w:sz="2" w:space="0" w:color="auto"/>
              <w:right w:val="single" w:sz="2" w:space="0" w:color="auto"/>
            </w:tcBorders>
          </w:tcPr>
          <w:p w14:paraId="3D0E7A35" w14:textId="77777777" w:rsidR="009F4766" w:rsidRPr="00DE12A3" w:rsidRDefault="009F4766" w:rsidP="00C917D6">
            <w:pPr>
              <w:pStyle w:val="NormalLeft"/>
            </w:pPr>
            <w:r w:rsidRPr="00DE12A3">
              <w:t>992</w:t>
            </w:r>
          </w:p>
        </w:tc>
        <w:tc>
          <w:tcPr>
            <w:tcW w:w="2489" w:type="dxa"/>
            <w:tcBorders>
              <w:top w:val="single" w:sz="2" w:space="0" w:color="auto"/>
              <w:left w:val="single" w:sz="2" w:space="0" w:color="auto"/>
              <w:bottom w:val="single" w:sz="2" w:space="0" w:color="auto"/>
              <w:right w:val="single" w:sz="2" w:space="0" w:color="auto"/>
            </w:tcBorders>
          </w:tcPr>
          <w:p w14:paraId="6F7312D3" w14:textId="77777777" w:rsidR="009F4766" w:rsidRPr="00DE12A3" w:rsidRDefault="009F4766" w:rsidP="00C917D6">
            <w:pPr>
              <w:pStyle w:val="NormalLeft"/>
            </w:pPr>
            <w:r w:rsidRPr="00DE12A3">
              <w:t>93</w:t>
            </w:r>
          </w:p>
        </w:tc>
        <w:tc>
          <w:tcPr>
            <w:tcW w:w="2551" w:type="dxa"/>
            <w:tcBorders>
              <w:top w:val="single" w:sz="2" w:space="0" w:color="auto"/>
              <w:left w:val="single" w:sz="2" w:space="0" w:color="auto"/>
              <w:bottom w:val="single" w:sz="2" w:space="0" w:color="auto"/>
              <w:right w:val="single" w:sz="2" w:space="0" w:color="auto"/>
            </w:tcBorders>
          </w:tcPr>
          <w:p w14:paraId="2CA6251C" w14:textId="77777777" w:rsidR="009F4766" w:rsidRPr="00DE12A3" w:rsidRDefault="009F4766" w:rsidP="00C917D6">
            <w:pPr>
              <w:pStyle w:val="NormalLeft"/>
            </w:pPr>
            <w:r w:rsidRPr="00DE12A3">
              <w:t>37</w:t>
            </w:r>
          </w:p>
        </w:tc>
      </w:tr>
      <w:tr w:rsidR="00DE12A3" w:rsidRPr="00DE12A3" w14:paraId="7BB261CB" w14:textId="77777777" w:rsidTr="009F4766">
        <w:tc>
          <w:tcPr>
            <w:tcW w:w="1182" w:type="dxa"/>
            <w:tcBorders>
              <w:top w:val="single" w:sz="2" w:space="0" w:color="auto"/>
              <w:left w:val="single" w:sz="2" w:space="0" w:color="auto"/>
              <w:bottom w:val="single" w:sz="2" w:space="0" w:color="auto"/>
              <w:right w:val="single" w:sz="2" w:space="0" w:color="auto"/>
            </w:tcBorders>
          </w:tcPr>
          <w:p w14:paraId="491B8129" w14:textId="77777777" w:rsidR="009F4766" w:rsidRPr="00DE12A3" w:rsidRDefault="009F4766" w:rsidP="00C917D6">
            <w:pPr>
              <w:pStyle w:val="NormalLeft"/>
            </w:pPr>
            <w:r w:rsidRPr="00DE12A3">
              <w:t>993</w:t>
            </w:r>
          </w:p>
        </w:tc>
        <w:tc>
          <w:tcPr>
            <w:tcW w:w="2489" w:type="dxa"/>
            <w:tcBorders>
              <w:top w:val="single" w:sz="2" w:space="0" w:color="auto"/>
              <w:left w:val="single" w:sz="2" w:space="0" w:color="auto"/>
              <w:bottom w:val="single" w:sz="2" w:space="0" w:color="auto"/>
              <w:right w:val="single" w:sz="2" w:space="0" w:color="auto"/>
            </w:tcBorders>
          </w:tcPr>
          <w:p w14:paraId="3F36DFA1" w14:textId="77777777" w:rsidR="009F4766" w:rsidRPr="00DE12A3" w:rsidRDefault="009F4766" w:rsidP="00C917D6">
            <w:pPr>
              <w:pStyle w:val="NormalLeft"/>
            </w:pPr>
            <w:r w:rsidRPr="00DE12A3">
              <w:t>93</w:t>
            </w:r>
          </w:p>
        </w:tc>
        <w:tc>
          <w:tcPr>
            <w:tcW w:w="2551" w:type="dxa"/>
            <w:tcBorders>
              <w:top w:val="single" w:sz="2" w:space="0" w:color="auto"/>
              <w:left w:val="single" w:sz="2" w:space="0" w:color="auto"/>
              <w:bottom w:val="single" w:sz="2" w:space="0" w:color="auto"/>
              <w:right w:val="single" w:sz="2" w:space="0" w:color="auto"/>
            </w:tcBorders>
          </w:tcPr>
          <w:p w14:paraId="372E063F" w14:textId="77777777" w:rsidR="009F4766" w:rsidRPr="00DE12A3" w:rsidRDefault="009F4766" w:rsidP="00C917D6">
            <w:pPr>
              <w:pStyle w:val="NormalLeft"/>
            </w:pPr>
            <w:r w:rsidRPr="00DE12A3">
              <w:t>29</w:t>
            </w:r>
          </w:p>
        </w:tc>
      </w:tr>
      <w:tr w:rsidR="00DE12A3" w:rsidRPr="00DE12A3" w14:paraId="639A45A3" w14:textId="77777777" w:rsidTr="009F4766">
        <w:tc>
          <w:tcPr>
            <w:tcW w:w="1182" w:type="dxa"/>
            <w:tcBorders>
              <w:top w:val="single" w:sz="2" w:space="0" w:color="auto"/>
              <w:left w:val="single" w:sz="2" w:space="0" w:color="auto"/>
              <w:bottom w:val="single" w:sz="2" w:space="0" w:color="auto"/>
              <w:right w:val="single" w:sz="2" w:space="0" w:color="auto"/>
            </w:tcBorders>
          </w:tcPr>
          <w:p w14:paraId="055EB0D2" w14:textId="77777777" w:rsidR="009F4766" w:rsidRPr="00DE12A3" w:rsidRDefault="009F4766" w:rsidP="00C917D6">
            <w:pPr>
              <w:pStyle w:val="NormalLeft"/>
            </w:pPr>
            <w:r w:rsidRPr="00DE12A3">
              <w:t>994</w:t>
            </w:r>
          </w:p>
        </w:tc>
        <w:tc>
          <w:tcPr>
            <w:tcW w:w="2489" w:type="dxa"/>
            <w:tcBorders>
              <w:top w:val="single" w:sz="2" w:space="0" w:color="auto"/>
              <w:left w:val="single" w:sz="2" w:space="0" w:color="auto"/>
              <w:bottom w:val="single" w:sz="2" w:space="0" w:color="auto"/>
              <w:right w:val="single" w:sz="2" w:space="0" w:color="auto"/>
            </w:tcBorders>
          </w:tcPr>
          <w:p w14:paraId="1CB2165F" w14:textId="77777777" w:rsidR="009F4766" w:rsidRPr="00DE12A3" w:rsidRDefault="009F4766" w:rsidP="00C917D6">
            <w:pPr>
              <w:pStyle w:val="NormalLeft"/>
            </w:pPr>
            <w:r w:rsidRPr="00DE12A3">
              <w:t>93</w:t>
            </w:r>
          </w:p>
        </w:tc>
        <w:tc>
          <w:tcPr>
            <w:tcW w:w="2551" w:type="dxa"/>
            <w:tcBorders>
              <w:top w:val="single" w:sz="2" w:space="0" w:color="auto"/>
              <w:left w:val="single" w:sz="2" w:space="0" w:color="auto"/>
              <w:bottom w:val="single" w:sz="2" w:space="0" w:color="auto"/>
              <w:right w:val="single" w:sz="2" w:space="0" w:color="auto"/>
            </w:tcBorders>
          </w:tcPr>
          <w:p w14:paraId="7711092F" w14:textId="77777777" w:rsidR="009F4766" w:rsidRPr="00DE12A3" w:rsidRDefault="009F4766" w:rsidP="00C917D6">
            <w:pPr>
              <w:pStyle w:val="NormalLeft"/>
            </w:pPr>
            <w:r w:rsidRPr="00DE12A3">
              <w:t>23</w:t>
            </w:r>
          </w:p>
        </w:tc>
      </w:tr>
      <w:tr w:rsidR="00DE12A3" w:rsidRPr="00DE12A3" w14:paraId="32114378" w14:textId="77777777" w:rsidTr="009F4766">
        <w:tc>
          <w:tcPr>
            <w:tcW w:w="1182" w:type="dxa"/>
            <w:tcBorders>
              <w:top w:val="single" w:sz="2" w:space="0" w:color="auto"/>
              <w:left w:val="single" w:sz="2" w:space="0" w:color="auto"/>
              <w:bottom w:val="single" w:sz="2" w:space="0" w:color="auto"/>
              <w:right w:val="single" w:sz="2" w:space="0" w:color="auto"/>
            </w:tcBorders>
          </w:tcPr>
          <w:p w14:paraId="306E57E8" w14:textId="77777777" w:rsidR="009F4766" w:rsidRPr="00DE12A3" w:rsidRDefault="009F4766" w:rsidP="00C917D6">
            <w:pPr>
              <w:pStyle w:val="NormalLeft"/>
            </w:pPr>
            <w:r w:rsidRPr="00DE12A3">
              <w:t>995</w:t>
            </w:r>
          </w:p>
        </w:tc>
        <w:tc>
          <w:tcPr>
            <w:tcW w:w="2489" w:type="dxa"/>
            <w:tcBorders>
              <w:top w:val="single" w:sz="2" w:space="0" w:color="auto"/>
              <w:left w:val="single" w:sz="2" w:space="0" w:color="auto"/>
              <w:bottom w:val="single" w:sz="2" w:space="0" w:color="auto"/>
              <w:right w:val="single" w:sz="2" w:space="0" w:color="auto"/>
            </w:tcBorders>
          </w:tcPr>
          <w:p w14:paraId="142F2305" w14:textId="77777777" w:rsidR="009F4766" w:rsidRPr="00DE12A3" w:rsidRDefault="009F4766" w:rsidP="00C917D6">
            <w:pPr>
              <w:pStyle w:val="NormalLeft"/>
            </w:pPr>
            <w:r w:rsidRPr="00DE12A3">
              <w:t>93</w:t>
            </w:r>
          </w:p>
        </w:tc>
        <w:tc>
          <w:tcPr>
            <w:tcW w:w="2551" w:type="dxa"/>
            <w:tcBorders>
              <w:top w:val="single" w:sz="2" w:space="0" w:color="auto"/>
              <w:left w:val="single" w:sz="2" w:space="0" w:color="auto"/>
              <w:bottom w:val="single" w:sz="2" w:space="0" w:color="auto"/>
              <w:right w:val="single" w:sz="2" w:space="0" w:color="auto"/>
            </w:tcBorders>
          </w:tcPr>
          <w:p w14:paraId="6F5F3215" w14:textId="77777777" w:rsidR="009F4766" w:rsidRPr="00DE12A3" w:rsidRDefault="009F4766" w:rsidP="00C917D6">
            <w:pPr>
              <w:pStyle w:val="NormalLeft"/>
            </w:pPr>
            <w:r w:rsidRPr="00DE12A3">
              <w:t>20</w:t>
            </w:r>
          </w:p>
        </w:tc>
      </w:tr>
      <w:tr w:rsidR="00DE12A3" w:rsidRPr="00DE12A3" w14:paraId="15A2FF1E" w14:textId="77777777" w:rsidTr="009F4766">
        <w:tc>
          <w:tcPr>
            <w:tcW w:w="1182" w:type="dxa"/>
            <w:tcBorders>
              <w:top w:val="single" w:sz="2" w:space="0" w:color="auto"/>
              <w:left w:val="single" w:sz="2" w:space="0" w:color="auto"/>
              <w:bottom w:val="single" w:sz="2" w:space="0" w:color="auto"/>
              <w:right w:val="single" w:sz="2" w:space="0" w:color="auto"/>
            </w:tcBorders>
          </w:tcPr>
          <w:p w14:paraId="5B56258A" w14:textId="77777777" w:rsidR="009F4766" w:rsidRPr="00DE12A3" w:rsidRDefault="009F4766" w:rsidP="00C917D6">
            <w:pPr>
              <w:pStyle w:val="NormalLeft"/>
            </w:pPr>
            <w:r w:rsidRPr="00DE12A3">
              <w:t>996</w:t>
            </w:r>
          </w:p>
        </w:tc>
        <w:tc>
          <w:tcPr>
            <w:tcW w:w="2489" w:type="dxa"/>
            <w:tcBorders>
              <w:top w:val="single" w:sz="2" w:space="0" w:color="auto"/>
              <w:left w:val="single" w:sz="2" w:space="0" w:color="auto"/>
              <w:bottom w:val="single" w:sz="2" w:space="0" w:color="auto"/>
              <w:right w:val="single" w:sz="2" w:space="0" w:color="auto"/>
            </w:tcBorders>
          </w:tcPr>
          <w:p w14:paraId="12EAFBE6" w14:textId="77777777" w:rsidR="009F4766" w:rsidRPr="00DE12A3" w:rsidRDefault="009F4766" w:rsidP="00C917D6">
            <w:pPr>
              <w:pStyle w:val="NormalLeft"/>
            </w:pPr>
            <w:r w:rsidRPr="00DE12A3">
              <w:t>93</w:t>
            </w:r>
          </w:p>
        </w:tc>
        <w:tc>
          <w:tcPr>
            <w:tcW w:w="2551" w:type="dxa"/>
            <w:tcBorders>
              <w:top w:val="single" w:sz="2" w:space="0" w:color="auto"/>
              <w:left w:val="single" w:sz="2" w:space="0" w:color="auto"/>
              <w:bottom w:val="single" w:sz="2" w:space="0" w:color="auto"/>
              <w:right w:val="single" w:sz="2" w:space="0" w:color="auto"/>
            </w:tcBorders>
          </w:tcPr>
          <w:p w14:paraId="5BCE5515" w14:textId="77777777" w:rsidR="009F4766" w:rsidRPr="00DE12A3" w:rsidRDefault="009F4766" w:rsidP="00C917D6">
            <w:pPr>
              <w:pStyle w:val="NormalLeft"/>
            </w:pPr>
            <w:r w:rsidRPr="00DE12A3">
              <w:t>18</w:t>
            </w:r>
          </w:p>
        </w:tc>
      </w:tr>
      <w:tr w:rsidR="00DE12A3" w:rsidRPr="00DE12A3" w14:paraId="7495EE95" w14:textId="77777777" w:rsidTr="009F4766">
        <w:tc>
          <w:tcPr>
            <w:tcW w:w="1182" w:type="dxa"/>
            <w:tcBorders>
              <w:top w:val="single" w:sz="2" w:space="0" w:color="auto"/>
              <w:left w:val="single" w:sz="2" w:space="0" w:color="auto"/>
              <w:bottom w:val="single" w:sz="2" w:space="0" w:color="auto"/>
              <w:right w:val="single" w:sz="2" w:space="0" w:color="auto"/>
            </w:tcBorders>
          </w:tcPr>
          <w:p w14:paraId="2921D85F" w14:textId="77777777" w:rsidR="009F4766" w:rsidRPr="00DE12A3" w:rsidRDefault="009F4766" w:rsidP="00C917D6">
            <w:pPr>
              <w:pStyle w:val="NormalLeft"/>
            </w:pPr>
            <w:r w:rsidRPr="00DE12A3">
              <w:t>997</w:t>
            </w:r>
          </w:p>
        </w:tc>
        <w:tc>
          <w:tcPr>
            <w:tcW w:w="2489" w:type="dxa"/>
            <w:tcBorders>
              <w:top w:val="single" w:sz="2" w:space="0" w:color="auto"/>
              <w:left w:val="single" w:sz="2" w:space="0" w:color="auto"/>
              <w:bottom w:val="single" w:sz="2" w:space="0" w:color="auto"/>
              <w:right w:val="single" w:sz="2" w:space="0" w:color="auto"/>
            </w:tcBorders>
          </w:tcPr>
          <w:p w14:paraId="12769060" w14:textId="77777777" w:rsidR="009F4766" w:rsidRPr="00DE12A3" w:rsidRDefault="009F4766" w:rsidP="00C917D6">
            <w:pPr>
              <w:pStyle w:val="NormalLeft"/>
            </w:pPr>
            <w:r w:rsidRPr="00DE12A3">
              <w:t>93</w:t>
            </w:r>
          </w:p>
        </w:tc>
        <w:tc>
          <w:tcPr>
            <w:tcW w:w="2551" w:type="dxa"/>
            <w:tcBorders>
              <w:top w:val="single" w:sz="2" w:space="0" w:color="auto"/>
              <w:left w:val="single" w:sz="2" w:space="0" w:color="auto"/>
              <w:bottom w:val="single" w:sz="2" w:space="0" w:color="auto"/>
              <w:right w:val="single" w:sz="2" w:space="0" w:color="auto"/>
            </w:tcBorders>
          </w:tcPr>
          <w:p w14:paraId="698D80E0" w14:textId="77777777" w:rsidR="009F4766" w:rsidRPr="00DE12A3" w:rsidRDefault="009F4766" w:rsidP="00C917D6">
            <w:pPr>
              <w:pStyle w:val="NormalLeft"/>
            </w:pPr>
            <w:r w:rsidRPr="00DE12A3">
              <w:t>16</w:t>
            </w:r>
          </w:p>
        </w:tc>
      </w:tr>
      <w:tr w:rsidR="00DE12A3" w:rsidRPr="00DE12A3" w14:paraId="6348BD18" w14:textId="77777777" w:rsidTr="009F4766">
        <w:tc>
          <w:tcPr>
            <w:tcW w:w="1182" w:type="dxa"/>
            <w:tcBorders>
              <w:top w:val="single" w:sz="2" w:space="0" w:color="auto"/>
              <w:left w:val="single" w:sz="2" w:space="0" w:color="auto"/>
              <w:bottom w:val="single" w:sz="2" w:space="0" w:color="auto"/>
              <w:right w:val="single" w:sz="2" w:space="0" w:color="auto"/>
            </w:tcBorders>
          </w:tcPr>
          <w:p w14:paraId="36EEC8D5" w14:textId="77777777" w:rsidR="009F4766" w:rsidRPr="00DE12A3" w:rsidRDefault="009F4766" w:rsidP="00C917D6">
            <w:pPr>
              <w:pStyle w:val="NormalLeft"/>
            </w:pPr>
            <w:r w:rsidRPr="00DE12A3">
              <w:t>998</w:t>
            </w:r>
          </w:p>
        </w:tc>
        <w:tc>
          <w:tcPr>
            <w:tcW w:w="2489" w:type="dxa"/>
            <w:tcBorders>
              <w:top w:val="single" w:sz="2" w:space="0" w:color="auto"/>
              <w:left w:val="single" w:sz="2" w:space="0" w:color="auto"/>
              <w:bottom w:val="single" w:sz="2" w:space="0" w:color="auto"/>
              <w:right w:val="single" w:sz="2" w:space="0" w:color="auto"/>
            </w:tcBorders>
          </w:tcPr>
          <w:p w14:paraId="019B7337" w14:textId="77777777" w:rsidR="009F4766" w:rsidRPr="00DE12A3" w:rsidRDefault="009F4766" w:rsidP="00C917D6">
            <w:pPr>
              <w:pStyle w:val="NormalLeft"/>
            </w:pPr>
            <w:r w:rsidRPr="00DE12A3">
              <w:t>93</w:t>
            </w:r>
          </w:p>
        </w:tc>
        <w:tc>
          <w:tcPr>
            <w:tcW w:w="2551" w:type="dxa"/>
            <w:tcBorders>
              <w:top w:val="single" w:sz="2" w:space="0" w:color="auto"/>
              <w:left w:val="single" w:sz="2" w:space="0" w:color="auto"/>
              <w:bottom w:val="single" w:sz="2" w:space="0" w:color="auto"/>
              <w:right w:val="single" w:sz="2" w:space="0" w:color="auto"/>
            </w:tcBorders>
          </w:tcPr>
          <w:p w14:paraId="439FC4AB" w14:textId="77777777" w:rsidR="009F4766" w:rsidRPr="00DE12A3" w:rsidRDefault="009F4766" w:rsidP="00C917D6">
            <w:pPr>
              <w:pStyle w:val="NormalLeft"/>
            </w:pPr>
            <w:r w:rsidRPr="00DE12A3">
              <w:t>17</w:t>
            </w:r>
          </w:p>
        </w:tc>
      </w:tr>
      <w:tr w:rsidR="00DE12A3" w:rsidRPr="00DE12A3" w14:paraId="69EE2E18" w14:textId="77777777" w:rsidTr="009F4766">
        <w:tc>
          <w:tcPr>
            <w:tcW w:w="1182" w:type="dxa"/>
            <w:tcBorders>
              <w:top w:val="single" w:sz="2" w:space="0" w:color="auto"/>
              <w:left w:val="single" w:sz="2" w:space="0" w:color="auto"/>
              <w:bottom w:val="single" w:sz="2" w:space="0" w:color="auto"/>
              <w:right w:val="single" w:sz="2" w:space="0" w:color="auto"/>
            </w:tcBorders>
          </w:tcPr>
          <w:p w14:paraId="788B3960" w14:textId="77777777" w:rsidR="009F4766" w:rsidRPr="00DE12A3" w:rsidRDefault="009F4766" w:rsidP="00C917D6">
            <w:pPr>
              <w:pStyle w:val="NormalLeft"/>
            </w:pPr>
            <w:r w:rsidRPr="00DE12A3">
              <w:t>999</w:t>
            </w:r>
          </w:p>
        </w:tc>
        <w:tc>
          <w:tcPr>
            <w:tcW w:w="2489" w:type="dxa"/>
            <w:tcBorders>
              <w:top w:val="single" w:sz="2" w:space="0" w:color="auto"/>
              <w:left w:val="single" w:sz="2" w:space="0" w:color="auto"/>
              <w:bottom w:val="single" w:sz="2" w:space="0" w:color="auto"/>
              <w:right w:val="single" w:sz="2" w:space="0" w:color="auto"/>
            </w:tcBorders>
          </w:tcPr>
          <w:p w14:paraId="10251B27" w14:textId="77777777" w:rsidR="009F4766" w:rsidRPr="00DE12A3" w:rsidRDefault="009F4766" w:rsidP="00C917D6">
            <w:pPr>
              <w:pStyle w:val="NormalLeft"/>
            </w:pPr>
            <w:r w:rsidRPr="00DE12A3">
              <w:t>93</w:t>
            </w:r>
          </w:p>
        </w:tc>
        <w:tc>
          <w:tcPr>
            <w:tcW w:w="2551" w:type="dxa"/>
            <w:tcBorders>
              <w:top w:val="single" w:sz="2" w:space="0" w:color="auto"/>
              <w:left w:val="single" w:sz="2" w:space="0" w:color="auto"/>
              <w:bottom w:val="single" w:sz="2" w:space="0" w:color="auto"/>
              <w:right w:val="single" w:sz="2" w:space="0" w:color="auto"/>
            </w:tcBorders>
          </w:tcPr>
          <w:p w14:paraId="7A8F63A2" w14:textId="77777777" w:rsidR="009F4766" w:rsidRPr="00DE12A3" w:rsidRDefault="009F4766" w:rsidP="00C917D6">
            <w:pPr>
              <w:pStyle w:val="NormalLeft"/>
            </w:pPr>
            <w:r w:rsidRPr="00DE12A3">
              <w:t>16</w:t>
            </w:r>
          </w:p>
        </w:tc>
      </w:tr>
      <w:tr w:rsidR="00DE12A3" w:rsidRPr="00DE12A3" w14:paraId="1257C8AE" w14:textId="77777777" w:rsidTr="009F4766">
        <w:tc>
          <w:tcPr>
            <w:tcW w:w="1182" w:type="dxa"/>
            <w:tcBorders>
              <w:top w:val="single" w:sz="2" w:space="0" w:color="auto"/>
              <w:left w:val="single" w:sz="2" w:space="0" w:color="auto"/>
              <w:bottom w:val="single" w:sz="2" w:space="0" w:color="auto"/>
              <w:right w:val="single" w:sz="2" w:space="0" w:color="auto"/>
            </w:tcBorders>
          </w:tcPr>
          <w:p w14:paraId="716B2C74" w14:textId="77777777" w:rsidR="009F4766" w:rsidRPr="00DE12A3" w:rsidRDefault="009F4766" w:rsidP="00C917D6">
            <w:pPr>
              <w:pStyle w:val="NormalLeft"/>
            </w:pPr>
            <w:r w:rsidRPr="00DE12A3">
              <w:t>1000</w:t>
            </w:r>
          </w:p>
        </w:tc>
        <w:tc>
          <w:tcPr>
            <w:tcW w:w="2489" w:type="dxa"/>
            <w:tcBorders>
              <w:top w:val="single" w:sz="2" w:space="0" w:color="auto"/>
              <w:left w:val="single" w:sz="2" w:space="0" w:color="auto"/>
              <w:bottom w:val="single" w:sz="2" w:space="0" w:color="auto"/>
              <w:right w:val="single" w:sz="2" w:space="0" w:color="auto"/>
            </w:tcBorders>
          </w:tcPr>
          <w:p w14:paraId="379540E6" w14:textId="77777777" w:rsidR="009F4766" w:rsidRPr="00DE12A3" w:rsidRDefault="009F4766" w:rsidP="00C917D6">
            <w:pPr>
              <w:pStyle w:val="NormalLeft"/>
            </w:pPr>
            <w:r w:rsidRPr="00DE12A3">
              <w:t>93</w:t>
            </w:r>
          </w:p>
        </w:tc>
        <w:tc>
          <w:tcPr>
            <w:tcW w:w="2551" w:type="dxa"/>
            <w:tcBorders>
              <w:top w:val="single" w:sz="2" w:space="0" w:color="auto"/>
              <w:left w:val="single" w:sz="2" w:space="0" w:color="auto"/>
              <w:bottom w:val="single" w:sz="2" w:space="0" w:color="auto"/>
              <w:right w:val="single" w:sz="2" w:space="0" w:color="auto"/>
            </w:tcBorders>
          </w:tcPr>
          <w:p w14:paraId="73E77A9D" w14:textId="77777777" w:rsidR="009F4766" w:rsidRPr="00DE12A3" w:rsidRDefault="009F4766" w:rsidP="00C917D6">
            <w:pPr>
              <w:pStyle w:val="NormalLeft"/>
            </w:pPr>
            <w:r w:rsidRPr="00DE12A3">
              <w:t>15</w:t>
            </w:r>
          </w:p>
        </w:tc>
      </w:tr>
      <w:tr w:rsidR="00DE12A3" w:rsidRPr="00DE12A3" w14:paraId="3E52E85B" w14:textId="77777777" w:rsidTr="009F4766">
        <w:tc>
          <w:tcPr>
            <w:tcW w:w="1182" w:type="dxa"/>
            <w:tcBorders>
              <w:top w:val="single" w:sz="2" w:space="0" w:color="auto"/>
              <w:left w:val="single" w:sz="2" w:space="0" w:color="auto"/>
              <w:bottom w:val="single" w:sz="2" w:space="0" w:color="auto"/>
              <w:right w:val="single" w:sz="2" w:space="0" w:color="auto"/>
            </w:tcBorders>
          </w:tcPr>
          <w:p w14:paraId="4CBA8790" w14:textId="77777777" w:rsidR="009F4766" w:rsidRPr="00DE12A3" w:rsidRDefault="009F4766" w:rsidP="00C917D6">
            <w:pPr>
              <w:pStyle w:val="NormalLeft"/>
            </w:pPr>
            <w:r w:rsidRPr="00DE12A3">
              <w:t>1001</w:t>
            </w:r>
          </w:p>
        </w:tc>
        <w:tc>
          <w:tcPr>
            <w:tcW w:w="2489" w:type="dxa"/>
            <w:tcBorders>
              <w:top w:val="single" w:sz="2" w:space="0" w:color="auto"/>
              <w:left w:val="single" w:sz="2" w:space="0" w:color="auto"/>
              <w:bottom w:val="single" w:sz="2" w:space="0" w:color="auto"/>
              <w:right w:val="single" w:sz="2" w:space="0" w:color="auto"/>
            </w:tcBorders>
          </w:tcPr>
          <w:p w14:paraId="2AEF7CAD" w14:textId="77777777" w:rsidR="009F4766" w:rsidRPr="00DE12A3" w:rsidRDefault="009F4766" w:rsidP="00C917D6">
            <w:pPr>
              <w:pStyle w:val="NormalLeft"/>
            </w:pPr>
            <w:r w:rsidRPr="00DE12A3">
              <w:t>93</w:t>
            </w:r>
          </w:p>
        </w:tc>
        <w:tc>
          <w:tcPr>
            <w:tcW w:w="2551" w:type="dxa"/>
            <w:tcBorders>
              <w:top w:val="single" w:sz="2" w:space="0" w:color="auto"/>
              <w:left w:val="single" w:sz="2" w:space="0" w:color="auto"/>
              <w:bottom w:val="single" w:sz="2" w:space="0" w:color="auto"/>
              <w:right w:val="single" w:sz="2" w:space="0" w:color="auto"/>
            </w:tcBorders>
          </w:tcPr>
          <w:p w14:paraId="408EB8C3" w14:textId="77777777" w:rsidR="009F4766" w:rsidRPr="00DE12A3" w:rsidRDefault="009F4766" w:rsidP="00C917D6">
            <w:pPr>
              <w:pStyle w:val="NormalLeft"/>
            </w:pPr>
            <w:r w:rsidRPr="00DE12A3">
              <w:t>15</w:t>
            </w:r>
          </w:p>
        </w:tc>
      </w:tr>
      <w:tr w:rsidR="00DE12A3" w:rsidRPr="00DE12A3" w14:paraId="0DB7D451" w14:textId="77777777" w:rsidTr="009F4766">
        <w:tc>
          <w:tcPr>
            <w:tcW w:w="1182" w:type="dxa"/>
            <w:tcBorders>
              <w:top w:val="single" w:sz="2" w:space="0" w:color="auto"/>
              <w:left w:val="single" w:sz="2" w:space="0" w:color="auto"/>
              <w:bottom w:val="single" w:sz="2" w:space="0" w:color="auto"/>
              <w:right w:val="single" w:sz="2" w:space="0" w:color="auto"/>
            </w:tcBorders>
          </w:tcPr>
          <w:p w14:paraId="0DA8CAE5" w14:textId="77777777" w:rsidR="009F4766" w:rsidRPr="00DE12A3" w:rsidRDefault="009F4766" w:rsidP="00C917D6">
            <w:pPr>
              <w:pStyle w:val="NormalLeft"/>
            </w:pPr>
            <w:r w:rsidRPr="00DE12A3">
              <w:t>1002</w:t>
            </w:r>
          </w:p>
        </w:tc>
        <w:tc>
          <w:tcPr>
            <w:tcW w:w="2489" w:type="dxa"/>
            <w:tcBorders>
              <w:top w:val="single" w:sz="2" w:space="0" w:color="auto"/>
              <w:left w:val="single" w:sz="2" w:space="0" w:color="auto"/>
              <w:bottom w:val="single" w:sz="2" w:space="0" w:color="auto"/>
              <w:right w:val="single" w:sz="2" w:space="0" w:color="auto"/>
            </w:tcBorders>
          </w:tcPr>
          <w:p w14:paraId="1F7C72E2" w14:textId="77777777" w:rsidR="009F4766" w:rsidRPr="00DE12A3" w:rsidRDefault="009F4766" w:rsidP="00C917D6">
            <w:pPr>
              <w:pStyle w:val="NormalLeft"/>
            </w:pPr>
            <w:r w:rsidRPr="00DE12A3">
              <w:t>93</w:t>
            </w:r>
          </w:p>
        </w:tc>
        <w:tc>
          <w:tcPr>
            <w:tcW w:w="2551" w:type="dxa"/>
            <w:tcBorders>
              <w:top w:val="single" w:sz="2" w:space="0" w:color="auto"/>
              <w:left w:val="single" w:sz="2" w:space="0" w:color="auto"/>
              <w:bottom w:val="single" w:sz="2" w:space="0" w:color="auto"/>
              <w:right w:val="single" w:sz="2" w:space="0" w:color="auto"/>
            </w:tcBorders>
          </w:tcPr>
          <w:p w14:paraId="04500AB7" w14:textId="77777777" w:rsidR="009F4766" w:rsidRPr="00DE12A3" w:rsidRDefault="009F4766" w:rsidP="00C917D6">
            <w:pPr>
              <w:pStyle w:val="NormalLeft"/>
            </w:pPr>
            <w:r w:rsidRPr="00DE12A3">
              <w:t>15</w:t>
            </w:r>
          </w:p>
        </w:tc>
      </w:tr>
      <w:tr w:rsidR="00DE12A3" w:rsidRPr="00DE12A3" w14:paraId="4B71581F" w14:textId="77777777" w:rsidTr="009F4766">
        <w:tc>
          <w:tcPr>
            <w:tcW w:w="1182" w:type="dxa"/>
            <w:tcBorders>
              <w:top w:val="single" w:sz="2" w:space="0" w:color="auto"/>
              <w:left w:val="single" w:sz="2" w:space="0" w:color="auto"/>
              <w:bottom w:val="single" w:sz="2" w:space="0" w:color="auto"/>
              <w:right w:val="single" w:sz="2" w:space="0" w:color="auto"/>
            </w:tcBorders>
          </w:tcPr>
          <w:p w14:paraId="6058E5FD" w14:textId="77777777" w:rsidR="009F4766" w:rsidRPr="00DE12A3" w:rsidRDefault="009F4766" w:rsidP="00C917D6">
            <w:pPr>
              <w:pStyle w:val="NormalLeft"/>
            </w:pPr>
            <w:r w:rsidRPr="00DE12A3">
              <w:t>1003</w:t>
            </w:r>
          </w:p>
        </w:tc>
        <w:tc>
          <w:tcPr>
            <w:tcW w:w="2489" w:type="dxa"/>
            <w:tcBorders>
              <w:top w:val="single" w:sz="2" w:space="0" w:color="auto"/>
              <w:left w:val="single" w:sz="2" w:space="0" w:color="auto"/>
              <w:bottom w:val="single" w:sz="2" w:space="0" w:color="auto"/>
              <w:right w:val="single" w:sz="2" w:space="0" w:color="auto"/>
            </w:tcBorders>
          </w:tcPr>
          <w:p w14:paraId="4D7C0E73" w14:textId="77777777" w:rsidR="009F4766" w:rsidRPr="00DE12A3" w:rsidRDefault="009F4766" w:rsidP="00C917D6">
            <w:pPr>
              <w:pStyle w:val="NormalLeft"/>
            </w:pPr>
            <w:r w:rsidRPr="00DE12A3">
              <w:t>93</w:t>
            </w:r>
          </w:p>
        </w:tc>
        <w:tc>
          <w:tcPr>
            <w:tcW w:w="2551" w:type="dxa"/>
            <w:tcBorders>
              <w:top w:val="single" w:sz="2" w:space="0" w:color="auto"/>
              <w:left w:val="single" w:sz="2" w:space="0" w:color="auto"/>
              <w:bottom w:val="single" w:sz="2" w:space="0" w:color="auto"/>
              <w:right w:val="single" w:sz="2" w:space="0" w:color="auto"/>
            </w:tcBorders>
          </w:tcPr>
          <w:p w14:paraId="2B432F11" w14:textId="77777777" w:rsidR="009F4766" w:rsidRPr="00DE12A3" w:rsidRDefault="009F4766" w:rsidP="00C917D6">
            <w:pPr>
              <w:pStyle w:val="NormalLeft"/>
            </w:pPr>
            <w:r w:rsidRPr="00DE12A3">
              <w:t>14</w:t>
            </w:r>
          </w:p>
        </w:tc>
      </w:tr>
      <w:tr w:rsidR="00DE12A3" w:rsidRPr="00DE12A3" w14:paraId="045763FA" w14:textId="77777777" w:rsidTr="009F4766">
        <w:tc>
          <w:tcPr>
            <w:tcW w:w="1182" w:type="dxa"/>
            <w:tcBorders>
              <w:top w:val="single" w:sz="2" w:space="0" w:color="auto"/>
              <w:left w:val="single" w:sz="2" w:space="0" w:color="auto"/>
              <w:bottom w:val="single" w:sz="2" w:space="0" w:color="auto"/>
              <w:right w:val="single" w:sz="2" w:space="0" w:color="auto"/>
            </w:tcBorders>
          </w:tcPr>
          <w:p w14:paraId="564E78E6" w14:textId="77777777" w:rsidR="009F4766" w:rsidRPr="00DE12A3" w:rsidRDefault="009F4766" w:rsidP="00C917D6">
            <w:pPr>
              <w:pStyle w:val="NormalLeft"/>
            </w:pPr>
            <w:r w:rsidRPr="00DE12A3">
              <w:t>1004</w:t>
            </w:r>
          </w:p>
        </w:tc>
        <w:tc>
          <w:tcPr>
            <w:tcW w:w="2489" w:type="dxa"/>
            <w:tcBorders>
              <w:top w:val="single" w:sz="2" w:space="0" w:color="auto"/>
              <w:left w:val="single" w:sz="2" w:space="0" w:color="auto"/>
              <w:bottom w:val="single" w:sz="2" w:space="0" w:color="auto"/>
              <w:right w:val="single" w:sz="2" w:space="0" w:color="auto"/>
            </w:tcBorders>
          </w:tcPr>
          <w:p w14:paraId="1B80EF04" w14:textId="77777777" w:rsidR="009F4766" w:rsidRPr="00DE12A3" w:rsidRDefault="009F4766" w:rsidP="00C917D6">
            <w:pPr>
              <w:pStyle w:val="NormalLeft"/>
            </w:pPr>
            <w:r w:rsidRPr="00DE12A3">
              <w:t>93</w:t>
            </w:r>
          </w:p>
        </w:tc>
        <w:tc>
          <w:tcPr>
            <w:tcW w:w="2551" w:type="dxa"/>
            <w:tcBorders>
              <w:top w:val="single" w:sz="2" w:space="0" w:color="auto"/>
              <w:left w:val="single" w:sz="2" w:space="0" w:color="auto"/>
              <w:bottom w:val="single" w:sz="2" w:space="0" w:color="auto"/>
              <w:right w:val="single" w:sz="2" w:space="0" w:color="auto"/>
            </w:tcBorders>
          </w:tcPr>
          <w:p w14:paraId="3C5E2FAA" w14:textId="77777777" w:rsidR="009F4766" w:rsidRPr="00DE12A3" w:rsidRDefault="009F4766" w:rsidP="00C917D6">
            <w:pPr>
              <w:pStyle w:val="NormalLeft"/>
            </w:pPr>
            <w:r w:rsidRPr="00DE12A3">
              <w:t>15</w:t>
            </w:r>
          </w:p>
        </w:tc>
      </w:tr>
      <w:tr w:rsidR="00DE12A3" w:rsidRPr="00DE12A3" w14:paraId="65992EB1" w14:textId="77777777" w:rsidTr="009F4766">
        <w:tc>
          <w:tcPr>
            <w:tcW w:w="1182" w:type="dxa"/>
            <w:tcBorders>
              <w:top w:val="single" w:sz="2" w:space="0" w:color="auto"/>
              <w:left w:val="single" w:sz="2" w:space="0" w:color="auto"/>
              <w:bottom w:val="single" w:sz="2" w:space="0" w:color="auto"/>
              <w:right w:val="single" w:sz="2" w:space="0" w:color="auto"/>
            </w:tcBorders>
          </w:tcPr>
          <w:p w14:paraId="27A331C8" w14:textId="77777777" w:rsidR="009F4766" w:rsidRPr="00DE12A3" w:rsidRDefault="009F4766" w:rsidP="00C917D6">
            <w:pPr>
              <w:pStyle w:val="NormalLeft"/>
            </w:pPr>
            <w:r w:rsidRPr="00DE12A3">
              <w:t>1005</w:t>
            </w:r>
          </w:p>
        </w:tc>
        <w:tc>
          <w:tcPr>
            <w:tcW w:w="2489" w:type="dxa"/>
            <w:tcBorders>
              <w:top w:val="single" w:sz="2" w:space="0" w:color="auto"/>
              <w:left w:val="single" w:sz="2" w:space="0" w:color="auto"/>
              <w:bottom w:val="single" w:sz="2" w:space="0" w:color="auto"/>
              <w:right w:val="single" w:sz="2" w:space="0" w:color="auto"/>
            </w:tcBorders>
          </w:tcPr>
          <w:p w14:paraId="3AB995D5" w14:textId="77777777" w:rsidR="009F4766" w:rsidRPr="00DE12A3" w:rsidRDefault="009F4766" w:rsidP="00C917D6">
            <w:pPr>
              <w:pStyle w:val="NormalLeft"/>
            </w:pPr>
            <w:r w:rsidRPr="00DE12A3">
              <w:t>93</w:t>
            </w:r>
          </w:p>
        </w:tc>
        <w:tc>
          <w:tcPr>
            <w:tcW w:w="2551" w:type="dxa"/>
            <w:tcBorders>
              <w:top w:val="single" w:sz="2" w:space="0" w:color="auto"/>
              <w:left w:val="single" w:sz="2" w:space="0" w:color="auto"/>
              <w:bottom w:val="single" w:sz="2" w:space="0" w:color="auto"/>
              <w:right w:val="single" w:sz="2" w:space="0" w:color="auto"/>
            </w:tcBorders>
          </w:tcPr>
          <w:p w14:paraId="7CB5CD7D" w14:textId="77777777" w:rsidR="009F4766" w:rsidRPr="00DE12A3" w:rsidRDefault="009F4766" w:rsidP="00C917D6">
            <w:pPr>
              <w:pStyle w:val="NormalLeft"/>
            </w:pPr>
            <w:r w:rsidRPr="00DE12A3">
              <w:t>15</w:t>
            </w:r>
          </w:p>
        </w:tc>
      </w:tr>
      <w:tr w:rsidR="00DE12A3" w:rsidRPr="00DE12A3" w14:paraId="4510F7B9" w14:textId="77777777" w:rsidTr="009F4766">
        <w:tc>
          <w:tcPr>
            <w:tcW w:w="1182" w:type="dxa"/>
            <w:tcBorders>
              <w:top w:val="single" w:sz="2" w:space="0" w:color="auto"/>
              <w:left w:val="single" w:sz="2" w:space="0" w:color="auto"/>
              <w:bottom w:val="single" w:sz="2" w:space="0" w:color="auto"/>
              <w:right w:val="single" w:sz="2" w:space="0" w:color="auto"/>
            </w:tcBorders>
          </w:tcPr>
          <w:p w14:paraId="40A126ED" w14:textId="77777777" w:rsidR="009F4766" w:rsidRPr="00DE12A3" w:rsidRDefault="009F4766" w:rsidP="00C917D6">
            <w:pPr>
              <w:pStyle w:val="NormalLeft"/>
            </w:pPr>
            <w:r w:rsidRPr="00DE12A3">
              <w:t>1006</w:t>
            </w:r>
          </w:p>
        </w:tc>
        <w:tc>
          <w:tcPr>
            <w:tcW w:w="2489" w:type="dxa"/>
            <w:tcBorders>
              <w:top w:val="single" w:sz="2" w:space="0" w:color="auto"/>
              <w:left w:val="single" w:sz="2" w:space="0" w:color="auto"/>
              <w:bottom w:val="single" w:sz="2" w:space="0" w:color="auto"/>
              <w:right w:val="single" w:sz="2" w:space="0" w:color="auto"/>
            </w:tcBorders>
          </w:tcPr>
          <w:p w14:paraId="015F17C9" w14:textId="77777777" w:rsidR="009F4766" w:rsidRPr="00DE12A3" w:rsidRDefault="009F4766" w:rsidP="00C917D6">
            <w:pPr>
              <w:pStyle w:val="NormalLeft"/>
            </w:pPr>
            <w:r w:rsidRPr="00DE12A3">
              <w:t>93</w:t>
            </w:r>
          </w:p>
        </w:tc>
        <w:tc>
          <w:tcPr>
            <w:tcW w:w="2551" w:type="dxa"/>
            <w:tcBorders>
              <w:top w:val="single" w:sz="2" w:space="0" w:color="auto"/>
              <w:left w:val="single" w:sz="2" w:space="0" w:color="auto"/>
              <w:bottom w:val="single" w:sz="2" w:space="0" w:color="auto"/>
              <w:right w:val="single" w:sz="2" w:space="0" w:color="auto"/>
            </w:tcBorders>
          </w:tcPr>
          <w:p w14:paraId="38202AA6" w14:textId="77777777" w:rsidR="009F4766" w:rsidRPr="00DE12A3" w:rsidRDefault="009F4766" w:rsidP="00C917D6">
            <w:pPr>
              <w:pStyle w:val="NormalLeft"/>
            </w:pPr>
            <w:r w:rsidRPr="00DE12A3">
              <w:t>14</w:t>
            </w:r>
          </w:p>
        </w:tc>
      </w:tr>
      <w:tr w:rsidR="00DE12A3" w:rsidRPr="00DE12A3" w14:paraId="594F5828" w14:textId="77777777" w:rsidTr="009F4766">
        <w:tc>
          <w:tcPr>
            <w:tcW w:w="1182" w:type="dxa"/>
            <w:tcBorders>
              <w:top w:val="single" w:sz="2" w:space="0" w:color="auto"/>
              <w:left w:val="single" w:sz="2" w:space="0" w:color="auto"/>
              <w:bottom w:val="single" w:sz="2" w:space="0" w:color="auto"/>
              <w:right w:val="single" w:sz="2" w:space="0" w:color="auto"/>
            </w:tcBorders>
          </w:tcPr>
          <w:p w14:paraId="36FC5C35" w14:textId="77777777" w:rsidR="009F4766" w:rsidRPr="00DE12A3" w:rsidRDefault="009F4766" w:rsidP="00C917D6">
            <w:pPr>
              <w:pStyle w:val="NormalLeft"/>
            </w:pPr>
            <w:r w:rsidRPr="00DE12A3">
              <w:t>1007</w:t>
            </w:r>
          </w:p>
        </w:tc>
        <w:tc>
          <w:tcPr>
            <w:tcW w:w="2489" w:type="dxa"/>
            <w:tcBorders>
              <w:top w:val="single" w:sz="2" w:space="0" w:color="auto"/>
              <w:left w:val="single" w:sz="2" w:space="0" w:color="auto"/>
              <w:bottom w:val="single" w:sz="2" w:space="0" w:color="auto"/>
              <w:right w:val="single" w:sz="2" w:space="0" w:color="auto"/>
            </w:tcBorders>
          </w:tcPr>
          <w:p w14:paraId="0A6A3B98" w14:textId="77777777" w:rsidR="009F4766" w:rsidRPr="00DE12A3" w:rsidRDefault="009F4766" w:rsidP="00C917D6">
            <w:pPr>
              <w:pStyle w:val="NormalLeft"/>
            </w:pPr>
            <w:r w:rsidRPr="00DE12A3">
              <w:t>93</w:t>
            </w:r>
          </w:p>
        </w:tc>
        <w:tc>
          <w:tcPr>
            <w:tcW w:w="2551" w:type="dxa"/>
            <w:tcBorders>
              <w:top w:val="single" w:sz="2" w:space="0" w:color="auto"/>
              <w:left w:val="single" w:sz="2" w:space="0" w:color="auto"/>
              <w:bottom w:val="single" w:sz="2" w:space="0" w:color="auto"/>
              <w:right w:val="single" w:sz="2" w:space="0" w:color="auto"/>
            </w:tcBorders>
          </w:tcPr>
          <w:p w14:paraId="287CDDA2" w14:textId="77777777" w:rsidR="009F4766" w:rsidRPr="00DE12A3" w:rsidRDefault="009F4766" w:rsidP="00C917D6">
            <w:pPr>
              <w:pStyle w:val="NormalLeft"/>
            </w:pPr>
            <w:r w:rsidRPr="00DE12A3">
              <w:t>13</w:t>
            </w:r>
          </w:p>
        </w:tc>
      </w:tr>
      <w:tr w:rsidR="00DE12A3" w:rsidRPr="00DE12A3" w14:paraId="154AF2DC" w14:textId="77777777" w:rsidTr="009F4766">
        <w:tc>
          <w:tcPr>
            <w:tcW w:w="1182" w:type="dxa"/>
            <w:tcBorders>
              <w:top w:val="single" w:sz="2" w:space="0" w:color="auto"/>
              <w:left w:val="single" w:sz="2" w:space="0" w:color="auto"/>
              <w:bottom w:val="single" w:sz="2" w:space="0" w:color="auto"/>
              <w:right w:val="single" w:sz="2" w:space="0" w:color="auto"/>
            </w:tcBorders>
          </w:tcPr>
          <w:p w14:paraId="53F5DB3C" w14:textId="77777777" w:rsidR="009F4766" w:rsidRPr="00DE12A3" w:rsidRDefault="009F4766" w:rsidP="00C917D6">
            <w:pPr>
              <w:pStyle w:val="NormalLeft"/>
            </w:pPr>
            <w:r w:rsidRPr="00DE12A3">
              <w:t>1008</w:t>
            </w:r>
          </w:p>
        </w:tc>
        <w:tc>
          <w:tcPr>
            <w:tcW w:w="2489" w:type="dxa"/>
            <w:tcBorders>
              <w:top w:val="single" w:sz="2" w:space="0" w:color="auto"/>
              <w:left w:val="single" w:sz="2" w:space="0" w:color="auto"/>
              <w:bottom w:val="single" w:sz="2" w:space="0" w:color="auto"/>
              <w:right w:val="single" w:sz="2" w:space="0" w:color="auto"/>
            </w:tcBorders>
          </w:tcPr>
          <w:p w14:paraId="19E86B6F" w14:textId="77777777" w:rsidR="009F4766" w:rsidRPr="00DE12A3" w:rsidRDefault="009F4766" w:rsidP="00C917D6">
            <w:pPr>
              <w:pStyle w:val="NormalLeft"/>
            </w:pPr>
            <w:r w:rsidRPr="00DE12A3">
              <w:t>93</w:t>
            </w:r>
          </w:p>
        </w:tc>
        <w:tc>
          <w:tcPr>
            <w:tcW w:w="2551" w:type="dxa"/>
            <w:tcBorders>
              <w:top w:val="single" w:sz="2" w:space="0" w:color="auto"/>
              <w:left w:val="single" w:sz="2" w:space="0" w:color="auto"/>
              <w:bottom w:val="single" w:sz="2" w:space="0" w:color="auto"/>
              <w:right w:val="single" w:sz="2" w:space="0" w:color="auto"/>
            </w:tcBorders>
          </w:tcPr>
          <w:p w14:paraId="046E449D" w14:textId="77777777" w:rsidR="009F4766" w:rsidRPr="00DE12A3" w:rsidRDefault="009F4766" w:rsidP="00C917D6">
            <w:pPr>
              <w:pStyle w:val="NormalLeft"/>
            </w:pPr>
            <w:r w:rsidRPr="00DE12A3">
              <w:t>14</w:t>
            </w:r>
          </w:p>
        </w:tc>
      </w:tr>
      <w:tr w:rsidR="00DE12A3" w:rsidRPr="00DE12A3" w14:paraId="02CB67EC" w14:textId="77777777" w:rsidTr="009F4766">
        <w:tc>
          <w:tcPr>
            <w:tcW w:w="1182" w:type="dxa"/>
            <w:tcBorders>
              <w:top w:val="single" w:sz="2" w:space="0" w:color="auto"/>
              <w:left w:val="single" w:sz="2" w:space="0" w:color="auto"/>
              <w:bottom w:val="single" w:sz="2" w:space="0" w:color="auto"/>
              <w:right w:val="single" w:sz="2" w:space="0" w:color="auto"/>
            </w:tcBorders>
          </w:tcPr>
          <w:p w14:paraId="7753A1C2" w14:textId="77777777" w:rsidR="009F4766" w:rsidRPr="00DE12A3" w:rsidRDefault="009F4766" w:rsidP="00C917D6">
            <w:pPr>
              <w:pStyle w:val="NormalLeft"/>
            </w:pPr>
            <w:r w:rsidRPr="00DE12A3">
              <w:t>1009</w:t>
            </w:r>
          </w:p>
        </w:tc>
        <w:tc>
          <w:tcPr>
            <w:tcW w:w="2489" w:type="dxa"/>
            <w:tcBorders>
              <w:top w:val="single" w:sz="2" w:space="0" w:color="auto"/>
              <w:left w:val="single" w:sz="2" w:space="0" w:color="auto"/>
              <w:bottom w:val="single" w:sz="2" w:space="0" w:color="auto"/>
              <w:right w:val="single" w:sz="2" w:space="0" w:color="auto"/>
            </w:tcBorders>
          </w:tcPr>
          <w:p w14:paraId="5E718663" w14:textId="77777777" w:rsidR="009F4766" w:rsidRPr="00DE12A3" w:rsidRDefault="009F4766" w:rsidP="00C917D6">
            <w:pPr>
              <w:pStyle w:val="NormalLeft"/>
            </w:pPr>
            <w:r w:rsidRPr="00DE12A3">
              <w:t>93</w:t>
            </w:r>
          </w:p>
        </w:tc>
        <w:tc>
          <w:tcPr>
            <w:tcW w:w="2551" w:type="dxa"/>
            <w:tcBorders>
              <w:top w:val="single" w:sz="2" w:space="0" w:color="auto"/>
              <w:left w:val="single" w:sz="2" w:space="0" w:color="auto"/>
              <w:bottom w:val="single" w:sz="2" w:space="0" w:color="auto"/>
              <w:right w:val="single" w:sz="2" w:space="0" w:color="auto"/>
            </w:tcBorders>
          </w:tcPr>
          <w:p w14:paraId="443D67FF" w14:textId="77777777" w:rsidR="009F4766" w:rsidRPr="00DE12A3" w:rsidRDefault="009F4766" w:rsidP="00C917D6">
            <w:pPr>
              <w:pStyle w:val="NormalLeft"/>
            </w:pPr>
            <w:r w:rsidRPr="00DE12A3">
              <w:t>14</w:t>
            </w:r>
          </w:p>
        </w:tc>
      </w:tr>
      <w:tr w:rsidR="00DE12A3" w:rsidRPr="00DE12A3" w14:paraId="24D9184A" w14:textId="77777777" w:rsidTr="009F4766">
        <w:tc>
          <w:tcPr>
            <w:tcW w:w="1182" w:type="dxa"/>
            <w:tcBorders>
              <w:top w:val="single" w:sz="2" w:space="0" w:color="auto"/>
              <w:left w:val="single" w:sz="2" w:space="0" w:color="auto"/>
              <w:bottom w:val="single" w:sz="2" w:space="0" w:color="auto"/>
              <w:right w:val="single" w:sz="2" w:space="0" w:color="auto"/>
            </w:tcBorders>
          </w:tcPr>
          <w:p w14:paraId="505E8ABF" w14:textId="77777777" w:rsidR="009F4766" w:rsidRPr="00DE12A3" w:rsidRDefault="009F4766" w:rsidP="00C917D6">
            <w:pPr>
              <w:pStyle w:val="NormalLeft"/>
            </w:pPr>
            <w:r w:rsidRPr="00DE12A3">
              <w:t>1010</w:t>
            </w:r>
          </w:p>
        </w:tc>
        <w:tc>
          <w:tcPr>
            <w:tcW w:w="2489" w:type="dxa"/>
            <w:tcBorders>
              <w:top w:val="single" w:sz="2" w:space="0" w:color="auto"/>
              <w:left w:val="single" w:sz="2" w:space="0" w:color="auto"/>
              <w:bottom w:val="single" w:sz="2" w:space="0" w:color="auto"/>
              <w:right w:val="single" w:sz="2" w:space="0" w:color="auto"/>
            </w:tcBorders>
          </w:tcPr>
          <w:p w14:paraId="55FD9C33" w14:textId="77777777" w:rsidR="009F4766" w:rsidRPr="00DE12A3" w:rsidRDefault="009F4766" w:rsidP="00C917D6">
            <w:pPr>
              <w:pStyle w:val="NormalLeft"/>
            </w:pPr>
            <w:r w:rsidRPr="00DE12A3">
              <w:t>93</w:t>
            </w:r>
          </w:p>
        </w:tc>
        <w:tc>
          <w:tcPr>
            <w:tcW w:w="2551" w:type="dxa"/>
            <w:tcBorders>
              <w:top w:val="single" w:sz="2" w:space="0" w:color="auto"/>
              <w:left w:val="single" w:sz="2" w:space="0" w:color="auto"/>
              <w:bottom w:val="single" w:sz="2" w:space="0" w:color="auto"/>
              <w:right w:val="single" w:sz="2" w:space="0" w:color="auto"/>
            </w:tcBorders>
          </w:tcPr>
          <w:p w14:paraId="7D5E470F" w14:textId="77777777" w:rsidR="009F4766" w:rsidRPr="00DE12A3" w:rsidRDefault="009F4766" w:rsidP="00C917D6">
            <w:pPr>
              <w:pStyle w:val="NormalLeft"/>
            </w:pPr>
            <w:r w:rsidRPr="00DE12A3">
              <w:t>15</w:t>
            </w:r>
          </w:p>
        </w:tc>
      </w:tr>
      <w:tr w:rsidR="00DE12A3" w:rsidRPr="00DE12A3" w14:paraId="12D49F67" w14:textId="77777777" w:rsidTr="009F4766">
        <w:tc>
          <w:tcPr>
            <w:tcW w:w="1182" w:type="dxa"/>
            <w:tcBorders>
              <w:top w:val="single" w:sz="2" w:space="0" w:color="auto"/>
              <w:left w:val="single" w:sz="2" w:space="0" w:color="auto"/>
              <w:bottom w:val="single" w:sz="2" w:space="0" w:color="auto"/>
              <w:right w:val="single" w:sz="2" w:space="0" w:color="auto"/>
            </w:tcBorders>
          </w:tcPr>
          <w:p w14:paraId="3785A2E1" w14:textId="77777777" w:rsidR="009F4766" w:rsidRPr="00DE12A3" w:rsidRDefault="009F4766" w:rsidP="00C917D6">
            <w:pPr>
              <w:pStyle w:val="NormalLeft"/>
            </w:pPr>
            <w:r w:rsidRPr="00DE12A3">
              <w:lastRenderedPageBreak/>
              <w:t>1011</w:t>
            </w:r>
          </w:p>
        </w:tc>
        <w:tc>
          <w:tcPr>
            <w:tcW w:w="2489" w:type="dxa"/>
            <w:tcBorders>
              <w:top w:val="single" w:sz="2" w:space="0" w:color="auto"/>
              <w:left w:val="single" w:sz="2" w:space="0" w:color="auto"/>
              <w:bottom w:val="single" w:sz="2" w:space="0" w:color="auto"/>
              <w:right w:val="single" w:sz="2" w:space="0" w:color="auto"/>
            </w:tcBorders>
          </w:tcPr>
          <w:p w14:paraId="1CC65CF8" w14:textId="77777777" w:rsidR="009F4766" w:rsidRPr="00DE12A3" w:rsidRDefault="009F4766" w:rsidP="00C917D6">
            <w:pPr>
              <w:pStyle w:val="NormalLeft"/>
            </w:pPr>
            <w:r w:rsidRPr="00DE12A3">
              <w:t>93</w:t>
            </w:r>
          </w:p>
        </w:tc>
        <w:tc>
          <w:tcPr>
            <w:tcW w:w="2551" w:type="dxa"/>
            <w:tcBorders>
              <w:top w:val="single" w:sz="2" w:space="0" w:color="auto"/>
              <w:left w:val="single" w:sz="2" w:space="0" w:color="auto"/>
              <w:bottom w:val="single" w:sz="2" w:space="0" w:color="auto"/>
              <w:right w:val="single" w:sz="2" w:space="0" w:color="auto"/>
            </w:tcBorders>
          </w:tcPr>
          <w:p w14:paraId="00E957A9" w14:textId="77777777" w:rsidR="009F4766" w:rsidRPr="00DE12A3" w:rsidRDefault="009F4766" w:rsidP="00C917D6">
            <w:pPr>
              <w:pStyle w:val="NormalLeft"/>
            </w:pPr>
            <w:r w:rsidRPr="00DE12A3">
              <w:t>16</w:t>
            </w:r>
          </w:p>
        </w:tc>
      </w:tr>
      <w:tr w:rsidR="00DE12A3" w:rsidRPr="00DE12A3" w14:paraId="64EA00CA" w14:textId="77777777" w:rsidTr="009F4766">
        <w:tc>
          <w:tcPr>
            <w:tcW w:w="1182" w:type="dxa"/>
            <w:tcBorders>
              <w:top w:val="single" w:sz="2" w:space="0" w:color="auto"/>
              <w:left w:val="single" w:sz="2" w:space="0" w:color="auto"/>
              <w:bottom w:val="single" w:sz="2" w:space="0" w:color="auto"/>
              <w:right w:val="single" w:sz="2" w:space="0" w:color="auto"/>
            </w:tcBorders>
          </w:tcPr>
          <w:p w14:paraId="01F3DDF5" w14:textId="77777777" w:rsidR="009F4766" w:rsidRPr="00DE12A3" w:rsidRDefault="009F4766" w:rsidP="00C917D6">
            <w:pPr>
              <w:pStyle w:val="NormalLeft"/>
            </w:pPr>
            <w:r w:rsidRPr="00DE12A3">
              <w:t>1012</w:t>
            </w:r>
          </w:p>
        </w:tc>
        <w:tc>
          <w:tcPr>
            <w:tcW w:w="2489" w:type="dxa"/>
            <w:tcBorders>
              <w:top w:val="single" w:sz="2" w:space="0" w:color="auto"/>
              <w:left w:val="single" w:sz="2" w:space="0" w:color="auto"/>
              <w:bottom w:val="single" w:sz="2" w:space="0" w:color="auto"/>
              <w:right w:val="single" w:sz="2" w:space="0" w:color="auto"/>
            </w:tcBorders>
          </w:tcPr>
          <w:p w14:paraId="0396AD14" w14:textId="77777777" w:rsidR="009F4766" w:rsidRPr="00DE12A3" w:rsidRDefault="009F4766" w:rsidP="00C917D6">
            <w:pPr>
              <w:pStyle w:val="NormalLeft"/>
            </w:pPr>
            <w:r w:rsidRPr="00DE12A3">
              <w:t>93</w:t>
            </w:r>
          </w:p>
        </w:tc>
        <w:tc>
          <w:tcPr>
            <w:tcW w:w="2551" w:type="dxa"/>
            <w:tcBorders>
              <w:top w:val="single" w:sz="2" w:space="0" w:color="auto"/>
              <w:left w:val="single" w:sz="2" w:space="0" w:color="auto"/>
              <w:bottom w:val="single" w:sz="2" w:space="0" w:color="auto"/>
              <w:right w:val="single" w:sz="2" w:space="0" w:color="auto"/>
            </w:tcBorders>
          </w:tcPr>
          <w:p w14:paraId="467A826A" w14:textId="77777777" w:rsidR="009F4766" w:rsidRPr="00DE12A3" w:rsidRDefault="009F4766" w:rsidP="00C917D6">
            <w:pPr>
              <w:pStyle w:val="NormalLeft"/>
            </w:pPr>
            <w:r w:rsidRPr="00DE12A3">
              <w:t>17</w:t>
            </w:r>
          </w:p>
        </w:tc>
      </w:tr>
      <w:tr w:rsidR="00DE12A3" w:rsidRPr="00DE12A3" w14:paraId="014F15D4" w14:textId="77777777" w:rsidTr="009F4766">
        <w:tc>
          <w:tcPr>
            <w:tcW w:w="1182" w:type="dxa"/>
            <w:tcBorders>
              <w:top w:val="single" w:sz="2" w:space="0" w:color="auto"/>
              <w:left w:val="single" w:sz="2" w:space="0" w:color="auto"/>
              <w:bottom w:val="single" w:sz="2" w:space="0" w:color="auto"/>
              <w:right w:val="single" w:sz="2" w:space="0" w:color="auto"/>
            </w:tcBorders>
          </w:tcPr>
          <w:p w14:paraId="002D27FE" w14:textId="77777777" w:rsidR="009F4766" w:rsidRPr="00DE12A3" w:rsidRDefault="009F4766" w:rsidP="00C917D6">
            <w:pPr>
              <w:pStyle w:val="NormalLeft"/>
            </w:pPr>
            <w:r w:rsidRPr="00DE12A3">
              <w:t>1013</w:t>
            </w:r>
          </w:p>
        </w:tc>
        <w:tc>
          <w:tcPr>
            <w:tcW w:w="2489" w:type="dxa"/>
            <w:tcBorders>
              <w:top w:val="single" w:sz="2" w:space="0" w:color="auto"/>
              <w:left w:val="single" w:sz="2" w:space="0" w:color="auto"/>
              <w:bottom w:val="single" w:sz="2" w:space="0" w:color="auto"/>
              <w:right w:val="single" w:sz="2" w:space="0" w:color="auto"/>
            </w:tcBorders>
          </w:tcPr>
          <w:p w14:paraId="5F63F03F" w14:textId="77777777" w:rsidR="009F4766" w:rsidRPr="00DE12A3" w:rsidRDefault="009F4766" w:rsidP="00C917D6">
            <w:pPr>
              <w:pStyle w:val="NormalLeft"/>
            </w:pPr>
            <w:r w:rsidRPr="00DE12A3">
              <w:t>93</w:t>
            </w:r>
          </w:p>
        </w:tc>
        <w:tc>
          <w:tcPr>
            <w:tcW w:w="2551" w:type="dxa"/>
            <w:tcBorders>
              <w:top w:val="single" w:sz="2" w:space="0" w:color="auto"/>
              <w:left w:val="single" w:sz="2" w:space="0" w:color="auto"/>
              <w:bottom w:val="single" w:sz="2" w:space="0" w:color="auto"/>
              <w:right w:val="single" w:sz="2" w:space="0" w:color="auto"/>
            </w:tcBorders>
          </w:tcPr>
          <w:p w14:paraId="18048AD7" w14:textId="77777777" w:rsidR="009F4766" w:rsidRPr="00DE12A3" w:rsidRDefault="009F4766" w:rsidP="00C917D6">
            <w:pPr>
              <w:pStyle w:val="NormalLeft"/>
            </w:pPr>
            <w:r w:rsidRPr="00DE12A3">
              <w:t>20</w:t>
            </w:r>
          </w:p>
        </w:tc>
      </w:tr>
      <w:tr w:rsidR="00DE12A3" w:rsidRPr="00DE12A3" w14:paraId="5049AF25" w14:textId="77777777" w:rsidTr="009F4766">
        <w:tc>
          <w:tcPr>
            <w:tcW w:w="1182" w:type="dxa"/>
            <w:tcBorders>
              <w:top w:val="single" w:sz="2" w:space="0" w:color="auto"/>
              <w:left w:val="single" w:sz="2" w:space="0" w:color="auto"/>
              <w:bottom w:val="single" w:sz="2" w:space="0" w:color="auto"/>
              <w:right w:val="single" w:sz="2" w:space="0" w:color="auto"/>
            </w:tcBorders>
          </w:tcPr>
          <w:p w14:paraId="52051093" w14:textId="77777777" w:rsidR="009F4766" w:rsidRPr="00DE12A3" w:rsidRDefault="009F4766" w:rsidP="00C917D6">
            <w:pPr>
              <w:pStyle w:val="NormalLeft"/>
            </w:pPr>
            <w:r w:rsidRPr="00DE12A3">
              <w:t>1014</w:t>
            </w:r>
          </w:p>
        </w:tc>
        <w:tc>
          <w:tcPr>
            <w:tcW w:w="2489" w:type="dxa"/>
            <w:tcBorders>
              <w:top w:val="single" w:sz="2" w:space="0" w:color="auto"/>
              <w:left w:val="single" w:sz="2" w:space="0" w:color="auto"/>
              <w:bottom w:val="single" w:sz="2" w:space="0" w:color="auto"/>
              <w:right w:val="single" w:sz="2" w:space="0" w:color="auto"/>
            </w:tcBorders>
          </w:tcPr>
          <w:p w14:paraId="2759B7D7" w14:textId="77777777" w:rsidR="009F4766" w:rsidRPr="00DE12A3" w:rsidRDefault="009F4766" w:rsidP="00C917D6">
            <w:pPr>
              <w:pStyle w:val="NormalLeft"/>
            </w:pPr>
            <w:r w:rsidRPr="00DE12A3">
              <w:t>93</w:t>
            </w:r>
          </w:p>
        </w:tc>
        <w:tc>
          <w:tcPr>
            <w:tcW w:w="2551" w:type="dxa"/>
            <w:tcBorders>
              <w:top w:val="single" w:sz="2" w:space="0" w:color="auto"/>
              <w:left w:val="single" w:sz="2" w:space="0" w:color="auto"/>
              <w:bottom w:val="single" w:sz="2" w:space="0" w:color="auto"/>
              <w:right w:val="single" w:sz="2" w:space="0" w:color="auto"/>
            </w:tcBorders>
          </w:tcPr>
          <w:p w14:paraId="37EE6948" w14:textId="77777777" w:rsidR="009F4766" w:rsidRPr="00DE12A3" w:rsidRDefault="009F4766" w:rsidP="00C917D6">
            <w:pPr>
              <w:pStyle w:val="NormalLeft"/>
            </w:pPr>
            <w:r w:rsidRPr="00DE12A3">
              <w:t>22</w:t>
            </w:r>
          </w:p>
        </w:tc>
      </w:tr>
      <w:tr w:rsidR="00DE12A3" w:rsidRPr="00DE12A3" w14:paraId="750DC193" w14:textId="77777777" w:rsidTr="009F4766">
        <w:tc>
          <w:tcPr>
            <w:tcW w:w="1182" w:type="dxa"/>
            <w:tcBorders>
              <w:top w:val="single" w:sz="2" w:space="0" w:color="auto"/>
              <w:left w:val="single" w:sz="2" w:space="0" w:color="auto"/>
              <w:bottom w:val="single" w:sz="2" w:space="0" w:color="auto"/>
              <w:right w:val="single" w:sz="2" w:space="0" w:color="auto"/>
            </w:tcBorders>
          </w:tcPr>
          <w:p w14:paraId="35D0FCED" w14:textId="77777777" w:rsidR="009F4766" w:rsidRPr="00DE12A3" w:rsidRDefault="009F4766" w:rsidP="00C917D6">
            <w:pPr>
              <w:pStyle w:val="NormalLeft"/>
            </w:pPr>
            <w:r w:rsidRPr="00DE12A3">
              <w:t>1015</w:t>
            </w:r>
          </w:p>
        </w:tc>
        <w:tc>
          <w:tcPr>
            <w:tcW w:w="2489" w:type="dxa"/>
            <w:tcBorders>
              <w:top w:val="single" w:sz="2" w:space="0" w:color="auto"/>
              <w:left w:val="single" w:sz="2" w:space="0" w:color="auto"/>
              <w:bottom w:val="single" w:sz="2" w:space="0" w:color="auto"/>
              <w:right w:val="single" w:sz="2" w:space="0" w:color="auto"/>
            </w:tcBorders>
          </w:tcPr>
          <w:p w14:paraId="2D83EBD0" w14:textId="77777777" w:rsidR="009F4766" w:rsidRPr="00DE12A3" w:rsidRDefault="009F4766" w:rsidP="00C917D6">
            <w:pPr>
              <w:pStyle w:val="NormalLeft"/>
            </w:pPr>
            <w:r w:rsidRPr="00DE12A3">
              <w:t>93</w:t>
            </w:r>
          </w:p>
        </w:tc>
        <w:tc>
          <w:tcPr>
            <w:tcW w:w="2551" w:type="dxa"/>
            <w:tcBorders>
              <w:top w:val="single" w:sz="2" w:space="0" w:color="auto"/>
              <w:left w:val="single" w:sz="2" w:space="0" w:color="auto"/>
              <w:bottom w:val="single" w:sz="2" w:space="0" w:color="auto"/>
              <w:right w:val="single" w:sz="2" w:space="0" w:color="auto"/>
            </w:tcBorders>
          </w:tcPr>
          <w:p w14:paraId="38FA4AA0" w14:textId="77777777" w:rsidR="009F4766" w:rsidRPr="00DE12A3" w:rsidRDefault="009F4766" w:rsidP="00C917D6">
            <w:pPr>
              <w:pStyle w:val="NormalLeft"/>
            </w:pPr>
            <w:r w:rsidRPr="00DE12A3">
              <w:t>20</w:t>
            </w:r>
          </w:p>
        </w:tc>
      </w:tr>
      <w:tr w:rsidR="00DE12A3" w:rsidRPr="00DE12A3" w14:paraId="08C50E70" w14:textId="77777777" w:rsidTr="009F4766">
        <w:tc>
          <w:tcPr>
            <w:tcW w:w="1182" w:type="dxa"/>
            <w:tcBorders>
              <w:top w:val="single" w:sz="2" w:space="0" w:color="auto"/>
              <w:left w:val="single" w:sz="2" w:space="0" w:color="auto"/>
              <w:bottom w:val="single" w:sz="2" w:space="0" w:color="auto"/>
              <w:right w:val="single" w:sz="2" w:space="0" w:color="auto"/>
            </w:tcBorders>
          </w:tcPr>
          <w:p w14:paraId="2BC8225C" w14:textId="77777777" w:rsidR="009F4766" w:rsidRPr="00DE12A3" w:rsidRDefault="009F4766" w:rsidP="00C917D6">
            <w:pPr>
              <w:pStyle w:val="NormalLeft"/>
            </w:pPr>
            <w:r w:rsidRPr="00DE12A3">
              <w:t>1016</w:t>
            </w:r>
          </w:p>
        </w:tc>
        <w:tc>
          <w:tcPr>
            <w:tcW w:w="2489" w:type="dxa"/>
            <w:tcBorders>
              <w:top w:val="single" w:sz="2" w:space="0" w:color="auto"/>
              <w:left w:val="single" w:sz="2" w:space="0" w:color="auto"/>
              <w:bottom w:val="single" w:sz="2" w:space="0" w:color="auto"/>
              <w:right w:val="single" w:sz="2" w:space="0" w:color="auto"/>
            </w:tcBorders>
          </w:tcPr>
          <w:p w14:paraId="37DAE3F0" w14:textId="77777777" w:rsidR="009F4766" w:rsidRPr="00DE12A3" w:rsidRDefault="009F4766" w:rsidP="00C917D6">
            <w:pPr>
              <w:pStyle w:val="NormalLeft"/>
            </w:pPr>
            <w:r w:rsidRPr="00DE12A3">
              <w:t>93</w:t>
            </w:r>
          </w:p>
        </w:tc>
        <w:tc>
          <w:tcPr>
            <w:tcW w:w="2551" w:type="dxa"/>
            <w:tcBorders>
              <w:top w:val="single" w:sz="2" w:space="0" w:color="auto"/>
              <w:left w:val="single" w:sz="2" w:space="0" w:color="auto"/>
              <w:bottom w:val="single" w:sz="2" w:space="0" w:color="auto"/>
              <w:right w:val="single" w:sz="2" w:space="0" w:color="auto"/>
            </w:tcBorders>
          </w:tcPr>
          <w:p w14:paraId="636730B9" w14:textId="77777777" w:rsidR="009F4766" w:rsidRPr="00DE12A3" w:rsidRDefault="009F4766" w:rsidP="00C917D6">
            <w:pPr>
              <w:pStyle w:val="NormalLeft"/>
            </w:pPr>
            <w:r w:rsidRPr="00DE12A3">
              <w:t>19</w:t>
            </w:r>
          </w:p>
        </w:tc>
      </w:tr>
      <w:tr w:rsidR="00DE12A3" w:rsidRPr="00DE12A3" w14:paraId="04657F96" w14:textId="77777777" w:rsidTr="009F4766">
        <w:tc>
          <w:tcPr>
            <w:tcW w:w="1182" w:type="dxa"/>
            <w:tcBorders>
              <w:top w:val="single" w:sz="2" w:space="0" w:color="auto"/>
              <w:left w:val="single" w:sz="2" w:space="0" w:color="auto"/>
              <w:bottom w:val="single" w:sz="2" w:space="0" w:color="auto"/>
              <w:right w:val="single" w:sz="2" w:space="0" w:color="auto"/>
            </w:tcBorders>
          </w:tcPr>
          <w:p w14:paraId="0AC7A161" w14:textId="77777777" w:rsidR="009F4766" w:rsidRPr="00DE12A3" w:rsidRDefault="009F4766" w:rsidP="00C917D6">
            <w:pPr>
              <w:pStyle w:val="NormalLeft"/>
            </w:pPr>
            <w:r w:rsidRPr="00DE12A3">
              <w:t>1017</w:t>
            </w:r>
          </w:p>
        </w:tc>
        <w:tc>
          <w:tcPr>
            <w:tcW w:w="2489" w:type="dxa"/>
            <w:tcBorders>
              <w:top w:val="single" w:sz="2" w:space="0" w:color="auto"/>
              <w:left w:val="single" w:sz="2" w:space="0" w:color="auto"/>
              <w:bottom w:val="single" w:sz="2" w:space="0" w:color="auto"/>
              <w:right w:val="single" w:sz="2" w:space="0" w:color="auto"/>
            </w:tcBorders>
          </w:tcPr>
          <w:p w14:paraId="2786ACAE" w14:textId="77777777" w:rsidR="009F4766" w:rsidRPr="00DE12A3" w:rsidRDefault="009F4766" w:rsidP="00C917D6">
            <w:pPr>
              <w:pStyle w:val="NormalLeft"/>
            </w:pPr>
            <w:r w:rsidRPr="00DE12A3">
              <w:t>93</w:t>
            </w:r>
          </w:p>
        </w:tc>
        <w:tc>
          <w:tcPr>
            <w:tcW w:w="2551" w:type="dxa"/>
            <w:tcBorders>
              <w:top w:val="single" w:sz="2" w:space="0" w:color="auto"/>
              <w:left w:val="single" w:sz="2" w:space="0" w:color="auto"/>
              <w:bottom w:val="single" w:sz="2" w:space="0" w:color="auto"/>
              <w:right w:val="single" w:sz="2" w:space="0" w:color="auto"/>
            </w:tcBorders>
          </w:tcPr>
          <w:p w14:paraId="749B49A7" w14:textId="77777777" w:rsidR="009F4766" w:rsidRPr="00DE12A3" w:rsidRDefault="009F4766" w:rsidP="00C917D6">
            <w:pPr>
              <w:pStyle w:val="NormalLeft"/>
            </w:pPr>
            <w:r w:rsidRPr="00DE12A3">
              <w:t>20</w:t>
            </w:r>
          </w:p>
        </w:tc>
      </w:tr>
      <w:tr w:rsidR="00DE12A3" w:rsidRPr="00DE12A3" w14:paraId="2A249072" w14:textId="77777777" w:rsidTr="009F4766">
        <w:tc>
          <w:tcPr>
            <w:tcW w:w="1182" w:type="dxa"/>
            <w:tcBorders>
              <w:top w:val="single" w:sz="2" w:space="0" w:color="auto"/>
              <w:left w:val="single" w:sz="2" w:space="0" w:color="auto"/>
              <w:bottom w:val="single" w:sz="2" w:space="0" w:color="auto"/>
              <w:right w:val="single" w:sz="2" w:space="0" w:color="auto"/>
            </w:tcBorders>
          </w:tcPr>
          <w:p w14:paraId="44DC50F8" w14:textId="77777777" w:rsidR="009F4766" w:rsidRPr="00DE12A3" w:rsidRDefault="009F4766" w:rsidP="00C917D6">
            <w:pPr>
              <w:pStyle w:val="NormalLeft"/>
            </w:pPr>
            <w:r w:rsidRPr="00DE12A3">
              <w:t>1018</w:t>
            </w:r>
          </w:p>
        </w:tc>
        <w:tc>
          <w:tcPr>
            <w:tcW w:w="2489" w:type="dxa"/>
            <w:tcBorders>
              <w:top w:val="single" w:sz="2" w:space="0" w:color="auto"/>
              <w:left w:val="single" w:sz="2" w:space="0" w:color="auto"/>
              <w:bottom w:val="single" w:sz="2" w:space="0" w:color="auto"/>
              <w:right w:val="single" w:sz="2" w:space="0" w:color="auto"/>
            </w:tcBorders>
          </w:tcPr>
          <w:p w14:paraId="531B0BC4" w14:textId="77777777" w:rsidR="009F4766" w:rsidRPr="00DE12A3" w:rsidRDefault="009F4766" w:rsidP="00C917D6">
            <w:pPr>
              <w:pStyle w:val="NormalLeft"/>
            </w:pPr>
            <w:r w:rsidRPr="00DE12A3">
              <w:t>93</w:t>
            </w:r>
          </w:p>
        </w:tc>
        <w:tc>
          <w:tcPr>
            <w:tcW w:w="2551" w:type="dxa"/>
            <w:tcBorders>
              <w:top w:val="single" w:sz="2" w:space="0" w:color="auto"/>
              <w:left w:val="single" w:sz="2" w:space="0" w:color="auto"/>
              <w:bottom w:val="single" w:sz="2" w:space="0" w:color="auto"/>
              <w:right w:val="single" w:sz="2" w:space="0" w:color="auto"/>
            </w:tcBorders>
          </w:tcPr>
          <w:p w14:paraId="4F9F3798" w14:textId="77777777" w:rsidR="009F4766" w:rsidRPr="00DE12A3" w:rsidRDefault="009F4766" w:rsidP="00C917D6">
            <w:pPr>
              <w:pStyle w:val="NormalLeft"/>
            </w:pPr>
            <w:r w:rsidRPr="00DE12A3">
              <w:t>19</w:t>
            </w:r>
          </w:p>
        </w:tc>
      </w:tr>
      <w:tr w:rsidR="00DE12A3" w:rsidRPr="00DE12A3" w14:paraId="30FF59C0" w14:textId="77777777" w:rsidTr="009F4766">
        <w:tc>
          <w:tcPr>
            <w:tcW w:w="1182" w:type="dxa"/>
            <w:tcBorders>
              <w:top w:val="single" w:sz="2" w:space="0" w:color="auto"/>
              <w:left w:val="single" w:sz="2" w:space="0" w:color="auto"/>
              <w:bottom w:val="single" w:sz="2" w:space="0" w:color="auto"/>
              <w:right w:val="single" w:sz="2" w:space="0" w:color="auto"/>
            </w:tcBorders>
          </w:tcPr>
          <w:p w14:paraId="57C6312A" w14:textId="77777777" w:rsidR="009F4766" w:rsidRPr="00DE12A3" w:rsidRDefault="009F4766" w:rsidP="00C917D6">
            <w:pPr>
              <w:pStyle w:val="NormalLeft"/>
            </w:pPr>
            <w:r w:rsidRPr="00DE12A3">
              <w:t>1019</w:t>
            </w:r>
          </w:p>
        </w:tc>
        <w:tc>
          <w:tcPr>
            <w:tcW w:w="2489" w:type="dxa"/>
            <w:tcBorders>
              <w:top w:val="single" w:sz="2" w:space="0" w:color="auto"/>
              <w:left w:val="single" w:sz="2" w:space="0" w:color="auto"/>
              <w:bottom w:val="single" w:sz="2" w:space="0" w:color="auto"/>
              <w:right w:val="single" w:sz="2" w:space="0" w:color="auto"/>
            </w:tcBorders>
          </w:tcPr>
          <w:p w14:paraId="69590A99" w14:textId="77777777" w:rsidR="009F4766" w:rsidRPr="00DE12A3" w:rsidRDefault="009F4766" w:rsidP="00C917D6">
            <w:pPr>
              <w:pStyle w:val="NormalLeft"/>
            </w:pPr>
            <w:r w:rsidRPr="00DE12A3">
              <w:t>93</w:t>
            </w:r>
          </w:p>
        </w:tc>
        <w:tc>
          <w:tcPr>
            <w:tcW w:w="2551" w:type="dxa"/>
            <w:tcBorders>
              <w:top w:val="single" w:sz="2" w:space="0" w:color="auto"/>
              <w:left w:val="single" w:sz="2" w:space="0" w:color="auto"/>
              <w:bottom w:val="single" w:sz="2" w:space="0" w:color="auto"/>
              <w:right w:val="single" w:sz="2" w:space="0" w:color="auto"/>
            </w:tcBorders>
          </w:tcPr>
          <w:p w14:paraId="17F87078" w14:textId="77777777" w:rsidR="009F4766" w:rsidRPr="00DE12A3" w:rsidRDefault="009F4766" w:rsidP="00C917D6">
            <w:pPr>
              <w:pStyle w:val="NormalLeft"/>
            </w:pPr>
            <w:r w:rsidRPr="00DE12A3">
              <w:t>19</w:t>
            </w:r>
          </w:p>
        </w:tc>
      </w:tr>
      <w:tr w:rsidR="00DE12A3" w:rsidRPr="00DE12A3" w14:paraId="24B56F32" w14:textId="77777777" w:rsidTr="009F4766">
        <w:tc>
          <w:tcPr>
            <w:tcW w:w="1182" w:type="dxa"/>
            <w:tcBorders>
              <w:top w:val="single" w:sz="2" w:space="0" w:color="auto"/>
              <w:left w:val="single" w:sz="2" w:space="0" w:color="auto"/>
              <w:bottom w:val="single" w:sz="2" w:space="0" w:color="auto"/>
              <w:right w:val="single" w:sz="2" w:space="0" w:color="auto"/>
            </w:tcBorders>
          </w:tcPr>
          <w:p w14:paraId="4F22F064" w14:textId="77777777" w:rsidR="009F4766" w:rsidRPr="00DE12A3" w:rsidRDefault="009F4766" w:rsidP="00C917D6">
            <w:pPr>
              <w:pStyle w:val="NormalLeft"/>
            </w:pPr>
            <w:r w:rsidRPr="00DE12A3">
              <w:t>1020</w:t>
            </w:r>
          </w:p>
        </w:tc>
        <w:tc>
          <w:tcPr>
            <w:tcW w:w="2489" w:type="dxa"/>
            <w:tcBorders>
              <w:top w:val="single" w:sz="2" w:space="0" w:color="auto"/>
              <w:left w:val="single" w:sz="2" w:space="0" w:color="auto"/>
              <w:bottom w:val="single" w:sz="2" w:space="0" w:color="auto"/>
              <w:right w:val="single" w:sz="2" w:space="0" w:color="auto"/>
            </w:tcBorders>
          </w:tcPr>
          <w:p w14:paraId="0A6D1DC6" w14:textId="77777777" w:rsidR="009F4766" w:rsidRPr="00DE12A3" w:rsidRDefault="009F4766" w:rsidP="00C917D6">
            <w:pPr>
              <w:pStyle w:val="NormalLeft"/>
            </w:pPr>
            <w:r w:rsidRPr="00DE12A3">
              <w:t>93</w:t>
            </w:r>
          </w:p>
        </w:tc>
        <w:tc>
          <w:tcPr>
            <w:tcW w:w="2551" w:type="dxa"/>
            <w:tcBorders>
              <w:top w:val="single" w:sz="2" w:space="0" w:color="auto"/>
              <w:left w:val="single" w:sz="2" w:space="0" w:color="auto"/>
              <w:bottom w:val="single" w:sz="2" w:space="0" w:color="auto"/>
              <w:right w:val="single" w:sz="2" w:space="0" w:color="auto"/>
            </w:tcBorders>
          </w:tcPr>
          <w:p w14:paraId="171BE88F" w14:textId="77777777" w:rsidR="009F4766" w:rsidRPr="00DE12A3" w:rsidRDefault="009F4766" w:rsidP="00C917D6">
            <w:pPr>
              <w:pStyle w:val="NormalLeft"/>
            </w:pPr>
            <w:r w:rsidRPr="00DE12A3">
              <w:t>20</w:t>
            </w:r>
          </w:p>
        </w:tc>
      </w:tr>
      <w:tr w:rsidR="00DE12A3" w:rsidRPr="00DE12A3" w14:paraId="305B031A" w14:textId="77777777" w:rsidTr="009F4766">
        <w:tc>
          <w:tcPr>
            <w:tcW w:w="1182" w:type="dxa"/>
            <w:tcBorders>
              <w:top w:val="single" w:sz="2" w:space="0" w:color="auto"/>
              <w:left w:val="single" w:sz="2" w:space="0" w:color="auto"/>
              <w:bottom w:val="single" w:sz="2" w:space="0" w:color="auto"/>
              <w:right w:val="single" w:sz="2" w:space="0" w:color="auto"/>
            </w:tcBorders>
          </w:tcPr>
          <w:p w14:paraId="5F77A24F" w14:textId="77777777" w:rsidR="009F4766" w:rsidRPr="00DE12A3" w:rsidRDefault="009F4766" w:rsidP="00C917D6">
            <w:pPr>
              <w:pStyle w:val="NormalLeft"/>
            </w:pPr>
            <w:r w:rsidRPr="00DE12A3">
              <w:t>1021</w:t>
            </w:r>
          </w:p>
        </w:tc>
        <w:tc>
          <w:tcPr>
            <w:tcW w:w="2489" w:type="dxa"/>
            <w:tcBorders>
              <w:top w:val="single" w:sz="2" w:space="0" w:color="auto"/>
              <w:left w:val="single" w:sz="2" w:space="0" w:color="auto"/>
              <w:bottom w:val="single" w:sz="2" w:space="0" w:color="auto"/>
              <w:right w:val="single" w:sz="2" w:space="0" w:color="auto"/>
            </w:tcBorders>
          </w:tcPr>
          <w:p w14:paraId="0B9AA60A" w14:textId="77777777" w:rsidR="009F4766" w:rsidRPr="00DE12A3" w:rsidRDefault="009F4766" w:rsidP="00C917D6">
            <w:pPr>
              <w:pStyle w:val="NormalLeft"/>
            </w:pPr>
            <w:r w:rsidRPr="00DE12A3">
              <w:t>93</w:t>
            </w:r>
          </w:p>
        </w:tc>
        <w:tc>
          <w:tcPr>
            <w:tcW w:w="2551" w:type="dxa"/>
            <w:tcBorders>
              <w:top w:val="single" w:sz="2" w:space="0" w:color="auto"/>
              <w:left w:val="single" w:sz="2" w:space="0" w:color="auto"/>
              <w:bottom w:val="single" w:sz="2" w:space="0" w:color="auto"/>
              <w:right w:val="single" w:sz="2" w:space="0" w:color="auto"/>
            </w:tcBorders>
          </w:tcPr>
          <w:p w14:paraId="46E09258" w14:textId="77777777" w:rsidR="009F4766" w:rsidRPr="00DE12A3" w:rsidRDefault="009F4766" w:rsidP="00C917D6">
            <w:pPr>
              <w:pStyle w:val="NormalLeft"/>
            </w:pPr>
            <w:r w:rsidRPr="00DE12A3">
              <w:t>32</w:t>
            </w:r>
          </w:p>
        </w:tc>
      </w:tr>
      <w:tr w:rsidR="00DE12A3" w:rsidRPr="00DE12A3" w14:paraId="42EC2868" w14:textId="77777777" w:rsidTr="009F4766">
        <w:tc>
          <w:tcPr>
            <w:tcW w:w="1182" w:type="dxa"/>
            <w:tcBorders>
              <w:top w:val="single" w:sz="2" w:space="0" w:color="auto"/>
              <w:left w:val="single" w:sz="2" w:space="0" w:color="auto"/>
              <w:bottom w:val="single" w:sz="2" w:space="0" w:color="auto"/>
              <w:right w:val="single" w:sz="2" w:space="0" w:color="auto"/>
            </w:tcBorders>
          </w:tcPr>
          <w:p w14:paraId="2E92BAB6" w14:textId="77777777" w:rsidR="009F4766" w:rsidRPr="00DE12A3" w:rsidRDefault="009F4766" w:rsidP="00C917D6">
            <w:pPr>
              <w:pStyle w:val="NormalLeft"/>
            </w:pPr>
            <w:r w:rsidRPr="00DE12A3">
              <w:t>1022</w:t>
            </w:r>
          </w:p>
        </w:tc>
        <w:tc>
          <w:tcPr>
            <w:tcW w:w="2489" w:type="dxa"/>
            <w:tcBorders>
              <w:top w:val="single" w:sz="2" w:space="0" w:color="auto"/>
              <w:left w:val="single" w:sz="2" w:space="0" w:color="auto"/>
              <w:bottom w:val="single" w:sz="2" w:space="0" w:color="auto"/>
              <w:right w:val="single" w:sz="2" w:space="0" w:color="auto"/>
            </w:tcBorders>
          </w:tcPr>
          <w:p w14:paraId="4E11AFC8" w14:textId="77777777" w:rsidR="009F4766" w:rsidRPr="00DE12A3" w:rsidRDefault="009F4766" w:rsidP="00C917D6">
            <w:pPr>
              <w:pStyle w:val="NormalLeft"/>
            </w:pPr>
            <w:r w:rsidRPr="00DE12A3">
              <w:t>93</w:t>
            </w:r>
          </w:p>
        </w:tc>
        <w:tc>
          <w:tcPr>
            <w:tcW w:w="2551" w:type="dxa"/>
            <w:tcBorders>
              <w:top w:val="single" w:sz="2" w:space="0" w:color="auto"/>
              <w:left w:val="single" w:sz="2" w:space="0" w:color="auto"/>
              <w:bottom w:val="single" w:sz="2" w:space="0" w:color="auto"/>
              <w:right w:val="single" w:sz="2" w:space="0" w:color="auto"/>
            </w:tcBorders>
          </w:tcPr>
          <w:p w14:paraId="1791796E" w14:textId="77777777" w:rsidR="009F4766" w:rsidRPr="00DE12A3" w:rsidRDefault="009F4766" w:rsidP="00C917D6">
            <w:pPr>
              <w:pStyle w:val="NormalLeft"/>
            </w:pPr>
            <w:r w:rsidRPr="00DE12A3">
              <w:t>37</w:t>
            </w:r>
          </w:p>
        </w:tc>
      </w:tr>
      <w:tr w:rsidR="00DE12A3" w:rsidRPr="00DE12A3" w14:paraId="6B197482" w14:textId="77777777" w:rsidTr="009F4766">
        <w:tc>
          <w:tcPr>
            <w:tcW w:w="1182" w:type="dxa"/>
            <w:tcBorders>
              <w:top w:val="single" w:sz="2" w:space="0" w:color="auto"/>
              <w:left w:val="single" w:sz="2" w:space="0" w:color="auto"/>
              <w:bottom w:val="single" w:sz="2" w:space="0" w:color="auto"/>
              <w:right w:val="single" w:sz="2" w:space="0" w:color="auto"/>
            </w:tcBorders>
          </w:tcPr>
          <w:p w14:paraId="78D70780" w14:textId="77777777" w:rsidR="009F4766" w:rsidRPr="00DE12A3" w:rsidRDefault="009F4766" w:rsidP="00C917D6">
            <w:pPr>
              <w:pStyle w:val="NormalLeft"/>
            </w:pPr>
            <w:r w:rsidRPr="00DE12A3">
              <w:t>1023</w:t>
            </w:r>
          </w:p>
        </w:tc>
        <w:tc>
          <w:tcPr>
            <w:tcW w:w="2489" w:type="dxa"/>
            <w:tcBorders>
              <w:top w:val="single" w:sz="2" w:space="0" w:color="auto"/>
              <w:left w:val="single" w:sz="2" w:space="0" w:color="auto"/>
              <w:bottom w:val="single" w:sz="2" w:space="0" w:color="auto"/>
              <w:right w:val="single" w:sz="2" w:space="0" w:color="auto"/>
            </w:tcBorders>
          </w:tcPr>
          <w:p w14:paraId="6C47C504" w14:textId="77777777" w:rsidR="009F4766" w:rsidRPr="00DE12A3" w:rsidRDefault="009F4766" w:rsidP="00C917D6">
            <w:pPr>
              <w:pStyle w:val="NormalLeft"/>
            </w:pPr>
            <w:r w:rsidRPr="00DE12A3">
              <w:t>93</w:t>
            </w:r>
          </w:p>
        </w:tc>
        <w:tc>
          <w:tcPr>
            <w:tcW w:w="2551" w:type="dxa"/>
            <w:tcBorders>
              <w:top w:val="single" w:sz="2" w:space="0" w:color="auto"/>
              <w:left w:val="single" w:sz="2" w:space="0" w:color="auto"/>
              <w:bottom w:val="single" w:sz="2" w:space="0" w:color="auto"/>
              <w:right w:val="single" w:sz="2" w:space="0" w:color="auto"/>
            </w:tcBorders>
          </w:tcPr>
          <w:p w14:paraId="185E0CB0" w14:textId="77777777" w:rsidR="009F4766" w:rsidRPr="00DE12A3" w:rsidRDefault="009F4766" w:rsidP="00C917D6">
            <w:pPr>
              <w:pStyle w:val="NormalLeft"/>
            </w:pPr>
            <w:r w:rsidRPr="00DE12A3">
              <w:t>28</w:t>
            </w:r>
          </w:p>
        </w:tc>
      </w:tr>
      <w:tr w:rsidR="00DE12A3" w:rsidRPr="00DE12A3" w14:paraId="7D71F31B" w14:textId="77777777" w:rsidTr="009F4766">
        <w:tc>
          <w:tcPr>
            <w:tcW w:w="1182" w:type="dxa"/>
            <w:tcBorders>
              <w:top w:val="single" w:sz="2" w:space="0" w:color="auto"/>
              <w:left w:val="single" w:sz="2" w:space="0" w:color="auto"/>
              <w:bottom w:val="single" w:sz="2" w:space="0" w:color="auto"/>
              <w:right w:val="single" w:sz="2" w:space="0" w:color="auto"/>
            </w:tcBorders>
          </w:tcPr>
          <w:p w14:paraId="4A977E63" w14:textId="77777777" w:rsidR="009F4766" w:rsidRPr="00DE12A3" w:rsidRDefault="009F4766" w:rsidP="00C917D6">
            <w:pPr>
              <w:pStyle w:val="NormalLeft"/>
            </w:pPr>
            <w:r w:rsidRPr="00DE12A3">
              <w:t>1024</w:t>
            </w:r>
          </w:p>
        </w:tc>
        <w:tc>
          <w:tcPr>
            <w:tcW w:w="2489" w:type="dxa"/>
            <w:tcBorders>
              <w:top w:val="single" w:sz="2" w:space="0" w:color="auto"/>
              <w:left w:val="single" w:sz="2" w:space="0" w:color="auto"/>
              <w:bottom w:val="single" w:sz="2" w:space="0" w:color="auto"/>
              <w:right w:val="single" w:sz="2" w:space="0" w:color="auto"/>
            </w:tcBorders>
          </w:tcPr>
          <w:p w14:paraId="30D869D1" w14:textId="77777777" w:rsidR="009F4766" w:rsidRPr="00DE12A3" w:rsidRDefault="009F4766" w:rsidP="00C917D6">
            <w:pPr>
              <w:pStyle w:val="NormalLeft"/>
            </w:pPr>
            <w:r w:rsidRPr="00DE12A3">
              <w:t>93</w:t>
            </w:r>
          </w:p>
        </w:tc>
        <w:tc>
          <w:tcPr>
            <w:tcW w:w="2551" w:type="dxa"/>
            <w:tcBorders>
              <w:top w:val="single" w:sz="2" w:space="0" w:color="auto"/>
              <w:left w:val="single" w:sz="2" w:space="0" w:color="auto"/>
              <w:bottom w:val="single" w:sz="2" w:space="0" w:color="auto"/>
              <w:right w:val="single" w:sz="2" w:space="0" w:color="auto"/>
            </w:tcBorders>
          </w:tcPr>
          <w:p w14:paraId="79604632" w14:textId="77777777" w:rsidR="009F4766" w:rsidRPr="00DE12A3" w:rsidRDefault="009F4766" w:rsidP="00C917D6">
            <w:pPr>
              <w:pStyle w:val="NormalLeft"/>
            </w:pPr>
            <w:r w:rsidRPr="00DE12A3">
              <w:t>26</w:t>
            </w:r>
          </w:p>
        </w:tc>
      </w:tr>
      <w:tr w:rsidR="00DE12A3" w:rsidRPr="00DE12A3" w14:paraId="314E8ABF" w14:textId="77777777" w:rsidTr="009F4766">
        <w:tc>
          <w:tcPr>
            <w:tcW w:w="1182" w:type="dxa"/>
            <w:tcBorders>
              <w:top w:val="single" w:sz="2" w:space="0" w:color="auto"/>
              <w:left w:val="single" w:sz="2" w:space="0" w:color="auto"/>
              <w:bottom w:val="single" w:sz="2" w:space="0" w:color="auto"/>
              <w:right w:val="single" w:sz="2" w:space="0" w:color="auto"/>
            </w:tcBorders>
          </w:tcPr>
          <w:p w14:paraId="17885842" w14:textId="77777777" w:rsidR="009F4766" w:rsidRPr="00DE12A3" w:rsidRDefault="009F4766" w:rsidP="00C917D6">
            <w:pPr>
              <w:pStyle w:val="NormalLeft"/>
            </w:pPr>
            <w:r w:rsidRPr="00DE12A3">
              <w:t>1025</w:t>
            </w:r>
          </w:p>
        </w:tc>
        <w:tc>
          <w:tcPr>
            <w:tcW w:w="2489" w:type="dxa"/>
            <w:tcBorders>
              <w:top w:val="single" w:sz="2" w:space="0" w:color="auto"/>
              <w:left w:val="single" w:sz="2" w:space="0" w:color="auto"/>
              <w:bottom w:val="single" w:sz="2" w:space="0" w:color="auto"/>
              <w:right w:val="single" w:sz="2" w:space="0" w:color="auto"/>
            </w:tcBorders>
          </w:tcPr>
          <w:p w14:paraId="64AEA2C8" w14:textId="77777777" w:rsidR="009F4766" w:rsidRPr="00DE12A3" w:rsidRDefault="009F4766" w:rsidP="00C917D6">
            <w:pPr>
              <w:pStyle w:val="NormalLeft"/>
            </w:pPr>
            <w:r w:rsidRPr="00DE12A3">
              <w:t>93</w:t>
            </w:r>
          </w:p>
        </w:tc>
        <w:tc>
          <w:tcPr>
            <w:tcW w:w="2551" w:type="dxa"/>
            <w:tcBorders>
              <w:top w:val="single" w:sz="2" w:space="0" w:color="auto"/>
              <w:left w:val="single" w:sz="2" w:space="0" w:color="auto"/>
              <w:bottom w:val="single" w:sz="2" w:space="0" w:color="auto"/>
              <w:right w:val="single" w:sz="2" w:space="0" w:color="auto"/>
            </w:tcBorders>
          </w:tcPr>
          <w:p w14:paraId="1AA7C573" w14:textId="77777777" w:rsidR="009F4766" w:rsidRPr="00DE12A3" w:rsidRDefault="009F4766" w:rsidP="00C917D6">
            <w:pPr>
              <w:pStyle w:val="NormalLeft"/>
            </w:pPr>
            <w:r w:rsidRPr="00DE12A3">
              <w:t>24</w:t>
            </w:r>
          </w:p>
        </w:tc>
      </w:tr>
      <w:tr w:rsidR="00DE12A3" w:rsidRPr="00DE12A3" w14:paraId="579AF26C" w14:textId="77777777" w:rsidTr="009F4766">
        <w:tc>
          <w:tcPr>
            <w:tcW w:w="1182" w:type="dxa"/>
            <w:tcBorders>
              <w:top w:val="single" w:sz="2" w:space="0" w:color="auto"/>
              <w:left w:val="single" w:sz="2" w:space="0" w:color="auto"/>
              <w:bottom w:val="single" w:sz="2" w:space="0" w:color="auto"/>
              <w:right w:val="single" w:sz="2" w:space="0" w:color="auto"/>
            </w:tcBorders>
          </w:tcPr>
          <w:p w14:paraId="2D2D7D2E" w14:textId="77777777" w:rsidR="009F4766" w:rsidRPr="00DE12A3" w:rsidRDefault="009F4766" w:rsidP="00C917D6">
            <w:pPr>
              <w:pStyle w:val="NormalLeft"/>
            </w:pPr>
            <w:r w:rsidRPr="00DE12A3">
              <w:t>1026</w:t>
            </w:r>
          </w:p>
        </w:tc>
        <w:tc>
          <w:tcPr>
            <w:tcW w:w="2489" w:type="dxa"/>
            <w:tcBorders>
              <w:top w:val="single" w:sz="2" w:space="0" w:color="auto"/>
              <w:left w:val="single" w:sz="2" w:space="0" w:color="auto"/>
              <w:bottom w:val="single" w:sz="2" w:space="0" w:color="auto"/>
              <w:right w:val="single" w:sz="2" w:space="0" w:color="auto"/>
            </w:tcBorders>
          </w:tcPr>
          <w:p w14:paraId="4528259A" w14:textId="77777777" w:rsidR="009F4766" w:rsidRPr="00DE12A3" w:rsidRDefault="009F4766" w:rsidP="00C917D6">
            <w:pPr>
              <w:pStyle w:val="NormalLeft"/>
            </w:pPr>
            <w:r w:rsidRPr="00DE12A3">
              <w:t>93</w:t>
            </w:r>
          </w:p>
        </w:tc>
        <w:tc>
          <w:tcPr>
            <w:tcW w:w="2551" w:type="dxa"/>
            <w:tcBorders>
              <w:top w:val="single" w:sz="2" w:space="0" w:color="auto"/>
              <w:left w:val="single" w:sz="2" w:space="0" w:color="auto"/>
              <w:bottom w:val="single" w:sz="2" w:space="0" w:color="auto"/>
              <w:right w:val="single" w:sz="2" w:space="0" w:color="auto"/>
            </w:tcBorders>
          </w:tcPr>
          <w:p w14:paraId="30376142" w14:textId="77777777" w:rsidR="009F4766" w:rsidRPr="00DE12A3" w:rsidRDefault="009F4766" w:rsidP="00C917D6">
            <w:pPr>
              <w:pStyle w:val="NormalLeft"/>
            </w:pPr>
            <w:r w:rsidRPr="00DE12A3">
              <w:t>22</w:t>
            </w:r>
          </w:p>
        </w:tc>
      </w:tr>
      <w:tr w:rsidR="00DE12A3" w:rsidRPr="00DE12A3" w14:paraId="7509D0DF" w14:textId="77777777" w:rsidTr="009F4766">
        <w:tc>
          <w:tcPr>
            <w:tcW w:w="1182" w:type="dxa"/>
            <w:tcBorders>
              <w:top w:val="single" w:sz="2" w:space="0" w:color="auto"/>
              <w:left w:val="single" w:sz="2" w:space="0" w:color="auto"/>
              <w:bottom w:val="single" w:sz="2" w:space="0" w:color="auto"/>
              <w:right w:val="single" w:sz="2" w:space="0" w:color="auto"/>
            </w:tcBorders>
          </w:tcPr>
          <w:p w14:paraId="6E530414" w14:textId="77777777" w:rsidR="009F4766" w:rsidRPr="00DE12A3" w:rsidRDefault="009F4766" w:rsidP="00C917D6">
            <w:pPr>
              <w:pStyle w:val="NormalLeft"/>
            </w:pPr>
            <w:r w:rsidRPr="00DE12A3">
              <w:t>1027</w:t>
            </w:r>
          </w:p>
        </w:tc>
        <w:tc>
          <w:tcPr>
            <w:tcW w:w="2489" w:type="dxa"/>
            <w:tcBorders>
              <w:top w:val="single" w:sz="2" w:space="0" w:color="auto"/>
              <w:left w:val="single" w:sz="2" w:space="0" w:color="auto"/>
              <w:bottom w:val="single" w:sz="2" w:space="0" w:color="auto"/>
              <w:right w:val="single" w:sz="2" w:space="0" w:color="auto"/>
            </w:tcBorders>
          </w:tcPr>
          <w:p w14:paraId="01D07439" w14:textId="77777777" w:rsidR="009F4766" w:rsidRPr="00DE12A3" w:rsidRDefault="009F4766" w:rsidP="00C917D6">
            <w:pPr>
              <w:pStyle w:val="NormalLeft"/>
            </w:pPr>
            <w:r w:rsidRPr="00DE12A3">
              <w:t>93</w:t>
            </w:r>
          </w:p>
        </w:tc>
        <w:tc>
          <w:tcPr>
            <w:tcW w:w="2551" w:type="dxa"/>
            <w:tcBorders>
              <w:top w:val="single" w:sz="2" w:space="0" w:color="auto"/>
              <w:left w:val="single" w:sz="2" w:space="0" w:color="auto"/>
              <w:bottom w:val="single" w:sz="2" w:space="0" w:color="auto"/>
              <w:right w:val="single" w:sz="2" w:space="0" w:color="auto"/>
            </w:tcBorders>
          </w:tcPr>
          <w:p w14:paraId="3507530C" w14:textId="77777777" w:rsidR="009F4766" w:rsidRPr="00DE12A3" w:rsidRDefault="009F4766" w:rsidP="00C917D6">
            <w:pPr>
              <w:pStyle w:val="NormalLeft"/>
            </w:pPr>
            <w:r w:rsidRPr="00DE12A3">
              <w:t>22</w:t>
            </w:r>
          </w:p>
        </w:tc>
      </w:tr>
      <w:tr w:rsidR="00DE12A3" w:rsidRPr="00DE12A3" w14:paraId="3C9E9572" w14:textId="77777777" w:rsidTr="009F4766">
        <w:tc>
          <w:tcPr>
            <w:tcW w:w="1182" w:type="dxa"/>
            <w:tcBorders>
              <w:top w:val="single" w:sz="2" w:space="0" w:color="auto"/>
              <w:left w:val="single" w:sz="2" w:space="0" w:color="auto"/>
              <w:bottom w:val="single" w:sz="2" w:space="0" w:color="auto"/>
              <w:right w:val="single" w:sz="2" w:space="0" w:color="auto"/>
            </w:tcBorders>
          </w:tcPr>
          <w:p w14:paraId="149EDFDE" w14:textId="77777777" w:rsidR="009F4766" w:rsidRPr="00DE12A3" w:rsidRDefault="009F4766" w:rsidP="00C917D6">
            <w:pPr>
              <w:pStyle w:val="NormalLeft"/>
            </w:pPr>
            <w:r w:rsidRPr="00DE12A3">
              <w:t>1028</w:t>
            </w:r>
          </w:p>
        </w:tc>
        <w:tc>
          <w:tcPr>
            <w:tcW w:w="2489" w:type="dxa"/>
            <w:tcBorders>
              <w:top w:val="single" w:sz="2" w:space="0" w:color="auto"/>
              <w:left w:val="single" w:sz="2" w:space="0" w:color="auto"/>
              <w:bottom w:val="single" w:sz="2" w:space="0" w:color="auto"/>
              <w:right w:val="single" w:sz="2" w:space="0" w:color="auto"/>
            </w:tcBorders>
          </w:tcPr>
          <w:p w14:paraId="2DFF0E02" w14:textId="77777777" w:rsidR="009F4766" w:rsidRPr="00DE12A3" w:rsidRDefault="009F4766" w:rsidP="00C917D6">
            <w:pPr>
              <w:pStyle w:val="NormalLeft"/>
            </w:pPr>
            <w:r w:rsidRPr="00DE12A3">
              <w:t>93</w:t>
            </w:r>
          </w:p>
        </w:tc>
        <w:tc>
          <w:tcPr>
            <w:tcW w:w="2551" w:type="dxa"/>
            <w:tcBorders>
              <w:top w:val="single" w:sz="2" w:space="0" w:color="auto"/>
              <w:left w:val="single" w:sz="2" w:space="0" w:color="auto"/>
              <w:bottom w:val="single" w:sz="2" w:space="0" w:color="auto"/>
              <w:right w:val="single" w:sz="2" w:space="0" w:color="auto"/>
            </w:tcBorders>
          </w:tcPr>
          <w:p w14:paraId="2CC92BB5" w14:textId="77777777" w:rsidR="009F4766" w:rsidRPr="00DE12A3" w:rsidRDefault="009F4766" w:rsidP="00C917D6">
            <w:pPr>
              <w:pStyle w:val="NormalLeft"/>
            </w:pPr>
            <w:r w:rsidRPr="00DE12A3">
              <w:t>21</w:t>
            </w:r>
          </w:p>
        </w:tc>
      </w:tr>
      <w:tr w:rsidR="00DE12A3" w:rsidRPr="00DE12A3" w14:paraId="75D0B54A" w14:textId="77777777" w:rsidTr="009F4766">
        <w:tc>
          <w:tcPr>
            <w:tcW w:w="1182" w:type="dxa"/>
            <w:tcBorders>
              <w:top w:val="single" w:sz="2" w:space="0" w:color="auto"/>
              <w:left w:val="single" w:sz="2" w:space="0" w:color="auto"/>
              <w:bottom w:val="single" w:sz="2" w:space="0" w:color="auto"/>
              <w:right w:val="single" w:sz="2" w:space="0" w:color="auto"/>
            </w:tcBorders>
          </w:tcPr>
          <w:p w14:paraId="2AD81653" w14:textId="77777777" w:rsidR="009F4766" w:rsidRPr="00DE12A3" w:rsidRDefault="009F4766" w:rsidP="00C917D6">
            <w:pPr>
              <w:pStyle w:val="NormalLeft"/>
            </w:pPr>
            <w:r w:rsidRPr="00DE12A3">
              <w:t>1029</w:t>
            </w:r>
          </w:p>
        </w:tc>
        <w:tc>
          <w:tcPr>
            <w:tcW w:w="2489" w:type="dxa"/>
            <w:tcBorders>
              <w:top w:val="single" w:sz="2" w:space="0" w:color="auto"/>
              <w:left w:val="single" w:sz="2" w:space="0" w:color="auto"/>
              <w:bottom w:val="single" w:sz="2" w:space="0" w:color="auto"/>
              <w:right w:val="single" w:sz="2" w:space="0" w:color="auto"/>
            </w:tcBorders>
          </w:tcPr>
          <w:p w14:paraId="3EDD34CF" w14:textId="77777777" w:rsidR="009F4766" w:rsidRPr="00DE12A3" w:rsidRDefault="009F4766" w:rsidP="00C917D6">
            <w:pPr>
              <w:pStyle w:val="NormalLeft"/>
            </w:pPr>
            <w:r w:rsidRPr="00DE12A3">
              <w:t>93</w:t>
            </w:r>
          </w:p>
        </w:tc>
        <w:tc>
          <w:tcPr>
            <w:tcW w:w="2551" w:type="dxa"/>
            <w:tcBorders>
              <w:top w:val="single" w:sz="2" w:space="0" w:color="auto"/>
              <w:left w:val="single" w:sz="2" w:space="0" w:color="auto"/>
              <w:bottom w:val="single" w:sz="2" w:space="0" w:color="auto"/>
              <w:right w:val="single" w:sz="2" w:space="0" w:color="auto"/>
            </w:tcBorders>
          </w:tcPr>
          <w:p w14:paraId="473FCE0D" w14:textId="77777777" w:rsidR="009F4766" w:rsidRPr="00DE12A3" w:rsidRDefault="009F4766" w:rsidP="00C917D6">
            <w:pPr>
              <w:pStyle w:val="NormalLeft"/>
            </w:pPr>
            <w:r w:rsidRPr="00DE12A3">
              <w:t>20</w:t>
            </w:r>
          </w:p>
        </w:tc>
      </w:tr>
      <w:tr w:rsidR="00DE12A3" w:rsidRPr="00DE12A3" w14:paraId="54234882" w14:textId="77777777" w:rsidTr="009F4766">
        <w:tc>
          <w:tcPr>
            <w:tcW w:w="1182" w:type="dxa"/>
            <w:tcBorders>
              <w:top w:val="single" w:sz="2" w:space="0" w:color="auto"/>
              <w:left w:val="single" w:sz="2" w:space="0" w:color="auto"/>
              <w:bottom w:val="single" w:sz="2" w:space="0" w:color="auto"/>
              <w:right w:val="single" w:sz="2" w:space="0" w:color="auto"/>
            </w:tcBorders>
          </w:tcPr>
          <w:p w14:paraId="62C7DFA7" w14:textId="77777777" w:rsidR="009F4766" w:rsidRPr="00DE12A3" w:rsidRDefault="009F4766" w:rsidP="00C917D6">
            <w:pPr>
              <w:pStyle w:val="NormalLeft"/>
            </w:pPr>
            <w:r w:rsidRPr="00DE12A3">
              <w:t>1030</w:t>
            </w:r>
          </w:p>
        </w:tc>
        <w:tc>
          <w:tcPr>
            <w:tcW w:w="2489" w:type="dxa"/>
            <w:tcBorders>
              <w:top w:val="single" w:sz="2" w:space="0" w:color="auto"/>
              <w:left w:val="single" w:sz="2" w:space="0" w:color="auto"/>
              <w:bottom w:val="single" w:sz="2" w:space="0" w:color="auto"/>
              <w:right w:val="single" w:sz="2" w:space="0" w:color="auto"/>
            </w:tcBorders>
          </w:tcPr>
          <w:p w14:paraId="28DBE89B" w14:textId="77777777" w:rsidR="009F4766" w:rsidRPr="00DE12A3" w:rsidRDefault="009F4766" w:rsidP="00C917D6">
            <w:pPr>
              <w:pStyle w:val="NormalLeft"/>
            </w:pPr>
            <w:r w:rsidRPr="00DE12A3">
              <w:t>93</w:t>
            </w:r>
          </w:p>
        </w:tc>
        <w:tc>
          <w:tcPr>
            <w:tcW w:w="2551" w:type="dxa"/>
            <w:tcBorders>
              <w:top w:val="single" w:sz="2" w:space="0" w:color="auto"/>
              <w:left w:val="single" w:sz="2" w:space="0" w:color="auto"/>
              <w:bottom w:val="single" w:sz="2" w:space="0" w:color="auto"/>
              <w:right w:val="single" w:sz="2" w:space="0" w:color="auto"/>
            </w:tcBorders>
          </w:tcPr>
          <w:p w14:paraId="17773B1B" w14:textId="77777777" w:rsidR="009F4766" w:rsidRPr="00DE12A3" w:rsidRDefault="009F4766" w:rsidP="00C917D6">
            <w:pPr>
              <w:pStyle w:val="NormalLeft"/>
            </w:pPr>
            <w:r w:rsidRPr="00DE12A3">
              <w:t>20</w:t>
            </w:r>
          </w:p>
        </w:tc>
      </w:tr>
      <w:tr w:rsidR="00DE12A3" w:rsidRPr="00DE12A3" w14:paraId="4E32EA72" w14:textId="77777777" w:rsidTr="009F4766">
        <w:tc>
          <w:tcPr>
            <w:tcW w:w="1182" w:type="dxa"/>
            <w:tcBorders>
              <w:top w:val="single" w:sz="2" w:space="0" w:color="auto"/>
              <w:left w:val="single" w:sz="2" w:space="0" w:color="auto"/>
              <w:bottom w:val="single" w:sz="2" w:space="0" w:color="auto"/>
              <w:right w:val="single" w:sz="2" w:space="0" w:color="auto"/>
            </w:tcBorders>
          </w:tcPr>
          <w:p w14:paraId="68A18AED" w14:textId="77777777" w:rsidR="009F4766" w:rsidRPr="00DE12A3" w:rsidRDefault="009F4766" w:rsidP="00C917D6">
            <w:pPr>
              <w:pStyle w:val="NormalLeft"/>
            </w:pPr>
            <w:r w:rsidRPr="00DE12A3">
              <w:t>1031</w:t>
            </w:r>
          </w:p>
        </w:tc>
        <w:tc>
          <w:tcPr>
            <w:tcW w:w="2489" w:type="dxa"/>
            <w:tcBorders>
              <w:top w:val="single" w:sz="2" w:space="0" w:color="auto"/>
              <w:left w:val="single" w:sz="2" w:space="0" w:color="auto"/>
              <w:bottom w:val="single" w:sz="2" w:space="0" w:color="auto"/>
              <w:right w:val="single" w:sz="2" w:space="0" w:color="auto"/>
            </w:tcBorders>
          </w:tcPr>
          <w:p w14:paraId="185B8EED" w14:textId="77777777" w:rsidR="009F4766" w:rsidRPr="00DE12A3" w:rsidRDefault="009F4766" w:rsidP="00C917D6">
            <w:pPr>
              <w:pStyle w:val="NormalLeft"/>
            </w:pPr>
            <w:r w:rsidRPr="00DE12A3">
              <w:t>93</w:t>
            </w:r>
          </w:p>
        </w:tc>
        <w:tc>
          <w:tcPr>
            <w:tcW w:w="2551" w:type="dxa"/>
            <w:tcBorders>
              <w:top w:val="single" w:sz="2" w:space="0" w:color="auto"/>
              <w:left w:val="single" w:sz="2" w:space="0" w:color="auto"/>
              <w:bottom w:val="single" w:sz="2" w:space="0" w:color="auto"/>
              <w:right w:val="single" w:sz="2" w:space="0" w:color="auto"/>
            </w:tcBorders>
          </w:tcPr>
          <w:p w14:paraId="0B86D1FF" w14:textId="77777777" w:rsidR="009F4766" w:rsidRPr="00DE12A3" w:rsidRDefault="009F4766" w:rsidP="00C917D6">
            <w:pPr>
              <w:pStyle w:val="NormalLeft"/>
            </w:pPr>
            <w:r w:rsidRPr="00DE12A3">
              <w:t>20</w:t>
            </w:r>
          </w:p>
        </w:tc>
      </w:tr>
      <w:tr w:rsidR="00DE12A3" w:rsidRPr="00DE12A3" w14:paraId="449BA5B9" w14:textId="77777777" w:rsidTr="009F4766">
        <w:tc>
          <w:tcPr>
            <w:tcW w:w="1182" w:type="dxa"/>
            <w:tcBorders>
              <w:top w:val="single" w:sz="2" w:space="0" w:color="auto"/>
              <w:left w:val="single" w:sz="2" w:space="0" w:color="auto"/>
              <w:bottom w:val="single" w:sz="2" w:space="0" w:color="auto"/>
              <w:right w:val="single" w:sz="2" w:space="0" w:color="auto"/>
            </w:tcBorders>
          </w:tcPr>
          <w:p w14:paraId="1258E3D8" w14:textId="77777777" w:rsidR="009F4766" w:rsidRPr="00DE12A3" w:rsidRDefault="009F4766" w:rsidP="00C917D6">
            <w:pPr>
              <w:pStyle w:val="NormalLeft"/>
            </w:pPr>
            <w:r w:rsidRPr="00DE12A3">
              <w:t>1032</w:t>
            </w:r>
          </w:p>
        </w:tc>
        <w:tc>
          <w:tcPr>
            <w:tcW w:w="2489" w:type="dxa"/>
            <w:tcBorders>
              <w:top w:val="single" w:sz="2" w:space="0" w:color="auto"/>
              <w:left w:val="single" w:sz="2" w:space="0" w:color="auto"/>
              <w:bottom w:val="single" w:sz="2" w:space="0" w:color="auto"/>
              <w:right w:val="single" w:sz="2" w:space="0" w:color="auto"/>
            </w:tcBorders>
          </w:tcPr>
          <w:p w14:paraId="7729936E" w14:textId="77777777" w:rsidR="009F4766" w:rsidRPr="00DE12A3" w:rsidRDefault="009F4766" w:rsidP="00C917D6">
            <w:pPr>
              <w:pStyle w:val="NormalLeft"/>
            </w:pPr>
            <w:r w:rsidRPr="00DE12A3">
              <w:t>93</w:t>
            </w:r>
          </w:p>
        </w:tc>
        <w:tc>
          <w:tcPr>
            <w:tcW w:w="2551" w:type="dxa"/>
            <w:tcBorders>
              <w:top w:val="single" w:sz="2" w:space="0" w:color="auto"/>
              <w:left w:val="single" w:sz="2" w:space="0" w:color="auto"/>
              <w:bottom w:val="single" w:sz="2" w:space="0" w:color="auto"/>
              <w:right w:val="single" w:sz="2" w:space="0" w:color="auto"/>
            </w:tcBorders>
          </w:tcPr>
          <w:p w14:paraId="1109EB7C" w14:textId="77777777" w:rsidR="009F4766" w:rsidRPr="00DE12A3" w:rsidRDefault="009F4766" w:rsidP="00C917D6">
            <w:pPr>
              <w:pStyle w:val="NormalLeft"/>
            </w:pPr>
            <w:r w:rsidRPr="00DE12A3">
              <w:t>20</w:t>
            </w:r>
          </w:p>
        </w:tc>
      </w:tr>
      <w:tr w:rsidR="00DE12A3" w:rsidRPr="00DE12A3" w14:paraId="687ACC3D" w14:textId="77777777" w:rsidTr="009F4766">
        <w:tc>
          <w:tcPr>
            <w:tcW w:w="1182" w:type="dxa"/>
            <w:tcBorders>
              <w:top w:val="single" w:sz="2" w:space="0" w:color="auto"/>
              <w:left w:val="single" w:sz="2" w:space="0" w:color="auto"/>
              <w:bottom w:val="single" w:sz="2" w:space="0" w:color="auto"/>
              <w:right w:val="single" w:sz="2" w:space="0" w:color="auto"/>
            </w:tcBorders>
          </w:tcPr>
          <w:p w14:paraId="22319475" w14:textId="77777777" w:rsidR="009F4766" w:rsidRPr="00DE12A3" w:rsidRDefault="009F4766" w:rsidP="00C917D6">
            <w:pPr>
              <w:pStyle w:val="NormalLeft"/>
            </w:pPr>
            <w:r w:rsidRPr="00DE12A3">
              <w:t>1033</w:t>
            </w:r>
          </w:p>
        </w:tc>
        <w:tc>
          <w:tcPr>
            <w:tcW w:w="2489" w:type="dxa"/>
            <w:tcBorders>
              <w:top w:val="single" w:sz="2" w:space="0" w:color="auto"/>
              <w:left w:val="single" w:sz="2" w:space="0" w:color="auto"/>
              <w:bottom w:val="single" w:sz="2" w:space="0" w:color="auto"/>
              <w:right w:val="single" w:sz="2" w:space="0" w:color="auto"/>
            </w:tcBorders>
          </w:tcPr>
          <w:p w14:paraId="631915B5" w14:textId="77777777" w:rsidR="009F4766" w:rsidRPr="00DE12A3" w:rsidRDefault="009F4766" w:rsidP="00C917D6">
            <w:pPr>
              <w:pStyle w:val="NormalLeft"/>
            </w:pPr>
            <w:r w:rsidRPr="00DE12A3">
              <w:t>93</w:t>
            </w:r>
          </w:p>
        </w:tc>
        <w:tc>
          <w:tcPr>
            <w:tcW w:w="2551" w:type="dxa"/>
            <w:tcBorders>
              <w:top w:val="single" w:sz="2" w:space="0" w:color="auto"/>
              <w:left w:val="single" w:sz="2" w:space="0" w:color="auto"/>
              <w:bottom w:val="single" w:sz="2" w:space="0" w:color="auto"/>
              <w:right w:val="single" w:sz="2" w:space="0" w:color="auto"/>
            </w:tcBorders>
          </w:tcPr>
          <w:p w14:paraId="5462AC5A" w14:textId="77777777" w:rsidR="009F4766" w:rsidRPr="00DE12A3" w:rsidRDefault="009F4766" w:rsidP="00C917D6">
            <w:pPr>
              <w:pStyle w:val="NormalLeft"/>
            </w:pPr>
            <w:r w:rsidRPr="00DE12A3">
              <w:t>19</w:t>
            </w:r>
          </w:p>
        </w:tc>
      </w:tr>
      <w:tr w:rsidR="00DE12A3" w:rsidRPr="00DE12A3" w14:paraId="1828A48D" w14:textId="77777777" w:rsidTr="009F4766">
        <w:tc>
          <w:tcPr>
            <w:tcW w:w="1182" w:type="dxa"/>
            <w:tcBorders>
              <w:top w:val="single" w:sz="2" w:space="0" w:color="auto"/>
              <w:left w:val="single" w:sz="2" w:space="0" w:color="auto"/>
              <w:bottom w:val="single" w:sz="2" w:space="0" w:color="auto"/>
              <w:right w:val="single" w:sz="2" w:space="0" w:color="auto"/>
            </w:tcBorders>
          </w:tcPr>
          <w:p w14:paraId="49FA2E4E" w14:textId="77777777" w:rsidR="009F4766" w:rsidRPr="00DE12A3" w:rsidRDefault="009F4766" w:rsidP="00C917D6">
            <w:pPr>
              <w:pStyle w:val="NormalLeft"/>
            </w:pPr>
            <w:r w:rsidRPr="00DE12A3">
              <w:t>1034</w:t>
            </w:r>
          </w:p>
        </w:tc>
        <w:tc>
          <w:tcPr>
            <w:tcW w:w="2489" w:type="dxa"/>
            <w:tcBorders>
              <w:top w:val="single" w:sz="2" w:space="0" w:color="auto"/>
              <w:left w:val="single" w:sz="2" w:space="0" w:color="auto"/>
              <w:bottom w:val="single" w:sz="2" w:space="0" w:color="auto"/>
              <w:right w:val="single" w:sz="2" w:space="0" w:color="auto"/>
            </w:tcBorders>
          </w:tcPr>
          <w:p w14:paraId="1DCF40A0" w14:textId="77777777" w:rsidR="009F4766" w:rsidRPr="00DE12A3" w:rsidRDefault="009F4766" w:rsidP="00C917D6">
            <w:pPr>
              <w:pStyle w:val="NormalLeft"/>
            </w:pPr>
            <w:r w:rsidRPr="00DE12A3">
              <w:t>93</w:t>
            </w:r>
          </w:p>
        </w:tc>
        <w:tc>
          <w:tcPr>
            <w:tcW w:w="2551" w:type="dxa"/>
            <w:tcBorders>
              <w:top w:val="single" w:sz="2" w:space="0" w:color="auto"/>
              <w:left w:val="single" w:sz="2" w:space="0" w:color="auto"/>
              <w:bottom w:val="single" w:sz="2" w:space="0" w:color="auto"/>
              <w:right w:val="single" w:sz="2" w:space="0" w:color="auto"/>
            </w:tcBorders>
          </w:tcPr>
          <w:p w14:paraId="32EF0F3F" w14:textId="77777777" w:rsidR="009F4766" w:rsidRPr="00DE12A3" w:rsidRDefault="009F4766" w:rsidP="00C917D6">
            <w:pPr>
              <w:pStyle w:val="NormalLeft"/>
            </w:pPr>
            <w:r w:rsidRPr="00DE12A3">
              <w:t>18</w:t>
            </w:r>
          </w:p>
        </w:tc>
      </w:tr>
      <w:tr w:rsidR="00DE12A3" w:rsidRPr="00DE12A3" w14:paraId="0F125D92" w14:textId="77777777" w:rsidTr="009F4766">
        <w:tc>
          <w:tcPr>
            <w:tcW w:w="1182" w:type="dxa"/>
            <w:tcBorders>
              <w:top w:val="single" w:sz="2" w:space="0" w:color="auto"/>
              <w:left w:val="single" w:sz="2" w:space="0" w:color="auto"/>
              <w:bottom w:val="single" w:sz="2" w:space="0" w:color="auto"/>
              <w:right w:val="single" w:sz="2" w:space="0" w:color="auto"/>
            </w:tcBorders>
          </w:tcPr>
          <w:p w14:paraId="6A3D85B2" w14:textId="77777777" w:rsidR="009F4766" w:rsidRPr="00DE12A3" w:rsidRDefault="009F4766" w:rsidP="00C917D6">
            <w:pPr>
              <w:pStyle w:val="NormalLeft"/>
            </w:pPr>
            <w:r w:rsidRPr="00DE12A3">
              <w:lastRenderedPageBreak/>
              <w:t>1035</w:t>
            </w:r>
          </w:p>
        </w:tc>
        <w:tc>
          <w:tcPr>
            <w:tcW w:w="2489" w:type="dxa"/>
            <w:tcBorders>
              <w:top w:val="single" w:sz="2" w:space="0" w:color="auto"/>
              <w:left w:val="single" w:sz="2" w:space="0" w:color="auto"/>
              <w:bottom w:val="single" w:sz="2" w:space="0" w:color="auto"/>
              <w:right w:val="single" w:sz="2" w:space="0" w:color="auto"/>
            </w:tcBorders>
          </w:tcPr>
          <w:p w14:paraId="553EDAA6" w14:textId="77777777" w:rsidR="009F4766" w:rsidRPr="00DE12A3" w:rsidRDefault="009F4766" w:rsidP="00C917D6">
            <w:pPr>
              <w:pStyle w:val="NormalLeft"/>
            </w:pPr>
            <w:r w:rsidRPr="00DE12A3">
              <w:t>93</w:t>
            </w:r>
          </w:p>
        </w:tc>
        <w:tc>
          <w:tcPr>
            <w:tcW w:w="2551" w:type="dxa"/>
            <w:tcBorders>
              <w:top w:val="single" w:sz="2" w:space="0" w:color="auto"/>
              <w:left w:val="single" w:sz="2" w:space="0" w:color="auto"/>
              <w:bottom w:val="single" w:sz="2" w:space="0" w:color="auto"/>
              <w:right w:val="single" w:sz="2" w:space="0" w:color="auto"/>
            </w:tcBorders>
          </w:tcPr>
          <w:p w14:paraId="6756FC1A" w14:textId="77777777" w:rsidR="009F4766" w:rsidRPr="00DE12A3" w:rsidRDefault="009F4766" w:rsidP="00C917D6">
            <w:pPr>
              <w:pStyle w:val="NormalLeft"/>
            </w:pPr>
            <w:r w:rsidRPr="00DE12A3">
              <w:t>20</w:t>
            </w:r>
          </w:p>
        </w:tc>
      </w:tr>
      <w:tr w:rsidR="00DE12A3" w:rsidRPr="00DE12A3" w14:paraId="017B6A56" w14:textId="77777777" w:rsidTr="009F4766">
        <w:tc>
          <w:tcPr>
            <w:tcW w:w="1182" w:type="dxa"/>
            <w:tcBorders>
              <w:top w:val="single" w:sz="2" w:space="0" w:color="auto"/>
              <w:left w:val="single" w:sz="2" w:space="0" w:color="auto"/>
              <w:bottom w:val="single" w:sz="2" w:space="0" w:color="auto"/>
              <w:right w:val="single" w:sz="2" w:space="0" w:color="auto"/>
            </w:tcBorders>
          </w:tcPr>
          <w:p w14:paraId="4E9C61A3" w14:textId="77777777" w:rsidR="009F4766" w:rsidRPr="00DE12A3" w:rsidRDefault="009F4766" w:rsidP="00C917D6">
            <w:pPr>
              <w:pStyle w:val="NormalLeft"/>
            </w:pPr>
            <w:r w:rsidRPr="00DE12A3">
              <w:t>1036</w:t>
            </w:r>
          </w:p>
        </w:tc>
        <w:tc>
          <w:tcPr>
            <w:tcW w:w="2489" w:type="dxa"/>
            <w:tcBorders>
              <w:top w:val="single" w:sz="2" w:space="0" w:color="auto"/>
              <w:left w:val="single" w:sz="2" w:space="0" w:color="auto"/>
              <w:bottom w:val="single" w:sz="2" w:space="0" w:color="auto"/>
              <w:right w:val="single" w:sz="2" w:space="0" w:color="auto"/>
            </w:tcBorders>
          </w:tcPr>
          <w:p w14:paraId="605A7B83" w14:textId="77777777" w:rsidR="009F4766" w:rsidRPr="00DE12A3" w:rsidRDefault="009F4766" w:rsidP="00C917D6">
            <w:pPr>
              <w:pStyle w:val="NormalLeft"/>
            </w:pPr>
            <w:r w:rsidRPr="00DE12A3">
              <w:t>93</w:t>
            </w:r>
          </w:p>
        </w:tc>
        <w:tc>
          <w:tcPr>
            <w:tcW w:w="2551" w:type="dxa"/>
            <w:tcBorders>
              <w:top w:val="single" w:sz="2" w:space="0" w:color="auto"/>
              <w:left w:val="single" w:sz="2" w:space="0" w:color="auto"/>
              <w:bottom w:val="single" w:sz="2" w:space="0" w:color="auto"/>
              <w:right w:val="single" w:sz="2" w:space="0" w:color="auto"/>
            </w:tcBorders>
          </w:tcPr>
          <w:p w14:paraId="0A412D81" w14:textId="77777777" w:rsidR="009F4766" w:rsidRPr="00DE12A3" w:rsidRDefault="009F4766" w:rsidP="00C917D6">
            <w:pPr>
              <w:pStyle w:val="NormalLeft"/>
            </w:pPr>
            <w:r w:rsidRPr="00DE12A3">
              <w:t>20</w:t>
            </w:r>
          </w:p>
        </w:tc>
      </w:tr>
      <w:tr w:rsidR="00DE12A3" w:rsidRPr="00DE12A3" w14:paraId="15BB47F6" w14:textId="77777777" w:rsidTr="009F4766">
        <w:tc>
          <w:tcPr>
            <w:tcW w:w="1182" w:type="dxa"/>
            <w:tcBorders>
              <w:top w:val="single" w:sz="2" w:space="0" w:color="auto"/>
              <w:left w:val="single" w:sz="2" w:space="0" w:color="auto"/>
              <w:bottom w:val="single" w:sz="2" w:space="0" w:color="auto"/>
              <w:right w:val="single" w:sz="2" w:space="0" w:color="auto"/>
            </w:tcBorders>
          </w:tcPr>
          <w:p w14:paraId="76AB08C1" w14:textId="77777777" w:rsidR="009F4766" w:rsidRPr="00DE12A3" w:rsidRDefault="009F4766" w:rsidP="00C917D6">
            <w:pPr>
              <w:pStyle w:val="NormalLeft"/>
            </w:pPr>
            <w:r w:rsidRPr="00DE12A3">
              <w:t>1037</w:t>
            </w:r>
          </w:p>
        </w:tc>
        <w:tc>
          <w:tcPr>
            <w:tcW w:w="2489" w:type="dxa"/>
            <w:tcBorders>
              <w:top w:val="single" w:sz="2" w:space="0" w:color="auto"/>
              <w:left w:val="single" w:sz="2" w:space="0" w:color="auto"/>
              <w:bottom w:val="single" w:sz="2" w:space="0" w:color="auto"/>
              <w:right w:val="single" w:sz="2" w:space="0" w:color="auto"/>
            </w:tcBorders>
          </w:tcPr>
          <w:p w14:paraId="1A7BD811" w14:textId="77777777" w:rsidR="009F4766" w:rsidRPr="00DE12A3" w:rsidRDefault="009F4766" w:rsidP="00C917D6">
            <w:pPr>
              <w:pStyle w:val="NormalLeft"/>
            </w:pPr>
            <w:r w:rsidRPr="00DE12A3">
              <w:t>93</w:t>
            </w:r>
          </w:p>
        </w:tc>
        <w:tc>
          <w:tcPr>
            <w:tcW w:w="2551" w:type="dxa"/>
            <w:tcBorders>
              <w:top w:val="single" w:sz="2" w:space="0" w:color="auto"/>
              <w:left w:val="single" w:sz="2" w:space="0" w:color="auto"/>
              <w:bottom w:val="single" w:sz="2" w:space="0" w:color="auto"/>
              <w:right w:val="single" w:sz="2" w:space="0" w:color="auto"/>
            </w:tcBorders>
          </w:tcPr>
          <w:p w14:paraId="1C1CBE3F" w14:textId="77777777" w:rsidR="009F4766" w:rsidRPr="00DE12A3" w:rsidRDefault="009F4766" w:rsidP="00C917D6">
            <w:pPr>
              <w:pStyle w:val="NormalLeft"/>
            </w:pPr>
            <w:r w:rsidRPr="00DE12A3">
              <w:t>20</w:t>
            </w:r>
          </w:p>
        </w:tc>
      </w:tr>
      <w:tr w:rsidR="00DE12A3" w:rsidRPr="00DE12A3" w14:paraId="18799E61" w14:textId="77777777" w:rsidTr="009F4766">
        <w:tc>
          <w:tcPr>
            <w:tcW w:w="1182" w:type="dxa"/>
            <w:tcBorders>
              <w:top w:val="single" w:sz="2" w:space="0" w:color="auto"/>
              <w:left w:val="single" w:sz="2" w:space="0" w:color="auto"/>
              <w:bottom w:val="single" w:sz="2" w:space="0" w:color="auto"/>
              <w:right w:val="single" w:sz="2" w:space="0" w:color="auto"/>
            </w:tcBorders>
          </w:tcPr>
          <w:p w14:paraId="4CC4705F" w14:textId="77777777" w:rsidR="009F4766" w:rsidRPr="00DE12A3" w:rsidRDefault="009F4766" w:rsidP="00C917D6">
            <w:pPr>
              <w:pStyle w:val="NormalLeft"/>
            </w:pPr>
            <w:r w:rsidRPr="00DE12A3">
              <w:t>1038</w:t>
            </w:r>
          </w:p>
        </w:tc>
        <w:tc>
          <w:tcPr>
            <w:tcW w:w="2489" w:type="dxa"/>
            <w:tcBorders>
              <w:top w:val="single" w:sz="2" w:space="0" w:color="auto"/>
              <w:left w:val="single" w:sz="2" w:space="0" w:color="auto"/>
              <w:bottom w:val="single" w:sz="2" w:space="0" w:color="auto"/>
              <w:right w:val="single" w:sz="2" w:space="0" w:color="auto"/>
            </w:tcBorders>
          </w:tcPr>
          <w:p w14:paraId="2717DBB5" w14:textId="77777777" w:rsidR="009F4766" w:rsidRPr="00DE12A3" w:rsidRDefault="009F4766" w:rsidP="00C917D6">
            <w:pPr>
              <w:pStyle w:val="NormalLeft"/>
            </w:pPr>
            <w:r w:rsidRPr="00DE12A3">
              <w:t>93</w:t>
            </w:r>
          </w:p>
        </w:tc>
        <w:tc>
          <w:tcPr>
            <w:tcW w:w="2551" w:type="dxa"/>
            <w:tcBorders>
              <w:top w:val="single" w:sz="2" w:space="0" w:color="auto"/>
              <w:left w:val="single" w:sz="2" w:space="0" w:color="auto"/>
              <w:bottom w:val="single" w:sz="2" w:space="0" w:color="auto"/>
              <w:right w:val="single" w:sz="2" w:space="0" w:color="auto"/>
            </w:tcBorders>
          </w:tcPr>
          <w:p w14:paraId="59547782" w14:textId="77777777" w:rsidR="009F4766" w:rsidRPr="00DE12A3" w:rsidRDefault="009F4766" w:rsidP="00C917D6">
            <w:pPr>
              <w:pStyle w:val="NormalLeft"/>
            </w:pPr>
            <w:r w:rsidRPr="00DE12A3">
              <w:t>20</w:t>
            </w:r>
          </w:p>
        </w:tc>
      </w:tr>
      <w:tr w:rsidR="00DE12A3" w:rsidRPr="00DE12A3" w14:paraId="192A730F" w14:textId="77777777" w:rsidTr="009F4766">
        <w:tc>
          <w:tcPr>
            <w:tcW w:w="1182" w:type="dxa"/>
            <w:tcBorders>
              <w:top w:val="single" w:sz="2" w:space="0" w:color="auto"/>
              <w:left w:val="single" w:sz="2" w:space="0" w:color="auto"/>
              <w:bottom w:val="single" w:sz="2" w:space="0" w:color="auto"/>
              <w:right w:val="single" w:sz="2" w:space="0" w:color="auto"/>
            </w:tcBorders>
          </w:tcPr>
          <w:p w14:paraId="0CBDB526" w14:textId="77777777" w:rsidR="009F4766" w:rsidRPr="00DE12A3" w:rsidRDefault="009F4766" w:rsidP="00C917D6">
            <w:pPr>
              <w:pStyle w:val="NormalLeft"/>
            </w:pPr>
            <w:r w:rsidRPr="00DE12A3">
              <w:t>1039</w:t>
            </w:r>
          </w:p>
        </w:tc>
        <w:tc>
          <w:tcPr>
            <w:tcW w:w="2489" w:type="dxa"/>
            <w:tcBorders>
              <w:top w:val="single" w:sz="2" w:space="0" w:color="auto"/>
              <w:left w:val="single" w:sz="2" w:space="0" w:color="auto"/>
              <w:bottom w:val="single" w:sz="2" w:space="0" w:color="auto"/>
              <w:right w:val="single" w:sz="2" w:space="0" w:color="auto"/>
            </w:tcBorders>
          </w:tcPr>
          <w:p w14:paraId="64DB3856" w14:textId="77777777" w:rsidR="009F4766" w:rsidRPr="00DE12A3" w:rsidRDefault="009F4766" w:rsidP="00C917D6">
            <w:pPr>
              <w:pStyle w:val="NormalLeft"/>
            </w:pPr>
            <w:r w:rsidRPr="00DE12A3">
              <w:t>93</w:t>
            </w:r>
          </w:p>
        </w:tc>
        <w:tc>
          <w:tcPr>
            <w:tcW w:w="2551" w:type="dxa"/>
            <w:tcBorders>
              <w:top w:val="single" w:sz="2" w:space="0" w:color="auto"/>
              <w:left w:val="single" w:sz="2" w:space="0" w:color="auto"/>
              <w:bottom w:val="single" w:sz="2" w:space="0" w:color="auto"/>
              <w:right w:val="single" w:sz="2" w:space="0" w:color="auto"/>
            </w:tcBorders>
          </w:tcPr>
          <w:p w14:paraId="490D2AA9" w14:textId="77777777" w:rsidR="009F4766" w:rsidRPr="00DE12A3" w:rsidRDefault="009F4766" w:rsidP="00C917D6">
            <w:pPr>
              <w:pStyle w:val="NormalLeft"/>
            </w:pPr>
            <w:r w:rsidRPr="00DE12A3">
              <w:t>19</w:t>
            </w:r>
          </w:p>
        </w:tc>
      </w:tr>
      <w:tr w:rsidR="00DE12A3" w:rsidRPr="00DE12A3" w14:paraId="36452A80" w14:textId="77777777" w:rsidTr="009F4766">
        <w:tc>
          <w:tcPr>
            <w:tcW w:w="1182" w:type="dxa"/>
            <w:tcBorders>
              <w:top w:val="single" w:sz="2" w:space="0" w:color="auto"/>
              <w:left w:val="single" w:sz="2" w:space="0" w:color="auto"/>
              <w:bottom w:val="single" w:sz="2" w:space="0" w:color="auto"/>
              <w:right w:val="single" w:sz="2" w:space="0" w:color="auto"/>
            </w:tcBorders>
          </w:tcPr>
          <w:p w14:paraId="0C8CBBE0" w14:textId="77777777" w:rsidR="009F4766" w:rsidRPr="00DE12A3" w:rsidRDefault="009F4766" w:rsidP="00C917D6">
            <w:pPr>
              <w:pStyle w:val="NormalLeft"/>
            </w:pPr>
            <w:r w:rsidRPr="00DE12A3">
              <w:t>1040</w:t>
            </w:r>
          </w:p>
        </w:tc>
        <w:tc>
          <w:tcPr>
            <w:tcW w:w="2489" w:type="dxa"/>
            <w:tcBorders>
              <w:top w:val="single" w:sz="2" w:space="0" w:color="auto"/>
              <w:left w:val="single" w:sz="2" w:space="0" w:color="auto"/>
              <w:bottom w:val="single" w:sz="2" w:space="0" w:color="auto"/>
              <w:right w:val="single" w:sz="2" w:space="0" w:color="auto"/>
            </w:tcBorders>
          </w:tcPr>
          <w:p w14:paraId="0E104769" w14:textId="77777777" w:rsidR="009F4766" w:rsidRPr="00DE12A3" w:rsidRDefault="009F4766" w:rsidP="00C917D6">
            <w:pPr>
              <w:pStyle w:val="NormalLeft"/>
            </w:pPr>
            <w:r w:rsidRPr="00DE12A3">
              <w:t>93</w:t>
            </w:r>
          </w:p>
        </w:tc>
        <w:tc>
          <w:tcPr>
            <w:tcW w:w="2551" w:type="dxa"/>
            <w:tcBorders>
              <w:top w:val="single" w:sz="2" w:space="0" w:color="auto"/>
              <w:left w:val="single" w:sz="2" w:space="0" w:color="auto"/>
              <w:bottom w:val="single" w:sz="2" w:space="0" w:color="auto"/>
              <w:right w:val="single" w:sz="2" w:space="0" w:color="auto"/>
            </w:tcBorders>
          </w:tcPr>
          <w:p w14:paraId="2190421E" w14:textId="77777777" w:rsidR="009F4766" w:rsidRPr="00DE12A3" w:rsidRDefault="009F4766" w:rsidP="00C917D6">
            <w:pPr>
              <w:pStyle w:val="NormalLeft"/>
            </w:pPr>
            <w:r w:rsidRPr="00DE12A3">
              <w:t>18</w:t>
            </w:r>
          </w:p>
        </w:tc>
      </w:tr>
      <w:tr w:rsidR="00DE12A3" w:rsidRPr="00DE12A3" w14:paraId="59F320D9" w14:textId="77777777" w:rsidTr="009F4766">
        <w:tc>
          <w:tcPr>
            <w:tcW w:w="1182" w:type="dxa"/>
            <w:tcBorders>
              <w:top w:val="single" w:sz="2" w:space="0" w:color="auto"/>
              <w:left w:val="single" w:sz="2" w:space="0" w:color="auto"/>
              <w:bottom w:val="single" w:sz="2" w:space="0" w:color="auto"/>
              <w:right w:val="single" w:sz="2" w:space="0" w:color="auto"/>
            </w:tcBorders>
          </w:tcPr>
          <w:p w14:paraId="167C53C8" w14:textId="77777777" w:rsidR="009F4766" w:rsidRPr="00DE12A3" w:rsidRDefault="009F4766" w:rsidP="00C917D6">
            <w:pPr>
              <w:pStyle w:val="NormalLeft"/>
            </w:pPr>
            <w:r w:rsidRPr="00DE12A3">
              <w:t>1041</w:t>
            </w:r>
          </w:p>
        </w:tc>
        <w:tc>
          <w:tcPr>
            <w:tcW w:w="2489" w:type="dxa"/>
            <w:tcBorders>
              <w:top w:val="single" w:sz="2" w:space="0" w:color="auto"/>
              <w:left w:val="single" w:sz="2" w:space="0" w:color="auto"/>
              <w:bottom w:val="single" w:sz="2" w:space="0" w:color="auto"/>
              <w:right w:val="single" w:sz="2" w:space="0" w:color="auto"/>
            </w:tcBorders>
          </w:tcPr>
          <w:p w14:paraId="3AA6ECFC" w14:textId="77777777" w:rsidR="009F4766" w:rsidRPr="00DE12A3" w:rsidRDefault="009F4766" w:rsidP="00C917D6">
            <w:pPr>
              <w:pStyle w:val="NormalLeft"/>
            </w:pPr>
            <w:r w:rsidRPr="00DE12A3">
              <w:t>93</w:t>
            </w:r>
          </w:p>
        </w:tc>
        <w:tc>
          <w:tcPr>
            <w:tcW w:w="2551" w:type="dxa"/>
            <w:tcBorders>
              <w:top w:val="single" w:sz="2" w:space="0" w:color="auto"/>
              <w:left w:val="single" w:sz="2" w:space="0" w:color="auto"/>
              <w:bottom w:val="single" w:sz="2" w:space="0" w:color="auto"/>
              <w:right w:val="single" w:sz="2" w:space="0" w:color="auto"/>
            </w:tcBorders>
          </w:tcPr>
          <w:p w14:paraId="30DE4468" w14:textId="77777777" w:rsidR="009F4766" w:rsidRPr="00DE12A3" w:rsidRDefault="009F4766" w:rsidP="00C917D6">
            <w:pPr>
              <w:pStyle w:val="NormalLeft"/>
            </w:pPr>
            <w:r w:rsidRPr="00DE12A3">
              <w:t>18</w:t>
            </w:r>
          </w:p>
        </w:tc>
      </w:tr>
      <w:tr w:rsidR="00DE12A3" w:rsidRPr="00DE12A3" w14:paraId="194A3BDB" w14:textId="77777777" w:rsidTr="009F4766">
        <w:tc>
          <w:tcPr>
            <w:tcW w:w="1182" w:type="dxa"/>
            <w:tcBorders>
              <w:top w:val="single" w:sz="2" w:space="0" w:color="auto"/>
              <w:left w:val="single" w:sz="2" w:space="0" w:color="auto"/>
              <w:bottom w:val="single" w:sz="2" w:space="0" w:color="auto"/>
              <w:right w:val="single" w:sz="2" w:space="0" w:color="auto"/>
            </w:tcBorders>
          </w:tcPr>
          <w:p w14:paraId="5F400138" w14:textId="77777777" w:rsidR="009F4766" w:rsidRPr="00DE12A3" w:rsidRDefault="009F4766" w:rsidP="00C917D6">
            <w:pPr>
              <w:pStyle w:val="NormalLeft"/>
            </w:pPr>
            <w:r w:rsidRPr="00DE12A3">
              <w:t>1042</w:t>
            </w:r>
          </w:p>
        </w:tc>
        <w:tc>
          <w:tcPr>
            <w:tcW w:w="2489" w:type="dxa"/>
            <w:tcBorders>
              <w:top w:val="single" w:sz="2" w:space="0" w:color="auto"/>
              <w:left w:val="single" w:sz="2" w:space="0" w:color="auto"/>
              <w:bottom w:val="single" w:sz="2" w:space="0" w:color="auto"/>
              <w:right w:val="single" w:sz="2" w:space="0" w:color="auto"/>
            </w:tcBorders>
          </w:tcPr>
          <w:p w14:paraId="357B99C3" w14:textId="77777777" w:rsidR="009F4766" w:rsidRPr="00DE12A3" w:rsidRDefault="009F4766" w:rsidP="00C917D6">
            <w:pPr>
              <w:pStyle w:val="NormalLeft"/>
            </w:pPr>
            <w:r w:rsidRPr="00DE12A3">
              <w:t>93</w:t>
            </w:r>
          </w:p>
        </w:tc>
        <w:tc>
          <w:tcPr>
            <w:tcW w:w="2551" w:type="dxa"/>
            <w:tcBorders>
              <w:top w:val="single" w:sz="2" w:space="0" w:color="auto"/>
              <w:left w:val="single" w:sz="2" w:space="0" w:color="auto"/>
              <w:bottom w:val="single" w:sz="2" w:space="0" w:color="auto"/>
              <w:right w:val="single" w:sz="2" w:space="0" w:color="auto"/>
            </w:tcBorders>
          </w:tcPr>
          <w:p w14:paraId="61C68E34" w14:textId="77777777" w:rsidR="009F4766" w:rsidRPr="00DE12A3" w:rsidRDefault="009F4766" w:rsidP="00C917D6">
            <w:pPr>
              <w:pStyle w:val="NormalLeft"/>
            </w:pPr>
            <w:r w:rsidRPr="00DE12A3">
              <w:t>17</w:t>
            </w:r>
          </w:p>
        </w:tc>
      </w:tr>
      <w:tr w:rsidR="00DE12A3" w:rsidRPr="00DE12A3" w14:paraId="43DC1CFA" w14:textId="77777777" w:rsidTr="009F4766">
        <w:tc>
          <w:tcPr>
            <w:tcW w:w="1182" w:type="dxa"/>
            <w:tcBorders>
              <w:top w:val="single" w:sz="2" w:space="0" w:color="auto"/>
              <w:left w:val="single" w:sz="2" w:space="0" w:color="auto"/>
              <w:bottom w:val="single" w:sz="2" w:space="0" w:color="auto"/>
              <w:right w:val="single" w:sz="2" w:space="0" w:color="auto"/>
            </w:tcBorders>
          </w:tcPr>
          <w:p w14:paraId="4FE707AA" w14:textId="77777777" w:rsidR="009F4766" w:rsidRPr="00DE12A3" w:rsidRDefault="009F4766" w:rsidP="00C917D6">
            <w:pPr>
              <w:pStyle w:val="NormalLeft"/>
            </w:pPr>
            <w:r w:rsidRPr="00DE12A3">
              <w:t>1043</w:t>
            </w:r>
          </w:p>
        </w:tc>
        <w:tc>
          <w:tcPr>
            <w:tcW w:w="2489" w:type="dxa"/>
            <w:tcBorders>
              <w:top w:val="single" w:sz="2" w:space="0" w:color="auto"/>
              <w:left w:val="single" w:sz="2" w:space="0" w:color="auto"/>
              <w:bottom w:val="single" w:sz="2" w:space="0" w:color="auto"/>
              <w:right w:val="single" w:sz="2" w:space="0" w:color="auto"/>
            </w:tcBorders>
          </w:tcPr>
          <w:p w14:paraId="6D1DED0E" w14:textId="77777777" w:rsidR="009F4766" w:rsidRPr="00DE12A3" w:rsidRDefault="009F4766" w:rsidP="00C917D6">
            <w:pPr>
              <w:pStyle w:val="NormalLeft"/>
            </w:pPr>
            <w:r w:rsidRPr="00DE12A3">
              <w:t>93</w:t>
            </w:r>
          </w:p>
        </w:tc>
        <w:tc>
          <w:tcPr>
            <w:tcW w:w="2551" w:type="dxa"/>
            <w:tcBorders>
              <w:top w:val="single" w:sz="2" w:space="0" w:color="auto"/>
              <w:left w:val="single" w:sz="2" w:space="0" w:color="auto"/>
              <w:bottom w:val="single" w:sz="2" w:space="0" w:color="auto"/>
              <w:right w:val="single" w:sz="2" w:space="0" w:color="auto"/>
            </w:tcBorders>
          </w:tcPr>
          <w:p w14:paraId="301C2C4C" w14:textId="77777777" w:rsidR="009F4766" w:rsidRPr="00DE12A3" w:rsidRDefault="009F4766" w:rsidP="00C917D6">
            <w:pPr>
              <w:pStyle w:val="NormalLeft"/>
            </w:pPr>
            <w:r w:rsidRPr="00DE12A3">
              <w:t>16</w:t>
            </w:r>
          </w:p>
        </w:tc>
      </w:tr>
      <w:tr w:rsidR="00DE12A3" w:rsidRPr="00DE12A3" w14:paraId="7B5FAA3C" w14:textId="77777777" w:rsidTr="009F4766">
        <w:tc>
          <w:tcPr>
            <w:tcW w:w="1182" w:type="dxa"/>
            <w:tcBorders>
              <w:top w:val="single" w:sz="2" w:space="0" w:color="auto"/>
              <w:left w:val="single" w:sz="2" w:space="0" w:color="auto"/>
              <w:bottom w:val="single" w:sz="2" w:space="0" w:color="auto"/>
              <w:right w:val="single" w:sz="2" w:space="0" w:color="auto"/>
            </w:tcBorders>
          </w:tcPr>
          <w:p w14:paraId="6E507397" w14:textId="77777777" w:rsidR="009F4766" w:rsidRPr="00DE12A3" w:rsidRDefault="009F4766" w:rsidP="00C917D6">
            <w:pPr>
              <w:pStyle w:val="NormalLeft"/>
            </w:pPr>
            <w:r w:rsidRPr="00DE12A3">
              <w:t>1044</w:t>
            </w:r>
          </w:p>
        </w:tc>
        <w:tc>
          <w:tcPr>
            <w:tcW w:w="2489" w:type="dxa"/>
            <w:tcBorders>
              <w:top w:val="single" w:sz="2" w:space="0" w:color="auto"/>
              <w:left w:val="single" w:sz="2" w:space="0" w:color="auto"/>
              <w:bottom w:val="single" w:sz="2" w:space="0" w:color="auto"/>
              <w:right w:val="single" w:sz="2" w:space="0" w:color="auto"/>
            </w:tcBorders>
          </w:tcPr>
          <w:p w14:paraId="1F6F60B8" w14:textId="77777777" w:rsidR="009F4766" w:rsidRPr="00DE12A3" w:rsidRDefault="009F4766" w:rsidP="00C917D6">
            <w:pPr>
              <w:pStyle w:val="NormalLeft"/>
            </w:pPr>
            <w:r w:rsidRPr="00DE12A3">
              <w:t>93</w:t>
            </w:r>
          </w:p>
        </w:tc>
        <w:tc>
          <w:tcPr>
            <w:tcW w:w="2551" w:type="dxa"/>
            <w:tcBorders>
              <w:top w:val="single" w:sz="2" w:space="0" w:color="auto"/>
              <w:left w:val="single" w:sz="2" w:space="0" w:color="auto"/>
              <w:bottom w:val="single" w:sz="2" w:space="0" w:color="auto"/>
              <w:right w:val="single" w:sz="2" w:space="0" w:color="auto"/>
            </w:tcBorders>
          </w:tcPr>
          <w:p w14:paraId="0EDE25E0" w14:textId="77777777" w:rsidR="009F4766" w:rsidRPr="00DE12A3" w:rsidRDefault="009F4766" w:rsidP="00C917D6">
            <w:pPr>
              <w:pStyle w:val="NormalLeft"/>
            </w:pPr>
            <w:r w:rsidRPr="00DE12A3">
              <w:t>16</w:t>
            </w:r>
          </w:p>
        </w:tc>
      </w:tr>
      <w:tr w:rsidR="00DE12A3" w:rsidRPr="00DE12A3" w14:paraId="5EC67F5F" w14:textId="77777777" w:rsidTr="009F4766">
        <w:tc>
          <w:tcPr>
            <w:tcW w:w="1182" w:type="dxa"/>
            <w:tcBorders>
              <w:top w:val="single" w:sz="2" w:space="0" w:color="auto"/>
              <w:left w:val="single" w:sz="2" w:space="0" w:color="auto"/>
              <w:bottom w:val="single" w:sz="2" w:space="0" w:color="auto"/>
              <w:right w:val="single" w:sz="2" w:space="0" w:color="auto"/>
            </w:tcBorders>
          </w:tcPr>
          <w:p w14:paraId="2012B1EA" w14:textId="77777777" w:rsidR="009F4766" w:rsidRPr="00DE12A3" w:rsidRDefault="009F4766" w:rsidP="00C917D6">
            <w:pPr>
              <w:pStyle w:val="NormalLeft"/>
            </w:pPr>
            <w:r w:rsidRPr="00DE12A3">
              <w:t>1045</w:t>
            </w:r>
          </w:p>
        </w:tc>
        <w:tc>
          <w:tcPr>
            <w:tcW w:w="2489" w:type="dxa"/>
            <w:tcBorders>
              <w:top w:val="single" w:sz="2" w:space="0" w:color="auto"/>
              <w:left w:val="single" w:sz="2" w:space="0" w:color="auto"/>
              <w:bottom w:val="single" w:sz="2" w:space="0" w:color="auto"/>
              <w:right w:val="single" w:sz="2" w:space="0" w:color="auto"/>
            </w:tcBorders>
          </w:tcPr>
          <w:p w14:paraId="08402A10" w14:textId="77777777" w:rsidR="009F4766" w:rsidRPr="00DE12A3" w:rsidRDefault="009F4766" w:rsidP="00C917D6">
            <w:pPr>
              <w:pStyle w:val="NormalLeft"/>
            </w:pPr>
            <w:r w:rsidRPr="00DE12A3">
              <w:t>93</w:t>
            </w:r>
          </w:p>
        </w:tc>
        <w:tc>
          <w:tcPr>
            <w:tcW w:w="2551" w:type="dxa"/>
            <w:tcBorders>
              <w:top w:val="single" w:sz="2" w:space="0" w:color="auto"/>
              <w:left w:val="single" w:sz="2" w:space="0" w:color="auto"/>
              <w:bottom w:val="single" w:sz="2" w:space="0" w:color="auto"/>
              <w:right w:val="single" w:sz="2" w:space="0" w:color="auto"/>
            </w:tcBorders>
          </w:tcPr>
          <w:p w14:paraId="209A694D" w14:textId="77777777" w:rsidR="009F4766" w:rsidRPr="00DE12A3" w:rsidRDefault="009F4766" w:rsidP="00C917D6">
            <w:pPr>
              <w:pStyle w:val="NormalLeft"/>
            </w:pPr>
            <w:r w:rsidRPr="00DE12A3">
              <w:t>15</w:t>
            </w:r>
          </w:p>
        </w:tc>
      </w:tr>
      <w:tr w:rsidR="00DE12A3" w:rsidRPr="00DE12A3" w14:paraId="204BBDA8" w14:textId="77777777" w:rsidTr="009F4766">
        <w:tc>
          <w:tcPr>
            <w:tcW w:w="1182" w:type="dxa"/>
            <w:tcBorders>
              <w:top w:val="single" w:sz="2" w:space="0" w:color="auto"/>
              <w:left w:val="single" w:sz="2" w:space="0" w:color="auto"/>
              <w:bottom w:val="single" w:sz="2" w:space="0" w:color="auto"/>
              <w:right w:val="single" w:sz="2" w:space="0" w:color="auto"/>
            </w:tcBorders>
          </w:tcPr>
          <w:p w14:paraId="00113589" w14:textId="77777777" w:rsidR="009F4766" w:rsidRPr="00DE12A3" w:rsidRDefault="009F4766" w:rsidP="00C917D6">
            <w:pPr>
              <w:pStyle w:val="NormalLeft"/>
            </w:pPr>
            <w:r w:rsidRPr="00DE12A3">
              <w:t>1046</w:t>
            </w:r>
          </w:p>
        </w:tc>
        <w:tc>
          <w:tcPr>
            <w:tcW w:w="2489" w:type="dxa"/>
            <w:tcBorders>
              <w:top w:val="single" w:sz="2" w:space="0" w:color="auto"/>
              <w:left w:val="single" w:sz="2" w:space="0" w:color="auto"/>
              <w:bottom w:val="single" w:sz="2" w:space="0" w:color="auto"/>
              <w:right w:val="single" w:sz="2" w:space="0" w:color="auto"/>
            </w:tcBorders>
          </w:tcPr>
          <w:p w14:paraId="2F3F69F7" w14:textId="77777777" w:rsidR="009F4766" w:rsidRPr="00DE12A3" w:rsidRDefault="009F4766" w:rsidP="00C917D6">
            <w:pPr>
              <w:pStyle w:val="NormalLeft"/>
            </w:pPr>
            <w:r w:rsidRPr="00DE12A3">
              <w:t>93</w:t>
            </w:r>
          </w:p>
        </w:tc>
        <w:tc>
          <w:tcPr>
            <w:tcW w:w="2551" w:type="dxa"/>
            <w:tcBorders>
              <w:top w:val="single" w:sz="2" w:space="0" w:color="auto"/>
              <w:left w:val="single" w:sz="2" w:space="0" w:color="auto"/>
              <w:bottom w:val="single" w:sz="2" w:space="0" w:color="auto"/>
              <w:right w:val="single" w:sz="2" w:space="0" w:color="auto"/>
            </w:tcBorders>
          </w:tcPr>
          <w:p w14:paraId="2ED0EE1E" w14:textId="77777777" w:rsidR="009F4766" w:rsidRPr="00DE12A3" w:rsidRDefault="009F4766" w:rsidP="00C917D6">
            <w:pPr>
              <w:pStyle w:val="NormalLeft"/>
            </w:pPr>
            <w:r w:rsidRPr="00DE12A3">
              <w:t>16</w:t>
            </w:r>
          </w:p>
        </w:tc>
      </w:tr>
      <w:tr w:rsidR="00DE12A3" w:rsidRPr="00DE12A3" w14:paraId="054651DF" w14:textId="77777777" w:rsidTr="009F4766">
        <w:tc>
          <w:tcPr>
            <w:tcW w:w="1182" w:type="dxa"/>
            <w:tcBorders>
              <w:top w:val="single" w:sz="2" w:space="0" w:color="auto"/>
              <w:left w:val="single" w:sz="2" w:space="0" w:color="auto"/>
              <w:bottom w:val="single" w:sz="2" w:space="0" w:color="auto"/>
              <w:right w:val="single" w:sz="2" w:space="0" w:color="auto"/>
            </w:tcBorders>
          </w:tcPr>
          <w:p w14:paraId="14B797D2" w14:textId="77777777" w:rsidR="009F4766" w:rsidRPr="00DE12A3" w:rsidRDefault="009F4766" w:rsidP="00C917D6">
            <w:pPr>
              <w:pStyle w:val="NormalLeft"/>
            </w:pPr>
            <w:r w:rsidRPr="00DE12A3">
              <w:t>1047</w:t>
            </w:r>
          </w:p>
        </w:tc>
        <w:tc>
          <w:tcPr>
            <w:tcW w:w="2489" w:type="dxa"/>
            <w:tcBorders>
              <w:top w:val="single" w:sz="2" w:space="0" w:color="auto"/>
              <w:left w:val="single" w:sz="2" w:space="0" w:color="auto"/>
              <w:bottom w:val="single" w:sz="2" w:space="0" w:color="auto"/>
              <w:right w:val="single" w:sz="2" w:space="0" w:color="auto"/>
            </w:tcBorders>
          </w:tcPr>
          <w:p w14:paraId="62481932" w14:textId="77777777" w:rsidR="009F4766" w:rsidRPr="00DE12A3" w:rsidRDefault="009F4766" w:rsidP="00C917D6">
            <w:pPr>
              <w:pStyle w:val="NormalLeft"/>
            </w:pPr>
            <w:r w:rsidRPr="00DE12A3">
              <w:t>93</w:t>
            </w:r>
          </w:p>
        </w:tc>
        <w:tc>
          <w:tcPr>
            <w:tcW w:w="2551" w:type="dxa"/>
            <w:tcBorders>
              <w:top w:val="single" w:sz="2" w:space="0" w:color="auto"/>
              <w:left w:val="single" w:sz="2" w:space="0" w:color="auto"/>
              <w:bottom w:val="single" w:sz="2" w:space="0" w:color="auto"/>
              <w:right w:val="single" w:sz="2" w:space="0" w:color="auto"/>
            </w:tcBorders>
          </w:tcPr>
          <w:p w14:paraId="02FB7F11" w14:textId="77777777" w:rsidR="009F4766" w:rsidRPr="00DE12A3" w:rsidRDefault="009F4766" w:rsidP="00C917D6">
            <w:pPr>
              <w:pStyle w:val="NormalLeft"/>
            </w:pPr>
            <w:r w:rsidRPr="00DE12A3">
              <w:t>18</w:t>
            </w:r>
          </w:p>
        </w:tc>
      </w:tr>
      <w:tr w:rsidR="00DE12A3" w:rsidRPr="00DE12A3" w14:paraId="74CC725E" w14:textId="77777777" w:rsidTr="009F4766">
        <w:tc>
          <w:tcPr>
            <w:tcW w:w="1182" w:type="dxa"/>
            <w:tcBorders>
              <w:top w:val="single" w:sz="2" w:space="0" w:color="auto"/>
              <w:left w:val="single" w:sz="2" w:space="0" w:color="auto"/>
              <w:bottom w:val="single" w:sz="2" w:space="0" w:color="auto"/>
              <w:right w:val="single" w:sz="2" w:space="0" w:color="auto"/>
            </w:tcBorders>
          </w:tcPr>
          <w:p w14:paraId="75BF8F4F" w14:textId="77777777" w:rsidR="009F4766" w:rsidRPr="00DE12A3" w:rsidRDefault="009F4766" w:rsidP="00C917D6">
            <w:pPr>
              <w:pStyle w:val="NormalLeft"/>
            </w:pPr>
            <w:r w:rsidRPr="00DE12A3">
              <w:t>1048</w:t>
            </w:r>
          </w:p>
        </w:tc>
        <w:tc>
          <w:tcPr>
            <w:tcW w:w="2489" w:type="dxa"/>
            <w:tcBorders>
              <w:top w:val="single" w:sz="2" w:space="0" w:color="auto"/>
              <w:left w:val="single" w:sz="2" w:space="0" w:color="auto"/>
              <w:bottom w:val="single" w:sz="2" w:space="0" w:color="auto"/>
              <w:right w:val="single" w:sz="2" w:space="0" w:color="auto"/>
            </w:tcBorders>
          </w:tcPr>
          <w:p w14:paraId="50E9BC7B" w14:textId="77777777" w:rsidR="009F4766" w:rsidRPr="00DE12A3" w:rsidRDefault="009F4766" w:rsidP="00C917D6">
            <w:pPr>
              <w:pStyle w:val="NormalLeft"/>
            </w:pPr>
            <w:r w:rsidRPr="00DE12A3">
              <w:t>93</w:t>
            </w:r>
          </w:p>
        </w:tc>
        <w:tc>
          <w:tcPr>
            <w:tcW w:w="2551" w:type="dxa"/>
            <w:tcBorders>
              <w:top w:val="single" w:sz="2" w:space="0" w:color="auto"/>
              <w:left w:val="single" w:sz="2" w:space="0" w:color="auto"/>
              <w:bottom w:val="single" w:sz="2" w:space="0" w:color="auto"/>
              <w:right w:val="single" w:sz="2" w:space="0" w:color="auto"/>
            </w:tcBorders>
          </w:tcPr>
          <w:p w14:paraId="31F08FE1" w14:textId="77777777" w:rsidR="009F4766" w:rsidRPr="00DE12A3" w:rsidRDefault="009F4766" w:rsidP="00C917D6">
            <w:pPr>
              <w:pStyle w:val="NormalLeft"/>
            </w:pPr>
            <w:r w:rsidRPr="00DE12A3">
              <w:t>37</w:t>
            </w:r>
          </w:p>
        </w:tc>
      </w:tr>
      <w:tr w:rsidR="00DE12A3" w:rsidRPr="00DE12A3" w14:paraId="24BE12C1" w14:textId="77777777" w:rsidTr="009F4766">
        <w:tc>
          <w:tcPr>
            <w:tcW w:w="1182" w:type="dxa"/>
            <w:tcBorders>
              <w:top w:val="single" w:sz="2" w:space="0" w:color="auto"/>
              <w:left w:val="single" w:sz="2" w:space="0" w:color="auto"/>
              <w:bottom w:val="single" w:sz="2" w:space="0" w:color="auto"/>
              <w:right w:val="single" w:sz="2" w:space="0" w:color="auto"/>
            </w:tcBorders>
          </w:tcPr>
          <w:p w14:paraId="624C72DD" w14:textId="77777777" w:rsidR="009F4766" w:rsidRPr="00DE12A3" w:rsidRDefault="009F4766" w:rsidP="00C917D6">
            <w:pPr>
              <w:pStyle w:val="NormalLeft"/>
            </w:pPr>
            <w:r w:rsidRPr="00DE12A3">
              <w:t>1049</w:t>
            </w:r>
          </w:p>
        </w:tc>
        <w:tc>
          <w:tcPr>
            <w:tcW w:w="2489" w:type="dxa"/>
            <w:tcBorders>
              <w:top w:val="single" w:sz="2" w:space="0" w:color="auto"/>
              <w:left w:val="single" w:sz="2" w:space="0" w:color="auto"/>
              <w:bottom w:val="single" w:sz="2" w:space="0" w:color="auto"/>
              <w:right w:val="single" w:sz="2" w:space="0" w:color="auto"/>
            </w:tcBorders>
          </w:tcPr>
          <w:p w14:paraId="29DF65B9" w14:textId="77777777" w:rsidR="009F4766" w:rsidRPr="00DE12A3" w:rsidRDefault="009F4766" w:rsidP="00C917D6">
            <w:pPr>
              <w:pStyle w:val="NormalLeft"/>
            </w:pPr>
            <w:r w:rsidRPr="00DE12A3">
              <w:t>93</w:t>
            </w:r>
          </w:p>
        </w:tc>
        <w:tc>
          <w:tcPr>
            <w:tcW w:w="2551" w:type="dxa"/>
            <w:tcBorders>
              <w:top w:val="single" w:sz="2" w:space="0" w:color="auto"/>
              <w:left w:val="single" w:sz="2" w:space="0" w:color="auto"/>
              <w:bottom w:val="single" w:sz="2" w:space="0" w:color="auto"/>
              <w:right w:val="single" w:sz="2" w:space="0" w:color="auto"/>
            </w:tcBorders>
          </w:tcPr>
          <w:p w14:paraId="7A4E3116" w14:textId="77777777" w:rsidR="009F4766" w:rsidRPr="00DE12A3" w:rsidRDefault="009F4766" w:rsidP="00C917D6">
            <w:pPr>
              <w:pStyle w:val="NormalLeft"/>
            </w:pPr>
            <w:r w:rsidRPr="00DE12A3">
              <w:t>48</w:t>
            </w:r>
          </w:p>
        </w:tc>
      </w:tr>
      <w:tr w:rsidR="00DE12A3" w:rsidRPr="00DE12A3" w14:paraId="542DF4FD" w14:textId="77777777" w:rsidTr="009F4766">
        <w:tc>
          <w:tcPr>
            <w:tcW w:w="1182" w:type="dxa"/>
            <w:tcBorders>
              <w:top w:val="single" w:sz="2" w:space="0" w:color="auto"/>
              <w:left w:val="single" w:sz="2" w:space="0" w:color="auto"/>
              <w:bottom w:val="single" w:sz="2" w:space="0" w:color="auto"/>
              <w:right w:val="single" w:sz="2" w:space="0" w:color="auto"/>
            </w:tcBorders>
          </w:tcPr>
          <w:p w14:paraId="2AE23009" w14:textId="77777777" w:rsidR="009F4766" w:rsidRPr="00DE12A3" w:rsidRDefault="009F4766" w:rsidP="00C917D6">
            <w:pPr>
              <w:pStyle w:val="NormalLeft"/>
            </w:pPr>
            <w:r w:rsidRPr="00DE12A3">
              <w:t>1050</w:t>
            </w:r>
          </w:p>
        </w:tc>
        <w:tc>
          <w:tcPr>
            <w:tcW w:w="2489" w:type="dxa"/>
            <w:tcBorders>
              <w:top w:val="single" w:sz="2" w:space="0" w:color="auto"/>
              <w:left w:val="single" w:sz="2" w:space="0" w:color="auto"/>
              <w:bottom w:val="single" w:sz="2" w:space="0" w:color="auto"/>
              <w:right w:val="single" w:sz="2" w:space="0" w:color="auto"/>
            </w:tcBorders>
          </w:tcPr>
          <w:p w14:paraId="42598C68" w14:textId="77777777" w:rsidR="009F4766" w:rsidRPr="00DE12A3" w:rsidRDefault="009F4766" w:rsidP="00C917D6">
            <w:pPr>
              <w:pStyle w:val="NormalLeft"/>
            </w:pPr>
            <w:r w:rsidRPr="00DE12A3">
              <w:t>93</w:t>
            </w:r>
          </w:p>
        </w:tc>
        <w:tc>
          <w:tcPr>
            <w:tcW w:w="2551" w:type="dxa"/>
            <w:tcBorders>
              <w:top w:val="single" w:sz="2" w:space="0" w:color="auto"/>
              <w:left w:val="single" w:sz="2" w:space="0" w:color="auto"/>
              <w:bottom w:val="single" w:sz="2" w:space="0" w:color="auto"/>
              <w:right w:val="single" w:sz="2" w:space="0" w:color="auto"/>
            </w:tcBorders>
          </w:tcPr>
          <w:p w14:paraId="006C4209" w14:textId="77777777" w:rsidR="009F4766" w:rsidRPr="00DE12A3" w:rsidRDefault="009F4766" w:rsidP="00C917D6">
            <w:pPr>
              <w:pStyle w:val="NormalLeft"/>
            </w:pPr>
            <w:r w:rsidRPr="00DE12A3">
              <w:t>38</w:t>
            </w:r>
          </w:p>
        </w:tc>
      </w:tr>
      <w:tr w:rsidR="00DE12A3" w:rsidRPr="00DE12A3" w14:paraId="432CA774" w14:textId="77777777" w:rsidTr="009F4766">
        <w:tc>
          <w:tcPr>
            <w:tcW w:w="1182" w:type="dxa"/>
            <w:tcBorders>
              <w:top w:val="single" w:sz="2" w:space="0" w:color="auto"/>
              <w:left w:val="single" w:sz="2" w:space="0" w:color="auto"/>
              <w:bottom w:val="single" w:sz="2" w:space="0" w:color="auto"/>
              <w:right w:val="single" w:sz="2" w:space="0" w:color="auto"/>
            </w:tcBorders>
          </w:tcPr>
          <w:p w14:paraId="021C5DB7" w14:textId="77777777" w:rsidR="009F4766" w:rsidRPr="00DE12A3" w:rsidRDefault="009F4766" w:rsidP="00C917D6">
            <w:pPr>
              <w:pStyle w:val="NormalLeft"/>
            </w:pPr>
            <w:r w:rsidRPr="00DE12A3">
              <w:t>1051</w:t>
            </w:r>
          </w:p>
        </w:tc>
        <w:tc>
          <w:tcPr>
            <w:tcW w:w="2489" w:type="dxa"/>
            <w:tcBorders>
              <w:top w:val="single" w:sz="2" w:space="0" w:color="auto"/>
              <w:left w:val="single" w:sz="2" w:space="0" w:color="auto"/>
              <w:bottom w:val="single" w:sz="2" w:space="0" w:color="auto"/>
              <w:right w:val="single" w:sz="2" w:space="0" w:color="auto"/>
            </w:tcBorders>
          </w:tcPr>
          <w:p w14:paraId="1543DF38" w14:textId="77777777" w:rsidR="009F4766" w:rsidRPr="00DE12A3" w:rsidRDefault="009F4766" w:rsidP="00C917D6">
            <w:pPr>
              <w:pStyle w:val="NormalLeft"/>
            </w:pPr>
            <w:r w:rsidRPr="00DE12A3">
              <w:t>93</w:t>
            </w:r>
          </w:p>
        </w:tc>
        <w:tc>
          <w:tcPr>
            <w:tcW w:w="2551" w:type="dxa"/>
            <w:tcBorders>
              <w:top w:val="single" w:sz="2" w:space="0" w:color="auto"/>
              <w:left w:val="single" w:sz="2" w:space="0" w:color="auto"/>
              <w:bottom w:val="single" w:sz="2" w:space="0" w:color="auto"/>
              <w:right w:val="single" w:sz="2" w:space="0" w:color="auto"/>
            </w:tcBorders>
          </w:tcPr>
          <w:p w14:paraId="67D7217D" w14:textId="77777777" w:rsidR="009F4766" w:rsidRPr="00DE12A3" w:rsidRDefault="009F4766" w:rsidP="00C917D6">
            <w:pPr>
              <w:pStyle w:val="NormalLeft"/>
            </w:pPr>
            <w:r w:rsidRPr="00DE12A3">
              <w:t>31</w:t>
            </w:r>
          </w:p>
        </w:tc>
      </w:tr>
      <w:tr w:rsidR="00DE12A3" w:rsidRPr="00DE12A3" w14:paraId="225D8A60" w14:textId="77777777" w:rsidTr="009F4766">
        <w:tc>
          <w:tcPr>
            <w:tcW w:w="1182" w:type="dxa"/>
            <w:tcBorders>
              <w:top w:val="single" w:sz="2" w:space="0" w:color="auto"/>
              <w:left w:val="single" w:sz="2" w:space="0" w:color="auto"/>
              <w:bottom w:val="single" w:sz="2" w:space="0" w:color="auto"/>
              <w:right w:val="single" w:sz="2" w:space="0" w:color="auto"/>
            </w:tcBorders>
          </w:tcPr>
          <w:p w14:paraId="2320EE53" w14:textId="77777777" w:rsidR="009F4766" w:rsidRPr="00DE12A3" w:rsidRDefault="009F4766" w:rsidP="00C917D6">
            <w:pPr>
              <w:pStyle w:val="NormalLeft"/>
            </w:pPr>
            <w:r w:rsidRPr="00DE12A3">
              <w:t>1052</w:t>
            </w:r>
          </w:p>
        </w:tc>
        <w:tc>
          <w:tcPr>
            <w:tcW w:w="2489" w:type="dxa"/>
            <w:tcBorders>
              <w:top w:val="single" w:sz="2" w:space="0" w:color="auto"/>
              <w:left w:val="single" w:sz="2" w:space="0" w:color="auto"/>
              <w:bottom w:val="single" w:sz="2" w:space="0" w:color="auto"/>
              <w:right w:val="single" w:sz="2" w:space="0" w:color="auto"/>
            </w:tcBorders>
          </w:tcPr>
          <w:p w14:paraId="4163B02F" w14:textId="77777777" w:rsidR="009F4766" w:rsidRPr="00DE12A3" w:rsidRDefault="009F4766" w:rsidP="00C917D6">
            <w:pPr>
              <w:pStyle w:val="NormalLeft"/>
            </w:pPr>
            <w:r w:rsidRPr="00DE12A3">
              <w:t>93</w:t>
            </w:r>
          </w:p>
        </w:tc>
        <w:tc>
          <w:tcPr>
            <w:tcW w:w="2551" w:type="dxa"/>
            <w:tcBorders>
              <w:top w:val="single" w:sz="2" w:space="0" w:color="auto"/>
              <w:left w:val="single" w:sz="2" w:space="0" w:color="auto"/>
              <w:bottom w:val="single" w:sz="2" w:space="0" w:color="auto"/>
              <w:right w:val="single" w:sz="2" w:space="0" w:color="auto"/>
            </w:tcBorders>
          </w:tcPr>
          <w:p w14:paraId="286AC03C" w14:textId="77777777" w:rsidR="009F4766" w:rsidRPr="00DE12A3" w:rsidRDefault="009F4766" w:rsidP="00C917D6">
            <w:pPr>
              <w:pStyle w:val="NormalLeft"/>
            </w:pPr>
            <w:r w:rsidRPr="00DE12A3">
              <w:t>26</w:t>
            </w:r>
          </w:p>
        </w:tc>
      </w:tr>
      <w:tr w:rsidR="00DE12A3" w:rsidRPr="00DE12A3" w14:paraId="4F6AC789" w14:textId="77777777" w:rsidTr="009F4766">
        <w:tc>
          <w:tcPr>
            <w:tcW w:w="1182" w:type="dxa"/>
            <w:tcBorders>
              <w:top w:val="single" w:sz="2" w:space="0" w:color="auto"/>
              <w:left w:val="single" w:sz="2" w:space="0" w:color="auto"/>
              <w:bottom w:val="single" w:sz="2" w:space="0" w:color="auto"/>
              <w:right w:val="single" w:sz="2" w:space="0" w:color="auto"/>
            </w:tcBorders>
          </w:tcPr>
          <w:p w14:paraId="799250C6" w14:textId="77777777" w:rsidR="009F4766" w:rsidRPr="00DE12A3" w:rsidRDefault="009F4766" w:rsidP="00C917D6">
            <w:pPr>
              <w:pStyle w:val="NormalLeft"/>
            </w:pPr>
            <w:r w:rsidRPr="00DE12A3">
              <w:t>1053</w:t>
            </w:r>
          </w:p>
        </w:tc>
        <w:tc>
          <w:tcPr>
            <w:tcW w:w="2489" w:type="dxa"/>
            <w:tcBorders>
              <w:top w:val="single" w:sz="2" w:space="0" w:color="auto"/>
              <w:left w:val="single" w:sz="2" w:space="0" w:color="auto"/>
              <w:bottom w:val="single" w:sz="2" w:space="0" w:color="auto"/>
              <w:right w:val="single" w:sz="2" w:space="0" w:color="auto"/>
            </w:tcBorders>
          </w:tcPr>
          <w:p w14:paraId="7D31BC34" w14:textId="77777777" w:rsidR="009F4766" w:rsidRPr="00DE12A3" w:rsidRDefault="009F4766" w:rsidP="00C917D6">
            <w:pPr>
              <w:pStyle w:val="NormalLeft"/>
            </w:pPr>
            <w:r w:rsidRPr="00DE12A3">
              <w:t>93</w:t>
            </w:r>
          </w:p>
        </w:tc>
        <w:tc>
          <w:tcPr>
            <w:tcW w:w="2551" w:type="dxa"/>
            <w:tcBorders>
              <w:top w:val="single" w:sz="2" w:space="0" w:color="auto"/>
              <w:left w:val="single" w:sz="2" w:space="0" w:color="auto"/>
              <w:bottom w:val="single" w:sz="2" w:space="0" w:color="auto"/>
              <w:right w:val="single" w:sz="2" w:space="0" w:color="auto"/>
            </w:tcBorders>
          </w:tcPr>
          <w:p w14:paraId="780E15E4" w14:textId="77777777" w:rsidR="009F4766" w:rsidRPr="00DE12A3" w:rsidRDefault="009F4766" w:rsidP="00C917D6">
            <w:pPr>
              <w:pStyle w:val="NormalLeft"/>
            </w:pPr>
            <w:r w:rsidRPr="00DE12A3">
              <w:t>21</w:t>
            </w:r>
          </w:p>
        </w:tc>
      </w:tr>
      <w:tr w:rsidR="00DE12A3" w:rsidRPr="00DE12A3" w14:paraId="2935EF4B" w14:textId="77777777" w:rsidTr="009F4766">
        <w:tc>
          <w:tcPr>
            <w:tcW w:w="1182" w:type="dxa"/>
            <w:tcBorders>
              <w:top w:val="single" w:sz="2" w:space="0" w:color="auto"/>
              <w:left w:val="single" w:sz="2" w:space="0" w:color="auto"/>
              <w:bottom w:val="single" w:sz="2" w:space="0" w:color="auto"/>
              <w:right w:val="single" w:sz="2" w:space="0" w:color="auto"/>
            </w:tcBorders>
          </w:tcPr>
          <w:p w14:paraId="4E75A869" w14:textId="77777777" w:rsidR="009F4766" w:rsidRPr="00DE12A3" w:rsidRDefault="009F4766" w:rsidP="00C917D6">
            <w:pPr>
              <w:pStyle w:val="NormalLeft"/>
            </w:pPr>
            <w:r w:rsidRPr="00DE12A3">
              <w:t>1054</w:t>
            </w:r>
          </w:p>
        </w:tc>
        <w:tc>
          <w:tcPr>
            <w:tcW w:w="2489" w:type="dxa"/>
            <w:tcBorders>
              <w:top w:val="single" w:sz="2" w:space="0" w:color="auto"/>
              <w:left w:val="single" w:sz="2" w:space="0" w:color="auto"/>
              <w:bottom w:val="single" w:sz="2" w:space="0" w:color="auto"/>
              <w:right w:val="single" w:sz="2" w:space="0" w:color="auto"/>
            </w:tcBorders>
          </w:tcPr>
          <w:p w14:paraId="12CAB597" w14:textId="77777777" w:rsidR="009F4766" w:rsidRPr="00DE12A3" w:rsidRDefault="009F4766" w:rsidP="00C917D6">
            <w:pPr>
              <w:pStyle w:val="NormalLeft"/>
            </w:pPr>
            <w:r w:rsidRPr="00DE12A3">
              <w:t>93</w:t>
            </w:r>
          </w:p>
        </w:tc>
        <w:tc>
          <w:tcPr>
            <w:tcW w:w="2551" w:type="dxa"/>
            <w:tcBorders>
              <w:top w:val="single" w:sz="2" w:space="0" w:color="auto"/>
              <w:left w:val="single" w:sz="2" w:space="0" w:color="auto"/>
              <w:bottom w:val="single" w:sz="2" w:space="0" w:color="auto"/>
              <w:right w:val="single" w:sz="2" w:space="0" w:color="auto"/>
            </w:tcBorders>
          </w:tcPr>
          <w:p w14:paraId="05A5157C" w14:textId="77777777" w:rsidR="009F4766" w:rsidRPr="00DE12A3" w:rsidRDefault="009F4766" w:rsidP="00C917D6">
            <w:pPr>
              <w:pStyle w:val="NormalLeft"/>
            </w:pPr>
            <w:r w:rsidRPr="00DE12A3">
              <w:t>18</w:t>
            </w:r>
          </w:p>
        </w:tc>
      </w:tr>
      <w:tr w:rsidR="00DE12A3" w:rsidRPr="00DE12A3" w14:paraId="786DA682" w14:textId="77777777" w:rsidTr="009F4766">
        <w:tc>
          <w:tcPr>
            <w:tcW w:w="1182" w:type="dxa"/>
            <w:tcBorders>
              <w:top w:val="single" w:sz="2" w:space="0" w:color="auto"/>
              <w:left w:val="single" w:sz="2" w:space="0" w:color="auto"/>
              <w:bottom w:val="single" w:sz="2" w:space="0" w:color="auto"/>
              <w:right w:val="single" w:sz="2" w:space="0" w:color="auto"/>
            </w:tcBorders>
          </w:tcPr>
          <w:p w14:paraId="1529E165" w14:textId="77777777" w:rsidR="009F4766" w:rsidRPr="00DE12A3" w:rsidRDefault="009F4766" w:rsidP="00C917D6">
            <w:pPr>
              <w:pStyle w:val="NormalLeft"/>
            </w:pPr>
            <w:r w:rsidRPr="00DE12A3">
              <w:t>1055</w:t>
            </w:r>
          </w:p>
        </w:tc>
        <w:tc>
          <w:tcPr>
            <w:tcW w:w="2489" w:type="dxa"/>
            <w:tcBorders>
              <w:top w:val="single" w:sz="2" w:space="0" w:color="auto"/>
              <w:left w:val="single" w:sz="2" w:space="0" w:color="auto"/>
              <w:bottom w:val="single" w:sz="2" w:space="0" w:color="auto"/>
              <w:right w:val="single" w:sz="2" w:space="0" w:color="auto"/>
            </w:tcBorders>
          </w:tcPr>
          <w:p w14:paraId="02B8AEAB" w14:textId="77777777" w:rsidR="009F4766" w:rsidRPr="00DE12A3" w:rsidRDefault="009F4766" w:rsidP="00C917D6">
            <w:pPr>
              <w:pStyle w:val="NormalLeft"/>
            </w:pPr>
            <w:r w:rsidRPr="00DE12A3">
              <w:t>93</w:t>
            </w:r>
          </w:p>
        </w:tc>
        <w:tc>
          <w:tcPr>
            <w:tcW w:w="2551" w:type="dxa"/>
            <w:tcBorders>
              <w:top w:val="single" w:sz="2" w:space="0" w:color="auto"/>
              <w:left w:val="single" w:sz="2" w:space="0" w:color="auto"/>
              <w:bottom w:val="single" w:sz="2" w:space="0" w:color="auto"/>
              <w:right w:val="single" w:sz="2" w:space="0" w:color="auto"/>
            </w:tcBorders>
          </w:tcPr>
          <w:p w14:paraId="02119AD6" w14:textId="77777777" w:rsidR="009F4766" w:rsidRPr="00DE12A3" w:rsidRDefault="009F4766" w:rsidP="00C917D6">
            <w:pPr>
              <w:pStyle w:val="NormalLeft"/>
            </w:pPr>
            <w:r w:rsidRPr="00DE12A3">
              <w:t>16</w:t>
            </w:r>
          </w:p>
        </w:tc>
      </w:tr>
      <w:tr w:rsidR="00DE12A3" w:rsidRPr="00DE12A3" w14:paraId="67B1D94B" w14:textId="77777777" w:rsidTr="009F4766">
        <w:tc>
          <w:tcPr>
            <w:tcW w:w="1182" w:type="dxa"/>
            <w:tcBorders>
              <w:top w:val="single" w:sz="2" w:space="0" w:color="auto"/>
              <w:left w:val="single" w:sz="2" w:space="0" w:color="auto"/>
              <w:bottom w:val="single" w:sz="2" w:space="0" w:color="auto"/>
              <w:right w:val="single" w:sz="2" w:space="0" w:color="auto"/>
            </w:tcBorders>
          </w:tcPr>
          <w:p w14:paraId="2199C4DB" w14:textId="77777777" w:rsidR="009F4766" w:rsidRPr="00DE12A3" w:rsidRDefault="009F4766" w:rsidP="00C917D6">
            <w:pPr>
              <w:pStyle w:val="NormalLeft"/>
            </w:pPr>
            <w:r w:rsidRPr="00DE12A3">
              <w:t>1056</w:t>
            </w:r>
          </w:p>
        </w:tc>
        <w:tc>
          <w:tcPr>
            <w:tcW w:w="2489" w:type="dxa"/>
            <w:tcBorders>
              <w:top w:val="single" w:sz="2" w:space="0" w:color="auto"/>
              <w:left w:val="single" w:sz="2" w:space="0" w:color="auto"/>
              <w:bottom w:val="single" w:sz="2" w:space="0" w:color="auto"/>
              <w:right w:val="single" w:sz="2" w:space="0" w:color="auto"/>
            </w:tcBorders>
          </w:tcPr>
          <w:p w14:paraId="2321CCAB" w14:textId="77777777" w:rsidR="009F4766" w:rsidRPr="00DE12A3" w:rsidRDefault="009F4766" w:rsidP="00C917D6">
            <w:pPr>
              <w:pStyle w:val="NormalLeft"/>
            </w:pPr>
            <w:r w:rsidRPr="00DE12A3">
              <w:t>93</w:t>
            </w:r>
          </w:p>
        </w:tc>
        <w:tc>
          <w:tcPr>
            <w:tcW w:w="2551" w:type="dxa"/>
            <w:tcBorders>
              <w:top w:val="single" w:sz="2" w:space="0" w:color="auto"/>
              <w:left w:val="single" w:sz="2" w:space="0" w:color="auto"/>
              <w:bottom w:val="single" w:sz="2" w:space="0" w:color="auto"/>
              <w:right w:val="single" w:sz="2" w:space="0" w:color="auto"/>
            </w:tcBorders>
          </w:tcPr>
          <w:p w14:paraId="62B57E0E" w14:textId="77777777" w:rsidR="009F4766" w:rsidRPr="00DE12A3" w:rsidRDefault="009F4766" w:rsidP="00C917D6">
            <w:pPr>
              <w:pStyle w:val="NormalLeft"/>
            </w:pPr>
            <w:r w:rsidRPr="00DE12A3">
              <w:t>17</w:t>
            </w:r>
          </w:p>
        </w:tc>
      </w:tr>
      <w:tr w:rsidR="00DE12A3" w:rsidRPr="00DE12A3" w14:paraId="455F1298" w14:textId="77777777" w:rsidTr="009F4766">
        <w:tc>
          <w:tcPr>
            <w:tcW w:w="1182" w:type="dxa"/>
            <w:tcBorders>
              <w:top w:val="single" w:sz="2" w:space="0" w:color="auto"/>
              <w:left w:val="single" w:sz="2" w:space="0" w:color="auto"/>
              <w:bottom w:val="single" w:sz="2" w:space="0" w:color="auto"/>
              <w:right w:val="single" w:sz="2" w:space="0" w:color="auto"/>
            </w:tcBorders>
          </w:tcPr>
          <w:p w14:paraId="2CE9F5E7" w14:textId="77777777" w:rsidR="009F4766" w:rsidRPr="00DE12A3" w:rsidRDefault="009F4766" w:rsidP="00C917D6">
            <w:pPr>
              <w:pStyle w:val="NormalLeft"/>
            </w:pPr>
            <w:r w:rsidRPr="00DE12A3">
              <w:t>1057</w:t>
            </w:r>
          </w:p>
        </w:tc>
        <w:tc>
          <w:tcPr>
            <w:tcW w:w="2489" w:type="dxa"/>
            <w:tcBorders>
              <w:top w:val="single" w:sz="2" w:space="0" w:color="auto"/>
              <w:left w:val="single" w:sz="2" w:space="0" w:color="auto"/>
              <w:bottom w:val="single" w:sz="2" w:space="0" w:color="auto"/>
              <w:right w:val="single" w:sz="2" w:space="0" w:color="auto"/>
            </w:tcBorders>
          </w:tcPr>
          <w:p w14:paraId="268B68B9" w14:textId="77777777" w:rsidR="009F4766" w:rsidRPr="00DE12A3" w:rsidRDefault="009F4766" w:rsidP="00C917D6">
            <w:pPr>
              <w:pStyle w:val="NormalLeft"/>
            </w:pPr>
            <w:r w:rsidRPr="00DE12A3">
              <w:t>93</w:t>
            </w:r>
          </w:p>
        </w:tc>
        <w:tc>
          <w:tcPr>
            <w:tcW w:w="2551" w:type="dxa"/>
            <w:tcBorders>
              <w:top w:val="single" w:sz="2" w:space="0" w:color="auto"/>
              <w:left w:val="single" w:sz="2" w:space="0" w:color="auto"/>
              <w:bottom w:val="single" w:sz="2" w:space="0" w:color="auto"/>
              <w:right w:val="single" w:sz="2" w:space="0" w:color="auto"/>
            </w:tcBorders>
          </w:tcPr>
          <w:p w14:paraId="4D3D57D3" w14:textId="77777777" w:rsidR="009F4766" w:rsidRPr="00DE12A3" w:rsidRDefault="009F4766" w:rsidP="00C917D6">
            <w:pPr>
              <w:pStyle w:val="NormalLeft"/>
            </w:pPr>
            <w:r w:rsidRPr="00DE12A3">
              <w:t>18</w:t>
            </w:r>
          </w:p>
        </w:tc>
      </w:tr>
      <w:tr w:rsidR="00DE12A3" w:rsidRPr="00DE12A3" w14:paraId="3303B202" w14:textId="77777777" w:rsidTr="009F4766">
        <w:tc>
          <w:tcPr>
            <w:tcW w:w="1182" w:type="dxa"/>
            <w:tcBorders>
              <w:top w:val="single" w:sz="2" w:space="0" w:color="auto"/>
              <w:left w:val="single" w:sz="2" w:space="0" w:color="auto"/>
              <w:bottom w:val="single" w:sz="2" w:space="0" w:color="auto"/>
              <w:right w:val="single" w:sz="2" w:space="0" w:color="auto"/>
            </w:tcBorders>
          </w:tcPr>
          <w:p w14:paraId="6B591BFF" w14:textId="77777777" w:rsidR="009F4766" w:rsidRPr="00DE12A3" w:rsidRDefault="009F4766" w:rsidP="00C917D6">
            <w:pPr>
              <w:pStyle w:val="NormalLeft"/>
            </w:pPr>
            <w:r w:rsidRPr="00DE12A3">
              <w:t>1058</w:t>
            </w:r>
          </w:p>
        </w:tc>
        <w:tc>
          <w:tcPr>
            <w:tcW w:w="2489" w:type="dxa"/>
            <w:tcBorders>
              <w:top w:val="single" w:sz="2" w:space="0" w:color="auto"/>
              <w:left w:val="single" w:sz="2" w:space="0" w:color="auto"/>
              <w:bottom w:val="single" w:sz="2" w:space="0" w:color="auto"/>
              <w:right w:val="single" w:sz="2" w:space="0" w:color="auto"/>
            </w:tcBorders>
          </w:tcPr>
          <w:p w14:paraId="5493EA1D" w14:textId="77777777" w:rsidR="009F4766" w:rsidRPr="00DE12A3" w:rsidRDefault="009F4766" w:rsidP="00C917D6">
            <w:pPr>
              <w:pStyle w:val="NormalLeft"/>
            </w:pPr>
            <w:r w:rsidRPr="00DE12A3">
              <w:t>93</w:t>
            </w:r>
          </w:p>
        </w:tc>
        <w:tc>
          <w:tcPr>
            <w:tcW w:w="2551" w:type="dxa"/>
            <w:tcBorders>
              <w:top w:val="single" w:sz="2" w:space="0" w:color="auto"/>
              <w:left w:val="single" w:sz="2" w:space="0" w:color="auto"/>
              <w:bottom w:val="single" w:sz="2" w:space="0" w:color="auto"/>
              <w:right w:val="single" w:sz="2" w:space="0" w:color="auto"/>
            </w:tcBorders>
          </w:tcPr>
          <w:p w14:paraId="49894AB4" w14:textId="77777777" w:rsidR="009F4766" w:rsidRPr="00DE12A3" w:rsidRDefault="009F4766" w:rsidP="00C917D6">
            <w:pPr>
              <w:pStyle w:val="NormalLeft"/>
            </w:pPr>
            <w:r w:rsidRPr="00DE12A3">
              <w:t>19</w:t>
            </w:r>
          </w:p>
        </w:tc>
      </w:tr>
      <w:tr w:rsidR="00DE12A3" w:rsidRPr="00DE12A3" w14:paraId="7421D412" w14:textId="77777777" w:rsidTr="009F4766">
        <w:tc>
          <w:tcPr>
            <w:tcW w:w="1182" w:type="dxa"/>
            <w:tcBorders>
              <w:top w:val="single" w:sz="2" w:space="0" w:color="auto"/>
              <w:left w:val="single" w:sz="2" w:space="0" w:color="auto"/>
              <w:bottom w:val="single" w:sz="2" w:space="0" w:color="auto"/>
              <w:right w:val="single" w:sz="2" w:space="0" w:color="auto"/>
            </w:tcBorders>
          </w:tcPr>
          <w:p w14:paraId="2FD0CFAB" w14:textId="77777777" w:rsidR="009F4766" w:rsidRPr="00DE12A3" w:rsidRDefault="009F4766" w:rsidP="00C917D6">
            <w:pPr>
              <w:pStyle w:val="NormalLeft"/>
            </w:pPr>
            <w:r w:rsidRPr="00DE12A3">
              <w:lastRenderedPageBreak/>
              <w:t>1059</w:t>
            </w:r>
          </w:p>
        </w:tc>
        <w:tc>
          <w:tcPr>
            <w:tcW w:w="2489" w:type="dxa"/>
            <w:tcBorders>
              <w:top w:val="single" w:sz="2" w:space="0" w:color="auto"/>
              <w:left w:val="single" w:sz="2" w:space="0" w:color="auto"/>
              <w:bottom w:val="single" w:sz="2" w:space="0" w:color="auto"/>
              <w:right w:val="single" w:sz="2" w:space="0" w:color="auto"/>
            </w:tcBorders>
          </w:tcPr>
          <w:p w14:paraId="78BB9DE5" w14:textId="77777777" w:rsidR="009F4766" w:rsidRPr="00DE12A3" w:rsidRDefault="009F4766" w:rsidP="00C917D6">
            <w:pPr>
              <w:pStyle w:val="NormalLeft"/>
            </w:pPr>
            <w:r w:rsidRPr="00DE12A3">
              <w:t>93</w:t>
            </w:r>
          </w:p>
        </w:tc>
        <w:tc>
          <w:tcPr>
            <w:tcW w:w="2551" w:type="dxa"/>
            <w:tcBorders>
              <w:top w:val="single" w:sz="2" w:space="0" w:color="auto"/>
              <w:left w:val="single" w:sz="2" w:space="0" w:color="auto"/>
              <w:bottom w:val="single" w:sz="2" w:space="0" w:color="auto"/>
              <w:right w:val="single" w:sz="2" w:space="0" w:color="auto"/>
            </w:tcBorders>
          </w:tcPr>
          <w:p w14:paraId="50A56508" w14:textId="77777777" w:rsidR="009F4766" w:rsidRPr="00DE12A3" w:rsidRDefault="009F4766" w:rsidP="00C917D6">
            <w:pPr>
              <w:pStyle w:val="NormalLeft"/>
            </w:pPr>
            <w:r w:rsidRPr="00DE12A3">
              <w:t>21</w:t>
            </w:r>
          </w:p>
        </w:tc>
      </w:tr>
      <w:tr w:rsidR="00DE12A3" w:rsidRPr="00DE12A3" w14:paraId="39D2C498" w14:textId="77777777" w:rsidTr="009F4766">
        <w:tc>
          <w:tcPr>
            <w:tcW w:w="1182" w:type="dxa"/>
            <w:tcBorders>
              <w:top w:val="single" w:sz="2" w:space="0" w:color="auto"/>
              <w:left w:val="single" w:sz="2" w:space="0" w:color="auto"/>
              <w:bottom w:val="single" w:sz="2" w:space="0" w:color="auto"/>
              <w:right w:val="single" w:sz="2" w:space="0" w:color="auto"/>
            </w:tcBorders>
          </w:tcPr>
          <w:p w14:paraId="50D1B385" w14:textId="77777777" w:rsidR="009F4766" w:rsidRPr="00DE12A3" w:rsidRDefault="009F4766" w:rsidP="00C917D6">
            <w:pPr>
              <w:pStyle w:val="NormalLeft"/>
            </w:pPr>
            <w:r w:rsidRPr="00DE12A3">
              <w:t>1060</w:t>
            </w:r>
          </w:p>
        </w:tc>
        <w:tc>
          <w:tcPr>
            <w:tcW w:w="2489" w:type="dxa"/>
            <w:tcBorders>
              <w:top w:val="single" w:sz="2" w:space="0" w:color="auto"/>
              <w:left w:val="single" w:sz="2" w:space="0" w:color="auto"/>
              <w:bottom w:val="single" w:sz="2" w:space="0" w:color="auto"/>
              <w:right w:val="single" w:sz="2" w:space="0" w:color="auto"/>
            </w:tcBorders>
          </w:tcPr>
          <w:p w14:paraId="17E0CE42" w14:textId="77777777" w:rsidR="009F4766" w:rsidRPr="00DE12A3" w:rsidRDefault="009F4766" w:rsidP="00C917D6">
            <w:pPr>
              <w:pStyle w:val="NormalLeft"/>
            </w:pPr>
            <w:r w:rsidRPr="00DE12A3">
              <w:t>93</w:t>
            </w:r>
          </w:p>
        </w:tc>
        <w:tc>
          <w:tcPr>
            <w:tcW w:w="2551" w:type="dxa"/>
            <w:tcBorders>
              <w:top w:val="single" w:sz="2" w:space="0" w:color="auto"/>
              <w:left w:val="single" w:sz="2" w:space="0" w:color="auto"/>
              <w:bottom w:val="single" w:sz="2" w:space="0" w:color="auto"/>
              <w:right w:val="single" w:sz="2" w:space="0" w:color="auto"/>
            </w:tcBorders>
          </w:tcPr>
          <w:p w14:paraId="265584C2" w14:textId="77777777" w:rsidR="009F4766" w:rsidRPr="00DE12A3" w:rsidRDefault="009F4766" w:rsidP="00C917D6">
            <w:pPr>
              <w:pStyle w:val="NormalLeft"/>
            </w:pPr>
            <w:r w:rsidRPr="00DE12A3">
              <w:t>20</w:t>
            </w:r>
          </w:p>
        </w:tc>
      </w:tr>
      <w:tr w:rsidR="00DE12A3" w:rsidRPr="00DE12A3" w14:paraId="63E6C172" w14:textId="77777777" w:rsidTr="009F4766">
        <w:tc>
          <w:tcPr>
            <w:tcW w:w="1182" w:type="dxa"/>
            <w:tcBorders>
              <w:top w:val="single" w:sz="2" w:space="0" w:color="auto"/>
              <w:left w:val="single" w:sz="2" w:space="0" w:color="auto"/>
              <w:bottom w:val="single" w:sz="2" w:space="0" w:color="auto"/>
              <w:right w:val="single" w:sz="2" w:space="0" w:color="auto"/>
            </w:tcBorders>
          </w:tcPr>
          <w:p w14:paraId="65CCC4F2" w14:textId="77777777" w:rsidR="009F4766" w:rsidRPr="00DE12A3" w:rsidRDefault="009F4766" w:rsidP="00C917D6">
            <w:pPr>
              <w:pStyle w:val="NormalLeft"/>
            </w:pPr>
            <w:r w:rsidRPr="00DE12A3">
              <w:t>1061</w:t>
            </w:r>
          </w:p>
        </w:tc>
        <w:tc>
          <w:tcPr>
            <w:tcW w:w="2489" w:type="dxa"/>
            <w:tcBorders>
              <w:top w:val="single" w:sz="2" w:space="0" w:color="auto"/>
              <w:left w:val="single" w:sz="2" w:space="0" w:color="auto"/>
              <w:bottom w:val="single" w:sz="2" w:space="0" w:color="auto"/>
              <w:right w:val="single" w:sz="2" w:space="0" w:color="auto"/>
            </w:tcBorders>
          </w:tcPr>
          <w:p w14:paraId="7BAC6DEC" w14:textId="77777777" w:rsidR="009F4766" w:rsidRPr="00DE12A3" w:rsidRDefault="009F4766" w:rsidP="00C917D6">
            <w:pPr>
              <w:pStyle w:val="NormalLeft"/>
            </w:pPr>
            <w:r w:rsidRPr="00DE12A3">
              <w:t>93</w:t>
            </w:r>
          </w:p>
        </w:tc>
        <w:tc>
          <w:tcPr>
            <w:tcW w:w="2551" w:type="dxa"/>
            <w:tcBorders>
              <w:top w:val="single" w:sz="2" w:space="0" w:color="auto"/>
              <w:left w:val="single" w:sz="2" w:space="0" w:color="auto"/>
              <w:bottom w:val="single" w:sz="2" w:space="0" w:color="auto"/>
              <w:right w:val="single" w:sz="2" w:space="0" w:color="auto"/>
            </w:tcBorders>
          </w:tcPr>
          <w:p w14:paraId="2101FA29" w14:textId="77777777" w:rsidR="009F4766" w:rsidRPr="00DE12A3" w:rsidRDefault="009F4766" w:rsidP="00C917D6">
            <w:pPr>
              <w:pStyle w:val="NormalLeft"/>
            </w:pPr>
            <w:r w:rsidRPr="00DE12A3">
              <w:t>18</w:t>
            </w:r>
          </w:p>
        </w:tc>
      </w:tr>
      <w:tr w:rsidR="00DE12A3" w:rsidRPr="00DE12A3" w14:paraId="5B14BCE8" w14:textId="77777777" w:rsidTr="009F4766">
        <w:tc>
          <w:tcPr>
            <w:tcW w:w="1182" w:type="dxa"/>
            <w:tcBorders>
              <w:top w:val="single" w:sz="2" w:space="0" w:color="auto"/>
              <w:left w:val="single" w:sz="2" w:space="0" w:color="auto"/>
              <w:bottom w:val="single" w:sz="2" w:space="0" w:color="auto"/>
              <w:right w:val="single" w:sz="2" w:space="0" w:color="auto"/>
            </w:tcBorders>
          </w:tcPr>
          <w:p w14:paraId="2698285A" w14:textId="77777777" w:rsidR="009F4766" w:rsidRPr="00DE12A3" w:rsidRDefault="009F4766" w:rsidP="00C917D6">
            <w:pPr>
              <w:pStyle w:val="NormalLeft"/>
            </w:pPr>
            <w:r w:rsidRPr="00DE12A3">
              <w:t>1062</w:t>
            </w:r>
          </w:p>
        </w:tc>
        <w:tc>
          <w:tcPr>
            <w:tcW w:w="2489" w:type="dxa"/>
            <w:tcBorders>
              <w:top w:val="single" w:sz="2" w:space="0" w:color="auto"/>
              <w:left w:val="single" w:sz="2" w:space="0" w:color="auto"/>
              <w:bottom w:val="single" w:sz="2" w:space="0" w:color="auto"/>
              <w:right w:val="single" w:sz="2" w:space="0" w:color="auto"/>
            </w:tcBorders>
          </w:tcPr>
          <w:p w14:paraId="3650DACA" w14:textId="77777777" w:rsidR="009F4766" w:rsidRPr="00DE12A3" w:rsidRDefault="009F4766" w:rsidP="00C917D6">
            <w:pPr>
              <w:pStyle w:val="NormalLeft"/>
            </w:pPr>
            <w:r w:rsidRPr="00DE12A3">
              <w:t>93</w:t>
            </w:r>
          </w:p>
        </w:tc>
        <w:tc>
          <w:tcPr>
            <w:tcW w:w="2551" w:type="dxa"/>
            <w:tcBorders>
              <w:top w:val="single" w:sz="2" w:space="0" w:color="auto"/>
              <w:left w:val="single" w:sz="2" w:space="0" w:color="auto"/>
              <w:bottom w:val="single" w:sz="2" w:space="0" w:color="auto"/>
              <w:right w:val="single" w:sz="2" w:space="0" w:color="auto"/>
            </w:tcBorders>
          </w:tcPr>
          <w:p w14:paraId="56E645E8" w14:textId="77777777" w:rsidR="009F4766" w:rsidRPr="00DE12A3" w:rsidRDefault="009F4766" w:rsidP="00C917D6">
            <w:pPr>
              <w:pStyle w:val="NormalLeft"/>
            </w:pPr>
            <w:r w:rsidRPr="00DE12A3">
              <w:t>17</w:t>
            </w:r>
          </w:p>
        </w:tc>
      </w:tr>
      <w:tr w:rsidR="00DE12A3" w:rsidRPr="00DE12A3" w14:paraId="6DA78BE6" w14:textId="77777777" w:rsidTr="009F4766">
        <w:tc>
          <w:tcPr>
            <w:tcW w:w="1182" w:type="dxa"/>
            <w:tcBorders>
              <w:top w:val="single" w:sz="2" w:space="0" w:color="auto"/>
              <w:left w:val="single" w:sz="2" w:space="0" w:color="auto"/>
              <w:bottom w:val="single" w:sz="2" w:space="0" w:color="auto"/>
              <w:right w:val="single" w:sz="2" w:space="0" w:color="auto"/>
            </w:tcBorders>
          </w:tcPr>
          <w:p w14:paraId="459FF223" w14:textId="77777777" w:rsidR="009F4766" w:rsidRPr="00DE12A3" w:rsidRDefault="009F4766" w:rsidP="00C917D6">
            <w:pPr>
              <w:pStyle w:val="NormalLeft"/>
            </w:pPr>
            <w:r w:rsidRPr="00DE12A3">
              <w:t>1063</w:t>
            </w:r>
          </w:p>
        </w:tc>
        <w:tc>
          <w:tcPr>
            <w:tcW w:w="2489" w:type="dxa"/>
            <w:tcBorders>
              <w:top w:val="single" w:sz="2" w:space="0" w:color="auto"/>
              <w:left w:val="single" w:sz="2" w:space="0" w:color="auto"/>
              <w:bottom w:val="single" w:sz="2" w:space="0" w:color="auto"/>
              <w:right w:val="single" w:sz="2" w:space="0" w:color="auto"/>
            </w:tcBorders>
          </w:tcPr>
          <w:p w14:paraId="24190B19" w14:textId="77777777" w:rsidR="009F4766" w:rsidRPr="00DE12A3" w:rsidRDefault="009F4766" w:rsidP="00C917D6">
            <w:pPr>
              <w:pStyle w:val="NormalLeft"/>
            </w:pPr>
            <w:r w:rsidRPr="00DE12A3">
              <w:t>93</w:t>
            </w:r>
          </w:p>
        </w:tc>
        <w:tc>
          <w:tcPr>
            <w:tcW w:w="2551" w:type="dxa"/>
            <w:tcBorders>
              <w:top w:val="single" w:sz="2" w:space="0" w:color="auto"/>
              <w:left w:val="single" w:sz="2" w:space="0" w:color="auto"/>
              <w:bottom w:val="single" w:sz="2" w:space="0" w:color="auto"/>
              <w:right w:val="single" w:sz="2" w:space="0" w:color="auto"/>
            </w:tcBorders>
          </w:tcPr>
          <w:p w14:paraId="6FCB8483" w14:textId="77777777" w:rsidR="009F4766" w:rsidRPr="00DE12A3" w:rsidRDefault="009F4766" w:rsidP="00C917D6">
            <w:pPr>
              <w:pStyle w:val="NormalLeft"/>
            </w:pPr>
            <w:r w:rsidRPr="00DE12A3">
              <w:t>17</w:t>
            </w:r>
          </w:p>
        </w:tc>
      </w:tr>
      <w:tr w:rsidR="00DE12A3" w:rsidRPr="00DE12A3" w14:paraId="40EDF3D1" w14:textId="77777777" w:rsidTr="009F4766">
        <w:tc>
          <w:tcPr>
            <w:tcW w:w="1182" w:type="dxa"/>
            <w:tcBorders>
              <w:top w:val="single" w:sz="2" w:space="0" w:color="auto"/>
              <w:left w:val="single" w:sz="2" w:space="0" w:color="auto"/>
              <w:bottom w:val="single" w:sz="2" w:space="0" w:color="auto"/>
              <w:right w:val="single" w:sz="2" w:space="0" w:color="auto"/>
            </w:tcBorders>
          </w:tcPr>
          <w:p w14:paraId="4FAEEF90" w14:textId="77777777" w:rsidR="009F4766" w:rsidRPr="00DE12A3" w:rsidRDefault="009F4766" w:rsidP="00C917D6">
            <w:pPr>
              <w:pStyle w:val="NormalLeft"/>
            </w:pPr>
            <w:r w:rsidRPr="00DE12A3">
              <w:t>1064</w:t>
            </w:r>
          </w:p>
        </w:tc>
        <w:tc>
          <w:tcPr>
            <w:tcW w:w="2489" w:type="dxa"/>
            <w:tcBorders>
              <w:top w:val="single" w:sz="2" w:space="0" w:color="auto"/>
              <w:left w:val="single" w:sz="2" w:space="0" w:color="auto"/>
              <w:bottom w:val="single" w:sz="2" w:space="0" w:color="auto"/>
              <w:right w:val="single" w:sz="2" w:space="0" w:color="auto"/>
            </w:tcBorders>
          </w:tcPr>
          <w:p w14:paraId="05294EA4" w14:textId="77777777" w:rsidR="009F4766" w:rsidRPr="00DE12A3" w:rsidRDefault="009F4766" w:rsidP="00C917D6">
            <w:pPr>
              <w:pStyle w:val="NormalLeft"/>
            </w:pPr>
            <w:r w:rsidRPr="00DE12A3">
              <w:t>93</w:t>
            </w:r>
          </w:p>
        </w:tc>
        <w:tc>
          <w:tcPr>
            <w:tcW w:w="2551" w:type="dxa"/>
            <w:tcBorders>
              <w:top w:val="single" w:sz="2" w:space="0" w:color="auto"/>
              <w:left w:val="single" w:sz="2" w:space="0" w:color="auto"/>
              <w:bottom w:val="single" w:sz="2" w:space="0" w:color="auto"/>
              <w:right w:val="single" w:sz="2" w:space="0" w:color="auto"/>
            </w:tcBorders>
          </w:tcPr>
          <w:p w14:paraId="1CBAAF90" w14:textId="77777777" w:rsidR="009F4766" w:rsidRPr="00DE12A3" w:rsidRDefault="009F4766" w:rsidP="00C917D6">
            <w:pPr>
              <w:pStyle w:val="NormalLeft"/>
            </w:pPr>
            <w:r w:rsidRPr="00DE12A3">
              <w:t>18</w:t>
            </w:r>
          </w:p>
        </w:tc>
      </w:tr>
      <w:tr w:rsidR="00DE12A3" w:rsidRPr="00DE12A3" w14:paraId="29A43102" w14:textId="77777777" w:rsidTr="009F4766">
        <w:tc>
          <w:tcPr>
            <w:tcW w:w="1182" w:type="dxa"/>
            <w:tcBorders>
              <w:top w:val="single" w:sz="2" w:space="0" w:color="auto"/>
              <w:left w:val="single" w:sz="2" w:space="0" w:color="auto"/>
              <w:bottom w:val="single" w:sz="2" w:space="0" w:color="auto"/>
              <w:right w:val="single" w:sz="2" w:space="0" w:color="auto"/>
            </w:tcBorders>
          </w:tcPr>
          <w:p w14:paraId="03AF5DDD" w14:textId="77777777" w:rsidR="009F4766" w:rsidRPr="00DE12A3" w:rsidRDefault="009F4766" w:rsidP="00C917D6">
            <w:pPr>
              <w:pStyle w:val="NormalLeft"/>
            </w:pPr>
            <w:r w:rsidRPr="00DE12A3">
              <w:t>1065</w:t>
            </w:r>
          </w:p>
        </w:tc>
        <w:tc>
          <w:tcPr>
            <w:tcW w:w="2489" w:type="dxa"/>
            <w:tcBorders>
              <w:top w:val="single" w:sz="2" w:space="0" w:color="auto"/>
              <w:left w:val="single" w:sz="2" w:space="0" w:color="auto"/>
              <w:bottom w:val="single" w:sz="2" w:space="0" w:color="auto"/>
              <w:right w:val="single" w:sz="2" w:space="0" w:color="auto"/>
            </w:tcBorders>
          </w:tcPr>
          <w:p w14:paraId="79B09EF4" w14:textId="77777777" w:rsidR="009F4766" w:rsidRPr="00DE12A3" w:rsidRDefault="009F4766" w:rsidP="00C917D6">
            <w:pPr>
              <w:pStyle w:val="NormalLeft"/>
            </w:pPr>
            <w:r w:rsidRPr="00DE12A3">
              <w:t>93</w:t>
            </w:r>
          </w:p>
        </w:tc>
        <w:tc>
          <w:tcPr>
            <w:tcW w:w="2551" w:type="dxa"/>
            <w:tcBorders>
              <w:top w:val="single" w:sz="2" w:space="0" w:color="auto"/>
              <w:left w:val="single" w:sz="2" w:space="0" w:color="auto"/>
              <w:bottom w:val="single" w:sz="2" w:space="0" w:color="auto"/>
              <w:right w:val="single" w:sz="2" w:space="0" w:color="auto"/>
            </w:tcBorders>
          </w:tcPr>
          <w:p w14:paraId="07CEF546" w14:textId="77777777" w:rsidR="009F4766" w:rsidRPr="00DE12A3" w:rsidRDefault="009F4766" w:rsidP="00C917D6">
            <w:pPr>
              <w:pStyle w:val="NormalLeft"/>
            </w:pPr>
            <w:r w:rsidRPr="00DE12A3">
              <w:t>18</w:t>
            </w:r>
          </w:p>
        </w:tc>
      </w:tr>
      <w:tr w:rsidR="00DE12A3" w:rsidRPr="00DE12A3" w14:paraId="50EB4CAD" w14:textId="77777777" w:rsidTr="009F4766">
        <w:tc>
          <w:tcPr>
            <w:tcW w:w="1182" w:type="dxa"/>
            <w:tcBorders>
              <w:top w:val="single" w:sz="2" w:space="0" w:color="auto"/>
              <w:left w:val="single" w:sz="2" w:space="0" w:color="auto"/>
              <w:bottom w:val="single" w:sz="2" w:space="0" w:color="auto"/>
              <w:right w:val="single" w:sz="2" w:space="0" w:color="auto"/>
            </w:tcBorders>
          </w:tcPr>
          <w:p w14:paraId="1AF8E482" w14:textId="77777777" w:rsidR="009F4766" w:rsidRPr="00DE12A3" w:rsidRDefault="009F4766" w:rsidP="00C917D6">
            <w:pPr>
              <w:pStyle w:val="NormalLeft"/>
            </w:pPr>
            <w:r w:rsidRPr="00DE12A3">
              <w:t>1066</w:t>
            </w:r>
          </w:p>
        </w:tc>
        <w:tc>
          <w:tcPr>
            <w:tcW w:w="2489" w:type="dxa"/>
            <w:tcBorders>
              <w:top w:val="single" w:sz="2" w:space="0" w:color="auto"/>
              <w:left w:val="single" w:sz="2" w:space="0" w:color="auto"/>
              <w:bottom w:val="single" w:sz="2" w:space="0" w:color="auto"/>
              <w:right w:val="single" w:sz="2" w:space="0" w:color="auto"/>
            </w:tcBorders>
          </w:tcPr>
          <w:p w14:paraId="59630D57" w14:textId="77777777" w:rsidR="009F4766" w:rsidRPr="00DE12A3" w:rsidRDefault="009F4766" w:rsidP="00C917D6">
            <w:pPr>
              <w:pStyle w:val="NormalLeft"/>
            </w:pPr>
            <w:r w:rsidRPr="00DE12A3">
              <w:t>93</w:t>
            </w:r>
          </w:p>
        </w:tc>
        <w:tc>
          <w:tcPr>
            <w:tcW w:w="2551" w:type="dxa"/>
            <w:tcBorders>
              <w:top w:val="single" w:sz="2" w:space="0" w:color="auto"/>
              <w:left w:val="single" w:sz="2" w:space="0" w:color="auto"/>
              <w:bottom w:val="single" w:sz="2" w:space="0" w:color="auto"/>
              <w:right w:val="single" w:sz="2" w:space="0" w:color="auto"/>
            </w:tcBorders>
          </w:tcPr>
          <w:p w14:paraId="4803B2B3" w14:textId="77777777" w:rsidR="009F4766" w:rsidRPr="00DE12A3" w:rsidRDefault="009F4766" w:rsidP="00C917D6">
            <w:pPr>
              <w:pStyle w:val="NormalLeft"/>
            </w:pPr>
            <w:r w:rsidRPr="00DE12A3">
              <w:t>18</w:t>
            </w:r>
          </w:p>
        </w:tc>
      </w:tr>
      <w:tr w:rsidR="00DE12A3" w:rsidRPr="00DE12A3" w14:paraId="75BA01A0" w14:textId="77777777" w:rsidTr="009F4766">
        <w:tc>
          <w:tcPr>
            <w:tcW w:w="1182" w:type="dxa"/>
            <w:tcBorders>
              <w:top w:val="single" w:sz="2" w:space="0" w:color="auto"/>
              <w:left w:val="single" w:sz="2" w:space="0" w:color="auto"/>
              <w:bottom w:val="single" w:sz="2" w:space="0" w:color="auto"/>
              <w:right w:val="single" w:sz="2" w:space="0" w:color="auto"/>
            </w:tcBorders>
          </w:tcPr>
          <w:p w14:paraId="6DE965E8" w14:textId="77777777" w:rsidR="009F4766" w:rsidRPr="00DE12A3" w:rsidRDefault="009F4766" w:rsidP="00C917D6">
            <w:pPr>
              <w:pStyle w:val="NormalLeft"/>
            </w:pPr>
            <w:r w:rsidRPr="00DE12A3">
              <w:t>1067</w:t>
            </w:r>
          </w:p>
        </w:tc>
        <w:tc>
          <w:tcPr>
            <w:tcW w:w="2489" w:type="dxa"/>
            <w:tcBorders>
              <w:top w:val="single" w:sz="2" w:space="0" w:color="auto"/>
              <w:left w:val="single" w:sz="2" w:space="0" w:color="auto"/>
              <w:bottom w:val="single" w:sz="2" w:space="0" w:color="auto"/>
              <w:right w:val="single" w:sz="2" w:space="0" w:color="auto"/>
            </w:tcBorders>
          </w:tcPr>
          <w:p w14:paraId="2DF7660D" w14:textId="77777777" w:rsidR="009F4766" w:rsidRPr="00DE12A3" w:rsidRDefault="009F4766" w:rsidP="00C917D6">
            <w:pPr>
              <w:pStyle w:val="NormalLeft"/>
            </w:pPr>
            <w:r w:rsidRPr="00DE12A3">
              <w:t>93</w:t>
            </w:r>
          </w:p>
        </w:tc>
        <w:tc>
          <w:tcPr>
            <w:tcW w:w="2551" w:type="dxa"/>
            <w:tcBorders>
              <w:top w:val="single" w:sz="2" w:space="0" w:color="auto"/>
              <w:left w:val="single" w:sz="2" w:space="0" w:color="auto"/>
              <w:bottom w:val="single" w:sz="2" w:space="0" w:color="auto"/>
              <w:right w:val="single" w:sz="2" w:space="0" w:color="auto"/>
            </w:tcBorders>
          </w:tcPr>
          <w:p w14:paraId="0712C270" w14:textId="77777777" w:rsidR="009F4766" w:rsidRPr="00DE12A3" w:rsidRDefault="009F4766" w:rsidP="00C917D6">
            <w:pPr>
              <w:pStyle w:val="NormalLeft"/>
            </w:pPr>
            <w:r w:rsidRPr="00DE12A3">
              <w:t>19</w:t>
            </w:r>
          </w:p>
        </w:tc>
      </w:tr>
      <w:tr w:rsidR="00DE12A3" w:rsidRPr="00DE12A3" w14:paraId="3DDB2E48" w14:textId="77777777" w:rsidTr="009F4766">
        <w:tc>
          <w:tcPr>
            <w:tcW w:w="1182" w:type="dxa"/>
            <w:tcBorders>
              <w:top w:val="single" w:sz="2" w:space="0" w:color="auto"/>
              <w:left w:val="single" w:sz="2" w:space="0" w:color="auto"/>
              <w:bottom w:val="single" w:sz="2" w:space="0" w:color="auto"/>
              <w:right w:val="single" w:sz="2" w:space="0" w:color="auto"/>
            </w:tcBorders>
          </w:tcPr>
          <w:p w14:paraId="7BDD4724" w14:textId="77777777" w:rsidR="009F4766" w:rsidRPr="00DE12A3" w:rsidRDefault="009F4766" w:rsidP="00C917D6">
            <w:pPr>
              <w:pStyle w:val="NormalLeft"/>
            </w:pPr>
            <w:r w:rsidRPr="00DE12A3">
              <w:t>1068</w:t>
            </w:r>
          </w:p>
        </w:tc>
        <w:tc>
          <w:tcPr>
            <w:tcW w:w="2489" w:type="dxa"/>
            <w:tcBorders>
              <w:top w:val="single" w:sz="2" w:space="0" w:color="auto"/>
              <w:left w:val="single" w:sz="2" w:space="0" w:color="auto"/>
              <w:bottom w:val="single" w:sz="2" w:space="0" w:color="auto"/>
              <w:right w:val="single" w:sz="2" w:space="0" w:color="auto"/>
            </w:tcBorders>
          </w:tcPr>
          <w:p w14:paraId="72FF1F32" w14:textId="77777777" w:rsidR="009F4766" w:rsidRPr="00DE12A3" w:rsidRDefault="009F4766" w:rsidP="00C917D6">
            <w:pPr>
              <w:pStyle w:val="NormalLeft"/>
            </w:pPr>
            <w:r w:rsidRPr="00DE12A3">
              <w:t>93</w:t>
            </w:r>
          </w:p>
        </w:tc>
        <w:tc>
          <w:tcPr>
            <w:tcW w:w="2551" w:type="dxa"/>
            <w:tcBorders>
              <w:top w:val="single" w:sz="2" w:space="0" w:color="auto"/>
              <w:left w:val="single" w:sz="2" w:space="0" w:color="auto"/>
              <w:bottom w:val="single" w:sz="2" w:space="0" w:color="auto"/>
              <w:right w:val="single" w:sz="2" w:space="0" w:color="auto"/>
            </w:tcBorders>
          </w:tcPr>
          <w:p w14:paraId="405CA964" w14:textId="77777777" w:rsidR="009F4766" w:rsidRPr="00DE12A3" w:rsidRDefault="009F4766" w:rsidP="00C917D6">
            <w:pPr>
              <w:pStyle w:val="NormalLeft"/>
            </w:pPr>
            <w:r w:rsidRPr="00DE12A3">
              <w:t>18</w:t>
            </w:r>
          </w:p>
        </w:tc>
      </w:tr>
      <w:tr w:rsidR="00DE12A3" w:rsidRPr="00DE12A3" w14:paraId="63ED3656" w14:textId="77777777" w:rsidTr="009F4766">
        <w:tc>
          <w:tcPr>
            <w:tcW w:w="1182" w:type="dxa"/>
            <w:tcBorders>
              <w:top w:val="single" w:sz="2" w:space="0" w:color="auto"/>
              <w:left w:val="single" w:sz="2" w:space="0" w:color="auto"/>
              <w:bottom w:val="single" w:sz="2" w:space="0" w:color="auto"/>
              <w:right w:val="single" w:sz="2" w:space="0" w:color="auto"/>
            </w:tcBorders>
          </w:tcPr>
          <w:p w14:paraId="1C8B488A" w14:textId="77777777" w:rsidR="009F4766" w:rsidRPr="00DE12A3" w:rsidRDefault="009F4766" w:rsidP="00C917D6">
            <w:pPr>
              <w:pStyle w:val="NormalLeft"/>
            </w:pPr>
            <w:r w:rsidRPr="00DE12A3">
              <w:t>1069</w:t>
            </w:r>
          </w:p>
        </w:tc>
        <w:tc>
          <w:tcPr>
            <w:tcW w:w="2489" w:type="dxa"/>
            <w:tcBorders>
              <w:top w:val="single" w:sz="2" w:space="0" w:color="auto"/>
              <w:left w:val="single" w:sz="2" w:space="0" w:color="auto"/>
              <w:bottom w:val="single" w:sz="2" w:space="0" w:color="auto"/>
              <w:right w:val="single" w:sz="2" w:space="0" w:color="auto"/>
            </w:tcBorders>
          </w:tcPr>
          <w:p w14:paraId="266A9B72" w14:textId="77777777" w:rsidR="009F4766" w:rsidRPr="00DE12A3" w:rsidRDefault="009F4766" w:rsidP="00C917D6">
            <w:pPr>
              <w:pStyle w:val="NormalLeft"/>
            </w:pPr>
            <w:r w:rsidRPr="00DE12A3">
              <w:t>93</w:t>
            </w:r>
          </w:p>
        </w:tc>
        <w:tc>
          <w:tcPr>
            <w:tcW w:w="2551" w:type="dxa"/>
            <w:tcBorders>
              <w:top w:val="single" w:sz="2" w:space="0" w:color="auto"/>
              <w:left w:val="single" w:sz="2" w:space="0" w:color="auto"/>
              <w:bottom w:val="single" w:sz="2" w:space="0" w:color="auto"/>
              <w:right w:val="single" w:sz="2" w:space="0" w:color="auto"/>
            </w:tcBorders>
          </w:tcPr>
          <w:p w14:paraId="62DA1890" w14:textId="77777777" w:rsidR="009F4766" w:rsidRPr="00DE12A3" w:rsidRDefault="009F4766" w:rsidP="00C917D6">
            <w:pPr>
              <w:pStyle w:val="NormalLeft"/>
            </w:pPr>
            <w:r w:rsidRPr="00DE12A3">
              <w:t>18</w:t>
            </w:r>
          </w:p>
        </w:tc>
      </w:tr>
      <w:tr w:rsidR="00DE12A3" w:rsidRPr="00DE12A3" w14:paraId="375FDD3E" w14:textId="77777777" w:rsidTr="009F4766">
        <w:tc>
          <w:tcPr>
            <w:tcW w:w="1182" w:type="dxa"/>
            <w:tcBorders>
              <w:top w:val="single" w:sz="2" w:space="0" w:color="auto"/>
              <w:left w:val="single" w:sz="2" w:space="0" w:color="auto"/>
              <w:bottom w:val="single" w:sz="2" w:space="0" w:color="auto"/>
              <w:right w:val="single" w:sz="2" w:space="0" w:color="auto"/>
            </w:tcBorders>
          </w:tcPr>
          <w:p w14:paraId="1E4A5BE8" w14:textId="77777777" w:rsidR="009F4766" w:rsidRPr="00DE12A3" w:rsidRDefault="009F4766" w:rsidP="00C917D6">
            <w:pPr>
              <w:pStyle w:val="NormalLeft"/>
            </w:pPr>
            <w:r w:rsidRPr="00DE12A3">
              <w:t>1070</w:t>
            </w:r>
          </w:p>
        </w:tc>
        <w:tc>
          <w:tcPr>
            <w:tcW w:w="2489" w:type="dxa"/>
            <w:tcBorders>
              <w:top w:val="single" w:sz="2" w:space="0" w:color="auto"/>
              <w:left w:val="single" w:sz="2" w:space="0" w:color="auto"/>
              <w:bottom w:val="single" w:sz="2" w:space="0" w:color="auto"/>
              <w:right w:val="single" w:sz="2" w:space="0" w:color="auto"/>
            </w:tcBorders>
          </w:tcPr>
          <w:p w14:paraId="25B4A4E1" w14:textId="77777777" w:rsidR="009F4766" w:rsidRPr="00DE12A3" w:rsidRDefault="009F4766" w:rsidP="00C917D6">
            <w:pPr>
              <w:pStyle w:val="NormalLeft"/>
            </w:pPr>
            <w:r w:rsidRPr="00DE12A3">
              <w:t>93</w:t>
            </w:r>
          </w:p>
        </w:tc>
        <w:tc>
          <w:tcPr>
            <w:tcW w:w="2551" w:type="dxa"/>
            <w:tcBorders>
              <w:top w:val="single" w:sz="2" w:space="0" w:color="auto"/>
              <w:left w:val="single" w:sz="2" w:space="0" w:color="auto"/>
              <w:bottom w:val="single" w:sz="2" w:space="0" w:color="auto"/>
              <w:right w:val="single" w:sz="2" w:space="0" w:color="auto"/>
            </w:tcBorders>
          </w:tcPr>
          <w:p w14:paraId="1E261E29" w14:textId="77777777" w:rsidR="009F4766" w:rsidRPr="00DE12A3" w:rsidRDefault="009F4766" w:rsidP="00C917D6">
            <w:pPr>
              <w:pStyle w:val="NormalLeft"/>
            </w:pPr>
            <w:r w:rsidRPr="00DE12A3">
              <w:t>20</w:t>
            </w:r>
          </w:p>
        </w:tc>
      </w:tr>
      <w:tr w:rsidR="00DE12A3" w:rsidRPr="00DE12A3" w14:paraId="69546F27" w14:textId="77777777" w:rsidTr="009F4766">
        <w:tc>
          <w:tcPr>
            <w:tcW w:w="1182" w:type="dxa"/>
            <w:tcBorders>
              <w:top w:val="single" w:sz="2" w:space="0" w:color="auto"/>
              <w:left w:val="single" w:sz="2" w:space="0" w:color="auto"/>
              <w:bottom w:val="single" w:sz="2" w:space="0" w:color="auto"/>
              <w:right w:val="single" w:sz="2" w:space="0" w:color="auto"/>
            </w:tcBorders>
          </w:tcPr>
          <w:p w14:paraId="73B75EE6" w14:textId="77777777" w:rsidR="009F4766" w:rsidRPr="00DE12A3" w:rsidRDefault="009F4766" w:rsidP="00C917D6">
            <w:pPr>
              <w:pStyle w:val="NormalLeft"/>
            </w:pPr>
            <w:r w:rsidRPr="00DE12A3">
              <w:t>1071</w:t>
            </w:r>
          </w:p>
        </w:tc>
        <w:tc>
          <w:tcPr>
            <w:tcW w:w="2489" w:type="dxa"/>
            <w:tcBorders>
              <w:top w:val="single" w:sz="2" w:space="0" w:color="auto"/>
              <w:left w:val="single" w:sz="2" w:space="0" w:color="auto"/>
              <w:bottom w:val="single" w:sz="2" w:space="0" w:color="auto"/>
              <w:right w:val="single" w:sz="2" w:space="0" w:color="auto"/>
            </w:tcBorders>
          </w:tcPr>
          <w:p w14:paraId="5CC0936A" w14:textId="77777777" w:rsidR="009F4766" w:rsidRPr="00DE12A3" w:rsidRDefault="009F4766" w:rsidP="00C917D6">
            <w:pPr>
              <w:pStyle w:val="NormalLeft"/>
            </w:pPr>
            <w:r w:rsidRPr="00DE12A3">
              <w:t>93</w:t>
            </w:r>
          </w:p>
        </w:tc>
        <w:tc>
          <w:tcPr>
            <w:tcW w:w="2551" w:type="dxa"/>
            <w:tcBorders>
              <w:top w:val="single" w:sz="2" w:space="0" w:color="auto"/>
              <w:left w:val="single" w:sz="2" w:space="0" w:color="auto"/>
              <w:bottom w:val="single" w:sz="2" w:space="0" w:color="auto"/>
              <w:right w:val="single" w:sz="2" w:space="0" w:color="auto"/>
            </w:tcBorders>
          </w:tcPr>
          <w:p w14:paraId="62E43F12" w14:textId="77777777" w:rsidR="009F4766" w:rsidRPr="00DE12A3" w:rsidRDefault="009F4766" w:rsidP="00C917D6">
            <w:pPr>
              <w:pStyle w:val="NormalLeft"/>
            </w:pPr>
            <w:r w:rsidRPr="00DE12A3">
              <w:t>23</w:t>
            </w:r>
          </w:p>
        </w:tc>
      </w:tr>
      <w:tr w:rsidR="00DE12A3" w:rsidRPr="00DE12A3" w14:paraId="37D0BDC8" w14:textId="77777777" w:rsidTr="009F4766">
        <w:tc>
          <w:tcPr>
            <w:tcW w:w="1182" w:type="dxa"/>
            <w:tcBorders>
              <w:top w:val="single" w:sz="2" w:space="0" w:color="auto"/>
              <w:left w:val="single" w:sz="2" w:space="0" w:color="auto"/>
              <w:bottom w:val="single" w:sz="2" w:space="0" w:color="auto"/>
              <w:right w:val="single" w:sz="2" w:space="0" w:color="auto"/>
            </w:tcBorders>
          </w:tcPr>
          <w:p w14:paraId="67390E4C" w14:textId="77777777" w:rsidR="009F4766" w:rsidRPr="00DE12A3" w:rsidRDefault="009F4766" w:rsidP="00C917D6">
            <w:pPr>
              <w:pStyle w:val="NormalLeft"/>
            </w:pPr>
            <w:r w:rsidRPr="00DE12A3">
              <w:t>1072</w:t>
            </w:r>
          </w:p>
        </w:tc>
        <w:tc>
          <w:tcPr>
            <w:tcW w:w="2489" w:type="dxa"/>
            <w:tcBorders>
              <w:top w:val="single" w:sz="2" w:space="0" w:color="auto"/>
              <w:left w:val="single" w:sz="2" w:space="0" w:color="auto"/>
              <w:bottom w:val="single" w:sz="2" w:space="0" w:color="auto"/>
              <w:right w:val="single" w:sz="2" w:space="0" w:color="auto"/>
            </w:tcBorders>
          </w:tcPr>
          <w:p w14:paraId="12E65F5D" w14:textId="77777777" w:rsidR="009F4766" w:rsidRPr="00DE12A3" w:rsidRDefault="009F4766" w:rsidP="00C917D6">
            <w:pPr>
              <w:pStyle w:val="NormalLeft"/>
            </w:pPr>
            <w:r w:rsidRPr="00DE12A3">
              <w:t>93</w:t>
            </w:r>
          </w:p>
        </w:tc>
        <w:tc>
          <w:tcPr>
            <w:tcW w:w="2551" w:type="dxa"/>
            <w:tcBorders>
              <w:top w:val="single" w:sz="2" w:space="0" w:color="auto"/>
              <w:left w:val="single" w:sz="2" w:space="0" w:color="auto"/>
              <w:bottom w:val="single" w:sz="2" w:space="0" w:color="auto"/>
              <w:right w:val="single" w:sz="2" w:space="0" w:color="auto"/>
            </w:tcBorders>
          </w:tcPr>
          <w:p w14:paraId="2AE53FE3" w14:textId="77777777" w:rsidR="009F4766" w:rsidRPr="00DE12A3" w:rsidRDefault="009F4766" w:rsidP="00C917D6">
            <w:pPr>
              <w:pStyle w:val="NormalLeft"/>
            </w:pPr>
            <w:r w:rsidRPr="00DE12A3">
              <w:t>25</w:t>
            </w:r>
          </w:p>
        </w:tc>
      </w:tr>
      <w:tr w:rsidR="00DE12A3" w:rsidRPr="00DE12A3" w14:paraId="18C0F70A" w14:textId="77777777" w:rsidTr="009F4766">
        <w:tc>
          <w:tcPr>
            <w:tcW w:w="1182" w:type="dxa"/>
            <w:tcBorders>
              <w:top w:val="single" w:sz="2" w:space="0" w:color="auto"/>
              <w:left w:val="single" w:sz="2" w:space="0" w:color="auto"/>
              <w:bottom w:val="single" w:sz="2" w:space="0" w:color="auto"/>
              <w:right w:val="single" w:sz="2" w:space="0" w:color="auto"/>
            </w:tcBorders>
          </w:tcPr>
          <w:p w14:paraId="5E0D8516" w14:textId="77777777" w:rsidR="009F4766" w:rsidRPr="00DE12A3" w:rsidRDefault="009F4766" w:rsidP="00C917D6">
            <w:pPr>
              <w:pStyle w:val="NormalLeft"/>
            </w:pPr>
            <w:r w:rsidRPr="00DE12A3">
              <w:t>1073</w:t>
            </w:r>
          </w:p>
        </w:tc>
        <w:tc>
          <w:tcPr>
            <w:tcW w:w="2489" w:type="dxa"/>
            <w:tcBorders>
              <w:top w:val="single" w:sz="2" w:space="0" w:color="auto"/>
              <w:left w:val="single" w:sz="2" w:space="0" w:color="auto"/>
              <w:bottom w:val="single" w:sz="2" w:space="0" w:color="auto"/>
              <w:right w:val="single" w:sz="2" w:space="0" w:color="auto"/>
            </w:tcBorders>
          </w:tcPr>
          <w:p w14:paraId="47B77841" w14:textId="77777777" w:rsidR="009F4766" w:rsidRPr="00DE12A3" w:rsidRDefault="009F4766" w:rsidP="00C917D6">
            <w:pPr>
              <w:pStyle w:val="NormalLeft"/>
            </w:pPr>
            <w:r w:rsidRPr="00DE12A3">
              <w:t>93</w:t>
            </w:r>
          </w:p>
        </w:tc>
        <w:tc>
          <w:tcPr>
            <w:tcW w:w="2551" w:type="dxa"/>
            <w:tcBorders>
              <w:top w:val="single" w:sz="2" w:space="0" w:color="auto"/>
              <w:left w:val="single" w:sz="2" w:space="0" w:color="auto"/>
              <w:bottom w:val="single" w:sz="2" w:space="0" w:color="auto"/>
              <w:right w:val="single" w:sz="2" w:space="0" w:color="auto"/>
            </w:tcBorders>
          </w:tcPr>
          <w:p w14:paraId="648D3897" w14:textId="77777777" w:rsidR="009F4766" w:rsidRPr="00DE12A3" w:rsidRDefault="009F4766" w:rsidP="00C917D6">
            <w:pPr>
              <w:pStyle w:val="NormalLeft"/>
            </w:pPr>
            <w:r w:rsidRPr="00DE12A3">
              <w:t>25</w:t>
            </w:r>
          </w:p>
        </w:tc>
      </w:tr>
      <w:tr w:rsidR="00DE12A3" w:rsidRPr="00DE12A3" w14:paraId="587DF5FB" w14:textId="77777777" w:rsidTr="009F4766">
        <w:tc>
          <w:tcPr>
            <w:tcW w:w="1182" w:type="dxa"/>
            <w:tcBorders>
              <w:top w:val="single" w:sz="2" w:space="0" w:color="auto"/>
              <w:left w:val="single" w:sz="2" w:space="0" w:color="auto"/>
              <w:bottom w:val="single" w:sz="2" w:space="0" w:color="auto"/>
              <w:right w:val="single" w:sz="2" w:space="0" w:color="auto"/>
            </w:tcBorders>
          </w:tcPr>
          <w:p w14:paraId="3DD1E99D" w14:textId="77777777" w:rsidR="009F4766" w:rsidRPr="00DE12A3" w:rsidRDefault="009F4766" w:rsidP="00C917D6">
            <w:pPr>
              <w:pStyle w:val="NormalLeft"/>
            </w:pPr>
            <w:r w:rsidRPr="00DE12A3">
              <w:t>1074</w:t>
            </w:r>
          </w:p>
        </w:tc>
        <w:tc>
          <w:tcPr>
            <w:tcW w:w="2489" w:type="dxa"/>
            <w:tcBorders>
              <w:top w:val="single" w:sz="2" w:space="0" w:color="auto"/>
              <w:left w:val="single" w:sz="2" w:space="0" w:color="auto"/>
              <w:bottom w:val="single" w:sz="2" w:space="0" w:color="auto"/>
              <w:right w:val="single" w:sz="2" w:space="0" w:color="auto"/>
            </w:tcBorders>
          </w:tcPr>
          <w:p w14:paraId="38FC019B" w14:textId="77777777" w:rsidR="009F4766" w:rsidRPr="00DE12A3" w:rsidRDefault="009F4766" w:rsidP="00C917D6">
            <w:pPr>
              <w:pStyle w:val="NormalLeft"/>
            </w:pPr>
            <w:r w:rsidRPr="00DE12A3">
              <w:t>93</w:t>
            </w:r>
          </w:p>
        </w:tc>
        <w:tc>
          <w:tcPr>
            <w:tcW w:w="2551" w:type="dxa"/>
            <w:tcBorders>
              <w:top w:val="single" w:sz="2" w:space="0" w:color="auto"/>
              <w:left w:val="single" w:sz="2" w:space="0" w:color="auto"/>
              <w:bottom w:val="single" w:sz="2" w:space="0" w:color="auto"/>
              <w:right w:val="single" w:sz="2" w:space="0" w:color="auto"/>
            </w:tcBorders>
          </w:tcPr>
          <w:p w14:paraId="36D65B6B" w14:textId="77777777" w:rsidR="009F4766" w:rsidRPr="00DE12A3" w:rsidRDefault="009F4766" w:rsidP="00C917D6">
            <w:pPr>
              <w:pStyle w:val="NormalLeft"/>
            </w:pPr>
            <w:r w:rsidRPr="00DE12A3">
              <w:t>24</w:t>
            </w:r>
          </w:p>
        </w:tc>
      </w:tr>
      <w:tr w:rsidR="00DE12A3" w:rsidRPr="00DE12A3" w14:paraId="26FC920F" w14:textId="77777777" w:rsidTr="009F4766">
        <w:tc>
          <w:tcPr>
            <w:tcW w:w="1182" w:type="dxa"/>
            <w:tcBorders>
              <w:top w:val="single" w:sz="2" w:space="0" w:color="auto"/>
              <w:left w:val="single" w:sz="2" w:space="0" w:color="auto"/>
              <w:bottom w:val="single" w:sz="2" w:space="0" w:color="auto"/>
              <w:right w:val="single" w:sz="2" w:space="0" w:color="auto"/>
            </w:tcBorders>
          </w:tcPr>
          <w:p w14:paraId="73527D6A" w14:textId="77777777" w:rsidR="009F4766" w:rsidRPr="00DE12A3" w:rsidRDefault="009F4766" w:rsidP="00C917D6">
            <w:pPr>
              <w:pStyle w:val="NormalLeft"/>
            </w:pPr>
            <w:r w:rsidRPr="00DE12A3">
              <w:t>1075</w:t>
            </w:r>
          </w:p>
        </w:tc>
        <w:tc>
          <w:tcPr>
            <w:tcW w:w="2489" w:type="dxa"/>
            <w:tcBorders>
              <w:top w:val="single" w:sz="2" w:space="0" w:color="auto"/>
              <w:left w:val="single" w:sz="2" w:space="0" w:color="auto"/>
              <w:bottom w:val="single" w:sz="2" w:space="0" w:color="auto"/>
              <w:right w:val="single" w:sz="2" w:space="0" w:color="auto"/>
            </w:tcBorders>
          </w:tcPr>
          <w:p w14:paraId="3EA2468A" w14:textId="77777777" w:rsidR="009F4766" w:rsidRPr="00DE12A3" w:rsidRDefault="009F4766" w:rsidP="00C917D6">
            <w:pPr>
              <w:pStyle w:val="NormalLeft"/>
            </w:pPr>
            <w:r w:rsidRPr="00DE12A3">
              <w:t>93</w:t>
            </w:r>
          </w:p>
        </w:tc>
        <w:tc>
          <w:tcPr>
            <w:tcW w:w="2551" w:type="dxa"/>
            <w:tcBorders>
              <w:top w:val="single" w:sz="2" w:space="0" w:color="auto"/>
              <w:left w:val="single" w:sz="2" w:space="0" w:color="auto"/>
              <w:bottom w:val="single" w:sz="2" w:space="0" w:color="auto"/>
              <w:right w:val="single" w:sz="2" w:space="0" w:color="auto"/>
            </w:tcBorders>
          </w:tcPr>
          <w:p w14:paraId="7278FFDC" w14:textId="77777777" w:rsidR="009F4766" w:rsidRPr="00DE12A3" w:rsidRDefault="009F4766" w:rsidP="00C917D6">
            <w:pPr>
              <w:pStyle w:val="NormalLeft"/>
            </w:pPr>
            <w:r w:rsidRPr="00DE12A3">
              <w:t>24</w:t>
            </w:r>
          </w:p>
        </w:tc>
      </w:tr>
      <w:tr w:rsidR="00DE12A3" w:rsidRPr="00DE12A3" w14:paraId="6F8BA894" w14:textId="77777777" w:rsidTr="009F4766">
        <w:tc>
          <w:tcPr>
            <w:tcW w:w="1182" w:type="dxa"/>
            <w:tcBorders>
              <w:top w:val="single" w:sz="2" w:space="0" w:color="auto"/>
              <w:left w:val="single" w:sz="2" w:space="0" w:color="auto"/>
              <w:bottom w:val="single" w:sz="2" w:space="0" w:color="auto"/>
              <w:right w:val="single" w:sz="2" w:space="0" w:color="auto"/>
            </w:tcBorders>
          </w:tcPr>
          <w:p w14:paraId="427C1C18" w14:textId="77777777" w:rsidR="009F4766" w:rsidRPr="00DE12A3" w:rsidRDefault="009F4766" w:rsidP="00C917D6">
            <w:pPr>
              <w:pStyle w:val="NormalLeft"/>
            </w:pPr>
            <w:r w:rsidRPr="00DE12A3">
              <w:t>1076</w:t>
            </w:r>
          </w:p>
        </w:tc>
        <w:tc>
          <w:tcPr>
            <w:tcW w:w="2489" w:type="dxa"/>
            <w:tcBorders>
              <w:top w:val="single" w:sz="2" w:space="0" w:color="auto"/>
              <w:left w:val="single" w:sz="2" w:space="0" w:color="auto"/>
              <w:bottom w:val="single" w:sz="2" w:space="0" w:color="auto"/>
              <w:right w:val="single" w:sz="2" w:space="0" w:color="auto"/>
            </w:tcBorders>
          </w:tcPr>
          <w:p w14:paraId="2E4EABF9" w14:textId="77777777" w:rsidR="009F4766" w:rsidRPr="00DE12A3" w:rsidRDefault="009F4766" w:rsidP="00C917D6">
            <w:pPr>
              <w:pStyle w:val="NormalLeft"/>
            </w:pPr>
            <w:r w:rsidRPr="00DE12A3">
              <w:t>93</w:t>
            </w:r>
          </w:p>
        </w:tc>
        <w:tc>
          <w:tcPr>
            <w:tcW w:w="2551" w:type="dxa"/>
            <w:tcBorders>
              <w:top w:val="single" w:sz="2" w:space="0" w:color="auto"/>
              <w:left w:val="single" w:sz="2" w:space="0" w:color="auto"/>
              <w:bottom w:val="single" w:sz="2" w:space="0" w:color="auto"/>
              <w:right w:val="single" w:sz="2" w:space="0" w:color="auto"/>
            </w:tcBorders>
          </w:tcPr>
          <w:p w14:paraId="1B282E79" w14:textId="77777777" w:rsidR="009F4766" w:rsidRPr="00DE12A3" w:rsidRDefault="009F4766" w:rsidP="00C917D6">
            <w:pPr>
              <w:pStyle w:val="NormalLeft"/>
            </w:pPr>
            <w:r w:rsidRPr="00DE12A3">
              <w:t>22</w:t>
            </w:r>
          </w:p>
        </w:tc>
      </w:tr>
      <w:tr w:rsidR="00DE12A3" w:rsidRPr="00DE12A3" w14:paraId="646879BF" w14:textId="77777777" w:rsidTr="009F4766">
        <w:tc>
          <w:tcPr>
            <w:tcW w:w="1182" w:type="dxa"/>
            <w:tcBorders>
              <w:top w:val="single" w:sz="2" w:space="0" w:color="auto"/>
              <w:left w:val="single" w:sz="2" w:space="0" w:color="auto"/>
              <w:bottom w:val="single" w:sz="2" w:space="0" w:color="auto"/>
              <w:right w:val="single" w:sz="2" w:space="0" w:color="auto"/>
            </w:tcBorders>
          </w:tcPr>
          <w:p w14:paraId="5BCF20B0" w14:textId="77777777" w:rsidR="009F4766" w:rsidRPr="00DE12A3" w:rsidRDefault="009F4766" w:rsidP="00C917D6">
            <w:pPr>
              <w:pStyle w:val="NormalLeft"/>
            </w:pPr>
            <w:r w:rsidRPr="00DE12A3">
              <w:t>1077</w:t>
            </w:r>
          </w:p>
        </w:tc>
        <w:tc>
          <w:tcPr>
            <w:tcW w:w="2489" w:type="dxa"/>
            <w:tcBorders>
              <w:top w:val="single" w:sz="2" w:space="0" w:color="auto"/>
              <w:left w:val="single" w:sz="2" w:space="0" w:color="auto"/>
              <w:bottom w:val="single" w:sz="2" w:space="0" w:color="auto"/>
              <w:right w:val="single" w:sz="2" w:space="0" w:color="auto"/>
            </w:tcBorders>
          </w:tcPr>
          <w:p w14:paraId="3425E192" w14:textId="77777777" w:rsidR="009F4766" w:rsidRPr="00DE12A3" w:rsidRDefault="009F4766" w:rsidP="00C917D6">
            <w:pPr>
              <w:pStyle w:val="NormalLeft"/>
            </w:pPr>
            <w:r w:rsidRPr="00DE12A3">
              <w:t>93</w:t>
            </w:r>
          </w:p>
        </w:tc>
        <w:tc>
          <w:tcPr>
            <w:tcW w:w="2551" w:type="dxa"/>
            <w:tcBorders>
              <w:top w:val="single" w:sz="2" w:space="0" w:color="auto"/>
              <w:left w:val="single" w:sz="2" w:space="0" w:color="auto"/>
              <w:bottom w:val="single" w:sz="2" w:space="0" w:color="auto"/>
              <w:right w:val="single" w:sz="2" w:space="0" w:color="auto"/>
            </w:tcBorders>
          </w:tcPr>
          <w:p w14:paraId="2C4B6B84" w14:textId="77777777" w:rsidR="009F4766" w:rsidRPr="00DE12A3" w:rsidRDefault="009F4766" w:rsidP="00C917D6">
            <w:pPr>
              <w:pStyle w:val="NormalLeft"/>
            </w:pPr>
            <w:r w:rsidRPr="00DE12A3">
              <w:t>22</w:t>
            </w:r>
          </w:p>
        </w:tc>
      </w:tr>
      <w:tr w:rsidR="00DE12A3" w:rsidRPr="00DE12A3" w14:paraId="3D480CBE" w14:textId="77777777" w:rsidTr="009F4766">
        <w:tc>
          <w:tcPr>
            <w:tcW w:w="1182" w:type="dxa"/>
            <w:tcBorders>
              <w:top w:val="single" w:sz="2" w:space="0" w:color="auto"/>
              <w:left w:val="single" w:sz="2" w:space="0" w:color="auto"/>
              <w:bottom w:val="single" w:sz="2" w:space="0" w:color="auto"/>
              <w:right w:val="single" w:sz="2" w:space="0" w:color="auto"/>
            </w:tcBorders>
          </w:tcPr>
          <w:p w14:paraId="17138994" w14:textId="77777777" w:rsidR="009F4766" w:rsidRPr="00DE12A3" w:rsidRDefault="009F4766" w:rsidP="00C917D6">
            <w:pPr>
              <w:pStyle w:val="NormalLeft"/>
            </w:pPr>
            <w:r w:rsidRPr="00DE12A3">
              <w:t>1078</w:t>
            </w:r>
          </w:p>
        </w:tc>
        <w:tc>
          <w:tcPr>
            <w:tcW w:w="2489" w:type="dxa"/>
            <w:tcBorders>
              <w:top w:val="single" w:sz="2" w:space="0" w:color="auto"/>
              <w:left w:val="single" w:sz="2" w:space="0" w:color="auto"/>
              <w:bottom w:val="single" w:sz="2" w:space="0" w:color="auto"/>
              <w:right w:val="single" w:sz="2" w:space="0" w:color="auto"/>
            </w:tcBorders>
          </w:tcPr>
          <w:p w14:paraId="6391A989" w14:textId="77777777" w:rsidR="009F4766" w:rsidRPr="00DE12A3" w:rsidRDefault="009F4766" w:rsidP="00C917D6">
            <w:pPr>
              <w:pStyle w:val="NormalLeft"/>
            </w:pPr>
            <w:r w:rsidRPr="00DE12A3">
              <w:t>93</w:t>
            </w:r>
          </w:p>
        </w:tc>
        <w:tc>
          <w:tcPr>
            <w:tcW w:w="2551" w:type="dxa"/>
            <w:tcBorders>
              <w:top w:val="single" w:sz="2" w:space="0" w:color="auto"/>
              <w:left w:val="single" w:sz="2" w:space="0" w:color="auto"/>
              <w:bottom w:val="single" w:sz="2" w:space="0" w:color="auto"/>
              <w:right w:val="single" w:sz="2" w:space="0" w:color="auto"/>
            </w:tcBorders>
          </w:tcPr>
          <w:p w14:paraId="6621E481" w14:textId="77777777" w:rsidR="009F4766" w:rsidRPr="00DE12A3" w:rsidRDefault="009F4766" w:rsidP="00C917D6">
            <w:pPr>
              <w:pStyle w:val="NormalLeft"/>
            </w:pPr>
            <w:r w:rsidRPr="00DE12A3">
              <w:t>22</w:t>
            </w:r>
          </w:p>
        </w:tc>
      </w:tr>
      <w:tr w:rsidR="00DE12A3" w:rsidRPr="00DE12A3" w14:paraId="29E5AB19" w14:textId="77777777" w:rsidTr="009F4766">
        <w:tc>
          <w:tcPr>
            <w:tcW w:w="1182" w:type="dxa"/>
            <w:tcBorders>
              <w:top w:val="single" w:sz="2" w:space="0" w:color="auto"/>
              <w:left w:val="single" w:sz="2" w:space="0" w:color="auto"/>
              <w:bottom w:val="single" w:sz="2" w:space="0" w:color="auto"/>
              <w:right w:val="single" w:sz="2" w:space="0" w:color="auto"/>
            </w:tcBorders>
          </w:tcPr>
          <w:p w14:paraId="101DB3BC" w14:textId="77777777" w:rsidR="009F4766" w:rsidRPr="00DE12A3" w:rsidRDefault="009F4766" w:rsidP="00C917D6">
            <w:pPr>
              <w:pStyle w:val="NormalLeft"/>
            </w:pPr>
            <w:r w:rsidRPr="00DE12A3">
              <w:t>1079</w:t>
            </w:r>
          </w:p>
        </w:tc>
        <w:tc>
          <w:tcPr>
            <w:tcW w:w="2489" w:type="dxa"/>
            <w:tcBorders>
              <w:top w:val="single" w:sz="2" w:space="0" w:color="auto"/>
              <w:left w:val="single" w:sz="2" w:space="0" w:color="auto"/>
              <w:bottom w:val="single" w:sz="2" w:space="0" w:color="auto"/>
              <w:right w:val="single" w:sz="2" w:space="0" w:color="auto"/>
            </w:tcBorders>
          </w:tcPr>
          <w:p w14:paraId="5E84FD8D" w14:textId="77777777" w:rsidR="009F4766" w:rsidRPr="00DE12A3" w:rsidRDefault="009F4766" w:rsidP="00C917D6">
            <w:pPr>
              <w:pStyle w:val="NormalLeft"/>
            </w:pPr>
            <w:r w:rsidRPr="00DE12A3">
              <w:t>93</w:t>
            </w:r>
          </w:p>
        </w:tc>
        <w:tc>
          <w:tcPr>
            <w:tcW w:w="2551" w:type="dxa"/>
            <w:tcBorders>
              <w:top w:val="single" w:sz="2" w:space="0" w:color="auto"/>
              <w:left w:val="single" w:sz="2" w:space="0" w:color="auto"/>
              <w:bottom w:val="single" w:sz="2" w:space="0" w:color="auto"/>
              <w:right w:val="single" w:sz="2" w:space="0" w:color="auto"/>
            </w:tcBorders>
          </w:tcPr>
          <w:p w14:paraId="2EFFE44A" w14:textId="77777777" w:rsidR="009F4766" w:rsidRPr="00DE12A3" w:rsidRDefault="009F4766" w:rsidP="00C917D6">
            <w:pPr>
              <w:pStyle w:val="NormalLeft"/>
            </w:pPr>
            <w:r w:rsidRPr="00DE12A3">
              <w:t>19</w:t>
            </w:r>
          </w:p>
        </w:tc>
      </w:tr>
      <w:tr w:rsidR="00DE12A3" w:rsidRPr="00DE12A3" w14:paraId="37D3807C" w14:textId="77777777" w:rsidTr="009F4766">
        <w:tc>
          <w:tcPr>
            <w:tcW w:w="1182" w:type="dxa"/>
            <w:tcBorders>
              <w:top w:val="single" w:sz="2" w:space="0" w:color="auto"/>
              <w:left w:val="single" w:sz="2" w:space="0" w:color="auto"/>
              <w:bottom w:val="single" w:sz="2" w:space="0" w:color="auto"/>
              <w:right w:val="single" w:sz="2" w:space="0" w:color="auto"/>
            </w:tcBorders>
          </w:tcPr>
          <w:p w14:paraId="6AE1AB1B" w14:textId="77777777" w:rsidR="009F4766" w:rsidRPr="00DE12A3" w:rsidRDefault="009F4766" w:rsidP="00C917D6">
            <w:pPr>
              <w:pStyle w:val="NormalLeft"/>
            </w:pPr>
            <w:r w:rsidRPr="00DE12A3">
              <w:t>1080</w:t>
            </w:r>
          </w:p>
        </w:tc>
        <w:tc>
          <w:tcPr>
            <w:tcW w:w="2489" w:type="dxa"/>
            <w:tcBorders>
              <w:top w:val="single" w:sz="2" w:space="0" w:color="auto"/>
              <w:left w:val="single" w:sz="2" w:space="0" w:color="auto"/>
              <w:bottom w:val="single" w:sz="2" w:space="0" w:color="auto"/>
              <w:right w:val="single" w:sz="2" w:space="0" w:color="auto"/>
            </w:tcBorders>
          </w:tcPr>
          <w:p w14:paraId="6E6E2085" w14:textId="77777777" w:rsidR="009F4766" w:rsidRPr="00DE12A3" w:rsidRDefault="009F4766" w:rsidP="00C917D6">
            <w:pPr>
              <w:pStyle w:val="NormalLeft"/>
            </w:pPr>
            <w:r w:rsidRPr="00DE12A3">
              <w:t>93</w:t>
            </w:r>
          </w:p>
        </w:tc>
        <w:tc>
          <w:tcPr>
            <w:tcW w:w="2551" w:type="dxa"/>
            <w:tcBorders>
              <w:top w:val="single" w:sz="2" w:space="0" w:color="auto"/>
              <w:left w:val="single" w:sz="2" w:space="0" w:color="auto"/>
              <w:bottom w:val="single" w:sz="2" w:space="0" w:color="auto"/>
              <w:right w:val="single" w:sz="2" w:space="0" w:color="auto"/>
            </w:tcBorders>
          </w:tcPr>
          <w:p w14:paraId="11E275F2" w14:textId="77777777" w:rsidR="009F4766" w:rsidRPr="00DE12A3" w:rsidRDefault="009F4766" w:rsidP="00C917D6">
            <w:pPr>
              <w:pStyle w:val="NormalLeft"/>
            </w:pPr>
            <w:r w:rsidRPr="00DE12A3">
              <w:t>16</w:t>
            </w:r>
          </w:p>
        </w:tc>
      </w:tr>
      <w:tr w:rsidR="00DE12A3" w:rsidRPr="00DE12A3" w14:paraId="33C4B031" w14:textId="77777777" w:rsidTr="009F4766">
        <w:tc>
          <w:tcPr>
            <w:tcW w:w="1182" w:type="dxa"/>
            <w:tcBorders>
              <w:top w:val="single" w:sz="2" w:space="0" w:color="auto"/>
              <w:left w:val="single" w:sz="2" w:space="0" w:color="auto"/>
              <w:bottom w:val="single" w:sz="2" w:space="0" w:color="auto"/>
              <w:right w:val="single" w:sz="2" w:space="0" w:color="auto"/>
            </w:tcBorders>
          </w:tcPr>
          <w:p w14:paraId="47F4D808" w14:textId="77777777" w:rsidR="009F4766" w:rsidRPr="00DE12A3" w:rsidRDefault="009F4766" w:rsidP="00C917D6">
            <w:pPr>
              <w:pStyle w:val="NormalLeft"/>
            </w:pPr>
            <w:r w:rsidRPr="00DE12A3">
              <w:t>1081</w:t>
            </w:r>
          </w:p>
        </w:tc>
        <w:tc>
          <w:tcPr>
            <w:tcW w:w="2489" w:type="dxa"/>
            <w:tcBorders>
              <w:top w:val="single" w:sz="2" w:space="0" w:color="auto"/>
              <w:left w:val="single" w:sz="2" w:space="0" w:color="auto"/>
              <w:bottom w:val="single" w:sz="2" w:space="0" w:color="auto"/>
              <w:right w:val="single" w:sz="2" w:space="0" w:color="auto"/>
            </w:tcBorders>
          </w:tcPr>
          <w:p w14:paraId="17109395" w14:textId="77777777" w:rsidR="009F4766" w:rsidRPr="00DE12A3" w:rsidRDefault="009F4766" w:rsidP="00C917D6">
            <w:pPr>
              <w:pStyle w:val="NormalLeft"/>
            </w:pPr>
            <w:r w:rsidRPr="00DE12A3">
              <w:t>95</w:t>
            </w:r>
          </w:p>
        </w:tc>
        <w:tc>
          <w:tcPr>
            <w:tcW w:w="2551" w:type="dxa"/>
            <w:tcBorders>
              <w:top w:val="single" w:sz="2" w:space="0" w:color="auto"/>
              <w:left w:val="single" w:sz="2" w:space="0" w:color="auto"/>
              <w:bottom w:val="single" w:sz="2" w:space="0" w:color="auto"/>
              <w:right w:val="single" w:sz="2" w:space="0" w:color="auto"/>
            </w:tcBorders>
          </w:tcPr>
          <w:p w14:paraId="71FA8B73" w14:textId="77777777" w:rsidR="009F4766" w:rsidRPr="00DE12A3" w:rsidRDefault="009F4766" w:rsidP="00C917D6">
            <w:pPr>
              <w:pStyle w:val="NormalLeft"/>
            </w:pPr>
            <w:r w:rsidRPr="00DE12A3">
              <w:t>17</w:t>
            </w:r>
          </w:p>
        </w:tc>
      </w:tr>
      <w:tr w:rsidR="00DE12A3" w:rsidRPr="00DE12A3" w14:paraId="38DF1DAF" w14:textId="77777777" w:rsidTr="009F4766">
        <w:tc>
          <w:tcPr>
            <w:tcW w:w="1182" w:type="dxa"/>
            <w:tcBorders>
              <w:top w:val="single" w:sz="2" w:space="0" w:color="auto"/>
              <w:left w:val="single" w:sz="2" w:space="0" w:color="auto"/>
              <w:bottom w:val="single" w:sz="2" w:space="0" w:color="auto"/>
              <w:right w:val="single" w:sz="2" w:space="0" w:color="auto"/>
            </w:tcBorders>
          </w:tcPr>
          <w:p w14:paraId="1BA8138E" w14:textId="77777777" w:rsidR="009F4766" w:rsidRPr="00DE12A3" w:rsidRDefault="009F4766" w:rsidP="00C917D6">
            <w:pPr>
              <w:pStyle w:val="NormalLeft"/>
            </w:pPr>
            <w:r w:rsidRPr="00DE12A3">
              <w:t>1082</w:t>
            </w:r>
          </w:p>
        </w:tc>
        <w:tc>
          <w:tcPr>
            <w:tcW w:w="2489" w:type="dxa"/>
            <w:tcBorders>
              <w:top w:val="single" w:sz="2" w:space="0" w:color="auto"/>
              <w:left w:val="single" w:sz="2" w:space="0" w:color="auto"/>
              <w:bottom w:val="single" w:sz="2" w:space="0" w:color="auto"/>
              <w:right w:val="single" w:sz="2" w:space="0" w:color="auto"/>
            </w:tcBorders>
          </w:tcPr>
          <w:p w14:paraId="1A02FA91" w14:textId="77777777" w:rsidR="009F4766" w:rsidRPr="00DE12A3" w:rsidRDefault="009F4766" w:rsidP="00C917D6">
            <w:pPr>
              <w:pStyle w:val="NormalLeft"/>
            </w:pPr>
            <w:r w:rsidRPr="00DE12A3">
              <w:t>95</w:t>
            </w:r>
          </w:p>
        </w:tc>
        <w:tc>
          <w:tcPr>
            <w:tcW w:w="2551" w:type="dxa"/>
            <w:tcBorders>
              <w:top w:val="single" w:sz="2" w:space="0" w:color="auto"/>
              <w:left w:val="single" w:sz="2" w:space="0" w:color="auto"/>
              <w:bottom w:val="single" w:sz="2" w:space="0" w:color="auto"/>
              <w:right w:val="single" w:sz="2" w:space="0" w:color="auto"/>
            </w:tcBorders>
          </w:tcPr>
          <w:p w14:paraId="7F534731" w14:textId="77777777" w:rsidR="009F4766" w:rsidRPr="00DE12A3" w:rsidRDefault="009F4766" w:rsidP="00C917D6">
            <w:pPr>
              <w:pStyle w:val="NormalLeft"/>
            </w:pPr>
            <w:r w:rsidRPr="00DE12A3">
              <w:t>37</w:t>
            </w:r>
          </w:p>
        </w:tc>
      </w:tr>
      <w:tr w:rsidR="00DE12A3" w:rsidRPr="00DE12A3" w14:paraId="77998E50" w14:textId="77777777" w:rsidTr="009F4766">
        <w:tc>
          <w:tcPr>
            <w:tcW w:w="1182" w:type="dxa"/>
            <w:tcBorders>
              <w:top w:val="single" w:sz="2" w:space="0" w:color="auto"/>
              <w:left w:val="single" w:sz="2" w:space="0" w:color="auto"/>
              <w:bottom w:val="single" w:sz="2" w:space="0" w:color="auto"/>
              <w:right w:val="single" w:sz="2" w:space="0" w:color="auto"/>
            </w:tcBorders>
          </w:tcPr>
          <w:p w14:paraId="62829837" w14:textId="77777777" w:rsidR="009F4766" w:rsidRPr="00DE12A3" w:rsidRDefault="009F4766" w:rsidP="00C917D6">
            <w:pPr>
              <w:pStyle w:val="NormalLeft"/>
            </w:pPr>
            <w:r w:rsidRPr="00DE12A3">
              <w:lastRenderedPageBreak/>
              <w:t>1083</w:t>
            </w:r>
          </w:p>
        </w:tc>
        <w:tc>
          <w:tcPr>
            <w:tcW w:w="2489" w:type="dxa"/>
            <w:tcBorders>
              <w:top w:val="single" w:sz="2" w:space="0" w:color="auto"/>
              <w:left w:val="single" w:sz="2" w:space="0" w:color="auto"/>
              <w:bottom w:val="single" w:sz="2" w:space="0" w:color="auto"/>
              <w:right w:val="single" w:sz="2" w:space="0" w:color="auto"/>
            </w:tcBorders>
          </w:tcPr>
          <w:p w14:paraId="4716676C" w14:textId="77777777" w:rsidR="009F4766" w:rsidRPr="00DE12A3" w:rsidRDefault="009F4766" w:rsidP="00C917D6">
            <w:pPr>
              <w:pStyle w:val="NormalLeft"/>
            </w:pPr>
            <w:r w:rsidRPr="00DE12A3">
              <w:t>93</w:t>
            </w:r>
          </w:p>
        </w:tc>
        <w:tc>
          <w:tcPr>
            <w:tcW w:w="2551" w:type="dxa"/>
            <w:tcBorders>
              <w:top w:val="single" w:sz="2" w:space="0" w:color="auto"/>
              <w:left w:val="single" w:sz="2" w:space="0" w:color="auto"/>
              <w:bottom w:val="single" w:sz="2" w:space="0" w:color="auto"/>
              <w:right w:val="single" w:sz="2" w:space="0" w:color="auto"/>
            </w:tcBorders>
          </w:tcPr>
          <w:p w14:paraId="418A7439" w14:textId="77777777" w:rsidR="009F4766" w:rsidRPr="00DE12A3" w:rsidRDefault="009F4766" w:rsidP="00C917D6">
            <w:pPr>
              <w:pStyle w:val="NormalLeft"/>
            </w:pPr>
            <w:r w:rsidRPr="00DE12A3">
              <w:t>43</w:t>
            </w:r>
          </w:p>
        </w:tc>
      </w:tr>
      <w:tr w:rsidR="00DE12A3" w:rsidRPr="00DE12A3" w14:paraId="6EC44E4C" w14:textId="77777777" w:rsidTr="009F4766">
        <w:tc>
          <w:tcPr>
            <w:tcW w:w="1182" w:type="dxa"/>
            <w:tcBorders>
              <w:top w:val="single" w:sz="2" w:space="0" w:color="auto"/>
              <w:left w:val="single" w:sz="2" w:space="0" w:color="auto"/>
              <w:bottom w:val="single" w:sz="2" w:space="0" w:color="auto"/>
              <w:right w:val="single" w:sz="2" w:space="0" w:color="auto"/>
            </w:tcBorders>
          </w:tcPr>
          <w:p w14:paraId="58F58A92" w14:textId="77777777" w:rsidR="009F4766" w:rsidRPr="00DE12A3" w:rsidRDefault="009F4766" w:rsidP="00C917D6">
            <w:pPr>
              <w:pStyle w:val="NormalLeft"/>
            </w:pPr>
            <w:r w:rsidRPr="00DE12A3">
              <w:t>1084</w:t>
            </w:r>
          </w:p>
        </w:tc>
        <w:tc>
          <w:tcPr>
            <w:tcW w:w="2489" w:type="dxa"/>
            <w:tcBorders>
              <w:top w:val="single" w:sz="2" w:space="0" w:color="auto"/>
              <w:left w:val="single" w:sz="2" w:space="0" w:color="auto"/>
              <w:bottom w:val="single" w:sz="2" w:space="0" w:color="auto"/>
              <w:right w:val="single" w:sz="2" w:space="0" w:color="auto"/>
            </w:tcBorders>
          </w:tcPr>
          <w:p w14:paraId="5ED1F873" w14:textId="77777777" w:rsidR="009F4766" w:rsidRPr="00DE12A3" w:rsidRDefault="009F4766" w:rsidP="00C917D6">
            <w:pPr>
              <w:pStyle w:val="NormalLeft"/>
            </w:pPr>
            <w:r w:rsidRPr="00DE12A3">
              <w:t>93</w:t>
            </w:r>
          </w:p>
        </w:tc>
        <w:tc>
          <w:tcPr>
            <w:tcW w:w="2551" w:type="dxa"/>
            <w:tcBorders>
              <w:top w:val="single" w:sz="2" w:space="0" w:color="auto"/>
              <w:left w:val="single" w:sz="2" w:space="0" w:color="auto"/>
              <w:bottom w:val="single" w:sz="2" w:space="0" w:color="auto"/>
              <w:right w:val="single" w:sz="2" w:space="0" w:color="auto"/>
            </w:tcBorders>
          </w:tcPr>
          <w:p w14:paraId="383545D2" w14:textId="77777777" w:rsidR="009F4766" w:rsidRPr="00DE12A3" w:rsidRDefault="009F4766" w:rsidP="00C917D6">
            <w:pPr>
              <w:pStyle w:val="NormalLeft"/>
            </w:pPr>
            <w:r w:rsidRPr="00DE12A3">
              <w:t>32</w:t>
            </w:r>
          </w:p>
        </w:tc>
      </w:tr>
      <w:tr w:rsidR="00DE12A3" w:rsidRPr="00DE12A3" w14:paraId="6C8482ED" w14:textId="77777777" w:rsidTr="009F4766">
        <w:tc>
          <w:tcPr>
            <w:tcW w:w="1182" w:type="dxa"/>
            <w:tcBorders>
              <w:top w:val="single" w:sz="2" w:space="0" w:color="auto"/>
              <w:left w:val="single" w:sz="2" w:space="0" w:color="auto"/>
              <w:bottom w:val="single" w:sz="2" w:space="0" w:color="auto"/>
              <w:right w:val="single" w:sz="2" w:space="0" w:color="auto"/>
            </w:tcBorders>
          </w:tcPr>
          <w:p w14:paraId="7BFC9E9C" w14:textId="77777777" w:rsidR="009F4766" w:rsidRPr="00DE12A3" w:rsidRDefault="009F4766" w:rsidP="00C917D6">
            <w:pPr>
              <w:pStyle w:val="NormalLeft"/>
            </w:pPr>
            <w:r w:rsidRPr="00DE12A3">
              <w:t>1085</w:t>
            </w:r>
          </w:p>
        </w:tc>
        <w:tc>
          <w:tcPr>
            <w:tcW w:w="2489" w:type="dxa"/>
            <w:tcBorders>
              <w:top w:val="single" w:sz="2" w:space="0" w:color="auto"/>
              <w:left w:val="single" w:sz="2" w:space="0" w:color="auto"/>
              <w:bottom w:val="single" w:sz="2" w:space="0" w:color="auto"/>
              <w:right w:val="single" w:sz="2" w:space="0" w:color="auto"/>
            </w:tcBorders>
          </w:tcPr>
          <w:p w14:paraId="255DC12E" w14:textId="77777777" w:rsidR="009F4766" w:rsidRPr="00DE12A3" w:rsidRDefault="009F4766" w:rsidP="00C917D6">
            <w:pPr>
              <w:pStyle w:val="NormalLeft"/>
            </w:pPr>
            <w:r w:rsidRPr="00DE12A3">
              <w:t>93</w:t>
            </w:r>
          </w:p>
        </w:tc>
        <w:tc>
          <w:tcPr>
            <w:tcW w:w="2551" w:type="dxa"/>
            <w:tcBorders>
              <w:top w:val="single" w:sz="2" w:space="0" w:color="auto"/>
              <w:left w:val="single" w:sz="2" w:space="0" w:color="auto"/>
              <w:bottom w:val="single" w:sz="2" w:space="0" w:color="auto"/>
              <w:right w:val="single" w:sz="2" w:space="0" w:color="auto"/>
            </w:tcBorders>
          </w:tcPr>
          <w:p w14:paraId="18C8DAF4" w14:textId="77777777" w:rsidR="009F4766" w:rsidRPr="00DE12A3" w:rsidRDefault="009F4766" w:rsidP="00C917D6">
            <w:pPr>
              <w:pStyle w:val="NormalLeft"/>
            </w:pPr>
            <w:r w:rsidRPr="00DE12A3">
              <w:t>27</w:t>
            </w:r>
          </w:p>
        </w:tc>
      </w:tr>
      <w:tr w:rsidR="00DE12A3" w:rsidRPr="00DE12A3" w14:paraId="0275152F" w14:textId="77777777" w:rsidTr="009F4766">
        <w:tc>
          <w:tcPr>
            <w:tcW w:w="1182" w:type="dxa"/>
            <w:tcBorders>
              <w:top w:val="single" w:sz="2" w:space="0" w:color="auto"/>
              <w:left w:val="single" w:sz="2" w:space="0" w:color="auto"/>
              <w:bottom w:val="single" w:sz="2" w:space="0" w:color="auto"/>
              <w:right w:val="single" w:sz="2" w:space="0" w:color="auto"/>
            </w:tcBorders>
          </w:tcPr>
          <w:p w14:paraId="329FB875" w14:textId="77777777" w:rsidR="009F4766" w:rsidRPr="00DE12A3" w:rsidRDefault="009F4766" w:rsidP="00C917D6">
            <w:pPr>
              <w:pStyle w:val="NormalLeft"/>
            </w:pPr>
            <w:r w:rsidRPr="00DE12A3">
              <w:t>1086</w:t>
            </w:r>
          </w:p>
        </w:tc>
        <w:tc>
          <w:tcPr>
            <w:tcW w:w="2489" w:type="dxa"/>
            <w:tcBorders>
              <w:top w:val="single" w:sz="2" w:space="0" w:color="auto"/>
              <w:left w:val="single" w:sz="2" w:space="0" w:color="auto"/>
              <w:bottom w:val="single" w:sz="2" w:space="0" w:color="auto"/>
              <w:right w:val="single" w:sz="2" w:space="0" w:color="auto"/>
            </w:tcBorders>
          </w:tcPr>
          <w:p w14:paraId="34742BCF" w14:textId="77777777" w:rsidR="009F4766" w:rsidRPr="00DE12A3" w:rsidRDefault="009F4766" w:rsidP="00C917D6">
            <w:pPr>
              <w:pStyle w:val="NormalLeft"/>
            </w:pPr>
            <w:r w:rsidRPr="00DE12A3">
              <w:t>93</w:t>
            </w:r>
          </w:p>
        </w:tc>
        <w:tc>
          <w:tcPr>
            <w:tcW w:w="2551" w:type="dxa"/>
            <w:tcBorders>
              <w:top w:val="single" w:sz="2" w:space="0" w:color="auto"/>
              <w:left w:val="single" w:sz="2" w:space="0" w:color="auto"/>
              <w:bottom w:val="single" w:sz="2" w:space="0" w:color="auto"/>
              <w:right w:val="single" w:sz="2" w:space="0" w:color="auto"/>
            </w:tcBorders>
          </w:tcPr>
          <w:p w14:paraId="67C16CBA" w14:textId="77777777" w:rsidR="009F4766" w:rsidRPr="00DE12A3" w:rsidRDefault="009F4766" w:rsidP="00C917D6">
            <w:pPr>
              <w:pStyle w:val="NormalLeft"/>
            </w:pPr>
            <w:r w:rsidRPr="00DE12A3">
              <w:t>26</w:t>
            </w:r>
          </w:p>
        </w:tc>
      </w:tr>
      <w:tr w:rsidR="00DE12A3" w:rsidRPr="00DE12A3" w14:paraId="6805152B" w14:textId="77777777" w:rsidTr="009F4766">
        <w:tc>
          <w:tcPr>
            <w:tcW w:w="1182" w:type="dxa"/>
            <w:tcBorders>
              <w:top w:val="single" w:sz="2" w:space="0" w:color="auto"/>
              <w:left w:val="single" w:sz="2" w:space="0" w:color="auto"/>
              <w:bottom w:val="single" w:sz="2" w:space="0" w:color="auto"/>
              <w:right w:val="single" w:sz="2" w:space="0" w:color="auto"/>
            </w:tcBorders>
          </w:tcPr>
          <w:p w14:paraId="60BA57FB" w14:textId="77777777" w:rsidR="009F4766" w:rsidRPr="00DE12A3" w:rsidRDefault="009F4766" w:rsidP="00C917D6">
            <w:pPr>
              <w:pStyle w:val="NormalLeft"/>
            </w:pPr>
            <w:r w:rsidRPr="00DE12A3">
              <w:t>1087</w:t>
            </w:r>
          </w:p>
        </w:tc>
        <w:tc>
          <w:tcPr>
            <w:tcW w:w="2489" w:type="dxa"/>
            <w:tcBorders>
              <w:top w:val="single" w:sz="2" w:space="0" w:color="auto"/>
              <w:left w:val="single" w:sz="2" w:space="0" w:color="auto"/>
              <w:bottom w:val="single" w:sz="2" w:space="0" w:color="auto"/>
              <w:right w:val="single" w:sz="2" w:space="0" w:color="auto"/>
            </w:tcBorders>
          </w:tcPr>
          <w:p w14:paraId="67CE22F5" w14:textId="77777777" w:rsidR="009F4766" w:rsidRPr="00DE12A3" w:rsidRDefault="009F4766" w:rsidP="00C917D6">
            <w:pPr>
              <w:pStyle w:val="NormalLeft"/>
            </w:pPr>
            <w:r w:rsidRPr="00DE12A3">
              <w:t>93</w:t>
            </w:r>
          </w:p>
        </w:tc>
        <w:tc>
          <w:tcPr>
            <w:tcW w:w="2551" w:type="dxa"/>
            <w:tcBorders>
              <w:top w:val="single" w:sz="2" w:space="0" w:color="auto"/>
              <w:left w:val="single" w:sz="2" w:space="0" w:color="auto"/>
              <w:bottom w:val="single" w:sz="2" w:space="0" w:color="auto"/>
              <w:right w:val="single" w:sz="2" w:space="0" w:color="auto"/>
            </w:tcBorders>
          </w:tcPr>
          <w:p w14:paraId="6A1FFBA0" w14:textId="77777777" w:rsidR="009F4766" w:rsidRPr="00DE12A3" w:rsidRDefault="009F4766" w:rsidP="00C917D6">
            <w:pPr>
              <w:pStyle w:val="NormalLeft"/>
            </w:pPr>
            <w:r w:rsidRPr="00DE12A3">
              <w:t>24</w:t>
            </w:r>
          </w:p>
        </w:tc>
      </w:tr>
      <w:tr w:rsidR="00DE12A3" w:rsidRPr="00DE12A3" w14:paraId="5DA98A17" w14:textId="77777777" w:rsidTr="009F4766">
        <w:tc>
          <w:tcPr>
            <w:tcW w:w="1182" w:type="dxa"/>
            <w:tcBorders>
              <w:top w:val="single" w:sz="2" w:space="0" w:color="auto"/>
              <w:left w:val="single" w:sz="2" w:space="0" w:color="auto"/>
              <w:bottom w:val="single" w:sz="2" w:space="0" w:color="auto"/>
              <w:right w:val="single" w:sz="2" w:space="0" w:color="auto"/>
            </w:tcBorders>
          </w:tcPr>
          <w:p w14:paraId="260A0FFA" w14:textId="77777777" w:rsidR="009F4766" w:rsidRPr="00DE12A3" w:rsidRDefault="009F4766" w:rsidP="00C917D6">
            <w:pPr>
              <w:pStyle w:val="NormalLeft"/>
            </w:pPr>
            <w:r w:rsidRPr="00DE12A3">
              <w:t>1088</w:t>
            </w:r>
          </w:p>
        </w:tc>
        <w:tc>
          <w:tcPr>
            <w:tcW w:w="2489" w:type="dxa"/>
            <w:tcBorders>
              <w:top w:val="single" w:sz="2" w:space="0" w:color="auto"/>
              <w:left w:val="single" w:sz="2" w:space="0" w:color="auto"/>
              <w:bottom w:val="single" w:sz="2" w:space="0" w:color="auto"/>
              <w:right w:val="single" w:sz="2" w:space="0" w:color="auto"/>
            </w:tcBorders>
          </w:tcPr>
          <w:p w14:paraId="6B13BF3C" w14:textId="77777777" w:rsidR="009F4766" w:rsidRPr="00DE12A3" w:rsidRDefault="009F4766" w:rsidP="00C917D6">
            <w:pPr>
              <w:pStyle w:val="NormalLeft"/>
            </w:pPr>
            <w:r w:rsidRPr="00DE12A3">
              <w:t>93</w:t>
            </w:r>
          </w:p>
        </w:tc>
        <w:tc>
          <w:tcPr>
            <w:tcW w:w="2551" w:type="dxa"/>
            <w:tcBorders>
              <w:top w:val="single" w:sz="2" w:space="0" w:color="auto"/>
              <w:left w:val="single" w:sz="2" w:space="0" w:color="auto"/>
              <w:bottom w:val="single" w:sz="2" w:space="0" w:color="auto"/>
              <w:right w:val="single" w:sz="2" w:space="0" w:color="auto"/>
            </w:tcBorders>
          </w:tcPr>
          <w:p w14:paraId="6F9C63B2" w14:textId="77777777" w:rsidR="009F4766" w:rsidRPr="00DE12A3" w:rsidRDefault="009F4766" w:rsidP="00C917D6">
            <w:pPr>
              <w:pStyle w:val="NormalLeft"/>
            </w:pPr>
            <w:r w:rsidRPr="00DE12A3">
              <w:t>22</w:t>
            </w:r>
          </w:p>
        </w:tc>
      </w:tr>
      <w:tr w:rsidR="00DE12A3" w:rsidRPr="00DE12A3" w14:paraId="2EAC5236" w14:textId="77777777" w:rsidTr="009F4766">
        <w:tc>
          <w:tcPr>
            <w:tcW w:w="1182" w:type="dxa"/>
            <w:tcBorders>
              <w:top w:val="single" w:sz="2" w:space="0" w:color="auto"/>
              <w:left w:val="single" w:sz="2" w:space="0" w:color="auto"/>
              <w:bottom w:val="single" w:sz="2" w:space="0" w:color="auto"/>
              <w:right w:val="single" w:sz="2" w:space="0" w:color="auto"/>
            </w:tcBorders>
          </w:tcPr>
          <w:p w14:paraId="4C2379E2" w14:textId="77777777" w:rsidR="009F4766" w:rsidRPr="00DE12A3" w:rsidRDefault="009F4766" w:rsidP="00C917D6">
            <w:pPr>
              <w:pStyle w:val="NormalLeft"/>
            </w:pPr>
            <w:r w:rsidRPr="00DE12A3">
              <w:t>1089</w:t>
            </w:r>
          </w:p>
        </w:tc>
        <w:tc>
          <w:tcPr>
            <w:tcW w:w="2489" w:type="dxa"/>
            <w:tcBorders>
              <w:top w:val="single" w:sz="2" w:space="0" w:color="auto"/>
              <w:left w:val="single" w:sz="2" w:space="0" w:color="auto"/>
              <w:bottom w:val="single" w:sz="2" w:space="0" w:color="auto"/>
              <w:right w:val="single" w:sz="2" w:space="0" w:color="auto"/>
            </w:tcBorders>
          </w:tcPr>
          <w:p w14:paraId="0807B1AA" w14:textId="77777777" w:rsidR="009F4766" w:rsidRPr="00DE12A3" w:rsidRDefault="009F4766" w:rsidP="00C917D6">
            <w:pPr>
              <w:pStyle w:val="NormalLeft"/>
            </w:pPr>
            <w:r w:rsidRPr="00DE12A3">
              <w:t>93</w:t>
            </w:r>
          </w:p>
        </w:tc>
        <w:tc>
          <w:tcPr>
            <w:tcW w:w="2551" w:type="dxa"/>
            <w:tcBorders>
              <w:top w:val="single" w:sz="2" w:space="0" w:color="auto"/>
              <w:left w:val="single" w:sz="2" w:space="0" w:color="auto"/>
              <w:bottom w:val="single" w:sz="2" w:space="0" w:color="auto"/>
              <w:right w:val="single" w:sz="2" w:space="0" w:color="auto"/>
            </w:tcBorders>
          </w:tcPr>
          <w:p w14:paraId="2A378314" w14:textId="77777777" w:rsidR="009F4766" w:rsidRPr="00DE12A3" w:rsidRDefault="009F4766" w:rsidP="00C917D6">
            <w:pPr>
              <w:pStyle w:val="NormalLeft"/>
            </w:pPr>
            <w:r w:rsidRPr="00DE12A3">
              <w:t>22</w:t>
            </w:r>
          </w:p>
        </w:tc>
      </w:tr>
      <w:tr w:rsidR="00DE12A3" w:rsidRPr="00DE12A3" w14:paraId="60670583" w14:textId="77777777" w:rsidTr="009F4766">
        <w:tc>
          <w:tcPr>
            <w:tcW w:w="1182" w:type="dxa"/>
            <w:tcBorders>
              <w:top w:val="single" w:sz="2" w:space="0" w:color="auto"/>
              <w:left w:val="single" w:sz="2" w:space="0" w:color="auto"/>
              <w:bottom w:val="single" w:sz="2" w:space="0" w:color="auto"/>
              <w:right w:val="single" w:sz="2" w:space="0" w:color="auto"/>
            </w:tcBorders>
          </w:tcPr>
          <w:p w14:paraId="23DAA115" w14:textId="77777777" w:rsidR="009F4766" w:rsidRPr="00DE12A3" w:rsidRDefault="009F4766" w:rsidP="00C917D6">
            <w:pPr>
              <w:pStyle w:val="NormalLeft"/>
            </w:pPr>
            <w:r w:rsidRPr="00DE12A3">
              <w:t>1090</w:t>
            </w:r>
          </w:p>
        </w:tc>
        <w:tc>
          <w:tcPr>
            <w:tcW w:w="2489" w:type="dxa"/>
            <w:tcBorders>
              <w:top w:val="single" w:sz="2" w:space="0" w:color="auto"/>
              <w:left w:val="single" w:sz="2" w:space="0" w:color="auto"/>
              <w:bottom w:val="single" w:sz="2" w:space="0" w:color="auto"/>
              <w:right w:val="single" w:sz="2" w:space="0" w:color="auto"/>
            </w:tcBorders>
          </w:tcPr>
          <w:p w14:paraId="156276B4" w14:textId="77777777" w:rsidR="009F4766" w:rsidRPr="00DE12A3" w:rsidRDefault="009F4766" w:rsidP="00C917D6">
            <w:pPr>
              <w:pStyle w:val="NormalLeft"/>
            </w:pPr>
            <w:r w:rsidRPr="00DE12A3">
              <w:t>93</w:t>
            </w:r>
          </w:p>
        </w:tc>
        <w:tc>
          <w:tcPr>
            <w:tcW w:w="2551" w:type="dxa"/>
            <w:tcBorders>
              <w:top w:val="single" w:sz="2" w:space="0" w:color="auto"/>
              <w:left w:val="single" w:sz="2" w:space="0" w:color="auto"/>
              <w:bottom w:val="single" w:sz="2" w:space="0" w:color="auto"/>
              <w:right w:val="single" w:sz="2" w:space="0" w:color="auto"/>
            </w:tcBorders>
          </w:tcPr>
          <w:p w14:paraId="7D708338" w14:textId="77777777" w:rsidR="009F4766" w:rsidRPr="00DE12A3" w:rsidRDefault="009F4766" w:rsidP="00C917D6">
            <w:pPr>
              <w:pStyle w:val="NormalLeft"/>
            </w:pPr>
            <w:r w:rsidRPr="00DE12A3">
              <w:t>22</w:t>
            </w:r>
          </w:p>
        </w:tc>
      </w:tr>
      <w:tr w:rsidR="00DE12A3" w:rsidRPr="00DE12A3" w14:paraId="0CB2A3D1" w14:textId="77777777" w:rsidTr="009F4766">
        <w:tc>
          <w:tcPr>
            <w:tcW w:w="1182" w:type="dxa"/>
            <w:tcBorders>
              <w:top w:val="single" w:sz="2" w:space="0" w:color="auto"/>
              <w:left w:val="single" w:sz="2" w:space="0" w:color="auto"/>
              <w:bottom w:val="single" w:sz="2" w:space="0" w:color="auto"/>
              <w:right w:val="single" w:sz="2" w:space="0" w:color="auto"/>
            </w:tcBorders>
          </w:tcPr>
          <w:p w14:paraId="6B4B4A54" w14:textId="77777777" w:rsidR="009F4766" w:rsidRPr="00DE12A3" w:rsidRDefault="009F4766" w:rsidP="00C917D6">
            <w:pPr>
              <w:pStyle w:val="NormalLeft"/>
            </w:pPr>
            <w:r w:rsidRPr="00DE12A3">
              <w:t>1091</w:t>
            </w:r>
          </w:p>
        </w:tc>
        <w:tc>
          <w:tcPr>
            <w:tcW w:w="2489" w:type="dxa"/>
            <w:tcBorders>
              <w:top w:val="single" w:sz="2" w:space="0" w:color="auto"/>
              <w:left w:val="single" w:sz="2" w:space="0" w:color="auto"/>
              <w:bottom w:val="single" w:sz="2" w:space="0" w:color="auto"/>
              <w:right w:val="single" w:sz="2" w:space="0" w:color="auto"/>
            </w:tcBorders>
          </w:tcPr>
          <w:p w14:paraId="426F6D41" w14:textId="77777777" w:rsidR="009F4766" w:rsidRPr="00DE12A3" w:rsidRDefault="009F4766" w:rsidP="00C917D6">
            <w:pPr>
              <w:pStyle w:val="NormalLeft"/>
            </w:pPr>
            <w:r w:rsidRPr="00DE12A3">
              <w:t>93</w:t>
            </w:r>
          </w:p>
        </w:tc>
        <w:tc>
          <w:tcPr>
            <w:tcW w:w="2551" w:type="dxa"/>
            <w:tcBorders>
              <w:top w:val="single" w:sz="2" w:space="0" w:color="auto"/>
              <w:left w:val="single" w:sz="2" w:space="0" w:color="auto"/>
              <w:bottom w:val="single" w:sz="2" w:space="0" w:color="auto"/>
              <w:right w:val="single" w:sz="2" w:space="0" w:color="auto"/>
            </w:tcBorders>
          </w:tcPr>
          <w:p w14:paraId="47BF3074" w14:textId="77777777" w:rsidR="009F4766" w:rsidRPr="00DE12A3" w:rsidRDefault="009F4766" w:rsidP="00C917D6">
            <w:pPr>
              <w:pStyle w:val="NormalLeft"/>
            </w:pPr>
            <w:r w:rsidRPr="00DE12A3">
              <w:t>23</w:t>
            </w:r>
          </w:p>
        </w:tc>
      </w:tr>
      <w:tr w:rsidR="00DE12A3" w:rsidRPr="00DE12A3" w14:paraId="13C90079" w14:textId="77777777" w:rsidTr="009F4766">
        <w:tc>
          <w:tcPr>
            <w:tcW w:w="1182" w:type="dxa"/>
            <w:tcBorders>
              <w:top w:val="single" w:sz="2" w:space="0" w:color="auto"/>
              <w:left w:val="single" w:sz="2" w:space="0" w:color="auto"/>
              <w:bottom w:val="single" w:sz="2" w:space="0" w:color="auto"/>
              <w:right w:val="single" w:sz="2" w:space="0" w:color="auto"/>
            </w:tcBorders>
          </w:tcPr>
          <w:p w14:paraId="3C433BF4" w14:textId="77777777" w:rsidR="009F4766" w:rsidRPr="00DE12A3" w:rsidRDefault="009F4766" w:rsidP="00C917D6">
            <w:pPr>
              <w:pStyle w:val="NormalLeft"/>
            </w:pPr>
            <w:r w:rsidRPr="00DE12A3">
              <w:t>1092</w:t>
            </w:r>
          </w:p>
        </w:tc>
        <w:tc>
          <w:tcPr>
            <w:tcW w:w="2489" w:type="dxa"/>
            <w:tcBorders>
              <w:top w:val="single" w:sz="2" w:space="0" w:color="auto"/>
              <w:left w:val="single" w:sz="2" w:space="0" w:color="auto"/>
              <w:bottom w:val="single" w:sz="2" w:space="0" w:color="auto"/>
              <w:right w:val="single" w:sz="2" w:space="0" w:color="auto"/>
            </w:tcBorders>
          </w:tcPr>
          <w:p w14:paraId="7A5FCDDD" w14:textId="77777777" w:rsidR="009F4766" w:rsidRPr="00DE12A3" w:rsidRDefault="009F4766" w:rsidP="00C917D6">
            <w:pPr>
              <w:pStyle w:val="NormalLeft"/>
            </w:pPr>
            <w:r w:rsidRPr="00DE12A3">
              <w:t>93</w:t>
            </w:r>
          </w:p>
        </w:tc>
        <w:tc>
          <w:tcPr>
            <w:tcW w:w="2551" w:type="dxa"/>
            <w:tcBorders>
              <w:top w:val="single" w:sz="2" w:space="0" w:color="auto"/>
              <w:left w:val="single" w:sz="2" w:space="0" w:color="auto"/>
              <w:bottom w:val="single" w:sz="2" w:space="0" w:color="auto"/>
              <w:right w:val="single" w:sz="2" w:space="0" w:color="auto"/>
            </w:tcBorders>
          </w:tcPr>
          <w:p w14:paraId="48698967" w14:textId="77777777" w:rsidR="009F4766" w:rsidRPr="00DE12A3" w:rsidRDefault="009F4766" w:rsidP="00C917D6">
            <w:pPr>
              <w:pStyle w:val="NormalLeft"/>
            </w:pPr>
            <w:r w:rsidRPr="00DE12A3">
              <w:t>22</w:t>
            </w:r>
          </w:p>
        </w:tc>
      </w:tr>
      <w:tr w:rsidR="00DE12A3" w:rsidRPr="00DE12A3" w14:paraId="01DAB4B1" w14:textId="77777777" w:rsidTr="009F4766">
        <w:tc>
          <w:tcPr>
            <w:tcW w:w="1182" w:type="dxa"/>
            <w:tcBorders>
              <w:top w:val="single" w:sz="2" w:space="0" w:color="auto"/>
              <w:left w:val="single" w:sz="2" w:space="0" w:color="auto"/>
              <w:bottom w:val="single" w:sz="2" w:space="0" w:color="auto"/>
              <w:right w:val="single" w:sz="2" w:space="0" w:color="auto"/>
            </w:tcBorders>
          </w:tcPr>
          <w:p w14:paraId="2123E372" w14:textId="77777777" w:rsidR="009F4766" w:rsidRPr="00DE12A3" w:rsidRDefault="009F4766" w:rsidP="00C917D6">
            <w:pPr>
              <w:pStyle w:val="NormalLeft"/>
            </w:pPr>
            <w:r w:rsidRPr="00DE12A3">
              <w:t>1093</w:t>
            </w:r>
          </w:p>
        </w:tc>
        <w:tc>
          <w:tcPr>
            <w:tcW w:w="2489" w:type="dxa"/>
            <w:tcBorders>
              <w:top w:val="single" w:sz="2" w:space="0" w:color="auto"/>
              <w:left w:val="single" w:sz="2" w:space="0" w:color="auto"/>
              <w:bottom w:val="single" w:sz="2" w:space="0" w:color="auto"/>
              <w:right w:val="single" w:sz="2" w:space="0" w:color="auto"/>
            </w:tcBorders>
          </w:tcPr>
          <w:p w14:paraId="78D95CCF" w14:textId="77777777" w:rsidR="009F4766" w:rsidRPr="00DE12A3" w:rsidRDefault="009F4766" w:rsidP="00C917D6">
            <w:pPr>
              <w:pStyle w:val="NormalLeft"/>
            </w:pPr>
            <w:r w:rsidRPr="00DE12A3">
              <w:t>93</w:t>
            </w:r>
          </w:p>
        </w:tc>
        <w:tc>
          <w:tcPr>
            <w:tcW w:w="2551" w:type="dxa"/>
            <w:tcBorders>
              <w:top w:val="single" w:sz="2" w:space="0" w:color="auto"/>
              <w:left w:val="single" w:sz="2" w:space="0" w:color="auto"/>
              <w:bottom w:val="single" w:sz="2" w:space="0" w:color="auto"/>
              <w:right w:val="single" w:sz="2" w:space="0" w:color="auto"/>
            </w:tcBorders>
          </w:tcPr>
          <w:p w14:paraId="45CA6D95" w14:textId="77777777" w:rsidR="009F4766" w:rsidRPr="00DE12A3" w:rsidRDefault="009F4766" w:rsidP="00C917D6">
            <w:pPr>
              <w:pStyle w:val="NormalLeft"/>
            </w:pPr>
            <w:r w:rsidRPr="00DE12A3">
              <w:t>22</w:t>
            </w:r>
          </w:p>
        </w:tc>
      </w:tr>
      <w:tr w:rsidR="00DE12A3" w:rsidRPr="00DE12A3" w14:paraId="7723B980" w14:textId="77777777" w:rsidTr="009F4766">
        <w:tc>
          <w:tcPr>
            <w:tcW w:w="1182" w:type="dxa"/>
            <w:tcBorders>
              <w:top w:val="single" w:sz="2" w:space="0" w:color="auto"/>
              <w:left w:val="single" w:sz="2" w:space="0" w:color="auto"/>
              <w:bottom w:val="single" w:sz="2" w:space="0" w:color="auto"/>
              <w:right w:val="single" w:sz="2" w:space="0" w:color="auto"/>
            </w:tcBorders>
          </w:tcPr>
          <w:p w14:paraId="3E528952" w14:textId="77777777" w:rsidR="009F4766" w:rsidRPr="00DE12A3" w:rsidRDefault="009F4766" w:rsidP="00C917D6">
            <w:pPr>
              <w:pStyle w:val="NormalLeft"/>
            </w:pPr>
            <w:r w:rsidRPr="00DE12A3">
              <w:t>1094</w:t>
            </w:r>
          </w:p>
        </w:tc>
        <w:tc>
          <w:tcPr>
            <w:tcW w:w="2489" w:type="dxa"/>
            <w:tcBorders>
              <w:top w:val="single" w:sz="2" w:space="0" w:color="auto"/>
              <w:left w:val="single" w:sz="2" w:space="0" w:color="auto"/>
              <w:bottom w:val="single" w:sz="2" w:space="0" w:color="auto"/>
              <w:right w:val="single" w:sz="2" w:space="0" w:color="auto"/>
            </w:tcBorders>
          </w:tcPr>
          <w:p w14:paraId="7F6AF045" w14:textId="77777777" w:rsidR="009F4766" w:rsidRPr="00DE12A3" w:rsidRDefault="009F4766" w:rsidP="00C917D6">
            <w:pPr>
              <w:pStyle w:val="NormalLeft"/>
            </w:pPr>
            <w:r w:rsidRPr="00DE12A3">
              <w:t>93</w:t>
            </w:r>
          </w:p>
        </w:tc>
        <w:tc>
          <w:tcPr>
            <w:tcW w:w="2551" w:type="dxa"/>
            <w:tcBorders>
              <w:top w:val="single" w:sz="2" w:space="0" w:color="auto"/>
              <w:left w:val="single" w:sz="2" w:space="0" w:color="auto"/>
              <w:bottom w:val="single" w:sz="2" w:space="0" w:color="auto"/>
              <w:right w:val="single" w:sz="2" w:space="0" w:color="auto"/>
            </w:tcBorders>
          </w:tcPr>
          <w:p w14:paraId="449083F9" w14:textId="77777777" w:rsidR="009F4766" w:rsidRPr="00DE12A3" w:rsidRDefault="009F4766" w:rsidP="00C917D6">
            <w:pPr>
              <w:pStyle w:val="NormalLeft"/>
            </w:pPr>
            <w:r w:rsidRPr="00DE12A3">
              <w:t>23</w:t>
            </w:r>
          </w:p>
        </w:tc>
      </w:tr>
      <w:tr w:rsidR="00DE12A3" w:rsidRPr="00DE12A3" w14:paraId="62000726" w14:textId="77777777" w:rsidTr="009F4766">
        <w:tc>
          <w:tcPr>
            <w:tcW w:w="1182" w:type="dxa"/>
            <w:tcBorders>
              <w:top w:val="single" w:sz="2" w:space="0" w:color="auto"/>
              <w:left w:val="single" w:sz="2" w:space="0" w:color="auto"/>
              <w:bottom w:val="single" w:sz="2" w:space="0" w:color="auto"/>
              <w:right w:val="single" w:sz="2" w:space="0" w:color="auto"/>
            </w:tcBorders>
          </w:tcPr>
          <w:p w14:paraId="30905FBB" w14:textId="77777777" w:rsidR="009F4766" w:rsidRPr="00DE12A3" w:rsidRDefault="009F4766" w:rsidP="00C917D6">
            <w:pPr>
              <w:pStyle w:val="NormalLeft"/>
            </w:pPr>
            <w:r w:rsidRPr="00DE12A3">
              <w:t>1095</w:t>
            </w:r>
          </w:p>
        </w:tc>
        <w:tc>
          <w:tcPr>
            <w:tcW w:w="2489" w:type="dxa"/>
            <w:tcBorders>
              <w:top w:val="single" w:sz="2" w:space="0" w:color="auto"/>
              <w:left w:val="single" w:sz="2" w:space="0" w:color="auto"/>
              <w:bottom w:val="single" w:sz="2" w:space="0" w:color="auto"/>
              <w:right w:val="single" w:sz="2" w:space="0" w:color="auto"/>
            </w:tcBorders>
          </w:tcPr>
          <w:p w14:paraId="2DB56911" w14:textId="77777777" w:rsidR="009F4766" w:rsidRPr="00DE12A3" w:rsidRDefault="009F4766" w:rsidP="00C917D6">
            <w:pPr>
              <w:pStyle w:val="NormalLeft"/>
            </w:pPr>
            <w:r w:rsidRPr="00DE12A3">
              <w:t>93</w:t>
            </w:r>
          </w:p>
        </w:tc>
        <w:tc>
          <w:tcPr>
            <w:tcW w:w="2551" w:type="dxa"/>
            <w:tcBorders>
              <w:top w:val="single" w:sz="2" w:space="0" w:color="auto"/>
              <w:left w:val="single" w:sz="2" w:space="0" w:color="auto"/>
              <w:bottom w:val="single" w:sz="2" w:space="0" w:color="auto"/>
              <w:right w:val="single" w:sz="2" w:space="0" w:color="auto"/>
            </w:tcBorders>
          </w:tcPr>
          <w:p w14:paraId="238C8CBD" w14:textId="77777777" w:rsidR="009F4766" w:rsidRPr="00DE12A3" w:rsidRDefault="009F4766" w:rsidP="00C917D6">
            <w:pPr>
              <w:pStyle w:val="NormalLeft"/>
            </w:pPr>
            <w:r w:rsidRPr="00DE12A3">
              <w:t>23</w:t>
            </w:r>
          </w:p>
        </w:tc>
      </w:tr>
      <w:tr w:rsidR="00DE12A3" w:rsidRPr="00DE12A3" w14:paraId="7E779A8D" w14:textId="77777777" w:rsidTr="009F4766">
        <w:tc>
          <w:tcPr>
            <w:tcW w:w="1182" w:type="dxa"/>
            <w:tcBorders>
              <w:top w:val="single" w:sz="2" w:space="0" w:color="auto"/>
              <w:left w:val="single" w:sz="2" w:space="0" w:color="auto"/>
              <w:bottom w:val="single" w:sz="2" w:space="0" w:color="auto"/>
              <w:right w:val="single" w:sz="2" w:space="0" w:color="auto"/>
            </w:tcBorders>
          </w:tcPr>
          <w:p w14:paraId="361F2A80" w14:textId="77777777" w:rsidR="009F4766" w:rsidRPr="00DE12A3" w:rsidRDefault="009F4766" w:rsidP="00C917D6">
            <w:pPr>
              <w:pStyle w:val="NormalLeft"/>
            </w:pPr>
            <w:r w:rsidRPr="00DE12A3">
              <w:t>1096</w:t>
            </w:r>
          </w:p>
        </w:tc>
        <w:tc>
          <w:tcPr>
            <w:tcW w:w="2489" w:type="dxa"/>
            <w:tcBorders>
              <w:top w:val="single" w:sz="2" w:space="0" w:color="auto"/>
              <w:left w:val="single" w:sz="2" w:space="0" w:color="auto"/>
              <w:bottom w:val="single" w:sz="2" w:space="0" w:color="auto"/>
              <w:right w:val="single" w:sz="2" w:space="0" w:color="auto"/>
            </w:tcBorders>
          </w:tcPr>
          <w:p w14:paraId="64AE4757" w14:textId="77777777" w:rsidR="009F4766" w:rsidRPr="00DE12A3" w:rsidRDefault="009F4766" w:rsidP="00C917D6">
            <w:pPr>
              <w:pStyle w:val="NormalLeft"/>
            </w:pPr>
            <w:r w:rsidRPr="00DE12A3">
              <w:t>93</w:t>
            </w:r>
          </w:p>
        </w:tc>
        <w:tc>
          <w:tcPr>
            <w:tcW w:w="2551" w:type="dxa"/>
            <w:tcBorders>
              <w:top w:val="single" w:sz="2" w:space="0" w:color="auto"/>
              <w:left w:val="single" w:sz="2" w:space="0" w:color="auto"/>
              <w:bottom w:val="single" w:sz="2" w:space="0" w:color="auto"/>
              <w:right w:val="single" w:sz="2" w:space="0" w:color="auto"/>
            </w:tcBorders>
          </w:tcPr>
          <w:p w14:paraId="0CF3C274" w14:textId="77777777" w:rsidR="009F4766" w:rsidRPr="00DE12A3" w:rsidRDefault="009F4766" w:rsidP="00C917D6">
            <w:pPr>
              <w:pStyle w:val="NormalLeft"/>
            </w:pPr>
            <w:r w:rsidRPr="00DE12A3">
              <w:t>23</w:t>
            </w:r>
          </w:p>
        </w:tc>
      </w:tr>
      <w:tr w:rsidR="00DE12A3" w:rsidRPr="00DE12A3" w14:paraId="5533F490" w14:textId="77777777" w:rsidTr="009F4766">
        <w:tc>
          <w:tcPr>
            <w:tcW w:w="1182" w:type="dxa"/>
            <w:tcBorders>
              <w:top w:val="single" w:sz="2" w:space="0" w:color="auto"/>
              <w:left w:val="single" w:sz="2" w:space="0" w:color="auto"/>
              <w:bottom w:val="single" w:sz="2" w:space="0" w:color="auto"/>
              <w:right w:val="single" w:sz="2" w:space="0" w:color="auto"/>
            </w:tcBorders>
          </w:tcPr>
          <w:p w14:paraId="4D711F30" w14:textId="77777777" w:rsidR="009F4766" w:rsidRPr="00DE12A3" w:rsidRDefault="009F4766" w:rsidP="00C917D6">
            <w:pPr>
              <w:pStyle w:val="NormalLeft"/>
            </w:pPr>
            <w:r w:rsidRPr="00DE12A3">
              <w:t>1097</w:t>
            </w:r>
          </w:p>
        </w:tc>
        <w:tc>
          <w:tcPr>
            <w:tcW w:w="2489" w:type="dxa"/>
            <w:tcBorders>
              <w:top w:val="single" w:sz="2" w:space="0" w:color="auto"/>
              <w:left w:val="single" w:sz="2" w:space="0" w:color="auto"/>
              <w:bottom w:val="single" w:sz="2" w:space="0" w:color="auto"/>
              <w:right w:val="single" w:sz="2" w:space="0" w:color="auto"/>
            </w:tcBorders>
          </w:tcPr>
          <w:p w14:paraId="07C659F8" w14:textId="77777777" w:rsidR="009F4766" w:rsidRPr="00DE12A3" w:rsidRDefault="009F4766" w:rsidP="00C917D6">
            <w:pPr>
              <w:pStyle w:val="NormalLeft"/>
            </w:pPr>
            <w:r w:rsidRPr="00DE12A3">
              <w:t>93</w:t>
            </w:r>
          </w:p>
        </w:tc>
        <w:tc>
          <w:tcPr>
            <w:tcW w:w="2551" w:type="dxa"/>
            <w:tcBorders>
              <w:top w:val="single" w:sz="2" w:space="0" w:color="auto"/>
              <w:left w:val="single" w:sz="2" w:space="0" w:color="auto"/>
              <w:bottom w:val="single" w:sz="2" w:space="0" w:color="auto"/>
              <w:right w:val="single" w:sz="2" w:space="0" w:color="auto"/>
            </w:tcBorders>
          </w:tcPr>
          <w:p w14:paraId="5F76374A" w14:textId="77777777" w:rsidR="009F4766" w:rsidRPr="00DE12A3" w:rsidRDefault="009F4766" w:rsidP="00C917D6">
            <w:pPr>
              <w:pStyle w:val="NormalLeft"/>
            </w:pPr>
            <w:r w:rsidRPr="00DE12A3">
              <w:t>22</w:t>
            </w:r>
          </w:p>
        </w:tc>
      </w:tr>
      <w:tr w:rsidR="00DE12A3" w:rsidRPr="00DE12A3" w14:paraId="4D527546" w14:textId="77777777" w:rsidTr="009F4766">
        <w:tc>
          <w:tcPr>
            <w:tcW w:w="1182" w:type="dxa"/>
            <w:tcBorders>
              <w:top w:val="single" w:sz="2" w:space="0" w:color="auto"/>
              <w:left w:val="single" w:sz="2" w:space="0" w:color="auto"/>
              <w:bottom w:val="single" w:sz="2" w:space="0" w:color="auto"/>
              <w:right w:val="single" w:sz="2" w:space="0" w:color="auto"/>
            </w:tcBorders>
          </w:tcPr>
          <w:p w14:paraId="453A1A9E" w14:textId="77777777" w:rsidR="009F4766" w:rsidRPr="00DE12A3" w:rsidRDefault="009F4766" w:rsidP="00C917D6">
            <w:pPr>
              <w:pStyle w:val="NormalLeft"/>
            </w:pPr>
            <w:r w:rsidRPr="00DE12A3">
              <w:t>1098</w:t>
            </w:r>
          </w:p>
        </w:tc>
        <w:tc>
          <w:tcPr>
            <w:tcW w:w="2489" w:type="dxa"/>
            <w:tcBorders>
              <w:top w:val="single" w:sz="2" w:space="0" w:color="auto"/>
              <w:left w:val="single" w:sz="2" w:space="0" w:color="auto"/>
              <w:bottom w:val="single" w:sz="2" w:space="0" w:color="auto"/>
              <w:right w:val="single" w:sz="2" w:space="0" w:color="auto"/>
            </w:tcBorders>
          </w:tcPr>
          <w:p w14:paraId="611C0539" w14:textId="77777777" w:rsidR="009F4766" w:rsidRPr="00DE12A3" w:rsidRDefault="009F4766" w:rsidP="00C917D6">
            <w:pPr>
              <w:pStyle w:val="NormalLeft"/>
            </w:pPr>
            <w:r w:rsidRPr="00DE12A3">
              <w:t>93</w:t>
            </w:r>
          </w:p>
        </w:tc>
        <w:tc>
          <w:tcPr>
            <w:tcW w:w="2551" w:type="dxa"/>
            <w:tcBorders>
              <w:top w:val="single" w:sz="2" w:space="0" w:color="auto"/>
              <w:left w:val="single" w:sz="2" w:space="0" w:color="auto"/>
              <w:bottom w:val="single" w:sz="2" w:space="0" w:color="auto"/>
              <w:right w:val="single" w:sz="2" w:space="0" w:color="auto"/>
            </w:tcBorders>
          </w:tcPr>
          <w:p w14:paraId="0B015625" w14:textId="77777777" w:rsidR="009F4766" w:rsidRPr="00DE12A3" w:rsidRDefault="009F4766" w:rsidP="00C917D6">
            <w:pPr>
              <w:pStyle w:val="NormalLeft"/>
            </w:pPr>
            <w:r w:rsidRPr="00DE12A3">
              <w:t>23</w:t>
            </w:r>
          </w:p>
        </w:tc>
      </w:tr>
      <w:tr w:rsidR="00DE12A3" w:rsidRPr="00DE12A3" w14:paraId="67BBE7C9" w14:textId="77777777" w:rsidTr="009F4766">
        <w:tc>
          <w:tcPr>
            <w:tcW w:w="1182" w:type="dxa"/>
            <w:tcBorders>
              <w:top w:val="single" w:sz="2" w:space="0" w:color="auto"/>
              <w:left w:val="single" w:sz="2" w:space="0" w:color="auto"/>
              <w:bottom w:val="single" w:sz="2" w:space="0" w:color="auto"/>
              <w:right w:val="single" w:sz="2" w:space="0" w:color="auto"/>
            </w:tcBorders>
          </w:tcPr>
          <w:p w14:paraId="6F69E23B" w14:textId="77777777" w:rsidR="009F4766" w:rsidRPr="00DE12A3" w:rsidRDefault="009F4766" w:rsidP="00C917D6">
            <w:pPr>
              <w:pStyle w:val="NormalLeft"/>
            </w:pPr>
            <w:r w:rsidRPr="00DE12A3">
              <w:t>1099</w:t>
            </w:r>
          </w:p>
        </w:tc>
        <w:tc>
          <w:tcPr>
            <w:tcW w:w="2489" w:type="dxa"/>
            <w:tcBorders>
              <w:top w:val="single" w:sz="2" w:space="0" w:color="auto"/>
              <w:left w:val="single" w:sz="2" w:space="0" w:color="auto"/>
              <w:bottom w:val="single" w:sz="2" w:space="0" w:color="auto"/>
              <w:right w:val="single" w:sz="2" w:space="0" w:color="auto"/>
            </w:tcBorders>
          </w:tcPr>
          <w:p w14:paraId="4C18EF8A" w14:textId="77777777" w:rsidR="009F4766" w:rsidRPr="00DE12A3" w:rsidRDefault="009F4766" w:rsidP="00C917D6">
            <w:pPr>
              <w:pStyle w:val="NormalLeft"/>
            </w:pPr>
            <w:r w:rsidRPr="00DE12A3">
              <w:t>93</w:t>
            </w:r>
          </w:p>
        </w:tc>
        <w:tc>
          <w:tcPr>
            <w:tcW w:w="2551" w:type="dxa"/>
            <w:tcBorders>
              <w:top w:val="single" w:sz="2" w:space="0" w:color="auto"/>
              <w:left w:val="single" w:sz="2" w:space="0" w:color="auto"/>
              <w:bottom w:val="single" w:sz="2" w:space="0" w:color="auto"/>
              <w:right w:val="single" w:sz="2" w:space="0" w:color="auto"/>
            </w:tcBorders>
          </w:tcPr>
          <w:p w14:paraId="73AA4F94" w14:textId="77777777" w:rsidR="009F4766" w:rsidRPr="00DE12A3" w:rsidRDefault="009F4766" w:rsidP="00C917D6">
            <w:pPr>
              <w:pStyle w:val="NormalLeft"/>
            </w:pPr>
            <w:r w:rsidRPr="00DE12A3">
              <w:t>23</w:t>
            </w:r>
          </w:p>
        </w:tc>
      </w:tr>
      <w:tr w:rsidR="00DE12A3" w:rsidRPr="00DE12A3" w14:paraId="24FFF027" w14:textId="77777777" w:rsidTr="009F4766">
        <w:tc>
          <w:tcPr>
            <w:tcW w:w="1182" w:type="dxa"/>
            <w:tcBorders>
              <w:top w:val="single" w:sz="2" w:space="0" w:color="auto"/>
              <w:left w:val="single" w:sz="2" w:space="0" w:color="auto"/>
              <w:bottom w:val="single" w:sz="2" w:space="0" w:color="auto"/>
              <w:right w:val="single" w:sz="2" w:space="0" w:color="auto"/>
            </w:tcBorders>
          </w:tcPr>
          <w:p w14:paraId="2EB7F026" w14:textId="77777777" w:rsidR="009F4766" w:rsidRPr="00DE12A3" w:rsidRDefault="009F4766" w:rsidP="00C917D6">
            <w:pPr>
              <w:pStyle w:val="NormalLeft"/>
            </w:pPr>
            <w:r w:rsidRPr="00DE12A3">
              <w:t>1100</w:t>
            </w:r>
          </w:p>
        </w:tc>
        <w:tc>
          <w:tcPr>
            <w:tcW w:w="2489" w:type="dxa"/>
            <w:tcBorders>
              <w:top w:val="single" w:sz="2" w:space="0" w:color="auto"/>
              <w:left w:val="single" w:sz="2" w:space="0" w:color="auto"/>
              <w:bottom w:val="single" w:sz="2" w:space="0" w:color="auto"/>
              <w:right w:val="single" w:sz="2" w:space="0" w:color="auto"/>
            </w:tcBorders>
          </w:tcPr>
          <w:p w14:paraId="6184AB62" w14:textId="77777777" w:rsidR="009F4766" w:rsidRPr="00DE12A3" w:rsidRDefault="009F4766" w:rsidP="00C917D6">
            <w:pPr>
              <w:pStyle w:val="NormalLeft"/>
            </w:pPr>
            <w:r w:rsidRPr="00DE12A3">
              <w:t>93</w:t>
            </w:r>
          </w:p>
        </w:tc>
        <w:tc>
          <w:tcPr>
            <w:tcW w:w="2551" w:type="dxa"/>
            <w:tcBorders>
              <w:top w:val="single" w:sz="2" w:space="0" w:color="auto"/>
              <w:left w:val="single" w:sz="2" w:space="0" w:color="auto"/>
              <w:bottom w:val="single" w:sz="2" w:space="0" w:color="auto"/>
              <w:right w:val="single" w:sz="2" w:space="0" w:color="auto"/>
            </w:tcBorders>
          </w:tcPr>
          <w:p w14:paraId="39AFB6AD" w14:textId="77777777" w:rsidR="009F4766" w:rsidRPr="00DE12A3" w:rsidRDefault="009F4766" w:rsidP="00C917D6">
            <w:pPr>
              <w:pStyle w:val="NormalLeft"/>
            </w:pPr>
            <w:r w:rsidRPr="00DE12A3">
              <w:t>23</w:t>
            </w:r>
          </w:p>
        </w:tc>
      </w:tr>
      <w:tr w:rsidR="00DE12A3" w:rsidRPr="00DE12A3" w14:paraId="2E6189D8" w14:textId="77777777" w:rsidTr="009F4766">
        <w:tc>
          <w:tcPr>
            <w:tcW w:w="1182" w:type="dxa"/>
            <w:tcBorders>
              <w:top w:val="single" w:sz="2" w:space="0" w:color="auto"/>
              <w:left w:val="single" w:sz="2" w:space="0" w:color="auto"/>
              <w:bottom w:val="single" w:sz="2" w:space="0" w:color="auto"/>
              <w:right w:val="single" w:sz="2" w:space="0" w:color="auto"/>
            </w:tcBorders>
          </w:tcPr>
          <w:p w14:paraId="09ACD1D3" w14:textId="77777777" w:rsidR="009F4766" w:rsidRPr="00DE12A3" w:rsidRDefault="009F4766" w:rsidP="00C917D6">
            <w:pPr>
              <w:pStyle w:val="NormalLeft"/>
            </w:pPr>
            <w:r w:rsidRPr="00DE12A3">
              <w:t>1101</w:t>
            </w:r>
          </w:p>
        </w:tc>
        <w:tc>
          <w:tcPr>
            <w:tcW w:w="2489" w:type="dxa"/>
            <w:tcBorders>
              <w:top w:val="single" w:sz="2" w:space="0" w:color="auto"/>
              <w:left w:val="single" w:sz="2" w:space="0" w:color="auto"/>
              <w:bottom w:val="single" w:sz="2" w:space="0" w:color="auto"/>
              <w:right w:val="single" w:sz="2" w:space="0" w:color="auto"/>
            </w:tcBorders>
          </w:tcPr>
          <w:p w14:paraId="45FA5455" w14:textId="77777777" w:rsidR="009F4766" w:rsidRPr="00DE12A3" w:rsidRDefault="009F4766" w:rsidP="00C917D6">
            <w:pPr>
              <w:pStyle w:val="NormalLeft"/>
            </w:pPr>
            <w:r w:rsidRPr="00DE12A3">
              <w:t>93</w:t>
            </w:r>
          </w:p>
        </w:tc>
        <w:tc>
          <w:tcPr>
            <w:tcW w:w="2551" w:type="dxa"/>
            <w:tcBorders>
              <w:top w:val="single" w:sz="2" w:space="0" w:color="auto"/>
              <w:left w:val="single" w:sz="2" w:space="0" w:color="auto"/>
              <w:bottom w:val="single" w:sz="2" w:space="0" w:color="auto"/>
              <w:right w:val="single" w:sz="2" w:space="0" w:color="auto"/>
            </w:tcBorders>
          </w:tcPr>
          <w:p w14:paraId="2F822210" w14:textId="77777777" w:rsidR="009F4766" w:rsidRPr="00DE12A3" w:rsidRDefault="009F4766" w:rsidP="00C917D6">
            <w:pPr>
              <w:pStyle w:val="NormalLeft"/>
            </w:pPr>
            <w:r w:rsidRPr="00DE12A3">
              <w:t>25</w:t>
            </w:r>
          </w:p>
        </w:tc>
      </w:tr>
      <w:tr w:rsidR="00DE12A3" w:rsidRPr="00DE12A3" w14:paraId="7CA92DEB" w14:textId="77777777" w:rsidTr="009F4766">
        <w:tc>
          <w:tcPr>
            <w:tcW w:w="1182" w:type="dxa"/>
            <w:tcBorders>
              <w:top w:val="single" w:sz="2" w:space="0" w:color="auto"/>
              <w:left w:val="single" w:sz="2" w:space="0" w:color="auto"/>
              <w:bottom w:val="single" w:sz="2" w:space="0" w:color="auto"/>
              <w:right w:val="single" w:sz="2" w:space="0" w:color="auto"/>
            </w:tcBorders>
          </w:tcPr>
          <w:p w14:paraId="6EF1E8A0" w14:textId="77777777" w:rsidR="009F4766" w:rsidRPr="00DE12A3" w:rsidRDefault="009F4766" w:rsidP="00C917D6">
            <w:pPr>
              <w:pStyle w:val="NormalLeft"/>
            </w:pPr>
            <w:r w:rsidRPr="00DE12A3">
              <w:t>1102</w:t>
            </w:r>
          </w:p>
        </w:tc>
        <w:tc>
          <w:tcPr>
            <w:tcW w:w="2489" w:type="dxa"/>
            <w:tcBorders>
              <w:top w:val="single" w:sz="2" w:space="0" w:color="auto"/>
              <w:left w:val="single" w:sz="2" w:space="0" w:color="auto"/>
              <w:bottom w:val="single" w:sz="2" w:space="0" w:color="auto"/>
              <w:right w:val="single" w:sz="2" w:space="0" w:color="auto"/>
            </w:tcBorders>
          </w:tcPr>
          <w:p w14:paraId="51763510" w14:textId="77777777" w:rsidR="009F4766" w:rsidRPr="00DE12A3" w:rsidRDefault="009F4766" w:rsidP="00C917D6">
            <w:pPr>
              <w:pStyle w:val="NormalLeft"/>
            </w:pPr>
            <w:r w:rsidRPr="00DE12A3">
              <w:t>93</w:t>
            </w:r>
          </w:p>
        </w:tc>
        <w:tc>
          <w:tcPr>
            <w:tcW w:w="2551" w:type="dxa"/>
            <w:tcBorders>
              <w:top w:val="single" w:sz="2" w:space="0" w:color="auto"/>
              <w:left w:val="single" w:sz="2" w:space="0" w:color="auto"/>
              <w:bottom w:val="single" w:sz="2" w:space="0" w:color="auto"/>
              <w:right w:val="single" w:sz="2" w:space="0" w:color="auto"/>
            </w:tcBorders>
          </w:tcPr>
          <w:p w14:paraId="3EDE993A" w14:textId="77777777" w:rsidR="009F4766" w:rsidRPr="00DE12A3" w:rsidRDefault="009F4766" w:rsidP="00C917D6">
            <w:pPr>
              <w:pStyle w:val="NormalLeft"/>
            </w:pPr>
            <w:r w:rsidRPr="00DE12A3">
              <w:t>27</w:t>
            </w:r>
          </w:p>
        </w:tc>
      </w:tr>
      <w:tr w:rsidR="00DE12A3" w:rsidRPr="00DE12A3" w14:paraId="01A1E25B" w14:textId="77777777" w:rsidTr="009F4766">
        <w:tc>
          <w:tcPr>
            <w:tcW w:w="1182" w:type="dxa"/>
            <w:tcBorders>
              <w:top w:val="single" w:sz="2" w:space="0" w:color="auto"/>
              <w:left w:val="single" w:sz="2" w:space="0" w:color="auto"/>
              <w:bottom w:val="single" w:sz="2" w:space="0" w:color="auto"/>
              <w:right w:val="single" w:sz="2" w:space="0" w:color="auto"/>
            </w:tcBorders>
          </w:tcPr>
          <w:p w14:paraId="01538723" w14:textId="77777777" w:rsidR="009F4766" w:rsidRPr="00DE12A3" w:rsidRDefault="009F4766" w:rsidP="00C917D6">
            <w:pPr>
              <w:pStyle w:val="NormalLeft"/>
            </w:pPr>
            <w:r w:rsidRPr="00DE12A3">
              <w:t>1103</w:t>
            </w:r>
          </w:p>
        </w:tc>
        <w:tc>
          <w:tcPr>
            <w:tcW w:w="2489" w:type="dxa"/>
            <w:tcBorders>
              <w:top w:val="single" w:sz="2" w:space="0" w:color="auto"/>
              <w:left w:val="single" w:sz="2" w:space="0" w:color="auto"/>
              <w:bottom w:val="single" w:sz="2" w:space="0" w:color="auto"/>
              <w:right w:val="single" w:sz="2" w:space="0" w:color="auto"/>
            </w:tcBorders>
          </w:tcPr>
          <w:p w14:paraId="7C73F971" w14:textId="77777777" w:rsidR="009F4766" w:rsidRPr="00DE12A3" w:rsidRDefault="009F4766" w:rsidP="00C917D6">
            <w:pPr>
              <w:pStyle w:val="NormalLeft"/>
            </w:pPr>
            <w:r w:rsidRPr="00DE12A3">
              <w:t>93</w:t>
            </w:r>
          </w:p>
        </w:tc>
        <w:tc>
          <w:tcPr>
            <w:tcW w:w="2551" w:type="dxa"/>
            <w:tcBorders>
              <w:top w:val="single" w:sz="2" w:space="0" w:color="auto"/>
              <w:left w:val="single" w:sz="2" w:space="0" w:color="auto"/>
              <w:bottom w:val="single" w:sz="2" w:space="0" w:color="auto"/>
              <w:right w:val="single" w:sz="2" w:space="0" w:color="auto"/>
            </w:tcBorders>
          </w:tcPr>
          <w:p w14:paraId="083558F2" w14:textId="77777777" w:rsidR="009F4766" w:rsidRPr="00DE12A3" w:rsidRDefault="009F4766" w:rsidP="00C917D6">
            <w:pPr>
              <w:pStyle w:val="NormalLeft"/>
            </w:pPr>
            <w:r w:rsidRPr="00DE12A3">
              <w:t>26</w:t>
            </w:r>
          </w:p>
        </w:tc>
      </w:tr>
      <w:tr w:rsidR="00DE12A3" w:rsidRPr="00DE12A3" w14:paraId="1BBF6559" w14:textId="77777777" w:rsidTr="009F4766">
        <w:tc>
          <w:tcPr>
            <w:tcW w:w="1182" w:type="dxa"/>
            <w:tcBorders>
              <w:top w:val="single" w:sz="2" w:space="0" w:color="auto"/>
              <w:left w:val="single" w:sz="2" w:space="0" w:color="auto"/>
              <w:bottom w:val="single" w:sz="2" w:space="0" w:color="auto"/>
              <w:right w:val="single" w:sz="2" w:space="0" w:color="auto"/>
            </w:tcBorders>
          </w:tcPr>
          <w:p w14:paraId="3A757781" w14:textId="77777777" w:rsidR="009F4766" w:rsidRPr="00DE12A3" w:rsidRDefault="009F4766" w:rsidP="00C917D6">
            <w:pPr>
              <w:pStyle w:val="NormalLeft"/>
            </w:pPr>
            <w:r w:rsidRPr="00DE12A3">
              <w:t>1104</w:t>
            </w:r>
          </w:p>
        </w:tc>
        <w:tc>
          <w:tcPr>
            <w:tcW w:w="2489" w:type="dxa"/>
            <w:tcBorders>
              <w:top w:val="single" w:sz="2" w:space="0" w:color="auto"/>
              <w:left w:val="single" w:sz="2" w:space="0" w:color="auto"/>
              <w:bottom w:val="single" w:sz="2" w:space="0" w:color="auto"/>
              <w:right w:val="single" w:sz="2" w:space="0" w:color="auto"/>
            </w:tcBorders>
          </w:tcPr>
          <w:p w14:paraId="47765D6A" w14:textId="77777777" w:rsidR="009F4766" w:rsidRPr="00DE12A3" w:rsidRDefault="009F4766" w:rsidP="00C917D6">
            <w:pPr>
              <w:pStyle w:val="NormalLeft"/>
            </w:pPr>
            <w:r w:rsidRPr="00DE12A3">
              <w:t>93</w:t>
            </w:r>
          </w:p>
        </w:tc>
        <w:tc>
          <w:tcPr>
            <w:tcW w:w="2551" w:type="dxa"/>
            <w:tcBorders>
              <w:top w:val="single" w:sz="2" w:space="0" w:color="auto"/>
              <w:left w:val="single" w:sz="2" w:space="0" w:color="auto"/>
              <w:bottom w:val="single" w:sz="2" w:space="0" w:color="auto"/>
              <w:right w:val="single" w:sz="2" w:space="0" w:color="auto"/>
            </w:tcBorders>
          </w:tcPr>
          <w:p w14:paraId="22EA90BD" w14:textId="77777777" w:rsidR="009F4766" w:rsidRPr="00DE12A3" w:rsidRDefault="009F4766" w:rsidP="00C917D6">
            <w:pPr>
              <w:pStyle w:val="NormalLeft"/>
            </w:pPr>
            <w:r w:rsidRPr="00DE12A3">
              <w:t>25</w:t>
            </w:r>
          </w:p>
        </w:tc>
      </w:tr>
      <w:tr w:rsidR="00DE12A3" w:rsidRPr="00DE12A3" w14:paraId="229C7E2E" w14:textId="77777777" w:rsidTr="009F4766">
        <w:tc>
          <w:tcPr>
            <w:tcW w:w="1182" w:type="dxa"/>
            <w:tcBorders>
              <w:top w:val="single" w:sz="2" w:space="0" w:color="auto"/>
              <w:left w:val="single" w:sz="2" w:space="0" w:color="auto"/>
              <w:bottom w:val="single" w:sz="2" w:space="0" w:color="auto"/>
              <w:right w:val="single" w:sz="2" w:space="0" w:color="auto"/>
            </w:tcBorders>
          </w:tcPr>
          <w:p w14:paraId="189FD423" w14:textId="77777777" w:rsidR="009F4766" w:rsidRPr="00DE12A3" w:rsidRDefault="009F4766" w:rsidP="00C917D6">
            <w:pPr>
              <w:pStyle w:val="NormalLeft"/>
            </w:pPr>
            <w:r w:rsidRPr="00DE12A3">
              <w:t>1105</w:t>
            </w:r>
          </w:p>
        </w:tc>
        <w:tc>
          <w:tcPr>
            <w:tcW w:w="2489" w:type="dxa"/>
            <w:tcBorders>
              <w:top w:val="single" w:sz="2" w:space="0" w:color="auto"/>
              <w:left w:val="single" w:sz="2" w:space="0" w:color="auto"/>
              <w:bottom w:val="single" w:sz="2" w:space="0" w:color="auto"/>
              <w:right w:val="single" w:sz="2" w:space="0" w:color="auto"/>
            </w:tcBorders>
          </w:tcPr>
          <w:p w14:paraId="4699FD29" w14:textId="77777777" w:rsidR="009F4766" w:rsidRPr="00DE12A3" w:rsidRDefault="009F4766" w:rsidP="00C917D6">
            <w:pPr>
              <w:pStyle w:val="NormalLeft"/>
            </w:pPr>
            <w:r w:rsidRPr="00DE12A3">
              <w:t>93</w:t>
            </w:r>
          </w:p>
        </w:tc>
        <w:tc>
          <w:tcPr>
            <w:tcW w:w="2551" w:type="dxa"/>
            <w:tcBorders>
              <w:top w:val="single" w:sz="2" w:space="0" w:color="auto"/>
              <w:left w:val="single" w:sz="2" w:space="0" w:color="auto"/>
              <w:bottom w:val="single" w:sz="2" w:space="0" w:color="auto"/>
              <w:right w:val="single" w:sz="2" w:space="0" w:color="auto"/>
            </w:tcBorders>
          </w:tcPr>
          <w:p w14:paraId="1C91DB73" w14:textId="77777777" w:rsidR="009F4766" w:rsidRPr="00DE12A3" w:rsidRDefault="009F4766" w:rsidP="00C917D6">
            <w:pPr>
              <w:pStyle w:val="NormalLeft"/>
            </w:pPr>
            <w:r w:rsidRPr="00DE12A3">
              <w:t>27</w:t>
            </w:r>
          </w:p>
        </w:tc>
      </w:tr>
      <w:tr w:rsidR="00DE12A3" w:rsidRPr="00DE12A3" w14:paraId="52E2B165" w14:textId="77777777" w:rsidTr="009F4766">
        <w:tc>
          <w:tcPr>
            <w:tcW w:w="1182" w:type="dxa"/>
            <w:tcBorders>
              <w:top w:val="single" w:sz="2" w:space="0" w:color="auto"/>
              <w:left w:val="single" w:sz="2" w:space="0" w:color="auto"/>
              <w:bottom w:val="single" w:sz="2" w:space="0" w:color="auto"/>
              <w:right w:val="single" w:sz="2" w:space="0" w:color="auto"/>
            </w:tcBorders>
          </w:tcPr>
          <w:p w14:paraId="68A1756A" w14:textId="77777777" w:rsidR="009F4766" w:rsidRPr="00DE12A3" w:rsidRDefault="009F4766" w:rsidP="00C917D6">
            <w:pPr>
              <w:pStyle w:val="NormalLeft"/>
            </w:pPr>
            <w:r w:rsidRPr="00DE12A3">
              <w:t>1106</w:t>
            </w:r>
          </w:p>
        </w:tc>
        <w:tc>
          <w:tcPr>
            <w:tcW w:w="2489" w:type="dxa"/>
            <w:tcBorders>
              <w:top w:val="single" w:sz="2" w:space="0" w:color="auto"/>
              <w:left w:val="single" w:sz="2" w:space="0" w:color="auto"/>
              <w:bottom w:val="single" w:sz="2" w:space="0" w:color="auto"/>
              <w:right w:val="single" w:sz="2" w:space="0" w:color="auto"/>
            </w:tcBorders>
          </w:tcPr>
          <w:p w14:paraId="15224105" w14:textId="77777777" w:rsidR="009F4766" w:rsidRPr="00DE12A3" w:rsidRDefault="009F4766" w:rsidP="00C917D6">
            <w:pPr>
              <w:pStyle w:val="NormalLeft"/>
            </w:pPr>
            <w:r w:rsidRPr="00DE12A3">
              <w:t>93</w:t>
            </w:r>
          </w:p>
        </w:tc>
        <w:tc>
          <w:tcPr>
            <w:tcW w:w="2551" w:type="dxa"/>
            <w:tcBorders>
              <w:top w:val="single" w:sz="2" w:space="0" w:color="auto"/>
              <w:left w:val="single" w:sz="2" w:space="0" w:color="auto"/>
              <w:bottom w:val="single" w:sz="2" w:space="0" w:color="auto"/>
              <w:right w:val="single" w:sz="2" w:space="0" w:color="auto"/>
            </w:tcBorders>
          </w:tcPr>
          <w:p w14:paraId="5E252AAA" w14:textId="77777777" w:rsidR="009F4766" w:rsidRPr="00DE12A3" w:rsidRDefault="009F4766" w:rsidP="00C917D6">
            <w:pPr>
              <w:pStyle w:val="NormalLeft"/>
            </w:pPr>
            <w:r w:rsidRPr="00DE12A3">
              <w:t>27</w:t>
            </w:r>
          </w:p>
        </w:tc>
      </w:tr>
      <w:tr w:rsidR="00DE12A3" w:rsidRPr="00DE12A3" w14:paraId="68391D81" w14:textId="77777777" w:rsidTr="009F4766">
        <w:tc>
          <w:tcPr>
            <w:tcW w:w="1182" w:type="dxa"/>
            <w:tcBorders>
              <w:top w:val="single" w:sz="2" w:space="0" w:color="auto"/>
              <w:left w:val="single" w:sz="2" w:space="0" w:color="auto"/>
              <w:bottom w:val="single" w:sz="2" w:space="0" w:color="auto"/>
              <w:right w:val="single" w:sz="2" w:space="0" w:color="auto"/>
            </w:tcBorders>
          </w:tcPr>
          <w:p w14:paraId="5DBC5046" w14:textId="77777777" w:rsidR="009F4766" w:rsidRPr="00DE12A3" w:rsidRDefault="009F4766" w:rsidP="00C917D6">
            <w:pPr>
              <w:pStyle w:val="NormalLeft"/>
            </w:pPr>
            <w:r w:rsidRPr="00DE12A3">
              <w:lastRenderedPageBreak/>
              <w:t>1107</w:t>
            </w:r>
          </w:p>
        </w:tc>
        <w:tc>
          <w:tcPr>
            <w:tcW w:w="2489" w:type="dxa"/>
            <w:tcBorders>
              <w:top w:val="single" w:sz="2" w:space="0" w:color="auto"/>
              <w:left w:val="single" w:sz="2" w:space="0" w:color="auto"/>
              <w:bottom w:val="single" w:sz="2" w:space="0" w:color="auto"/>
              <w:right w:val="single" w:sz="2" w:space="0" w:color="auto"/>
            </w:tcBorders>
          </w:tcPr>
          <w:p w14:paraId="1C606C71" w14:textId="77777777" w:rsidR="009F4766" w:rsidRPr="00DE12A3" w:rsidRDefault="009F4766" w:rsidP="00C917D6">
            <w:pPr>
              <w:pStyle w:val="NormalLeft"/>
            </w:pPr>
            <w:r w:rsidRPr="00DE12A3">
              <w:t>93</w:t>
            </w:r>
          </w:p>
        </w:tc>
        <w:tc>
          <w:tcPr>
            <w:tcW w:w="2551" w:type="dxa"/>
            <w:tcBorders>
              <w:top w:val="single" w:sz="2" w:space="0" w:color="auto"/>
              <w:left w:val="single" w:sz="2" w:space="0" w:color="auto"/>
              <w:bottom w:val="single" w:sz="2" w:space="0" w:color="auto"/>
              <w:right w:val="single" w:sz="2" w:space="0" w:color="auto"/>
            </w:tcBorders>
          </w:tcPr>
          <w:p w14:paraId="3A2CEAD1" w14:textId="77777777" w:rsidR="009F4766" w:rsidRPr="00DE12A3" w:rsidRDefault="009F4766" w:rsidP="00C917D6">
            <w:pPr>
              <w:pStyle w:val="NormalLeft"/>
            </w:pPr>
            <w:r w:rsidRPr="00DE12A3">
              <w:t>27</w:t>
            </w:r>
          </w:p>
        </w:tc>
      </w:tr>
      <w:tr w:rsidR="00DE12A3" w:rsidRPr="00DE12A3" w14:paraId="1495F8A5" w14:textId="77777777" w:rsidTr="009F4766">
        <w:tc>
          <w:tcPr>
            <w:tcW w:w="1182" w:type="dxa"/>
            <w:tcBorders>
              <w:top w:val="single" w:sz="2" w:space="0" w:color="auto"/>
              <w:left w:val="single" w:sz="2" w:space="0" w:color="auto"/>
              <w:bottom w:val="single" w:sz="2" w:space="0" w:color="auto"/>
              <w:right w:val="single" w:sz="2" w:space="0" w:color="auto"/>
            </w:tcBorders>
          </w:tcPr>
          <w:p w14:paraId="722DC5F0" w14:textId="77777777" w:rsidR="009F4766" w:rsidRPr="00DE12A3" w:rsidRDefault="009F4766" w:rsidP="00C917D6">
            <w:pPr>
              <w:pStyle w:val="NormalLeft"/>
            </w:pPr>
            <w:r w:rsidRPr="00DE12A3">
              <w:t>1108</w:t>
            </w:r>
          </w:p>
        </w:tc>
        <w:tc>
          <w:tcPr>
            <w:tcW w:w="2489" w:type="dxa"/>
            <w:tcBorders>
              <w:top w:val="single" w:sz="2" w:space="0" w:color="auto"/>
              <w:left w:val="single" w:sz="2" w:space="0" w:color="auto"/>
              <w:bottom w:val="single" w:sz="2" w:space="0" w:color="auto"/>
              <w:right w:val="single" w:sz="2" w:space="0" w:color="auto"/>
            </w:tcBorders>
          </w:tcPr>
          <w:p w14:paraId="610F6D7D" w14:textId="77777777" w:rsidR="009F4766" w:rsidRPr="00DE12A3" w:rsidRDefault="009F4766" w:rsidP="00C917D6">
            <w:pPr>
              <w:pStyle w:val="NormalLeft"/>
            </w:pPr>
            <w:r w:rsidRPr="00DE12A3">
              <w:t>93</w:t>
            </w:r>
          </w:p>
        </w:tc>
        <w:tc>
          <w:tcPr>
            <w:tcW w:w="2551" w:type="dxa"/>
            <w:tcBorders>
              <w:top w:val="single" w:sz="2" w:space="0" w:color="auto"/>
              <w:left w:val="single" w:sz="2" w:space="0" w:color="auto"/>
              <w:bottom w:val="single" w:sz="2" w:space="0" w:color="auto"/>
              <w:right w:val="single" w:sz="2" w:space="0" w:color="auto"/>
            </w:tcBorders>
          </w:tcPr>
          <w:p w14:paraId="27E8446E" w14:textId="77777777" w:rsidR="009F4766" w:rsidRPr="00DE12A3" w:rsidRDefault="009F4766" w:rsidP="00C917D6">
            <w:pPr>
              <w:pStyle w:val="NormalLeft"/>
            </w:pPr>
            <w:r w:rsidRPr="00DE12A3">
              <w:t>24</w:t>
            </w:r>
          </w:p>
        </w:tc>
      </w:tr>
      <w:tr w:rsidR="00DE12A3" w:rsidRPr="00DE12A3" w14:paraId="370322A3" w14:textId="77777777" w:rsidTr="009F4766">
        <w:tc>
          <w:tcPr>
            <w:tcW w:w="1182" w:type="dxa"/>
            <w:tcBorders>
              <w:top w:val="single" w:sz="2" w:space="0" w:color="auto"/>
              <w:left w:val="single" w:sz="2" w:space="0" w:color="auto"/>
              <w:bottom w:val="single" w:sz="2" w:space="0" w:color="auto"/>
              <w:right w:val="single" w:sz="2" w:space="0" w:color="auto"/>
            </w:tcBorders>
          </w:tcPr>
          <w:p w14:paraId="58708CC2" w14:textId="77777777" w:rsidR="009F4766" w:rsidRPr="00DE12A3" w:rsidRDefault="009F4766" w:rsidP="00C917D6">
            <w:pPr>
              <w:pStyle w:val="NormalLeft"/>
            </w:pPr>
            <w:r w:rsidRPr="00DE12A3">
              <w:t>1109</w:t>
            </w:r>
          </w:p>
        </w:tc>
        <w:tc>
          <w:tcPr>
            <w:tcW w:w="2489" w:type="dxa"/>
            <w:tcBorders>
              <w:top w:val="single" w:sz="2" w:space="0" w:color="auto"/>
              <w:left w:val="single" w:sz="2" w:space="0" w:color="auto"/>
              <w:bottom w:val="single" w:sz="2" w:space="0" w:color="auto"/>
              <w:right w:val="single" w:sz="2" w:space="0" w:color="auto"/>
            </w:tcBorders>
          </w:tcPr>
          <w:p w14:paraId="70D4DEDE" w14:textId="77777777" w:rsidR="009F4766" w:rsidRPr="00DE12A3" w:rsidRDefault="009F4766" w:rsidP="00C917D6">
            <w:pPr>
              <w:pStyle w:val="NormalLeft"/>
            </w:pPr>
            <w:r w:rsidRPr="00DE12A3">
              <w:t>93</w:t>
            </w:r>
          </w:p>
        </w:tc>
        <w:tc>
          <w:tcPr>
            <w:tcW w:w="2551" w:type="dxa"/>
            <w:tcBorders>
              <w:top w:val="single" w:sz="2" w:space="0" w:color="auto"/>
              <w:left w:val="single" w:sz="2" w:space="0" w:color="auto"/>
              <w:bottom w:val="single" w:sz="2" w:space="0" w:color="auto"/>
              <w:right w:val="single" w:sz="2" w:space="0" w:color="auto"/>
            </w:tcBorders>
          </w:tcPr>
          <w:p w14:paraId="3176D62C" w14:textId="77777777" w:rsidR="009F4766" w:rsidRPr="00DE12A3" w:rsidRDefault="009F4766" w:rsidP="00C917D6">
            <w:pPr>
              <w:pStyle w:val="NormalLeft"/>
            </w:pPr>
            <w:r w:rsidRPr="00DE12A3">
              <w:t>20</w:t>
            </w:r>
          </w:p>
        </w:tc>
      </w:tr>
      <w:tr w:rsidR="00DE12A3" w:rsidRPr="00DE12A3" w14:paraId="6F782E04" w14:textId="77777777" w:rsidTr="009F4766">
        <w:tc>
          <w:tcPr>
            <w:tcW w:w="1182" w:type="dxa"/>
            <w:tcBorders>
              <w:top w:val="single" w:sz="2" w:space="0" w:color="auto"/>
              <w:left w:val="single" w:sz="2" w:space="0" w:color="auto"/>
              <w:bottom w:val="single" w:sz="2" w:space="0" w:color="auto"/>
              <w:right w:val="single" w:sz="2" w:space="0" w:color="auto"/>
            </w:tcBorders>
          </w:tcPr>
          <w:p w14:paraId="0E549A17" w14:textId="77777777" w:rsidR="009F4766" w:rsidRPr="00DE12A3" w:rsidRDefault="009F4766" w:rsidP="00C917D6">
            <w:pPr>
              <w:pStyle w:val="NormalLeft"/>
            </w:pPr>
            <w:r w:rsidRPr="00DE12A3">
              <w:t>1110</w:t>
            </w:r>
          </w:p>
        </w:tc>
        <w:tc>
          <w:tcPr>
            <w:tcW w:w="2489" w:type="dxa"/>
            <w:tcBorders>
              <w:top w:val="single" w:sz="2" w:space="0" w:color="auto"/>
              <w:left w:val="single" w:sz="2" w:space="0" w:color="auto"/>
              <w:bottom w:val="single" w:sz="2" w:space="0" w:color="auto"/>
              <w:right w:val="single" w:sz="2" w:space="0" w:color="auto"/>
            </w:tcBorders>
          </w:tcPr>
          <w:p w14:paraId="5EA813C9" w14:textId="77777777" w:rsidR="009F4766" w:rsidRPr="00DE12A3" w:rsidRDefault="009F4766" w:rsidP="00C917D6">
            <w:pPr>
              <w:pStyle w:val="NormalLeft"/>
            </w:pPr>
            <w:r w:rsidRPr="00DE12A3">
              <w:t>93</w:t>
            </w:r>
          </w:p>
        </w:tc>
        <w:tc>
          <w:tcPr>
            <w:tcW w:w="2551" w:type="dxa"/>
            <w:tcBorders>
              <w:top w:val="single" w:sz="2" w:space="0" w:color="auto"/>
              <w:left w:val="single" w:sz="2" w:space="0" w:color="auto"/>
              <w:bottom w:val="single" w:sz="2" w:space="0" w:color="auto"/>
              <w:right w:val="single" w:sz="2" w:space="0" w:color="auto"/>
            </w:tcBorders>
          </w:tcPr>
          <w:p w14:paraId="710BDF08" w14:textId="77777777" w:rsidR="009F4766" w:rsidRPr="00DE12A3" w:rsidRDefault="009F4766" w:rsidP="00C917D6">
            <w:pPr>
              <w:pStyle w:val="NormalLeft"/>
            </w:pPr>
            <w:r w:rsidRPr="00DE12A3">
              <w:t>18</w:t>
            </w:r>
          </w:p>
        </w:tc>
      </w:tr>
      <w:tr w:rsidR="00DE12A3" w:rsidRPr="00DE12A3" w14:paraId="16787DAD" w14:textId="77777777" w:rsidTr="009F4766">
        <w:tc>
          <w:tcPr>
            <w:tcW w:w="1182" w:type="dxa"/>
            <w:tcBorders>
              <w:top w:val="single" w:sz="2" w:space="0" w:color="auto"/>
              <w:left w:val="single" w:sz="2" w:space="0" w:color="auto"/>
              <w:bottom w:val="single" w:sz="2" w:space="0" w:color="auto"/>
              <w:right w:val="single" w:sz="2" w:space="0" w:color="auto"/>
            </w:tcBorders>
          </w:tcPr>
          <w:p w14:paraId="708A2FE2" w14:textId="77777777" w:rsidR="009F4766" w:rsidRPr="00DE12A3" w:rsidRDefault="009F4766" w:rsidP="00C917D6">
            <w:pPr>
              <w:pStyle w:val="NormalLeft"/>
            </w:pPr>
            <w:r w:rsidRPr="00DE12A3">
              <w:t>1111</w:t>
            </w:r>
          </w:p>
        </w:tc>
        <w:tc>
          <w:tcPr>
            <w:tcW w:w="2489" w:type="dxa"/>
            <w:tcBorders>
              <w:top w:val="single" w:sz="2" w:space="0" w:color="auto"/>
              <w:left w:val="single" w:sz="2" w:space="0" w:color="auto"/>
              <w:bottom w:val="single" w:sz="2" w:space="0" w:color="auto"/>
              <w:right w:val="single" w:sz="2" w:space="0" w:color="auto"/>
            </w:tcBorders>
          </w:tcPr>
          <w:p w14:paraId="005BE89E" w14:textId="77777777" w:rsidR="009F4766" w:rsidRPr="00DE12A3" w:rsidRDefault="009F4766" w:rsidP="00C917D6">
            <w:pPr>
              <w:pStyle w:val="NormalLeft"/>
            </w:pPr>
            <w:r w:rsidRPr="00DE12A3">
              <w:t>93</w:t>
            </w:r>
          </w:p>
        </w:tc>
        <w:tc>
          <w:tcPr>
            <w:tcW w:w="2551" w:type="dxa"/>
            <w:tcBorders>
              <w:top w:val="single" w:sz="2" w:space="0" w:color="auto"/>
              <w:left w:val="single" w:sz="2" w:space="0" w:color="auto"/>
              <w:bottom w:val="single" w:sz="2" w:space="0" w:color="auto"/>
              <w:right w:val="single" w:sz="2" w:space="0" w:color="auto"/>
            </w:tcBorders>
          </w:tcPr>
          <w:p w14:paraId="60F79E15" w14:textId="77777777" w:rsidR="009F4766" w:rsidRPr="00DE12A3" w:rsidRDefault="009F4766" w:rsidP="00C917D6">
            <w:pPr>
              <w:pStyle w:val="NormalLeft"/>
            </w:pPr>
            <w:r w:rsidRPr="00DE12A3">
              <w:t>17</w:t>
            </w:r>
          </w:p>
        </w:tc>
      </w:tr>
      <w:tr w:rsidR="00DE12A3" w:rsidRPr="00DE12A3" w14:paraId="6A9E50C8" w14:textId="77777777" w:rsidTr="009F4766">
        <w:tc>
          <w:tcPr>
            <w:tcW w:w="1182" w:type="dxa"/>
            <w:tcBorders>
              <w:top w:val="single" w:sz="2" w:space="0" w:color="auto"/>
              <w:left w:val="single" w:sz="2" w:space="0" w:color="auto"/>
              <w:bottom w:val="single" w:sz="2" w:space="0" w:color="auto"/>
              <w:right w:val="single" w:sz="2" w:space="0" w:color="auto"/>
            </w:tcBorders>
          </w:tcPr>
          <w:p w14:paraId="277A02E2" w14:textId="77777777" w:rsidR="009F4766" w:rsidRPr="00DE12A3" w:rsidRDefault="009F4766" w:rsidP="00C917D6">
            <w:pPr>
              <w:pStyle w:val="NormalLeft"/>
            </w:pPr>
            <w:r w:rsidRPr="00DE12A3">
              <w:t>1112</w:t>
            </w:r>
          </w:p>
        </w:tc>
        <w:tc>
          <w:tcPr>
            <w:tcW w:w="2489" w:type="dxa"/>
            <w:tcBorders>
              <w:top w:val="single" w:sz="2" w:space="0" w:color="auto"/>
              <w:left w:val="single" w:sz="2" w:space="0" w:color="auto"/>
              <w:bottom w:val="single" w:sz="2" w:space="0" w:color="auto"/>
              <w:right w:val="single" w:sz="2" w:space="0" w:color="auto"/>
            </w:tcBorders>
          </w:tcPr>
          <w:p w14:paraId="0ECD51F3" w14:textId="77777777" w:rsidR="009F4766" w:rsidRPr="00DE12A3" w:rsidRDefault="009F4766" w:rsidP="00C917D6">
            <w:pPr>
              <w:pStyle w:val="NormalLeft"/>
            </w:pPr>
            <w:r w:rsidRPr="00DE12A3">
              <w:t>93</w:t>
            </w:r>
          </w:p>
        </w:tc>
        <w:tc>
          <w:tcPr>
            <w:tcW w:w="2551" w:type="dxa"/>
            <w:tcBorders>
              <w:top w:val="single" w:sz="2" w:space="0" w:color="auto"/>
              <w:left w:val="single" w:sz="2" w:space="0" w:color="auto"/>
              <w:bottom w:val="single" w:sz="2" w:space="0" w:color="auto"/>
              <w:right w:val="single" w:sz="2" w:space="0" w:color="auto"/>
            </w:tcBorders>
          </w:tcPr>
          <w:p w14:paraId="75CD9371" w14:textId="77777777" w:rsidR="009F4766" w:rsidRPr="00DE12A3" w:rsidRDefault="009F4766" w:rsidP="00C917D6">
            <w:pPr>
              <w:pStyle w:val="NormalLeft"/>
            </w:pPr>
            <w:r w:rsidRPr="00DE12A3">
              <w:t>17</w:t>
            </w:r>
          </w:p>
        </w:tc>
      </w:tr>
      <w:tr w:rsidR="00DE12A3" w:rsidRPr="00DE12A3" w14:paraId="03A8173D" w14:textId="77777777" w:rsidTr="009F4766">
        <w:tc>
          <w:tcPr>
            <w:tcW w:w="1182" w:type="dxa"/>
            <w:tcBorders>
              <w:top w:val="single" w:sz="2" w:space="0" w:color="auto"/>
              <w:left w:val="single" w:sz="2" w:space="0" w:color="auto"/>
              <w:bottom w:val="single" w:sz="2" w:space="0" w:color="auto"/>
              <w:right w:val="single" w:sz="2" w:space="0" w:color="auto"/>
            </w:tcBorders>
          </w:tcPr>
          <w:p w14:paraId="568DF6E0" w14:textId="77777777" w:rsidR="009F4766" w:rsidRPr="00DE12A3" w:rsidRDefault="009F4766" w:rsidP="00C917D6">
            <w:pPr>
              <w:pStyle w:val="NormalLeft"/>
            </w:pPr>
            <w:r w:rsidRPr="00DE12A3">
              <w:t>1113</w:t>
            </w:r>
          </w:p>
        </w:tc>
        <w:tc>
          <w:tcPr>
            <w:tcW w:w="2489" w:type="dxa"/>
            <w:tcBorders>
              <w:top w:val="single" w:sz="2" w:space="0" w:color="auto"/>
              <w:left w:val="single" w:sz="2" w:space="0" w:color="auto"/>
              <w:bottom w:val="single" w:sz="2" w:space="0" w:color="auto"/>
              <w:right w:val="single" w:sz="2" w:space="0" w:color="auto"/>
            </w:tcBorders>
          </w:tcPr>
          <w:p w14:paraId="1F44D0A2" w14:textId="77777777" w:rsidR="009F4766" w:rsidRPr="00DE12A3" w:rsidRDefault="009F4766" w:rsidP="00C917D6">
            <w:pPr>
              <w:pStyle w:val="NormalLeft"/>
            </w:pPr>
            <w:r w:rsidRPr="00DE12A3">
              <w:t>93</w:t>
            </w:r>
          </w:p>
        </w:tc>
        <w:tc>
          <w:tcPr>
            <w:tcW w:w="2551" w:type="dxa"/>
            <w:tcBorders>
              <w:top w:val="single" w:sz="2" w:space="0" w:color="auto"/>
              <w:left w:val="single" w:sz="2" w:space="0" w:color="auto"/>
              <w:bottom w:val="single" w:sz="2" w:space="0" w:color="auto"/>
              <w:right w:val="single" w:sz="2" w:space="0" w:color="auto"/>
            </w:tcBorders>
          </w:tcPr>
          <w:p w14:paraId="2E04A7DA" w14:textId="77777777" w:rsidR="009F4766" w:rsidRPr="00DE12A3" w:rsidRDefault="009F4766" w:rsidP="00C917D6">
            <w:pPr>
              <w:pStyle w:val="NormalLeft"/>
            </w:pPr>
            <w:r w:rsidRPr="00DE12A3">
              <w:t>18</w:t>
            </w:r>
          </w:p>
        </w:tc>
      </w:tr>
      <w:tr w:rsidR="00DE12A3" w:rsidRPr="00DE12A3" w14:paraId="13A0ADE9" w14:textId="77777777" w:rsidTr="009F4766">
        <w:tc>
          <w:tcPr>
            <w:tcW w:w="1182" w:type="dxa"/>
            <w:tcBorders>
              <w:top w:val="single" w:sz="2" w:space="0" w:color="auto"/>
              <w:left w:val="single" w:sz="2" w:space="0" w:color="auto"/>
              <w:bottom w:val="single" w:sz="2" w:space="0" w:color="auto"/>
              <w:right w:val="single" w:sz="2" w:space="0" w:color="auto"/>
            </w:tcBorders>
          </w:tcPr>
          <w:p w14:paraId="629025BF" w14:textId="77777777" w:rsidR="009F4766" w:rsidRPr="00DE12A3" w:rsidRDefault="009F4766" w:rsidP="00C917D6">
            <w:pPr>
              <w:pStyle w:val="NormalLeft"/>
            </w:pPr>
            <w:r w:rsidRPr="00DE12A3">
              <w:t>1114</w:t>
            </w:r>
          </w:p>
        </w:tc>
        <w:tc>
          <w:tcPr>
            <w:tcW w:w="2489" w:type="dxa"/>
            <w:tcBorders>
              <w:top w:val="single" w:sz="2" w:space="0" w:color="auto"/>
              <w:left w:val="single" w:sz="2" w:space="0" w:color="auto"/>
              <w:bottom w:val="single" w:sz="2" w:space="0" w:color="auto"/>
              <w:right w:val="single" w:sz="2" w:space="0" w:color="auto"/>
            </w:tcBorders>
          </w:tcPr>
          <w:p w14:paraId="4F04FF21" w14:textId="77777777" w:rsidR="009F4766" w:rsidRPr="00DE12A3" w:rsidRDefault="009F4766" w:rsidP="00C917D6">
            <w:pPr>
              <w:pStyle w:val="NormalLeft"/>
            </w:pPr>
            <w:r w:rsidRPr="00DE12A3">
              <w:t>93</w:t>
            </w:r>
          </w:p>
        </w:tc>
        <w:tc>
          <w:tcPr>
            <w:tcW w:w="2551" w:type="dxa"/>
            <w:tcBorders>
              <w:top w:val="single" w:sz="2" w:space="0" w:color="auto"/>
              <w:left w:val="single" w:sz="2" w:space="0" w:color="auto"/>
              <w:bottom w:val="single" w:sz="2" w:space="0" w:color="auto"/>
              <w:right w:val="single" w:sz="2" w:space="0" w:color="auto"/>
            </w:tcBorders>
          </w:tcPr>
          <w:p w14:paraId="0DBC80AA" w14:textId="77777777" w:rsidR="009F4766" w:rsidRPr="00DE12A3" w:rsidRDefault="009F4766" w:rsidP="00C917D6">
            <w:pPr>
              <w:pStyle w:val="NormalLeft"/>
            </w:pPr>
            <w:r w:rsidRPr="00DE12A3">
              <w:t>18</w:t>
            </w:r>
          </w:p>
        </w:tc>
      </w:tr>
      <w:tr w:rsidR="00DE12A3" w:rsidRPr="00DE12A3" w14:paraId="6D5C7300" w14:textId="77777777" w:rsidTr="009F4766">
        <w:tc>
          <w:tcPr>
            <w:tcW w:w="1182" w:type="dxa"/>
            <w:tcBorders>
              <w:top w:val="single" w:sz="2" w:space="0" w:color="auto"/>
              <w:left w:val="single" w:sz="2" w:space="0" w:color="auto"/>
              <w:bottom w:val="single" w:sz="2" w:space="0" w:color="auto"/>
              <w:right w:val="single" w:sz="2" w:space="0" w:color="auto"/>
            </w:tcBorders>
          </w:tcPr>
          <w:p w14:paraId="163C874F" w14:textId="77777777" w:rsidR="009F4766" w:rsidRPr="00DE12A3" w:rsidRDefault="009F4766" w:rsidP="00C917D6">
            <w:pPr>
              <w:pStyle w:val="NormalLeft"/>
            </w:pPr>
            <w:r w:rsidRPr="00DE12A3">
              <w:t>1115</w:t>
            </w:r>
          </w:p>
        </w:tc>
        <w:tc>
          <w:tcPr>
            <w:tcW w:w="2489" w:type="dxa"/>
            <w:tcBorders>
              <w:top w:val="single" w:sz="2" w:space="0" w:color="auto"/>
              <w:left w:val="single" w:sz="2" w:space="0" w:color="auto"/>
              <w:bottom w:val="single" w:sz="2" w:space="0" w:color="auto"/>
              <w:right w:val="single" w:sz="2" w:space="0" w:color="auto"/>
            </w:tcBorders>
          </w:tcPr>
          <w:p w14:paraId="2B1F9600" w14:textId="77777777" w:rsidR="009F4766" w:rsidRPr="00DE12A3" w:rsidRDefault="009F4766" w:rsidP="00C917D6">
            <w:pPr>
              <w:pStyle w:val="NormalLeft"/>
            </w:pPr>
            <w:r w:rsidRPr="00DE12A3">
              <w:t>93</w:t>
            </w:r>
          </w:p>
        </w:tc>
        <w:tc>
          <w:tcPr>
            <w:tcW w:w="2551" w:type="dxa"/>
            <w:tcBorders>
              <w:top w:val="single" w:sz="2" w:space="0" w:color="auto"/>
              <w:left w:val="single" w:sz="2" w:space="0" w:color="auto"/>
              <w:bottom w:val="single" w:sz="2" w:space="0" w:color="auto"/>
              <w:right w:val="single" w:sz="2" w:space="0" w:color="auto"/>
            </w:tcBorders>
          </w:tcPr>
          <w:p w14:paraId="75CA4F98" w14:textId="77777777" w:rsidR="009F4766" w:rsidRPr="00DE12A3" w:rsidRDefault="009F4766" w:rsidP="00C917D6">
            <w:pPr>
              <w:pStyle w:val="NormalLeft"/>
            </w:pPr>
            <w:r w:rsidRPr="00DE12A3">
              <w:t>18</w:t>
            </w:r>
          </w:p>
        </w:tc>
      </w:tr>
      <w:tr w:rsidR="00DE12A3" w:rsidRPr="00DE12A3" w14:paraId="1FA8D53B" w14:textId="77777777" w:rsidTr="009F4766">
        <w:tc>
          <w:tcPr>
            <w:tcW w:w="1182" w:type="dxa"/>
            <w:tcBorders>
              <w:top w:val="single" w:sz="2" w:space="0" w:color="auto"/>
              <w:left w:val="single" w:sz="2" w:space="0" w:color="auto"/>
              <w:bottom w:val="single" w:sz="2" w:space="0" w:color="auto"/>
              <w:right w:val="single" w:sz="2" w:space="0" w:color="auto"/>
            </w:tcBorders>
          </w:tcPr>
          <w:p w14:paraId="0EB4BFB6" w14:textId="77777777" w:rsidR="009F4766" w:rsidRPr="00DE12A3" w:rsidRDefault="009F4766" w:rsidP="00C917D6">
            <w:pPr>
              <w:pStyle w:val="NormalLeft"/>
            </w:pPr>
            <w:r w:rsidRPr="00DE12A3">
              <w:t>1116</w:t>
            </w:r>
          </w:p>
        </w:tc>
        <w:tc>
          <w:tcPr>
            <w:tcW w:w="2489" w:type="dxa"/>
            <w:tcBorders>
              <w:top w:val="single" w:sz="2" w:space="0" w:color="auto"/>
              <w:left w:val="single" w:sz="2" w:space="0" w:color="auto"/>
              <w:bottom w:val="single" w:sz="2" w:space="0" w:color="auto"/>
              <w:right w:val="single" w:sz="2" w:space="0" w:color="auto"/>
            </w:tcBorders>
          </w:tcPr>
          <w:p w14:paraId="472B7492" w14:textId="77777777" w:rsidR="009F4766" w:rsidRPr="00DE12A3" w:rsidRDefault="009F4766" w:rsidP="00C917D6">
            <w:pPr>
              <w:pStyle w:val="NormalLeft"/>
            </w:pPr>
            <w:r w:rsidRPr="00DE12A3">
              <w:t>93</w:t>
            </w:r>
          </w:p>
        </w:tc>
        <w:tc>
          <w:tcPr>
            <w:tcW w:w="2551" w:type="dxa"/>
            <w:tcBorders>
              <w:top w:val="single" w:sz="2" w:space="0" w:color="auto"/>
              <w:left w:val="single" w:sz="2" w:space="0" w:color="auto"/>
              <w:bottom w:val="single" w:sz="2" w:space="0" w:color="auto"/>
              <w:right w:val="single" w:sz="2" w:space="0" w:color="auto"/>
            </w:tcBorders>
          </w:tcPr>
          <w:p w14:paraId="6923DB81" w14:textId="77777777" w:rsidR="009F4766" w:rsidRPr="00DE12A3" w:rsidRDefault="009F4766" w:rsidP="00C917D6">
            <w:pPr>
              <w:pStyle w:val="NormalLeft"/>
            </w:pPr>
            <w:r w:rsidRPr="00DE12A3">
              <w:t>19</w:t>
            </w:r>
          </w:p>
        </w:tc>
      </w:tr>
      <w:tr w:rsidR="00DE12A3" w:rsidRPr="00DE12A3" w14:paraId="6F32C483" w14:textId="77777777" w:rsidTr="009F4766">
        <w:tc>
          <w:tcPr>
            <w:tcW w:w="1182" w:type="dxa"/>
            <w:tcBorders>
              <w:top w:val="single" w:sz="2" w:space="0" w:color="auto"/>
              <w:left w:val="single" w:sz="2" w:space="0" w:color="auto"/>
              <w:bottom w:val="single" w:sz="2" w:space="0" w:color="auto"/>
              <w:right w:val="single" w:sz="2" w:space="0" w:color="auto"/>
            </w:tcBorders>
          </w:tcPr>
          <w:p w14:paraId="2B090B75" w14:textId="77777777" w:rsidR="009F4766" w:rsidRPr="00DE12A3" w:rsidRDefault="009F4766" w:rsidP="00C917D6">
            <w:pPr>
              <w:pStyle w:val="NormalLeft"/>
            </w:pPr>
            <w:r w:rsidRPr="00DE12A3">
              <w:t>1117</w:t>
            </w:r>
          </w:p>
        </w:tc>
        <w:tc>
          <w:tcPr>
            <w:tcW w:w="2489" w:type="dxa"/>
            <w:tcBorders>
              <w:top w:val="single" w:sz="2" w:space="0" w:color="auto"/>
              <w:left w:val="single" w:sz="2" w:space="0" w:color="auto"/>
              <w:bottom w:val="single" w:sz="2" w:space="0" w:color="auto"/>
              <w:right w:val="single" w:sz="2" w:space="0" w:color="auto"/>
            </w:tcBorders>
          </w:tcPr>
          <w:p w14:paraId="150944E0" w14:textId="77777777" w:rsidR="009F4766" w:rsidRPr="00DE12A3" w:rsidRDefault="009F4766" w:rsidP="00C917D6">
            <w:pPr>
              <w:pStyle w:val="NormalLeft"/>
            </w:pPr>
            <w:r w:rsidRPr="00DE12A3">
              <w:t>93</w:t>
            </w:r>
          </w:p>
        </w:tc>
        <w:tc>
          <w:tcPr>
            <w:tcW w:w="2551" w:type="dxa"/>
            <w:tcBorders>
              <w:top w:val="single" w:sz="2" w:space="0" w:color="auto"/>
              <w:left w:val="single" w:sz="2" w:space="0" w:color="auto"/>
              <w:bottom w:val="single" w:sz="2" w:space="0" w:color="auto"/>
              <w:right w:val="single" w:sz="2" w:space="0" w:color="auto"/>
            </w:tcBorders>
          </w:tcPr>
          <w:p w14:paraId="1FA3EFC9" w14:textId="77777777" w:rsidR="009F4766" w:rsidRPr="00DE12A3" w:rsidRDefault="009F4766" w:rsidP="00C917D6">
            <w:pPr>
              <w:pStyle w:val="NormalLeft"/>
            </w:pPr>
            <w:r w:rsidRPr="00DE12A3">
              <w:t>22</w:t>
            </w:r>
          </w:p>
        </w:tc>
      </w:tr>
      <w:tr w:rsidR="00DE12A3" w:rsidRPr="00DE12A3" w14:paraId="58BFCF25" w14:textId="77777777" w:rsidTr="009F4766">
        <w:tc>
          <w:tcPr>
            <w:tcW w:w="1182" w:type="dxa"/>
            <w:tcBorders>
              <w:top w:val="single" w:sz="2" w:space="0" w:color="auto"/>
              <w:left w:val="single" w:sz="2" w:space="0" w:color="auto"/>
              <w:bottom w:val="single" w:sz="2" w:space="0" w:color="auto"/>
              <w:right w:val="single" w:sz="2" w:space="0" w:color="auto"/>
            </w:tcBorders>
          </w:tcPr>
          <w:p w14:paraId="09A9D545" w14:textId="77777777" w:rsidR="009F4766" w:rsidRPr="00DE12A3" w:rsidRDefault="009F4766" w:rsidP="00C917D6">
            <w:pPr>
              <w:pStyle w:val="NormalLeft"/>
            </w:pPr>
            <w:r w:rsidRPr="00DE12A3">
              <w:t>1118</w:t>
            </w:r>
          </w:p>
        </w:tc>
        <w:tc>
          <w:tcPr>
            <w:tcW w:w="2489" w:type="dxa"/>
            <w:tcBorders>
              <w:top w:val="single" w:sz="2" w:space="0" w:color="auto"/>
              <w:left w:val="single" w:sz="2" w:space="0" w:color="auto"/>
              <w:bottom w:val="single" w:sz="2" w:space="0" w:color="auto"/>
              <w:right w:val="single" w:sz="2" w:space="0" w:color="auto"/>
            </w:tcBorders>
          </w:tcPr>
          <w:p w14:paraId="53677F53" w14:textId="77777777" w:rsidR="009F4766" w:rsidRPr="00DE12A3" w:rsidRDefault="009F4766" w:rsidP="00C917D6">
            <w:pPr>
              <w:pStyle w:val="NormalLeft"/>
            </w:pPr>
            <w:r w:rsidRPr="00DE12A3">
              <w:t>93</w:t>
            </w:r>
          </w:p>
        </w:tc>
        <w:tc>
          <w:tcPr>
            <w:tcW w:w="2551" w:type="dxa"/>
            <w:tcBorders>
              <w:top w:val="single" w:sz="2" w:space="0" w:color="auto"/>
              <w:left w:val="single" w:sz="2" w:space="0" w:color="auto"/>
              <w:bottom w:val="single" w:sz="2" w:space="0" w:color="auto"/>
              <w:right w:val="single" w:sz="2" w:space="0" w:color="auto"/>
            </w:tcBorders>
          </w:tcPr>
          <w:p w14:paraId="448C6307" w14:textId="77777777" w:rsidR="009F4766" w:rsidRPr="00DE12A3" w:rsidRDefault="009F4766" w:rsidP="00C917D6">
            <w:pPr>
              <w:pStyle w:val="NormalLeft"/>
            </w:pPr>
            <w:r w:rsidRPr="00DE12A3">
              <w:t>22</w:t>
            </w:r>
          </w:p>
        </w:tc>
      </w:tr>
      <w:tr w:rsidR="00DE12A3" w:rsidRPr="00DE12A3" w14:paraId="68EAA198" w14:textId="77777777" w:rsidTr="009F4766">
        <w:tc>
          <w:tcPr>
            <w:tcW w:w="1182" w:type="dxa"/>
            <w:tcBorders>
              <w:top w:val="single" w:sz="2" w:space="0" w:color="auto"/>
              <w:left w:val="single" w:sz="2" w:space="0" w:color="auto"/>
              <w:bottom w:val="single" w:sz="2" w:space="0" w:color="auto"/>
              <w:right w:val="single" w:sz="2" w:space="0" w:color="auto"/>
            </w:tcBorders>
          </w:tcPr>
          <w:p w14:paraId="517AA2D8" w14:textId="77777777" w:rsidR="009F4766" w:rsidRPr="00DE12A3" w:rsidRDefault="009F4766" w:rsidP="00C917D6">
            <w:pPr>
              <w:pStyle w:val="NormalLeft"/>
            </w:pPr>
            <w:r w:rsidRPr="00DE12A3">
              <w:t>1119</w:t>
            </w:r>
          </w:p>
        </w:tc>
        <w:tc>
          <w:tcPr>
            <w:tcW w:w="2489" w:type="dxa"/>
            <w:tcBorders>
              <w:top w:val="single" w:sz="2" w:space="0" w:color="auto"/>
              <w:left w:val="single" w:sz="2" w:space="0" w:color="auto"/>
              <w:bottom w:val="single" w:sz="2" w:space="0" w:color="auto"/>
              <w:right w:val="single" w:sz="2" w:space="0" w:color="auto"/>
            </w:tcBorders>
          </w:tcPr>
          <w:p w14:paraId="68C62197" w14:textId="77777777" w:rsidR="009F4766" w:rsidRPr="00DE12A3" w:rsidRDefault="009F4766" w:rsidP="00C917D6">
            <w:pPr>
              <w:pStyle w:val="NormalLeft"/>
            </w:pPr>
            <w:r w:rsidRPr="00DE12A3">
              <w:t>93</w:t>
            </w:r>
          </w:p>
        </w:tc>
        <w:tc>
          <w:tcPr>
            <w:tcW w:w="2551" w:type="dxa"/>
            <w:tcBorders>
              <w:top w:val="single" w:sz="2" w:space="0" w:color="auto"/>
              <w:left w:val="single" w:sz="2" w:space="0" w:color="auto"/>
              <w:bottom w:val="single" w:sz="2" w:space="0" w:color="auto"/>
              <w:right w:val="single" w:sz="2" w:space="0" w:color="auto"/>
            </w:tcBorders>
          </w:tcPr>
          <w:p w14:paraId="140397FE" w14:textId="77777777" w:rsidR="009F4766" w:rsidRPr="00DE12A3" w:rsidRDefault="009F4766" w:rsidP="00C917D6">
            <w:pPr>
              <w:pStyle w:val="NormalLeft"/>
            </w:pPr>
            <w:r w:rsidRPr="00DE12A3">
              <w:t>19</w:t>
            </w:r>
          </w:p>
        </w:tc>
      </w:tr>
      <w:tr w:rsidR="00DE12A3" w:rsidRPr="00DE12A3" w14:paraId="619F219E" w14:textId="77777777" w:rsidTr="009F4766">
        <w:tc>
          <w:tcPr>
            <w:tcW w:w="1182" w:type="dxa"/>
            <w:tcBorders>
              <w:top w:val="single" w:sz="2" w:space="0" w:color="auto"/>
              <w:left w:val="single" w:sz="2" w:space="0" w:color="auto"/>
              <w:bottom w:val="single" w:sz="2" w:space="0" w:color="auto"/>
              <w:right w:val="single" w:sz="2" w:space="0" w:color="auto"/>
            </w:tcBorders>
          </w:tcPr>
          <w:p w14:paraId="0C463883" w14:textId="77777777" w:rsidR="009F4766" w:rsidRPr="00DE12A3" w:rsidRDefault="009F4766" w:rsidP="00C917D6">
            <w:pPr>
              <w:pStyle w:val="NormalLeft"/>
            </w:pPr>
            <w:r w:rsidRPr="00DE12A3">
              <w:t>1120</w:t>
            </w:r>
          </w:p>
        </w:tc>
        <w:tc>
          <w:tcPr>
            <w:tcW w:w="2489" w:type="dxa"/>
            <w:tcBorders>
              <w:top w:val="single" w:sz="2" w:space="0" w:color="auto"/>
              <w:left w:val="single" w:sz="2" w:space="0" w:color="auto"/>
              <w:bottom w:val="single" w:sz="2" w:space="0" w:color="auto"/>
              <w:right w:val="single" w:sz="2" w:space="0" w:color="auto"/>
            </w:tcBorders>
          </w:tcPr>
          <w:p w14:paraId="7CF2A977" w14:textId="77777777" w:rsidR="009F4766" w:rsidRPr="00DE12A3" w:rsidRDefault="009F4766" w:rsidP="00C917D6">
            <w:pPr>
              <w:pStyle w:val="NormalLeft"/>
            </w:pPr>
            <w:r w:rsidRPr="00DE12A3">
              <w:t>93</w:t>
            </w:r>
          </w:p>
        </w:tc>
        <w:tc>
          <w:tcPr>
            <w:tcW w:w="2551" w:type="dxa"/>
            <w:tcBorders>
              <w:top w:val="single" w:sz="2" w:space="0" w:color="auto"/>
              <w:left w:val="single" w:sz="2" w:space="0" w:color="auto"/>
              <w:bottom w:val="single" w:sz="2" w:space="0" w:color="auto"/>
              <w:right w:val="single" w:sz="2" w:space="0" w:color="auto"/>
            </w:tcBorders>
          </w:tcPr>
          <w:p w14:paraId="045C3D0F" w14:textId="77777777" w:rsidR="009F4766" w:rsidRPr="00DE12A3" w:rsidRDefault="009F4766" w:rsidP="00C917D6">
            <w:pPr>
              <w:pStyle w:val="NormalLeft"/>
            </w:pPr>
            <w:r w:rsidRPr="00DE12A3">
              <w:t>17</w:t>
            </w:r>
          </w:p>
        </w:tc>
      </w:tr>
      <w:tr w:rsidR="00DE12A3" w:rsidRPr="00DE12A3" w14:paraId="7B56663A" w14:textId="77777777" w:rsidTr="009F4766">
        <w:tc>
          <w:tcPr>
            <w:tcW w:w="1182" w:type="dxa"/>
            <w:tcBorders>
              <w:top w:val="single" w:sz="2" w:space="0" w:color="auto"/>
              <w:left w:val="single" w:sz="2" w:space="0" w:color="auto"/>
              <w:bottom w:val="single" w:sz="2" w:space="0" w:color="auto"/>
              <w:right w:val="single" w:sz="2" w:space="0" w:color="auto"/>
            </w:tcBorders>
          </w:tcPr>
          <w:p w14:paraId="30D99AF1" w14:textId="77777777" w:rsidR="009F4766" w:rsidRPr="00DE12A3" w:rsidRDefault="009F4766" w:rsidP="00C917D6">
            <w:pPr>
              <w:pStyle w:val="NormalLeft"/>
            </w:pPr>
            <w:r w:rsidRPr="00DE12A3">
              <w:t>1121</w:t>
            </w:r>
          </w:p>
        </w:tc>
        <w:tc>
          <w:tcPr>
            <w:tcW w:w="2489" w:type="dxa"/>
            <w:tcBorders>
              <w:top w:val="single" w:sz="2" w:space="0" w:color="auto"/>
              <w:left w:val="single" w:sz="2" w:space="0" w:color="auto"/>
              <w:bottom w:val="single" w:sz="2" w:space="0" w:color="auto"/>
              <w:right w:val="single" w:sz="2" w:space="0" w:color="auto"/>
            </w:tcBorders>
          </w:tcPr>
          <w:p w14:paraId="2719E2A6" w14:textId="77777777" w:rsidR="009F4766" w:rsidRPr="00DE12A3" w:rsidRDefault="009F4766" w:rsidP="00C917D6">
            <w:pPr>
              <w:pStyle w:val="NormalLeft"/>
            </w:pPr>
            <w:r w:rsidRPr="00DE12A3">
              <w:t>93</w:t>
            </w:r>
          </w:p>
        </w:tc>
        <w:tc>
          <w:tcPr>
            <w:tcW w:w="2551" w:type="dxa"/>
            <w:tcBorders>
              <w:top w:val="single" w:sz="2" w:space="0" w:color="auto"/>
              <w:left w:val="single" w:sz="2" w:space="0" w:color="auto"/>
              <w:bottom w:val="single" w:sz="2" w:space="0" w:color="auto"/>
              <w:right w:val="single" w:sz="2" w:space="0" w:color="auto"/>
            </w:tcBorders>
          </w:tcPr>
          <w:p w14:paraId="2718BEA4" w14:textId="77777777" w:rsidR="009F4766" w:rsidRPr="00DE12A3" w:rsidRDefault="009F4766" w:rsidP="00C917D6">
            <w:pPr>
              <w:pStyle w:val="NormalLeft"/>
            </w:pPr>
            <w:r w:rsidRPr="00DE12A3">
              <w:t>17</w:t>
            </w:r>
          </w:p>
        </w:tc>
      </w:tr>
      <w:tr w:rsidR="00DE12A3" w:rsidRPr="00DE12A3" w14:paraId="133158E5" w14:textId="77777777" w:rsidTr="009F4766">
        <w:tc>
          <w:tcPr>
            <w:tcW w:w="1182" w:type="dxa"/>
            <w:tcBorders>
              <w:top w:val="single" w:sz="2" w:space="0" w:color="auto"/>
              <w:left w:val="single" w:sz="2" w:space="0" w:color="auto"/>
              <w:bottom w:val="single" w:sz="2" w:space="0" w:color="auto"/>
              <w:right w:val="single" w:sz="2" w:space="0" w:color="auto"/>
            </w:tcBorders>
          </w:tcPr>
          <w:p w14:paraId="3C9CB84E" w14:textId="77777777" w:rsidR="009F4766" w:rsidRPr="00DE12A3" w:rsidRDefault="009F4766" w:rsidP="00C917D6">
            <w:pPr>
              <w:pStyle w:val="NormalLeft"/>
            </w:pPr>
            <w:r w:rsidRPr="00DE12A3">
              <w:t>1122</w:t>
            </w:r>
          </w:p>
        </w:tc>
        <w:tc>
          <w:tcPr>
            <w:tcW w:w="2489" w:type="dxa"/>
            <w:tcBorders>
              <w:top w:val="single" w:sz="2" w:space="0" w:color="auto"/>
              <w:left w:val="single" w:sz="2" w:space="0" w:color="auto"/>
              <w:bottom w:val="single" w:sz="2" w:space="0" w:color="auto"/>
              <w:right w:val="single" w:sz="2" w:space="0" w:color="auto"/>
            </w:tcBorders>
          </w:tcPr>
          <w:p w14:paraId="63575E47" w14:textId="77777777" w:rsidR="009F4766" w:rsidRPr="00DE12A3" w:rsidRDefault="009F4766" w:rsidP="00C917D6">
            <w:pPr>
              <w:pStyle w:val="NormalLeft"/>
            </w:pPr>
            <w:r w:rsidRPr="00DE12A3">
              <w:t>93</w:t>
            </w:r>
          </w:p>
        </w:tc>
        <w:tc>
          <w:tcPr>
            <w:tcW w:w="2551" w:type="dxa"/>
            <w:tcBorders>
              <w:top w:val="single" w:sz="2" w:space="0" w:color="auto"/>
              <w:left w:val="single" w:sz="2" w:space="0" w:color="auto"/>
              <w:bottom w:val="single" w:sz="2" w:space="0" w:color="auto"/>
              <w:right w:val="single" w:sz="2" w:space="0" w:color="auto"/>
            </w:tcBorders>
          </w:tcPr>
          <w:p w14:paraId="29C8B0BF" w14:textId="77777777" w:rsidR="009F4766" w:rsidRPr="00DE12A3" w:rsidRDefault="009F4766" w:rsidP="00C917D6">
            <w:pPr>
              <w:pStyle w:val="NormalLeft"/>
            </w:pPr>
            <w:r w:rsidRPr="00DE12A3">
              <w:t>18</w:t>
            </w:r>
          </w:p>
        </w:tc>
      </w:tr>
      <w:tr w:rsidR="00DE12A3" w:rsidRPr="00DE12A3" w14:paraId="3C4A269C" w14:textId="77777777" w:rsidTr="009F4766">
        <w:tc>
          <w:tcPr>
            <w:tcW w:w="1182" w:type="dxa"/>
            <w:tcBorders>
              <w:top w:val="single" w:sz="2" w:space="0" w:color="auto"/>
              <w:left w:val="single" w:sz="2" w:space="0" w:color="auto"/>
              <w:bottom w:val="single" w:sz="2" w:space="0" w:color="auto"/>
              <w:right w:val="single" w:sz="2" w:space="0" w:color="auto"/>
            </w:tcBorders>
          </w:tcPr>
          <w:p w14:paraId="672C03EF" w14:textId="77777777" w:rsidR="009F4766" w:rsidRPr="00DE12A3" w:rsidRDefault="009F4766" w:rsidP="00C917D6">
            <w:pPr>
              <w:pStyle w:val="NormalLeft"/>
            </w:pPr>
            <w:r w:rsidRPr="00DE12A3">
              <w:t>1123</w:t>
            </w:r>
          </w:p>
        </w:tc>
        <w:tc>
          <w:tcPr>
            <w:tcW w:w="2489" w:type="dxa"/>
            <w:tcBorders>
              <w:top w:val="single" w:sz="2" w:space="0" w:color="auto"/>
              <w:left w:val="single" w:sz="2" w:space="0" w:color="auto"/>
              <w:bottom w:val="single" w:sz="2" w:space="0" w:color="auto"/>
              <w:right w:val="single" w:sz="2" w:space="0" w:color="auto"/>
            </w:tcBorders>
          </w:tcPr>
          <w:p w14:paraId="1E9FD140" w14:textId="77777777" w:rsidR="009F4766" w:rsidRPr="00DE12A3" w:rsidRDefault="009F4766" w:rsidP="00C917D6">
            <w:pPr>
              <w:pStyle w:val="NormalLeft"/>
            </w:pPr>
            <w:r w:rsidRPr="00DE12A3">
              <w:t>93</w:t>
            </w:r>
          </w:p>
        </w:tc>
        <w:tc>
          <w:tcPr>
            <w:tcW w:w="2551" w:type="dxa"/>
            <w:tcBorders>
              <w:top w:val="single" w:sz="2" w:space="0" w:color="auto"/>
              <w:left w:val="single" w:sz="2" w:space="0" w:color="auto"/>
              <w:bottom w:val="single" w:sz="2" w:space="0" w:color="auto"/>
              <w:right w:val="single" w:sz="2" w:space="0" w:color="auto"/>
            </w:tcBorders>
          </w:tcPr>
          <w:p w14:paraId="742B4D87" w14:textId="77777777" w:rsidR="009F4766" w:rsidRPr="00DE12A3" w:rsidRDefault="009F4766" w:rsidP="00C917D6">
            <w:pPr>
              <w:pStyle w:val="NormalLeft"/>
            </w:pPr>
            <w:r w:rsidRPr="00DE12A3">
              <w:t>18</w:t>
            </w:r>
          </w:p>
        </w:tc>
      </w:tr>
      <w:tr w:rsidR="00DE12A3" w:rsidRPr="00DE12A3" w14:paraId="1041822E" w14:textId="77777777" w:rsidTr="009F4766">
        <w:tc>
          <w:tcPr>
            <w:tcW w:w="1182" w:type="dxa"/>
            <w:tcBorders>
              <w:top w:val="single" w:sz="2" w:space="0" w:color="auto"/>
              <w:left w:val="single" w:sz="2" w:space="0" w:color="auto"/>
              <w:bottom w:val="single" w:sz="2" w:space="0" w:color="auto"/>
              <w:right w:val="single" w:sz="2" w:space="0" w:color="auto"/>
            </w:tcBorders>
          </w:tcPr>
          <w:p w14:paraId="03B7FE2D" w14:textId="77777777" w:rsidR="009F4766" w:rsidRPr="00DE12A3" w:rsidRDefault="009F4766" w:rsidP="00C917D6">
            <w:pPr>
              <w:pStyle w:val="NormalLeft"/>
            </w:pPr>
            <w:r w:rsidRPr="00DE12A3">
              <w:t>1124</w:t>
            </w:r>
          </w:p>
        </w:tc>
        <w:tc>
          <w:tcPr>
            <w:tcW w:w="2489" w:type="dxa"/>
            <w:tcBorders>
              <w:top w:val="single" w:sz="2" w:space="0" w:color="auto"/>
              <w:left w:val="single" w:sz="2" w:space="0" w:color="auto"/>
              <w:bottom w:val="single" w:sz="2" w:space="0" w:color="auto"/>
              <w:right w:val="single" w:sz="2" w:space="0" w:color="auto"/>
            </w:tcBorders>
          </w:tcPr>
          <w:p w14:paraId="449EAD1C" w14:textId="77777777" w:rsidR="009F4766" w:rsidRPr="00DE12A3" w:rsidRDefault="009F4766" w:rsidP="00C917D6">
            <w:pPr>
              <w:pStyle w:val="NormalLeft"/>
            </w:pPr>
            <w:r w:rsidRPr="00DE12A3">
              <w:t>93</w:t>
            </w:r>
          </w:p>
        </w:tc>
        <w:tc>
          <w:tcPr>
            <w:tcW w:w="2551" w:type="dxa"/>
            <w:tcBorders>
              <w:top w:val="single" w:sz="2" w:space="0" w:color="auto"/>
              <w:left w:val="single" w:sz="2" w:space="0" w:color="auto"/>
              <w:bottom w:val="single" w:sz="2" w:space="0" w:color="auto"/>
              <w:right w:val="single" w:sz="2" w:space="0" w:color="auto"/>
            </w:tcBorders>
          </w:tcPr>
          <w:p w14:paraId="1663DDD2" w14:textId="77777777" w:rsidR="009F4766" w:rsidRPr="00DE12A3" w:rsidRDefault="009F4766" w:rsidP="00C917D6">
            <w:pPr>
              <w:pStyle w:val="NormalLeft"/>
            </w:pPr>
            <w:r w:rsidRPr="00DE12A3">
              <w:t>19</w:t>
            </w:r>
          </w:p>
        </w:tc>
      </w:tr>
      <w:tr w:rsidR="00DE12A3" w:rsidRPr="00DE12A3" w14:paraId="38B615D7" w14:textId="77777777" w:rsidTr="009F4766">
        <w:tc>
          <w:tcPr>
            <w:tcW w:w="1182" w:type="dxa"/>
            <w:tcBorders>
              <w:top w:val="single" w:sz="2" w:space="0" w:color="auto"/>
              <w:left w:val="single" w:sz="2" w:space="0" w:color="auto"/>
              <w:bottom w:val="single" w:sz="2" w:space="0" w:color="auto"/>
              <w:right w:val="single" w:sz="2" w:space="0" w:color="auto"/>
            </w:tcBorders>
          </w:tcPr>
          <w:p w14:paraId="3C2BDDBA" w14:textId="77777777" w:rsidR="009F4766" w:rsidRPr="00DE12A3" w:rsidRDefault="009F4766" w:rsidP="00C917D6">
            <w:pPr>
              <w:pStyle w:val="NormalLeft"/>
            </w:pPr>
            <w:r w:rsidRPr="00DE12A3">
              <w:t>1125</w:t>
            </w:r>
          </w:p>
        </w:tc>
        <w:tc>
          <w:tcPr>
            <w:tcW w:w="2489" w:type="dxa"/>
            <w:tcBorders>
              <w:top w:val="single" w:sz="2" w:space="0" w:color="auto"/>
              <w:left w:val="single" w:sz="2" w:space="0" w:color="auto"/>
              <w:bottom w:val="single" w:sz="2" w:space="0" w:color="auto"/>
              <w:right w:val="single" w:sz="2" w:space="0" w:color="auto"/>
            </w:tcBorders>
          </w:tcPr>
          <w:p w14:paraId="79E5F931" w14:textId="77777777" w:rsidR="009F4766" w:rsidRPr="00DE12A3" w:rsidRDefault="009F4766" w:rsidP="00C917D6">
            <w:pPr>
              <w:pStyle w:val="NormalLeft"/>
            </w:pPr>
            <w:r w:rsidRPr="00DE12A3">
              <w:t>93</w:t>
            </w:r>
          </w:p>
        </w:tc>
        <w:tc>
          <w:tcPr>
            <w:tcW w:w="2551" w:type="dxa"/>
            <w:tcBorders>
              <w:top w:val="single" w:sz="2" w:space="0" w:color="auto"/>
              <w:left w:val="single" w:sz="2" w:space="0" w:color="auto"/>
              <w:bottom w:val="single" w:sz="2" w:space="0" w:color="auto"/>
              <w:right w:val="single" w:sz="2" w:space="0" w:color="auto"/>
            </w:tcBorders>
          </w:tcPr>
          <w:p w14:paraId="0695B7BA" w14:textId="77777777" w:rsidR="009F4766" w:rsidRPr="00DE12A3" w:rsidRDefault="009F4766" w:rsidP="00C917D6">
            <w:pPr>
              <w:pStyle w:val="NormalLeft"/>
            </w:pPr>
            <w:r w:rsidRPr="00DE12A3">
              <w:t>19</w:t>
            </w:r>
          </w:p>
        </w:tc>
      </w:tr>
      <w:tr w:rsidR="00DE12A3" w:rsidRPr="00DE12A3" w14:paraId="457418DF" w14:textId="77777777" w:rsidTr="009F4766">
        <w:tc>
          <w:tcPr>
            <w:tcW w:w="1182" w:type="dxa"/>
            <w:tcBorders>
              <w:top w:val="single" w:sz="2" w:space="0" w:color="auto"/>
              <w:left w:val="single" w:sz="2" w:space="0" w:color="auto"/>
              <w:bottom w:val="single" w:sz="2" w:space="0" w:color="auto"/>
              <w:right w:val="single" w:sz="2" w:space="0" w:color="auto"/>
            </w:tcBorders>
          </w:tcPr>
          <w:p w14:paraId="3C70A695" w14:textId="77777777" w:rsidR="009F4766" w:rsidRPr="00DE12A3" w:rsidRDefault="009F4766" w:rsidP="00C917D6">
            <w:pPr>
              <w:pStyle w:val="NormalLeft"/>
            </w:pPr>
            <w:r w:rsidRPr="00DE12A3">
              <w:t>1126</w:t>
            </w:r>
          </w:p>
        </w:tc>
        <w:tc>
          <w:tcPr>
            <w:tcW w:w="2489" w:type="dxa"/>
            <w:tcBorders>
              <w:top w:val="single" w:sz="2" w:space="0" w:color="auto"/>
              <w:left w:val="single" w:sz="2" w:space="0" w:color="auto"/>
              <w:bottom w:val="single" w:sz="2" w:space="0" w:color="auto"/>
              <w:right w:val="single" w:sz="2" w:space="0" w:color="auto"/>
            </w:tcBorders>
          </w:tcPr>
          <w:p w14:paraId="48B374ED" w14:textId="77777777" w:rsidR="009F4766" w:rsidRPr="00DE12A3" w:rsidRDefault="009F4766" w:rsidP="00C917D6">
            <w:pPr>
              <w:pStyle w:val="NormalLeft"/>
            </w:pPr>
            <w:r w:rsidRPr="00DE12A3">
              <w:t>93</w:t>
            </w:r>
          </w:p>
        </w:tc>
        <w:tc>
          <w:tcPr>
            <w:tcW w:w="2551" w:type="dxa"/>
            <w:tcBorders>
              <w:top w:val="single" w:sz="2" w:space="0" w:color="auto"/>
              <w:left w:val="single" w:sz="2" w:space="0" w:color="auto"/>
              <w:bottom w:val="single" w:sz="2" w:space="0" w:color="auto"/>
              <w:right w:val="single" w:sz="2" w:space="0" w:color="auto"/>
            </w:tcBorders>
          </w:tcPr>
          <w:p w14:paraId="279976ED" w14:textId="77777777" w:rsidR="009F4766" w:rsidRPr="00DE12A3" w:rsidRDefault="009F4766" w:rsidP="00C917D6">
            <w:pPr>
              <w:pStyle w:val="NormalLeft"/>
            </w:pPr>
            <w:r w:rsidRPr="00DE12A3">
              <w:t>20</w:t>
            </w:r>
          </w:p>
        </w:tc>
      </w:tr>
      <w:tr w:rsidR="00DE12A3" w:rsidRPr="00DE12A3" w14:paraId="704D14F1" w14:textId="77777777" w:rsidTr="009F4766">
        <w:tc>
          <w:tcPr>
            <w:tcW w:w="1182" w:type="dxa"/>
            <w:tcBorders>
              <w:top w:val="single" w:sz="2" w:space="0" w:color="auto"/>
              <w:left w:val="single" w:sz="2" w:space="0" w:color="auto"/>
              <w:bottom w:val="single" w:sz="2" w:space="0" w:color="auto"/>
              <w:right w:val="single" w:sz="2" w:space="0" w:color="auto"/>
            </w:tcBorders>
          </w:tcPr>
          <w:p w14:paraId="11EAF463" w14:textId="77777777" w:rsidR="009F4766" w:rsidRPr="00DE12A3" w:rsidRDefault="009F4766" w:rsidP="00C917D6">
            <w:pPr>
              <w:pStyle w:val="NormalLeft"/>
            </w:pPr>
            <w:r w:rsidRPr="00DE12A3">
              <w:t>1127</w:t>
            </w:r>
          </w:p>
        </w:tc>
        <w:tc>
          <w:tcPr>
            <w:tcW w:w="2489" w:type="dxa"/>
            <w:tcBorders>
              <w:top w:val="single" w:sz="2" w:space="0" w:color="auto"/>
              <w:left w:val="single" w:sz="2" w:space="0" w:color="auto"/>
              <w:bottom w:val="single" w:sz="2" w:space="0" w:color="auto"/>
              <w:right w:val="single" w:sz="2" w:space="0" w:color="auto"/>
            </w:tcBorders>
          </w:tcPr>
          <w:p w14:paraId="7DAE377A" w14:textId="77777777" w:rsidR="009F4766" w:rsidRPr="00DE12A3" w:rsidRDefault="009F4766" w:rsidP="00C917D6">
            <w:pPr>
              <w:pStyle w:val="NormalLeft"/>
            </w:pPr>
            <w:r w:rsidRPr="00DE12A3">
              <w:t>93</w:t>
            </w:r>
          </w:p>
        </w:tc>
        <w:tc>
          <w:tcPr>
            <w:tcW w:w="2551" w:type="dxa"/>
            <w:tcBorders>
              <w:top w:val="single" w:sz="2" w:space="0" w:color="auto"/>
              <w:left w:val="single" w:sz="2" w:space="0" w:color="auto"/>
              <w:bottom w:val="single" w:sz="2" w:space="0" w:color="auto"/>
              <w:right w:val="single" w:sz="2" w:space="0" w:color="auto"/>
            </w:tcBorders>
          </w:tcPr>
          <w:p w14:paraId="1F934865" w14:textId="77777777" w:rsidR="009F4766" w:rsidRPr="00DE12A3" w:rsidRDefault="009F4766" w:rsidP="00C917D6">
            <w:pPr>
              <w:pStyle w:val="NormalLeft"/>
            </w:pPr>
            <w:r w:rsidRPr="00DE12A3">
              <w:t>19</w:t>
            </w:r>
          </w:p>
        </w:tc>
      </w:tr>
      <w:tr w:rsidR="00DE12A3" w:rsidRPr="00DE12A3" w14:paraId="67DFB0C2" w14:textId="77777777" w:rsidTr="009F4766">
        <w:tc>
          <w:tcPr>
            <w:tcW w:w="1182" w:type="dxa"/>
            <w:tcBorders>
              <w:top w:val="single" w:sz="2" w:space="0" w:color="auto"/>
              <w:left w:val="single" w:sz="2" w:space="0" w:color="auto"/>
              <w:bottom w:val="single" w:sz="2" w:space="0" w:color="auto"/>
              <w:right w:val="single" w:sz="2" w:space="0" w:color="auto"/>
            </w:tcBorders>
          </w:tcPr>
          <w:p w14:paraId="582961FA" w14:textId="77777777" w:rsidR="009F4766" w:rsidRPr="00DE12A3" w:rsidRDefault="009F4766" w:rsidP="00C917D6">
            <w:pPr>
              <w:pStyle w:val="NormalLeft"/>
            </w:pPr>
            <w:r w:rsidRPr="00DE12A3">
              <w:t>1128</w:t>
            </w:r>
          </w:p>
        </w:tc>
        <w:tc>
          <w:tcPr>
            <w:tcW w:w="2489" w:type="dxa"/>
            <w:tcBorders>
              <w:top w:val="single" w:sz="2" w:space="0" w:color="auto"/>
              <w:left w:val="single" w:sz="2" w:space="0" w:color="auto"/>
              <w:bottom w:val="single" w:sz="2" w:space="0" w:color="auto"/>
              <w:right w:val="single" w:sz="2" w:space="0" w:color="auto"/>
            </w:tcBorders>
          </w:tcPr>
          <w:p w14:paraId="46A09A8C" w14:textId="77777777" w:rsidR="009F4766" w:rsidRPr="00DE12A3" w:rsidRDefault="009F4766" w:rsidP="00C917D6">
            <w:pPr>
              <w:pStyle w:val="NormalLeft"/>
            </w:pPr>
            <w:r w:rsidRPr="00DE12A3">
              <w:t>93</w:t>
            </w:r>
          </w:p>
        </w:tc>
        <w:tc>
          <w:tcPr>
            <w:tcW w:w="2551" w:type="dxa"/>
            <w:tcBorders>
              <w:top w:val="single" w:sz="2" w:space="0" w:color="auto"/>
              <w:left w:val="single" w:sz="2" w:space="0" w:color="auto"/>
              <w:bottom w:val="single" w:sz="2" w:space="0" w:color="auto"/>
              <w:right w:val="single" w:sz="2" w:space="0" w:color="auto"/>
            </w:tcBorders>
          </w:tcPr>
          <w:p w14:paraId="1A55C7D3" w14:textId="77777777" w:rsidR="009F4766" w:rsidRPr="00DE12A3" w:rsidRDefault="009F4766" w:rsidP="00C917D6">
            <w:pPr>
              <w:pStyle w:val="NormalLeft"/>
            </w:pPr>
            <w:r w:rsidRPr="00DE12A3">
              <w:t>20</w:t>
            </w:r>
          </w:p>
        </w:tc>
      </w:tr>
      <w:tr w:rsidR="00DE12A3" w:rsidRPr="00DE12A3" w14:paraId="7B584850" w14:textId="77777777" w:rsidTr="009F4766">
        <w:tc>
          <w:tcPr>
            <w:tcW w:w="1182" w:type="dxa"/>
            <w:tcBorders>
              <w:top w:val="single" w:sz="2" w:space="0" w:color="auto"/>
              <w:left w:val="single" w:sz="2" w:space="0" w:color="auto"/>
              <w:bottom w:val="single" w:sz="2" w:space="0" w:color="auto"/>
              <w:right w:val="single" w:sz="2" w:space="0" w:color="auto"/>
            </w:tcBorders>
          </w:tcPr>
          <w:p w14:paraId="0B8CEAC8" w14:textId="77777777" w:rsidR="009F4766" w:rsidRPr="00DE12A3" w:rsidRDefault="009F4766" w:rsidP="00C917D6">
            <w:pPr>
              <w:pStyle w:val="NormalLeft"/>
            </w:pPr>
            <w:r w:rsidRPr="00DE12A3">
              <w:t>1129</w:t>
            </w:r>
          </w:p>
        </w:tc>
        <w:tc>
          <w:tcPr>
            <w:tcW w:w="2489" w:type="dxa"/>
            <w:tcBorders>
              <w:top w:val="single" w:sz="2" w:space="0" w:color="auto"/>
              <w:left w:val="single" w:sz="2" w:space="0" w:color="auto"/>
              <w:bottom w:val="single" w:sz="2" w:space="0" w:color="auto"/>
              <w:right w:val="single" w:sz="2" w:space="0" w:color="auto"/>
            </w:tcBorders>
          </w:tcPr>
          <w:p w14:paraId="3817A823" w14:textId="77777777" w:rsidR="009F4766" w:rsidRPr="00DE12A3" w:rsidRDefault="009F4766" w:rsidP="00C917D6">
            <w:pPr>
              <w:pStyle w:val="NormalLeft"/>
            </w:pPr>
            <w:r w:rsidRPr="00DE12A3">
              <w:t>93</w:t>
            </w:r>
          </w:p>
        </w:tc>
        <w:tc>
          <w:tcPr>
            <w:tcW w:w="2551" w:type="dxa"/>
            <w:tcBorders>
              <w:top w:val="single" w:sz="2" w:space="0" w:color="auto"/>
              <w:left w:val="single" w:sz="2" w:space="0" w:color="auto"/>
              <w:bottom w:val="single" w:sz="2" w:space="0" w:color="auto"/>
              <w:right w:val="single" w:sz="2" w:space="0" w:color="auto"/>
            </w:tcBorders>
          </w:tcPr>
          <w:p w14:paraId="7E9A2A5E" w14:textId="77777777" w:rsidR="009F4766" w:rsidRPr="00DE12A3" w:rsidRDefault="009F4766" w:rsidP="00C917D6">
            <w:pPr>
              <w:pStyle w:val="NormalLeft"/>
            </w:pPr>
            <w:r w:rsidRPr="00DE12A3">
              <w:t>25</w:t>
            </w:r>
          </w:p>
        </w:tc>
      </w:tr>
      <w:tr w:rsidR="00DE12A3" w:rsidRPr="00DE12A3" w14:paraId="6E5F574D" w14:textId="77777777" w:rsidTr="009F4766">
        <w:tc>
          <w:tcPr>
            <w:tcW w:w="1182" w:type="dxa"/>
            <w:tcBorders>
              <w:top w:val="single" w:sz="2" w:space="0" w:color="auto"/>
              <w:left w:val="single" w:sz="2" w:space="0" w:color="auto"/>
              <w:bottom w:val="single" w:sz="2" w:space="0" w:color="auto"/>
              <w:right w:val="single" w:sz="2" w:space="0" w:color="auto"/>
            </w:tcBorders>
          </w:tcPr>
          <w:p w14:paraId="04DB221F" w14:textId="77777777" w:rsidR="009F4766" w:rsidRPr="00DE12A3" w:rsidRDefault="009F4766" w:rsidP="00C917D6">
            <w:pPr>
              <w:pStyle w:val="NormalLeft"/>
            </w:pPr>
            <w:r w:rsidRPr="00DE12A3">
              <w:t>1130</w:t>
            </w:r>
          </w:p>
        </w:tc>
        <w:tc>
          <w:tcPr>
            <w:tcW w:w="2489" w:type="dxa"/>
            <w:tcBorders>
              <w:top w:val="single" w:sz="2" w:space="0" w:color="auto"/>
              <w:left w:val="single" w:sz="2" w:space="0" w:color="auto"/>
              <w:bottom w:val="single" w:sz="2" w:space="0" w:color="auto"/>
              <w:right w:val="single" w:sz="2" w:space="0" w:color="auto"/>
            </w:tcBorders>
          </w:tcPr>
          <w:p w14:paraId="65B8B8E1" w14:textId="77777777" w:rsidR="009F4766" w:rsidRPr="00DE12A3" w:rsidRDefault="009F4766" w:rsidP="00C917D6">
            <w:pPr>
              <w:pStyle w:val="NormalLeft"/>
            </w:pPr>
            <w:r w:rsidRPr="00DE12A3">
              <w:t>93</w:t>
            </w:r>
          </w:p>
        </w:tc>
        <w:tc>
          <w:tcPr>
            <w:tcW w:w="2551" w:type="dxa"/>
            <w:tcBorders>
              <w:top w:val="single" w:sz="2" w:space="0" w:color="auto"/>
              <w:left w:val="single" w:sz="2" w:space="0" w:color="auto"/>
              <w:bottom w:val="single" w:sz="2" w:space="0" w:color="auto"/>
              <w:right w:val="single" w:sz="2" w:space="0" w:color="auto"/>
            </w:tcBorders>
          </w:tcPr>
          <w:p w14:paraId="7A9983B9" w14:textId="77777777" w:rsidR="009F4766" w:rsidRPr="00DE12A3" w:rsidRDefault="009F4766" w:rsidP="00C917D6">
            <w:pPr>
              <w:pStyle w:val="NormalLeft"/>
            </w:pPr>
            <w:r w:rsidRPr="00DE12A3">
              <w:t>30</w:t>
            </w:r>
          </w:p>
        </w:tc>
      </w:tr>
      <w:tr w:rsidR="00DE12A3" w:rsidRPr="00DE12A3" w14:paraId="027F5377" w14:textId="77777777" w:rsidTr="009F4766">
        <w:tc>
          <w:tcPr>
            <w:tcW w:w="1182" w:type="dxa"/>
            <w:tcBorders>
              <w:top w:val="single" w:sz="2" w:space="0" w:color="auto"/>
              <w:left w:val="single" w:sz="2" w:space="0" w:color="auto"/>
              <w:bottom w:val="single" w:sz="2" w:space="0" w:color="auto"/>
              <w:right w:val="single" w:sz="2" w:space="0" w:color="auto"/>
            </w:tcBorders>
          </w:tcPr>
          <w:p w14:paraId="5AA511FE" w14:textId="77777777" w:rsidR="009F4766" w:rsidRPr="00DE12A3" w:rsidRDefault="009F4766" w:rsidP="00C917D6">
            <w:pPr>
              <w:pStyle w:val="NormalLeft"/>
            </w:pPr>
            <w:r w:rsidRPr="00DE12A3">
              <w:lastRenderedPageBreak/>
              <w:t>1131</w:t>
            </w:r>
          </w:p>
        </w:tc>
        <w:tc>
          <w:tcPr>
            <w:tcW w:w="2489" w:type="dxa"/>
            <w:tcBorders>
              <w:top w:val="single" w:sz="2" w:space="0" w:color="auto"/>
              <w:left w:val="single" w:sz="2" w:space="0" w:color="auto"/>
              <w:bottom w:val="single" w:sz="2" w:space="0" w:color="auto"/>
              <w:right w:val="single" w:sz="2" w:space="0" w:color="auto"/>
            </w:tcBorders>
          </w:tcPr>
          <w:p w14:paraId="09B02235" w14:textId="77777777" w:rsidR="009F4766" w:rsidRPr="00DE12A3" w:rsidRDefault="009F4766" w:rsidP="00C917D6">
            <w:pPr>
              <w:pStyle w:val="NormalLeft"/>
            </w:pPr>
            <w:r w:rsidRPr="00DE12A3">
              <w:t>93</w:t>
            </w:r>
          </w:p>
        </w:tc>
        <w:tc>
          <w:tcPr>
            <w:tcW w:w="2551" w:type="dxa"/>
            <w:tcBorders>
              <w:top w:val="single" w:sz="2" w:space="0" w:color="auto"/>
              <w:left w:val="single" w:sz="2" w:space="0" w:color="auto"/>
              <w:bottom w:val="single" w:sz="2" w:space="0" w:color="auto"/>
              <w:right w:val="single" w:sz="2" w:space="0" w:color="auto"/>
            </w:tcBorders>
          </w:tcPr>
          <w:p w14:paraId="451CF211" w14:textId="77777777" w:rsidR="009F4766" w:rsidRPr="00DE12A3" w:rsidRDefault="009F4766" w:rsidP="00C917D6">
            <w:pPr>
              <w:pStyle w:val="NormalLeft"/>
            </w:pPr>
            <w:r w:rsidRPr="00DE12A3">
              <w:t>31</w:t>
            </w:r>
          </w:p>
        </w:tc>
      </w:tr>
      <w:tr w:rsidR="00DE12A3" w:rsidRPr="00DE12A3" w14:paraId="7A4F693B" w14:textId="77777777" w:rsidTr="009F4766">
        <w:tc>
          <w:tcPr>
            <w:tcW w:w="1182" w:type="dxa"/>
            <w:tcBorders>
              <w:top w:val="single" w:sz="2" w:space="0" w:color="auto"/>
              <w:left w:val="single" w:sz="2" w:space="0" w:color="auto"/>
              <w:bottom w:val="single" w:sz="2" w:space="0" w:color="auto"/>
              <w:right w:val="single" w:sz="2" w:space="0" w:color="auto"/>
            </w:tcBorders>
          </w:tcPr>
          <w:p w14:paraId="69B1B52C" w14:textId="77777777" w:rsidR="009F4766" w:rsidRPr="00DE12A3" w:rsidRDefault="009F4766" w:rsidP="00C917D6">
            <w:pPr>
              <w:pStyle w:val="NormalLeft"/>
            </w:pPr>
            <w:r w:rsidRPr="00DE12A3">
              <w:t>1132</w:t>
            </w:r>
          </w:p>
        </w:tc>
        <w:tc>
          <w:tcPr>
            <w:tcW w:w="2489" w:type="dxa"/>
            <w:tcBorders>
              <w:top w:val="single" w:sz="2" w:space="0" w:color="auto"/>
              <w:left w:val="single" w:sz="2" w:space="0" w:color="auto"/>
              <w:bottom w:val="single" w:sz="2" w:space="0" w:color="auto"/>
              <w:right w:val="single" w:sz="2" w:space="0" w:color="auto"/>
            </w:tcBorders>
          </w:tcPr>
          <w:p w14:paraId="61805AFC" w14:textId="77777777" w:rsidR="009F4766" w:rsidRPr="00DE12A3" w:rsidRDefault="009F4766" w:rsidP="00C917D6">
            <w:pPr>
              <w:pStyle w:val="NormalLeft"/>
            </w:pPr>
            <w:r w:rsidRPr="00DE12A3">
              <w:t>93</w:t>
            </w:r>
          </w:p>
        </w:tc>
        <w:tc>
          <w:tcPr>
            <w:tcW w:w="2551" w:type="dxa"/>
            <w:tcBorders>
              <w:top w:val="single" w:sz="2" w:space="0" w:color="auto"/>
              <w:left w:val="single" w:sz="2" w:space="0" w:color="auto"/>
              <w:bottom w:val="single" w:sz="2" w:space="0" w:color="auto"/>
              <w:right w:val="single" w:sz="2" w:space="0" w:color="auto"/>
            </w:tcBorders>
          </w:tcPr>
          <w:p w14:paraId="142F6C03" w14:textId="77777777" w:rsidR="009F4766" w:rsidRPr="00DE12A3" w:rsidRDefault="009F4766" w:rsidP="00C917D6">
            <w:pPr>
              <w:pStyle w:val="NormalLeft"/>
            </w:pPr>
            <w:r w:rsidRPr="00DE12A3">
              <w:t>26</w:t>
            </w:r>
          </w:p>
        </w:tc>
      </w:tr>
      <w:tr w:rsidR="00DE12A3" w:rsidRPr="00DE12A3" w14:paraId="5A9D67CF" w14:textId="77777777" w:rsidTr="009F4766">
        <w:tc>
          <w:tcPr>
            <w:tcW w:w="1182" w:type="dxa"/>
            <w:tcBorders>
              <w:top w:val="single" w:sz="2" w:space="0" w:color="auto"/>
              <w:left w:val="single" w:sz="2" w:space="0" w:color="auto"/>
              <w:bottom w:val="single" w:sz="2" w:space="0" w:color="auto"/>
              <w:right w:val="single" w:sz="2" w:space="0" w:color="auto"/>
            </w:tcBorders>
          </w:tcPr>
          <w:p w14:paraId="5384FAD6" w14:textId="77777777" w:rsidR="009F4766" w:rsidRPr="00DE12A3" w:rsidRDefault="009F4766" w:rsidP="00C917D6">
            <w:pPr>
              <w:pStyle w:val="NormalLeft"/>
            </w:pPr>
            <w:r w:rsidRPr="00DE12A3">
              <w:t>1133</w:t>
            </w:r>
          </w:p>
        </w:tc>
        <w:tc>
          <w:tcPr>
            <w:tcW w:w="2489" w:type="dxa"/>
            <w:tcBorders>
              <w:top w:val="single" w:sz="2" w:space="0" w:color="auto"/>
              <w:left w:val="single" w:sz="2" w:space="0" w:color="auto"/>
              <w:bottom w:val="single" w:sz="2" w:space="0" w:color="auto"/>
              <w:right w:val="single" w:sz="2" w:space="0" w:color="auto"/>
            </w:tcBorders>
          </w:tcPr>
          <w:p w14:paraId="2F97CE11" w14:textId="77777777" w:rsidR="009F4766" w:rsidRPr="00DE12A3" w:rsidRDefault="009F4766" w:rsidP="00C917D6">
            <w:pPr>
              <w:pStyle w:val="NormalLeft"/>
            </w:pPr>
            <w:r w:rsidRPr="00DE12A3">
              <w:t>93</w:t>
            </w:r>
          </w:p>
        </w:tc>
        <w:tc>
          <w:tcPr>
            <w:tcW w:w="2551" w:type="dxa"/>
            <w:tcBorders>
              <w:top w:val="single" w:sz="2" w:space="0" w:color="auto"/>
              <w:left w:val="single" w:sz="2" w:space="0" w:color="auto"/>
              <w:bottom w:val="single" w:sz="2" w:space="0" w:color="auto"/>
              <w:right w:val="single" w:sz="2" w:space="0" w:color="auto"/>
            </w:tcBorders>
          </w:tcPr>
          <w:p w14:paraId="6DC93259" w14:textId="77777777" w:rsidR="009F4766" w:rsidRPr="00DE12A3" w:rsidRDefault="009F4766" w:rsidP="00C917D6">
            <w:pPr>
              <w:pStyle w:val="NormalLeft"/>
            </w:pPr>
            <w:r w:rsidRPr="00DE12A3">
              <w:t>21</w:t>
            </w:r>
          </w:p>
        </w:tc>
      </w:tr>
      <w:tr w:rsidR="00DE12A3" w:rsidRPr="00DE12A3" w14:paraId="1F380DFB" w14:textId="77777777" w:rsidTr="009F4766">
        <w:tc>
          <w:tcPr>
            <w:tcW w:w="1182" w:type="dxa"/>
            <w:tcBorders>
              <w:top w:val="single" w:sz="2" w:space="0" w:color="auto"/>
              <w:left w:val="single" w:sz="2" w:space="0" w:color="auto"/>
              <w:bottom w:val="single" w:sz="2" w:space="0" w:color="auto"/>
              <w:right w:val="single" w:sz="2" w:space="0" w:color="auto"/>
            </w:tcBorders>
          </w:tcPr>
          <w:p w14:paraId="63A44431" w14:textId="77777777" w:rsidR="009F4766" w:rsidRPr="00DE12A3" w:rsidRDefault="009F4766" w:rsidP="00C917D6">
            <w:pPr>
              <w:pStyle w:val="NormalLeft"/>
            </w:pPr>
            <w:r w:rsidRPr="00DE12A3">
              <w:t>1134</w:t>
            </w:r>
          </w:p>
        </w:tc>
        <w:tc>
          <w:tcPr>
            <w:tcW w:w="2489" w:type="dxa"/>
            <w:tcBorders>
              <w:top w:val="single" w:sz="2" w:space="0" w:color="auto"/>
              <w:left w:val="single" w:sz="2" w:space="0" w:color="auto"/>
              <w:bottom w:val="single" w:sz="2" w:space="0" w:color="auto"/>
              <w:right w:val="single" w:sz="2" w:space="0" w:color="auto"/>
            </w:tcBorders>
          </w:tcPr>
          <w:p w14:paraId="2FD8FD65" w14:textId="77777777" w:rsidR="009F4766" w:rsidRPr="00DE12A3" w:rsidRDefault="009F4766" w:rsidP="00C917D6">
            <w:pPr>
              <w:pStyle w:val="NormalLeft"/>
            </w:pPr>
            <w:r w:rsidRPr="00DE12A3">
              <w:t>93</w:t>
            </w:r>
          </w:p>
        </w:tc>
        <w:tc>
          <w:tcPr>
            <w:tcW w:w="2551" w:type="dxa"/>
            <w:tcBorders>
              <w:top w:val="single" w:sz="2" w:space="0" w:color="auto"/>
              <w:left w:val="single" w:sz="2" w:space="0" w:color="auto"/>
              <w:bottom w:val="single" w:sz="2" w:space="0" w:color="auto"/>
              <w:right w:val="single" w:sz="2" w:space="0" w:color="auto"/>
            </w:tcBorders>
          </w:tcPr>
          <w:p w14:paraId="327DCD41" w14:textId="77777777" w:rsidR="009F4766" w:rsidRPr="00DE12A3" w:rsidRDefault="009F4766" w:rsidP="00C917D6">
            <w:pPr>
              <w:pStyle w:val="NormalLeft"/>
            </w:pPr>
            <w:r w:rsidRPr="00DE12A3">
              <w:t>18</w:t>
            </w:r>
          </w:p>
        </w:tc>
      </w:tr>
      <w:tr w:rsidR="00DE12A3" w:rsidRPr="00DE12A3" w14:paraId="797CA639" w14:textId="77777777" w:rsidTr="009F4766">
        <w:tc>
          <w:tcPr>
            <w:tcW w:w="1182" w:type="dxa"/>
            <w:tcBorders>
              <w:top w:val="single" w:sz="2" w:space="0" w:color="auto"/>
              <w:left w:val="single" w:sz="2" w:space="0" w:color="auto"/>
              <w:bottom w:val="single" w:sz="2" w:space="0" w:color="auto"/>
              <w:right w:val="single" w:sz="2" w:space="0" w:color="auto"/>
            </w:tcBorders>
          </w:tcPr>
          <w:p w14:paraId="447D2815" w14:textId="77777777" w:rsidR="009F4766" w:rsidRPr="00DE12A3" w:rsidRDefault="009F4766" w:rsidP="00C917D6">
            <w:pPr>
              <w:pStyle w:val="NormalLeft"/>
            </w:pPr>
            <w:r w:rsidRPr="00DE12A3">
              <w:t>1135</w:t>
            </w:r>
          </w:p>
        </w:tc>
        <w:tc>
          <w:tcPr>
            <w:tcW w:w="2489" w:type="dxa"/>
            <w:tcBorders>
              <w:top w:val="single" w:sz="2" w:space="0" w:color="auto"/>
              <w:left w:val="single" w:sz="2" w:space="0" w:color="auto"/>
              <w:bottom w:val="single" w:sz="2" w:space="0" w:color="auto"/>
              <w:right w:val="single" w:sz="2" w:space="0" w:color="auto"/>
            </w:tcBorders>
          </w:tcPr>
          <w:p w14:paraId="10777590" w14:textId="77777777" w:rsidR="009F4766" w:rsidRPr="00DE12A3" w:rsidRDefault="009F4766" w:rsidP="00C917D6">
            <w:pPr>
              <w:pStyle w:val="NormalLeft"/>
            </w:pPr>
            <w:r w:rsidRPr="00DE12A3">
              <w:t>93</w:t>
            </w:r>
          </w:p>
        </w:tc>
        <w:tc>
          <w:tcPr>
            <w:tcW w:w="2551" w:type="dxa"/>
            <w:tcBorders>
              <w:top w:val="single" w:sz="2" w:space="0" w:color="auto"/>
              <w:left w:val="single" w:sz="2" w:space="0" w:color="auto"/>
              <w:bottom w:val="single" w:sz="2" w:space="0" w:color="auto"/>
              <w:right w:val="single" w:sz="2" w:space="0" w:color="auto"/>
            </w:tcBorders>
          </w:tcPr>
          <w:p w14:paraId="51E5D72C" w14:textId="77777777" w:rsidR="009F4766" w:rsidRPr="00DE12A3" w:rsidRDefault="009F4766" w:rsidP="00C917D6">
            <w:pPr>
              <w:pStyle w:val="NormalLeft"/>
            </w:pPr>
            <w:r w:rsidRPr="00DE12A3">
              <w:t>20</w:t>
            </w:r>
          </w:p>
        </w:tc>
      </w:tr>
      <w:tr w:rsidR="00DE12A3" w:rsidRPr="00DE12A3" w14:paraId="6CCFC7F0" w14:textId="77777777" w:rsidTr="009F4766">
        <w:tc>
          <w:tcPr>
            <w:tcW w:w="1182" w:type="dxa"/>
            <w:tcBorders>
              <w:top w:val="single" w:sz="2" w:space="0" w:color="auto"/>
              <w:left w:val="single" w:sz="2" w:space="0" w:color="auto"/>
              <w:bottom w:val="single" w:sz="2" w:space="0" w:color="auto"/>
              <w:right w:val="single" w:sz="2" w:space="0" w:color="auto"/>
            </w:tcBorders>
          </w:tcPr>
          <w:p w14:paraId="3E01C07C" w14:textId="77777777" w:rsidR="009F4766" w:rsidRPr="00DE12A3" w:rsidRDefault="009F4766" w:rsidP="00C917D6">
            <w:pPr>
              <w:pStyle w:val="NormalLeft"/>
            </w:pPr>
            <w:r w:rsidRPr="00DE12A3">
              <w:t>1136</w:t>
            </w:r>
          </w:p>
        </w:tc>
        <w:tc>
          <w:tcPr>
            <w:tcW w:w="2489" w:type="dxa"/>
            <w:tcBorders>
              <w:top w:val="single" w:sz="2" w:space="0" w:color="auto"/>
              <w:left w:val="single" w:sz="2" w:space="0" w:color="auto"/>
              <w:bottom w:val="single" w:sz="2" w:space="0" w:color="auto"/>
              <w:right w:val="single" w:sz="2" w:space="0" w:color="auto"/>
            </w:tcBorders>
          </w:tcPr>
          <w:p w14:paraId="64421E8D" w14:textId="77777777" w:rsidR="009F4766" w:rsidRPr="00DE12A3" w:rsidRDefault="009F4766" w:rsidP="00C917D6">
            <w:pPr>
              <w:pStyle w:val="NormalLeft"/>
            </w:pPr>
            <w:r w:rsidRPr="00DE12A3">
              <w:t>93</w:t>
            </w:r>
          </w:p>
        </w:tc>
        <w:tc>
          <w:tcPr>
            <w:tcW w:w="2551" w:type="dxa"/>
            <w:tcBorders>
              <w:top w:val="single" w:sz="2" w:space="0" w:color="auto"/>
              <w:left w:val="single" w:sz="2" w:space="0" w:color="auto"/>
              <w:bottom w:val="single" w:sz="2" w:space="0" w:color="auto"/>
              <w:right w:val="single" w:sz="2" w:space="0" w:color="auto"/>
            </w:tcBorders>
          </w:tcPr>
          <w:p w14:paraId="579AE854" w14:textId="77777777" w:rsidR="009F4766" w:rsidRPr="00DE12A3" w:rsidRDefault="009F4766" w:rsidP="00C917D6">
            <w:pPr>
              <w:pStyle w:val="NormalLeft"/>
            </w:pPr>
            <w:r w:rsidRPr="00DE12A3">
              <w:t>25</w:t>
            </w:r>
          </w:p>
        </w:tc>
      </w:tr>
      <w:tr w:rsidR="00DE12A3" w:rsidRPr="00DE12A3" w14:paraId="09351E66" w14:textId="77777777" w:rsidTr="009F4766">
        <w:tc>
          <w:tcPr>
            <w:tcW w:w="1182" w:type="dxa"/>
            <w:tcBorders>
              <w:top w:val="single" w:sz="2" w:space="0" w:color="auto"/>
              <w:left w:val="single" w:sz="2" w:space="0" w:color="auto"/>
              <w:bottom w:val="single" w:sz="2" w:space="0" w:color="auto"/>
              <w:right w:val="single" w:sz="2" w:space="0" w:color="auto"/>
            </w:tcBorders>
          </w:tcPr>
          <w:p w14:paraId="7A3631D4" w14:textId="77777777" w:rsidR="009F4766" w:rsidRPr="00DE12A3" w:rsidRDefault="009F4766" w:rsidP="00C917D6">
            <w:pPr>
              <w:pStyle w:val="NormalLeft"/>
            </w:pPr>
            <w:r w:rsidRPr="00DE12A3">
              <w:t>1137</w:t>
            </w:r>
          </w:p>
        </w:tc>
        <w:tc>
          <w:tcPr>
            <w:tcW w:w="2489" w:type="dxa"/>
            <w:tcBorders>
              <w:top w:val="single" w:sz="2" w:space="0" w:color="auto"/>
              <w:left w:val="single" w:sz="2" w:space="0" w:color="auto"/>
              <w:bottom w:val="single" w:sz="2" w:space="0" w:color="auto"/>
              <w:right w:val="single" w:sz="2" w:space="0" w:color="auto"/>
            </w:tcBorders>
          </w:tcPr>
          <w:p w14:paraId="0C2284BC" w14:textId="77777777" w:rsidR="009F4766" w:rsidRPr="00DE12A3" w:rsidRDefault="009F4766" w:rsidP="00C917D6">
            <w:pPr>
              <w:pStyle w:val="NormalLeft"/>
            </w:pPr>
            <w:r w:rsidRPr="00DE12A3">
              <w:t>93</w:t>
            </w:r>
          </w:p>
        </w:tc>
        <w:tc>
          <w:tcPr>
            <w:tcW w:w="2551" w:type="dxa"/>
            <w:tcBorders>
              <w:top w:val="single" w:sz="2" w:space="0" w:color="auto"/>
              <w:left w:val="single" w:sz="2" w:space="0" w:color="auto"/>
              <w:bottom w:val="single" w:sz="2" w:space="0" w:color="auto"/>
              <w:right w:val="single" w:sz="2" w:space="0" w:color="auto"/>
            </w:tcBorders>
          </w:tcPr>
          <w:p w14:paraId="234AD75F" w14:textId="77777777" w:rsidR="009F4766" w:rsidRPr="00DE12A3" w:rsidRDefault="009F4766" w:rsidP="00C917D6">
            <w:pPr>
              <w:pStyle w:val="NormalLeft"/>
            </w:pPr>
            <w:r w:rsidRPr="00DE12A3">
              <w:t>24</w:t>
            </w:r>
          </w:p>
        </w:tc>
      </w:tr>
      <w:tr w:rsidR="00DE12A3" w:rsidRPr="00DE12A3" w14:paraId="46E7F6E5" w14:textId="77777777" w:rsidTr="009F4766">
        <w:tc>
          <w:tcPr>
            <w:tcW w:w="1182" w:type="dxa"/>
            <w:tcBorders>
              <w:top w:val="single" w:sz="2" w:space="0" w:color="auto"/>
              <w:left w:val="single" w:sz="2" w:space="0" w:color="auto"/>
              <w:bottom w:val="single" w:sz="2" w:space="0" w:color="auto"/>
              <w:right w:val="single" w:sz="2" w:space="0" w:color="auto"/>
            </w:tcBorders>
          </w:tcPr>
          <w:p w14:paraId="55DBDC16" w14:textId="77777777" w:rsidR="009F4766" w:rsidRPr="00DE12A3" w:rsidRDefault="009F4766" w:rsidP="00C917D6">
            <w:pPr>
              <w:pStyle w:val="NormalLeft"/>
            </w:pPr>
            <w:r w:rsidRPr="00DE12A3">
              <w:t>1138</w:t>
            </w:r>
          </w:p>
        </w:tc>
        <w:tc>
          <w:tcPr>
            <w:tcW w:w="2489" w:type="dxa"/>
            <w:tcBorders>
              <w:top w:val="single" w:sz="2" w:space="0" w:color="auto"/>
              <w:left w:val="single" w:sz="2" w:space="0" w:color="auto"/>
              <w:bottom w:val="single" w:sz="2" w:space="0" w:color="auto"/>
              <w:right w:val="single" w:sz="2" w:space="0" w:color="auto"/>
            </w:tcBorders>
          </w:tcPr>
          <w:p w14:paraId="6E971833" w14:textId="77777777" w:rsidR="009F4766" w:rsidRPr="00DE12A3" w:rsidRDefault="009F4766" w:rsidP="00C917D6">
            <w:pPr>
              <w:pStyle w:val="NormalLeft"/>
            </w:pPr>
            <w:r w:rsidRPr="00DE12A3">
              <w:t>93</w:t>
            </w:r>
          </w:p>
        </w:tc>
        <w:tc>
          <w:tcPr>
            <w:tcW w:w="2551" w:type="dxa"/>
            <w:tcBorders>
              <w:top w:val="single" w:sz="2" w:space="0" w:color="auto"/>
              <w:left w:val="single" w:sz="2" w:space="0" w:color="auto"/>
              <w:bottom w:val="single" w:sz="2" w:space="0" w:color="auto"/>
              <w:right w:val="single" w:sz="2" w:space="0" w:color="auto"/>
            </w:tcBorders>
          </w:tcPr>
          <w:p w14:paraId="35883F0F" w14:textId="77777777" w:rsidR="009F4766" w:rsidRPr="00DE12A3" w:rsidRDefault="009F4766" w:rsidP="00C917D6">
            <w:pPr>
              <w:pStyle w:val="NormalLeft"/>
            </w:pPr>
            <w:r w:rsidRPr="00DE12A3">
              <w:t>21</w:t>
            </w:r>
          </w:p>
        </w:tc>
      </w:tr>
      <w:tr w:rsidR="00DE12A3" w:rsidRPr="00DE12A3" w14:paraId="1B3E7A8C" w14:textId="77777777" w:rsidTr="009F4766">
        <w:tc>
          <w:tcPr>
            <w:tcW w:w="1182" w:type="dxa"/>
            <w:tcBorders>
              <w:top w:val="single" w:sz="2" w:space="0" w:color="auto"/>
              <w:left w:val="single" w:sz="2" w:space="0" w:color="auto"/>
              <w:bottom w:val="single" w:sz="2" w:space="0" w:color="auto"/>
              <w:right w:val="single" w:sz="2" w:space="0" w:color="auto"/>
            </w:tcBorders>
          </w:tcPr>
          <w:p w14:paraId="4BF77DDE" w14:textId="77777777" w:rsidR="009F4766" w:rsidRPr="00DE12A3" w:rsidRDefault="009F4766" w:rsidP="00C917D6">
            <w:pPr>
              <w:pStyle w:val="NormalLeft"/>
            </w:pPr>
            <w:r w:rsidRPr="00DE12A3">
              <w:t>1139</w:t>
            </w:r>
          </w:p>
        </w:tc>
        <w:tc>
          <w:tcPr>
            <w:tcW w:w="2489" w:type="dxa"/>
            <w:tcBorders>
              <w:top w:val="single" w:sz="2" w:space="0" w:color="auto"/>
              <w:left w:val="single" w:sz="2" w:space="0" w:color="auto"/>
              <w:bottom w:val="single" w:sz="2" w:space="0" w:color="auto"/>
              <w:right w:val="single" w:sz="2" w:space="0" w:color="auto"/>
            </w:tcBorders>
          </w:tcPr>
          <w:p w14:paraId="70A47CD8" w14:textId="77777777" w:rsidR="009F4766" w:rsidRPr="00DE12A3" w:rsidRDefault="009F4766" w:rsidP="00C917D6">
            <w:pPr>
              <w:pStyle w:val="NormalLeft"/>
            </w:pPr>
            <w:r w:rsidRPr="00DE12A3">
              <w:t>93</w:t>
            </w:r>
          </w:p>
        </w:tc>
        <w:tc>
          <w:tcPr>
            <w:tcW w:w="2551" w:type="dxa"/>
            <w:tcBorders>
              <w:top w:val="single" w:sz="2" w:space="0" w:color="auto"/>
              <w:left w:val="single" w:sz="2" w:space="0" w:color="auto"/>
              <w:bottom w:val="single" w:sz="2" w:space="0" w:color="auto"/>
              <w:right w:val="single" w:sz="2" w:space="0" w:color="auto"/>
            </w:tcBorders>
          </w:tcPr>
          <w:p w14:paraId="71566A72" w14:textId="77777777" w:rsidR="009F4766" w:rsidRPr="00DE12A3" w:rsidRDefault="009F4766" w:rsidP="00C917D6">
            <w:pPr>
              <w:pStyle w:val="NormalLeft"/>
            </w:pPr>
            <w:r w:rsidRPr="00DE12A3">
              <w:t>21</w:t>
            </w:r>
          </w:p>
        </w:tc>
      </w:tr>
      <w:tr w:rsidR="00DE12A3" w:rsidRPr="00DE12A3" w14:paraId="17B48DBA" w14:textId="77777777" w:rsidTr="009F4766">
        <w:tc>
          <w:tcPr>
            <w:tcW w:w="1182" w:type="dxa"/>
            <w:tcBorders>
              <w:top w:val="single" w:sz="2" w:space="0" w:color="auto"/>
              <w:left w:val="single" w:sz="2" w:space="0" w:color="auto"/>
              <w:bottom w:val="single" w:sz="2" w:space="0" w:color="auto"/>
              <w:right w:val="single" w:sz="2" w:space="0" w:color="auto"/>
            </w:tcBorders>
          </w:tcPr>
          <w:p w14:paraId="46F00C53" w14:textId="77777777" w:rsidR="009F4766" w:rsidRPr="00DE12A3" w:rsidRDefault="009F4766" w:rsidP="00C917D6">
            <w:pPr>
              <w:pStyle w:val="NormalLeft"/>
            </w:pPr>
            <w:r w:rsidRPr="00DE12A3">
              <w:t>1140</w:t>
            </w:r>
          </w:p>
        </w:tc>
        <w:tc>
          <w:tcPr>
            <w:tcW w:w="2489" w:type="dxa"/>
            <w:tcBorders>
              <w:top w:val="single" w:sz="2" w:space="0" w:color="auto"/>
              <w:left w:val="single" w:sz="2" w:space="0" w:color="auto"/>
              <w:bottom w:val="single" w:sz="2" w:space="0" w:color="auto"/>
              <w:right w:val="single" w:sz="2" w:space="0" w:color="auto"/>
            </w:tcBorders>
          </w:tcPr>
          <w:p w14:paraId="0215A03A" w14:textId="77777777" w:rsidR="009F4766" w:rsidRPr="00DE12A3" w:rsidRDefault="009F4766" w:rsidP="00C917D6">
            <w:pPr>
              <w:pStyle w:val="NormalLeft"/>
            </w:pPr>
            <w:r w:rsidRPr="00DE12A3">
              <w:t>93</w:t>
            </w:r>
          </w:p>
        </w:tc>
        <w:tc>
          <w:tcPr>
            <w:tcW w:w="2551" w:type="dxa"/>
            <w:tcBorders>
              <w:top w:val="single" w:sz="2" w:space="0" w:color="auto"/>
              <w:left w:val="single" w:sz="2" w:space="0" w:color="auto"/>
              <w:bottom w:val="single" w:sz="2" w:space="0" w:color="auto"/>
              <w:right w:val="single" w:sz="2" w:space="0" w:color="auto"/>
            </w:tcBorders>
          </w:tcPr>
          <w:p w14:paraId="12B07CE8" w14:textId="77777777" w:rsidR="009F4766" w:rsidRPr="00DE12A3" w:rsidRDefault="009F4766" w:rsidP="00C917D6">
            <w:pPr>
              <w:pStyle w:val="NormalLeft"/>
            </w:pPr>
            <w:r w:rsidRPr="00DE12A3">
              <w:t>22</w:t>
            </w:r>
          </w:p>
        </w:tc>
      </w:tr>
      <w:tr w:rsidR="00DE12A3" w:rsidRPr="00DE12A3" w14:paraId="0B0B0069" w14:textId="77777777" w:rsidTr="009F4766">
        <w:tc>
          <w:tcPr>
            <w:tcW w:w="1182" w:type="dxa"/>
            <w:tcBorders>
              <w:top w:val="single" w:sz="2" w:space="0" w:color="auto"/>
              <w:left w:val="single" w:sz="2" w:space="0" w:color="auto"/>
              <w:bottom w:val="single" w:sz="2" w:space="0" w:color="auto"/>
              <w:right w:val="single" w:sz="2" w:space="0" w:color="auto"/>
            </w:tcBorders>
          </w:tcPr>
          <w:p w14:paraId="04ADE0F4" w14:textId="77777777" w:rsidR="009F4766" w:rsidRPr="00DE12A3" w:rsidRDefault="009F4766" w:rsidP="00C917D6">
            <w:pPr>
              <w:pStyle w:val="NormalLeft"/>
            </w:pPr>
            <w:r w:rsidRPr="00DE12A3">
              <w:t>1141</w:t>
            </w:r>
          </w:p>
        </w:tc>
        <w:tc>
          <w:tcPr>
            <w:tcW w:w="2489" w:type="dxa"/>
            <w:tcBorders>
              <w:top w:val="single" w:sz="2" w:space="0" w:color="auto"/>
              <w:left w:val="single" w:sz="2" w:space="0" w:color="auto"/>
              <w:bottom w:val="single" w:sz="2" w:space="0" w:color="auto"/>
              <w:right w:val="single" w:sz="2" w:space="0" w:color="auto"/>
            </w:tcBorders>
          </w:tcPr>
          <w:p w14:paraId="1D9BB5F4" w14:textId="77777777" w:rsidR="009F4766" w:rsidRPr="00DE12A3" w:rsidRDefault="009F4766" w:rsidP="00C917D6">
            <w:pPr>
              <w:pStyle w:val="NormalLeft"/>
            </w:pPr>
            <w:r w:rsidRPr="00DE12A3">
              <w:t>93</w:t>
            </w:r>
          </w:p>
        </w:tc>
        <w:tc>
          <w:tcPr>
            <w:tcW w:w="2551" w:type="dxa"/>
            <w:tcBorders>
              <w:top w:val="single" w:sz="2" w:space="0" w:color="auto"/>
              <w:left w:val="single" w:sz="2" w:space="0" w:color="auto"/>
              <w:bottom w:val="single" w:sz="2" w:space="0" w:color="auto"/>
              <w:right w:val="single" w:sz="2" w:space="0" w:color="auto"/>
            </w:tcBorders>
          </w:tcPr>
          <w:p w14:paraId="79A005CA" w14:textId="77777777" w:rsidR="009F4766" w:rsidRPr="00DE12A3" w:rsidRDefault="009F4766" w:rsidP="00C917D6">
            <w:pPr>
              <w:pStyle w:val="NormalLeft"/>
            </w:pPr>
            <w:r w:rsidRPr="00DE12A3">
              <w:t>22</w:t>
            </w:r>
          </w:p>
        </w:tc>
      </w:tr>
      <w:tr w:rsidR="00DE12A3" w:rsidRPr="00DE12A3" w14:paraId="218B6437" w14:textId="77777777" w:rsidTr="009F4766">
        <w:tc>
          <w:tcPr>
            <w:tcW w:w="1182" w:type="dxa"/>
            <w:tcBorders>
              <w:top w:val="single" w:sz="2" w:space="0" w:color="auto"/>
              <w:left w:val="single" w:sz="2" w:space="0" w:color="auto"/>
              <w:bottom w:val="single" w:sz="2" w:space="0" w:color="auto"/>
              <w:right w:val="single" w:sz="2" w:space="0" w:color="auto"/>
            </w:tcBorders>
          </w:tcPr>
          <w:p w14:paraId="401B7085" w14:textId="77777777" w:rsidR="009F4766" w:rsidRPr="00DE12A3" w:rsidRDefault="009F4766" w:rsidP="00C917D6">
            <w:pPr>
              <w:pStyle w:val="NormalLeft"/>
            </w:pPr>
            <w:r w:rsidRPr="00DE12A3">
              <w:t>1142</w:t>
            </w:r>
          </w:p>
        </w:tc>
        <w:tc>
          <w:tcPr>
            <w:tcW w:w="2489" w:type="dxa"/>
            <w:tcBorders>
              <w:top w:val="single" w:sz="2" w:space="0" w:color="auto"/>
              <w:left w:val="single" w:sz="2" w:space="0" w:color="auto"/>
              <w:bottom w:val="single" w:sz="2" w:space="0" w:color="auto"/>
              <w:right w:val="single" w:sz="2" w:space="0" w:color="auto"/>
            </w:tcBorders>
          </w:tcPr>
          <w:p w14:paraId="77B876E1" w14:textId="77777777" w:rsidR="009F4766" w:rsidRPr="00DE12A3" w:rsidRDefault="009F4766" w:rsidP="00C917D6">
            <w:pPr>
              <w:pStyle w:val="NormalLeft"/>
            </w:pPr>
            <w:r w:rsidRPr="00DE12A3">
              <w:t>93</w:t>
            </w:r>
          </w:p>
        </w:tc>
        <w:tc>
          <w:tcPr>
            <w:tcW w:w="2551" w:type="dxa"/>
            <w:tcBorders>
              <w:top w:val="single" w:sz="2" w:space="0" w:color="auto"/>
              <w:left w:val="single" w:sz="2" w:space="0" w:color="auto"/>
              <w:bottom w:val="single" w:sz="2" w:space="0" w:color="auto"/>
              <w:right w:val="single" w:sz="2" w:space="0" w:color="auto"/>
            </w:tcBorders>
          </w:tcPr>
          <w:p w14:paraId="7AB58A66" w14:textId="77777777" w:rsidR="009F4766" w:rsidRPr="00DE12A3" w:rsidRDefault="009F4766" w:rsidP="00C917D6">
            <w:pPr>
              <w:pStyle w:val="NormalLeft"/>
            </w:pPr>
            <w:r w:rsidRPr="00DE12A3">
              <w:t>28</w:t>
            </w:r>
          </w:p>
        </w:tc>
      </w:tr>
      <w:tr w:rsidR="00DE12A3" w:rsidRPr="00DE12A3" w14:paraId="68CBA92C" w14:textId="77777777" w:rsidTr="009F4766">
        <w:tc>
          <w:tcPr>
            <w:tcW w:w="1182" w:type="dxa"/>
            <w:tcBorders>
              <w:top w:val="single" w:sz="2" w:space="0" w:color="auto"/>
              <w:left w:val="single" w:sz="2" w:space="0" w:color="auto"/>
              <w:bottom w:val="single" w:sz="2" w:space="0" w:color="auto"/>
              <w:right w:val="single" w:sz="2" w:space="0" w:color="auto"/>
            </w:tcBorders>
          </w:tcPr>
          <w:p w14:paraId="7B9060E0" w14:textId="77777777" w:rsidR="009F4766" w:rsidRPr="00DE12A3" w:rsidRDefault="009F4766" w:rsidP="00C917D6">
            <w:pPr>
              <w:pStyle w:val="NormalLeft"/>
            </w:pPr>
            <w:r w:rsidRPr="00DE12A3">
              <w:t>1143</w:t>
            </w:r>
          </w:p>
        </w:tc>
        <w:tc>
          <w:tcPr>
            <w:tcW w:w="2489" w:type="dxa"/>
            <w:tcBorders>
              <w:top w:val="single" w:sz="2" w:space="0" w:color="auto"/>
              <w:left w:val="single" w:sz="2" w:space="0" w:color="auto"/>
              <w:bottom w:val="single" w:sz="2" w:space="0" w:color="auto"/>
              <w:right w:val="single" w:sz="2" w:space="0" w:color="auto"/>
            </w:tcBorders>
          </w:tcPr>
          <w:p w14:paraId="6CE17BD7" w14:textId="77777777" w:rsidR="009F4766" w:rsidRPr="00DE12A3" w:rsidRDefault="009F4766" w:rsidP="00C917D6">
            <w:pPr>
              <w:pStyle w:val="NormalLeft"/>
            </w:pPr>
            <w:r w:rsidRPr="00DE12A3">
              <w:t>93</w:t>
            </w:r>
          </w:p>
        </w:tc>
        <w:tc>
          <w:tcPr>
            <w:tcW w:w="2551" w:type="dxa"/>
            <w:tcBorders>
              <w:top w:val="single" w:sz="2" w:space="0" w:color="auto"/>
              <w:left w:val="single" w:sz="2" w:space="0" w:color="auto"/>
              <w:bottom w:val="single" w:sz="2" w:space="0" w:color="auto"/>
              <w:right w:val="single" w:sz="2" w:space="0" w:color="auto"/>
            </w:tcBorders>
          </w:tcPr>
          <w:p w14:paraId="2158DAB9" w14:textId="77777777" w:rsidR="009F4766" w:rsidRPr="00DE12A3" w:rsidRDefault="009F4766" w:rsidP="00C917D6">
            <w:pPr>
              <w:pStyle w:val="NormalLeft"/>
            </w:pPr>
            <w:r w:rsidRPr="00DE12A3">
              <w:t>29</w:t>
            </w:r>
          </w:p>
        </w:tc>
      </w:tr>
      <w:tr w:rsidR="00DE12A3" w:rsidRPr="00DE12A3" w14:paraId="50BF0C3A" w14:textId="77777777" w:rsidTr="009F4766">
        <w:tc>
          <w:tcPr>
            <w:tcW w:w="1182" w:type="dxa"/>
            <w:tcBorders>
              <w:top w:val="single" w:sz="2" w:space="0" w:color="auto"/>
              <w:left w:val="single" w:sz="2" w:space="0" w:color="auto"/>
              <w:bottom w:val="single" w:sz="2" w:space="0" w:color="auto"/>
              <w:right w:val="single" w:sz="2" w:space="0" w:color="auto"/>
            </w:tcBorders>
          </w:tcPr>
          <w:p w14:paraId="6825DF23" w14:textId="77777777" w:rsidR="009F4766" w:rsidRPr="00DE12A3" w:rsidRDefault="009F4766" w:rsidP="00C917D6">
            <w:pPr>
              <w:pStyle w:val="NormalLeft"/>
            </w:pPr>
            <w:r w:rsidRPr="00DE12A3">
              <w:t>1144</w:t>
            </w:r>
          </w:p>
        </w:tc>
        <w:tc>
          <w:tcPr>
            <w:tcW w:w="2489" w:type="dxa"/>
            <w:tcBorders>
              <w:top w:val="single" w:sz="2" w:space="0" w:color="auto"/>
              <w:left w:val="single" w:sz="2" w:space="0" w:color="auto"/>
              <w:bottom w:val="single" w:sz="2" w:space="0" w:color="auto"/>
              <w:right w:val="single" w:sz="2" w:space="0" w:color="auto"/>
            </w:tcBorders>
          </w:tcPr>
          <w:p w14:paraId="0FEE3FF9" w14:textId="77777777" w:rsidR="009F4766" w:rsidRPr="00DE12A3" w:rsidRDefault="009F4766" w:rsidP="00C917D6">
            <w:pPr>
              <w:pStyle w:val="NormalLeft"/>
            </w:pPr>
            <w:r w:rsidRPr="00DE12A3">
              <w:t>93</w:t>
            </w:r>
          </w:p>
        </w:tc>
        <w:tc>
          <w:tcPr>
            <w:tcW w:w="2551" w:type="dxa"/>
            <w:tcBorders>
              <w:top w:val="single" w:sz="2" w:space="0" w:color="auto"/>
              <w:left w:val="single" w:sz="2" w:space="0" w:color="auto"/>
              <w:bottom w:val="single" w:sz="2" w:space="0" w:color="auto"/>
              <w:right w:val="single" w:sz="2" w:space="0" w:color="auto"/>
            </w:tcBorders>
          </w:tcPr>
          <w:p w14:paraId="4218E968" w14:textId="77777777" w:rsidR="009F4766" w:rsidRPr="00DE12A3" w:rsidRDefault="009F4766" w:rsidP="00C917D6">
            <w:pPr>
              <w:pStyle w:val="NormalLeft"/>
            </w:pPr>
            <w:r w:rsidRPr="00DE12A3">
              <w:t>23</w:t>
            </w:r>
          </w:p>
        </w:tc>
      </w:tr>
      <w:tr w:rsidR="00DE12A3" w:rsidRPr="00DE12A3" w14:paraId="52A1E42E" w14:textId="77777777" w:rsidTr="009F4766">
        <w:tc>
          <w:tcPr>
            <w:tcW w:w="1182" w:type="dxa"/>
            <w:tcBorders>
              <w:top w:val="single" w:sz="2" w:space="0" w:color="auto"/>
              <w:left w:val="single" w:sz="2" w:space="0" w:color="auto"/>
              <w:bottom w:val="single" w:sz="2" w:space="0" w:color="auto"/>
              <w:right w:val="single" w:sz="2" w:space="0" w:color="auto"/>
            </w:tcBorders>
          </w:tcPr>
          <w:p w14:paraId="4C44F7EB" w14:textId="77777777" w:rsidR="009F4766" w:rsidRPr="00DE12A3" w:rsidRDefault="009F4766" w:rsidP="00C917D6">
            <w:pPr>
              <w:pStyle w:val="NormalLeft"/>
            </w:pPr>
            <w:r w:rsidRPr="00DE12A3">
              <w:t>1145</w:t>
            </w:r>
          </w:p>
        </w:tc>
        <w:tc>
          <w:tcPr>
            <w:tcW w:w="2489" w:type="dxa"/>
            <w:tcBorders>
              <w:top w:val="single" w:sz="2" w:space="0" w:color="auto"/>
              <w:left w:val="single" w:sz="2" w:space="0" w:color="auto"/>
              <w:bottom w:val="single" w:sz="2" w:space="0" w:color="auto"/>
              <w:right w:val="single" w:sz="2" w:space="0" w:color="auto"/>
            </w:tcBorders>
          </w:tcPr>
          <w:p w14:paraId="0CE7CCF6" w14:textId="77777777" w:rsidR="009F4766" w:rsidRPr="00DE12A3" w:rsidRDefault="009F4766" w:rsidP="00C917D6">
            <w:pPr>
              <w:pStyle w:val="NormalLeft"/>
            </w:pPr>
            <w:r w:rsidRPr="00DE12A3">
              <w:t>93</w:t>
            </w:r>
          </w:p>
        </w:tc>
        <w:tc>
          <w:tcPr>
            <w:tcW w:w="2551" w:type="dxa"/>
            <w:tcBorders>
              <w:top w:val="single" w:sz="2" w:space="0" w:color="auto"/>
              <w:left w:val="single" w:sz="2" w:space="0" w:color="auto"/>
              <w:bottom w:val="single" w:sz="2" w:space="0" w:color="auto"/>
              <w:right w:val="single" w:sz="2" w:space="0" w:color="auto"/>
            </w:tcBorders>
          </w:tcPr>
          <w:p w14:paraId="33AEC3FF" w14:textId="77777777" w:rsidR="009F4766" w:rsidRPr="00DE12A3" w:rsidRDefault="009F4766" w:rsidP="00C917D6">
            <w:pPr>
              <w:pStyle w:val="NormalLeft"/>
            </w:pPr>
            <w:r w:rsidRPr="00DE12A3">
              <w:t>21</w:t>
            </w:r>
          </w:p>
        </w:tc>
      </w:tr>
      <w:tr w:rsidR="00DE12A3" w:rsidRPr="00DE12A3" w14:paraId="333F5B11" w14:textId="77777777" w:rsidTr="009F4766">
        <w:tc>
          <w:tcPr>
            <w:tcW w:w="1182" w:type="dxa"/>
            <w:tcBorders>
              <w:top w:val="single" w:sz="2" w:space="0" w:color="auto"/>
              <w:left w:val="single" w:sz="2" w:space="0" w:color="auto"/>
              <w:bottom w:val="single" w:sz="2" w:space="0" w:color="auto"/>
              <w:right w:val="single" w:sz="2" w:space="0" w:color="auto"/>
            </w:tcBorders>
          </w:tcPr>
          <w:p w14:paraId="27BB8AAF" w14:textId="77777777" w:rsidR="009F4766" w:rsidRPr="00DE12A3" w:rsidRDefault="009F4766" w:rsidP="00C917D6">
            <w:pPr>
              <w:pStyle w:val="NormalLeft"/>
            </w:pPr>
            <w:r w:rsidRPr="00DE12A3">
              <w:t>1146</w:t>
            </w:r>
          </w:p>
        </w:tc>
        <w:tc>
          <w:tcPr>
            <w:tcW w:w="2489" w:type="dxa"/>
            <w:tcBorders>
              <w:top w:val="single" w:sz="2" w:space="0" w:color="auto"/>
              <w:left w:val="single" w:sz="2" w:space="0" w:color="auto"/>
              <w:bottom w:val="single" w:sz="2" w:space="0" w:color="auto"/>
              <w:right w:val="single" w:sz="2" w:space="0" w:color="auto"/>
            </w:tcBorders>
          </w:tcPr>
          <w:p w14:paraId="60C42A79" w14:textId="77777777" w:rsidR="009F4766" w:rsidRPr="00DE12A3" w:rsidRDefault="009F4766" w:rsidP="00C917D6">
            <w:pPr>
              <w:pStyle w:val="NormalLeft"/>
            </w:pPr>
            <w:r w:rsidRPr="00DE12A3">
              <w:t>93</w:t>
            </w:r>
          </w:p>
        </w:tc>
        <w:tc>
          <w:tcPr>
            <w:tcW w:w="2551" w:type="dxa"/>
            <w:tcBorders>
              <w:top w:val="single" w:sz="2" w:space="0" w:color="auto"/>
              <w:left w:val="single" w:sz="2" w:space="0" w:color="auto"/>
              <w:bottom w:val="single" w:sz="2" w:space="0" w:color="auto"/>
              <w:right w:val="single" w:sz="2" w:space="0" w:color="auto"/>
            </w:tcBorders>
          </w:tcPr>
          <w:p w14:paraId="609E480F" w14:textId="77777777" w:rsidR="009F4766" w:rsidRPr="00DE12A3" w:rsidRDefault="009F4766" w:rsidP="00C917D6">
            <w:pPr>
              <w:pStyle w:val="NormalLeft"/>
            </w:pPr>
            <w:r w:rsidRPr="00DE12A3">
              <w:t>18</w:t>
            </w:r>
          </w:p>
        </w:tc>
      </w:tr>
      <w:tr w:rsidR="00DE12A3" w:rsidRPr="00DE12A3" w14:paraId="109EC90D" w14:textId="77777777" w:rsidTr="009F4766">
        <w:tc>
          <w:tcPr>
            <w:tcW w:w="1182" w:type="dxa"/>
            <w:tcBorders>
              <w:top w:val="single" w:sz="2" w:space="0" w:color="auto"/>
              <w:left w:val="single" w:sz="2" w:space="0" w:color="auto"/>
              <w:bottom w:val="single" w:sz="2" w:space="0" w:color="auto"/>
              <w:right w:val="single" w:sz="2" w:space="0" w:color="auto"/>
            </w:tcBorders>
          </w:tcPr>
          <w:p w14:paraId="20955912" w14:textId="77777777" w:rsidR="009F4766" w:rsidRPr="00DE12A3" w:rsidRDefault="009F4766" w:rsidP="00C917D6">
            <w:pPr>
              <w:pStyle w:val="NormalLeft"/>
            </w:pPr>
            <w:r w:rsidRPr="00DE12A3">
              <w:t>1147</w:t>
            </w:r>
          </w:p>
        </w:tc>
        <w:tc>
          <w:tcPr>
            <w:tcW w:w="2489" w:type="dxa"/>
            <w:tcBorders>
              <w:top w:val="single" w:sz="2" w:space="0" w:color="auto"/>
              <w:left w:val="single" w:sz="2" w:space="0" w:color="auto"/>
              <w:bottom w:val="single" w:sz="2" w:space="0" w:color="auto"/>
              <w:right w:val="single" w:sz="2" w:space="0" w:color="auto"/>
            </w:tcBorders>
          </w:tcPr>
          <w:p w14:paraId="1C86BC5E" w14:textId="77777777" w:rsidR="009F4766" w:rsidRPr="00DE12A3" w:rsidRDefault="009F4766" w:rsidP="00C917D6">
            <w:pPr>
              <w:pStyle w:val="NormalLeft"/>
            </w:pPr>
            <w:r w:rsidRPr="00DE12A3">
              <w:t>93</w:t>
            </w:r>
          </w:p>
        </w:tc>
        <w:tc>
          <w:tcPr>
            <w:tcW w:w="2551" w:type="dxa"/>
            <w:tcBorders>
              <w:top w:val="single" w:sz="2" w:space="0" w:color="auto"/>
              <w:left w:val="single" w:sz="2" w:space="0" w:color="auto"/>
              <w:bottom w:val="single" w:sz="2" w:space="0" w:color="auto"/>
              <w:right w:val="single" w:sz="2" w:space="0" w:color="auto"/>
            </w:tcBorders>
          </w:tcPr>
          <w:p w14:paraId="77F517CB" w14:textId="77777777" w:rsidR="009F4766" w:rsidRPr="00DE12A3" w:rsidRDefault="009F4766" w:rsidP="00C917D6">
            <w:pPr>
              <w:pStyle w:val="NormalLeft"/>
            </w:pPr>
            <w:r w:rsidRPr="00DE12A3">
              <w:t>16</w:t>
            </w:r>
          </w:p>
        </w:tc>
      </w:tr>
      <w:tr w:rsidR="00DE12A3" w:rsidRPr="00DE12A3" w14:paraId="70C45E9E" w14:textId="77777777" w:rsidTr="009F4766">
        <w:tc>
          <w:tcPr>
            <w:tcW w:w="1182" w:type="dxa"/>
            <w:tcBorders>
              <w:top w:val="single" w:sz="2" w:space="0" w:color="auto"/>
              <w:left w:val="single" w:sz="2" w:space="0" w:color="auto"/>
              <w:bottom w:val="single" w:sz="2" w:space="0" w:color="auto"/>
              <w:right w:val="single" w:sz="2" w:space="0" w:color="auto"/>
            </w:tcBorders>
          </w:tcPr>
          <w:p w14:paraId="3693A667" w14:textId="77777777" w:rsidR="009F4766" w:rsidRPr="00DE12A3" w:rsidRDefault="009F4766" w:rsidP="00C917D6">
            <w:pPr>
              <w:pStyle w:val="NormalLeft"/>
            </w:pPr>
            <w:r w:rsidRPr="00DE12A3">
              <w:t>1148</w:t>
            </w:r>
          </w:p>
        </w:tc>
        <w:tc>
          <w:tcPr>
            <w:tcW w:w="2489" w:type="dxa"/>
            <w:tcBorders>
              <w:top w:val="single" w:sz="2" w:space="0" w:color="auto"/>
              <w:left w:val="single" w:sz="2" w:space="0" w:color="auto"/>
              <w:bottom w:val="single" w:sz="2" w:space="0" w:color="auto"/>
              <w:right w:val="single" w:sz="2" w:space="0" w:color="auto"/>
            </w:tcBorders>
          </w:tcPr>
          <w:p w14:paraId="59639D7A" w14:textId="77777777" w:rsidR="009F4766" w:rsidRPr="00DE12A3" w:rsidRDefault="009F4766" w:rsidP="00C917D6">
            <w:pPr>
              <w:pStyle w:val="NormalLeft"/>
            </w:pPr>
            <w:r w:rsidRPr="00DE12A3">
              <w:t>93</w:t>
            </w:r>
          </w:p>
        </w:tc>
        <w:tc>
          <w:tcPr>
            <w:tcW w:w="2551" w:type="dxa"/>
            <w:tcBorders>
              <w:top w:val="single" w:sz="2" w:space="0" w:color="auto"/>
              <w:left w:val="single" w:sz="2" w:space="0" w:color="auto"/>
              <w:bottom w:val="single" w:sz="2" w:space="0" w:color="auto"/>
              <w:right w:val="single" w:sz="2" w:space="0" w:color="auto"/>
            </w:tcBorders>
          </w:tcPr>
          <w:p w14:paraId="5D9D25EA" w14:textId="77777777" w:rsidR="009F4766" w:rsidRPr="00DE12A3" w:rsidRDefault="009F4766" w:rsidP="00C917D6">
            <w:pPr>
              <w:pStyle w:val="NormalLeft"/>
            </w:pPr>
            <w:r w:rsidRPr="00DE12A3">
              <w:t>16</w:t>
            </w:r>
          </w:p>
        </w:tc>
      </w:tr>
      <w:tr w:rsidR="00DE12A3" w:rsidRPr="00DE12A3" w14:paraId="54BD2467" w14:textId="77777777" w:rsidTr="009F4766">
        <w:tc>
          <w:tcPr>
            <w:tcW w:w="1182" w:type="dxa"/>
            <w:tcBorders>
              <w:top w:val="single" w:sz="2" w:space="0" w:color="auto"/>
              <w:left w:val="single" w:sz="2" w:space="0" w:color="auto"/>
              <w:bottom w:val="single" w:sz="2" w:space="0" w:color="auto"/>
              <w:right w:val="single" w:sz="2" w:space="0" w:color="auto"/>
            </w:tcBorders>
          </w:tcPr>
          <w:p w14:paraId="386EC0B8" w14:textId="77777777" w:rsidR="009F4766" w:rsidRPr="00DE12A3" w:rsidRDefault="009F4766" w:rsidP="00C917D6">
            <w:pPr>
              <w:pStyle w:val="NormalLeft"/>
            </w:pPr>
            <w:r w:rsidRPr="00DE12A3">
              <w:t>1149</w:t>
            </w:r>
          </w:p>
        </w:tc>
        <w:tc>
          <w:tcPr>
            <w:tcW w:w="2489" w:type="dxa"/>
            <w:tcBorders>
              <w:top w:val="single" w:sz="2" w:space="0" w:color="auto"/>
              <w:left w:val="single" w:sz="2" w:space="0" w:color="auto"/>
              <w:bottom w:val="single" w:sz="2" w:space="0" w:color="auto"/>
              <w:right w:val="single" w:sz="2" w:space="0" w:color="auto"/>
            </w:tcBorders>
          </w:tcPr>
          <w:p w14:paraId="0BE42D49" w14:textId="77777777" w:rsidR="009F4766" w:rsidRPr="00DE12A3" w:rsidRDefault="009F4766" w:rsidP="00C917D6">
            <w:pPr>
              <w:pStyle w:val="NormalLeft"/>
            </w:pPr>
            <w:r w:rsidRPr="00DE12A3">
              <w:t>93</w:t>
            </w:r>
          </w:p>
        </w:tc>
        <w:tc>
          <w:tcPr>
            <w:tcW w:w="2551" w:type="dxa"/>
            <w:tcBorders>
              <w:top w:val="single" w:sz="2" w:space="0" w:color="auto"/>
              <w:left w:val="single" w:sz="2" w:space="0" w:color="auto"/>
              <w:bottom w:val="single" w:sz="2" w:space="0" w:color="auto"/>
              <w:right w:val="single" w:sz="2" w:space="0" w:color="auto"/>
            </w:tcBorders>
          </w:tcPr>
          <w:p w14:paraId="4BAA0636" w14:textId="77777777" w:rsidR="009F4766" w:rsidRPr="00DE12A3" w:rsidRDefault="009F4766" w:rsidP="00C917D6">
            <w:pPr>
              <w:pStyle w:val="NormalLeft"/>
            </w:pPr>
            <w:r w:rsidRPr="00DE12A3">
              <w:t>16</w:t>
            </w:r>
          </w:p>
        </w:tc>
      </w:tr>
      <w:tr w:rsidR="00DE12A3" w:rsidRPr="00DE12A3" w14:paraId="3CFD7671" w14:textId="77777777" w:rsidTr="009F4766">
        <w:tc>
          <w:tcPr>
            <w:tcW w:w="1182" w:type="dxa"/>
            <w:tcBorders>
              <w:top w:val="single" w:sz="2" w:space="0" w:color="auto"/>
              <w:left w:val="single" w:sz="2" w:space="0" w:color="auto"/>
              <w:bottom w:val="single" w:sz="2" w:space="0" w:color="auto"/>
              <w:right w:val="single" w:sz="2" w:space="0" w:color="auto"/>
            </w:tcBorders>
          </w:tcPr>
          <w:p w14:paraId="772A54A3" w14:textId="77777777" w:rsidR="009F4766" w:rsidRPr="00DE12A3" w:rsidRDefault="009F4766" w:rsidP="00C917D6">
            <w:pPr>
              <w:pStyle w:val="NormalLeft"/>
            </w:pPr>
            <w:r w:rsidRPr="00DE12A3">
              <w:t>1150</w:t>
            </w:r>
          </w:p>
        </w:tc>
        <w:tc>
          <w:tcPr>
            <w:tcW w:w="2489" w:type="dxa"/>
            <w:tcBorders>
              <w:top w:val="single" w:sz="2" w:space="0" w:color="auto"/>
              <w:left w:val="single" w:sz="2" w:space="0" w:color="auto"/>
              <w:bottom w:val="single" w:sz="2" w:space="0" w:color="auto"/>
              <w:right w:val="single" w:sz="2" w:space="0" w:color="auto"/>
            </w:tcBorders>
          </w:tcPr>
          <w:p w14:paraId="2DFDED86" w14:textId="77777777" w:rsidR="009F4766" w:rsidRPr="00DE12A3" w:rsidRDefault="009F4766" w:rsidP="00C917D6">
            <w:pPr>
              <w:pStyle w:val="NormalLeft"/>
            </w:pPr>
            <w:r w:rsidRPr="00DE12A3">
              <w:t>93</w:t>
            </w:r>
          </w:p>
        </w:tc>
        <w:tc>
          <w:tcPr>
            <w:tcW w:w="2551" w:type="dxa"/>
            <w:tcBorders>
              <w:top w:val="single" w:sz="2" w:space="0" w:color="auto"/>
              <w:left w:val="single" w:sz="2" w:space="0" w:color="auto"/>
              <w:bottom w:val="single" w:sz="2" w:space="0" w:color="auto"/>
              <w:right w:val="single" w:sz="2" w:space="0" w:color="auto"/>
            </w:tcBorders>
          </w:tcPr>
          <w:p w14:paraId="018DEE59" w14:textId="77777777" w:rsidR="009F4766" w:rsidRPr="00DE12A3" w:rsidRDefault="009F4766" w:rsidP="00C917D6">
            <w:pPr>
              <w:pStyle w:val="NormalLeft"/>
            </w:pPr>
            <w:r w:rsidRPr="00DE12A3">
              <w:t>17</w:t>
            </w:r>
          </w:p>
        </w:tc>
      </w:tr>
      <w:tr w:rsidR="00DE12A3" w:rsidRPr="00DE12A3" w14:paraId="5EA20FD7" w14:textId="77777777" w:rsidTr="009F4766">
        <w:tc>
          <w:tcPr>
            <w:tcW w:w="1182" w:type="dxa"/>
            <w:tcBorders>
              <w:top w:val="single" w:sz="2" w:space="0" w:color="auto"/>
              <w:left w:val="single" w:sz="2" w:space="0" w:color="auto"/>
              <w:bottom w:val="single" w:sz="2" w:space="0" w:color="auto"/>
              <w:right w:val="single" w:sz="2" w:space="0" w:color="auto"/>
            </w:tcBorders>
          </w:tcPr>
          <w:p w14:paraId="62B5AA09" w14:textId="77777777" w:rsidR="009F4766" w:rsidRPr="00DE12A3" w:rsidRDefault="009F4766" w:rsidP="00C917D6">
            <w:pPr>
              <w:pStyle w:val="NormalLeft"/>
            </w:pPr>
            <w:r w:rsidRPr="00DE12A3">
              <w:t>1151</w:t>
            </w:r>
          </w:p>
        </w:tc>
        <w:tc>
          <w:tcPr>
            <w:tcW w:w="2489" w:type="dxa"/>
            <w:tcBorders>
              <w:top w:val="single" w:sz="2" w:space="0" w:color="auto"/>
              <w:left w:val="single" w:sz="2" w:space="0" w:color="auto"/>
              <w:bottom w:val="single" w:sz="2" w:space="0" w:color="auto"/>
              <w:right w:val="single" w:sz="2" w:space="0" w:color="auto"/>
            </w:tcBorders>
          </w:tcPr>
          <w:p w14:paraId="6E491088" w14:textId="77777777" w:rsidR="009F4766" w:rsidRPr="00DE12A3" w:rsidRDefault="009F4766" w:rsidP="00C917D6">
            <w:pPr>
              <w:pStyle w:val="NormalLeft"/>
            </w:pPr>
            <w:r w:rsidRPr="00DE12A3">
              <w:t>93</w:t>
            </w:r>
          </w:p>
        </w:tc>
        <w:tc>
          <w:tcPr>
            <w:tcW w:w="2551" w:type="dxa"/>
            <w:tcBorders>
              <w:top w:val="single" w:sz="2" w:space="0" w:color="auto"/>
              <w:left w:val="single" w:sz="2" w:space="0" w:color="auto"/>
              <w:bottom w:val="single" w:sz="2" w:space="0" w:color="auto"/>
              <w:right w:val="single" w:sz="2" w:space="0" w:color="auto"/>
            </w:tcBorders>
          </w:tcPr>
          <w:p w14:paraId="040C1584" w14:textId="77777777" w:rsidR="009F4766" w:rsidRPr="00DE12A3" w:rsidRDefault="009F4766" w:rsidP="00C917D6">
            <w:pPr>
              <w:pStyle w:val="NormalLeft"/>
            </w:pPr>
            <w:r w:rsidRPr="00DE12A3">
              <w:t>17</w:t>
            </w:r>
          </w:p>
        </w:tc>
      </w:tr>
      <w:tr w:rsidR="00DE12A3" w:rsidRPr="00DE12A3" w14:paraId="57507083" w14:textId="77777777" w:rsidTr="009F4766">
        <w:tc>
          <w:tcPr>
            <w:tcW w:w="1182" w:type="dxa"/>
            <w:tcBorders>
              <w:top w:val="single" w:sz="2" w:space="0" w:color="auto"/>
              <w:left w:val="single" w:sz="2" w:space="0" w:color="auto"/>
              <w:bottom w:val="single" w:sz="2" w:space="0" w:color="auto"/>
              <w:right w:val="single" w:sz="2" w:space="0" w:color="auto"/>
            </w:tcBorders>
          </w:tcPr>
          <w:p w14:paraId="0A468F5D" w14:textId="77777777" w:rsidR="009F4766" w:rsidRPr="00DE12A3" w:rsidRDefault="009F4766" w:rsidP="00C917D6">
            <w:pPr>
              <w:pStyle w:val="NormalLeft"/>
            </w:pPr>
            <w:r w:rsidRPr="00DE12A3">
              <w:t>1152</w:t>
            </w:r>
          </w:p>
        </w:tc>
        <w:tc>
          <w:tcPr>
            <w:tcW w:w="2489" w:type="dxa"/>
            <w:tcBorders>
              <w:top w:val="single" w:sz="2" w:space="0" w:color="auto"/>
              <w:left w:val="single" w:sz="2" w:space="0" w:color="auto"/>
              <w:bottom w:val="single" w:sz="2" w:space="0" w:color="auto"/>
              <w:right w:val="single" w:sz="2" w:space="0" w:color="auto"/>
            </w:tcBorders>
          </w:tcPr>
          <w:p w14:paraId="4FF6979C" w14:textId="77777777" w:rsidR="009F4766" w:rsidRPr="00DE12A3" w:rsidRDefault="009F4766" w:rsidP="00C917D6">
            <w:pPr>
              <w:pStyle w:val="NormalLeft"/>
            </w:pPr>
            <w:r w:rsidRPr="00DE12A3">
              <w:t>93</w:t>
            </w:r>
          </w:p>
        </w:tc>
        <w:tc>
          <w:tcPr>
            <w:tcW w:w="2551" w:type="dxa"/>
            <w:tcBorders>
              <w:top w:val="single" w:sz="2" w:space="0" w:color="auto"/>
              <w:left w:val="single" w:sz="2" w:space="0" w:color="auto"/>
              <w:bottom w:val="single" w:sz="2" w:space="0" w:color="auto"/>
              <w:right w:val="single" w:sz="2" w:space="0" w:color="auto"/>
            </w:tcBorders>
          </w:tcPr>
          <w:p w14:paraId="422317AF" w14:textId="77777777" w:rsidR="009F4766" w:rsidRPr="00DE12A3" w:rsidRDefault="009F4766" w:rsidP="00C917D6">
            <w:pPr>
              <w:pStyle w:val="NormalLeft"/>
            </w:pPr>
            <w:r w:rsidRPr="00DE12A3">
              <w:t>17</w:t>
            </w:r>
          </w:p>
        </w:tc>
      </w:tr>
      <w:tr w:rsidR="00DE12A3" w:rsidRPr="00DE12A3" w14:paraId="7142A791" w14:textId="77777777" w:rsidTr="009F4766">
        <w:tc>
          <w:tcPr>
            <w:tcW w:w="1182" w:type="dxa"/>
            <w:tcBorders>
              <w:top w:val="single" w:sz="2" w:space="0" w:color="auto"/>
              <w:left w:val="single" w:sz="2" w:space="0" w:color="auto"/>
              <w:bottom w:val="single" w:sz="2" w:space="0" w:color="auto"/>
              <w:right w:val="single" w:sz="2" w:space="0" w:color="auto"/>
            </w:tcBorders>
          </w:tcPr>
          <w:p w14:paraId="43F9268F" w14:textId="77777777" w:rsidR="009F4766" w:rsidRPr="00DE12A3" w:rsidRDefault="009F4766" w:rsidP="00C917D6">
            <w:pPr>
              <w:pStyle w:val="NormalLeft"/>
            </w:pPr>
            <w:r w:rsidRPr="00DE12A3">
              <w:t>1153</w:t>
            </w:r>
          </w:p>
        </w:tc>
        <w:tc>
          <w:tcPr>
            <w:tcW w:w="2489" w:type="dxa"/>
            <w:tcBorders>
              <w:top w:val="single" w:sz="2" w:space="0" w:color="auto"/>
              <w:left w:val="single" w:sz="2" w:space="0" w:color="auto"/>
              <w:bottom w:val="single" w:sz="2" w:space="0" w:color="auto"/>
              <w:right w:val="single" w:sz="2" w:space="0" w:color="auto"/>
            </w:tcBorders>
          </w:tcPr>
          <w:p w14:paraId="4849150A" w14:textId="77777777" w:rsidR="009F4766" w:rsidRPr="00DE12A3" w:rsidRDefault="009F4766" w:rsidP="00C917D6">
            <w:pPr>
              <w:pStyle w:val="NormalLeft"/>
            </w:pPr>
            <w:r w:rsidRPr="00DE12A3">
              <w:t>93</w:t>
            </w:r>
          </w:p>
        </w:tc>
        <w:tc>
          <w:tcPr>
            <w:tcW w:w="2551" w:type="dxa"/>
            <w:tcBorders>
              <w:top w:val="single" w:sz="2" w:space="0" w:color="auto"/>
              <w:left w:val="single" w:sz="2" w:space="0" w:color="auto"/>
              <w:bottom w:val="single" w:sz="2" w:space="0" w:color="auto"/>
              <w:right w:val="single" w:sz="2" w:space="0" w:color="auto"/>
            </w:tcBorders>
          </w:tcPr>
          <w:p w14:paraId="36B8F959" w14:textId="77777777" w:rsidR="009F4766" w:rsidRPr="00DE12A3" w:rsidRDefault="009F4766" w:rsidP="00C917D6">
            <w:pPr>
              <w:pStyle w:val="NormalLeft"/>
            </w:pPr>
            <w:r w:rsidRPr="00DE12A3">
              <w:t>17</w:t>
            </w:r>
          </w:p>
        </w:tc>
      </w:tr>
      <w:tr w:rsidR="00DE12A3" w:rsidRPr="00DE12A3" w14:paraId="74599B35" w14:textId="77777777" w:rsidTr="009F4766">
        <w:tc>
          <w:tcPr>
            <w:tcW w:w="1182" w:type="dxa"/>
            <w:tcBorders>
              <w:top w:val="single" w:sz="2" w:space="0" w:color="auto"/>
              <w:left w:val="single" w:sz="2" w:space="0" w:color="auto"/>
              <w:bottom w:val="single" w:sz="2" w:space="0" w:color="auto"/>
              <w:right w:val="single" w:sz="2" w:space="0" w:color="auto"/>
            </w:tcBorders>
          </w:tcPr>
          <w:p w14:paraId="25235685" w14:textId="77777777" w:rsidR="009F4766" w:rsidRPr="00DE12A3" w:rsidRDefault="009F4766" w:rsidP="00C917D6">
            <w:pPr>
              <w:pStyle w:val="NormalLeft"/>
            </w:pPr>
            <w:r w:rsidRPr="00DE12A3">
              <w:t>1154</w:t>
            </w:r>
          </w:p>
        </w:tc>
        <w:tc>
          <w:tcPr>
            <w:tcW w:w="2489" w:type="dxa"/>
            <w:tcBorders>
              <w:top w:val="single" w:sz="2" w:space="0" w:color="auto"/>
              <w:left w:val="single" w:sz="2" w:space="0" w:color="auto"/>
              <w:bottom w:val="single" w:sz="2" w:space="0" w:color="auto"/>
              <w:right w:val="single" w:sz="2" w:space="0" w:color="auto"/>
            </w:tcBorders>
          </w:tcPr>
          <w:p w14:paraId="57BAF512" w14:textId="77777777" w:rsidR="009F4766" w:rsidRPr="00DE12A3" w:rsidRDefault="009F4766" w:rsidP="00C917D6">
            <w:pPr>
              <w:pStyle w:val="NormalLeft"/>
            </w:pPr>
            <w:r w:rsidRPr="00DE12A3">
              <w:t>93</w:t>
            </w:r>
          </w:p>
        </w:tc>
        <w:tc>
          <w:tcPr>
            <w:tcW w:w="2551" w:type="dxa"/>
            <w:tcBorders>
              <w:top w:val="single" w:sz="2" w:space="0" w:color="auto"/>
              <w:left w:val="single" w:sz="2" w:space="0" w:color="auto"/>
              <w:bottom w:val="single" w:sz="2" w:space="0" w:color="auto"/>
              <w:right w:val="single" w:sz="2" w:space="0" w:color="auto"/>
            </w:tcBorders>
          </w:tcPr>
          <w:p w14:paraId="3A589BB1" w14:textId="77777777" w:rsidR="009F4766" w:rsidRPr="00DE12A3" w:rsidRDefault="009F4766" w:rsidP="00C917D6">
            <w:pPr>
              <w:pStyle w:val="NormalLeft"/>
            </w:pPr>
            <w:r w:rsidRPr="00DE12A3">
              <w:t>23</w:t>
            </w:r>
          </w:p>
        </w:tc>
      </w:tr>
      <w:tr w:rsidR="00DE12A3" w:rsidRPr="00DE12A3" w14:paraId="2663FEF0" w14:textId="77777777" w:rsidTr="009F4766">
        <w:tc>
          <w:tcPr>
            <w:tcW w:w="1182" w:type="dxa"/>
            <w:tcBorders>
              <w:top w:val="single" w:sz="2" w:space="0" w:color="auto"/>
              <w:left w:val="single" w:sz="2" w:space="0" w:color="auto"/>
              <w:bottom w:val="single" w:sz="2" w:space="0" w:color="auto"/>
              <w:right w:val="single" w:sz="2" w:space="0" w:color="auto"/>
            </w:tcBorders>
          </w:tcPr>
          <w:p w14:paraId="2CA42C27" w14:textId="77777777" w:rsidR="009F4766" w:rsidRPr="00DE12A3" w:rsidRDefault="009F4766" w:rsidP="00C917D6">
            <w:pPr>
              <w:pStyle w:val="NormalLeft"/>
            </w:pPr>
            <w:r w:rsidRPr="00DE12A3">
              <w:lastRenderedPageBreak/>
              <w:t>1155</w:t>
            </w:r>
          </w:p>
        </w:tc>
        <w:tc>
          <w:tcPr>
            <w:tcW w:w="2489" w:type="dxa"/>
            <w:tcBorders>
              <w:top w:val="single" w:sz="2" w:space="0" w:color="auto"/>
              <w:left w:val="single" w:sz="2" w:space="0" w:color="auto"/>
              <w:bottom w:val="single" w:sz="2" w:space="0" w:color="auto"/>
              <w:right w:val="single" w:sz="2" w:space="0" w:color="auto"/>
            </w:tcBorders>
          </w:tcPr>
          <w:p w14:paraId="313E9D39" w14:textId="77777777" w:rsidR="009F4766" w:rsidRPr="00DE12A3" w:rsidRDefault="009F4766" w:rsidP="00C917D6">
            <w:pPr>
              <w:pStyle w:val="NormalLeft"/>
            </w:pPr>
            <w:r w:rsidRPr="00DE12A3">
              <w:t>93</w:t>
            </w:r>
          </w:p>
        </w:tc>
        <w:tc>
          <w:tcPr>
            <w:tcW w:w="2551" w:type="dxa"/>
            <w:tcBorders>
              <w:top w:val="single" w:sz="2" w:space="0" w:color="auto"/>
              <w:left w:val="single" w:sz="2" w:space="0" w:color="auto"/>
              <w:bottom w:val="single" w:sz="2" w:space="0" w:color="auto"/>
              <w:right w:val="single" w:sz="2" w:space="0" w:color="auto"/>
            </w:tcBorders>
          </w:tcPr>
          <w:p w14:paraId="4A22715E" w14:textId="77777777" w:rsidR="009F4766" w:rsidRPr="00DE12A3" w:rsidRDefault="009F4766" w:rsidP="00C917D6">
            <w:pPr>
              <w:pStyle w:val="NormalLeft"/>
            </w:pPr>
            <w:r w:rsidRPr="00DE12A3">
              <w:t>26</w:t>
            </w:r>
          </w:p>
        </w:tc>
      </w:tr>
      <w:tr w:rsidR="00DE12A3" w:rsidRPr="00DE12A3" w14:paraId="353583D8" w14:textId="77777777" w:rsidTr="009F4766">
        <w:tc>
          <w:tcPr>
            <w:tcW w:w="1182" w:type="dxa"/>
            <w:tcBorders>
              <w:top w:val="single" w:sz="2" w:space="0" w:color="auto"/>
              <w:left w:val="single" w:sz="2" w:space="0" w:color="auto"/>
              <w:bottom w:val="single" w:sz="2" w:space="0" w:color="auto"/>
              <w:right w:val="single" w:sz="2" w:space="0" w:color="auto"/>
            </w:tcBorders>
          </w:tcPr>
          <w:p w14:paraId="65380438" w14:textId="77777777" w:rsidR="009F4766" w:rsidRPr="00DE12A3" w:rsidRDefault="009F4766" w:rsidP="00C917D6">
            <w:pPr>
              <w:pStyle w:val="NormalLeft"/>
            </w:pPr>
            <w:r w:rsidRPr="00DE12A3">
              <w:t>1156</w:t>
            </w:r>
          </w:p>
        </w:tc>
        <w:tc>
          <w:tcPr>
            <w:tcW w:w="2489" w:type="dxa"/>
            <w:tcBorders>
              <w:top w:val="single" w:sz="2" w:space="0" w:color="auto"/>
              <w:left w:val="single" w:sz="2" w:space="0" w:color="auto"/>
              <w:bottom w:val="single" w:sz="2" w:space="0" w:color="auto"/>
              <w:right w:val="single" w:sz="2" w:space="0" w:color="auto"/>
            </w:tcBorders>
          </w:tcPr>
          <w:p w14:paraId="3106B9AD" w14:textId="77777777" w:rsidR="009F4766" w:rsidRPr="00DE12A3" w:rsidRDefault="009F4766" w:rsidP="00C917D6">
            <w:pPr>
              <w:pStyle w:val="NormalLeft"/>
            </w:pPr>
            <w:r w:rsidRPr="00DE12A3">
              <w:t>93</w:t>
            </w:r>
          </w:p>
        </w:tc>
        <w:tc>
          <w:tcPr>
            <w:tcW w:w="2551" w:type="dxa"/>
            <w:tcBorders>
              <w:top w:val="single" w:sz="2" w:space="0" w:color="auto"/>
              <w:left w:val="single" w:sz="2" w:space="0" w:color="auto"/>
              <w:bottom w:val="single" w:sz="2" w:space="0" w:color="auto"/>
              <w:right w:val="single" w:sz="2" w:space="0" w:color="auto"/>
            </w:tcBorders>
          </w:tcPr>
          <w:p w14:paraId="6A0DF9D0" w14:textId="77777777" w:rsidR="009F4766" w:rsidRPr="00DE12A3" w:rsidRDefault="009F4766" w:rsidP="00C917D6">
            <w:pPr>
              <w:pStyle w:val="NormalLeft"/>
            </w:pPr>
            <w:r w:rsidRPr="00DE12A3">
              <w:t>22</w:t>
            </w:r>
          </w:p>
        </w:tc>
      </w:tr>
      <w:tr w:rsidR="00DE12A3" w:rsidRPr="00DE12A3" w14:paraId="00C6AE49" w14:textId="77777777" w:rsidTr="009F4766">
        <w:tc>
          <w:tcPr>
            <w:tcW w:w="1182" w:type="dxa"/>
            <w:tcBorders>
              <w:top w:val="single" w:sz="2" w:space="0" w:color="auto"/>
              <w:left w:val="single" w:sz="2" w:space="0" w:color="auto"/>
              <w:bottom w:val="single" w:sz="2" w:space="0" w:color="auto"/>
              <w:right w:val="single" w:sz="2" w:space="0" w:color="auto"/>
            </w:tcBorders>
          </w:tcPr>
          <w:p w14:paraId="610FC2CB" w14:textId="77777777" w:rsidR="009F4766" w:rsidRPr="00DE12A3" w:rsidRDefault="009F4766" w:rsidP="00C917D6">
            <w:pPr>
              <w:pStyle w:val="NormalLeft"/>
            </w:pPr>
            <w:r w:rsidRPr="00DE12A3">
              <w:t>1157</w:t>
            </w:r>
          </w:p>
        </w:tc>
        <w:tc>
          <w:tcPr>
            <w:tcW w:w="2489" w:type="dxa"/>
            <w:tcBorders>
              <w:top w:val="single" w:sz="2" w:space="0" w:color="auto"/>
              <w:left w:val="single" w:sz="2" w:space="0" w:color="auto"/>
              <w:bottom w:val="single" w:sz="2" w:space="0" w:color="auto"/>
              <w:right w:val="single" w:sz="2" w:space="0" w:color="auto"/>
            </w:tcBorders>
          </w:tcPr>
          <w:p w14:paraId="34B0D0F8" w14:textId="77777777" w:rsidR="009F4766" w:rsidRPr="00DE12A3" w:rsidRDefault="009F4766" w:rsidP="00C917D6">
            <w:pPr>
              <w:pStyle w:val="NormalLeft"/>
            </w:pPr>
            <w:r w:rsidRPr="00DE12A3">
              <w:t>93</w:t>
            </w:r>
          </w:p>
        </w:tc>
        <w:tc>
          <w:tcPr>
            <w:tcW w:w="2551" w:type="dxa"/>
            <w:tcBorders>
              <w:top w:val="single" w:sz="2" w:space="0" w:color="auto"/>
              <w:left w:val="single" w:sz="2" w:space="0" w:color="auto"/>
              <w:bottom w:val="single" w:sz="2" w:space="0" w:color="auto"/>
              <w:right w:val="single" w:sz="2" w:space="0" w:color="auto"/>
            </w:tcBorders>
          </w:tcPr>
          <w:p w14:paraId="7E4D9128" w14:textId="77777777" w:rsidR="009F4766" w:rsidRPr="00DE12A3" w:rsidRDefault="009F4766" w:rsidP="00C917D6">
            <w:pPr>
              <w:pStyle w:val="NormalLeft"/>
            </w:pPr>
            <w:r w:rsidRPr="00DE12A3">
              <w:t>18</w:t>
            </w:r>
          </w:p>
        </w:tc>
      </w:tr>
      <w:tr w:rsidR="00DE12A3" w:rsidRPr="00DE12A3" w14:paraId="0D7FDE26" w14:textId="77777777" w:rsidTr="009F4766">
        <w:tc>
          <w:tcPr>
            <w:tcW w:w="1182" w:type="dxa"/>
            <w:tcBorders>
              <w:top w:val="single" w:sz="2" w:space="0" w:color="auto"/>
              <w:left w:val="single" w:sz="2" w:space="0" w:color="auto"/>
              <w:bottom w:val="single" w:sz="2" w:space="0" w:color="auto"/>
              <w:right w:val="single" w:sz="2" w:space="0" w:color="auto"/>
            </w:tcBorders>
          </w:tcPr>
          <w:p w14:paraId="6118D8A5" w14:textId="77777777" w:rsidR="009F4766" w:rsidRPr="00DE12A3" w:rsidRDefault="009F4766" w:rsidP="00C917D6">
            <w:pPr>
              <w:pStyle w:val="NormalLeft"/>
            </w:pPr>
            <w:r w:rsidRPr="00DE12A3">
              <w:t>1158</w:t>
            </w:r>
          </w:p>
        </w:tc>
        <w:tc>
          <w:tcPr>
            <w:tcW w:w="2489" w:type="dxa"/>
            <w:tcBorders>
              <w:top w:val="single" w:sz="2" w:space="0" w:color="auto"/>
              <w:left w:val="single" w:sz="2" w:space="0" w:color="auto"/>
              <w:bottom w:val="single" w:sz="2" w:space="0" w:color="auto"/>
              <w:right w:val="single" w:sz="2" w:space="0" w:color="auto"/>
            </w:tcBorders>
          </w:tcPr>
          <w:p w14:paraId="113C1FA4" w14:textId="77777777" w:rsidR="009F4766" w:rsidRPr="00DE12A3" w:rsidRDefault="009F4766" w:rsidP="00C917D6">
            <w:pPr>
              <w:pStyle w:val="NormalLeft"/>
            </w:pPr>
            <w:r w:rsidRPr="00DE12A3">
              <w:t>93</w:t>
            </w:r>
          </w:p>
        </w:tc>
        <w:tc>
          <w:tcPr>
            <w:tcW w:w="2551" w:type="dxa"/>
            <w:tcBorders>
              <w:top w:val="single" w:sz="2" w:space="0" w:color="auto"/>
              <w:left w:val="single" w:sz="2" w:space="0" w:color="auto"/>
              <w:bottom w:val="single" w:sz="2" w:space="0" w:color="auto"/>
              <w:right w:val="single" w:sz="2" w:space="0" w:color="auto"/>
            </w:tcBorders>
          </w:tcPr>
          <w:p w14:paraId="4A969285" w14:textId="77777777" w:rsidR="009F4766" w:rsidRPr="00DE12A3" w:rsidRDefault="009F4766" w:rsidP="00C917D6">
            <w:pPr>
              <w:pStyle w:val="NormalLeft"/>
            </w:pPr>
            <w:r w:rsidRPr="00DE12A3">
              <w:t>16</w:t>
            </w:r>
          </w:p>
        </w:tc>
      </w:tr>
      <w:tr w:rsidR="00DE12A3" w:rsidRPr="00DE12A3" w14:paraId="50C67443" w14:textId="77777777" w:rsidTr="009F4766">
        <w:tc>
          <w:tcPr>
            <w:tcW w:w="1182" w:type="dxa"/>
            <w:tcBorders>
              <w:top w:val="single" w:sz="2" w:space="0" w:color="auto"/>
              <w:left w:val="single" w:sz="2" w:space="0" w:color="auto"/>
              <w:bottom w:val="single" w:sz="2" w:space="0" w:color="auto"/>
              <w:right w:val="single" w:sz="2" w:space="0" w:color="auto"/>
            </w:tcBorders>
          </w:tcPr>
          <w:p w14:paraId="7D7A0582" w14:textId="77777777" w:rsidR="009F4766" w:rsidRPr="00DE12A3" w:rsidRDefault="009F4766" w:rsidP="00C917D6">
            <w:pPr>
              <w:pStyle w:val="NormalLeft"/>
            </w:pPr>
            <w:r w:rsidRPr="00DE12A3">
              <w:t>1159</w:t>
            </w:r>
          </w:p>
        </w:tc>
        <w:tc>
          <w:tcPr>
            <w:tcW w:w="2489" w:type="dxa"/>
            <w:tcBorders>
              <w:top w:val="single" w:sz="2" w:space="0" w:color="auto"/>
              <w:left w:val="single" w:sz="2" w:space="0" w:color="auto"/>
              <w:bottom w:val="single" w:sz="2" w:space="0" w:color="auto"/>
              <w:right w:val="single" w:sz="2" w:space="0" w:color="auto"/>
            </w:tcBorders>
          </w:tcPr>
          <w:p w14:paraId="4D3244C9" w14:textId="77777777" w:rsidR="009F4766" w:rsidRPr="00DE12A3" w:rsidRDefault="009F4766" w:rsidP="00C917D6">
            <w:pPr>
              <w:pStyle w:val="NormalLeft"/>
            </w:pPr>
            <w:r w:rsidRPr="00DE12A3">
              <w:t>93</w:t>
            </w:r>
          </w:p>
        </w:tc>
        <w:tc>
          <w:tcPr>
            <w:tcW w:w="2551" w:type="dxa"/>
            <w:tcBorders>
              <w:top w:val="single" w:sz="2" w:space="0" w:color="auto"/>
              <w:left w:val="single" w:sz="2" w:space="0" w:color="auto"/>
              <w:bottom w:val="single" w:sz="2" w:space="0" w:color="auto"/>
              <w:right w:val="single" w:sz="2" w:space="0" w:color="auto"/>
            </w:tcBorders>
          </w:tcPr>
          <w:p w14:paraId="1C85B6E7" w14:textId="77777777" w:rsidR="009F4766" w:rsidRPr="00DE12A3" w:rsidRDefault="009F4766" w:rsidP="00C917D6">
            <w:pPr>
              <w:pStyle w:val="NormalLeft"/>
            </w:pPr>
            <w:r w:rsidRPr="00DE12A3">
              <w:t>16</w:t>
            </w:r>
          </w:p>
        </w:tc>
      </w:tr>
      <w:tr w:rsidR="00DE12A3" w:rsidRPr="00DE12A3" w14:paraId="2F1D9224" w14:textId="77777777" w:rsidTr="009F4766">
        <w:tc>
          <w:tcPr>
            <w:tcW w:w="1182" w:type="dxa"/>
            <w:tcBorders>
              <w:top w:val="single" w:sz="2" w:space="0" w:color="auto"/>
              <w:left w:val="single" w:sz="2" w:space="0" w:color="auto"/>
              <w:bottom w:val="single" w:sz="2" w:space="0" w:color="auto"/>
              <w:right w:val="single" w:sz="2" w:space="0" w:color="auto"/>
            </w:tcBorders>
          </w:tcPr>
          <w:p w14:paraId="68671EF4" w14:textId="77777777" w:rsidR="009F4766" w:rsidRPr="00DE12A3" w:rsidRDefault="009F4766" w:rsidP="00C917D6">
            <w:pPr>
              <w:pStyle w:val="NormalLeft"/>
            </w:pPr>
            <w:r w:rsidRPr="00DE12A3">
              <w:t>1160</w:t>
            </w:r>
          </w:p>
        </w:tc>
        <w:tc>
          <w:tcPr>
            <w:tcW w:w="2489" w:type="dxa"/>
            <w:tcBorders>
              <w:top w:val="single" w:sz="2" w:space="0" w:color="auto"/>
              <w:left w:val="single" w:sz="2" w:space="0" w:color="auto"/>
              <w:bottom w:val="single" w:sz="2" w:space="0" w:color="auto"/>
              <w:right w:val="single" w:sz="2" w:space="0" w:color="auto"/>
            </w:tcBorders>
          </w:tcPr>
          <w:p w14:paraId="571B7711" w14:textId="77777777" w:rsidR="009F4766" w:rsidRPr="00DE12A3" w:rsidRDefault="009F4766" w:rsidP="00C917D6">
            <w:pPr>
              <w:pStyle w:val="NormalLeft"/>
            </w:pPr>
            <w:r w:rsidRPr="00DE12A3">
              <w:t>93</w:t>
            </w:r>
          </w:p>
        </w:tc>
        <w:tc>
          <w:tcPr>
            <w:tcW w:w="2551" w:type="dxa"/>
            <w:tcBorders>
              <w:top w:val="single" w:sz="2" w:space="0" w:color="auto"/>
              <w:left w:val="single" w:sz="2" w:space="0" w:color="auto"/>
              <w:bottom w:val="single" w:sz="2" w:space="0" w:color="auto"/>
              <w:right w:val="single" w:sz="2" w:space="0" w:color="auto"/>
            </w:tcBorders>
          </w:tcPr>
          <w:p w14:paraId="53B3ADC0" w14:textId="77777777" w:rsidR="009F4766" w:rsidRPr="00DE12A3" w:rsidRDefault="009F4766" w:rsidP="00C917D6">
            <w:pPr>
              <w:pStyle w:val="NormalLeft"/>
            </w:pPr>
            <w:r w:rsidRPr="00DE12A3">
              <w:t>17</w:t>
            </w:r>
          </w:p>
        </w:tc>
      </w:tr>
      <w:tr w:rsidR="00DE12A3" w:rsidRPr="00DE12A3" w14:paraId="4D8763CD" w14:textId="77777777" w:rsidTr="009F4766">
        <w:tc>
          <w:tcPr>
            <w:tcW w:w="1182" w:type="dxa"/>
            <w:tcBorders>
              <w:top w:val="single" w:sz="2" w:space="0" w:color="auto"/>
              <w:left w:val="single" w:sz="2" w:space="0" w:color="auto"/>
              <w:bottom w:val="single" w:sz="2" w:space="0" w:color="auto"/>
              <w:right w:val="single" w:sz="2" w:space="0" w:color="auto"/>
            </w:tcBorders>
          </w:tcPr>
          <w:p w14:paraId="1C7C3E6E" w14:textId="77777777" w:rsidR="009F4766" w:rsidRPr="00DE12A3" w:rsidRDefault="009F4766" w:rsidP="00C917D6">
            <w:pPr>
              <w:pStyle w:val="NormalLeft"/>
            </w:pPr>
            <w:r w:rsidRPr="00DE12A3">
              <w:t>1161</w:t>
            </w:r>
          </w:p>
        </w:tc>
        <w:tc>
          <w:tcPr>
            <w:tcW w:w="2489" w:type="dxa"/>
            <w:tcBorders>
              <w:top w:val="single" w:sz="2" w:space="0" w:color="auto"/>
              <w:left w:val="single" w:sz="2" w:space="0" w:color="auto"/>
              <w:bottom w:val="single" w:sz="2" w:space="0" w:color="auto"/>
              <w:right w:val="single" w:sz="2" w:space="0" w:color="auto"/>
            </w:tcBorders>
          </w:tcPr>
          <w:p w14:paraId="6573C326" w14:textId="77777777" w:rsidR="009F4766" w:rsidRPr="00DE12A3" w:rsidRDefault="009F4766" w:rsidP="00C917D6">
            <w:pPr>
              <w:pStyle w:val="NormalLeft"/>
            </w:pPr>
            <w:r w:rsidRPr="00DE12A3">
              <w:t>93</w:t>
            </w:r>
          </w:p>
        </w:tc>
        <w:tc>
          <w:tcPr>
            <w:tcW w:w="2551" w:type="dxa"/>
            <w:tcBorders>
              <w:top w:val="single" w:sz="2" w:space="0" w:color="auto"/>
              <w:left w:val="single" w:sz="2" w:space="0" w:color="auto"/>
              <w:bottom w:val="single" w:sz="2" w:space="0" w:color="auto"/>
              <w:right w:val="single" w:sz="2" w:space="0" w:color="auto"/>
            </w:tcBorders>
          </w:tcPr>
          <w:p w14:paraId="251263B2" w14:textId="77777777" w:rsidR="009F4766" w:rsidRPr="00DE12A3" w:rsidRDefault="009F4766" w:rsidP="00C917D6">
            <w:pPr>
              <w:pStyle w:val="NormalLeft"/>
            </w:pPr>
            <w:r w:rsidRPr="00DE12A3">
              <w:t>19</w:t>
            </w:r>
          </w:p>
        </w:tc>
      </w:tr>
      <w:tr w:rsidR="00DE12A3" w:rsidRPr="00DE12A3" w14:paraId="16901C74" w14:textId="77777777" w:rsidTr="009F4766">
        <w:tc>
          <w:tcPr>
            <w:tcW w:w="1182" w:type="dxa"/>
            <w:tcBorders>
              <w:top w:val="single" w:sz="2" w:space="0" w:color="auto"/>
              <w:left w:val="single" w:sz="2" w:space="0" w:color="auto"/>
              <w:bottom w:val="single" w:sz="2" w:space="0" w:color="auto"/>
              <w:right w:val="single" w:sz="2" w:space="0" w:color="auto"/>
            </w:tcBorders>
          </w:tcPr>
          <w:p w14:paraId="5E0C9BE4" w14:textId="77777777" w:rsidR="009F4766" w:rsidRPr="00DE12A3" w:rsidRDefault="009F4766" w:rsidP="00C917D6">
            <w:pPr>
              <w:pStyle w:val="NormalLeft"/>
            </w:pPr>
            <w:r w:rsidRPr="00DE12A3">
              <w:t>1162</w:t>
            </w:r>
          </w:p>
        </w:tc>
        <w:tc>
          <w:tcPr>
            <w:tcW w:w="2489" w:type="dxa"/>
            <w:tcBorders>
              <w:top w:val="single" w:sz="2" w:space="0" w:color="auto"/>
              <w:left w:val="single" w:sz="2" w:space="0" w:color="auto"/>
              <w:bottom w:val="single" w:sz="2" w:space="0" w:color="auto"/>
              <w:right w:val="single" w:sz="2" w:space="0" w:color="auto"/>
            </w:tcBorders>
          </w:tcPr>
          <w:p w14:paraId="24C573AA" w14:textId="77777777" w:rsidR="009F4766" w:rsidRPr="00DE12A3" w:rsidRDefault="009F4766" w:rsidP="00C917D6">
            <w:pPr>
              <w:pStyle w:val="NormalLeft"/>
            </w:pPr>
            <w:r w:rsidRPr="00DE12A3">
              <w:t>93</w:t>
            </w:r>
          </w:p>
        </w:tc>
        <w:tc>
          <w:tcPr>
            <w:tcW w:w="2551" w:type="dxa"/>
            <w:tcBorders>
              <w:top w:val="single" w:sz="2" w:space="0" w:color="auto"/>
              <w:left w:val="single" w:sz="2" w:space="0" w:color="auto"/>
              <w:bottom w:val="single" w:sz="2" w:space="0" w:color="auto"/>
              <w:right w:val="single" w:sz="2" w:space="0" w:color="auto"/>
            </w:tcBorders>
          </w:tcPr>
          <w:p w14:paraId="45F30192" w14:textId="77777777" w:rsidR="009F4766" w:rsidRPr="00DE12A3" w:rsidRDefault="009F4766" w:rsidP="00C917D6">
            <w:pPr>
              <w:pStyle w:val="NormalLeft"/>
            </w:pPr>
            <w:r w:rsidRPr="00DE12A3">
              <w:t>18</w:t>
            </w:r>
          </w:p>
        </w:tc>
      </w:tr>
      <w:tr w:rsidR="00DE12A3" w:rsidRPr="00DE12A3" w14:paraId="1E86A5FA" w14:textId="77777777" w:rsidTr="009F4766">
        <w:tc>
          <w:tcPr>
            <w:tcW w:w="1182" w:type="dxa"/>
            <w:tcBorders>
              <w:top w:val="single" w:sz="2" w:space="0" w:color="auto"/>
              <w:left w:val="single" w:sz="2" w:space="0" w:color="auto"/>
              <w:bottom w:val="single" w:sz="2" w:space="0" w:color="auto"/>
              <w:right w:val="single" w:sz="2" w:space="0" w:color="auto"/>
            </w:tcBorders>
          </w:tcPr>
          <w:p w14:paraId="31A03C86" w14:textId="77777777" w:rsidR="009F4766" w:rsidRPr="00DE12A3" w:rsidRDefault="009F4766" w:rsidP="00C917D6">
            <w:pPr>
              <w:pStyle w:val="NormalLeft"/>
            </w:pPr>
            <w:r w:rsidRPr="00DE12A3">
              <w:t>1163</w:t>
            </w:r>
          </w:p>
        </w:tc>
        <w:tc>
          <w:tcPr>
            <w:tcW w:w="2489" w:type="dxa"/>
            <w:tcBorders>
              <w:top w:val="single" w:sz="2" w:space="0" w:color="auto"/>
              <w:left w:val="single" w:sz="2" w:space="0" w:color="auto"/>
              <w:bottom w:val="single" w:sz="2" w:space="0" w:color="auto"/>
              <w:right w:val="single" w:sz="2" w:space="0" w:color="auto"/>
            </w:tcBorders>
          </w:tcPr>
          <w:p w14:paraId="6B3EA4DD" w14:textId="77777777" w:rsidR="009F4766" w:rsidRPr="00DE12A3" w:rsidRDefault="009F4766" w:rsidP="00C917D6">
            <w:pPr>
              <w:pStyle w:val="NormalLeft"/>
            </w:pPr>
            <w:r w:rsidRPr="00DE12A3">
              <w:t>93</w:t>
            </w:r>
          </w:p>
        </w:tc>
        <w:tc>
          <w:tcPr>
            <w:tcW w:w="2551" w:type="dxa"/>
            <w:tcBorders>
              <w:top w:val="single" w:sz="2" w:space="0" w:color="auto"/>
              <w:left w:val="single" w:sz="2" w:space="0" w:color="auto"/>
              <w:bottom w:val="single" w:sz="2" w:space="0" w:color="auto"/>
              <w:right w:val="single" w:sz="2" w:space="0" w:color="auto"/>
            </w:tcBorders>
          </w:tcPr>
          <w:p w14:paraId="5D47975D" w14:textId="77777777" w:rsidR="009F4766" w:rsidRPr="00DE12A3" w:rsidRDefault="009F4766" w:rsidP="00C917D6">
            <w:pPr>
              <w:pStyle w:val="NormalLeft"/>
            </w:pPr>
            <w:r w:rsidRPr="00DE12A3">
              <w:t>16</w:t>
            </w:r>
          </w:p>
        </w:tc>
      </w:tr>
      <w:tr w:rsidR="00DE12A3" w:rsidRPr="00DE12A3" w14:paraId="13CC39F8" w14:textId="77777777" w:rsidTr="009F4766">
        <w:tc>
          <w:tcPr>
            <w:tcW w:w="1182" w:type="dxa"/>
            <w:tcBorders>
              <w:top w:val="single" w:sz="2" w:space="0" w:color="auto"/>
              <w:left w:val="single" w:sz="2" w:space="0" w:color="auto"/>
              <w:bottom w:val="single" w:sz="2" w:space="0" w:color="auto"/>
              <w:right w:val="single" w:sz="2" w:space="0" w:color="auto"/>
            </w:tcBorders>
          </w:tcPr>
          <w:p w14:paraId="2E9A1D78" w14:textId="77777777" w:rsidR="009F4766" w:rsidRPr="00DE12A3" w:rsidRDefault="009F4766" w:rsidP="00C917D6">
            <w:pPr>
              <w:pStyle w:val="NormalLeft"/>
            </w:pPr>
            <w:r w:rsidRPr="00DE12A3">
              <w:t>1164</w:t>
            </w:r>
          </w:p>
        </w:tc>
        <w:tc>
          <w:tcPr>
            <w:tcW w:w="2489" w:type="dxa"/>
            <w:tcBorders>
              <w:top w:val="single" w:sz="2" w:space="0" w:color="auto"/>
              <w:left w:val="single" w:sz="2" w:space="0" w:color="auto"/>
              <w:bottom w:val="single" w:sz="2" w:space="0" w:color="auto"/>
              <w:right w:val="single" w:sz="2" w:space="0" w:color="auto"/>
            </w:tcBorders>
          </w:tcPr>
          <w:p w14:paraId="69696087" w14:textId="77777777" w:rsidR="009F4766" w:rsidRPr="00DE12A3" w:rsidRDefault="009F4766" w:rsidP="00C917D6">
            <w:pPr>
              <w:pStyle w:val="NormalLeft"/>
            </w:pPr>
            <w:r w:rsidRPr="00DE12A3">
              <w:t>93</w:t>
            </w:r>
          </w:p>
        </w:tc>
        <w:tc>
          <w:tcPr>
            <w:tcW w:w="2551" w:type="dxa"/>
            <w:tcBorders>
              <w:top w:val="single" w:sz="2" w:space="0" w:color="auto"/>
              <w:left w:val="single" w:sz="2" w:space="0" w:color="auto"/>
              <w:bottom w:val="single" w:sz="2" w:space="0" w:color="auto"/>
              <w:right w:val="single" w:sz="2" w:space="0" w:color="auto"/>
            </w:tcBorders>
          </w:tcPr>
          <w:p w14:paraId="0AA91661" w14:textId="77777777" w:rsidR="009F4766" w:rsidRPr="00DE12A3" w:rsidRDefault="009F4766" w:rsidP="00C917D6">
            <w:pPr>
              <w:pStyle w:val="NormalLeft"/>
            </w:pPr>
            <w:r w:rsidRPr="00DE12A3">
              <w:t>19</w:t>
            </w:r>
          </w:p>
        </w:tc>
      </w:tr>
      <w:tr w:rsidR="00DE12A3" w:rsidRPr="00DE12A3" w14:paraId="0DC7756A" w14:textId="77777777" w:rsidTr="009F4766">
        <w:tc>
          <w:tcPr>
            <w:tcW w:w="1182" w:type="dxa"/>
            <w:tcBorders>
              <w:top w:val="single" w:sz="2" w:space="0" w:color="auto"/>
              <w:left w:val="single" w:sz="2" w:space="0" w:color="auto"/>
              <w:bottom w:val="single" w:sz="2" w:space="0" w:color="auto"/>
              <w:right w:val="single" w:sz="2" w:space="0" w:color="auto"/>
            </w:tcBorders>
          </w:tcPr>
          <w:p w14:paraId="1CD89173" w14:textId="77777777" w:rsidR="009F4766" w:rsidRPr="00DE12A3" w:rsidRDefault="009F4766" w:rsidP="00C917D6">
            <w:pPr>
              <w:pStyle w:val="NormalLeft"/>
            </w:pPr>
            <w:r w:rsidRPr="00DE12A3">
              <w:t>1165</w:t>
            </w:r>
          </w:p>
        </w:tc>
        <w:tc>
          <w:tcPr>
            <w:tcW w:w="2489" w:type="dxa"/>
            <w:tcBorders>
              <w:top w:val="single" w:sz="2" w:space="0" w:color="auto"/>
              <w:left w:val="single" w:sz="2" w:space="0" w:color="auto"/>
              <w:bottom w:val="single" w:sz="2" w:space="0" w:color="auto"/>
              <w:right w:val="single" w:sz="2" w:space="0" w:color="auto"/>
            </w:tcBorders>
          </w:tcPr>
          <w:p w14:paraId="3B509EA7" w14:textId="77777777" w:rsidR="009F4766" w:rsidRPr="00DE12A3" w:rsidRDefault="009F4766" w:rsidP="00C917D6">
            <w:pPr>
              <w:pStyle w:val="NormalLeft"/>
            </w:pPr>
            <w:r w:rsidRPr="00DE12A3">
              <w:t>93</w:t>
            </w:r>
          </w:p>
        </w:tc>
        <w:tc>
          <w:tcPr>
            <w:tcW w:w="2551" w:type="dxa"/>
            <w:tcBorders>
              <w:top w:val="single" w:sz="2" w:space="0" w:color="auto"/>
              <w:left w:val="single" w:sz="2" w:space="0" w:color="auto"/>
              <w:bottom w:val="single" w:sz="2" w:space="0" w:color="auto"/>
              <w:right w:val="single" w:sz="2" w:space="0" w:color="auto"/>
            </w:tcBorders>
          </w:tcPr>
          <w:p w14:paraId="1EE33726" w14:textId="77777777" w:rsidR="009F4766" w:rsidRPr="00DE12A3" w:rsidRDefault="009F4766" w:rsidP="00C917D6">
            <w:pPr>
              <w:pStyle w:val="NormalLeft"/>
            </w:pPr>
            <w:r w:rsidRPr="00DE12A3">
              <w:t>22</w:t>
            </w:r>
          </w:p>
        </w:tc>
      </w:tr>
      <w:tr w:rsidR="00DE12A3" w:rsidRPr="00DE12A3" w14:paraId="52041F89" w14:textId="77777777" w:rsidTr="009F4766">
        <w:tc>
          <w:tcPr>
            <w:tcW w:w="1182" w:type="dxa"/>
            <w:tcBorders>
              <w:top w:val="single" w:sz="2" w:space="0" w:color="auto"/>
              <w:left w:val="single" w:sz="2" w:space="0" w:color="auto"/>
              <w:bottom w:val="single" w:sz="2" w:space="0" w:color="auto"/>
              <w:right w:val="single" w:sz="2" w:space="0" w:color="auto"/>
            </w:tcBorders>
          </w:tcPr>
          <w:p w14:paraId="37F0175C" w14:textId="77777777" w:rsidR="009F4766" w:rsidRPr="00DE12A3" w:rsidRDefault="009F4766" w:rsidP="00C917D6">
            <w:pPr>
              <w:pStyle w:val="NormalLeft"/>
            </w:pPr>
            <w:r w:rsidRPr="00DE12A3">
              <w:t>1166</w:t>
            </w:r>
          </w:p>
        </w:tc>
        <w:tc>
          <w:tcPr>
            <w:tcW w:w="2489" w:type="dxa"/>
            <w:tcBorders>
              <w:top w:val="single" w:sz="2" w:space="0" w:color="auto"/>
              <w:left w:val="single" w:sz="2" w:space="0" w:color="auto"/>
              <w:bottom w:val="single" w:sz="2" w:space="0" w:color="auto"/>
              <w:right w:val="single" w:sz="2" w:space="0" w:color="auto"/>
            </w:tcBorders>
          </w:tcPr>
          <w:p w14:paraId="10BCF293" w14:textId="77777777" w:rsidR="009F4766" w:rsidRPr="00DE12A3" w:rsidRDefault="009F4766" w:rsidP="00C917D6">
            <w:pPr>
              <w:pStyle w:val="NormalLeft"/>
            </w:pPr>
            <w:r w:rsidRPr="00DE12A3">
              <w:t>93</w:t>
            </w:r>
          </w:p>
        </w:tc>
        <w:tc>
          <w:tcPr>
            <w:tcW w:w="2551" w:type="dxa"/>
            <w:tcBorders>
              <w:top w:val="single" w:sz="2" w:space="0" w:color="auto"/>
              <w:left w:val="single" w:sz="2" w:space="0" w:color="auto"/>
              <w:bottom w:val="single" w:sz="2" w:space="0" w:color="auto"/>
              <w:right w:val="single" w:sz="2" w:space="0" w:color="auto"/>
            </w:tcBorders>
          </w:tcPr>
          <w:p w14:paraId="3BB2B630" w14:textId="77777777" w:rsidR="009F4766" w:rsidRPr="00DE12A3" w:rsidRDefault="009F4766" w:rsidP="00C917D6">
            <w:pPr>
              <w:pStyle w:val="NormalLeft"/>
            </w:pPr>
            <w:r w:rsidRPr="00DE12A3">
              <w:t>25</w:t>
            </w:r>
          </w:p>
        </w:tc>
      </w:tr>
      <w:tr w:rsidR="00DE12A3" w:rsidRPr="00DE12A3" w14:paraId="59084BC5" w14:textId="77777777" w:rsidTr="009F4766">
        <w:tc>
          <w:tcPr>
            <w:tcW w:w="1182" w:type="dxa"/>
            <w:tcBorders>
              <w:top w:val="single" w:sz="2" w:space="0" w:color="auto"/>
              <w:left w:val="single" w:sz="2" w:space="0" w:color="auto"/>
              <w:bottom w:val="single" w:sz="2" w:space="0" w:color="auto"/>
              <w:right w:val="single" w:sz="2" w:space="0" w:color="auto"/>
            </w:tcBorders>
          </w:tcPr>
          <w:p w14:paraId="033AAB48" w14:textId="77777777" w:rsidR="009F4766" w:rsidRPr="00DE12A3" w:rsidRDefault="009F4766" w:rsidP="00C917D6">
            <w:pPr>
              <w:pStyle w:val="NormalLeft"/>
            </w:pPr>
            <w:r w:rsidRPr="00DE12A3">
              <w:t>1167</w:t>
            </w:r>
          </w:p>
        </w:tc>
        <w:tc>
          <w:tcPr>
            <w:tcW w:w="2489" w:type="dxa"/>
            <w:tcBorders>
              <w:top w:val="single" w:sz="2" w:space="0" w:color="auto"/>
              <w:left w:val="single" w:sz="2" w:space="0" w:color="auto"/>
              <w:bottom w:val="single" w:sz="2" w:space="0" w:color="auto"/>
              <w:right w:val="single" w:sz="2" w:space="0" w:color="auto"/>
            </w:tcBorders>
          </w:tcPr>
          <w:p w14:paraId="7CC99AD5" w14:textId="77777777" w:rsidR="009F4766" w:rsidRPr="00DE12A3" w:rsidRDefault="009F4766" w:rsidP="00C917D6">
            <w:pPr>
              <w:pStyle w:val="NormalLeft"/>
            </w:pPr>
            <w:r w:rsidRPr="00DE12A3">
              <w:t>93</w:t>
            </w:r>
          </w:p>
        </w:tc>
        <w:tc>
          <w:tcPr>
            <w:tcW w:w="2551" w:type="dxa"/>
            <w:tcBorders>
              <w:top w:val="single" w:sz="2" w:space="0" w:color="auto"/>
              <w:left w:val="single" w:sz="2" w:space="0" w:color="auto"/>
              <w:bottom w:val="single" w:sz="2" w:space="0" w:color="auto"/>
              <w:right w:val="single" w:sz="2" w:space="0" w:color="auto"/>
            </w:tcBorders>
          </w:tcPr>
          <w:p w14:paraId="5D45C7A1" w14:textId="77777777" w:rsidR="009F4766" w:rsidRPr="00DE12A3" w:rsidRDefault="009F4766" w:rsidP="00C917D6">
            <w:pPr>
              <w:pStyle w:val="NormalLeft"/>
            </w:pPr>
            <w:r w:rsidRPr="00DE12A3">
              <w:t>29</w:t>
            </w:r>
          </w:p>
        </w:tc>
      </w:tr>
      <w:tr w:rsidR="00DE12A3" w:rsidRPr="00DE12A3" w14:paraId="12820E03" w14:textId="77777777" w:rsidTr="009F4766">
        <w:tc>
          <w:tcPr>
            <w:tcW w:w="1182" w:type="dxa"/>
            <w:tcBorders>
              <w:top w:val="single" w:sz="2" w:space="0" w:color="auto"/>
              <w:left w:val="single" w:sz="2" w:space="0" w:color="auto"/>
              <w:bottom w:val="single" w:sz="2" w:space="0" w:color="auto"/>
              <w:right w:val="single" w:sz="2" w:space="0" w:color="auto"/>
            </w:tcBorders>
          </w:tcPr>
          <w:p w14:paraId="2E4FAE11" w14:textId="77777777" w:rsidR="009F4766" w:rsidRPr="00DE12A3" w:rsidRDefault="009F4766" w:rsidP="00C917D6">
            <w:pPr>
              <w:pStyle w:val="NormalLeft"/>
            </w:pPr>
            <w:r w:rsidRPr="00DE12A3">
              <w:t>1168</w:t>
            </w:r>
          </w:p>
        </w:tc>
        <w:tc>
          <w:tcPr>
            <w:tcW w:w="2489" w:type="dxa"/>
            <w:tcBorders>
              <w:top w:val="single" w:sz="2" w:space="0" w:color="auto"/>
              <w:left w:val="single" w:sz="2" w:space="0" w:color="auto"/>
              <w:bottom w:val="single" w:sz="2" w:space="0" w:color="auto"/>
              <w:right w:val="single" w:sz="2" w:space="0" w:color="auto"/>
            </w:tcBorders>
          </w:tcPr>
          <w:p w14:paraId="41D5926D" w14:textId="77777777" w:rsidR="009F4766" w:rsidRPr="00DE12A3" w:rsidRDefault="009F4766" w:rsidP="00C917D6">
            <w:pPr>
              <w:pStyle w:val="NormalLeft"/>
            </w:pPr>
            <w:r w:rsidRPr="00DE12A3">
              <w:t>93</w:t>
            </w:r>
          </w:p>
        </w:tc>
        <w:tc>
          <w:tcPr>
            <w:tcW w:w="2551" w:type="dxa"/>
            <w:tcBorders>
              <w:top w:val="single" w:sz="2" w:space="0" w:color="auto"/>
              <w:left w:val="single" w:sz="2" w:space="0" w:color="auto"/>
              <w:bottom w:val="single" w:sz="2" w:space="0" w:color="auto"/>
              <w:right w:val="single" w:sz="2" w:space="0" w:color="auto"/>
            </w:tcBorders>
          </w:tcPr>
          <w:p w14:paraId="395F27AE" w14:textId="77777777" w:rsidR="009F4766" w:rsidRPr="00DE12A3" w:rsidRDefault="009F4766" w:rsidP="00C917D6">
            <w:pPr>
              <w:pStyle w:val="NormalLeft"/>
            </w:pPr>
            <w:r w:rsidRPr="00DE12A3">
              <w:t>27</w:t>
            </w:r>
          </w:p>
        </w:tc>
      </w:tr>
      <w:tr w:rsidR="00DE12A3" w:rsidRPr="00DE12A3" w14:paraId="5C2670DD" w14:textId="77777777" w:rsidTr="009F4766">
        <w:tc>
          <w:tcPr>
            <w:tcW w:w="1182" w:type="dxa"/>
            <w:tcBorders>
              <w:top w:val="single" w:sz="2" w:space="0" w:color="auto"/>
              <w:left w:val="single" w:sz="2" w:space="0" w:color="auto"/>
              <w:bottom w:val="single" w:sz="2" w:space="0" w:color="auto"/>
              <w:right w:val="single" w:sz="2" w:space="0" w:color="auto"/>
            </w:tcBorders>
          </w:tcPr>
          <w:p w14:paraId="22604DBA" w14:textId="77777777" w:rsidR="009F4766" w:rsidRPr="00DE12A3" w:rsidRDefault="009F4766" w:rsidP="00C917D6">
            <w:pPr>
              <w:pStyle w:val="NormalLeft"/>
            </w:pPr>
            <w:r w:rsidRPr="00DE12A3">
              <w:t>1169</w:t>
            </w:r>
          </w:p>
        </w:tc>
        <w:tc>
          <w:tcPr>
            <w:tcW w:w="2489" w:type="dxa"/>
            <w:tcBorders>
              <w:top w:val="single" w:sz="2" w:space="0" w:color="auto"/>
              <w:left w:val="single" w:sz="2" w:space="0" w:color="auto"/>
              <w:bottom w:val="single" w:sz="2" w:space="0" w:color="auto"/>
              <w:right w:val="single" w:sz="2" w:space="0" w:color="auto"/>
            </w:tcBorders>
          </w:tcPr>
          <w:p w14:paraId="63929ABB" w14:textId="77777777" w:rsidR="009F4766" w:rsidRPr="00DE12A3" w:rsidRDefault="009F4766" w:rsidP="00C917D6">
            <w:pPr>
              <w:pStyle w:val="NormalLeft"/>
            </w:pPr>
            <w:r w:rsidRPr="00DE12A3">
              <w:t>93</w:t>
            </w:r>
          </w:p>
        </w:tc>
        <w:tc>
          <w:tcPr>
            <w:tcW w:w="2551" w:type="dxa"/>
            <w:tcBorders>
              <w:top w:val="single" w:sz="2" w:space="0" w:color="auto"/>
              <w:left w:val="single" w:sz="2" w:space="0" w:color="auto"/>
              <w:bottom w:val="single" w:sz="2" w:space="0" w:color="auto"/>
              <w:right w:val="single" w:sz="2" w:space="0" w:color="auto"/>
            </w:tcBorders>
          </w:tcPr>
          <w:p w14:paraId="0A46E0B0" w14:textId="77777777" w:rsidR="009F4766" w:rsidRPr="00DE12A3" w:rsidRDefault="009F4766" w:rsidP="00C917D6">
            <w:pPr>
              <w:pStyle w:val="NormalLeft"/>
            </w:pPr>
            <w:r w:rsidRPr="00DE12A3">
              <w:t>22</w:t>
            </w:r>
          </w:p>
        </w:tc>
      </w:tr>
      <w:tr w:rsidR="00DE12A3" w:rsidRPr="00DE12A3" w14:paraId="050B93B2" w14:textId="77777777" w:rsidTr="009F4766">
        <w:tc>
          <w:tcPr>
            <w:tcW w:w="1182" w:type="dxa"/>
            <w:tcBorders>
              <w:top w:val="single" w:sz="2" w:space="0" w:color="auto"/>
              <w:left w:val="single" w:sz="2" w:space="0" w:color="auto"/>
              <w:bottom w:val="single" w:sz="2" w:space="0" w:color="auto"/>
              <w:right w:val="single" w:sz="2" w:space="0" w:color="auto"/>
            </w:tcBorders>
          </w:tcPr>
          <w:p w14:paraId="49C4BF94" w14:textId="77777777" w:rsidR="009F4766" w:rsidRPr="00DE12A3" w:rsidRDefault="009F4766" w:rsidP="00C917D6">
            <w:pPr>
              <w:pStyle w:val="NormalLeft"/>
            </w:pPr>
            <w:r w:rsidRPr="00DE12A3">
              <w:t>1170</w:t>
            </w:r>
          </w:p>
        </w:tc>
        <w:tc>
          <w:tcPr>
            <w:tcW w:w="2489" w:type="dxa"/>
            <w:tcBorders>
              <w:top w:val="single" w:sz="2" w:space="0" w:color="auto"/>
              <w:left w:val="single" w:sz="2" w:space="0" w:color="auto"/>
              <w:bottom w:val="single" w:sz="2" w:space="0" w:color="auto"/>
              <w:right w:val="single" w:sz="2" w:space="0" w:color="auto"/>
            </w:tcBorders>
          </w:tcPr>
          <w:p w14:paraId="1BF65CD2" w14:textId="77777777" w:rsidR="009F4766" w:rsidRPr="00DE12A3" w:rsidRDefault="009F4766" w:rsidP="00C917D6">
            <w:pPr>
              <w:pStyle w:val="NormalLeft"/>
            </w:pPr>
            <w:r w:rsidRPr="00DE12A3">
              <w:t>93</w:t>
            </w:r>
          </w:p>
        </w:tc>
        <w:tc>
          <w:tcPr>
            <w:tcW w:w="2551" w:type="dxa"/>
            <w:tcBorders>
              <w:top w:val="single" w:sz="2" w:space="0" w:color="auto"/>
              <w:left w:val="single" w:sz="2" w:space="0" w:color="auto"/>
              <w:bottom w:val="single" w:sz="2" w:space="0" w:color="auto"/>
              <w:right w:val="single" w:sz="2" w:space="0" w:color="auto"/>
            </w:tcBorders>
          </w:tcPr>
          <w:p w14:paraId="5553A5C7" w14:textId="77777777" w:rsidR="009F4766" w:rsidRPr="00DE12A3" w:rsidRDefault="009F4766" w:rsidP="00C917D6">
            <w:pPr>
              <w:pStyle w:val="NormalLeft"/>
            </w:pPr>
            <w:r w:rsidRPr="00DE12A3">
              <w:t>18</w:t>
            </w:r>
          </w:p>
        </w:tc>
      </w:tr>
      <w:tr w:rsidR="00DE12A3" w:rsidRPr="00DE12A3" w14:paraId="0D1E451E" w14:textId="77777777" w:rsidTr="009F4766">
        <w:tc>
          <w:tcPr>
            <w:tcW w:w="1182" w:type="dxa"/>
            <w:tcBorders>
              <w:top w:val="single" w:sz="2" w:space="0" w:color="auto"/>
              <w:left w:val="single" w:sz="2" w:space="0" w:color="auto"/>
              <w:bottom w:val="single" w:sz="2" w:space="0" w:color="auto"/>
              <w:right w:val="single" w:sz="2" w:space="0" w:color="auto"/>
            </w:tcBorders>
          </w:tcPr>
          <w:p w14:paraId="282DC352" w14:textId="77777777" w:rsidR="009F4766" w:rsidRPr="00DE12A3" w:rsidRDefault="009F4766" w:rsidP="00C917D6">
            <w:pPr>
              <w:pStyle w:val="NormalLeft"/>
            </w:pPr>
            <w:r w:rsidRPr="00DE12A3">
              <w:t>1171</w:t>
            </w:r>
          </w:p>
        </w:tc>
        <w:tc>
          <w:tcPr>
            <w:tcW w:w="2489" w:type="dxa"/>
            <w:tcBorders>
              <w:top w:val="single" w:sz="2" w:space="0" w:color="auto"/>
              <w:left w:val="single" w:sz="2" w:space="0" w:color="auto"/>
              <w:bottom w:val="single" w:sz="2" w:space="0" w:color="auto"/>
              <w:right w:val="single" w:sz="2" w:space="0" w:color="auto"/>
            </w:tcBorders>
          </w:tcPr>
          <w:p w14:paraId="7EAAE858" w14:textId="77777777" w:rsidR="009F4766" w:rsidRPr="00DE12A3" w:rsidRDefault="009F4766" w:rsidP="00C917D6">
            <w:pPr>
              <w:pStyle w:val="NormalLeft"/>
            </w:pPr>
            <w:r w:rsidRPr="00DE12A3">
              <w:t>93</w:t>
            </w:r>
          </w:p>
        </w:tc>
        <w:tc>
          <w:tcPr>
            <w:tcW w:w="2551" w:type="dxa"/>
            <w:tcBorders>
              <w:top w:val="single" w:sz="2" w:space="0" w:color="auto"/>
              <w:left w:val="single" w:sz="2" w:space="0" w:color="auto"/>
              <w:bottom w:val="single" w:sz="2" w:space="0" w:color="auto"/>
              <w:right w:val="single" w:sz="2" w:space="0" w:color="auto"/>
            </w:tcBorders>
          </w:tcPr>
          <w:p w14:paraId="7DA063B6" w14:textId="77777777" w:rsidR="009F4766" w:rsidRPr="00DE12A3" w:rsidRDefault="009F4766" w:rsidP="00C917D6">
            <w:pPr>
              <w:pStyle w:val="NormalLeft"/>
            </w:pPr>
            <w:r w:rsidRPr="00DE12A3">
              <w:t>16</w:t>
            </w:r>
          </w:p>
        </w:tc>
      </w:tr>
      <w:tr w:rsidR="00DE12A3" w:rsidRPr="00DE12A3" w14:paraId="38942B39" w14:textId="77777777" w:rsidTr="009F4766">
        <w:tc>
          <w:tcPr>
            <w:tcW w:w="1182" w:type="dxa"/>
            <w:tcBorders>
              <w:top w:val="single" w:sz="2" w:space="0" w:color="auto"/>
              <w:left w:val="single" w:sz="2" w:space="0" w:color="auto"/>
              <w:bottom w:val="single" w:sz="2" w:space="0" w:color="auto"/>
              <w:right w:val="single" w:sz="2" w:space="0" w:color="auto"/>
            </w:tcBorders>
          </w:tcPr>
          <w:p w14:paraId="5D4E3716" w14:textId="77777777" w:rsidR="009F4766" w:rsidRPr="00DE12A3" w:rsidRDefault="009F4766" w:rsidP="00C917D6">
            <w:pPr>
              <w:pStyle w:val="NormalLeft"/>
            </w:pPr>
            <w:r w:rsidRPr="00DE12A3">
              <w:t>1172</w:t>
            </w:r>
          </w:p>
        </w:tc>
        <w:tc>
          <w:tcPr>
            <w:tcW w:w="2489" w:type="dxa"/>
            <w:tcBorders>
              <w:top w:val="single" w:sz="2" w:space="0" w:color="auto"/>
              <w:left w:val="single" w:sz="2" w:space="0" w:color="auto"/>
              <w:bottom w:val="single" w:sz="2" w:space="0" w:color="auto"/>
              <w:right w:val="single" w:sz="2" w:space="0" w:color="auto"/>
            </w:tcBorders>
          </w:tcPr>
          <w:p w14:paraId="1CA420C2" w14:textId="77777777" w:rsidR="009F4766" w:rsidRPr="00DE12A3" w:rsidRDefault="009F4766" w:rsidP="00C917D6">
            <w:pPr>
              <w:pStyle w:val="NormalLeft"/>
            </w:pPr>
            <w:r w:rsidRPr="00DE12A3">
              <w:t>93</w:t>
            </w:r>
          </w:p>
        </w:tc>
        <w:tc>
          <w:tcPr>
            <w:tcW w:w="2551" w:type="dxa"/>
            <w:tcBorders>
              <w:top w:val="single" w:sz="2" w:space="0" w:color="auto"/>
              <w:left w:val="single" w:sz="2" w:space="0" w:color="auto"/>
              <w:bottom w:val="single" w:sz="2" w:space="0" w:color="auto"/>
              <w:right w:val="single" w:sz="2" w:space="0" w:color="auto"/>
            </w:tcBorders>
          </w:tcPr>
          <w:p w14:paraId="5F897D2E" w14:textId="77777777" w:rsidR="009F4766" w:rsidRPr="00DE12A3" w:rsidRDefault="009F4766" w:rsidP="00C917D6">
            <w:pPr>
              <w:pStyle w:val="NormalLeft"/>
            </w:pPr>
            <w:r w:rsidRPr="00DE12A3">
              <w:t>19</w:t>
            </w:r>
          </w:p>
        </w:tc>
      </w:tr>
      <w:tr w:rsidR="00DE12A3" w:rsidRPr="00DE12A3" w14:paraId="221B8CE5" w14:textId="77777777" w:rsidTr="009F4766">
        <w:tc>
          <w:tcPr>
            <w:tcW w:w="1182" w:type="dxa"/>
            <w:tcBorders>
              <w:top w:val="single" w:sz="2" w:space="0" w:color="auto"/>
              <w:left w:val="single" w:sz="2" w:space="0" w:color="auto"/>
              <w:bottom w:val="single" w:sz="2" w:space="0" w:color="auto"/>
              <w:right w:val="single" w:sz="2" w:space="0" w:color="auto"/>
            </w:tcBorders>
          </w:tcPr>
          <w:p w14:paraId="274AF78F" w14:textId="77777777" w:rsidR="009F4766" w:rsidRPr="00DE12A3" w:rsidRDefault="009F4766" w:rsidP="00C917D6">
            <w:pPr>
              <w:pStyle w:val="NormalLeft"/>
            </w:pPr>
            <w:r w:rsidRPr="00DE12A3">
              <w:t>1173</w:t>
            </w:r>
          </w:p>
        </w:tc>
        <w:tc>
          <w:tcPr>
            <w:tcW w:w="2489" w:type="dxa"/>
            <w:tcBorders>
              <w:top w:val="single" w:sz="2" w:space="0" w:color="auto"/>
              <w:left w:val="single" w:sz="2" w:space="0" w:color="auto"/>
              <w:bottom w:val="single" w:sz="2" w:space="0" w:color="auto"/>
              <w:right w:val="single" w:sz="2" w:space="0" w:color="auto"/>
            </w:tcBorders>
          </w:tcPr>
          <w:p w14:paraId="0207F83A" w14:textId="77777777" w:rsidR="009F4766" w:rsidRPr="00DE12A3" w:rsidRDefault="009F4766" w:rsidP="00C917D6">
            <w:pPr>
              <w:pStyle w:val="NormalLeft"/>
            </w:pPr>
            <w:r w:rsidRPr="00DE12A3">
              <w:t>93</w:t>
            </w:r>
          </w:p>
        </w:tc>
        <w:tc>
          <w:tcPr>
            <w:tcW w:w="2551" w:type="dxa"/>
            <w:tcBorders>
              <w:top w:val="single" w:sz="2" w:space="0" w:color="auto"/>
              <w:left w:val="single" w:sz="2" w:space="0" w:color="auto"/>
              <w:bottom w:val="single" w:sz="2" w:space="0" w:color="auto"/>
              <w:right w:val="single" w:sz="2" w:space="0" w:color="auto"/>
            </w:tcBorders>
          </w:tcPr>
          <w:p w14:paraId="06CA834B" w14:textId="77777777" w:rsidR="009F4766" w:rsidRPr="00DE12A3" w:rsidRDefault="009F4766" w:rsidP="00C917D6">
            <w:pPr>
              <w:pStyle w:val="NormalLeft"/>
            </w:pPr>
            <w:r w:rsidRPr="00DE12A3">
              <w:t>19</w:t>
            </w:r>
          </w:p>
        </w:tc>
      </w:tr>
      <w:tr w:rsidR="00DE12A3" w:rsidRPr="00DE12A3" w14:paraId="334709A8" w14:textId="77777777" w:rsidTr="009F4766">
        <w:tc>
          <w:tcPr>
            <w:tcW w:w="1182" w:type="dxa"/>
            <w:tcBorders>
              <w:top w:val="single" w:sz="2" w:space="0" w:color="auto"/>
              <w:left w:val="single" w:sz="2" w:space="0" w:color="auto"/>
              <w:bottom w:val="single" w:sz="2" w:space="0" w:color="auto"/>
              <w:right w:val="single" w:sz="2" w:space="0" w:color="auto"/>
            </w:tcBorders>
          </w:tcPr>
          <w:p w14:paraId="15F903F4" w14:textId="77777777" w:rsidR="009F4766" w:rsidRPr="00DE12A3" w:rsidRDefault="009F4766" w:rsidP="00C917D6">
            <w:pPr>
              <w:pStyle w:val="NormalLeft"/>
            </w:pPr>
            <w:r w:rsidRPr="00DE12A3">
              <w:t>1174</w:t>
            </w:r>
          </w:p>
        </w:tc>
        <w:tc>
          <w:tcPr>
            <w:tcW w:w="2489" w:type="dxa"/>
            <w:tcBorders>
              <w:top w:val="single" w:sz="2" w:space="0" w:color="auto"/>
              <w:left w:val="single" w:sz="2" w:space="0" w:color="auto"/>
              <w:bottom w:val="single" w:sz="2" w:space="0" w:color="auto"/>
              <w:right w:val="single" w:sz="2" w:space="0" w:color="auto"/>
            </w:tcBorders>
          </w:tcPr>
          <w:p w14:paraId="0D1958E9" w14:textId="77777777" w:rsidR="009F4766" w:rsidRPr="00DE12A3" w:rsidRDefault="009F4766" w:rsidP="00C917D6">
            <w:pPr>
              <w:pStyle w:val="NormalLeft"/>
            </w:pPr>
            <w:r w:rsidRPr="00DE12A3">
              <w:t>93</w:t>
            </w:r>
          </w:p>
        </w:tc>
        <w:tc>
          <w:tcPr>
            <w:tcW w:w="2551" w:type="dxa"/>
            <w:tcBorders>
              <w:top w:val="single" w:sz="2" w:space="0" w:color="auto"/>
              <w:left w:val="single" w:sz="2" w:space="0" w:color="auto"/>
              <w:bottom w:val="single" w:sz="2" w:space="0" w:color="auto"/>
              <w:right w:val="single" w:sz="2" w:space="0" w:color="auto"/>
            </w:tcBorders>
          </w:tcPr>
          <w:p w14:paraId="20749363" w14:textId="77777777" w:rsidR="009F4766" w:rsidRPr="00DE12A3" w:rsidRDefault="009F4766" w:rsidP="00C917D6">
            <w:pPr>
              <w:pStyle w:val="NormalLeft"/>
            </w:pPr>
            <w:r w:rsidRPr="00DE12A3">
              <w:t>17</w:t>
            </w:r>
          </w:p>
        </w:tc>
      </w:tr>
      <w:tr w:rsidR="00DE12A3" w:rsidRPr="00DE12A3" w14:paraId="1D05B9B0" w14:textId="77777777" w:rsidTr="009F4766">
        <w:tc>
          <w:tcPr>
            <w:tcW w:w="1182" w:type="dxa"/>
            <w:tcBorders>
              <w:top w:val="single" w:sz="2" w:space="0" w:color="auto"/>
              <w:left w:val="single" w:sz="2" w:space="0" w:color="auto"/>
              <w:bottom w:val="single" w:sz="2" w:space="0" w:color="auto"/>
              <w:right w:val="single" w:sz="2" w:space="0" w:color="auto"/>
            </w:tcBorders>
          </w:tcPr>
          <w:p w14:paraId="474A3534" w14:textId="77777777" w:rsidR="009F4766" w:rsidRPr="00DE12A3" w:rsidRDefault="009F4766" w:rsidP="00C917D6">
            <w:pPr>
              <w:pStyle w:val="NormalLeft"/>
            </w:pPr>
            <w:r w:rsidRPr="00DE12A3">
              <w:t>1175</w:t>
            </w:r>
          </w:p>
        </w:tc>
        <w:tc>
          <w:tcPr>
            <w:tcW w:w="2489" w:type="dxa"/>
            <w:tcBorders>
              <w:top w:val="single" w:sz="2" w:space="0" w:color="auto"/>
              <w:left w:val="single" w:sz="2" w:space="0" w:color="auto"/>
              <w:bottom w:val="single" w:sz="2" w:space="0" w:color="auto"/>
              <w:right w:val="single" w:sz="2" w:space="0" w:color="auto"/>
            </w:tcBorders>
          </w:tcPr>
          <w:p w14:paraId="04E7F2CF" w14:textId="77777777" w:rsidR="009F4766" w:rsidRPr="00DE12A3" w:rsidRDefault="009F4766" w:rsidP="00C917D6">
            <w:pPr>
              <w:pStyle w:val="NormalLeft"/>
            </w:pPr>
            <w:r w:rsidRPr="00DE12A3">
              <w:t>93</w:t>
            </w:r>
          </w:p>
        </w:tc>
        <w:tc>
          <w:tcPr>
            <w:tcW w:w="2551" w:type="dxa"/>
            <w:tcBorders>
              <w:top w:val="single" w:sz="2" w:space="0" w:color="auto"/>
              <w:left w:val="single" w:sz="2" w:space="0" w:color="auto"/>
              <w:bottom w:val="single" w:sz="2" w:space="0" w:color="auto"/>
              <w:right w:val="single" w:sz="2" w:space="0" w:color="auto"/>
            </w:tcBorders>
          </w:tcPr>
          <w:p w14:paraId="515AA200" w14:textId="77777777" w:rsidR="009F4766" w:rsidRPr="00DE12A3" w:rsidRDefault="009F4766" w:rsidP="00C917D6">
            <w:pPr>
              <w:pStyle w:val="NormalLeft"/>
            </w:pPr>
            <w:r w:rsidRPr="00DE12A3">
              <w:t>17</w:t>
            </w:r>
          </w:p>
        </w:tc>
      </w:tr>
      <w:tr w:rsidR="00DE12A3" w:rsidRPr="00DE12A3" w14:paraId="30BC20E1" w14:textId="77777777" w:rsidTr="009F4766">
        <w:tc>
          <w:tcPr>
            <w:tcW w:w="1182" w:type="dxa"/>
            <w:tcBorders>
              <w:top w:val="single" w:sz="2" w:space="0" w:color="auto"/>
              <w:left w:val="single" w:sz="2" w:space="0" w:color="auto"/>
              <w:bottom w:val="single" w:sz="2" w:space="0" w:color="auto"/>
              <w:right w:val="single" w:sz="2" w:space="0" w:color="auto"/>
            </w:tcBorders>
          </w:tcPr>
          <w:p w14:paraId="7FB146B0" w14:textId="77777777" w:rsidR="009F4766" w:rsidRPr="00DE12A3" w:rsidRDefault="009F4766" w:rsidP="00C917D6">
            <w:pPr>
              <w:pStyle w:val="NormalLeft"/>
            </w:pPr>
            <w:r w:rsidRPr="00DE12A3">
              <w:t>1176</w:t>
            </w:r>
          </w:p>
        </w:tc>
        <w:tc>
          <w:tcPr>
            <w:tcW w:w="2489" w:type="dxa"/>
            <w:tcBorders>
              <w:top w:val="single" w:sz="2" w:space="0" w:color="auto"/>
              <w:left w:val="single" w:sz="2" w:space="0" w:color="auto"/>
              <w:bottom w:val="single" w:sz="2" w:space="0" w:color="auto"/>
              <w:right w:val="single" w:sz="2" w:space="0" w:color="auto"/>
            </w:tcBorders>
          </w:tcPr>
          <w:p w14:paraId="4EF1BF27" w14:textId="77777777" w:rsidR="009F4766" w:rsidRPr="00DE12A3" w:rsidRDefault="009F4766" w:rsidP="00C917D6">
            <w:pPr>
              <w:pStyle w:val="NormalLeft"/>
            </w:pPr>
            <w:r w:rsidRPr="00DE12A3">
              <w:t>93</w:t>
            </w:r>
          </w:p>
        </w:tc>
        <w:tc>
          <w:tcPr>
            <w:tcW w:w="2551" w:type="dxa"/>
            <w:tcBorders>
              <w:top w:val="single" w:sz="2" w:space="0" w:color="auto"/>
              <w:left w:val="single" w:sz="2" w:space="0" w:color="auto"/>
              <w:bottom w:val="single" w:sz="2" w:space="0" w:color="auto"/>
              <w:right w:val="single" w:sz="2" w:space="0" w:color="auto"/>
            </w:tcBorders>
          </w:tcPr>
          <w:p w14:paraId="2B3F26B1" w14:textId="77777777" w:rsidR="009F4766" w:rsidRPr="00DE12A3" w:rsidRDefault="009F4766" w:rsidP="00C917D6">
            <w:pPr>
              <w:pStyle w:val="NormalLeft"/>
            </w:pPr>
            <w:r w:rsidRPr="00DE12A3">
              <w:t>17</w:t>
            </w:r>
          </w:p>
        </w:tc>
      </w:tr>
      <w:tr w:rsidR="00DE12A3" w:rsidRPr="00DE12A3" w14:paraId="41D18DC7" w14:textId="77777777" w:rsidTr="009F4766">
        <w:tc>
          <w:tcPr>
            <w:tcW w:w="1182" w:type="dxa"/>
            <w:tcBorders>
              <w:top w:val="single" w:sz="2" w:space="0" w:color="auto"/>
              <w:left w:val="single" w:sz="2" w:space="0" w:color="auto"/>
              <w:bottom w:val="single" w:sz="2" w:space="0" w:color="auto"/>
              <w:right w:val="single" w:sz="2" w:space="0" w:color="auto"/>
            </w:tcBorders>
          </w:tcPr>
          <w:p w14:paraId="3C4623A4" w14:textId="77777777" w:rsidR="009F4766" w:rsidRPr="00DE12A3" w:rsidRDefault="009F4766" w:rsidP="00C917D6">
            <w:pPr>
              <w:pStyle w:val="NormalLeft"/>
            </w:pPr>
            <w:r w:rsidRPr="00DE12A3">
              <w:t>1177</w:t>
            </w:r>
          </w:p>
        </w:tc>
        <w:tc>
          <w:tcPr>
            <w:tcW w:w="2489" w:type="dxa"/>
            <w:tcBorders>
              <w:top w:val="single" w:sz="2" w:space="0" w:color="auto"/>
              <w:left w:val="single" w:sz="2" w:space="0" w:color="auto"/>
              <w:bottom w:val="single" w:sz="2" w:space="0" w:color="auto"/>
              <w:right w:val="single" w:sz="2" w:space="0" w:color="auto"/>
            </w:tcBorders>
          </w:tcPr>
          <w:p w14:paraId="69D2247D" w14:textId="77777777" w:rsidR="009F4766" w:rsidRPr="00DE12A3" w:rsidRDefault="009F4766" w:rsidP="00C917D6">
            <w:pPr>
              <w:pStyle w:val="NormalLeft"/>
            </w:pPr>
            <w:r w:rsidRPr="00DE12A3">
              <w:t>93</w:t>
            </w:r>
          </w:p>
        </w:tc>
        <w:tc>
          <w:tcPr>
            <w:tcW w:w="2551" w:type="dxa"/>
            <w:tcBorders>
              <w:top w:val="single" w:sz="2" w:space="0" w:color="auto"/>
              <w:left w:val="single" w:sz="2" w:space="0" w:color="auto"/>
              <w:bottom w:val="single" w:sz="2" w:space="0" w:color="auto"/>
              <w:right w:val="single" w:sz="2" w:space="0" w:color="auto"/>
            </w:tcBorders>
          </w:tcPr>
          <w:p w14:paraId="3DCECE6A" w14:textId="77777777" w:rsidR="009F4766" w:rsidRPr="00DE12A3" w:rsidRDefault="009F4766" w:rsidP="00C917D6">
            <w:pPr>
              <w:pStyle w:val="NormalLeft"/>
            </w:pPr>
            <w:r w:rsidRPr="00DE12A3">
              <w:t>16</w:t>
            </w:r>
          </w:p>
        </w:tc>
      </w:tr>
      <w:tr w:rsidR="00DE12A3" w:rsidRPr="00DE12A3" w14:paraId="699B46D9" w14:textId="77777777" w:rsidTr="009F4766">
        <w:tc>
          <w:tcPr>
            <w:tcW w:w="1182" w:type="dxa"/>
            <w:tcBorders>
              <w:top w:val="single" w:sz="2" w:space="0" w:color="auto"/>
              <w:left w:val="single" w:sz="2" w:space="0" w:color="auto"/>
              <w:bottom w:val="single" w:sz="2" w:space="0" w:color="auto"/>
              <w:right w:val="single" w:sz="2" w:space="0" w:color="auto"/>
            </w:tcBorders>
          </w:tcPr>
          <w:p w14:paraId="1F38D9E5" w14:textId="77777777" w:rsidR="009F4766" w:rsidRPr="00DE12A3" w:rsidRDefault="009F4766" w:rsidP="00C917D6">
            <w:pPr>
              <w:pStyle w:val="NormalLeft"/>
            </w:pPr>
            <w:r w:rsidRPr="00DE12A3">
              <w:t>1178</w:t>
            </w:r>
          </w:p>
        </w:tc>
        <w:tc>
          <w:tcPr>
            <w:tcW w:w="2489" w:type="dxa"/>
            <w:tcBorders>
              <w:top w:val="single" w:sz="2" w:space="0" w:color="auto"/>
              <w:left w:val="single" w:sz="2" w:space="0" w:color="auto"/>
              <w:bottom w:val="single" w:sz="2" w:space="0" w:color="auto"/>
              <w:right w:val="single" w:sz="2" w:space="0" w:color="auto"/>
            </w:tcBorders>
          </w:tcPr>
          <w:p w14:paraId="630BEE6C" w14:textId="77777777" w:rsidR="009F4766" w:rsidRPr="00DE12A3" w:rsidRDefault="009F4766" w:rsidP="00C917D6">
            <w:pPr>
              <w:pStyle w:val="NormalLeft"/>
            </w:pPr>
            <w:r w:rsidRPr="00DE12A3">
              <w:t>93</w:t>
            </w:r>
          </w:p>
        </w:tc>
        <w:tc>
          <w:tcPr>
            <w:tcW w:w="2551" w:type="dxa"/>
            <w:tcBorders>
              <w:top w:val="single" w:sz="2" w:space="0" w:color="auto"/>
              <w:left w:val="single" w:sz="2" w:space="0" w:color="auto"/>
              <w:bottom w:val="single" w:sz="2" w:space="0" w:color="auto"/>
              <w:right w:val="single" w:sz="2" w:space="0" w:color="auto"/>
            </w:tcBorders>
          </w:tcPr>
          <w:p w14:paraId="5BC682F8" w14:textId="77777777" w:rsidR="009F4766" w:rsidRPr="00DE12A3" w:rsidRDefault="009F4766" w:rsidP="00C917D6">
            <w:pPr>
              <w:pStyle w:val="NormalLeft"/>
            </w:pPr>
            <w:r w:rsidRPr="00DE12A3">
              <w:t>16</w:t>
            </w:r>
          </w:p>
        </w:tc>
      </w:tr>
      <w:tr w:rsidR="00DE12A3" w:rsidRPr="00DE12A3" w14:paraId="002124BC" w14:textId="77777777" w:rsidTr="009F4766">
        <w:tc>
          <w:tcPr>
            <w:tcW w:w="1182" w:type="dxa"/>
            <w:tcBorders>
              <w:top w:val="single" w:sz="2" w:space="0" w:color="auto"/>
              <w:left w:val="single" w:sz="2" w:space="0" w:color="auto"/>
              <w:bottom w:val="single" w:sz="2" w:space="0" w:color="auto"/>
              <w:right w:val="single" w:sz="2" w:space="0" w:color="auto"/>
            </w:tcBorders>
          </w:tcPr>
          <w:p w14:paraId="04F9DC1C" w14:textId="77777777" w:rsidR="009F4766" w:rsidRPr="00DE12A3" w:rsidRDefault="009F4766" w:rsidP="00C917D6">
            <w:pPr>
              <w:pStyle w:val="NormalLeft"/>
            </w:pPr>
            <w:r w:rsidRPr="00DE12A3">
              <w:lastRenderedPageBreak/>
              <w:t>1179</w:t>
            </w:r>
          </w:p>
        </w:tc>
        <w:tc>
          <w:tcPr>
            <w:tcW w:w="2489" w:type="dxa"/>
            <w:tcBorders>
              <w:top w:val="single" w:sz="2" w:space="0" w:color="auto"/>
              <w:left w:val="single" w:sz="2" w:space="0" w:color="auto"/>
              <w:bottom w:val="single" w:sz="2" w:space="0" w:color="auto"/>
              <w:right w:val="single" w:sz="2" w:space="0" w:color="auto"/>
            </w:tcBorders>
          </w:tcPr>
          <w:p w14:paraId="007DD985" w14:textId="77777777" w:rsidR="009F4766" w:rsidRPr="00DE12A3" w:rsidRDefault="009F4766" w:rsidP="00C917D6">
            <w:pPr>
              <w:pStyle w:val="NormalLeft"/>
            </w:pPr>
            <w:r w:rsidRPr="00DE12A3">
              <w:t>93</w:t>
            </w:r>
          </w:p>
        </w:tc>
        <w:tc>
          <w:tcPr>
            <w:tcW w:w="2551" w:type="dxa"/>
            <w:tcBorders>
              <w:top w:val="single" w:sz="2" w:space="0" w:color="auto"/>
              <w:left w:val="single" w:sz="2" w:space="0" w:color="auto"/>
              <w:bottom w:val="single" w:sz="2" w:space="0" w:color="auto"/>
              <w:right w:val="single" w:sz="2" w:space="0" w:color="auto"/>
            </w:tcBorders>
          </w:tcPr>
          <w:p w14:paraId="770E7165" w14:textId="77777777" w:rsidR="009F4766" w:rsidRPr="00DE12A3" w:rsidRDefault="009F4766" w:rsidP="00C917D6">
            <w:pPr>
              <w:pStyle w:val="NormalLeft"/>
            </w:pPr>
            <w:r w:rsidRPr="00DE12A3">
              <w:t>15</w:t>
            </w:r>
          </w:p>
        </w:tc>
      </w:tr>
      <w:tr w:rsidR="00DE12A3" w:rsidRPr="00DE12A3" w14:paraId="1F43A020" w14:textId="77777777" w:rsidTr="009F4766">
        <w:tc>
          <w:tcPr>
            <w:tcW w:w="1182" w:type="dxa"/>
            <w:tcBorders>
              <w:top w:val="single" w:sz="2" w:space="0" w:color="auto"/>
              <w:left w:val="single" w:sz="2" w:space="0" w:color="auto"/>
              <w:bottom w:val="single" w:sz="2" w:space="0" w:color="auto"/>
              <w:right w:val="single" w:sz="2" w:space="0" w:color="auto"/>
            </w:tcBorders>
          </w:tcPr>
          <w:p w14:paraId="128AF4AD" w14:textId="77777777" w:rsidR="009F4766" w:rsidRPr="00DE12A3" w:rsidRDefault="009F4766" w:rsidP="00C917D6">
            <w:pPr>
              <w:pStyle w:val="NormalLeft"/>
            </w:pPr>
            <w:r w:rsidRPr="00DE12A3">
              <w:t>1180</w:t>
            </w:r>
          </w:p>
        </w:tc>
        <w:tc>
          <w:tcPr>
            <w:tcW w:w="2489" w:type="dxa"/>
            <w:tcBorders>
              <w:top w:val="single" w:sz="2" w:space="0" w:color="auto"/>
              <w:left w:val="single" w:sz="2" w:space="0" w:color="auto"/>
              <w:bottom w:val="single" w:sz="2" w:space="0" w:color="auto"/>
              <w:right w:val="single" w:sz="2" w:space="0" w:color="auto"/>
            </w:tcBorders>
          </w:tcPr>
          <w:p w14:paraId="77D9430C" w14:textId="77777777" w:rsidR="009F4766" w:rsidRPr="00DE12A3" w:rsidRDefault="009F4766" w:rsidP="00C917D6">
            <w:pPr>
              <w:pStyle w:val="NormalLeft"/>
            </w:pPr>
            <w:r w:rsidRPr="00DE12A3">
              <w:t>93</w:t>
            </w:r>
          </w:p>
        </w:tc>
        <w:tc>
          <w:tcPr>
            <w:tcW w:w="2551" w:type="dxa"/>
            <w:tcBorders>
              <w:top w:val="single" w:sz="2" w:space="0" w:color="auto"/>
              <w:left w:val="single" w:sz="2" w:space="0" w:color="auto"/>
              <w:bottom w:val="single" w:sz="2" w:space="0" w:color="auto"/>
              <w:right w:val="single" w:sz="2" w:space="0" w:color="auto"/>
            </w:tcBorders>
          </w:tcPr>
          <w:p w14:paraId="64EE2663" w14:textId="77777777" w:rsidR="009F4766" w:rsidRPr="00DE12A3" w:rsidRDefault="009F4766" w:rsidP="00C917D6">
            <w:pPr>
              <w:pStyle w:val="NormalLeft"/>
            </w:pPr>
            <w:r w:rsidRPr="00DE12A3">
              <w:t>16</w:t>
            </w:r>
          </w:p>
        </w:tc>
      </w:tr>
      <w:tr w:rsidR="00DE12A3" w:rsidRPr="00DE12A3" w14:paraId="1A8D4344" w14:textId="77777777" w:rsidTr="009F4766">
        <w:tc>
          <w:tcPr>
            <w:tcW w:w="1182" w:type="dxa"/>
            <w:tcBorders>
              <w:top w:val="single" w:sz="2" w:space="0" w:color="auto"/>
              <w:left w:val="single" w:sz="2" w:space="0" w:color="auto"/>
              <w:bottom w:val="single" w:sz="2" w:space="0" w:color="auto"/>
              <w:right w:val="single" w:sz="2" w:space="0" w:color="auto"/>
            </w:tcBorders>
          </w:tcPr>
          <w:p w14:paraId="00629E48" w14:textId="77777777" w:rsidR="009F4766" w:rsidRPr="00DE12A3" w:rsidRDefault="009F4766" w:rsidP="00C917D6">
            <w:pPr>
              <w:pStyle w:val="NormalLeft"/>
            </w:pPr>
            <w:r w:rsidRPr="00DE12A3">
              <w:t>1181</w:t>
            </w:r>
          </w:p>
        </w:tc>
        <w:tc>
          <w:tcPr>
            <w:tcW w:w="2489" w:type="dxa"/>
            <w:tcBorders>
              <w:top w:val="single" w:sz="2" w:space="0" w:color="auto"/>
              <w:left w:val="single" w:sz="2" w:space="0" w:color="auto"/>
              <w:bottom w:val="single" w:sz="2" w:space="0" w:color="auto"/>
              <w:right w:val="single" w:sz="2" w:space="0" w:color="auto"/>
            </w:tcBorders>
          </w:tcPr>
          <w:p w14:paraId="625EDB8A" w14:textId="77777777" w:rsidR="009F4766" w:rsidRPr="00DE12A3" w:rsidRDefault="009F4766" w:rsidP="00C917D6">
            <w:pPr>
              <w:pStyle w:val="NormalLeft"/>
            </w:pPr>
            <w:r w:rsidRPr="00DE12A3">
              <w:t>93</w:t>
            </w:r>
          </w:p>
        </w:tc>
        <w:tc>
          <w:tcPr>
            <w:tcW w:w="2551" w:type="dxa"/>
            <w:tcBorders>
              <w:top w:val="single" w:sz="2" w:space="0" w:color="auto"/>
              <w:left w:val="single" w:sz="2" w:space="0" w:color="auto"/>
              <w:bottom w:val="single" w:sz="2" w:space="0" w:color="auto"/>
              <w:right w:val="single" w:sz="2" w:space="0" w:color="auto"/>
            </w:tcBorders>
          </w:tcPr>
          <w:p w14:paraId="6C191D7D" w14:textId="77777777" w:rsidR="009F4766" w:rsidRPr="00DE12A3" w:rsidRDefault="009F4766" w:rsidP="00C917D6">
            <w:pPr>
              <w:pStyle w:val="NormalLeft"/>
            </w:pPr>
            <w:r w:rsidRPr="00DE12A3">
              <w:t>15</w:t>
            </w:r>
          </w:p>
        </w:tc>
      </w:tr>
      <w:tr w:rsidR="00DE12A3" w:rsidRPr="00DE12A3" w14:paraId="4A61A982" w14:textId="77777777" w:rsidTr="009F4766">
        <w:tc>
          <w:tcPr>
            <w:tcW w:w="1182" w:type="dxa"/>
            <w:tcBorders>
              <w:top w:val="single" w:sz="2" w:space="0" w:color="auto"/>
              <w:left w:val="single" w:sz="2" w:space="0" w:color="auto"/>
              <w:bottom w:val="single" w:sz="2" w:space="0" w:color="auto"/>
              <w:right w:val="single" w:sz="2" w:space="0" w:color="auto"/>
            </w:tcBorders>
          </w:tcPr>
          <w:p w14:paraId="385A4F1C" w14:textId="77777777" w:rsidR="009F4766" w:rsidRPr="00DE12A3" w:rsidRDefault="009F4766" w:rsidP="00C917D6">
            <w:pPr>
              <w:pStyle w:val="NormalLeft"/>
            </w:pPr>
            <w:r w:rsidRPr="00DE12A3">
              <w:t>1182</w:t>
            </w:r>
          </w:p>
        </w:tc>
        <w:tc>
          <w:tcPr>
            <w:tcW w:w="2489" w:type="dxa"/>
            <w:tcBorders>
              <w:top w:val="single" w:sz="2" w:space="0" w:color="auto"/>
              <w:left w:val="single" w:sz="2" w:space="0" w:color="auto"/>
              <w:bottom w:val="single" w:sz="2" w:space="0" w:color="auto"/>
              <w:right w:val="single" w:sz="2" w:space="0" w:color="auto"/>
            </w:tcBorders>
          </w:tcPr>
          <w:p w14:paraId="7B99C2FB" w14:textId="77777777" w:rsidR="009F4766" w:rsidRPr="00DE12A3" w:rsidRDefault="009F4766" w:rsidP="00C917D6">
            <w:pPr>
              <w:pStyle w:val="NormalLeft"/>
            </w:pPr>
            <w:r w:rsidRPr="00DE12A3">
              <w:t>93</w:t>
            </w:r>
          </w:p>
        </w:tc>
        <w:tc>
          <w:tcPr>
            <w:tcW w:w="2551" w:type="dxa"/>
            <w:tcBorders>
              <w:top w:val="single" w:sz="2" w:space="0" w:color="auto"/>
              <w:left w:val="single" w:sz="2" w:space="0" w:color="auto"/>
              <w:bottom w:val="single" w:sz="2" w:space="0" w:color="auto"/>
              <w:right w:val="single" w:sz="2" w:space="0" w:color="auto"/>
            </w:tcBorders>
          </w:tcPr>
          <w:p w14:paraId="54DA00E8" w14:textId="77777777" w:rsidR="009F4766" w:rsidRPr="00DE12A3" w:rsidRDefault="009F4766" w:rsidP="00C917D6">
            <w:pPr>
              <w:pStyle w:val="NormalLeft"/>
            </w:pPr>
            <w:r w:rsidRPr="00DE12A3">
              <w:t>17</w:t>
            </w:r>
          </w:p>
        </w:tc>
      </w:tr>
      <w:tr w:rsidR="00DE12A3" w:rsidRPr="00DE12A3" w14:paraId="4B84BF18" w14:textId="77777777" w:rsidTr="009F4766">
        <w:tc>
          <w:tcPr>
            <w:tcW w:w="1182" w:type="dxa"/>
            <w:tcBorders>
              <w:top w:val="single" w:sz="2" w:space="0" w:color="auto"/>
              <w:left w:val="single" w:sz="2" w:space="0" w:color="auto"/>
              <w:bottom w:val="single" w:sz="2" w:space="0" w:color="auto"/>
              <w:right w:val="single" w:sz="2" w:space="0" w:color="auto"/>
            </w:tcBorders>
          </w:tcPr>
          <w:p w14:paraId="1FB0C947" w14:textId="77777777" w:rsidR="009F4766" w:rsidRPr="00DE12A3" w:rsidRDefault="009F4766" w:rsidP="00C917D6">
            <w:pPr>
              <w:pStyle w:val="NormalLeft"/>
            </w:pPr>
            <w:r w:rsidRPr="00DE12A3">
              <w:t>1183</w:t>
            </w:r>
          </w:p>
        </w:tc>
        <w:tc>
          <w:tcPr>
            <w:tcW w:w="2489" w:type="dxa"/>
            <w:tcBorders>
              <w:top w:val="single" w:sz="2" w:space="0" w:color="auto"/>
              <w:left w:val="single" w:sz="2" w:space="0" w:color="auto"/>
              <w:bottom w:val="single" w:sz="2" w:space="0" w:color="auto"/>
              <w:right w:val="single" w:sz="2" w:space="0" w:color="auto"/>
            </w:tcBorders>
          </w:tcPr>
          <w:p w14:paraId="5C267598" w14:textId="77777777" w:rsidR="009F4766" w:rsidRPr="00DE12A3" w:rsidRDefault="009F4766" w:rsidP="00C917D6">
            <w:pPr>
              <w:pStyle w:val="NormalLeft"/>
            </w:pPr>
            <w:r w:rsidRPr="00DE12A3">
              <w:t>93</w:t>
            </w:r>
          </w:p>
        </w:tc>
        <w:tc>
          <w:tcPr>
            <w:tcW w:w="2551" w:type="dxa"/>
            <w:tcBorders>
              <w:top w:val="single" w:sz="2" w:space="0" w:color="auto"/>
              <w:left w:val="single" w:sz="2" w:space="0" w:color="auto"/>
              <w:bottom w:val="single" w:sz="2" w:space="0" w:color="auto"/>
              <w:right w:val="single" w:sz="2" w:space="0" w:color="auto"/>
            </w:tcBorders>
          </w:tcPr>
          <w:p w14:paraId="4A7A2907" w14:textId="77777777" w:rsidR="009F4766" w:rsidRPr="00DE12A3" w:rsidRDefault="009F4766" w:rsidP="00C917D6">
            <w:pPr>
              <w:pStyle w:val="NormalLeft"/>
            </w:pPr>
            <w:r w:rsidRPr="00DE12A3">
              <w:t>21</w:t>
            </w:r>
          </w:p>
        </w:tc>
      </w:tr>
      <w:tr w:rsidR="00DE12A3" w:rsidRPr="00DE12A3" w14:paraId="43C8CF31" w14:textId="77777777" w:rsidTr="009F4766">
        <w:tc>
          <w:tcPr>
            <w:tcW w:w="1182" w:type="dxa"/>
            <w:tcBorders>
              <w:top w:val="single" w:sz="2" w:space="0" w:color="auto"/>
              <w:left w:val="single" w:sz="2" w:space="0" w:color="auto"/>
              <w:bottom w:val="single" w:sz="2" w:space="0" w:color="auto"/>
              <w:right w:val="single" w:sz="2" w:space="0" w:color="auto"/>
            </w:tcBorders>
          </w:tcPr>
          <w:p w14:paraId="3EA3D57C" w14:textId="77777777" w:rsidR="009F4766" w:rsidRPr="00DE12A3" w:rsidRDefault="009F4766" w:rsidP="00C917D6">
            <w:pPr>
              <w:pStyle w:val="NormalLeft"/>
            </w:pPr>
            <w:r w:rsidRPr="00DE12A3">
              <w:t>1184</w:t>
            </w:r>
          </w:p>
        </w:tc>
        <w:tc>
          <w:tcPr>
            <w:tcW w:w="2489" w:type="dxa"/>
            <w:tcBorders>
              <w:top w:val="single" w:sz="2" w:space="0" w:color="auto"/>
              <w:left w:val="single" w:sz="2" w:space="0" w:color="auto"/>
              <w:bottom w:val="single" w:sz="2" w:space="0" w:color="auto"/>
              <w:right w:val="single" w:sz="2" w:space="0" w:color="auto"/>
            </w:tcBorders>
          </w:tcPr>
          <w:p w14:paraId="2E41C0C0" w14:textId="77777777" w:rsidR="009F4766" w:rsidRPr="00DE12A3" w:rsidRDefault="009F4766" w:rsidP="00C917D6">
            <w:pPr>
              <w:pStyle w:val="NormalLeft"/>
            </w:pPr>
            <w:r w:rsidRPr="00DE12A3">
              <w:t>93</w:t>
            </w:r>
          </w:p>
        </w:tc>
        <w:tc>
          <w:tcPr>
            <w:tcW w:w="2551" w:type="dxa"/>
            <w:tcBorders>
              <w:top w:val="single" w:sz="2" w:space="0" w:color="auto"/>
              <w:left w:val="single" w:sz="2" w:space="0" w:color="auto"/>
              <w:bottom w:val="single" w:sz="2" w:space="0" w:color="auto"/>
              <w:right w:val="single" w:sz="2" w:space="0" w:color="auto"/>
            </w:tcBorders>
          </w:tcPr>
          <w:p w14:paraId="2B8C6343" w14:textId="77777777" w:rsidR="009F4766" w:rsidRPr="00DE12A3" w:rsidRDefault="009F4766" w:rsidP="00C917D6">
            <w:pPr>
              <w:pStyle w:val="NormalLeft"/>
            </w:pPr>
            <w:r w:rsidRPr="00DE12A3">
              <w:t>30</w:t>
            </w:r>
          </w:p>
        </w:tc>
      </w:tr>
      <w:tr w:rsidR="00DE12A3" w:rsidRPr="00DE12A3" w14:paraId="6FB82636" w14:textId="77777777" w:rsidTr="009F4766">
        <w:tc>
          <w:tcPr>
            <w:tcW w:w="1182" w:type="dxa"/>
            <w:tcBorders>
              <w:top w:val="single" w:sz="2" w:space="0" w:color="auto"/>
              <w:left w:val="single" w:sz="2" w:space="0" w:color="auto"/>
              <w:bottom w:val="single" w:sz="2" w:space="0" w:color="auto"/>
              <w:right w:val="single" w:sz="2" w:space="0" w:color="auto"/>
            </w:tcBorders>
          </w:tcPr>
          <w:p w14:paraId="09C15A14" w14:textId="77777777" w:rsidR="009F4766" w:rsidRPr="00DE12A3" w:rsidRDefault="009F4766" w:rsidP="00C917D6">
            <w:pPr>
              <w:pStyle w:val="NormalLeft"/>
            </w:pPr>
            <w:r w:rsidRPr="00DE12A3">
              <w:t>1185</w:t>
            </w:r>
          </w:p>
        </w:tc>
        <w:tc>
          <w:tcPr>
            <w:tcW w:w="2489" w:type="dxa"/>
            <w:tcBorders>
              <w:top w:val="single" w:sz="2" w:space="0" w:color="auto"/>
              <w:left w:val="single" w:sz="2" w:space="0" w:color="auto"/>
              <w:bottom w:val="single" w:sz="2" w:space="0" w:color="auto"/>
              <w:right w:val="single" w:sz="2" w:space="0" w:color="auto"/>
            </w:tcBorders>
          </w:tcPr>
          <w:p w14:paraId="59A96B7C" w14:textId="77777777" w:rsidR="009F4766" w:rsidRPr="00DE12A3" w:rsidRDefault="009F4766" w:rsidP="00C917D6">
            <w:pPr>
              <w:pStyle w:val="NormalLeft"/>
            </w:pPr>
            <w:r w:rsidRPr="00DE12A3">
              <w:t>93</w:t>
            </w:r>
          </w:p>
        </w:tc>
        <w:tc>
          <w:tcPr>
            <w:tcW w:w="2551" w:type="dxa"/>
            <w:tcBorders>
              <w:top w:val="single" w:sz="2" w:space="0" w:color="auto"/>
              <w:left w:val="single" w:sz="2" w:space="0" w:color="auto"/>
              <w:bottom w:val="single" w:sz="2" w:space="0" w:color="auto"/>
              <w:right w:val="single" w:sz="2" w:space="0" w:color="auto"/>
            </w:tcBorders>
          </w:tcPr>
          <w:p w14:paraId="538D530E" w14:textId="77777777" w:rsidR="009F4766" w:rsidRPr="00DE12A3" w:rsidRDefault="009F4766" w:rsidP="00C917D6">
            <w:pPr>
              <w:pStyle w:val="NormalLeft"/>
            </w:pPr>
            <w:r w:rsidRPr="00DE12A3">
              <w:t>53</w:t>
            </w:r>
          </w:p>
        </w:tc>
      </w:tr>
      <w:tr w:rsidR="00DE12A3" w:rsidRPr="00DE12A3" w14:paraId="6FC6A07B" w14:textId="77777777" w:rsidTr="009F4766">
        <w:tc>
          <w:tcPr>
            <w:tcW w:w="1182" w:type="dxa"/>
            <w:tcBorders>
              <w:top w:val="single" w:sz="2" w:space="0" w:color="auto"/>
              <w:left w:val="single" w:sz="2" w:space="0" w:color="auto"/>
              <w:bottom w:val="single" w:sz="2" w:space="0" w:color="auto"/>
              <w:right w:val="single" w:sz="2" w:space="0" w:color="auto"/>
            </w:tcBorders>
          </w:tcPr>
          <w:p w14:paraId="069ED590" w14:textId="77777777" w:rsidR="009F4766" w:rsidRPr="00DE12A3" w:rsidRDefault="009F4766" w:rsidP="00C917D6">
            <w:pPr>
              <w:pStyle w:val="NormalLeft"/>
            </w:pPr>
            <w:r w:rsidRPr="00DE12A3">
              <w:t>1186</w:t>
            </w:r>
          </w:p>
        </w:tc>
        <w:tc>
          <w:tcPr>
            <w:tcW w:w="2489" w:type="dxa"/>
            <w:tcBorders>
              <w:top w:val="single" w:sz="2" w:space="0" w:color="auto"/>
              <w:left w:val="single" w:sz="2" w:space="0" w:color="auto"/>
              <w:bottom w:val="single" w:sz="2" w:space="0" w:color="auto"/>
              <w:right w:val="single" w:sz="2" w:space="0" w:color="auto"/>
            </w:tcBorders>
          </w:tcPr>
          <w:p w14:paraId="1673B72D" w14:textId="77777777" w:rsidR="009F4766" w:rsidRPr="00DE12A3" w:rsidRDefault="009F4766" w:rsidP="00C917D6">
            <w:pPr>
              <w:pStyle w:val="NormalLeft"/>
            </w:pPr>
            <w:r w:rsidRPr="00DE12A3">
              <w:t>93</w:t>
            </w:r>
          </w:p>
        </w:tc>
        <w:tc>
          <w:tcPr>
            <w:tcW w:w="2551" w:type="dxa"/>
            <w:tcBorders>
              <w:top w:val="single" w:sz="2" w:space="0" w:color="auto"/>
              <w:left w:val="single" w:sz="2" w:space="0" w:color="auto"/>
              <w:bottom w:val="single" w:sz="2" w:space="0" w:color="auto"/>
              <w:right w:val="single" w:sz="2" w:space="0" w:color="auto"/>
            </w:tcBorders>
          </w:tcPr>
          <w:p w14:paraId="70470639" w14:textId="77777777" w:rsidR="009F4766" w:rsidRPr="00DE12A3" w:rsidRDefault="009F4766" w:rsidP="00C917D6">
            <w:pPr>
              <w:pStyle w:val="NormalLeft"/>
            </w:pPr>
            <w:r w:rsidRPr="00DE12A3">
              <w:t>54</w:t>
            </w:r>
          </w:p>
        </w:tc>
      </w:tr>
      <w:tr w:rsidR="00DE12A3" w:rsidRPr="00DE12A3" w14:paraId="40577BB9" w14:textId="77777777" w:rsidTr="009F4766">
        <w:tc>
          <w:tcPr>
            <w:tcW w:w="1182" w:type="dxa"/>
            <w:tcBorders>
              <w:top w:val="single" w:sz="2" w:space="0" w:color="auto"/>
              <w:left w:val="single" w:sz="2" w:space="0" w:color="auto"/>
              <w:bottom w:val="single" w:sz="2" w:space="0" w:color="auto"/>
              <w:right w:val="single" w:sz="2" w:space="0" w:color="auto"/>
            </w:tcBorders>
          </w:tcPr>
          <w:p w14:paraId="32077E8D" w14:textId="77777777" w:rsidR="009F4766" w:rsidRPr="00DE12A3" w:rsidRDefault="009F4766" w:rsidP="00C917D6">
            <w:pPr>
              <w:pStyle w:val="NormalLeft"/>
            </w:pPr>
            <w:r w:rsidRPr="00DE12A3">
              <w:t>1187</w:t>
            </w:r>
          </w:p>
        </w:tc>
        <w:tc>
          <w:tcPr>
            <w:tcW w:w="2489" w:type="dxa"/>
            <w:tcBorders>
              <w:top w:val="single" w:sz="2" w:space="0" w:color="auto"/>
              <w:left w:val="single" w:sz="2" w:space="0" w:color="auto"/>
              <w:bottom w:val="single" w:sz="2" w:space="0" w:color="auto"/>
              <w:right w:val="single" w:sz="2" w:space="0" w:color="auto"/>
            </w:tcBorders>
          </w:tcPr>
          <w:p w14:paraId="648EC867" w14:textId="77777777" w:rsidR="009F4766" w:rsidRPr="00DE12A3" w:rsidRDefault="009F4766" w:rsidP="00C917D6">
            <w:pPr>
              <w:pStyle w:val="NormalLeft"/>
            </w:pPr>
            <w:r w:rsidRPr="00DE12A3">
              <w:t>93</w:t>
            </w:r>
          </w:p>
        </w:tc>
        <w:tc>
          <w:tcPr>
            <w:tcW w:w="2551" w:type="dxa"/>
            <w:tcBorders>
              <w:top w:val="single" w:sz="2" w:space="0" w:color="auto"/>
              <w:left w:val="single" w:sz="2" w:space="0" w:color="auto"/>
              <w:bottom w:val="single" w:sz="2" w:space="0" w:color="auto"/>
              <w:right w:val="single" w:sz="2" w:space="0" w:color="auto"/>
            </w:tcBorders>
          </w:tcPr>
          <w:p w14:paraId="54AB07CF" w14:textId="77777777" w:rsidR="009F4766" w:rsidRPr="00DE12A3" w:rsidRDefault="009F4766" w:rsidP="00C917D6">
            <w:pPr>
              <w:pStyle w:val="NormalLeft"/>
            </w:pPr>
            <w:r w:rsidRPr="00DE12A3">
              <w:t>38</w:t>
            </w:r>
          </w:p>
        </w:tc>
      </w:tr>
      <w:tr w:rsidR="00DE12A3" w:rsidRPr="00DE12A3" w14:paraId="25E551D1" w14:textId="77777777" w:rsidTr="009F4766">
        <w:tc>
          <w:tcPr>
            <w:tcW w:w="1182" w:type="dxa"/>
            <w:tcBorders>
              <w:top w:val="single" w:sz="2" w:space="0" w:color="auto"/>
              <w:left w:val="single" w:sz="2" w:space="0" w:color="auto"/>
              <w:bottom w:val="single" w:sz="2" w:space="0" w:color="auto"/>
              <w:right w:val="single" w:sz="2" w:space="0" w:color="auto"/>
            </w:tcBorders>
          </w:tcPr>
          <w:p w14:paraId="773234C8" w14:textId="77777777" w:rsidR="009F4766" w:rsidRPr="00DE12A3" w:rsidRDefault="009F4766" w:rsidP="00C917D6">
            <w:pPr>
              <w:pStyle w:val="NormalLeft"/>
            </w:pPr>
            <w:r w:rsidRPr="00DE12A3">
              <w:t>1188</w:t>
            </w:r>
          </w:p>
        </w:tc>
        <w:tc>
          <w:tcPr>
            <w:tcW w:w="2489" w:type="dxa"/>
            <w:tcBorders>
              <w:top w:val="single" w:sz="2" w:space="0" w:color="auto"/>
              <w:left w:val="single" w:sz="2" w:space="0" w:color="auto"/>
              <w:bottom w:val="single" w:sz="2" w:space="0" w:color="auto"/>
              <w:right w:val="single" w:sz="2" w:space="0" w:color="auto"/>
            </w:tcBorders>
          </w:tcPr>
          <w:p w14:paraId="5C1FCEEC" w14:textId="77777777" w:rsidR="009F4766" w:rsidRPr="00DE12A3" w:rsidRDefault="009F4766" w:rsidP="00C917D6">
            <w:pPr>
              <w:pStyle w:val="NormalLeft"/>
            </w:pPr>
            <w:r w:rsidRPr="00DE12A3">
              <w:t>93</w:t>
            </w:r>
          </w:p>
        </w:tc>
        <w:tc>
          <w:tcPr>
            <w:tcW w:w="2551" w:type="dxa"/>
            <w:tcBorders>
              <w:top w:val="single" w:sz="2" w:space="0" w:color="auto"/>
              <w:left w:val="single" w:sz="2" w:space="0" w:color="auto"/>
              <w:bottom w:val="single" w:sz="2" w:space="0" w:color="auto"/>
              <w:right w:val="single" w:sz="2" w:space="0" w:color="auto"/>
            </w:tcBorders>
          </w:tcPr>
          <w:p w14:paraId="4B520DB9" w14:textId="77777777" w:rsidR="009F4766" w:rsidRPr="00DE12A3" w:rsidRDefault="009F4766" w:rsidP="00C917D6">
            <w:pPr>
              <w:pStyle w:val="NormalLeft"/>
            </w:pPr>
            <w:r w:rsidRPr="00DE12A3">
              <w:t>30</w:t>
            </w:r>
          </w:p>
        </w:tc>
      </w:tr>
      <w:tr w:rsidR="00DE12A3" w:rsidRPr="00DE12A3" w14:paraId="7800FFE7" w14:textId="77777777" w:rsidTr="009F4766">
        <w:tc>
          <w:tcPr>
            <w:tcW w:w="1182" w:type="dxa"/>
            <w:tcBorders>
              <w:top w:val="single" w:sz="2" w:space="0" w:color="auto"/>
              <w:left w:val="single" w:sz="2" w:space="0" w:color="auto"/>
              <w:bottom w:val="single" w:sz="2" w:space="0" w:color="auto"/>
              <w:right w:val="single" w:sz="2" w:space="0" w:color="auto"/>
            </w:tcBorders>
          </w:tcPr>
          <w:p w14:paraId="69809012" w14:textId="77777777" w:rsidR="009F4766" w:rsidRPr="00DE12A3" w:rsidRDefault="009F4766" w:rsidP="00C917D6">
            <w:pPr>
              <w:pStyle w:val="NormalLeft"/>
            </w:pPr>
            <w:r w:rsidRPr="00DE12A3">
              <w:t>1189</w:t>
            </w:r>
          </w:p>
        </w:tc>
        <w:tc>
          <w:tcPr>
            <w:tcW w:w="2489" w:type="dxa"/>
            <w:tcBorders>
              <w:top w:val="single" w:sz="2" w:space="0" w:color="auto"/>
              <w:left w:val="single" w:sz="2" w:space="0" w:color="auto"/>
              <w:bottom w:val="single" w:sz="2" w:space="0" w:color="auto"/>
              <w:right w:val="single" w:sz="2" w:space="0" w:color="auto"/>
            </w:tcBorders>
          </w:tcPr>
          <w:p w14:paraId="0423F7E1" w14:textId="77777777" w:rsidR="009F4766" w:rsidRPr="00DE12A3" w:rsidRDefault="009F4766" w:rsidP="00C917D6">
            <w:pPr>
              <w:pStyle w:val="NormalLeft"/>
            </w:pPr>
            <w:r w:rsidRPr="00DE12A3">
              <w:t>93</w:t>
            </w:r>
          </w:p>
        </w:tc>
        <w:tc>
          <w:tcPr>
            <w:tcW w:w="2551" w:type="dxa"/>
            <w:tcBorders>
              <w:top w:val="single" w:sz="2" w:space="0" w:color="auto"/>
              <w:left w:val="single" w:sz="2" w:space="0" w:color="auto"/>
              <w:bottom w:val="single" w:sz="2" w:space="0" w:color="auto"/>
              <w:right w:val="single" w:sz="2" w:space="0" w:color="auto"/>
            </w:tcBorders>
          </w:tcPr>
          <w:p w14:paraId="72E93772" w14:textId="77777777" w:rsidR="009F4766" w:rsidRPr="00DE12A3" w:rsidRDefault="009F4766" w:rsidP="00C917D6">
            <w:pPr>
              <w:pStyle w:val="NormalLeft"/>
            </w:pPr>
            <w:r w:rsidRPr="00DE12A3">
              <w:t>24</w:t>
            </w:r>
          </w:p>
        </w:tc>
      </w:tr>
      <w:tr w:rsidR="00DE12A3" w:rsidRPr="00DE12A3" w14:paraId="61CD404B" w14:textId="77777777" w:rsidTr="009F4766">
        <w:tc>
          <w:tcPr>
            <w:tcW w:w="1182" w:type="dxa"/>
            <w:tcBorders>
              <w:top w:val="single" w:sz="2" w:space="0" w:color="auto"/>
              <w:left w:val="single" w:sz="2" w:space="0" w:color="auto"/>
              <w:bottom w:val="single" w:sz="2" w:space="0" w:color="auto"/>
              <w:right w:val="single" w:sz="2" w:space="0" w:color="auto"/>
            </w:tcBorders>
          </w:tcPr>
          <w:p w14:paraId="59664BE9" w14:textId="77777777" w:rsidR="009F4766" w:rsidRPr="00DE12A3" w:rsidRDefault="009F4766" w:rsidP="00C917D6">
            <w:pPr>
              <w:pStyle w:val="NormalLeft"/>
            </w:pPr>
            <w:r w:rsidRPr="00DE12A3">
              <w:t>1190</w:t>
            </w:r>
          </w:p>
        </w:tc>
        <w:tc>
          <w:tcPr>
            <w:tcW w:w="2489" w:type="dxa"/>
            <w:tcBorders>
              <w:top w:val="single" w:sz="2" w:space="0" w:color="auto"/>
              <w:left w:val="single" w:sz="2" w:space="0" w:color="auto"/>
              <w:bottom w:val="single" w:sz="2" w:space="0" w:color="auto"/>
              <w:right w:val="single" w:sz="2" w:space="0" w:color="auto"/>
            </w:tcBorders>
          </w:tcPr>
          <w:p w14:paraId="447B0163" w14:textId="77777777" w:rsidR="009F4766" w:rsidRPr="00DE12A3" w:rsidRDefault="009F4766" w:rsidP="00C917D6">
            <w:pPr>
              <w:pStyle w:val="NormalLeft"/>
            </w:pPr>
            <w:r w:rsidRPr="00DE12A3">
              <w:t>93</w:t>
            </w:r>
          </w:p>
        </w:tc>
        <w:tc>
          <w:tcPr>
            <w:tcW w:w="2551" w:type="dxa"/>
            <w:tcBorders>
              <w:top w:val="single" w:sz="2" w:space="0" w:color="auto"/>
              <w:left w:val="single" w:sz="2" w:space="0" w:color="auto"/>
              <w:bottom w:val="single" w:sz="2" w:space="0" w:color="auto"/>
              <w:right w:val="single" w:sz="2" w:space="0" w:color="auto"/>
            </w:tcBorders>
          </w:tcPr>
          <w:p w14:paraId="3DF10157" w14:textId="77777777" w:rsidR="009F4766" w:rsidRPr="00DE12A3" w:rsidRDefault="009F4766" w:rsidP="00C917D6">
            <w:pPr>
              <w:pStyle w:val="NormalLeft"/>
            </w:pPr>
            <w:r w:rsidRPr="00DE12A3">
              <w:t>20</w:t>
            </w:r>
          </w:p>
        </w:tc>
      </w:tr>
      <w:tr w:rsidR="00DE12A3" w:rsidRPr="00DE12A3" w14:paraId="77D21B07" w14:textId="77777777" w:rsidTr="009F4766">
        <w:tc>
          <w:tcPr>
            <w:tcW w:w="1182" w:type="dxa"/>
            <w:tcBorders>
              <w:top w:val="single" w:sz="2" w:space="0" w:color="auto"/>
              <w:left w:val="single" w:sz="2" w:space="0" w:color="auto"/>
              <w:bottom w:val="single" w:sz="2" w:space="0" w:color="auto"/>
              <w:right w:val="single" w:sz="2" w:space="0" w:color="auto"/>
            </w:tcBorders>
          </w:tcPr>
          <w:p w14:paraId="1A286759" w14:textId="77777777" w:rsidR="009F4766" w:rsidRPr="00DE12A3" w:rsidRDefault="009F4766" w:rsidP="00C917D6">
            <w:pPr>
              <w:pStyle w:val="NormalLeft"/>
            </w:pPr>
            <w:r w:rsidRPr="00DE12A3">
              <w:t>1191</w:t>
            </w:r>
          </w:p>
        </w:tc>
        <w:tc>
          <w:tcPr>
            <w:tcW w:w="2489" w:type="dxa"/>
            <w:tcBorders>
              <w:top w:val="single" w:sz="2" w:space="0" w:color="auto"/>
              <w:left w:val="single" w:sz="2" w:space="0" w:color="auto"/>
              <w:bottom w:val="single" w:sz="2" w:space="0" w:color="auto"/>
              <w:right w:val="single" w:sz="2" w:space="0" w:color="auto"/>
            </w:tcBorders>
          </w:tcPr>
          <w:p w14:paraId="1B117C9A" w14:textId="77777777" w:rsidR="009F4766" w:rsidRPr="00DE12A3" w:rsidRDefault="009F4766" w:rsidP="00C917D6">
            <w:pPr>
              <w:pStyle w:val="NormalLeft"/>
            </w:pPr>
            <w:r w:rsidRPr="00DE12A3">
              <w:t>95</w:t>
            </w:r>
          </w:p>
        </w:tc>
        <w:tc>
          <w:tcPr>
            <w:tcW w:w="2551" w:type="dxa"/>
            <w:tcBorders>
              <w:top w:val="single" w:sz="2" w:space="0" w:color="auto"/>
              <w:left w:val="single" w:sz="2" w:space="0" w:color="auto"/>
              <w:bottom w:val="single" w:sz="2" w:space="0" w:color="auto"/>
              <w:right w:val="single" w:sz="2" w:space="0" w:color="auto"/>
            </w:tcBorders>
          </w:tcPr>
          <w:p w14:paraId="08E5ED6D" w14:textId="77777777" w:rsidR="009F4766" w:rsidRPr="00DE12A3" w:rsidRDefault="009F4766" w:rsidP="00C917D6">
            <w:pPr>
              <w:pStyle w:val="NormalLeft"/>
            </w:pPr>
            <w:r w:rsidRPr="00DE12A3">
              <w:t>20</w:t>
            </w:r>
          </w:p>
        </w:tc>
      </w:tr>
      <w:tr w:rsidR="00DE12A3" w:rsidRPr="00DE12A3" w14:paraId="2368B087" w14:textId="77777777" w:rsidTr="009F4766">
        <w:tc>
          <w:tcPr>
            <w:tcW w:w="1182" w:type="dxa"/>
            <w:tcBorders>
              <w:top w:val="single" w:sz="2" w:space="0" w:color="auto"/>
              <w:left w:val="single" w:sz="2" w:space="0" w:color="auto"/>
              <w:bottom w:val="single" w:sz="2" w:space="0" w:color="auto"/>
              <w:right w:val="single" w:sz="2" w:space="0" w:color="auto"/>
            </w:tcBorders>
          </w:tcPr>
          <w:p w14:paraId="5263D0BB" w14:textId="77777777" w:rsidR="009F4766" w:rsidRPr="00DE12A3" w:rsidRDefault="009F4766" w:rsidP="00C917D6">
            <w:pPr>
              <w:pStyle w:val="NormalLeft"/>
            </w:pPr>
            <w:r w:rsidRPr="00DE12A3">
              <w:t>1192</w:t>
            </w:r>
          </w:p>
        </w:tc>
        <w:tc>
          <w:tcPr>
            <w:tcW w:w="2489" w:type="dxa"/>
            <w:tcBorders>
              <w:top w:val="single" w:sz="2" w:space="0" w:color="auto"/>
              <w:left w:val="single" w:sz="2" w:space="0" w:color="auto"/>
              <w:bottom w:val="single" w:sz="2" w:space="0" w:color="auto"/>
              <w:right w:val="single" w:sz="2" w:space="0" w:color="auto"/>
            </w:tcBorders>
          </w:tcPr>
          <w:p w14:paraId="5A4B7311" w14:textId="77777777" w:rsidR="009F4766" w:rsidRPr="00DE12A3" w:rsidRDefault="009F4766" w:rsidP="00C917D6">
            <w:pPr>
              <w:pStyle w:val="NormalLeft"/>
            </w:pPr>
            <w:r w:rsidRPr="00DE12A3">
              <w:t>96</w:t>
            </w:r>
          </w:p>
        </w:tc>
        <w:tc>
          <w:tcPr>
            <w:tcW w:w="2551" w:type="dxa"/>
            <w:tcBorders>
              <w:top w:val="single" w:sz="2" w:space="0" w:color="auto"/>
              <w:left w:val="single" w:sz="2" w:space="0" w:color="auto"/>
              <w:bottom w:val="single" w:sz="2" w:space="0" w:color="auto"/>
              <w:right w:val="single" w:sz="2" w:space="0" w:color="auto"/>
            </w:tcBorders>
          </w:tcPr>
          <w:p w14:paraId="1B8A4AEA" w14:textId="77777777" w:rsidR="009F4766" w:rsidRPr="00DE12A3" w:rsidRDefault="009F4766" w:rsidP="00C917D6">
            <w:pPr>
              <w:pStyle w:val="NormalLeft"/>
            </w:pPr>
            <w:r w:rsidRPr="00DE12A3">
              <w:t>18</w:t>
            </w:r>
          </w:p>
        </w:tc>
      </w:tr>
      <w:tr w:rsidR="00DE12A3" w:rsidRPr="00DE12A3" w14:paraId="4970F061" w14:textId="77777777" w:rsidTr="009F4766">
        <w:tc>
          <w:tcPr>
            <w:tcW w:w="1182" w:type="dxa"/>
            <w:tcBorders>
              <w:top w:val="single" w:sz="2" w:space="0" w:color="auto"/>
              <w:left w:val="single" w:sz="2" w:space="0" w:color="auto"/>
              <w:bottom w:val="single" w:sz="2" w:space="0" w:color="auto"/>
              <w:right w:val="single" w:sz="2" w:space="0" w:color="auto"/>
            </w:tcBorders>
          </w:tcPr>
          <w:p w14:paraId="0248E365" w14:textId="77777777" w:rsidR="009F4766" w:rsidRPr="00DE12A3" w:rsidRDefault="009F4766" w:rsidP="00C917D6">
            <w:pPr>
              <w:pStyle w:val="NormalLeft"/>
            </w:pPr>
            <w:r w:rsidRPr="00DE12A3">
              <w:t>1193</w:t>
            </w:r>
          </w:p>
        </w:tc>
        <w:tc>
          <w:tcPr>
            <w:tcW w:w="2489" w:type="dxa"/>
            <w:tcBorders>
              <w:top w:val="single" w:sz="2" w:space="0" w:color="auto"/>
              <w:left w:val="single" w:sz="2" w:space="0" w:color="auto"/>
              <w:bottom w:val="single" w:sz="2" w:space="0" w:color="auto"/>
              <w:right w:val="single" w:sz="2" w:space="0" w:color="auto"/>
            </w:tcBorders>
          </w:tcPr>
          <w:p w14:paraId="41483D95" w14:textId="77777777" w:rsidR="009F4766" w:rsidRPr="00DE12A3" w:rsidRDefault="009F4766" w:rsidP="00C917D6">
            <w:pPr>
              <w:pStyle w:val="NormalLeft"/>
            </w:pPr>
            <w:r w:rsidRPr="00DE12A3">
              <w:t>96</w:t>
            </w:r>
          </w:p>
        </w:tc>
        <w:tc>
          <w:tcPr>
            <w:tcW w:w="2551" w:type="dxa"/>
            <w:tcBorders>
              <w:top w:val="single" w:sz="2" w:space="0" w:color="auto"/>
              <w:left w:val="single" w:sz="2" w:space="0" w:color="auto"/>
              <w:bottom w:val="single" w:sz="2" w:space="0" w:color="auto"/>
              <w:right w:val="single" w:sz="2" w:space="0" w:color="auto"/>
            </w:tcBorders>
          </w:tcPr>
          <w:p w14:paraId="0B6F5733" w14:textId="77777777" w:rsidR="009F4766" w:rsidRPr="00DE12A3" w:rsidRDefault="009F4766" w:rsidP="00C917D6">
            <w:pPr>
              <w:pStyle w:val="NormalLeft"/>
            </w:pPr>
            <w:r w:rsidRPr="00DE12A3">
              <w:t>15</w:t>
            </w:r>
          </w:p>
        </w:tc>
      </w:tr>
      <w:tr w:rsidR="00DE12A3" w:rsidRPr="00DE12A3" w14:paraId="17F2A79A" w14:textId="77777777" w:rsidTr="009F4766">
        <w:tc>
          <w:tcPr>
            <w:tcW w:w="1182" w:type="dxa"/>
            <w:tcBorders>
              <w:top w:val="single" w:sz="2" w:space="0" w:color="auto"/>
              <w:left w:val="single" w:sz="2" w:space="0" w:color="auto"/>
              <w:bottom w:val="single" w:sz="2" w:space="0" w:color="auto"/>
              <w:right w:val="single" w:sz="2" w:space="0" w:color="auto"/>
            </w:tcBorders>
          </w:tcPr>
          <w:p w14:paraId="0CC2A391" w14:textId="77777777" w:rsidR="009F4766" w:rsidRPr="00DE12A3" w:rsidRDefault="009F4766" w:rsidP="00C917D6">
            <w:pPr>
              <w:pStyle w:val="NormalLeft"/>
            </w:pPr>
            <w:r w:rsidRPr="00DE12A3">
              <w:t>1194</w:t>
            </w:r>
          </w:p>
        </w:tc>
        <w:tc>
          <w:tcPr>
            <w:tcW w:w="2489" w:type="dxa"/>
            <w:tcBorders>
              <w:top w:val="single" w:sz="2" w:space="0" w:color="auto"/>
              <w:left w:val="single" w:sz="2" w:space="0" w:color="auto"/>
              <w:bottom w:val="single" w:sz="2" w:space="0" w:color="auto"/>
              <w:right w:val="single" w:sz="2" w:space="0" w:color="auto"/>
            </w:tcBorders>
          </w:tcPr>
          <w:p w14:paraId="22099B7D" w14:textId="77777777" w:rsidR="009F4766" w:rsidRPr="00DE12A3" w:rsidRDefault="009F4766" w:rsidP="00C917D6">
            <w:pPr>
              <w:pStyle w:val="NormalLeft"/>
            </w:pPr>
            <w:r w:rsidRPr="00DE12A3">
              <w:t>96</w:t>
            </w:r>
          </w:p>
        </w:tc>
        <w:tc>
          <w:tcPr>
            <w:tcW w:w="2551" w:type="dxa"/>
            <w:tcBorders>
              <w:top w:val="single" w:sz="2" w:space="0" w:color="auto"/>
              <w:left w:val="single" w:sz="2" w:space="0" w:color="auto"/>
              <w:bottom w:val="single" w:sz="2" w:space="0" w:color="auto"/>
              <w:right w:val="single" w:sz="2" w:space="0" w:color="auto"/>
            </w:tcBorders>
          </w:tcPr>
          <w:p w14:paraId="659ECB85" w14:textId="77777777" w:rsidR="009F4766" w:rsidRPr="00DE12A3" w:rsidRDefault="009F4766" w:rsidP="00C917D6">
            <w:pPr>
              <w:pStyle w:val="NormalLeft"/>
            </w:pPr>
            <w:r w:rsidRPr="00DE12A3">
              <w:t>11</w:t>
            </w:r>
          </w:p>
        </w:tc>
      </w:tr>
      <w:tr w:rsidR="00DE12A3" w:rsidRPr="00DE12A3" w14:paraId="30C20521" w14:textId="77777777" w:rsidTr="009F4766">
        <w:tc>
          <w:tcPr>
            <w:tcW w:w="1182" w:type="dxa"/>
            <w:tcBorders>
              <w:top w:val="single" w:sz="2" w:space="0" w:color="auto"/>
              <w:left w:val="single" w:sz="2" w:space="0" w:color="auto"/>
              <w:bottom w:val="single" w:sz="2" w:space="0" w:color="auto"/>
              <w:right w:val="single" w:sz="2" w:space="0" w:color="auto"/>
            </w:tcBorders>
          </w:tcPr>
          <w:p w14:paraId="53148334" w14:textId="77777777" w:rsidR="009F4766" w:rsidRPr="00DE12A3" w:rsidRDefault="009F4766" w:rsidP="00C917D6">
            <w:pPr>
              <w:pStyle w:val="NormalLeft"/>
            </w:pPr>
            <w:r w:rsidRPr="00DE12A3">
              <w:t>1195</w:t>
            </w:r>
          </w:p>
        </w:tc>
        <w:tc>
          <w:tcPr>
            <w:tcW w:w="2489" w:type="dxa"/>
            <w:tcBorders>
              <w:top w:val="single" w:sz="2" w:space="0" w:color="auto"/>
              <w:left w:val="single" w:sz="2" w:space="0" w:color="auto"/>
              <w:bottom w:val="single" w:sz="2" w:space="0" w:color="auto"/>
              <w:right w:val="single" w:sz="2" w:space="0" w:color="auto"/>
            </w:tcBorders>
          </w:tcPr>
          <w:p w14:paraId="54FA4DF0" w14:textId="77777777" w:rsidR="009F4766" w:rsidRPr="00DE12A3" w:rsidRDefault="009F4766" w:rsidP="00C917D6">
            <w:pPr>
              <w:pStyle w:val="NormalLeft"/>
            </w:pPr>
            <w:r w:rsidRPr="00DE12A3">
              <w:t>95</w:t>
            </w:r>
          </w:p>
        </w:tc>
        <w:tc>
          <w:tcPr>
            <w:tcW w:w="2551" w:type="dxa"/>
            <w:tcBorders>
              <w:top w:val="single" w:sz="2" w:space="0" w:color="auto"/>
              <w:left w:val="single" w:sz="2" w:space="0" w:color="auto"/>
              <w:bottom w:val="single" w:sz="2" w:space="0" w:color="auto"/>
              <w:right w:val="single" w:sz="2" w:space="0" w:color="auto"/>
            </w:tcBorders>
          </w:tcPr>
          <w:p w14:paraId="218CC72E" w14:textId="77777777" w:rsidR="009F4766" w:rsidRPr="00DE12A3" w:rsidRDefault="009F4766" w:rsidP="00C917D6">
            <w:pPr>
              <w:pStyle w:val="NormalLeft"/>
            </w:pPr>
            <w:r w:rsidRPr="00DE12A3">
              <w:t>9</w:t>
            </w:r>
          </w:p>
        </w:tc>
      </w:tr>
      <w:tr w:rsidR="00DE12A3" w:rsidRPr="00DE12A3" w14:paraId="29A4330B" w14:textId="77777777" w:rsidTr="009F4766">
        <w:tc>
          <w:tcPr>
            <w:tcW w:w="1182" w:type="dxa"/>
            <w:tcBorders>
              <w:top w:val="single" w:sz="2" w:space="0" w:color="auto"/>
              <w:left w:val="single" w:sz="2" w:space="0" w:color="auto"/>
              <w:bottom w:val="single" w:sz="2" w:space="0" w:color="auto"/>
              <w:right w:val="single" w:sz="2" w:space="0" w:color="auto"/>
            </w:tcBorders>
          </w:tcPr>
          <w:p w14:paraId="1E4B9F87" w14:textId="77777777" w:rsidR="009F4766" w:rsidRPr="00DE12A3" w:rsidRDefault="009F4766" w:rsidP="00C917D6">
            <w:pPr>
              <w:pStyle w:val="NormalLeft"/>
            </w:pPr>
            <w:r w:rsidRPr="00DE12A3">
              <w:t>1196</w:t>
            </w:r>
          </w:p>
        </w:tc>
        <w:tc>
          <w:tcPr>
            <w:tcW w:w="2489" w:type="dxa"/>
            <w:tcBorders>
              <w:top w:val="single" w:sz="2" w:space="0" w:color="auto"/>
              <w:left w:val="single" w:sz="2" w:space="0" w:color="auto"/>
              <w:bottom w:val="single" w:sz="2" w:space="0" w:color="auto"/>
              <w:right w:val="single" w:sz="2" w:space="0" w:color="auto"/>
            </w:tcBorders>
          </w:tcPr>
          <w:p w14:paraId="5633BE08" w14:textId="77777777" w:rsidR="009F4766" w:rsidRPr="00DE12A3" w:rsidRDefault="009F4766" w:rsidP="00C917D6">
            <w:pPr>
              <w:pStyle w:val="NormalLeft"/>
            </w:pPr>
            <w:r w:rsidRPr="00DE12A3">
              <w:t>95</w:t>
            </w:r>
          </w:p>
        </w:tc>
        <w:tc>
          <w:tcPr>
            <w:tcW w:w="2551" w:type="dxa"/>
            <w:tcBorders>
              <w:top w:val="single" w:sz="2" w:space="0" w:color="auto"/>
              <w:left w:val="single" w:sz="2" w:space="0" w:color="auto"/>
              <w:bottom w:val="single" w:sz="2" w:space="0" w:color="auto"/>
              <w:right w:val="single" w:sz="2" w:space="0" w:color="auto"/>
            </w:tcBorders>
          </w:tcPr>
          <w:p w14:paraId="1A0E1765" w14:textId="77777777" w:rsidR="009F4766" w:rsidRPr="00DE12A3" w:rsidRDefault="009F4766" w:rsidP="00C917D6">
            <w:pPr>
              <w:pStyle w:val="NormalLeft"/>
            </w:pPr>
            <w:r w:rsidRPr="00DE12A3">
              <w:t>8</w:t>
            </w:r>
          </w:p>
        </w:tc>
      </w:tr>
      <w:tr w:rsidR="00DE12A3" w:rsidRPr="00DE12A3" w14:paraId="17BDC808" w14:textId="77777777" w:rsidTr="009F4766">
        <w:tc>
          <w:tcPr>
            <w:tcW w:w="1182" w:type="dxa"/>
            <w:tcBorders>
              <w:top w:val="single" w:sz="2" w:space="0" w:color="auto"/>
              <w:left w:val="single" w:sz="2" w:space="0" w:color="auto"/>
              <w:bottom w:val="single" w:sz="2" w:space="0" w:color="auto"/>
              <w:right w:val="single" w:sz="2" w:space="0" w:color="auto"/>
            </w:tcBorders>
          </w:tcPr>
          <w:p w14:paraId="1B46ED10" w14:textId="77777777" w:rsidR="009F4766" w:rsidRPr="00DE12A3" w:rsidRDefault="009F4766" w:rsidP="00C917D6">
            <w:pPr>
              <w:pStyle w:val="NormalLeft"/>
            </w:pPr>
            <w:r w:rsidRPr="00DE12A3">
              <w:t>1197</w:t>
            </w:r>
          </w:p>
        </w:tc>
        <w:tc>
          <w:tcPr>
            <w:tcW w:w="2489" w:type="dxa"/>
            <w:tcBorders>
              <w:top w:val="single" w:sz="2" w:space="0" w:color="auto"/>
              <w:left w:val="single" w:sz="2" w:space="0" w:color="auto"/>
              <w:bottom w:val="single" w:sz="2" w:space="0" w:color="auto"/>
              <w:right w:val="single" w:sz="2" w:space="0" w:color="auto"/>
            </w:tcBorders>
          </w:tcPr>
          <w:p w14:paraId="0B013DE8" w14:textId="77777777" w:rsidR="009F4766" w:rsidRPr="00DE12A3" w:rsidRDefault="009F4766" w:rsidP="00C917D6">
            <w:pPr>
              <w:pStyle w:val="NormalLeft"/>
            </w:pPr>
            <w:r w:rsidRPr="00DE12A3">
              <w:t>96</w:t>
            </w:r>
          </w:p>
        </w:tc>
        <w:tc>
          <w:tcPr>
            <w:tcW w:w="2551" w:type="dxa"/>
            <w:tcBorders>
              <w:top w:val="single" w:sz="2" w:space="0" w:color="auto"/>
              <w:left w:val="single" w:sz="2" w:space="0" w:color="auto"/>
              <w:bottom w:val="single" w:sz="2" w:space="0" w:color="auto"/>
              <w:right w:val="single" w:sz="2" w:space="0" w:color="auto"/>
            </w:tcBorders>
          </w:tcPr>
          <w:p w14:paraId="49B09E82" w14:textId="77777777" w:rsidR="009F4766" w:rsidRPr="00DE12A3" w:rsidRDefault="009F4766" w:rsidP="00C917D6">
            <w:pPr>
              <w:pStyle w:val="NormalLeft"/>
            </w:pPr>
            <w:r w:rsidRPr="00DE12A3">
              <w:t>7</w:t>
            </w:r>
          </w:p>
        </w:tc>
      </w:tr>
      <w:tr w:rsidR="00DE12A3" w:rsidRPr="00DE12A3" w14:paraId="55CF697D" w14:textId="77777777" w:rsidTr="009F4766">
        <w:tc>
          <w:tcPr>
            <w:tcW w:w="1182" w:type="dxa"/>
            <w:tcBorders>
              <w:top w:val="single" w:sz="2" w:space="0" w:color="auto"/>
              <w:left w:val="single" w:sz="2" w:space="0" w:color="auto"/>
              <w:bottom w:val="single" w:sz="2" w:space="0" w:color="auto"/>
              <w:right w:val="single" w:sz="2" w:space="0" w:color="auto"/>
            </w:tcBorders>
          </w:tcPr>
          <w:p w14:paraId="66AF9679" w14:textId="77777777" w:rsidR="009F4766" w:rsidRPr="00DE12A3" w:rsidRDefault="009F4766" w:rsidP="00C917D6">
            <w:pPr>
              <w:pStyle w:val="NormalLeft"/>
            </w:pPr>
            <w:r w:rsidRPr="00DE12A3">
              <w:t>1198</w:t>
            </w:r>
          </w:p>
        </w:tc>
        <w:tc>
          <w:tcPr>
            <w:tcW w:w="2489" w:type="dxa"/>
            <w:tcBorders>
              <w:top w:val="single" w:sz="2" w:space="0" w:color="auto"/>
              <w:left w:val="single" w:sz="2" w:space="0" w:color="auto"/>
              <w:bottom w:val="single" w:sz="2" w:space="0" w:color="auto"/>
              <w:right w:val="single" w:sz="2" w:space="0" w:color="auto"/>
            </w:tcBorders>
          </w:tcPr>
          <w:p w14:paraId="792C894E" w14:textId="77777777" w:rsidR="009F4766" w:rsidRPr="00DE12A3" w:rsidRDefault="009F4766" w:rsidP="00C917D6">
            <w:pPr>
              <w:pStyle w:val="NormalLeft"/>
            </w:pPr>
            <w:r w:rsidRPr="00DE12A3">
              <w:t>94</w:t>
            </w:r>
          </w:p>
        </w:tc>
        <w:tc>
          <w:tcPr>
            <w:tcW w:w="2551" w:type="dxa"/>
            <w:tcBorders>
              <w:top w:val="single" w:sz="2" w:space="0" w:color="auto"/>
              <w:left w:val="single" w:sz="2" w:space="0" w:color="auto"/>
              <w:bottom w:val="single" w:sz="2" w:space="0" w:color="auto"/>
              <w:right w:val="single" w:sz="2" w:space="0" w:color="auto"/>
            </w:tcBorders>
          </w:tcPr>
          <w:p w14:paraId="3C9C5E03" w14:textId="77777777" w:rsidR="009F4766" w:rsidRPr="00DE12A3" w:rsidRDefault="009F4766" w:rsidP="00C917D6">
            <w:pPr>
              <w:pStyle w:val="NormalLeft"/>
            </w:pPr>
            <w:r w:rsidRPr="00DE12A3">
              <w:t>33</w:t>
            </w:r>
          </w:p>
        </w:tc>
      </w:tr>
      <w:tr w:rsidR="00DE12A3" w:rsidRPr="00DE12A3" w14:paraId="0784E4AA" w14:textId="77777777" w:rsidTr="009F4766">
        <w:tc>
          <w:tcPr>
            <w:tcW w:w="1182" w:type="dxa"/>
            <w:tcBorders>
              <w:top w:val="single" w:sz="2" w:space="0" w:color="auto"/>
              <w:left w:val="single" w:sz="2" w:space="0" w:color="auto"/>
              <w:bottom w:val="single" w:sz="2" w:space="0" w:color="auto"/>
              <w:right w:val="single" w:sz="2" w:space="0" w:color="auto"/>
            </w:tcBorders>
          </w:tcPr>
          <w:p w14:paraId="110EB66E" w14:textId="77777777" w:rsidR="009F4766" w:rsidRPr="00DE12A3" w:rsidRDefault="009F4766" w:rsidP="00C917D6">
            <w:pPr>
              <w:pStyle w:val="NormalLeft"/>
            </w:pPr>
            <w:r w:rsidRPr="00DE12A3">
              <w:t>1199</w:t>
            </w:r>
          </w:p>
        </w:tc>
        <w:tc>
          <w:tcPr>
            <w:tcW w:w="2489" w:type="dxa"/>
            <w:tcBorders>
              <w:top w:val="single" w:sz="2" w:space="0" w:color="auto"/>
              <w:left w:val="single" w:sz="2" w:space="0" w:color="auto"/>
              <w:bottom w:val="single" w:sz="2" w:space="0" w:color="auto"/>
              <w:right w:val="single" w:sz="2" w:space="0" w:color="auto"/>
            </w:tcBorders>
          </w:tcPr>
          <w:p w14:paraId="7C796184" w14:textId="77777777" w:rsidR="009F4766" w:rsidRPr="00DE12A3" w:rsidRDefault="009F4766" w:rsidP="00C917D6">
            <w:pPr>
              <w:pStyle w:val="NormalLeft"/>
            </w:pPr>
            <w:r w:rsidRPr="00DE12A3">
              <w:t>93</w:t>
            </w:r>
          </w:p>
        </w:tc>
        <w:tc>
          <w:tcPr>
            <w:tcW w:w="2551" w:type="dxa"/>
            <w:tcBorders>
              <w:top w:val="single" w:sz="2" w:space="0" w:color="auto"/>
              <w:left w:val="single" w:sz="2" w:space="0" w:color="auto"/>
              <w:bottom w:val="single" w:sz="2" w:space="0" w:color="auto"/>
              <w:right w:val="single" w:sz="2" w:space="0" w:color="auto"/>
            </w:tcBorders>
          </w:tcPr>
          <w:p w14:paraId="579EF0B3" w14:textId="77777777" w:rsidR="009F4766" w:rsidRPr="00DE12A3" w:rsidRDefault="009F4766" w:rsidP="00C917D6">
            <w:pPr>
              <w:pStyle w:val="NormalLeft"/>
            </w:pPr>
            <w:r w:rsidRPr="00DE12A3">
              <w:t>46</w:t>
            </w:r>
          </w:p>
        </w:tc>
      </w:tr>
      <w:tr w:rsidR="00DE12A3" w:rsidRPr="00DE12A3" w14:paraId="44C17051" w14:textId="77777777" w:rsidTr="009F4766">
        <w:tc>
          <w:tcPr>
            <w:tcW w:w="1182" w:type="dxa"/>
            <w:tcBorders>
              <w:top w:val="single" w:sz="2" w:space="0" w:color="auto"/>
              <w:left w:val="single" w:sz="2" w:space="0" w:color="auto"/>
              <w:bottom w:val="single" w:sz="2" w:space="0" w:color="auto"/>
              <w:right w:val="single" w:sz="2" w:space="0" w:color="auto"/>
            </w:tcBorders>
          </w:tcPr>
          <w:p w14:paraId="1044F4E0" w14:textId="77777777" w:rsidR="009F4766" w:rsidRPr="00DE12A3" w:rsidRDefault="009F4766" w:rsidP="00C917D6">
            <w:pPr>
              <w:pStyle w:val="NormalLeft"/>
            </w:pPr>
            <w:r w:rsidRPr="00DE12A3">
              <w:t>1200</w:t>
            </w:r>
          </w:p>
        </w:tc>
        <w:tc>
          <w:tcPr>
            <w:tcW w:w="2489" w:type="dxa"/>
            <w:tcBorders>
              <w:top w:val="single" w:sz="2" w:space="0" w:color="auto"/>
              <w:left w:val="single" w:sz="2" w:space="0" w:color="auto"/>
              <w:bottom w:val="single" w:sz="2" w:space="0" w:color="auto"/>
              <w:right w:val="single" w:sz="2" w:space="0" w:color="auto"/>
            </w:tcBorders>
          </w:tcPr>
          <w:p w14:paraId="4072E1CF" w14:textId="77777777" w:rsidR="009F4766" w:rsidRPr="00DE12A3" w:rsidRDefault="009F4766" w:rsidP="00C917D6">
            <w:pPr>
              <w:pStyle w:val="NormalLeft"/>
            </w:pPr>
            <w:r w:rsidRPr="00DE12A3">
              <w:t>93</w:t>
            </w:r>
          </w:p>
        </w:tc>
        <w:tc>
          <w:tcPr>
            <w:tcW w:w="2551" w:type="dxa"/>
            <w:tcBorders>
              <w:top w:val="single" w:sz="2" w:space="0" w:color="auto"/>
              <w:left w:val="single" w:sz="2" w:space="0" w:color="auto"/>
              <w:bottom w:val="single" w:sz="2" w:space="0" w:color="auto"/>
              <w:right w:val="single" w:sz="2" w:space="0" w:color="auto"/>
            </w:tcBorders>
          </w:tcPr>
          <w:p w14:paraId="124D9107" w14:textId="77777777" w:rsidR="009F4766" w:rsidRPr="00DE12A3" w:rsidRDefault="009F4766" w:rsidP="00C917D6">
            <w:pPr>
              <w:pStyle w:val="NormalLeft"/>
            </w:pPr>
            <w:r w:rsidRPr="00DE12A3">
              <w:t>37</w:t>
            </w:r>
          </w:p>
        </w:tc>
      </w:tr>
      <w:tr w:rsidR="00DE12A3" w:rsidRPr="00DE12A3" w14:paraId="53E05704" w14:textId="77777777" w:rsidTr="009F4766">
        <w:tc>
          <w:tcPr>
            <w:tcW w:w="1182" w:type="dxa"/>
            <w:tcBorders>
              <w:top w:val="single" w:sz="2" w:space="0" w:color="auto"/>
              <w:left w:val="single" w:sz="2" w:space="0" w:color="auto"/>
              <w:bottom w:val="single" w:sz="2" w:space="0" w:color="auto"/>
              <w:right w:val="single" w:sz="2" w:space="0" w:color="auto"/>
            </w:tcBorders>
          </w:tcPr>
          <w:p w14:paraId="4BFEA4CC" w14:textId="77777777" w:rsidR="009F4766" w:rsidRPr="00DE12A3" w:rsidRDefault="009F4766" w:rsidP="00C917D6">
            <w:pPr>
              <w:pStyle w:val="NormalLeft"/>
            </w:pPr>
            <w:r w:rsidRPr="00DE12A3">
              <w:t>1201</w:t>
            </w:r>
          </w:p>
        </w:tc>
        <w:tc>
          <w:tcPr>
            <w:tcW w:w="2489" w:type="dxa"/>
            <w:tcBorders>
              <w:top w:val="single" w:sz="2" w:space="0" w:color="auto"/>
              <w:left w:val="single" w:sz="2" w:space="0" w:color="auto"/>
              <w:bottom w:val="single" w:sz="2" w:space="0" w:color="auto"/>
              <w:right w:val="single" w:sz="2" w:space="0" w:color="auto"/>
            </w:tcBorders>
          </w:tcPr>
          <w:p w14:paraId="030509FE" w14:textId="77777777" w:rsidR="009F4766" w:rsidRPr="00DE12A3" w:rsidRDefault="009F4766" w:rsidP="00C917D6">
            <w:pPr>
              <w:pStyle w:val="NormalLeft"/>
            </w:pPr>
            <w:r w:rsidRPr="00DE12A3">
              <w:t>16</w:t>
            </w:r>
          </w:p>
        </w:tc>
        <w:tc>
          <w:tcPr>
            <w:tcW w:w="2551" w:type="dxa"/>
            <w:tcBorders>
              <w:top w:val="single" w:sz="2" w:space="0" w:color="auto"/>
              <w:left w:val="single" w:sz="2" w:space="0" w:color="auto"/>
              <w:bottom w:val="single" w:sz="2" w:space="0" w:color="auto"/>
              <w:right w:val="single" w:sz="2" w:space="0" w:color="auto"/>
            </w:tcBorders>
          </w:tcPr>
          <w:p w14:paraId="735D0D9E" w14:textId="77777777" w:rsidR="009F4766" w:rsidRPr="00DE12A3" w:rsidRDefault="009F4766" w:rsidP="00C917D6">
            <w:pPr>
              <w:pStyle w:val="NormalLeft"/>
            </w:pPr>
            <w:r w:rsidRPr="00DE12A3">
              <w:t>8</w:t>
            </w:r>
          </w:p>
        </w:tc>
      </w:tr>
      <w:tr w:rsidR="00DE12A3" w:rsidRPr="00DE12A3" w14:paraId="05E539ED" w14:textId="77777777" w:rsidTr="009F4766">
        <w:tc>
          <w:tcPr>
            <w:tcW w:w="1182" w:type="dxa"/>
            <w:tcBorders>
              <w:top w:val="single" w:sz="2" w:space="0" w:color="auto"/>
              <w:left w:val="single" w:sz="2" w:space="0" w:color="auto"/>
              <w:bottom w:val="single" w:sz="2" w:space="0" w:color="auto"/>
              <w:right w:val="single" w:sz="2" w:space="0" w:color="auto"/>
            </w:tcBorders>
          </w:tcPr>
          <w:p w14:paraId="60772585" w14:textId="77777777" w:rsidR="009F4766" w:rsidRPr="00DE12A3" w:rsidRDefault="009F4766" w:rsidP="00C917D6">
            <w:pPr>
              <w:pStyle w:val="NormalLeft"/>
            </w:pPr>
            <w:r w:rsidRPr="00DE12A3">
              <w:t>1202</w:t>
            </w:r>
          </w:p>
        </w:tc>
        <w:tc>
          <w:tcPr>
            <w:tcW w:w="2489" w:type="dxa"/>
            <w:tcBorders>
              <w:top w:val="single" w:sz="2" w:space="0" w:color="auto"/>
              <w:left w:val="single" w:sz="2" w:space="0" w:color="auto"/>
              <w:bottom w:val="single" w:sz="2" w:space="0" w:color="auto"/>
              <w:right w:val="single" w:sz="2" w:space="0" w:color="auto"/>
            </w:tcBorders>
          </w:tcPr>
          <w:p w14:paraId="55E73CD3" w14:textId="77777777" w:rsidR="009F4766" w:rsidRPr="00DE12A3" w:rsidRDefault="009F4766" w:rsidP="00C917D6">
            <w:pPr>
              <w:pStyle w:val="NormalLeft"/>
            </w:pPr>
            <w:r w:rsidRPr="00DE12A3">
              <w:t>0</w:t>
            </w:r>
          </w:p>
        </w:tc>
        <w:tc>
          <w:tcPr>
            <w:tcW w:w="2551" w:type="dxa"/>
            <w:tcBorders>
              <w:top w:val="single" w:sz="2" w:space="0" w:color="auto"/>
              <w:left w:val="single" w:sz="2" w:space="0" w:color="auto"/>
              <w:bottom w:val="single" w:sz="2" w:space="0" w:color="auto"/>
              <w:right w:val="single" w:sz="2" w:space="0" w:color="auto"/>
            </w:tcBorders>
          </w:tcPr>
          <w:p w14:paraId="23155EDE" w14:textId="77777777" w:rsidR="009F4766" w:rsidRPr="00DE12A3" w:rsidRDefault="009F4766" w:rsidP="00C917D6">
            <w:pPr>
              <w:pStyle w:val="NormalLeft"/>
            </w:pPr>
            <w:r w:rsidRPr="00DE12A3">
              <w:t>0</w:t>
            </w:r>
          </w:p>
        </w:tc>
      </w:tr>
      <w:tr w:rsidR="00DE12A3" w:rsidRPr="00DE12A3" w14:paraId="0E98E4B9" w14:textId="77777777" w:rsidTr="009F4766">
        <w:tc>
          <w:tcPr>
            <w:tcW w:w="1182" w:type="dxa"/>
            <w:tcBorders>
              <w:top w:val="single" w:sz="2" w:space="0" w:color="auto"/>
              <w:left w:val="single" w:sz="2" w:space="0" w:color="auto"/>
              <w:bottom w:val="single" w:sz="2" w:space="0" w:color="auto"/>
              <w:right w:val="single" w:sz="2" w:space="0" w:color="auto"/>
            </w:tcBorders>
          </w:tcPr>
          <w:p w14:paraId="45EBF351" w14:textId="77777777" w:rsidR="009F4766" w:rsidRPr="00DE12A3" w:rsidRDefault="009F4766" w:rsidP="00C917D6">
            <w:pPr>
              <w:pStyle w:val="NormalLeft"/>
            </w:pPr>
            <w:r w:rsidRPr="00DE12A3">
              <w:lastRenderedPageBreak/>
              <w:t>1203</w:t>
            </w:r>
          </w:p>
        </w:tc>
        <w:tc>
          <w:tcPr>
            <w:tcW w:w="2489" w:type="dxa"/>
            <w:tcBorders>
              <w:top w:val="single" w:sz="2" w:space="0" w:color="auto"/>
              <w:left w:val="single" w:sz="2" w:space="0" w:color="auto"/>
              <w:bottom w:val="single" w:sz="2" w:space="0" w:color="auto"/>
              <w:right w:val="single" w:sz="2" w:space="0" w:color="auto"/>
            </w:tcBorders>
          </w:tcPr>
          <w:p w14:paraId="07E24970" w14:textId="77777777" w:rsidR="009F4766" w:rsidRPr="00DE12A3" w:rsidRDefault="009F4766" w:rsidP="00C917D6">
            <w:pPr>
              <w:pStyle w:val="NormalLeft"/>
            </w:pPr>
            <w:r w:rsidRPr="00DE12A3">
              <w:t>0</w:t>
            </w:r>
          </w:p>
        </w:tc>
        <w:tc>
          <w:tcPr>
            <w:tcW w:w="2551" w:type="dxa"/>
            <w:tcBorders>
              <w:top w:val="single" w:sz="2" w:space="0" w:color="auto"/>
              <w:left w:val="single" w:sz="2" w:space="0" w:color="auto"/>
              <w:bottom w:val="single" w:sz="2" w:space="0" w:color="auto"/>
              <w:right w:val="single" w:sz="2" w:space="0" w:color="auto"/>
            </w:tcBorders>
          </w:tcPr>
          <w:p w14:paraId="0F280D74" w14:textId="77777777" w:rsidR="009F4766" w:rsidRPr="00DE12A3" w:rsidRDefault="009F4766" w:rsidP="00C917D6">
            <w:pPr>
              <w:pStyle w:val="NormalLeft"/>
            </w:pPr>
            <w:r w:rsidRPr="00DE12A3">
              <w:t>0</w:t>
            </w:r>
          </w:p>
        </w:tc>
      </w:tr>
      <w:tr w:rsidR="00DE12A3" w:rsidRPr="00DE12A3" w14:paraId="1C4EBD9F" w14:textId="77777777" w:rsidTr="009F4766">
        <w:tc>
          <w:tcPr>
            <w:tcW w:w="1182" w:type="dxa"/>
            <w:tcBorders>
              <w:top w:val="single" w:sz="2" w:space="0" w:color="auto"/>
              <w:left w:val="single" w:sz="2" w:space="0" w:color="auto"/>
              <w:bottom w:val="single" w:sz="2" w:space="0" w:color="auto"/>
              <w:right w:val="single" w:sz="2" w:space="0" w:color="auto"/>
            </w:tcBorders>
          </w:tcPr>
          <w:p w14:paraId="1A8B4EEC" w14:textId="77777777" w:rsidR="009F4766" w:rsidRPr="00DE12A3" w:rsidRDefault="009F4766" w:rsidP="00C917D6">
            <w:pPr>
              <w:pStyle w:val="NormalLeft"/>
            </w:pPr>
            <w:r w:rsidRPr="00DE12A3">
              <w:t>1204</w:t>
            </w:r>
          </w:p>
        </w:tc>
        <w:tc>
          <w:tcPr>
            <w:tcW w:w="2489" w:type="dxa"/>
            <w:tcBorders>
              <w:top w:val="single" w:sz="2" w:space="0" w:color="auto"/>
              <w:left w:val="single" w:sz="2" w:space="0" w:color="auto"/>
              <w:bottom w:val="single" w:sz="2" w:space="0" w:color="auto"/>
              <w:right w:val="single" w:sz="2" w:space="0" w:color="auto"/>
            </w:tcBorders>
          </w:tcPr>
          <w:p w14:paraId="6D5F72AC" w14:textId="77777777" w:rsidR="009F4766" w:rsidRPr="00DE12A3" w:rsidRDefault="009F4766" w:rsidP="00C917D6">
            <w:pPr>
              <w:pStyle w:val="NormalLeft"/>
            </w:pPr>
            <w:r w:rsidRPr="00DE12A3">
              <w:t>0</w:t>
            </w:r>
          </w:p>
        </w:tc>
        <w:tc>
          <w:tcPr>
            <w:tcW w:w="2551" w:type="dxa"/>
            <w:tcBorders>
              <w:top w:val="single" w:sz="2" w:space="0" w:color="auto"/>
              <w:left w:val="single" w:sz="2" w:space="0" w:color="auto"/>
              <w:bottom w:val="single" w:sz="2" w:space="0" w:color="auto"/>
              <w:right w:val="single" w:sz="2" w:space="0" w:color="auto"/>
            </w:tcBorders>
          </w:tcPr>
          <w:p w14:paraId="01BF2082" w14:textId="77777777" w:rsidR="009F4766" w:rsidRPr="00DE12A3" w:rsidRDefault="009F4766" w:rsidP="00C917D6">
            <w:pPr>
              <w:pStyle w:val="NormalLeft"/>
            </w:pPr>
            <w:r w:rsidRPr="00DE12A3">
              <w:t>0</w:t>
            </w:r>
          </w:p>
        </w:tc>
      </w:tr>
      <w:tr w:rsidR="00DE12A3" w:rsidRPr="00DE12A3" w14:paraId="5986A7F4" w14:textId="77777777" w:rsidTr="009F4766">
        <w:tc>
          <w:tcPr>
            <w:tcW w:w="1182" w:type="dxa"/>
            <w:tcBorders>
              <w:top w:val="single" w:sz="2" w:space="0" w:color="auto"/>
              <w:left w:val="single" w:sz="2" w:space="0" w:color="auto"/>
              <w:bottom w:val="single" w:sz="2" w:space="0" w:color="auto"/>
              <w:right w:val="single" w:sz="2" w:space="0" w:color="auto"/>
            </w:tcBorders>
          </w:tcPr>
          <w:p w14:paraId="13CD3E8E" w14:textId="77777777" w:rsidR="009F4766" w:rsidRPr="00DE12A3" w:rsidRDefault="009F4766" w:rsidP="00C917D6">
            <w:pPr>
              <w:pStyle w:val="NormalLeft"/>
            </w:pPr>
            <w:r w:rsidRPr="00DE12A3">
              <w:t>1205</w:t>
            </w:r>
          </w:p>
        </w:tc>
        <w:tc>
          <w:tcPr>
            <w:tcW w:w="2489" w:type="dxa"/>
            <w:tcBorders>
              <w:top w:val="single" w:sz="2" w:space="0" w:color="auto"/>
              <w:left w:val="single" w:sz="2" w:space="0" w:color="auto"/>
              <w:bottom w:val="single" w:sz="2" w:space="0" w:color="auto"/>
              <w:right w:val="single" w:sz="2" w:space="0" w:color="auto"/>
            </w:tcBorders>
          </w:tcPr>
          <w:p w14:paraId="43E58422" w14:textId="77777777" w:rsidR="009F4766" w:rsidRPr="00DE12A3" w:rsidRDefault="009F4766" w:rsidP="00C917D6">
            <w:pPr>
              <w:pStyle w:val="NormalLeft"/>
            </w:pPr>
            <w:r w:rsidRPr="00DE12A3">
              <w:t>0</w:t>
            </w:r>
          </w:p>
        </w:tc>
        <w:tc>
          <w:tcPr>
            <w:tcW w:w="2551" w:type="dxa"/>
            <w:tcBorders>
              <w:top w:val="single" w:sz="2" w:space="0" w:color="auto"/>
              <w:left w:val="single" w:sz="2" w:space="0" w:color="auto"/>
              <w:bottom w:val="single" w:sz="2" w:space="0" w:color="auto"/>
              <w:right w:val="single" w:sz="2" w:space="0" w:color="auto"/>
            </w:tcBorders>
          </w:tcPr>
          <w:p w14:paraId="570AEF2E" w14:textId="77777777" w:rsidR="009F4766" w:rsidRPr="00DE12A3" w:rsidRDefault="009F4766" w:rsidP="00C917D6">
            <w:pPr>
              <w:pStyle w:val="NormalLeft"/>
            </w:pPr>
            <w:r w:rsidRPr="00DE12A3">
              <w:t>0</w:t>
            </w:r>
          </w:p>
        </w:tc>
      </w:tr>
      <w:tr w:rsidR="00DE12A3" w:rsidRPr="00DE12A3" w14:paraId="49BC6924" w14:textId="77777777" w:rsidTr="009F4766">
        <w:tc>
          <w:tcPr>
            <w:tcW w:w="1182" w:type="dxa"/>
            <w:tcBorders>
              <w:top w:val="single" w:sz="2" w:space="0" w:color="auto"/>
              <w:left w:val="single" w:sz="2" w:space="0" w:color="auto"/>
              <w:bottom w:val="single" w:sz="2" w:space="0" w:color="auto"/>
              <w:right w:val="single" w:sz="2" w:space="0" w:color="auto"/>
            </w:tcBorders>
          </w:tcPr>
          <w:p w14:paraId="1DE6193A" w14:textId="77777777" w:rsidR="009F4766" w:rsidRPr="00DE12A3" w:rsidRDefault="009F4766" w:rsidP="00C917D6">
            <w:pPr>
              <w:pStyle w:val="NormalLeft"/>
            </w:pPr>
            <w:r w:rsidRPr="00DE12A3">
              <w:t>1206</w:t>
            </w:r>
          </w:p>
        </w:tc>
        <w:tc>
          <w:tcPr>
            <w:tcW w:w="2489" w:type="dxa"/>
            <w:tcBorders>
              <w:top w:val="single" w:sz="2" w:space="0" w:color="auto"/>
              <w:left w:val="single" w:sz="2" w:space="0" w:color="auto"/>
              <w:bottom w:val="single" w:sz="2" w:space="0" w:color="auto"/>
              <w:right w:val="single" w:sz="2" w:space="0" w:color="auto"/>
            </w:tcBorders>
          </w:tcPr>
          <w:p w14:paraId="1F629AE4" w14:textId="77777777" w:rsidR="009F4766" w:rsidRPr="00DE12A3" w:rsidRDefault="009F4766" w:rsidP="00C917D6">
            <w:pPr>
              <w:pStyle w:val="NormalLeft"/>
            </w:pPr>
            <w:r w:rsidRPr="00DE12A3">
              <w:t>0</w:t>
            </w:r>
          </w:p>
        </w:tc>
        <w:tc>
          <w:tcPr>
            <w:tcW w:w="2551" w:type="dxa"/>
            <w:tcBorders>
              <w:top w:val="single" w:sz="2" w:space="0" w:color="auto"/>
              <w:left w:val="single" w:sz="2" w:space="0" w:color="auto"/>
              <w:bottom w:val="single" w:sz="2" w:space="0" w:color="auto"/>
              <w:right w:val="single" w:sz="2" w:space="0" w:color="auto"/>
            </w:tcBorders>
          </w:tcPr>
          <w:p w14:paraId="24DCE7FC" w14:textId="77777777" w:rsidR="009F4766" w:rsidRPr="00DE12A3" w:rsidRDefault="009F4766" w:rsidP="00C917D6">
            <w:pPr>
              <w:pStyle w:val="NormalLeft"/>
            </w:pPr>
            <w:r w:rsidRPr="00DE12A3">
              <w:t>0</w:t>
            </w:r>
          </w:p>
        </w:tc>
      </w:tr>
      <w:tr w:rsidR="00DE12A3" w:rsidRPr="00DE12A3" w14:paraId="6800ABB9" w14:textId="77777777" w:rsidTr="009F4766">
        <w:tc>
          <w:tcPr>
            <w:tcW w:w="1182" w:type="dxa"/>
            <w:tcBorders>
              <w:top w:val="single" w:sz="2" w:space="0" w:color="auto"/>
              <w:left w:val="single" w:sz="2" w:space="0" w:color="auto"/>
              <w:bottom w:val="single" w:sz="2" w:space="0" w:color="auto"/>
              <w:right w:val="single" w:sz="2" w:space="0" w:color="auto"/>
            </w:tcBorders>
          </w:tcPr>
          <w:p w14:paraId="5C1A6590" w14:textId="77777777" w:rsidR="009F4766" w:rsidRPr="00DE12A3" w:rsidRDefault="009F4766" w:rsidP="00C917D6">
            <w:pPr>
              <w:pStyle w:val="NormalLeft"/>
            </w:pPr>
            <w:r w:rsidRPr="00DE12A3">
              <w:t>1207</w:t>
            </w:r>
          </w:p>
        </w:tc>
        <w:tc>
          <w:tcPr>
            <w:tcW w:w="2489" w:type="dxa"/>
            <w:tcBorders>
              <w:top w:val="single" w:sz="2" w:space="0" w:color="auto"/>
              <w:left w:val="single" w:sz="2" w:space="0" w:color="auto"/>
              <w:bottom w:val="single" w:sz="2" w:space="0" w:color="auto"/>
              <w:right w:val="single" w:sz="2" w:space="0" w:color="auto"/>
            </w:tcBorders>
          </w:tcPr>
          <w:p w14:paraId="7BB73D32" w14:textId="77777777" w:rsidR="009F4766" w:rsidRPr="00DE12A3" w:rsidRDefault="009F4766" w:rsidP="00C917D6">
            <w:pPr>
              <w:pStyle w:val="NormalLeft"/>
            </w:pPr>
            <w:r w:rsidRPr="00DE12A3">
              <w:t>0</w:t>
            </w:r>
          </w:p>
        </w:tc>
        <w:tc>
          <w:tcPr>
            <w:tcW w:w="2551" w:type="dxa"/>
            <w:tcBorders>
              <w:top w:val="single" w:sz="2" w:space="0" w:color="auto"/>
              <w:left w:val="single" w:sz="2" w:space="0" w:color="auto"/>
              <w:bottom w:val="single" w:sz="2" w:space="0" w:color="auto"/>
              <w:right w:val="single" w:sz="2" w:space="0" w:color="auto"/>
            </w:tcBorders>
          </w:tcPr>
          <w:p w14:paraId="3FB398FB" w14:textId="77777777" w:rsidR="009F4766" w:rsidRPr="00DE12A3" w:rsidRDefault="009F4766" w:rsidP="00C917D6">
            <w:pPr>
              <w:pStyle w:val="NormalLeft"/>
            </w:pPr>
            <w:r w:rsidRPr="00DE12A3">
              <w:t>0</w:t>
            </w:r>
          </w:p>
        </w:tc>
      </w:tr>
      <w:tr w:rsidR="00DE12A3" w:rsidRPr="00DE12A3" w14:paraId="1F6C783C" w14:textId="77777777" w:rsidTr="009F4766">
        <w:tc>
          <w:tcPr>
            <w:tcW w:w="1182" w:type="dxa"/>
            <w:tcBorders>
              <w:top w:val="single" w:sz="2" w:space="0" w:color="auto"/>
              <w:left w:val="single" w:sz="2" w:space="0" w:color="auto"/>
              <w:bottom w:val="single" w:sz="2" w:space="0" w:color="auto"/>
              <w:right w:val="single" w:sz="2" w:space="0" w:color="auto"/>
            </w:tcBorders>
          </w:tcPr>
          <w:p w14:paraId="7CC8D08A" w14:textId="77777777" w:rsidR="009F4766" w:rsidRPr="00DE12A3" w:rsidRDefault="009F4766" w:rsidP="00C917D6">
            <w:pPr>
              <w:pStyle w:val="NormalLeft"/>
            </w:pPr>
            <w:r w:rsidRPr="00DE12A3">
              <w:t>1208</w:t>
            </w:r>
          </w:p>
        </w:tc>
        <w:tc>
          <w:tcPr>
            <w:tcW w:w="2489" w:type="dxa"/>
            <w:tcBorders>
              <w:top w:val="single" w:sz="2" w:space="0" w:color="auto"/>
              <w:left w:val="single" w:sz="2" w:space="0" w:color="auto"/>
              <w:bottom w:val="single" w:sz="2" w:space="0" w:color="auto"/>
              <w:right w:val="single" w:sz="2" w:space="0" w:color="auto"/>
            </w:tcBorders>
          </w:tcPr>
          <w:p w14:paraId="3EF53365" w14:textId="77777777" w:rsidR="009F4766" w:rsidRPr="00DE12A3" w:rsidRDefault="009F4766" w:rsidP="00C917D6">
            <w:pPr>
              <w:pStyle w:val="NormalLeft"/>
            </w:pPr>
            <w:r w:rsidRPr="00DE12A3">
              <w:t>0</w:t>
            </w:r>
          </w:p>
        </w:tc>
        <w:tc>
          <w:tcPr>
            <w:tcW w:w="2551" w:type="dxa"/>
            <w:tcBorders>
              <w:top w:val="single" w:sz="2" w:space="0" w:color="auto"/>
              <w:left w:val="single" w:sz="2" w:space="0" w:color="auto"/>
              <w:bottom w:val="single" w:sz="2" w:space="0" w:color="auto"/>
              <w:right w:val="single" w:sz="2" w:space="0" w:color="auto"/>
            </w:tcBorders>
          </w:tcPr>
          <w:p w14:paraId="5FC18DDE" w14:textId="77777777" w:rsidR="009F4766" w:rsidRPr="00DE12A3" w:rsidRDefault="009F4766" w:rsidP="00C917D6">
            <w:pPr>
              <w:pStyle w:val="NormalLeft"/>
            </w:pPr>
            <w:r w:rsidRPr="00DE12A3">
              <w:t>0</w:t>
            </w:r>
          </w:p>
        </w:tc>
      </w:tr>
      <w:tr w:rsidR="009F4766" w:rsidRPr="00DE12A3" w14:paraId="15AAAB14" w14:textId="77777777" w:rsidTr="009F4766">
        <w:tc>
          <w:tcPr>
            <w:tcW w:w="1182" w:type="dxa"/>
            <w:tcBorders>
              <w:top w:val="single" w:sz="2" w:space="0" w:color="auto"/>
              <w:left w:val="single" w:sz="2" w:space="0" w:color="auto"/>
              <w:bottom w:val="single" w:sz="2" w:space="0" w:color="auto"/>
              <w:right w:val="single" w:sz="2" w:space="0" w:color="auto"/>
            </w:tcBorders>
          </w:tcPr>
          <w:p w14:paraId="1F4D4F92" w14:textId="77777777" w:rsidR="009F4766" w:rsidRPr="00DE12A3" w:rsidRDefault="009F4766" w:rsidP="00C917D6">
            <w:pPr>
              <w:pStyle w:val="NormalLeft"/>
            </w:pPr>
            <w:r w:rsidRPr="00DE12A3">
              <w:t>1209</w:t>
            </w:r>
          </w:p>
        </w:tc>
        <w:tc>
          <w:tcPr>
            <w:tcW w:w="2489" w:type="dxa"/>
            <w:tcBorders>
              <w:top w:val="single" w:sz="2" w:space="0" w:color="auto"/>
              <w:left w:val="single" w:sz="2" w:space="0" w:color="auto"/>
              <w:bottom w:val="single" w:sz="2" w:space="0" w:color="auto"/>
              <w:right w:val="single" w:sz="2" w:space="0" w:color="auto"/>
            </w:tcBorders>
          </w:tcPr>
          <w:p w14:paraId="73F2493C" w14:textId="77777777" w:rsidR="009F4766" w:rsidRPr="00DE12A3" w:rsidRDefault="009F4766" w:rsidP="00C917D6">
            <w:pPr>
              <w:pStyle w:val="NormalLeft"/>
            </w:pPr>
            <w:r w:rsidRPr="00DE12A3">
              <w:t>0</w:t>
            </w:r>
          </w:p>
        </w:tc>
        <w:tc>
          <w:tcPr>
            <w:tcW w:w="2551" w:type="dxa"/>
            <w:tcBorders>
              <w:top w:val="single" w:sz="2" w:space="0" w:color="auto"/>
              <w:left w:val="single" w:sz="2" w:space="0" w:color="auto"/>
              <w:bottom w:val="single" w:sz="2" w:space="0" w:color="auto"/>
              <w:right w:val="single" w:sz="2" w:space="0" w:color="auto"/>
            </w:tcBorders>
          </w:tcPr>
          <w:p w14:paraId="30F081A7" w14:textId="77777777" w:rsidR="009F4766" w:rsidRPr="00DE12A3" w:rsidRDefault="009F4766" w:rsidP="00C917D6">
            <w:pPr>
              <w:pStyle w:val="NormalLeft"/>
            </w:pPr>
            <w:r w:rsidRPr="00DE12A3">
              <w:t>0</w:t>
            </w:r>
          </w:p>
        </w:tc>
      </w:tr>
    </w:tbl>
    <w:p w14:paraId="4F71D5B6" w14:textId="77777777" w:rsidR="009F4766" w:rsidRPr="00DE12A3" w:rsidRDefault="009F4766" w:rsidP="00C917D6">
      <w:pPr>
        <w:spacing w:before="120" w:after="120"/>
        <w:rPr>
          <w:rFonts w:cs="Times New Roman"/>
          <w:color w:val="auto"/>
        </w:rPr>
      </w:pPr>
    </w:p>
    <w:p w14:paraId="5D2090D7" w14:textId="77777777" w:rsidR="00BF033D" w:rsidRPr="00DE12A3" w:rsidRDefault="00BF033D" w:rsidP="00C917D6">
      <w:pPr>
        <w:adjustRightInd w:val="0"/>
        <w:spacing w:before="120" w:after="120"/>
        <w:rPr>
          <w:rFonts w:cs="Times New Roman"/>
          <w:color w:val="auto"/>
          <w:lang w:eastAsia="en-US"/>
        </w:rPr>
      </w:pPr>
    </w:p>
    <w:sectPr w:rsidR="00BF033D" w:rsidRPr="00DE12A3">
      <w:pgSz w:w="12240" w:h="15840"/>
      <w:pgMar w:top="1417" w:right="1417" w:bottom="1417" w:left="1417" w:header="708" w:footer="708" w:gutter="0"/>
      <w:cols w:space="708"/>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046A6DA7" w16cid:durableId="255090B6"/>
  <w16cid:commentId w16cid:paraId="346BB471" w16cid:durableId="2550911D"/>
  <w16cid:commentId w16cid:paraId="6E60A970" w16cid:durableId="255090B7"/>
  <w16cid:commentId w16cid:paraId="57D1C464" w16cid:durableId="25509155"/>
  <w16cid:commentId w16cid:paraId="4F7C361A" w16cid:durableId="25509190"/>
  <w16cid:commentId w16cid:paraId="26707662" w16cid:durableId="255090B8"/>
  <w16cid:commentId w16cid:paraId="061027DC" w16cid:durableId="255091D6"/>
  <w16cid:commentId w16cid:paraId="3700F132" w16cid:durableId="255090B9"/>
  <w16cid:commentId w16cid:paraId="5C36CB33" w16cid:durableId="25509259"/>
  <w16cid:commentId w16cid:paraId="7247565F" w16cid:durableId="255090BA"/>
  <w16cid:commentId w16cid:paraId="201F4ED3" w16cid:durableId="255090BB"/>
  <w16cid:commentId w16cid:paraId="49A996F0" w16cid:durableId="255093A1"/>
  <w16cid:commentId w16cid:paraId="67906300" w16cid:durableId="255093F9"/>
  <w16cid:commentId w16cid:paraId="0DC0EB6E" w16cid:durableId="2550943E"/>
  <w16cid:commentId w16cid:paraId="19AFF9C3" w16cid:durableId="255090BE"/>
  <w16cid:commentId w16cid:paraId="5DE9A8B4" w16cid:durableId="253F4BC0"/>
  <w16cid:commentId w16cid:paraId="259DA504" w16cid:durableId="255090C0"/>
  <w16cid:commentId w16cid:paraId="115ECCFD" w16cid:durableId="25509475"/>
  <w16cid:commentId w16cid:paraId="21E41CB2" w16cid:durableId="25509553"/>
  <w16cid:commentId w16cid:paraId="1FB20394" w16cid:durableId="25509560"/>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5B83AFE" w14:textId="77777777" w:rsidR="007D72B7" w:rsidRDefault="007D72B7">
      <w:r>
        <w:separator/>
      </w:r>
    </w:p>
  </w:endnote>
  <w:endnote w:type="continuationSeparator" w:id="0">
    <w:p w14:paraId="124DB001" w14:textId="77777777" w:rsidR="007D72B7" w:rsidRDefault="007D72B7">
      <w:r>
        <w:continuationSeparator/>
      </w:r>
    </w:p>
  </w:endnote>
  <w:endnote w:id="1">
    <w:p w14:paraId="3A917CAE" w14:textId="476F263A" w:rsidR="00381FB4" w:rsidRDefault="00381FB4" w:rsidP="00136F2B">
      <w:pPr>
        <w:pStyle w:val="SonnotMetni"/>
        <w:jc w:val="both"/>
        <w:rPr>
          <w:rFonts w:cs="Times New Roman"/>
        </w:rPr>
      </w:pPr>
      <w:r>
        <w:rPr>
          <w:rStyle w:val="SonnotBavurusu"/>
        </w:rPr>
        <w:endnoteRef/>
      </w:r>
      <w:r>
        <w:t xml:space="preserve"> </w:t>
      </w:r>
      <w:r w:rsidRPr="00136F2B">
        <w:rPr>
          <w:rFonts w:cs="Times New Roman"/>
        </w:rPr>
        <w:t xml:space="preserve">Motorlu taşıtların ve römorklarının ve bu taşıtlara yönelik sistemlerin, bileşenlerin ve ayrı teknik ünitelerin onaylanması için bir çerçeve oluşturan </w:t>
      </w:r>
      <w:r>
        <w:rPr>
          <w:rFonts w:cs="Times New Roman"/>
        </w:rPr>
        <w:t xml:space="preserve">28/6/2009tarihli ve 27272 sayılı </w:t>
      </w:r>
      <w:r w:rsidRPr="0003150C">
        <w:rPr>
          <w:rFonts w:cs="Times New Roman"/>
        </w:rPr>
        <w:t>Resm</w:t>
      </w:r>
      <w:r w:rsidRPr="009849CC">
        <w:rPr>
          <w:rFonts w:cs="Times New Roman"/>
          <w:iCs/>
          <w:color w:val="212529"/>
          <w:sz w:val="19"/>
          <w:szCs w:val="19"/>
          <w:shd w:val="clear" w:color="auto" w:fill="FFFFFF"/>
        </w:rPr>
        <w:t>î</w:t>
      </w:r>
      <w:r w:rsidRPr="009849CC">
        <w:rPr>
          <w:rFonts w:cs="Times New Roman"/>
          <w:i/>
          <w:iCs/>
          <w:color w:val="212529"/>
          <w:sz w:val="19"/>
          <w:szCs w:val="19"/>
          <w:shd w:val="clear" w:color="auto" w:fill="FFFFFF"/>
        </w:rPr>
        <w:t> </w:t>
      </w:r>
      <w:r w:rsidRPr="0003150C">
        <w:rPr>
          <w:rFonts w:cs="Times New Roman"/>
        </w:rPr>
        <w:t xml:space="preserve"> </w:t>
      </w:r>
      <w:r w:rsidRPr="00BB33FF">
        <w:rPr>
          <w:rFonts w:cs="Times New Roman"/>
        </w:rPr>
        <w:t>Gazete’</w:t>
      </w:r>
      <w:r w:rsidRPr="0003150C">
        <w:rPr>
          <w:rFonts w:cs="Times New Roman"/>
        </w:rPr>
        <w:t>de</w:t>
      </w:r>
      <w:r>
        <w:rPr>
          <w:rFonts w:cs="Times New Roman"/>
        </w:rPr>
        <w:t xml:space="preserve"> yayımlanan </w:t>
      </w:r>
      <w:r w:rsidRPr="00136F2B">
        <w:rPr>
          <w:rFonts w:cs="Times New Roman"/>
        </w:rPr>
        <w:t xml:space="preserve">2007/46/AT </w:t>
      </w:r>
      <w:r>
        <w:rPr>
          <w:rFonts w:cs="Times New Roman"/>
        </w:rPr>
        <w:t>Yönetmeliği</w:t>
      </w:r>
      <w:r w:rsidRPr="00136F2B">
        <w:rPr>
          <w:rFonts w:cs="Times New Roman"/>
        </w:rPr>
        <w:t>.</w:t>
      </w:r>
    </w:p>
    <w:p w14:paraId="7A68F8AC" w14:textId="77777777" w:rsidR="00381FB4" w:rsidRPr="00136F2B" w:rsidRDefault="00381FB4" w:rsidP="00136F2B">
      <w:pPr>
        <w:pStyle w:val="SonnotMetni"/>
        <w:jc w:val="both"/>
        <w:rPr>
          <w:rFonts w:cs="Times New Roman"/>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A2"/>
    <w:family w:val="swiss"/>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Calibri">
    <w:panose1 w:val="020F0502020204030204"/>
    <w:charset w:val="A2"/>
    <w:family w:val="swiss"/>
    <w:pitch w:val="variable"/>
    <w:sig w:usb0="E0002AFF" w:usb1="C000247B" w:usb2="00000009" w:usb3="00000000" w:csb0="000001FF" w:csb1="00000000"/>
  </w:font>
  <w:font w:name="Sylfaen">
    <w:panose1 w:val="010A0502050306030303"/>
    <w:charset w:val="A2"/>
    <w:family w:val="roman"/>
    <w:pitch w:val="variable"/>
    <w:sig w:usb0="04000687" w:usb1="00000000" w:usb2="00000000" w:usb3="00000000" w:csb0="0000009F" w:csb1="00000000"/>
  </w:font>
  <w:font w:name="Segoe UI">
    <w:panose1 w:val="020B0502040204020203"/>
    <w:charset w:val="A2"/>
    <w:family w:val="swiss"/>
    <w:pitch w:val="variable"/>
    <w:sig w:usb0="E4002EFF" w:usb1="C000E47F" w:usb2="00000009" w:usb3="00000000" w:csb0="000001FF" w:csb1="00000000"/>
  </w:font>
  <w:font w:name="TimesNewRomanPSMT">
    <w:altName w:val="Times New Roman"/>
    <w:charset w:val="00"/>
    <w:family w:val="roman"/>
    <w:pitch w:val="default"/>
  </w:font>
  <w:font w:name="TimesNewRomanPS-ItalicMT">
    <w:altName w:val="Times New Roman"/>
    <w:charset w:val="00"/>
    <w:family w:val="roman"/>
    <w:pitch w:val="default"/>
  </w:font>
  <w:font w:name="Constantia">
    <w:panose1 w:val="02030602050306030303"/>
    <w:charset w:val="A2"/>
    <w:family w:val="roman"/>
    <w:pitch w:val="variable"/>
    <w:sig w:usb0="A00002EF" w:usb1="4000204B" w:usb2="00000000" w:usb3="00000000" w:csb0="0000019F" w:csb1="00000000"/>
  </w:font>
  <w:font w:name="Candara">
    <w:panose1 w:val="020E0502030303020204"/>
    <w:charset w:val="A2"/>
    <w:family w:val="swiss"/>
    <w:pitch w:val="variable"/>
    <w:sig w:usb0="A00002EF" w:usb1="4000A44B" w:usb2="00000000" w:usb3="00000000" w:csb0="0000019F" w:csb1="00000000"/>
  </w:font>
  <w:font w:name="Microsoft Sans Serif">
    <w:panose1 w:val="020B0604020202020204"/>
    <w:charset w:val="A2"/>
    <w:family w:val="swiss"/>
    <w:pitch w:val="variable"/>
    <w:sig w:usb0="E5002EFF" w:usb1="C000605B" w:usb2="00000029" w:usb3="00000000" w:csb0="000101FF" w:csb1="00000000"/>
  </w:font>
  <w:font w:name="Impact">
    <w:panose1 w:val="020B0806030902050204"/>
    <w:charset w:val="A2"/>
    <w:family w:val="swiss"/>
    <w:pitch w:val="variable"/>
    <w:sig w:usb0="00000287" w:usb1="00000000" w:usb2="00000000" w:usb3="00000000" w:csb0="0000009F" w:csb1="00000000"/>
  </w:font>
  <w:font w:name="Palatino Linotype">
    <w:panose1 w:val="02040502050505030304"/>
    <w:charset w:val="A2"/>
    <w:family w:val="roman"/>
    <w:pitch w:val="variable"/>
    <w:sig w:usb0="E0000287" w:usb1="40000013" w:usb2="00000000" w:usb3="00000000" w:csb0="0000019F" w:csb1="00000000"/>
  </w:font>
  <w:font w:name="Malgun Gothic">
    <w:panose1 w:val="020B0503020000020004"/>
    <w:charset w:val="81"/>
    <w:family w:val="swiss"/>
    <w:pitch w:val="variable"/>
    <w:sig w:usb0="9000002F" w:usb1="29D77CFB" w:usb2="00000012" w:usb3="00000000" w:csb0="00080001" w:csb1="00000000"/>
  </w:font>
  <w:font w:name="Franklin Gothic Book">
    <w:panose1 w:val="020B0503020102020204"/>
    <w:charset w:val="A2"/>
    <w:family w:val="swiss"/>
    <w:pitch w:val="variable"/>
    <w:sig w:usb0="00000287" w:usb1="00000000" w:usb2="00000000" w:usb3="00000000" w:csb0="0000009F" w:csb1="00000000"/>
  </w:font>
  <w:font w:name="PMingLiU">
    <w:altName w:val="新細明體"/>
    <w:panose1 w:val="02010601000101010101"/>
    <w:charset w:val="88"/>
    <w:family w:val="auto"/>
    <w:notTrueType/>
    <w:pitch w:val="variable"/>
    <w:sig w:usb0="00000001" w:usb1="08080000" w:usb2="00000010" w:usb3="00000000" w:csb0="00100000" w:csb1="00000000"/>
  </w:font>
  <w:font w:name="Cambria Math">
    <w:panose1 w:val="02040503050406030204"/>
    <w:charset w:val="A2"/>
    <w:family w:val="roman"/>
    <w:pitch w:val="variable"/>
    <w:sig w:usb0="E00006FF" w:usb1="420024FF" w:usb2="02000000" w:usb3="00000000" w:csb0="0000019F" w:csb1="00000000"/>
  </w:font>
  <w:font w:name="Georgia">
    <w:panose1 w:val="02040502050405020303"/>
    <w:charset w:val="A2"/>
    <w:family w:val="roman"/>
    <w:pitch w:val="variable"/>
    <w:sig w:usb0="00000287" w:usb1="00000000" w:usb2="00000000" w:usb3="00000000" w:csb0="0000009F" w:csb1="00000000"/>
  </w:font>
  <w:font w:name="Consolas">
    <w:panose1 w:val="020B0609020204030204"/>
    <w:charset w:val="A2"/>
    <w:family w:val="modern"/>
    <w:pitch w:val="fixed"/>
    <w:sig w:usb0="E00006FF" w:usb1="0000FCFF" w:usb2="00000001" w:usb3="00000000" w:csb0="0000019F" w:csb1="00000000"/>
  </w:font>
  <w:font w:name="Arial Narrow">
    <w:panose1 w:val="020B0606020202030204"/>
    <w:charset w:val="A2"/>
    <w:family w:val="swiss"/>
    <w:pitch w:val="variable"/>
    <w:sig w:usb0="00000287" w:usb1="00000800" w:usb2="00000000" w:usb3="00000000" w:csb0="0000009F" w:csb1="00000000"/>
  </w:font>
  <w:font w:name="Garamond">
    <w:panose1 w:val="02020404030301010803"/>
    <w:charset w:val="A2"/>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A2"/>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6BAF7CE" w14:textId="77777777" w:rsidR="007D72B7" w:rsidRDefault="007D72B7">
      <w:r>
        <w:separator/>
      </w:r>
    </w:p>
  </w:footnote>
  <w:footnote w:type="continuationSeparator" w:id="0">
    <w:p w14:paraId="1F1E20F0" w14:textId="77777777" w:rsidR="007D72B7" w:rsidRDefault="007D72B7">
      <w:r>
        <w:continuationSeparator/>
      </w:r>
    </w:p>
  </w:footnote>
  <w:footnote w:id="1">
    <w:p w14:paraId="6EEA910A" w14:textId="77777777" w:rsidR="00381FB4" w:rsidRPr="00217B55" w:rsidRDefault="00381FB4" w:rsidP="00217B55">
      <w:pPr>
        <w:pStyle w:val="ListeParagraf"/>
        <w:shd w:val="clear" w:color="auto" w:fill="FFFFFF"/>
        <w:tabs>
          <w:tab w:val="left" w:pos="1142"/>
        </w:tabs>
        <w:spacing w:before="120" w:after="120"/>
        <w:ind w:left="0"/>
        <w:jc w:val="both"/>
        <w:rPr>
          <w:rFonts w:eastAsia="Times New Roman" w:cs="Times New Roman"/>
          <w:color w:val="auto"/>
          <w:spacing w:val="3"/>
          <w:sz w:val="20"/>
          <w:szCs w:val="20"/>
        </w:rPr>
      </w:pPr>
      <w:r w:rsidRPr="00217B55">
        <w:rPr>
          <w:sz w:val="20"/>
          <w:szCs w:val="20"/>
          <w:vertAlign w:val="superscript"/>
        </w:rPr>
        <w:t>(</w:t>
      </w:r>
      <w:r w:rsidRPr="00217B55">
        <w:rPr>
          <w:rStyle w:val="DipnotBavurusu"/>
          <w:sz w:val="20"/>
          <w:szCs w:val="20"/>
        </w:rPr>
        <w:footnoteRef/>
      </w:r>
      <w:r w:rsidRPr="00217B55">
        <w:rPr>
          <w:sz w:val="20"/>
          <w:szCs w:val="20"/>
          <w:vertAlign w:val="superscript"/>
        </w:rPr>
        <w:t>)</w:t>
      </w:r>
      <w:r w:rsidRPr="00217B55">
        <w:rPr>
          <w:sz w:val="20"/>
          <w:szCs w:val="20"/>
        </w:rPr>
        <w:t xml:space="preserve"> </w:t>
      </w:r>
      <w:r w:rsidRPr="00217B55">
        <w:rPr>
          <w:rFonts w:eastAsia="Times New Roman" w:cs="Times New Roman"/>
          <w:color w:val="auto"/>
          <w:spacing w:val="3"/>
          <w:sz w:val="20"/>
          <w:szCs w:val="20"/>
        </w:rPr>
        <w:t>93/12/</w:t>
      </w:r>
      <w:r>
        <w:rPr>
          <w:rFonts w:eastAsia="Times New Roman" w:cs="Times New Roman"/>
          <w:color w:val="auto"/>
          <w:spacing w:val="3"/>
          <w:sz w:val="20"/>
          <w:szCs w:val="20"/>
        </w:rPr>
        <w:t>AET</w:t>
      </w:r>
      <w:r w:rsidRPr="00217B55">
        <w:rPr>
          <w:rFonts w:eastAsia="Times New Roman" w:cs="Times New Roman"/>
          <w:color w:val="auto"/>
          <w:spacing w:val="3"/>
          <w:sz w:val="20"/>
          <w:szCs w:val="20"/>
        </w:rPr>
        <w:t xml:space="preserve"> sayılı Konsey Direktifini değiştiren ve benzin ve dizel yakıtların kalitesi hakkında 13 Ekim 1998 tarihli ve 98/70/</w:t>
      </w:r>
      <w:r>
        <w:rPr>
          <w:rFonts w:eastAsia="Times New Roman" w:cs="Times New Roman"/>
          <w:color w:val="auto"/>
          <w:spacing w:val="3"/>
          <w:sz w:val="20"/>
          <w:szCs w:val="20"/>
        </w:rPr>
        <w:t>AB</w:t>
      </w:r>
      <w:r w:rsidRPr="00217B55">
        <w:rPr>
          <w:rFonts w:eastAsia="Times New Roman" w:cs="Times New Roman"/>
          <w:color w:val="auto"/>
          <w:spacing w:val="3"/>
          <w:sz w:val="20"/>
          <w:szCs w:val="20"/>
        </w:rPr>
        <w:t xml:space="preserve"> sayılı Avrupa Parlamentosu ve Konsey Direktifi (ATRG L 350, 28.12.1998, s. 58).</w:t>
      </w:r>
    </w:p>
    <w:p w14:paraId="37CB2558" w14:textId="77777777" w:rsidR="00381FB4" w:rsidRPr="00FB7855" w:rsidRDefault="00381FB4">
      <w:pPr>
        <w:pStyle w:val="DipnotMetni"/>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503E19"/>
    <w:multiLevelType w:val="multilevel"/>
    <w:tmpl w:val="E2D82A16"/>
    <w:lvl w:ilvl="0">
      <w:start w:val="1"/>
      <w:numFmt w:val="lowerRoman"/>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3"/>
        <w:w w:val="100"/>
        <w:position w:val="0"/>
        <w:sz w:val="24"/>
        <w:szCs w:val="24"/>
        <w:u w:val="none"/>
        <w:lang w:val="en-U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 w15:restartNumberingAfterBreak="0">
    <w:nsid w:val="009B5F94"/>
    <w:multiLevelType w:val="multilevel"/>
    <w:tmpl w:val="6262B57C"/>
    <w:lvl w:ilvl="0">
      <w:start w:val="1"/>
      <w:numFmt w:val="decimal"/>
      <w:lvlText w:val="10.3.3.6.%1."/>
      <w:lvlJc w:val="left"/>
      <w:rPr>
        <w:rFonts w:ascii="Times New Roman" w:eastAsia="Times New Roman" w:hAnsi="Times New Roman" w:cs="Times New Roman"/>
        <w:b w:val="0"/>
        <w:bCs w:val="0"/>
        <w:i w:val="0"/>
        <w:iCs w:val="0"/>
        <w:smallCaps w:val="0"/>
        <w:strike w:val="0"/>
        <w:color w:val="000000"/>
        <w:spacing w:val="3"/>
        <w:w w:val="100"/>
        <w:position w:val="0"/>
        <w:sz w:val="24"/>
        <w:szCs w:val="24"/>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0D40245"/>
    <w:multiLevelType w:val="multilevel"/>
    <w:tmpl w:val="E9C6F810"/>
    <w:lvl w:ilvl="0">
      <w:start w:val="5"/>
      <w:numFmt w:val="decimal"/>
      <w:lvlText w:val="10.%1."/>
      <w:lvlJc w:val="left"/>
      <w:rPr>
        <w:rFonts w:ascii="Times New Roman" w:eastAsia="Times New Roman" w:hAnsi="Times New Roman" w:cs="Times New Roman"/>
        <w:b w:val="0"/>
        <w:bCs w:val="0"/>
        <w:i w:val="0"/>
        <w:iCs w:val="0"/>
        <w:smallCaps w:val="0"/>
        <w:strike w:val="0"/>
        <w:color w:val="000000"/>
        <w:spacing w:val="3"/>
        <w:w w:val="100"/>
        <w:position w:val="0"/>
        <w:sz w:val="24"/>
        <w:szCs w:val="24"/>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0E0312D"/>
    <w:multiLevelType w:val="multilevel"/>
    <w:tmpl w:val="3FA2A334"/>
    <w:lvl w:ilvl="0">
      <w:start w:val="1"/>
      <w:numFmt w:val="decimal"/>
      <w:lvlText w:val="2.3.2.3.%1."/>
      <w:lvlJc w:val="left"/>
      <w:rPr>
        <w:rFonts w:ascii="Times New Roman" w:eastAsia="Times New Roman" w:hAnsi="Times New Roman" w:cs="Times New Roman"/>
        <w:b w:val="0"/>
        <w:bCs w:val="0"/>
        <w:i w:val="0"/>
        <w:iCs w:val="0"/>
        <w:smallCaps w:val="0"/>
        <w:strike w:val="0"/>
        <w:color w:val="000000"/>
        <w:spacing w:val="3"/>
        <w:w w:val="100"/>
        <w:position w:val="0"/>
        <w:sz w:val="24"/>
        <w:szCs w:val="24"/>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1316C82"/>
    <w:multiLevelType w:val="multilevel"/>
    <w:tmpl w:val="81FAC0A8"/>
    <w:lvl w:ilvl="0">
      <w:start w:val="1"/>
      <w:numFmt w:val="lowerLetter"/>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3"/>
        <w:w w:val="100"/>
        <w:position w:val="0"/>
        <w:sz w:val="24"/>
        <w:szCs w:val="24"/>
        <w:u w:val="none"/>
        <w:lang w:val="en-U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5" w15:restartNumberingAfterBreak="0">
    <w:nsid w:val="01E725BD"/>
    <w:multiLevelType w:val="multilevel"/>
    <w:tmpl w:val="F0989254"/>
    <w:lvl w:ilvl="0">
      <w:start w:val="1"/>
      <w:numFmt w:val="lowerLetter"/>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3"/>
        <w:w w:val="100"/>
        <w:position w:val="0"/>
        <w:sz w:val="24"/>
        <w:szCs w:val="24"/>
        <w:u w:val="none"/>
        <w:lang w:val="en-U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6" w15:restartNumberingAfterBreak="0">
    <w:nsid w:val="03091A09"/>
    <w:multiLevelType w:val="hybridMultilevel"/>
    <w:tmpl w:val="B02C3D46"/>
    <w:lvl w:ilvl="0" w:tplc="82822C54">
      <w:start w:val="1"/>
      <w:numFmt w:val="lowerLetter"/>
      <w:lvlText w:val="(%1)"/>
      <w:lvlJc w:val="left"/>
      <w:pPr>
        <w:ind w:left="1004" w:hanging="360"/>
      </w:pPr>
      <w:rPr>
        <w:rFonts w:hint="default"/>
      </w:rPr>
    </w:lvl>
    <w:lvl w:ilvl="1" w:tplc="041F0019" w:tentative="1">
      <w:start w:val="1"/>
      <w:numFmt w:val="lowerLetter"/>
      <w:lvlText w:val="%2."/>
      <w:lvlJc w:val="left"/>
      <w:pPr>
        <w:ind w:left="1724" w:hanging="360"/>
      </w:pPr>
    </w:lvl>
    <w:lvl w:ilvl="2" w:tplc="041F001B" w:tentative="1">
      <w:start w:val="1"/>
      <w:numFmt w:val="lowerRoman"/>
      <w:lvlText w:val="%3."/>
      <w:lvlJc w:val="right"/>
      <w:pPr>
        <w:ind w:left="2444" w:hanging="180"/>
      </w:pPr>
    </w:lvl>
    <w:lvl w:ilvl="3" w:tplc="041F000F" w:tentative="1">
      <w:start w:val="1"/>
      <w:numFmt w:val="decimal"/>
      <w:lvlText w:val="%4."/>
      <w:lvlJc w:val="left"/>
      <w:pPr>
        <w:ind w:left="3164" w:hanging="360"/>
      </w:pPr>
    </w:lvl>
    <w:lvl w:ilvl="4" w:tplc="041F0019" w:tentative="1">
      <w:start w:val="1"/>
      <w:numFmt w:val="lowerLetter"/>
      <w:lvlText w:val="%5."/>
      <w:lvlJc w:val="left"/>
      <w:pPr>
        <w:ind w:left="3884" w:hanging="360"/>
      </w:pPr>
    </w:lvl>
    <w:lvl w:ilvl="5" w:tplc="041F001B" w:tentative="1">
      <w:start w:val="1"/>
      <w:numFmt w:val="lowerRoman"/>
      <w:lvlText w:val="%6."/>
      <w:lvlJc w:val="right"/>
      <w:pPr>
        <w:ind w:left="4604" w:hanging="180"/>
      </w:pPr>
    </w:lvl>
    <w:lvl w:ilvl="6" w:tplc="041F000F" w:tentative="1">
      <w:start w:val="1"/>
      <w:numFmt w:val="decimal"/>
      <w:lvlText w:val="%7."/>
      <w:lvlJc w:val="left"/>
      <w:pPr>
        <w:ind w:left="5324" w:hanging="360"/>
      </w:pPr>
    </w:lvl>
    <w:lvl w:ilvl="7" w:tplc="041F0019" w:tentative="1">
      <w:start w:val="1"/>
      <w:numFmt w:val="lowerLetter"/>
      <w:lvlText w:val="%8."/>
      <w:lvlJc w:val="left"/>
      <w:pPr>
        <w:ind w:left="6044" w:hanging="360"/>
      </w:pPr>
    </w:lvl>
    <w:lvl w:ilvl="8" w:tplc="041F001B" w:tentative="1">
      <w:start w:val="1"/>
      <w:numFmt w:val="lowerRoman"/>
      <w:lvlText w:val="%9."/>
      <w:lvlJc w:val="right"/>
      <w:pPr>
        <w:ind w:left="6764" w:hanging="180"/>
      </w:pPr>
    </w:lvl>
  </w:abstractNum>
  <w:abstractNum w:abstractNumId="7" w15:restartNumberingAfterBreak="0">
    <w:nsid w:val="03742A1E"/>
    <w:multiLevelType w:val="multilevel"/>
    <w:tmpl w:val="76CAC142"/>
    <w:lvl w:ilvl="0">
      <w:start w:val="1"/>
      <w:numFmt w:val="decimal"/>
      <w:lvlText w:val="2.6.%1."/>
      <w:lvlJc w:val="left"/>
      <w:rPr>
        <w:rFonts w:ascii="Times New Roman" w:eastAsia="Times New Roman" w:hAnsi="Times New Roman" w:cs="Times New Roman"/>
        <w:b w:val="0"/>
        <w:bCs w:val="0"/>
        <w:i w:val="0"/>
        <w:iCs w:val="0"/>
        <w:smallCaps w:val="0"/>
        <w:strike w:val="0"/>
        <w:color w:val="000000"/>
        <w:spacing w:val="3"/>
        <w:w w:val="100"/>
        <w:position w:val="0"/>
        <w:sz w:val="24"/>
        <w:szCs w:val="24"/>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03C84000"/>
    <w:multiLevelType w:val="multilevel"/>
    <w:tmpl w:val="40566FAA"/>
    <w:lvl w:ilvl="0">
      <w:start w:val="1"/>
      <w:numFmt w:val="lowerRoman"/>
      <w:lvlText w:val="(%1)"/>
      <w:lvlJc w:val="left"/>
      <w:rPr>
        <w:rFonts w:ascii="Times New Roman" w:eastAsia="Times New Roman" w:hAnsi="Times New Roman" w:cs="Times New Roman"/>
        <w:b w:val="0"/>
        <w:bCs w:val="0"/>
        <w:i w:val="0"/>
        <w:iCs w:val="0"/>
        <w:smallCaps w:val="0"/>
        <w:strike w:val="0"/>
        <w:color w:val="000000"/>
        <w:spacing w:val="3"/>
        <w:w w:val="100"/>
        <w:position w:val="0"/>
        <w:sz w:val="24"/>
        <w:szCs w:val="24"/>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03CC4817"/>
    <w:multiLevelType w:val="multilevel"/>
    <w:tmpl w:val="455A06C6"/>
    <w:lvl w:ilvl="0">
      <w:start w:val="1"/>
      <w:numFmt w:val="decimal"/>
      <w:lvlText w:val="5.2.1.%1"/>
      <w:lvlJc w:val="left"/>
      <w:rPr>
        <w:rFonts w:ascii="Times New Roman" w:eastAsia="Times New Roman" w:hAnsi="Times New Roman" w:cs="Times New Roman"/>
        <w:b w:val="0"/>
        <w:bCs w:val="0"/>
        <w:i w:val="0"/>
        <w:iCs w:val="0"/>
        <w:smallCaps w:val="0"/>
        <w:strike w:val="0"/>
        <w:color w:val="000000"/>
        <w:spacing w:val="4"/>
        <w:w w:val="100"/>
        <w:position w:val="0"/>
        <w:sz w:val="24"/>
        <w:szCs w:val="24"/>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03DB05FF"/>
    <w:multiLevelType w:val="multilevel"/>
    <w:tmpl w:val="F908707A"/>
    <w:lvl w:ilvl="0">
      <w:start w:val="1"/>
      <w:numFmt w:val="decimal"/>
      <w:lvlText w:val="10.4.6.%1."/>
      <w:lvlJc w:val="left"/>
      <w:rPr>
        <w:rFonts w:ascii="Times New Roman" w:eastAsia="Times New Roman" w:hAnsi="Times New Roman" w:cs="Times New Roman"/>
        <w:b w:val="0"/>
        <w:bCs w:val="0"/>
        <w:i w:val="0"/>
        <w:iCs w:val="0"/>
        <w:smallCaps w:val="0"/>
        <w:strike w:val="0"/>
        <w:color w:val="000000"/>
        <w:spacing w:val="3"/>
        <w:w w:val="100"/>
        <w:position w:val="0"/>
        <w:sz w:val="24"/>
        <w:szCs w:val="24"/>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03E21595"/>
    <w:multiLevelType w:val="multilevel"/>
    <w:tmpl w:val="03E21595"/>
    <w:lvl w:ilvl="0">
      <w:start w:val="11"/>
      <w:numFmt w:val="decimal"/>
      <w:lvlText w:val="%1."/>
      <w:lvlJc w:val="left"/>
      <w:pPr>
        <w:ind w:left="555" w:hanging="555"/>
      </w:pPr>
      <w:rPr>
        <w:rFonts w:hint="default"/>
      </w:rPr>
    </w:lvl>
    <w:lvl w:ilvl="1">
      <w:start w:val="2"/>
      <w:numFmt w:val="decimal"/>
      <w:lvlText w:val="%1.%2."/>
      <w:lvlJc w:val="left"/>
      <w:pPr>
        <w:ind w:left="555" w:hanging="555"/>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03E8115E"/>
    <w:multiLevelType w:val="multilevel"/>
    <w:tmpl w:val="B81A4FCE"/>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3"/>
        <w:w w:val="100"/>
        <w:position w:val="0"/>
        <w:sz w:val="24"/>
        <w:szCs w:val="24"/>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044E60BD"/>
    <w:multiLevelType w:val="multilevel"/>
    <w:tmpl w:val="156E6E50"/>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4"/>
        <w:w w:val="100"/>
        <w:position w:val="0"/>
        <w:sz w:val="24"/>
        <w:szCs w:val="24"/>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04695FA4"/>
    <w:multiLevelType w:val="hybridMultilevel"/>
    <w:tmpl w:val="9E3CCBAA"/>
    <w:lvl w:ilvl="0" w:tplc="D3446FC0">
      <w:start w:val="1"/>
      <w:numFmt w:val="lowerLetter"/>
      <w:lvlText w:val="(%1)"/>
      <w:lvlJc w:val="left"/>
      <w:pPr>
        <w:ind w:left="2549" w:hanging="705"/>
      </w:pPr>
      <w:rPr>
        <w:rFonts w:hint="default"/>
      </w:rPr>
    </w:lvl>
    <w:lvl w:ilvl="1" w:tplc="041F0019" w:tentative="1">
      <w:start w:val="1"/>
      <w:numFmt w:val="lowerLetter"/>
      <w:lvlText w:val="%2."/>
      <w:lvlJc w:val="left"/>
      <w:pPr>
        <w:ind w:left="2924" w:hanging="360"/>
      </w:pPr>
    </w:lvl>
    <w:lvl w:ilvl="2" w:tplc="041F001B" w:tentative="1">
      <w:start w:val="1"/>
      <w:numFmt w:val="lowerRoman"/>
      <w:lvlText w:val="%3."/>
      <w:lvlJc w:val="right"/>
      <w:pPr>
        <w:ind w:left="3644" w:hanging="180"/>
      </w:pPr>
    </w:lvl>
    <w:lvl w:ilvl="3" w:tplc="041F000F" w:tentative="1">
      <w:start w:val="1"/>
      <w:numFmt w:val="decimal"/>
      <w:lvlText w:val="%4."/>
      <w:lvlJc w:val="left"/>
      <w:pPr>
        <w:ind w:left="4364" w:hanging="360"/>
      </w:pPr>
    </w:lvl>
    <w:lvl w:ilvl="4" w:tplc="041F0019" w:tentative="1">
      <w:start w:val="1"/>
      <w:numFmt w:val="lowerLetter"/>
      <w:lvlText w:val="%5."/>
      <w:lvlJc w:val="left"/>
      <w:pPr>
        <w:ind w:left="5084" w:hanging="360"/>
      </w:pPr>
    </w:lvl>
    <w:lvl w:ilvl="5" w:tplc="041F001B" w:tentative="1">
      <w:start w:val="1"/>
      <w:numFmt w:val="lowerRoman"/>
      <w:lvlText w:val="%6."/>
      <w:lvlJc w:val="right"/>
      <w:pPr>
        <w:ind w:left="5804" w:hanging="180"/>
      </w:pPr>
    </w:lvl>
    <w:lvl w:ilvl="6" w:tplc="041F000F" w:tentative="1">
      <w:start w:val="1"/>
      <w:numFmt w:val="decimal"/>
      <w:lvlText w:val="%7."/>
      <w:lvlJc w:val="left"/>
      <w:pPr>
        <w:ind w:left="6524" w:hanging="360"/>
      </w:pPr>
    </w:lvl>
    <w:lvl w:ilvl="7" w:tplc="041F0019" w:tentative="1">
      <w:start w:val="1"/>
      <w:numFmt w:val="lowerLetter"/>
      <w:lvlText w:val="%8."/>
      <w:lvlJc w:val="left"/>
      <w:pPr>
        <w:ind w:left="7244" w:hanging="360"/>
      </w:pPr>
    </w:lvl>
    <w:lvl w:ilvl="8" w:tplc="041F001B" w:tentative="1">
      <w:start w:val="1"/>
      <w:numFmt w:val="lowerRoman"/>
      <w:lvlText w:val="%9."/>
      <w:lvlJc w:val="right"/>
      <w:pPr>
        <w:ind w:left="7964" w:hanging="180"/>
      </w:pPr>
    </w:lvl>
  </w:abstractNum>
  <w:abstractNum w:abstractNumId="15" w15:restartNumberingAfterBreak="0">
    <w:nsid w:val="04BB2549"/>
    <w:multiLevelType w:val="multilevel"/>
    <w:tmpl w:val="5BAAEA6E"/>
    <w:lvl w:ilvl="0">
      <w:start w:val="7"/>
      <w:numFmt w:val="decimal"/>
      <w:lvlText w:val="%1."/>
      <w:lvlJc w:val="left"/>
      <w:pPr>
        <w:ind w:left="540" w:hanging="540"/>
      </w:pPr>
      <w:rPr>
        <w:rFonts w:hint="default"/>
      </w:rPr>
    </w:lvl>
    <w:lvl w:ilvl="1">
      <w:start w:val="8"/>
      <w:numFmt w:val="decimal"/>
      <w:lvlText w:val="%1.%2."/>
      <w:lvlJc w:val="left"/>
      <w:pPr>
        <w:ind w:left="540" w:hanging="54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04BD6CD9"/>
    <w:multiLevelType w:val="multilevel"/>
    <w:tmpl w:val="FF40E4F2"/>
    <w:lvl w:ilvl="0">
      <w:start w:val="1"/>
      <w:numFmt w:val="decimal"/>
      <w:lvlText w:val="9.4.%1."/>
      <w:lvlJc w:val="left"/>
      <w:pPr>
        <w:ind w:left="0" w:firstLine="0"/>
      </w:pPr>
      <w:rPr>
        <w:rFonts w:ascii="Times New Roman" w:eastAsia="Times New Roman" w:hAnsi="Times New Roman" w:cs="Times New Roman"/>
        <w:b w:val="0"/>
        <w:bCs w:val="0"/>
        <w:i w:val="0"/>
        <w:iCs w:val="0"/>
        <w:smallCaps w:val="0"/>
        <w:strike w:val="0"/>
        <w:dstrike w:val="0"/>
        <w:color w:val="000000"/>
        <w:spacing w:val="3"/>
        <w:w w:val="100"/>
        <w:position w:val="0"/>
        <w:sz w:val="24"/>
        <w:szCs w:val="24"/>
        <w:u w:val="none"/>
        <w:lang w:val="en-U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7" w15:restartNumberingAfterBreak="0">
    <w:nsid w:val="04E03BC5"/>
    <w:multiLevelType w:val="multilevel"/>
    <w:tmpl w:val="B666EB4E"/>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3"/>
        <w:w w:val="100"/>
        <w:position w:val="0"/>
        <w:sz w:val="24"/>
        <w:szCs w:val="24"/>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04E56820"/>
    <w:multiLevelType w:val="multilevel"/>
    <w:tmpl w:val="D3668C18"/>
    <w:lvl w:ilvl="0">
      <w:start w:val="13"/>
      <w:numFmt w:val="decimal"/>
      <w:lvlText w:val="%1."/>
      <w:lvlJc w:val="left"/>
      <w:pPr>
        <w:ind w:left="0" w:firstLine="0"/>
      </w:pPr>
      <w:rPr>
        <w:rFonts w:ascii="Times New Roman" w:eastAsia="Times New Roman" w:hAnsi="Times New Roman" w:cs="Times New Roman" w:hint="default"/>
        <w:b/>
        <w:bCs/>
        <w:i w:val="0"/>
        <w:iCs w:val="0"/>
        <w:smallCaps w:val="0"/>
        <w:strike w:val="0"/>
        <w:color w:val="000000"/>
        <w:spacing w:val="3"/>
        <w:w w:val="100"/>
        <w:position w:val="0"/>
        <w:sz w:val="24"/>
        <w:szCs w:val="24"/>
        <w:u w:val="none"/>
      </w:rPr>
    </w:lvl>
    <w:lvl w:ilvl="1">
      <w:start w:val="1"/>
      <w:numFmt w:val="decimal"/>
      <w:lvlText w:val="%1.%2"/>
      <w:lvlJc w:val="left"/>
      <w:pPr>
        <w:ind w:left="0" w:firstLine="0"/>
      </w:pPr>
      <w:rPr>
        <w:rFonts w:ascii="Times New Roman" w:eastAsia="Times New Roman" w:hAnsi="Times New Roman" w:cs="Times New Roman" w:hint="default"/>
        <w:b w:val="0"/>
        <w:bCs w:val="0"/>
        <w:i w:val="0"/>
        <w:iCs w:val="0"/>
        <w:smallCaps w:val="0"/>
        <w:strike w:val="0"/>
        <w:color w:val="000000"/>
        <w:spacing w:val="3"/>
        <w:w w:val="100"/>
        <w:position w:val="0"/>
        <w:sz w:val="20"/>
        <w:szCs w:val="20"/>
        <w:u w:val="none"/>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9" w15:restartNumberingAfterBreak="0">
    <w:nsid w:val="04F02534"/>
    <w:multiLevelType w:val="multilevel"/>
    <w:tmpl w:val="3092D75A"/>
    <w:lvl w:ilvl="0">
      <w:start w:val="1"/>
      <w:numFmt w:val="decimal"/>
      <w:lvlText w:val="9.2.2.2.%1."/>
      <w:lvlJc w:val="left"/>
      <w:rPr>
        <w:rFonts w:ascii="Times New Roman" w:eastAsia="Times New Roman" w:hAnsi="Times New Roman" w:cs="Times New Roman"/>
        <w:b w:val="0"/>
        <w:bCs w:val="0"/>
        <w:i w:val="0"/>
        <w:iCs w:val="0"/>
        <w:smallCaps w:val="0"/>
        <w:strike w:val="0"/>
        <w:color w:val="000000"/>
        <w:spacing w:val="3"/>
        <w:w w:val="100"/>
        <w:position w:val="0"/>
        <w:sz w:val="24"/>
        <w:szCs w:val="24"/>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05EB39C8"/>
    <w:multiLevelType w:val="multilevel"/>
    <w:tmpl w:val="58F4DCD0"/>
    <w:lvl w:ilvl="0">
      <w:start w:val="11"/>
      <w:numFmt w:val="decimal"/>
      <w:lvlText w:val="%1."/>
      <w:lvlJc w:val="left"/>
      <w:rPr>
        <w:rFonts w:ascii="Times New Roman" w:eastAsia="Times New Roman" w:hAnsi="Times New Roman" w:cs="Times New Roman"/>
        <w:b/>
        <w:bCs w:val="0"/>
        <w:i w:val="0"/>
        <w:iCs w:val="0"/>
        <w:smallCaps w:val="0"/>
        <w:strike w:val="0"/>
        <w:color w:val="000000"/>
        <w:spacing w:val="3"/>
        <w:w w:val="100"/>
        <w:position w:val="0"/>
        <w:sz w:val="24"/>
        <w:szCs w:val="24"/>
        <w:u w:val="none"/>
        <w:lang w:val="en-US"/>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3"/>
        <w:w w:val="100"/>
        <w:position w:val="0"/>
        <w:sz w:val="24"/>
        <w:szCs w:val="24"/>
        <w:u w:val="none"/>
        <w:lang w:val="en-US"/>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05F37022"/>
    <w:multiLevelType w:val="multilevel"/>
    <w:tmpl w:val="15BC36D4"/>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3"/>
        <w:w w:val="100"/>
        <w:position w:val="0"/>
        <w:sz w:val="24"/>
        <w:szCs w:val="24"/>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0657791A"/>
    <w:multiLevelType w:val="multilevel"/>
    <w:tmpl w:val="9A38D21E"/>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3"/>
        <w:w w:val="100"/>
        <w:position w:val="0"/>
        <w:sz w:val="24"/>
        <w:szCs w:val="24"/>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0690674B"/>
    <w:multiLevelType w:val="multilevel"/>
    <w:tmpl w:val="A184B5C8"/>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3"/>
        <w:w w:val="100"/>
        <w:position w:val="0"/>
        <w:sz w:val="24"/>
        <w:szCs w:val="24"/>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069E0D60"/>
    <w:multiLevelType w:val="multilevel"/>
    <w:tmpl w:val="5082FF86"/>
    <w:lvl w:ilvl="0">
      <w:start w:val="1"/>
      <w:numFmt w:val="decimal"/>
      <w:lvlText w:val="5.1.%1."/>
      <w:lvlJc w:val="left"/>
      <w:pPr>
        <w:ind w:left="0" w:firstLine="0"/>
      </w:pPr>
      <w:rPr>
        <w:rFonts w:ascii="Times New Roman" w:eastAsia="Times New Roman" w:hAnsi="Times New Roman" w:cs="Times New Roman"/>
        <w:b w:val="0"/>
        <w:bCs w:val="0"/>
        <w:i w:val="0"/>
        <w:iCs w:val="0"/>
        <w:smallCaps w:val="0"/>
        <w:strike w:val="0"/>
        <w:dstrike w:val="0"/>
        <w:color w:val="000000"/>
        <w:spacing w:val="3"/>
        <w:w w:val="100"/>
        <w:position w:val="0"/>
        <w:sz w:val="24"/>
        <w:szCs w:val="24"/>
        <w:u w:val="none"/>
        <w:lang w:val="en-U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5" w15:restartNumberingAfterBreak="0">
    <w:nsid w:val="06F16D2E"/>
    <w:multiLevelType w:val="multilevel"/>
    <w:tmpl w:val="0BA4F8A6"/>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3"/>
        <w:w w:val="100"/>
        <w:position w:val="0"/>
        <w:sz w:val="24"/>
        <w:szCs w:val="24"/>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073774BA"/>
    <w:multiLevelType w:val="multilevel"/>
    <w:tmpl w:val="073774BA"/>
    <w:lvl w:ilvl="0">
      <w:start w:val="9"/>
      <w:numFmt w:val="decimal"/>
      <w:lvlText w:val="%1."/>
      <w:lvlJc w:val="left"/>
      <w:pPr>
        <w:ind w:left="750" w:hanging="750"/>
      </w:pPr>
      <w:rPr>
        <w:rFonts w:hint="default"/>
      </w:rPr>
    </w:lvl>
    <w:lvl w:ilvl="1">
      <w:start w:val="2"/>
      <w:numFmt w:val="decimal"/>
      <w:lvlText w:val="%1.%2."/>
      <w:lvlJc w:val="left"/>
      <w:pPr>
        <w:ind w:left="750" w:hanging="750"/>
      </w:pPr>
      <w:rPr>
        <w:rFonts w:hint="default"/>
      </w:rPr>
    </w:lvl>
    <w:lvl w:ilvl="2">
      <w:start w:val="1"/>
      <w:numFmt w:val="decimal"/>
      <w:lvlText w:val="%1.%2.%3."/>
      <w:lvlJc w:val="left"/>
      <w:pPr>
        <w:ind w:left="750" w:hanging="750"/>
      </w:pPr>
      <w:rPr>
        <w:rFonts w:hint="default"/>
      </w:rPr>
    </w:lvl>
    <w:lvl w:ilvl="3">
      <w:start w:val="2"/>
      <w:numFmt w:val="decimal"/>
      <w:lvlText w:val="%1.%2.%3.%4."/>
      <w:lvlJc w:val="left"/>
      <w:pPr>
        <w:ind w:left="750" w:hanging="75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7" w15:restartNumberingAfterBreak="0">
    <w:nsid w:val="078E7A4B"/>
    <w:multiLevelType w:val="multilevel"/>
    <w:tmpl w:val="E6E44360"/>
    <w:lvl w:ilvl="0">
      <w:start w:val="4"/>
      <w:numFmt w:val="decimal"/>
      <w:lvlText w:val="8.1.8.4.%1."/>
      <w:lvlJc w:val="left"/>
      <w:rPr>
        <w:rFonts w:ascii="Times New Roman" w:eastAsia="Times New Roman" w:hAnsi="Times New Roman" w:cs="Times New Roman"/>
        <w:b w:val="0"/>
        <w:bCs w:val="0"/>
        <w:i w:val="0"/>
        <w:iCs w:val="0"/>
        <w:smallCaps w:val="0"/>
        <w:strike w:val="0"/>
        <w:color w:val="000000"/>
        <w:spacing w:val="4"/>
        <w:w w:val="100"/>
        <w:position w:val="0"/>
        <w:sz w:val="24"/>
        <w:szCs w:val="24"/>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07AE3FF1"/>
    <w:multiLevelType w:val="multilevel"/>
    <w:tmpl w:val="64849672"/>
    <w:lvl w:ilvl="0">
      <w:start w:val="3"/>
      <w:numFmt w:val="decimal"/>
      <w:lvlText w:val="%1."/>
      <w:lvlJc w:val="left"/>
      <w:pPr>
        <w:ind w:left="540" w:hanging="540"/>
      </w:pPr>
      <w:rPr>
        <w:rFonts w:hint="default"/>
      </w:rPr>
    </w:lvl>
    <w:lvl w:ilvl="1">
      <w:start w:val="8"/>
      <w:numFmt w:val="decimal"/>
      <w:lvlText w:val="%1.%2."/>
      <w:lvlJc w:val="left"/>
      <w:pPr>
        <w:ind w:left="682" w:hanging="54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29" w15:restartNumberingAfterBreak="0">
    <w:nsid w:val="08222EE1"/>
    <w:multiLevelType w:val="multilevel"/>
    <w:tmpl w:val="DF3CB9E6"/>
    <w:lvl w:ilvl="0">
      <w:start w:val="1"/>
      <w:numFmt w:val="decimal"/>
      <w:lvlText w:val="2.1.6.%1."/>
      <w:lvlJc w:val="left"/>
      <w:rPr>
        <w:rFonts w:ascii="Times New Roman" w:eastAsia="Times New Roman" w:hAnsi="Times New Roman" w:cs="Times New Roman"/>
        <w:b w:val="0"/>
        <w:bCs w:val="0"/>
        <w:i w:val="0"/>
        <w:iCs w:val="0"/>
        <w:smallCaps w:val="0"/>
        <w:strike w:val="0"/>
        <w:color w:val="000000"/>
        <w:spacing w:val="3"/>
        <w:w w:val="100"/>
        <w:position w:val="0"/>
        <w:sz w:val="24"/>
        <w:szCs w:val="24"/>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084E46CE"/>
    <w:multiLevelType w:val="multilevel"/>
    <w:tmpl w:val="E66204C8"/>
    <w:lvl w:ilvl="0">
      <w:start w:val="1"/>
      <w:numFmt w:val="decimal"/>
      <w:lvlText w:val="9.5.1.%1."/>
      <w:lvlJc w:val="left"/>
      <w:rPr>
        <w:rFonts w:ascii="Times New Roman" w:eastAsia="Times New Roman" w:hAnsi="Times New Roman" w:cs="Times New Roman"/>
        <w:b w:val="0"/>
        <w:bCs w:val="0"/>
        <w:i w:val="0"/>
        <w:iCs w:val="0"/>
        <w:smallCaps w:val="0"/>
        <w:strike w:val="0"/>
        <w:color w:val="000000"/>
        <w:spacing w:val="3"/>
        <w:w w:val="100"/>
        <w:position w:val="0"/>
        <w:sz w:val="24"/>
        <w:szCs w:val="24"/>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087D663F"/>
    <w:multiLevelType w:val="multilevel"/>
    <w:tmpl w:val="B300A924"/>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3"/>
        <w:w w:val="100"/>
        <w:position w:val="0"/>
        <w:sz w:val="24"/>
        <w:szCs w:val="24"/>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08990652"/>
    <w:multiLevelType w:val="multilevel"/>
    <w:tmpl w:val="687E390E"/>
    <w:lvl w:ilvl="0">
      <w:start w:val="1"/>
      <w:numFmt w:val="decimal"/>
      <w:lvlText w:val="2.4.6.%1."/>
      <w:lvlJc w:val="left"/>
      <w:rPr>
        <w:rFonts w:ascii="Times New Roman" w:eastAsia="Times New Roman" w:hAnsi="Times New Roman" w:cs="Times New Roman"/>
        <w:b w:val="0"/>
        <w:bCs w:val="0"/>
        <w:i w:val="0"/>
        <w:iCs w:val="0"/>
        <w:smallCaps w:val="0"/>
        <w:strike w:val="0"/>
        <w:color w:val="000000"/>
        <w:spacing w:val="4"/>
        <w:w w:val="100"/>
        <w:position w:val="0"/>
        <w:sz w:val="24"/>
        <w:szCs w:val="24"/>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08D2075C"/>
    <w:multiLevelType w:val="multilevel"/>
    <w:tmpl w:val="491E783A"/>
    <w:lvl w:ilvl="0">
      <w:start w:val="2"/>
      <w:numFmt w:val="decimal"/>
      <w:lvlText w:val="5.2.6.%1."/>
      <w:lvlJc w:val="left"/>
      <w:pPr>
        <w:ind w:left="0" w:firstLine="0"/>
      </w:pPr>
      <w:rPr>
        <w:rFonts w:ascii="Times New Roman" w:eastAsia="Times New Roman" w:hAnsi="Times New Roman" w:cs="Times New Roman"/>
        <w:b w:val="0"/>
        <w:bCs w:val="0"/>
        <w:i w:val="0"/>
        <w:iCs w:val="0"/>
        <w:smallCaps w:val="0"/>
        <w:strike w:val="0"/>
        <w:dstrike w:val="0"/>
        <w:color w:val="000000"/>
        <w:spacing w:val="3"/>
        <w:w w:val="100"/>
        <w:position w:val="0"/>
        <w:sz w:val="24"/>
        <w:szCs w:val="24"/>
        <w:u w:val="none"/>
        <w:lang w:val="en-U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4" w15:restartNumberingAfterBreak="0">
    <w:nsid w:val="08E55FAF"/>
    <w:multiLevelType w:val="multilevel"/>
    <w:tmpl w:val="739CC358"/>
    <w:lvl w:ilvl="0">
      <w:start w:val="1"/>
      <w:numFmt w:val="decimal"/>
      <w:lvlText w:val="8.2.2.1.%1."/>
      <w:lvlJc w:val="left"/>
      <w:pPr>
        <w:ind w:left="0" w:firstLine="0"/>
      </w:pPr>
      <w:rPr>
        <w:rFonts w:ascii="Times New Roman" w:eastAsia="Times New Roman" w:hAnsi="Times New Roman" w:cs="Times New Roman"/>
        <w:b w:val="0"/>
        <w:bCs w:val="0"/>
        <w:i w:val="0"/>
        <w:iCs w:val="0"/>
        <w:smallCaps w:val="0"/>
        <w:strike w:val="0"/>
        <w:dstrike w:val="0"/>
        <w:color w:val="000000"/>
        <w:spacing w:val="3"/>
        <w:w w:val="100"/>
        <w:position w:val="0"/>
        <w:sz w:val="24"/>
        <w:szCs w:val="24"/>
        <w:u w:val="none"/>
        <w:lang w:val="en-U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5" w15:restartNumberingAfterBreak="0">
    <w:nsid w:val="09727F28"/>
    <w:multiLevelType w:val="multilevel"/>
    <w:tmpl w:val="5F547144"/>
    <w:lvl w:ilvl="0">
      <w:start w:val="1"/>
      <w:numFmt w:val="lowerLetter"/>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3"/>
        <w:w w:val="100"/>
        <w:position w:val="0"/>
        <w:sz w:val="24"/>
        <w:szCs w:val="24"/>
        <w:u w:val="none"/>
        <w:lang w:val="en-U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6" w15:restartNumberingAfterBreak="0">
    <w:nsid w:val="0A022005"/>
    <w:multiLevelType w:val="multilevel"/>
    <w:tmpl w:val="92B848B4"/>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3"/>
        <w:w w:val="100"/>
        <w:position w:val="0"/>
        <w:sz w:val="24"/>
        <w:szCs w:val="24"/>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15:restartNumberingAfterBreak="0">
    <w:nsid w:val="0A226F68"/>
    <w:multiLevelType w:val="multilevel"/>
    <w:tmpl w:val="CC1AA360"/>
    <w:lvl w:ilvl="0">
      <w:start w:val="1"/>
      <w:numFmt w:val="decimal"/>
      <w:lvlText w:val="9.%1."/>
      <w:lvlJc w:val="left"/>
      <w:pPr>
        <w:ind w:left="0" w:firstLine="0"/>
      </w:pPr>
      <w:rPr>
        <w:rFonts w:ascii="Times New Roman" w:eastAsia="Times New Roman" w:hAnsi="Times New Roman" w:cs="Times New Roman"/>
        <w:b w:val="0"/>
        <w:bCs w:val="0"/>
        <w:i w:val="0"/>
        <w:iCs w:val="0"/>
        <w:smallCaps w:val="0"/>
        <w:strike w:val="0"/>
        <w:dstrike w:val="0"/>
        <w:color w:val="000000"/>
        <w:spacing w:val="3"/>
        <w:w w:val="100"/>
        <w:position w:val="0"/>
        <w:sz w:val="24"/>
        <w:szCs w:val="24"/>
        <w:u w:val="none"/>
        <w:lang w:val="en-U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8" w15:restartNumberingAfterBreak="0">
    <w:nsid w:val="0A5516A8"/>
    <w:multiLevelType w:val="multilevel"/>
    <w:tmpl w:val="D1B24B24"/>
    <w:lvl w:ilvl="0">
      <w:start w:val="1"/>
      <w:numFmt w:val="decimal"/>
      <w:lvlText w:val="8.2.1.%1."/>
      <w:lvlJc w:val="left"/>
      <w:rPr>
        <w:rFonts w:ascii="Times New Roman" w:eastAsia="Times New Roman" w:hAnsi="Times New Roman" w:cs="Times New Roman"/>
        <w:b w:val="0"/>
        <w:bCs w:val="0"/>
        <w:i w:val="0"/>
        <w:iCs w:val="0"/>
        <w:smallCaps w:val="0"/>
        <w:strike w:val="0"/>
        <w:color w:val="000000"/>
        <w:spacing w:val="3"/>
        <w:w w:val="100"/>
        <w:position w:val="0"/>
        <w:sz w:val="24"/>
        <w:szCs w:val="24"/>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15:restartNumberingAfterBreak="0">
    <w:nsid w:val="0A644312"/>
    <w:multiLevelType w:val="multilevel"/>
    <w:tmpl w:val="DAF47E14"/>
    <w:lvl w:ilvl="0">
      <w:start w:val="3"/>
      <w:numFmt w:val="decimal"/>
      <w:lvlText w:val="2.4.%1."/>
      <w:lvlJc w:val="left"/>
      <w:rPr>
        <w:rFonts w:ascii="Times New Roman" w:eastAsia="Times New Roman" w:hAnsi="Times New Roman" w:cs="Times New Roman"/>
        <w:b w:val="0"/>
        <w:bCs w:val="0"/>
        <w:i w:val="0"/>
        <w:iCs w:val="0"/>
        <w:smallCaps w:val="0"/>
        <w:strike w:val="0"/>
        <w:color w:val="000000"/>
        <w:spacing w:val="4"/>
        <w:w w:val="100"/>
        <w:position w:val="0"/>
        <w:sz w:val="24"/>
        <w:szCs w:val="24"/>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15:restartNumberingAfterBreak="0">
    <w:nsid w:val="0A675585"/>
    <w:multiLevelType w:val="multilevel"/>
    <w:tmpl w:val="F53A5068"/>
    <w:lvl w:ilvl="0">
      <w:start w:val="1"/>
      <w:numFmt w:val="decimal"/>
      <w:lvlText w:val="6.6.%1."/>
      <w:lvlJc w:val="left"/>
      <w:pPr>
        <w:ind w:left="0" w:firstLine="0"/>
      </w:pPr>
      <w:rPr>
        <w:rFonts w:ascii="Times New Roman" w:eastAsia="Times New Roman" w:hAnsi="Times New Roman" w:cs="Times New Roman"/>
        <w:b w:val="0"/>
        <w:bCs w:val="0"/>
        <w:i w:val="0"/>
        <w:iCs w:val="0"/>
        <w:smallCaps w:val="0"/>
        <w:strike w:val="0"/>
        <w:dstrike w:val="0"/>
        <w:color w:val="000000"/>
        <w:spacing w:val="3"/>
        <w:w w:val="100"/>
        <w:position w:val="0"/>
        <w:sz w:val="24"/>
        <w:szCs w:val="24"/>
        <w:u w:val="none"/>
        <w:lang w:val="en-U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41" w15:restartNumberingAfterBreak="0">
    <w:nsid w:val="0AEE6D62"/>
    <w:multiLevelType w:val="multilevel"/>
    <w:tmpl w:val="8A08F920"/>
    <w:lvl w:ilvl="0">
      <w:start w:val="1"/>
      <w:numFmt w:val="decimal"/>
      <w:lvlText w:val="9.2.3.%1."/>
      <w:lvlJc w:val="left"/>
      <w:pPr>
        <w:ind w:left="0" w:firstLine="0"/>
      </w:pPr>
      <w:rPr>
        <w:rFonts w:ascii="Times New Roman" w:eastAsia="Times New Roman" w:hAnsi="Times New Roman" w:cs="Times New Roman"/>
        <w:b w:val="0"/>
        <w:bCs w:val="0"/>
        <w:i w:val="0"/>
        <w:iCs w:val="0"/>
        <w:smallCaps w:val="0"/>
        <w:strike w:val="0"/>
        <w:dstrike w:val="0"/>
        <w:color w:val="000000"/>
        <w:spacing w:val="3"/>
        <w:w w:val="100"/>
        <w:position w:val="0"/>
        <w:sz w:val="24"/>
        <w:szCs w:val="24"/>
        <w:u w:val="none"/>
        <w:lang w:val="en-U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42" w15:restartNumberingAfterBreak="0">
    <w:nsid w:val="0AFC2709"/>
    <w:multiLevelType w:val="multilevel"/>
    <w:tmpl w:val="B20264A4"/>
    <w:lvl w:ilvl="0">
      <w:start w:val="1"/>
      <w:numFmt w:val="decimal"/>
      <w:lvlText w:val="9.4.4.%1."/>
      <w:lvlJc w:val="left"/>
      <w:rPr>
        <w:rFonts w:ascii="Times New Roman" w:eastAsia="Times New Roman" w:hAnsi="Times New Roman" w:cs="Times New Roman"/>
        <w:b w:val="0"/>
        <w:bCs w:val="0"/>
        <w:i w:val="0"/>
        <w:iCs w:val="0"/>
        <w:smallCaps w:val="0"/>
        <w:strike w:val="0"/>
        <w:color w:val="000000"/>
        <w:spacing w:val="3"/>
        <w:w w:val="100"/>
        <w:position w:val="0"/>
        <w:sz w:val="24"/>
        <w:szCs w:val="24"/>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15:restartNumberingAfterBreak="0">
    <w:nsid w:val="0B741A19"/>
    <w:multiLevelType w:val="multilevel"/>
    <w:tmpl w:val="8BC46970"/>
    <w:lvl w:ilvl="0">
      <w:start w:val="1"/>
      <w:numFmt w:val="decimal"/>
      <w:lvlText w:val="2.4.%1"/>
      <w:lvlJc w:val="left"/>
      <w:rPr>
        <w:rFonts w:ascii="Times New Roman" w:eastAsia="Times New Roman" w:hAnsi="Times New Roman" w:cs="Times New Roman"/>
        <w:b w:val="0"/>
        <w:bCs w:val="0"/>
        <w:i w:val="0"/>
        <w:iCs w:val="0"/>
        <w:smallCaps w:val="0"/>
        <w:strike w:val="0"/>
        <w:color w:val="000000"/>
        <w:spacing w:val="3"/>
        <w:w w:val="100"/>
        <w:position w:val="0"/>
        <w:sz w:val="24"/>
        <w:szCs w:val="24"/>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15:restartNumberingAfterBreak="0">
    <w:nsid w:val="0B9209BF"/>
    <w:multiLevelType w:val="multilevel"/>
    <w:tmpl w:val="1B284C16"/>
    <w:lvl w:ilvl="0">
      <w:start w:val="1"/>
      <w:numFmt w:val="decimal"/>
      <w:lvlText w:val="11.4.1.3.%1."/>
      <w:lvlJc w:val="left"/>
      <w:rPr>
        <w:rFonts w:ascii="Times New Roman" w:eastAsia="Times New Roman" w:hAnsi="Times New Roman" w:cs="Times New Roman"/>
        <w:b w:val="0"/>
        <w:bCs w:val="0"/>
        <w:i w:val="0"/>
        <w:iCs w:val="0"/>
        <w:smallCaps w:val="0"/>
        <w:strike w:val="0"/>
        <w:color w:val="000000"/>
        <w:spacing w:val="3"/>
        <w:w w:val="100"/>
        <w:position w:val="0"/>
        <w:sz w:val="24"/>
        <w:szCs w:val="24"/>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 w15:restartNumberingAfterBreak="0">
    <w:nsid w:val="0B987E93"/>
    <w:multiLevelType w:val="multilevel"/>
    <w:tmpl w:val="617AF7E0"/>
    <w:lvl w:ilvl="0">
      <w:start w:val="2"/>
      <w:numFmt w:val="lowerLetter"/>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3"/>
        <w:w w:val="100"/>
        <w:position w:val="0"/>
        <w:sz w:val="24"/>
        <w:szCs w:val="24"/>
        <w:u w:val="none"/>
        <w:lang w:val="en-US"/>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46" w15:restartNumberingAfterBreak="0">
    <w:nsid w:val="0BA73640"/>
    <w:multiLevelType w:val="multilevel"/>
    <w:tmpl w:val="DACC477C"/>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3"/>
        <w:w w:val="100"/>
        <w:position w:val="0"/>
        <w:sz w:val="24"/>
        <w:szCs w:val="24"/>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7" w15:restartNumberingAfterBreak="0">
    <w:nsid w:val="0BB02041"/>
    <w:multiLevelType w:val="multilevel"/>
    <w:tmpl w:val="4886B668"/>
    <w:lvl w:ilvl="0">
      <w:start w:val="1"/>
      <w:numFmt w:val="decimal"/>
      <w:lvlText w:val="9.3.2.3.%1."/>
      <w:lvlJc w:val="left"/>
      <w:pPr>
        <w:ind w:left="0" w:firstLine="0"/>
      </w:pPr>
      <w:rPr>
        <w:rFonts w:ascii="Times New Roman" w:eastAsia="Times New Roman" w:hAnsi="Times New Roman" w:cs="Times New Roman"/>
        <w:b w:val="0"/>
        <w:bCs w:val="0"/>
        <w:i w:val="0"/>
        <w:iCs w:val="0"/>
        <w:smallCaps w:val="0"/>
        <w:strike w:val="0"/>
        <w:dstrike w:val="0"/>
        <w:color w:val="000000"/>
        <w:spacing w:val="3"/>
        <w:w w:val="100"/>
        <w:position w:val="0"/>
        <w:sz w:val="24"/>
        <w:szCs w:val="24"/>
        <w:u w:val="none"/>
        <w:lang w:val="en-U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48" w15:restartNumberingAfterBreak="0">
    <w:nsid w:val="0BD04D41"/>
    <w:multiLevelType w:val="multilevel"/>
    <w:tmpl w:val="D7A42D04"/>
    <w:lvl w:ilvl="0">
      <w:start w:val="1"/>
      <w:numFmt w:val="decimal"/>
      <w:lvlText w:val="7.6.%1."/>
      <w:lvlJc w:val="left"/>
      <w:rPr>
        <w:rFonts w:ascii="Times New Roman" w:eastAsia="Times New Roman" w:hAnsi="Times New Roman" w:cs="Times New Roman"/>
        <w:b w:val="0"/>
        <w:bCs w:val="0"/>
        <w:i w:val="0"/>
        <w:iCs w:val="0"/>
        <w:smallCaps w:val="0"/>
        <w:strike w:val="0"/>
        <w:color w:val="000000"/>
        <w:spacing w:val="3"/>
        <w:w w:val="100"/>
        <w:position w:val="0"/>
        <w:sz w:val="24"/>
        <w:szCs w:val="24"/>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9" w15:restartNumberingAfterBreak="0">
    <w:nsid w:val="0C0D7BB4"/>
    <w:multiLevelType w:val="multilevel"/>
    <w:tmpl w:val="5BEE18C0"/>
    <w:lvl w:ilvl="0">
      <w:start w:val="1"/>
      <w:numFmt w:val="decimal"/>
      <w:lvlText w:val="7.3.%1."/>
      <w:lvlJc w:val="left"/>
      <w:rPr>
        <w:rFonts w:ascii="Times New Roman" w:eastAsia="Times New Roman" w:hAnsi="Times New Roman" w:cs="Times New Roman"/>
        <w:b w:val="0"/>
        <w:bCs w:val="0"/>
        <w:i w:val="0"/>
        <w:iCs w:val="0"/>
        <w:smallCaps w:val="0"/>
        <w:strike w:val="0"/>
        <w:color w:val="000000"/>
        <w:spacing w:val="3"/>
        <w:w w:val="100"/>
        <w:position w:val="0"/>
        <w:sz w:val="24"/>
        <w:szCs w:val="24"/>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0" w15:restartNumberingAfterBreak="0">
    <w:nsid w:val="0C68160E"/>
    <w:multiLevelType w:val="multilevel"/>
    <w:tmpl w:val="60C01F1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3"/>
        <w:w w:val="100"/>
        <w:position w:val="0"/>
        <w:sz w:val="18"/>
        <w:szCs w:val="18"/>
        <w:u w:val="none"/>
        <w:lang w:val="en-US"/>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3"/>
        <w:w w:val="100"/>
        <w:position w:val="0"/>
        <w:sz w:val="24"/>
        <w:szCs w:val="24"/>
        <w:u w:val="none"/>
        <w:lang w:val="en-US"/>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3"/>
        <w:w w:val="100"/>
        <w:position w:val="0"/>
        <w:sz w:val="24"/>
        <w:szCs w:val="24"/>
        <w:u w:val="none"/>
        <w:lang w:val="en-US"/>
      </w:rPr>
    </w:lvl>
    <w:lvl w:ilvl="3">
      <w:start w:val="2"/>
      <w:numFmt w:val="decimal"/>
      <w:lvlText w:val="%1.%2.%3.%4."/>
      <w:lvlJc w:val="left"/>
      <w:rPr>
        <w:rFonts w:ascii="Times New Roman" w:eastAsia="Times New Roman" w:hAnsi="Times New Roman" w:cs="Times New Roman"/>
        <w:b w:val="0"/>
        <w:bCs w:val="0"/>
        <w:i w:val="0"/>
        <w:iCs w:val="0"/>
        <w:smallCaps w:val="0"/>
        <w:strike w:val="0"/>
        <w:color w:val="000000"/>
        <w:spacing w:val="3"/>
        <w:w w:val="100"/>
        <w:position w:val="0"/>
        <w:sz w:val="14"/>
        <w:szCs w:val="14"/>
        <w:u w:val="none"/>
        <w:lang w:val="en-US"/>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1" w15:restartNumberingAfterBreak="0">
    <w:nsid w:val="0C81600F"/>
    <w:multiLevelType w:val="multilevel"/>
    <w:tmpl w:val="0770C98C"/>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3"/>
        <w:w w:val="100"/>
        <w:position w:val="0"/>
        <w:sz w:val="24"/>
        <w:szCs w:val="24"/>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2" w15:restartNumberingAfterBreak="0">
    <w:nsid w:val="0C820E60"/>
    <w:multiLevelType w:val="multilevel"/>
    <w:tmpl w:val="2F264A70"/>
    <w:lvl w:ilvl="0">
      <w:start w:val="1"/>
      <w:numFmt w:val="lowerLetter"/>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3"/>
        <w:w w:val="100"/>
        <w:position w:val="0"/>
        <w:sz w:val="24"/>
        <w:szCs w:val="24"/>
        <w:u w:val="none"/>
        <w:lang w:val="en-U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53" w15:restartNumberingAfterBreak="0">
    <w:nsid w:val="0D134B54"/>
    <w:multiLevelType w:val="multilevel"/>
    <w:tmpl w:val="699269D0"/>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3"/>
        <w:w w:val="100"/>
        <w:position w:val="0"/>
        <w:sz w:val="24"/>
        <w:szCs w:val="24"/>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4" w15:restartNumberingAfterBreak="0">
    <w:nsid w:val="0DB80867"/>
    <w:multiLevelType w:val="multilevel"/>
    <w:tmpl w:val="936881D6"/>
    <w:lvl w:ilvl="0">
      <w:start w:val="1"/>
      <w:numFmt w:val="decimal"/>
      <w:lvlText w:val="7.7.%1."/>
      <w:lvlJc w:val="left"/>
      <w:rPr>
        <w:rFonts w:ascii="Times New Roman" w:eastAsia="Times New Roman" w:hAnsi="Times New Roman" w:cs="Times New Roman"/>
        <w:b w:val="0"/>
        <w:bCs w:val="0"/>
        <w:i w:val="0"/>
        <w:iCs w:val="0"/>
        <w:smallCaps w:val="0"/>
        <w:strike w:val="0"/>
        <w:color w:val="000000"/>
        <w:spacing w:val="3"/>
        <w:w w:val="100"/>
        <w:position w:val="0"/>
        <w:sz w:val="24"/>
        <w:szCs w:val="24"/>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5" w15:restartNumberingAfterBreak="0">
    <w:nsid w:val="0E005995"/>
    <w:multiLevelType w:val="multilevel"/>
    <w:tmpl w:val="6A640C00"/>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3"/>
        <w:w w:val="100"/>
        <w:position w:val="0"/>
        <w:sz w:val="24"/>
        <w:szCs w:val="24"/>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6" w15:restartNumberingAfterBreak="0">
    <w:nsid w:val="0ED948B1"/>
    <w:multiLevelType w:val="multilevel"/>
    <w:tmpl w:val="84F8BE16"/>
    <w:lvl w:ilvl="0">
      <w:start w:val="1"/>
      <w:numFmt w:val="decimal"/>
      <w:lvlText w:val="8.2.1.%1."/>
      <w:lvlJc w:val="left"/>
      <w:rPr>
        <w:rFonts w:ascii="Times New Roman" w:eastAsia="Times New Roman" w:hAnsi="Times New Roman" w:cs="Times New Roman"/>
        <w:b w:val="0"/>
        <w:bCs w:val="0"/>
        <w:i w:val="0"/>
        <w:iCs w:val="0"/>
        <w:smallCaps w:val="0"/>
        <w:strike w:val="0"/>
        <w:color w:val="000000"/>
        <w:spacing w:val="3"/>
        <w:w w:val="100"/>
        <w:position w:val="0"/>
        <w:sz w:val="24"/>
        <w:szCs w:val="24"/>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7" w15:restartNumberingAfterBreak="0">
    <w:nsid w:val="0F1E19C8"/>
    <w:multiLevelType w:val="multilevel"/>
    <w:tmpl w:val="1614628A"/>
    <w:lvl w:ilvl="0">
      <w:start w:val="1"/>
      <w:numFmt w:val="decimal"/>
      <w:lvlText w:val="8.1.5.%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8" w15:restartNumberingAfterBreak="0">
    <w:nsid w:val="0F527E26"/>
    <w:multiLevelType w:val="multilevel"/>
    <w:tmpl w:val="95D48F8A"/>
    <w:lvl w:ilvl="0">
      <w:start w:val="9"/>
      <w:numFmt w:val="decimal"/>
      <w:lvlText w:val="%1."/>
      <w:lvlJc w:val="left"/>
      <w:pPr>
        <w:ind w:left="552" w:hanging="552"/>
      </w:pPr>
      <w:rPr>
        <w:rFonts w:hint="default"/>
      </w:rPr>
    </w:lvl>
    <w:lvl w:ilvl="1">
      <w:start w:val="4"/>
      <w:numFmt w:val="decimal"/>
      <w:lvlText w:val="%1.%2."/>
      <w:lvlJc w:val="left"/>
      <w:pPr>
        <w:ind w:left="1467" w:hanging="720"/>
      </w:pPr>
      <w:rPr>
        <w:rFonts w:hint="default"/>
      </w:rPr>
    </w:lvl>
    <w:lvl w:ilvl="2">
      <w:start w:val="8"/>
      <w:numFmt w:val="decimal"/>
      <w:lvlText w:val="%1.%2.%3."/>
      <w:lvlJc w:val="left"/>
      <w:pPr>
        <w:ind w:left="2214" w:hanging="720"/>
      </w:pPr>
      <w:rPr>
        <w:rFonts w:hint="default"/>
      </w:rPr>
    </w:lvl>
    <w:lvl w:ilvl="3">
      <w:start w:val="1"/>
      <w:numFmt w:val="decimal"/>
      <w:lvlText w:val="%1.%2.%3.%4."/>
      <w:lvlJc w:val="left"/>
      <w:pPr>
        <w:ind w:left="3321" w:hanging="1080"/>
      </w:pPr>
      <w:rPr>
        <w:rFonts w:hint="default"/>
      </w:rPr>
    </w:lvl>
    <w:lvl w:ilvl="4">
      <w:start w:val="1"/>
      <w:numFmt w:val="decimal"/>
      <w:lvlText w:val="%1.%2.%3.%4.%5."/>
      <w:lvlJc w:val="left"/>
      <w:pPr>
        <w:ind w:left="4068" w:hanging="1080"/>
      </w:pPr>
      <w:rPr>
        <w:rFonts w:hint="default"/>
      </w:rPr>
    </w:lvl>
    <w:lvl w:ilvl="5">
      <w:start w:val="1"/>
      <w:numFmt w:val="decimal"/>
      <w:lvlText w:val="%1.%2.%3.%4.%5.%6."/>
      <w:lvlJc w:val="left"/>
      <w:pPr>
        <w:ind w:left="5175" w:hanging="1440"/>
      </w:pPr>
      <w:rPr>
        <w:rFonts w:hint="default"/>
      </w:rPr>
    </w:lvl>
    <w:lvl w:ilvl="6">
      <w:start w:val="1"/>
      <w:numFmt w:val="decimal"/>
      <w:lvlText w:val="%1.%2.%3.%4.%5.%6.%7."/>
      <w:lvlJc w:val="left"/>
      <w:pPr>
        <w:ind w:left="5922" w:hanging="1440"/>
      </w:pPr>
      <w:rPr>
        <w:rFonts w:hint="default"/>
      </w:rPr>
    </w:lvl>
    <w:lvl w:ilvl="7">
      <w:start w:val="1"/>
      <w:numFmt w:val="decimal"/>
      <w:lvlText w:val="%1.%2.%3.%4.%5.%6.%7.%8."/>
      <w:lvlJc w:val="left"/>
      <w:pPr>
        <w:ind w:left="7029" w:hanging="1800"/>
      </w:pPr>
      <w:rPr>
        <w:rFonts w:hint="default"/>
      </w:rPr>
    </w:lvl>
    <w:lvl w:ilvl="8">
      <w:start w:val="1"/>
      <w:numFmt w:val="decimal"/>
      <w:lvlText w:val="%1.%2.%3.%4.%5.%6.%7.%8.%9."/>
      <w:lvlJc w:val="left"/>
      <w:pPr>
        <w:ind w:left="7776" w:hanging="1800"/>
      </w:pPr>
      <w:rPr>
        <w:rFonts w:hint="default"/>
      </w:rPr>
    </w:lvl>
  </w:abstractNum>
  <w:abstractNum w:abstractNumId="59" w15:restartNumberingAfterBreak="0">
    <w:nsid w:val="0F7E1A68"/>
    <w:multiLevelType w:val="multilevel"/>
    <w:tmpl w:val="D7F8DFDE"/>
    <w:lvl w:ilvl="0">
      <w:start w:val="1"/>
      <w:numFmt w:val="decimal"/>
      <w:lvlText w:val="6.1.%1."/>
      <w:lvlJc w:val="left"/>
      <w:pPr>
        <w:ind w:left="0" w:firstLine="0"/>
      </w:pPr>
      <w:rPr>
        <w:rFonts w:ascii="Times New Roman" w:eastAsia="Times New Roman" w:hAnsi="Times New Roman" w:cs="Times New Roman"/>
        <w:b w:val="0"/>
        <w:bCs w:val="0"/>
        <w:i w:val="0"/>
        <w:iCs w:val="0"/>
        <w:smallCaps w:val="0"/>
        <w:strike w:val="0"/>
        <w:dstrike w:val="0"/>
        <w:color w:val="000000"/>
        <w:spacing w:val="4"/>
        <w:w w:val="100"/>
        <w:position w:val="0"/>
        <w:sz w:val="24"/>
        <w:szCs w:val="24"/>
        <w:u w:val="none"/>
        <w:lang w:val="en-U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60" w15:restartNumberingAfterBreak="0">
    <w:nsid w:val="0FEB4D79"/>
    <w:multiLevelType w:val="multilevel"/>
    <w:tmpl w:val="4F3ADB48"/>
    <w:lvl w:ilvl="0">
      <w:start w:val="1"/>
      <w:numFmt w:val="lowerRoman"/>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3"/>
        <w:w w:val="100"/>
        <w:position w:val="0"/>
        <w:sz w:val="24"/>
        <w:szCs w:val="24"/>
        <w:u w:val="none"/>
        <w:lang w:val="en-U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61" w15:restartNumberingAfterBreak="0">
    <w:nsid w:val="0FEC711A"/>
    <w:multiLevelType w:val="multilevel"/>
    <w:tmpl w:val="ED80F1E2"/>
    <w:lvl w:ilvl="0">
      <w:start w:val="2"/>
      <w:numFmt w:val="decimal"/>
      <w:lvlText w:val="6.3.%1."/>
      <w:lvlJc w:val="left"/>
      <w:rPr>
        <w:rFonts w:ascii="Times New Roman" w:eastAsia="Times New Roman" w:hAnsi="Times New Roman" w:cs="Times New Roman"/>
        <w:b w:val="0"/>
        <w:bCs w:val="0"/>
        <w:i w:val="0"/>
        <w:iCs w:val="0"/>
        <w:smallCaps w:val="0"/>
        <w:strike w:val="0"/>
        <w:color w:val="000000"/>
        <w:spacing w:val="3"/>
        <w:w w:val="100"/>
        <w:position w:val="0"/>
        <w:sz w:val="24"/>
        <w:szCs w:val="24"/>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2" w15:restartNumberingAfterBreak="0">
    <w:nsid w:val="0FF72A59"/>
    <w:multiLevelType w:val="multilevel"/>
    <w:tmpl w:val="14C897FA"/>
    <w:lvl w:ilvl="0">
      <w:start w:val="2"/>
      <w:numFmt w:val="decimal"/>
      <w:lvlText w:val="2.2.%1."/>
      <w:lvlJc w:val="left"/>
      <w:rPr>
        <w:rFonts w:ascii="Times New Roman" w:eastAsia="Times New Roman" w:hAnsi="Times New Roman" w:cs="Times New Roman"/>
        <w:b w:val="0"/>
        <w:bCs w:val="0"/>
        <w:i w:val="0"/>
        <w:iCs w:val="0"/>
        <w:smallCaps w:val="0"/>
        <w:strike w:val="0"/>
        <w:color w:val="000000"/>
        <w:spacing w:val="3"/>
        <w:w w:val="100"/>
        <w:position w:val="0"/>
        <w:sz w:val="24"/>
        <w:szCs w:val="24"/>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3" w15:restartNumberingAfterBreak="0">
    <w:nsid w:val="0FF83F7F"/>
    <w:multiLevelType w:val="multilevel"/>
    <w:tmpl w:val="A0D4592C"/>
    <w:lvl w:ilvl="0">
      <w:start w:val="1"/>
      <w:numFmt w:val="decimal"/>
      <w:lvlText w:val="9.2.3.%1."/>
      <w:lvlJc w:val="left"/>
      <w:pPr>
        <w:ind w:left="0" w:firstLine="0"/>
      </w:pPr>
      <w:rPr>
        <w:rFonts w:ascii="Times New Roman" w:eastAsia="Times New Roman" w:hAnsi="Times New Roman" w:cs="Times New Roman"/>
        <w:b w:val="0"/>
        <w:bCs w:val="0"/>
        <w:i w:val="0"/>
        <w:iCs w:val="0"/>
        <w:smallCaps w:val="0"/>
        <w:strike w:val="0"/>
        <w:dstrike w:val="0"/>
        <w:color w:val="000000"/>
        <w:spacing w:val="3"/>
        <w:w w:val="100"/>
        <w:position w:val="0"/>
        <w:sz w:val="24"/>
        <w:szCs w:val="24"/>
        <w:u w:val="none"/>
        <w:lang w:val="en-U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64" w15:restartNumberingAfterBreak="0">
    <w:nsid w:val="10251020"/>
    <w:multiLevelType w:val="multilevel"/>
    <w:tmpl w:val="33EA2884"/>
    <w:lvl w:ilvl="0">
      <w:start w:val="1"/>
      <w:numFmt w:val="decimal"/>
      <w:lvlText w:val="8.%1"/>
      <w:lvlJc w:val="left"/>
      <w:rPr>
        <w:rFonts w:ascii="Times New Roman" w:eastAsia="Times New Roman" w:hAnsi="Times New Roman" w:cs="Times New Roman"/>
        <w:b w:val="0"/>
        <w:bCs w:val="0"/>
        <w:i w:val="0"/>
        <w:iCs w:val="0"/>
        <w:smallCaps w:val="0"/>
        <w:strike w:val="0"/>
        <w:color w:val="000000"/>
        <w:spacing w:val="3"/>
        <w:w w:val="100"/>
        <w:position w:val="0"/>
        <w:sz w:val="24"/>
        <w:szCs w:val="24"/>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5" w15:restartNumberingAfterBreak="0">
    <w:nsid w:val="10A11CFC"/>
    <w:multiLevelType w:val="multilevel"/>
    <w:tmpl w:val="261412D4"/>
    <w:lvl w:ilvl="0">
      <w:start w:val="4"/>
      <w:numFmt w:val="decimal"/>
      <w:lvlText w:val="10.%1."/>
      <w:lvlJc w:val="left"/>
      <w:rPr>
        <w:rFonts w:ascii="Times New Roman" w:eastAsia="Times New Roman" w:hAnsi="Times New Roman" w:cs="Times New Roman"/>
        <w:b w:val="0"/>
        <w:bCs w:val="0"/>
        <w:i w:val="0"/>
        <w:iCs w:val="0"/>
        <w:smallCaps w:val="0"/>
        <w:strike w:val="0"/>
        <w:color w:val="000000"/>
        <w:spacing w:val="3"/>
        <w:w w:val="100"/>
        <w:position w:val="0"/>
        <w:sz w:val="24"/>
        <w:szCs w:val="24"/>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6" w15:restartNumberingAfterBreak="0">
    <w:nsid w:val="10C50E91"/>
    <w:multiLevelType w:val="multilevel"/>
    <w:tmpl w:val="A5E48DC4"/>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3"/>
        <w:w w:val="100"/>
        <w:position w:val="0"/>
        <w:sz w:val="24"/>
        <w:szCs w:val="24"/>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7" w15:restartNumberingAfterBreak="0">
    <w:nsid w:val="11006D5D"/>
    <w:multiLevelType w:val="multilevel"/>
    <w:tmpl w:val="22544908"/>
    <w:lvl w:ilvl="0">
      <w:start w:val="1"/>
      <w:numFmt w:val="decimal"/>
      <w:lvlText w:val="3.3.3.%1."/>
      <w:lvlJc w:val="left"/>
      <w:rPr>
        <w:rFonts w:ascii="Times New Roman" w:eastAsia="Times New Roman" w:hAnsi="Times New Roman" w:cs="Times New Roman"/>
        <w:b w:val="0"/>
        <w:bCs w:val="0"/>
        <w:i w:val="0"/>
        <w:iCs w:val="0"/>
        <w:smallCaps w:val="0"/>
        <w:strike w:val="0"/>
        <w:color w:val="000000"/>
        <w:spacing w:val="3"/>
        <w:w w:val="100"/>
        <w:position w:val="0"/>
        <w:sz w:val="24"/>
        <w:szCs w:val="24"/>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8" w15:restartNumberingAfterBreak="0">
    <w:nsid w:val="121C7906"/>
    <w:multiLevelType w:val="multilevel"/>
    <w:tmpl w:val="697ACD4C"/>
    <w:lvl w:ilvl="0">
      <w:start w:val="8"/>
      <w:numFmt w:val="lowerLetter"/>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3"/>
        <w:w w:val="100"/>
        <w:position w:val="0"/>
        <w:sz w:val="24"/>
        <w:szCs w:val="24"/>
        <w:u w:val="none"/>
        <w:lang w:val="en-U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69" w15:restartNumberingAfterBreak="0">
    <w:nsid w:val="12556E0E"/>
    <w:multiLevelType w:val="multilevel"/>
    <w:tmpl w:val="D3F4EF16"/>
    <w:lvl w:ilvl="0">
      <w:start w:val="1"/>
      <w:numFmt w:val="decimal"/>
      <w:lvlText w:val="10.2.%1."/>
      <w:lvlJc w:val="left"/>
      <w:rPr>
        <w:rFonts w:ascii="Times New Roman" w:eastAsia="Times New Roman" w:hAnsi="Times New Roman" w:cs="Times New Roman"/>
        <w:b w:val="0"/>
        <w:bCs w:val="0"/>
        <w:i w:val="0"/>
        <w:iCs w:val="0"/>
        <w:smallCaps w:val="0"/>
        <w:strike w:val="0"/>
        <w:color w:val="000000"/>
        <w:spacing w:val="3"/>
        <w:w w:val="100"/>
        <w:position w:val="0"/>
        <w:sz w:val="24"/>
        <w:szCs w:val="24"/>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0" w15:restartNumberingAfterBreak="0">
    <w:nsid w:val="12562461"/>
    <w:multiLevelType w:val="multilevel"/>
    <w:tmpl w:val="89B09546"/>
    <w:lvl w:ilvl="0">
      <w:start w:val="1"/>
      <w:numFmt w:val="decimal"/>
      <w:lvlText w:val="2.3.2.%1."/>
      <w:lvlJc w:val="left"/>
      <w:rPr>
        <w:rFonts w:ascii="Times New Roman" w:eastAsia="Times New Roman" w:hAnsi="Times New Roman" w:cs="Times New Roman"/>
        <w:b w:val="0"/>
        <w:bCs w:val="0"/>
        <w:i w:val="0"/>
        <w:iCs w:val="0"/>
        <w:smallCaps w:val="0"/>
        <w:strike w:val="0"/>
        <w:color w:val="000000"/>
        <w:spacing w:val="3"/>
        <w:w w:val="100"/>
        <w:position w:val="0"/>
        <w:sz w:val="24"/>
        <w:szCs w:val="24"/>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1" w15:restartNumberingAfterBreak="0">
    <w:nsid w:val="12975011"/>
    <w:multiLevelType w:val="multilevel"/>
    <w:tmpl w:val="12975011"/>
    <w:lvl w:ilvl="0">
      <w:start w:val="1"/>
      <w:numFmt w:val="lowerLetter"/>
      <w:lvlText w:val="(%1)"/>
      <w:lvlJc w:val="left"/>
      <w:pPr>
        <w:ind w:left="1571" w:hanging="360"/>
      </w:pPr>
      <w:rPr>
        <w:rFonts w:hint="default"/>
      </w:rPr>
    </w:lvl>
    <w:lvl w:ilvl="1">
      <w:start w:val="1"/>
      <w:numFmt w:val="lowerLetter"/>
      <w:lvlText w:val="%2."/>
      <w:lvlJc w:val="left"/>
      <w:pPr>
        <w:ind w:left="2291" w:hanging="360"/>
      </w:pPr>
    </w:lvl>
    <w:lvl w:ilvl="2">
      <w:start w:val="1"/>
      <w:numFmt w:val="lowerRoman"/>
      <w:lvlText w:val="%3."/>
      <w:lvlJc w:val="right"/>
      <w:pPr>
        <w:ind w:left="3011" w:hanging="180"/>
      </w:pPr>
    </w:lvl>
    <w:lvl w:ilvl="3">
      <w:start w:val="1"/>
      <w:numFmt w:val="decimal"/>
      <w:lvlText w:val="%4."/>
      <w:lvlJc w:val="left"/>
      <w:pPr>
        <w:ind w:left="3731" w:hanging="360"/>
      </w:pPr>
    </w:lvl>
    <w:lvl w:ilvl="4">
      <w:start w:val="1"/>
      <w:numFmt w:val="lowerLetter"/>
      <w:lvlText w:val="%5."/>
      <w:lvlJc w:val="left"/>
      <w:pPr>
        <w:ind w:left="4451" w:hanging="360"/>
      </w:pPr>
    </w:lvl>
    <w:lvl w:ilvl="5">
      <w:start w:val="1"/>
      <w:numFmt w:val="lowerRoman"/>
      <w:lvlText w:val="%6."/>
      <w:lvlJc w:val="right"/>
      <w:pPr>
        <w:ind w:left="5171" w:hanging="180"/>
      </w:pPr>
    </w:lvl>
    <w:lvl w:ilvl="6">
      <w:start w:val="1"/>
      <w:numFmt w:val="decimal"/>
      <w:lvlText w:val="%7."/>
      <w:lvlJc w:val="left"/>
      <w:pPr>
        <w:ind w:left="5891" w:hanging="360"/>
      </w:pPr>
    </w:lvl>
    <w:lvl w:ilvl="7">
      <w:start w:val="1"/>
      <w:numFmt w:val="lowerLetter"/>
      <w:lvlText w:val="%8."/>
      <w:lvlJc w:val="left"/>
      <w:pPr>
        <w:ind w:left="6611" w:hanging="360"/>
      </w:pPr>
    </w:lvl>
    <w:lvl w:ilvl="8">
      <w:start w:val="1"/>
      <w:numFmt w:val="lowerRoman"/>
      <w:lvlText w:val="%9."/>
      <w:lvlJc w:val="right"/>
      <w:pPr>
        <w:ind w:left="7331" w:hanging="180"/>
      </w:pPr>
    </w:lvl>
  </w:abstractNum>
  <w:abstractNum w:abstractNumId="72" w15:restartNumberingAfterBreak="0">
    <w:nsid w:val="12BF5DDF"/>
    <w:multiLevelType w:val="multilevel"/>
    <w:tmpl w:val="8DB28BD8"/>
    <w:lvl w:ilvl="0">
      <w:start w:val="1"/>
      <w:numFmt w:val="decimal"/>
      <w:lvlText w:val="6.%1."/>
      <w:lvlJc w:val="left"/>
      <w:rPr>
        <w:rFonts w:ascii="Times New Roman" w:eastAsia="Times New Roman" w:hAnsi="Times New Roman" w:cs="Times New Roman"/>
        <w:b w:val="0"/>
        <w:bCs w:val="0"/>
        <w:i w:val="0"/>
        <w:iCs w:val="0"/>
        <w:smallCaps w:val="0"/>
        <w:strike w:val="0"/>
        <w:color w:val="000000"/>
        <w:spacing w:val="3"/>
        <w:w w:val="100"/>
        <w:position w:val="0"/>
        <w:sz w:val="24"/>
        <w:szCs w:val="24"/>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3" w15:restartNumberingAfterBreak="0">
    <w:nsid w:val="12CE2104"/>
    <w:multiLevelType w:val="multilevel"/>
    <w:tmpl w:val="7C1CCDD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4" w15:restartNumberingAfterBreak="0">
    <w:nsid w:val="136A066A"/>
    <w:multiLevelType w:val="multilevel"/>
    <w:tmpl w:val="5FFCB8F6"/>
    <w:lvl w:ilvl="0">
      <w:start w:val="4"/>
      <w:numFmt w:val="decimal"/>
      <w:lvlText w:val="2.%1."/>
      <w:lvlJc w:val="left"/>
      <w:rPr>
        <w:rFonts w:ascii="Times New Roman" w:eastAsia="Times New Roman" w:hAnsi="Times New Roman" w:cs="Times New Roman"/>
        <w:b w:val="0"/>
        <w:bCs w:val="0"/>
        <w:i w:val="0"/>
        <w:iCs w:val="0"/>
        <w:smallCaps w:val="0"/>
        <w:strike w:val="0"/>
        <w:color w:val="000000"/>
        <w:spacing w:val="3"/>
        <w:w w:val="100"/>
        <w:position w:val="0"/>
        <w:sz w:val="24"/>
        <w:szCs w:val="24"/>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5" w15:restartNumberingAfterBreak="0">
    <w:nsid w:val="139150AC"/>
    <w:multiLevelType w:val="multilevel"/>
    <w:tmpl w:val="239A4E94"/>
    <w:lvl w:ilvl="0">
      <w:start w:val="1"/>
      <w:numFmt w:val="decimal"/>
      <w:lvlText w:val="11.4.1.%1."/>
      <w:lvlJc w:val="left"/>
      <w:rPr>
        <w:rFonts w:ascii="Times New Roman" w:eastAsia="Times New Roman" w:hAnsi="Times New Roman" w:cs="Times New Roman"/>
        <w:b w:val="0"/>
        <w:bCs w:val="0"/>
        <w:i w:val="0"/>
        <w:iCs w:val="0"/>
        <w:smallCaps w:val="0"/>
        <w:strike w:val="0"/>
        <w:color w:val="000000"/>
        <w:spacing w:val="3"/>
        <w:w w:val="100"/>
        <w:position w:val="0"/>
        <w:sz w:val="24"/>
        <w:szCs w:val="24"/>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6" w15:restartNumberingAfterBreak="0">
    <w:nsid w:val="139746C5"/>
    <w:multiLevelType w:val="multilevel"/>
    <w:tmpl w:val="B6461DD6"/>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3"/>
        <w:w w:val="100"/>
        <w:position w:val="0"/>
        <w:sz w:val="24"/>
        <w:szCs w:val="24"/>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7" w15:restartNumberingAfterBreak="0">
    <w:nsid w:val="13BA6828"/>
    <w:multiLevelType w:val="multilevel"/>
    <w:tmpl w:val="2402ABF6"/>
    <w:lvl w:ilvl="0">
      <w:start w:val="1"/>
      <w:numFmt w:val="decimal"/>
      <w:lvlText w:val="3.3.2.%1."/>
      <w:lvlJc w:val="left"/>
      <w:rPr>
        <w:rFonts w:ascii="Times New Roman" w:eastAsia="Times New Roman" w:hAnsi="Times New Roman" w:cs="Times New Roman"/>
        <w:b w:val="0"/>
        <w:bCs w:val="0"/>
        <w:i w:val="0"/>
        <w:iCs w:val="0"/>
        <w:smallCaps w:val="0"/>
        <w:strike w:val="0"/>
        <w:color w:val="000000"/>
        <w:spacing w:val="3"/>
        <w:w w:val="100"/>
        <w:position w:val="0"/>
        <w:sz w:val="24"/>
        <w:szCs w:val="24"/>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8" w15:restartNumberingAfterBreak="0">
    <w:nsid w:val="1406596C"/>
    <w:multiLevelType w:val="multilevel"/>
    <w:tmpl w:val="4C5AA35A"/>
    <w:lvl w:ilvl="0">
      <w:start w:val="1"/>
      <w:numFmt w:val="lowerLetter"/>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3"/>
        <w:w w:val="100"/>
        <w:position w:val="0"/>
        <w:sz w:val="24"/>
        <w:szCs w:val="24"/>
        <w:u w:val="none"/>
        <w:lang w:val="en-U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79" w15:restartNumberingAfterBreak="0">
    <w:nsid w:val="14147313"/>
    <w:multiLevelType w:val="multilevel"/>
    <w:tmpl w:val="0E9CDA52"/>
    <w:lvl w:ilvl="0">
      <w:start w:val="1"/>
      <w:numFmt w:val="decimal"/>
      <w:lvlText w:val="9.3.3.%1."/>
      <w:lvlJc w:val="left"/>
      <w:pPr>
        <w:ind w:left="0" w:firstLine="0"/>
      </w:pPr>
      <w:rPr>
        <w:rFonts w:ascii="Times New Roman" w:eastAsia="Times New Roman" w:hAnsi="Times New Roman" w:cs="Times New Roman"/>
        <w:b w:val="0"/>
        <w:bCs w:val="0"/>
        <w:i w:val="0"/>
        <w:iCs w:val="0"/>
        <w:smallCaps w:val="0"/>
        <w:strike w:val="0"/>
        <w:dstrike w:val="0"/>
        <w:color w:val="000000"/>
        <w:spacing w:val="3"/>
        <w:w w:val="100"/>
        <w:position w:val="0"/>
        <w:sz w:val="24"/>
        <w:szCs w:val="24"/>
        <w:u w:val="none"/>
        <w:lang w:val="en-U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80" w15:restartNumberingAfterBreak="0">
    <w:nsid w:val="146E7CFA"/>
    <w:multiLevelType w:val="multilevel"/>
    <w:tmpl w:val="F8A8D022"/>
    <w:lvl w:ilvl="0">
      <w:start w:val="1"/>
      <w:numFmt w:val="decimal"/>
      <w:lvlText w:val="9.3.4.%1."/>
      <w:lvlJc w:val="left"/>
      <w:pPr>
        <w:ind w:left="0" w:firstLine="0"/>
      </w:pPr>
      <w:rPr>
        <w:rFonts w:ascii="Times New Roman" w:eastAsia="Times New Roman" w:hAnsi="Times New Roman" w:cs="Times New Roman"/>
        <w:b w:val="0"/>
        <w:bCs w:val="0"/>
        <w:i w:val="0"/>
        <w:iCs w:val="0"/>
        <w:smallCaps w:val="0"/>
        <w:strike w:val="0"/>
        <w:dstrike w:val="0"/>
        <w:color w:val="000000"/>
        <w:spacing w:val="3"/>
        <w:w w:val="100"/>
        <w:position w:val="0"/>
        <w:sz w:val="24"/>
        <w:szCs w:val="24"/>
        <w:u w:val="none"/>
        <w:lang w:val="en-U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81" w15:restartNumberingAfterBreak="0">
    <w:nsid w:val="146F2BF5"/>
    <w:multiLevelType w:val="multilevel"/>
    <w:tmpl w:val="8A58D5D6"/>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3"/>
        <w:w w:val="100"/>
        <w:position w:val="0"/>
        <w:sz w:val="24"/>
        <w:szCs w:val="24"/>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2" w15:restartNumberingAfterBreak="0">
    <w:nsid w:val="1495546B"/>
    <w:multiLevelType w:val="multilevel"/>
    <w:tmpl w:val="1495546B"/>
    <w:lvl w:ilvl="0">
      <w:start w:val="1"/>
      <w:numFmt w:val="lowerLetter"/>
      <w:lvlText w:val="(%1)"/>
      <w:lvlJc w:val="left"/>
      <w:pPr>
        <w:ind w:left="1576" w:hanging="360"/>
      </w:pPr>
      <w:rPr>
        <w:rFonts w:hint="default"/>
      </w:rPr>
    </w:lvl>
    <w:lvl w:ilvl="1">
      <w:start w:val="1"/>
      <w:numFmt w:val="lowerLetter"/>
      <w:lvlText w:val="%2."/>
      <w:lvlJc w:val="left"/>
      <w:pPr>
        <w:ind w:left="2296" w:hanging="360"/>
      </w:pPr>
    </w:lvl>
    <w:lvl w:ilvl="2">
      <w:start w:val="1"/>
      <w:numFmt w:val="lowerRoman"/>
      <w:lvlText w:val="%3."/>
      <w:lvlJc w:val="right"/>
      <w:pPr>
        <w:ind w:left="3016" w:hanging="180"/>
      </w:pPr>
    </w:lvl>
    <w:lvl w:ilvl="3">
      <w:start w:val="1"/>
      <w:numFmt w:val="decimal"/>
      <w:lvlText w:val="%4."/>
      <w:lvlJc w:val="left"/>
      <w:pPr>
        <w:ind w:left="3736" w:hanging="360"/>
      </w:pPr>
    </w:lvl>
    <w:lvl w:ilvl="4">
      <w:start w:val="1"/>
      <w:numFmt w:val="lowerLetter"/>
      <w:lvlText w:val="%5."/>
      <w:lvlJc w:val="left"/>
      <w:pPr>
        <w:ind w:left="4456" w:hanging="360"/>
      </w:pPr>
    </w:lvl>
    <w:lvl w:ilvl="5">
      <w:start w:val="1"/>
      <w:numFmt w:val="lowerRoman"/>
      <w:lvlText w:val="%6."/>
      <w:lvlJc w:val="right"/>
      <w:pPr>
        <w:ind w:left="5176" w:hanging="180"/>
      </w:pPr>
    </w:lvl>
    <w:lvl w:ilvl="6">
      <w:start w:val="1"/>
      <w:numFmt w:val="decimal"/>
      <w:lvlText w:val="%7."/>
      <w:lvlJc w:val="left"/>
      <w:pPr>
        <w:ind w:left="5896" w:hanging="360"/>
      </w:pPr>
    </w:lvl>
    <w:lvl w:ilvl="7">
      <w:start w:val="1"/>
      <w:numFmt w:val="lowerLetter"/>
      <w:lvlText w:val="%8."/>
      <w:lvlJc w:val="left"/>
      <w:pPr>
        <w:ind w:left="6616" w:hanging="360"/>
      </w:pPr>
    </w:lvl>
    <w:lvl w:ilvl="8">
      <w:start w:val="1"/>
      <w:numFmt w:val="lowerRoman"/>
      <w:lvlText w:val="%9."/>
      <w:lvlJc w:val="right"/>
      <w:pPr>
        <w:ind w:left="7336" w:hanging="180"/>
      </w:pPr>
    </w:lvl>
  </w:abstractNum>
  <w:abstractNum w:abstractNumId="83" w15:restartNumberingAfterBreak="0">
    <w:nsid w:val="14CC7997"/>
    <w:multiLevelType w:val="multilevel"/>
    <w:tmpl w:val="76840F62"/>
    <w:lvl w:ilvl="0">
      <w:start w:val="6"/>
      <w:numFmt w:val="decimal"/>
      <w:lvlText w:val="3.%1."/>
      <w:lvlJc w:val="left"/>
      <w:rPr>
        <w:rFonts w:ascii="Times New Roman" w:eastAsia="Times New Roman" w:hAnsi="Times New Roman" w:cs="Times New Roman"/>
        <w:b w:val="0"/>
        <w:bCs w:val="0"/>
        <w:i w:val="0"/>
        <w:iCs w:val="0"/>
        <w:smallCaps w:val="0"/>
        <w:strike w:val="0"/>
        <w:color w:val="000000"/>
        <w:spacing w:val="3"/>
        <w:w w:val="100"/>
        <w:position w:val="0"/>
        <w:sz w:val="24"/>
        <w:szCs w:val="24"/>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4" w15:restartNumberingAfterBreak="0">
    <w:nsid w:val="150A5C0A"/>
    <w:multiLevelType w:val="hybridMultilevel"/>
    <w:tmpl w:val="0D8C08B6"/>
    <w:lvl w:ilvl="0" w:tplc="602C0CEE">
      <w:start w:val="1"/>
      <w:numFmt w:val="lowerRoman"/>
      <w:lvlText w:val="(%1)"/>
      <w:lvlJc w:val="right"/>
      <w:pPr>
        <w:ind w:left="720" w:hanging="360"/>
      </w:pPr>
      <w:rPr>
        <w:rFonts w:ascii="Times New Roman" w:eastAsia="Times New Roman" w:hAnsi="Times New Roman" w:cs="Times New Roman"/>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5" w15:restartNumberingAfterBreak="0">
    <w:nsid w:val="15790725"/>
    <w:multiLevelType w:val="multilevel"/>
    <w:tmpl w:val="D098D380"/>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3"/>
        <w:w w:val="100"/>
        <w:position w:val="0"/>
        <w:sz w:val="24"/>
        <w:szCs w:val="24"/>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6" w15:restartNumberingAfterBreak="0">
    <w:nsid w:val="1591204A"/>
    <w:multiLevelType w:val="multilevel"/>
    <w:tmpl w:val="0C6284A8"/>
    <w:lvl w:ilvl="0">
      <w:start w:val="1"/>
      <w:numFmt w:val="decimal"/>
      <w:lvlText w:val="9.4.%1."/>
      <w:lvlJc w:val="left"/>
      <w:rPr>
        <w:rFonts w:ascii="Times New Roman" w:eastAsia="Times New Roman" w:hAnsi="Times New Roman" w:cs="Times New Roman"/>
        <w:b w:val="0"/>
        <w:bCs w:val="0"/>
        <w:i w:val="0"/>
        <w:iCs w:val="0"/>
        <w:smallCaps w:val="0"/>
        <w:strike w:val="0"/>
        <w:color w:val="000000"/>
        <w:spacing w:val="3"/>
        <w:w w:val="100"/>
        <w:position w:val="0"/>
        <w:sz w:val="24"/>
        <w:szCs w:val="24"/>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7" w15:restartNumberingAfterBreak="0">
    <w:nsid w:val="1683625D"/>
    <w:multiLevelType w:val="multilevel"/>
    <w:tmpl w:val="1683625D"/>
    <w:lvl w:ilvl="0">
      <w:start w:val="1"/>
      <w:numFmt w:val="lowerLetter"/>
      <w:lvlText w:val="(%1)"/>
      <w:lvlJc w:val="left"/>
      <w:pPr>
        <w:ind w:left="1571" w:hanging="360"/>
      </w:pPr>
      <w:rPr>
        <w:rFonts w:hint="default"/>
      </w:rPr>
    </w:lvl>
    <w:lvl w:ilvl="1">
      <w:start w:val="1"/>
      <w:numFmt w:val="lowerLetter"/>
      <w:lvlText w:val="%2."/>
      <w:lvlJc w:val="left"/>
      <w:pPr>
        <w:ind w:left="2291" w:hanging="360"/>
      </w:pPr>
    </w:lvl>
    <w:lvl w:ilvl="2">
      <w:start w:val="1"/>
      <w:numFmt w:val="lowerRoman"/>
      <w:lvlText w:val="%3."/>
      <w:lvlJc w:val="right"/>
      <w:pPr>
        <w:ind w:left="3011" w:hanging="180"/>
      </w:pPr>
    </w:lvl>
    <w:lvl w:ilvl="3">
      <w:start w:val="1"/>
      <w:numFmt w:val="decimal"/>
      <w:lvlText w:val="%4."/>
      <w:lvlJc w:val="left"/>
      <w:pPr>
        <w:ind w:left="3731" w:hanging="360"/>
      </w:pPr>
    </w:lvl>
    <w:lvl w:ilvl="4">
      <w:start w:val="1"/>
      <w:numFmt w:val="lowerLetter"/>
      <w:lvlText w:val="%5."/>
      <w:lvlJc w:val="left"/>
      <w:pPr>
        <w:ind w:left="4451" w:hanging="360"/>
      </w:pPr>
    </w:lvl>
    <w:lvl w:ilvl="5">
      <w:start w:val="1"/>
      <w:numFmt w:val="lowerRoman"/>
      <w:lvlText w:val="%6."/>
      <w:lvlJc w:val="right"/>
      <w:pPr>
        <w:ind w:left="5171" w:hanging="180"/>
      </w:pPr>
    </w:lvl>
    <w:lvl w:ilvl="6">
      <w:start w:val="1"/>
      <w:numFmt w:val="decimal"/>
      <w:lvlText w:val="%7."/>
      <w:lvlJc w:val="left"/>
      <w:pPr>
        <w:ind w:left="5891" w:hanging="360"/>
      </w:pPr>
    </w:lvl>
    <w:lvl w:ilvl="7">
      <w:start w:val="1"/>
      <w:numFmt w:val="lowerLetter"/>
      <w:lvlText w:val="%8."/>
      <w:lvlJc w:val="left"/>
      <w:pPr>
        <w:ind w:left="6611" w:hanging="360"/>
      </w:pPr>
    </w:lvl>
    <w:lvl w:ilvl="8">
      <w:start w:val="1"/>
      <w:numFmt w:val="lowerRoman"/>
      <w:lvlText w:val="%9."/>
      <w:lvlJc w:val="right"/>
      <w:pPr>
        <w:ind w:left="7331" w:hanging="180"/>
      </w:pPr>
    </w:lvl>
  </w:abstractNum>
  <w:abstractNum w:abstractNumId="88" w15:restartNumberingAfterBreak="0">
    <w:nsid w:val="16863C8B"/>
    <w:multiLevelType w:val="multilevel"/>
    <w:tmpl w:val="473E6F46"/>
    <w:lvl w:ilvl="0">
      <w:start w:val="1"/>
      <w:numFmt w:val="decimal"/>
      <w:lvlText w:val="2.1.%1."/>
      <w:lvlJc w:val="left"/>
      <w:rPr>
        <w:rFonts w:ascii="Times New Roman" w:eastAsia="Times New Roman" w:hAnsi="Times New Roman" w:cs="Times New Roman"/>
        <w:b w:val="0"/>
        <w:bCs w:val="0"/>
        <w:i w:val="0"/>
        <w:iCs w:val="0"/>
        <w:smallCaps w:val="0"/>
        <w:strike w:val="0"/>
        <w:color w:val="000000"/>
        <w:spacing w:val="3"/>
        <w:w w:val="100"/>
        <w:position w:val="0"/>
        <w:sz w:val="24"/>
        <w:szCs w:val="24"/>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9" w15:restartNumberingAfterBreak="0">
    <w:nsid w:val="178E69E0"/>
    <w:multiLevelType w:val="multilevel"/>
    <w:tmpl w:val="6F7A2284"/>
    <w:lvl w:ilvl="0">
      <w:start w:val="1"/>
      <w:numFmt w:val="lowerLetter"/>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3"/>
        <w:w w:val="100"/>
        <w:position w:val="0"/>
        <w:sz w:val="24"/>
        <w:szCs w:val="24"/>
        <w:u w:val="none"/>
        <w:lang w:val="en-U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90" w15:restartNumberingAfterBreak="0">
    <w:nsid w:val="17B76BFC"/>
    <w:multiLevelType w:val="multilevel"/>
    <w:tmpl w:val="2E0016AA"/>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3"/>
        <w:w w:val="100"/>
        <w:position w:val="0"/>
        <w:sz w:val="24"/>
        <w:szCs w:val="24"/>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1" w15:restartNumberingAfterBreak="0">
    <w:nsid w:val="17F94FEB"/>
    <w:multiLevelType w:val="multilevel"/>
    <w:tmpl w:val="2E106CB4"/>
    <w:lvl w:ilvl="0">
      <w:start w:val="1"/>
      <w:numFmt w:val="decimal"/>
      <w:lvlText w:val="7.8.%1."/>
      <w:lvlJc w:val="left"/>
      <w:rPr>
        <w:rFonts w:ascii="Times New Roman" w:eastAsia="Times New Roman" w:hAnsi="Times New Roman" w:cs="Times New Roman"/>
        <w:b w:val="0"/>
        <w:bCs w:val="0"/>
        <w:i w:val="0"/>
        <w:iCs w:val="0"/>
        <w:smallCaps w:val="0"/>
        <w:strike w:val="0"/>
        <w:color w:val="000000"/>
        <w:spacing w:val="3"/>
        <w:w w:val="100"/>
        <w:position w:val="0"/>
        <w:sz w:val="24"/>
        <w:szCs w:val="24"/>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2" w15:restartNumberingAfterBreak="0">
    <w:nsid w:val="187734A2"/>
    <w:multiLevelType w:val="multilevel"/>
    <w:tmpl w:val="1E2CF3D4"/>
    <w:lvl w:ilvl="0">
      <w:start w:val="1"/>
      <w:numFmt w:val="lowerRoman"/>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3"/>
        <w:w w:val="100"/>
        <w:position w:val="0"/>
        <w:sz w:val="24"/>
        <w:szCs w:val="24"/>
        <w:u w:val="none"/>
        <w:lang w:val="en-U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93" w15:restartNumberingAfterBreak="0">
    <w:nsid w:val="1A2527C9"/>
    <w:multiLevelType w:val="multilevel"/>
    <w:tmpl w:val="2A08C01C"/>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3"/>
        <w:w w:val="100"/>
        <w:position w:val="0"/>
        <w:sz w:val="24"/>
        <w:szCs w:val="24"/>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4" w15:restartNumberingAfterBreak="0">
    <w:nsid w:val="1A486ED9"/>
    <w:multiLevelType w:val="multilevel"/>
    <w:tmpl w:val="783E891E"/>
    <w:lvl w:ilvl="0">
      <w:start w:val="1"/>
      <w:numFmt w:val="lowerLetter"/>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3"/>
        <w:w w:val="100"/>
        <w:position w:val="0"/>
        <w:sz w:val="24"/>
        <w:szCs w:val="24"/>
        <w:u w:val="none"/>
        <w:lang w:val="en-U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95" w15:restartNumberingAfterBreak="0">
    <w:nsid w:val="1A515AD5"/>
    <w:multiLevelType w:val="multilevel"/>
    <w:tmpl w:val="08FAD1E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3"/>
        <w:w w:val="100"/>
        <w:position w:val="0"/>
        <w:sz w:val="24"/>
        <w:szCs w:val="24"/>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6" w15:restartNumberingAfterBreak="0">
    <w:nsid w:val="1A7352D9"/>
    <w:multiLevelType w:val="multilevel"/>
    <w:tmpl w:val="57302B48"/>
    <w:lvl w:ilvl="0">
      <w:start w:val="1"/>
      <w:numFmt w:val="decimal"/>
      <w:lvlText w:val="10.%1."/>
      <w:lvlJc w:val="left"/>
      <w:rPr>
        <w:rFonts w:ascii="Times New Roman" w:eastAsia="Times New Roman" w:hAnsi="Times New Roman" w:cs="Times New Roman"/>
        <w:b w:val="0"/>
        <w:bCs w:val="0"/>
        <w:i w:val="0"/>
        <w:iCs w:val="0"/>
        <w:smallCaps w:val="0"/>
        <w:strike w:val="0"/>
        <w:color w:val="000000"/>
        <w:spacing w:val="3"/>
        <w:w w:val="100"/>
        <w:position w:val="0"/>
        <w:sz w:val="24"/>
        <w:szCs w:val="24"/>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7" w15:restartNumberingAfterBreak="0">
    <w:nsid w:val="1A9A46EF"/>
    <w:multiLevelType w:val="multilevel"/>
    <w:tmpl w:val="1A9A46EF"/>
    <w:lvl w:ilvl="0">
      <w:start w:val="8"/>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7"/>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8" w15:restartNumberingAfterBreak="0">
    <w:nsid w:val="1AF263F6"/>
    <w:multiLevelType w:val="multilevel"/>
    <w:tmpl w:val="6A04AB76"/>
    <w:lvl w:ilvl="0">
      <w:start w:val="1"/>
      <w:numFmt w:val="decimal"/>
      <w:lvlText w:val="9.4.5.%1."/>
      <w:lvlJc w:val="left"/>
      <w:rPr>
        <w:rFonts w:ascii="Times New Roman" w:eastAsia="Times New Roman" w:hAnsi="Times New Roman" w:cs="Times New Roman"/>
        <w:b w:val="0"/>
        <w:bCs w:val="0"/>
        <w:i w:val="0"/>
        <w:iCs w:val="0"/>
        <w:smallCaps w:val="0"/>
        <w:strike w:val="0"/>
        <w:color w:val="000000"/>
        <w:spacing w:val="3"/>
        <w:w w:val="100"/>
        <w:position w:val="0"/>
        <w:sz w:val="24"/>
        <w:szCs w:val="24"/>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9" w15:restartNumberingAfterBreak="0">
    <w:nsid w:val="1BD85474"/>
    <w:multiLevelType w:val="multilevel"/>
    <w:tmpl w:val="814E1860"/>
    <w:lvl w:ilvl="0">
      <w:start w:val="3"/>
      <w:numFmt w:val="decimal"/>
      <w:lvlText w:val="%1."/>
      <w:lvlJc w:val="left"/>
      <w:pPr>
        <w:ind w:left="432" w:hanging="432"/>
      </w:pPr>
      <w:rPr>
        <w:rFonts w:hint="default"/>
      </w:rPr>
    </w:lvl>
    <w:lvl w:ilvl="1">
      <w:start w:val="6"/>
      <w:numFmt w:val="decimal"/>
      <w:lvlText w:val="%1.%2."/>
      <w:lvlJc w:val="left"/>
      <w:pPr>
        <w:ind w:left="612" w:hanging="432"/>
      </w:pPr>
      <w:rPr>
        <w:rFonts w:hint="default"/>
      </w:rPr>
    </w:lvl>
    <w:lvl w:ilvl="2">
      <w:start w:val="1"/>
      <w:numFmt w:val="decimal"/>
      <w:lvlText w:val="%1.%2.%3."/>
      <w:lvlJc w:val="left"/>
      <w:pPr>
        <w:ind w:left="1145"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440" w:hanging="72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160" w:hanging="108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2880" w:hanging="1440"/>
      </w:pPr>
      <w:rPr>
        <w:rFonts w:hint="default"/>
      </w:rPr>
    </w:lvl>
  </w:abstractNum>
  <w:abstractNum w:abstractNumId="100" w15:restartNumberingAfterBreak="0">
    <w:nsid w:val="1C325F53"/>
    <w:multiLevelType w:val="multilevel"/>
    <w:tmpl w:val="46C0C560"/>
    <w:lvl w:ilvl="0">
      <w:start w:val="2"/>
      <w:numFmt w:val="decimal"/>
      <w:lvlText w:val="2.%1."/>
      <w:lvlJc w:val="left"/>
      <w:rPr>
        <w:rFonts w:ascii="Times New Roman" w:eastAsia="Times New Roman" w:hAnsi="Times New Roman" w:cs="Times New Roman"/>
        <w:b w:val="0"/>
        <w:bCs w:val="0"/>
        <w:i w:val="0"/>
        <w:iCs w:val="0"/>
        <w:smallCaps w:val="0"/>
        <w:strike w:val="0"/>
        <w:color w:val="000000"/>
        <w:spacing w:val="3"/>
        <w:w w:val="100"/>
        <w:position w:val="0"/>
        <w:sz w:val="24"/>
        <w:szCs w:val="24"/>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1" w15:restartNumberingAfterBreak="0">
    <w:nsid w:val="1D0E4FDA"/>
    <w:multiLevelType w:val="multilevel"/>
    <w:tmpl w:val="48CA01AA"/>
    <w:lvl w:ilvl="0">
      <w:start w:val="4"/>
      <w:numFmt w:val="decimal"/>
      <w:lvlText w:val="7.7.2.%1."/>
      <w:lvlJc w:val="left"/>
      <w:rPr>
        <w:rFonts w:ascii="Times New Roman" w:eastAsia="Times New Roman" w:hAnsi="Times New Roman" w:cs="Times New Roman"/>
        <w:b w:val="0"/>
        <w:bCs w:val="0"/>
        <w:i w:val="0"/>
        <w:iCs w:val="0"/>
        <w:smallCaps w:val="0"/>
        <w:strike w:val="0"/>
        <w:color w:val="000000"/>
        <w:spacing w:val="3"/>
        <w:w w:val="100"/>
        <w:position w:val="0"/>
        <w:sz w:val="24"/>
        <w:szCs w:val="24"/>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2" w15:restartNumberingAfterBreak="0">
    <w:nsid w:val="1D18581F"/>
    <w:multiLevelType w:val="multilevel"/>
    <w:tmpl w:val="BA54C66E"/>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4"/>
        <w:w w:val="100"/>
        <w:position w:val="0"/>
        <w:sz w:val="24"/>
        <w:szCs w:val="24"/>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3" w15:restartNumberingAfterBreak="0">
    <w:nsid w:val="1D7D7283"/>
    <w:multiLevelType w:val="multilevel"/>
    <w:tmpl w:val="CF3CC088"/>
    <w:lvl w:ilvl="0">
      <w:start w:val="1"/>
      <w:numFmt w:val="decimal"/>
      <w:lvlText w:val="2.1.4.%1."/>
      <w:lvlJc w:val="left"/>
      <w:rPr>
        <w:rFonts w:ascii="Times New Roman" w:eastAsia="Times New Roman" w:hAnsi="Times New Roman" w:cs="Times New Roman"/>
        <w:b w:val="0"/>
        <w:bCs w:val="0"/>
        <w:i w:val="0"/>
        <w:iCs w:val="0"/>
        <w:smallCaps w:val="0"/>
        <w:strike w:val="0"/>
        <w:color w:val="000000"/>
        <w:spacing w:val="3"/>
        <w:w w:val="100"/>
        <w:position w:val="0"/>
        <w:sz w:val="24"/>
        <w:szCs w:val="24"/>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4" w15:restartNumberingAfterBreak="0">
    <w:nsid w:val="1DB260B5"/>
    <w:multiLevelType w:val="multilevel"/>
    <w:tmpl w:val="AC16745E"/>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3"/>
        <w:w w:val="100"/>
        <w:position w:val="0"/>
        <w:sz w:val="24"/>
        <w:szCs w:val="24"/>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5" w15:restartNumberingAfterBreak="0">
    <w:nsid w:val="1E5905AD"/>
    <w:multiLevelType w:val="multilevel"/>
    <w:tmpl w:val="3032753E"/>
    <w:lvl w:ilvl="0">
      <w:start w:val="1"/>
      <w:numFmt w:val="decimal"/>
      <w:lvlText w:val="2.1.3.3.%1."/>
      <w:lvlJc w:val="left"/>
      <w:rPr>
        <w:rFonts w:ascii="Times New Roman" w:eastAsia="Times New Roman" w:hAnsi="Times New Roman" w:cs="Times New Roman"/>
        <w:b w:val="0"/>
        <w:bCs w:val="0"/>
        <w:i w:val="0"/>
        <w:iCs w:val="0"/>
        <w:smallCaps w:val="0"/>
        <w:strike w:val="0"/>
        <w:color w:val="000000"/>
        <w:spacing w:val="3"/>
        <w:w w:val="100"/>
        <w:position w:val="0"/>
        <w:sz w:val="24"/>
        <w:szCs w:val="24"/>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6" w15:restartNumberingAfterBreak="0">
    <w:nsid w:val="1E88763F"/>
    <w:multiLevelType w:val="multilevel"/>
    <w:tmpl w:val="92F44070"/>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3"/>
        <w:w w:val="100"/>
        <w:position w:val="0"/>
        <w:sz w:val="24"/>
        <w:szCs w:val="24"/>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7" w15:restartNumberingAfterBreak="0">
    <w:nsid w:val="1EC52DBF"/>
    <w:multiLevelType w:val="multilevel"/>
    <w:tmpl w:val="5BC034DC"/>
    <w:lvl w:ilvl="0">
      <w:start w:val="1"/>
      <w:numFmt w:val="decimal"/>
      <w:lvlText w:val="12.%1."/>
      <w:lvlJc w:val="left"/>
      <w:rPr>
        <w:rFonts w:ascii="Times New Roman" w:eastAsia="Times New Roman" w:hAnsi="Times New Roman" w:cs="Times New Roman"/>
        <w:b w:val="0"/>
        <w:bCs w:val="0"/>
        <w:i w:val="0"/>
        <w:iCs w:val="0"/>
        <w:smallCaps w:val="0"/>
        <w:strike w:val="0"/>
        <w:color w:val="000000"/>
        <w:spacing w:val="3"/>
        <w:w w:val="100"/>
        <w:position w:val="0"/>
        <w:sz w:val="24"/>
        <w:szCs w:val="24"/>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8" w15:restartNumberingAfterBreak="0">
    <w:nsid w:val="1EF26685"/>
    <w:multiLevelType w:val="multilevel"/>
    <w:tmpl w:val="1EF26685"/>
    <w:lvl w:ilvl="0">
      <w:start w:val="1"/>
      <w:numFmt w:val="lowerRoman"/>
      <w:lvlText w:val="(%1)"/>
      <w:lvlJc w:val="left"/>
      <w:rPr>
        <w:rFonts w:ascii="Times New Roman" w:eastAsia="Times New Roman" w:hAnsi="Times New Roman" w:cs="Times New Roman"/>
        <w:b w:val="0"/>
        <w:bCs w:val="0"/>
        <w:i w:val="0"/>
        <w:iCs w:val="0"/>
        <w:smallCaps w:val="0"/>
        <w:strike w:val="0"/>
        <w:color w:val="000000"/>
        <w:spacing w:val="4"/>
        <w:w w:val="100"/>
        <w:position w:val="0"/>
        <w:sz w:val="20"/>
        <w:szCs w:val="20"/>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9" w15:restartNumberingAfterBreak="0">
    <w:nsid w:val="1F227FBB"/>
    <w:multiLevelType w:val="multilevel"/>
    <w:tmpl w:val="CF78DF70"/>
    <w:lvl w:ilvl="0">
      <w:start w:val="1"/>
      <w:numFmt w:val="lowerLetter"/>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3"/>
        <w:w w:val="100"/>
        <w:position w:val="0"/>
        <w:sz w:val="24"/>
        <w:szCs w:val="24"/>
        <w:u w:val="none"/>
        <w:lang w:val="en-U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10" w15:restartNumberingAfterBreak="0">
    <w:nsid w:val="1F471756"/>
    <w:multiLevelType w:val="multilevel"/>
    <w:tmpl w:val="B206332C"/>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3"/>
        <w:w w:val="100"/>
        <w:position w:val="0"/>
        <w:sz w:val="24"/>
        <w:szCs w:val="24"/>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1" w15:restartNumberingAfterBreak="0">
    <w:nsid w:val="1F67747B"/>
    <w:multiLevelType w:val="multilevel"/>
    <w:tmpl w:val="CD3C0FF2"/>
    <w:lvl w:ilvl="0">
      <w:start w:val="1"/>
      <w:numFmt w:val="lowerLetter"/>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3"/>
        <w:w w:val="100"/>
        <w:position w:val="0"/>
        <w:sz w:val="24"/>
        <w:szCs w:val="24"/>
        <w:u w:val="none"/>
        <w:lang w:val="en-U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12" w15:restartNumberingAfterBreak="0">
    <w:nsid w:val="1F9302F8"/>
    <w:multiLevelType w:val="multilevel"/>
    <w:tmpl w:val="306606AA"/>
    <w:lvl w:ilvl="0">
      <w:start w:val="1"/>
      <w:numFmt w:val="decimal"/>
      <w:lvlText w:val="11.2.2.%1"/>
      <w:lvlJc w:val="left"/>
      <w:rPr>
        <w:rFonts w:ascii="Times New Roman" w:eastAsia="Times New Roman" w:hAnsi="Times New Roman" w:cs="Times New Roman"/>
        <w:b w:val="0"/>
        <w:bCs w:val="0"/>
        <w:i w:val="0"/>
        <w:iCs w:val="0"/>
        <w:smallCaps w:val="0"/>
        <w:strike w:val="0"/>
        <w:color w:val="000000"/>
        <w:spacing w:val="4"/>
        <w:w w:val="100"/>
        <w:position w:val="0"/>
        <w:sz w:val="24"/>
        <w:szCs w:val="24"/>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3" w15:restartNumberingAfterBreak="0">
    <w:nsid w:val="1FA414F2"/>
    <w:multiLevelType w:val="multilevel"/>
    <w:tmpl w:val="F64C8488"/>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4"/>
        <w:w w:val="100"/>
        <w:position w:val="0"/>
        <w:sz w:val="24"/>
        <w:szCs w:val="24"/>
        <w:u w:val="none"/>
        <w:lang w:val="en-U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14" w15:restartNumberingAfterBreak="0">
    <w:nsid w:val="1FC62278"/>
    <w:multiLevelType w:val="multilevel"/>
    <w:tmpl w:val="18DC2CBC"/>
    <w:lvl w:ilvl="0">
      <w:start w:val="1"/>
      <w:numFmt w:val="decimal"/>
      <w:lvlText w:val="10.3.2.3.%1."/>
      <w:lvlJc w:val="left"/>
      <w:rPr>
        <w:rFonts w:ascii="Times New Roman" w:eastAsia="Times New Roman" w:hAnsi="Times New Roman" w:cs="Times New Roman"/>
        <w:b w:val="0"/>
        <w:bCs w:val="0"/>
        <w:i w:val="0"/>
        <w:iCs w:val="0"/>
        <w:smallCaps w:val="0"/>
        <w:strike w:val="0"/>
        <w:color w:val="000000"/>
        <w:spacing w:val="3"/>
        <w:w w:val="100"/>
        <w:position w:val="0"/>
        <w:sz w:val="24"/>
        <w:szCs w:val="24"/>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5" w15:restartNumberingAfterBreak="0">
    <w:nsid w:val="1FEE2DF4"/>
    <w:multiLevelType w:val="multilevel"/>
    <w:tmpl w:val="4E0445DE"/>
    <w:lvl w:ilvl="0">
      <w:start w:val="1"/>
      <w:numFmt w:val="lowerLetter"/>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3"/>
        <w:w w:val="100"/>
        <w:position w:val="0"/>
        <w:sz w:val="24"/>
        <w:szCs w:val="24"/>
        <w:u w:val="none"/>
        <w:lang w:val="en-U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16" w15:restartNumberingAfterBreak="0">
    <w:nsid w:val="1FF77A55"/>
    <w:multiLevelType w:val="multilevel"/>
    <w:tmpl w:val="1FF77A55"/>
    <w:lvl w:ilvl="0">
      <w:start w:val="10"/>
      <w:numFmt w:val="decimal"/>
      <w:lvlText w:val="%1."/>
      <w:lvlJc w:val="left"/>
      <w:pPr>
        <w:ind w:left="405" w:hanging="405"/>
      </w:pPr>
      <w:rPr>
        <w:rFonts w:hint="default"/>
      </w:rPr>
    </w:lvl>
    <w:lvl w:ilvl="1">
      <w:start w:val="3"/>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7" w15:restartNumberingAfterBreak="0">
    <w:nsid w:val="20087BCB"/>
    <w:multiLevelType w:val="hybridMultilevel"/>
    <w:tmpl w:val="564898A6"/>
    <w:lvl w:ilvl="0" w:tplc="DD7A52DC">
      <w:start w:val="1"/>
      <w:numFmt w:val="decimal"/>
      <w:lvlText w:val="(%1)"/>
      <w:lvlJc w:val="left"/>
      <w:pPr>
        <w:ind w:left="720" w:hanging="360"/>
      </w:pPr>
      <w:rPr>
        <w:rFonts w:hint="default"/>
        <w:sz w:val="24"/>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8" w15:restartNumberingAfterBreak="0">
    <w:nsid w:val="20185E26"/>
    <w:multiLevelType w:val="multilevel"/>
    <w:tmpl w:val="174AE19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3"/>
        <w:w w:val="100"/>
        <w:position w:val="0"/>
        <w:sz w:val="24"/>
        <w:szCs w:val="24"/>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9" w15:restartNumberingAfterBreak="0">
    <w:nsid w:val="20300EE6"/>
    <w:multiLevelType w:val="multilevel"/>
    <w:tmpl w:val="E4DEB6EA"/>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3"/>
        <w:w w:val="100"/>
        <w:position w:val="0"/>
        <w:sz w:val="24"/>
        <w:szCs w:val="24"/>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0" w15:restartNumberingAfterBreak="0">
    <w:nsid w:val="208D7A9B"/>
    <w:multiLevelType w:val="multilevel"/>
    <w:tmpl w:val="08B6796E"/>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3"/>
        <w:w w:val="100"/>
        <w:position w:val="0"/>
        <w:sz w:val="24"/>
        <w:szCs w:val="24"/>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1" w15:restartNumberingAfterBreak="0">
    <w:nsid w:val="2099356C"/>
    <w:multiLevelType w:val="multilevel"/>
    <w:tmpl w:val="E6EEBE36"/>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3"/>
        <w:w w:val="100"/>
        <w:position w:val="0"/>
        <w:sz w:val="24"/>
        <w:szCs w:val="24"/>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2" w15:restartNumberingAfterBreak="0">
    <w:nsid w:val="20A2246C"/>
    <w:multiLevelType w:val="multilevel"/>
    <w:tmpl w:val="10BC773C"/>
    <w:lvl w:ilvl="0">
      <w:start w:val="1"/>
      <w:numFmt w:val="lowerRoman"/>
      <w:lvlText w:val="(%1)"/>
      <w:lvlJc w:val="left"/>
      <w:rPr>
        <w:rFonts w:ascii="Times New Roman" w:eastAsia="Times New Roman" w:hAnsi="Times New Roman" w:cs="Times New Roman"/>
        <w:b w:val="0"/>
        <w:bCs w:val="0"/>
        <w:i w:val="0"/>
        <w:iCs w:val="0"/>
        <w:smallCaps w:val="0"/>
        <w:strike w:val="0"/>
        <w:color w:val="000000"/>
        <w:spacing w:val="3"/>
        <w:w w:val="100"/>
        <w:position w:val="0"/>
        <w:sz w:val="24"/>
        <w:szCs w:val="24"/>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3" w15:restartNumberingAfterBreak="0">
    <w:nsid w:val="20E10BAA"/>
    <w:multiLevelType w:val="multilevel"/>
    <w:tmpl w:val="CF569C5A"/>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3"/>
        <w:w w:val="100"/>
        <w:position w:val="0"/>
        <w:sz w:val="24"/>
        <w:szCs w:val="24"/>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4" w15:restartNumberingAfterBreak="0">
    <w:nsid w:val="21A03E48"/>
    <w:multiLevelType w:val="multilevel"/>
    <w:tmpl w:val="DE46AAAE"/>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3"/>
        <w:w w:val="100"/>
        <w:position w:val="0"/>
        <w:sz w:val="24"/>
        <w:szCs w:val="24"/>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5" w15:restartNumberingAfterBreak="0">
    <w:nsid w:val="21F74836"/>
    <w:multiLevelType w:val="multilevel"/>
    <w:tmpl w:val="8ABE07F0"/>
    <w:lvl w:ilvl="0">
      <w:start w:val="1"/>
      <w:numFmt w:val="lowerRoman"/>
      <w:lvlText w:val="(%1)"/>
      <w:lvlJc w:val="left"/>
      <w:rPr>
        <w:rFonts w:ascii="Times New Roman" w:eastAsia="Times New Roman" w:hAnsi="Times New Roman" w:cs="Times New Roman"/>
        <w:b w:val="0"/>
        <w:bCs w:val="0"/>
        <w:i w:val="0"/>
        <w:iCs w:val="0"/>
        <w:smallCaps w:val="0"/>
        <w:strike w:val="0"/>
        <w:color w:val="000000"/>
        <w:spacing w:val="4"/>
        <w:w w:val="100"/>
        <w:position w:val="0"/>
        <w:sz w:val="24"/>
        <w:szCs w:val="24"/>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6" w15:restartNumberingAfterBreak="0">
    <w:nsid w:val="227360B6"/>
    <w:multiLevelType w:val="multilevel"/>
    <w:tmpl w:val="D2268D4C"/>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3"/>
        <w:w w:val="100"/>
        <w:position w:val="0"/>
        <w:sz w:val="24"/>
        <w:szCs w:val="24"/>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7" w15:restartNumberingAfterBreak="0">
    <w:nsid w:val="227B025D"/>
    <w:multiLevelType w:val="multilevel"/>
    <w:tmpl w:val="95F20EF6"/>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3"/>
        <w:w w:val="100"/>
        <w:position w:val="0"/>
        <w:sz w:val="24"/>
        <w:szCs w:val="24"/>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8" w15:restartNumberingAfterBreak="0">
    <w:nsid w:val="22990A6F"/>
    <w:multiLevelType w:val="multilevel"/>
    <w:tmpl w:val="94200786"/>
    <w:lvl w:ilvl="0">
      <w:start w:val="2"/>
      <w:numFmt w:val="decimal"/>
      <w:lvlText w:val="8.1.6.%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9" w15:restartNumberingAfterBreak="0">
    <w:nsid w:val="22D86C17"/>
    <w:multiLevelType w:val="multilevel"/>
    <w:tmpl w:val="0EE60774"/>
    <w:lvl w:ilvl="0">
      <w:start w:val="1"/>
      <w:numFmt w:val="decimal"/>
      <w:lvlText w:val="8.2.1.1.%1."/>
      <w:lvlJc w:val="left"/>
      <w:rPr>
        <w:rFonts w:ascii="Times New Roman" w:eastAsia="Times New Roman" w:hAnsi="Times New Roman" w:cs="Times New Roman"/>
        <w:b w:val="0"/>
        <w:bCs w:val="0"/>
        <w:i w:val="0"/>
        <w:iCs w:val="0"/>
        <w:smallCaps w:val="0"/>
        <w:strike w:val="0"/>
        <w:color w:val="000000"/>
        <w:spacing w:val="3"/>
        <w:w w:val="100"/>
        <w:position w:val="0"/>
        <w:sz w:val="24"/>
        <w:szCs w:val="24"/>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0" w15:restartNumberingAfterBreak="0">
    <w:nsid w:val="22E141C5"/>
    <w:multiLevelType w:val="multilevel"/>
    <w:tmpl w:val="662049BE"/>
    <w:lvl w:ilvl="0">
      <w:start w:val="2"/>
      <w:numFmt w:val="decimal"/>
      <w:lvlText w:val="2.2.1.%1."/>
      <w:lvlJc w:val="left"/>
      <w:rPr>
        <w:rFonts w:ascii="Times New Roman" w:eastAsia="Times New Roman" w:hAnsi="Times New Roman" w:cs="Times New Roman"/>
        <w:b w:val="0"/>
        <w:bCs w:val="0"/>
        <w:i w:val="0"/>
        <w:iCs w:val="0"/>
        <w:smallCaps w:val="0"/>
        <w:strike w:val="0"/>
        <w:color w:val="000000"/>
        <w:spacing w:val="3"/>
        <w:w w:val="100"/>
        <w:position w:val="0"/>
        <w:sz w:val="24"/>
        <w:szCs w:val="24"/>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1" w15:restartNumberingAfterBreak="0">
    <w:nsid w:val="23577A22"/>
    <w:multiLevelType w:val="multilevel"/>
    <w:tmpl w:val="8D8A7DD4"/>
    <w:lvl w:ilvl="0">
      <w:start w:val="1"/>
      <w:numFmt w:val="decimal"/>
      <w:lvlText w:val="8.2.%1."/>
      <w:lvlJc w:val="left"/>
      <w:rPr>
        <w:rFonts w:ascii="Times New Roman" w:eastAsia="Times New Roman" w:hAnsi="Times New Roman" w:cs="Times New Roman"/>
        <w:b w:val="0"/>
        <w:bCs w:val="0"/>
        <w:i w:val="0"/>
        <w:iCs w:val="0"/>
        <w:smallCaps w:val="0"/>
        <w:strike w:val="0"/>
        <w:color w:val="000000"/>
        <w:spacing w:val="3"/>
        <w:w w:val="100"/>
        <w:position w:val="0"/>
        <w:sz w:val="24"/>
        <w:szCs w:val="24"/>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2" w15:restartNumberingAfterBreak="0">
    <w:nsid w:val="23F952AD"/>
    <w:multiLevelType w:val="multilevel"/>
    <w:tmpl w:val="64D6BFCC"/>
    <w:lvl w:ilvl="0">
      <w:start w:val="4"/>
      <w:numFmt w:val="lowerLetter"/>
      <w:lvlText w:val="(%1)"/>
      <w:lvlJc w:val="left"/>
      <w:rPr>
        <w:rFonts w:ascii="Times New Roman" w:eastAsia="Times New Roman" w:hAnsi="Times New Roman" w:cs="Times New Roman"/>
        <w:b w:val="0"/>
        <w:bCs w:val="0"/>
        <w:i w:val="0"/>
        <w:iCs w:val="0"/>
        <w:smallCaps w:val="0"/>
        <w:strike w:val="0"/>
        <w:color w:val="000000"/>
        <w:spacing w:val="3"/>
        <w:w w:val="100"/>
        <w:position w:val="0"/>
        <w:sz w:val="24"/>
        <w:szCs w:val="24"/>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3" w15:restartNumberingAfterBreak="0">
    <w:nsid w:val="243121FF"/>
    <w:multiLevelType w:val="multilevel"/>
    <w:tmpl w:val="2A9E3470"/>
    <w:lvl w:ilvl="0">
      <w:start w:val="3"/>
      <w:numFmt w:val="decimal"/>
      <w:lvlText w:val="7.7.2.%1"/>
      <w:lvlJc w:val="left"/>
      <w:rPr>
        <w:rFonts w:ascii="Times New Roman" w:eastAsia="Times New Roman" w:hAnsi="Times New Roman" w:cs="Times New Roman"/>
        <w:b w:val="0"/>
        <w:bCs w:val="0"/>
        <w:i w:val="0"/>
        <w:iCs w:val="0"/>
        <w:smallCaps w:val="0"/>
        <w:strike w:val="0"/>
        <w:color w:val="000000"/>
        <w:spacing w:val="3"/>
        <w:w w:val="100"/>
        <w:position w:val="0"/>
        <w:sz w:val="24"/>
        <w:szCs w:val="24"/>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4" w15:restartNumberingAfterBreak="0">
    <w:nsid w:val="243A731F"/>
    <w:multiLevelType w:val="multilevel"/>
    <w:tmpl w:val="56C07DDC"/>
    <w:lvl w:ilvl="0">
      <w:start w:val="1"/>
      <w:numFmt w:val="decimal"/>
      <w:lvlText w:val="9.2.2.%1."/>
      <w:lvlJc w:val="left"/>
      <w:rPr>
        <w:rFonts w:ascii="Times New Roman" w:eastAsia="Times New Roman" w:hAnsi="Times New Roman" w:cs="Times New Roman"/>
        <w:b w:val="0"/>
        <w:bCs w:val="0"/>
        <w:i w:val="0"/>
        <w:iCs w:val="0"/>
        <w:smallCaps w:val="0"/>
        <w:strike w:val="0"/>
        <w:color w:val="000000"/>
        <w:spacing w:val="3"/>
        <w:w w:val="100"/>
        <w:position w:val="0"/>
        <w:sz w:val="24"/>
        <w:szCs w:val="24"/>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5" w15:restartNumberingAfterBreak="0">
    <w:nsid w:val="246F75C0"/>
    <w:multiLevelType w:val="multilevel"/>
    <w:tmpl w:val="8C5AF05A"/>
    <w:lvl w:ilvl="0">
      <w:start w:val="1"/>
      <w:numFmt w:val="decimal"/>
      <w:lvlText w:val="11.4.2.1.%1."/>
      <w:lvlJc w:val="left"/>
      <w:rPr>
        <w:rFonts w:ascii="Times New Roman" w:eastAsia="Times New Roman" w:hAnsi="Times New Roman" w:cs="Times New Roman"/>
        <w:b w:val="0"/>
        <w:bCs w:val="0"/>
        <w:i w:val="0"/>
        <w:iCs w:val="0"/>
        <w:smallCaps w:val="0"/>
        <w:strike w:val="0"/>
        <w:color w:val="000000"/>
        <w:spacing w:val="3"/>
        <w:w w:val="100"/>
        <w:position w:val="0"/>
        <w:sz w:val="24"/>
        <w:szCs w:val="24"/>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6" w15:restartNumberingAfterBreak="0">
    <w:nsid w:val="247D18D2"/>
    <w:multiLevelType w:val="multilevel"/>
    <w:tmpl w:val="69902822"/>
    <w:lvl w:ilvl="0">
      <w:start w:val="1"/>
      <w:numFmt w:val="decimal"/>
      <w:lvlText w:val="8.2.3.%1."/>
      <w:lvlJc w:val="left"/>
      <w:pPr>
        <w:ind w:left="0" w:firstLine="0"/>
      </w:pPr>
      <w:rPr>
        <w:rFonts w:ascii="Times New Roman" w:eastAsia="Times New Roman" w:hAnsi="Times New Roman" w:cs="Times New Roman"/>
        <w:b w:val="0"/>
        <w:bCs w:val="0"/>
        <w:i w:val="0"/>
        <w:iCs w:val="0"/>
        <w:smallCaps w:val="0"/>
        <w:strike w:val="0"/>
        <w:dstrike w:val="0"/>
        <w:color w:val="000000"/>
        <w:spacing w:val="3"/>
        <w:w w:val="100"/>
        <w:position w:val="0"/>
        <w:sz w:val="24"/>
        <w:szCs w:val="24"/>
        <w:u w:val="none"/>
        <w:lang w:val="en-U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37" w15:restartNumberingAfterBreak="0">
    <w:nsid w:val="24837DBD"/>
    <w:multiLevelType w:val="multilevel"/>
    <w:tmpl w:val="96640A92"/>
    <w:lvl w:ilvl="0">
      <w:start w:val="4"/>
      <w:numFmt w:val="decimal"/>
      <w:lvlText w:val="8.1.11.%1"/>
      <w:lvlJc w:val="left"/>
      <w:rPr>
        <w:rFonts w:ascii="Times New Roman" w:eastAsia="Times New Roman" w:hAnsi="Times New Roman" w:cs="Times New Roman"/>
        <w:b w:val="0"/>
        <w:bCs w:val="0"/>
        <w:i w:val="0"/>
        <w:iCs w:val="0"/>
        <w:smallCaps w:val="0"/>
        <w:strike w:val="0"/>
        <w:color w:val="000000"/>
        <w:spacing w:val="3"/>
        <w:w w:val="100"/>
        <w:position w:val="0"/>
        <w:sz w:val="24"/>
        <w:szCs w:val="24"/>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8" w15:restartNumberingAfterBreak="0">
    <w:nsid w:val="24B14DD1"/>
    <w:multiLevelType w:val="multilevel"/>
    <w:tmpl w:val="E3F24DC2"/>
    <w:lvl w:ilvl="0">
      <w:start w:val="1"/>
      <w:numFmt w:val="decimal"/>
      <w:lvlText w:val="9.2.%1."/>
      <w:lvlJc w:val="left"/>
      <w:rPr>
        <w:rFonts w:ascii="Times New Roman" w:eastAsia="Times New Roman" w:hAnsi="Times New Roman" w:cs="Times New Roman"/>
        <w:b w:val="0"/>
        <w:bCs w:val="0"/>
        <w:i w:val="0"/>
        <w:iCs w:val="0"/>
        <w:smallCaps w:val="0"/>
        <w:strike w:val="0"/>
        <w:color w:val="000000"/>
        <w:spacing w:val="3"/>
        <w:w w:val="100"/>
        <w:position w:val="0"/>
        <w:sz w:val="24"/>
        <w:szCs w:val="24"/>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9" w15:restartNumberingAfterBreak="0">
    <w:nsid w:val="250D0AA7"/>
    <w:multiLevelType w:val="multilevel"/>
    <w:tmpl w:val="4262F5C8"/>
    <w:lvl w:ilvl="0">
      <w:start w:val="1"/>
      <w:numFmt w:val="decimal"/>
      <w:lvlText w:val="10.3.3.7.%1"/>
      <w:lvlJc w:val="left"/>
      <w:rPr>
        <w:rFonts w:ascii="Times New Roman" w:eastAsia="Times New Roman" w:hAnsi="Times New Roman" w:cs="Times New Roman"/>
        <w:b w:val="0"/>
        <w:bCs w:val="0"/>
        <w:i w:val="0"/>
        <w:iCs w:val="0"/>
        <w:smallCaps w:val="0"/>
        <w:strike w:val="0"/>
        <w:color w:val="000000"/>
        <w:spacing w:val="3"/>
        <w:w w:val="100"/>
        <w:position w:val="0"/>
        <w:sz w:val="24"/>
        <w:szCs w:val="24"/>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0" w15:restartNumberingAfterBreak="0">
    <w:nsid w:val="2546352A"/>
    <w:multiLevelType w:val="multilevel"/>
    <w:tmpl w:val="678C0068"/>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3"/>
        <w:w w:val="100"/>
        <w:position w:val="0"/>
        <w:sz w:val="24"/>
        <w:szCs w:val="24"/>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1" w15:restartNumberingAfterBreak="0">
    <w:nsid w:val="26176AE8"/>
    <w:multiLevelType w:val="multilevel"/>
    <w:tmpl w:val="BF522EFC"/>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4"/>
        <w:w w:val="100"/>
        <w:position w:val="0"/>
        <w:sz w:val="24"/>
        <w:szCs w:val="24"/>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2" w15:restartNumberingAfterBreak="0">
    <w:nsid w:val="269137D2"/>
    <w:multiLevelType w:val="multilevel"/>
    <w:tmpl w:val="7BB675D8"/>
    <w:lvl w:ilvl="0">
      <w:start w:val="1"/>
      <w:numFmt w:val="decimal"/>
      <w:lvlText w:val="7.1.%1."/>
      <w:lvlJc w:val="left"/>
      <w:rPr>
        <w:rFonts w:ascii="Times New Roman" w:eastAsia="Times New Roman" w:hAnsi="Times New Roman" w:cs="Times New Roman"/>
        <w:b w:val="0"/>
        <w:bCs w:val="0"/>
        <w:i w:val="0"/>
        <w:iCs w:val="0"/>
        <w:smallCaps w:val="0"/>
        <w:strike w:val="0"/>
        <w:color w:val="000000"/>
        <w:spacing w:val="3"/>
        <w:w w:val="100"/>
        <w:position w:val="0"/>
        <w:sz w:val="24"/>
        <w:szCs w:val="24"/>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3" w15:restartNumberingAfterBreak="0">
    <w:nsid w:val="26EE2EC6"/>
    <w:multiLevelType w:val="multilevel"/>
    <w:tmpl w:val="113A22EC"/>
    <w:lvl w:ilvl="0">
      <w:start w:val="4"/>
      <w:numFmt w:val="decimal"/>
      <w:lvlText w:val="3.3.%1."/>
      <w:lvlJc w:val="left"/>
      <w:rPr>
        <w:rFonts w:ascii="Times New Roman" w:eastAsia="Times New Roman" w:hAnsi="Times New Roman" w:cs="Times New Roman"/>
        <w:b w:val="0"/>
        <w:bCs w:val="0"/>
        <w:i w:val="0"/>
        <w:iCs w:val="0"/>
        <w:smallCaps w:val="0"/>
        <w:strike w:val="0"/>
        <w:color w:val="000000"/>
        <w:spacing w:val="3"/>
        <w:w w:val="100"/>
        <w:position w:val="0"/>
        <w:sz w:val="24"/>
        <w:szCs w:val="24"/>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4" w15:restartNumberingAfterBreak="0">
    <w:nsid w:val="270A526F"/>
    <w:multiLevelType w:val="multilevel"/>
    <w:tmpl w:val="574A4516"/>
    <w:lvl w:ilvl="0">
      <w:start w:val="1"/>
      <w:numFmt w:val="decimal"/>
      <w:lvlText w:val="8.1.13.%1."/>
      <w:lvlJc w:val="left"/>
      <w:rPr>
        <w:rFonts w:ascii="Times New Roman" w:eastAsia="Times New Roman" w:hAnsi="Times New Roman" w:cs="Times New Roman"/>
        <w:b w:val="0"/>
        <w:bCs w:val="0"/>
        <w:i w:val="0"/>
        <w:iCs w:val="0"/>
        <w:smallCaps w:val="0"/>
        <w:strike w:val="0"/>
        <w:color w:val="000000"/>
        <w:spacing w:val="3"/>
        <w:w w:val="100"/>
        <w:position w:val="0"/>
        <w:sz w:val="24"/>
        <w:szCs w:val="24"/>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5" w15:restartNumberingAfterBreak="0">
    <w:nsid w:val="273C5F78"/>
    <w:multiLevelType w:val="multilevel"/>
    <w:tmpl w:val="B1BC0734"/>
    <w:lvl w:ilvl="0">
      <w:start w:val="1"/>
      <w:numFmt w:val="decimal"/>
      <w:lvlText w:val="2.1.4.4.%1."/>
      <w:lvlJc w:val="left"/>
      <w:rPr>
        <w:rFonts w:ascii="Times New Roman" w:eastAsia="Times New Roman" w:hAnsi="Times New Roman" w:cs="Times New Roman"/>
        <w:b w:val="0"/>
        <w:bCs w:val="0"/>
        <w:i w:val="0"/>
        <w:iCs w:val="0"/>
        <w:smallCaps w:val="0"/>
        <w:strike w:val="0"/>
        <w:color w:val="000000"/>
        <w:spacing w:val="3"/>
        <w:w w:val="100"/>
        <w:position w:val="0"/>
        <w:sz w:val="24"/>
        <w:szCs w:val="24"/>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6" w15:restartNumberingAfterBreak="0">
    <w:nsid w:val="27B0538F"/>
    <w:multiLevelType w:val="hybridMultilevel"/>
    <w:tmpl w:val="9C5AACE6"/>
    <w:lvl w:ilvl="0" w:tplc="602C0CEE">
      <w:start w:val="1"/>
      <w:numFmt w:val="lowerRoman"/>
      <w:lvlText w:val="(%1)"/>
      <w:lvlJc w:val="right"/>
      <w:pPr>
        <w:ind w:left="2421" w:hanging="360"/>
      </w:pPr>
      <w:rPr>
        <w:rFonts w:ascii="Times New Roman" w:eastAsia="Times New Roman" w:hAnsi="Times New Roman" w:cs="Times New Roman"/>
      </w:rPr>
    </w:lvl>
    <w:lvl w:ilvl="1" w:tplc="041F0019" w:tentative="1">
      <w:start w:val="1"/>
      <w:numFmt w:val="lowerLetter"/>
      <w:lvlText w:val="%2."/>
      <w:lvlJc w:val="left"/>
      <w:pPr>
        <w:ind w:left="3141" w:hanging="360"/>
      </w:pPr>
    </w:lvl>
    <w:lvl w:ilvl="2" w:tplc="041F001B" w:tentative="1">
      <w:start w:val="1"/>
      <w:numFmt w:val="lowerRoman"/>
      <w:lvlText w:val="%3."/>
      <w:lvlJc w:val="right"/>
      <w:pPr>
        <w:ind w:left="3861" w:hanging="180"/>
      </w:pPr>
    </w:lvl>
    <w:lvl w:ilvl="3" w:tplc="041F000F" w:tentative="1">
      <w:start w:val="1"/>
      <w:numFmt w:val="decimal"/>
      <w:lvlText w:val="%4."/>
      <w:lvlJc w:val="left"/>
      <w:pPr>
        <w:ind w:left="4581" w:hanging="360"/>
      </w:pPr>
    </w:lvl>
    <w:lvl w:ilvl="4" w:tplc="041F0019" w:tentative="1">
      <w:start w:val="1"/>
      <w:numFmt w:val="lowerLetter"/>
      <w:lvlText w:val="%5."/>
      <w:lvlJc w:val="left"/>
      <w:pPr>
        <w:ind w:left="5301" w:hanging="360"/>
      </w:pPr>
    </w:lvl>
    <w:lvl w:ilvl="5" w:tplc="041F001B" w:tentative="1">
      <w:start w:val="1"/>
      <w:numFmt w:val="lowerRoman"/>
      <w:lvlText w:val="%6."/>
      <w:lvlJc w:val="right"/>
      <w:pPr>
        <w:ind w:left="6021" w:hanging="180"/>
      </w:pPr>
    </w:lvl>
    <w:lvl w:ilvl="6" w:tplc="041F000F" w:tentative="1">
      <w:start w:val="1"/>
      <w:numFmt w:val="decimal"/>
      <w:lvlText w:val="%7."/>
      <w:lvlJc w:val="left"/>
      <w:pPr>
        <w:ind w:left="6741" w:hanging="360"/>
      </w:pPr>
    </w:lvl>
    <w:lvl w:ilvl="7" w:tplc="041F0019" w:tentative="1">
      <w:start w:val="1"/>
      <w:numFmt w:val="lowerLetter"/>
      <w:lvlText w:val="%8."/>
      <w:lvlJc w:val="left"/>
      <w:pPr>
        <w:ind w:left="7461" w:hanging="360"/>
      </w:pPr>
    </w:lvl>
    <w:lvl w:ilvl="8" w:tplc="041F001B" w:tentative="1">
      <w:start w:val="1"/>
      <w:numFmt w:val="lowerRoman"/>
      <w:lvlText w:val="%9."/>
      <w:lvlJc w:val="right"/>
      <w:pPr>
        <w:ind w:left="8181" w:hanging="180"/>
      </w:pPr>
    </w:lvl>
  </w:abstractNum>
  <w:abstractNum w:abstractNumId="147" w15:restartNumberingAfterBreak="0">
    <w:nsid w:val="27FD53E9"/>
    <w:multiLevelType w:val="multilevel"/>
    <w:tmpl w:val="B0009654"/>
    <w:lvl w:ilvl="0">
      <w:start w:val="1"/>
      <w:numFmt w:val="decimal"/>
      <w:lvlText w:val="2.1.3.%1."/>
      <w:lvlJc w:val="left"/>
      <w:rPr>
        <w:rFonts w:ascii="Times New Roman" w:eastAsia="Times New Roman" w:hAnsi="Times New Roman" w:cs="Times New Roman"/>
        <w:b w:val="0"/>
        <w:bCs w:val="0"/>
        <w:i w:val="0"/>
        <w:iCs w:val="0"/>
        <w:smallCaps w:val="0"/>
        <w:strike w:val="0"/>
        <w:color w:val="000000"/>
        <w:spacing w:val="3"/>
        <w:w w:val="100"/>
        <w:position w:val="0"/>
        <w:sz w:val="24"/>
        <w:szCs w:val="24"/>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8" w15:restartNumberingAfterBreak="0">
    <w:nsid w:val="281C022B"/>
    <w:multiLevelType w:val="multilevel"/>
    <w:tmpl w:val="9BC6A308"/>
    <w:lvl w:ilvl="0">
      <w:start w:val="9"/>
      <w:numFmt w:val="decimal"/>
      <w:lvlText w:val="%1"/>
      <w:lvlJc w:val="left"/>
      <w:pPr>
        <w:ind w:left="660" w:hanging="660"/>
      </w:pPr>
      <w:rPr>
        <w:rFonts w:hint="default"/>
      </w:rPr>
    </w:lvl>
    <w:lvl w:ilvl="1">
      <w:start w:val="3"/>
      <w:numFmt w:val="decimal"/>
      <w:lvlText w:val="%1.%2"/>
      <w:lvlJc w:val="left"/>
      <w:pPr>
        <w:ind w:left="660" w:hanging="660"/>
      </w:pPr>
      <w:rPr>
        <w:rFonts w:hint="default"/>
      </w:rPr>
    </w:lvl>
    <w:lvl w:ilvl="2">
      <w:start w:val="3"/>
      <w:numFmt w:val="decimal"/>
      <w:lvlText w:val="%1.%2.%3"/>
      <w:lvlJc w:val="left"/>
      <w:pPr>
        <w:ind w:left="720" w:hanging="720"/>
      </w:pPr>
      <w:rPr>
        <w:rFonts w:hint="default"/>
      </w:rPr>
    </w:lvl>
    <w:lvl w:ilvl="3">
      <w:start w:val="7"/>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9" w15:restartNumberingAfterBreak="0">
    <w:nsid w:val="28446EDE"/>
    <w:multiLevelType w:val="multilevel"/>
    <w:tmpl w:val="B3182B00"/>
    <w:lvl w:ilvl="0">
      <w:start w:val="1"/>
      <w:numFmt w:val="lowerRoman"/>
      <w:lvlText w:val="(%1)"/>
      <w:lvlJc w:val="left"/>
      <w:rPr>
        <w:rFonts w:ascii="Times New Roman" w:eastAsia="Times New Roman" w:hAnsi="Times New Roman" w:cs="Times New Roman"/>
        <w:b w:val="0"/>
        <w:bCs w:val="0"/>
        <w:i w:val="0"/>
        <w:iCs w:val="0"/>
        <w:smallCaps w:val="0"/>
        <w:strike w:val="0"/>
        <w:color w:val="000000"/>
        <w:spacing w:val="3"/>
        <w:w w:val="100"/>
        <w:position w:val="0"/>
        <w:sz w:val="24"/>
        <w:szCs w:val="24"/>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0" w15:restartNumberingAfterBreak="0">
    <w:nsid w:val="28921D32"/>
    <w:multiLevelType w:val="multilevel"/>
    <w:tmpl w:val="28921D32"/>
    <w:lvl w:ilvl="0">
      <w:start w:val="9"/>
      <w:numFmt w:val="decimal"/>
      <w:lvlText w:val="%1"/>
      <w:lvlJc w:val="left"/>
      <w:pPr>
        <w:ind w:left="555" w:hanging="555"/>
      </w:pPr>
      <w:rPr>
        <w:rFonts w:hint="default"/>
      </w:rPr>
    </w:lvl>
    <w:lvl w:ilvl="1">
      <w:start w:val="2"/>
      <w:numFmt w:val="decimal"/>
      <w:lvlText w:val="%1.%2"/>
      <w:lvlJc w:val="left"/>
      <w:pPr>
        <w:ind w:left="555" w:hanging="555"/>
      </w:pPr>
      <w:rPr>
        <w:rFonts w:hint="default"/>
      </w:rPr>
    </w:lvl>
    <w:lvl w:ilvl="2">
      <w:start w:val="1"/>
      <w:numFmt w:val="decimal"/>
      <w:lvlText w:val="%1.%2.%3"/>
      <w:lvlJc w:val="left"/>
      <w:pPr>
        <w:ind w:left="720" w:hanging="720"/>
      </w:pPr>
      <w:rPr>
        <w:rFonts w:hint="default"/>
      </w:rPr>
    </w:lvl>
    <w:lvl w:ilvl="3">
      <w:start w:val="2"/>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51" w15:restartNumberingAfterBreak="0">
    <w:nsid w:val="28C430C3"/>
    <w:multiLevelType w:val="multilevel"/>
    <w:tmpl w:val="EBBAE2E2"/>
    <w:lvl w:ilvl="0">
      <w:start w:val="1"/>
      <w:numFmt w:val="decimal"/>
      <w:lvlText w:val="10.3.3.%1."/>
      <w:lvlJc w:val="left"/>
      <w:rPr>
        <w:rFonts w:ascii="Times New Roman" w:eastAsia="Times New Roman" w:hAnsi="Times New Roman" w:cs="Times New Roman"/>
        <w:b w:val="0"/>
        <w:bCs w:val="0"/>
        <w:i w:val="0"/>
        <w:iCs w:val="0"/>
        <w:smallCaps w:val="0"/>
        <w:strike w:val="0"/>
        <w:color w:val="000000"/>
        <w:spacing w:val="3"/>
        <w:w w:val="100"/>
        <w:position w:val="0"/>
        <w:sz w:val="24"/>
        <w:szCs w:val="24"/>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2" w15:restartNumberingAfterBreak="0">
    <w:nsid w:val="28CE2B2A"/>
    <w:multiLevelType w:val="multilevel"/>
    <w:tmpl w:val="BAD2A804"/>
    <w:lvl w:ilvl="0">
      <w:start w:val="1"/>
      <w:numFmt w:val="decimal"/>
      <w:lvlText w:val="7.4.2.%1."/>
      <w:lvlJc w:val="left"/>
      <w:rPr>
        <w:rFonts w:ascii="Times New Roman" w:eastAsia="Times New Roman" w:hAnsi="Times New Roman" w:cs="Times New Roman"/>
        <w:b w:val="0"/>
        <w:bCs w:val="0"/>
        <w:i w:val="0"/>
        <w:iCs w:val="0"/>
        <w:smallCaps w:val="0"/>
        <w:strike w:val="0"/>
        <w:color w:val="000000"/>
        <w:spacing w:val="3"/>
        <w:w w:val="100"/>
        <w:position w:val="0"/>
        <w:sz w:val="24"/>
        <w:szCs w:val="24"/>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3" w15:restartNumberingAfterBreak="0">
    <w:nsid w:val="29487041"/>
    <w:multiLevelType w:val="multilevel"/>
    <w:tmpl w:val="9120E0C0"/>
    <w:lvl w:ilvl="0">
      <w:start w:val="1"/>
      <w:numFmt w:val="decimal"/>
      <w:lvlText w:val="9.4.5.4.%1."/>
      <w:lvlJc w:val="left"/>
      <w:rPr>
        <w:rFonts w:ascii="Times New Roman" w:eastAsia="Times New Roman" w:hAnsi="Times New Roman" w:cs="Times New Roman"/>
        <w:b w:val="0"/>
        <w:bCs w:val="0"/>
        <w:i w:val="0"/>
        <w:iCs w:val="0"/>
        <w:smallCaps w:val="0"/>
        <w:strike w:val="0"/>
        <w:color w:val="000000"/>
        <w:spacing w:val="3"/>
        <w:w w:val="100"/>
        <w:position w:val="0"/>
        <w:sz w:val="24"/>
        <w:szCs w:val="24"/>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4" w15:restartNumberingAfterBreak="0">
    <w:nsid w:val="294B4B3F"/>
    <w:multiLevelType w:val="multilevel"/>
    <w:tmpl w:val="B70A73DC"/>
    <w:lvl w:ilvl="0">
      <w:start w:val="6"/>
      <w:numFmt w:val="decimal"/>
      <w:lvlText w:val="%1."/>
      <w:lvlJc w:val="left"/>
      <w:pPr>
        <w:ind w:left="552" w:hanging="552"/>
      </w:pPr>
      <w:rPr>
        <w:rFonts w:hint="default"/>
      </w:rPr>
    </w:lvl>
    <w:lvl w:ilvl="1">
      <w:start w:val="1"/>
      <w:numFmt w:val="decimal"/>
      <w:lvlText w:val="%1.%2."/>
      <w:lvlJc w:val="left"/>
      <w:pPr>
        <w:ind w:left="1467" w:hanging="720"/>
      </w:pPr>
      <w:rPr>
        <w:rFonts w:hint="default"/>
      </w:rPr>
    </w:lvl>
    <w:lvl w:ilvl="2">
      <w:start w:val="3"/>
      <w:numFmt w:val="decimal"/>
      <w:lvlText w:val="%1.%2.%3."/>
      <w:lvlJc w:val="left"/>
      <w:pPr>
        <w:ind w:left="2214" w:hanging="720"/>
      </w:pPr>
      <w:rPr>
        <w:rFonts w:hint="default"/>
        <w:sz w:val="24"/>
        <w:szCs w:val="24"/>
      </w:rPr>
    </w:lvl>
    <w:lvl w:ilvl="3">
      <w:start w:val="1"/>
      <w:numFmt w:val="decimal"/>
      <w:lvlText w:val="%1.%2.%3.%4."/>
      <w:lvlJc w:val="left"/>
      <w:pPr>
        <w:ind w:left="3321" w:hanging="1080"/>
      </w:pPr>
      <w:rPr>
        <w:rFonts w:hint="default"/>
      </w:rPr>
    </w:lvl>
    <w:lvl w:ilvl="4">
      <w:start w:val="1"/>
      <w:numFmt w:val="decimal"/>
      <w:lvlText w:val="%1.%2.%3.%4.%5."/>
      <w:lvlJc w:val="left"/>
      <w:pPr>
        <w:ind w:left="4068" w:hanging="1080"/>
      </w:pPr>
      <w:rPr>
        <w:rFonts w:hint="default"/>
      </w:rPr>
    </w:lvl>
    <w:lvl w:ilvl="5">
      <w:start w:val="1"/>
      <w:numFmt w:val="decimal"/>
      <w:lvlText w:val="%1.%2.%3.%4.%5.%6."/>
      <w:lvlJc w:val="left"/>
      <w:pPr>
        <w:ind w:left="5175" w:hanging="1440"/>
      </w:pPr>
      <w:rPr>
        <w:rFonts w:hint="default"/>
      </w:rPr>
    </w:lvl>
    <w:lvl w:ilvl="6">
      <w:start w:val="1"/>
      <w:numFmt w:val="decimal"/>
      <w:lvlText w:val="%1.%2.%3.%4.%5.%6.%7."/>
      <w:lvlJc w:val="left"/>
      <w:pPr>
        <w:ind w:left="5922" w:hanging="1440"/>
      </w:pPr>
      <w:rPr>
        <w:rFonts w:hint="default"/>
      </w:rPr>
    </w:lvl>
    <w:lvl w:ilvl="7">
      <w:start w:val="1"/>
      <w:numFmt w:val="decimal"/>
      <w:lvlText w:val="%1.%2.%3.%4.%5.%6.%7.%8."/>
      <w:lvlJc w:val="left"/>
      <w:pPr>
        <w:ind w:left="7029" w:hanging="1800"/>
      </w:pPr>
      <w:rPr>
        <w:rFonts w:hint="default"/>
      </w:rPr>
    </w:lvl>
    <w:lvl w:ilvl="8">
      <w:start w:val="1"/>
      <w:numFmt w:val="decimal"/>
      <w:lvlText w:val="%1.%2.%3.%4.%5.%6.%7.%8.%9."/>
      <w:lvlJc w:val="left"/>
      <w:pPr>
        <w:ind w:left="7776" w:hanging="1800"/>
      </w:pPr>
      <w:rPr>
        <w:rFonts w:hint="default"/>
      </w:rPr>
    </w:lvl>
  </w:abstractNum>
  <w:abstractNum w:abstractNumId="155" w15:restartNumberingAfterBreak="0">
    <w:nsid w:val="29AB408E"/>
    <w:multiLevelType w:val="multilevel"/>
    <w:tmpl w:val="B20C2234"/>
    <w:lvl w:ilvl="0">
      <w:start w:val="1"/>
      <w:numFmt w:val="decimal"/>
      <w:lvlText w:val="9.3.2.3.1.%1."/>
      <w:lvlJc w:val="left"/>
      <w:pPr>
        <w:ind w:left="0" w:firstLine="0"/>
      </w:pPr>
      <w:rPr>
        <w:rFonts w:ascii="Times New Roman" w:eastAsia="Times New Roman" w:hAnsi="Times New Roman" w:cs="Times New Roman"/>
        <w:b w:val="0"/>
        <w:bCs w:val="0"/>
        <w:i w:val="0"/>
        <w:iCs w:val="0"/>
        <w:smallCaps w:val="0"/>
        <w:strike w:val="0"/>
        <w:dstrike w:val="0"/>
        <w:color w:val="000000"/>
        <w:spacing w:val="3"/>
        <w:w w:val="100"/>
        <w:position w:val="0"/>
        <w:sz w:val="24"/>
        <w:szCs w:val="24"/>
        <w:u w:val="none"/>
        <w:lang w:val="en-U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56" w15:restartNumberingAfterBreak="0">
    <w:nsid w:val="29AE3E4C"/>
    <w:multiLevelType w:val="multilevel"/>
    <w:tmpl w:val="309EA5F4"/>
    <w:lvl w:ilvl="0">
      <w:start w:val="1"/>
      <w:numFmt w:val="decimal"/>
      <w:lvlText w:val="2.3.2.%1."/>
      <w:lvlJc w:val="left"/>
      <w:rPr>
        <w:rFonts w:ascii="Times New Roman" w:eastAsia="Times New Roman" w:hAnsi="Times New Roman" w:cs="Times New Roman"/>
        <w:b w:val="0"/>
        <w:bCs w:val="0"/>
        <w:i w:val="0"/>
        <w:iCs w:val="0"/>
        <w:smallCaps w:val="0"/>
        <w:strike w:val="0"/>
        <w:color w:val="000000"/>
        <w:spacing w:val="3"/>
        <w:w w:val="100"/>
        <w:position w:val="0"/>
        <w:sz w:val="24"/>
        <w:szCs w:val="24"/>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7" w15:restartNumberingAfterBreak="0">
    <w:nsid w:val="29D04257"/>
    <w:multiLevelType w:val="multilevel"/>
    <w:tmpl w:val="7D38454E"/>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3"/>
        <w:w w:val="100"/>
        <w:position w:val="0"/>
        <w:sz w:val="24"/>
        <w:szCs w:val="24"/>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8" w15:restartNumberingAfterBreak="0">
    <w:nsid w:val="29E97F1E"/>
    <w:multiLevelType w:val="multilevel"/>
    <w:tmpl w:val="5986D364"/>
    <w:lvl w:ilvl="0">
      <w:start w:val="1"/>
      <w:numFmt w:val="lowerLetter"/>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3"/>
        <w:w w:val="100"/>
        <w:position w:val="0"/>
        <w:sz w:val="24"/>
        <w:szCs w:val="24"/>
        <w:u w:val="none"/>
        <w:lang w:val="en-U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59" w15:restartNumberingAfterBreak="0">
    <w:nsid w:val="29FC5604"/>
    <w:multiLevelType w:val="multilevel"/>
    <w:tmpl w:val="A21445CA"/>
    <w:lvl w:ilvl="0">
      <w:start w:val="1"/>
      <w:numFmt w:val="decimal"/>
      <w:lvlText w:val="2.3.%1."/>
      <w:lvlJc w:val="left"/>
      <w:rPr>
        <w:rFonts w:ascii="Times New Roman" w:eastAsia="Times New Roman" w:hAnsi="Times New Roman" w:cs="Times New Roman"/>
        <w:b w:val="0"/>
        <w:bCs w:val="0"/>
        <w:i w:val="0"/>
        <w:iCs w:val="0"/>
        <w:smallCaps w:val="0"/>
        <w:strike w:val="0"/>
        <w:color w:val="000000"/>
        <w:spacing w:val="3"/>
        <w:w w:val="100"/>
        <w:position w:val="0"/>
        <w:sz w:val="24"/>
        <w:szCs w:val="24"/>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0" w15:restartNumberingAfterBreak="0">
    <w:nsid w:val="2A2629AB"/>
    <w:multiLevelType w:val="multilevel"/>
    <w:tmpl w:val="D56E5E94"/>
    <w:lvl w:ilvl="0">
      <w:start w:val="1"/>
      <w:numFmt w:val="decimal"/>
      <w:lvlText w:val="9.4.1.%1."/>
      <w:lvlJc w:val="left"/>
      <w:pPr>
        <w:ind w:left="0" w:firstLine="0"/>
      </w:pPr>
      <w:rPr>
        <w:rFonts w:ascii="Times New Roman" w:eastAsia="Times New Roman" w:hAnsi="Times New Roman" w:cs="Times New Roman"/>
        <w:b w:val="0"/>
        <w:bCs w:val="0"/>
        <w:i w:val="0"/>
        <w:iCs w:val="0"/>
        <w:smallCaps w:val="0"/>
        <w:strike w:val="0"/>
        <w:dstrike w:val="0"/>
        <w:color w:val="000000"/>
        <w:spacing w:val="3"/>
        <w:w w:val="100"/>
        <w:position w:val="0"/>
        <w:sz w:val="24"/>
        <w:szCs w:val="24"/>
        <w:u w:val="none"/>
        <w:lang w:val="en-U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61" w15:restartNumberingAfterBreak="0">
    <w:nsid w:val="2A3E5338"/>
    <w:multiLevelType w:val="multilevel"/>
    <w:tmpl w:val="A398759C"/>
    <w:lvl w:ilvl="0">
      <w:start w:val="1"/>
      <w:numFmt w:val="lowerLetter"/>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3"/>
        <w:w w:val="100"/>
        <w:position w:val="0"/>
        <w:sz w:val="24"/>
        <w:szCs w:val="24"/>
        <w:u w:val="none"/>
        <w:lang w:val="en-U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62" w15:restartNumberingAfterBreak="0">
    <w:nsid w:val="2B120261"/>
    <w:multiLevelType w:val="multilevel"/>
    <w:tmpl w:val="2C3A35E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3"/>
        <w:w w:val="100"/>
        <w:position w:val="0"/>
        <w:sz w:val="24"/>
        <w:szCs w:val="24"/>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3" w15:restartNumberingAfterBreak="0">
    <w:nsid w:val="2BFC1DCF"/>
    <w:multiLevelType w:val="multilevel"/>
    <w:tmpl w:val="4AF059F8"/>
    <w:lvl w:ilvl="0">
      <w:start w:val="1"/>
      <w:numFmt w:val="decimal"/>
      <w:lvlText w:val="9.4.%1."/>
      <w:lvlJc w:val="left"/>
      <w:rPr>
        <w:rFonts w:ascii="Times New Roman" w:eastAsia="Times New Roman" w:hAnsi="Times New Roman" w:cs="Times New Roman"/>
        <w:b w:val="0"/>
        <w:bCs w:val="0"/>
        <w:i w:val="0"/>
        <w:iCs w:val="0"/>
        <w:smallCaps w:val="0"/>
        <w:strike w:val="0"/>
        <w:color w:val="000000"/>
        <w:spacing w:val="3"/>
        <w:w w:val="100"/>
        <w:position w:val="0"/>
        <w:sz w:val="24"/>
        <w:szCs w:val="24"/>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4" w15:restartNumberingAfterBreak="0">
    <w:nsid w:val="2C4D5324"/>
    <w:multiLevelType w:val="multilevel"/>
    <w:tmpl w:val="E1EA706E"/>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3"/>
        <w:w w:val="100"/>
        <w:position w:val="0"/>
        <w:sz w:val="24"/>
        <w:szCs w:val="24"/>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5" w15:restartNumberingAfterBreak="0">
    <w:nsid w:val="2C561DCE"/>
    <w:multiLevelType w:val="multilevel"/>
    <w:tmpl w:val="1FD20176"/>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3"/>
        <w:w w:val="100"/>
        <w:position w:val="0"/>
        <w:sz w:val="24"/>
        <w:szCs w:val="24"/>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6" w15:restartNumberingAfterBreak="0">
    <w:nsid w:val="2D497F84"/>
    <w:multiLevelType w:val="multilevel"/>
    <w:tmpl w:val="929021F2"/>
    <w:lvl w:ilvl="0">
      <w:start w:val="1"/>
      <w:numFmt w:val="decimal"/>
      <w:lvlText w:val="8.1.13.2.%1."/>
      <w:lvlJc w:val="left"/>
      <w:rPr>
        <w:rFonts w:ascii="Times New Roman" w:eastAsia="Times New Roman" w:hAnsi="Times New Roman" w:cs="Times New Roman"/>
        <w:b w:val="0"/>
        <w:bCs w:val="0"/>
        <w:i w:val="0"/>
        <w:iCs w:val="0"/>
        <w:smallCaps w:val="0"/>
        <w:strike w:val="0"/>
        <w:color w:val="000000"/>
        <w:spacing w:val="3"/>
        <w:w w:val="100"/>
        <w:position w:val="0"/>
        <w:sz w:val="24"/>
        <w:szCs w:val="24"/>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7" w15:restartNumberingAfterBreak="0">
    <w:nsid w:val="2D584298"/>
    <w:multiLevelType w:val="multilevel"/>
    <w:tmpl w:val="5DD054B0"/>
    <w:lvl w:ilvl="0">
      <w:start w:val="1"/>
      <w:numFmt w:val="decimal"/>
      <w:lvlText w:val="8.1.4.%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8" w15:restartNumberingAfterBreak="0">
    <w:nsid w:val="2D5D0796"/>
    <w:multiLevelType w:val="hybridMultilevel"/>
    <w:tmpl w:val="49280F3C"/>
    <w:lvl w:ilvl="0" w:tplc="10BEC6E8">
      <w:start w:val="60"/>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9" w15:restartNumberingAfterBreak="0">
    <w:nsid w:val="2D85791D"/>
    <w:multiLevelType w:val="multilevel"/>
    <w:tmpl w:val="683C4772"/>
    <w:lvl w:ilvl="0">
      <w:start w:val="2"/>
      <w:numFmt w:val="decimal"/>
      <w:lvlText w:val="%1."/>
      <w:lvlJc w:val="left"/>
      <w:pPr>
        <w:ind w:left="1065" w:hanging="1065"/>
      </w:pPr>
      <w:rPr>
        <w:rFonts w:hint="default"/>
        <w:sz w:val="20"/>
        <w:szCs w:val="20"/>
      </w:rPr>
    </w:lvl>
    <w:lvl w:ilvl="1">
      <w:start w:val="3"/>
      <w:numFmt w:val="decimal"/>
      <w:lvlText w:val="%1.%2."/>
      <w:lvlJc w:val="left"/>
      <w:pPr>
        <w:ind w:left="1186" w:hanging="1065"/>
      </w:pPr>
      <w:rPr>
        <w:rFonts w:hint="default"/>
      </w:rPr>
    </w:lvl>
    <w:lvl w:ilvl="2">
      <w:start w:val="1"/>
      <w:numFmt w:val="decimal"/>
      <w:lvlText w:val="%1.%2.%3."/>
      <w:lvlJc w:val="left"/>
      <w:pPr>
        <w:ind w:left="1307" w:hanging="1065"/>
      </w:pPr>
      <w:rPr>
        <w:rFonts w:hint="default"/>
      </w:rPr>
    </w:lvl>
    <w:lvl w:ilvl="3">
      <w:start w:val="1"/>
      <w:numFmt w:val="decimal"/>
      <w:lvlText w:val="%1.%2.%3.%4."/>
      <w:lvlJc w:val="left"/>
      <w:pPr>
        <w:ind w:left="1443" w:hanging="1080"/>
      </w:pPr>
      <w:rPr>
        <w:rFonts w:hint="default"/>
      </w:rPr>
    </w:lvl>
    <w:lvl w:ilvl="4">
      <w:start w:val="2"/>
      <w:numFmt w:val="decimal"/>
      <w:lvlText w:val="%1.%2.%3.%4.%5."/>
      <w:lvlJc w:val="left"/>
      <w:pPr>
        <w:ind w:left="1564" w:hanging="1080"/>
      </w:pPr>
      <w:rPr>
        <w:rFonts w:hint="default"/>
      </w:rPr>
    </w:lvl>
    <w:lvl w:ilvl="5">
      <w:start w:val="1"/>
      <w:numFmt w:val="decimal"/>
      <w:lvlText w:val="%1.%2.%3.%4.%5.%6."/>
      <w:lvlJc w:val="left"/>
      <w:pPr>
        <w:ind w:left="2045" w:hanging="1440"/>
      </w:pPr>
      <w:rPr>
        <w:rFonts w:hint="default"/>
      </w:rPr>
    </w:lvl>
    <w:lvl w:ilvl="6">
      <w:start w:val="1"/>
      <w:numFmt w:val="decimal"/>
      <w:lvlText w:val="%1.%2.%3.%4.%5.%6.%7."/>
      <w:lvlJc w:val="left"/>
      <w:pPr>
        <w:ind w:left="2526" w:hanging="1800"/>
      </w:pPr>
      <w:rPr>
        <w:rFonts w:hint="default"/>
      </w:rPr>
    </w:lvl>
    <w:lvl w:ilvl="7">
      <w:start w:val="1"/>
      <w:numFmt w:val="decimal"/>
      <w:lvlText w:val="%1.%2.%3.%4.%5.%6.%7.%8."/>
      <w:lvlJc w:val="left"/>
      <w:pPr>
        <w:ind w:left="2647" w:hanging="1800"/>
      </w:pPr>
      <w:rPr>
        <w:rFonts w:hint="default"/>
      </w:rPr>
    </w:lvl>
    <w:lvl w:ilvl="8">
      <w:start w:val="1"/>
      <w:numFmt w:val="decimal"/>
      <w:lvlText w:val="%1.%2.%3.%4.%5.%6.%7.%8.%9."/>
      <w:lvlJc w:val="left"/>
      <w:pPr>
        <w:ind w:left="3128" w:hanging="2160"/>
      </w:pPr>
      <w:rPr>
        <w:rFonts w:hint="default"/>
      </w:rPr>
    </w:lvl>
  </w:abstractNum>
  <w:abstractNum w:abstractNumId="170" w15:restartNumberingAfterBreak="0">
    <w:nsid w:val="2DE84B79"/>
    <w:multiLevelType w:val="multilevel"/>
    <w:tmpl w:val="3FC6F948"/>
    <w:lvl w:ilvl="0">
      <w:start w:val="1"/>
      <w:numFmt w:val="decimal"/>
      <w:lvlText w:val="8.1.7.%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1" w15:restartNumberingAfterBreak="0">
    <w:nsid w:val="2E413A20"/>
    <w:multiLevelType w:val="multilevel"/>
    <w:tmpl w:val="12521BA0"/>
    <w:lvl w:ilvl="0">
      <w:start w:val="1"/>
      <w:numFmt w:val="lowerLetter"/>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3"/>
        <w:w w:val="100"/>
        <w:position w:val="0"/>
        <w:sz w:val="24"/>
        <w:szCs w:val="24"/>
        <w:u w:val="none"/>
        <w:lang w:val="en-U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72" w15:restartNumberingAfterBreak="0">
    <w:nsid w:val="2EC04611"/>
    <w:multiLevelType w:val="multilevel"/>
    <w:tmpl w:val="8A7C2982"/>
    <w:lvl w:ilvl="0">
      <w:start w:val="1"/>
      <w:numFmt w:val="decimal"/>
      <w:lvlText w:val="9.4.3.%1."/>
      <w:lvlJc w:val="left"/>
      <w:rPr>
        <w:rFonts w:ascii="Times New Roman" w:eastAsia="Times New Roman" w:hAnsi="Times New Roman" w:cs="Times New Roman"/>
        <w:b w:val="0"/>
        <w:bCs w:val="0"/>
        <w:i w:val="0"/>
        <w:iCs w:val="0"/>
        <w:smallCaps w:val="0"/>
        <w:strike w:val="0"/>
        <w:color w:val="000000"/>
        <w:spacing w:val="3"/>
        <w:w w:val="100"/>
        <w:position w:val="0"/>
        <w:sz w:val="24"/>
        <w:szCs w:val="24"/>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3" w15:restartNumberingAfterBreak="0">
    <w:nsid w:val="2F1F0437"/>
    <w:multiLevelType w:val="multilevel"/>
    <w:tmpl w:val="4086BD0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3"/>
        <w:w w:val="100"/>
        <w:position w:val="0"/>
        <w:sz w:val="24"/>
        <w:szCs w:val="24"/>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4" w15:restartNumberingAfterBreak="0">
    <w:nsid w:val="2F481322"/>
    <w:multiLevelType w:val="multilevel"/>
    <w:tmpl w:val="ED626EDA"/>
    <w:lvl w:ilvl="0">
      <w:start w:val="1"/>
      <w:numFmt w:val="decimal"/>
      <w:lvlText w:val="7.7.2.%1."/>
      <w:lvlJc w:val="left"/>
      <w:rPr>
        <w:rFonts w:ascii="Times New Roman" w:eastAsia="Times New Roman" w:hAnsi="Times New Roman" w:cs="Times New Roman"/>
        <w:b w:val="0"/>
        <w:bCs w:val="0"/>
        <w:i w:val="0"/>
        <w:iCs w:val="0"/>
        <w:smallCaps w:val="0"/>
        <w:strike w:val="0"/>
        <w:color w:val="000000"/>
        <w:spacing w:val="3"/>
        <w:w w:val="100"/>
        <w:position w:val="0"/>
        <w:sz w:val="24"/>
        <w:szCs w:val="24"/>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5" w15:restartNumberingAfterBreak="0">
    <w:nsid w:val="30AD24EF"/>
    <w:multiLevelType w:val="multilevel"/>
    <w:tmpl w:val="DDB60DE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4"/>
        <w:w w:val="100"/>
        <w:position w:val="0"/>
        <w:sz w:val="24"/>
        <w:szCs w:val="24"/>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6" w15:restartNumberingAfterBreak="0">
    <w:nsid w:val="30BA0E47"/>
    <w:multiLevelType w:val="multilevel"/>
    <w:tmpl w:val="05528230"/>
    <w:lvl w:ilvl="0">
      <w:start w:val="1"/>
      <w:numFmt w:val="decimal"/>
      <w:lvlText w:val="7.4.%1."/>
      <w:lvlJc w:val="left"/>
      <w:rPr>
        <w:rFonts w:ascii="Times New Roman" w:eastAsia="Times New Roman" w:hAnsi="Times New Roman" w:cs="Times New Roman"/>
        <w:b w:val="0"/>
        <w:bCs w:val="0"/>
        <w:i w:val="0"/>
        <w:iCs w:val="0"/>
        <w:smallCaps w:val="0"/>
        <w:strike w:val="0"/>
        <w:color w:val="000000"/>
        <w:spacing w:val="3"/>
        <w:w w:val="100"/>
        <w:position w:val="0"/>
        <w:sz w:val="24"/>
        <w:szCs w:val="24"/>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7" w15:restartNumberingAfterBreak="0">
    <w:nsid w:val="30BE388D"/>
    <w:multiLevelType w:val="multilevel"/>
    <w:tmpl w:val="991AF364"/>
    <w:lvl w:ilvl="0">
      <w:start w:val="1"/>
      <w:numFmt w:val="decimal"/>
      <w:lvlText w:val="8.%1."/>
      <w:lvlJc w:val="left"/>
      <w:rPr>
        <w:rFonts w:ascii="Times New Roman" w:eastAsia="Times New Roman" w:hAnsi="Times New Roman" w:cs="Times New Roman"/>
        <w:b w:val="0"/>
        <w:bCs w:val="0"/>
        <w:i w:val="0"/>
        <w:iCs w:val="0"/>
        <w:smallCaps w:val="0"/>
        <w:strike w:val="0"/>
        <w:color w:val="000000"/>
        <w:spacing w:val="3"/>
        <w:w w:val="100"/>
        <w:position w:val="0"/>
        <w:sz w:val="24"/>
        <w:szCs w:val="24"/>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8" w15:restartNumberingAfterBreak="0">
    <w:nsid w:val="30C81DC7"/>
    <w:multiLevelType w:val="multilevel"/>
    <w:tmpl w:val="4E82541E"/>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3"/>
        <w:w w:val="100"/>
        <w:position w:val="0"/>
        <w:sz w:val="24"/>
        <w:szCs w:val="24"/>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9" w15:restartNumberingAfterBreak="0">
    <w:nsid w:val="30D64588"/>
    <w:multiLevelType w:val="multilevel"/>
    <w:tmpl w:val="61D46430"/>
    <w:lvl w:ilvl="0">
      <w:start w:val="1"/>
      <w:numFmt w:val="decimal"/>
      <w:lvlText w:val="7.2.1.%1."/>
      <w:lvlJc w:val="left"/>
      <w:rPr>
        <w:rFonts w:ascii="Times New Roman" w:eastAsia="Times New Roman" w:hAnsi="Times New Roman" w:cs="Times New Roman"/>
        <w:b w:val="0"/>
        <w:bCs w:val="0"/>
        <w:i w:val="0"/>
        <w:iCs w:val="0"/>
        <w:smallCaps w:val="0"/>
        <w:strike w:val="0"/>
        <w:color w:val="000000"/>
        <w:spacing w:val="1"/>
        <w:w w:val="100"/>
        <w:position w:val="0"/>
        <w:sz w:val="24"/>
        <w:szCs w:val="24"/>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0" w15:restartNumberingAfterBreak="0">
    <w:nsid w:val="314568FA"/>
    <w:multiLevelType w:val="multilevel"/>
    <w:tmpl w:val="0F6A9076"/>
    <w:lvl w:ilvl="0">
      <w:start w:val="1"/>
      <w:numFmt w:val="lowerRoman"/>
      <w:lvlText w:val="(%1)"/>
      <w:lvlJc w:val="right"/>
      <w:rPr>
        <w:rFonts w:ascii="Times New Roman" w:eastAsia="Times New Roman" w:hAnsi="Times New Roman" w:cs="Times New Roman"/>
        <w:b w:val="0"/>
        <w:bCs w:val="0"/>
        <w:i w:val="0"/>
        <w:iCs w:val="0"/>
        <w:smallCaps w:val="0"/>
        <w:strike w:val="0"/>
        <w:color w:val="000000"/>
        <w:spacing w:val="3"/>
        <w:w w:val="100"/>
        <w:position w:val="0"/>
        <w:sz w:val="24"/>
        <w:szCs w:val="24"/>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1" w15:restartNumberingAfterBreak="0">
    <w:nsid w:val="31566A0F"/>
    <w:multiLevelType w:val="multilevel"/>
    <w:tmpl w:val="3FACF816"/>
    <w:lvl w:ilvl="0">
      <w:start w:val="1"/>
      <w:numFmt w:val="decimal"/>
      <w:lvlText w:val="2.1.5.%1."/>
      <w:lvlJc w:val="left"/>
      <w:rPr>
        <w:rFonts w:ascii="Times New Roman" w:eastAsia="Times New Roman" w:hAnsi="Times New Roman" w:cs="Times New Roman"/>
        <w:b w:val="0"/>
        <w:bCs w:val="0"/>
        <w:i w:val="0"/>
        <w:iCs w:val="0"/>
        <w:smallCaps w:val="0"/>
        <w:strike w:val="0"/>
        <w:color w:val="000000"/>
        <w:spacing w:val="3"/>
        <w:w w:val="100"/>
        <w:position w:val="0"/>
        <w:sz w:val="24"/>
        <w:szCs w:val="24"/>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2" w15:restartNumberingAfterBreak="0">
    <w:nsid w:val="315D7F83"/>
    <w:multiLevelType w:val="multilevel"/>
    <w:tmpl w:val="C7A0FEFC"/>
    <w:lvl w:ilvl="0">
      <w:start w:val="1"/>
      <w:numFmt w:val="decimal"/>
      <w:lvlText w:val="9.4.7.1.%1."/>
      <w:lvlJc w:val="left"/>
      <w:rPr>
        <w:rFonts w:ascii="Times New Roman" w:eastAsia="Times New Roman" w:hAnsi="Times New Roman" w:cs="Times New Roman"/>
        <w:b w:val="0"/>
        <w:bCs w:val="0"/>
        <w:i w:val="0"/>
        <w:iCs w:val="0"/>
        <w:smallCaps w:val="0"/>
        <w:strike w:val="0"/>
        <w:color w:val="000000"/>
        <w:spacing w:val="3"/>
        <w:w w:val="100"/>
        <w:position w:val="0"/>
        <w:sz w:val="24"/>
        <w:szCs w:val="24"/>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3" w15:restartNumberingAfterBreak="0">
    <w:nsid w:val="323963E2"/>
    <w:multiLevelType w:val="multilevel"/>
    <w:tmpl w:val="7154054A"/>
    <w:lvl w:ilvl="0">
      <w:start w:val="1"/>
      <w:numFmt w:val="decimal"/>
      <w:lvlText w:val="8.1.8.7.%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lang w:val="en-U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84" w15:restartNumberingAfterBreak="0">
    <w:nsid w:val="33207EE3"/>
    <w:multiLevelType w:val="multilevel"/>
    <w:tmpl w:val="878C7202"/>
    <w:lvl w:ilvl="0">
      <w:start w:val="1"/>
      <w:numFmt w:val="decimal"/>
      <w:lvlText w:val="9.3.%1."/>
      <w:lvlJc w:val="left"/>
      <w:pPr>
        <w:ind w:left="0" w:firstLine="0"/>
      </w:pPr>
      <w:rPr>
        <w:rFonts w:ascii="Times New Roman" w:eastAsia="Times New Roman" w:hAnsi="Times New Roman" w:cs="Times New Roman"/>
        <w:b w:val="0"/>
        <w:bCs w:val="0"/>
        <w:i w:val="0"/>
        <w:iCs w:val="0"/>
        <w:smallCaps w:val="0"/>
        <w:strike w:val="0"/>
        <w:dstrike w:val="0"/>
        <w:color w:val="000000"/>
        <w:spacing w:val="3"/>
        <w:w w:val="100"/>
        <w:position w:val="0"/>
        <w:sz w:val="24"/>
        <w:szCs w:val="24"/>
        <w:u w:val="none"/>
        <w:lang w:val="en-U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85" w15:restartNumberingAfterBreak="0">
    <w:nsid w:val="33630E9D"/>
    <w:multiLevelType w:val="multilevel"/>
    <w:tmpl w:val="2034E57C"/>
    <w:lvl w:ilvl="0">
      <w:start w:val="1"/>
      <w:numFmt w:val="decimal"/>
      <w:lvlText w:val="7.6.3.%1."/>
      <w:lvlJc w:val="left"/>
      <w:rPr>
        <w:rFonts w:ascii="Times New Roman" w:eastAsia="Times New Roman" w:hAnsi="Times New Roman" w:cs="Times New Roman"/>
        <w:b w:val="0"/>
        <w:bCs w:val="0"/>
        <w:i w:val="0"/>
        <w:iCs w:val="0"/>
        <w:smallCaps w:val="0"/>
        <w:strike w:val="0"/>
        <w:color w:val="000000"/>
        <w:spacing w:val="3"/>
        <w:w w:val="100"/>
        <w:position w:val="0"/>
        <w:sz w:val="24"/>
        <w:szCs w:val="24"/>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6" w15:restartNumberingAfterBreak="0">
    <w:nsid w:val="33B8427E"/>
    <w:multiLevelType w:val="multilevel"/>
    <w:tmpl w:val="1AD0F696"/>
    <w:lvl w:ilvl="0">
      <w:start w:val="1"/>
      <w:numFmt w:val="decimal"/>
      <w:lvlText w:val="%1."/>
      <w:lvlJc w:val="left"/>
      <w:rPr>
        <w:rFonts w:ascii="Times New Roman" w:eastAsia="Times New Roman" w:hAnsi="Times New Roman" w:cs="Times New Roman"/>
        <w:b/>
        <w:bCs w:val="0"/>
        <w:i w:val="0"/>
        <w:iCs w:val="0"/>
        <w:smallCaps w:val="0"/>
        <w:strike w:val="0"/>
        <w:color w:val="000000"/>
        <w:spacing w:val="3"/>
        <w:w w:val="100"/>
        <w:position w:val="0"/>
        <w:sz w:val="24"/>
        <w:szCs w:val="24"/>
        <w:u w:val="none"/>
        <w:lang w:val="en-US"/>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3"/>
        <w:w w:val="100"/>
        <w:position w:val="0"/>
        <w:sz w:val="24"/>
        <w:szCs w:val="24"/>
        <w:u w:val="none"/>
        <w:lang w:val="en-US"/>
      </w:rPr>
    </w:lvl>
    <w:lvl w:ilvl="2">
      <w:start w:val="1"/>
      <w:numFmt w:val="decimal"/>
      <w:lvlText w:val="%1.%2.%3."/>
      <w:lvlJc w:val="left"/>
      <w:pPr>
        <w:ind w:left="240"/>
      </w:pPr>
      <w:rPr>
        <w:rFonts w:ascii="Times New Roman" w:eastAsia="Times New Roman" w:hAnsi="Times New Roman" w:cs="Times New Roman" w:hint="default"/>
        <w:b w:val="0"/>
        <w:bCs w:val="0"/>
        <w:i w:val="0"/>
        <w:iCs w:val="0"/>
        <w:smallCaps w:val="0"/>
        <w:strike w:val="0"/>
        <w:color w:val="000000"/>
        <w:spacing w:val="3"/>
        <w:w w:val="100"/>
        <w:position w:val="0"/>
        <w:sz w:val="24"/>
        <w:szCs w:val="24"/>
        <w:u w:val="none"/>
        <w:lang w:val="en-US"/>
      </w:rPr>
    </w:lvl>
    <w:lvl w:ilvl="3">
      <w:start w:val="2"/>
      <w:numFmt w:val="decimal"/>
      <w:lvlText w:val="%1.%2.%3.%4."/>
      <w:lvlJc w:val="left"/>
      <w:pPr>
        <w:ind w:left="480"/>
      </w:pPr>
      <w:rPr>
        <w:rFonts w:ascii="Times New Roman" w:eastAsia="Times New Roman" w:hAnsi="Times New Roman" w:cs="Times New Roman" w:hint="default"/>
        <w:b w:val="0"/>
        <w:bCs w:val="0"/>
        <w:i w:val="0"/>
        <w:iCs w:val="0"/>
        <w:smallCaps w:val="0"/>
        <w:strike w:val="0"/>
        <w:color w:val="000000"/>
        <w:spacing w:val="3"/>
        <w:w w:val="100"/>
        <w:position w:val="0"/>
        <w:sz w:val="20"/>
        <w:szCs w:val="20"/>
        <w:highlight w:val="yellow"/>
        <w:u w:val="none"/>
        <w:lang w:val="en-US"/>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7" w15:restartNumberingAfterBreak="0">
    <w:nsid w:val="3434685E"/>
    <w:multiLevelType w:val="multilevel"/>
    <w:tmpl w:val="3CC0E3C0"/>
    <w:lvl w:ilvl="0">
      <w:start w:val="1"/>
      <w:numFmt w:val="decimal"/>
      <w:lvlText w:val="9.3.1.%1."/>
      <w:lvlJc w:val="left"/>
      <w:pPr>
        <w:ind w:left="0" w:firstLine="0"/>
      </w:pPr>
      <w:rPr>
        <w:rFonts w:ascii="Times New Roman" w:eastAsia="Times New Roman" w:hAnsi="Times New Roman" w:cs="Times New Roman"/>
        <w:b w:val="0"/>
        <w:bCs w:val="0"/>
        <w:i w:val="0"/>
        <w:iCs w:val="0"/>
        <w:smallCaps w:val="0"/>
        <w:strike w:val="0"/>
        <w:dstrike w:val="0"/>
        <w:color w:val="000000"/>
        <w:spacing w:val="3"/>
        <w:w w:val="100"/>
        <w:position w:val="0"/>
        <w:sz w:val="24"/>
        <w:szCs w:val="24"/>
        <w:u w:val="none"/>
        <w:lang w:val="en-U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88" w15:restartNumberingAfterBreak="0">
    <w:nsid w:val="343B73BF"/>
    <w:multiLevelType w:val="multilevel"/>
    <w:tmpl w:val="EAF0A3F0"/>
    <w:lvl w:ilvl="0">
      <w:start w:val="1"/>
      <w:numFmt w:val="decimal"/>
      <w:lvlText w:val="7.2.%1."/>
      <w:lvlJc w:val="left"/>
      <w:rPr>
        <w:rFonts w:ascii="Times New Roman" w:eastAsia="Times New Roman" w:hAnsi="Times New Roman" w:cs="Times New Roman"/>
        <w:b w:val="0"/>
        <w:bCs w:val="0"/>
        <w:i w:val="0"/>
        <w:iCs w:val="0"/>
        <w:smallCaps w:val="0"/>
        <w:strike w:val="0"/>
        <w:color w:val="000000"/>
        <w:spacing w:val="3"/>
        <w:w w:val="100"/>
        <w:position w:val="0"/>
        <w:sz w:val="24"/>
        <w:szCs w:val="24"/>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9" w15:restartNumberingAfterBreak="0">
    <w:nsid w:val="34916929"/>
    <w:multiLevelType w:val="multilevel"/>
    <w:tmpl w:val="A11ACCE8"/>
    <w:lvl w:ilvl="0">
      <w:start w:val="1"/>
      <w:numFmt w:val="decimal"/>
      <w:lvlText w:val="7.5.1.%1."/>
      <w:lvlJc w:val="left"/>
      <w:rPr>
        <w:rFonts w:ascii="Times New Roman" w:eastAsia="Times New Roman" w:hAnsi="Times New Roman" w:cs="Times New Roman"/>
        <w:b w:val="0"/>
        <w:bCs w:val="0"/>
        <w:i w:val="0"/>
        <w:iCs w:val="0"/>
        <w:smallCaps w:val="0"/>
        <w:strike w:val="0"/>
        <w:color w:val="000000"/>
        <w:spacing w:val="3"/>
        <w:w w:val="100"/>
        <w:position w:val="0"/>
        <w:sz w:val="24"/>
        <w:szCs w:val="24"/>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0" w15:restartNumberingAfterBreak="0">
    <w:nsid w:val="34C9519B"/>
    <w:multiLevelType w:val="multilevel"/>
    <w:tmpl w:val="3B301AE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3"/>
        <w:w w:val="100"/>
        <w:position w:val="0"/>
        <w:sz w:val="24"/>
        <w:szCs w:val="24"/>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1" w15:restartNumberingAfterBreak="0">
    <w:nsid w:val="354434CE"/>
    <w:multiLevelType w:val="multilevel"/>
    <w:tmpl w:val="AF0AB2E4"/>
    <w:lvl w:ilvl="0">
      <w:start w:val="1"/>
      <w:numFmt w:val="lowerRoman"/>
      <w:lvlText w:val="(%1)"/>
      <w:lvlJc w:val="left"/>
      <w:rPr>
        <w:rFonts w:ascii="Times New Roman" w:eastAsia="Times New Roman" w:hAnsi="Times New Roman" w:cs="Times New Roman"/>
        <w:b w:val="0"/>
        <w:bCs w:val="0"/>
        <w:i w:val="0"/>
        <w:iCs w:val="0"/>
        <w:smallCaps w:val="0"/>
        <w:strike w:val="0"/>
        <w:color w:val="000000"/>
        <w:spacing w:val="3"/>
        <w:w w:val="100"/>
        <w:position w:val="0"/>
        <w:sz w:val="24"/>
        <w:szCs w:val="24"/>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2" w15:restartNumberingAfterBreak="0">
    <w:nsid w:val="355B19EB"/>
    <w:multiLevelType w:val="multilevel"/>
    <w:tmpl w:val="F82EA470"/>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3"/>
        <w:w w:val="100"/>
        <w:position w:val="0"/>
        <w:sz w:val="24"/>
        <w:szCs w:val="24"/>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3" w15:restartNumberingAfterBreak="0">
    <w:nsid w:val="35F0770F"/>
    <w:multiLevelType w:val="multilevel"/>
    <w:tmpl w:val="7B1C6A0A"/>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3"/>
        <w:w w:val="100"/>
        <w:position w:val="0"/>
        <w:sz w:val="24"/>
        <w:szCs w:val="24"/>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4" w15:restartNumberingAfterBreak="0">
    <w:nsid w:val="36867315"/>
    <w:multiLevelType w:val="multilevel"/>
    <w:tmpl w:val="83689380"/>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3"/>
        <w:w w:val="100"/>
        <w:position w:val="0"/>
        <w:sz w:val="24"/>
        <w:szCs w:val="24"/>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5" w15:restartNumberingAfterBreak="0">
    <w:nsid w:val="36EA7810"/>
    <w:multiLevelType w:val="multilevel"/>
    <w:tmpl w:val="07B88EEA"/>
    <w:lvl w:ilvl="0">
      <w:start w:val="1"/>
      <w:numFmt w:val="decimal"/>
      <w:lvlText w:val="7.8.1.%1."/>
      <w:lvlJc w:val="left"/>
      <w:rPr>
        <w:rFonts w:ascii="Times New Roman" w:eastAsia="Times New Roman" w:hAnsi="Times New Roman" w:cs="Times New Roman"/>
        <w:b w:val="0"/>
        <w:bCs w:val="0"/>
        <w:i w:val="0"/>
        <w:iCs w:val="0"/>
        <w:smallCaps w:val="0"/>
        <w:strike w:val="0"/>
        <w:color w:val="000000"/>
        <w:spacing w:val="3"/>
        <w:w w:val="100"/>
        <w:position w:val="0"/>
        <w:sz w:val="24"/>
        <w:szCs w:val="24"/>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6" w15:restartNumberingAfterBreak="0">
    <w:nsid w:val="37351D7A"/>
    <w:multiLevelType w:val="multilevel"/>
    <w:tmpl w:val="6890ECC8"/>
    <w:lvl w:ilvl="0">
      <w:start w:val="1"/>
      <w:numFmt w:val="decimal"/>
      <w:lvlText w:val="2.2.1.%1"/>
      <w:lvlJc w:val="left"/>
      <w:rPr>
        <w:rFonts w:ascii="Times New Roman" w:eastAsia="Times New Roman" w:hAnsi="Times New Roman" w:cs="Times New Roman"/>
        <w:b w:val="0"/>
        <w:bCs w:val="0"/>
        <w:i w:val="0"/>
        <w:iCs w:val="0"/>
        <w:smallCaps w:val="0"/>
        <w:strike w:val="0"/>
        <w:color w:val="000000"/>
        <w:spacing w:val="3"/>
        <w:w w:val="100"/>
        <w:position w:val="0"/>
        <w:sz w:val="24"/>
        <w:szCs w:val="24"/>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7" w15:restartNumberingAfterBreak="0">
    <w:nsid w:val="378F2079"/>
    <w:multiLevelType w:val="multilevel"/>
    <w:tmpl w:val="C12C62C6"/>
    <w:lvl w:ilvl="0">
      <w:start w:val="1"/>
      <w:numFmt w:val="decimal"/>
      <w:lvlText w:val="2.3.%1."/>
      <w:lvlJc w:val="left"/>
      <w:rPr>
        <w:rFonts w:ascii="Times New Roman" w:eastAsia="Times New Roman" w:hAnsi="Times New Roman" w:cs="Times New Roman"/>
        <w:b w:val="0"/>
        <w:bCs w:val="0"/>
        <w:i w:val="0"/>
        <w:iCs w:val="0"/>
        <w:smallCaps w:val="0"/>
        <w:strike w:val="0"/>
        <w:color w:val="000000"/>
        <w:spacing w:val="3"/>
        <w:w w:val="100"/>
        <w:position w:val="0"/>
        <w:sz w:val="24"/>
        <w:szCs w:val="24"/>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8" w15:restartNumberingAfterBreak="0">
    <w:nsid w:val="37CC5F03"/>
    <w:multiLevelType w:val="multilevel"/>
    <w:tmpl w:val="13ECB52A"/>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3"/>
        <w:w w:val="100"/>
        <w:position w:val="0"/>
        <w:sz w:val="24"/>
        <w:szCs w:val="24"/>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9" w15:restartNumberingAfterBreak="0">
    <w:nsid w:val="37E74635"/>
    <w:multiLevelType w:val="multilevel"/>
    <w:tmpl w:val="5AE448C8"/>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3"/>
        <w:w w:val="100"/>
        <w:position w:val="0"/>
        <w:sz w:val="24"/>
        <w:szCs w:val="24"/>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0" w15:restartNumberingAfterBreak="0">
    <w:nsid w:val="38055390"/>
    <w:multiLevelType w:val="multilevel"/>
    <w:tmpl w:val="7FD20B92"/>
    <w:lvl w:ilvl="0">
      <w:start w:val="1"/>
      <w:numFmt w:val="decimal"/>
      <w:lvlText w:val="7.4.1.%1."/>
      <w:lvlJc w:val="left"/>
      <w:rPr>
        <w:rFonts w:ascii="Times New Roman" w:eastAsia="Times New Roman" w:hAnsi="Times New Roman" w:cs="Times New Roman"/>
        <w:b w:val="0"/>
        <w:bCs w:val="0"/>
        <w:i w:val="0"/>
        <w:iCs w:val="0"/>
        <w:smallCaps w:val="0"/>
        <w:strike w:val="0"/>
        <w:color w:val="000000"/>
        <w:spacing w:val="3"/>
        <w:w w:val="100"/>
        <w:position w:val="0"/>
        <w:sz w:val="24"/>
        <w:szCs w:val="24"/>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1" w15:restartNumberingAfterBreak="0">
    <w:nsid w:val="386005D7"/>
    <w:multiLevelType w:val="multilevel"/>
    <w:tmpl w:val="7EFAD190"/>
    <w:lvl w:ilvl="0">
      <w:start w:val="1"/>
      <w:numFmt w:val="decimal"/>
      <w:lvlText w:val="8.1.10.1.%1."/>
      <w:lvlJc w:val="left"/>
      <w:pPr>
        <w:ind w:left="1135" w:firstLine="0"/>
      </w:pPr>
      <w:rPr>
        <w:rFonts w:ascii="Times New Roman" w:eastAsia="Times New Roman" w:hAnsi="Times New Roman" w:cs="Times New Roman"/>
        <w:b w:val="0"/>
        <w:bCs w:val="0"/>
        <w:i w:val="0"/>
        <w:iCs w:val="0"/>
        <w:smallCaps w:val="0"/>
        <w:strike w:val="0"/>
        <w:dstrike w:val="0"/>
        <w:color w:val="000000"/>
        <w:spacing w:val="3"/>
        <w:w w:val="100"/>
        <w:position w:val="0"/>
        <w:sz w:val="24"/>
        <w:szCs w:val="24"/>
        <w:u w:val="none"/>
        <w:lang w:val="en-U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02" w15:restartNumberingAfterBreak="0">
    <w:nsid w:val="38A70D9F"/>
    <w:multiLevelType w:val="multilevel"/>
    <w:tmpl w:val="103873CC"/>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3"/>
        <w:w w:val="100"/>
        <w:position w:val="0"/>
        <w:sz w:val="24"/>
        <w:szCs w:val="24"/>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3" w15:restartNumberingAfterBreak="0">
    <w:nsid w:val="38AF48EE"/>
    <w:multiLevelType w:val="multilevel"/>
    <w:tmpl w:val="38AF48EE"/>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4" w15:restartNumberingAfterBreak="0">
    <w:nsid w:val="38B000E4"/>
    <w:multiLevelType w:val="multilevel"/>
    <w:tmpl w:val="1D00EAC4"/>
    <w:lvl w:ilvl="0">
      <w:start w:val="1"/>
      <w:numFmt w:val="decimal"/>
      <w:lvlText w:val="7.6.%1."/>
      <w:lvlJc w:val="left"/>
      <w:rPr>
        <w:rFonts w:ascii="Times New Roman" w:eastAsia="Times New Roman" w:hAnsi="Times New Roman" w:cs="Times New Roman"/>
        <w:b w:val="0"/>
        <w:bCs w:val="0"/>
        <w:i w:val="0"/>
        <w:iCs w:val="0"/>
        <w:smallCaps w:val="0"/>
        <w:strike w:val="0"/>
        <w:color w:val="000000"/>
        <w:spacing w:val="3"/>
        <w:w w:val="100"/>
        <w:position w:val="0"/>
        <w:sz w:val="24"/>
        <w:szCs w:val="24"/>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5" w15:restartNumberingAfterBreak="0">
    <w:nsid w:val="39083166"/>
    <w:multiLevelType w:val="multilevel"/>
    <w:tmpl w:val="B070332E"/>
    <w:lvl w:ilvl="0">
      <w:start w:val="1"/>
      <w:numFmt w:val="decimal"/>
      <w:lvlText w:val="2.2.3.%1."/>
      <w:lvlJc w:val="left"/>
      <w:rPr>
        <w:rFonts w:ascii="Times New Roman" w:eastAsia="Times New Roman" w:hAnsi="Times New Roman" w:cs="Times New Roman"/>
        <w:b w:val="0"/>
        <w:bCs w:val="0"/>
        <w:i w:val="0"/>
        <w:iCs w:val="0"/>
        <w:smallCaps w:val="0"/>
        <w:strike w:val="0"/>
        <w:color w:val="000000"/>
        <w:spacing w:val="3"/>
        <w:w w:val="100"/>
        <w:position w:val="0"/>
        <w:sz w:val="24"/>
        <w:szCs w:val="24"/>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6" w15:restartNumberingAfterBreak="0">
    <w:nsid w:val="39291C49"/>
    <w:multiLevelType w:val="multilevel"/>
    <w:tmpl w:val="6818C7F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3"/>
        <w:w w:val="100"/>
        <w:position w:val="0"/>
        <w:sz w:val="24"/>
        <w:szCs w:val="24"/>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7" w15:restartNumberingAfterBreak="0">
    <w:nsid w:val="3A21545F"/>
    <w:multiLevelType w:val="hybridMultilevel"/>
    <w:tmpl w:val="CC64D536"/>
    <w:lvl w:ilvl="0" w:tplc="82822C54">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08" w15:restartNumberingAfterBreak="0">
    <w:nsid w:val="3A557C52"/>
    <w:multiLevelType w:val="multilevel"/>
    <w:tmpl w:val="8A7E6438"/>
    <w:lvl w:ilvl="0">
      <w:start w:val="3"/>
      <w:numFmt w:val="decimal"/>
      <w:lvlText w:val="7.5.1.%1"/>
      <w:lvlJc w:val="left"/>
      <w:rPr>
        <w:rFonts w:ascii="Times New Roman" w:eastAsia="Times New Roman" w:hAnsi="Times New Roman" w:cs="Times New Roman"/>
        <w:b w:val="0"/>
        <w:bCs w:val="0"/>
        <w:i w:val="0"/>
        <w:iCs w:val="0"/>
        <w:smallCaps w:val="0"/>
        <w:strike w:val="0"/>
        <w:color w:val="000000"/>
        <w:spacing w:val="3"/>
        <w:w w:val="100"/>
        <w:position w:val="0"/>
        <w:sz w:val="24"/>
        <w:szCs w:val="24"/>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9" w15:restartNumberingAfterBreak="0">
    <w:nsid w:val="3A760488"/>
    <w:multiLevelType w:val="multilevel"/>
    <w:tmpl w:val="3F10CE0A"/>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3"/>
        <w:w w:val="100"/>
        <w:position w:val="0"/>
        <w:sz w:val="24"/>
        <w:szCs w:val="24"/>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0" w15:restartNumberingAfterBreak="0">
    <w:nsid w:val="3A9700B7"/>
    <w:multiLevelType w:val="multilevel"/>
    <w:tmpl w:val="7B58435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3"/>
        <w:w w:val="100"/>
        <w:position w:val="0"/>
        <w:sz w:val="18"/>
        <w:szCs w:val="18"/>
        <w:u w:val="none"/>
        <w:lang w:val="en-US"/>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3"/>
        <w:w w:val="100"/>
        <w:position w:val="0"/>
        <w:sz w:val="24"/>
        <w:szCs w:val="24"/>
        <w:u w:val="none"/>
        <w:lang w:val="en-US"/>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3"/>
        <w:w w:val="100"/>
        <w:position w:val="0"/>
        <w:sz w:val="18"/>
        <w:szCs w:val="18"/>
        <w:u w:val="none"/>
        <w:lang w:val="en-US"/>
      </w:rPr>
    </w:lvl>
    <w:lvl w:ilvl="3">
      <w:start w:val="2"/>
      <w:numFmt w:val="decimal"/>
      <w:lvlText w:val="%1.%2.%3.%4."/>
      <w:lvlJc w:val="left"/>
      <w:rPr>
        <w:rFonts w:ascii="Times New Roman" w:eastAsia="Times New Roman" w:hAnsi="Times New Roman" w:cs="Times New Roman"/>
        <w:b w:val="0"/>
        <w:bCs w:val="0"/>
        <w:i w:val="0"/>
        <w:iCs w:val="0"/>
        <w:smallCaps w:val="0"/>
        <w:strike w:val="0"/>
        <w:color w:val="000000"/>
        <w:spacing w:val="3"/>
        <w:w w:val="100"/>
        <w:position w:val="0"/>
        <w:sz w:val="14"/>
        <w:szCs w:val="14"/>
        <w:u w:val="none"/>
        <w:lang w:val="en-US"/>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1" w15:restartNumberingAfterBreak="0">
    <w:nsid w:val="3B457B01"/>
    <w:multiLevelType w:val="multilevel"/>
    <w:tmpl w:val="3988A528"/>
    <w:lvl w:ilvl="0">
      <w:start w:val="1"/>
      <w:numFmt w:val="decimal"/>
      <w:lvlText w:val="10.3.3.5.%1."/>
      <w:lvlJc w:val="left"/>
      <w:rPr>
        <w:rFonts w:ascii="Times New Roman" w:eastAsia="Times New Roman" w:hAnsi="Times New Roman" w:cs="Times New Roman"/>
        <w:b w:val="0"/>
        <w:bCs w:val="0"/>
        <w:i w:val="0"/>
        <w:iCs w:val="0"/>
        <w:smallCaps w:val="0"/>
        <w:strike w:val="0"/>
        <w:color w:val="000000"/>
        <w:spacing w:val="3"/>
        <w:w w:val="100"/>
        <w:position w:val="0"/>
        <w:sz w:val="24"/>
        <w:szCs w:val="24"/>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2" w15:restartNumberingAfterBreak="0">
    <w:nsid w:val="3CE84BEE"/>
    <w:multiLevelType w:val="multilevel"/>
    <w:tmpl w:val="02E8FAEC"/>
    <w:lvl w:ilvl="0">
      <w:start w:val="1"/>
      <w:numFmt w:val="decimal"/>
      <w:lvlText w:val="7.5.%1."/>
      <w:lvlJc w:val="left"/>
      <w:rPr>
        <w:rFonts w:ascii="Times New Roman" w:eastAsia="Times New Roman" w:hAnsi="Times New Roman" w:cs="Times New Roman"/>
        <w:b w:val="0"/>
        <w:bCs w:val="0"/>
        <w:i w:val="0"/>
        <w:iCs w:val="0"/>
        <w:smallCaps w:val="0"/>
        <w:strike w:val="0"/>
        <w:color w:val="000000"/>
        <w:spacing w:val="3"/>
        <w:w w:val="100"/>
        <w:position w:val="0"/>
        <w:sz w:val="24"/>
        <w:szCs w:val="24"/>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3" w15:restartNumberingAfterBreak="0">
    <w:nsid w:val="3D0A5CC3"/>
    <w:multiLevelType w:val="multilevel"/>
    <w:tmpl w:val="F8BC106E"/>
    <w:lvl w:ilvl="0">
      <w:start w:val="1"/>
      <w:numFmt w:val="decimal"/>
      <w:lvlText w:val="8.1.8.5.%1."/>
      <w:lvlJc w:val="left"/>
      <w:pPr>
        <w:ind w:left="0" w:firstLine="0"/>
      </w:pPr>
      <w:rPr>
        <w:rFonts w:ascii="Times New Roman" w:eastAsia="Times New Roman" w:hAnsi="Times New Roman" w:cs="Times New Roman"/>
        <w:b w:val="0"/>
        <w:bCs w:val="0"/>
        <w:i w:val="0"/>
        <w:iCs w:val="0"/>
        <w:smallCaps w:val="0"/>
        <w:strike w:val="0"/>
        <w:dstrike w:val="0"/>
        <w:color w:val="000000"/>
        <w:spacing w:val="3"/>
        <w:w w:val="100"/>
        <w:position w:val="0"/>
        <w:sz w:val="24"/>
        <w:szCs w:val="24"/>
        <w:u w:val="none"/>
        <w:lang w:val="en-U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14" w15:restartNumberingAfterBreak="0">
    <w:nsid w:val="3D1C1964"/>
    <w:multiLevelType w:val="multilevel"/>
    <w:tmpl w:val="384ADA40"/>
    <w:lvl w:ilvl="0">
      <w:start w:val="2"/>
      <w:numFmt w:val="decimal"/>
      <w:lvlText w:val="2.2.%1."/>
      <w:lvlJc w:val="left"/>
      <w:rPr>
        <w:rFonts w:ascii="Times New Roman" w:eastAsia="Times New Roman" w:hAnsi="Times New Roman" w:cs="Times New Roman"/>
        <w:b w:val="0"/>
        <w:bCs w:val="0"/>
        <w:i w:val="0"/>
        <w:iCs w:val="0"/>
        <w:smallCaps w:val="0"/>
        <w:strike w:val="0"/>
        <w:color w:val="000000"/>
        <w:spacing w:val="3"/>
        <w:w w:val="100"/>
        <w:position w:val="0"/>
        <w:sz w:val="24"/>
        <w:szCs w:val="24"/>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5" w15:restartNumberingAfterBreak="0">
    <w:nsid w:val="3D8844D8"/>
    <w:multiLevelType w:val="multilevel"/>
    <w:tmpl w:val="5418B42E"/>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3"/>
        <w:w w:val="100"/>
        <w:position w:val="0"/>
        <w:sz w:val="24"/>
        <w:szCs w:val="24"/>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6" w15:restartNumberingAfterBreak="0">
    <w:nsid w:val="3D8D1D18"/>
    <w:multiLevelType w:val="multilevel"/>
    <w:tmpl w:val="C8F6FDB4"/>
    <w:lvl w:ilvl="0">
      <w:start w:val="2"/>
      <w:numFmt w:val="decimal"/>
      <w:lvlText w:val="8.%1."/>
      <w:lvlJc w:val="left"/>
      <w:rPr>
        <w:rFonts w:ascii="Times New Roman" w:eastAsia="Times New Roman" w:hAnsi="Times New Roman" w:cs="Times New Roman"/>
        <w:b w:val="0"/>
        <w:bCs w:val="0"/>
        <w:i w:val="0"/>
        <w:iCs w:val="0"/>
        <w:smallCaps w:val="0"/>
        <w:strike w:val="0"/>
        <w:color w:val="000000"/>
        <w:spacing w:val="3"/>
        <w:w w:val="100"/>
        <w:position w:val="0"/>
        <w:sz w:val="24"/>
        <w:szCs w:val="24"/>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7" w15:restartNumberingAfterBreak="0">
    <w:nsid w:val="3DDD02F9"/>
    <w:multiLevelType w:val="multilevel"/>
    <w:tmpl w:val="E63E9C82"/>
    <w:lvl w:ilvl="0">
      <w:start w:val="6"/>
      <w:numFmt w:val="decimal"/>
      <w:lvlText w:val="8.1.8.5.%1."/>
      <w:lvlJc w:val="left"/>
      <w:pPr>
        <w:ind w:left="0" w:firstLine="0"/>
      </w:pPr>
      <w:rPr>
        <w:rFonts w:ascii="Times New Roman" w:eastAsia="Times New Roman" w:hAnsi="Times New Roman" w:cs="Times New Roman"/>
        <w:b w:val="0"/>
        <w:bCs w:val="0"/>
        <w:i w:val="0"/>
        <w:iCs w:val="0"/>
        <w:smallCaps w:val="0"/>
        <w:strike w:val="0"/>
        <w:dstrike w:val="0"/>
        <w:color w:val="000000"/>
        <w:spacing w:val="3"/>
        <w:w w:val="100"/>
        <w:position w:val="0"/>
        <w:sz w:val="24"/>
        <w:szCs w:val="24"/>
        <w:u w:val="none"/>
        <w:lang w:val="en-U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18" w15:restartNumberingAfterBreak="0">
    <w:nsid w:val="3E3C3565"/>
    <w:multiLevelType w:val="multilevel"/>
    <w:tmpl w:val="EDB016C8"/>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3"/>
        <w:w w:val="100"/>
        <w:position w:val="0"/>
        <w:sz w:val="24"/>
        <w:szCs w:val="24"/>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9" w15:restartNumberingAfterBreak="0">
    <w:nsid w:val="3E837565"/>
    <w:multiLevelType w:val="multilevel"/>
    <w:tmpl w:val="4E7C60FA"/>
    <w:lvl w:ilvl="0">
      <w:start w:val="1"/>
      <w:numFmt w:val="decimal"/>
      <w:lvlText w:val="8.1.9.%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lang w:val="en-U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20" w15:restartNumberingAfterBreak="0">
    <w:nsid w:val="3EE048C4"/>
    <w:multiLevelType w:val="multilevel"/>
    <w:tmpl w:val="C4AC8CAC"/>
    <w:lvl w:ilvl="0">
      <w:start w:val="1"/>
      <w:numFmt w:val="decimal"/>
      <w:lvlText w:val="%1."/>
      <w:lvlJc w:val="left"/>
      <w:rPr>
        <w:rFonts w:ascii="Times New Roman" w:eastAsia="Times New Roman" w:hAnsi="Times New Roman" w:cs="Times New Roman"/>
        <w:b/>
        <w:bCs w:val="0"/>
        <w:i w:val="0"/>
        <w:iCs w:val="0"/>
        <w:smallCaps w:val="0"/>
        <w:strike w:val="0"/>
        <w:color w:val="000000"/>
        <w:spacing w:val="3"/>
        <w:w w:val="100"/>
        <w:position w:val="0"/>
        <w:sz w:val="24"/>
        <w:szCs w:val="24"/>
        <w:u w:val="none"/>
        <w:lang w:val="en-US"/>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3"/>
        <w:w w:val="100"/>
        <w:position w:val="0"/>
        <w:sz w:val="24"/>
        <w:szCs w:val="24"/>
        <w:u w:val="none"/>
        <w:lang w:val="en-US"/>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3"/>
        <w:w w:val="100"/>
        <w:position w:val="0"/>
        <w:sz w:val="24"/>
        <w:szCs w:val="24"/>
        <w:u w:val="none"/>
        <w:lang w:val="en-US"/>
      </w:rPr>
    </w:lvl>
    <w:lvl w:ilvl="3">
      <w:start w:val="1"/>
      <w:numFmt w:val="decimal"/>
      <w:lvlText w:val="%1.%2.%3.%4."/>
      <w:lvlJc w:val="left"/>
      <w:rPr>
        <w:rFonts w:ascii="Times New Roman" w:eastAsia="Times New Roman" w:hAnsi="Times New Roman" w:cs="Times New Roman"/>
        <w:b w:val="0"/>
        <w:bCs w:val="0"/>
        <w:i w:val="0"/>
        <w:iCs w:val="0"/>
        <w:smallCaps w:val="0"/>
        <w:strike w:val="0"/>
        <w:color w:val="000000"/>
        <w:spacing w:val="3"/>
        <w:w w:val="100"/>
        <w:position w:val="0"/>
        <w:sz w:val="24"/>
        <w:szCs w:val="24"/>
        <w:u w:val="none"/>
        <w:lang w:val="en-US"/>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1" w15:restartNumberingAfterBreak="0">
    <w:nsid w:val="3F6130D7"/>
    <w:multiLevelType w:val="multilevel"/>
    <w:tmpl w:val="DDDCCD70"/>
    <w:lvl w:ilvl="0">
      <w:start w:val="3"/>
      <w:numFmt w:val="decimal"/>
      <w:lvlText w:val="2.2.%1."/>
      <w:lvlJc w:val="left"/>
      <w:rPr>
        <w:rFonts w:ascii="Times New Roman" w:eastAsia="Times New Roman" w:hAnsi="Times New Roman" w:cs="Times New Roman"/>
        <w:b w:val="0"/>
        <w:bCs w:val="0"/>
        <w:i w:val="0"/>
        <w:iCs w:val="0"/>
        <w:smallCaps w:val="0"/>
        <w:strike w:val="0"/>
        <w:color w:val="000000"/>
        <w:spacing w:val="2"/>
        <w:w w:val="100"/>
        <w:position w:val="0"/>
        <w:sz w:val="24"/>
        <w:szCs w:val="24"/>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2" w15:restartNumberingAfterBreak="0">
    <w:nsid w:val="3FC65B44"/>
    <w:multiLevelType w:val="hybridMultilevel"/>
    <w:tmpl w:val="C504CC78"/>
    <w:lvl w:ilvl="0" w:tplc="82822C54">
      <w:start w:val="1"/>
      <w:numFmt w:val="lowerLetter"/>
      <w:lvlText w:val="(%1)"/>
      <w:lvlJc w:val="left"/>
      <w:pPr>
        <w:ind w:left="1569" w:hanging="360"/>
      </w:pPr>
      <w:rPr>
        <w:rFonts w:hint="default"/>
      </w:rPr>
    </w:lvl>
    <w:lvl w:ilvl="1" w:tplc="82822C54">
      <w:start w:val="1"/>
      <w:numFmt w:val="lowerLetter"/>
      <w:lvlText w:val="(%2)"/>
      <w:lvlJc w:val="left"/>
      <w:pPr>
        <w:ind w:left="2289" w:hanging="360"/>
      </w:pPr>
      <w:rPr>
        <w:rFonts w:hint="default"/>
      </w:rPr>
    </w:lvl>
    <w:lvl w:ilvl="2" w:tplc="041F001B" w:tentative="1">
      <w:start w:val="1"/>
      <w:numFmt w:val="lowerRoman"/>
      <w:lvlText w:val="%3."/>
      <w:lvlJc w:val="right"/>
      <w:pPr>
        <w:ind w:left="3009" w:hanging="180"/>
      </w:pPr>
    </w:lvl>
    <w:lvl w:ilvl="3" w:tplc="041F000F" w:tentative="1">
      <w:start w:val="1"/>
      <w:numFmt w:val="decimal"/>
      <w:lvlText w:val="%4."/>
      <w:lvlJc w:val="left"/>
      <w:pPr>
        <w:ind w:left="3729" w:hanging="360"/>
      </w:pPr>
    </w:lvl>
    <w:lvl w:ilvl="4" w:tplc="041F0019" w:tentative="1">
      <w:start w:val="1"/>
      <w:numFmt w:val="lowerLetter"/>
      <w:lvlText w:val="%5."/>
      <w:lvlJc w:val="left"/>
      <w:pPr>
        <w:ind w:left="4449" w:hanging="360"/>
      </w:pPr>
    </w:lvl>
    <w:lvl w:ilvl="5" w:tplc="041F001B" w:tentative="1">
      <w:start w:val="1"/>
      <w:numFmt w:val="lowerRoman"/>
      <w:lvlText w:val="%6."/>
      <w:lvlJc w:val="right"/>
      <w:pPr>
        <w:ind w:left="5169" w:hanging="180"/>
      </w:pPr>
    </w:lvl>
    <w:lvl w:ilvl="6" w:tplc="041F000F" w:tentative="1">
      <w:start w:val="1"/>
      <w:numFmt w:val="decimal"/>
      <w:lvlText w:val="%7."/>
      <w:lvlJc w:val="left"/>
      <w:pPr>
        <w:ind w:left="5889" w:hanging="360"/>
      </w:pPr>
    </w:lvl>
    <w:lvl w:ilvl="7" w:tplc="041F0019" w:tentative="1">
      <w:start w:val="1"/>
      <w:numFmt w:val="lowerLetter"/>
      <w:lvlText w:val="%8."/>
      <w:lvlJc w:val="left"/>
      <w:pPr>
        <w:ind w:left="6609" w:hanging="360"/>
      </w:pPr>
    </w:lvl>
    <w:lvl w:ilvl="8" w:tplc="041F001B" w:tentative="1">
      <w:start w:val="1"/>
      <w:numFmt w:val="lowerRoman"/>
      <w:lvlText w:val="%9."/>
      <w:lvlJc w:val="right"/>
      <w:pPr>
        <w:ind w:left="7329" w:hanging="180"/>
      </w:pPr>
    </w:lvl>
  </w:abstractNum>
  <w:abstractNum w:abstractNumId="223" w15:restartNumberingAfterBreak="0">
    <w:nsid w:val="403912D5"/>
    <w:multiLevelType w:val="multilevel"/>
    <w:tmpl w:val="B9EADFFC"/>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3"/>
        <w:w w:val="100"/>
        <w:position w:val="0"/>
        <w:sz w:val="24"/>
        <w:szCs w:val="24"/>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4" w15:restartNumberingAfterBreak="0">
    <w:nsid w:val="40DA32BF"/>
    <w:multiLevelType w:val="multilevel"/>
    <w:tmpl w:val="800A5FA0"/>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3"/>
        <w:w w:val="100"/>
        <w:position w:val="0"/>
        <w:sz w:val="24"/>
        <w:szCs w:val="24"/>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5" w15:restartNumberingAfterBreak="0">
    <w:nsid w:val="41021E70"/>
    <w:multiLevelType w:val="multilevel"/>
    <w:tmpl w:val="F534659A"/>
    <w:lvl w:ilvl="0">
      <w:start w:val="1"/>
      <w:numFmt w:val="lowerLetter"/>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3"/>
        <w:w w:val="100"/>
        <w:position w:val="0"/>
        <w:sz w:val="24"/>
        <w:szCs w:val="24"/>
        <w:u w:val="none"/>
        <w:lang w:val="en-U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26" w15:restartNumberingAfterBreak="0">
    <w:nsid w:val="41150202"/>
    <w:multiLevelType w:val="multilevel"/>
    <w:tmpl w:val="50CAE0F8"/>
    <w:lvl w:ilvl="0">
      <w:start w:val="4"/>
      <w:numFmt w:val="decimal"/>
      <w:lvlText w:val="6.3.%1."/>
      <w:lvlJc w:val="left"/>
      <w:pPr>
        <w:ind w:left="0" w:firstLine="0"/>
      </w:pPr>
      <w:rPr>
        <w:rFonts w:ascii="Times New Roman" w:eastAsia="Times New Roman" w:hAnsi="Times New Roman" w:cs="Times New Roman"/>
        <w:b w:val="0"/>
        <w:bCs w:val="0"/>
        <w:i w:val="0"/>
        <w:iCs w:val="0"/>
        <w:smallCaps w:val="0"/>
        <w:strike w:val="0"/>
        <w:dstrike w:val="0"/>
        <w:color w:val="000000"/>
        <w:spacing w:val="3"/>
        <w:w w:val="100"/>
        <w:position w:val="0"/>
        <w:sz w:val="24"/>
        <w:szCs w:val="24"/>
        <w:u w:val="none"/>
        <w:lang w:val="en-U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27" w15:restartNumberingAfterBreak="0">
    <w:nsid w:val="415359FA"/>
    <w:multiLevelType w:val="multilevel"/>
    <w:tmpl w:val="A2DAF7CE"/>
    <w:lvl w:ilvl="0">
      <w:start w:val="1"/>
      <w:numFmt w:val="decimal"/>
      <w:lvlText w:val="2.3.2.2.%1."/>
      <w:lvlJc w:val="left"/>
      <w:rPr>
        <w:rFonts w:ascii="Times New Roman" w:eastAsia="Times New Roman" w:hAnsi="Times New Roman" w:cs="Times New Roman"/>
        <w:b w:val="0"/>
        <w:bCs w:val="0"/>
        <w:i w:val="0"/>
        <w:iCs w:val="0"/>
        <w:smallCaps w:val="0"/>
        <w:strike w:val="0"/>
        <w:color w:val="000000"/>
        <w:spacing w:val="3"/>
        <w:w w:val="100"/>
        <w:position w:val="0"/>
        <w:sz w:val="24"/>
        <w:szCs w:val="24"/>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8" w15:restartNumberingAfterBreak="0">
    <w:nsid w:val="41B1727B"/>
    <w:multiLevelType w:val="multilevel"/>
    <w:tmpl w:val="3236CB68"/>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3"/>
        <w:w w:val="100"/>
        <w:position w:val="0"/>
        <w:sz w:val="24"/>
        <w:szCs w:val="24"/>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9" w15:restartNumberingAfterBreak="0">
    <w:nsid w:val="41DF5665"/>
    <w:multiLevelType w:val="multilevel"/>
    <w:tmpl w:val="41DF5665"/>
    <w:lvl w:ilvl="0">
      <w:start w:val="8"/>
      <w:numFmt w:val="decimal"/>
      <w:lvlText w:val="%1"/>
      <w:lvlJc w:val="left"/>
      <w:pPr>
        <w:ind w:left="555" w:hanging="555"/>
      </w:pPr>
      <w:rPr>
        <w:rFonts w:hint="default"/>
      </w:rPr>
    </w:lvl>
    <w:lvl w:ilvl="1">
      <w:start w:val="1"/>
      <w:numFmt w:val="decimal"/>
      <w:lvlText w:val="%1.%2"/>
      <w:lvlJc w:val="left"/>
      <w:pPr>
        <w:ind w:left="555" w:hanging="555"/>
      </w:pPr>
      <w:rPr>
        <w:rFonts w:hint="default"/>
      </w:rPr>
    </w:lvl>
    <w:lvl w:ilvl="2">
      <w:start w:val="7"/>
      <w:numFmt w:val="decimal"/>
      <w:lvlText w:val="%1.%2.%3"/>
      <w:lvlJc w:val="left"/>
      <w:pPr>
        <w:ind w:left="720" w:hanging="720"/>
      </w:pPr>
      <w:rPr>
        <w:rFonts w:hint="default"/>
      </w:rPr>
    </w:lvl>
    <w:lvl w:ilvl="3">
      <w:start w:val="2"/>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30" w15:restartNumberingAfterBreak="0">
    <w:nsid w:val="42020052"/>
    <w:multiLevelType w:val="multilevel"/>
    <w:tmpl w:val="27462516"/>
    <w:lvl w:ilvl="0">
      <w:start w:val="1"/>
      <w:numFmt w:val="decimal"/>
      <w:lvlText w:val="7.3.1.1.%1."/>
      <w:lvlJc w:val="left"/>
      <w:rPr>
        <w:rFonts w:ascii="Times New Roman" w:eastAsia="Times New Roman" w:hAnsi="Times New Roman" w:cs="Times New Roman"/>
        <w:b w:val="0"/>
        <w:bCs w:val="0"/>
        <w:i w:val="0"/>
        <w:iCs w:val="0"/>
        <w:smallCaps w:val="0"/>
        <w:strike w:val="0"/>
        <w:color w:val="000000"/>
        <w:spacing w:val="3"/>
        <w:w w:val="100"/>
        <w:position w:val="0"/>
        <w:sz w:val="24"/>
        <w:szCs w:val="24"/>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1" w15:restartNumberingAfterBreak="0">
    <w:nsid w:val="42434257"/>
    <w:multiLevelType w:val="multilevel"/>
    <w:tmpl w:val="26EA2122"/>
    <w:lvl w:ilvl="0">
      <w:start w:val="3"/>
      <w:numFmt w:val="decimal"/>
      <w:lvlText w:val="7.8.3.%1."/>
      <w:lvlJc w:val="left"/>
      <w:rPr>
        <w:rFonts w:ascii="Times New Roman" w:eastAsia="Times New Roman" w:hAnsi="Times New Roman" w:cs="Times New Roman"/>
        <w:b w:val="0"/>
        <w:bCs w:val="0"/>
        <w:i w:val="0"/>
        <w:iCs w:val="0"/>
        <w:smallCaps w:val="0"/>
        <w:strike w:val="0"/>
        <w:color w:val="000000"/>
        <w:spacing w:val="3"/>
        <w:w w:val="100"/>
        <w:position w:val="0"/>
        <w:sz w:val="24"/>
        <w:szCs w:val="24"/>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2" w15:restartNumberingAfterBreak="0">
    <w:nsid w:val="4267302E"/>
    <w:multiLevelType w:val="multilevel"/>
    <w:tmpl w:val="4267302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3" w15:restartNumberingAfterBreak="0">
    <w:nsid w:val="42B1513B"/>
    <w:multiLevelType w:val="multilevel"/>
    <w:tmpl w:val="376EED40"/>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3"/>
        <w:w w:val="100"/>
        <w:position w:val="0"/>
        <w:sz w:val="24"/>
        <w:szCs w:val="24"/>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4" w15:restartNumberingAfterBreak="0">
    <w:nsid w:val="42C12A8E"/>
    <w:multiLevelType w:val="multilevel"/>
    <w:tmpl w:val="1760FFD0"/>
    <w:lvl w:ilvl="0">
      <w:start w:val="1"/>
      <w:numFmt w:val="lowerRoman"/>
      <w:lvlText w:val="(%1)"/>
      <w:lvlJc w:val="left"/>
      <w:rPr>
        <w:rFonts w:ascii="Times New Roman" w:eastAsia="Times New Roman" w:hAnsi="Times New Roman" w:cs="Times New Roman"/>
        <w:b w:val="0"/>
        <w:bCs w:val="0"/>
        <w:i w:val="0"/>
        <w:iCs w:val="0"/>
        <w:smallCaps w:val="0"/>
        <w:strike w:val="0"/>
        <w:color w:val="000000"/>
        <w:spacing w:val="3"/>
        <w:w w:val="100"/>
        <w:position w:val="0"/>
        <w:sz w:val="24"/>
        <w:szCs w:val="24"/>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5" w15:restartNumberingAfterBreak="0">
    <w:nsid w:val="42DC22C3"/>
    <w:multiLevelType w:val="multilevel"/>
    <w:tmpl w:val="29CE164C"/>
    <w:lvl w:ilvl="0">
      <w:start w:val="1"/>
      <w:numFmt w:val="lowerLetter"/>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3"/>
        <w:w w:val="100"/>
        <w:position w:val="0"/>
        <w:sz w:val="24"/>
        <w:szCs w:val="24"/>
        <w:u w:val="none"/>
        <w:lang w:val="en-U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36" w15:restartNumberingAfterBreak="0">
    <w:nsid w:val="42DE7DB1"/>
    <w:multiLevelType w:val="multilevel"/>
    <w:tmpl w:val="F9F86AAC"/>
    <w:lvl w:ilvl="0">
      <w:start w:val="4"/>
      <w:numFmt w:val="decimal"/>
      <w:lvlText w:val="6.%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lang w:val="en-U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37" w15:restartNumberingAfterBreak="0">
    <w:nsid w:val="4321140B"/>
    <w:multiLevelType w:val="singleLevel"/>
    <w:tmpl w:val="9F38A1E6"/>
    <w:lvl w:ilvl="0">
      <w:start w:val="1"/>
      <w:numFmt w:val="decimal"/>
      <w:pStyle w:val="Considrant"/>
      <w:lvlText w:val="(%1)"/>
      <w:lvlJc w:val="left"/>
      <w:pPr>
        <w:tabs>
          <w:tab w:val="num" w:pos="709"/>
        </w:tabs>
        <w:ind w:left="709" w:hanging="709"/>
      </w:pPr>
    </w:lvl>
  </w:abstractNum>
  <w:abstractNum w:abstractNumId="238" w15:restartNumberingAfterBreak="0">
    <w:nsid w:val="435C5A53"/>
    <w:multiLevelType w:val="multilevel"/>
    <w:tmpl w:val="7466E5B8"/>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4"/>
        <w:w w:val="100"/>
        <w:position w:val="0"/>
        <w:sz w:val="24"/>
        <w:szCs w:val="24"/>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9" w15:restartNumberingAfterBreak="0">
    <w:nsid w:val="435C6319"/>
    <w:multiLevelType w:val="multilevel"/>
    <w:tmpl w:val="DDB60B78"/>
    <w:lvl w:ilvl="0">
      <w:start w:val="3"/>
      <w:numFmt w:val="lowerLetter"/>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3"/>
        <w:w w:val="100"/>
        <w:position w:val="0"/>
        <w:sz w:val="24"/>
        <w:szCs w:val="24"/>
        <w:u w:val="none"/>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240" w15:restartNumberingAfterBreak="0">
    <w:nsid w:val="442A429E"/>
    <w:multiLevelType w:val="multilevel"/>
    <w:tmpl w:val="89307DAE"/>
    <w:lvl w:ilvl="0">
      <w:start w:val="1"/>
      <w:numFmt w:val="lowerRoman"/>
      <w:lvlText w:val="(%1)"/>
      <w:lvlJc w:val="left"/>
      <w:rPr>
        <w:rFonts w:ascii="Times New Roman" w:eastAsia="Times New Roman" w:hAnsi="Times New Roman" w:cs="Times New Roman"/>
        <w:b w:val="0"/>
        <w:bCs w:val="0"/>
        <w:i w:val="0"/>
        <w:iCs w:val="0"/>
        <w:smallCaps w:val="0"/>
        <w:strike w:val="0"/>
        <w:color w:val="000000"/>
        <w:spacing w:val="3"/>
        <w:w w:val="100"/>
        <w:position w:val="0"/>
        <w:sz w:val="24"/>
        <w:szCs w:val="24"/>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1" w15:restartNumberingAfterBreak="0">
    <w:nsid w:val="44583791"/>
    <w:multiLevelType w:val="multilevel"/>
    <w:tmpl w:val="FA4E36A6"/>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3"/>
        <w:w w:val="100"/>
        <w:position w:val="0"/>
        <w:sz w:val="24"/>
        <w:szCs w:val="24"/>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2" w15:restartNumberingAfterBreak="0">
    <w:nsid w:val="445E0A6A"/>
    <w:multiLevelType w:val="multilevel"/>
    <w:tmpl w:val="D3D8BF36"/>
    <w:lvl w:ilvl="0">
      <w:start w:val="1"/>
      <w:numFmt w:val="decimal"/>
      <w:lvlText w:val="%1."/>
      <w:lvlJc w:val="left"/>
      <w:pPr>
        <w:ind w:left="0" w:firstLine="0"/>
      </w:pPr>
      <w:rPr>
        <w:rFonts w:ascii="Times New Roman" w:eastAsia="Times New Roman" w:hAnsi="Times New Roman" w:cs="Times New Roman"/>
        <w:b/>
        <w:bCs w:val="0"/>
        <w:i w:val="0"/>
        <w:iCs w:val="0"/>
        <w:smallCaps w:val="0"/>
        <w:strike w:val="0"/>
        <w:dstrike w:val="0"/>
        <w:color w:val="000000"/>
        <w:spacing w:val="3"/>
        <w:w w:val="100"/>
        <w:position w:val="0"/>
        <w:sz w:val="24"/>
        <w:szCs w:val="24"/>
        <w:u w:val="none"/>
        <w:lang w:val="en-US"/>
      </w:rPr>
    </w:lvl>
    <w:lvl w:ilvl="1">
      <w:start w:val="1"/>
      <w:numFmt w:val="decimal"/>
      <w:lvlText w:val="%1.%2."/>
      <w:lvlJc w:val="left"/>
      <w:pPr>
        <w:ind w:left="0" w:firstLine="0"/>
      </w:pPr>
      <w:rPr>
        <w:rFonts w:ascii="Times New Roman" w:eastAsia="Times New Roman" w:hAnsi="Times New Roman" w:cs="Times New Roman"/>
        <w:b w:val="0"/>
        <w:bCs w:val="0"/>
        <w:i w:val="0"/>
        <w:iCs w:val="0"/>
        <w:smallCaps w:val="0"/>
        <w:strike w:val="0"/>
        <w:dstrike w:val="0"/>
        <w:color w:val="000000"/>
        <w:spacing w:val="3"/>
        <w:w w:val="100"/>
        <w:position w:val="0"/>
        <w:sz w:val="24"/>
        <w:szCs w:val="24"/>
        <w:u w:val="none"/>
        <w:lang w:val="en-US"/>
      </w:rPr>
    </w:lvl>
    <w:lvl w:ilvl="2">
      <w:start w:val="1"/>
      <w:numFmt w:val="decimal"/>
      <w:lvlText w:val="%1.%2.%3."/>
      <w:lvlJc w:val="left"/>
      <w:pPr>
        <w:ind w:left="0" w:firstLine="0"/>
      </w:pPr>
      <w:rPr>
        <w:rFonts w:ascii="Times New Roman" w:eastAsia="Times New Roman" w:hAnsi="Times New Roman" w:cs="Times New Roman"/>
        <w:b w:val="0"/>
        <w:bCs w:val="0"/>
        <w:i w:val="0"/>
        <w:iCs w:val="0"/>
        <w:smallCaps w:val="0"/>
        <w:strike w:val="0"/>
        <w:dstrike w:val="0"/>
        <w:color w:val="000000"/>
        <w:spacing w:val="3"/>
        <w:w w:val="100"/>
        <w:position w:val="0"/>
        <w:sz w:val="24"/>
        <w:szCs w:val="24"/>
        <w:u w:val="none"/>
        <w:lang w:val="en-US"/>
      </w:rPr>
    </w:lvl>
    <w:lvl w:ilvl="3">
      <w:start w:val="1"/>
      <w:numFmt w:val="decimal"/>
      <w:lvlText w:val="%1.%2.%3.%4."/>
      <w:lvlJc w:val="left"/>
      <w:pPr>
        <w:ind w:left="0" w:firstLine="0"/>
      </w:pPr>
      <w:rPr>
        <w:rFonts w:ascii="Times New Roman" w:eastAsia="Times New Roman" w:hAnsi="Times New Roman" w:cs="Times New Roman"/>
        <w:b w:val="0"/>
        <w:bCs w:val="0"/>
        <w:i w:val="0"/>
        <w:iCs w:val="0"/>
        <w:smallCaps w:val="0"/>
        <w:strike w:val="0"/>
        <w:dstrike w:val="0"/>
        <w:color w:val="000000"/>
        <w:spacing w:val="3"/>
        <w:w w:val="100"/>
        <w:position w:val="0"/>
        <w:sz w:val="24"/>
        <w:szCs w:val="24"/>
        <w:u w:val="none"/>
        <w:lang w:val="en-US"/>
      </w:rPr>
    </w:lvl>
    <w:lvl w:ilvl="4">
      <w:start w:val="1"/>
      <w:numFmt w:val="decimal"/>
      <w:lvlText w:val="%1.%2.%3.%4.%5."/>
      <w:lvlJc w:val="left"/>
      <w:pPr>
        <w:ind w:left="0" w:firstLine="0"/>
      </w:pPr>
      <w:rPr>
        <w:rFonts w:ascii="Times New Roman" w:eastAsia="Times New Roman" w:hAnsi="Times New Roman" w:cs="Times New Roman"/>
        <w:b w:val="0"/>
        <w:bCs w:val="0"/>
        <w:i w:val="0"/>
        <w:iCs w:val="0"/>
        <w:smallCaps w:val="0"/>
        <w:strike w:val="0"/>
        <w:dstrike w:val="0"/>
        <w:color w:val="000000"/>
        <w:spacing w:val="3"/>
        <w:w w:val="100"/>
        <w:position w:val="0"/>
        <w:sz w:val="24"/>
        <w:szCs w:val="24"/>
        <w:u w:val="none"/>
        <w:lang w:val="en-US"/>
      </w:r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43" w15:restartNumberingAfterBreak="0">
    <w:nsid w:val="44D2780D"/>
    <w:multiLevelType w:val="multilevel"/>
    <w:tmpl w:val="3DC4195A"/>
    <w:lvl w:ilvl="0">
      <w:start w:val="1"/>
      <w:numFmt w:val="decimal"/>
      <w:lvlText w:val="11.2.2.1.%1."/>
      <w:lvlJc w:val="left"/>
      <w:rPr>
        <w:rFonts w:ascii="Times New Roman" w:eastAsia="Times New Roman" w:hAnsi="Times New Roman" w:cs="Times New Roman"/>
        <w:b w:val="0"/>
        <w:bCs w:val="0"/>
        <w:i w:val="0"/>
        <w:iCs w:val="0"/>
        <w:smallCaps w:val="0"/>
        <w:strike w:val="0"/>
        <w:color w:val="000000"/>
        <w:spacing w:val="3"/>
        <w:w w:val="100"/>
        <w:position w:val="0"/>
        <w:sz w:val="24"/>
        <w:szCs w:val="24"/>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4" w15:restartNumberingAfterBreak="0">
    <w:nsid w:val="44DE31AA"/>
    <w:multiLevelType w:val="multilevel"/>
    <w:tmpl w:val="D2F8137E"/>
    <w:lvl w:ilvl="0">
      <w:start w:val="1"/>
      <w:numFmt w:val="decimal"/>
      <w:lvlText w:val="2.3.1.%1."/>
      <w:lvlJc w:val="left"/>
      <w:rPr>
        <w:rFonts w:ascii="Times New Roman" w:eastAsia="Times New Roman" w:hAnsi="Times New Roman" w:cs="Times New Roman"/>
        <w:b w:val="0"/>
        <w:bCs w:val="0"/>
        <w:i w:val="0"/>
        <w:iCs w:val="0"/>
        <w:smallCaps w:val="0"/>
        <w:strike w:val="0"/>
        <w:color w:val="000000"/>
        <w:spacing w:val="3"/>
        <w:w w:val="100"/>
        <w:position w:val="0"/>
        <w:sz w:val="24"/>
        <w:szCs w:val="24"/>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5" w15:restartNumberingAfterBreak="0">
    <w:nsid w:val="44E829D7"/>
    <w:multiLevelType w:val="multilevel"/>
    <w:tmpl w:val="E0A47228"/>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3"/>
        <w:w w:val="100"/>
        <w:position w:val="0"/>
        <w:sz w:val="24"/>
        <w:szCs w:val="24"/>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6" w15:restartNumberingAfterBreak="0">
    <w:nsid w:val="455F1E4C"/>
    <w:multiLevelType w:val="multilevel"/>
    <w:tmpl w:val="8172604A"/>
    <w:lvl w:ilvl="0">
      <w:start w:val="1"/>
      <w:numFmt w:val="lowerLetter"/>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3"/>
        <w:w w:val="100"/>
        <w:position w:val="0"/>
        <w:sz w:val="24"/>
        <w:szCs w:val="24"/>
        <w:u w:val="none"/>
        <w:lang w:val="en-U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47" w15:restartNumberingAfterBreak="0">
    <w:nsid w:val="456326D0"/>
    <w:multiLevelType w:val="multilevel"/>
    <w:tmpl w:val="456326D0"/>
    <w:lvl w:ilvl="0">
      <w:start w:val="8"/>
      <w:numFmt w:val="decimal"/>
      <w:lvlText w:val="%1"/>
      <w:lvlJc w:val="left"/>
      <w:pPr>
        <w:ind w:left="555" w:hanging="555"/>
      </w:pPr>
      <w:rPr>
        <w:rFonts w:hint="default"/>
      </w:rPr>
    </w:lvl>
    <w:lvl w:ilvl="1">
      <w:start w:val="1"/>
      <w:numFmt w:val="decimal"/>
      <w:lvlText w:val="%1.%2"/>
      <w:lvlJc w:val="left"/>
      <w:pPr>
        <w:ind w:left="675" w:hanging="555"/>
      </w:pPr>
      <w:rPr>
        <w:rFonts w:hint="default"/>
      </w:rPr>
    </w:lvl>
    <w:lvl w:ilvl="2">
      <w:start w:val="6"/>
      <w:numFmt w:val="decimal"/>
      <w:lvlText w:val="%1.%2.%3"/>
      <w:lvlJc w:val="left"/>
      <w:pPr>
        <w:ind w:left="960" w:hanging="720"/>
      </w:pPr>
      <w:rPr>
        <w:rFonts w:hint="default"/>
      </w:rPr>
    </w:lvl>
    <w:lvl w:ilvl="3">
      <w:start w:val="1"/>
      <w:numFmt w:val="decimal"/>
      <w:lvlText w:val="%1.%2.%3.%4"/>
      <w:lvlJc w:val="left"/>
      <w:pPr>
        <w:ind w:left="1080" w:hanging="720"/>
      </w:pPr>
      <w:rPr>
        <w:rFonts w:hint="default"/>
      </w:rPr>
    </w:lvl>
    <w:lvl w:ilvl="4">
      <w:start w:val="1"/>
      <w:numFmt w:val="decimal"/>
      <w:lvlText w:val="%1.%2.%3.%4.%5"/>
      <w:lvlJc w:val="left"/>
      <w:pPr>
        <w:ind w:left="1560" w:hanging="1080"/>
      </w:pPr>
      <w:rPr>
        <w:rFonts w:hint="default"/>
      </w:rPr>
    </w:lvl>
    <w:lvl w:ilvl="5">
      <w:start w:val="1"/>
      <w:numFmt w:val="decimal"/>
      <w:lvlText w:val="%1.%2.%3.%4.%5.%6"/>
      <w:lvlJc w:val="left"/>
      <w:pPr>
        <w:ind w:left="1680" w:hanging="1080"/>
      </w:pPr>
      <w:rPr>
        <w:rFonts w:hint="default"/>
      </w:rPr>
    </w:lvl>
    <w:lvl w:ilvl="6">
      <w:start w:val="1"/>
      <w:numFmt w:val="decimal"/>
      <w:lvlText w:val="%1.%2.%3.%4.%5.%6.%7"/>
      <w:lvlJc w:val="left"/>
      <w:pPr>
        <w:ind w:left="1800" w:hanging="1080"/>
      </w:pPr>
      <w:rPr>
        <w:rFonts w:hint="default"/>
      </w:rPr>
    </w:lvl>
    <w:lvl w:ilvl="7">
      <w:start w:val="1"/>
      <w:numFmt w:val="decimal"/>
      <w:lvlText w:val="%1.%2.%3.%4.%5.%6.%7.%8"/>
      <w:lvlJc w:val="left"/>
      <w:pPr>
        <w:ind w:left="2280" w:hanging="1440"/>
      </w:pPr>
      <w:rPr>
        <w:rFonts w:hint="default"/>
      </w:rPr>
    </w:lvl>
    <w:lvl w:ilvl="8">
      <w:start w:val="1"/>
      <w:numFmt w:val="decimal"/>
      <w:lvlText w:val="%1.%2.%3.%4.%5.%6.%7.%8.%9"/>
      <w:lvlJc w:val="left"/>
      <w:pPr>
        <w:ind w:left="2400" w:hanging="1440"/>
      </w:pPr>
      <w:rPr>
        <w:rFonts w:hint="default"/>
      </w:rPr>
    </w:lvl>
  </w:abstractNum>
  <w:abstractNum w:abstractNumId="248" w15:restartNumberingAfterBreak="0">
    <w:nsid w:val="458714D3"/>
    <w:multiLevelType w:val="multilevel"/>
    <w:tmpl w:val="4EFC829A"/>
    <w:lvl w:ilvl="0">
      <w:start w:val="1"/>
      <w:numFmt w:val="decimal"/>
      <w:lvlText w:val="10.4.7.%1."/>
      <w:lvlJc w:val="left"/>
      <w:rPr>
        <w:rFonts w:ascii="Times New Roman" w:eastAsia="Times New Roman" w:hAnsi="Times New Roman" w:cs="Times New Roman"/>
        <w:b w:val="0"/>
        <w:bCs w:val="0"/>
        <w:i w:val="0"/>
        <w:iCs w:val="0"/>
        <w:smallCaps w:val="0"/>
        <w:strike w:val="0"/>
        <w:color w:val="000000"/>
        <w:spacing w:val="3"/>
        <w:w w:val="100"/>
        <w:position w:val="0"/>
        <w:sz w:val="24"/>
        <w:szCs w:val="24"/>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9" w15:restartNumberingAfterBreak="0">
    <w:nsid w:val="458A04A6"/>
    <w:multiLevelType w:val="multilevel"/>
    <w:tmpl w:val="B0EE2AFA"/>
    <w:lvl w:ilvl="0">
      <w:start w:val="1"/>
      <w:numFmt w:val="lowerLetter"/>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3"/>
        <w:w w:val="100"/>
        <w:position w:val="0"/>
        <w:sz w:val="24"/>
        <w:szCs w:val="24"/>
        <w:u w:val="none"/>
        <w:lang w:val="en-U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50" w15:restartNumberingAfterBreak="0">
    <w:nsid w:val="45AA4A6B"/>
    <w:multiLevelType w:val="multilevel"/>
    <w:tmpl w:val="BD749570"/>
    <w:lvl w:ilvl="0">
      <w:start w:val="1"/>
      <w:numFmt w:val="decimal"/>
      <w:lvlText w:val="8.2.%1."/>
      <w:lvlJc w:val="left"/>
      <w:rPr>
        <w:rFonts w:ascii="Times New Roman" w:eastAsia="Times New Roman" w:hAnsi="Times New Roman" w:cs="Times New Roman"/>
        <w:b w:val="0"/>
        <w:bCs w:val="0"/>
        <w:i w:val="0"/>
        <w:iCs w:val="0"/>
        <w:smallCaps w:val="0"/>
        <w:strike w:val="0"/>
        <w:color w:val="000000"/>
        <w:spacing w:val="3"/>
        <w:w w:val="100"/>
        <w:position w:val="0"/>
        <w:sz w:val="24"/>
        <w:szCs w:val="24"/>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1" w15:restartNumberingAfterBreak="0">
    <w:nsid w:val="45CD0C7E"/>
    <w:multiLevelType w:val="hybridMultilevel"/>
    <w:tmpl w:val="3CD4E6BC"/>
    <w:lvl w:ilvl="0" w:tplc="672099E8">
      <w:start w:val="1"/>
      <w:numFmt w:val="lowerLetter"/>
      <w:lvlText w:val="(%1)"/>
      <w:lvlJc w:val="left"/>
      <w:pPr>
        <w:ind w:left="1068" w:hanging="708"/>
      </w:pPr>
      <w:rPr>
        <w:rFonts w:hint="default"/>
        <w:vertAlign w:val="superscrip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52" w15:restartNumberingAfterBreak="0">
    <w:nsid w:val="45EF189E"/>
    <w:multiLevelType w:val="multilevel"/>
    <w:tmpl w:val="BF7A531E"/>
    <w:lvl w:ilvl="0">
      <w:start w:val="1"/>
      <w:numFmt w:val="decimal"/>
      <w:lvlText w:val="9.4.7.%1."/>
      <w:lvlJc w:val="left"/>
      <w:rPr>
        <w:rFonts w:ascii="Times New Roman" w:eastAsia="Times New Roman" w:hAnsi="Times New Roman" w:cs="Times New Roman"/>
        <w:b w:val="0"/>
        <w:bCs w:val="0"/>
        <w:i w:val="0"/>
        <w:iCs w:val="0"/>
        <w:smallCaps w:val="0"/>
        <w:strike w:val="0"/>
        <w:color w:val="000000"/>
        <w:spacing w:val="3"/>
        <w:w w:val="100"/>
        <w:position w:val="0"/>
        <w:sz w:val="24"/>
        <w:szCs w:val="24"/>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3" w15:restartNumberingAfterBreak="0">
    <w:nsid w:val="45FB75C2"/>
    <w:multiLevelType w:val="multilevel"/>
    <w:tmpl w:val="DA70B8EE"/>
    <w:lvl w:ilvl="0">
      <w:start w:val="1"/>
      <w:numFmt w:val="decimal"/>
      <w:lvlText w:val="9.4.8.%1."/>
      <w:lvlJc w:val="left"/>
      <w:rPr>
        <w:rFonts w:ascii="Times New Roman" w:eastAsia="Times New Roman" w:hAnsi="Times New Roman" w:cs="Times New Roman"/>
        <w:b w:val="0"/>
        <w:bCs w:val="0"/>
        <w:i w:val="0"/>
        <w:iCs w:val="0"/>
        <w:smallCaps w:val="0"/>
        <w:strike w:val="0"/>
        <w:color w:val="000000"/>
        <w:spacing w:val="3"/>
        <w:w w:val="100"/>
        <w:position w:val="0"/>
        <w:sz w:val="24"/>
        <w:szCs w:val="24"/>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4" w15:restartNumberingAfterBreak="0">
    <w:nsid w:val="46626A3D"/>
    <w:multiLevelType w:val="multilevel"/>
    <w:tmpl w:val="6AAEF2FE"/>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3"/>
        <w:w w:val="100"/>
        <w:position w:val="0"/>
        <w:sz w:val="24"/>
        <w:szCs w:val="24"/>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5" w15:restartNumberingAfterBreak="0">
    <w:nsid w:val="46D066BB"/>
    <w:multiLevelType w:val="multilevel"/>
    <w:tmpl w:val="C02E1A04"/>
    <w:lvl w:ilvl="0">
      <w:start w:val="1"/>
      <w:numFmt w:val="decimal"/>
      <w:lvlText w:val="5.2.%1"/>
      <w:lvlJc w:val="left"/>
      <w:rPr>
        <w:rFonts w:ascii="Times New Roman" w:eastAsia="Times New Roman" w:hAnsi="Times New Roman" w:cs="Times New Roman"/>
        <w:b w:val="0"/>
        <w:bCs w:val="0"/>
        <w:i w:val="0"/>
        <w:iCs w:val="0"/>
        <w:smallCaps w:val="0"/>
        <w:strike w:val="0"/>
        <w:color w:val="000000"/>
        <w:spacing w:val="4"/>
        <w:w w:val="100"/>
        <w:position w:val="0"/>
        <w:sz w:val="28"/>
        <w:szCs w:val="28"/>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6" w15:restartNumberingAfterBreak="0">
    <w:nsid w:val="47485FDD"/>
    <w:multiLevelType w:val="multilevel"/>
    <w:tmpl w:val="A6A44E58"/>
    <w:lvl w:ilvl="0">
      <w:start w:val="4"/>
      <w:numFmt w:val="decimal"/>
      <w:lvlText w:val="10.4.%1."/>
      <w:lvlJc w:val="left"/>
      <w:rPr>
        <w:rFonts w:ascii="Times New Roman" w:eastAsia="Times New Roman" w:hAnsi="Times New Roman" w:cs="Times New Roman"/>
        <w:b w:val="0"/>
        <w:bCs w:val="0"/>
        <w:i w:val="0"/>
        <w:iCs w:val="0"/>
        <w:smallCaps w:val="0"/>
        <w:strike w:val="0"/>
        <w:color w:val="000000"/>
        <w:spacing w:val="3"/>
        <w:w w:val="100"/>
        <w:position w:val="0"/>
        <w:sz w:val="28"/>
        <w:szCs w:val="28"/>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7" w15:restartNumberingAfterBreak="0">
    <w:nsid w:val="4755491F"/>
    <w:multiLevelType w:val="multilevel"/>
    <w:tmpl w:val="7EDC23E0"/>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3"/>
        <w:w w:val="100"/>
        <w:position w:val="0"/>
        <w:sz w:val="24"/>
        <w:szCs w:val="24"/>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8" w15:restartNumberingAfterBreak="0">
    <w:nsid w:val="476949B1"/>
    <w:multiLevelType w:val="multilevel"/>
    <w:tmpl w:val="37C4BF34"/>
    <w:lvl w:ilvl="0">
      <w:start w:val="4"/>
      <w:numFmt w:val="decimal"/>
      <w:lvlText w:val="12.%1."/>
      <w:lvlJc w:val="left"/>
      <w:rPr>
        <w:rFonts w:ascii="Times New Roman" w:eastAsia="Times New Roman" w:hAnsi="Times New Roman" w:cs="Times New Roman"/>
        <w:b w:val="0"/>
        <w:bCs w:val="0"/>
        <w:i w:val="0"/>
        <w:iCs w:val="0"/>
        <w:smallCaps w:val="0"/>
        <w:strike w:val="0"/>
        <w:color w:val="000000"/>
        <w:spacing w:val="4"/>
        <w:w w:val="100"/>
        <w:position w:val="0"/>
        <w:sz w:val="24"/>
        <w:szCs w:val="24"/>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9" w15:restartNumberingAfterBreak="0">
    <w:nsid w:val="47B05FBB"/>
    <w:multiLevelType w:val="multilevel"/>
    <w:tmpl w:val="6B923C34"/>
    <w:lvl w:ilvl="0">
      <w:start w:val="1"/>
      <w:numFmt w:val="decimal"/>
      <w:lvlText w:val="6.3.%1."/>
      <w:lvlJc w:val="left"/>
      <w:pPr>
        <w:ind w:left="0" w:firstLine="0"/>
      </w:pPr>
      <w:rPr>
        <w:rFonts w:ascii="Times New Roman" w:eastAsia="Times New Roman" w:hAnsi="Times New Roman" w:cs="Times New Roman"/>
        <w:b w:val="0"/>
        <w:bCs w:val="0"/>
        <w:i w:val="0"/>
        <w:iCs w:val="0"/>
        <w:smallCaps w:val="0"/>
        <w:strike w:val="0"/>
        <w:dstrike w:val="0"/>
        <w:color w:val="000000"/>
        <w:spacing w:val="3"/>
        <w:w w:val="100"/>
        <w:position w:val="0"/>
        <w:sz w:val="24"/>
        <w:szCs w:val="24"/>
        <w:u w:val="none"/>
        <w:lang w:val="en-U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60" w15:restartNumberingAfterBreak="0">
    <w:nsid w:val="47F67465"/>
    <w:multiLevelType w:val="multilevel"/>
    <w:tmpl w:val="A4724334"/>
    <w:lvl w:ilvl="0">
      <w:start w:val="1"/>
      <w:numFmt w:val="decimal"/>
      <w:lvlText w:val="10.4.1.%1."/>
      <w:lvlJc w:val="left"/>
      <w:rPr>
        <w:rFonts w:ascii="Times New Roman" w:eastAsia="Times New Roman" w:hAnsi="Times New Roman" w:cs="Times New Roman"/>
        <w:b w:val="0"/>
        <w:bCs w:val="0"/>
        <w:i w:val="0"/>
        <w:iCs w:val="0"/>
        <w:smallCaps w:val="0"/>
        <w:strike w:val="0"/>
        <w:color w:val="000000"/>
        <w:spacing w:val="3"/>
        <w:w w:val="100"/>
        <w:position w:val="0"/>
        <w:sz w:val="24"/>
        <w:szCs w:val="24"/>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1" w15:restartNumberingAfterBreak="0">
    <w:nsid w:val="4814715D"/>
    <w:multiLevelType w:val="multilevel"/>
    <w:tmpl w:val="DFD471D6"/>
    <w:lvl w:ilvl="0">
      <w:start w:val="1"/>
      <w:numFmt w:val="lowerLetter"/>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3"/>
        <w:w w:val="100"/>
        <w:position w:val="0"/>
        <w:sz w:val="24"/>
        <w:szCs w:val="24"/>
        <w:u w:val="none"/>
        <w:lang w:val="en-U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62" w15:restartNumberingAfterBreak="0">
    <w:nsid w:val="481630AD"/>
    <w:multiLevelType w:val="multilevel"/>
    <w:tmpl w:val="481630AD"/>
    <w:lvl w:ilvl="0">
      <w:start w:val="1"/>
      <w:numFmt w:val="bullet"/>
      <w:lvlText w:val="—"/>
      <w:lvlJc w:val="left"/>
      <w:pPr>
        <w:ind w:left="0" w:firstLine="0"/>
      </w:pPr>
      <w:rPr>
        <w:rFonts w:ascii="Times New Roman" w:eastAsia="Times New Roman" w:hAnsi="Times New Roman" w:cs="Times New Roman"/>
        <w:b w:val="0"/>
        <w:bCs w:val="0"/>
        <w:i w:val="0"/>
        <w:iCs w:val="0"/>
        <w:smallCaps w:val="0"/>
        <w:strike w:val="0"/>
        <w:dstrike w:val="0"/>
        <w:color w:val="000000"/>
        <w:spacing w:val="3"/>
        <w:w w:val="100"/>
        <w:position w:val="0"/>
        <w:sz w:val="14"/>
        <w:szCs w:val="14"/>
        <w:u w:val="none"/>
        <w:lang w:val="en-U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63" w15:restartNumberingAfterBreak="0">
    <w:nsid w:val="483B3913"/>
    <w:multiLevelType w:val="multilevel"/>
    <w:tmpl w:val="16B09D20"/>
    <w:lvl w:ilvl="0">
      <w:start w:val="1"/>
      <w:numFmt w:val="lowerRoman"/>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3"/>
        <w:w w:val="100"/>
        <w:position w:val="0"/>
        <w:sz w:val="24"/>
        <w:szCs w:val="24"/>
        <w:u w:val="none"/>
        <w:lang w:val="en-U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64" w15:restartNumberingAfterBreak="0">
    <w:nsid w:val="48DE4166"/>
    <w:multiLevelType w:val="multilevel"/>
    <w:tmpl w:val="BBFC5A7C"/>
    <w:lvl w:ilvl="0">
      <w:start w:val="1"/>
      <w:numFmt w:val="decimal"/>
      <w:lvlText w:val="8.1.11.1.%1."/>
      <w:lvlJc w:val="left"/>
      <w:rPr>
        <w:rFonts w:ascii="Times New Roman" w:eastAsia="Times New Roman" w:hAnsi="Times New Roman" w:cs="Times New Roman"/>
        <w:b w:val="0"/>
        <w:bCs w:val="0"/>
        <w:i w:val="0"/>
        <w:iCs w:val="0"/>
        <w:smallCaps w:val="0"/>
        <w:strike w:val="0"/>
        <w:color w:val="000000"/>
        <w:spacing w:val="3"/>
        <w:w w:val="100"/>
        <w:position w:val="0"/>
        <w:sz w:val="24"/>
        <w:szCs w:val="24"/>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5" w15:restartNumberingAfterBreak="0">
    <w:nsid w:val="49C6658C"/>
    <w:multiLevelType w:val="multilevel"/>
    <w:tmpl w:val="7E46E2C8"/>
    <w:lvl w:ilvl="0">
      <w:start w:val="1"/>
      <w:numFmt w:val="lowerRoman"/>
      <w:lvlText w:val="(%1)"/>
      <w:lvlJc w:val="left"/>
      <w:rPr>
        <w:rFonts w:ascii="Times New Roman" w:eastAsia="Times New Roman" w:hAnsi="Times New Roman" w:cs="Times New Roman"/>
        <w:b w:val="0"/>
        <w:bCs w:val="0"/>
        <w:i w:val="0"/>
        <w:iCs w:val="0"/>
        <w:smallCaps w:val="0"/>
        <w:strike w:val="0"/>
        <w:color w:val="000000"/>
        <w:spacing w:val="3"/>
        <w:w w:val="100"/>
        <w:position w:val="0"/>
        <w:sz w:val="24"/>
        <w:szCs w:val="24"/>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6" w15:restartNumberingAfterBreak="0">
    <w:nsid w:val="4A195898"/>
    <w:multiLevelType w:val="multilevel"/>
    <w:tmpl w:val="4A195898"/>
    <w:lvl w:ilvl="0">
      <w:start w:val="6"/>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67" w15:restartNumberingAfterBreak="0">
    <w:nsid w:val="4A335AD0"/>
    <w:multiLevelType w:val="multilevel"/>
    <w:tmpl w:val="BC6CF4C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3"/>
        <w:w w:val="100"/>
        <w:position w:val="0"/>
        <w:sz w:val="24"/>
        <w:szCs w:val="24"/>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8" w15:restartNumberingAfterBreak="0">
    <w:nsid w:val="4A8766CE"/>
    <w:multiLevelType w:val="multilevel"/>
    <w:tmpl w:val="2F7AE1BA"/>
    <w:lvl w:ilvl="0">
      <w:start w:val="1"/>
      <w:numFmt w:val="decimal"/>
      <w:lvlText w:val="9.%1."/>
      <w:lvlJc w:val="left"/>
      <w:pPr>
        <w:ind w:left="0" w:firstLine="0"/>
      </w:pPr>
      <w:rPr>
        <w:rFonts w:ascii="Times New Roman" w:eastAsia="Times New Roman" w:hAnsi="Times New Roman" w:cs="Times New Roman"/>
        <w:b w:val="0"/>
        <w:bCs w:val="0"/>
        <w:i w:val="0"/>
        <w:iCs w:val="0"/>
        <w:smallCaps w:val="0"/>
        <w:strike w:val="0"/>
        <w:dstrike w:val="0"/>
        <w:color w:val="000000"/>
        <w:spacing w:val="3"/>
        <w:w w:val="100"/>
        <w:position w:val="0"/>
        <w:sz w:val="24"/>
        <w:szCs w:val="24"/>
        <w:u w:val="none"/>
        <w:lang w:val="en-U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69" w15:restartNumberingAfterBreak="0">
    <w:nsid w:val="4B152CDA"/>
    <w:multiLevelType w:val="multilevel"/>
    <w:tmpl w:val="CB808DFE"/>
    <w:lvl w:ilvl="0">
      <w:start w:val="2"/>
      <w:numFmt w:val="lowerLetter"/>
      <w:lvlText w:val="(%1)"/>
      <w:lvlJc w:val="left"/>
      <w:pPr>
        <w:ind w:left="710" w:firstLine="0"/>
      </w:pPr>
      <w:rPr>
        <w:rFonts w:ascii="Times New Roman" w:eastAsia="Times New Roman" w:hAnsi="Times New Roman" w:cs="Times New Roman" w:hint="default"/>
        <w:b w:val="0"/>
        <w:bCs w:val="0"/>
        <w:i w:val="0"/>
        <w:iCs w:val="0"/>
        <w:smallCaps w:val="0"/>
        <w:strike w:val="0"/>
        <w:dstrike w:val="0"/>
        <w:color w:val="000000"/>
        <w:spacing w:val="4"/>
        <w:w w:val="100"/>
        <w:position w:val="0"/>
        <w:sz w:val="24"/>
        <w:szCs w:val="24"/>
        <w:u w:val="none"/>
        <w:lang w:val="en-US"/>
      </w:rPr>
    </w:lvl>
    <w:lvl w:ilvl="1">
      <w:numFmt w:val="decimal"/>
      <w:lvlText w:val=""/>
      <w:lvlJc w:val="left"/>
      <w:pPr>
        <w:ind w:left="710" w:firstLine="0"/>
      </w:pPr>
    </w:lvl>
    <w:lvl w:ilvl="2">
      <w:numFmt w:val="decimal"/>
      <w:lvlText w:val=""/>
      <w:lvlJc w:val="left"/>
      <w:pPr>
        <w:ind w:left="710" w:firstLine="0"/>
      </w:pPr>
    </w:lvl>
    <w:lvl w:ilvl="3">
      <w:numFmt w:val="decimal"/>
      <w:lvlText w:val=""/>
      <w:lvlJc w:val="left"/>
      <w:pPr>
        <w:ind w:left="710" w:firstLine="0"/>
      </w:pPr>
    </w:lvl>
    <w:lvl w:ilvl="4">
      <w:numFmt w:val="decimal"/>
      <w:lvlText w:val=""/>
      <w:lvlJc w:val="left"/>
      <w:pPr>
        <w:ind w:left="710" w:firstLine="0"/>
      </w:pPr>
    </w:lvl>
    <w:lvl w:ilvl="5">
      <w:numFmt w:val="decimal"/>
      <w:lvlText w:val=""/>
      <w:lvlJc w:val="left"/>
      <w:pPr>
        <w:ind w:left="710" w:firstLine="0"/>
      </w:pPr>
    </w:lvl>
    <w:lvl w:ilvl="6">
      <w:numFmt w:val="decimal"/>
      <w:lvlText w:val=""/>
      <w:lvlJc w:val="left"/>
      <w:pPr>
        <w:ind w:left="710" w:firstLine="0"/>
      </w:pPr>
    </w:lvl>
    <w:lvl w:ilvl="7">
      <w:numFmt w:val="decimal"/>
      <w:lvlText w:val=""/>
      <w:lvlJc w:val="left"/>
      <w:pPr>
        <w:ind w:left="710" w:firstLine="0"/>
      </w:pPr>
    </w:lvl>
    <w:lvl w:ilvl="8">
      <w:numFmt w:val="decimal"/>
      <w:lvlText w:val=""/>
      <w:lvlJc w:val="left"/>
      <w:pPr>
        <w:ind w:left="710" w:firstLine="0"/>
      </w:pPr>
    </w:lvl>
  </w:abstractNum>
  <w:abstractNum w:abstractNumId="270" w15:restartNumberingAfterBreak="0">
    <w:nsid w:val="4B7C0642"/>
    <w:multiLevelType w:val="multilevel"/>
    <w:tmpl w:val="CF6E3C36"/>
    <w:lvl w:ilvl="0">
      <w:start w:val="1"/>
      <w:numFmt w:val="decimal"/>
      <w:lvlText w:val="8.2.4.%1."/>
      <w:lvlJc w:val="left"/>
      <w:pPr>
        <w:ind w:left="0" w:firstLine="0"/>
      </w:pPr>
      <w:rPr>
        <w:rFonts w:ascii="Times New Roman" w:eastAsia="Times New Roman" w:hAnsi="Times New Roman" w:cs="Times New Roman"/>
        <w:b w:val="0"/>
        <w:bCs w:val="0"/>
        <w:i w:val="0"/>
        <w:iCs w:val="0"/>
        <w:smallCaps w:val="0"/>
        <w:strike w:val="0"/>
        <w:dstrike w:val="0"/>
        <w:color w:val="000000"/>
        <w:spacing w:val="3"/>
        <w:w w:val="100"/>
        <w:position w:val="0"/>
        <w:sz w:val="24"/>
        <w:szCs w:val="24"/>
        <w:u w:val="none"/>
        <w:lang w:val="en-U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71" w15:restartNumberingAfterBreak="0">
    <w:nsid w:val="4C104A7D"/>
    <w:multiLevelType w:val="multilevel"/>
    <w:tmpl w:val="862241EE"/>
    <w:lvl w:ilvl="0">
      <w:start w:val="1"/>
      <w:numFmt w:val="lowerLetter"/>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3"/>
        <w:w w:val="100"/>
        <w:position w:val="0"/>
        <w:sz w:val="24"/>
        <w:szCs w:val="24"/>
        <w:u w:val="none"/>
        <w:lang w:val="en-U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72" w15:restartNumberingAfterBreak="0">
    <w:nsid w:val="4C34358A"/>
    <w:multiLevelType w:val="multilevel"/>
    <w:tmpl w:val="6F5481E8"/>
    <w:lvl w:ilvl="0">
      <w:start w:val="1"/>
      <w:numFmt w:val="decimal"/>
      <w:lvlText w:val="8.1.11.3.%1."/>
      <w:lvlJc w:val="left"/>
      <w:rPr>
        <w:rFonts w:ascii="Times New Roman" w:eastAsia="Times New Roman" w:hAnsi="Times New Roman" w:cs="Times New Roman"/>
        <w:b w:val="0"/>
        <w:bCs w:val="0"/>
        <w:i w:val="0"/>
        <w:iCs w:val="0"/>
        <w:smallCaps w:val="0"/>
        <w:strike w:val="0"/>
        <w:color w:val="000000"/>
        <w:spacing w:val="3"/>
        <w:w w:val="100"/>
        <w:position w:val="0"/>
        <w:sz w:val="24"/>
        <w:szCs w:val="24"/>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3" w15:restartNumberingAfterBreak="0">
    <w:nsid w:val="4CC430B7"/>
    <w:multiLevelType w:val="multilevel"/>
    <w:tmpl w:val="3718DC88"/>
    <w:lvl w:ilvl="0">
      <w:start w:val="1"/>
      <w:numFmt w:val="decimal"/>
      <w:lvlText w:val="10.3.%1."/>
      <w:lvlJc w:val="left"/>
      <w:rPr>
        <w:rFonts w:ascii="Times New Roman" w:eastAsia="Times New Roman" w:hAnsi="Times New Roman" w:cs="Times New Roman"/>
        <w:b w:val="0"/>
        <w:bCs w:val="0"/>
        <w:i w:val="0"/>
        <w:iCs w:val="0"/>
        <w:smallCaps w:val="0"/>
        <w:strike w:val="0"/>
        <w:color w:val="000000"/>
        <w:spacing w:val="3"/>
        <w:w w:val="100"/>
        <w:position w:val="0"/>
        <w:sz w:val="24"/>
        <w:szCs w:val="24"/>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4" w15:restartNumberingAfterBreak="0">
    <w:nsid w:val="4CD71A7C"/>
    <w:multiLevelType w:val="multilevel"/>
    <w:tmpl w:val="8288FF7E"/>
    <w:lvl w:ilvl="0">
      <w:start w:val="1"/>
      <w:numFmt w:val="lowerLetter"/>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3"/>
        <w:w w:val="100"/>
        <w:position w:val="0"/>
        <w:sz w:val="24"/>
        <w:szCs w:val="24"/>
        <w:u w:val="none"/>
        <w:lang w:val="en-U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75" w15:restartNumberingAfterBreak="0">
    <w:nsid w:val="4D297098"/>
    <w:multiLevelType w:val="hybridMultilevel"/>
    <w:tmpl w:val="B68244F6"/>
    <w:lvl w:ilvl="0" w:tplc="8F5E8ED2">
      <w:start w:val="1"/>
      <w:numFmt w:val="lowerLetter"/>
      <w:lvlText w:val="(%1)"/>
      <w:lvlJc w:val="left"/>
      <w:pPr>
        <w:ind w:left="1004" w:hanging="360"/>
      </w:pPr>
      <w:rPr>
        <w:rFonts w:hint="default"/>
      </w:rPr>
    </w:lvl>
    <w:lvl w:ilvl="1" w:tplc="041F0019" w:tentative="1">
      <w:start w:val="1"/>
      <w:numFmt w:val="lowerLetter"/>
      <w:lvlText w:val="%2."/>
      <w:lvlJc w:val="left"/>
      <w:pPr>
        <w:ind w:left="1724" w:hanging="360"/>
      </w:pPr>
    </w:lvl>
    <w:lvl w:ilvl="2" w:tplc="041F001B" w:tentative="1">
      <w:start w:val="1"/>
      <w:numFmt w:val="lowerRoman"/>
      <w:lvlText w:val="%3."/>
      <w:lvlJc w:val="right"/>
      <w:pPr>
        <w:ind w:left="2444" w:hanging="180"/>
      </w:pPr>
    </w:lvl>
    <w:lvl w:ilvl="3" w:tplc="041F000F" w:tentative="1">
      <w:start w:val="1"/>
      <w:numFmt w:val="decimal"/>
      <w:lvlText w:val="%4."/>
      <w:lvlJc w:val="left"/>
      <w:pPr>
        <w:ind w:left="3164" w:hanging="360"/>
      </w:pPr>
    </w:lvl>
    <w:lvl w:ilvl="4" w:tplc="041F0019" w:tentative="1">
      <w:start w:val="1"/>
      <w:numFmt w:val="lowerLetter"/>
      <w:lvlText w:val="%5."/>
      <w:lvlJc w:val="left"/>
      <w:pPr>
        <w:ind w:left="3884" w:hanging="360"/>
      </w:pPr>
    </w:lvl>
    <w:lvl w:ilvl="5" w:tplc="041F001B" w:tentative="1">
      <w:start w:val="1"/>
      <w:numFmt w:val="lowerRoman"/>
      <w:lvlText w:val="%6."/>
      <w:lvlJc w:val="right"/>
      <w:pPr>
        <w:ind w:left="4604" w:hanging="180"/>
      </w:pPr>
    </w:lvl>
    <w:lvl w:ilvl="6" w:tplc="041F000F" w:tentative="1">
      <w:start w:val="1"/>
      <w:numFmt w:val="decimal"/>
      <w:lvlText w:val="%7."/>
      <w:lvlJc w:val="left"/>
      <w:pPr>
        <w:ind w:left="5324" w:hanging="360"/>
      </w:pPr>
    </w:lvl>
    <w:lvl w:ilvl="7" w:tplc="041F0019" w:tentative="1">
      <w:start w:val="1"/>
      <w:numFmt w:val="lowerLetter"/>
      <w:lvlText w:val="%8."/>
      <w:lvlJc w:val="left"/>
      <w:pPr>
        <w:ind w:left="6044" w:hanging="360"/>
      </w:pPr>
    </w:lvl>
    <w:lvl w:ilvl="8" w:tplc="041F001B" w:tentative="1">
      <w:start w:val="1"/>
      <w:numFmt w:val="lowerRoman"/>
      <w:lvlText w:val="%9."/>
      <w:lvlJc w:val="right"/>
      <w:pPr>
        <w:ind w:left="6764" w:hanging="180"/>
      </w:pPr>
    </w:lvl>
  </w:abstractNum>
  <w:abstractNum w:abstractNumId="276" w15:restartNumberingAfterBreak="0">
    <w:nsid w:val="4D4D41D3"/>
    <w:multiLevelType w:val="multilevel"/>
    <w:tmpl w:val="0782555C"/>
    <w:lvl w:ilvl="0">
      <w:start w:val="1"/>
      <w:numFmt w:val="decimal"/>
      <w:lvlText w:val="8.1.%1."/>
      <w:lvlJc w:val="left"/>
      <w:rPr>
        <w:rFonts w:ascii="Times New Roman" w:eastAsia="Times New Roman" w:hAnsi="Times New Roman" w:cs="Times New Roman"/>
        <w:b w:val="0"/>
        <w:bCs w:val="0"/>
        <w:i w:val="0"/>
        <w:iCs w:val="0"/>
        <w:smallCaps w:val="0"/>
        <w:strike w:val="0"/>
        <w:color w:val="000000"/>
        <w:spacing w:val="3"/>
        <w:w w:val="100"/>
        <w:position w:val="0"/>
        <w:sz w:val="24"/>
        <w:szCs w:val="24"/>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7" w15:restartNumberingAfterBreak="0">
    <w:nsid w:val="4D5D20FC"/>
    <w:multiLevelType w:val="multilevel"/>
    <w:tmpl w:val="E7A436A8"/>
    <w:lvl w:ilvl="0">
      <w:start w:val="1"/>
      <w:numFmt w:val="decimal"/>
      <w:lvlText w:val="7.%1."/>
      <w:lvlJc w:val="left"/>
      <w:rPr>
        <w:rFonts w:ascii="Times New Roman" w:eastAsia="Times New Roman" w:hAnsi="Times New Roman" w:cs="Times New Roman"/>
        <w:b w:val="0"/>
        <w:bCs w:val="0"/>
        <w:i w:val="0"/>
        <w:iCs w:val="0"/>
        <w:smallCaps w:val="0"/>
        <w:strike w:val="0"/>
        <w:color w:val="000000"/>
        <w:spacing w:val="3"/>
        <w:w w:val="100"/>
        <w:position w:val="0"/>
        <w:sz w:val="24"/>
        <w:szCs w:val="24"/>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8" w15:restartNumberingAfterBreak="0">
    <w:nsid w:val="4D5F798C"/>
    <w:multiLevelType w:val="multilevel"/>
    <w:tmpl w:val="2D961BA6"/>
    <w:lvl w:ilvl="0">
      <w:start w:val="1"/>
      <w:numFmt w:val="lowerLetter"/>
      <w:lvlText w:val="%1."/>
      <w:lvlJc w:val="left"/>
      <w:pPr>
        <w:ind w:left="450" w:hanging="450"/>
      </w:pPr>
      <w:rPr>
        <w:rFonts w:hint="default"/>
      </w:rPr>
    </w:lvl>
    <w:lvl w:ilvl="1">
      <w:start w:val="8"/>
      <w:numFmt w:val="decimal"/>
      <w:lvlText w:val="%1.%2."/>
      <w:lvlJc w:val="left"/>
      <w:pPr>
        <w:ind w:left="450" w:hanging="45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79" w15:restartNumberingAfterBreak="0">
    <w:nsid w:val="4D8F2FAE"/>
    <w:multiLevelType w:val="multilevel"/>
    <w:tmpl w:val="9E0A55F8"/>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3"/>
        <w:w w:val="100"/>
        <w:position w:val="0"/>
        <w:sz w:val="24"/>
        <w:szCs w:val="24"/>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0" w15:restartNumberingAfterBreak="0">
    <w:nsid w:val="4E1824B8"/>
    <w:multiLevelType w:val="multilevel"/>
    <w:tmpl w:val="27485694"/>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3"/>
        <w:w w:val="100"/>
        <w:position w:val="0"/>
        <w:sz w:val="24"/>
        <w:szCs w:val="24"/>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1" w15:restartNumberingAfterBreak="0">
    <w:nsid w:val="4E7B0228"/>
    <w:multiLevelType w:val="multilevel"/>
    <w:tmpl w:val="32BCAB40"/>
    <w:lvl w:ilvl="0">
      <w:start w:val="1"/>
      <w:numFmt w:val="decimal"/>
      <w:lvlText w:val="8.1.11.2.%1."/>
      <w:lvlJc w:val="left"/>
      <w:rPr>
        <w:rFonts w:ascii="Times New Roman" w:eastAsia="Times New Roman" w:hAnsi="Times New Roman" w:cs="Times New Roman"/>
        <w:b w:val="0"/>
        <w:bCs w:val="0"/>
        <w:i w:val="0"/>
        <w:iCs w:val="0"/>
        <w:smallCaps w:val="0"/>
        <w:strike w:val="0"/>
        <w:color w:val="000000"/>
        <w:spacing w:val="3"/>
        <w:w w:val="100"/>
        <w:position w:val="0"/>
        <w:sz w:val="24"/>
        <w:szCs w:val="24"/>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2" w15:restartNumberingAfterBreak="0">
    <w:nsid w:val="4EC7776A"/>
    <w:multiLevelType w:val="multilevel"/>
    <w:tmpl w:val="7136869A"/>
    <w:lvl w:ilvl="0">
      <w:start w:val="1"/>
      <w:numFmt w:val="decimal"/>
      <w:lvlText w:val="7.8.2.%1."/>
      <w:lvlJc w:val="left"/>
      <w:rPr>
        <w:rFonts w:ascii="Times New Roman" w:eastAsia="Times New Roman" w:hAnsi="Times New Roman" w:cs="Times New Roman"/>
        <w:b w:val="0"/>
        <w:bCs w:val="0"/>
        <w:i w:val="0"/>
        <w:iCs w:val="0"/>
        <w:smallCaps w:val="0"/>
        <w:strike w:val="0"/>
        <w:color w:val="000000"/>
        <w:spacing w:val="3"/>
        <w:w w:val="100"/>
        <w:position w:val="0"/>
        <w:sz w:val="24"/>
        <w:szCs w:val="24"/>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3" w15:restartNumberingAfterBreak="0">
    <w:nsid w:val="4EE9198F"/>
    <w:multiLevelType w:val="multilevel"/>
    <w:tmpl w:val="EC50493A"/>
    <w:lvl w:ilvl="0">
      <w:start w:val="1"/>
      <w:numFmt w:val="decimal"/>
      <w:lvlText w:val="7.3.%1."/>
      <w:lvlJc w:val="left"/>
      <w:rPr>
        <w:rFonts w:ascii="Times New Roman" w:eastAsia="Times New Roman" w:hAnsi="Times New Roman" w:cs="Times New Roman"/>
        <w:b w:val="0"/>
        <w:bCs w:val="0"/>
        <w:i w:val="0"/>
        <w:iCs w:val="0"/>
        <w:smallCaps w:val="0"/>
        <w:strike w:val="0"/>
        <w:color w:val="000000"/>
        <w:spacing w:val="3"/>
        <w:w w:val="100"/>
        <w:position w:val="0"/>
        <w:sz w:val="24"/>
        <w:szCs w:val="24"/>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4" w15:restartNumberingAfterBreak="0">
    <w:nsid w:val="4FD97BD3"/>
    <w:multiLevelType w:val="multilevel"/>
    <w:tmpl w:val="9A6A7480"/>
    <w:lvl w:ilvl="0">
      <w:start w:val="1"/>
      <w:numFmt w:val="decimal"/>
      <w:lvlText w:val="13.%1."/>
      <w:lvlJc w:val="left"/>
      <w:rPr>
        <w:rFonts w:ascii="Times New Roman" w:eastAsia="Times New Roman" w:hAnsi="Times New Roman" w:cs="Times New Roman"/>
        <w:b w:val="0"/>
        <w:bCs w:val="0"/>
        <w:i w:val="0"/>
        <w:iCs w:val="0"/>
        <w:smallCaps w:val="0"/>
        <w:strike w:val="0"/>
        <w:color w:val="000000"/>
        <w:spacing w:val="3"/>
        <w:w w:val="100"/>
        <w:position w:val="0"/>
        <w:sz w:val="24"/>
        <w:szCs w:val="24"/>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5" w15:restartNumberingAfterBreak="0">
    <w:nsid w:val="4FEF4292"/>
    <w:multiLevelType w:val="multilevel"/>
    <w:tmpl w:val="5D645ECA"/>
    <w:lvl w:ilvl="0">
      <w:start w:val="1"/>
      <w:numFmt w:val="lowerLetter"/>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3"/>
        <w:w w:val="100"/>
        <w:position w:val="0"/>
        <w:sz w:val="24"/>
        <w:szCs w:val="24"/>
        <w:u w:val="none"/>
        <w:lang w:val="en-U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86" w15:restartNumberingAfterBreak="0">
    <w:nsid w:val="509531A0"/>
    <w:multiLevelType w:val="multilevel"/>
    <w:tmpl w:val="C840DB44"/>
    <w:lvl w:ilvl="0">
      <w:start w:val="1"/>
      <w:numFmt w:val="decimal"/>
      <w:lvlText w:val="6.2.%1."/>
      <w:lvlJc w:val="left"/>
      <w:rPr>
        <w:rFonts w:ascii="Times New Roman" w:eastAsia="Times New Roman" w:hAnsi="Times New Roman" w:cs="Times New Roman"/>
        <w:b w:val="0"/>
        <w:bCs w:val="0"/>
        <w:i w:val="0"/>
        <w:iCs w:val="0"/>
        <w:smallCaps w:val="0"/>
        <w:strike w:val="0"/>
        <w:color w:val="000000"/>
        <w:spacing w:val="3"/>
        <w:w w:val="100"/>
        <w:position w:val="0"/>
        <w:sz w:val="24"/>
        <w:szCs w:val="24"/>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7" w15:restartNumberingAfterBreak="0">
    <w:nsid w:val="50C00FB8"/>
    <w:multiLevelType w:val="multilevel"/>
    <w:tmpl w:val="814A6542"/>
    <w:lvl w:ilvl="0">
      <w:start w:val="1"/>
      <w:numFmt w:val="decimal"/>
      <w:lvlText w:val="2.3.1.%1."/>
      <w:lvlJc w:val="left"/>
      <w:rPr>
        <w:rFonts w:ascii="Times New Roman" w:eastAsia="Times New Roman" w:hAnsi="Times New Roman" w:cs="Times New Roman"/>
        <w:b w:val="0"/>
        <w:bCs w:val="0"/>
        <w:i w:val="0"/>
        <w:iCs w:val="0"/>
        <w:smallCaps w:val="0"/>
        <w:strike w:val="0"/>
        <w:color w:val="000000"/>
        <w:spacing w:val="3"/>
        <w:w w:val="100"/>
        <w:position w:val="0"/>
        <w:sz w:val="24"/>
        <w:szCs w:val="24"/>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8" w15:restartNumberingAfterBreak="0">
    <w:nsid w:val="50EA6C27"/>
    <w:multiLevelType w:val="multilevel"/>
    <w:tmpl w:val="D066580E"/>
    <w:lvl w:ilvl="0">
      <w:start w:val="1"/>
      <w:numFmt w:val="lowerLetter"/>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3"/>
        <w:w w:val="100"/>
        <w:position w:val="0"/>
        <w:sz w:val="24"/>
        <w:szCs w:val="24"/>
        <w:u w:val="none"/>
        <w:lang w:val="en-U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89" w15:restartNumberingAfterBreak="0">
    <w:nsid w:val="50EC3657"/>
    <w:multiLevelType w:val="multilevel"/>
    <w:tmpl w:val="8A125942"/>
    <w:lvl w:ilvl="0">
      <w:start w:val="5"/>
      <w:numFmt w:val="decimal"/>
      <w:lvlText w:val="8.1.11.%1."/>
      <w:lvlJc w:val="left"/>
      <w:rPr>
        <w:rFonts w:ascii="Times New Roman" w:eastAsia="Times New Roman" w:hAnsi="Times New Roman" w:cs="Times New Roman"/>
        <w:b w:val="0"/>
        <w:bCs w:val="0"/>
        <w:i w:val="0"/>
        <w:iCs w:val="0"/>
        <w:smallCaps w:val="0"/>
        <w:strike w:val="0"/>
        <w:color w:val="000000"/>
        <w:spacing w:val="3"/>
        <w:w w:val="100"/>
        <w:position w:val="0"/>
        <w:sz w:val="24"/>
        <w:szCs w:val="24"/>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0" w15:restartNumberingAfterBreak="0">
    <w:nsid w:val="5118520F"/>
    <w:multiLevelType w:val="multilevel"/>
    <w:tmpl w:val="1F36B17E"/>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3"/>
        <w:w w:val="100"/>
        <w:position w:val="0"/>
        <w:sz w:val="24"/>
        <w:szCs w:val="24"/>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1" w15:restartNumberingAfterBreak="0">
    <w:nsid w:val="51283684"/>
    <w:multiLevelType w:val="multilevel"/>
    <w:tmpl w:val="ECAE7D20"/>
    <w:lvl w:ilvl="0">
      <w:start w:val="1"/>
      <w:numFmt w:val="decimal"/>
      <w:lvlText w:val="8.1.9.2.%1."/>
      <w:lvlJc w:val="left"/>
      <w:pPr>
        <w:ind w:left="426" w:firstLine="0"/>
      </w:pPr>
      <w:rPr>
        <w:rFonts w:ascii="Times New Roman" w:eastAsia="Times New Roman" w:hAnsi="Times New Roman" w:cs="Times New Roman"/>
        <w:b w:val="0"/>
        <w:bCs w:val="0"/>
        <w:i w:val="0"/>
        <w:iCs w:val="0"/>
        <w:smallCaps w:val="0"/>
        <w:strike w:val="0"/>
        <w:dstrike w:val="0"/>
        <w:color w:val="000000"/>
        <w:spacing w:val="3"/>
        <w:w w:val="100"/>
        <w:position w:val="0"/>
        <w:sz w:val="24"/>
        <w:szCs w:val="24"/>
        <w:u w:val="none"/>
        <w:lang w:val="en-US"/>
      </w:rPr>
    </w:lvl>
    <w:lvl w:ilvl="1">
      <w:numFmt w:val="decimal"/>
      <w:lvlText w:val=""/>
      <w:lvlJc w:val="left"/>
      <w:pPr>
        <w:ind w:left="426" w:firstLine="0"/>
      </w:pPr>
    </w:lvl>
    <w:lvl w:ilvl="2">
      <w:numFmt w:val="decimal"/>
      <w:lvlText w:val=""/>
      <w:lvlJc w:val="left"/>
      <w:pPr>
        <w:ind w:left="426" w:firstLine="0"/>
      </w:pPr>
    </w:lvl>
    <w:lvl w:ilvl="3">
      <w:numFmt w:val="decimal"/>
      <w:lvlText w:val=""/>
      <w:lvlJc w:val="left"/>
      <w:pPr>
        <w:ind w:left="426" w:firstLine="0"/>
      </w:pPr>
    </w:lvl>
    <w:lvl w:ilvl="4">
      <w:numFmt w:val="decimal"/>
      <w:lvlText w:val=""/>
      <w:lvlJc w:val="left"/>
      <w:pPr>
        <w:ind w:left="426" w:firstLine="0"/>
      </w:pPr>
    </w:lvl>
    <w:lvl w:ilvl="5">
      <w:numFmt w:val="decimal"/>
      <w:lvlText w:val=""/>
      <w:lvlJc w:val="left"/>
      <w:pPr>
        <w:ind w:left="426" w:firstLine="0"/>
      </w:pPr>
    </w:lvl>
    <w:lvl w:ilvl="6">
      <w:numFmt w:val="decimal"/>
      <w:lvlText w:val=""/>
      <w:lvlJc w:val="left"/>
      <w:pPr>
        <w:ind w:left="426" w:firstLine="0"/>
      </w:pPr>
    </w:lvl>
    <w:lvl w:ilvl="7">
      <w:numFmt w:val="decimal"/>
      <w:lvlText w:val=""/>
      <w:lvlJc w:val="left"/>
      <w:pPr>
        <w:ind w:left="426" w:firstLine="0"/>
      </w:pPr>
    </w:lvl>
    <w:lvl w:ilvl="8">
      <w:numFmt w:val="decimal"/>
      <w:lvlText w:val=""/>
      <w:lvlJc w:val="left"/>
      <w:pPr>
        <w:ind w:left="426" w:firstLine="0"/>
      </w:pPr>
    </w:lvl>
  </w:abstractNum>
  <w:abstractNum w:abstractNumId="292" w15:restartNumberingAfterBreak="0">
    <w:nsid w:val="514B7094"/>
    <w:multiLevelType w:val="multilevel"/>
    <w:tmpl w:val="514B7094"/>
    <w:lvl w:ilvl="0">
      <w:start w:val="1"/>
      <w:numFmt w:val="bullet"/>
      <w:lvlText w:val="—"/>
      <w:lvlJc w:val="left"/>
      <w:rPr>
        <w:rFonts w:ascii="Times New Roman" w:eastAsia="Times New Roman" w:hAnsi="Times New Roman" w:cs="Times New Roman"/>
        <w:b w:val="0"/>
        <w:bCs w:val="0"/>
        <w:i w:val="0"/>
        <w:iCs w:val="0"/>
        <w:smallCaps w:val="0"/>
        <w:strike w:val="0"/>
        <w:color w:val="000000"/>
        <w:spacing w:val="4"/>
        <w:w w:val="100"/>
        <w:position w:val="0"/>
        <w:sz w:val="12"/>
        <w:szCs w:val="12"/>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3" w15:restartNumberingAfterBreak="0">
    <w:nsid w:val="514C0F66"/>
    <w:multiLevelType w:val="multilevel"/>
    <w:tmpl w:val="15107536"/>
    <w:lvl w:ilvl="0">
      <w:start w:val="4"/>
      <w:numFmt w:val="decimal"/>
      <w:lvlText w:val="8.1.11.5.%1"/>
      <w:lvlJc w:val="left"/>
      <w:rPr>
        <w:rFonts w:ascii="Times New Roman" w:eastAsia="Times New Roman" w:hAnsi="Times New Roman" w:cs="Times New Roman"/>
        <w:b w:val="0"/>
        <w:bCs w:val="0"/>
        <w:i w:val="0"/>
        <w:iCs w:val="0"/>
        <w:smallCaps w:val="0"/>
        <w:strike w:val="0"/>
        <w:color w:val="000000"/>
        <w:spacing w:val="3"/>
        <w:w w:val="100"/>
        <w:position w:val="0"/>
        <w:sz w:val="24"/>
        <w:szCs w:val="24"/>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4" w15:restartNumberingAfterBreak="0">
    <w:nsid w:val="519E60E7"/>
    <w:multiLevelType w:val="multilevel"/>
    <w:tmpl w:val="9C8C5436"/>
    <w:lvl w:ilvl="0">
      <w:start w:val="1"/>
      <w:numFmt w:val="decimal"/>
      <w:lvlText w:val="8.1.9.1.%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lang w:val="en-U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95" w15:restartNumberingAfterBreak="0">
    <w:nsid w:val="52055511"/>
    <w:multiLevelType w:val="multilevel"/>
    <w:tmpl w:val="20CCB23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3"/>
        <w:w w:val="100"/>
        <w:position w:val="0"/>
        <w:sz w:val="24"/>
        <w:szCs w:val="24"/>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6" w15:restartNumberingAfterBreak="0">
    <w:nsid w:val="52751953"/>
    <w:multiLevelType w:val="multilevel"/>
    <w:tmpl w:val="8782251A"/>
    <w:lvl w:ilvl="0">
      <w:start w:val="1"/>
      <w:numFmt w:val="decimal"/>
      <w:lvlText w:val="9.4.4.1.%1."/>
      <w:lvlJc w:val="left"/>
      <w:rPr>
        <w:rFonts w:ascii="Times New Roman" w:eastAsia="Times New Roman" w:hAnsi="Times New Roman" w:cs="Times New Roman"/>
        <w:b w:val="0"/>
        <w:bCs w:val="0"/>
        <w:i w:val="0"/>
        <w:iCs w:val="0"/>
        <w:smallCaps w:val="0"/>
        <w:strike w:val="0"/>
        <w:color w:val="000000"/>
        <w:spacing w:val="3"/>
        <w:w w:val="100"/>
        <w:position w:val="0"/>
        <w:sz w:val="24"/>
        <w:szCs w:val="24"/>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7" w15:restartNumberingAfterBreak="0">
    <w:nsid w:val="528E5ACC"/>
    <w:multiLevelType w:val="multilevel"/>
    <w:tmpl w:val="D1321676"/>
    <w:lvl w:ilvl="0">
      <w:start w:val="1"/>
      <w:numFmt w:val="decimal"/>
      <w:lvlText w:val="9.3.2.1.%1."/>
      <w:lvlJc w:val="left"/>
      <w:pPr>
        <w:ind w:left="0" w:firstLine="0"/>
      </w:pPr>
      <w:rPr>
        <w:rFonts w:ascii="Times New Roman" w:eastAsia="Times New Roman" w:hAnsi="Times New Roman" w:cs="Times New Roman"/>
        <w:b w:val="0"/>
        <w:bCs w:val="0"/>
        <w:i w:val="0"/>
        <w:iCs w:val="0"/>
        <w:smallCaps w:val="0"/>
        <w:strike w:val="0"/>
        <w:dstrike w:val="0"/>
        <w:color w:val="000000"/>
        <w:spacing w:val="3"/>
        <w:w w:val="100"/>
        <w:position w:val="0"/>
        <w:sz w:val="24"/>
        <w:szCs w:val="24"/>
        <w:u w:val="none"/>
        <w:lang w:val="en-U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98" w15:restartNumberingAfterBreak="0">
    <w:nsid w:val="52CA6863"/>
    <w:multiLevelType w:val="multilevel"/>
    <w:tmpl w:val="D8C81B8E"/>
    <w:lvl w:ilvl="0">
      <w:start w:val="1"/>
      <w:numFmt w:val="decimal"/>
      <w:lvlText w:val="10.4.5.%1."/>
      <w:lvlJc w:val="left"/>
      <w:rPr>
        <w:rFonts w:ascii="Times New Roman" w:eastAsia="Times New Roman" w:hAnsi="Times New Roman" w:cs="Times New Roman"/>
        <w:b w:val="0"/>
        <w:bCs w:val="0"/>
        <w:i w:val="0"/>
        <w:iCs w:val="0"/>
        <w:smallCaps w:val="0"/>
        <w:strike w:val="0"/>
        <w:color w:val="000000"/>
        <w:spacing w:val="3"/>
        <w:w w:val="100"/>
        <w:position w:val="0"/>
        <w:sz w:val="24"/>
        <w:szCs w:val="24"/>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9" w15:restartNumberingAfterBreak="0">
    <w:nsid w:val="533B35BE"/>
    <w:multiLevelType w:val="multilevel"/>
    <w:tmpl w:val="658AC59A"/>
    <w:lvl w:ilvl="0">
      <w:start w:val="1"/>
      <w:numFmt w:val="lowerLetter"/>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3"/>
        <w:w w:val="100"/>
        <w:position w:val="0"/>
        <w:sz w:val="24"/>
        <w:szCs w:val="24"/>
        <w:u w:val="none"/>
        <w:lang w:val="en-U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00" w15:restartNumberingAfterBreak="0">
    <w:nsid w:val="53494F6B"/>
    <w:multiLevelType w:val="hybridMultilevel"/>
    <w:tmpl w:val="4712DB7E"/>
    <w:lvl w:ilvl="0" w:tplc="B53EB28C">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01" w15:restartNumberingAfterBreak="0">
    <w:nsid w:val="53564CCD"/>
    <w:multiLevelType w:val="multilevel"/>
    <w:tmpl w:val="DAEE582E"/>
    <w:lvl w:ilvl="0">
      <w:start w:val="1"/>
      <w:numFmt w:val="decimal"/>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2" w15:restartNumberingAfterBreak="0">
    <w:nsid w:val="53BB067A"/>
    <w:multiLevelType w:val="multilevel"/>
    <w:tmpl w:val="EA1E0A90"/>
    <w:lvl w:ilvl="0">
      <w:start w:val="1"/>
      <w:numFmt w:val="decimal"/>
      <w:lvlText w:val="7.7.1.%1."/>
      <w:lvlJc w:val="left"/>
      <w:rPr>
        <w:rFonts w:ascii="Times New Roman" w:eastAsia="Times New Roman" w:hAnsi="Times New Roman" w:cs="Times New Roman"/>
        <w:b w:val="0"/>
        <w:bCs w:val="0"/>
        <w:i w:val="0"/>
        <w:iCs w:val="0"/>
        <w:smallCaps w:val="0"/>
        <w:strike w:val="0"/>
        <w:color w:val="000000"/>
        <w:spacing w:val="3"/>
        <w:w w:val="100"/>
        <w:position w:val="0"/>
        <w:sz w:val="24"/>
        <w:szCs w:val="24"/>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3" w15:restartNumberingAfterBreak="0">
    <w:nsid w:val="53C27C4E"/>
    <w:multiLevelType w:val="multilevel"/>
    <w:tmpl w:val="079AFB80"/>
    <w:lvl w:ilvl="0">
      <w:start w:val="1"/>
      <w:numFmt w:val="decimal"/>
      <w:lvlText w:val="2.4.2.%1."/>
      <w:lvlJc w:val="left"/>
      <w:rPr>
        <w:rFonts w:ascii="Times New Roman" w:eastAsia="Times New Roman" w:hAnsi="Times New Roman" w:cs="Times New Roman"/>
        <w:b w:val="0"/>
        <w:bCs w:val="0"/>
        <w:i w:val="0"/>
        <w:iCs w:val="0"/>
        <w:smallCaps w:val="0"/>
        <w:strike w:val="0"/>
        <w:color w:val="000000"/>
        <w:spacing w:val="3"/>
        <w:w w:val="100"/>
        <w:position w:val="0"/>
        <w:sz w:val="24"/>
        <w:szCs w:val="24"/>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4" w15:restartNumberingAfterBreak="0">
    <w:nsid w:val="53D022CE"/>
    <w:multiLevelType w:val="multilevel"/>
    <w:tmpl w:val="53D022CE"/>
    <w:lvl w:ilvl="0">
      <w:start w:val="9"/>
      <w:numFmt w:val="decimal"/>
      <w:lvlText w:val="%1."/>
      <w:lvlJc w:val="left"/>
      <w:pPr>
        <w:ind w:left="600" w:hanging="600"/>
      </w:pPr>
      <w:rPr>
        <w:rFonts w:hint="default"/>
      </w:rPr>
    </w:lvl>
    <w:lvl w:ilvl="1">
      <w:start w:val="2"/>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05" w15:restartNumberingAfterBreak="0">
    <w:nsid w:val="53D67A36"/>
    <w:multiLevelType w:val="multilevel"/>
    <w:tmpl w:val="6944F1D8"/>
    <w:lvl w:ilvl="0">
      <w:start w:val="1"/>
      <w:numFmt w:val="decimal"/>
      <w:lvlText w:val="9.3.3.4.%1."/>
      <w:lvlJc w:val="left"/>
      <w:pPr>
        <w:ind w:left="0" w:firstLine="0"/>
      </w:pPr>
      <w:rPr>
        <w:rFonts w:ascii="Times New Roman" w:eastAsia="Times New Roman" w:hAnsi="Times New Roman" w:cs="Times New Roman"/>
        <w:b w:val="0"/>
        <w:bCs w:val="0"/>
        <w:i w:val="0"/>
        <w:iCs w:val="0"/>
        <w:smallCaps w:val="0"/>
        <w:strike w:val="0"/>
        <w:dstrike w:val="0"/>
        <w:color w:val="000000"/>
        <w:spacing w:val="3"/>
        <w:w w:val="100"/>
        <w:position w:val="0"/>
        <w:sz w:val="24"/>
        <w:szCs w:val="24"/>
        <w:u w:val="none"/>
        <w:lang w:val="en-U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06" w15:restartNumberingAfterBreak="0">
    <w:nsid w:val="540C2017"/>
    <w:multiLevelType w:val="multilevel"/>
    <w:tmpl w:val="64742872"/>
    <w:lvl w:ilvl="0">
      <w:start w:val="1"/>
      <w:numFmt w:val="decimal"/>
      <w:lvlText w:val="2.5.%1."/>
      <w:lvlJc w:val="left"/>
      <w:rPr>
        <w:rFonts w:ascii="Times New Roman" w:eastAsia="Times New Roman" w:hAnsi="Times New Roman" w:cs="Times New Roman"/>
        <w:b w:val="0"/>
        <w:bCs w:val="0"/>
        <w:i w:val="0"/>
        <w:iCs w:val="0"/>
        <w:smallCaps w:val="0"/>
        <w:strike w:val="0"/>
        <w:color w:val="000000"/>
        <w:spacing w:val="3"/>
        <w:w w:val="100"/>
        <w:position w:val="0"/>
        <w:sz w:val="24"/>
        <w:szCs w:val="24"/>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7" w15:restartNumberingAfterBreak="0">
    <w:nsid w:val="541D1E3F"/>
    <w:multiLevelType w:val="multilevel"/>
    <w:tmpl w:val="B0948C46"/>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3"/>
        <w:w w:val="100"/>
        <w:position w:val="0"/>
        <w:sz w:val="24"/>
        <w:szCs w:val="24"/>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8" w15:restartNumberingAfterBreak="0">
    <w:nsid w:val="54650132"/>
    <w:multiLevelType w:val="multilevel"/>
    <w:tmpl w:val="9788CD9E"/>
    <w:lvl w:ilvl="0">
      <w:start w:val="1"/>
      <w:numFmt w:val="lowerRoman"/>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3"/>
        <w:w w:val="100"/>
        <w:position w:val="0"/>
        <w:sz w:val="24"/>
        <w:szCs w:val="24"/>
        <w:u w:val="none"/>
        <w:lang w:val="en-U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09" w15:restartNumberingAfterBreak="0">
    <w:nsid w:val="54C1425E"/>
    <w:multiLevelType w:val="multilevel"/>
    <w:tmpl w:val="32E044C0"/>
    <w:lvl w:ilvl="0">
      <w:start w:val="1"/>
      <w:numFmt w:val="decimal"/>
      <w:lvlText w:val="6.3.%1"/>
      <w:lvlJc w:val="left"/>
      <w:rPr>
        <w:rFonts w:ascii="Times New Roman" w:eastAsia="Times New Roman" w:hAnsi="Times New Roman" w:cs="Times New Roman"/>
        <w:b w:val="0"/>
        <w:bCs w:val="0"/>
        <w:i w:val="0"/>
        <w:iCs w:val="0"/>
        <w:smallCaps w:val="0"/>
        <w:strike w:val="0"/>
        <w:color w:val="000000"/>
        <w:spacing w:val="3"/>
        <w:w w:val="100"/>
        <w:position w:val="0"/>
        <w:sz w:val="24"/>
        <w:szCs w:val="24"/>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0" w15:restartNumberingAfterBreak="0">
    <w:nsid w:val="5511427A"/>
    <w:multiLevelType w:val="multilevel"/>
    <w:tmpl w:val="5511427A"/>
    <w:lvl w:ilvl="0">
      <w:start w:val="1"/>
      <w:numFmt w:val="lowerLetter"/>
      <w:lvlText w:val="(%1)"/>
      <w:lvlJc w:val="left"/>
      <w:pPr>
        <w:ind w:left="1069" w:hanging="360"/>
      </w:pPr>
      <w:rPr>
        <w:rFonts w:hint="default"/>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311" w15:restartNumberingAfterBreak="0">
    <w:nsid w:val="55270732"/>
    <w:multiLevelType w:val="multilevel"/>
    <w:tmpl w:val="859E651A"/>
    <w:lvl w:ilvl="0">
      <w:start w:val="1"/>
      <w:numFmt w:val="lowerLetter"/>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3"/>
        <w:w w:val="100"/>
        <w:position w:val="0"/>
        <w:sz w:val="24"/>
        <w:szCs w:val="24"/>
        <w:u w:val="none"/>
        <w:lang w:val="en-U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12" w15:restartNumberingAfterBreak="0">
    <w:nsid w:val="553F165E"/>
    <w:multiLevelType w:val="multilevel"/>
    <w:tmpl w:val="553F165E"/>
    <w:lvl w:ilvl="0">
      <w:start w:val="1"/>
      <w:numFmt w:val="lowerRoman"/>
      <w:lvlText w:val="(%1)"/>
      <w:lvlJc w:val="left"/>
      <w:rPr>
        <w:rFonts w:ascii="Times New Roman" w:eastAsia="Times New Roman" w:hAnsi="Times New Roman" w:cs="Times New Roman"/>
        <w:b w:val="0"/>
        <w:bCs w:val="0"/>
        <w:i w:val="0"/>
        <w:iCs w:val="0"/>
        <w:smallCaps w:val="0"/>
        <w:strike w:val="0"/>
        <w:color w:val="000000"/>
        <w:spacing w:val="3"/>
        <w:w w:val="100"/>
        <w:position w:val="0"/>
        <w:sz w:val="20"/>
        <w:szCs w:val="20"/>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3" w15:restartNumberingAfterBreak="0">
    <w:nsid w:val="55A86217"/>
    <w:multiLevelType w:val="multilevel"/>
    <w:tmpl w:val="7834F6B2"/>
    <w:lvl w:ilvl="0">
      <w:start w:val="4"/>
      <w:numFmt w:val="decimal"/>
      <w:lvlText w:val="10.3.%1."/>
      <w:lvlJc w:val="left"/>
      <w:rPr>
        <w:rFonts w:ascii="Times New Roman" w:eastAsia="Times New Roman" w:hAnsi="Times New Roman" w:cs="Times New Roman"/>
        <w:b w:val="0"/>
        <w:bCs w:val="0"/>
        <w:i w:val="0"/>
        <w:iCs w:val="0"/>
        <w:smallCaps w:val="0"/>
        <w:strike w:val="0"/>
        <w:color w:val="000000"/>
        <w:spacing w:val="3"/>
        <w:w w:val="100"/>
        <w:position w:val="0"/>
        <w:sz w:val="24"/>
        <w:szCs w:val="24"/>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4" w15:restartNumberingAfterBreak="0">
    <w:nsid w:val="56304851"/>
    <w:multiLevelType w:val="multilevel"/>
    <w:tmpl w:val="2A4CF83C"/>
    <w:lvl w:ilvl="0">
      <w:start w:val="1"/>
      <w:numFmt w:val="lowerLetter"/>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3"/>
        <w:w w:val="100"/>
        <w:position w:val="0"/>
        <w:sz w:val="24"/>
        <w:szCs w:val="24"/>
        <w:u w:val="none"/>
        <w:lang w:val="en-U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15" w15:restartNumberingAfterBreak="0">
    <w:nsid w:val="56E41F48"/>
    <w:multiLevelType w:val="multilevel"/>
    <w:tmpl w:val="E3D85624"/>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3"/>
        <w:w w:val="100"/>
        <w:position w:val="0"/>
        <w:sz w:val="24"/>
        <w:szCs w:val="24"/>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6" w15:restartNumberingAfterBreak="0">
    <w:nsid w:val="572A2FFC"/>
    <w:multiLevelType w:val="multilevel"/>
    <w:tmpl w:val="2F3A1686"/>
    <w:lvl w:ilvl="0">
      <w:start w:val="1"/>
      <w:numFmt w:val="decimal"/>
      <w:lvlText w:val="6.4.%1."/>
      <w:lvlJc w:val="left"/>
      <w:pPr>
        <w:ind w:left="0" w:firstLine="0"/>
      </w:pPr>
      <w:rPr>
        <w:rFonts w:ascii="Times New Roman" w:eastAsia="Times New Roman" w:hAnsi="Times New Roman" w:cs="Times New Roman"/>
        <w:b w:val="0"/>
        <w:bCs w:val="0"/>
        <w:i w:val="0"/>
        <w:iCs w:val="0"/>
        <w:smallCaps w:val="0"/>
        <w:strike w:val="0"/>
        <w:dstrike w:val="0"/>
        <w:color w:val="000000"/>
        <w:spacing w:val="3"/>
        <w:w w:val="100"/>
        <w:position w:val="0"/>
        <w:sz w:val="24"/>
        <w:szCs w:val="24"/>
        <w:u w:val="none"/>
        <w:lang w:val="en-U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17" w15:restartNumberingAfterBreak="0">
    <w:nsid w:val="57565302"/>
    <w:multiLevelType w:val="multilevel"/>
    <w:tmpl w:val="73B0A268"/>
    <w:lvl w:ilvl="0">
      <w:start w:val="1"/>
      <w:numFmt w:val="decimal"/>
      <w:lvlText w:val="8.2.2.%1."/>
      <w:lvlJc w:val="left"/>
      <w:pPr>
        <w:ind w:left="0" w:firstLine="0"/>
      </w:pPr>
      <w:rPr>
        <w:rFonts w:ascii="Times New Roman" w:eastAsia="Times New Roman" w:hAnsi="Times New Roman" w:cs="Times New Roman"/>
        <w:b w:val="0"/>
        <w:bCs w:val="0"/>
        <w:i w:val="0"/>
        <w:iCs w:val="0"/>
        <w:smallCaps w:val="0"/>
        <w:strike w:val="0"/>
        <w:dstrike w:val="0"/>
        <w:color w:val="000000"/>
        <w:spacing w:val="3"/>
        <w:w w:val="100"/>
        <w:position w:val="0"/>
        <w:sz w:val="24"/>
        <w:szCs w:val="24"/>
        <w:u w:val="none"/>
        <w:lang w:val="en-U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18" w15:restartNumberingAfterBreak="0">
    <w:nsid w:val="5764613A"/>
    <w:multiLevelType w:val="multilevel"/>
    <w:tmpl w:val="FA7C3180"/>
    <w:lvl w:ilvl="0">
      <w:start w:val="1"/>
      <w:numFmt w:val="lowerRoman"/>
      <w:lvlText w:val="(%1)"/>
      <w:lvlJc w:val="left"/>
      <w:rPr>
        <w:rFonts w:ascii="Times New Roman" w:eastAsia="Times New Roman" w:hAnsi="Times New Roman" w:cs="Times New Roman"/>
        <w:b w:val="0"/>
        <w:bCs w:val="0"/>
        <w:i w:val="0"/>
        <w:iCs w:val="0"/>
        <w:smallCaps w:val="0"/>
        <w:strike w:val="0"/>
        <w:color w:val="000000"/>
        <w:spacing w:val="3"/>
        <w:w w:val="100"/>
        <w:position w:val="0"/>
        <w:sz w:val="24"/>
        <w:szCs w:val="24"/>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9" w15:restartNumberingAfterBreak="0">
    <w:nsid w:val="57675A0B"/>
    <w:multiLevelType w:val="multilevel"/>
    <w:tmpl w:val="23920EE0"/>
    <w:lvl w:ilvl="0">
      <w:start w:val="1"/>
      <w:numFmt w:val="lowerLetter"/>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3"/>
        <w:w w:val="100"/>
        <w:position w:val="0"/>
        <w:sz w:val="24"/>
        <w:szCs w:val="24"/>
        <w:u w:val="none"/>
        <w:lang w:val="en-U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20" w15:restartNumberingAfterBreak="0">
    <w:nsid w:val="57977484"/>
    <w:multiLevelType w:val="multilevel"/>
    <w:tmpl w:val="6B26F0E0"/>
    <w:lvl w:ilvl="0">
      <w:start w:val="1"/>
      <w:numFmt w:val="decimal"/>
      <w:lvlText w:val="2.1.1.%1."/>
      <w:lvlJc w:val="left"/>
      <w:rPr>
        <w:rFonts w:ascii="Times New Roman" w:eastAsia="Times New Roman" w:hAnsi="Times New Roman" w:cs="Times New Roman"/>
        <w:b w:val="0"/>
        <w:bCs w:val="0"/>
        <w:i w:val="0"/>
        <w:iCs w:val="0"/>
        <w:smallCaps w:val="0"/>
        <w:strike w:val="0"/>
        <w:color w:val="000000"/>
        <w:spacing w:val="3"/>
        <w:w w:val="100"/>
        <w:position w:val="0"/>
        <w:sz w:val="24"/>
        <w:szCs w:val="24"/>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1" w15:restartNumberingAfterBreak="0">
    <w:nsid w:val="57A34426"/>
    <w:multiLevelType w:val="multilevel"/>
    <w:tmpl w:val="9A80B060"/>
    <w:lvl w:ilvl="0">
      <w:start w:val="1"/>
      <w:numFmt w:val="lowerRoman"/>
      <w:lvlText w:val="(%1)"/>
      <w:lvlJc w:val="left"/>
      <w:rPr>
        <w:rFonts w:ascii="Times New Roman" w:eastAsia="Times New Roman" w:hAnsi="Times New Roman" w:cs="Times New Roman"/>
        <w:b w:val="0"/>
        <w:bCs w:val="0"/>
        <w:i w:val="0"/>
        <w:iCs w:val="0"/>
        <w:smallCaps w:val="0"/>
        <w:strike w:val="0"/>
        <w:color w:val="000000"/>
        <w:spacing w:val="4"/>
        <w:w w:val="100"/>
        <w:position w:val="0"/>
        <w:sz w:val="24"/>
        <w:szCs w:val="24"/>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2" w15:restartNumberingAfterBreak="0">
    <w:nsid w:val="584925EA"/>
    <w:multiLevelType w:val="multilevel"/>
    <w:tmpl w:val="92986F76"/>
    <w:lvl w:ilvl="0">
      <w:start w:val="1"/>
      <w:numFmt w:val="decimal"/>
      <w:lvlText w:val="10.4.4.%1."/>
      <w:lvlJc w:val="left"/>
      <w:rPr>
        <w:rFonts w:ascii="Times New Roman" w:eastAsia="Times New Roman" w:hAnsi="Times New Roman" w:cs="Times New Roman"/>
        <w:b w:val="0"/>
        <w:bCs w:val="0"/>
        <w:i w:val="0"/>
        <w:iCs w:val="0"/>
        <w:smallCaps w:val="0"/>
        <w:strike w:val="0"/>
        <w:color w:val="000000"/>
        <w:spacing w:val="3"/>
        <w:w w:val="100"/>
        <w:position w:val="0"/>
        <w:sz w:val="24"/>
        <w:szCs w:val="24"/>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3" w15:restartNumberingAfterBreak="0">
    <w:nsid w:val="58BC7F54"/>
    <w:multiLevelType w:val="multilevel"/>
    <w:tmpl w:val="D4D478AE"/>
    <w:lvl w:ilvl="0">
      <w:start w:val="7"/>
      <w:numFmt w:val="decimal"/>
      <w:lvlText w:val="6.%1."/>
      <w:lvlJc w:val="left"/>
      <w:pPr>
        <w:ind w:left="0" w:firstLine="0"/>
      </w:pPr>
      <w:rPr>
        <w:rFonts w:ascii="Times New Roman" w:eastAsia="Times New Roman" w:hAnsi="Times New Roman" w:cs="Times New Roman"/>
        <w:b w:val="0"/>
        <w:bCs w:val="0"/>
        <w:i w:val="0"/>
        <w:iCs w:val="0"/>
        <w:smallCaps w:val="0"/>
        <w:strike w:val="0"/>
        <w:dstrike w:val="0"/>
        <w:color w:val="000000"/>
        <w:spacing w:val="3"/>
        <w:w w:val="100"/>
        <w:position w:val="0"/>
        <w:sz w:val="24"/>
        <w:szCs w:val="24"/>
        <w:u w:val="none"/>
        <w:lang w:val="en-U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24" w15:restartNumberingAfterBreak="0">
    <w:nsid w:val="59822247"/>
    <w:multiLevelType w:val="multilevel"/>
    <w:tmpl w:val="1DB29EBE"/>
    <w:lvl w:ilvl="0">
      <w:start w:val="8"/>
      <w:numFmt w:val="decimal"/>
      <w:lvlText w:val="9.4.%1."/>
      <w:lvlJc w:val="left"/>
      <w:pPr>
        <w:ind w:left="0" w:firstLine="0"/>
      </w:pPr>
      <w:rPr>
        <w:rFonts w:ascii="Times New Roman" w:eastAsia="Times New Roman" w:hAnsi="Times New Roman" w:cs="Times New Roman" w:hint="default"/>
        <w:b w:val="0"/>
        <w:bCs w:val="0"/>
        <w:i w:val="0"/>
        <w:iCs w:val="0"/>
        <w:smallCaps w:val="0"/>
        <w:strike w:val="0"/>
        <w:color w:val="000000"/>
        <w:spacing w:val="3"/>
        <w:w w:val="100"/>
        <w:position w:val="0"/>
        <w:sz w:val="24"/>
        <w:szCs w:val="24"/>
        <w:u w:val="none"/>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325" w15:restartNumberingAfterBreak="0">
    <w:nsid w:val="59E85829"/>
    <w:multiLevelType w:val="multilevel"/>
    <w:tmpl w:val="59E85829"/>
    <w:lvl w:ilvl="0">
      <w:start w:val="8"/>
      <w:numFmt w:val="decimal"/>
      <w:lvlText w:val="%1"/>
      <w:lvlJc w:val="left"/>
      <w:pPr>
        <w:ind w:left="405" w:hanging="405"/>
      </w:pPr>
      <w:rPr>
        <w:rFonts w:hint="default"/>
      </w:rPr>
    </w:lvl>
    <w:lvl w:ilvl="1">
      <w:start w:val="2"/>
      <w:numFmt w:val="decimal"/>
      <w:lvlText w:val="%1.%2"/>
      <w:lvlJc w:val="left"/>
      <w:pPr>
        <w:ind w:left="405" w:hanging="405"/>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26" w15:restartNumberingAfterBreak="0">
    <w:nsid w:val="5A8F7438"/>
    <w:multiLevelType w:val="multilevel"/>
    <w:tmpl w:val="7A04508C"/>
    <w:lvl w:ilvl="0">
      <w:start w:val="1"/>
      <w:numFmt w:val="decimal"/>
      <w:lvlText w:val="9.3.1.1.%1."/>
      <w:lvlJc w:val="left"/>
      <w:pPr>
        <w:ind w:left="0" w:firstLine="0"/>
      </w:pPr>
      <w:rPr>
        <w:rFonts w:ascii="Times New Roman" w:eastAsia="Times New Roman" w:hAnsi="Times New Roman" w:cs="Times New Roman"/>
        <w:b w:val="0"/>
        <w:bCs w:val="0"/>
        <w:i w:val="0"/>
        <w:iCs w:val="0"/>
        <w:smallCaps w:val="0"/>
        <w:strike w:val="0"/>
        <w:dstrike w:val="0"/>
        <w:color w:val="000000"/>
        <w:spacing w:val="3"/>
        <w:w w:val="100"/>
        <w:position w:val="0"/>
        <w:sz w:val="24"/>
        <w:szCs w:val="24"/>
        <w:u w:val="none"/>
        <w:lang w:val="en-U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27" w15:restartNumberingAfterBreak="0">
    <w:nsid w:val="5B2C6639"/>
    <w:multiLevelType w:val="multilevel"/>
    <w:tmpl w:val="549C39F0"/>
    <w:lvl w:ilvl="0">
      <w:start w:val="1"/>
      <w:numFmt w:val="lowerLetter"/>
      <w:lvlText w:val="(%1)"/>
      <w:lvlJc w:val="left"/>
      <w:pPr>
        <w:ind w:left="710" w:firstLine="0"/>
      </w:pPr>
      <w:rPr>
        <w:rFonts w:ascii="Times New Roman" w:eastAsia="Times New Roman" w:hAnsi="Times New Roman" w:cs="Times New Roman"/>
        <w:b w:val="0"/>
        <w:bCs w:val="0"/>
        <w:i w:val="0"/>
        <w:iCs w:val="0"/>
        <w:smallCaps w:val="0"/>
        <w:strike w:val="0"/>
        <w:dstrike w:val="0"/>
        <w:color w:val="000000"/>
        <w:spacing w:val="3"/>
        <w:w w:val="100"/>
        <w:position w:val="0"/>
        <w:sz w:val="24"/>
        <w:szCs w:val="24"/>
        <w:u w:val="none"/>
        <w:lang w:val="en-US"/>
      </w:rPr>
    </w:lvl>
    <w:lvl w:ilvl="1">
      <w:numFmt w:val="decimal"/>
      <w:lvlText w:val=""/>
      <w:lvlJc w:val="left"/>
      <w:pPr>
        <w:ind w:left="710" w:firstLine="0"/>
      </w:pPr>
    </w:lvl>
    <w:lvl w:ilvl="2">
      <w:numFmt w:val="decimal"/>
      <w:lvlText w:val=""/>
      <w:lvlJc w:val="left"/>
      <w:pPr>
        <w:ind w:left="710" w:firstLine="0"/>
      </w:pPr>
    </w:lvl>
    <w:lvl w:ilvl="3">
      <w:numFmt w:val="decimal"/>
      <w:lvlText w:val=""/>
      <w:lvlJc w:val="left"/>
      <w:pPr>
        <w:ind w:left="710" w:firstLine="0"/>
      </w:pPr>
    </w:lvl>
    <w:lvl w:ilvl="4">
      <w:numFmt w:val="decimal"/>
      <w:lvlText w:val=""/>
      <w:lvlJc w:val="left"/>
      <w:pPr>
        <w:ind w:left="710" w:firstLine="0"/>
      </w:pPr>
    </w:lvl>
    <w:lvl w:ilvl="5">
      <w:numFmt w:val="decimal"/>
      <w:lvlText w:val=""/>
      <w:lvlJc w:val="left"/>
      <w:pPr>
        <w:ind w:left="710" w:firstLine="0"/>
      </w:pPr>
    </w:lvl>
    <w:lvl w:ilvl="6">
      <w:numFmt w:val="decimal"/>
      <w:lvlText w:val=""/>
      <w:lvlJc w:val="left"/>
      <w:pPr>
        <w:ind w:left="710" w:firstLine="0"/>
      </w:pPr>
    </w:lvl>
    <w:lvl w:ilvl="7">
      <w:numFmt w:val="decimal"/>
      <w:lvlText w:val=""/>
      <w:lvlJc w:val="left"/>
      <w:pPr>
        <w:ind w:left="710" w:firstLine="0"/>
      </w:pPr>
    </w:lvl>
    <w:lvl w:ilvl="8">
      <w:numFmt w:val="decimal"/>
      <w:lvlText w:val=""/>
      <w:lvlJc w:val="left"/>
      <w:pPr>
        <w:ind w:left="710" w:firstLine="0"/>
      </w:pPr>
    </w:lvl>
  </w:abstractNum>
  <w:abstractNum w:abstractNumId="328" w15:restartNumberingAfterBreak="0">
    <w:nsid w:val="5B994418"/>
    <w:multiLevelType w:val="multilevel"/>
    <w:tmpl w:val="721C0174"/>
    <w:lvl w:ilvl="0">
      <w:start w:val="1"/>
      <w:numFmt w:val="lowerLetter"/>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3"/>
        <w:w w:val="100"/>
        <w:position w:val="0"/>
        <w:sz w:val="24"/>
        <w:szCs w:val="24"/>
        <w:u w:val="none"/>
        <w:lang w:val="en-U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29" w15:restartNumberingAfterBreak="0">
    <w:nsid w:val="5BE81130"/>
    <w:multiLevelType w:val="multilevel"/>
    <w:tmpl w:val="0E5E815C"/>
    <w:lvl w:ilvl="0">
      <w:start w:val="10"/>
      <w:numFmt w:val="decimal"/>
      <w:lvlText w:val="8.1.%1."/>
      <w:lvlJc w:val="left"/>
      <w:pPr>
        <w:ind w:left="0" w:firstLine="0"/>
      </w:pPr>
      <w:rPr>
        <w:rFonts w:ascii="Times New Roman" w:eastAsia="Times New Roman" w:hAnsi="Times New Roman" w:cs="Times New Roman"/>
        <w:b w:val="0"/>
        <w:bCs w:val="0"/>
        <w:i w:val="0"/>
        <w:iCs w:val="0"/>
        <w:smallCaps w:val="0"/>
        <w:strike w:val="0"/>
        <w:dstrike w:val="0"/>
        <w:color w:val="000000"/>
        <w:spacing w:val="4"/>
        <w:w w:val="100"/>
        <w:position w:val="0"/>
        <w:sz w:val="24"/>
        <w:szCs w:val="24"/>
        <w:u w:val="none"/>
        <w:lang w:val="en-U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30" w15:restartNumberingAfterBreak="0">
    <w:nsid w:val="5C1B47CA"/>
    <w:multiLevelType w:val="multilevel"/>
    <w:tmpl w:val="4836955A"/>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3"/>
        <w:w w:val="100"/>
        <w:position w:val="0"/>
        <w:sz w:val="24"/>
        <w:szCs w:val="24"/>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1" w15:restartNumberingAfterBreak="0">
    <w:nsid w:val="5CBB3924"/>
    <w:multiLevelType w:val="multilevel"/>
    <w:tmpl w:val="7F4CFBBA"/>
    <w:lvl w:ilvl="0">
      <w:start w:val="1"/>
      <w:numFmt w:val="decimal"/>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pStyle w:val="Balk3"/>
      <w:lvlText w:val="%1.%2.%3."/>
      <w:lvlJc w:val="left"/>
      <w:pPr>
        <w:tabs>
          <w:tab w:val="num" w:pos="1134"/>
        </w:tabs>
        <w:ind w:left="1134" w:hanging="850"/>
      </w:pPr>
    </w:lvl>
    <w:lvl w:ilvl="3">
      <w:start w:val="1"/>
      <w:numFmt w:val="decimal"/>
      <w:pStyle w:val="Balk4"/>
      <w:lvlText w:val="%1.%2.%3.%4."/>
      <w:lvlJc w:val="left"/>
      <w:pPr>
        <w:tabs>
          <w:tab w:val="num" w:pos="850"/>
        </w:tabs>
        <w:ind w:left="850" w:hanging="85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32" w15:restartNumberingAfterBreak="0">
    <w:nsid w:val="5CCF2CCE"/>
    <w:multiLevelType w:val="multilevel"/>
    <w:tmpl w:val="C51AFEC2"/>
    <w:lvl w:ilvl="0">
      <w:start w:val="1"/>
      <w:numFmt w:val="decimal"/>
      <w:lvlText w:val="11.4.1.1.%1."/>
      <w:lvlJc w:val="left"/>
      <w:rPr>
        <w:rFonts w:ascii="Times New Roman" w:eastAsia="Times New Roman" w:hAnsi="Times New Roman" w:cs="Times New Roman"/>
        <w:b w:val="0"/>
        <w:bCs w:val="0"/>
        <w:i w:val="0"/>
        <w:iCs w:val="0"/>
        <w:smallCaps w:val="0"/>
        <w:strike w:val="0"/>
        <w:color w:val="000000"/>
        <w:spacing w:val="3"/>
        <w:w w:val="100"/>
        <w:position w:val="0"/>
        <w:sz w:val="24"/>
        <w:szCs w:val="24"/>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3" w15:restartNumberingAfterBreak="0">
    <w:nsid w:val="5CCF47BC"/>
    <w:multiLevelType w:val="multilevel"/>
    <w:tmpl w:val="5CCF47BC"/>
    <w:lvl w:ilvl="0">
      <w:start w:val="1"/>
      <w:numFmt w:val="decimal"/>
      <w:lvlText w:val="%1."/>
      <w:lvlJc w:val="left"/>
      <w:pPr>
        <w:ind w:left="740" w:hanging="360"/>
      </w:pPr>
    </w:lvl>
    <w:lvl w:ilvl="1">
      <w:start w:val="1"/>
      <w:numFmt w:val="decimal"/>
      <w:isLgl/>
      <w:lvlText w:val="%1.%2"/>
      <w:lvlJc w:val="left"/>
      <w:pPr>
        <w:ind w:left="740" w:hanging="360"/>
      </w:pPr>
      <w:rPr>
        <w:rFonts w:hint="default"/>
      </w:rPr>
    </w:lvl>
    <w:lvl w:ilvl="2">
      <w:start w:val="1"/>
      <w:numFmt w:val="decimal"/>
      <w:isLgl/>
      <w:lvlText w:val="%1.%2.%3"/>
      <w:lvlJc w:val="left"/>
      <w:pPr>
        <w:ind w:left="1100" w:hanging="720"/>
      </w:pPr>
      <w:rPr>
        <w:rFonts w:hint="default"/>
      </w:rPr>
    </w:lvl>
    <w:lvl w:ilvl="3">
      <w:start w:val="1"/>
      <w:numFmt w:val="decimal"/>
      <w:isLgl/>
      <w:lvlText w:val="%1.%2.%3.%4"/>
      <w:lvlJc w:val="left"/>
      <w:pPr>
        <w:ind w:left="1100" w:hanging="720"/>
      </w:pPr>
      <w:rPr>
        <w:rFonts w:hint="default"/>
      </w:rPr>
    </w:lvl>
    <w:lvl w:ilvl="4">
      <w:start w:val="1"/>
      <w:numFmt w:val="decimal"/>
      <w:isLgl/>
      <w:lvlText w:val="%1.%2.%3.%4.%5"/>
      <w:lvlJc w:val="left"/>
      <w:pPr>
        <w:ind w:left="1100" w:hanging="720"/>
      </w:pPr>
      <w:rPr>
        <w:rFonts w:hint="default"/>
      </w:rPr>
    </w:lvl>
    <w:lvl w:ilvl="5">
      <w:start w:val="1"/>
      <w:numFmt w:val="decimal"/>
      <w:isLgl/>
      <w:lvlText w:val="%1.%2.%3.%4.%5.%6"/>
      <w:lvlJc w:val="left"/>
      <w:pPr>
        <w:ind w:left="1460" w:hanging="1080"/>
      </w:pPr>
      <w:rPr>
        <w:rFonts w:hint="default"/>
      </w:rPr>
    </w:lvl>
    <w:lvl w:ilvl="6">
      <w:start w:val="1"/>
      <w:numFmt w:val="decimal"/>
      <w:isLgl/>
      <w:lvlText w:val="%1.%2.%3.%4.%5.%6.%7"/>
      <w:lvlJc w:val="left"/>
      <w:pPr>
        <w:ind w:left="1460" w:hanging="1080"/>
      </w:pPr>
      <w:rPr>
        <w:rFonts w:hint="default"/>
      </w:rPr>
    </w:lvl>
    <w:lvl w:ilvl="7">
      <w:start w:val="1"/>
      <w:numFmt w:val="decimal"/>
      <w:isLgl/>
      <w:lvlText w:val="%1.%2.%3.%4.%5.%6.%7.%8"/>
      <w:lvlJc w:val="left"/>
      <w:pPr>
        <w:ind w:left="1460" w:hanging="1080"/>
      </w:pPr>
      <w:rPr>
        <w:rFonts w:hint="default"/>
      </w:rPr>
    </w:lvl>
    <w:lvl w:ilvl="8">
      <w:start w:val="1"/>
      <w:numFmt w:val="decimal"/>
      <w:isLgl/>
      <w:lvlText w:val="%1.%2.%3.%4.%5.%6.%7.%8.%9"/>
      <w:lvlJc w:val="left"/>
      <w:pPr>
        <w:ind w:left="1820" w:hanging="1440"/>
      </w:pPr>
      <w:rPr>
        <w:rFonts w:hint="default"/>
      </w:rPr>
    </w:lvl>
  </w:abstractNum>
  <w:abstractNum w:abstractNumId="334" w15:restartNumberingAfterBreak="0">
    <w:nsid w:val="5D03182B"/>
    <w:multiLevelType w:val="multilevel"/>
    <w:tmpl w:val="21E6CA7C"/>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3"/>
        <w:w w:val="100"/>
        <w:position w:val="0"/>
        <w:sz w:val="24"/>
        <w:szCs w:val="24"/>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5" w15:restartNumberingAfterBreak="0">
    <w:nsid w:val="5D571A9C"/>
    <w:multiLevelType w:val="multilevel"/>
    <w:tmpl w:val="9882312E"/>
    <w:lvl w:ilvl="0">
      <w:start w:val="1"/>
      <w:numFmt w:val="decimal"/>
      <w:lvlText w:val="10.5.%1."/>
      <w:lvlJc w:val="left"/>
      <w:rPr>
        <w:rFonts w:ascii="Times New Roman" w:eastAsia="Times New Roman" w:hAnsi="Times New Roman" w:cs="Times New Roman"/>
        <w:b w:val="0"/>
        <w:bCs w:val="0"/>
        <w:i w:val="0"/>
        <w:iCs w:val="0"/>
        <w:smallCaps w:val="0"/>
        <w:strike w:val="0"/>
        <w:color w:val="000000"/>
        <w:spacing w:val="3"/>
        <w:w w:val="100"/>
        <w:position w:val="0"/>
        <w:sz w:val="24"/>
        <w:szCs w:val="24"/>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6" w15:restartNumberingAfterBreak="0">
    <w:nsid w:val="5D91515E"/>
    <w:multiLevelType w:val="multilevel"/>
    <w:tmpl w:val="946EE6E6"/>
    <w:lvl w:ilvl="0">
      <w:start w:val="2"/>
      <w:numFmt w:val="decimal"/>
      <w:lvlText w:val="8.1.11.2.%1."/>
      <w:lvlJc w:val="left"/>
      <w:rPr>
        <w:rFonts w:ascii="Times New Roman" w:eastAsia="Times New Roman" w:hAnsi="Times New Roman" w:cs="Times New Roman"/>
        <w:b w:val="0"/>
        <w:bCs w:val="0"/>
        <w:i w:val="0"/>
        <w:iCs w:val="0"/>
        <w:smallCaps w:val="0"/>
        <w:strike w:val="0"/>
        <w:color w:val="000000"/>
        <w:spacing w:val="3"/>
        <w:w w:val="100"/>
        <w:position w:val="0"/>
        <w:sz w:val="24"/>
        <w:szCs w:val="24"/>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7" w15:restartNumberingAfterBreak="0">
    <w:nsid w:val="5DA42B2D"/>
    <w:multiLevelType w:val="multilevel"/>
    <w:tmpl w:val="D6864A7C"/>
    <w:lvl w:ilvl="0">
      <w:start w:val="1"/>
      <w:numFmt w:val="decimal"/>
      <w:lvlText w:val="8.1.11.5.%1."/>
      <w:lvlJc w:val="left"/>
      <w:rPr>
        <w:rFonts w:ascii="Times New Roman" w:eastAsia="Times New Roman" w:hAnsi="Times New Roman" w:cs="Times New Roman"/>
        <w:b w:val="0"/>
        <w:bCs w:val="0"/>
        <w:i w:val="0"/>
        <w:iCs w:val="0"/>
        <w:smallCaps w:val="0"/>
        <w:strike w:val="0"/>
        <w:color w:val="000000"/>
        <w:spacing w:val="3"/>
        <w:w w:val="100"/>
        <w:position w:val="0"/>
        <w:sz w:val="24"/>
        <w:szCs w:val="24"/>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8" w15:restartNumberingAfterBreak="0">
    <w:nsid w:val="5DA83CB4"/>
    <w:multiLevelType w:val="multilevel"/>
    <w:tmpl w:val="F5660B9A"/>
    <w:lvl w:ilvl="0">
      <w:start w:val="1"/>
      <w:numFmt w:val="lowerLetter"/>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3"/>
        <w:w w:val="100"/>
        <w:position w:val="0"/>
        <w:sz w:val="24"/>
        <w:szCs w:val="24"/>
        <w:u w:val="none"/>
        <w:lang w:val="en-U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39" w15:restartNumberingAfterBreak="0">
    <w:nsid w:val="5DB82E92"/>
    <w:multiLevelType w:val="multilevel"/>
    <w:tmpl w:val="0E8A2AAC"/>
    <w:lvl w:ilvl="0">
      <w:start w:val="1"/>
      <w:numFmt w:val="lowerLetter"/>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3"/>
        <w:w w:val="100"/>
        <w:position w:val="0"/>
        <w:sz w:val="24"/>
        <w:szCs w:val="24"/>
        <w:u w:val="none"/>
        <w:lang w:val="en-U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40" w15:restartNumberingAfterBreak="0">
    <w:nsid w:val="5DC62DFB"/>
    <w:multiLevelType w:val="multilevel"/>
    <w:tmpl w:val="69F8C57A"/>
    <w:lvl w:ilvl="0">
      <w:start w:val="1"/>
      <w:numFmt w:val="decimal"/>
      <w:lvlText w:val="5.2.6.%1"/>
      <w:lvlJc w:val="left"/>
      <w:pPr>
        <w:ind w:left="0" w:firstLine="0"/>
      </w:pPr>
      <w:rPr>
        <w:rFonts w:ascii="Times New Roman" w:eastAsia="Times New Roman" w:hAnsi="Times New Roman" w:cs="Times New Roman"/>
        <w:b w:val="0"/>
        <w:bCs w:val="0"/>
        <w:i w:val="0"/>
        <w:iCs w:val="0"/>
        <w:smallCaps w:val="0"/>
        <w:strike w:val="0"/>
        <w:dstrike w:val="0"/>
        <w:color w:val="000000"/>
        <w:spacing w:val="3"/>
        <w:w w:val="100"/>
        <w:position w:val="0"/>
        <w:sz w:val="24"/>
        <w:szCs w:val="24"/>
        <w:u w:val="none"/>
        <w:lang w:val="en-U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41" w15:restartNumberingAfterBreak="0">
    <w:nsid w:val="5E1B7BC0"/>
    <w:multiLevelType w:val="multilevel"/>
    <w:tmpl w:val="5C2C65F4"/>
    <w:lvl w:ilvl="0">
      <w:start w:val="1"/>
      <w:numFmt w:val="decimal"/>
      <w:lvlText w:val="8.1.13.1.%1."/>
      <w:lvlJc w:val="left"/>
      <w:rPr>
        <w:rFonts w:ascii="Times New Roman" w:eastAsia="Times New Roman" w:hAnsi="Times New Roman" w:cs="Times New Roman"/>
        <w:b w:val="0"/>
        <w:bCs w:val="0"/>
        <w:i w:val="0"/>
        <w:iCs w:val="0"/>
        <w:smallCaps w:val="0"/>
        <w:strike w:val="0"/>
        <w:color w:val="000000"/>
        <w:spacing w:val="3"/>
        <w:w w:val="100"/>
        <w:position w:val="0"/>
        <w:sz w:val="24"/>
        <w:szCs w:val="24"/>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2" w15:restartNumberingAfterBreak="0">
    <w:nsid w:val="5E244F8B"/>
    <w:multiLevelType w:val="multilevel"/>
    <w:tmpl w:val="2620FDDA"/>
    <w:lvl w:ilvl="0">
      <w:start w:val="6"/>
      <w:numFmt w:val="lowerRoman"/>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3"/>
        <w:w w:val="100"/>
        <w:position w:val="0"/>
        <w:sz w:val="24"/>
        <w:szCs w:val="24"/>
        <w:u w:val="none"/>
        <w:lang w:val="en-U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43" w15:restartNumberingAfterBreak="0">
    <w:nsid w:val="5E744053"/>
    <w:multiLevelType w:val="multilevel"/>
    <w:tmpl w:val="3BBAE26E"/>
    <w:lvl w:ilvl="0">
      <w:start w:val="1"/>
      <w:numFmt w:val="decimal"/>
      <w:lvlText w:val="2.1.2.%1."/>
      <w:lvlJc w:val="left"/>
      <w:rPr>
        <w:rFonts w:ascii="Times New Roman" w:eastAsia="Times New Roman" w:hAnsi="Times New Roman" w:cs="Times New Roman"/>
        <w:b w:val="0"/>
        <w:bCs w:val="0"/>
        <w:i w:val="0"/>
        <w:iCs w:val="0"/>
        <w:smallCaps w:val="0"/>
        <w:strike w:val="0"/>
        <w:color w:val="000000"/>
        <w:spacing w:val="3"/>
        <w:w w:val="100"/>
        <w:position w:val="0"/>
        <w:sz w:val="24"/>
        <w:szCs w:val="24"/>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4" w15:restartNumberingAfterBreak="0">
    <w:nsid w:val="5E7A40A4"/>
    <w:multiLevelType w:val="multilevel"/>
    <w:tmpl w:val="9F5C38F2"/>
    <w:lvl w:ilvl="0">
      <w:start w:val="1"/>
      <w:numFmt w:val="decimal"/>
      <w:lvlText w:val="2.2.2.%1."/>
      <w:lvlJc w:val="left"/>
      <w:rPr>
        <w:rFonts w:ascii="Times New Roman" w:eastAsia="Times New Roman" w:hAnsi="Times New Roman" w:cs="Times New Roman"/>
        <w:b w:val="0"/>
        <w:bCs w:val="0"/>
        <w:i w:val="0"/>
        <w:iCs w:val="0"/>
        <w:smallCaps w:val="0"/>
        <w:strike w:val="0"/>
        <w:color w:val="000000"/>
        <w:spacing w:val="3"/>
        <w:w w:val="100"/>
        <w:position w:val="0"/>
        <w:sz w:val="24"/>
        <w:szCs w:val="24"/>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5" w15:restartNumberingAfterBreak="0">
    <w:nsid w:val="5F080EF8"/>
    <w:multiLevelType w:val="multilevel"/>
    <w:tmpl w:val="45227C88"/>
    <w:lvl w:ilvl="0">
      <w:start w:val="1"/>
      <w:numFmt w:val="lowerLetter"/>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3"/>
        <w:w w:val="100"/>
        <w:position w:val="0"/>
        <w:sz w:val="24"/>
        <w:szCs w:val="24"/>
        <w:u w:val="none"/>
        <w:lang w:val="en-U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46" w15:restartNumberingAfterBreak="0">
    <w:nsid w:val="5F725D5E"/>
    <w:multiLevelType w:val="multilevel"/>
    <w:tmpl w:val="5B868202"/>
    <w:lvl w:ilvl="0">
      <w:start w:val="1"/>
      <w:numFmt w:val="decimal"/>
      <w:lvlText w:val="8.4.%1."/>
      <w:lvlJc w:val="left"/>
      <w:rPr>
        <w:rFonts w:ascii="Times New Roman" w:eastAsia="Times New Roman" w:hAnsi="Times New Roman" w:cs="Times New Roman"/>
        <w:b w:val="0"/>
        <w:bCs w:val="0"/>
        <w:i w:val="0"/>
        <w:iCs w:val="0"/>
        <w:smallCaps w:val="0"/>
        <w:strike w:val="0"/>
        <w:color w:val="000000"/>
        <w:spacing w:val="3"/>
        <w:w w:val="100"/>
        <w:position w:val="0"/>
        <w:sz w:val="24"/>
        <w:szCs w:val="24"/>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7" w15:restartNumberingAfterBreak="0">
    <w:nsid w:val="5FD6521F"/>
    <w:multiLevelType w:val="multilevel"/>
    <w:tmpl w:val="AC1C4724"/>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3"/>
        <w:w w:val="100"/>
        <w:position w:val="0"/>
        <w:sz w:val="24"/>
        <w:szCs w:val="24"/>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8" w15:restartNumberingAfterBreak="0">
    <w:nsid w:val="606C4AA0"/>
    <w:multiLevelType w:val="multilevel"/>
    <w:tmpl w:val="6E74DD26"/>
    <w:lvl w:ilvl="0">
      <w:start w:val="1"/>
      <w:numFmt w:val="decimal"/>
      <w:lvlText w:val="13.4.%1."/>
      <w:lvlJc w:val="left"/>
      <w:rPr>
        <w:rFonts w:ascii="Times New Roman" w:eastAsia="Times New Roman" w:hAnsi="Times New Roman" w:cs="Times New Roman"/>
        <w:b w:val="0"/>
        <w:bCs w:val="0"/>
        <w:i w:val="0"/>
        <w:iCs w:val="0"/>
        <w:smallCaps w:val="0"/>
        <w:strike w:val="0"/>
        <w:color w:val="000000"/>
        <w:spacing w:val="3"/>
        <w:w w:val="100"/>
        <w:position w:val="0"/>
        <w:sz w:val="24"/>
        <w:szCs w:val="24"/>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9" w15:restartNumberingAfterBreak="0">
    <w:nsid w:val="607D5B43"/>
    <w:multiLevelType w:val="multilevel"/>
    <w:tmpl w:val="4422213E"/>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5"/>
        <w:w w:val="100"/>
        <w:position w:val="0"/>
        <w:sz w:val="24"/>
        <w:szCs w:val="24"/>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0" w15:restartNumberingAfterBreak="0">
    <w:nsid w:val="609879C8"/>
    <w:multiLevelType w:val="multilevel"/>
    <w:tmpl w:val="3A7627E0"/>
    <w:lvl w:ilvl="0">
      <w:start w:val="7"/>
      <w:numFmt w:val="decimal"/>
      <w:lvlText w:val="%1."/>
      <w:lvlJc w:val="left"/>
      <w:pPr>
        <w:ind w:left="360" w:hanging="360"/>
      </w:pPr>
      <w:rPr>
        <w:rFonts w:hint="default"/>
      </w:rPr>
    </w:lvl>
    <w:lvl w:ilvl="1">
      <w:start w:val="7"/>
      <w:numFmt w:val="decimal"/>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51" w15:restartNumberingAfterBreak="0">
    <w:nsid w:val="60FC6499"/>
    <w:multiLevelType w:val="multilevel"/>
    <w:tmpl w:val="60FC6499"/>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2" w15:restartNumberingAfterBreak="0">
    <w:nsid w:val="612D40DD"/>
    <w:multiLevelType w:val="multilevel"/>
    <w:tmpl w:val="7AD84856"/>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b/>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747"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3" w15:restartNumberingAfterBreak="0">
    <w:nsid w:val="61693653"/>
    <w:multiLevelType w:val="multilevel"/>
    <w:tmpl w:val="78E42BDC"/>
    <w:lvl w:ilvl="0">
      <w:start w:val="1"/>
      <w:numFmt w:val="lowerLetter"/>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3"/>
        <w:w w:val="100"/>
        <w:position w:val="0"/>
        <w:sz w:val="24"/>
        <w:szCs w:val="24"/>
        <w:u w:val="none"/>
        <w:lang w:val="en-U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54" w15:restartNumberingAfterBreak="0">
    <w:nsid w:val="616A6367"/>
    <w:multiLevelType w:val="multilevel"/>
    <w:tmpl w:val="8B0CD3C0"/>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3"/>
        <w:w w:val="100"/>
        <w:position w:val="0"/>
        <w:sz w:val="24"/>
        <w:szCs w:val="24"/>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5" w15:restartNumberingAfterBreak="0">
    <w:nsid w:val="619734EC"/>
    <w:multiLevelType w:val="multilevel"/>
    <w:tmpl w:val="35F8B91A"/>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3"/>
        <w:w w:val="100"/>
        <w:position w:val="0"/>
        <w:sz w:val="24"/>
        <w:szCs w:val="24"/>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6" w15:restartNumberingAfterBreak="0">
    <w:nsid w:val="61D03767"/>
    <w:multiLevelType w:val="multilevel"/>
    <w:tmpl w:val="622A718A"/>
    <w:lvl w:ilvl="0">
      <w:start w:val="2"/>
      <w:numFmt w:val="decimal"/>
      <w:lvlText w:val="2.4.%1."/>
      <w:lvlJc w:val="left"/>
      <w:rPr>
        <w:rFonts w:ascii="Times New Roman" w:eastAsia="Times New Roman" w:hAnsi="Times New Roman" w:cs="Times New Roman"/>
        <w:b w:val="0"/>
        <w:bCs w:val="0"/>
        <w:i w:val="0"/>
        <w:iCs w:val="0"/>
        <w:smallCaps w:val="0"/>
        <w:strike w:val="0"/>
        <w:color w:val="000000"/>
        <w:spacing w:val="3"/>
        <w:w w:val="100"/>
        <w:position w:val="0"/>
        <w:sz w:val="24"/>
        <w:szCs w:val="24"/>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7" w15:restartNumberingAfterBreak="0">
    <w:nsid w:val="61F65D67"/>
    <w:multiLevelType w:val="multilevel"/>
    <w:tmpl w:val="34B2FD36"/>
    <w:lvl w:ilvl="0">
      <w:start w:val="1"/>
      <w:numFmt w:val="decimal"/>
      <w:lvlText w:val="9.%1."/>
      <w:lvlJc w:val="left"/>
      <w:rPr>
        <w:rFonts w:ascii="Times New Roman" w:eastAsia="Times New Roman" w:hAnsi="Times New Roman" w:cs="Times New Roman"/>
        <w:b w:val="0"/>
        <w:bCs w:val="0"/>
        <w:i w:val="0"/>
        <w:iCs w:val="0"/>
        <w:smallCaps w:val="0"/>
        <w:strike w:val="0"/>
        <w:color w:val="000000"/>
        <w:spacing w:val="3"/>
        <w:w w:val="100"/>
        <w:position w:val="0"/>
        <w:sz w:val="24"/>
        <w:szCs w:val="24"/>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8" w15:restartNumberingAfterBreak="0">
    <w:nsid w:val="623A28B6"/>
    <w:multiLevelType w:val="multilevel"/>
    <w:tmpl w:val="86BA31FE"/>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3"/>
        <w:w w:val="100"/>
        <w:position w:val="0"/>
        <w:sz w:val="24"/>
        <w:szCs w:val="24"/>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9" w15:restartNumberingAfterBreak="0">
    <w:nsid w:val="623E2695"/>
    <w:multiLevelType w:val="multilevel"/>
    <w:tmpl w:val="341A3F14"/>
    <w:lvl w:ilvl="0">
      <w:start w:val="1"/>
      <w:numFmt w:val="decimal"/>
      <w:lvlText w:val="2.2.4.%1."/>
      <w:lvlJc w:val="left"/>
      <w:rPr>
        <w:rFonts w:ascii="Times New Roman" w:eastAsia="Times New Roman" w:hAnsi="Times New Roman" w:cs="Times New Roman"/>
        <w:b w:val="0"/>
        <w:bCs w:val="0"/>
        <w:i w:val="0"/>
        <w:iCs w:val="0"/>
        <w:smallCaps w:val="0"/>
        <w:strike w:val="0"/>
        <w:color w:val="000000"/>
        <w:spacing w:val="2"/>
        <w:w w:val="100"/>
        <w:position w:val="0"/>
        <w:sz w:val="24"/>
        <w:szCs w:val="24"/>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0" w15:restartNumberingAfterBreak="0">
    <w:nsid w:val="62B74488"/>
    <w:multiLevelType w:val="multilevel"/>
    <w:tmpl w:val="C244512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3"/>
        <w:w w:val="100"/>
        <w:position w:val="0"/>
        <w:sz w:val="24"/>
        <w:szCs w:val="24"/>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1" w15:restartNumberingAfterBreak="0">
    <w:nsid w:val="62C02586"/>
    <w:multiLevelType w:val="multilevel"/>
    <w:tmpl w:val="47E0E2B8"/>
    <w:lvl w:ilvl="0">
      <w:start w:val="1"/>
      <w:numFmt w:val="decimal"/>
      <w:lvlText w:val="9.4.8.1.%1."/>
      <w:lvlJc w:val="left"/>
      <w:rPr>
        <w:rFonts w:ascii="Times New Roman" w:eastAsia="Times New Roman" w:hAnsi="Times New Roman" w:cs="Times New Roman"/>
        <w:b w:val="0"/>
        <w:bCs w:val="0"/>
        <w:i w:val="0"/>
        <w:iCs w:val="0"/>
        <w:smallCaps w:val="0"/>
        <w:strike w:val="0"/>
        <w:color w:val="000000"/>
        <w:spacing w:val="3"/>
        <w:w w:val="100"/>
        <w:position w:val="0"/>
        <w:sz w:val="24"/>
        <w:szCs w:val="24"/>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2" w15:restartNumberingAfterBreak="0">
    <w:nsid w:val="62ED6374"/>
    <w:multiLevelType w:val="multilevel"/>
    <w:tmpl w:val="4E7C6F6C"/>
    <w:lvl w:ilvl="0">
      <w:start w:val="1"/>
      <w:numFmt w:val="decimal"/>
      <w:lvlText w:val="8.1.8.4.%1."/>
      <w:lvlJc w:val="left"/>
      <w:rPr>
        <w:rFonts w:ascii="Times New Roman" w:eastAsia="Times New Roman" w:hAnsi="Times New Roman" w:cs="Times New Roman"/>
        <w:b w:val="0"/>
        <w:bCs w:val="0"/>
        <w:i w:val="0"/>
        <w:iCs w:val="0"/>
        <w:smallCaps w:val="0"/>
        <w:strike w:val="0"/>
        <w:color w:val="000000"/>
        <w:spacing w:val="3"/>
        <w:w w:val="100"/>
        <w:position w:val="0"/>
        <w:sz w:val="24"/>
        <w:szCs w:val="24"/>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3" w15:restartNumberingAfterBreak="0">
    <w:nsid w:val="633E0645"/>
    <w:multiLevelType w:val="multilevel"/>
    <w:tmpl w:val="4FF606AE"/>
    <w:lvl w:ilvl="0">
      <w:start w:val="1"/>
      <w:numFmt w:val="lowerRoman"/>
      <w:lvlText w:val="(%1)"/>
      <w:lvlJc w:val="left"/>
      <w:rPr>
        <w:rFonts w:ascii="Times New Roman" w:eastAsia="Times New Roman" w:hAnsi="Times New Roman" w:cs="Times New Roman"/>
        <w:b w:val="0"/>
        <w:bCs w:val="0"/>
        <w:i w:val="0"/>
        <w:iCs w:val="0"/>
        <w:smallCaps w:val="0"/>
        <w:strike w:val="0"/>
        <w:color w:val="000000"/>
        <w:spacing w:val="4"/>
        <w:w w:val="100"/>
        <w:position w:val="0"/>
        <w:sz w:val="24"/>
        <w:szCs w:val="24"/>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4" w15:restartNumberingAfterBreak="0">
    <w:nsid w:val="639469F3"/>
    <w:multiLevelType w:val="multilevel"/>
    <w:tmpl w:val="3F261E2C"/>
    <w:lvl w:ilvl="0">
      <w:start w:val="1"/>
      <w:numFmt w:val="lowerLetter"/>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3"/>
        <w:w w:val="100"/>
        <w:position w:val="0"/>
        <w:sz w:val="24"/>
        <w:szCs w:val="24"/>
        <w:u w:val="none"/>
        <w:lang w:val="en-U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65" w15:restartNumberingAfterBreak="0">
    <w:nsid w:val="64A555D6"/>
    <w:multiLevelType w:val="multilevel"/>
    <w:tmpl w:val="750E248A"/>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4"/>
        <w:w w:val="100"/>
        <w:position w:val="0"/>
        <w:sz w:val="24"/>
        <w:szCs w:val="24"/>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6" w15:restartNumberingAfterBreak="0">
    <w:nsid w:val="64AE2F73"/>
    <w:multiLevelType w:val="multilevel"/>
    <w:tmpl w:val="DC74DDFA"/>
    <w:lvl w:ilvl="0">
      <w:start w:val="1"/>
      <w:numFmt w:val="decimal"/>
      <w:lvlText w:val="9.4.8.2.%1."/>
      <w:lvlJc w:val="left"/>
      <w:rPr>
        <w:rFonts w:ascii="Times New Roman" w:eastAsia="Times New Roman" w:hAnsi="Times New Roman" w:cs="Times New Roman"/>
        <w:b w:val="0"/>
        <w:bCs w:val="0"/>
        <w:i w:val="0"/>
        <w:iCs w:val="0"/>
        <w:smallCaps w:val="0"/>
        <w:strike w:val="0"/>
        <w:color w:val="000000"/>
        <w:spacing w:val="3"/>
        <w:w w:val="100"/>
        <w:position w:val="0"/>
        <w:sz w:val="24"/>
        <w:szCs w:val="24"/>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7" w15:restartNumberingAfterBreak="0">
    <w:nsid w:val="65426B0D"/>
    <w:multiLevelType w:val="multilevel"/>
    <w:tmpl w:val="65426B0D"/>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8" w15:restartNumberingAfterBreak="0">
    <w:nsid w:val="657807A4"/>
    <w:multiLevelType w:val="multilevel"/>
    <w:tmpl w:val="C85268FC"/>
    <w:lvl w:ilvl="0">
      <w:start w:val="1"/>
      <w:numFmt w:val="lowerRoman"/>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3"/>
        <w:w w:val="100"/>
        <w:position w:val="0"/>
        <w:sz w:val="24"/>
        <w:szCs w:val="24"/>
        <w:u w:val="none"/>
        <w:lang w:val="en-U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69" w15:restartNumberingAfterBreak="0">
    <w:nsid w:val="65A40DE4"/>
    <w:multiLevelType w:val="multilevel"/>
    <w:tmpl w:val="C96A78CC"/>
    <w:lvl w:ilvl="0">
      <w:start w:val="1"/>
      <w:numFmt w:val="lowerLetter"/>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3"/>
        <w:w w:val="100"/>
        <w:position w:val="0"/>
        <w:sz w:val="24"/>
        <w:szCs w:val="24"/>
        <w:u w:val="none"/>
        <w:lang w:val="en-U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70" w15:restartNumberingAfterBreak="0">
    <w:nsid w:val="65B522B5"/>
    <w:multiLevelType w:val="multilevel"/>
    <w:tmpl w:val="2FE00EEC"/>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3"/>
        <w:w w:val="100"/>
        <w:position w:val="0"/>
        <w:sz w:val="24"/>
        <w:szCs w:val="24"/>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1" w15:restartNumberingAfterBreak="0">
    <w:nsid w:val="65CD42A5"/>
    <w:multiLevelType w:val="multilevel"/>
    <w:tmpl w:val="65CD42A5"/>
    <w:lvl w:ilvl="0">
      <w:start w:val="2"/>
      <w:numFmt w:val="decimal"/>
      <w:lvlText w:val="%1"/>
      <w:lvlJc w:val="left"/>
      <w:pPr>
        <w:ind w:left="405" w:hanging="405"/>
      </w:pPr>
      <w:rPr>
        <w:rFonts w:hint="default"/>
      </w:rPr>
    </w:lvl>
    <w:lvl w:ilvl="1">
      <w:start w:val="2"/>
      <w:numFmt w:val="decimal"/>
      <w:lvlText w:val="%1.%2"/>
      <w:lvlJc w:val="left"/>
      <w:pPr>
        <w:ind w:left="585" w:hanging="405"/>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440" w:hanging="72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160" w:hanging="108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2880" w:hanging="1440"/>
      </w:pPr>
      <w:rPr>
        <w:rFonts w:hint="default"/>
      </w:rPr>
    </w:lvl>
  </w:abstractNum>
  <w:abstractNum w:abstractNumId="372" w15:restartNumberingAfterBreak="0">
    <w:nsid w:val="66076F67"/>
    <w:multiLevelType w:val="multilevel"/>
    <w:tmpl w:val="78E8E2AC"/>
    <w:lvl w:ilvl="0">
      <w:start w:val="1"/>
      <w:numFmt w:val="decimal"/>
      <w:lvlText w:val="10.4.6.2.%1."/>
      <w:lvlJc w:val="left"/>
      <w:rPr>
        <w:rFonts w:ascii="Times New Roman" w:eastAsia="Times New Roman" w:hAnsi="Times New Roman" w:cs="Times New Roman"/>
        <w:b w:val="0"/>
        <w:bCs w:val="0"/>
        <w:i w:val="0"/>
        <w:iCs w:val="0"/>
        <w:smallCaps w:val="0"/>
        <w:strike w:val="0"/>
        <w:color w:val="000000"/>
        <w:spacing w:val="3"/>
        <w:w w:val="100"/>
        <w:position w:val="0"/>
        <w:sz w:val="24"/>
        <w:szCs w:val="24"/>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3" w15:restartNumberingAfterBreak="0">
    <w:nsid w:val="661D2459"/>
    <w:multiLevelType w:val="multilevel"/>
    <w:tmpl w:val="6372A388"/>
    <w:lvl w:ilvl="0">
      <w:start w:val="1"/>
      <w:numFmt w:val="decimal"/>
      <w:lvlText w:val="7.8.3.%1."/>
      <w:lvlJc w:val="left"/>
      <w:rPr>
        <w:rFonts w:ascii="Times New Roman" w:eastAsia="Times New Roman" w:hAnsi="Times New Roman" w:cs="Times New Roman"/>
        <w:b w:val="0"/>
        <w:bCs w:val="0"/>
        <w:i w:val="0"/>
        <w:iCs w:val="0"/>
        <w:smallCaps w:val="0"/>
        <w:strike w:val="0"/>
        <w:color w:val="000000"/>
        <w:spacing w:val="3"/>
        <w:w w:val="100"/>
        <w:position w:val="0"/>
        <w:sz w:val="24"/>
        <w:szCs w:val="24"/>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4" w15:restartNumberingAfterBreak="0">
    <w:nsid w:val="66424B64"/>
    <w:multiLevelType w:val="multilevel"/>
    <w:tmpl w:val="1986B148"/>
    <w:lvl w:ilvl="0">
      <w:start w:val="1"/>
      <w:numFmt w:val="lowerLetter"/>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3"/>
        <w:w w:val="100"/>
        <w:position w:val="0"/>
        <w:sz w:val="24"/>
        <w:szCs w:val="24"/>
        <w:u w:val="none"/>
        <w:lang w:val="en-U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75" w15:restartNumberingAfterBreak="0">
    <w:nsid w:val="66B5046B"/>
    <w:multiLevelType w:val="multilevel"/>
    <w:tmpl w:val="734EF644"/>
    <w:lvl w:ilvl="0">
      <w:start w:val="1"/>
      <w:numFmt w:val="decimal"/>
      <w:lvlText w:val="7.%1."/>
      <w:lvlJc w:val="left"/>
      <w:rPr>
        <w:rFonts w:ascii="Times New Roman" w:eastAsia="Times New Roman" w:hAnsi="Times New Roman" w:cs="Times New Roman"/>
        <w:b w:val="0"/>
        <w:bCs w:val="0"/>
        <w:i w:val="0"/>
        <w:iCs w:val="0"/>
        <w:smallCaps w:val="0"/>
        <w:strike w:val="0"/>
        <w:color w:val="000000"/>
        <w:spacing w:val="3"/>
        <w:w w:val="100"/>
        <w:position w:val="0"/>
        <w:sz w:val="24"/>
        <w:szCs w:val="24"/>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6" w15:restartNumberingAfterBreak="0">
    <w:nsid w:val="66CD0EC5"/>
    <w:multiLevelType w:val="multilevel"/>
    <w:tmpl w:val="4D448B20"/>
    <w:lvl w:ilvl="0">
      <w:start w:val="1"/>
      <w:numFmt w:val="lowerLetter"/>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3"/>
        <w:w w:val="100"/>
        <w:position w:val="0"/>
        <w:sz w:val="24"/>
        <w:szCs w:val="24"/>
        <w:u w:val="none"/>
        <w:lang w:val="en-U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77" w15:restartNumberingAfterBreak="0">
    <w:nsid w:val="66F91D66"/>
    <w:multiLevelType w:val="multilevel"/>
    <w:tmpl w:val="B6963594"/>
    <w:lvl w:ilvl="0">
      <w:start w:val="1"/>
      <w:numFmt w:val="decimal"/>
      <w:lvlText w:val="2.2.%1."/>
      <w:lvlJc w:val="left"/>
      <w:rPr>
        <w:rFonts w:ascii="Times New Roman" w:eastAsia="Times New Roman" w:hAnsi="Times New Roman" w:cs="Times New Roman"/>
        <w:b w:val="0"/>
        <w:bCs w:val="0"/>
        <w:i w:val="0"/>
        <w:iCs w:val="0"/>
        <w:smallCaps w:val="0"/>
        <w:strike w:val="0"/>
        <w:color w:val="000000"/>
        <w:spacing w:val="3"/>
        <w:w w:val="100"/>
        <w:position w:val="0"/>
        <w:sz w:val="24"/>
        <w:szCs w:val="24"/>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8" w15:restartNumberingAfterBreak="0">
    <w:nsid w:val="672E3008"/>
    <w:multiLevelType w:val="multilevel"/>
    <w:tmpl w:val="BA1E8D84"/>
    <w:lvl w:ilvl="0">
      <w:start w:val="2"/>
      <w:numFmt w:val="decimal"/>
      <w:lvlText w:val="8.%1."/>
      <w:lvlJc w:val="left"/>
      <w:rPr>
        <w:rFonts w:ascii="Times New Roman" w:eastAsia="Times New Roman" w:hAnsi="Times New Roman" w:cs="Times New Roman"/>
        <w:b w:val="0"/>
        <w:bCs w:val="0"/>
        <w:i w:val="0"/>
        <w:iCs w:val="0"/>
        <w:smallCaps w:val="0"/>
        <w:strike w:val="0"/>
        <w:color w:val="000000"/>
        <w:spacing w:val="3"/>
        <w:w w:val="100"/>
        <w:position w:val="0"/>
        <w:sz w:val="24"/>
        <w:szCs w:val="24"/>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9" w15:restartNumberingAfterBreak="0">
    <w:nsid w:val="69326951"/>
    <w:multiLevelType w:val="multilevel"/>
    <w:tmpl w:val="0F0C8EC6"/>
    <w:lvl w:ilvl="0">
      <w:start w:val="1"/>
      <w:numFmt w:val="lowerRoman"/>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3"/>
        <w:w w:val="100"/>
        <w:position w:val="0"/>
        <w:sz w:val="24"/>
        <w:szCs w:val="24"/>
        <w:u w:val="none"/>
        <w:lang w:val="en-U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80" w15:restartNumberingAfterBreak="0">
    <w:nsid w:val="69CA3265"/>
    <w:multiLevelType w:val="multilevel"/>
    <w:tmpl w:val="69CA3265"/>
    <w:lvl w:ilvl="0">
      <w:start w:val="1"/>
      <w:numFmt w:val="lowerRoman"/>
      <w:lvlText w:val="(%1)"/>
      <w:lvlJc w:val="left"/>
      <w:pPr>
        <w:ind w:left="2280" w:hanging="720"/>
      </w:pPr>
      <w:rPr>
        <w:rFonts w:hint="default"/>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381" w15:restartNumberingAfterBreak="0">
    <w:nsid w:val="6A006159"/>
    <w:multiLevelType w:val="multilevel"/>
    <w:tmpl w:val="319C9610"/>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3"/>
        <w:w w:val="100"/>
        <w:position w:val="0"/>
        <w:sz w:val="24"/>
        <w:szCs w:val="24"/>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2" w15:restartNumberingAfterBreak="0">
    <w:nsid w:val="6A383B93"/>
    <w:multiLevelType w:val="multilevel"/>
    <w:tmpl w:val="7FD2177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7"/>
        <w:szCs w:val="17"/>
        <w:u w:val="none"/>
        <w:lang w:val="en-US"/>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3"/>
        <w:w w:val="100"/>
        <w:position w:val="0"/>
        <w:sz w:val="24"/>
        <w:szCs w:val="24"/>
        <w:u w:val="none"/>
        <w:lang w:val="en-US"/>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3"/>
        <w:w w:val="100"/>
        <w:position w:val="0"/>
        <w:sz w:val="24"/>
        <w:szCs w:val="24"/>
        <w:u w:val="none"/>
        <w:lang w:val="en-US"/>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3" w15:restartNumberingAfterBreak="0">
    <w:nsid w:val="6A807480"/>
    <w:multiLevelType w:val="multilevel"/>
    <w:tmpl w:val="60AE57EC"/>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3"/>
        <w:w w:val="100"/>
        <w:position w:val="0"/>
        <w:sz w:val="24"/>
        <w:szCs w:val="24"/>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4" w15:restartNumberingAfterBreak="0">
    <w:nsid w:val="6A836D3D"/>
    <w:multiLevelType w:val="multilevel"/>
    <w:tmpl w:val="AABEF0A8"/>
    <w:lvl w:ilvl="0">
      <w:start w:val="3"/>
      <w:numFmt w:val="decimal"/>
      <w:lvlText w:val="%1."/>
      <w:lvlJc w:val="left"/>
      <w:pPr>
        <w:ind w:left="360" w:hanging="360"/>
      </w:pPr>
      <w:rPr>
        <w:rFonts w:hint="default"/>
      </w:rPr>
    </w:lvl>
    <w:lvl w:ilvl="1">
      <w:start w:val="1"/>
      <w:numFmt w:val="decimal"/>
      <w:lvlText w:val="%1.%2."/>
      <w:lvlJc w:val="left"/>
      <w:pPr>
        <w:ind w:left="481" w:hanging="360"/>
      </w:pPr>
      <w:rPr>
        <w:rFonts w:hint="default"/>
        <w:sz w:val="24"/>
        <w:szCs w:val="24"/>
      </w:rPr>
    </w:lvl>
    <w:lvl w:ilvl="2">
      <w:start w:val="1"/>
      <w:numFmt w:val="decimal"/>
      <w:lvlText w:val="%1.%2.%3."/>
      <w:lvlJc w:val="left"/>
      <w:pPr>
        <w:ind w:left="962" w:hanging="720"/>
      </w:pPr>
      <w:rPr>
        <w:rFonts w:hint="default"/>
      </w:rPr>
    </w:lvl>
    <w:lvl w:ilvl="3">
      <w:start w:val="1"/>
      <w:numFmt w:val="decimal"/>
      <w:lvlText w:val="%1.%2.%3.%4."/>
      <w:lvlJc w:val="left"/>
      <w:pPr>
        <w:ind w:left="1083" w:hanging="720"/>
      </w:pPr>
      <w:rPr>
        <w:rFonts w:hint="default"/>
      </w:rPr>
    </w:lvl>
    <w:lvl w:ilvl="4">
      <w:start w:val="1"/>
      <w:numFmt w:val="decimal"/>
      <w:lvlText w:val="%1.%2.%3.%4.%5."/>
      <w:lvlJc w:val="left"/>
      <w:pPr>
        <w:ind w:left="1204" w:hanging="720"/>
      </w:pPr>
      <w:rPr>
        <w:rFonts w:hint="default"/>
      </w:rPr>
    </w:lvl>
    <w:lvl w:ilvl="5">
      <w:start w:val="1"/>
      <w:numFmt w:val="decimal"/>
      <w:lvlText w:val="%1.%2.%3.%4.%5.%6."/>
      <w:lvlJc w:val="left"/>
      <w:pPr>
        <w:ind w:left="1685" w:hanging="1080"/>
      </w:pPr>
      <w:rPr>
        <w:rFonts w:hint="default"/>
      </w:rPr>
    </w:lvl>
    <w:lvl w:ilvl="6">
      <w:start w:val="1"/>
      <w:numFmt w:val="decimal"/>
      <w:lvlText w:val="%1.%2.%3.%4.%5.%6.%7."/>
      <w:lvlJc w:val="left"/>
      <w:pPr>
        <w:ind w:left="1806" w:hanging="1080"/>
      </w:pPr>
      <w:rPr>
        <w:rFonts w:hint="default"/>
      </w:rPr>
    </w:lvl>
    <w:lvl w:ilvl="7">
      <w:start w:val="1"/>
      <w:numFmt w:val="decimal"/>
      <w:lvlText w:val="%1.%2.%3.%4.%5.%6.%7.%8."/>
      <w:lvlJc w:val="left"/>
      <w:pPr>
        <w:ind w:left="2287" w:hanging="1440"/>
      </w:pPr>
      <w:rPr>
        <w:rFonts w:hint="default"/>
      </w:rPr>
    </w:lvl>
    <w:lvl w:ilvl="8">
      <w:start w:val="1"/>
      <w:numFmt w:val="decimal"/>
      <w:lvlText w:val="%1.%2.%3.%4.%5.%6.%7.%8.%9."/>
      <w:lvlJc w:val="left"/>
      <w:pPr>
        <w:ind w:left="2408" w:hanging="1440"/>
      </w:pPr>
      <w:rPr>
        <w:rFonts w:hint="default"/>
      </w:rPr>
    </w:lvl>
  </w:abstractNum>
  <w:abstractNum w:abstractNumId="385" w15:restartNumberingAfterBreak="0">
    <w:nsid w:val="6A9D5B7A"/>
    <w:multiLevelType w:val="multilevel"/>
    <w:tmpl w:val="E990D09C"/>
    <w:lvl w:ilvl="0">
      <w:start w:val="1"/>
      <w:numFmt w:val="decimal"/>
      <w:lvlText w:val="7.1.3.%1."/>
      <w:lvlJc w:val="left"/>
      <w:rPr>
        <w:rFonts w:ascii="Times New Roman" w:eastAsia="Times New Roman" w:hAnsi="Times New Roman" w:cs="Times New Roman"/>
        <w:b w:val="0"/>
        <w:bCs w:val="0"/>
        <w:i w:val="0"/>
        <w:iCs w:val="0"/>
        <w:smallCaps w:val="0"/>
        <w:strike w:val="0"/>
        <w:color w:val="000000"/>
        <w:spacing w:val="3"/>
        <w:w w:val="100"/>
        <w:position w:val="0"/>
        <w:sz w:val="24"/>
        <w:szCs w:val="24"/>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6" w15:restartNumberingAfterBreak="0">
    <w:nsid w:val="6AD821D9"/>
    <w:multiLevelType w:val="multilevel"/>
    <w:tmpl w:val="AF2E2B78"/>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4"/>
        <w:w w:val="100"/>
        <w:position w:val="0"/>
        <w:sz w:val="24"/>
        <w:szCs w:val="24"/>
        <w:u w:val="none"/>
        <w:lang w:val="en-U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87" w15:restartNumberingAfterBreak="0">
    <w:nsid w:val="6ADB1936"/>
    <w:multiLevelType w:val="multilevel"/>
    <w:tmpl w:val="5F5A5A76"/>
    <w:lvl w:ilvl="0">
      <w:start w:val="1"/>
      <w:numFmt w:val="lowerLetter"/>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3"/>
        <w:w w:val="100"/>
        <w:position w:val="0"/>
        <w:sz w:val="24"/>
        <w:szCs w:val="24"/>
        <w:u w:val="none"/>
        <w:lang w:val="en-U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88" w15:restartNumberingAfterBreak="0">
    <w:nsid w:val="6AE10F28"/>
    <w:multiLevelType w:val="multilevel"/>
    <w:tmpl w:val="67D034BC"/>
    <w:lvl w:ilvl="0">
      <w:start w:val="2"/>
      <w:numFmt w:val="decimal"/>
      <w:lvlText w:val="11.%1."/>
      <w:lvlJc w:val="left"/>
      <w:rPr>
        <w:rFonts w:ascii="Times New Roman" w:eastAsia="Times New Roman" w:hAnsi="Times New Roman" w:cs="Times New Roman"/>
        <w:b w:val="0"/>
        <w:bCs w:val="0"/>
        <w:i w:val="0"/>
        <w:iCs w:val="0"/>
        <w:smallCaps w:val="0"/>
        <w:strike w:val="0"/>
        <w:color w:val="000000"/>
        <w:spacing w:val="3"/>
        <w:w w:val="100"/>
        <w:position w:val="0"/>
        <w:sz w:val="24"/>
        <w:szCs w:val="24"/>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9" w15:restartNumberingAfterBreak="0">
    <w:nsid w:val="6B212F8B"/>
    <w:multiLevelType w:val="multilevel"/>
    <w:tmpl w:val="2BEC415C"/>
    <w:lvl w:ilvl="0">
      <w:start w:val="9"/>
      <w:numFmt w:val="decimal"/>
      <w:lvlText w:val="%1."/>
      <w:lvlJc w:val="left"/>
      <w:pPr>
        <w:ind w:left="468" w:hanging="468"/>
      </w:pPr>
      <w:rPr>
        <w:rFonts w:hint="default"/>
      </w:rPr>
    </w:lvl>
    <w:lvl w:ilvl="1">
      <w:start w:val="4"/>
      <w:numFmt w:val="decimal"/>
      <w:lvlText w:val="%1.%2."/>
      <w:lvlJc w:val="left"/>
      <w:pPr>
        <w:ind w:left="468" w:hanging="468"/>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90" w15:restartNumberingAfterBreak="0">
    <w:nsid w:val="6B695A13"/>
    <w:multiLevelType w:val="multilevel"/>
    <w:tmpl w:val="07720416"/>
    <w:lvl w:ilvl="0">
      <w:start w:val="1"/>
      <w:numFmt w:val="decimal"/>
      <w:lvlText w:val="%1."/>
      <w:lvlJc w:val="left"/>
      <w:rPr>
        <w:rFonts w:ascii="Times New Roman" w:eastAsia="Times New Roman" w:hAnsi="Times New Roman" w:cs="Times New Roman"/>
        <w:b/>
        <w:bCs w:val="0"/>
        <w:i w:val="0"/>
        <w:iCs w:val="0"/>
        <w:smallCaps w:val="0"/>
        <w:strike w:val="0"/>
        <w:color w:val="000000"/>
        <w:spacing w:val="3"/>
        <w:w w:val="100"/>
        <w:position w:val="0"/>
        <w:sz w:val="24"/>
        <w:szCs w:val="24"/>
        <w:u w:val="none"/>
        <w:lang w:val="en-US"/>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3"/>
        <w:w w:val="100"/>
        <w:position w:val="0"/>
        <w:sz w:val="24"/>
        <w:szCs w:val="24"/>
        <w:u w:val="none"/>
        <w:lang w:val="en-US"/>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4"/>
        <w:w w:val="100"/>
        <w:position w:val="0"/>
        <w:sz w:val="24"/>
        <w:szCs w:val="24"/>
        <w:u w:val="none"/>
        <w:lang w:val="en-US"/>
      </w:rPr>
    </w:lvl>
    <w:lvl w:ilvl="3">
      <w:start w:val="1"/>
      <w:numFmt w:val="decimal"/>
      <w:lvlText w:val="%1.%2.%3.%4."/>
      <w:lvlJc w:val="left"/>
      <w:rPr>
        <w:rFonts w:ascii="Times New Roman" w:eastAsia="Times New Roman" w:hAnsi="Times New Roman" w:cs="Times New Roman"/>
        <w:b w:val="0"/>
        <w:bCs w:val="0"/>
        <w:i w:val="0"/>
        <w:iCs w:val="0"/>
        <w:smallCaps w:val="0"/>
        <w:strike w:val="0"/>
        <w:color w:val="000000"/>
        <w:spacing w:val="4"/>
        <w:w w:val="100"/>
        <w:position w:val="0"/>
        <w:sz w:val="24"/>
        <w:szCs w:val="24"/>
        <w:u w:val="none"/>
        <w:lang w:val="en-US"/>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1" w15:restartNumberingAfterBreak="0">
    <w:nsid w:val="6B696A68"/>
    <w:multiLevelType w:val="multilevel"/>
    <w:tmpl w:val="0B1C8CBA"/>
    <w:lvl w:ilvl="0">
      <w:start w:val="1"/>
      <w:numFmt w:val="decimal"/>
      <w:lvlText w:val="9.%1."/>
      <w:lvlJc w:val="left"/>
      <w:rPr>
        <w:rFonts w:ascii="Times New Roman" w:eastAsia="Times New Roman" w:hAnsi="Times New Roman" w:cs="Times New Roman"/>
        <w:b w:val="0"/>
        <w:bCs w:val="0"/>
        <w:i w:val="0"/>
        <w:iCs w:val="0"/>
        <w:smallCaps w:val="0"/>
        <w:strike w:val="0"/>
        <w:color w:val="000000"/>
        <w:spacing w:val="3"/>
        <w:w w:val="100"/>
        <w:position w:val="0"/>
        <w:sz w:val="24"/>
        <w:szCs w:val="24"/>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2" w15:restartNumberingAfterBreak="0">
    <w:nsid w:val="6B7006E5"/>
    <w:multiLevelType w:val="multilevel"/>
    <w:tmpl w:val="9C4EEDCC"/>
    <w:lvl w:ilvl="0">
      <w:start w:val="1"/>
      <w:numFmt w:val="lowerLetter"/>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3"/>
        <w:w w:val="100"/>
        <w:position w:val="0"/>
        <w:sz w:val="24"/>
        <w:szCs w:val="24"/>
        <w:u w:val="none"/>
        <w:lang w:val="en-U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93" w15:restartNumberingAfterBreak="0">
    <w:nsid w:val="6B96233F"/>
    <w:multiLevelType w:val="multilevel"/>
    <w:tmpl w:val="9508BF7C"/>
    <w:lvl w:ilvl="0">
      <w:start w:val="1"/>
      <w:numFmt w:val="decimal"/>
      <w:lvlText w:val="9.2.%1."/>
      <w:lvlJc w:val="left"/>
      <w:pPr>
        <w:ind w:left="0" w:firstLine="0"/>
      </w:pPr>
      <w:rPr>
        <w:rFonts w:ascii="Times New Roman" w:eastAsia="Times New Roman" w:hAnsi="Times New Roman" w:cs="Times New Roman"/>
        <w:b w:val="0"/>
        <w:bCs w:val="0"/>
        <w:i w:val="0"/>
        <w:iCs w:val="0"/>
        <w:smallCaps w:val="0"/>
        <w:strike w:val="0"/>
        <w:dstrike w:val="0"/>
        <w:color w:val="000000"/>
        <w:spacing w:val="3"/>
        <w:w w:val="100"/>
        <w:position w:val="0"/>
        <w:sz w:val="24"/>
        <w:szCs w:val="24"/>
        <w:u w:val="none"/>
        <w:lang w:val="en-U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94" w15:restartNumberingAfterBreak="0">
    <w:nsid w:val="6D5C25E5"/>
    <w:multiLevelType w:val="multilevel"/>
    <w:tmpl w:val="CC86B7BC"/>
    <w:lvl w:ilvl="0">
      <w:start w:val="1"/>
      <w:numFmt w:val="decimal"/>
      <w:lvlText w:val="6.6.2.%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lang w:val="en-U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95" w15:restartNumberingAfterBreak="0">
    <w:nsid w:val="6D6F1274"/>
    <w:multiLevelType w:val="multilevel"/>
    <w:tmpl w:val="93582E50"/>
    <w:lvl w:ilvl="0">
      <w:start w:val="1"/>
      <w:numFmt w:val="decimal"/>
      <w:lvlText w:val="11.3.%1."/>
      <w:lvlJc w:val="left"/>
      <w:rPr>
        <w:rFonts w:ascii="Times New Roman" w:eastAsia="Times New Roman" w:hAnsi="Times New Roman" w:cs="Times New Roman"/>
        <w:b w:val="0"/>
        <w:bCs w:val="0"/>
        <w:i w:val="0"/>
        <w:iCs w:val="0"/>
        <w:smallCaps w:val="0"/>
        <w:strike w:val="0"/>
        <w:color w:val="000000"/>
        <w:spacing w:val="3"/>
        <w:w w:val="100"/>
        <w:position w:val="0"/>
        <w:sz w:val="24"/>
        <w:szCs w:val="24"/>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6" w15:restartNumberingAfterBreak="0">
    <w:nsid w:val="6DCC7514"/>
    <w:multiLevelType w:val="multilevel"/>
    <w:tmpl w:val="4F283812"/>
    <w:lvl w:ilvl="0">
      <w:start w:val="2"/>
      <w:numFmt w:val="lowerLetter"/>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3"/>
        <w:w w:val="100"/>
        <w:position w:val="0"/>
        <w:sz w:val="24"/>
        <w:szCs w:val="24"/>
        <w:u w:val="none"/>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397" w15:restartNumberingAfterBreak="0">
    <w:nsid w:val="6DDE2A40"/>
    <w:multiLevelType w:val="multilevel"/>
    <w:tmpl w:val="701660C6"/>
    <w:lvl w:ilvl="0">
      <w:start w:val="1"/>
      <w:numFmt w:val="lowerRoman"/>
      <w:lvlText w:val="(%1)"/>
      <w:lvlJc w:val="left"/>
      <w:rPr>
        <w:rFonts w:ascii="Times New Roman" w:eastAsia="Times New Roman" w:hAnsi="Times New Roman" w:cs="Times New Roman"/>
        <w:b w:val="0"/>
        <w:bCs w:val="0"/>
        <w:i w:val="0"/>
        <w:iCs w:val="0"/>
        <w:smallCaps w:val="0"/>
        <w:strike w:val="0"/>
        <w:color w:val="000000"/>
        <w:spacing w:val="3"/>
        <w:w w:val="100"/>
        <w:position w:val="0"/>
        <w:sz w:val="24"/>
        <w:szCs w:val="24"/>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8" w15:restartNumberingAfterBreak="0">
    <w:nsid w:val="6E0B755D"/>
    <w:multiLevelType w:val="hybridMultilevel"/>
    <w:tmpl w:val="999689AA"/>
    <w:lvl w:ilvl="0" w:tplc="FFFFFFFF">
      <w:start w:val="1"/>
      <w:numFmt w:val="bullet"/>
      <w:lvlText w:val="–"/>
      <w:lvlJc w:val="left"/>
      <w:pPr>
        <w:ind w:left="720" w:hanging="360"/>
      </w:pPr>
      <w:rPr>
        <w:rFonts w:ascii="Times New Roman"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99" w15:restartNumberingAfterBreak="0">
    <w:nsid w:val="6E6733B8"/>
    <w:multiLevelType w:val="multilevel"/>
    <w:tmpl w:val="AEA8E14A"/>
    <w:lvl w:ilvl="0">
      <w:start w:val="1"/>
      <w:numFmt w:val="lowerRoman"/>
      <w:lvlText w:val="(%1)"/>
      <w:lvlJc w:val="left"/>
      <w:rPr>
        <w:rFonts w:ascii="Times New Roman" w:eastAsia="Times New Roman" w:hAnsi="Times New Roman" w:cs="Times New Roman"/>
        <w:b w:val="0"/>
        <w:bCs w:val="0"/>
        <w:i w:val="0"/>
        <w:iCs w:val="0"/>
        <w:smallCaps w:val="0"/>
        <w:strike w:val="0"/>
        <w:color w:val="000000"/>
        <w:spacing w:val="3"/>
        <w:w w:val="100"/>
        <w:position w:val="0"/>
        <w:sz w:val="24"/>
        <w:szCs w:val="24"/>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0" w15:restartNumberingAfterBreak="0">
    <w:nsid w:val="6E980C90"/>
    <w:multiLevelType w:val="multilevel"/>
    <w:tmpl w:val="A2F878B8"/>
    <w:lvl w:ilvl="0">
      <w:start w:val="1"/>
      <w:numFmt w:val="decimal"/>
      <w:lvlText w:val="7.3.2.%1."/>
      <w:lvlJc w:val="left"/>
      <w:rPr>
        <w:rFonts w:ascii="Times New Roman" w:eastAsia="Times New Roman" w:hAnsi="Times New Roman" w:cs="Times New Roman"/>
        <w:b w:val="0"/>
        <w:bCs w:val="0"/>
        <w:i w:val="0"/>
        <w:iCs w:val="0"/>
        <w:smallCaps w:val="0"/>
        <w:strike w:val="0"/>
        <w:color w:val="000000"/>
        <w:spacing w:val="3"/>
        <w:w w:val="100"/>
        <w:position w:val="0"/>
        <w:sz w:val="24"/>
        <w:szCs w:val="24"/>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1" w15:restartNumberingAfterBreak="0">
    <w:nsid w:val="6FD0428C"/>
    <w:multiLevelType w:val="multilevel"/>
    <w:tmpl w:val="396667B0"/>
    <w:lvl w:ilvl="0">
      <w:start w:val="1"/>
      <w:numFmt w:val="lowerLetter"/>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4"/>
        <w:w w:val="100"/>
        <w:position w:val="0"/>
        <w:sz w:val="24"/>
        <w:szCs w:val="24"/>
        <w:u w:val="none"/>
        <w:lang w:val="en-U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402" w15:restartNumberingAfterBreak="0">
    <w:nsid w:val="701E75F1"/>
    <w:multiLevelType w:val="multilevel"/>
    <w:tmpl w:val="5C688626"/>
    <w:lvl w:ilvl="0">
      <w:start w:val="1"/>
      <w:numFmt w:val="lowerRoman"/>
      <w:lvlText w:val="(%1)"/>
      <w:lvlJc w:val="left"/>
      <w:rPr>
        <w:rFonts w:ascii="Times New Roman" w:eastAsia="Times New Roman" w:hAnsi="Times New Roman" w:cs="Times New Roman"/>
        <w:b w:val="0"/>
        <w:bCs w:val="0"/>
        <w:i w:val="0"/>
        <w:iCs w:val="0"/>
        <w:smallCaps w:val="0"/>
        <w:strike w:val="0"/>
        <w:color w:val="000000"/>
        <w:spacing w:val="3"/>
        <w:w w:val="100"/>
        <w:position w:val="0"/>
        <w:sz w:val="24"/>
        <w:szCs w:val="24"/>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3" w15:restartNumberingAfterBreak="0">
    <w:nsid w:val="705B3403"/>
    <w:multiLevelType w:val="multilevel"/>
    <w:tmpl w:val="3C0E41D2"/>
    <w:lvl w:ilvl="0">
      <w:start w:val="1"/>
      <w:numFmt w:val="decimal"/>
      <w:lvlText w:val="10.3.2.%1."/>
      <w:lvlJc w:val="left"/>
      <w:rPr>
        <w:rFonts w:ascii="Times New Roman" w:eastAsia="Times New Roman" w:hAnsi="Times New Roman" w:cs="Times New Roman"/>
        <w:b w:val="0"/>
        <w:bCs w:val="0"/>
        <w:i w:val="0"/>
        <w:iCs w:val="0"/>
        <w:smallCaps w:val="0"/>
        <w:strike w:val="0"/>
        <w:color w:val="000000"/>
        <w:spacing w:val="3"/>
        <w:w w:val="100"/>
        <w:position w:val="0"/>
        <w:sz w:val="24"/>
        <w:szCs w:val="24"/>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4" w15:restartNumberingAfterBreak="0">
    <w:nsid w:val="7072176D"/>
    <w:multiLevelType w:val="multilevel"/>
    <w:tmpl w:val="F30E0E04"/>
    <w:lvl w:ilvl="0">
      <w:start w:val="1"/>
      <w:numFmt w:val="decimal"/>
      <w:lvlText w:val="7.1.1.%1."/>
      <w:lvlJc w:val="left"/>
      <w:rPr>
        <w:rFonts w:ascii="Times New Roman" w:eastAsia="Times New Roman" w:hAnsi="Times New Roman" w:cs="Times New Roman"/>
        <w:b w:val="0"/>
        <w:bCs w:val="0"/>
        <w:i w:val="0"/>
        <w:iCs w:val="0"/>
        <w:smallCaps w:val="0"/>
        <w:strike w:val="0"/>
        <w:color w:val="000000"/>
        <w:spacing w:val="3"/>
        <w:w w:val="100"/>
        <w:position w:val="0"/>
        <w:sz w:val="24"/>
        <w:szCs w:val="24"/>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5" w15:restartNumberingAfterBreak="0">
    <w:nsid w:val="70DD2002"/>
    <w:multiLevelType w:val="multilevel"/>
    <w:tmpl w:val="447C9874"/>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3"/>
        <w:w w:val="100"/>
        <w:position w:val="0"/>
        <w:sz w:val="24"/>
        <w:szCs w:val="24"/>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6" w15:restartNumberingAfterBreak="0">
    <w:nsid w:val="70EB4943"/>
    <w:multiLevelType w:val="multilevel"/>
    <w:tmpl w:val="87BA577A"/>
    <w:lvl w:ilvl="0">
      <w:start w:val="1"/>
      <w:numFmt w:val="decimal"/>
      <w:lvlText w:val="8.1.10.2.%1."/>
      <w:lvlJc w:val="left"/>
      <w:pPr>
        <w:ind w:left="0" w:firstLine="0"/>
      </w:pPr>
      <w:rPr>
        <w:rFonts w:ascii="Times New Roman" w:eastAsia="Times New Roman" w:hAnsi="Times New Roman" w:cs="Times New Roman"/>
        <w:b w:val="0"/>
        <w:bCs w:val="0"/>
        <w:i w:val="0"/>
        <w:iCs w:val="0"/>
        <w:smallCaps w:val="0"/>
        <w:strike w:val="0"/>
        <w:dstrike w:val="0"/>
        <w:color w:val="000000"/>
        <w:spacing w:val="3"/>
        <w:w w:val="100"/>
        <w:position w:val="0"/>
        <w:sz w:val="24"/>
        <w:szCs w:val="24"/>
        <w:u w:val="none"/>
        <w:lang w:val="en-U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407" w15:restartNumberingAfterBreak="0">
    <w:nsid w:val="71A47B4E"/>
    <w:multiLevelType w:val="multilevel"/>
    <w:tmpl w:val="23E08FF0"/>
    <w:lvl w:ilvl="0">
      <w:start w:val="1"/>
      <w:numFmt w:val="decimal"/>
      <w:lvlText w:val="11.4.2.1.%1."/>
      <w:lvlJc w:val="left"/>
      <w:rPr>
        <w:rFonts w:ascii="Times New Roman" w:eastAsia="Times New Roman" w:hAnsi="Times New Roman" w:cs="Times New Roman"/>
        <w:b w:val="0"/>
        <w:bCs w:val="0"/>
        <w:i w:val="0"/>
        <w:iCs w:val="0"/>
        <w:smallCaps w:val="0"/>
        <w:strike w:val="0"/>
        <w:color w:val="000000"/>
        <w:spacing w:val="3"/>
        <w:w w:val="100"/>
        <w:position w:val="0"/>
        <w:sz w:val="24"/>
        <w:szCs w:val="24"/>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8" w15:restartNumberingAfterBreak="0">
    <w:nsid w:val="71AA4899"/>
    <w:multiLevelType w:val="multilevel"/>
    <w:tmpl w:val="DCECD62A"/>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3"/>
        <w:w w:val="100"/>
        <w:position w:val="0"/>
        <w:sz w:val="24"/>
        <w:szCs w:val="24"/>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9" w15:restartNumberingAfterBreak="0">
    <w:nsid w:val="71C5741C"/>
    <w:multiLevelType w:val="multilevel"/>
    <w:tmpl w:val="383CC5BE"/>
    <w:lvl w:ilvl="0">
      <w:start w:val="1"/>
      <w:numFmt w:val="lowerLetter"/>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3"/>
        <w:w w:val="100"/>
        <w:position w:val="0"/>
        <w:sz w:val="24"/>
        <w:szCs w:val="24"/>
        <w:u w:val="none"/>
        <w:lang w:val="en-U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410" w15:restartNumberingAfterBreak="0">
    <w:nsid w:val="71C61A94"/>
    <w:multiLevelType w:val="multilevel"/>
    <w:tmpl w:val="51440308"/>
    <w:lvl w:ilvl="0">
      <w:start w:val="7"/>
      <w:numFmt w:val="decimal"/>
      <w:lvlText w:val="%1."/>
      <w:lvlJc w:val="left"/>
      <w:pPr>
        <w:ind w:left="0" w:firstLine="0"/>
      </w:pPr>
      <w:rPr>
        <w:rFonts w:ascii="Times New Roman" w:eastAsia="Times New Roman" w:hAnsi="Times New Roman" w:cs="Times New Roman" w:hint="default"/>
        <w:b/>
        <w:bCs w:val="0"/>
        <w:i w:val="0"/>
        <w:iCs w:val="0"/>
        <w:smallCaps w:val="0"/>
        <w:strike w:val="0"/>
        <w:color w:val="000000"/>
        <w:spacing w:val="3"/>
        <w:w w:val="100"/>
        <w:position w:val="0"/>
        <w:sz w:val="24"/>
        <w:szCs w:val="24"/>
        <w:u w:val="none"/>
      </w:rPr>
    </w:lvl>
    <w:lvl w:ilvl="1">
      <w:start w:val="1"/>
      <w:numFmt w:val="decimal"/>
      <w:lvlText w:val="%1.%2."/>
      <w:lvlJc w:val="left"/>
      <w:pPr>
        <w:ind w:left="0" w:firstLine="0"/>
      </w:pPr>
      <w:rPr>
        <w:rFonts w:ascii="Times New Roman" w:eastAsia="Times New Roman" w:hAnsi="Times New Roman" w:cs="Times New Roman" w:hint="default"/>
        <w:b w:val="0"/>
        <w:bCs w:val="0"/>
        <w:i w:val="0"/>
        <w:iCs w:val="0"/>
        <w:smallCaps w:val="0"/>
        <w:strike w:val="0"/>
        <w:color w:val="000000"/>
        <w:spacing w:val="3"/>
        <w:w w:val="100"/>
        <w:position w:val="0"/>
        <w:sz w:val="24"/>
        <w:szCs w:val="24"/>
        <w:u w:val="none"/>
      </w:rPr>
    </w:lvl>
    <w:lvl w:ilvl="2">
      <w:start w:val="1"/>
      <w:numFmt w:val="decimal"/>
      <w:lvlText w:val="%1.%2.%3."/>
      <w:lvlJc w:val="left"/>
      <w:pPr>
        <w:ind w:left="0" w:firstLine="0"/>
      </w:pPr>
      <w:rPr>
        <w:rFonts w:ascii="Times New Roman" w:eastAsia="Times New Roman" w:hAnsi="Times New Roman" w:cs="Times New Roman" w:hint="default"/>
        <w:b w:val="0"/>
        <w:bCs w:val="0"/>
        <w:i w:val="0"/>
        <w:iCs w:val="0"/>
        <w:smallCaps w:val="0"/>
        <w:strike w:val="0"/>
        <w:color w:val="000000"/>
        <w:spacing w:val="4"/>
        <w:w w:val="100"/>
        <w:position w:val="0"/>
        <w:sz w:val="24"/>
        <w:szCs w:val="24"/>
        <w:u w:val="none"/>
      </w:rPr>
    </w:lvl>
    <w:lvl w:ilvl="3">
      <w:start w:val="1"/>
      <w:numFmt w:val="decimal"/>
      <w:lvlText w:val="%1.%2.%3.%4."/>
      <w:lvlJc w:val="left"/>
      <w:pPr>
        <w:ind w:left="0" w:firstLine="0"/>
      </w:pPr>
      <w:rPr>
        <w:rFonts w:ascii="Times New Roman" w:eastAsia="Times New Roman" w:hAnsi="Times New Roman" w:cs="Times New Roman" w:hint="default"/>
        <w:b w:val="0"/>
        <w:bCs w:val="0"/>
        <w:i w:val="0"/>
        <w:iCs w:val="0"/>
        <w:smallCaps w:val="0"/>
        <w:strike w:val="0"/>
        <w:color w:val="000000"/>
        <w:spacing w:val="4"/>
        <w:w w:val="100"/>
        <w:position w:val="0"/>
        <w:sz w:val="24"/>
        <w:szCs w:val="24"/>
        <w:u w:val="none"/>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411" w15:restartNumberingAfterBreak="0">
    <w:nsid w:val="71FA4C59"/>
    <w:multiLevelType w:val="multilevel"/>
    <w:tmpl w:val="0B06448A"/>
    <w:lvl w:ilvl="0">
      <w:start w:val="1"/>
      <w:numFmt w:val="lowerRoman"/>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3"/>
        <w:w w:val="100"/>
        <w:position w:val="0"/>
        <w:sz w:val="24"/>
        <w:szCs w:val="24"/>
        <w:u w:val="none"/>
        <w:lang w:val="en-U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412" w15:restartNumberingAfterBreak="0">
    <w:nsid w:val="72032C26"/>
    <w:multiLevelType w:val="multilevel"/>
    <w:tmpl w:val="0F884D18"/>
    <w:lvl w:ilvl="0">
      <w:start w:val="2"/>
      <w:numFmt w:val="decimal"/>
      <w:lvlText w:val="2.2.4.%1."/>
      <w:lvlJc w:val="left"/>
      <w:rPr>
        <w:rFonts w:ascii="Times New Roman" w:eastAsia="Times New Roman" w:hAnsi="Times New Roman" w:cs="Times New Roman"/>
        <w:b w:val="0"/>
        <w:bCs w:val="0"/>
        <w:i w:val="0"/>
        <w:iCs w:val="0"/>
        <w:smallCaps w:val="0"/>
        <w:strike w:val="0"/>
        <w:color w:val="000000"/>
        <w:spacing w:val="3"/>
        <w:w w:val="100"/>
        <w:position w:val="0"/>
        <w:sz w:val="24"/>
        <w:szCs w:val="24"/>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3" w15:restartNumberingAfterBreak="0">
    <w:nsid w:val="729635EF"/>
    <w:multiLevelType w:val="multilevel"/>
    <w:tmpl w:val="7A2200CC"/>
    <w:lvl w:ilvl="0">
      <w:start w:val="2"/>
      <w:numFmt w:val="lowerRoman"/>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3"/>
        <w:w w:val="100"/>
        <w:position w:val="0"/>
        <w:sz w:val="24"/>
        <w:szCs w:val="24"/>
        <w:u w:val="none"/>
        <w:lang w:val="en-U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414" w15:restartNumberingAfterBreak="0">
    <w:nsid w:val="72976E40"/>
    <w:multiLevelType w:val="multilevel"/>
    <w:tmpl w:val="BE541FF8"/>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3"/>
        <w:w w:val="100"/>
        <w:position w:val="0"/>
        <w:sz w:val="24"/>
        <w:szCs w:val="24"/>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5" w15:restartNumberingAfterBreak="0">
    <w:nsid w:val="730A1881"/>
    <w:multiLevelType w:val="multilevel"/>
    <w:tmpl w:val="730A1881"/>
    <w:lvl w:ilvl="0">
      <w:start w:val="12"/>
      <w:numFmt w:val="decimal"/>
      <w:lvlText w:val="%1."/>
      <w:lvlJc w:val="left"/>
      <w:pPr>
        <w:ind w:left="405" w:hanging="405"/>
      </w:pPr>
      <w:rPr>
        <w:rFonts w:hint="default"/>
      </w:rPr>
    </w:lvl>
    <w:lvl w:ilvl="1">
      <w:start w:val="3"/>
      <w:numFmt w:val="decimal"/>
      <w:lvlText w:val="%1.%2."/>
      <w:lvlJc w:val="left"/>
      <w:pPr>
        <w:ind w:left="1125" w:hanging="40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416" w15:restartNumberingAfterBreak="0">
    <w:nsid w:val="73B242AE"/>
    <w:multiLevelType w:val="multilevel"/>
    <w:tmpl w:val="3C002836"/>
    <w:lvl w:ilvl="0">
      <w:start w:val="1"/>
      <w:numFmt w:val="decimal"/>
      <w:lvlText w:val="7.3.1.%1."/>
      <w:lvlJc w:val="left"/>
      <w:rPr>
        <w:rFonts w:ascii="Times New Roman" w:eastAsia="Times New Roman" w:hAnsi="Times New Roman" w:cs="Times New Roman"/>
        <w:b w:val="0"/>
        <w:bCs w:val="0"/>
        <w:i w:val="0"/>
        <w:iCs w:val="0"/>
        <w:smallCaps w:val="0"/>
        <w:strike w:val="0"/>
        <w:color w:val="000000"/>
        <w:spacing w:val="3"/>
        <w:w w:val="100"/>
        <w:position w:val="0"/>
        <w:sz w:val="24"/>
        <w:szCs w:val="24"/>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7" w15:restartNumberingAfterBreak="0">
    <w:nsid w:val="740406EF"/>
    <w:multiLevelType w:val="multilevel"/>
    <w:tmpl w:val="740406EF"/>
    <w:lvl w:ilvl="0">
      <w:start w:val="5"/>
      <w:numFmt w:val="decimal"/>
      <w:lvlText w:val="%1."/>
      <w:lvlJc w:val="left"/>
      <w:pPr>
        <w:ind w:left="750" w:hanging="750"/>
      </w:pPr>
      <w:rPr>
        <w:rFonts w:hint="default"/>
      </w:rPr>
    </w:lvl>
    <w:lvl w:ilvl="1">
      <w:start w:val="2"/>
      <w:numFmt w:val="decimal"/>
      <w:lvlText w:val="%1.%2."/>
      <w:lvlJc w:val="left"/>
      <w:pPr>
        <w:ind w:left="750" w:hanging="750"/>
      </w:pPr>
      <w:rPr>
        <w:rFonts w:hint="default"/>
      </w:rPr>
    </w:lvl>
    <w:lvl w:ilvl="2">
      <w:start w:val="5"/>
      <w:numFmt w:val="decimal"/>
      <w:lvlText w:val="%1.%2.%3."/>
      <w:lvlJc w:val="left"/>
      <w:pPr>
        <w:ind w:left="750" w:hanging="750"/>
      </w:pPr>
      <w:rPr>
        <w:rFonts w:hint="default"/>
      </w:rPr>
    </w:lvl>
    <w:lvl w:ilvl="3">
      <w:start w:val="1"/>
      <w:numFmt w:val="decimal"/>
      <w:lvlText w:val="%1.%2.%3.%4."/>
      <w:lvlJc w:val="left"/>
      <w:pPr>
        <w:ind w:left="750" w:hanging="750"/>
      </w:pPr>
      <w:rPr>
        <w:rFonts w:hint="default"/>
      </w:rPr>
    </w:lvl>
    <w:lvl w:ilvl="4">
      <w:start w:val="2"/>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18" w15:restartNumberingAfterBreak="0">
    <w:nsid w:val="74425FB7"/>
    <w:multiLevelType w:val="multilevel"/>
    <w:tmpl w:val="E2DE00EA"/>
    <w:lvl w:ilvl="0">
      <w:start w:val="1"/>
      <w:numFmt w:val="decimal"/>
      <w:lvlText w:val="9.3.2.%1."/>
      <w:lvlJc w:val="left"/>
      <w:pPr>
        <w:ind w:left="0" w:firstLine="0"/>
      </w:pPr>
      <w:rPr>
        <w:rFonts w:ascii="Times New Roman" w:eastAsia="Times New Roman" w:hAnsi="Times New Roman" w:cs="Times New Roman"/>
        <w:b w:val="0"/>
        <w:bCs w:val="0"/>
        <w:i w:val="0"/>
        <w:iCs w:val="0"/>
        <w:smallCaps w:val="0"/>
        <w:strike w:val="0"/>
        <w:dstrike w:val="0"/>
        <w:color w:val="000000"/>
        <w:spacing w:val="3"/>
        <w:w w:val="100"/>
        <w:position w:val="0"/>
        <w:sz w:val="24"/>
        <w:szCs w:val="24"/>
        <w:u w:val="none"/>
        <w:lang w:val="en-U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419" w15:restartNumberingAfterBreak="0">
    <w:nsid w:val="744B381F"/>
    <w:multiLevelType w:val="multilevel"/>
    <w:tmpl w:val="1F567B88"/>
    <w:lvl w:ilvl="0">
      <w:start w:val="1"/>
      <w:numFmt w:val="decimal"/>
      <w:lvlText w:val="9.1.%1."/>
      <w:lvlJc w:val="left"/>
      <w:pPr>
        <w:ind w:left="0" w:firstLine="0"/>
      </w:pPr>
      <w:rPr>
        <w:rFonts w:ascii="Times New Roman" w:eastAsia="Times New Roman" w:hAnsi="Times New Roman" w:cs="Times New Roman"/>
        <w:b w:val="0"/>
        <w:bCs w:val="0"/>
        <w:i w:val="0"/>
        <w:iCs w:val="0"/>
        <w:smallCaps w:val="0"/>
        <w:strike w:val="0"/>
        <w:dstrike w:val="0"/>
        <w:color w:val="000000"/>
        <w:spacing w:val="3"/>
        <w:w w:val="100"/>
        <w:position w:val="0"/>
        <w:sz w:val="24"/>
        <w:szCs w:val="24"/>
        <w:u w:val="none"/>
        <w:lang w:val="en-U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420" w15:restartNumberingAfterBreak="0">
    <w:nsid w:val="744F4315"/>
    <w:multiLevelType w:val="multilevel"/>
    <w:tmpl w:val="B54821CC"/>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3"/>
        <w:w w:val="100"/>
        <w:position w:val="0"/>
        <w:sz w:val="24"/>
        <w:szCs w:val="24"/>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1" w15:restartNumberingAfterBreak="0">
    <w:nsid w:val="748C6820"/>
    <w:multiLevelType w:val="multilevel"/>
    <w:tmpl w:val="674ADA56"/>
    <w:lvl w:ilvl="0">
      <w:start w:val="2"/>
      <w:numFmt w:val="decimal"/>
      <w:lvlText w:val="2.4.1.%1."/>
      <w:lvlJc w:val="left"/>
      <w:rPr>
        <w:rFonts w:ascii="Times New Roman" w:eastAsia="Times New Roman" w:hAnsi="Times New Roman" w:cs="Times New Roman"/>
        <w:b w:val="0"/>
        <w:bCs w:val="0"/>
        <w:i w:val="0"/>
        <w:iCs w:val="0"/>
        <w:smallCaps w:val="0"/>
        <w:strike w:val="0"/>
        <w:color w:val="000000"/>
        <w:spacing w:val="3"/>
        <w:w w:val="100"/>
        <w:position w:val="0"/>
        <w:sz w:val="24"/>
        <w:szCs w:val="24"/>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2" w15:restartNumberingAfterBreak="0">
    <w:nsid w:val="755B7D95"/>
    <w:multiLevelType w:val="multilevel"/>
    <w:tmpl w:val="BEDC6F26"/>
    <w:lvl w:ilvl="0">
      <w:start w:val="3"/>
      <w:numFmt w:val="decimal"/>
      <w:lvlText w:val="7.%1"/>
      <w:lvlJc w:val="left"/>
      <w:rPr>
        <w:rFonts w:ascii="Times New Roman" w:eastAsia="Times New Roman" w:hAnsi="Times New Roman" w:cs="Times New Roman"/>
        <w:b w:val="0"/>
        <w:bCs w:val="0"/>
        <w:i w:val="0"/>
        <w:iCs w:val="0"/>
        <w:smallCaps w:val="0"/>
        <w:strike w:val="0"/>
        <w:color w:val="000000"/>
        <w:spacing w:val="3"/>
        <w:w w:val="100"/>
        <w:position w:val="0"/>
        <w:sz w:val="24"/>
        <w:szCs w:val="24"/>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3" w15:restartNumberingAfterBreak="0">
    <w:nsid w:val="756F0581"/>
    <w:multiLevelType w:val="multilevel"/>
    <w:tmpl w:val="2612CA5A"/>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3"/>
        <w:w w:val="100"/>
        <w:position w:val="0"/>
        <w:sz w:val="24"/>
        <w:szCs w:val="24"/>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4" w15:restartNumberingAfterBreak="0">
    <w:nsid w:val="75CF634E"/>
    <w:multiLevelType w:val="multilevel"/>
    <w:tmpl w:val="75CF634E"/>
    <w:lvl w:ilvl="0">
      <w:start w:val="5"/>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25" w15:restartNumberingAfterBreak="0">
    <w:nsid w:val="76265981"/>
    <w:multiLevelType w:val="multilevel"/>
    <w:tmpl w:val="5DD660DA"/>
    <w:lvl w:ilvl="0">
      <w:start w:val="1"/>
      <w:numFmt w:val="decimal"/>
      <w:lvlText w:val="2.2.2.%1."/>
      <w:lvlJc w:val="left"/>
      <w:rPr>
        <w:rFonts w:ascii="Times New Roman" w:eastAsia="Times New Roman" w:hAnsi="Times New Roman" w:cs="Times New Roman"/>
        <w:b w:val="0"/>
        <w:bCs w:val="0"/>
        <w:i w:val="0"/>
        <w:iCs w:val="0"/>
        <w:smallCaps w:val="0"/>
        <w:strike w:val="0"/>
        <w:color w:val="000000"/>
        <w:spacing w:val="3"/>
        <w:w w:val="100"/>
        <w:position w:val="0"/>
        <w:sz w:val="24"/>
        <w:szCs w:val="24"/>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6" w15:restartNumberingAfterBreak="0">
    <w:nsid w:val="76446390"/>
    <w:multiLevelType w:val="multilevel"/>
    <w:tmpl w:val="522A8BD4"/>
    <w:lvl w:ilvl="0">
      <w:start w:val="8"/>
      <w:numFmt w:val="decimal"/>
      <w:lvlText w:val="8.1.%1."/>
      <w:lvlJc w:val="left"/>
      <w:rPr>
        <w:rFonts w:ascii="Times New Roman" w:eastAsia="Times New Roman" w:hAnsi="Times New Roman" w:cs="Times New Roman"/>
        <w:b w:val="0"/>
        <w:bCs w:val="0"/>
        <w:i w:val="0"/>
        <w:iCs w:val="0"/>
        <w:smallCaps w:val="0"/>
        <w:strike w:val="0"/>
        <w:color w:val="000000"/>
        <w:spacing w:val="3"/>
        <w:w w:val="100"/>
        <w:position w:val="0"/>
        <w:sz w:val="24"/>
        <w:szCs w:val="24"/>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7" w15:restartNumberingAfterBreak="0">
    <w:nsid w:val="764D38FD"/>
    <w:multiLevelType w:val="multilevel"/>
    <w:tmpl w:val="08EC804A"/>
    <w:lvl w:ilvl="0">
      <w:start w:val="1"/>
      <w:numFmt w:val="lowerLetter"/>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3"/>
        <w:w w:val="100"/>
        <w:position w:val="0"/>
        <w:sz w:val="24"/>
        <w:szCs w:val="24"/>
        <w:u w:val="none"/>
        <w:lang w:val="en-U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428" w15:restartNumberingAfterBreak="0">
    <w:nsid w:val="766266D4"/>
    <w:multiLevelType w:val="multilevel"/>
    <w:tmpl w:val="C72097B8"/>
    <w:lvl w:ilvl="0">
      <w:start w:val="1"/>
      <w:numFmt w:val="decimal"/>
      <w:lvlText w:val="11.4.2.%1."/>
      <w:lvlJc w:val="left"/>
      <w:rPr>
        <w:rFonts w:ascii="Times New Roman" w:eastAsia="Times New Roman" w:hAnsi="Times New Roman" w:cs="Times New Roman"/>
        <w:b w:val="0"/>
        <w:bCs w:val="0"/>
        <w:i w:val="0"/>
        <w:iCs w:val="0"/>
        <w:smallCaps w:val="0"/>
        <w:strike w:val="0"/>
        <w:color w:val="000000"/>
        <w:spacing w:val="3"/>
        <w:w w:val="100"/>
        <w:position w:val="0"/>
        <w:sz w:val="24"/>
        <w:szCs w:val="24"/>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9" w15:restartNumberingAfterBreak="0">
    <w:nsid w:val="76AD0F53"/>
    <w:multiLevelType w:val="multilevel"/>
    <w:tmpl w:val="8168E40A"/>
    <w:lvl w:ilvl="0">
      <w:start w:val="1"/>
      <w:numFmt w:val="lowerLetter"/>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3"/>
        <w:w w:val="100"/>
        <w:position w:val="0"/>
        <w:sz w:val="24"/>
        <w:szCs w:val="24"/>
        <w:u w:val="none"/>
        <w:lang w:val="en-U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430" w15:restartNumberingAfterBreak="0">
    <w:nsid w:val="76C23EA8"/>
    <w:multiLevelType w:val="multilevel"/>
    <w:tmpl w:val="55F6216E"/>
    <w:lvl w:ilvl="0">
      <w:start w:val="2"/>
      <w:numFmt w:val="decimal"/>
      <w:lvlText w:val="8.1.8.%1."/>
      <w:lvlJc w:val="left"/>
      <w:rPr>
        <w:rFonts w:ascii="Times New Roman" w:eastAsia="Times New Roman" w:hAnsi="Times New Roman" w:cs="Times New Roman"/>
        <w:b w:val="0"/>
        <w:bCs w:val="0"/>
        <w:i w:val="0"/>
        <w:iCs w:val="0"/>
        <w:smallCaps w:val="0"/>
        <w:strike w:val="0"/>
        <w:color w:val="000000"/>
        <w:spacing w:val="3"/>
        <w:w w:val="100"/>
        <w:position w:val="0"/>
        <w:sz w:val="24"/>
        <w:szCs w:val="24"/>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1" w15:restartNumberingAfterBreak="0">
    <w:nsid w:val="76D52951"/>
    <w:multiLevelType w:val="multilevel"/>
    <w:tmpl w:val="AFC0E586"/>
    <w:lvl w:ilvl="0">
      <w:start w:val="1"/>
      <w:numFmt w:val="decimal"/>
      <w:lvlText w:val="3.6.%1."/>
      <w:lvlJc w:val="left"/>
      <w:rPr>
        <w:rFonts w:ascii="Times New Roman" w:eastAsia="Times New Roman" w:hAnsi="Times New Roman" w:cs="Times New Roman"/>
        <w:b w:val="0"/>
        <w:bCs w:val="0"/>
        <w:i w:val="0"/>
        <w:iCs w:val="0"/>
        <w:smallCaps w:val="0"/>
        <w:strike w:val="0"/>
        <w:color w:val="000000"/>
        <w:spacing w:val="3"/>
        <w:w w:val="100"/>
        <w:position w:val="0"/>
        <w:sz w:val="24"/>
        <w:szCs w:val="24"/>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2" w15:restartNumberingAfterBreak="0">
    <w:nsid w:val="77067327"/>
    <w:multiLevelType w:val="multilevel"/>
    <w:tmpl w:val="E0E41B66"/>
    <w:lvl w:ilvl="0">
      <w:start w:val="2"/>
      <w:numFmt w:val="decimal"/>
      <w:lvlText w:val="%1."/>
      <w:lvlJc w:val="left"/>
      <w:pPr>
        <w:ind w:left="540" w:hanging="540"/>
      </w:pPr>
      <w:rPr>
        <w:rFonts w:hint="default"/>
      </w:rPr>
    </w:lvl>
    <w:lvl w:ilvl="1">
      <w:start w:val="5"/>
      <w:numFmt w:val="decimal"/>
      <w:lvlText w:val="%1.%2."/>
      <w:lvlJc w:val="left"/>
      <w:pPr>
        <w:ind w:left="1287" w:hanging="540"/>
      </w:pPr>
      <w:rPr>
        <w:rFonts w:hint="default"/>
      </w:rPr>
    </w:lvl>
    <w:lvl w:ilvl="2">
      <w:start w:val="3"/>
      <w:numFmt w:val="decimal"/>
      <w:lvlText w:val="%1.%2.%3."/>
      <w:lvlJc w:val="left"/>
      <w:pPr>
        <w:ind w:left="2214" w:hanging="720"/>
      </w:pPr>
      <w:rPr>
        <w:rFonts w:hint="default"/>
      </w:rPr>
    </w:lvl>
    <w:lvl w:ilvl="3">
      <w:start w:val="1"/>
      <w:numFmt w:val="decimal"/>
      <w:lvlText w:val="%1.%2.%3.%4."/>
      <w:lvlJc w:val="left"/>
      <w:pPr>
        <w:ind w:left="2961" w:hanging="720"/>
      </w:pPr>
      <w:rPr>
        <w:rFonts w:hint="default"/>
      </w:rPr>
    </w:lvl>
    <w:lvl w:ilvl="4">
      <w:start w:val="1"/>
      <w:numFmt w:val="decimal"/>
      <w:lvlText w:val="%1.%2.%3.%4.%5."/>
      <w:lvlJc w:val="left"/>
      <w:pPr>
        <w:ind w:left="4068" w:hanging="1080"/>
      </w:pPr>
      <w:rPr>
        <w:rFonts w:hint="default"/>
      </w:rPr>
    </w:lvl>
    <w:lvl w:ilvl="5">
      <w:start w:val="1"/>
      <w:numFmt w:val="decimal"/>
      <w:lvlText w:val="%1.%2.%3.%4.%5.%6."/>
      <w:lvlJc w:val="left"/>
      <w:pPr>
        <w:ind w:left="4815" w:hanging="1080"/>
      </w:pPr>
      <w:rPr>
        <w:rFonts w:hint="default"/>
      </w:rPr>
    </w:lvl>
    <w:lvl w:ilvl="6">
      <w:start w:val="1"/>
      <w:numFmt w:val="decimal"/>
      <w:lvlText w:val="%1.%2.%3.%4.%5.%6.%7."/>
      <w:lvlJc w:val="left"/>
      <w:pPr>
        <w:ind w:left="5922" w:hanging="1440"/>
      </w:pPr>
      <w:rPr>
        <w:rFonts w:hint="default"/>
      </w:rPr>
    </w:lvl>
    <w:lvl w:ilvl="7">
      <w:start w:val="1"/>
      <w:numFmt w:val="decimal"/>
      <w:lvlText w:val="%1.%2.%3.%4.%5.%6.%7.%8."/>
      <w:lvlJc w:val="left"/>
      <w:pPr>
        <w:ind w:left="6669" w:hanging="1440"/>
      </w:pPr>
      <w:rPr>
        <w:rFonts w:hint="default"/>
      </w:rPr>
    </w:lvl>
    <w:lvl w:ilvl="8">
      <w:start w:val="1"/>
      <w:numFmt w:val="decimal"/>
      <w:lvlText w:val="%1.%2.%3.%4.%5.%6.%7.%8.%9."/>
      <w:lvlJc w:val="left"/>
      <w:pPr>
        <w:ind w:left="7776" w:hanging="1800"/>
      </w:pPr>
      <w:rPr>
        <w:rFonts w:hint="default"/>
      </w:rPr>
    </w:lvl>
  </w:abstractNum>
  <w:abstractNum w:abstractNumId="433" w15:restartNumberingAfterBreak="0">
    <w:nsid w:val="77402689"/>
    <w:multiLevelType w:val="multilevel"/>
    <w:tmpl w:val="F60E31E8"/>
    <w:lvl w:ilvl="0">
      <w:start w:val="5"/>
      <w:numFmt w:val="decimal"/>
      <w:lvlText w:val="3.3.%1."/>
      <w:lvlJc w:val="left"/>
      <w:rPr>
        <w:rFonts w:ascii="Times New Roman" w:eastAsia="Times New Roman" w:hAnsi="Times New Roman" w:cs="Times New Roman"/>
        <w:b w:val="0"/>
        <w:bCs w:val="0"/>
        <w:i w:val="0"/>
        <w:iCs w:val="0"/>
        <w:smallCaps w:val="0"/>
        <w:strike w:val="0"/>
        <w:color w:val="000000"/>
        <w:spacing w:val="3"/>
        <w:w w:val="100"/>
        <w:position w:val="0"/>
        <w:sz w:val="24"/>
        <w:szCs w:val="24"/>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4" w15:restartNumberingAfterBreak="0">
    <w:nsid w:val="77513F25"/>
    <w:multiLevelType w:val="multilevel"/>
    <w:tmpl w:val="CF80F0AA"/>
    <w:lvl w:ilvl="0">
      <w:start w:val="1"/>
      <w:numFmt w:val="decimal"/>
      <w:lvlText w:val="11.2.2.1.%1."/>
      <w:lvlJc w:val="left"/>
      <w:rPr>
        <w:rFonts w:ascii="Times New Roman" w:eastAsia="Times New Roman" w:hAnsi="Times New Roman" w:cs="Times New Roman"/>
        <w:b w:val="0"/>
        <w:bCs w:val="0"/>
        <w:i w:val="0"/>
        <w:iCs w:val="0"/>
        <w:smallCaps w:val="0"/>
        <w:strike w:val="0"/>
        <w:color w:val="000000"/>
        <w:spacing w:val="3"/>
        <w:w w:val="100"/>
        <w:position w:val="0"/>
        <w:sz w:val="24"/>
        <w:szCs w:val="24"/>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5" w15:restartNumberingAfterBreak="0">
    <w:nsid w:val="77781255"/>
    <w:multiLevelType w:val="multilevel"/>
    <w:tmpl w:val="42A62F8E"/>
    <w:lvl w:ilvl="0">
      <w:start w:val="1"/>
      <w:numFmt w:val="decimal"/>
      <w:lvlText w:val="10.4.5.2.%1."/>
      <w:lvlJc w:val="left"/>
      <w:rPr>
        <w:rFonts w:ascii="Times New Roman" w:eastAsia="Times New Roman" w:hAnsi="Times New Roman" w:cs="Times New Roman"/>
        <w:b w:val="0"/>
        <w:bCs w:val="0"/>
        <w:i w:val="0"/>
        <w:iCs w:val="0"/>
        <w:smallCaps w:val="0"/>
        <w:strike w:val="0"/>
        <w:color w:val="000000"/>
        <w:spacing w:val="3"/>
        <w:w w:val="100"/>
        <w:position w:val="0"/>
        <w:sz w:val="24"/>
        <w:szCs w:val="24"/>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6" w15:restartNumberingAfterBreak="0">
    <w:nsid w:val="78466ACF"/>
    <w:multiLevelType w:val="multilevel"/>
    <w:tmpl w:val="DBC0E5BE"/>
    <w:lvl w:ilvl="0">
      <w:start w:val="1"/>
      <w:numFmt w:val="decimal"/>
      <w:lvlText w:val="8.1.11.%1."/>
      <w:lvlJc w:val="left"/>
      <w:rPr>
        <w:rFonts w:ascii="Times New Roman" w:eastAsia="Times New Roman" w:hAnsi="Times New Roman" w:cs="Times New Roman"/>
        <w:b w:val="0"/>
        <w:bCs w:val="0"/>
        <w:i w:val="0"/>
        <w:iCs w:val="0"/>
        <w:smallCaps w:val="0"/>
        <w:strike w:val="0"/>
        <w:color w:val="000000"/>
        <w:spacing w:val="3"/>
        <w:w w:val="100"/>
        <w:position w:val="0"/>
        <w:sz w:val="24"/>
        <w:szCs w:val="24"/>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7" w15:restartNumberingAfterBreak="0">
    <w:nsid w:val="78812FEE"/>
    <w:multiLevelType w:val="multilevel"/>
    <w:tmpl w:val="5CEAFFBA"/>
    <w:lvl w:ilvl="0">
      <w:start w:val="5"/>
      <w:numFmt w:val="decimal"/>
      <w:lvlText w:val="2.%1."/>
      <w:lvlJc w:val="left"/>
      <w:rPr>
        <w:rFonts w:ascii="Times New Roman" w:eastAsia="Times New Roman" w:hAnsi="Times New Roman" w:cs="Times New Roman"/>
        <w:b w:val="0"/>
        <w:bCs w:val="0"/>
        <w:i w:val="0"/>
        <w:iCs w:val="0"/>
        <w:smallCaps w:val="0"/>
        <w:strike w:val="0"/>
        <w:color w:val="000000"/>
        <w:spacing w:val="3"/>
        <w:w w:val="100"/>
        <w:position w:val="0"/>
        <w:sz w:val="24"/>
        <w:szCs w:val="24"/>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8" w15:restartNumberingAfterBreak="0">
    <w:nsid w:val="78A35361"/>
    <w:multiLevelType w:val="multilevel"/>
    <w:tmpl w:val="4C445BC6"/>
    <w:lvl w:ilvl="0">
      <w:start w:val="1"/>
      <w:numFmt w:val="decimal"/>
      <w:lvlText w:val="8.1.7.1.%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9" w15:restartNumberingAfterBreak="0">
    <w:nsid w:val="798A643E"/>
    <w:multiLevelType w:val="multilevel"/>
    <w:tmpl w:val="15D29CF2"/>
    <w:lvl w:ilvl="0">
      <w:start w:val="1"/>
      <w:numFmt w:val="decimal"/>
      <w:lvlText w:val="8.1.11.4.%1."/>
      <w:lvlJc w:val="left"/>
      <w:rPr>
        <w:rFonts w:ascii="Times New Roman" w:eastAsia="Times New Roman" w:hAnsi="Times New Roman" w:cs="Times New Roman"/>
        <w:b w:val="0"/>
        <w:bCs w:val="0"/>
        <w:i w:val="0"/>
        <w:iCs w:val="0"/>
        <w:smallCaps w:val="0"/>
        <w:strike w:val="0"/>
        <w:color w:val="000000"/>
        <w:spacing w:val="3"/>
        <w:w w:val="100"/>
        <w:position w:val="0"/>
        <w:sz w:val="24"/>
        <w:szCs w:val="24"/>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0" w15:restartNumberingAfterBreak="0">
    <w:nsid w:val="798F3E2B"/>
    <w:multiLevelType w:val="multilevel"/>
    <w:tmpl w:val="46361340"/>
    <w:lvl w:ilvl="0">
      <w:start w:val="1"/>
      <w:numFmt w:val="decimal"/>
      <w:lvlText w:val="9.5.%1."/>
      <w:lvlJc w:val="left"/>
      <w:rPr>
        <w:rFonts w:ascii="Times New Roman" w:eastAsia="Times New Roman" w:hAnsi="Times New Roman" w:cs="Times New Roman"/>
        <w:b w:val="0"/>
        <w:bCs w:val="0"/>
        <w:i w:val="0"/>
        <w:iCs w:val="0"/>
        <w:smallCaps w:val="0"/>
        <w:strike w:val="0"/>
        <w:color w:val="000000"/>
        <w:spacing w:val="3"/>
        <w:w w:val="100"/>
        <w:position w:val="0"/>
        <w:sz w:val="24"/>
        <w:szCs w:val="24"/>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1" w15:restartNumberingAfterBreak="0">
    <w:nsid w:val="79947647"/>
    <w:multiLevelType w:val="multilevel"/>
    <w:tmpl w:val="5F28E38E"/>
    <w:lvl w:ilvl="0">
      <w:start w:val="1"/>
      <w:numFmt w:val="decimal"/>
      <w:lvlText w:val="8.1.8.6.%1."/>
      <w:lvlJc w:val="left"/>
      <w:pPr>
        <w:ind w:left="0" w:firstLine="0"/>
      </w:pPr>
      <w:rPr>
        <w:rFonts w:ascii="Times New Roman" w:eastAsia="Times New Roman" w:hAnsi="Times New Roman" w:cs="Times New Roman"/>
        <w:b w:val="0"/>
        <w:bCs w:val="0"/>
        <w:i w:val="0"/>
        <w:iCs w:val="0"/>
        <w:smallCaps w:val="0"/>
        <w:strike w:val="0"/>
        <w:dstrike w:val="0"/>
        <w:color w:val="000000"/>
        <w:spacing w:val="3"/>
        <w:w w:val="100"/>
        <w:position w:val="0"/>
        <w:sz w:val="24"/>
        <w:szCs w:val="24"/>
        <w:u w:val="none"/>
        <w:lang w:val="en-U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442" w15:restartNumberingAfterBreak="0">
    <w:nsid w:val="7A1C57F8"/>
    <w:multiLevelType w:val="multilevel"/>
    <w:tmpl w:val="B1E095AA"/>
    <w:lvl w:ilvl="0">
      <w:start w:val="3"/>
      <w:numFmt w:val="decimal"/>
      <w:lvlText w:val="2.%1."/>
      <w:lvlJc w:val="left"/>
      <w:rPr>
        <w:rFonts w:ascii="Times New Roman" w:eastAsia="Times New Roman" w:hAnsi="Times New Roman" w:cs="Times New Roman"/>
        <w:b w:val="0"/>
        <w:bCs w:val="0"/>
        <w:i w:val="0"/>
        <w:iCs w:val="0"/>
        <w:smallCaps w:val="0"/>
        <w:strike w:val="0"/>
        <w:color w:val="000000"/>
        <w:spacing w:val="3"/>
        <w:w w:val="100"/>
        <w:position w:val="0"/>
        <w:sz w:val="24"/>
        <w:szCs w:val="24"/>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3" w15:restartNumberingAfterBreak="0">
    <w:nsid w:val="7A352159"/>
    <w:multiLevelType w:val="multilevel"/>
    <w:tmpl w:val="E4064DD8"/>
    <w:lvl w:ilvl="0">
      <w:start w:val="1"/>
      <w:numFmt w:val="lowerLetter"/>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3"/>
        <w:w w:val="100"/>
        <w:position w:val="0"/>
        <w:sz w:val="24"/>
        <w:szCs w:val="24"/>
        <w:u w:val="none"/>
        <w:lang w:val="en-U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444" w15:restartNumberingAfterBreak="0">
    <w:nsid w:val="7B246F8E"/>
    <w:multiLevelType w:val="multilevel"/>
    <w:tmpl w:val="48A0AF74"/>
    <w:lvl w:ilvl="0">
      <w:start w:val="1"/>
      <w:numFmt w:val="lowerRoman"/>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3"/>
        <w:w w:val="100"/>
        <w:position w:val="0"/>
        <w:sz w:val="24"/>
        <w:szCs w:val="24"/>
        <w:u w:val="none"/>
        <w:lang w:val="en-U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445" w15:restartNumberingAfterBreak="0">
    <w:nsid w:val="7B791219"/>
    <w:multiLevelType w:val="multilevel"/>
    <w:tmpl w:val="A680F9A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3"/>
        <w:w w:val="100"/>
        <w:position w:val="0"/>
        <w:sz w:val="24"/>
        <w:szCs w:val="24"/>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6" w15:restartNumberingAfterBreak="0">
    <w:nsid w:val="7C7A1D04"/>
    <w:multiLevelType w:val="multilevel"/>
    <w:tmpl w:val="5DF02330"/>
    <w:lvl w:ilvl="0">
      <w:start w:val="1"/>
      <w:numFmt w:val="lowerLetter"/>
      <w:lvlText w:val="(%1)"/>
      <w:lvlJc w:val="left"/>
      <w:pPr>
        <w:ind w:left="1418" w:firstLine="0"/>
      </w:pPr>
      <w:rPr>
        <w:rFonts w:ascii="Times New Roman" w:eastAsia="Times New Roman" w:hAnsi="Times New Roman" w:cs="Times New Roman"/>
        <w:b w:val="0"/>
        <w:bCs w:val="0"/>
        <w:i w:val="0"/>
        <w:iCs w:val="0"/>
        <w:smallCaps w:val="0"/>
        <w:strike w:val="0"/>
        <w:dstrike w:val="0"/>
        <w:color w:val="000000"/>
        <w:spacing w:val="3"/>
        <w:w w:val="100"/>
        <w:position w:val="0"/>
        <w:sz w:val="24"/>
        <w:szCs w:val="24"/>
        <w:u w:val="none"/>
        <w:lang w:val="en-US"/>
      </w:rPr>
    </w:lvl>
    <w:lvl w:ilvl="1">
      <w:numFmt w:val="decimal"/>
      <w:lvlText w:val=""/>
      <w:lvlJc w:val="left"/>
      <w:pPr>
        <w:ind w:left="1418" w:firstLine="0"/>
      </w:pPr>
    </w:lvl>
    <w:lvl w:ilvl="2">
      <w:numFmt w:val="decimal"/>
      <w:lvlText w:val=""/>
      <w:lvlJc w:val="left"/>
      <w:pPr>
        <w:ind w:left="1418" w:firstLine="0"/>
      </w:pPr>
    </w:lvl>
    <w:lvl w:ilvl="3">
      <w:numFmt w:val="decimal"/>
      <w:lvlText w:val=""/>
      <w:lvlJc w:val="left"/>
      <w:pPr>
        <w:ind w:left="1418" w:firstLine="0"/>
      </w:pPr>
    </w:lvl>
    <w:lvl w:ilvl="4">
      <w:numFmt w:val="decimal"/>
      <w:lvlText w:val=""/>
      <w:lvlJc w:val="left"/>
      <w:pPr>
        <w:ind w:left="1418" w:firstLine="0"/>
      </w:pPr>
    </w:lvl>
    <w:lvl w:ilvl="5">
      <w:numFmt w:val="decimal"/>
      <w:lvlText w:val=""/>
      <w:lvlJc w:val="left"/>
      <w:pPr>
        <w:ind w:left="1418" w:firstLine="0"/>
      </w:pPr>
    </w:lvl>
    <w:lvl w:ilvl="6">
      <w:numFmt w:val="decimal"/>
      <w:lvlText w:val=""/>
      <w:lvlJc w:val="left"/>
      <w:pPr>
        <w:ind w:left="1418" w:firstLine="0"/>
      </w:pPr>
    </w:lvl>
    <w:lvl w:ilvl="7">
      <w:numFmt w:val="decimal"/>
      <w:lvlText w:val=""/>
      <w:lvlJc w:val="left"/>
      <w:pPr>
        <w:ind w:left="1418" w:firstLine="0"/>
      </w:pPr>
    </w:lvl>
    <w:lvl w:ilvl="8">
      <w:numFmt w:val="decimal"/>
      <w:lvlText w:val=""/>
      <w:lvlJc w:val="left"/>
      <w:pPr>
        <w:ind w:left="1418" w:firstLine="0"/>
      </w:pPr>
    </w:lvl>
  </w:abstractNum>
  <w:abstractNum w:abstractNumId="447" w15:restartNumberingAfterBreak="0">
    <w:nsid w:val="7C7B5240"/>
    <w:multiLevelType w:val="multilevel"/>
    <w:tmpl w:val="BED47EF0"/>
    <w:lvl w:ilvl="0">
      <w:start w:val="1"/>
      <w:numFmt w:val="decimal"/>
      <w:lvlText w:val="10.4.%1."/>
      <w:lvlJc w:val="left"/>
      <w:rPr>
        <w:rFonts w:ascii="Times New Roman" w:eastAsia="Times New Roman" w:hAnsi="Times New Roman" w:cs="Times New Roman"/>
        <w:b w:val="0"/>
        <w:bCs w:val="0"/>
        <w:i w:val="0"/>
        <w:iCs w:val="0"/>
        <w:smallCaps w:val="0"/>
        <w:strike w:val="0"/>
        <w:color w:val="000000"/>
        <w:spacing w:val="3"/>
        <w:w w:val="100"/>
        <w:position w:val="0"/>
        <w:sz w:val="24"/>
        <w:szCs w:val="24"/>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8" w15:restartNumberingAfterBreak="0">
    <w:nsid w:val="7C8423AE"/>
    <w:multiLevelType w:val="multilevel"/>
    <w:tmpl w:val="1E66B460"/>
    <w:lvl w:ilvl="0">
      <w:start w:val="1"/>
      <w:numFmt w:val="decimal"/>
      <w:lvlText w:val="2.4.2.%1"/>
      <w:lvlJc w:val="left"/>
      <w:rPr>
        <w:rFonts w:ascii="Times New Roman" w:eastAsia="Times New Roman" w:hAnsi="Times New Roman" w:cs="Times New Roman"/>
        <w:b w:val="0"/>
        <w:bCs w:val="0"/>
        <w:i w:val="0"/>
        <w:iCs w:val="0"/>
        <w:smallCaps w:val="0"/>
        <w:strike w:val="0"/>
        <w:color w:val="000000"/>
        <w:spacing w:val="3"/>
        <w:w w:val="100"/>
        <w:position w:val="0"/>
        <w:sz w:val="24"/>
        <w:szCs w:val="24"/>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9" w15:restartNumberingAfterBreak="0">
    <w:nsid w:val="7C9D75FB"/>
    <w:multiLevelType w:val="multilevel"/>
    <w:tmpl w:val="E10C292A"/>
    <w:lvl w:ilvl="0">
      <w:start w:val="1"/>
      <w:numFmt w:val="decimal"/>
      <w:lvlText w:val="11.4.%1."/>
      <w:lvlJc w:val="left"/>
      <w:rPr>
        <w:rFonts w:ascii="Times New Roman" w:eastAsia="Times New Roman" w:hAnsi="Times New Roman" w:cs="Times New Roman"/>
        <w:b w:val="0"/>
        <w:bCs w:val="0"/>
        <w:i w:val="0"/>
        <w:iCs w:val="0"/>
        <w:smallCaps w:val="0"/>
        <w:strike w:val="0"/>
        <w:color w:val="000000"/>
        <w:spacing w:val="3"/>
        <w:w w:val="100"/>
        <w:position w:val="0"/>
        <w:sz w:val="24"/>
        <w:szCs w:val="24"/>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0" w15:restartNumberingAfterBreak="0">
    <w:nsid w:val="7CAB71C2"/>
    <w:multiLevelType w:val="multilevel"/>
    <w:tmpl w:val="0FE2A968"/>
    <w:lvl w:ilvl="0">
      <w:start w:val="1"/>
      <w:numFmt w:val="decimal"/>
      <w:lvlText w:val="2.1.3.4.%1."/>
      <w:lvlJc w:val="left"/>
      <w:rPr>
        <w:rFonts w:ascii="Times New Roman" w:eastAsia="Times New Roman" w:hAnsi="Times New Roman" w:cs="Times New Roman"/>
        <w:b w:val="0"/>
        <w:bCs w:val="0"/>
        <w:i w:val="0"/>
        <w:iCs w:val="0"/>
        <w:smallCaps w:val="0"/>
        <w:strike w:val="0"/>
        <w:color w:val="000000"/>
        <w:spacing w:val="3"/>
        <w:w w:val="100"/>
        <w:position w:val="0"/>
        <w:sz w:val="24"/>
        <w:szCs w:val="24"/>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1" w15:restartNumberingAfterBreak="0">
    <w:nsid w:val="7CAB7E92"/>
    <w:multiLevelType w:val="multilevel"/>
    <w:tmpl w:val="B1BCEBEA"/>
    <w:lvl w:ilvl="0">
      <w:start w:val="1"/>
      <w:numFmt w:val="lowerLetter"/>
      <w:lvlText w:val="(%1)"/>
      <w:lvlJc w:val="left"/>
      <w:pPr>
        <w:ind w:left="380" w:hanging="360"/>
      </w:pPr>
      <w:rPr>
        <w:rFonts w:hint="default"/>
      </w:rPr>
    </w:lvl>
    <w:lvl w:ilvl="1">
      <w:start w:val="1"/>
      <w:numFmt w:val="lowerLetter"/>
      <w:lvlText w:val="(%2)"/>
      <w:lvlJc w:val="left"/>
      <w:pPr>
        <w:ind w:left="1100" w:hanging="360"/>
      </w:pPr>
      <w:rPr>
        <w:rFonts w:hint="default"/>
      </w:rPr>
    </w:lvl>
    <w:lvl w:ilvl="2">
      <w:start w:val="1"/>
      <w:numFmt w:val="lowerRoman"/>
      <w:lvlText w:val="%3."/>
      <w:lvlJc w:val="right"/>
      <w:pPr>
        <w:ind w:left="1820" w:hanging="180"/>
      </w:pPr>
    </w:lvl>
    <w:lvl w:ilvl="3">
      <w:start w:val="1"/>
      <w:numFmt w:val="decimal"/>
      <w:lvlText w:val="%4."/>
      <w:lvlJc w:val="left"/>
      <w:pPr>
        <w:ind w:left="2540" w:hanging="360"/>
      </w:pPr>
    </w:lvl>
    <w:lvl w:ilvl="4">
      <w:start w:val="1"/>
      <w:numFmt w:val="lowerLetter"/>
      <w:lvlText w:val="(%5)"/>
      <w:lvlJc w:val="left"/>
      <w:pPr>
        <w:ind w:left="3260" w:hanging="360"/>
      </w:pPr>
      <w:rPr>
        <w:rFonts w:hint="default"/>
      </w:rPr>
    </w:lvl>
    <w:lvl w:ilvl="5">
      <w:start w:val="1"/>
      <w:numFmt w:val="lowerRoman"/>
      <w:lvlText w:val="%6."/>
      <w:lvlJc w:val="right"/>
      <w:pPr>
        <w:ind w:left="3980" w:hanging="180"/>
      </w:pPr>
    </w:lvl>
    <w:lvl w:ilvl="6">
      <w:start w:val="1"/>
      <w:numFmt w:val="decimal"/>
      <w:lvlText w:val="%7."/>
      <w:lvlJc w:val="left"/>
      <w:pPr>
        <w:ind w:left="4700" w:hanging="360"/>
      </w:pPr>
    </w:lvl>
    <w:lvl w:ilvl="7">
      <w:start w:val="1"/>
      <w:numFmt w:val="lowerLetter"/>
      <w:lvlText w:val="%8."/>
      <w:lvlJc w:val="left"/>
      <w:pPr>
        <w:ind w:left="5420" w:hanging="360"/>
      </w:pPr>
    </w:lvl>
    <w:lvl w:ilvl="8">
      <w:start w:val="1"/>
      <w:numFmt w:val="lowerRoman"/>
      <w:lvlText w:val="%9."/>
      <w:lvlJc w:val="right"/>
      <w:pPr>
        <w:ind w:left="6140" w:hanging="180"/>
      </w:pPr>
    </w:lvl>
  </w:abstractNum>
  <w:abstractNum w:abstractNumId="452" w15:restartNumberingAfterBreak="0">
    <w:nsid w:val="7CE707A8"/>
    <w:multiLevelType w:val="multilevel"/>
    <w:tmpl w:val="D9DAFCEA"/>
    <w:lvl w:ilvl="0">
      <w:start w:val="1"/>
      <w:numFmt w:val="lowerRoman"/>
      <w:lvlText w:val="(%1)"/>
      <w:lvlJc w:val="left"/>
      <w:rPr>
        <w:rFonts w:ascii="Times New Roman" w:eastAsia="Times New Roman" w:hAnsi="Times New Roman" w:cs="Times New Roman"/>
        <w:b w:val="0"/>
        <w:bCs w:val="0"/>
        <w:i w:val="0"/>
        <w:iCs w:val="0"/>
        <w:smallCaps w:val="0"/>
        <w:strike w:val="0"/>
        <w:color w:val="000000"/>
        <w:spacing w:val="3"/>
        <w:w w:val="100"/>
        <w:position w:val="0"/>
        <w:sz w:val="24"/>
        <w:szCs w:val="24"/>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3" w15:restartNumberingAfterBreak="0">
    <w:nsid w:val="7D1C7FA5"/>
    <w:multiLevelType w:val="multilevel"/>
    <w:tmpl w:val="D5049436"/>
    <w:lvl w:ilvl="0">
      <w:start w:val="1"/>
      <w:numFmt w:val="decimal"/>
      <w:lvlText w:val="8.1.10.%1."/>
      <w:lvlJc w:val="left"/>
      <w:pPr>
        <w:ind w:left="0" w:firstLine="0"/>
      </w:pPr>
      <w:rPr>
        <w:rFonts w:ascii="Times New Roman" w:eastAsia="Times New Roman" w:hAnsi="Times New Roman" w:cs="Times New Roman"/>
        <w:b w:val="0"/>
        <w:bCs w:val="0"/>
        <w:i w:val="0"/>
        <w:iCs w:val="0"/>
        <w:smallCaps w:val="0"/>
        <w:strike w:val="0"/>
        <w:dstrike w:val="0"/>
        <w:color w:val="000000"/>
        <w:spacing w:val="4"/>
        <w:w w:val="100"/>
        <w:position w:val="0"/>
        <w:sz w:val="24"/>
        <w:szCs w:val="24"/>
        <w:u w:val="none"/>
        <w:lang w:val="en-U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454" w15:restartNumberingAfterBreak="0">
    <w:nsid w:val="7D4764B5"/>
    <w:multiLevelType w:val="multilevel"/>
    <w:tmpl w:val="BD108BFA"/>
    <w:lvl w:ilvl="0">
      <w:start w:val="1"/>
      <w:numFmt w:val="decimal"/>
      <w:lvlText w:val="2.3.1.2.%1."/>
      <w:lvlJc w:val="left"/>
      <w:rPr>
        <w:rFonts w:ascii="Times New Roman" w:eastAsia="Times New Roman" w:hAnsi="Times New Roman" w:cs="Times New Roman"/>
        <w:b w:val="0"/>
        <w:bCs w:val="0"/>
        <w:i w:val="0"/>
        <w:iCs w:val="0"/>
        <w:smallCaps w:val="0"/>
        <w:strike w:val="0"/>
        <w:color w:val="000000"/>
        <w:spacing w:val="3"/>
        <w:w w:val="100"/>
        <w:position w:val="0"/>
        <w:sz w:val="24"/>
        <w:szCs w:val="24"/>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5" w15:restartNumberingAfterBreak="0">
    <w:nsid w:val="7DAA2D11"/>
    <w:multiLevelType w:val="multilevel"/>
    <w:tmpl w:val="5C106908"/>
    <w:lvl w:ilvl="0">
      <w:start w:val="1"/>
      <w:numFmt w:val="lowerLetter"/>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4"/>
        <w:w w:val="100"/>
        <w:position w:val="0"/>
        <w:sz w:val="24"/>
        <w:szCs w:val="24"/>
        <w:u w:val="none"/>
        <w:lang w:val="en-U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456" w15:restartNumberingAfterBreak="0">
    <w:nsid w:val="7E100BE7"/>
    <w:multiLevelType w:val="multilevel"/>
    <w:tmpl w:val="7E100BE7"/>
    <w:lvl w:ilvl="0">
      <w:start w:val="7"/>
      <w:numFmt w:val="decimal"/>
      <w:lvlText w:val="%1."/>
      <w:lvlJc w:val="left"/>
      <w:pPr>
        <w:ind w:left="600" w:hanging="600"/>
      </w:pPr>
      <w:rPr>
        <w:rFonts w:hint="default"/>
      </w:rPr>
    </w:lvl>
    <w:lvl w:ilvl="1">
      <w:start w:val="7"/>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3"/>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57" w15:restartNumberingAfterBreak="0">
    <w:nsid w:val="7E2C2017"/>
    <w:multiLevelType w:val="multilevel"/>
    <w:tmpl w:val="FA24DCE4"/>
    <w:lvl w:ilvl="0">
      <w:start w:val="1"/>
      <w:numFmt w:val="decimal"/>
      <w:lvlText w:val="6.%1."/>
      <w:lvlJc w:val="left"/>
      <w:pPr>
        <w:ind w:left="0" w:firstLine="0"/>
      </w:pPr>
      <w:rPr>
        <w:rFonts w:ascii="Times New Roman" w:eastAsia="Times New Roman" w:hAnsi="Times New Roman" w:cs="Times New Roman"/>
        <w:b w:val="0"/>
        <w:bCs w:val="0"/>
        <w:i w:val="0"/>
        <w:iCs w:val="0"/>
        <w:smallCaps w:val="0"/>
        <w:strike w:val="0"/>
        <w:dstrike w:val="0"/>
        <w:color w:val="000000"/>
        <w:spacing w:val="3"/>
        <w:w w:val="100"/>
        <w:position w:val="0"/>
        <w:sz w:val="24"/>
        <w:szCs w:val="24"/>
        <w:u w:val="none"/>
        <w:lang w:val="en-U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458" w15:restartNumberingAfterBreak="0">
    <w:nsid w:val="7F262B26"/>
    <w:multiLevelType w:val="multilevel"/>
    <w:tmpl w:val="7B3E9BE0"/>
    <w:lvl w:ilvl="0">
      <w:start w:val="1"/>
      <w:numFmt w:val="lowerLetter"/>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3"/>
        <w:w w:val="100"/>
        <w:position w:val="0"/>
        <w:sz w:val="24"/>
        <w:szCs w:val="24"/>
        <w:u w:val="none"/>
        <w:lang w:val="en-U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459" w15:restartNumberingAfterBreak="0">
    <w:nsid w:val="7F2B76E5"/>
    <w:multiLevelType w:val="hybridMultilevel"/>
    <w:tmpl w:val="E4A8A934"/>
    <w:lvl w:ilvl="0" w:tplc="FFFFFFFF">
      <w:start w:val="1"/>
      <w:numFmt w:val="bullet"/>
      <w:lvlText w:val="–"/>
      <w:lvlJc w:val="left"/>
      <w:pPr>
        <w:ind w:left="720" w:hanging="360"/>
      </w:pPr>
      <w:rPr>
        <w:rFonts w:ascii="Times New Roman"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60" w15:restartNumberingAfterBreak="0">
    <w:nsid w:val="7F6E75F9"/>
    <w:multiLevelType w:val="multilevel"/>
    <w:tmpl w:val="9C7271C6"/>
    <w:lvl w:ilvl="0">
      <w:start w:val="1"/>
      <w:numFmt w:val="decimal"/>
      <w:lvlText w:val="9.4.5.3.%1."/>
      <w:lvlJc w:val="left"/>
      <w:rPr>
        <w:rFonts w:ascii="Times New Roman" w:eastAsia="Times New Roman" w:hAnsi="Times New Roman" w:cs="Times New Roman"/>
        <w:b w:val="0"/>
        <w:bCs w:val="0"/>
        <w:i w:val="0"/>
        <w:iCs w:val="0"/>
        <w:smallCaps w:val="0"/>
        <w:strike w:val="0"/>
        <w:color w:val="000000"/>
        <w:spacing w:val="3"/>
        <w:w w:val="100"/>
        <w:position w:val="0"/>
        <w:sz w:val="24"/>
        <w:szCs w:val="24"/>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61" w15:restartNumberingAfterBreak="0">
    <w:nsid w:val="7F6E7C24"/>
    <w:multiLevelType w:val="multilevel"/>
    <w:tmpl w:val="5CBE6F5C"/>
    <w:lvl w:ilvl="0">
      <w:start w:val="2"/>
      <w:numFmt w:val="lowerLetter"/>
      <w:lvlText w:val="(%1)"/>
      <w:lvlJc w:val="left"/>
      <w:rPr>
        <w:rFonts w:ascii="Times New Roman" w:eastAsia="Times New Roman" w:hAnsi="Times New Roman" w:cs="Times New Roman"/>
        <w:b w:val="0"/>
        <w:bCs w:val="0"/>
        <w:i w:val="0"/>
        <w:iCs w:val="0"/>
        <w:smallCaps w:val="0"/>
        <w:strike w:val="0"/>
        <w:color w:val="000000"/>
        <w:spacing w:val="4"/>
        <w:w w:val="100"/>
        <w:position w:val="0"/>
        <w:sz w:val="24"/>
        <w:szCs w:val="24"/>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62" w15:restartNumberingAfterBreak="0">
    <w:nsid w:val="7F721B15"/>
    <w:multiLevelType w:val="multilevel"/>
    <w:tmpl w:val="7F721B15"/>
    <w:lvl w:ilvl="0">
      <w:start w:val="1"/>
      <w:numFmt w:val="lowerLetter"/>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3"/>
        <w:w w:val="100"/>
        <w:position w:val="0"/>
        <w:sz w:val="20"/>
        <w:szCs w:val="20"/>
        <w:u w:val="none"/>
        <w:lang w:val="en-U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463" w15:restartNumberingAfterBreak="0">
    <w:nsid w:val="7FAF1E91"/>
    <w:multiLevelType w:val="multilevel"/>
    <w:tmpl w:val="1060AF0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3"/>
        <w:w w:val="100"/>
        <w:position w:val="0"/>
        <w:sz w:val="24"/>
        <w:szCs w:val="24"/>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64" w15:restartNumberingAfterBreak="0">
    <w:nsid w:val="7FC87019"/>
    <w:multiLevelType w:val="hybridMultilevel"/>
    <w:tmpl w:val="0D22325A"/>
    <w:lvl w:ilvl="0" w:tplc="0AE0AD70">
      <w:start w:val="1"/>
      <w:numFmt w:val="decimal"/>
      <w:lvlText w:val="(%1)"/>
      <w:lvlJc w:val="left"/>
      <w:pPr>
        <w:ind w:left="720" w:hanging="360"/>
      </w:pPr>
      <w:rPr>
        <w:rFonts w:hint="default"/>
        <w:vertAlign w:val="superscrip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292"/>
  </w:num>
  <w:num w:numId="2">
    <w:abstractNumId w:val="463"/>
  </w:num>
  <w:num w:numId="3">
    <w:abstractNumId w:val="307"/>
  </w:num>
  <w:num w:numId="4">
    <w:abstractNumId w:val="124"/>
  </w:num>
  <w:num w:numId="5">
    <w:abstractNumId w:val="390"/>
  </w:num>
  <w:num w:numId="6">
    <w:abstractNumId w:val="371"/>
  </w:num>
  <w:num w:numId="7">
    <w:abstractNumId w:val="62"/>
  </w:num>
  <w:num w:numId="8">
    <w:abstractNumId w:val="442"/>
  </w:num>
  <w:num w:numId="9">
    <w:abstractNumId w:val="159"/>
  </w:num>
  <w:num w:numId="10">
    <w:abstractNumId w:val="287"/>
  </w:num>
  <w:num w:numId="11">
    <w:abstractNumId w:val="156"/>
  </w:num>
  <w:num w:numId="12">
    <w:abstractNumId w:val="227"/>
  </w:num>
  <w:num w:numId="13">
    <w:abstractNumId w:val="106"/>
  </w:num>
  <w:num w:numId="14">
    <w:abstractNumId w:val="3"/>
  </w:num>
  <w:num w:numId="15">
    <w:abstractNumId w:val="74"/>
  </w:num>
  <w:num w:numId="16">
    <w:abstractNumId w:val="43"/>
  </w:num>
  <w:num w:numId="17">
    <w:abstractNumId w:val="448"/>
  </w:num>
  <w:num w:numId="18">
    <w:abstractNumId w:val="39"/>
  </w:num>
  <w:num w:numId="19">
    <w:abstractNumId w:val="157"/>
  </w:num>
  <w:num w:numId="20">
    <w:abstractNumId w:val="32"/>
  </w:num>
  <w:num w:numId="21">
    <w:abstractNumId w:val="175"/>
  </w:num>
  <w:num w:numId="22">
    <w:abstractNumId w:val="228"/>
  </w:num>
  <w:num w:numId="23">
    <w:abstractNumId w:val="255"/>
  </w:num>
  <w:num w:numId="24">
    <w:abstractNumId w:val="9"/>
  </w:num>
  <w:num w:numId="25">
    <w:abstractNumId w:val="238"/>
  </w:num>
  <w:num w:numId="26">
    <w:abstractNumId w:val="355"/>
  </w:num>
  <w:num w:numId="27">
    <w:abstractNumId w:val="72"/>
  </w:num>
  <w:num w:numId="28">
    <w:abstractNumId w:val="286"/>
  </w:num>
  <w:num w:numId="29">
    <w:abstractNumId w:val="266"/>
  </w:num>
  <w:num w:numId="30">
    <w:abstractNumId w:val="309"/>
  </w:num>
  <w:num w:numId="31">
    <w:abstractNumId w:val="61"/>
  </w:num>
  <w:num w:numId="32">
    <w:abstractNumId w:val="375"/>
  </w:num>
  <w:num w:numId="33">
    <w:abstractNumId w:val="142"/>
  </w:num>
  <w:num w:numId="34">
    <w:abstractNumId w:val="404"/>
  </w:num>
  <w:num w:numId="35">
    <w:abstractNumId w:val="385"/>
  </w:num>
  <w:num w:numId="36">
    <w:abstractNumId w:val="422"/>
  </w:num>
  <w:num w:numId="37">
    <w:abstractNumId w:val="49"/>
  </w:num>
  <w:num w:numId="38">
    <w:abstractNumId w:val="64"/>
  </w:num>
  <w:num w:numId="39">
    <w:abstractNumId w:val="378"/>
  </w:num>
  <w:num w:numId="40">
    <w:abstractNumId w:val="131"/>
  </w:num>
  <w:num w:numId="41">
    <w:abstractNumId w:val="56"/>
  </w:num>
  <w:num w:numId="42">
    <w:abstractNumId w:val="325"/>
  </w:num>
  <w:num w:numId="43">
    <w:abstractNumId w:val="346"/>
  </w:num>
  <w:num w:numId="44">
    <w:abstractNumId w:val="357"/>
  </w:num>
  <w:num w:numId="45">
    <w:abstractNumId w:val="405"/>
  </w:num>
  <w:num w:numId="46">
    <w:abstractNumId w:val="138"/>
  </w:num>
  <w:num w:numId="47">
    <w:abstractNumId w:val="304"/>
  </w:num>
  <w:num w:numId="48">
    <w:abstractNumId w:val="150"/>
  </w:num>
  <w:num w:numId="49">
    <w:abstractNumId w:val="26"/>
  </w:num>
  <w:num w:numId="50">
    <w:abstractNumId w:val="134"/>
  </w:num>
  <w:num w:numId="51">
    <w:abstractNumId w:val="19"/>
  </w:num>
  <w:num w:numId="52">
    <w:abstractNumId w:val="163"/>
  </w:num>
  <w:num w:numId="53">
    <w:abstractNumId w:val="90"/>
  </w:num>
  <w:num w:numId="54">
    <w:abstractNumId w:val="96"/>
  </w:num>
  <w:num w:numId="55">
    <w:abstractNumId w:val="209"/>
  </w:num>
  <w:num w:numId="56">
    <w:abstractNumId w:val="69"/>
  </w:num>
  <w:num w:numId="57">
    <w:abstractNumId w:val="116"/>
  </w:num>
  <w:num w:numId="58">
    <w:abstractNumId w:val="273"/>
  </w:num>
  <w:num w:numId="59">
    <w:abstractNumId w:val="403"/>
  </w:num>
  <w:num w:numId="60">
    <w:abstractNumId w:val="114"/>
  </w:num>
  <w:num w:numId="61">
    <w:abstractNumId w:val="151"/>
  </w:num>
  <w:num w:numId="62">
    <w:abstractNumId w:val="211"/>
  </w:num>
  <w:num w:numId="63">
    <w:abstractNumId w:val="1"/>
  </w:num>
  <w:num w:numId="64">
    <w:abstractNumId w:val="202"/>
  </w:num>
  <w:num w:numId="65">
    <w:abstractNumId w:val="139"/>
  </w:num>
  <w:num w:numId="66">
    <w:abstractNumId w:val="370"/>
  </w:num>
  <w:num w:numId="67">
    <w:abstractNumId w:val="313"/>
  </w:num>
  <w:num w:numId="68">
    <w:abstractNumId w:val="65"/>
  </w:num>
  <w:num w:numId="69">
    <w:abstractNumId w:val="447"/>
  </w:num>
  <w:num w:numId="70">
    <w:abstractNumId w:val="260"/>
  </w:num>
  <w:num w:numId="71">
    <w:abstractNumId w:val="290"/>
  </w:num>
  <w:num w:numId="72">
    <w:abstractNumId w:val="256"/>
  </w:num>
  <w:num w:numId="73">
    <w:abstractNumId w:val="322"/>
  </w:num>
  <w:num w:numId="74">
    <w:abstractNumId w:val="298"/>
  </w:num>
  <w:num w:numId="75">
    <w:abstractNumId w:val="435"/>
  </w:num>
  <w:num w:numId="76">
    <w:abstractNumId w:val="10"/>
  </w:num>
  <w:num w:numId="77">
    <w:abstractNumId w:val="372"/>
  </w:num>
  <w:num w:numId="78">
    <w:abstractNumId w:val="248"/>
  </w:num>
  <w:num w:numId="79">
    <w:abstractNumId w:val="2"/>
  </w:num>
  <w:num w:numId="80">
    <w:abstractNumId w:val="335"/>
  </w:num>
  <w:num w:numId="81">
    <w:abstractNumId w:val="21"/>
  </w:num>
  <w:num w:numId="82">
    <w:abstractNumId w:val="20"/>
  </w:num>
  <w:num w:numId="83">
    <w:abstractNumId w:val="388"/>
  </w:num>
  <w:num w:numId="84">
    <w:abstractNumId w:val="11"/>
  </w:num>
  <w:num w:numId="85">
    <w:abstractNumId w:val="112"/>
  </w:num>
  <w:num w:numId="86">
    <w:abstractNumId w:val="434"/>
  </w:num>
  <w:num w:numId="87">
    <w:abstractNumId w:val="243"/>
  </w:num>
  <w:num w:numId="88">
    <w:abstractNumId w:val="395"/>
  </w:num>
  <w:num w:numId="89">
    <w:abstractNumId w:val="449"/>
  </w:num>
  <w:num w:numId="90">
    <w:abstractNumId w:val="75"/>
  </w:num>
  <w:num w:numId="91">
    <w:abstractNumId w:val="110"/>
  </w:num>
  <w:num w:numId="92">
    <w:abstractNumId w:val="332"/>
  </w:num>
  <w:num w:numId="93">
    <w:abstractNumId w:val="44"/>
  </w:num>
  <w:num w:numId="94">
    <w:abstractNumId w:val="428"/>
  </w:num>
  <w:num w:numId="95">
    <w:abstractNumId w:val="407"/>
  </w:num>
  <w:num w:numId="96">
    <w:abstractNumId w:val="365"/>
  </w:num>
  <w:num w:numId="97">
    <w:abstractNumId w:val="135"/>
  </w:num>
  <w:num w:numId="98">
    <w:abstractNumId w:val="107"/>
  </w:num>
  <w:num w:numId="99">
    <w:abstractNumId w:val="173"/>
  </w:num>
  <w:num w:numId="100">
    <w:abstractNumId w:val="461"/>
  </w:num>
  <w:num w:numId="101">
    <w:abstractNumId w:val="415"/>
  </w:num>
  <w:num w:numId="102">
    <w:abstractNumId w:val="13"/>
  </w:num>
  <w:num w:numId="103">
    <w:abstractNumId w:val="258"/>
  </w:num>
  <w:num w:numId="104">
    <w:abstractNumId w:val="102"/>
  </w:num>
  <w:num w:numId="105">
    <w:abstractNumId w:val="18"/>
  </w:num>
  <w:num w:numId="106">
    <w:abstractNumId w:val="284"/>
  </w:num>
  <w:num w:numId="107">
    <w:abstractNumId w:val="348"/>
  </w:num>
  <w:num w:numId="108">
    <w:abstractNumId w:val="190"/>
  </w:num>
  <w:num w:numId="109">
    <w:abstractNumId w:val="401"/>
    <w:lvlOverride w:ilvl="0">
      <w:startOverride w:val="1"/>
    </w:lvlOverride>
  </w:num>
  <w:num w:numId="110">
    <w:abstractNumId w:val="113"/>
    <w:lvlOverride w:ilvl="0">
      <w:startOverride w:val="1"/>
    </w:lvlOverride>
  </w:num>
  <w:num w:numId="111">
    <w:abstractNumId w:val="386"/>
  </w:num>
  <w:num w:numId="112">
    <w:abstractNumId w:val="242"/>
    <w:lvlOverride w:ilvl="0">
      <w:startOverride w:val="1"/>
    </w:lvlOverride>
    <w:lvlOverride w:ilvl="1">
      <w:startOverride w:val="1"/>
    </w:lvlOverride>
    <w:lvlOverride w:ilvl="2">
      <w:startOverride w:val="1"/>
    </w:lvlOverride>
    <w:lvlOverride w:ilvl="3">
      <w:startOverride w:val="1"/>
    </w:lvlOverride>
    <w:lvlOverride w:ilvl="4">
      <w:startOverride w:val="1"/>
    </w:lvlOverride>
  </w:num>
  <w:num w:numId="113">
    <w:abstractNumId w:val="262"/>
  </w:num>
  <w:num w:numId="114">
    <w:abstractNumId w:val="24"/>
    <w:lvlOverride w:ilvl="0">
      <w:startOverride w:val="1"/>
    </w:lvlOverride>
  </w:num>
  <w:num w:numId="115">
    <w:abstractNumId w:val="327"/>
    <w:lvlOverride w:ilvl="0">
      <w:startOverride w:val="1"/>
    </w:lvlOverride>
  </w:num>
  <w:num w:numId="116">
    <w:abstractNumId w:val="310"/>
  </w:num>
  <w:num w:numId="117">
    <w:abstractNumId w:val="458"/>
    <w:lvlOverride w:ilvl="0">
      <w:startOverride w:val="1"/>
    </w:lvlOverride>
  </w:num>
  <w:num w:numId="118">
    <w:abstractNumId w:val="380"/>
  </w:num>
  <w:num w:numId="119">
    <w:abstractNumId w:val="417"/>
  </w:num>
  <w:num w:numId="120">
    <w:abstractNumId w:val="345"/>
    <w:lvlOverride w:ilvl="0">
      <w:startOverride w:val="1"/>
    </w:lvlOverride>
  </w:num>
  <w:num w:numId="121">
    <w:abstractNumId w:val="115"/>
    <w:lvlOverride w:ilvl="0">
      <w:startOverride w:val="1"/>
    </w:lvlOverride>
  </w:num>
  <w:num w:numId="122">
    <w:abstractNumId w:val="340"/>
    <w:lvlOverride w:ilvl="0">
      <w:startOverride w:val="1"/>
    </w:lvlOverride>
  </w:num>
  <w:num w:numId="123">
    <w:abstractNumId w:val="369"/>
    <w:lvlOverride w:ilvl="0">
      <w:startOverride w:val="1"/>
    </w:lvlOverride>
  </w:num>
  <w:num w:numId="124">
    <w:abstractNumId w:val="33"/>
    <w:lvlOverride w:ilvl="0">
      <w:startOverride w:val="2"/>
    </w:lvlOverride>
  </w:num>
  <w:num w:numId="125">
    <w:abstractNumId w:val="311"/>
    <w:lvlOverride w:ilvl="0">
      <w:startOverride w:val="1"/>
    </w:lvlOverride>
  </w:num>
  <w:num w:numId="126">
    <w:abstractNumId w:val="457"/>
    <w:lvlOverride w:ilvl="0">
      <w:startOverride w:val="1"/>
    </w:lvlOverride>
  </w:num>
  <w:num w:numId="127">
    <w:abstractNumId w:val="59"/>
    <w:lvlOverride w:ilvl="0">
      <w:startOverride w:val="1"/>
    </w:lvlOverride>
  </w:num>
  <w:num w:numId="128">
    <w:abstractNumId w:val="314"/>
    <w:lvlOverride w:ilvl="0">
      <w:startOverride w:val="1"/>
    </w:lvlOverride>
  </w:num>
  <w:num w:numId="129">
    <w:abstractNumId w:val="269"/>
    <w:lvlOverride w:ilvl="0">
      <w:startOverride w:val="2"/>
    </w:lvlOverride>
  </w:num>
  <w:num w:numId="130">
    <w:abstractNumId w:val="2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
    <w:abstractNumId w:val="387"/>
    <w:lvlOverride w:ilvl="0">
      <w:startOverride w:val="1"/>
    </w:lvlOverride>
  </w:num>
  <w:num w:numId="132">
    <w:abstractNumId w:val="259"/>
    <w:lvlOverride w:ilvl="0">
      <w:startOverride w:val="1"/>
    </w:lvlOverride>
  </w:num>
  <w:num w:numId="133">
    <w:abstractNumId w:val="226"/>
    <w:lvlOverride w:ilvl="0">
      <w:startOverride w:val="4"/>
    </w:lvlOverride>
  </w:num>
  <w:num w:numId="134">
    <w:abstractNumId w:val="236"/>
    <w:lvlOverride w:ilvl="0">
      <w:startOverride w:val="4"/>
    </w:lvlOverride>
  </w:num>
  <w:num w:numId="135">
    <w:abstractNumId w:val="316"/>
    <w:lvlOverride w:ilvl="0">
      <w:startOverride w:val="1"/>
    </w:lvlOverride>
  </w:num>
  <w:num w:numId="136">
    <w:abstractNumId w:val="40"/>
    <w:lvlOverride w:ilvl="0">
      <w:startOverride w:val="1"/>
    </w:lvlOverride>
  </w:num>
  <w:num w:numId="137">
    <w:abstractNumId w:val="394"/>
    <w:lvlOverride w:ilvl="0">
      <w:startOverride w:val="1"/>
    </w:lvlOverride>
  </w:num>
  <w:num w:numId="138">
    <w:abstractNumId w:val="446"/>
    <w:lvlOverride w:ilvl="0">
      <w:startOverride w:val="1"/>
    </w:lvlOverride>
  </w:num>
  <w:num w:numId="139">
    <w:abstractNumId w:val="319"/>
    <w:lvlOverride w:ilvl="0">
      <w:startOverride w:val="1"/>
    </w:lvlOverride>
  </w:num>
  <w:num w:numId="140">
    <w:abstractNumId w:val="323"/>
    <w:lvlOverride w:ilvl="0">
      <w:startOverride w:val="7"/>
    </w:lvlOverride>
  </w:num>
  <w:num w:numId="141">
    <w:abstractNumId w:val="109"/>
    <w:lvlOverride w:ilvl="0">
      <w:startOverride w:val="1"/>
    </w:lvlOverride>
  </w:num>
  <w:num w:numId="142">
    <w:abstractNumId w:val="277"/>
  </w:num>
  <w:num w:numId="143">
    <w:abstractNumId w:val="51"/>
  </w:num>
  <w:num w:numId="144">
    <w:abstractNumId w:val="188"/>
  </w:num>
  <w:num w:numId="145">
    <w:abstractNumId w:val="179"/>
  </w:num>
  <w:num w:numId="146">
    <w:abstractNumId w:val="283"/>
  </w:num>
  <w:num w:numId="147">
    <w:abstractNumId w:val="416"/>
  </w:num>
  <w:num w:numId="148">
    <w:abstractNumId w:val="230"/>
  </w:num>
  <w:num w:numId="149">
    <w:abstractNumId w:val="193"/>
  </w:num>
  <w:num w:numId="150">
    <w:abstractNumId w:val="206"/>
  </w:num>
  <w:num w:numId="151">
    <w:abstractNumId w:val="400"/>
  </w:num>
  <w:num w:numId="152">
    <w:abstractNumId w:val="126"/>
  </w:num>
  <w:num w:numId="153">
    <w:abstractNumId w:val="295"/>
  </w:num>
  <w:num w:numId="154">
    <w:abstractNumId w:val="176"/>
  </w:num>
  <w:num w:numId="155">
    <w:abstractNumId w:val="200"/>
  </w:num>
  <w:num w:numId="156">
    <w:abstractNumId w:val="152"/>
  </w:num>
  <w:num w:numId="157">
    <w:abstractNumId w:val="381"/>
  </w:num>
  <w:num w:numId="158">
    <w:abstractNumId w:val="354"/>
  </w:num>
  <w:num w:numId="159">
    <w:abstractNumId w:val="423"/>
  </w:num>
  <w:num w:numId="160">
    <w:abstractNumId w:val="212"/>
  </w:num>
  <w:num w:numId="161">
    <w:abstractNumId w:val="189"/>
  </w:num>
  <w:num w:numId="162">
    <w:abstractNumId w:val="76"/>
  </w:num>
  <w:num w:numId="163">
    <w:abstractNumId w:val="199"/>
  </w:num>
  <w:num w:numId="164">
    <w:abstractNumId w:val="208"/>
  </w:num>
  <w:num w:numId="165">
    <w:abstractNumId w:val="204"/>
  </w:num>
  <w:num w:numId="166">
    <w:abstractNumId w:val="48"/>
  </w:num>
  <w:num w:numId="167">
    <w:abstractNumId w:val="55"/>
  </w:num>
  <w:num w:numId="168">
    <w:abstractNumId w:val="402"/>
  </w:num>
  <w:num w:numId="169">
    <w:abstractNumId w:val="191"/>
  </w:num>
  <w:num w:numId="170">
    <w:abstractNumId w:val="185"/>
  </w:num>
  <w:num w:numId="171">
    <w:abstractNumId w:val="121"/>
  </w:num>
  <w:num w:numId="172">
    <w:abstractNumId w:val="31"/>
  </w:num>
  <w:num w:numId="173">
    <w:abstractNumId w:val="350"/>
  </w:num>
  <w:num w:numId="174">
    <w:abstractNumId w:val="54"/>
  </w:num>
  <w:num w:numId="175">
    <w:abstractNumId w:val="302"/>
  </w:num>
  <w:num w:numId="176">
    <w:abstractNumId w:val="456"/>
  </w:num>
  <w:num w:numId="177">
    <w:abstractNumId w:val="85"/>
  </w:num>
  <w:num w:numId="178">
    <w:abstractNumId w:val="174"/>
  </w:num>
  <w:num w:numId="179">
    <w:abstractNumId w:val="133"/>
  </w:num>
  <w:num w:numId="180">
    <w:abstractNumId w:val="194"/>
  </w:num>
  <w:num w:numId="181">
    <w:abstractNumId w:val="101"/>
  </w:num>
  <w:num w:numId="182">
    <w:abstractNumId w:val="91"/>
  </w:num>
  <w:num w:numId="183">
    <w:abstractNumId w:val="195"/>
  </w:num>
  <w:num w:numId="184">
    <w:abstractNumId w:val="36"/>
  </w:num>
  <w:num w:numId="185">
    <w:abstractNumId w:val="278"/>
  </w:num>
  <w:num w:numId="186">
    <w:abstractNumId w:val="282"/>
  </w:num>
  <w:num w:numId="187">
    <w:abstractNumId w:val="241"/>
  </w:num>
  <w:num w:numId="188">
    <w:abstractNumId w:val="198"/>
  </w:num>
  <w:num w:numId="189">
    <w:abstractNumId w:val="373"/>
  </w:num>
  <w:num w:numId="190">
    <w:abstractNumId w:val="231"/>
  </w:num>
  <w:num w:numId="191">
    <w:abstractNumId w:val="177"/>
  </w:num>
  <w:num w:numId="192">
    <w:abstractNumId w:val="276"/>
  </w:num>
  <w:num w:numId="193">
    <w:abstractNumId w:val="167"/>
  </w:num>
  <w:num w:numId="194">
    <w:abstractNumId w:val="120"/>
  </w:num>
  <w:num w:numId="195">
    <w:abstractNumId w:val="267"/>
  </w:num>
  <w:num w:numId="196">
    <w:abstractNumId w:val="234"/>
  </w:num>
  <w:num w:numId="197">
    <w:abstractNumId w:val="57"/>
  </w:num>
  <w:num w:numId="198">
    <w:abstractNumId w:val="25"/>
  </w:num>
  <w:num w:numId="199">
    <w:abstractNumId w:val="178"/>
  </w:num>
  <w:num w:numId="200">
    <w:abstractNumId w:val="180"/>
  </w:num>
  <w:num w:numId="201">
    <w:abstractNumId w:val="367"/>
  </w:num>
  <w:num w:numId="202">
    <w:abstractNumId w:val="247"/>
  </w:num>
  <w:num w:numId="203">
    <w:abstractNumId w:val="128"/>
  </w:num>
  <w:num w:numId="204">
    <w:abstractNumId w:val="97"/>
  </w:num>
  <w:num w:numId="205">
    <w:abstractNumId w:val="170"/>
  </w:num>
  <w:num w:numId="206">
    <w:abstractNumId w:val="438"/>
  </w:num>
  <w:num w:numId="207">
    <w:abstractNumId w:val="229"/>
  </w:num>
  <w:num w:numId="208">
    <w:abstractNumId w:val="426"/>
  </w:num>
  <w:num w:numId="209">
    <w:abstractNumId w:val="430"/>
  </w:num>
  <w:num w:numId="210">
    <w:abstractNumId w:val="362"/>
  </w:num>
  <w:num w:numId="211">
    <w:abstractNumId w:val="218"/>
  </w:num>
  <w:num w:numId="212">
    <w:abstractNumId w:val="95"/>
  </w:num>
  <w:num w:numId="213">
    <w:abstractNumId w:val="318"/>
  </w:num>
  <w:num w:numId="214">
    <w:abstractNumId w:val="162"/>
  </w:num>
  <w:num w:numId="215">
    <w:abstractNumId w:val="424"/>
  </w:num>
  <w:num w:numId="216">
    <w:abstractNumId w:val="265"/>
  </w:num>
  <w:num w:numId="217">
    <w:abstractNumId w:val="53"/>
  </w:num>
  <w:num w:numId="218">
    <w:abstractNumId w:val="149"/>
  </w:num>
  <w:num w:numId="219">
    <w:abstractNumId w:val="312"/>
  </w:num>
  <w:num w:numId="220">
    <w:abstractNumId w:val="27"/>
  </w:num>
  <w:num w:numId="221">
    <w:abstractNumId w:val="81"/>
  </w:num>
  <w:num w:numId="222">
    <w:abstractNumId w:val="8"/>
  </w:num>
  <w:num w:numId="223">
    <w:abstractNumId w:val="430"/>
    <w:lvlOverride w:ilvl="0">
      <w:startOverride w:val="2"/>
    </w:lvlOverride>
  </w:num>
  <w:num w:numId="224">
    <w:abstractNumId w:val="213"/>
    <w:lvlOverride w:ilvl="0">
      <w:startOverride w:val="1"/>
    </w:lvlOverride>
  </w:num>
  <w:num w:numId="225">
    <w:abstractNumId w:val="339"/>
    <w:lvlOverride w:ilvl="0">
      <w:startOverride w:val="1"/>
    </w:lvlOverride>
  </w:num>
  <w:num w:numId="226">
    <w:abstractNumId w:val="263"/>
    <w:lvlOverride w:ilvl="0">
      <w:startOverride w:val="1"/>
    </w:lvlOverride>
  </w:num>
  <w:num w:numId="227">
    <w:abstractNumId w:val="285"/>
    <w:lvlOverride w:ilvl="0">
      <w:startOverride w:val="1"/>
    </w:lvlOverride>
  </w:num>
  <w:num w:numId="228">
    <w:abstractNumId w:val="288"/>
    <w:lvlOverride w:ilvl="0">
      <w:startOverride w:val="1"/>
    </w:lvlOverride>
  </w:num>
  <w:num w:numId="229">
    <w:abstractNumId w:val="35"/>
    <w:lvlOverride w:ilvl="0">
      <w:startOverride w:val="1"/>
    </w:lvlOverride>
  </w:num>
  <w:num w:numId="230">
    <w:abstractNumId w:val="161"/>
    <w:lvlOverride w:ilvl="0">
      <w:startOverride w:val="1"/>
    </w:lvlOverride>
  </w:num>
  <w:num w:numId="231">
    <w:abstractNumId w:val="308"/>
    <w:lvlOverride w:ilvl="0">
      <w:startOverride w:val="1"/>
    </w:lvlOverride>
  </w:num>
  <w:num w:numId="232">
    <w:abstractNumId w:val="60"/>
    <w:lvlOverride w:ilvl="0">
      <w:startOverride w:val="1"/>
    </w:lvlOverride>
  </w:num>
  <w:num w:numId="233">
    <w:abstractNumId w:val="342"/>
    <w:lvlOverride w:ilvl="0">
      <w:startOverride w:val="6"/>
    </w:lvlOverride>
  </w:num>
  <w:num w:numId="234">
    <w:abstractNumId w:val="217"/>
    <w:lvlOverride w:ilvl="0">
      <w:startOverride w:val="6"/>
    </w:lvlOverride>
  </w:num>
  <w:num w:numId="235">
    <w:abstractNumId w:val="225"/>
    <w:lvlOverride w:ilvl="0">
      <w:startOverride w:val="1"/>
    </w:lvlOverride>
  </w:num>
  <w:num w:numId="236">
    <w:abstractNumId w:val="158"/>
    <w:lvlOverride w:ilvl="0">
      <w:startOverride w:val="1"/>
    </w:lvlOverride>
  </w:num>
  <w:num w:numId="237">
    <w:abstractNumId w:val="441"/>
    <w:lvlOverride w:ilvl="0">
      <w:startOverride w:val="1"/>
    </w:lvlOverride>
  </w:num>
  <w:num w:numId="238">
    <w:abstractNumId w:val="249"/>
    <w:lvlOverride w:ilvl="0">
      <w:startOverride w:val="1"/>
    </w:lvlOverride>
  </w:num>
  <w:num w:numId="239">
    <w:abstractNumId w:val="376"/>
    <w:lvlOverride w:ilvl="0">
      <w:startOverride w:val="1"/>
    </w:lvlOverride>
  </w:num>
  <w:num w:numId="240">
    <w:abstractNumId w:val="183"/>
    <w:lvlOverride w:ilvl="0">
      <w:startOverride w:val="1"/>
    </w:lvlOverride>
  </w:num>
  <w:num w:numId="241">
    <w:abstractNumId w:val="246"/>
    <w:lvlOverride w:ilvl="0">
      <w:startOverride w:val="1"/>
    </w:lvlOverride>
  </w:num>
  <w:num w:numId="242">
    <w:abstractNumId w:val="0"/>
    <w:lvlOverride w:ilvl="0">
      <w:startOverride w:val="1"/>
    </w:lvlOverride>
  </w:num>
  <w:num w:numId="243">
    <w:abstractNumId w:val="392"/>
    <w:lvlOverride w:ilvl="0">
      <w:startOverride w:val="1"/>
    </w:lvlOverride>
  </w:num>
  <w:num w:numId="244">
    <w:abstractNumId w:val="368"/>
    <w:lvlOverride w:ilvl="0">
      <w:startOverride w:val="1"/>
    </w:lvlOverride>
  </w:num>
  <w:num w:numId="245">
    <w:abstractNumId w:val="353"/>
    <w:lvlOverride w:ilvl="0">
      <w:startOverride w:val="1"/>
    </w:lvlOverride>
  </w:num>
  <w:num w:numId="246">
    <w:abstractNumId w:val="379"/>
    <w:lvlOverride w:ilvl="0">
      <w:startOverride w:val="1"/>
    </w:lvlOverride>
  </w:num>
  <w:num w:numId="247">
    <w:abstractNumId w:val="426"/>
    <w:lvlOverride w:ilvl="0">
      <w:startOverride w:val="8"/>
    </w:lvlOverride>
  </w:num>
  <w:num w:numId="248">
    <w:abstractNumId w:val="219"/>
    <w:lvlOverride w:ilvl="0">
      <w:startOverride w:val="1"/>
    </w:lvlOverride>
  </w:num>
  <w:num w:numId="249">
    <w:abstractNumId w:val="294"/>
    <w:lvlOverride w:ilvl="0">
      <w:startOverride w:val="1"/>
    </w:lvlOverride>
  </w:num>
  <w:num w:numId="250">
    <w:abstractNumId w:val="427"/>
    <w:lvlOverride w:ilvl="0">
      <w:startOverride w:val="1"/>
    </w:lvlOverride>
  </w:num>
  <w:num w:numId="251">
    <w:abstractNumId w:val="68"/>
    <w:lvlOverride w:ilvl="0">
      <w:startOverride w:val="8"/>
    </w:lvlOverride>
  </w:num>
  <w:num w:numId="252">
    <w:abstractNumId w:val="291"/>
    <w:lvlOverride w:ilvl="0">
      <w:startOverride w:val="1"/>
    </w:lvlOverride>
  </w:num>
  <w:num w:numId="253">
    <w:abstractNumId w:val="111"/>
    <w:lvlOverride w:ilvl="0">
      <w:startOverride w:val="1"/>
    </w:lvlOverride>
  </w:num>
  <w:num w:numId="254">
    <w:abstractNumId w:val="329"/>
    <w:lvlOverride w:ilvl="0">
      <w:startOverride w:val="10"/>
    </w:lvlOverride>
  </w:num>
  <w:num w:numId="255">
    <w:abstractNumId w:val="453"/>
    <w:lvlOverride w:ilvl="0">
      <w:startOverride w:val="1"/>
    </w:lvlOverride>
  </w:num>
  <w:num w:numId="256">
    <w:abstractNumId w:val="201"/>
    <w:lvlOverride w:ilvl="0">
      <w:startOverride w:val="1"/>
    </w:lvlOverride>
  </w:num>
  <w:num w:numId="257">
    <w:abstractNumId w:val="429"/>
    <w:lvlOverride w:ilvl="0">
      <w:startOverride w:val="1"/>
    </w:lvlOverride>
  </w:num>
  <w:num w:numId="258">
    <w:abstractNumId w:val="271"/>
    <w:lvlOverride w:ilvl="0">
      <w:startOverride w:val="1"/>
    </w:lvlOverride>
  </w:num>
  <w:num w:numId="259">
    <w:abstractNumId w:val="413"/>
    <w:lvlOverride w:ilvl="0">
      <w:startOverride w:val="2"/>
    </w:lvlOverride>
  </w:num>
  <w:num w:numId="260">
    <w:abstractNumId w:val="443"/>
    <w:lvlOverride w:ilvl="0">
      <w:startOverride w:val="1"/>
    </w:lvlOverride>
  </w:num>
  <w:num w:numId="261">
    <w:abstractNumId w:val="374"/>
    <w:lvlOverride w:ilvl="0">
      <w:startOverride w:val="1"/>
    </w:lvlOverride>
  </w:num>
  <w:num w:numId="262">
    <w:abstractNumId w:val="406"/>
    <w:lvlOverride w:ilvl="0">
      <w:startOverride w:val="1"/>
    </w:lvlOverride>
  </w:num>
  <w:num w:numId="263">
    <w:abstractNumId w:val="52"/>
    <w:lvlOverride w:ilvl="0">
      <w:startOverride w:val="1"/>
    </w:lvlOverride>
  </w:num>
  <w:num w:numId="264">
    <w:abstractNumId w:val="87"/>
  </w:num>
  <w:num w:numId="265">
    <w:abstractNumId w:val="71"/>
  </w:num>
  <w:num w:numId="266">
    <w:abstractNumId w:val="108"/>
  </w:num>
  <w:num w:numId="267">
    <w:abstractNumId w:val="453"/>
  </w:num>
  <w:num w:numId="268">
    <w:abstractNumId w:val="329"/>
  </w:num>
  <w:num w:numId="269">
    <w:abstractNumId w:val="436"/>
  </w:num>
  <w:num w:numId="270">
    <w:abstractNumId w:val="264"/>
  </w:num>
  <w:num w:numId="271">
    <w:abstractNumId w:val="66"/>
  </w:num>
  <w:num w:numId="272">
    <w:abstractNumId w:val="82"/>
  </w:num>
  <w:num w:numId="273">
    <w:abstractNumId w:val="17"/>
  </w:num>
  <w:num w:numId="274">
    <w:abstractNumId w:val="281"/>
  </w:num>
  <w:num w:numId="275">
    <w:abstractNumId w:val="336"/>
  </w:num>
  <w:num w:numId="276">
    <w:abstractNumId w:val="272"/>
  </w:num>
  <w:num w:numId="277">
    <w:abstractNumId w:val="334"/>
  </w:num>
  <w:num w:numId="278">
    <w:abstractNumId w:val="137"/>
  </w:num>
  <w:num w:numId="279">
    <w:abstractNumId w:val="439"/>
  </w:num>
  <w:num w:numId="280">
    <w:abstractNumId w:val="192"/>
  </w:num>
  <w:num w:numId="281">
    <w:abstractNumId w:val="452"/>
  </w:num>
  <w:num w:numId="282">
    <w:abstractNumId w:val="289"/>
  </w:num>
  <w:num w:numId="283">
    <w:abstractNumId w:val="337"/>
  </w:num>
  <w:num w:numId="284">
    <w:abstractNumId w:val="293"/>
  </w:num>
  <w:num w:numId="285">
    <w:abstractNumId w:val="349"/>
  </w:num>
  <w:num w:numId="286">
    <w:abstractNumId w:val="125"/>
  </w:num>
  <w:num w:numId="287">
    <w:abstractNumId w:val="399"/>
  </w:num>
  <w:num w:numId="288">
    <w:abstractNumId w:val="144"/>
  </w:num>
  <w:num w:numId="289">
    <w:abstractNumId w:val="341"/>
  </w:num>
  <w:num w:numId="290">
    <w:abstractNumId w:val="123"/>
  </w:num>
  <w:num w:numId="291">
    <w:abstractNumId w:val="280"/>
  </w:num>
  <w:num w:numId="292">
    <w:abstractNumId w:val="358"/>
  </w:num>
  <w:num w:numId="293">
    <w:abstractNumId w:val="166"/>
  </w:num>
  <w:num w:numId="294">
    <w:abstractNumId w:val="93"/>
  </w:num>
  <w:num w:numId="295">
    <w:abstractNumId w:val="216"/>
  </w:num>
  <w:num w:numId="296">
    <w:abstractNumId w:val="250"/>
  </w:num>
  <w:num w:numId="297">
    <w:abstractNumId w:val="38"/>
  </w:num>
  <w:num w:numId="298">
    <w:abstractNumId w:val="129"/>
  </w:num>
  <w:num w:numId="299">
    <w:abstractNumId w:val="257"/>
  </w:num>
  <w:num w:numId="300">
    <w:abstractNumId w:val="233"/>
  </w:num>
  <w:num w:numId="301">
    <w:abstractNumId w:val="250"/>
    <w:lvlOverride w:ilvl="0">
      <w:startOverride w:val="1"/>
    </w:lvlOverride>
  </w:num>
  <w:num w:numId="302">
    <w:abstractNumId w:val="317"/>
    <w:lvlOverride w:ilvl="0">
      <w:startOverride w:val="1"/>
    </w:lvlOverride>
  </w:num>
  <w:num w:numId="303">
    <w:abstractNumId w:val="34"/>
    <w:lvlOverride w:ilvl="0">
      <w:startOverride w:val="1"/>
    </w:lvlOverride>
  </w:num>
  <w:num w:numId="304">
    <w:abstractNumId w:val="136"/>
    <w:lvlOverride w:ilvl="0">
      <w:startOverride w:val="1"/>
    </w:lvlOverride>
  </w:num>
  <w:num w:numId="305">
    <w:abstractNumId w:val="455"/>
    <w:lvlOverride w:ilvl="0">
      <w:startOverride w:val="1"/>
    </w:lvlOverride>
  </w:num>
  <w:num w:numId="306">
    <w:abstractNumId w:val="78"/>
    <w:lvlOverride w:ilvl="0">
      <w:startOverride w:val="1"/>
    </w:lvlOverride>
  </w:num>
  <w:num w:numId="307">
    <w:abstractNumId w:val="270"/>
    <w:lvlOverride w:ilvl="0">
      <w:startOverride w:val="1"/>
    </w:lvlOverride>
  </w:num>
  <w:num w:numId="308">
    <w:abstractNumId w:val="171"/>
    <w:lvlOverride w:ilvl="0">
      <w:startOverride w:val="1"/>
    </w:lvlOverride>
  </w:num>
  <w:num w:numId="309">
    <w:abstractNumId w:val="268"/>
    <w:lvlOverride w:ilvl="0">
      <w:startOverride w:val="1"/>
    </w:lvlOverride>
  </w:num>
  <w:num w:numId="310">
    <w:abstractNumId w:val="419"/>
    <w:lvlOverride w:ilvl="0">
      <w:startOverride w:val="1"/>
    </w:lvlOverride>
  </w:num>
  <w:num w:numId="311">
    <w:abstractNumId w:val="4"/>
    <w:lvlOverride w:ilvl="0">
      <w:startOverride w:val="1"/>
    </w:lvlOverride>
  </w:num>
  <w:num w:numId="312">
    <w:abstractNumId w:val="393"/>
    <w:lvlOverride w:ilvl="0">
      <w:startOverride w:val="1"/>
    </w:lvlOverride>
  </w:num>
  <w:num w:numId="313">
    <w:abstractNumId w:val="5"/>
    <w:lvlOverride w:ilvl="0">
      <w:startOverride w:val="1"/>
    </w:lvlOverride>
  </w:num>
  <w:num w:numId="314">
    <w:abstractNumId w:val="92"/>
    <w:lvlOverride w:ilvl="0">
      <w:startOverride w:val="1"/>
    </w:lvlOverride>
  </w:num>
  <w:num w:numId="315">
    <w:abstractNumId w:val="411"/>
    <w:lvlOverride w:ilvl="0">
      <w:startOverride w:val="1"/>
    </w:lvlOverride>
  </w:num>
  <w:num w:numId="316">
    <w:abstractNumId w:val="364"/>
    <w:lvlOverride w:ilvl="0">
      <w:startOverride w:val="1"/>
    </w:lvlOverride>
  </w:num>
  <w:num w:numId="317">
    <w:abstractNumId w:val="444"/>
    <w:lvlOverride w:ilvl="0">
      <w:startOverride w:val="1"/>
    </w:lvlOverride>
  </w:num>
  <w:num w:numId="318">
    <w:abstractNumId w:val="41"/>
    <w:lvlOverride w:ilvl="0">
      <w:startOverride w:val="1"/>
    </w:lvlOverride>
  </w:num>
  <w:num w:numId="319">
    <w:abstractNumId w:val="63"/>
    <w:lvlOverride w:ilvl="0">
      <w:startOverride w:val="1"/>
    </w:lvlOverride>
  </w:num>
  <w:num w:numId="320">
    <w:abstractNumId w:val="37"/>
    <w:lvlOverride w:ilvl="0">
      <w:startOverride w:val="1"/>
    </w:lvlOverride>
  </w:num>
  <w:num w:numId="321">
    <w:abstractNumId w:val="184"/>
    <w:lvlOverride w:ilvl="0">
      <w:startOverride w:val="1"/>
    </w:lvlOverride>
  </w:num>
  <w:num w:numId="322">
    <w:abstractNumId w:val="187"/>
    <w:lvlOverride w:ilvl="0">
      <w:startOverride w:val="1"/>
    </w:lvlOverride>
  </w:num>
  <w:num w:numId="323">
    <w:abstractNumId w:val="326"/>
    <w:lvlOverride w:ilvl="0">
      <w:startOverride w:val="1"/>
    </w:lvlOverride>
  </w:num>
  <w:num w:numId="324">
    <w:abstractNumId w:val="94"/>
    <w:lvlOverride w:ilvl="0">
      <w:startOverride w:val="1"/>
    </w:lvlOverride>
  </w:num>
  <w:num w:numId="325">
    <w:abstractNumId w:val="418"/>
    <w:lvlOverride w:ilvl="0">
      <w:startOverride w:val="1"/>
    </w:lvlOverride>
  </w:num>
  <w:num w:numId="326">
    <w:abstractNumId w:val="274"/>
    <w:lvlOverride w:ilvl="0">
      <w:startOverride w:val="1"/>
    </w:lvlOverride>
  </w:num>
  <w:num w:numId="327">
    <w:abstractNumId w:val="297"/>
    <w:lvlOverride w:ilvl="0">
      <w:startOverride w:val="1"/>
    </w:lvlOverride>
  </w:num>
  <w:num w:numId="328">
    <w:abstractNumId w:val="299"/>
    <w:lvlOverride w:ilvl="0">
      <w:startOverride w:val="1"/>
    </w:lvlOverride>
  </w:num>
  <w:num w:numId="329">
    <w:abstractNumId w:val="47"/>
    <w:lvlOverride w:ilvl="0">
      <w:startOverride w:val="1"/>
    </w:lvlOverride>
  </w:num>
  <w:num w:numId="330">
    <w:abstractNumId w:val="155"/>
    <w:lvlOverride w:ilvl="0">
      <w:startOverride w:val="1"/>
    </w:lvlOverride>
  </w:num>
  <w:num w:numId="331">
    <w:abstractNumId w:val="462"/>
    <w:lvlOverride w:ilvl="0">
      <w:startOverride w:val="1"/>
    </w:lvlOverride>
  </w:num>
  <w:num w:numId="332">
    <w:abstractNumId w:val="328"/>
    <w:lvlOverride w:ilvl="0">
      <w:startOverride w:val="1"/>
    </w:lvlOverride>
  </w:num>
  <w:num w:numId="333">
    <w:abstractNumId w:val="235"/>
    <w:lvlOverride w:ilvl="0">
      <w:startOverride w:val="1"/>
    </w:lvlOverride>
  </w:num>
  <w:num w:numId="334">
    <w:abstractNumId w:val="79"/>
    <w:lvlOverride w:ilvl="0">
      <w:startOverride w:val="1"/>
    </w:lvlOverride>
  </w:num>
  <w:num w:numId="335">
    <w:abstractNumId w:val="305"/>
    <w:lvlOverride w:ilvl="0">
      <w:startOverride w:val="1"/>
    </w:lvlOverride>
  </w:num>
  <w:num w:numId="336">
    <w:abstractNumId w:val="338"/>
    <w:lvlOverride w:ilvl="0">
      <w:startOverride w:val="1"/>
    </w:lvlOverride>
  </w:num>
  <w:num w:numId="337">
    <w:abstractNumId w:val="80"/>
    <w:lvlOverride w:ilvl="0">
      <w:startOverride w:val="1"/>
    </w:lvlOverride>
  </w:num>
  <w:num w:numId="338">
    <w:abstractNumId w:val="261"/>
    <w:lvlOverride w:ilvl="0">
      <w:startOverride w:val="1"/>
    </w:lvlOverride>
  </w:num>
  <w:num w:numId="339">
    <w:abstractNumId w:val="89"/>
    <w:lvlOverride w:ilvl="0">
      <w:startOverride w:val="1"/>
    </w:lvlOverride>
  </w:num>
  <w:num w:numId="340">
    <w:abstractNumId w:val="409"/>
    <w:lvlOverride w:ilvl="0">
      <w:startOverride w:val="1"/>
    </w:lvlOverride>
  </w:num>
  <w:num w:numId="341">
    <w:abstractNumId w:val="16"/>
    <w:lvlOverride w:ilvl="0">
      <w:startOverride w:val="1"/>
    </w:lvlOverride>
  </w:num>
  <w:num w:numId="342">
    <w:abstractNumId w:val="160"/>
    <w:lvlOverride w:ilvl="0">
      <w:startOverride w:val="1"/>
    </w:lvlOverride>
  </w:num>
  <w:num w:numId="343">
    <w:abstractNumId w:val="86"/>
  </w:num>
  <w:num w:numId="344">
    <w:abstractNumId w:val="172"/>
  </w:num>
  <w:num w:numId="345">
    <w:abstractNumId w:val="42"/>
  </w:num>
  <w:num w:numId="346">
    <w:abstractNumId w:val="296"/>
  </w:num>
  <w:num w:numId="347">
    <w:abstractNumId w:val="98"/>
  </w:num>
  <w:num w:numId="348">
    <w:abstractNumId w:val="460"/>
  </w:num>
  <w:num w:numId="349">
    <w:abstractNumId w:val="279"/>
  </w:num>
  <w:num w:numId="350">
    <w:abstractNumId w:val="153"/>
  </w:num>
  <w:num w:numId="351">
    <w:abstractNumId w:val="315"/>
  </w:num>
  <w:num w:numId="352">
    <w:abstractNumId w:val="224"/>
  </w:num>
  <w:num w:numId="353">
    <w:abstractNumId w:val="252"/>
  </w:num>
  <w:num w:numId="354">
    <w:abstractNumId w:val="182"/>
  </w:num>
  <w:num w:numId="355">
    <w:abstractNumId w:val="253"/>
  </w:num>
  <w:num w:numId="356">
    <w:abstractNumId w:val="361"/>
  </w:num>
  <w:num w:numId="357">
    <w:abstractNumId w:val="165"/>
  </w:num>
  <w:num w:numId="358">
    <w:abstractNumId w:val="366"/>
  </w:num>
  <w:num w:numId="359">
    <w:abstractNumId w:val="420"/>
  </w:num>
  <w:num w:numId="360">
    <w:abstractNumId w:val="324"/>
  </w:num>
  <w:num w:numId="361">
    <w:abstractNumId w:val="391"/>
  </w:num>
  <w:num w:numId="362">
    <w:abstractNumId w:val="440"/>
  </w:num>
  <w:num w:numId="363">
    <w:abstractNumId w:val="30"/>
  </w:num>
  <w:num w:numId="364">
    <w:abstractNumId w:val="215"/>
  </w:num>
  <w:num w:numId="365">
    <w:abstractNumId w:val="321"/>
  </w:num>
  <w:num w:numId="366">
    <w:abstractNumId w:val="240"/>
  </w:num>
  <w:num w:numId="367">
    <w:abstractNumId w:val="397"/>
  </w:num>
  <w:num w:numId="368">
    <w:abstractNumId w:val="330"/>
  </w:num>
  <w:num w:numId="369">
    <w:abstractNumId w:val="382"/>
  </w:num>
  <w:num w:numId="370">
    <w:abstractNumId w:val="140"/>
  </w:num>
  <w:num w:numId="371">
    <w:abstractNumId w:val="333"/>
  </w:num>
  <w:num w:numId="372">
    <w:abstractNumId w:val="245"/>
  </w:num>
  <w:num w:numId="373">
    <w:abstractNumId w:val="88"/>
  </w:num>
  <w:num w:numId="374">
    <w:abstractNumId w:val="320"/>
  </w:num>
  <w:num w:numId="375">
    <w:abstractNumId w:val="343"/>
  </w:num>
  <w:num w:numId="376">
    <w:abstractNumId w:val="104"/>
  </w:num>
  <w:num w:numId="377">
    <w:abstractNumId w:val="147"/>
  </w:num>
  <w:num w:numId="378">
    <w:abstractNumId w:val="105"/>
  </w:num>
  <w:num w:numId="379">
    <w:abstractNumId w:val="450"/>
  </w:num>
  <w:num w:numId="380">
    <w:abstractNumId w:val="103"/>
  </w:num>
  <w:num w:numId="381">
    <w:abstractNumId w:val="145"/>
  </w:num>
  <w:num w:numId="382">
    <w:abstractNumId w:val="100"/>
  </w:num>
  <w:num w:numId="383">
    <w:abstractNumId w:val="377"/>
  </w:num>
  <w:num w:numId="384">
    <w:abstractNumId w:val="196"/>
  </w:num>
  <w:num w:numId="385">
    <w:abstractNumId w:val="130"/>
  </w:num>
  <w:num w:numId="386">
    <w:abstractNumId w:val="408"/>
  </w:num>
  <w:num w:numId="387">
    <w:abstractNumId w:val="425"/>
  </w:num>
  <w:num w:numId="388">
    <w:abstractNumId w:val="205"/>
  </w:num>
  <w:num w:numId="389">
    <w:abstractNumId w:val="363"/>
  </w:num>
  <w:num w:numId="390">
    <w:abstractNumId w:val="220"/>
  </w:num>
  <w:num w:numId="391">
    <w:abstractNumId w:val="445"/>
  </w:num>
  <w:num w:numId="392">
    <w:abstractNumId w:val="22"/>
  </w:num>
  <w:num w:numId="393">
    <w:abstractNumId w:val="127"/>
  </w:num>
  <w:num w:numId="394">
    <w:abstractNumId w:val="186"/>
  </w:num>
  <w:num w:numId="395">
    <w:abstractNumId w:val="210"/>
  </w:num>
  <w:num w:numId="396">
    <w:abstractNumId w:val="46"/>
  </w:num>
  <w:num w:numId="397">
    <w:abstractNumId w:val="181"/>
  </w:num>
  <w:num w:numId="398">
    <w:abstractNumId w:val="29"/>
  </w:num>
  <w:num w:numId="399">
    <w:abstractNumId w:val="214"/>
  </w:num>
  <w:num w:numId="400">
    <w:abstractNumId w:val="344"/>
  </w:num>
  <w:num w:numId="401">
    <w:abstractNumId w:val="221"/>
  </w:num>
  <w:num w:numId="402">
    <w:abstractNumId w:val="359"/>
  </w:num>
  <w:num w:numId="403">
    <w:abstractNumId w:val="412"/>
  </w:num>
  <w:num w:numId="404">
    <w:abstractNumId w:val="169"/>
  </w:num>
  <w:num w:numId="405">
    <w:abstractNumId w:val="244"/>
  </w:num>
  <w:num w:numId="406">
    <w:abstractNumId w:val="454"/>
  </w:num>
  <w:num w:numId="407">
    <w:abstractNumId w:val="197"/>
  </w:num>
  <w:num w:numId="408">
    <w:abstractNumId w:val="70"/>
  </w:num>
  <w:num w:numId="409">
    <w:abstractNumId w:val="12"/>
  </w:num>
  <w:num w:numId="410">
    <w:abstractNumId w:val="164"/>
  </w:num>
  <w:num w:numId="411">
    <w:abstractNumId w:val="396"/>
  </w:num>
  <w:num w:numId="412">
    <w:abstractNumId w:val="383"/>
  </w:num>
  <w:num w:numId="413">
    <w:abstractNumId w:val="421"/>
  </w:num>
  <w:num w:numId="414">
    <w:abstractNumId w:val="356"/>
  </w:num>
  <w:num w:numId="415">
    <w:abstractNumId w:val="303"/>
  </w:num>
  <w:num w:numId="416">
    <w:abstractNumId w:val="119"/>
  </w:num>
  <w:num w:numId="417">
    <w:abstractNumId w:val="437"/>
  </w:num>
  <w:num w:numId="418">
    <w:abstractNumId w:val="306"/>
  </w:num>
  <w:num w:numId="419">
    <w:abstractNumId w:val="7"/>
  </w:num>
  <w:num w:numId="420">
    <w:abstractNumId w:val="384"/>
  </w:num>
  <w:num w:numId="421">
    <w:abstractNumId w:val="50"/>
  </w:num>
  <w:num w:numId="422">
    <w:abstractNumId w:val="77"/>
  </w:num>
  <w:num w:numId="423">
    <w:abstractNumId w:val="347"/>
  </w:num>
  <w:num w:numId="424">
    <w:abstractNumId w:val="67"/>
  </w:num>
  <w:num w:numId="425">
    <w:abstractNumId w:val="143"/>
  </w:num>
  <w:num w:numId="426">
    <w:abstractNumId w:val="433"/>
  </w:num>
  <w:num w:numId="427">
    <w:abstractNumId w:val="254"/>
  </w:num>
  <w:num w:numId="428">
    <w:abstractNumId w:val="141"/>
  </w:num>
  <w:num w:numId="429">
    <w:abstractNumId w:val="414"/>
  </w:num>
  <w:num w:numId="430">
    <w:abstractNumId w:val="118"/>
  </w:num>
  <w:num w:numId="431">
    <w:abstractNumId w:val="45"/>
  </w:num>
  <w:num w:numId="432">
    <w:abstractNumId w:val="239"/>
  </w:num>
  <w:num w:numId="433">
    <w:abstractNumId w:val="223"/>
  </w:num>
  <w:num w:numId="434">
    <w:abstractNumId w:val="122"/>
  </w:num>
  <w:num w:numId="435">
    <w:abstractNumId w:val="132"/>
  </w:num>
  <w:num w:numId="436">
    <w:abstractNumId w:val="83"/>
  </w:num>
  <w:num w:numId="437">
    <w:abstractNumId w:val="431"/>
  </w:num>
  <w:num w:numId="438">
    <w:abstractNumId w:val="23"/>
  </w:num>
  <w:num w:numId="439">
    <w:abstractNumId w:val="203"/>
  </w:num>
  <w:num w:numId="440">
    <w:abstractNumId w:val="351"/>
  </w:num>
  <w:num w:numId="441">
    <w:abstractNumId w:val="352"/>
  </w:num>
  <w:num w:numId="442">
    <w:abstractNumId w:val="99"/>
  </w:num>
  <w:num w:numId="443">
    <w:abstractNumId w:val="451"/>
  </w:num>
  <w:num w:numId="444">
    <w:abstractNumId w:val="459"/>
  </w:num>
  <w:num w:numId="445">
    <w:abstractNumId w:val="398"/>
  </w:num>
  <w:num w:numId="446">
    <w:abstractNumId w:val="154"/>
  </w:num>
  <w:num w:numId="447">
    <w:abstractNumId w:val="15"/>
  </w:num>
  <w:num w:numId="448">
    <w:abstractNumId w:val="146"/>
  </w:num>
  <w:num w:numId="449">
    <w:abstractNumId w:val="389"/>
  </w:num>
  <w:num w:numId="450">
    <w:abstractNumId w:val="58"/>
  </w:num>
  <w:num w:numId="451">
    <w:abstractNumId w:val="432"/>
  </w:num>
  <w:num w:numId="452">
    <w:abstractNumId w:val="331"/>
  </w:num>
  <w:num w:numId="453">
    <w:abstractNumId w:val="301"/>
  </w:num>
  <w:num w:numId="454">
    <w:abstractNumId w:val="237"/>
  </w:num>
  <w:num w:numId="455">
    <w:abstractNumId w:val="6"/>
  </w:num>
  <w:num w:numId="456">
    <w:abstractNumId w:val="28"/>
  </w:num>
  <w:num w:numId="457">
    <w:abstractNumId w:val="275"/>
  </w:num>
  <w:num w:numId="458">
    <w:abstractNumId w:val="84"/>
  </w:num>
  <w:num w:numId="459">
    <w:abstractNumId w:val="222"/>
  </w:num>
  <w:num w:numId="460">
    <w:abstractNumId w:val="207"/>
  </w:num>
  <w:num w:numId="461">
    <w:abstractNumId w:val="251"/>
  </w:num>
  <w:num w:numId="462">
    <w:abstractNumId w:val="73"/>
  </w:num>
  <w:num w:numId="463">
    <w:abstractNumId w:val="360"/>
  </w:num>
  <w:num w:numId="464">
    <w:abstractNumId w:val="168"/>
  </w:num>
  <w:num w:numId="465">
    <w:abstractNumId w:val="148"/>
  </w:num>
  <w:num w:numId="466">
    <w:abstractNumId w:val="410"/>
  </w:num>
  <w:num w:numId="467">
    <w:abstractNumId w:val="117"/>
  </w:num>
  <w:num w:numId="468">
    <w:abstractNumId w:val="300"/>
  </w:num>
  <w:num w:numId="469">
    <w:abstractNumId w:val="464"/>
  </w:num>
  <w:num w:numId="470">
    <w:abstractNumId w:val="14"/>
  </w:num>
  <w:numIdMacAtCleanup w:val="46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activeWritingStyle w:appName="MSWord" w:lang="fr-FR" w:vendorID="64" w:dllVersion="6" w:nlCheck="1" w:checkStyle="1"/>
  <w:activeWritingStyle w:appName="MSWord" w:lang="en-US" w:vendorID="64" w:dllVersion="6" w:nlCheck="1" w:checkStyle="1"/>
  <w:activeWritingStyle w:appName="MSWord" w:lang="tr-TR" w:vendorID="64" w:dllVersion="4096" w:nlCheck="1" w:checkStyle="0"/>
  <w:activeWritingStyle w:appName="MSWord" w:lang="fr-FR" w:vendorID="64" w:dllVersion="4096" w:nlCheck="1" w:checkStyle="0"/>
  <w:activeWritingStyle w:appName="MSWord" w:lang="en-US" w:vendorID="64" w:dllVersion="4096" w:nlCheck="1" w:checkStyle="0"/>
  <w:activeWritingStyle w:appName="MSWord" w:lang="fr-FR" w:vendorID="64" w:dllVersion="131078" w:nlCheck="1" w:checkStyle="1"/>
  <w:activeWritingStyle w:appName="MSWord" w:lang="en-US" w:vendorID="64" w:dllVersion="131078" w:nlCheck="1" w:checkStyle="1"/>
  <w:defaultTabStop w:val="709"/>
  <w:hyphenationZone w:val="425"/>
  <w:noPunctuationKerning/>
  <w:characterSpacingControl w:val="doNotCompress"/>
  <w:footnotePr>
    <w:numRestart w:val="eachPage"/>
    <w:footnote w:id="-1"/>
    <w:footnote w:id="0"/>
  </w:footnotePr>
  <w:endnotePr>
    <w:pos w:val="sectEnd"/>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17D8"/>
    <w:rsid w:val="000012B4"/>
    <w:rsid w:val="00001978"/>
    <w:rsid w:val="00005131"/>
    <w:rsid w:val="000059EB"/>
    <w:rsid w:val="0000620F"/>
    <w:rsid w:val="00006E5A"/>
    <w:rsid w:val="0000703C"/>
    <w:rsid w:val="00010493"/>
    <w:rsid w:val="0001061F"/>
    <w:rsid w:val="0001256B"/>
    <w:rsid w:val="000129C8"/>
    <w:rsid w:val="00012B51"/>
    <w:rsid w:val="0001450C"/>
    <w:rsid w:val="00015466"/>
    <w:rsid w:val="00016271"/>
    <w:rsid w:val="0002143D"/>
    <w:rsid w:val="00021AEC"/>
    <w:rsid w:val="00030B8A"/>
    <w:rsid w:val="0003150C"/>
    <w:rsid w:val="00032238"/>
    <w:rsid w:val="0003384E"/>
    <w:rsid w:val="00034E5B"/>
    <w:rsid w:val="0003607C"/>
    <w:rsid w:val="000373C7"/>
    <w:rsid w:val="0004143B"/>
    <w:rsid w:val="0004154E"/>
    <w:rsid w:val="00042A48"/>
    <w:rsid w:val="000434FA"/>
    <w:rsid w:val="0004697B"/>
    <w:rsid w:val="00047689"/>
    <w:rsid w:val="0005000C"/>
    <w:rsid w:val="00051047"/>
    <w:rsid w:val="000533AE"/>
    <w:rsid w:val="00055F78"/>
    <w:rsid w:val="000610BB"/>
    <w:rsid w:val="0006176F"/>
    <w:rsid w:val="00066A50"/>
    <w:rsid w:val="00067050"/>
    <w:rsid w:val="0007441E"/>
    <w:rsid w:val="000745D9"/>
    <w:rsid w:val="0007544E"/>
    <w:rsid w:val="00077A57"/>
    <w:rsid w:val="0008189C"/>
    <w:rsid w:val="00081B81"/>
    <w:rsid w:val="0008201D"/>
    <w:rsid w:val="00082F57"/>
    <w:rsid w:val="0008320E"/>
    <w:rsid w:val="00085382"/>
    <w:rsid w:val="000856A6"/>
    <w:rsid w:val="00086A03"/>
    <w:rsid w:val="000918AA"/>
    <w:rsid w:val="00092BD4"/>
    <w:rsid w:val="00092DAF"/>
    <w:rsid w:val="00093948"/>
    <w:rsid w:val="00094C63"/>
    <w:rsid w:val="0009651F"/>
    <w:rsid w:val="000970BB"/>
    <w:rsid w:val="0009773D"/>
    <w:rsid w:val="000978CB"/>
    <w:rsid w:val="000A1221"/>
    <w:rsid w:val="000A4572"/>
    <w:rsid w:val="000A4DB4"/>
    <w:rsid w:val="000A5707"/>
    <w:rsid w:val="000A7F07"/>
    <w:rsid w:val="000B198D"/>
    <w:rsid w:val="000B4383"/>
    <w:rsid w:val="000B4BFB"/>
    <w:rsid w:val="000B57B0"/>
    <w:rsid w:val="000B7DF1"/>
    <w:rsid w:val="000C022D"/>
    <w:rsid w:val="000C5F09"/>
    <w:rsid w:val="000C68A2"/>
    <w:rsid w:val="000D0492"/>
    <w:rsid w:val="000D0947"/>
    <w:rsid w:val="000D0CF9"/>
    <w:rsid w:val="000D4574"/>
    <w:rsid w:val="000D48A7"/>
    <w:rsid w:val="000D5EC0"/>
    <w:rsid w:val="000D79A7"/>
    <w:rsid w:val="000D7A4E"/>
    <w:rsid w:val="000D7F46"/>
    <w:rsid w:val="000E0130"/>
    <w:rsid w:val="000E3261"/>
    <w:rsid w:val="000E33CA"/>
    <w:rsid w:val="000E42E8"/>
    <w:rsid w:val="000E7923"/>
    <w:rsid w:val="000F1A87"/>
    <w:rsid w:val="000F4571"/>
    <w:rsid w:val="000F61EC"/>
    <w:rsid w:val="000F6B4D"/>
    <w:rsid w:val="00103965"/>
    <w:rsid w:val="00105806"/>
    <w:rsid w:val="00105FCA"/>
    <w:rsid w:val="00106228"/>
    <w:rsid w:val="00107700"/>
    <w:rsid w:val="001104F2"/>
    <w:rsid w:val="00113B8F"/>
    <w:rsid w:val="001148BF"/>
    <w:rsid w:val="00114D0D"/>
    <w:rsid w:val="00117673"/>
    <w:rsid w:val="00121924"/>
    <w:rsid w:val="001223B1"/>
    <w:rsid w:val="001227FA"/>
    <w:rsid w:val="00124C60"/>
    <w:rsid w:val="00125118"/>
    <w:rsid w:val="001251BB"/>
    <w:rsid w:val="001264A9"/>
    <w:rsid w:val="00127D94"/>
    <w:rsid w:val="00130A27"/>
    <w:rsid w:val="0013241B"/>
    <w:rsid w:val="00132CC8"/>
    <w:rsid w:val="00132FDA"/>
    <w:rsid w:val="00134E9B"/>
    <w:rsid w:val="0013619E"/>
    <w:rsid w:val="00136697"/>
    <w:rsid w:val="00136F2B"/>
    <w:rsid w:val="00137007"/>
    <w:rsid w:val="001403F0"/>
    <w:rsid w:val="00140710"/>
    <w:rsid w:val="00140F1E"/>
    <w:rsid w:val="0014220F"/>
    <w:rsid w:val="001422B5"/>
    <w:rsid w:val="00142FEF"/>
    <w:rsid w:val="00143D01"/>
    <w:rsid w:val="001534A3"/>
    <w:rsid w:val="001546A4"/>
    <w:rsid w:val="001559CB"/>
    <w:rsid w:val="00160C9F"/>
    <w:rsid w:val="00161343"/>
    <w:rsid w:val="001620CF"/>
    <w:rsid w:val="00163FD5"/>
    <w:rsid w:val="00164AB4"/>
    <w:rsid w:val="00165484"/>
    <w:rsid w:val="0016599D"/>
    <w:rsid w:val="001666DB"/>
    <w:rsid w:val="00167200"/>
    <w:rsid w:val="0017089B"/>
    <w:rsid w:val="00171726"/>
    <w:rsid w:val="001719C6"/>
    <w:rsid w:val="00173FD1"/>
    <w:rsid w:val="001758A0"/>
    <w:rsid w:val="00175D18"/>
    <w:rsid w:val="00176B16"/>
    <w:rsid w:val="00182791"/>
    <w:rsid w:val="001835A8"/>
    <w:rsid w:val="00183938"/>
    <w:rsid w:val="00185F5F"/>
    <w:rsid w:val="00187224"/>
    <w:rsid w:val="00190507"/>
    <w:rsid w:val="0019234A"/>
    <w:rsid w:val="001931D8"/>
    <w:rsid w:val="00195051"/>
    <w:rsid w:val="00196F2E"/>
    <w:rsid w:val="00196FB6"/>
    <w:rsid w:val="00197998"/>
    <w:rsid w:val="001A234D"/>
    <w:rsid w:val="001A253A"/>
    <w:rsid w:val="001A2AE0"/>
    <w:rsid w:val="001A2EC1"/>
    <w:rsid w:val="001A3093"/>
    <w:rsid w:val="001A333D"/>
    <w:rsid w:val="001B153A"/>
    <w:rsid w:val="001B2553"/>
    <w:rsid w:val="001B3C5A"/>
    <w:rsid w:val="001B58A9"/>
    <w:rsid w:val="001B58DB"/>
    <w:rsid w:val="001B5AE1"/>
    <w:rsid w:val="001B5AF0"/>
    <w:rsid w:val="001B6225"/>
    <w:rsid w:val="001B629C"/>
    <w:rsid w:val="001B71A9"/>
    <w:rsid w:val="001C4143"/>
    <w:rsid w:val="001C5108"/>
    <w:rsid w:val="001D0A9D"/>
    <w:rsid w:val="001D2C2D"/>
    <w:rsid w:val="001D2D10"/>
    <w:rsid w:val="001D5364"/>
    <w:rsid w:val="001D708B"/>
    <w:rsid w:val="001E0274"/>
    <w:rsid w:val="001E17A2"/>
    <w:rsid w:val="001E1ECE"/>
    <w:rsid w:val="001E6C8D"/>
    <w:rsid w:val="001E72A3"/>
    <w:rsid w:val="001E75B0"/>
    <w:rsid w:val="001E7C83"/>
    <w:rsid w:val="001F0311"/>
    <w:rsid w:val="001F298E"/>
    <w:rsid w:val="001F465C"/>
    <w:rsid w:val="001F4710"/>
    <w:rsid w:val="001F4AD7"/>
    <w:rsid w:val="001F4F5F"/>
    <w:rsid w:val="001F551B"/>
    <w:rsid w:val="001F5871"/>
    <w:rsid w:val="001F5984"/>
    <w:rsid w:val="001F73C7"/>
    <w:rsid w:val="001F78F9"/>
    <w:rsid w:val="001F7973"/>
    <w:rsid w:val="002000F9"/>
    <w:rsid w:val="0020097A"/>
    <w:rsid w:val="00201E6F"/>
    <w:rsid w:val="00203B99"/>
    <w:rsid w:val="00203FA5"/>
    <w:rsid w:val="00206F43"/>
    <w:rsid w:val="002112C8"/>
    <w:rsid w:val="0021141D"/>
    <w:rsid w:val="00211788"/>
    <w:rsid w:val="002135B5"/>
    <w:rsid w:val="00217B55"/>
    <w:rsid w:val="0022168F"/>
    <w:rsid w:val="002276FC"/>
    <w:rsid w:val="0023086D"/>
    <w:rsid w:val="00232D16"/>
    <w:rsid w:val="0023343B"/>
    <w:rsid w:val="0023353B"/>
    <w:rsid w:val="0023477B"/>
    <w:rsid w:val="00235760"/>
    <w:rsid w:val="00236715"/>
    <w:rsid w:val="002369A8"/>
    <w:rsid w:val="0023718A"/>
    <w:rsid w:val="002372EF"/>
    <w:rsid w:val="00240E71"/>
    <w:rsid w:val="00242DA0"/>
    <w:rsid w:val="00247280"/>
    <w:rsid w:val="00250B85"/>
    <w:rsid w:val="002516AF"/>
    <w:rsid w:val="00251EA2"/>
    <w:rsid w:val="00255910"/>
    <w:rsid w:val="00255EBA"/>
    <w:rsid w:val="002566A1"/>
    <w:rsid w:val="00257322"/>
    <w:rsid w:val="002617EF"/>
    <w:rsid w:val="002620E9"/>
    <w:rsid w:val="002623D3"/>
    <w:rsid w:val="00264524"/>
    <w:rsid w:val="002654C8"/>
    <w:rsid w:val="002702F1"/>
    <w:rsid w:val="00270564"/>
    <w:rsid w:val="00271AF8"/>
    <w:rsid w:val="0027275A"/>
    <w:rsid w:val="00274519"/>
    <w:rsid w:val="0027539F"/>
    <w:rsid w:val="002804BD"/>
    <w:rsid w:val="00281101"/>
    <w:rsid w:val="00281332"/>
    <w:rsid w:val="00282038"/>
    <w:rsid w:val="002826E3"/>
    <w:rsid w:val="0028302C"/>
    <w:rsid w:val="00285275"/>
    <w:rsid w:val="002855B1"/>
    <w:rsid w:val="00287809"/>
    <w:rsid w:val="00287904"/>
    <w:rsid w:val="0029327A"/>
    <w:rsid w:val="002932B6"/>
    <w:rsid w:val="00293950"/>
    <w:rsid w:val="002948DB"/>
    <w:rsid w:val="00294CEA"/>
    <w:rsid w:val="002959C8"/>
    <w:rsid w:val="00295CEB"/>
    <w:rsid w:val="002969F2"/>
    <w:rsid w:val="00297939"/>
    <w:rsid w:val="002A1030"/>
    <w:rsid w:val="002A139C"/>
    <w:rsid w:val="002A4A93"/>
    <w:rsid w:val="002A548C"/>
    <w:rsid w:val="002B0E52"/>
    <w:rsid w:val="002B24E9"/>
    <w:rsid w:val="002B2CB0"/>
    <w:rsid w:val="002B3C66"/>
    <w:rsid w:val="002C198B"/>
    <w:rsid w:val="002C23B9"/>
    <w:rsid w:val="002C26E8"/>
    <w:rsid w:val="002C54C6"/>
    <w:rsid w:val="002D2591"/>
    <w:rsid w:val="002D30FB"/>
    <w:rsid w:val="002D394D"/>
    <w:rsid w:val="002D7B18"/>
    <w:rsid w:val="002D7B36"/>
    <w:rsid w:val="002E059F"/>
    <w:rsid w:val="002E3072"/>
    <w:rsid w:val="002E3357"/>
    <w:rsid w:val="002E4DEA"/>
    <w:rsid w:val="002E58CA"/>
    <w:rsid w:val="002E649B"/>
    <w:rsid w:val="002F2123"/>
    <w:rsid w:val="002F3FD4"/>
    <w:rsid w:val="002F5B42"/>
    <w:rsid w:val="002F5BBD"/>
    <w:rsid w:val="00301668"/>
    <w:rsid w:val="00301A9C"/>
    <w:rsid w:val="003034D5"/>
    <w:rsid w:val="003069A1"/>
    <w:rsid w:val="003075D7"/>
    <w:rsid w:val="0031013B"/>
    <w:rsid w:val="00313CC8"/>
    <w:rsid w:val="00314050"/>
    <w:rsid w:val="0031699D"/>
    <w:rsid w:val="00321302"/>
    <w:rsid w:val="003220AF"/>
    <w:rsid w:val="00324E87"/>
    <w:rsid w:val="0032662E"/>
    <w:rsid w:val="00327A59"/>
    <w:rsid w:val="003304B5"/>
    <w:rsid w:val="00330FF8"/>
    <w:rsid w:val="003357F9"/>
    <w:rsid w:val="00336884"/>
    <w:rsid w:val="00341989"/>
    <w:rsid w:val="003439B7"/>
    <w:rsid w:val="00343A91"/>
    <w:rsid w:val="003440D3"/>
    <w:rsid w:val="003444E6"/>
    <w:rsid w:val="00344DAF"/>
    <w:rsid w:val="00344FC6"/>
    <w:rsid w:val="003478AE"/>
    <w:rsid w:val="003509F0"/>
    <w:rsid w:val="00351D6A"/>
    <w:rsid w:val="003534FA"/>
    <w:rsid w:val="0035496B"/>
    <w:rsid w:val="0035771E"/>
    <w:rsid w:val="003638DD"/>
    <w:rsid w:val="003641E5"/>
    <w:rsid w:val="003673E6"/>
    <w:rsid w:val="003674D6"/>
    <w:rsid w:val="00373C0C"/>
    <w:rsid w:val="003749B3"/>
    <w:rsid w:val="00377A3A"/>
    <w:rsid w:val="003813F3"/>
    <w:rsid w:val="00381FB4"/>
    <w:rsid w:val="00382808"/>
    <w:rsid w:val="003844BE"/>
    <w:rsid w:val="00384B5F"/>
    <w:rsid w:val="0038580A"/>
    <w:rsid w:val="00387FAA"/>
    <w:rsid w:val="003921AA"/>
    <w:rsid w:val="00392980"/>
    <w:rsid w:val="00392EA7"/>
    <w:rsid w:val="00393457"/>
    <w:rsid w:val="00395646"/>
    <w:rsid w:val="0039575D"/>
    <w:rsid w:val="00396D01"/>
    <w:rsid w:val="003A2FC9"/>
    <w:rsid w:val="003A31E6"/>
    <w:rsid w:val="003A4B10"/>
    <w:rsid w:val="003A7EF8"/>
    <w:rsid w:val="003A7F31"/>
    <w:rsid w:val="003B1C64"/>
    <w:rsid w:val="003B25CE"/>
    <w:rsid w:val="003B4438"/>
    <w:rsid w:val="003B56DA"/>
    <w:rsid w:val="003B5C00"/>
    <w:rsid w:val="003B61E7"/>
    <w:rsid w:val="003B7064"/>
    <w:rsid w:val="003B7ABA"/>
    <w:rsid w:val="003C032C"/>
    <w:rsid w:val="003C11A4"/>
    <w:rsid w:val="003C2689"/>
    <w:rsid w:val="003C361A"/>
    <w:rsid w:val="003C361B"/>
    <w:rsid w:val="003C4306"/>
    <w:rsid w:val="003C5E9B"/>
    <w:rsid w:val="003C676F"/>
    <w:rsid w:val="003C7891"/>
    <w:rsid w:val="003D15AE"/>
    <w:rsid w:val="003D1EE9"/>
    <w:rsid w:val="003D2519"/>
    <w:rsid w:val="003D2710"/>
    <w:rsid w:val="003D2907"/>
    <w:rsid w:val="003D2EBB"/>
    <w:rsid w:val="003D3802"/>
    <w:rsid w:val="003D51C5"/>
    <w:rsid w:val="003D60FE"/>
    <w:rsid w:val="003D6D3F"/>
    <w:rsid w:val="003D6E1B"/>
    <w:rsid w:val="003D74CF"/>
    <w:rsid w:val="003D78CE"/>
    <w:rsid w:val="003E22D2"/>
    <w:rsid w:val="003E3484"/>
    <w:rsid w:val="003E4518"/>
    <w:rsid w:val="003E77D3"/>
    <w:rsid w:val="003E7B49"/>
    <w:rsid w:val="003F01A9"/>
    <w:rsid w:val="003F124E"/>
    <w:rsid w:val="003F2650"/>
    <w:rsid w:val="003F301A"/>
    <w:rsid w:val="003F316D"/>
    <w:rsid w:val="003F7BD8"/>
    <w:rsid w:val="0040229E"/>
    <w:rsid w:val="004029B0"/>
    <w:rsid w:val="00402A0D"/>
    <w:rsid w:val="00404379"/>
    <w:rsid w:val="00404671"/>
    <w:rsid w:val="00404C7D"/>
    <w:rsid w:val="00406930"/>
    <w:rsid w:val="00406EA1"/>
    <w:rsid w:val="0041109A"/>
    <w:rsid w:val="00412898"/>
    <w:rsid w:val="00412E94"/>
    <w:rsid w:val="0041460C"/>
    <w:rsid w:val="0042305E"/>
    <w:rsid w:val="00423D19"/>
    <w:rsid w:val="00423FF3"/>
    <w:rsid w:val="00425492"/>
    <w:rsid w:val="00431365"/>
    <w:rsid w:val="00433784"/>
    <w:rsid w:val="00437154"/>
    <w:rsid w:val="004375BA"/>
    <w:rsid w:val="00441404"/>
    <w:rsid w:val="00441E80"/>
    <w:rsid w:val="00442418"/>
    <w:rsid w:val="00445E7B"/>
    <w:rsid w:val="004473DD"/>
    <w:rsid w:val="00447775"/>
    <w:rsid w:val="004505B6"/>
    <w:rsid w:val="0045141B"/>
    <w:rsid w:val="0045209D"/>
    <w:rsid w:val="00452AB9"/>
    <w:rsid w:val="0045371E"/>
    <w:rsid w:val="004541BE"/>
    <w:rsid w:val="00454B12"/>
    <w:rsid w:val="00454E08"/>
    <w:rsid w:val="00457531"/>
    <w:rsid w:val="00457F64"/>
    <w:rsid w:val="00464AC4"/>
    <w:rsid w:val="0046548F"/>
    <w:rsid w:val="0046577A"/>
    <w:rsid w:val="00467E74"/>
    <w:rsid w:val="00470AD1"/>
    <w:rsid w:val="00471D54"/>
    <w:rsid w:val="0047668F"/>
    <w:rsid w:val="00476E51"/>
    <w:rsid w:val="00477124"/>
    <w:rsid w:val="00480793"/>
    <w:rsid w:val="00482FE5"/>
    <w:rsid w:val="004837CD"/>
    <w:rsid w:val="00483E27"/>
    <w:rsid w:val="004940FF"/>
    <w:rsid w:val="00494945"/>
    <w:rsid w:val="004955A8"/>
    <w:rsid w:val="00496596"/>
    <w:rsid w:val="004976F1"/>
    <w:rsid w:val="00497BC3"/>
    <w:rsid w:val="004A524E"/>
    <w:rsid w:val="004A6ACD"/>
    <w:rsid w:val="004A78A6"/>
    <w:rsid w:val="004B0CDF"/>
    <w:rsid w:val="004B1314"/>
    <w:rsid w:val="004B7960"/>
    <w:rsid w:val="004C1391"/>
    <w:rsid w:val="004C1BEB"/>
    <w:rsid w:val="004C4F03"/>
    <w:rsid w:val="004C6305"/>
    <w:rsid w:val="004C6C82"/>
    <w:rsid w:val="004D1FEF"/>
    <w:rsid w:val="004D265E"/>
    <w:rsid w:val="004D26BE"/>
    <w:rsid w:val="004D3A4A"/>
    <w:rsid w:val="004D577B"/>
    <w:rsid w:val="004E09D1"/>
    <w:rsid w:val="004E319C"/>
    <w:rsid w:val="004E38AC"/>
    <w:rsid w:val="004E52D3"/>
    <w:rsid w:val="004E5BC1"/>
    <w:rsid w:val="004E6B2F"/>
    <w:rsid w:val="004E755A"/>
    <w:rsid w:val="004E7F54"/>
    <w:rsid w:val="004F38D3"/>
    <w:rsid w:val="004F6E3B"/>
    <w:rsid w:val="004F7D49"/>
    <w:rsid w:val="005049DC"/>
    <w:rsid w:val="00505CBD"/>
    <w:rsid w:val="00506780"/>
    <w:rsid w:val="005072DA"/>
    <w:rsid w:val="00507C06"/>
    <w:rsid w:val="00510CF6"/>
    <w:rsid w:val="00513B24"/>
    <w:rsid w:val="00513F7D"/>
    <w:rsid w:val="00514309"/>
    <w:rsid w:val="005148B3"/>
    <w:rsid w:val="00517EEE"/>
    <w:rsid w:val="00520DD2"/>
    <w:rsid w:val="00522021"/>
    <w:rsid w:val="00522A9B"/>
    <w:rsid w:val="00523AA8"/>
    <w:rsid w:val="005240A0"/>
    <w:rsid w:val="00525349"/>
    <w:rsid w:val="0052648E"/>
    <w:rsid w:val="0053289F"/>
    <w:rsid w:val="0053612E"/>
    <w:rsid w:val="00536E67"/>
    <w:rsid w:val="005375BB"/>
    <w:rsid w:val="00540548"/>
    <w:rsid w:val="00540BD5"/>
    <w:rsid w:val="005419CF"/>
    <w:rsid w:val="00542607"/>
    <w:rsid w:val="005443CA"/>
    <w:rsid w:val="005454AA"/>
    <w:rsid w:val="0054594E"/>
    <w:rsid w:val="0054638E"/>
    <w:rsid w:val="00546B0E"/>
    <w:rsid w:val="005501E3"/>
    <w:rsid w:val="005512D7"/>
    <w:rsid w:val="005524FB"/>
    <w:rsid w:val="00552BDF"/>
    <w:rsid w:val="0055404E"/>
    <w:rsid w:val="00555BA3"/>
    <w:rsid w:val="00557E4B"/>
    <w:rsid w:val="00560CDA"/>
    <w:rsid w:val="0056190D"/>
    <w:rsid w:val="00561C9D"/>
    <w:rsid w:val="005652E5"/>
    <w:rsid w:val="005667DF"/>
    <w:rsid w:val="00570441"/>
    <w:rsid w:val="0057065A"/>
    <w:rsid w:val="00572084"/>
    <w:rsid w:val="0057308A"/>
    <w:rsid w:val="005737AB"/>
    <w:rsid w:val="00573E2B"/>
    <w:rsid w:val="00580FD5"/>
    <w:rsid w:val="005821B9"/>
    <w:rsid w:val="00582BF5"/>
    <w:rsid w:val="00583AE9"/>
    <w:rsid w:val="00586300"/>
    <w:rsid w:val="00586567"/>
    <w:rsid w:val="00586A10"/>
    <w:rsid w:val="00587CB1"/>
    <w:rsid w:val="00590D92"/>
    <w:rsid w:val="0059217B"/>
    <w:rsid w:val="00592B0C"/>
    <w:rsid w:val="00592F75"/>
    <w:rsid w:val="005969A9"/>
    <w:rsid w:val="005978B8"/>
    <w:rsid w:val="005A1F30"/>
    <w:rsid w:val="005A230B"/>
    <w:rsid w:val="005A2ACF"/>
    <w:rsid w:val="005A4AB7"/>
    <w:rsid w:val="005A58FA"/>
    <w:rsid w:val="005A5AFB"/>
    <w:rsid w:val="005A5B67"/>
    <w:rsid w:val="005A77FD"/>
    <w:rsid w:val="005B014A"/>
    <w:rsid w:val="005B44D8"/>
    <w:rsid w:val="005B53DA"/>
    <w:rsid w:val="005B5FC2"/>
    <w:rsid w:val="005B77DB"/>
    <w:rsid w:val="005B794A"/>
    <w:rsid w:val="005B7F6A"/>
    <w:rsid w:val="005C0C56"/>
    <w:rsid w:val="005C1B1F"/>
    <w:rsid w:val="005C1EAB"/>
    <w:rsid w:val="005C2641"/>
    <w:rsid w:val="005C40B6"/>
    <w:rsid w:val="005C6B5D"/>
    <w:rsid w:val="005C6D9F"/>
    <w:rsid w:val="005D02D9"/>
    <w:rsid w:val="005D0E41"/>
    <w:rsid w:val="005D2839"/>
    <w:rsid w:val="005D34B7"/>
    <w:rsid w:val="005D3907"/>
    <w:rsid w:val="005E0D60"/>
    <w:rsid w:val="005E1C7E"/>
    <w:rsid w:val="005E5CEE"/>
    <w:rsid w:val="005E7EF7"/>
    <w:rsid w:val="005F1765"/>
    <w:rsid w:val="005F193A"/>
    <w:rsid w:val="005F46F8"/>
    <w:rsid w:val="005F48B0"/>
    <w:rsid w:val="005F4B63"/>
    <w:rsid w:val="005F4B71"/>
    <w:rsid w:val="005F6AB9"/>
    <w:rsid w:val="006028B3"/>
    <w:rsid w:val="00604C9C"/>
    <w:rsid w:val="00604CF8"/>
    <w:rsid w:val="006065F5"/>
    <w:rsid w:val="00606C48"/>
    <w:rsid w:val="00610305"/>
    <w:rsid w:val="00617A00"/>
    <w:rsid w:val="0062384A"/>
    <w:rsid w:val="00627251"/>
    <w:rsid w:val="00630B0C"/>
    <w:rsid w:val="00631EAE"/>
    <w:rsid w:val="00633688"/>
    <w:rsid w:val="00633F48"/>
    <w:rsid w:val="0063407D"/>
    <w:rsid w:val="00640637"/>
    <w:rsid w:val="00641BD1"/>
    <w:rsid w:val="00641E10"/>
    <w:rsid w:val="00644DDB"/>
    <w:rsid w:val="006508F6"/>
    <w:rsid w:val="00650FCB"/>
    <w:rsid w:val="006511CE"/>
    <w:rsid w:val="00651EFF"/>
    <w:rsid w:val="00652D1E"/>
    <w:rsid w:val="00653660"/>
    <w:rsid w:val="00655C85"/>
    <w:rsid w:val="0066344A"/>
    <w:rsid w:val="006641B0"/>
    <w:rsid w:val="00664325"/>
    <w:rsid w:val="00664507"/>
    <w:rsid w:val="006652A0"/>
    <w:rsid w:val="0066751C"/>
    <w:rsid w:val="006743BC"/>
    <w:rsid w:val="00674442"/>
    <w:rsid w:val="00675CA7"/>
    <w:rsid w:val="00675FC1"/>
    <w:rsid w:val="006762AD"/>
    <w:rsid w:val="00676863"/>
    <w:rsid w:val="00677435"/>
    <w:rsid w:val="00677F2C"/>
    <w:rsid w:val="00680040"/>
    <w:rsid w:val="006816B0"/>
    <w:rsid w:val="00681A94"/>
    <w:rsid w:val="00681DA7"/>
    <w:rsid w:val="0068367B"/>
    <w:rsid w:val="00683833"/>
    <w:rsid w:val="0068592F"/>
    <w:rsid w:val="0069413E"/>
    <w:rsid w:val="00696AC5"/>
    <w:rsid w:val="00697681"/>
    <w:rsid w:val="0069783E"/>
    <w:rsid w:val="006A0A7C"/>
    <w:rsid w:val="006A1988"/>
    <w:rsid w:val="006A293D"/>
    <w:rsid w:val="006A2AA8"/>
    <w:rsid w:val="006A5B1C"/>
    <w:rsid w:val="006A689B"/>
    <w:rsid w:val="006A7CA1"/>
    <w:rsid w:val="006B086B"/>
    <w:rsid w:val="006B5E8E"/>
    <w:rsid w:val="006B6346"/>
    <w:rsid w:val="006C131B"/>
    <w:rsid w:val="006C313F"/>
    <w:rsid w:val="006C4D23"/>
    <w:rsid w:val="006C5305"/>
    <w:rsid w:val="006C5FA8"/>
    <w:rsid w:val="006C7D90"/>
    <w:rsid w:val="006D0DA6"/>
    <w:rsid w:val="006D2675"/>
    <w:rsid w:val="006D7ADF"/>
    <w:rsid w:val="006E0581"/>
    <w:rsid w:val="006E2491"/>
    <w:rsid w:val="006E272D"/>
    <w:rsid w:val="006E3031"/>
    <w:rsid w:val="006E5D65"/>
    <w:rsid w:val="006F2E3E"/>
    <w:rsid w:val="006F30D6"/>
    <w:rsid w:val="006F4A7F"/>
    <w:rsid w:val="006F6A17"/>
    <w:rsid w:val="007025C3"/>
    <w:rsid w:val="00706ECC"/>
    <w:rsid w:val="00713A78"/>
    <w:rsid w:val="00714D62"/>
    <w:rsid w:val="007163C2"/>
    <w:rsid w:val="00716C4F"/>
    <w:rsid w:val="00721C89"/>
    <w:rsid w:val="00722E32"/>
    <w:rsid w:val="00726E69"/>
    <w:rsid w:val="007327E6"/>
    <w:rsid w:val="007362F9"/>
    <w:rsid w:val="00736782"/>
    <w:rsid w:val="00737107"/>
    <w:rsid w:val="007410AF"/>
    <w:rsid w:val="00741F46"/>
    <w:rsid w:val="00742D9A"/>
    <w:rsid w:val="007433AB"/>
    <w:rsid w:val="00747166"/>
    <w:rsid w:val="007502D6"/>
    <w:rsid w:val="007503A2"/>
    <w:rsid w:val="0075111D"/>
    <w:rsid w:val="00753246"/>
    <w:rsid w:val="00753D50"/>
    <w:rsid w:val="00753EFD"/>
    <w:rsid w:val="0075455F"/>
    <w:rsid w:val="00755208"/>
    <w:rsid w:val="007576DF"/>
    <w:rsid w:val="00765379"/>
    <w:rsid w:val="007663C6"/>
    <w:rsid w:val="00766A6F"/>
    <w:rsid w:val="00767500"/>
    <w:rsid w:val="00767EC3"/>
    <w:rsid w:val="00771776"/>
    <w:rsid w:val="00773274"/>
    <w:rsid w:val="00773311"/>
    <w:rsid w:val="0077358D"/>
    <w:rsid w:val="007751A1"/>
    <w:rsid w:val="00775267"/>
    <w:rsid w:val="00776705"/>
    <w:rsid w:val="00777E18"/>
    <w:rsid w:val="00780D3A"/>
    <w:rsid w:val="00780EBA"/>
    <w:rsid w:val="0078202C"/>
    <w:rsid w:val="007827F0"/>
    <w:rsid w:val="00784AF3"/>
    <w:rsid w:val="007908DA"/>
    <w:rsid w:val="00792384"/>
    <w:rsid w:val="00794FBF"/>
    <w:rsid w:val="007A1AB5"/>
    <w:rsid w:val="007A2B0F"/>
    <w:rsid w:val="007A3A46"/>
    <w:rsid w:val="007A4717"/>
    <w:rsid w:val="007A5B54"/>
    <w:rsid w:val="007B1175"/>
    <w:rsid w:val="007B1B7D"/>
    <w:rsid w:val="007B28DB"/>
    <w:rsid w:val="007B3EB0"/>
    <w:rsid w:val="007C1B1D"/>
    <w:rsid w:val="007C32B1"/>
    <w:rsid w:val="007C432A"/>
    <w:rsid w:val="007C56F9"/>
    <w:rsid w:val="007C64EB"/>
    <w:rsid w:val="007C6B8E"/>
    <w:rsid w:val="007C70CB"/>
    <w:rsid w:val="007D0EA7"/>
    <w:rsid w:val="007D2050"/>
    <w:rsid w:val="007D226D"/>
    <w:rsid w:val="007D252A"/>
    <w:rsid w:val="007D3EF8"/>
    <w:rsid w:val="007D4F82"/>
    <w:rsid w:val="007D54C8"/>
    <w:rsid w:val="007D72B7"/>
    <w:rsid w:val="007D7395"/>
    <w:rsid w:val="007D7DDC"/>
    <w:rsid w:val="007E000E"/>
    <w:rsid w:val="007E00AA"/>
    <w:rsid w:val="007E2039"/>
    <w:rsid w:val="007E487E"/>
    <w:rsid w:val="007E5855"/>
    <w:rsid w:val="007E684C"/>
    <w:rsid w:val="007E728E"/>
    <w:rsid w:val="007E7E59"/>
    <w:rsid w:val="007F3B3F"/>
    <w:rsid w:val="007F3E08"/>
    <w:rsid w:val="007F3F43"/>
    <w:rsid w:val="007F57C1"/>
    <w:rsid w:val="007F62FA"/>
    <w:rsid w:val="007F6E28"/>
    <w:rsid w:val="007F76FF"/>
    <w:rsid w:val="0080062A"/>
    <w:rsid w:val="0080096A"/>
    <w:rsid w:val="00802712"/>
    <w:rsid w:val="00804290"/>
    <w:rsid w:val="00805038"/>
    <w:rsid w:val="008067E0"/>
    <w:rsid w:val="00806F4B"/>
    <w:rsid w:val="00811F2B"/>
    <w:rsid w:val="00813A7D"/>
    <w:rsid w:val="00821037"/>
    <w:rsid w:val="00822651"/>
    <w:rsid w:val="008242BF"/>
    <w:rsid w:val="00825EFD"/>
    <w:rsid w:val="00830FAC"/>
    <w:rsid w:val="0083233A"/>
    <w:rsid w:val="008357C0"/>
    <w:rsid w:val="00835ECB"/>
    <w:rsid w:val="00835F87"/>
    <w:rsid w:val="00841A54"/>
    <w:rsid w:val="00841D10"/>
    <w:rsid w:val="00844C42"/>
    <w:rsid w:val="008472A3"/>
    <w:rsid w:val="00850EBE"/>
    <w:rsid w:val="00852B6C"/>
    <w:rsid w:val="00852D26"/>
    <w:rsid w:val="00853730"/>
    <w:rsid w:val="00854ED8"/>
    <w:rsid w:val="00856833"/>
    <w:rsid w:val="00857130"/>
    <w:rsid w:val="0085745A"/>
    <w:rsid w:val="00857896"/>
    <w:rsid w:val="00860ABE"/>
    <w:rsid w:val="008612D9"/>
    <w:rsid w:val="00861C3B"/>
    <w:rsid w:val="008634A7"/>
    <w:rsid w:val="00866145"/>
    <w:rsid w:val="00872F0E"/>
    <w:rsid w:val="00874132"/>
    <w:rsid w:val="008750A9"/>
    <w:rsid w:val="00875D97"/>
    <w:rsid w:val="00876360"/>
    <w:rsid w:val="00877D3B"/>
    <w:rsid w:val="00883FF5"/>
    <w:rsid w:val="00886888"/>
    <w:rsid w:val="00890CBB"/>
    <w:rsid w:val="00892CC1"/>
    <w:rsid w:val="00896E59"/>
    <w:rsid w:val="00897160"/>
    <w:rsid w:val="008974E5"/>
    <w:rsid w:val="00897F27"/>
    <w:rsid w:val="008A25C6"/>
    <w:rsid w:val="008A4908"/>
    <w:rsid w:val="008B3D9F"/>
    <w:rsid w:val="008B49FF"/>
    <w:rsid w:val="008B5531"/>
    <w:rsid w:val="008B7E16"/>
    <w:rsid w:val="008C38A9"/>
    <w:rsid w:val="008C4B30"/>
    <w:rsid w:val="008C5730"/>
    <w:rsid w:val="008C6CBA"/>
    <w:rsid w:val="008C7297"/>
    <w:rsid w:val="008C77B2"/>
    <w:rsid w:val="008D2383"/>
    <w:rsid w:val="008D2F8F"/>
    <w:rsid w:val="008D5B5C"/>
    <w:rsid w:val="008E21D0"/>
    <w:rsid w:val="008E32ED"/>
    <w:rsid w:val="008E46EB"/>
    <w:rsid w:val="008E4FFA"/>
    <w:rsid w:val="008E5388"/>
    <w:rsid w:val="008E6900"/>
    <w:rsid w:val="008E7A86"/>
    <w:rsid w:val="008F007C"/>
    <w:rsid w:val="008F7746"/>
    <w:rsid w:val="0090144E"/>
    <w:rsid w:val="00901CEC"/>
    <w:rsid w:val="009060A9"/>
    <w:rsid w:val="00906219"/>
    <w:rsid w:val="00907C73"/>
    <w:rsid w:val="00910D8E"/>
    <w:rsid w:val="00910EB3"/>
    <w:rsid w:val="00911FC5"/>
    <w:rsid w:val="00912042"/>
    <w:rsid w:val="009137C8"/>
    <w:rsid w:val="0092113E"/>
    <w:rsid w:val="009267B8"/>
    <w:rsid w:val="00930587"/>
    <w:rsid w:val="00930EA5"/>
    <w:rsid w:val="00932A96"/>
    <w:rsid w:val="00934008"/>
    <w:rsid w:val="00934175"/>
    <w:rsid w:val="00934589"/>
    <w:rsid w:val="009359BC"/>
    <w:rsid w:val="00937186"/>
    <w:rsid w:val="00940297"/>
    <w:rsid w:val="009403CB"/>
    <w:rsid w:val="0094132D"/>
    <w:rsid w:val="0094180D"/>
    <w:rsid w:val="00943180"/>
    <w:rsid w:val="0094646F"/>
    <w:rsid w:val="00946B82"/>
    <w:rsid w:val="00951351"/>
    <w:rsid w:val="0095761A"/>
    <w:rsid w:val="0096132A"/>
    <w:rsid w:val="00962532"/>
    <w:rsid w:val="00962CA1"/>
    <w:rsid w:val="009633D5"/>
    <w:rsid w:val="009649C7"/>
    <w:rsid w:val="00965C97"/>
    <w:rsid w:val="00966A45"/>
    <w:rsid w:val="00966C4D"/>
    <w:rsid w:val="00966EFF"/>
    <w:rsid w:val="00967256"/>
    <w:rsid w:val="00967438"/>
    <w:rsid w:val="00970747"/>
    <w:rsid w:val="00971A2F"/>
    <w:rsid w:val="0097223E"/>
    <w:rsid w:val="009738BF"/>
    <w:rsid w:val="00973AD0"/>
    <w:rsid w:val="009745E1"/>
    <w:rsid w:val="00977983"/>
    <w:rsid w:val="00980275"/>
    <w:rsid w:val="0098134A"/>
    <w:rsid w:val="009832A8"/>
    <w:rsid w:val="009844FE"/>
    <w:rsid w:val="009849CC"/>
    <w:rsid w:val="00984A28"/>
    <w:rsid w:val="00984EC0"/>
    <w:rsid w:val="009854CE"/>
    <w:rsid w:val="00986213"/>
    <w:rsid w:val="0098735A"/>
    <w:rsid w:val="00987432"/>
    <w:rsid w:val="009947CD"/>
    <w:rsid w:val="0099729C"/>
    <w:rsid w:val="0099786D"/>
    <w:rsid w:val="009A2992"/>
    <w:rsid w:val="009A3C33"/>
    <w:rsid w:val="009A4172"/>
    <w:rsid w:val="009A45F4"/>
    <w:rsid w:val="009A6D1C"/>
    <w:rsid w:val="009B070E"/>
    <w:rsid w:val="009B1912"/>
    <w:rsid w:val="009B29C4"/>
    <w:rsid w:val="009B4806"/>
    <w:rsid w:val="009C355F"/>
    <w:rsid w:val="009C444B"/>
    <w:rsid w:val="009C462A"/>
    <w:rsid w:val="009C6D59"/>
    <w:rsid w:val="009C7A01"/>
    <w:rsid w:val="009C7D14"/>
    <w:rsid w:val="009D1D76"/>
    <w:rsid w:val="009D27F9"/>
    <w:rsid w:val="009D331B"/>
    <w:rsid w:val="009D4050"/>
    <w:rsid w:val="009D7C89"/>
    <w:rsid w:val="009E122C"/>
    <w:rsid w:val="009E224E"/>
    <w:rsid w:val="009E6A57"/>
    <w:rsid w:val="009F0CDC"/>
    <w:rsid w:val="009F111A"/>
    <w:rsid w:val="009F1E68"/>
    <w:rsid w:val="009F4766"/>
    <w:rsid w:val="009F7188"/>
    <w:rsid w:val="00A004E5"/>
    <w:rsid w:val="00A05EEB"/>
    <w:rsid w:val="00A121ED"/>
    <w:rsid w:val="00A128CA"/>
    <w:rsid w:val="00A145A1"/>
    <w:rsid w:val="00A21B70"/>
    <w:rsid w:val="00A24CAF"/>
    <w:rsid w:val="00A25516"/>
    <w:rsid w:val="00A26659"/>
    <w:rsid w:val="00A2716A"/>
    <w:rsid w:val="00A2764B"/>
    <w:rsid w:val="00A330E7"/>
    <w:rsid w:val="00A339A7"/>
    <w:rsid w:val="00A4195B"/>
    <w:rsid w:val="00A41FF8"/>
    <w:rsid w:val="00A42B9B"/>
    <w:rsid w:val="00A43271"/>
    <w:rsid w:val="00A455C2"/>
    <w:rsid w:val="00A4774E"/>
    <w:rsid w:val="00A5147B"/>
    <w:rsid w:val="00A517DD"/>
    <w:rsid w:val="00A5253E"/>
    <w:rsid w:val="00A53A7A"/>
    <w:rsid w:val="00A55BCF"/>
    <w:rsid w:val="00A6083D"/>
    <w:rsid w:val="00A60A9C"/>
    <w:rsid w:val="00A610FC"/>
    <w:rsid w:val="00A666E6"/>
    <w:rsid w:val="00A71599"/>
    <w:rsid w:val="00A71A9D"/>
    <w:rsid w:val="00A71EA8"/>
    <w:rsid w:val="00A722F0"/>
    <w:rsid w:val="00A74399"/>
    <w:rsid w:val="00A74944"/>
    <w:rsid w:val="00A754AE"/>
    <w:rsid w:val="00A761FA"/>
    <w:rsid w:val="00A76407"/>
    <w:rsid w:val="00A77643"/>
    <w:rsid w:val="00A77976"/>
    <w:rsid w:val="00A8049F"/>
    <w:rsid w:val="00A82A16"/>
    <w:rsid w:val="00A82D7E"/>
    <w:rsid w:val="00A839D1"/>
    <w:rsid w:val="00A84241"/>
    <w:rsid w:val="00A861A3"/>
    <w:rsid w:val="00A86887"/>
    <w:rsid w:val="00A87B3D"/>
    <w:rsid w:val="00A914FE"/>
    <w:rsid w:val="00A93835"/>
    <w:rsid w:val="00A951DB"/>
    <w:rsid w:val="00A95ADF"/>
    <w:rsid w:val="00A9747D"/>
    <w:rsid w:val="00AA0C54"/>
    <w:rsid w:val="00AA16F7"/>
    <w:rsid w:val="00AA23E9"/>
    <w:rsid w:val="00AA3D04"/>
    <w:rsid w:val="00AA5E93"/>
    <w:rsid w:val="00AA67AA"/>
    <w:rsid w:val="00AA6FBA"/>
    <w:rsid w:val="00AB2658"/>
    <w:rsid w:val="00AB3567"/>
    <w:rsid w:val="00AB5F3D"/>
    <w:rsid w:val="00AC01FB"/>
    <w:rsid w:val="00AC1277"/>
    <w:rsid w:val="00AC3F4A"/>
    <w:rsid w:val="00AC48B3"/>
    <w:rsid w:val="00AC4B44"/>
    <w:rsid w:val="00AC4E1A"/>
    <w:rsid w:val="00AC5CC3"/>
    <w:rsid w:val="00AD0C0B"/>
    <w:rsid w:val="00AD20E2"/>
    <w:rsid w:val="00AD2284"/>
    <w:rsid w:val="00AD2EBE"/>
    <w:rsid w:val="00AD435C"/>
    <w:rsid w:val="00AD4AF2"/>
    <w:rsid w:val="00AD4BD7"/>
    <w:rsid w:val="00AD6AB1"/>
    <w:rsid w:val="00AE0A29"/>
    <w:rsid w:val="00AE0C50"/>
    <w:rsid w:val="00AE42F5"/>
    <w:rsid w:val="00AE7733"/>
    <w:rsid w:val="00AE7F11"/>
    <w:rsid w:val="00AF1D17"/>
    <w:rsid w:val="00AF2190"/>
    <w:rsid w:val="00AF4D0D"/>
    <w:rsid w:val="00AF6931"/>
    <w:rsid w:val="00B00E2D"/>
    <w:rsid w:val="00B00FF7"/>
    <w:rsid w:val="00B02387"/>
    <w:rsid w:val="00B03E41"/>
    <w:rsid w:val="00B06860"/>
    <w:rsid w:val="00B06939"/>
    <w:rsid w:val="00B078E5"/>
    <w:rsid w:val="00B17281"/>
    <w:rsid w:val="00B172A8"/>
    <w:rsid w:val="00B20216"/>
    <w:rsid w:val="00B22497"/>
    <w:rsid w:val="00B256F6"/>
    <w:rsid w:val="00B32A92"/>
    <w:rsid w:val="00B33BA7"/>
    <w:rsid w:val="00B34FCE"/>
    <w:rsid w:val="00B36933"/>
    <w:rsid w:val="00B372C7"/>
    <w:rsid w:val="00B37841"/>
    <w:rsid w:val="00B418B8"/>
    <w:rsid w:val="00B437DD"/>
    <w:rsid w:val="00B446E7"/>
    <w:rsid w:val="00B4604B"/>
    <w:rsid w:val="00B46F91"/>
    <w:rsid w:val="00B51D2F"/>
    <w:rsid w:val="00B528E1"/>
    <w:rsid w:val="00B53F53"/>
    <w:rsid w:val="00B5565B"/>
    <w:rsid w:val="00B56A0A"/>
    <w:rsid w:val="00B603B3"/>
    <w:rsid w:val="00B61A84"/>
    <w:rsid w:val="00B655AE"/>
    <w:rsid w:val="00B65F12"/>
    <w:rsid w:val="00B66DE4"/>
    <w:rsid w:val="00B7106D"/>
    <w:rsid w:val="00B727FA"/>
    <w:rsid w:val="00B76530"/>
    <w:rsid w:val="00B76C5F"/>
    <w:rsid w:val="00B77029"/>
    <w:rsid w:val="00B809B6"/>
    <w:rsid w:val="00B8261D"/>
    <w:rsid w:val="00B8293D"/>
    <w:rsid w:val="00B8495C"/>
    <w:rsid w:val="00B87888"/>
    <w:rsid w:val="00B9288F"/>
    <w:rsid w:val="00B948F4"/>
    <w:rsid w:val="00B9631F"/>
    <w:rsid w:val="00BA16BF"/>
    <w:rsid w:val="00BA1C1A"/>
    <w:rsid w:val="00BA211C"/>
    <w:rsid w:val="00BA27F7"/>
    <w:rsid w:val="00BA462E"/>
    <w:rsid w:val="00BA53D4"/>
    <w:rsid w:val="00BA69E2"/>
    <w:rsid w:val="00BB0E4C"/>
    <w:rsid w:val="00BB1116"/>
    <w:rsid w:val="00BB1E61"/>
    <w:rsid w:val="00BB33FF"/>
    <w:rsid w:val="00BB4FA9"/>
    <w:rsid w:val="00BB5D22"/>
    <w:rsid w:val="00BB5F35"/>
    <w:rsid w:val="00BB786A"/>
    <w:rsid w:val="00BC0085"/>
    <w:rsid w:val="00BC2541"/>
    <w:rsid w:val="00BC2B62"/>
    <w:rsid w:val="00BC2B68"/>
    <w:rsid w:val="00BC4BB6"/>
    <w:rsid w:val="00BC5779"/>
    <w:rsid w:val="00BC5D8E"/>
    <w:rsid w:val="00BD0A76"/>
    <w:rsid w:val="00BD14C4"/>
    <w:rsid w:val="00BD44F5"/>
    <w:rsid w:val="00BD456F"/>
    <w:rsid w:val="00BD7C1F"/>
    <w:rsid w:val="00BE297A"/>
    <w:rsid w:val="00BE3437"/>
    <w:rsid w:val="00BE4561"/>
    <w:rsid w:val="00BE5DEC"/>
    <w:rsid w:val="00BE5E13"/>
    <w:rsid w:val="00BE601A"/>
    <w:rsid w:val="00BF033D"/>
    <w:rsid w:val="00BF0740"/>
    <w:rsid w:val="00BF237F"/>
    <w:rsid w:val="00BF28FA"/>
    <w:rsid w:val="00BF44FB"/>
    <w:rsid w:val="00BF4560"/>
    <w:rsid w:val="00BF5FC6"/>
    <w:rsid w:val="00BF667A"/>
    <w:rsid w:val="00BF677D"/>
    <w:rsid w:val="00C03984"/>
    <w:rsid w:val="00C03A01"/>
    <w:rsid w:val="00C075DA"/>
    <w:rsid w:val="00C110BD"/>
    <w:rsid w:val="00C126AA"/>
    <w:rsid w:val="00C12D51"/>
    <w:rsid w:val="00C13BC4"/>
    <w:rsid w:val="00C13CC7"/>
    <w:rsid w:val="00C1600E"/>
    <w:rsid w:val="00C16A99"/>
    <w:rsid w:val="00C17C59"/>
    <w:rsid w:val="00C20325"/>
    <w:rsid w:val="00C225EE"/>
    <w:rsid w:val="00C241B0"/>
    <w:rsid w:val="00C257B2"/>
    <w:rsid w:val="00C26D28"/>
    <w:rsid w:val="00C27431"/>
    <w:rsid w:val="00C27759"/>
    <w:rsid w:val="00C3007B"/>
    <w:rsid w:val="00C339E5"/>
    <w:rsid w:val="00C4107D"/>
    <w:rsid w:val="00C41A02"/>
    <w:rsid w:val="00C45656"/>
    <w:rsid w:val="00C53DA4"/>
    <w:rsid w:val="00C54E4C"/>
    <w:rsid w:val="00C555F5"/>
    <w:rsid w:val="00C57699"/>
    <w:rsid w:val="00C60CAA"/>
    <w:rsid w:val="00C615F9"/>
    <w:rsid w:val="00C62BF9"/>
    <w:rsid w:val="00C633F3"/>
    <w:rsid w:val="00C6611C"/>
    <w:rsid w:val="00C70B04"/>
    <w:rsid w:val="00C739DD"/>
    <w:rsid w:val="00C766FA"/>
    <w:rsid w:val="00C76CE4"/>
    <w:rsid w:val="00C82777"/>
    <w:rsid w:val="00C82856"/>
    <w:rsid w:val="00C82C1B"/>
    <w:rsid w:val="00C832CE"/>
    <w:rsid w:val="00C83CC6"/>
    <w:rsid w:val="00C85F5C"/>
    <w:rsid w:val="00C87086"/>
    <w:rsid w:val="00C872F3"/>
    <w:rsid w:val="00C87819"/>
    <w:rsid w:val="00C917D6"/>
    <w:rsid w:val="00C93D11"/>
    <w:rsid w:val="00C93E76"/>
    <w:rsid w:val="00CA0FA3"/>
    <w:rsid w:val="00CA5057"/>
    <w:rsid w:val="00CA6034"/>
    <w:rsid w:val="00CA6256"/>
    <w:rsid w:val="00CA6275"/>
    <w:rsid w:val="00CA7FE3"/>
    <w:rsid w:val="00CB0FA9"/>
    <w:rsid w:val="00CB404D"/>
    <w:rsid w:val="00CB45D6"/>
    <w:rsid w:val="00CB4BBD"/>
    <w:rsid w:val="00CB4F8F"/>
    <w:rsid w:val="00CB7CB8"/>
    <w:rsid w:val="00CC0065"/>
    <w:rsid w:val="00CC0583"/>
    <w:rsid w:val="00CC4905"/>
    <w:rsid w:val="00CC4D01"/>
    <w:rsid w:val="00CD23C3"/>
    <w:rsid w:val="00CD3A34"/>
    <w:rsid w:val="00CD4C1E"/>
    <w:rsid w:val="00CE06F2"/>
    <w:rsid w:val="00CE15BA"/>
    <w:rsid w:val="00CE4388"/>
    <w:rsid w:val="00CE5167"/>
    <w:rsid w:val="00CE697E"/>
    <w:rsid w:val="00CE73B3"/>
    <w:rsid w:val="00CE75FA"/>
    <w:rsid w:val="00CF2861"/>
    <w:rsid w:val="00CF327D"/>
    <w:rsid w:val="00CF5D85"/>
    <w:rsid w:val="00CF5DB1"/>
    <w:rsid w:val="00CF65FD"/>
    <w:rsid w:val="00D00ED3"/>
    <w:rsid w:val="00D01E40"/>
    <w:rsid w:val="00D03118"/>
    <w:rsid w:val="00D042D7"/>
    <w:rsid w:val="00D074EC"/>
    <w:rsid w:val="00D106F4"/>
    <w:rsid w:val="00D12891"/>
    <w:rsid w:val="00D16669"/>
    <w:rsid w:val="00D168E4"/>
    <w:rsid w:val="00D172C2"/>
    <w:rsid w:val="00D20C73"/>
    <w:rsid w:val="00D21903"/>
    <w:rsid w:val="00D22BB3"/>
    <w:rsid w:val="00D239F7"/>
    <w:rsid w:val="00D23F6E"/>
    <w:rsid w:val="00D240DD"/>
    <w:rsid w:val="00D25387"/>
    <w:rsid w:val="00D25884"/>
    <w:rsid w:val="00D2738D"/>
    <w:rsid w:val="00D27F95"/>
    <w:rsid w:val="00D31EE6"/>
    <w:rsid w:val="00D34B44"/>
    <w:rsid w:val="00D35079"/>
    <w:rsid w:val="00D40AA7"/>
    <w:rsid w:val="00D40E57"/>
    <w:rsid w:val="00D437C4"/>
    <w:rsid w:val="00D4435E"/>
    <w:rsid w:val="00D47062"/>
    <w:rsid w:val="00D47152"/>
    <w:rsid w:val="00D47F4F"/>
    <w:rsid w:val="00D5038F"/>
    <w:rsid w:val="00D5360C"/>
    <w:rsid w:val="00D538EC"/>
    <w:rsid w:val="00D56EAF"/>
    <w:rsid w:val="00D607D4"/>
    <w:rsid w:val="00D62981"/>
    <w:rsid w:val="00D630EE"/>
    <w:rsid w:val="00D70820"/>
    <w:rsid w:val="00D7130B"/>
    <w:rsid w:val="00D71C24"/>
    <w:rsid w:val="00D71FEE"/>
    <w:rsid w:val="00D73757"/>
    <w:rsid w:val="00D7454F"/>
    <w:rsid w:val="00D752B2"/>
    <w:rsid w:val="00D76656"/>
    <w:rsid w:val="00D77BFF"/>
    <w:rsid w:val="00D80D85"/>
    <w:rsid w:val="00D814C4"/>
    <w:rsid w:val="00D82B45"/>
    <w:rsid w:val="00D82E1E"/>
    <w:rsid w:val="00D834A6"/>
    <w:rsid w:val="00D834D7"/>
    <w:rsid w:val="00D86992"/>
    <w:rsid w:val="00D930E1"/>
    <w:rsid w:val="00D96D68"/>
    <w:rsid w:val="00DA3414"/>
    <w:rsid w:val="00DA3CD6"/>
    <w:rsid w:val="00DB2AF7"/>
    <w:rsid w:val="00DB334A"/>
    <w:rsid w:val="00DB4FB3"/>
    <w:rsid w:val="00DB50AB"/>
    <w:rsid w:val="00DB53D9"/>
    <w:rsid w:val="00DC04FC"/>
    <w:rsid w:val="00DC0707"/>
    <w:rsid w:val="00DC3580"/>
    <w:rsid w:val="00DC3E8C"/>
    <w:rsid w:val="00DC4269"/>
    <w:rsid w:val="00DC4358"/>
    <w:rsid w:val="00DC75E8"/>
    <w:rsid w:val="00DC7B07"/>
    <w:rsid w:val="00DC7DDF"/>
    <w:rsid w:val="00DD246F"/>
    <w:rsid w:val="00DD2C46"/>
    <w:rsid w:val="00DD44B6"/>
    <w:rsid w:val="00DD67F6"/>
    <w:rsid w:val="00DD7C7A"/>
    <w:rsid w:val="00DE12A3"/>
    <w:rsid w:val="00DE2303"/>
    <w:rsid w:val="00DE422C"/>
    <w:rsid w:val="00DE46D8"/>
    <w:rsid w:val="00DE725A"/>
    <w:rsid w:val="00DE7AD2"/>
    <w:rsid w:val="00DF0378"/>
    <w:rsid w:val="00DF309C"/>
    <w:rsid w:val="00DF315A"/>
    <w:rsid w:val="00DF374C"/>
    <w:rsid w:val="00DF3BEF"/>
    <w:rsid w:val="00DF78A3"/>
    <w:rsid w:val="00E00337"/>
    <w:rsid w:val="00E038C0"/>
    <w:rsid w:val="00E10433"/>
    <w:rsid w:val="00E10EB2"/>
    <w:rsid w:val="00E11B69"/>
    <w:rsid w:val="00E11C3E"/>
    <w:rsid w:val="00E12A47"/>
    <w:rsid w:val="00E1361C"/>
    <w:rsid w:val="00E14EFA"/>
    <w:rsid w:val="00E15FB3"/>
    <w:rsid w:val="00E1663B"/>
    <w:rsid w:val="00E20716"/>
    <w:rsid w:val="00E20EBD"/>
    <w:rsid w:val="00E2132B"/>
    <w:rsid w:val="00E214ED"/>
    <w:rsid w:val="00E23DC7"/>
    <w:rsid w:val="00E266F7"/>
    <w:rsid w:val="00E27654"/>
    <w:rsid w:val="00E27CF1"/>
    <w:rsid w:val="00E312C6"/>
    <w:rsid w:val="00E33A88"/>
    <w:rsid w:val="00E35FD4"/>
    <w:rsid w:val="00E40A63"/>
    <w:rsid w:val="00E40FE7"/>
    <w:rsid w:val="00E41793"/>
    <w:rsid w:val="00E42763"/>
    <w:rsid w:val="00E42CE2"/>
    <w:rsid w:val="00E44A29"/>
    <w:rsid w:val="00E4656C"/>
    <w:rsid w:val="00E46DAA"/>
    <w:rsid w:val="00E525A6"/>
    <w:rsid w:val="00E548C2"/>
    <w:rsid w:val="00E54DFE"/>
    <w:rsid w:val="00E54E06"/>
    <w:rsid w:val="00E56FFD"/>
    <w:rsid w:val="00E61529"/>
    <w:rsid w:val="00E63CD3"/>
    <w:rsid w:val="00E66B99"/>
    <w:rsid w:val="00E702CF"/>
    <w:rsid w:val="00E71539"/>
    <w:rsid w:val="00E716D2"/>
    <w:rsid w:val="00E72A60"/>
    <w:rsid w:val="00E730D6"/>
    <w:rsid w:val="00E73622"/>
    <w:rsid w:val="00E74C7A"/>
    <w:rsid w:val="00E75F78"/>
    <w:rsid w:val="00E81403"/>
    <w:rsid w:val="00E8288C"/>
    <w:rsid w:val="00E8445A"/>
    <w:rsid w:val="00E853ED"/>
    <w:rsid w:val="00E85961"/>
    <w:rsid w:val="00E903B6"/>
    <w:rsid w:val="00E9358F"/>
    <w:rsid w:val="00E949DD"/>
    <w:rsid w:val="00E94FDB"/>
    <w:rsid w:val="00EA02D2"/>
    <w:rsid w:val="00EA17D8"/>
    <w:rsid w:val="00EA2BBE"/>
    <w:rsid w:val="00EA64C0"/>
    <w:rsid w:val="00EA745F"/>
    <w:rsid w:val="00EB29A0"/>
    <w:rsid w:val="00EB2AC0"/>
    <w:rsid w:val="00EB3EA9"/>
    <w:rsid w:val="00EC2A72"/>
    <w:rsid w:val="00EC31DF"/>
    <w:rsid w:val="00EC3EF0"/>
    <w:rsid w:val="00EC420E"/>
    <w:rsid w:val="00EC42C6"/>
    <w:rsid w:val="00EC4BEC"/>
    <w:rsid w:val="00EC53ED"/>
    <w:rsid w:val="00EC5499"/>
    <w:rsid w:val="00EC6140"/>
    <w:rsid w:val="00EC6730"/>
    <w:rsid w:val="00ED00B9"/>
    <w:rsid w:val="00ED069E"/>
    <w:rsid w:val="00ED0C2B"/>
    <w:rsid w:val="00ED1229"/>
    <w:rsid w:val="00ED22C2"/>
    <w:rsid w:val="00ED46C8"/>
    <w:rsid w:val="00ED5907"/>
    <w:rsid w:val="00ED62F1"/>
    <w:rsid w:val="00EE5D5E"/>
    <w:rsid w:val="00EF0310"/>
    <w:rsid w:val="00EF0D08"/>
    <w:rsid w:val="00EF0E3F"/>
    <w:rsid w:val="00EF0F21"/>
    <w:rsid w:val="00EF18AA"/>
    <w:rsid w:val="00EF1DF8"/>
    <w:rsid w:val="00EF2C88"/>
    <w:rsid w:val="00EF36A6"/>
    <w:rsid w:val="00EF3ECC"/>
    <w:rsid w:val="00EF4C5B"/>
    <w:rsid w:val="00EF4E18"/>
    <w:rsid w:val="00EF6BD1"/>
    <w:rsid w:val="00EF7BBE"/>
    <w:rsid w:val="00F00022"/>
    <w:rsid w:val="00F007E3"/>
    <w:rsid w:val="00F02CD9"/>
    <w:rsid w:val="00F06D3C"/>
    <w:rsid w:val="00F12C81"/>
    <w:rsid w:val="00F20EE2"/>
    <w:rsid w:val="00F21082"/>
    <w:rsid w:val="00F22FD1"/>
    <w:rsid w:val="00F253D4"/>
    <w:rsid w:val="00F2561C"/>
    <w:rsid w:val="00F27DD6"/>
    <w:rsid w:val="00F30B56"/>
    <w:rsid w:val="00F30FE7"/>
    <w:rsid w:val="00F310B5"/>
    <w:rsid w:val="00F3153C"/>
    <w:rsid w:val="00F32294"/>
    <w:rsid w:val="00F33E9D"/>
    <w:rsid w:val="00F3445E"/>
    <w:rsid w:val="00F35234"/>
    <w:rsid w:val="00F3588C"/>
    <w:rsid w:val="00F374BC"/>
    <w:rsid w:val="00F40555"/>
    <w:rsid w:val="00F40B3B"/>
    <w:rsid w:val="00F4237D"/>
    <w:rsid w:val="00F43592"/>
    <w:rsid w:val="00F43779"/>
    <w:rsid w:val="00F43BC7"/>
    <w:rsid w:val="00F454EA"/>
    <w:rsid w:val="00F45FCA"/>
    <w:rsid w:val="00F466F2"/>
    <w:rsid w:val="00F47D53"/>
    <w:rsid w:val="00F50880"/>
    <w:rsid w:val="00F510F7"/>
    <w:rsid w:val="00F52A17"/>
    <w:rsid w:val="00F53F7C"/>
    <w:rsid w:val="00F61B7F"/>
    <w:rsid w:val="00F64191"/>
    <w:rsid w:val="00F65F47"/>
    <w:rsid w:val="00F669F0"/>
    <w:rsid w:val="00F67D7E"/>
    <w:rsid w:val="00F704CF"/>
    <w:rsid w:val="00F70790"/>
    <w:rsid w:val="00F707E2"/>
    <w:rsid w:val="00F71ECF"/>
    <w:rsid w:val="00F7260A"/>
    <w:rsid w:val="00F7269B"/>
    <w:rsid w:val="00F73CAC"/>
    <w:rsid w:val="00F73FFA"/>
    <w:rsid w:val="00F740B2"/>
    <w:rsid w:val="00F7678E"/>
    <w:rsid w:val="00F76BA7"/>
    <w:rsid w:val="00F77C77"/>
    <w:rsid w:val="00F82BDC"/>
    <w:rsid w:val="00F864F6"/>
    <w:rsid w:val="00F87E7A"/>
    <w:rsid w:val="00F91337"/>
    <w:rsid w:val="00F91A4F"/>
    <w:rsid w:val="00F91BB0"/>
    <w:rsid w:val="00F939A1"/>
    <w:rsid w:val="00F94F18"/>
    <w:rsid w:val="00F96421"/>
    <w:rsid w:val="00F97E03"/>
    <w:rsid w:val="00FA0678"/>
    <w:rsid w:val="00FA08F9"/>
    <w:rsid w:val="00FA137F"/>
    <w:rsid w:val="00FA167C"/>
    <w:rsid w:val="00FA1F41"/>
    <w:rsid w:val="00FA2667"/>
    <w:rsid w:val="00FA3264"/>
    <w:rsid w:val="00FA43BC"/>
    <w:rsid w:val="00FA490B"/>
    <w:rsid w:val="00FA4E9F"/>
    <w:rsid w:val="00FB0BA7"/>
    <w:rsid w:val="00FB0C87"/>
    <w:rsid w:val="00FB1C07"/>
    <w:rsid w:val="00FB2D00"/>
    <w:rsid w:val="00FB3DC9"/>
    <w:rsid w:val="00FB3FCC"/>
    <w:rsid w:val="00FB7855"/>
    <w:rsid w:val="00FC01C1"/>
    <w:rsid w:val="00FC1B21"/>
    <w:rsid w:val="00FC1DDE"/>
    <w:rsid w:val="00FC3410"/>
    <w:rsid w:val="00FC3D9D"/>
    <w:rsid w:val="00FC4C01"/>
    <w:rsid w:val="00FC5629"/>
    <w:rsid w:val="00FD3D8E"/>
    <w:rsid w:val="00FD4173"/>
    <w:rsid w:val="00FD4355"/>
    <w:rsid w:val="00FD468A"/>
    <w:rsid w:val="00FD53E6"/>
    <w:rsid w:val="00FD681E"/>
    <w:rsid w:val="00FE3226"/>
    <w:rsid w:val="00FE3D3B"/>
    <w:rsid w:val="00FE68F8"/>
    <w:rsid w:val="00FE6D8D"/>
    <w:rsid w:val="00FE7AEF"/>
    <w:rsid w:val="00FF13B5"/>
    <w:rsid w:val="00FF2927"/>
    <w:rsid w:val="00FF39F3"/>
    <w:rsid w:val="00FF5642"/>
    <w:rsid w:val="05554FA1"/>
    <w:rsid w:val="19AC7856"/>
    <w:rsid w:val="233A73CE"/>
    <w:rsid w:val="24580B08"/>
    <w:rsid w:val="29883317"/>
    <w:rsid w:val="31B96EA0"/>
    <w:rsid w:val="372C23D8"/>
    <w:rsid w:val="3A177A06"/>
    <w:rsid w:val="3E6B5AE0"/>
    <w:rsid w:val="41347704"/>
    <w:rsid w:val="44401EAB"/>
    <w:rsid w:val="4E855921"/>
    <w:rsid w:val="4E9963C5"/>
    <w:rsid w:val="51B026F9"/>
    <w:rsid w:val="55302CD1"/>
    <w:rsid w:val="55E26F56"/>
    <w:rsid w:val="5ABC29F1"/>
    <w:rsid w:val="5E090BB6"/>
    <w:rsid w:val="6AE90659"/>
    <w:rsid w:val="712D7D3B"/>
    <w:rsid w:val="782A5B29"/>
    <w:rsid w:val="7F7A094F"/>
  </w:rsids>
  <m:mathPr>
    <m:mathFont m:val="Cambria Math"/>
    <m:brkBin m:val="before"/>
    <m:brkBinSub m:val="--"/>
    <m:smallFrac m:val="0"/>
    <m:dispDef/>
    <m:lMargin m:val="0"/>
    <m:rMargin m:val="0"/>
    <m:defJc m:val="centerGroup"/>
    <m:wrapIndent m:val="1440"/>
    <m:intLim m:val="subSup"/>
    <m:naryLim m:val="undOvr"/>
  </m:mathPr>
  <w:themeFontLang w:val="tr-TR"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0E088FB7"/>
  <w15:docId w15:val="{15CDEFA0-99B3-4BB9-B044-3B74F4503C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tr-TR" w:eastAsia="tr-TR" w:bidi="ar-SA"/>
      </w:rPr>
    </w:rPrDefault>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51047"/>
    <w:pPr>
      <w:widowControl w:val="0"/>
    </w:pPr>
    <w:rPr>
      <w:rFonts w:eastAsia="Courier New" w:cs="Courier New"/>
      <w:color w:val="000000"/>
      <w:sz w:val="24"/>
      <w:szCs w:val="24"/>
    </w:rPr>
  </w:style>
  <w:style w:type="paragraph" w:styleId="Balk1">
    <w:name w:val="heading 1"/>
    <w:basedOn w:val="Normal"/>
    <w:next w:val="Text1"/>
    <w:link w:val="Balk1Char"/>
    <w:uiPriority w:val="99"/>
    <w:qFormat/>
    <w:rsid w:val="00C82856"/>
    <w:pPr>
      <w:shd w:val="clear" w:color="auto" w:fill="FFFFFF"/>
      <w:spacing w:before="120" w:after="120"/>
      <w:jc w:val="center"/>
      <w:outlineLvl w:val="0"/>
    </w:pPr>
    <w:rPr>
      <w:rFonts w:eastAsia="Times New Roman" w:cs="Times New Roman"/>
      <w:b/>
      <w:iCs/>
      <w:spacing w:val="-6"/>
    </w:rPr>
  </w:style>
  <w:style w:type="paragraph" w:styleId="Balk2">
    <w:name w:val="heading 2"/>
    <w:basedOn w:val="Normal"/>
    <w:next w:val="Text2"/>
    <w:link w:val="Balk2Char"/>
    <w:uiPriority w:val="99"/>
    <w:qFormat/>
    <w:rsid w:val="00F71ECF"/>
    <w:pPr>
      <w:spacing w:before="120" w:after="120"/>
      <w:ind w:left="1134" w:hanging="1134"/>
      <w:jc w:val="center"/>
      <w:outlineLvl w:val="1"/>
    </w:pPr>
    <w:rPr>
      <w:b/>
    </w:rPr>
  </w:style>
  <w:style w:type="paragraph" w:styleId="Balk3">
    <w:name w:val="heading 3"/>
    <w:basedOn w:val="Normal"/>
    <w:next w:val="Text3"/>
    <w:link w:val="Balk3Char"/>
    <w:uiPriority w:val="99"/>
    <w:qFormat/>
    <w:rsid w:val="009F4766"/>
    <w:pPr>
      <w:keepNext/>
      <w:widowControl/>
      <w:numPr>
        <w:ilvl w:val="2"/>
        <w:numId w:val="452"/>
      </w:numPr>
      <w:autoSpaceDE w:val="0"/>
      <w:autoSpaceDN w:val="0"/>
      <w:spacing w:before="120" w:after="120"/>
      <w:jc w:val="both"/>
      <w:outlineLvl w:val="2"/>
    </w:pPr>
    <w:rPr>
      <w:rFonts w:eastAsia="Times New Roman" w:cs="Times New Roman"/>
      <w:i/>
      <w:iCs/>
      <w:color w:val="auto"/>
      <w:lang w:val="fr-FR"/>
    </w:rPr>
  </w:style>
  <w:style w:type="paragraph" w:styleId="Balk4">
    <w:name w:val="heading 4"/>
    <w:basedOn w:val="Normal"/>
    <w:next w:val="Text4"/>
    <w:link w:val="Balk4Char"/>
    <w:uiPriority w:val="99"/>
    <w:qFormat/>
    <w:rsid w:val="009F4766"/>
    <w:pPr>
      <w:keepNext/>
      <w:widowControl/>
      <w:numPr>
        <w:ilvl w:val="3"/>
        <w:numId w:val="452"/>
      </w:numPr>
      <w:autoSpaceDE w:val="0"/>
      <w:autoSpaceDN w:val="0"/>
      <w:spacing w:before="120" w:after="120"/>
      <w:jc w:val="both"/>
      <w:outlineLvl w:val="3"/>
    </w:pPr>
    <w:rPr>
      <w:rFonts w:eastAsia="Times New Roman" w:cs="Times New Roman"/>
      <w:color w:val="auto"/>
      <w:lang w:val="fr-FR"/>
    </w:rPr>
  </w:style>
  <w:style w:type="paragraph" w:styleId="Balk5">
    <w:name w:val="heading 5"/>
    <w:basedOn w:val="Normal"/>
    <w:next w:val="Normal"/>
    <w:link w:val="Balk5Char"/>
    <w:uiPriority w:val="99"/>
    <w:qFormat/>
    <w:rsid w:val="009F4766"/>
    <w:pPr>
      <w:widowControl/>
      <w:autoSpaceDE w:val="0"/>
      <w:autoSpaceDN w:val="0"/>
      <w:spacing w:before="240" w:after="60"/>
      <w:jc w:val="both"/>
      <w:outlineLvl w:val="4"/>
    </w:pPr>
    <w:rPr>
      <w:rFonts w:ascii="Arial" w:eastAsia="Times New Roman" w:hAnsi="Arial" w:cs="Arial"/>
      <w:color w:val="auto"/>
      <w:sz w:val="22"/>
      <w:szCs w:val="22"/>
      <w:lang w:val="fr-FR"/>
    </w:rPr>
  </w:style>
  <w:style w:type="paragraph" w:styleId="Balk6">
    <w:name w:val="heading 6"/>
    <w:basedOn w:val="Normal"/>
    <w:next w:val="Normal"/>
    <w:link w:val="Balk6Char"/>
    <w:uiPriority w:val="99"/>
    <w:qFormat/>
    <w:rsid w:val="009F4766"/>
    <w:pPr>
      <w:widowControl/>
      <w:autoSpaceDE w:val="0"/>
      <w:autoSpaceDN w:val="0"/>
      <w:spacing w:before="240" w:after="60"/>
      <w:jc w:val="both"/>
      <w:outlineLvl w:val="5"/>
    </w:pPr>
    <w:rPr>
      <w:rFonts w:ascii="Arial" w:eastAsia="Times New Roman" w:hAnsi="Arial" w:cs="Arial"/>
      <w:i/>
      <w:iCs/>
      <w:color w:val="auto"/>
      <w:sz w:val="22"/>
      <w:szCs w:val="22"/>
      <w:lang w:val="fr-FR"/>
    </w:rPr>
  </w:style>
  <w:style w:type="paragraph" w:styleId="Balk7">
    <w:name w:val="heading 7"/>
    <w:basedOn w:val="Normal"/>
    <w:next w:val="Normal"/>
    <w:link w:val="Balk7Char"/>
    <w:uiPriority w:val="99"/>
    <w:qFormat/>
    <w:rsid w:val="009F4766"/>
    <w:pPr>
      <w:widowControl/>
      <w:autoSpaceDE w:val="0"/>
      <w:autoSpaceDN w:val="0"/>
      <w:spacing w:before="240" w:after="60"/>
      <w:jc w:val="both"/>
      <w:outlineLvl w:val="6"/>
    </w:pPr>
    <w:rPr>
      <w:rFonts w:ascii="Arial" w:eastAsia="Times New Roman" w:hAnsi="Arial" w:cs="Arial"/>
      <w:color w:val="auto"/>
      <w:sz w:val="20"/>
      <w:szCs w:val="20"/>
      <w:lang w:val="fr-FR"/>
    </w:rPr>
  </w:style>
  <w:style w:type="paragraph" w:styleId="Balk8">
    <w:name w:val="heading 8"/>
    <w:basedOn w:val="Normal"/>
    <w:next w:val="Normal"/>
    <w:link w:val="Balk8Char"/>
    <w:uiPriority w:val="99"/>
    <w:qFormat/>
    <w:rsid w:val="009F4766"/>
    <w:pPr>
      <w:widowControl/>
      <w:autoSpaceDE w:val="0"/>
      <w:autoSpaceDN w:val="0"/>
      <w:spacing w:before="240" w:after="60"/>
      <w:jc w:val="both"/>
      <w:outlineLvl w:val="7"/>
    </w:pPr>
    <w:rPr>
      <w:rFonts w:ascii="Arial" w:eastAsia="Times New Roman" w:hAnsi="Arial" w:cs="Arial"/>
      <w:i/>
      <w:iCs/>
      <w:color w:val="auto"/>
      <w:sz w:val="20"/>
      <w:szCs w:val="20"/>
      <w:lang w:val="fr-FR"/>
    </w:rPr>
  </w:style>
  <w:style w:type="paragraph" w:styleId="Balk9">
    <w:name w:val="heading 9"/>
    <w:basedOn w:val="Normal"/>
    <w:next w:val="Normal"/>
    <w:link w:val="Balk9Char"/>
    <w:uiPriority w:val="99"/>
    <w:rsid w:val="009F4766"/>
    <w:pPr>
      <w:widowControl/>
      <w:autoSpaceDE w:val="0"/>
      <w:autoSpaceDN w:val="0"/>
      <w:spacing w:before="240" w:after="60"/>
      <w:jc w:val="both"/>
      <w:outlineLvl w:val="8"/>
    </w:pPr>
    <w:rPr>
      <w:rFonts w:ascii="Arial" w:eastAsia="Times New Roman" w:hAnsi="Arial" w:cs="Arial"/>
      <w:i/>
      <w:iCs/>
      <w:color w:val="auto"/>
      <w:sz w:val="18"/>
      <w:szCs w:val="18"/>
      <w:lang w:val="fr-F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qFormat/>
    <w:rPr>
      <w:rFonts w:ascii="Tahoma" w:hAnsi="Tahoma" w:cs="Tahoma"/>
      <w:sz w:val="16"/>
      <w:szCs w:val="16"/>
    </w:rPr>
  </w:style>
  <w:style w:type="paragraph" w:styleId="Altbilgi">
    <w:name w:val="footer"/>
    <w:basedOn w:val="Normal"/>
    <w:link w:val="AltbilgiChar"/>
    <w:uiPriority w:val="99"/>
    <w:unhideWhenUsed/>
    <w:pPr>
      <w:tabs>
        <w:tab w:val="center" w:pos="4536"/>
        <w:tab w:val="right" w:pos="9072"/>
      </w:tabs>
    </w:pPr>
  </w:style>
  <w:style w:type="paragraph" w:styleId="stbilgi">
    <w:name w:val="header"/>
    <w:basedOn w:val="Normal"/>
    <w:link w:val="stbilgiChar"/>
    <w:uiPriority w:val="99"/>
    <w:unhideWhenUsed/>
    <w:qFormat/>
    <w:pPr>
      <w:tabs>
        <w:tab w:val="center" w:pos="4536"/>
        <w:tab w:val="right" w:pos="9072"/>
      </w:tabs>
    </w:pPr>
  </w:style>
  <w:style w:type="character" w:styleId="Kpr">
    <w:name w:val="Hyperlink"/>
    <w:basedOn w:val="VarsaylanParagrafYazTipi"/>
    <w:qFormat/>
    <w:rPr>
      <w:color w:val="0066CC"/>
      <w:u w:val="single"/>
    </w:rPr>
  </w:style>
  <w:style w:type="character" w:customStyle="1" w:styleId="Gvdemetni">
    <w:name w:val="Gövde metni_"/>
    <w:basedOn w:val="VarsaylanParagrafYazTipi"/>
    <w:link w:val="Gvdemetni0"/>
    <w:qFormat/>
    <w:rPr>
      <w:rFonts w:ascii="Times New Roman" w:eastAsia="Times New Roman" w:hAnsi="Times New Roman" w:cs="Times New Roman"/>
      <w:spacing w:val="4"/>
      <w:sz w:val="12"/>
      <w:szCs w:val="12"/>
    </w:rPr>
  </w:style>
  <w:style w:type="paragraph" w:customStyle="1" w:styleId="Gvdemetni0">
    <w:name w:val="Gövde metni"/>
    <w:basedOn w:val="Normal"/>
    <w:link w:val="Gvdemetni"/>
    <w:pPr>
      <w:shd w:val="clear" w:color="auto" w:fill="FFFFFF"/>
      <w:spacing w:line="192" w:lineRule="exact"/>
      <w:ind w:hanging="1500"/>
      <w:jc w:val="center"/>
    </w:pPr>
    <w:rPr>
      <w:rFonts w:eastAsia="Times New Roman" w:cs="Times New Roman"/>
      <w:color w:val="auto"/>
      <w:spacing w:val="4"/>
      <w:sz w:val="12"/>
      <w:szCs w:val="12"/>
      <w:lang w:eastAsia="en-US"/>
    </w:rPr>
  </w:style>
  <w:style w:type="paragraph" w:customStyle="1" w:styleId="Gvdemetni2">
    <w:name w:val="Gövde metni2"/>
    <w:basedOn w:val="Normal"/>
    <w:pPr>
      <w:shd w:val="clear" w:color="auto" w:fill="FFFFFF"/>
      <w:spacing w:line="192" w:lineRule="exact"/>
      <w:ind w:hanging="1500"/>
      <w:jc w:val="center"/>
    </w:pPr>
    <w:rPr>
      <w:rFonts w:eastAsia="Times New Roman" w:cs="Times New Roman"/>
      <w:spacing w:val="4"/>
      <w:sz w:val="12"/>
      <w:szCs w:val="12"/>
    </w:rPr>
  </w:style>
  <w:style w:type="character" w:customStyle="1" w:styleId="Balk94">
    <w:name w:val="Başlık #9 (4)_"/>
    <w:basedOn w:val="VarsaylanParagrafYazTipi"/>
    <w:link w:val="Balk940"/>
    <w:qFormat/>
    <w:rPr>
      <w:rFonts w:ascii="Times New Roman" w:eastAsia="Times New Roman" w:hAnsi="Times New Roman" w:cs="Times New Roman"/>
      <w:i/>
      <w:iCs/>
      <w:spacing w:val="-8"/>
      <w:sz w:val="8"/>
      <w:szCs w:val="8"/>
      <w:shd w:val="clear" w:color="auto" w:fill="FFFFFF"/>
    </w:rPr>
  </w:style>
  <w:style w:type="paragraph" w:customStyle="1" w:styleId="Balk940">
    <w:name w:val="Başlık #9 (4)"/>
    <w:basedOn w:val="Normal"/>
    <w:link w:val="Balk94"/>
    <w:pPr>
      <w:shd w:val="clear" w:color="auto" w:fill="FFFFFF"/>
      <w:spacing w:after="360" w:line="0" w:lineRule="atLeast"/>
      <w:jc w:val="center"/>
      <w:outlineLvl w:val="8"/>
    </w:pPr>
    <w:rPr>
      <w:rFonts w:eastAsia="Times New Roman" w:cs="Times New Roman"/>
      <w:i/>
      <w:iCs/>
      <w:color w:val="auto"/>
      <w:spacing w:val="-8"/>
      <w:sz w:val="8"/>
      <w:szCs w:val="8"/>
      <w:lang w:eastAsia="en-US"/>
    </w:rPr>
  </w:style>
  <w:style w:type="paragraph" w:styleId="ListeParagraf">
    <w:name w:val="List Paragraph"/>
    <w:basedOn w:val="Normal"/>
    <w:uiPriority w:val="34"/>
    <w:qFormat/>
    <w:pPr>
      <w:ind w:left="720"/>
      <w:contextualSpacing/>
    </w:pPr>
  </w:style>
  <w:style w:type="paragraph" w:customStyle="1" w:styleId="CM1">
    <w:name w:val="CM1"/>
    <w:basedOn w:val="Normal"/>
    <w:next w:val="Normal"/>
    <w:uiPriority w:val="99"/>
    <w:pPr>
      <w:widowControl/>
      <w:autoSpaceDE w:val="0"/>
      <w:autoSpaceDN w:val="0"/>
      <w:adjustRightInd w:val="0"/>
    </w:pPr>
    <w:rPr>
      <w:rFonts w:eastAsiaTheme="minorHAnsi" w:cs="Times New Roman"/>
      <w:color w:val="auto"/>
      <w:lang w:eastAsia="en-US"/>
    </w:rPr>
  </w:style>
  <w:style w:type="paragraph" w:customStyle="1" w:styleId="CM3">
    <w:name w:val="CM3"/>
    <w:basedOn w:val="Normal"/>
    <w:next w:val="Normal"/>
    <w:uiPriority w:val="99"/>
    <w:pPr>
      <w:widowControl/>
      <w:autoSpaceDE w:val="0"/>
      <w:autoSpaceDN w:val="0"/>
      <w:adjustRightInd w:val="0"/>
    </w:pPr>
    <w:rPr>
      <w:rFonts w:eastAsiaTheme="minorHAnsi" w:cs="Times New Roman"/>
      <w:color w:val="auto"/>
      <w:lang w:eastAsia="en-US"/>
    </w:rPr>
  </w:style>
  <w:style w:type="paragraph" w:customStyle="1" w:styleId="CM4">
    <w:name w:val="CM4"/>
    <w:basedOn w:val="Normal"/>
    <w:next w:val="Normal"/>
    <w:uiPriority w:val="99"/>
    <w:pPr>
      <w:widowControl/>
      <w:autoSpaceDE w:val="0"/>
      <w:autoSpaceDN w:val="0"/>
      <w:adjustRightInd w:val="0"/>
    </w:pPr>
    <w:rPr>
      <w:rFonts w:eastAsiaTheme="minorHAnsi" w:cs="Times New Roman"/>
      <w:color w:val="auto"/>
      <w:lang w:eastAsia="en-US"/>
    </w:rPr>
  </w:style>
  <w:style w:type="character" w:customStyle="1" w:styleId="BalonMetniChar">
    <w:name w:val="Balon Metni Char"/>
    <w:basedOn w:val="VarsaylanParagrafYazTipi"/>
    <w:link w:val="BalonMetni"/>
    <w:uiPriority w:val="99"/>
    <w:semiHidden/>
    <w:qFormat/>
    <w:rPr>
      <w:rFonts w:ascii="Tahoma" w:eastAsia="Courier New" w:hAnsi="Tahoma" w:cs="Tahoma"/>
      <w:color w:val="000000"/>
      <w:sz w:val="16"/>
      <w:szCs w:val="16"/>
      <w:lang w:val="en-US" w:eastAsia="tr-TR"/>
    </w:rPr>
  </w:style>
  <w:style w:type="character" w:customStyle="1" w:styleId="Gvdemetni5">
    <w:name w:val="Gövde metni (5)_"/>
    <w:basedOn w:val="VarsaylanParagrafYazTipi"/>
    <w:link w:val="Gvdemetni50"/>
    <w:qFormat/>
    <w:rPr>
      <w:rFonts w:ascii="Times New Roman" w:eastAsia="Times New Roman" w:hAnsi="Times New Roman" w:cs="Times New Roman"/>
      <w:b/>
      <w:bCs/>
      <w:spacing w:val="1"/>
      <w:sz w:val="12"/>
      <w:szCs w:val="12"/>
      <w:shd w:val="clear" w:color="auto" w:fill="FFFFFF"/>
    </w:rPr>
  </w:style>
  <w:style w:type="paragraph" w:customStyle="1" w:styleId="Gvdemetni50">
    <w:name w:val="Gövde metni (5)"/>
    <w:basedOn w:val="Normal"/>
    <w:link w:val="Gvdemetni5"/>
    <w:pPr>
      <w:shd w:val="clear" w:color="auto" w:fill="FFFFFF"/>
      <w:spacing w:before="180" w:line="0" w:lineRule="atLeast"/>
    </w:pPr>
    <w:rPr>
      <w:rFonts w:eastAsia="Times New Roman" w:cs="Times New Roman"/>
      <w:b/>
      <w:bCs/>
      <w:color w:val="auto"/>
      <w:spacing w:val="1"/>
      <w:sz w:val="12"/>
      <w:szCs w:val="12"/>
      <w:lang w:eastAsia="en-US"/>
    </w:rPr>
  </w:style>
  <w:style w:type="character" w:customStyle="1" w:styleId="Gvdemetni4">
    <w:name w:val="Gövde metni (4)"/>
    <w:basedOn w:val="VarsaylanParagrafYazTipi"/>
    <w:rPr>
      <w:rFonts w:ascii="Times New Roman" w:eastAsia="Times New Roman" w:hAnsi="Times New Roman" w:cs="Times New Roman"/>
      <w:i/>
      <w:iCs/>
      <w:color w:val="000000"/>
      <w:spacing w:val="0"/>
      <w:w w:val="100"/>
      <w:position w:val="0"/>
      <w:sz w:val="12"/>
      <w:szCs w:val="12"/>
      <w:u w:val="none"/>
      <w:lang w:val="en-US"/>
    </w:rPr>
  </w:style>
  <w:style w:type="character" w:customStyle="1" w:styleId="Balk947pttalikdeil0ptbolukbraklyor">
    <w:name w:val="Başlık #9 (4) + 7 pt;İtalik değil;0 pt boşluk bırakılıyor"/>
    <w:basedOn w:val="Balk94"/>
    <w:rPr>
      <w:rFonts w:ascii="Times New Roman" w:eastAsia="Times New Roman" w:hAnsi="Times New Roman" w:cs="Times New Roman"/>
      <w:i/>
      <w:iCs/>
      <w:color w:val="000000"/>
      <w:spacing w:val="3"/>
      <w:w w:val="100"/>
      <w:position w:val="0"/>
      <w:sz w:val="14"/>
      <w:szCs w:val="14"/>
      <w:u w:val="none"/>
      <w:shd w:val="clear" w:color="auto" w:fill="FFFFFF"/>
      <w:lang w:val="en-US"/>
    </w:rPr>
  </w:style>
  <w:style w:type="character" w:customStyle="1" w:styleId="Gvdemetni25">
    <w:name w:val="Gövde metni (25)_"/>
    <w:basedOn w:val="VarsaylanParagrafYazTipi"/>
    <w:link w:val="Gvdemetni250"/>
    <w:qFormat/>
    <w:rPr>
      <w:rFonts w:ascii="Times New Roman" w:eastAsia="Times New Roman" w:hAnsi="Times New Roman" w:cs="Times New Roman"/>
      <w:spacing w:val="3"/>
      <w:sz w:val="14"/>
      <w:szCs w:val="14"/>
      <w:shd w:val="clear" w:color="auto" w:fill="FFFFFF"/>
    </w:rPr>
  </w:style>
  <w:style w:type="paragraph" w:customStyle="1" w:styleId="Gvdemetni250">
    <w:name w:val="Gövde metni (25)"/>
    <w:basedOn w:val="Normal"/>
    <w:link w:val="Gvdemetni25"/>
    <w:pPr>
      <w:shd w:val="clear" w:color="auto" w:fill="FFFFFF"/>
      <w:spacing w:before="180" w:after="180" w:line="0" w:lineRule="atLeast"/>
      <w:ind w:hanging="380"/>
      <w:jc w:val="both"/>
    </w:pPr>
    <w:rPr>
      <w:rFonts w:eastAsia="Times New Roman" w:cs="Times New Roman"/>
      <w:color w:val="auto"/>
      <w:spacing w:val="3"/>
      <w:sz w:val="14"/>
      <w:szCs w:val="14"/>
      <w:lang w:eastAsia="en-US"/>
    </w:rPr>
  </w:style>
  <w:style w:type="character" w:customStyle="1" w:styleId="Balk940ptbolukbraklyor">
    <w:name w:val="Başlık #9 (4) + 0 pt boşluk bırakılıyor"/>
    <w:basedOn w:val="Balk94"/>
    <w:rPr>
      <w:rFonts w:ascii="Times New Roman" w:eastAsia="Times New Roman" w:hAnsi="Times New Roman" w:cs="Times New Roman"/>
      <w:i/>
      <w:iCs/>
      <w:color w:val="000000"/>
      <w:spacing w:val="-10"/>
      <w:w w:val="100"/>
      <w:position w:val="0"/>
      <w:sz w:val="8"/>
      <w:szCs w:val="8"/>
      <w:u w:val="none"/>
      <w:shd w:val="clear" w:color="auto" w:fill="FFFFFF"/>
      <w:lang w:val="en-US"/>
    </w:rPr>
  </w:style>
  <w:style w:type="character" w:customStyle="1" w:styleId="Gvdemetni5KalnDeiltalik0ptbolukbraklyor">
    <w:name w:val="Gövde metni (5) + Kalın Değil;İtalik;0 pt boşluk bırakılıyor"/>
    <w:basedOn w:val="Gvdemetni5"/>
    <w:rPr>
      <w:rFonts w:ascii="Times New Roman" w:eastAsia="Times New Roman" w:hAnsi="Times New Roman" w:cs="Times New Roman"/>
      <w:b/>
      <w:bCs/>
      <w:i/>
      <w:iCs/>
      <w:color w:val="000000"/>
      <w:spacing w:val="3"/>
      <w:w w:val="100"/>
      <w:position w:val="0"/>
      <w:sz w:val="12"/>
      <w:szCs w:val="12"/>
      <w:u w:val="none"/>
      <w:shd w:val="clear" w:color="auto" w:fill="FFFFFF"/>
      <w:lang w:val="en-US"/>
    </w:rPr>
  </w:style>
  <w:style w:type="character" w:customStyle="1" w:styleId="Tabloyazs10">
    <w:name w:val="Tablo yazısı (10)_"/>
    <w:basedOn w:val="VarsaylanParagrafYazTipi"/>
    <w:link w:val="Tabloyazs100"/>
    <w:qFormat/>
    <w:rPr>
      <w:rFonts w:ascii="Times New Roman" w:eastAsia="Times New Roman" w:hAnsi="Times New Roman" w:cs="Times New Roman"/>
      <w:b/>
      <w:bCs/>
      <w:spacing w:val="1"/>
      <w:sz w:val="12"/>
      <w:szCs w:val="12"/>
      <w:shd w:val="clear" w:color="auto" w:fill="FFFFFF"/>
    </w:rPr>
  </w:style>
  <w:style w:type="paragraph" w:customStyle="1" w:styleId="Tabloyazs100">
    <w:name w:val="Tablo yazısı (10)"/>
    <w:basedOn w:val="Normal"/>
    <w:link w:val="Tabloyazs10"/>
    <w:pPr>
      <w:shd w:val="clear" w:color="auto" w:fill="FFFFFF"/>
      <w:spacing w:line="0" w:lineRule="atLeast"/>
    </w:pPr>
    <w:rPr>
      <w:rFonts w:eastAsia="Times New Roman" w:cs="Times New Roman"/>
      <w:b/>
      <w:bCs/>
      <w:color w:val="auto"/>
      <w:spacing w:val="1"/>
      <w:sz w:val="12"/>
      <w:szCs w:val="12"/>
      <w:lang w:eastAsia="en-US"/>
    </w:rPr>
  </w:style>
  <w:style w:type="character" w:customStyle="1" w:styleId="Tabloyazs10KalnDeiltalik0ptbolukbraklyor">
    <w:name w:val="Tablo yazısı (10) + Kalın Değil;İtalik;0 pt boşluk bırakılıyor"/>
    <w:basedOn w:val="Tabloyazs10"/>
    <w:qFormat/>
    <w:rPr>
      <w:rFonts w:ascii="Times New Roman" w:eastAsia="Times New Roman" w:hAnsi="Times New Roman" w:cs="Times New Roman"/>
      <w:b/>
      <w:bCs/>
      <w:i/>
      <w:iCs/>
      <w:color w:val="000000"/>
      <w:spacing w:val="3"/>
      <w:w w:val="100"/>
      <w:position w:val="0"/>
      <w:sz w:val="12"/>
      <w:szCs w:val="12"/>
      <w:shd w:val="clear" w:color="auto" w:fill="FFFFFF"/>
      <w:lang w:val="en-US"/>
    </w:rPr>
  </w:style>
  <w:style w:type="character" w:customStyle="1" w:styleId="Tabloyazs100ptbolukbraklyor">
    <w:name w:val="Tablo yazısı (10) + 0 pt boşluk bırakılıyor"/>
    <w:basedOn w:val="Tabloyazs10"/>
    <w:rPr>
      <w:rFonts w:ascii="Times New Roman" w:eastAsia="Times New Roman" w:hAnsi="Times New Roman" w:cs="Times New Roman"/>
      <w:b/>
      <w:bCs/>
      <w:color w:val="000000"/>
      <w:spacing w:val="0"/>
      <w:w w:val="100"/>
      <w:position w:val="0"/>
      <w:sz w:val="12"/>
      <w:szCs w:val="12"/>
      <w:shd w:val="clear" w:color="auto" w:fill="FFFFFF"/>
      <w:lang w:val="en-US"/>
    </w:rPr>
  </w:style>
  <w:style w:type="character" w:customStyle="1" w:styleId="Gvdemetni36">
    <w:name w:val="Gövde metni (36)_"/>
    <w:basedOn w:val="VarsaylanParagrafYazTipi"/>
    <w:link w:val="Gvdemetni360"/>
    <w:qFormat/>
    <w:rPr>
      <w:rFonts w:ascii="Times New Roman" w:eastAsia="Times New Roman" w:hAnsi="Times New Roman" w:cs="Times New Roman"/>
      <w:sz w:val="17"/>
      <w:szCs w:val="17"/>
      <w:shd w:val="clear" w:color="auto" w:fill="FFFFFF"/>
    </w:rPr>
  </w:style>
  <w:style w:type="paragraph" w:customStyle="1" w:styleId="Gvdemetni360">
    <w:name w:val="Gövde metni (36)"/>
    <w:basedOn w:val="Normal"/>
    <w:link w:val="Gvdemetni36"/>
    <w:pPr>
      <w:shd w:val="clear" w:color="auto" w:fill="FFFFFF"/>
      <w:spacing w:before="300" w:after="600" w:line="0" w:lineRule="atLeast"/>
      <w:ind w:hanging="340"/>
      <w:jc w:val="both"/>
    </w:pPr>
    <w:rPr>
      <w:rFonts w:eastAsia="Times New Roman" w:cs="Times New Roman"/>
      <w:color w:val="auto"/>
      <w:sz w:val="17"/>
      <w:szCs w:val="17"/>
      <w:lang w:eastAsia="en-US"/>
    </w:rPr>
  </w:style>
  <w:style w:type="character" w:customStyle="1" w:styleId="Gvdemetni367pt0ptbolukbraklyor">
    <w:name w:val="Gövde metni (36) + 7 pt;0 pt boşluk bırakılıyor"/>
    <w:basedOn w:val="Gvdemetni36"/>
    <w:rPr>
      <w:rFonts w:ascii="Times New Roman" w:eastAsia="Times New Roman" w:hAnsi="Times New Roman" w:cs="Times New Roman"/>
      <w:color w:val="000000"/>
      <w:spacing w:val="3"/>
      <w:w w:val="100"/>
      <w:position w:val="0"/>
      <w:sz w:val="14"/>
      <w:szCs w:val="14"/>
      <w:shd w:val="clear" w:color="auto" w:fill="FFFFFF"/>
      <w:lang w:val="en-US"/>
    </w:rPr>
  </w:style>
  <w:style w:type="character" w:customStyle="1" w:styleId="Gvdemetni365pt0ptbolukbraklyor">
    <w:name w:val="Gövde metni (36) + 5 pt;0 pt boşluk bırakılıyor"/>
    <w:basedOn w:val="Gvdemetni36"/>
    <w:rPr>
      <w:rFonts w:ascii="Times New Roman" w:eastAsia="Times New Roman" w:hAnsi="Times New Roman" w:cs="Times New Roman"/>
      <w:color w:val="000000"/>
      <w:spacing w:val="-1"/>
      <w:w w:val="100"/>
      <w:position w:val="0"/>
      <w:sz w:val="10"/>
      <w:szCs w:val="10"/>
      <w:shd w:val="clear" w:color="auto" w:fill="FFFFFF"/>
      <w:lang w:val="en-US"/>
    </w:rPr>
  </w:style>
  <w:style w:type="character" w:customStyle="1" w:styleId="Gvdemetni365pt">
    <w:name w:val="Gövde metni (36) + 5 pt"/>
    <w:aliases w:val="0 pt boşluk bırakılıyor7"/>
    <w:basedOn w:val="Gvdemetni36"/>
    <w:rPr>
      <w:rFonts w:ascii="Times New Roman" w:eastAsia="Times New Roman" w:hAnsi="Times New Roman" w:cs="Times New Roman"/>
      <w:color w:val="000000"/>
      <w:spacing w:val="0"/>
      <w:w w:val="100"/>
      <w:position w:val="0"/>
      <w:sz w:val="10"/>
      <w:szCs w:val="10"/>
      <w:shd w:val="clear" w:color="auto" w:fill="FFFFFF"/>
    </w:rPr>
  </w:style>
  <w:style w:type="character" w:customStyle="1" w:styleId="Gvdemetni366pt0ptbolukbraklyor">
    <w:name w:val="Gövde metni (36) + 6 pt;0 pt boşluk bırakılıyor"/>
    <w:basedOn w:val="Gvdemetni36"/>
    <w:rPr>
      <w:rFonts w:ascii="Times New Roman" w:eastAsia="Times New Roman" w:hAnsi="Times New Roman" w:cs="Times New Roman"/>
      <w:color w:val="000000"/>
      <w:spacing w:val="5"/>
      <w:w w:val="100"/>
      <w:position w:val="0"/>
      <w:sz w:val="12"/>
      <w:szCs w:val="12"/>
      <w:shd w:val="clear" w:color="auto" w:fill="FFFFFF"/>
      <w:lang w:val="en-US"/>
    </w:rPr>
  </w:style>
  <w:style w:type="character" w:customStyle="1" w:styleId="Tabloyazs6">
    <w:name w:val="Tablo yazısı (6)_"/>
    <w:basedOn w:val="VarsaylanParagrafYazTipi"/>
    <w:link w:val="Tabloyazs60"/>
    <w:qFormat/>
    <w:rPr>
      <w:rFonts w:ascii="Times New Roman" w:eastAsia="Times New Roman" w:hAnsi="Times New Roman" w:cs="Times New Roman"/>
      <w:i/>
      <w:iCs/>
      <w:spacing w:val="4"/>
      <w:sz w:val="8"/>
      <w:szCs w:val="8"/>
      <w:shd w:val="clear" w:color="auto" w:fill="FFFFFF"/>
    </w:rPr>
  </w:style>
  <w:style w:type="paragraph" w:customStyle="1" w:styleId="Tabloyazs60">
    <w:name w:val="Tablo yazısı (6)"/>
    <w:basedOn w:val="Normal"/>
    <w:link w:val="Tabloyazs6"/>
    <w:qFormat/>
    <w:pPr>
      <w:shd w:val="clear" w:color="auto" w:fill="FFFFFF"/>
      <w:spacing w:line="0" w:lineRule="atLeast"/>
    </w:pPr>
    <w:rPr>
      <w:rFonts w:eastAsia="Times New Roman" w:cs="Times New Roman"/>
      <w:i/>
      <w:iCs/>
      <w:color w:val="auto"/>
      <w:spacing w:val="4"/>
      <w:sz w:val="8"/>
      <w:szCs w:val="8"/>
      <w:lang w:eastAsia="en-US"/>
    </w:rPr>
  </w:style>
  <w:style w:type="character" w:customStyle="1" w:styleId="Tabloyazs60ptbolukbraklyor">
    <w:name w:val="Tablo yazısı (6) + 0 pt boşluk bırakılıyor"/>
    <w:basedOn w:val="Tabloyazs6"/>
    <w:qFormat/>
    <w:rPr>
      <w:rFonts w:ascii="Times New Roman" w:eastAsia="Times New Roman" w:hAnsi="Times New Roman" w:cs="Times New Roman"/>
      <w:i/>
      <w:iCs/>
      <w:color w:val="000000"/>
      <w:spacing w:val="5"/>
      <w:w w:val="100"/>
      <w:position w:val="0"/>
      <w:sz w:val="8"/>
      <w:szCs w:val="8"/>
      <w:shd w:val="clear" w:color="auto" w:fill="FFFFFF"/>
      <w:lang w:val="en-US"/>
    </w:rPr>
  </w:style>
  <w:style w:type="character" w:customStyle="1" w:styleId="Gvdemetni10">
    <w:name w:val="Gövde metni10"/>
    <w:basedOn w:val="Gvdemetni"/>
    <w:rPr>
      <w:rFonts w:ascii="Times New Roman" w:eastAsia="Times New Roman" w:hAnsi="Times New Roman" w:cs="Times New Roman"/>
      <w:color w:val="000000"/>
      <w:spacing w:val="4"/>
      <w:w w:val="100"/>
      <w:position w:val="0"/>
      <w:sz w:val="12"/>
      <w:szCs w:val="12"/>
      <w:u w:val="none"/>
      <w:shd w:val="clear" w:color="auto" w:fill="FFFFFF"/>
      <w:lang w:val="en-US"/>
    </w:rPr>
  </w:style>
  <w:style w:type="paragraph" w:customStyle="1" w:styleId="Gvdemetni1">
    <w:name w:val="Gövde metni1"/>
    <w:basedOn w:val="Normal"/>
    <w:pPr>
      <w:shd w:val="clear" w:color="auto" w:fill="FFFFFF"/>
      <w:spacing w:line="192" w:lineRule="exact"/>
      <w:ind w:hanging="1500"/>
      <w:jc w:val="center"/>
    </w:pPr>
    <w:rPr>
      <w:rFonts w:eastAsia="Times New Roman" w:cs="Times New Roman"/>
      <w:spacing w:val="4"/>
      <w:sz w:val="12"/>
      <w:szCs w:val="12"/>
    </w:rPr>
  </w:style>
  <w:style w:type="character" w:customStyle="1" w:styleId="Balk46">
    <w:name w:val="Başlık #4 (6)_"/>
    <w:basedOn w:val="VarsaylanParagrafYazTipi"/>
    <w:link w:val="Balk460"/>
    <w:qFormat/>
    <w:rPr>
      <w:rFonts w:ascii="Times New Roman" w:eastAsia="Times New Roman" w:hAnsi="Times New Roman" w:cs="Times New Roman"/>
      <w:b/>
      <w:bCs/>
      <w:spacing w:val="18"/>
      <w:sz w:val="12"/>
      <w:szCs w:val="12"/>
      <w:shd w:val="clear" w:color="auto" w:fill="FFFFFF"/>
    </w:rPr>
  </w:style>
  <w:style w:type="paragraph" w:customStyle="1" w:styleId="Balk460">
    <w:name w:val="Başlık #4 (6)"/>
    <w:basedOn w:val="Normal"/>
    <w:link w:val="Balk46"/>
    <w:pPr>
      <w:shd w:val="clear" w:color="auto" w:fill="FFFFFF"/>
      <w:spacing w:before="60" w:after="60" w:line="0" w:lineRule="atLeast"/>
      <w:jc w:val="both"/>
      <w:outlineLvl w:val="3"/>
    </w:pPr>
    <w:rPr>
      <w:rFonts w:eastAsia="Times New Roman" w:cs="Times New Roman"/>
      <w:b/>
      <w:bCs/>
      <w:color w:val="auto"/>
      <w:spacing w:val="18"/>
      <w:sz w:val="12"/>
      <w:szCs w:val="12"/>
      <w:lang w:eastAsia="en-US"/>
    </w:rPr>
  </w:style>
  <w:style w:type="character" w:customStyle="1" w:styleId="Balk467ptKalnDeil0ptbolukbraklyor">
    <w:name w:val="Başlık #4 (6) + 7 pt;Kalın Değil;0 pt boşluk bırakılıyor"/>
    <w:basedOn w:val="Balk46"/>
    <w:rPr>
      <w:rFonts w:ascii="Times New Roman" w:eastAsia="Times New Roman" w:hAnsi="Times New Roman" w:cs="Times New Roman"/>
      <w:b/>
      <w:bCs/>
      <w:color w:val="000000"/>
      <w:spacing w:val="3"/>
      <w:w w:val="100"/>
      <w:position w:val="0"/>
      <w:sz w:val="14"/>
      <w:szCs w:val="14"/>
      <w:shd w:val="clear" w:color="auto" w:fill="FFFFFF"/>
      <w:lang w:val="en-US"/>
    </w:rPr>
  </w:style>
  <w:style w:type="character" w:customStyle="1" w:styleId="Gvdemetni250ptbolukbraklyor">
    <w:name w:val="Gövde metni (25) + 0 pt boşluk bırakılıyor"/>
    <w:basedOn w:val="Gvdemetni25"/>
    <w:rPr>
      <w:rFonts w:ascii="Times New Roman" w:eastAsia="Times New Roman" w:hAnsi="Times New Roman" w:cs="Times New Roman"/>
      <w:color w:val="000000"/>
      <w:spacing w:val="4"/>
      <w:w w:val="100"/>
      <w:position w:val="0"/>
      <w:sz w:val="14"/>
      <w:szCs w:val="14"/>
      <w:u w:val="none"/>
      <w:shd w:val="clear" w:color="auto" w:fill="FFFFFF"/>
      <w:lang w:val="en-US"/>
    </w:rPr>
  </w:style>
  <w:style w:type="character" w:customStyle="1" w:styleId="Balk10">
    <w:name w:val="Başlık #10_"/>
    <w:basedOn w:val="VarsaylanParagrafYazTipi"/>
    <w:link w:val="Balk100"/>
    <w:qFormat/>
    <w:rPr>
      <w:rFonts w:ascii="Times New Roman" w:eastAsia="Times New Roman" w:hAnsi="Times New Roman" w:cs="Times New Roman"/>
      <w:spacing w:val="3"/>
      <w:sz w:val="14"/>
      <w:szCs w:val="14"/>
      <w:shd w:val="clear" w:color="auto" w:fill="FFFFFF"/>
    </w:rPr>
  </w:style>
  <w:style w:type="paragraph" w:customStyle="1" w:styleId="Balk100">
    <w:name w:val="Başlık #10"/>
    <w:basedOn w:val="Normal"/>
    <w:link w:val="Balk10"/>
    <w:pPr>
      <w:shd w:val="clear" w:color="auto" w:fill="FFFFFF"/>
      <w:spacing w:before="420" w:after="300" w:line="0" w:lineRule="atLeast"/>
      <w:ind w:hanging="760"/>
      <w:jc w:val="center"/>
    </w:pPr>
    <w:rPr>
      <w:rFonts w:eastAsia="Times New Roman" w:cs="Times New Roman"/>
      <w:color w:val="auto"/>
      <w:spacing w:val="3"/>
      <w:sz w:val="14"/>
      <w:szCs w:val="14"/>
      <w:lang w:eastAsia="en-US"/>
    </w:rPr>
  </w:style>
  <w:style w:type="character" w:customStyle="1" w:styleId="Balk100ptbolukbraklyor">
    <w:name w:val="Başlık #10 + 0 pt boşluk bırakılıyor"/>
    <w:basedOn w:val="Balk10"/>
    <w:rPr>
      <w:rFonts w:ascii="Times New Roman" w:eastAsia="Times New Roman" w:hAnsi="Times New Roman" w:cs="Times New Roman"/>
      <w:color w:val="000000"/>
      <w:spacing w:val="4"/>
      <w:w w:val="100"/>
      <w:position w:val="0"/>
      <w:sz w:val="14"/>
      <w:szCs w:val="14"/>
      <w:shd w:val="clear" w:color="auto" w:fill="FFFFFF"/>
      <w:lang w:val="en-US"/>
    </w:rPr>
  </w:style>
  <w:style w:type="character" w:customStyle="1" w:styleId="Gvdemetni26">
    <w:name w:val="Gövde metni (26)_"/>
    <w:basedOn w:val="VarsaylanParagrafYazTipi"/>
    <w:link w:val="Gvdemetni260"/>
    <w:qFormat/>
    <w:rPr>
      <w:rFonts w:ascii="Times New Roman" w:eastAsia="Times New Roman" w:hAnsi="Times New Roman" w:cs="Times New Roman"/>
      <w:i/>
      <w:iCs/>
      <w:spacing w:val="4"/>
      <w:sz w:val="8"/>
      <w:szCs w:val="8"/>
      <w:shd w:val="clear" w:color="auto" w:fill="FFFFFF"/>
    </w:rPr>
  </w:style>
  <w:style w:type="paragraph" w:customStyle="1" w:styleId="Gvdemetni260">
    <w:name w:val="Gövde metni (26)"/>
    <w:basedOn w:val="Normal"/>
    <w:link w:val="Gvdemetni26"/>
    <w:pPr>
      <w:shd w:val="clear" w:color="auto" w:fill="FFFFFF"/>
      <w:spacing w:after="240" w:line="120" w:lineRule="exact"/>
      <w:jc w:val="center"/>
    </w:pPr>
    <w:rPr>
      <w:rFonts w:eastAsia="Times New Roman" w:cs="Times New Roman"/>
      <w:i/>
      <w:iCs/>
      <w:color w:val="auto"/>
      <w:spacing w:val="4"/>
      <w:sz w:val="8"/>
      <w:szCs w:val="8"/>
      <w:lang w:eastAsia="en-US"/>
    </w:rPr>
  </w:style>
  <w:style w:type="character" w:customStyle="1" w:styleId="Gvdemetni40">
    <w:name w:val="Gövde metni (4)_"/>
    <w:basedOn w:val="VarsaylanParagrafYazTipi"/>
    <w:link w:val="Gvdemetni41"/>
    <w:qFormat/>
    <w:rPr>
      <w:rFonts w:ascii="Times New Roman" w:eastAsia="Times New Roman" w:hAnsi="Times New Roman" w:cs="Times New Roman"/>
      <w:i/>
      <w:iCs/>
      <w:sz w:val="12"/>
      <w:szCs w:val="12"/>
      <w:u w:val="none"/>
    </w:rPr>
  </w:style>
  <w:style w:type="paragraph" w:customStyle="1" w:styleId="Gvdemetni41">
    <w:name w:val="Gövde metni (4)1"/>
    <w:basedOn w:val="Normal"/>
    <w:link w:val="Gvdemetni40"/>
    <w:pPr>
      <w:shd w:val="clear" w:color="auto" w:fill="FFFFFF"/>
      <w:spacing w:before="120" w:after="360" w:line="0" w:lineRule="atLeast"/>
    </w:pPr>
    <w:rPr>
      <w:rFonts w:eastAsia="Times New Roman" w:cs="Times New Roman"/>
      <w:i/>
      <w:iCs/>
      <w:color w:val="auto"/>
      <w:sz w:val="12"/>
      <w:szCs w:val="12"/>
      <w:lang w:eastAsia="en-US"/>
    </w:rPr>
  </w:style>
  <w:style w:type="character" w:customStyle="1" w:styleId="Gvdemetni40ptbolukbraklyor">
    <w:name w:val="Gövde metni (4) + 0 pt boşluk bırakılıyor"/>
    <w:basedOn w:val="Gvdemetni40"/>
    <w:rPr>
      <w:rFonts w:ascii="Times New Roman" w:eastAsia="Times New Roman" w:hAnsi="Times New Roman" w:cs="Times New Roman"/>
      <w:i/>
      <w:iCs/>
      <w:color w:val="000000"/>
      <w:spacing w:val="1"/>
      <w:w w:val="100"/>
      <w:position w:val="0"/>
      <w:sz w:val="12"/>
      <w:szCs w:val="12"/>
      <w:u w:val="none"/>
      <w:lang w:val="en-US"/>
    </w:rPr>
  </w:style>
  <w:style w:type="character" w:customStyle="1" w:styleId="Gvdemetni260ptbolukbraklyor">
    <w:name w:val="Gövde metni (26) + 0 pt boşluk bırakılıyor"/>
    <w:basedOn w:val="Gvdemetni26"/>
    <w:rPr>
      <w:rFonts w:ascii="Times New Roman" w:eastAsia="Times New Roman" w:hAnsi="Times New Roman" w:cs="Times New Roman"/>
      <w:i/>
      <w:iCs/>
      <w:color w:val="000000"/>
      <w:spacing w:val="1"/>
      <w:w w:val="100"/>
      <w:position w:val="0"/>
      <w:sz w:val="8"/>
      <w:szCs w:val="8"/>
      <w:u w:val="none"/>
      <w:shd w:val="clear" w:color="auto" w:fill="FFFFFF"/>
      <w:lang w:val="en-US"/>
    </w:rPr>
  </w:style>
  <w:style w:type="character" w:customStyle="1" w:styleId="Balk460ptbolukbraklyor">
    <w:name w:val="Başlık #4 (6) + 0 pt boşluk bırakılıyor"/>
    <w:basedOn w:val="Balk46"/>
    <w:rPr>
      <w:rFonts w:ascii="Times New Roman" w:eastAsia="Times New Roman" w:hAnsi="Times New Roman" w:cs="Times New Roman"/>
      <w:b/>
      <w:bCs/>
      <w:color w:val="000000"/>
      <w:spacing w:val="0"/>
      <w:w w:val="100"/>
      <w:position w:val="0"/>
      <w:sz w:val="12"/>
      <w:szCs w:val="12"/>
      <w:shd w:val="clear" w:color="auto" w:fill="FFFFFF"/>
      <w:lang w:val="en-US"/>
    </w:rPr>
  </w:style>
  <w:style w:type="character" w:customStyle="1" w:styleId="Tabloyazs20ptbolukbraklyor">
    <w:name w:val="Tablo yazısı (2) + 0 pt boşluk bırakılıyor"/>
    <w:basedOn w:val="VarsaylanParagrafYazTipi"/>
    <w:qFormat/>
    <w:rPr>
      <w:rFonts w:ascii="Times New Roman" w:eastAsia="Times New Roman" w:hAnsi="Times New Roman" w:cs="Times New Roman"/>
      <w:i/>
      <w:iCs/>
      <w:color w:val="000000"/>
      <w:spacing w:val="2"/>
      <w:w w:val="100"/>
      <w:position w:val="0"/>
      <w:sz w:val="12"/>
      <w:szCs w:val="12"/>
      <w:u w:val="none"/>
      <w:lang w:val="en-US"/>
    </w:rPr>
  </w:style>
  <w:style w:type="character" w:customStyle="1" w:styleId="Gvdemetni50ptbolukbraklyor">
    <w:name w:val="Gövde metni (5) + 0 pt boşluk bırakılıyor"/>
    <w:basedOn w:val="Gvdemetni5"/>
    <w:rPr>
      <w:rFonts w:ascii="Times New Roman" w:eastAsia="Times New Roman" w:hAnsi="Times New Roman" w:cs="Times New Roman"/>
      <w:b/>
      <w:bCs/>
      <w:color w:val="000000"/>
      <w:spacing w:val="0"/>
      <w:w w:val="100"/>
      <w:position w:val="0"/>
      <w:sz w:val="12"/>
      <w:szCs w:val="12"/>
      <w:u w:val="none"/>
      <w:shd w:val="clear" w:color="auto" w:fill="FFFFFF"/>
      <w:lang w:val="en-US"/>
    </w:rPr>
  </w:style>
  <w:style w:type="character" w:customStyle="1" w:styleId="Tabloyazs11">
    <w:name w:val="Tablo yazısı (11)"/>
    <w:basedOn w:val="VarsaylanParagrafYazTipi"/>
    <w:qFormat/>
    <w:rPr>
      <w:rFonts w:ascii="Times New Roman" w:eastAsia="Times New Roman" w:hAnsi="Times New Roman" w:cs="Times New Roman"/>
      <w:color w:val="000000"/>
      <w:spacing w:val="2"/>
      <w:w w:val="100"/>
      <w:position w:val="0"/>
      <w:sz w:val="14"/>
      <w:szCs w:val="14"/>
      <w:u w:val="none"/>
      <w:lang w:val="en-US"/>
    </w:rPr>
  </w:style>
  <w:style w:type="character" w:customStyle="1" w:styleId="Tabloyazs2">
    <w:name w:val="Tablo yazısı (2)_"/>
    <w:basedOn w:val="VarsaylanParagrafYazTipi"/>
    <w:link w:val="Tabloyazs20"/>
    <w:qFormat/>
    <w:rPr>
      <w:rFonts w:ascii="Times New Roman" w:eastAsia="Times New Roman" w:hAnsi="Times New Roman" w:cs="Times New Roman"/>
      <w:i/>
      <w:iCs/>
      <w:sz w:val="12"/>
      <w:szCs w:val="12"/>
      <w:shd w:val="clear" w:color="auto" w:fill="FFFFFF"/>
    </w:rPr>
  </w:style>
  <w:style w:type="paragraph" w:customStyle="1" w:styleId="Tabloyazs20">
    <w:name w:val="Tablo yazısı (2)"/>
    <w:basedOn w:val="Normal"/>
    <w:link w:val="Tabloyazs2"/>
    <w:qFormat/>
    <w:pPr>
      <w:shd w:val="clear" w:color="auto" w:fill="FFFFFF"/>
      <w:spacing w:line="0" w:lineRule="atLeast"/>
    </w:pPr>
    <w:rPr>
      <w:rFonts w:eastAsia="Times New Roman" w:cs="Times New Roman"/>
      <w:i/>
      <w:iCs/>
      <w:color w:val="auto"/>
      <w:sz w:val="12"/>
      <w:szCs w:val="12"/>
      <w:lang w:eastAsia="en-US"/>
    </w:rPr>
  </w:style>
  <w:style w:type="character" w:customStyle="1" w:styleId="stbilgiChar">
    <w:name w:val="Üstbilgi Char"/>
    <w:basedOn w:val="VarsaylanParagrafYazTipi"/>
    <w:link w:val="stbilgi"/>
    <w:uiPriority w:val="99"/>
    <w:qFormat/>
    <w:rPr>
      <w:rFonts w:ascii="Courier New" w:eastAsia="Courier New" w:hAnsi="Courier New" w:cs="Courier New"/>
      <w:color w:val="000000"/>
      <w:sz w:val="24"/>
      <w:szCs w:val="24"/>
      <w:lang w:val="en-US" w:eastAsia="tr-TR"/>
    </w:rPr>
  </w:style>
  <w:style w:type="character" w:customStyle="1" w:styleId="AltbilgiChar">
    <w:name w:val="Altbilgi Char"/>
    <w:basedOn w:val="VarsaylanParagrafYazTipi"/>
    <w:link w:val="Altbilgi"/>
    <w:uiPriority w:val="99"/>
    <w:qFormat/>
    <w:rPr>
      <w:rFonts w:ascii="Courier New" w:eastAsia="Courier New" w:hAnsi="Courier New" w:cs="Courier New"/>
      <w:color w:val="000000"/>
      <w:sz w:val="24"/>
      <w:szCs w:val="24"/>
      <w:lang w:val="en-US" w:eastAsia="tr-TR"/>
    </w:rPr>
  </w:style>
  <w:style w:type="character" w:customStyle="1" w:styleId="Gvdemetni5KalnDeiltalik">
    <w:name w:val="Gövde metni (5) + Kalın Değil;İtalik"/>
    <w:basedOn w:val="Gvdemetni5"/>
    <w:rPr>
      <w:rFonts w:ascii="Times New Roman" w:eastAsia="Times New Roman" w:hAnsi="Times New Roman" w:cs="Times New Roman"/>
      <w:b/>
      <w:bCs/>
      <w:i/>
      <w:iCs/>
      <w:color w:val="000000"/>
      <w:spacing w:val="1"/>
      <w:w w:val="100"/>
      <w:position w:val="0"/>
      <w:sz w:val="12"/>
      <w:szCs w:val="12"/>
      <w:u w:val="none"/>
      <w:shd w:val="clear" w:color="auto" w:fill="FFFFFF"/>
      <w:lang w:val="en-US"/>
    </w:rPr>
  </w:style>
  <w:style w:type="character" w:customStyle="1" w:styleId="Gvdemetni256pttalik0ptbolukbraklyor">
    <w:name w:val="Gövde metni (25) + 6 pt;İtalik;0 pt boşluk bırakılıyor"/>
    <w:basedOn w:val="Gvdemetni25"/>
    <w:rPr>
      <w:rFonts w:ascii="Times New Roman" w:eastAsia="Times New Roman" w:hAnsi="Times New Roman" w:cs="Times New Roman"/>
      <w:i/>
      <w:iCs/>
      <w:color w:val="000000"/>
      <w:spacing w:val="1"/>
      <w:w w:val="100"/>
      <w:position w:val="0"/>
      <w:sz w:val="12"/>
      <w:szCs w:val="12"/>
      <w:u w:val="none"/>
      <w:shd w:val="clear" w:color="auto" w:fill="FFFFFF"/>
      <w:lang w:val="en-US"/>
    </w:rPr>
  </w:style>
  <w:style w:type="character" w:customStyle="1" w:styleId="Resimyazs30ptbolukbraklyor">
    <w:name w:val="Resim yazısı (3) + 0 pt boşluk bırakılıyor"/>
    <w:basedOn w:val="VarsaylanParagrafYazTipi"/>
    <w:qFormat/>
    <w:rPr>
      <w:rFonts w:ascii="Times New Roman" w:eastAsia="Times New Roman" w:hAnsi="Times New Roman" w:cs="Times New Roman"/>
      <w:i/>
      <w:iCs/>
      <w:color w:val="000000"/>
      <w:spacing w:val="-2"/>
      <w:w w:val="100"/>
      <w:position w:val="0"/>
      <w:sz w:val="12"/>
      <w:szCs w:val="12"/>
      <w:u w:val="none"/>
      <w:lang w:val="en-US"/>
    </w:rPr>
  </w:style>
  <w:style w:type="character" w:customStyle="1" w:styleId="Resimyazs17">
    <w:name w:val="Resim yazısı (17)_"/>
    <w:basedOn w:val="VarsaylanParagrafYazTipi"/>
    <w:link w:val="Resimyazs170"/>
    <w:qFormat/>
    <w:rPr>
      <w:rFonts w:ascii="Times New Roman" w:eastAsia="Times New Roman" w:hAnsi="Times New Roman" w:cs="Times New Roman"/>
      <w:spacing w:val="6"/>
      <w:sz w:val="14"/>
      <w:szCs w:val="14"/>
      <w:shd w:val="clear" w:color="auto" w:fill="FFFFFF"/>
    </w:rPr>
  </w:style>
  <w:style w:type="paragraph" w:customStyle="1" w:styleId="Resimyazs170">
    <w:name w:val="Resim yazısı (17)"/>
    <w:basedOn w:val="Normal"/>
    <w:link w:val="Resimyazs17"/>
    <w:qFormat/>
    <w:pPr>
      <w:shd w:val="clear" w:color="auto" w:fill="FFFFFF"/>
      <w:spacing w:line="324" w:lineRule="exact"/>
      <w:jc w:val="center"/>
    </w:pPr>
    <w:rPr>
      <w:rFonts w:eastAsia="Times New Roman" w:cs="Times New Roman"/>
      <w:color w:val="auto"/>
      <w:spacing w:val="6"/>
      <w:sz w:val="14"/>
      <w:szCs w:val="14"/>
      <w:lang w:eastAsia="en-US"/>
    </w:rPr>
  </w:style>
  <w:style w:type="character" w:customStyle="1" w:styleId="Resimyazs170ptbolukbraklyor">
    <w:name w:val="Resim yazısı (17) + 0 pt boşluk bırakılıyor"/>
    <w:basedOn w:val="Resimyazs17"/>
    <w:qFormat/>
    <w:rPr>
      <w:rFonts w:ascii="Times New Roman" w:eastAsia="Times New Roman" w:hAnsi="Times New Roman" w:cs="Times New Roman"/>
      <w:color w:val="000000"/>
      <w:spacing w:val="3"/>
      <w:w w:val="100"/>
      <w:position w:val="0"/>
      <w:sz w:val="14"/>
      <w:szCs w:val="14"/>
      <w:shd w:val="clear" w:color="auto" w:fill="FFFFFF"/>
      <w:lang w:val="en-US"/>
    </w:rPr>
  </w:style>
  <w:style w:type="character" w:customStyle="1" w:styleId="Gvdemetni367pt">
    <w:name w:val="Gövde metni (36) + 7 pt"/>
    <w:basedOn w:val="Gvdemetni36"/>
    <w:rPr>
      <w:rFonts w:ascii="Times New Roman" w:eastAsia="Times New Roman" w:hAnsi="Times New Roman" w:cs="Times New Roman"/>
      <w:color w:val="000000"/>
      <w:spacing w:val="0"/>
      <w:w w:val="100"/>
      <w:position w:val="0"/>
      <w:sz w:val="14"/>
      <w:szCs w:val="14"/>
      <w:u w:val="none"/>
      <w:shd w:val="clear" w:color="auto" w:fill="FFFFFF"/>
    </w:rPr>
  </w:style>
  <w:style w:type="character" w:customStyle="1" w:styleId="Gvdemetni36Sylfaen75pt">
    <w:name w:val="Gövde metni (36) + Sylfaen;7;5 pt"/>
    <w:basedOn w:val="Gvdemetni36"/>
    <w:rPr>
      <w:rFonts w:ascii="Sylfaen" w:eastAsia="Sylfaen" w:hAnsi="Sylfaen" w:cs="Sylfaen"/>
      <w:color w:val="000000"/>
      <w:spacing w:val="0"/>
      <w:w w:val="100"/>
      <w:position w:val="0"/>
      <w:sz w:val="15"/>
      <w:szCs w:val="15"/>
      <w:u w:val="none"/>
      <w:shd w:val="clear" w:color="auto" w:fill="FFFFFF"/>
    </w:rPr>
  </w:style>
  <w:style w:type="character" w:customStyle="1" w:styleId="Gvdemetnitalik">
    <w:name w:val="Gövde metni + İtalik"/>
    <w:basedOn w:val="Gvdemetni"/>
    <w:rPr>
      <w:rFonts w:ascii="Times New Roman" w:eastAsia="Times New Roman" w:hAnsi="Times New Roman" w:cs="Times New Roman"/>
      <w:i/>
      <w:iCs/>
      <w:color w:val="000000"/>
      <w:spacing w:val="2"/>
      <w:w w:val="100"/>
      <w:position w:val="0"/>
      <w:sz w:val="12"/>
      <w:szCs w:val="12"/>
      <w:shd w:val="clear" w:color="auto" w:fill="FFFFFF"/>
      <w:lang w:val="en-US"/>
    </w:rPr>
  </w:style>
  <w:style w:type="character" w:customStyle="1" w:styleId="Gvdemetni37">
    <w:name w:val="Gövde metni (37)_"/>
    <w:basedOn w:val="VarsaylanParagrafYazTipi"/>
    <w:link w:val="Gvdemetni370"/>
    <w:qFormat/>
    <w:locked/>
    <w:rPr>
      <w:rFonts w:ascii="Times New Roman" w:eastAsia="Times New Roman" w:hAnsi="Times New Roman" w:cs="Times New Roman"/>
      <w:spacing w:val="2"/>
      <w:sz w:val="10"/>
      <w:szCs w:val="10"/>
      <w:shd w:val="clear" w:color="auto" w:fill="FFFFFF"/>
    </w:rPr>
  </w:style>
  <w:style w:type="paragraph" w:customStyle="1" w:styleId="Gvdemetni370">
    <w:name w:val="Gövde metni (37)"/>
    <w:basedOn w:val="Normal"/>
    <w:link w:val="Gvdemetni37"/>
    <w:pPr>
      <w:shd w:val="clear" w:color="auto" w:fill="FFFFFF"/>
      <w:spacing w:before="180" w:line="168" w:lineRule="exact"/>
      <w:ind w:hanging="200"/>
      <w:jc w:val="both"/>
    </w:pPr>
    <w:rPr>
      <w:rFonts w:eastAsia="Times New Roman" w:cs="Times New Roman"/>
      <w:color w:val="auto"/>
      <w:spacing w:val="2"/>
      <w:sz w:val="10"/>
      <w:szCs w:val="10"/>
      <w:lang w:eastAsia="en-US"/>
    </w:rPr>
  </w:style>
  <w:style w:type="character" w:customStyle="1" w:styleId="Gvdemetni370ptbolukbraklyor">
    <w:name w:val="Gövde metni (37) + 0 pt boşluk bırakılıyor"/>
    <w:basedOn w:val="Gvdemetni37"/>
    <w:rPr>
      <w:rFonts w:ascii="Times New Roman" w:eastAsia="Times New Roman" w:hAnsi="Times New Roman" w:cs="Times New Roman"/>
      <w:color w:val="000000"/>
      <w:spacing w:val="1"/>
      <w:w w:val="100"/>
      <w:position w:val="0"/>
      <w:sz w:val="10"/>
      <w:szCs w:val="10"/>
      <w:shd w:val="clear" w:color="auto" w:fill="FFFFFF"/>
      <w:lang w:val="en-US"/>
    </w:rPr>
  </w:style>
  <w:style w:type="character" w:customStyle="1" w:styleId="Gvdemetni42">
    <w:name w:val="Gövde metni (42)_"/>
    <w:basedOn w:val="VarsaylanParagrafYazTipi"/>
    <w:link w:val="Gvdemetni420"/>
    <w:qFormat/>
    <w:locked/>
    <w:rPr>
      <w:rFonts w:ascii="Times New Roman" w:eastAsia="Times New Roman" w:hAnsi="Times New Roman" w:cs="Times New Roman"/>
      <w:spacing w:val="6"/>
      <w:sz w:val="13"/>
      <w:szCs w:val="13"/>
      <w:shd w:val="clear" w:color="auto" w:fill="FFFFFF"/>
    </w:rPr>
  </w:style>
  <w:style w:type="paragraph" w:customStyle="1" w:styleId="Gvdemetni420">
    <w:name w:val="Gövde metni (42)"/>
    <w:basedOn w:val="Normal"/>
    <w:link w:val="Gvdemetni42"/>
    <w:pPr>
      <w:shd w:val="clear" w:color="auto" w:fill="FFFFFF"/>
      <w:spacing w:before="660" w:after="3060" w:line="0" w:lineRule="atLeast"/>
    </w:pPr>
    <w:rPr>
      <w:rFonts w:eastAsia="Times New Roman" w:cs="Times New Roman"/>
      <w:color w:val="auto"/>
      <w:spacing w:val="6"/>
      <w:sz w:val="13"/>
      <w:szCs w:val="13"/>
      <w:lang w:eastAsia="en-US"/>
    </w:rPr>
  </w:style>
  <w:style w:type="character" w:customStyle="1" w:styleId="Gvdemetni420ptbolukbraklyor">
    <w:name w:val="Gövde metni (42) + 0 pt boşluk bırakılıyor"/>
    <w:basedOn w:val="Gvdemetni42"/>
    <w:rPr>
      <w:rFonts w:ascii="Times New Roman" w:eastAsia="Times New Roman" w:hAnsi="Times New Roman" w:cs="Times New Roman"/>
      <w:color w:val="000000"/>
      <w:spacing w:val="2"/>
      <w:w w:val="100"/>
      <w:position w:val="0"/>
      <w:sz w:val="13"/>
      <w:szCs w:val="13"/>
      <w:shd w:val="clear" w:color="auto" w:fill="FFFFFF"/>
      <w:lang w:val="en-US"/>
    </w:rPr>
  </w:style>
  <w:style w:type="character" w:customStyle="1" w:styleId="Gvdemetni110ptbolukbraklyor">
    <w:name w:val="Gövde metni (11) + 0 pt boşluk bırakılıyor"/>
    <w:basedOn w:val="VarsaylanParagrafYazTipi"/>
    <w:rPr>
      <w:rFonts w:ascii="Segoe UI" w:eastAsia="Segoe UI" w:hAnsi="Segoe UI" w:cs="Segoe UI" w:hint="default"/>
      <w:b/>
      <w:bCs/>
      <w:color w:val="000000"/>
      <w:spacing w:val="-1"/>
      <w:w w:val="100"/>
      <w:position w:val="0"/>
      <w:sz w:val="13"/>
      <w:szCs w:val="13"/>
      <w:u w:val="none"/>
      <w:lang w:val="en-US"/>
    </w:rPr>
  </w:style>
  <w:style w:type="character" w:customStyle="1" w:styleId="Gvdemetni53">
    <w:name w:val="Gövde metni (53)_"/>
    <w:basedOn w:val="VarsaylanParagrafYazTipi"/>
    <w:link w:val="Gvdemetni530"/>
    <w:qFormat/>
    <w:locked/>
    <w:rPr>
      <w:rFonts w:ascii="Times New Roman" w:eastAsia="Times New Roman" w:hAnsi="Times New Roman" w:cs="Times New Roman"/>
      <w:sz w:val="14"/>
      <w:szCs w:val="14"/>
      <w:shd w:val="clear" w:color="auto" w:fill="FFFFFF"/>
    </w:rPr>
  </w:style>
  <w:style w:type="paragraph" w:customStyle="1" w:styleId="Gvdemetni530">
    <w:name w:val="Gövde metni (53)"/>
    <w:basedOn w:val="Normal"/>
    <w:link w:val="Gvdemetni53"/>
    <w:pPr>
      <w:shd w:val="clear" w:color="auto" w:fill="FFFFFF"/>
      <w:spacing w:before="60" w:line="0" w:lineRule="atLeast"/>
      <w:ind w:hanging="260"/>
      <w:jc w:val="both"/>
    </w:pPr>
    <w:rPr>
      <w:rFonts w:eastAsia="Times New Roman" w:cs="Times New Roman"/>
      <w:color w:val="auto"/>
      <w:sz w:val="14"/>
      <w:szCs w:val="14"/>
      <w:lang w:eastAsia="en-US"/>
    </w:rPr>
  </w:style>
  <w:style w:type="character" w:customStyle="1" w:styleId="Gvdemetni12">
    <w:name w:val="Gövde metni (12)"/>
    <w:basedOn w:val="VarsaylanParagrafYazTipi"/>
    <w:rPr>
      <w:rFonts w:ascii="Segoe UI" w:eastAsia="Segoe UI" w:hAnsi="Segoe UI" w:cs="Segoe UI" w:hint="default"/>
      <w:color w:val="000000"/>
      <w:spacing w:val="-3"/>
      <w:w w:val="100"/>
      <w:position w:val="0"/>
      <w:sz w:val="13"/>
      <w:szCs w:val="13"/>
      <w:u w:val="none"/>
      <w:lang w:val="en-US"/>
    </w:rPr>
  </w:style>
  <w:style w:type="character" w:customStyle="1" w:styleId="Balk105">
    <w:name w:val="Başlık #10 (5)"/>
    <w:basedOn w:val="VarsaylanParagrafYazTipi"/>
    <w:rPr>
      <w:rFonts w:ascii="Times New Roman" w:eastAsia="Times New Roman" w:hAnsi="Times New Roman" w:cs="Times New Roman" w:hint="default"/>
      <w:color w:val="000000"/>
      <w:spacing w:val="-3"/>
      <w:w w:val="100"/>
      <w:position w:val="0"/>
      <w:sz w:val="17"/>
      <w:szCs w:val="17"/>
      <w:u w:val="none"/>
      <w:lang w:val="en-US"/>
    </w:rPr>
  </w:style>
  <w:style w:type="character" w:customStyle="1" w:styleId="Gvdemetni20">
    <w:name w:val="Gövde metni (2)_"/>
    <w:basedOn w:val="VarsaylanParagrafYazTipi"/>
    <w:link w:val="Gvdemetni22"/>
    <w:qFormat/>
    <w:locked/>
    <w:rPr>
      <w:rFonts w:ascii="Times New Roman" w:eastAsia="Times New Roman" w:hAnsi="Times New Roman" w:cs="Times New Roman"/>
      <w:sz w:val="17"/>
      <w:szCs w:val="17"/>
    </w:rPr>
  </w:style>
  <w:style w:type="paragraph" w:customStyle="1" w:styleId="Gvdemetni22">
    <w:name w:val="Gövde metni (2)2"/>
    <w:basedOn w:val="Normal"/>
    <w:link w:val="Gvdemetni20"/>
    <w:pPr>
      <w:shd w:val="clear" w:color="auto" w:fill="FFFFFF"/>
      <w:spacing w:before="120" w:after="900" w:line="0" w:lineRule="atLeast"/>
      <w:ind w:hanging="440"/>
      <w:jc w:val="center"/>
    </w:pPr>
    <w:rPr>
      <w:rFonts w:eastAsia="Times New Roman" w:cs="Times New Roman"/>
      <w:sz w:val="17"/>
      <w:szCs w:val="17"/>
    </w:rPr>
  </w:style>
  <w:style w:type="paragraph" w:customStyle="1" w:styleId="Gvdemetni21">
    <w:name w:val="Gövde metni (2)"/>
    <w:basedOn w:val="Normal"/>
    <w:pPr>
      <w:shd w:val="clear" w:color="auto" w:fill="FFFFFF"/>
      <w:spacing w:before="120" w:after="900" w:line="0" w:lineRule="atLeast"/>
      <w:ind w:hanging="440"/>
      <w:jc w:val="center"/>
    </w:pPr>
    <w:rPr>
      <w:rFonts w:eastAsia="Times New Roman" w:cs="Times New Roman"/>
      <w:color w:val="auto"/>
      <w:sz w:val="17"/>
      <w:szCs w:val="17"/>
      <w:lang w:eastAsia="en-US"/>
    </w:rPr>
  </w:style>
  <w:style w:type="character" w:customStyle="1" w:styleId="Gvdemetni140ptbolukbraklyor1">
    <w:name w:val="Gövde metni (14) + 0 pt boşluk bırakılıyor1"/>
    <w:rPr>
      <w:rFonts w:ascii="Times New Roman" w:eastAsia="Times New Roman" w:hAnsi="Times New Roman" w:cs="Times New Roman" w:hint="default"/>
      <w:color w:val="000000"/>
      <w:spacing w:val="4"/>
      <w:w w:val="100"/>
      <w:position w:val="0"/>
      <w:sz w:val="19"/>
      <w:szCs w:val="19"/>
      <w:u w:val="none"/>
      <w:lang w:val="en-US"/>
    </w:rPr>
  </w:style>
  <w:style w:type="character" w:customStyle="1" w:styleId="Gvdemetni76">
    <w:name w:val="Gövde metni (76)"/>
    <w:basedOn w:val="VarsaylanParagrafYazTipi"/>
    <w:rPr>
      <w:rFonts w:ascii="Times New Roman" w:eastAsia="Times New Roman" w:hAnsi="Times New Roman" w:cs="Times New Roman" w:hint="default"/>
      <w:b/>
      <w:bCs/>
      <w:color w:val="000000"/>
      <w:spacing w:val="-2"/>
      <w:w w:val="100"/>
      <w:position w:val="0"/>
      <w:sz w:val="14"/>
      <w:szCs w:val="14"/>
      <w:u w:val="none"/>
      <w:lang w:val="en-US"/>
    </w:rPr>
  </w:style>
  <w:style w:type="character" w:customStyle="1" w:styleId="Gvdemetni0ptbolukbraklyor">
    <w:name w:val="Gövde metni + 0 pt boşluk bırakılıyor"/>
    <w:basedOn w:val="Gvdemetni"/>
    <w:rPr>
      <w:rFonts w:ascii="Times New Roman" w:eastAsia="Times New Roman" w:hAnsi="Times New Roman" w:cs="Times New Roman"/>
      <w:color w:val="000000"/>
      <w:spacing w:val="5"/>
      <w:w w:val="100"/>
      <w:position w:val="0"/>
      <w:sz w:val="12"/>
      <w:szCs w:val="12"/>
      <w:shd w:val="clear" w:color="auto" w:fill="FFFFFF"/>
      <w:lang w:val="en-US"/>
    </w:rPr>
  </w:style>
  <w:style w:type="character" w:customStyle="1" w:styleId="Gvdemetni254pttalik0ptbolukbraklyor">
    <w:name w:val="Gövde metni (25) + 4 pt;İtalik;0 pt boşluk bırakılıyor"/>
    <w:basedOn w:val="Gvdemetni25"/>
    <w:rPr>
      <w:rFonts w:ascii="Times New Roman" w:eastAsia="Times New Roman" w:hAnsi="Times New Roman" w:cs="Times New Roman"/>
      <w:i/>
      <w:iCs/>
      <w:color w:val="000000"/>
      <w:spacing w:val="4"/>
      <w:w w:val="100"/>
      <w:position w:val="0"/>
      <w:sz w:val="8"/>
      <w:szCs w:val="8"/>
      <w:u w:val="none"/>
      <w:shd w:val="clear" w:color="auto" w:fill="FFFFFF"/>
      <w:lang w:val="en-US"/>
    </w:rPr>
  </w:style>
  <w:style w:type="character" w:customStyle="1" w:styleId="Balk20">
    <w:name w:val="Başlık #2"/>
    <w:basedOn w:val="VarsaylanParagrafYazTipi"/>
    <w:rPr>
      <w:rFonts w:ascii="Times New Roman" w:eastAsia="Times New Roman" w:hAnsi="Times New Roman" w:cs="Times New Roman"/>
      <w:color w:val="000000"/>
      <w:spacing w:val="4"/>
      <w:w w:val="100"/>
      <w:position w:val="0"/>
      <w:sz w:val="12"/>
      <w:szCs w:val="12"/>
      <w:u w:val="none"/>
      <w:lang w:val="en-US"/>
    </w:rPr>
  </w:style>
  <w:style w:type="character" w:customStyle="1" w:styleId="Gvdemetnitalik0ptbolukbraklyor">
    <w:name w:val="Gövde metni + İtalik;0 pt boşluk bırakılıyor"/>
    <w:basedOn w:val="Gvdemetni"/>
    <w:rPr>
      <w:rFonts w:ascii="Times New Roman" w:eastAsia="Times New Roman" w:hAnsi="Times New Roman" w:cs="Times New Roman"/>
      <w:i/>
      <w:iCs/>
      <w:color w:val="000000"/>
      <w:spacing w:val="2"/>
      <w:w w:val="100"/>
      <w:position w:val="0"/>
      <w:sz w:val="12"/>
      <w:szCs w:val="12"/>
      <w:u w:val="none"/>
      <w:shd w:val="clear" w:color="auto" w:fill="FFFFFF"/>
      <w:lang w:val="en-US"/>
    </w:rPr>
  </w:style>
  <w:style w:type="character" w:customStyle="1" w:styleId="fontstyle01">
    <w:name w:val="fontstyle01"/>
    <w:basedOn w:val="VarsaylanParagrafYazTipi"/>
    <w:rPr>
      <w:rFonts w:ascii="TimesNewRomanPSMT" w:hAnsi="TimesNewRomanPSMT" w:hint="default"/>
      <w:color w:val="231F20"/>
      <w:sz w:val="18"/>
      <w:szCs w:val="18"/>
    </w:rPr>
  </w:style>
  <w:style w:type="character" w:customStyle="1" w:styleId="Tabloyazs7">
    <w:name w:val="Tablo yazısı (7)"/>
    <w:basedOn w:val="VarsaylanParagrafYazTipi"/>
    <w:qFormat/>
    <w:rPr>
      <w:rFonts w:ascii="Times New Roman" w:eastAsia="Times New Roman" w:hAnsi="Times New Roman" w:cs="Times New Roman"/>
      <w:color w:val="000000"/>
      <w:spacing w:val="2"/>
      <w:w w:val="100"/>
      <w:position w:val="0"/>
      <w:sz w:val="10"/>
      <w:szCs w:val="10"/>
      <w:u w:val="none"/>
      <w:lang w:val="en-US"/>
    </w:rPr>
  </w:style>
  <w:style w:type="character" w:customStyle="1" w:styleId="Tabloyazs765pttalik0ptbolukbraklyor">
    <w:name w:val="Tablo yazısı (7) + 6;5 pt;İtalik;0 pt boşluk bırakılıyor"/>
    <w:basedOn w:val="VarsaylanParagrafYazTipi"/>
    <w:qFormat/>
    <w:rPr>
      <w:rFonts w:ascii="Times New Roman" w:eastAsia="Times New Roman" w:hAnsi="Times New Roman" w:cs="Times New Roman"/>
      <w:i/>
      <w:iCs/>
      <w:color w:val="000000"/>
      <w:spacing w:val="0"/>
      <w:w w:val="100"/>
      <w:position w:val="0"/>
      <w:sz w:val="13"/>
      <w:szCs w:val="13"/>
      <w:u w:val="none"/>
    </w:rPr>
  </w:style>
  <w:style w:type="character" w:customStyle="1" w:styleId="Tabloyazs7talik0ptbolukbraklyor">
    <w:name w:val="Tablo yazısı (7) + İtalik;0 pt boşluk bırakılıyor"/>
    <w:basedOn w:val="VarsaylanParagrafYazTipi"/>
    <w:qFormat/>
    <w:rPr>
      <w:rFonts w:ascii="Times New Roman" w:eastAsia="Times New Roman" w:hAnsi="Times New Roman" w:cs="Times New Roman"/>
      <w:i/>
      <w:iCs/>
      <w:color w:val="000000"/>
      <w:spacing w:val="1"/>
      <w:w w:val="100"/>
      <w:position w:val="0"/>
      <w:sz w:val="10"/>
      <w:szCs w:val="10"/>
      <w:u w:val="none"/>
      <w:lang w:val="en-US"/>
    </w:rPr>
  </w:style>
  <w:style w:type="character" w:customStyle="1" w:styleId="Tabloyazs70ptbolukbraklyor">
    <w:name w:val="Tablo yazısı (7) + 0 pt boşluk bırakılıyor"/>
    <w:basedOn w:val="VarsaylanParagrafYazTipi"/>
    <w:qFormat/>
    <w:rPr>
      <w:rFonts w:ascii="Times New Roman" w:eastAsia="Times New Roman" w:hAnsi="Times New Roman" w:cs="Times New Roman"/>
      <w:color w:val="000000"/>
      <w:spacing w:val="0"/>
      <w:w w:val="100"/>
      <w:position w:val="0"/>
      <w:sz w:val="10"/>
      <w:szCs w:val="10"/>
      <w:u w:val="none"/>
    </w:rPr>
  </w:style>
  <w:style w:type="character" w:customStyle="1" w:styleId="fontstyle11">
    <w:name w:val="fontstyle11"/>
    <w:basedOn w:val="VarsaylanParagrafYazTipi"/>
    <w:rPr>
      <w:rFonts w:ascii="TimesNewRomanPSMT" w:hAnsi="TimesNewRomanPSMT" w:hint="default"/>
      <w:color w:val="231F20"/>
      <w:sz w:val="12"/>
      <w:szCs w:val="12"/>
    </w:rPr>
  </w:style>
  <w:style w:type="character" w:customStyle="1" w:styleId="fontstyle31">
    <w:name w:val="fontstyle31"/>
    <w:basedOn w:val="VarsaylanParagrafYazTipi"/>
    <w:rPr>
      <w:rFonts w:ascii="TimesNewRomanPSMT" w:hAnsi="TimesNewRomanPSMT" w:hint="default"/>
      <w:color w:val="231F20"/>
      <w:sz w:val="10"/>
      <w:szCs w:val="10"/>
    </w:rPr>
  </w:style>
  <w:style w:type="character" w:customStyle="1" w:styleId="fontstyle21">
    <w:name w:val="fontstyle21"/>
    <w:basedOn w:val="VarsaylanParagrafYazTipi"/>
    <w:rPr>
      <w:rFonts w:ascii="TimesNewRomanPS-ItalicMT" w:hAnsi="TimesNewRomanPS-ItalicMT" w:hint="default"/>
      <w:i/>
      <w:iCs/>
      <w:color w:val="231F20"/>
      <w:sz w:val="18"/>
      <w:szCs w:val="18"/>
    </w:rPr>
  </w:style>
  <w:style w:type="character" w:customStyle="1" w:styleId="Gvdemetni2585pt0ptbolukbraklyor3">
    <w:name w:val="Gövde metni (25) + 8;5 pt;0 pt boşluk bırakılıyor3"/>
    <w:basedOn w:val="Gvdemetni25"/>
    <w:rPr>
      <w:rFonts w:ascii="Times New Roman" w:eastAsia="Times New Roman" w:hAnsi="Times New Roman" w:cs="Times New Roman"/>
      <w:color w:val="000000"/>
      <w:spacing w:val="0"/>
      <w:w w:val="100"/>
      <w:position w:val="0"/>
      <w:sz w:val="17"/>
      <w:szCs w:val="17"/>
      <w:u w:val="none"/>
      <w:shd w:val="clear" w:color="auto" w:fill="FFFFFF"/>
      <w:lang w:val="en-US"/>
    </w:rPr>
  </w:style>
  <w:style w:type="paragraph" w:customStyle="1" w:styleId="Gvdemetni255">
    <w:name w:val="Gövde metni (25)5"/>
    <w:basedOn w:val="Normal"/>
    <w:pPr>
      <w:shd w:val="clear" w:color="auto" w:fill="FFFFFF"/>
      <w:spacing w:before="180" w:after="180" w:line="0" w:lineRule="atLeast"/>
      <w:ind w:hanging="380"/>
      <w:jc w:val="both"/>
    </w:pPr>
    <w:rPr>
      <w:rFonts w:eastAsia="Times New Roman" w:cs="Times New Roman"/>
      <w:spacing w:val="3"/>
      <w:sz w:val="14"/>
      <w:szCs w:val="14"/>
    </w:rPr>
  </w:style>
  <w:style w:type="character" w:customStyle="1" w:styleId="Gvdemetni25KkBykHarf">
    <w:name w:val="Gövde metni (25) + Küçük Büyük Harf"/>
    <w:basedOn w:val="Gvdemetni25"/>
    <w:rPr>
      <w:rFonts w:ascii="Times New Roman" w:eastAsia="Times New Roman" w:hAnsi="Times New Roman" w:cs="Times New Roman"/>
      <w:smallCaps/>
      <w:color w:val="000000"/>
      <w:spacing w:val="3"/>
      <w:w w:val="100"/>
      <w:position w:val="0"/>
      <w:sz w:val="14"/>
      <w:szCs w:val="14"/>
      <w:u w:val="none"/>
      <w:shd w:val="clear" w:color="auto" w:fill="FFFFFF"/>
      <w:lang w:val="en-US"/>
    </w:rPr>
  </w:style>
  <w:style w:type="paragraph" w:customStyle="1" w:styleId="Gvdemetni531">
    <w:name w:val="Gövde metni (5)3"/>
    <w:basedOn w:val="Normal"/>
    <w:pPr>
      <w:shd w:val="clear" w:color="auto" w:fill="FFFFFF"/>
      <w:spacing w:before="180" w:line="0" w:lineRule="atLeast"/>
    </w:pPr>
    <w:rPr>
      <w:rFonts w:eastAsia="Times New Roman" w:cs="Times New Roman"/>
      <w:b/>
      <w:bCs/>
      <w:spacing w:val="1"/>
      <w:sz w:val="12"/>
      <w:szCs w:val="12"/>
    </w:rPr>
  </w:style>
  <w:style w:type="character" w:customStyle="1" w:styleId="Gvdemetni0ptbolukbraklyor1">
    <w:name w:val="Gövde metni + 0 pt boşluk bırakılıyor1"/>
    <w:basedOn w:val="Gvdemetni"/>
    <w:rPr>
      <w:rFonts w:ascii="Times New Roman" w:eastAsia="Times New Roman" w:hAnsi="Times New Roman" w:cs="Times New Roman"/>
      <w:color w:val="000000"/>
      <w:spacing w:val="5"/>
      <w:w w:val="100"/>
      <w:position w:val="0"/>
      <w:sz w:val="12"/>
      <w:szCs w:val="12"/>
      <w:u w:val="none"/>
      <w:shd w:val="clear" w:color="auto" w:fill="FFFFFF"/>
      <w:lang w:val="en-US"/>
    </w:rPr>
  </w:style>
  <w:style w:type="character" w:customStyle="1" w:styleId="Gvdemetni2510pt0ptbolukbraklyor">
    <w:name w:val="Gövde metni (25) + 10 pt;0 pt boşluk bırakılıyor"/>
    <w:basedOn w:val="Gvdemetni25"/>
    <w:rPr>
      <w:rFonts w:ascii="Times New Roman" w:eastAsia="Times New Roman" w:hAnsi="Times New Roman" w:cs="Times New Roman"/>
      <w:color w:val="000000"/>
      <w:spacing w:val="0"/>
      <w:w w:val="100"/>
      <w:position w:val="0"/>
      <w:sz w:val="20"/>
      <w:szCs w:val="20"/>
      <w:u w:val="none"/>
      <w:shd w:val="clear" w:color="auto" w:fill="FFFFFF"/>
    </w:rPr>
  </w:style>
  <w:style w:type="character" w:customStyle="1" w:styleId="Resimyazs7">
    <w:name w:val="Resim yazısı (7)_"/>
    <w:basedOn w:val="VarsaylanParagrafYazTipi"/>
    <w:link w:val="Resimyazs70"/>
    <w:qFormat/>
    <w:rPr>
      <w:rFonts w:ascii="Times New Roman" w:eastAsia="Times New Roman" w:hAnsi="Times New Roman" w:cs="Times New Roman"/>
      <w:spacing w:val="424"/>
      <w:sz w:val="12"/>
      <w:szCs w:val="12"/>
      <w:shd w:val="clear" w:color="auto" w:fill="FFFFFF"/>
    </w:rPr>
  </w:style>
  <w:style w:type="paragraph" w:customStyle="1" w:styleId="Resimyazs70">
    <w:name w:val="Resim yazısı (7)"/>
    <w:basedOn w:val="Normal"/>
    <w:link w:val="Resimyazs7"/>
    <w:qFormat/>
    <w:pPr>
      <w:shd w:val="clear" w:color="auto" w:fill="FFFFFF"/>
      <w:spacing w:before="120" w:line="0" w:lineRule="atLeast"/>
      <w:jc w:val="both"/>
    </w:pPr>
    <w:rPr>
      <w:rFonts w:eastAsia="Times New Roman" w:cs="Times New Roman"/>
      <w:color w:val="auto"/>
      <w:spacing w:val="424"/>
      <w:sz w:val="12"/>
      <w:szCs w:val="12"/>
      <w:lang w:eastAsia="en-US"/>
    </w:rPr>
  </w:style>
  <w:style w:type="character" w:customStyle="1" w:styleId="Resimyazs77pt0ptbolukbraklyor">
    <w:name w:val="Resim yazısı (7) + 7 pt;0 pt boşluk bırakılıyor"/>
    <w:basedOn w:val="Resimyazs7"/>
    <w:rPr>
      <w:rFonts w:ascii="Times New Roman" w:eastAsia="Times New Roman" w:hAnsi="Times New Roman" w:cs="Times New Roman"/>
      <w:color w:val="000000"/>
      <w:spacing w:val="3"/>
      <w:w w:val="100"/>
      <w:position w:val="0"/>
      <w:sz w:val="14"/>
      <w:szCs w:val="14"/>
      <w:shd w:val="clear" w:color="auto" w:fill="FFFFFF"/>
      <w:lang w:val="en-US"/>
    </w:rPr>
  </w:style>
  <w:style w:type="character" w:customStyle="1" w:styleId="Tabloyazs12">
    <w:name w:val="Tablo yazısı (12)"/>
    <w:qFormat/>
    <w:rPr>
      <w:rFonts w:ascii="Times New Roman" w:eastAsia="Times New Roman" w:hAnsi="Times New Roman" w:cs="Times New Roman" w:hint="default"/>
      <w:color w:val="000000"/>
      <w:spacing w:val="1"/>
      <w:w w:val="100"/>
      <w:position w:val="0"/>
      <w:sz w:val="13"/>
      <w:szCs w:val="13"/>
      <w:u w:val="none"/>
      <w:lang w:val="en-US"/>
    </w:rPr>
  </w:style>
  <w:style w:type="character" w:customStyle="1" w:styleId="Gvdemetni14">
    <w:name w:val="Gövde metni (14)_"/>
    <w:basedOn w:val="VarsaylanParagrafYazTipi"/>
    <w:link w:val="Gvdemetni140"/>
    <w:qFormat/>
    <w:locked/>
    <w:rPr>
      <w:rFonts w:ascii="Times New Roman" w:eastAsia="Times New Roman" w:hAnsi="Times New Roman" w:cs="Times New Roman"/>
      <w:sz w:val="19"/>
      <w:szCs w:val="19"/>
      <w:shd w:val="clear" w:color="auto" w:fill="FFFFFF"/>
    </w:rPr>
  </w:style>
  <w:style w:type="paragraph" w:customStyle="1" w:styleId="Gvdemetni140">
    <w:name w:val="Gövde metni (14)"/>
    <w:basedOn w:val="Normal"/>
    <w:link w:val="Gvdemetni14"/>
    <w:pPr>
      <w:shd w:val="clear" w:color="auto" w:fill="FFFFFF"/>
      <w:spacing w:after="300" w:line="0" w:lineRule="atLeast"/>
      <w:ind w:hanging="420"/>
      <w:jc w:val="both"/>
    </w:pPr>
    <w:rPr>
      <w:rFonts w:eastAsia="Times New Roman" w:cs="Times New Roman"/>
      <w:color w:val="auto"/>
      <w:sz w:val="19"/>
      <w:szCs w:val="19"/>
      <w:lang w:eastAsia="en-US"/>
    </w:rPr>
  </w:style>
  <w:style w:type="character" w:customStyle="1" w:styleId="Gvdemetni140ptbolukbraklyor">
    <w:name w:val="Gövde metni (14) + 0 pt boşluk bırakılıyor"/>
    <w:basedOn w:val="Gvdemetni14"/>
    <w:rPr>
      <w:rFonts w:ascii="Times New Roman" w:eastAsia="Times New Roman" w:hAnsi="Times New Roman" w:cs="Times New Roman"/>
      <w:color w:val="000000"/>
      <w:spacing w:val="-1"/>
      <w:w w:val="100"/>
      <w:position w:val="0"/>
      <w:sz w:val="19"/>
      <w:szCs w:val="19"/>
      <w:u w:val="single"/>
      <w:shd w:val="clear" w:color="auto" w:fill="FFFFFF"/>
      <w:lang w:val="en-US"/>
    </w:rPr>
  </w:style>
  <w:style w:type="paragraph" w:customStyle="1" w:styleId="Gvdemetni361">
    <w:name w:val="Gövde metni (36)1"/>
    <w:basedOn w:val="Normal"/>
    <w:pPr>
      <w:shd w:val="clear" w:color="auto" w:fill="FFFFFF"/>
      <w:spacing w:before="300" w:after="600" w:line="0" w:lineRule="atLeast"/>
      <w:ind w:hanging="340"/>
      <w:jc w:val="both"/>
    </w:pPr>
    <w:rPr>
      <w:rFonts w:eastAsia="Times New Roman" w:cs="Times New Roman"/>
      <w:sz w:val="17"/>
      <w:szCs w:val="17"/>
    </w:rPr>
  </w:style>
  <w:style w:type="paragraph" w:customStyle="1" w:styleId="Gvdemetni251">
    <w:name w:val="Gövde metni (25)1"/>
    <w:basedOn w:val="Normal"/>
    <w:pPr>
      <w:shd w:val="clear" w:color="auto" w:fill="FFFFFF"/>
      <w:spacing w:before="180" w:after="180" w:line="0" w:lineRule="atLeast"/>
      <w:ind w:hanging="380"/>
      <w:jc w:val="both"/>
    </w:pPr>
    <w:rPr>
      <w:rFonts w:eastAsia="Times New Roman" w:cs="Times New Roman"/>
      <w:spacing w:val="3"/>
      <w:sz w:val="14"/>
      <w:szCs w:val="14"/>
    </w:rPr>
  </w:style>
  <w:style w:type="paragraph" w:customStyle="1" w:styleId="Gvdemetni261">
    <w:name w:val="Gövde metni (26)1"/>
    <w:basedOn w:val="Normal"/>
    <w:pPr>
      <w:shd w:val="clear" w:color="auto" w:fill="FFFFFF"/>
      <w:spacing w:after="240" w:line="120" w:lineRule="exact"/>
      <w:jc w:val="center"/>
    </w:pPr>
    <w:rPr>
      <w:rFonts w:eastAsia="Times New Roman" w:cs="Times New Roman"/>
      <w:i/>
      <w:iCs/>
      <w:spacing w:val="4"/>
      <w:sz w:val="8"/>
      <w:szCs w:val="8"/>
    </w:rPr>
  </w:style>
  <w:style w:type="paragraph" w:customStyle="1" w:styleId="Tabloyazs101">
    <w:name w:val="Tablo yazısı (10)1"/>
    <w:basedOn w:val="Normal"/>
    <w:qFormat/>
    <w:pPr>
      <w:shd w:val="clear" w:color="auto" w:fill="FFFFFF"/>
      <w:spacing w:line="0" w:lineRule="atLeast"/>
    </w:pPr>
    <w:rPr>
      <w:rFonts w:eastAsia="Times New Roman" w:cs="Times New Roman"/>
      <w:b/>
      <w:bCs/>
      <w:spacing w:val="1"/>
      <w:sz w:val="12"/>
      <w:szCs w:val="12"/>
    </w:rPr>
  </w:style>
  <w:style w:type="character" w:customStyle="1" w:styleId="Gvdemetni365pt0ptbolukbraklyor1">
    <w:name w:val="Gövde metni (36) + 5 pt;0 pt boşluk bırakılıyor1"/>
    <w:rPr>
      <w:rFonts w:ascii="Times New Roman" w:eastAsia="Times New Roman" w:hAnsi="Times New Roman" w:cs="Times New Roman"/>
      <w:color w:val="000000"/>
      <w:spacing w:val="3"/>
      <w:w w:val="100"/>
      <w:position w:val="0"/>
      <w:sz w:val="10"/>
      <w:szCs w:val="10"/>
      <w:u w:val="none"/>
      <w:lang w:val="en-US"/>
    </w:rPr>
  </w:style>
  <w:style w:type="character" w:customStyle="1" w:styleId="Tabloyazs70">
    <w:name w:val="Tablo yazısı (7)_"/>
    <w:basedOn w:val="VarsaylanParagrafYazTipi"/>
    <w:link w:val="Tabloyazs71"/>
    <w:qFormat/>
    <w:rPr>
      <w:rFonts w:ascii="Times New Roman" w:eastAsia="Times New Roman" w:hAnsi="Times New Roman" w:cs="Times New Roman"/>
      <w:spacing w:val="2"/>
      <w:sz w:val="10"/>
      <w:szCs w:val="10"/>
      <w:shd w:val="clear" w:color="auto" w:fill="FFFFFF"/>
    </w:rPr>
  </w:style>
  <w:style w:type="paragraph" w:customStyle="1" w:styleId="Tabloyazs71">
    <w:name w:val="Tablo yazısı (7)1"/>
    <w:basedOn w:val="Normal"/>
    <w:link w:val="Tabloyazs70"/>
    <w:qFormat/>
    <w:pPr>
      <w:shd w:val="clear" w:color="auto" w:fill="FFFFFF"/>
      <w:spacing w:line="168" w:lineRule="exact"/>
      <w:jc w:val="both"/>
    </w:pPr>
    <w:rPr>
      <w:rFonts w:eastAsia="Times New Roman" w:cs="Times New Roman"/>
      <w:color w:val="auto"/>
      <w:spacing w:val="2"/>
      <w:sz w:val="10"/>
      <w:szCs w:val="10"/>
      <w:lang w:eastAsia="en-US"/>
    </w:rPr>
  </w:style>
  <w:style w:type="character" w:customStyle="1" w:styleId="Gvdemetni254">
    <w:name w:val="Gövde metni (25)4"/>
    <w:rPr>
      <w:rFonts w:ascii="Times New Roman" w:eastAsia="Times New Roman" w:hAnsi="Times New Roman" w:cs="Times New Roman"/>
      <w:color w:val="000000"/>
      <w:spacing w:val="3"/>
      <w:w w:val="100"/>
      <w:position w:val="0"/>
      <w:sz w:val="14"/>
      <w:szCs w:val="14"/>
      <w:u w:val="none"/>
      <w:lang w:val="en-US"/>
    </w:rPr>
  </w:style>
  <w:style w:type="character" w:customStyle="1" w:styleId="Gvdemetni3655pt">
    <w:name w:val="Gövde metni (36) + 5;5 pt"/>
    <w:rPr>
      <w:rFonts w:ascii="Times New Roman" w:eastAsia="Times New Roman" w:hAnsi="Times New Roman" w:cs="Times New Roman"/>
      <w:color w:val="000000"/>
      <w:spacing w:val="0"/>
      <w:w w:val="100"/>
      <w:position w:val="0"/>
      <w:sz w:val="11"/>
      <w:szCs w:val="11"/>
      <w:u w:val="none"/>
    </w:rPr>
  </w:style>
  <w:style w:type="character" w:customStyle="1" w:styleId="Gvdemetni365pt0ptbolukbraklyor9">
    <w:name w:val="Gövde metni (36) + 5 pt;0 pt boşluk bırakılıyor9"/>
    <w:rPr>
      <w:rFonts w:ascii="Times New Roman" w:eastAsia="Times New Roman" w:hAnsi="Times New Roman" w:cs="Times New Roman"/>
      <w:color w:val="000000"/>
      <w:spacing w:val="2"/>
      <w:w w:val="100"/>
      <w:position w:val="0"/>
      <w:sz w:val="10"/>
      <w:szCs w:val="10"/>
      <w:u w:val="none"/>
      <w:lang w:val="en-US"/>
    </w:rPr>
  </w:style>
  <w:style w:type="character" w:customStyle="1" w:styleId="Gvdemetni367pt0ptbolukbraklyor6">
    <w:name w:val="Gövde metni (36) + 7 pt;0 pt boşluk bırakılıyor6"/>
    <w:rPr>
      <w:rFonts w:ascii="Times New Roman" w:eastAsia="Times New Roman" w:hAnsi="Times New Roman" w:cs="Times New Roman"/>
      <w:color w:val="000000"/>
      <w:spacing w:val="4"/>
      <w:w w:val="100"/>
      <w:position w:val="0"/>
      <w:sz w:val="14"/>
      <w:szCs w:val="14"/>
      <w:u w:val="none"/>
      <w:lang w:val="en-US"/>
    </w:rPr>
  </w:style>
  <w:style w:type="character" w:customStyle="1" w:styleId="Gvdemetni368pt0ptbolukbraklyor">
    <w:name w:val="Gövde metni (36) + 8 pt;0 pt boşluk bırakılıyor"/>
    <w:rPr>
      <w:rFonts w:ascii="Times New Roman" w:eastAsia="Times New Roman" w:hAnsi="Times New Roman" w:cs="Times New Roman"/>
      <w:color w:val="000000"/>
      <w:spacing w:val="2"/>
      <w:w w:val="100"/>
      <w:position w:val="0"/>
      <w:sz w:val="16"/>
      <w:szCs w:val="16"/>
      <w:u w:val="none"/>
      <w:lang w:val="en-US"/>
    </w:rPr>
  </w:style>
  <w:style w:type="character" w:customStyle="1" w:styleId="Gvdemetni36CourierNew55pt">
    <w:name w:val="Gövde metni (36) + Courier New;5;5 pt"/>
    <w:rPr>
      <w:rFonts w:ascii="Courier New" w:eastAsia="Courier New" w:hAnsi="Courier New" w:cs="Courier New"/>
      <w:color w:val="000000"/>
      <w:spacing w:val="0"/>
      <w:w w:val="100"/>
      <w:position w:val="0"/>
      <w:sz w:val="11"/>
      <w:szCs w:val="11"/>
      <w:u w:val="none"/>
    </w:rPr>
  </w:style>
  <w:style w:type="character" w:customStyle="1" w:styleId="Gvdemetni3610pt">
    <w:name w:val="Gövde metni (36) + 10 pt"/>
    <w:rPr>
      <w:rFonts w:ascii="Times New Roman" w:eastAsia="Times New Roman" w:hAnsi="Times New Roman" w:cs="Times New Roman"/>
      <w:color w:val="000000"/>
      <w:spacing w:val="0"/>
      <w:w w:val="100"/>
      <w:position w:val="0"/>
      <w:sz w:val="20"/>
      <w:szCs w:val="20"/>
      <w:u w:val="none"/>
      <w:lang w:val="en-US"/>
    </w:rPr>
  </w:style>
  <w:style w:type="character" w:customStyle="1" w:styleId="Gvdemetni367pt0ptbolukbraklyor1">
    <w:name w:val="Gövde metni (36) + 7 pt;0 pt boşluk bırakılıyor1"/>
    <w:rPr>
      <w:rFonts w:ascii="Times New Roman" w:eastAsia="Times New Roman" w:hAnsi="Times New Roman" w:cs="Times New Roman"/>
      <w:color w:val="000000"/>
      <w:spacing w:val="4"/>
      <w:w w:val="100"/>
      <w:position w:val="0"/>
      <w:sz w:val="14"/>
      <w:szCs w:val="14"/>
      <w:u w:val="none"/>
      <w:lang w:val="en-US"/>
    </w:rPr>
  </w:style>
  <w:style w:type="character" w:customStyle="1" w:styleId="Tabloyazs72">
    <w:name w:val="Tablo yazısı (7)2"/>
    <w:qFormat/>
    <w:rPr>
      <w:rFonts w:ascii="Times New Roman" w:eastAsia="Times New Roman" w:hAnsi="Times New Roman" w:cs="Times New Roman"/>
      <w:color w:val="000000"/>
      <w:spacing w:val="2"/>
      <w:w w:val="100"/>
      <w:position w:val="0"/>
      <w:sz w:val="10"/>
      <w:szCs w:val="10"/>
      <w:u w:val="none"/>
      <w:lang w:val="en-US"/>
    </w:rPr>
  </w:style>
  <w:style w:type="character" w:customStyle="1" w:styleId="Gvdemetni3675pt">
    <w:name w:val="Gövde metni (36) + 7;5 pt"/>
    <w:basedOn w:val="Gvdemetni36"/>
    <w:rPr>
      <w:rFonts w:ascii="Times New Roman" w:eastAsia="Times New Roman" w:hAnsi="Times New Roman" w:cs="Times New Roman"/>
      <w:color w:val="000000"/>
      <w:spacing w:val="0"/>
      <w:w w:val="100"/>
      <w:position w:val="0"/>
      <w:sz w:val="15"/>
      <w:szCs w:val="15"/>
      <w:u w:val="none"/>
      <w:shd w:val="clear" w:color="auto" w:fill="FFFFFF"/>
    </w:rPr>
  </w:style>
  <w:style w:type="character" w:customStyle="1" w:styleId="Gvdemetni3695pt0ptbolukbraklyor">
    <w:name w:val="Gövde metni (36) + 9;5 pt;0 pt boşluk bırakılıyor"/>
    <w:rPr>
      <w:rFonts w:ascii="Times New Roman" w:eastAsia="Times New Roman" w:hAnsi="Times New Roman" w:cs="Times New Roman"/>
      <w:color w:val="000000"/>
      <w:spacing w:val="-2"/>
      <w:w w:val="100"/>
      <w:position w:val="0"/>
      <w:sz w:val="19"/>
      <w:szCs w:val="19"/>
      <w:u w:val="none"/>
      <w:lang w:val="en-US"/>
    </w:rPr>
  </w:style>
  <w:style w:type="character" w:customStyle="1" w:styleId="Gvdemetni365pt4">
    <w:name w:val="Gövde metni (36) + 5 pt4"/>
    <w:rPr>
      <w:rFonts w:ascii="Times New Roman" w:eastAsia="Times New Roman" w:hAnsi="Times New Roman" w:cs="Times New Roman"/>
      <w:color w:val="000000"/>
      <w:spacing w:val="0"/>
      <w:w w:val="100"/>
      <w:position w:val="0"/>
      <w:sz w:val="10"/>
      <w:szCs w:val="10"/>
      <w:u w:val="none"/>
    </w:rPr>
  </w:style>
  <w:style w:type="character" w:customStyle="1" w:styleId="Gvdemetni2555pt0ptbolukbraklyor">
    <w:name w:val="Gövde metni (25) + 5;5 pt;0 pt boşluk bırakılıyor"/>
    <w:basedOn w:val="Gvdemetni25"/>
    <w:rPr>
      <w:rFonts w:ascii="Times New Roman" w:eastAsia="Times New Roman" w:hAnsi="Times New Roman" w:cs="Times New Roman"/>
      <w:color w:val="000000"/>
      <w:spacing w:val="1"/>
      <w:w w:val="100"/>
      <w:position w:val="0"/>
      <w:sz w:val="11"/>
      <w:szCs w:val="11"/>
      <w:u w:val="none"/>
      <w:shd w:val="clear" w:color="auto" w:fill="FFFFFF"/>
      <w:lang w:val="en-US"/>
    </w:rPr>
  </w:style>
  <w:style w:type="character" w:customStyle="1" w:styleId="Gvdemetni260ptbolukbraklyor6">
    <w:name w:val="Gövde metni (26) + 0 pt boşluk bırakılıyor6"/>
    <w:rPr>
      <w:rFonts w:ascii="Times New Roman" w:eastAsia="Times New Roman" w:hAnsi="Times New Roman" w:cs="Times New Roman"/>
      <w:i/>
      <w:iCs/>
      <w:color w:val="000000"/>
      <w:spacing w:val="-2"/>
      <w:w w:val="100"/>
      <w:position w:val="0"/>
      <w:sz w:val="8"/>
      <w:szCs w:val="8"/>
      <w:u w:val="none"/>
      <w:lang w:val="en-US"/>
    </w:rPr>
  </w:style>
  <w:style w:type="character" w:customStyle="1" w:styleId="Gvdemetni253">
    <w:name w:val="Gövde metni (25)3"/>
    <w:rPr>
      <w:rFonts w:ascii="Times New Roman" w:eastAsia="Times New Roman" w:hAnsi="Times New Roman" w:cs="Times New Roman"/>
      <w:color w:val="000000"/>
      <w:spacing w:val="3"/>
      <w:w w:val="100"/>
      <w:position w:val="0"/>
      <w:sz w:val="14"/>
      <w:szCs w:val="14"/>
      <w:u w:val="single"/>
      <w:lang w:val="en-US"/>
    </w:rPr>
  </w:style>
  <w:style w:type="character" w:customStyle="1" w:styleId="Gvdemetni260ptbolukbraklyor5">
    <w:name w:val="Gövde metni (26) + 0 pt boşluk bırakılıyor5"/>
    <w:rPr>
      <w:rFonts w:ascii="Times New Roman" w:eastAsia="Times New Roman" w:hAnsi="Times New Roman" w:cs="Times New Roman"/>
      <w:i/>
      <w:iCs/>
      <w:color w:val="000000"/>
      <w:spacing w:val="3"/>
      <w:w w:val="100"/>
      <w:position w:val="0"/>
      <w:sz w:val="8"/>
      <w:szCs w:val="8"/>
      <w:u w:val="none"/>
      <w:lang w:val="en-US"/>
    </w:rPr>
  </w:style>
  <w:style w:type="paragraph" w:customStyle="1" w:styleId="Gvdemetni51">
    <w:name w:val="Gövde metni (5)1"/>
    <w:basedOn w:val="Normal"/>
    <w:pPr>
      <w:shd w:val="clear" w:color="auto" w:fill="FFFFFF"/>
      <w:spacing w:before="180" w:line="0" w:lineRule="atLeast"/>
    </w:pPr>
    <w:rPr>
      <w:rFonts w:eastAsia="Times New Roman" w:cs="Times New Roman"/>
      <w:b/>
      <w:bCs/>
      <w:spacing w:val="1"/>
      <w:sz w:val="12"/>
      <w:szCs w:val="12"/>
    </w:rPr>
  </w:style>
  <w:style w:type="character" w:customStyle="1" w:styleId="Gvdemetni254pttalik0ptbolukbraklyor33">
    <w:name w:val="Gövde metni (25) + 4 pt;İtalik;0 pt boşluk bırakılıyor33"/>
    <w:rPr>
      <w:rFonts w:ascii="Times New Roman" w:eastAsia="Times New Roman" w:hAnsi="Times New Roman" w:cs="Times New Roman"/>
      <w:i/>
      <w:iCs/>
      <w:color w:val="000000"/>
      <w:spacing w:val="8"/>
      <w:w w:val="100"/>
      <w:position w:val="0"/>
      <w:sz w:val="8"/>
      <w:szCs w:val="8"/>
      <w:u w:val="none"/>
      <w:lang w:val="en-US"/>
    </w:rPr>
  </w:style>
  <w:style w:type="character" w:customStyle="1" w:styleId="Gvdemetni3675pt5">
    <w:name w:val="Gövde metni (36) + 7;5 pt5"/>
    <w:rPr>
      <w:rFonts w:ascii="Times New Roman" w:eastAsia="Times New Roman" w:hAnsi="Times New Roman" w:cs="Times New Roman"/>
      <w:color w:val="000000"/>
      <w:spacing w:val="0"/>
      <w:w w:val="100"/>
      <w:position w:val="0"/>
      <w:sz w:val="15"/>
      <w:szCs w:val="15"/>
      <w:u w:val="none"/>
    </w:rPr>
  </w:style>
  <w:style w:type="character" w:customStyle="1" w:styleId="Balk75">
    <w:name w:val="Başlık #7 (5)_"/>
    <w:link w:val="Balk750"/>
    <w:qFormat/>
    <w:rPr>
      <w:rFonts w:ascii="Times New Roman" w:eastAsia="Times New Roman" w:hAnsi="Times New Roman" w:cs="Times New Roman"/>
      <w:b/>
      <w:bCs/>
      <w:sz w:val="18"/>
      <w:szCs w:val="18"/>
      <w:shd w:val="clear" w:color="auto" w:fill="FFFFFF"/>
    </w:rPr>
  </w:style>
  <w:style w:type="paragraph" w:customStyle="1" w:styleId="Balk750">
    <w:name w:val="Başlık #7 (5)"/>
    <w:basedOn w:val="Normal"/>
    <w:link w:val="Balk75"/>
    <w:pPr>
      <w:shd w:val="clear" w:color="auto" w:fill="FFFFFF"/>
      <w:spacing w:line="0" w:lineRule="atLeast"/>
      <w:jc w:val="both"/>
      <w:outlineLvl w:val="6"/>
    </w:pPr>
    <w:rPr>
      <w:rFonts w:eastAsia="Times New Roman" w:cs="Times New Roman"/>
      <w:b/>
      <w:bCs/>
      <w:color w:val="auto"/>
      <w:sz w:val="18"/>
      <w:szCs w:val="18"/>
      <w:lang w:eastAsia="en-US"/>
    </w:rPr>
  </w:style>
  <w:style w:type="character" w:customStyle="1" w:styleId="Gvdemetni54ptKalnDeiltalik0ptbolukbraklyor">
    <w:name w:val="Gövde metni (5) + 4 pt;Kalın Değil;İtalik;0 pt boşluk bırakılıyor"/>
    <w:basedOn w:val="Gvdemetni5"/>
    <w:rPr>
      <w:rFonts w:ascii="Times New Roman" w:eastAsia="Times New Roman" w:hAnsi="Times New Roman" w:cs="Times New Roman"/>
      <w:b/>
      <w:bCs/>
      <w:i/>
      <w:iCs/>
      <w:color w:val="000000"/>
      <w:spacing w:val="2"/>
      <w:w w:val="100"/>
      <w:position w:val="0"/>
      <w:sz w:val="8"/>
      <w:szCs w:val="8"/>
      <w:u w:val="none"/>
      <w:shd w:val="clear" w:color="auto" w:fill="FFFFFF"/>
      <w:lang w:val="en-US"/>
    </w:rPr>
  </w:style>
  <w:style w:type="character" w:customStyle="1" w:styleId="Balk55">
    <w:name w:val="Başlık #5 (5)_"/>
    <w:link w:val="Balk550"/>
    <w:qFormat/>
    <w:rPr>
      <w:rFonts w:ascii="Constantia" w:eastAsia="Constantia" w:hAnsi="Constantia" w:cs="Constantia"/>
      <w:sz w:val="23"/>
      <w:szCs w:val="23"/>
      <w:shd w:val="clear" w:color="auto" w:fill="FFFFFF"/>
    </w:rPr>
  </w:style>
  <w:style w:type="paragraph" w:customStyle="1" w:styleId="Balk550">
    <w:name w:val="Başlık #5 (5)"/>
    <w:basedOn w:val="Normal"/>
    <w:link w:val="Balk55"/>
    <w:pPr>
      <w:shd w:val="clear" w:color="auto" w:fill="FFFFFF"/>
      <w:spacing w:after="120" w:line="0" w:lineRule="atLeast"/>
      <w:outlineLvl w:val="4"/>
    </w:pPr>
    <w:rPr>
      <w:rFonts w:ascii="Constantia" w:eastAsia="Constantia" w:hAnsi="Constantia" w:cs="Constantia"/>
      <w:color w:val="auto"/>
      <w:sz w:val="23"/>
      <w:szCs w:val="23"/>
      <w:lang w:eastAsia="en-US"/>
    </w:rPr>
  </w:style>
  <w:style w:type="character" w:customStyle="1" w:styleId="Balk55TimesNewRoman4pttalik0ptbolukbraklyor">
    <w:name w:val="Başlık #5 (5) + Times New Roman;4 pt;İtalik;0 pt boşluk bırakılıyor"/>
    <w:rPr>
      <w:rFonts w:ascii="Times New Roman" w:eastAsia="Times New Roman" w:hAnsi="Times New Roman" w:cs="Times New Roman"/>
      <w:i/>
      <w:iCs/>
      <w:color w:val="000000"/>
      <w:spacing w:val="-3"/>
      <w:w w:val="100"/>
      <w:position w:val="0"/>
      <w:sz w:val="8"/>
      <w:szCs w:val="8"/>
      <w:u w:val="none"/>
      <w:lang w:val="en-US"/>
    </w:rPr>
  </w:style>
  <w:style w:type="character" w:customStyle="1" w:styleId="Gvdemetni364pttalik0ptbolukbraklyor">
    <w:name w:val="Gövde metni (36) + 4 pt;İtalik;0 pt boşluk bırakılıyor"/>
    <w:basedOn w:val="Gvdemetni36"/>
    <w:rPr>
      <w:rFonts w:ascii="Times New Roman" w:eastAsia="Times New Roman" w:hAnsi="Times New Roman" w:cs="Times New Roman"/>
      <w:i/>
      <w:iCs/>
      <w:color w:val="000000"/>
      <w:spacing w:val="1"/>
      <w:w w:val="100"/>
      <w:position w:val="0"/>
      <w:sz w:val="8"/>
      <w:szCs w:val="8"/>
      <w:u w:val="none"/>
      <w:shd w:val="clear" w:color="auto" w:fill="FFFFFF"/>
      <w:lang w:val="en-US"/>
    </w:rPr>
  </w:style>
  <w:style w:type="character" w:customStyle="1" w:styleId="Gvdemetni365pt0ptbolukbraklyor8">
    <w:name w:val="Gövde metni (36) + 5 pt;0 pt boşluk bırakılıyor8"/>
    <w:rPr>
      <w:rFonts w:ascii="Times New Roman" w:eastAsia="Times New Roman" w:hAnsi="Times New Roman" w:cs="Times New Roman"/>
      <w:color w:val="000000"/>
      <w:spacing w:val="1"/>
      <w:w w:val="100"/>
      <w:position w:val="0"/>
      <w:sz w:val="10"/>
      <w:szCs w:val="10"/>
      <w:u w:val="none"/>
      <w:lang w:val="en-US"/>
    </w:rPr>
  </w:style>
  <w:style w:type="character" w:customStyle="1" w:styleId="Gvdemetni3610pt3">
    <w:name w:val="Gövde metni (36) + 10 pt3"/>
    <w:rPr>
      <w:rFonts w:ascii="Times New Roman" w:eastAsia="Times New Roman" w:hAnsi="Times New Roman" w:cs="Times New Roman"/>
      <w:color w:val="000000"/>
      <w:spacing w:val="0"/>
      <w:w w:val="100"/>
      <w:position w:val="0"/>
      <w:sz w:val="20"/>
      <w:szCs w:val="20"/>
      <w:u w:val="none"/>
    </w:rPr>
  </w:style>
  <w:style w:type="character" w:customStyle="1" w:styleId="Gvdemetni36Candara65pttalik">
    <w:name w:val="Gövde metni (36) + Candara;6;5 pt;İtalik"/>
    <w:rPr>
      <w:rFonts w:ascii="Candara" w:eastAsia="Candara" w:hAnsi="Candara" w:cs="Candara"/>
      <w:i/>
      <w:iCs/>
      <w:color w:val="000000"/>
      <w:spacing w:val="0"/>
      <w:w w:val="100"/>
      <w:position w:val="0"/>
      <w:sz w:val="13"/>
      <w:szCs w:val="13"/>
      <w:u w:val="none"/>
    </w:rPr>
  </w:style>
  <w:style w:type="character" w:customStyle="1" w:styleId="Gvdemetni3665pttalik0ptbolukbraklyor">
    <w:name w:val="Gövde metni (36) + 6;5 pt;İtalik;0 pt boşluk bırakılıyor"/>
    <w:rPr>
      <w:rFonts w:ascii="Times New Roman" w:eastAsia="Times New Roman" w:hAnsi="Times New Roman" w:cs="Times New Roman"/>
      <w:i/>
      <w:iCs/>
      <w:color w:val="000000"/>
      <w:spacing w:val="-7"/>
      <w:w w:val="100"/>
      <w:position w:val="0"/>
      <w:sz w:val="13"/>
      <w:szCs w:val="13"/>
      <w:u w:val="none"/>
      <w:lang w:val="en-US"/>
    </w:rPr>
  </w:style>
  <w:style w:type="character" w:customStyle="1" w:styleId="Gvdemetni3695ptKalntalik0ptbolukbraklyor">
    <w:name w:val="Gövde metni (36) + 9;5 pt;Kalın;İtalik;0 pt boşluk bırakılıyor"/>
    <w:rPr>
      <w:rFonts w:ascii="Times New Roman" w:eastAsia="Times New Roman" w:hAnsi="Times New Roman" w:cs="Times New Roman"/>
      <w:b/>
      <w:bCs/>
      <w:i/>
      <w:iCs/>
      <w:color w:val="000000"/>
      <w:spacing w:val="8"/>
      <w:w w:val="100"/>
      <w:position w:val="0"/>
      <w:sz w:val="19"/>
      <w:szCs w:val="19"/>
      <w:u w:val="none"/>
      <w:lang w:val="en-US"/>
    </w:rPr>
  </w:style>
  <w:style w:type="character" w:customStyle="1" w:styleId="Gvdemetni36Constantia65pttalik0ptbolukbraklyor">
    <w:name w:val="Gövde metni (36) + Constantia;6;5 pt;İtalik;0 pt boşluk bırakılıyor"/>
    <w:rPr>
      <w:rFonts w:ascii="Constantia" w:eastAsia="Constantia" w:hAnsi="Constantia" w:cs="Constantia"/>
      <w:i/>
      <w:iCs/>
      <w:color w:val="000000"/>
      <w:spacing w:val="3"/>
      <w:w w:val="100"/>
      <w:position w:val="0"/>
      <w:sz w:val="13"/>
      <w:szCs w:val="13"/>
      <w:u w:val="none"/>
      <w:lang w:val="en-US"/>
    </w:rPr>
  </w:style>
  <w:style w:type="character" w:customStyle="1" w:styleId="Gvdemetni36MicrosoftSansSerif65pt0ptbolukbraklyor">
    <w:name w:val="Gövde metni (36) + Microsoft Sans Serif;6;5 pt;0 pt boşluk bırakılıyor"/>
    <w:rPr>
      <w:rFonts w:ascii="Microsoft Sans Serif" w:eastAsia="Microsoft Sans Serif" w:hAnsi="Microsoft Sans Serif" w:cs="Microsoft Sans Serif"/>
      <w:color w:val="000000"/>
      <w:spacing w:val="2"/>
      <w:w w:val="100"/>
      <w:position w:val="0"/>
      <w:sz w:val="13"/>
      <w:szCs w:val="13"/>
      <w:u w:val="none"/>
      <w:lang w:val="en-US"/>
    </w:rPr>
  </w:style>
  <w:style w:type="character" w:customStyle="1" w:styleId="Gvdemetni3665pttalik0ptbolukbraklyor2">
    <w:name w:val="Gövde metni (36) + 6;5 pt;İtalik;0 pt boşluk bırakılıyor2"/>
    <w:rPr>
      <w:rFonts w:ascii="Times New Roman" w:eastAsia="Times New Roman" w:hAnsi="Times New Roman" w:cs="Times New Roman"/>
      <w:i/>
      <w:iCs/>
      <w:color w:val="000000"/>
      <w:spacing w:val="4"/>
      <w:w w:val="100"/>
      <w:position w:val="0"/>
      <w:sz w:val="13"/>
      <w:szCs w:val="13"/>
      <w:u w:val="none"/>
      <w:lang w:val="en-US"/>
    </w:rPr>
  </w:style>
  <w:style w:type="character" w:customStyle="1" w:styleId="Gvdemetni3665ptKaln0ptbolukbraklyor">
    <w:name w:val="Gövde metni (36) + 6;5 pt;Kalın;0 pt boşluk bırakılıyor"/>
    <w:rPr>
      <w:rFonts w:ascii="Times New Roman" w:eastAsia="Times New Roman" w:hAnsi="Times New Roman" w:cs="Times New Roman"/>
      <w:b/>
      <w:bCs/>
      <w:color w:val="000000"/>
      <w:spacing w:val="10"/>
      <w:w w:val="100"/>
      <w:position w:val="0"/>
      <w:sz w:val="13"/>
      <w:szCs w:val="13"/>
      <w:u w:val="none"/>
      <w:lang w:val="en-US"/>
    </w:rPr>
  </w:style>
  <w:style w:type="character" w:customStyle="1" w:styleId="Gvdemetni365pt3">
    <w:name w:val="Gövde metni (36) + 5 pt3"/>
    <w:rPr>
      <w:rFonts w:ascii="Times New Roman" w:eastAsia="Times New Roman" w:hAnsi="Times New Roman" w:cs="Times New Roman"/>
      <w:color w:val="000000"/>
      <w:spacing w:val="0"/>
      <w:w w:val="100"/>
      <w:position w:val="0"/>
      <w:sz w:val="10"/>
      <w:szCs w:val="10"/>
      <w:u w:val="none"/>
      <w:lang w:val="en-US"/>
    </w:rPr>
  </w:style>
  <w:style w:type="character" w:customStyle="1" w:styleId="Gvdemetni36Constantia45pt">
    <w:name w:val="Gövde metni (36) + Constantia;4;5 pt"/>
    <w:rPr>
      <w:rFonts w:ascii="Constantia" w:eastAsia="Constantia" w:hAnsi="Constantia" w:cs="Constantia"/>
      <w:color w:val="000000"/>
      <w:spacing w:val="0"/>
      <w:w w:val="100"/>
      <w:position w:val="0"/>
      <w:sz w:val="9"/>
      <w:szCs w:val="9"/>
      <w:u w:val="none"/>
      <w:lang w:val="en-US"/>
    </w:rPr>
  </w:style>
  <w:style w:type="character" w:customStyle="1" w:styleId="Gvdemetni3675pt4">
    <w:name w:val="Gövde metni (36) + 7;5 pt4"/>
    <w:rPr>
      <w:rFonts w:ascii="Times New Roman" w:eastAsia="Times New Roman" w:hAnsi="Times New Roman" w:cs="Times New Roman"/>
      <w:color w:val="000000"/>
      <w:spacing w:val="0"/>
      <w:w w:val="100"/>
      <w:position w:val="0"/>
      <w:sz w:val="15"/>
      <w:szCs w:val="15"/>
      <w:u w:val="none"/>
    </w:rPr>
  </w:style>
  <w:style w:type="character" w:customStyle="1" w:styleId="Gvdemetni3665pttalik0ptbolukbraklyor1">
    <w:name w:val="Gövde metni (36) + 6;5 pt;İtalik;0 pt boşluk bırakılıyor1"/>
    <w:rPr>
      <w:rFonts w:ascii="Times New Roman" w:eastAsia="Times New Roman" w:hAnsi="Times New Roman" w:cs="Times New Roman"/>
      <w:i/>
      <w:iCs/>
      <w:color w:val="000000"/>
      <w:spacing w:val="-13"/>
      <w:w w:val="100"/>
      <w:position w:val="0"/>
      <w:sz w:val="13"/>
      <w:szCs w:val="13"/>
      <w:u w:val="none"/>
      <w:lang w:val="en-US"/>
    </w:rPr>
  </w:style>
  <w:style w:type="character" w:customStyle="1" w:styleId="Gvdemetni366pttalik">
    <w:name w:val="Gövde metni (36) + 6 pt;İtalik"/>
    <w:rPr>
      <w:rFonts w:ascii="Times New Roman" w:eastAsia="Times New Roman" w:hAnsi="Times New Roman" w:cs="Times New Roman"/>
      <w:i/>
      <w:iCs/>
      <w:color w:val="000000"/>
      <w:spacing w:val="0"/>
      <w:w w:val="100"/>
      <w:position w:val="0"/>
      <w:sz w:val="12"/>
      <w:szCs w:val="12"/>
      <w:u w:val="none"/>
    </w:rPr>
  </w:style>
  <w:style w:type="character" w:customStyle="1" w:styleId="GvdemetnitalikKkBykHarf">
    <w:name w:val="Gövde metni + İtalik;Küçük Büyük Harf"/>
    <w:rPr>
      <w:rFonts w:ascii="Times New Roman" w:eastAsia="Times New Roman" w:hAnsi="Times New Roman" w:cs="Times New Roman"/>
      <w:i/>
      <w:iCs/>
      <w:smallCaps/>
      <w:color w:val="000000"/>
      <w:spacing w:val="4"/>
      <w:w w:val="100"/>
      <w:position w:val="0"/>
      <w:sz w:val="12"/>
      <w:szCs w:val="12"/>
      <w:u w:val="none"/>
    </w:rPr>
  </w:style>
  <w:style w:type="character" w:customStyle="1" w:styleId="GvdemetniConstantia7pttalik0ptbolukbraklyor">
    <w:name w:val="Gövde metni + Constantia;7 pt;İtalik;0 pt boşluk bırakılıyor"/>
    <w:rPr>
      <w:rFonts w:ascii="Constantia" w:eastAsia="Constantia" w:hAnsi="Constantia" w:cs="Constantia"/>
      <w:i/>
      <w:iCs/>
      <w:color w:val="000000"/>
      <w:spacing w:val="0"/>
      <w:w w:val="100"/>
      <w:position w:val="0"/>
      <w:sz w:val="14"/>
      <w:szCs w:val="14"/>
      <w:u w:val="none"/>
    </w:rPr>
  </w:style>
  <w:style w:type="character" w:customStyle="1" w:styleId="Dipnot">
    <w:name w:val="Dipnot_"/>
    <w:link w:val="Dipnot1"/>
    <w:qFormat/>
    <w:rPr>
      <w:rFonts w:ascii="Times New Roman" w:eastAsia="Times New Roman" w:hAnsi="Times New Roman" w:cs="Times New Roman"/>
      <w:spacing w:val="4"/>
      <w:sz w:val="12"/>
      <w:szCs w:val="12"/>
      <w:shd w:val="clear" w:color="auto" w:fill="FFFFFF"/>
    </w:rPr>
  </w:style>
  <w:style w:type="paragraph" w:customStyle="1" w:styleId="Dipnot1">
    <w:name w:val="Dipnot1"/>
    <w:basedOn w:val="Normal"/>
    <w:link w:val="Dipnot"/>
    <w:pPr>
      <w:shd w:val="clear" w:color="auto" w:fill="FFFFFF"/>
      <w:spacing w:line="192" w:lineRule="exact"/>
      <w:jc w:val="both"/>
    </w:pPr>
    <w:rPr>
      <w:rFonts w:eastAsia="Times New Roman" w:cs="Times New Roman"/>
      <w:color w:val="auto"/>
      <w:spacing w:val="4"/>
      <w:sz w:val="12"/>
      <w:szCs w:val="12"/>
      <w:lang w:eastAsia="en-US"/>
    </w:rPr>
  </w:style>
  <w:style w:type="character" w:customStyle="1" w:styleId="Dipnot0">
    <w:name w:val="Dipnot"/>
    <w:rPr>
      <w:rFonts w:ascii="Times New Roman" w:eastAsia="Times New Roman" w:hAnsi="Times New Roman" w:cs="Times New Roman"/>
      <w:color w:val="000000"/>
      <w:spacing w:val="4"/>
      <w:w w:val="100"/>
      <w:position w:val="0"/>
      <w:sz w:val="12"/>
      <w:szCs w:val="12"/>
      <w:u w:val="none"/>
      <w:lang w:val="en-US"/>
    </w:rPr>
  </w:style>
  <w:style w:type="character" w:customStyle="1" w:styleId="Dipnottalik">
    <w:name w:val="Dipnot + İtalik"/>
    <w:rPr>
      <w:rFonts w:ascii="Times New Roman" w:eastAsia="Times New Roman" w:hAnsi="Times New Roman" w:cs="Times New Roman"/>
      <w:i/>
      <w:iCs/>
      <w:color w:val="000000"/>
      <w:spacing w:val="4"/>
      <w:w w:val="100"/>
      <w:position w:val="0"/>
      <w:sz w:val="12"/>
      <w:szCs w:val="12"/>
      <w:u w:val="none"/>
      <w:lang w:val="en-US"/>
    </w:rPr>
  </w:style>
  <w:style w:type="character" w:customStyle="1" w:styleId="Gvdemetni364pttalik">
    <w:name w:val="Gövde metni (36) + 4 pt;İtalik"/>
    <w:rPr>
      <w:rFonts w:ascii="Times New Roman" w:eastAsia="Times New Roman" w:hAnsi="Times New Roman" w:cs="Times New Roman"/>
      <w:i/>
      <w:iCs/>
      <w:color w:val="000000"/>
      <w:spacing w:val="0"/>
      <w:w w:val="100"/>
      <w:position w:val="0"/>
      <w:sz w:val="8"/>
      <w:szCs w:val="8"/>
      <w:u w:val="none"/>
    </w:rPr>
  </w:style>
  <w:style w:type="character" w:customStyle="1" w:styleId="Gvdemetni367ptKkBykHarf0ptbolukbraklyor">
    <w:name w:val="Gövde metni (36) + 7 pt;Küçük Büyük Harf;0 pt boşluk bırakılıyor"/>
    <w:rPr>
      <w:rFonts w:ascii="Times New Roman" w:eastAsia="Times New Roman" w:hAnsi="Times New Roman" w:cs="Times New Roman"/>
      <w:smallCaps/>
      <w:color w:val="000000"/>
      <w:spacing w:val="1"/>
      <w:w w:val="100"/>
      <w:position w:val="0"/>
      <w:sz w:val="14"/>
      <w:szCs w:val="14"/>
      <w:u w:val="none"/>
      <w:lang w:val="en-US"/>
    </w:rPr>
  </w:style>
  <w:style w:type="character" w:customStyle="1" w:styleId="Gvdemetni366pt">
    <w:name w:val="Gövde metni (36) + 6 pt"/>
    <w:basedOn w:val="Gvdemetni36"/>
    <w:rPr>
      <w:rFonts w:ascii="Times New Roman" w:eastAsia="Times New Roman" w:hAnsi="Times New Roman" w:cs="Times New Roman"/>
      <w:color w:val="000000"/>
      <w:spacing w:val="0"/>
      <w:w w:val="100"/>
      <w:position w:val="0"/>
      <w:sz w:val="12"/>
      <w:szCs w:val="12"/>
      <w:u w:val="none"/>
      <w:shd w:val="clear" w:color="auto" w:fill="FFFFFF"/>
    </w:rPr>
  </w:style>
  <w:style w:type="character" w:customStyle="1" w:styleId="Gvdemetni366pt0ptbolukbraklyor1">
    <w:name w:val="Gövde metni (36) + 6 pt;0 pt boşluk bırakılıyor1"/>
    <w:rPr>
      <w:rFonts w:ascii="Times New Roman" w:eastAsia="Times New Roman" w:hAnsi="Times New Roman" w:cs="Times New Roman"/>
      <w:color w:val="000000"/>
      <w:spacing w:val="10"/>
      <w:w w:val="100"/>
      <w:position w:val="0"/>
      <w:sz w:val="12"/>
      <w:szCs w:val="12"/>
      <w:u w:val="none"/>
      <w:lang w:val="en-US"/>
    </w:rPr>
  </w:style>
  <w:style w:type="character" w:customStyle="1" w:styleId="Gvdemetni368pttalik">
    <w:name w:val="Gövde metni (36) + 8 pt;İtalik"/>
    <w:rPr>
      <w:rFonts w:ascii="Times New Roman" w:eastAsia="Times New Roman" w:hAnsi="Times New Roman" w:cs="Times New Roman"/>
      <w:i/>
      <w:iCs/>
      <w:color w:val="000000"/>
      <w:spacing w:val="0"/>
      <w:w w:val="100"/>
      <w:position w:val="0"/>
      <w:sz w:val="16"/>
      <w:szCs w:val="16"/>
      <w:u w:val="none"/>
    </w:rPr>
  </w:style>
  <w:style w:type="character" w:customStyle="1" w:styleId="Gvdemetni364pttalik0ptbolukbraklyor3">
    <w:name w:val="Gövde metni (36) + 4 pt;İtalik;0 pt boşluk bırakılıyor3"/>
    <w:rPr>
      <w:rFonts w:ascii="Times New Roman" w:eastAsia="Times New Roman" w:hAnsi="Times New Roman" w:cs="Times New Roman"/>
      <w:i/>
      <w:iCs/>
      <w:color w:val="000000"/>
      <w:spacing w:val="2"/>
      <w:w w:val="100"/>
      <w:position w:val="0"/>
      <w:sz w:val="8"/>
      <w:szCs w:val="8"/>
      <w:u w:val="none"/>
    </w:rPr>
  </w:style>
  <w:style w:type="character" w:customStyle="1" w:styleId="Gvdemetni3610pttalik">
    <w:name w:val="Gövde metni (36) + 10 pt;İtalik"/>
    <w:rPr>
      <w:rFonts w:ascii="Times New Roman" w:eastAsia="Times New Roman" w:hAnsi="Times New Roman" w:cs="Times New Roman"/>
      <w:i/>
      <w:iCs/>
      <w:color w:val="000000"/>
      <w:spacing w:val="0"/>
      <w:w w:val="100"/>
      <w:position w:val="0"/>
      <w:sz w:val="20"/>
      <w:szCs w:val="20"/>
      <w:u w:val="none"/>
      <w:lang w:val="en-US"/>
    </w:rPr>
  </w:style>
  <w:style w:type="character" w:customStyle="1" w:styleId="Gvdemetni36Impact65pttalik">
    <w:name w:val="Gövde metni (36) + Impact;6;5 pt;İtalik"/>
    <w:rPr>
      <w:rFonts w:ascii="Impact" w:eastAsia="Impact" w:hAnsi="Impact" w:cs="Impact"/>
      <w:i/>
      <w:iCs/>
      <w:color w:val="000000"/>
      <w:spacing w:val="0"/>
      <w:w w:val="100"/>
      <w:position w:val="0"/>
      <w:sz w:val="13"/>
      <w:szCs w:val="13"/>
      <w:u w:val="none"/>
    </w:rPr>
  </w:style>
  <w:style w:type="character" w:customStyle="1" w:styleId="Gvdemetni254pttalik0ptbolukbraklyor32">
    <w:name w:val="Gövde metni (25) + 4 pt;İtalik;0 pt boşluk bırakılıyor32"/>
    <w:rPr>
      <w:rFonts w:ascii="Times New Roman" w:eastAsia="Times New Roman" w:hAnsi="Times New Roman" w:cs="Times New Roman"/>
      <w:i/>
      <w:iCs/>
      <w:color w:val="000000"/>
      <w:spacing w:val="2"/>
      <w:w w:val="100"/>
      <w:position w:val="0"/>
      <w:sz w:val="8"/>
      <w:szCs w:val="8"/>
      <w:u w:val="none"/>
      <w:lang w:val="en-US"/>
    </w:rPr>
  </w:style>
  <w:style w:type="paragraph" w:customStyle="1" w:styleId="Gvdemetni2511">
    <w:name w:val="Gövde metni (25)11"/>
    <w:basedOn w:val="Normal"/>
    <w:pPr>
      <w:shd w:val="clear" w:color="auto" w:fill="FFFFFF"/>
      <w:spacing w:before="180" w:after="180" w:line="0" w:lineRule="atLeast"/>
      <w:ind w:hanging="380"/>
      <w:jc w:val="both"/>
    </w:pPr>
    <w:rPr>
      <w:rFonts w:eastAsia="Times New Roman" w:cs="Times New Roman"/>
      <w:spacing w:val="3"/>
      <w:sz w:val="14"/>
      <w:szCs w:val="14"/>
    </w:rPr>
  </w:style>
  <w:style w:type="character" w:customStyle="1" w:styleId="Gvdemetni254pttalik0ptbolukbraklyor30">
    <w:name w:val="Gövde metni (25) + 4 pt;İtalik;0 pt boşluk bırakılıyor30"/>
    <w:rPr>
      <w:rFonts w:ascii="Times New Roman" w:eastAsia="Times New Roman" w:hAnsi="Times New Roman" w:cs="Times New Roman"/>
      <w:i/>
      <w:iCs/>
      <w:color w:val="000000"/>
      <w:spacing w:val="5"/>
      <w:w w:val="100"/>
      <w:position w:val="0"/>
      <w:sz w:val="8"/>
      <w:szCs w:val="8"/>
      <w:u w:val="none"/>
      <w:lang w:val="en-US"/>
    </w:rPr>
  </w:style>
  <w:style w:type="character" w:customStyle="1" w:styleId="Gvdemetni2555pt">
    <w:name w:val="Gövde metni (25) + 5;5 pt"/>
    <w:rPr>
      <w:rFonts w:ascii="Times New Roman" w:eastAsia="Times New Roman" w:hAnsi="Times New Roman" w:cs="Times New Roman"/>
      <w:color w:val="000000"/>
      <w:spacing w:val="3"/>
      <w:w w:val="100"/>
      <w:position w:val="0"/>
      <w:sz w:val="11"/>
      <w:szCs w:val="11"/>
      <w:u w:val="none"/>
      <w:lang w:val="en-US"/>
    </w:rPr>
  </w:style>
  <w:style w:type="character" w:customStyle="1" w:styleId="Gvdemetni20ptbolukbraklyor1">
    <w:name w:val="Gövde metni (2) + 0 pt boşluk bırakılıyor1"/>
    <w:basedOn w:val="Gvdemetni20"/>
    <w:rPr>
      <w:rFonts w:ascii="Times New Roman" w:eastAsia="Times New Roman" w:hAnsi="Times New Roman" w:cs="Times New Roman"/>
      <w:color w:val="000000"/>
      <w:spacing w:val="-1"/>
      <w:w w:val="100"/>
      <w:position w:val="0"/>
      <w:sz w:val="17"/>
      <w:szCs w:val="17"/>
      <w:u w:val="none"/>
      <w:lang w:val="en-US"/>
    </w:rPr>
  </w:style>
  <w:style w:type="character" w:customStyle="1" w:styleId="Tabloyazs">
    <w:name w:val="Tablo yazısı_"/>
    <w:basedOn w:val="VarsaylanParagrafYazTipi"/>
    <w:link w:val="Tabloyazs1"/>
    <w:qFormat/>
    <w:rPr>
      <w:rFonts w:ascii="Times New Roman" w:eastAsia="Times New Roman" w:hAnsi="Times New Roman" w:cs="Times New Roman"/>
      <w:spacing w:val="4"/>
      <w:sz w:val="12"/>
      <w:szCs w:val="12"/>
    </w:rPr>
  </w:style>
  <w:style w:type="paragraph" w:customStyle="1" w:styleId="Tabloyazs1">
    <w:name w:val="Tablo yazısı1"/>
    <w:basedOn w:val="Normal"/>
    <w:link w:val="Tabloyazs"/>
    <w:qFormat/>
    <w:pPr>
      <w:shd w:val="clear" w:color="auto" w:fill="FFFFFF"/>
      <w:spacing w:line="0" w:lineRule="atLeast"/>
    </w:pPr>
    <w:rPr>
      <w:rFonts w:eastAsia="Times New Roman" w:cs="Times New Roman"/>
      <w:spacing w:val="4"/>
      <w:sz w:val="12"/>
      <w:szCs w:val="12"/>
    </w:rPr>
  </w:style>
  <w:style w:type="paragraph" w:customStyle="1" w:styleId="Tabloyazs61">
    <w:name w:val="Tablo yazısı (6)1"/>
    <w:basedOn w:val="Normal"/>
    <w:qFormat/>
    <w:pPr>
      <w:shd w:val="clear" w:color="auto" w:fill="FFFFFF"/>
      <w:spacing w:line="0" w:lineRule="atLeast"/>
    </w:pPr>
    <w:rPr>
      <w:rFonts w:eastAsia="Times New Roman" w:cs="Times New Roman"/>
      <w:i/>
      <w:iCs/>
      <w:spacing w:val="4"/>
      <w:sz w:val="8"/>
      <w:szCs w:val="8"/>
    </w:rPr>
  </w:style>
  <w:style w:type="character" w:customStyle="1" w:styleId="Tabloyazs100ptbolukbraklyor11">
    <w:name w:val="Tablo yazısı (10) + 0 pt boşluk bırakılıyor11"/>
    <w:basedOn w:val="Tabloyazs10"/>
    <w:qFormat/>
    <w:rPr>
      <w:rFonts w:ascii="Times New Roman" w:eastAsia="Times New Roman" w:hAnsi="Times New Roman" w:cs="Times New Roman"/>
      <w:b/>
      <w:bCs/>
      <w:color w:val="000000"/>
      <w:spacing w:val="2"/>
      <w:w w:val="100"/>
      <w:position w:val="0"/>
      <w:sz w:val="12"/>
      <w:szCs w:val="12"/>
      <w:u w:val="none"/>
      <w:shd w:val="clear" w:color="auto" w:fill="FFFFFF"/>
      <w:lang w:val="en-US"/>
    </w:rPr>
  </w:style>
  <w:style w:type="character" w:customStyle="1" w:styleId="Gvdemetni367pt1">
    <w:name w:val="Gövde metni (36) + 7 pt1"/>
    <w:rPr>
      <w:rFonts w:ascii="Times New Roman" w:eastAsia="Times New Roman" w:hAnsi="Times New Roman" w:cs="Times New Roman"/>
      <w:color w:val="000000"/>
      <w:spacing w:val="0"/>
      <w:w w:val="100"/>
      <w:position w:val="0"/>
      <w:sz w:val="14"/>
      <w:szCs w:val="14"/>
      <w:u w:val="none"/>
      <w:lang w:val="en-US"/>
    </w:rPr>
  </w:style>
  <w:style w:type="character" w:customStyle="1" w:styleId="Gvdemetni36PalatinoLinotype55pt0ptbolukbraklyor">
    <w:name w:val="Gövde metni (36) + Palatino Linotype;5;5 pt;0 pt boşluk bırakılıyor"/>
    <w:rPr>
      <w:rFonts w:ascii="Palatino Linotype" w:eastAsia="Palatino Linotype" w:hAnsi="Palatino Linotype" w:cs="Palatino Linotype"/>
      <w:color w:val="000000"/>
      <w:spacing w:val="5"/>
      <w:w w:val="100"/>
      <w:position w:val="0"/>
      <w:sz w:val="11"/>
      <w:szCs w:val="11"/>
      <w:u w:val="none"/>
      <w:lang w:val="en-US"/>
    </w:rPr>
  </w:style>
  <w:style w:type="character" w:customStyle="1" w:styleId="Gvdemetni365ptKkBykHarf0ptbolukbraklyor">
    <w:name w:val="Gövde metni (36) + 5 pt;Küçük Büyük Harf;0 pt boşluk bırakılıyor"/>
    <w:rPr>
      <w:rFonts w:ascii="Times New Roman" w:eastAsia="Times New Roman" w:hAnsi="Times New Roman" w:cs="Times New Roman"/>
      <w:smallCaps/>
      <w:color w:val="000000"/>
      <w:spacing w:val="2"/>
      <w:w w:val="100"/>
      <w:position w:val="0"/>
      <w:sz w:val="10"/>
      <w:szCs w:val="10"/>
      <w:u w:val="none"/>
      <w:lang w:val="en-US"/>
    </w:rPr>
  </w:style>
  <w:style w:type="character" w:customStyle="1" w:styleId="Gvdemetni3655pt3">
    <w:name w:val="Gövde metni (36) + 5;5 pt3"/>
    <w:rPr>
      <w:rFonts w:ascii="Times New Roman" w:eastAsia="Times New Roman" w:hAnsi="Times New Roman" w:cs="Times New Roman"/>
      <w:color w:val="000000"/>
      <w:spacing w:val="0"/>
      <w:w w:val="100"/>
      <w:position w:val="0"/>
      <w:sz w:val="11"/>
      <w:szCs w:val="11"/>
      <w:u w:val="none"/>
      <w:lang w:val="en-US"/>
    </w:rPr>
  </w:style>
  <w:style w:type="character" w:customStyle="1" w:styleId="Gvdemetni367pt0ptbolukbraklyor5">
    <w:name w:val="Gövde metni (36) + 7 pt;0 pt boşluk bırakılıyor5"/>
    <w:rPr>
      <w:rFonts w:ascii="Times New Roman" w:eastAsia="Times New Roman" w:hAnsi="Times New Roman" w:cs="Times New Roman"/>
      <w:color w:val="000000"/>
      <w:spacing w:val="3"/>
      <w:w w:val="100"/>
      <w:position w:val="0"/>
      <w:sz w:val="14"/>
      <w:szCs w:val="14"/>
      <w:u w:val="none"/>
      <w:lang w:val="en-US"/>
    </w:rPr>
  </w:style>
  <w:style w:type="character" w:customStyle="1" w:styleId="Gvdemetni3665pt0ptbolukbraklyor">
    <w:name w:val="Gövde metni (36) + 6;5 pt;0 pt boşluk bırakılıyor"/>
    <w:rPr>
      <w:rFonts w:ascii="Times New Roman" w:eastAsia="Times New Roman" w:hAnsi="Times New Roman" w:cs="Times New Roman"/>
      <w:color w:val="000000"/>
      <w:spacing w:val="2"/>
      <w:w w:val="100"/>
      <w:position w:val="0"/>
      <w:sz w:val="13"/>
      <w:szCs w:val="13"/>
      <w:u w:val="none"/>
      <w:lang w:val="en-US"/>
    </w:rPr>
  </w:style>
  <w:style w:type="character" w:customStyle="1" w:styleId="Gvdemetni3645pt0ptbolukbraklyor">
    <w:name w:val="Gövde metni (36) + 4;5 pt;0 pt boşluk bırakılıyor"/>
    <w:rPr>
      <w:rFonts w:ascii="Times New Roman" w:eastAsia="Times New Roman" w:hAnsi="Times New Roman" w:cs="Times New Roman"/>
      <w:color w:val="000000"/>
      <w:spacing w:val="1"/>
      <w:w w:val="100"/>
      <w:position w:val="0"/>
      <w:sz w:val="9"/>
      <w:szCs w:val="9"/>
      <w:u w:val="none"/>
      <w:lang w:val="en-US"/>
    </w:rPr>
  </w:style>
  <w:style w:type="character" w:customStyle="1" w:styleId="Gvdemetni85pt0ptbolukbraklyor">
    <w:name w:val="Gövde metni + 8;5 pt;0 pt boşluk bırakılıyor"/>
    <w:rPr>
      <w:rFonts w:ascii="Times New Roman" w:eastAsia="Times New Roman" w:hAnsi="Times New Roman" w:cs="Times New Roman"/>
      <w:color w:val="000000"/>
      <w:spacing w:val="1"/>
      <w:w w:val="100"/>
      <w:position w:val="0"/>
      <w:sz w:val="17"/>
      <w:szCs w:val="17"/>
      <w:u w:val="none"/>
      <w:lang w:val="en-US"/>
    </w:rPr>
  </w:style>
  <w:style w:type="paragraph" w:customStyle="1" w:styleId="Balk68">
    <w:name w:val="Başlık #6 (8)"/>
    <w:basedOn w:val="Normal"/>
    <w:pPr>
      <w:shd w:val="clear" w:color="auto" w:fill="FFFFFF"/>
      <w:spacing w:before="300" w:line="192" w:lineRule="exact"/>
      <w:jc w:val="both"/>
      <w:outlineLvl w:val="5"/>
    </w:pPr>
    <w:rPr>
      <w:rFonts w:eastAsia="Times New Roman" w:cs="Times New Roman"/>
      <w:b/>
      <w:bCs/>
      <w:color w:val="auto"/>
      <w:spacing w:val="-5"/>
      <w:sz w:val="18"/>
      <w:szCs w:val="18"/>
    </w:rPr>
  </w:style>
  <w:style w:type="character" w:customStyle="1" w:styleId="Balk687ptKalnDeil0ptbolukbraklyor">
    <w:name w:val="Başlık #6 (8) + 7 pt;Kalın Değil;0 pt boşluk bırakılıyor"/>
    <w:rPr>
      <w:rFonts w:ascii="Times New Roman" w:eastAsia="Times New Roman" w:hAnsi="Times New Roman" w:cs="Times New Roman"/>
      <w:b/>
      <w:bCs/>
      <w:color w:val="000000"/>
      <w:spacing w:val="3"/>
      <w:w w:val="100"/>
      <w:position w:val="0"/>
      <w:sz w:val="14"/>
      <w:szCs w:val="14"/>
      <w:u w:val="none"/>
      <w:lang w:val="en-US"/>
    </w:rPr>
  </w:style>
  <w:style w:type="paragraph" w:customStyle="1" w:styleId="Gvdemetni11">
    <w:name w:val="Gövde metni11"/>
    <w:basedOn w:val="Normal"/>
    <w:pPr>
      <w:shd w:val="clear" w:color="auto" w:fill="FFFFFF"/>
      <w:spacing w:line="192" w:lineRule="exact"/>
      <w:ind w:hanging="1500"/>
      <w:jc w:val="center"/>
    </w:pPr>
    <w:rPr>
      <w:rFonts w:eastAsia="Times New Roman" w:cs="Times New Roman"/>
      <w:spacing w:val="4"/>
      <w:sz w:val="12"/>
      <w:szCs w:val="12"/>
    </w:rPr>
  </w:style>
  <w:style w:type="character" w:customStyle="1" w:styleId="Resimyazs74pttalik0ptbolukbraklyor">
    <w:name w:val="Resim yazısı (7) + 4 pt;İtalik;0 pt boşluk bırakılıyor"/>
    <w:rPr>
      <w:rFonts w:ascii="Times New Roman" w:eastAsia="Times New Roman" w:hAnsi="Times New Roman" w:cs="Times New Roman"/>
      <w:i/>
      <w:iCs/>
      <w:color w:val="000000"/>
      <w:spacing w:val="3"/>
      <w:w w:val="100"/>
      <w:position w:val="0"/>
      <w:sz w:val="8"/>
      <w:szCs w:val="8"/>
      <w:u w:val="none"/>
      <w:lang w:val="en-US"/>
    </w:rPr>
  </w:style>
  <w:style w:type="character" w:customStyle="1" w:styleId="Gvdemetni254pttalik">
    <w:name w:val="Gövde metni (25) + 4 pt;İtalik"/>
    <w:basedOn w:val="Gvdemetni25"/>
    <w:rPr>
      <w:rFonts w:ascii="Times New Roman" w:eastAsia="Times New Roman" w:hAnsi="Times New Roman" w:cs="Times New Roman"/>
      <w:i/>
      <w:iCs/>
      <w:color w:val="000000"/>
      <w:spacing w:val="3"/>
      <w:w w:val="100"/>
      <w:position w:val="0"/>
      <w:sz w:val="8"/>
      <w:szCs w:val="8"/>
      <w:shd w:val="clear" w:color="auto" w:fill="FFFFFF"/>
      <w:lang w:val="en-US"/>
    </w:rPr>
  </w:style>
  <w:style w:type="character" w:customStyle="1" w:styleId="Gvdemetni254pttalik0ptbolukbraklyor28">
    <w:name w:val="Gövde metni (25) + 4 pt;İtalik;0 pt boşluk bırakılıyor28"/>
    <w:rPr>
      <w:rFonts w:ascii="Times New Roman" w:eastAsia="Times New Roman" w:hAnsi="Times New Roman" w:cs="Times New Roman"/>
      <w:i/>
      <w:iCs/>
      <w:color w:val="000000"/>
      <w:spacing w:val="4"/>
      <w:w w:val="100"/>
      <w:position w:val="0"/>
      <w:sz w:val="8"/>
      <w:szCs w:val="8"/>
      <w:u w:val="none"/>
      <w:lang w:val="en-US"/>
    </w:rPr>
  </w:style>
  <w:style w:type="character" w:customStyle="1" w:styleId="Gvdemetni254pttalik0ptbolukbraklyor27">
    <w:name w:val="Gövde metni (25) + 4 pt;İtalik;0 pt boşluk bırakılıyor27"/>
    <w:rPr>
      <w:rFonts w:ascii="Times New Roman" w:eastAsia="Times New Roman" w:hAnsi="Times New Roman" w:cs="Times New Roman"/>
      <w:i/>
      <w:iCs/>
      <w:color w:val="000000"/>
      <w:spacing w:val="2"/>
      <w:w w:val="100"/>
      <w:position w:val="0"/>
      <w:sz w:val="8"/>
      <w:szCs w:val="8"/>
      <w:u w:val="none"/>
      <w:lang w:val="en-US"/>
    </w:rPr>
  </w:style>
  <w:style w:type="character" w:customStyle="1" w:styleId="Gvdemetni25Constantia45pt">
    <w:name w:val="Gövde metni (25) + Constantia;4;5 pt"/>
    <w:rPr>
      <w:rFonts w:ascii="Constantia" w:eastAsia="Constantia" w:hAnsi="Constantia" w:cs="Constantia"/>
      <w:color w:val="000000"/>
      <w:spacing w:val="3"/>
      <w:w w:val="100"/>
      <w:position w:val="0"/>
      <w:sz w:val="9"/>
      <w:szCs w:val="9"/>
      <w:u w:val="none"/>
      <w:lang w:val="en-US"/>
    </w:rPr>
  </w:style>
  <w:style w:type="character" w:customStyle="1" w:styleId="Gvdemetni25Constantia75pt0ptbolukbraklyor">
    <w:name w:val="Gövde metni (25) + Constantia;7;5 pt;0 pt boşluk bırakılıyor"/>
    <w:rPr>
      <w:rFonts w:ascii="Constantia" w:eastAsia="Constantia" w:hAnsi="Constantia" w:cs="Constantia"/>
      <w:color w:val="000000"/>
      <w:spacing w:val="0"/>
      <w:w w:val="100"/>
      <w:position w:val="0"/>
      <w:sz w:val="15"/>
      <w:szCs w:val="15"/>
      <w:u w:val="none"/>
    </w:rPr>
  </w:style>
  <w:style w:type="character" w:customStyle="1" w:styleId="Gvdemetni254pttalik0ptbolukbraklyor26">
    <w:name w:val="Gövde metni (25) + 4 pt;İtalik;0 pt boşluk bırakılıyor26"/>
    <w:rPr>
      <w:rFonts w:ascii="Times New Roman" w:eastAsia="Times New Roman" w:hAnsi="Times New Roman" w:cs="Times New Roman"/>
      <w:i/>
      <w:iCs/>
      <w:color w:val="000000"/>
      <w:spacing w:val="1"/>
      <w:w w:val="100"/>
      <w:position w:val="0"/>
      <w:sz w:val="8"/>
      <w:szCs w:val="8"/>
      <w:u w:val="none"/>
      <w:lang w:val="en-US"/>
    </w:rPr>
  </w:style>
  <w:style w:type="character" w:customStyle="1" w:styleId="Gvdemetni250ptbolukbraklyor2">
    <w:name w:val="Gövde metni (25) + 0 pt boşluk bırakılıyor2"/>
    <w:rPr>
      <w:rFonts w:ascii="Times New Roman" w:eastAsia="Times New Roman" w:hAnsi="Times New Roman" w:cs="Times New Roman"/>
      <w:color w:val="000000"/>
      <w:spacing w:val="2"/>
      <w:w w:val="100"/>
      <w:position w:val="0"/>
      <w:sz w:val="14"/>
      <w:szCs w:val="14"/>
      <w:u w:val="none"/>
      <w:lang w:val="en-US"/>
    </w:rPr>
  </w:style>
  <w:style w:type="character" w:customStyle="1" w:styleId="Gvdemetni254pttalik3">
    <w:name w:val="Gövde metni (25) + 4 pt;İtalik3"/>
    <w:rPr>
      <w:rFonts w:ascii="Times New Roman" w:eastAsia="Times New Roman" w:hAnsi="Times New Roman" w:cs="Times New Roman"/>
      <w:i/>
      <w:iCs/>
      <w:color w:val="000000"/>
      <w:spacing w:val="3"/>
      <w:w w:val="100"/>
      <w:position w:val="0"/>
      <w:sz w:val="8"/>
      <w:szCs w:val="8"/>
      <w:u w:val="none"/>
      <w:lang w:val="en-US"/>
    </w:rPr>
  </w:style>
  <w:style w:type="character" w:customStyle="1" w:styleId="Tabloyazs60ptbolukbraklyor3">
    <w:name w:val="Tablo yazısı (6) + 0 pt boşluk bırakılıyor3"/>
    <w:qFormat/>
    <w:rPr>
      <w:rFonts w:ascii="Times New Roman" w:eastAsia="Times New Roman" w:hAnsi="Times New Roman" w:cs="Times New Roman"/>
      <w:i/>
      <w:iCs/>
      <w:color w:val="000000"/>
      <w:spacing w:val="3"/>
      <w:w w:val="100"/>
      <w:position w:val="0"/>
      <w:sz w:val="8"/>
      <w:szCs w:val="8"/>
      <w:u w:val="none"/>
      <w:lang w:val="en-US"/>
    </w:rPr>
  </w:style>
  <w:style w:type="character" w:customStyle="1" w:styleId="Gvdemetni365pt0ptbolukbraklyor7">
    <w:name w:val="Gövde metni (36) + 5 pt;0 pt boşluk bırakılıyor7"/>
    <w:rPr>
      <w:rFonts w:ascii="Times New Roman" w:eastAsia="Times New Roman" w:hAnsi="Times New Roman" w:cs="Times New Roman"/>
      <w:color w:val="000000"/>
      <w:spacing w:val="2"/>
      <w:w w:val="100"/>
      <w:position w:val="0"/>
      <w:sz w:val="10"/>
      <w:szCs w:val="10"/>
      <w:u w:val="none"/>
      <w:lang w:val="en-US"/>
    </w:rPr>
  </w:style>
  <w:style w:type="character" w:customStyle="1" w:styleId="Gvdemetni3655ptKaln0ptbolukbraklyor">
    <w:name w:val="Gövde metni (36) + 5;5 pt;Kalın;0 pt boşluk bırakılıyor"/>
    <w:rPr>
      <w:rFonts w:ascii="Times New Roman" w:eastAsia="Times New Roman" w:hAnsi="Times New Roman" w:cs="Times New Roman"/>
      <w:b/>
      <w:bCs/>
      <w:color w:val="000000"/>
      <w:spacing w:val="5"/>
      <w:w w:val="100"/>
      <w:position w:val="0"/>
      <w:sz w:val="11"/>
      <w:szCs w:val="11"/>
      <w:u w:val="none"/>
      <w:lang w:val="en-US"/>
    </w:rPr>
  </w:style>
  <w:style w:type="character" w:customStyle="1" w:styleId="Gvdemetni367pt0ptbolukbraklyor4">
    <w:name w:val="Gövde metni (36) + 7 pt;0 pt boşluk bırakılıyor4"/>
    <w:rPr>
      <w:rFonts w:ascii="Times New Roman" w:eastAsia="Times New Roman" w:hAnsi="Times New Roman" w:cs="Times New Roman"/>
      <w:color w:val="000000"/>
      <w:spacing w:val="2"/>
      <w:w w:val="100"/>
      <w:position w:val="0"/>
      <w:sz w:val="14"/>
      <w:szCs w:val="14"/>
      <w:u w:val="none"/>
      <w:lang w:val="en-US"/>
    </w:rPr>
  </w:style>
  <w:style w:type="character" w:customStyle="1" w:styleId="Tabloyazstalik">
    <w:name w:val="Tablo yazısı + İtalik"/>
    <w:qFormat/>
    <w:rPr>
      <w:rFonts w:ascii="Times New Roman" w:eastAsia="Times New Roman" w:hAnsi="Times New Roman" w:cs="Times New Roman"/>
      <w:i/>
      <w:iCs/>
      <w:color w:val="000000"/>
      <w:spacing w:val="4"/>
      <w:w w:val="100"/>
      <w:position w:val="0"/>
      <w:sz w:val="12"/>
      <w:szCs w:val="12"/>
      <w:u w:val="none"/>
      <w:shd w:val="clear" w:color="auto" w:fill="FFFFFF"/>
      <w:lang w:val="en-US"/>
    </w:rPr>
  </w:style>
  <w:style w:type="character" w:customStyle="1" w:styleId="Gvdemetni254pttalik1ptbolukbraklyor">
    <w:name w:val="Gövde metni (25) + 4 pt;İtalik;1 pt boşluk bırakılıyor"/>
    <w:basedOn w:val="Gvdemetni25"/>
    <w:rPr>
      <w:rFonts w:ascii="Times New Roman" w:eastAsia="Times New Roman" w:hAnsi="Times New Roman" w:cs="Times New Roman"/>
      <w:i/>
      <w:iCs/>
      <w:color w:val="000000"/>
      <w:spacing w:val="30"/>
      <w:w w:val="100"/>
      <w:position w:val="0"/>
      <w:sz w:val="8"/>
      <w:szCs w:val="8"/>
      <w:shd w:val="clear" w:color="auto" w:fill="FFFFFF"/>
      <w:lang w:val="en-US"/>
    </w:rPr>
  </w:style>
  <w:style w:type="character" w:customStyle="1" w:styleId="Gvdemetni254pttalik0ptbolukbraklyor25">
    <w:name w:val="Gövde metni (25) + 4 pt;İtalik;0 pt boşluk bırakılıyor25"/>
    <w:rPr>
      <w:rFonts w:ascii="Times New Roman" w:eastAsia="Times New Roman" w:hAnsi="Times New Roman" w:cs="Times New Roman"/>
      <w:i/>
      <w:iCs/>
      <w:color w:val="000000"/>
      <w:spacing w:val="-12"/>
      <w:w w:val="100"/>
      <w:position w:val="0"/>
      <w:sz w:val="8"/>
      <w:szCs w:val="8"/>
      <w:u w:val="none"/>
      <w:lang w:val="en-US"/>
    </w:rPr>
  </w:style>
  <w:style w:type="character" w:customStyle="1" w:styleId="Resimyazs75pt0ptbolukbraklyor">
    <w:name w:val="Resim yazısı (7) + 5 pt;0 pt boşluk bırakılıyor"/>
    <w:rPr>
      <w:rFonts w:ascii="Times New Roman" w:eastAsia="Times New Roman" w:hAnsi="Times New Roman" w:cs="Times New Roman"/>
      <w:color w:val="000000"/>
      <w:spacing w:val="0"/>
      <w:w w:val="100"/>
      <w:position w:val="0"/>
      <w:sz w:val="10"/>
      <w:szCs w:val="10"/>
      <w:u w:val="none"/>
      <w:lang w:val="en-US"/>
    </w:rPr>
  </w:style>
  <w:style w:type="character" w:customStyle="1" w:styleId="Resimyazs74pttalik0ptbolukbraklyor9">
    <w:name w:val="Resim yazısı (7) + 4 pt;İtalik;0 pt boşluk bırakılıyor9"/>
    <w:rPr>
      <w:rFonts w:ascii="Times New Roman" w:eastAsia="Times New Roman" w:hAnsi="Times New Roman" w:cs="Times New Roman"/>
      <w:i/>
      <w:iCs/>
      <w:color w:val="000000"/>
      <w:spacing w:val="4"/>
      <w:w w:val="100"/>
      <w:position w:val="0"/>
      <w:sz w:val="8"/>
      <w:szCs w:val="8"/>
      <w:u w:val="none"/>
      <w:lang w:val="en-US"/>
    </w:rPr>
  </w:style>
  <w:style w:type="character" w:customStyle="1" w:styleId="Resimyazs75pt0ptbolukbraklyor2">
    <w:name w:val="Resim yazısı (7) + 5 pt;0 pt boşluk bırakılıyor2"/>
    <w:rPr>
      <w:rFonts w:ascii="Times New Roman" w:eastAsia="Times New Roman" w:hAnsi="Times New Roman" w:cs="Times New Roman"/>
      <w:color w:val="000000"/>
      <w:spacing w:val="0"/>
      <w:w w:val="100"/>
      <w:position w:val="0"/>
      <w:sz w:val="10"/>
      <w:szCs w:val="10"/>
      <w:u w:val="none"/>
    </w:rPr>
  </w:style>
  <w:style w:type="character" w:customStyle="1" w:styleId="Resimyazs74pt0ptbolukbraklyor">
    <w:name w:val="Resim yazısı (7) + 4 pt;0 pt boşluk bırakılıyor"/>
    <w:rPr>
      <w:rFonts w:ascii="Times New Roman" w:eastAsia="Times New Roman" w:hAnsi="Times New Roman" w:cs="Times New Roman"/>
      <w:color w:val="000000"/>
      <w:spacing w:val="0"/>
      <w:w w:val="100"/>
      <w:position w:val="0"/>
      <w:sz w:val="8"/>
      <w:szCs w:val="8"/>
      <w:u w:val="none"/>
    </w:rPr>
  </w:style>
  <w:style w:type="character" w:customStyle="1" w:styleId="Gvdemetni254pttalik0ptbolukbraklyor29">
    <w:name w:val="Gövde metni (25) + 4 pt;İtalik;0 pt boşluk bırakılıyor29"/>
    <w:rPr>
      <w:rFonts w:ascii="Times New Roman" w:eastAsia="Times New Roman" w:hAnsi="Times New Roman" w:cs="Times New Roman"/>
      <w:i/>
      <w:iCs/>
      <w:color w:val="000000"/>
      <w:spacing w:val="4"/>
      <w:w w:val="100"/>
      <w:position w:val="0"/>
      <w:sz w:val="8"/>
      <w:szCs w:val="8"/>
      <w:u w:val="none"/>
      <w:lang w:val="en-US"/>
    </w:rPr>
  </w:style>
  <w:style w:type="character" w:customStyle="1" w:styleId="Gvdemetni4155pt0ptbolukbraklyor">
    <w:name w:val="Gövde metni (41) + 5;5 pt;0 pt boşluk bırakılıyor"/>
    <w:basedOn w:val="VarsaylanParagrafYazTipi"/>
    <w:rPr>
      <w:rFonts w:ascii="Times New Roman" w:eastAsia="Times New Roman" w:hAnsi="Times New Roman" w:cs="Times New Roman"/>
      <w:color w:val="000000"/>
      <w:spacing w:val="3"/>
      <w:w w:val="100"/>
      <w:position w:val="0"/>
      <w:sz w:val="11"/>
      <w:szCs w:val="11"/>
      <w:u w:val="none"/>
      <w:lang w:val="en-US"/>
    </w:rPr>
  </w:style>
  <w:style w:type="character" w:customStyle="1" w:styleId="Gvdemetni365pt0ptbolukbraklyor6">
    <w:name w:val="Gövde metni (36) + 5 pt;0 pt boşluk bırakılıyor6"/>
    <w:rPr>
      <w:rFonts w:ascii="Times New Roman" w:eastAsia="Times New Roman" w:hAnsi="Times New Roman" w:cs="Times New Roman"/>
      <w:color w:val="000000"/>
      <w:spacing w:val="3"/>
      <w:w w:val="100"/>
      <w:position w:val="0"/>
      <w:sz w:val="10"/>
      <w:szCs w:val="10"/>
      <w:u w:val="none"/>
      <w:lang w:val="en-US"/>
    </w:rPr>
  </w:style>
  <w:style w:type="character" w:customStyle="1" w:styleId="Gvdemetni3655pt0ptbolukbraklyor">
    <w:name w:val="Gövde metni (36) + 5;5 pt;0 pt boşluk bırakılıyor"/>
    <w:rPr>
      <w:rFonts w:ascii="Times New Roman" w:eastAsia="Times New Roman" w:hAnsi="Times New Roman" w:cs="Times New Roman"/>
      <w:color w:val="000000"/>
      <w:spacing w:val="-2"/>
      <w:w w:val="100"/>
      <w:position w:val="0"/>
      <w:sz w:val="11"/>
      <w:szCs w:val="11"/>
      <w:u w:val="none"/>
      <w:lang w:val="en-US"/>
    </w:rPr>
  </w:style>
  <w:style w:type="character" w:customStyle="1" w:styleId="Gvdemetni254pttalik0ptbolukbraklyor23">
    <w:name w:val="Gövde metni (25) + 4 pt;İtalik;0 pt boşluk bırakılıyor23"/>
    <w:rPr>
      <w:rFonts w:ascii="Times New Roman" w:eastAsia="Times New Roman" w:hAnsi="Times New Roman" w:cs="Times New Roman"/>
      <w:i/>
      <w:iCs/>
      <w:color w:val="000000"/>
      <w:spacing w:val="-4"/>
      <w:w w:val="100"/>
      <w:position w:val="0"/>
      <w:sz w:val="8"/>
      <w:szCs w:val="8"/>
      <w:u w:val="none"/>
      <w:lang w:val="en-US"/>
    </w:rPr>
  </w:style>
  <w:style w:type="character" w:customStyle="1" w:styleId="Resimyazs74pttalik0ptbolukbraklyor7">
    <w:name w:val="Resim yazısı (7) + 4 pt;İtalik;0 pt boşluk bırakılıyor7"/>
    <w:rPr>
      <w:rFonts w:ascii="Times New Roman" w:eastAsia="Times New Roman" w:hAnsi="Times New Roman" w:cs="Times New Roman"/>
      <w:i/>
      <w:iCs/>
      <w:color w:val="000000"/>
      <w:spacing w:val="8"/>
      <w:w w:val="100"/>
      <w:position w:val="0"/>
      <w:sz w:val="8"/>
      <w:szCs w:val="8"/>
      <w:u w:val="none"/>
      <w:lang w:val="en-US"/>
    </w:rPr>
  </w:style>
  <w:style w:type="character" w:customStyle="1" w:styleId="Gvdemetni254pttalik0ptbolukbraklyor22">
    <w:name w:val="Gövde metni (25) + 4 pt;İtalik;0 pt boşluk bırakılıyor22"/>
    <w:rPr>
      <w:rFonts w:ascii="Times New Roman" w:eastAsia="Times New Roman" w:hAnsi="Times New Roman" w:cs="Times New Roman"/>
      <w:i/>
      <w:iCs/>
      <w:color w:val="000000"/>
      <w:spacing w:val="8"/>
      <w:w w:val="100"/>
      <w:position w:val="0"/>
      <w:sz w:val="8"/>
      <w:szCs w:val="8"/>
      <w:u w:val="none"/>
      <w:lang w:val="en-US"/>
    </w:rPr>
  </w:style>
  <w:style w:type="character" w:customStyle="1" w:styleId="Gvdemetni254pttalik0ptbolukbraklyor21">
    <w:name w:val="Gövde metni (25) + 4 pt;İtalik;0 pt boşluk bırakılıyor21"/>
    <w:rPr>
      <w:rFonts w:ascii="Times New Roman" w:eastAsia="Times New Roman" w:hAnsi="Times New Roman" w:cs="Times New Roman"/>
      <w:i/>
      <w:iCs/>
      <w:color w:val="000000"/>
      <w:spacing w:val="8"/>
      <w:w w:val="100"/>
      <w:position w:val="0"/>
      <w:sz w:val="8"/>
      <w:szCs w:val="8"/>
      <w:u w:val="none"/>
      <w:lang w:val="en-US"/>
    </w:rPr>
  </w:style>
  <w:style w:type="character" w:customStyle="1" w:styleId="Gvdemetni254pttalik0ptbolukbraklyor20">
    <w:name w:val="Gövde metni (25) + 4 pt;İtalik;0 pt boşluk bırakılıyor20"/>
    <w:rPr>
      <w:rFonts w:ascii="Times New Roman" w:eastAsia="Times New Roman" w:hAnsi="Times New Roman" w:cs="Times New Roman"/>
      <w:i/>
      <w:iCs/>
      <w:color w:val="000000"/>
      <w:spacing w:val="6"/>
      <w:w w:val="100"/>
      <w:position w:val="0"/>
      <w:sz w:val="8"/>
      <w:szCs w:val="8"/>
      <w:u w:val="none"/>
      <w:lang w:val="en-US"/>
    </w:rPr>
  </w:style>
  <w:style w:type="character" w:customStyle="1" w:styleId="Gvdemetni255pt0ptbolukbraklyor3">
    <w:name w:val="Gövde metni (25) + 5 pt;0 pt boşluk bırakılıyor3"/>
    <w:rPr>
      <w:rFonts w:ascii="Times New Roman" w:eastAsia="Times New Roman" w:hAnsi="Times New Roman" w:cs="Times New Roman"/>
      <w:color w:val="000000"/>
      <w:spacing w:val="1"/>
      <w:w w:val="100"/>
      <w:position w:val="0"/>
      <w:sz w:val="10"/>
      <w:szCs w:val="10"/>
      <w:u w:val="none"/>
      <w:lang w:val="en-US"/>
    </w:rPr>
  </w:style>
  <w:style w:type="character" w:customStyle="1" w:styleId="Gvdemetni25MalgunGothic45pttalik0ptbolukbraklyor">
    <w:name w:val="Gövde metni (25) + Malgun Gothic;4;5 pt;İtalik;0 pt boşluk bırakılıyor"/>
    <w:rPr>
      <w:rFonts w:ascii="Malgun Gothic" w:eastAsia="Malgun Gothic" w:hAnsi="Malgun Gothic" w:cs="Malgun Gothic"/>
      <w:i/>
      <w:iCs/>
      <w:color w:val="000000"/>
      <w:spacing w:val="-3"/>
      <w:w w:val="100"/>
      <w:position w:val="0"/>
      <w:sz w:val="9"/>
      <w:szCs w:val="9"/>
      <w:u w:val="none"/>
      <w:lang w:val="en-US"/>
    </w:rPr>
  </w:style>
  <w:style w:type="character" w:customStyle="1" w:styleId="Gvdemetni255pt0ptbolukbraklyor2">
    <w:name w:val="Gövde metni (25) + 5 pt;0 pt boşluk bırakılıyor2"/>
    <w:rPr>
      <w:rFonts w:ascii="Times New Roman" w:eastAsia="Times New Roman" w:hAnsi="Times New Roman" w:cs="Times New Roman"/>
      <w:color w:val="000000"/>
      <w:spacing w:val="0"/>
      <w:w w:val="100"/>
      <w:position w:val="0"/>
      <w:sz w:val="10"/>
      <w:szCs w:val="10"/>
      <w:u w:val="none"/>
    </w:rPr>
  </w:style>
  <w:style w:type="character" w:customStyle="1" w:styleId="Resimyazs74pttalik0ptbolukbraklyor6">
    <w:name w:val="Resim yazısı (7) + 4 pt;İtalik;0 pt boşluk bırakılıyor6"/>
    <w:rPr>
      <w:rFonts w:ascii="Times New Roman" w:eastAsia="Times New Roman" w:hAnsi="Times New Roman" w:cs="Times New Roman"/>
      <w:i/>
      <w:iCs/>
      <w:color w:val="000000"/>
      <w:spacing w:val="4"/>
      <w:w w:val="100"/>
      <w:position w:val="0"/>
      <w:sz w:val="8"/>
      <w:szCs w:val="8"/>
      <w:u w:val="none"/>
      <w:lang w:val="en-US"/>
    </w:rPr>
  </w:style>
  <w:style w:type="character" w:customStyle="1" w:styleId="Gvdemetni254pttalik0ptbolukbraklyor19">
    <w:name w:val="Gövde metni (25) + 4 pt;İtalik;0 pt boşluk bırakılıyor19"/>
    <w:rPr>
      <w:rFonts w:ascii="Times New Roman" w:eastAsia="Times New Roman" w:hAnsi="Times New Roman" w:cs="Times New Roman"/>
      <w:i/>
      <w:iCs/>
      <w:color w:val="000000"/>
      <w:spacing w:val="4"/>
      <w:w w:val="100"/>
      <w:position w:val="0"/>
      <w:sz w:val="8"/>
      <w:szCs w:val="8"/>
      <w:u w:val="none"/>
      <w:lang w:val="en-US"/>
    </w:rPr>
  </w:style>
  <w:style w:type="character" w:customStyle="1" w:styleId="Gvdemetni2585pt0ptbolukbraklyor2">
    <w:name w:val="Gövde metni (25) + 8;5 pt;0 pt boşluk bırakılıyor2"/>
    <w:rPr>
      <w:rFonts w:ascii="Times New Roman" w:eastAsia="Times New Roman" w:hAnsi="Times New Roman" w:cs="Times New Roman"/>
      <w:color w:val="000000"/>
      <w:spacing w:val="-4"/>
      <w:w w:val="100"/>
      <w:position w:val="0"/>
      <w:sz w:val="17"/>
      <w:szCs w:val="17"/>
      <w:u w:val="none"/>
      <w:lang w:val="en-US"/>
    </w:rPr>
  </w:style>
  <w:style w:type="character" w:customStyle="1" w:styleId="Gvdemetni254pttalik0ptbolukbraklyor18">
    <w:name w:val="Gövde metni (25) + 4 pt;İtalik;0 pt boşluk bırakılıyor18"/>
    <w:rPr>
      <w:rFonts w:ascii="Times New Roman" w:eastAsia="Times New Roman" w:hAnsi="Times New Roman" w:cs="Times New Roman"/>
      <w:i/>
      <w:iCs/>
      <w:color w:val="000000"/>
      <w:spacing w:val="6"/>
      <w:w w:val="100"/>
      <w:position w:val="0"/>
      <w:sz w:val="8"/>
      <w:szCs w:val="8"/>
      <w:u w:val="none"/>
      <w:lang w:val="en-US"/>
    </w:rPr>
  </w:style>
  <w:style w:type="character" w:customStyle="1" w:styleId="Gvdemetni2585pt0ptbolukbraklyor1">
    <w:name w:val="Gövde metni (25) + 8;5 pt;0 pt boşluk bırakılıyor1"/>
    <w:rPr>
      <w:rFonts w:ascii="Times New Roman" w:eastAsia="Times New Roman" w:hAnsi="Times New Roman" w:cs="Times New Roman"/>
      <w:color w:val="000000"/>
      <w:spacing w:val="0"/>
      <w:w w:val="100"/>
      <w:position w:val="0"/>
      <w:sz w:val="17"/>
      <w:szCs w:val="17"/>
      <w:u w:val="none"/>
    </w:rPr>
  </w:style>
  <w:style w:type="character" w:customStyle="1" w:styleId="Gvdemetni2585pt">
    <w:name w:val="Gövde metni (25) + 8;5 pt"/>
    <w:rPr>
      <w:rFonts w:ascii="Times New Roman" w:eastAsia="Times New Roman" w:hAnsi="Times New Roman" w:cs="Times New Roman"/>
      <w:color w:val="000000"/>
      <w:spacing w:val="3"/>
      <w:w w:val="100"/>
      <w:position w:val="0"/>
      <w:sz w:val="17"/>
      <w:szCs w:val="17"/>
      <w:u w:val="none"/>
      <w:lang w:val="en-US"/>
    </w:rPr>
  </w:style>
  <w:style w:type="character" w:customStyle="1" w:styleId="Gvdemetni254pttalik2">
    <w:name w:val="Gövde metni (25) + 4 pt;İtalik2"/>
    <w:rPr>
      <w:rFonts w:ascii="Times New Roman" w:eastAsia="Times New Roman" w:hAnsi="Times New Roman" w:cs="Times New Roman"/>
      <w:i/>
      <w:iCs/>
      <w:color w:val="000000"/>
      <w:spacing w:val="3"/>
      <w:w w:val="100"/>
      <w:position w:val="0"/>
      <w:sz w:val="8"/>
      <w:szCs w:val="8"/>
      <w:u w:val="none"/>
      <w:lang w:val="en-US"/>
    </w:rPr>
  </w:style>
  <w:style w:type="character" w:customStyle="1" w:styleId="Gvdemetni254pttalik0ptbolukbraklyor17">
    <w:name w:val="Gövde metni (25) + 4 pt;İtalik;0 pt boşluk bırakılıyor17"/>
    <w:rPr>
      <w:rFonts w:ascii="Times New Roman" w:eastAsia="Times New Roman" w:hAnsi="Times New Roman" w:cs="Times New Roman"/>
      <w:i/>
      <w:iCs/>
      <w:color w:val="000000"/>
      <w:spacing w:val="0"/>
      <w:w w:val="100"/>
      <w:position w:val="0"/>
      <w:sz w:val="8"/>
      <w:szCs w:val="8"/>
      <w:u w:val="none"/>
      <w:lang w:val="en-US"/>
    </w:rPr>
  </w:style>
  <w:style w:type="character" w:customStyle="1" w:styleId="Gvdemetni3">
    <w:name w:val="Gövde metni (3)_"/>
    <w:basedOn w:val="VarsaylanParagrafYazTipi"/>
    <w:link w:val="Gvdemetni30"/>
    <w:rPr>
      <w:rFonts w:eastAsia="Times New Roman"/>
      <w:i/>
      <w:iCs/>
      <w:spacing w:val="-1"/>
      <w:sz w:val="17"/>
      <w:szCs w:val="17"/>
      <w:shd w:val="clear" w:color="auto" w:fill="FFFFFF"/>
    </w:rPr>
  </w:style>
  <w:style w:type="paragraph" w:customStyle="1" w:styleId="Gvdemetni30">
    <w:name w:val="Gövde metni (3)"/>
    <w:basedOn w:val="Normal"/>
    <w:link w:val="Gvdemetni3"/>
    <w:pPr>
      <w:shd w:val="clear" w:color="auto" w:fill="FFFFFF"/>
      <w:spacing w:before="300" w:after="180" w:line="0" w:lineRule="atLeast"/>
      <w:jc w:val="center"/>
    </w:pPr>
    <w:rPr>
      <w:rFonts w:eastAsia="Times New Roman" w:cs="Times New Roman"/>
      <w:i/>
      <w:iCs/>
      <w:color w:val="auto"/>
      <w:spacing w:val="-1"/>
      <w:sz w:val="17"/>
      <w:szCs w:val="17"/>
      <w:lang w:val="en-GB" w:eastAsia="en-GB"/>
    </w:rPr>
  </w:style>
  <w:style w:type="character" w:customStyle="1" w:styleId="Gvdemetni254pttalik0ptbolukbraklyor16">
    <w:name w:val="Gövde metni (25) + 4 pt;İtalik;0 pt boşluk bırakılıyor16"/>
    <w:rPr>
      <w:rFonts w:ascii="Times New Roman" w:eastAsia="Times New Roman" w:hAnsi="Times New Roman" w:cs="Times New Roman"/>
      <w:i/>
      <w:iCs/>
      <w:color w:val="000000"/>
      <w:spacing w:val="-8"/>
      <w:w w:val="100"/>
      <w:position w:val="0"/>
      <w:sz w:val="8"/>
      <w:szCs w:val="8"/>
      <w:u w:val="none"/>
      <w:lang w:val="en-US"/>
    </w:rPr>
  </w:style>
  <w:style w:type="character" w:customStyle="1" w:styleId="Resimyazs77ptKkBykHarf0ptbolukbraklyor">
    <w:name w:val="Resim yazısı (7) + 7 pt;Küçük Büyük Harf;0 pt boşluk bırakılıyor"/>
    <w:rPr>
      <w:rFonts w:ascii="Times New Roman" w:eastAsia="Times New Roman" w:hAnsi="Times New Roman" w:cs="Times New Roman"/>
      <w:smallCaps/>
      <w:color w:val="000000"/>
      <w:spacing w:val="3"/>
      <w:w w:val="100"/>
      <w:position w:val="0"/>
      <w:sz w:val="14"/>
      <w:szCs w:val="14"/>
      <w:u w:val="none"/>
      <w:lang w:val="en-US"/>
    </w:rPr>
  </w:style>
  <w:style w:type="character" w:customStyle="1" w:styleId="Gvdemetni254pttalik0ptbolukbraklyor15">
    <w:name w:val="Gövde metni (25) + 4 pt;İtalik;0 pt boşluk bırakılıyor15"/>
    <w:rPr>
      <w:rFonts w:ascii="Times New Roman" w:eastAsia="Times New Roman" w:hAnsi="Times New Roman" w:cs="Times New Roman"/>
      <w:i/>
      <w:iCs/>
      <w:color w:val="000000"/>
      <w:spacing w:val="-8"/>
      <w:w w:val="100"/>
      <w:position w:val="0"/>
      <w:sz w:val="8"/>
      <w:szCs w:val="8"/>
      <w:u w:val="none"/>
      <w:lang w:val="en-US"/>
    </w:rPr>
  </w:style>
  <w:style w:type="character" w:customStyle="1" w:styleId="Gvdemetni108">
    <w:name w:val="Gövde metni (108)_"/>
    <w:link w:val="Gvdemetni1081"/>
    <w:rPr>
      <w:rFonts w:eastAsia="Times New Roman"/>
      <w:b/>
      <w:bCs/>
      <w:i/>
      <w:iCs/>
      <w:spacing w:val="5"/>
      <w:sz w:val="15"/>
      <w:szCs w:val="15"/>
      <w:shd w:val="clear" w:color="auto" w:fill="FFFFFF"/>
    </w:rPr>
  </w:style>
  <w:style w:type="paragraph" w:customStyle="1" w:styleId="Gvdemetni1081">
    <w:name w:val="Gövde metni (108)1"/>
    <w:basedOn w:val="Normal"/>
    <w:link w:val="Gvdemetni108"/>
    <w:pPr>
      <w:shd w:val="clear" w:color="auto" w:fill="FFFFFF"/>
      <w:spacing w:after="120" w:line="0" w:lineRule="atLeast"/>
    </w:pPr>
    <w:rPr>
      <w:rFonts w:eastAsia="Times New Roman" w:cs="Times New Roman"/>
      <w:b/>
      <w:bCs/>
      <w:i/>
      <w:iCs/>
      <w:color w:val="auto"/>
      <w:spacing w:val="5"/>
      <w:sz w:val="15"/>
      <w:szCs w:val="15"/>
      <w:lang w:val="en-GB" w:eastAsia="en-GB"/>
    </w:rPr>
  </w:style>
  <w:style w:type="character" w:customStyle="1" w:styleId="Gvdemetni1080">
    <w:name w:val="Gövde metni (108)"/>
    <w:rPr>
      <w:rFonts w:ascii="Times New Roman" w:eastAsia="Times New Roman" w:hAnsi="Times New Roman" w:cs="Times New Roman"/>
      <w:b/>
      <w:bCs/>
      <w:i/>
      <w:iCs/>
      <w:color w:val="000000"/>
      <w:spacing w:val="5"/>
      <w:w w:val="100"/>
      <w:position w:val="0"/>
      <w:sz w:val="15"/>
      <w:szCs w:val="15"/>
      <w:u w:val="none"/>
      <w:lang w:val="en-US"/>
    </w:rPr>
  </w:style>
  <w:style w:type="character" w:customStyle="1" w:styleId="Gvdemetni365pt0ptbolukbraklyor5">
    <w:name w:val="Gövde metni (36) + 5 pt;0 pt boşluk bırakılıyor5"/>
    <w:rPr>
      <w:rFonts w:ascii="Times New Roman" w:eastAsia="Times New Roman" w:hAnsi="Times New Roman" w:cs="Times New Roman"/>
      <w:color w:val="000000"/>
      <w:spacing w:val="5"/>
      <w:w w:val="100"/>
      <w:position w:val="0"/>
      <w:sz w:val="10"/>
      <w:szCs w:val="10"/>
      <w:u w:val="none"/>
      <w:lang w:val="en-US"/>
    </w:rPr>
  </w:style>
  <w:style w:type="character" w:customStyle="1" w:styleId="Gvdemetni365pt0ptbolukbraklyor4">
    <w:name w:val="Gövde metni (36) + 5 pt;0 pt boşluk bırakılıyor4"/>
    <w:rPr>
      <w:rFonts w:ascii="Times New Roman" w:eastAsia="Times New Roman" w:hAnsi="Times New Roman" w:cs="Times New Roman"/>
      <w:color w:val="000000"/>
      <w:spacing w:val="1"/>
      <w:w w:val="100"/>
      <w:position w:val="0"/>
      <w:sz w:val="10"/>
      <w:szCs w:val="10"/>
      <w:u w:val="none"/>
      <w:lang w:val="en-US"/>
    </w:rPr>
  </w:style>
  <w:style w:type="character" w:customStyle="1" w:styleId="Gvdemetni3675pt3">
    <w:name w:val="Gövde metni (36) + 7;5 pt3"/>
    <w:rPr>
      <w:rFonts w:ascii="Times New Roman" w:eastAsia="Times New Roman" w:hAnsi="Times New Roman" w:cs="Times New Roman"/>
      <w:color w:val="000000"/>
      <w:spacing w:val="0"/>
      <w:w w:val="100"/>
      <w:position w:val="0"/>
      <w:sz w:val="15"/>
      <w:szCs w:val="15"/>
      <w:u w:val="none"/>
      <w:lang w:val="en-US"/>
    </w:rPr>
  </w:style>
  <w:style w:type="character" w:customStyle="1" w:styleId="Gvdemetni36FranklinGothicBook5pt0ptbolukbraklyor">
    <w:name w:val="Gövde metni (36) + Franklin Gothic Book;5 pt;0 pt boşluk bırakılıyor"/>
    <w:rPr>
      <w:rFonts w:ascii="Franklin Gothic Book" w:eastAsia="Franklin Gothic Book" w:hAnsi="Franklin Gothic Book" w:cs="Franklin Gothic Book"/>
      <w:color w:val="000000"/>
      <w:spacing w:val="1"/>
      <w:w w:val="100"/>
      <w:position w:val="0"/>
      <w:sz w:val="10"/>
      <w:szCs w:val="10"/>
      <w:u w:val="none"/>
      <w:lang w:val="en-US"/>
    </w:rPr>
  </w:style>
  <w:style w:type="character" w:customStyle="1" w:styleId="Gvdemetni254pttalik0ptbolukbraklyor14">
    <w:name w:val="Gövde metni (25) + 4 pt;İtalik;0 pt boşluk bırakılıyor14"/>
    <w:rPr>
      <w:rFonts w:ascii="Times New Roman" w:eastAsia="Times New Roman" w:hAnsi="Times New Roman" w:cs="Times New Roman"/>
      <w:i/>
      <w:iCs/>
      <w:color w:val="000000"/>
      <w:spacing w:val="0"/>
      <w:w w:val="100"/>
      <w:position w:val="0"/>
      <w:sz w:val="8"/>
      <w:szCs w:val="8"/>
      <w:u w:val="none"/>
      <w:lang w:val="en-US"/>
    </w:rPr>
  </w:style>
  <w:style w:type="character" w:customStyle="1" w:styleId="Gvdemetni95pt0ptbolukbraklyor">
    <w:name w:val="Gövde metni + 9;5 pt;0 pt boşluk bırakılıyor"/>
    <w:basedOn w:val="Gvdemetni"/>
    <w:rPr>
      <w:rFonts w:ascii="Times New Roman" w:eastAsia="Times New Roman" w:hAnsi="Times New Roman" w:cs="Times New Roman"/>
      <w:color w:val="000000"/>
      <w:spacing w:val="-1"/>
      <w:w w:val="100"/>
      <w:position w:val="0"/>
      <w:sz w:val="19"/>
      <w:szCs w:val="19"/>
      <w:u w:val="none"/>
      <w:lang w:val="en-US"/>
    </w:rPr>
  </w:style>
  <w:style w:type="character" w:customStyle="1" w:styleId="Gvdemetni36MalgunGothic45pttalik">
    <w:name w:val="Gövde metni (36) + Malgun Gothic;4;5 pt;İtalik"/>
    <w:rPr>
      <w:rFonts w:ascii="Malgun Gothic" w:eastAsia="Malgun Gothic" w:hAnsi="Malgun Gothic" w:cs="Malgun Gothic"/>
      <w:i/>
      <w:iCs/>
      <w:color w:val="000000"/>
      <w:spacing w:val="0"/>
      <w:w w:val="100"/>
      <w:position w:val="0"/>
      <w:sz w:val="9"/>
      <w:szCs w:val="9"/>
      <w:u w:val="none"/>
    </w:rPr>
  </w:style>
  <w:style w:type="character" w:customStyle="1" w:styleId="Gvdemetni365pt0ptbolukbraklyor2">
    <w:name w:val="Gövde metni (36) + 5 pt;0 pt boşluk bırakılıyor2"/>
    <w:rPr>
      <w:rFonts w:ascii="Times New Roman" w:eastAsia="Times New Roman" w:hAnsi="Times New Roman" w:cs="Times New Roman"/>
      <w:color w:val="000000"/>
      <w:spacing w:val="1"/>
      <w:w w:val="100"/>
      <w:position w:val="0"/>
      <w:sz w:val="10"/>
      <w:szCs w:val="10"/>
      <w:u w:val="none"/>
      <w:lang w:val="en-US"/>
    </w:rPr>
  </w:style>
  <w:style w:type="character" w:customStyle="1" w:styleId="Gvdemetni254pttalik0ptbolukbraklyor35">
    <w:name w:val="Gövde metni (25) + 4 pt;İtalik;0 pt boşluk bırakılıyor35"/>
    <w:rPr>
      <w:rFonts w:ascii="Times New Roman" w:eastAsia="Times New Roman" w:hAnsi="Times New Roman" w:cs="Times New Roman"/>
      <w:i/>
      <w:iCs/>
      <w:color w:val="000000"/>
      <w:spacing w:val="0"/>
      <w:w w:val="100"/>
      <w:position w:val="0"/>
      <w:sz w:val="8"/>
      <w:szCs w:val="8"/>
      <w:u w:val="none"/>
      <w:lang w:val="en-US"/>
    </w:rPr>
  </w:style>
  <w:style w:type="character" w:customStyle="1" w:styleId="Gvdemetni254pttalik0ptbolukbraklyor11">
    <w:name w:val="Gövde metni (25) + 4 pt;İtalik;0 pt boşluk bırakılıyor11"/>
    <w:rPr>
      <w:rFonts w:ascii="Times New Roman" w:eastAsia="Times New Roman" w:hAnsi="Times New Roman" w:cs="Times New Roman"/>
      <w:i/>
      <w:iCs/>
      <w:color w:val="000000"/>
      <w:spacing w:val="0"/>
      <w:w w:val="100"/>
      <w:position w:val="0"/>
      <w:sz w:val="8"/>
      <w:szCs w:val="8"/>
      <w:u w:val="none"/>
      <w:lang w:val="en-US"/>
    </w:rPr>
  </w:style>
  <w:style w:type="character" w:customStyle="1" w:styleId="Gvdemetni254pttalik0ptbolukbraklyor10">
    <w:name w:val="Gövde metni (25) + 4 pt;İtalik;0 pt boşluk bırakılıyor10"/>
    <w:rPr>
      <w:rFonts w:ascii="Times New Roman" w:eastAsia="Times New Roman" w:hAnsi="Times New Roman" w:cs="Times New Roman"/>
      <w:i/>
      <w:iCs/>
      <w:color w:val="000000"/>
      <w:spacing w:val="1"/>
      <w:w w:val="100"/>
      <w:position w:val="0"/>
      <w:sz w:val="8"/>
      <w:szCs w:val="8"/>
      <w:u w:val="none"/>
      <w:lang w:val="en-US"/>
    </w:rPr>
  </w:style>
  <w:style w:type="paragraph" w:customStyle="1" w:styleId="Default">
    <w:name w:val="Default"/>
    <w:rsid w:val="001835A8"/>
    <w:pPr>
      <w:autoSpaceDE w:val="0"/>
      <w:autoSpaceDN w:val="0"/>
      <w:adjustRightInd w:val="0"/>
    </w:pPr>
    <w:rPr>
      <w:color w:val="000000"/>
      <w:sz w:val="24"/>
      <w:szCs w:val="24"/>
    </w:rPr>
  </w:style>
  <w:style w:type="paragraph" w:styleId="DipnotMetni">
    <w:name w:val="footnote text"/>
    <w:basedOn w:val="Normal"/>
    <w:link w:val="DipnotMetniChar"/>
    <w:uiPriority w:val="99"/>
    <w:unhideWhenUsed/>
    <w:rsid w:val="00FB7855"/>
    <w:rPr>
      <w:sz w:val="20"/>
      <w:szCs w:val="20"/>
    </w:rPr>
  </w:style>
  <w:style w:type="character" w:customStyle="1" w:styleId="DipnotMetniChar">
    <w:name w:val="Dipnot Metni Char"/>
    <w:basedOn w:val="VarsaylanParagrafYazTipi"/>
    <w:link w:val="DipnotMetni"/>
    <w:uiPriority w:val="99"/>
    <w:rsid w:val="00FB7855"/>
    <w:rPr>
      <w:rFonts w:ascii="Courier New" w:eastAsia="Courier New" w:hAnsi="Courier New" w:cs="Courier New"/>
      <w:color w:val="000000"/>
      <w:lang w:val="en-US"/>
    </w:rPr>
  </w:style>
  <w:style w:type="character" w:styleId="DipnotBavurusu">
    <w:name w:val="footnote reference"/>
    <w:basedOn w:val="VarsaylanParagrafYazTipi"/>
    <w:uiPriority w:val="99"/>
    <w:unhideWhenUsed/>
    <w:rsid w:val="00FB7855"/>
    <w:rPr>
      <w:vertAlign w:val="superscript"/>
    </w:rPr>
  </w:style>
  <w:style w:type="paragraph" w:customStyle="1" w:styleId="NormalLeft">
    <w:name w:val="Normal Left"/>
    <w:basedOn w:val="Normal"/>
    <w:uiPriority w:val="99"/>
    <w:rsid w:val="001D708B"/>
    <w:pPr>
      <w:widowControl/>
      <w:autoSpaceDE w:val="0"/>
      <w:autoSpaceDN w:val="0"/>
      <w:spacing w:before="120" w:after="120"/>
    </w:pPr>
    <w:rPr>
      <w:rFonts w:eastAsiaTheme="minorEastAsia" w:cs="Times New Roman"/>
      <w:color w:val="auto"/>
      <w:lang w:val="fr-FR"/>
    </w:rPr>
  </w:style>
  <w:style w:type="table" w:styleId="TabloKlavuzu">
    <w:name w:val="Table Grid"/>
    <w:basedOn w:val="NormalTablo"/>
    <w:uiPriority w:val="39"/>
    <w:rsid w:val="001D708B"/>
    <w:pPr>
      <w:widowControl w:val="0"/>
    </w:pPr>
    <w:rPr>
      <w:rFonts w:ascii="Courier New" w:eastAsia="Courier New" w:hAnsi="Courier New" w:cs="Courier New"/>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Centered">
    <w:name w:val="Normal Centered"/>
    <w:basedOn w:val="Normal"/>
    <w:uiPriority w:val="99"/>
    <w:rsid w:val="000B4BFB"/>
    <w:pPr>
      <w:widowControl/>
      <w:autoSpaceDE w:val="0"/>
      <w:autoSpaceDN w:val="0"/>
      <w:spacing w:before="120" w:after="120"/>
      <w:jc w:val="center"/>
    </w:pPr>
    <w:rPr>
      <w:rFonts w:eastAsiaTheme="minorEastAsia" w:cs="Times New Roman"/>
      <w:color w:val="auto"/>
      <w:lang w:val="fr-FR"/>
    </w:rPr>
  </w:style>
  <w:style w:type="paragraph" w:customStyle="1" w:styleId="Tiret0">
    <w:name w:val="Tiret 0"/>
    <w:basedOn w:val="Normal"/>
    <w:uiPriority w:val="99"/>
    <w:rsid w:val="00606C48"/>
    <w:pPr>
      <w:widowControl/>
      <w:autoSpaceDE w:val="0"/>
      <w:autoSpaceDN w:val="0"/>
      <w:spacing w:before="120" w:after="120"/>
      <w:ind w:left="851" w:hanging="851"/>
      <w:jc w:val="both"/>
    </w:pPr>
    <w:rPr>
      <w:rFonts w:eastAsiaTheme="minorEastAsia" w:cs="Times New Roman"/>
      <w:color w:val="auto"/>
      <w:lang w:val="fr-FR"/>
    </w:rPr>
  </w:style>
  <w:style w:type="paragraph" w:customStyle="1" w:styleId="Tabloyazs0">
    <w:name w:val="Tablo yazısı"/>
    <w:basedOn w:val="Normal"/>
    <w:rsid w:val="007F3B3F"/>
    <w:pPr>
      <w:shd w:val="clear" w:color="auto" w:fill="FFFFFF"/>
      <w:spacing w:line="0" w:lineRule="atLeast"/>
    </w:pPr>
    <w:rPr>
      <w:rFonts w:eastAsia="Times New Roman" w:cs="Times New Roman"/>
      <w:spacing w:val="4"/>
      <w:sz w:val="12"/>
      <w:szCs w:val="12"/>
    </w:rPr>
  </w:style>
  <w:style w:type="character" w:customStyle="1" w:styleId="CRMarker">
    <w:name w:val="CR Marker"/>
    <w:basedOn w:val="VarsaylanParagrafYazTipi"/>
    <w:uiPriority w:val="99"/>
    <w:rsid w:val="009C355F"/>
    <w:rPr>
      <w:rFonts w:ascii="Wingdings" w:hAnsi="Wingdings" w:cs="Wingdings"/>
    </w:rPr>
  </w:style>
  <w:style w:type="character" w:customStyle="1" w:styleId="Balk1Char">
    <w:name w:val="Başlık 1 Char"/>
    <w:basedOn w:val="VarsaylanParagrafYazTipi"/>
    <w:link w:val="Balk1"/>
    <w:uiPriority w:val="99"/>
    <w:rsid w:val="00C82856"/>
    <w:rPr>
      <w:rFonts w:eastAsia="Times New Roman"/>
      <w:b/>
      <w:iCs/>
      <w:color w:val="000000"/>
      <w:spacing w:val="-6"/>
      <w:sz w:val="24"/>
      <w:szCs w:val="24"/>
      <w:shd w:val="clear" w:color="auto" w:fill="FFFFFF"/>
    </w:rPr>
  </w:style>
  <w:style w:type="character" w:customStyle="1" w:styleId="Balk2Char">
    <w:name w:val="Başlık 2 Char"/>
    <w:basedOn w:val="VarsaylanParagrafYazTipi"/>
    <w:link w:val="Balk2"/>
    <w:uiPriority w:val="99"/>
    <w:rsid w:val="00F71ECF"/>
    <w:rPr>
      <w:rFonts w:eastAsia="Courier New" w:cs="Courier New"/>
      <w:b/>
      <w:color w:val="000000"/>
      <w:sz w:val="24"/>
      <w:szCs w:val="24"/>
    </w:rPr>
  </w:style>
  <w:style w:type="character" w:customStyle="1" w:styleId="Balk3Char">
    <w:name w:val="Başlık 3 Char"/>
    <w:basedOn w:val="VarsaylanParagrafYazTipi"/>
    <w:link w:val="Balk3"/>
    <w:uiPriority w:val="99"/>
    <w:rsid w:val="009F4766"/>
    <w:rPr>
      <w:rFonts w:eastAsia="Times New Roman"/>
      <w:i/>
      <w:iCs/>
      <w:sz w:val="24"/>
      <w:szCs w:val="24"/>
      <w:lang w:val="fr-FR"/>
    </w:rPr>
  </w:style>
  <w:style w:type="character" w:customStyle="1" w:styleId="Balk4Char">
    <w:name w:val="Başlık 4 Char"/>
    <w:basedOn w:val="VarsaylanParagrafYazTipi"/>
    <w:link w:val="Balk4"/>
    <w:uiPriority w:val="99"/>
    <w:rsid w:val="009F4766"/>
    <w:rPr>
      <w:rFonts w:eastAsia="Times New Roman"/>
      <w:sz w:val="24"/>
      <w:szCs w:val="24"/>
      <w:lang w:val="fr-FR"/>
    </w:rPr>
  </w:style>
  <w:style w:type="character" w:customStyle="1" w:styleId="Balk5Char">
    <w:name w:val="Başlık 5 Char"/>
    <w:basedOn w:val="VarsaylanParagrafYazTipi"/>
    <w:link w:val="Balk5"/>
    <w:uiPriority w:val="99"/>
    <w:rsid w:val="009F4766"/>
    <w:rPr>
      <w:rFonts w:ascii="Arial" w:eastAsia="Times New Roman" w:hAnsi="Arial" w:cs="Arial"/>
      <w:sz w:val="22"/>
      <w:szCs w:val="22"/>
      <w:lang w:val="fr-FR"/>
    </w:rPr>
  </w:style>
  <w:style w:type="character" w:customStyle="1" w:styleId="Balk6Char">
    <w:name w:val="Başlık 6 Char"/>
    <w:basedOn w:val="VarsaylanParagrafYazTipi"/>
    <w:link w:val="Balk6"/>
    <w:uiPriority w:val="99"/>
    <w:rsid w:val="009F4766"/>
    <w:rPr>
      <w:rFonts w:ascii="Arial" w:eastAsia="Times New Roman" w:hAnsi="Arial" w:cs="Arial"/>
      <w:i/>
      <w:iCs/>
      <w:sz w:val="22"/>
      <w:szCs w:val="22"/>
      <w:lang w:val="fr-FR"/>
    </w:rPr>
  </w:style>
  <w:style w:type="character" w:customStyle="1" w:styleId="Balk7Char">
    <w:name w:val="Başlık 7 Char"/>
    <w:basedOn w:val="VarsaylanParagrafYazTipi"/>
    <w:link w:val="Balk7"/>
    <w:uiPriority w:val="99"/>
    <w:rsid w:val="009F4766"/>
    <w:rPr>
      <w:rFonts w:ascii="Arial" w:eastAsia="Times New Roman" w:hAnsi="Arial" w:cs="Arial"/>
      <w:lang w:val="fr-FR"/>
    </w:rPr>
  </w:style>
  <w:style w:type="character" w:customStyle="1" w:styleId="Balk8Char">
    <w:name w:val="Başlık 8 Char"/>
    <w:basedOn w:val="VarsaylanParagrafYazTipi"/>
    <w:link w:val="Balk8"/>
    <w:uiPriority w:val="99"/>
    <w:rsid w:val="009F4766"/>
    <w:rPr>
      <w:rFonts w:ascii="Arial" w:eastAsia="Times New Roman" w:hAnsi="Arial" w:cs="Arial"/>
      <w:i/>
      <w:iCs/>
      <w:lang w:val="fr-FR"/>
    </w:rPr>
  </w:style>
  <w:style w:type="character" w:customStyle="1" w:styleId="Balk9Char">
    <w:name w:val="Başlık 9 Char"/>
    <w:basedOn w:val="VarsaylanParagrafYazTipi"/>
    <w:link w:val="Balk9"/>
    <w:uiPriority w:val="99"/>
    <w:rsid w:val="009F4766"/>
    <w:rPr>
      <w:rFonts w:ascii="Arial" w:eastAsia="Times New Roman" w:hAnsi="Arial" w:cs="Arial"/>
      <w:i/>
      <w:iCs/>
      <w:sz w:val="18"/>
      <w:szCs w:val="18"/>
      <w:lang w:val="fr-FR"/>
    </w:rPr>
  </w:style>
  <w:style w:type="paragraph" w:customStyle="1" w:styleId="Text1">
    <w:name w:val="Text 1"/>
    <w:basedOn w:val="Normal"/>
    <w:uiPriority w:val="99"/>
    <w:rsid w:val="009F4766"/>
    <w:pPr>
      <w:widowControl/>
      <w:autoSpaceDE w:val="0"/>
      <w:autoSpaceDN w:val="0"/>
      <w:spacing w:before="120" w:after="120"/>
      <w:ind w:left="851"/>
      <w:jc w:val="both"/>
    </w:pPr>
    <w:rPr>
      <w:rFonts w:eastAsia="Times New Roman" w:cs="Times New Roman"/>
      <w:color w:val="auto"/>
      <w:lang w:val="fr-FR"/>
    </w:rPr>
  </w:style>
  <w:style w:type="paragraph" w:customStyle="1" w:styleId="Text2">
    <w:name w:val="Text 2"/>
    <w:basedOn w:val="Normal"/>
    <w:uiPriority w:val="99"/>
    <w:rsid w:val="009F4766"/>
    <w:pPr>
      <w:widowControl/>
      <w:autoSpaceDE w:val="0"/>
      <w:autoSpaceDN w:val="0"/>
      <w:spacing w:before="120" w:after="120"/>
      <w:ind w:left="851"/>
      <w:jc w:val="both"/>
    </w:pPr>
    <w:rPr>
      <w:rFonts w:eastAsia="Times New Roman" w:cs="Times New Roman"/>
      <w:color w:val="auto"/>
      <w:lang w:val="fr-FR"/>
    </w:rPr>
  </w:style>
  <w:style w:type="paragraph" w:customStyle="1" w:styleId="Text3">
    <w:name w:val="Text 3"/>
    <w:basedOn w:val="Normal"/>
    <w:uiPriority w:val="99"/>
    <w:rsid w:val="009F4766"/>
    <w:pPr>
      <w:widowControl/>
      <w:autoSpaceDE w:val="0"/>
      <w:autoSpaceDN w:val="0"/>
      <w:spacing w:before="120" w:after="120"/>
      <w:ind w:left="851"/>
      <w:jc w:val="both"/>
    </w:pPr>
    <w:rPr>
      <w:rFonts w:eastAsia="Times New Roman" w:cs="Times New Roman"/>
      <w:color w:val="auto"/>
      <w:lang w:val="fr-FR"/>
    </w:rPr>
  </w:style>
  <w:style w:type="paragraph" w:customStyle="1" w:styleId="Text4">
    <w:name w:val="Text 4"/>
    <w:basedOn w:val="Normal"/>
    <w:uiPriority w:val="99"/>
    <w:rsid w:val="009F4766"/>
    <w:pPr>
      <w:widowControl/>
      <w:autoSpaceDE w:val="0"/>
      <w:autoSpaceDN w:val="0"/>
      <w:spacing w:before="120" w:after="120"/>
      <w:ind w:left="851"/>
      <w:jc w:val="both"/>
    </w:pPr>
    <w:rPr>
      <w:rFonts w:eastAsia="Times New Roman" w:cs="Times New Roman"/>
      <w:color w:val="auto"/>
      <w:lang w:val="fr-FR"/>
    </w:rPr>
  </w:style>
  <w:style w:type="paragraph" w:customStyle="1" w:styleId="Annexetitreacte">
    <w:name w:val="Annexe titre (acte)"/>
    <w:basedOn w:val="Normal"/>
    <w:next w:val="Normal"/>
    <w:uiPriority w:val="99"/>
    <w:rsid w:val="009F4766"/>
    <w:pPr>
      <w:widowControl/>
      <w:autoSpaceDE w:val="0"/>
      <w:autoSpaceDN w:val="0"/>
      <w:spacing w:before="120" w:after="120"/>
      <w:jc w:val="center"/>
    </w:pPr>
    <w:rPr>
      <w:rFonts w:eastAsia="Times New Roman" w:cs="Times New Roman"/>
      <w:b/>
      <w:bCs/>
      <w:color w:val="auto"/>
      <w:u w:val="single"/>
      <w:lang w:val="fr-FR"/>
    </w:rPr>
  </w:style>
  <w:style w:type="paragraph" w:customStyle="1" w:styleId="Annexetitreexposglobal">
    <w:name w:val="Annexe titre (exposé global)"/>
    <w:basedOn w:val="Normal"/>
    <w:next w:val="Normal"/>
    <w:uiPriority w:val="99"/>
    <w:rsid w:val="009F4766"/>
    <w:pPr>
      <w:widowControl/>
      <w:autoSpaceDE w:val="0"/>
      <w:autoSpaceDN w:val="0"/>
      <w:spacing w:before="120" w:after="120"/>
      <w:jc w:val="center"/>
    </w:pPr>
    <w:rPr>
      <w:rFonts w:eastAsia="Times New Roman" w:cs="Times New Roman"/>
      <w:b/>
      <w:bCs/>
      <w:color w:val="auto"/>
      <w:u w:val="single"/>
      <w:lang w:val="fr-FR"/>
    </w:rPr>
  </w:style>
  <w:style w:type="paragraph" w:customStyle="1" w:styleId="Annexetitreexpos">
    <w:name w:val="Annexe titre (exposé)"/>
    <w:basedOn w:val="Normal"/>
    <w:next w:val="Normal"/>
    <w:uiPriority w:val="99"/>
    <w:rsid w:val="009F4766"/>
    <w:pPr>
      <w:widowControl/>
      <w:autoSpaceDE w:val="0"/>
      <w:autoSpaceDN w:val="0"/>
      <w:spacing w:before="120" w:after="120"/>
      <w:jc w:val="center"/>
    </w:pPr>
    <w:rPr>
      <w:rFonts w:eastAsia="Times New Roman" w:cs="Times New Roman"/>
      <w:b/>
      <w:bCs/>
      <w:color w:val="auto"/>
      <w:u w:val="single"/>
      <w:lang w:val="fr-FR"/>
    </w:rPr>
  </w:style>
  <w:style w:type="paragraph" w:customStyle="1" w:styleId="Annexetitrefichefinacte">
    <w:name w:val="Annexe titre (fiche fin. acte)"/>
    <w:basedOn w:val="Normal"/>
    <w:next w:val="Normal"/>
    <w:uiPriority w:val="99"/>
    <w:rsid w:val="009F4766"/>
    <w:pPr>
      <w:widowControl/>
      <w:autoSpaceDE w:val="0"/>
      <w:autoSpaceDN w:val="0"/>
      <w:spacing w:before="120" w:after="120"/>
      <w:jc w:val="center"/>
    </w:pPr>
    <w:rPr>
      <w:rFonts w:eastAsia="Times New Roman" w:cs="Times New Roman"/>
      <w:b/>
      <w:bCs/>
      <w:color w:val="auto"/>
      <w:u w:val="single"/>
      <w:lang w:val="fr-FR"/>
    </w:rPr>
  </w:style>
  <w:style w:type="paragraph" w:customStyle="1" w:styleId="Annexetitrefichefinglobale">
    <w:name w:val="Annexe titre (fiche fin. globale)"/>
    <w:basedOn w:val="Normal"/>
    <w:next w:val="Normal"/>
    <w:uiPriority w:val="99"/>
    <w:rsid w:val="009F4766"/>
    <w:pPr>
      <w:widowControl/>
      <w:autoSpaceDE w:val="0"/>
      <w:autoSpaceDN w:val="0"/>
      <w:spacing w:before="120" w:after="120"/>
      <w:jc w:val="center"/>
    </w:pPr>
    <w:rPr>
      <w:rFonts w:eastAsia="Times New Roman" w:cs="Times New Roman"/>
      <w:b/>
      <w:bCs/>
      <w:color w:val="auto"/>
      <w:u w:val="single"/>
      <w:lang w:val="fr-FR"/>
    </w:rPr>
  </w:style>
  <w:style w:type="paragraph" w:customStyle="1" w:styleId="Annexetitreglobale">
    <w:name w:val="Annexe titre (globale)"/>
    <w:basedOn w:val="Normal"/>
    <w:next w:val="Normal"/>
    <w:uiPriority w:val="99"/>
    <w:rsid w:val="009F4766"/>
    <w:pPr>
      <w:widowControl/>
      <w:autoSpaceDE w:val="0"/>
      <w:autoSpaceDN w:val="0"/>
      <w:spacing w:before="120" w:after="120"/>
      <w:jc w:val="center"/>
    </w:pPr>
    <w:rPr>
      <w:rFonts w:eastAsia="Times New Roman" w:cs="Times New Roman"/>
      <w:b/>
      <w:bCs/>
      <w:color w:val="auto"/>
      <w:u w:val="single"/>
      <w:lang w:val="fr-FR"/>
    </w:rPr>
  </w:style>
  <w:style w:type="paragraph" w:customStyle="1" w:styleId="Applicationdirecte">
    <w:name w:val="Application directe"/>
    <w:basedOn w:val="Normal"/>
    <w:next w:val="Fait"/>
    <w:uiPriority w:val="99"/>
    <w:rsid w:val="009F4766"/>
    <w:pPr>
      <w:widowControl/>
      <w:autoSpaceDE w:val="0"/>
      <w:autoSpaceDN w:val="0"/>
      <w:spacing w:before="480" w:after="120"/>
      <w:jc w:val="both"/>
    </w:pPr>
    <w:rPr>
      <w:rFonts w:eastAsia="Times New Roman" w:cs="Times New Roman"/>
      <w:color w:val="auto"/>
      <w:lang w:val="fr-FR"/>
    </w:rPr>
  </w:style>
  <w:style w:type="paragraph" w:customStyle="1" w:styleId="Fait">
    <w:name w:val="Fait à"/>
    <w:basedOn w:val="Normal"/>
    <w:next w:val="Institutionquisigne"/>
    <w:uiPriority w:val="99"/>
    <w:rsid w:val="009F4766"/>
    <w:pPr>
      <w:keepNext/>
      <w:widowControl/>
      <w:autoSpaceDE w:val="0"/>
      <w:autoSpaceDN w:val="0"/>
      <w:spacing w:before="120"/>
      <w:jc w:val="both"/>
    </w:pPr>
    <w:rPr>
      <w:rFonts w:eastAsia="Times New Roman" w:cs="Times New Roman"/>
      <w:color w:val="auto"/>
      <w:lang w:val="fr-FR"/>
    </w:rPr>
  </w:style>
  <w:style w:type="paragraph" w:customStyle="1" w:styleId="Institutionquisigne">
    <w:name w:val="Institution qui signe"/>
    <w:basedOn w:val="Normal"/>
    <w:next w:val="Personnequisigne"/>
    <w:uiPriority w:val="99"/>
    <w:rsid w:val="009F4766"/>
    <w:pPr>
      <w:keepNext/>
      <w:widowControl/>
      <w:tabs>
        <w:tab w:val="left" w:pos="4253"/>
      </w:tabs>
      <w:autoSpaceDE w:val="0"/>
      <w:autoSpaceDN w:val="0"/>
      <w:spacing w:before="720"/>
      <w:jc w:val="both"/>
    </w:pPr>
    <w:rPr>
      <w:rFonts w:eastAsia="Times New Roman" w:cs="Times New Roman"/>
      <w:i/>
      <w:iCs/>
      <w:color w:val="auto"/>
      <w:lang w:val="fr-FR"/>
    </w:rPr>
  </w:style>
  <w:style w:type="paragraph" w:customStyle="1" w:styleId="Personnequisigne">
    <w:name w:val="Personne qui signe"/>
    <w:basedOn w:val="Normal"/>
    <w:next w:val="Institutionquisigne"/>
    <w:uiPriority w:val="99"/>
    <w:rsid w:val="009F4766"/>
    <w:pPr>
      <w:widowControl/>
      <w:tabs>
        <w:tab w:val="left" w:pos="4253"/>
      </w:tabs>
      <w:autoSpaceDE w:val="0"/>
      <w:autoSpaceDN w:val="0"/>
    </w:pPr>
    <w:rPr>
      <w:rFonts w:eastAsia="Times New Roman" w:cs="Times New Roman"/>
      <w:i/>
      <w:iCs/>
      <w:color w:val="auto"/>
      <w:lang w:val="fr-FR"/>
    </w:rPr>
  </w:style>
  <w:style w:type="paragraph" w:styleId="ResimYazs">
    <w:name w:val="caption"/>
    <w:basedOn w:val="Normal"/>
    <w:next w:val="Normal"/>
    <w:uiPriority w:val="99"/>
    <w:qFormat/>
    <w:rsid w:val="009F4766"/>
    <w:pPr>
      <w:widowControl/>
      <w:autoSpaceDE w:val="0"/>
      <w:autoSpaceDN w:val="0"/>
      <w:spacing w:before="120" w:after="120"/>
      <w:jc w:val="both"/>
    </w:pPr>
    <w:rPr>
      <w:rFonts w:eastAsia="Times New Roman" w:cs="Times New Roman"/>
      <w:b/>
      <w:bCs/>
      <w:color w:val="auto"/>
      <w:lang w:val="fr-FR"/>
    </w:rPr>
  </w:style>
  <w:style w:type="paragraph" w:customStyle="1" w:styleId="ChapterTitle">
    <w:name w:val="ChapterTitle"/>
    <w:basedOn w:val="Normal"/>
    <w:next w:val="Normal"/>
    <w:uiPriority w:val="99"/>
    <w:rsid w:val="009F4766"/>
    <w:pPr>
      <w:keepNext/>
      <w:widowControl/>
      <w:autoSpaceDE w:val="0"/>
      <w:autoSpaceDN w:val="0"/>
      <w:spacing w:before="120" w:after="360"/>
      <w:jc w:val="center"/>
    </w:pPr>
    <w:rPr>
      <w:rFonts w:eastAsia="Times New Roman" w:cs="Times New Roman"/>
      <w:b/>
      <w:bCs/>
      <w:color w:val="auto"/>
      <w:sz w:val="32"/>
      <w:szCs w:val="32"/>
      <w:lang w:val="fr-FR"/>
    </w:rPr>
  </w:style>
  <w:style w:type="character" w:styleId="AklamaBavurusu">
    <w:name w:val="annotation reference"/>
    <w:uiPriority w:val="99"/>
    <w:rsid w:val="009F4766"/>
    <w:rPr>
      <w:sz w:val="16"/>
      <w:szCs w:val="16"/>
    </w:rPr>
  </w:style>
  <w:style w:type="paragraph" w:styleId="AklamaMetni">
    <w:name w:val="annotation text"/>
    <w:basedOn w:val="Normal"/>
    <w:link w:val="AklamaMetniChar"/>
    <w:uiPriority w:val="99"/>
    <w:rsid w:val="009F4766"/>
    <w:pPr>
      <w:widowControl/>
      <w:autoSpaceDE w:val="0"/>
      <w:autoSpaceDN w:val="0"/>
      <w:spacing w:before="120" w:after="120"/>
      <w:jc w:val="both"/>
    </w:pPr>
    <w:rPr>
      <w:rFonts w:eastAsia="Times New Roman" w:cs="Times New Roman"/>
      <w:color w:val="auto"/>
      <w:sz w:val="20"/>
      <w:szCs w:val="20"/>
      <w:lang w:val="fr-FR"/>
    </w:rPr>
  </w:style>
  <w:style w:type="character" w:customStyle="1" w:styleId="AklamaMetniChar">
    <w:name w:val="Açıklama Metni Char"/>
    <w:basedOn w:val="VarsaylanParagrafYazTipi"/>
    <w:link w:val="AklamaMetni"/>
    <w:uiPriority w:val="99"/>
    <w:rsid w:val="009F4766"/>
    <w:rPr>
      <w:rFonts w:eastAsia="Times New Roman"/>
      <w:lang w:val="fr-FR"/>
    </w:rPr>
  </w:style>
  <w:style w:type="paragraph" w:customStyle="1" w:styleId="Confidence">
    <w:name w:val="Confidence"/>
    <w:basedOn w:val="Normal"/>
    <w:next w:val="Normal"/>
    <w:uiPriority w:val="99"/>
    <w:rsid w:val="009F4766"/>
    <w:pPr>
      <w:widowControl/>
      <w:autoSpaceDE w:val="0"/>
      <w:autoSpaceDN w:val="0"/>
      <w:spacing w:before="360" w:after="120"/>
      <w:jc w:val="center"/>
    </w:pPr>
    <w:rPr>
      <w:rFonts w:eastAsia="Times New Roman" w:cs="Times New Roman"/>
      <w:color w:val="auto"/>
      <w:lang w:val="fr-FR"/>
    </w:rPr>
  </w:style>
  <w:style w:type="paragraph" w:customStyle="1" w:styleId="Corrigendum">
    <w:name w:val="Corrigendum"/>
    <w:basedOn w:val="Normal"/>
    <w:next w:val="Normal"/>
    <w:uiPriority w:val="99"/>
    <w:rsid w:val="009F4766"/>
    <w:pPr>
      <w:widowControl/>
      <w:autoSpaceDE w:val="0"/>
      <w:autoSpaceDN w:val="0"/>
      <w:spacing w:after="240"/>
    </w:pPr>
    <w:rPr>
      <w:rFonts w:eastAsia="Times New Roman" w:cs="Times New Roman"/>
      <w:color w:val="auto"/>
      <w:lang w:val="fr-FR"/>
    </w:rPr>
  </w:style>
  <w:style w:type="paragraph" w:customStyle="1" w:styleId="Emission">
    <w:name w:val="Emission"/>
    <w:basedOn w:val="Normal"/>
    <w:next w:val="Rfrenceinstitutionelle"/>
    <w:uiPriority w:val="99"/>
    <w:rsid w:val="009F4766"/>
    <w:pPr>
      <w:widowControl/>
      <w:autoSpaceDE w:val="0"/>
      <w:autoSpaceDN w:val="0"/>
      <w:ind w:left="5103"/>
    </w:pPr>
    <w:rPr>
      <w:rFonts w:eastAsia="Times New Roman" w:cs="Times New Roman"/>
      <w:color w:val="auto"/>
      <w:lang w:val="fr-FR"/>
    </w:rPr>
  </w:style>
  <w:style w:type="paragraph" w:customStyle="1" w:styleId="Rfrenceinstitutionelle">
    <w:name w:val="Référence institutionelle"/>
    <w:basedOn w:val="Normal"/>
    <w:next w:val="Statut"/>
    <w:uiPriority w:val="99"/>
    <w:rsid w:val="009F4766"/>
    <w:pPr>
      <w:widowControl/>
      <w:autoSpaceDE w:val="0"/>
      <w:autoSpaceDN w:val="0"/>
      <w:spacing w:after="240"/>
      <w:ind w:left="5103"/>
    </w:pPr>
    <w:rPr>
      <w:rFonts w:eastAsia="Times New Roman" w:cs="Times New Roman"/>
      <w:color w:val="auto"/>
      <w:lang w:val="fr-FR"/>
    </w:rPr>
  </w:style>
  <w:style w:type="paragraph" w:customStyle="1" w:styleId="Statut">
    <w:name w:val="Statut"/>
    <w:basedOn w:val="Normal"/>
    <w:next w:val="Typedudocument"/>
    <w:uiPriority w:val="99"/>
    <w:rsid w:val="009F4766"/>
    <w:pPr>
      <w:widowControl/>
      <w:autoSpaceDE w:val="0"/>
      <w:autoSpaceDN w:val="0"/>
      <w:spacing w:before="360"/>
      <w:jc w:val="center"/>
    </w:pPr>
    <w:rPr>
      <w:rFonts w:eastAsia="Times New Roman" w:cs="Times New Roman"/>
      <w:color w:val="auto"/>
      <w:lang w:val="fr-FR"/>
    </w:rPr>
  </w:style>
  <w:style w:type="paragraph" w:customStyle="1" w:styleId="Typedudocument">
    <w:name w:val="Type du document"/>
    <w:basedOn w:val="Normal"/>
    <w:next w:val="Datedadoption"/>
    <w:uiPriority w:val="99"/>
    <w:rsid w:val="009F4766"/>
    <w:pPr>
      <w:widowControl/>
      <w:autoSpaceDE w:val="0"/>
      <w:autoSpaceDN w:val="0"/>
      <w:spacing w:before="360"/>
      <w:jc w:val="center"/>
    </w:pPr>
    <w:rPr>
      <w:rFonts w:eastAsia="Times New Roman" w:cs="Times New Roman"/>
      <w:b/>
      <w:bCs/>
      <w:color w:val="auto"/>
      <w:lang w:val="fr-FR"/>
    </w:rPr>
  </w:style>
  <w:style w:type="paragraph" w:customStyle="1" w:styleId="Datedadoption">
    <w:name w:val="Date d'adoption"/>
    <w:basedOn w:val="Normal"/>
    <w:next w:val="Titreobjet"/>
    <w:uiPriority w:val="99"/>
    <w:rsid w:val="009F4766"/>
    <w:pPr>
      <w:widowControl/>
      <w:autoSpaceDE w:val="0"/>
      <w:autoSpaceDN w:val="0"/>
      <w:spacing w:before="360"/>
      <w:jc w:val="center"/>
    </w:pPr>
    <w:rPr>
      <w:rFonts w:eastAsia="Times New Roman" w:cs="Times New Roman"/>
      <w:b/>
      <w:bCs/>
      <w:color w:val="auto"/>
      <w:lang w:val="fr-FR"/>
    </w:rPr>
  </w:style>
  <w:style w:type="paragraph" w:customStyle="1" w:styleId="Titreobjet">
    <w:name w:val="Titre objet"/>
    <w:basedOn w:val="Normal"/>
    <w:next w:val="Sous-titreobjet"/>
    <w:uiPriority w:val="99"/>
    <w:rsid w:val="009F4766"/>
    <w:pPr>
      <w:widowControl/>
      <w:autoSpaceDE w:val="0"/>
      <w:autoSpaceDN w:val="0"/>
      <w:spacing w:before="360" w:after="360"/>
      <w:jc w:val="center"/>
    </w:pPr>
    <w:rPr>
      <w:rFonts w:eastAsia="Times New Roman" w:cs="Times New Roman"/>
      <w:b/>
      <w:bCs/>
      <w:color w:val="auto"/>
      <w:lang w:val="fr-FR"/>
    </w:rPr>
  </w:style>
  <w:style w:type="paragraph" w:customStyle="1" w:styleId="Sous-titreobjet">
    <w:name w:val="Sous-titre objet"/>
    <w:basedOn w:val="Titreobjet"/>
    <w:uiPriority w:val="99"/>
    <w:rsid w:val="009F4766"/>
    <w:pPr>
      <w:spacing w:before="0" w:after="0"/>
    </w:pPr>
  </w:style>
  <w:style w:type="paragraph" w:customStyle="1" w:styleId="Exposdesmotifstitre">
    <w:name w:val="Exposé des motifs titre"/>
    <w:basedOn w:val="Normal"/>
    <w:next w:val="Normal"/>
    <w:uiPriority w:val="99"/>
    <w:rsid w:val="009F4766"/>
    <w:pPr>
      <w:widowControl/>
      <w:autoSpaceDE w:val="0"/>
      <w:autoSpaceDN w:val="0"/>
      <w:spacing w:before="120" w:after="120"/>
      <w:jc w:val="center"/>
    </w:pPr>
    <w:rPr>
      <w:rFonts w:eastAsia="Times New Roman" w:cs="Times New Roman"/>
      <w:b/>
      <w:bCs/>
      <w:color w:val="auto"/>
      <w:u w:val="single"/>
      <w:lang w:val="fr-FR"/>
    </w:rPr>
  </w:style>
  <w:style w:type="paragraph" w:customStyle="1" w:styleId="Exposdesmotifstitreglobal">
    <w:name w:val="Exposé des motifs titre (global)"/>
    <w:basedOn w:val="Normal"/>
    <w:next w:val="Normal"/>
    <w:uiPriority w:val="99"/>
    <w:rsid w:val="009F4766"/>
    <w:pPr>
      <w:widowControl/>
      <w:autoSpaceDE w:val="0"/>
      <w:autoSpaceDN w:val="0"/>
      <w:spacing w:before="120" w:after="120"/>
      <w:jc w:val="center"/>
    </w:pPr>
    <w:rPr>
      <w:rFonts w:eastAsia="Times New Roman" w:cs="Times New Roman"/>
      <w:b/>
      <w:bCs/>
      <w:color w:val="auto"/>
      <w:u w:val="single"/>
      <w:lang w:val="fr-FR"/>
    </w:rPr>
  </w:style>
  <w:style w:type="paragraph" w:customStyle="1" w:styleId="FichedimpactPMEtitre">
    <w:name w:val="Fiche d'impact PME titre"/>
    <w:basedOn w:val="Normal"/>
    <w:next w:val="Normal"/>
    <w:uiPriority w:val="99"/>
    <w:rsid w:val="009F4766"/>
    <w:pPr>
      <w:widowControl/>
      <w:autoSpaceDE w:val="0"/>
      <w:autoSpaceDN w:val="0"/>
      <w:spacing w:before="120" w:after="120"/>
      <w:jc w:val="center"/>
    </w:pPr>
    <w:rPr>
      <w:rFonts w:eastAsia="Times New Roman" w:cs="Times New Roman"/>
      <w:b/>
      <w:bCs/>
      <w:color w:val="auto"/>
      <w:lang w:val="fr-FR"/>
    </w:rPr>
  </w:style>
  <w:style w:type="paragraph" w:customStyle="1" w:styleId="Fichefinanciretextetable">
    <w:name w:val="Fiche financière texte (table)"/>
    <w:basedOn w:val="Normal"/>
    <w:uiPriority w:val="99"/>
    <w:rsid w:val="009F4766"/>
    <w:pPr>
      <w:widowControl/>
      <w:autoSpaceDE w:val="0"/>
      <w:autoSpaceDN w:val="0"/>
    </w:pPr>
    <w:rPr>
      <w:rFonts w:eastAsia="Times New Roman" w:cs="Times New Roman"/>
      <w:color w:val="auto"/>
      <w:sz w:val="20"/>
      <w:szCs w:val="20"/>
      <w:lang w:val="fr-FR"/>
    </w:rPr>
  </w:style>
  <w:style w:type="paragraph" w:customStyle="1" w:styleId="Fichefinanciretitre">
    <w:name w:val="Fiche financière titre"/>
    <w:basedOn w:val="Normal"/>
    <w:next w:val="Normal"/>
    <w:uiPriority w:val="99"/>
    <w:rsid w:val="009F4766"/>
    <w:pPr>
      <w:widowControl/>
      <w:autoSpaceDE w:val="0"/>
      <w:autoSpaceDN w:val="0"/>
      <w:spacing w:before="120" w:after="120"/>
      <w:jc w:val="center"/>
    </w:pPr>
    <w:rPr>
      <w:rFonts w:eastAsia="Times New Roman" w:cs="Times New Roman"/>
      <w:b/>
      <w:bCs/>
      <w:color w:val="auto"/>
      <w:u w:val="single"/>
      <w:lang w:val="fr-FR"/>
    </w:rPr>
  </w:style>
  <w:style w:type="paragraph" w:customStyle="1" w:styleId="Fichefinanciretitreactetable">
    <w:name w:val="Fiche financière titre (acte table)"/>
    <w:basedOn w:val="Normal"/>
    <w:next w:val="Normal"/>
    <w:uiPriority w:val="99"/>
    <w:rsid w:val="009F4766"/>
    <w:pPr>
      <w:widowControl/>
      <w:autoSpaceDE w:val="0"/>
      <w:autoSpaceDN w:val="0"/>
      <w:spacing w:before="120" w:after="120"/>
      <w:jc w:val="center"/>
    </w:pPr>
    <w:rPr>
      <w:rFonts w:eastAsia="Times New Roman" w:cs="Times New Roman"/>
      <w:b/>
      <w:bCs/>
      <w:color w:val="auto"/>
      <w:sz w:val="40"/>
      <w:szCs w:val="40"/>
      <w:lang w:val="fr-FR"/>
    </w:rPr>
  </w:style>
  <w:style w:type="paragraph" w:customStyle="1" w:styleId="Fichefinanciretitreacte">
    <w:name w:val="Fiche financière titre (acte)"/>
    <w:basedOn w:val="Normal"/>
    <w:next w:val="Normal"/>
    <w:uiPriority w:val="99"/>
    <w:rsid w:val="009F4766"/>
    <w:pPr>
      <w:widowControl/>
      <w:autoSpaceDE w:val="0"/>
      <w:autoSpaceDN w:val="0"/>
      <w:spacing w:before="120" w:after="120"/>
      <w:jc w:val="center"/>
    </w:pPr>
    <w:rPr>
      <w:rFonts w:eastAsia="Times New Roman" w:cs="Times New Roman"/>
      <w:b/>
      <w:bCs/>
      <w:color w:val="auto"/>
      <w:u w:val="single"/>
      <w:lang w:val="fr-FR"/>
    </w:rPr>
  </w:style>
  <w:style w:type="paragraph" w:customStyle="1" w:styleId="Fichefinanciretitretable">
    <w:name w:val="Fiche financière titre (table)"/>
    <w:basedOn w:val="Normal"/>
    <w:uiPriority w:val="99"/>
    <w:rsid w:val="009F4766"/>
    <w:pPr>
      <w:widowControl/>
      <w:autoSpaceDE w:val="0"/>
      <w:autoSpaceDN w:val="0"/>
      <w:spacing w:before="120" w:after="120"/>
      <w:jc w:val="center"/>
    </w:pPr>
    <w:rPr>
      <w:rFonts w:eastAsia="Times New Roman" w:cs="Times New Roman"/>
      <w:b/>
      <w:bCs/>
      <w:color w:val="auto"/>
      <w:sz w:val="40"/>
      <w:szCs w:val="40"/>
      <w:lang w:val="fr-FR"/>
    </w:rPr>
  </w:style>
  <w:style w:type="paragraph" w:customStyle="1" w:styleId="Formuledadoption">
    <w:name w:val="Formule d'adoption"/>
    <w:basedOn w:val="Normal"/>
    <w:next w:val="Titrearticle"/>
    <w:uiPriority w:val="99"/>
    <w:rsid w:val="009F4766"/>
    <w:pPr>
      <w:keepNext/>
      <w:widowControl/>
      <w:autoSpaceDE w:val="0"/>
      <w:autoSpaceDN w:val="0"/>
      <w:spacing w:before="120" w:after="120"/>
      <w:jc w:val="both"/>
    </w:pPr>
    <w:rPr>
      <w:rFonts w:eastAsia="Times New Roman" w:cs="Times New Roman"/>
      <w:color w:val="auto"/>
      <w:lang w:val="fr-FR"/>
    </w:rPr>
  </w:style>
  <w:style w:type="paragraph" w:customStyle="1" w:styleId="Titrearticle">
    <w:name w:val="Titre article"/>
    <w:basedOn w:val="Normal"/>
    <w:next w:val="Normal"/>
    <w:uiPriority w:val="99"/>
    <w:rsid w:val="009F4766"/>
    <w:pPr>
      <w:keepNext/>
      <w:widowControl/>
      <w:autoSpaceDE w:val="0"/>
      <w:autoSpaceDN w:val="0"/>
      <w:spacing w:before="360" w:after="120"/>
      <w:jc w:val="center"/>
    </w:pPr>
    <w:rPr>
      <w:rFonts w:eastAsia="Times New Roman" w:cs="Times New Roman"/>
      <w:i/>
      <w:iCs/>
      <w:color w:val="auto"/>
      <w:lang w:val="fr-FR"/>
    </w:rPr>
  </w:style>
  <w:style w:type="paragraph" w:customStyle="1" w:styleId="Institutionquiagit">
    <w:name w:val="Institution qui agit"/>
    <w:basedOn w:val="Normal"/>
    <w:next w:val="Normal"/>
    <w:uiPriority w:val="99"/>
    <w:rsid w:val="009F4766"/>
    <w:pPr>
      <w:keepNext/>
      <w:widowControl/>
      <w:autoSpaceDE w:val="0"/>
      <w:autoSpaceDN w:val="0"/>
      <w:spacing w:before="600" w:after="120"/>
      <w:jc w:val="both"/>
    </w:pPr>
    <w:rPr>
      <w:rFonts w:eastAsia="Times New Roman" w:cs="Times New Roman"/>
      <w:color w:val="auto"/>
      <w:lang w:val="fr-FR"/>
    </w:rPr>
  </w:style>
  <w:style w:type="paragraph" w:customStyle="1" w:styleId="Langue">
    <w:name w:val="Langue"/>
    <w:basedOn w:val="Normal"/>
    <w:next w:val="Rfrenceinterne"/>
    <w:uiPriority w:val="99"/>
    <w:rsid w:val="009F4766"/>
    <w:pPr>
      <w:widowControl/>
      <w:autoSpaceDE w:val="0"/>
      <w:autoSpaceDN w:val="0"/>
      <w:spacing w:after="600"/>
      <w:jc w:val="center"/>
    </w:pPr>
    <w:rPr>
      <w:rFonts w:eastAsia="Times New Roman" w:cs="Times New Roman"/>
      <w:b/>
      <w:bCs/>
      <w:caps/>
      <w:color w:val="auto"/>
      <w:lang w:val="fr-FR"/>
    </w:rPr>
  </w:style>
  <w:style w:type="paragraph" w:customStyle="1" w:styleId="Rfrenceinterne">
    <w:name w:val="Référence interne"/>
    <w:basedOn w:val="Normal"/>
    <w:next w:val="Nomdelinstitution"/>
    <w:uiPriority w:val="99"/>
    <w:rsid w:val="009F4766"/>
    <w:pPr>
      <w:widowControl/>
      <w:autoSpaceDE w:val="0"/>
      <w:autoSpaceDN w:val="0"/>
      <w:spacing w:after="600"/>
      <w:jc w:val="center"/>
    </w:pPr>
    <w:rPr>
      <w:rFonts w:eastAsia="Times New Roman" w:cs="Times New Roman"/>
      <w:b/>
      <w:bCs/>
      <w:color w:val="auto"/>
      <w:lang w:val="fr-FR"/>
    </w:rPr>
  </w:style>
  <w:style w:type="paragraph" w:customStyle="1" w:styleId="Nomdelinstitution">
    <w:name w:val="Nom de l'institution"/>
    <w:basedOn w:val="Normal"/>
    <w:next w:val="Emission"/>
    <w:uiPriority w:val="99"/>
    <w:rsid w:val="009F4766"/>
    <w:pPr>
      <w:widowControl/>
      <w:autoSpaceDE w:val="0"/>
      <w:autoSpaceDN w:val="0"/>
    </w:pPr>
    <w:rPr>
      <w:rFonts w:ascii="Arial" w:eastAsia="Times New Roman" w:hAnsi="Arial" w:cs="Arial"/>
      <w:color w:val="auto"/>
      <w:lang w:val="fr-FR"/>
    </w:rPr>
  </w:style>
  <w:style w:type="paragraph" w:customStyle="1" w:styleId="Langueoriginale">
    <w:name w:val="Langue originale"/>
    <w:basedOn w:val="Normal"/>
    <w:next w:val="Phrasefinale"/>
    <w:uiPriority w:val="99"/>
    <w:rsid w:val="009F4766"/>
    <w:pPr>
      <w:widowControl/>
      <w:autoSpaceDE w:val="0"/>
      <w:autoSpaceDN w:val="0"/>
      <w:spacing w:before="360" w:after="120"/>
      <w:jc w:val="center"/>
    </w:pPr>
    <w:rPr>
      <w:rFonts w:eastAsia="Times New Roman" w:cs="Times New Roman"/>
      <w:caps/>
      <w:color w:val="auto"/>
      <w:lang w:val="fr-FR"/>
    </w:rPr>
  </w:style>
  <w:style w:type="paragraph" w:customStyle="1" w:styleId="Phrasefinale">
    <w:name w:val="Phrase finale"/>
    <w:basedOn w:val="Normal"/>
    <w:next w:val="Normal"/>
    <w:uiPriority w:val="99"/>
    <w:rsid w:val="009F4766"/>
    <w:pPr>
      <w:widowControl/>
      <w:autoSpaceDE w:val="0"/>
      <w:autoSpaceDN w:val="0"/>
      <w:spacing w:before="360"/>
      <w:jc w:val="center"/>
    </w:pPr>
    <w:rPr>
      <w:rFonts w:eastAsia="Times New Roman" w:cs="Times New Roman"/>
      <w:color w:val="auto"/>
      <w:lang w:val="fr-FR"/>
    </w:rPr>
  </w:style>
  <w:style w:type="paragraph" w:customStyle="1" w:styleId="ManualHeading1">
    <w:name w:val="Manual Heading 1"/>
    <w:basedOn w:val="Balk1"/>
    <w:next w:val="Text1"/>
    <w:uiPriority w:val="99"/>
    <w:rsid w:val="009F4766"/>
    <w:pPr>
      <w:tabs>
        <w:tab w:val="num" w:pos="851"/>
      </w:tabs>
      <w:ind w:left="851" w:hanging="851"/>
    </w:pPr>
  </w:style>
  <w:style w:type="paragraph" w:customStyle="1" w:styleId="ManualHeading2">
    <w:name w:val="Manual Heading 2"/>
    <w:basedOn w:val="Balk2"/>
    <w:next w:val="Text2"/>
    <w:uiPriority w:val="99"/>
    <w:rsid w:val="009F4766"/>
    <w:pPr>
      <w:tabs>
        <w:tab w:val="num" w:pos="851"/>
      </w:tabs>
    </w:pPr>
  </w:style>
  <w:style w:type="paragraph" w:customStyle="1" w:styleId="ManualHeading3">
    <w:name w:val="Manual Heading 3"/>
    <w:basedOn w:val="Balk3"/>
    <w:next w:val="Text3"/>
    <w:uiPriority w:val="99"/>
    <w:rsid w:val="009F4766"/>
    <w:pPr>
      <w:tabs>
        <w:tab w:val="num" w:pos="851"/>
      </w:tabs>
    </w:pPr>
  </w:style>
  <w:style w:type="paragraph" w:customStyle="1" w:styleId="ManualHeading4">
    <w:name w:val="Manual Heading 4"/>
    <w:basedOn w:val="Balk4"/>
    <w:next w:val="Text4"/>
    <w:uiPriority w:val="99"/>
    <w:rsid w:val="009F4766"/>
    <w:pPr>
      <w:tabs>
        <w:tab w:val="clear" w:pos="850"/>
        <w:tab w:val="num" w:pos="851"/>
      </w:tabs>
    </w:pPr>
  </w:style>
  <w:style w:type="paragraph" w:customStyle="1" w:styleId="ManualNumPar1">
    <w:name w:val="Manual NumPar 1"/>
    <w:basedOn w:val="Normal"/>
    <w:next w:val="Text1"/>
    <w:uiPriority w:val="99"/>
    <w:rsid w:val="009F4766"/>
    <w:pPr>
      <w:widowControl/>
      <w:autoSpaceDE w:val="0"/>
      <w:autoSpaceDN w:val="0"/>
      <w:spacing w:before="120" w:after="120"/>
      <w:ind w:left="851" w:hanging="851"/>
      <w:jc w:val="both"/>
    </w:pPr>
    <w:rPr>
      <w:rFonts w:eastAsia="Times New Roman" w:cs="Times New Roman"/>
      <w:color w:val="auto"/>
      <w:lang w:val="fr-FR"/>
    </w:rPr>
  </w:style>
  <w:style w:type="paragraph" w:customStyle="1" w:styleId="ManualNumPar2">
    <w:name w:val="Manual NumPar 2"/>
    <w:basedOn w:val="Normal"/>
    <w:next w:val="Text2"/>
    <w:uiPriority w:val="99"/>
    <w:rsid w:val="009F4766"/>
    <w:pPr>
      <w:widowControl/>
      <w:autoSpaceDE w:val="0"/>
      <w:autoSpaceDN w:val="0"/>
      <w:spacing w:before="120" w:after="120"/>
      <w:ind w:left="851" w:hanging="851"/>
      <w:jc w:val="both"/>
    </w:pPr>
    <w:rPr>
      <w:rFonts w:eastAsia="Times New Roman" w:cs="Times New Roman"/>
      <w:color w:val="auto"/>
      <w:lang w:val="fr-FR"/>
    </w:rPr>
  </w:style>
  <w:style w:type="paragraph" w:customStyle="1" w:styleId="ManualNumPar3">
    <w:name w:val="Manual NumPar 3"/>
    <w:basedOn w:val="Normal"/>
    <w:next w:val="Text3"/>
    <w:uiPriority w:val="99"/>
    <w:rsid w:val="009F4766"/>
    <w:pPr>
      <w:widowControl/>
      <w:autoSpaceDE w:val="0"/>
      <w:autoSpaceDN w:val="0"/>
      <w:spacing w:before="120" w:after="120"/>
      <w:ind w:left="851" w:hanging="851"/>
      <w:jc w:val="both"/>
    </w:pPr>
    <w:rPr>
      <w:rFonts w:eastAsia="Times New Roman" w:cs="Times New Roman"/>
      <w:color w:val="auto"/>
      <w:lang w:val="fr-FR"/>
    </w:rPr>
  </w:style>
  <w:style w:type="paragraph" w:customStyle="1" w:styleId="ManualNumPar4">
    <w:name w:val="Manual NumPar 4"/>
    <w:basedOn w:val="Normal"/>
    <w:next w:val="Text4"/>
    <w:uiPriority w:val="99"/>
    <w:rsid w:val="009F4766"/>
    <w:pPr>
      <w:widowControl/>
      <w:autoSpaceDE w:val="0"/>
      <w:autoSpaceDN w:val="0"/>
      <w:spacing w:before="120" w:after="120"/>
      <w:ind w:left="851" w:hanging="851"/>
      <w:jc w:val="both"/>
    </w:pPr>
    <w:rPr>
      <w:rFonts w:eastAsia="Times New Roman" w:cs="Times New Roman"/>
      <w:color w:val="auto"/>
      <w:lang w:val="fr-FR"/>
    </w:rPr>
  </w:style>
  <w:style w:type="character" w:customStyle="1" w:styleId="Marker">
    <w:name w:val="Marker"/>
    <w:uiPriority w:val="99"/>
    <w:rsid w:val="009F4766"/>
    <w:rPr>
      <w:color w:val="0000FF"/>
    </w:rPr>
  </w:style>
  <w:style w:type="paragraph" w:customStyle="1" w:styleId="NormalRight">
    <w:name w:val="Normal Right"/>
    <w:basedOn w:val="Normal"/>
    <w:uiPriority w:val="99"/>
    <w:rsid w:val="009F4766"/>
    <w:pPr>
      <w:widowControl/>
      <w:autoSpaceDE w:val="0"/>
      <w:autoSpaceDN w:val="0"/>
      <w:spacing w:before="120" w:after="120"/>
      <w:jc w:val="right"/>
    </w:pPr>
    <w:rPr>
      <w:rFonts w:eastAsia="Times New Roman" w:cs="Times New Roman"/>
      <w:color w:val="auto"/>
      <w:lang w:val="fr-FR"/>
    </w:rPr>
  </w:style>
  <w:style w:type="paragraph" w:customStyle="1" w:styleId="NumPar1">
    <w:name w:val="NumPar 1"/>
    <w:basedOn w:val="Normal"/>
    <w:next w:val="Text1"/>
    <w:uiPriority w:val="99"/>
    <w:rsid w:val="009F4766"/>
    <w:pPr>
      <w:widowControl/>
      <w:numPr>
        <w:numId w:val="453"/>
      </w:numPr>
      <w:autoSpaceDE w:val="0"/>
      <w:autoSpaceDN w:val="0"/>
      <w:spacing w:before="120" w:after="120"/>
      <w:jc w:val="both"/>
    </w:pPr>
    <w:rPr>
      <w:rFonts w:eastAsia="Times New Roman" w:cs="Times New Roman"/>
      <w:color w:val="auto"/>
      <w:lang w:val="fr-FR"/>
    </w:rPr>
  </w:style>
  <w:style w:type="paragraph" w:customStyle="1" w:styleId="NumPar2">
    <w:name w:val="NumPar 2"/>
    <w:basedOn w:val="Normal"/>
    <w:next w:val="Text2"/>
    <w:uiPriority w:val="99"/>
    <w:rsid w:val="009F4766"/>
    <w:pPr>
      <w:widowControl/>
      <w:numPr>
        <w:ilvl w:val="1"/>
        <w:numId w:val="453"/>
      </w:numPr>
      <w:autoSpaceDE w:val="0"/>
      <w:autoSpaceDN w:val="0"/>
      <w:spacing w:before="120" w:after="120"/>
      <w:jc w:val="both"/>
    </w:pPr>
    <w:rPr>
      <w:rFonts w:eastAsia="Times New Roman" w:cs="Times New Roman"/>
      <w:color w:val="auto"/>
      <w:lang w:val="fr-FR"/>
    </w:rPr>
  </w:style>
  <w:style w:type="paragraph" w:customStyle="1" w:styleId="NumPar3">
    <w:name w:val="NumPar 3"/>
    <w:basedOn w:val="Normal"/>
    <w:next w:val="Text3"/>
    <w:uiPriority w:val="99"/>
    <w:rsid w:val="009F4766"/>
    <w:pPr>
      <w:widowControl/>
      <w:numPr>
        <w:ilvl w:val="2"/>
        <w:numId w:val="453"/>
      </w:numPr>
      <w:autoSpaceDE w:val="0"/>
      <w:autoSpaceDN w:val="0"/>
      <w:spacing w:before="120" w:after="120"/>
      <w:jc w:val="both"/>
    </w:pPr>
    <w:rPr>
      <w:rFonts w:eastAsia="Times New Roman" w:cs="Times New Roman"/>
      <w:color w:val="auto"/>
      <w:lang w:val="fr-FR"/>
    </w:rPr>
  </w:style>
  <w:style w:type="paragraph" w:customStyle="1" w:styleId="NumPar4">
    <w:name w:val="NumPar 4"/>
    <w:basedOn w:val="Normal"/>
    <w:next w:val="Text4"/>
    <w:uiPriority w:val="99"/>
    <w:rsid w:val="009F4766"/>
    <w:pPr>
      <w:widowControl/>
      <w:numPr>
        <w:ilvl w:val="3"/>
        <w:numId w:val="453"/>
      </w:numPr>
      <w:autoSpaceDE w:val="0"/>
      <w:autoSpaceDN w:val="0"/>
      <w:spacing w:before="120" w:after="120"/>
      <w:jc w:val="both"/>
    </w:pPr>
    <w:rPr>
      <w:rFonts w:eastAsia="Times New Roman" w:cs="Times New Roman"/>
      <w:color w:val="auto"/>
      <w:lang w:val="fr-FR"/>
    </w:rPr>
  </w:style>
  <w:style w:type="paragraph" w:customStyle="1" w:styleId="Objetexterne">
    <w:name w:val="Objet externe"/>
    <w:basedOn w:val="Normal"/>
    <w:next w:val="Normal"/>
    <w:uiPriority w:val="99"/>
    <w:rsid w:val="009F4766"/>
    <w:pPr>
      <w:widowControl/>
      <w:autoSpaceDE w:val="0"/>
      <w:autoSpaceDN w:val="0"/>
      <w:spacing w:before="120" w:after="120"/>
      <w:jc w:val="both"/>
    </w:pPr>
    <w:rPr>
      <w:rFonts w:eastAsia="Times New Roman" w:cs="Times New Roman"/>
      <w:i/>
      <w:iCs/>
      <w:caps/>
      <w:color w:val="auto"/>
      <w:lang w:val="fr-FR"/>
    </w:rPr>
  </w:style>
  <w:style w:type="character" w:styleId="SayfaNumaras">
    <w:name w:val="page number"/>
    <w:uiPriority w:val="99"/>
    <w:rsid w:val="009F4766"/>
  </w:style>
  <w:style w:type="paragraph" w:customStyle="1" w:styleId="PartTitle">
    <w:name w:val="PartTitle"/>
    <w:basedOn w:val="Normal"/>
    <w:next w:val="ChapterTitle"/>
    <w:uiPriority w:val="99"/>
    <w:rsid w:val="009F4766"/>
    <w:pPr>
      <w:keepNext/>
      <w:pageBreakBefore/>
      <w:widowControl/>
      <w:autoSpaceDE w:val="0"/>
      <w:autoSpaceDN w:val="0"/>
      <w:spacing w:before="120" w:after="360"/>
      <w:jc w:val="center"/>
    </w:pPr>
    <w:rPr>
      <w:rFonts w:eastAsia="Times New Roman" w:cs="Times New Roman"/>
      <w:b/>
      <w:bCs/>
      <w:color w:val="auto"/>
      <w:sz w:val="36"/>
      <w:szCs w:val="36"/>
      <w:lang w:val="fr-FR"/>
    </w:rPr>
  </w:style>
  <w:style w:type="paragraph" w:customStyle="1" w:styleId="Point0">
    <w:name w:val="Point 0"/>
    <w:basedOn w:val="Normal"/>
    <w:uiPriority w:val="99"/>
    <w:rsid w:val="009F4766"/>
    <w:pPr>
      <w:widowControl/>
      <w:autoSpaceDE w:val="0"/>
      <w:autoSpaceDN w:val="0"/>
      <w:spacing w:before="120" w:after="120"/>
      <w:ind w:left="851" w:hanging="851"/>
      <w:jc w:val="both"/>
    </w:pPr>
    <w:rPr>
      <w:rFonts w:eastAsia="Times New Roman" w:cs="Times New Roman"/>
      <w:color w:val="auto"/>
      <w:lang w:val="fr-FR"/>
    </w:rPr>
  </w:style>
  <w:style w:type="paragraph" w:customStyle="1" w:styleId="Point1">
    <w:name w:val="Point 1"/>
    <w:basedOn w:val="Normal"/>
    <w:uiPriority w:val="99"/>
    <w:rsid w:val="009F4766"/>
    <w:pPr>
      <w:widowControl/>
      <w:autoSpaceDE w:val="0"/>
      <w:autoSpaceDN w:val="0"/>
      <w:spacing w:before="120" w:after="120"/>
      <w:ind w:left="1418" w:hanging="567"/>
      <w:jc w:val="both"/>
    </w:pPr>
    <w:rPr>
      <w:rFonts w:eastAsia="Times New Roman" w:cs="Times New Roman"/>
      <w:color w:val="auto"/>
      <w:lang w:val="fr-FR"/>
    </w:rPr>
  </w:style>
  <w:style w:type="paragraph" w:customStyle="1" w:styleId="Point2">
    <w:name w:val="Point 2"/>
    <w:basedOn w:val="Normal"/>
    <w:uiPriority w:val="99"/>
    <w:rsid w:val="009F4766"/>
    <w:pPr>
      <w:widowControl/>
      <w:autoSpaceDE w:val="0"/>
      <w:autoSpaceDN w:val="0"/>
      <w:spacing w:before="120" w:after="120"/>
      <w:ind w:left="1985" w:hanging="567"/>
      <w:jc w:val="both"/>
    </w:pPr>
    <w:rPr>
      <w:rFonts w:eastAsia="Times New Roman" w:cs="Times New Roman"/>
      <w:color w:val="auto"/>
      <w:lang w:val="fr-FR"/>
    </w:rPr>
  </w:style>
  <w:style w:type="paragraph" w:customStyle="1" w:styleId="Point3">
    <w:name w:val="Point 3"/>
    <w:basedOn w:val="Normal"/>
    <w:uiPriority w:val="99"/>
    <w:rsid w:val="009F4766"/>
    <w:pPr>
      <w:widowControl/>
      <w:autoSpaceDE w:val="0"/>
      <w:autoSpaceDN w:val="0"/>
      <w:spacing w:before="120" w:after="120"/>
      <w:ind w:left="2552" w:hanging="567"/>
      <w:jc w:val="both"/>
    </w:pPr>
    <w:rPr>
      <w:rFonts w:eastAsia="Times New Roman" w:cs="Times New Roman"/>
      <w:color w:val="auto"/>
      <w:lang w:val="fr-FR"/>
    </w:rPr>
  </w:style>
  <w:style w:type="paragraph" w:customStyle="1" w:styleId="Point4">
    <w:name w:val="Point 4"/>
    <w:basedOn w:val="Normal"/>
    <w:uiPriority w:val="99"/>
    <w:rsid w:val="009F4766"/>
    <w:pPr>
      <w:widowControl/>
      <w:autoSpaceDE w:val="0"/>
      <w:autoSpaceDN w:val="0"/>
      <w:spacing w:before="120" w:after="120"/>
      <w:ind w:left="3119" w:hanging="567"/>
      <w:jc w:val="both"/>
    </w:pPr>
    <w:rPr>
      <w:rFonts w:eastAsia="Times New Roman" w:cs="Times New Roman"/>
      <w:color w:val="auto"/>
      <w:lang w:val="fr-FR"/>
    </w:rPr>
  </w:style>
  <w:style w:type="paragraph" w:customStyle="1" w:styleId="PointDouble0">
    <w:name w:val="PointDouble 0"/>
    <w:basedOn w:val="Normal"/>
    <w:uiPriority w:val="99"/>
    <w:rsid w:val="009F4766"/>
    <w:pPr>
      <w:widowControl/>
      <w:tabs>
        <w:tab w:val="left" w:pos="851"/>
      </w:tabs>
      <w:autoSpaceDE w:val="0"/>
      <w:autoSpaceDN w:val="0"/>
      <w:spacing w:before="120" w:after="120"/>
      <w:ind w:left="1418" w:hanging="1418"/>
      <w:jc w:val="both"/>
    </w:pPr>
    <w:rPr>
      <w:rFonts w:eastAsia="Times New Roman" w:cs="Times New Roman"/>
      <w:color w:val="auto"/>
      <w:lang w:val="fr-FR"/>
    </w:rPr>
  </w:style>
  <w:style w:type="paragraph" w:customStyle="1" w:styleId="PointDouble1">
    <w:name w:val="PointDouble 1"/>
    <w:basedOn w:val="Normal"/>
    <w:uiPriority w:val="99"/>
    <w:rsid w:val="009F4766"/>
    <w:pPr>
      <w:widowControl/>
      <w:tabs>
        <w:tab w:val="left" w:pos="1418"/>
      </w:tabs>
      <w:autoSpaceDE w:val="0"/>
      <w:autoSpaceDN w:val="0"/>
      <w:spacing w:before="120" w:after="120"/>
      <w:ind w:left="1985" w:hanging="1134"/>
      <w:jc w:val="both"/>
    </w:pPr>
    <w:rPr>
      <w:rFonts w:eastAsia="Times New Roman" w:cs="Times New Roman"/>
      <w:color w:val="auto"/>
      <w:lang w:val="fr-FR"/>
    </w:rPr>
  </w:style>
  <w:style w:type="paragraph" w:customStyle="1" w:styleId="PointDouble2">
    <w:name w:val="PointDouble 2"/>
    <w:basedOn w:val="Normal"/>
    <w:uiPriority w:val="99"/>
    <w:rsid w:val="009F4766"/>
    <w:pPr>
      <w:widowControl/>
      <w:tabs>
        <w:tab w:val="left" w:pos="1985"/>
      </w:tabs>
      <w:autoSpaceDE w:val="0"/>
      <w:autoSpaceDN w:val="0"/>
      <w:spacing w:before="120" w:after="120"/>
      <w:ind w:left="2552" w:hanging="1134"/>
      <w:jc w:val="both"/>
    </w:pPr>
    <w:rPr>
      <w:rFonts w:eastAsia="Times New Roman" w:cs="Times New Roman"/>
      <w:color w:val="auto"/>
      <w:lang w:val="fr-FR"/>
    </w:rPr>
  </w:style>
  <w:style w:type="paragraph" w:customStyle="1" w:styleId="PointDouble3">
    <w:name w:val="PointDouble 3"/>
    <w:basedOn w:val="Normal"/>
    <w:uiPriority w:val="99"/>
    <w:rsid w:val="009F4766"/>
    <w:pPr>
      <w:widowControl/>
      <w:tabs>
        <w:tab w:val="left" w:pos="2552"/>
      </w:tabs>
      <w:autoSpaceDE w:val="0"/>
      <w:autoSpaceDN w:val="0"/>
      <w:spacing w:before="120" w:after="120"/>
      <w:ind w:left="3119" w:hanging="1134"/>
      <w:jc w:val="both"/>
    </w:pPr>
    <w:rPr>
      <w:rFonts w:eastAsia="Times New Roman" w:cs="Times New Roman"/>
      <w:color w:val="auto"/>
      <w:lang w:val="fr-FR"/>
    </w:rPr>
  </w:style>
  <w:style w:type="paragraph" w:customStyle="1" w:styleId="PointDouble4">
    <w:name w:val="PointDouble 4"/>
    <w:basedOn w:val="Normal"/>
    <w:uiPriority w:val="99"/>
    <w:rsid w:val="009F4766"/>
    <w:pPr>
      <w:widowControl/>
      <w:tabs>
        <w:tab w:val="left" w:pos="3119"/>
      </w:tabs>
      <w:autoSpaceDE w:val="0"/>
      <w:autoSpaceDN w:val="0"/>
      <w:spacing w:before="120" w:after="120"/>
      <w:ind w:left="3686" w:hanging="1134"/>
      <w:jc w:val="both"/>
    </w:pPr>
    <w:rPr>
      <w:rFonts w:eastAsia="Times New Roman" w:cs="Times New Roman"/>
      <w:color w:val="auto"/>
      <w:lang w:val="fr-FR"/>
    </w:rPr>
  </w:style>
  <w:style w:type="paragraph" w:customStyle="1" w:styleId="PointTriple0">
    <w:name w:val="PointTriple 0"/>
    <w:basedOn w:val="Normal"/>
    <w:uiPriority w:val="99"/>
    <w:rsid w:val="009F4766"/>
    <w:pPr>
      <w:widowControl/>
      <w:tabs>
        <w:tab w:val="left" w:pos="851"/>
        <w:tab w:val="left" w:pos="1418"/>
      </w:tabs>
      <w:autoSpaceDE w:val="0"/>
      <w:autoSpaceDN w:val="0"/>
      <w:spacing w:before="120" w:after="120"/>
      <w:ind w:left="1985" w:hanging="1985"/>
      <w:jc w:val="both"/>
    </w:pPr>
    <w:rPr>
      <w:rFonts w:eastAsia="Times New Roman" w:cs="Times New Roman"/>
      <w:color w:val="auto"/>
      <w:lang w:val="fr-FR"/>
    </w:rPr>
  </w:style>
  <w:style w:type="paragraph" w:customStyle="1" w:styleId="PointTriple1">
    <w:name w:val="PointTriple 1"/>
    <w:basedOn w:val="Normal"/>
    <w:uiPriority w:val="99"/>
    <w:rsid w:val="009F4766"/>
    <w:pPr>
      <w:widowControl/>
      <w:tabs>
        <w:tab w:val="left" w:pos="1418"/>
        <w:tab w:val="left" w:pos="1985"/>
      </w:tabs>
      <w:autoSpaceDE w:val="0"/>
      <w:autoSpaceDN w:val="0"/>
      <w:spacing w:before="120" w:after="120"/>
      <w:ind w:left="2552" w:hanging="1701"/>
      <w:jc w:val="both"/>
    </w:pPr>
    <w:rPr>
      <w:rFonts w:eastAsia="Times New Roman" w:cs="Times New Roman"/>
      <w:color w:val="auto"/>
      <w:lang w:val="fr-FR"/>
    </w:rPr>
  </w:style>
  <w:style w:type="paragraph" w:customStyle="1" w:styleId="PointTriple2">
    <w:name w:val="PointTriple 2"/>
    <w:basedOn w:val="Normal"/>
    <w:uiPriority w:val="99"/>
    <w:rsid w:val="009F4766"/>
    <w:pPr>
      <w:widowControl/>
      <w:tabs>
        <w:tab w:val="left" w:pos="1985"/>
        <w:tab w:val="left" w:pos="2552"/>
      </w:tabs>
      <w:autoSpaceDE w:val="0"/>
      <w:autoSpaceDN w:val="0"/>
      <w:spacing w:before="120" w:after="120"/>
      <w:ind w:left="3119" w:hanging="1701"/>
      <w:jc w:val="both"/>
    </w:pPr>
    <w:rPr>
      <w:rFonts w:eastAsia="Times New Roman" w:cs="Times New Roman"/>
      <w:color w:val="auto"/>
      <w:lang w:val="fr-FR"/>
    </w:rPr>
  </w:style>
  <w:style w:type="paragraph" w:customStyle="1" w:styleId="PointTriple3">
    <w:name w:val="PointTriple 3"/>
    <w:basedOn w:val="Normal"/>
    <w:uiPriority w:val="99"/>
    <w:rsid w:val="009F4766"/>
    <w:pPr>
      <w:widowControl/>
      <w:tabs>
        <w:tab w:val="left" w:pos="2552"/>
        <w:tab w:val="left" w:pos="3119"/>
      </w:tabs>
      <w:autoSpaceDE w:val="0"/>
      <w:autoSpaceDN w:val="0"/>
      <w:spacing w:before="120" w:after="120"/>
      <w:ind w:left="3686" w:hanging="1701"/>
      <w:jc w:val="both"/>
    </w:pPr>
    <w:rPr>
      <w:rFonts w:eastAsia="Times New Roman" w:cs="Times New Roman"/>
      <w:color w:val="auto"/>
      <w:lang w:val="fr-FR"/>
    </w:rPr>
  </w:style>
  <w:style w:type="paragraph" w:customStyle="1" w:styleId="PointTriple4">
    <w:name w:val="PointTriple 4"/>
    <w:basedOn w:val="Normal"/>
    <w:uiPriority w:val="99"/>
    <w:rsid w:val="009F4766"/>
    <w:pPr>
      <w:widowControl/>
      <w:tabs>
        <w:tab w:val="left" w:pos="3119"/>
        <w:tab w:val="left" w:pos="3686"/>
      </w:tabs>
      <w:autoSpaceDE w:val="0"/>
      <w:autoSpaceDN w:val="0"/>
      <w:spacing w:before="120" w:after="120"/>
      <w:ind w:left="4253" w:hanging="1701"/>
      <w:jc w:val="both"/>
    </w:pPr>
    <w:rPr>
      <w:rFonts w:eastAsia="Times New Roman" w:cs="Times New Roman"/>
      <w:color w:val="auto"/>
      <w:lang w:val="fr-FR"/>
    </w:rPr>
  </w:style>
  <w:style w:type="paragraph" w:customStyle="1" w:styleId="Prliminairetitre">
    <w:name w:val="Préliminaire titre"/>
    <w:basedOn w:val="Normal"/>
    <w:next w:val="Normal"/>
    <w:uiPriority w:val="99"/>
    <w:rsid w:val="009F4766"/>
    <w:pPr>
      <w:widowControl/>
      <w:autoSpaceDE w:val="0"/>
      <w:autoSpaceDN w:val="0"/>
      <w:spacing w:before="360" w:after="360"/>
      <w:jc w:val="center"/>
    </w:pPr>
    <w:rPr>
      <w:rFonts w:eastAsia="Times New Roman" w:cs="Times New Roman"/>
      <w:b/>
      <w:bCs/>
      <w:color w:val="auto"/>
      <w:lang w:val="fr-FR"/>
    </w:rPr>
  </w:style>
  <w:style w:type="paragraph" w:customStyle="1" w:styleId="Prliminairetype">
    <w:name w:val="Préliminaire type"/>
    <w:basedOn w:val="Normal"/>
    <w:next w:val="Normal"/>
    <w:uiPriority w:val="99"/>
    <w:rsid w:val="009F4766"/>
    <w:pPr>
      <w:widowControl/>
      <w:autoSpaceDE w:val="0"/>
      <w:autoSpaceDN w:val="0"/>
      <w:spacing w:before="360"/>
      <w:jc w:val="center"/>
    </w:pPr>
    <w:rPr>
      <w:rFonts w:eastAsia="Times New Roman" w:cs="Times New Roman"/>
      <w:b/>
      <w:bCs/>
      <w:color w:val="auto"/>
      <w:lang w:val="fr-FR"/>
    </w:rPr>
  </w:style>
  <w:style w:type="paragraph" w:customStyle="1" w:styleId="QuotedNumPar">
    <w:name w:val="Quoted NumPar"/>
    <w:basedOn w:val="Normal"/>
    <w:uiPriority w:val="99"/>
    <w:rsid w:val="009F4766"/>
    <w:pPr>
      <w:widowControl/>
      <w:autoSpaceDE w:val="0"/>
      <w:autoSpaceDN w:val="0"/>
      <w:spacing w:before="120" w:after="120"/>
      <w:ind w:left="1418" w:hanging="567"/>
      <w:jc w:val="both"/>
    </w:pPr>
    <w:rPr>
      <w:rFonts w:eastAsia="Times New Roman" w:cs="Times New Roman"/>
      <w:color w:val="auto"/>
      <w:lang w:val="fr-FR"/>
    </w:rPr>
  </w:style>
  <w:style w:type="paragraph" w:customStyle="1" w:styleId="QuotedText">
    <w:name w:val="Quoted Text"/>
    <w:basedOn w:val="Normal"/>
    <w:uiPriority w:val="99"/>
    <w:rsid w:val="009F4766"/>
    <w:pPr>
      <w:widowControl/>
      <w:autoSpaceDE w:val="0"/>
      <w:autoSpaceDN w:val="0"/>
      <w:spacing w:before="120" w:after="120"/>
      <w:ind w:left="1418"/>
      <w:jc w:val="both"/>
    </w:pPr>
    <w:rPr>
      <w:rFonts w:eastAsia="Times New Roman" w:cs="Times New Roman"/>
      <w:color w:val="auto"/>
      <w:lang w:val="fr-FR"/>
    </w:rPr>
  </w:style>
  <w:style w:type="paragraph" w:customStyle="1" w:styleId="Rfrenceinterinstitutionelle">
    <w:name w:val="Référence interinstitutionelle"/>
    <w:basedOn w:val="Normal"/>
    <w:next w:val="Statut"/>
    <w:uiPriority w:val="99"/>
    <w:rsid w:val="009F4766"/>
    <w:pPr>
      <w:widowControl/>
      <w:autoSpaceDE w:val="0"/>
      <w:autoSpaceDN w:val="0"/>
      <w:ind w:left="5103"/>
    </w:pPr>
    <w:rPr>
      <w:rFonts w:eastAsia="Times New Roman" w:cs="Times New Roman"/>
      <w:color w:val="auto"/>
      <w:lang w:val="fr-FR"/>
    </w:rPr>
  </w:style>
  <w:style w:type="paragraph" w:customStyle="1" w:styleId="SectionTitle">
    <w:name w:val="SectionTitle"/>
    <w:basedOn w:val="Normal"/>
    <w:next w:val="Balk1"/>
    <w:uiPriority w:val="99"/>
    <w:rsid w:val="009F4766"/>
    <w:pPr>
      <w:keepNext/>
      <w:widowControl/>
      <w:autoSpaceDE w:val="0"/>
      <w:autoSpaceDN w:val="0"/>
      <w:spacing w:before="120" w:after="360"/>
      <w:jc w:val="center"/>
    </w:pPr>
    <w:rPr>
      <w:rFonts w:eastAsia="Times New Roman" w:cs="Times New Roman"/>
      <w:b/>
      <w:bCs/>
      <w:smallCaps/>
      <w:color w:val="auto"/>
      <w:sz w:val="28"/>
      <w:szCs w:val="28"/>
      <w:lang w:val="fr-FR"/>
    </w:rPr>
  </w:style>
  <w:style w:type="paragraph" w:customStyle="1" w:styleId="TableTitle">
    <w:name w:val="Table Title"/>
    <w:basedOn w:val="Normal"/>
    <w:next w:val="Normal"/>
    <w:uiPriority w:val="99"/>
    <w:rsid w:val="009F4766"/>
    <w:pPr>
      <w:widowControl/>
      <w:autoSpaceDE w:val="0"/>
      <w:autoSpaceDN w:val="0"/>
      <w:spacing w:before="120" w:after="120"/>
      <w:jc w:val="center"/>
    </w:pPr>
    <w:rPr>
      <w:rFonts w:eastAsia="Times New Roman" w:cs="Times New Roman"/>
      <w:b/>
      <w:bCs/>
      <w:color w:val="auto"/>
      <w:lang w:val="fr-FR"/>
    </w:rPr>
  </w:style>
  <w:style w:type="paragraph" w:customStyle="1" w:styleId="Tiret1">
    <w:name w:val="Tiret 1"/>
    <w:basedOn w:val="Point1"/>
    <w:uiPriority w:val="99"/>
    <w:rsid w:val="009F4766"/>
  </w:style>
  <w:style w:type="paragraph" w:customStyle="1" w:styleId="Tiret2">
    <w:name w:val="Tiret 2"/>
    <w:basedOn w:val="Point2"/>
    <w:uiPriority w:val="99"/>
    <w:rsid w:val="009F4766"/>
  </w:style>
  <w:style w:type="paragraph" w:customStyle="1" w:styleId="Tiret3">
    <w:name w:val="Tiret 3"/>
    <w:basedOn w:val="Point3"/>
    <w:uiPriority w:val="99"/>
    <w:rsid w:val="009F4766"/>
  </w:style>
  <w:style w:type="paragraph" w:customStyle="1" w:styleId="Tiret4">
    <w:name w:val="Tiret 4"/>
    <w:basedOn w:val="Point4"/>
    <w:uiPriority w:val="99"/>
    <w:rsid w:val="009F4766"/>
  </w:style>
  <w:style w:type="paragraph" w:styleId="KaynakaBal">
    <w:name w:val="toa heading"/>
    <w:basedOn w:val="Normal"/>
    <w:next w:val="Normal"/>
    <w:uiPriority w:val="99"/>
    <w:rsid w:val="009F4766"/>
    <w:pPr>
      <w:widowControl/>
      <w:autoSpaceDE w:val="0"/>
      <w:autoSpaceDN w:val="0"/>
      <w:spacing w:before="120" w:after="120"/>
      <w:jc w:val="both"/>
    </w:pPr>
    <w:rPr>
      <w:rFonts w:ascii="Arial" w:eastAsia="Times New Roman" w:hAnsi="Arial" w:cs="Arial"/>
      <w:b/>
      <w:bCs/>
      <w:color w:val="auto"/>
      <w:lang w:val="fr-FR"/>
    </w:rPr>
  </w:style>
  <w:style w:type="paragraph" w:styleId="T1">
    <w:name w:val="toc 1"/>
    <w:basedOn w:val="Normal"/>
    <w:next w:val="Normal"/>
    <w:uiPriority w:val="99"/>
    <w:rsid w:val="009F4766"/>
    <w:pPr>
      <w:widowControl/>
      <w:tabs>
        <w:tab w:val="right" w:leader="dot" w:pos="9072"/>
      </w:tabs>
      <w:autoSpaceDE w:val="0"/>
      <w:autoSpaceDN w:val="0"/>
      <w:spacing w:before="300" w:after="120"/>
      <w:jc w:val="both"/>
    </w:pPr>
    <w:rPr>
      <w:rFonts w:eastAsia="Times New Roman" w:cs="Times New Roman"/>
      <w:color w:val="auto"/>
      <w:lang w:val="fr-FR"/>
    </w:rPr>
  </w:style>
  <w:style w:type="paragraph" w:styleId="T2">
    <w:name w:val="toc 2"/>
    <w:basedOn w:val="Normal"/>
    <w:next w:val="Normal"/>
    <w:uiPriority w:val="99"/>
    <w:rsid w:val="009F4766"/>
    <w:pPr>
      <w:widowControl/>
      <w:tabs>
        <w:tab w:val="right" w:leader="dot" w:pos="9072"/>
      </w:tabs>
      <w:autoSpaceDE w:val="0"/>
      <w:autoSpaceDN w:val="0"/>
      <w:spacing w:before="240" w:after="120"/>
      <w:ind w:left="641" w:hanging="284"/>
      <w:jc w:val="both"/>
    </w:pPr>
    <w:rPr>
      <w:rFonts w:eastAsia="Times New Roman" w:cs="Times New Roman"/>
      <w:color w:val="auto"/>
      <w:lang w:val="fr-FR"/>
    </w:rPr>
  </w:style>
  <w:style w:type="paragraph" w:styleId="T3">
    <w:name w:val="toc 3"/>
    <w:basedOn w:val="Normal"/>
    <w:next w:val="Normal"/>
    <w:uiPriority w:val="99"/>
    <w:rsid w:val="009F4766"/>
    <w:pPr>
      <w:widowControl/>
      <w:tabs>
        <w:tab w:val="right" w:leader="dot" w:pos="9072"/>
      </w:tabs>
      <w:autoSpaceDE w:val="0"/>
      <w:autoSpaceDN w:val="0"/>
      <w:spacing w:before="180" w:after="120"/>
      <w:ind w:left="641" w:hanging="284"/>
      <w:jc w:val="both"/>
    </w:pPr>
    <w:rPr>
      <w:rFonts w:eastAsia="Times New Roman" w:cs="Times New Roman"/>
      <w:color w:val="auto"/>
      <w:lang w:val="fr-FR"/>
    </w:rPr>
  </w:style>
  <w:style w:type="paragraph" w:styleId="T4">
    <w:name w:val="toc 4"/>
    <w:basedOn w:val="Normal"/>
    <w:next w:val="Normal"/>
    <w:uiPriority w:val="99"/>
    <w:rsid w:val="009F4766"/>
    <w:pPr>
      <w:widowControl/>
      <w:tabs>
        <w:tab w:val="right" w:leader="dot" w:pos="9072"/>
      </w:tabs>
      <w:autoSpaceDE w:val="0"/>
      <w:autoSpaceDN w:val="0"/>
      <w:spacing w:before="120" w:after="120"/>
      <w:ind w:left="641" w:hanging="284"/>
      <w:jc w:val="both"/>
    </w:pPr>
    <w:rPr>
      <w:rFonts w:eastAsia="Times New Roman" w:cs="Times New Roman"/>
      <w:color w:val="auto"/>
      <w:lang w:val="fr-FR"/>
    </w:rPr>
  </w:style>
  <w:style w:type="paragraph" w:styleId="T5">
    <w:name w:val="toc 5"/>
    <w:basedOn w:val="Normal"/>
    <w:next w:val="Normal"/>
    <w:uiPriority w:val="99"/>
    <w:rsid w:val="009F4766"/>
    <w:pPr>
      <w:widowControl/>
      <w:tabs>
        <w:tab w:val="right" w:leader="dot" w:pos="9072"/>
      </w:tabs>
      <w:autoSpaceDE w:val="0"/>
      <w:autoSpaceDN w:val="0"/>
      <w:spacing w:before="60" w:after="120"/>
      <w:ind w:left="1004" w:hanging="284"/>
      <w:jc w:val="both"/>
    </w:pPr>
    <w:rPr>
      <w:rFonts w:eastAsia="Times New Roman" w:cs="Times New Roman"/>
      <w:color w:val="auto"/>
      <w:lang w:val="fr-FR"/>
    </w:rPr>
  </w:style>
  <w:style w:type="paragraph" w:styleId="T6">
    <w:name w:val="toc 6"/>
    <w:basedOn w:val="Normal"/>
    <w:next w:val="Normal"/>
    <w:uiPriority w:val="99"/>
    <w:rsid w:val="009F4766"/>
    <w:pPr>
      <w:widowControl/>
      <w:tabs>
        <w:tab w:val="right" w:leader="dot" w:pos="9072"/>
      </w:tabs>
      <w:autoSpaceDE w:val="0"/>
      <w:autoSpaceDN w:val="0"/>
      <w:spacing w:before="60" w:after="120"/>
      <w:ind w:left="1004" w:hanging="284"/>
      <w:jc w:val="both"/>
    </w:pPr>
    <w:rPr>
      <w:rFonts w:eastAsia="Times New Roman" w:cs="Times New Roman"/>
      <w:color w:val="auto"/>
      <w:lang w:val="fr-FR"/>
    </w:rPr>
  </w:style>
  <w:style w:type="paragraph" w:styleId="T7">
    <w:name w:val="toc 7"/>
    <w:basedOn w:val="Normal"/>
    <w:next w:val="Normal"/>
    <w:uiPriority w:val="99"/>
    <w:rsid w:val="009F4766"/>
    <w:pPr>
      <w:widowControl/>
      <w:tabs>
        <w:tab w:val="right" w:leader="dot" w:pos="9072"/>
      </w:tabs>
      <w:autoSpaceDE w:val="0"/>
      <w:autoSpaceDN w:val="0"/>
      <w:spacing w:before="60" w:after="120"/>
      <w:ind w:left="1004" w:hanging="284"/>
      <w:jc w:val="both"/>
    </w:pPr>
    <w:rPr>
      <w:rFonts w:eastAsia="Times New Roman" w:cs="Times New Roman"/>
      <w:color w:val="auto"/>
      <w:lang w:val="fr-FR"/>
    </w:rPr>
  </w:style>
  <w:style w:type="paragraph" w:styleId="T8">
    <w:name w:val="toc 8"/>
    <w:basedOn w:val="Normal"/>
    <w:next w:val="Normal"/>
    <w:uiPriority w:val="99"/>
    <w:rsid w:val="009F4766"/>
    <w:pPr>
      <w:widowControl/>
      <w:tabs>
        <w:tab w:val="right" w:leader="dot" w:pos="9072"/>
      </w:tabs>
      <w:autoSpaceDE w:val="0"/>
      <w:autoSpaceDN w:val="0"/>
      <w:spacing w:before="60" w:after="120"/>
      <w:ind w:left="1004" w:hanging="284"/>
      <w:jc w:val="both"/>
    </w:pPr>
    <w:rPr>
      <w:rFonts w:eastAsia="Times New Roman" w:cs="Times New Roman"/>
      <w:color w:val="auto"/>
      <w:lang w:val="fr-FR"/>
    </w:rPr>
  </w:style>
  <w:style w:type="paragraph" w:styleId="T9">
    <w:name w:val="toc 9"/>
    <w:basedOn w:val="Normal"/>
    <w:next w:val="Normal"/>
    <w:uiPriority w:val="99"/>
    <w:rsid w:val="009F4766"/>
    <w:pPr>
      <w:widowControl/>
      <w:tabs>
        <w:tab w:val="right" w:leader="dot" w:pos="9072"/>
      </w:tabs>
      <w:autoSpaceDE w:val="0"/>
      <w:autoSpaceDN w:val="0"/>
      <w:spacing w:before="120" w:after="120"/>
      <w:ind w:left="1600"/>
      <w:jc w:val="both"/>
    </w:pPr>
    <w:rPr>
      <w:rFonts w:eastAsia="Times New Roman" w:cs="Times New Roman"/>
      <w:color w:val="auto"/>
      <w:lang w:val="fr-FR"/>
    </w:rPr>
  </w:style>
  <w:style w:type="paragraph" w:styleId="TBal">
    <w:name w:val="TOC Heading"/>
    <w:basedOn w:val="Normal"/>
    <w:next w:val="Normal"/>
    <w:uiPriority w:val="99"/>
    <w:qFormat/>
    <w:rsid w:val="009F4766"/>
    <w:pPr>
      <w:widowControl/>
      <w:autoSpaceDE w:val="0"/>
      <w:autoSpaceDN w:val="0"/>
      <w:spacing w:before="120" w:after="240"/>
      <w:jc w:val="center"/>
    </w:pPr>
    <w:rPr>
      <w:rFonts w:eastAsia="Times New Roman" w:cs="Times New Roman"/>
      <w:b/>
      <w:bCs/>
      <w:color w:val="auto"/>
      <w:sz w:val="28"/>
      <w:szCs w:val="28"/>
      <w:lang w:val="fr-FR"/>
    </w:rPr>
  </w:style>
  <w:style w:type="paragraph" w:customStyle="1" w:styleId="Considrant">
    <w:name w:val="Considérant"/>
    <w:basedOn w:val="Normal"/>
    <w:uiPriority w:val="99"/>
    <w:rsid w:val="009F4766"/>
    <w:pPr>
      <w:widowControl/>
      <w:numPr>
        <w:numId w:val="454"/>
      </w:numPr>
      <w:autoSpaceDE w:val="0"/>
      <w:autoSpaceDN w:val="0"/>
      <w:spacing w:before="120" w:after="120"/>
      <w:jc w:val="both"/>
    </w:pPr>
    <w:rPr>
      <w:rFonts w:eastAsia="Times New Roman" w:cs="Times New Roman"/>
      <w:color w:val="auto"/>
      <w:lang w:val="fr-FR"/>
    </w:rPr>
  </w:style>
  <w:style w:type="paragraph" w:customStyle="1" w:styleId="Confidentialit">
    <w:name w:val="Confidentialité"/>
    <w:basedOn w:val="Normal"/>
    <w:next w:val="Statut"/>
    <w:uiPriority w:val="99"/>
    <w:rsid w:val="009F4766"/>
    <w:pPr>
      <w:widowControl/>
      <w:autoSpaceDE w:val="0"/>
      <w:autoSpaceDN w:val="0"/>
      <w:spacing w:before="240" w:after="240"/>
      <w:ind w:left="5103"/>
      <w:jc w:val="both"/>
    </w:pPr>
    <w:rPr>
      <w:rFonts w:eastAsia="Times New Roman" w:cs="Times New Roman"/>
      <w:color w:val="auto"/>
      <w:u w:val="single"/>
      <w:lang w:val="fr-FR"/>
    </w:rPr>
  </w:style>
  <w:style w:type="paragraph" w:customStyle="1" w:styleId="ManualConsidrant">
    <w:name w:val="Manual Considérant"/>
    <w:basedOn w:val="Normal"/>
    <w:uiPriority w:val="99"/>
    <w:rsid w:val="009F4766"/>
    <w:pPr>
      <w:widowControl/>
      <w:autoSpaceDE w:val="0"/>
      <w:autoSpaceDN w:val="0"/>
      <w:spacing w:before="120" w:after="120"/>
      <w:ind w:left="709" w:hanging="709"/>
      <w:jc w:val="both"/>
    </w:pPr>
    <w:rPr>
      <w:rFonts w:eastAsia="Times New Roman" w:cs="Times New Roman"/>
      <w:color w:val="auto"/>
      <w:lang w:val="fr-FR"/>
    </w:rPr>
  </w:style>
  <w:style w:type="paragraph" w:customStyle="1" w:styleId="FooterLandscape">
    <w:name w:val="FooterLandscape"/>
    <w:basedOn w:val="Altbilgi"/>
    <w:uiPriority w:val="99"/>
    <w:rsid w:val="009F4766"/>
    <w:pPr>
      <w:widowControl/>
      <w:tabs>
        <w:tab w:val="clear" w:pos="4536"/>
        <w:tab w:val="clear" w:pos="9072"/>
        <w:tab w:val="center" w:pos="7002"/>
        <w:tab w:val="right" w:pos="14005"/>
      </w:tabs>
      <w:autoSpaceDE w:val="0"/>
      <w:autoSpaceDN w:val="0"/>
      <w:spacing w:before="360"/>
    </w:pPr>
    <w:rPr>
      <w:rFonts w:eastAsia="Times New Roman" w:cs="Times New Roman"/>
      <w:color w:val="auto"/>
      <w:lang w:val="fr-FR"/>
    </w:rPr>
  </w:style>
  <w:style w:type="paragraph" w:customStyle="1" w:styleId="CRSeparator">
    <w:name w:val="CR Separator"/>
    <w:basedOn w:val="Normal"/>
    <w:next w:val="CRReference"/>
    <w:uiPriority w:val="99"/>
    <w:rsid w:val="009F4766"/>
    <w:pPr>
      <w:keepNext/>
      <w:widowControl/>
      <w:pBdr>
        <w:top w:val="single" w:sz="4" w:space="1" w:color="auto"/>
      </w:pBdr>
      <w:autoSpaceDE w:val="0"/>
      <w:autoSpaceDN w:val="0"/>
      <w:jc w:val="both"/>
    </w:pPr>
    <w:rPr>
      <w:rFonts w:eastAsia="Times New Roman" w:cs="Times New Roman"/>
      <w:color w:val="auto"/>
      <w:lang w:val="fr-FR"/>
    </w:rPr>
  </w:style>
  <w:style w:type="paragraph" w:customStyle="1" w:styleId="CRReference">
    <w:name w:val="CR Reference"/>
    <w:basedOn w:val="Normal"/>
    <w:uiPriority w:val="99"/>
    <w:rsid w:val="009F4766"/>
    <w:pPr>
      <w:keepNext/>
      <w:widowControl/>
      <w:pBdr>
        <w:top w:val="single" w:sz="4" w:space="1" w:color="auto"/>
        <w:left w:val="single" w:sz="4" w:space="4" w:color="auto"/>
        <w:bottom w:val="single" w:sz="4" w:space="1" w:color="auto"/>
        <w:right w:val="single" w:sz="4" w:space="4" w:color="auto"/>
      </w:pBdr>
      <w:autoSpaceDE w:val="0"/>
      <w:autoSpaceDN w:val="0"/>
      <w:ind w:left="5670"/>
    </w:pPr>
    <w:rPr>
      <w:rFonts w:eastAsia="Times New Roman" w:cs="Times New Roman"/>
      <w:color w:val="auto"/>
      <w:lang w:val="fr-FR"/>
    </w:rPr>
  </w:style>
  <w:style w:type="character" w:customStyle="1" w:styleId="CRRefNum">
    <w:name w:val="CR RefNum"/>
    <w:uiPriority w:val="99"/>
    <w:rsid w:val="009F4766"/>
    <w:rPr>
      <w:vertAlign w:val="subscript"/>
    </w:rPr>
  </w:style>
  <w:style w:type="paragraph" w:customStyle="1" w:styleId="CRParaDeleted">
    <w:name w:val="CR ParaDeleted"/>
    <w:basedOn w:val="Normal"/>
    <w:next w:val="Normal"/>
    <w:uiPriority w:val="99"/>
    <w:rsid w:val="009F4766"/>
    <w:pPr>
      <w:widowControl/>
      <w:autoSpaceDE w:val="0"/>
      <w:autoSpaceDN w:val="0"/>
      <w:spacing w:before="120" w:after="120"/>
      <w:jc w:val="both"/>
    </w:pPr>
    <w:rPr>
      <w:rFonts w:eastAsia="Times New Roman" w:cs="Times New Roman"/>
      <w:color w:val="auto"/>
      <w:lang w:val="fr-FR"/>
    </w:rPr>
  </w:style>
  <w:style w:type="character" w:customStyle="1" w:styleId="CRTextDeleted">
    <w:name w:val="CR TextDeleted"/>
    <w:uiPriority w:val="99"/>
    <w:rsid w:val="009F4766"/>
  </w:style>
  <w:style w:type="paragraph" w:customStyle="1" w:styleId="Titredumodificateur">
    <w:name w:val="Titre du modificateur"/>
    <w:basedOn w:val="Normal"/>
    <w:next w:val="Annexetitrefichefinacte"/>
    <w:uiPriority w:val="99"/>
    <w:rsid w:val="009F4766"/>
    <w:pPr>
      <w:widowControl/>
      <w:autoSpaceDE w:val="0"/>
      <w:autoSpaceDN w:val="0"/>
      <w:spacing w:before="240" w:after="60"/>
    </w:pPr>
    <w:rPr>
      <w:rFonts w:eastAsia="Times New Roman" w:cs="Times New Roman"/>
      <w:b/>
      <w:bCs/>
      <w:color w:val="auto"/>
    </w:rPr>
  </w:style>
  <w:style w:type="paragraph" w:customStyle="1" w:styleId="Referencedumodificateur">
    <w:name w:val="Reference du modificateur"/>
    <w:basedOn w:val="Normal"/>
    <w:next w:val="Annexetitrefichefinglobale"/>
    <w:uiPriority w:val="99"/>
    <w:rsid w:val="009F4766"/>
    <w:pPr>
      <w:widowControl/>
      <w:autoSpaceDE w:val="0"/>
      <w:autoSpaceDN w:val="0"/>
      <w:spacing w:after="120"/>
    </w:pPr>
    <w:rPr>
      <w:rFonts w:eastAsia="Times New Roman" w:cs="Times New Roman"/>
      <w:color w:val="auto"/>
    </w:rPr>
  </w:style>
  <w:style w:type="character" w:customStyle="1" w:styleId="Gvdemetni374pt">
    <w:name w:val="Gövde metni (37) + 4 pt"/>
    <w:rsid w:val="00103965"/>
    <w:rPr>
      <w:rFonts w:ascii="Times New Roman" w:eastAsia="Times New Roman" w:hAnsi="Times New Roman" w:cs="Times New Roman"/>
      <w:b w:val="0"/>
      <w:bCs w:val="0"/>
      <w:i w:val="0"/>
      <w:iCs w:val="0"/>
      <w:smallCaps w:val="0"/>
      <w:strike w:val="0"/>
      <w:color w:val="000000"/>
      <w:spacing w:val="2"/>
      <w:w w:val="100"/>
      <w:position w:val="0"/>
      <w:sz w:val="8"/>
      <w:szCs w:val="8"/>
      <w:u w:val="none"/>
      <w:lang w:val="en-US"/>
    </w:rPr>
  </w:style>
  <w:style w:type="character" w:customStyle="1" w:styleId="Gvdemetni3675pt0ptbolukbraklyor">
    <w:name w:val="Gövde metni (36) + 7;5 pt;0 pt boşluk bırakılıyor"/>
    <w:rsid w:val="000610BB"/>
    <w:rPr>
      <w:rFonts w:ascii="Times New Roman" w:eastAsia="Times New Roman" w:hAnsi="Times New Roman" w:cs="Times New Roman"/>
      <w:b w:val="0"/>
      <w:bCs w:val="0"/>
      <w:i w:val="0"/>
      <w:iCs w:val="0"/>
      <w:smallCaps w:val="0"/>
      <w:strike w:val="0"/>
      <w:color w:val="000000"/>
      <w:spacing w:val="-2"/>
      <w:w w:val="100"/>
      <w:position w:val="0"/>
      <w:sz w:val="15"/>
      <w:szCs w:val="15"/>
      <w:u w:val="none"/>
      <w:lang w:val="en-US"/>
    </w:rPr>
  </w:style>
  <w:style w:type="character" w:customStyle="1" w:styleId="Gvdemetni3675ptKaln0ptbolukbraklyor">
    <w:name w:val="Gövde metni (36) + 7;5 pt;Kalın;0 pt boşluk bırakılıyor"/>
    <w:rsid w:val="000610BB"/>
    <w:rPr>
      <w:rFonts w:ascii="Times New Roman" w:eastAsia="Times New Roman" w:hAnsi="Times New Roman" w:cs="Times New Roman"/>
      <w:b/>
      <w:bCs/>
      <w:i w:val="0"/>
      <w:iCs w:val="0"/>
      <w:smallCaps w:val="0"/>
      <w:strike w:val="0"/>
      <w:color w:val="000000"/>
      <w:spacing w:val="-12"/>
      <w:w w:val="100"/>
      <w:position w:val="0"/>
      <w:sz w:val="15"/>
      <w:szCs w:val="15"/>
      <w:u w:val="none"/>
      <w:lang w:val="en-US"/>
    </w:rPr>
  </w:style>
  <w:style w:type="character" w:customStyle="1" w:styleId="Gvdemetni36Constantia45pt0ptbolukbraklyor">
    <w:name w:val="Gövde metni (36) + Constantia;4;5 pt;0 pt boşluk bırakılıyor"/>
    <w:rsid w:val="00753EFD"/>
    <w:rPr>
      <w:rFonts w:ascii="Constantia" w:eastAsia="Constantia" w:hAnsi="Constantia" w:cs="Constantia"/>
      <w:b w:val="0"/>
      <w:bCs w:val="0"/>
      <w:i w:val="0"/>
      <w:iCs w:val="0"/>
      <w:smallCaps w:val="0"/>
      <w:strike w:val="0"/>
      <w:color w:val="000000"/>
      <w:spacing w:val="1"/>
      <w:w w:val="100"/>
      <w:position w:val="0"/>
      <w:sz w:val="9"/>
      <w:szCs w:val="9"/>
      <w:u w:val="none"/>
      <w:lang w:val="en-US"/>
    </w:rPr>
  </w:style>
  <w:style w:type="character" w:customStyle="1" w:styleId="Tabloyazs74pt0ptbolukbraklyor">
    <w:name w:val="Tablo yazısı (7) + 4 pt;0 pt boşluk bırakılıyor"/>
    <w:rsid w:val="00753EFD"/>
    <w:rPr>
      <w:rFonts w:ascii="Times New Roman" w:eastAsia="Times New Roman" w:hAnsi="Times New Roman" w:cs="Times New Roman"/>
      <w:b w:val="0"/>
      <w:bCs w:val="0"/>
      <w:i w:val="0"/>
      <w:iCs w:val="0"/>
      <w:smallCaps w:val="0"/>
      <w:strike w:val="0"/>
      <w:color w:val="000000"/>
      <w:spacing w:val="0"/>
      <w:w w:val="100"/>
      <w:position w:val="0"/>
      <w:sz w:val="8"/>
      <w:szCs w:val="8"/>
      <w:u w:val="none"/>
    </w:rPr>
  </w:style>
  <w:style w:type="character" w:customStyle="1" w:styleId="Tabloyazs50ptbolukbraklyor">
    <w:name w:val="Tablo yazısı (5) + 0 pt boşluk bırakılıyor"/>
    <w:rsid w:val="006511CE"/>
    <w:rPr>
      <w:rFonts w:ascii="Times New Roman" w:eastAsia="Times New Roman" w:hAnsi="Times New Roman" w:cs="Times New Roman"/>
      <w:b w:val="0"/>
      <w:bCs w:val="0"/>
      <w:i w:val="0"/>
      <w:iCs w:val="0"/>
      <w:smallCaps w:val="0"/>
      <w:strike w:val="0"/>
      <w:color w:val="000000"/>
      <w:spacing w:val="0"/>
      <w:w w:val="100"/>
      <w:position w:val="0"/>
      <w:sz w:val="17"/>
      <w:szCs w:val="17"/>
      <w:u w:val="none"/>
      <w:lang w:val="en-US"/>
    </w:rPr>
  </w:style>
  <w:style w:type="character" w:customStyle="1" w:styleId="Resimyazs21">
    <w:name w:val="Resim yazısı (21)_"/>
    <w:link w:val="Resimyazs210"/>
    <w:rsid w:val="00886888"/>
    <w:rPr>
      <w:rFonts w:eastAsia="Times New Roman"/>
      <w:i/>
      <w:iCs/>
      <w:spacing w:val="1"/>
      <w:sz w:val="8"/>
      <w:szCs w:val="8"/>
      <w:shd w:val="clear" w:color="auto" w:fill="FFFFFF"/>
    </w:rPr>
  </w:style>
  <w:style w:type="character" w:customStyle="1" w:styleId="Resimyazs210ptbolukbraklyor">
    <w:name w:val="Resim yazısı (21) + 0 pt boşluk bırakılıyor"/>
    <w:rsid w:val="00886888"/>
    <w:rPr>
      <w:rFonts w:ascii="Times New Roman" w:eastAsia="Times New Roman" w:hAnsi="Times New Roman" w:cs="Times New Roman"/>
      <w:b w:val="0"/>
      <w:bCs w:val="0"/>
      <w:i/>
      <w:iCs/>
      <w:smallCaps w:val="0"/>
      <w:strike w:val="0"/>
      <w:color w:val="000000"/>
      <w:spacing w:val="5"/>
      <w:w w:val="100"/>
      <w:position w:val="0"/>
      <w:sz w:val="8"/>
      <w:szCs w:val="8"/>
      <w:u w:val="none"/>
      <w:lang w:val="en-US"/>
    </w:rPr>
  </w:style>
  <w:style w:type="paragraph" w:customStyle="1" w:styleId="Resimyazs210">
    <w:name w:val="Resim yazısı (21)"/>
    <w:basedOn w:val="Normal"/>
    <w:link w:val="Resimyazs21"/>
    <w:rsid w:val="00886888"/>
    <w:pPr>
      <w:shd w:val="clear" w:color="auto" w:fill="FFFFFF"/>
      <w:spacing w:after="120" w:line="0" w:lineRule="atLeast"/>
      <w:jc w:val="center"/>
    </w:pPr>
    <w:rPr>
      <w:rFonts w:eastAsia="Times New Roman" w:cs="Times New Roman"/>
      <w:i/>
      <w:iCs/>
      <w:color w:val="auto"/>
      <w:spacing w:val="1"/>
      <w:sz w:val="8"/>
      <w:szCs w:val="8"/>
    </w:rPr>
  </w:style>
  <w:style w:type="character" w:customStyle="1" w:styleId="Balk86">
    <w:name w:val="Başlık #8 (6)_"/>
    <w:link w:val="Balk860"/>
    <w:rsid w:val="0069783E"/>
    <w:rPr>
      <w:rFonts w:eastAsia="Times New Roman"/>
      <w:b/>
      <w:bCs/>
      <w:spacing w:val="-7"/>
      <w:sz w:val="18"/>
      <w:szCs w:val="18"/>
      <w:shd w:val="clear" w:color="auto" w:fill="FFFFFF"/>
    </w:rPr>
  </w:style>
  <w:style w:type="paragraph" w:customStyle="1" w:styleId="Balk860">
    <w:name w:val="Başlık #8 (6)"/>
    <w:basedOn w:val="Normal"/>
    <w:link w:val="Balk86"/>
    <w:rsid w:val="0069783E"/>
    <w:pPr>
      <w:shd w:val="clear" w:color="auto" w:fill="FFFFFF"/>
      <w:spacing w:after="120" w:line="0" w:lineRule="atLeast"/>
      <w:jc w:val="both"/>
      <w:outlineLvl w:val="7"/>
    </w:pPr>
    <w:rPr>
      <w:rFonts w:eastAsia="Times New Roman" w:cs="Times New Roman"/>
      <w:b/>
      <w:bCs/>
      <w:color w:val="auto"/>
      <w:spacing w:val="-7"/>
      <w:sz w:val="18"/>
      <w:szCs w:val="18"/>
    </w:rPr>
  </w:style>
  <w:style w:type="character" w:customStyle="1" w:styleId="Balk107">
    <w:name w:val="Başlık #10 (7)_"/>
    <w:link w:val="Balk1070"/>
    <w:rsid w:val="0069783E"/>
    <w:rPr>
      <w:rFonts w:eastAsia="Times New Roman"/>
      <w:spacing w:val="9"/>
      <w:sz w:val="9"/>
      <w:szCs w:val="9"/>
      <w:shd w:val="clear" w:color="auto" w:fill="FFFFFF"/>
    </w:rPr>
  </w:style>
  <w:style w:type="paragraph" w:customStyle="1" w:styleId="Balk1070">
    <w:name w:val="Başlık #10 (7)"/>
    <w:basedOn w:val="Normal"/>
    <w:link w:val="Balk107"/>
    <w:rsid w:val="0069783E"/>
    <w:pPr>
      <w:shd w:val="clear" w:color="auto" w:fill="FFFFFF"/>
      <w:spacing w:line="0" w:lineRule="atLeast"/>
    </w:pPr>
    <w:rPr>
      <w:rFonts w:eastAsia="Times New Roman" w:cs="Times New Roman"/>
      <w:color w:val="auto"/>
      <w:spacing w:val="9"/>
      <w:sz w:val="9"/>
      <w:szCs w:val="9"/>
    </w:rPr>
  </w:style>
  <w:style w:type="character" w:customStyle="1" w:styleId="Balk868ptKalnDeiltalik0ptbolukbraklyor">
    <w:name w:val="Başlık #8 (6) + 8 pt;Kalın Değil;İtalik;0 pt boşluk bırakılıyor"/>
    <w:rsid w:val="0069783E"/>
    <w:rPr>
      <w:rFonts w:ascii="Times New Roman" w:eastAsia="Times New Roman" w:hAnsi="Times New Roman" w:cs="Times New Roman"/>
      <w:b/>
      <w:bCs/>
      <w:i/>
      <w:iCs/>
      <w:smallCaps w:val="0"/>
      <w:strike w:val="0"/>
      <w:color w:val="000000"/>
      <w:spacing w:val="-3"/>
      <w:w w:val="100"/>
      <w:position w:val="0"/>
      <w:sz w:val="16"/>
      <w:szCs w:val="16"/>
      <w:u w:val="none"/>
      <w:lang w:val="en-US"/>
    </w:rPr>
  </w:style>
  <w:style w:type="character" w:customStyle="1" w:styleId="Gvdemetni110">
    <w:name w:val="Gövde metni (11)"/>
    <w:basedOn w:val="VarsaylanParagrafYazTipi"/>
    <w:rsid w:val="008E5388"/>
    <w:rPr>
      <w:rFonts w:ascii="Segoe UI" w:eastAsia="Segoe UI" w:hAnsi="Segoe UI" w:cs="Segoe UI"/>
      <w:b/>
      <w:bCs/>
      <w:i w:val="0"/>
      <w:iCs w:val="0"/>
      <w:smallCaps w:val="0"/>
      <w:strike w:val="0"/>
      <w:color w:val="000000"/>
      <w:spacing w:val="-3"/>
      <w:w w:val="100"/>
      <w:position w:val="0"/>
      <w:sz w:val="13"/>
      <w:szCs w:val="13"/>
      <w:u w:val="none"/>
      <w:lang w:val="en-US"/>
    </w:rPr>
  </w:style>
  <w:style w:type="paragraph" w:styleId="SonnotMetni">
    <w:name w:val="endnote text"/>
    <w:basedOn w:val="Normal"/>
    <w:link w:val="SonnotMetniChar"/>
    <w:uiPriority w:val="99"/>
    <w:semiHidden/>
    <w:unhideWhenUsed/>
    <w:rsid w:val="00136F2B"/>
    <w:rPr>
      <w:sz w:val="20"/>
      <w:szCs w:val="20"/>
    </w:rPr>
  </w:style>
  <w:style w:type="character" w:customStyle="1" w:styleId="SonnotMetniChar">
    <w:name w:val="Sonnot Metni Char"/>
    <w:basedOn w:val="VarsaylanParagrafYazTipi"/>
    <w:link w:val="SonnotMetni"/>
    <w:uiPriority w:val="99"/>
    <w:semiHidden/>
    <w:rsid w:val="00136F2B"/>
    <w:rPr>
      <w:rFonts w:ascii="Courier New" w:eastAsia="Courier New" w:hAnsi="Courier New" w:cs="Courier New"/>
      <w:color w:val="000000"/>
      <w:lang w:val="en-US"/>
    </w:rPr>
  </w:style>
  <w:style w:type="character" w:styleId="SonnotBavurusu">
    <w:name w:val="endnote reference"/>
    <w:basedOn w:val="VarsaylanParagrafYazTipi"/>
    <w:uiPriority w:val="99"/>
    <w:semiHidden/>
    <w:unhideWhenUsed/>
    <w:rsid w:val="00136F2B"/>
    <w:rPr>
      <w:vertAlign w:val="superscript"/>
    </w:rPr>
  </w:style>
  <w:style w:type="character" w:customStyle="1" w:styleId="Tabloyazs5">
    <w:name w:val="Tablo yazısı (5)_"/>
    <w:link w:val="Tabloyazs50"/>
    <w:rsid w:val="005F4B71"/>
    <w:rPr>
      <w:rFonts w:eastAsia="Times New Roman"/>
      <w:spacing w:val="1"/>
      <w:sz w:val="17"/>
      <w:szCs w:val="17"/>
      <w:shd w:val="clear" w:color="auto" w:fill="FFFFFF"/>
    </w:rPr>
  </w:style>
  <w:style w:type="paragraph" w:customStyle="1" w:styleId="Tabloyazs50">
    <w:name w:val="Tablo yazısı (5)"/>
    <w:basedOn w:val="Normal"/>
    <w:link w:val="Tabloyazs5"/>
    <w:rsid w:val="005F4B71"/>
    <w:pPr>
      <w:shd w:val="clear" w:color="auto" w:fill="FFFFFF"/>
      <w:spacing w:line="0" w:lineRule="atLeast"/>
    </w:pPr>
    <w:rPr>
      <w:rFonts w:eastAsia="Times New Roman" w:cs="Times New Roman"/>
      <w:color w:val="auto"/>
      <w:spacing w:val="1"/>
      <w:sz w:val="17"/>
      <w:szCs w:val="17"/>
    </w:rPr>
  </w:style>
  <w:style w:type="paragraph" w:styleId="GvdeMetni6">
    <w:name w:val="Body Text"/>
    <w:basedOn w:val="Normal"/>
    <w:link w:val="GvdeMetniChar"/>
    <w:uiPriority w:val="1"/>
    <w:semiHidden/>
    <w:unhideWhenUsed/>
    <w:qFormat/>
    <w:rsid w:val="00206F43"/>
    <w:pPr>
      <w:ind w:left="20"/>
    </w:pPr>
    <w:rPr>
      <w:rFonts w:ascii="PMingLiU" w:eastAsia="PMingLiU" w:hAnsi="PMingLiU" w:cstheme="minorBidi"/>
      <w:color w:val="auto"/>
      <w:sz w:val="19"/>
      <w:szCs w:val="19"/>
      <w:lang w:eastAsia="en-US"/>
    </w:rPr>
  </w:style>
  <w:style w:type="character" w:customStyle="1" w:styleId="GvdeMetniChar">
    <w:name w:val="Gövde Metni Char"/>
    <w:basedOn w:val="VarsaylanParagrafYazTipi"/>
    <w:link w:val="GvdeMetni6"/>
    <w:uiPriority w:val="1"/>
    <w:semiHidden/>
    <w:rsid w:val="00206F43"/>
    <w:rPr>
      <w:rFonts w:ascii="PMingLiU" w:eastAsia="PMingLiU" w:hAnsi="PMingLiU" w:cstheme="minorBidi"/>
      <w:sz w:val="19"/>
      <w:szCs w:val="19"/>
      <w:lang w:val="en-US" w:eastAsia="en-US"/>
    </w:rPr>
  </w:style>
  <w:style w:type="paragraph" w:styleId="Dzeltme">
    <w:name w:val="Revision"/>
    <w:hidden/>
    <w:uiPriority w:val="99"/>
    <w:semiHidden/>
    <w:rsid w:val="005B794A"/>
    <w:rPr>
      <w:rFonts w:ascii="Courier New" w:eastAsia="Courier New" w:hAnsi="Courier New" w:cs="Courier New"/>
      <w:color w:val="000000"/>
      <w:sz w:val="24"/>
      <w:szCs w:val="24"/>
      <w:lang w:val="en-US"/>
    </w:rPr>
  </w:style>
  <w:style w:type="paragraph" w:customStyle="1" w:styleId="Gvdemetni254pt">
    <w:name w:val="Gövde metni (25) + 4 pt"/>
    <w:aliases w:val="İtalik,1 pt boşluk bırakılıyor"/>
    <w:basedOn w:val="Gvdemetni361"/>
    <w:rsid w:val="004F7D49"/>
    <w:pPr>
      <w:framePr w:hSpace="141" w:wrap="around" w:vAnchor="text" w:hAnchor="margin" w:xAlign="center" w:y="320"/>
      <w:shd w:val="clear" w:color="auto" w:fill="auto"/>
      <w:spacing w:before="120" w:after="120" w:line="240" w:lineRule="auto"/>
      <w:ind w:left="1134" w:hanging="1134"/>
      <w:suppressOverlap/>
    </w:pPr>
    <w:rPr>
      <w:sz w:val="24"/>
      <w:szCs w:val="24"/>
    </w:rPr>
  </w:style>
  <w:style w:type="paragraph" w:styleId="AklamaKonusu">
    <w:name w:val="annotation subject"/>
    <w:basedOn w:val="AklamaMetni"/>
    <w:next w:val="AklamaMetni"/>
    <w:link w:val="AklamaKonusuChar"/>
    <w:uiPriority w:val="99"/>
    <w:semiHidden/>
    <w:unhideWhenUsed/>
    <w:rsid w:val="00844C42"/>
    <w:pPr>
      <w:widowControl w:val="0"/>
      <w:autoSpaceDE/>
      <w:autoSpaceDN/>
      <w:spacing w:before="0" w:after="0"/>
      <w:jc w:val="left"/>
    </w:pPr>
    <w:rPr>
      <w:rFonts w:eastAsia="Courier New" w:cs="Courier New"/>
      <w:b/>
      <w:bCs/>
      <w:color w:val="000000"/>
      <w:lang w:val="tr-TR"/>
    </w:rPr>
  </w:style>
  <w:style w:type="character" w:customStyle="1" w:styleId="AklamaKonusuChar">
    <w:name w:val="Açıklama Konusu Char"/>
    <w:basedOn w:val="AklamaMetniChar"/>
    <w:link w:val="AklamaKonusu"/>
    <w:uiPriority w:val="99"/>
    <w:semiHidden/>
    <w:rsid w:val="00844C42"/>
    <w:rPr>
      <w:rFonts w:eastAsia="Courier New" w:cs="Courier New"/>
      <w:b/>
      <w:bCs/>
      <w:color w:val="000000"/>
      <w:lang w:val="fr-FR"/>
    </w:rPr>
  </w:style>
  <w:style w:type="character" w:customStyle="1" w:styleId="zmlenmeyenBahsetme1">
    <w:name w:val="Çözümlenmeyen Bahsetme1"/>
    <w:basedOn w:val="VarsaylanParagrafYazTipi"/>
    <w:uiPriority w:val="99"/>
    <w:semiHidden/>
    <w:unhideWhenUsed/>
    <w:rsid w:val="00590D9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09.emf"/><Relationship Id="rId21" Type="http://schemas.openxmlformats.org/officeDocument/2006/relationships/image" Target="media/image13.emf"/><Relationship Id="rId63" Type="http://schemas.openxmlformats.org/officeDocument/2006/relationships/image" Target="media/image55.png"/><Relationship Id="rId159" Type="http://schemas.openxmlformats.org/officeDocument/2006/relationships/image" Target="media/image151.jpeg"/><Relationship Id="rId170" Type="http://schemas.openxmlformats.org/officeDocument/2006/relationships/image" Target="media/image162.emf"/><Relationship Id="rId226" Type="http://schemas.openxmlformats.org/officeDocument/2006/relationships/image" Target="media/image218.jpeg"/><Relationship Id="rId268" Type="http://schemas.openxmlformats.org/officeDocument/2006/relationships/image" Target="media/image260.jpeg"/><Relationship Id="rId32" Type="http://schemas.openxmlformats.org/officeDocument/2006/relationships/image" Target="media/image24.png"/><Relationship Id="rId74" Type="http://schemas.openxmlformats.org/officeDocument/2006/relationships/image" Target="media/image66.png"/><Relationship Id="rId128" Type="http://schemas.openxmlformats.org/officeDocument/2006/relationships/image" Target="media/image120.emf"/><Relationship Id="rId5" Type="http://schemas.openxmlformats.org/officeDocument/2006/relationships/settings" Target="settings.xml"/><Relationship Id="rId181" Type="http://schemas.openxmlformats.org/officeDocument/2006/relationships/image" Target="media/image173.jpeg"/><Relationship Id="rId237" Type="http://schemas.openxmlformats.org/officeDocument/2006/relationships/image" Target="media/image229.jpeg"/><Relationship Id="rId279" Type="http://schemas.openxmlformats.org/officeDocument/2006/relationships/image" Target="media/image271.jpeg"/><Relationship Id="rId43" Type="http://schemas.openxmlformats.org/officeDocument/2006/relationships/image" Target="media/image35.jpeg"/><Relationship Id="rId139" Type="http://schemas.openxmlformats.org/officeDocument/2006/relationships/image" Target="media/image131.emf"/><Relationship Id="rId85" Type="http://schemas.openxmlformats.org/officeDocument/2006/relationships/image" Target="media/image77.png"/><Relationship Id="rId150" Type="http://schemas.openxmlformats.org/officeDocument/2006/relationships/image" Target="media/image142.jpeg"/><Relationship Id="rId192" Type="http://schemas.openxmlformats.org/officeDocument/2006/relationships/image" Target="media/image184.jpeg"/><Relationship Id="rId206" Type="http://schemas.openxmlformats.org/officeDocument/2006/relationships/image" Target="media/image198.jpeg"/><Relationship Id="rId248" Type="http://schemas.openxmlformats.org/officeDocument/2006/relationships/image" Target="media/image240.jpeg"/><Relationship Id="rId269" Type="http://schemas.openxmlformats.org/officeDocument/2006/relationships/image" Target="media/image261.jpeg"/><Relationship Id="rId12" Type="http://schemas.openxmlformats.org/officeDocument/2006/relationships/image" Target="media/image4.png"/><Relationship Id="rId33" Type="http://schemas.openxmlformats.org/officeDocument/2006/relationships/image" Target="media/image25.png"/><Relationship Id="rId108" Type="http://schemas.openxmlformats.org/officeDocument/2006/relationships/image" Target="media/image100.emf"/><Relationship Id="rId129" Type="http://schemas.openxmlformats.org/officeDocument/2006/relationships/image" Target="media/image121.emf"/><Relationship Id="rId280" Type="http://schemas.openxmlformats.org/officeDocument/2006/relationships/image" Target="media/image272.jpeg"/><Relationship Id="rId54" Type="http://schemas.openxmlformats.org/officeDocument/2006/relationships/image" Target="media/image46.png"/><Relationship Id="rId75" Type="http://schemas.openxmlformats.org/officeDocument/2006/relationships/image" Target="media/image67.png"/><Relationship Id="rId96" Type="http://schemas.openxmlformats.org/officeDocument/2006/relationships/image" Target="media/image88.png"/><Relationship Id="rId140" Type="http://schemas.openxmlformats.org/officeDocument/2006/relationships/image" Target="media/image132.jpeg"/><Relationship Id="rId161" Type="http://schemas.openxmlformats.org/officeDocument/2006/relationships/image" Target="media/image153.emf"/><Relationship Id="rId182" Type="http://schemas.openxmlformats.org/officeDocument/2006/relationships/image" Target="media/image174.jpeg"/><Relationship Id="rId217" Type="http://schemas.openxmlformats.org/officeDocument/2006/relationships/image" Target="media/image209.jpeg"/><Relationship Id="rId6" Type="http://schemas.openxmlformats.org/officeDocument/2006/relationships/webSettings" Target="webSettings.xml"/><Relationship Id="rId238" Type="http://schemas.openxmlformats.org/officeDocument/2006/relationships/image" Target="media/image230.jpeg"/><Relationship Id="rId259" Type="http://schemas.openxmlformats.org/officeDocument/2006/relationships/image" Target="media/image251.jpeg"/><Relationship Id="rId23" Type="http://schemas.openxmlformats.org/officeDocument/2006/relationships/image" Target="media/image15.emf"/><Relationship Id="rId119" Type="http://schemas.openxmlformats.org/officeDocument/2006/relationships/image" Target="media/image111.emf"/><Relationship Id="rId270" Type="http://schemas.openxmlformats.org/officeDocument/2006/relationships/image" Target="media/image262.jpeg"/><Relationship Id="rId44" Type="http://schemas.openxmlformats.org/officeDocument/2006/relationships/image" Target="media/image36.jpeg"/><Relationship Id="rId65" Type="http://schemas.openxmlformats.org/officeDocument/2006/relationships/image" Target="media/image57.png"/><Relationship Id="rId86" Type="http://schemas.openxmlformats.org/officeDocument/2006/relationships/image" Target="media/image78.png"/><Relationship Id="rId130" Type="http://schemas.openxmlformats.org/officeDocument/2006/relationships/image" Target="media/image122.emf"/><Relationship Id="rId151" Type="http://schemas.openxmlformats.org/officeDocument/2006/relationships/image" Target="media/image143.jpeg"/><Relationship Id="rId172" Type="http://schemas.openxmlformats.org/officeDocument/2006/relationships/image" Target="media/image164.emf"/><Relationship Id="rId193" Type="http://schemas.openxmlformats.org/officeDocument/2006/relationships/image" Target="media/image185.jpeg"/><Relationship Id="rId207" Type="http://schemas.openxmlformats.org/officeDocument/2006/relationships/image" Target="media/image199.jpeg"/><Relationship Id="rId228" Type="http://schemas.openxmlformats.org/officeDocument/2006/relationships/image" Target="media/image220.jpeg"/><Relationship Id="rId249" Type="http://schemas.openxmlformats.org/officeDocument/2006/relationships/image" Target="media/image241.jpeg"/><Relationship Id="rId13" Type="http://schemas.openxmlformats.org/officeDocument/2006/relationships/image" Target="media/image5.png"/><Relationship Id="rId109" Type="http://schemas.openxmlformats.org/officeDocument/2006/relationships/image" Target="media/image101.emf"/><Relationship Id="rId260" Type="http://schemas.openxmlformats.org/officeDocument/2006/relationships/image" Target="media/image252.jpeg"/><Relationship Id="rId281" Type="http://schemas.openxmlformats.org/officeDocument/2006/relationships/image" Target="media/image273.jpeg"/><Relationship Id="rId34" Type="http://schemas.openxmlformats.org/officeDocument/2006/relationships/image" Target="media/image26.png"/><Relationship Id="rId55" Type="http://schemas.openxmlformats.org/officeDocument/2006/relationships/image" Target="media/image47.emf"/><Relationship Id="rId76" Type="http://schemas.openxmlformats.org/officeDocument/2006/relationships/image" Target="media/image68.png"/><Relationship Id="rId97" Type="http://schemas.openxmlformats.org/officeDocument/2006/relationships/image" Target="media/image89.png"/><Relationship Id="rId120" Type="http://schemas.openxmlformats.org/officeDocument/2006/relationships/image" Target="media/image112.emf"/><Relationship Id="rId141" Type="http://schemas.openxmlformats.org/officeDocument/2006/relationships/image" Target="media/image133.emf"/><Relationship Id="rId7" Type="http://schemas.openxmlformats.org/officeDocument/2006/relationships/footnotes" Target="footnotes.xml"/><Relationship Id="rId162" Type="http://schemas.openxmlformats.org/officeDocument/2006/relationships/image" Target="media/image154.emf"/><Relationship Id="rId183" Type="http://schemas.openxmlformats.org/officeDocument/2006/relationships/image" Target="media/image175.jpeg"/><Relationship Id="rId218" Type="http://schemas.openxmlformats.org/officeDocument/2006/relationships/image" Target="media/image210.jpeg"/><Relationship Id="rId239" Type="http://schemas.openxmlformats.org/officeDocument/2006/relationships/image" Target="media/image231.jpeg"/><Relationship Id="rId250" Type="http://schemas.openxmlformats.org/officeDocument/2006/relationships/image" Target="media/image242.jpeg"/><Relationship Id="rId271" Type="http://schemas.openxmlformats.org/officeDocument/2006/relationships/image" Target="media/image263.jpeg"/><Relationship Id="rId24" Type="http://schemas.openxmlformats.org/officeDocument/2006/relationships/image" Target="media/image16.jpeg"/><Relationship Id="rId45" Type="http://schemas.openxmlformats.org/officeDocument/2006/relationships/image" Target="media/image37.jpeg"/><Relationship Id="rId66" Type="http://schemas.openxmlformats.org/officeDocument/2006/relationships/image" Target="media/image58.png"/><Relationship Id="rId87" Type="http://schemas.openxmlformats.org/officeDocument/2006/relationships/image" Target="media/image79.png"/><Relationship Id="rId110" Type="http://schemas.openxmlformats.org/officeDocument/2006/relationships/image" Target="media/image102.emf"/><Relationship Id="rId131" Type="http://schemas.openxmlformats.org/officeDocument/2006/relationships/image" Target="media/image123.emf"/><Relationship Id="rId152" Type="http://schemas.openxmlformats.org/officeDocument/2006/relationships/image" Target="media/image144.jpeg"/><Relationship Id="rId173" Type="http://schemas.openxmlformats.org/officeDocument/2006/relationships/image" Target="media/image165.emf"/><Relationship Id="rId194" Type="http://schemas.openxmlformats.org/officeDocument/2006/relationships/image" Target="media/image186.jpeg"/><Relationship Id="rId208" Type="http://schemas.openxmlformats.org/officeDocument/2006/relationships/image" Target="media/image200.jpeg"/><Relationship Id="rId229" Type="http://schemas.openxmlformats.org/officeDocument/2006/relationships/image" Target="media/image221.jpeg"/><Relationship Id="rId240" Type="http://schemas.openxmlformats.org/officeDocument/2006/relationships/image" Target="media/image232.jpeg"/><Relationship Id="rId261" Type="http://schemas.openxmlformats.org/officeDocument/2006/relationships/image" Target="media/image253.jpeg"/><Relationship Id="rId14" Type="http://schemas.openxmlformats.org/officeDocument/2006/relationships/image" Target="media/image6.png"/><Relationship Id="rId35" Type="http://schemas.openxmlformats.org/officeDocument/2006/relationships/image" Target="media/image27.jpeg"/><Relationship Id="rId56" Type="http://schemas.openxmlformats.org/officeDocument/2006/relationships/image" Target="media/image48.emf"/><Relationship Id="rId77" Type="http://schemas.openxmlformats.org/officeDocument/2006/relationships/image" Target="media/image69.png"/><Relationship Id="rId100" Type="http://schemas.openxmlformats.org/officeDocument/2006/relationships/image" Target="media/image92.png"/><Relationship Id="rId282" Type="http://schemas.openxmlformats.org/officeDocument/2006/relationships/image" Target="media/image274.jpeg"/><Relationship Id="rId8" Type="http://schemas.openxmlformats.org/officeDocument/2006/relationships/endnotes" Target="endnotes.xml"/><Relationship Id="rId98" Type="http://schemas.openxmlformats.org/officeDocument/2006/relationships/image" Target="media/image90.png"/><Relationship Id="rId121" Type="http://schemas.openxmlformats.org/officeDocument/2006/relationships/image" Target="media/image113.emf"/><Relationship Id="rId142" Type="http://schemas.openxmlformats.org/officeDocument/2006/relationships/image" Target="media/image134.emf"/><Relationship Id="rId163" Type="http://schemas.openxmlformats.org/officeDocument/2006/relationships/image" Target="media/image155.emf"/><Relationship Id="rId184" Type="http://schemas.openxmlformats.org/officeDocument/2006/relationships/image" Target="media/image176.emf"/><Relationship Id="rId219" Type="http://schemas.openxmlformats.org/officeDocument/2006/relationships/image" Target="media/image211.jpeg"/><Relationship Id="rId230" Type="http://schemas.openxmlformats.org/officeDocument/2006/relationships/image" Target="media/image222.jpeg"/><Relationship Id="rId251" Type="http://schemas.openxmlformats.org/officeDocument/2006/relationships/image" Target="media/image243.jpeg"/><Relationship Id="rId25" Type="http://schemas.openxmlformats.org/officeDocument/2006/relationships/image" Target="media/image17.jpeg"/><Relationship Id="rId46" Type="http://schemas.openxmlformats.org/officeDocument/2006/relationships/image" Target="media/image38.jpeg"/><Relationship Id="rId67" Type="http://schemas.openxmlformats.org/officeDocument/2006/relationships/image" Target="media/image59.png"/><Relationship Id="rId272" Type="http://schemas.openxmlformats.org/officeDocument/2006/relationships/image" Target="media/image264.jpeg"/><Relationship Id="rId88" Type="http://schemas.openxmlformats.org/officeDocument/2006/relationships/image" Target="media/image80.png"/><Relationship Id="rId111" Type="http://schemas.openxmlformats.org/officeDocument/2006/relationships/image" Target="media/image103.emf"/><Relationship Id="rId132" Type="http://schemas.openxmlformats.org/officeDocument/2006/relationships/image" Target="media/image124.emf"/><Relationship Id="rId153" Type="http://schemas.openxmlformats.org/officeDocument/2006/relationships/image" Target="media/image145.jpeg"/><Relationship Id="rId174" Type="http://schemas.openxmlformats.org/officeDocument/2006/relationships/image" Target="media/image166.emf"/><Relationship Id="rId195" Type="http://schemas.openxmlformats.org/officeDocument/2006/relationships/image" Target="media/image187.jpeg"/><Relationship Id="rId209" Type="http://schemas.openxmlformats.org/officeDocument/2006/relationships/image" Target="media/image201.jpeg"/><Relationship Id="rId220" Type="http://schemas.openxmlformats.org/officeDocument/2006/relationships/image" Target="media/image212.emf"/><Relationship Id="rId241" Type="http://schemas.openxmlformats.org/officeDocument/2006/relationships/image" Target="media/image233.jpeg"/><Relationship Id="rId15" Type="http://schemas.openxmlformats.org/officeDocument/2006/relationships/image" Target="media/image7.png"/><Relationship Id="rId36" Type="http://schemas.openxmlformats.org/officeDocument/2006/relationships/image" Target="media/image28.jpeg"/><Relationship Id="rId57" Type="http://schemas.openxmlformats.org/officeDocument/2006/relationships/image" Target="media/image49.jpeg"/><Relationship Id="rId262" Type="http://schemas.openxmlformats.org/officeDocument/2006/relationships/image" Target="media/image254.jpeg"/><Relationship Id="rId283" Type="http://schemas.openxmlformats.org/officeDocument/2006/relationships/image" Target="media/image275.jpeg"/><Relationship Id="rId78" Type="http://schemas.openxmlformats.org/officeDocument/2006/relationships/image" Target="media/image70.png"/><Relationship Id="rId99" Type="http://schemas.openxmlformats.org/officeDocument/2006/relationships/image" Target="media/image91.jpeg"/><Relationship Id="rId101" Type="http://schemas.openxmlformats.org/officeDocument/2006/relationships/image" Target="media/image93.png"/><Relationship Id="rId122" Type="http://schemas.openxmlformats.org/officeDocument/2006/relationships/image" Target="media/image114.emf"/><Relationship Id="rId143" Type="http://schemas.openxmlformats.org/officeDocument/2006/relationships/image" Target="media/image135.jpeg"/><Relationship Id="rId164" Type="http://schemas.openxmlformats.org/officeDocument/2006/relationships/image" Target="media/image156.emf"/><Relationship Id="rId185" Type="http://schemas.openxmlformats.org/officeDocument/2006/relationships/image" Target="media/image177.jpeg"/><Relationship Id="rId9" Type="http://schemas.openxmlformats.org/officeDocument/2006/relationships/image" Target="media/image1.png"/><Relationship Id="rId210" Type="http://schemas.openxmlformats.org/officeDocument/2006/relationships/image" Target="media/image202.jpeg"/><Relationship Id="rId26" Type="http://schemas.openxmlformats.org/officeDocument/2006/relationships/image" Target="media/image18.emf"/><Relationship Id="rId231" Type="http://schemas.openxmlformats.org/officeDocument/2006/relationships/image" Target="media/image223.jpeg"/><Relationship Id="rId252" Type="http://schemas.openxmlformats.org/officeDocument/2006/relationships/image" Target="media/image244.jpeg"/><Relationship Id="rId273" Type="http://schemas.openxmlformats.org/officeDocument/2006/relationships/image" Target="media/image265.jpeg"/><Relationship Id="rId294" Type="http://schemas.microsoft.com/office/2016/09/relationships/commentsIds" Target="commentsIds.xml"/><Relationship Id="rId47" Type="http://schemas.openxmlformats.org/officeDocument/2006/relationships/image" Target="media/image39.jpeg"/><Relationship Id="rId68" Type="http://schemas.openxmlformats.org/officeDocument/2006/relationships/image" Target="media/image60.png"/><Relationship Id="rId89" Type="http://schemas.openxmlformats.org/officeDocument/2006/relationships/image" Target="media/image81.png"/><Relationship Id="rId112" Type="http://schemas.openxmlformats.org/officeDocument/2006/relationships/image" Target="media/image104.emf"/><Relationship Id="rId133" Type="http://schemas.openxmlformats.org/officeDocument/2006/relationships/image" Target="media/image125.emf"/><Relationship Id="rId154" Type="http://schemas.openxmlformats.org/officeDocument/2006/relationships/image" Target="media/image146.jpeg"/><Relationship Id="rId175" Type="http://schemas.openxmlformats.org/officeDocument/2006/relationships/image" Target="media/image167.jpeg"/><Relationship Id="rId196" Type="http://schemas.openxmlformats.org/officeDocument/2006/relationships/image" Target="media/image188.jpeg"/><Relationship Id="rId200" Type="http://schemas.openxmlformats.org/officeDocument/2006/relationships/image" Target="media/image192.jpeg"/><Relationship Id="rId16" Type="http://schemas.openxmlformats.org/officeDocument/2006/relationships/image" Target="media/image8.png"/><Relationship Id="rId221" Type="http://schemas.openxmlformats.org/officeDocument/2006/relationships/image" Target="media/image213.jpeg"/><Relationship Id="rId242" Type="http://schemas.openxmlformats.org/officeDocument/2006/relationships/image" Target="media/image234.emf"/><Relationship Id="rId263" Type="http://schemas.openxmlformats.org/officeDocument/2006/relationships/image" Target="media/image255.jpeg"/><Relationship Id="rId284" Type="http://schemas.openxmlformats.org/officeDocument/2006/relationships/image" Target="media/image276.jpeg"/><Relationship Id="rId37" Type="http://schemas.openxmlformats.org/officeDocument/2006/relationships/image" Target="media/image29.jpeg"/><Relationship Id="rId58" Type="http://schemas.openxmlformats.org/officeDocument/2006/relationships/image" Target="media/image50.jpeg"/><Relationship Id="rId79" Type="http://schemas.openxmlformats.org/officeDocument/2006/relationships/image" Target="media/image71.png"/><Relationship Id="rId102" Type="http://schemas.openxmlformats.org/officeDocument/2006/relationships/image" Target="media/image94.png"/><Relationship Id="rId123" Type="http://schemas.openxmlformats.org/officeDocument/2006/relationships/image" Target="media/image115.emf"/><Relationship Id="rId144" Type="http://schemas.openxmlformats.org/officeDocument/2006/relationships/image" Target="media/image136.jpeg"/><Relationship Id="rId90" Type="http://schemas.openxmlformats.org/officeDocument/2006/relationships/image" Target="media/image82.png"/><Relationship Id="rId165" Type="http://schemas.openxmlformats.org/officeDocument/2006/relationships/image" Target="media/image157.emf"/><Relationship Id="rId186" Type="http://schemas.openxmlformats.org/officeDocument/2006/relationships/image" Target="media/image178.jpeg"/><Relationship Id="rId211" Type="http://schemas.openxmlformats.org/officeDocument/2006/relationships/image" Target="media/image203.jpeg"/><Relationship Id="rId232" Type="http://schemas.openxmlformats.org/officeDocument/2006/relationships/image" Target="media/image224.jpeg"/><Relationship Id="rId253" Type="http://schemas.openxmlformats.org/officeDocument/2006/relationships/image" Target="media/image245.jpeg"/><Relationship Id="rId274" Type="http://schemas.openxmlformats.org/officeDocument/2006/relationships/image" Target="media/image266.jpeg"/><Relationship Id="rId27" Type="http://schemas.openxmlformats.org/officeDocument/2006/relationships/image" Target="media/image19.jpeg"/><Relationship Id="rId48" Type="http://schemas.openxmlformats.org/officeDocument/2006/relationships/image" Target="media/image40.png"/><Relationship Id="rId69" Type="http://schemas.openxmlformats.org/officeDocument/2006/relationships/image" Target="media/image61.png"/><Relationship Id="rId113" Type="http://schemas.openxmlformats.org/officeDocument/2006/relationships/image" Target="media/image105.emf"/><Relationship Id="rId134" Type="http://schemas.openxmlformats.org/officeDocument/2006/relationships/image" Target="media/image126.emf"/><Relationship Id="rId80" Type="http://schemas.openxmlformats.org/officeDocument/2006/relationships/image" Target="media/image72.png"/><Relationship Id="rId155" Type="http://schemas.openxmlformats.org/officeDocument/2006/relationships/image" Target="media/image147.jpeg"/><Relationship Id="rId176" Type="http://schemas.openxmlformats.org/officeDocument/2006/relationships/image" Target="media/image168.png"/><Relationship Id="rId197" Type="http://schemas.openxmlformats.org/officeDocument/2006/relationships/image" Target="media/image189.jpeg"/><Relationship Id="rId201" Type="http://schemas.openxmlformats.org/officeDocument/2006/relationships/image" Target="media/image193.jpeg"/><Relationship Id="rId222" Type="http://schemas.openxmlformats.org/officeDocument/2006/relationships/image" Target="media/image214.jpeg"/><Relationship Id="rId243" Type="http://schemas.openxmlformats.org/officeDocument/2006/relationships/image" Target="media/image235.jpeg"/><Relationship Id="rId264" Type="http://schemas.openxmlformats.org/officeDocument/2006/relationships/image" Target="media/image256.jpeg"/><Relationship Id="rId285" Type="http://schemas.openxmlformats.org/officeDocument/2006/relationships/image" Target="media/image277.jpeg"/><Relationship Id="rId17" Type="http://schemas.openxmlformats.org/officeDocument/2006/relationships/image" Target="media/image9.png"/><Relationship Id="rId38" Type="http://schemas.openxmlformats.org/officeDocument/2006/relationships/image" Target="media/image30.jpeg"/><Relationship Id="rId59" Type="http://schemas.openxmlformats.org/officeDocument/2006/relationships/image" Target="media/image51.jpeg"/><Relationship Id="rId103" Type="http://schemas.openxmlformats.org/officeDocument/2006/relationships/image" Target="media/image95.png"/><Relationship Id="rId124" Type="http://schemas.openxmlformats.org/officeDocument/2006/relationships/image" Target="media/image116.emf"/><Relationship Id="rId70" Type="http://schemas.openxmlformats.org/officeDocument/2006/relationships/image" Target="media/image62.png"/><Relationship Id="rId91" Type="http://schemas.openxmlformats.org/officeDocument/2006/relationships/image" Target="media/image83.png"/><Relationship Id="rId145" Type="http://schemas.openxmlformats.org/officeDocument/2006/relationships/image" Target="media/image137.jpeg"/><Relationship Id="rId166" Type="http://schemas.openxmlformats.org/officeDocument/2006/relationships/image" Target="media/image158.emf"/><Relationship Id="rId187" Type="http://schemas.openxmlformats.org/officeDocument/2006/relationships/image" Target="media/image179.jpeg"/><Relationship Id="rId1" Type="http://schemas.openxmlformats.org/officeDocument/2006/relationships/customXml" Target="../customXml/item1.xml"/><Relationship Id="rId212" Type="http://schemas.openxmlformats.org/officeDocument/2006/relationships/image" Target="media/image204.jpeg"/><Relationship Id="rId233" Type="http://schemas.openxmlformats.org/officeDocument/2006/relationships/image" Target="media/image225.jpeg"/><Relationship Id="rId254" Type="http://schemas.openxmlformats.org/officeDocument/2006/relationships/image" Target="media/image246.jpeg"/><Relationship Id="rId28" Type="http://schemas.openxmlformats.org/officeDocument/2006/relationships/image" Target="media/image20.jpeg"/><Relationship Id="rId49" Type="http://schemas.openxmlformats.org/officeDocument/2006/relationships/image" Target="media/image41.emf"/><Relationship Id="rId114" Type="http://schemas.openxmlformats.org/officeDocument/2006/relationships/image" Target="media/image106.emf"/><Relationship Id="rId275" Type="http://schemas.openxmlformats.org/officeDocument/2006/relationships/image" Target="media/image267.jpeg"/><Relationship Id="rId60" Type="http://schemas.openxmlformats.org/officeDocument/2006/relationships/image" Target="media/image52.jpeg"/><Relationship Id="rId81" Type="http://schemas.openxmlformats.org/officeDocument/2006/relationships/image" Target="media/image73.png"/><Relationship Id="rId135" Type="http://schemas.openxmlformats.org/officeDocument/2006/relationships/image" Target="media/image127.emf"/><Relationship Id="rId156" Type="http://schemas.openxmlformats.org/officeDocument/2006/relationships/image" Target="media/image148.jpeg"/><Relationship Id="rId177" Type="http://schemas.openxmlformats.org/officeDocument/2006/relationships/image" Target="media/image169.emf"/><Relationship Id="rId198" Type="http://schemas.openxmlformats.org/officeDocument/2006/relationships/image" Target="media/image190.jpeg"/><Relationship Id="rId202" Type="http://schemas.openxmlformats.org/officeDocument/2006/relationships/image" Target="media/image194.jpeg"/><Relationship Id="rId223" Type="http://schemas.openxmlformats.org/officeDocument/2006/relationships/image" Target="media/image215.jpeg"/><Relationship Id="rId244" Type="http://schemas.openxmlformats.org/officeDocument/2006/relationships/image" Target="media/image236.jpeg"/><Relationship Id="rId18" Type="http://schemas.openxmlformats.org/officeDocument/2006/relationships/image" Target="media/image10.emf"/><Relationship Id="rId39" Type="http://schemas.openxmlformats.org/officeDocument/2006/relationships/image" Target="media/image31.jpeg"/><Relationship Id="rId265" Type="http://schemas.openxmlformats.org/officeDocument/2006/relationships/image" Target="media/image257.jpeg"/><Relationship Id="rId286" Type="http://schemas.openxmlformats.org/officeDocument/2006/relationships/image" Target="media/image278.emf"/><Relationship Id="rId50" Type="http://schemas.openxmlformats.org/officeDocument/2006/relationships/image" Target="media/image42.emf"/><Relationship Id="rId104" Type="http://schemas.openxmlformats.org/officeDocument/2006/relationships/image" Target="media/image96.emf"/><Relationship Id="rId125" Type="http://schemas.openxmlformats.org/officeDocument/2006/relationships/image" Target="media/image117.emf"/><Relationship Id="rId146" Type="http://schemas.openxmlformats.org/officeDocument/2006/relationships/image" Target="media/image138.jpeg"/><Relationship Id="rId167" Type="http://schemas.openxmlformats.org/officeDocument/2006/relationships/image" Target="media/image159.jpeg"/><Relationship Id="rId188" Type="http://schemas.openxmlformats.org/officeDocument/2006/relationships/image" Target="media/image180.jpeg"/><Relationship Id="rId71" Type="http://schemas.openxmlformats.org/officeDocument/2006/relationships/image" Target="media/image63.png"/><Relationship Id="rId92" Type="http://schemas.openxmlformats.org/officeDocument/2006/relationships/image" Target="media/image84.png"/><Relationship Id="rId213" Type="http://schemas.openxmlformats.org/officeDocument/2006/relationships/image" Target="media/image205.jpeg"/><Relationship Id="rId234" Type="http://schemas.openxmlformats.org/officeDocument/2006/relationships/image" Target="media/image226.jpeg"/><Relationship Id="rId2" Type="http://schemas.openxmlformats.org/officeDocument/2006/relationships/customXml" Target="../customXml/item2.xml"/><Relationship Id="rId29" Type="http://schemas.openxmlformats.org/officeDocument/2006/relationships/image" Target="media/image21.jpeg"/><Relationship Id="rId255" Type="http://schemas.openxmlformats.org/officeDocument/2006/relationships/image" Target="media/image247.jpeg"/><Relationship Id="rId276" Type="http://schemas.openxmlformats.org/officeDocument/2006/relationships/image" Target="media/image268.jpeg"/><Relationship Id="rId40" Type="http://schemas.openxmlformats.org/officeDocument/2006/relationships/image" Target="media/image32.png"/><Relationship Id="rId115" Type="http://schemas.openxmlformats.org/officeDocument/2006/relationships/image" Target="media/image107.emf"/><Relationship Id="rId136" Type="http://schemas.openxmlformats.org/officeDocument/2006/relationships/image" Target="media/image128.emf"/><Relationship Id="rId157" Type="http://schemas.openxmlformats.org/officeDocument/2006/relationships/image" Target="media/image149.jpeg"/><Relationship Id="rId178" Type="http://schemas.openxmlformats.org/officeDocument/2006/relationships/image" Target="media/image170.jpeg"/><Relationship Id="rId61" Type="http://schemas.openxmlformats.org/officeDocument/2006/relationships/image" Target="media/image53.jpeg"/><Relationship Id="rId82" Type="http://schemas.openxmlformats.org/officeDocument/2006/relationships/image" Target="media/image74.png"/><Relationship Id="rId199" Type="http://schemas.openxmlformats.org/officeDocument/2006/relationships/image" Target="media/image191.jpeg"/><Relationship Id="rId203" Type="http://schemas.openxmlformats.org/officeDocument/2006/relationships/image" Target="media/image195.jpeg"/><Relationship Id="rId19" Type="http://schemas.openxmlformats.org/officeDocument/2006/relationships/image" Target="media/image11.jpeg"/><Relationship Id="rId224" Type="http://schemas.openxmlformats.org/officeDocument/2006/relationships/image" Target="media/image216.jpeg"/><Relationship Id="rId245" Type="http://schemas.openxmlformats.org/officeDocument/2006/relationships/image" Target="media/image237.jpeg"/><Relationship Id="rId266" Type="http://schemas.openxmlformats.org/officeDocument/2006/relationships/image" Target="media/image258.jpeg"/><Relationship Id="rId287" Type="http://schemas.openxmlformats.org/officeDocument/2006/relationships/image" Target="media/image279.emf"/><Relationship Id="rId30" Type="http://schemas.openxmlformats.org/officeDocument/2006/relationships/image" Target="media/image22.jpeg"/><Relationship Id="rId105" Type="http://schemas.openxmlformats.org/officeDocument/2006/relationships/image" Target="media/image97.emf"/><Relationship Id="rId126" Type="http://schemas.openxmlformats.org/officeDocument/2006/relationships/image" Target="media/image118.emf"/><Relationship Id="rId147" Type="http://schemas.openxmlformats.org/officeDocument/2006/relationships/image" Target="media/image139.jpeg"/><Relationship Id="rId168" Type="http://schemas.openxmlformats.org/officeDocument/2006/relationships/image" Target="media/image160.jpeg"/><Relationship Id="rId51" Type="http://schemas.openxmlformats.org/officeDocument/2006/relationships/image" Target="media/image43.jpeg"/><Relationship Id="rId72" Type="http://schemas.openxmlformats.org/officeDocument/2006/relationships/image" Target="media/image64.jpeg"/><Relationship Id="rId93" Type="http://schemas.openxmlformats.org/officeDocument/2006/relationships/image" Target="media/image85.png"/><Relationship Id="rId189" Type="http://schemas.openxmlformats.org/officeDocument/2006/relationships/image" Target="media/image181.jpeg"/><Relationship Id="rId3" Type="http://schemas.openxmlformats.org/officeDocument/2006/relationships/numbering" Target="numbering.xml"/><Relationship Id="rId214" Type="http://schemas.openxmlformats.org/officeDocument/2006/relationships/image" Target="media/image206.jpeg"/><Relationship Id="rId235" Type="http://schemas.openxmlformats.org/officeDocument/2006/relationships/image" Target="media/image227.jpeg"/><Relationship Id="rId256" Type="http://schemas.openxmlformats.org/officeDocument/2006/relationships/image" Target="media/image248.jpeg"/><Relationship Id="rId277" Type="http://schemas.openxmlformats.org/officeDocument/2006/relationships/image" Target="media/image269.jpeg"/><Relationship Id="rId116" Type="http://schemas.openxmlformats.org/officeDocument/2006/relationships/image" Target="media/image108.emf"/><Relationship Id="rId137" Type="http://schemas.openxmlformats.org/officeDocument/2006/relationships/image" Target="media/image129.jpeg"/><Relationship Id="rId158" Type="http://schemas.openxmlformats.org/officeDocument/2006/relationships/image" Target="media/image150.jpeg"/><Relationship Id="rId20" Type="http://schemas.openxmlformats.org/officeDocument/2006/relationships/image" Target="media/image12.emf"/><Relationship Id="rId41" Type="http://schemas.openxmlformats.org/officeDocument/2006/relationships/image" Target="media/image33.jpeg"/><Relationship Id="rId62" Type="http://schemas.openxmlformats.org/officeDocument/2006/relationships/image" Target="media/image54.png"/><Relationship Id="rId83" Type="http://schemas.openxmlformats.org/officeDocument/2006/relationships/image" Target="media/image75.png"/><Relationship Id="rId179" Type="http://schemas.openxmlformats.org/officeDocument/2006/relationships/image" Target="media/image171.jpeg"/><Relationship Id="rId190" Type="http://schemas.openxmlformats.org/officeDocument/2006/relationships/image" Target="media/image182.jpeg"/><Relationship Id="rId204" Type="http://schemas.openxmlformats.org/officeDocument/2006/relationships/image" Target="media/image196.jpeg"/><Relationship Id="rId225" Type="http://schemas.openxmlformats.org/officeDocument/2006/relationships/image" Target="media/image217.jpeg"/><Relationship Id="rId246" Type="http://schemas.openxmlformats.org/officeDocument/2006/relationships/image" Target="media/image238.jpeg"/><Relationship Id="rId267" Type="http://schemas.openxmlformats.org/officeDocument/2006/relationships/image" Target="media/image259.jpeg"/><Relationship Id="rId288" Type="http://schemas.openxmlformats.org/officeDocument/2006/relationships/fontTable" Target="fontTable.xml"/><Relationship Id="rId106" Type="http://schemas.openxmlformats.org/officeDocument/2006/relationships/image" Target="media/image98.emf"/><Relationship Id="rId127" Type="http://schemas.openxmlformats.org/officeDocument/2006/relationships/image" Target="media/image119.emf"/><Relationship Id="rId10" Type="http://schemas.openxmlformats.org/officeDocument/2006/relationships/image" Target="media/image2.png"/><Relationship Id="rId31" Type="http://schemas.openxmlformats.org/officeDocument/2006/relationships/image" Target="media/image23.jpeg"/><Relationship Id="rId52" Type="http://schemas.openxmlformats.org/officeDocument/2006/relationships/image" Target="media/image44.emf"/><Relationship Id="rId73" Type="http://schemas.openxmlformats.org/officeDocument/2006/relationships/image" Target="media/image65.png"/><Relationship Id="rId94" Type="http://schemas.openxmlformats.org/officeDocument/2006/relationships/image" Target="media/image86.png"/><Relationship Id="rId148" Type="http://schemas.openxmlformats.org/officeDocument/2006/relationships/image" Target="media/image140.jpeg"/><Relationship Id="rId169" Type="http://schemas.openxmlformats.org/officeDocument/2006/relationships/image" Target="media/image161.jpeg"/><Relationship Id="rId4" Type="http://schemas.openxmlformats.org/officeDocument/2006/relationships/styles" Target="styles.xml"/><Relationship Id="rId180" Type="http://schemas.openxmlformats.org/officeDocument/2006/relationships/image" Target="media/image172.jpeg"/><Relationship Id="rId215" Type="http://schemas.openxmlformats.org/officeDocument/2006/relationships/image" Target="media/image207.jpeg"/><Relationship Id="rId236" Type="http://schemas.openxmlformats.org/officeDocument/2006/relationships/image" Target="media/image228.jpeg"/><Relationship Id="rId257" Type="http://schemas.openxmlformats.org/officeDocument/2006/relationships/image" Target="media/image249.jpeg"/><Relationship Id="rId278" Type="http://schemas.openxmlformats.org/officeDocument/2006/relationships/image" Target="media/image270.jpeg"/><Relationship Id="rId42" Type="http://schemas.openxmlformats.org/officeDocument/2006/relationships/image" Target="media/image34.jpeg"/><Relationship Id="rId84" Type="http://schemas.openxmlformats.org/officeDocument/2006/relationships/image" Target="media/image76.png"/><Relationship Id="rId138" Type="http://schemas.openxmlformats.org/officeDocument/2006/relationships/image" Target="media/image130.jpeg"/><Relationship Id="rId191" Type="http://schemas.openxmlformats.org/officeDocument/2006/relationships/image" Target="media/image183.jpeg"/><Relationship Id="rId205" Type="http://schemas.openxmlformats.org/officeDocument/2006/relationships/image" Target="media/image197.jpeg"/><Relationship Id="rId247" Type="http://schemas.openxmlformats.org/officeDocument/2006/relationships/image" Target="media/image239.jpeg"/><Relationship Id="rId107" Type="http://schemas.openxmlformats.org/officeDocument/2006/relationships/image" Target="media/image99.emf"/><Relationship Id="rId289" Type="http://schemas.openxmlformats.org/officeDocument/2006/relationships/theme" Target="theme/theme1.xml"/><Relationship Id="rId11" Type="http://schemas.openxmlformats.org/officeDocument/2006/relationships/image" Target="media/image3.emf"/><Relationship Id="rId53" Type="http://schemas.openxmlformats.org/officeDocument/2006/relationships/image" Target="media/image45.emf"/><Relationship Id="rId149" Type="http://schemas.openxmlformats.org/officeDocument/2006/relationships/image" Target="media/image141.jpeg"/><Relationship Id="rId95" Type="http://schemas.openxmlformats.org/officeDocument/2006/relationships/image" Target="media/image87.png"/><Relationship Id="rId160" Type="http://schemas.openxmlformats.org/officeDocument/2006/relationships/image" Target="media/image152.jpeg"/><Relationship Id="rId216" Type="http://schemas.openxmlformats.org/officeDocument/2006/relationships/image" Target="media/image208.jpeg"/><Relationship Id="rId258" Type="http://schemas.openxmlformats.org/officeDocument/2006/relationships/image" Target="media/image250.jpeg"/><Relationship Id="rId22" Type="http://schemas.openxmlformats.org/officeDocument/2006/relationships/image" Target="media/image14.emf"/><Relationship Id="rId64" Type="http://schemas.openxmlformats.org/officeDocument/2006/relationships/image" Target="media/image56.png"/><Relationship Id="rId118" Type="http://schemas.openxmlformats.org/officeDocument/2006/relationships/image" Target="media/image110.emf"/><Relationship Id="rId171" Type="http://schemas.openxmlformats.org/officeDocument/2006/relationships/image" Target="media/image163.emf"/><Relationship Id="rId227" Type="http://schemas.openxmlformats.org/officeDocument/2006/relationships/image" Target="media/image219.jpe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7E5A073-489D-4656-AC3F-BD92A442EC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TotalTime>
  <Pages>468</Pages>
  <Words>114588</Words>
  <Characters>653153</Characters>
  <Application>Microsoft Office Word</Application>
  <DocSecurity>0</DocSecurity>
  <Lines>5442</Lines>
  <Paragraphs>1532</Paragraphs>
  <ScaleCrop>false</ScaleCrop>
  <HeadingPairs>
    <vt:vector size="2" baseType="variant">
      <vt:variant>
        <vt:lpstr>Konu Başlığı</vt:lpstr>
      </vt:variant>
      <vt:variant>
        <vt:i4>1</vt:i4>
      </vt:variant>
    </vt:vector>
  </HeadingPairs>
  <TitlesOfParts>
    <vt:vector size="1" baseType="lpstr">
      <vt:lpstr/>
    </vt:vector>
  </TitlesOfParts>
  <Company>T.C. Bilim, Sanayi ve Teknoloji Bakanlığı</Company>
  <LinksUpToDate>false</LinksUpToDate>
  <CharactersWithSpaces>766209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ASUS-PC</dc:creator>
  <cp:keywords/>
  <dc:description/>
  <cp:lastModifiedBy>Nurseda ERDOĞAN</cp:lastModifiedBy>
  <cp:revision>15</cp:revision>
  <cp:lastPrinted>2021-07-06T13:40:00Z</cp:lastPrinted>
  <dcterms:created xsi:type="dcterms:W3CDTF">2021-12-02T07:49:00Z</dcterms:created>
  <dcterms:modified xsi:type="dcterms:W3CDTF">2022-09-30T12:53:00Z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1033-11.2.0.9906</vt:lpwstr>
  </property>
</Properties>
</file>